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753B4" w14:textId="77777777" w:rsidR="00D9107F" w:rsidRDefault="00D9107F" w:rsidP="00FF4077">
      <w:pPr>
        <w:pStyle w:val="PublTittel"/>
        <w:rPr>
          <w:rFonts w:eastAsiaTheme="minorHAnsi"/>
          <w:lang w:eastAsia="en-US"/>
        </w:rPr>
      </w:pPr>
      <w:bookmarkStart w:id="0" w:name="_Toc132536879"/>
      <w:bookmarkStart w:id="1" w:name="_Toc131279294"/>
      <w:r w:rsidRPr="00D9107F">
        <w:rPr>
          <w:rFonts w:eastAsiaTheme="minorHAnsi"/>
          <w:lang w:eastAsia="en-US"/>
        </w:rPr>
        <w:t>Gjennomgang av allmennlegetjenesten</w:t>
      </w:r>
    </w:p>
    <w:p w14:paraId="6FEC7515" w14:textId="77777777" w:rsidR="00D9107F" w:rsidRDefault="00D9107F" w:rsidP="00D9107F">
      <w:pPr>
        <w:pStyle w:val="Undertittel"/>
        <w:rPr>
          <w:rFonts w:eastAsiaTheme="minorHAnsi"/>
          <w:lang w:eastAsia="en-US"/>
        </w:rPr>
      </w:pPr>
      <w:r w:rsidRPr="00D9107F">
        <w:rPr>
          <w:rFonts w:eastAsiaTheme="minorHAnsi"/>
          <w:lang w:eastAsia="en-US"/>
        </w:rPr>
        <w:t>Ekspertutvalgets rapport</w:t>
      </w:r>
    </w:p>
    <w:p w14:paraId="6F0423AB" w14:textId="3E49C5D0" w:rsidR="00D9107F" w:rsidRDefault="00D9107F" w:rsidP="00D9107F">
      <w:pPr>
        <w:pStyle w:val="Ingress"/>
        <w:rPr>
          <w:rFonts w:eastAsiaTheme="minorHAnsi"/>
          <w:lang w:eastAsia="en-US"/>
        </w:rPr>
      </w:pPr>
      <w:r w:rsidRPr="00D9107F">
        <w:rPr>
          <w:rFonts w:eastAsiaTheme="minorHAnsi"/>
          <w:lang w:eastAsia="en-US"/>
        </w:rPr>
        <w:t>18. april 2023</w:t>
      </w:r>
    </w:p>
    <w:p w14:paraId="2F369BF3" w14:textId="1493BFB3" w:rsidR="00FC323C" w:rsidRDefault="00FC323C" w:rsidP="00D9107F">
      <w:pPr>
        <w:pStyle w:val="Ingress"/>
      </w:pPr>
      <w:r>
        <w:t xml:space="preserve">Revidert 09.05.2023: </w:t>
      </w:r>
      <w:r>
        <w:t>Beskrivelsen av Luster kommunes turnusordning for leger var feilaktig og er følgelig slettet fra rapporten</w:t>
      </w:r>
    </w:p>
    <w:p w14:paraId="6BB97EA1" w14:textId="05C81273" w:rsidR="00D9107F" w:rsidRDefault="00E02BFF" w:rsidP="003B10E7">
      <w:pPr>
        <w:pStyle w:val="UnOverskrift1"/>
      </w:pPr>
      <w:r>
        <w:t>Sammendrag</w:t>
      </w:r>
      <w:bookmarkEnd w:id="0"/>
    </w:p>
    <w:p w14:paraId="7E1D1EF3" w14:textId="6C541E7C" w:rsidR="00D9107F" w:rsidRPr="00D9107F" w:rsidRDefault="00DC6F48" w:rsidP="002B356C">
      <w:pPr>
        <w:rPr>
          <w:rStyle w:val="kursiv"/>
        </w:rPr>
      </w:pPr>
      <w:r w:rsidRPr="00D9107F">
        <w:rPr>
          <w:rStyle w:val="kursiv"/>
        </w:rPr>
        <w:t>Allmennlegetjenesten i kommunene omfatter en rekke tjenester. Fastlegene yter de fleste. Antall innbyggere uten fastlege har økt mye de siste årene, og utgjør i dag mer enn 21</w:t>
      </w:r>
      <w:r w:rsidR="00D9107F" w:rsidRPr="00D9107F">
        <w:rPr>
          <w:rStyle w:val="kursiv"/>
        </w:rPr>
        <w:t>5 000</w:t>
      </w:r>
      <w:r w:rsidRPr="00D9107F">
        <w:rPr>
          <w:rStyle w:val="kursiv"/>
        </w:rPr>
        <w:t xml:space="preserve"> personer. </w:t>
      </w:r>
      <w:r w:rsidR="00F45034" w:rsidRPr="00D9107F">
        <w:rPr>
          <w:rStyle w:val="kursiv"/>
        </w:rPr>
        <w:t xml:space="preserve">Mange kommuner har store utfordringer med å ivareta sitt sørge-for-ansvar. </w:t>
      </w:r>
      <w:r w:rsidRPr="00D9107F">
        <w:rPr>
          <w:rStyle w:val="kursiv"/>
        </w:rPr>
        <w:t xml:space="preserve">Det er behov for å rekruttere flere fastleger. Tiltak må iverksettes </w:t>
      </w:r>
      <w:r w:rsidR="00F45034" w:rsidRPr="00D9107F">
        <w:rPr>
          <w:rStyle w:val="kursiv"/>
        </w:rPr>
        <w:t xml:space="preserve">for å redusere arbeidsbelastningen for de fastlegene som opplever at belastningen er for stor. I tillegg bør tiltakene </w:t>
      </w:r>
      <w:r w:rsidR="00FF445F" w:rsidRPr="00D9107F">
        <w:rPr>
          <w:rStyle w:val="kursiv"/>
        </w:rPr>
        <w:t>gjør</w:t>
      </w:r>
      <w:r w:rsidR="00F45034" w:rsidRPr="00D9107F">
        <w:rPr>
          <w:rStyle w:val="kursiv"/>
        </w:rPr>
        <w:t>e</w:t>
      </w:r>
      <w:r w:rsidRPr="00D9107F">
        <w:rPr>
          <w:rStyle w:val="kursiv"/>
        </w:rPr>
        <w:t xml:space="preserve"> det mulig for </w:t>
      </w:r>
      <w:r w:rsidR="00FF445F" w:rsidRPr="00D9107F">
        <w:rPr>
          <w:rStyle w:val="kursiv"/>
        </w:rPr>
        <w:t>fastlege</w:t>
      </w:r>
      <w:r w:rsidR="00F45034" w:rsidRPr="00D9107F">
        <w:rPr>
          <w:rStyle w:val="kursiv"/>
        </w:rPr>
        <w:t>r</w:t>
      </w:r>
      <w:r w:rsidR="00DF3335" w:rsidRPr="00D9107F">
        <w:rPr>
          <w:rStyle w:val="kursiv"/>
        </w:rPr>
        <w:t xml:space="preserve">, </w:t>
      </w:r>
      <w:r w:rsidR="00F45034" w:rsidRPr="00D9107F">
        <w:rPr>
          <w:rStyle w:val="kursiv"/>
        </w:rPr>
        <w:t>som ønsker det</w:t>
      </w:r>
      <w:r w:rsidR="00DF3335" w:rsidRPr="00D9107F">
        <w:rPr>
          <w:rStyle w:val="kursiv"/>
        </w:rPr>
        <w:t>,</w:t>
      </w:r>
      <w:r w:rsidR="00F45034" w:rsidRPr="00D9107F">
        <w:rPr>
          <w:rStyle w:val="kursiv"/>
        </w:rPr>
        <w:t xml:space="preserve"> </w:t>
      </w:r>
      <w:r w:rsidRPr="00D9107F">
        <w:rPr>
          <w:rStyle w:val="kursiv"/>
        </w:rPr>
        <w:t>å ha flere innbyggere på sine lister</w:t>
      </w:r>
      <w:r w:rsidR="00F45034" w:rsidRPr="00D9107F">
        <w:rPr>
          <w:rStyle w:val="kursiv"/>
        </w:rPr>
        <w:t>.</w:t>
      </w:r>
    </w:p>
    <w:p w14:paraId="349295E2" w14:textId="77777777" w:rsidR="00D9107F" w:rsidRPr="00D9107F" w:rsidRDefault="00DC6F48" w:rsidP="002B356C">
      <w:pPr>
        <w:rPr>
          <w:rStyle w:val="kursiv"/>
          <w:rFonts w:eastAsia="Calibri"/>
        </w:rPr>
      </w:pPr>
      <w:r w:rsidRPr="00D9107F">
        <w:rPr>
          <w:rStyle w:val="kursiv"/>
          <w:rFonts w:eastAsia="Calibri"/>
        </w:rPr>
        <w:t>For å styrke rekrutteringen, foreslår ekspertutvalget blant annet flere LIS1-stillinger og ansatte leger i ALIS-stillinger. Innføring av et midlertidig rekrutteringsstilskudd og regulering av fratredende leges rett til å selge sin praksis, vil også gjøre det lettere for unge leger å etablere seg</w:t>
      </w:r>
      <w:r w:rsidR="00F45034" w:rsidRPr="00D9107F">
        <w:rPr>
          <w:rStyle w:val="kursiv"/>
          <w:rFonts w:eastAsia="Calibri"/>
        </w:rPr>
        <w:t xml:space="preserve"> som næringsdrivende</w:t>
      </w:r>
      <w:r w:rsidR="00FA3528" w:rsidRPr="00D9107F">
        <w:rPr>
          <w:rStyle w:val="kursiv"/>
          <w:rFonts w:eastAsia="Calibri"/>
        </w:rPr>
        <w:t xml:space="preserve"> fastlege</w:t>
      </w:r>
      <w:r w:rsidRPr="00D9107F">
        <w:rPr>
          <w:rStyle w:val="kursiv"/>
          <w:rFonts w:eastAsia="Calibri"/>
        </w:rPr>
        <w:t>.</w:t>
      </w:r>
    </w:p>
    <w:p w14:paraId="10F32F30" w14:textId="77777777" w:rsidR="00D9107F" w:rsidRPr="00D9107F" w:rsidRDefault="00DC6F48" w:rsidP="002B356C">
      <w:pPr>
        <w:rPr>
          <w:rStyle w:val="kursiv"/>
          <w:rFonts w:eastAsia="Calibri"/>
        </w:rPr>
      </w:pPr>
      <w:r w:rsidRPr="00D9107F">
        <w:rPr>
          <w:rStyle w:val="kursiv"/>
          <w:rFonts w:eastAsia="Calibri"/>
        </w:rPr>
        <w:t xml:space="preserve">For å støtte deling av oppgaver med andre yrkesgrupper, foreslår ekspertutvalget blant annet å åpne for mer delegering og å innføre profesjonsnøytrale takster. </w:t>
      </w:r>
      <w:r w:rsidR="00F45034" w:rsidRPr="00D9107F">
        <w:rPr>
          <w:rStyle w:val="kursiv"/>
          <w:rFonts w:eastAsia="Calibri"/>
        </w:rPr>
        <w:t xml:space="preserve">Fastlegetjenesten bør bli bedre integrert med de øvrige kommunale helse- og omsorgstjenestene. </w:t>
      </w:r>
      <w:r w:rsidRPr="00D9107F">
        <w:rPr>
          <w:rStyle w:val="kursiv"/>
          <w:rFonts w:eastAsia="Calibri"/>
        </w:rPr>
        <w:t xml:space="preserve">En slik omstilling vil kreve organisatoriske </w:t>
      </w:r>
      <w:r w:rsidR="00F45034" w:rsidRPr="00D9107F">
        <w:rPr>
          <w:rStyle w:val="kursiv"/>
          <w:rFonts w:eastAsia="Calibri"/>
        </w:rPr>
        <w:t xml:space="preserve">og finansielle </w:t>
      </w:r>
      <w:r w:rsidRPr="00D9107F">
        <w:rPr>
          <w:rStyle w:val="kursiv"/>
          <w:rFonts w:eastAsia="Calibri"/>
        </w:rPr>
        <w:t>endringer i retning av større enheter og tydeligere ledelse.</w:t>
      </w:r>
    </w:p>
    <w:p w14:paraId="4338CFC6" w14:textId="768CC1C9" w:rsidR="00DC6F48" w:rsidRPr="00D9107F" w:rsidRDefault="00DC6F48" w:rsidP="002B356C">
      <w:pPr>
        <w:rPr>
          <w:rStyle w:val="kursiv"/>
          <w:rFonts w:eastAsia="Calibri"/>
        </w:rPr>
      </w:pPr>
      <w:r w:rsidRPr="00D9107F">
        <w:rPr>
          <w:rStyle w:val="kursiv"/>
          <w:rFonts w:eastAsia="Calibri"/>
        </w:rPr>
        <w:t xml:space="preserve">For å </w:t>
      </w:r>
      <w:r w:rsidR="00D66CA5" w:rsidRPr="00D9107F">
        <w:rPr>
          <w:rStyle w:val="kursiv"/>
          <w:rFonts w:eastAsia="Calibri"/>
        </w:rPr>
        <w:t>fr</w:t>
      </w:r>
      <w:r w:rsidR="00904EEF" w:rsidRPr="00D9107F">
        <w:rPr>
          <w:rStyle w:val="kursiv"/>
          <w:rFonts w:eastAsia="Calibri"/>
        </w:rPr>
        <w:t>e</w:t>
      </w:r>
      <w:r w:rsidR="00D66CA5" w:rsidRPr="00D9107F">
        <w:rPr>
          <w:rStyle w:val="kursiv"/>
          <w:rFonts w:eastAsia="Calibri"/>
        </w:rPr>
        <w:t>m</w:t>
      </w:r>
      <w:r w:rsidR="005A7F83" w:rsidRPr="00D9107F">
        <w:rPr>
          <w:rStyle w:val="kursiv"/>
          <w:rFonts w:eastAsia="Calibri"/>
        </w:rPr>
        <w:t>me</w:t>
      </w:r>
      <w:r w:rsidRPr="00D9107F">
        <w:rPr>
          <w:rStyle w:val="kursiv"/>
          <w:rFonts w:eastAsia="Calibri"/>
        </w:rPr>
        <w:t xml:space="preserve"> medisinskfaglige prioriteringer</w:t>
      </w:r>
      <w:r w:rsidR="00D31E07" w:rsidRPr="00D9107F">
        <w:rPr>
          <w:rStyle w:val="kursiv"/>
          <w:rFonts w:eastAsia="Calibri"/>
        </w:rPr>
        <w:t xml:space="preserve"> og øke kapasiteten</w:t>
      </w:r>
      <w:r w:rsidRPr="00D9107F">
        <w:rPr>
          <w:rStyle w:val="kursiv"/>
          <w:rFonts w:eastAsia="Calibri"/>
        </w:rPr>
        <w:t xml:space="preserve">, foreslår ekspertutvalget blant annet at fastlegene slutter å utstede sykmeldinger for korttidsfravær og attester til elever i videregående </w:t>
      </w:r>
      <w:r w:rsidR="00D31E07" w:rsidRPr="00D9107F">
        <w:rPr>
          <w:rStyle w:val="kursiv"/>
          <w:rFonts w:eastAsia="Calibri"/>
        </w:rPr>
        <w:t>opplæring</w:t>
      </w:r>
      <w:r w:rsidRPr="00D9107F">
        <w:rPr>
          <w:rStyle w:val="kursiv"/>
          <w:rFonts w:eastAsia="Calibri"/>
        </w:rPr>
        <w:t>.</w:t>
      </w:r>
    </w:p>
    <w:p w14:paraId="4FF2D186" w14:textId="77777777" w:rsidR="00D9107F" w:rsidRPr="00D9107F" w:rsidRDefault="00DC6F48" w:rsidP="002B356C">
      <w:pPr>
        <w:rPr>
          <w:rStyle w:val="kursiv"/>
          <w:rFonts w:eastAsia="Calibri"/>
        </w:rPr>
      </w:pPr>
      <w:r w:rsidRPr="00D9107F">
        <w:rPr>
          <w:rStyle w:val="kursiv"/>
          <w:rFonts w:eastAsia="Calibri"/>
        </w:rPr>
        <w:t xml:space="preserve">Ekspertutvalgets flertall mener en økning av basistilskuddets andel av den samlede finansieringen vil kunne </w:t>
      </w:r>
      <w:r w:rsidR="74B4F974" w:rsidRPr="00D9107F">
        <w:rPr>
          <w:rStyle w:val="kursiv"/>
          <w:rFonts w:eastAsia="Calibri"/>
        </w:rPr>
        <w:t>øke listekapasiteten</w:t>
      </w:r>
      <w:r w:rsidR="32240939" w:rsidRPr="00D9107F">
        <w:rPr>
          <w:rStyle w:val="kursiv"/>
          <w:rFonts w:eastAsia="Calibri"/>
        </w:rPr>
        <w:t xml:space="preserve"> og</w:t>
      </w:r>
      <w:r w:rsidR="74B4F974" w:rsidRPr="00D9107F">
        <w:rPr>
          <w:rStyle w:val="kursiv"/>
          <w:rFonts w:eastAsia="Calibri"/>
        </w:rPr>
        <w:t xml:space="preserve"> </w:t>
      </w:r>
      <w:r w:rsidR="25E261FF" w:rsidRPr="00D9107F">
        <w:rPr>
          <w:rStyle w:val="kursiv"/>
          <w:rFonts w:eastAsia="Calibri"/>
        </w:rPr>
        <w:t>gi</w:t>
      </w:r>
      <w:r w:rsidRPr="00D9107F">
        <w:rPr>
          <w:rStyle w:val="kursiv"/>
          <w:rFonts w:eastAsia="Calibri"/>
        </w:rPr>
        <w:t xml:space="preserve"> mer </w:t>
      </w:r>
      <w:r w:rsidR="00F45034" w:rsidRPr="00D9107F">
        <w:rPr>
          <w:rStyle w:val="kursiv"/>
          <w:rFonts w:eastAsia="Calibri"/>
        </w:rPr>
        <w:t xml:space="preserve">tid til kvalitetsutvikling, </w:t>
      </w:r>
      <w:r w:rsidRPr="00D9107F">
        <w:rPr>
          <w:rStyle w:val="kursiv"/>
          <w:rFonts w:eastAsia="Calibri"/>
        </w:rPr>
        <w:t xml:space="preserve">innovasjon og tverrfaglighet. Samlet sett tror ekspertutvalget at tiltakene vil bidra til likeverdige allmennlegetjenester også i </w:t>
      </w:r>
      <w:r w:rsidR="00FE6DDF" w:rsidRPr="00D9107F">
        <w:rPr>
          <w:rStyle w:val="kursiv"/>
          <w:rFonts w:eastAsia="Calibri"/>
        </w:rPr>
        <w:t>fr</w:t>
      </w:r>
      <w:r w:rsidR="00D31E07" w:rsidRPr="00D9107F">
        <w:rPr>
          <w:rStyle w:val="kursiv"/>
          <w:rFonts w:eastAsia="Calibri"/>
        </w:rPr>
        <w:t>a</w:t>
      </w:r>
      <w:r w:rsidR="00FE6DDF" w:rsidRPr="00D9107F">
        <w:rPr>
          <w:rStyle w:val="kursiv"/>
          <w:rFonts w:eastAsia="Calibri"/>
        </w:rPr>
        <w:t>mtiden</w:t>
      </w:r>
      <w:r w:rsidRPr="00D9107F">
        <w:rPr>
          <w:rStyle w:val="kursiv"/>
          <w:rFonts w:eastAsia="Calibri"/>
        </w:rPr>
        <w:t>.</w:t>
      </w:r>
    </w:p>
    <w:p w14:paraId="51BD563B" w14:textId="77777777" w:rsidR="00D9107F" w:rsidRPr="00CF515F" w:rsidRDefault="00DC6F48" w:rsidP="00CF515F">
      <w:pPr>
        <w:pStyle w:val="avsnitt-undertittel"/>
      </w:pPr>
      <w:r w:rsidRPr="00CF515F">
        <w:t>Utfordringsbildet</w:t>
      </w:r>
    </w:p>
    <w:p w14:paraId="7A95F912" w14:textId="315CD753" w:rsidR="00D9107F" w:rsidRDefault="00DC6F48" w:rsidP="00DC6F48">
      <w:pPr>
        <w:jc w:val="both"/>
      </w:pPr>
      <w:r>
        <w:t xml:space="preserve">Utfordringsbildet krever at vi må bli mer opptatt av formålstjenlig og effektiv utnyttelse og prioritering av ressursene i alle deler av helse- og omsorgstjenesten. Nesten alle innbyggerne i Norge har sin egen fastlege. Det finnes ikke gode data om ventetid på allmennlegetime, men de tallene som finnes, tyder på at ventetiden har ligget relativt stabilt på 2-3 dager (median) de siste </w:t>
      </w:r>
      <w:r>
        <w:lastRenderedPageBreak/>
        <w:t xml:space="preserve">ti årene. Antall fastleger per innbygger har økt hvert år siden 2005, men fastlegenes gjennomsnittlige listelengde har falt så mye at den totale listekapasiteten </w:t>
      </w:r>
      <w:r w:rsidR="0079682C">
        <w:t xml:space="preserve">likevel </w:t>
      </w:r>
      <w:r>
        <w:t xml:space="preserve">er blitt for lav. Mange steder har </w:t>
      </w:r>
      <w:r w:rsidR="0079682C">
        <w:t xml:space="preserve">nå </w:t>
      </w:r>
      <w:r>
        <w:t>ikke innbyggerne mulighet til å bytte fastlege, og de siste årene har andelen innbyggere på fastlegelister uten fastlege, økt fra under 1 til over 3 prosent (</w:t>
      </w:r>
      <w:r w:rsidRPr="00461FCF">
        <w:t>figur</w:t>
      </w:r>
      <w:r w:rsidR="00F4459D">
        <w:t xml:space="preserve"> </w:t>
      </w:r>
      <w:r w:rsidR="00E863C9">
        <w:t>2-</w:t>
      </w:r>
      <w:r w:rsidR="00055CC6">
        <w:t>7</w:t>
      </w:r>
      <w:r>
        <w:t>). Andelen av innbyggerne på lister uten fastlege, er langt høyere i mange distriktskommuner enn i byene.</w:t>
      </w:r>
    </w:p>
    <w:p w14:paraId="7110E1A6" w14:textId="7D79268F" w:rsidR="00DC6F48" w:rsidRDefault="005F2945" w:rsidP="002B356C">
      <w:pPr>
        <w:pStyle w:val="avsnitt-tittel"/>
      </w:pPr>
      <w:r>
        <w:t xml:space="preserve">Figur </w:t>
      </w:r>
      <w:r w:rsidR="00FF0DAD">
        <w:t>2-</w:t>
      </w:r>
      <w:r w:rsidR="009E356E">
        <w:t>7</w:t>
      </w:r>
      <w:r w:rsidR="00FF0DAD">
        <w:t xml:space="preserve"> A</w:t>
      </w:r>
      <w:r w:rsidR="00DC6F48" w:rsidRPr="005E249F">
        <w:t>ntall listeinnbyggere over tid</w:t>
      </w:r>
      <w:r w:rsidR="00DC6F48">
        <w:t>, med og uten fastlege</w:t>
      </w:r>
    </w:p>
    <w:p w14:paraId="2FAD94AB" w14:textId="77777777" w:rsidR="00DC6F48" w:rsidRDefault="00DC6F48" w:rsidP="00DC6F48">
      <w:r>
        <w:rPr>
          <w:noProof/>
        </w:rPr>
        <w:drawing>
          <wp:inline distT="0" distB="0" distL="0" distR="0" wp14:anchorId="569F9400" wp14:editId="38F64D74">
            <wp:extent cx="6120000" cy="3816077"/>
            <wp:effectExtent l="38100" t="38100" r="33655" b="32385"/>
            <wp:docPr id="1908704930" name="Picture 190870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6120000" cy="3816077"/>
                    </a:xfrm>
                    <a:prstGeom prst="rect">
                      <a:avLst/>
                    </a:prstGeom>
                    <a:ln w="38100">
                      <a:solidFill>
                        <a:schemeClr val="accent2"/>
                      </a:solidFill>
                    </a:ln>
                  </pic:spPr>
                </pic:pic>
              </a:graphicData>
            </a:graphic>
          </wp:inline>
        </w:drawing>
      </w:r>
    </w:p>
    <w:p w14:paraId="0573C377" w14:textId="77777777" w:rsidR="00D9107F" w:rsidRDefault="00827E6F" w:rsidP="002B356C">
      <w:pPr>
        <w:pStyle w:val="Petit"/>
        <w:rPr>
          <w:rFonts w:ascii="Arial" w:hAnsi="Arial" w:cs="Arial"/>
        </w:rPr>
      </w:pPr>
      <w:r w:rsidRPr="00D9107F">
        <w:rPr>
          <w:rStyle w:val="kursiv"/>
        </w:rPr>
        <w:t>Merknad</w:t>
      </w:r>
      <w:r w:rsidR="00DC6F48" w:rsidRPr="00D9107F">
        <w:rPr>
          <w:rStyle w:val="kursiv"/>
        </w:rPr>
        <w:t>: Datagrunnlag inneholder ikke siste tilgjengelige oppdatering av totalt antall listeinnbyggere. Kilde: FLO, 2006–2020.</w:t>
      </w:r>
    </w:p>
    <w:p w14:paraId="4A6AE1D8" w14:textId="77777777" w:rsidR="00D9107F" w:rsidRDefault="00DC6F48" w:rsidP="00DC6F48">
      <w:pPr>
        <w:jc w:val="both"/>
      </w:pPr>
      <w:r>
        <w:t>Innbyggere på lister uten fastlege har omtrent like mange allmennlegekonsultasjoner per år som pasienter med fastlege. De konsulterer vikar eller andre fastleger, og de har ikke flere legevaktbesøk enn pasienter med fastlege. Mens innbyggere med fastlege i snitt besøker den samme legen i rundt 70 prosent av konsultasjonene, er denne andelen rundt 60 prosent for innbyggere i distriktskommunene og for innbyggere på lister uten fastlege.</w:t>
      </w:r>
    </w:p>
    <w:p w14:paraId="38619EE7" w14:textId="67A1EF6C" w:rsidR="00D9107F" w:rsidRDefault="00DC6F48" w:rsidP="00DC6F48">
      <w:pPr>
        <w:jc w:val="both"/>
      </w:pPr>
      <w:r>
        <w:t>Mange fastleger opplever at de jobber for mye. Andelen av legene som takster for fastlegetjenester utenfor vanlig arbeidstid (kl. 17-07) mer enn 50 dager i året, har økt hvert år siden 2010. Økningen har vært særlig stor de siste par årene</w:t>
      </w:r>
      <w:r w:rsidR="0079682C">
        <w:t>,</w:t>
      </w:r>
      <w:r>
        <w:t xml:space="preserve"> og omfattet i 2021 om lag 40 prosent av legene (</w:t>
      </w:r>
      <w:r w:rsidRPr="00A275F8">
        <w:t>figur</w:t>
      </w:r>
      <w:r w:rsidR="00F4459D">
        <w:t xml:space="preserve"> 2</w:t>
      </w:r>
      <w:r w:rsidR="00E863C9">
        <w:t>-</w:t>
      </w:r>
      <w:r w:rsidR="00F4459D">
        <w:t>3</w:t>
      </w:r>
      <w:r w:rsidR="00133D04">
        <w:t>4</w:t>
      </w:r>
      <w:r>
        <w:t xml:space="preserve">). Det er betydelige forskjeller mellom legene, men antall klokketimer per uke der fastlegen har registrert minst én fastlege- eller legevakttakst, er beregnet å ha økt fra 33 timer (median) i 2008 til 34 timer i 2019, og deretter til 37 timer i 2021. </w:t>
      </w:r>
      <w:r>
        <w:lastRenderedPageBreak/>
        <w:t xml:space="preserve">Årlige nasjonale tall for antall </w:t>
      </w:r>
      <w:r w:rsidRPr="008F5AD8">
        <w:t>kurative fastlegedager</w:t>
      </w:r>
      <w:r w:rsidRPr="008F5AD8" w:rsidDel="002F1579">
        <w:t xml:space="preserve">, </w:t>
      </w:r>
      <w:r w:rsidDel="002F1579">
        <w:t xml:space="preserve">antall </w:t>
      </w:r>
      <w:r w:rsidRPr="008F5AD8" w:rsidDel="002F1579">
        <w:t>dager med minst én fastlegetakst, antall fastlege</w:t>
      </w:r>
      <w:r w:rsidDel="002F1579">
        <w:t xml:space="preserve">konsultasjoner per kurativ dag, og antall timer med fastlegekonsultasjon per år </w:t>
      </w:r>
      <w:r w:rsidRPr="008F5AD8">
        <w:t xml:space="preserve">er beregnet til å ha vært relativt </w:t>
      </w:r>
      <w:r>
        <w:t>uforandret de siste ti årene.</w:t>
      </w:r>
      <w:r w:rsidR="00FF445F" w:rsidDel="0079682C">
        <w:t xml:space="preserve"> </w:t>
      </w:r>
      <w:r w:rsidRPr="00775632">
        <w:t>Arbeidstidsøkninger de siste par årene knytter seg i stor grad til e-konsultasjoner, både i og utenfor normal arbeidstid</w:t>
      </w:r>
      <w:r>
        <w:t>, som vokste betydelig i omfang under koronapandemien.</w:t>
      </w:r>
    </w:p>
    <w:p w14:paraId="6490385F" w14:textId="2BC9320A" w:rsidR="00D9107F" w:rsidRDefault="00C73A3D" w:rsidP="002B356C">
      <w:pPr>
        <w:pStyle w:val="avsnitt-tittel"/>
      </w:pPr>
      <w:r w:rsidRPr="00D04638">
        <w:t>Figu</w:t>
      </w:r>
      <w:r w:rsidR="00DD4051">
        <w:t>r 2-3</w:t>
      </w:r>
      <w:r w:rsidR="008A3A03">
        <w:t>4</w:t>
      </w:r>
      <w:r w:rsidR="00DD4051">
        <w:t xml:space="preserve"> </w:t>
      </w:r>
      <w:r w:rsidR="008A3A03">
        <w:t>A</w:t>
      </w:r>
      <w:r w:rsidR="00DC6F48" w:rsidRPr="00D04638">
        <w:t xml:space="preserve">ndel fastleger etter antall dager med </w:t>
      </w:r>
      <w:r w:rsidR="00DC6F48">
        <w:t>arbeid</w:t>
      </w:r>
      <w:r w:rsidR="00DC6F48" w:rsidRPr="00D04638">
        <w:t xml:space="preserve"> utenfor normal </w:t>
      </w:r>
      <w:r w:rsidR="001500B0" w:rsidRPr="00D04638">
        <w:t xml:space="preserve">arbeidstid </w:t>
      </w:r>
      <w:r w:rsidR="001500B0">
        <w:t>i</w:t>
      </w:r>
      <w:r w:rsidRPr="00D04638">
        <w:t xml:space="preserve"> løpet av et år</w:t>
      </w:r>
    </w:p>
    <w:p w14:paraId="455C556F" w14:textId="0166EC9F" w:rsidR="00C73A3D" w:rsidRDefault="00C73A3D" w:rsidP="00C73A3D">
      <w:r w:rsidRPr="00D9107F">
        <w:rPr>
          <w:rStyle w:val="kursiv"/>
          <w:noProof/>
        </w:rPr>
        <w:drawing>
          <wp:inline distT="0" distB="0" distL="0" distR="0" wp14:anchorId="631A2747" wp14:editId="0730C1A9">
            <wp:extent cx="6120000" cy="5317590"/>
            <wp:effectExtent l="38100" t="38100" r="33655" b="35560"/>
            <wp:docPr id="3" name="Picture 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stridsvog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5317590"/>
                    </a:xfrm>
                    <a:prstGeom prst="rect">
                      <a:avLst/>
                    </a:prstGeom>
                    <a:ln w="38100">
                      <a:solidFill>
                        <a:schemeClr val="accent2"/>
                      </a:solidFill>
                    </a:ln>
                  </pic:spPr>
                </pic:pic>
              </a:graphicData>
            </a:graphic>
          </wp:inline>
        </w:drawing>
      </w:r>
    </w:p>
    <w:p w14:paraId="3D9421B6" w14:textId="77777777" w:rsidR="00D9107F" w:rsidRPr="00E41D13" w:rsidRDefault="00C73A3D" w:rsidP="00C709CD">
      <w:pPr>
        <w:pStyle w:val="Petit"/>
        <w:rPr>
          <w:rStyle w:val="kursiv"/>
        </w:rPr>
      </w:pPr>
      <w:r w:rsidRPr="00E41D13">
        <w:rPr>
          <w:rStyle w:val="kursiv"/>
        </w:rPr>
        <w:t>Merknad: Dager med arbeid utenfor normal arbeidstid er definert som minimum tre spesifikke takster i perioden kl. 17.00-06.59 på hverdager eller i helgene. Inkluderer kun fastlegearbeid, definert som praksistyper/oppgjørskoder fastlege eller fastlønnet og spesifikke fastlegearbeid takstkoder i KUHR. Kilde: FLO og KUHR</w:t>
      </w:r>
    </w:p>
    <w:p w14:paraId="6E7F6410" w14:textId="1419D1D9" w:rsidR="007B588E" w:rsidRDefault="00DC6F48" w:rsidP="00FF445F">
      <w:pPr>
        <w:jc w:val="both"/>
      </w:pPr>
      <w:r>
        <w:t>Veksten i antall fastleger har vært høyere enn befolkningsveksten hvert år siden 2005 (</w:t>
      </w:r>
      <w:r w:rsidRPr="00FD6125">
        <w:t>figur</w:t>
      </w:r>
      <w:r w:rsidR="00F4459D">
        <w:t xml:space="preserve"> 2</w:t>
      </w:r>
      <w:r w:rsidR="00E863C9">
        <w:t>-2</w:t>
      </w:r>
      <w:r>
        <w:t xml:space="preserve">). </w:t>
      </w:r>
      <w:r w:rsidR="00344AF3">
        <w:t xml:space="preserve">Det lave antall leger </w:t>
      </w:r>
      <w:r w:rsidR="70AF80C2">
        <w:t>sy</w:t>
      </w:r>
      <w:r w:rsidR="19D8248F">
        <w:t>s</w:t>
      </w:r>
      <w:r w:rsidR="70AF80C2">
        <w:t>selsatt</w:t>
      </w:r>
      <w:r w:rsidR="00344AF3">
        <w:t xml:space="preserve"> i andre kommunale helse- og omsorgstjenester er </w:t>
      </w:r>
      <w:r>
        <w:t xml:space="preserve">mer enn </w:t>
      </w:r>
      <w:r>
        <w:lastRenderedPageBreak/>
        <w:t xml:space="preserve">tredoblet </w:t>
      </w:r>
      <w:r w:rsidR="001500B0">
        <w:t>i samme</w:t>
      </w:r>
      <w:r>
        <w:t xml:space="preserve"> periode (</w:t>
      </w:r>
      <w:r w:rsidRPr="00A275F8">
        <w:t>figur</w:t>
      </w:r>
      <w:r w:rsidR="002970B6">
        <w:t xml:space="preserve"> 2-3</w:t>
      </w:r>
      <w:r w:rsidR="00766356">
        <w:t>6</w:t>
      </w:r>
      <w:r>
        <w:t>). Den totale allmennlegekapasiteten har derfor vokst mer enn befolkningen.</w:t>
      </w:r>
    </w:p>
    <w:p w14:paraId="1C290954" w14:textId="6091674C" w:rsidR="00F86670" w:rsidRPr="009E5608" w:rsidRDefault="00F86670" w:rsidP="002B356C">
      <w:pPr>
        <w:pStyle w:val="avsnitt-tittel"/>
      </w:pPr>
      <w:r w:rsidRPr="00C619CF">
        <w:t>Figu</w:t>
      </w:r>
      <w:r w:rsidR="00DD4051">
        <w:t>r 2-</w:t>
      </w:r>
      <w:r w:rsidR="00107256">
        <w:t>2</w:t>
      </w:r>
      <w:r>
        <w:t xml:space="preserve"> </w:t>
      </w:r>
      <w:r w:rsidRPr="009E5608">
        <w:t>Antall fastleger per 1000 innbygger</w:t>
      </w:r>
    </w:p>
    <w:p w14:paraId="6D57ADC9" w14:textId="0E2C8850" w:rsidR="00F86670" w:rsidRDefault="00DB3B6A" w:rsidP="00F86670">
      <w:r>
        <w:rPr>
          <w:noProof/>
        </w:rPr>
        <w:drawing>
          <wp:inline distT="0" distB="0" distL="0" distR="0" wp14:anchorId="75E92B97" wp14:editId="71B37F6E">
            <wp:extent cx="6120765" cy="3042285"/>
            <wp:effectExtent l="0" t="0" r="0" b="571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042285"/>
                    </a:xfrm>
                    <a:prstGeom prst="rect">
                      <a:avLst/>
                    </a:prstGeom>
                    <a:noFill/>
                  </pic:spPr>
                </pic:pic>
              </a:graphicData>
            </a:graphic>
          </wp:inline>
        </w:drawing>
      </w:r>
    </w:p>
    <w:p w14:paraId="57B2E2CB" w14:textId="77777777" w:rsidR="00F86670" w:rsidRPr="00CE06F0" w:rsidRDefault="00F86670" w:rsidP="00C33652">
      <w:pPr>
        <w:pStyle w:val="Petit"/>
        <w:rPr>
          <w:rStyle w:val="kursiv"/>
        </w:rPr>
      </w:pPr>
      <w:bookmarkStart w:id="2" w:name="_Toc132133896"/>
      <w:r w:rsidRPr="00CE06F0">
        <w:rPr>
          <w:rStyle w:val="kursiv"/>
        </w:rPr>
        <w:t>Kilde: FLO og SSB, 2002-2022.</w:t>
      </w:r>
      <w:bookmarkEnd w:id="2"/>
    </w:p>
    <w:p w14:paraId="6810AE0A" w14:textId="4534BB41" w:rsidR="00DC6F48" w:rsidRDefault="002F5FDC" w:rsidP="002B356C">
      <w:pPr>
        <w:pStyle w:val="avsnitt-tittel"/>
      </w:pPr>
      <w:r>
        <w:lastRenderedPageBreak/>
        <w:t>Figur 2-</w:t>
      </w:r>
      <w:r w:rsidR="00255775">
        <w:t>36</w:t>
      </w:r>
      <w:r>
        <w:t xml:space="preserve"> </w:t>
      </w:r>
      <w:r w:rsidR="00DC6F48">
        <w:t>Prosentvis endring</w:t>
      </w:r>
      <w:r w:rsidR="00DC6F48" w:rsidRPr="004821B0">
        <w:t xml:space="preserve"> i antall leger i </w:t>
      </w:r>
      <w:r w:rsidR="001B3302" w:rsidRPr="004821B0">
        <w:t>kommun</w:t>
      </w:r>
      <w:r w:rsidR="00FC6FD7">
        <w:t>e</w:t>
      </w:r>
      <w:r w:rsidR="00DC6F48" w:rsidRPr="004821B0">
        <w:t>helse</w:t>
      </w:r>
      <w:r w:rsidR="001B3302" w:rsidRPr="004821B0">
        <w:t>tjeneste</w:t>
      </w:r>
      <w:r w:rsidR="00FC6FD7">
        <w:t>n</w:t>
      </w:r>
      <w:r w:rsidR="00DC6F48" w:rsidRPr="004821B0">
        <w:t xml:space="preserve"> og spesialisthelsetjenesten</w:t>
      </w:r>
    </w:p>
    <w:p w14:paraId="62F196BD" w14:textId="6B8230C9" w:rsidR="00DC6F48" w:rsidRPr="00D9107F" w:rsidRDefault="00DB3B6A" w:rsidP="00F41187">
      <w:pPr>
        <w:keepNext/>
        <w:keepLines/>
        <w:rPr>
          <w:rStyle w:val="halvfet"/>
        </w:rPr>
      </w:pPr>
      <w:r>
        <w:rPr>
          <w:rStyle w:val="halvfet"/>
          <w:noProof/>
        </w:rPr>
        <w:drawing>
          <wp:inline distT="0" distB="0" distL="0" distR="0" wp14:anchorId="236EC28A" wp14:editId="44A43B42">
            <wp:extent cx="6120765" cy="350520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505200"/>
                    </a:xfrm>
                    <a:prstGeom prst="rect">
                      <a:avLst/>
                    </a:prstGeom>
                    <a:noFill/>
                  </pic:spPr>
                </pic:pic>
              </a:graphicData>
            </a:graphic>
          </wp:inline>
        </w:drawing>
      </w:r>
    </w:p>
    <w:p w14:paraId="426E5026" w14:textId="77777777" w:rsidR="00D9107F" w:rsidRPr="00E41D13" w:rsidRDefault="00DC6F48" w:rsidP="00C33652">
      <w:pPr>
        <w:pStyle w:val="Petit"/>
        <w:rPr>
          <w:rStyle w:val="kursiv"/>
        </w:rPr>
      </w:pPr>
      <w:bookmarkStart w:id="3" w:name="_Toc132133897"/>
      <w:r w:rsidRPr="00E41D13">
        <w:rPr>
          <w:rStyle w:val="kursiv"/>
        </w:rPr>
        <w:t>Merknad: For leger med yrkesinntekt over 1G</w:t>
      </w:r>
      <w:r w:rsidR="00933EC3" w:rsidRPr="00E41D13">
        <w:rPr>
          <w:rStyle w:val="kursiv"/>
        </w:rPr>
        <w:t xml:space="preserve">, 2002 – 2021. </w:t>
      </w:r>
      <w:r w:rsidRPr="00E41D13">
        <w:rPr>
          <w:rStyle w:val="kursiv"/>
        </w:rPr>
        <w:t>Kilde: SSB</w:t>
      </w:r>
      <w:bookmarkEnd w:id="3"/>
    </w:p>
    <w:p w14:paraId="325E7216" w14:textId="77777777" w:rsidR="00D9107F" w:rsidRDefault="00DC6F48" w:rsidP="00DC6F48">
      <w:pPr>
        <w:jc w:val="both"/>
      </w:pPr>
      <w:r>
        <w:t>De siste årene har de næringsdrivende fastlegenes inntekt økt mer enn inntekten til andre leger i Norge, men ellers har inntektsveksten til fastlegene og leger i spesialisthelsetjenesten vært omtrent den samme de siste 20 årene (</w:t>
      </w:r>
      <w:r w:rsidRPr="00A275F8">
        <w:t>figur</w:t>
      </w:r>
      <w:r w:rsidR="00480B64">
        <w:t xml:space="preserve"> 2-</w:t>
      </w:r>
      <w:r w:rsidR="00096162">
        <w:t>17</w:t>
      </w:r>
      <w:r>
        <w:t>).</w:t>
      </w:r>
    </w:p>
    <w:p w14:paraId="1ED5BA47" w14:textId="130094FE" w:rsidR="00DC6F48" w:rsidRPr="007A3EBB" w:rsidRDefault="003066BE" w:rsidP="002B356C">
      <w:pPr>
        <w:pStyle w:val="avsnitt-tittel"/>
      </w:pPr>
      <w:r>
        <w:lastRenderedPageBreak/>
        <w:t>Figu</w:t>
      </w:r>
      <w:r w:rsidR="00DD4051">
        <w:t>r 2-</w:t>
      </w:r>
      <w:r w:rsidR="00843222">
        <w:t>17</w:t>
      </w:r>
      <w:r>
        <w:t xml:space="preserve"> </w:t>
      </w:r>
      <w:r w:rsidR="00DC6F48">
        <w:t>Gjennomsnittlig yrkesinntekt for personer utdannet som leger</w:t>
      </w:r>
    </w:p>
    <w:p w14:paraId="544BF92E" w14:textId="30C932A9" w:rsidR="00AA48FB" w:rsidRPr="002369FC" w:rsidRDefault="00DC6F48" w:rsidP="002369FC">
      <w:pPr>
        <w:keepNext/>
        <w:keepLines/>
      </w:pPr>
      <w:r>
        <w:rPr>
          <w:noProof/>
        </w:rPr>
        <w:drawing>
          <wp:inline distT="0" distB="0" distL="0" distR="0" wp14:anchorId="66147A2A" wp14:editId="4DD08265">
            <wp:extent cx="6120000" cy="3658248"/>
            <wp:effectExtent l="38100" t="38100" r="33655" b="37465"/>
            <wp:docPr id="1908704929" name="Picture 190870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5"/>
                    <a:stretch>
                      <a:fillRect/>
                    </a:stretch>
                  </pic:blipFill>
                  <pic:spPr>
                    <a:xfrm>
                      <a:off x="0" y="0"/>
                      <a:ext cx="6120000" cy="3658248"/>
                    </a:xfrm>
                    <a:prstGeom prst="rect">
                      <a:avLst/>
                    </a:prstGeom>
                    <a:ln w="38100" cmpd="sng">
                      <a:solidFill>
                        <a:schemeClr val="accent2"/>
                      </a:solidFill>
                    </a:ln>
                  </pic:spPr>
                </pic:pic>
              </a:graphicData>
            </a:graphic>
          </wp:inline>
        </w:drawing>
      </w:r>
    </w:p>
    <w:p w14:paraId="7C840B59" w14:textId="77777777" w:rsidR="00D9107F" w:rsidRPr="00657F9A" w:rsidRDefault="0058152D" w:rsidP="00C33652">
      <w:pPr>
        <w:pStyle w:val="Petit"/>
        <w:rPr>
          <w:rStyle w:val="kursiv"/>
        </w:rPr>
      </w:pPr>
      <w:bookmarkStart w:id="4" w:name="_Toc132133898"/>
      <w:r w:rsidRPr="00657F9A">
        <w:rPr>
          <w:rStyle w:val="kursiv"/>
        </w:rPr>
        <w:t>Kilde: Claus og Hjemås. Inntektsutvikling for fastleger og andre leger. Notat utarbeidet på oppdrag fra ekspertutvalget. SSB, 2023</w:t>
      </w:r>
      <w:bookmarkEnd w:id="4"/>
    </w:p>
    <w:p w14:paraId="2A440B44" w14:textId="77777777" w:rsidR="00D9107F" w:rsidRDefault="00DC6F48" w:rsidP="00DC6F48">
      <w:pPr>
        <w:jc w:val="both"/>
      </w:pPr>
      <w:r>
        <w:t>De siste ti årene har inntekten til de næringsdrivende fastlegen</w:t>
      </w:r>
      <w:r w:rsidR="00195C3E">
        <w:t>e</w:t>
      </w:r>
      <w:r>
        <w:t xml:space="preserve"> stort sett ligget 20-30 prosent høyere enn intekten til legene i spesialisthelsetjenesten, med unntak for pandemiåret 2021</w:t>
      </w:r>
      <w:r w:rsidR="007B588E">
        <w:t>,</w:t>
      </w:r>
      <w:r>
        <w:t xml:space="preserve"> hvor inntekten til de næringsdrivende fastlegene var 50 prosent høyere enn inntekten til legene i spesialisthelsetjenesten (1,8 vs</w:t>
      </w:r>
      <w:r w:rsidR="007B588E">
        <w:t>.</w:t>
      </w:r>
      <w:r>
        <w:t xml:space="preserve"> 1,2 millioner). Med unntak av de siste par årene, har fast ansatte fastleger hatt en lønnsutvikling på linje med de næringsdrivende fastlegene, men nivået har vært 5-10 prosent lavere.</w:t>
      </w:r>
    </w:p>
    <w:p w14:paraId="7E9EEA21" w14:textId="77777777" w:rsidR="00D9107F" w:rsidRDefault="00DC6F48" w:rsidP="00DC6F48">
      <w:pPr>
        <w:jc w:val="both"/>
      </w:pPr>
      <w:r>
        <w:t xml:space="preserve">Helsepersonellkommisjonen peker på at helsepersonell i </w:t>
      </w:r>
      <w:r w:rsidR="00FF445F">
        <w:t>fr</w:t>
      </w:r>
      <w:r w:rsidR="007B588E">
        <w:t>a</w:t>
      </w:r>
      <w:r w:rsidR="00FF445F">
        <w:t>mtiden</w:t>
      </w:r>
      <w:r>
        <w:t xml:space="preserve"> vil måtte ta hånd om flere pasienter og brukere enn i dag, og at den største </w:t>
      </w:r>
      <w:r w:rsidR="007B588E">
        <w:t>behovs- og aktivitets</w:t>
      </w:r>
      <w:r>
        <w:t xml:space="preserve">økningen vil komme i kommunen. For å håndtere de voksende behovene, må fastlegene integreres enda bedre i kommunehelsetjenesten og kapasiteten i fastlegeordningen må </w:t>
      </w:r>
      <w:r w:rsidR="007B588E">
        <w:t>økes</w:t>
      </w:r>
      <w:r>
        <w:t>.</w:t>
      </w:r>
    </w:p>
    <w:p w14:paraId="6ECA8502" w14:textId="77777777" w:rsidR="00D9107F" w:rsidRDefault="00DC6F48" w:rsidP="00DC6F48">
      <w:pPr>
        <w:jc w:val="both"/>
      </w:pPr>
      <w:r>
        <w:t xml:space="preserve">Ekspertutvalget peker på at kapasiteten i allmenn- og fastlegetjenesten kan </w:t>
      </w:r>
      <w:r w:rsidR="007B588E">
        <w:t xml:space="preserve">økes </w:t>
      </w:r>
      <w:r>
        <w:t>ved å i) rekruttere flere leger, ii)</w:t>
      </w:r>
      <w:r w:rsidR="00AA48FB">
        <w:t xml:space="preserve"> f</w:t>
      </w:r>
      <w:r w:rsidR="008F0CA4">
        <w:t>orhindre at leger slutter</w:t>
      </w:r>
      <w:r w:rsidR="007B588E">
        <w:t>,</w:t>
      </w:r>
      <w:r>
        <w:t xml:space="preserve"> iii) dele legens oppgaver med flere yrkesgrupper</w:t>
      </w:r>
      <w:r w:rsidR="007B588E">
        <w:t>,</w:t>
      </w:r>
      <w:r>
        <w:t xml:space="preserve"> og </w:t>
      </w:r>
      <w:r w:rsidR="000A6A65">
        <w:t>i</w:t>
      </w:r>
      <w:r w:rsidR="007B588E">
        <w:t>v</w:t>
      </w:r>
      <w:r>
        <w:t>) prioritere bort oppgaver.</w:t>
      </w:r>
    </w:p>
    <w:p w14:paraId="468909D8" w14:textId="3188F923" w:rsidR="00DC6F48" w:rsidRPr="00CF515F" w:rsidRDefault="00DC6F48" w:rsidP="003B10E7">
      <w:pPr>
        <w:pStyle w:val="avsnitt-undertittel"/>
      </w:pPr>
      <w:r w:rsidRPr="00CF515F">
        <w:lastRenderedPageBreak/>
        <w:t>Rekruttere</w:t>
      </w:r>
    </w:p>
    <w:p w14:paraId="24F65FD5" w14:textId="77777777" w:rsidR="00D9107F" w:rsidRDefault="00DC6F48" w:rsidP="00DC6F48">
      <w:pPr>
        <w:jc w:val="both"/>
      </w:pPr>
      <w:r>
        <w:t xml:space="preserve">På kort sikt foreslår ekspertutvalget at antall tilgjengelige leger økes ved at alle leger med gjennomført veiledet praksis </w:t>
      </w:r>
      <w:r w:rsidR="5464C667">
        <w:t xml:space="preserve">etter studiene </w:t>
      </w:r>
      <w:r>
        <w:t xml:space="preserve">(LIS1) skal kunne være fastlegevikar. </w:t>
      </w:r>
      <w:r w:rsidR="007B588E">
        <w:t xml:space="preserve">Samtidig </w:t>
      </w:r>
      <w:r>
        <w:t>mener utvalget at dagens ordning</w:t>
      </w:r>
      <w:r w:rsidR="007B588E">
        <w:t>,</w:t>
      </w:r>
      <w:r>
        <w:t xml:space="preserve"> der leger uten LIS1 kan være fastlegevikar eller jobbe selvstendig på sykehjem, bør opphøre. Disse legene </w:t>
      </w:r>
      <w:r w:rsidR="00750DAA">
        <w:t xml:space="preserve">kan jobbe under supervisjon og veiledning, og bør </w:t>
      </w:r>
      <w:r>
        <w:t>inkluderes i helsetjenesten ved å opprette flere LIS1</w:t>
      </w:r>
      <w:r w:rsidR="7F4EF83F">
        <w:t>-plasser</w:t>
      </w:r>
      <w:r w:rsidR="45177DEB">
        <w:t>.</w:t>
      </w:r>
      <w:r>
        <w:t xml:space="preserve"> Ekspertutvalget foreslår i tillegg at kommunene og sykehusene skal kunne opprette </w:t>
      </w:r>
      <w:r w:rsidR="2B0D9A5B">
        <w:t>LIS1-</w:t>
      </w:r>
      <w:r>
        <w:t>stillinger som de selv finansierer, i stedet for dagens ordning der leger uten LIS1 jobber i kommunene og på sykehusene</w:t>
      </w:r>
      <w:r w:rsidR="45177DEB">
        <w:t>.</w:t>
      </w:r>
    </w:p>
    <w:p w14:paraId="733BA694" w14:textId="6A5DA100" w:rsidR="00DC6F48" w:rsidRDefault="00DC6F48" w:rsidP="00DC6F48">
      <w:pPr>
        <w:jc w:val="both"/>
      </w:pPr>
      <w:r>
        <w:t>Unge leger gir uttrykk for at de ønsker å prøve fastlegeyrket, uten det administrative arbeidet og ansvaret som følger med å starte næringsdrift. Mange sier også at de ønsker å inngå i et større fagmiljø. Ekspertutvalget foreslår derfor at leger under spesialisering i allmennmedisin (ALIS) ikke bare skal kunne betjene sin egen innbyggerliste</w:t>
      </w:r>
      <w:r w:rsidR="007B588E">
        <w:t>,</w:t>
      </w:r>
      <w:r>
        <w:t xml:space="preserve"> som i dag, men at de også skal kunne ansettes i utdanningsstillinger så de kan jobbe med pasienter fra flere fastleger på samme kontor</w:t>
      </w:r>
      <w:r w:rsidR="00005920">
        <w:t xml:space="preserve"> samtidig med fastlegene</w:t>
      </w:r>
      <w:r w:rsidR="00DA7022">
        <w:t>.</w:t>
      </w:r>
      <w:r w:rsidR="00005920">
        <w:t xml:space="preserve"> </w:t>
      </w:r>
      <w:r>
        <w:t>For å øke kontinuiteten og kapasiteten i spesialistutdanningen i allmennmedisin, anbefaler ekspertutvalget oppmykning av kravene i spesialistforskriften knyttet til at veileder må være spesialist i allmennmedisin og til gjennomføring av institusjonstjeneste. Ekspertutvalget anbefaler å fjerne kravet til stillingsprosent ved gjennomføring av to års åpen uselektert allmennpraksis.</w:t>
      </w:r>
    </w:p>
    <w:p w14:paraId="52726CD5" w14:textId="6132414A" w:rsidR="00DC6F48" w:rsidRDefault="00DC6F48" w:rsidP="00DC6F48">
      <w:pPr>
        <w:jc w:val="both"/>
      </w:pPr>
      <w:r>
        <w:t xml:space="preserve">I mange norske kommuner må en lege kjøpe en praksis for å kunne begynne å jobbe som fastlege. Ekspertutvalget mener det hemmer rekrutteringen at man må betale for å begynne å jobbe, og foreslår </w:t>
      </w:r>
      <w:r>
        <w:rPr>
          <w:rFonts w:ascii="Calibri" w:eastAsia="Calibri" w:hAnsi="Calibri" w:cs="Calibri"/>
        </w:rPr>
        <w:t>at det innføres et midlertidig rekrutterings</w:t>
      </w:r>
      <w:r w:rsidR="003518FC">
        <w:rPr>
          <w:rFonts w:ascii="Calibri" w:eastAsia="Calibri" w:hAnsi="Calibri" w:cs="Calibri"/>
        </w:rPr>
        <w:t>tilskudd</w:t>
      </w:r>
      <w:r>
        <w:rPr>
          <w:rFonts w:ascii="Calibri" w:eastAsia="Calibri" w:hAnsi="Calibri" w:cs="Calibri"/>
        </w:rPr>
        <w:t xml:space="preserve"> til fastleger i kommuner med særlige rekrutteringsvansker. </w:t>
      </w:r>
      <w:r>
        <w:t xml:space="preserve">Utvalget foreslår også at reglene for overdragelse av praksiser </w:t>
      </w:r>
      <w:r w:rsidR="008F0CA4">
        <w:t>reguleres</w:t>
      </w:r>
      <w:r>
        <w:t xml:space="preserve">, slik at det ikke er tvil om når kommunen fritt kan sette en ny lege til å betjene </w:t>
      </w:r>
      <w:r w:rsidR="003135FD">
        <w:t>fastlege</w:t>
      </w:r>
      <w:r w:rsidR="00FF445F">
        <w:t>hjemmelen</w:t>
      </w:r>
      <w:r>
        <w:t>.</w:t>
      </w:r>
    </w:p>
    <w:p w14:paraId="0AC604F8" w14:textId="396C8BF8" w:rsidR="00DC6F48" w:rsidRDefault="00DC6F48" w:rsidP="00DC6F48">
      <w:pPr>
        <w:jc w:val="both"/>
        <w:rPr>
          <w:shd w:val="clear" w:color="auto" w:fill="FFFFFF"/>
        </w:rPr>
      </w:pPr>
      <w:r>
        <w:t>For å stimulere til større faglige fellesskap og mer kapasitet til ledelse, foreslår ekspertutvalget at det åpnes for gruppeavtaler</w:t>
      </w:r>
      <w:r w:rsidR="003D53DD">
        <w:t>, i kommunale fastlegekontor og i fastlegeselskap</w:t>
      </w:r>
      <w:r w:rsidR="00FF445F">
        <w:t>.</w:t>
      </w:r>
      <w:r>
        <w:t xml:space="preserve"> </w:t>
      </w:r>
      <w:r w:rsidRPr="00383DB9">
        <w:rPr>
          <w:shd w:val="clear" w:color="auto" w:fill="FFFFFF"/>
        </w:rPr>
        <w:t xml:space="preserve">Dagens </w:t>
      </w:r>
      <w:r>
        <w:rPr>
          <w:shd w:val="clear" w:color="auto" w:fill="FFFFFF"/>
        </w:rPr>
        <w:t>fastlege</w:t>
      </w:r>
      <w:r w:rsidRPr="00383DB9">
        <w:rPr>
          <w:shd w:val="clear" w:color="auto" w:fill="FFFFFF"/>
        </w:rPr>
        <w:t>ordning er basert på enkelt</w:t>
      </w:r>
      <w:r>
        <w:rPr>
          <w:shd w:val="clear" w:color="auto" w:fill="FFFFFF"/>
        </w:rPr>
        <w:t xml:space="preserve">stående </w:t>
      </w:r>
      <w:r w:rsidRPr="00383DB9">
        <w:rPr>
          <w:shd w:val="clear" w:color="auto" w:fill="FFFFFF"/>
        </w:rPr>
        <w:t>praksiser</w:t>
      </w:r>
      <w:r w:rsidR="003135FD">
        <w:rPr>
          <w:shd w:val="clear" w:color="auto" w:fill="FFFFFF"/>
        </w:rPr>
        <w:t>,</w:t>
      </w:r>
      <w:r>
        <w:rPr>
          <w:shd w:val="clear" w:color="auto" w:fill="FFFFFF"/>
        </w:rPr>
        <w:t xml:space="preserve"> </w:t>
      </w:r>
      <w:r w:rsidRPr="00383DB9">
        <w:rPr>
          <w:shd w:val="clear" w:color="auto" w:fill="FFFFFF"/>
        </w:rPr>
        <w:t>d</w:t>
      </w:r>
      <w:r>
        <w:rPr>
          <w:shd w:val="clear" w:color="auto" w:fill="FFFFFF"/>
        </w:rPr>
        <w:t>er hver fastlege har sin egen avtale med kommunen</w:t>
      </w:r>
      <w:r w:rsidRPr="00383DB9">
        <w:rPr>
          <w:shd w:val="clear" w:color="auto" w:fill="FFFFFF"/>
        </w:rPr>
        <w:t xml:space="preserve">, </w:t>
      </w:r>
      <w:r>
        <w:rPr>
          <w:shd w:val="clear" w:color="auto" w:fill="FFFFFF"/>
        </w:rPr>
        <w:t xml:space="preserve">selv om de stadig </w:t>
      </w:r>
      <w:r w:rsidRPr="00383DB9">
        <w:rPr>
          <w:shd w:val="clear" w:color="auto" w:fill="FFFFFF"/>
        </w:rPr>
        <w:t>ofte</w:t>
      </w:r>
      <w:r>
        <w:rPr>
          <w:shd w:val="clear" w:color="auto" w:fill="FFFFFF"/>
        </w:rPr>
        <w:t>re</w:t>
      </w:r>
      <w:r w:rsidRPr="00383DB9">
        <w:rPr>
          <w:shd w:val="clear" w:color="auto" w:fill="FFFFFF"/>
        </w:rPr>
        <w:t xml:space="preserve"> </w:t>
      </w:r>
      <w:r>
        <w:rPr>
          <w:shd w:val="clear" w:color="auto" w:fill="FFFFFF"/>
        </w:rPr>
        <w:t xml:space="preserve">er </w:t>
      </w:r>
      <w:r w:rsidRPr="00383DB9">
        <w:rPr>
          <w:shd w:val="clear" w:color="auto" w:fill="FFFFFF"/>
        </w:rPr>
        <w:t xml:space="preserve">under samme tak i en gruppepraksis. </w:t>
      </w:r>
      <w:r>
        <w:rPr>
          <w:shd w:val="clear" w:color="auto" w:fill="FFFFFF"/>
        </w:rPr>
        <w:t xml:space="preserve">Denne organiseringen innebærer </w:t>
      </w:r>
      <w:r>
        <w:t>stor administrativ ikke-medisinsk aktivitet for legene, og den gjør det – sammen med finansieringsordningen – vanskelig å overføre oppgaver til annet personell.</w:t>
      </w:r>
    </w:p>
    <w:p w14:paraId="67C6198F" w14:textId="77777777" w:rsidR="00D9107F" w:rsidRDefault="00DC6F48" w:rsidP="00DC6F48">
      <w:pPr>
        <w:jc w:val="both"/>
      </w:pPr>
      <w:r w:rsidRPr="00383DB9">
        <w:rPr>
          <w:shd w:val="clear" w:color="auto" w:fill="FFFFFF"/>
        </w:rPr>
        <w:t>Ekspertutvalget mener det er grunn til</w:t>
      </w:r>
      <w:r>
        <w:t xml:space="preserve"> å stille spørsmål ved om dagens organisering i små enheter, der hver lege er ansvarlig for sin egen virksomhet, i tilstrekkelig grad bidrar til å </w:t>
      </w:r>
      <w:r w:rsidR="00D66CA5">
        <w:t>fram</w:t>
      </w:r>
      <w:r w:rsidR="00FF445F">
        <w:t>me</w:t>
      </w:r>
      <w:r>
        <w:t xml:space="preserve"> faglig fellesskap, tverrfaglighet, samhandling, innovasjon og utvikling av tjenestene. Det individuelle utgangspunktet for hvordan fastlegeordningen i dag organiseres, synes å være en barriere for kommunens mulighet til å profesjonalisere ledelsen av fastlegene, og for å tilrettelegge tjenesten slik at den stadig bedre ivaretar innbyggernes behov. Ekspertutvalget </w:t>
      </w:r>
      <w:r w:rsidR="005968C9">
        <w:t>anbefaler</w:t>
      </w:r>
      <w:r>
        <w:t xml:space="preserve"> derfor å åpne for større enheter, </w:t>
      </w:r>
      <w:r w:rsidR="003D53DD">
        <w:t xml:space="preserve">samlet listeansvar, </w:t>
      </w:r>
      <w:r>
        <w:t xml:space="preserve">og </w:t>
      </w:r>
      <w:r w:rsidR="00EA2683">
        <w:t xml:space="preserve">kommunal </w:t>
      </w:r>
      <w:r>
        <w:t xml:space="preserve">avtale med fastlegeselskap, men der hver innbygger akkurat som i dag skal ha en fastlege. En slik </w:t>
      </w:r>
      <w:r>
        <w:lastRenderedPageBreak/>
        <w:t xml:space="preserve">organisering med en klar leder for virksomheten, likner mer på den vi har ellers i kommunal helse- og omsorgstjeneste og i spesialisthelsetjenesten. Den likner også på dagens fastlegetjeneste </w:t>
      </w:r>
      <w:r w:rsidR="009567C6">
        <w:t>ved</w:t>
      </w:r>
      <w:r>
        <w:t xml:space="preserve"> Studentskipnaden i Oslo</w:t>
      </w:r>
      <w:r w:rsidR="003135FD">
        <w:t>,</w:t>
      </w:r>
      <w:r>
        <w:t xml:space="preserve"> og i større grad på fastlegeordningen i Danmark.</w:t>
      </w:r>
    </w:p>
    <w:p w14:paraId="7426A980" w14:textId="77777777" w:rsidR="00D9107F" w:rsidRDefault="00DC6F48" w:rsidP="00DC6F48">
      <w:pPr>
        <w:jc w:val="both"/>
      </w:pPr>
      <w:r>
        <w:t>Ekspertutvalget mener</w:t>
      </w:r>
      <w:r w:rsidR="005A6207">
        <w:t xml:space="preserve"> at</w:t>
      </w:r>
      <w:r>
        <w:t xml:space="preserve"> nærheten til innbyggerne og kommune</w:t>
      </w:r>
      <w:r w:rsidR="003135FD">
        <w:t>n</w:t>
      </w:r>
      <w:r>
        <w:t xml:space="preserve"> fordrer at fastlegeselskap kun skal kunne eies av ideelle organisasjoner, stiftelser, studentsamskipnader eller av en eller flere av legene som jobber der</w:t>
      </w:r>
      <w:r w:rsidR="00817772">
        <w:t>,</w:t>
      </w:r>
      <w:r w:rsidR="003D53DD">
        <w:t xml:space="preserve"> samt av en eller flere kommuner sammen</w:t>
      </w:r>
      <w:r w:rsidR="00817772">
        <w:t>,</w:t>
      </w:r>
      <w:r w:rsidR="003D53DD">
        <w:t xml:space="preserve"> dersom det skulle være ønskelig</w:t>
      </w:r>
      <w:r w:rsidR="00817772">
        <w:t xml:space="preserve"> som alternativ til kommunalt fastlegekontor</w:t>
      </w:r>
      <w:r>
        <w:t>.</w:t>
      </w:r>
      <w:r w:rsidR="00817772">
        <w:t xml:space="preserve"> </w:t>
      </w:r>
      <w:r>
        <w:t xml:space="preserve">Fastlegeselskapet må </w:t>
      </w:r>
      <w:r w:rsidR="003135FD">
        <w:t>inngå</w:t>
      </w:r>
      <w:r>
        <w:t xml:space="preserve"> avtale med kommunen</w:t>
      </w:r>
      <w:r w:rsidR="00817772">
        <w:t xml:space="preserve">, som </w:t>
      </w:r>
      <w:r>
        <w:t xml:space="preserve">også </w:t>
      </w:r>
      <w:r w:rsidR="00817772">
        <w:t xml:space="preserve">kan </w:t>
      </w:r>
      <w:r>
        <w:t xml:space="preserve">inkludere legevakttjenester eller andre allmennlegeoppgaver. Et fastlegeselskap kan knytte til seg </w:t>
      </w:r>
      <w:r w:rsidR="00750DAA">
        <w:t xml:space="preserve">spesialister i allmennmedisin, </w:t>
      </w:r>
      <w:r>
        <w:t>LIS1 og ALIS, enten ved ansettelse eller i næringsdrift. Den klare ledelsesstrukturen vil også gjøre det lettere å inkludere andre profesjoner, som psykologer, fysioterapeuter, sykepleiere eller andre.</w:t>
      </w:r>
    </w:p>
    <w:p w14:paraId="030EABD6" w14:textId="35CF7E22" w:rsidR="00DC6F48" w:rsidRDefault="00DC6F48" w:rsidP="00DC6F48">
      <w:pPr>
        <w:jc w:val="both"/>
      </w:pPr>
      <w:r>
        <w:t>Når det gjelder legevakt, har ekspertutvalget vektlagt sentralisering av legeressurser, desentralisert akuttilbud, og bruk av teknologi og annet personell, for å redusere fastlegens arbeidstid</w:t>
      </w:r>
      <w:r w:rsidR="003135FD">
        <w:t xml:space="preserve"> i legevakt</w:t>
      </w:r>
      <w:r w:rsidR="00FF445F">
        <w:t>.</w:t>
      </w:r>
      <w:r>
        <w:t xml:space="preserve"> Legevaktarbeid kommer i tillegg til fastlegens arbeid på kontoret og eventuelle allmennmedisinske oppgaver i kommunen. Ekspertutvalget </w:t>
      </w:r>
      <w:r w:rsidR="000F6981">
        <w:t>anbefaler</w:t>
      </w:r>
      <w:r>
        <w:t xml:space="preserve"> at det bør etableres rammer for hvor mye legevaktarbeid fastleger kan pålegges. Legevaktarbeid gir stor vaktbelastning for fastleger i distriktene</w:t>
      </w:r>
      <w:r w:rsidR="003135FD">
        <w:t>,</w:t>
      </w:r>
      <w:r>
        <w:t xml:space="preserve"> </w:t>
      </w:r>
      <w:r w:rsidR="00291D70">
        <w:t xml:space="preserve">der </w:t>
      </w:r>
      <w:r>
        <w:t xml:space="preserve">det er få leger i vaktordningen. Kravet til bakvakt i akuttmedisinforskriften øker vaktbelastningen betydelig, og ekspertutvalget anbefaler derfor at LIS1 eller tilsvarende er tilstrekkelig for å ha selvstendig legevakt. </w:t>
      </w:r>
      <w:r w:rsidRPr="7AE3BB63">
        <w:t xml:space="preserve">Ekspertutvalget anbefaler </w:t>
      </w:r>
      <w:r w:rsidR="00096DE6">
        <w:t>at</w:t>
      </w:r>
      <w:r w:rsidRPr="7AE3BB63">
        <w:t xml:space="preserve"> fastlønn </w:t>
      </w:r>
      <w:r w:rsidR="00096DE6" w:rsidRPr="00637FC3">
        <w:rPr>
          <w:bCs/>
        </w:rPr>
        <w:t>bør benyttes mer</w:t>
      </w:r>
      <w:r w:rsidR="00096DE6" w:rsidRPr="00637FC3">
        <w:t xml:space="preserve"> </w:t>
      </w:r>
      <w:r w:rsidRPr="7AE3BB63">
        <w:t xml:space="preserve">for </w:t>
      </w:r>
      <w:r w:rsidR="00096DE6" w:rsidRPr="00637FC3">
        <w:t xml:space="preserve">alt </w:t>
      </w:r>
      <w:r w:rsidRPr="7AE3BB63">
        <w:t>legevaktarbeid.</w:t>
      </w:r>
      <w:r w:rsidR="00CB4C2C">
        <w:t xml:space="preserve"> L</w:t>
      </w:r>
      <w:r w:rsidR="00CB4C2C" w:rsidRPr="00B30AC3">
        <w:rPr>
          <w:bCs/>
        </w:rPr>
        <w:t>ege</w:t>
      </w:r>
      <w:r w:rsidR="00CB4C2C" w:rsidRPr="00637FC3">
        <w:t xml:space="preserve"> i legevakt </w:t>
      </w:r>
      <w:r w:rsidR="00CB4C2C">
        <w:t xml:space="preserve">bør </w:t>
      </w:r>
      <w:r w:rsidR="00CB4C2C" w:rsidRPr="00637FC3">
        <w:t xml:space="preserve">som hovedregel ikke </w:t>
      </w:r>
      <w:r w:rsidR="00CB4C2C" w:rsidRPr="00B30AC3">
        <w:rPr>
          <w:bCs/>
        </w:rPr>
        <w:t xml:space="preserve">måtte </w:t>
      </w:r>
      <w:r w:rsidR="00CB4C2C" w:rsidRPr="00B30AC3">
        <w:rPr>
          <w:rFonts w:cstheme="minorHAnsi"/>
          <w:bCs/>
        </w:rPr>
        <w:t>jobbe</w:t>
      </w:r>
      <w:r w:rsidR="00CB4C2C" w:rsidRPr="00637FC3">
        <w:t xml:space="preserve"> alene på vakt, men </w:t>
      </w:r>
      <w:r w:rsidR="00CB4C2C" w:rsidRPr="00B30AC3">
        <w:rPr>
          <w:rFonts w:cstheme="minorHAnsi"/>
        </w:rPr>
        <w:t>ha</w:t>
      </w:r>
      <w:r w:rsidR="00CB4C2C" w:rsidRPr="00637FC3">
        <w:t xml:space="preserve"> tilgang på annet personell</w:t>
      </w:r>
      <w:r w:rsidR="00CB4C2C" w:rsidRPr="00B30AC3">
        <w:rPr>
          <w:bCs/>
        </w:rPr>
        <w:t xml:space="preserve"> ved behov</w:t>
      </w:r>
      <w:r w:rsidR="00CB4C2C" w:rsidRPr="00637FC3">
        <w:t>.</w:t>
      </w:r>
    </w:p>
    <w:p w14:paraId="11DD45EE" w14:textId="77777777" w:rsidR="00D9107F" w:rsidRDefault="00DC6F48" w:rsidP="00933EC3">
      <w:pPr>
        <w:jc w:val="both"/>
      </w:pPr>
      <w:r>
        <w:t xml:space="preserve">Nyutdannede leger gir utrykk for at de vektlegger rammer rundt </w:t>
      </w:r>
      <w:r w:rsidR="00FF445F">
        <w:t>yrke</w:t>
      </w:r>
      <w:r w:rsidR="003135FD">
        <w:t>sutøvelsen</w:t>
      </w:r>
      <w:r>
        <w:t xml:space="preserve">, som i større grad passer med faste ansettelsesforhold. Ekspertutvalgets anbefalinger knyttet til overdragelse av fastlegepraksis, mulighet for ansettelse i fastlegeselskap og </w:t>
      </w:r>
      <w:r w:rsidR="00FF445F">
        <w:t>kommunal</w:t>
      </w:r>
      <w:r w:rsidR="003135FD">
        <w:t>t</w:t>
      </w:r>
      <w:r>
        <w:t xml:space="preserve"> fastlegekontor, innføring av utdanningsstillinger og økt andel basistilskudd vil gjøre det lettere å ansette fastleger.</w:t>
      </w:r>
    </w:p>
    <w:p w14:paraId="0814552A" w14:textId="77777777" w:rsidR="00D9107F" w:rsidRPr="00D9107F" w:rsidRDefault="00DC6F48" w:rsidP="003B10E7">
      <w:pPr>
        <w:pStyle w:val="avsnitt-undertittel"/>
        <w:rPr>
          <w:rStyle w:val="halvfet"/>
        </w:rPr>
      </w:pPr>
      <w:r w:rsidRPr="00D9107F">
        <w:rPr>
          <w:rStyle w:val="halvfet"/>
        </w:rPr>
        <w:t>Dele oppgaver</w:t>
      </w:r>
    </w:p>
    <w:p w14:paraId="0819455F" w14:textId="77777777" w:rsidR="00D9107F" w:rsidRDefault="00DC6F48" w:rsidP="00DC6F48">
      <w:pPr>
        <w:jc w:val="both"/>
      </w:pPr>
      <w:r>
        <w:t>De siste årene har den største prosentvise legeveksten i Norge kommet i de kommunale helse- og omsorgstjenestene (eksklusive fastlegene</w:t>
      </w:r>
      <w:r w:rsidR="001F219C">
        <w:t>)</w:t>
      </w:r>
      <w:r w:rsidR="3220D950">
        <w:t xml:space="preserve">. Det avlaster fastlegene </w:t>
      </w:r>
      <w:r>
        <w:t xml:space="preserve">når </w:t>
      </w:r>
      <w:r w:rsidR="28D065C0">
        <w:t>det ansettes</w:t>
      </w:r>
      <w:r>
        <w:t xml:space="preserve"> andre </w:t>
      </w:r>
      <w:r w:rsidR="28D065C0">
        <w:t>leger</w:t>
      </w:r>
      <w:r>
        <w:t xml:space="preserve"> i kommunen </w:t>
      </w:r>
      <w:r w:rsidR="28D065C0">
        <w:t>som tar over legevakter,</w:t>
      </w:r>
      <w:r>
        <w:t xml:space="preserve"> sykehjems- og </w:t>
      </w:r>
      <w:r w:rsidR="4177DDF5">
        <w:t>skolehelsetj</w:t>
      </w:r>
      <w:r w:rsidR="12A2DB25">
        <w:t>e</w:t>
      </w:r>
      <w:r w:rsidR="4177DDF5">
        <w:t>nesteoppgaver osv.</w:t>
      </w:r>
      <w:r>
        <w:t xml:space="preserve"> I dag deler fastlegene </w:t>
      </w:r>
      <w:r w:rsidR="2CDBE886">
        <w:t>arbeidet med listepasientene</w:t>
      </w:r>
      <w:r>
        <w:t xml:space="preserve"> med </w:t>
      </w:r>
      <w:r w:rsidR="2CDBE886">
        <w:t xml:space="preserve">LIS1 og </w:t>
      </w:r>
      <w:r>
        <w:t>vikarer</w:t>
      </w:r>
      <w:r w:rsidR="2CDBE886">
        <w:t>, og e</w:t>
      </w:r>
      <w:r w:rsidR="74F4343E">
        <w:t>kspertutvalget</w:t>
      </w:r>
      <w:r>
        <w:t xml:space="preserve"> foreslår at de i tillegg skal kunne dele arbeidet med ALIS</w:t>
      </w:r>
      <w:r w:rsidR="00137E99">
        <w:t>.</w:t>
      </w:r>
      <w:r w:rsidR="000B660A">
        <w:t xml:space="preserve"> </w:t>
      </w:r>
      <w:r>
        <w:t>Noen få gruppepraksiser i Norge har ansatt egen leder. Dette avlaster fastlegene for administrasjon og ledelse, og utvalgets forslag om større enheter og endringer i finansieringen kan også stimulere til denne typen oppgavedeling.</w:t>
      </w:r>
    </w:p>
    <w:p w14:paraId="702CD360" w14:textId="77777777" w:rsidR="00D9107F" w:rsidRDefault="00DC6F48" w:rsidP="00DC6F48">
      <w:pPr>
        <w:jc w:val="both"/>
      </w:pPr>
      <w:r>
        <w:t xml:space="preserve">Ekspertutvalget mener </w:t>
      </w:r>
      <w:r w:rsidR="00EE5A14">
        <w:t xml:space="preserve">det er viktig at allmennlegene jobber i team sammen med </w:t>
      </w:r>
      <w:r>
        <w:t>flere helsepersonellgrupper</w:t>
      </w:r>
      <w:r w:rsidR="00EE5A14">
        <w:t>. Det</w:t>
      </w:r>
      <w:r>
        <w:t xml:space="preserve"> kan avlaste fastlegene og gi effektiv utnyttelse av ressursene. Det </w:t>
      </w:r>
      <w:r>
        <w:lastRenderedPageBreak/>
        <w:t>kan også gi bedre kvalitet i tjenesten</w:t>
      </w:r>
      <w:r w:rsidR="00576658">
        <w:t>,</w:t>
      </w:r>
      <w:r>
        <w:t xml:space="preserve"> ved at økt tverrfaglighet i seg selv gir en merverdi. Dette gjelder innad i fastlegekontoret, men også ved at fastlegetjenesten i større grad integreres og deler på oppgavene med annet helsepersonell i den øvrige kommunale helse- og omsorgstjenesten.</w:t>
      </w:r>
    </w:p>
    <w:p w14:paraId="1B43434F" w14:textId="77777777" w:rsidR="00D9107F" w:rsidRDefault="00DC6F48" w:rsidP="00DC6F48">
      <w:pPr>
        <w:jc w:val="both"/>
      </w:pPr>
      <w:r>
        <w:t xml:space="preserve">Ekspertutvalget </w:t>
      </w:r>
      <w:r w:rsidR="00FB797E">
        <w:t>anbefaler</w:t>
      </w:r>
      <w:r>
        <w:t xml:space="preserve"> derfor at fastlegens mulighet til å delegere oppgaver til annet helsepersonell, som sykepleier og helsesekretær, utvides. Slik delegering innebærer at fastlegen skal kunne kreve egenandel og refusjon som om det var fastlegen selv som hadde utført oppgaven, men delegering innebærer også at fastlegen forblir ansvarlig for kvaliteten på tjenestene. Ekspertutvalget foreslår at også konsultasjoner skal kunne delegeres, slik som i Danmark.</w:t>
      </w:r>
    </w:p>
    <w:p w14:paraId="28CE1556" w14:textId="77777777" w:rsidR="00D9107F" w:rsidRDefault="00DC6F48" w:rsidP="00DC6F48">
      <w:pPr>
        <w:jc w:val="both"/>
      </w:pPr>
      <w:r>
        <w:t xml:space="preserve">I sykehusene er den innsatsstyrte finansieringen avhengig av hvilke tjenester som leveres, ikke av hvilken profesjon som </w:t>
      </w:r>
      <w:r w:rsidR="00576658">
        <w:t>utfører</w:t>
      </w:r>
      <w:r>
        <w:t xml:space="preserve"> dem. Ledelsen og den enkelte helsearbeider har en plikt til å sikre at kvaliteten er forsvarlig. Ekspertutvalget </w:t>
      </w:r>
      <w:r w:rsidR="005B1E32">
        <w:t>anbefaler</w:t>
      </w:r>
      <w:r>
        <w:t xml:space="preserve"> en tilsvarende ordning med profesjonsnøytrale takster i kommunale fastlegekontor med klart ledelsesansvar og i fastlegeselskap. Honoraret bør være det samme</w:t>
      </w:r>
      <w:r w:rsidR="00576658">
        <w:t>,</w:t>
      </w:r>
      <w:r>
        <w:t xml:space="preserve"> uavhengig av hvilken profesjon som utfører oppgaven. I motsetning til delegasjon fra fastlegen, åpner dette også for at virksomheten kan utføre oppgaver som ligger utenfor fastlegens kompetanse, som for eksempel psykologtjenester eller fysioterapi. Med profesjonsnøytrale takster er det heller ikke fastlegen som står ansvarlig for kvaliteten, men virksomhetslederen og den enkelte helsearbeider.</w:t>
      </w:r>
    </w:p>
    <w:p w14:paraId="21B4AA52" w14:textId="7E79FC39" w:rsidR="00DC6F48" w:rsidRPr="00D9107F" w:rsidRDefault="00DC6F48" w:rsidP="003B10E7">
      <w:pPr>
        <w:pStyle w:val="avsnitt-undertittel"/>
        <w:rPr>
          <w:rStyle w:val="halvfet"/>
        </w:rPr>
      </w:pPr>
      <w:r w:rsidRPr="00D9107F">
        <w:rPr>
          <w:rStyle w:val="halvfet"/>
        </w:rPr>
        <w:t>Prioritere</w:t>
      </w:r>
    </w:p>
    <w:p w14:paraId="1FA49EDB" w14:textId="77777777" w:rsidR="00D9107F" w:rsidRPr="008F5AD8" w:rsidRDefault="00DC6F48" w:rsidP="00005920">
      <w:pPr>
        <w:jc w:val="both"/>
        <w:rPr>
          <w:rFonts w:eastAsiaTheme="minorEastAsia"/>
        </w:rPr>
      </w:pPr>
      <w:r w:rsidRPr="00005920">
        <w:t>Det er en fundamental del av fastlegens oppgave å si nei til undersøkelser og henvisninger som er formålsløse</w:t>
      </w:r>
      <w:r w:rsidR="00576658" w:rsidRPr="00005920">
        <w:t>,</w:t>
      </w:r>
      <w:r w:rsidRPr="00005920">
        <w:t xml:space="preserve"> eller som kan påføre pasienten helseskade. I fagmiljøene er det enighet om at underdiagnostikk og underbehandling er et problem, men at overdiagnostikk og overbehandling er et større problem fordi langt flere utsettes for dette. Når flere innbyggere ønsker en konsultasjon med fastlegen enn det fastlegen har kapasitet til, vil det være nødvendig med begrensinger i tilbudet for å sikre likeverdige tjenester. Det er derfor ikke et mål med flest mulig helsetjenester til flest mulig innbyggere</w:t>
      </w:r>
      <w:r w:rsidR="58D6D241">
        <w:t>.</w:t>
      </w:r>
      <w:r w:rsidRPr="00005920">
        <w:t xml:space="preserve"> I dag har næringsdriven</w:t>
      </w:r>
      <w:r w:rsidRPr="008F5AD8">
        <w:rPr>
          <w:rFonts w:eastAsiaTheme="minorEastAsia"/>
        </w:rPr>
        <w:t xml:space="preserve">de fastleger drøyt </w:t>
      </w:r>
      <w:r w:rsidR="2ED6DC74" w:rsidRPr="008F5AD8">
        <w:rPr>
          <w:rFonts w:eastAsiaTheme="minorEastAsia"/>
        </w:rPr>
        <w:t>tre</w:t>
      </w:r>
      <w:r w:rsidRPr="008F5AD8">
        <w:rPr>
          <w:rFonts w:eastAsiaTheme="minorEastAsia"/>
        </w:rPr>
        <w:t xml:space="preserve"> konsultasjoner per listeinnbygger per år, mens fastleger som er ansatt i kommunen har 2,5. Det er ikke lett å vurdere om det ene er bedre enn det andre.</w:t>
      </w:r>
    </w:p>
    <w:p w14:paraId="00C9DB32" w14:textId="05155D30" w:rsidR="00DC6F48" w:rsidRDefault="00DC6F48" w:rsidP="00005920">
      <w:pPr>
        <w:jc w:val="both"/>
      </w:pPr>
      <w:r w:rsidRPr="00005920">
        <w:t xml:space="preserve">Noen av fastlegens oppgaver har liten eller ingen medisinskfaglig begrunnelse. Det gjelder mange attester, og spesielt for sykefravær i videregående skole. Ekspertutvalget mener at fastlegenes medisinske kompetanse er altfor verdifull for samfunnet til at den kan brukes til å løse ikke-medisinske utfordringer for andre sektorer. Det samme gjelder i stor grad </w:t>
      </w:r>
      <w:r w:rsidR="00B11C9F">
        <w:t>også</w:t>
      </w:r>
      <w:r w:rsidRPr="00005920">
        <w:t xml:space="preserve"> for utsteding av </w:t>
      </w:r>
      <w:r w:rsidR="0069523F">
        <w:t>sykmeld</w:t>
      </w:r>
      <w:r w:rsidR="00FA32BF">
        <w:t>ing</w:t>
      </w:r>
      <w:r w:rsidRPr="00005920">
        <w:t xml:space="preserve"> for korttidsfravær i arbeidslivet</w:t>
      </w:r>
      <w:r w:rsidR="00FA32BF">
        <w:t>.</w:t>
      </w:r>
      <w:r w:rsidR="00576658">
        <w:t xml:space="preserve"> </w:t>
      </w:r>
      <w:r w:rsidR="00F40146">
        <w:t>Ekspertu</w:t>
      </w:r>
      <w:r w:rsidRPr="00005920">
        <w:t xml:space="preserve">tvalget vurderer at konsultasjoner knyttet til slike attester kan </w:t>
      </w:r>
      <w:r w:rsidRPr="2F1B866A">
        <w:t>utgjøre så mye som 10 prosent av alle fastlegenes konsultasjoner. Alle innbyggere med helseutfordringer skal selvsagt fortsette å oppsøke lege</w:t>
      </w:r>
      <w:r w:rsidR="00EE5A14">
        <w:t xml:space="preserve"> </w:t>
      </w:r>
      <w:r w:rsidR="00EE5A14">
        <w:lastRenderedPageBreak/>
        <w:t>hvis de har behov for helsehjelp</w:t>
      </w:r>
      <w:r w:rsidRPr="2F1B866A">
        <w:t xml:space="preserve">, men ekspertutvalget </w:t>
      </w:r>
      <w:r w:rsidR="00E8547E">
        <w:t>anbefaler</w:t>
      </w:r>
      <w:r w:rsidRPr="2F1B866A">
        <w:t xml:space="preserve"> at fastlegene skal slutte å utstede </w:t>
      </w:r>
      <w:r w:rsidRPr="16505466">
        <w:t>attester for korttidssykefravær</w:t>
      </w:r>
      <w:r w:rsidRPr="2F1B866A">
        <w:t>.</w:t>
      </w:r>
    </w:p>
    <w:p w14:paraId="00D3B795" w14:textId="77777777" w:rsidR="00D9107F" w:rsidRDefault="00DC6F48" w:rsidP="00DC6F48">
      <w:pPr>
        <w:jc w:val="both"/>
      </w:pPr>
      <w:r>
        <w:t xml:space="preserve">Det er veldokumentert at innretningen på takstene påvirker fastlegenes sammensetning av tjenester. Antall e-konsultasjoner utenfor vanlig arbeidstid har økt mye de siste årene, etter at det ble åpnet for at fastlegene kan ta takst for e-konsultasjon på kveld. Den korte varigheten på e-konsultasjoner tilsier at taksten </w:t>
      </w:r>
      <w:r w:rsidR="00576658">
        <w:t>relativt</w:t>
      </w:r>
      <w:r w:rsidR="00242F0E">
        <w:t xml:space="preserve"> sett er</w:t>
      </w:r>
      <w:r w:rsidR="00576658">
        <w:t xml:space="preserve"> </w:t>
      </w:r>
      <w:r>
        <w:t xml:space="preserve">betydelig høyere enn andre konsultasjonstakster, og mange fastleger jobber langt mer på kveldstid nå enn tidligere. For å redusere forventninger til kveldsarbeid, som utvalget antar er en belastning for mange fastleger, foreslår ekspertutvalget å avvikle </w:t>
      </w:r>
      <w:r w:rsidR="00E44AC0">
        <w:t>kveldstakst for e-konsultasjon for fastleger</w:t>
      </w:r>
      <w:r>
        <w:t xml:space="preserve"> (2aek).</w:t>
      </w:r>
    </w:p>
    <w:p w14:paraId="25B65792" w14:textId="77777777" w:rsidR="00D9107F" w:rsidRDefault="00DC6F48" w:rsidP="00DC6F48">
      <w:pPr>
        <w:jc w:val="both"/>
      </w:pPr>
      <w:r>
        <w:t xml:space="preserve">I dag kan de fleste innbyggere selv bestille time digitalt, og legekontorets mulighet til å gi gode råd og vurdere hastegraden er begrenset. Dette kan gi mange tjenester til innbyggere som aktivt ber om det, men det vil kunne gå på bekostning av tilgangen til fastlegen for pasienter med større behov og som i mindre grad etterspør tjenester selv. Ekspertutvalget mener det er viktig at fastlegene </w:t>
      </w:r>
      <w:r w:rsidR="00D24178">
        <w:t>i større grad gis</w:t>
      </w:r>
      <w:r>
        <w:t xml:space="preserve"> mulighet til å bruke sitt faglige skjønn i prioriteringen av hvor raskt en innbygger får time.</w:t>
      </w:r>
    </w:p>
    <w:p w14:paraId="41351144" w14:textId="77777777" w:rsidR="00D9107F" w:rsidRPr="00D9107F" w:rsidRDefault="00DC6F48" w:rsidP="003B10E7">
      <w:pPr>
        <w:pStyle w:val="avsnitt-undertittel"/>
        <w:rPr>
          <w:rStyle w:val="halvfet"/>
        </w:rPr>
      </w:pPr>
      <w:r w:rsidRPr="00D9107F">
        <w:rPr>
          <w:rStyle w:val="halvfet"/>
        </w:rPr>
        <w:t>Finansieringssystemet</w:t>
      </w:r>
    </w:p>
    <w:p w14:paraId="2E8952F5" w14:textId="5F4A51E8" w:rsidR="00DC6F48" w:rsidRPr="00005920" w:rsidRDefault="00A451CF" w:rsidP="00210EF7">
      <w:pPr>
        <w:keepNext/>
        <w:keepLines/>
        <w:jc w:val="both"/>
      </w:pPr>
      <w:r>
        <w:t>D</w:t>
      </w:r>
      <w:r w:rsidR="00DC6F48" w:rsidRPr="00005920">
        <w:t xml:space="preserve">en aktivitetsbaserte finansieringen </w:t>
      </w:r>
      <w:r>
        <w:t xml:space="preserve">utgjør </w:t>
      </w:r>
      <w:r w:rsidR="00DC6F48" w:rsidRPr="00005920">
        <w:t xml:space="preserve">rundt </w:t>
      </w:r>
      <w:r w:rsidR="0034518A">
        <w:t>70</w:t>
      </w:r>
      <w:r w:rsidR="00DC6F48" w:rsidRPr="00005920">
        <w:t xml:space="preserve"> prosent av praksisinntekten til næringsdrivende fastleger. Den høye aktivitetsfinansieringen har stimulert fastlegene til å yte mange aktiviteter til sine listeinnbyggere, og dermed har de fleste listeinnbyggere med fastlege hatt relativt korte ventetider</w:t>
      </w:r>
      <w:r w:rsidR="0034518A">
        <w:t>.</w:t>
      </w:r>
    </w:p>
    <w:p w14:paraId="6B5F163F" w14:textId="77777777" w:rsidR="00D9107F" w:rsidRDefault="00DC6F48" w:rsidP="00005920">
      <w:pPr>
        <w:jc w:val="both"/>
      </w:pPr>
      <w:r w:rsidRPr="00005920">
        <w:t xml:space="preserve">I dag er det mangel på listekapasitet. For å stimulere fastlegene mer til å ta listeansvar anbefaler flertallet i </w:t>
      </w:r>
      <w:r w:rsidR="00120611">
        <w:t>ekspert</w:t>
      </w:r>
      <w:r w:rsidRPr="00005920">
        <w:t xml:space="preserve">utvalget at det årlige tilskuddet per listepasient (basistilskuddet) utgjør en større andel av den totale inntekten for fastlegene. Etter flertallets syn er det ikke klart at en vridning mot mer basistilskudd reduserer aktiviteten, men i tråd med litteraturen forventes sammensetningen av aktiviteten derimot å være annerledes. Med høyere andel basistilskudd i finansieringen, belønnes fastlegene mindre for å yte en ekstra tjeneste til sine listeinnbyggere, men de belønnes mer for å øke antall listeinnbyggere. Medisinskfaglige normer for aktivitet vil da i større grad kunne påvirke legens valg. En økning av basistilskuddet vil også gjøre det mindre kostbart for fastlegene – i form av tapt takstaktivitet – å bruke tid på å utvikle sin praksis til </w:t>
      </w:r>
      <w:r w:rsidR="00A621F6">
        <w:t xml:space="preserve">det </w:t>
      </w:r>
      <w:r w:rsidRPr="00005920">
        <w:t>beste for innbyggerne.</w:t>
      </w:r>
    </w:p>
    <w:p w14:paraId="2F00D86A" w14:textId="77777777" w:rsidR="00D9107F" w:rsidRDefault="00DC6F48" w:rsidP="00005920">
      <w:pPr>
        <w:jc w:val="both"/>
      </w:pPr>
      <w:r w:rsidRPr="00005920">
        <w:t xml:space="preserve">Flertallet anser det dessuten som nødvendig med høyere andel basistilskudd og tilhørende lavere takster, for å kunne innføre mange av tiltakene </w:t>
      </w:r>
      <w:r w:rsidR="00A621F6">
        <w:t>ekspert</w:t>
      </w:r>
      <w:r w:rsidRPr="00005920">
        <w:t xml:space="preserve">utvalget foreslår for å redusere arbeidsbelastningen </w:t>
      </w:r>
      <w:r w:rsidR="00063CAD">
        <w:t>for</w:t>
      </w:r>
      <w:r w:rsidRPr="00005920">
        <w:t xml:space="preserve"> fastlegene. Det gjelder særlig dersom fastlegene skal kunne dele listeansvaret med ALIS eller annet helsepersonell.</w:t>
      </w:r>
      <w:r>
        <w:t xml:space="preserve"> </w:t>
      </w:r>
      <w:r w:rsidRPr="00005920">
        <w:t xml:space="preserve">Mer basistilskudd gjør at en økning i listelengden i større grad vil gi fastlegene en sikker inntekt som kan finansiere annet helsepersonell. Det vil legge bedre til rette for at det er medisinskfaglige vurderinger, og ikke </w:t>
      </w:r>
      <w:r w:rsidRPr="00005920">
        <w:lastRenderedPageBreak/>
        <w:t>økonomiske insentiver, som styrer aktiviteten. Det vil også kunne legge til rette for innovasjon og utvikling av tjenesten, og bidra til mer kostnadskontroll ved innføring av profesjonsnøytrale takster og åpning for delegasjon.</w:t>
      </w:r>
    </w:p>
    <w:p w14:paraId="6757AEB8" w14:textId="77777777" w:rsidR="00D9107F" w:rsidRDefault="00DC6F48" w:rsidP="00DC6F48">
      <w:pPr>
        <w:jc w:val="both"/>
      </w:pPr>
      <w:r>
        <w:t xml:space="preserve">Med høyere andel basistilskudd, øker behovet for å justere det etter kjennetegn </w:t>
      </w:r>
      <w:r w:rsidR="00576658">
        <w:t>v</w:t>
      </w:r>
      <w:r>
        <w:t xml:space="preserve">ed listeinnbyggerne. På sikt bør en videreutvikling av modellen for </w:t>
      </w:r>
      <w:r w:rsidRPr="0072564C">
        <w:t>det pasientjusterte tilskuddet rettes mot indikatorer for sykdom, helsetilstand og sosioøkonomisk status på individnivå</w:t>
      </w:r>
      <w:r>
        <w:t xml:space="preserve">. </w:t>
      </w:r>
      <w:r w:rsidRPr="00005920">
        <w:t xml:space="preserve">Ekspertutvalgets flertall anbefaler også at det bør innføres en ytterligere differensiering av basistilskuddet etter kvalitetsindikatorer. Som et første steg i denne retning, foreslår </w:t>
      </w:r>
      <w:r w:rsidR="00582877">
        <w:t>ekspert</w:t>
      </w:r>
      <w:r w:rsidRPr="00005920">
        <w:t>utvalget at basistilskuddet er høyere for spesialister i allmennmedisin.</w:t>
      </w:r>
    </w:p>
    <w:p w14:paraId="617A2650" w14:textId="4E7B32C6" w:rsidR="00DC6F48" w:rsidRDefault="00DC6F48" w:rsidP="00005920">
      <w:pPr>
        <w:jc w:val="both"/>
      </w:pPr>
      <w:r>
        <w:t>Et mindretall er uenig i argumentene og begrunnelsen for endring i fordelingen mellom andelen basistilskudd og takster. Mindretallet legger vekt på å vedlikeholde tilstrekkelig kapasitet for å sikre god tilgjengelighet og oppfølging fra fastlegen.</w:t>
      </w:r>
    </w:p>
    <w:p w14:paraId="261CA37B" w14:textId="77777777" w:rsidR="00DC6F48" w:rsidRPr="00D9107F" w:rsidRDefault="00DC6F48" w:rsidP="003B10E7">
      <w:pPr>
        <w:pStyle w:val="avsnitt-undertittel"/>
        <w:rPr>
          <w:rStyle w:val="halvfet"/>
        </w:rPr>
      </w:pPr>
      <w:r w:rsidRPr="00D9107F">
        <w:rPr>
          <w:rStyle w:val="halvfet"/>
        </w:rPr>
        <w:t>Klarere ansvar</w:t>
      </w:r>
    </w:p>
    <w:p w14:paraId="2B933515" w14:textId="77777777" w:rsidR="00D9107F" w:rsidRDefault="00DC6F48" w:rsidP="00DC6F48">
      <w:pPr>
        <w:jc w:val="both"/>
      </w:pPr>
      <w:r w:rsidRPr="00336962">
        <w:t>Kommunen har i dag sørge-for-ansvaret for fastlegetjenesten, mens finansieringsansvaret ligger hos staten. I tillegg til ansvarsdelingen mellom kommunen og staten, er sentrale elementer i ordningen avhengig av enighet i forhandlinger med Legeforeningen, hvilket bidrar til god forankring</w:t>
      </w:r>
      <w:r w:rsidR="00CA6BA4">
        <w:t>.</w:t>
      </w:r>
    </w:p>
    <w:p w14:paraId="3CF74A5D" w14:textId="77777777" w:rsidR="00D9107F" w:rsidRDefault="00DC6F48" w:rsidP="00DC6F48">
      <w:pPr>
        <w:jc w:val="both"/>
      </w:pPr>
      <w:r w:rsidRPr="00336962">
        <w:t xml:space="preserve">Sett i lys av behovet for endring i tjenesten, mer tverrfaglig og koordinert arbeid, og mer omfattende og helhetlig styring og ledelse, </w:t>
      </w:r>
      <w:r>
        <w:t xml:space="preserve">anbefaler </w:t>
      </w:r>
      <w:r w:rsidRPr="00336962">
        <w:t xml:space="preserve">ekspertutvalget </w:t>
      </w:r>
      <w:r>
        <w:t>at en eventuell overføring av finansieringsansvaret for fastlegeordningen til kommunene utredes nærmere.</w:t>
      </w:r>
    </w:p>
    <w:p w14:paraId="1469C053" w14:textId="77777777" w:rsidR="00D9107F" w:rsidRPr="00D9107F" w:rsidRDefault="00DC6F48" w:rsidP="003B10E7">
      <w:pPr>
        <w:pStyle w:val="avsnitt-undertittel"/>
        <w:rPr>
          <w:rStyle w:val="halvfet"/>
        </w:rPr>
      </w:pPr>
      <w:r w:rsidRPr="00D9107F">
        <w:rPr>
          <w:rStyle w:val="halvfet"/>
        </w:rPr>
        <w:t>Mer innovasjon og forskning</w:t>
      </w:r>
    </w:p>
    <w:p w14:paraId="09E9D606" w14:textId="77777777" w:rsidR="00D9107F" w:rsidRDefault="00DC6F48" w:rsidP="00DC6F48">
      <w:pPr>
        <w:jc w:val="both"/>
      </w:pPr>
      <w:r w:rsidDel="00462845">
        <w:t>Mangel på helhetlig styring og f</w:t>
      </w:r>
      <w:r>
        <w:t>ragmentert organisering utgjør en barriere for felles implementering av teknologi i helsevesenet. Ekspertutvalget anbefaler at</w:t>
      </w:r>
      <w:r w:rsidDel="00571D49">
        <w:t xml:space="preserve"> </w:t>
      </w:r>
      <w:r>
        <w:t>staten i det videre bør</w:t>
      </w:r>
      <w:r w:rsidRPr="318E4E98">
        <w:t xml:space="preserve"> </w:t>
      </w:r>
      <w:r>
        <w:t xml:space="preserve">ha en førende og tydelig </w:t>
      </w:r>
      <w:r w:rsidRPr="318E4E98">
        <w:t xml:space="preserve">rolle </w:t>
      </w:r>
      <w:r>
        <w:t xml:space="preserve">i digitalisering av helsetjenester, i kompaniskap med KS/kommunene og </w:t>
      </w:r>
      <w:r w:rsidRPr="318E4E98">
        <w:t>private leverandører.</w:t>
      </w:r>
    </w:p>
    <w:p w14:paraId="09E7D3C2" w14:textId="77777777" w:rsidR="00D9107F" w:rsidRDefault="00DC6F48" w:rsidP="00DC6F48">
      <w:pPr>
        <w:jc w:val="both"/>
        <w:rPr>
          <w:color w:val="000000"/>
          <w:shd w:val="clear" w:color="auto" w:fill="FFFFFF"/>
        </w:rPr>
      </w:pPr>
      <w:r>
        <w:t xml:space="preserve">Ved at </w:t>
      </w:r>
      <w:r w:rsidRPr="00FF70EA">
        <w:t>innbyggerne selv finne</w:t>
      </w:r>
      <w:r>
        <w:t>r</w:t>
      </w:r>
      <w:r w:rsidRPr="00FF70EA">
        <w:t xml:space="preserve"> god </w:t>
      </w:r>
      <w:r>
        <w:t xml:space="preserve">og oppdatert </w:t>
      </w:r>
      <w:r w:rsidRPr="00FF70EA">
        <w:t xml:space="preserve">informasjon om symptomer, sykdommer og veiledende informasjon </w:t>
      </w:r>
      <w:r>
        <w:t xml:space="preserve">kan </w:t>
      </w:r>
      <w:r w:rsidRPr="00FF70EA">
        <w:t>behovet for konsultasjon</w:t>
      </w:r>
      <w:r>
        <w:t>er hos fastlegen reduseres</w:t>
      </w:r>
      <w:r w:rsidRPr="00FF70EA">
        <w:t>.</w:t>
      </w:r>
      <w:r>
        <w:t xml:space="preserve"> Ekspertutvalget anbefaler at det utvikles en statlig nettside, som kan gi helseråd til befolkningen. Det kan vurderes om et slikt lavterskeltilbud også bør bygges ut med e</w:t>
      </w:r>
      <w:r w:rsidRPr="6295B49C">
        <w:rPr>
          <w:color w:val="000000"/>
          <w:shd w:val="clear" w:color="auto" w:fill="FFFFFF"/>
        </w:rPr>
        <w:t>n døgnåpen allmennmedisinsk chat</w:t>
      </w:r>
      <w:r>
        <w:rPr>
          <w:color w:val="000000"/>
          <w:shd w:val="clear" w:color="auto" w:fill="FFFFFF"/>
        </w:rPr>
        <w:t>-,</w:t>
      </w:r>
      <w:r w:rsidRPr="6295B49C">
        <w:rPr>
          <w:color w:val="000000"/>
          <w:shd w:val="clear" w:color="auto" w:fill="FFFFFF"/>
        </w:rPr>
        <w:t xml:space="preserve"> telefon- </w:t>
      </w:r>
      <w:r w:rsidR="00563491">
        <w:rPr>
          <w:color w:val="000000"/>
          <w:shd w:val="clear" w:color="auto" w:fill="FFFFFF"/>
        </w:rPr>
        <w:t>og/</w:t>
      </w:r>
      <w:r w:rsidRPr="6295B49C">
        <w:rPr>
          <w:color w:val="000000"/>
          <w:shd w:val="clear" w:color="auto" w:fill="FFFFFF"/>
        </w:rPr>
        <w:t>eller video-konsultasjonstjeneste.</w:t>
      </w:r>
    </w:p>
    <w:p w14:paraId="0B7366CA" w14:textId="6AC45B1A" w:rsidR="00D9107F" w:rsidRDefault="00DC6F48" w:rsidP="00DC6F48">
      <w:pPr>
        <w:jc w:val="both"/>
      </w:pPr>
      <w:r>
        <w:t>Ekspertutvalget mener det er behov for mer forskning på allmennlegetjenestene og i allmennmedisin.</w:t>
      </w:r>
      <w:r w:rsidRPr="318E4E98">
        <w:rPr>
          <w:rFonts w:ascii="Calibri" w:eastAsia="Calibri" w:hAnsi="Calibri" w:cs="Calibri"/>
        </w:rPr>
        <w:t xml:space="preserve"> </w:t>
      </w:r>
      <w:r w:rsidRPr="00B94672">
        <w:t xml:space="preserve">Datagrunnlaget </w:t>
      </w:r>
      <w:r>
        <w:t xml:space="preserve">bør forbedres, </w:t>
      </w:r>
      <w:r w:rsidRPr="00B94672">
        <w:t xml:space="preserve">både for å </w:t>
      </w:r>
      <w:r>
        <w:t xml:space="preserve">styrke </w:t>
      </w:r>
      <w:r w:rsidRPr="00B94672">
        <w:t>planleg</w:t>
      </w:r>
      <w:r>
        <w:t xml:space="preserve">ging og </w:t>
      </w:r>
      <w:r w:rsidRPr="00B94672">
        <w:t>beredskap</w:t>
      </w:r>
      <w:r>
        <w:t xml:space="preserve">, og for raskere å </w:t>
      </w:r>
      <w:r w:rsidRPr="00B94672">
        <w:t xml:space="preserve">kunne vurdere situasjoner </w:t>
      </w:r>
      <w:r>
        <w:t xml:space="preserve">knyttet til </w:t>
      </w:r>
      <w:r w:rsidRPr="00B94672">
        <w:t xml:space="preserve">mangler </w:t>
      </w:r>
      <w:r>
        <w:t xml:space="preserve">ved </w:t>
      </w:r>
      <w:r w:rsidRPr="00B94672">
        <w:t xml:space="preserve">fastlegeordningen </w:t>
      </w:r>
      <w:r>
        <w:t xml:space="preserve">og iverksette treffende </w:t>
      </w:r>
      <w:r w:rsidRPr="00B94672">
        <w:t>tiltak</w:t>
      </w:r>
      <w:r>
        <w:t>. Ekspertutvalget anbefaler at staten bidrar med stabile, tilstrekkelige og uavhengige finansieringskilder for å sikre god kunnskap på lang sikt.</w:t>
      </w:r>
    </w:p>
    <w:p w14:paraId="318607B0" w14:textId="33ACE900" w:rsidR="00DC6F48" w:rsidRPr="006D0CD7" w:rsidRDefault="007D0788" w:rsidP="00DC6F48">
      <w:pPr>
        <w:jc w:val="both"/>
      </w:pPr>
      <w:r>
        <w:rPr>
          <w:noProof/>
        </w:rPr>
        <w:lastRenderedPageBreak/>
        <w:drawing>
          <wp:inline distT="0" distB="0" distL="0" distR="0" wp14:anchorId="027829B5" wp14:editId="6932386A">
            <wp:extent cx="5656441" cy="3165230"/>
            <wp:effectExtent l="0" t="0" r="0" b="0"/>
            <wp:docPr id="29" name="Picture 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10;&#10;Automatisk generert beskrivelse"/>
                    <pic:cNvPicPr/>
                  </pic:nvPicPr>
                  <pic:blipFill rotWithShape="1">
                    <a:blip r:embed="rId16" cstate="print">
                      <a:extLst>
                        <a:ext uri="{28A0092B-C50C-407E-A947-70E740481C1C}">
                          <a14:useLocalDpi xmlns:a14="http://schemas.microsoft.com/office/drawing/2010/main" val="0"/>
                        </a:ext>
                      </a:extLst>
                    </a:blip>
                    <a:srcRect t="14157" r="-847" b="45950"/>
                    <a:stretch/>
                  </pic:blipFill>
                  <pic:spPr bwMode="auto">
                    <a:xfrm>
                      <a:off x="0" y="0"/>
                      <a:ext cx="5683783" cy="3180530"/>
                    </a:xfrm>
                    <a:prstGeom prst="rect">
                      <a:avLst/>
                    </a:prstGeom>
                    <a:ln>
                      <a:noFill/>
                    </a:ln>
                    <a:extLst>
                      <a:ext uri="{53640926-AAD7-44D8-BBD7-CCE9431645EC}">
                        <a14:shadowObscured xmlns:a14="http://schemas.microsoft.com/office/drawing/2010/main"/>
                      </a:ext>
                    </a:extLst>
                  </pic:spPr>
                </pic:pic>
              </a:graphicData>
            </a:graphic>
          </wp:inline>
        </w:drawing>
      </w:r>
    </w:p>
    <w:p w14:paraId="25D8B3D4" w14:textId="6194AF28" w:rsidR="007E2EDE" w:rsidRPr="0072637E" w:rsidRDefault="09D9D10C" w:rsidP="00775632">
      <w:pPr>
        <w:pStyle w:val="Overskrift1"/>
      </w:pPr>
      <w:bookmarkStart w:id="5" w:name="_Toc131062066"/>
      <w:bookmarkStart w:id="6" w:name="_Toc131062320"/>
      <w:bookmarkStart w:id="7" w:name="_Toc131062581"/>
      <w:bookmarkStart w:id="8" w:name="_Toc131062834"/>
      <w:bookmarkStart w:id="9" w:name="_Toc131063602"/>
      <w:bookmarkStart w:id="10" w:name="_Toc131064022"/>
      <w:bookmarkStart w:id="11" w:name="_Toc131238266"/>
      <w:bookmarkStart w:id="12" w:name="_Toc131286706"/>
      <w:bookmarkStart w:id="13" w:name="_Toc131281116"/>
      <w:bookmarkStart w:id="14" w:name="_Toc131317656"/>
      <w:bookmarkStart w:id="15" w:name="_Toc132536880"/>
      <w:bookmarkStart w:id="16" w:name="_Toc119610168"/>
      <w:r w:rsidRPr="0072637E">
        <w:t>Om ekspertu</w:t>
      </w:r>
      <w:r w:rsidR="61163A62" w:rsidRPr="0072637E">
        <w:t>tvalget, mandat og arbeidsfo</w:t>
      </w:r>
      <w:r w:rsidR="00304948" w:rsidRPr="0072637E">
        <w:t>r</w:t>
      </w:r>
      <w:r w:rsidR="003A3B7C" w:rsidRPr="0072637E">
        <w:t>m</w:t>
      </w:r>
      <w:bookmarkStart w:id="17" w:name="_Toc120526241"/>
      <w:bookmarkStart w:id="18" w:name="_Toc126834317"/>
      <w:bookmarkStart w:id="19" w:name="_Toc127633148"/>
      <w:bookmarkStart w:id="20" w:name="_Toc127864439"/>
      <w:bookmarkStart w:id="21" w:name="_Toc128032487"/>
      <w:bookmarkStart w:id="22" w:name="_Toc128238469"/>
      <w:bookmarkStart w:id="23" w:name="_Toc128741950"/>
      <w:bookmarkStart w:id="24" w:name="_Toc128744545"/>
      <w:bookmarkStart w:id="25" w:name="_Toc128744764"/>
      <w:bookmarkStart w:id="26" w:name="_Toc129630253"/>
      <w:bookmarkStart w:id="27" w:name="_Toc130763756"/>
      <w:bookmarkStart w:id="28" w:name="_Toc130766642"/>
      <w:bookmarkStart w:id="29" w:name="_Toc130932045"/>
      <w:bookmarkStart w:id="30" w:name="_Toc130934336"/>
      <w:bookmarkStart w:id="31" w:name="_Toc130983388"/>
      <w:bookmarkStart w:id="32" w:name="_Toc130983737"/>
      <w:bookmarkEnd w:id="1"/>
      <w:bookmarkEnd w:id="5"/>
      <w:bookmarkEnd w:id="6"/>
      <w:bookmarkEnd w:id="7"/>
      <w:bookmarkEnd w:id="8"/>
      <w:bookmarkEnd w:id="9"/>
      <w:bookmarkEnd w:id="10"/>
      <w:bookmarkEnd w:id="11"/>
      <w:bookmarkEnd w:id="12"/>
      <w:bookmarkEnd w:id="13"/>
      <w:bookmarkEnd w:id="14"/>
      <w:bookmarkEnd w:id="15"/>
    </w:p>
    <w:p w14:paraId="578D71F9" w14:textId="4FF666C5" w:rsidR="00DF31CA" w:rsidRPr="0072637E" w:rsidRDefault="006B232A" w:rsidP="00775632">
      <w:pPr>
        <w:pStyle w:val="Overskrift2"/>
      </w:pPr>
      <w:bookmarkStart w:id="33" w:name="_Toc131062067"/>
      <w:bookmarkStart w:id="34" w:name="_Toc131062321"/>
      <w:bookmarkStart w:id="35" w:name="_Toc131062582"/>
      <w:bookmarkStart w:id="36" w:name="_Toc131062835"/>
      <w:bookmarkStart w:id="37" w:name="_Toc131063603"/>
      <w:bookmarkStart w:id="38" w:name="_Toc131064023"/>
      <w:bookmarkStart w:id="39" w:name="_Toc131238267"/>
      <w:bookmarkStart w:id="40" w:name="_Toc131279295"/>
      <w:bookmarkStart w:id="41" w:name="_Toc131286707"/>
      <w:bookmarkStart w:id="42" w:name="_Toc131281117"/>
      <w:bookmarkStart w:id="43" w:name="_Toc131317657"/>
      <w:bookmarkStart w:id="44" w:name="_Toc132536881"/>
      <w:r w:rsidRPr="0072637E">
        <w:t>Ekspertutvalgets sammensetning og rol</w:t>
      </w:r>
      <w:r w:rsidR="0098453E" w:rsidRPr="0072637E">
        <w:t>l</w:t>
      </w:r>
      <w:r w:rsidR="001A3C23" w:rsidRPr="0072637E">
        <w:t>e</w:t>
      </w:r>
      <w:bookmarkEnd w:id="33"/>
      <w:bookmarkEnd w:id="34"/>
      <w:bookmarkEnd w:id="35"/>
      <w:bookmarkEnd w:id="36"/>
      <w:bookmarkEnd w:id="37"/>
      <w:bookmarkEnd w:id="38"/>
      <w:bookmarkEnd w:id="39"/>
      <w:bookmarkEnd w:id="40"/>
      <w:bookmarkEnd w:id="41"/>
      <w:bookmarkEnd w:id="42"/>
      <w:bookmarkEnd w:id="43"/>
      <w:bookmarkEnd w:id="44"/>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2410813C" w14:textId="77777777" w:rsidR="00D9107F" w:rsidRDefault="002A5D87" w:rsidP="00505004">
      <w:pPr>
        <w:rPr>
          <w:rFonts w:eastAsiaTheme="minorEastAsia"/>
        </w:rPr>
      </w:pPr>
      <w:r w:rsidRPr="00210EF7">
        <w:t xml:space="preserve">Regjeringen nedsatte 11. august 2022 Ekspertutvalget for gjennomgang av allmennlegetjenesten. </w:t>
      </w:r>
      <w:r w:rsidR="745589D5" w:rsidRPr="5B2DD943">
        <w:rPr>
          <w:rFonts w:eastAsiaTheme="minorEastAsia"/>
        </w:rPr>
        <w:t>Medlemme</w:t>
      </w:r>
      <w:r w:rsidR="28D52448" w:rsidRPr="5B2DD943">
        <w:rPr>
          <w:rFonts w:eastAsiaTheme="minorEastAsia"/>
        </w:rPr>
        <w:t>ne</w:t>
      </w:r>
      <w:r w:rsidR="006B232A" w:rsidRPr="62A0B22D">
        <w:rPr>
          <w:rFonts w:eastAsiaTheme="minorEastAsia"/>
        </w:rPr>
        <w:t xml:space="preserve"> i ekspertutvalget er alle likestilte og uavhengige</w:t>
      </w:r>
      <w:r w:rsidR="619E1C88" w:rsidRPr="5B2DD943">
        <w:rPr>
          <w:rFonts w:eastAsiaTheme="minorEastAsia"/>
        </w:rPr>
        <w:t>,</w:t>
      </w:r>
      <w:r w:rsidR="006B232A" w:rsidRPr="62A0B22D">
        <w:rPr>
          <w:rFonts w:eastAsiaTheme="minorEastAsia"/>
        </w:rPr>
        <w:t xml:space="preserve"> og utvalget er selvstendig i sitt arbeid.</w:t>
      </w:r>
    </w:p>
    <w:p w14:paraId="6C07823D" w14:textId="1D0F92D1" w:rsidR="00E47AC2" w:rsidRPr="00DD4051" w:rsidRDefault="00E47AC2" w:rsidP="00775632">
      <w:pPr>
        <w:pStyle w:val="tabell-tittel"/>
      </w:pPr>
      <w:r w:rsidRPr="00DD4051">
        <w:t>Eksp</w:t>
      </w:r>
      <w:r w:rsidR="00BB43F8" w:rsidRPr="00DD4051">
        <w:t>e</w:t>
      </w:r>
      <w:r w:rsidRPr="00DD4051">
        <w:t>rtutvalgets medlemmer</w:t>
      </w:r>
    </w:p>
    <w:tbl>
      <w:tblPr>
        <w:tblStyle w:val="EUTabellstil"/>
        <w:tblW w:w="0" w:type="auto"/>
        <w:tblLook w:val="04A0" w:firstRow="1" w:lastRow="0" w:firstColumn="1" w:lastColumn="0" w:noHBand="0" w:noVBand="1"/>
      </w:tblPr>
      <w:tblGrid>
        <w:gridCol w:w="2098"/>
        <w:gridCol w:w="992"/>
        <w:gridCol w:w="6646"/>
      </w:tblGrid>
      <w:tr w:rsidR="009E598D" w:rsidRPr="00DF748C" w14:paraId="0E7A1FC0" w14:textId="77777777" w:rsidTr="00210EF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tcBorders>
              <w:bottom w:val="single" w:sz="24" w:space="0" w:color="2A3652"/>
            </w:tcBorders>
            <w:shd w:val="clear" w:color="auto" w:fill="A9D6B9"/>
            <w:noWrap/>
          </w:tcPr>
          <w:p w14:paraId="771C549E" w14:textId="77777777" w:rsidR="00027BED" w:rsidRPr="00D9107F" w:rsidRDefault="00027BED" w:rsidP="0088005B">
            <w:pPr>
              <w:pStyle w:val="TabellHode-kolonne"/>
              <w:rPr>
                <w:rStyle w:val="halvfet"/>
              </w:rPr>
            </w:pPr>
            <w:r w:rsidRPr="00D9107F">
              <w:rPr>
                <w:rStyle w:val="halvfet"/>
              </w:rPr>
              <w:t>Navn</w:t>
            </w:r>
          </w:p>
        </w:tc>
        <w:tc>
          <w:tcPr>
            <w:tcW w:w="990" w:type="dxa"/>
            <w:tcBorders>
              <w:bottom w:val="single" w:sz="24" w:space="0" w:color="2A3652"/>
            </w:tcBorders>
            <w:shd w:val="clear" w:color="auto" w:fill="A9D6B9"/>
            <w:noWrap/>
          </w:tcPr>
          <w:p w14:paraId="14E73859" w14:textId="77777777" w:rsidR="00027BED" w:rsidRPr="00D9107F" w:rsidRDefault="00027BED" w:rsidP="0088005B">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Funksjon</w:t>
            </w:r>
          </w:p>
        </w:tc>
        <w:tc>
          <w:tcPr>
            <w:tcW w:w="0" w:type="auto"/>
            <w:tcBorders>
              <w:bottom w:val="single" w:sz="24" w:space="0" w:color="2A3652"/>
            </w:tcBorders>
            <w:shd w:val="clear" w:color="auto" w:fill="A9D6B9"/>
            <w:noWrap/>
          </w:tcPr>
          <w:p w14:paraId="37A34AD2" w14:textId="3BFC3D39" w:rsidR="00027BED" w:rsidRPr="00D9107F" w:rsidRDefault="00027BED" w:rsidP="0088005B">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Stilling</w:t>
            </w:r>
          </w:p>
        </w:tc>
      </w:tr>
      <w:tr w:rsidR="00027BED" w:rsidRPr="00DF748C" w14:paraId="3ED03025"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24" w:space="0" w:color="2A3652"/>
            </w:tcBorders>
            <w:noWrap/>
          </w:tcPr>
          <w:p w14:paraId="7E20CAD5" w14:textId="77777777" w:rsidR="00027BED" w:rsidRPr="00987B20" w:rsidRDefault="00027BED" w:rsidP="0088005B">
            <w:pPr>
              <w:pStyle w:val="TabellHode-rad"/>
            </w:pPr>
            <w:r w:rsidRPr="00C711A4">
              <w:t>Kjetil Telle</w:t>
            </w:r>
          </w:p>
        </w:tc>
        <w:tc>
          <w:tcPr>
            <w:tcW w:w="990" w:type="dxa"/>
            <w:tcBorders>
              <w:top w:val="single" w:sz="24" w:space="0" w:color="2A3652"/>
            </w:tcBorders>
            <w:noWrap/>
          </w:tcPr>
          <w:p w14:paraId="4B125586"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Leder</w:t>
            </w:r>
          </w:p>
        </w:tc>
        <w:tc>
          <w:tcPr>
            <w:tcW w:w="0" w:type="auto"/>
            <w:tcBorders>
              <w:top w:val="single" w:sz="24" w:space="0" w:color="2A3652"/>
            </w:tcBorders>
            <w:noWrap/>
          </w:tcPr>
          <w:p w14:paraId="1967D12B"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Fagdirektør for helsetjenesteforskning ved Folkehelseinstituttet (FHI)</w:t>
            </w:r>
          </w:p>
        </w:tc>
      </w:tr>
      <w:tr w:rsidR="00027BED" w:rsidRPr="00DF748C" w14:paraId="290C7F27"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53D3C6E5" w14:textId="77777777" w:rsidR="00027BED" w:rsidRPr="00987B20" w:rsidRDefault="00027BED" w:rsidP="0088005B">
            <w:pPr>
              <w:pStyle w:val="TabellHode-rad"/>
            </w:pPr>
            <w:r w:rsidRPr="00C711A4">
              <w:t>Birgit Abelsen</w:t>
            </w:r>
          </w:p>
        </w:tc>
        <w:tc>
          <w:tcPr>
            <w:tcW w:w="990" w:type="dxa"/>
            <w:noWrap/>
          </w:tcPr>
          <w:p w14:paraId="7E8215A8"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5F85BF65" w14:textId="77777777" w:rsidR="00027BED" w:rsidRPr="00672E58" w:rsidRDefault="00027BED" w:rsidP="0088005B">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Professor i helsetjenesteforskning ved Nasjonalt senter for distriktsmedisin</w:t>
            </w:r>
          </w:p>
        </w:tc>
      </w:tr>
      <w:tr w:rsidR="00027BED" w:rsidRPr="00DF748C" w14:paraId="00010A73"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5F76BF80" w14:textId="77777777" w:rsidR="00027BED" w:rsidRPr="00987B20" w:rsidRDefault="00027BED" w:rsidP="0088005B">
            <w:pPr>
              <w:pStyle w:val="TabellHode-rad"/>
            </w:pPr>
            <w:r w:rsidRPr="00C711A4">
              <w:t>Lilly Ann Elvestad</w:t>
            </w:r>
          </w:p>
        </w:tc>
        <w:tc>
          <w:tcPr>
            <w:tcW w:w="990" w:type="dxa"/>
            <w:noWrap/>
          </w:tcPr>
          <w:p w14:paraId="699D8483"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5AF18ED3" w14:textId="77777777" w:rsidR="00027BED" w:rsidRPr="00672E58" w:rsidRDefault="00027BED" w:rsidP="0088005B">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Generalsekretær i Funksjonshemmedes Fellesorganisasjon (FFO)</w:t>
            </w:r>
          </w:p>
        </w:tc>
      </w:tr>
      <w:tr w:rsidR="00027BED" w:rsidRPr="00DF748C" w14:paraId="08EC2FB8"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42FA906E" w14:textId="77777777" w:rsidR="00027BED" w:rsidRPr="00C711A4" w:rsidRDefault="00027BED" w:rsidP="0088005B">
            <w:pPr>
              <w:pStyle w:val="TabellHode-rad"/>
            </w:pPr>
            <w:r w:rsidRPr="00C711A4">
              <w:t>Nina Tangnæs Grønvold</w:t>
            </w:r>
          </w:p>
        </w:tc>
        <w:tc>
          <w:tcPr>
            <w:tcW w:w="990" w:type="dxa"/>
            <w:noWrap/>
          </w:tcPr>
          <w:p w14:paraId="21839DB6"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514616F9"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Kommunedirektør i Fredrikstad</w:t>
            </w:r>
          </w:p>
        </w:tc>
      </w:tr>
      <w:tr w:rsidR="00027BED" w:rsidRPr="00DF748C" w14:paraId="4D0B1246"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67EF507A" w14:textId="77777777" w:rsidR="00027BED" w:rsidRPr="00C711A4" w:rsidRDefault="00027BED" w:rsidP="0088005B">
            <w:pPr>
              <w:pStyle w:val="TabellHode-rad"/>
            </w:pPr>
            <w:r w:rsidRPr="00C711A4">
              <w:t>Tor Iversen</w:t>
            </w:r>
          </w:p>
        </w:tc>
        <w:tc>
          <w:tcPr>
            <w:tcW w:w="990" w:type="dxa"/>
            <w:noWrap/>
          </w:tcPr>
          <w:p w14:paraId="62EF3FB8"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0F6C6929" w14:textId="77777777" w:rsidR="00027BED" w:rsidRPr="00672E58" w:rsidRDefault="00027BED" w:rsidP="0088005B">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Professor i helseøkonomi ved UiO</w:t>
            </w:r>
          </w:p>
        </w:tc>
      </w:tr>
      <w:tr w:rsidR="00027BED" w:rsidRPr="00D41438" w14:paraId="6EE91A34"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3CC8F31A" w14:textId="77777777" w:rsidR="00027BED" w:rsidRPr="00C711A4" w:rsidRDefault="00027BED" w:rsidP="0088005B">
            <w:pPr>
              <w:pStyle w:val="TabellHode-rad"/>
            </w:pPr>
            <w:r w:rsidRPr="00C711A4">
              <w:t>Kaveh Rashidi</w:t>
            </w:r>
          </w:p>
        </w:tc>
        <w:tc>
          <w:tcPr>
            <w:tcW w:w="990" w:type="dxa"/>
            <w:noWrap/>
          </w:tcPr>
          <w:p w14:paraId="042306F6"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4ECECF07"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rPr>
                <w:lang w:val="nn-NO"/>
              </w:rPr>
            </w:pPr>
            <w:r w:rsidRPr="00DF748C">
              <w:rPr>
                <w:lang w:val="nn-NO"/>
              </w:rPr>
              <w:t>Spesialist i allmennmedisin, fastlege i Oslo</w:t>
            </w:r>
          </w:p>
        </w:tc>
      </w:tr>
      <w:tr w:rsidR="00027BED" w:rsidRPr="00D41438" w14:paraId="3A4B0087" w14:textId="77777777" w:rsidTr="00210EF7">
        <w:trPr>
          <w:trHeight w:val="340"/>
        </w:trPr>
        <w:tc>
          <w:tcPr>
            <w:cnfStyle w:val="001000000000" w:firstRow="0" w:lastRow="0" w:firstColumn="1" w:lastColumn="0" w:oddVBand="0" w:evenVBand="0" w:oddHBand="0" w:evenHBand="0" w:firstRowFirstColumn="0" w:firstRowLastColumn="0" w:lastRowFirstColumn="0" w:lastRowLastColumn="0"/>
            <w:tcW w:w="2263" w:type="dxa"/>
            <w:noWrap/>
          </w:tcPr>
          <w:p w14:paraId="7F9F34D9" w14:textId="77777777" w:rsidR="00027BED" w:rsidRPr="00C711A4" w:rsidRDefault="00027BED" w:rsidP="0088005B">
            <w:pPr>
              <w:pStyle w:val="TabellHode-rad"/>
            </w:pPr>
            <w:r w:rsidRPr="00C711A4">
              <w:t>Torstein Sakshaug</w:t>
            </w:r>
          </w:p>
        </w:tc>
        <w:tc>
          <w:tcPr>
            <w:tcW w:w="990" w:type="dxa"/>
            <w:noWrap/>
          </w:tcPr>
          <w:p w14:paraId="19BB61B2"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pPr>
            <w:r w:rsidRPr="00DF748C">
              <w:t>Medlem</w:t>
            </w:r>
          </w:p>
        </w:tc>
        <w:tc>
          <w:tcPr>
            <w:tcW w:w="0" w:type="auto"/>
            <w:noWrap/>
          </w:tcPr>
          <w:p w14:paraId="449F9CB1" w14:textId="77777777" w:rsidR="00027BED" w:rsidRPr="00DF748C" w:rsidRDefault="00027BED" w:rsidP="0088005B">
            <w:pPr>
              <w:cnfStyle w:val="000000000000" w:firstRow="0" w:lastRow="0" w:firstColumn="0" w:lastColumn="0" w:oddVBand="0" w:evenVBand="0" w:oddHBand="0" w:evenHBand="0" w:firstRowFirstColumn="0" w:firstRowLastColumn="0" w:lastRowFirstColumn="0" w:lastRowLastColumn="0"/>
              <w:rPr>
                <w:lang w:val="nn-NO"/>
              </w:rPr>
            </w:pPr>
            <w:r w:rsidRPr="00DF748C">
              <w:rPr>
                <w:lang w:val="nn-NO"/>
              </w:rPr>
              <w:t>Spesialist i allmennmedisin, fastlege i Trondheim</w:t>
            </w:r>
          </w:p>
        </w:tc>
      </w:tr>
    </w:tbl>
    <w:p w14:paraId="00F18C17" w14:textId="77777777" w:rsidR="009A16CF" w:rsidRPr="005B437D" w:rsidRDefault="00016F1D" w:rsidP="00775632">
      <w:pPr>
        <w:pStyle w:val="Overskrift2"/>
      </w:pPr>
      <w:bookmarkStart w:id="45" w:name="_Toc130983389"/>
      <w:bookmarkStart w:id="46" w:name="_Toc130983738"/>
      <w:bookmarkStart w:id="47" w:name="_Toc131062068"/>
      <w:bookmarkStart w:id="48" w:name="_Toc131062322"/>
      <w:bookmarkStart w:id="49" w:name="_Toc131062583"/>
      <w:bookmarkStart w:id="50" w:name="_Toc131062836"/>
      <w:bookmarkStart w:id="51" w:name="_Toc131063604"/>
      <w:bookmarkStart w:id="52" w:name="_Toc131064024"/>
      <w:bookmarkStart w:id="53" w:name="_Toc131238268"/>
      <w:bookmarkStart w:id="54" w:name="_Toc131279296"/>
      <w:bookmarkStart w:id="55" w:name="_Toc131286708"/>
      <w:bookmarkStart w:id="56" w:name="_Toc131281118"/>
      <w:bookmarkStart w:id="57" w:name="_Toc131317658"/>
      <w:bookmarkStart w:id="58" w:name="_Toc132536882"/>
      <w:bookmarkStart w:id="59" w:name="_Toc118897662"/>
      <w:bookmarkStart w:id="60" w:name="_Toc119584001"/>
      <w:bookmarkStart w:id="61" w:name="_Toc119607899"/>
      <w:bookmarkStart w:id="62" w:name="_Toc119610169"/>
      <w:bookmarkStart w:id="63" w:name="_Toc120526242"/>
      <w:bookmarkStart w:id="64" w:name="_Toc126834318"/>
      <w:bookmarkStart w:id="65" w:name="_Toc127633149"/>
      <w:bookmarkStart w:id="66" w:name="_Toc127864440"/>
      <w:bookmarkStart w:id="67" w:name="_Toc128032488"/>
      <w:bookmarkStart w:id="68" w:name="_Toc128238470"/>
      <w:bookmarkStart w:id="69" w:name="_Toc128741951"/>
      <w:bookmarkStart w:id="70" w:name="_Toc128744546"/>
      <w:bookmarkStart w:id="71" w:name="_Toc128744765"/>
      <w:bookmarkStart w:id="72" w:name="_Toc129630254"/>
      <w:bookmarkStart w:id="73" w:name="_Toc130763757"/>
      <w:bookmarkStart w:id="74" w:name="_Toc130766643"/>
      <w:bookmarkStart w:id="75" w:name="_Toc130932046"/>
      <w:bookmarkStart w:id="76" w:name="_Toc130934337"/>
      <w:r w:rsidRPr="005B437D">
        <w:lastRenderedPageBreak/>
        <w:t>Ekspert</w:t>
      </w:r>
      <w:r w:rsidR="00140B83" w:rsidRPr="005B437D">
        <w:t>utvalgets</w:t>
      </w:r>
      <w:r w:rsidRPr="005B437D">
        <w:t xml:space="preserve"> manda</w:t>
      </w:r>
      <w:r w:rsidR="009A16CF" w:rsidRPr="005B437D">
        <w:t>t</w:t>
      </w:r>
      <w:bookmarkEnd w:id="45"/>
      <w:bookmarkEnd w:id="46"/>
      <w:bookmarkEnd w:id="47"/>
      <w:bookmarkEnd w:id="48"/>
      <w:bookmarkEnd w:id="49"/>
      <w:bookmarkEnd w:id="50"/>
      <w:bookmarkEnd w:id="51"/>
      <w:bookmarkEnd w:id="52"/>
      <w:bookmarkEnd w:id="53"/>
      <w:bookmarkEnd w:id="54"/>
      <w:bookmarkEnd w:id="55"/>
      <w:bookmarkEnd w:id="56"/>
      <w:bookmarkEnd w:id="57"/>
      <w:bookmarkEnd w:id="58"/>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14:paraId="5914B970" w14:textId="77777777" w:rsidR="00D9107F" w:rsidRDefault="00262D79" w:rsidP="008F5AD8">
      <w:r w:rsidRPr="00210EF7">
        <w:t>Ekspertutvalget</w:t>
      </w:r>
      <w:r w:rsidR="00F7159B" w:rsidRPr="00210EF7">
        <w:t xml:space="preserve"> for gjennomgang av allmennlegetjenesten fikk sitt mandat av regjeringen 11. august 2022.</w:t>
      </w:r>
      <w:r w:rsidRPr="00210EF7">
        <w:t xml:space="preserve"> </w:t>
      </w:r>
      <w:r w:rsidR="00E847CF" w:rsidRPr="00210EF7">
        <w:t>Den 22. september 2022 sendte helseministeren i tillegg et brev til utvalget med orientering om forslaget i statsbudsjettet for 2023 om innføring av risikojustert basisfinansiering.</w:t>
      </w:r>
    </w:p>
    <w:p w14:paraId="6BE948A6" w14:textId="77777777" w:rsidR="00D9107F" w:rsidRDefault="00486383" w:rsidP="008F5AD8">
      <w:r w:rsidRPr="00210EF7">
        <w:t xml:space="preserve">Allmennlegetjenesten i kommunene omfatter en rekke tjenester, </w:t>
      </w:r>
      <w:r w:rsidR="00417E1B" w:rsidRPr="00210EF7">
        <w:t xml:space="preserve">og </w:t>
      </w:r>
      <w:r w:rsidRPr="00210EF7">
        <w:t>fastlegene yter de fleste</w:t>
      </w:r>
      <w:r w:rsidR="00417E1B" w:rsidRPr="00210EF7">
        <w:t xml:space="preserve"> av disse</w:t>
      </w:r>
      <w:r w:rsidRPr="00210EF7">
        <w:t>.</w:t>
      </w:r>
    </w:p>
    <w:p w14:paraId="3FBF9FA7" w14:textId="77777777" w:rsidR="00D9107F" w:rsidRDefault="0049667C" w:rsidP="008F5AD8">
      <w:r w:rsidRPr="00210EF7">
        <w:t>Utvalgets mandat</w:t>
      </w:r>
      <w:r w:rsidR="00262D79" w:rsidRPr="00210EF7">
        <w:t xml:space="preserve"> er omfattende</w:t>
      </w:r>
      <w:r w:rsidR="003613D6" w:rsidRPr="00210EF7">
        <w:t>, samtidig er tiden utvalget har fått til rådighet kort. Arbeidet</w:t>
      </w:r>
      <w:r w:rsidR="00262D79" w:rsidRPr="00210EF7">
        <w:t xml:space="preserve"> innebærer en gjennomgang av store deler av allmennlegetjenesten</w:t>
      </w:r>
      <w:r w:rsidR="00764DCD" w:rsidRPr="00210EF7">
        <w:t>, hvorav fastlegeordningen</w:t>
      </w:r>
      <w:r w:rsidR="00486383" w:rsidRPr="00210EF7">
        <w:t xml:space="preserve"> og </w:t>
      </w:r>
      <w:r w:rsidR="00764DCD" w:rsidRPr="00210EF7">
        <w:t>legevakt</w:t>
      </w:r>
      <w:r w:rsidR="00486383" w:rsidRPr="00210EF7">
        <w:t xml:space="preserve"> er </w:t>
      </w:r>
      <w:r w:rsidR="00764DCD" w:rsidRPr="00210EF7">
        <w:t xml:space="preserve">de to </w:t>
      </w:r>
      <w:r w:rsidR="003613D6" w:rsidRPr="00210EF7">
        <w:t>tjeneste</w:t>
      </w:r>
      <w:r w:rsidR="00764DCD" w:rsidRPr="00210EF7">
        <w:t>områdene</w:t>
      </w:r>
      <w:r w:rsidR="00486383" w:rsidRPr="00210EF7">
        <w:t xml:space="preserve"> som </w:t>
      </w:r>
      <w:r w:rsidR="00764DCD" w:rsidRPr="00210EF7">
        <w:t xml:space="preserve">det </w:t>
      </w:r>
      <w:r w:rsidR="00417E1B" w:rsidRPr="00210EF7">
        <w:t>i mandatet vises eksplisitt til.</w:t>
      </w:r>
    </w:p>
    <w:p w14:paraId="3BCBDCFD" w14:textId="77777777" w:rsidR="00D9107F" w:rsidRDefault="005F5EBD" w:rsidP="008F5AD8">
      <w:r w:rsidRPr="00210EF7">
        <w:t>Utv</w:t>
      </w:r>
      <w:r w:rsidR="00FE209C" w:rsidRPr="00210EF7">
        <w:t>a</w:t>
      </w:r>
      <w:r w:rsidRPr="00210EF7">
        <w:t xml:space="preserve">lget </w:t>
      </w:r>
      <w:r w:rsidR="00C246C5" w:rsidRPr="00210EF7">
        <w:t xml:space="preserve">skal </w:t>
      </w:r>
      <w:r w:rsidR="005A556D" w:rsidRPr="00210EF7">
        <w:t xml:space="preserve">utrede </w:t>
      </w:r>
      <w:r w:rsidR="007E4DE8" w:rsidRPr="00210EF7">
        <w:t xml:space="preserve">konkrete </w:t>
      </w:r>
      <w:r w:rsidR="00C246C5" w:rsidRPr="00210EF7">
        <w:t xml:space="preserve">tiltak for å </w:t>
      </w:r>
      <w:r w:rsidR="00CB16EC" w:rsidRPr="00210EF7">
        <w:t xml:space="preserve">gjøre </w:t>
      </w:r>
      <w:r w:rsidR="00C246C5" w:rsidRPr="00210EF7">
        <w:t xml:space="preserve">fastlegeordningen </w:t>
      </w:r>
      <w:r w:rsidR="004D1F96" w:rsidRPr="00210EF7">
        <w:t>mer</w:t>
      </w:r>
      <w:r w:rsidR="00D3120D" w:rsidRPr="00210EF7">
        <w:t xml:space="preserve"> bærekraftig. De</w:t>
      </w:r>
      <w:r w:rsidR="00EC6A0D" w:rsidRPr="00210EF7">
        <w:t xml:space="preserve">t er </w:t>
      </w:r>
      <w:r w:rsidR="00BF7F8C" w:rsidRPr="00210EF7">
        <w:t xml:space="preserve">grunnleggende </w:t>
      </w:r>
      <w:r w:rsidR="00EC6A0D" w:rsidRPr="00210EF7">
        <w:t xml:space="preserve">at de </w:t>
      </w:r>
      <w:r w:rsidR="00D3120D" w:rsidRPr="00210EF7">
        <w:t xml:space="preserve">samlede ressursene i helse- og omsorgstjenesten skal </w:t>
      </w:r>
      <w:r w:rsidR="00E93916" w:rsidRPr="00210EF7">
        <w:t>utnyttes best mulig</w:t>
      </w:r>
      <w:r w:rsidR="00BF7F8C" w:rsidRPr="00210EF7">
        <w:t>. S</w:t>
      </w:r>
      <w:r w:rsidR="00E93916" w:rsidRPr="00210EF7">
        <w:t xml:space="preserve">amtidig </w:t>
      </w:r>
      <w:r w:rsidR="00BF7F8C" w:rsidRPr="00210EF7">
        <w:t xml:space="preserve">skal </w:t>
      </w:r>
      <w:r w:rsidR="00D3120D" w:rsidRPr="00210EF7">
        <w:t>tjeneste</w:t>
      </w:r>
      <w:r w:rsidR="00876A33" w:rsidRPr="00210EF7">
        <w:t>tilbudet</w:t>
      </w:r>
      <w:r w:rsidR="00D3120D" w:rsidRPr="00210EF7">
        <w:t xml:space="preserve"> til befolkningen </w:t>
      </w:r>
      <w:r w:rsidR="00EC6A0D" w:rsidRPr="00210EF7">
        <w:t xml:space="preserve">over </w:t>
      </w:r>
      <w:r w:rsidR="00D3120D" w:rsidRPr="00210EF7">
        <w:t>hele landet være god</w:t>
      </w:r>
      <w:r w:rsidR="00876A33" w:rsidRPr="00210EF7">
        <w:t>t</w:t>
      </w:r>
      <w:r w:rsidR="00D3120D" w:rsidRPr="00210EF7">
        <w:t>, med bredde, kvalitet</w:t>
      </w:r>
      <w:r w:rsidR="005A21BB" w:rsidRPr="00210EF7">
        <w:t xml:space="preserve">, </w:t>
      </w:r>
      <w:r w:rsidR="00D3120D" w:rsidRPr="00210EF7">
        <w:t>kontinuitet</w:t>
      </w:r>
      <w:r w:rsidR="00605083" w:rsidRPr="00210EF7">
        <w:t xml:space="preserve"> og</w:t>
      </w:r>
      <w:r w:rsidR="00DF2BC4" w:rsidRPr="00210EF7">
        <w:t xml:space="preserve"> </w:t>
      </w:r>
      <w:r w:rsidR="00D3120D" w:rsidRPr="00210EF7">
        <w:t>tilstrekkelig kapasitet</w:t>
      </w:r>
      <w:r w:rsidR="00605083" w:rsidRPr="00210EF7">
        <w:t>.</w:t>
      </w:r>
    </w:p>
    <w:p w14:paraId="3127F558" w14:textId="355C94F9" w:rsidR="00383641" w:rsidRPr="00210EF7" w:rsidRDefault="00BC6E54" w:rsidP="008F5AD8">
      <w:r w:rsidRPr="00210EF7">
        <w:t xml:space="preserve">Ekspertutvalget </w:t>
      </w:r>
      <w:r w:rsidR="006075BB" w:rsidRPr="00210EF7">
        <w:t>bes i mandatet, som et minimum å</w:t>
      </w:r>
      <w:r w:rsidRPr="00210EF7">
        <w:t xml:space="preserve"> utrede forhold knyttet til</w:t>
      </w:r>
      <w:r w:rsidR="00383641" w:rsidRPr="00210EF7">
        <w:t>:</w:t>
      </w:r>
    </w:p>
    <w:p w14:paraId="64FC02F0" w14:textId="77777777" w:rsidR="00383641" w:rsidRPr="00210EF7" w:rsidRDefault="00763EA8" w:rsidP="00775632">
      <w:pPr>
        <w:pStyle w:val="Listebombe"/>
      </w:pPr>
      <w:r w:rsidRPr="00210EF7">
        <w:t>O</w:t>
      </w:r>
      <w:r w:rsidR="00BC6E54" w:rsidRPr="00210EF7">
        <w:t>rganisering</w:t>
      </w:r>
      <w:r w:rsidR="00502A16" w:rsidRPr="00210EF7">
        <w:t xml:space="preserve"> og</w:t>
      </w:r>
      <w:r w:rsidR="00BC6E54" w:rsidRPr="00210EF7">
        <w:t xml:space="preserve"> finansiering</w:t>
      </w:r>
      <w:r w:rsidR="00502A16" w:rsidRPr="00210EF7">
        <w:t xml:space="preserve"> av fastlegeordningen</w:t>
      </w:r>
    </w:p>
    <w:p w14:paraId="3309A674" w14:textId="77777777" w:rsidR="00383641" w:rsidRPr="00210EF7" w:rsidRDefault="00763EA8" w:rsidP="00775632">
      <w:pPr>
        <w:pStyle w:val="Listebombe"/>
      </w:pPr>
      <w:r w:rsidRPr="00210EF7">
        <w:t>L</w:t>
      </w:r>
      <w:r w:rsidR="00BC6E54" w:rsidRPr="00210EF7">
        <w:t>egevakt</w:t>
      </w:r>
    </w:p>
    <w:p w14:paraId="4B57C365" w14:textId="77777777" w:rsidR="00D9107F" w:rsidRDefault="00763EA8" w:rsidP="00775632">
      <w:pPr>
        <w:pStyle w:val="Listebombe"/>
      </w:pPr>
      <w:r w:rsidRPr="00210EF7">
        <w:t>K</w:t>
      </w:r>
      <w:r w:rsidR="00BC6E54" w:rsidRPr="00210EF7">
        <w:t>ompetanse</w:t>
      </w:r>
    </w:p>
    <w:p w14:paraId="0DA98207" w14:textId="77777777" w:rsidR="00D9107F" w:rsidRDefault="00F36663" w:rsidP="008F5AD8">
      <w:r w:rsidRPr="00210EF7">
        <w:t xml:space="preserve">For alle endringer som utredes skal det redegjøres for effekt på rekruttering, aktivitet, kapasitet, kvalitet/innhold og </w:t>
      </w:r>
      <w:r w:rsidRPr="00210EF7">
        <w:rPr>
          <w:rFonts w:cstheme="minorHAnsi"/>
        </w:rPr>
        <w:t>bredde, samt for administrative og økonomiske konsekvenser.</w:t>
      </w:r>
      <w:r w:rsidR="00605083" w:rsidRPr="00210EF7">
        <w:rPr>
          <w:rFonts w:cstheme="minorHAnsi"/>
        </w:rPr>
        <w:t xml:space="preserve"> </w:t>
      </w:r>
      <w:r w:rsidR="00605083" w:rsidRPr="00210EF7">
        <w:t>Det legges til grunn at det skal være likeverdig tilgang til fastlegeordningen i hele landet.</w:t>
      </w:r>
    </w:p>
    <w:p w14:paraId="1D0B35CE" w14:textId="77777777" w:rsidR="00D9107F" w:rsidRDefault="000F2EBB" w:rsidP="008F5AD8">
      <w:r w:rsidRPr="00210EF7">
        <w:t>Utvalget skal vurdere tiltak for å:</w:t>
      </w:r>
    </w:p>
    <w:p w14:paraId="13101882" w14:textId="77777777" w:rsidR="00D9107F" w:rsidRDefault="000F2EBB" w:rsidP="00775632">
      <w:pPr>
        <w:pStyle w:val="alfaliste"/>
      </w:pPr>
      <w:r w:rsidRPr="00210EF7">
        <w:t>Øke kapasiteten ved å rekruttere flere leger, gjennom å tilrettelegge for flere profesjoner og mer samarbeid ved allmennlegekontorene og ved digitalisering.</w:t>
      </w:r>
    </w:p>
    <w:p w14:paraId="021DA9FE" w14:textId="77777777" w:rsidR="00D9107F" w:rsidRDefault="000F2EBB" w:rsidP="00775632">
      <w:pPr>
        <w:pStyle w:val="alfaliste"/>
      </w:pPr>
      <w:r w:rsidRPr="00210EF7">
        <w:t>Gjøre det enklere for kommunene med fast ansettelse av fastleger ved at fast ansettelse i større grad likestilles med næringsmodellen.</w:t>
      </w:r>
    </w:p>
    <w:p w14:paraId="56A8EE79" w14:textId="6B8901F9" w:rsidR="00D9107F" w:rsidRDefault="000F2EBB" w:rsidP="00775632">
      <w:pPr>
        <w:pStyle w:val="alfaliste"/>
      </w:pPr>
      <w:r w:rsidRPr="00210EF7">
        <w:t>Gjøre det mer attraktivt for legestudenter å velge fastlegeyrket gjennom endringer i utdannings- og spesialiseringsløp</w:t>
      </w:r>
    </w:p>
    <w:p w14:paraId="2AFA26AB" w14:textId="77777777" w:rsidR="00D9107F" w:rsidRDefault="00297F86" w:rsidP="008F5AD8">
      <w:r w:rsidRPr="00210EF7">
        <w:t>Ekspertutvalgets mandat er i sin helhet</w:t>
      </w:r>
      <w:r w:rsidR="00735D9A" w:rsidRPr="00210EF7">
        <w:t xml:space="preserve"> </w:t>
      </w:r>
      <w:r w:rsidRPr="00210EF7">
        <w:t>gjengitt i rapportens Vedlegg A.</w:t>
      </w:r>
    </w:p>
    <w:p w14:paraId="46EC4E69" w14:textId="470F248E" w:rsidR="00F37A74" w:rsidRPr="000F72BB" w:rsidRDefault="002D28AB" w:rsidP="00775632">
      <w:pPr>
        <w:pStyle w:val="Overskrift2"/>
      </w:pPr>
      <w:bookmarkStart w:id="77" w:name="_Toc119607901"/>
      <w:bookmarkStart w:id="78" w:name="_Toc119610171"/>
      <w:bookmarkStart w:id="79" w:name="_Toc120526243"/>
      <w:bookmarkStart w:id="80" w:name="_Toc126834319"/>
      <w:bookmarkStart w:id="81" w:name="_Toc127633150"/>
      <w:bookmarkStart w:id="82" w:name="_Toc127864441"/>
      <w:bookmarkStart w:id="83" w:name="_Toc128032489"/>
      <w:bookmarkStart w:id="84" w:name="_Toc128238471"/>
      <w:bookmarkStart w:id="85" w:name="_Toc128741952"/>
      <w:bookmarkStart w:id="86" w:name="_Toc128744547"/>
      <w:bookmarkStart w:id="87" w:name="_Toc128744766"/>
      <w:bookmarkStart w:id="88" w:name="_Toc129630255"/>
      <w:bookmarkStart w:id="89" w:name="_Toc130763758"/>
      <w:bookmarkStart w:id="90" w:name="_Toc130766644"/>
      <w:bookmarkStart w:id="91" w:name="_Toc130932047"/>
      <w:bookmarkStart w:id="92" w:name="_Toc130934338"/>
      <w:bookmarkStart w:id="93" w:name="_Toc130983390"/>
      <w:bookmarkStart w:id="94" w:name="_Toc130983739"/>
      <w:bookmarkStart w:id="95" w:name="_Toc131062069"/>
      <w:bookmarkStart w:id="96" w:name="_Toc131062323"/>
      <w:bookmarkStart w:id="97" w:name="_Toc131062584"/>
      <w:bookmarkStart w:id="98" w:name="_Toc131062837"/>
      <w:bookmarkStart w:id="99" w:name="_Toc131063605"/>
      <w:bookmarkStart w:id="100" w:name="_Toc131064025"/>
      <w:bookmarkStart w:id="101" w:name="_Toc131238269"/>
      <w:bookmarkStart w:id="102" w:name="_Toc131279297"/>
      <w:bookmarkStart w:id="103" w:name="_Toc131286709"/>
      <w:bookmarkStart w:id="104" w:name="_Toc131281119"/>
      <w:bookmarkStart w:id="105" w:name="_Toc131317659"/>
      <w:bookmarkStart w:id="106" w:name="_Toc132536883"/>
      <w:r w:rsidRPr="000F72BB">
        <w:t>Arbeids</w:t>
      </w:r>
      <w:r w:rsidR="00EC6F77" w:rsidRPr="000F72BB">
        <w:t xml:space="preserve">prosess og </w:t>
      </w:r>
      <w:bookmarkEnd w:id="77"/>
      <w:bookmarkEnd w:id="78"/>
      <w:r w:rsidR="00EC6F77" w:rsidRPr="000F72BB">
        <w:t>involvering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288FA24" w14:textId="77777777" w:rsidR="0022459A" w:rsidRPr="001578E8" w:rsidRDefault="0022459A" w:rsidP="00775632">
      <w:pPr>
        <w:pStyle w:val="Overskrift3"/>
      </w:pPr>
      <w:bookmarkStart w:id="107" w:name="_Toc129630256"/>
      <w:bookmarkStart w:id="108" w:name="_Toc130763759"/>
      <w:bookmarkStart w:id="109" w:name="_Toc130766645"/>
      <w:bookmarkStart w:id="110" w:name="_Toc130932048"/>
      <w:bookmarkStart w:id="111" w:name="_Toc130934339"/>
      <w:bookmarkStart w:id="112" w:name="_Toc130983391"/>
      <w:bookmarkStart w:id="113" w:name="_Toc130983740"/>
      <w:bookmarkStart w:id="114" w:name="_Toc131062070"/>
      <w:bookmarkStart w:id="115" w:name="_Toc131062324"/>
      <w:bookmarkStart w:id="116" w:name="_Toc131062585"/>
      <w:bookmarkStart w:id="117" w:name="_Toc131062838"/>
      <w:bookmarkStart w:id="118" w:name="_Toc131063606"/>
      <w:bookmarkStart w:id="119" w:name="_Toc131064026"/>
      <w:bookmarkStart w:id="120" w:name="_Toc131238270"/>
      <w:bookmarkStart w:id="121" w:name="_Toc131279298"/>
      <w:bookmarkStart w:id="122" w:name="_Toc131286710"/>
      <w:bookmarkStart w:id="123" w:name="_Toc131281120"/>
      <w:bookmarkStart w:id="124" w:name="_Toc131281131"/>
      <w:bookmarkStart w:id="125" w:name="_Toc131317660"/>
      <w:bookmarkStart w:id="126" w:name="_Toc132536884"/>
      <w:r w:rsidRPr="001578E8">
        <w:t>Sekretariat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F830FE8" w14:textId="77777777" w:rsidR="00D9107F" w:rsidRDefault="00400FDA" w:rsidP="00E9640C">
      <w:pPr>
        <w:jc w:val="both"/>
        <w:rPr>
          <w:rFonts w:eastAsiaTheme="minorEastAsia"/>
          <w:color w:val="000000" w:themeColor="text1"/>
        </w:rPr>
      </w:pPr>
      <w:r>
        <w:rPr>
          <w:rFonts w:eastAsiaTheme="minorEastAsia"/>
          <w:color w:val="000000" w:themeColor="text1"/>
        </w:rPr>
        <w:t xml:space="preserve">Ved opprettelsen av ekspertutvalget ga </w:t>
      </w:r>
      <w:r w:rsidR="00071728" w:rsidRPr="64F43417">
        <w:rPr>
          <w:rFonts w:eastAsiaTheme="minorEastAsia"/>
          <w:color w:val="000000" w:themeColor="text1"/>
        </w:rPr>
        <w:t xml:space="preserve">Helse- og omsorgsdepartementet Helsedirektoratet i </w:t>
      </w:r>
      <w:r w:rsidR="00071728" w:rsidRPr="00616F80">
        <w:rPr>
          <w:rFonts w:eastAsiaTheme="minorEastAsia"/>
        </w:rPr>
        <w:t>oppdrag</w:t>
      </w:r>
      <w:r w:rsidR="00071728" w:rsidRPr="64F43417">
        <w:rPr>
          <w:rFonts w:eastAsiaTheme="minorEastAsia"/>
          <w:color w:val="000000" w:themeColor="text1"/>
        </w:rPr>
        <w:t xml:space="preserve"> å stille sekretariat for ekspert</w:t>
      </w:r>
      <w:r w:rsidR="002A5D87">
        <w:rPr>
          <w:rFonts w:eastAsiaTheme="minorEastAsia"/>
          <w:color w:val="000000" w:themeColor="text1"/>
        </w:rPr>
        <w:t>utvalget</w:t>
      </w:r>
      <w:r w:rsidR="00071728" w:rsidRPr="004735CF">
        <w:rPr>
          <w:rFonts w:eastAsiaTheme="minorEastAsia"/>
          <w:color w:val="000000" w:themeColor="text1"/>
        </w:rPr>
        <w:t xml:space="preserve">. </w:t>
      </w:r>
      <w:r w:rsidR="002F26C9" w:rsidRPr="007E2EDE">
        <w:rPr>
          <w:rFonts w:eastAsiaTheme="minorEastAsia"/>
          <w:color w:val="000000" w:themeColor="text1"/>
        </w:rPr>
        <w:t>Sekretariatet</w:t>
      </w:r>
      <w:r w:rsidR="002F26C9" w:rsidRPr="004735CF">
        <w:rPr>
          <w:rFonts w:eastAsiaTheme="minorEastAsia"/>
          <w:color w:val="000000" w:themeColor="text1"/>
        </w:rPr>
        <w:t xml:space="preserve"> er underlagt utvalget</w:t>
      </w:r>
      <w:r w:rsidR="00782863">
        <w:rPr>
          <w:rFonts w:eastAsiaTheme="minorEastAsia"/>
          <w:color w:val="000000" w:themeColor="text1"/>
        </w:rPr>
        <w:t xml:space="preserve"> </w:t>
      </w:r>
      <w:r w:rsidR="002A5D87">
        <w:rPr>
          <w:rFonts w:eastAsiaTheme="minorEastAsia"/>
          <w:color w:val="000000" w:themeColor="text1"/>
        </w:rPr>
        <w:t xml:space="preserve">og </w:t>
      </w:r>
      <w:r w:rsidR="000C4571">
        <w:rPr>
          <w:rFonts w:eastAsiaTheme="minorEastAsia"/>
          <w:color w:val="000000" w:themeColor="text1"/>
        </w:rPr>
        <w:t xml:space="preserve">har </w:t>
      </w:r>
      <w:r w:rsidR="00782863">
        <w:rPr>
          <w:rFonts w:eastAsiaTheme="minorEastAsia"/>
          <w:color w:val="000000" w:themeColor="text1"/>
        </w:rPr>
        <w:t>bidra</w:t>
      </w:r>
      <w:r w:rsidR="000C4571">
        <w:rPr>
          <w:rFonts w:eastAsiaTheme="minorEastAsia"/>
          <w:color w:val="000000" w:themeColor="text1"/>
        </w:rPr>
        <w:t xml:space="preserve">tt </w:t>
      </w:r>
      <w:r w:rsidR="00782863">
        <w:rPr>
          <w:rFonts w:eastAsiaTheme="minorEastAsia"/>
          <w:color w:val="000000" w:themeColor="text1"/>
        </w:rPr>
        <w:lastRenderedPageBreak/>
        <w:t>med</w:t>
      </w:r>
      <w:r w:rsidR="004151BA">
        <w:rPr>
          <w:rFonts w:eastAsiaTheme="minorEastAsia"/>
          <w:color w:val="000000" w:themeColor="text1"/>
        </w:rPr>
        <w:t xml:space="preserve"> </w:t>
      </w:r>
      <w:r w:rsidR="00782863">
        <w:rPr>
          <w:rFonts w:eastAsiaTheme="minorEastAsia"/>
          <w:color w:val="000000" w:themeColor="text1"/>
        </w:rPr>
        <w:t>kunnskapsinnhenting,</w:t>
      </w:r>
      <w:r w:rsidR="000F3447">
        <w:rPr>
          <w:rFonts w:eastAsiaTheme="minorEastAsia"/>
          <w:color w:val="000000" w:themeColor="text1"/>
        </w:rPr>
        <w:t xml:space="preserve"> herunder anskaffelse av stati</w:t>
      </w:r>
      <w:r w:rsidR="00D166E7">
        <w:rPr>
          <w:rFonts w:eastAsiaTheme="minorEastAsia"/>
          <w:color w:val="000000" w:themeColor="text1"/>
        </w:rPr>
        <w:t>stikk og analyser</w:t>
      </w:r>
      <w:r w:rsidR="00EC75EC">
        <w:rPr>
          <w:rFonts w:eastAsiaTheme="minorEastAsia"/>
          <w:color w:val="000000" w:themeColor="text1"/>
        </w:rPr>
        <w:t xml:space="preserve">. </w:t>
      </w:r>
      <w:r w:rsidR="00451C8C">
        <w:rPr>
          <w:rFonts w:eastAsiaTheme="minorEastAsia"/>
          <w:color w:val="000000" w:themeColor="text1"/>
        </w:rPr>
        <w:t xml:space="preserve">Sekretariatet </w:t>
      </w:r>
      <w:r w:rsidR="000C4571">
        <w:rPr>
          <w:rFonts w:eastAsiaTheme="minorEastAsia"/>
          <w:color w:val="000000" w:themeColor="text1"/>
        </w:rPr>
        <w:t xml:space="preserve">har også </w:t>
      </w:r>
      <w:r w:rsidR="003C6CF5">
        <w:rPr>
          <w:rFonts w:eastAsiaTheme="minorEastAsia"/>
          <w:color w:val="000000" w:themeColor="text1"/>
        </w:rPr>
        <w:t>bistå</w:t>
      </w:r>
      <w:r w:rsidR="000C4571">
        <w:rPr>
          <w:rFonts w:eastAsiaTheme="minorEastAsia"/>
          <w:color w:val="000000" w:themeColor="text1"/>
        </w:rPr>
        <w:t>tt</w:t>
      </w:r>
      <w:r w:rsidR="003C6CF5">
        <w:rPr>
          <w:rFonts w:eastAsiaTheme="minorEastAsia"/>
          <w:color w:val="000000" w:themeColor="text1"/>
        </w:rPr>
        <w:t xml:space="preserve"> med praktisk</w:t>
      </w:r>
      <w:r w:rsidR="00C83A16">
        <w:rPr>
          <w:rFonts w:eastAsiaTheme="minorEastAsia"/>
          <w:color w:val="000000" w:themeColor="text1"/>
        </w:rPr>
        <w:t>e forhold</w:t>
      </w:r>
      <w:r w:rsidR="00FB2421">
        <w:rPr>
          <w:rFonts w:eastAsiaTheme="minorEastAsia"/>
          <w:color w:val="000000" w:themeColor="text1"/>
        </w:rPr>
        <w:t>,</w:t>
      </w:r>
      <w:r w:rsidR="002F26C9" w:rsidRPr="004735CF">
        <w:rPr>
          <w:rFonts w:eastAsiaTheme="minorEastAsia"/>
          <w:color w:val="000000" w:themeColor="text1"/>
        </w:rPr>
        <w:t xml:space="preserve"> og l</w:t>
      </w:r>
      <w:r w:rsidR="000C4571">
        <w:rPr>
          <w:rFonts w:eastAsiaTheme="minorEastAsia"/>
          <w:color w:val="000000" w:themeColor="text1"/>
        </w:rPr>
        <w:t>agt</w:t>
      </w:r>
      <w:r w:rsidR="002F26C9" w:rsidRPr="004735CF">
        <w:rPr>
          <w:rFonts w:eastAsiaTheme="minorEastAsia"/>
          <w:color w:val="000000" w:themeColor="text1"/>
        </w:rPr>
        <w:t xml:space="preserve"> til rette for et godt og effektivt utvalgsarbeid.</w:t>
      </w:r>
    </w:p>
    <w:p w14:paraId="408F0F25" w14:textId="1F88005F" w:rsidR="00092EF6" w:rsidRDefault="00092EF6" w:rsidP="00E9640C">
      <w:pPr>
        <w:jc w:val="both"/>
        <w:rPr>
          <w:rFonts w:eastAsiaTheme="minorEastAsia"/>
          <w:color w:val="000000" w:themeColor="text1"/>
        </w:rPr>
      </w:pPr>
      <w:r>
        <w:rPr>
          <w:rFonts w:eastAsiaTheme="minorEastAsia"/>
          <w:color w:val="000000" w:themeColor="text1"/>
        </w:rPr>
        <w:t>Kine Lynum har ledet sekret</w:t>
      </w:r>
      <w:r w:rsidR="008E54C3">
        <w:rPr>
          <w:rFonts w:eastAsiaTheme="minorEastAsia"/>
          <w:color w:val="000000" w:themeColor="text1"/>
        </w:rPr>
        <w:t>ariatet. Øvrige medlemmer har vært Ylva Helland, Ole Jørgen Grannes, Susanne Olsen</w:t>
      </w:r>
      <w:r w:rsidR="00533D34">
        <w:rPr>
          <w:rFonts w:eastAsiaTheme="minorEastAsia"/>
          <w:color w:val="000000" w:themeColor="text1"/>
        </w:rPr>
        <w:t>, Ellen Starberg Larsen og Marius Tyssvang.</w:t>
      </w:r>
    </w:p>
    <w:p w14:paraId="4B44CDB7" w14:textId="7C8A2325" w:rsidR="00427CB2" w:rsidRDefault="00427CB2" w:rsidP="00CF32F3">
      <w:pPr>
        <w:jc w:val="both"/>
        <w:rPr>
          <w:rFonts w:eastAsiaTheme="minorEastAsia"/>
          <w:color w:val="000000" w:themeColor="text1"/>
        </w:rPr>
      </w:pPr>
      <w:r>
        <w:rPr>
          <w:rFonts w:eastAsiaTheme="minorEastAsia"/>
          <w:color w:val="000000" w:themeColor="text1"/>
        </w:rPr>
        <w:t>Birgitte</w:t>
      </w:r>
      <w:r w:rsidR="00BA76B8">
        <w:rPr>
          <w:rFonts w:eastAsiaTheme="minorEastAsia"/>
          <w:color w:val="000000" w:themeColor="text1"/>
        </w:rPr>
        <w:t xml:space="preserve"> Kalseth </w:t>
      </w:r>
      <w:r w:rsidR="00064797">
        <w:rPr>
          <w:rFonts w:eastAsiaTheme="minorEastAsia"/>
          <w:color w:val="000000" w:themeColor="text1"/>
        </w:rPr>
        <w:t>har bidratt med innhenting av informasjon og beskrivelser av allmennlegetjenesten i andre land</w:t>
      </w:r>
      <w:r w:rsidR="00EC75EC">
        <w:rPr>
          <w:rFonts w:eastAsiaTheme="minorEastAsia"/>
          <w:color w:val="000000" w:themeColor="text1"/>
        </w:rPr>
        <w:t xml:space="preserve">, og </w:t>
      </w:r>
      <w:r w:rsidR="007078EB">
        <w:rPr>
          <w:rFonts w:eastAsiaTheme="minorEastAsia"/>
          <w:color w:val="000000" w:themeColor="text1"/>
        </w:rPr>
        <w:t xml:space="preserve">med utdypende </w:t>
      </w:r>
      <w:r w:rsidR="00AF6D5F">
        <w:rPr>
          <w:rFonts w:eastAsiaTheme="minorEastAsia"/>
          <w:color w:val="000000" w:themeColor="text1"/>
        </w:rPr>
        <w:t xml:space="preserve">beskrivelser av </w:t>
      </w:r>
      <w:r w:rsidR="001E1D80">
        <w:rPr>
          <w:rFonts w:eastAsiaTheme="minorEastAsia"/>
          <w:color w:val="000000" w:themeColor="text1"/>
        </w:rPr>
        <w:t>finansiering</w:t>
      </w:r>
      <w:r w:rsidR="007078EB">
        <w:rPr>
          <w:rFonts w:eastAsiaTheme="minorEastAsia"/>
          <w:color w:val="000000" w:themeColor="text1"/>
        </w:rPr>
        <w:t xml:space="preserve"> og organisering av fastlegeordnin</w:t>
      </w:r>
      <w:r w:rsidR="00AF6D5F">
        <w:rPr>
          <w:rFonts w:eastAsiaTheme="minorEastAsia"/>
          <w:color w:val="000000" w:themeColor="text1"/>
        </w:rPr>
        <w:t>g</w:t>
      </w:r>
      <w:r w:rsidR="007078EB">
        <w:rPr>
          <w:rFonts w:eastAsiaTheme="minorEastAsia"/>
          <w:color w:val="000000" w:themeColor="text1"/>
        </w:rPr>
        <w:t>en</w:t>
      </w:r>
      <w:r w:rsidR="00EC75EC">
        <w:rPr>
          <w:rFonts w:eastAsiaTheme="minorEastAsia"/>
          <w:color w:val="000000" w:themeColor="text1"/>
        </w:rPr>
        <w:t xml:space="preserve"> i </w:t>
      </w:r>
      <w:r w:rsidR="007078EB">
        <w:rPr>
          <w:rFonts w:eastAsiaTheme="minorEastAsia"/>
          <w:color w:val="000000" w:themeColor="text1"/>
        </w:rPr>
        <w:t>Danmark</w:t>
      </w:r>
      <w:r w:rsidR="00A205EE">
        <w:rPr>
          <w:rStyle w:val="Fotnotereferanse"/>
        </w:rPr>
        <w:footnoteRef/>
      </w:r>
      <w:r w:rsidR="007078EB">
        <w:rPr>
          <w:rFonts w:eastAsiaTheme="minorEastAsia"/>
          <w:color w:val="000000" w:themeColor="text1"/>
        </w:rPr>
        <w:t>.</w:t>
      </w:r>
    </w:p>
    <w:p w14:paraId="1336F17A" w14:textId="606F5A57" w:rsidR="00300D67" w:rsidRDefault="00300D67" w:rsidP="00CF32F3">
      <w:pPr>
        <w:jc w:val="both"/>
        <w:rPr>
          <w:rFonts w:eastAsiaTheme="minorEastAsia"/>
          <w:color w:val="000000" w:themeColor="text1"/>
        </w:rPr>
      </w:pPr>
      <w:r>
        <w:rPr>
          <w:color w:val="000000" w:themeColor="text1"/>
        </w:rPr>
        <w:t>Rapporten er illustrert av Mariel Rivelsrud i Rivelsrud Illustrations.</w:t>
      </w:r>
    </w:p>
    <w:p w14:paraId="4B7F32D2" w14:textId="77777777" w:rsidR="00FB2421" w:rsidRPr="002D0494" w:rsidRDefault="00FB2421" w:rsidP="00775632">
      <w:pPr>
        <w:pStyle w:val="Overskrift3"/>
      </w:pPr>
      <w:bookmarkStart w:id="127" w:name="_Toc129630257"/>
      <w:bookmarkStart w:id="128" w:name="_Toc130763760"/>
      <w:bookmarkStart w:id="129" w:name="_Toc130766646"/>
      <w:bookmarkStart w:id="130" w:name="_Toc130932049"/>
      <w:bookmarkStart w:id="131" w:name="_Toc130934340"/>
      <w:bookmarkStart w:id="132" w:name="_Toc130983392"/>
      <w:bookmarkStart w:id="133" w:name="_Toc130983741"/>
      <w:bookmarkStart w:id="134" w:name="_Toc131062071"/>
      <w:bookmarkStart w:id="135" w:name="_Toc131062325"/>
      <w:bookmarkStart w:id="136" w:name="_Toc131062586"/>
      <w:bookmarkStart w:id="137" w:name="_Toc131062839"/>
      <w:bookmarkStart w:id="138" w:name="_Toc131063607"/>
      <w:bookmarkStart w:id="139" w:name="_Toc131064027"/>
      <w:bookmarkStart w:id="140" w:name="_Toc131238271"/>
      <w:bookmarkStart w:id="141" w:name="_Toc131279299"/>
      <w:bookmarkStart w:id="142" w:name="_Toc131286711"/>
      <w:bookmarkStart w:id="143" w:name="_Toc131281121"/>
      <w:bookmarkStart w:id="144" w:name="_Toc131317661"/>
      <w:bookmarkStart w:id="145" w:name="_Toc132536885"/>
      <w:r w:rsidRPr="00EE36CB">
        <w:t>Trepartsmøte</w:t>
      </w:r>
      <w:r w:rsidR="0053616D" w:rsidRPr="00EE36CB">
        <w:t>r</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EBFF8F0" w14:textId="186088BA" w:rsidR="00D9107F" w:rsidRDefault="00FB2421" w:rsidP="00CF32F3">
      <w:pPr>
        <w:jc w:val="both"/>
        <w:rPr>
          <w:rFonts w:eastAsiaTheme="minorEastAsia"/>
          <w:color w:val="000000" w:themeColor="text1"/>
        </w:rPr>
      </w:pPr>
      <w:r w:rsidRPr="00210EF7">
        <w:rPr>
          <w:color w:val="000000" w:themeColor="text1"/>
        </w:rPr>
        <w:t>Utvalg</w:t>
      </w:r>
      <w:r w:rsidR="00BB1378" w:rsidRPr="00210EF7">
        <w:rPr>
          <w:color w:val="000000" w:themeColor="text1"/>
        </w:rPr>
        <w:t>sleder</w:t>
      </w:r>
      <w:r w:rsidRPr="00210EF7">
        <w:rPr>
          <w:color w:val="000000" w:themeColor="text1"/>
        </w:rPr>
        <w:t xml:space="preserve"> </w:t>
      </w:r>
      <w:r w:rsidR="000C4571" w:rsidRPr="00210EF7">
        <w:rPr>
          <w:color w:val="000000" w:themeColor="text1"/>
        </w:rPr>
        <w:t xml:space="preserve">har </w:t>
      </w:r>
      <w:r w:rsidRPr="00210EF7">
        <w:rPr>
          <w:color w:val="000000" w:themeColor="text1"/>
        </w:rPr>
        <w:t xml:space="preserve">etter avtale </w:t>
      </w:r>
      <w:r w:rsidR="000C4571" w:rsidRPr="00210EF7">
        <w:rPr>
          <w:color w:val="000000" w:themeColor="text1"/>
        </w:rPr>
        <w:t xml:space="preserve">deltatt </w:t>
      </w:r>
      <w:r w:rsidRPr="00210EF7">
        <w:rPr>
          <w:color w:val="000000" w:themeColor="text1"/>
        </w:rPr>
        <w:t xml:space="preserve">i </w:t>
      </w:r>
      <w:r w:rsidRPr="76023493">
        <w:rPr>
          <w:color w:val="000000" w:themeColor="text1"/>
        </w:rPr>
        <w:t xml:space="preserve">samarbeidsmøtene mellom </w:t>
      </w:r>
      <w:r w:rsidRPr="76023493">
        <w:rPr>
          <w:rFonts w:eastAsiaTheme="minorEastAsia"/>
          <w:color w:val="000000" w:themeColor="text1"/>
        </w:rPr>
        <w:t>Helse- og omsorgsdepartementet (HOD)</w:t>
      </w:r>
      <w:r w:rsidRPr="76023493">
        <w:rPr>
          <w:color w:val="000000" w:themeColor="text1"/>
        </w:rPr>
        <w:t xml:space="preserve">, </w:t>
      </w:r>
      <w:r w:rsidR="002A5D87" w:rsidRPr="76023493">
        <w:rPr>
          <w:color w:val="000000" w:themeColor="text1"/>
        </w:rPr>
        <w:t xml:space="preserve">KS </w:t>
      </w:r>
      <w:r w:rsidR="00EC75EC">
        <w:rPr>
          <w:color w:val="000000" w:themeColor="text1"/>
        </w:rPr>
        <w:t>(K</w:t>
      </w:r>
      <w:r w:rsidRPr="76023493">
        <w:rPr>
          <w:color w:val="000000" w:themeColor="text1"/>
        </w:rPr>
        <w:t>ommunesektorens organisasjon</w:t>
      </w:r>
      <w:r w:rsidR="00EC75EC">
        <w:rPr>
          <w:color w:val="000000" w:themeColor="text1"/>
        </w:rPr>
        <w:t>)</w:t>
      </w:r>
      <w:r w:rsidR="001E3435" w:rsidRPr="76023493">
        <w:rPr>
          <w:color w:val="000000" w:themeColor="text1"/>
        </w:rPr>
        <w:t xml:space="preserve">, </w:t>
      </w:r>
      <w:r w:rsidR="00BE3D0B" w:rsidRPr="76023493">
        <w:rPr>
          <w:color w:val="000000" w:themeColor="text1"/>
        </w:rPr>
        <w:t>Oslo kommune</w:t>
      </w:r>
      <w:r w:rsidRPr="76023493">
        <w:rPr>
          <w:color w:val="000000" w:themeColor="text1"/>
        </w:rPr>
        <w:t xml:space="preserve"> og Den norske</w:t>
      </w:r>
      <w:r w:rsidRPr="00210EF7">
        <w:rPr>
          <w:color w:val="000000" w:themeColor="text1"/>
        </w:rPr>
        <w:t xml:space="preserve"> legeforening (Legeforeningen) for </w:t>
      </w:r>
      <w:r w:rsidR="00D8541F" w:rsidRPr="00210EF7">
        <w:rPr>
          <w:color w:val="000000" w:themeColor="text1"/>
        </w:rPr>
        <w:t xml:space="preserve">underveis </w:t>
      </w:r>
      <w:r w:rsidRPr="00210EF7">
        <w:rPr>
          <w:color w:val="000000" w:themeColor="text1"/>
        </w:rPr>
        <w:t>å orientere om arbeidet</w:t>
      </w:r>
      <w:r w:rsidR="00D8541F" w:rsidRPr="00210EF7">
        <w:rPr>
          <w:color w:val="000000" w:themeColor="text1"/>
        </w:rPr>
        <w:t>.</w:t>
      </w:r>
      <w:r w:rsidRPr="00210EF7">
        <w:rPr>
          <w:color w:val="000000" w:themeColor="text1"/>
        </w:rPr>
        <w:t xml:space="preserve"> </w:t>
      </w:r>
      <w:r w:rsidR="00CA5C41" w:rsidRPr="00210EF7">
        <w:rPr>
          <w:color w:val="000000" w:themeColor="text1"/>
        </w:rPr>
        <w:t>I disse møtene har u</w:t>
      </w:r>
      <w:r w:rsidR="00507C65" w:rsidRPr="00221E2F">
        <w:rPr>
          <w:rFonts w:eastAsiaTheme="minorEastAsia"/>
          <w:color w:val="000000" w:themeColor="text1"/>
        </w:rPr>
        <w:t>tvalgsleder og leder av sekretariatet presentert utvalgets mandat og arbeid</w:t>
      </w:r>
      <w:r w:rsidR="00581579" w:rsidRPr="00221E2F">
        <w:rPr>
          <w:rFonts w:eastAsiaTheme="minorEastAsia"/>
          <w:color w:val="000000" w:themeColor="text1"/>
        </w:rPr>
        <w:t xml:space="preserve">, </w:t>
      </w:r>
      <w:r w:rsidR="00CA5C41">
        <w:rPr>
          <w:rFonts w:eastAsiaTheme="minorEastAsia"/>
          <w:color w:val="000000" w:themeColor="text1"/>
        </w:rPr>
        <w:t>og m</w:t>
      </w:r>
      <w:r w:rsidR="00581579" w:rsidRPr="00221E2F">
        <w:rPr>
          <w:rFonts w:eastAsiaTheme="minorEastAsia"/>
          <w:color w:val="000000" w:themeColor="text1"/>
        </w:rPr>
        <w:t>ottatt innspill</w:t>
      </w:r>
      <w:r w:rsidR="00CA5C41">
        <w:rPr>
          <w:rFonts w:eastAsiaTheme="minorEastAsia"/>
          <w:color w:val="000000" w:themeColor="text1"/>
        </w:rPr>
        <w:t xml:space="preserve"> fra partene.</w:t>
      </w:r>
    </w:p>
    <w:p w14:paraId="038A35DB" w14:textId="2206177E" w:rsidR="00277BE4" w:rsidRPr="002D0494" w:rsidRDefault="00277BE4" w:rsidP="00775632">
      <w:pPr>
        <w:pStyle w:val="Overskrift3"/>
      </w:pPr>
      <w:bookmarkStart w:id="146" w:name="_Toc129630258"/>
      <w:bookmarkStart w:id="147" w:name="_Toc130763761"/>
      <w:bookmarkStart w:id="148" w:name="_Toc130766647"/>
      <w:bookmarkStart w:id="149" w:name="_Toc130932050"/>
      <w:bookmarkStart w:id="150" w:name="_Toc130934341"/>
      <w:bookmarkStart w:id="151" w:name="_Toc130983393"/>
      <w:bookmarkStart w:id="152" w:name="_Toc130983742"/>
      <w:bookmarkStart w:id="153" w:name="_Toc131062072"/>
      <w:bookmarkStart w:id="154" w:name="_Toc131062326"/>
      <w:bookmarkStart w:id="155" w:name="_Toc131062587"/>
      <w:bookmarkStart w:id="156" w:name="_Toc131062840"/>
      <w:bookmarkStart w:id="157" w:name="_Toc131063608"/>
      <w:bookmarkStart w:id="158" w:name="_Toc131064028"/>
      <w:bookmarkStart w:id="159" w:name="_Toc131238272"/>
      <w:bookmarkStart w:id="160" w:name="_Toc131279300"/>
      <w:bookmarkStart w:id="161" w:name="_Toc131286712"/>
      <w:bookmarkStart w:id="162" w:name="_Toc131281122"/>
      <w:bookmarkStart w:id="163" w:name="_Toc131317662"/>
      <w:bookmarkStart w:id="164" w:name="_Toc132536886"/>
      <w:r w:rsidRPr="002D0494">
        <w:t>Referansegruppe</w:t>
      </w:r>
      <w:r w:rsidR="006465E9" w:rsidRPr="002D0494">
        <w:t xml:space="preserve"> og andre eksterne</w:t>
      </w:r>
      <w:r w:rsidR="00392933" w:rsidRPr="002D0494">
        <w:t xml:space="preserve"> innspill</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66C9069" w14:textId="77777777" w:rsidR="00D9107F" w:rsidRDefault="00E94855" w:rsidP="00C629AE">
      <w:pPr>
        <w:rPr>
          <w:rFonts w:eastAsiaTheme="minorEastAsia"/>
          <w:color w:val="000000" w:themeColor="text1"/>
        </w:rPr>
      </w:pPr>
      <w:bookmarkStart w:id="165" w:name="_Hlk113005840"/>
      <w:r w:rsidRPr="00210EF7">
        <w:rPr>
          <w:color w:val="000000" w:themeColor="text1"/>
        </w:rPr>
        <w:t>Ekspertu</w:t>
      </w:r>
      <w:r w:rsidR="0003791F" w:rsidRPr="00210EF7">
        <w:rPr>
          <w:color w:val="000000" w:themeColor="text1"/>
        </w:rPr>
        <w:t xml:space="preserve">tvalget har også </w:t>
      </w:r>
      <w:r w:rsidRPr="00210EF7">
        <w:rPr>
          <w:color w:val="000000" w:themeColor="text1"/>
        </w:rPr>
        <w:t>innhente</w:t>
      </w:r>
      <w:r w:rsidR="00D8541F" w:rsidRPr="00210EF7">
        <w:rPr>
          <w:color w:val="000000" w:themeColor="text1"/>
        </w:rPr>
        <w:t>t</w:t>
      </w:r>
      <w:r w:rsidRPr="00210EF7">
        <w:rPr>
          <w:color w:val="000000" w:themeColor="text1"/>
        </w:rPr>
        <w:t xml:space="preserve"> innspill fra</w:t>
      </w:r>
      <w:r w:rsidR="002962E3" w:rsidRPr="00210EF7">
        <w:rPr>
          <w:color w:val="000000" w:themeColor="text1"/>
        </w:rPr>
        <w:t xml:space="preserve"> </w:t>
      </w:r>
      <w:r w:rsidRPr="00210EF7">
        <w:rPr>
          <w:color w:val="000000" w:themeColor="text1"/>
        </w:rPr>
        <w:t>r</w:t>
      </w:r>
      <w:r w:rsidR="00757958" w:rsidRPr="00210EF7">
        <w:rPr>
          <w:color w:val="000000" w:themeColor="text1"/>
        </w:rPr>
        <w:t>eferansegr</w:t>
      </w:r>
      <w:r w:rsidR="0066640D" w:rsidRPr="00210EF7">
        <w:rPr>
          <w:color w:val="000000" w:themeColor="text1"/>
        </w:rPr>
        <w:t>uppe</w:t>
      </w:r>
      <w:r w:rsidR="00C4401C" w:rsidRPr="00210EF7">
        <w:rPr>
          <w:color w:val="000000" w:themeColor="text1"/>
        </w:rPr>
        <w:t>n</w:t>
      </w:r>
      <w:r w:rsidR="0066640D" w:rsidRPr="00210EF7">
        <w:rPr>
          <w:color w:val="000000" w:themeColor="text1"/>
        </w:rPr>
        <w:t xml:space="preserve"> for </w:t>
      </w:r>
      <w:r w:rsidR="00C4401C" w:rsidRPr="00210EF7">
        <w:rPr>
          <w:color w:val="000000" w:themeColor="text1"/>
        </w:rPr>
        <w:t xml:space="preserve">Helsedirektoratets </w:t>
      </w:r>
      <w:r w:rsidR="0066640D" w:rsidRPr="00210EF7">
        <w:rPr>
          <w:color w:val="000000" w:themeColor="text1"/>
        </w:rPr>
        <w:t xml:space="preserve">arbeid med </w:t>
      </w:r>
      <w:r w:rsidR="00C4401C" w:rsidRPr="00210EF7">
        <w:rPr>
          <w:color w:val="000000" w:themeColor="text1"/>
        </w:rPr>
        <w:t xml:space="preserve">å </w:t>
      </w:r>
      <w:r w:rsidR="00DC207D" w:rsidRPr="00210EF7">
        <w:rPr>
          <w:color w:val="000000" w:themeColor="text1"/>
        </w:rPr>
        <w:t>styrke</w:t>
      </w:r>
      <w:r w:rsidR="00C4401C" w:rsidRPr="00210EF7">
        <w:rPr>
          <w:color w:val="000000" w:themeColor="text1"/>
        </w:rPr>
        <w:t xml:space="preserve"> allmennlegetjenesten </w:t>
      </w:r>
      <w:r w:rsidR="007D494A" w:rsidRPr="00210EF7">
        <w:rPr>
          <w:color w:val="000000" w:themeColor="text1"/>
        </w:rPr>
        <w:t>(</w:t>
      </w:r>
      <w:r w:rsidR="0066640D" w:rsidRPr="00210EF7">
        <w:rPr>
          <w:color w:val="000000" w:themeColor="text1"/>
        </w:rPr>
        <w:t>Handlingsplan allmennlegetjenesten</w:t>
      </w:r>
      <w:r w:rsidR="007D494A" w:rsidRPr="00210EF7">
        <w:rPr>
          <w:color w:val="000000" w:themeColor="text1"/>
        </w:rPr>
        <w:t>)</w:t>
      </w:r>
      <w:r w:rsidR="00D854FF">
        <w:rPr>
          <w:rFonts w:eastAsiaTheme="minorEastAsia"/>
          <w:color w:val="000000" w:themeColor="text1"/>
        </w:rPr>
        <w:t xml:space="preserve">. </w:t>
      </w:r>
      <w:r w:rsidR="00BB1378">
        <w:rPr>
          <w:rFonts w:eastAsiaTheme="minorEastAsia"/>
          <w:color w:val="000000" w:themeColor="text1"/>
        </w:rPr>
        <w:t>Denne r</w:t>
      </w:r>
      <w:r w:rsidR="0053159A">
        <w:rPr>
          <w:rFonts w:eastAsiaTheme="minorEastAsia"/>
          <w:color w:val="000000" w:themeColor="text1"/>
        </w:rPr>
        <w:t xml:space="preserve">eferansegruppen er bredt sammensatt av </w:t>
      </w:r>
      <w:r w:rsidR="00B2769F">
        <w:rPr>
          <w:rFonts w:eastAsiaTheme="minorEastAsia"/>
          <w:color w:val="000000" w:themeColor="text1"/>
        </w:rPr>
        <w:t>forsknings</w:t>
      </w:r>
      <w:r w:rsidR="002A5D87">
        <w:rPr>
          <w:rFonts w:eastAsiaTheme="minorEastAsia"/>
          <w:color w:val="000000" w:themeColor="text1"/>
        </w:rPr>
        <w:t>-</w:t>
      </w:r>
      <w:r w:rsidR="00B2769F">
        <w:rPr>
          <w:rFonts w:eastAsiaTheme="minorEastAsia"/>
          <w:color w:val="000000" w:themeColor="text1"/>
        </w:rPr>
        <w:t xml:space="preserve"> og kompetansemiljøer, fagorganisasjoner, pasient</w:t>
      </w:r>
      <w:r w:rsidR="007641A7">
        <w:rPr>
          <w:rFonts w:eastAsiaTheme="minorEastAsia"/>
          <w:color w:val="000000" w:themeColor="text1"/>
        </w:rPr>
        <w:t>-</w:t>
      </w:r>
      <w:r w:rsidR="00B2769F">
        <w:rPr>
          <w:rFonts w:eastAsiaTheme="minorEastAsia"/>
          <w:color w:val="000000" w:themeColor="text1"/>
        </w:rPr>
        <w:t xml:space="preserve"> og brukerorganisasjoner</w:t>
      </w:r>
      <w:r w:rsidR="003C3FE6">
        <w:rPr>
          <w:rFonts w:eastAsiaTheme="minorEastAsia"/>
          <w:color w:val="000000" w:themeColor="text1"/>
        </w:rPr>
        <w:t>,</w:t>
      </w:r>
      <w:r w:rsidR="00651B22">
        <w:rPr>
          <w:rFonts w:eastAsiaTheme="minorEastAsia"/>
          <w:color w:val="000000" w:themeColor="text1"/>
        </w:rPr>
        <w:t xml:space="preserve"> </w:t>
      </w:r>
      <w:r w:rsidR="003C3FE6">
        <w:rPr>
          <w:rFonts w:eastAsiaTheme="minorEastAsia"/>
          <w:color w:val="000000" w:themeColor="text1"/>
        </w:rPr>
        <w:t xml:space="preserve">statlige </w:t>
      </w:r>
      <w:r w:rsidR="00651B22">
        <w:rPr>
          <w:rFonts w:eastAsiaTheme="minorEastAsia"/>
          <w:color w:val="000000" w:themeColor="text1"/>
        </w:rPr>
        <w:t>og kommunale virksomheter med flere.</w:t>
      </w:r>
    </w:p>
    <w:p w14:paraId="47CEFD39" w14:textId="77777777" w:rsidR="00D9107F" w:rsidRDefault="00E61CCA" w:rsidP="00C629AE">
      <w:pPr>
        <w:rPr>
          <w:rFonts w:eastAsiaTheme="minorEastAsia"/>
          <w:color w:val="000000" w:themeColor="text1"/>
        </w:rPr>
      </w:pPr>
      <w:r>
        <w:rPr>
          <w:rFonts w:eastAsiaTheme="minorEastAsia"/>
          <w:color w:val="000000" w:themeColor="text1"/>
        </w:rPr>
        <w:t>Det er i perioden fra august 2022 og fram til og med mars 2023</w:t>
      </w:r>
      <w:r w:rsidR="00956A04">
        <w:rPr>
          <w:rFonts w:eastAsiaTheme="minorEastAsia"/>
          <w:color w:val="000000" w:themeColor="text1"/>
        </w:rPr>
        <w:t xml:space="preserve"> gjennomført </w:t>
      </w:r>
      <w:r w:rsidR="00042410">
        <w:rPr>
          <w:rFonts w:eastAsiaTheme="minorEastAsia"/>
          <w:color w:val="000000" w:themeColor="text1"/>
        </w:rPr>
        <w:t>fire</w:t>
      </w:r>
      <w:r w:rsidR="001D0D0E">
        <w:rPr>
          <w:rFonts w:eastAsiaTheme="minorEastAsia"/>
          <w:color w:val="000000" w:themeColor="text1"/>
        </w:rPr>
        <w:t xml:space="preserve"> referansegruppemøter</w:t>
      </w:r>
      <w:r w:rsidR="002A5D87">
        <w:rPr>
          <w:rFonts w:eastAsiaTheme="minorEastAsia"/>
          <w:color w:val="000000" w:themeColor="text1"/>
        </w:rPr>
        <w:t>,</w:t>
      </w:r>
      <w:r w:rsidR="001D0D0E">
        <w:rPr>
          <w:rFonts w:eastAsiaTheme="minorEastAsia"/>
          <w:color w:val="000000" w:themeColor="text1"/>
        </w:rPr>
        <w:t xml:space="preserve"> hvor utvalgsleder har presentert </w:t>
      </w:r>
      <w:r w:rsidR="00EF68AC">
        <w:rPr>
          <w:rFonts w:eastAsiaTheme="minorEastAsia"/>
          <w:color w:val="000000" w:themeColor="text1"/>
        </w:rPr>
        <w:t>utvalgets arbeid</w:t>
      </w:r>
      <w:r w:rsidR="00C82508">
        <w:rPr>
          <w:rFonts w:eastAsiaTheme="minorEastAsia"/>
          <w:color w:val="000000" w:themeColor="text1"/>
        </w:rPr>
        <w:t>,</w:t>
      </w:r>
      <w:r w:rsidR="00EF68AC">
        <w:rPr>
          <w:rFonts w:eastAsiaTheme="minorEastAsia"/>
          <w:color w:val="000000" w:themeColor="text1"/>
        </w:rPr>
        <w:t xml:space="preserve"> og </w:t>
      </w:r>
      <w:r w:rsidR="00FD28E0">
        <w:rPr>
          <w:rFonts w:eastAsiaTheme="minorEastAsia"/>
          <w:color w:val="000000" w:themeColor="text1"/>
        </w:rPr>
        <w:t>mottatt</w:t>
      </w:r>
      <w:r w:rsidR="00EF68AC">
        <w:rPr>
          <w:rFonts w:eastAsiaTheme="minorEastAsia"/>
          <w:color w:val="000000" w:themeColor="text1"/>
        </w:rPr>
        <w:t xml:space="preserve"> </w:t>
      </w:r>
      <w:r w:rsidR="00F21F80">
        <w:rPr>
          <w:rFonts w:eastAsiaTheme="minorEastAsia"/>
          <w:color w:val="000000" w:themeColor="text1"/>
        </w:rPr>
        <w:t>innspill</w:t>
      </w:r>
      <w:r w:rsidR="00D12C8A">
        <w:rPr>
          <w:rFonts w:eastAsiaTheme="minorEastAsia"/>
          <w:color w:val="000000" w:themeColor="text1"/>
        </w:rPr>
        <w:t xml:space="preserve"> </w:t>
      </w:r>
      <w:r w:rsidR="00843BDC">
        <w:rPr>
          <w:rFonts w:eastAsiaTheme="minorEastAsia"/>
          <w:color w:val="000000" w:themeColor="text1"/>
        </w:rPr>
        <w:t xml:space="preserve">til sitt arbeid </w:t>
      </w:r>
      <w:r w:rsidR="00D12C8A">
        <w:rPr>
          <w:rFonts w:eastAsiaTheme="minorEastAsia"/>
          <w:color w:val="000000" w:themeColor="text1"/>
        </w:rPr>
        <w:t xml:space="preserve">fra </w:t>
      </w:r>
      <w:r w:rsidR="00B23FB8">
        <w:rPr>
          <w:rFonts w:eastAsiaTheme="minorEastAsia"/>
          <w:color w:val="000000" w:themeColor="text1"/>
        </w:rPr>
        <w:t>referanse</w:t>
      </w:r>
      <w:r w:rsidR="00D12C8A">
        <w:rPr>
          <w:rFonts w:eastAsiaTheme="minorEastAsia"/>
          <w:color w:val="000000" w:themeColor="text1"/>
        </w:rPr>
        <w:t>gruppen</w:t>
      </w:r>
      <w:r w:rsidR="00B23FB8">
        <w:rPr>
          <w:rFonts w:eastAsiaTheme="minorEastAsia"/>
          <w:color w:val="000000" w:themeColor="text1"/>
        </w:rPr>
        <w:t>s medlemmer</w:t>
      </w:r>
      <w:r w:rsidR="00B83938">
        <w:rPr>
          <w:rFonts w:eastAsiaTheme="minorEastAsia"/>
          <w:color w:val="000000" w:themeColor="text1"/>
        </w:rPr>
        <w:t>.</w:t>
      </w:r>
    </w:p>
    <w:p w14:paraId="58B0F836" w14:textId="4E21F16C" w:rsidR="00B23FB8" w:rsidRDefault="009E3354" w:rsidP="00C629AE">
      <w:pPr>
        <w:rPr>
          <w:rStyle w:val="kursiv"/>
        </w:rPr>
      </w:pPr>
      <w:r>
        <w:rPr>
          <w:rFonts w:eastAsiaTheme="minorEastAsia"/>
          <w:color w:val="000000" w:themeColor="text1"/>
        </w:rPr>
        <w:t>E</w:t>
      </w:r>
      <w:r w:rsidR="006E0D31" w:rsidRPr="00210EF7">
        <w:rPr>
          <w:color w:val="000000" w:themeColor="text1"/>
        </w:rPr>
        <w:t>ksterne</w:t>
      </w:r>
      <w:r w:rsidR="00BD5DF6" w:rsidRPr="00210EF7">
        <w:rPr>
          <w:color w:val="000000" w:themeColor="text1"/>
        </w:rPr>
        <w:t xml:space="preserve"> aktører</w:t>
      </w:r>
      <w:r w:rsidR="002A03F6" w:rsidRPr="00210EF7">
        <w:rPr>
          <w:color w:val="000000" w:themeColor="text1"/>
        </w:rPr>
        <w:t>, både organisasjoner, virksomheter og enkeltpersoner,</w:t>
      </w:r>
      <w:r w:rsidR="00BD5DF6" w:rsidRPr="00210EF7">
        <w:rPr>
          <w:color w:val="000000" w:themeColor="text1"/>
        </w:rPr>
        <w:t xml:space="preserve"> </w:t>
      </w:r>
      <w:r w:rsidRPr="00210EF7">
        <w:rPr>
          <w:color w:val="000000" w:themeColor="text1"/>
        </w:rPr>
        <w:t xml:space="preserve">har </w:t>
      </w:r>
      <w:r w:rsidR="006D3A05" w:rsidRPr="00210EF7">
        <w:rPr>
          <w:color w:val="000000" w:themeColor="text1"/>
        </w:rPr>
        <w:t>i</w:t>
      </w:r>
      <w:r w:rsidR="00226F56" w:rsidRPr="00210EF7">
        <w:rPr>
          <w:color w:val="000000" w:themeColor="text1"/>
        </w:rPr>
        <w:t xml:space="preserve"> løpet av høsten 2022 </w:t>
      </w:r>
      <w:r w:rsidR="000C4571" w:rsidRPr="00210EF7">
        <w:rPr>
          <w:color w:val="000000" w:themeColor="text1"/>
        </w:rPr>
        <w:t xml:space="preserve">og våren 2023 </w:t>
      </w:r>
      <w:r w:rsidR="00226F56" w:rsidRPr="00210EF7">
        <w:rPr>
          <w:color w:val="000000" w:themeColor="text1"/>
        </w:rPr>
        <w:t>kommet</w:t>
      </w:r>
      <w:r w:rsidR="0047009D" w:rsidRPr="00210EF7">
        <w:rPr>
          <w:color w:val="000000" w:themeColor="text1"/>
        </w:rPr>
        <w:t xml:space="preserve"> </w:t>
      </w:r>
      <w:r w:rsidR="002A5D87" w:rsidRPr="00210EF7">
        <w:rPr>
          <w:color w:val="000000" w:themeColor="text1"/>
        </w:rPr>
        <w:t>med</w:t>
      </w:r>
      <w:r w:rsidR="0047009D" w:rsidRPr="00210EF7">
        <w:rPr>
          <w:color w:val="000000" w:themeColor="text1"/>
        </w:rPr>
        <w:t xml:space="preserve"> </w:t>
      </w:r>
      <w:r w:rsidR="00226F56" w:rsidRPr="00210EF7">
        <w:rPr>
          <w:color w:val="000000" w:themeColor="text1"/>
        </w:rPr>
        <w:t>innspill</w:t>
      </w:r>
      <w:r w:rsidR="00843BDC" w:rsidRPr="00210EF7">
        <w:rPr>
          <w:color w:val="000000" w:themeColor="text1"/>
        </w:rPr>
        <w:t xml:space="preserve"> </w:t>
      </w:r>
      <w:r w:rsidR="004D720D" w:rsidRPr="00210EF7">
        <w:rPr>
          <w:color w:val="000000" w:themeColor="text1"/>
        </w:rPr>
        <w:t xml:space="preserve">til ekspertutvalgets arbeid. </w:t>
      </w:r>
      <w:r w:rsidR="00D40665" w:rsidRPr="00210EF7">
        <w:rPr>
          <w:color w:val="000000" w:themeColor="text1"/>
        </w:rPr>
        <w:t>Ekspert</w:t>
      </w:r>
      <w:r w:rsidR="004D720D" w:rsidRPr="00210EF7">
        <w:rPr>
          <w:color w:val="000000" w:themeColor="text1"/>
        </w:rPr>
        <w:t xml:space="preserve">utvalget </w:t>
      </w:r>
      <w:r w:rsidR="00D40665" w:rsidRPr="00210EF7">
        <w:rPr>
          <w:color w:val="000000" w:themeColor="text1"/>
        </w:rPr>
        <w:t xml:space="preserve">har </w:t>
      </w:r>
      <w:r w:rsidR="000C4571" w:rsidRPr="00210EF7">
        <w:rPr>
          <w:color w:val="000000" w:themeColor="text1"/>
        </w:rPr>
        <w:t>hatt</w:t>
      </w:r>
      <w:r w:rsidR="00D40665" w:rsidRPr="00210EF7">
        <w:rPr>
          <w:color w:val="000000" w:themeColor="text1"/>
        </w:rPr>
        <w:t xml:space="preserve"> </w:t>
      </w:r>
      <w:r w:rsidR="00A40561" w:rsidRPr="00210EF7">
        <w:rPr>
          <w:color w:val="000000" w:themeColor="text1"/>
        </w:rPr>
        <w:t xml:space="preserve">noe </w:t>
      </w:r>
      <w:r w:rsidR="00D40665" w:rsidRPr="00210EF7">
        <w:rPr>
          <w:color w:val="000000" w:themeColor="text1"/>
        </w:rPr>
        <w:t>begrenset kapasitet</w:t>
      </w:r>
      <w:r w:rsidR="00845538" w:rsidRPr="00210EF7">
        <w:rPr>
          <w:color w:val="000000" w:themeColor="text1"/>
        </w:rPr>
        <w:t xml:space="preserve">, men </w:t>
      </w:r>
      <w:r w:rsidR="00C90A2C" w:rsidRPr="00210EF7">
        <w:rPr>
          <w:color w:val="000000" w:themeColor="text1"/>
        </w:rPr>
        <w:t xml:space="preserve">har så langt som mulig </w:t>
      </w:r>
      <w:r w:rsidR="0047009D" w:rsidRPr="00210EF7">
        <w:rPr>
          <w:color w:val="000000" w:themeColor="text1"/>
        </w:rPr>
        <w:t>gjennomgå</w:t>
      </w:r>
      <w:r w:rsidR="00845538" w:rsidRPr="00210EF7">
        <w:rPr>
          <w:color w:val="000000" w:themeColor="text1"/>
        </w:rPr>
        <w:t xml:space="preserve">tt </w:t>
      </w:r>
      <w:r w:rsidR="00C90A2C" w:rsidRPr="00210EF7">
        <w:rPr>
          <w:color w:val="000000" w:themeColor="text1"/>
        </w:rPr>
        <w:t xml:space="preserve">innspillene og </w:t>
      </w:r>
      <w:r w:rsidR="00E243BD" w:rsidRPr="00210EF7">
        <w:rPr>
          <w:color w:val="000000" w:themeColor="text1"/>
        </w:rPr>
        <w:t>behandle</w:t>
      </w:r>
      <w:r w:rsidR="0001075D" w:rsidRPr="00210EF7">
        <w:rPr>
          <w:color w:val="000000" w:themeColor="text1"/>
        </w:rPr>
        <w:t>t</w:t>
      </w:r>
      <w:r w:rsidR="0047009D" w:rsidRPr="00210EF7">
        <w:rPr>
          <w:color w:val="000000" w:themeColor="text1"/>
        </w:rPr>
        <w:t xml:space="preserve"> </w:t>
      </w:r>
      <w:r w:rsidR="00C90A2C" w:rsidRPr="00210EF7">
        <w:rPr>
          <w:color w:val="000000" w:themeColor="text1"/>
        </w:rPr>
        <w:t xml:space="preserve">disse </w:t>
      </w:r>
      <w:r w:rsidR="0047009D" w:rsidRPr="00210EF7">
        <w:rPr>
          <w:color w:val="000000" w:themeColor="text1"/>
        </w:rPr>
        <w:t>som en del av utvalgets arbeidsprosess</w:t>
      </w:r>
      <w:r w:rsidR="00E243BD" w:rsidRPr="00210EF7">
        <w:rPr>
          <w:color w:val="000000" w:themeColor="text1"/>
        </w:rPr>
        <w:t>.</w:t>
      </w:r>
      <w:r w:rsidR="0047009D" w:rsidRPr="00210EF7">
        <w:rPr>
          <w:color w:val="000000" w:themeColor="text1"/>
        </w:rPr>
        <w:t xml:space="preserve"> </w:t>
      </w:r>
      <w:r w:rsidR="00C90A2C" w:rsidRPr="00210EF7">
        <w:rPr>
          <w:color w:val="000000" w:themeColor="text1"/>
        </w:rPr>
        <w:t xml:space="preserve">Innspill fra eksterne har vært </w:t>
      </w:r>
      <w:r w:rsidR="00A40561" w:rsidRPr="00210EF7">
        <w:rPr>
          <w:color w:val="000000" w:themeColor="text1"/>
        </w:rPr>
        <w:t xml:space="preserve">drøftet som </w:t>
      </w:r>
      <w:r w:rsidRPr="00210EF7">
        <w:rPr>
          <w:color w:val="000000" w:themeColor="text1"/>
        </w:rPr>
        <w:t xml:space="preserve">fast tema på utvalgets arbeidsmøter. </w:t>
      </w:r>
      <w:r w:rsidR="000A4C6A" w:rsidRPr="00210EF7">
        <w:rPr>
          <w:color w:val="000000" w:themeColor="text1"/>
        </w:rPr>
        <w:t xml:space="preserve">Adresse for innspill </w:t>
      </w:r>
      <w:r w:rsidR="000C4571" w:rsidRPr="00210EF7">
        <w:rPr>
          <w:color w:val="000000" w:themeColor="text1"/>
        </w:rPr>
        <w:t>har vært</w:t>
      </w:r>
      <w:r w:rsidR="000A4C6A" w:rsidRPr="00210EF7">
        <w:rPr>
          <w:color w:val="000000" w:themeColor="text1"/>
        </w:rPr>
        <w:t xml:space="preserve">: </w:t>
      </w:r>
      <w:hyperlink r:id="rId17" w:history="1">
        <w:r w:rsidR="00B23FB8" w:rsidRPr="00D9107F">
          <w:rPr>
            <w:rStyle w:val="kursiv"/>
          </w:rPr>
          <w:t>allmennlegetjenesten@helsedir.no</w:t>
        </w:r>
      </w:hyperlink>
    </w:p>
    <w:p w14:paraId="13ADE9CD" w14:textId="77777777" w:rsidR="00D9107F" w:rsidRDefault="008948A6" w:rsidP="00775632">
      <w:pPr>
        <w:pStyle w:val="Overskrift3"/>
      </w:pPr>
      <w:bookmarkStart w:id="166" w:name="_Toc129630259"/>
      <w:bookmarkStart w:id="167" w:name="_Toc130763762"/>
      <w:bookmarkStart w:id="168" w:name="_Toc130766648"/>
      <w:bookmarkStart w:id="169" w:name="_Toc130932051"/>
      <w:bookmarkStart w:id="170" w:name="_Toc130934342"/>
      <w:bookmarkStart w:id="171" w:name="_Toc130983394"/>
      <w:bookmarkStart w:id="172" w:name="_Toc130983743"/>
      <w:bookmarkStart w:id="173" w:name="_Toc131062073"/>
      <w:bookmarkStart w:id="174" w:name="_Toc131062327"/>
      <w:bookmarkStart w:id="175" w:name="_Toc131062588"/>
      <w:bookmarkStart w:id="176" w:name="_Toc131062841"/>
      <w:bookmarkStart w:id="177" w:name="_Toc131063609"/>
      <w:bookmarkStart w:id="178" w:name="_Toc131064029"/>
      <w:bookmarkStart w:id="179" w:name="_Toc131238273"/>
      <w:bookmarkStart w:id="180" w:name="_Toc131279301"/>
      <w:bookmarkStart w:id="181" w:name="_Toc131286713"/>
      <w:bookmarkStart w:id="182" w:name="_Toc131281123"/>
      <w:bookmarkStart w:id="183" w:name="_Toc131317663"/>
      <w:bookmarkStart w:id="184" w:name="_Toc132536887"/>
      <w:r>
        <w:t>U</w:t>
      </w:r>
      <w:r w:rsidR="005112A1" w:rsidRPr="002D0494">
        <w:t>tvalgets møter</w:t>
      </w:r>
      <w:bookmarkEnd w:id="166"/>
      <w:bookmarkEnd w:id="167"/>
      <w:bookmarkEnd w:id="168"/>
      <w:bookmarkEnd w:id="169"/>
      <w:bookmarkEnd w:id="170"/>
      <w:bookmarkEnd w:id="171"/>
      <w:bookmarkEnd w:id="172"/>
      <w:bookmarkEnd w:id="173"/>
      <w:bookmarkEnd w:id="174"/>
      <w:bookmarkEnd w:id="175"/>
      <w:bookmarkEnd w:id="176"/>
      <w:bookmarkEnd w:id="177"/>
      <w:bookmarkEnd w:id="178"/>
      <w:r w:rsidR="005112A1" w:rsidRPr="002D0494">
        <w:t xml:space="preserve"> </w:t>
      </w:r>
      <w:r>
        <w:t>og bidrag fra eksterne</w:t>
      </w:r>
      <w:bookmarkEnd w:id="179"/>
      <w:bookmarkEnd w:id="180"/>
      <w:bookmarkEnd w:id="181"/>
      <w:bookmarkEnd w:id="182"/>
      <w:bookmarkEnd w:id="183"/>
      <w:bookmarkEnd w:id="184"/>
    </w:p>
    <w:bookmarkEnd w:id="165"/>
    <w:p w14:paraId="1AFDE406" w14:textId="6AD54B12" w:rsidR="00E61CCA" w:rsidRPr="00210EF7" w:rsidRDefault="00E61CCA" w:rsidP="00C629AE">
      <w:pPr>
        <w:rPr>
          <w:color w:val="000000" w:themeColor="text1"/>
        </w:rPr>
      </w:pPr>
      <w:r w:rsidRPr="00210EF7">
        <w:rPr>
          <w:color w:val="000000" w:themeColor="text1"/>
        </w:rPr>
        <w:t xml:space="preserve">Ekspertutvalget har gjennomført 16 fysiske heldagssamlinger og fem møter på teams, i perioden fra august 2022 til og med mars 2023. Møtene har i stor grad vært temabaserte. Mottatte innspill, møtedeltakelse, status for eksterne bestillinger og planlegging av videre arbeid har vært faste agendapunkter. For å belyse relevante tema, er eksterne </w:t>
      </w:r>
      <w:r w:rsidRPr="00210EF7">
        <w:rPr>
          <w:color w:val="000000" w:themeColor="text1"/>
        </w:rPr>
        <w:lastRenderedPageBreak/>
        <w:t>foredragsholdere invitert inn i møtene. Mot slutten av utvalgsperioden ble møtene utelukkende benyttet til utvalgets interne gjennomgang og drøfting av tekster og anbefalinger. Tabell 1.2 gir en kort oversikt over datoer, tema og bidragsytere for utvalgets møter.</w:t>
      </w:r>
    </w:p>
    <w:p w14:paraId="192186C2" w14:textId="4B5D3EFC" w:rsidR="00E61CCA" w:rsidRDefault="00E61CCA" w:rsidP="00775632">
      <w:pPr>
        <w:pStyle w:val="tabell-tittel"/>
      </w:pPr>
      <w:r>
        <w:t>Oversikt over ekspertutvalgets</w:t>
      </w:r>
      <w:r w:rsidDel="00EE36CB">
        <w:t xml:space="preserve"> </w:t>
      </w:r>
      <w:r>
        <w:t>møter med eksterne bidragsytere</w:t>
      </w:r>
    </w:p>
    <w:tbl>
      <w:tblPr>
        <w:tblStyle w:val="EUTabellstil"/>
        <w:tblW w:w="5000" w:type="pct"/>
        <w:tblLook w:val="04A0" w:firstRow="1" w:lastRow="0" w:firstColumn="1" w:lastColumn="0" w:noHBand="0" w:noVBand="1"/>
      </w:tblPr>
      <w:tblGrid>
        <w:gridCol w:w="1315"/>
        <w:gridCol w:w="5076"/>
        <w:gridCol w:w="3345"/>
      </w:tblGrid>
      <w:tr w:rsidR="00E61CCA" w:rsidRPr="001578E8" w14:paraId="1BD76732" w14:textId="77777777" w:rsidTr="009D5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tcBorders>
              <w:bottom w:val="single" w:sz="24" w:space="0" w:color="2A3652" w:themeColor="text2"/>
            </w:tcBorders>
            <w:shd w:val="clear" w:color="auto" w:fill="A9D6B9"/>
          </w:tcPr>
          <w:p w14:paraId="363B8C61" w14:textId="77777777" w:rsidR="00E61CCA" w:rsidRPr="001578E8" w:rsidRDefault="00E61CCA" w:rsidP="0088005B">
            <w:pPr>
              <w:pStyle w:val="TabellHode-kolonne"/>
            </w:pPr>
            <w:r w:rsidRPr="001578E8">
              <w:t>Møte dato</w:t>
            </w:r>
          </w:p>
        </w:tc>
        <w:tc>
          <w:tcPr>
            <w:tcW w:w="2607" w:type="pct"/>
            <w:tcBorders>
              <w:bottom w:val="single" w:sz="24" w:space="0" w:color="2A3652" w:themeColor="text2"/>
            </w:tcBorders>
            <w:shd w:val="clear" w:color="auto" w:fill="A9D6B9"/>
          </w:tcPr>
          <w:p w14:paraId="25853F27" w14:textId="77777777" w:rsidR="00E61CCA" w:rsidRPr="001578E8" w:rsidRDefault="00E61CCA" w:rsidP="0088005B">
            <w:pPr>
              <w:pStyle w:val="TabellHode-kolonne"/>
              <w:cnfStyle w:val="100000000000" w:firstRow="1" w:lastRow="0" w:firstColumn="0" w:lastColumn="0" w:oddVBand="0" w:evenVBand="0" w:oddHBand="0" w:evenHBand="0" w:firstRowFirstColumn="0" w:firstRowLastColumn="0" w:lastRowFirstColumn="0" w:lastRowLastColumn="0"/>
            </w:pPr>
            <w:r w:rsidRPr="001578E8">
              <w:t>Tema</w:t>
            </w:r>
          </w:p>
        </w:tc>
        <w:tc>
          <w:tcPr>
            <w:tcW w:w="1718" w:type="pct"/>
            <w:tcBorders>
              <w:bottom w:val="single" w:sz="24" w:space="0" w:color="2A3652" w:themeColor="text2"/>
            </w:tcBorders>
            <w:shd w:val="clear" w:color="auto" w:fill="A9D6B9"/>
          </w:tcPr>
          <w:p w14:paraId="0D374179" w14:textId="56C58D9F" w:rsidR="00E61CCA" w:rsidRPr="001578E8" w:rsidRDefault="00E61CCA" w:rsidP="0088005B">
            <w:pPr>
              <w:pStyle w:val="TabellHode-kolonne"/>
              <w:cnfStyle w:val="100000000000" w:firstRow="1" w:lastRow="0" w:firstColumn="0" w:lastColumn="0" w:oddVBand="0" w:evenVBand="0" w:oddHBand="0" w:evenHBand="0" w:firstRowFirstColumn="0" w:firstRowLastColumn="0" w:lastRowFirstColumn="0" w:lastRowLastColumn="0"/>
            </w:pPr>
            <w:r w:rsidRPr="001578E8">
              <w:t>Eksterne bidragsytere</w:t>
            </w:r>
          </w:p>
        </w:tc>
      </w:tr>
      <w:tr w:rsidR="00E61CCA" w:rsidRPr="001578E8" w14:paraId="3A59CDEB" w14:textId="77777777" w:rsidTr="00EA568C">
        <w:tc>
          <w:tcPr>
            <w:cnfStyle w:val="001000000000" w:firstRow="0" w:lastRow="0" w:firstColumn="1" w:lastColumn="0" w:oddVBand="0" w:evenVBand="0" w:oddHBand="0" w:evenHBand="0" w:firstRowFirstColumn="0" w:firstRowLastColumn="0" w:lastRowFirstColumn="0" w:lastRowLastColumn="0"/>
            <w:tcW w:w="675" w:type="pct"/>
            <w:tcBorders>
              <w:top w:val="single" w:sz="24" w:space="0" w:color="2A3652" w:themeColor="text2"/>
            </w:tcBorders>
          </w:tcPr>
          <w:p w14:paraId="319EB165" w14:textId="77777777" w:rsidR="00E61CCA" w:rsidRPr="001578E8" w:rsidRDefault="00E61CCA" w:rsidP="0088005B">
            <w:pPr>
              <w:pStyle w:val="TabellHode-rad"/>
            </w:pPr>
            <w:r w:rsidRPr="001578E8">
              <w:t>24.08.22</w:t>
            </w:r>
          </w:p>
        </w:tc>
        <w:tc>
          <w:tcPr>
            <w:tcW w:w="2607" w:type="pct"/>
            <w:tcBorders>
              <w:top w:val="single" w:sz="24" w:space="0" w:color="2A3652" w:themeColor="text2"/>
            </w:tcBorders>
          </w:tcPr>
          <w:p w14:paraId="30084D6E"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Gjennomgang av mandatet</w:t>
            </w:r>
          </w:p>
          <w:p w14:paraId="498F315A"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Orientering om kunnskapsstatus</w:t>
            </w:r>
          </w:p>
          <w:p w14:paraId="156532F9"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 xml:space="preserve">Hovedutfordringer og mulige tiltak </w:t>
            </w:r>
          </w:p>
        </w:tc>
        <w:tc>
          <w:tcPr>
            <w:tcW w:w="1718" w:type="pct"/>
            <w:tcBorders>
              <w:top w:val="single" w:sz="24" w:space="0" w:color="2A3652" w:themeColor="text2"/>
            </w:tcBorders>
          </w:tcPr>
          <w:p w14:paraId="666135CC"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HOD, KS, Legeforeningen, Oslo kommune</w:t>
            </w:r>
          </w:p>
        </w:tc>
      </w:tr>
      <w:tr w:rsidR="00E61CCA" w:rsidRPr="001578E8" w14:paraId="371B9095"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223D7F0C" w14:textId="77777777" w:rsidR="00E61CCA" w:rsidRPr="001578E8" w:rsidRDefault="00E61CCA" w:rsidP="0088005B">
            <w:pPr>
              <w:pStyle w:val="TabellHode-rad"/>
            </w:pPr>
            <w:r w:rsidRPr="001578E8">
              <w:t>09.09.22</w:t>
            </w:r>
          </w:p>
        </w:tc>
        <w:tc>
          <w:tcPr>
            <w:tcW w:w="2607" w:type="pct"/>
          </w:tcPr>
          <w:p w14:paraId="2C3FBE8F"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Rutiner og prosess for arbeidet</w:t>
            </w:r>
          </w:p>
          <w:p w14:paraId="247E4D91"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Status utfordringsbildet</w:t>
            </w:r>
          </w:p>
          <w:p w14:paraId="1C727072"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Målsetninger</w:t>
            </w:r>
          </w:p>
          <w:p w14:paraId="6D5084CD"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Legevakt</w:t>
            </w:r>
          </w:p>
        </w:tc>
        <w:tc>
          <w:tcPr>
            <w:tcW w:w="1718" w:type="pct"/>
          </w:tcPr>
          <w:p w14:paraId="45039FF0"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Helsedirektoratet</w:t>
            </w:r>
          </w:p>
        </w:tc>
      </w:tr>
      <w:tr w:rsidR="00E61CCA" w:rsidRPr="001578E8" w14:paraId="07906885"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3A56EA66" w14:textId="73D6E566" w:rsidR="00E61CCA" w:rsidRPr="001578E8" w:rsidRDefault="00E61CCA" w:rsidP="0088005B">
            <w:pPr>
              <w:pStyle w:val="TabellHode-rad"/>
            </w:pPr>
            <w:r w:rsidRPr="001578E8">
              <w:t>30.09.22</w:t>
            </w:r>
          </w:p>
        </w:tc>
        <w:tc>
          <w:tcPr>
            <w:tcW w:w="2607" w:type="pct"/>
          </w:tcPr>
          <w:p w14:paraId="590D3FE7"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Legevakt</w:t>
            </w:r>
          </w:p>
          <w:p w14:paraId="31E04671" w14:textId="55B698B5"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Kunnskap fra andre land</w:t>
            </w:r>
          </w:p>
          <w:p w14:paraId="03FB1DCB"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Kompetanse</w:t>
            </w:r>
          </w:p>
        </w:tc>
        <w:tc>
          <w:tcPr>
            <w:tcW w:w="1718" w:type="pct"/>
          </w:tcPr>
          <w:p w14:paraId="53B2A5D3"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NKLM, NSDM og UiB, Spesialistkomiteen, Helsedirektoratet</w:t>
            </w:r>
          </w:p>
        </w:tc>
      </w:tr>
      <w:tr w:rsidR="00E61CCA" w:rsidRPr="001578E8" w14:paraId="23553D4E"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4A067A20" w14:textId="77777777" w:rsidR="00E61CCA" w:rsidRPr="001578E8" w:rsidRDefault="00E61CCA" w:rsidP="0088005B">
            <w:pPr>
              <w:pStyle w:val="TabellHode-rad"/>
            </w:pPr>
            <w:r w:rsidRPr="001578E8">
              <w:t xml:space="preserve">14.10.22 </w:t>
            </w:r>
          </w:p>
        </w:tc>
        <w:tc>
          <w:tcPr>
            <w:tcW w:w="2607" w:type="pct"/>
          </w:tcPr>
          <w:p w14:paraId="75880639"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Kompetansekrav og spesialisering</w:t>
            </w:r>
          </w:p>
          <w:p w14:paraId="7E63A86C"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Fast ansettelse i fastlegeordningen</w:t>
            </w:r>
          </w:p>
          <w:p w14:paraId="504130D8"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Oppgaver som kan flyttes ut av fastlegeordningen</w:t>
            </w:r>
          </w:p>
        </w:tc>
        <w:tc>
          <w:tcPr>
            <w:tcW w:w="1718" w:type="pct"/>
          </w:tcPr>
          <w:p w14:paraId="6FFBA0D0"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Helsedirektoratet, Drammen kommune, Narvik kommune, Notodden kommune, Brumunddal legesenter, NAV</w:t>
            </w:r>
          </w:p>
        </w:tc>
      </w:tr>
      <w:tr w:rsidR="00E61CCA" w:rsidRPr="001578E8" w14:paraId="2A848966"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181DA8FD" w14:textId="77777777" w:rsidR="00E61CCA" w:rsidRPr="001578E8" w:rsidRDefault="00E61CCA" w:rsidP="0088005B">
            <w:pPr>
              <w:pStyle w:val="TabellHode-rad"/>
            </w:pPr>
            <w:r w:rsidRPr="001578E8">
              <w:t>27.-28.10.22</w:t>
            </w:r>
          </w:p>
        </w:tc>
        <w:tc>
          <w:tcPr>
            <w:tcW w:w="2607" w:type="pct"/>
          </w:tcPr>
          <w:p w14:paraId="44E8A89C"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Om helprivate allmennlegetjenester</w:t>
            </w:r>
          </w:p>
          <w:p w14:paraId="2C993314"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Om finansiering av allmennlegetjenesten</w:t>
            </w:r>
          </w:p>
          <w:p w14:paraId="0C4947E8"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Helsepersonellkommisjonens arbeid</w:t>
            </w:r>
          </w:p>
          <w:p w14:paraId="72584740"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Fordeling basistilskudd og takst</w:t>
            </w:r>
          </w:p>
          <w:p w14:paraId="3FB25664"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Finansiering i andre land – erfaringer</w:t>
            </w:r>
          </w:p>
          <w:p w14:paraId="37A902C9"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Kvalitetselement i basistilskuddet</w:t>
            </w:r>
          </w:p>
          <w:p w14:paraId="69DCA54B"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Differensiert/risikojustert basistilskudd</w:t>
            </w:r>
          </w:p>
        </w:tc>
        <w:tc>
          <w:tcPr>
            <w:tcW w:w="1718" w:type="pct"/>
          </w:tcPr>
          <w:p w14:paraId="50BE2B00"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 xml:space="preserve">Dr. Dropin, Kry, Kommunalavdelingen KDD, Helsepersonellkommisjonen, KS, Legeforeningen, Helsedirektoratet, </w:t>
            </w:r>
            <w:r w:rsidRPr="001578E8">
              <w:br/>
              <w:t xml:space="preserve">Hälso- och sjukvårdsförvaltningen, avd. Nærsjukvård region Stockholm, </w:t>
            </w:r>
            <w:r w:rsidRPr="001578E8">
              <w:br/>
              <w:t>Dansk Center for Sundhedsøkonomi,</w:t>
            </w:r>
            <w:r w:rsidRPr="001578E8" w:rsidDel="005E70FB">
              <w:t xml:space="preserve"> </w:t>
            </w:r>
            <w:r w:rsidRPr="001578E8">
              <w:t>SKIL</w:t>
            </w:r>
          </w:p>
        </w:tc>
      </w:tr>
      <w:tr w:rsidR="00E61CCA" w:rsidRPr="001578E8" w14:paraId="05418CF7"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13409286" w14:textId="162B75B0" w:rsidR="00E61CCA" w:rsidRPr="001578E8" w:rsidRDefault="00E61CCA" w:rsidP="0088005B">
            <w:pPr>
              <w:pStyle w:val="TabellHode-rad"/>
            </w:pPr>
            <w:r w:rsidRPr="001578E8">
              <w:t>11.11.22</w:t>
            </w:r>
          </w:p>
        </w:tc>
        <w:tc>
          <w:tcPr>
            <w:tcW w:w="2607" w:type="pct"/>
          </w:tcPr>
          <w:p w14:paraId="2F41CC9D"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Overdragelse av praksis</w:t>
            </w:r>
          </w:p>
          <w:p w14:paraId="0A5363C7"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Statistikk – foreløpige funn fra SSB</w:t>
            </w:r>
          </w:p>
          <w:p w14:paraId="3C277A5F"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Arbeid med mellomrapport 1. desember</w:t>
            </w:r>
          </w:p>
        </w:tc>
        <w:tc>
          <w:tcPr>
            <w:tcW w:w="1718" w:type="pct"/>
          </w:tcPr>
          <w:p w14:paraId="3DBEB656" w14:textId="77777777" w:rsidR="00D9107F"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Nasjonal nemnd i Legeforeningen,</w:t>
            </w:r>
          </w:p>
          <w:p w14:paraId="5F20B80C" w14:textId="6C596D30"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Seksjon for helse-, omsorg- og sosialstatistikk, SSB</w:t>
            </w:r>
          </w:p>
        </w:tc>
      </w:tr>
      <w:tr w:rsidR="00E61CCA" w:rsidRPr="001578E8" w14:paraId="06389708"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3EC982B9" w14:textId="77777777" w:rsidR="00E61CCA" w:rsidRPr="001578E8" w:rsidRDefault="00E61CCA" w:rsidP="0088005B">
            <w:pPr>
              <w:pStyle w:val="TabellHode-rad"/>
            </w:pPr>
            <w:r w:rsidRPr="001578E8">
              <w:t>21.11.22</w:t>
            </w:r>
          </w:p>
        </w:tc>
        <w:tc>
          <w:tcPr>
            <w:tcW w:w="2607" w:type="pct"/>
          </w:tcPr>
          <w:p w14:paraId="53A8C660"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Mellomrapport (totimers møte)</w:t>
            </w:r>
          </w:p>
        </w:tc>
        <w:tc>
          <w:tcPr>
            <w:tcW w:w="1718" w:type="pct"/>
          </w:tcPr>
          <w:p w14:paraId="0CCF428B"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rsidRPr="001578E8" w14:paraId="0E637D3A"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4406BACA" w14:textId="77777777" w:rsidR="00E61CCA" w:rsidRPr="001578E8" w:rsidRDefault="00E61CCA" w:rsidP="0088005B">
            <w:pPr>
              <w:pStyle w:val="TabellHode-rad"/>
            </w:pPr>
            <w:r w:rsidRPr="001578E8">
              <w:t>23.11.22</w:t>
            </w:r>
          </w:p>
        </w:tc>
        <w:tc>
          <w:tcPr>
            <w:tcW w:w="2607" w:type="pct"/>
          </w:tcPr>
          <w:p w14:paraId="5138A9A7"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Orientering om pågående arbeid, parallelle oppdrag og statsbudsjettet for 2023</w:t>
            </w:r>
          </w:p>
          <w:p w14:paraId="05D15672"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lastRenderedPageBreak/>
              <w:t>Digitalisering og bruk av ny teknologi</w:t>
            </w:r>
          </w:p>
          <w:p w14:paraId="4AEE00AC"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Mellomrapportens foreløpige vurderinger og anbefalinger</w:t>
            </w:r>
          </w:p>
        </w:tc>
        <w:tc>
          <w:tcPr>
            <w:tcW w:w="1718" w:type="pct"/>
          </w:tcPr>
          <w:p w14:paraId="540EA345" w14:textId="77777777" w:rsidR="00D9107F"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lastRenderedPageBreak/>
              <w:t>Helse- og omsorgsdepartementet</w:t>
            </w:r>
          </w:p>
          <w:p w14:paraId="3D15F4F7" w14:textId="5865CA4C"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lastRenderedPageBreak/>
              <w:t>Helsedirektoratet, Direktoratet for e-helse, Sykehuset Innlandet HF</w:t>
            </w:r>
          </w:p>
        </w:tc>
      </w:tr>
      <w:tr w:rsidR="00E61CCA" w:rsidRPr="001578E8" w14:paraId="25CB2B91"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19C7D737" w14:textId="77777777" w:rsidR="00E61CCA" w:rsidRPr="001578E8" w:rsidRDefault="00E61CCA" w:rsidP="0088005B">
            <w:pPr>
              <w:pStyle w:val="TabellHode-rad"/>
            </w:pPr>
            <w:r w:rsidRPr="001578E8">
              <w:lastRenderedPageBreak/>
              <w:t>14.12.22</w:t>
            </w:r>
          </w:p>
        </w:tc>
        <w:tc>
          <w:tcPr>
            <w:tcW w:w="2607" w:type="pct"/>
          </w:tcPr>
          <w:p w14:paraId="229814DA"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Evaluering av pilot primærhelseteam</w:t>
            </w:r>
          </w:p>
          <w:p w14:paraId="3F64A7B1"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Flerfaglige praksiser og oppgavedeling</w:t>
            </w:r>
          </w:p>
          <w:p w14:paraId="4EDBBD97"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Organisering, flerfaglige praksiser og oppgavedeling i allmennlegetjenesten,</w:t>
            </w:r>
          </w:p>
          <w:p w14:paraId="6456A867"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Bruk av teknologi</w:t>
            </w:r>
          </w:p>
          <w:p w14:paraId="32F7C68C" w14:textId="5F052B30"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Utvalgets drøftinger</w:t>
            </w:r>
          </w:p>
        </w:tc>
        <w:tc>
          <w:tcPr>
            <w:tcW w:w="1718" w:type="pct"/>
          </w:tcPr>
          <w:p w14:paraId="42AF525A" w14:textId="77777777" w:rsidR="00D9107F"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NSF, Fysioterapeutforbundet,</w:t>
            </w:r>
          </w:p>
          <w:p w14:paraId="5842DB70" w14:textId="77777777" w:rsidR="00D9107F"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Norsk manuellterapeutforening,</w:t>
            </w:r>
          </w:p>
          <w:p w14:paraId="58E35F48" w14:textId="5AF731EB"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 xml:space="preserve">Norsk psykologforening. </w:t>
            </w:r>
            <w:r w:rsidRPr="001578E8">
              <w:br/>
              <w:t>Vennesla legesenter</w:t>
            </w:r>
          </w:p>
        </w:tc>
      </w:tr>
      <w:tr w:rsidR="00E61CCA" w:rsidRPr="001578E8" w14:paraId="3D5E70FA"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7E532E6B" w14:textId="77777777" w:rsidR="00E61CCA" w:rsidRPr="001578E8" w:rsidRDefault="00E61CCA" w:rsidP="0088005B">
            <w:pPr>
              <w:pStyle w:val="TabellHode-rad"/>
            </w:pPr>
            <w:r w:rsidRPr="001578E8">
              <w:t>05.-06.01.23</w:t>
            </w:r>
          </w:p>
        </w:tc>
        <w:tc>
          <w:tcPr>
            <w:tcW w:w="2607" w:type="pct"/>
          </w:tcPr>
          <w:p w14:paraId="5828A96B"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Organisering og ledelse av framtidens allmennlegetjeneste – presentasjon av BI</w:t>
            </w:r>
          </w:p>
          <w:p w14:paraId="687F9551"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Presentasjon og gjennomgang av statistikk og analyser</w:t>
            </w:r>
          </w:p>
          <w:p w14:paraId="1398CF22" w14:textId="17E93414"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Utvalgets drøftinger</w:t>
            </w:r>
          </w:p>
        </w:tc>
        <w:tc>
          <w:tcPr>
            <w:tcW w:w="1718" w:type="pct"/>
          </w:tcPr>
          <w:p w14:paraId="684F1827"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 xml:space="preserve">Bedriftsøkonomisk Institutt, Oslo Economics, Folkehelseinstituttet, Statistisk Sentralbyrå </w:t>
            </w:r>
          </w:p>
        </w:tc>
      </w:tr>
      <w:tr w:rsidR="00E61CCA" w:rsidRPr="001578E8" w14:paraId="39B3C119"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6B20F45E" w14:textId="77777777" w:rsidR="00E61CCA" w:rsidRPr="001578E8" w:rsidRDefault="00E61CCA" w:rsidP="0088005B">
            <w:pPr>
              <w:pStyle w:val="TabellHode-rad"/>
            </w:pPr>
            <w:r w:rsidRPr="001578E8">
              <w:t>27.01.23</w:t>
            </w:r>
          </w:p>
        </w:tc>
        <w:tc>
          <w:tcPr>
            <w:tcW w:w="2607" w:type="pct"/>
          </w:tcPr>
          <w:p w14:paraId="12D45222"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Presentasjon av SIO Helse</w:t>
            </w:r>
          </w:p>
          <w:p w14:paraId="763600A5" w14:textId="01902B28"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Legevakt – presentasjon av Helsedirektoratets arbeid</w:t>
            </w:r>
          </w:p>
          <w:p w14:paraId="4EF4E14E" w14:textId="77777777" w:rsidR="00D9107F"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Presentasjon av NFR Prosjektet: Stykkprisfinansiering i primærhelsetjenesten</w:t>
            </w:r>
          </w:p>
          <w:p w14:paraId="3CACB316" w14:textId="765FA975"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 xml:space="preserve">Utvalgets drøftinger </w:t>
            </w:r>
          </w:p>
        </w:tc>
        <w:tc>
          <w:tcPr>
            <w:tcW w:w="1718" w:type="pct"/>
          </w:tcPr>
          <w:p w14:paraId="06E5D1F1" w14:textId="11B6C91C"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SiO Helse, Helsedirektoratet, Folkehelseinstituttet</w:t>
            </w:r>
          </w:p>
        </w:tc>
      </w:tr>
      <w:tr w:rsidR="00E61CCA" w:rsidRPr="001578E8" w14:paraId="5CBC0D43"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4003BEEA" w14:textId="77777777" w:rsidR="00E61CCA" w:rsidRPr="001578E8" w:rsidRDefault="00E61CCA" w:rsidP="0088005B">
            <w:pPr>
              <w:pStyle w:val="TabellHode-rad"/>
            </w:pPr>
            <w:r w:rsidRPr="001578E8">
              <w:t>13.-14.02.23</w:t>
            </w:r>
          </w:p>
        </w:tc>
        <w:tc>
          <w:tcPr>
            <w:tcW w:w="2607" w:type="pct"/>
          </w:tcPr>
          <w:p w14:paraId="6ABFE0E3" w14:textId="449E7DDA"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 xml:space="preserve">Spesialistutdanning i allmennmedisin – </w:t>
            </w:r>
            <w:r w:rsidRPr="001578E8">
              <w:br/>
              <w:t>Nye roller og mer ansvar for kommunene og Sluttevaluering av ALIS-Vest</w:t>
            </w:r>
          </w:p>
          <w:p w14:paraId="5E23420C"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Helsepersonellkommisjonens rapport</w:t>
            </w:r>
          </w:p>
          <w:p w14:paraId="09A9C18C" w14:textId="772F9D5D"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Utvalgets drøftinger</w:t>
            </w:r>
            <w:r w:rsidR="00D9107F" w:rsidRPr="001578E8">
              <w:t xml:space="preserve"> </w:t>
            </w:r>
          </w:p>
        </w:tc>
        <w:tc>
          <w:tcPr>
            <w:tcW w:w="1718" w:type="pct"/>
          </w:tcPr>
          <w:p w14:paraId="5072BCA6"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r w:rsidRPr="001578E8">
              <w:t xml:space="preserve">Helsepersonellkommisjonen, </w:t>
            </w:r>
            <w:r w:rsidRPr="001578E8">
              <w:br/>
              <w:t xml:space="preserve">Tom Willy Christiansen, KS og Stavanger kommune/K10 Helse og velferd </w:t>
            </w:r>
          </w:p>
        </w:tc>
      </w:tr>
      <w:tr w:rsidR="00E61CCA" w:rsidRPr="001578E8" w14:paraId="411E21F6"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35559ED4" w14:textId="77777777" w:rsidR="00E61CCA" w:rsidRPr="001578E8" w:rsidRDefault="00E61CCA" w:rsidP="0088005B">
            <w:pPr>
              <w:pStyle w:val="TabellHode-rad"/>
            </w:pPr>
            <w:r w:rsidRPr="001578E8">
              <w:t>08.03.23</w:t>
            </w:r>
          </w:p>
        </w:tc>
        <w:tc>
          <w:tcPr>
            <w:tcW w:w="2607" w:type="pct"/>
          </w:tcPr>
          <w:p w14:paraId="30BAFC8A"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Videre arbeid med rapporten og utkast til tekster</w:t>
            </w:r>
          </w:p>
        </w:tc>
        <w:tc>
          <w:tcPr>
            <w:tcW w:w="1718" w:type="pct"/>
          </w:tcPr>
          <w:p w14:paraId="10770597"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rsidRPr="001578E8" w14:paraId="0DD0207E"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3C09A55F" w14:textId="77777777" w:rsidR="00E61CCA" w:rsidRPr="001578E8" w:rsidRDefault="00E61CCA" w:rsidP="0088005B">
            <w:pPr>
              <w:pStyle w:val="TabellHode-rad"/>
            </w:pPr>
            <w:r w:rsidRPr="001578E8">
              <w:t>14.03.23</w:t>
            </w:r>
          </w:p>
        </w:tc>
        <w:tc>
          <w:tcPr>
            <w:tcW w:w="2607" w:type="pct"/>
          </w:tcPr>
          <w:p w14:paraId="591A0088"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Gjennomgang av tekster og videre drøfting</w:t>
            </w:r>
          </w:p>
        </w:tc>
        <w:tc>
          <w:tcPr>
            <w:tcW w:w="1718" w:type="pct"/>
          </w:tcPr>
          <w:p w14:paraId="55934523"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rsidRPr="001578E8" w14:paraId="4EB891FA"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047B2DE9" w14:textId="77777777" w:rsidR="00E61CCA" w:rsidRPr="001578E8" w:rsidRDefault="00E61CCA" w:rsidP="0088005B">
            <w:pPr>
              <w:pStyle w:val="TabellHode-rad"/>
            </w:pPr>
            <w:r w:rsidRPr="001578E8">
              <w:t>21.-22.03.23</w:t>
            </w:r>
          </w:p>
        </w:tc>
        <w:tc>
          <w:tcPr>
            <w:tcW w:w="2607" w:type="pct"/>
          </w:tcPr>
          <w:p w14:paraId="049CF69A"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Gjennomgang av tekster og videre drøfting</w:t>
            </w:r>
          </w:p>
        </w:tc>
        <w:tc>
          <w:tcPr>
            <w:tcW w:w="1718" w:type="pct"/>
          </w:tcPr>
          <w:p w14:paraId="14AD12D8"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rsidRPr="001578E8" w14:paraId="617A1931"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19C515CA" w14:textId="77777777" w:rsidR="00E61CCA" w:rsidRPr="001578E8" w:rsidRDefault="00E61CCA" w:rsidP="0088005B">
            <w:pPr>
              <w:pStyle w:val="TabellHode-rad"/>
            </w:pPr>
            <w:r w:rsidRPr="001578E8">
              <w:t>27.03.23</w:t>
            </w:r>
          </w:p>
        </w:tc>
        <w:tc>
          <w:tcPr>
            <w:tcW w:w="2607" w:type="pct"/>
          </w:tcPr>
          <w:p w14:paraId="38E1A46D"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 xml:space="preserve">Ferdigstille tekster og anbefalinger hovedrapport </w:t>
            </w:r>
          </w:p>
        </w:tc>
        <w:tc>
          <w:tcPr>
            <w:tcW w:w="1718" w:type="pct"/>
          </w:tcPr>
          <w:p w14:paraId="436DAC5C"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rsidRPr="001578E8" w14:paraId="1097A483"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2425497D" w14:textId="77777777" w:rsidR="00E61CCA" w:rsidRPr="001578E8" w:rsidRDefault="00E61CCA" w:rsidP="0088005B">
            <w:pPr>
              <w:pStyle w:val="TabellHode-rad"/>
            </w:pPr>
            <w:r w:rsidRPr="001578E8">
              <w:t>29.03.23</w:t>
            </w:r>
          </w:p>
        </w:tc>
        <w:tc>
          <w:tcPr>
            <w:tcW w:w="2607" w:type="pct"/>
          </w:tcPr>
          <w:p w14:paraId="45810E56"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Ferdigstille tekster og anbefalinger hovedrapport</w:t>
            </w:r>
          </w:p>
        </w:tc>
        <w:tc>
          <w:tcPr>
            <w:tcW w:w="1718" w:type="pct"/>
          </w:tcPr>
          <w:p w14:paraId="030FCF7D"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r w:rsidR="00E61CCA" w14:paraId="4A903C5F" w14:textId="77777777" w:rsidTr="00EA568C">
        <w:tc>
          <w:tcPr>
            <w:cnfStyle w:val="001000000000" w:firstRow="0" w:lastRow="0" w:firstColumn="1" w:lastColumn="0" w:oddVBand="0" w:evenVBand="0" w:oddHBand="0" w:evenHBand="0" w:firstRowFirstColumn="0" w:firstRowLastColumn="0" w:lastRowFirstColumn="0" w:lastRowLastColumn="0"/>
            <w:tcW w:w="675" w:type="pct"/>
          </w:tcPr>
          <w:p w14:paraId="248EEE9D" w14:textId="77777777" w:rsidR="00E61CCA" w:rsidRPr="001578E8" w:rsidRDefault="00E61CCA" w:rsidP="0088005B">
            <w:pPr>
              <w:pStyle w:val="TabellHode-rad"/>
            </w:pPr>
            <w:r w:rsidRPr="001578E8">
              <w:t>31.03.23</w:t>
            </w:r>
          </w:p>
        </w:tc>
        <w:tc>
          <w:tcPr>
            <w:tcW w:w="2607" w:type="pct"/>
          </w:tcPr>
          <w:p w14:paraId="1A64D048" w14:textId="77777777" w:rsidR="00E61CCA" w:rsidRPr="001578E8" w:rsidRDefault="00E61CCA" w:rsidP="00775632">
            <w:pPr>
              <w:pStyle w:val="Listebombe"/>
              <w:cnfStyle w:val="000000000000" w:firstRow="0" w:lastRow="0" w:firstColumn="0" w:lastColumn="0" w:oddVBand="0" w:evenVBand="0" w:oddHBand="0" w:evenHBand="0" w:firstRowFirstColumn="0" w:firstRowLastColumn="0" w:lastRowFirstColumn="0" w:lastRowLastColumn="0"/>
            </w:pPr>
            <w:r w:rsidRPr="001578E8">
              <w:t>Ferdigstille tekster og anbefalinger hovedrapport</w:t>
            </w:r>
          </w:p>
        </w:tc>
        <w:tc>
          <w:tcPr>
            <w:tcW w:w="1718" w:type="pct"/>
          </w:tcPr>
          <w:p w14:paraId="28972C6E" w14:textId="77777777" w:rsidR="00E61CCA" w:rsidRPr="001578E8" w:rsidRDefault="00E61CCA" w:rsidP="0088005B">
            <w:pPr>
              <w:cnfStyle w:val="000000000000" w:firstRow="0" w:lastRow="0" w:firstColumn="0" w:lastColumn="0" w:oddVBand="0" w:evenVBand="0" w:oddHBand="0" w:evenHBand="0" w:firstRowFirstColumn="0" w:firstRowLastColumn="0" w:lastRowFirstColumn="0" w:lastRowLastColumn="0"/>
            </w:pPr>
          </w:p>
        </w:tc>
      </w:tr>
    </w:tbl>
    <w:p w14:paraId="4028CC05" w14:textId="77777777" w:rsidR="00D9107F" w:rsidRDefault="002121DD" w:rsidP="00775632">
      <w:pPr>
        <w:pStyle w:val="Overskrift2"/>
      </w:pPr>
      <w:bookmarkStart w:id="185" w:name="_Toc131062074"/>
      <w:bookmarkStart w:id="186" w:name="_Toc131062328"/>
      <w:bookmarkStart w:id="187" w:name="_Toc131062589"/>
      <w:bookmarkStart w:id="188" w:name="_Toc131062842"/>
      <w:bookmarkStart w:id="189" w:name="_Toc131063610"/>
      <w:bookmarkStart w:id="190" w:name="_Toc131064030"/>
      <w:bookmarkStart w:id="191" w:name="_Toc131238274"/>
      <w:bookmarkStart w:id="192" w:name="_Toc131279302"/>
      <w:bookmarkStart w:id="193" w:name="_Toc131286714"/>
      <w:bookmarkStart w:id="194" w:name="_Toc131281124"/>
      <w:bookmarkStart w:id="195" w:name="_Toc131317664"/>
      <w:bookmarkStart w:id="196" w:name="_Toc132536888"/>
      <w:r w:rsidRPr="0093726E">
        <w:t>Kunns</w:t>
      </w:r>
      <w:r w:rsidRPr="00642398">
        <w:t>kapsgrunnlag</w:t>
      </w:r>
      <w:bookmarkEnd w:id="185"/>
      <w:bookmarkEnd w:id="186"/>
      <w:bookmarkEnd w:id="187"/>
      <w:bookmarkEnd w:id="188"/>
      <w:bookmarkEnd w:id="189"/>
      <w:bookmarkEnd w:id="190"/>
      <w:bookmarkEnd w:id="191"/>
      <w:bookmarkEnd w:id="192"/>
      <w:bookmarkEnd w:id="193"/>
      <w:bookmarkEnd w:id="194"/>
      <w:bookmarkEnd w:id="195"/>
      <w:bookmarkEnd w:id="196"/>
    </w:p>
    <w:p w14:paraId="23B91F01" w14:textId="77777777" w:rsidR="00D9107F" w:rsidRDefault="002121DD" w:rsidP="00C629AE">
      <w:pPr>
        <w:rPr>
          <w:color w:val="000000" w:themeColor="text1"/>
        </w:rPr>
      </w:pPr>
      <w:r w:rsidRPr="00210EF7">
        <w:rPr>
          <w:color w:val="000000" w:themeColor="text1"/>
        </w:rPr>
        <w:t xml:space="preserve">Det finnes en rekke rapporter og notater om ulike deler av allmennlegetjenesten. Myndighetene har også igangsatt arbeid for å gjøre allmennlegetjenesten mer bærekraftig. </w:t>
      </w:r>
      <w:r w:rsidRPr="00210EF7">
        <w:rPr>
          <w:color w:val="000000" w:themeColor="text1"/>
        </w:rPr>
        <w:lastRenderedPageBreak/>
        <w:t>God oversikt over eksisterende kunnskapsgrunnlag, tiltak og erfaringer har vært viktig for utvalget</w:t>
      </w:r>
      <w:r w:rsidR="009A07DC" w:rsidRPr="00210EF7">
        <w:rPr>
          <w:color w:val="000000" w:themeColor="text1"/>
        </w:rPr>
        <w:t>.</w:t>
      </w:r>
    </w:p>
    <w:p w14:paraId="303336D0" w14:textId="77777777" w:rsidR="00D9107F" w:rsidRDefault="002121DD" w:rsidP="00C629AE">
      <w:pPr>
        <w:rPr>
          <w:color w:val="000000" w:themeColor="text1"/>
        </w:rPr>
      </w:pPr>
      <w:r w:rsidRPr="00210EF7">
        <w:rPr>
          <w:color w:val="000000" w:themeColor="text1"/>
        </w:rPr>
        <w:t>Utvalget har bygget sitt arbeid og sine vurderinger på innsikt fra eksisterende kunnskap</w:t>
      </w:r>
      <w:r w:rsidR="0054727D" w:rsidRPr="00210EF7">
        <w:rPr>
          <w:color w:val="000000" w:themeColor="text1"/>
        </w:rPr>
        <w:t>,</w:t>
      </w:r>
      <w:r w:rsidRPr="00210EF7">
        <w:rPr>
          <w:color w:val="000000" w:themeColor="text1"/>
        </w:rPr>
        <w:t xml:space="preserve"> og på innhenting av ny informasjon, kunnskap og statistikk om allmennlegetjenesten.</w:t>
      </w:r>
    </w:p>
    <w:p w14:paraId="6A14E68C" w14:textId="77777777" w:rsidR="00D9107F" w:rsidRDefault="001249D1" w:rsidP="00775632">
      <w:pPr>
        <w:pStyle w:val="Overskrift3"/>
      </w:pPr>
      <w:bookmarkStart w:id="197" w:name="_Toc131238275"/>
      <w:bookmarkStart w:id="198" w:name="_Toc131279303"/>
      <w:bookmarkStart w:id="199" w:name="_Toc131286715"/>
      <w:bookmarkStart w:id="200" w:name="_Toc131281125"/>
      <w:bookmarkStart w:id="201" w:name="_Toc131317665"/>
      <w:bookmarkStart w:id="202" w:name="_Toc132536889"/>
      <w:r>
        <w:t>Innhentet s</w:t>
      </w:r>
      <w:r w:rsidR="00E02A6A">
        <w:t xml:space="preserve">tatistikk </w:t>
      </w:r>
      <w:r w:rsidR="009A07DC">
        <w:t>fra FHI og SSB</w:t>
      </w:r>
      <w:bookmarkEnd w:id="197"/>
      <w:bookmarkEnd w:id="198"/>
      <w:bookmarkEnd w:id="199"/>
      <w:bookmarkEnd w:id="200"/>
      <w:bookmarkEnd w:id="201"/>
      <w:bookmarkEnd w:id="202"/>
    </w:p>
    <w:p w14:paraId="50596518" w14:textId="77777777" w:rsidR="00D9107F" w:rsidRDefault="0045455D" w:rsidP="00C629AE">
      <w:pPr>
        <w:rPr>
          <w:color w:val="000000" w:themeColor="text1"/>
        </w:rPr>
      </w:pPr>
      <w:r w:rsidRPr="00210EF7">
        <w:rPr>
          <w:color w:val="000000" w:themeColor="text1"/>
        </w:rPr>
        <w:t>Ekspert</w:t>
      </w:r>
      <w:r w:rsidR="00853ABF" w:rsidRPr="00210EF7">
        <w:rPr>
          <w:color w:val="000000" w:themeColor="text1"/>
        </w:rPr>
        <w:t>u</w:t>
      </w:r>
      <w:r w:rsidR="00A13838" w:rsidRPr="00210EF7">
        <w:rPr>
          <w:color w:val="000000" w:themeColor="text1"/>
        </w:rPr>
        <w:t xml:space="preserve">tvalget har bedt FHI utføre </w:t>
      </w:r>
      <w:r w:rsidR="00493418" w:rsidRPr="00210EF7">
        <w:rPr>
          <w:color w:val="000000" w:themeColor="text1"/>
        </w:rPr>
        <w:t xml:space="preserve">en rekke </w:t>
      </w:r>
      <w:r w:rsidR="00A64AB7" w:rsidRPr="00210EF7">
        <w:rPr>
          <w:color w:val="000000" w:themeColor="text1"/>
        </w:rPr>
        <w:t>register</w:t>
      </w:r>
      <w:r w:rsidR="00A13838" w:rsidRPr="00210EF7">
        <w:rPr>
          <w:color w:val="000000" w:themeColor="text1"/>
        </w:rPr>
        <w:t xml:space="preserve">analyser for å belyse ulike sider av utfordringsbildet. </w:t>
      </w:r>
      <w:r w:rsidR="00E910E1" w:rsidRPr="00210EF7">
        <w:rPr>
          <w:color w:val="000000" w:themeColor="text1"/>
        </w:rPr>
        <w:t xml:space="preserve">Analysene </w:t>
      </w:r>
      <w:r w:rsidR="00C95B84" w:rsidRPr="00210EF7">
        <w:rPr>
          <w:color w:val="000000" w:themeColor="text1"/>
        </w:rPr>
        <w:t>se</w:t>
      </w:r>
      <w:r w:rsidR="00504AB4" w:rsidRPr="00210EF7">
        <w:rPr>
          <w:color w:val="000000" w:themeColor="text1"/>
        </w:rPr>
        <w:t>r</w:t>
      </w:r>
      <w:r w:rsidR="00C95B84" w:rsidRPr="00210EF7">
        <w:rPr>
          <w:color w:val="000000" w:themeColor="text1"/>
        </w:rPr>
        <w:t xml:space="preserve"> på</w:t>
      </w:r>
      <w:r w:rsidR="00A13838" w:rsidRPr="00210EF7">
        <w:rPr>
          <w:color w:val="000000" w:themeColor="text1"/>
        </w:rPr>
        <w:t xml:space="preserve"> utviklingen i allmennlegetjenestene </w:t>
      </w:r>
      <w:r w:rsidR="00BE090E" w:rsidRPr="00210EF7">
        <w:rPr>
          <w:color w:val="000000" w:themeColor="text1"/>
        </w:rPr>
        <w:t>over tid</w:t>
      </w:r>
      <w:r w:rsidR="00F71454" w:rsidRPr="00210EF7">
        <w:rPr>
          <w:color w:val="000000" w:themeColor="text1"/>
        </w:rPr>
        <w:t>,</w:t>
      </w:r>
      <w:r w:rsidR="00A13838" w:rsidRPr="00210EF7">
        <w:rPr>
          <w:color w:val="000000" w:themeColor="text1"/>
        </w:rPr>
        <w:t xml:space="preserve"> med vekt på innbyggernes behov og perspektiv</w:t>
      </w:r>
      <w:r w:rsidR="0073463E" w:rsidRPr="00210EF7">
        <w:rPr>
          <w:color w:val="000000" w:themeColor="text1"/>
        </w:rPr>
        <w:t>, og inkluderer</w:t>
      </w:r>
      <w:r w:rsidR="007477C4" w:rsidRPr="00210EF7">
        <w:rPr>
          <w:color w:val="000000" w:themeColor="text1"/>
        </w:rPr>
        <w:t xml:space="preserve"> </w:t>
      </w:r>
      <w:r w:rsidR="00A13838" w:rsidRPr="00210EF7">
        <w:rPr>
          <w:color w:val="000000" w:themeColor="text1"/>
        </w:rPr>
        <w:t xml:space="preserve">befolkningens tilgang til og bruk av fastlege, og </w:t>
      </w:r>
      <w:r w:rsidR="005462AF" w:rsidRPr="00210EF7">
        <w:rPr>
          <w:color w:val="000000" w:themeColor="text1"/>
        </w:rPr>
        <w:t xml:space="preserve">kontinuitet i forholdet mellom listeinnbygger og </w:t>
      </w:r>
      <w:r w:rsidR="00ED021F" w:rsidRPr="00210EF7">
        <w:rPr>
          <w:color w:val="000000" w:themeColor="text1"/>
        </w:rPr>
        <w:t xml:space="preserve">fastlege. </w:t>
      </w:r>
      <w:r w:rsidR="00880787" w:rsidRPr="00210EF7">
        <w:rPr>
          <w:color w:val="000000" w:themeColor="text1"/>
        </w:rPr>
        <w:t>Bestillingen omfatter</w:t>
      </w:r>
      <w:r w:rsidR="005F1F0B" w:rsidRPr="00210EF7">
        <w:rPr>
          <w:color w:val="000000" w:themeColor="text1"/>
        </w:rPr>
        <w:t xml:space="preserve"> </w:t>
      </w:r>
      <w:r w:rsidR="002608FF" w:rsidRPr="00210EF7">
        <w:rPr>
          <w:color w:val="000000" w:themeColor="text1"/>
        </w:rPr>
        <w:t>også</w:t>
      </w:r>
      <w:r w:rsidR="00843C17" w:rsidRPr="00210EF7">
        <w:rPr>
          <w:color w:val="000000" w:themeColor="text1"/>
        </w:rPr>
        <w:t xml:space="preserve"> </w:t>
      </w:r>
      <w:r w:rsidR="005F1F0B" w:rsidRPr="00210EF7">
        <w:rPr>
          <w:color w:val="000000" w:themeColor="text1"/>
        </w:rPr>
        <w:t xml:space="preserve">analyser </w:t>
      </w:r>
      <w:r w:rsidR="6940EC25" w:rsidRPr="00210EF7">
        <w:rPr>
          <w:color w:val="000000" w:themeColor="text1"/>
        </w:rPr>
        <w:t>for</w:t>
      </w:r>
      <w:r w:rsidR="5810AB36" w:rsidRPr="00210EF7">
        <w:rPr>
          <w:color w:val="000000" w:themeColor="text1"/>
        </w:rPr>
        <w:t xml:space="preserve"> </w:t>
      </w:r>
      <w:r w:rsidR="0EC4ABDE" w:rsidRPr="00210EF7">
        <w:rPr>
          <w:color w:val="000000" w:themeColor="text1"/>
        </w:rPr>
        <w:t>å</w:t>
      </w:r>
      <w:r w:rsidR="00843C17" w:rsidRPr="00210EF7">
        <w:rPr>
          <w:color w:val="000000" w:themeColor="text1"/>
        </w:rPr>
        <w:t xml:space="preserve"> beskrive</w:t>
      </w:r>
      <w:r w:rsidR="00A13838" w:rsidRPr="00210EF7">
        <w:rPr>
          <w:color w:val="000000" w:themeColor="text1"/>
        </w:rPr>
        <w:t xml:space="preserve"> fastlegenes situasjon og hvordan denne har utviklet seg over tid</w:t>
      </w:r>
      <w:r w:rsidR="00832CC8" w:rsidRPr="00210EF7">
        <w:rPr>
          <w:color w:val="000000" w:themeColor="text1"/>
        </w:rPr>
        <w:t>,</w:t>
      </w:r>
      <w:r w:rsidR="00A5705C" w:rsidRPr="00210EF7">
        <w:rPr>
          <w:color w:val="000000" w:themeColor="text1"/>
        </w:rPr>
        <w:t xml:space="preserve"> </w:t>
      </w:r>
      <w:r w:rsidR="00832CC8" w:rsidRPr="00210EF7">
        <w:rPr>
          <w:color w:val="000000" w:themeColor="text1"/>
        </w:rPr>
        <w:t>som</w:t>
      </w:r>
      <w:r w:rsidR="00A13838" w:rsidRPr="00210EF7">
        <w:rPr>
          <w:color w:val="000000" w:themeColor="text1"/>
        </w:rPr>
        <w:t xml:space="preserve"> rekruttering og avgang til fastlegeordningen</w:t>
      </w:r>
      <w:r w:rsidR="00832CC8" w:rsidRPr="00210EF7">
        <w:rPr>
          <w:color w:val="000000" w:themeColor="text1"/>
        </w:rPr>
        <w:t>,</w:t>
      </w:r>
      <w:r w:rsidR="00A13838" w:rsidRPr="00210EF7">
        <w:rPr>
          <w:color w:val="000000" w:themeColor="text1"/>
        </w:rPr>
        <w:t xml:space="preserve"> utvikling i listelengde per fastlege</w:t>
      </w:r>
      <w:r w:rsidR="00A5705C" w:rsidRPr="00210EF7">
        <w:rPr>
          <w:color w:val="000000" w:themeColor="text1"/>
        </w:rPr>
        <w:t>,</w:t>
      </w:r>
      <w:r w:rsidR="00A13838" w:rsidRPr="00210EF7">
        <w:rPr>
          <w:color w:val="000000" w:themeColor="text1"/>
        </w:rPr>
        <w:t xml:space="preserve"> fastlegens arbeid utover kontortid, </w:t>
      </w:r>
      <w:r w:rsidR="00832CC8" w:rsidRPr="00210EF7">
        <w:rPr>
          <w:color w:val="000000" w:themeColor="text1"/>
        </w:rPr>
        <w:t>og</w:t>
      </w:r>
      <w:r w:rsidR="00A5705C" w:rsidRPr="00210EF7">
        <w:rPr>
          <w:color w:val="000000" w:themeColor="text1"/>
        </w:rPr>
        <w:t xml:space="preserve"> </w:t>
      </w:r>
      <w:r w:rsidR="00A13838" w:rsidRPr="00210EF7">
        <w:rPr>
          <w:color w:val="000000" w:themeColor="text1"/>
        </w:rPr>
        <w:t>omfang/utbredelse av de ulike driftsformene.</w:t>
      </w:r>
    </w:p>
    <w:p w14:paraId="502B093E" w14:textId="77777777" w:rsidR="00D9107F" w:rsidRDefault="008F1DEE" w:rsidP="00C629AE">
      <w:pPr>
        <w:rPr>
          <w:color w:val="000000" w:themeColor="text1"/>
        </w:rPr>
      </w:pPr>
      <w:r w:rsidRPr="00210EF7">
        <w:rPr>
          <w:color w:val="000000" w:themeColor="text1"/>
        </w:rPr>
        <w:t>Ekspertutvalget har</w:t>
      </w:r>
      <w:r w:rsidR="00CC4B39" w:rsidRPr="00210EF7">
        <w:rPr>
          <w:color w:val="000000" w:themeColor="text1"/>
        </w:rPr>
        <w:t xml:space="preserve"> også </w:t>
      </w:r>
      <w:r w:rsidRPr="00210EF7">
        <w:rPr>
          <w:color w:val="000000" w:themeColor="text1"/>
        </w:rPr>
        <w:t xml:space="preserve">bestilt registeranalyser fra SSB </w:t>
      </w:r>
      <w:r w:rsidR="00CC4B39" w:rsidRPr="00210EF7">
        <w:rPr>
          <w:color w:val="000000" w:themeColor="text1"/>
        </w:rPr>
        <w:t>som</w:t>
      </w:r>
      <w:r w:rsidRPr="00210EF7">
        <w:rPr>
          <w:color w:val="000000" w:themeColor="text1"/>
        </w:rPr>
        <w:t xml:space="preserve"> omfatter inntektsutviklingen for fastleger, sammenliknet med sykehusleger og andre relevante legegrupper. </w:t>
      </w:r>
      <w:r w:rsidR="00E61CCA" w:rsidRPr="00210EF7">
        <w:rPr>
          <w:color w:val="000000" w:themeColor="text1"/>
        </w:rPr>
        <w:t>SSB utfører</w:t>
      </w:r>
      <w:r w:rsidRPr="00210EF7">
        <w:rPr>
          <w:color w:val="000000" w:themeColor="text1"/>
        </w:rPr>
        <w:t xml:space="preserve"> også analyser av hvor det blir av legene når de slutter som fastlege.</w:t>
      </w:r>
    </w:p>
    <w:p w14:paraId="2C8D8832" w14:textId="77777777" w:rsidR="00D9107F" w:rsidRDefault="5810AB36" w:rsidP="00C629AE">
      <w:pPr>
        <w:rPr>
          <w:color w:val="000000" w:themeColor="text1"/>
        </w:rPr>
      </w:pPr>
      <w:r w:rsidRPr="00210EF7">
        <w:rPr>
          <w:color w:val="000000" w:themeColor="text1"/>
        </w:rPr>
        <w:t xml:space="preserve">Forskerne har presentert statistikk og resultater </w:t>
      </w:r>
      <w:r w:rsidR="00F801AB" w:rsidRPr="00210EF7">
        <w:rPr>
          <w:color w:val="000000" w:themeColor="text1"/>
        </w:rPr>
        <w:t xml:space="preserve">i utvalgsmøter underveis, som kunnskapsgrunnlag </w:t>
      </w:r>
      <w:r w:rsidR="004D69BC" w:rsidRPr="00210EF7">
        <w:rPr>
          <w:color w:val="000000" w:themeColor="text1"/>
        </w:rPr>
        <w:t xml:space="preserve">for ekspertutvalgets </w:t>
      </w:r>
      <w:r w:rsidR="00F801AB" w:rsidRPr="00210EF7">
        <w:rPr>
          <w:color w:val="000000" w:themeColor="text1"/>
        </w:rPr>
        <w:t>arbeid.</w:t>
      </w:r>
    </w:p>
    <w:p w14:paraId="76E20C53" w14:textId="1E0E7AE6" w:rsidR="00EB0237" w:rsidRPr="00210EF7" w:rsidRDefault="004D69BC" w:rsidP="00C629AE">
      <w:pPr>
        <w:rPr>
          <w:color w:val="000000" w:themeColor="text1"/>
        </w:rPr>
      </w:pPr>
      <w:r w:rsidRPr="00210EF7">
        <w:rPr>
          <w:color w:val="000000" w:themeColor="text1"/>
        </w:rPr>
        <w:t>Analyser og resultater</w:t>
      </w:r>
      <w:r w:rsidR="009A2950" w:rsidRPr="00210EF7">
        <w:rPr>
          <w:color w:val="000000" w:themeColor="text1"/>
        </w:rPr>
        <w:t xml:space="preserve"> </w:t>
      </w:r>
      <w:r w:rsidR="00511A89" w:rsidRPr="00210EF7">
        <w:rPr>
          <w:color w:val="000000" w:themeColor="text1"/>
        </w:rPr>
        <w:t xml:space="preserve">publiseres som egne, uavhengige rapporter, notater eller artikler </w:t>
      </w:r>
      <w:r w:rsidR="002608FF" w:rsidRPr="00210EF7">
        <w:rPr>
          <w:color w:val="000000" w:themeColor="text1"/>
        </w:rPr>
        <w:t xml:space="preserve">av forskerne </w:t>
      </w:r>
      <w:r w:rsidR="008F1DEE" w:rsidRPr="00210EF7">
        <w:rPr>
          <w:color w:val="000000" w:themeColor="text1"/>
        </w:rPr>
        <w:t>ved FHI</w:t>
      </w:r>
      <w:r w:rsidR="0054727D" w:rsidRPr="00210EF7">
        <w:rPr>
          <w:color w:val="000000" w:themeColor="text1"/>
        </w:rPr>
        <w:t>,</w:t>
      </w:r>
      <w:r w:rsidR="002608FF" w:rsidRPr="00210EF7">
        <w:rPr>
          <w:color w:val="000000" w:themeColor="text1"/>
        </w:rPr>
        <w:t xml:space="preserve"> </w:t>
      </w:r>
      <w:r w:rsidR="00511A89" w:rsidRPr="00210EF7">
        <w:rPr>
          <w:color w:val="000000" w:themeColor="text1"/>
        </w:rPr>
        <w:t>etter at ekspertgruppens rapport er offentliggjort.</w:t>
      </w:r>
      <w:r w:rsidR="008F1DEE" w:rsidRPr="00210EF7">
        <w:rPr>
          <w:color w:val="000000" w:themeColor="text1"/>
        </w:rPr>
        <w:t xml:space="preserve"> Analyser og resultater vil ikke publiseres selvstendig av SSB.</w:t>
      </w:r>
    </w:p>
    <w:p w14:paraId="66A623F2" w14:textId="77777777" w:rsidR="007C346F" w:rsidRPr="005C095A" w:rsidRDefault="007C346F" w:rsidP="00775632">
      <w:pPr>
        <w:pStyle w:val="Overskrift3"/>
      </w:pPr>
      <w:bookmarkStart w:id="203" w:name="_Toc131062077"/>
      <w:bookmarkStart w:id="204" w:name="_Toc131062331"/>
      <w:bookmarkStart w:id="205" w:name="_Toc131062592"/>
      <w:bookmarkStart w:id="206" w:name="_Toc131062845"/>
      <w:bookmarkStart w:id="207" w:name="_Toc131063613"/>
      <w:bookmarkStart w:id="208" w:name="_Toc131064033"/>
      <w:bookmarkStart w:id="209" w:name="_Toc131238276"/>
      <w:bookmarkStart w:id="210" w:name="_Toc131279304"/>
      <w:bookmarkStart w:id="211" w:name="_Toc131286716"/>
      <w:bookmarkStart w:id="212" w:name="_Toc131281126"/>
      <w:bookmarkStart w:id="213" w:name="_Toc131317666"/>
      <w:bookmarkStart w:id="214" w:name="_Toc132536890"/>
      <w:r w:rsidRPr="005C095A">
        <w:t>Om allmennlegetjen</w:t>
      </w:r>
      <w:r w:rsidR="00A00802" w:rsidRPr="005C095A">
        <w:t>e</w:t>
      </w:r>
      <w:r w:rsidRPr="005C095A">
        <w:t>sten i andre land</w:t>
      </w:r>
      <w:bookmarkEnd w:id="203"/>
      <w:bookmarkEnd w:id="204"/>
      <w:bookmarkEnd w:id="205"/>
      <w:bookmarkEnd w:id="206"/>
      <w:bookmarkEnd w:id="207"/>
      <w:bookmarkEnd w:id="208"/>
      <w:bookmarkEnd w:id="209"/>
      <w:bookmarkEnd w:id="210"/>
      <w:bookmarkEnd w:id="211"/>
      <w:bookmarkEnd w:id="212"/>
      <w:bookmarkEnd w:id="213"/>
      <w:bookmarkEnd w:id="214"/>
    </w:p>
    <w:p w14:paraId="662E41DD" w14:textId="77777777" w:rsidR="00D9107F" w:rsidRDefault="00E018D9" w:rsidP="00C629AE">
      <w:pPr>
        <w:rPr>
          <w:color w:val="000000" w:themeColor="text1"/>
        </w:rPr>
      </w:pPr>
      <w:r w:rsidRPr="00210EF7">
        <w:rPr>
          <w:color w:val="000000" w:themeColor="text1"/>
        </w:rPr>
        <w:t>På oppdrag fra ekspertutvalget har Helsedirektoratet</w:t>
      </w:r>
      <w:r w:rsidR="0063772B" w:rsidRPr="00210EF7">
        <w:rPr>
          <w:color w:val="000000" w:themeColor="text1"/>
        </w:rPr>
        <w:t xml:space="preserve"> </w:t>
      </w:r>
      <w:r w:rsidR="00644309" w:rsidRPr="00210EF7">
        <w:rPr>
          <w:color w:val="000000" w:themeColor="text1"/>
        </w:rPr>
        <w:t xml:space="preserve">innhentet informasjon om det som tilsvarer allmennlegetjenesten i et utvalg andre land. </w:t>
      </w:r>
      <w:r w:rsidR="0063772B" w:rsidRPr="00210EF7">
        <w:rPr>
          <w:color w:val="000000" w:themeColor="text1"/>
        </w:rPr>
        <w:t>Utvalget av land inkluderer våre naboland Sverige, Danmark og Finland med en nordisk velferdsstatsmodell, og landene England, Skottland og Nederland</w:t>
      </w:r>
      <w:r w:rsidR="0054727D" w:rsidRPr="00210EF7">
        <w:rPr>
          <w:color w:val="000000" w:themeColor="text1"/>
        </w:rPr>
        <w:t>,</w:t>
      </w:r>
      <w:r w:rsidR="0063772B" w:rsidRPr="00210EF7">
        <w:rPr>
          <w:color w:val="000000" w:themeColor="text1"/>
        </w:rPr>
        <w:t xml:space="preserve"> som tradisjonelt er kjent for å ha en sterk allmennlegetjeneste med fellestrekk </w:t>
      </w:r>
      <w:r w:rsidR="00FE5D49" w:rsidRPr="00210EF7">
        <w:rPr>
          <w:color w:val="000000" w:themeColor="text1"/>
        </w:rPr>
        <w:t>med</w:t>
      </w:r>
      <w:r w:rsidR="0063772B" w:rsidRPr="00210EF7">
        <w:rPr>
          <w:color w:val="000000" w:themeColor="text1"/>
        </w:rPr>
        <w:t xml:space="preserve"> Norges modell.</w:t>
      </w:r>
    </w:p>
    <w:p w14:paraId="2DC2F436" w14:textId="77777777" w:rsidR="00D9107F" w:rsidRDefault="003A2576" w:rsidP="00C629AE">
      <w:pPr>
        <w:rPr>
          <w:color w:val="000000" w:themeColor="text1"/>
        </w:rPr>
      </w:pPr>
      <w:r w:rsidRPr="00210EF7">
        <w:rPr>
          <w:color w:val="000000" w:themeColor="text1"/>
        </w:rPr>
        <w:t xml:space="preserve">Grunnlaget for omtalen er informasjon fra kontaktpersoner i hvert av landene, innhentet </w:t>
      </w:r>
      <w:r w:rsidR="00A431AA" w:rsidRPr="00210EF7">
        <w:rPr>
          <w:color w:val="000000" w:themeColor="text1"/>
        </w:rPr>
        <w:t xml:space="preserve">av Helsedirektoratet </w:t>
      </w:r>
      <w:r w:rsidRPr="00210EF7">
        <w:rPr>
          <w:color w:val="000000" w:themeColor="text1"/>
        </w:rPr>
        <w:t>for ekspertutvalget høsten 2022 og våren 2023</w:t>
      </w:r>
      <w:r w:rsidR="00980502" w:rsidRPr="00210EF7">
        <w:rPr>
          <w:color w:val="000000" w:themeColor="text1"/>
        </w:rPr>
        <w:t>.</w:t>
      </w:r>
      <w:r w:rsidR="002E7209" w:rsidRPr="00210EF7">
        <w:rPr>
          <w:color w:val="000000" w:themeColor="text1"/>
        </w:rPr>
        <w:t xml:space="preserve"> </w:t>
      </w:r>
      <w:r w:rsidR="00E61CCA" w:rsidRPr="00210EF7">
        <w:rPr>
          <w:color w:val="000000" w:themeColor="text1"/>
        </w:rPr>
        <w:t>Informasjonen er framskaffet ved bruk av et spørreskjema og oppfølgende dialog med hvert av landene. Det må presiseres at det er variabelt hvor detaljerte opplysninger landene har gitt, og presisjonen varierer derfor.</w:t>
      </w:r>
      <w:r w:rsidR="00664C87" w:rsidRPr="00D9107F">
        <w:rPr>
          <w:rStyle w:val="kursiv"/>
        </w:rPr>
        <w:t xml:space="preserve"> </w:t>
      </w:r>
      <w:r w:rsidR="00682BC1" w:rsidRPr="00D9107F">
        <w:rPr>
          <w:rStyle w:val="kursiv"/>
        </w:rPr>
        <w:t xml:space="preserve">Helsedirektoratet </w:t>
      </w:r>
      <w:r w:rsidR="00664C87" w:rsidRPr="00D9107F">
        <w:rPr>
          <w:rStyle w:val="kursiv"/>
        </w:rPr>
        <w:t xml:space="preserve">vil </w:t>
      </w:r>
      <w:r w:rsidR="00682BC1" w:rsidRPr="00D9107F">
        <w:rPr>
          <w:rStyle w:val="kursiv"/>
        </w:rPr>
        <w:t xml:space="preserve">på et senere tidspunkt </w:t>
      </w:r>
      <w:r w:rsidR="00664C87" w:rsidRPr="00D9107F">
        <w:rPr>
          <w:rStyle w:val="kursiv"/>
        </w:rPr>
        <w:t>vurder</w:t>
      </w:r>
      <w:r w:rsidR="00682BC1" w:rsidRPr="00D9107F">
        <w:rPr>
          <w:rStyle w:val="kursiv"/>
        </w:rPr>
        <w:t xml:space="preserve">e </w:t>
      </w:r>
      <w:r w:rsidR="00664C87" w:rsidRPr="00D9107F">
        <w:rPr>
          <w:rStyle w:val="kursiv"/>
        </w:rPr>
        <w:t xml:space="preserve">å </w:t>
      </w:r>
      <w:r w:rsidR="00682BC1" w:rsidRPr="00D9107F">
        <w:rPr>
          <w:rStyle w:val="kursiv"/>
        </w:rPr>
        <w:t xml:space="preserve">publisere et </w:t>
      </w:r>
      <w:r w:rsidR="006919BB" w:rsidRPr="00D9107F">
        <w:rPr>
          <w:rStyle w:val="kursiv"/>
        </w:rPr>
        <w:t xml:space="preserve">eget </w:t>
      </w:r>
      <w:r w:rsidR="00682BC1" w:rsidRPr="00D9107F">
        <w:rPr>
          <w:rStyle w:val="kursiv"/>
        </w:rPr>
        <w:t xml:space="preserve">notat med </w:t>
      </w:r>
      <w:r w:rsidR="006919BB" w:rsidRPr="00D9107F">
        <w:rPr>
          <w:rStyle w:val="kursiv"/>
        </w:rPr>
        <w:t xml:space="preserve">noe </w:t>
      </w:r>
      <w:r w:rsidR="00682BC1" w:rsidRPr="00D9107F">
        <w:rPr>
          <w:rStyle w:val="kursiv"/>
        </w:rPr>
        <w:t xml:space="preserve">mer detaljert informasjon om </w:t>
      </w:r>
      <w:r w:rsidR="006919BB" w:rsidRPr="00D9107F">
        <w:rPr>
          <w:rStyle w:val="kursiv"/>
        </w:rPr>
        <w:t>allmennlegetjenesten i disse</w:t>
      </w:r>
      <w:r w:rsidR="00682BC1" w:rsidRPr="00D9107F">
        <w:rPr>
          <w:rStyle w:val="kursiv"/>
        </w:rPr>
        <w:t xml:space="preserve"> landene</w:t>
      </w:r>
      <w:r w:rsidR="00682BC1" w:rsidRPr="00210EF7">
        <w:rPr>
          <w:color w:val="000000" w:themeColor="text1"/>
        </w:rPr>
        <w:t>.</w:t>
      </w:r>
    </w:p>
    <w:p w14:paraId="7376950A" w14:textId="630F5FC3" w:rsidR="00D9107F" w:rsidRDefault="00E61CCA" w:rsidP="00C629AE">
      <w:pPr>
        <w:rPr>
          <w:color w:val="000000" w:themeColor="text1"/>
        </w:rPr>
      </w:pPr>
      <w:r w:rsidRPr="00210EF7">
        <w:rPr>
          <w:color w:val="000000" w:themeColor="text1"/>
        </w:rPr>
        <w:lastRenderedPageBreak/>
        <w:t xml:space="preserve">Danmark er det landet som ligner mest på Norge når det gjelder organisering og finansiering. På oppdrag fra utvalget har Helsedirektoratet utarbeidet notatet </w:t>
      </w:r>
      <w:r w:rsidR="00D9107F">
        <w:rPr>
          <w:color w:val="000000" w:themeColor="text1"/>
        </w:rPr>
        <w:t>‘</w:t>
      </w:r>
      <w:r w:rsidRPr="00210EF7">
        <w:rPr>
          <w:color w:val="000000" w:themeColor="text1"/>
        </w:rPr>
        <w:t>Organisering og regulering av allmennpraksis i Danmark</w:t>
      </w:r>
      <w:r w:rsidR="00D9107F">
        <w:rPr>
          <w:color w:val="000000" w:themeColor="text1"/>
        </w:rPr>
        <w:t>’</w:t>
      </w:r>
      <w:r w:rsidR="00FB6E14" w:rsidRPr="00210EF7">
        <w:rPr>
          <w:color w:val="000000" w:themeColor="text1"/>
        </w:rPr>
        <w:t xml:space="preserve"> </w:t>
      </w:r>
      <w:r w:rsidR="00D078E3" w:rsidRPr="00210EF7">
        <w:rPr>
          <w:color w:val="000000" w:themeColor="text1"/>
        </w:rPr>
        <w:fldChar w:fldCharType="begin"/>
      </w:r>
      <w:r w:rsidR="004654FD">
        <w:rPr>
          <w:color w:val="000000" w:themeColor="text1"/>
        </w:rPr>
        <w:instrText xml:space="preserve"> ADDIN EN.CITE &lt;EndNote&gt;&lt;Cite&gt;&lt;Author&gt;Kalseth&lt;/Author&gt;&lt;Year&gt;2023&lt;/Year&gt;&lt;RecNum&gt;947&lt;/RecNum&gt;&lt;DisplayText&gt;(Kalseth, 2023)&lt;/DisplayText&gt;&lt;record&gt;&lt;rec-number&gt;947&lt;/rec-number&gt;&lt;foreign-keys&gt;&lt;key app="EN" db-id="95tpr2tp6r9xwoea9rb5wdsz5ds5xeddteew" timestamp="1680222018"&gt;947&lt;/key&gt;&lt;/foreign-keys&gt;&lt;ref-type name="Unpublished Work"&gt;34&lt;/ref-type&gt;&lt;contributors&gt;&lt;authors&gt;&lt;author&gt;Kalseth, B.&lt;/author&gt;&lt;/authors&gt;&lt;/contributors&gt;&lt;titles&gt;&lt;title&gt;Organisering og regulering av allmennpraksis i Danmark. &lt;/title&gt;&lt;/titles&gt;&lt;dates&gt;&lt;year&gt;2023&lt;/year&gt;&lt;/dates&gt;&lt;publisher&gt;Helsedirektoratet&lt;/publisher&gt;&lt;urls&gt;&lt;/urls&gt;&lt;/record&gt;&lt;/Cite&gt;&lt;/EndNote&gt;</w:instrText>
      </w:r>
      <w:r w:rsidR="00D078E3" w:rsidRPr="00210EF7">
        <w:rPr>
          <w:color w:val="000000" w:themeColor="text1"/>
        </w:rPr>
        <w:fldChar w:fldCharType="separate"/>
      </w:r>
      <w:r w:rsidR="00D078E3" w:rsidRPr="00210EF7">
        <w:rPr>
          <w:noProof/>
          <w:color w:val="000000" w:themeColor="text1"/>
        </w:rPr>
        <w:t>(Kalseth, 2023)</w:t>
      </w:r>
      <w:r w:rsidR="00D078E3" w:rsidRPr="00210EF7">
        <w:rPr>
          <w:color w:val="000000" w:themeColor="text1"/>
        </w:rPr>
        <w:fldChar w:fldCharType="end"/>
      </w:r>
      <w:r w:rsidR="0063772B" w:rsidRPr="00210EF7">
        <w:rPr>
          <w:color w:val="000000" w:themeColor="text1"/>
        </w:rPr>
        <w:t>.</w:t>
      </w:r>
    </w:p>
    <w:p w14:paraId="7C8849C0" w14:textId="77777777" w:rsidR="00D9107F" w:rsidRDefault="00BD05CE" w:rsidP="00775632">
      <w:pPr>
        <w:pStyle w:val="Overskrift2"/>
      </w:pPr>
      <w:bookmarkStart w:id="215" w:name="_Toc131238277"/>
      <w:bookmarkStart w:id="216" w:name="_Toc131279305"/>
      <w:bookmarkStart w:id="217" w:name="_Toc131286717"/>
      <w:bookmarkStart w:id="218" w:name="_Toc131281127"/>
      <w:bookmarkStart w:id="219" w:name="_Toc131317667"/>
      <w:bookmarkStart w:id="220" w:name="_Toc132536891"/>
      <w:r>
        <w:t>O</w:t>
      </w:r>
      <w:r w:rsidR="00B36DB0">
        <w:t>m</w:t>
      </w:r>
      <w:r w:rsidR="006919BB" w:rsidRPr="00A24FCC">
        <w:t xml:space="preserve"> </w:t>
      </w:r>
      <w:r>
        <w:t>rapportens</w:t>
      </w:r>
      <w:r w:rsidR="006919BB">
        <w:t xml:space="preserve"> struktur og innhold</w:t>
      </w:r>
      <w:bookmarkEnd w:id="215"/>
      <w:bookmarkEnd w:id="216"/>
      <w:bookmarkEnd w:id="217"/>
      <w:bookmarkEnd w:id="218"/>
      <w:bookmarkEnd w:id="219"/>
      <w:bookmarkEnd w:id="220"/>
    </w:p>
    <w:p w14:paraId="6D80CD67" w14:textId="4836E1FC" w:rsidR="00450B37" w:rsidRPr="00210EF7" w:rsidRDefault="00450B37" w:rsidP="00C629AE">
      <w:pPr>
        <w:rPr>
          <w:color w:val="000000" w:themeColor="text1"/>
        </w:rPr>
      </w:pPr>
      <w:r w:rsidRPr="00210EF7">
        <w:rPr>
          <w:color w:val="000000" w:themeColor="text1"/>
        </w:rPr>
        <w:t>Rapporten innledes med et sammendrag</w:t>
      </w:r>
      <w:r w:rsidR="004D35F9" w:rsidRPr="00210EF7">
        <w:rPr>
          <w:color w:val="000000" w:themeColor="text1"/>
        </w:rPr>
        <w:t>,</w:t>
      </w:r>
      <w:r w:rsidRPr="00210EF7">
        <w:rPr>
          <w:color w:val="000000" w:themeColor="text1"/>
        </w:rPr>
        <w:t xml:space="preserve"> som </w:t>
      </w:r>
      <w:r w:rsidR="006163E7" w:rsidRPr="00210EF7">
        <w:rPr>
          <w:color w:val="000000" w:themeColor="text1"/>
        </w:rPr>
        <w:t xml:space="preserve">kortfattet </w:t>
      </w:r>
      <w:r w:rsidR="00E61CCA" w:rsidRPr="00210EF7">
        <w:rPr>
          <w:color w:val="000000" w:themeColor="text1"/>
        </w:rPr>
        <w:t>framstiller utfordringsbildet og ekspertutvalgets anbefalinger om rekruttering, deling</w:t>
      </w:r>
      <w:r w:rsidR="000D5D80" w:rsidRPr="00210EF7">
        <w:rPr>
          <w:color w:val="000000" w:themeColor="text1"/>
        </w:rPr>
        <w:t xml:space="preserve"> av</w:t>
      </w:r>
      <w:r w:rsidR="000703D1" w:rsidRPr="00210EF7">
        <w:rPr>
          <w:color w:val="000000" w:themeColor="text1"/>
        </w:rPr>
        <w:t xml:space="preserve"> oppgaver</w:t>
      </w:r>
      <w:r w:rsidR="00333D04" w:rsidRPr="00210EF7">
        <w:rPr>
          <w:color w:val="000000" w:themeColor="text1"/>
        </w:rPr>
        <w:t xml:space="preserve"> og</w:t>
      </w:r>
      <w:r w:rsidR="000703D1" w:rsidRPr="00210EF7">
        <w:rPr>
          <w:color w:val="000000" w:themeColor="text1"/>
        </w:rPr>
        <w:t xml:space="preserve"> prioriter</w:t>
      </w:r>
      <w:r w:rsidR="00103CBE" w:rsidRPr="00210EF7">
        <w:rPr>
          <w:color w:val="000000" w:themeColor="text1"/>
        </w:rPr>
        <w:t>ing.</w:t>
      </w:r>
    </w:p>
    <w:p w14:paraId="056BC7E2" w14:textId="77777777" w:rsidR="00D9107F" w:rsidRDefault="00265440" w:rsidP="00C629AE">
      <w:pPr>
        <w:rPr>
          <w:color w:val="000000" w:themeColor="text1"/>
        </w:rPr>
      </w:pPr>
      <w:r w:rsidRPr="00210EF7">
        <w:rPr>
          <w:color w:val="000000" w:themeColor="text1"/>
        </w:rPr>
        <w:t>Rapportens kapittel 2 beskriver</w:t>
      </w:r>
      <w:r w:rsidR="00B36DB0" w:rsidRPr="00210EF7">
        <w:rPr>
          <w:color w:val="000000" w:themeColor="text1"/>
        </w:rPr>
        <w:t xml:space="preserve"> u</w:t>
      </w:r>
      <w:r w:rsidR="00DA69AC" w:rsidRPr="00210EF7">
        <w:rPr>
          <w:color w:val="000000" w:themeColor="text1"/>
        </w:rPr>
        <w:t>tfordringsbildet</w:t>
      </w:r>
      <w:r w:rsidR="00B36DB0" w:rsidRPr="00210EF7">
        <w:rPr>
          <w:color w:val="000000" w:themeColor="text1"/>
        </w:rPr>
        <w:t xml:space="preserve"> for allmennlegetjenesten</w:t>
      </w:r>
      <w:r w:rsidR="004D35F9" w:rsidRPr="00210EF7">
        <w:rPr>
          <w:color w:val="000000" w:themeColor="text1"/>
        </w:rPr>
        <w:t>,</w:t>
      </w:r>
      <w:r w:rsidR="00B36DB0" w:rsidRPr="00210EF7">
        <w:rPr>
          <w:color w:val="000000" w:themeColor="text1"/>
        </w:rPr>
        <w:t xml:space="preserve"> </w:t>
      </w:r>
      <w:r w:rsidR="003667A1" w:rsidRPr="00210EF7">
        <w:rPr>
          <w:color w:val="000000" w:themeColor="text1"/>
        </w:rPr>
        <w:t xml:space="preserve">med utgangspunkt i </w:t>
      </w:r>
      <w:r w:rsidR="2DE7BA1E" w:rsidRPr="00210EF7">
        <w:rPr>
          <w:color w:val="000000" w:themeColor="text1"/>
        </w:rPr>
        <w:t>eksis</w:t>
      </w:r>
      <w:r w:rsidR="3B122F04" w:rsidRPr="00210EF7">
        <w:rPr>
          <w:color w:val="000000" w:themeColor="text1"/>
        </w:rPr>
        <w:t>t</w:t>
      </w:r>
      <w:r w:rsidR="2DE7BA1E" w:rsidRPr="00210EF7">
        <w:rPr>
          <w:color w:val="000000" w:themeColor="text1"/>
        </w:rPr>
        <w:t>erende</w:t>
      </w:r>
      <w:r w:rsidR="003667A1" w:rsidRPr="00210EF7">
        <w:rPr>
          <w:color w:val="000000" w:themeColor="text1"/>
        </w:rPr>
        <w:t xml:space="preserve"> kunnskap og </w:t>
      </w:r>
      <w:r w:rsidR="00D7753C" w:rsidRPr="00210EF7">
        <w:rPr>
          <w:color w:val="000000" w:themeColor="text1"/>
        </w:rPr>
        <w:t>undersøkelser utført av</w:t>
      </w:r>
      <w:r w:rsidR="00185752" w:rsidRPr="00210EF7">
        <w:rPr>
          <w:color w:val="000000" w:themeColor="text1"/>
        </w:rPr>
        <w:t xml:space="preserve"> FHI, SSB og Helsedirektoratet</w:t>
      </w:r>
      <w:r w:rsidR="004D35F9" w:rsidRPr="00210EF7">
        <w:rPr>
          <w:color w:val="000000" w:themeColor="text1"/>
        </w:rPr>
        <w:t>,</w:t>
      </w:r>
      <w:r w:rsidR="00185752" w:rsidRPr="00210EF7">
        <w:rPr>
          <w:color w:val="000000" w:themeColor="text1"/>
        </w:rPr>
        <w:t xml:space="preserve"> </w:t>
      </w:r>
      <w:r w:rsidR="00D7753C" w:rsidRPr="00210EF7">
        <w:rPr>
          <w:color w:val="000000" w:themeColor="text1"/>
        </w:rPr>
        <w:t xml:space="preserve">på vegne av </w:t>
      </w:r>
      <w:r w:rsidR="5F9AA12F" w:rsidRPr="00210EF7">
        <w:rPr>
          <w:color w:val="000000" w:themeColor="text1"/>
        </w:rPr>
        <w:t>eksp</w:t>
      </w:r>
      <w:r w:rsidR="3D04EC9F" w:rsidRPr="00210EF7">
        <w:rPr>
          <w:color w:val="000000" w:themeColor="text1"/>
        </w:rPr>
        <w:t>e</w:t>
      </w:r>
      <w:r w:rsidR="5F9AA12F" w:rsidRPr="00210EF7">
        <w:rPr>
          <w:color w:val="000000" w:themeColor="text1"/>
        </w:rPr>
        <w:t>rtutvalget</w:t>
      </w:r>
      <w:r w:rsidR="00D7753C" w:rsidRPr="00210EF7">
        <w:rPr>
          <w:color w:val="000000" w:themeColor="text1"/>
        </w:rPr>
        <w:t>.</w:t>
      </w:r>
    </w:p>
    <w:p w14:paraId="30CEEBA0" w14:textId="1382365A" w:rsidR="00224619" w:rsidRPr="00210EF7" w:rsidRDefault="003C0848" w:rsidP="00C629AE">
      <w:pPr>
        <w:rPr>
          <w:rFonts w:cstheme="minorHAnsi"/>
          <w:color w:val="000000" w:themeColor="text1"/>
        </w:rPr>
      </w:pPr>
      <w:r w:rsidRPr="00210EF7">
        <w:rPr>
          <w:color w:val="000000" w:themeColor="text1"/>
        </w:rPr>
        <w:t>I</w:t>
      </w:r>
      <w:r w:rsidR="00BF15D8" w:rsidRPr="00210EF7">
        <w:rPr>
          <w:color w:val="000000" w:themeColor="text1"/>
        </w:rPr>
        <w:t xml:space="preserve"> kapittel 3 </w:t>
      </w:r>
      <w:r w:rsidRPr="00210EF7">
        <w:rPr>
          <w:color w:val="000000" w:themeColor="text1"/>
        </w:rPr>
        <w:t xml:space="preserve">omtales </w:t>
      </w:r>
      <w:r w:rsidR="00E61CCA" w:rsidRPr="00210EF7">
        <w:rPr>
          <w:color w:val="000000" w:themeColor="text1"/>
        </w:rPr>
        <w:t>hovedmålsetningen</w:t>
      </w:r>
      <w:r w:rsidR="00921473" w:rsidRPr="00210EF7">
        <w:rPr>
          <w:color w:val="000000" w:themeColor="text1"/>
        </w:rPr>
        <w:t xml:space="preserve"> om at </w:t>
      </w:r>
      <w:r w:rsidR="00921473" w:rsidRPr="00210EF7">
        <w:rPr>
          <w:rFonts w:cstheme="minorHAnsi"/>
          <w:color w:val="000000" w:themeColor="text1"/>
        </w:rPr>
        <w:t xml:space="preserve">alle innbyggere skal </w:t>
      </w:r>
      <w:r w:rsidR="00C54B21" w:rsidRPr="00210EF7">
        <w:rPr>
          <w:rFonts w:cstheme="minorHAnsi"/>
          <w:color w:val="000000" w:themeColor="text1"/>
        </w:rPr>
        <w:t>sikres tilgjengelige allmennlegetjenester av riktig kvalitet, uansett hvor i landet de befinner seg og hvem de er.</w:t>
      </w:r>
    </w:p>
    <w:p w14:paraId="2E692A9B" w14:textId="77777777" w:rsidR="00D9107F" w:rsidRDefault="00572FC7" w:rsidP="00C629AE">
      <w:pPr>
        <w:rPr>
          <w:color w:val="000000" w:themeColor="text1"/>
        </w:rPr>
      </w:pPr>
      <w:r w:rsidRPr="00210EF7">
        <w:rPr>
          <w:rFonts w:cstheme="minorHAnsi"/>
          <w:color w:val="000000" w:themeColor="text1"/>
        </w:rPr>
        <w:t>D</w:t>
      </w:r>
      <w:r w:rsidR="00224619" w:rsidRPr="00210EF7">
        <w:rPr>
          <w:rFonts w:cstheme="minorHAnsi"/>
          <w:color w:val="000000" w:themeColor="text1"/>
        </w:rPr>
        <w:t xml:space="preserve">e videre kapitlene </w:t>
      </w:r>
      <w:r w:rsidRPr="00210EF7">
        <w:rPr>
          <w:rFonts w:cstheme="minorHAnsi"/>
          <w:color w:val="000000" w:themeColor="text1"/>
        </w:rPr>
        <w:t>tar for seg</w:t>
      </w:r>
      <w:r w:rsidR="00224619" w:rsidRPr="00210EF7">
        <w:rPr>
          <w:rFonts w:cstheme="minorHAnsi"/>
          <w:color w:val="000000" w:themeColor="text1"/>
        </w:rPr>
        <w:t xml:space="preserve"> Organisering av fastlegetjenesten, </w:t>
      </w:r>
      <w:r w:rsidR="00653D69" w:rsidRPr="00210EF7">
        <w:rPr>
          <w:rFonts w:cstheme="minorHAnsi"/>
          <w:color w:val="000000" w:themeColor="text1"/>
        </w:rPr>
        <w:t>F</w:t>
      </w:r>
      <w:r w:rsidR="005F3BBF" w:rsidRPr="00210EF7">
        <w:rPr>
          <w:color w:val="000000" w:themeColor="text1"/>
        </w:rPr>
        <w:t xml:space="preserve">inansiering, </w:t>
      </w:r>
      <w:r w:rsidR="00653D69" w:rsidRPr="00210EF7">
        <w:rPr>
          <w:color w:val="000000" w:themeColor="text1"/>
        </w:rPr>
        <w:t>T</w:t>
      </w:r>
      <w:r w:rsidR="005F3BBF" w:rsidRPr="00210EF7">
        <w:rPr>
          <w:color w:val="000000" w:themeColor="text1"/>
        </w:rPr>
        <w:t>verrfaglighet</w:t>
      </w:r>
      <w:r w:rsidR="000A4A59" w:rsidRPr="00210EF7">
        <w:rPr>
          <w:color w:val="000000" w:themeColor="text1"/>
        </w:rPr>
        <w:t xml:space="preserve">, </w:t>
      </w:r>
      <w:r w:rsidR="00F64AEF" w:rsidRPr="00210EF7">
        <w:rPr>
          <w:color w:val="000000" w:themeColor="text1"/>
        </w:rPr>
        <w:t>Fastlegers arbeid med attester</w:t>
      </w:r>
      <w:r w:rsidR="006F1F8B" w:rsidRPr="00210EF7">
        <w:rPr>
          <w:color w:val="000000" w:themeColor="text1"/>
        </w:rPr>
        <w:t xml:space="preserve">, </w:t>
      </w:r>
      <w:r w:rsidR="00BE23D0" w:rsidRPr="00210EF7">
        <w:rPr>
          <w:color w:val="000000" w:themeColor="text1"/>
        </w:rPr>
        <w:t>Legevakt</w:t>
      </w:r>
      <w:r w:rsidR="00F64AEF" w:rsidRPr="00210EF7">
        <w:rPr>
          <w:color w:val="000000" w:themeColor="text1"/>
        </w:rPr>
        <w:t xml:space="preserve">, </w:t>
      </w:r>
      <w:r w:rsidR="00653D69" w:rsidRPr="00210EF7">
        <w:rPr>
          <w:color w:val="000000" w:themeColor="text1"/>
        </w:rPr>
        <w:t xml:space="preserve">Kompetanse og </w:t>
      </w:r>
      <w:r w:rsidR="00643260" w:rsidRPr="00210EF7">
        <w:rPr>
          <w:color w:val="000000" w:themeColor="text1"/>
        </w:rPr>
        <w:t>Digitalisering, innovasjon, forskning og ledelse</w:t>
      </w:r>
      <w:r w:rsidR="00F64AEF" w:rsidRPr="00210EF7">
        <w:rPr>
          <w:color w:val="000000" w:themeColor="text1"/>
        </w:rPr>
        <w:t>. Hvert av d</w:t>
      </w:r>
      <w:r w:rsidR="00182E7D" w:rsidRPr="00210EF7">
        <w:rPr>
          <w:color w:val="000000" w:themeColor="text1"/>
        </w:rPr>
        <w:t>isse s</w:t>
      </w:r>
      <w:r w:rsidR="005514CD" w:rsidRPr="00210EF7">
        <w:rPr>
          <w:color w:val="000000" w:themeColor="text1"/>
        </w:rPr>
        <w:t>yv</w:t>
      </w:r>
      <w:r w:rsidR="00182E7D" w:rsidRPr="00210EF7">
        <w:rPr>
          <w:color w:val="000000" w:themeColor="text1"/>
        </w:rPr>
        <w:t xml:space="preserve"> kapitlene </w:t>
      </w:r>
      <w:r w:rsidR="00B16A8C" w:rsidRPr="00210EF7">
        <w:rPr>
          <w:color w:val="000000" w:themeColor="text1"/>
        </w:rPr>
        <w:t>oppsummeres</w:t>
      </w:r>
      <w:r w:rsidR="00182E7D" w:rsidRPr="00210EF7">
        <w:rPr>
          <w:color w:val="000000" w:themeColor="text1"/>
        </w:rPr>
        <w:t xml:space="preserve"> med utvalgets anbe</w:t>
      </w:r>
      <w:r w:rsidR="00B761D4" w:rsidRPr="00210EF7">
        <w:rPr>
          <w:color w:val="000000" w:themeColor="text1"/>
        </w:rPr>
        <w:t>faling</w:t>
      </w:r>
      <w:r w:rsidR="00B45672" w:rsidRPr="00210EF7">
        <w:rPr>
          <w:color w:val="000000" w:themeColor="text1"/>
        </w:rPr>
        <w:t>er</w:t>
      </w:r>
      <w:r w:rsidR="00B761D4" w:rsidRPr="00210EF7">
        <w:rPr>
          <w:color w:val="000000" w:themeColor="text1"/>
        </w:rPr>
        <w:t xml:space="preserve">, </w:t>
      </w:r>
      <w:r w:rsidR="00330A64" w:rsidRPr="00210EF7">
        <w:rPr>
          <w:color w:val="000000" w:themeColor="text1"/>
        </w:rPr>
        <w:t xml:space="preserve">og </w:t>
      </w:r>
      <w:r w:rsidR="00955616" w:rsidRPr="00210EF7">
        <w:rPr>
          <w:color w:val="000000" w:themeColor="text1"/>
        </w:rPr>
        <w:t xml:space="preserve">deretter </w:t>
      </w:r>
      <w:r w:rsidR="005514CD" w:rsidRPr="00210EF7">
        <w:rPr>
          <w:color w:val="000000" w:themeColor="text1"/>
        </w:rPr>
        <w:t>present</w:t>
      </w:r>
      <w:r w:rsidR="00B45672" w:rsidRPr="00210EF7">
        <w:rPr>
          <w:color w:val="000000" w:themeColor="text1"/>
        </w:rPr>
        <w:t>eres</w:t>
      </w:r>
      <w:r w:rsidR="0060474A" w:rsidRPr="00210EF7">
        <w:rPr>
          <w:color w:val="000000" w:themeColor="text1"/>
        </w:rPr>
        <w:t xml:space="preserve"> og</w:t>
      </w:r>
      <w:r w:rsidR="00F36497" w:rsidRPr="00210EF7">
        <w:rPr>
          <w:color w:val="000000" w:themeColor="text1"/>
        </w:rPr>
        <w:t xml:space="preserve"> drøftes </w:t>
      </w:r>
      <w:r w:rsidR="00E61CCA" w:rsidRPr="00210EF7">
        <w:rPr>
          <w:color w:val="000000" w:themeColor="text1"/>
        </w:rPr>
        <w:t>tematikken, før kapittelet avsluttes med utvalgets vurderinger.</w:t>
      </w:r>
    </w:p>
    <w:p w14:paraId="3C04A9A0" w14:textId="77777777" w:rsidR="00D9107F" w:rsidRDefault="0012235C" w:rsidP="00C629AE">
      <w:pPr>
        <w:rPr>
          <w:color w:val="000000" w:themeColor="text1"/>
        </w:rPr>
      </w:pPr>
      <w:r w:rsidRPr="00210EF7">
        <w:rPr>
          <w:color w:val="000000" w:themeColor="text1"/>
        </w:rPr>
        <w:t>Rapportens k</w:t>
      </w:r>
      <w:r w:rsidR="00692123" w:rsidRPr="00210EF7">
        <w:rPr>
          <w:color w:val="000000" w:themeColor="text1"/>
        </w:rPr>
        <w:t xml:space="preserve">apittel </w:t>
      </w:r>
      <w:r w:rsidR="00737218" w:rsidRPr="00963231">
        <w:rPr>
          <w:color w:val="000000" w:themeColor="text1"/>
        </w:rPr>
        <w:t>11</w:t>
      </w:r>
      <w:r w:rsidR="00737218" w:rsidRPr="00210EF7">
        <w:rPr>
          <w:color w:val="000000" w:themeColor="text1"/>
        </w:rPr>
        <w:t xml:space="preserve"> </w:t>
      </w:r>
      <w:r w:rsidRPr="00210EF7">
        <w:rPr>
          <w:color w:val="000000" w:themeColor="text1"/>
        </w:rPr>
        <w:t xml:space="preserve">inneholder en oppsummert oversikt over ekspertutvalgets anbefalinger, mens det påfølgende kapittel </w:t>
      </w:r>
      <w:r w:rsidR="00737218" w:rsidRPr="00963231">
        <w:rPr>
          <w:color w:val="000000" w:themeColor="text1"/>
        </w:rPr>
        <w:t>12</w:t>
      </w:r>
      <w:r w:rsidR="00737218" w:rsidRPr="00210EF7">
        <w:rPr>
          <w:color w:val="000000" w:themeColor="text1"/>
        </w:rPr>
        <w:t xml:space="preserve"> </w:t>
      </w:r>
      <w:r w:rsidRPr="00210EF7">
        <w:rPr>
          <w:color w:val="000000" w:themeColor="text1"/>
        </w:rPr>
        <w:t xml:space="preserve">kort omtaler økonomiske og administrative konsekvenser av </w:t>
      </w:r>
      <w:r w:rsidR="00450B37" w:rsidRPr="00210EF7">
        <w:rPr>
          <w:color w:val="000000" w:themeColor="text1"/>
        </w:rPr>
        <w:t>anbefalingene.</w:t>
      </w:r>
    </w:p>
    <w:p w14:paraId="14EADD92" w14:textId="77777777" w:rsidR="00D9107F" w:rsidRDefault="00450B37" w:rsidP="00C629AE">
      <w:pPr>
        <w:rPr>
          <w:color w:val="000000" w:themeColor="text1"/>
        </w:rPr>
      </w:pPr>
      <w:r w:rsidRPr="00210EF7">
        <w:rPr>
          <w:color w:val="000000" w:themeColor="text1"/>
        </w:rPr>
        <w:t xml:space="preserve">Som </w:t>
      </w:r>
      <w:r w:rsidR="00124EBD" w:rsidRPr="00210EF7">
        <w:rPr>
          <w:color w:val="000000" w:themeColor="text1"/>
        </w:rPr>
        <w:t>V</w:t>
      </w:r>
      <w:r w:rsidRPr="00210EF7">
        <w:rPr>
          <w:color w:val="000000" w:themeColor="text1"/>
        </w:rPr>
        <w:t xml:space="preserve">edlegg </w:t>
      </w:r>
      <w:r w:rsidR="00124EBD" w:rsidRPr="00210EF7">
        <w:rPr>
          <w:color w:val="000000" w:themeColor="text1"/>
        </w:rPr>
        <w:t xml:space="preserve">A </w:t>
      </w:r>
      <w:r w:rsidRPr="00210EF7">
        <w:rPr>
          <w:color w:val="000000" w:themeColor="text1"/>
        </w:rPr>
        <w:t xml:space="preserve">til rapporten følger </w:t>
      </w:r>
      <w:r w:rsidR="00124EBD" w:rsidRPr="00210EF7">
        <w:rPr>
          <w:color w:val="000000" w:themeColor="text1"/>
        </w:rPr>
        <w:t xml:space="preserve">ekspertutvalgets fullstendige mandat, og Vedlegg B inneholder en begrepsliste. </w:t>
      </w:r>
      <w:r w:rsidR="001E1D80" w:rsidRPr="00210EF7">
        <w:rPr>
          <w:color w:val="000000" w:themeColor="text1"/>
        </w:rPr>
        <w:t>Avslutningsvis</w:t>
      </w:r>
      <w:r w:rsidR="00124EBD" w:rsidRPr="00210EF7">
        <w:rPr>
          <w:color w:val="000000" w:themeColor="text1"/>
        </w:rPr>
        <w:t xml:space="preserve"> </w:t>
      </w:r>
      <w:r w:rsidR="000703D1" w:rsidRPr="00210EF7">
        <w:rPr>
          <w:color w:val="000000" w:themeColor="text1"/>
        </w:rPr>
        <w:t>gjenfinnes referanser.</w:t>
      </w:r>
    </w:p>
    <w:p w14:paraId="758C6B62" w14:textId="3CC1D912" w:rsidR="00F35BC5" w:rsidRDefault="61AE29D9" w:rsidP="00775632">
      <w:pPr>
        <w:pStyle w:val="Overskrift1"/>
      </w:pPr>
      <w:bookmarkStart w:id="221" w:name="_Toc131279306"/>
      <w:bookmarkStart w:id="222" w:name="_Toc131286718"/>
      <w:bookmarkStart w:id="223" w:name="_Toc131281128"/>
      <w:bookmarkStart w:id="224" w:name="_Toc131317668"/>
      <w:bookmarkStart w:id="225" w:name="_Toc132536892"/>
      <w:bookmarkStart w:id="226" w:name="_Toc131062078"/>
      <w:bookmarkStart w:id="227" w:name="_Toc131062332"/>
      <w:bookmarkStart w:id="228" w:name="_Toc131062593"/>
      <w:bookmarkStart w:id="229" w:name="_Toc131062846"/>
      <w:bookmarkStart w:id="230" w:name="_Toc131063614"/>
      <w:bookmarkStart w:id="231" w:name="_Toc127633151"/>
      <w:bookmarkStart w:id="232" w:name="_Toc127864442"/>
      <w:bookmarkStart w:id="233" w:name="_Toc128032490"/>
      <w:bookmarkStart w:id="234" w:name="_Toc128238472"/>
      <w:bookmarkStart w:id="235" w:name="_Toc128741953"/>
      <w:bookmarkStart w:id="236" w:name="_Toc128744548"/>
      <w:bookmarkStart w:id="237" w:name="_Toc128744767"/>
      <w:bookmarkStart w:id="238" w:name="_Toc129630260"/>
      <w:bookmarkStart w:id="239" w:name="_Toc130763764"/>
      <w:bookmarkStart w:id="240" w:name="_Toc130766650"/>
      <w:bookmarkStart w:id="241" w:name="_Ref130924089"/>
      <w:bookmarkStart w:id="242" w:name="_Toc130932053"/>
      <w:bookmarkStart w:id="243" w:name="_Toc130934344"/>
      <w:bookmarkStart w:id="244" w:name="_Toc130983397"/>
      <w:bookmarkStart w:id="245" w:name="_Toc130983746"/>
      <w:bookmarkStart w:id="246" w:name="_Toc131064034"/>
      <w:bookmarkStart w:id="247" w:name="_Toc131238278"/>
      <w:r w:rsidRPr="00F84AB2">
        <w:t>Utfordringsbilde</w:t>
      </w:r>
      <w:r w:rsidR="00056137">
        <w:t>t</w:t>
      </w:r>
      <w:bookmarkStart w:id="248" w:name="_Toc130983398"/>
      <w:bookmarkStart w:id="249" w:name="_Toc130983747"/>
      <w:bookmarkStart w:id="250" w:name="_Toc127633183"/>
      <w:bookmarkStart w:id="251" w:name="_Toc127864469"/>
      <w:bookmarkStart w:id="252" w:name="_Toc128032491"/>
      <w:bookmarkStart w:id="253" w:name="_Toc128238473"/>
      <w:bookmarkStart w:id="254" w:name="_Toc128741954"/>
      <w:bookmarkStart w:id="255" w:name="_Toc128744549"/>
      <w:bookmarkStart w:id="256" w:name="_Toc128744768"/>
      <w:bookmarkStart w:id="257" w:name="_Toc129630261"/>
      <w:bookmarkStart w:id="258" w:name="_Toc130763765"/>
      <w:bookmarkStart w:id="259" w:name="_Toc130766651"/>
      <w:bookmarkStart w:id="260" w:name="_Toc130932055"/>
      <w:bookmarkStart w:id="261" w:name="_Toc13093434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504840F" w14:textId="70249521" w:rsidR="00F35BC5" w:rsidRPr="001270EB" w:rsidRDefault="00F35BC5" w:rsidP="00775632">
      <w:pPr>
        <w:pStyle w:val="Overskrift2"/>
      </w:pPr>
      <w:bookmarkStart w:id="262" w:name="_Toc126817021"/>
      <w:bookmarkStart w:id="263" w:name="_Toc127633152"/>
      <w:bookmarkStart w:id="264" w:name="_Toc127864150"/>
      <w:bookmarkStart w:id="265" w:name="_Toc131238279"/>
      <w:bookmarkStart w:id="266" w:name="_Toc131279307"/>
      <w:bookmarkStart w:id="267" w:name="_Toc131286719"/>
      <w:bookmarkStart w:id="268" w:name="_Toc131281129"/>
      <w:bookmarkStart w:id="269" w:name="_Toc131317669"/>
      <w:bookmarkStart w:id="270" w:name="_Toc132536893"/>
      <w:r>
        <w:t>Overordnet om demografisk utvikling og helsetjenestene</w:t>
      </w:r>
      <w:bookmarkEnd w:id="262"/>
      <w:bookmarkEnd w:id="263"/>
      <w:bookmarkEnd w:id="264"/>
      <w:bookmarkEnd w:id="265"/>
      <w:bookmarkEnd w:id="266"/>
      <w:bookmarkEnd w:id="267"/>
      <w:bookmarkEnd w:id="268"/>
      <w:bookmarkEnd w:id="269"/>
      <w:bookmarkEnd w:id="270"/>
    </w:p>
    <w:p w14:paraId="494B1D2C" w14:textId="5E1B47CE" w:rsidR="00F35BC5" w:rsidRPr="00643FBA" w:rsidRDefault="00F35BC5" w:rsidP="00775632">
      <w:pPr>
        <w:pStyle w:val="Overskrift3"/>
      </w:pPr>
      <w:bookmarkStart w:id="271" w:name="_Toc126817022"/>
      <w:bookmarkStart w:id="272" w:name="_Toc127633153"/>
      <w:bookmarkStart w:id="273" w:name="_Toc127864151"/>
      <w:bookmarkStart w:id="274" w:name="_Toc131238280"/>
      <w:bookmarkStart w:id="275" w:name="_Toc131279308"/>
      <w:bookmarkStart w:id="276" w:name="_Toc131286720"/>
      <w:bookmarkStart w:id="277" w:name="_Toc131281130"/>
      <w:bookmarkStart w:id="278" w:name="_Toc131317670"/>
      <w:bookmarkStart w:id="279" w:name="_Toc132536894"/>
      <w:r w:rsidRPr="00643FBA">
        <w:t>Aldrende befolkning og sykdomsbyrde mot 2050</w:t>
      </w:r>
      <w:bookmarkEnd w:id="271"/>
      <w:bookmarkEnd w:id="272"/>
      <w:bookmarkEnd w:id="273"/>
      <w:bookmarkEnd w:id="274"/>
      <w:bookmarkEnd w:id="275"/>
      <w:bookmarkEnd w:id="276"/>
      <w:bookmarkEnd w:id="277"/>
      <w:bookmarkEnd w:id="278"/>
      <w:bookmarkEnd w:id="279"/>
    </w:p>
    <w:p w14:paraId="4F9D2714" w14:textId="77777777" w:rsidR="00D9107F" w:rsidRDefault="00F35BC5" w:rsidP="00C629AE">
      <w:r>
        <w:t>Framskriving</w:t>
      </w:r>
      <w:r w:rsidRPr="4D5D4B90">
        <w:t xml:space="preserve">er av forventet levealder og sykdom i Norge viser at en aldrende befolkning vil være den enkeltfaktoren som </w:t>
      </w:r>
      <w:r>
        <w:t>i</w:t>
      </w:r>
      <w:r w:rsidRPr="4D5D4B90">
        <w:t xml:space="preserve"> størst </w:t>
      </w:r>
      <w:r>
        <w:t>grad øker</w:t>
      </w:r>
      <w:r w:rsidRPr="4D5D4B90">
        <w:t xml:space="preserve"> sykdomsbyrden og helsetjenestebruken</w:t>
      </w:r>
      <w:r>
        <w:t xml:space="preserve"> de neste tiårene </w:t>
      </w:r>
      <w:r>
        <w:fldChar w:fldCharType="begin"/>
      </w:r>
      <w:r w:rsidR="00A27571">
        <w:instrText xml:space="preserve"> ADDIN EN.CITE &lt;EndNote&gt;&lt;Cite&gt;&lt;Author&gt;Folkehelseinstituttet&lt;/Author&gt;&lt;Year&gt;2022&lt;/Year&gt;&lt;RecNum&gt;277&lt;/RecNum&gt;&lt;DisplayText&gt;(Folkehelseinstituttet, 2022)&lt;/DisplayText&gt;&lt;record&gt;&lt;rec-number&gt;277&lt;/rec-number&gt;&lt;foreign-keys&gt;&lt;key app="EN" db-id="95tpr2tp6r9xwoea9rb5wdsz5ds5xeddteew" timestamp="1680069511"&gt;277&lt;/key&gt;&lt;/foreign-keys&gt;&lt;ref-type name="Report"&gt;27&lt;/ref-type&gt;&lt;contributors&gt;&lt;authors&gt;&lt;author&gt;Folkehelseinstituttet&lt;/author&gt;&lt;/authors&gt;&lt;/contributors&gt;&lt;titles&gt;&lt;title&gt;Framtidens utfordringer for folkehelsen. Sykdomsbyrde, bruk av helse- og omsorgstjenester, og smittsomme sykdommer&lt;/title&gt;&lt;secondary-title&gt;Folkehelserapporten&lt;/secondary-title&gt;&lt;/titles&gt;&lt;dates&gt;&lt;year&gt;2022&lt;/year&gt;&lt;/dates&gt;&lt;pub-location&gt;Oslo&lt;/pub-location&gt;&lt;publisher&gt;Folkehelseinstituttet&lt;/publisher&gt;&lt;urls&gt;&lt;/urls&gt;&lt;/record&gt;&lt;/Cite&gt;&lt;/EndNote&gt;</w:instrText>
      </w:r>
      <w:r>
        <w:fldChar w:fldCharType="separate"/>
      </w:r>
      <w:r>
        <w:rPr>
          <w:noProof/>
        </w:rPr>
        <w:t>(Folkehelseinstituttet, 2022)</w:t>
      </w:r>
      <w:r>
        <w:fldChar w:fldCharType="end"/>
      </w:r>
      <w:r w:rsidR="0096636F">
        <w:t>.</w:t>
      </w:r>
      <w:r w:rsidRPr="4D5D4B90">
        <w:t xml:space="preserve"> Folkehelseinstituttet </w:t>
      </w:r>
      <w:r>
        <w:t xml:space="preserve">(FHI) </w:t>
      </w:r>
      <w:r w:rsidRPr="4D5D4B90">
        <w:t xml:space="preserve">viser </w:t>
      </w:r>
      <w:r>
        <w:t>til</w:t>
      </w:r>
      <w:r w:rsidRPr="4D5D4B90">
        <w:t xml:space="preserve"> at forventet levealder ventes å fortsatt øke fram mot 2050. Det</w:t>
      </w:r>
      <w:r w:rsidR="00E11BAA">
        <w:t>te</w:t>
      </w:r>
      <w:r w:rsidRPr="4D5D4B90">
        <w:t xml:space="preserve"> </w:t>
      </w:r>
      <w:r>
        <w:t>vil gi</w:t>
      </w:r>
      <w:r w:rsidRPr="4D5D4B90">
        <w:t xml:space="preserve"> en endring i alderssammensetningen, særlig</w:t>
      </w:r>
      <w:r w:rsidRPr="4C6BD771">
        <w:t xml:space="preserve"> i distriktene.</w:t>
      </w:r>
    </w:p>
    <w:p w14:paraId="791A2EAA" w14:textId="1142ED7A" w:rsidR="00F35BC5" w:rsidRPr="006067CD" w:rsidRDefault="00F35BC5" w:rsidP="00C629AE">
      <w:r>
        <w:t>Ifølge framskrivingene vil viktige helseutfordringer i 2050 i all hovedsak være de samme som i dag</w:t>
      </w:r>
      <w:r w:rsidRPr="37D7A17E">
        <w:t>.</w:t>
      </w:r>
      <w:r>
        <w:t xml:space="preserve"> D</w:t>
      </w:r>
      <w:r w:rsidRPr="5BFACFE1">
        <w:t xml:space="preserve">ødelighet og sykelighet </w:t>
      </w:r>
      <w:r>
        <w:t xml:space="preserve">vil øke </w:t>
      </w:r>
      <w:r w:rsidRPr="5BFACFE1">
        <w:t xml:space="preserve">totalt sett, hovedsakelig </w:t>
      </w:r>
      <w:r>
        <w:t>fordi</w:t>
      </w:r>
      <w:r w:rsidRPr="5BFACFE1">
        <w:t xml:space="preserve"> flere i befolkningen blir eldre. </w:t>
      </w:r>
      <w:r>
        <w:t>Kroniske sykdommer</w:t>
      </w:r>
      <w:r w:rsidRPr="6487B048">
        <w:t xml:space="preserve"> vil fortsatt være </w:t>
      </w:r>
      <w:r>
        <w:t>viktige årsaker til helsetap, helsetjenestebruk, sykefravær og uførhet</w:t>
      </w:r>
      <w:r w:rsidRPr="37D7A17E">
        <w:t>.</w:t>
      </w:r>
    </w:p>
    <w:p w14:paraId="7C7D22EB" w14:textId="77777777" w:rsidR="00F35BC5" w:rsidRPr="003C44D3" w:rsidRDefault="00F35BC5" w:rsidP="00775632">
      <w:pPr>
        <w:pStyle w:val="Overskrift3"/>
      </w:pPr>
      <w:bookmarkStart w:id="280" w:name="_Toc126817023"/>
      <w:bookmarkStart w:id="281" w:name="_Toc127633154"/>
      <w:bookmarkStart w:id="282" w:name="_Toc127864152"/>
      <w:bookmarkStart w:id="283" w:name="_Toc131238281"/>
      <w:bookmarkStart w:id="284" w:name="_Toc131279310"/>
      <w:bookmarkStart w:id="285" w:name="_Toc131286722"/>
      <w:bookmarkStart w:id="286" w:name="_Toc131281132"/>
      <w:bookmarkStart w:id="287" w:name="_Toc131317671"/>
      <w:bookmarkStart w:id="288" w:name="_Toc132536895"/>
      <w:r>
        <w:lastRenderedPageBreak/>
        <w:t>Behovet for helsetjenester og helsepersonell, inkludert kostnadsutvikling</w:t>
      </w:r>
      <w:bookmarkEnd w:id="280"/>
      <w:bookmarkEnd w:id="281"/>
      <w:bookmarkEnd w:id="282"/>
      <w:bookmarkEnd w:id="283"/>
      <w:bookmarkEnd w:id="284"/>
      <w:bookmarkEnd w:id="285"/>
      <w:bookmarkEnd w:id="286"/>
      <w:bookmarkEnd w:id="287"/>
      <w:bookmarkEnd w:id="288"/>
    </w:p>
    <w:p w14:paraId="6BD56A5D" w14:textId="7F89866E" w:rsidR="00D9107F" w:rsidRDefault="00F35BC5" w:rsidP="00C629AE">
      <w:r>
        <w:t xml:space="preserve">Bruken av helsetjenester øker vesentlig med alderen. I følge FHIs framskrivinger vil aldersgruppen over 70 år stå for nesten all forventet økning i bruk av offentlige helsetjenester fram mot 2040, herunder fastlege- og polikliniske tjenester, og innleggelse i sykehus. Det forventes også en betydelig økning i antall brukere av </w:t>
      </w:r>
      <w:r w:rsidR="00E11BAA">
        <w:t xml:space="preserve">kommunale </w:t>
      </w:r>
      <w:r>
        <w:t>helse- og omsorgstjenester, fra ca. 35</w:t>
      </w:r>
      <w:r w:rsidR="00D9107F">
        <w:t>0 000</w:t>
      </w:r>
      <w:r>
        <w:t xml:space="preserve"> i dag til omkring en halv million i 2040.</w:t>
      </w:r>
    </w:p>
    <w:p w14:paraId="43BDA348" w14:textId="77777777" w:rsidR="00D9107F" w:rsidRDefault="00F35BC5" w:rsidP="00C629AE">
      <w:r>
        <w:t xml:space="preserve">Framskrivinger av befolkningen under 70 år viser en moderat økning eller svak nedgang. Tilsvarende forventes det kun en moderat økning eller svak nedgang </w:t>
      </w:r>
      <w:r w:rsidR="00E11BAA">
        <w:t>i</w:t>
      </w:r>
      <w:r>
        <w:t xml:space="preserve"> helsetjenestebruk i denne delen av befolkningen. Siden de under 70 år er langt flere enn de over 70 år, bruker denne gruppen totalt sett mest helsetjenester</w:t>
      </w:r>
      <w:r w:rsidR="006A2E61">
        <w:t xml:space="preserve"> </w:t>
      </w:r>
      <w:r w:rsidR="00904B00">
        <w:fldChar w:fldCharType="begin"/>
      </w:r>
      <w:r w:rsidR="00904B00">
        <w:instrText xml:space="preserve"> ADDIN EN.CITE &lt;EndNote&gt;&lt;Cite&gt;&lt;Author&gt;Folkehelseinstituttet&lt;/Author&gt;&lt;Year&gt;2022&lt;/Year&gt;&lt;RecNum&gt;277&lt;/RecNum&gt;&lt;DisplayText&gt;(Folkehelseinstituttet, 2022)&lt;/DisplayText&gt;&lt;record&gt;&lt;rec-number&gt;277&lt;/rec-number&gt;&lt;foreign-keys&gt;&lt;key app="EN" db-id="95tpr2tp6r9xwoea9rb5wdsz5ds5xeddteew" timestamp="1680069511"&gt;277&lt;/key&gt;&lt;/foreign-keys&gt;&lt;ref-type name="Report"&gt;27&lt;/ref-type&gt;&lt;contributors&gt;&lt;authors&gt;&lt;author&gt;Folkehelseinstituttet&lt;/author&gt;&lt;/authors&gt;&lt;/contributors&gt;&lt;titles&gt;&lt;title&gt;Framtidens utfordringer for folkehelsen. Sykdomsbyrde, bruk av helse- og omsorgstjenester, og smittsomme sykdommer&lt;/title&gt;&lt;secondary-title&gt;Folkehelserapporten&lt;/secondary-title&gt;&lt;/titles&gt;&lt;dates&gt;&lt;year&gt;2022&lt;/year&gt;&lt;/dates&gt;&lt;pub-location&gt;Oslo&lt;/pub-location&gt;&lt;publisher&gt;Folkehelseinstituttet&lt;/publisher&gt;&lt;urls&gt;&lt;/urls&gt;&lt;/record&gt;&lt;/Cite&gt;&lt;/EndNote&gt;</w:instrText>
      </w:r>
      <w:r w:rsidR="00904B00">
        <w:fldChar w:fldCharType="separate"/>
      </w:r>
      <w:r w:rsidR="00904B00">
        <w:rPr>
          <w:noProof/>
        </w:rPr>
        <w:t>(Folkehelseinstituttet, 2022)</w:t>
      </w:r>
      <w:r w:rsidR="00904B00">
        <w:fldChar w:fldCharType="end"/>
      </w:r>
      <w:r>
        <w:t>.</w:t>
      </w:r>
    </w:p>
    <w:p w14:paraId="40D5D5BA" w14:textId="77777777" w:rsidR="00D9107F" w:rsidRDefault="00F35BC5" w:rsidP="00C629AE">
      <w:r>
        <w:t xml:space="preserve">En aldrende befolkning er den viktigste driveren for et klart økt behov for helsepersonell de neste tiårene </w:t>
      </w:r>
      <w:r>
        <w:fldChar w:fldCharType="begin"/>
      </w:r>
      <w:r w:rsidR="004654FD">
        <w:instrText xml:space="preserve"> ADDIN EN.CITE &lt;EndNote&gt;&lt;Cite&gt;&lt;Author&gt;Hjemås&lt;/Author&gt;&lt;Year&gt;2019&lt;/Year&gt;&lt;RecNum&gt;46&lt;/RecNum&gt;&lt;DisplayText&gt;(Hjemås et al., 2019)&lt;/DisplayText&gt;&lt;record&gt;&lt;rec-number&gt;46&lt;/rec-number&gt;&lt;foreign-keys&gt;&lt;key app="EN" db-id="95tpr2tp6r9xwoea9rb5wdsz5ds5xeddteew" timestamp="1680069511"&gt;46&lt;/key&gt;&lt;/foreign-keys&gt;&lt;ref-type name="Report"&gt;27&lt;/ref-type&gt;&lt;contributors&gt;&lt;authors&gt;&lt;author&gt;Geir Hjemås&lt;/author&gt;&lt;author&gt;Jia Zhiyang&lt;/author&gt;&lt;author&gt;Tom Kornstad&lt;/author&gt;&lt;author&gt;Nils Martin Stølen&lt;/author&gt;&lt;/authors&gt;&lt;tertiary-authors&gt;&lt;author&gt;Statistisk sentralbyrå,&lt;/author&gt;&lt;/tertiary-authors&gt;&lt;/contributors&gt;&lt;titles&gt;&lt;title&gt;Arbeidsmarkedet for helsepersonell fram mot 2035&lt;/title&gt;&lt;secondary-title&gt;Rapporter&lt;/secondary-title&gt;&lt;/titles&gt;&lt;dates&gt;&lt;year&gt;2019&lt;/year&gt;&lt;/dates&gt;&lt;pub-location&gt;Oslo&lt;/pub-location&gt;&lt;isbn&gt;2019/11&lt;/isbn&gt;&lt;urls&gt;&lt;/urls&gt;&lt;/record&gt;&lt;/Cite&gt;&lt;/EndNote&gt;</w:instrText>
      </w:r>
      <w:r>
        <w:fldChar w:fldCharType="separate"/>
      </w:r>
      <w:r w:rsidR="00856689">
        <w:rPr>
          <w:noProof/>
        </w:rPr>
        <w:t>(Hjemås et al., 2019)</w:t>
      </w:r>
      <w:r>
        <w:fldChar w:fldCharType="end"/>
      </w:r>
      <w:r>
        <w:t>, gitt at helse- og omsorgstjenester skal gis på samme måte og relativt sett samme omfang som i dag. Parallelt har man for leger, sykepleiere og helsefagarbeidere blitt avhengig av innvandrere med denne utdanningen, og vi har ikke bygget opp tilstrekkelig utdanningskapasitet i Norge, selv om konsekvensene av den demografiske utviklingen har vært kjent over tid. Det er også forventet et økt underskudd av andre grupper av helsepersonell, som vernepleiere, ergoterapeuter og jordmødre.</w:t>
      </w:r>
    </w:p>
    <w:p w14:paraId="34244F98" w14:textId="1B5992A2" w:rsidR="00D9107F" w:rsidRDefault="00F35BC5" w:rsidP="00C629AE">
      <w:r>
        <w:t>Utover alder, er det store forskjeller i sykdomsbyrde og helsetjenestebruk mellom ulike sosiodemografiske grupper, definert etter eksempelvis inntekt, utdanningsnivå og innvandrerbakgrunn</w:t>
      </w:r>
      <w:r w:rsidR="0096636F">
        <w:t xml:space="preserve"> </w:t>
      </w:r>
      <w:r>
        <w:fldChar w:fldCharType="begin"/>
      </w:r>
      <w:r w:rsidR="00A27571">
        <w:instrText xml:space="preserve"> ADDIN EN.CITE &lt;EndNote&gt;&lt;Cite&gt;&lt;Author&gt;Dahl&lt;/Author&gt;&lt;Year&gt;2022&lt;/Year&gt;&lt;RecNum&gt;755&lt;/RecNum&gt;&lt;DisplayText&gt;(Dahl et al., 2022)&lt;/DisplayText&gt;&lt;record&gt;&lt;rec-number&gt;755&lt;/rec-number&gt;&lt;foreign-keys&gt;&lt;key app="EN" db-id="95tpr2tp6r9xwoea9rb5wdsz5ds5xeddteew" timestamp="1680069511"&gt;755&lt;/key&gt;&lt;/foreign-keys&gt;&lt;ref-type name="Report"&gt;27&lt;/ref-type&gt;&lt;contributors&gt;&lt;authors&gt;&lt;author&gt;Espen Dahl&lt;/author&gt;&lt;author&gt;Jon Ivar Elstad&lt;/author&gt;&lt;/authors&gt;&lt;tertiary-authors&gt;&lt;author&gt;Nasjonalforeningen for folkehelsen,&lt;/author&gt;&lt;/tertiary-authors&gt;&lt;/contributors&gt;&lt;titles&gt;&lt;title&gt;Sosial ulikhet tar liv : faglige og folkehelsepolitiske vurderinger&lt;/title&gt;&lt;/titles&gt;&lt;dates&gt;&lt;year&gt;2022&lt;/year&gt;&lt;pub-dates&gt;&lt;date&gt;9/2022&lt;/date&gt;&lt;/pub-dates&gt;&lt;/dates&gt;&lt;pub-location&gt;Oslo&lt;/pub-location&gt;&lt;urls&gt;&lt;/urls&gt;&lt;/record&gt;&lt;/Cite&gt;&lt;/EndNote&gt;</w:instrText>
      </w:r>
      <w:r>
        <w:fldChar w:fldCharType="separate"/>
      </w:r>
      <w:r w:rsidR="00856689">
        <w:rPr>
          <w:noProof/>
        </w:rPr>
        <w:t>(Dahl et al., 2022)</w:t>
      </w:r>
      <w:r>
        <w:fldChar w:fldCharType="end"/>
      </w:r>
      <w:r w:rsidR="00D9107F" w:rsidRPr="00D9107F">
        <w:rPr>
          <w:rStyle w:val="skrift-hevet"/>
        </w:rPr>
        <w:t xml:space="preserve"> </w:t>
      </w:r>
      <w:r>
        <w:fldChar w:fldCharType="begin"/>
      </w:r>
      <w:r w:rsidR="004654FD">
        <w:instrText xml:space="preserve"> ADDIN EN.CITE &lt;EndNote&gt;&lt;Cite&gt;&lt;Author&gt;Spilker&lt;/Author&gt;&lt;Year&gt;2017&lt;/Year&gt;&lt;RecNum&gt;320&lt;/RecNum&gt;&lt;DisplayText&gt;(Spilker et al., 2017)&lt;/DisplayText&gt;&lt;record&gt;&lt;rec-number&gt;320&lt;/rec-number&gt;&lt;foreign-keys&gt;&lt;key app="EN" db-id="95tpr2tp6r9xwoea9rb5wdsz5ds5xeddteew" timestamp="1680069511"&gt;320&lt;/key&gt;&lt;/foreign-keys&gt;&lt;ref-type name="Web Page"&gt;12&lt;/ref-type&gt;&lt;contributors&gt;&lt;authors&gt;&lt;author&gt;Ragnhild Anne Caroline Storstein Spilker&lt;/author&gt;&lt;author&gt;Prabhjot Kour&lt;/author&gt;&lt;author&gt;Tone Bruun&lt;/author&gt;&lt;author&gt;Thor Indseth&lt;/author&gt;&lt;author&gt;Berit Austveg&lt;/author&gt;&lt;author&gt;Melanie Lindsay Straiton&lt;/author&gt;&lt;/authors&gt;&lt;/contributors&gt;&lt;titles&gt;&lt;title&gt;Helse blant personer med innvandrerbakgrunn&lt;/title&gt;&lt;secondary-title&gt;Folkehelserapporten&lt;/secondary-title&gt;&lt;/titles&gt;&lt;number&gt;16.01.23&lt;/number&gt;&lt;dates&gt;&lt;year&gt;2017&lt;/year&gt;&lt;pub-dates&gt;&lt;date&gt;26.08.2022&lt;/date&gt;&lt;/pub-dates&gt;&lt;/dates&gt;&lt;publisher&gt;Folkehelseinstituttet&lt;/publisher&gt;&lt;work-type&gt;nettdokument&lt;/work-type&gt;&lt;urls&gt;&lt;/urls&gt;&lt;/record&gt;&lt;/Cite&gt;&lt;/EndNote&gt;</w:instrText>
      </w:r>
      <w:r>
        <w:fldChar w:fldCharType="separate"/>
      </w:r>
      <w:r>
        <w:rPr>
          <w:noProof/>
        </w:rPr>
        <w:t>(Spilker et al., 2017)</w:t>
      </w:r>
      <w:r>
        <w:fldChar w:fldCharType="end"/>
      </w:r>
      <w:r w:rsidR="0096636F">
        <w:t>.</w:t>
      </w:r>
      <w:r>
        <w:t xml:space="preserve"> Innbyggernes helsekompetanse og digitale kompetanse er preget av store forskjeller. Endret bruk av helsetjenesten, ved at den friske delen av befolkningen legger beslag på en større del av helsetjenestens ressurser, kan være en mulig utfordring framover.</w:t>
      </w:r>
    </w:p>
    <w:p w14:paraId="71458EE9" w14:textId="77777777" w:rsidR="00D9107F" w:rsidRDefault="00F35BC5" w:rsidP="00C629AE">
      <w:pPr>
        <w:autoSpaceDE w:val="0"/>
        <w:autoSpaceDN w:val="0"/>
        <w:adjustRightInd w:val="0"/>
      </w:pPr>
      <w:r>
        <w:t xml:space="preserve">Norge er allerede i verdenstoppen når det gjelder antall helsepersonell per innbygger, og har den fjerde høyeste legedekningen i </w:t>
      </w:r>
      <w:r w:rsidRPr="00B952E7">
        <w:t>OECD</w:t>
      </w:r>
      <w:r>
        <w:t xml:space="preserve"> </w:t>
      </w:r>
      <w:r>
        <w:fldChar w:fldCharType="begin"/>
      </w:r>
      <w:r w:rsidR="004654FD">
        <w:instrText xml:space="preserve"> ADDIN EN.CITE &lt;EndNote&gt;&lt;Cite&gt;&lt;Author&gt;OECD&lt;/Author&gt;&lt;Year&gt;2021&lt;/Year&gt;&lt;RecNum&gt;311&lt;/RecNum&gt;&lt;DisplayText&gt;(OECD, 2021)&lt;/DisplayText&gt;&lt;record&gt;&lt;rec-number&gt;311&lt;/rec-number&gt;&lt;foreign-keys&gt;&lt;key app="EN" db-id="95tpr2tp6r9xwoea9rb5wdsz5ds5xeddteew" timestamp="1680069511"&gt;311&lt;/key&gt;&lt;/foreign-keys&gt;&lt;ref-type name="Report"&gt;27&lt;/ref-type&gt;&lt;contributors&gt;&lt;authors&gt;&lt;author&gt;OECD&lt;/author&gt;&lt;/authors&gt;&lt;tertiary-authors&gt;&lt;author&gt;OECD Publishing,&lt;/author&gt;&lt;/tertiary-authors&gt;&lt;/contributors&gt;&lt;titles&gt;&lt;title&gt;Health at a Glance 2021 : OECD indicators&lt;/title&gt;&lt;/titles&gt;&lt;dates&gt;&lt;year&gt;2021&lt;/year&gt;&lt;/dates&gt;&lt;pub-location&gt;Paris&lt;/pub-location&gt;&lt;urls&gt;&lt;/urls&gt;&lt;electronic-resource-num&gt;10.1787/ae3016b9-en&lt;/electronic-resource-num&gt;&lt;/record&gt;&lt;/Cite&gt;&lt;/EndNote&gt;</w:instrText>
      </w:r>
      <w:r>
        <w:fldChar w:fldCharType="separate"/>
      </w:r>
      <w:r>
        <w:rPr>
          <w:noProof/>
        </w:rPr>
        <w:t>(OECD, 2021)</w:t>
      </w:r>
      <w:r>
        <w:fldChar w:fldCharType="end"/>
      </w:r>
      <w:r w:rsidR="0096636F">
        <w:t>.</w:t>
      </w:r>
      <w:r>
        <w:t xml:space="preserve"> Når vi ser på den samlede lege- og sykepleiedekningen per land i EU og EØS-området, ligger Norge øverst (figur </w:t>
      </w:r>
      <w:r w:rsidR="00911238">
        <w:t>2-1</w:t>
      </w:r>
      <w:r>
        <w:t>)</w:t>
      </w:r>
      <w:r w:rsidR="00DB63B7">
        <w:fldChar w:fldCharType="begin"/>
      </w:r>
      <w:r w:rsidR="00DB63B7">
        <w:instrText xml:space="preserve"> ADDIN EN.CITE &lt;EndNote&gt;&lt;Cite&gt;&lt;Author&gt;European Observatory&lt;/Author&gt;&lt;Year&gt;2021&lt;/Year&gt;&lt;RecNum&gt;935&lt;/RecNum&gt;&lt;DisplayText&gt;(European Observatory, 2021)&lt;/DisplayText&gt;&lt;record&gt;&lt;rec-number&gt;935&lt;/rec-number&gt;&lt;foreign-keys&gt;&lt;key app="EN" db-id="95tpr2tp6r9xwoea9rb5wdsz5ds5xeddteew" timestamp="1680163299"&gt;935&lt;/key&gt;&lt;/foreign-keys&gt;&lt;ref-type name="Report"&gt;27&lt;/ref-type&gt;&lt;contributors&gt;&lt;authors&gt;&lt;author&gt;European Observatory,&lt;/author&gt;&lt;/authors&gt;&lt;/contributors&gt;&lt;titles&gt;&lt;title&gt;State of health in the EU. Norway. Country health profile 2021&lt;/title&gt;&lt;/titles&gt;&lt;dates&gt;&lt;year&gt;2021&lt;/year&gt;&lt;/dates&gt;&lt;publisher&gt;OECD and European Observatory&lt;/publisher&gt;&lt;urls&gt;&lt;/urls&gt;&lt;/record&gt;&lt;/Cite&gt;&lt;/EndNote&gt;</w:instrText>
      </w:r>
      <w:r w:rsidR="00DB63B7">
        <w:fldChar w:fldCharType="separate"/>
      </w:r>
      <w:r w:rsidR="00DB63B7">
        <w:rPr>
          <w:noProof/>
        </w:rPr>
        <w:t>(European Observatory, 2021)</w:t>
      </w:r>
      <w:r w:rsidR="00DB63B7">
        <w:fldChar w:fldCharType="end"/>
      </w:r>
      <w:r>
        <w:t xml:space="preserve">. Framskrivinger viser behov for en klar økning i antall helsepersonell fram mot 2040 </w:t>
      </w:r>
      <w:r>
        <w:fldChar w:fldCharType="begin"/>
      </w:r>
      <w:r w:rsidR="00A27571">
        <w:instrText xml:space="preserve"> ADDIN EN.CITE &lt;EndNote&gt;&lt;Cite&gt;&lt;Author&gt;Cappelen&lt;/Author&gt;&lt;Year&gt;2020&lt;/Year&gt;&lt;RecNum&gt;275&lt;/RecNum&gt;&lt;DisplayText&gt;(Cappelen et al., 2020)&lt;/DisplayText&gt;&lt;record&gt;&lt;rec-number&gt;275&lt;/rec-number&gt;&lt;foreign-keys&gt;&lt;key app="EN" db-id="95tpr2tp6r9xwoea9rb5wdsz5ds5xeddteew" timestamp="1680069511"&gt;275&lt;/key&gt;&lt;/foreign-keys&gt;&lt;ref-type name="Report"&gt;27&lt;/ref-type&gt;&lt;contributors&gt;&lt;authors&gt;&lt;author&gt;Ådne Cappelen&lt;/author&gt;&lt;author&gt;Bjorn Dapi&lt;/author&gt;&lt;author&gt;Hege Marie Gjefsen&lt;/author&gt;&lt;author&gt;Nils Martin Stølen&lt;/author&gt;&lt;/authors&gt;&lt;tertiary-authors&gt;&lt;author&gt;Statistisk sentralbyrå&lt;/author&gt;&lt;/tertiary-authors&gt;&lt;/contributors&gt;&lt;titles&gt;&lt;title&gt;Framskrivinger av arbeidsstyrken og sysselsettingen etter utdanning mot 2040&lt;/title&gt;&lt;secondary-title&gt;Rapporter&lt;/secondary-title&gt;&lt;/titles&gt;&lt;dates&gt;&lt;year&gt;2020&lt;/year&gt;&lt;/dates&gt;&lt;pub-location&gt;Oslo&lt;/pub-location&gt;&lt;isbn&gt;2020/41&lt;/isbn&gt;&lt;urls&gt;&lt;/urls&gt;&lt;/record&gt;&lt;/Cite&gt;&lt;/EndNote&gt;</w:instrText>
      </w:r>
      <w:r>
        <w:fldChar w:fldCharType="separate"/>
      </w:r>
      <w:r w:rsidR="00856689">
        <w:rPr>
          <w:noProof/>
        </w:rPr>
        <w:t>(Cappelen et al., 2020)</w:t>
      </w:r>
      <w:r>
        <w:fldChar w:fldCharType="end"/>
      </w:r>
      <w:r>
        <w:t>, gitt at oppgavene skal løses på samme måte som i dag.</w:t>
      </w:r>
    </w:p>
    <w:p w14:paraId="51D5811A" w14:textId="73B15529" w:rsidR="00F35BC5" w:rsidRPr="00F21084" w:rsidRDefault="00C629AE" w:rsidP="00C629AE">
      <w:pPr>
        <w:pStyle w:val="avsnitt-tittel"/>
      </w:pPr>
      <w:r>
        <w:lastRenderedPageBreak/>
        <w:t>Figur 2.1</w:t>
      </w:r>
      <w:r w:rsidR="005E0B90">
        <w:t>:</w:t>
      </w:r>
      <w:r>
        <w:t xml:space="preserve"> </w:t>
      </w:r>
      <w:r w:rsidR="00F35BC5" w:rsidRPr="00F21084">
        <w:t xml:space="preserve">Praktiserende leger og sykepleiere per </w:t>
      </w:r>
      <w:r w:rsidR="00D9107F" w:rsidRPr="00F21084">
        <w:t>1</w:t>
      </w:r>
      <w:r w:rsidR="00D9107F">
        <w:t> </w:t>
      </w:r>
      <w:r w:rsidR="00D9107F" w:rsidRPr="00F21084">
        <w:t>000</w:t>
      </w:r>
      <w:r w:rsidR="00F35BC5" w:rsidRPr="00F21084">
        <w:t xml:space="preserve"> innbyggere i EU/EØS-landene, 2019</w:t>
      </w:r>
    </w:p>
    <w:p w14:paraId="06C69A44" w14:textId="77777777" w:rsidR="00F35BC5" w:rsidRDefault="00F35BC5" w:rsidP="00210EF7">
      <w:pPr>
        <w:keepNext/>
        <w:keepLines/>
        <w:jc w:val="both"/>
      </w:pPr>
      <w:r w:rsidRPr="00256763">
        <w:rPr>
          <w:noProof/>
        </w:rPr>
        <w:drawing>
          <wp:inline distT="0" distB="0" distL="0" distR="0" wp14:anchorId="47CDCE2E" wp14:editId="51EC5FC0">
            <wp:extent cx="6004766" cy="2822143"/>
            <wp:effectExtent l="38100" t="38100" r="34290" b="355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31" t="1694" r="914" b="1987"/>
                    <a:stretch/>
                  </pic:blipFill>
                  <pic:spPr bwMode="auto">
                    <a:xfrm>
                      <a:off x="0" y="0"/>
                      <a:ext cx="6007053" cy="2823218"/>
                    </a:xfrm>
                    <a:prstGeom prst="rect">
                      <a:avLst/>
                    </a:prstGeom>
                    <a:ln w="38100" cap="flat" cmpd="sng" algn="ctr">
                      <a:solidFill>
                        <a:srgbClr val="A9D6B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79F9B3" w14:textId="77777777" w:rsidR="00D9107F" w:rsidRPr="00657F9A" w:rsidRDefault="00F35BC5" w:rsidP="005C095A">
      <w:pPr>
        <w:pStyle w:val="Petit"/>
        <w:rPr>
          <w:rStyle w:val="kursiv"/>
        </w:rPr>
      </w:pPr>
      <w:r w:rsidRPr="00657F9A">
        <w:rPr>
          <w:rStyle w:val="kursiv"/>
        </w:rPr>
        <w:t xml:space="preserve">Kilde: Eurostat Database (data for 2019 eller nærmeste år). </w:t>
      </w:r>
      <w:r w:rsidRPr="00C5420F">
        <w:rPr>
          <w:rStyle w:val="kursiv"/>
          <w:lang w:val="en-US"/>
        </w:rPr>
        <w:t xml:space="preserve">Figuren er hentet fra State of the Health in the EU. </w:t>
      </w:r>
      <w:r w:rsidRPr="00657F9A">
        <w:rPr>
          <w:rStyle w:val="kursiv"/>
        </w:rPr>
        <w:t>Norge. Landhelseprofil</w:t>
      </w:r>
      <w:r w:rsidR="008A1796" w:rsidRPr="00657F9A">
        <w:rPr>
          <w:rStyle w:val="kursiv"/>
        </w:rPr>
        <w:t>. Europ</w:t>
      </w:r>
      <w:r w:rsidR="002B4216" w:rsidRPr="00657F9A">
        <w:rPr>
          <w:rStyle w:val="kursiv"/>
        </w:rPr>
        <w:t>ean Observatory,</w:t>
      </w:r>
      <w:r w:rsidRPr="00657F9A">
        <w:rPr>
          <w:rStyle w:val="kursiv"/>
        </w:rPr>
        <w:t xml:space="preserve"> 2021.</w:t>
      </w:r>
    </w:p>
    <w:p w14:paraId="4AE9C59D" w14:textId="78E75ED5" w:rsidR="00D9107F" w:rsidRPr="00D9107F" w:rsidRDefault="00F35BC5" w:rsidP="00D51361">
      <w:pPr>
        <w:jc w:val="both"/>
        <w:rPr>
          <w:rStyle w:val="kursiv"/>
        </w:rPr>
      </w:pPr>
      <w:r>
        <w:t>Kunnskapsgrunnlaget i Helsepersonellkommisjonenes rapport (NOU 2023: 4) viser at andelen av den yrkesaktive befolkningen som jobber i helse- og omsorgssektoren er tredoblet de siste 40 årene, til 15 prosent i 2021</w:t>
      </w:r>
      <w:r w:rsidR="00E3534A">
        <w:t xml:space="preserve"> </w:t>
      </w:r>
      <w:r w:rsidR="00571732">
        <w:fldChar w:fldCharType="begin"/>
      </w:r>
      <w:r w:rsidR="00571732">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571732">
        <w:fldChar w:fldCharType="separate"/>
      </w:r>
      <w:r w:rsidR="00571732">
        <w:rPr>
          <w:noProof/>
        </w:rPr>
        <w:t>(Helse- og omsorgsdepartementet, 2023c)</w:t>
      </w:r>
      <w:r w:rsidR="00571732">
        <w:fldChar w:fldCharType="end"/>
      </w:r>
      <w:r>
        <w:t xml:space="preserve">. I henhold til framskrivingene SSB har utført for kommisjonen vil behovet for helsepersonell i den kommunale helse- og omsorgstjenesten øke med </w:t>
      </w:r>
      <w:r w:rsidR="00F067A8">
        <w:t>omkring 10</w:t>
      </w:r>
      <w:r w:rsidR="00D9107F">
        <w:t>0 000</w:t>
      </w:r>
      <w:r w:rsidR="00F067A8">
        <w:t xml:space="preserve"> årsverk</w:t>
      </w:r>
      <w:r>
        <w:t xml:space="preserve"> fra 2019 til 2040. Parallelt framskrives et fallende antall personer i yrkesaktiv alder de neste 20 årene </w:t>
      </w:r>
      <w:r>
        <w:fldChar w:fldCharType="begin"/>
      </w:r>
      <w:r w:rsidR="004654FD">
        <w:instrText xml:space="preserve"> ADDIN EN.CITE &lt;EndNote&gt;&lt;Cite&gt;&lt;Author&gt;Holmøy&lt;/Author&gt;&lt;Year&gt;2023&lt;/Year&gt;&lt;RecNum&gt;984&lt;/RecNum&gt;&lt;DisplayText&gt;(Holmøy et al., 2023)&lt;/DisplayText&gt;&lt;record&gt;&lt;rec-number&gt;984&lt;/rec-number&gt;&lt;foreign-keys&gt;&lt;key app="EN" db-id="95tpr2tp6r9xwoea9rb5wdsz5ds5xeddteew" timestamp="1680229353"&gt;984&lt;/key&gt;&lt;/foreign-keys&gt;&lt;ref-type name="Report"&gt;27&lt;/ref-type&gt;&lt;contributors&gt;&lt;authors&gt;&lt;author&gt;Holmøy, E.&lt;/author&gt;&lt;author&gt;Hjemås, G.&lt;/author&gt;&lt;author&gt;Haugstveit, F.&lt;/author&gt;&lt;/authors&gt;&lt;/contributors&gt;&lt;titles&gt;&lt;title&gt;Arbeidsinnsats i offentlig helse og omsorg: Fremskrivninger og historikk&lt;/title&gt;&lt;/titles&gt;&lt;volume&gt;3&lt;/volume&gt;&lt;dates&gt;&lt;year&gt;2023&lt;/year&gt;&lt;/dates&gt;&lt;publisher&gt;SSB&lt;/publisher&gt;&lt;urls&gt;&lt;/urls&gt;&lt;/record&gt;&lt;/Cite&gt;&lt;/EndNote&gt;</w:instrText>
      </w:r>
      <w:r>
        <w:fldChar w:fldCharType="separate"/>
      </w:r>
      <w:r w:rsidR="004654FD">
        <w:rPr>
          <w:noProof/>
        </w:rPr>
        <w:t>(Holmøy et al., 2023)</w:t>
      </w:r>
      <w:r>
        <w:fldChar w:fldCharType="end"/>
      </w:r>
      <w:r w:rsidR="00DB63B7">
        <w:t>.</w:t>
      </w:r>
    </w:p>
    <w:p w14:paraId="1DD5321D" w14:textId="646D29CF" w:rsidR="00F35BC5" w:rsidRPr="00D65115" w:rsidRDefault="00F35BC5" w:rsidP="00775632">
      <w:pPr>
        <w:pStyle w:val="Overskrift2"/>
      </w:pPr>
      <w:bookmarkStart w:id="289" w:name="_Toc126817025"/>
      <w:bookmarkStart w:id="290" w:name="_Toc127633156"/>
      <w:bookmarkStart w:id="291" w:name="_Toc127864154"/>
      <w:bookmarkStart w:id="292" w:name="_Toc131238282"/>
      <w:bookmarkStart w:id="293" w:name="_Toc131279311"/>
      <w:bookmarkStart w:id="294" w:name="_Toc131286723"/>
      <w:bookmarkStart w:id="295" w:name="_Toc131281133"/>
      <w:bookmarkStart w:id="296" w:name="_Toc131317672"/>
      <w:bookmarkStart w:id="297" w:name="_Toc132536896"/>
      <w:r w:rsidRPr="00D65115">
        <w:t>Innbyggerperspektivet</w:t>
      </w:r>
      <w:bookmarkEnd w:id="289"/>
      <w:bookmarkEnd w:id="290"/>
      <w:bookmarkEnd w:id="291"/>
      <w:bookmarkEnd w:id="292"/>
      <w:bookmarkEnd w:id="293"/>
      <w:bookmarkEnd w:id="294"/>
      <w:bookmarkEnd w:id="295"/>
      <w:bookmarkEnd w:id="296"/>
      <w:bookmarkEnd w:id="297"/>
    </w:p>
    <w:p w14:paraId="52D26171" w14:textId="77777777" w:rsidR="00D9107F" w:rsidRDefault="00F35BC5" w:rsidP="00D51361">
      <w:pPr>
        <w:jc w:val="both"/>
      </w:pPr>
      <w:r>
        <w:t>Allmennlegetjenesten er for, og skal betjene, alle landets innbyggere. Allmennlegetjenesten, herunder fastlegetjenesten, er en sentral del av de kommunale helse- og omsorgstjenestene</w:t>
      </w:r>
      <w:r w:rsidR="00E11BAA">
        <w:t>,</w:t>
      </w:r>
      <w:r>
        <w:t xml:space="preserve"> og en viktig inngangsport til spesialisthelsetjenesten. Fastlegen er derfor grunnleggende for innbyggernes tilgang til helsetjenester når de har behov for det. Som en del av utvalgets arbeid er det sentralt å belyse innbyggernes tilgang til og bruk av fastlegetjenesten, og konsekvenser for innbyggere som står på fastlegelister uten fast lege.</w:t>
      </w:r>
    </w:p>
    <w:p w14:paraId="789A2A86" w14:textId="14887A8E" w:rsidR="00D9107F" w:rsidRDefault="00F35BC5" w:rsidP="00D51361">
      <w:pPr>
        <w:jc w:val="both"/>
      </w:pPr>
      <w:r>
        <w:t>Innbyggerperspektivet inkluderer også bekrivelse av pasientens situasjon og erfaringer</w:t>
      </w:r>
      <w:r w:rsidR="00522B35">
        <w:t xml:space="preserve"> og</w:t>
      </w:r>
      <w:r>
        <w:t xml:space="preserve"> framskrivinger av fastlegebehovet fram mot 2040.</w:t>
      </w:r>
    </w:p>
    <w:p w14:paraId="50986B7C" w14:textId="5747CD41" w:rsidR="00F35BC5" w:rsidRPr="005C095A" w:rsidRDefault="00F35BC5" w:rsidP="00775632">
      <w:pPr>
        <w:pStyle w:val="Overskrift3"/>
      </w:pPr>
      <w:bookmarkStart w:id="298" w:name="_Toc131238283"/>
      <w:bookmarkStart w:id="299" w:name="_Toc131279312"/>
      <w:bookmarkStart w:id="300" w:name="_Toc131286724"/>
      <w:bookmarkStart w:id="301" w:name="_Toc131281134"/>
      <w:bookmarkStart w:id="302" w:name="_Toc131317673"/>
      <w:bookmarkStart w:id="303" w:name="_Toc132536897"/>
      <w:r w:rsidRPr="005C095A">
        <w:t xml:space="preserve">Innbyggernes tilgang til </w:t>
      </w:r>
      <w:r w:rsidR="001012DC" w:rsidRPr="005C095A">
        <w:t>fastlege</w:t>
      </w:r>
      <w:r w:rsidRPr="005C095A">
        <w:t xml:space="preserve"> i by og land</w:t>
      </w:r>
      <w:bookmarkEnd w:id="298"/>
      <w:bookmarkEnd w:id="299"/>
      <w:bookmarkEnd w:id="300"/>
      <w:bookmarkEnd w:id="301"/>
      <w:bookmarkEnd w:id="302"/>
      <w:bookmarkEnd w:id="303"/>
    </w:p>
    <w:p w14:paraId="02604C9E" w14:textId="1D7DB450" w:rsidR="00F35BC5" w:rsidRDefault="00F35BC5" w:rsidP="005B3ACF">
      <w:pPr>
        <w:jc w:val="both"/>
      </w:pPr>
      <w:r>
        <w:t xml:space="preserve">Tilgang til </w:t>
      </w:r>
      <w:r w:rsidR="00465F3B">
        <w:t>fastlege</w:t>
      </w:r>
      <w:r>
        <w:t xml:space="preserve"> omhandler flere faktorer; inkludert antall aktive </w:t>
      </w:r>
      <w:r w:rsidR="00B071BC">
        <w:t>fastl</w:t>
      </w:r>
      <w:r>
        <w:t xml:space="preserve">eger i forhold til antall innbyggere, ledige listeplasser, og tiden legen har tilgjengelig til pasientrettet arbeid. Dette </w:t>
      </w:r>
      <w:r>
        <w:lastRenderedPageBreak/>
        <w:t>delkapit</w:t>
      </w:r>
      <w:r w:rsidR="00D76567">
        <w:t>te</w:t>
      </w:r>
      <w:r>
        <w:t>let omhandler antall fastleger per innbygger, geografisk fordeling av fastleger og antall konsultasjoner hos fastlege per innbygger.</w:t>
      </w:r>
    </w:p>
    <w:p w14:paraId="199860B3" w14:textId="7FF66BD3" w:rsidR="00D9107F" w:rsidRDefault="00F35BC5" w:rsidP="005B3ACF">
      <w:pPr>
        <w:jc w:val="both"/>
      </w:pPr>
      <w:r>
        <w:t>Per august 2022</w:t>
      </w:r>
      <w:r w:rsidDel="0072405E">
        <w:t xml:space="preserve"> </w:t>
      </w:r>
      <w:r>
        <w:t xml:space="preserve">var det totalt 5003 fastleger i landets fastlegekorps. Fastlegeordningen har hatt en økning på 1300 fastleger på 20 år, fra 3703 fastleger i 2002. Det har vært en liten, jevn stigning i antall fastleger per 1000 innbygger, fra 0,81 fastleger i 2002 til 0,92 fastleger per 1000 innbyggere i 2022 (figur </w:t>
      </w:r>
      <w:r w:rsidR="00796242">
        <w:t>2-2</w:t>
      </w:r>
      <w:r>
        <w:t>)</w:t>
      </w:r>
      <w:r w:rsidR="00E15D32">
        <w:t xml:space="preserve"> </w:t>
      </w:r>
      <w:r>
        <w:fldChar w:fldCharType="begin"/>
      </w:r>
      <w:r w:rsidR="004654FD">
        <w:instrText xml:space="preserve"> ADDIN EN.CITE &lt;EndNote&gt;&lt;Cite&gt;&lt;Author&gt;Helsedirektoratet&lt;/Author&gt;&lt;Year&gt;2023&lt;/Year&gt;&lt;RecNum&gt;986&lt;/RecNum&gt;&lt;DisplayText&gt;(Helsedirektoratet, 2023a)&lt;/DisplayText&gt;&lt;record&gt;&lt;rec-number&gt;986&lt;/rec-number&gt;&lt;foreign-keys&gt;&lt;key app="EN" db-id="95tpr2tp6r9xwoea9rb5wdsz5ds5xeddteew" timestamp="1680242108"&gt;986&lt;/key&gt;&lt;/foreign-keys&gt;&lt;ref-type name="Unpublished Work"&gt;34&lt;/ref-type&gt;&lt;contributors&gt;&lt;authors&gt;&lt;author&gt;Helsedirektoratet&lt;/author&gt;&lt;/authors&gt;&lt;/contributors&gt;&lt;titles&gt;&lt;title&gt;Analyser for ekspertutvalget &lt;/title&gt;&lt;/titles&gt;&lt;dates&gt;&lt;year&gt;2023&lt;/year&gt;&lt;/dates&gt;&lt;publisher&gt;Helsedirektoratet&lt;/publisher&gt;&lt;urls&gt;&lt;/urls&gt;&lt;/record&gt;&lt;/Cite&gt;&lt;/EndNote&gt;</w:instrText>
      </w:r>
      <w:r>
        <w:fldChar w:fldCharType="separate"/>
      </w:r>
      <w:r w:rsidR="00D078E3">
        <w:rPr>
          <w:noProof/>
        </w:rPr>
        <w:t>(Helsedirektoratet, 2023a)</w:t>
      </w:r>
      <w:r>
        <w:fldChar w:fldCharType="end"/>
      </w:r>
      <w:r>
        <w:t>.</w:t>
      </w:r>
    </w:p>
    <w:p w14:paraId="62EB0A39" w14:textId="751D0CFD" w:rsidR="00804DDA" w:rsidRPr="009E5608" w:rsidRDefault="00FF5528" w:rsidP="00FF5528">
      <w:pPr>
        <w:pStyle w:val="avsnitt-tittel"/>
      </w:pPr>
      <w:r>
        <w:t>Figur 2.2</w:t>
      </w:r>
      <w:r w:rsidR="005E0B90">
        <w:t>:</w:t>
      </w:r>
      <w:r>
        <w:t xml:space="preserve"> </w:t>
      </w:r>
      <w:r w:rsidR="00804DDA" w:rsidRPr="009E5608">
        <w:t>Antall fastleger per 1000 innbygger</w:t>
      </w:r>
    </w:p>
    <w:p w14:paraId="05A242F8" w14:textId="772D3501" w:rsidR="00F35BC5" w:rsidRDefault="00DB3B6A" w:rsidP="00F35BC5">
      <w:r>
        <w:rPr>
          <w:noProof/>
        </w:rPr>
        <w:drawing>
          <wp:inline distT="0" distB="0" distL="0" distR="0" wp14:anchorId="56244796" wp14:editId="277CBB61">
            <wp:extent cx="6108700" cy="3042285"/>
            <wp:effectExtent l="0" t="0" r="6350" b="571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3042285"/>
                    </a:xfrm>
                    <a:prstGeom prst="rect">
                      <a:avLst/>
                    </a:prstGeom>
                    <a:noFill/>
                  </pic:spPr>
                </pic:pic>
              </a:graphicData>
            </a:graphic>
          </wp:inline>
        </w:drawing>
      </w:r>
    </w:p>
    <w:p w14:paraId="3E578A6E" w14:textId="77777777" w:rsidR="00D9107F" w:rsidRPr="00657F9A" w:rsidRDefault="00F35BC5" w:rsidP="005C095A">
      <w:pPr>
        <w:pStyle w:val="Petit"/>
        <w:rPr>
          <w:rStyle w:val="kursiv"/>
        </w:rPr>
      </w:pPr>
      <w:r w:rsidRPr="00657F9A">
        <w:rPr>
          <w:rStyle w:val="kursiv"/>
        </w:rPr>
        <w:t>Kilde: FLO og SSB</w:t>
      </w:r>
      <w:r w:rsidR="004224C9" w:rsidRPr="00657F9A">
        <w:rPr>
          <w:rStyle w:val="kursiv"/>
        </w:rPr>
        <w:t>, 2002-2022.</w:t>
      </w:r>
    </w:p>
    <w:p w14:paraId="0FEE5D00" w14:textId="4DCC2B23" w:rsidR="00D9107F" w:rsidRDefault="00F35BC5" w:rsidP="005B3ACF">
      <w:pPr>
        <w:jc w:val="both"/>
      </w:pPr>
      <w:r w:rsidRPr="00941B76">
        <w:t xml:space="preserve">For å kunne si noe om innbyggernes tilgang til fastlege i ulike deler av landet </w:t>
      </w:r>
      <w:r>
        <w:t xml:space="preserve">kan vi se på </w:t>
      </w:r>
      <w:r w:rsidRPr="00941B76">
        <w:t xml:space="preserve">geografisk fordeling </w:t>
      </w:r>
      <w:r>
        <w:t>av legene. 11 prosent av landets fastleger har sin fastlegepraksis i kommuner med under 5000 innbyggere, samtidig som dette utgjør halvparten av landets kommuner. Fordeling av antall fastl</w:t>
      </w:r>
      <w:r w:rsidRPr="00941B76">
        <w:t xml:space="preserve">eger </w:t>
      </w:r>
      <w:r>
        <w:t xml:space="preserve">etter innbyggertall i kommunen viser at det er høyest antall fastleger </w:t>
      </w:r>
      <w:r w:rsidRPr="00941B76">
        <w:t>per 10</w:t>
      </w:r>
      <w:r>
        <w:t>00</w:t>
      </w:r>
      <w:r w:rsidRPr="00941B76">
        <w:t xml:space="preserve"> innbyggere</w:t>
      </w:r>
      <w:r>
        <w:t xml:space="preserve"> i kommuner med lavest antall innbyggere, og at andelen fastleger per innbygger faller med stigende antall innbyggere i kommunen. Per 2022 har kommuner med 2000 innbyggere eller mindre rundt 1,6 fastleger per 1000 innbyggere, mot rundt 0,95 fastleger i kommuner med mellom 1</w:t>
      </w:r>
      <w:r w:rsidR="00D9107F">
        <w:t>0 000</w:t>
      </w:r>
      <w:r>
        <w:t>–4</w:t>
      </w:r>
      <w:r w:rsidR="00D9107F">
        <w:t>9 999</w:t>
      </w:r>
      <w:r>
        <w:t xml:space="preserve"> innbyggere, og 0,8 fastleger per 1000 innbyggere i kommuner med mer enn 5</w:t>
      </w:r>
      <w:r w:rsidR="00D9107F">
        <w:t>0 000</w:t>
      </w:r>
      <w:r>
        <w:t xml:space="preserve"> innbyggere</w:t>
      </w:r>
      <w:r w:rsidR="00D87E49">
        <w:t xml:space="preserve"> </w:t>
      </w:r>
      <w:r>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fldChar w:fldCharType="separate"/>
      </w:r>
      <w:r w:rsidR="00D078E3">
        <w:rPr>
          <w:noProof/>
        </w:rPr>
        <w:t>(Helsedirektoratet, 2022c)</w:t>
      </w:r>
      <w:r>
        <w:fldChar w:fldCharType="end"/>
      </w:r>
      <w:r>
        <w:t>.</w:t>
      </w:r>
    </w:p>
    <w:p w14:paraId="33A20906" w14:textId="77777777" w:rsidR="00D9107F" w:rsidRDefault="00F35BC5" w:rsidP="005B3ACF">
      <w:pPr>
        <w:jc w:val="both"/>
      </w:pPr>
      <w:r>
        <w:t xml:space="preserve">Omfanget av, og utviklingsmønsteret i, rekruttering og avgang av leger til fastlegeordninger har innvirkning på innbyggernes tilgang til allmennlege. FHI har undersøkt utviklingen i flyten av fastleger inn og ut av ordningen fra 2002 til 2020 </w:t>
      </w:r>
      <w:r>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fldChar w:fldCharType="separate"/>
      </w:r>
      <w:r w:rsidR="00856689">
        <w:rPr>
          <w:noProof/>
        </w:rPr>
        <w:t>(Skyrud et al., 2023)</w:t>
      </w:r>
      <w:r>
        <w:fldChar w:fldCharType="end"/>
      </w:r>
      <w:r>
        <w:t xml:space="preserve">. </w:t>
      </w:r>
      <w:r>
        <w:rPr>
          <w:rFonts w:ascii="Calibri" w:hAnsi="Calibri" w:cs="Calibri"/>
          <w:color w:val="000000"/>
        </w:rPr>
        <w:t>Datakilder er</w:t>
      </w:r>
      <w:r>
        <w:t xml:space="preserve"> </w:t>
      </w:r>
      <w:r w:rsidRPr="004474A1">
        <w:t xml:space="preserve">registerdata fra fastlegeordningen (FLO) og konsultasjoner </w:t>
      </w:r>
      <w:r>
        <w:t>i</w:t>
      </w:r>
      <w:r w:rsidRPr="004474A1">
        <w:t xml:space="preserve"> primærhelsetjenesten</w:t>
      </w:r>
      <w:r>
        <w:t>, Kontroll og Utbetaling av Helserefusjoner (KUHR). De finner at på linje med totalantallet av fastleger er det e</w:t>
      </w:r>
      <w:r w:rsidR="00174DAB">
        <w:t>n</w:t>
      </w:r>
      <w:r>
        <w:t xml:space="preserve"> gradvis </w:t>
      </w:r>
      <w:r>
        <w:lastRenderedPageBreak/>
        <w:t>økning av både rekrutteringer og avganger per år gjennom de siste 20 årene. Utviklingen i aldersfordelingen blant fastleger som er rekruttert</w:t>
      </w:r>
      <w:r w:rsidR="00320B2C">
        <w:t>,</w:t>
      </w:r>
      <w:r>
        <w:t xml:space="preserve"> har vært stabil gjennom hele perioden. Det er flest under 40 år som rekrutteres til ordningen, men samtidig er også hver fjerde avgang leger i denne alder</w:t>
      </w:r>
      <w:r w:rsidR="00174DAB">
        <w:t>s</w:t>
      </w:r>
      <w:r>
        <w:t>gruppen. Rekruttering og avgang skjer i størst grad i mindre befolkningsrike kommuner i distrikt, og det er samtidig større årlig variasjon.</w:t>
      </w:r>
    </w:p>
    <w:p w14:paraId="5AFD2767" w14:textId="77777777" w:rsidR="00D9107F" w:rsidRDefault="00F35BC5" w:rsidP="005B3ACF">
      <w:pPr>
        <w:jc w:val="both"/>
      </w:pPr>
      <w:r>
        <w:t xml:space="preserve">Blant legene som slutter som fastlege, er gjennomsnittstiden i fastlegeordningen høyest i Oslo (6,4 år) og i de mest sentrale og folkerike kommunene. Fastlegene med kortest tid i fastlegeordningen er i de nordligste fylkene og i de minst sentrale og minst folkerike kommunene (tabell </w:t>
      </w:r>
      <w:r w:rsidR="007535F3" w:rsidRPr="00E27299">
        <w:t>2</w:t>
      </w:r>
      <w:r w:rsidR="00BE214A">
        <w:t>-1</w:t>
      </w:r>
      <w:r w:rsidRPr="007535F3">
        <w:t>).</w:t>
      </w:r>
    </w:p>
    <w:p w14:paraId="73B541E6" w14:textId="1D04EDA6" w:rsidR="00F35BC5" w:rsidRDefault="00F35BC5" w:rsidP="00775632">
      <w:pPr>
        <w:pStyle w:val="tabell-tittel"/>
      </w:pPr>
      <w:r>
        <w:t>Gjennomsnittlig tid i fastlegeordningen før avgang</w:t>
      </w:r>
    </w:p>
    <w:tbl>
      <w:tblPr>
        <w:tblStyle w:val="EUTabellstil"/>
        <w:tblW w:w="5000" w:type="pct"/>
        <w:tblLook w:val="0000" w:firstRow="0" w:lastRow="0" w:firstColumn="0" w:lastColumn="0" w:noHBand="0" w:noVBand="0"/>
      </w:tblPr>
      <w:tblGrid>
        <w:gridCol w:w="4482"/>
        <w:gridCol w:w="5254"/>
      </w:tblGrid>
      <w:tr w:rsidR="00D3600F" w:rsidRPr="007B65A9" w14:paraId="2C85CAD2" w14:textId="77777777" w:rsidTr="002843E0">
        <w:trPr>
          <w:trHeight w:val="99"/>
        </w:trPr>
        <w:tc>
          <w:tcPr>
            <w:tcW w:w="2302" w:type="pct"/>
            <w:tcBorders>
              <w:bottom w:val="single" w:sz="24" w:space="0" w:color="2A3652"/>
            </w:tcBorders>
            <w:shd w:val="clear" w:color="auto" w:fill="A9D6B9"/>
          </w:tcPr>
          <w:p w14:paraId="0BADFFDB" w14:textId="77777777" w:rsidR="00F35BC5" w:rsidRPr="00C528F3" w:rsidRDefault="00F35BC5" w:rsidP="006B6CBC">
            <w:pPr>
              <w:pStyle w:val="TabellHode-kolonne"/>
              <w:rPr>
                <w:lang w:val="nb-NO"/>
              </w:rPr>
            </w:pPr>
          </w:p>
        </w:tc>
        <w:tc>
          <w:tcPr>
            <w:tcW w:w="2698" w:type="pct"/>
            <w:tcBorders>
              <w:bottom w:val="single" w:sz="24" w:space="0" w:color="2A3652"/>
            </w:tcBorders>
            <w:shd w:val="clear" w:color="auto" w:fill="A9D6B9"/>
          </w:tcPr>
          <w:p w14:paraId="2D3D2C3B" w14:textId="17C132C5" w:rsidR="00F35BC5" w:rsidRPr="00807E35" w:rsidRDefault="00F35BC5" w:rsidP="006B6CBC">
            <w:pPr>
              <w:pStyle w:val="TabellHode-kolonne"/>
              <w:rPr>
                <w:lang w:val="nb-NO"/>
              </w:rPr>
            </w:pPr>
            <w:r w:rsidRPr="00C528F3">
              <w:rPr>
                <w:lang w:val="nb-NO"/>
              </w:rPr>
              <w:t>Tid i fastlegeordningen før avgang (år),</w:t>
            </w:r>
          </w:p>
          <w:p w14:paraId="1ED6ABB4" w14:textId="77777777" w:rsidR="00F35BC5" w:rsidRPr="00474F05" w:rsidRDefault="00F35BC5" w:rsidP="006B6CBC">
            <w:pPr>
              <w:pStyle w:val="TabellHode-kolonne"/>
            </w:pPr>
            <w:r w:rsidRPr="00D9107F">
              <w:rPr>
                <w:rStyle w:val="kursiv"/>
              </w:rPr>
              <w:t>snitt (minp25;maksp75)</w:t>
            </w:r>
          </w:p>
        </w:tc>
      </w:tr>
      <w:tr w:rsidR="00F35BC5" w:rsidRPr="007B65A9" w14:paraId="7B2CB9B5" w14:textId="77777777" w:rsidTr="008B584E">
        <w:trPr>
          <w:trHeight w:val="99"/>
        </w:trPr>
        <w:tc>
          <w:tcPr>
            <w:tcW w:w="5000" w:type="pct"/>
            <w:gridSpan w:val="2"/>
            <w:shd w:val="clear" w:color="auto" w:fill="A9D6B9" w:themeFill="accent2"/>
          </w:tcPr>
          <w:p w14:paraId="23C29722" w14:textId="77777777" w:rsidR="00F35BC5" w:rsidRPr="00E56102" w:rsidRDefault="00F35BC5" w:rsidP="006B6CBC">
            <w:pPr>
              <w:pStyle w:val="TabellHode-rad"/>
            </w:pPr>
            <w:r w:rsidRPr="00D9107F">
              <w:rPr>
                <w:rStyle w:val="halvfet"/>
              </w:rPr>
              <w:t>Fylke</w:t>
            </w:r>
          </w:p>
        </w:tc>
      </w:tr>
      <w:tr w:rsidR="00AD0DD3" w:rsidRPr="007B65A9" w14:paraId="5042D0A7" w14:textId="77777777" w:rsidTr="001C3131">
        <w:trPr>
          <w:trHeight w:val="99"/>
        </w:trPr>
        <w:tc>
          <w:tcPr>
            <w:tcW w:w="2302" w:type="pct"/>
          </w:tcPr>
          <w:p w14:paraId="7DDD4418" w14:textId="27775729" w:rsidR="00F35BC5" w:rsidRPr="00E56102" w:rsidRDefault="00F35BC5" w:rsidP="006B6CBC">
            <w:pPr>
              <w:pStyle w:val="TabellHode-rad"/>
            </w:pPr>
            <w:r w:rsidRPr="00E56102">
              <w:t>Agder</w:t>
            </w:r>
          </w:p>
        </w:tc>
        <w:tc>
          <w:tcPr>
            <w:tcW w:w="2698" w:type="pct"/>
          </w:tcPr>
          <w:p w14:paraId="2C8A49ED" w14:textId="2857838E" w:rsidR="00F35BC5" w:rsidRPr="00E56102" w:rsidRDefault="00F35BC5" w:rsidP="006B6CBC">
            <w:r w:rsidRPr="00E56102">
              <w:t>6,0 (3;8)</w:t>
            </w:r>
          </w:p>
        </w:tc>
      </w:tr>
      <w:tr w:rsidR="00AD0DD3" w:rsidRPr="007B65A9" w14:paraId="4FDAB8D0" w14:textId="77777777" w:rsidTr="001C3131">
        <w:trPr>
          <w:trHeight w:val="99"/>
        </w:trPr>
        <w:tc>
          <w:tcPr>
            <w:tcW w:w="2302" w:type="pct"/>
          </w:tcPr>
          <w:p w14:paraId="2E4B826B" w14:textId="405EB940" w:rsidR="00F35BC5" w:rsidRPr="00E56102" w:rsidRDefault="00F35BC5" w:rsidP="006B6CBC">
            <w:pPr>
              <w:pStyle w:val="TabellHode-rad"/>
            </w:pPr>
            <w:r w:rsidRPr="00E56102">
              <w:t>Innlandet</w:t>
            </w:r>
          </w:p>
        </w:tc>
        <w:tc>
          <w:tcPr>
            <w:tcW w:w="2698" w:type="pct"/>
          </w:tcPr>
          <w:p w14:paraId="21D6FDFE" w14:textId="0CF59DDA" w:rsidR="00F35BC5" w:rsidRPr="00E56102" w:rsidRDefault="00F35BC5" w:rsidP="006B6CBC">
            <w:r w:rsidRPr="00E56102">
              <w:t>5,6 (3;7)</w:t>
            </w:r>
          </w:p>
        </w:tc>
      </w:tr>
      <w:tr w:rsidR="00AD0DD3" w:rsidRPr="007B65A9" w14:paraId="31A70BFF" w14:textId="77777777" w:rsidTr="001C3131">
        <w:trPr>
          <w:trHeight w:val="99"/>
        </w:trPr>
        <w:tc>
          <w:tcPr>
            <w:tcW w:w="2302" w:type="pct"/>
          </w:tcPr>
          <w:p w14:paraId="14F0DE9A" w14:textId="45B56041" w:rsidR="00F35BC5" w:rsidRPr="00E56102" w:rsidRDefault="00F35BC5" w:rsidP="006B6CBC">
            <w:pPr>
              <w:pStyle w:val="TabellHode-rad"/>
            </w:pPr>
            <w:r w:rsidRPr="00E56102">
              <w:t>Møre og Romsdal</w:t>
            </w:r>
          </w:p>
        </w:tc>
        <w:tc>
          <w:tcPr>
            <w:tcW w:w="2698" w:type="pct"/>
          </w:tcPr>
          <w:p w14:paraId="77988804" w14:textId="5A3A6FF5" w:rsidR="00F35BC5" w:rsidRPr="00E56102" w:rsidRDefault="00F35BC5" w:rsidP="006B6CBC">
            <w:r w:rsidRPr="00E56102">
              <w:t>5,9 (3;8)</w:t>
            </w:r>
          </w:p>
        </w:tc>
      </w:tr>
      <w:tr w:rsidR="00AD0DD3" w:rsidRPr="007B65A9" w14:paraId="3A9D29C1" w14:textId="77777777" w:rsidTr="001C3131">
        <w:trPr>
          <w:trHeight w:val="99"/>
        </w:trPr>
        <w:tc>
          <w:tcPr>
            <w:tcW w:w="2302" w:type="pct"/>
          </w:tcPr>
          <w:p w14:paraId="708409EE" w14:textId="0EE5FBC0" w:rsidR="00F35BC5" w:rsidRPr="00E56102" w:rsidRDefault="00F35BC5" w:rsidP="006B6CBC">
            <w:pPr>
              <w:pStyle w:val="TabellHode-rad"/>
            </w:pPr>
            <w:r w:rsidRPr="00E56102">
              <w:t>Nordland</w:t>
            </w:r>
          </w:p>
        </w:tc>
        <w:tc>
          <w:tcPr>
            <w:tcW w:w="2698" w:type="pct"/>
          </w:tcPr>
          <w:p w14:paraId="147DD691" w14:textId="27F79DE3" w:rsidR="00F35BC5" w:rsidRPr="00E56102" w:rsidRDefault="00F35BC5" w:rsidP="006B6CBC">
            <w:r w:rsidRPr="00E56102">
              <w:t>4,8 (2;6)</w:t>
            </w:r>
          </w:p>
        </w:tc>
      </w:tr>
      <w:tr w:rsidR="00AD0DD3" w:rsidRPr="007B65A9" w14:paraId="145889E0" w14:textId="77777777" w:rsidTr="001C3131">
        <w:trPr>
          <w:trHeight w:val="99"/>
        </w:trPr>
        <w:tc>
          <w:tcPr>
            <w:tcW w:w="2302" w:type="pct"/>
          </w:tcPr>
          <w:p w14:paraId="3A57A9FB" w14:textId="6170DC96" w:rsidR="00F35BC5" w:rsidRPr="00E56102" w:rsidRDefault="00F35BC5" w:rsidP="006B6CBC">
            <w:pPr>
              <w:pStyle w:val="TabellHode-rad"/>
            </w:pPr>
            <w:r w:rsidRPr="00E56102">
              <w:t>Oslo</w:t>
            </w:r>
          </w:p>
        </w:tc>
        <w:tc>
          <w:tcPr>
            <w:tcW w:w="2698" w:type="pct"/>
          </w:tcPr>
          <w:p w14:paraId="5020C5FE" w14:textId="41CB5F80" w:rsidR="00F35BC5" w:rsidRPr="00E56102" w:rsidRDefault="00F35BC5" w:rsidP="006B6CBC">
            <w:r w:rsidRPr="00E56102">
              <w:t>6,4 (3;8)</w:t>
            </w:r>
          </w:p>
        </w:tc>
      </w:tr>
      <w:tr w:rsidR="00AD0DD3" w:rsidRPr="007B65A9" w14:paraId="3AB7031D" w14:textId="77777777" w:rsidTr="001C3131">
        <w:trPr>
          <w:trHeight w:val="99"/>
        </w:trPr>
        <w:tc>
          <w:tcPr>
            <w:tcW w:w="2302" w:type="pct"/>
          </w:tcPr>
          <w:p w14:paraId="23AE1FBB" w14:textId="321B98C1" w:rsidR="00F35BC5" w:rsidRPr="00E56102" w:rsidRDefault="00F35BC5" w:rsidP="006B6CBC">
            <w:pPr>
              <w:pStyle w:val="TabellHode-rad"/>
            </w:pPr>
            <w:r w:rsidRPr="00E56102">
              <w:t>Rogaland</w:t>
            </w:r>
          </w:p>
        </w:tc>
        <w:tc>
          <w:tcPr>
            <w:tcW w:w="2698" w:type="pct"/>
          </w:tcPr>
          <w:p w14:paraId="6A041C1A" w14:textId="67BFE320" w:rsidR="00F35BC5" w:rsidRPr="00E56102" w:rsidRDefault="00F35BC5" w:rsidP="006B6CBC">
            <w:r w:rsidRPr="00E56102">
              <w:t>5,8 (3;8)</w:t>
            </w:r>
          </w:p>
        </w:tc>
      </w:tr>
      <w:tr w:rsidR="00AD0DD3" w:rsidRPr="007B65A9" w14:paraId="55877C81" w14:textId="77777777" w:rsidTr="001C3131">
        <w:trPr>
          <w:trHeight w:val="99"/>
        </w:trPr>
        <w:tc>
          <w:tcPr>
            <w:tcW w:w="2302" w:type="pct"/>
          </w:tcPr>
          <w:p w14:paraId="19FF3812" w14:textId="4779399C" w:rsidR="00F35BC5" w:rsidRPr="00E56102" w:rsidRDefault="00F35BC5" w:rsidP="006B6CBC">
            <w:pPr>
              <w:pStyle w:val="TabellHode-rad"/>
            </w:pPr>
            <w:r w:rsidRPr="00E56102">
              <w:t>Troms og Finnmark</w:t>
            </w:r>
          </w:p>
        </w:tc>
        <w:tc>
          <w:tcPr>
            <w:tcW w:w="2698" w:type="pct"/>
          </w:tcPr>
          <w:p w14:paraId="6F16B76B" w14:textId="10A40099" w:rsidR="00F35BC5" w:rsidRPr="00E56102" w:rsidRDefault="00F35BC5" w:rsidP="006B6CBC">
            <w:r w:rsidRPr="00E56102">
              <w:t>5,1 (2;7)</w:t>
            </w:r>
          </w:p>
        </w:tc>
      </w:tr>
      <w:tr w:rsidR="00AD0DD3" w:rsidRPr="007B65A9" w14:paraId="301BD746" w14:textId="77777777" w:rsidTr="001C3131">
        <w:trPr>
          <w:trHeight w:val="99"/>
        </w:trPr>
        <w:tc>
          <w:tcPr>
            <w:tcW w:w="2302" w:type="pct"/>
          </w:tcPr>
          <w:p w14:paraId="49C04BC9" w14:textId="7EB7A8C6" w:rsidR="00F35BC5" w:rsidRPr="00E56102" w:rsidRDefault="00F35BC5" w:rsidP="006B6CBC">
            <w:pPr>
              <w:pStyle w:val="TabellHode-rad"/>
            </w:pPr>
            <w:r w:rsidRPr="00E56102">
              <w:t>Trøndelag</w:t>
            </w:r>
          </w:p>
        </w:tc>
        <w:tc>
          <w:tcPr>
            <w:tcW w:w="2698" w:type="pct"/>
          </w:tcPr>
          <w:p w14:paraId="71283F93" w14:textId="66D2A0CC" w:rsidR="00F35BC5" w:rsidRPr="00E56102" w:rsidRDefault="00F35BC5" w:rsidP="006B6CBC">
            <w:r w:rsidRPr="00E56102">
              <w:t>5,8 (3;8)</w:t>
            </w:r>
          </w:p>
        </w:tc>
      </w:tr>
      <w:tr w:rsidR="00AD0DD3" w:rsidRPr="007B65A9" w14:paraId="53207E34" w14:textId="77777777" w:rsidTr="001C3131">
        <w:trPr>
          <w:trHeight w:val="99"/>
        </w:trPr>
        <w:tc>
          <w:tcPr>
            <w:tcW w:w="2302" w:type="pct"/>
          </w:tcPr>
          <w:p w14:paraId="371E6F6C" w14:textId="396FAF77" w:rsidR="00F35BC5" w:rsidRPr="00E56102" w:rsidRDefault="00F35BC5" w:rsidP="006B6CBC">
            <w:pPr>
              <w:pStyle w:val="TabellHode-rad"/>
            </w:pPr>
            <w:r w:rsidRPr="00E56102">
              <w:t>Vestfold og Telemark</w:t>
            </w:r>
          </w:p>
        </w:tc>
        <w:tc>
          <w:tcPr>
            <w:tcW w:w="2698" w:type="pct"/>
          </w:tcPr>
          <w:p w14:paraId="25A557A8" w14:textId="0CAB3DA7" w:rsidR="00F35BC5" w:rsidRPr="00E56102" w:rsidRDefault="00F35BC5" w:rsidP="006B6CBC">
            <w:r w:rsidRPr="00E56102">
              <w:t>5,5 (3;7)</w:t>
            </w:r>
          </w:p>
        </w:tc>
      </w:tr>
      <w:tr w:rsidR="00AD0DD3" w:rsidRPr="007B65A9" w14:paraId="312E7C71" w14:textId="77777777" w:rsidTr="001C3131">
        <w:trPr>
          <w:trHeight w:val="99"/>
        </w:trPr>
        <w:tc>
          <w:tcPr>
            <w:tcW w:w="2302" w:type="pct"/>
          </w:tcPr>
          <w:p w14:paraId="2096773F" w14:textId="2068E5D8" w:rsidR="00F35BC5" w:rsidRPr="00E56102" w:rsidRDefault="00F35BC5" w:rsidP="006B6CBC">
            <w:pPr>
              <w:pStyle w:val="TabellHode-rad"/>
            </w:pPr>
            <w:r w:rsidRPr="00E56102">
              <w:t>Vestland</w:t>
            </w:r>
          </w:p>
        </w:tc>
        <w:tc>
          <w:tcPr>
            <w:tcW w:w="2698" w:type="pct"/>
          </w:tcPr>
          <w:p w14:paraId="47696402" w14:textId="73464F74" w:rsidR="00F35BC5" w:rsidRPr="00E56102" w:rsidRDefault="00F35BC5" w:rsidP="006B6CBC">
            <w:r w:rsidRPr="00E56102">
              <w:t>5,6 (3;7)</w:t>
            </w:r>
          </w:p>
        </w:tc>
      </w:tr>
      <w:tr w:rsidR="00AD0DD3" w:rsidRPr="007B65A9" w14:paraId="3FCDBD80" w14:textId="77777777" w:rsidTr="001C3131">
        <w:trPr>
          <w:trHeight w:val="99"/>
        </w:trPr>
        <w:tc>
          <w:tcPr>
            <w:tcW w:w="2302" w:type="pct"/>
          </w:tcPr>
          <w:p w14:paraId="5F68BB1D" w14:textId="6B6319FC" w:rsidR="00F35BC5" w:rsidRPr="00E56102" w:rsidRDefault="00F35BC5" w:rsidP="006B6CBC">
            <w:pPr>
              <w:pStyle w:val="TabellHode-rad"/>
            </w:pPr>
            <w:r w:rsidRPr="00E56102">
              <w:t>Viken</w:t>
            </w:r>
          </w:p>
        </w:tc>
        <w:tc>
          <w:tcPr>
            <w:tcW w:w="2698" w:type="pct"/>
          </w:tcPr>
          <w:p w14:paraId="4FDF2CFD" w14:textId="53E8DAB2" w:rsidR="00F35BC5" w:rsidRPr="00E56102" w:rsidRDefault="00F35BC5" w:rsidP="006B6CBC">
            <w:r w:rsidRPr="00E56102">
              <w:t>6,4 (3;9)</w:t>
            </w:r>
          </w:p>
        </w:tc>
      </w:tr>
      <w:tr w:rsidR="00F35BC5" w:rsidRPr="007B65A9" w14:paraId="38F071E8" w14:textId="77777777" w:rsidTr="008B584E">
        <w:trPr>
          <w:trHeight w:val="99"/>
        </w:trPr>
        <w:tc>
          <w:tcPr>
            <w:tcW w:w="5000" w:type="pct"/>
            <w:gridSpan w:val="2"/>
            <w:shd w:val="clear" w:color="auto" w:fill="A9D6B9" w:themeFill="accent2"/>
          </w:tcPr>
          <w:p w14:paraId="52EBBE4D" w14:textId="271ACC23" w:rsidR="00F35BC5" w:rsidRPr="00E56102" w:rsidRDefault="00F35BC5" w:rsidP="006B6CBC">
            <w:pPr>
              <w:pStyle w:val="TabellHode-rad"/>
            </w:pPr>
            <w:r w:rsidRPr="00D9107F">
              <w:rPr>
                <w:rStyle w:val="halvfet"/>
              </w:rPr>
              <w:t>Sentralitetsklasse</w:t>
            </w:r>
          </w:p>
        </w:tc>
      </w:tr>
      <w:tr w:rsidR="00AD0DD3" w:rsidRPr="007B65A9" w14:paraId="202BA2A3" w14:textId="77777777" w:rsidTr="001C3131">
        <w:trPr>
          <w:trHeight w:val="99"/>
        </w:trPr>
        <w:tc>
          <w:tcPr>
            <w:tcW w:w="2302" w:type="pct"/>
          </w:tcPr>
          <w:p w14:paraId="7B4E9444" w14:textId="4A161CA7" w:rsidR="00F35BC5" w:rsidRPr="00E56102" w:rsidRDefault="00F35BC5" w:rsidP="006B6CBC">
            <w:pPr>
              <w:pStyle w:val="TabellHode-rad"/>
            </w:pPr>
            <w:r w:rsidRPr="00E56102">
              <w:t>Sentralitetsklasse 1</w:t>
            </w:r>
          </w:p>
        </w:tc>
        <w:tc>
          <w:tcPr>
            <w:tcW w:w="2698" w:type="pct"/>
          </w:tcPr>
          <w:p w14:paraId="109ADD62" w14:textId="4D560683" w:rsidR="00F35BC5" w:rsidRPr="00E56102" w:rsidRDefault="00F35BC5" w:rsidP="006B6CBC">
            <w:r w:rsidRPr="00E56102">
              <w:t>6,2 (3;8)</w:t>
            </w:r>
          </w:p>
        </w:tc>
      </w:tr>
      <w:tr w:rsidR="00AD0DD3" w:rsidRPr="007B65A9" w14:paraId="3A63BE71" w14:textId="77777777" w:rsidTr="001C3131">
        <w:trPr>
          <w:trHeight w:val="99"/>
        </w:trPr>
        <w:tc>
          <w:tcPr>
            <w:tcW w:w="2302" w:type="pct"/>
          </w:tcPr>
          <w:p w14:paraId="450B1D3C" w14:textId="7844B33E" w:rsidR="00F35BC5" w:rsidRPr="00E56102" w:rsidRDefault="00F35BC5" w:rsidP="006B6CBC">
            <w:pPr>
              <w:pStyle w:val="TabellHode-rad"/>
            </w:pPr>
            <w:r w:rsidRPr="00E56102">
              <w:t>Sentralitetsklasse 2</w:t>
            </w:r>
          </w:p>
        </w:tc>
        <w:tc>
          <w:tcPr>
            <w:tcW w:w="2698" w:type="pct"/>
          </w:tcPr>
          <w:p w14:paraId="566D4E5A" w14:textId="7E9D41B0" w:rsidR="00F35BC5" w:rsidRPr="00E56102" w:rsidRDefault="00F35BC5" w:rsidP="006B6CBC">
            <w:r w:rsidRPr="00E56102">
              <w:t>6,2 (3;9)</w:t>
            </w:r>
          </w:p>
        </w:tc>
      </w:tr>
      <w:tr w:rsidR="00AD0DD3" w:rsidRPr="007B65A9" w14:paraId="0E1482BE" w14:textId="77777777" w:rsidTr="001C3131">
        <w:trPr>
          <w:trHeight w:val="99"/>
        </w:trPr>
        <w:tc>
          <w:tcPr>
            <w:tcW w:w="2302" w:type="pct"/>
          </w:tcPr>
          <w:p w14:paraId="1F8DD689" w14:textId="71EDF9FD" w:rsidR="00F35BC5" w:rsidRPr="00E56102" w:rsidRDefault="00F35BC5" w:rsidP="006B6CBC">
            <w:pPr>
              <w:pStyle w:val="TabellHode-rad"/>
            </w:pPr>
            <w:r w:rsidRPr="00E56102">
              <w:t>Sentralitetsklasse 3</w:t>
            </w:r>
          </w:p>
        </w:tc>
        <w:tc>
          <w:tcPr>
            <w:tcW w:w="2698" w:type="pct"/>
          </w:tcPr>
          <w:p w14:paraId="1F6C0550" w14:textId="519C6541" w:rsidR="00F35BC5" w:rsidRPr="00E56102" w:rsidRDefault="00F35BC5" w:rsidP="006B6CBC">
            <w:r w:rsidRPr="00E56102">
              <w:t>6,2 (3;9)</w:t>
            </w:r>
          </w:p>
        </w:tc>
      </w:tr>
      <w:tr w:rsidR="00AD0DD3" w:rsidRPr="007B65A9" w14:paraId="134A968B" w14:textId="77777777" w:rsidTr="001C3131">
        <w:trPr>
          <w:trHeight w:val="99"/>
        </w:trPr>
        <w:tc>
          <w:tcPr>
            <w:tcW w:w="2302" w:type="pct"/>
          </w:tcPr>
          <w:p w14:paraId="43E85ABC" w14:textId="77E562AD" w:rsidR="00F35BC5" w:rsidRPr="00E56102" w:rsidRDefault="00F35BC5" w:rsidP="006B6CBC">
            <w:pPr>
              <w:pStyle w:val="TabellHode-rad"/>
            </w:pPr>
            <w:r w:rsidRPr="00E56102">
              <w:t>Sentralitetsklasse 4</w:t>
            </w:r>
          </w:p>
        </w:tc>
        <w:tc>
          <w:tcPr>
            <w:tcW w:w="2698" w:type="pct"/>
          </w:tcPr>
          <w:p w14:paraId="43EDC27A" w14:textId="36076E8D" w:rsidR="00F35BC5" w:rsidRPr="00E56102" w:rsidRDefault="00F35BC5" w:rsidP="006B6CBC">
            <w:r w:rsidRPr="00E56102">
              <w:t>5,7 (3;7)</w:t>
            </w:r>
          </w:p>
        </w:tc>
      </w:tr>
      <w:tr w:rsidR="00AD0DD3" w:rsidRPr="007B65A9" w14:paraId="2B11D132" w14:textId="77777777" w:rsidTr="001C3131">
        <w:trPr>
          <w:trHeight w:val="99"/>
        </w:trPr>
        <w:tc>
          <w:tcPr>
            <w:tcW w:w="2302" w:type="pct"/>
          </w:tcPr>
          <w:p w14:paraId="2F7E0C44" w14:textId="5628D9AF" w:rsidR="00F35BC5" w:rsidRPr="00E56102" w:rsidRDefault="00F35BC5" w:rsidP="006B6CBC">
            <w:pPr>
              <w:pStyle w:val="TabellHode-rad"/>
            </w:pPr>
            <w:r w:rsidRPr="00E56102">
              <w:t>Sentralitetsklasse 5</w:t>
            </w:r>
          </w:p>
        </w:tc>
        <w:tc>
          <w:tcPr>
            <w:tcW w:w="2698" w:type="pct"/>
          </w:tcPr>
          <w:p w14:paraId="11A96845" w14:textId="7833ECD5" w:rsidR="00F35BC5" w:rsidRPr="00E56102" w:rsidRDefault="00F35BC5" w:rsidP="006B6CBC">
            <w:r w:rsidRPr="00E56102">
              <w:t>5,2 (2;7)</w:t>
            </w:r>
          </w:p>
        </w:tc>
      </w:tr>
      <w:tr w:rsidR="00AD0DD3" w:rsidRPr="007B65A9" w14:paraId="6B364CAA" w14:textId="77777777" w:rsidTr="001C3131">
        <w:trPr>
          <w:trHeight w:val="99"/>
        </w:trPr>
        <w:tc>
          <w:tcPr>
            <w:tcW w:w="2302" w:type="pct"/>
          </w:tcPr>
          <w:p w14:paraId="6593327E" w14:textId="7B11948C" w:rsidR="00F35BC5" w:rsidRPr="00E56102" w:rsidRDefault="00F35BC5" w:rsidP="006B6CBC">
            <w:pPr>
              <w:pStyle w:val="TabellHode-rad"/>
            </w:pPr>
            <w:r w:rsidRPr="00E56102">
              <w:t>Sentralitetsklasse 6</w:t>
            </w:r>
          </w:p>
        </w:tc>
        <w:tc>
          <w:tcPr>
            <w:tcW w:w="2698" w:type="pct"/>
          </w:tcPr>
          <w:p w14:paraId="5B0508FA" w14:textId="6C7CB1B9" w:rsidR="00F35BC5" w:rsidRPr="00E56102" w:rsidRDefault="00F35BC5" w:rsidP="006B6CBC">
            <w:r w:rsidRPr="00E56102">
              <w:t>5,1 (2;7)</w:t>
            </w:r>
          </w:p>
        </w:tc>
      </w:tr>
      <w:tr w:rsidR="00F35BC5" w:rsidRPr="007B65A9" w14:paraId="21C33F73" w14:textId="77777777" w:rsidTr="008B584E">
        <w:trPr>
          <w:trHeight w:val="99"/>
        </w:trPr>
        <w:tc>
          <w:tcPr>
            <w:tcW w:w="5000" w:type="pct"/>
            <w:gridSpan w:val="2"/>
            <w:shd w:val="clear" w:color="auto" w:fill="A9D6B9" w:themeFill="accent2"/>
          </w:tcPr>
          <w:p w14:paraId="1D27FA8A" w14:textId="06BAF195" w:rsidR="00F35BC5" w:rsidRPr="00E56102" w:rsidRDefault="00F35BC5" w:rsidP="006B6CBC">
            <w:pPr>
              <w:pStyle w:val="TabellHode-rad"/>
              <w:rPr>
                <w:rFonts w:ascii="Calibri" w:hAnsi="Calibri" w:cs="Calibri"/>
              </w:rPr>
            </w:pPr>
            <w:r w:rsidRPr="00D9107F">
              <w:rPr>
                <w:rStyle w:val="halvfet"/>
              </w:rPr>
              <w:t>Kommunestørrelse</w:t>
            </w:r>
          </w:p>
        </w:tc>
      </w:tr>
      <w:tr w:rsidR="00AD0DD3" w:rsidRPr="007B65A9" w14:paraId="61FC9DAF" w14:textId="77777777" w:rsidTr="001C3131">
        <w:trPr>
          <w:trHeight w:val="99"/>
        </w:trPr>
        <w:tc>
          <w:tcPr>
            <w:tcW w:w="2302" w:type="pct"/>
          </w:tcPr>
          <w:p w14:paraId="5A65E4E9" w14:textId="23A7D99F" w:rsidR="00F35BC5" w:rsidRPr="00E56102" w:rsidRDefault="00D9107F" w:rsidP="006B6CBC">
            <w:pPr>
              <w:pStyle w:val="TabellHode-rad"/>
            </w:pPr>
            <w:r w:rsidRPr="00E56102">
              <w:lastRenderedPageBreak/>
              <w:t>3</w:t>
            </w:r>
            <w:r>
              <w:t> </w:t>
            </w:r>
            <w:r w:rsidRPr="00E56102">
              <w:t>000</w:t>
            </w:r>
            <w:r w:rsidR="00F35BC5" w:rsidRPr="00E56102">
              <w:t xml:space="preserve"> eller færre</w:t>
            </w:r>
          </w:p>
        </w:tc>
        <w:tc>
          <w:tcPr>
            <w:tcW w:w="2698" w:type="pct"/>
          </w:tcPr>
          <w:p w14:paraId="120B9916" w14:textId="474AFC95" w:rsidR="00F35BC5" w:rsidRPr="00E56102" w:rsidRDefault="00F35BC5" w:rsidP="006B6CBC">
            <w:pPr>
              <w:rPr>
                <w:rFonts w:ascii="Calibri" w:hAnsi="Calibri" w:cs="Calibri"/>
              </w:rPr>
            </w:pPr>
            <w:r w:rsidRPr="00E56102">
              <w:rPr>
                <w:rFonts w:ascii="Calibri" w:hAnsi="Calibri" w:cs="Calibri"/>
              </w:rPr>
              <w:t>5,4 (2;7)</w:t>
            </w:r>
          </w:p>
        </w:tc>
      </w:tr>
      <w:tr w:rsidR="00AD0DD3" w:rsidRPr="007B65A9" w14:paraId="28AC6AE3" w14:textId="77777777" w:rsidTr="001C3131">
        <w:trPr>
          <w:trHeight w:val="99"/>
        </w:trPr>
        <w:tc>
          <w:tcPr>
            <w:tcW w:w="2302" w:type="pct"/>
          </w:tcPr>
          <w:p w14:paraId="333A215C" w14:textId="23EC13CC" w:rsidR="00F35BC5" w:rsidRPr="00E56102" w:rsidRDefault="00D9107F" w:rsidP="006B6CBC">
            <w:pPr>
              <w:pStyle w:val="TabellHode-rad"/>
            </w:pPr>
            <w:r w:rsidRPr="00E56102">
              <w:t>3</w:t>
            </w:r>
            <w:r>
              <w:t> </w:t>
            </w:r>
            <w:r w:rsidRPr="00E56102">
              <w:t>001</w:t>
            </w:r>
            <w:r w:rsidR="00F35BC5" w:rsidRPr="00E56102">
              <w:t>-</w:t>
            </w:r>
            <w:r w:rsidRPr="00E56102">
              <w:t>5</w:t>
            </w:r>
            <w:r>
              <w:t> </w:t>
            </w:r>
            <w:r w:rsidRPr="00E56102">
              <w:t>000</w:t>
            </w:r>
          </w:p>
        </w:tc>
        <w:tc>
          <w:tcPr>
            <w:tcW w:w="2698" w:type="pct"/>
          </w:tcPr>
          <w:p w14:paraId="581E97A5" w14:textId="08DB390C" w:rsidR="00F35BC5" w:rsidRPr="00E56102" w:rsidRDefault="00F35BC5" w:rsidP="006B6CBC">
            <w:pPr>
              <w:rPr>
                <w:rFonts w:ascii="Calibri" w:hAnsi="Calibri" w:cs="Calibri"/>
              </w:rPr>
            </w:pPr>
            <w:r w:rsidRPr="00E56102">
              <w:rPr>
                <w:rFonts w:ascii="Calibri" w:hAnsi="Calibri" w:cs="Calibri"/>
              </w:rPr>
              <w:t>5,2 (2;7)</w:t>
            </w:r>
          </w:p>
        </w:tc>
      </w:tr>
      <w:tr w:rsidR="00AD0DD3" w:rsidRPr="007B65A9" w14:paraId="5B6F5B09" w14:textId="77777777" w:rsidTr="001C3131">
        <w:trPr>
          <w:trHeight w:val="99"/>
        </w:trPr>
        <w:tc>
          <w:tcPr>
            <w:tcW w:w="2302" w:type="pct"/>
          </w:tcPr>
          <w:p w14:paraId="798D470D" w14:textId="6DDB928B" w:rsidR="00F35BC5" w:rsidRPr="00E56102" w:rsidRDefault="00D9107F" w:rsidP="006B6CBC">
            <w:pPr>
              <w:pStyle w:val="TabellHode-rad"/>
            </w:pPr>
            <w:r w:rsidRPr="00E56102">
              <w:t>5</w:t>
            </w:r>
            <w:r>
              <w:t> </w:t>
            </w:r>
            <w:r w:rsidRPr="00E56102">
              <w:t>001</w:t>
            </w:r>
            <w:r w:rsidR="00F35BC5" w:rsidRPr="00E56102">
              <w:t>-1</w:t>
            </w:r>
            <w:r w:rsidRPr="00E56102">
              <w:t>0</w:t>
            </w:r>
            <w:r>
              <w:t> </w:t>
            </w:r>
            <w:r w:rsidRPr="00E56102">
              <w:t>000</w:t>
            </w:r>
          </w:p>
        </w:tc>
        <w:tc>
          <w:tcPr>
            <w:tcW w:w="2698" w:type="pct"/>
          </w:tcPr>
          <w:p w14:paraId="3BEBAD97" w14:textId="69B69077" w:rsidR="00F35BC5" w:rsidRPr="00E56102" w:rsidRDefault="00F35BC5" w:rsidP="006B6CBC">
            <w:pPr>
              <w:rPr>
                <w:rFonts w:ascii="Calibri" w:hAnsi="Calibri" w:cs="Calibri"/>
              </w:rPr>
            </w:pPr>
            <w:r w:rsidRPr="00E56102">
              <w:rPr>
                <w:rFonts w:ascii="Calibri" w:hAnsi="Calibri" w:cs="Calibri"/>
              </w:rPr>
              <w:t>5,0 (2;6)</w:t>
            </w:r>
          </w:p>
        </w:tc>
      </w:tr>
      <w:tr w:rsidR="00AD0DD3" w:rsidRPr="007B65A9" w14:paraId="2FA9A1F3" w14:textId="77777777" w:rsidTr="001C3131">
        <w:trPr>
          <w:trHeight w:val="99"/>
        </w:trPr>
        <w:tc>
          <w:tcPr>
            <w:tcW w:w="2302" w:type="pct"/>
          </w:tcPr>
          <w:p w14:paraId="5A0458A9" w14:textId="4150B22B" w:rsidR="00F35BC5" w:rsidRPr="00E56102" w:rsidRDefault="00F35BC5" w:rsidP="006B6CBC">
            <w:pPr>
              <w:pStyle w:val="TabellHode-rad"/>
            </w:pPr>
            <w:r w:rsidRPr="00E56102">
              <w:t>1</w:t>
            </w:r>
            <w:r w:rsidR="00D9107F" w:rsidRPr="00E56102">
              <w:t>0</w:t>
            </w:r>
            <w:r w:rsidR="00D9107F">
              <w:t> </w:t>
            </w:r>
            <w:r w:rsidR="00D9107F" w:rsidRPr="00E56102">
              <w:t>001</w:t>
            </w:r>
            <w:r w:rsidRPr="00E56102">
              <w:t>-2</w:t>
            </w:r>
            <w:r w:rsidR="00D9107F" w:rsidRPr="00E56102">
              <w:t>5</w:t>
            </w:r>
            <w:r w:rsidR="00D9107F">
              <w:t> </w:t>
            </w:r>
            <w:r w:rsidR="00D9107F" w:rsidRPr="00E56102">
              <w:t>000</w:t>
            </w:r>
          </w:p>
        </w:tc>
        <w:tc>
          <w:tcPr>
            <w:tcW w:w="2698" w:type="pct"/>
          </w:tcPr>
          <w:p w14:paraId="73CA36EA" w14:textId="3EC18596" w:rsidR="00F35BC5" w:rsidRPr="00E56102" w:rsidRDefault="00F35BC5" w:rsidP="006B6CBC">
            <w:pPr>
              <w:rPr>
                <w:rFonts w:ascii="Calibri" w:hAnsi="Calibri" w:cs="Calibri"/>
              </w:rPr>
            </w:pPr>
            <w:r w:rsidRPr="00E56102">
              <w:rPr>
                <w:rFonts w:ascii="Calibri" w:hAnsi="Calibri" w:cs="Calibri"/>
              </w:rPr>
              <w:t>5,9 (3;8)</w:t>
            </w:r>
          </w:p>
        </w:tc>
      </w:tr>
      <w:tr w:rsidR="00AD0DD3" w:rsidRPr="007B65A9" w14:paraId="5BAB378C" w14:textId="77777777" w:rsidTr="001C3131">
        <w:trPr>
          <w:trHeight w:val="99"/>
        </w:trPr>
        <w:tc>
          <w:tcPr>
            <w:tcW w:w="2302" w:type="pct"/>
          </w:tcPr>
          <w:p w14:paraId="19B6B355" w14:textId="7BB0210A" w:rsidR="00F35BC5" w:rsidRPr="00E56102" w:rsidRDefault="00F35BC5" w:rsidP="006B6CBC">
            <w:pPr>
              <w:pStyle w:val="TabellHode-rad"/>
            </w:pPr>
            <w:r w:rsidRPr="00E56102">
              <w:t>2</w:t>
            </w:r>
            <w:r w:rsidR="00D9107F" w:rsidRPr="00E56102">
              <w:t>5</w:t>
            </w:r>
            <w:r w:rsidR="00D9107F">
              <w:t> </w:t>
            </w:r>
            <w:r w:rsidR="00D9107F" w:rsidRPr="00E56102">
              <w:t>001</w:t>
            </w:r>
            <w:r w:rsidRPr="00E56102">
              <w:t>-5</w:t>
            </w:r>
            <w:r w:rsidR="00D9107F" w:rsidRPr="00E56102">
              <w:t>0</w:t>
            </w:r>
            <w:r w:rsidR="00D9107F">
              <w:t> </w:t>
            </w:r>
            <w:r w:rsidR="00D9107F" w:rsidRPr="00E56102">
              <w:t>000</w:t>
            </w:r>
          </w:p>
        </w:tc>
        <w:tc>
          <w:tcPr>
            <w:tcW w:w="2698" w:type="pct"/>
          </w:tcPr>
          <w:p w14:paraId="110A855F" w14:textId="15DFBBAD" w:rsidR="00F35BC5" w:rsidRPr="00E56102" w:rsidRDefault="00F35BC5" w:rsidP="006B6CBC">
            <w:pPr>
              <w:rPr>
                <w:rFonts w:ascii="Calibri" w:hAnsi="Calibri" w:cs="Calibri"/>
              </w:rPr>
            </w:pPr>
            <w:r w:rsidRPr="00E56102">
              <w:rPr>
                <w:rFonts w:ascii="Calibri" w:hAnsi="Calibri" w:cs="Calibri"/>
              </w:rPr>
              <w:t>6,0 (3;8)</w:t>
            </w:r>
          </w:p>
        </w:tc>
      </w:tr>
      <w:tr w:rsidR="00AD0DD3" w:rsidRPr="007B65A9" w14:paraId="3842AEFE" w14:textId="77777777" w:rsidTr="001C3131">
        <w:trPr>
          <w:trHeight w:val="99"/>
        </w:trPr>
        <w:tc>
          <w:tcPr>
            <w:tcW w:w="2302" w:type="pct"/>
          </w:tcPr>
          <w:p w14:paraId="527ECBE0" w14:textId="404464B6" w:rsidR="00F35BC5" w:rsidRPr="00E56102" w:rsidRDefault="00F35BC5" w:rsidP="006B6CBC">
            <w:pPr>
              <w:pStyle w:val="TabellHode-rad"/>
            </w:pPr>
            <w:r w:rsidRPr="00E56102">
              <w:t>5</w:t>
            </w:r>
            <w:r w:rsidR="00D9107F" w:rsidRPr="00E56102">
              <w:t>0</w:t>
            </w:r>
            <w:r w:rsidR="00D9107F">
              <w:t> </w:t>
            </w:r>
            <w:r w:rsidR="00D9107F" w:rsidRPr="00E56102">
              <w:t>001</w:t>
            </w:r>
            <w:r w:rsidRPr="00E56102">
              <w:t>-10</w:t>
            </w:r>
            <w:r w:rsidR="00D9107F" w:rsidRPr="00E56102">
              <w:t>0</w:t>
            </w:r>
            <w:r w:rsidR="00D9107F">
              <w:t> </w:t>
            </w:r>
            <w:r w:rsidR="00D9107F" w:rsidRPr="00E56102">
              <w:t>000</w:t>
            </w:r>
          </w:p>
        </w:tc>
        <w:tc>
          <w:tcPr>
            <w:tcW w:w="2698" w:type="pct"/>
          </w:tcPr>
          <w:p w14:paraId="65603E4B" w14:textId="11414459" w:rsidR="00F35BC5" w:rsidRPr="00E56102" w:rsidRDefault="00F35BC5" w:rsidP="006B6CBC">
            <w:pPr>
              <w:rPr>
                <w:rFonts w:ascii="Calibri" w:hAnsi="Calibri" w:cs="Calibri"/>
              </w:rPr>
            </w:pPr>
            <w:r w:rsidRPr="00E56102">
              <w:rPr>
                <w:rFonts w:ascii="Calibri" w:hAnsi="Calibri" w:cs="Calibri"/>
              </w:rPr>
              <w:t>5,9 (3;7)</w:t>
            </w:r>
          </w:p>
        </w:tc>
      </w:tr>
      <w:tr w:rsidR="00AD0DD3" w:rsidRPr="007B65A9" w14:paraId="0F945D7F" w14:textId="77777777" w:rsidTr="001C3131">
        <w:trPr>
          <w:trHeight w:val="99"/>
        </w:trPr>
        <w:tc>
          <w:tcPr>
            <w:tcW w:w="2302" w:type="pct"/>
          </w:tcPr>
          <w:p w14:paraId="714027C1" w14:textId="1303072F" w:rsidR="00F35BC5" w:rsidRPr="00E56102" w:rsidRDefault="00F35BC5" w:rsidP="006B6CBC">
            <w:pPr>
              <w:pStyle w:val="TabellHode-rad"/>
            </w:pPr>
            <w:r w:rsidRPr="00E56102">
              <w:t>&gt;10</w:t>
            </w:r>
            <w:r w:rsidR="00D9107F" w:rsidRPr="00E56102">
              <w:t>0</w:t>
            </w:r>
            <w:r w:rsidR="00D9107F">
              <w:t> </w:t>
            </w:r>
            <w:r w:rsidR="00D9107F" w:rsidRPr="00E56102">
              <w:t>000</w:t>
            </w:r>
          </w:p>
        </w:tc>
        <w:tc>
          <w:tcPr>
            <w:tcW w:w="2698" w:type="pct"/>
          </w:tcPr>
          <w:p w14:paraId="4541FD04" w14:textId="47B747E4" w:rsidR="00F35BC5" w:rsidRPr="00E56102" w:rsidRDefault="00F35BC5" w:rsidP="006B6CBC">
            <w:pPr>
              <w:rPr>
                <w:rFonts w:ascii="Calibri" w:hAnsi="Calibri" w:cs="Calibri"/>
              </w:rPr>
            </w:pPr>
            <w:r w:rsidRPr="00E56102">
              <w:rPr>
                <w:rFonts w:ascii="Calibri" w:hAnsi="Calibri" w:cs="Calibri"/>
              </w:rPr>
              <w:t>6,4 (3;9)</w:t>
            </w:r>
          </w:p>
        </w:tc>
      </w:tr>
    </w:tbl>
    <w:p w14:paraId="4A1F8F55" w14:textId="77777777" w:rsidR="005D3AE2" w:rsidRDefault="005E7A8E" w:rsidP="005D3AE2">
      <w:pPr>
        <w:pStyle w:val="Petit"/>
      </w:pPr>
      <w:bookmarkStart w:id="304" w:name="_Toc132133899"/>
      <w:bookmarkStart w:id="305" w:name="_Toc131238284"/>
      <w:bookmarkStart w:id="306" w:name="_Toc131279313"/>
      <w:bookmarkStart w:id="307" w:name="_Toc131286725"/>
      <w:bookmarkStart w:id="308" w:name="_Toc131281135"/>
      <w:bookmarkStart w:id="309" w:name="_Toc131317674"/>
      <w:r w:rsidRPr="005D3AE2">
        <w:t>Merknad: Min</w:t>
      </w:r>
      <w:r w:rsidRPr="005D3AE2">
        <w:rPr>
          <w:rStyle w:val="skrift-senket"/>
        </w:rPr>
        <w:t>p25</w:t>
      </w:r>
      <w:r w:rsidRPr="005D3AE2">
        <w:t xml:space="preserve"> = nedre kvartil, maks</w:t>
      </w:r>
      <w:r w:rsidRPr="005D3AE2">
        <w:rPr>
          <w:rStyle w:val="skrift-senket"/>
        </w:rPr>
        <w:t>p75</w:t>
      </w:r>
      <w:r w:rsidRPr="005D3AE2">
        <w:t xml:space="preserve"> = øvre kvartil. Kilde: FLO.</w:t>
      </w:r>
      <w:bookmarkEnd w:id="304"/>
    </w:p>
    <w:p w14:paraId="50D00103" w14:textId="68601C03" w:rsidR="00F35BC5" w:rsidRPr="005D3AE2" w:rsidRDefault="00F35BC5" w:rsidP="00775632">
      <w:pPr>
        <w:pStyle w:val="Overskrift4"/>
        <w:numPr>
          <w:ilvl w:val="3"/>
          <w:numId w:val="42"/>
        </w:numPr>
      </w:pPr>
      <w:r w:rsidRPr="005D3AE2">
        <w:t>Antall konsultasjoner hos fastlegen</w:t>
      </w:r>
      <w:bookmarkEnd w:id="305"/>
      <w:bookmarkEnd w:id="306"/>
      <w:bookmarkEnd w:id="307"/>
      <w:bookmarkEnd w:id="308"/>
      <w:bookmarkEnd w:id="309"/>
    </w:p>
    <w:p w14:paraId="172954FF" w14:textId="77777777" w:rsidR="00D9107F" w:rsidRDefault="00F35BC5" w:rsidP="005B3ACF">
      <w:pPr>
        <w:jc w:val="both"/>
      </w:pPr>
      <w:r>
        <w:t xml:space="preserve">Innbyggerne har flere konsultasjoner med fastlege nå enn tidligere, men kontakten skjer i større grad som e-konsultasjon og </w:t>
      </w:r>
      <w:r w:rsidR="00DF7D68">
        <w:t xml:space="preserve">i </w:t>
      </w:r>
      <w:r>
        <w:t>mindre grad ved fysisk oppmøte på legekontoret. Antall konsultasjoner hos fastlege har gått opp fra 2017 til 2021, mens konsultasjoner hos legevakt i absolutte tall var omtrent uendret i samme periode</w:t>
      </w:r>
      <w:r w:rsidRPr="2685A755">
        <w:t xml:space="preserve"> </w:t>
      </w:r>
      <w:r>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fldChar w:fldCharType="separate"/>
      </w:r>
      <w:r w:rsidR="00D078E3">
        <w:rPr>
          <w:noProof/>
        </w:rPr>
        <w:t>(Helsedirektoratet, 2022c)</w:t>
      </w:r>
      <w:r>
        <w:fldChar w:fldCharType="end"/>
      </w:r>
      <w:r w:rsidR="00DB63B7">
        <w:t>.</w:t>
      </w:r>
      <w:r>
        <w:t xml:space="preserve"> Parallelt med økning i antall konsultasjoner har det vært en forskyvning fra fysiske konsultasjoner til e-konsultasjoner; fysiske konsultasjoner hos fastlege har gått ned med 16 prosent, mens e-konsultasjoner har hatt en eksplosiv vekst (4600 prosent). For fastlegene har den totale konsultasjonsraten økt fra 273 konsultasjoner per 1000 innbyggere til 304 konsultasjoner per 1000 innbyggere i samme periode.</w:t>
      </w:r>
    </w:p>
    <w:p w14:paraId="6A755830" w14:textId="77777777" w:rsidR="00D9107F" w:rsidRDefault="00F35BC5" w:rsidP="005B3ACF">
      <w:pPr>
        <w:jc w:val="both"/>
      </w:pPr>
      <w:r>
        <w:t xml:space="preserve">FHI har sett på bruk av fastlegetjenester og antall konsultasjoner, og sammenlignet listeinnbyggere som står på liste med og uten fastlege fra 2006 til 2021 </w:t>
      </w:r>
      <w:r>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fldChar w:fldCharType="separate"/>
      </w:r>
      <w:r w:rsidR="00856689">
        <w:rPr>
          <w:noProof/>
        </w:rPr>
        <w:t>(Deliac et al., 2023)</w:t>
      </w:r>
      <w:r>
        <w:fldChar w:fldCharType="end"/>
      </w:r>
      <w:r>
        <w:t>.</w:t>
      </w:r>
      <w:r w:rsidR="00FB3D3D">
        <w:t xml:space="preserve"> </w:t>
      </w:r>
      <w:r w:rsidR="00FB3D3D" w:rsidRPr="41ABA67D">
        <w:t>Alle analyser er basert på registerdata fra fastlegeordningen (FLO) og konsultasjoner i primærhelsetjenesten, Kontroll og Utbetaling av Helserefusjoner (KUHR).</w:t>
      </w:r>
      <w:r w:rsidR="00FB3D3D">
        <w:t xml:space="preserve"> </w:t>
      </w:r>
      <w:r>
        <w:t xml:space="preserve">Antall konsultasjoner per listeinnbygger øker over tid for begge grupper (figur </w:t>
      </w:r>
      <w:r w:rsidR="00CD257E">
        <w:t>2</w:t>
      </w:r>
      <w:r w:rsidR="006C77D0">
        <w:t>-3</w:t>
      </w:r>
      <w:r>
        <w:t>). For innbyggere på liste med fast lege øker antall konsultasjoner per listeinnbygger fra omtrent 2,6 til rundt 3,3 i perioden 2016</w:t>
      </w:r>
      <w:r w:rsidRPr="2685A755">
        <w:t>–</w:t>
      </w:r>
      <w:r>
        <w:t>2021, mens listeinnbyggere på liste uten fastlege har økt noe mindre, fra 2,4 til 2,9 konsultasjoner. Økningen skyldes utelukkende e-konsultasjoner, for begge grupper. Økningen i e-konsultasjoner begynner i 2019, men skyter fart i 2020 og sammenfaller med pandemien. Tilsvarende ser Helsedirektoratet at enkle kontakter i form av elektronisk kontakt har økt de siste årene, mens enkle kontakter som brev og telefon har gått ned</w:t>
      </w:r>
      <w:r w:rsidRPr="2685A755">
        <w:t xml:space="preserve"> </w:t>
      </w:r>
      <w:r>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fldChar w:fldCharType="separate"/>
      </w:r>
      <w:r w:rsidR="00D078E3">
        <w:rPr>
          <w:noProof/>
        </w:rPr>
        <w:t>(Helsedirektoratet, 2022c)</w:t>
      </w:r>
      <w:r>
        <w:fldChar w:fldCharType="end"/>
      </w:r>
      <w:r w:rsidR="00DB63B7">
        <w:t>.</w:t>
      </w:r>
    </w:p>
    <w:p w14:paraId="248FFE0B" w14:textId="768832EE" w:rsidR="00F35BC5" w:rsidRDefault="00FF5528" w:rsidP="00FF5528">
      <w:pPr>
        <w:pStyle w:val="avsnitt-tittel"/>
      </w:pPr>
      <w:r>
        <w:lastRenderedPageBreak/>
        <w:t>Figur 2.3</w:t>
      </w:r>
      <w:r w:rsidR="005E0B90">
        <w:t>:</w:t>
      </w:r>
      <w:r>
        <w:t xml:space="preserve"> </w:t>
      </w:r>
      <w:r w:rsidR="00F35BC5" w:rsidRPr="001C3131">
        <w:t>Antall konsultasjoner per listeinnbygger, lister med og uten fastlege</w:t>
      </w:r>
    </w:p>
    <w:p w14:paraId="4311B354" w14:textId="77777777" w:rsidR="00F35BC5" w:rsidRDefault="00F35BC5" w:rsidP="00F35BC5">
      <w:r>
        <w:rPr>
          <w:noProof/>
        </w:rPr>
        <w:drawing>
          <wp:inline distT="0" distB="0" distL="0" distR="0" wp14:anchorId="0A4AE046" wp14:editId="15D77619">
            <wp:extent cx="6120000" cy="4449562"/>
            <wp:effectExtent l="38100" t="38100" r="33655" b="463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4449562"/>
                    </a:xfrm>
                    <a:prstGeom prst="rect">
                      <a:avLst/>
                    </a:prstGeom>
                    <a:noFill/>
                    <a:ln w="38100">
                      <a:solidFill>
                        <a:schemeClr val="accent2"/>
                      </a:solidFill>
                    </a:ln>
                  </pic:spPr>
                </pic:pic>
              </a:graphicData>
            </a:graphic>
          </wp:inline>
        </w:drawing>
      </w:r>
    </w:p>
    <w:p w14:paraId="587F0B9C" w14:textId="77777777" w:rsidR="00D9107F" w:rsidRPr="00657F9A" w:rsidRDefault="00F35BC5" w:rsidP="00C709CD">
      <w:pPr>
        <w:pStyle w:val="Petit"/>
        <w:rPr>
          <w:rStyle w:val="kursiv"/>
        </w:rPr>
      </w:pPr>
      <w:bookmarkStart w:id="310" w:name="_Toc132133900"/>
      <w:r w:rsidRPr="00657F9A">
        <w:rPr>
          <w:rStyle w:val="kursiv"/>
        </w:rPr>
        <w:t>Merknad: inkluderte takster er 2AD, 2AE, 2AF, 2AK, 2AEK. Takster for leger i Primærhelseteam er 074A, 074AE, 74B, 074BE. Gjennomsnittlig antall konsultasjoner per listeinnbygger</w:t>
      </w:r>
      <w:r w:rsidR="00633FE1" w:rsidRPr="00657F9A">
        <w:rPr>
          <w:rStyle w:val="kursiv"/>
        </w:rPr>
        <w:t xml:space="preserve">, totalt og </w:t>
      </w:r>
      <w:r w:rsidR="00884ECD" w:rsidRPr="00657F9A">
        <w:rPr>
          <w:rStyle w:val="kursiv"/>
        </w:rPr>
        <w:t>e-konsultasjoner</w:t>
      </w:r>
      <w:r w:rsidRPr="00657F9A">
        <w:rPr>
          <w:rStyle w:val="kursiv"/>
        </w:rPr>
        <w:t>. Kilde: KUHR og FLO, 2006 til 2021.</w:t>
      </w:r>
      <w:bookmarkEnd w:id="310"/>
    </w:p>
    <w:p w14:paraId="4CFE76BD" w14:textId="77777777" w:rsidR="00D9107F" w:rsidRDefault="00677151" w:rsidP="00E15D32">
      <w:r w:rsidRPr="41ABA67D">
        <w:t>FHI har</w:t>
      </w:r>
      <w:r w:rsidR="00F87839">
        <w:rPr>
          <w:rFonts w:cstheme="minorHAnsi"/>
        </w:rPr>
        <w:t xml:space="preserve"> og</w:t>
      </w:r>
      <w:r w:rsidR="00D817DC">
        <w:rPr>
          <w:rFonts w:cstheme="minorHAnsi"/>
        </w:rPr>
        <w:t>så</w:t>
      </w:r>
      <w:r w:rsidR="00F87839">
        <w:rPr>
          <w:rFonts w:cstheme="minorHAnsi"/>
        </w:rPr>
        <w:t xml:space="preserve"> undersøkt </w:t>
      </w:r>
      <w:r w:rsidR="00F45CC6">
        <w:rPr>
          <w:rFonts w:cstheme="minorHAnsi"/>
        </w:rPr>
        <w:t xml:space="preserve">gjennomsnittlig </w:t>
      </w:r>
      <w:r w:rsidR="00F87839">
        <w:rPr>
          <w:rFonts w:cstheme="minorHAnsi"/>
        </w:rPr>
        <w:t xml:space="preserve">antall </w:t>
      </w:r>
      <w:r w:rsidR="00F45CC6">
        <w:rPr>
          <w:rFonts w:cstheme="minorHAnsi"/>
        </w:rPr>
        <w:t>konsultasjoner</w:t>
      </w:r>
      <w:r w:rsidR="00D817DC">
        <w:rPr>
          <w:rFonts w:cstheme="minorHAnsi"/>
        </w:rPr>
        <w:t xml:space="preserve"> </w:t>
      </w:r>
      <w:r w:rsidR="00490587">
        <w:rPr>
          <w:rFonts w:cstheme="minorHAnsi"/>
        </w:rPr>
        <w:t xml:space="preserve">per listeinnbygger </w:t>
      </w:r>
      <w:r w:rsidR="00772D5B">
        <w:rPr>
          <w:rFonts w:cstheme="minorHAnsi"/>
        </w:rPr>
        <w:t xml:space="preserve">ved å se på flere </w:t>
      </w:r>
      <w:r w:rsidR="007F6338">
        <w:rPr>
          <w:rFonts w:cstheme="minorHAnsi"/>
        </w:rPr>
        <w:t>kategorier av allmennleger</w:t>
      </w:r>
      <w:r w:rsidR="006D1009">
        <w:rPr>
          <w:rFonts w:cstheme="minorHAnsi"/>
        </w:rPr>
        <w:t xml:space="preserve">. </w:t>
      </w:r>
      <w:r w:rsidRPr="41ABA67D">
        <w:t xml:space="preserve">Allmennleger er delt opp i fem kategorier; </w:t>
      </w:r>
      <w:r w:rsidRPr="41ABA67D">
        <w:rPr>
          <w:i/>
        </w:rPr>
        <w:t>egen fastlege</w:t>
      </w:r>
      <w:r w:rsidRPr="41ABA67D">
        <w:t xml:space="preserve">, </w:t>
      </w:r>
      <w:r w:rsidRPr="41ABA67D">
        <w:rPr>
          <w:i/>
        </w:rPr>
        <w:t>fastlege på fastlegekontoret</w:t>
      </w:r>
      <w:r w:rsidRPr="41ABA67D">
        <w:t xml:space="preserve"> hvor listeinnbygger har sin listetilhørighet, </w:t>
      </w:r>
      <w:r w:rsidRPr="41ABA67D">
        <w:rPr>
          <w:i/>
        </w:rPr>
        <w:t>annen fastlege</w:t>
      </w:r>
      <w:r w:rsidRPr="41ABA67D">
        <w:t xml:space="preserve"> på annet fastlegekontor, </w:t>
      </w:r>
      <w:r w:rsidRPr="41ABA67D">
        <w:rPr>
          <w:i/>
        </w:rPr>
        <w:t>annen lege</w:t>
      </w:r>
      <w:r w:rsidRPr="41ABA67D">
        <w:t xml:space="preserve">, og lege i </w:t>
      </w:r>
      <w:r w:rsidRPr="41ABA67D">
        <w:rPr>
          <w:i/>
        </w:rPr>
        <w:t>legevakt</w:t>
      </w:r>
      <w:r w:rsidRPr="41ABA67D">
        <w:t>.</w:t>
      </w:r>
      <w:r w:rsidRPr="00F531C6">
        <w:t xml:space="preserve"> </w:t>
      </w:r>
      <w:r w:rsidRPr="41ABA67D">
        <w:t>Annen lege er definert som allmennlege som utfører konsultasjoner, men som ikke står registrert med egen fastlegeliste i fastlegeordningen.</w:t>
      </w:r>
    </w:p>
    <w:p w14:paraId="55D51077" w14:textId="32C50FDE" w:rsidR="00D9107F" w:rsidRDefault="00677151" w:rsidP="00E15D32">
      <w:r w:rsidRPr="41ABA67D">
        <w:t>Figur 2-</w:t>
      </w:r>
      <w:r w:rsidR="00222ACD">
        <w:t>4</w:t>
      </w:r>
      <w:r w:rsidRPr="41ABA67D">
        <w:t xml:space="preserve"> viser </w:t>
      </w:r>
      <w:r w:rsidR="00A9747F">
        <w:t xml:space="preserve">gjennomsnittlig </w:t>
      </w:r>
      <w:r w:rsidRPr="41ABA67D">
        <w:t>antall konsultasjoner per listeinnbygger med og uten fastlege. Antall konsultasjoner er splittet ut fra hvem som har utført den, egen fastlege, en annen fastlege på samme legekontor, annen fastlege og legevaktslege.</w:t>
      </w:r>
    </w:p>
    <w:p w14:paraId="2A9AF9E3" w14:textId="6216B963" w:rsidR="00677151" w:rsidRDefault="00FF5528" w:rsidP="00FF5528">
      <w:pPr>
        <w:pStyle w:val="avsnitt-tittel"/>
      </w:pPr>
      <w:r>
        <w:lastRenderedPageBreak/>
        <w:t>Figur 2.4</w:t>
      </w:r>
      <w:r w:rsidR="005E0B90">
        <w:t>:</w:t>
      </w:r>
      <w:r>
        <w:t xml:space="preserve"> </w:t>
      </w:r>
      <w:r w:rsidR="00677151">
        <w:t>A</w:t>
      </w:r>
      <w:r w:rsidR="00677151" w:rsidRPr="00EB6182">
        <w:t>ntall konsultasjoner per listeinnbygger, fordelt etter legekategori, med og uten fastlege</w:t>
      </w:r>
    </w:p>
    <w:p w14:paraId="1671546E" w14:textId="7168D88F" w:rsidR="00677151" w:rsidRDefault="51B05179" w:rsidP="00C709CD">
      <w:r>
        <w:rPr>
          <w:noProof/>
        </w:rPr>
        <w:drawing>
          <wp:inline distT="0" distB="0" distL="0" distR="0" wp14:anchorId="4F8A51E9" wp14:editId="57B88129">
            <wp:extent cx="5937250" cy="4667003"/>
            <wp:effectExtent l="38100" t="38100" r="44450" b="38735"/>
            <wp:docPr id="1908704952" name="Picture 190870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704952"/>
                    <pic:cNvPicPr/>
                  </pic:nvPicPr>
                  <pic:blipFill>
                    <a:blip r:embed="rId21">
                      <a:extLst>
                        <a:ext uri="{28A0092B-C50C-407E-A947-70E740481C1C}">
                          <a14:useLocalDpi xmlns:a14="http://schemas.microsoft.com/office/drawing/2010/main" val="0"/>
                        </a:ext>
                      </a:extLst>
                    </a:blip>
                    <a:stretch>
                      <a:fillRect/>
                    </a:stretch>
                  </pic:blipFill>
                  <pic:spPr>
                    <a:xfrm>
                      <a:off x="0" y="0"/>
                      <a:ext cx="5960913" cy="4685604"/>
                    </a:xfrm>
                    <a:prstGeom prst="rect">
                      <a:avLst/>
                    </a:prstGeom>
                    <a:ln w="38100">
                      <a:solidFill>
                        <a:schemeClr val="accent2"/>
                      </a:solidFill>
                    </a:ln>
                  </pic:spPr>
                </pic:pic>
              </a:graphicData>
            </a:graphic>
          </wp:inline>
        </w:drawing>
      </w:r>
    </w:p>
    <w:p w14:paraId="25905878" w14:textId="77777777" w:rsidR="00D9107F" w:rsidRPr="00CE06F0" w:rsidRDefault="00677151" w:rsidP="00C709CD">
      <w:pPr>
        <w:pStyle w:val="Petit"/>
        <w:rPr>
          <w:rStyle w:val="kursiv"/>
        </w:rPr>
      </w:pPr>
      <w:bookmarkStart w:id="311" w:name="_Toc132133901"/>
      <w:r w:rsidRPr="00CE06F0">
        <w:rPr>
          <w:rStyle w:val="kursiv"/>
        </w:rPr>
        <w:t>Merknad: Gjennomsnittlig antall konsultasjoner per listeinnbygger, med og uten fastlege. Kilde: KUHR og FLO, fra 2006 til 2020.</w:t>
      </w:r>
      <w:bookmarkEnd w:id="311"/>
    </w:p>
    <w:p w14:paraId="3EC07E11" w14:textId="77777777" w:rsidR="00D9107F" w:rsidRDefault="00677151" w:rsidP="00974F46">
      <w:pPr>
        <w:jc w:val="both"/>
      </w:pPr>
      <w:r>
        <w:t xml:space="preserve">Resultatene viser at listeinnbyggere med fastlege hadde flere konsultasjoner hos egen fastlege i 2021 enn tidligere år. Det kan skyldes økning i e-konsultasjoner, og sammenfaller også med koronapandemien. Listeinnbyggere uten fastlege har nærmest likt, men minimalt færre konsultasjoner (0,01) hos legevakt sammenlignet med innbyggere på fastlegelister med fastlege i 2021. Listeinnbyggere uten fastlege har flere konsultasjoner per innbygger med annen fastlege på fastlegekontoret, annen fastlege og annen lege, sammenlignet med listeinnbyggere med fastlege. Når man ser nærmere på hvilke leger innbyggere på fastlegeliste uten fastlege bruker, </w:t>
      </w:r>
      <w:r>
        <w:lastRenderedPageBreak/>
        <w:t>går innbyggerne mest til annen lege</w:t>
      </w:r>
      <w:r w:rsidRPr="00D9107F">
        <w:rPr>
          <w:rStyle w:val="Fotnotereferanse"/>
        </w:rPr>
        <w:footnoteReference w:id="2"/>
      </w:r>
      <w:r>
        <w:t xml:space="preserve"> (allmennlege som ikke har egen fastlegehjemmel), med omtrent 1,5 konsultasjoner per innbygger i 2021, mot omtrent 0,5 konsultasjoner hos annen fastlege og 0,3 konsultasjoner hos fastlegekollega på fastlegekontoret</w:t>
      </w:r>
      <w:r w:rsidR="001C4DE1">
        <w:t xml:space="preserve"> </w:t>
      </w:r>
      <w:r w:rsidR="00904B00">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rsidR="00904B00">
        <w:fldChar w:fldCharType="separate"/>
      </w:r>
      <w:r w:rsidR="00904B00">
        <w:rPr>
          <w:noProof/>
        </w:rPr>
        <w:t>(Deliac et al., 2023)</w:t>
      </w:r>
      <w:r w:rsidR="00904B00">
        <w:fldChar w:fldCharType="end"/>
      </w:r>
      <w:r>
        <w:t>.</w:t>
      </w:r>
    </w:p>
    <w:p w14:paraId="59002044" w14:textId="2D9EC38B" w:rsidR="00F35BC5" w:rsidRDefault="00F35BC5" w:rsidP="00775632">
      <w:pPr>
        <w:pStyle w:val="Overskrift3"/>
      </w:pPr>
      <w:bookmarkStart w:id="312" w:name="_Toc127864156"/>
      <w:bookmarkStart w:id="313" w:name="_Toc131238285"/>
      <w:bookmarkStart w:id="314" w:name="_Toc131279314"/>
      <w:bookmarkStart w:id="315" w:name="_Toc131286726"/>
      <w:bookmarkStart w:id="316" w:name="_Toc131281136"/>
      <w:bookmarkStart w:id="317" w:name="_Toc131317675"/>
      <w:bookmarkStart w:id="318" w:name="_Toc132536898"/>
      <w:r>
        <w:t>Ventetid til konsultasjon/tilgjengelighet</w:t>
      </w:r>
      <w:bookmarkEnd w:id="312"/>
      <w:bookmarkEnd w:id="313"/>
      <w:bookmarkEnd w:id="314"/>
      <w:bookmarkEnd w:id="315"/>
      <w:bookmarkEnd w:id="316"/>
      <w:bookmarkEnd w:id="317"/>
      <w:bookmarkEnd w:id="318"/>
    </w:p>
    <w:p w14:paraId="702F660D" w14:textId="77777777" w:rsidR="00D9107F" w:rsidRDefault="00F35BC5" w:rsidP="00974F46">
      <w:pPr>
        <w:jc w:val="both"/>
      </w:pPr>
      <w:r>
        <w:t>Hvor lang tid innbyggerne må vente på time hos fastlegen ved behov for helsehjelp er et viktig mål for tilgjengelighet. Å se på utviklingen i ventetid er sentralt for å vurdere hvordan utfordringene i fastlegeordningen oppleves for innbyggerne. Med ventetid menes tiden fra pasienten kontakter legekontoret til konsultasjonen finner sted.</w:t>
      </w:r>
    </w:p>
    <w:p w14:paraId="50860A17" w14:textId="77777777" w:rsidR="00D9107F" w:rsidRDefault="00F35BC5" w:rsidP="00FF5528">
      <w:r w:rsidRPr="2685A755">
        <w:rPr>
          <w:rFonts w:eastAsia="Calibri"/>
        </w:rPr>
        <w:t xml:space="preserve">Når man ser på utviklingen over tid, sees </w:t>
      </w:r>
      <w:r w:rsidRPr="2685A755">
        <w:t xml:space="preserve">en nedgang i gjennomsnittlig ventetid fra før innføring av fastlegeordningen. SSB gjennomfører levekårsundersøkelser om helse for et stort representativt utvalg av den norske befolkningen med noen års mellomrom, og respondenter som hadde bestilt time hos allmennlege de siste 12 måneder blir spurt om hvor lenge de måtte vente. Godager og Iversen (2016) </w:t>
      </w:r>
      <w:r>
        <w:fldChar w:fldCharType="begin"/>
      </w:r>
      <w:r w:rsidR="00A27571">
        <w:instrText xml:space="preserve"> ADDIN EN.CITE &lt;EndNote&gt;&lt;Cite&gt;&lt;Author&gt;Godager&lt;/Author&gt;&lt;Year&gt;2016&lt;/Year&gt;&lt;RecNum&gt;79&lt;/RecNum&gt;&lt;DisplayText&gt;(Godager et al., 2016)&lt;/DisplayText&gt;&lt;record&gt;&lt;rec-number&gt;79&lt;/rec-number&gt;&lt;foreign-keys&gt;&lt;key app="EN" db-id="95tpr2tp6r9xwoea9rb5wdsz5ds5xeddteew" timestamp="1680069511"&gt;79&lt;/key&gt;&lt;/foreign-keys&gt;&lt;ref-type name="Report"&gt;27&lt;/ref-type&gt;&lt;contributors&gt;&lt;authors&gt;&lt;author&gt;Godager, Geir&lt;/author&gt;&lt;author&gt;Iversen, Tor&lt;/author&gt;&lt;/authors&gt;&lt;/contributors&gt;&lt;titles&gt;&lt;title&gt;Brukernes erfaringer med fastlegeordningen 2001-2015. Trender i bruk, tilgjengelighet og fornøydhet&lt;/title&gt;&lt;/titles&gt;&lt;dates&gt;&lt;year&gt;2016&lt;/year&gt;&lt;/dates&gt;&lt;pub-location&gt;Oslo&lt;/pub-location&gt;&lt;publisher&gt;Universitetet i Oslo&lt;/publisher&gt;&lt;urls&gt;&lt;/urls&gt;&lt;/record&gt;&lt;/Cite&gt;&lt;/EndNote&gt;</w:instrText>
      </w:r>
      <w:r>
        <w:fldChar w:fldCharType="separate"/>
      </w:r>
      <w:r w:rsidR="00856689">
        <w:rPr>
          <w:noProof/>
        </w:rPr>
        <w:t>(Godager et al., 2016)</w:t>
      </w:r>
      <w:r>
        <w:fldChar w:fldCharType="end"/>
      </w:r>
      <w:r w:rsidRPr="2685A755">
        <w:t xml:space="preserve"> har </w:t>
      </w:r>
      <w:r w:rsidRPr="2685A755">
        <w:rPr>
          <w:rFonts w:eastAsia="Calibri"/>
        </w:rPr>
        <w:t>undersøkt utvikling i median ventetid fram til siste tilgjengelig år (2015). De fant en nedgang</w:t>
      </w:r>
      <w:r w:rsidRPr="2685A755">
        <w:t xml:space="preserve"> i median ventetid fra 7 dager i 1999 til 2 dager i 2005, og deretter har median ventetid holdt seg mellom 2 og 3 dager. FHI har oppdatert tallene for ekspertutvalget for den siste tilgjengelige undersøkelsen fra SSB fra 2019</w:t>
      </w:r>
      <w:r>
        <w:t>,</w:t>
      </w:r>
      <w:r w:rsidRPr="2685A755">
        <w:t xml:space="preserve"> og finner at median ventetid da var 3 dager</w:t>
      </w:r>
      <w:r>
        <w:t xml:space="preserve"> (figur </w:t>
      </w:r>
      <w:r w:rsidR="009B3E74">
        <w:t>2</w:t>
      </w:r>
      <w:r w:rsidR="00594180">
        <w:t>-</w:t>
      </w:r>
      <w:r w:rsidR="00222ACD">
        <w:t>5</w:t>
      </w:r>
      <w:r>
        <w:t>)</w:t>
      </w:r>
      <w:r w:rsidRPr="2685A755">
        <w:t>.</w:t>
      </w:r>
      <w:r w:rsidRPr="2685A755">
        <w:rPr>
          <w:rFonts w:eastAsia="Calibri"/>
        </w:rPr>
        <w:t xml:space="preserve"> Godager og Iversen (2016) finner også at a</w:t>
      </w:r>
      <w:r w:rsidRPr="2685A755">
        <w:t xml:space="preserve">ndelen av pasientene som fikk time samme dag, har økt fra 3 prosent i 1999 til 25 prosent i 2015, og FHI finner 24 prosent i 2019. I 2015 fikk 50 prosent av alle som kontaktet fastlege for konsultasjon time innen to dager (FHI finner 49 prosent i 2019), en økning fra omtrent en av tre i 1999. </w:t>
      </w:r>
      <w:r>
        <w:t>For årene 2001 og 2003 er spørsmålsformuleringen begrenset til allmennpraktiserende lege</w:t>
      </w:r>
      <w:r w:rsidR="00DF7D68">
        <w:t>,</w:t>
      </w:r>
      <w:r>
        <w:t xml:space="preserve"> og time ved legevakt omfattes trolig ikke. For øvrige år er legevakt inkludert.</w:t>
      </w:r>
    </w:p>
    <w:p w14:paraId="1C63C791" w14:textId="1CD2FE95" w:rsidR="00311D46" w:rsidRDefault="00FF5528" w:rsidP="00FF5528">
      <w:pPr>
        <w:pStyle w:val="avsnitt-tittel"/>
      </w:pPr>
      <w:r>
        <w:lastRenderedPageBreak/>
        <w:t>Figur 2.5</w:t>
      </w:r>
      <w:r w:rsidR="005E0B90">
        <w:t>:</w:t>
      </w:r>
      <w:r>
        <w:t xml:space="preserve"> </w:t>
      </w:r>
      <w:r w:rsidR="00F35BC5" w:rsidRPr="009B38B5">
        <w:t>Utvikling i median ventetid på time hos fastlegen 1999–2019</w:t>
      </w:r>
    </w:p>
    <w:p w14:paraId="7DA4A300" w14:textId="77777777" w:rsidR="004F087E" w:rsidRDefault="00311D46" w:rsidP="004F087E">
      <w:r w:rsidRPr="00311D46">
        <w:rPr>
          <w:noProof/>
        </w:rPr>
        <w:drawing>
          <wp:inline distT="0" distB="0" distL="0" distR="0" wp14:anchorId="048BEC68" wp14:editId="24A5917D">
            <wp:extent cx="6119495" cy="3009900"/>
            <wp:effectExtent l="38100" t="38100" r="33655" b="38100"/>
            <wp:docPr id="1364" name="Picture 35">
              <a:extLst xmlns:a="http://schemas.openxmlformats.org/drawingml/2006/main">
                <a:ext uri="{FF2B5EF4-FFF2-40B4-BE49-F238E27FC236}">
                  <a16:creationId xmlns:a16="http://schemas.microsoft.com/office/drawing/2014/main" id="{7BF6E926-B31A-5D6E-72F5-FDE24AD63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
                      <a:extLst>
                        <a:ext uri="{FF2B5EF4-FFF2-40B4-BE49-F238E27FC236}">
                          <a16:creationId xmlns:a16="http://schemas.microsoft.com/office/drawing/2014/main" id="{7BF6E926-B31A-5D6E-72F5-FDE24AD6350E}"/>
                        </a:ext>
                      </a:extLst>
                    </pic:cNvPr>
                    <pic:cNvPicPr>
                      <a:picLocks noChangeAspect="1"/>
                    </pic:cNvPicPr>
                  </pic:nvPicPr>
                  <pic:blipFill rotWithShape="1">
                    <a:blip r:embed="rId22" r:link="rId23">
                      <a:extLst>
                        <a:ext uri="{28A0092B-C50C-407E-A947-70E740481C1C}">
                          <a14:useLocalDpi xmlns:a14="http://schemas.microsoft.com/office/drawing/2010/main" val="0"/>
                        </a:ext>
                      </a:extLst>
                    </a:blip>
                    <a:srcRect l="5188" b="10888"/>
                    <a:stretch>
                      <a:fillRect/>
                    </a:stretch>
                  </pic:blipFill>
                  <pic:spPr bwMode="auto">
                    <a:xfrm>
                      <a:off x="0" y="0"/>
                      <a:ext cx="6120014" cy="3010155"/>
                    </a:xfrm>
                    <a:prstGeom prst="rect">
                      <a:avLst/>
                    </a:prstGeom>
                    <a:noFill/>
                    <a:ln w="38100">
                      <a:solidFill>
                        <a:schemeClr val="accent2"/>
                      </a:solidFill>
                    </a:ln>
                  </pic:spPr>
                </pic:pic>
              </a:graphicData>
            </a:graphic>
          </wp:inline>
        </w:drawing>
      </w:r>
    </w:p>
    <w:p w14:paraId="1DE99C01" w14:textId="2B936E7F" w:rsidR="00D9107F" w:rsidRDefault="004F087E" w:rsidP="00E15D32">
      <w:pPr>
        <w:pStyle w:val="Petit"/>
      </w:pPr>
      <w:bookmarkStart w:id="319" w:name="_Toc132133902"/>
      <w:r w:rsidRPr="00D9107F">
        <w:rPr>
          <w:rStyle w:val="kursiv"/>
          <w:rFonts w:eastAsiaTheme="minorHAnsi"/>
        </w:rPr>
        <w:t>Merknad</w:t>
      </w:r>
      <w:bookmarkEnd w:id="319"/>
      <w:r w:rsidRPr="00D9107F">
        <w:rPr>
          <w:rStyle w:val="kursiv"/>
          <w:rFonts w:eastAsiaTheme="minorHAnsi"/>
        </w:rPr>
        <w:t>: Median ventetid fra Godager og Iversen (2016), oppdatert med tall fra SSBs levekårsundersøkelse fra 2019.Kilde: SSB, 1999-2019.</w:t>
      </w:r>
    </w:p>
    <w:p w14:paraId="524FFF0A" w14:textId="79B13275" w:rsidR="00321A4F" w:rsidRPr="00E15D32" w:rsidRDefault="00F35BC5" w:rsidP="00E15D32">
      <w:r w:rsidRPr="00E15D32">
        <w:t>I UiO sin undersøkelse ser det ikke ut til å være noen klar sammenheng mellom antall ledige listeplasser og ventetid, verken på kommunenivå eller legenivå. De fant ingen tendens til kortere ventetid i kommuner med flere enn 50 ledige listeplasser per tusen innbyggere enn i andre kommuner. Tilsvarene hadde fastleger med mer enn 100 ledige listeplasser ikke kortere ventetid enn fastleger med fulle lister. Når man sammenlignet</w:t>
      </w:r>
    </w:p>
    <w:p w14:paraId="33F5291E" w14:textId="77777777" w:rsidR="00D9107F" w:rsidRPr="00E15D32" w:rsidRDefault="00F35BC5" w:rsidP="00E15D32">
      <w:r w:rsidRPr="00E15D32">
        <w:t>listelengde, hadde fastleger med lange lister (mer enn 2000 listeinnbyggere) noe lengre ventetid enn de med kortere lister, men mindre ventetid enn fastleger med mindre enn 1000 listeinnbyggere. Fastleger med færre enn 1000 listeinnbyggere er ofte i distrikt</w:t>
      </w:r>
      <w:r w:rsidR="00DF7D68" w:rsidRPr="00E15D32">
        <w:t>,</w:t>
      </w:r>
      <w:r w:rsidRPr="00E15D32">
        <w:t xml:space="preserve"> og har færre kurative dager per uke, som kan medføre mer ventetid.</w:t>
      </w:r>
    </w:p>
    <w:p w14:paraId="63C71EA9" w14:textId="77777777" w:rsidR="00D9107F" w:rsidRPr="00E15D32" w:rsidRDefault="00F35BC5" w:rsidP="00E15D32">
      <w:pPr>
        <w:rPr>
          <w:rFonts w:eastAsia="Calibri"/>
        </w:rPr>
      </w:pPr>
      <w:r w:rsidRPr="00E15D32">
        <w:rPr>
          <w:rFonts w:eastAsia="Calibri"/>
        </w:rPr>
        <w:t>FHI har analysert data i timebestillingsystemet til fastleger fra helsenorge.no. Dataene omfatter de aller fleste fastleger og innbyggere i Norge i 2022, men dataene er ikke komplette, da det finnes noen leger som ikke benytter systemet og noen pasienter som ikke er registre</w:t>
      </w:r>
      <w:r w:rsidR="00DF7D68" w:rsidRPr="00E15D32">
        <w:rPr>
          <w:rFonts w:eastAsia="Calibri"/>
        </w:rPr>
        <w:t>r</w:t>
      </w:r>
      <w:r w:rsidRPr="00E15D32">
        <w:rPr>
          <w:rFonts w:eastAsia="Calibri"/>
        </w:rPr>
        <w:t>t på helsenorge.no. Resultatene må derfor tolkes med varsomhet (se notat fra FHI for detaljer)</w:t>
      </w:r>
      <w:r w:rsidR="00B0713A" w:rsidRPr="00E15D32">
        <w:rPr>
          <w:rFonts w:eastAsia="Calibri"/>
        </w:rPr>
        <w:t xml:space="preserve"> </w:t>
      </w:r>
      <w:r w:rsidRPr="00E15D32">
        <w:rPr>
          <w:rFonts w:eastAsia="Calibri"/>
        </w:rPr>
        <w:fldChar w:fldCharType="begin"/>
      </w:r>
      <w:r w:rsidR="004654FD" w:rsidRPr="00E15D32">
        <w:rPr>
          <w:rFonts w:eastAsia="Calibri"/>
        </w:rPr>
        <w:instrText xml:space="preserve"> ADDIN EN.CITE &lt;EndNote&gt;&lt;Cite&gt;&lt;Author&gt;Gjefsen&lt;/Author&gt;&lt;Year&gt;2023&lt;/Year&gt;&lt;RecNum&gt;985&lt;/RecNum&gt;&lt;DisplayText&gt;(Gjefsen, 2023)&lt;/DisplayText&gt;&lt;record&gt;&lt;rec-number&gt;985&lt;/rec-number&gt;&lt;foreign-keys&gt;&lt;key app="EN" db-id="95tpr2tp6r9xwoea9rb5wdsz5ds5xeddteew" timestamp="1680229701"&gt;985&lt;/key&gt;&lt;/foreign-keys&gt;&lt;ref-type name="Report"&gt;27&lt;/ref-type&gt;&lt;contributors&gt;&lt;authors&gt;&lt;author&gt;Gjefsen, H.M.&lt;/author&gt;&lt;/authors&gt;&lt;tertiary-authors&gt;&lt;author&gt;Folkehelseinsituttet&lt;/author&gt;&lt;/tertiary-authors&gt;&lt;/contributors&gt;&lt;titles&gt;&lt;title&gt;Timebestillingsdata fra NHN&lt;/title&gt;&lt;/titles&gt;&lt;dates&gt;&lt;year&gt;2023&lt;/year&gt;&lt;/dates&gt;&lt;urls&gt;&lt;/urls&gt;&lt;/record&gt;&lt;/Cite&gt;&lt;/EndNote&gt;</w:instrText>
      </w:r>
      <w:r w:rsidRPr="00E15D32">
        <w:rPr>
          <w:rFonts w:eastAsia="Calibri"/>
        </w:rPr>
        <w:fldChar w:fldCharType="separate"/>
      </w:r>
      <w:r w:rsidR="00CE2F35" w:rsidRPr="00E15D32">
        <w:rPr>
          <w:rFonts w:eastAsia="Calibri"/>
        </w:rPr>
        <w:t>(Gjefsen, 2023)</w:t>
      </w:r>
      <w:r w:rsidRPr="00E15D32">
        <w:rPr>
          <w:rFonts w:eastAsia="Calibri"/>
        </w:rPr>
        <w:fldChar w:fldCharType="end"/>
      </w:r>
      <w:r w:rsidRPr="00E15D32">
        <w:rPr>
          <w:rFonts w:eastAsia="Calibri"/>
        </w:rPr>
        <w:t>.</w:t>
      </w:r>
    </w:p>
    <w:p w14:paraId="032C4035" w14:textId="2861AF52" w:rsidR="00D9107F" w:rsidRPr="00E15D32" w:rsidRDefault="00F35BC5" w:rsidP="00E15D32">
      <w:pPr>
        <w:rPr>
          <w:rFonts w:eastAsia="Calibri"/>
          <w:highlight w:val="yellow"/>
        </w:rPr>
      </w:pPr>
      <w:r w:rsidRPr="00E15D32">
        <w:rPr>
          <w:rFonts w:eastAsia="Calibri"/>
        </w:rPr>
        <w:t xml:space="preserve">Dataene gjør det mulig å beregne antall dager fra timen ble bestilt til berammet konsultasjon. Dette er ikke noe ideelt mål på ventetid, særlig fordi rutinekonsultasjoner ofte berammes i lang tid på forhånd. Dataene skiller heller ikke mellom </w:t>
      </w:r>
      <w:r w:rsidR="00D9107F" w:rsidRPr="00E15D32">
        <w:rPr>
          <w:rFonts w:eastAsia="Calibri"/>
        </w:rPr>
        <w:t>«</w:t>
      </w:r>
      <w:r w:rsidRPr="00E15D32">
        <w:t>vanlig time</w:t>
      </w:r>
      <w:r w:rsidR="00D9107F" w:rsidRPr="00E15D32">
        <w:t>»</w:t>
      </w:r>
      <w:r w:rsidRPr="00E15D32">
        <w:t xml:space="preserve"> og </w:t>
      </w:r>
      <w:r w:rsidR="00D9107F" w:rsidRPr="00E15D32">
        <w:t>«</w:t>
      </w:r>
      <w:r w:rsidRPr="00E15D32">
        <w:t>hastetime</w:t>
      </w:r>
      <w:r w:rsidR="00D9107F" w:rsidRPr="00E15D32">
        <w:t>»</w:t>
      </w:r>
      <w:r w:rsidRPr="00E15D32">
        <w:rPr>
          <w:rFonts w:eastAsia="Calibri"/>
        </w:rPr>
        <w:t xml:space="preserve">. Men for konsultasjoner med kort tid siden bestillingen, antas det at slike data likevel kan indikere ventetid. Tallene viser at 18 prosent av alle timer var bestilt samme dag, og 30 prosent inntil tre </w:t>
      </w:r>
      <w:r w:rsidRPr="00E15D32">
        <w:rPr>
          <w:rFonts w:eastAsia="Calibri"/>
        </w:rPr>
        <w:lastRenderedPageBreak/>
        <w:t>dager i forkant, se figur 2</w:t>
      </w:r>
      <w:r w:rsidR="0035253B" w:rsidRPr="00E15D32">
        <w:rPr>
          <w:rFonts w:eastAsia="Calibri"/>
        </w:rPr>
        <w:t>-</w:t>
      </w:r>
      <w:r w:rsidR="00222ACD" w:rsidRPr="00E15D32">
        <w:rPr>
          <w:rFonts w:eastAsia="Calibri"/>
        </w:rPr>
        <w:t>6</w:t>
      </w:r>
      <w:r w:rsidRPr="00E15D32">
        <w:rPr>
          <w:rFonts w:eastAsia="Calibri"/>
        </w:rPr>
        <w:t>. Median bestillingstid var 9 dager. Tallene viser klar opphopning ved 7, 14, 21 og særlig 28 dager, som kan indikere bestilling av rutinekontroller. FHI har også beregnet median tid fra bestilling til time per lege. Den varierte betydelig mellom legene. Halvparten av legene hadde median bestillingstid på mindre enn 5 dager.</w:t>
      </w:r>
    </w:p>
    <w:p w14:paraId="375D0F3E" w14:textId="657D5805" w:rsidR="007C3268" w:rsidRPr="001A638D" w:rsidRDefault="00FF5528" w:rsidP="00FF5528">
      <w:pPr>
        <w:pStyle w:val="avsnitt-tittel"/>
        <w:rPr>
          <w:rFonts w:eastAsia="Calibri"/>
        </w:rPr>
      </w:pPr>
      <w:r>
        <w:t>Figur 2.6</w:t>
      </w:r>
      <w:r w:rsidR="005E0B90">
        <w:t>:</w:t>
      </w:r>
      <w:r>
        <w:t xml:space="preserve"> </w:t>
      </w:r>
      <w:r w:rsidR="007C3268" w:rsidRPr="6FDBA943">
        <w:rPr>
          <w:rFonts w:eastAsia="Calibri"/>
        </w:rPr>
        <w:t xml:space="preserve">Dager </w:t>
      </w:r>
      <w:r w:rsidR="007C3268" w:rsidRPr="6FDBA943">
        <w:t xml:space="preserve">mellom </w:t>
      </w:r>
      <w:r w:rsidR="007C3268">
        <w:t>time</w:t>
      </w:r>
      <w:r w:rsidR="007C3268" w:rsidRPr="6FDBA943">
        <w:t>bestillingsdato og konsultasjonsdato</w:t>
      </w:r>
      <w:r w:rsidR="007C3268">
        <w:t>, 2022</w:t>
      </w:r>
    </w:p>
    <w:p w14:paraId="5F521D1F" w14:textId="77777777" w:rsidR="00D9107F" w:rsidRPr="00D9107F" w:rsidRDefault="10EC0AF3" w:rsidP="00C709CD">
      <w:pPr>
        <w:rPr>
          <w:rStyle w:val="kursiv"/>
          <w:rFonts w:eastAsia="Calibri"/>
          <w:highlight w:val="yellow"/>
        </w:rPr>
      </w:pPr>
      <w:r>
        <w:rPr>
          <w:noProof/>
        </w:rPr>
        <w:drawing>
          <wp:inline distT="0" distB="0" distL="0" distR="0" wp14:anchorId="46911077" wp14:editId="44C544C8">
            <wp:extent cx="6120000" cy="3553742"/>
            <wp:effectExtent l="38100" t="38100" r="33655" b="469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4">
                      <a:extLst>
                        <a:ext uri="{28A0092B-C50C-407E-A947-70E740481C1C}">
                          <a14:useLocalDpi xmlns:a14="http://schemas.microsoft.com/office/drawing/2010/main" val="0"/>
                        </a:ext>
                      </a:extLst>
                    </a:blip>
                    <a:stretch>
                      <a:fillRect/>
                    </a:stretch>
                  </pic:blipFill>
                  <pic:spPr>
                    <a:xfrm>
                      <a:off x="0" y="0"/>
                      <a:ext cx="6120000" cy="3553742"/>
                    </a:xfrm>
                    <a:prstGeom prst="rect">
                      <a:avLst/>
                    </a:prstGeom>
                    <a:ln w="38100" cmpd="sng">
                      <a:solidFill>
                        <a:srgbClr val="A9D6B9"/>
                      </a:solidFill>
                    </a:ln>
                  </pic:spPr>
                </pic:pic>
              </a:graphicData>
            </a:graphic>
          </wp:inline>
        </w:drawing>
      </w:r>
    </w:p>
    <w:p w14:paraId="22C5E384" w14:textId="77777777" w:rsidR="00D9107F" w:rsidRPr="00CF515F" w:rsidRDefault="00F35BC5" w:rsidP="00C709CD">
      <w:pPr>
        <w:pStyle w:val="Petit"/>
        <w:rPr>
          <w:rStyle w:val="kursiv"/>
        </w:rPr>
      </w:pPr>
      <w:bookmarkStart w:id="320" w:name="_Toc132133903"/>
      <w:r w:rsidRPr="00CF515F">
        <w:rPr>
          <w:rStyle w:val="kursiv"/>
          <w:rFonts w:eastAsiaTheme="minorHAnsi"/>
        </w:rPr>
        <w:t>Merknad: Basert på data fra NHN. Inkluderte leger har mer enn 100 bestillinger i 2022. Dataene omfatter kun timeavtaler, og ikke e-konsultasjoner. Imidlertid kan timeavtalen både utføres fysisk og som videokonsultasjon. Dataene inkluderer også ø-konsultasjoner og rutinekontroller. Se notat fra FHI for flere detaljer om utvalget</w:t>
      </w:r>
      <w:r w:rsidRPr="00CF515F">
        <w:rPr>
          <w:rStyle w:val="kursiv"/>
        </w:rPr>
        <w:t>.</w:t>
      </w:r>
      <w:bookmarkEnd w:id="320"/>
    </w:p>
    <w:p w14:paraId="696F1D95" w14:textId="7BCEFC6B" w:rsidR="00D9107F" w:rsidRDefault="00F35BC5" w:rsidP="00041023">
      <w:pPr>
        <w:rPr>
          <w:rFonts w:eastAsia="Calibri"/>
        </w:rPr>
      </w:pPr>
      <w:r w:rsidRPr="4CFB0C3C">
        <w:rPr>
          <w:rFonts w:eastAsia="Calibri"/>
        </w:rPr>
        <w:t>Tidligere har FHI</w:t>
      </w:r>
      <w:r w:rsidRPr="610BE2CA">
        <w:rPr>
          <w:rFonts w:eastAsia="Calibri"/>
        </w:rPr>
        <w:t xml:space="preserve"> gjennomført to </w:t>
      </w:r>
      <w:r w:rsidRPr="132AD1EC">
        <w:rPr>
          <w:rFonts w:eastAsia="Calibri"/>
        </w:rPr>
        <w:t>spørreundersøkelser</w:t>
      </w:r>
      <w:r w:rsidRPr="610BE2CA">
        <w:rPr>
          <w:rFonts w:eastAsia="Calibri"/>
        </w:rPr>
        <w:t xml:space="preserve"> </w:t>
      </w:r>
      <w:r>
        <w:rPr>
          <w:rFonts w:eastAsia="Calibri"/>
        </w:rPr>
        <w:t>om</w:t>
      </w:r>
      <w:r w:rsidRPr="610BE2CA">
        <w:rPr>
          <w:rFonts w:eastAsia="Calibri"/>
        </w:rPr>
        <w:t xml:space="preserve"> pasientenes erfaringer med </w:t>
      </w:r>
      <w:r w:rsidRPr="6779F55E">
        <w:rPr>
          <w:rFonts w:eastAsia="Calibri"/>
        </w:rPr>
        <w:t>tilgjengeligheten til fastlegetjenester</w:t>
      </w:r>
      <w:r w:rsidRPr="70B56EF8">
        <w:rPr>
          <w:rFonts w:eastAsia="Calibri"/>
        </w:rPr>
        <w:t>, en i 2018 og en i 2021</w:t>
      </w:r>
      <w:r w:rsidRPr="135D1F34">
        <w:rPr>
          <w:rFonts w:eastAsia="Calibri"/>
        </w:rPr>
        <w:t xml:space="preserve"> </w:t>
      </w:r>
      <w:r>
        <w:rPr>
          <w:rFonts w:eastAsia="Calibri"/>
        </w:rPr>
        <w:fldChar w:fldCharType="begin"/>
      </w:r>
      <w:r w:rsidR="004654FD">
        <w:rPr>
          <w:rFonts w:eastAsia="Calibri"/>
        </w:rPr>
        <w:instrText xml:space="preserve"> ADDIN EN.CITE &lt;EndNote&gt;&lt;Cite&gt;&lt;Author&gt;Iversen&lt;/Author&gt;&lt;Year&gt;2019&lt;/Year&gt;&lt;RecNum&gt;610&lt;/RecNum&gt;&lt;DisplayText&gt;(Iversen et al., 2019)&lt;/DisplayText&gt;&lt;record&gt;&lt;rec-number&gt;610&lt;/rec-number&gt;&lt;foreign-keys&gt;&lt;key app="EN" db-id="95tpr2tp6r9xwoea9rb5wdsz5ds5xeddteew" timestamp="1680069511"&gt;610&lt;/key&gt;&lt;/foreign-keys&gt;&lt;ref-type name="Report"&gt;27&lt;/ref-type&gt;&lt;contributors&gt;&lt;authors&gt;&lt;author&gt;Iversen, Hilde Karin Hestad&lt;/author&gt;&lt;author&gt;Bjertnæs, Øyvind Andresen&lt;/author&gt;&lt;author&gt;Holmboe, Olaf&lt;/author&gt;&lt;/authors&gt;&lt;/contributors&gt;&lt;titles&gt;&lt;title&gt;Pasienterfaringer med fastlegen og fastlegekontoret i 2018/19&lt;/title&gt;&lt;/titles&gt;&lt;dates&gt;&lt;year&gt;2019&lt;/year&gt;&lt;/dates&gt;&lt;pub-location&gt;Oslo&lt;/pub-location&gt;&lt;publisher&gt;Folkehelseinstituttet&lt;/publisher&gt;&lt;isbn&gt;PasOpprapport 2019:1&lt;/isbn&gt;&lt;urls&gt;&lt;/urls&gt;&lt;/record&gt;&lt;/Cite&gt;&lt;/EndNote&gt;</w:instrText>
      </w:r>
      <w:r>
        <w:rPr>
          <w:rFonts w:eastAsia="Calibri"/>
        </w:rPr>
        <w:fldChar w:fldCharType="separate"/>
      </w:r>
      <w:r w:rsidR="00856689">
        <w:rPr>
          <w:rFonts w:eastAsia="Calibri"/>
          <w:noProof/>
        </w:rPr>
        <w:t>(Iversen et al., 2019)</w:t>
      </w:r>
      <w:r>
        <w:rPr>
          <w:rFonts w:eastAsia="Calibri"/>
        </w:rPr>
        <w:fldChar w:fldCharType="end"/>
      </w:r>
      <w:r w:rsidRPr="4E4DD31A">
        <w:rPr>
          <w:rFonts w:eastAsia="Calibri"/>
        </w:rPr>
        <w:t xml:space="preserve"> </w:t>
      </w:r>
      <w:r>
        <w:rPr>
          <w:rFonts w:eastAsia="Calibri"/>
        </w:rPr>
        <w:fldChar w:fldCharType="begin"/>
      </w:r>
      <w:r w:rsidR="00235862">
        <w:rPr>
          <w:rFonts w:eastAsia="Calibri"/>
        </w:rPr>
        <w:instrText xml:space="preserve"> ADDIN EN.CITE &lt;EndNote&gt;&lt;Cite&gt;&lt;Author&gt;Norman&lt;/Author&gt;&lt;Year&gt;2022&lt;/Year&gt;&lt;RecNum&gt;611&lt;/RecNum&gt;&lt;DisplayText&gt;(Norman et al., 2022)&lt;/DisplayText&gt;&lt;record&gt;&lt;rec-number&gt;611&lt;/rec-number&gt;&lt;foreign-keys&gt;&lt;key app="EN" db-id="95tpr2tp6r9xwoea9rb5wdsz5ds5xeddteew" timestamp="1680069511"&gt;611&lt;/key&gt;&lt;/foreign-keys&gt;&lt;ref-type name="Report"&gt;27&lt;/ref-type&gt;&lt;contributors&gt;&lt;authors&gt;&lt;author&gt;Norman, Rebecka Maria&lt;/author&gt;&lt;author&gt;Danielsen, Kirsten&lt;/author&gt;&lt;author&gt;Bjertnæs, Øyvind Andresen&lt;/author&gt;&lt;author&gt;Holmboe, Olaf&lt;/author&gt;&lt;/authors&gt;&lt;/contributors&gt;&lt;titles&gt;&lt;title&gt;Pasienterfaringer med fastlegen og fastlegekontoret i 2021/2022&lt;/title&gt;&lt;/titles&gt;&lt;keywords&gt;&lt;keyword&gt;Emigrants and Immigrants&lt;/keyword&gt;&lt;keyword&gt;Fastlege&lt;/keyword&gt;&lt;keyword&gt;General Practice&lt;/keyword&gt;&lt;keyword&gt;Health Care Surveys&lt;/keyword&gt;&lt;keyword&gt;Helseundersøkinger&lt;/keyword&gt;&lt;keyword&gt;Immigranter&lt;/keyword&gt;&lt;keyword&gt;Patient Outcome Assessment&lt;/keyword&gt;&lt;keyword&gt;Resultatvurdering av pasientbehandling&lt;/keyword&gt;&lt;keyword&gt;Spørreundersøkelser&lt;/keyword&gt;&lt;keyword&gt;Utlendinger&lt;/keyword&gt;&lt;/keywords&gt;&lt;dates&gt;&lt;year&gt;2022&lt;/year&gt;&lt;/dates&gt;&lt;publisher&gt;Folkehelseinstituttet&lt;/publisher&gt;&lt;urls&gt;&lt;/urls&gt;&lt;/record&gt;&lt;/Cite&gt;&lt;/EndNote&gt;</w:instrText>
      </w:r>
      <w:r>
        <w:rPr>
          <w:rFonts w:eastAsia="Calibri"/>
        </w:rPr>
        <w:fldChar w:fldCharType="separate"/>
      </w:r>
      <w:r w:rsidR="00856689">
        <w:rPr>
          <w:rFonts w:eastAsia="Calibri"/>
          <w:noProof/>
        </w:rPr>
        <w:t>(Norman et al., 2022)</w:t>
      </w:r>
      <w:r>
        <w:rPr>
          <w:rFonts w:eastAsia="Calibri"/>
        </w:rPr>
        <w:fldChar w:fldCharType="end"/>
      </w:r>
      <w:r w:rsidR="00DB63B7">
        <w:rPr>
          <w:rFonts w:eastAsia="Calibri"/>
        </w:rPr>
        <w:t>.</w:t>
      </w:r>
      <w:r w:rsidRPr="76E77442">
        <w:rPr>
          <w:rFonts w:eastAsia="Calibri"/>
        </w:rPr>
        <w:t xml:space="preserve"> </w:t>
      </w:r>
      <w:r w:rsidRPr="009B50CC">
        <w:rPr>
          <w:rFonts w:eastAsia="Calibri"/>
        </w:rPr>
        <w:t xml:space="preserve">I alt ble pasienter (2029 </w:t>
      </w:r>
      <w:r>
        <w:rPr>
          <w:rFonts w:eastAsia="Calibri"/>
        </w:rPr>
        <w:t>i</w:t>
      </w:r>
      <w:r w:rsidRPr="009B50CC">
        <w:rPr>
          <w:rFonts w:eastAsia="Calibri"/>
        </w:rPr>
        <w:t xml:space="preserve"> 2018, 7912 </w:t>
      </w:r>
      <w:r>
        <w:rPr>
          <w:rFonts w:eastAsia="Calibri"/>
        </w:rPr>
        <w:t>i</w:t>
      </w:r>
      <w:r w:rsidRPr="009B50CC">
        <w:rPr>
          <w:rFonts w:eastAsia="Calibri"/>
        </w:rPr>
        <w:t xml:space="preserve"> 2021) som nylig hadde vært hos fastleger (utvalg 4760 </w:t>
      </w:r>
      <w:r>
        <w:rPr>
          <w:rFonts w:eastAsia="Calibri"/>
        </w:rPr>
        <w:t>i</w:t>
      </w:r>
      <w:r w:rsidRPr="009B50CC">
        <w:rPr>
          <w:rFonts w:eastAsia="Calibri"/>
        </w:rPr>
        <w:t xml:space="preserve"> 2018</w:t>
      </w:r>
      <w:r>
        <w:rPr>
          <w:rFonts w:eastAsia="Calibri"/>
        </w:rPr>
        <w:t>,</w:t>
      </w:r>
      <w:r w:rsidRPr="009B50CC">
        <w:rPr>
          <w:rFonts w:eastAsia="Calibri"/>
        </w:rPr>
        <w:t xml:space="preserve"> 1</w:t>
      </w:r>
      <w:r w:rsidR="00D9107F" w:rsidRPr="009B50CC">
        <w:rPr>
          <w:rFonts w:eastAsia="Calibri"/>
        </w:rPr>
        <w:t>8</w:t>
      </w:r>
      <w:r w:rsidR="00D9107F">
        <w:rPr>
          <w:rFonts w:eastAsia="Calibri"/>
        </w:rPr>
        <w:t> </w:t>
      </w:r>
      <w:r w:rsidR="00D9107F" w:rsidRPr="009B50CC">
        <w:rPr>
          <w:rFonts w:eastAsia="Calibri"/>
        </w:rPr>
        <w:t>861</w:t>
      </w:r>
      <w:r w:rsidRPr="009B50CC">
        <w:rPr>
          <w:rFonts w:eastAsia="Calibri"/>
        </w:rPr>
        <w:t xml:space="preserve"> </w:t>
      </w:r>
      <w:r>
        <w:rPr>
          <w:rFonts w:eastAsia="Calibri"/>
        </w:rPr>
        <w:t>i</w:t>
      </w:r>
      <w:r w:rsidRPr="009B50CC">
        <w:rPr>
          <w:rFonts w:eastAsia="Calibri"/>
        </w:rPr>
        <w:t xml:space="preserve"> 2021</w:t>
      </w:r>
      <w:r w:rsidRPr="3E0DD37A">
        <w:rPr>
          <w:rFonts w:eastAsia="Calibri"/>
        </w:rPr>
        <w:t xml:space="preserve">) </w:t>
      </w:r>
      <w:r w:rsidRPr="104034E4">
        <w:rPr>
          <w:rFonts w:eastAsia="Calibri"/>
        </w:rPr>
        <w:t>spurt om sine erfaringer</w:t>
      </w:r>
      <w:r w:rsidRPr="5FA6F5AF">
        <w:rPr>
          <w:rFonts w:eastAsia="Calibri"/>
        </w:rPr>
        <w:t>. Tilgjengelighet</w:t>
      </w:r>
      <w:r w:rsidRPr="76E77442">
        <w:rPr>
          <w:rFonts w:eastAsia="Calibri"/>
        </w:rPr>
        <w:t xml:space="preserve"> er indikatoren med dårligst skår i brukererfaringsundersøkelsen blant fastlegepasienter i 2021</w:t>
      </w:r>
      <w:r>
        <w:rPr>
          <w:rFonts w:eastAsia="Calibri"/>
        </w:rPr>
        <w:t>, og omfatter både</w:t>
      </w:r>
      <w:r w:rsidRPr="76E77442">
        <w:rPr>
          <w:rFonts w:eastAsia="Calibri"/>
        </w:rPr>
        <w:t xml:space="preserve"> ventetid til å få time og på venterommet. </w:t>
      </w:r>
      <w:r>
        <w:rPr>
          <w:rFonts w:eastAsia="Calibri"/>
        </w:rPr>
        <w:t>Ventetid på venterommet har forbedret seg, mens v</w:t>
      </w:r>
      <w:r w:rsidRPr="76E77442">
        <w:rPr>
          <w:rFonts w:eastAsia="Calibri"/>
        </w:rPr>
        <w:t>entetid til å få time raskt har hatt en negativ utvikling</w:t>
      </w:r>
      <w:r w:rsidR="00DF7D68">
        <w:rPr>
          <w:rFonts w:eastAsia="Calibri"/>
        </w:rPr>
        <w:t>,</w:t>
      </w:r>
      <w:r w:rsidRPr="76E77442">
        <w:rPr>
          <w:rFonts w:eastAsia="Calibri"/>
        </w:rPr>
        <w:t xml:space="preserve"> og er signifikant dårligere</w:t>
      </w:r>
      <w:r w:rsidRPr="4CFB0C3C">
        <w:rPr>
          <w:rFonts w:eastAsia="Calibri"/>
        </w:rPr>
        <w:t xml:space="preserve"> i 2021 enn i 2018.</w:t>
      </w:r>
      <w:r>
        <w:rPr>
          <w:rFonts w:eastAsia="Calibri"/>
        </w:rPr>
        <w:t xml:space="preserve"> Undersøkelsen i 2021 ble gjennomført i pandemien, som kan ha påvirket ventetid til time grunnet strengere siling av pasienter til konsultasjon.</w:t>
      </w:r>
      <w:r w:rsidRPr="76E77442">
        <w:rPr>
          <w:rFonts w:eastAsia="Calibri"/>
        </w:rPr>
        <w:t xml:space="preserve"> Resultater på enkeltspørsmål viser at mer enn </w:t>
      </w:r>
      <w:r>
        <w:rPr>
          <w:rFonts w:eastAsia="Calibri"/>
        </w:rPr>
        <w:t>to av tre pasienter får time samme eller påfølgende dag ved behov for time raskt, mens i underkant av hver fjerde må vente mer enn to dager</w:t>
      </w:r>
      <w:r w:rsidRPr="76E77442">
        <w:rPr>
          <w:rFonts w:eastAsia="Calibri"/>
        </w:rPr>
        <w:t xml:space="preserve">. </w:t>
      </w:r>
      <w:r>
        <w:rPr>
          <w:rFonts w:eastAsia="Calibri"/>
        </w:rPr>
        <w:t>Når time hos fastlege ikke haster</w:t>
      </w:r>
      <w:r w:rsidR="00DF7D68">
        <w:rPr>
          <w:rFonts w:eastAsia="Calibri"/>
        </w:rPr>
        <w:t>,</w:t>
      </w:r>
      <w:r>
        <w:rPr>
          <w:rFonts w:eastAsia="Calibri"/>
        </w:rPr>
        <w:t xml:space="preserve"> sier 59 prosent at det er vanlig å vente mellom 0–7 dager. Øvrige </w:t>
      </w:r>
      <w:r w:rsidRPr="76E77442">
        <w:rPr>
          <w:rFonts w:eastAsia="Calibri"/>
        </w:rPr>
        <w:t>41</w:t>
      </w:r>
      <w:r>
        <w:rPr>
          <w:rFonts w:eastAsia="Calibri"/>
        </w:rPr>
        <w:t xml:space="preserve"> prosent</w:t>
      </w:r>
      <w:r w:rsidRPr="76E77442">
        <w:rPr>
          <w:rFonts w:eastAsia="Calibri"/>
        </w:rPr>
        <w:t xml:space="preserve"> oppgir at det er </w:t>
      </w:r>
      <w:r w:rsidRPr="76E77442">
        <w:rPr>
          <w:rFonts w:eastAsia="Calibri"/>
        </w:rPr>
        <w:lastRenderedPageBreak/>
        <w:t xml:space="preserve">vanlig å vente mer enn en uke når behovet for helsehjelp ikke er akutt, </w:t>
      </w:r>
      <w:r>
        <w:rPr>
          <w:rFonts w:eastAsia="Calibri"/>
        </w:rPr>
        <w:t>mot</w:t>
      </w:r>
      <w:r w:rsidRPr="76E77442">
        <w:rPr>
          <w:rFonts w:eastAsia="Calibri"/>
        </w:rPr>
        <w:t xml:space="preserve"> 36</w:t>
      </w:r>
      <w:r>
        <w:rPr>
          <w:rFonts w:eastAsia="Calibri"/>
        </w:rPr>
        <w:t xml:space="preserve"> prosent</w:t>
      </w:r>
      <w:r w:rsidRPr="76E77442">
        <w:rPr>
          <w:rFonts w:eastAsia="Calibri"/>
        </w:rPr>
        <w:t xml:space="preserve"> </w:t>
      </w:r>
      <w:r>
        <w:rPr>
          <w:rFonts w:eastAsia="Calibri"/>
        </w:rPr>
        <w:t>i</w:t>
      </w:r>
      <w:r w:rsidRPr="76E77442">
        <w:rPr>
          <w:rFonts w:eastAsia="Calibri"/>
        </w:rPr>
        <w:t xml:space="preserve"> </w:t>
      </w:r>
      <w:r w:rsidRPr="63587833">
        <w:rPr>
          <w:rFonts w:eastAsia="Calibri"/>
        </w:rPr>
        <w:t>2018</w:t>
      </w:r>
      <w:r>
        <w:rPr>
          <w:rFonts w:eastAsia="Calibri"/>
        </w:rPr>
        <w:t xml:space="preserve">. </w:t>
      </w:r>
      <w:r w:rsidRPr="76E77442">
        <w:rPr>
          <w:rFonts w:eastAsia="Calibri"/>
        </w:rPr>
        <w:t xml:space="preserve">Når </w:t>
      </w:r>
      <w:r w:rsidRPr="20AA737C">
        <w:rPr>
          <w:rFonts w:eastAsia="Calibri"/>
        </w:rPr>
        <w:t>FHI</w:t>
      </w:r>
      <w:r w:rsidRPr="76E77442">
        <w:rPr>
          <w:rFonts w:eastAsia="Calibri"/>
        </w:rPr>
        <w:t xml:space="preserve"> ser på sammenhengen mellom pasientens skår på tilgjengelighet og kjennetegn ved fastlegen og fastlegekontoret, har kvinnelige leger, </w:t>
      </w:r>
      <w:r>
        <w:rPr>
          <w:rFonts w:eastAsia="Calibri"/>
        </w:rPr>
        <w:t xml:space="preserve">leger i </w:t>
      </w:r>
      <w:r w:rsidRPr="76E77442">
        <w:rPr>
          <w:rFonts w:eastAsia="Calibri"/>
        </w:rPr>
        <w:t>større praksiser (fem leger eller flere), spesialister i allmennmedisin, samt leger med næringsdrift bedre tilgjengelighet.</w:t>
      </w:r>
    </w:p>
    <w:p w14:paraId="341677C0" w14:textId="53A7DA50" w:rsidR="00F35BC5" w:rsidRDefault="00F35BC5" w:rsidP="00775632">
      <w:pPr>
        <w:pStyle w:val="Overskrift3"/>
      </w:pPr>
      <w:bookmarkStart w:id="321" w:name="_Toc126817027"/>
      <w:bookmarkStart w:id="322" w:name="_Toc127633159"/>
      <w:bookmarkStart w:id="323" w:name="_Toc127864160"/>
      <w:bookmarkStart w:id="324" w:name="_Toc131238286"/>
      <w:bookmarkStart w:id="325" w:name="_Toc131279315"/>
      <w:bookmarkStart w:id="326" w:name="_Toc131286727"/>
      <w:bookmarkStart w:id="327" w:name="_Toc131281137"/>
      <w:bookmarkStart w:id="328" w:name="_Toc131317676"/>
      <w:bookmarkStart w:id="329" w:name="_Toc132536899"/>
      <w:bookmarkStart w:id="330" w:name="_Toc127864157"/>
      <w:r>
        <w:t xml:space="preserve">Listeinnbyggere og lister med og uten </w:t>
      </w:r>
      <w:bookmarkEnd w:id="321"/>
      <w:bookmarkEnd w:id="322"/>
      <w:bookmarkEnd w:id="323"/>
      <w:bookmarkEnd w:id="324"/>
      <w:bookmarkEnd w:id="325"/>
      <w:bookmarkEnd w:id="326"/>
      <w:bookmarkEnd w:id="327"/>
      <w:bookmarkEnd w:id="328"/>
      <w:r>
        <w:t>fastlege</w:t>
      </w:r>
      <w:bookmarkEnd w:id="329"/>
    </w:p>
    <w:p w14:paraId="264AB75E" w14:textId="50075A55" w:rsidR="00D9107F" w:rsidRDefault="00A3351A" w:rsidP="001D4DD5">
      <w:pPr>
        <w:jc w:val="both"/>
      </w:pPr>
      <w:r>
        <w:t xml:space="preserve">Helsedirektoratet publiserer </w:t>
      </w:r>
      <w:r w:rsidR="00081B64">
        <w:t>per nå</w:t>
      </w:r>
      <w:r w:rsidR="007C7B68">
        <w:t xml:space="preserve"> </w:t>
      </w:r>
      <w:r>
        <w:t>ikke jevnlig statistikk over antall innbyggere på venteliste for å bytte fastlege eller hvor lenge de har ventet. Ekspertutvalget har mottatt foreløpige tall fra Helsedirektoratet som tyder på at antall innbyggere på venteliste, og hvor lenge de har ventet, har g</w:t>
      </w:r>
      <w:r w:rsidR="001B4578">
        <w:t xml:space="preserve">ått </w:t>
      </w:r>
      <w:r w:rsidR="008F5904">
        <w:t xml:space="preserve">en del </w:t>
      </w:r>
      <w:r w:rsidR="001B4578">
        <w:t>opp</w:t>
      </w:r>
      <w:r>
        <w:t xml:space="preserve"> siden 2017. Ifølge beregningene står i dag over 30</w:t>
      </w:r>
      <w:r w:rsidR="00D9107F">
        <w:t>0 000</w:t>
      </w:r>
      <w:r>
        <w:t xml:space="preserve"> innbyggere på venteliste for å bytte fastlege.</w:t>
      </w:r>
      <w:r w:rsidR="009B678F" w:rsidRPr="00D9107F">
        <w:rPr>
          <w:rStyle w:val="Fotnotereferanse"/>
        </w:rPr>
        <w:footnoteReference w:id="3"/>
      </w:r>
    </w:p>
    <w:p w14:paraId="32DBE462" w14:textId="77777777" w:rsidR="00D9107F" w:rsidRDefault="00F35BC5" w:rsidP="001D4DD5">
      <w:pPr>
        <w:jc w:val="both"/>
      </w:pPr>
      <w:r>
        <w:t xml:space="preserve">På bestilling fra ekspertutvalget har FHI utført analyser for utviklingen i antall og andel av listeinnbyggere på fastlegeliste med og uten fastlege </w:t>
      </w:r>
      <w:r>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fldChar w:fldCharType="separate"/>
      </w:r>
      <w:r>
        <w:rPr>
          <w:noProof/>
        </w:rPr>
        <w:t>(Deliac et al., 2023)</w:t>
      </w:r>
      <w:r>
        <w:fldChar w:fldCharType="end"/>
      </w:r>
      <w:r>
        <w:t xml:space="preserve">. Datakilde er </w:t>
      </w:r>
      <w:r w:rsidRPr="004474A1">
        <w:t xml:space="preserve">registerdata fra fastlegeordningen (FLO) og konsultasjoner </w:t>
      </w:r>
      <w:r>
        <w:t>i</w:t>
      </w:r>
      <w:r w:rsidRPr="004474A1">
        <w:t xml:space="preserve"> primærhelsetjenesten</w:t>
      </w:r>
      <w:r>
        <w:t>, Kontroll og Utbetaling av Helserefusjoner (KUHR).</w:t>
      </w:r>
    </w:p>
    <w:p w14:paraId="3D91AA42" w14:textId="4D1539AC" w:rsidR="00D9107F" w:rsidRDefault="00F35BC5" w:rsidP="001D4DD5">
      <w:pPr>
        <w:jc w:val="both"/>
      </w:pPr>
      <w:r w:rsidRPr="007D3892">
        <w:t xml:space="preserve">I 2021 var 2 prosent </w:t>
      </w:r>
      <w:r>
        <w:t xml:space="preserve">av listeinnbyggerne </w:t>
      </w:r>
      <w:r w:rsidRPr="007D3892">
        <w:t>på fastlegeliste uten fastlege, mot 1,4 prosent i 2020</w:t>
      </w:r>
      <w:r>
        <w:t xml:space="preserve">, og 1,6 i 2006 (figur </w:t>
      </w:r>
      <w:r w:rsidRPr="001649E4">
        <w:t>2</w:t>
      </w:r>
      <w:r w:rsidR="0035253B">
        <w:t>-</w:t>
      </w:r>
      <w:r w:rsidR="00222ACD">
        <w:t>7</w:t>
      </w:r>
      <w:r>
        <w:t>)</w:t>
      </w:r>
      <w:r w:rsidRPr="007D3892">
        <w:t>.</w:t>
      </w:r>
      <w:r>
        <w:t xml:space="preserve"> </w:t>
      </w:r>
      <w:r w:rsidRPr="007D3892">
        <w:t xml:space="preserve">Antall </w:t>
      </w:r>
      <w:r>
        <w:t>innbyggere</w:t>
      </w:r>
      <w:r w:rsidRPr="007D3892">
        <w:t xml:space="preserve"> på liste uten fastlege har sunket noe i starten av perioden, etterfulgt av en relativt lang stabil periode, </w:t>
      </w:r>
      <w:r>
        <w:t>og så</w:t>
      </w:r>
      <w:r w:rsidRPr="007D3892">
        <w:t xml:space="preserve"> en økning de to siste årene.</w:t>
      </w:r>
      <w:r>
        <w:t xml:space="preserve"> Helsedirektoratets statusrapport fra 2. tertial 2022 viser at per mai 2022 stod totalt 3,2 prosent av listeinnbyggerne, 17</w:t>
      </w:r>
      <w:r w:rsidR="00D9107F">
        <w:t>6 921</w:t>
      </w:r>
      <w:r>
        <w:t xml:space="preserve">, på liste uten fastlege </w:t>
      </w:r>
      <w:r>
        <w:fldChar w:fldCharType="begin"/>
      </w:r>
      <w:r w:rsidR="004654FD">
        <w:instrText xml:space="preserve"> ADDIN EN.CITE &lt;EndNote&gt;&lt;Cite&gt;&lt;Author&gt;Helsedirektoratet&lt;/Author&gt;&lt;Year&gt;2022&lt;/Year&gt;&lt;RecNum&gt;906&lt;/RecNum&gt;&lt;DisplayText&gt;(Helsedirektoratet, 2022i)&lt;/DisplayText&gt;&lt;record&gt;&lt;rec-number&gt;906&lt;/rec-number&gt;&lt;foreign-keys&gt;&lt;key app="EN" db-id="95tpr2tp6r9xwoea9rb5wdsz5ds5xeddteew" timestamp="1680130806"&gt;906&lt;/key&gt;&lt;/foreign-keys&gt;&lt;ref-type name="Report"&gt;27&lt;/ref-type&gt;&lt;contributors&gt;&lt;authors&gt;&lt;author&gt;Helsedirektoratet&lt;/author&gt;&lt;/authors&gt;&lt;/contributors&gt;&lt;titles&gt;&lt;title&gt;Oppfølging av Handlingsplan for allmennlegetjenesten 2020-2024. Statusrapport - 2.tertial 2022&lt;/title&gt;&lt;/titles&gt;&lt;dates&gt;&lt;year&gt;2022&lt;/year&gt;&lt;/dates&gt;&lt;publisher&gt;Helsedirektoratet&lt;/publisher&gt;&lt;urls&gt;&lt;/urls&gt;&lt;/record&gt;&lt;/Cite&gt;&lt;/EndNote&gt;</w:instrText>
      </w:r>
      <w:r>
        <w:fldChar w:fldCharType="separate"/>
      </w:r>
      <w:r w:rsidR="004654FD">
        <w:rPr>
          <w:noProof/>
        </w:rPr>
        <w:t>(Helsedirektoratet, 2022i)</w:t>
      </w:r>
      <w:r>
        <w:fldChar w:fldCharType="end"/>
      </w:r>
      <w:r w:rsidR="00CA7F81">
        <w:t>.</w:t>
      </w:r>
      <w:r w:rsidR="00C062F2">
        <w:t xml:space="preserve"> Per mars 2023 var det 21</w:t>
      </w:r>
      <w:r w:rsidR="00D9107F">
        <w:t>7 104</w:t>
      </w:r>
      <w:r w:rsidR="00C062F2">
        <w:t xml:space="preserve"> innbyggere i Norge uten fastlege, og disse utgjør 4 prosent av befolkningen </w:t>
      </w:r>
      <w:r w:rsidR="00C062F2">
        <w:fldChar w:fldCharType="begin"/>
      </w:r>
      <w:r w:rsidR="00235862">
        <w:instrText xml:space="preserve"> ADDIN EN.CITE &lt;EndNote&gt;&lt;Cite&gt;&lt;Author&gt;Helsedirektoratet&lt;/Author&gt;&lt;Year&gt;2023&lt;/Year&gt;&lt;RecNum&gt;1011&lt;/RecNum&gt;&lt;DisplayText&gt;(Helsedirektoratet, 2023d)&lt;/DisplayText&gt;&lt;record&gt;&lt;rec-number&gt;1011&lt;/rec-number&gt;&lt;foreign-keys&gt;&lt;key app="EN" db-id="95tpr2tp6r9xwoea9rb5wdsz5ds5xeddteew" timestamp="1681119033"&gt;1011&lt;/key&gt;&lt;/foreign-keys&gt;&lt;ref-type name="Web Page"&gt;12&lt;/ref-type&gt;&lt;contributors&gt;&lt;authors&gt;&lt;author&gt;Helsedirektoratet&lt;/author&gt;&lt;/authors&gt;&lt;/contributors&gt;&lt;titles&gt;&lt;title&gt;Månedlig rapportering HPA per mars 2023&lt;/title&gt;&lt;/titles&gt;&lt;dates&gt;&lt;year&gt;2023&lt;/year&gt;&lt;/dates&gt;&lt;publisher&gt;Helsedirektoratet&lt;/publisher&gt;&lt;urls&gt;&lt;/urls&gt;&lt;/record&gt;&lt;/Cite&gt;&lt;/EndNote&gt;</w:instrText>
      </w:r>
      <w:r w:rsidR="00C062F2">
        <w:fldChar w:fldCharType="separate"/>
      </w:r>
      <w:r w:rsidR="00C062F2">
        <w:rPr>
          <w:noProof/>
        </w:rPr>
        <w:t>(Helsedirektoratet, 2023d)</w:t>
      </w:r>
      <w:r w:rsidR="00C062F2">
        <w:fldChar w:fldCharType="end"/>
      </w:r>
      <w:r w:rsidR="00C062F2">
        <w:t>.</w:t>
      </w:r>
    </w:p>
    <w:p w14:paraId="32AA616D" w14:textId="14A69302" w:rsidR="005C3795" w:rsidRDefault="00FF5528" w:rsidP="00FF5528">
      <w:pPr>
        <w:pStyle w:val="avsnitt-tittel"/>
      </w:pPr>
      <w:r>
        <w:lastRenderedPageBreak/>
        <w:t>Figur 2.7</w:t>
      </w:r>
      <w:r w:rsidR="005E0B90">
        <w:t>:</w:t>
      </w:r>
      <w:r>
        <w:t xml:space="preserve"> </w:t>
      </w:r>
      <w:r w:rsidR="005C3795" w:rsidRPr="005E249F">
        <w:t>Antall listeinnbyggere</w:t>
      </w:r>
      <w:r w:rsidR="005C3795">
        <w:t xml:space="preserve"> med og uten fastlege</w:t>
      </w:r>
      <w:r w:rsidR="00BA77A8">
        <w:t>, 2006-2021</w:t>
      </w:r>
    </w:p>
    <w:p w14:paraId="4D685702" w14:textId="77777777" w:rsidR="005C3795" w:rsidRDefault="005C3795" w:rsidP="005C3795">
      <w:r>
        <w:rPr>
          <w:noProof/>
        </w:rPr>
        <w:drawing>
          <wp:inline distT="0" distB="0" distL="0" distR="0" wp14:anchorId="19C61416" wp14:editId="5EFD3FCB">
            <wp:extent cx="6120000" cy="3816077"/>
            <wp:effectExtent l="38100" t="38100" r="33655" b="323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6120000" cy="3816077"/>
                    </a:xfrm>
                    <a:prstGeom prst="rect">
                      <a:avLst/>
                    </a:prstGeom>
                    <a:ln w="38100">
                      <a:solidFill>
                        <a:schemeClr val="accent2"/>
                      </a:solidFill>
                    </a:ln>
                  </pic:spPr>
                </pic:pic>
              </a:graphicData>
            </a:graphic>
          </wp:inline>
        </w:drawing>
      </w:r>
    </w:p>
    <w:p w14:paraId="079FE628" w14:textId="77777777" w:rsidR="00D9107F" w:rsidRDefault="005C3795" w:rsidP="00041023">
      <w:pPr>
        <w:pStyle w:val="Petit"/>
        <w:rPr>
          <w:rFonts w:ascii="Arial" w:hAnsi="Arial" w:cs="Arial"/>
        </w:rPr>
      </w:pPr>
      <w:r w:rsidRPr="00D9107F">
        <w:rPr>
          <w:rStyle w:val="kursiv"/>
        </w:rPr>
        <w:t>Merknad: Datagrunnlag inneholder ikke siste tilgjengelige oppdatering av totalt antall listeinnbyggere. Kilde: FLO, 2006–2020.</w:t>
      </w:r>
    </w:p>
    <w:p w14:paraId="67EAFDB6" w14:textId="77777777" w:rsidR="00D9107F" w:rsidRDefault="00F35BC5" w:rsidP="00496187">
      <w:pPr>
        <w:jc w:val="both"/>
        <w:rPr>
          <w:color w:val="000000" w:themeColor="text1"/>
        </w:rPr>
      </w:pPr>
      <w:r w:rsidRPr="0091343C">
        <w:t>Andelen som er på fastlegeliste uten fastlege fordeler seg jevnt over kjønn og alder, men det er stor geografisk variasjon</w:t>
      </w:r>
      <w:r>
        <w:t xml:space="preserve">. </w:t>
      </w:r>
      <w:r w:rsidRPr="0091343C">
        <w:t>Per 31.</w:t>
      </w:r>
      <w:r>
        <w:t xml:space="preserve"> </w:t>
      </w:r>
      <w:r w:rsidRPr="0091343C">
        <w:t>desember 2020 hadde Nordland, Troms og Finnmark, Innlandet og Møre og Romsdal høyest andel, mens Oslo og Viken hadde lavest</w:t>
      </w:r>
      <w:r>
        <w:t xml:space="preserve">. Det er også høyest andel listeinnbyggere </w:t>
      </w:r>
      <w:r w:rsidR="00F339E7">
        <w:t xml:space="preserve">uten fastlege </w:t>
      </w:r>
      <w:r>
        <w:t xml:space="preserve">i de minst folkerike kommunene, sammenlignet med de mest sentrale og folkerike kommunene. Se nærmere omtale i kapittel </w:t>
      </w:r>
      <w:r w:rsidRPr="00996504">
        <w:t>2.4.</w:t>
      </w:r>
      <w:r w:rsidR="00281DDE">
        <w:t>5</w:t>
      </w:r>
      <w:r w:rsidRPr="00996504">
        <w:t>.2</w:t>
      </w:r>
      <w:r>
        <w:t xml:space="preserve">. </w:t>
      </w:r>
      <w:r>
        <w:rPr>
          <w:color w:val="000000" w:themeColor="text1"/>
        </w:rPr>
        <w:t>Oppsummert er det e</w:t>
      </w:r>
      <w:r w:rsidRPr="7BA5314F">
        <w:rPr>
          <w:color w:val="000000" w:themeColor="text1"/>
        </w:rPr>
        <w:t>t økende antall</w:t>
      </w:r>
      <w:r>
        <w:rPr>
          <w:color w:val="000000" w:themeColor="text1"/>
        </w:rPr>
        <w:t xml:space="preserve"> personer </w:t>
      </w:r>
      <w:r w:rsidRPr="7BA5314F">
        <w:rPr>
          <w:color w:val="000000" w:themeColor="text1"/>
        </w:rPr>
        <w:t>på fastlegelister uten fast</w:t>
      </w:r>
      <w:r w:rsidR="00712B40">
        <w:rPr>
          <w:color w:val="000000" w:themeColor="text1"/>
        </w:rPr>
        <w:t>l</w:t>
      </w:r>
      <w:r w:rsidRPr="7BA5314F">
        <w:rPr>
          <w:color w:val="000000" w:themeColor="text1"/>
        </w:rPr>
        <w:t>ege totalt i landet, men</w:t>
      </w:r>
      <w:r>
        <w:rPr>
          <w:color w:val="000000" w:themeColor="text1"/>
        </w:rPr>
        <w:t>s</w:t>
      </w:r>
      <w:r w:rsidRPr="7BA5314F">
        <w:rPr>
          <w:color w:val="000000" w:themeColor="text1"/>
        </w:rPr>
        <w:t xml:space="preserve"> </w:t>
      </w:r>
      <w:r w:rsidRPr="00AD39EA">
        <w:rPr>
          <w:color w:val="000000" w:themeColor="text1"/>
        </w:rPr>
        <w:t>andelen personer er stabil</w:t>
      </w:r>
      <w:r w:rsidR="005F188E">
        <w:rPr>
          <w:color w:val="000000" w:themeColor="text1"/>
        </w:rPr>
        <w:t xml:space="preserve"> </w:t>
      </w:r>
      <w:r w:rsidR="00904B00">
        <w:rPr>
          <w:color w:val="000000" w:themeColor="text1"/>
        </w:rPr>
        <w:fldChar w:fldCharType="begin"/>
      </w:r>
      <w:r w:rsidR="004654FD">
        <w:rPr>
          <w:color w:val="000000" w:themeColor="text1"/>
        </w:rPr>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rsidR="00904B00">
        <w:rPr>
          <w:color w:val="000000" w:themeColor="text1"/>
        </w:rPr>
        <w:fldChar w:fldCharType="separate"/>
      </w:r>
      <w:r w:rsidR="00904B00">
        <w:rPr>
          <w:noProof/>
          <w:color w:val="000000" w:themeColor="text1"/>
        </w:rPr>
        <w:t>(Deliac et al., 2023)</w:t>
      </w:r>
      <w:r w:rsidR="00904B00">
        <w:rPr>
          <w:color w:val="000000" w:themeColor="text1"/>
        </w:rPr>
        <w:fldChar w:fldCharType="end"/>
      </w:r>
      <w:r w:rsidRPr="00AD39EA">
        <w:rPr>
          <w:color w:val="000000" w:themeColor="text1"/>
        </w:rPr>
        <w:t>.</w:t>
      </w:r>
    </w:p>
    <w:p w14:paraId="14F342D9" w14:textId="38D53F52" w:rsidR="00192E64" w:rsidRPr="00041023" w:rsidRDefault="00BE03AB" w:rsidP="00775632">
      <w:pPr>
        <w:pStyle w:val="Overskrift3"/>
      </w:pPr>
      <w:bookmarkStart w:id="331" w:name="_Toc131238287"/>
      <w:bookmarkStart w:id="332" w:name="_Toc131279316"/>
      <w:bookmarkStart w:id="333" w:name="_Toc131286728"/>
      <w:bookmarkStart w:id="334" w:name="_Toc131281138"/>
      <w:bookmarkStart w:id="335" w:name="_Toc131317677"/>
      <w:bookmarkStart w:id="336" w:name="_Toc132536900"/>
      <w:r w:rsidRPr="00041023">
        <w:t>Kontinuitet og konsultasjoner</w:t>
      </w:r>
      <w:r w:rsidR="00F35BC5" w:rsidRPr="00041023">
        <w:t xml:space="preserve"> blant innbyggere med og uten fastlege</w:t>
      </w:r>
      <w:bookmarkEnd w:id="331"/>
      <w:bookmarkEnd w:id="332"/>
      <w:bookmarkEnd w:id="333"/>
      <w:bookmarkEnd w:id="334"/>
      <w:bookmarkEnd w:id="335"/>
      <w:bookmarkEnd w:id="336"/>
    </w:p>
    <w:p w14:paraId="23EFF114" w14:textId="0D266ADF" w:rsidR="0042234F" w:rsidRDefault="0042234F" w:rsidP="00BA77A8">
      <w:pPr>
        <w:jc w:val="both"/>
      </w:pPr>
      <w:r>
        <w:t xml:space="preserve">Sentralt for innføringen av fastlegeordningen i 2001 var å styrke kontinuiteten i lege-pasientforholdet. Økning i antall innbyggere uten fastlege skaper bekymring for om kontinuiteten er truet, og hvilke konsekvenser det har for innbyggerne. Det finnes noe statistikk på varigheten av fastlegeavtaler, men det gir ikke informasjon om hvilken lege hver pasient faktisk har benyttet </w:t>
      </w:r>
      <w:r>
        <w:fldChar w:fldCharType="begin"/>
      </w:r>
      <w:r>
        <w:instrText xml:space="preserve"> ADDIN EN.CITE &lt;EndNote&gt;&lt;Cite&gt;&lt;Author&gt;Helsedirektoratet&lt;/Author&gt;&lt;Year&gt;2023&lt;/Year&gt;&lt;RecNum&gt;1012&lt;/RecNum&gt;&lt;DisplayText&gt;(Helsedirektoratet, 2023c)&lt;/DisplayText&gt;&lt;record&gt;&lt;rec-number&gt;1012&lt;/rec-number&gt;&lt;foreign-keys&gt;&lt;key app="EN" db-id="95tpr2tp6r9xwoea9rb5wdsz5ds5xeddteew" timestamp="1681119436"&gt;1012&lt;/key&gt;&lt;/foreign-keys&gt;&lt;ref-type name="Electronic Article"&gt;43&lt;/ref-type&gt;&lt;contributors&gt;&lt;authors&gt;&lt;author&gt;Helsedirektoratet&lt;/author&gt;&lt;/authors&gt;&lt;/contributors&gt;&lt;titles&gt;&lt;title&gt;Indikator Varighet på kommunenes varighet på fastlegeavtaler&lt;/title&gt;&lt;/titles&gt;&lt;dates&gt;&lt;year&gt;2023&lt;/year&gt;&lt;/dates&gt;&lt;publisher&gt;Helsedirektoratet&lt;/publisher&gt;&lt;urls&gt;&lt;/urls&gt;&lt;/record&gt;&lt;/Cite&gt;&lt;/EndNote&gt;</w:instrText>
      </w:r>
      <w:r>
        <w:fldChar w:fldCharType="separate"/>
      </w:r>
      <w:r>
        <w:rPr>
          <w:noProof/>
        </w:rPr>
        <w:t>(Helsedirektoratet, 2023c)</w:t>
      </w:r>
      <w:r>
        <w:fldChar w:fldCharType="end"/>
      </w:r>
      <w:r>
        <w:t xml:space="preserve">. FHI har, på oppdrag fra ekspertutvalget, undersøkt utviklingen i kontinuitet i lege–pasientforhold ved å se på den legen pasienten faktisk har brukt, fra 2010 til og med 2021. Alle analyser er basert på </w:t>
      </w:r>
      <w:r w:rsidRPr="004474A1">
        <w:t xml:space="preserve">registerdata fra fastlegeordningen </w:t>
      </w:r>
      <w:r w:rsidRPr="004474A1">
        <w:lastRenderedPageBreak/>
        <w:t xml:space="preserve">(FLO) og konsultasjoner </w:t>
      </w:r>
      <w:r>
        <w:t>i</w:t>
      </w:r>
      <w:r w:rsidRPr="004474A1">
        <w:t xml:space="preserve"> primærhelsetjenesten</w:t>
      </w:r>
      <w:r>
        <w:t xml:space="preserve">, Kontroll og Utbetaling av Helserefusjoner (KUHR) </w:t>
      </w:r>
      <w:r>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fldChar w:fldCharType="separate"/>
      </w:r>
      <w:r>
        <w:rPr>
          <w:noProof/>
        </w:rPr>
        <w:t>(Deliac et al., 2023)</w:t>
      </w:r>
      <w:r>
        <w:fldChar w:fldCharType="end"/>
      </w:r>
      <w:r>
        <w:t>.</w:t>
      </w:r>
    </w:p>
    <w:p w14:paraId="5F4308B3" w14:textId="6D6267A0" w:rsidR="00F35BC5" w:rsidRPr="00453147" w:rsidRDefault="0042234F" w:rsidP="00BA77A8">
      <w:pPr>
        <w:jc w:val="both"/>
      </w:pPr>
      <w:r>
        <w:t>For å belyse kontinuitet har FHI definert ulike indikatorer</w:t>
      </w:r>
      <w:r w:rsidR="00A07E55">
        <w:t>, hvor</w:t>
      </w:r>
      <w:r w:rsidR="00570E86">
        <w:t>a</w:t>
      </w:r>
      <w:r w:rsidR="001C6C70">
        <w:t>v</w:t>
      </w:r>
      <w:r w:rsidR="00A07E55">
        <w:t xml:space="preserve"> de to mest sentrale </w:t>
      </w:r>
      <w:r w:rsidR="001C6C70">
        <w:t>beskrives her</w:t>
      </w:r>
      <w:r>
        <w:t xml:space="preserve">. </w:t>
      </w:r>
      <w:r w:rsidRPr="004454B4">
        <w:t>Førs</w:t>
      </w:r>
      <w:r>
        <w:t xml:space="preserve">t </w:t>
      </w:r>
      <w:r w:rsidRPr="004454B4">
        <w:t>belyse</w:t>
      </w:r>
      <w:r>
        <w:t>s</w:t>
      </w:r>
      <w:r w:rsidRPr="004454B4">
        <w:t xml:space="preserve"> hvor </w:t>
      </w:r>
      <w:r w:rsidRPr="00D9107F">
        <w:rPr>
          <w:rStyle w:val="kursiv"/>
        </w:rPr>
        <w:t>stor andel av konsultasjonene som er hos egen fastlege over tid</w:t>
      </w:r>
      <w:r w:rsidRPr="004454B4">
        <w:t xml:space="preserve">. </w:t>
      </w:r>
      <w:r>
        <w:t>Dette kan ikke måles</w:t>
      </w:r>
      <w:r w:rsidRPr="004454B4">
        <w:t xml:space="preserve"> for personer som står på en liste uten </w:t>
      </w:r>
      <w:r>
        <w:t>fast</w:t>
      </w:r>
      <w:r w:rsidRPr="004454B4">
        <w:t>lege</w:t>
      </w:r>
      <w:r>
        <w:t>, men d</w:t>
      </w:r>
      <w:r w:rsidRPr="004454B4">
        <w:t xml:space="preserve">isse listeinnbyggerne kan likevel ha et </w:t>
      </w:r>
      <w:r>
        <w:t xml:space="preserve">mer eller mindre kontinuerlig </w:t>
      </w:r>
      <w:r w:rsidRPr="004454B4">
        <w:t xml:space="preserve">forhold til </w:t>
      </w:r>
      <w:r>
        <w:t>én</w:t>
      </w:r>
      <w:r w:rsidRPr="004454B4">
        <w:t xml:space="preserve"> allmennlege</w:t>
      </w:r>
      <w:r>
        <w:t>.</w:t>
      </w:r>
      <w:r w:rsidRPr="004454B4">
        <w:t xml:space="preserve"> </w:t>
      </w:r>
      <w:r>
        <w:t>FHI</w:t>
      </w:r>
      <w:r w:rsidRPr="004454B4">
        <w:t xml:space="preserve"> beregner derfor også andelen konsultasjoner hos </w:t>
      </w:r>
      <w:r>
        <w:t>liste</w:t>
      </w:r>
      <w:r w:rsidRPr="004454B4">
        <w:t xml:space="preserve">innbyggerens </w:t>
      </w:r>
      <w:r w:rsidRPr="00D9107F">
        <w:rPr>
          <w:rStyle w:val="kursiv"/>
        </w:rPr>
        <w:t>mest brukte lege</w:t>
      </w:r>
      <w:r w:rsidRPr="004454B4">
        <w:t>, og beskriver utviklingen i denne over tid, både for personer på liste med og uten tilknyttet fastlege.</w:t>
      </w:r>
    </w:p>
    <w:p w14:paraId="45A5654C" w14:textId="77777777" w:rsidR="00D9107F" w:rsidRDefault="00F35BC5" w:rsidP="00775632">
      <w:pPr>
        <w:pStyle w:val="Overskrift4"/>
      </w:pPr>
      <w:bookmarkStart w:id="337" w:name="_Toc131238288"/>
      <w:bookmarkStart w:id="338" w:name="_Toc131279317"/>
      <w:bookmarkStart w:id="339" w:name="_Toc131286729"/>
      <w:bookmarkStart w:id="340" w:name="_Toc131281139"/>
      <w:bookmarkStart w:id="341" w:name="_Toc131317678"/>
      <w:bookmarkEnd w:id="330"/>
      <w:r w:rsidRPr="001717F5">
        <w:t>Andel konsultasjoner hos egen fastlege</w:t>
      </w:r>
      <w:bookmarkEnd w:id="337"/>
      <w:bookmarkEnd w:id="338"/>
      <w:bookmarkEnd w:id="339"/>
      <w:bookmarkEnd w:id="340"/>
      <w:bookmarkEnd w:id="341"/>
    </w:p>
    <w:p w14:paraId="2EBB623B" w14:textId="77777777" w:rsidR="00D9107F" w:rsidRDefault="00F35BC5" w:rsidP="00AA7EF3">
      <w:pPr>
        <w:jc w:val="both"/>
      </w:pPr>
      <w:r>
        <w:t>Listei</w:t>
      </w:r>
      <w:r w:rsidRPr="7BA5314F">
        <w:t xml:space="preserve">nnbyggere på fastlegeliste med fastlege kan ha sine konsultasjoner hos egen fastlege, men også hos andre allmennleger. </w:t>
      </w:r>
      <w:r>
        <w:t>Det kan blant annet skyldes kollegial fraværsdekning, som innebærer at kolleger dekker for fastlegen som er fraværende grunnet kommunale allmennlegeoppgaver på sykehjem eller helsestasjon, ferie, sykdom eller sykt barn, eller LIS1-lege som henter pasienter fra fastlegene i legekontoret.</w:t>
      </w:r>
    </w:p>
    <w:p w14:paraId="44D03676" w14:textId="752BDC9D" w:rsidR="00F35BC5" w:rsidRDefault="00F35BC5" w:rsidP="00AA7EF3">
      <w:pPr>
        <w:jc w:val="both"/>
        <w:rPr>
          <w:rFonts w:ascii="Times New Roman" w:hAnsi="Times New Roman" w:cs="Times New Roman"/>
          <w:color w:val="000000"/>
          <w:sz w:val="18"/>
          <w:szCs w:val="18"/>
        </w:rPr>
      </w:pPr>
      <w:r>
        <w:rPr>
          <w:color w:val="000000" w:themeColor="text1"/>
        </w:rPr>
        <w:t xml:space="preserve">Om </w:t>
      </w:r>
      <w:r w:rsidRPr="7BA5314F">
        <w:rPr>
          <w:color w:val="000000" w:themeColor="text1"/>
        </w:rPr>
        <w:t xml:space="preserve">andelen konsultasjoner hos egen fastlege </w:t>
      </w:r>
      <w:r>
        <w:rPr>
          <w:color w:val="000000" w:themeColor="text1"/>
        </w:rPr>
        <w:t xml:space="preserve">er </w:t>
      </w:r>
      <w:r w:rsidRPr="7BA5314F">
        <w:rPr>
          <w:color w:val="000000" w:themeColor="text1"/>
        </w:rPr>
        <w:t xml:space="preserve">synkende over tid, kan det innebære at </w:t>
      </w:r>
      <w:r>
        <w:rPr>
          <w:color w:val="000000" w:themeColor="text1"/>
        </w:rPr>
        <w:t>liste</w:t>
      </w:r>
      <w:r w:rsidRPr="7BA5314F">
        <w:rPr>
          <w:color w:val="000000" w:themeColor="text1"/>
        </w:rPr>
        <w:t>innbyggeren møter flere ulike leger i dag enn tidligere</w:t>
      </w:r>
      <w:r>
        <w:rPr>
          <w:color w:val="000000" w:themeColor="text1"/>
        </w:rPr>
        <w:t>. Det</w:t>
      </w:r>
      <w:r w:rsidRPr="7BA5314F">
        <w:rPr>
          <w:color w:val="000000" w:themeColor="text1"/>
        </w:rPr>
        <w:t xml:space="preserve"> </w:t>
      </w:r>
      <w:r>
        <w:rPr>
          <w:color w:val="000000" w:themeColor="text1"/>
        </w:rPr>
        <w:t xml:space="preserve">kan </w:t>
      </w:r>
      <w:r w:rsidRPr="7BA5314F">
        <w:rPr>
          <w:color w:val="000000" w:themeColor="text1"/>
        </w:rPr>
        <w:t xml:space="preserve">indikere et mindre kontinuerlig forhold mellom lege og pasient. </w:t>
      </w:r>
      <w:r>
        <w:rPr>
          <w:color w:val="000000" w:themeColor="text1"/>
        </w:rPr>
        <w:t>F</w:t>
      </w:r>
      <w:r w:rsidRPr="7BA5314F">
        <w:rPr>
          <w:color w:val="000000" w:themeColor="text1"/>
        </w:rPr>
        <w:t xml:space="preserve">ørste indikator </w:t>
      </w:r>
      <w:r>
        <w:rPr>
          <w:color w:val="000000" w:themeColor="text1"/>
        </w:rPr>
        <w:t xml:space="preserve">omhandler kun </w:t>
      </w:r>
      <w:r w:rsidRPr="7BA5314F">
        <w:rPr>
          <w:color w:val="000000" w:themeColor="text1"/>
        </w:rPr>
        <w:t xml:space="preserve">kontinuitet for </w:t>
      </w:r>
      <w:r>
        <w:rPr>
          <w:color w:val="000000" w:themeColor="text1"/>
        </w:rPr>
        <w:t>liste</w:t>
      </w:r>
      <w:r w:rsidRPr="7BA5314F">
        <w:rPr>
          <w:color w:val="000000" w:themeColor="text1"/>
        </w:rPr>
        <w:t>innbyggere på fastlegeliste med</w:t>
      </w:r>
      <w:r>
        <w:rPr>
          <w:color w:val="000000" w:themeColor="text1"/>
        </w:rPr>
        <w:t xml:space="preserve"> </w:t>
      </w:r>
      <w:r w:rsidRPr="7BA5314F">
        <w:rPr>
          <w:color w:val="000000" w:themeColor="text1"/>
        </w:rPr>
        <w:t>fastlege</w:t>
      </w:r>
      <w:r>
        <w:rPr>
          <w:color w:val="000000" w:themeColor="text1"/>
        </w:rPr>
        <w:t>, siden listeinnbyggere uten fastlege ikke kan ha konsultasjoner hos egen fastlege.</w:t>
      </w:r>
    </w:p>
    <w:p w14:paraId="17E7B738" w14:textId="6F5C9911" w:rsidR="00277773" w:rsidRDefault="00F35BC5" w:rsidP="00AA7EF3">
      <w:pPr>
        <w:rPr>
          <w:noProof/>
        </w:rPr>
      </w:pPr>
      <w:r w:rsidRPr="7BA5314F">
        <w:rPr>
          <w:color w:val="000000" w:themeColor="text1"/>
        </w:rPr>
        <w:t xml:space="preserve">Figur </w:t>
      </w:r>
      <w:r w:rsidR="0020273D">
        <w:rPr>
          <w:color w:val="000000" w:themeColor="text1"/>
        </w:rPr>
        <w:t>2-8 a</w:t>
      </w:r>
      <w:r w:rsidRPr="7BA5314F">
        <w:rPr>
          <w:color w:val="000000" w:themeColor="text1"/>
        </w:rPr>
        <w:t xml:space="preserve"> og </w:t>
      </w:r>
      <w:r w:rsidR="0020273D">
        <w:rPr>
          <w:color w:val="000000" w:themeColor="text1"/>
        </w:rPr>
        <w:t>b</w:t>
      </w:r>
      <w:r w:rsidRPr="7BA5314F">
        <w:rPr>
          <w:color w:val="000000" w:themeColor="text1"/>
        </w:rPr>
        <w:t xml:space="preserve"> viser henholdsvis</w:t>
      </w:r>
      <w:r>
        <w:rPr>
          <w:noProof/>
        </w:rPr>
        <w:t xml:space="preserve"> hvor stor andel av konsultasjoner listeinnbyggere har med egen fastlege totalt, og etter sentralitet. Sentralitet er basert på SSBs sentralitetsmål, med skala fra 1 (mest sentralt) til 6</w:t>
      </w:r>
      <w:r w:rsidR="00041023">
        <w:rPr>
          <w:noProof/>
        </w:rPr>
        <w:t xml:space="preserve"> </w:t>
      </w:r>
      <w:r>
        <w:rPr>
          <w:noProof/>
        </w:rPr>
        <w:t>(minst sentralt).</w:t>
      </w:r>
    </w:p>
    <w:p w14:paraId="50A3E412" w14:textId="77F90FF8" w:rsidR="004E5DF5" w:rsidRPr="005E0B90" w:rsidRDefault="00FF5528" w:rsidP="00FF5528">
      <w:pPr>
        <w:pStyle w:val="avsnitt-tittel"/>
      </w:pPr>
      <w:r w:rsidRPr="005E0B90">
        <w:lastRenderedPageBreak/>
        <w:t xml:space="preserve">Figur 2.8 </w:t>
      </w:r>
      <w:r w:rsidR="00A87855" w:rsidRPr="005E0B90">
        <w:t>a</w:t>
      </w:r>
      <w:r w:rsidR="005E0B90">
        <w:t>:</w:t>
      </w:r>
      <w:r w:rsidR="009B14A0" w:rsidRPr="005E0B90">
        <w:t xml:space="preserve"> Andel konsultasjoner hos egen fastlege, totalt</w:t>
      </w:r>
    </w:p>
    <w:p w14:paraId="3A9B450A" w14:textId="28F78349" w:rsidR="00DC61B9" w:rsidRPr="00D9107F" w:rsidRDefault="4606482A" w:rsidP="004E5DF5">
      <w:pPr>
        <w:rPr>
          <w:rStyle w:val="kursiv"/>
          <w:rFonts w:eastAsiaTheme="minorHAnsi"/>
        </w:rPr>
      </w:pPr>
      <w:r>
        <w:rPr>
          <w:noProof/>
        </w:rPr>
        <w:drawing>
          <wp:inline distT="0" distB="0" distL="0" distR="0" wp14:anchorId="1C52D265" wp14:editId="6B0D57F4">
            <wp:extent cx="6120000" cy="3835259"/>
            <wp:effectExtent l="38100" t="38100" r="33655" b="323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6120000" cy="3835259"/>
                    </a:xfrm>
                    <a:prstGeom prst="rect">
                      <a:avLst/>
                    </a:prstGeom>
                    <a:ln w="38100">
                      <a:solidFill>
                        <a:srgbClr val="A9D6B9"/>
                      </a:solidFill>
                    </a:ln>
                  </pic:spPr>
                </pic:pic>
              </a:graphicData>
            </a:graphic>
          </wp:inline>
        </w:drawing>
      </w:r>
    </w:p>
    <w:p w14:paraId="4E292B96" w14:textId="77777777" w:rsidR="00D9107F" w:rsidRPr="00D9107F" w:rsidRDefault="004E5DF5" w:rsidP="00041023">
      <w:pPr>
        <w:pStyle w:val="Petit"/>
        <w:rPr>
          <w:rStyle w:val="kursiv"/>
          <w:rFonts w:eastAsiaTheme="minorHAnsi"/>
        </w:rPr>
      </w:pPr>
      <w:r w:rsidRPr="00D9107F">
        <w:rPr>
          <w:rStyle w:val="kursiv"/>
          <w:rFonts w:eastAsiaTheme="minorHAnsi"/>
        </w:rPr>
        <w:t>Merknad: Som andel av totale konsultasjoner. Kilde: FLO og KUHR, 2006-2021.</w:t>
      </w:r>
    </w:p>
    <w:p w14:paraId="79D58AB0" w14:textId="28E69B33" w:rsidR="00F35BC5" w:rsidRPr="00FF5528" w:rsidRDefault="00AA7EF3" w:rsidP="00041023">
      <w:pPr>
        <w:pStyle w:val="avsnitt-tittel"/>
        <w:rPr>
          <w:rStyle w:val="kursiv"/>
          <w:i w:val="0"/>
          <w:iCs/>
        </w:rPr>
      </w:pPr>
      <w:r w:rsidRPr="00FF5528">
        <w:rPr>
          <w:rStyle w:val="kursiv"/>
          <w:i w:val="0"/>
          <w:iCs/>
        </w:rPr>
        <w:lastRenderedPageBreak/>
        <w:t xml:space="preserve">Figur </w:t>
      </w:r>
      <w:r w:rsidR="008D1D56" w:rsidRPr="00FF5528">
        <w:rPr>
          <w:rStyle w:val="kursiv"/>
          <w:i w:val="0"/>
          <w:iCs/>
        </w:rPr>
        <w:t>2-8</w:t>
      </w:r>
      <w:r w:rsidR="00327F3C" w:rsidRPr="00FF5528">
        <w:rPr>
          <w:rStyle w:val="kursiv"/>
          <w:i w:val="0"/>
          <w:iCs/>
        </w:rPr>
        <w:t xml:space="preserve"> </w:t>
      </w:r>
      <w:r w:rsidR="00A87855" w:rsidRPr="00FF5528">
        <w:rPr>
          <w:rStyle w:val="kursiv"/>
          <w:i w:val="0"/>
          <w:iCs/>
        </w:rPr>
        <w:t>b</w:t>
      </w:r>
      <w:r w:rsidR="005E0B90">
        <w:rPr>
          <w:rStyle w:val="kursiv"/>
          <w:i w:val="0"/>
          <w:iCs/>
        </w:rPr>
        <w:t>:</w:t>
      </w:r>
      <w:r w:rsidRPr="00FF5528">
        <w:rPr>
          <w:rStyle w:val="kursiv"/>
          <w:i w:val="0"/>
          <w:iCs/>
        </w:rPr>
        <w:t xml:space="preserve"> Andel konsultasjoner hos egen fastlege,</w:t>
      </w:r>
      <w:r w:rsidR="00A87855" w:rsidRPr="00FF5528">
        <w:rPr>
          <w:rStyle w:val="kursiv"/>
          <w:i w:val="0"/>
          <w:iCs/>
        </w:rPr>
        <w:t xml:space="preserve"> etter sentralitet</w:t>
      </w:r>
    </w:p>
    <w:p w14:paraId="62B95470" w14:textId="637CD6FF" w:rsidR="00277773" w:rsidRDefault="1A20AE03" w:rsidP="009B14A0">
      <w:r>
        <w:rPr>
          <w:noProof/>
        </w:rPr>
        <w:drawing>
          <wp:inline distT="0" distB="0" distL="0" distR="0" wp14:anchorId="4750CF13" wp14:editId="149AB26F">
            <wp:extent cx="6120000" cy="4449561"/>
            <wp:effectExtent l="38100" t="38100" r="33655" b="463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6120000" cy="4449561"/>
                    </a:xfrm>
                    <a:prstGeom prst="rect">
                      <a:avLst/>
                    </a:prstGeom>
                    <a:ln w="38100">
                      <a:solidFill>
                        <a:srgbClr val="A9D6B9"/>
                      </a:solidFill>
                    </a:ln>
                  </pic:spPr>
                </pic:pic>
              </a:graphicData>
            </a:graphic>
          </wp:inline>
        </w:drawing>
      </w:r>
    </w:p>
    <w:p w14:paraId="103BF5BD" w14:textId="77777777" w:rsidR="00D9107F" w:rsidRPr="00657F9A" w:rsidRDefault="009938E1" w:rsidP="00C709CD">
      <w:pPr>
        <w:pStyle w:val="Petit"/>
        <w:rPr>
          <w:rStyle w:val="kursiv"/>
        </w:rPr>
      </w:pPr>
      <w:bookmarkStart w:id="342" w:name="_Toc132133904"/>
      <w:r w:rsidRPr="00657F9A">
        <w:rPr>
          <w:rStyle w:val="kursiv"/>
        </w:rPr>
        <w:t>Merknad: Som andel av totale konsultasjoner per sentralitetsklasse. Kilde: FLO og KUHR, 2006-2021.</w:t>
      </w:r>
      <w:bookmarkEnd w:id="342"/>
    </w:p>
    <w:p w14:paraId="158EC7EA" w14:textId="1C7A05C4" w:rsidR="00F35BC5" w:rsidRDefault="00F35BC5" w:rsidP="005030F8">
      <w:pPr>
        <w:jc w:val="both"/>
      </w:pPr>
      <w:r w:rsidRPr="00F239D4">
        <w:t>Andelen konsultasjoner hos egen fastlege har vært relativt stabil over tid, fra 63 prosent i 2006 til 65 prosent i 2021</w:t>
      </w:r>
      <w:r>
        <w:t xml:space="preserve"> (</w:t>
      </w:r>
      <w:r w:rsidRPr="00F239D4">
        <w:t xml:space="preserve">figur </w:t>
      </w:r>
      <w:r w:rsidR="0020273D">
        <w:t>2-8</w:t>
      </w:r>
      <w:r w:rsidRPr="00F239D4">
        <w:t>a</w:t>
      </w:r>
      <w:r>
        <w:t>)</w:t>
      </w:r>
      <w:r w:rsidRPr="00F239D4">
        <w:t xml:space="preserve">. </w:t>
      </w:r>
      <w:r>
        <w:t>Fordelt etter sentralitet sees fortsatt den stabile utviklingen, men med forholdsvis store forskjeller mellom sentralitetsklassene</w:t>
      </w:r>
      <w:r w:rsidRPr="00F239D4">
        <w:t xml:space="preserve"> (figur </w:t>
      </w:r>
      <w:r w:rsidR="0020273D">
        <w:t>2-8</w:t>
      </w:r>
      <w:r w:rsidRPr="00F239D4">
        <w:t>b). I 2021 var andelen konsultasjoner hos egen fastlege</w:t>
      </w:r>
      <w:r>
        <w:t xml:space="preserve"> lavest i de to minst sentrale </w:t>
      </w:r>
      <w:r w:rsidR="00B30758">
        <w:t>klassene</w:t>
      </w:r>
      <w:r>
        <w:t xml:space="preserve">, </w:t>
      </w:r>
      <w:r w:rsidR="00F67179">
        <w:t xml:space="preserve">med </w:t>
      </w:r>
      <w:r>
        <w:t>46 prosent og 56 prosent.</w:t>
      </w:r>
      <w:r w:rsidRPr="00F239D4">
        <w:t xml:space="preserve"> Andelen</w:t>
      </w:r>
      <w:r>
        <w:t xml:space="preserve"> </w:t>
      </w:r>
      <w:r w:rsidR="00F67179" w:rsidRPr="00F239D4">
        <w:t>konsultasjoner hos egen fastlege</w:t>
      </w:r>
      <w:r w:rsidR="00F67179">
        <w:t xml:space="preserve"> </w:t>
      </w:r>
      <w:r>
        <w:t xml:space="preserve">var høyest </w:t>
      </w:r>
      <w:r w:rsidRPr="00F239D4">
        <w:t>i den nest mest sentrale klassen</w:t>
      </w:r>
      <w:r>
        <w:t>, nærmere 70 prosent</w:t>
      </w:r>
      <w:r w:rsidRPr="00F239D4">
        <w:t xml:space="preserve"> (sentralitetsklasse 2)</w:t>
      </w:r>
      <w:r w:rsidR="00904B00">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rsidR="00904B00">
        <w:fldChar w:fldCharType="separate"/>
      </w:r>
      <w:r w:rsidR="00904B00">
        <w:rPr>
          <w:noProof/>
        </w:rPr>
        <w:t>(Deliac et al., 2023)</w:t>
      </w:r>
      <w:r w:rsidR="00904B00">
        <w:fldChar w:fldCharType="end"/>
      </w:r>
      <w:r w:rsidRPr="00F239D4">
        <w:t>.</w:t>
      </w:r>
    </w:p>
    <w:p w14:paraId="219813E8" w14:textId="77777777" w:rsidR="00F35BC5" w:rsidRPr="00041023" w:rsidRDefault="00F35BC5" w:rsidP="00775632">
      <w:pPr>
        <w:pStyle w:val="Overskrift4"/>
      </w:pPr>
      <w:bookmarkStart w:id="343" w:name="_Toc131238289"/>
      <w:bookmarkStart w:id="344" w:name="_Toc131279318"/>
      <w:bookmarkStart w:id="345" w:name="_Toc131286730"/>
      <w:bookmarkStart w:id="346" w:name="_Toc131281140"/>
      <w:bookmarkStart w:id="347" w:name="_Toc131317679"/>
      <w:r w:rsidRPr="00041023">
        <w:t>Andel konsultasjoner hos mest brukte lege</w:t>
      </w:r>
      <w:bookmarkEnd w:id="343"/>
      <w:bookmarkEnd w:id="344"/>
      <w:bookmarkEnd w:id="345"/>
      <w:bookmarkEnd w:id="346"/>
      <w:bookmarkEnd w:id="347"/>
    </w:p>
    <w:p w14:paraId="62407216" w14:textId="5C69F130" w:rsidR="008D16D5" w:rsidRDefault="00E868F2" w:rsidP="00F34C0C">
      <w:pPr>
        <w:jc w:val="both"/>
      </w:pPr>
      <w:r>
        <w:t>I</w:t>
      </w:r>
      <w:r w:rsidR="008D16D5" w:rsidRPr="004176FB">
        <w:t xml:space="preserve">nnbyggere som har sine konsultasjoner hos flere ulike allmennleger, vil ha et mindre kontinuerlig forhold til hver av disse legene enn dersom de møter samme lege på tvers av konsultasjonene. Dette gjelder både for innbyggere med fastlege, og innbyggere uten fastlege. </w:t>
      </w:r>
      <w:r w:rsidR="008D16D5">
        <w:t>M</w:t>
      </w:r>
      <w:r w:rsidR="008D16D5" w:rsidRPr="004176FB">
        <w:t>est brukte lege</w:t>
      </w:r>
      <w:r w:rsidR="008D16D5">
        <w:t xml:space="preserve"> defineres som den legen den enkelte innbygger har hatt flest konsultasjoner med i løpet av en gitt periode.</w:t>
      </w:r>
    </w:p>
    <w:p w14:paraId="27FC5751" w14:textId="77777777" w:rsidR="00D9107F" w:rsidRDefault="008D16D5" w:rsidP="00F34C0C">
      <w:pPr>
        <w:jc w:val="both"/>
      </w:pPr>
      <w:r w:rsidRPr="00A14FA4">
        <w:t xml:space="preserve">Figur </w:t>
      </w:r>
      <w:r w:rsidR="0079260D">
        <w:t>2-</w:t>
      </w:r>
      <w:r w:rsidRPr="00A14FA4">
        <w:t xml:space="preserve">9 viser utviklingen i andelen konsultasjoner hos mest brukte lege over tid, for </w:t>
      </w:r>
      <w:r>
        <w:t>liste</w:t>
      </w:r>
      <w:r w:rsidRPr="00A14FA4">
        <w:t>innbyggere på fastlegeliste med og uten fastlege.</w:t>
      </w:r>
    </w:p>
    <w:p w14:paraId="6ECD910A" w14:textId="31DCC1FA" w:rsidR="00F35BC5" w:rsidRPr="00EB6182" w:rsidRDefault="00FF5528" w:rsidP="001B5274">
      <w:pPr>
        <w:pStyle w:val="avsnitt-tittel"/>
      </w:pPr>
      <w:r w:rsidRPr="00FF5528">
        <w:lastRenderedPageBreak/>
        <w:t>Figur 2.9</w:t>
      </w:r>
      <w:r w:rsidR="005E0B90">
        <w:t>:</w:t>
      </w:r>
      <w:r>
        <w:t xml:space="preserve"> </w:t>
      </w:r>
      <w:r w:rsidR="00F35BC5" w:rsidRPr="00EB6182">
        <w:t>Utvikling i andel konsultasjoner hos mest brukte lege, totalt</w:t>
      </w:r>
    </w:p>
    <w:p w14:paraId="5F42177B" w14:textId="77777777" w:rsidR="00F35BC5" w:rsidRDefault="00F35BC5" w:rsidP="006325D8">
      <w:pPr>
        <w:keepNext/>
        <w:keepLines/>
      </w:pPr>
      <w:r>
        <w:rPr>
          <w:noProof/>
        </w:rPr>
        <w:drawing>
          <wp:inline distT="0" distB="0" distL="0" distR="0" wp14:anchorId="695DCC08" wp14:editId="11348546">
            <wp:extent cx="6120000" cy="4449566"/>
            <wp:effectExtent l="38100" t="38100" r="33655" b="463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449566"/>
                    </a:xfrm>
                    <a:prstGeom prst="rect">
                      <a:avLst/>
                    </a:prstGeom>
                    <a:noFill/>
                    <a:ln w="38100">
                      <a:solidFill>
                        <a:srgbClr val="A9D6B9"/>
                      </a:solidFill>
                    </a:ln>
                  </pic:spPr>
                </pic:pic>
              </a:graphicData>
            </a:graphic>
          </wp:inline>
        </w:drawing>
      </w:r>
    </w:p>
    <w:p w14:paraId="3E45F1BA" w14:textId="77777777" w:rsidR="00D9107F" w:rsidRPr="00657F9A" w:rsidRDefault="0079260D" w:rsidP="00C709CD">
      <w:pPr>
        <w:pStyle w:val="Petit"/>
        <w:rPr>
          <w:rStyle w:val="kursiv"/>
        </w:rPr>
      </w:pPr>
      <w:bookmarkStart w:id="348" w:name="_Toc132133905"/>
      <w:r w:rsidRPr="00657F9A">
        <w:rPr>
          <w:rStyle w:val="kursiv"/>
        </w:rPr>
        <w:t xml:space="preserve">Merknad: </w:t>
      </w:r>
      <w:r w:rsidR="00F35BC5" w:rsidRPr="00657F9A">
        <w:rPr>
          <w:rStyle w:val="kursiv"/>
        </w:rPr>
        <w:t>Som andel av totale konsultasjoner. Kilde: FLO og KUHR, 2006–2021.</w:t>
      </w:r>
      <w:bookmarkEnd w:id="348"/>
    </w:p>
    <w:p w14:paraId="592F9BCC" w14:textId="16AE7833" w:rsidR="00F35BC5" w:rsidRDefault="00F35BC5" w:rsidP="001458A0">
      <w:pPr>
        <w:jc w:val="both"/>
      </w:pPr>
      <w:r w:rsidRPr="00A14FA4">
        <w:t>Figur</w:t>
      </w:r>
      <w:r>
        <w:t xml:space="preserve"> </w:t>
      </w:r>
      <w:r w:rsidR="00D7123A">
        <w:t>2-</w:t>
      </w:r>
      <w:r>
        <w:t>9</w:t>
      </w:r>
      <w:r w:rsidRPr="00A14FA4">
        <w:t xml:space="preserve"> viser en gjennomgående stabil utvikling, men </w:t>
      </w:r>
      <w:r>
        <w:t>liste</w:t>
      </w:r>
      <w:r w:rsidRPr="00A14FA4">
        <w:t>innbyggere på fastlegeliste med fastlege</w:t>
      </w:r>
      <w:r>
        <w:t xml:space="preserve"> har en </w:t>
      </w:r>
      <w:r w:rsidRPr="00A14FA4">
        <w:t>høyere andel konsultasjoner hos mest brukte lege</w:t>
      </w:r>
      <w:r>
        <w:t xml:space="preserve">. </w:t>
      </w:r>
      <w:r w:rsidRPr="00A14FA4">
        <w:t xml:space="preserve">I 2021 </w:t>
      </w:r>
      <w:r>
        <w:t>hadde disse listeinnbygger</w:t>
      </w:r>
      <w:r w:rsidR="00F67179">
        <w:t>n</w:t>
      </w:r>
      <w:r>
        <w:t xml:space="preserve">e mer enn 72 prosent av sine konsultasjoner </w:t>
      </w:r>
      <w:r w:rsidRPr="00A14FA4">
        <w:t>hos mest brukte lege</w:t>
      </w:r>
      <w:r w:rsidR="00F67179">
        <w:t>,</w:t>
      </w:r>
      <w:r w:rsidRPr="00A14FA4">
        <w:t xml:space="preserve"> mot 62 prosent for </w:t>
      </w:r>
      <w:r>
        <w:t>liste</w:t>
      </w:r>
      <w:r w:rsidRPr="00A14FA4">
        <w:t>innbyggere på fastlegeliste uten fastlege. Dette er tilnærmet</w:t>
      </w:r>
      <w:r>
        <w:t xml:space="preserve"> på samme nivå som</w:t>
      </w:r>
      <w:r w:rsidRPr="00A14FA4">
        <w:t xml:space="preserve"> i 2006 for begge grupper av </w:t>
      </w:r>
      <w:r>
        <w:t>liste</w:t>
      </w:r>
      <w:r w:rsidRPr="00A14FA4">
        <w:t>innbyggere.</w:t>
      </w:r>
    </w:p>
    <w:p w14:paraId="5B013E25" w14:textId="77777777" w:rsidR="00D9107F" w:rsidRDefault="00F35BC5" w:rsidP="001458A0">
      <w:pPr>
        <w:jc w:val="both"/>
      </w:pPr>
      <w:r w:rsidRPr="003B1ABE">
        <w:t xml:space="preserve">Figur </w:t>
      </w:r>
      <w:r w:rsidR="00D7123A">
        <w:t xml:space="preserve">2-10 a og </w:t>
      </w:r>
      <w:r w:rsidRPr="003B1ABE">
        <w:t>b viser utviklingen i andel konsultasjoner hos mest brukte lege etter sentralitetsklasse.</w:t>
      </w:r>
    </w:p>
    <w:p w14:paraId="6969D186" w14:textId="7D0A7479" w:rsidR="00F35BC5" w:rsidRDefault="001B5274" w:rsidP="001B5274">
      <w:pPr>
        <w:pStyle w:val="avsnitt-tittel"/>
      </w:pPr>
      <w:r w:rsidRPr="00FF5528">
        <w:lastRenderedPageBreak/>
        <w:t>Figur 2.</w:t>
      </w:r>
      <w:r>
        <w:t xml:space="preserve">10 </w:t>
      </w:r>
      <w:r w:rsidR="008B136E">
        <w:t>a</w:t>
      </w:r>
      <w:r w:rsidR="005E0B90">
        <w:t>:</w:t>
      </w:r>
      <w:r w:rsidR="00F35BC5">
        <w:t xml:space="preserve"> </w:t>
      </w:r>
      <w:r w:rsidR="00F35BC5" w:rsidRPr="00193445">
        <w:t>Utvikling i andel konsultasjoner hos mest brukte lege, med fast</w:t>
      </w:r>
      <w:r w:rsidR="00B5685E">
        <w:t>l</w:t>
      </w:r>
      <w:r w:rsidR="00F35BC5" w:rsidRPr="00193445">
        <w:t>ege</w:t>
      </w:r>
    </w:p>
    <w:p w14:paraId="1B97E2F0" w14:textId="5CA56D22" w:rsidR="00F35BC5" w:rsidRDefault="00F35BC5" w:rsidP="00F35BC5">
      <w:r>
        <w:rPr>
          <w:noProof/>
        </w:rPr>
        <w:drawing>
          <wp:inline distT="0" distB="0" distL="0" distR="0" wp14:anchorId="38EA3865" wp14:editId="6E39D0C7">
            <wp:extent cx="6116955" cy="3523966"/>
            <wp:effectExtent l="38100" t="38100" r="36195" b="387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8997" cy="3536664"/>
                    </a:xfrm>
                    <a:prstGeom prst="rect">
                      <a:avLst/>
                    </a:prstGeom>
                    <a:noFill/>
                    <a:ln w="38100">
                      <a:solidFill>
                        <a:schemeClr val="accent2"/>
                      </a:solidFill>
                    </a:ln>
                  </pic:spPr>
                </pic:pic>
              </a:graphicData>
            </a:graphic>
          </wp:inline>
        </w:drawing>
      </w:r>
    </w:p>
    <w:p w14:paraId="3EE8A89C" w14:textId="3BAF4C5F" w:rsidR="001C0206" w:rsidRPr="00D9107F" w:rsidRDefault="001C0206" w:rsidP="00E93574">
      <w:pPr>
        <w:pStyle w:val="Petit"/>
        <w:rPr>
          <w:rStyle w:val="kursiv"/>
        </w:rPr>
      </w:pPr>
      <w:r w:rsidRPr="00D9107F">
        <w:rPr>
          <w:rStyle w:val="kursiv"/>
        </w:rPr>
        <w:t>Merknad: Som andel av totale konsultasjoner per sentralitetsklasse. Kilde: FLO og KUHR</w:t>
      </w:r>
      <w:r w:rsidR="00327F3C" w:rsidRPr="00D9107F">
        <w:rPr>
          <w:rStyle w:val="kursiv"/>
        </w:rPr>
        <w:t>.</w:t>
      </w:r>
    </w:p>
    <w:p w14:paraId="10F0DC12" w14:textId="1523524D" w:rsidR="00F34C0C" w:rsidRPr="00BC3B43" w:rsidRDefault="00F34C0C" w:rsidP="00E93574">
      <w:pPr>
        <w:pStyle w:val="avsnitt-tittel"/>
      </w:pPr>
      <w:r w:rsidRPr="004F0471">
        <w:lastRenderedPageBreak/>
        <w:t xml:space="preserve">Figur </w:t>
      </w:r>
      <w:r w:rsidR="00775C94">
        <w:t>2-10</w:t>
      </w:r>
      <w:r w:rsidR="00327F3C">
        <w:t xml:space="preserve"> </w:t>
      </w:r>
      <w:r w:rsidR="008B136E">
        <w:t>b</w:t>
      </w:r>
      <w:r w:rsidR="005E0B90">
        <w:t>:</w:t>
      </w:r>
      <w:r>
        <w:t xml:space="preserve"> </w:t>
      </w:r>
      <w:r w:rsidRPr="00193445">
        <w:t>Utvikling i andel konsultasjoner hos mest brukte lege, uten fast</w:t>
      </w:r>
      <w:r>
        <w:t>l</w:t>
      </w:r>
      <w:r w:rsidRPr="00193445">
        <w:t>ege</w:t>
      </w:r>
    </w:p>
    <w:p w14:paraId="2D53771D" w14:textId="77777777" w:rsidR="00E93574" w:rsidRDefault="00A56146" w:rsidP="00E93574">
      <w:r>
        <w:rPr>
          <w:noProof/>
        </w:rPr>
        <w:drawing>
          <wp:inline distT="0" distB="0" distL="0" distR="0" wp14:anchorId="6B88A537" wp14:editId="7408F69B">
            <wp:extent cx="6117575" cy="3809505"/>
            <wp:effectExtent l="38100" t="38100" r="36195" b="387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2556" cy="3818834"/>
                    </a:xfrm>
                    <a:prstGeom prst="rect">
                      <a:avLst/>
                    </a:prstGeom>
                    <a:noFill/>
                    <a:ln w="38100">
                      <a:solidFill>
                        <a:schemeClr val="accent2"/>
                      </a:solidFill>
                    </a:ln>
                  </pic:spPr>
                </pic:pic>
              </a:graphicData>
            </a:graphic>
          </wp:inline>
        </w:drawing>
      </w:r>
    </w:p>
    <w:p w14:paraId="2CE9E230" w14:textId="6830A5BF" w:rsidR="00F35BC5" w:rsidRPr="00657F9A" w:rsidRDefault="00F35BC5" w:rsidP="00E93574">
      <w:pPr>
        <w:pStyle w:val="Petit"/>
        <w:rPr>
          <w:rStyle w:val="kursiv"/>
        </w:rPr>
      </w:pPr>
      <w:r w:rsidRPr="00657F9A">
        <w:rPr>
          <w:rStyle w:val="kursiv"/>
        </w:rPr>
        <w:t>Merknad: Som andel av totale konsultasjoner per sentralitetsklasse. Kilde: FLO og KUHR</w:t>
      </w:r>
    </w:p>
    <w:p w14:paraId="610D7624" w14:textId="77777777" w:rsidR="00D9107F" w:rsidRDefault="00F35BC5" w:rsidP="001458A0">
      <w:pPr>
        <w:jc w:val="both"/>
      </w:pPr>
      <w:r w:rsidRPr="003B1ABE">
        <w:t>Figur</w:t>
      </w:r>
      <w:r>
        <w:t xml:space="preserve">ene </w:t>
      </w:r>
      <w:r w:rsidR="00D7123A">
        <w:t xml:space="preserve">2-10 a og </w:t>
      </w:r>
      <w:r>
        <w:t>b</w:t>
      </w:r>
      <w:r w:rsidRPr="003B1ABE">
        <w:t xml:space="preserve"> viser at </w:t>
      </w:r>
      <w:r>
        <w:t>liste</w:t>
      </w:r>
      <w:r w:rsidRPr="003B1ABE">
        <w:t xml:space="preserve">innbyggere i </w:t>
      </w:r>
      <w:r>
        <w:t xml:space="preserve">de </w:t>
      </w:r>
      <w:r w:rsidRPr="003B1ABE">
        <w:t xml:space="preserve">mest sentrale områdene har den høyeste andelen konsultasjoner hos mest brukte lege, og </w:t>
      </w:r>
      <w:r>
        <w:t>liste</w:t>
      </w:r>
      <w:r w:rsidRPr="003B1ABE">
        <w:t>innbyggere i de minst sentrale områdene den laveste andelen</w:t>
      </w:r>
      <w:r>
        <w:t xml:space="preserve">. Det er tilsvarende trend både for listeinnbyggere på liste med og uten fastlege. </w:t>
      </w:r>
      <w:r w:rsidRPr="003B1ABE">
        <w:t xml:space="preserve">For samtlige klasser viser figur </w:t>
      </w:r>
      <w:r w:rsidR="00D7123A">
        <w:t xml:space="preserve">2-10 </w:t>
      </w:r>
      <w:r w:rsidRPr="003B1ABE">
        <w:t xml:space="preserve">b en marginal økning </w:t>
      </w:r>
      <w:r>
        <w:t xml:space="preserve">av </w:t>
      </w:r>
      <w:r w:rsidRPr="003B1ABE">
        <w:t>andelen konsultasjoner hos mest brukte lege de siste tre årene.</w:t>
      </w:r>
    </w:p>
    <w:p w14:paraId="74C67145" w14:textId="674F1CB7" w:rsidR="00F35BC5" w:rsidRDefault="00B5685E" w:rsidP="001458A0">
      <w:pPr>
        <w:jc w:val="both"/>
      </w:pPr>
      <w:r>
        <w:t>Når FHI</w:t>
      </w:r>
      <w:r w:rsidR="00F35BC5">
        <w:t xml:space="preserve"> ser på hvor mange ulike leger den enkelte listeinnbygger møter</w:t>
      </w:r>
      <w:r w:rsidR="00F67179">
        <w:t>,</w:t>
      </w:r>
      <w:r w:rsidR="00F35BC5">
        <w:t xml:space="preserve"> er bildet forholdsvis likt. </w:t>
      </w:r>
      <w:r w:rsidR="00F35BC5" w:rsidRPr="00427814">
        <w:t xml:space="preserve">Resultatene indikerer at begge grupper av </w:t>
      </w:r>
      <w:r w:rsidR="00F35BC5">
        <w:t>liste</w:t>
      </w:r>
      <w:r w:rsidR="00F35BC5" w:rsidRPr="00427814">
        <w:t xml:space="preserve">innbyggere møter like mange ulike leger i dag som i 2006, men også at </w:t>
      </w:r>
      <w:r w:rsidR="00F35BC5">
        <w:t>liste</w:t>
      </w:r>
      <w:r w:rsidR="00F35BC5" w:rsidRPr="00427814">
        <w:t xml:space="preserve">innbyggere på fastlegelister uten fastlege møter flere ulike leger ved sine konsultasjoner enn </w:t>
      </w:r>
      <w:r w:rsidR="00F35BC5">
        <w:t>liste</w:t>
      </w:r>
      <w:r w:rsidR="00F35BC5" w:rsidRPr="00427814">
        <w:t>innbyggere på lister med fast</w:t>
      </w:r>
      <w:r w:rsidR="00F35BC5">
        <w:t xml:space="preserve">lege. Resultatene </w:t>
      </w:r>
      <w:r w:rsidR="00F35BC5" w:rsidRPr="00BB2923">
        <w:t>indikerer</w:t>
      </w:r>
      <w:r w:rsidR="00F35BC5">
        <w:t xml:space="preserve"> også</w:t>
      </w:r>
      <w:r w:rsidR="00F35BC5" w:rsidRPr="00BB2923">
        <w:t xml:space="preserve"> at </w:t>
      </w:r>
      <w:r w:rsidR="00F35BC5">
        <w:t>liste</w:t>
      </w:r>
      <w:r w:rsidR="00F35BC5" w:rsidRPr="00BB2923">
        <w:t>innbyggere som bor i mindre sentrale kommuner har sine konsultasjoner spredd på flere ulike leger</w:t>
      </w:r>
      <w:r w:rsidR="00F35BC5">
        <w:t>,</w:t>
      </w:r>
      <w:r w:rsidR="00F35BC5" w:rsidRPr="00BB2923">
        <w:t xml:space="preserve"> enn personer som bor i mer sentrale kommuner.</w:t>
      </w:r>
    </w:p>
    <w:p w14:paraId="53FEF1AE" w14:textId="77777777" w:rsidR="00D9107F" w:rsidRDefault="00786E9B" w:rsidP="001458A0">
      <w:pPr>
        <w:jc w:val="both"/>
      </w:pPr>
      <w:r>
        <w:t>Forskerne o</w:t>
      </w:r>
      <w:r w:rsidR="00F35BC5" w:rsidRPr="2956C11D">
        <w:t>ppsummer</w:t>
      </w:r>
      <w:r w:rsidR="003845E1">
        <w:t>er at</w:t>
      </w:r>
      <w:r w:rsidR="00F35BC5" w:rsidRPr="2956C11D">
        <w:t xml:space="preserve"> </w:t>
      </w:r>
      <w:r w:rsidR="00F35BC5">
        <w:t xml:space="preserve">flere av resultatene </w:t>
      </w:r>
      <w:r w:rsidR="003845E1">
        <w:t xml:space="preserve">viser </w:t>
      </w:r>
      <w:r w:rsidR="00F35BC5" w:rsidRPr="2956C11D">
        <w:t>liten endring over tid</w:t>
      </w:r>
      <w:r w:rsidR="00F35BC5">
        <w:t xml:space="preserve">, som antall konsultasjoner per listeinnbygger (figur </w:t>
      </w:r>
      <w:r w:rsidR="007F5E67">
        <w:t>2-3</w:t>
      </w:r>
      <w:r w:rsidR="00F35BC5">
        <w:t xml:space="preserve">), andel konsultasjoner hos egen fastlege (figur </w:t>
      </w:r>
      <w:r w:rsidR="0071770D">
        <w:t>2-8</w:t>
      </w:r>
      <w:r w:rsidR="00F35BC5">
        <w:t xml:space="preserve">), og andel konsultasjoner hos mest brukte lege (figur </w:t>
      </w:r>
      <w:r w:rsidR="0071770D">
        <w:t>2-9</w:t>
      </w:r>
      <w:r w:rsidR="00F35BC5">
        <w:t>)</w:t>
      </w:r>
      <w:r w:rsidR="00F35BC5" w:rsidRPr="2956C11D">
        <w:t xml:space="preserve">. Gjennomgående for resultatene er at </w:t>
      </w:r>
      <w:r w:rsidR="00F35BC5">
        <w:t>liste</w:t>
      </w:r>
      <w:r w:rsidR="00F35BC5" w:rsidRPr="2956C11D">
        <w:t xml:space="preserve">innbyggere på fastlegeliste med fastlege har flere konsultasjoner enn </w:t>
      </w:r>
      <w:r w:rsidR="00F35BC5">
        <w:t>liste</w:t>
      </w:r>
      <w:r w:rsidR="00F35BC5" w:rsidRPr="2956C11D">
        <w:t xml:space="preserve">innbyggere på </w:t>
      </w:r>
      <w:r w:rsidR="00F35BC5" w:rsidRPr="2956C11D">
        <w:lastRenderedPageBreak/>
        <w:t>fastlegelister uten fastlege.</w:t>
      </w:r>
      <w:r w:rsidR="00F35BC5">
        <w:t xml:space="preserve"> Forskjellen er i stor grad relatert til e-konsultasjoner, siden tilgang til e-konsultasjon er knyttet til egen fastlege.</w:t>
      </w:r>
    </w:p>
    <w:p w14:paraId="6719BB05" w14:textId="5C7A1EDD" w:rsidR="00F35BC5" w:rsidRPr="00B44807" w:rsidRDefault="00F35BC5" w:rsidP="001458A0">
      <w:pPr>
        <w:jc w:val="both"/>
        <w:rPr>
          <w:color w:val="000000"/>
        </w:rPr>
      </w:pPr>
      <w:r w:rsidRPr="2956C11D">
        <w:t>For de t</w:t>
      </w:r>
      <w:r w:rsidR="00D62C26">
        <w:t>o</w:t>
      </w:r>
      <w:r w:rsidRPr="2956C11D">
        <w:t xml:space="preserve"> kontinuitetsindikatorene, skille</w:t>
      </w:r>
      <w:r>
        <w:t>r</w:t>
      </w:r>
      <w:r w:rsidRPr="2956C11D">
        <w:t xml:space="preserve"> </w:t>
      </w:r>
      <w:r>
        <w:t xml:space="preserve">analysen mellom listeinnbyggere på liste med og uten fastlege. </w:t>
      </w:r>
      <w:r w:rsidRPr="00DF0BDF">
        <w:t>Listeinnbyggere på fastlegeliste med fastlege har høy og stabil andel konsultasjoner hos egen fastlege, hos mest brukte lege, og møter i tillegg få ulike leger i løpet av et år. Det er små endringer i dette bildet over tid.</w:t>
      </w:r>
    </w:p>
    <w:p w14:paraId="61289757" w14:textId="06CE1578" w:rsidR="00F35BC5" w:rsidRDefault="00F35BC5" w:rsidP="00ED7375">
      <w:pPr>
        <w:jc w:val="both"/>
      </w:pPr>
      <w:r w:rsidRPr="00533FA8">
        <w:rPr>
          <w:color w:val="000000" w:themeColor="text1"/>
        </w:rPr>
        <w:t xml:space="preserve">Listeinnbyggere på fastlegeliste uten fastlege har høy og stabil andel konsultasjoner hos </w:t>
      </w:r>
      <w:r w:rsidR="00D9107F">
        <w:rPr>
          <w:color w:val="000000" w:themeColor="text1"/>
        </w:rPr>
        <w:t>«</w:t>
      </w:r>
      <w:r w:rsidRPr="00533FA8">
        <w:rPr>
          <w:color w:val="000000" w:themeColor="text1"/>
        </w:rPr>
        <w:t>annen lege</w:t>
      </w:r>
      <w:r w:rsidR="00D9107F">
        <w:rPr>
          <w:color w:val="000000" w:themeColor="text1"/>
        </w:rPr>
        <w:t>»</w:t>
      </w:r>
      <w:r w:rsidRPr="00533FA8">
        <w:rPr>
          <w:color w:val="000000" w:themeColor="text1"/>
        </w:rPr>
        <w:t>, og noe lavere, men fremdeles relativ høy og stabil</w:t>
      </w:r>
      <w:r w:rsidR="00F67179">
        <w:rPr>
          <w:color w:val="000000" w:themeColor="text1"/>
        </w:rPr>
        <w:t>,</w:t>
      </w:r>
      <w:r w:rsidRPr="00533FA8">
        <w:rPr>
          <w:color w:val="000000" w:themeColor="text1"/>
        </w:rPr>
        <w:t xml:space="preserve"> andel konsultasjoner hos mest brukte lege. Det har i tillegg vært en økning i denne andelen de siste årene. Til slutt viser resultatene at disse</w:t>
      </w:r>
      <w:r w:rsidRPr="00533FA8">
        <w:rPr>
          <w:color w:val="000000" w:themeColor="text1"/>
          <w:sz w:val="18"/>
          <w:szCs w:val="18"/>
        </w:rPr>
        <w:t xml:space="preserve"> </w:t>
      </w:r>
      <w:r w:rsidRPr="00533FA8">
        <w:rPr>
          <w:color w:val="000000" w:themeColor="text1"/>
        </w:rPr>
        <w:t>listeinnbyggerne også møter få, men noe flere ulike leger enn listeinnbyggerne med fastlege. Dette har ikke endret seg over tid.</w:t>
      </w:r>
    </w:p>
    <w:p w14:paraId="4C110000" w14:textId="77777777" w:rsidR="00D9107F" w:rsidRDefault="00F35BC5" w:rsidP="00ED7375">
      <w:pPr>
        <w:jc w:val="both"/>
      </w:pPr>
      <w:r>
        <w:t>FHIs a</w:t>
      </w:r>
      <w:r w:rsidRPr="006842A8">
        <w:t>nalyse</w:t>
      </w:r>
      <w:r w:rsidR="00F67179">
        <w:t>r</w:t>
      </w:r>
      <w:r w:rsidRPr="006842A8">
        <w:t xml:space="preserve"> viser stor geografisk variasjon. </w:t>
      </w:r>
      <w:r>
        <w:t>V</w:t>
      </w:r>
      <w:r w:rsidRPr="006842A8">
        <w:t xml:space="preserve">ariasjonen </w:t>
      </w:r>
      <w:r>
        <w:t>sees</w:t>
      </w:r>
      <w:r w:rsidRPr="006842A8">
        <w:t xml:space="preserve"> både i andelen listeinnbyggere på fastlegelister uten fastlege, i antall konsultasjoner, og i analyser av kontinuitetsindikatorene. Noen av analysene viser at personer som bor i mindre sentrale områder oftere er på fastlegelister uten tilknyttet fastlege</w:t>
      </w:r>
      <w:r>
        <w:t>. D</w:t>
      </w:r>
      <w:r w:rsidRPr="006842A8">
        <w:t>isse personene besøker samme leg</w:t>
      </w:r>
      <w:r>
        <w:t>e over tid</w:t>
      </w:r>
      <w:r w:rsidRPr="006842A8">
        <w:t xml:space="preserve"> i mindre grad enn andre</w:t>
      </w:r>
      <w:r w:rsidR="00F23E4B">
        <w:t xml:space="preserve"> </w:t>
      </w:r>
      <w:r w:rsidR="00904B00">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rsidR="00904B00">
        <w:fldChar w:fldCharType="separate"/>
      </w:r>
      <w:r w:rsidR="00904B00">
        <w:rPr>
          <w:noProof/>
        </w:rPr>
        <w:t>(Deliac et al., 2023)</w:t>
      </w:r>
      <w:r w:rsidR="00904B00">
        <w:fldChar w:fldCharType="end"/>
      </w:r>
      <w:r>
        <w:t>.</w:t>
      </w:r>
    </w:p>
    <w:p w14:paraId="42562751" w14:textId="10605B5F" w:rsidR="00D1760D" w:rsidRDefault="00D1760D" w:rsidP="00377624">
      <w:pPr>
        <w:pStyle w:val="tittel-ramme"/>
        <w:jc w:val="left"/>
        <w:rPr>
          <w:rStyle w:val="kursiv"/>
        </w:rPr>
      </w:pPr>
      <w:bookmarkStart w:id="349" w:name="_Toc127864158"/>
      <w:r w:rsidRPr="00D9107F">
        <w:rPr>
          <w:rStyle w:val="kursiv"/>
        </w:rPr>
        <w:t>Helsetjenestebruk etter brudd i kontinuitet i listeinnbygger–fastlegerelasjonen</w:t>
      </w:r>
    </w:p>
    <w:tbl>
      <w:tblPr>
        <w:tblStyle w:val="StandardBoks"/>
        <w:tblW w:w="0" w:type="auto"/>
        <w:tblLook w:val="04A0" w:firstRow="1" w:lastRow="0" w:firstColumn="1" w:lastColumn="0" w:noHBand="0" w:noVBand="1"/>
      </w:tblPr>
      <w:tblGrid>
        <w:gridCol w:w="9736"/>
      </w:tblGrid>
      <w:tr w:rsidR="00104231" w:rsidRPr="00104231" w14:paraId="28FE4F30" w14:textId="77777777" w:rsidTr="00104231">
        <w:tc>
          <w:tcPr>
            <w:tcW w:w="9736" w:type="dxa"/>
          </w:tcPr>
          <w:p w14:paraId="7743DBC9" w14:textId="77777777" w:rsidR="00104231" w:rsidRPr="00104231" w:rsidRDefault="00104231" w:rsidP="00104231">
            <w:r w:rsidRPr="00104231">
              <w:t xml:space="preserve">FHI har utført analyser som beskriver hvordan helsetjenestebruken til listeinnbyggerne blir påvirket av et brudd på kontinuitet i listeinnbygger–fastlegerelasjonen </w:t>
            </w:r>
            <w:r w:rsidRPr="00104231">
              <w:fldChar w:fldCharType="begin"/>
            </w:r>
            <w:r w:rsidRPr="00104231">
              <w:instrText xml:space="preserve"> ADDIN EN.CITE &lt;EndNote&gt;&lt;Cite&gt;&lt;Author&gt;Grøsland&lt;/Author&gt;&lt;Year&gt;2023&lt;/Year&gt;&lt;RecNum&gt;900&lt;/RecNum&gt;&lt;DisplayText&gt;(Grøsland et al., 2023)&lt;/DisplayText&gt;&lt;record&gt;&lt;rec-number&gt;900&lt;/rec-number&gt;&lt;foreign-keys&gt;&lt;key app="EN" db-id="95tpr2tp6r9xwoea9rb5wdsz5ds5xeddteew" timestamp="1680121600"&gt;900&lt;/key&gt;&lt;/foreign-keys&gt;&lt;ref-type name="Report"&gt;27&lt;/ref-type&gt;&lt;contributors&gt;&lt;authors&gt;&lt;author&gt;Grøsland, M.&lt;/author&gt;&lt;author&gt;Deliac, L.&lt;/author&gt;&lt;author&gt;Gjefsen, H.M.&lt;/author&gt;&lt;/authors&gt;&lt;tertiary-authors&gt;&lt;author&gt;Folkehelseinstituttet&lt;/author&gt;&lt;/tertiary-authors&gt;&lt;/contributors&gt;&lt;titles&gt;&lt;title&gt;Del2 Event-analyse&lt;/title&gt;&lt;/titles&gt;&lt;dates&gt;&lt;year&gt;2023&lt;/year&gt;&lt;/dates&gt;&lt;pub-location&gt;Oslo&lt;/pub-location&gt;&lt;urls&gt;&lt;/urls&gt;&lt;/record&gt;&lt;/Cite&gt;&lt;/EndNote&gt;</w:instrText>
            </w:r>
            <w:r w:rsidRPr="00104231">
              <w:fldChar w:fldCharType="separate"/>
            </w:r>
            <w:r w:rsidRPr="00104231">
              <w:t>(Grøsland et al., 2023)</w:t>
            </w:r>
            <w:r w:rsidRPr="00104231">
              <w:fldChar w:fldCharType="end"/>
            </w:r>
            <w:r w:rsidRPr="00104231">
              <w:t xml:space="preserve">. Brudd i kontinuitet kan være en følge av at fastlegen for eksempel blir syk eller har permisjon. Tidligere studier som viser sammenheng mellom kontinuitet og helsetjenestebruk, finner at lav kontinuitet er assosiert med økt sannsynlighet for sykehusinnleggelser, bruk av legevakt og død </w:t>
            </w:r>
            <w:r w:rsidRPr="00104231">
              <w:fldChar w:fldCharType="begin">
                <w:fldData xml:space="preserve">PEVuZE5vdGU+PENpdGU+PEF1dGhvcj5IYW5zZW48L0F1dGhvcj48WWVhcj4yMDEzPC9ZZWFyPjxS
ZWNOdW0+MTEzPC9SZWNOdW0+PERpc3BsYXlUZXh0PihIYW5zZW4gZXQgYWwuLCAyMDEzKTwvRGlz
cGxheVRleHQ+PHJlY29yZD48cmVjLW51bWJlcj4xMTM8L3JlYy1udW1iZXI+PGZvcmVpZ24ta2V5
cz48a2V5IGFwcD0iRU4iIGRiLWlkPSI5NXRwcjJ0cDZyOXh3b2VhOXJiNXdkc3o1ZHM1eGVkZHRl
ZXciIHRpbWVzdGFtcD0iMTY4MDA2OTUxMSI+MTEzPC9rZXk+PC9mb3JlaWduLWtleXM+PHJlZi10
eXBlIG5hbWU9IkpvdXJuYWwgQXJ0aWNsZSI+MTc8L3JlZi10eXBlPjxjb250cmlidXRvcnM+PGF1
dGhvcnM+PGF1dGhvcj5IYW5zZW4sIEEuIEguPC9hdXRob3I+PGF1dGhvcj5IYWx2b3JzZW4sIFAu
IEEuPC9hdXRob3I+PGF1dGhvcj5BYXJhYXMsIEkuIEouPC9hdXRob3I+PGF1dGhvcj5Gb3JkZSwg
Ty4gSC48L2F1dGhvcj48L2F1dGhvcnM+PC9jb250cmlidXRvcnM+PGF1dGgtYWRkcmVzcz5IYW5z
ZW4sIEFubmUgSGVsZW4uIE5hdGlvbmFsIENlbnRyZSBmb3IgSW50ZWdyYXRlZCBDYXJlIGFuZCBU
ZWxlbWVkaWNpbmUsIFVuaXZlcnNpdHkgSG9zcGl0YWwgb2YgTm9ydGhlcm4gTm9yd2F5LCBUcm9t
c28sIE5vcndheS4gYW5uZS5oZWxlbi5oYW56ZW5AZ21haWwuY29tPC9hdXRoLWFkZHJlc3M+PHRp
dGxlcz48dGl0bGU+Q29udGludWl0eSBvZiBHUCBjYXJlIGlzIHJlbGF0ZWQgdG8gcmVkdWNlZCBz
cGVjaWFsaXN0IGhlYWx0aGNhcmUgdXNlOiBhIGNyb3NzLXNlY3Rpb25hbCBzdXJ2ZXk8L3RpdGxl
PjxzZWNvbmRhcnktdGl0bGU+QnJpdGlzaCBKb3VybmFsIG9mIEdlbmVyYWwgUHJhY3RpY2U8L3Nl
Y29uZGFyeS10aXRsZT48YWx0LXRpdGxlPkJyIEogR2VuIFByYWN0PC9hbHQtdGl0bGU+PC90aXRs
ZXM+PGFsdC1wZXJpb2RpY2FsPjxmdWxsLXRpdGxlPkJyIEogR2VuIFByYWN0PC9mdWxsLXRpdGxl
PjwvYWx0LXBlcmlvZGljYWw+PHBhZ2VzPjQ4Mi05PC9wYWdlcz48dm9sdW1lPjYzPC92b2x1bWU+
PG51bWJlcj42MTI8L251bWJlcj48a2V5d29yZHM+PGtleXdvcmQ+Q29udGludWl0eSBvZiBQYXRp
ZW50IENhcmUvc3QgW1N0YW5kYXJkc108L2tleXdvcmQ+PGtleXdvcmQ+Q29udGludWl0eSBvZiBQ
YXRpZW50IENhcmUvc24gW1N0YXRpc3RpY3MgJmFtcDsgTnVtZXJpY2FsIERhdGFdPC9rZXl3b3Jk
PjxrZXl3b3JkPipDb250aW51aXR5IG9mIFBhdGllbnQgQ2FyZTwva2V5d29yZD48a2V5d29yZD5D
cm9zcy1TZWN0aW9uYWwgU3R1ZGllczwva2V5d29yZD48a2V5d29yZD5GZW1hbGU8L2tleXdvcmQ+
PGtleXdvcmQ+KkdlbmVyYWwgUHJhY3RpY2U8L2tleXdvcmQ+PGtleXdvcmQ+SGVhbHRoIFNlcnZp
Y2VzIEFjY2Vzc2liaWxpdHk8L2tleXdvcmQ+PGtleXdvcmQ+Kkhvc3BpdGFsaXphdGlvbi9zbiBb
U3RhdGlzdGljcyAmYW1wOyBOdW1lcmljYWwgRGF0YV08L2tleXdvcmQ+PGtleXdvcmQ+SHVtYW5z
PC9rZXl3b3JkPjxrZXl3b3JkPk1hbGU8L2tleXdvcmQ+PGtleXdvcmQ+UGF0aWVudCBBY2NlcHRh
bmNlIG9mIEhlYWx0aCBDYXJlPC9rZXl3b3JkPjxrZXl3b3JkPipQaHlzaWNpYW4tUGF0aWVudCBS
ZWxhdGlvbnM8L2tleXdvcmQ+PGtleXdvcmQ+U29jaW9lY29ub21pYyBGYWN0b3JzPC9rZXl3b3Jk
PjxrZXl3b3JkPlN1cnZleXMgYW5kIFF1ZXN0aW9ubmFpcmVzPC9rZXl3b3JkPjxrZXl3b3JkPlVu
aXRlZCBLaW5nZG9tL2VwIFtFcGlkZW1pb2xvZ3ldPC9rZXl3b3JkPjwva2V5d29yZHM+PGRhdGVz
Pjx5ZWFyPjIwMTM8L3llYXI+PHB1Yi1kYXRlcz48ZGF0ZT5KdWw8L2RhdGU+PC9wdWItZGF0ZXM+
PC9kYXRlcz48aXNibj4xNDc4LTUyNDI8L2lzYm4+PGFjY2Vzc2lvbi1udW0+MjM4MzQ4ODU8L2Fj
Y2Vzc2lvbi1udW0+PHdvcmstdHlwZT5SZXNlYXJjaCBTdXBwb3J0LCBOb24tVS5TLiBHb3YmYXBv
czt0PC93b3JrLXR5cGU+PHVybHM+PHJlbGF0ZWQtdXJscz48dXJsPmh0dHBzOi8vb3ZpZHNwLm92
aWQuY29tL292aWR3ZWIuY2dpP1Q9SlMmYW1wO0NTQz1ZJmFtcDtORVdTPU4mYW1wO1BBR0U9ZnVs
bHRleHQmYW1wO0Q9bWVkMTAmYW1wO0FOPTIzODM0ODg1PC91cmw+PHVybD5odHRwOi8vb3BlbnVy
bC5iaWJzeXMubm8vb3BlbnVybD9vdG9vbD1pbm9pcGhsaWI/c2lkPU9WSUQ6bWVkbGluZSZhbXA7
aWQ9cG1pZDoyMzgzNDg4NSZhbXA7aWQ9ZG9pOjEwLjMzOTklMkZiamdwMTNYNjY5MjAyJmFtcDtp
c3NuPTA5NjAtMTY0MyZhbXA7aXNibj0mYW1wO3ZvbHVtZT02MyZhbXA7aXNzdWU9NjEyJmFtcDtz
cGFnZT00ODImYW1wO3BhZ2VzPTQ4Mi05JmFtcDtkYXRlPTIwMTMmYW1wO3RpdGxlPUJyaXRpc2gr
Sm91cm5hbCtvZitHZW5lcmFsK1ByYWN0aWNlJmFtcDthdGl0bGU9Q29udGludWl0eStvZitHUCtj
YXJlK2lzK3JlbGF0ZWQrdG8rcmVkdWNlZCtzcGVjaWFsaXN0K2hlYWx0aGNhcmUrdXNlJTNBK2Er
Y3Jvc3Mtc2VjdGlvbmFsK3N1cnZleS4mYW1wO2F1bGFzdD1IYW5zZW4mYW1wO3BpZD0lM0NhdXRo
b3IlM0VIYW5zZW4rQUglM0MlMkZhdXRob3IlM0UlM0NBTiUzRTIzODM0ODg1JTNDJTJGQU4lM0Ul
M0NEVCUzRUpvdXJuYWwrQXJ0aWNsZSUzQyUyRkRUJTNFPC91cmw+PC9yZWxhdGVkLXVybHM+PC91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Pr="00104231">
              <w:instrText xml:space="preserve"> ADDIN EN.CITE </w:instrText>
            </w:r>
            <w:r w:rsidRPr="00104231">
              <w:fldChar w:fldCharType="begin">
                <w:fldData xml:space="preserve">PEVuZE5vdGU+PENpdGU+PEF1dGhvcj5IYW5zZW48L0F1dGhvcj48WWVhcj4yMDEzPC9ZZWFyPjxS
ZWNOdW0+MTEzPC9SZWNOdW0+PERpc3BsYXlUZXh0PihIYW5zZW4gZXQgYWwuLCAyMDEzKTwvRGlz
cGxheVRleHQ+PHJlY29yZD48cmVjLW51bWJlcj4xMTM8L3JlYy1udW1iZXI+PGZvcmVpZ24ta2V5
cz48a2V5IGFwcD0iRU4iIGRiLWlkPSI5NXRwcjJ0cDZyOXh3b2VhOXJiNXdkc3o1ZHM1eGVkZHRl
ZXciIHRpbWVzdGFtcD0iMTY4MDA2OTUxMSI+MTEzPC9rZXk+PC9mb3JlaWduLWtleXM+PHJlZi10
eXBlIG5hbWU9IkpvdXJuYWwgQXJ0aWNsZSI+MTc8L3JlZi10eXBlPjxjb250cmlidXRvcnM+PGF1
dGhvcnM+PGF1dGhvcj5IYW5zZW4sIEEuIEguPC9hdXRob3I+PGF1dGhvcj5IYWx2b3JzZW4sIFAu
IEEuPC9hdXRob3I+PGF1dGhvcj5BYXJhYXMsIEkuIEouPC9hdXRob3I+PGF1dGhvcj5Gb3JkZSwg
Ty4gSC48L2F1dGhvcj48L2F1dGhvcnM+PC9jb250cmlidXRvcnM+PGF1dGgtYWRkcmVzcz5IYW5z
ZW4sIEFubmUgSGVsZW4uIE5hdGlvbmFsIENlbnRyZSBmb3IgSW50ZWdyYXRlZCBDYXJlIGFuZCBU
ZWxlbWVkaWNpbmUsIFVuaXZlcnNpdHkgSG9zcGl0YWwgb2YgTm9ydGhlcm4gTm9yd2F5LCBUcm9t
c28sIE5vcndheS4gYW5uZS5oZWxlbi5oYW56ZW5AZ21haWwuY29tPC9hdXRoLWFkZHJlc3M+PHRp
dGxlcz48dGl0bGU+Q29udGludWl0eSBvZiBHUCBjYXJlIGlzIHJlbGF0ZWQgdG8gcmVkdWNlZCBz
cGVjaWFsaXN0IGhlYWx0aGNhcmUgdXNlOiBhIGNyb3NzLXNlY3Rpb25hbCBzdXJ2ZXk8L3RpdGxl
PjxzZWNvbmRhcnktdGl0bGU+QnJpdGlzaCBKb3VybmFsIG9mIEdlbmVyYWwgUHJhY3RpY2U8L3Nl
Y29uZGFyeS10aXRsZT48YWx0LXRpdGxlPkJyIEogR2VuIFByYWN0PC9hbHQtdGl0bGU+PC90aXRs
ZXM+PGFsdC1wZXJpb2RpY2FsPjxmdWxsLXRpdGxlPkJyIEogR2VuIFByYWN0PC9mdWxsLXRpdGxl
PjwvYWx0LXBlcmlvZGljYWw+PHBhZ2VzPjQ4Mi05PC9wYWdlcz48dm9sdW1lPjYzPC92b2x1bWU+
PG51bWJlcj42MTI8L251bWJlcj48a2V5d29yZHM+PGtleXdvcmQ+Q29udGludWl0eSBvZiBQYXRp
ZW50IENhcmUvc3QgW1N0YW5kYXJkc108L2tleXdvcmQ+PGtleXdvcmQ+Q29udGludWl0eSBvZiBQ
YXRpZW50IENhcmUvc24gW1N0YXRpc3RpY3MgJmFtcDsgTnVtZXJpY2FsIERhdGFdPC9rZXl3b3Jk
PjxrZXl3b3JkPipDb250aW51aXR5IG9mIFBhdGllbnQgQ2FyZTwva2V5d29yZD48a2V5d29yZD5D
cm9zcy1TZWN0aW9uYWwgU3R1ZGllczwva2V5d29yZD48a2V5d29yZD5GZW1hbGU8L2tleXdvcmQ+
PGtleXdvcmQ+KkdlbmVyYWwgUHJhY3RpY2U8L2tleXdvcmQ+PGtleXdvcmQ+SGVhbHRoIFNlcnZp
Y2VzIEFjY2Vzc2liaWxpdHk8L2tleXdvcmQ+PGtleXdvcmQ+Kkhvc3BpdGFsaXphdGlvbi9zbiBb
U3RhdGlzdGljcyAmYW1wOyBOdW1lcmljYWwgRGF0YV08L2tleXdvcmQ+PGtleXdvcmQ+SHVtYW5z
PC9rZXl3b3JkPjxrZXl3b3JkPk1hbGU8L2tleXdvcmQ+PGtleXdvcmQ+UGF0aWVudCBBY2NlcHRh
bmNlIG9mIEhlYWx0aCBDYXJlPC9rZXl3b3JkPjxrZXl3b3JkPipQaHlzaWNpYW4tUGF0aWVudCBS
ZWxhdGlvbnM8L2tleXdvcmQ+PGtleXdvcmQ+U29jaW9lY29ub21pYyBGYWN0b3JzPC9rZXl3b3Jk
PjxrZXl3b3JkPlN1cnZleXMgYW5kIFF1ZXN0aW9ubmFpcmVzPC9rZXl3b3JkPjxrZXl3b3JkPlVu
aXRlZCBLaW5nZG9tL2VwIFtFcGlkZW1pb2xvZ3ldPC9rZXl3b3JkPjwva2V5d29yZHM+PGRhdGVz
Pjx5ZWFyPjIwMTM8L3llYXI+PHB1Yi1kYXRlcz48ZGF0ZT5KdWw8L2RhdGU+PC9wdWItZGF0ZXM+
PC9kYXRlcz48aXNibj4xNDc4LTUyNDI8L2lzYm4+PGFjY2Vzc2lvbi1udW0+MjM4MzQ4ODU8L2Fj
Y2Vzc2lvbi1udW0+PHdvcmstdHlwZT5SZXNlYXJjaCBTdXBwb3J0LCBOb24tVS5TLiBHb3YmYXBv
czt0PC93b3JrLXR5cGU+PHVybHM+PHJlbGF0ZWQtdXJscz48dXJsPmh0dHBzOi8vb3ZpZHNwLm92
aWQuY29tL292aWR3ZWIuY2dpP1Q9SlMmYW1wO0NTQz1ZJmFtcDtORVdTPU4mYW1wO1BBR0U9ZnVs
bHRleHQmYW1wO0Q9bWVkMTAmYW1wO0FOPTIzODM0ODg1PC91cmw+PHVybD5odHRwOi8vb3BlbnVy
bC5iaWJzeXMubm8vb3BlbnVybD9vdG9vbD1pbm9pcGhsaWI/c2lkPU9WSUQ6bWVkbGluZSZhbXA7
aWQ9cG1pZDoyMzgzNDg4NSZhbXA7aWQ9ZG9pOjEwLjMzOTklMkZiamdwMTNYNjY5MjAyJmFtcDtp
c3NuPTA5NjAtMTY0MyZhbXA7aXNibj0mYW1wO3ZvbHVtZT02MyZhbXA7aXNzdWU9NjEyJmFtcDtz
cGFnZT00ODImYW1wO3BhZ2VzPTQ4Mi05JmFtcDtkYXRlPTIwMTMmYW1wO3RpdGxlPUJyaXRpc2gr
Sm91cm5hbCtvZitHZW5lcmFsK1ByYWN0aWNlJmFtcDthdGl0bGU9Q29udGludWl0eStvZitHUCtj
YXJlK2lzK3JlbGF0ZWQrdG8rcmVkdWNlZCtzcGVjaWFsaXN0K2hlYWx0aGNhcmUrdXNlJTNBK2Er
Y3Jvc3Mtc2VjdGlvbmFsK3N1cnZleS4mYW1wO2F1bGFzdD1IYW5zZW4mYW1wO3BpZD0lM0NhdXRo
b3IlM0VIYW5zZW4rQUglM0MlMkZhdXRob3IlM0UlM0NBTiUzRTIzODM0ODg1JTNDJTJGQU4lM0Ul
M0NEVCUzRUpvdXJuYWwrQXJ0aWNsZSUzQyUyRkRUJTNFPC91cmw+PC9yZWxhdGVkLXVybHM+PC91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Pr="00104231">
              <w:instrText xml:space="preserve"> ADDIN EN.CITE.DATA </w:instrText>
            </w:r>
            <w:r w:rsidRPr="00104231">
              <w:fldChar w:fldCharType="end"/>
            </w:r>
            <w:r w:rsidRPr="00104231">
              <w:fldChar w:fldCharType="separate"/>
            </w:r>
            <w:r w:rsidRPr="00104231">
              <w:t>(Hansen et al., 2013)</w:t>
            </w:r>
            <w:r w:rsidRPr="00104231">
              <w:fldChar w:fldCharType="end"/>
            </w:r>
            <w:r w:rsidRPr="00104231">
              <w:t xml:space="preserve"> </w:t>
            </w:r>
            <w:r w:rsidRPr="00104231">
              <w:fldChar w:fldCharType="begin">
                <w:fldData xml:space="preserve">PEVuZE5vdGU+PENpdGU+PEF1dGhvcj5CYXJrZXI8L0F1dGhvcj48WWVhcj4yMDE3PC9ZZWFyPjxS
ZWNOdW0+NTM8L1JlY051bT48RGlzcGxheVRleHQ+KEJhcmtlciBldCBhbC4sIDIwMTcpPC9EaXNw
bGF5VGV4dD48cmVjb3JkPjxyZWMtbnVtYmVyPjUzPC9yZWMtbnVtYmVyPjxmb3JlaWduLWtleXM+
PGtleSBhcHA9IkVOIiBkYi1pZD0iOTV0cHIydHA2cjl4d29lYTlyYjV3ZHN6NWRzNXhlZGR0ZWV3
IiB0aW1lc3RhbXA9IjE2ODAwNjk1MTEiPjUzPC9rZXk+PC9mb3JlaWduLWtleXM+PHJlZi10eXBl
IG5hbWU9IkpvdXJuYWwgQXJ0aWNsZSI+MTc8L3JlZi10eXBlPjxjb250cmlidXRvcnM+PGF1dGhv
cnM+PGF1dGhvcj5CYXJrZXIsIEkuPC9hdXRob3I+PGF1dGhvcj5TdGV2ZW50b24sIEEuPC9hdXRo
b3I+PGF1dGhvcj5EZWVueSwgUy4gUi48L2F1dGhvcj48L2F1dGhvcnM+PC9jb250cmlidXRvcnM+
PGF1dGgtYWRkcmVzcz5CYXJrZXIsIElzYWFjLiBEYXRhIEFuYWx5dGljcywgVGhlIEhlYWx0aCBG
b3VuZGF0aW9uLCBMb25kb24gV0MyRSA5UkEsIFVLIGlzYWFjLmJhcmtlckBoZWFsdGgub3JnLnVr
LiYjeEQ7U3RldmVudG9uLCBBZGFtLiBEYXRhIEFuYWx5dGljcywgVGhlIEhlYWx0aCBGb3VuZGF0
aW9uLCBMb25kb24gV0MyRSA5UkEsIFVLLiYjeEQ7RGVlbnksIFNhcmFoIFIuIERhdGEgQW5hbHl0
aWNzLCBUaGUgSGVhbHRoIEZvdW5kYXRpb24sIExvbmRvbiBXQzJFIDlSQSwgVUsuPC9hdXRoLWFk
ZHJlc3M+PHRpdGxlcz48dGl0bGU+QXNzb2NpYXRpb24gYmV0d2VlbiBjb250aW51aXR5IG9mIGNh
cmUgaW4gZ2VuZXJhbCBwcmFjdGljZSBhbmQgaG9zcGl0YWwgYWRtaXNzaW9ucyBmb3IgYW1idWxh
dG9yeSBjYXJlIHNlbnNpdGl2ZSBjb25kaXRpb25zOiBjcm9zcyBzZWN0aW9uYWwgc3R1ZHkgb2Yg
cm91dGluZWx5IGNvbGxlY3RlZCwgcGVyc29uIGxldmVsIGRhdGE8L3RpdGxlPjxzZWNvbmRhcnkt
dGl0bGU+Qk1KPC9zZWNvbmRhcnktdGl0bGU+PGFsdC10aXRsZT5CbWo8L2FsdC10aXRsZT48L3Rp
dGxlcz48cGVyaW9kaWNhbD48ZnVsbC10aXRsZT5CTUo8L2Z1bGwtdGl0bGU+PGFiYnItMT5CbWo8
L2FiYnItMT48L3BlcmlvZGljYWw+PGFsdC1wZXJpb2RpY2FsPjxmdWxsLXRpdGxlPkJNSjwvZnVs
bC10aXRsZT48YWJici0xPkJtajwvYWJici0xPjwvYWx0LXBlcmlvZGljYWw+PHBhZ2VzPmo4NDwv
cGFnZXM+PHZvbHVtZT4zNTY8L3ZvbHVtZT48a2V5d29yZHM+PGtleXdvcmQ+QWdlZDwva2V5d29y
ZD48a2V5d29yZD5BZ2VkLCA4MCBhbmQgb3Zlcjwva2V5d29yZD48a2V5d29yZD4qQW1idWxhdG9y
eSBDYXJlPC9rZXl3b3JkPjxrZXl3b3JkPipDb250aW51aXR5IG9mIFBhdGllbnQgQ2FyZS9zbiBb
U3RhdGlzdGljcyAmYW1wOyBOdW1lcmljYWwgRGF0YV08L2tleXdvcmQ+PGtleXdvcmQ+Q3Jvc3Mt
U2VjdGlvbmFsIFN0dWRpZXM8L2tleXdvcmQ+PGtleXdvcmQ+RW5nbGFuZDwva2V5d29yZD48a2V5
d29yZD5GZW1hbGU8L2tleXdvcmQ+PGtleXdvcmQ+R2VuZXJhbCBQcmFjdGljZS9vZyBbT3JnYW5p
emF0aW9uICZhbXA7IEFkbWluaXN0cmF0aW9uXTwva2V5d29yZD48a2V5d29yZD4qR2VuZXJhbCBQ
cmFjdGljZS9zbiBbU3RhdGlzdGljcyAmYW1wOyBOdW1lcmljYWwgRGF0YV08L2tleXdvcmQ+PGtl
eXdvcmQ+Kkhvc3BpdGFsaXphdGlvbi9zbiBbU3RhdGlzdGljcyAmYW1wOyBOdW1lcmljYWwgRGF0
YV08L2tleXdvcmQ+PGtleXdvcmQ+SHVtYW5zPC9rZXl3b3JkPjxrZXl3b3JkPk1hbGU8L2tleXdv
cmQ+PGtleXdvcmQ+TWlkZGxlIEFnZWQ8L2tleXdvcmQ+PGtleXdvcmQ+KlByaW1hcnkgSGVhbHRo
IENhcmUvc24gW1N0YXRpc3RpY3MgJmFtcDsgTnVtZXJpY2FsIERhdGFdPC9rZXl3b3JkPjxrZXl3
b3JkPlJldHJvc3BlY3RpdmUgU3R1ZGllczwva2V5d29yZD48L2tleXdvcmRzPjxkYXRlcz48eWVh
cj4yMDE3PC95ZWFyPjxwdWItZGF0ZXM+PGRhdGU+RmViIDAxPC9kYXRlPjwvcHViLWRhdGVzPjwv
ZGF0ZXM+PGlzYm4+MTc1Ni0xODMzPC9pc2JuPjxhY2Nlc3Npb24tbnVtPjI4MTQ4NDc4PC9hY2Nl
c3Npb24tbnVtPjx3b3JrLXR5cGU+T2JzZXJ2YXRpb25hbCBTdHVkeTwvd29yay10eXBlPjx1cmxz
PjwvdXJscz48cmVtb3RlLWRhdGFiYXNlLW5hbWU+TUVETElORTwvcmVtb3RlLWRhdGFiYXNlLW5h
bWU+PHJlbW90ZS1kYXRhYmFzZS1wcm92aWRlcj5PdmlkIFRlY2hub2xvZ2llczwvcmVtb3RlLWRh
dGFiYXNlLXByb3ZpZGVyPjxsYW5ndWFnZT5FbmdsaXNoPC9sYW5ndWFnZT48L3JlY29yZD48L0Np
dGU+PC9FbmROb3RlPgB=
</w:fldData>
              </w:fldChar>
            </w:r>
            <w:r w:rsidRPr="00104231">
              <w:instrText xml:space="preserve"> ADDIN EN.CITE </w:instrText>
            </w:r>
            <w:r w:rsidRPr="00104231">
              <w:fldChar w:fldCharType="begin">
                <w:fldData xml:space="preserve">PEVuZE5vdGU+PENpdGU+PEF1dGhvcj5CYXJrZXI8L0F1dGhvcj48WWVhcj4yMDE3PC9ZZWFyPjxS
ZWNOdW0+NTM8L1JlY051bT48RGlzcGxheVRleHQ+KEJhcmtlciBldCBhbC4sIDIwMTcpPC9EaXNw
bGF5VGV4dD48cmVjb3JkPjxyZWMtbnVtYmVyPjUzPC9yZWMtbnVtYmVyPjxmb3JlaWduLWtleXM+
PGtleSBhcHA9IkVOIiBkYi1pZD0iOTV0cHIydHA2cjl4d29lYTlyYjV3ZHN6NWRzNXhlZGR0ZWV3
IiB0aW1lc3RhbXA9IjE2ODAwNjk1MTEiPjUzPC9rZXk+PC9mb3JlaWduLWtleXM+PHJlZi10eXBl
IG5hbWU9IkpvdXJuYWwgQXJ0aWNsZSI+MTc8L3JlZi10eXBlPjxjb250cmlidXRvcnM+PGF1dGhv
cnM+PGF1dGhvcj5CYXJrZXIsIEkuPC9hdXRob3I+PGF1dGhvcj5TdGV2ZW50b24sIEEuPC9hdXRo
b3I+PGF1dGhvcj5EZWVueSwgUy4gUi48L2F1dGhvcj48L2F1dGhvcnM+PC9jb250cmlidXRvcnM+
PGF1dGgtYWRkcmVzcz5CYXJrZXIsIElzYWFjLiBEYXRhIEFuYWx5dGljcywgVGhlIEhlYWx0aCBG
b3VuZGF0aW9uLCBMb25kb24gV0MyRSA5UkEsIFVLIGlzYWFjLmJhcmtlckBoZWFsdGgub3JnLnVr
LiYjeEQ7U3RldmVudG9uLCBBZGFtLiBEYXRhIEFuYWx5dGljcywgVGhlIEhlYWx0aCBGb3VuZGF0
aW9uLCBMb25kb24gV0MyRSA5UkEsIFVLLiYjeEQ7RGVlbnksIFNhcmFoIFIuIERhdGEgQW5hbHl0
aWNzLCBUaGUgSGVhbHRoIEZvdW5kYXRpb24sIExvbmRvbiBXQzJFIDlSQSwgVUsuPC9hdXRoLWFk
ZHJlc3M+PHRpdGxlcz48dGl0bGU+QXNzb2NpYXRpb24gYmV0d2VlbiBjb250aW51aXR5IG9mIGNh
cmUgaW4gZ2VuZXJhbCBwcmFjdGljZSBhbmQgaG9zcGl0YWwgYWRtaXNzaW9ucyBmb3IgYW1idWxh
dG9yeSBjYXJlIHNlbnNpdGl2ZSBjb25kaXRpb25zOiBjcm9zcyBzZWN0aW9uYWwgc3R1ZHkgb2Yg
cm91dGluZWx5IGNvbGxlY3RlZCwgcGVyc29uIGxldmVsIGRhdGE8L3RpdGxlPjxzZWNvbmRhcnkt
dGl0bGU+Qk1KPC9zZWNvbmRhcnktdGl0bGU+PGFsdC10aXRsZT5CbWo8L2FsdC10aXRsZT48L3Rp
dGxlcz48cGVyaW9kaWNhbD48ZnVsbC10aXRsZT5CTUo8L2Z1bGwtdGl0bGU+PGFiYnItMT5CbWo8
L2FiYnItMT48L3BlcmlvZGljYWw+PGFsdC1wZXJpb2RpY2FsPjxmdWxsLXRpdGxlPkJNSjwvZnVs
bC10aXRsZT48YWJici0xPkJtajwvYWJici0xPjwvYWx0LXBlcmlvZGljYWw+PHBhZ2VzPmo4NDwv
cGFnZXM+PHZvbHVtZT4zNTY8L3ZvbHVtZT48a2V5d29yZHM+PGtleXdvcmQ+QWdlZDwva2V5d29y
ZD48a2V5d29yZD5BZ2VkLCA4MCBhbmQgb3Zlcjwva2V5d29yZD48a2V5d29yZD4qQW1idWxhdG9y
eSBDYXJlPC9rZXl3b3JkPjxrZXl3b3JkPipDb250aW51aXR5IG9mIFBhdGllbnQgQ2FyZS9zbiBb
U3RhdGlzdGljcyAmYW1wOyBOdW1lcmljYWwgRGF0YV08L2tleXdvcmQ+PGtleXdvcmQ+Q3Jvc3Mt
U2VjdGlvbmFsIFN0dWRpZXM8L2tleXdvcmQ+PGtleXdvcmQ+RW5nbGFuZDwva2V5d29yZD48a2V5
d29yZD5GZW1hbGU8L2tleXdvcmQ+PGtleXdvcmQ+R2VuZXJhbCBQcmFjdGljZS9vZyBbT3JnYW5p
emF0aW9uICZhbXA7IEFkbWluaXN0cmF0aW9uXTwva2V5d29yZD48a2V5d29yZD4qR2VuZXJhbCBQ
cmFjdGljZS9zbiBbU3RhdGlzdGljcyAmYW1wOyBOdW1lcmljYWwgRGF0YV08L2tleXdvcmQ+PGtl
eXdvcmQ+Kkhvc3BpdGFsaXphdGlvbi9zbiBbU3RhdGlzdGljcyAmYW1wOyBOdW1lcmljYWwgRGF0
YV08L2tleXdvcmQ+PGtleXdvcmQ+SHVtYW5zPC9rZXl3b3JkPjxrZXl3b3JkPk1hbGU8L2tleXdv
cmQ+PGtleXdvcmQ+TWlkZGxlIEFnZWQ8L2tleXdvcmQ+PGtleXdvcmQ+KlByaW1hcnkgSGVhbHRo
IENhcmUvc24gW1N0YXRpc3RpY3MgJmFtcDsgTnVtZXJpY2FsIERhdGFdPC9rZXl3b3JkPjxrZXl3
b3JkPlJldHJvc3BlY3RpdmUgU3R1ZGllczwva2V5d29yZD48L2tleXdvcmRzPjxkYXRlcz48eWVh
cj4yMDE3PC95ZWFyPjxwdWItZGF0ZXM+PGRhdGU+RmViIDAxPC9kYXRlPjwvcHViLWRhdGVzPjwv
ZGF0ZXM+PGlzYm4+MTc1Ni0xODMzPC9pc2JuPjxhY2Nlc3Npb24tbnVtPjI4MTQ4NDc4PC9hY2Nl
c3Npb24tbnVtPjx3b3JrLXR5cGU+T2JzZXJ2YXRpb25hbCBTdHVkeTwvd29yay10eXBlPjx1cmxz
PjwvdXJscz48cmVtb3RlLWRhdGFiYXNlLW5hbWU+TUVETElORTwvcmVtb3RlLWRhdGFiYXNlLW5h
bWU+PHJlbW90ZS1kYXRhYmFzZS1wcm92aWRlcj5PdmlkIFRlY2hub2xvZ2llczwvcmVtb3RlLWRh
dGFiYXNlLXByb3ZpZGVyPjxsYW5ndWFnZT5FbmdsaXNoPC9sYW5ndWFnZT48L3JlY29yZD48L0Np
dGU+PC9FbmROb3RlPgB=
</w:fldData>
              </w:fldChar>
            </w:r>
            <w:r w:rsidRPr="00104231">
              <w:instrText xml:space="preserve"> ADDIN EN.CITE.DATA </w:instrText>
            </w:r>
            <w:r w:rsidRPr="00104231">
              <w:fldChar w:fldCharType="end"/>
            </w:r>
            <w:r w:rsidRPr="00104231">
              <w:fldChar w:fldCharType="separate"/>
            </w:r>
            <w:r w:rsidRPr="00104231">
              <w:t>(Barker et al., 2017)</w:t>
            </w:r>
            <w:r w:rsidRPr="00104231">
              <w:fldChar w:fldCharType="end"/>
            </w:r>
            <w:r w:rsidRPr="00104231">
              <w:t xml:space="preserve">. En registerstudie fra 2021 </w:t>
            </w:r>
            <w:r w:rsidRPr="00104231">
              <w:fldChar w:fldCharType="begin">
                <w:fldData xml:space="preserve">PEVuZE5vdGU+PENpdGU+PEF1dGhvcj5Ta2Fyc2hhdWc8L0F1dGhvcj48WWVhcj4yMDIxPC9ZZWFy
PjxSZWNOdW0+MzQwPC9SZWNOdW0+PERpc3BsYXlUZXh0PihTa2Fyc2hhdWcgZXQgYWwuLCAyMDIx
KTwvRGlzcGxheVRleHQ+PHJlY29yZD48cmVjLW51bWJlcj4zNDA8L3JlYy1udW1iZXI+PGZvcmVp
Z24ta2V5cz48a2V5IGFwcD0iRU4iIGRiLWlkPSI5NXRwcjJ0cDZyOXh3b2VhOXJiNXdkc3o1ZHM1
eGVkZHRlZXciIHRpbWVzdGFtcD0iMTY4MDA2OTUxMSI+MzQwPC9rZXk+PC9mb3JlaWduLWtleXM+
PHJlZi10eXBlIG5hbWU9IkpvdXJuYWwgQXJ0aWNsZSI+MTc8L3JlZi10eXBlPjxjb250cmlidXRv
cnM+PGF1dGhvcnM+PGF1dGhvcj5Ta2Fyc2hhdWcsIEwuIEouPC9hdXRob3I+PGF1dGhvcj5LYXNw
ZXJzZW4sIFMuIEwuPC9hdXRob3I+PGF1dGhvcj5Cam9ybmdhYXJkLCBKLiBILjwvYXV0aG9yPjxh
dXRob3I+UGFwZSwgSy48L2F1dGhvcj48L2F1dGhvcnM+PC9jb250cmlidXRvcnM+PGF1dGgtYWRk
cmVzcz5Ta2Fyc2hhdWcsIExlbmEgSmFuaXRhLiBEZXBhcnRtZW50IG9mIFB1YmxpYyBIZWFsdGgg
YW5kIE51cnNpbmcsIE5vcndlZ2lhbiBVbml2ZXJzaXR5IG9mIFNjaWVuY2UgYW5kIFRlY2hub2xv
Z3ksIFRyb25kaGVpbSwgTm9yd2F5IGxlbmEuai5za2Fyc2hhdWdAbnRudS5uby4mI3hEO0thc3Bl
cnNlbiwgU2lsamUgTGlsbC4gRGVwYXJ0bWVudCBvZiBQdWJsaWMgSGVhbHRoIGFuZCBOdXJzaW5n
LCBOb3J3ZWdpYW4gVW5pdmVyc2l0eSBvZiBTY2llbmNlIGFuZCBUZWNobm9sb2d5LCBUcm9uZGhl
aW0sIE5vcndheS4mI3hEO0thc3BlcnNlbiwgU2lsamUgTGlsbC4gRGlnaXRhbCwgU0lOVEVGLCBU
cm9uZGhlaW0sIE5vcndheS4mI3hEO0Jqb3JuZ2FhcmQsIEpvaGFuIEhha29uLiBEZXBhcnRtZW50
IG9mIFB1YmxpYyBIZWFsdGggYW5kIE51cnNpbmcsIE5vcndlZ2lhbiBVbml2ZXJzaXR5IG9mIFNj
aWVuY2UgYW5kIFRlY2hub2xvZ3ksIFRyb25kaGVpbSwgTm9yd2F5LiYjeEQ7Qmpvcm5nYWFyZCwg
Sm9oYW4gSGFrb24uIEZhY3VsdHkgb2YgTnVyc2luZyBhbmQgSGVhbHRoIFNjaWVuY2VzLCBOb3Jk
IFVuaXZlcnNpdGV0IC0gTGV2YW5nZXIgQ2FtcHVzLCBMZXZhbmdlciwgTm9yd2F5LiYjeEQ7UGFw
ZSwgS3Jpc3RpbmUuIERlcGFydG1lbnQgb2YgUHVibGljIEhlYWx0aCBhbmQgTnVyc2luZywgTm9y
d2VnaWFuIFVuaXZlcnNpdHkgb2YgU2NpZW5jZSBhbmQgVGVjaG5vbG9neSwgVHJvbmRoZWltLCBO
b3J3YXkuPC9hdXRoLWFkZHJlc3M+PHRpdGxlcz48dGl0bGU+SG93IGRvZXMgZ2VuZXJhbCBwcmFj
dGl0aW9uZXIgZGlzY29udGludWl0eSBhZmZlY3QgaGVhbHRoY2FyZSB1dGlsaXNhdGlvbj8gQW4g
b2JzZXJ2YXRpb25hbCBjb2hvcnQgc3R1ZHkgb2YgMi40IG1pbGxpb24gTm9yd2VnaWFucyAyMDA3
LTIwMTc8L3RpdGxlPjxzZWNvbmRhcnktdGl0bGU+Qk1KIE9wZW48L3NlY29uZGFyeS10aXRsZT48
YWx0LXRpdGxlPkJNSiBPcGVuPC9hbHQtdGl0bGU+PC90aXRsZXM+PHBlcmlvZGljYWw+PGZ1bGwt
dGl0bGU+Qk1KIE9wZW48L2Z1bGwtdGl0bGU+PGFiYnItMT5CTUogT3BlbjwvYWJici0xPjwvcGVy
aW9kaWNhbD48YWx0LXBlcmlvZGljYWw+PGZ1bGwtdGl0bGU+Qk1KIE9wZW48L2Z1bGwtdGl0bGU+
PGFiYnItMT5CTUogT3BlbjwvYWJici0xPjwvYWx0LXBlcmlvZGljYWw+PHBhZ2VzPmUwNDIzOTE8
L3BhZ2VzPjx2b2x1bWU+MTE8L3ZvbHVtZT48bnVtYmVyPjI8L251bWJlcj48a2V5d29yZHM+PGtl
eXdvcmQ+QWR1bHQ8L2tleXdvcmQ+PGtleXdvcmQ+Q29ob3J0IFN0dWRpZXM8L2tleXdvcmQ+PGtl
eXdvcmQ+KkdlbmVyYWwgUHJhY3RpY2U8L2tleXdvcmQ+PGtleXdvcmQ+KkdlbmVyYWwgUHJhY3Rp
dGlvbmVyczwva2V5d29yZD48a2V5d29yZD5IdW1hbnM8L2tleXdvcmQ+PGtleXdvcmQ+Tm9yd2F5
PC9rZXl3b3JkPjxrZXl3b3JkPlJlZmVycmFsIGFuZCBDb25zdWx0YXRpb248L2tleXdvcmQ+PC9r
ZXl3b3Jkcz48ZGF0ZXM+PHllYXI+MjAyMTwveWVhcj48cHViLWRhdGVzPjxkYXRlPjAyIDE2PC9k
YXRlPjwvcHViLWRhdGVzPjwvZGF0ZXM+PGlzYm4+MjA0NC02MDU1PC9pc2JuPjxhY2Nlc3Npb24t
bnVtPjMzNTkzNzc3PC9hY2Nlc3Npb24tbnVtPjx3b3JrLXR5cGU+T2JzZXJ2YXRpb25hbCBTdHVk
eSYjeEQ7UmVzZWFyY2ggU3VwcG9ydCwgTm9uLVUuUy4gR292JmFwb3M7dDwvd29yay10eXBlPjx1
cmxzPjxyZWxhdGVkLXVybHM+PHVybD5odHRwczovL292aWRzcC5vdmlkLmNvbS9vdmlkd2ViLmNn
aT9UPUpTJmFtcDtDU0M9WSZhbXA7TkVXUz1OJmFtcDtQQUdFPWZ1bGx0ZXh0JmFtcDtEPW1lZDE5
JmFtcDtBTj0zMzU5Mzc3NzwvdXJsPjx1cmw+aHR0cDovL29wZW51cmwuYmlic3lzLm5vL29wZW51
cmw/b3Rvb2w9aW5vaXBobGliP3NpZD1PVklEOm1lZGxpbmUmYW1wO2lkPXBtaWQ6MzM1OTM3Nzcm
YW1wO2lkPWRvaToxMC4xMTM2JTJGYm1qb3Blbi0yMDIwLTA0MjM5MSZhbXA7aXNzbj0yMDQ0LTYw
NTUmYW1wO2lzYm49JmFtcDt2b2x1bWU9MTEmYW1wO2lzc3VlPTImYW1wO3NwYWdlPWUwNDIzOTEm
YW1wO3BhZ2VzPWUwNDIzOTEmYW1wO2RhdGU9MjAyMSZhbXA7dGl0bGU9Qk1KK09wZW4mYW1wO2F0
aXRsZT1Ib3crZG9lcytnZW5lcmFsK3ByYWN0aXRpb25lcitkaXNjb250aW51aXR5K2FmZmVjdCto
ZWFsdGhjYXJlK3V0aWxpc2F0aW9uJTNGK0FuK29ic2VydmF0aW9uYWwrY29ob3J0K3N0dWR5K29m
KzIuNCttaWxsaW9uK05vcndlZ2lhbnMrMjAwNy0yMDE3LiZhbXA7YXVsYXN0PVNrYXJzaGF1ZyZh
bXA7cGlkPSUzQ2F1dGhvciUzRVNrYXJzaGF1ZytMSiUzQyUyRmF1dGhvciUzRSUzQ0FOJTNFMzM1
OTM3NzclM0MlMkZBTiUzRSUzQ0RUJTNFSm91cm5hbCtBcnRpY2xlJTNDJTJGRFQlM0U8L3VybD48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Pr="00104231">
              <w:instrText xml:space="preserve"> ADDIN EN.CITE </w:instrText>
            </w:r>
            <w:r w:rsidRPr="00104231">
              <w:fldChar w:fldCharType="begin">
                <w:fldData xml:space="preserve">PEVuZE5vdGU+PENpdGU+PEF1dGhvcj5Ta2Fyc2hhdWc8L0F1dGhvcj48WWVhcj4yMDIxPC9ZZWFy
PjxSZWNOdW0+MzQwPC9SZWNOdW0+PERpc3BsYXlUZXh0PihTa2Fyc2hhdWcgZXQgYWwuLCAyMDIx
KTwvRGlzcGxheVRleHQ+PHJlY29yZD48cmVjLW51bWJlcj4zNDA8L3JlYy1udW1iZXI+PGZvcmVp
Z24ta2V5cz48a2V5IGFwcD0iRU4iIGRiLWlkPSI5NXRwcjJ0cDZyOXh3b2VhOXJiNXdkc3o1ZHM1
eGVkZHRlZXciIHRpbWVzdGFtcD0iMTY4MDA2OTUxMSI+MzQwPC9rZXk+PC9mb3JlaWduLWtleXM+
PHJlZi10eXBlIG5hbWU9IkpvdXJuYWwgQXJ0aWNsZSI+MTc8L3JlZi10eXBlPjxjb250cmlidXRv
cnM+PGF1dGhvcnM+PGF1dGhvcj5Ta2Fyc2hhdWcsIEwuIEouPC9hdXRob3I+PGF1dGhvcj5LYXNw
ZXJzZW4sIFMuIEwuPC9hdXRob3I+PGF1dGhvcj5Cam9ybmdhYXJkLCBKLiBILjwvYXV0aG9yPjxh
dXRob3I+UGFwZSwgSy48L2F1dGhvcj48L2F1dGhvcnM+PC9jb250cmlidXRvcnM+PGF1dGgtYWRk
cmVzcz5Ta2Fyc2hhdWcsIExlbmEgSmFuaXRhLiBEZXBhcnRtZW50IG9mIFB1YmxpYyBIZWFsdGgg
YW5kIE51cnNpbmcsIE5vcndlZ2lhbiBVbml2ZXJzaXR5IG9mIFNjaWVuY2UgYW5kIFRlY2hub2xv
Z3ksIFRyb25kaGVpbSwgTm9yd2F5IGxlbmEuai5za2Fyc2hhdWdAbnRudS5uby4mI3hEO0thc3Bl
cnNlbiwgU2lsamUgTGlsbC4gRGVwYXJ0bWVudCBvZiBQdWJsaWMgSGVhbHRoIGFuZCBOdXJzaW5n
LCBOb3J3ZWdpYW4gVW5pdmVyc2l0eSBvZiBTY2llbmNlIGFuZCBUZWNobm9sb2d5LCBUcm9uZGhl
aW0sIE5vcndheS4mI3hEO0thc3BlcnNlbiwgU2lsamUgTGlsbC4gRGlnaXRhbCwgU0lOVEVGLCBU
cm9uZGhlaW0sIE5vcndheS4mI3hEO0Jqb3JuZ2FhcmQsIEpvaGFuIEhha29uLiBEZXBhcnRtZW50
IG9mIFB1YmxpYyBIZWFsdGggYW5kIE51cnNpbmcsIE5vcndlZ2lhbiBVbml2ZXJzaXR5IG9mIFNj
aWVuY2UgYW5kIFRlY2hub2xvZ3ksIFRyb25kaGVpbSwgTm9yd2F5LiYjeEQ7Qmpvcm5nYWFyZCwg
Sm9oYW4gSGFrb24uIEZhY3VsdHkgb2YgTnVyc2luZyBhbmQgSGVhbHRoIFNjaWVuY2VzLCBOb3Jk
IFVuaXZlcnNpdGV0IC0gTGV2YW5nZXIgQ2FtcHVzLCBMZXZhbmdlciwgTm9yd2F5LiYjeEQ7UGFw
ZSwgS3Jpc3RpbmUuIERlcGFydG1lbnQgb2YgUHVibGljIEhlYWx0aCBhbmQgTnVyc2luZywgTm9y
d2VnaWFuIFVuaXZlcnNpdHkgb2YgU2NpZW5jZSBhbmQgVGVjaG5vbG9neSwgVHJvbmRoZWltLCBO
b3J3YXkuPC9hdXRoLWFkZHJlc3M+PHRpdGxlcz48dGl0bGU+SG93IGRvZXMgZ2VuZXJhbCBwcmFj
dGl0aW9uZXIgZGlzY29udGludWl0eSBhZmZlY3QgaGVhbHRoY2FyZSB1dGlsaXNhdGlvbj8gQW4g
b2JzZXJ2YXRpb25hbCBjb2hvcnQgc3R1ZHkgb2YgMi40IG1pbGxpb24gTm9yd2VnaWFucyAyMDA3
LTIwMTc8L3RpdGxlPjxzZWNvbmRhcnktdGl0bGU+Qk1KIE9wZW48L3NlY29uZGFyeS10aXRsZT48
YWx0LXRpdGxlPkJNSiBPcGVuPC9hbHQtdGl0bGU+PC90aXRsZXM+PHBlcmlvZGljYWw+PGZ1bGwt
dGl0bGU+Qk1KIE9wZW48L2Z1bGwtdGl0bGU+PGFiYnItMT5CTUogT3BlbjwvYWJici0xPjwvcGVy
aW9kaWNhbD48YWx0LXBlcmlvZGljYWw+PGZ1bGwtdGl0bGU+Qk1KIE9wZW48L2Z1bGwtdGl0bGU+
PGFiYnItMT5CTUogT3BlbjwvYWJici0xPjwvYWx0LXBlcmlvZGljYWw+PHBhZ2VzPmUwNDIzOTE8
L3BhZ2VzPjx2b2x1bWU+MTE8L3ZvbHVtZT48bnVtYmVyPjI8L251bWJlcj48a2V5d29yZHM+PGtl
eXdvcmQ+QWR1bHQ8L2tleXdvcmQ+PGtleXdvcmQ+Q29ob3J0IFN0dWRpZXM8L2tleXdvcmQ+PGtl
eXdvcmQ+KkdlbmVyYWwgUHJhY3RpY2U8L2tleXdvcmQ+PGtleXdvcmQ+KkdlbmVyYWwgUHJhY3Rp
dGlvbmVyczwva2V5d29yZD48a2V5d29yZD5IdW1hbnM8L2tleXdvcmQ+PGtleXdvcmQ+Tm9yd2F5
PC9rZXl3b3JkPjxrZXl3b3JkPlJlZmVycmFsIGFuZCBDb25zdWx0YXRpb248L2tleXdvcmQ+PC9r
ZXl3b3Jkcz48ZGF0ZXM+PHllYXI+MjAyMTwveWVhcj48cHViLWRhdGVzPjxkYXRlPjAyIDE2PC9k
YXRlPjwvcHViLWRhdGVzPjwvZGF0ZXM+PGlzYm4+MjA0NC02MDU1PC9pc2JuPjxhY2Nlc3Npb24t
bnVtPjMzNTkzNzc3PC9hY2Nlc3Npb24tbnVtPjx3b3JrLXR5cGU+T2JzZXJ2YXRpb25hbCBTdHVk
eSYjeEQ7UmVzZWFyY2ggU3VwcG9ydCwgTm9uLVUuUy4gR292JmFwb3M7dDwvd29yay10eXBlPjx1
cmxzPjxyZWxhdGVkLXVybHM+PHVybD5odHRwczovL292aWRzcC5vdmlkLmNvbS9vdmlkd2ViLmNn
aT9UPUpTJmFtcDtDU0M9WSZhbXA7TkVXUz1OJmFtcDtQQUdFPWZ1bGx0ZXh0JmFtcDtEPW1lZDE5
JmFtcDtBTj0zMzU5Mzc3NzwvdXJsPjx1cmw+aHR0cDovL29wZW51cmwuYmlic3lzLm5vL29wZW51
cmw/b3Rvb2w9aW5vaXBobGliP3NpZD1PVklEOm1lZGxpbmUmYW1wO2lkPXBtaWQ6MzM1OTM3Nzcm
YW1wO2lkPWRvaToxMC4xMTM2JTJGYm1qb3Blbi0yMDIwLTA0MjM5MSZhbXA7aXNzbj0yMDQ0LTYw
NTUmYW1wO2lzYm49JmFtcDt2b2x1bWU9MTEmYW1wO2lzc3VlPTImYW1wO3NwYWdlPWUwNDIzOTEm
YW1wO3BhZ2VzPWUwNDIzOTEmYW1wO2RhdGU9MjAyMSZhbXA7dGl0bGU9Qk1KK09wZW4mYW1wO2F0
aXRsZT1Ib3crZG9lcytnZW5lcmFsK3ByYWN0aXRpb25lcitkaXNjb250aW51aXR5K2FmZmVjdCto
ZWFsdGhjYXJlK3V0aWxpc2F0aW9uJTNGK0FuK29ic2VydmF0aW9uYWwrY29ob3J0K3N0dWR5K29m
KzIuNCttaWxsaW9uK05vcndlZ2lhbnMrMjAwNy0yMDE3LiZhbXA7YXVsYXN0PVNrYXJzaGF1ZyZh
bXA7cGlkPSUzQ2F1dGhvciUzRVNrYXJzaGF1ZytMSiUzQyUyRmF1dGhvciUzRSUzQ0FOJTNFMzM1
OTM3NzclM0MlMkZBTiUzRSUzQ0RUJTNFSm91cm5hbCtBcnRpY2xlJTNDJTJGRFQlM0U8L3VybD48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sidRPr="00104231">
              <w:instrText xml:space="preserve"> ADDIN EN.CITE.DATA </w:instrText>
            </w:r>
            <w:r w:rsidRPr="00104231">
              <w:fldChar w:fldCharType="end"/>
            </w:r>
            <w:r w:rsidRPr="00104231">
              <w:fldChar w:fldCharType="separate"/>
            </w:r>
            <w:r w:rsidRPr="00104231">
              <w:t>(Skarshaug et al., 2021)</w:t>
            </w:r>
            <w:r w:rsidRPr="00104231">
              <w:fldChar w:fldCharType="end"/>
            </w:r>
            <w:r w:rsidRPr="00104231">
              <w:t xml:space="preserve"> fant at plutselig brudd i fastlegerelasjonen, som sykdom hos fastlegen eller at fastlegen sluttet i sin stilling, medførte lavere bruk av fastlegetjenesten i alle aldersgrupper, samt økt bruk av legevakt utenfor normal arbeidstid. For personer over 65 år økte også risikoen for akuttinnleggelse i sykehus.</w:t>
            </w:r>
          </w:p>
          <w:p w14:paraId="015396D9" w14:textId="77777777" w:rsidR="00104231" w:rsidRPr="00104231" w:rsidRDefault="00104231" w:rsidP="00104231">
            <w:r w:rsidRPr="00104231">
              <w:t xml:space="preserve">Kontinuitet er målt ved å se på andelen av konsultasjonene som er hos listeinnbyggernes egen fastlege. Både konsultasjoner i fastlegeordningen og konsultasjoner på legevakt er inkludert, samt akutte polikliniske henvendelser og akutte døgninnleggelser. Analysene undersøker brudd i kontinuitet både relatert til at fastlegen i perioder bruker vikarer i stedet for å ha størstedelen av konsultasjonene med sine listeinnbyggere selv, og varighet </w:t>
            </w:r>
            <w:r w:rsidRPr="00104231">
              <w:lastRenderedPageBreak/>
              <w:t>på kommunens avtaler med fastlegen. Datakilder er registerdata fra fastlegeordningen (FLO), KUHR, og Norsk pasientregister (NPR).</w:t>
            </w:r>
          </w:p>
          <w:p w14:paraId="7ECEBACD" w14:textId="77777777" w:rsidR="00104231" w:rsidRPr="00104231" w:rsidRDefault="00104231" w:rsidP="00104231">
            <w:r w:rsidRPr="00104231">
              <w:t>For fastlegelister hvor den samme fastlegen kommer tilbake, har listeinnbyggernes egen fastlege 80 prosent av konsultasjonene den første måneden etter at listeinnbygger–fastlegerelasjonen</w:t>
            </w:r>
            <w:r w:rsidRPr="00104231" w:rsidDel="00786DC9">
              <w:t xml:space="preserve"> </w:t>
            </w:r>
            <w:r w:rsidRPr="00104231">
              <w:t>er gjenopprettet. Konsultasjonene stabiliserer seg på rundt 65–75 prosent i de påfølgende månedene</w:t>
            </w:r>
          </w:p>
          <w:p w14:paraId="5BE13E9C" w14:textId="77777777" w:rsidR="00104231" w:rsidRPr="00104231" w:rsidRDefault="00104231" w:rsidP="00104231">
            <w:pPr>
              <w:pStyle w:val="avsnitt-tittel"/>
            </w:pPr>
            <w:r w:rsidRPr="00104231">
              <w:t>Andel konsultasjoner hos egen fastlege før, under og etter et brudd på kontinuitet</w:t>
            </w:r>
          </w:p>
          <w:p w14:paraId="6B2BE0E1" w14:textId="77777777" w:rsidR="00104231" w:rsidRPr="00104231" w:rsidRDefault="00104231" w:rsidP="00104231">
            <w:r w:rsidRPr="00104231">
              <w:rPr>
                <w:noProof/>
              </w:rPr>
              <w:drawing>
                <wp:inline distT="0" distB="0" distL="0" distR="0" wp14:anchorId="5F5971D5" wp14:editId="0570EA59">
                  <wp:extent cx="3751306" cy="2363189"/>
                  <wp:effectExtent l="0" t="0" r="1905" b="0"/>
                  <wp:docPr id="1908704939"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8127" cy="2373786"/>
                          </a:xfrm>
                          <a:prstGeom prst="rect">
                            <a:avLst/>
                          </a:prstGeom>
                        </pic:spPr>
                      </pic:pic>
                    </a:graphicData>
                  </a:graphic>
                </wp:inline>
              </w:drawing>
            </w:r>
          </w:p>
          <w:p w14:paraId="0D5EFB65" w14:textId="77777777" w:rsidR="00104231" w:rsidRPr="00657F9A" w:rsidRDefault="00104231" w:rsidP="00104231">
            <w:pPr>
              <w:pStyle w:val="Petit"/>
              <w:rPr>
                <w:rStyle w:val="kursiv"/>
              </w:rPr>
            </w:pPr>
            <w:r w:rsidRPr="00657F9A">
              <w:rPr>
                <w:rStyle w:val="kursiv"/>
              </w:rPr>
              <w:t xml:space="preserve">Merknad: Y-aksen viser andel av totalt antall konsultasjoner innbyggere har hos sin egen fastlege hver måned. X-aksen følger fastlegelister som har et brudd (som definert over) i inntil 24 måneder før et brudd, inntil 24 måneder under et brudd, samt i inntil 24 måneder etter fastlegen har kommet tilbake. Kilde: FLO og KUHR fra 2016–2020 </w:t>
            </w:r>
          </w:p>
          <w:p w14:paraId="0FDF1BA6" w14:textId="77777777" w:rsidR="00104231" w:rsidRPr="00104231" w:rsidRDefault="00104231" w:rsidP="00104231">
            <w:r w:rsidRPr="00104231">
              <w:t>I årene 2016–2020 var det totalt 957 fastlegelister og 925 228 tilhørende listeinnbyggere som hadde brudd på kontinuitet mellom fastlege og listeinnbygger. I en gitt måned var det brudd på kontinuitet med fastlegen på mellom 4–5 prosent av alle fastlegelister.</w:t>
            </w:r>
          </w:p>
          <w:p w14:paraId="14A4737E" w14:textId="04207ABF" w:rsidR="00104231" w:rsidRDefault="00104231" w:rsidP="00104231">
            <w:r w:rsidRPr="00104231">
              <w:t>Figuren på neste side viser endring i månedlig antall konsultasjoner/innleggelser før og under et brudd på kontinuitet mellom fastlege og pasient, samt etter at kontinuiteten er gjenopprettet når fastlegen kommer tilbake.</w:t>
            </w:r>
          </w:p>
          <w:p w14:paraId="03EF5283" w14:textId="77777777" w:rsidR="00104231" w:rsidRPr="00377624" w:rsidRDefault="00104231" w:rsidP="00104231">
            <w:pPr>
              <w:pStyle w:val="avsnitt-tittel"/>
            </w:pPr>
            <w:r w:rsidRPr="00377624">
              <w:t>Effekt av å miste fastlege og få fastlegen tilbake på gjennomsnittlig antall konsultasjoner/innleggelser</w:t>
            </w:r>
          </w:p>
          <w:tbl>
            <w:tblPr>
              <w:tblStyle w:val="Tabellrutenett"/>
              <w:tblW w:w="0" w:type="auto"/>
              <w:tblLook w:val="04A0" w:firstRow="1" w:lastRow="0" w:firstColumn="1" w:lastColumn="0" w:noHBand="0" w:noVBand="1"/>
            </w:tblPr>
            <w:tblGrid>
              <w:gridCol w:w="4750"/>
              <w:gridCol w:w="4575"/>
            </w:tblGrid>
            <w:tr w:rsidR="00104231" w:rsidRPr="00377624" w14:paraId="45EB4E7E" w14:textId="77777777" w:rsidTr="00707F97">
              <w:trPr>
                <w:trHeight w:val="281"/>
              </w:trPr>
              <w:tc>
                <w:tcPr>
                  <w:tcW w:w="4750" w:type="dxa"/>
                </w:tcPr>
                <w:p w14:paraId="0F3D25BD" w14:textId="77777777" w:rsidR="00104231" w:rsidRPr="00377624" w:rsidRDefault="00104231" w:rsidP="00104231">
                  <w:pPr>
                    <w:keepNext/>
                    <w:keepLines/>
                    <w:rPr>
                      <w:rStyle w:val="halvfet"/>
                    </w:rPr>
                  </w:pPr>
                  <w:r w:rsidRPr="00377624">
                    <w:rPr>
                      <w:rStyle w:val="halvfet"/>
                    </w:rPr>
                    <w:t xml:space="preserve">A) Konsultasjoner i fastlegeordningen </w:t>
                  </w:r>
                </w:p>
              </w:tc>
              <w:tc>
                <w:tcPr>
                  <w:tcW w:w="4575" w:type="dxa"/>
                </w:tcPr>
                <w:p w14:paraId="37DD7557" w14:textId="77777777" w:rsidR="00104231" w:rsidRPr="00377624" w:rsidRDefault="00104231" w:rsidP="00104231">
                  <w:pPr>
                    <w:keepNext/>
                    <w:keepLines/>
                    <w:rPr>
                      <w:rStyle w:val="halvfet"/>
                    </w:rPr>
                  </w:pPr>
                  <w:r w:rsidRPr="00377624">
                    <w:rPr>
                      <w:rStyle w:val="halvfet"/>
                    </w:rPr>
                    <w:t xml:space="preserve">B) Konsultasjoner hos legevakt </w:t>
                  </w:r>
                </w:p>
              </w:tc>
            </w:tr>
            <w:tr w:rsidR="00104231" w:rsidRPr="00377624" w14:paraId="75DD766A" w14:textId="77777777" w:rsidTr="00707F97">
              <w:trPr>
                <w:trHeight w:val="2516"/>
              </w:trPr>
              <w:tc>
                <w:tcPr>
                  <w:tcW w:w="4750" w:type="dxa"/>
                </w:tcPr>
                <w:p w14:paraId="6F2F00FA" w14:textId="77777777" w:rsidR="00104231" w:rsidRPr="00377624" w:rsidRDefault="00104231" w:rsidP="00104231">
                  <w:pPr>
                    <w:keepNext/>
                    <w:keepLines/>
                  </w:pPr>
                  <w:r w:rsidRPr="00377624">
                    <w:rPr>
                      <w:noProof/>
                    </w:rPr>
                    <w:lastRenderedPageBreak/>
                    <w:drawing>
                      <wp:inline distT="0" distB="0" distL="0" distR="0" wp14:anchorId="00D3A2F9" wp14:editId="521FED5E">
                        <wp:extent cx="2355998" cy="1612640"/>
                        <wp:effectExtent l="0" t="0" r="6350" b="6985"/>
                        <wp:docPr id="1908704953"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2116" cy="1623673"/>
                                </a:xfrm>
                                <a:prstGeom prst="rect">
                                  <a:avLst/>
                                </a:prstGeom>
                              </pic:spPr>
                            </pic:pic>
                          </a:graphicData>
                        </a:graphic>
                      </wp:inline>
                    </w:drawing>
                  </w:r>
                </w:p>
              </w:tc>
              <w:tc>
                <w:tcPr>
                  <w:tcW w:w="4575" w:type="dxa"/>
                </w:tcPr>
                <w:p w14:paraId="7945626A" w14:textId="77777777" w:rsidR="00104231" w:rsidRPr="00377624" w:rsidRDefault="00104231" w:rsidP="00104231">
                  <w:pPr>
                    <w:keepNext/>
                    <w:keepLines/>
                  </w:pPr>
                  <w:r w:rsidRPr="00377624">
                    <w:rPr>
                      <w:noProof/>
                    </w:rPr>
                    <w:drawing>
                      <wp:inline distT="0" distB="0" distL="0" distR="0" wp14:anchorId="2DE210DC" wp14:editId="54AD8177">
                        <wp:extent cx="2270273" cy="1558576"/>
                        <wp:effectExtent l="0" t="0" r="0" b="3810"/>
                        <wp:docPr id="35" name="Picture 190870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882" cy="1571351"/>
                                </a:xfrm>
                                <a:prstGeom prst="rect">
                                  <a:avLst/>
                                </a:prstGeom>
                              </pic:spPr>
                            </pic:pic>
                          </a:graphicData>
                        </a:graphic>
                      </wp:inline>
                    </w:drawing>
                  </w:r>
                </w:p>
              </w:tc>
            </w:tr>
            <w:tr w:rsidR="00104231" w:rsidRPr="00377624" w14:paraId="582FD3E2" w14:textId="77777777" w:rsidTr="00707F97">
              <w:trPr>
                <w:trHeight w:val="281"/>
              </w:trPr>
              <w:tc>
                <w:tcPr>
                  <w:tcW w:w="4750" w:type="dxa"/>
                </w:tcPr>
                <w:p w14:paraId="4C14AEBA" w14:textId="77777777" w:rsidR="00104231" w:rsidRPr="00377624" w:rsidRDefault="00104231" w:rsidP="00104231">
                  <w:pPr>
                    <w:keepNext/>
                    <w:keepLines/>
                    <w:rPr>
                      <w:rStyle w:val="halvfet"/>
                    </w:rPr>
                  </w:pPr>
                  <w:r w:rsidRPr="00377624">
                    <w:rPr>
                      <w:rStyle w:val="halvfet"/>
                    </w:rPr>
                    <w:t>C) Akutte polikliniske kontakter</w:t>
                  </w:r>
                </w:p>
              </w:tc>
              <w:tc>
                <w:tcPr>
                  <w:tcW w:w="4575" w:type="dxa"/>
                </w:tcPr>
                <w:p w14:paraId="507FF6E7" w14:textId="77777777" w:rsidR="00104231" w:rsidRPr="00377624" w:rsidRDefault="00104231" w:rsidP="00104231">
                  <w:pPr>
                    <w:keepNext/>
                    <w:keepLines/>
                    <w:rPr>
                      <w:rStyle w:val="halvfet"/>
                    </w:rPr>
                  </w:pPr>
                  <w:r w:rsidRPr="00377624">
                    <w:rPr>
                      <w:rStyle w:val="halvfet"/>
                    </w:rPr>
                    <w:t xml:space="preserve">D) Akutte døgninnleggelser </w:t>
                  </w:r>
                </w:p>
              </w:tc>
            </w:tr>
            <w:tr w:rsidR="00104231" w:rsidRPr="00377624" w14:paraId="628E2351" w14:textId="77777777" w:rsidTr="00707F97">
              <w:trPr>
                <w:trHeight w:val="2682"/>
              </w:trPr>
              <w:tc>
                <w:tcPr>
                  <w:tcW w:w="4750" w:type="dxa"/>
                </w:tcPr>
                <w:p w14:paraId="3DE06862" w14:textId="77777777" w:rsidR="00104231" w:rsidRPr="00377624" w:rsidRDefault="00104231" w:rsidP="00104231">
                  <w:pPr>
                    <w:keepNext/>
                    <w:keepLines/>
                  </w:pPr>
                  <w:r w:rsidRPr="00377624">
                    <w:rPr>
                      <w:noProof/>
                    </w:rPr>
                    <w:drawing>
                      <wp:inline distT="0" distB="0" distL="0" distR="0" wp14:anchorId="1F4C9F41" wp14:editId="59863F1A">
                        <wp:extent cx="2542954" cy="1737395"/>
                        <wp:effectExtent l="0" t="0" r="0" b="0"/>
                        <wp:docPr id="44" name="Picture 190870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1645" cy="1750165"/>
                                </a:xfrm>
                                <a:prstGeom prst="rect">
                                  <a:avLst/>
                                </a:prstGeom>
                              </pic:spPr>
                            </pic:pic>
                          </a:graphicData>
                        </a:graphic>
                      </wp:inline>
                    </w:drawing>
                  </w:r>
                </w:p>
              </w:tc>
              <w:tc>
                <w:tcPr>
                  <w:tcW w:w="4575" w:type="dxa"/>
                </w:tcPr>
                <w:p w14:paraId="651144ED" w14:textId="77777777" w:rsidR="00104231" w:rsidRPr="00377624" w:rsidRDefault="00104231" w:rsidP="00104231">
                  <w:pPr>
                    <w:keepNext/>
                    <w:keepLines/>
                  </w:pPr>
                  <w:r w:rsidRPr="00377624">
                    <w:rPr>
                      <w:noProof/>
                    </w:rPr>
                    <w:drawing>
                      <wp:inline distT="0" distB="0" distL="0" distR="0" wp14:anchorId="0E2FB505" wp14:editId="57403BDC">
                        <wp:extent cx="2444381" cy="1669127"/>
                        <wp:effectExtent l="0" t="0" r="0" b="7620"/>
                        <wp:docPr id="50" name="Picture 190870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8942" cy="1679070"/>
                                </a:xfrm>
                                <a:prstGeom prst="rect">
                                  <a:avLst/>
                                </a:prstGeom>
                              </pic:spPr>
                            </pic:pic>
                          </a:graphicData>
                        </a:graphic>
                      </wp:inline>
                    </w:drawing>
                  </w:r>
                </w:p>
              </w:tc>
            </w:tr>
          </w:tbl>
          <w:p w14:paraId="01EDD7DC" w14:textId="77777777" w:rsidR="00104231" w:rsidRPr="00657F9A" w:rsidRDefault="00104231" w:rsidP="00377624">
            <w:pPr>
              <w:pStyle w:val="Petit"/>
              <w:rPr>
                <w:rStyle w:val="kursiv"/>
              </w:rPr>
            </w:pPr>
            <w:r w:rsidRPr="00657F9A">
              <w:rPr>
                <w:rStyle w:val="kursiv"/>
              </w:rPr>
              <w:t>Merknad: Event-studie av hvordan kontinuitet i fastlege–pasient forhold påvirker helsetjenestebruk. Figuren viser estimater med 95 prosent konfidens intervall. Den avhengige variabelen er gjennomsnittlig antall konsultasjoner/innleggelser per måned, hvor måneden før bruddet på kontinuitet er referanse. Modellen kontrollerer for kalendermåned faste effekter for å justere bort eventuelle endringer i helsetjenestebruk over tid. Standardfeilen er klynget på fastlegeliste-nivå for å ta hensyn til at helsetjenestebruken til innbyggere på en fastlegeliste er korrelert over tid. Kilde: FLO og KUHR fra 2016–2020.</w:t>
            </w:r>
          </w:p>
          <w:p w14:paraId="1C7EC8F3" w14:textId="77777777" w:rsidR="00104231" w:rsidRPr="00377624" w:rsidRDefault="00104231" w:rsidP="00377624">
            <w:r w:rsidRPr="00377624">
              <w:t>I figur A viser FHI at brudd i fastlegerelasjonen fører til en reduksjon i månedlige antall konsultasjoner hos fastlege som tilsvarer mellom 4–17 prosent. Når fastlegen kommer tilbake, er antall konsultasjoner på samme nivå som før bruddet. Det er indikasjon på en økning av antall konsultasjoner hos legevakt for alle aldersgrupper (figur B), men forskerne påpeker manglende robusthet for resultatet og at det derfor ikke kan tillegges vekt. De konkluderer med ingen sterke effekter på bruk av legevakt. Det er ingen signifikante endringer i akutte polikliniske henvendelser (Figur C), men det er en liten nedgang i akutte døgninnleggelser (Figur D).</w:t>
            </w:r>
          </w:p>
          <w:p w14:paraId="742E22EA" w14:textId="2BF3EAB7" w:rsidR="00104231" w:rsidRPr="00104231" w:rsidRDefault="00104231" w:rsidP="00104231">
            <w:r w:rsidRPr="00377624">
              <w:t xml:space="preserve">Brudd i kontinuitet kan også forstås som varighet på den enkelte fastlegeavtale. Helsedirektoratet publiserer indikator for geografisk variasjon på kommunens avtaler med fastlegen. Avtalevarighet har tidligere blitt brukt som mål på kontinuitet for pasienten, men har noen klare svakheter siden målet ikke knyttes til listeinnbyggeren, men til avtalen som kan betjenes av flere ulike leger og vikarer. FHI har, med utgangspunkt i indikatoren, kun </w:t>
            </w:r>
            <w:r w:rsidRPr="00377624">
              <w:lastRenderedPageBreak/>
              <w:t>sett på fastlegeavtaler som opphørte i 2020. De fant stor geografisk variasjon for både andelen avtaler som opphørte og i gjennomsnittlig avtalevarighet. I de minst sentrale områdene (sentralitetsklasse 6) opphørte rundt 14 prosent av fastlegeavtalene i 2020. Gjennomsnittlig varighet på fastlegeavtalene var 4 år. Til sammenligning opphørte 5 prosent av fastlegeavtalene i de mest sentrale områdene (sentralitetsklasse 1) i 2020, med en gjennomsnittlig avtalevarighet på nærmere 13 år.</w:t>
            </w:r>
          </w:p>
        </w:tc>
      </w:tr>
    </w:tbl>
    <w:p w14:paraId="0DB60AE3" w14:textId="4339E4C7" w:rsidR="00F35BC5" w:rsidRPr="00814502" w:rsidRDefault="00F35BC5" w:rsidP="00775632">
      <w:pPr>
        <w:pStyle w:val="Overskrift3"/>
      </w:pPr>
      <w:bookmarkStart w:id="350" w:name="_Toc127864161"/>
      <w:bookmarkStart w:id="351" w:name="_Toc131238291"/>
      <w:bookmarkStart w:id="352" w:name="_Toc131279321"/>
      <w:bookmarkStart w:id="353" w:name="_Toc131286733"/>
      <w:bookmarkStart w:id="354" w:name="_Toc131281143"/>
      <w:bookmarkStart w:id="355" w:name="_Toc131317682"/>
      <w:bookmarkStart w:id="356" w:name="_Toc132536901"/>
      <w:bookmarkStart w:id="357" w:name="_Toc126817036"/>
      <w:bookmarkStart w:id="358" w:name="_Toc127633167"/>
      <w:bookmarkEnd w:id="349"/>
      <w:r>
        <w:lastRenderedPageBreak/>
        <w:t>Åpne fastlegelister</w:t>
      </w:r>
      <w:bookmarkEnd w:id="350"/>
      <w:bookmarkEnd w:id="351"/>
      <w:bookmarkEnd w:id="352"/>
      <w:bookmarkEnd w:id="353"/>
      <w:bookmarkEnd w:id="354"/>
      <w:bookmarkEnd w:id="355"/>
      <w:bookmarkEnd w:id="356"/>
    </w:p>
    <w:p w14:paraId="3A988976" w14:textId="77777777" w:rsidR="00D9107F" w:rsidRDefault="00F35BC5" w:rsidP="00C16FAF">
      <w:pPr>
        <w:jc w:val="both"/>
      </w:pPr>
      <w:r>
        <w:t>Ledige plasser på fastlegelistene i en kommune gjenspeiler områdets fastlegekapasitet</w:t>
      </w:r>
      <w:r w:rsidR="007153E8">
        <w:t>,</w:t>
      </w:r>
      <w:r>
        <w:t xml:space="preserve"> og har innvirkning på </w:t>
      </w:r>
      <w:r w:rsidRPr="637D69A0">
        <w:t>innbyggernes</w:t>
      </w:r>
      <w:r>
        <w:t xml:space="preserve"> mulighet til å bytte fastlege eller få ny fastlege om legen slutter eller blir fraværende. Listetaket, antall listeplasser på en liste, har blitt redusert de siste årene</w:t>
      </w:r>
      <w:r w:rsidR="007153E8">
        <w:t>, og d</w:t>
      </w:r>
      <w:r>
        <w:t>et har vært en betydelig nedgang i antall ledige listeplasser. Helsedirektoratets statusrapport for 2. tertial 2022 viser at nedgang i gjennomsnittlig listelengde skjer samtidig med nedgang i gjennomsnittlig listetak</w:t>
      </w:r>
      <w:r w:rsidRPr="23BB611B">
        <w:t xml:space="preserve"> </w:t>
      </w:r>
      <w:r>
        <w:fldChar w:fldCharType="begin"/>
      </w:r>
      <w:r w:rsidR="004654FD">
        <w:instrText xml:space="preserve"> ADDIN EN.CITE &lt;EndNote&gt;&lt;Cite&gt;&lt;Author&gt;Helsedirektoratet&lt;/Author&gt;&lt;Year&gt;2022&lt;/Year&gt;&lt;RecNum&gt;906&lt;/RecNum&gt;&lt;DisplayText&gt;(Helsedirektoratet, 2022i)&lt;/DisplayText&gt;&lt;record&gt;&lt;rec-number&gt;906&lt;/rec-number&gt;&lt;foreign-keys&gt;&lt;key app="EN" db-id="95tpr2tp6r9xwoea9rb5wdsz5ds5xeddteew" timestamp="1680130806"&gt;906&lt;/key&gt;&lt;/foreign-keys&gt;&lt;ref-type name="Report"&gt;27&lt;/ref-type&gt;&lt;contributors&gt;&lt;authors&gt;&lt;author&gt;Helsedirektoratet&lt;/author&gt;&lt;/authors&gt;&lt;/contributors&gt;&lt;titles&gt;&lt;title&gt;Oppfølging av Handlingsplan for allmennlegetjenesten 2020-2024. Statusrapport - 2.tertial 2022&lt;/title&gt;&lt;/titles&gt;&lt;dates&gt;&lt;year&gt;2022&lt;/year&gt;&lt;/dates&gt;&lt;publisher&gt;Helsedirektoratet&lt;/publisher&gt;&lt;urls&gt;&lt;/urls&gt;&lt;/record&gt;&lt;/Cite&gt;&lt;/EndNote&gt;</w:instrText>
      </w:r>
      <w:r>
        <w:fldChar w:fldCharType="separate"/>
      </w:r>
      <w:r w:rsidR="004654FD">
        <w:rPr>
          <w:noProof/>
        </w:rPr>
        <w:t>(Helsedirektoratet, 2022i)</w:t>
      </w:r>
      <w:r>
        <w:fldChar w:fldCharType="end"/>
      </w:r>
      <w:r w:rsidR="00AA7B28">
        <w:t>.</w:t>
      </w:r>
      <w:r>
        <w:t xml:space="preserve"> Gjennomsnittlig listetak er redusert med 63 plasser, mens gjennomsnittlig listelengde er redusert med 36 plasser siden 1. tertial 2020, som gir en differanse nasjonalt på 18 plasser. Om man kun ser på lister med fastlege er differansen nesten halvert, til 10 plasser. Det innebærer en kraftig reduksjon fra 2020, hvor tilsvarende tall var på henholdsvis 45 og 40 plasser.</w:t>
      </w:r>
    </w:p>
    <w:p w14:paraId="54C7D9DF" w14:textId="77777777" w:rsidR="00D9107F" w:rsidRDefault="00F35BC5" w:rsidP="00C16FAF">
      <w:pPr>
        <w:jc w:val="both"/>
      </w:pPr>
      <w:r>
        <w:t xml:space="preserve">Figur </w:t>
      </w:r>
      <w:r w:rsidR="0077116C">
        <w:t>2-13</w:t>
      </w:r>
      <w:r>
        <w:t xml:space="preserve"> viser utvikling i l</w:t>
      </w:r>
      <w:r w:rsidR="00696FCC">
        <w:t>edige listeplasser</w:t>
      </w:r>
      <w:r>
        <w:t xml:space="preserve"> for lister med og uten fastlege for perioden 2002 til </w:t>
      </w:r>
      <w:r w:rsidR="00773827">
        <w:t>utgangen av</w:t>
      </w:r>
      <w:r>
        <w:t xml:space="preserve"> 202</w:t>
      </w:r>
      <w:r w:rsidR="00773827">
        <w:t>2</w:t>
      </w:r>
      <w:r w:rsidR="002459ED">
        <w:t>, totalt for hele landet</w:t>
      </w:r>
      <w:r>
        <w:t>.</w:t>
      </w:r>
    </w:p>
    <w:p w14:paraId="61486417" w14:textId="07190FB2" w:rsidR="00F35BC5" w:rsidRPr="004765F3" w:rsidRDefault="00F35BC5" w:rsidP="001B5274">
      <w:pPr>
        <w:pStyle w:val="avsnitt-tittel"/>
      </w:pPr>
      <w:r w:rsidRPr="004765F3">
        <w:t xml:space="preserve">Figur </w:t>
      </w:r>
      <w:r w:rsidR="00775C94">
        <w:t>2-13</w:t>
      </w:r>
      <w:r w:rsidR="005E0B90">
        <w:t>:</w:t>
      </w:r>
      <w:r w:rsidR="001B5274">
        <w:t xml:space="preserve"> </w:t>
      </w:r>
      <w:r w:rsidRPr="004765F3">
        <w:t xml:space="preserve">Utvikling i </w:t>
      </w:r>
      <w:r w:rsidR="00696FCC">
        <w:t>ledige lis</w:t>
      </w:r>
      <w:r w:rsidR="00E62483">
        <w:t>teplasser</w:t>
      </w:r>
      <w:r w:rsidRPr="004765F3">
        <w:t xml:space="preserve"> for lister med og uten fastlege</w:t>
      </w:r>
      <w:r w:rsidR="00043BE6">
        <w:t xml:space="preserve">, </w:t>
      </w:r>
      <w:r w:rsidRPr="004765F3">
        <w:t>2002</w:t>
      </w:r>
      <w:r>
        <w:t xml:space="preserve"> –</w:t>
      </w:r>
      <w:r w:rsidRPr="004765F3">
        <w:t xml:space="preserve"> 202</w:t>
      </w:r>
      <w:r w:rsidR="005B56B7">
        <w:t>2</w:t>
      </w:r>
    </w:p>
    <w:p w14:paraId="3134A73D" w14:textId="77777777" w:rsidR="00F35BC5" w:rsidRDefault="00F35BC5" w:rsidP="00F35BC5">
      <w:r>
        <w:rPr>
          <w:noProof/>
        </w:rPr>
        <w:drawing>
          <wp:inline distT="0" distB="0" distL="0" distR="0" wp14:anchorId="55F478A9" wp14:editId="2F68B90D">
            <wp:extent cx="6118860" cy="2584520"/>
            <wp:effectExtent l="38100" t="38100" r="34290" b="44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33099" cy="2590534"/>
                    </a:xfrm>
                    <a:prstGeom prst="rect">
                      <a:avLst/>
                    </a:prstGeom>
                    <a:noFill/>
                    <a:ln w="38100">
                      <a:solidFill>
                        <a:srgbClr val="A9D6B9"/>
                      </a:solidFill>
                    </a:ln>
                  </pic:spPr>
                </pic:pic>
              </a:graphicData>
            </a:graphic>
          </wp:inline>
        </w:drawing>
      </w:r>
    </w:p>
    <w:p w14:paraId="5A393267" w14:textId="0AD4B80E" w:rsidR="00D9107F" w:rsidRPr="00D9107F" w:rsidRDefault="00866A20" w:rsidP="00E93574">
      <w:pPr>
        <w:pStyle w:val="Petit"/>
        <w:rPr>
          <w:rStyle w:val="kursiv"/>
        </w:rPr>
      </w:pPr>
      <w:r w:rsidRPr="00D9107F">
        <w:rPr>
          <w:rStyle w:val="kursiv"/>
        </w:rPr>
        <w:t>Kilde: FLO</w:t>
      </w:r>
      <w:r w:rsidR="00911DE5" w:rsidRPr="00D9107F">
        <w:rPr>
          <w:rStyle w:val="kursiv"/>
        </w:rPr>
        <w:t xml:space="preserve">, </w:t>
      </w:r>
      <w:r w:rsidR="00CE0516" w:rsidRPr="00D9107F">
        <w:rPr>
          <w:rStyle w:val="kursiv"/>
        </w:rPr>
        <w:t>2002</w:t>
      </w:r>
      <w:r w:rsidR="00D9107F" w:rsidRPr="00D9107F">
        <w:rPr>
          <w:rStyle w:val="kursiv"/>
        </w:rPr>
        <w:t xml:space="preserve"> – </w:t>
      </w:r>
      <w:r w:rsidR="002C7976" w:rsidRPr="00D9107F">
        <w:rPr>
          <w:rStyle w:val="kursiv"/>
        </w:rPr>
        <w:t xml:space="preserve">1.tertial </w:t>
      </w:r>
      <w:r w:rsidR="00CE0516" w:rsidRPr="00D9107F">
        <w:rPr>
          <w:rStyle w:val="kursiv"/>
        </w:rPr>
        <w:t>2023.</w:t>
      </w:r>
    </w:p>
    <w:p w14:paraId="5D914217" w14:textId="77777777" w:rsidR="00D9107F" w:rsidRDefault="00F35BC5" w:rsidP="00BE52DC">
      <w:pPr>
        <w:jc w:val="both"/>
      </w:pPr>
      <w:r w:rsidRPr="00D80DE7">
        <w:lastRenderedPageBreak/>
        <w:t>Figur</w:t>
      </w:r>
      <w:r w:rsidR="00C914CA">
        <w:t xml:space="preserve"> 2-14</w:t>
      </w:r>
      <w:r w:rsidRPr="00D80DE7">
        <w:t xml:space="preserve"> viser utvikling i gjennomsnittlig listelengde og listetak for lister med og uten fastlege</w:t>
      </w:r>
      <w:r w:rsidR="00846B5E">
        <w:t xml:space="preserve"> for årene 2018 til </w:t>
      </w:r>
      <w:r w:rsidR="00A55EC4">
        <w:t>1.</w:t>
      </w:r>
      <w:r w:rsidR="0026264D">
        <w:t xml:space="preserve"> </w:t>
      </w:r>
      <w:r w:rsidR="00A55EC4">
        <w:t>tertial 2023</w:t>
      </w:r>
      <w:r w:rsidRPr="00D80DE7">
        <w:t>, og det vises også når Oslo og Bærum er ekskludert.</w:t>
      </w:r>
    </w:p>
    <w:p w14:paraId="60E15E36" w14:textId="677BCA39" w:rsidR="00F35BC5" w:rsidRPr="00BD2BC0" w:rsidRDefault="00F35BC5" w:rsidP="00E93574">
      <w:pPr>
        <w:pStyle w:val="avsnitt-tittel"/>
      </w:pPr>
      <w:r w:rsidRPr="00BD2BC0">
        <w:t xml:space="preserve">Figur </w:t>
      </w:r>
      <w:r w:rsidR="00775C94">
        <w:t>2-14</w:t>
      </w:r>
      <w:r w:rsidR="005E0B90">
        <w:t>:</w:t>
      </w:r>
      <w:r w:rsidRPr="00BD2BC0">
        <w:t xml:space="preserve"> Utvikling i gjennomsnittlig listelengde og listetak</w:t>
      </w:r>
      <w:r w:rsidR="00327F9F">
        <w:t>,</w:t>
      </w:r>
      <w:r w:rsidRPr="00BD2BC0">
        <w:t xml:space="preserve"> med og uten Oslo og Bærum, 2018 – 1. tertial 2023</w:t>
      </w:r>
    </w:p>
    <w:p w14:paraId="40E820AC" w14:textId="0259D343" w:rsidR="00F35BC5" w:rsidRDefault="00DB3B6A" w:rsidP="00F35BC5">
      <w:r>
        <w:rPr>
          <w:noProof/>
        </w:rPr>
        <w:drawing>
          <wp:inline distT="0" distB="0" distL="0" distR="0" wp14:anchorId="52CD4617" wp14:editId="18D6C53F">
            <wp:extent cx="6120765" cy="3602990"/>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p>
    <w:p w14:paraId="67F1A438" w14:textId="75D5236C" w:rsidR="00D9107F" w:rsidRPr="00D9107F" w:rsidRDefault="00F35BC5" w:rsidP="00E93574">
      <w:pPr>
        <w:pStyle w:val="Petit"/>
        <w:rPr>
          <w:rStyle w:val="kursiv"/>
        </w:rPr>
      </w:pPr>
      <w:r w:rsidRPr="00D9107F">
        <w:rPr>
          <w:rStyle w:val="kursiv"/>
        </w:rPr>
        <w:t>Kilde: FLO</w:t>
      </w:r>
      <w:r w:rsidR="00520A65" w:rsidRPr="00D9107F">
        <w:rPr>
          <w:rStyle w:val="kursiv"/>
        </w:rPr>
        <w:t xml:space="preserve">, </w:t>
      </w:r>
      <w:r w:rsidR="00BC56F3" w:rsidRPr="00D9107F">
        <w:rPr>
          <w:rStyle w:val="kursiv"/>
        </w:rPr>
        <w:t xml:space="preserve">4. tertial </w:t>
      </w:r>
      <w:r w:rsidR="00520A65" w:rsidRPr="00D9107F">
        <w:rPr>
          <w:rStyle w:val="kursiv"/>
        </w:rPr>
        <w:t>2018</w:t>
      </w:r>
      <w:r w:rsidR="00D9107F" w:rsidRPr="00D9107F">
        <w:rPr>
          <w:rStyle w:val="kursiv"/>
        </w:rPr>
        <w:t xml:space="preserve"> – </w:t>
      </w:r>
      <w:r w:rsidR="00BC56F3" w:rsidRPr="00D9107F">
        <w:rPr>
          <w:rStyle w:val="kursiv"/>
        </w:rPr>
        <w:t xml:space="preserve">1.tertial </w:t>
      </w:r>
      <w:r w:rsidR="00520A65" w:rsidRPr="00D9107F">
        <w:rPr>
          <w:rStyle w:val="kursiv"/>
        </w:rPr>
        <w:t>2023</w:t>
      </w:r>
      <w:r w:rsidR="00BE52DC" w:rsidRPr="00D9107F">
        <w:rPr>
          <w:rStyle w:val="kursiv"/>
        </w:rPr>
        <w:t>.</w:t>
      </w:r>
    </w:p>
    <w:p w14:paraId="4D624598" w14:textId="77777777" w:rsidR="00D9107F" w:rsidRDefault="00F35BC5" w:rsidP="00A15C19">
      <w:pPr>
        <w:jc w:val="both"/>
      </w:pPr>
      <w:r>
        <w:t>Reduksjonen i listetak og listelengde påvirker det totale antallet listeplasser i fastlegeordningen. Både folkerike og mindre folkerike kommuner har</w:t>
      </w:r>
      <w:r w:rsidRPr="513C6B95">
        <w:t xml:space="preserve"> fått</w:t>
      </w:r>
      <w:r>
        <w:t xml:space="preserve"> færre antall ledige plasser på liste med fast lege de siste to årene. Årsaksforholdene varierer med kommunestørrelsen. Mens mindre folkerike kommuner har høyere andel lister uten fast lege, har befolkningsrike kommuner svært høyt listebelegg. Grovt sett ser det ut til at mangel på fastlegekapasitet i mindre folkerike kommuner primært er relatert til ubesatte lister, mens </w:t>
      </w:r>
      <w:r w:rsidRPr="513C6B95">
        <w:t xml:space="preserve">en i </w:t>
      </w:r>
      <w:r w:rsidR="00364E9D">
        <w:t xml:space="preserve">folkerike </w:t>
      </w:r>
      <w:r>
        <w:t>kommuner ikke har kapasitet til å bytte fastlege eller ta inn nye innbyggere.</w:t>
      </w:r>
    </w:p>
    <w:p w14:paraId="7B597DE0" w14:textId="4778AA39" w:rsidR="00D9107F" w:rsidRDefault="00F35BC5" w:rsidP="00A15C19">
      <w:pPr>
        <w:jc w:val="both"/>
      </w:pPr>
      <w:r>
        <w:t>Nedgangen i antall ledige listeplasser med fastlege er størst i de mest befolkede kommunene, på nasjonalt nivå kun fem ledige plasser per 1000 listeinnbyggere. I kommuner med 1</w:t>
      </w:r>
      <w:r w:rsidR="00D9107F">
        <w:t>0 000</w:t>
      </w:r>
      <w:r>
        <w:t>–4</w:t>
      </w:r>
      <w:r w:rsidR="00D9107F">
        <w:t>9 999</w:t>
      </w:r>
      <w:r>
        <w:t xml:space="preserve"> innbyggere </w:t>
      </w:r>
      <w:r w:rsidR="00B72709">
        <w:t>va</w:t>
      </w:r>
      <w:r>
        <w:t>r det per mars 2023</w:t>
      </w:r>
      <w:r w:rsidR="003168C6">
        <w:t>,</w:t>
      </w:r>
      <w:r>
        <w:t xml:space="preserve"> </w:t>
      </w:r>
      <w:r w:rsidR="00B72709">
        <w:t>samlet sett</w:t>
      </w:r>
      <w:r w:rsidR="003168C6">
        <w:t>,</w:t>
      </w:r>
      <w:r>
        <w:t xml:space="preserve"> ingen ledige plasser. </w:t>
      </w:r>
      <w:r w:rsidRPr="009804A8">
        <w:t xml:space="preserve">En større andel av de store kommunene har underkapasitet og det står flere innbyggere på lister enn det er planlagt for (listetaket). </w:t>
      </w:r>
      <w:r>
        <w:t xml:space="preserve">I august 2022 hadde nærmere hver tredje kommune </w:t>
      </w:r>
      <w:r w:rsidR="00A00F10">
        <w:t>flere innbyggere på listene</w:t>
      </w:r>
      <w:r>
        <w:t xml:space="preserve"> enn </w:t>
      </w:r>
      <w:r w:rsidR="00A00F10">
        <w:t>det var planlagt gjennom avtalt listetak</w:t>
      </w:r>
      <w:r>
        <w:t xml:space="preserve"> (30 prosent </w:t>
      </w:r>
      <w:r w:rsidR="00A00F10">
        <w:t xml:space="preserve">av kommunene </w:t>
      </w:r>
      <w:r>
        <w:t>for lister med fast lege, 33 prosent inkludert lister uten fast lege).</w:t>
      </w:r>
    </w:p>
    <w:p w14:paraId="0D7DDE6A" w14:textId="77777777" w:rsidR="00D9107F" w:rsidRDefault="00F35BC5" w:rsidP="00775632">
      <w:pPr>
        <w:pStyle w:val="Overskrift3"/>
      </w:pPr>
      <w:bookmarkStart w:id="359" w:name="_Toc127864162"/>
      <w:bookmarkStart w:id="360" w:name="_Toc131238292"/>
      <w:bookmarkStart w:id="361" w:name="_Toc131279322"/>
      <w:bookmarkStart w:id="362" w:name="_Toc131286734"/>
      <w:bookmarkStart w:id="363" w:name="_Toc131281144"/>
      <w:bookmarkStart w:id="364" w:name="_Toc131317683"/>
      <w:bookmarkStart w:id="365" w:name="_Toc132536902"/>
      <w:r>
        <w:lastRenderedPageBreak/>
        <w:t>Kvalitet</w:t>
      </w:r>
      <w:bookmarkEnd w:id="357"/>
      <w:bookmarkEnd w:id="358"/>
      <w:bookmarkEnd w:id="359"/>
      <w:bookmarkEnd w:id="360"/>
      <w:bookmarkEnd w:id="361"/>
      <w:bookmarkEnd w:id="362"/>
      <w:bookmarkEnd w:id="363"/>
      <w:bookmarkEnd w:id="364"/>
      <w:bookmarkEnd w:id="365"/>
    </w:p>
    <w:p w14:paraId="5A3AFAE8" w14:textId="77777777" w:rsidR="00D9107F" w:rsidRDefault="00F35BC5" w:rsidP="00A15C19">
      <w:pPr>
        <w:jc w:val="both"/>
      </w:pPr>
      <w:r>
        <w:t>Brukererfaringer benyttes som mål på kvalitet i tjenesten. Som tidligere beskrevet</w:t>
      </w:r>
      <w:r w:rsidR="007153E8">
        <w:t>,</w:t>
      </w:r>
      <w:r>
        <w:t xml:space="preserve"> har FHI gjennomført to brukerundersøkelser om p</w:t>
      </w:r>
      <w:r w:rsidRPr="00A37155">
        <w:t>asienterfaringer med fastlegen og fastlegekontoret</w:t>
      </w:r>
      <w:r w:rsidRPr="00D9107F">
        <w:rPr>
          <w:rStyle w:val="kursiv"/>
        </w:rPr>
        <w:t xml:space="preserve">, </w:t>
      </w:r>
      <w:r w:rsidRPr="00A75997">
        <w:t>i</w:t>
      </w:r>
      <w:r w:rsidRPr="00D9107F">
        <w:rPr>
          <w:rStyle w:val="kursiv"/>
        </w:rPr>
        <w:t xml:space="preserve"> </w:t>
      </w:r>
      <w:r w:rsidRPr="009C45D0">
        <w:t>2018/2019 og i 2020/2021</w:t>
      </w:r>
      <w:r>
        <w:t>, på oppdrag fra Helse- og omsorgsdepartementet</w:t>
      </w:r>
      <w:r w:rsidRPr="00D9107F">
        <w:rPr>
          <w:rStyle w:val="kursiv"/>
        </w:rPr>
        <w:t xml:space="preserve">. </w:t>
      </w:r>
      <w:r w:rsidRPr="00A015ED">
        <w:t>Fra 2022</w:t>
      </w:r>
      <w:r>
        <w:t xml:space="preserve"> har pasienterfaringer med fastlegekontoret inngått som en indikator i Nasjonalt kvalitetsindikatorsystemet. Kvalitetsindikatorer er statistikk som brukes for å belyse kvalitet i helsetjenesten, direkte i helsetjenestens kvalitetsforbedringsarbeid og som informasjon til pasienter og befolkningen ellers </w:t>
      </w:r>
      <w:r>
        <w:fldChar w:fldCharType="begin"/>
      </w:r>
      <w:r w:rsidR="00235862">
        <w:instrText xml:space="preserve"> ADDIN EN.CITE &lt;EndNote&gt;&lt;Cite&gt;&lt;Author&gt;Helsedirektoratet&lt;/Author&gt;&lt;Year&gt;2021&lt;/Year&gt;&lt;RecNum&gt;432&lt;/RecNum&gt;&lt;DisplayText&gt;(Helsedirektoratet, 2021b)&lt;/DisplayText&gt;&lt;record&gt;&lt;rec-number&gt;432&lt;/rec-number&gt;&lt;foreign-keys&gt;&lt;key app="EN" db-id="95tpr2tp6r9xwoea9rb5wdsz5ds5xeddteew" timestamp="1680069511"&gt;432&lt;/key&gt;&lt;/foreign-keys&gt;&lt;ref-type name="Web Page"&gt;12&lt;/ref-type&gt;&lt;contributors&gt;&lt;authors&gt;&lt;author&gt;Helsedirektoratet&lt;/author&gt;&lt;/authors&gt;&lt;/contributors&gt;&lt;titles&gt;&lt;title&gt;Kvalitet og kvalitetsindikatorer&lt;/title&gt;&lt;/titles&gt;&lt;number&gt;09.03.2023&lt;/number&gt;&lt;dates&gt;&lt;year&gt;2021&lt;/year&gt;&lt;pub-dates&gt;&lt;date&gt;28.11.2022&lt;/date&gt;&lt;/pub-dates&gt;&lt;/dates&gt;&lt;pub-location&gt;Oslo&lt;/pub-location&gt;&lt;publisher&gt;Helsedirektoratet&lt;/publisher&gt;&lt;work-type&gt;nettdokument&lt;/work-type&gt;&lt;urls&gt;&lt;/urls&gt;&lt;/record&gt;&lt;/Cite&gt;&lt;/EndNote&gt;</w:instrText>
      </w:r>
      <w:r>
        <w:fldChar w:fldCharType="separate"/>
      </w:r>
      <w:r w:rsidR="00D078E3">
        <w:rPr>
          <w:noProof/>
        </w:rPr>
        <w:t>(Helsedirektoratet, 2021b)</w:t>
      </w:r>
      <w:r>
        <w:fldChar w:fldCharType="end"/>
      </w:r>
      <w:r w:rsidR="00542B16">
        <w:t>.</w:t>
      </w:r>
    </w:p>
    <w:p w14:paraId="7727D61E" w14:textId="77777777" w:rsidR="00D9107F" w:rsidRDefault="00F35BC5" w:rsidP="00A15C19">
      <w:pPr>
        <w:jc w:val="both"/>
      </w:pPr>
      <w:r>
        <w:t xml:space="preserve">I undersøkelsen fra </w:t>
      </w:r>
      <w:r w:rsidRPr="00812C70">
        <w:t>2019</w:t>
      </w:r>
      <w:r w:rsidRPr="00D9107F">
        <w:rPr>
          <w:rStyle w:val="kursiv"/>
        </w:rPr>
        <w:t xml:space="preserve"> </w:t>
      </w:r>
      <w:r>
        <w:t xml:space="preserve">oppgir mange brukere at de er fornøyde med fastlegen, men det er et forbedringsbehov særlig knyttet til at fastlegen ikke har nok tid. Mange som har hatt behov for hjemmebesøk eller tolk, har ikke fått tilbud om dette. Andre forbedringsområder er informasjon om bruk og bivirkninger av medisiner, og at pasienter får skrevet ut medisinlister ved endringer i medisinering. Ønsker for framtidens fastlegetilbud gjenspeiler erfaringene </w:t>
      </w:r>
      <w:r>
        <w:fldChar w:fldCharType="begin"/>
      </w:r>
      <w:r w:rsidR="004654FD">
        <w:instrText xml:space="preserve"> ADDIN EN.CITE &lt;EndNote&gt;&lt;Cite&gt;&lt;Author&gt;Iversen&lt;/Author&gt;&lt;Year&gt;2019&lt;/Year&gt;&lt;RecNum&gt;610&lt;/RecNum&gt;&lt;DisplayText&gt;(Iversen et al., 2019)&lt;/DisplayText&gt;&lt;record&gt;&lt;rec-number&gt;610&lt;/rec-number&gt;&lt;foreign-keys&gt;&lt;key app="EN" db-id="95tpr2tp6r9xwoea9rb5wdsz5ds5xeddteew" timestamp="1680069511"&gt;610&lt;/key&gt;&lt;/foreign-keys&gt;&lt;ref-type name="Report"&gt;27&lt;/ref-type&gt;&lt;contributors&gt;&lt;authors&gt;&lt;author&gt;Iversen, Hilde Karin Hestad&lt;/author&gt;&lt;author&gt;Bjertnæs, Øyvind Andresen&lt;/author&gt;&lt;author&gt;Holmboe, Olaf&lt;/author&gt;&lt;/authors&gt;&lt;/contributors&gt;&lt;titles&gt;&lt;title&gt;Pasienterfaringer med fastlegen og fastlegekontoret i 2018/19&lt;/title&gt;&lt;/titles&gt;&lt;dates&gt;&lt;year&gt;2019&lt;/year&gt;&lt;/dates&gt;&lt;pub-location&gt;Oslo&lt;/pub-location&gt;&lt;publisher&gt;Folkehelseinstituttet&lt;/publisher&gt;&lt;isbn&gt;PasOpprapport 2019:1&lt;/isbn&gt;&lt;urls&gt;&lt;/urls&gt;&lt;/record&gt;&lt;/Cite&gt;&lt;/EndNote&gt;</w:instrText>
      </w:r>
      <w:r>
        <w:fldChar w:fldCharType="separate"/>
      </w:r>
      <w:r>
        <w:rPr>
          <w:noProof/>
        </w:rPr>
        <w:t>(Iversen et al., 2019)</w:t>
      </w:r>
      <w:r>
        <w:fldChar w:fldCharType="end"/>
      </w:r>
      <w:r>
        <w:t>.</w:t>
      </w:r>
    </w:p>
    <w:p w14:paraId="1B1BA624" w14:textId="23B879DD" w:rsidR="00F35BC5" w:rsidRDefault="00F35BC5" w:rsidP="00A15C19">
      <w:pPr>
        <w:jc w:val="both"/>
      </w:pPr>
      <w:r>
        <w:t>Brukerundersøkelsen for 2021/2022 viser at tilgjengelighet til fastlegen er indikatoren der pasientene gir dårligst skår. I kvalitative kommentarer trekker pasientene fram viktigheten av kontinuitet</w:t>
      </w:r>
      <w:r w:rsidR="007153E8">
        <w:t>,</w:t>
      </w:r>
      <w:r>
        <w:t xml:space="preserve"> og at det er særlig krevende å møte mange ulike vikarer for egen fastlege. Det er fortsatt slik at pasienter med dårlig egenvurdert fysisk og psykisk helse rapporterer dårligere erfaringer med fastlegen og fastlegekontoret enn andre </w:t>
      </w:r>
      <w:r>
        <w:fldChar w:fldCharType="begin"/>
      </w:r>
      <w:r w:rsidR="00235862">
        <w:instrText xml:space="preserve"> ADDIN EN.CITE &lt;EndNote&gt;&lt;Cite&gt;&lt;Author&gt;Norman&lt;/Author&gt;&lt;Year&gt;2022&lt;/Year&gt;&lt;RecNum&gt;611&lt;/RecNum&gt;&lt;DisplayText&gt;(Norman et al., 2022)&lt;/DisplayText&gt;&lt;record&gt;&lt;rec-number&gt;611&lt;/rec-number&gt;&lt;foreign-keys&gt;&lt;key app="EN" db-id="95tpr2tp6r9xwoea9rb5wdsz5ds5xeddteew" timestamp="1680069511"&gt;611&lt;/key&gt;&lt;/foreign-keys&gt;&lt;ref-type name="Report"&gt;27&lt;/ref-type&gt;&lt;contributors&gt;&lt;authors&gt;&lt;author&gt;Norman, Rebecka Maria&lt;/author&gt;&lt;author&gt;Danielsen, Kirsten&lt;/author&gt;&lt;author&gt;Bjertnæs, Øyvind Andresen&lt;/author&gt;&lt;author&gt;Holmboe, Olaf&lt;/author&gt;&lt;/authors&gt;&lt;/contributors&gt;&lt;titles&gt;&lt;title&gt;Pasienterfaringer med fastlegen og fastlegekontoret i 2021/2022&lt;/title&gt;&lt;/titles&gt;&lt;keywords&gt;&lt;keyword&gt;Emigrants and Immigrants&lt;/keyword&gt;&lt;keyword&gt;Fastlege&lt;/keyword&gt;&lt;keyword&gt;General Practice&lt;/keyword&gt;&lt;keyword&gt;Health Care Surveys&lt;/keyword&gt;&lt;keyword&gt;Helseundersøkinger&lt;/keyword&gt;&lt;keyword&gt;Immigranter&lt;/keyword&gt;&lt;keyword&gt;Patient Outcome Assessment&lt;/keyword&gt;&lt;keyword&gt;Resultatvurdering av pasientbehandling&lt;/keyword&gt;&lt;keyword&gt;Spørreundersøkelser&lt;/keyword&gt;&lt;keyword&gt;Utlendinger&lt;/keyword&gt;&lt;/keywords&gt;&lt;dates&gt;&lt;year&gt;2022&lt;/year&gt;&lt;/dates&gt;&lt;publisher&gt;Folkehelseinstituttet&lt;/publisher&gt;&lt;urls&gt;&lt;/urls&gt;&lt;/record&gt;&lt;/Cite&gt;&lt;/EndNote&gt;</w:instrText>
      </w:r>
      <w:r>
        <w:fldChar w:fldCharType="separate"/>
      </w:r>
      <w:r>
        <w:rPr>
          <w:noProof/>
        </w:rPr>
        <w:t>(Norman et al., 2022)</w:t>
      </w:r>
      <w:r>
        <w:fldChar w:fldCharType="end"/>
      </w:r>
      <w:r>
        <w:t xml:space="preserve">. Tilgjengelighet og ventetid beskrives nærmere i </w:t>
      </w:r>
      <w:r w:rsidR="00D4469B">
        <w:t>kapittel</w:t>
      </w:r>
      <w:r>
        <w:t xml:space="preserve"> </w:t>
      </w:r>
      <w:r w:rsidR="00E56C96">
        <w:t>2.2.2</w:t>
      </w:r>
      <w:r w:rsidRPr="00D4469B">
        <w:t>.</w:t>
      </w:r>
    </w:p>
    <w:p w14:paraId="2AAD5EA4" w14:textId="77777777" w:rsidR="00D9107F" w:rsidRPr="00D9107F" w:rsidRDefault="00F35BC5" w:rsidP="00A15C19">
      <w:pPr>
        <w:jc w:val="both"/>
        <w:rPr>
          <w:rStyle w:val="kursiv"/>
        </w:rPr>
      </w:pPr>
      <w:r>
        <w:t>Det er begrenset med data og forskning som belyser kvalitet i fastlegetjenesten. Etter ekspertutvalgets vurdering er dette et viktig kunnskapshull og et selvstendig punkt i utfordringsbildet for allmennlegetjenesten.</w:t>
      </w:r>
    </w:p>
    <w:p w14:paraId="1E31624B" w14:textId="77777777" w:rsidR="00377624" w:rsidRDefault="00861241" w:rsidP="00377624">
      <w:pPr>
        <w:pStyle w:val="tittel-ramme"/>
        <w:jc w:val="left"/>
      </w:pPr>
      <w:r w:rsidRPr="00D9107F">
        <w:rPr>
          <w:rStyle w:val="kursiv"/>
        </w:rPr>
        <w:t>Fastlegebehovet i tiden framover</w:t>
      </w:r>
    </w:p>
    <w:tbl>
      <w:tblPr>
        <w:tblStyle w:val="StandardBoks"/>
        <w:tblW w:w="0" w:type="auto"/>
        <w:tblLook w:val="04A0" w:firstRow="1" w:lastRow="0" w:firstColumn="1" w:lastColumn="0" w:noHBand="0" w:noVBand="1"/>
      </w:tblPr>
      <w:tblGrid>
        <w:gridCol w:w="9736"/>
      </w:tblGrid>
      <w:tr w:rsidR="00377624" w14:paraId="0FD1C295" w14:textId="77777777" w:rsidTr="00377624">
        <w:tc>
          <w:tcPr>
            <w:tcW w:w="9736" w:type="dxa"/>
          </w:tcPr>
          <w:p w14:paraId="617E07A7" w14:textId="77777777" w:rsidR="00377624" w:rsidRPr="00054F2B" w:rsidRDefault="00377624" w:rsidP="00377624">
            <w:r w:rsidRPr="00054F2B">
              <w:t>Hvor mange fastleger det vil være behov for i tiden framover</w:t>
            </w:r>
            <w:r>
              <w:t xml:space="preserve"> avhenger av en rekke faktorer, som den demografiske utviklingen, sykelighet i befolkningen og innbyggernes helsetjenestebruk</w:t>
            </w:r>
            <w:r w:rsidRPr="00054F2B">
              <w:t xml:space="preserve">. Den framtidige fastlegebruken er igjen </w:t>
            </w:r>
            <w:r>
              <w:t>relatert</w:t>
            </w:r>
            <w:r w:rsidRPr="00054F2B">
              <w:t xml:space="preserve"> </w:t>
            </w:r>
            <w:r>
              <w:t>til ulike forhold</w:t>
            </w:r>
            <w:r w:rsidRPr="00054F2B">
              <w:t xml:space="preserve">, som tilbud og tilgang til tjenesten, teknologisk utvikling og politiske prioriteringer. </w:t>
            </w:r>
          </w:p>
          <w:p w14:paraId="3AF86C55" w14:textId="77777777" w:rsidR="00377624" w:rsidRPr="00054F2B" w:rsidRDefault="00377624" w:rsidP="00377624">
            <w:r w:rsidRPr="00054F2B">
              <w:t>FHI har utarbeidet framskrivinger av hvor mange fastleger det vil bli behov for fram mot 2040, basert på SSBs befolkningsframskrivinger og observert fastlegebruk for ulike aldersgrupper (Gjefsen, 2023a). Det er også utarbeidet en alternativ beregning, basert på økning av årlige fastlegekonsultasjoner blant de eldste.</w:t>
            </w:r>
          </w:p>
          <w:p w14:paraId="6760CA79" w14:textId="77777777" w:rsidR="00377624" w:rsidRPr="00861241" w:rsidRDefault="00377624" w:rsidP="00377624">
            <w:r w:rsidRPr="00054F2B">
              <w:t xml:space="preserve">Framskriving av fastlegebruk er basert på dagens fastlegebruk per innbygger, kombinert med befolkningsframskrivingene fra SSB fra 2022. </w:t>
            </w:r>
            <w:r>
              <w:t>F</w:t>
            </w:r>
            <w:r w:rsidRPr="00E1341D">
              <w:t>igur</w:t>
            </w:r>
            <w:r>
              <w:t>en under</w:t>
            </w:r>
            <w:r w:rsidRPr="00054F2B">
              <w:t xml:space="preserve"> vise</w:t>
            </w:r>
            <w:r>
              <w:t>r</w:t>
            </w:r>
            <w:r w:rsidRPr="00054F2B">
              <w:t xml:space="preserve"> framskriving av </w:t>
            </w:r>
            <w:r w:rsidRPr="00054F2B">
              <w:lastRenderedPageBreak/>
              <w:t xml:space="preserve">fastlegebruk fram mot 2040, fordelt på fem kontaktkategorier. Konsultasjoner uten sykmelding er den største kategorien også i framskrivingene, etterfulgt av enkle kontakter. Det framskrives en reduksjon i sykmeldinger og erklæringer til NAV fram mot 2040, på grunn av reduksjon i andel av befolkningen i yrkesaktiv alder, fra 9,3 prosent i 2022 til 8,3 prosent i 2040. Tilsvarende framskrives en økning i kategorien kommunikasjon med helsetjenesten og pårørende, grunnet økning av antallet eldre i befolkningen, fra 8,5 prosent til 10,5 prosent i </w:t>
            </w:r>
            <w:r w:rsidRPr="00861241">
              <w:t>2040. Det framskrives størst bruk av disse tjenestene i de eldste aldersklassene.</w:t>
            </w:r>
          </w:p>
          <w:p w14:paraId="07447CBF" w14:textId="77777777" w:rsidR="00377624" w:rsidRPr="00861241" w:rsidRDefault="00377624" w:rsidP="00377624">
            <w:pPr>
              <w:pStyle w:val="avsnitt-tittel"/>
            </w:pPr>
            <w:r w:rsidRPr="00861241">
              <w:t>Framskrivinger av fastlegebruk i millioner kontakter</w:t>
            </w:r>
          </w:p>
          <w:p w14:paraId="6972575E" w14:textId="77777777" w:rsidR="00377624" w:rsidRDefault="00377624" w:rsidP="00377624">
            <w:pPr>
              <w:rPr>
                <w:rFonts w:ascii="Calibri" w:hAnsi="Calibri" w:cs="Calibri"/>
                <w:color w:val="000000" w:themeColor="text1"/>
              </w:rPr>
            </w:pPr>
            <w:r w:rsidRPr="00ED053D">
              <w:rPr>
                <w:noProof/>
              </w:rPr>
              <w:drawing>
                <wp:inline distT="0" distB="0" distL="0" distR="0" wp14:anchorId="262A8B3A" wp14:editId="492BF0F6">
                  <wp:extent cx="5868237" cy="4164698"/>
                  <wp:effectExtent l="0" t="0" r="0" b="7620"/>
                  <wp:docPr id="1908704946" name="Picture 190870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823" cy="4170792"/>
                          </a:xfrm>
                          <a:prstGeom prst="rect">
                            <a:avLst/>
                          </a:prstGeom>
                        </pic:spPr>
                      </pic:pic>
                    </a:graphicData>
                  </a:graphic>
                </wp:inline>
              </w:drawing>
            </w:r>
          </w:p>
          <w:p w14:paraId="0EBEBA0A" w14:textId="77777777" w:rsidR="00377624" w:rsidRPr="00657F9A" w:rsidRDefault="00377624" w:rsidP="00377624">
            <w:pPr>
              <w:pStyle w:val="Petit"/>
              <w:rPr>
                <w:rStyle w:val="kursiv"/>
              </w:rPr>
            </w:pPr>
            <w:r w:rsidRPr="00657F9A">
              <w:rPr>
                <w:rStyle w:val="kursiv"/>
              </w:rPr>
              <w:t>Merknad: Basert på observert bruk av kontakttyper i 2021–2022 og SSBs befolkningsframskrivinger.</w:t>
            </w:r>
          </w:p>
          <w:p w14:paraId="00958788" w14:textId="77777777" w:rsidR="00377624" w:rsidRPr="004A3F2B" w:rsidRDefault="00377624" w:rsidP="00377624">
            <w:r w:rsidRPr="004A3F2B">
              <w:t>Den forventede økningen i fastlegebruk legges til grunn for å framskrive hvor mange fastleger som er nødvendig for å dekke innbyggernes behov. Videre forutsetter forskerne i referansescenariet at fastlegene i gjennomsnitt bruker like mye tid på kontakter framover i tid som gjennomsnittsfastlegen i 2022.</w:t>
            </w:r>
          </w:p>
          <w:p w14:paraId="037D207C" w14:textId="77777777" w:rsidR="00377624" w:rsidRPr="004A3F2B" w:rsidRDefault="00377624" w:rsidP="00377624">
            <w:r w:rsidRPr="00C31017">
              <w:t>Figu</w:t>
            </w:r>
            <w:r>
              <w:t>ren under</w:t>
            </w:r>
            <w:r w:rsidRPr="00C31017">
              <w:t xml:space="preserve"> </w:t>
            </w:r>
            <w:r w:rsidRPr="004A3F2B">
              <w:t xml:space="preserve">viser framskriving av antall fastleger fram mot 2040. Framskrivingene viser behov for betydelig økt antall fastleger framover. I 2040 er det behov for 5 780 fastleger, </w:t>
            </w:r>
            <w:r w:rsidRPr="004A3F2B">
              <w:lastRenderedPageBreak/>
              <w:t>sammenlignet med 5 088 i 2022. Det tilsvarer en økning på omtrent 14 prosent gjennom perioden, og innebærer en økning på om lag 38 fastleger i året.</w:t>
            </w:r>
          </w:p>
          <w:p w14:paraId="7253F1BD" w14:textId="77777777" w:rsidR="00377624" w:rsidRPr="004A3F2B" w:rsidRDefault="00377624" w:rsidP="00377624">
            <w:r w:rsidRPr="004A3F2B">
              <w:t>Det er imidlertid svært tvilsomt at utviklingen vil bli slik, og framskrivingene er derfor bare illustrasjoner av mulige utviklingsbaner/scenarier. Framskrivingene har ikke tatt hensyn til at fastlegene kan ha et ønske om kortere fastlegelister og lavere arbeidsbelastning enn de har i dag, eller høyere forventninger i befolkningen til hva fastlegen kan hjelpe til med, og eventuelle udekte behov.</w:t>
            </w:r>
          </w:p>
          <w:p w14:paraId="196DC9F2" w14:textId="77777777" w:rsidR="00377624" w:rsidRPr="00861241" w:rsidRDefault="00377624" w:rsidP="00377624">
            <w:pPr>
              <w:pStyle w:val="avsnitt-tittel"/>
            </w:pPr>
            <w:r w:rsidRPr="00861241">
              <w:t>Framskrivinger av antall fastleger</w:t>
            </w:r>
          </w:p>
          <w:p w14:paraId="23E8FAE5" w14:textId="77777777" w:rsidR="00377624" w:rsidRDefault="00377624" w:rsidP="00377624">
            <w:r w:rsidRPr="00ED053D">
              <w:rPr>
                <w:noProof/>
              </w:rPr>
              <w:drawing>
                <wp:inline distT="0" distB="0" distL="0" distR="0" wp14:anchorId="035E0581" wp14:editId="4905C4F5">
                  <wp:extent cx="5908431" cy="4295856"/>
                  <wp:effectExtent l="0" t="0" r="0" b="0"/>
                  <wp:docPr id="51" name="Picture 190870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4614" cy="4307622"/>
                          </a:xfrm>
                          <a:prstGeom prst="rect">
                            <a:avLst/>
                          </a:prstGeom>
                        </pic:spPr>
                      </pic:pic>
                    </a:graphicData>
                  </a:graphic>
                </wp:inline>
              </w:drawing>
            </w:r>
          </w:p>
          <w:p w14:paraId="5588236E" w14:textId="77777777" w:rsidR="00377624" w:rsidRPr="00657F9A" w:rsidRDefault="00377624" w:rsidP="00377624">
            <w:pPr>
              <w:pStyle w:val="Petit"/>
              <w:rPr>
                <w:rStyle w:val="kursiv"/>
              </w:rPr>
            </w:pPr>
            <w:r w:rsidRPr="00657F9A">
              <w:rPr>
                <w:rStyle w:val="kursiv"/>
              </w:rPr>
              <w:t>Merknad: Antall fastleger basert på gjennomsnittlig antall kontakter per fastlege i 2022. Basert på KUHR fra november 2021–oktober 2022.</w:t>
            </w:r>
          </w:p>
          <w:p w14:paraId="5F3E85A5" w14:textId="77777777" w:rsidR="00783F3E" w:rsidRPr="00783F3E" w:rsidRDefault="00783F3E" w:rsidP="00783F3E">
            <w:r w:rsidRPr="00783F3E">
              <w:t xml:space="preserve">FHI har utarbeidet en alternativ beregning, og sett på økt behov for helsetjenester blant de eldste, gitt tendensen at eldre blir boende hjemme lengre i tiden framover. I analysene over er det lagt til grunn en nedgang i konsultasjoner hos fastlegen fra 85 års alder, blant annet fordi flere bor på sykehjem. Dette kalles referansescenarioet. Framskrivingene er gjort for to alternative scenario: 1: De som er eldre enn 85 år har samme bruk av fastlegekonsultasjoner som 85-åringer, og 2: Bruk av fastlegekonsultasjoner etter 85 år </w:t>
            </w:r>
            <w:r w:rsidRPr="00783F3E">
              <w:lastRenderedPageBreak/>
              <w:t>følger utviklingen i aldersgruppen 80-85 år, med gjennomsnittlig årlig økning mellom 80 og 85 år.</w:t>
            </w:r>
          </w:p>
          <w:p w14:paraId="7C9A05AC" w14:textId="77777777" w:rsidR="00783F3E" w:rsidRPr="00783F3E" w:rsidRDefault="00783F3E" w:rsidP="00783F3E">
            <w:r w:rsidRPr="00783F3E">
              <w:t>Figuren under viser utviklingen/framskrivingen av behovet for antall fastleger de neste årene, basert på de tre scenariene.</w:t>
            </w:r>
          </w:p>
          <w:p w14:paraId="3BD8858E" w14:textId="77777777" w:rsidR="00783F3E" w:rsidRPr="00783F3E" w:rsidRDefault="00783F3E" w:rsidP="00783F3E">
            <w:pPr>
              <w:pStyle w:val="avsnitt-tittel"/>
            </w:pPr>
            <w:r w:rsidRPr="00783F3E">
              <w:t>Framskrivinger av antall fastleger med ulike forutsetninger for fastlegebruk blant de eldste</w:t>
            </w:r>
          </w:p>
          <w:p w14:paraId="7C886BFA" w14:textId="77777777" w:rsidR="00783F3E" w:rsidRPr="00783F3E" w:rsidRDefault="00783F3E" w:rsidP="00783F3E">
            <w:r w:rsidRPr="00783F3E">
              <w:rPr>
                <w:noProof/>
              </w:rPr>
              <w:drawing>
                <wp:inline distT="0" distB="0" distL="0" distR="0" wp14:anchorId="33DB3AF4" wp14:editId="7C7175F5">
                  <wp:extent cx="5696606" cy="3949003"/>
                  <wp:effectExtent l="0" t="0" r="0" b="0"/>
                  <wp:docPr id="55" name="Picture 190870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2750" b="4504"/>
                          <a:stretch/>
                        </pic:blipFill>
                        <pic:spPr bwMode="auto">
                          <a:xfrm>
                            <a:off x="0" y="0"/>
                            <a:ext cx="5722591" cy="3967016"/>
                          </a:xfrm>
                          <a:prstGeom prst="rect">
                            <a:avLst/>
                          </a:prstGeom>
                          <a:ln>
                            <a:noFill/>
                          </a:ln>
                          <a:extLst>
                            <a:ext uri="{53640926-AAD7-44D8-BBD7-CCE9431645EC}">
                              <a14:shadowObscured xmlns:a14="http://schemas.microsoft.com/office/drawing/2010/main"/>
                            </a:ext>
                          </a:extLst>
                        </pic:spPr>
                      </pic:pic>
                    </a:graphicData>
                  </a:graphic>
                </wp:inline>
              </w:drawing>
            </w:r>
          </w:p>
          <w:p w14:paraId="18A35C65" w14:textId="77777777" w:rsidR="00783F3E" w:rsidRPr="00657F9A" w:rsidRDefault="00783F3E" w:rsidP="00783F3E">
            <w:pPr>
              <w:pStyle w:val="Petit"/>
              <w:rPr>
                <w:rStyle w:val="kursiv"/>
              </w:rPr>
            </w:pPr>
            <w:r w:rsidRPr="00657F9A">
              <w:rPr>
                <w:rStyle w:val="kursiv"/>
              </w:rPr>
              <w:t>Merknad: Referansescenario er basert på observerte kontakter hos fastlegen for alle. Alternativscenario 1 viser fastlegebruk dersom personer eldre enn 85 år har like mange konsultasjoner som 85-åringer. Alternativscenario 2 viser fastlegebruk ved økende konsultasjonsfrekvens etter 85 år tilsvarende økningen mellom 80 og 85.</w:t>
            </w:r>
          </w:p>
          <w:p w14:paraId="4C270403" w14:textId="4FE51BFE" w:rsidR="00377624" w:rsidRPr="00377624" w:rsidRDefault="00783F3E" w:rsidP="00377624">
            <w:r w:rsidRPr="00783F3E">
              <w:t>Resultatene viser at økt andel hjemmeboende ikke har noen stor betydning for behovet for antall fastleger. Forskjellen i fastlegebruk gir i 2040 behov for 20 flere fastleger for alternativscenario 1, og cirka 35 flere fastleger for alternativscenario 2. Det er kun endret bruk av fastlege for personer over 85 år. På tross av økning i denne aldersgruppen framover vil det fremdeles være en relativt liten befolkningsgruppe, og noe økt fastlegebruk i denne gruppen gir dermed relativt begrenset utslag for den totale fastlegebruken.</w:t>
            </w:r>
          </w:p>
        </w:tc>
      </w:tr>
    </w:tbl>
    <w:p w14:paraId="5C163112" w14:textId="77777777" w:rsidR="00F35BC5" w:rsidRDefault="00F35BC5" w:rsidP="00775632">
      <w:pPr>
        <w:pStyle w:val="Overskrift2"/>
      </w:pPr>
      <w:bookmarkStart w:id="366" w:name="_Toc126817038"/>
      <w:bookmarkStart w:id="367" w:name="_Toc127633171"/>
      <w:bookmarkStart w:id="368" w:name="_Toc127864165"/>
      <w:bookmarkStart w:id="369" w:name="_Toc131238293"/>
      <w:bookmarkStart w:id="370" w:name="_Toc131279323"/>
      <w:bookmarkStart w:id="371" w:name="_Toc131286735"/>
      <w:bookmarkStart w:id="372" w:name="_Toc131281145"/>
      <w:bookmarkStart w:id="373" w:name="_Toc131317684"/>
      <w:bookmarkStart w:id="374" w:name="_Toc132536903"/>
      <w:r>
        <w:lastRenderedPageBreak/>
        <w:t>Fastlegenes situasjon</w:t>
      </w:r>
      <w:bookmarkEnd w:id="366"/>
      <w:bookmarkEnd w:id="367"/>
      <w:bookmarkEnd w:id="368"/>
      <w:bookmarkEnd w:id="369"/>
      <w:bookmarkEnd w:id="370"/>
      <w:bookmarkEnd w:id="371"/>
      <w:bookmarkEnd w:id="372"/>
      <w:bookmarkEnd w:id="373"/>
      <w:bookmarkEnd w:id="374"/>
    </w:p>
    <w:p w14:paraId="27B8E96F" w14:textId="77777777" w:rsidR="00D9107F" w:rsidRDefault="00F35BC5" w:rsidP="00C31017">
      <w:pPr>
        <w:jc w:val="both"/>
      </w:pPr>
      <w:r w:rsidRPr="004314A6">
        <w:t xml:space="preserve">Kapittelet inneholder kunnskapsgrunnlag som gjelder fastlegens perspektiv, </w:t>
      </w:r>
      <w:r>
        <w:t>og beskriver</w:t>
      </w:r>
      <w:r w:rsidRPr="004314A6">
        <w:t xml:space="preserve"> utviklingen </w:t>
      </w:r>
      <w:r>
        <w:t>i</w:t>
      </w:r>
      <w:r w:rsidRPr="004314A6">
        <w:t xml:space="preserve"> fastlegenes situasjon over tid</w:t>
      </w:r>
      <w:r>
        <w:t xml:space="preserve">, inkludert </w:t>
      </w:r>
      <w:r w:rsidRPr="004314A6">
        <w:t xml:space="preserve">fastlegens arbeidsoppgaver, </w:t>
      </w:r>
      <w:r>
        <w:t xml:space="preserve">arbeidstid, </w:t>
      </w:r>
      <w:r w:rsidRPr="004314A6">
        <w:t>konsultasjonslengde</w:t>
      </w:r>
      <w:r>
        <w:t xml:space="preserve"> og inntekt</w:t>
      </w:r>
      <w:r w:rsidRPr="004314A6">
        <w:t>. Resultater vises på tvers av fylker, kommunestørrelse og kommunens sentralitet</w:t>
      </w:r>
      <w:r w:rsidR="009272D3">
        <w:t>,</w:t>
      </w:r>
      <w:r w:rsidRPr="004314A6">
        <w:t xml:space="preserve"> samt andre forhold knyttet til fastlegene og fastlegeordningen. Samtlige resultater viser utvikling over tid.</w:t>
      </w:r>
    </w:p>
    <w:p w14:paraId="3259FD5F" w14:textId="58148ED8" w:rsidR="00F35BC5" w:rsidRDefault="00F35BC5" w:rsidP="00775632">
      <w:pPr>
        <w:pStyle w:val="Overskrift3"/>
      </w:pPr>
      <w:bookmarkStart w:id="375" w:name="_Toc131238294"/>
      <w:bookmarkStart w:id="376" w:name="_Toc131279324"/>
      <w:bookmarkStart w:id="377" w:name="_Toc131286736"/>
      <w:bookmarkStart w:id="378" w:name="_Toc131281146"/>
      <w:bookmarkStart w:id="379" w:name="_Toc131317685"/>
      <w:bookmarkStart w:id="380" w:name="_Toc132536904"/>
      <w:bookmarkStart w:id="381" w:name="_Toc127633172"/>
      <w:bookmarkStart w:id="382" w:name="_Toc127864166"/>
      <w:r>
        <w:t>Hvem er fastlegen – utvikling over tid</w:t>
      </w:r>
      <w:bookmarkEnd w:id="375"/>
      <w:bookmarkEnd w:id="376"/>
      <w:bookmarkEnd w:id="377"/>
      <w:bookmarkEnd w:id="378"/>
      <w:bookmarkEnd w:id="379"/>
      <w:bookmarkEnd w:id="380"/>
    </w:p>
    <w:p w14:paraId="5DC19852" w14:textId="77777777" w:rsidR="00D9107F" w:rsidRDefault="00F35BC5" w:rsidP="00C31017">
      <w:pPr>
        <w:jc w:val="both"/>
      </w:pPr>
      <w:r>
        <w:t xml:space="preserve">FHI har undersøkt utviklingen i situasjonen for fastlegene over tid og finner at det er endringer i en rekke forhold. Dagens fastleger er i snitt yngre, </w:t>
      </w:r>
      <w:r w:rsidR="007C1D5E">
        <w:t>er i større grad ansatt</w:t>
      </w:r>
      <w:r w:rsidR="00C17658">
        <w:t xml:space="preserve"> med fastlønnsavtale</w:t>
      </w:r>
      <w:r>
        <w:t>, har kortere fastlegelister og jobber på fastlegekontor sammen med flere andre allmennleger, sammenlignet med for 10 år siden. Fastlegenes gjennomsnittsalder steg fra 2001 til 2011, til 48,6 år, og har deretter falt jevnt, til 46,9 år i 2022</w:t>
      </w:r>
      <w:r w:rsidR="00932EE9">
        <w:t xml:space="preserve"> (figur 2-1</w:t>
      </w:r>
      <w:r w:rsidR="008C14AA">
        <w:t>5</w:t>
      </w:r>
      <w:r w:rsidR="00932EE9">
        <w:t>)</w:t>
      </w:r>
      <w:r>
        <w:t>. Andelen kvinner i fastlegekorpset har økt</w:t>
      </w:r>
      <w:r w:rsidR="009272D3">
        <w:t>,</w:t>
      </w:r>
      <w:r>
        <w:t xml:space="preserve"> fra 30 prosent ved oppstart i 2001 til nær 50 prosent i 2022 </w:t>
      </w:r>
      <w:r>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fldChar w:fldCharType="separate"/>
      </w:r>
      <w:r w:rsidR="00856689">
        <w:rPr>
          <w:noProof/>
        </w:rPr>
        <w:t>(Skyrud et al., 2023)</w:t>
      </w:r>
      <w:r>
        <w:fldChar w:fldCharType="end"/>
      </w:r>
      <w:r>
        <w:t>.</w:t>
      </w:r>
    </w:p>
    <w:p w14:paraId="455DE2EB" w14:textId="7BE00F8D" w:rsidR="00F35BC5" w:rsidRDefault="00F35BC5" w:rsidP="00C31017">
      <w:pPr>
        <w:jc w:val="both"/>
      </w:pPr>
      <w:r>
        <w:t xml:space="preserve">Det er store geografiske forskjeller blant fastlegene. Sammenlignet med landsgjennomsnittet, er fastleger i de minst befolkede kommunene i distrikt yngre, har lavere listetak og </w:t>
      </w:r>
      <w:r w:rsidR="00B1154A">
        <w:t>er ansatt</w:t>
      </w:r>
      <w:r w:rsidR="006840C7">
        <w:t xml:space="preserve"> med fastlønnsavtale</w:t>
      </w:r>
      <w:r w:rsidR="00B1154A">
        <w:t>.</w:t>
      </w:r>
      <w:r>
        <w:t xml:space="preserve"> </w:t>
      </w:r>
      <w:r w:rsidRPr="00531A98">
        <w:t>Fastlegene</w:t>
      </w:r>
      <w:r>
        <w:rPr>
          <w:sz w:val="20"/>
          <w:szCs w:val="20"/>
        </w:rPr>
        <w:t xml:space="preserve"> </w:t>
      </w:r>
      <w:r>
        <w:t xml:space="preserve">i Oslo og Viken har den høyeste gjennomsnittsalderen (henholdsvis 50,5 og 47,5 år), mens den er lavest i Troms og Finnmark (44,8 år). Nær tre av fire fastleger i mindre befolkningsrike kommuner </w:t>
      </w:r>
      <w:r w:rsidR="00097D06">
        <w:t>er ansatt</w:t>
      </w:r>
      <w:r>
        <w:t xml:space="preserve">, mot 5 prosent og mindre i mer sentrale strøk. En større andel av fastleger uten spesialisering </w:t>
      </w:r>
      <w:r w:rsidR="00097D06">
        <w:t>er ansatt</w:t>
      </w:r>
      <w:r>
        <w:t xml:space="preserve">, i underkant av en av tre, mot omtrent en av 10 med spesialisering. Det er trolig slik at en stor andel av ikke-spesialistene er under spesialisering i fastlønnede ALIS-stillinger. Antall fastleger per fastlegekontor er høyest i Troms og Finnmark og lavest i Viken (6,2 vs. 4,1), men det sees ikke noe tydelig mønster </w:t>
      </w:r>
      <w:r w:rsidR="009272D3">
        <w:t>for</w:t>
      </w:r>
      <w:r>
        <w:t xml:space="preserve"> kontorstørrelsen etter sentralitet eller befolkningsstørrelse.</w:t>
      </w:r>
      <w:r w:rsidR="00810915">
        <w:t xml:space="preserve"> </w:t>
      </w:r>
      <w:r>
        <w:t>To av tre (64 prosent) fastleger var spesialister i allmennmedisin ved utgangen av 2022</w:t>
      </w:r>
      <w:r w:rsidRPr="38A49161">
        <w:t xml:space="preserve"> </w:t>
      </w:r>
      <w:r>
        <w:fldChar w:fldCharType="begin"/>
      </w:r>
      <w:r w:rsidR="004654FD">
        <w:instrText xml:space="preserve"> ADDIN EN.CITE &lt;EndNote&gt;&lt;Cite&gt;&lt;Author&gt;Helsedirektoratet&lt;/Author&gt;&lt;Year&gt;2022&lt;/Year&gt;&lt;RecNum&gt;906&lt;/RecNum&gt;&lt;DisplayText&gt;(Helsedirektoratet, 2022i)&lt;/DisplayText&gt;&lt;record&gt;&lt;rec-number&gt;906&lt;/rec-number&gt;&lt;foreign-keys&gt;&lt;key app="EN" db-id="95tpr2tp6r9xwoea9rb5wdsz5ds5xeddteew" timestamp="1680130806"&gt;906&lt;/key&gt;&lt;/foreign-keys&gt;&lt;ref-type name="Report"&gt;27&lt;/ref-type&gt;&lt;contributors&gt;&lt;authors&gt;&lt;author&gt;Helsedirektoratet&lt;/author&gt;&lt;/authors&gt;&lt;/contributors&gt;&lt;titles&gt;&lt;title&gt;Oppfølging av Handlingsplan for allmennlegetjenesten 2020-2024. Statusrapport - 2.tertial 2022&lt;/title&gt;&lt;/titles&gt;&lt;dates&gt;&lt;year&gt;2022&lt;/year&gt;&lt;/dates&gt;&lt;publisher&gt;Helsedirektoratet&lt;/publisher&gt;&lt;urls&gt;&lt;/urls&gt;&lt;/record&gt;&lt;/Cite&gt;&lt;/EndNote&gt;</w:instrText>
      </w:r>
      <w:r>
        <w:fldChar w:fldCharType="separate"/>
      </w:r>
      <w:r w:rsidR="004654FD">
        <w:rPr>
          <w:noProof/>
        </w:rPr>
        <w:t>(Helsedirektoratet, 2022i)</w:t>
      </w:r>
      <w:r>
        <w:fldChar w:fldCharType="end"/>
      </w:r>
      <w:r>
        <w:t>.</w:t>
      </w:r>
    </w:p>
    <w:p w14:paraId="2209F1A5" w14:textId="1309CD25" w:rsidR="00D9107F" w:rsidRDefault="00F35BC5" w:rsidP="00E93574">
      <w:pPr>
        <w:pStyle w:val="avsnitt-tittel"/>
      </w:pPr>
      <w:r w:rsidRPr="0020220E">
        <w:lastRenderedPageBreak/>
        <w:t>Figur</w:t>
      </w:r>
      <w:r w:rsidR="001D4E1E">
        <w:t xml:space="preserve"> 2</w:t>
      </w:r>
      <w:r w:rsidR="00F74E6B">
        <w:t>-</w:t>
      </w:r>
      <w:r w:rsidR="00124269">
        <w:t>1</w:t>
      </w:r>
      <w:r w:rsidR="001D4E1E">
        <w:t>5</w:t>
      </w:r>
      <w:r w:rsidR="005E0B90">
        <w:t>:</w:t>
      </w:r>
      <w:r w:rsidRPr="0020220E">
        <w:t xml:space="preserve"> Utvikling i fastlegenes gjennomsnittsalder per sentralitetsklasse, 2001 til 2022</w:t>
      </w:r>
    </w:p>
    <w:p w14:paraId="001505A6" w14:textId="66FD649E" w:rsidR="00F35BC5" w:rsidRDefault="00F35BC5" w:rsidP="00F35BC5">
      <w:r>
        <w:rPr>
          <w:noProof/>
        </w:rPr>
        <w:drawing>
          <wp:inline distT="0" distB="0" distL="0" distR="0" wp14:anchorId="3636AB13" wp14:editId="7281BD83">
            <wp:extent cx="6117757" cy="3049484"/>
            <wp:effectExtent l="38100" t="38100" r="35560" b="368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8812" cy="3054994"/>
                    </a:xfrm>
                    <a:prstGeom prst="rect">
                      <a:avLst/>
                    </a:prstGeom>
                    <a:noFill/>
                    <a:ln w="38100" cmpd="sng">
                      <a:solidFill>
                        <a:schemeClr val="accent2"/>
                      </a:solidFill>
                    </a:ln>
                  </pic:spPr>
                </pic:pic>
              </a:graphicData>
            </a:graphic>
          </wp:inline>
        </w:drawing>
      </w:r>
    </w:p>
    <w:p w14:paraId="41867318" w14:textId="217F6031" w:rsidR="00F35BC5" w:rsidRPr="00B720B7" w:rsidRDefault="00F35BC5" w:rsidP="00E93574">
      <w:pPr>
        <w:pStyle w:val="Petit"/>
        <w:rPr>
          <w:rFonts w:ascii="Arial" w:hAnsi="Arial" w:cs="Arial"/>
          <w:sz w:val="16"/>
          <w:szCs w:val="16"/>
        </w:rPr>
      </w:pPr>
      <w:r w:rsidRPr="00D9107F">
        <w:rPr>
          <w:rStyle w:val="kursiv"/>
        </w:rPr>
        <w:t>Kilde: FLO</w:t>
      </w:r>
      <w:bookmarkStart w:id="383" w:name="_Toc127633173"/>
      <w:bookmarkStart w:id="384" w:name="_Toc127864167"/>
      <w:bookmarkEnd w:id="381"/>
      <w:bookmarkEnd w:id="382"/>
      <w:r w:rsidR="00DF575E" w:rsidRPr="00D9107F">
        <w:rPr>
          <w:rStyle w:val="kursiv"/>
        </w:rPr>
        <w:t>, 2001-2022.</w:t>
      </w:r>
    </w:p>
    <w:p w14:paraId="662E6613" w14:textId="77777777" w:rsidR="00D9107F" w:rsidRDefault="00F35BC5" w:rsidP="00775632">
      <w:pPr>
        <w:pStyle w:val="Overskrift3"/>
      </w:pPr>
      <w:bookmarkStart w:id="385" w:name="_Toc131238295"/>
      <w:bookmarkStart w:id="386" w:name="_Toc131279325"/>
      <w:bookmarkStart w:id="387" w:name="_Toc131286737"/>
      <w:bookmarkStart w:id="388" w:name="_Toc131281147"/>
      <w:bookmarkStart w:id="389" w:name="_Toc131317686"/>
      <w:bookmarkStart w:id="390" w:name="_Toc132536905"/>
      <w:r w:rsidRPr="00FF0DAD">
        <w:t>Fastlegenes inntekt og takstsystemet</w:t>
      </w:r>
      <w:bookmarkEnd w:id="385"/>
      <w:bookmarkEnd w:id="386"/>
      <w:bookmarkEnd w:id="387"/>
      <w:bookmarkEnd w:id="388"/>
      <w:bookmarkEnd w:id="389"/>
      <w:bookmarkEnd w:id="390"/>
    </w:p>
    <w:p w14:paraId="055C72B4" w14:textId="7287FE29" w:rsidR="00F35BC5" w:rsidRPr="00E93574" w:rsidRDefault="00F35BC5" w:rsidP="00775632">
      <w:pPr>
        <w:pStyle w:val="Overskrift4"/>
      </w:pPr>
      <w:bookmarkStart w:id="391" w:name="_Toc131238296"/>
      <w:bookmarkStart w:id="392" w:name="_Toc131279326"/>
      <w:bookmarkStart w:id="393" w:name="_Toc131286738"/>
      <w:bookmarkStart w:id="394" w:name="_Toc131281148"/>
      <w:bookmarkStart w:id="395" w:name="_Toc131317687"/>
      <w:r w:rsidRPr="00E93574">
        <w:t>Utvikling i fastlegenes inntekt over tid</w:t>
      </w:r>
      <w:bookmarkEnd w:id="391"/>
      <w:bookmarkEnd w:id="392"/>
      <w:bookmarkEnd w:id="393"/>
      <w:bookmarkEnd w:id="394"/>
      <w:bookmarkEnd w:id="395"/>
    </w:p>
    <w:p w14:paraId="35AC989B" w14:textId="4652BAB2" w:rsidR="0026592A" w:rsidRDefault="00F35BC5" w:rsidP="00E37210">
      <w:pPr>
        <w:jc w:val="both"/>
        <w:rPr>
          <w:rFonts w:cstheme="minorHAnsi"/>
        </w:rPr>
      </w:pPr>
      <w:r>
        <w:t xml:space="preserve">SSB har, på oppdrag fra ekspertutvalget, undersøkt utviklingen i inntekt for fastleger og andre leger etter hovedarbeidssteder/næringsform </w:t>
      </w:r>
      <w:r>
        <w:fldChar w:fldCharType="begin"/>
      </w:r>
      <w:r w:rsidR="00856689">
        <w:instrText xml:space="preserve"> ADDIN EN.CITE &lt;EndNote&gt;&lt;Cite&gt;&lt;Author&gt;Claus&lt;/Author&gt;&lt;Year&gt;2023&lt;/Year&gt;&lt;RecNum&gt;931&lt;/RecNum&gt;&lt;DisplayText&gt;(Claus et al., 2023b)&lt;/DisplayText&gt;&lt;record&gt;&lt;rec-number&gt;931&lt;/rec-number&gt;&lt;foreign-keys&gt;&lt;key app="EN" db-id="95tpr2tp6r9xwoea9rb5wdsz5ds5xeddteew" timestamp="1680157366"&gt;931&lt;/key&gt;&lt;/foreign-keys&gt;&lt;ref-type name="Unpublished Work"&gt;34&lt;/ref-type&gt;&lt;contributors&gt;&lt;authors&gt;&lt;author&gt;Claus, G.&lt;/author&gt;&lt;author&gt;Hjemås, Geir&lt;/author&gt;&lt;/authors&gt;&lt;/contributors&gt;&lt;titles&gt;&lt;title&gt;Inntekt for personer utdannet som lege&lt;/title&gt;&lt;secondary-title&gt;Notat til ekspertutvalg for gjennomgang av allmennlegetjenesten&lt;/secondary-title&gt;&lt;/titles&gt;&lt;dates&gt;&lt;year&gt;2023&lt;/year&gt;&lt;/dates&gt;&lt;urls&gt;&lt;/urls&gt;&lt;/record&gt;&lt;/Cite&gt;&lt;/EndNote&gt;</w:instrText>
      </w:r>
      <w:r>
        <w:fldChar w:fldCharType="separate"/>
      </w:r>
      <w:r w:rsidR="00856689">
        <w:rPr>
          <w:noProof/>
        </w:rPr>
        <w:t>(Claus et al., 2023b)</w:t>
      </w:r>
      <w:r>
        <w:fldChar w:fldCharType="end"/>
      </w:r>
      <w:r>
        <w:t>. Ifølge SSBs helsepersonellstatistikk var det 2</w:t>
      </w:r>
      <w:r w:rsidR="00D9107F">
        <w:t>0 000</w:t>
      </w:r>
      <w:r>
        <w:t xml:space="preserve"> utdannede leger i Norge i 2007, og i 2019 var antallet økt til 3</w:t>
      </w:r>
      <w:r w:rsidR="00D9107F">
        <w:t>0 000</w:t>
      </w:r>
      <w:r>
        <w:t xml:space="preserve">. </w:t>
      </w:r>
      <w:r>
        <w:rPr>
          <w:rFonts w:cstheme="minorHAnsi"/>
        </w:rPr>
        <w:t>I samme tidsperiode</w:t>
      </w:r>
      <w:r w:rsidRPr="007A1944">
        <w:rPr>
          <w:rFonts w:cstheme="minorHAnsi"/>
        </w:rPr>
        <w:t xml:space="preserve"> hadde legene en årlig nominell økning i gjennomsnittlig yrkesinntekt på 2,8 prosent. </w:t>
      </w:r>
      <w:r>
        <w:rPr>
          <w:rFonts w:cstheme="minorHAnsi"/>
        </w:rPr>
        <w:t>D</w:t>
      </w:r>
      <w:r w:rsidRPr="007A1944">
        <w:rPr>
          <w:rFonts w:cstheme="minorHAnsi"/>
        </w:rPr>
        <w:t>et er liten variasjon i denne prosenten i ulike grupper av leger</w:t>
      </w:r>
      <w:r>
        <w:rPr>
          <w:rFonts w:cstheme="minorHAnsi"/>
        </w:rPr>
        <w:t xml:space="preserve"> (figur </w:t>
      </w:r>
      <w:r w:rsidR="00B06A49">
        <w:rPr>
          <w:rFonts w:cstheme="minorHAnsi"/>
        </w:rPr>
        <w:t>2-</w:t>
      </w:r>
      <w:r>
        <w:rPr>
          <w:rFonts w:cstheme="minorHAnsi"/>
        </w:rPr>
        <w:t>1</w:t>
      </w:r>
      <w:r w:rsidR="00E37210">
        <w:rPr>
          <w:rFonts w:cstheme="minorHAnsi"/>
        </w:rPr>
        <w:t>6)</w:t>
      </w:r>
      <w:r w:rsidRPr="007A1944">
        <w:rPr>
          <w:rFonts w:cstheme="minorHAnsi"/>
        </w:rPr>
        <w:t>.</w:t>
      </w:r>
    </w:p>
    <w:p w14:paraId="7A2B940C" w14:textId="7A0FAF26" w:rsidR="004D0F73" w:rsidRDefault="004D0F73" w:rsidP="00E93574">
      <w:pPr>
        <w:pStyle w:val="avsnitt-tittel"/>
      </w:pPr>
      <w:r>
        <w:lastRenderedPageBreak/>
        <w:t xml:space="preserve">Figur </w:t>
      </w:r>
      <w:r w:rsidR="00F74E6B">
        <w:t>2-</w:t>
      </w:r>
      <w:r w:rsidR="00E37210">
        <w:t>16</w:t>
      </w:r>
      <w:r w:rsidR="005E0B90">
        <w:t>:</w:t>
      </w:r>
      <w:r>
        <w:t xml:space="preserve"> </w:t>
      </w:r>
      <w:r w:rsidRPr="00914C64">
        <w:t>U</w:t>
      </w:r>
      <w:r>
        <w:t>t</w:t>
      </w:r>
      <w:r w:rsidRPr="00914C64">
        <w:t>dannet lege, årlig nominell endring i yrkesinntekt 2007–2019, ulike delpopulasjoner</w:t>
      </w:r>
    </w:p>
    <w:p w14:paraId="0A91DA70" w14:textId="77777777" w:rsidR="00F35BC5" w:rsidRDefault="00F35BC5" w:rsidP="0095403D">
      <w:pPr>
        <w:keepNext/>
        <w:keepLines/>
        <w:rPr>
          <w:rFonts w:cstheme="minorHAnsi"/>
          <w:sz w:val="24"/>
          <w:szCs w:val="24"/>
        </w:rPr>
      </w:pPr>
      <w:r>
        <w:rPr>
          <w:rFonts w:ascii="Arial" w:hAnsi="Arial" w:cs="Arial"/>
          <w:noProof/>
          <w:sz w:val="20"/>
          <w:szCs w:val="20"/>
        </w:rPr>
        <w:drawing>
          <wp:inline distT="0" distB="0" distL="0" distR="0" wp14:anchorId="475FED17" wp14:editId="581AAD12">
            <wp:extent cx="6119447" cy="2076450"/>
            <wp:effectExtent l="38100" t="38100" r="34290" b="381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5285" cy="2078431"/>
                    </a:xfrm>
                    <a:prstGeom prst="rect">
                      <a:avLst/>
                    </a:prstGeom>
                    <a:noFill/>
                    <a:ln w="38100">
                      <a:solidFill>
                        <a:schemeClr val="accent2"/>
                      </a:solidFill>
                    </a:ln>
                  </pic:spPr>
                </pic:pic>
              </a:graphicData>
            </a:graphic>
          </wp:inline>
        </w:drawing>
      </w:r>
    </w:p>
    <w:p w14:paraId="38FD0ED8" w14:textId="77777777" w:rsidR="00D9107F" w:rsidRDefault="00F35BC5" w:rsidP="00E93574">
      <w:pPr>
        <w:pStyle w:val="Petit"/>
        <w:rPr>
          <w:rFonts w:ascii="Arial" w:hAnsi="Arial" w:cs="Arial"/>
          <w:sz w:val="16"/>
          <w:szCs w:val="16"/>
        </w:rPr>
      </w:pPr>
      <w:r w:rsidRPr="00D9107F">
        <w:rPr>
          <w:rStyle w:val="kursiv"/>
        </w:rPr>
        <w:t>Merk</w:t>
      </w:r>
      <w:r w:rsidR="001A4534" w:rsidRPr="00D9107F">
        <w:rPr>
          <w:rStyle w:val="kursiv"/>
        </w:rPr>
        <w:t>nad</w:t>
      </w:r>
      <w:r w:rsidRPr="00D9107F">
        <w:rPr>
          <w:rStyle w:val="kursiv"/>
        </w:rPr>
        <w:t>: Sentr</w:t>
      </w:r>
      <w:r w:rsidR="00CF6402" w:rsidRPr="00D9107F">
        <w:rPr>
          <w:rStyle w:val="kursiv"/>
        </w:rPr>
        <w:t>alitet</w:t>
      </w:r>
      <w:r w:rsidR="00D9107F" w:rsidRPr="00D9107F">
        <w:rPr>
          <w:rStyle w:val="kursiv"/>
        </w:rPr>
        <w:t xml:space="preserve"> </w:t>
      </w:r>
      <w:r w:rsidRPr="00D9107F">
        <w:rPr>
          <w:rStyle w:val="kursiv"/>
        </w:rPr>
        <w:t>01 og 02 omfatter leger som jobber i de mest sentrale kommunene. Sentr</w:t>
      </w:r>
      <w:r w:rsidR="00CF6402" w:rsidRPr="00D9107F">
        <w:rPr>
          <w:rStyle w:val="kursiv"/>
        </w:rPr>
        <w:t xml:space="preserve">alitet </w:t>
      </w:r>
      <w:r w:rsidRPr="00D9107F">
        <w:rPr>
          <w:rStyle w:val="kursiv"/>
        </w:rPr>
        <w:t>04, 05 og 06 omfatter leger som jobber i de minst sentrale kommunene.</w:t>
      </w:r>
      <w:r w:rsidRPr="003946C0">
        <w:rPr>
          <w:rFonts w:ascii="Arial" w:hAnsi="Arial" w:cs="Arial"/>
          <w:sz w:val="16"/>
          <w:szCs w:val="16"/>
        </w:rPr>
        <w:t xml:space="preserve"> </w:t>
      </w:r>
      <w:r w:rsidRPr="00D9107F">
        <w:rPr>
          <w:rStyle w:val="kursiv"/>
        </w:rPr>
        <w:t>Kilde: SSBs helsepersonellstatistikk</w:t>
      </w:r>
      <w:r w:rsidR="003946C0" w:rsidRPr="00D9107F">
        <w:rPr>
          <w:rStyle w:val="kursiv"/>
        </w:rPr>
        <w:t>.</w:t>
      </w:r>
    </w:p>
    <w:p w14:paraId="5D9161D4" w14:textId="77777777" w:rsidR="00D9107F" w:rsidRDefault="00F35BC5" w:rsidP="00B740E5">
      <w:pPr>
        <w:jc w:val="both"/>
      </w:pPr>
      <w:r>
        <w:t xml:space="preserve">I videre analyse har SSB skilt mellom seks ulike grupper med leger; </w:t>
      </w:r>
      <w:r w:rsidRPr="00D9107F">
        <w:rPr>
          <w:rStyle w:val="kursiv"/>
        </w:rPr>
        <w:t>fastleger unntatt fastlønnede fastleger</w:t>
      </w:r>
      <w:r>
        <w:t xml:space="preserve">, </w:t>
      </w:r>
      <w:r w:rsidRPr="00D9107F">
        <w:rPr>
          <w:rStyle w:val="kursiv"/>
        </w:rPr>
        <w:t>fastlønnede fastleger</w:t>
      </w:r>
      <w:r>
        <w:t xml:space="preserve">, </w:t>
      </w:r>
      <w:r w:rsidRPr="00D9107F">
        <w:rPr>
          <w:rStyle w:val="kursiv"/>
        </w:rPr>
        <w:t>leger i spesialisthelsetjenesten</w:t>
      </w:r>
      <w:r>
        <w:t xml:space="preserve">, </w:t>
      </w:r>
      <w:r w:rsidRPr="00D9107F">
        <w:rPr>
          <w:rStyle w:val="kursiv"/>
        </w:rPr>
        <w:t>leger i kommunal helse- og omsorgstjeneste,</w:t>
      </w:r>
      <w:r>
        <w:t xml:space="preserve"> </w:t>
      </w:r>
      <w:r w:rsidRPr="00D9107F">
        <w:rPr>
          <w:rStyle w:val="kursiv"/>
        </w:rPr>
        <w:t xml:space="preserve">leger sysselsatt i helse – men ikke inkludert i øvrige grupper, </w:t>
      </w:r>
      <w:r>
        <w:t xml:space="preserve">og </w:t>
      </w:r>
      <w:r w:rsidRPr="00D9107F">
        <w:rPr>
          <w:rStyle w:val="kursiv"/>
        </w:rPr>
        <w:t>leger sysselsatt utenfor helsetjenesten</w:t>
      </w:r>
      <w:r>
        <w:t xml:space="preserve">. Gruppen </w:t>
      </w:r>
      <w:r w:rsidRPr="00D9107F">
        <w:rPr>
          <w:rStyle w:val="kursiv"/>
        </w:rPr>
        <w:t>fastleger unntatt fastlønnede fastleger</w:t>
      </w:r>
      <w:r>
        <w:t xml:space="preserve"> er </w:t>
      </w:r>
      <w:r w:rsidRPr="009B1FDE">
        <w:t>næringsdrivende med stykkprisfinansiert inntjening,</w:t>
      </w:r>
      <w:r>
        <w:t xml:space="preserve"> i motsetning til øvrige legegrupper, som er fastlønnede. Noen fastlønnede fastleger har bonus i tillegg til fastlønn.</w:t>
      </w:r>
    </w:p>
    <w:p w14:paraId="69DC0402" w14:textId="32AF5283" w:rsidR="00D9107F" w:rsidRDefault="00F35BC5" w:rsidP="007934AF">
      <w:r>
        <w:t>Figur 2</w:t>
      </w:r>
      <w:r w:rsidR="00FF779A">
        <w:t>-17</w:t>
      </w:r>
      <w:r>
        <w:t xml:space="preserve"> viser utvikling i gjennomsnittlig inntekt for samtlige seks grupper i perioden 2002–2021. Utviklingen i inntekt for fastlegene skiller seg ut under pandemiårene 2020 og 2021.</w:t>
      </w:r>
    </w:p>
    <w:p w14:paraId="5D78D3B6" w14:textId="46BF332D" w:rsidR="00AF7DCA" w:rsidRDefault="00AF7DCA" w:rsidP="00E93574">
      <w:pPr>
        <w:pStyle w:val="avsnitt-tittel"/>
      </w:pPr>
      <w:r>
        <w:lastRenderedPageBreak/>
        <w:t xml:space="preserve">Figur </w:t>
      </w:r>
      <w:r w:rsidR="00F74E6B">
        <w:t>2-</w:t>
      </w:r>
      <w:r w:rsidR="00FF779A">
        <w:t>17</w:t>
      </w:r>
      <w:r w:rsidR="005E0B90">
        <w:t>:</w:t>
      </w:r>
      <w:r>
        <w:t xml:space="preserve"> Gjennomsnittlig y</w:t>
      </w:r>
      <w:r w:rsidRPr="007A3EBB">
        <w:t>rkesinntekt for personer utdannet som leger</w:t>
      </w:r>
    </w:p>
    <w:p w14:paraId="514E84A2" w14:textId="77777777" w:rsidR="00F35BC5" w:rsidRPr="007A3EBB" w:rsidRDefault="00F35BC5" w:rsidP="00F35BC5">
      <w:r>
        <w:rPr>
          <w:noProof/>
        </w:rPr>
        <w:drawing>
          <wp:inline distT="0" distB="0" distL="0" distR="0" wp14:anchorId="0B9A74F1" wp14:editId="687C869A">
            <wp:extent cx="6120000" cy="3658251"/>
            <wp:effectExtent l="38100" t="38100" r="33655" b="37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5"/>
                    <a:stretch>
                      <a:fillRect/>
                    </a:stretch>
                  </pic:blipFill>
                  <pic:spPr>
                    <a:xfrm>
                      <a:off x="0" y="0"/>
                      <a:ext cx="6120000" cy="3658251"/>
                    </a:xfrm>
                    <a:prstGeom prst="rect">
                      <a:avLst/>
                    </a:prstGeom>
                    <a:ln w="38100">
                      <a:solidFill>
                        <a:schemeClr val="accent2"/>
                      </a:solidFill>
                    </a:ln>
                  </pic:spPr>
                </pic:pic>
              </a:graphicData>
            </a:graphic>
          </wp:inline>
        </w:drawing>
      </w:r>
    </w:p>
    <w:p w14:paraId="6D430732" w14:textId="77777777" w:rsidR="00D9107F" w:rsidRPr="00D9107F" w:rsidRDefault="008F39E5" w:rsidP="00E93574">
      <w:pPr>
        <w:pStyle w:val="Petit"/>
        <w:rPr>
          <w:rStyle w:val="kursiv"/>
        </w:rPr>
      </w:pPr>
      <w:r w:rsidRPr="00D9107F">
        <w:rPr>
          <w:rStyle w:val="kursiv"/>
        </w:rPr>
        <w:t>Merknad:</w:t>
      </w:r>
      <w:r w:rsidR="00123FC6" w:rsidRPr="00D9107F">
        <w:rPr>
          <w:rStyle w:val="kursiv"/>
        </w:rPr>
        <w:t xml:space="preserve"> Yrkesinntekt er summen av </w:t>
      </w:r>
      <w:r w:rsidR="00E96E04" w:rsidRPr="00D9107F">
        <w:rPr>
          <w:rStyle w:val="kursiv"/>
        </w:rPr>
        <w:t>lønnsinntekter</w:t>
      </w:r>
      <w:r w:rsidR="00123FC6" w:rsidRPr="00D9107F">
        <w:rPr>
          <w:rStyle w:val="kursiv"/>
        </w:rPr>
        <w:t xml:space="preserve"> og netto næringsinntekter i løpet av kalenderåret. Kilde</w:t>
      </w:r>
      <w:r w:rsidR="00D25B54" w:rsidRPr="000D5FDB">
        <w:rPr>
          <w:rFonts w:ascii="Arial" w:hAnsi="Arial" w:cs="Arial"/>
          <w:sz w:val="16"/>
          <w:szCs w:val="16"/>
        </w:rPr>
        <w:t xml:space="preserve">: </w:t>
      </w:r>
      <w:r w:rsidR="00A31FF4" w:rsidRPr="00D9107F">
        <w:rPr>
          <w:rStyle w:val="kursiv"/>
        </w:rPr>
        <w:t>SSB</w:t>
      </w:r>
      <w:r w:rsidR="008000D1" w:rsidRPr="00D9107F">
        <w:rPr>
          <w:rStyle w:val="kursiv"/>
        </w:rPr>
        <w:t>,</w:t>
      </w:r>
      <w:r w:rsidR="00A31FF4" w:rsidRPr="00D9107F">
        <w:rPr>
          <w:rStyle w:val="kursiv"/>
        </w:rPr>
        <w:t xml:space="preserve"> Inntek</w:t>
      </w:r>
      <w:r w:rsidR="002D3CEB" w:rsidRPr="00D9107F">
        <w:rPr>
          <w:rStyle w:val="kursiv"/>
        </w:rPr>
        <w:t>tsstatistikken,</w:t>
      </w:r>
      <w:r w:rsidR="008000D1" w:rsidRPr="00D9107F">
        <w:rPr>
          <w:rStyle w:val="kursiv"/>
        </w:rPr>
        <w:t xml:space="preserve"> 2002</w:t>
      </w:r>
      <w:r w:rsidR="009B7B32" w:rsidRPr="00D9107F">
        <w:rPr>
          <w:rStyle w:val="kursiv"/>
        </w:rPr>
        <w:t>–</w:t>
      </w:r>
      <w:r w:rsidR="008000D1" w:rsidRPr="00D9107F">
        <w:rPr>
          <w:rStyle w:val="kursiv"/>
        </w:rPr>
        <w:t>2021</w:t>
      </w:r>
      <w:r w:rsidR="000D5FDB" w:rsidRPr="00D9107F">
        <w:rPr>
          <w:rStyle w:val="kursiv"/>
        </w:rPr>
        <w:t>.</w:t>
      </w:r>
    </w:p>
    <w:p w14:paraId="44D86F63" w14:textId="2855EF81" w:rsidR="00D9107F" w:rsidRDefault="009A1921" w:rsidP="00783F3E">
      <w:pPr>
        <w:pStyle w:val="tittel-ramme"/>
        <w:jc w:val="left"/>
        <w:rPr>
          <w:rStyle w:val="kursiv"/>
        </w:rPr>
      </w:pPr>
      <w:bookmarkStart w:id="396" w:name="_Toc131238297"/>
      <w:bookmarkStart w:id="397" w:name="_Toc131279327"/>
      <w:bookmarkStart w:id="398" w:name="_Toc131286739"/>
      <w:bookmarkStart w:id="399" w:name="_Toc131281149"/>
      <w:bookmarkStart w:id="400" w:name="_Toc131317688"/>
      <w:r w:rsidRPr="00D9107F">
        <w:rPr>
          <w:rStyle w:val="kursiv"/>
        </w:rPr>
        <w:t>Om fastlegenes inntektsutvikling</w:t>
      </w:r>
    </w:p>
    <w:tbl>
      <w:tblPr>
        <w:tblStyle w:val="StandardBoks"/>
        <w:tblW w:w="0" w:type="auto"/>
        <w:tblLook w:val="04A0" w:firstRow="1" w:lastRow="0" w:firstColumn="1" w:lastColumn="0" w:noHBand="0" w:noVBand="1"/>
      </w:tblPr>
      <w:tblGrid>
        <w:gridCol w:w="9736"/>
      </w:tblGrid>
      <w:tr w:rsidR="00783F3E" w14:paraId="4259FABC" w14:textId="77777777" w:rsidTr="00783F3E">
        <w:tc>
          <w:tcPr>
            <w:tcW w:w="9736" w:type="dxa"/>
          </w:tcPr>
          <w:p w14:paraId="289FB5EE" w14:textId="0179126A" w:rsidR="00783F3E" w:rsidRPr="008358DC" w:rsidRDefault="00783F3E" w:rsidP="00783F3E">
            <w:r w:rsidRPr="008358DC">
              <w:t xml:space="preserve">Statistisk sentralbyrå (SSB) har publisert flere rapporter om fastlegenes inntekt </w:t>
            </w:r>
            <w:r>
              <w:t>(</w:t>
            </w:r>
            <w:r w:rsidRPr="008358DC">
              <w:t>SSB 2022). I 2020 var gjennomsnittlig bruttoinntekt 1,7 millioner kroner. Bruttoinntekten omfatter alle typer skattemessige inntekter oppgitt i skattemeldingen, inkludert skattemessig overskudd fra næringsvirksomhet. Det betyr at en rekke kost</w:t>
            </w:r>
            <w:r>
              <w:t>na</w:t>
            </w:r>
            <w:r w:rsidRPr="008358DC">
              <w:t>der ved fastlegenes drift er trukket fra, men også at inntekter som ikke trenger å ha noe med fastlegeaktiviteten å gjøre inngår.</w:t>
            </w:r>
          </w:p>
          <w:p w14:paraId="61422A34" w14:textId="0C656164" w:rsidR="00783F3E" w:rsidRDefault="00783F3E" w:rsidP="00783F3E">
            <w:r w:rsidRPr="008358DC">
              <w:t>Leger med færre enn 750 innbyggere på list</w:t>
            </w:r>
            <w:r>
              <w:t>en</w:t>
            </w:r>
            <w:r w:rsidRPr="008358DC">
              <w:t xml:space="preserve"> hadde en gjennomsnittlig bruttoinntekt på 1,4 millioner kroner, mens bruttoinntekten til en fastlege med 1500 eller flere innbyggere på list</w:t>
            </w:r>
            <w:r>
              <w:t>en</w:t>
            </w:r>
            <w:r w:rsidRPr="008358DC">
              <w:t xml:space="preserve"> var 2,3 millioner kroner. Kvinnelige fastleger hadde nesten 400 000 kroner lavere bruttoinntekt enn mannlige. Fastleger yngre enn 30 år hadde en gjennomsnittlig bruttoinntekt på 1,2 millioner kroner, mens fastleger over 66 år lå godt over 2 millioner kroner.</w:t>
            </w:r>
          </w:p>
        </w:tc>
      </w:tr>
    </w:tbl>
    <w:p w14:paraId="45CDECD7" w14:textId="2D62DD81" w:rsidR="00F35BC5" w:rsidRDefault="00F35BC5" w:rsidP="00775632">
      <w:pPr>
        <w:pStyle w:val="Overskrift4"/>
      </w:pPr>
      <w:r>
        <w:lastRenderedPageBreak/>
        <w:t>Kjønnsforskjeller i inntjening fra takster</w:t>
      </w:r>
      <w:bookmarkEnd w:id="396"/>
      <w:bookmarkEnd w:id="397"/>
      <w:bookmarkEnd w:id="398"/>
      <w:bookmarkEnd w:id="399"/>
      <w:bookmarkEnd w:id="400"/>
    </w:p>
    <w:p w14:paraId="0803DE0F" w14:textId="3EA9E1ED" w:rsidR="00F35BC5" w:rsidRDefault="00F35BC5" w:rsidP="00C867B4">
      <w:pPr>
        <w:jc w:val="both"/>
      </w:pPr>
      <w:r>
        <w:t>FHI har undersøkt kjønnsforskjeller i inntjening fra takstbruk blant fastleger</w:t>
      </w:r>
      <w:r w:rsidR="00D9107F" w:rsidRPr="00D9107F">
        <w:rPr>
          <w:rStyle w:val="skrift-hevet"/>
        </w:rPr>
        <w:t>.</w:t>
      </w:r>
      <w:r>
        <w:t xml:space="preserve"> Datakilder er KUHR og FLO, for perioden 2008</w:t>
      </w:r>
      <w:r w:rsidRPr="513C6B95">
        <w:t>–</w:t>
      </w:r>
      <w:r>
        <w:t>2021.</w:t>
      </w:r>
    </w:p>
    <w:p w14:paraId="176A92C9" w14:textId="78CA32F3" w:rsidR="00F35BC5" w:rsidRDefault="00F35BC5" w:rsidP="00C867B4">
      <w:pPr>
        <w:jc w:val="both"/>
      </w:pPr>
      <w:r>
        <w:t xml:space="preserve">Figur </w:t>
      </w:r>
      <w:r w:rsidR="00C867B4">
        <w:t>2-18</w:t>
      </w:r>
      <w:r>
        <w:t xml:space="preserve"> viser total inntjening fra takster, for næringsdrivende spesialister. Kvinnelige fastleger har lavere inntjening enn mannlige fastleger, 23 prosent lavere i 2008, og 16 prosent lavere enn mannlige kolleger i 2021 </w:t>
      </w:r>
      <w:r>
        <w:fldChar w:fldCharType="begin"/>
      </w:r>
      <w:r w:rsidR="00856689">
        <w:instrText xml:space="preserve"> ADDIN EN.CITE &lt;EndNote&gt;&lt;Cite&gt;&lt;Author&gt;Hoff&lt;/Author&gt;&lt;Year&gt;2023&lt;/Year&gt;&lt;RecNum&gt;898&lt;/RecNum&gt;&lt;DisplayText&gt;(Hoff et al., 2023)&lt;/DisplayText&gt;&lt;record&gt;&lt;rec-number&gt;898&lt;/rec-number&gt;&lt;foreign-keys&gt;&lt;key app="EN" db-id="95tpr2tp6r9xwoea9rb5wdsz5ds5xeddteew" timestamp="1680121421"&gt;898&lt;/key&gt;&lt;/foreign-keys&gt;&lt;ref-type name="Report"&gt;27&lt;/ref-type&gt;&lt;contributors&gt;&lt;authors&gt;&lt;author&gt;Hoff, E.&lt;/author&gt;&lt;author&gt;Kraft, K.&lt;/author&gt;&lt;author&gt;Østby, K.&lt;/author&gt;&lt;author&gt;Mykletun, A.&lt;/author&gt;&lt;/authors&gt;&lt;/contributors&gt;&lt;titles&gt;&lt;title&gt;Arbeidsmengde, konsultasjonstid og utilsiktede effekterav takstsystemet. Notat om fastlegeordningen&lt;/title&gt;&lt;/titles&gt;&lt;dates&gt;&lt;year&gt;2023&lt;/year&gt;&lt;/dates&gt;&lt;pub-location&gt;Oslo&lt;/pub-location&gt;&lt;publisher&gt;Folkehelseinstituttet &lt;/publisher&gt;&lt;urls&gt;&lt;/urls&gt;&lt;/record&gt;&lt;/Cite&gt;&lt;/EndNote&gt;</w:instrText>
      </w:r>
      <w:r>
        <w:fldChar w:fldCharType="separate"/>
      </w:r>
      <w:r w:rsidR="00856689">
        <w:rPr>
          <w:noProof/>
        </w:rPr>
        <w:t>(Hoff et al., 2023)</w:t>
      </w:r>
      <w:r>
        <w:fldChar w:fldCharType="end"/>
      </w:r>
      <w:r w:rsidR="001903A5">
        <w:t>.</w:t>
      </w:r>
    </w:p>
    <w:p w14:paraId="36EE8357" w14:textId="301B0E41" w:rsidR="00D9107F" w:rsidRDefault="00A51CD2" w:rsidP="00E93574">
      <w:pPr>
        <w:pStyle w:val="avsnitt-tittel"/>
      </w:pPr>
      <w:r>
        <w:t xml:space="preserve">Figur </w:t>
      </w:r>
      <w:r w:rsidR="00F74E6B">
        <w:t>2-</w:t>
      </w:r>
      <w:r w:rsidR="00C867B4">
        <w:t>18</w:t>
      </w:r>
      <w:r w:rsidR="005E0B90">
        <w:t>:</w:t>
      </w:r>
      <w:r w:rsidR="00F35BC5" w:rsidRPr="008A4221">
        <w:t xml:space="preserve"> Total inntjening fra takst for næringsdrivende spesialister etter kjønn</w:t>
      </w:r>
    </w:p>
    <w:p w14:paraId="2BA0AFAE" w14:textId="3E35F46B" w:rsidR="00F35BC5" w:rsidRDefault="00FC4EE0" w:rsidP="00B62209">
      <w:pPr>
        <w:keepNext/>
        <w:keepLines/>
      </w:pPr>
      <w:r>
        <w:rPr>
          <w:noProof/>
        </w:rPr>
        <mc:AlternateContent>
          <mc:Choice Requires="wps">
            <w:drawing>
              <wp:anchor distT="0" distB="0" distL="114300" distR="114300" simplePos="0" relativeHeight="251658291" behindDoc="0" locked="0" layoutInCell="1" allowOverlap="1" wp14:anchorId="70162526" wp14:editId="29940DB2">
                <wp:simplePos x="0" y="0"/>
                <wp:positionH relativeFrom="column">
                  <wp:posOffset>1364993</wp:posOffset>
                </wp:positionH>
                <wp:positionV relativeFrom="paragraph">
                  <wp:posOffset>3327881</wp:posOffset>
                </wp:positionV>
                <wp:extent cx="4735852" cy="337559"/>
                <wp:effectExtent l="0" t="0" r="26670" b="24765"/>
                <wp:wrapNone/>
                <wp:docPr id="4" name="Rectangle 4"/>
                <wp:cNvGraphicFramePr/>
                <a:graphic xmlns:a="http://schemas.openxmlformats.org/drawingml/2006/main">
                  <a:graphicData uri="http://schemas.microsoft.com/office/word/2010/wordprocessingShape">
                    <wps:wsp>
                      <wps:cNvSpPr/>
                      <wps:spPr>
                        <a:xfrm>
                          <a:off x="0" y="0"/>
                          <a:ext cx="4735852" cy="337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k="http://schemas.microsoft.com/office/drawing/2018/sketchyshapes" xmlns:arto="http://schemas.microsoft.com/office/word/2006/arto" xmlns:w16du="http://schemas.microsoft.com/office/word/2023/wordml/word16du">
            <w:pict w14:anchorId="10CFD945">
              <v:rect id="Rektangel 4" style="position:absolute;margin-left:107.5pt;margin-top:262.05pt;width:372.9pt;height:26.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8F33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EyewIAAIYFAAAOAAAAZHJzL2Uyb0RvYy54bWysVN9PGzEMfp+0/yHK+7i2tAMqrqgCMU1C&#10;UAETz2ku6Z2UizMn7bX76+fkfpQxtAe0PqRObH+2v7N9ebWvDdsp9BXYnI9PRpwpK6Go7CbnP55v&#10;v5xz5oOwhTBgVc4PyvOrxedPl42bqwmUYAqFjECsnzcu52UIbp5lXpaqFv4EnLKk1IC1CHTFTVag&#10;aAi9NtlkNPqaNYCFQ5DKe3q9aZV8kfC1VjI8aO1VYCbnlFtIJ6ZzHc9scSnmGxSurGSXhvhAFrWo&#10;LAUdoG5EEGyL1V9QdSURPOhwIqHOQOtKqlQDVTMevanmqRROpVqIHO8Gmvz/g5X3uye3QqKhcX7u&#10;SYxV7DXW8Z/yY/tE1mEgS+0Dk/Q4PTudnc8mnEnSnZ6ezWYXkc3s6O3Qh28KahaFnCN9jMSR2N35&#10;0Jr2JjGYB1MVt5Ux6RIbQF0bZDtBn269GXfgf1gZ+yFHyjF6ZseSkxQORkU8Yx+VZlVBRU5Swqkb&#10;j8kIKZUN41ZVikK1Oc5G9Ouz7NNPhCTAiKypugG7A+gtW5Aeu6Wns4+uKjXz4Dz6V2Kt8+CRIoMN&#10;g3NdWcD3AAxV1UVu7XuSWmoiS2soDitkCO0oeSdvK/q8d8KHlUCaHZoy2gfhgQ5toMk5dBJnJeCv&#10;996jPbU0aTlraBZz7n9uBSrOzHdLzX4xnk7j8KbLdHY2oQu+1qxfa+y2vgbqmTFtHieTGO2D6UWN&#10;UL/Q2ljGqKQSVlLsnMuA/eU6tDuCFo9Uy2Uyo4F1ItzZJycjeGQ1tu/z/kWg63o80HTcQz+3Yv6m&#10;1Vvb6GlhuQ2gqzQHR147vmnYU+N0iyluk9f3ZHVcn4vfAAAA//8DAFBLAwQUAAYACAAAACEAWutG&#10;heEAAAALAQAADwAAAGRycy9kb3ducmV2LnhtbEyPwU6DQBCG7ya+w2ZMvNkFtKVFlsYYjTHpQVuT&#10;etzCLBDZWcIuFN/e8aTHmfnzz/fl29l2YsLBt44UxIsIBFLpqpZqBR+H55s1CB80VbpzhAq+0cO2&#10;uLzIdVa5M73jtA+14BLymVbQhNBnUvqyQav9wvVIfDNusDrwONSyGvSZy20nkyhaSatb4g+N7vGx&#10;wfJrP1oFn0a/HJ5e/U6aZDKb9m08mnRU6vpqfrgHEXAOf2H4xWd0KJjp5EaqvOgUJPGSXYKCZXIX&#10;g+DEZhWxzIk3aXoLssjlf4fiBwAA//8DAFBLAQItABQABgAIAAAAIQC2gziS/gAAAOEBAAATAAAA&#10;AAAAAAAAAAAAAAAAAABbQ29udGVudF9UeXBlc10ueG1sUEsBAi0AFAAGAAgAAAAhADj9If/WAAAA&#10;lAEAAAsAAAAAAAAAAAAAAAAALwEAAF9yZWxzLy5yZWxzUEsBAi0AFAAGAAgAAAAhAIcXoTJ7AgAA&#10;hgUAAA4AAAAAAAAAAAAAAAAALgIAAGRycy9lMm9Eb2MueG1sUEsBAi0AFAAGAAgAAAAhAFrrRoXh&#10;AAAACwEAAA8AAAAAAAAAAAAAAAAA1QQAAGRycy9kb3ducmV2LnhtbFBLBQYAAAAABAAEAPMAAADj&#10;BQAAAAA=&#10;"/>
            </w:pict>
          </mc:Fallback>
        </mc:AlternateContent>
      </w:r>
      <w:r w:rsidR="00C92C7B">
        <w:rPr>
          <w:noProof/>
        </w:rPr>
        <w:drawing>
          <wp:inline distT="0" distB="0" distL="0" distR="0" wp14:anchorId="76B5730B" wp14:editId="3B898392">
            <wp:extent cx="6120000" cy="3696101"/>
            <wp:effectExtent l="38100" t="38100" r="33655" b="38100"/>
            <wp:docPr id="82" name="Picture 82"/>
            <wp:cNvGraphicFramePr/>
            <a:graphic xmlns:a="http://schemas.openxmlformats.org/drawingml/2006/main">
              <a:graphicData uri="http://schemas.openxmlformats.org/drawingml/2006/picture">
                <pic:pic xmlns:pic="http://schemas.openxmlformats.org/drawingml/2006/picture">
                  <pic:nvPicPr>
                    <pic:cNvPr id="83" name="Picture" descr="utkast_fl_rapport_files/figure-docx/unnamed-chunk-17-1.png"/>
                    <pic:cNvPicPr>
                      <a:picLocks noChangeAspect="1" noChangeArrowheads="1"/>
                    </pic:cNvPicPr>
                  </pic:nvPicPr>
                  <pic:blipFill>
                    <a:blip r:embed="rId43"/>
                    <a:stretch>
                      <a:fillRect/>
                    </a:stretch>
                  </pic:blipFill>
                  <pic:spPr bwMode="auto">
                    <a:xfrm>
                      <a:off x="0" y="0"/>
                      <a:ext cx="6120000" cy="3696101"/>
                    </a:xfrm>
                    <a:prstGeom prst="rect">
                      <a:avLst/>
                    </a:prstGeom>
                    <a:noFill/>
                    <a:ln w="38100">
                      <a:solidFill>
                        <a:schemeClr val="accent2"/>
                      </a:solidFill>
                      <a:headEnd/>
                      <a:tailEnd/>
                    </a:ln>
                  </pic:spPr>
                </pic:pic>
              </a:graphicData>
            </a:graphic>
          </wp:inline>
        </w:drawing>
      </w:r>
    </w:p>
    <w:p w14:paraId="3DFA12B1" w14:textId="77777777" w:rsidR="00D9107F" w:rsidRPr="00D9107F" w:rsidRDefault="00B06A49" w:rsidP="00E93574">
      <w:pPr>
        <w:pStyle w:val="Petit"/>
        <w:rPr>
          <w:rStyle w:val="kursiv"/>
        </w:rPr>
      </w:pPr>
      <w:r w:rsidRPr="00D9107F">
        <w:rPr>
          <w:rStyle w:val="kursiv"/>
        </w:rPr>
        <w:t>Merknad:</w:t>
      </w:r>
      <w:r w:rsidR="00F35BC5" w:rsidRPr="00D9107F">
        <w:rPr>
          <w:rStyle w:val="kursiv"/>
        </w:rPr>
        <w:t xml:space="preserve"> Linjen angir median og prikkene angir 75te og 25te persentil.</w:t>
      </w:r>
      <w:r w:rsidRPr="00D9107F">
        <w:rPr>
          <w:rStyle w:val="kursiv"/>
        </w:rPr>
        <w:t xml:space="preserve"> </w:t>
      </w:r>
      <w:r w:rsidR="00F35BC5" w:rsidRPr="00D9107F">
        <w:rPr>
          <w:rStyle w:val="kursiv"/>
        </w:rPr>
        <w:t>Kilde: KUHR og FLO</w:t>
      </w:r>
      <w:r w:rsidRPr="00D9107F">
        <w:rPr>
          <w:rStyle w:val="kursiv"/>
        </w:rPr>
        <w:t>, 2008-2021</w:t>
      </w:r>
      <w:r w:rsidR="00D9107F" w:rsidRPr="00D9107F">
        <w:rPr>
          <w:rStyle w:val="kursiv"/>
        </w:rPr>
        <w:t>.</w:t>
      </w:r>
    </w:p>
    <w:p w14:paraId="77444AED" w14:textId="77316B9B" w:rsidR="00F35BC5" w:rsidRDefault="00F35BC5" w:rsidP="00C867B4">
      <w:pPr>
        <w:jc w:val="both"/>
      </w:pPr>
      <w:r>
        <w:t>Noe av forskjellen i inntjening kan tilskrives at mannlige leger har flere arbeidstimer per år enn kvinnelige leger. Når timelønn beregnes for faktiske arbeidsdager i normal arbeidstid, blir forskjellene noe mindre. Timelønnen til kvinnelige leger lå 10 prosent under mannlige leger i 2008, og 5–6 prosent mindre i 2020/2021. Kjønnsforskjellene er høyere blant ikke-spesialister enn spesialister, og er konsistent over aldersgrupper.</w:t>
      </w:r>
    </w:p>
    <w:p w14:paraId="11FB4F86" w14:textId="59B4CF8D" w:rsidR="00F35BC5" w:rsidRDefault="00F35BC5" w:rsidP="00C867B4">
      <w:pPr>
        <w:jc w:val="both"/>
      </w:pPr>
      <w:r>
        <w:t>Ulikhet i inntjening mellom kjønn kan også forklares med at menn har kortere konsultasjonstid</w:t>
      </w:r>
      <w:r w:rsidR="00C72F7C">
        <w:t>,</w:t>
      </w:r>
      <w:r>
        <w:t xml:space="preserve"> og dermed kan gjennomføre flere konsultasjoner per time. En ytterligere årsak er at menn vesentlig oftere bruker takster med høyere inntjening.</w:t>
      </w:r>
    </w:p>
    <w:p w14:paraId="08BDA7AF" w14:textId="77777777" w:rsidR="00D9107F" w:rsidRDefault="00F35BC5" w:rsidP="00C867B4">
      <w:pPr>
        <w:jc w:val="both"/>
      </w:pPr>
      <w:r>
        <w:lastRenderedPageBreak/>
        <w:t xml:space="preserve">Figur </w:t>
      </w:r>
      <w:r w:rsidR="00C867B4">
        <w:t>2-</w:t>
      </w:r>
      <w:r>
        <w:t>1</w:t>
      </w:r>
      <w:r w:rsidR="00C867B4">
        <w:t>9</w:t>
      </w:r>
      <w:r>
        <w:t xml:space="preserve"> viser kjønnsforskjeller i median konsultasjonstid for vanlige konsultasjoner for næringsdrivende og </w:t>
      </w:r>
      <w:r w:rsidR="00260A51">
        <w:t xml:space="preserve">fastlønnede </w:t>
      </w:r>
      <w:r>
        <w:t>spesialister i perioden 2016</w:t>
      </w:r>
      <w:r w:rsidRPr="513C6B95">
        <w:t>–</w:t>
      </w:r>
      <w:r>
        <w:t>2021.</w:t>
      </w:r>
    </w:p>
    <w:p w14:paraId="412E1E68" w14:textId="18FEA357" w:rsidR="00F35BC5" w:rsidRPr="005F4727" w:rsidRDefault="00D2787A" w:rsidP="00E93574">
      <w:pPr>
        <w:pStyle w:val="avsnitt-tittel"/>
        <w:rPr>
          <w:bCs/>
        </w:rPr>
      </w:pPr>
      <w:r>
        <w:t>Figur</w:t>
      </w:r>
      <w:r w:rsidR="00F35BC5" w:rsidRPr="00C349FF">
        <w:t xml:space="preserve"> </w:t>
      </w:r>
      <w:r w:rsidR="00F74E6B">
        <w:t>2-</w:t>
      </w:r>
      <w:r w:rsidR="00C867B4">
        <w:t>19</w:t>
      </w:r>
      <w:r w:rsidR="005E0B90">
        <w:t>:</w:t>
      </w:r>
      <w:r w:rsidR="00F35BC5" w:rsidRPr="00C349FF">
        <w:t xml:space="preserve"> Utvikling i konsultasjonstid (2AD), fordelt på avlønningsform og kjønn</w:t>
      </w:r>
    </w:p>
    <w:p w14:paraId="6875BAAD" w14:textId="5447AC1A" w:rsidR="00FA0F8D" w:rsidRPr="00FA0F8D" w:rsidRDefault="00730FCE" w:rsidP="00FA0F8D">
      <w:r>
        <w:rPr>
          <w:noProof/>
        </w:rPr>
        <w:drawing>
          <wp:inline distT="0" distB="0" distL="0" distR="0" wp14:anchorId="33661D95" wp14:editId="67EEF266">
            <wp:extent cx="6118860" cy="3306394"/>
            <wp:effectExtent l="38100" t="38100" r="34290" b="46990"/>
            <wp:docPr id="91" name="Picture 91"/>
            <wp:cNvGraphicFramePr/>
            <a:graphic xmlns:a="http://schemas.openxmlformats.org/drawingml/2006/main">
              <a:graphicData uri="http://schemas.openxmlformats.org/drawingml/2006/picture">
                <pic:pic xmlns:pic="http://schemas.openxmlformats.org/drawingml/2006/picture">
                  <pic:nvPicPr>
                    <pic:cNvPr id="92" name="Picture" descr="utkast_fl_rapport_files/figure-docx/unnamed-chunk-22-1.png"/>
                    <pic:cNvPicPr>
                      <a:picLocks noChangeAspect="1" noChangeArrowheads="1"/>
                    </pic:cNvPicPr>
                  </pic:nvPicPr>
                  <pic:blipFill rotWithShape="1">
                    <a:blip r:embed="rId44"/>
                    <a:srcRect b="10756"/>
                    <a:stretch/>
                  </pic:blipFill>
                  <pic:spPr bwMode="auto">
                    <a:xfrm>
                      <a:off x="0" y="0"/>
                      <a:ext cx="6127173" cy="3310886"/>
                    </a:xfrm>
                    <a:prstGeom prst="rect">
                      <a:avLst/>
                    </a:prstGeom>
                    <a:noFill/>
                    <a:ln w="38100" cap="flat" cmpd="sng" algn="ctr">
                      <a:solidFill>
                        <a:srgbClr val="A9D6B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68D50" w14:textId="77777777" w:rsidR="00D9107F" w:rsidRPr="00D9107F" w:rsidRDefault="009A16B4" w:rsidP="00C125E9">
      <w:pPr>
        <w:pStyle w:val="Petit"/>
        <w:rPr>
          <w:rStyle w:val="kursiv"/>
        </w:rPr>
      </w:pPr>
      <w:r w:rsidRPr="00D9107F">
        <w:rPr>
          <w:rStyle w:val="kursiv"/>
        </w:rPr>
        <w:t xml:space="preserve">Merknad: </w:t>
      </w:r>
      <w:r w:rsidR="00AA11A3" w:rsidRPr="00D9107F">
        <w:rPr>
          <w:rStyle w:val="kursiv"/>
        </w:rPr>
        <w:t>Kontorkonsultasjoner på dagtid, takstkode 2AD.</w:t>
      </w:r>
      <w:r w:rsidR="00021F55" w:rsidRPr="00D9107F">
        <w:rPr>
          <w:rStyle w:val="kursiv"/>
        </w:rPr>
        <w:t xml:space="preserve"> </w:t>
      </w:r>
      <w:r w:rsidR="007A7463" w:rsidRPr="00D9107F">
        <w:rPr>
          <w:rStyle w:val="kursiv"/>
        </w:rPr>
        <w:t>A</w:t>
      </w:r>
      <w:r w:rsidRPr="00D9107F">
        <w:rPr>
          <w:rStyle w:val="kursiv"/>
        </w:rPr>
        <w:t>lle spesialister med gjennom</w:t>
      </w:r>
      <w:r w:rsidR="0092214C" w:rsidRPr="00D9107F">
        <w:rPr>
          <w:rStyle w:val="kursiv"/>
        </w:rPr>
        <w:t>snittlig 1000 til 2500 listelengde</w:t>
      </w:r>
      <w:r w:rsidR="007A7463" w:rsidRPr="00D9107F">
        <w:rPr>
          <w:rStyle w:val="kursiv"/>
        </w:rPr>
        <w:t xml:space="preserve"> er inkludert</w:t>
      </w:r>
      <w:r w:rsidR="0092214C" w:rsidRPr="00D9107F">
        <w:rPr>
          <w:rStyle w:val="kursiv"/>
        </w:rPr>
        <w:t xml:space="preserve">. </w:t>
      </w:r>
      <w:r w:rsidR="00F35BC5" w:rsidRPr="00D9107F">
        <w:rPr>
          <w:rStyle w:val="kursiv"/>
        </w:rPr>
        <w:t>Kilde: KUHR og FLO</w:t>
      </w:r>
      <w:r w:rsidR="0077763C" w:rsidRPr="00D9107F">
        <w:rPr>
          <w:rStyle w:val="kursiv"/>
        </w:rPr>
        <w:t>, 2016</w:t>
      </w:r>
      <w:r w:rsidR="0095403D" w:rsidRPr="00D9107F">
        <w:rPr>
          <w:rStyle w:val="kursiv"/>
        </w:rPr>
        <w:t>–</w:t>
      </w:r>
      <w:r w:rsidR="0077763C" w:rsidRPr="00D9107F">
        <w:rPr>
          <w:rStyle w:val="kursiv"/>
        </w:rPr>
        <w:t>2021.</w:t>
      </w:r>
    </w:p>
    <w:p w14:paraId="387A4912" w14:textId="77777777" w:rsidR="00D9107F" w:rsidRDefault="00423E3B" w:rsidP="00A56E28">
      <w:pPr>
        <w:jc w:val="both"/>
      </w:pPr>
      <w:r>
        <w:t>Ansatte</w:t>
      </w:r>
      <w:r w:rsidR="00F35BC5" w:rsidRPr="00FC16DB">
        <w:t xml:space="preserve"> spesialister </w:t>
      </w:r>
      <w:r>
        <w:t xml:space="preserve">med fastlønnsavtale </w:t>
      </w:r>
      <w:r w:rsidR="00F35BC5" w:rsidRPr="00FC16DB">
        <w:t xml:space="preserve">har høyere median konsultasjonstid, sammenlignet med næringsdrivende spesialister. Det er også mindre kjønnsforskjeller i konsultasjonstid mellom </w:t>
      </w:r>
      <w:r w:rsidR="00003708">
        <w:t>ansatte fastleger</w:t>
      </w:r>
      <w:r w:rsidR="00F35BC5" w:rsidRPr="00FC16DB">
        <w:t xml:space="preserve">, og forskjellen i konsultasjonstid mellom mannlige og kvinnelige </w:t>
      </w:r>
      <w:r w:rsidR="00003708">
        <w:t>ansatte</w:t>
      </w:r>
      <w:r w:rsidR="00F35BC5" w:rsidRPr="00FC16DB">
        <w:t xml:space="preserve"> leger blir borte de siste årene. Dette er til forskjell fra de næringsdrivende fastlegene, hvor kjønnsforskjellene også holder seg relativt konsistent over aldersgrupper. FHI har også undersøkt sammenheng mellom legens alder og median konsultasjonstid, men finner ikke noe</w:t>
      </w:r>
      <w:r w:rsidR="00C72F7C">
        <w:t>n</w:t>
      </w:r>
      <w:r w:rsidR="00F35BC5" w:rsidRPr="00FC16DB">
        <w:t xml:space="preserve"> sterk korrelasjon.</w:t>
      </w:r>
    </w:p>
    <w:p w14:paraId="4095D8C3" w14:textId="6ED690B4" w:rsidR="00F35BC5" w:rsidRDefault="00F35BC5" w:rsidP="00775632">
      <w:pPr>
        <w:pStyle w:val="Overskrift4"/>
      </w:pPr>
      <w:bookmarkStart w:id="401" w:name="_Toc131238298"/>
      <w:bookmarkStart w:id="402" w:name="_Toc131279328"/>
      <w:bookmarkStart w:id="403" w:name="_Toc131286740"/>
      <w:bookmarkStart w:id="404" w:name="_Toc131281150"/>
      <w:bookmarkStart w:id="405" w:name="_Toc131317689"/>
      <w:r>
        <w:t>Aktivitetsbasert finansiering og bruk av tidstakst</w:t>
      </w:r>
      <w:bookmarkEnd w:id="401"/>
      <w:bookmarkEnd w:id="402"/>
      <w:bookmarkEnd w:id="403"/>
      <w:bookmarkEnd w:id="404"/>
      <w:bookmarkEnd w:id="405"/>
    </w:p>
    <w:p w14:paraId="52A8A7FB" w14:textId="77777777" w:rsidR="00D9107F" w:rsidRDefault="00F35BC5" w:rsidP="00A56E28">
      <w:pPr>
        <w:jc w:val="both"/>
      </w:pPr>
      <w:r>
        <w:t xml:space="preserve">Aktivitetsbasert finansiering er et av flere virkemidler for å opprettholde og styre ønsket aktivitet i fastlegetjenesten. </w:t>
      </w:r>
      <w:r w:rsidRPr="00467888">
        <w:t xml:space="preserve">Flere studier finner at fastlegenes aktivitet responderer på endring i </w:t>
      </w:r>
      <w:r>
        <w:t>takst</w:t>
      </w:r>
      <w:r w:rsidRPr="00467888">
        <w:t xml:space="preserve">refusjonene. Brekke et al. </w:t>
      </w:r>
      <w:r>
        <w:fldChar w:fldCharType="begin"/>
      </w:r>
      <w:r w:rsidR="00A27571">
        <w:instrText xml:space="preserve"> ADDIN EN.CITE &lt;EndNote&gt;&lt;Cite&gt;&lt;Author&gt;Brekke&lt;/Author&gt;&lt;Year&gt;2015&lt;/Year&gt;&lt;RecNum&gt;162&lt;/RecNum&gt;&lt;DisplayText&gt;(Brekke et al., 2015)&lt;/DisplayText&gt;&lt;record&gt;&lt;rec-number&gt;162&lt;/rec-number&gt;&lt;foreign-keys&gt;&lt;key app="EN" db-id="95tpr2tp6r9xwoea9rb5wdsz5ds5xeddteew" timestamp="1680069511"&gt;162&lt;/key&gt;&lt;/foreign-keys&gt;&lt;ref-type name="Report"&gt;27&lt;/ref-type&gt;&lt;contributors&gt;&lt;authors&gt;&lt;author&gt;Brekke, Kurt R.,&lt;/author&gt;&lt;author&gt;Holmås, Tor Helge,&lt;/author&gt;&lt;author&gt;Monstad, Karin,&lt;/author&gt;&lt;author&gt;Straume, Odd Rune&lt;/author&gt;&lt;/authors&gt;&lt;/contributors&gt;&lt;titles&gt;&lt;title&gt;Do treatment decisions depend on physicians&amp;apos; financial incentives?&lt;/title&gt;&lt;secondary-title&gt;Working Paper&lt;/secondary-title&gt;&lt;/titles&gt;&lt;number&gt;4-2015&lt;/number&gt;&lt;dates&gt;&lt;year&gt;2015&lt;/year&gt;&lt;/dates&gt;&lt;pub-location&gt;Bergen&lt;/pub-location&gt;&lt;publisher&gt;UNI Research Rokkan Centre&lt;/publisher&gt;&lt;urls&gt;&lt;/urls&gt;&lt;/record&gt;&lt;/Cite&gt;&lt;/EndNote&gt;</w:instrText>
      </w:r>
      <w:r>
        <w:fldChar w:fldCharType="separate"/>
      </w:r>
      <w:r w:rsidR="00856689">
        <w:rPr>
          <w:noProof/>
        </w:rPr>
        <w:t>(Brekke et al., 2015)</w:t>
      </w:r>
      <w:r>
        <w:fldChar w:fldCharType="end"/>
      </w:r>
      <w:r w:rsidRPr="00467888">
        <w:t xml:space="preserve"> finner for eksempel at økt betaling for konsultasjoner i et lite vindu rundt tidspunktet der allmennlegen går fra å ikke være spesialist til å bli spesialist, med tilhørende høyere takster per konsultasjon, øker antall konsultasjoner og reduserer tids- og aktivitetstakster knyttet til hver konsultasjon. Legene har altså mindre aktivitet per konsultasjon, og fordi tidsvinduet som studeres er så lite, er det ingen grunn til å tro at dette </w:t>
      </w:r>
      <w:r w:rsidRPr="00467888">
        <w:lastRenderedPageBreak/>
        <w:t>kan tilskrives at legene blir mer erfarne og effektive, eller tar mindre kurs, akkurat idet de går fra allmennlege til spesialist.</w:t>
      </w:r>
    </w:p>
    <w:p w14:paraId="366DC48E" w14:textId="4651FECC" w:rsidR="00F35BC5" w:rsidRDefault="00F35BC5" w:rsidP="00A56E28">
      <w:pPr>
        <w:jc w:val="both"/>
      </w:pPr>
      <w:r>
        <w:t xml:space="preserve">Siden den aktivitetsbaserte finansieringen stimulerer til høy </w:t>
      </w:r>
      <w:r w:rsidR="00B24079">
        <w:t>aktivitet,</w:t>
      </w:r>
      <w:r>
        <w:t xml:space="preserve"> vil det være økonomisk lønnsomt for fastlegen med flere og kortere konsultasjoner. FHI finner at fastlegenes gjennomsnittlige konsultasjonstid for vanlige pasientkonsultasjoner er negativt korrelert med legens årlige inntjening og timelønn</w:t>
      </w:r>
      <w:r w:rsidR="00D5687C">
        <w:t xml:space="preserve"> </w:t>
      </w:r>
      <w:r>
        <w:fldChar w:fldCharType="begin"/>
      </w:r>
      <w:r>
        <w:instrText xml:space="preserve"> ADDIN EN.CITE &lt;EndNote&gt;&lt;Cite&gt;&lt;Author&gt;Hoff&lt;/Author&gt;&lt;Year&gt;2023&lt;/Year&gt;&lt;RecNum&gt;898&lt;/RecNum&gt;&lt;DisplayText&gt;(Hoff et al., 2023)&lt;/DisplayText&gt;&lt;record&gt;&lt;rec-number&gt;898&lt;/rec-number&gt;&lt;foreign-keys&gt;&lt;key app="EN" db-id="95tpr2tp6r9xwoea9rb5wdsz5ds5xeddteew" timestamp="1680121421"&gt;898&lt;/key&gt;&lt;/foreign-keys&gt;&lt;ref-type name="Report"&gt;27&lt;/ref-type&gt;&lt;contributors&gt;&lt;authors&gt;&lt;author&gt;Hoff, E.&lt;/author&gt;&lt;author&gt;Kraft, K.&lt;/author&gt;&lt;author&gt;Østby, K.&lt;/author&gt;&lt;author&gt;Mykletun, A.&lt;/author&gt;&lt;/authors&gt;&lt;/contributors&gt;&lt;titles&gt;&lt;title&gt;Arbeidsmengde, konsultasjonstid og utilsiktede effekterav takstsystemet. Notat om fastlegeordningen&lt;/title&gt;&lt;/titles&gt;&lt;dates&gt;&lt;year&gt;2023&lt;/year&gt;&lt;/dates&gt;&lt;pub-location&gt;Oslo&lt;/pub-location&gt;&lt;publisher&gt;Folkehelseinstituttet &lt;/publisher&gt;&lt;urls&gt;&lt;/urls&gt;&lt;/record&gt;&lt;/Cite&gt;&lt;/EndNote&gt;</w:instrText>
      </w:r>
      <w:r>
        <w:fldChar w:fldCharType="separate"/>
      </w:r>
      <w:r>
        <w:rPr>
          <w:noProof/>
        </w:rPr>
        <w:t>(Hoff et al., 2023)</w:t>
      </w:r>
      <w:r>
        <w:fldChar w:fldCharType="end"/>
      </w:r>
      <w:r>
        <w:t>. Sammenhengen er sterkere for spesialister i allmennmedisin enn for ikke-spesialister.</w:t>
      </w:r>
    </w:p>
    <w:p w14:paraId="2C1A5786" w14:textId="250EAB6A" w:rsidR="00F35BC5" w:rsidRDefault="00F35BC5" w:rsidP="00A56E28">
      <w:pPr>
        <w:jc w:val="both"/>
      </w:pPr>
      <w:r>
        <w:t>Samtidig som takstsystemet gir insentiv til kortere konsultasjoner</w:t>
      </w:r>
      <w:r w:rsidR="00C72F7C">
        <w:t>,</w:t>
      </w:r>
      <w:r>
        <w:t xml:space="preserve"> belønnes også lengre konsultasjoner gjennom tidstaksten (2CD). Tidstaksten kan benyttes når konsultasjonen varer i over 20 minutter, og taksten kan repeteres hvert påbegynte kvarter. I perioden 2008</w:t>
      </w:r>
      <w:r w:rsidRPr="513C6B95">
        <w:t>–</w:t>
      </w:r>
      <w:r>
        <w:t>2010 ble det åpnet for å kombinere tidstakst med noen flere takster, og disse takstenes honorarer ble justert ned.</w:t>
      </w:r>
    </w:p>
    <w:p w14:paraId="099C84A7" w14:textId="15E84B21" w:rsidR="00F35BC5" w:rsidRPr="001552F2" w:rsidRDefault="00F35BC5" w:rsidP="00A56E28">
      <w:pPr>
        <w:jc w:val="both"/>
        <w:rPr>
          <w:highlight w:val="yellow"/>
        </w:rPr>
      </w:pPr>
      <w:r>
        <w:t xml:space="preserve">FHI har undersøkt konsultasjonstid for konsultasjoner, fordelt på næringsdrivende og </w:t>
      </w:r>
      <w:r w:rsidR="003E2A6E">
        <w:t>ansatte</w:t>
      </w:r>
      <w:r>
        <w:t xml:space="preserve"> fastleger. Til forskjell fra forventet tilnærmet jevn fordeling av konsultasjonstidene rundt median- eller gjennomsnittverdi, sees en to-puklet fordeling for de næringsdrivende fastlegene. Det sees én topp rundt 15 minutter, og ytterligere en topp rundt 21 minutter. Denne tendensen er forsterket gjennom tidsperioden fra 2008 til 2021 (figur </w:t>
      </w:r>
      <w:r w:rsidR="00A56E28">
        <w:t>2-</w:t>
      </w:r>
      <w:r w:rsidRPr="001552F2">
        <w:t>2</w:t>
      </w:r>
      <w:r w:rsidR="00A56E28">
        <w:t>0</w:t>
      </w:r>
      <w:r w:rsidRPr="001552F2">
        <w:t xml:space="preserve"> og 2</w:t>
      </w:r>
      <w:r w:rsidR="00A56E28">
        <w:t>-</w:t>
      </w:r>
      <w:r w:rsidRPr="001552F2">
        <w:t>2</w:t>
      </w:r>
      <w:r w:rsidR="00A56E28">
        <w:t>1</w:t>
      </w:r>
      <w:r w:rsidRPr="001552F2">
        <w:t>). Forskerne påpeker at det er færre konsultasjoner som varer 17</w:t>
      </w:r>
      <w:r>
        <w:t>–</w:t>
      </w:r>
      <w:r w:rsidRPr="001552F2">
        <w:t>19 minutter enn hva man kan forvente, som indikerer at konsultasjoner forlenges i tid når det nærmer seg 20 min</w:t>
      </w:r>
      <w:r w:rsidR="00C72F7C">
        <w:t>utter</w:t>
      </w:r>
      <w:r w:rsidRPr="001552F2">
        <w:t>.</w:t>
      </w:r>
    </w:p>
    <w:p w14:paraId="0060A836" w14:textId="77777777" w:rsidR="00D9107F" w:rsidRDefault="00F35BC5" w:rsidP="00A56E28">
      <w:pPr>
        <w:jc w:val="both"/>
      </w:pPr>
      <w:r w:rsidRPr="00F73E7A">
        <w:t xml:space="preserve">Blant de </w:t>
      </w:r>
      <w:r w:rsidR="00534139">
        <w:t>ansatte</w:t>
      </w:r>
      <w:r w:rsidRPr="00F73E7A">
        <w:t xml:space="preserve"> fastlegene sees det ikke en tilsvarende to-puklet form (</w:t>
      </w:r>
      <w:r w:rsidR="00C1693E">
        <w:t xml:space="preserve">se nærmere omtale i </w:t>
      </w:r>
      <w:r w:rsidR="00AB3ED5">
        <w:t>forfatternes publikasjon)</w:t>
      </w:r>
      <w:r w:rsidR="00C72F7C">
        <w:t>.</w:t>
      </w:r>
    </w:p>
    <w:p w14:paraId="04C1D2F5" w14:textId="7BCCFE45" w:rsidR="000D1EC2" w:rsidRDefault="00A51CD2" w:rsidP="00C125E9">
      <w:pPr>
        <w:pStyle w:val="avsnitt-tittel"/>
      </w:pPr>
      <w:r>
        <w:lastRenderedPageBreak/>
        <w:t xml:space="preserve">Figur </w:t>
      </w:r>
      <w:r w:rsidR="00F74E6B">
        <w:t>2-</w:t>
      </w:r>
      <w:r w:rsidR="00A56E28">
        <w:t>20</w:t>
      </w:r>
      <w:r w:rsidR="005E0B90">
        <w:t>:</w:t>
      </w:r>
      <w:r w:rsidR="00F35BC5" w:rsidRPr="000D6F64">
        <w:t xml:space="preserve"> Konsultasjonstid 2AD-konsultasjoner 2008</w:t>
      </w:r>
      <w:r w:rsidR="00F35BC5">
        <w:t>–</w:t>
      </w:r>
      <w:r w:rsidR="00F35BC5" w:rsidRPr="000D6F64">
        <w:t>2014, næringsdrivende</w:t>
      </w:r>
      <w:r w:rsidR="00F35BC5">
        <w:t xml:space="preserve"> spesialister</w:t>
      </w:r>
    </w:p>
    <w:p w14:paraId="0FEA7605" w14:textId="77777777" w:rsidR="00F35BC5" w:rsidRDefault="00F35BC5" w:rsidP="00B62209">
      <w:pPr>
        <w:keepNext/>
        <w:keepLines/>
      </w:pPr>
      <w:r>
        <w:rPr>
          <w:noProof/>
        </w:rPr>
        <w:drawing>
          <wp:inline distT="0" distB="0" distL="0" distR="0" wp14:anchorId="54FE7779" wp14:editId="58619469">
            <wp:extent cx="6119495" cy="3476996"/>
            <wp:effectExtent l="38100" t="38100" r="33655" b="47625"/>
            <wp:docPr id="23" name="Picture 23"/>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rotWithShape="1">
                    <a:blip r:embed="rId45"/>
                    <a:srcRect b="5910"/>
                    <a:stretch/>
                  </pic:blipFill>
                  <pic:spPr bwMode="auto">
                    <a:xfrm>
                      <a:off x="0" y="0"/>
                      <a:ext cx="6120000" cy="3477283"/>
                    </a:xfrm>
                    <a:prstGeom prst="rect">
                      <a:avLst/>
                    </a:prstGeom>
                    <a:noFill/>
                    <a:ln w="38100" cap="flat" cmpd="sng" algn="ctr">
                      <a:solidFill>
                        <a:srgbClr val="A9D6B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F67703" w14:textId="77777777" w:rsidR="00D9107F" w:rsidRPr="00D9107F" w:rsidRDefault="00195147" w:rsidP="00C125E9">
      <w:pPr>
        <w:pStyle w:val="Petit"/>
        <w:rPr>
          <w:rStyle w:val="kursiv"/>
        </w:rPr>
      </w:pPr>
      <w:r w:rsidRPr="00D9107F">
        <w:rPr>
          <w:rStyle w:val="kursiv"/>
        </w:rPr>
        <w:t>Merknad:</w:t>
      </w:r>
      <w:r w:rsidR="00911F3E" w:rsidRPr="00D9107F">
        <w:rPr>
          <w:rStyle w:val="kursiv"/>
        </w:rPr>
        <w:t xml:space="preserve"> </w:t>
      </w:r>
      <w:r w:rsidR="00CD46A1" w:rsidRPr="00D9107F">
        <w:rPr>
          <w:rStyle w:val="kursiv"/>
        </w:rPr>
        <w:t>Inkluderer 2AD konsultasjoner</w:t>
      </w:r>
      <w:r w:rsidRPr="00D9107F">
        <w:rPr>
          <w:rStyle w:val="kursiv"/>
        </w:rPr>
        <w:t xml:space="preserve"> </w:t>
      </w:r>
      <w:r w:rsidR="00AA5DA4" w:rsidRPr="00D9107F">
        <w:rPr>
          <w:rStyle w:val="kursiv"/>
        </w:rPr>
        <w:t xml:space="preserve">blant </w:t>
      </w:r>
      <w:r w:rsidR="00833FFD" w:rsidRPr="00D9107F">
        <w:rPr>
          <w:rStyle w:val="kursiv"/>
        </w:rPr>
        <w:t>næringsdrivende</w:t>
      </w:r>
      <w:r w:rsidR="00AA5DA4" w:rsidRPr="00D9107F">
        <w:rPr>
          <w:rStyle w:val="kursiv"/>
        </w:rPr>
        <w:t xml:space="preserve"> spesialister.</w:t>
      </w:r>
      <w:r w:rsidR="00561BCF" w:rsidRPr="00D9107F">
        <w:rPr>
          <w:rStyle w:val="kursiv"/>
        </w:rPr>
        <w:t xml:space="preserve"> Kilde: KUHR og FLO</w:t>
      </w:r>
      <w:r w:rsidR="0003120B" w:rsidRPr="00D9107F">
        <w:rPr>
          <w:rStyle w:val="kursiv"/>
        </w:rPr>
        <w:t>, 2008-2014.</w:t>
      </w:r>
    </w:p>
    <w:p w14:paraId="6AF7864F" w14:textId="024389B7" w:rsidR="000D1EC2" w:rsidRDefault="00B53897" w:rsidP="00C125E9">
      <w:pPr>
        <w:pStyle w:val="avsnitt-tittel"/>
      </w:pPr>
      <w:r>
        <w:lastRenderedPageBreak/>
        <w:t xml:space="preserve">Figur </w:t>
      </w:r>
      <w:r w:rsidR="00F74E6B">
        <w:t>2-21</w:t>
      </w:r>
      <w:r w:rsidR="005E0B90">
        <w:t>:</w:t>
      </w:r>
      <w:r w:rsidR="00F35BC5" w:rsidRPr="000D6F64">
        <w:t xml:space="preserve"> Konsultasjonstid 2AD-konsultasjoner 2015</w:t>
      </w:r>
      <w:r w:rsidR="00F35BC5">
        <w:t>–</w:t>
      </w:r>
      <w:r w:rsidR="00F35BC5" w:rsidRPr="000D6F64">
        <w:t xml:space="preserve">2021, </w:t>
      </w:r>
      <w:r w:rsidR="00F35BC5">
        <w:t>næringsdrivende spesialister</w:t>
      </w:r>
    </w:p>
    <w:p w14:paraId="13B3F438" w14:textId="77777777" w:rsidR="00F35BC5" w:rsidRPr="002131EB" w:rsidRDefault="00F35BC5" w:rsidP="0095403D">
      <w:pPr>
        <w:keepNext/>
        <w:keepLines/>
      </w:pPr>
      <w:r>
        <w:rPr>
          <w:noProof/>
        </w:rPr>
        <w:drawing>
          <wp:inline distT="0" distB="0" distL="0" distR="0" wp14:anchorId="727194FA" wp14:editId="0B502B7E">
            <wp:extent cx="6119495" cy="3488872"/>
            <wp:effectExtent l="38100" t="38100" r="33655" b="35560"/>
            <wp:docPr id="57" name="Picture 57"/>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rotWithShape="1">
                    <a:blip r:embed="rId46"/>
                    <a:srcRect b="5589"/>
                    <a:stretch/>
                  </pic:blipFill>
                  <pic:spPr bwMode="auto">
                    <a:xfrm>
                      <a:off x="0" y="0"/>
                      <a:ext cx="6120000" cy="3489160"/>
                    </a:xfrm>
                    <a:prstGeom prst="rect">
                      <a:avLst/>
                    </a:prstGeom>
                    <a:noFill/>
                    <a:ln w="38100" cap="flat" cmpd="sng" algn="ctr">
                      <a:solidFill>
                        <a:srgbClr val="A9D6B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914183" w14:textId="77777777" w:rsidR="00D9107F" w:rsidRPr="00D9107F" w:rsidRDefault="009832C8" w:rsidP="00C125E9">
      <w:pPr>
        <w:pStyle w:val="Petit"/>
        <w:rPr>
          <w:rStyle w:val="kursiv"/>
        </w:rPr>
      </w:pPr>
      <w:r w:rsidRPr="00D9107F">
        <w:rPr>
          <w:rStyle w:val="kursiv"/>
        </w:rPr>
        <w:t xml:space="preserve">Merknad: Inkluderer 2AD konsultasjoner blant </w:t>
      </w:r>
      <w:r w:rsidR="00833FFD" w:rsidRPr="00D9107F">
        <w:rPr>
          <w:rStyle w:val="kursiv"/>
        </w:rPr>
        <w:t>næringsdrivende</w:t>
      </w:r>
      <w:r w:rsidRPr="00D9107F">
        <w:rPr>
          <w:rStyle w:val="kursiv"/>
        </w:rPr>
        <w:t xml:space="preserve"> spesialister. Kilde: KUHR og FLO, 2015-2021.</w:t>
      </w:r>
    </w:p>
    <w:p w14:paraId="79ACBC31" w14:textId="5806F27B" w:rsidR="00F35BC5" w:rsidRDefault="00F35BC5" w:rsidP="00775632">
      <w:pPr>
        <w:pStyle w:val="Overskrift3"/>
      </w:pPr>
      <w:bookmarkStart w:id="406" w:name="_Toc131238299"/>
      <w:bookmarkStart w:id="407" w:name="_Toc131279329"/>
      <w:bookmarkStart w:id="408" w:name="_Toc131286741"/>
      <w:bookmarkStart w:id="409" w:name="_Toc131281151"/>
      <w:bookmarkStart w:id="410" w:name="_Toc131317690"/>
      <w:bookmarkStart w:id="411" w:name="_Toc132536906"/>
      <w:r>
        <w:t>Utvikling i fastlegens listelengde</w:t>
      </w:r>
      <w:bookmarkEnd w:id="383"/>
      <w:bookmarkEnd w:id="384"/>
      <w:bookmarkEnd w:id="406"/>
      <w:bookmarkEnd w:id="407"/>
      <w:bookmarkEnd w:id="408"/>
      <w:bookmarkEnd w:id="409"/>
      <w:bookmarkEnd w:id="410"/>
      <w:bookmarkEnd w:id="411"/>
    </w:p>
    <w:p w14:paraId="72BC9850" w14:textId="0A7B390B" w:rsidR="00F35BC5" w:rsidRDefault="00F35BC5" w:rsidP="00830C2D">
      <w:pPr>
        <w:jc w:val="both"/>
      </w:pPr>
      <w:r w:rsidRPr="00F151AF">
        <w:t xml:space="preserve">I dette </w:t>
      </w:r>
      <w:r>
        <w:t>del</w:t>
      </w:r>
      <w:r w:rsidRPr="00F151AF">
        <w:t>kapit</w:t>
      </w:r>
      <w:r w:rsidR="007A60DF">
        <w:t>te</w:t>
      </w:r>
      <w:r w:rsidRPr="00F151AF">
        <w:t xml:space="preserve">let presenteres resultater </w:t>
      </w:r>
      <w:r>
        <w:t>for</w:t>
      </w:r>
      <w:r w:rsidRPr="00F151AF">
        <w:t xml:space="preserve"> fastlegenes listelengde, både gjennomsnittlig listelengde per fastlege og summen av antall </w:t>
      </w:r>
      <w:r>
        <w:t>liste</w:t>
      </w:r>
      <w:r w:rsidRPr="00F151AF">
        <w:t xml:space="preserve">innbyggere (total listelengde). </w:t>
      </w:r>
      <w:r>
        <w:t>Arbeidet er utført av FHI</w:t>
      </w:r>
      <w:r w:rsidR="00C72F7C">
        <w:t>,</w:t>
      </w:r>
      <w:r>
        <w:t xml:space="preserve"> på oppdrag fra ekspertutvalget</w:t>
      </w:r>
      <w:r w:rsidR="00C72F7C">
        <w:t>,</w:t>
      </w:r>
      <w:r>
        <w:t xml:space="preserve"> og datakilder er FLO og KUHR i perioden 2002 til 2022</w:t>
      </w:r>
      <w:r w:rsidR="00CA0F35">
        <w:t xml:space="preserve"> </w:t>
      </w:r>
      <w:r>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fldChar w:fldCharType="separate"/>
      </w:r>
      <w:r w:rsidR="00856689">
        <w:rPr>
          <w:noProof/>
        </w:rPr>
        <w:t>(Skyrud et al., 2023)</w:t>
      </w:r>
      <w:r>
        <w:fldChar w:fldCharType="end"/>
      </w:r>
      <w:r>
        <w:t>.</w:t>
      </w:r>
    </w:p>
    <w:p w14:paraId="768033A2" w14:textId="77777777" w:rsidR="00D9107F" w:rsidRDefault="00F35BC5" w:rsidP="00830C2D">
      <w:pPr>
        <w:jc w:val="both"/>
      </w:pPr>
      <w:r w:rsidRPr="00F151AF">
        <w:t xml:space="preserve">Etter en topp i gjennomsnittlig listelengde per fastlege i 2005, ses en jevn nedgang i listelengden </w:t>
      </w:r>
      <w:r>
        <w:t>fram</w:t>
      </w:r>
      <w:r w:rsidRPr="00F151AF">
        <w:t xml:space="preserve"> til 2022</w:t>
      </w:r>
      <w:r>
        <w:t xml:space="preserve"> i alle fylker, med unntak av Oslo</w:t>
      </w:r>
      <w:r w:rsidRPr="00F151AF">
        <w:t xml:space="preserve">. </w:t>
      </w:r>
      <w:r>
        <w:t xml:space="preserve">Oslo skiller seg fra de øvrige fylkene ved å ha en økning i gjennomsnittlige listelengde fram til 2010, og at listelengden deretter har stabilisert seg på et relativt høyt nivå, med omtrent 1350 listeinnbyggere per liste (figur </w:t>
      </w:r>
      <w:r w:rsidR="00830C2D">
        <w:t>2-22</w:t>
      </w:r>
      <w:r>
        <w:t>.</w:t>
      </w:r>
    </w:p>
    <w:p w14:paraId="5FDF67A9" w14:textId="4F4072C8" w:rsidR="00F35BC5" w:rsidRPr="00577092" w:rsidRDefault="00F35BC5" w:rsidP="00C125E9">
      <w:r w:rsidRPr="00577092">
        <w:t xml:space="preserve">Listelengde varier også etter sentralitet og befolkningsstørrelse. Gjennomsnittlig listelengde er størst i de mest folkerike og sentrale kommunene (1236, 1294), og kortest i </w:t>
      </w:r>
      <w:r w:rsidR="00C72F7C">
        <w:t xml:space="preserve">de </w:t>
      </w:r>
      <w:r w:rsidRPr="00577092">
        <w:t>minst folkerike og sentrale kommunene (606, 607).</w:t>
      </w:r>
    </w:p>
    <w:p w14:paraId="361EE038" w14:textId="7406F3A4" w:rsidR="00D9107F" w:rsidRPr="005E0B90" w:rsidRDefault="00F35BC5" w:rsidP="00C125E9">
      <w:pPr>
        <w:pStyle w:val="avsnitt-tittel"/>
      </w:pPr>
      <w:r w:rsidRPr="005E0B90">
        <w:lastRenderedPageBreak/>
        <w:t xml:space="preserve">Figur </w:t>
      </w:r>
      <w:r w:rsidR="007872E2" w:rsidRPr="005E0B90">
        <w:t>2-</w:t>
      </w:r>
      <w:r w:rsidR="00830C2D" w:rsidRPr="005E0B90">
        <w:t>22</w:t>
      </w:r>
      <w:r w:rsidR="005E0B90" w:rsidRPr="005E0B90">
        <w:t>:</w:t>
      </w:r>
      <w:r w:rsidRPr="005E0B90">
        <w:t xml:space="preserve"> Utviklingen i gjennomsnittlig listelengde per fastlege, per fylke</w:t>
      </w:r>
      <w:r w:rsidR="004304E5" w:rsidRPr="005E0B90">
        <w:t xml:space="preserve"> og for landet totalt</w:t>
      </w:r>
    </w:p>
    <w:p w14:paraId="2C4FC872" w14:textId="18B0C25B" w:rsidR="00A804B8" w:rsidRDefault="00DB3B6A">
      <w:r>
        <w:rPr>
          <w:noProof/>
        </w:rPr>
        <w:drawing>
          <wp:inline distT="0" distB="0" distL="0" distR="0" wp14:anchorId="21711390" wp14:editId="7F486DFF">
            <wp:extent cx="6120765" cy="3706495"/>
            <wp:effectExtent l="0" t="0" r="0" b="825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706495"/>
                    </a:xfrm>
                    <a:prstGeom prst="rect">
                      <a:avLst/>
                    </a:prstGeom>
                    <a:noFill/>
                  </pic:spPr>
                </pic:pic>
              </a:graphicData>
            </a:graphic>
          </wp:inline>
        </w:drawing>
      </w:r>
    </w:p>
    <w:p w14:paraId="009AB9E6" w14:textId="77E9A5A2" w:rsidR="00D9107F" w:rsidRDefault="00A804B8" w:rsidP="00C125E9">
      <w:pPr>
        <w:pStyle w:val="Petit"/>
        <w:rPr>
          <w:rFonts w:ascii="Arial" w:hAnsi="Arial" w:cs="Arial"/>
          <w:sz w:val="16"/>
          <w:szCs w:val="16"/>
        </w:rPr>
      </w:pPr>
      <w:r w:rsidRPr="00D9107F">
        <w:rPr>
          <w:rStyle w:val="kursiv"/>
        </w:rPr>
        <w:t>Kilde: FLO, 2001</w:t>
      </w:r>
      <w:r w:rsidR="00D9107F" w:rsidRPr="00D9107F">
        <w:rPr>
          <w:rStyle w:val="kursiv"/>
        </w:rPr>
        <w:t xml:space="preserve"> – </w:t>
      </w:r>
      <w:r w:rsidRPr="00D9107F">
        <w:rPr>
          <w:rStyle w:val="kursiv"/>
        </w:rPr>
        <w:t>2022.</w:t>
      </w:r>
    </w:p>
    <w:p w14:paraId="3AE91E10" w14:textId="77777777" w:rsidR="00D9107F" w:rsidRDefault="00F35BC5" w:rsidP="00830C2D">
      <w:pPr>
        <w:jc w:val="both"/>
      </w:pPr>
      <w:r>
        <w:t>Parallelt med fallende listelengde nasjonalt sees en økning i</w:t>
      </w:r>
      <w:r w:rsidRPr="00F151AF">
        <w:t xml:space="preserve"> totalt antall </w:t>
      </w:r>
      <w:r>
        <w:t>liste</w:t>
      </w:r>
      <w:r w:rsidRPr="00F151AF">
        <w:t xml:space="preserve">innbyggere på liste med fastlege </w:t>
      </w:r>
      <w:r>
        <w:t>fram</w:t>
      </w:r>
      <w:r w:rsidRPr="00F151AF">
        <w:t xml:space="preserve"> til 2019. Etter 2019 ses en mindre nedgang i dette antallet.</w:t>
      </w:r>
      <w:r>
        <w:t xml:space="preserve"> Flesteparten av fylkene har hatt en årlig vekst i antall listeinnbyggere på liste med fastlege gjennom de siste 20 årene siden fastlegeordningens oppstart. For noen fylker sees en negativ trend for årene 2021 og 2022; Rogaland, Troms og Finnmark, Vestfold og Telemark og Vestland, og tilsvarende sees i middels sentrale og befolkningsrike kommuner. De minst befolkede kommunene ser ikke en tilsvarende reduksjon i antall listeinnbyggere på liste med fast lege.</w:t>
      </w:r>
    </w:p>
    <w:p w14:paraId="467DA492" w14:textId="2F49BD1F" w:rsidR="00F35BC5" w:rsidRDefault="00F35BC5" w:rsidP="00775632">
      <w:pPr>
        <w:pStyle w:val="Overskrift3"/>
      </w:pPr>
      <w:bookmarkStart w:id="412" w:name="_Toc131238300"/>
      <w:bookmarkStart w:id="413" w:name="_Toc131279330"/>
      <w:bookmarkStart w:id="414" w:name="_Toc131286742"/>
      <w:bookmarkStart w:id="415" w:name="_Toc131281152"/>
      <w:bookmarkStart w:id="416" w:name="_Toc131317691"/>
      <w:bookmarkStart w:id="417" w:name="_Toc132536907"/>
      <w:bookmarkStart w:id="418" w:name="_Toc126817041"/>
      <w:bookmarkStart w:id="419" w:name="_Toc127633176"/>
      <w:bookmarkStart w:id="420" w:name="_Toc127864170"/>
      <w:bookmarkStart w:id="421" w:name="_Toc126817040"/>
      <w:bookmarkStart w:id="422" w:name="_Toc127633175"/>
      <w:bookmarkStart w:id="423" w:name="_Toc127864169"/>
      <w:r>
        <w:t>Utvikling i fastlegens arbeidsmengde over tid</w:t>
      </w:r>
      <w:bookmarkEnd w:id="412"/>
      <w:bookmarkEnd w:id="413"/>
      <w:bookmarkEnd w:id="414"/>
      <w:bookmarkEnd w:id="415"/>
      <w:bookmarkEnd w:id="416"/>
      <w:bookmarkEnd w:id="417"/>
    </w:p>
    <w:bookmarkEnd w:id="418"/>
    <w:bookmarkEnd w:id="419"/>
    <w:bookmarkEnd w:id="420"/>
    <w:p w14:paraId="6E0ACDF0" w14:textId="77777777" w:rsidR="00D9107F" w:rsidRDefault="00F35BC5" w:rsidP="001A7437">
      <w:pPr>
        <w:jc w:val="both"/>
      </w:pPr>
      <w:r>
        <w:t>Fastlegene har over tid gitt uttrykk for økende arbeidsbelastning</w:t>
      </w:r>
      <w:r w:rsidR="00C72F7C">
        <w:t>,</w:t>
      </w:r>
      <w:r>
        <w:t xml:space="preserve"> og at stadig flere jobber lengre dager og i økende grad på kvelder og i helger. De siste årene er det utført flere spørreundersøkelser blant fastleger, med selvrapportering av arbeidstimer. Som en del av evalueringen av </w:t>
      </w:r>
      <w:r w:rsidR="00E33426">
        <w:t>H</w:t>
      </w:r>
      <w:r>
        <w:t xml:space="preserve">andlingsplan for allmennlegetjenesten, ba Oslo Economics og Universitet i Oslo (UiO) fastleger om å rapportere gjennomsnittlig antall arbeidstimer per uke, i 2021 </w:t>
      </w:r>
      <w:r>
        <w:fldChar w:fldCharType="begin"/>
      </w:r>
      <w:r w:rsidR="00CE2F35">
        <w:instrText xml:space="preserve"> ADDIN EN.CITE &lt;EndNote&gt;&lt;Cite&gt;&lt;Author&gt;Oslo Economics&lt;/Author&gt;&lt;Year&gt;2022&lt;/Year&gt;&lt;RecNum&gt;218&lt;/RecNum&gt;&lt;DisplayText&gt;(Oslo Economics, 2022)&lt;/DisplayText&gt;&lt;record&gt;&lt;rec-number&gt;218&lt;/rec-number&gt;&lt;foreign-keys&gt;&lt;key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fldChar w:fldCharType="separate"/>
      </w:r>
      <w:r w:rsidR="00CE2F35">
        <w:rPr>
          <w:noProof/>
        </w:rPr>
        <w:t>(Oslo Economics, 2022)</w:t>
      </w:r>
      <w:r>
        <w:fldChar w:fldCharType="end"/>
      </w:r>
      <w:r w:rsidR="003A0FA7">
        <w:t>.</w:t>
      </w:r>
      <w:r>
        <w:t xml:space="preserve"> Fastlegenes anslag viste en median på 55 arbeidstimer per uke, inkludert legevaktarbeid. Når all form for legevaktarbeid ekskluderes, er median antall arbeidstimer 50 timer.</w:t>
      </w:r>
    </w:p>
    <w:p w14:paraId="0FDFC6A2" w14:textId="77777777" w:rsidR="00D9107F" w:rsidRDefault="00F35BC5" w:rsidP="001A7437">
      <w:pPr>
        <w:jc w:val="both"/>
      </w:pPr>
      <w:r>
        <w:lastRenderedPageBreak/>
        <w:t xml:space="preserve">Noe lavere median totalt antall arbeidstimer per uker, 50 timer, ble rapportert av fastlegene i Fastlegeevaluering av EY og Vista analyse i 2019 </w:t>
      </w:r>
      <w:r>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fldChar w:fldCharType="separate"/>
      </w:r>
      <w:r w:rsidR="00CE2F35">
        <w:rPr>
          <w:noProof/>
        </w:rPr>
        <w:t>(EY og Vista Analyse, 2019)</w:t>
      </w:r>
      <w:r>
        <w:fldChar w:fldCharType="end"/>
      </w:r>
      <w:r w:rsidR="00F95690">
        <w:t>.</w:t>
      </w:r>
      <w:r>
        <w:t xml:space="preserve"> Tidsbruksundersøkelsen samme år kartla fastlegers arbeidstid og fant et høyt antall arbeidstimer per lege. Det er tidligere påpekt usikkerhet rundt hvordan </w:t>
      </w:r>
      <w:r w:rsidR="004B5D56">
        <w:t>respondentene</w:t>
      </w:r>
      <w:r>
        <w:t xml:space="preserve"> har registrert timer og kategoriseringen av disse </w:t>
      </w:r>
      <w:r>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fldChar w:fldCharType="separate"/>
      </w:r>
      <w:r w:rsidR="00CE2F35">
        <w:rPr>
          <w:noProof/>
        </w:rPr>
        <w:t>(Ekspertgruppe legevakt, 2021)</w:t>
      </w:r>
      <w:r>
        <w:fldChar w:fldCharType="end"/>
      </w:r>
      <w:r w:rsidR="0037273A">
        <w:t>.</w:t>
      </w:r>
      <w:r>
        <w:t xml:space="preserve"> Trepartssamarbeidet har konkludert med at tallmaterialet ikke egner seg for å fastslå faktiske arbeidstider, men partene er enige om at rapporten viser en økning i fastlegenes arbeidstid</w:t>
      </w:r>
      <w:r w:rsidR="00BD2A6C">
        <w:t xml:space="preserve"> </w:t>
      </w:r>
      <w:r>
        <w:fldChar w:fldCharType="begin"/>
      </w:r>
      <w:r>
        <w:instrText xml:space="preserve"> ADDIN EN.CITE &lt;EndNote&gt;&lt;Cite&gt;&lt;Author&gt;Staten&lt;/Author&gt;&lt;Year&gt;2019&lt;/Year&gt;&lt;RecNum&gt;987&lt;/RecNum&gt;&lt;DisplayText&gt;(Staten, 2019)&lt;/DisplayText&gt;&lt;record&gt;&lt;rec-number&gt;987&lt;/rec-number&gt;&lt;foreign-keys&gt;&lt;key app="EN" db-id="95tpr2tp6r9xwoea9rb5wdsz5ds5xeddteew" timestamp="1680243511"&gt;987&lt;/key&gt;&lt;/foreign-keys&gt;&lt;ref-type name="Report"&gt;27&lt;/ref-type&gt;&lt;contributors&gt;&lt;authors&gt;&lt;author&gt;Staten, KS, RHF, Den norske legeforening, &amp;amp; Helsedirektoratet.&lt;/author&gt;&lt;/authors&gt;&lt;/contributors&gt;&lt;titles&gt;&lt;title&gt; Oppfølging etter protokoll av 1.10.2018. Oslo: Partene &lt;/title&gt;&lt;/titles&gt;&lt;dates&gt;&lt;year&gt;2019&lt;/year&gt;&lt;/dates&gt;&lt;urls&gt;&lt;/urls&gt;&lt;/record&gt;&lt;/Cite&gt;&lt;/EndNote&gt;</w:instrText>
      </w:r>
      <w:r>
        <w:fldChar w:fldCharType="separate"/>
      </w:r>
      <w:r>
        <w:rPr>
          <w:noProof/>
        </w:rPr>
        <w:t>(Staten, 2019)</w:t>
      </w:r>
      <w:r>
        <w:fldChar w:fldCharType="end"/>
      </w:r>
      <w:r>
        <w:t>.</w:t>
      </w:r>
      <w:bookmarkEnd w:id="421"/>
      <w:bookmarkEnd w:id="422"/>
      <w:bookmarkEnd w:id="423"/>
    </w:p>
    <w:p w14:paraId="5D1F50FA" w14:textId="2F8B58F0" w:rsidR="00F35BC5" w:rsidRDefault="00F35BC5" w:rsidP="001A7437">
      <w:pPr>
        <w:jc w:val="both"/>
      </w:pPr>
      <w:r>
        <w:t>SSB undersøkte i 2018 hva økningen i fastlegenes oppgaver over tid kan bety for belastningen for den enkelte lege. Mens fastlegenes gjennomsnittlige listelengde gikk ned med 6 prosent i årene 2010</w:t>
      </w:r>
      <w:r w:rsidR="00D901AE">
        <w:t>–</w:t>
      </w:r>
      <w:r>
        <w:t>2017, var veksten i antall konsultasjoner per innbygger på 4,5 prosent. Det pekes på at den økt</w:t>
      </w:r>
      <w:r w:rsidR="00D901AE">
        <w:t>e</w:t>
      </w:r>
      <w:r>
        <w:t xml:space="preserve"> arbeidsmengden i perioden ikke kan forklares av kun flere konsultasjoner. SSB konkluderer med at resultatene støtter at veksten i fastlegenes arbeidsbelastning overgår tilgjengelige legeressurser de siste årene, men ikke i så stor grad som arbeidstidsundersøkelsene i samme periode oppgir</w:t>
      </w:r>
      <w:r w:rsidR="00BD2A6C">
        <w:t xml:space="preserve"> </w:t>
      </w:r>
      <w:r>
        <w:fldChar w:fldCharType="begin"/>
      </w:r>
      <w:r>
        <w:instrText xml:space="preserve"> ADDIN EN.CITE &lt;EndNote&gt;&lt;Cite&gt;&lt;Author&gt;Texmon&lt;/Author&gt;&lt;Year&gt;2018&lt;/Year&gt;&lt;RecNum&gt;988&lt;/RecNum&gt;&lt;DisplayText&gt;(Texmon, 2018)&lt;/DisplayText&gt;&lt;record&gt;&lt;rec-number&gt;988&lt;/rec-number&gt;&lt;foreign-keys&gt;&lt;key app="EN" db-id="95tpr2tp6r9xwoea9rb5wdsz5ds5xeddteew" timestamp="1680243640"&gt;988&lt;/key&gt;&lt;/foreign-keys&gt;&lt;ref-type name="Journal Article"&gt;17&lt;/ref-type&gt;&lt;contributors&gt;&lt;authors&gt;&lt;author&gt;Texmon, I.&lt;/author&gt;&lt;/authors&gt;&lt;/contributors&gt;&lt;titles&gt;&lt;title&gt;Kortere pasientlister, lengre arbeidsdager. SSB analyse 2018/14. &lt;/title&gt;&lt;/titles&gt;&lt;dates&gt;&lt;year&gt;2018&lt;/year&gt;&lt;/dates&gt;&lt;urls&gt;&lt;/urls&gt;&lt;/record&gt;&lt;/Cite&gt;&lt;/EndNote&gt;</w:instrText>
      </w:r>
      <w:r>
        <w:fldChar w:fldCharType="separate"/>
      </w:r>
      <w:r>
        <w:rPr>
          <w:noProof/>
        </w:rPr>
        <w:t>(Texmon, 2018)</w:t>
      </w:r>
      <w:r>
        <w:fldChar w:fldCharType="end"/>
      </w:r>
      <w:r>
        <w:t>.</w:t>
      </w:r>
    </w:p>
    <w:p w14:paraId="5A5F51DE" w14:textId="77777777" w:rsidR="00D9107F" w:rsidRDefault="00F35BC5" w:rsidP="001A7437">
      <w:pPr>
        <w:jc w:val="both"/>
      </w:pPr>
      <w:r>
        <w:t>På oppdrag fra ekspertutvalget har FHI undersøkt endringer i fastlegens arbeidsmengde over tid</w:t>
      </w:r>
      <w:r w:rsidR="00BD2A6C">
        <w:t xml:space="preserve"> </w:t>
      </w:r>
      <w:r>
        <w:fldChar w:fldCharType="begin"/>
      </w:r>
      <w:r>
        <w:instrText xml:space="preserve"> ADDIN EN.CITE &lt;EndNote&gt;&lt;Cite&gt;&lt;Author&gt;Hoff&lt;/Author&gt;&lt;Year&gt;2023&lt;/Year&gt;&lt;RecNum&gt;898&lt;/RecNum&gt;&lt;DisplayText&gt;(Hoff et al., 2023)&lt;/DisplayText&gt;&lt;record&gt;&lt;rec-number&gt;898&lt;/rec-number&gt;&lt;foreign-keys&gt;&lt;key app="EN" db-id="95tpr2tp6r9xwoea9rb5wdsz5ds5xeddteew" timestamp="1680121421"&gt;898&lt;/key&gt;&lt;/foreign-keys&gt;&lt;ref-type name="Report"&gt;27&lt;/ref-type&gt;&lt;contributors&gt;&lt;authors&gt;&lt;author&gt;Hoff, E.&lt;/author&gt;&lt;author&gt;Kraft, K.&lt;/author&gt;&lt;author&gt;Østby, K.&lt;/author&gt;&lt;author&gt;Mykletun, A.&lt;/author&gt;&lt;/authors&gt;&lt;/contributors&gt;&lt;titles&gt;&lt;title&gt;Arbeidsmengde, konsultasjonstid og utilsiktede effekterav takstsystemet. Notat om fastlegeordningen&lt;/title&gt;&lt;/titles&gt;&lt;dates&gt;&lt;year&gt;2023&lt;/year&gt;&lt;/dates&gt;&lt;pub-location&gt;Oslo&lt;/pub-location&gt;&lt;publisher&gt;Folkehelseinstituttet &lt;/publisher&gt;&lt;urls&gt;&lt;/urls&gt;&lt;/record&gt;&lt;/Cite&gt;&lt;/EndNote&gt;</w:instrText>
      </w:r>
      <w:r>
        <w:fldChar w:fldCharType="separate"/>
      </w:r>
      <w:r>
        <w:rPr>
          <w:noProof/>
        </w:rPr>
        <w:t>(Hoff et al., 2023)</w:t>
      </w:r>
      <w:r>
        <w:fldChar w:fldCharType="end"/>
      </w:r>
      <w:r>
        <w:t>. For å belyse arbeidsmengde er det sett på utvikling i antall arbeidstimer per uke, antall arbeidsdager per år, og antall pasientkontakter og konsultasjoner. Datakildene er Kontroll og utbetaling av helserefusjoner (KUHR) og Fastlegeregisteret (FLO) i perioden 2008 til 2021.</w:t>
      </w:r>
    </w:p>
    <w:p w14:paraId="5F382D79" w14:textId="16D3E75B" w:rsidR="00F35BC5" w:rsidRDefault="00F35BC5" w:rsidP="00775632">
      <w:pPr>
        <w:pStyle w:val="Overskrift4"/>
      </w:pPr>
      <w:bookmarkStart w:id="424" w:name="_Toc131238301"/>
      <w:bookmarkStart w:id="425" w:name="_Toc131279331"/>
      <w:bookmarkStart w:id="426" w:name="_Toc131286743"/>
      <w:bookmarkStart w:id="427" w:name="_Toc131281153"/>
      <w:bookmarkStart w:id="428" w:name="_Toc131317692"/>
      <w:r>
        <w:t>Utvikling i antall arbeidstimer per uke</w:t>
      </w:r>
      <w:bookmarkEnd w:id="424"/>
      <w:bookmarkEnd w:id="425"/>
      <w:bookmarkEnd w:id="426"/>
      <w:bookmarkEnd w:id="427"/>
      <w:bookmarkEnd w:id="428"/>
    </w:p>
    <w:p w14:paraId="4873FB3F" w14:textId="77777777" w:rsidR="001676E7" w:rsidRDefault="00F35BC5" w:rsidP="001A7437">
      <w:pPr>
        <w:jc w:val="both"/>
      </w:pPr>
      <w:r>
        <w:t xml:space="preserve">Ukentlig arbeidstid for den enkelte fastlege er beregnet ved antall unike timer i løpet av et år hvor legen har registrert </w:t>
      </w:r>
      <w:r w:rsidRPr="00931E7B">
        <w:t>minst én takst med fastlege- eller legevaktsarbeid</w:t>
      </w:r>
      <w:r>
        <w:t>. Alle takster som er registrert som fastlegearbeid og legevaktsarbeid er inkludert.</w:t>
      </w:r>
      <w:r w:rsidRPr="00D9107F">
        <w:rPr>
          <w:rStyle w:val="Fotnotereferanse"/>
        </w:rPr>
        <w:footnoteReference w:id="4"/>
      </w:r>
      <w:r>
        <w:t xml:space="preserve"> Aktivitet utført av vikarer, som utgjør totalt 15 prosent av aktiviteten, er ikke inkludert</w:t>
      </w:r>
    </w:p>
    <w:p w14:paraId="5DD7C9B8" w14:textId="12181A04" w:rsidR="00F35BC5" w:rsidRDefault="003404AA" w:rsidP="001A7437">
      <w:pPr>
        <w:jc w:val="both"/>
      </w:pPr>
      <w:r>
        <w:t>Figur 2-23</w:t>
      </w:r>
      <w:r w:rsidR="00F35BC5">
        <w:t xml:space="preserve"> viser utvikling i median antall arbeidstimer per uke </w:t>
      </w:r>
      <w:r w:rsidR="002810D0">
        <w:t xml:space="preserve">med minst én takst </w:t>
      </w:r>
      <w:r w:rsidR="008907EF">
        <w:t>per time</w:t>
      </w:r>
      <w:r w:rsidR="002810D0">
        <w:t xml:space="preserve"> med fastlege- eller legevaktsarbeid</w:t>
      </w:r>
      <w:r w:rsidR="00F35BC5">
        <w:t xml:space="preserve"> for alle fastleger i årene 2008 til 2021. Deltid er inkludert. Antall arbeidstimer per uke øker med én time i årene 2008 til 2019, fra 33 timer (median) til 34 timer, med en ytterligere øk</w:t>
      </w:r>
      <w:r w:rsidR="00443923">
        <w:t>n</w:t>
      </w:r>
      <w:r w:rsidR="00F35BC5">
        <w:t>ing til 37 timer i 2021. Det er stor variasjon mellom fastlegene. De 10 prosent av fastlegene som jobber minst, jobber under 17 timer i uka, mens de 10 prosentene som jobber mest, jobber over 50 timer i uka.</w:t>
      </w:r>
    </w:p>
    <w:p w14:paraId="075B1E0F" w14:textId="510F79F8" w:rsidR="001634D4" w:rsidRPr="001634D4" w:rsidRDefault="001634D4" w:rsidP="00C125E9">
      <w:pPr>
        <w:pStyle w:val="avsnitt-tittel"/>
        <w:rPr>
          <w:bCs/>
        </w:rPr>
      </w:pPr>
      <w:r>
        <w:lastRenderedPageBreak/>
        <w:t>Figur 2-23</w:t>
      </w:r>
      <w:r w:rsidR="005E0B90">
        <w:t>:</w:t>
      </w:r>
      <w:r w:rsidRPr="00931E7B">
        <w:t xml:space="preserve"> </w:t>
      </w:r>
      <w:r>
        <w:t>Median a</w:t>
      </w:r>
      <w:r w:rsidRPr="00931E7B">
        <w:t>ntall</w:t>
      </w:r>
      <w:r>
        <w:t xml:space="preserve"> </w:t>
      </w:r>
      <w:r w:rsidRPr="43F9E4A7">
        <w:t>klokketimer per uke der fastlegen har registrert refusjonsaktivitet med fastlege eller legevaktsarbeid,</w:t>
      </w:r>
      <w:r w:rsidRPr="00931E7B">
        <w:t xml:space="preserve"> persentiler, 2008</w:t>
      </w:r>
      <w:r w:rsidRPr="513C6B95">
        <w:t>–</w:t>
      </w:r>
      <w:r w:rsidRPr="00931E7B">
        <w:t>2021</w:t>
      </w:r>
    </w:p>
    <w:p w14:paraId="0D4EB2A8" w14:textId="0B06D69A" w:rsidR="00734BA5" w:rsidRPr="00D9107F" w:rsidRDefault="00526443" w:rsidP="0095403D">
      <w:pPr>
        <w:keepNext/>
        <w:keepLines/>
        <w:rPr>
          <w:rStyle w:val="kursiv"/>
        </w:rPr>
      </w:pPr>
      <w:r>
        <w:rPr>
          <w:noProof/>
        </w:rPr>
        <w:drawing>
          <wp:inline distT="0" distB="0" distL="0" distR="0" wp14:anchorId="27EF020A" wp14:editId="055BC8F1">
            <wp:extent cx="6119255" cy="3145536"/>
            <wp:effectExtent l="38100" t="38100" r="34290" b="36195"/>
            <wp:docPr id="21" name="Picture 2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rotWithShape="1">
                    <a:blip r:embed="rId48"/>
                    <a:srcRect t="6627" b="10797"/>
                    <a:stretch/>
                  </pic:blipFill>
                  <pic:spPr bwMode="auto">
                    <a:xfrm>
                      <a:off x="0" y="0"/>
                      <a:ext cx="6123825" cy="3147885"/>
                    </a:xfrm>
                    <a:prstGeom prst="rect">
                      <a:avLst/>
                    </a:prstGeom>
                    <a:noFill/>
                    <a:ln w="38100">
                      <a:solidFill>
                        <a:srgbClr val="A9D6B9"/>
                      </a:solidFill>
                    </a:ln>
                    <a:extLst>
                      <a:ext uri="{53640926-AAD7-44D8-BBD7-CCE9431645EC}">
                        <a14:shadowObscured xmlns:a14="http://schemas.microsoft.com/office/drawing/2010/main"/>
                      </a:ext>
                    </a:extLst>
                  </pic:spPr>
                </pic:pic>
              </a:graphicData>
            </a:graphic>
          </wp:inline>
        </w:drawing>
      </w:r>
    </w:p>
    <w:p w14:paraId="7D3EB33B" w14:textId="744CF014" w:rsidR="001634D4" w:rsidRPr="00D9107F" w:rsidRDefault="001634D4" w:rsidP="00C125E9">
      <w:pPr>
        <w:pStyle w:val="Petit"/>
        <w:rPr>
          <w:rStyle w:val="kursiv"/>
        </w:rPr>
      </w:pPr>
      <w:r w:rsidRPr="00D9107F">
        <w:rPr>
          <w:rStyle w:val="kursiv"/>
        </w:rPr>
        <w:t xml:space="preserve">Merknad: Basert på antall unike timer i løpet av ett år hvor legen har </w:t>
      </w:r>
      <w:r w:rsidR="00BA7138" w:rsidRPr="00D9107F">
        <w:rPr>
          <w:rStyle w:val="kursiv"/>
        </w:rPr>
        <w:t>registrert</w:t>
      </w:r>
      <w:r w:rsidRPr="00D9107F">
        <w:rPr>
          <w:rStyle w:val="kursiv"/>
        </w:rPr>
        <w:t xml:space="preserve"> minst én takst med fastlege- eller legevaktsarbeid. Inkluderer alle takster som er registrert som fastlegearbeid og legevaktsarbeid. Regningskort med rollen Fastlege eller Legevakt inngår i analysen</w:t>
      </w:r>
      <w:r w:rsidRPr="00694E64">
        <w:rPr>
          <w:rFonts w:ascii="Arial" w:hAnsi="Arial" w:cs="Arial"/>
          <w:sz w:val="16"/>
          <w:szCs w:val="16"/>
        </w:rPr>
        <w:t>. Aktivitet utført av vikarer er ekskludert.</w:t>
      </w:r>
      <w:r w:rsidR="0071022C">
        <w:rPr>
          <w:rFonts w:ascii="Arial" w:hAnsi="Arial" w:cs="Arial"/>
          <w:sz w:val="16"/>
          <w:szCs w:val="16"/>
        </w:rPr>
        <w:t xml:space="preserve"> 10ende og 90ende persentil i stiplede linjer.</w:t>
      </w:r>
      <w:r w:rsidRPr="00D9107F">
        <w:rPr>
          <w:rStyle w:val="kursiv"/>
        </w:rPr>
        <w:t xml:space="preserve"> Kilde: KUHR og FLO, 2008-2021.</w:t>
      </w:r>
    </w:p>
    <w:p w14:paraId="3EAB5A45" w14:textId="77777777" w:rsidR="00F35BC5" w:rsidRDefault="00F35BC5" w:rsidP="00775632">
      <w:pPr>
        <w:pStyle w:val="Overskrift4"/>
      </w:pPr>
      <w:bookmarkStart w:id="429" w:name="_Toc131238302"/>
      <w:bookmarkStart w:id="430" w:name="_Toc131279332"/>
      <w:bookmarkStart w:id="431" w:name="_Toc131286744"/>
      <w:bookmarkStart w:id="432" w:name="_Toc131281154"/>
      <w:bookmarkStart w:id="433" w:name="_Toc131317693"/>
      <w:r>
        <w:t>Utvikling i antall arbeidsdager per år</w:t>
      </w:r>
      <w:bookmarkEnd w:id="429"/>
      <w:bookmarkEnd w:id="430"/>
      <w:bookmarkEnd w:id="431"/>
      <w:bookmarkEnd w:id="432"/>
      <w:bookmarkEnd w:id="433"/>
    </w:p>
    <w:p w14:paraId="4EB2CDDA" w14:textId="77777777" w:rsidR="00F35BC5" w:rsidRDefault="00F35BC5" w:rsidP="007F69AE">
      <w:pPr>
        <w:jc w:val="both"/>
      </w:pPr>
      <w:r>
        <w:t>Antall arbeidsdager er estimert på to måter: alle dager med jobb, der minst én kontakt regnes som en arbeidsdag, og kurative arbeidsdager, som er definert ved minst fem fysiske konsultasjoner (2ad) på en dag. Legevaktsarbeid er ekskludert.</w:t>
      </w:r>
      <w:r w:rsidRPr="00D9107F">
        <w:rPr>
          <w:rStyle w:val="Fotnotereferanse"/>
        </w:rPr>
        <w:footnoteReference w:id="5"/>
      </w:r>
      <w:r w:rsidRPr="00CD4B57">
        <w:t xml:space="preserve"> </w:t>
      </w:r>
      <w:r>
        <w:t>Eventuelle allmennlegeoppgaver i kommunen inngår heller ikke, siden analysen kun omfatter takstbart arbeid.</w:t>
      </w:r>
    </w:p>
    <w:p w14:paraId="37E1F63A" w14:textId="77777777" w:rsidR="00D9107F" w:rsidRDefault="00F35BC5" w:rsidP="007F69AE">
      <w:pPr>
        <w:jc w:val="both"/>
      </w:pPr>
      <w:r>
        <w:t xml:space="preserve">Et årsverk består vanligvis av 230 arbeidsdager. Figur </w:t>
      </w:r>
      <w:r w:rsidR="007F69AE">
        <w:t>2-24</w:t>
      </w:r>
      <w:r>
        <w:t xml:space="preserve"> viser et jevnt antall arbeidsdager i perioden før 2020, for begge beregningsmetoder. Når alle dager med minst én takst telles, er estimert antall arbeidsdager i året 240 dager (median) i årene fra 2008 til 2019. Antall arbeidsdager øker til 250 fra 2019 til 2021. Når antall kurative dager telles, sees en tilsvarende jevn utvikling i samme tidsperiode, med rundt 160 arbeidsdager i året (median). Men fra 2020 </w:t>
      </w:r>
      <w:r>
        <w:lastRenderedPageBreak/>
        <w:t>synker antall arbeidsdager, en motsatt utvikling gjennom pandemiperioden, enn når alle dager med minst én kontakt telles. I samme periode øker bruken av e-konsultasjoner betydelig. Forskerne peker på at det er usikkert om endringen i antall arbeidsdager skyldes en midlertidig endring, relatert til pandemien, eller en varig endring, men at det mest sannsynlig kan knyttes til digitale løsninger som gjør at legene kan jobbe hjemmefra og dermed fordele arbeidet over flere dager.</w:t>
      </w:r>
    </w:p>
    <w:p w14:paraId="182E529C" w14:textId="59C70DC3" w:rsidR="00D9107F" w:rsidRDefault="00635D47" w:rsidP="00C125E9">
      <w:pPr>
        <w:pStyle w:val="avsnitt-tittel"/>
        <w:rPr>
          <w:sz w:val="16"/>
          <w:szCs w:val="16"/>
        </w:rPr>
      </w:pPr>
      <w:r>
        <w:t>Figur 2-24</w:t>
      </w:r>
      <w:r w:rsidR="005E0B90">
        <w:t>:</w:t>
      </w:r>
      <w:r w:rsidRPr="00171142">
        <w:t xml:space="preserve"> </w:t>
      </w:r>
      <w:r w:rsidRPr="004F60FB">
        <w:t>Antall dager i året (median) der fastlegen har minst en kontakt eller minst fem fysiske konsultasjoner</w:t>
      </w:r>
    </w:p>
    <w:p w14:paraId="4CBC5731" w14:textId="15D49A40" w:rsidR="00AC1528" w:rsidRPr="00D9107F" w:rsidRDefault="00AC1528" w:rsidP="00F35BC5">
      <w:pPr>
        <w:rPr>
          <w:rStyle w:val="kursiv"/>
        </w:rPr>
      </w:pPr>
      <w:r>
        <w:rPr>
          <w:noProof/>
        </w:rPr>
        <w:drawing>
          <wp:inline distT="0" distB="0" distL="0" distR="0" wp14:anchorId="00AEA2C9" wp14:editId="350096C2">
            <wp:extent cx="6120000" cy="3159557"/>
            <wp:effectExtent l="38100" t="38100" r="33655" b="41275"/>
            <wp:docPr id="22" name="Picture 22"/>
            <wp:cNvGraphicFramePr/>
            <a:graphic xmlns:a="http://schemas.openxmlformats.org/drawingml/2006/main">
              <a:graphicData uri="http://schemas.openxmlformats.org/drawingml/2006/picture">
                <pic:pic xmlns:pic="http://schemas.openxmlformats.org/drawingml/2006/picture">
                  <pic:nvPicPr>
                    <pic:cNvPr id="42" name="Picture"/>
                    <pic:cNvPicPr/>
                  </pic:nvPicPr>
                  <pic:blipFill rotWithShape="1">
                    <a:blip r:embed="rId49"/>
                    <a:srcRect t="8116" b="6375"/>
                    <a:stretch/>
                  </pic:blipFill>
                  <pic:spPr bwMode="auto">
                    <a:xfrm>
                      <a:off x="0" y="0"/>
                      <a:ext cx="6120000" cy="3159557"/>
                    </a:xfrm>
                    <a:prstGeom prst="rect">
                      <a:avLst/>
                    </a:prstGeom>
                    <a:noFill/>
                    <a:ln w="38100">
                      <a:solidFill>
                        <a:schemeClr val="accent2"/>
                      </a:solidFill>
                    </a:ln>
                    <a:extLst>
                      <a:ext uri="{53640926-AAD7-44D8-BBD7-CCE9431645EC}">
                        <a14:shadowObscured xmlns:a14="http://schemas.microsoft.com/office/drawing/2010/main"/>
                      </a:ext>
                    </a:extLst>
                  </pic:spPr>
                </pic:pic>
              </a:graphicData>
            </a:graphic>
          </wp:inline>
        </w:drawing>
      </w:r>
    </w:p>
    <w:p w14:paraId="5DDDEE7A" w14:textId="77777777" w:rsidR="00D9107F" w:rsidRPr="00D9107F" w:rsidRDefault="00AC1528" w:rsidP="00C125E9">
      <w:pPr>
        <w:pStyle w:val="Petit"/>
        <w:rPr>
          <w:rStyle w:val="kursiv"/>
        </w:rPr>
      </w:pPr>
      <w:r w:rsidRPr="00D9107F">
        <w:rPr>
          <w:rStyle w:val="kursiv"/>
        </w:rPr>
        <w:t>Merknad: Inkluderer alle takster som er registrert som fastlegearbeid. Kun regningskort med rollen Fastleger er inkludert. Legevaktarbeid er ekskludert. Kilde: KUHR og FLO, 2008-2021.</w:t>
      </w:r>
    </w:p>
    <w:p w14:paraId="4AAF2F64" w14:textId="72AFD07B" w:rsidR="00F35BC5" w:rsidRDefault="00F35BC5" w:rsidP="00775632">
      <w:pPr>
        <w:pStyle w:val="Overskrift4"/>
      </w:pPr>
      <w:bookmarkStart w:id="434" w:name="_Toc131238303"/>
      <w:bookmarkStart w:id="435" w:name="_Toc131279333"/>
      <w:bookmarkStart w:id="436" w:name="_Toc131286745"/>
      <w:bookmarkStart w:id="437" w:name="_Toc131281155"/>
      <w:bookmarkStart w:id="438" w:name="_Toc131317694"/>
      <w:r>
        <w:t>Utvikling i antall pasientkontakter per fastlege</w:t>
      </w:r>
      <w:bookmarkEnd w:id="434"/>
      <w:bookmarkEnd w:id="435"/>
      <w:bookmarkEnd w:id="436"/>
      <w:bookmarkEnd w:id="437"/>
      <w:bookmarkEnd w:id="438"/>
    </w:p>
    <w:p w14:paraId="2E0E54FD" w14:textId="77777777" w:rsidR="00D9107F" w:rsidRDefault="00F35BC5" w:rsidP="0005462A">
      <w:pPr>
        <w:jc w:val="both"/>
      </w:pPr>
      <w:r>
        <w:t xml:space="preserve">Figur </w:t>
      </w:r>
      <w:r w:rsidR="007F69AE">
        <w:t>2-25</w:t>
      </w:r>
      <w:r>
        <w:t xml:space="preserve"> viser utviklingen i gjennomsnittlig antall kontakter per fastlege fordelt på kontakttypene enkelt kontakt/frammøte, ingen kontakt, sykebesøk, telefonkontakt, konsultasjoner, inkludert e-konsultasjoner. </w:t>
      </w:r>
      <w:r w:rsidRPr="00D9107F">
        <w:rPr>
          <w:rStyle w:val="kursiv"/>
        </w:rPr>
        <w:t xml:space="preserve">Ingen kontakt </w:t>
      </w:r>
      <w:r>
        <w:t>betyr at regningskortet er registrert uten noen kontakttakst.</w:t>
      </w:r>
      <w:r w:rsidRPr="00D9107F">
        <w:rPr>
          <w:rStyle w:val="Fotnotereferanse"/>
        </w:rPr>
        <w:footnoteReference w:id="6"/>
      </w:r>
      <w:r>
        <w:t xml:space="preserve"> Legevaktarbeid er ikke inkludert.</w:t>
      </w:r>
      <w:r w:rsidRPr="00D9107F">
        <w:rPr>
          <w:rStyle w:val="Fotnotereferanse"/>
        </w:rPr>
        <w:footnoteReference w:id="7"/>
      </w:r>
      <w:r>
        <w:t xml:space="preserve"> Det er en økning i antall årlige kontakter</w:t>
      </w:r>
      <w:r w:rsidR="00D901AE">
        <w:t>,</w:t>
      </w:r>
      <w:r>
        <w:t xml:space="preserve"> fra 5115 kontakter i 2008 til 6302 kontakter per fastlege i 2021.</w:t>
      </w:r>
    </w:p>
    <w:p w14:paraId="326FAE0D" w14:textId="4423D77B" w:rsidR="00D9107F" w:rsidRDefault="00F35BC5" w:rsidP="0005462A">
      <w:pPr>
        <w:jc w:val="both"/>
      </w:pPr>
      <w:r>
        <w:lastRenderedPageBreak/>
        <w:t xml:space="preserve">FHI peker på at økningen i kontakter kan indikere at fastlegenes totale arbeidsmengde har økt. Samtidig varierer arbeidsmengden per kontakt mellom kontakttype, og det er ulikt hvor mye tid og ressurser fastlegene bruker for hver takst. Alle kontakttypene har økt gjennom perioden, men med noe ulikt mønster. Kontakttypene </w:t>
      </w:r>
      <w:r w:rsidRPr="00D9107F">
        <w:rPr>
          <w:rStyle w:val="kursiv"/>
        </w:rPr>
        <w:t>Telefonkontak</w:t>
      </w:r>
      <w:r>
        <w:t xml:space="preserve">t og </w:t>
      </w:r>
      <w:r w:rsidRPr="00D9107F">
        <w:rPr>
          <w:rStyle w:val="kursiv"/>
        </w:rPr>
        <w:t>Enkel kontakt</w:t>
      </w:r>
      <w:r>
        <w:t xml:space="preserve"> har økt jevnt i hele tidsperioden, mens </w:t>
      </w:r>
      <w:r w:rsidRPr="00D9107F">
        <w:rPr>
          <w:rStyle w:val="kursiv"/>
        </w:rPr>
        <w:t>Ingen kontakt</w:t>
      </w:r>
      <w:r>
        <w:t xml:space="preserve"> og </w:t>
      </w:r>
      <w:r w:rsidRPr="00D9107F">
        <w:rPr>
          <w:rStyle w:val="kursiv"/>
        </w:rPr>
        <w:t>Konsultasjon</w:t>
      </w:r>
      <w:r>
        <w:t xml:space="preserve"> kun har økt de siste to årene.</w:t>
      </w:r>
    </w:p>
    <w:p w14:paraId="17CE3603" w14:textId="4467D68B" w:rsidR="00F35BC5" w:rsidRDefault="00F35BC5" w:rsidP="00C125E9">
      <w:pPr>
        <w:pStyle w:val="avsnitt-tittel"/>
      </w:pPr>
      <w:r w:rsidRPr="00755638">
        <w:t xml:space="preserve">Figur </w:t>
      </w:r>
      <w:r w:rsidR="007872E2">
        <w:t>2-</w:t>
      </w:r>
      <w:r w:rsidR="007F69AE">
        <w:t>25</w:t>
      </w:r>
      <w:r w:rsidR="005E0B90">
        <w:t>:</w:t>
      </w:r>
      <w:r>
        <w:t xml:space="preserve"> </w:t>
      </w:r>
      <w:r w:rsidRPr="00755638">
        <w:t>Gjennomsnittlig antall kontakter over år p</w:t>
      </w:r>
      <w:r>
        <w:t>e</w:t>
      </w:r>
      <w:r w:rsidRPr="00755638">
        <w:t>r fastlege, per kontakttype</w:t>
      </w:r>
    </w:p>
    <w:p w14:paraId="1B9B9D1E" w14:textId="69ACBB24" w:rsidR="00F35BC5" w:rsidRDefault="00CD5A89" w:rsidP="00F35BC5">
      <w:r>
        <w:rPr>
          <w:noProof/>
        </w:rPr>
        <w:drawing>
          <wp:inline distT="0" distB="0" distL="0" distR="0" wp14:anchorId="6E15B856" wp14:editId="566EC078">
            <wp:extent cx="6120000" cy="3771900"/>
            <wp:effectExtent l="38100" t="38100" r="33655" b="38100"/>
            <wp:docPr id="1360" name="Picture 1360"/>
            <wp:cNvGraphicFramePr/>
            <a:graphic xmlns:a="http://schemas.openxmlformats.org/drawingml/2006/main">
              <a:graphicData uri="http://schemas.openxmlformats.org/drawingml/2006/picture">
                <pic:pic xmlns:pic="http://schemas.openxmlformats.org/drawingml/2006/picture">
                  <pic:nvPicPr>
                    <pic:cNvPr id="43" name="Picture" descr="utkast_fl_rapport_files/figure-docx/unnamed-chunk-5-1.png"/>
                    <pic:cNvPicPr>
                      <a:picLocks noChangeAspect="1" noChangeArrowheads="1"/>
                    </pic:cNvPicPr>
                  </pic:nvPicPr>
                  <pic:blipFill>
                    <a:blip r:embed="rId50"/>
                    <a:stretch>
                      <a:fillRect/>
                    </a:stretch>
                  </pic:blipFill>
                  <pic:spPr bwMode="auto">
                    <a:xfrm>
                      <a:off x="0" y="0"/>
                      <a:ext cx="6120000" cy="3771900"/>
                    </a:xfrm>
                    <a:prstGeom prst="rect">
                      <a:avLst/>
                    </a:prstGeom>
                    <a:noFill/>
                    <a:ln w="38100">
                      <a:solidFill>
                        <a:schemeClr val="accent2"/>
                      </a:solidFill>
                      <a:headEnd/>
                      <a:tailEnd/>
                    </a:ln>
                  </pic:spPr>
                </pic:pic>
              </a:graphicData>
            </a:graphic>
          </wp:inline>
        </w:drawing>
      </w:r>
    </w:p>
    <w:p w14:paraId="7E667D35" w14:textId="77777777" w:rsidR="00D9107F" w:rsidRPr="00D9107F" w:rsidRDefault="00F35BC5" w:rsidP="00C125E9">
      <w:pPr>
        <w:pStyle w:val="Petit"/>
        <w:rPr>
          <w:rStyle w:val="kursiv"/>
        </w:rPr>
      </w:pPr>
      <w:r w:rsidRPr="00D9107F">
        <w:rPr>
          <w:rStyle w:val="kursiv"/>
        </w:rPr>
        <w:t>Kilde: KUHR og FLO</w:t>
      </w:r>
      <w:r w:rsidR="007E435E" w:rsidRPr="00D9107F">
        <w:rPr>
          <w:rStyle w:val="kursiv"/>
        </w:rPr>
        <w:t>, 2008-2021</w:t>
      </w:r>
      <w:r w:rsidR="00694E64" w:rsidRPr="00D9107F">
        <w:rPr>
          <w:rStyle w:val="kursiv"/>
        </w:rPr>
        <w:t>.</w:t>
      </w:r>
    </w:p>
    <w:p w14:paraId="329B2F81" w14:textId="0174F1A2" w:rsidR="00F35BC5" w:rsidRDefault="00F35BC5" w:rsidP="00963DD8">
      <w:pPr>
        <w:jc w:val="both"/>
      </w:pPr>
      <w:r>
        <w:t>Konsultasjon utgjør 45 prosent av det totale antall pasientkontakter. Over år har antallet vanlig pasientkonsultasjoner (2AD) blitt redusert. Samtidig har antallet e-konsultasjoner økt, og utgjorde omtrent 25 prosent av alle konsultasjoner i 2020 og 2021.</w:t>
      </w:r>
    </w:p>
    <w:p w14:paraId="6C38604B" w14:textId="77777777" w:rsidR="00D9107F" w:rsidRDefault="00F35BC5" w:rsidP="00963DD8">
      <w:pPr>
        <w:jc w:val="both"/>
      </w:pPr>
      <w:r>
        <w:t>Vanlige konsultasjoner har vært den dominerende konsultasjonstypen på dagtid, men har sunket gradvis fra 2688 konsultasjoner i 2008, med et markant fall til under to tusen konsultasjoner i 2020 og 2021. Det har vært en samtidig økning i e-konsultasjoner på dagtid, rundt 600 konsultasjoner, etter 2019. Det er også en økning i mer enn 100 e-konsultasjon på kveld i 2021.</w:t>
      </w:r>
    </w:p>
    <w:p w14:paraId="41FE2375" w14:textId="77777777" w:rsidR="00D9107F" w:rsidRDefault="00F35BC5" w:rsidP="00963DD8">
      <w:pPr>
        <w:jc w:val="both"/>
      </w:pPr>
      <w:r>
        <w:t xml:space="preserve">Figur </w:t>
      </w:r>
      <w:r w:rsidR="00963DD8">
        <w:t>2-26</w:t>
      </w:r>
      <w:r>
        <w:t xml:space="preserve"> viser antall konsultasjoner, både vanlige og e-konsultasjoner, på arbeidsdager med mer enn fem vanlige konsultasjoner, </w:t>
      </w:r>
      <w:r w:rsidRPr="00585785">
        <w:t>definert som kurative dager</w:t>
      </w:r>
      <w:r>
        <w:t>.</w:t>
      </w:r>
    </w:p>
    <w:p w14:paraId="3061CE45" w14:textId="5E9E7121" w:rsidR="00F35BC5" w:rsidRDefault="006028FF" w:rsidP="00C125E9">
      <w:pPr>
        <w:pStyle w:val="avsnitt-tittel"/>
      </w:pPr>
      <w:r>
        <w:lastRenderedPageBreak/>
        <w:t xml:space="preserve">Figur </w:t>
      </w:r>
      <w:r w:rsidR="007872E2">
        <w:t>2-</w:t>
      </w:r>
      <w:r w:rsidR="00963DD8">
        <w:t>26</w:t>
      </w:r>
      <w:r w:rsidR="005E0B90">
        <w:t>:</w:t>
      </w:r>
      <w:r w:rsidR="00F35BC5" w:rsidRPr="003E10B6">
        <w:t xml:space="preserve"> Antall </w:t>
      </w:r>
      <w:r w:rsidR="00F35BC5" w:rsidRPr="00F502B7">
        <w:t xml:space="preserve">konsultasjoner per kurativ </w:t>
      </w:r>
      <w:r w:rsidR="503C1291">
        <w:t>da</w:t>
      </w:r>
      <w:r w:rsidR="62E809B5">
        <w:t>g</w:t>
      </w:r>
      <w:r w:rsidR="00F35BC5" w:rsidRPr="00F502B7">
        <w:t xml:space="preserve"> (arbeidsdag med minst fem 2AD)</w:t>
      </w:r>
      <w:r w:rsidR="00A57AD0">
        <w:t xml:space="preserve"> </w:t>
      </w:r>
      <w:r w:rsidR="00F35BC5" w:rsidRPr="00F502B7">
        <w:t>over år</w:t>
      </w:r>
      <w:r w:rsidR="00A57AD0">
        <w:t>, median</w:t>
      </w:r>
    </w:p>
    <w:p w14:paraId="27176A0E" w14:textId="0E8D09BC" w:rsidR="00F35BC5" w:rsidRDefault="00B849F9" w:rsidP="00217E1F">
      <w:pPr>
        <w:keepNext/>
        <w:keepLines/>
      </w:pPr>
      <w:r>
        <w:rPr>
          <w:noProof/>
        </w:rPr>
        <mc:AlternateContent>
          <mc:Choice Requires="wps">
            <w:drawing>
              <wp:anchor distT="0" distB="0" distL="114300" distR="114300" simplePos="0" relativeHeight="251658285" behindDoc="0" locked="0" layoutInCell="1" allowOverlap="1" wp14:anchorId="53BB35EE" wp14:editId="133509B7">
                <wp:simplePos x="0" y="0"/>
                <wp:positionH relativeFrom="margin">
                  <wp:posOffset>2099603</wp:posOffset>
                </wp:positionH>
                <wp:positionV relativeFrom="paragraph">
                  <wp:posOffset>3342152</wp:posOffset>
                </wp:positionV>
                <wp:extent cx="3938954" cy="330395"/>
                <wp:effectExtent l="0" t="0" r="23495" b="12700"/>
                <wp:wrapNone/>
                <wp:docPr id="15" name="Rectangle 15"/>
                <wp:cNvGraphicFramePr/>
                <a:graphic xmlns:a="http://schemas.openxmlformats.org/drawingml/2006/main">
                  <a:graphicData uri="http://schemas.microsoft.com/office/word/2010/wordprocessingShape">
                    <wps:wsp>
                      <wps:cNvSpPr/>
                      <wps:spPr>
                        <a:xfrm>
                          <a:off x="0" y="0"/>
                          <a:ext cx="3938954" cy="330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ED1C402" id="Rektangel 15" o:spid="_x0000_s1026" style="position:absolute;margin-left:165.3pt;margin-top:263.15pt;width:310.15pt;height:26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jIegIAAIYFAAAOAAAAZHJzL2Uyb0RvYy54bWysVEtv2zAMvg/YfxB0X+28tiaoUwQpMgwo&#10;2mLt0LMiS7EAWdQkJU7260fJj3RdsUOxHBRKJD+Sn0leXR9rTQ7CeQWmoKOLnBJhOJTK7Ar642nz&#10;6ZISH5gpmQYjCnoSnl4vP364auxCjKECXQpHEMT4RWMLWoVgF1nmeSVq5i/ACoNKCa5mAa9ul5WO&#10;NYhe62yc55+zBlxpHXDhPb7etEq6TPhSCh7upfQiEF1QzC2k06VzG89secUWO8dspXiXBntHFjVT&#10;BoMOUDcsMLJ36i+oWnEHHmS44FBnIKXiItWA1YzyV9U8VsyKVAuS4+1Ak/9/sPzu8GgfHNLQWL/w&#10;KMYqjtLV8R/zI8dE1mkgSxwD4fg4mU8u57MpJRx1k0k+mc8im9nZ2zofvgqoSRQK6vBjJI7Y4daH&#10;1rQ3icE8aFVulNbpEhtArLUjB4afbrsbdeB/WGnzLkfMMXpm55KTFE5aRDxtvgtJVIlFjlPCqRvP&#10;yTDOhQmjVlWxUrQ5znL89Vn26SdCEmBElljdgN0B9JYtSI/d0tPZR1eRmnlwzv+VWOs8eKTIYMLg&#10;XCsD7i0AjVV1kVv7nqSWmsjSFsrTgyMO2lHylm8Uft5b5sMDczg7OGW4D8I9HlJDU1DoJEoqcL/e&#10;eo/22NKopaTBWSyo/7lnTlCivxls9vloOo3Dmy7T2ZcxXtxLzfalxuzrNWDPjHDzWJ7EaB90L0oH&#10;9TOujVWMiipmOMYuKA+uv6xDuyNw8XCxWiUzHFjLwq15tDyCR1Zj+z4dn5mzXY8HnI476OeWLV61&#10;emsbPQ2s9gGkSnNw5rXjG4c9NU63mOI2eXlPVuf1ufwNAAD//wMAUEsDBBQABgAIAAAAIQC0Hy+e&#10;4QAAAAsBAAAPAAAAZHJzL2Rvd25yZXYueG1sTI/BSsQwEIbvgu8QRvDmJrZsd1ubLiKKCB7WXUGP&#10;s03SFpukNGm3vr3jSY8z8/HP95e7xfZs1mPovJNwuxLAtKu96lwj4f34dLMFFiI6hb13WsK3DrCr&#10;Li9KLJQ/uzc9H2LDKMSFAiW0MQ4F56FutcWw8oN2dDN+tBhpHBuuRjxTuO15IkTGLXaOPrQ46IdW&#10;11+HyUr4NPh8fHwJr9wks8m7/fRhNpOU11fL/R2wqJf4B8OvPqlDRU4nPzkVWC8hTUVGqIR1kqXA&#10;iMjXIgd2os1mmwKvSv6/Q/UDAAD//wMAUEsBAi0AFAAGAAgAAAAhALaDOJL+AAAA4QEAABMAAAAA&#10;AAAAAAAAAAAAAAAAAFtDb250ZW50X1R5cGVzXS54bWxQSwECLQAUAAYACAAAACEAOP0h/9YAAACU&#10;AQAACwAAAAAAAAAAAAAAAAAvAQAAX3JlbHMvLnJlbHNQSwECLQAUAAYACAAAACEAOQuoyHoCAACG&#10;BQAADgAAAAAAAAAAAAAAAAAuAgAAZHJzL2Uyb0RvYy54bWxQSwECLQAUAAYACAAAACEAtB8vnuEA&#10;AAALAQAADwAAAAAAAAAAAAAAAADUBAAAZHJzL2Rvd25yZXYueG1sUEsFBgAAAAAEAAQA8wAAAOIF&#10;AAAAAA==&#10;" fillcolor="white [3212]" strokecolor="white [3212]" strokeweight="1pt">
                <w10:wrap anchorx="margin"/>
              </v:rect>
            </w:pict>
          </mc:Fallback>
        </mc:AlternateContent>
      </w:r>
      <w:r w:rsidR="00E331C6">
        <w:rPr>
          <w:noProof/>
        </w:rPr>
        <w:drawing>
          <wp:inline distT="0" distB="0" distL="0" distR="0" wp14:anchorId="0CCAA0BE" wp14:editId="64002802">
            <wp:extent cx="6120000" cy="3696101"/>
            <wp:effectExtent l="38100" t="38100" r="33655" b="38100"/>
            <wp:docPr id="1361" name="Picture 1361"/>
            <wp:cNvGraphicFramePr/>
            <a:graphic xmlns:a="http://schemas.openxmlformats.org/drawingml/2006/main">
              <a:graphicData uri="http://schemas.openxmlformats.org/drawingml/2006/picture">
                <pic:pic xmlns:pic="http://schemas.openxmlformats.org/drawingml/2006/picture">
                  <pic:nvPicPr>
                    <pic:cNvPr id="49" name="Picture" descr="utkast_fl_rapport_files/figure-docx/unnamed-chunk-7-1.png"/>
                    <pic:cNvPicPr>
                      <a:picLocks noChangeAspect="1" noChangeArrowheads="1"/>
                    </pic:cNvPicPr>
                  </pic:nvPicPr>
                  <pic:blipFill>
                    <a:blip r:embed="rId51"/>
                    <a:stretch>
                      <a:fillRect/>
                    </a:stretch>
                  </pic:blipFill>
                  <pic:spPr bwMode="auto">
                    <a:xfrm>
                      <a:off x="0" y="0"/>
                      <a:ext cx="6120000" cy="3696101"/>
                    </a:xfrm>
                    <a:prstGeom prst="rect">
                      <a:avLst/>
                    </a:prstGeom>
                    <a:noFill/>
                    <a:ln w="38100">
                      <a:solidFill>
                        <a:schemeClr val="accent2"/>
                      </a:solidFill>
                      <a:headEnd/>
                      <a:tailEnd/>
                    </a:ln>
                  </pic:spPr>
                </pic:pic>
              </a:graphicData>
            </a:graphic>
          </wp:inline>
        </w:drawing>
      </w:r>
    </w:p>
    <w:p w14:paraId="3AC80634" w14:textId="77777777" w:rsidR="00D9107F" w:rsidRPr="00657F9A" w:rsidRDefault="00416DC6" w:rsidP="00C709CD">
      <w:pPr>
        <w:pStyle w:val="Petit"/>
        <w:rPr>
          <w:rStyle w:val="kursiv"/>
        </w:rPr>
      </w:pPr>
      <w:r w:rsidRPr="00657F9A">
        <w:rPr>
          <w:rStyle w:val="kursiv"/>
        </w:rPr>
        <w:t xml:space="preserve">Merknad: </w:t>
      </w:r>
      <w:r w:rsidR="00CE5C16" w:rsidRPr="00657F9A">
        <w:rPr>
          <w:rStyle w:val="kursiv"/>
        </w:rPr>
        <w:t xml:space="preserve">Median. 10ende og 90ende persentil i stiplede linjer. </w:t>
      </w:r>
      <w:r w:rsidRPr="00657F9A">
        <w:rPr>
          <w:rStyle w:val="kursiv"/>
        </w:rPr>
        <w:t xml:space="preserve">Kurativ dag </w:t>
      </w:r>
      <w:r w:rsidR="00931DBF" w:rsidRPr="00657F9A">
        <w:rPr>
          <w:rStyle w:val="kursiv"/>
        </w:rPr>
        <w:t xml:space="preserve">er definert som minst fem 2AD konsultasjoner. </w:t>
      </w:r>
      <w:r w:rsidR="00F35BC5" w:rsidRPr="00657F9A">
        <w:rPr>
          <w:rStyle w:val="kursiv"/>
        </w:rPr>
        <w:t>Kilde: KUHR og FLO</w:t>
      </w:r>
      <w:r w:rsidR="00A515D0" w:rsidRPr="00657F9A">
        <w:rPr>
          <w:rStyle w:val="kursiv"/>
        </w:rPr>
        <w:t>, 2008-2021.</w:t>
      </w:r>
    </w:p>
    <w:p w14:paraId="392F3E77" w14:textId="3CDE64A6" w:rsidR="00F35BC5" w:rsidRDefault="00F35BC5" w:rsidP="00963DD8">
      <w:pPr>
        <w:jc w:val="both"/>
      </w:pPr>
      <w:r>
        <w:t>Fastlegene har mellom 15 og 16 konsultasjoner (median) per kurativ dag (arbeidsdag med minst fem 2AD). Det er imidlertid stor variasjon mellom fastlegene, fra median 10 konsultasjoner blant de 10 prosent som har færrest konsultasjoner, til median 24 konsultasjoner per kurativ dag for de 10 prosentene som har flest konsultasjoner.</w:t>
      </w:r>
      <w:r w:rsidR="00BD73C3">
        <w:t xml:space="preserve"> Resultatet er relativt samsvarende med det forskerne finner for antall kontakter ved bruk av aktivitetsdata fra NHN</w:t>
      </w:r>
      <w:r w:rsidR="00AC10C1">
        <w:t xml:space="preserve">, </w:t>
      </w:r>
      <w:r w:rsidR="00BD73C3">
        <w:t>omtrent 13-14 kontakter i 2022</w:t>
      </w:r>
      <w:r w:rsidR="00F17263">
        <w:t xml:space="preserve"> (Gjefsen, 2023)</w:t>
      </w:r>
      <w:r w:rsidR="00BD73C3">
        <w:t>.</w:t>
      </w:r>
    </w:p>
    <w:p w14:paraId="048EBC77" w14:textId="77777777" w:rsidR="00D9107F" w:rsidRDefault="00F35BC5" w:rsidP="00963DD8">
      <w:pPr>
        <w:jc w:val="both"/>
      </w:pPr>
      <w:r>
        <w:t>Figuren viser også at det er liten endring i median fra 2008 til 2021, men at det er blitt større variasjon mellom legene de siste årene. Økt variasjon i antall konsultasjoner per kurativ dag kan ha sammenheng med at noen leger bruker e-konsultasjoner i større omfang.</w:t>
      </w:r>
    </w:p>
    <w:p w14:paraId="4CCC2084" w14:textId="4DA315F8" w:rsidR="00D9107F" w:rsidRDefault="00F35BC5" w:rsidP="00963DD8">
      <w:pPr>
        <w:jc w:val="both"/>
      </w:pPr>
      <w:r>
        <w:t xml:space="preserve">Figur </w:t>
      </w:r>
      <w:r w:rsidR="00963DD8">
        <w:t>2-27</w:t>
      </w:r>
      <w:r>
        <w:t xml:space="preserve"> viser antall konsultasjoner på kurative dager (minst fem 2AD) etter syv ulike listelengder. Det er relativt lik utvikling og nivå på antall konsultasjoner for de ulike listelengdene, med unntak av de over 1600.</w:t>
      </w:r>
    </w:p>
    <w:p w14:paraId="35476132" w14:textId="7F66E8A2" w:rsidR="00D9107F" w:rsidRDefault="00F35BC5" w:rsidP="00C125E9">
      <w:pPr>
        <w:pStyle w:val="avsnitt-tittel"/>
      </w:pPr>
      <w:r w:rsidRPr="00B52149">
        <w:lastRenderedPageBreak/>
        <w:t xml:space="preserve">Figur </w:t>
      </w:r>
      <w:r w:rsidR="007872E2">
        <w:t>2-</w:t>
      </w:r>
      <w:r w:rsidR="00963DD8">
        <w:t>27</w:t>
      </w:r>
      <w:r w:rsidR="005E0B90">
        <w:t>:</w:t>
      </w:r>
      <w:r w:rsidR="007872E2">
        <w:t xml:space="preserve"> a</w:t>
      </w:r>
      <w:r w:rsidRPr="00B52149">
        <w:t xml:space="preserve">ntall konsultasjoner </w:t>
      </w:r>
      <w:r w:rsidRPr="00481E73">
        <w:t>per kurativ da</w:t>
      </w:r>
      <w:r w:rsidR="00D901AE">
        <w:t>g</w:t>
      </w:r>
      <w:r w:rsidRPr="00481E73">
        <w:t xml:space="preserve"> (arbeidsdag med minst fem 2AD)</w:t>
      </w:r>
      <w:r>
        <w:t xml:space="preserve"> </w:t>
      </w:r>
      <w:r w:rsidRPr="00B52149">
        <w:t>etter ulik listelengde</w:t>
      </w:r>
      <w:r w:rsidRPr="00481E73">
        <w:t>, i persentiler over år</w:t>
      </w:r>
    </w:p>
    <w:p w14:paraId="5BD0288E" w14:textId="77777777" w:rsidR="00D9107F" w:rsidRDefault="001E75F9" w:rsidP="00C709CD">
      <w:r>
        <w:rPr>
          <w:noProof/>
        </w:rPr>
        <w:drawing>
          <wp:inline distT="0" distB="0" distL="0" distR="0" wp14:anchorId="684E2F72" wp14:editId="7D53618A">
            <wp:extent cx="6120000" cy="4045738"/>
            <wp:effectExtent l="38100" t="38100" r="33655" b="3111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4045738"/>
                    </a:xfrm>
                    <a:prstGeom prst="rect">
                      <a:avLst/>
                    </a:prstGeom>
                    <a:noFill/>
                    <a:ln w="38100">
                      <a:solidFill>
                        <a:schemeClr val="accent2"/>
                      </a:solidFill>
                    </a:ln>
                  </pic:spPr>
                </pic:pic>
              </a:graphicData>
            </a:graphic>
          </wp:inline>
        </w:drawing>
      </w:r>
    </w:p>
    <w:p w14:paraId="537BE97C" w14:textId="0E688C04" w:rsidR="00D9107F" w:rsidRDefault="00A515D0" w:rsidP="00C709CD">
      <w:pPr>
        <w:pStyle w:val="Petit"/>
      </w:pPr>
      <w:r w:rsidRPr="00657F9A">
        <w:rPr>
          <w:rStyle w:val="kursiv"/>
        </w:rPr>
        <w:t>Merknad: Median. 10ende og 90ende persentil i stiplede linjer. Kurativ dag er definert som minst fem 2AD konsultasjoner. Kilde: KUHR og FLO, 2008-2021.</w:t>
      </w:r>
    </w:p>
    <w:p w14:paraId="22AE544A" w14:textId="77777777" w:rsidR="00D9107F" w:rsidRDefault="00F35BC5" w:rsidP="0087776B">
      <w:pPr>
        <w:jc w:val="both"/>
      </w:pPr>
      <w:r>
        <w:t>Oppsummert finner FHI en median arbeidstid på 40 timer i 2021</w:t>
      </w:r>
      <w:r w:rsidR="00D901AE">
        <w:t>,</w:t>
      </w:r>
      <w:r>
        <w:t xml:space="preserve"> for fastleger som jobber fulltid, med stor variasjon mellom legene. Trenden er en økning i arbeidstid gjennom perioden, og nesten hele økningen skjer under pandemien (</w:t>
      </w:r>
      <w:r w:rsidRPr="00090914">
        <w:t>fra 35 timer i 2008 til 36 timer i 2019, og videre til 40 timer i 2021</w:t>
      </w:r>
      <w:r>
        <w:t>)</w:t>
      </w:r>
      <w:r w:rsidRPr="00090914">
        <w:t>.</w:t>
      </w:r>
    </w:p>
    <w:p w14:paraId="49585809" w14:textId="5BB0A4C7" w:rsidR="00F35BC5" w:rsidRDefault="00F35BC5" w:rsidP="0087776B">
      <w:pPr>
        <w:jc w:val="both"/>
      </w:pPr>
      <w:r>
        <w:t>Analysemetoden som er brukt her fanger kun opp fastlegens aktiviteter som kan takstes, og arbeid utenfor fastlege- og legevaktsarbeid, som arbeid på helsestasjon, sykehjem eller som kommunelege, telles ikke. Samtidig er det sannsynlig at analysemetoden som er valgt overestimerer arbeid på kveld og helg, siden en takst telles som en arbeidstime. Forskerne setter overestimering i sammenheng med økt bruk av e-konsultasjoner, og mulighet for hjemmearbeid og taksting utenfor normal arbeidstid.</w:t>
      </w:r>
    </w:p>
    <w:p w14:paraId="19594629" w14:textId="77777777" w:rsidR="00D9107F" w:rsidRDefault="00F35BC5" w:rsidP="0087776B">
      <w:pPr>
        <w:jc w:val="both"/>
      </w:pPr>
      <w:r>
        <w:t xml:space="preserve">Tall utvalget har fått fra Helsedirektoratet (KUHR) viser at næringsdrivende leger hadde om lag en halv konsultasjon mer per listeinnbygger enn </w:t>
      </w:r>
      <w:r w:rsidR="00D55C5B">
        <w:t>ansatte</w:t>
      </w:r>
      <w:r>
        <w:t xml:space="preserve"> leger i 2022, </w:t>
      </w:r>
      <w:r w:rsidRPr="006E2D4A">
        <w:t xml:space="preserve">se tabell </w:t>
      </w:r>
      <w:r w:rsidR="0087776B">
        <w:t>2-</w:t>
      </w:r>
      <w:r w:rsidR="00D37A03">
        <w:t>2</w:t>
      </w:r>
      <w:r w:rsidRPr="006E2D4A">
        <w:t>.</w:t>
      </w:r>
    </w:p>
    <w:p w14:paraId="00E750F2" w14:textId="2AB9A4C7" w:rsidR="00F35BC5" w:rsidRPr="00156EBB" w:rsidRDefault="00F35BC5" w:rsidP="00775632">
      <w:pPr>
        <w:pStyle w:val="tabell-tittel"/>
      </w:pPr>
      <w:r w:rsidRPr="00156EBB">
        <w:lastRenderedPageBreak/>
        <w:t xml:space="preserve">Antall konsultasjoner per listeinnbygger i løpet av 2022, fordelt på ulike konsultasjonstyper </w:t>
      </w:r>
    </w:p>
    <w:tbl>
      <w:tblPr>
        <w:tblStyle w:val="EUTabellstil"/>
        <w:tblW w:w="5000" w:type="pct"/>
        <w:tblLook w:val="04A0" w:firstRow="1" w:lastRow="0" w:firstColumn="1" w:lastColumn="0" w:noHBand="0" w:noVBand="1"/>
      </w:tblPr>
      <w:tblGrid>
        <w:gridCol w:w="1688"/>
        <w:gridCol w:w="1470"/>
        <w:gridCol w:w="1470"/>
        <w:gridCol w:w="1470"/>
        <w:gridCol w:w="1630"/>
        <w:gridCol w:w="2008"/>
      </w:tblGrid>
      <w:tr w:rsidR="00F35BC5" w:rsidRPr="00B618D6" w14:paraId="43EA1CCD" w14:textId="77777777" w:rsidTr="713037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7" w:type="pct"/>
            <w:tcBorders>
              <w:bottom w:val="single" w:sz="24" w:space="0" w:color="2A3652" w:themeColor="text2"/>
            </w:tcBorders>
            <w:shd w:val="clear" w:color="auto" w:fill="A9D6B9" w:themeFill="accent2"/>
          </w:tcPr>
          <w:p w14:paraId="4518FBC7" w14:textId="1D4961CE" w:rsidR="00F35BC5" w:rsidRPr="00D9107F" w:rsidRDefault="00D9107F" w:rsidP="006B6CBC">
            <w:pPr>
              <w:pStyle w:val="TabellHode-kolonne"/>
              <w:rPr>
                <w:rStyle w:val="halvfet"/>
                <w:rFonts w:eastAsia="Calibri"/>
              </w:rPr>
            </w:pPr>
            <w:r w:rsidRPr="00D9107F">
              <w:rPr>
                <w:rStyle w:val="halvfet"/>
                <w:rFonts w:eastAsia="Calibri"/>
              </w:rPr>
              <w:t xml:space="preserve"> </w:t>
            </w:r>
          </w:p>
        </w:tc>
        <w:tc>
          <w:tcPr>
            <w:tcW w:w="4133" w:type="pct"/>
            <w:gridSpan w:val="5"/>
            <w:tcBorders>
              <w:bottom w:val="single" w:sz="24" w:space="0" w:color="2A3652" w:themeColor="text2"/>
            </w:tcBorders>
            <w:shd w:val="clear" w:color="auto" w:fill="A9D6B9" w:themeFill="accent2"/>
          </w:tcPr>
          <w:p w14:paraId="6A7FCD0B" w14:textId="77777777" w:rsidR="00F35BC5" w:rsidRPr="00D9107F" w:rsidRDefault="00F35BC5" w:rsidP="006B6CB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Gjennomsnittlig antall konsultasjoner per listeinnbygger per år</w:t>
            </w:r>
          </w:p>
        </w:tc>
      </w:tr>
      <w:tr w:rsidR="00F35BC5" w14:paraId="0E4FDC0E" w14:textId="77777777" w:rsidTr="71303793">
        <w:trPr>
          <w:trHeight w:val="285"/>
        </w:trPr>
        <w:tc>
          <w:tcPr>
            <w:cnfStyle w:val="001000000000" w:firstRow="0" w:lastRow="0" w:firstColumn="1" w:lastColumn="0" w:oddVBand="0" w:evenVBand="0" w:oddHBand="0" w:evenHBand="0" w:firstRowFirstColumn="0" w:firstRowLastColumn="0" w:lastRowFirstColumn="0" w:lastRowLastColumn="0"/>
            <w:tcW w:w="867" w:type="pct"/>
            <w:tcBorders>
              <w:top w:val="single" w:sz="24" w:space="0" w:color="2A3652" w:themeColor="text2"/>
            </w:tcBorders>
          </w:tcPr>
          <w:p w14:paraId="075FBD57" w14:textId="7BFE1FCB" w:rsidR="00F35BC5" w:rsidRPr="00D53EC9" w:rsidRDefault="00D9107F" w:rsidP="006B6CBC">
            <w:pPr>
              <w:pStyle w:val="TabellHode-kolonne"/>
              <w:rPr>
                <w:rFonts w:ascii="Calibri" w:eastAsia="Calibri" w:hAnsi="Calibri" w:cs="Calibri"/>
                <w:lang w:val="nb-NO"/>
              </w:rPr>
            </w:pPr>
            <w:r>
              <w:rPr>
                <w:rFonts w:ascii="Calibri" w:eastAsia="Calibri" w:hAnsi="Calibri" w:cs="Calibri"/>
                <w:lang w:val="nb-NO"/>
              </w:rPr>
              <w:t xml:space="preserve"> </w:t>
            </w:r>
          </w:p>
        </w:tc>
        <w:tc>
          <w:tcPr>
            <w:tcW w:w="755" w:type="pct"/>
            <w:tcBorders>
              <w:top w:val="single" w:sz="24" w:space="0" w:color="2A3652" w:themeColor="text2"/>
            </w:tcBorders>
          </w:tcPr>
          <w:p w14:paraId="7EEF7669" w14:textId="77777777" w:rsidR="00F35BC5" w:rsidRPr="00D53EC9" w:rsidRDefault="00F35BC5" w:rsidP="006B6CBC">
            <w:pPr>
              <w:pStyle w:val="TabellHode-kolonne"/>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2ad</w:t>
            </w:r>
          </w:p>
        </w:tc>
        <w:tc>
          <w:tcPr>
            <w:tcW w:w="755" w:type="pct"/>
            <w:tcBorders>
              <w:top w:val="single" w:sz="24" w:space="0" w:color="2A3652" w:themeColor="text2"/>
            </w:tcBorders>
          </w:tcPr>
          <w:p w14:paraId="439EA91C" w14:textId="77777777" w:rsidR="00F35BC5" w:rsidRPr="00D53EC9" w:rsidRDefault="00F35BC5" w:rsidP="006B6CBC">
            <w:pPr>
              <w:pStyle w:val="TabellHode-kolonne"/>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2ak</w:t>
            </w:r>
          </w:p>
        </w:tc>
        <w:tc>
          <w:tcPr>
            <w:tcW w:w="755" w:type="pct"/>
            <w:tcBorders>
              <w:top w:val="single" w:sz="24" w:space="0" w:color="2A3652" w:themeColor="text2"/>
            </w:tcBorders>
          </w:tcPr>
          <w:p w14:paraId="38CA6087" w14:textId="77777777" w:rsidR="00F35BC5" w:rsidRPr="00D53EC9" w:rsidRDefault="00F35BC5" w:rsidP="006B6CBC">
            <w:pPr>
              <w:pStyle w:val="TabellHode-kolonne"/>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2ae</w:t>
            </w:r>
          </w:p>
        </w:tc>
        <w:tc>
          <w:tcPr>
            <w:tcW w:w="837" w:type="pct"/>
            <w:tcBorders>
              <w:top w:val="single" w:sz="24" w:space="0" w:color="2A3652" w:themeColor="text2"/>
            </w:tcBorders>
          </w:tcPr>
          <w:p w14:paraId="46E5EE37" w14:textId="77777777" w:rsidR="00F35BC5" w:rsidRPr="00D53EC9" w:rsidRDefault="00F35BC5" w:rsidP="006B6CBC">
            <w:pPr>
              <w:pStyle w:val="TabellHode-kolonne"/>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2aek</w:t>
            </w:r>
          </w:p>
        </w:tc>
        <w:tc>
          <w:tcPr>
            <w:tcW w:w="1031" w:type="pct"/>
            <w:tcBorders>
              <w:top w:val="single" w:sz="24" w:space="0" w:color="2A3652" w:themeColor="text2"/>
            </w:tcBorders>
          </w:tcPr>
          <w:p w14:paraId="7DF07F48" w14:textId="77777777" w:rsidR="00F35BC5" w:rsidRPr="00D53EC9" w:rsidRDefault="00F35BC5" w:rsidP="006B6CBC">
            <w:pPr>
              <w:pStyle w:val="TabellHode-kolonne"/>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Totalt</w:t>
            </w:r>
          </w:p>
        </w:tc>
      </w:tr>
      <w:tr w:rsidR="00F35BC5" w14:paraId="62E550EB" w14:textId="77777777" w:rsidTr="001224D0">
        <w:trPr>
          <w:trHeight w:val="285"/>
        </w:trPr>
        <w:tc>
          <w:tcPr>
            <w:cnfStyle w:val="001000000000" w:firstRow="0" w:lastRow="0" w:firstColumn="1" w:lastColumn="0" w:oddVBand="0" w:evenVBand="0" w:oddHBand="0" w:evenHBand="0" w:firstRowFirstColumn="0" w:firstRowLastColumn="0" w:lastRowFirstColumn="0" w:lastRowLastColumn="0"/>
            <w:tcW w:w="867" w:type="pct"/>
          </w:tcPr>
          <w:p w14:paraId="28B9B1F8" w14:textId="0F8CF010" w:rsidR="00F35BC5" w:rsidRPr="00D9107F" w:rsidRDefault="74212FFE" w:rsidP="006B6CBC">
            <w:pPr>
              <w:pStyle w:val="TabellHode-rad"/>
              <w:rPr>
                <w:rStyle w:val="halvfet"/>
                <w:rFonts w:eastAsia="Calibri"/>
              </w:rPr>
            </w:pPr>
            <w:r w:rsidRPr="00D9107F">
              <w:rPr>
                <w:rStyle w:val="halvfet"/>
                <w:rFonts w:eastAsia="Calibri"/>
              </w:rPr>
              <w:t xml:space="preserve">Ansatt </w:t>
            </w:r>
          </w:p>
        </w:tc>
        <w:tc>
          <w:tcPr>
            <w:tcW w:w="755" w:type="pct"/>
          </w:tcPr>
          <w:p w14:paraId="76ED495D"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2,10</w:t>
            </w:r>
          </w:p>
        </w:tc>
        <w:tc>
          <w:tcPr>
            <w:tcW w:w="755" w:type="pct"/>
          </w:tcPr>
          <w:p w14:paraId="08245F90"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0,00</w:t>
            </w:r>
          </w:p>
        </w:tc>
        <w:tc>
          <w:tcPr>
            <w:tcW w:w="755" w:type="pct"/>
          </w:tcPr>
          <w:p w14:paraId="7672C4A4"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0,39</w:t>
            </w:r>
          </w:p>
        </w:tc>
        <w:tc>
          <w:tcPr>
            <w:tcW w:w="837" w:type="pct"/>
          </w:tcPr>
          <w:p w14:paraId="2BEEC3A9"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0,01</w:t>
            </w:r>
          </w:p>
        </w:tc>
        <w:tc>
          <w:tcPr>
            <w:tcW w:w="1031" w:type="pct"/>
          </w:tcPr>
          <w:p w14:paraId="01D4FC72"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2,51</w:t>
            </w:r>
          </w:p>
        </w:tc>
      </w:tr>
      <w:tr w:rsidR="00F35BC5" w14:paraId="689F3939" w14:textId="77777777" w:rsidTr="001224D0">
        <w:trPr>
          <w:trHeight w:val="285"/>
        </w:trPr>
        <w:tc>
          <w:tcPr>
            <w:cnfStyle w:val="001000000000" w:firstRow="0" w:lastRow="0" w:firstColumn="1" w:lastColumn="0" w:oddVBand="0" w:evenVBand="0" w:oddHBand="0" w:evenHBand="0" w:firstRowFirstColumn="0" w:firstRowLastColumn="0" w:lastRowFirstColumn="0" w:lastRowLastColumn="0"/>
            <w:tcW w:w="867" w:type="pct"/>
          </w:tcPr>
          <w:p w14:paraId="125E275C" w14:textId="77777777" w:rsidR="00F35BC5" w:rsidRPr="00D53EC9" w:rsidRDefault="00F35BC5" w:rsidP="006B6CBC">
            <w:pPr>
              <w:pStyle w:val="TabellHode-rad"/>
              <w:rPr>
                <w:rFonts w:ascii="Calibri" w:eastAsia="Calibri" w:hAnsi="Calibri" w:cs="Calibri"/>
              </w:rPr>
            </w:pPr>
            <w:r w:rsidRPr="00D9107F">
              <w:rPr>
                <w:rStyle w:val="halvfet"/>
                <w:rFonts w:eastAsia="Calibri"/>
              </w:rPr>
              <w:t>Næringsdrift</w:t>
            </w:r>
          </w:p>
        </w:tc>
        <w:tc>
          <w:tcPr>
            <w:tcW w:w="755" w:type="pct"/>
          </w:tcPr>
          <w:p w14:paraId="4118B2B0"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2,27</w:t>
            </w:r>
          </w:p>
        </w:tc>
        <w:tc>
          <w:tcPr>
            <w:tcW w:w="755" w:type="pct"/>
          </w:tcPr>
          <w:p w14:paraId="6B8BE19A"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0,01</w:t>
            </w:r>
          </w:p>
        </w:tc>
        <w:tc>
          <w:tcPr>
            <w:tcW w:w="755" w:type="pct"/>
          </w:tcPr>
          <w:p w14:paraId="705ABEB6"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0,64</w:t>
            </w:r>
          </w:p>
        </w:tc>
        <w:tc>
          <w:tcPr>
            <w:tcW w:w="837" w:type="pct"/>
          </w:tcPr>
          <w:p w14:paraId="6453505D"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53EC9">
              <w:rPr>
                <w:rFonts w:ascii="Calibri" w:eastAsia="Calibri" w:hAnsi="Calibri" w:cs="Calibri"/>
              </w:rPr>
              <w:t>0,16</w:t>
            </w:r>
          </w:p>
        </w:tc>
        <w:tc>
          <w:tcPr>
            <w:tcW w:w="1031" w:type="pct"/>
          </w:tcPr>
          <w:p w14:paraId="6B3EF08D" w14:textId="77777777" w:rsidR="00F35BC5" w:rsidRPr="00D53EC9" w:rsidRDefault="00F35BC5" w:rsidP="006B6CB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D9107F">
              <w:rPr>
                <w:rStyle w:val="halvfet"/>
                <w:rFonts w:eastAsia="Calibri"/>
              </w:rPr>
              <w:t>3,07</w:t>
            </w:r>
          </w:p>
        </w:tc>
      </w:tr>
    </w:tbl>
    <w:p w14:paraId="7BD35C5C" w14:textId="77777777" w:rsidR="00D9107F" w:rsidRPr="00D9107F" w:rsidRDefault="00D55C5B" w:rsidP="00C125E9">
      <w:pPr>
        <w:pStyle w:val="Petit"/>
        <w:rPr>
          <w:rStyle w:val="kursiv"/>
        </w:rPr>
      </w:pPr>
      <w:r w:rsidRPr="00D9107F">
        <w:rPr>
          <w:rStyle w:val="kursiv"/>
        </w:rPr>
        <w:t>Merknad</w:t>
      </w:r>
      <w:r w:rsidR="00F35BC5" w:rsidRPr="00D9107F">
        <w:rPr>
          <w:rStyle w:val="kursiv"/>
        </w:rPr>
        <w:t xml:space="preserve">: 2ad er kontorkonsultasjon på dagtid, 2ak er på kveldstid. 2ae er </w:t>
      </w:r>
      <w:r w:rsidR="00F35BC5" w:rsidRPr="00D9107F">
        <w:rPr>
          <w:rStyle w:val="kursiv"/>
          <w:rFonts w:eastAsia="Calibri"/>
        </w:rPr>
        <w:t>e-konsultasjon (video, tekstlig eller telefon) på dagtid, 2aek er kveldstid. Kilde: KUHR</w:t>
      </w:r>
      <w:r w:rsidR="00A338F9" w:rsidRPr="00D9107F">
        <w:rPr>
          <w:rStyle w:val="kursiv"/>
          <w:rFonts w:eastAsia="Calibri"/>
        </w:rPr>
        <w:t>.</w:t>
      </w:r>
    </w:p>
    <w:p w14:paraId="6358E780" w14:textId="45878A59" w:rsidR="00F35BC5" w:rsidRDefault="00F35BC5" w:rsidP="00775632">
      <w:pPr>
        <w:pStyle w:val="Overskrift3"/>
      </w:pPr>
      <w:bookmarkStart w:id="439" w:name="_Toc131238304"/>
      <w:bookmarkStart w:id="440" w:name="_Toc131279334"/>
      <w:bookmarkStart w:id="441" w:name="_Toc131286746"/>
      <w:bookmarkStart w:id="442" w:name="_Toc131281156"/>
      <w:bookmarkStart w:id="443" w:name="_Toc131317695"/>
      <w:bookmarkStart w:id="444" w:name="_Toc132536908"/>
      <w:bookmarkStart w:id="445" w:name="_Toc126817042"/>
      <w:bookmarkStart w:id="446" w:name="_Toc127633177"/>
      <w:bookmarkStart w:id="447" w:name="_Toc127864171"/>
      <w:r>
        <w:t>Innholdet i konsultasjoner og utvikling over tid</w:t>
      </w:r>
      <w:bookmarkEnd w:id="439"/>
      <w:bookmarkEnd w:id="440"/>
      <w:bookmarkEnd w:id="441"/>
      <w:bookmarkEnd w:id="442"/>
      <w:bookmarkEnd w:id="443"/>
      <w:bookmarkEnd w:id="444"/>
    </w:p>
    <w:bookmarkEnd w:id="445"/>
    <w:bookmarkEnd w:id="446"/>
    <w:bookmarkEnd w:id="447"/>
    <w:p w14:paraId="545E9AD7" w14:textId="77777777" w:rsidR="00D9107F" w:rsidRDefault="00F35BC5" w:rsidP="008F5AD8">
      <w:r>
        <w:t xml:space="preserve">For å undersøke utvikling i innholdet i fastlegenes konsultasjoner har FHI sett på fire ulike faktorer og endringer i disse over tid; </w:t>
      </w:r>
      <w:r w:rsidRPr="00BD34EC">
        <w:t>konsultasjonsvarighet</w:t>
      </w:r>
      <w:r>
        <w:t xml:space="preserve">, </w:t>
      </w:r>
      <w:r w:rsidRPr="00BD34EC">
        <w:t>antall takster brukt per konsultasjon</w:t>
      </w:r>
      <w:r>
        <w:t xml:space="preserve">, </w:t>
      </w:r>
      <w:r w:rsidRPr="00BD34EC">
        <w:t>aldersgrupper</w:t>
      </w:r>
      <w:r>
        <w:t xml:space="preserve">, og </w:t>
      </w:r>
      <w:r w:rsidRPr="00BD34EC">
        <w:t>diagnosekategorier</w:t>
      </w:r>
      <w:r>
        <w:t>.</w:t>
      </w:r>
    </w:p>
    <w:p w14:paraId="0FDB5030" w14:textId="768B2D87" w:rsidR="00F35BC5" w:rsidRDefault="00F35BC5" w:rsidP="00775632">
      <w:pPr>
        <w:pStyle w:val="Overskrift4"/>
      </w:pPr>
      <w:bookmarkStart w:id="448" w:name="_Toc131238305"/>
      <w:bookmarkStart w:id="449" w:name="_Toc131279335"/>
      <w:bookmarkStart w:id="450" w:name="_Toc131286747"/>
      <w:bookmarkStart w:id="451" w:name="_Toc131281157"/>
      <w:bookmarkStart w:id="452" w:name="_Toc131317696"/>
      <w:r>
        <w:t>Utvikling i konsultasjonsvarighet</w:t>
      </w:r>
      <w:bookmarkEnd w:id="448"/>
      <w:bookmarkEnd w:id="449"/>
      <w:bookmarkEnd w:id="450"/>
      <w:bookmarkEnd w:id="451"/>
      <w:bookmarkEnd w:id="452"/>
    </w:p>
    <w:p w14:paraId="6BA00146" w14:textId="2579499B" w:rsidR="00F35BC5" w:rsidRDefault="00F35BC5" w:rsidP="004C6CF8">
      <w:pPr>
        <w:jc w:val="both"/>
      </w:pPr>
      <w:r>
        <w:t>Konsultasjonstid undersøkes for vanlig konsultasjoner og e-konsultasjoner. Vanlige konsultasjoner utgjør omtrent 45 prosent av fastlegenes aktivitet, og majoriteten av denne aktiviteten skjer på dagtid mellom kl. 08.00 og 15.00. E-konsultasjoner har økt i omfang de siste årene, og utgjorde cirka 25 prosent av alle konsultasjoner i 2020 og 2021, mot en til tre prosent i 2019. 80 prosent av e-konsultasjonene skjer på dagtid</w:t>
      </w:r>
      <w:r w:rsidR="00D901AE">
        <w:t>,</w:t>
      </w:r>
      <w:r>
        <w:t xml:space="preserve"> og 20 prosent på kveldstid.</w:t>
      </w:r>
    </w:p>
    <w:p w14:paraId="745DD157" w14:textId="1F7C7376" w:rsidR="00F35BC5" w:rsidRDefault="00F35BC5" w:rsidP="004C6CF8">
      <w:pPr>
        <w:jc w:val="both"/>
      </w:pPr>
      <w:r>
        <w:t xml:space="preserve">Figur </w:t>
      </w:r>
      <w:r w:rsidR="004C6CF8">
        <w:t>2-28</w:t>
      </w:r>
      <w:r>
        <w:t xml:space="preserve"> viser utviklingen i konsultasjonstid for vanlige konsultasjoner og e-konsultasjoner. Totalt for perioden 2008</w:t>
      </w:r>
      <w:r w:rsidRPr="513C6B95">
        <w:t>–</w:t>
      </w:r>
      <w:r>
        <w:t>2021 har konsultasjonstiden for vanlige konsultasjoner økt med to minutter. Konsultasjonstiden var stabil fra 2008</w:t>
      </w:r>
      <w:r w:rsidRPr="513C6B95">
        <w:t>–</w:t>
      </w:r>
      <w:r>
        <w:t>2016, og økte deretter med ett minutt i 2017 og igjen i 2020. Tid til e-konsultasjon økte fra 2019 til 2020, knyttet til endring i e-konsultasjonsform. Før 2020 var alle e-konsultasjoner per tekst/e-post, men i 2020, samtidig med at pandemien inntreffer, ble mange av disse erstattet med video og telefon. Videosamtale er ofte mer tidkrevende enn svar per e-post.</w:t>
      </w:r>
    </w:p>
    <w:p w14:paraId="4E34DAA2" w14:textId="29F79367" w:rsidR="00F35BC5" w:rsidRDefault="00471EF7" w:rsidP="00C125E9">
      <w:pPr>
        <w:pStyle w:val="avsnitt-tittel"/>
      </w:pPr>
      <w:r>
        <w:lastRenderedPageBreak/>
        <w:t xml:space="preserve">Figur </w:t>
      </w:r>
      <w:r w:rsidR="007872E2">
        <w:t>2-</w:t>
      </w:r>
      <w:r w:rsidR="004C6CF8">
        <w:t>28</w:t>
      </w:r>
      <w:r w:rsidR="005E0B90">
        <w:t>:</w:t>
      </w:r>
      <w:r w:rsidR="00F35BC5" w:rsidRPr="00A65B78">
        <w:t xml:space="preserve"> Utvikling i median konsultasjonstid 2AD og 2AE</w:t>
      </w:r>
    </w:p>
    <w:p w14:paraId="5CB46592" w14:textId="7397C1BB" w:rsidR="00F35BC5" w:rsidRPr="002557C8" w:rsidRDefault="002557C8" w:rsidP="00217E1F">
      <w:pPr>
        <w:keepNext/>
        <w:keepLines/>
      </w:pPr>
      <w:r>
        <w:rPr>
          <w:noProof/>
        </w:rPr>
        <w:drawing>
          <wp:inline distT="0" distB="0" distL="0" distR="0" wp14:anchorId="14DB0CE1" wp14:editId="5CBD41EA">
            <wp:extent cx="6120000" cy="3696101"/>
            <wp:effectExtent l="38100" t="38100" r="33655" b="38100"/>
            <wp:docPr id="1363" name="Picture 1363"/>
            <wp:cNvGraphicFramePr/>
            <a:graphic xmlns:a="http://schemas.openxmlformats.org/drawingml/2006/main">
              <a:graphicData uri="http://schemas.openxmlformats.org/drawingml/2006/picture">
                <pic:pic xmlns:pic="http://schemas.openxmlformats.org/drawingml/2006/picture">
                  <pic:nvPicPr>
                    <pic:cNvPr id="54" name="Picture" descr="utkast_fl_rapport_files/figure-docx/unnamed-chunk-8-1.png"/>
                    <pic:cNvPicPr>
                      <a:picLocks noChangeAspect="1" noChangeArrowheads="1"/>
                    </pic:cNvPicPr>
                  </pic:nvPicPr>
                  <pic:blipFill>
                    <a:blip r:embed="rId53"/>
                    <a:stretch>
                      <a:fillRect/>
                    </a:stretch>
                  </pic:blipFill>
                  <pic:spPr bwMode="auto">
                    <a:xfrm>
                      <a:off x="0" y="0"/>
                      <a:ext cx="6120000" cy="3696101"/>
                    </a:xfrm>
                    <a:prstGeom prst="rect">
                      <a:avLst/>
                    </a:prstGeom>
                    <a:noFill/>
                    <a:ln w="38100">
                      <a:solidFill>
                        <a:schemeClr val="accent2"/>
                      </a:solidFill>
                      <a:headEnd/>
                      <a:tailEnd/>
                    </a:ln>
                  </pic:spPr>
                </pic:pic>
              </a:graphicData>
            </a:graphic>
          </wp:inline>
        </w:drawing>
      </w:r>
    </w:p>
    <w:p w14:paraId="25C1BB97" w14:textId="77777777" w:rsidR="00D9107F" w:rsidRPr="00D9107F" w:rsidRDefault="00EC3370" w:rsidP="00C125E9">
      <w:pPr>
        <w:pStyle w:val="Petit"/>
        <w:rPr>
          <w:rStyle w:val="kursiv"/>
        </w:rPr>
      </w:pPr>
      <w:r w:rsidRPr="00D9107F">
        <w:rPr>
          <w:rStyle w:val="kursiv"/>
        </w:rPr>
        <w:t>Merknad</w:t>
      </w:r>
      <w:r w:rsidR="00E81C8F" w:rsidRPr="00D9107F">
        <w:rPr>
          <w:rStyle w:val="kursiv"/>
        </w:rPr>
        <w:t xml:space="preserve">: </w:t>
      </w:r>
      <w:r w:rsidRPr="00D9107F">
        <w:rPr>
          <w:rStyle w:val="kursiv"/>
        </w:rPr>
        <w:t>2</w:t>
      </w:r>
      <w:r w:rsidR="00C029D0" w:rsidRPr="00D9107F">
        <w:rPr>
          <w:rStyle w:val="kursiv"/>
        </w:rPr>
        <w:t>AD</w:t>
      </w:r>
      <w:r w:rsidRPr="00D9107F">
        <w:rPr>
          <w:rStyle w:val="kursiv"/>
        </w:rPr>
        <w:t xml:space="preserve"> er kontorkonsultasjon på dagtid</w:t>
      </w:r>
      <w:r w:rsidR="00074C87" w:rsidRPr="00D9107F">
        <w:rPr>
          <w:rStyle w:val="kursiv"/>
        </w:rPr>
        <w:t>.</w:t>
      </w:r>
      <w:r w:rsidRPr="00D9107F">
        <w:rPr>
          <w:rStyle w:val="kursiv"/>
        </w:rPr>
        <w:t xml:space="preserve"> 2</w:t>
      </w:r>
      <w:r w:rsidR="00C029D0" w:rsidRPr="00D9107F">
        <w:rPr>
          <w:rStyle w:val="kursiv"/>
        </w:rPr>
        <w:t>AE</w:t>
      </w:r>
      <w:r w:rsidRPr="00D9107F">
        <w:rPr>
          <w:rStyle w:val="kursiv"/>
        </w:rPr>
        <w:t xml:space="preserve"> er </w:t>
      </w:r>
      <w:r w:rsidRPr="00D9107F">
        <w:rPr>
          <w:rStyle w:val="kursiv"/>
          <w:rFonts w:eastAsia="Calibri"/>
        </w:rPr>
        <w:t xml:space="preserve">e-konsultasjon (video, tekstlig eller telefon) på dagtid. </w:t>
      </w:r>
      <w:r w:rsidR="00F35BC5" w:rsidRPr="00D9107F">
        <w:rPr>
          <w:rStyle w:val="kursiv"/>
        </w:rPr>
        <w:t>Kilde: KUHR og FLO</w:t>
      </w:r>
      <w:r w:rsidR="00074C87" w:rsidRPr="00D9107F">
        <w:rPr>
          <w:rStyle w:val="kursiv"/>
        </w:rPr>
        <w:t>, 2008-2021.</w:t>
      </w:r>
    </w:p>
    <w:p w14:paraId="48A6A6B7" w14:textId="77777777" w:rsidR="00D9107F" w:rsidRDefault="00F35BC5" w:rsidP="00921C00">
      <w:pPr>
        <w:jc w:val="both"/>
      </w:pPr>
      <w:r>
        <w:t>Når vi ser på gjennomsnittlig antall timer fastlegene bruker på alle konsultasjoner, både vanlig og e-konsultasjoner, er den totale tiden stabil på rundt 700 timer i året i hele tidsperioden (figur</w:t>
      </w:r>
      <w:r w:rsidR="001906BA">
        <w:t xml:space="preserve"> </w:t>
      </w:r>
      <w:r w:rsidR="00BC3590">
        <w:t>2-29)</w:t>
      </w:r>
      <w:r>
        <w:t>.</w:t>
      </w:r>
    </w:p>
    <w:p w14:paraId="616AD51D" w14:textId="77777777" w:rsidR="00D9107F" w:rsidRDefault="00F35BC5" w:rsidP="00921C00">
      <w:pPr>
        <w:jc w:val="both"/>
      </w:pPr>
      <w:r>
        <w:t>Årsaken til at den totale tidsbruken ikke er økt, er fordi e-konsultasjoner tar omtrent halvparten så lang tid som vanlige konsultasjoner, og e-konsultasjoner i noen grad erstatter vanlige konsultasjoner.</w:t>
      </w:r>
    </w:p>
    <w:p w14:paraId="472D416C" w14:textId="19DE9656" w:rsidR="00D9107F" w:rsidRDefault="00AB75E4" w:rsidP="00C125E9">
      <w:pPr>
        <w:pStyle w:val="avsnitt-tittel"/>
        <w:rPr>
          <w:sz w:val="18"/>
          <w:szCs w:val="18"/>
        </w:rPr>
      </w:pPr>
      <w:r>
        <w:lastRenderedPageBreak/>
        <w:t>Figur 2-29</w:t>
      </w:r>
      <w:r w:rsidR="005E0B90">
        <w:t>:</w:t>
      </w:r>
      <w:r w:rsidRPr="008F3FE1">
        <w:t xml:space="preserve"> Gjennomsnittlig antall timer brukt på konsultasjoner og e-konsultasjoner over år</w:t>
      </w:r>
      <w:r>
        <w:t>et</w:t>
      </w:r>
      <w:r w:rsidR="002B74E6">
        <w:t>, 2008-2021</w:t>
      </w:r>
    </w:p>
    <w:p w14:paraId="0F2D337B" w14:textId="5A7EA282" w:rsidR="00C14D91" w:rsidRDefault="00AB75E4" w:rsidP="00C14D91">
      <w:r>
        <w:rPr>
          <w:noProof/>
        </w:rPr>
        <w:drawing>
          <wp:inline distT="0" distB="0" distL="0" distR="0" wp14:anchorId="79F1D0A2" wp14:editId="7AB2ACEF">
            <wp:extent cx="6120000" cy="3123387"/>
            <wp:effectExtent l="38100" t="38100" r="33655" b="39370"/>
            <wp:docPr id="27" name="Picture 27"/>
            <wp:cNvGraphicFramePr/>
            <a:graphic xmlns:a="http://schemas.openxmlformats.org/drawingml/2006/main">
              <a:graphicData uri="http://schemas.openxmlformats.org/drawingml/2006/picture">
                <pic:pic xmlns:pic="http://schemas.openxmlformats.org/drawingml/2006/picture">
                  <pic:nvPicPr>
                    <pic:cNvPr id="30" name="Picture"/>
                    <pic:cNvPicPr/>
                  </pic:nvPicPr>
                  <pic:blipFill rotWithShape="1">
                    <a:blip r:embed="rId54"/>
                    <a:srcRect t="2987" b="5920"/>
                    <a:stretch/>
                  </pic:blipFill>
                  <pic:spPr bwMode="auto">
                    <a:xfrm>
                      <a:off x="0" y="0"/>
                      <a:ext cx="6120000" cy="3123387"/>
                    </a:xfrm>
                    <a:prstGeom prst="rect">
                      <a:avLst/>
                    </a:prstGeom>
                    <a:noFill/>
                    <a:ln w="38100">
                      <a:solidFill>
                        <a:schemeClr val="accent2"/>
                      </a:solidFill>
                    </a:ln>
                    <a:extLst>
                      <a:ext uri="{53640926-AAD7-44D8-BBD7-CCE9431645EC}">
                        <a14:shadowObscured xmlns:a14="http://schemas.microsoft.com/office/drawing/2010/main"/>
                      </a:ext>
                    </a:extLst>
                  </pic:spPr>
                </pic:pic>
              </a:graphicData>
            </a:graphic>
          </wp:inline>
        </w:drawing>
      </w:r>
    </w:p>
    <w:p w14:paraId="7203207C" w14:textId="3A3711D5" w:rsidR="002B74E6" w:rsidRPr="00C14D91" w:rsidRDefault="002B74E6" w:rsidP="00C125E9">
      <w:pPr>
        <w:pStyle w:val="Petit"/>
      </w:pPr>
      <w:r w:rsidRPr="00D9107F">
        <w:rPr>
          <w:rStyle w:val="kursiv"/>
        </w:rPr>
        <w:t xml:space="preserve">Merknad: Inkluderer </w:t>
      </w:r>
      <w:r w:rsidR="00452807" w:rsidRPr="00D9107F">
        <w:rPr>
          <w:rStyle w:val="kursiv"/>
        </w:rPr>
        <w:t>fysiske konsultasjoner og e-konsultasjoner</w:t>
      </w:r>
      <w:r w:rsidR="00127CAA" w:rsidRPr="00D9107F">
        <w:rPr>
          <w:rStyle w:val="kursiv"/>
        </w:rPr>
        <w:t xml:space="preserve">, </w:t>
      </w:r>
      <w:r w:rsidR="00DC5509" w:rsidRPr="00D9107F">
        <w:rPr>
          <w:rStyle w:val="kursiv"/>
        </w:rPr>
        <w:t>dagtid og kveldstid. Takstkoder 2ad, 2ae, 2ak og 2aek</w:t>
      </w:r>
      <w:r w:rsidR="00027B57" w:rsidRPr="00D9107F">
        <w:rPr>
          <w:rStyle w:val="kursiv"/>
        </w:rPr>
        <w:t xml:space="preserve">. </w:t>
      </w:r>
      <w:r w:rsidRPr="00D9107F">
        <w:rPr>
          <w:rStyle w:val="kursiv"/>
        </w:rPr>
        <w:t>Kilde: KUHR og FLO, 2008-2021</w:t>
      </w:r>
    </w:p>
    <w:p w14:paraId="43BAD5FB" w14:textId="77777777" w:rsidR="00F35BC5" w:rsidRDefault="00F35BC5" w:rsidP="00775632">
      <w:pPr>
        <w:pStyle w:val="Overskrift4"/>
      </w:pPr>
      <w:bookmarkStart w:id="453" w:name="_Toc131238306"/>
      <w:bookmarkStart w:id="454" w:name="_Toc131279336"/>
      <w:bookmarkStart w:id="455" w:name="_Toc131286748"/>
      <w:bookmarkStart w:id="456" w:name="_Toc131281158"/>
      <w:bookmarkStart w:id="457" w:name="_Toc131317697"/>
      <w:r>
        <w:t>Utvikling i konsultasjonstid for noen typer konsultasjoner</w:t>
      </w:r>
      <w:bookmarkEnd w:id="453"/>
      <w:bookmarkEnd w:id="454"/>
      <w:bookmarkEnd w:id="455"/>
      <w:bookmarkEnd w:id="456"/>
      <w:bookmarkEnd w:id="457"/>
    </w:p>
    <w:p w14:paraId="10206570" w14:textId="77777777" w:rsidR="00D9107F" w:rsidRDefault="00F35BC5" w:rsidP="00BC3590">
      <w:pPr>
        <w:jc w:val="both"/>
      </w:pPr>
      <w:r>
        <w:t>Utviklingen i varighet av konsultasjoner for henholdsvis vanlig</w:t>
      </w:r>
      <w:r w:rsidR="00ED6C38">
        <w:t>e</w:t>
      </w:r>
      <w:r>
        <w:t xml:space="preserve"> konsultasjoner, samtaleterapi og samtale med pårørende er undersøkt. I løpet av tidsperioden har det blitt mulig å kombinere taksten </w:t>
      </w:r>
      <w:r w:rsidRPr="00D9107F">
        <w:rPr>
          <w:rStyle w:val="kursiv"/>
        </w:rPr>
        <w:t>samtaleterapi</w:t>
      </w:r>
      <w:r>
        <w:t xml:space="preserve"> med tidstakst, og det er en økning </w:t>
      </w:r>
      <w:r w:rsidR="00D901AE">
        <w:t>i</w:t>
      </w:r>
      <w:r>
        <w:t xml:space="preserve"> varighet av konsultasjoner etter endringen. Til sammenligning er det ikke gjort tilsvarende endring for taksten </w:t>
      </w:r>
      <w:r w:rsidRPr="00D9107F">
        <w:rPr>
          <w:rStyle w:val="kursiv"/>
        </w:rPr>
        <w:t xml:space="preserve">samtale med pårørende, </w:t>
      </w:r>
      <w:r>
        <w:t>kombinert med bruk av tidstakst, og det er ingen tilsvarende økning i konsultasjonsvarighet for denne konsultasjonstypen.</w:t>
      </w:r>
    </w:p>
    <w:p w14:paraId="44B5AFFB" w14:textId="77777777" w:rsidR="00D9107F" w:rsidRDefault="00F35BC5" w:rsidP="00BC3590">
      <w:pPr>
        <w:jc w:val="both"/>
      </w:pPr>
      <w:r>
        <w:t>Utvikling i konsultasjonstid er også undersøkt for sykmeldingskonsultasjoner, vanlig sykmelding (L1) og ved utfylling av utdypende opplysninger ved gitt tidspunkt i et sykmeldingsforløp (L4). Konsultasjonstiden for disse konsultasjoner er relativt stabil</w:t>
      </w:r>
      <w:r w:rsidR="00D901AE">
        <w:t>,</w:t>
      </w:r>
      <w:r>
        <w:t xml:space="preserve"> og skiller seg ikke i vesentlig grad fra utviklingen i konsultasjonstid ellers.</w:t>
      </w:r>
    </w:p>
    <w:p w14:paraId="66BE1D6E" w14:textId="45E0309C" w:rsidR="00F35BC5" w:rsidRDefault="00F35BC5" w:rsidP="00BC3590">
      <w:pPr>
        <w:jc w:val="both"/>
      </w:pPr>
      <w:r>
        <w:lastRenderedPageBreak/>
        <w:t>FHI har videre undersøkt trend i takstbruken over år for fire ulike L-takster,</w:t>
      </w:r>
      <w:r w:rsidRPr="00D9107F">
        <w:rPr>
          <w:rStyle w:val="Fotnotereferanse"/>
        </w:rPr>
        <w:footnoteReference w:id="8"/>
      </w:r>
      <w:r>
        <w:t xml:space="preserve"> etter finansieringsmodell for fastlege. Gjennomgående bruker næringsdrivende fastleger disse takstene hyppigere per innbygger på list</w:t>
      </w:r>
      <w:r w:rsidR="006C03AE">
        <w:t>en</w:t>
      </w:r>
      <w:r>
        <w:t xml:space="preserve"> enn </w:t>
      </w:r>
      <w:r w:rsidR="00030BE9">
        <w:t>ansatte leger med fastlønn</w:t>
      </w:r>
      <w:r>
        <w:t xml:space="preserve">. En mulig forklaring er at seleksjonseffekter gir ulik demografi i listepopulasjonen til </w:t>
      </w:r>
      <w:r w:rsidR="00030BE9">
        <w:t>fastlønnede</w:t>
      </w:r>
      <w:r>
        <w:t xml:space="preserve"> og næringsdrivende fastleger. Imidlertid påpeker FHI at fastlønn er vanligere i distriktene</w:t>
      </w:r>
      <w:r w:rsidR="00D901AE">
        <w:t>,</w:t>
      </w:r>
      <w:r>
        <w:t xml:space="preserve"> hvor sykmeldingsnivået normalt er høyere. Forskerne vurderer </w:t>
      </w:r>
      <w:r w:rsidR="00D901AE">
        <w:t>at</w:t>
      </w:r>
      <w:r>
        <w:t xml:space="preserve"> det er en årsakssammenheng mellom finansieringsmodell og sykmeldingspraksis, på linje med tidligere forskning fra Frischsenteret</w:t>
      </w:r>
      <w:r w:rsidR="00C4657F">
        <w:t xml:space="preserve"> </w:t>
      </w:r>
      <w:r>
        <w:fldChar w:fldCharType="begin"/>
      </w:r>
      <w:r w:rsidR="004654FD">
        <w:instrText xml:space="preserve"> ADDIN EN.CITE &lt;EndNote&gt;&lt;Cite&gt;&lt;Author&gt;Markussen&lt;/Author&gt;&lt;Year&gt;2017&lt;/Year&gt;&lt;RecNum&gt;480&lt;/RecNum&gt;&lt;DisplayText&gt;(Markussen et al., 2017)&lt;/DisplayText&gt;&lt;record&gt;&lt;rec-number&gt;480&lt;/rec-number&gt;&lt;foreign-keys&gt;&lt;key app="EN" db-id="95tpr2tp6r9xwoea9rb5wdsz5ds5xeddteew" timestamp="1680069511"&gt;480&lt;/key&gt;&lt;/foreign-keys&gt;&lt;ref-type name="Journal Article"&gt;17&lt;/ref-type&gt;&lt;contributors&gt;&lt;authors&gt;&lt;author&gt;Markussen, Simen&lt;/author&gt;&lt;author&gt;Røed, Knut&lt;/author&gt;&lt;/authors&gt;&lt;/contributors&gt;&lt;titles&gt;&lt;title&gt;The market for paid sick leave&lt;/title&gt;&lt;secondary-title&gt;Journal of Health Economics&lt;/secondary-title&gt;&lt;/titles&gt;&lt;periodical&gt;&lt;full-title&gt;Journal of Health Economics&lt;/full-title&gt;&lt;/periodical&gt;&lt;pages&gt;244-261&lt;/pages&gt;&lt;volume&gt;55&lt;/volume&gt;&lt;keywords&gt;&lt;keyword&gt;Absenteeism&lt;/keyword&gt;&lt;keyword&gt;Gatekeeping&lt;/keyword&gt;&lt;keyword&gt;Competition&lt;/keyword&gt;&lt;keyword&gt;Role-conflicts&lt;/keyword&gt;&lt;/keywords&gt;&lt;dates&gt;&lt;year&gt;2017&lt;/year&gt;&lt;pub-dates&gt;&lt;date&gt;2017/09/01/&lt;/date&gt;&lt;/pub-dates&gt;&lt;/dates&gt;&lt;isbn&gt;0167-6296&lt;/isbn&gt;&lt;urls&gt;&lt;related-urls&gt;&lt;url&gt;https://www.sciencedirect.com/science/article/pii/S0167629616300893&lt;/url&gt;&lt;/related-urls&gt;&lt;/urls&gt;&lt;/record&gt;&lt;/Cite&gt;&lt;/EndNote&gt;</w:instrText>
      </w:r>
      <w:r>
        <w:fldChar w:fldCharType="separate"/>
      </w:r>
      <w:r w:rsidR="00856689">
        <w:rPr>
          <w:noProof/>
        </w:rPr>
        <w:t>(Markussen et al., 2017)</w:t>
      </w:r>
      <w:r>
        <w:fldChar w:fldCharType="end"/>
      </w:r>
      <w:r>
        <w:t>, som også anslo en 3–4 prosents reduksjon i sykmeldingsfraværet om samtlige fastleger var fastlønnet.</w:t>
      </w:r>
    </w:p>
    <w:p w14:paraId="267BF91A" w14:textId="77777777" w:rsidR="00F35BC5" w:rsidRDefault="00F35BC5" w:rsidP="00775632">
      <w:pPr>
        <w:pStyle w:val="Overskrift4"/>
      </w:pPr>
      <w:bookmarkStart w:id="458" w:name="_Toc131238307"/>
      <w:bookmarkStart w:id="459" w:name="_Toc131279337"/>
      <w:bookmarkStart w:id="460" w:name="_Toc131286749"/>
      <w:bookmarkStart w:id="461" w:name="_Toc131281159"/>
      <w:bookmarkStart w:id="462" w:name="_Toc131317698"/>
      <w:r>
        <w:t>Antall takster per konsultasjon</w:t>
      </w:r>
      <w:bookmarkEnd w:id="458"/>
      <w:bookmarkEnd w:id="459"/>
      <w:bookmarkEnd w:id="460"/>
      <w:bookmarkEnd w:id="461"/>
      <w:bookmarkEnd w:id="462"/>
    </w:p>
    <w:p w14:paraId="202B56C0" w14:textId="77777777" w:rsidR="00D9107F" w:rsidRDefault="00F35BC5" w:rsidP="000B521D">
      <w:pPr>
        <w:jc w:val="both"/>
      </w:pPr>
      <w:r>
        <w:t>Det ser ut til at antallet takster per konsultasjon er stabilt i perioden 2008</w:t>
      </w:r>
      <w:r w:rsidRPr="513C6B95">
        <w:t>–</w:t>
      </w:r>
      <w:r>
        <w:t>2021. Når tidstakster inkluderes i tellingen, har det vært en mindre økning i antallet takster per konsultasjon.</w:t>
      </w:r>
    </w:p>
    <w:p w14:paraId="27D24CA0" w14:textId="092D0BD3" w:rsidR="00DF5BC1" w:rsidRDefault="00F35BC5" w:rsidP="00217E1F">
      <w:pPr>
        <w:jc w:val="both"/>
      </w:pPr>
      <w:r>
        <w:t xml:space="preserve">Figur </w:t>
      </w:r>
      <w:r w:rsidR="00BC3590">
        <w:t>2-30</w:t>
      </w:r>
      <w:r>
        <w:t xml:space="preserve"> viser antall takster per konsultasjon over år for kvinnelige og mannlige næringsdrivende spesialister. Det kan se ut </w:t>
      </w:r>
      <w:r w:rsidR="00AB1413">
        <w:t>til</w:t>
      </w:r>
      <w:r>
        <w:t xml:space="preserve"> at kvinner takster noe mer per konsultasjon sammenlignet med menn, spesielt når tidstakster inkluderes, på linje med at kvinner har noe lengre konsultasjoner.</w:t>
      </w:r>
      <w:bookmarkStart w:id="463" w:name="_Ref128511207"/>
    </w:p>
    <w:bookmarkEnd w:id="463"/>
    <w:p w14:paraId="2141B4C7" w14:textId="0B3A1266" w:rsidR="00F35BC5" w:rsidRDefault="009570DC" w:rsidP="00C125E9">
      <w:pPr>
        <w:pStyle w:val="avsnitt-tittel"/>
      </w:pPr>
      <w:r>
        <w:lastRenderedPageBreak/>
        <w:t xml:space="preserve">Figur </w:t>
      </w:r>
      <w:r w:rsidR="007872E2">
        <w:t>2-</w:t>
      </w:r>
      <w:r w:rsidR="00BC3590">
        <w:t>30</w:t>
      </w:r>
      <w:r w:rsidR="005E0B90">
        <w:t>:</w:t>
      </w:r>
      <w:r w:rsidR="00F35BC5" w:rsidRPr="001F560A">
        <w:t xml:space="preserve"> Antall takster per </w:t>
      </w:r>
      <w:r w:rsidR="00F35BC5">
        <w:t xml:space="preserve">2AD </w:t>
      </w:r>
      <w:r w:rsidR="00F35BC5" w:rsidRPr="001F560A">
        <w:t>konsultasjon (median)</w:t>
      </w:r>
    </w:p>
    <w:p w14:paraId="70C0F9A7" w14:textId="24CAC630" w:rsidR="00F35BC5" w:rsidRPr="004B1DEB" w:rsidRDefault="003F05D9" w:rsidP="004B1DEB">
      <w:r>
        <w:rPr>
          <w:noProof/>
        </w:rPr>
        <mc:AlternateContent>
          <mc:Choice Requires="wps">
            <w:drawing>
              <wp:anchor distT="0" distB="0" distL="114300" distR="114300" simplePos="0" relativeHeight="251658286" behindDoc="0" locked="0" layoutInCell="1" allowOverlap="1" wp14:anchorId="407C9DD3" wp14:editId="73A4CB4F">
                <wp:simplePos x="0" y="0"/>
                <wp:positionH relativeFrom="column">
                  <wp:posOffset>3583745</wp:posOffset>
                </wp:positionH>
                <wp:positionV relativeFrom="paragraph">
                  <wp:posOffset>3358075</wp:posOffset>
                </wp:positionV>
                <wp:extent cx="2489981" cy="316523"/>
                <wp:effectExtent l="0" t="0" r="24765" b="26670"/>
                <wp:wrapNone/>
                <wp:docPr id="26" name="Rectangle 26"/>
                <wp:cNvGraphicFramePr/>
                <a:graphic xmlns:a="http://schemas.openxmlformats.org/drawingml/2006/main">
                  <a:graphicData uri="http://schemas.microsoft.com/office/word/2010/wordprocessingShape">
                    <wps:wsp>
                      <wps:cNvSpPr/>
                      <wps:spPr>
                        <a:xfrm>
                          <a:off x="0" y="0"/>
                          <a:ext cx="2489981" cy="3165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B1D63A9" id="Rektangel 26" o:spid="_x0000_s1026" style="position:absolute;margin-left:282.2pt;margin-top:264.4pt;width:196.05pt;height:24.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eWeQIAAIYFAAAOAAAAZHJzL2Uyb0RvYy54bWysVN9PGzEMfp+0/yHK+7heKQwqrqgCMU1C&#10;gICJ5zSX9E7KxZmT9tr99XNyP8oY2gNaH1Intj/b39m+uNw1hm0V+hpswfOjCWfKSihruy74j+eb&#10;L2ec+SBsKQxYVfC98vxy8fnTRevmagoVmFIhIxDr560reBWCm2eZl5VqhD8CpywpNWAjAl1xnZUo&#10;WkJvTDadTE6zFrB0CFJ5T6/XnZIvEr7WSoZ7rb0KzBSccgvpxHSu4pktLsR8jcJVtezTEB/IohG1&#10;paAj1LUIgm2w/guqqSWCBx2OJDQZaF1LlWqgavLJm2qeKuFUqoXI8W6kyf8/WHm3fXIPSDS0zs89&#10;ibGKncYm/lN+bJfI2o9kqV1gkh6ns7Pz87OcM0m64/z0ZHoc2cwO3g59+KagYVEoONLHSByJ7a0P&#10;nelgEoN5MHV5UxuTLrEB1JVBthX06VbrvAf/w8rYDzlSjtEzO5ScpLA3KuIZ+6g0q8tYZEo4deMh&#10;GSGlsiHvVJUoVZfjyYR+Q5ZD+omQBBiRNVU3YvcAg2UHMmB39PT20VWlZh6dJ/9KrHMePVJksGF0&#10;bmoL+B6Aoar6yJ39QFJHTWRpBeX+ARlCN0reyZuaPu+t8OFBIM0OTRntg3BPhzbQFhx6ibMK8Nd7&#10;79GeWpq0nLU0iwX3PzcCFWfmu6VmP89nszi86TI7+TqlC77WrF5r7Ka5AuoZak3KLonRPphB1AjN&#10;C62NZYxKKmElxS64DDhcrkK3I2jxSLVcJjMaWCfCrX1yMoJHVmP7Pu9eBLq+xwNNxx0Mcyvmb1q9&#10;s42eFpabALpOc3Dgteebhj01Tr+Y4jZ5fU9Wh/W5+A0AAP//AwBQSwMEFAAGAAgAAAAhAPqbiE/h&#10;AAAACwEAAA8AAABkcnMvZG93bnJldi54bWxMj09Lw0AQxe+C32EZwZvdGJo0jdkUEUUED7UV9DjN&#10;Tv5gdjdkN2n89o4nvc3Me7z5vWK3mF7MNPrOWQW3qwgE2crpzjYK3o9PNxkIH9Bq7J0lBd/kYVde&#10;XhSYa3e2bzQfQiM4xPocFbQhDLmUvmrJoF+5gSxrtRsNBl7HRuoRzxxuehlHUSoNdpY/tDjQQ0vV&#10;12EyCj5rfD4+vvhXWcdzve3200e9mZS6vlru70AEWsKfGX7xGR1KZjq5yWovegVJul6zlYc44w7s&#10;2CZpAuLEl02WgiwL+b9D+QMAAP//AwBQSwECLQAUAAYACAAAACEAtoM4kv4AAADhAQAAEwAAAAAA&#10;AAAAAAAAAAAAAAAAW0NvbnRlbnRfVHlwZXNdLnhtbFBLAQItABQABgAIAAAAIQA4/SH/1gAAAJQB&#10;AAALAAAAAAAAAAAAAAAAAC8BAABfcmVscy8ucmVsc1BLAQItABQABgAIAAAAIQBDIoeWeQIAAIYF&#10;AAAOAAAAAAAAAAAAAAAAAC4CAABkcnMvZTJvRG9jLnhtbFBLAQItABQABgAIAAAAIQD6m4hP4QAA&#10;AAsBAAAPAAAAAAAAAAAAAAAAANMEAABkcnMvZG93bnJldi54bWxQSwUGAAAAAAQABADzAAAA4QUA&#10;AAAA&#10;" fillcolor="white [3212]" strokecolor="white [3212]" strokeweight="1pt"/>
            </w:pict>
          </mc:Fallback>
        </mc:AlternateContent>
      </w:r>
      <w:r w:rsidR="004B1DEB">
        <w:rPr>
          <w:noProof/>
        </w:rPr>
        <w:drawing>
          <wp:inline distT="0" distB="0" distL="0" distR="0" wp14:anchorId="09423B11" wp14:editId="1944B9DF">
            <wp:extent cx="6120000" cy="3696101"/>
            <wp:effectExtent l="38100" t="38100" r="33655" b="38100"/>
            <wp:docPr id="70" name="Picture 70"/>
            <wp:cNvGraphicFramePr/>
            <a:graphic xmlns:a="http://schemas.openxmlformats.org/drawingml/2006/main">
              <a:graphicData uri="http://schemas.openxmlformats.org/drawingml/2006/picture">
                <pic:pic xmlns:pic="http://schemas.openxmlformats.org/drawingml/2006/picture">
                  <pic:nvPicPr>
                    <pic:cNvPr id="71" name="Picture" descr="utkast_fl_rapport_files/figure-docx/unnamed-chunk-13-1.png"/>
                    <pic:cNvPicPr>
                      <a:picLocks noChangeAspect="1" noChangeArrowheads="1"/>
                    </pic:cNvPicPr>
                  </pic:nvPicPr>
                  <pic:blipFill>
                    <a:blip r:embed="rId55"/>
                    <a:stretch>
                      <a:fillRect/>
                    </a:stretch>
                  </pic:blipFill>
                  <pic:spPr bwMode="auto">
                    <a:xfrm>
                      <a:off x="0" y="0"/>
                      <a:ext cx="6120000" cy="3696101"/>
                    </a:xfrm>
                    <a:prstGeom prst="rect">
                      <a:avLst/>
                    </a:prstGeom>
                    <a:noFill/>
                    <a:ln w="38100">
                      <a:solidFill>
                        <a:schemeClr val="accent2"/>
                      </a:solidFill>
                      <a:headEnd/>
                      <a:tailEnd/>
                    </a:ln>
                  </pic:spPr>
                </pic:pic>
              </a:graphicData>
            </a:graphic>
          </wp:inline>
        </w:drawing>
      </w:r>
    </w:p>
    <w:p w14:paraId="0DFCA296" w14:textId="77777777" w:rsidR="00D9107F" w:rsidRPr="00657F9A" w:rsidRDefault="00F35BC5" w:rsidP="00C709CD">
      <w:pPr>
        <w:pStyle w:val="Petit"/>
        <w:rPr>
          <w:rStyle w:val="kursiv"/>
        </w:rPr>
      </w:pPr>
      <w:r w:rsidRPr="00657F9A">
        <w:rPr>
          <w:rStyle w:val="kursiv"/>
        </w:rPr>
        <w:t xml:space="preserve">Merknad: Inkluderer alle takster. Takstkoder for spesialist og doktorgradstillegg er ekskludert. Spesialister identifiseres ved bruk av Fastlegeregisteret. Kun aktivitet inkludert fra regningskort med rollen Fastlege inngår i analysen. </w:t>
      </w:r>
      <w:r w:rsidR="00D704CF" w:rsidRPr="00657F9A">
        <w:rPr>
          <w:rStyle w:val="kursiv"/>
        </w:rPr>
        <w:t xml:space="preserve">Kilde: KUHR og FLO, </w:t>
      </w:r>
      <w:r w:rsidR="007973FD" w:rsidRPr="00657F9A">
        <w:rPr>
          <w:rStyle w:val="kursiv"/>
        </w:rPr>
        <w:t>2008-2021.</w:t>
      </w:r>
    </w:p>
    <w:p w14:paraId="38C0998A" w14:textId="39ABC6F6" w:rsidR="00F35BC5" w:rsidRDefault="00F35BC5" w:rsidP="00775632">
      <w:pPr>
        <w:pStyle w:val="Overskrift4"/>
      </w:pPr>
      <w:bookmarkStart w:id="464" w:name="_Toc131238308"/>
      <w:bookmarkStart w:id="465" w:name="_Toc131279338"/>
      <w:bookmarkStart w:id="466" w:name="_Toc131286750"/>
      <w:bookmarkStart w:id="467" w:name="_Toc131281160"/>
      <w:bookmarkStart w:id="468" w:name="_Toc131317699"/>
      <w:r>
        <w:t>Endringer i pasientgrupper</w:t>
      </w:r>
      <w:bookmarkEnd w:id="464"/>
      <w:bookmarkEnd w:id="465"/>
      <w:bookmarkEnd w:id="466"/>
      <w:bookmarkEnd w:id="467"/>
      <w:bookmarkEnd w:id="468"/>
    </w:p>
    <w:p w14:paraId="4FCF14F4" w14:textId="480B013D" w:rsidR="00F35BC5" w:rsidRDefault="00F35BC5" w:rsidP="000B521D">
      <w:pPr>
        <w:jc w:val="both"/>
      </w:pPr>
      <w:r>
        <w:t xml:space="preserve">For å undersøke utviklingen i fastlegenes arbeid er det også sett på hvilke pasientgrupper som går til fastlegene, og om det har vært endringer over tid i aldersgrupper og diagnosegrupper. Figur </w:t>
      </w:r>
      <w:r w:rsidR="00BC3590">
        <w:t>2-31</w:t>
      </w:r>
      <w:r>
        <w:t xml:space="preserve"> viser antall konsultasjoner per person per år</w:t>
      </w:r>
      <w:r w:rsidR="00AB1413">
        <w:t>,</w:t>
      </w:r>
      <w:r>
        <w:t xml:space="preserve"> fordelt på aldersgrupper i perioden 2015</w:t>
      </w:r>
      <w:r w:rsidRPr="513C6B95">
        <w:t>–</w:t>
      </w:r>
      <w:r>
        <w:t>2021. Aldersgruppene 0–5 år, 6–15 år og 90 år eller eldre er ikke inkludert i figuren.</w:t>
      </w:r>
    </w:p>
    <w:p w14:paraId="5663BBF7" w14:textId="4DE08C86" w:rsidR="00F35BC5" w:rsidRDefault="009570DC" w:rsidP="00C125E9">
      <w:pPr>
        <w:pStyle w:val="avsnitt-tittel"/>
        <w:rPr>
          <w:bCs/>
        </w:rPr>
      </w:pPr>
      <w:r>
        <w:lastRenderedPageBreak/>
        <w:t xml:space="preserve">Figur </w:t>
      </w:r>
      <w:r w:rsidR="000E0100">
        <w:t>2-</w:t>
      </w:r>
      <w:r w:rsidR="00BC3590">
        <w:t>31</w:t>
      </w:r>
      <w:r w:rsidR="005E0B90">
        <w:t>:</w:t>
      </w:r>
      <w:r w:rsidR="00F35BC5" w:rsidRPr="0078780D">
        <w:t xml:space="preserve"> Antall konsultasjoner per pasient, fordelt på aldersgrupper over år</w:t>
      </w:r>
      <w:r w:rsidR="00530DF2">
        <w:t>,</w:t>
      </w:r>
      <w:r w:rsidR="00F35BC5">
        <w:t xml:space="preserve"> 2015</w:t>
      </w:r>
      <w:r w:rsidR="00F35BC5" w:rsidRPr="513C6B95">
        <w:t>–</w:t>
      </w:r>
      <w:r w:rsidR="00F35BC5">
        <w:t>2021</w:t>
      </w:r>
    </w:p>
    <w:p w14:paraId="2080D32E" w14:textId="77777777" w:rsidR="00D9107F" w:rsidRDefault="00F35BC5" w:rsidP="00C709CD">
      <w:r>
        <w:rPr>
          <w:noProof/>
        </w:rPr>
        <w:drawing>
          <wp:inline distT="0" distB="0" distL="0" distR="0" wp14:anchorId="19FE17EF" wp14:editId="6466AE76">
            <wp:extent cx="5991851" cy="3191988"/>
            <wp:effectExtent l="38100" t="38100" r="28575" b="46990"/>
            <wp:docPr id="74" name="Picture 74"/>
            <wp:cNvGraphicFramePr/>
            <a:graphic xmlns:a="http://schemas.openxmlformats.org/drawingml/2006/main">
              <a:graphicData uri="http://schemas.openxmlformats.org/drawingml/2006/picture">
                <pic:pic xmlns:pic="http://schemas.openxmlformats.org/drawingml/2006/picture">
                  <pic:nvPicPr>
                    <pic:cNvPr id="75" name="Picture" descr="utkast_fl_rapport_files/figure-docx/unnamed-chunk-16-1.png"/>
                    <pic:cNvPicPr>
                      <a:picLocks noChangeAspect="1" noChangeArrowheads="1"/>
                    </pic:cNvPicPr>
                  </pic:nvPicPr>
                  <pic:blipFill>
                    <a:blip r:embed="rId56"/>
                    <a:stretch>
                      <a:fillRect/>
                    </a:stretch>
                  </pic:blipFill>
                  <pic:spPr bwMode="auto">
                    <a:xfrm>
                      <a:off x="0" y="0"/>
                      <a:ext cx="6018907" cy="3206401"/>
                    </a:xfrm>
                    <a:prstGeom prst="rect">
                      <a:avLst/>
                    </a:prstGeom>
                    <a:noFill/>
                    <a:ln w="38100">
                      <a:solidFill>
                        <a:schemeClr val="accent2"/>
                      </a:solidFill>
                      <a:headEnd/>
                      <a:tailEnd/>
                    </a:ln>
                  </pic:spPr>
                </pic:pic>
              </a:graphicData>
            </a:graphic>
          </wp:inline>
        </w:drawing>
      </w:r>
    </w:p>
    <w:p w14:paraId="6A104AB1" w14:textId="77777777" w:rsidR="00D9107F" w:rsidRPr="00657F9A" w:rsidRDefault="00710BB7" w:rsidP="00C709CD">
      <w:pPr>
        <w:pStyle w:val="Petit"/>
        <w:rPr>
          <w:rStyle w:val="kursiv"/>
        </w:rPr>
      </w:pPr>
      <w:r w:rsidRPr="00657F9A">
        <w:rPr>
          <w:rStyle w:val="kursiv"/>
        </w:rPr>
        <w:t>Merknad:</w:t>
      </w:r>
      <w:r w:rsidR="00BD2553" w:rsidRPr="00657F9A">
        <w:rPr>
          <w:rStyle w:val="kursiv"/>
        </w:rPr>
        <w:t xml:space="preserve"> Aldersgruppene 0–5 år, 6–15 år og 90 år eller eldre er ikke inkludert</w:t>
      </w:r>
      <w:r w:rsidR="003F1A3E" w:rsidRPr="00657F9A">
        <w:rPr>
          <w:rStyle w:val="kursiv"/>
        </w:rPr>
        <w:t>.</w:t>
      </w:r>
      <w:r w:rsidRPr="00657F9A">
        <w:rPr>
          <w:rStyle w:val="kursiv"/>
        </w:rPr>
        <w:t xml:space="preserve"> </w:t>
      </w:r>
      <w:r w:rsidR="00F35BC5" w:rsidRPr="00657F9A">
        <w:rPr>
          <w:rStyle w:val="kursiv"/>
        </w:rPr>
        <w:t>Kilde: SSB</w:t>
      </w:r>
      <w:r w:rsidRPr="00657F9A">
        <w:rPr>
          <w:rStyle w:val="kursiv"/>
        </w:rPr>
        <w:t>, 2015-2021.</w:t>
      </w:r>
    </w:p>
    <w:p w14:paraId="00E0AC8A" w14:textId="09324F13" w:rsidR="00F35BC5" w:rsidRDefault="00F35BC5" w:rsidP="000B521D">
      <w:pPr>
        <w:jc w:val="both"/>
      </w:pPr>
      <w:r>
        <w:t xml:space="preserve">Personer fra de eldre aldersgruppene har flest konsultasjoner per år. Imidlertid er det relativt sett en nedgang i konsultasjoner fra 2015 til 2021 blant de eldste </w:t>
      </w:r>
      <w:r w:rsidRPr="00090914">
        <w:t>(67</w:t>
      </w:r>
      <w:r>
        <w:t>–</w:t>
      </w:r>
      <w:r w:rsidRPr="00090914">
        <w:t>79 år og 80</w:t>
      </w:r>
      <w:r>
        <w:t>–</w:t>
      </w:r>
      <w:r w:rsidRPr="00090914">
        <w:t>89 år)</w:t>
      </w:r>
      <w:r>
        <w:t>. Voksne i yrkesaktiv alder har hatt et stabilt nivå i perioden fram til 2019, mens det er en økning i kontakter i 2020 og 2021, som kan henge sammen med økt bruk av e-konsultasjoner. Blant personer i videregående skole alder (16–19 år) øker antall konsultasjoner i perioden 2016</w:t>
      </w:r>
      <w:r w:rsidRPr="513C6B95">
        <w:t>–</w:t>
      </w:r>
      <w:r>
        <w:t xml:space="preserve">2019, samtidig med innføring av fraværsgrensen i videregående </w:t>
      </w:r>
      <w:r w:rsidR="00AB1413">
        <w:t>opplæring</w:t>
      </w:r>
      <w:r>
        <w:t>, etterfulgt av et fall i antall konsultasjoner i 2020</w:t>
      </w:r>
      <w:r w:rsidR="00AB1413">
        <w:t>,</w:t>
      </w:r>
      <w:r>
        <w:t xml:space="preserve"> når fraværsgrensen på grunn av pandemien ble midlertidig opphevet.</w:t>
      </w:r>
    </w:p>
    <w:p w14:paraId="0F14EA51" w14:textId="77777777" w:rsidR="00D9107F" w:rsidRDefault="00F35BC5" w:rsidP="000B521D">
      <w:pPr>
        <w:jc w:val="both"/>
      </w:pPr>
      <w:r>
        <w:t xml:space="preserve">Figur </w:t>
      </w:r>
      <w:r w:rsidR="00BC3590">
        <w:t>2-32</w:t>
      </w:r>
      <w:r>
        <w:t xml:space="preserve"> viser utvikling i et utvalg av diagnosekategorier over tid. Den mest brukte diagnosekategorien er </w:t>
      </w:r>
      <w:r w:rsidRPr="00D9107F">
        <w:rPr>
          <w:rStyle w:val="kursiv"/>
        </w:rPr>
        <w:t>Psykisk sykdom eller lidelse</w:t>
      </w:r>
      <w:r>
        <w:t xml:space="preserve">, og antallet konsultasjoner med slike diagnoser har økt i hele tidsperioden. Det sees også en jevn økning i konsultasjonstypen </w:t>
      </w:r>
      <w:r w:rsidRPr="00D9107F">
        <w:rPr>
          <w:rStyle w:val="kursiv"/>
        </w:rPr>
        <w:t>Administrativ kontakt</w:t>
      </w:r>
      <w:r>
        <w:t xml:space="preserve">. Figuren viser også en økning i </w:t>
      </w:r>
      <w:r w:rsidRPr="00D9107F">
        <w:rPr>
          <w:rStyle w:val="kursiv"/>
        </w:rPr>
        <w:t>Frykt for sykdom</w:t>
      </w:r>
      <w:r>
        <w:t xml:space="preserve">, samtidig som </w:t>
      </w:r>
      <w:r w:rsidRPr="00D9107F">
        <w:rPr>
          <w:rStyle w:val="kursiv"/>
        </w:rPr>
        <w:t>Luftveisinfeksjone</w:t>
      </w:r>
      <w:r>
        <w:t>r faller, i 2020, da Covid-pandemien inntreffer.</w:t>
      </w:r>
    </w:p>
    <w:p w14:paraId="0EBFA79B" w14:textId="3A7BD6BC" w:rsidR="00F35BC5" w:rsidRPr="008E671A" w:rsidRDefault="00B914D8" w:rsidP="00C125E9">
      <w:pPr>
        <w:pStyle w:val="avsnitt-tittel"/>
        <w:rPr>
          <w:bCs/>
        </w:rPr>
      </w:pPr>
      <w:r>
        <w:lastRenderedPageBreak/>
        <w:t xml:space="preserve">Figur </w:t>
      </w:r>
      <w:r w:rsidR="000E0100">
        <w:t>2-</w:t>
      </w:r>
      <w:r w:rsidR="00BC3590">
        <w:t>32</w:t>
      </w:r>
      <w:r w:rsidR="005E0B90">
        <w:t>:</w:t>
      </w:r>
      <w:r w:rsidR="00F35BC5" w:rsidRPr="008E671A">
        <w:t xml:space="preserve"> Antall konsultasjoner per 1000 innbyggere, fordelt på utvalgte diagnosekategorier over år</w:t>
      </w:r>
    </w:p>
    <w:p w14:paraId="698D9D94" w14:textId="77777777" w:rsidR="00F35BC5" w:rsidRDefault="00F35BC5" w:rsidP="00030540">
      <w:pPr>
        <w:keepNext/>
        <w:keepLines/>
      </w:pPr>
      <w:r>
        <w:rPr>
          <w:noProof/>
        </w:rPr>
        <w:drawing>
          <wp:inline distT="0" distB="0" distL="0" distR="0" wp14:anchorId="570227B2" wp14:editId="2D481081">
            <wp:extent cx="6029198" cy="3215739"/>
            <wp:effectExtent l="38100" t="38100" r="29210" b="41910"/>
            <wp:docPr id="77" name="Picture 77"/>
            <wp:cNvGraphicFramePr/>
            <a:graphic xmlns:a="http://schemas.openxmlformats.org/drawingml/2006/main">
              <a:graphicData uri="http://schemas.openxmlformats.org/drawingml/2006/picture">
                <pic:pic xmlns:pic="http://schemas.openxmlformats.org/drawingml/2006/picture">
                  <pic:nvPicPr>
                    <pic:cNvPr id="78" name="Picture" descr="utkast_fl_rapport_files/figure-docx/unnamed-chunk-17-1.png"/>
                    <pic:cNvPicPr>
                      <a:picLocks noChangeAspect="1" noChangeArrowheads="1"/>
                    </pic:cNvPicPr>
                  </pic:nvPicPr>
                  <pic:blipFill>
                    <a:blip r:embed="rId57"/>
                    <a:stretch>
                      <a:fillRect/>
                    </a:stretch>
                  </pic:blipFill>
                  <pic:spPr bwMode="auto">
                    <a:xfrm>
                      <a:off x="0" y="0"/>
                      <a:ext cx="6067888" cy="3236375"/>
                    </a:xfrm>
                    <a:prstGeom prst="rect">
                      <a:avLst/>
                    </a:prstGeom>
                    <a:noFill/>
                    <a:ln w="38100">
                      <a:solidFill>
                        <a:schemeClr val="accent2"/>
                      </a:solidFill>
                      <a:headEnd/>
                      <a:tailEnd/>
                    </a:ln>
                  </pic:spPr>
                </pic:pic>
              </a:graphicData>
            </a:graphic>
          </wp:inline>
        </w:drawing>
      </w:r>
    </w:p>
    <w:p w14:paraId="78E32069" w14:textId="42B4A5BC" w:rsidR="00F35BC5" w:rsidRPr="00D9107F" w:rsidRDefault="00F35BC5" w:rsidP="00C125E9">
      <w:pPr>
        <w:pStyle w:val="Petit"/>
        <w:rPr>
          <w:rStyle w:val="kursiv"/>
        </w:rPr>
      </w:pPr>
      <w:r w:rsidRPr="00D9107F">
        <w:rPr>
          <w:rStyle w:val="kursiv"/>
        </w:rPr>
        <w:t>Kilde: SSB</w:t>
      </w:r>
      <w:r w:rsidR="00AE5EB6" w:rsidRPr="00D9107F">
        <w:rPr>
          <w:rStyle w:val="kursiv"/>
        </w:rPr>
        <w:t>, 2015-2021.</w:t>
      </w:r>
    </w:p>
    <w:p w14:paraId="0332100E" w14:textId="26390E84" w:rsidR="00D9107F" w:rsidRDefault="00F35BC5" w:rsidP="00BC3590">
      <w:pPr>
        <w:jc w:val="both"/>
        <w:rPr>
          <w:color w:val="000000"/>
        </w:rPr>
      </w:pPr>
      <w:r w:rsidRPr="00030540">
        <w:rPr>
          <w:color w:val="000000"/>
        </w:rPr>
        <w:t xml:space="preserve">Resultatene om fastlegenes arbeidshverdag viser en økning i alle kontakttyper, som kan tyde på at fastlegene har fått mer å gjøre. Samtidig har økningen i antall konsultasjoner </w:t>
      </w:r>
      <w:r w:rsidRPr="00250A14">
        <w:rPr>
          <w:color w:val="000000"/>
        </w:rPr>
        <w:t>i 2020 og 2021 ikke en tilsvarende økning i total tid brukt på konsultasjoner. Årsaken er at en del vanlige konsultasjoner er blitt erstattet med e-konsultasjoner, som har halvparten så lang varighet som fysiske konsultasjoner.</w:t>
      </w:r>
    </w:p>
    <w:p w14:paraId="5E971C9B" w14:textId="306DE68A" w:rsidR="00D9107F" w:rsidRDefault="00F35BC5" w:rsidP="00BC3590">
      <w:pPr>
        <w:jc w:val="both"/>
      </w:pPr>
      <w:r>
        <w:t>Konsultasjonstiden for vanlige konsultasjoner har økt med i gjennomsnitt to minutter fra 2008 til 2021. Dette kan knyttes til en seleksjonseffekt, ved at mer tidkrevende henvendelser ivaretas på vanlige, fysiske konsultasjoner, mens enkle problemstillinger i større grad løses ved e-konsultasjon.</w:t>
      </w:r>
    </w:p>
    <w:p w14:paraId="0C6CF505" w14:textId="77777777" w:rsidR="00D9107F" w:rsidRDefault="00F35BC5" w:rsidP="00775632">
      <w:pPr>
        <w:pStyle w:val="Overskrift3"/>
      </w:pPr>
      <w:bookmarkStart w:id="469" w:name="_Toc131238309"/>
      <w:bookmarkStart w:id="470" w:name="_Toc131279339"/>
      <w:bookmarkStart w:id="471" w:name="_Toc131286751"/>
      <w:bookmarkStart w:id="472" w:name="_Toc131281161"/>
      <w:bookmarkStart w:id="473" w:name="_Toc131317700"/>
      <w:bookmarkStart w:id="474" w:name="_Toc132536909"/>
      <w:r>
        <w:t>Utvikling i arbeid utenfor vanlig arbeidstid</w:t>
      </w:r>
      <w:bookmarkEnd w:id="469"/>
      <w:bookmarkEnd w:id="470"/>
      <w:bookmarkEnd w:id="471"/>
      <w:bookmarkEnd w:id="472"/>
      <w:bookmarkEnd w:id="473"/>
      <w:bookmarkEnd w:id="474"/>
    </w:p>
    <w:p w14:paraId="6E7F7020" w14:textId="77777777" w:rsidR="00D9107F" w:rsidRDefault="00F35BC5" w:rsidP="006534BE">
      <w:pPr>
        <w:jc w:val="both"/>
      </w:pPr>
      <w:r>
        <w:t>På bestilling fra ekspertutvalget</w:t>
      </w:r>
      <w:r w:rsidR="00AB1413">
        <w:t>,</w:t>
      </w:r>
      <w:r>
        <w:t xml:space="preserve"> har FHI undersøkt utviklingen i fastlegenes arbeid utenfor normal arbeidstid, basert på fastlegenes registrering av takster i KUHR</w:t>
      </w:r>
      <w:r w:rsidR="00C62EEE">
        <w:t xml:space="preserve"> </w:t>
      </w:r>
      <w:r>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fldChar w:fldCharType="separate"/>
      </w:r>
      <w:r w:rsidR="00856689">
        <w:rPr>
          <w:noProof/>
        </w:rPr>
        <w:t>(Skyrud et al., 2023)</w:t>
      </w:r>
      <w:r>
        <w:fldChar w:fldCharType="end"/>
      </w:r>
      <w:r>
        <w:t xml:space="preserve">. Utenfor normal arbeidstid er her definert </w:t>
      </w:r>
      <w:r w:rsidR="00AB1413">
        <w:t xml:space="preserve">til å være </w:t>
      </w:r>
      <w:r>
        <w:t xml:space="preserve">mellom kl. 17.00 og 07.00 på hverdager eller </w:t>
      </w:r>
      <w:r>
        <w:lastRenderedPageBreak/>
        <w:t>i helgene (alle tidspunkt). Legevaktsarbeid er ekskludert.</w:t>
      </w:r>
      <w:r w:rsidRPr="00D9107F">
        <w:rPr>
          <w:rStyle w:val="Fotnotereferanse"/>
        </w:rPr>
        <w:footnoteReference w:id="9"/>
      </w:r>
      <w:r>
        <w:t xml:space="preserve"> De finner at det har vært en gradvis økning i antall takster per lege per år. Økningen innen normal arbeidstid er marginal, mens det har vært en dobling i antall takster utført i tidsrommet kl. 17–18 på hverdager, fra 60 til 120 takster per lege per år. Det har vært en tilsvarende utvikling i antall takster per fastlege i helger, og økningen er større enn på hverdager, spesielt fra 2019.</w:t>
      </w:r>
    </w:p>
    <w:p w14:paraId="14BFCF7F" w14:textId="4B008873" w:rsidR="00F35BC5" w:rsidRDefault="00F35BC5" w:rsidP="00020365">
      <w:pPr>
        <w:jc w:val="both"/>
      </w:pPr>
      <w:r>
        <w:t>Det har vært en markant økning i e-konsultasjoner, på hverdager, men spesielt i helg, etter 2020. Det er en særlig økning i antall e-konsultasjoner fra 2021, mens vanlige fysiske konsultasjoner i helgene har falt gradvis og stabilisert seg på et relativt lavt nivå.</w:t>
      </w:r>
    </w:p>
    <w:p w14:paraId="7D0B5FC1" w14:textId="77777777" w:rsidR="00D9107F" w:rsidRDefault="00F35BC5" w:rsidP="00F504B4">
      <w:pPr>
        <w:jc w:val="both"/>
      </w:pPr>
      <w:r>
        <w:t xml:space="preserve">Figur </w:t>
      </w:r>
      <w:r w:rsidR="006534BE">
        <w:t>2-33</w:t>
      </w:r>
      <w:r>
        <w:t xml:space="preserve"> Viser utviklingen i antall vanlige konsultasjoner eller e-konsultasjoner for den enkelte fastlege per klokketime i perioden 2010</w:t>
      </w:r>
      <w:r w:rsidR="00AB1413">
        <w:t>–</w:t>
      </w:r>
      <w:r>
        <w:t>2021 i helg.</w:t>
      </w:r>
    </w:p>
    <w:p w14:paraId="18812C3F" w14:textId="3BE9ACE9" w:rsidR="00F35BC5" w:rsidRDefault="00F35BC5" w:rsidP="00C125E9">
      <w:pPr>
        <w:pStyle w:val="avsnitt-tittel"/>
      </w:pPr>
      <w:r w:rsidRPr="513C6B95">
        <w:lastRenderedPageBreak/>
        <w:t xml:space="preserve">Figur </w:t>
      </w:r>
      <w:r w:rsidR="0062178B">
        <w:t>2-</w:t>
      </w:r>
      <w:r w:rsidR="006534BE">
        <w:t>33</w:t>
      </w:r>
      <w:r w:rsidR="005E0B90">
        <w:t>:</w:t>
      </w:r>
      <w:r w:rsidRPr="513C6B95">
        <w:t xml:space="preserve"> Antall vanlige konsultasjoner eller e-konsultasjoner per fastlege per klokketime for årene 2010</w:t>
      </w:r>
      <w:r w:rsidRPr="513C6B95">
        <w:rPr>
          <w:bCs/>
        </w:rPr>
        <w:t>–</w:t>
      </w:r>
      <w:r w:rsidRPr="513C6B95">
        <w:t>2021 i helgene</w:t>
      </w:r>
    </w:p>
    <w:p w14:paraId="2E8B39FD" w14:textId="77777777" w:rsidR="00F35BC5" w:rsidRDefault="00F35BC5" w:rsidP="00F35BC5">
      <w:r>
        <w:rPr>
          <w:noProof/>
        </w:rPr>
        <w:drawing>
          <wp:inline distT="0" distB="0" distL="0" distR="0" wp14:anchorId="59C6D1E9" wp14:editId="1E80A99B">
            <wp:extent cx="6120000" cy="6120000"/>
            <wp:effectExtent l="38100" t="38100" r="33655" b="33655"/>
            <wp:docPr id="62" name="Picture 6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tridsvogn&#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000" cy="6120000"/>
                    </a:xfrm>
                    <a:prstGeom prst="rect">
                      <a:avLst/>
                    </a:prstGeom>
                    <a:ln w="38100">
                      <a:solidFill>
                        <a:schemeClr val="accent2"/>
                      </a:solidFill>
                    </a:ln>
                  </pic:spPr>
                </pic:pic>
              </a:graphicData>
            </a:graphic>
          </wp:inline>
        </w:drawing>
      </w:r>
    </w:p>
    <w:p w14:paraId="0D8A600B" w14:textId="77777777" w:rsidR="00D9107F" w:rsidRPr="00657F9A" w:rsidRDefault="00F35BC5" w:rsidP="00C709CD">
      <w:pPr>
        <w:pStyle w:val="Petit"/>
        <w:rPr>
          <w:rStyle w:val="kursiv"/>
        </w:rPr>
      </w:pPr>
      <w:r w:rsidRPr="00657F9A">
        <w:rPr>
          <w:rStyle w:val="kursiv"/>
        </w:rPr>
        <w:t>Merknad: Inkluderer kun fastlegearbeid, definert som praksistyper/oppgjørskoder fastlege eller fastlønnet og spesifikke fastlegearbeid takstkoder i KUHR. Inkluderte takstkoder er: 2ae, 2aek, 2ad, 11ad, 11ak. Kilde: KUHR og FLO</w:t>
      </w:r>
      <w:r w:rsidR="00F2510F" w:rsidRPr="00657F9A">
        <w:rPr>
          <w:rStyle w:val="kursiv"/>
        </w:rPr>
        <w:t>, 201</w:t>
      </w:r>
      <w:r w:rsidR="00956E36" w:rsidRPr="00657F9A">
        <w:rPr>
          <w:rStyle w:val="kursiv"/>
        </w:rPr>
        <w:t>0-2021.</w:t>
      </w:r>
    </w:p>
    <w:p w14:paraId="66EEDDD1" w14:textId="663154AD" w:rsidR="00F35BC5" w:rsidRDefault="00F35BC5" w:rsidP="006534BE">
      <w:pPr>
        <w:jc w:val="both"/>
      </w:pPr>
      <w:r>
        <w:t xml:space="preserve">Figur </w:t>
      </w:r>
      <w:r w:rsidR="006534BE">
        <w:t>2-34</w:t>
      </w:r>
      <w:r>
        <w:t xml:space="preserve"> viser andelen av fastleger med antall dager med arbeid utenfor normal arbeidstid i løpet av ett år. </w:t>
      </w:r>
      <w:r w:rsidRPr="00EF7742">
        <w:rPr>
          <w:rFonts w:ascii="Calibri" w:hAnsi="Calibri" w:cs="Calibri"/>
          <w:color w:val="000000" w:themeColor="text1"/>
        </w:rPr>
        <w:t xml:space="preserve">Dager med arbeid utenfor normal arbeidstid er definert som </w:t>
      </w:r>
      <w:r w:rsidRPr="00EF7742">
        <w:t>minimum tre spesifikke takster i perioden kl. 17</w:t>
      </w:r>
      <w:r w:rsidR="00AB1413">
        <w:t>.</w:t>
      </w:r>
      <w:r w:rsidRPr="00EF7742">
        <w:t>00</w:t>
      </w:r>
      <w:r w:rsidR="00AB1413">
        <w:t xml:space="preserve"> til </w:t>
      </w:r>
      <w:r w:rsidRPr="00EF7742">
        <w:t>06</w:t>
      </w:r>
      <w:r w:rsidR="00AB1413">
        <w:t>.</w:t>
      </w:r>
      <w:r w:rsidRPr="00EF7742">
        <w:t>59 på hverdager eller i helgene.</w:t>
      </w:r>
    </w:p>
    <w:p w14:paraId="2829D434" w14:textId="77777777" w:rsidR="00D9107F" w:rsidRDefault="00F35BC5" w:rsidP="006534BE">
      <w:pPr>
        <w:jc w:val="both"/>
      </w:pPr>
      <w:r>
        <w:t>Det har vært en jevn økning i andelen fastleger som jobber minst en arbeidsdag utenfor normal arbeidstid og i antall dager med kvelds</w:t>
      </w:r>
      <w:r w:rsidR="00AB1413">
        <w:t xml:space="preserve">- </w:t>
      </w:r>
      <w:r>
        <w:t xml:space="preserve">og helgearbeid, i perioden 2010–2021. 80 prosent av </w:t>
      </w:r>
      <w:r>
        <w:lastRenderedPageBreak/>
        <w:t>fastlegene jobbet utenfor normal arbeidstid i 2010, mot 95 prosent av fastlegene i 2021. Samtidig er det en tredobling av gjennomsnittlig antall dager med arbeid utenfor normal arbeidstid, fra 23,6 dager til 60 dager i samme periode</w:t>
      </w:r>
      <w:r w:rsidR="006534BE">
        <w:t>.</w:t>
      </w:r>
    </w:p>
    <w:p w14:paraId="16A41365" w14:textId="0E9B2C7B" w:rsidR="00D9107F" w:rsidRDefault="00F35BC5" w:rsidP="00C125E9">
      <w:pPr>
        <w:pStyle w:val="avsnitt-tittel"/>
      </w:pPr>
      <w:r w:rsidRPr="00D04638">
        <w:t xml:space="preserve">Figur </w:t>
      </w:r>
      <w:r w:rsidR="0062178B">
        <w:t>2-</w:t>
      </w:r>
      <w:r w:rsidR="006534BE">
        <w:t>34</w:t>
      </w:r>
      <w:r w:rsidR="005E0B90">
        <w:t>:</w:t>
      </w:r>
      <w:r w:rsidRPr="00D04638">
        <w:t xml:space="preserve"> </w:t>
      </w:r>
      <w:bookmarkStart w:id="475" w:name="_Hlk131235824"/>
      <w:r w:rsidRPr="00D04638">
        <w:t xml:space="preserve">Andel fastleger etter antall dager med </w:t>
      </w:r>
      <w:r>
        <w:t>arbeid</w:t>
      </w:r>
      <w:r w:rsidRPr="00D04638">
        <w:t xml:space="preserve"> utenfor normal arbeidstid </w:t>
      </w:r>
      <w:r>
        <w:t>(17</w:t>
      </w:r>
      <w:r w:rsidR="00AB1413">
        <w:t>–</w:t>
      </w:r>
      <w:r>
        <w:t xml:space="preserve">07) </w:t>
      </w:r>
      <w:r w:rsidRPr="00D04638">
        <w:t>i løpet av et år</w:t>
      </w:r>
      <w:bookmarkEnd w:id="475"/>
    </w:p>
    <w:p w14:paraId="74C78BCF" w14:textId="67BE9D43" w:rsidR="00F35BC5" w:rsidRDefault="00F35BC5" w:rsidP="00F35BC5">
      <w:r w:rsidRPr="00D9107F">
        <w:rPr>
          <w:rStyle w:val="kursiv"/>
          <w:noProof/>
        </w:rPr>
        <w:drawing>
          <wp:inline distT="0" distB="0" distL="0" distR="0" wp14:anchorId="474EEFD7" wp14:editId="1919503E">
            <wp:extent cx="6120000" cy="6120000"/>
            <wp:effectExtent l="38100" t="38100" r="33655" b="33655"/>
            <wp:docPr id="63" name="Picture 6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stridsvog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6120000"/>
                    </a:xfrm>
                    <a:prstGeom prst="rect">
                      <a:avLst/>
                    </a:prstGeom>
                    <a:ln w="38100">
                      <a:solidFill>
                        <a:schemeClr val="accent2"/>
                      </a:solidFill>
                    </a:ln>
                  </pic:spPr>
                </pic:pic>
              </a:graphicData>
            </a:graphic>
          </wp:inline>
        </w:drawing>
      </w:r>
    </w:p>
    <w:p w14:paraId="7E4103E6" w14:textId="77777777" w:rsidR="00D9107F" w:rsidRPr="00657F9A" w:rsidRDefault="00F35BC5" w:rsidP="00C709CD">
      <w:pPr>
        <w:pStyle w:val="Petit"/>
        <w:rPr>
          <w:rStyle w:val="kursiv"/>
        </w:rPr>
      </w:pPr>
      <w:bookmarkStart w:id="476" w:name="_Hlk131235800"/>
      <w:r w:rsidRPr="00657F9A">
        <w:rPr>
          <w:rStyle w:val="kursiv"/>
        </w:rPr>
        <w:t>Merknad: Dager med arbeid utenfor normal arbeidstid er definert som minimum tre spesifikke takster i perioden kl. 17</w:t>
      </w:r>
      <w:r w:rsidR="00AB1413" w:rsidRPr="00657F9A">
        <w:rPr>
          <w:rStyle w:val="kursiv"/>
        </w:rPr>
        <w:t>.</w:t>
      </w:r>
      <w:r w:rsidRPr="00657F9A">
        <w:rPr>
          <w:rStyle w:val="kursiv"/>
        </w:rPr>
        <w:t>00-06</w:t>
      </w:r>
      <w:r w:rsidR="00AB1413" w:rsidRPr="00657F9A">
        <w:rPr>
          <w:rStyle w:val="kursiv"/>
        </w:rPr>
        <w:t>.</w:t>
      </w:r>
      <w:r w:rsidRPr="00657F9A">
        <w:rPr>
          <w:rStyle w:val="kursiv"/>
        </w:rPr>
        <w:t>59 på hverdager eller i helgene. Inkluderer kun fastlegearbeid, definert som praksistyper/oppgjørskoder fastlege eller fastlønnet og spesifikke fastlegearbeid takstkoder i KUHR. Kilde: FLO og KUHR</w:t>
      </w:r>
      <w:r w:rsidR="00F2510F" w:rsidRPr="00657F9A">
        <w:rPr>
          <w:rStyle w:val="kursiv"/>
        </w:rPr>
        <w:t>, 2010-2021.</w:t>
      </w:r>
      <w:bookmarkEnd w:id="476"/>
    </w:p>
    <w:p w14:paraId="7239D393" w14:textId="10934EC1" w:rsidR="00416653" w:rsidRPr="00416653" w:rsidRDefault="00416653" w:rsidP="006534BE">
      <w:pPr>
        <w:jc w:val="both"/>
      </w:pPr>
      <w:r w:rsidRPr="00416653">
        <w:lastRenderedPageBreak/>
        <w:t>Fra 2010 til 2021 har andelen fastleger som bare har 1–9 dager i året der de jobber etter kl. 17, falt fra 37 til 19 prosent, mens andelen fastleger som jobber 10 til 50 dager etter kl</w:t>
      </w:r>
      <w:r>
        <w:t>.</w:t>
      </w:r>
      <w:r w:rsidR="00E66E1F">
        <w:t xml:space="preserve"> </w:t>
      </w:r>
      <w:r w:rsidRPr="00416653">
        <w:t>17. har vært ganske stabil. Det er en særlig stor øking i andelen fastleger som jobber mer enn 50 dager i året etter kl. 17, fra omtrent 10 prosent til 40 prosent. Også blant fastlegevikarer øker andelen som jobber etter kl. 17, men økningen i antall dager i året har ikke vært like stor som blant fastlegene</w:t>
      </w:r>
      <w:r w:rsidR="00E66E1F">
        <w:t>.</w:t>
      </w:r>
    </w:p>
    <w:p w14:paraId="2E3DB03B" w14:textId="77777777" w:rsidR="00D9107F" w:rsidRDefault="00F35BC5" w:rsidP="006534BE">
      <w:pPr>
        <w:jc w:val="both"/>
      </w:pPr>
      <w:r>
        <w:t>Oppsummert viser</w:t>
      </w:r>
      <w:r w:rsidDel="008107A7">
        <w:t xml:space="preserve"> </w:t>
      </w:r>
      <w:r>
        <w:t>resultatene at andelen fastleger som jobber mer enn 50 dager utenfor normal arbeidstid (kl</w:t>
      </w:r>
      <w:r w:rsidR="00AB1413">
        <w:t>.</w:t>
      </w:r>
      <w:r>
        <w:t xml:space="preserve"> 17</w:t>
      </w:r>
      <w:r w:rsidR="00AB1413">
        <w:t>–</w:t>
      </w:r>
      <w:r>
        <w:t xml:space="preserve">07) øker mest i de største og mest sentrale kommunene, blant mannlige leger over 60 år, spesialister i allmennmedisin, </w:t>
      </w:r>
      <w:r w:rsidRPr="00326626">
        <w:t xml:space="preserve">fastleger </w:t>
      </w:r>
      <w:r>
        <w:t>med næringsdrift og</w:t>
      </w:r>
      <w:r w:rsidRPr="00326626">
        <w:t xml:space="preserve"> fastleger med </w:t>
      </w:r>
      <w:r>
        <w:t>listelengde på over 1000 listepasienter</w:t>
      </w:r>
      <w:r w:rsidR="00940927">
        <w:t xml:space="preserve"> </w:t>
      </w:r>
      <w:r w:rsidR="00C32115">
        <w:fldChar w:fldCharType="begin"/>
      </w:r>
      <w:r w:rsidR="00C32115">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rsidR="00C32115">
        <w:fldChar w:fldCharType="separate"/>
      </w:r>
      <w:r w:rsidR="00C32115">
        <w:rPr>
          <w:noProof/>
        </w:rPr>
        <w:t>(Skyrud et al., 2023)</w:t>
      </w:r>
      <w:r w:rsidR="00C32115">
        <w:fldChar w:fldCharType="end"/>
      </w:r>
      <w:r>
        <w:t>.</w:t>
      </w:r>
    </w:p>
    <w:p w14:paraId="7495E6F0" w14:textId="2F88CD6E" w:rsidR="00F35BC5" w:rsidRDefault="00F35BC5" w:rsidP="00775632">
      <w:pPr>
        <w:pStyle w:val="Overskrift3"/>
      </w:pPr>
      <w:bookmarkStart w:id="477" w:name="_Toc132536910"/>
      <w:r>
        <w:t>Fastlegers deltakelse i legevakt</w:t>
      </w:r>
      <w:bookmarkEnd w:id="477"/>
    </w:p>
    <w:p w14:paraId="51C38171" w14:textId="77777777" w:rsidR="00D9107F" w:rsidRDefault="00F35BC5" w:rsidP="00440234">
      <w:pPr>
        <w:jc w:val="both"/>
      </w:pPr>
      <w:r>
        <w:t>FHI</w:t>
      </w:r>
      <w:r w:rsidR="00627A49">
        <w:t xml:space="preserve"> har sett på</w:t>
      </w:r>
      <w:r>
        <w:t xml:space="preserve"> </w:t>
      </w:r>
      <w:r w:rsidR="004E4C66">
        <w:t>fastlegers</w:t>
      </w:r>
      <w:r w:rsidR="0004404F">
        <w:t xml:space="preserve"> deltakelse i legevakt</w:t>
      </w:r>
      <w:r w:rsidR="00E74E41">
        <w:t xml:space="preserve"> ved å måle aktivitet</w:t>
      </w:r>
      <w:r w:rsidR="00376AC7">
        <w:t xml:space="preserve"> ved </w:t>
      </w:r>
      <w:r w:rsidR="0176630A">
        <w:t>registrerte</w:t>
      </w:r>
      <w:r w:rsidR="008D3B46">
        <w:t xml:space="preserve"> </w:t>
      </w:r>
      <w:r w:rsidR="00D4405E">
        <w:t>oppgjørskoder for</w:t>
      </w:r>
      <w:r w:rsidR="00DD6640">
        <w:t xml:space="preserve"> legevaktsarbeid</w:t>
      </w:r>
      <w:r w:rsidR="00272478">
        <w:t>. Andelen</w:t>
      </w:r>
      <w:r>
        <w:t xml:space="preserve"> </w:t>
      </w:r>
      <w:r w:rsidR="004E4C66">
        <w:t xml:space="preserve">fastleger som jobber legevakt </w:t>
      </w:r>
      <w:r>
        <w:t>har økt fra 50 prosent i 2010 til i underkant av 60 prosent i 2021. I samme periode har det vært en økning i antall dager både med fastlegearbeid og legevaktarbeid. Fastlegearbeidet har økt med 24 dager</w:t>
      </w:r>
      <w:r w:rsidR="00AB1413">
        <w:t>,</w:t>
      </w:r>
      <w:r>
        <w:t xml:space="preserve"> til i snitt 237 dager i året, og legevakt</w:t>
      </w:r>
      <w:r w:rsidR="00AB1413">
        <w:t>s</w:t>
      </w:r>
      <w:r>
        <w:t>arbeid har økt med tre dager</w:t>
      </w:r>
      <w:r w:rsidR="00AB1413">
        <w:t>,</w:t>
      </w:r>
      <w:r>
        <w:t xml:space="preserve"> til i snitt 31 dager i året.</w:t>
      </w:r>
    </w:p>
    <w:p w14:paraId="4858F966" w14:textId="0F9E94EA" w:rsidR="00CC01CA" w:rsidRDefault="00CC01CA" w:rsidP="00440234">
      <w:pPr>
        <w:jc w:val="both"/>
      </w:pPr>
      <w:r>
        <w:t xml:space="preserve">Av fastlegene som inngår i legevaktordningen, er det stor variasjon i antall dager de jobber legevakt, hvor fastleger i distriktskommuner har </w:t>
      </w:r>
      <w:r w:rsidR="00C35CA9">
        <w:t xml:space="preserve">et </w:t>
      </w:r>
      <w:r>
        <w:t>større antall dager med legevaktarbeid enn fastleger i folkerike kommuner i sentrale strøk</w:t>
      </w:r>
      <w:r w:rsidR="006D2961">
        <w:t xml:space="preserve"> (</w:t>
      </w:r>
      <w:r w:rsidR="006D2961" w:rsidRPr="00EC3565">
        <w:t xml:space="preserve">figur </w:t>
      </w:r>
      <w:r w:rsidR="004667B8">
        <w:t>2-35</w:t>
      </w:r>
      <w:r w:rsidR="006D2961">
        <w:t>)</w:t>
      </w:r>
      <w:r>
        <w:t>. Det er en liten tendens til nedgang i andelen fastleger i de minst folkerike kommunene som jobber mye legevakt (&gt;50 vakter), fra to av tre til tre av fire</w:t>
      </w:r>
      <w:r w:rsidR="001015F5">
        <w:t xml:space="preserve"> </w:t>
      </w:r>
      <w:r w:rsidR="00C32115">
        <w:fldChar w:fldCharType="begin"/>
      </w:r>
      <w:r w:rsidR="00C32115">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rsidR="00C32115">
        <w:fldChar w:fldCharType="separate"/>
      </w:r>
      <w:r w:rsidR="00C32115">
        <w:rPr>
          <w:noProof/>
        </w:rPr>
        <w:t>(Skyrud et al., 2023)</w:t>
      </w:r>
      <w:r w:rsidR="00C32115">
        <w:fldChar w:fldCharType="end"/>
      </w:r>
      <w:r>
        <w:t>.</w:t>
      </w:r>
    </w:p>
    <w:p w14:paraId="7E6B6283" w14:textId="7206293F" w:rsidR="00CC01CA" w:rsidRDefault="008533B2" w:rsidP="001B5274">
      <w:pPr>
        <w:pStyle w:val="avsnitt-tittel"/>
      </w:pPr>
      <w:r>
        <w:lastRenderedPageBreak/>
        <w:t xml:space="preserve">Figur </w:t>
      </w:r>
      <w:r w:rsidR="0062178B">
        <w:t>2-</w:t>
      </w:r>
      <w:r w:rsidR="004667B8">
        <w:t>35</w:t>
      </w:r>
      <w:r w:rsidR="005E0B90">
        <w:t>:</w:t>
      </w:r>
      <w:r>
        <w:t xml:space="preserve"> Andel fastleger som jobber legevakt etter kommunestørrelse</w:t>
      </w:r>
    </w:p>
    <w:p w14:paraId="73F021EC" w14:textId="61F33AAB" w:rsidR="00FD2620" w:rsidRDefault="00FD2620" w:rsidP="0042069A">
      <w:pPr>
        <w:keepNext/>
        <w:keepLines/>
        <w:jc w:val="both"/>
      </w:pPr>
      <w:r w:rsidRPr="00FD2620">
        <w:rPr>
          <w:noProof/>
        </w:rPr>
        <w:drawing>
          <wp:inline distT="0" distB="0" distL="0" distR="0" wp14:anchorId="6C407F0C" wp14:editId="4D448F7F">
            <wp:extent cx="6119495" cy="5688932"/>
            <wp:effectExtent l="38100" t="38100" r="33655" b="4572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800" cy="5690145"/>
                    </a:xfrm>
                    <a:prstGeom prst="rect">
                      <a:avLst/>
                    </a:prstGeom>
                    <a:noFill/>
                    <a:ln w="38100">
                      <a:solidFill>
                        <a:schemeClr val="accent2"/>
                      </a:solidFill>
                    </a:ln>
                  </pic:spPr>
                </pic:pic>
              </a:graphicData>
            </a:graphic>
          </wp:inline>
        </w:drawing>
      </w:r>
    </w:p>
    <w:p w14:paraId="7C1E4DB0" w14:textId="5F812ECA" w:rsidR="00F35BC5" w:rsidRPr="006809FC" w:rsidRDefault="00CA1158" w:rsidP="001B5274">
      <w:pPr>
        <w:pStyle w:val="Petit"/>
        <w:rPr>
          <w:rFonts w:ascii="Arial" w:hAnsi="Arial" w:cs="Arial"/>
          <w:sz w:val="18"/>
          <w:szCs w:val="18"/>
        </w:rPr>
      </w:pPr>
      <w:r w:rsidRPr="00D9107F">
        <w:rPr>
          <w:rStyle w:val="kursiv"/>
        </w:rPr>
        <w:t>Merknad: Inkluderer aktivitet ved registrerte oppgjørskoder for legevaktsarbeid.</w:t>
      </w:r>
      <w:r w:rsidRPr="00CA1158">
        <w:rPr>
          <w:sz w:val="16"/>
          <w:szCs w:val="16"/>
        </w:rPr>
        <w:t xml:space="preserve"> </w:t>
      </w:r>
      <w:r w:rsidR="006809FC" w:rsidRPr="00D9107F">
        <w:rPr>
          <w:rStyle w:val="kursiv"/>
        </w:rPr>
        <w:t>Kilde: KUHR og FLO</w:t>
      </w:r>
    </w:p>
    <w:p w14:paraId="31974150" w14:textId="77777777" w:rsidR="00F35BC5" w:rsidRDefault="00F35BC5" w:rsidP="00775632">
      <w:pPr>
        <w:pStyle w:val="Overskrift3"/>
      </w:pPr>
      <w:bookmarkStart w:id="478" w:name="_Toc126817043"/>
      <w:bookmarkStart w:id="479" w:name="_Toc127633178"/>
      <w:bookmarkStart w:id="480" w:name="_Toc127864172"/>
      <w:bookmarkStart w:id="481" w:name="_Toc131238310"/>
      <w:bookmarkStart w:id="482" w:name="_Toc131279340"/>
      <w:bookmarkStart w:id="483" w:name="_Toc131286752"/>
      <w:bookmarkStart w:id="484" w:name="_Toc131281162"/>
      <w:bookmarkStart w:id="485" w:name="_Toc131317701"/>
      <w:bookmarkStart w:id="486" w:name="_Toc132536911"/>
      <w:r>
        <w:t xml:space="preserve">Belastning og stress </w:t>
      </w:r>
      <w:bookmarkEnd w:id="478"/>
      <w:bookmarkEnd w:id="479"/>
      <w:bookmarkEnd w:id="480"/>
      <w:r>
        <w:t>blant fastleger</w:t>
      </w:r>
      <w:bookmarkEnd w:id="481"/>
      <w:bookmarkEnd w:id="482"/>
      <w:bookmarkEnd w:id="483"/>
      <w:bookmarkEnd w:id="484"/>
      <w:bookmarkEnd w:id="485"/>
      <w:bookmarkEnd w:id="486"/>
    </w:p>
    <w:p w14:paraId="12B174F4" w14:textId="0C6DA7EC" w:rsidR="00F35BC5" w:rsidRDefault="00F35BC5" w:rsidP="00440234">
      <w:pPr>
        <w:jc w:val="both"/>
      </w:pPr>
      <w:r>
        <w:t>Flere undersøkelser har over tid rapportert a</w:t>
      </w:r>
      <w:r w:rsidR="004B3308">
        <w:t>t</w:t>
      </w:r>
      <w:r>
        <w:t xml:space="preserve"> fastleger opplever en mer krevende arbeidshverdag og større arbeidsbelastning.</w:t>
      </w:r>
      <w:r w:rsidDel="004B3308">
        <w:t xml:space="preserve"> </w:t>
      </w:r>
      <w:r>
        <w:t>Oslo Economics og UiO har</w:t>
      </w:r>
      <w:r w:rsidR="004B3308">
        <w:t>,</w:t>
      </w:r>
      <w:r>
        <w:t xml:space="preserve"> som en del av evalueringen av Handlingsplan for allmennlegetjenesten, utført spørreundersøkelse og intervju blant fastleger. Fire av fem av fastlegene i spørreundersøkelsen oppga for stor arbeidsbelastning </w:t>
      </w:r>
      <w:r>
        <w:fldChar w:fldCharType="begin"/>
      </w:r>
      <w:r w:rsidR="00CE2F35">
        <w:instrText xml:space="preserve"> ADDIN EN.CITE &lt;EndNote&gt;&lt;Cite&gt;&lt;Author&gt;Oslo Economics&lt;/Author&gt;&lt;Year&gt;2022&lt;/Year&gt;&lt;RecNum&gt;218&lt;/RecNum&gt;&lt;DisplayText&gt;(Oslo Economics, 2022)&lt;/DisplayText&gt;&lt;record&gt;&lt;rec-number&gt;218&lt;/rec-number&gt;&lt;foreign-keys&gt;&lt;key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fldChar w:fldCharType="separate"/>
      </w:r>
      <w:r w:rsidR="00CE2F35">
        <w:rPr>
          <w:noProof/>
        </w:rPr>
        <w:t>(Oslo Economics, 2022)</w:t>
      </w:r>
      <w:r>
        <w:fldChar w:fldCharType="end"/>
      </w:r>
      <w:r w:rsidR="001015F5">
        <w:t>.</w:t>
      </w:r>
      <w:r>
        <w:t xml:space="preserve"> Tilsvarende viste en spørreundersøkelse blant fastleger i Fastlegeevaluering av EY og Vista fra 2019</w:t>
      </w:r>
      <w:r w:rsidDel="00BB78C8">
        <w:t xml:space="preserve"> at</w:t>
      </w:r>
      <w:r>
        <w:t xml:space="preserve"> fastlegene opplever at arbeidsbelastningen har økt betraktelig de siste årene</w:t>
      </w:r>
      <w:r w:rsidR="004B3308">
        <w:t>,</w:t>
      </w:r>
      <w:r>
        <w:t xml:space="preserve"> og beskriver at arbeidssituasjonen er uhåndterbar. Nærmere ni av 10 fastleger i spørreundersøkelsen hadde forsøkt å ta ned arbeidsbelastningen, ved å blant annet </w:t>
      </w:r>
      <w:r>
        <w:lastRenderedPageBreak/>
        <w:t xml:space="preserve">ha mindre legevaktarbeid, kortere listelengde og redusere andre allmennlegeoppgaver i kommunen </w:t>
      </w:r>
      <w:r>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fldChar w:fldCharType="separate"/>
      </w:r>
      <w:r w:rsidR="00CE2F35">
        <w:rPr>
          <w:noProof/>
        </w:rPr>
        <w:t>(EY og Vista Analyse, 2019)</w:t>
      </w:r>
      <w:r>
        <w:fldChar w:fldCharType="end"/>
      </w:r>
      <w:r w:rsidR="001015F5">
        <w:t>.</w:t>
      </w:r>
    </w:p>
    <w:p w14:paraId="3CE074C8" w14:textId="0AB525F3" w:rsidR="00F35BC5" w:rsidRDefault="00F35BC5" w:rsidP="00440234">
      <w:pPr>
        <w:jc w:val="both"/>
      </w:pPr>
      <w:r>
        <w:t xml:space="preserve">I Commonwealth Fund sin internasjonale undersøkelse blant allmennleger i 2019 er norske allmennleger mindre fornøyd med den daglige arbeidsmengden sammenlignet med snittet av de andre landene. Samtidig oppga de norske allmennlegene høyere jobbtilfredshet og at helsevesenet fungerer bedre enn snittet i de andre landene </w:t>
      </w:r>
      <w:r>
        <w:fldChar w:fldCharType="begin"/>
      </w:r>
      <w:r w:rsidR="004654FD">
        <w:instrText xml:space="preserve"> ADDIN EN.CITE &lt;EndNote&gt;&lt;Cite&gt;&lt;Author&gt;Skudal&lt;/Author&gt;&lt;Year&gt;2019&lt;/Year&gt;&lt;RecNum&gt;96&lt;/RecNum&gt;&lt;DisplayText&gt;(Skudal et al., 2019)&lt;/DisplayText&gt;&lt;record&gt;&lt;rec-number&gt;96&lt;/rec-number&gt;&lt;foreign-keys&gt;&lt;key app="EN" db-id="95tpr2tp6r9xwoea9rb5wdsz5ds5xeddteew" timestamp="1680069511"&gt;96&lt;/key&gt;&lt;/foreign-keys&gt;&lt;ref-type name="Report"&gt;27&lt;/ref-type&gt;&lt;contributors&gt;&lt;authors&gt;&lt;author&gt;Skudal, Kjersti Eeg&lt;/author&gt;&lt;author&gt;Holmboe, Olaf&lt;/author&gt;&lt;author&gt;Bjertnæs, Øyvind Andresen&lt;/author&gt;&lt;author&gt;Telle, Kjetil Elias&lt;/author&gt;&lt;/authors&gt;&lt;/contributors&gt;&lt;titles&gt;&lt;title&gt;Commonwealth Fund-undersøkelsen blant allmennleger i elleve land i 2019: tabellrapport&lt;/title&gt;&lt;/titles&gt;&lt;dates&gt;&lt;year&gt;2019&lt;/year&gt;&lt;/dates&gt;&lt;pub-location&gt;Oslo&lt;/pub-location&gt;&lt;publisher&gt;Folkehelseinstituttet&lt;/publisher&gt;&lt;urls&gt;&lt;/urls&gt;&lt;/record&gt;&lt;/Cite&gt;&lt;/EndNote&gt;</w:instrText>
      </w:r>
      <w:r>
        <w:fldChar w:fldCharType="separate"/>
      </w:r>
      <w:r w:rsidR="00856689">
        <w:rPr>
          <w:noProof/>
        </w:rPr>
        <w:t>(Skudal et al., 2019)</w:t>
      </w:r>
      <w:r>
        <w:fldChar w:fldCharType="end"/>
      </w:r>
      <w:r w:rsidR="001015F5">
        <w:t>.</w:t>
      </w:r>
    </w:p>
    <w:p w14:paraId="26C76083" w14:textId="2CED2892" w:rsidR="00D9107F" w:rsidRDefault="00F35BC5" w:rsidP="00440234">
      <w:pPr>
        <w:jc w:val="both"/>
      </w:pPr>
      <w:r>
        <w:t xml:space="preserve">I </w:t>
      </w:r>
      <w:r w:rsidRPr="0043237E">
        <w:t>Commonwealth Funds undersøkelse</w:t>
      </w:r>
      <w:r>
        <w:t xml:space="preserve"> </w:t>
      </w:r>
      <w:r w:rsidRPr="0043237E">
        <w:t xml:space="preserve">blant leger </w:t>
      </w:r>
      <w:r>
        <w:t>i primærhelsetjenesten i 10 høyinntekstland i 2022 rapporterte majoriteten av legene økt arbeidsmengde siden oppstart av pandemien</w:t>
      </w:r>
      <w:r w:rsidRPr="0043237E">
        <w:t xml:space="preserve"> </w:t>
      </w:r>
      <w:r>
        <w:fldChar w:fldCharType="begin"/>
      </w:r>
      <w:r w:rsidR="00A27571">
        <w:instrText xml:space="preserve"> ADDIN EN.CITE &lt;EndNote&gt;&lt;Cite&gt;&lt;Author&gt;Munira Z. Gunja&lt;/Author&gt;&lt;Year&gt;2022&lt;/Year&gt;&lt;RecNum&gt;769&lt;/RecNum&gt;&lt;DisplayText&gt;(Munira Z. Gunja et al., 2022)&lt;/DisplayText&gt;&lt;record&gt;&lt;rec-number&gt;769&lt;/rec-number&gt;&lt;foreign-keys&gt;&lt;key app="EN" db-id="95tpr2tp6r9xwoea9rb5wdsz5ds5xeddteew" timestamp="1680069511"&gt;769&lt;/key&gt;&lt;/foreign-keys&gt;&lt;ref-type name="Web Page"&gt;12&lt;/ref-type&gt;&lt;contributors&gt;&lt;authors&gt;&lt;author&gt;Munira Z. Gunja, &lt;/author&gt;&lt;author&gt;Evan D. Gumas, &lt;/author&gt;&lt;author&gt;Reginald D. Williams II, &lt;/author&gt;&lt;author&gt;Michelle M. Doty, &lt;/author&gt;&lt;author&gt;Arnav Shah, &lt;/author&gt;&lt;author&gt;Katharine Fields&lt;/author&gt;&lt;/authors&gt;&lt;/contributors&gt;&lt;titles&gt;&lt;title&gt;Stressed out and burned out: The global primary care crisis: Findings from the 2022 International Health Policy Survey of Primary Care Physicians&lt;/title&gt;&lt;/titles&gt;&lt;number&gt;09.03.2023&lt;/number&gt;&lt;dates&gt;&lt;year&gt;2022&lt;/year&gt;&lt;/dates&gt;&lt;pub-location&gt;New York&lt;/pub-location&gt;&lt;publisher&gt;The Commonwealth Fund&lt;/publisher&gt;&lt;urls&gt;&lt;/urls&gt;&lt;/record&gt;&lt;/Cite&gt;&lt;/EndNote&gt;</w:instrText>
      </w:r>
      <w:r>
        <w:fldChar w:fldCharType="separate"/>
      </w:r>
      <w:r>
        <w:rPr>
          <w:noProof/>
        </w:rPr>
        <w:t>(Munira Z. Gunja et al., 2022)</w:t>
      </w:r>
      <w:r>
        <w:fldChar w:fldCharType="end"/>
      </w:r>
      <w:r w:rsidR="001015F5">
        <w:t>.</w:t>
      </w:r>
      <w:r>
        <w:t xml:space="preserve"> </w:t>
      </w:r>
      <w:r w:rsidRPr="00D24E4F">
        <w:t>Leger under 55 år hadde større risiko for å oppleve s</w:t>
      </w:r>
      <w:r>
        <w:t xml:space="preserve">tress og følelsesmessig ubehag eller utbrenthet. </w:t>
      </w:r>
      <w:r w:rsidRPr="00A711BC">
        <w:t>Disse legene oppgav i større grad å gi helsehjelp a</w:t>
      </w:r>
      <w:r>
        <w:t xml:space="preserve">v dårligere kvalitet enn før pandemien. I samtlige land rapporterte minimum hver tredje lege under 55 år at deres jobb var </w:t>
      </w:r>
      <w:r w:rsidR="00D9107F">
        <w:t>«</w:t>
      </w:r>
      <w:r>
        <w:t>veldig stressende</w:t>
      </w:r>
      <w:r w:rsidR="00D9107F">
        <w:t>»</w:t>
      </w:r>
      <w:r>
        <w:t xml:space="preserve"> eller </w:t>
      </w:r>
      <w:r w:rsidR="00D9107F">
        <w:t>«</w:t>
      </w:r>
      <w:r>
        <w:t>ekstremt stressende</w:t>
      </w:r>
      <w:r w:rsidR="00D9107F">
        <w:t>»</w:t>
      </w:r>
      <w:r>
        <w:t>.</w:t>
      </w:r>
    </w:p>
    <w:p w14:paraId="5FC259F3" w14:textId="54499AE0" w:rsidR="00F35BC5" w:rsidRDefault="00F35BC5" w:rsidP="00775632">
      <w:pPr>
        <w:pStyle w:val="Overskrift3"/>
      </w:pPr>
      <w:bookmarkStart w:id="487" w:name="_Toc126817044"/>
      <w:bookmarkStart w:id="488" w:name="_Toc127633179"/>
      <w:bookmarkStart w:id="489" w:name="_Toc127864173"/>
      <w:bookmarkStart w:id="490" w:name="_Toc131238311"/>
      <w:bookmarkStart w:id="491" w:name="_Toc131279341"/>
      <w:bookmarkStart w:id="492" w:name="_Toc131286753"/>
      <w:bookmarkStart w:id="493" w:name="_Toc131281163"/>
      <w:bookmarkStart w:id="494" w:name="_Toc131317702"/>
      <w:bookmarkStart w:id="495" w:name="_Toc132536912"/>
      <w:bookmarkStart w:id="496" w:name="_Hlk127455968"/>
      <w:r w:rsidRPr="00554C8A">
        <w:t>Hvor blir legene av når de slutter som fastlege?</w:t>
      </w:r>
      <w:bookmarkEnd w:id="487"/>
      <w:bookmarkEnd w:id="488"/>
      <w:bookmarkEnd w:id="489"/>
      <w:bookmarkEnd w:id="490"/>
      <w:bookmarkEnd w:id="491"/>
      <w:bookmarkEnd w:id="492"/>
      <w:bookmarkEnd w:id="493"/>
      <w:bookmarkEnd w:id="494"/>
      <w:bookmarkEnd w:id="495"/>
    </w:p>
    <w:p w14:paraId="0B518B40" w14:textId="77777777" w:rsidR="00D9107F" w:rsidRDefault="00F35BC5" w:rsidP="00440234">
      <w:pPr>
        <w:jc w:val="both"/>
      </w:pPr>
      <w:r>
        <w:t>SSB har undersøkt hva leger som slutter som fastlege gjør</w:t>
      </w:r>
      <w:r w:rsidR="00381F17">
        <w:t>,</w:t>
      </w:r>
      <w:r>
        <w:t xml:space="preserve"> etter at de avslutter sin fastlegestilling </w:t>
      </w:r>
      <w:r>
        <w:fldChar w:fldCharType="begin"/>
      </w:r>
      <w:r w:rsidR="00856689">
        <w:instrText xml:space="preserve"> ADDIN EN.CITE &lt;EndNote&gt;&lt;Cite&gt;&lt;Author&gt;Claus&lt;/Author&gt;&lt;Year&gt;2023&lt;/Year&gt;&lt;RecNum&gt;930&lt;/RecNum&gt;&lt;DisplayText&gt;(Claus et al., 2023a)&lt;/DisplayText&gt;&lt;record&gt;&lt;rec-number&gt;930&lt;/rec-number&gt;&lt;foreign-keys&gt;&lt;key app="EN" db-id="95tpr2tp6r9xwoea9rb5wdsz5ds5xeddteew" timestamp="1680157227"&gt;930&lt;/key&gt;&lt;/foreign-keys&gt;&lt;ref-type name="Unpublished Work"&gt;34&lt;/ref-type&gt;&lt;contributors&gt;&lt;authors&gt;&lt;author&gt;Claus, G.&lt;/author&gt;&lt;author&gt;Hjemås, Geir&lt;/author&gt;&lt;/authors&gt;&lt;/contributors&gt;&lt;titles&gt;&lt;title&gt;Hvor blir det av fastlegene som slutter? &lt;/title&gt;&lt;secondary-title&gt;Notat til ekspertutvalg for gjennomgang av allmennlegetjenesten&lt;/secondary-title&gt;&lt;/titles&gt;&lt;dates&gt;&lt;year&gt;2023&lt;/year&gt;&lt;/dates&gt;&lt;publisher&gt;SSB&lt;/publisher&gt;&lt;urls&gt;&lt;/urls&gt;&lt;/record&gt;&lt;/Cite&gt;&lt;/EndNote&gt;</w:instrText>
      </w:r>
      <w:r>
        <w:fldChar w:fldCharType="separate"/>
      </w:r>
      <w:r w:rsidR="00856689">
        <w:rPr>
          <w:noProof/>
        </w:rPr>
        <w:t>(Claus et al., 2023a)</w:t>
      </w:r>
      <w:r>
        <w:fldChar w:fldCharType="end"/>
      </w:r>
      <w:r>
        <w:t>. Datamaterialet er hentet fra fastlegeregisteret og sysselsettingsregisteret</w:t>
      </w:r>
      <w:r w:rsidR="004B3308">
        <w:t>,</w:t>
      </w:r>
      <w:r>
        <w:t xml:space="preserve"> og omfatter totalt 1364 leger som sluttet som fastlege i løpet av femårsperioden 2017</w:t>
      </w:r>
      <w:r w:rsidRPr="513C6B95">
        <w:t>–</w:t>
      </w:r>
      <w:r>
        <w:t>2021.</w:t>
      </w:r>
    </w:p>
    <w:p w14:paraId="0D9D8DD7" w14:textId="77777777" w:rsidR="00D9107F" w:rsidRDefault="00F35BC5" w:rsidP="00440234">
      <w:pPr>
        <w:jc w:val="both"/>
      </w:pPr>
      <w:r>
        <w:t xml:space="preserve">Nær halvparten (46 </w:t>
      </w:r>
      <w:r w:rsidRPr="513C6B95">
        <w:t>prosent</w:t>
      </w:r>
      <w:r>
        <w:t xml:space="preserve">) av legene er sysselsatt innen kommunal helse- og omsorgstjeneste to år etter at de sluttet som fastlege, mens i overkant av hver femte (22 </w:t>
      </w:r>
      <w:r w:rsidRPr="513C6B95">
        <w:t>prosent</w:t>
      </w:r>
      <w:r>
        <w:t xml:space="preserve">) er sysselsatt i spesialisthelsetjenesten. </w:t>
      </w:r>
      <w:r w:rsidR="00723F50">
        <w:t>To</w:t>
      </w:r>
      <w:r w:rsidRPr="513C6B95">
        <w:t xml:space="preserve"> prosent</w:t>
      </w:r>
      <w:r>
        <w:t xml:space="preserve"> av legene jobber innenfor andre helsetjenester. </w:t>
      </w:r>
      <w:r w:rsidRPr="513C6B95">
        <w:t>14 prosent</w:t>
      </w:r>
      <w:r>
        <w:t xml:space="preserve"> av legene jobber utenfor helsetjenesten to år etter at de avsluttet sin fastlegestilling, flesteparten av disse innen offentlig administrasjon. Det er en viss tendens til sentralisering blant legene som slutter som fastlege, og en større andel av legene bytter arbeidssted fra lite sentrale kommuner til mer sentrale kommuner, enn motsatt.</w:t>
      </w:r>
      <w:bookmarkEnd w:id="496"/>
    </w:p>
    <w:p w14:paraId="329E6D48" w14:textId="5257CE98" w:rsidR="00F35BC5" w:rsidRDefault="00F35BC5" w:rsidP="00775632">
      <w:pPr>
        <w:pStyle w:val="Overskrift2"/>
      </w:pPr>
      <w:bookmarkStart w:id="497" w:name="_Toc126817047"/>
      <w:bookmarkStart w:id="498" w:name="_Toc127633182"/>
      <w:bookmarkStart w:id="499" w:name="_Toc127864175"/>
      <w:bookmarkStart w:id="500" w:name="_Toc131238312"/>
      <w:bookmarkStart w:id="501" w:name="_Toc131279342"/>
      <w:bookmarkStart w:id="502" w:name="_Toc131286754"/>
      <w:bookmarkStart w:id="503" w:name="_Toc131281164"/>
      <w:bookmarkStart w:id="504" w:name="_Toc131317703"/>
      <w:bookmarkStart w:id="505" w:name="_Toc132536913"/>
      <w:r>
        <w:t>Kommunenes perspektiv</w:t>
      </w:r>
      <w:bookmarkEnd w:id="497"/>
      <w:bookmarkEnd w:id="498"/>
      <w:bookmarkEnd w:id="499"/>
      <w:bookmarkEnd w:id="500"/>
      <w:bookmarkEnd w:id="501"/>
      <w:bookmarkEnd w:id="502"/>
      <w:bookmarkEnd w:id="503"/>
      <w:bookmarkEnd w:id="504"/>
      <w:bookmarkEnd w:id="505"/>
    </w:p>
    <w:p w14:paraId="5A2BD969" w14:textId="77777777" w:rsidR="00D9107F" w:rsidRDefault="00F35BC5" w:rsidP="002D4FAC">
      <w:pPr>
        <w:jc w:val="both"/>
        <w:rPr>
          <w:rFonts w:ascii="Calibri" w:eastAsia="Calibri" w:hAnsi="Calibri" w:cs="Calibri"/>
          <w:color w:val="000000" w:themeColor="text1"/>
        </w:rPr>
      </w:pPr>
      <w:r>
        <w:t xml:space="preserve">Kommunenes ansvar for å tilby helse- og omsorgstjenester til personer som oppholder seg i kommunen er regulert av lov om kommunale helse- og omsorgstjenester m.m </w:t>
      </w:r>
      <w:r>
        <w:fldChar w:fldCharType="begin"/>
      </w:r>
      <w:r>
        <w:instrText xml:space="preserve"> ADDIN EN.CITE &lt;EndNote&gt;&lt;Cite ExcludeAuth="1"&gt;&lt;Year&gt;2011&lt;/Year&gt;&lt;RecNum&gt;468&lt;/RecNum&gt;&lt;DisplayText&gt;(&lt;style face="italic"&gt;Lov om kommunale helse- og omsorgstjenester m.m. (helse- og omsorgstjenesteloven)&lt;/style&gt;, 2011)&lt;/DisplayText&gt;&lt;record&gt;&lt;rec-number&gt;468&lt;/rec-number&gt;&lt;foreign-keys&gt;&lt;key app="EN" db-id="95tpr2tp6r9xwoea9rb5wdsz5ds5xeddteew" timestamp="1680069511"&gt;468&lt;/key&gt;&lt;/foreign-keys&gt;&lt;ref-type name="Legal Rule or Regulation"&gt;50&lt;/ref-type&gt;&lt;contributors&gt;&lt;/contributors&gt;&lt;titles&gt;&lt;title&gt;Lov om kommunale helse- og omsorgstjenester m.m. (helse- og omsorgstjenesteloven)&lt;/title&gt;&lt;secondary-title&gt;LOV-2011-06-24-30&lt;/secondary-title&gt;&lt;/titles&gt;&lt;edition&gt;LOV-2022-11-25-86&lt;/edition&gt;&lt;dates&gt;&lt;year&gt;2011&lt;/year&gt;&lt;/dates&gt;&lt;urls&gt;&lt;related-urls&gt;&lt;url&gt;https://lovdata.no/dokument/NL/lov/2011-06-24-30/KAPITTEL_4#%C2%A74-1&lt;/url&gt;&lt;/related-urls&gt;&lt;/urls&gt;&lt;/record&gt;&lt;/Cite&gt;&lt;/EndNote&gt;</w:instrText>
      </w:r>
      <w:r>
        <w:fldChar w:fldCharType="separate"/>
      </w:r>
      <w:r>
        <w:rPr>
          <w:noProof/>
        </w:rPr>
        <w:t>(</w:t>
      </w:r>
      <w:r w:rsidRPr="00D9107F">
        <w:rPr>
          <w:rStyle w:val="kursiv"/>
        </w:rPr>
        <w:t>Lov om kommunale helse- og omsorgstjenester m.m. (helse- og omsorgstjenesteloven)</w:t>
      </w:r>
      <w:r>
        <w:rPr>
          <w:noProof/>
        </w:rPr>
        <w:t>, 2011)</w:t>
      </w:r>
      <w:r>
        <w:fldChar w:fldCharType="end"/>
      </w:r>
      <w:r>
        <w:t xml:space="preserve">. </w:t>
      </w:r>
      <w:r w:rsidRPr="513C6B95">
        <w:rPr>
          <w:rFonts w:ascii="Calibri" w:eastAsia="Calibri" w:hAnsi="Calibri" w:cs="Calibri"/>
          <w:color w:val="000000" w:themeColor="text1"/>
        </w:rPr>
        <w:t>Kommunens ansvar</w:t>
      </w:r>
      <w:r w:rsidR="004B3308">
        <w:rPr>
          <w:rFonts w:ascii="Calibri" w:eastAsia="Calibri" w:hAnsi="Calibri" w:cs="Calibri"/>
          <w:color w:val="000000" w:themeColor="text1"/>
        </w:rPr>
        <w:t xml:space="preserve"> </w:t>
      </w:r>
      <w:r w:rsidRPr="513C6B95">
        <w:rPr>
          <w:rFonts w:ascii="Calibri" w:eastAsia="Calibri" w:hAnsi="Calibri" w:cs="Calibri"/>
          <w:color w:val="000000" w:themeColor="text1"/>
        </w:rPr>
        <w:t>omfatter alle pasient- og brukergrupper, herunder personer med somatisk eller psykisk sykdom, skade eller lidelse, rusmiddelproblem, sosiale problemer eller nedsatt funksjonsevne.</w:t>
      </w:r>
    </w:p>
    <w:p w14:paraId="492C2AFD" w14:textId="77777777" w:rsidR="00D9107F" w:rsidRDefault="00F35BC5" w:rsidP="002D4FAC">
      <w:pPr>
        <w:jc w:val="both"/>
        <w:rPr>
          <w:rFonts w:ascii="Calibri" w:eastAsia="Calibri" w:hAnsi="Calibri" w:cs="Calibri"/>
          <w:color w:val="000000" w:themeColor="text1"/>
        </w:rPr>
      </w:pPr>
      <w:r>
        <w:t>Ansvaret og tjenestene omfatter</w:t>
      </w:r>
      <w:r w:rsidR="00D9107F">
        <w:t xml:space="preserve"> </w:t>
      </w:r>
      <w:r>
        <w:t xml:space="preserve">blant annet legevakt, heldøgns medisinsk akuttberedskap og psykososial beredskap og oppfølging, kommunale akutte døgnenheter (KAD), habilitering og rehabilitering, institusjonstilbud som sykehjem og tilsvarende bolig særskilt tilrettelagt for heldøgns tjenester, andre tilrettelagte botilbud, helsetjenester i hjemmet, personlig assistanse – herunder praktisk bistand og opplæring og støttekontakt, brukerstyrt personlig assistanse (BPA), omsorgsstønad, pårørendestøtte og avlastningstiltak, dagaktivitetstilbud til hjemmeboende </w:t>
      </w:r>
      <w:r>
        <w:lastRenderedPageBreak/>
        <w:t xml:space="preserve">personer med demens, helsestasjon og skolehelsetjenester, svangerskaps- og barselomsorgstjenester, samt utredning, diagnostisering og behandling, herunder fastlegeordning. </w:t>
      </w:r>
      <w:r w:rsidRPr="513C6B95">
        <w:rPr>
          <w:rFonts w:ascii="Calibri" w:eastAsia="Calibri" w:hAnsi="Calibri" w:cs="Calibri"/>
          <w:color w:val="000000" w:themeColor="text1"/>
        </w:rPr>
        <w:t>Tjenestene kan ytes av kommunen selv, eller ved at kommunen inngår avtale med andre offentlige eller private tjenesteytere.</w:t>
      </w:r>
    </w:p>
    <w:p w14:paraId="0F66F7AD" w14:textId="55C0DFB2" w:rsidR="00F35BC5" w:rsidRDefault="00F35BC5" w:rsidP="002D4FAC">
      <w:pPr>
        <w:jc w:val="both"/>
      </w:pPr>
      <w:r w:rsidRPr="00995320">
        <w:t xml:space="preserve">Kommuner og helseforetak har </w:t>
      </w:r>
      <w:r>
        <w:t>videre</w:t>
      </w:r>
      <w:r w:rsidRPr="00995320">
        <w:t xml:space="preserve"> et felles ansvar for at innbyggerne får dekket si</w:t>
      </w:r>
      <w:r>
        <w:t>ne</w:t>
      </w:r>
      <w:r w:rsidRPr="00995320">
        <w:t xml:space="preserve"> behov for </w:t>
      </w:r>
      <w:r w:rsidRPr="00E74657">
        <w:t xml:space="preserve">helhetlige helse- og omsorgstjenester. En økende andel av befolkningen har behov for </w:t>
      </w:r>
      <w:r>
        <w:t>sammenhengende</w:t>
      </w:r>
      <w:r w:rsidRPr="00E74657">
        <w:t xml:space="preserve"> tjenester fra kommune og spesialisthelsetjeneste. Det stiller høye krav til at disse tjenestene er tilpasset hverandre, både </w:t>
      </w:r>
      <w:r>
        <w:t>når det gjelder</w:t>
      </w:r>
      <w:r w:rsidRPr="00E74657">
        <w:t xml:space="preserve"> kapasitet, koordinering, kommunikasjon og planlegging. </w:t>
      </w:r>
      <w:r w:rsidRPr="00894C9F">
        <w:t>Kommunene</w:t>
      </w:r>
      <w:r>
        <w:t xml:space="preserve"> og de regionale helseforetakene</w:t>
      </w:r>
      <w:r w:rsidRPr="00894C9F">
        <w:t xml:space="preserve"> har</w:t>
      </w:r>
      <w:r w:rsidR="004B3308">
        <w:t>,</w:t>
      </w:r>
      <w:r w:rsidRPr="00894C9F">
        <w:t xml:space="preserve"> </w:t>
      </w:r>
      <w:r>
        <w:t xml:space="preserve">etter henholdsvis helse- og omsorgstjenesteloven </w:t>
      </w:r>
      <w:r w:rsidR="00D9107F">
        <w:t>§ 6</w:t>
      </w:r>
      <w:r>
        <w:t xml:space="preserve">-1 og spesialisthelsetjenesteloven </w:t>
      </w:r>
      <w:r w:rsidR="00D9107F">
        <w:t>§ 2</w:t>
      </w:r>
      <w:r>
        <w:t xml:space="preserve">-1 e, </w:t>
      </w:r>
      <w:r w:rsidRPr="00894C9F">
        <w:t>en plikt til å inngå samarbeidsavtaler</w:t>
      </w:r>
      <w:r>
        <w:t xml:space="preserve"> </w:t>
      </w:r>
      <w:r>
        <w:fldChar w:fldCharType="begin"/>
      </w:r>
      <w:r>
        <w:instrText xml:space="preserve"> ADDIN EN.CITE &lt;EndNote&gt;&lt;Cite ExcludeAuth="1"&gt;&lt;Year&gt;2001&lt;/Year&gt;&lt;RecNum&gt;473&lt;/RecNum&gt;&lt;DisplayText&gt;(&lt;style face="italic"&gt;Lov om spesialisthelsetjenesten m.m. (spesialisthelsetjenesteloven)&lt;/style&gt;, 2001)&lt;/DisplayText&gt;&lt;record&gt;&lt;rec-number&gt;473&lt;/rec-number&gt;&lt;foreign-keys&gt;&lt;key app="EN" db-id="95tpr2tp6r9xwoea9rb5wdsz5ds5xeddteew" timestamp="1680069511"&gt;473&lt;/key&gt;&lt;/foreign-keys&gt;&lt;ref-type name="Legal Rule or Regulation"&gt;50&lt;/ref-type&gt;&lt;contributors&gt;&lt;/contributors&gt;&lt;titles&gt;&lt;title&gt;Lov om spesialisthelsetjenesten m.m. (spesialisthelsetjenesteloven)&lt;/title&gt;&lt;secondary-title&gt;LOV-1999-07-02-61&lt;/secondary-title&gt;&lt;/titles&gt;&lt;edition&gt;LOV-2022-11-25-86&lt;/edition&gt;&lt;dates&gt;&lt;year&gt;2001&lt;/year&gt;&lt;/dates&gt;&lt;urls&gt;&lt;related-urls&gt;&lt;url&gt;https://lovdata.no/dokument/NL/lov/1999-07-02-61&lt;/url&gt;&lt;/related-urls&gt;&lt;/urls&gt;&lt;/record&gt;&lt;/Cite&gt;&lt;/EndNote&gt;</w:instrText>
      </w:r>
      <w:r>
        <w:fldChar w:fldCharType="separate"/>
      </w:r>
      <w:r>
        <w:rPr>
          <w:noProof/>
        </w:rPr>
        <w:t>(</w:t>
      </w:r>
      <w:r w:rsidRPr="00D9107F">
        <w:rPr>
          <w:rStyle w:val="kursiv"/>
        </w:rPr>
        <w:t>Lov om spesialisthelsetjenesten m.m. (spesialisthelsetjenesteloven)</w:t>
      </w:r>
      <w:r>
        <w:rPr>
          <w:noProof/>
        </w:rPr>
        <w:t>, 2001)</w:t>
      </w:r>
      <w:r>
        <w:fldChar w:fldCharType="end"/>
      </w:r>
      <w:r w:rsidRPr="00894C9F">
        <w:t>.</w:t>
      </w:r>
    </w:p>
    <w:p w14:paraId="6BAB57DE" w14:textId="77777777" w:rsidR="00D9107F" w:rsidRDefault="00F35BC5" w:rsidP="002D4FAC">
      <w:pPr>
        <w:jc w:val="both"/>
      </w:pPr>
      <w:r w:rsidRPr="00894C9F">
        <w:t>Helsefellesskapene er</w:t>
      </w:r>
      <w:r>
        <w:t xml:space="preserve"> en ny samarbeidsarena for kommunen og helseforetakene</w:t>
      </w:r>
      <w:r w:rsidR="004B3308">
        <w:t>,</w:t>
      </w:r>
      <w:r>
        <w:t xml:space="preserve"> som er</w:t>
      </w:r>
      <w:r w:rsidRPr="00894C9F">
        <w:t xml:space="preserve"> opprettet gjennom en avtale mellom Helse- og omsorgsdepartementet og KS</w:t>
      </w:r>
      <w:r w:rsidR="004B3308">
        <w:t>,</w:t>
      </w:r>
      <w:r w:rsidRPr="00894C9F">
        <w:t xml:space="preserve"> og er beskrevet i Nasjonal helse- og sykehusplan (2020</w:t>
      </w:r>
      <w:r w:rsidR="004B3308">
        <w:t>–</w:t>
      </w:r>
      <w:r w:rsidRPr="00894C9F">
        <w:t xml:space="preserve">2023). </w:t>
      </w:r>
      <w:r>
        <w:t>F</w:t>
      </w:r>
      <w:r w:rsidRPr="000D07C8">
        <w:t xml:space="preserve">astlegen </w:t>
      </w:r>
      <w:r>
        <w:t>er tildelt en viktig rolle i samarbeidsstrukturen</w:t>
      </w:r>
      <w:r w:rsidR="004B3308">
        <w:t>,</w:t>
      </w:r>
      <w:r>
        <w:t xml:space="preserve"> og </w:t>
      </w:r>
      <w:r w:rsidRPr="000D07C8">
        <w:t>skal involveres på alle nivå i helsefellesskapene</w:t>
      </w:r>
      <w:r w:rsidR="004B3308">
        <w:t xml:space="preserve">, </w:t>
      </w:r>
      <w:r w:rsidRPr="000D07C8">
        <w:t>både i det strategiske arbeidet og i utvikling av konkrete prosedyrer.</w:t>
      </w:r>
      <w:r>
        <w:t xml:space="preserve"> </w:t>
      </w:r>
      <w:r w:rsidRPr="00D8666F">
        <w:t>Det er også etablert en praksiskonsulentordning</w:t>
      </w:r>
      <w:r w:rsidR="004B3308">
        <w:t>,</w:t>
      </w:r>
      <w:r>
        <w:t xml:space="preserve"> hvor</w:t>
      </w:r>
      <w:r w:rsidRPr="00D8666F">
        <w:t xml:space="preserve"> </w:t>
      </w:r>
      <w:r>
        <w:t xml:space="preserve">noen </w:t>
      </w:r>
      <w:r w:rsidRPr="00D8666F">
        <w:t>allmennleger arbeide</w:t>
      </w:r>
      <w:r>
        <w:t>r</w:t>
      </w:r>
      <w:r w:rsidRPr="00D8666F">
        <w:t xml:space="preserve"> deltid i spesialisthelsetjenesten</w:t>
      </w:r>
      <w:r>
        <w:t>,</w:t>
      </w:r>
      <w:r w:rsidRPr="00D8666F">
        <w:t xml:space="preserve"> </w:t>
      </w:r>
      <w:r>
        <w:t xml:space="preserve">med </w:t>
      </w:r>
      <w:r w:rsidRPr="00D8666F">
        <w:t xml:space="preserve">overordnet mål </w:t>
      </w:r>
      <w:r>
        <w:t xml:space="preserve">om </w:t>
      </w:r>
      <w:r w:rsidRPr="00D8666F">
        <w:t xml:space="preserve">å </w:t>
      </w:r>
      <w:r w:rsidR="00D66CA5">
        <w:t>fr</w:t>
      </w:r>
      <w:r w:rsidR="00602364">
        <w:t>e</w:t>
      </w:r>
      <w:r w:rsidR="00D66CA5">
        <w:t>m</w:t>
      </w:r>
      <w:r>
        <w:t>me</w:t>
      </w:r>
      <w:r w:rsidRPr="00D8666F">
        <w:t xml:space="preserve"> samhandlingen mellom fastleger og spesialisthelsetjenesten.</w:t>
      </w:r>
    </w:p>
    <w:p w14:paraId="17B5A09B" w14:textId="3E7A0F57" w:rsidR="00F35BC5" w:rsidRDefault="00F35BC5" w:rsidP="002D4FAC">
      <w:pPr>
        <w:jc w:val="both"/>
      </w:pPr>
      <w:r>
        <w:t xml:space="preserve">Sykehusutvalget påpeker at det </w:t>
      </w:r>
      <w:r w:rsidRPr="00E74657">
        <w:t xml:space="preserve">finnes flere eksempler på at kommuner og helseforetak samarbeider godt, planlegger i fellesskap og utvikler gode pasientforløp. </w:t>
      </w:r>
      <w:r>
        <w:t xml:space="preserve">Men at </w:t>
      </w:r>
      <w:r w:rsidRPr="00E74657">
        <w:t xml:space="preserve">det også </w:t>
      </w:r>
      <w:r>
        <w:t xml:space="preserve">er </w:t>
      </w:r>
      <w:r w:rsidRPr="00E74657">
        <w:t>eksempler på at de ulike delene av helse- og omsorgstjenesten ikke henger godt nok sammen</w:t>
      </w:r>
      <w:r w:rsidR="00CE5A10">
        <w:t xml:space="preserve"> </w:t>
      </w:r>
      <w:r>
        <w:fldChar w:fldCharType="begin"/>
      </w:r>
      <w:r w:rsidR="00022138">
        <w:instrText xml:space="preserve"> ADDIN EN.CITE &lt;EndNote&gt;&lt;Cite&gt;&lt;Author&gt;Helse- og omsorgsdepartementet&lt;/Author&gt;&lt;Year&gt;2023&lt;/Year&gt;&lt;RecNum&gt;932&lt;/RecNum&gt;&lt;DisplayText&gt;(Helse- og omsorgsdepartementet, 2023b)&lt;/DisplayText&gt;&lt;record&gt;&lt;rec-number&gt;932&lt;/rec-number&gt;&lt;foreign-keys&gt;&lt;key app="EN" db-id="95tpr2tp6r9xwoea9rb5wdsz5ds5xeddteew" timestamp="1680157483"&gt;932&lt;/key&gt;&lt;/foreign-keys&gt;&lt;ref-type name="Report"&gt;27&lt;/ref-type&gt;&lt;contributors&gt;&lt;authors&gt;&lt;author&gt;Helse- og omsorgsdepartementet,&lt;/author&gt;&lt;/authors&gt;&lt;/contributors&gt;&lt;titles&gt;&lt;title&gt;NOU 2023:8. Fellesskapets sykehus. Styring, finansiering, samhandling og ledelse&lt;/title&gt;&lt;/titles&gt;&lt;dates&gt;&lt;year&gt;2023&lt;/year&gt;&lt;/dates&gt;&lt;publisher&gt;Helse- og omsorgsdepartementet,&lt;/publisher&gt;&lt;urls&gt;&lt;/urls&gt;&lt;/record&gt;&lt;/Cite&gt;&lt;/EndNote&gt;</w:instrText>
      </w:r>
      <w:r>
        <w:fldChar w:fldCharType="separate"/>
      </w:r>
      <w:r w:rsidR="00022138">
        <w:rPr>
          <w:noProof/>
        </w:rPr>
        <w:t>(Helse- og omsorgsdepartementet, 2023b)</w:t>
      </w:r>
      <w:r>
        <w:fldChar w:fldCharType="end"/>
      </w:r>
      <w:r w:rsidRPr="00E74657">
        <w:t>.</w:t>
      </w:r>
      <w:r>
        <w:t xml:space="preserve"> Helsepersonellkommisjonen framholder at de kommunale helse- og omsorgstjenestene må styrkes for å klare å håndtere det økende antallet </w:t>
      </w:r>
      <w:r w:rsidRPr="009760A7">
        <w:t xml:space="preserve">eldre </w:t>
      </w:r>
      <w:r w:rsidR="00D51CF6">
        <w:fldChar w:fldCharType="begin"/>
      </w:r>
      <w:r w:rsidR="00D51CF6">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D51CF6">
        <w:fldChar w:fldCharType="separate"/>
      </w:r>
      <w:r w:rsidR="00D51CF6">
        <w:rPr>
          <w:noProof/>
        </w:rPr>
        <w:t>(Helse- og omsorgsdepartementet, 2023c)</w:t>
      </w:r>
      <w:r w:rsidR="00D51CF6">
        <w:fldChar w:fldCharType="end"/>
      </w:r>
      <w:r w:rsidRPr="0035746E">
        <w:t>.</w:t>
      </w:r>
    </w:p>
    <w:p w14:paraId="2DDF1162" w14:textId="3683F62D" w:rsidR="00F35BC5" w:rsidRPr="005E0B90" w:rsidRDefault="00F35BC5" w:rsidP="005E0B90">
      <w:pPr>
        <w:rPr>
          <w:rFonts w:eastAsia="Calibri"/>
        </w:rPr>
      </w:pPr>
      <w:r w:rsidRPr="005E0B90">
        <w:rPr>
          <w:rFonts w:eastAsia="Calibri"/>
        </w:rPr>
        <w:t>Med endringene i spesialistforskriften i 2019 har kommunene i tillegg fått ansvaret for å tilrettelegge og organisere legers spesialistutdanning i allmennmedisin. Kommunens nye rolle og ansvar spesifiseres i §</w:t>
      </w:r>
      <w:r w:rsidR="00D9107F" w:rsidRPr="005E0B90">
        <w:rPr>
          <w:rFonts w:eastAsia="Calibri"/>
        </w:rPr>
        <w:t>§ 5</w:t>
      </w:r>
      <w:r w:rsidRPr="005E0B90">
        <w:rPr>
          <w:rFonts w:eastAsia="Calibri"/>
        </w:rPr>
        <w:t xml:space="preserve"> og 17. Kommunens oppgaver handler om å tilrettelegge for at spesialistutdanningen gjennomføres i åpen uselektert allmennpraksis, bidra til helhetlige utdanningsløp og legge til rette for læringsaktiviteter, veiledning og supervisjon, samt godkjenne læringsmål. Siden spesialistutdanning av allmennleger ikke har vært kommunens ansvar tidligere, har kommunene de senere årene måttet bygge ny fagkompetanse og prioriter</w:t>
      </w:r>
      <w:r w:rsidR="004B3308" w:rsidRPr="005E0B90">
        <w:rPr>
          <w:rFonts w:eastAsia="Calibri"/>
        </w:rPr>
        <w:t>e</w:t>
      </w:r>
      <w:r w:rsidRPr="005E0B90">
        <w:rPr>
          <w:rFonts w:eastAsia="Calibri"/>
        </w:rPr>
        <w:t xml:space="preserve"> administrativ kapasitet for å ivareta sin nye rolle som utdanningsvirksomhet.</w:t>
      </w:r>
    </w:p>
    <w:p w14:paraId="61AAA37B" w14:textId="77777777" w:rsidR="00F35BC5" w:rsidRDefault="00F35BC5" w:rsidP="00775632">
      <w:pPr>
        <w:pStyle w:val="Overskrift3"/>
      </w:pPr>
      <w:bookmarkStart w:id="506" w:name="_Toc131238313"/>
      <w:bookmarkStart w:id="507" w:name="_Toc131279343"/>
      <w:bookmarkStart w:id="508" w:name="_Toc131286755"/>
      <w:bookmarkStart w:id="509" w:name="_Toc131281165"/>
      <w:bookmarkStart w:id="510" w:name="_Toc131317704"/>
      <w:bookmarkStart w:id="511" w:name="_Toc132536914"/>
      <w:r>
        <w:t>Geografiske ekstrautfordringer</w:t>
      </w:r>
      <w:bookmarkEnd w:id="506"/>
      <w:bookmarkEnd w:id="507"/>
      <w:bookmarkEnd w:id="508"/>
      <w:bookmarkEnd w:id="509"/>
      <w:bookmarkEnd w:id="510"/>
      <w:bookmarkEnd w:id="511"/>
    </w:p>
    <w:p w14:paraId="46757261" w14:textId="77777777" w:rsidR="00D9107F" w:rsidRDefault="00F35BC5" w:rsidP="002D4FAC">
      <w:pPr>
        <w:jc w:val="both"/>
      </w:pPr>
      <w:r>
        <w:t>Geografiske forhold og avstander, og befolkningstetthet, klima, og vær- og føreforhold gjennom året</w:t>
      </w:r>
      <w:r w:rsidR="004B3308">
        <w:t>,</w:t>
      </w:r>
      <w:r>
        <w:t xml:space="preserve"> gir noen særlige utfordringer for kommunale helse- og omsorgstjenester i deler av landet. </w:t>
      </w:r>
      <w:r>
        <w:lastRenderedPageBreak/>
        <w:t>Avstander i kommunen påvirker reisetid for innbyggerne til tjenestene og utrykningstid for helsepersonell, samtidig som avstand påvirker muligheten for interkommunalt tjenestesamarbeid. Store avstander til sykehus øker samtidig behovet for en velfungerende allmennlegetjeneste.</w:t>
      </w:r>
    </w:p>
    <w:p w14:paraId="65479242" w14:textId="4BB0BAE9" w:rsidR="00F35BC5" w:rsidRDefault="00F35BC5" w:rsidP="002D4FAC">
      <w:pPr>
        <w:jc w:val="both"/>
      </w:pPr>
      <w:r>
        <w:t xml:space="preserve">Det er også variasjon i alderssammensetningen i befolkningen på tvers av landet, med høyere andel eldre i noen områder, hvor veksten i den delen av befolkningen vil øke </w:t>
      </w:r>
      <w:r w:rsidRPr="00E23A65">
        <w:t>utfordringe</w:t>
      </w:r>
      <w:r>
        <w:t>ne helsetjenesten står overfor. Man ser allerede en aldrende befolkning i distriktene, og denne trenden er forventet å forsterkes i tiden framover. Det er forventet at distriktskommunene</w:t>
      </w:r>
      <w:r w:rsidR="004B3308">
        <w:t>,</w:t>
      </w:r>
      <w:r>
        <w:t xml:space="preserve"> i tillegg til en betydelig aldrende befolkning, også vil se en redusert befolkningsvekst eller -nedgang</w:t>
      </w:r>
      <w:r w:rsidR="00D9107F" w:rsidRPr="00D9107F">
        <w:rPr>
          <w:rStyle w:val="skrift-hevet"/>
        </w:rPr>
        <w:t xml:space="preserve"> </w:t>
      </w:r>
      <w:r>
        <w:fldChar w:fldCharType="begin"/>
      </w:r>
      <w:r w:rsidR="00A27571">
        <w:instrText xml:space="preserve"> ADDIN EN.CITE &lt;EndNote&gt;&lt;Cite&gt;&lt;Author&gt;Leknes&lt;/Author&gt;&lt;Year&gt;2022&lt;/Year&gt;&lt;RecNum&gt;252&lt;/RecNum&gt;&lt;DisplayText&gt;(Leknes et al., 2022)&lt;/DisplayText&gt;&lt;record&gt;&lt;rec-number&gt;252&lt;/rec-number&gt;&lt;foreign-keys&gt;&lt;key app="EN" db-id="95tpr2tp6r9xwoea9rb5wdsz5ds5xeddteew" timestamp="1680069511"&gt;252&lt;/key&gt;&lt;/foreign-keys&gt;&lt;ref-type name="Web Page"&gt;12&lt;/ref-type&gt;&lt;contributors&gt;&lt;authors&gt;&lt;author&gt;Stefan Leknes&lt;/author&gt;&lt;author&gt;Sturla A. Løkken&lt;/author&gt;&lt;/authors&gt;&lt;/contributors&gt;&lt;titles&gt;&lt;title&gt;Folketallet vil krympe i 40 prosent av kommunene fram mot 2050&lt;/title&gt;&lt;/titles&gt;&lt;number&gt;10.02.23&lt;/number&gt;&lt;dates&gt;&lt;year&gt;2022&lt;/year&gt;&lt;pub-dates&gt;&lt;date&gt;5. juli 2022&lt;/date&gt;&lt;/pub-dates&gt;&lt;/dates&gt;&lt;pub-location&gt;Oslo&lt;/pub-location&gt;&lt;publisher&gt;Statisktisk sentralbyrå&lt;/publisher&gt;&lt;work-type&gt;nettdokument&lt;/work-type&gt;&lt;urls&gt;&lt;/urls&gt;&lt;/record&gt;&lt;/Cite&gt;&lt;/EndNote&gt;</w:instrText>
      </w:r>
      <w:r>
        <w:fldChar w:fldCharType="separate"/>
      </w:r>
      <w:r w:rsidR="00856689">
        <w:rPr>
          <w:noProof/>
        </w:rPr>
        <w:t>(Leknes et al., 2022)</w:t>
      </w:r>
      <w:r>
        <w:fldChar w:fldCharType="end"/>
      </w:r>
      <w:r w:rsidR="00617381">
        <w:t>.</w:t>
      </w:r>
    </w:p>
    <w:p w14:paraId="1A7425AC" w14:textId="77777777" w:rsidR="00D9107F" w:rsidRDefault="00F35BC5" w:rsidP="00775632">
      <w:pPr>
        <w:pStyle w:val="Overskrift3"/>
      </w:pPr>
      <w:bookmarkStart w:id="512" w:name="_Toc131238314"/>
      <w:bookmarkStart w:id="513" w:name="_Toc131279344"/>
      <w:bookmarkStart w:id="514" w:name="_Toc131286756"/>
      <w:bookmarkStart w:id="515" w:name="_Toc131281166"/>
      <w:bookmarkStart w:id="516" w:name="_Toc131317705"/>
      <w:bookmarkStart w:id="517" w:name="_Toc132536915"/>
      <w:r>
        <w:t xml:space="preserve">Utvikling i antall leger i </w:t>
      </w:r>
      <w:bookmarkEnd w:id="512"/>
      <w:bookmarkEnd w:id="513"/>
      <w:bookmarkEnd w:id="514"/>
      <w:bookmarkEnd w:id="515"/>
      <w:bookmarkEnd w:id="516"/>
      <w:r w:rsidR="004B3308">
        <w:t>kommunehelsetjenesten</w:t>
      </w:r>
      <w:bookmarkEnd w:id="517"/>
    </w:p>
    <w:p w14:paraId="4B1FB84A" w14:textId="212399E5" w:rsidR="00F35BC5" w:rsidRDefault="00636E66" w:rsidP="002D4FAC">
      <w:pPr>
        <w:jc w:val="both"/>
      </w:pPr>
      <w:r>
        <w:t>Utviklingen</w:t>
      </w:r>
      <w:r w:rsidR="00F35BC5">
        <w:t xml:space="preserve"> i antall leger i ulike kategorier, i kommun</w:t>
      </w:r>
      <w:r w:rsidR="00AF1AE9">
        <w:t>e</w:t>
      </w:r>
      <w:r w:rsidR="00F35BC5">
        <w:t>helsetjeneste</w:t>
      </w:r>
      <w:r w:rsidR="00AF1AE9">
        <w:t>n</w:t>
      </w:r>
      <w:r w:rsidR="00F35BC5">
        <w:t xml:space="preserve"> og i spesialisthelsetjenesten</w:t>
      </w:r>
      <w:r w:rsidR="00BD1D9E">
        <w:t xml:space="preserve"> er undersøkt</w:t>
      </w:r>
      <w:r w:rsidR="00F35BC5">
        <w:t xml:space="preserve"> for perioden 2002</w:t>
      </w:r>
      <w:r w:rsidR="00F35BC5" w:rsidRPr="513C6B95">
        <w:t>–</w:t>
      </w:r>
      <w:r w:rsidR="00F35BC5">
        <w:t>2021. Analysene er utført av SSB på oppdrag av ekspertutvalget</w:t>
      </w:r>
      <w:r w:rsidR="002C2ADB">
        <w:t xml:space="preserve"> </w:t>
      </w:r>
      <w:r w:rsidR="00C32115">
        <w:fldChar w:fldCharType="begin"/>
      </w:r>
      <w:r w:rsidR="00C32115">
        <w:instrText xml:space="preserve"> ADDIN EN.CITE &lt;EndNote&gt;&lt;Cite&gt;&lt;Author&gt;Claus&lt;/Author&gt;&lt;Year&gt;2023&lt;/Year&gt;&lt;RecNum&gt;931&lt;/RecNum&gt;&lt;DisplayText&gt;(Claus et al., 2023b)&lt;/DisplayText&gt;&lt;record&gt;&lt;rec-number&gt;931&lt;/rec-number&gt;&lt;foreign-keys&gt;&lt;key app="EN" db-id="95tpr2tp6r9xwoea9rb5wdsz5ds5xeddteew" timestamp="1680157366"&gt;931&lt;/key&gt;&lt;/foreign-keys&gt;&lt;ref-type name="Unpublished Work"&gt;34&lt;/ref-type&gt;&lt;contributors&gt;&lt;authors&gt;&lt;author&gt;Claus, G.&lt;/author&gt;&lt;author&gt;Hjemås, Geir&lt;/author&gt;&lt;/authors&gt;&lt;/contributors&gt;&lt;titles&gt;&lt;title&gt;Inntekt for personer utdannet som lege&lt;/title&gt;&lt;secondary-title&gt;Notat til ekspertutvalg for gjennomgang av allmennlegetjenesten&lt;/secondary-title&gt;&lt;/titles&gt;&lt;dates&gt;&lt;year&gt;2023&lt;/year&gt;&lt;/dates&gt;&lt;urls&gt;&lt;/urls&gt;&lt;/record&gt;&lt;/Cite&gt;&lt;/EndNote&gt;</w:instrText>
      </w:r>
      <w:r w:rsidR="00C32115">
        <w:fldChar w:fldCharType="separate"/>
      </w:r>
      <w:r w:rsidR="00C32115">
        <w:rPr>
          <w:noProof/>
        </w:rPr>
        <w:t>(Claus et al., 2023b)</w:t>
      </w:r>
      <w:r w:rsidR="00C32115">
        <w:fldChar w:fldCharType="end"/>
      </w:r>
      <w:r w:rsidR="00F35BC5">
        <w:t xml:space="preserve">. Per august 2022 var det registrert </w:t>
      </w:r>
      <w:r w:rsidR="00D9107F">
        <w:t>5 003</w:t>
      </w:r>
      <w:r w:rsidR="00F35BC5">
        <w:t xml:space="preserve"> fastleger i fastlegeordningen </w:t>
      </w:r>
      <w:r w:rsidR="00F35BC5">
        <w:fldChar w:fldCharType="begin"/>
      </w:r>
      <w:r w:rsidR="004654FD">
        <w:instrText xml:space="preserve"> ADDIN EN.CITE &lt;EndNote&gt;&lt;Cite&gt;&lt;Author&gt;Helsedirektoratet&lt;/Author&gt;&lt;Year&gt;2022&lt;/Year&gt;&lt;RecNum&gt;591&lt;/RecNum&gt;&lt;DisplayText&gt;(Helsedirektoratet, 2022h)&lt;/DisplayText&gt;&lt;record&gt;&lt;rec-number&gt;591&lt;/rec-number&gt;&lt;foreign-keys&gt;&lt;key app="EN" db-id="95tpr2tp6r9xwoea9rb5wdsz5ds5xeddteew" timestamp="1680069511"&gt;591&lt;/key&gt;&lt;/foreign-keys&gt;&lt;ref-type name="Report"&gt;27&lt;/ref-type&gt;&lt;contributors&gt;&lt;authors&gt;&lt;author&gt;Helsedirektoratet&lt;/author&gt;&lt;/authors&gt;&lt;/contributors&gt;&lt;titles&gt;&lt;title&gt;Oppfølging av Handlingsplan for allmennlegetjenesten 2020-2024 Statusrapport - 2. tertial 2022&lt;/title&gt;&lt;/titles&gt;&lt;number&gt;2. tertial 2022&lt;/number&gt;&lt;dates&gt;&lt;year&gt;2022&lt;/year&gt;&lt;/dates&gt;&lt;pub-location&gt;Oslo&lt;/pub-location&gt;&lt;publisher&gt;Helsedirektoratet&lt;/publisher&gt;&lt;urls&gt;&lt;/urls&gt;&lt;/record&gt;&lt;/Cite&gt;&lt;/EndNote&gt;</w:instrText>
      </w:r>
      <w:r w:rsidR="00F35BC5">
        <w:fldChar w:fldCharType="separate"/>
      </w:r>
      <w:r w:rsidR="004654FD">
        <w:rPr>
          <w:noProof/>
        </w:rPr>
        <w:t>(Helsedirektoratet, 2022h)</w:t>
      </w:r>
      <w:r w:rsidR="00F35BC5">
        <w:fldChar w:fldCharType="end"/>
      </w:r>
      <w:r w:rsidR="00F35BC5" w:rsidRPr="00617381">
        <w:t>.</w:t>
      </w:r>
    </w:p>
    <w:p w14:paraId="503033AE" w14:textId="77777777" w:rsidR="00D9107F" w:rsidRDefault="00F35BC5" w:rsidP="002D4FAC">
      <w:pPr>
        <w:jc w:val="both"/>
      </w:pPr>
      <w:r>
        <w:t xml:space="preserve">Figur </w:t>
      </w:r>
      <w:r w:rsidR="0019264D">
        <w:t>2</w:t>
      </w:r>
      <w:r w:rsidR="002D4FAC">
        <w:t>-36</w:t>
      </w:r>
      <w:r>
        <w:t xml:space="preserve"> viser den relative veksten fra 2002 i antall leger i ulike kategorier</w:t>
      </w:r>
      <w:r w:rsidR="00990FD1">
        <w:t>, etter ansettelsesforhold</w:t>
      </w:r>
      <w:r>
        <w:t xml:space="preserve">. </w:t>
      </w:r>
      <w:r w:rsidR="00267D34">
        <w:t>D</w:t>
      </w:r>
      <w:r>
        <w:t>en prosentvise veksten i antall leger i den aktuelle tidsperioden har vært størst blant leger sysselsatt i kommun</w:t>
      </w:r>
      <w:r w:rsidR="00AF1AE9">
        <w:t>e</w:t>
      </w:r>
      <w:r>
        <w:t>helsetjeneste</w:t>
      </w:r>
      <w:r w:rsidR="00AF1AE9">
        <w:t>n</w:t>
      </w:r>
      <w:r w:rsidRPr="43F9E4A7">
        <w:t xml:space="preserve"> (som ikke er fastleger)</w:t>
      </w:r>
      <w:r w:rsidR="00A24890">
        <w:t>, men</w:t>
      </w:r>
      <w:r>
        <w:t xml:space="preserve"> veksten har skjedd fra et i utgangspunktet relativt lavt nivå. </w:t>
      </w:r>
      <w:r w:rsidR="001A1E62">
        <w:t>Videre har</w:t>
      </w:r>
      <w:r>
        <w:t xml:space="preserve"> </w:t>
      </w:r>
      <w:r w:rsidR="00804921">
        <w:t>prosentvis vekst</w:t>
      </w:r>
      <w:r>
        <w:t xml:space="preserve"> i antall leger i spesialisthelsetjenesten vært større enn veksten i antall fastleger.</w:t>
      </w:r>
    </w:p>
    <w:p w14:paraId="6CD0BEA3" w14:textId="679105A6" w:rsidR="00F35BC5" w:rsidRDefault="00F35BC5" w:rsidP="001B5274">
      <w:pPr>
        <w:pStyle w:val="avsnitt-tittel"/>
      </w:pPr>
      <w:r w:rsidRPr="004821B0">
        <w:lastRenderedPageBreak/>
        <w:t xml:space="preserve">Figur </w:t>
      </w:r>
      <w:r w:rsidR="0062178B">
        <w:t>2-</w:t>
      </w:r>
      <w:r w:rsidR="002F3F0F">
        <w:t>36</w:t>
      </w:r>
      <w:r w:rsidR="005E0B90">
        <w:t>:</w:t>
      </w:r>
      <w:r w:rsidRPr="004821B0">
        <w:t xml:space="preserve"> </w:t>
      </w:r>
      <w:r>
        <w:t>Prosentvis endring</w:t>
      </w:r>
      <w:r w:rsidRPr="004821B0">
        <w:t xml:space="preserve"> i antall leger i kommun</w:t>
      </w:r>
      <w:r w:rsidR="00AF1AE9">
        <w:t xml:space="preserve">ehelsetjenesten </w:t>
      </w:r>
      <w:r w:rsidRPr="004821B0">
        <w:t>og spesialisthelsetjenesten</w:t>
      </w:r>
    </w:p>
    <w:p w14:paraId="65688F42" w14:textId="12F819AE" w:rsidR="002F5FDC" w:rsidRPr="00D9107F" w:rsidRDefault="00CF515F" w:rsidP="002F5FDC">
      <w:pPr>
        <w:keepNext/>
        <w:keepLines/>
        <w:rPr>
          <w:rStyle w:val="halvfet"/>
        </w:rPr>
      </w:pPr>
      <w:r>
        <w:rPr>
          <w:rStyle w:val="halvfet"/>
          <w:noProof/>
        </w:rPr>
        <w:drawing>
          <wp:inline distT="0" distB="0" distL="0" distR="0" wp14:anchorId="70038B60" wp14:editId="7A0AFF7B">
            <wp:extent cx="6120765" cy="305435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054350"/>
                    </a:xfrm>
                    <a:prstGeom prst="rect">
                      <a:avLst/>
                    </a:prstGeom>
                    <a:noFill/>
                  </pic:spPr>
                </pic:pic>
              </a:graphicData>
            </a:graphic>
          </wp:inline>
        </w:drawing>
      </w:r>
    </w:p>
    <w:p w14:paraId="5CD3A958" w14:textId="77777777" w:rsidR="00D9107F" w:rsidRPr="00657F9A" w:rsidRDefault="002F5FDC" w:rsidP="00C709CD">
      <w:pPr>
        <w:pStyle w:val="Petit"/>
        <w:rPr>
          <w:rStyle w:val="kursiv"/>
        </w:rPr>
      </w:pPr>
      <w:bookmarkStart w:id="518" w:name="_Toc132133906"/>
      <w:r w:rsidRPr="00657F9A">
        <w:rPr>
          <w:rStyle w:val="kursiv"/>
        </w:rPr>
        <w:t>Merknad: For leger med yrkesinntekt over 1G. Kilde: SSB</w:t>
      </w:r>
      <w:r w:rsidR="00F870FA" w:rsidRPr="00657F9A">
        <w:rPr>
          <w:rStyle w:val="kursiv"/>
        </w:rPr>
        <w:t>, 2002-2021.</w:t>
      </w:r>
      <w:bookmarkEnd w:id="518"/>
    </w:p>
    <w:p w14:paraId="4E780EC4" w14:textId="02B7B627" w:rsidR="00F35BC5" w:rsidRPr="006D1398" w:rsidRDefault="00F35BC5" w:rsidP="00F35BC5">
      <w:r w:rsidRPr="006D1398">
        <w:t>Figur</w:t>
      </w:r>
      <w:r w:rsidRPr="43F9E4A7">
        <w:t xml:space="preserve"> </w:t>
      </w:r>
      <w:r w:rsidR="0035558D">
        <w:t>2</w:t>
      </w:r>
      <w:r w:rsidR="002F3F0F">
        <w:t>-37</w:t>
      </w:r>
      <w:r w:rsidRPr="006D1398">
        <w:t xml:space="preserve"> viser utviklingen i antall leger i kommun</w:t>
      </w:r>
      <w:r w:rsidR="00AF1AE9">
        <w:t>e</w:t>
      </w:r>
      <w:r w:rsidRPr="006D1398">
        <w:t>helsetjeneste</w:t>
      </w:r>
      <w:r w:rsidR="00AF1AE9">
        <w:t>n</w:t>
      </w:r>
      <w:r w:rsidRPr="006D1398">
        <w:t xml:space="preserve"> og spesialisthelsetjenesten, etter fem ulike grupper av leger.</w:t>
      </w:r>
      <w:r w:rsidR="0016381D">
        <w:t xml:space="preserve"> Det er desidert flest leger i spesialisthelsetjenesten. Dernest utgjør fastlegene det største antallet.</w:t>
      </w:r>
    </w:p>
    <w:p w14:paraId="4D63B569" w14:textId="12348742" w:rsidR="00567C33" w:rsidRPr="00D9107F" w:rsidRDefault="00F35BC5" w:rsidP="001B5274">
      <w:pPr>
        <w:pStyle w:val="avsnitt-tittel"/>
        <w:rPr>
          <w:rStyle w:val="kursiv"/>
        </w:rPr>
      </w:pPr>
      <w:r w:rsidRPr="00D9107F">
        <w:rPr>
          <w:rStyle w:val="kursiv"/>
        </w:rPr>
        <w:t xml:space="preserve">Figur </w:t>
      </w:r>
      <w:r w:rsidR="0062178B" w:rsidRPr="00D9107F">
        <w:rPr>
          <w:rStyle w:val="kursiv"/>
        </w:rPr>
        <w:t>2-</w:t>
      </w:r>
      <w:r w:rsidR="002F3F0F" w:rsidRPr="00D9107F">
        <w:rPr>
          <w:rStyle w:val="kursiv"/>
        </w:rPr>
        <w:t>37</w:t>
      </w:r>
      <w:r w:rsidR="00B914D8" w:rsidRPr="00D9107F">
        <w:rPr>
          <w:rStyle w:val="kursiv"/>
        </w:rPr>
        <w:t>:</w:t>
      </w:r>
      <w:r w:rsidRPr="00D9107F">
        <w:rPr>
          <w:rStyle w:val="kursiv"/>
        </w:rPr>
        <w:t xml:space="preserve"> Antall leger i kommun</w:t>
      </w:r>
      <w:r w:rsidR="00AF1AE9" w:rsidRPr="00D9107F">
        <w:rPr>
          <w:rStyle w:val="kursiv"/>
        </w:rPr>
        <w:t>e</w:t>
      </w:r>
      <w:r w:rsidRPr="00D9107F">
        <w:rPr>
          <w:rStyle w:val="kursiv"/>
        </w:rPr>
        <w:t>helsetjenesten og spesialisthelsetjenesten</w:t>
      </w:r>
      <w:r w:rsidR="00CF515F">
        <w:rPr>
          <w:rStyle w:val="kursiv"/>
          <w:noProof/>
        </w:rPr>
        <w:drawing>
          <wp:inline distT="0" distB="0" distL="0" distR="0" wp14:anchorId="409FFF1C" wp14:editId="53EBA562">
            <wp:extent cx="6120765" cy="3255645"/>
            <wp:effectExtent l="0" t="0" r="0" b="190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pic:spPr>
                </pic:pic>
              </a:graphicData>
            </a:graphic>
          </wp:inline>
        </w:drawing>
      </w:r>
    </w:p>
    <w:p w14:paraId="77CDF4A0" w14:textId="29B98658" w:rsidR="00F35BC5" w:rsidRPr="00C541B0" w:rsidRDefault="00F35BC5" w:rsidP="00C709CD">
      <w:pPr>
        <w:pStyle w:val="Petit"/>
      </w:pPr>
      <w:r w:rsidRPr="00D9107F">
        <w:rPr>
          <w:rStyle w:val="kursiv"/>
        </w:rPr>
        <w:t>Merknad: For leger med yrkesinntekt over 1G. Kilde: SSB</w:t>
      </w:r>
      <w:r w:rsidR="00A95EA7" w:rsidRPr="00D9107F">
        <w:rPr>
          <w:rStyle w:val="kursiv"/>
        </w:rPr>
        <w:t>, 2002-2021.</w:t>
      </w:r>
    </w:p>
    <w:p w14:paraId="5B5B004D" w14:textId="49FB1FA6" w:rsidR="00D9107F" w:rsidRDefault="00F35BC5" w:rsidP="003D588E">
      <w:pPr>
        <w:jc w:val="both"/>
      </w:pPr>
      <w:r w:rsidRPr="43F9E4A7">
        <w:lastRenderedPageBreak/>
        <w:t>I tidsperioden 2015–2021 er den relative veksten i antall leger</w:t>
      </w:r>
      <w:r w:rsidR="00AF1AE9">
        <w:t xml:space="preserve"> </w:t>
      </w:r>
      <w:r w:rsidRPr="43F9E4A7">
        <w:t>omtrent lik i spesialisthelsetjenesten (17,4 prosent) og i kommunene (16,7 prosent). Siden det totalt sett jobber mange flere leger i spesialisthelsetjenesten, er den absolutte veksten mye større der enn i kommunehelsetjenesten.</w:t>
      </w:r>
    </w:p>
    <w:p w14:paraId="72276A99" w14:textId="643B8B47" w:rsidR="00F35BC5" w:rsidRPr="00CD76E1" w:rsidRDefault="00F35BC5" w:rsidP="00775632">
      <w:pPr>
        <w:pStyle w:val="Overskrift3"/>
      </w:pPr>
      <w:bookmarkStart w:id="519" w:name="_Toc131238315"/>
      <w:bookmarkStart w:id="520" w:name="_Toc131279345"/>
      <w:bookmarkStart w:id="521" w:name="_Toc131286757"/>
      <w:bookmarkStart w:id="522" w:name="_Toc131281167"/>
      <w:bookmarkStart w:id="523" w:name="_Toc131317706"/>
      <w:bookmarkStart w:id="524" w:name="_Toc132536916"/>
      <w:r>
        <w:t>Ivaretakelsen av f</w:t>
      </w:r>
      <w:r w:rsidRPr="00CD76E1">
        <w:t>astlege</w:t>
      </w:r>
      <w:r>
        <w:t>ordningen</w:t>
      </w:r>
      <w:bookmarkEnd w:id="519"/>
      <w:bookmarkEnd w:id="520"/>
      <w:bookmarkEnd w:id="521"/>
      <w:bookmarkEnd w:id="522"/>
      <w:bookmarkEnd w:id="523"/>
      <w:bookmarkEnd w:id="524"/>
    </w:p>
    <w:p w14:paraId="7F20C6B5" w14:textId="77777777" w:rsidR="00D9107F" w:rsidRDefault="00F35BC5" w:rsidP="003D588E">
      <w:pPr>
        <w:jc w:val="both"/>
      </w:pPr>
      <w:r>
        <w:t>Evalueringen av fastlegeordningen fra 2019 viste at kommunene i stor grad ivaretar sitt sørge-for-ansvar for helse- og omsorgstjenester og opplever at de har de nødvendige virkemidlene som trengs. Samtidig oppga kommunene at næringsdrift</w:t>
      </w:r>
      <w:r w:rsidR="00AF1AE9">
        <w:t>,</w:t>
      </w:r>
      <w:r w:rsidDel="007D1E5C">
        <w:t xml:space="preserve"> </w:t>
      </w:r>
      <w:r>
        <w:t>som er hovedmodellen i organiseringen av fastlegeordningen, bidrar til å skape en distanse mellom fastlegene og kommunen, og at fastlegeordningen kan framstå som en satellitt, i relasjon til den øvrige kommunale helse- og omsorgstjenesten.</w:t>
      </w:r>
    </w:p>
    <w:p w14:paraId="2B4AF61D" w14:textId="77777777" w:rsidR="00D9107F" w:rsidRDefault="00F35BC5" w:rsidP="003D588E">
      <w:pPr>
        <w:jc w:val="both"/>
      </w:pPr>
      <w:r>
        <w:t>En rapport fra Agenda Kaupang som kom i 2016, undersøkte kommunen</w:t>
      </w:r>
      <w:r w:rsidR="00AF1AE9">
        <w:t>e</w:t>
      </w:r>
      <w:r>
        <w:t>s ledelse av allmennlegetjenesten. Funnene tydet på at kommunene i liten grad benyttet seg av tilgjengelige virkemidler og handlingsrom for å utøve god ledelse av legetjenesten. Samtidig ble det pekt på at kommunenes handlingsrom i styringen av fastlegene er begrenset. Anbefalingen til kommunene var å utarbeide en plan for legetjenesten</w:t>
      </w:r>
      <w:r w:rsidR="00AF1AE9">
        <w:t>,</w:t>
      </w:r>
      <w:r>
        <w:t xml:space="preserve"> for å sikre riktig dimensjonering av tjenestene, synliggjøre hvordan kommunen kan bidra til å styrke styringen og trekke opp retningslinjer for forbedrings- og utviklingsarbeidet i legetjenesten. </w:t>
      </w:r>
      <w:r w:rsidR="001F7E76">
        <w:t xml:space="preserve">Også rammeavtalen mellom KS og Den norske legeforening om allmennlegepraksis i fastlegeordningen i kommunen (ASA 4310) omtaler at kommunen skal utarbeide en plan for legetjenesten i kommunen. </w:t>
      </w:r>
      <w:r>
        <w:t xml:space="preserve">Få kommuner hadde en slik plan i 2016. Slike planer er blitt mer vanlig i etterkant </w:t>
      </w:r>
      <w:r>
        <w:fldChar w:fldCharType="begin"/>
      </w:r>
      <w:r w:rsidR="004654FD">
        <w:instrText xml:space="preserve"> ADDIN EN.CITE &lt;EndNote&gt;&lt;Cite&gt;&lt;Author&gt;Agenda Kaupang&lt;/Author&gt;&lt;Year&gt;2016&lt;/Year&gt;&lt;RecNum&gt;934&lt;/RecNum&gt;&lt;DisplayText&gt;(Agenda Kaupang, 2016)&lt;/DisplayText&gt;&lt;record&gt;&lt;rec-number&gt;934&lt;/rec-number&gt;&lt;foreign-keys&gt;&lt;key app="EN" db-id="95tpr2tp6r9xwoea9rb5wdsz5ds5xeddteew" timestamp="1680157729"&gt;934&lt;/key&gt;&lt;/foreign-keys&gt;&lt;ref-type name="Report"&gt;27&lt;/ref-type&gt;&lt;contributors&gt;&lt;authors&gt;&lt;author&gt;Agenda Kaupang,&lt;/author&gt;&lt;/authors&gt;&lt;tertiary-authors&gt;&lt;author&gt;Agenda Kaupang,&lt;/author&gt;&lt;/tertiary-authors&gt;&lt;/contributors&gt;&lt;titles&gt;&lt;title&gt;Kommunal legetjeneste - kan den ledes?&lt;/title&gt;&lt;secondary-title&gt;KS FoU&lt;/secondary-title&gt;&lt;/titles&gt;&lt;dates&gt;&lt;year&gt;2016&lt;/year&gt;&lt;/dates&gt;&lt;pub-location&gt;Stabekk&lt;/pub-location&gt;&lt;urls&gt;&lt;/urls&gt;&lt;/record&gt;&lt;/Cite&gt;&lt;/EndNote&gt;</w:instrText>
      </w:r>
      <w:r>
        <w:fldChar w:fldCharType="separate"/>
      </w:r>
      <w:r w:rsidR="00CE2F35">
        <w:rPr>
          <w:noProof/>
        </w:rPr>
        <w:t>(Agenda Kaupang, 2016)</w:t>
      </w:r>
      <w:r>
        <w:fldChar w:fldCharType="end"/>
      </w:r>
      <w:r>
        <w:t>.</w:t>
      </w:r>
    </w:p>
    <w:p w14:paraId="5A628586" w14:textId="77777777" w:rsidR="00D9107F" w:rsidRDefault="00F35BC5" w:rsidP="003D588E">
      <w:pPr>
        <w:jc w:val="both"/>
      </w:pPr>
      <w:r>
        <w:t xml:space="preserve">Rekrutteringsutfordringer og lav stabilitet har vært til stede i mindre folkerike og usentrale kommuner helt siden fastlegeordningen ble etablert. Mange av disse utfordringene er nå til stede også i folkerike og sentrale kommuner. Situasjonen utfordrer ivaretagelsen av sørge-for-ansvaret for mange kommuner, og kommunene opplyser at de finansierer fastlegeordningen ut over det som er forutsatt i inntektssystemet </w:t>
      </w:r>
      <w:r>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fldChar w:fldCharType="separate"/>
      </w:r>
      <w:r w:rsidR="00CE2F35">
        <w:rPr>
          <w:noProof/>
        </w:rPr>
        <w:t>(EY og Vista Analyse, 2019)</w:t>
      </w:r>
      <w:r>
        <w:fldChar w:fldCharType="end"/>
      </w:r>
      <w:r>
        <w:t>.</w:t>
      </w:r>
    </w:p>
    <w:p w14:paraId="4A2A09A4" w14:textId="77777777" w:rsidR="00D9107F" w:rsidRDefault="00F35BC5" w:rsidP="003D588E">
      <w:pPr>
        <w:jc w:val="both"/>
      </w:pPr>
      <w:r>
        <w:t xml:space="preserve">Media har </w:t>
      </w:r>
      <w:r w:rsidR="001F7E76">
        <w:t xml:space="preserve">gjennom de siste årene omtalt en rekke </w:t>
      </w:r>
      <w:r>
        <w:t xml:space="preserve">kommuner som bruker </w:t>
      </w:r>
      <w:r w:rsidR="001F7E76">
        <w:t xml:space="preserve">relativt </w:t>
      </w:r>
      <w:r>
        <w:t>store ressurser på å skaffe vikarer for å ivareta fastlegelister uten leger på kortvarig basis, for å ivareta sitt sørge-for-ansvar.</w:t>
      </w:r>
    </w:p>
    <w:p w14:paraId="7DF7C2C6" w14:textId="10A94E35" w:rsidR="00F35BC5" w:rsidRDefault="00F35BC5" w:rsidP="00775632">
      <w:pPr>
        <w:pStyle w:val="Overskrift3"/>
      </w:pPr>
      <w:bookmarkStart w:id="525" w:name="_Toc131238316"/>
      <w:bookmarkStart w:id="526" w:name="_Toc131279346"/>
      <w:bookmarkStart w:id="527" w:name="_Toc131286758"/>
      <w:bookmarkStart w:id="528" w:name="_Toc131281168"/>
      <w:bookmarkStart w:id="529" w:name="_Toc131317707"/>
      <w:bookmarkStart w:id="530" w:name="_Toc132536917"/>
      <w:r>
        <w:t>Rekruttering, avgang og varighet på fastlegeavtaler i kommunene</w:t>
      </w:r>
      <w:bookmarkEnd w:id="525"/>
      <w:bookmarkEnd w:id="526"/>
      <w:bookmarkEnd w:id="527"/>
      <w:bookmarkEnd w:id="528"/>
      <w:bookmarkEnd w:id="529"/>
      <w:bookmarkEnd w:id="530"/>
    </w:p>
    <w:p w14:paraId="24F816B3" w14:textId="6C38F416" w:rsidR="00F35BC5" w:rsidRPr="0095403D" w:rsidRDefault="00F35BC5" w:rsidP="003D588E">
      <w:pPr>
        <w:jc w:val="both"/>
        <w:rPr>
          <w:color w:val="000000" w:themeColor="text1"/>
        </w:rPr>
      </w:pPr>
      <w:r>
        <w:t>Tilgang til leger til nye eller ledige fastlegehjemler, og hvor lenge fastlegene blir værende, påvirker stabiliteten til fastlegeordningen i den enkelte kommune. FHI har, på oppdrag fra ekspertutvalget, undersøkt rekruttering og avgang til fastlegeordninge</w:t>
      </w:r>
      <w:r w:rsidR="001E685A">
        <w:t xml:space="preserve">n. </w:t>
      </w:r>
      <w:r>
        <w:t xml:space="preserve">Analysene viser at det er store variasjoner mellom kommunene, etter sentralitet og innbyggertall. </w:t>
      </w:r>
      <w:r w:rsidRPr="0095403D">
        <w:rPr>
          <w:color w:val="000000" w:themeColor="text1"/>
        </w:rPr>
        <w:t xml:space="preserve">Legene står kortere </w:t>
      </w:r>
      <w:r w:rsidRPr="0095403D">
        <w:rPr>
          <w:color w:val="000000" w:themeColor="text1"/>
        </w:rPr>
        <w:lastRenderedPageBreak/>
        <w:t>i fastlegeordningen i mindre sentrale og mindre folkerike kommuner. Større utskiftning blant fastlegene påvirker kontinuitet for innbyggerne, og kommunenes forutsetninger for å tilby fastlegetjenester.</w:t>
      </w:r>
    </w:p>
    <w:p w14:paraId="0027C8F2" w14:textId="77777777" w:rsidR="00D9107F" w:rsidRDefault="00F35BC5" w:rsidP="003D588E">
      <w:pPr>
        <w:jc w:val="both"/>
        <w:rPr>
          <w:color w:val="000000" w:themeColor="text1"/>
        </w:rPr>
      </w:pPr>
      <w:r w:rsidRPr="0095403D">
        <w:rPr>
          <w:color w:val="000000" w:themeColor="text1"/>
        </w:rPr>
        <w:t xml:space="preserve">I perioden 2002 til 2021 sees en gradvis økning både i antallet rekrutteringer og avganger. Nivået på rekruttering og avgang har en tydelig sammenheng med kommunestørrelse og sentralitet, og nivået er høyere i mindre sentrale og folkerike kommuner og med større årlig variasjon (tabell </w:t>
      </w:r>
      <w:r w:rsidR="009776BC" w:rsidRPr="0095403D">
        <w:rPr>
          <w:color w:val="000000" w:themeColor="text1"/>
        </w:rPr>
        <w:t>2</w:t>
      </w:r>
      <w:r w:rsidR="003D588E">
        <w:rPr>
          <w:color w:val="000000" w:themeColor="text1"/>
        </w:rPr>
        <w:t>-3)</w:t>
      </w:r>
      <w:r w:rsidRPr="0095403D">
        <w:rPr>
          <w:color w:val="000000" w:themeColor="text1"/>
        </w:rPr>
        <w:t>. Samtidig er det en økning i rekruttering og avgang i de minst sentrale og folkerike kommunene. En tilsvarende utvikling sees ikke i de mest sentrale og folkerike kommunene.</w:t>
      </w:r>
    </w:p>
    <w:p w14:paraId="7462A8CB" w14:textId="77777777" w:rsidR="00D9107F" w:rsidRDefault="00F35BC5" w:rsidP="0095403D">
      <w:pPr>
        <w:jc w:val="both"/>
      </w:pPr>
      <w:r w:rsidRPr="0095403D">
        <w:rPr>
          <w:color w:val="000000" w:themeColor="text1"/>
        </w:rPr>
        <w:t xml:space="preserve">Utviklingen i rekruttering og avgang har vært relativt lik i mange fylker. Nordland, Troms og Finnmark har derimot ligget på et høyt nivå over </w:t>
      </w:r>
      <w:r>
        <w:t>tid, med stor årlig variasjon, og denne trenden er økende. De siste årene er det tegn til en økning i rekruttering og avgang også i flere fylker, som Agder, Vestfold og Telemark</w:t>
      </w:r>
    </w:p>
    <w:p w14:paraId="596220B8" w14:textId="52524A57" w:rsidR="00F35BC5" w:rsidRPr="0012629E" w:rsidRDefault="00F35BC5" w:rsidP="00775632">
      <w:pPr>
        <w:pStyle w:val="tabell-tittel"/>
      </w:pPr>
      <w:r w:rsidRPr="0012629E">
        <w:t>Rekruttering og avgang i fastlegeordningen per fylke, 2021</w:t>
      </w:r>
    </w:p>
    <w:tbl>
      <w:tblPr>
        <w:tblStyle w:val="HPArsrapporttabellstil"/>
        <w:tblW w:w="5000" w:type="pct"/>
        <w:tblLook w:val="04A0" w:firstRow="1" w:lastRow="0" w:firstColumn="1" w:lastColumn="0" w:noHBand="0" w:noVBand="1"/>
      </w:tblPr>
      <w:tblGrid>
        <w:gridCol w:w="3484"/>
        <w:gridCol w:w="754"/>
        <w:gridCol w:w="2372"/>
        <w:gridCol w:w="754"/>
        <w:gridCol w:w="2372"/>
      </w:tblGrid>
      <w:tr w:rsidR="004667A0" w:rsidRPr="000E6AD2" w14:paraId="2E2CD041" w14:textId="77777777" w:rsidTr="002F5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pct"/>
            <w:vMerge w:val="restart"/>
            <w:shd w:val="clear" w:color="auto" w:fill="A9D6B9" w:themeFill="accent2"/>
          </w:tcPr>
          <w:p w14:paraId="6EE3FD94" w14:textId="77777777" w:rsidR="004667A0" w:rsidRPr="00D9107F" w:rsidRDefault="004667A0" w:rsidP="006B6CBC">
            <w:pPr>
              <w:pStyle w:val="TabellHode-kolonne"/>
              <w:rPr>
                <w:rStyle w:val="halvfet"/>
                <w:lang w:val="nb-NO"/>
              </w:rPr>
            </w:pPr>
          </w:p>
        </w:tc>
        <w:tc>
          <w:tcPr>
            <w:tcW w:w="1605" w:type="pct"/>
            <w:gridSpan w:val="2"/>
            <w:shd w:val="clear" w:color="auto" w:fill="A9D6B9" w:themeFill="accent2"/>
          </w:tcPr>
          <w:p w14:paraId="3B841399" w14:textId="77777777" w:rsidR="004667A0" w:rsidRPr="00656D04" w:rsidRDefault="004667A0" w:rsidP="00E41D13">
            <w:pPr>
              <w:pStyle w:val="TabellHode-kolonne"/>
              <w:jc w:val="center"/>
              <w:cnfStyle w:val="100000000000" w:firstRow="1" w:lastRow="0" w:firstColumn="0" w:lastColumn="0" w:oddVBand="0" w:evenVBand="0" w:oddHBand="0" w:evenHBand="0" w:firstRowFirstColumn="0" w:firstRowLastColumn="0" w:lastRowFirstColumn="0" w:lastRowLastColumn="0"/>
              <w:rPr>
                <w:rFonts w:cstheme="minorHAnsi"/>
                <w:color w:val="2A3652"/>
              </w:rPr>
            </w:pPr>
            <w:r w:rsidRPr="00D9107F">
              <w:rPr>
                <w:rStyle w:val="halvfet"/>
              </w:rPr>
              <w:t>Rekruttering</w:t>
            </w:r>
          </w:p>
        </w:tc>
        <w:tc>
          <w:tcPr>
            <w:tcW w:w="1604" w:type="pct"/>
            <w:gridSpan w:val="2"/>
            <w:shd w:val="clear" w:color="auto" w:fill="A9D6B9" w:themeFill="accent2"/>
          </w:tcPr>
          <w:p w14:paraId="54F09FBC" w14:textId="77777777" w:rsidR="004667A0" w:rsidRPr="00656D04" w:rsidRDefault="004667A0" w:rsidP="00E41D13">
            <w:pPr>
              <w:pStyle w:val="TabellHode-kolonne"/>
              <w:jc w:val="center"/>
              <w:cnfStyle w:val="100000000000" w:firstRow="1" w:lastRow="0" w:firstColumn="0" w:lastColumn="0" w:oddVBand="0" w:evenVBand="0" w:oddHBand="0" w:evenHBand="0" w:firstRowFirstColumn="0" w:firstRowLastColumn="0" w:lastRowFirstColumn="0" w:lastRowLastColumn="0"/>
              <w:rPr>
                <w:rFonts w:cstheme="minorHAnsi"/>
                <w:color w:val="2A3652"/>
              </w:rPr>
            </w:pPr>
            <w:r w:rsidRPr="00D9107F">
              <w:rPr>
                <w:rStyle w:val="halvfet"/>
              </w:rPr>
              <w:t>Avgang</w:t>
            </w:r>
          </w:p>
        </w:tc>
      </w:tr>
      <w:tr w:rsidR="00EF2483" w:rsidRPr="000E6AD2" w14:paraId="21816B57" w14:textId="77777777" w:rsidTr="002F5FDC">
        <w:tc>
          <w:tcPr>
            <w:cnfStyle w:val="001000000000" w:firstRow="0" w:lastRow="0" w:firstColumn="1" w:lastColumn="0" w:oddVBand="0" w:evenVBand="0" w:oddHBand="0" w:evenHBand="0" w:firstRowFirstColumn="0" w:firstRowLastColumn="0" w:lastRowFirstColumn="0" w:lastRowLastColumn="0"/>
            <w:tcW w:w="1790" w:type="pct"/>
            <w:vMerge/>
            <w:tcBorders>
              <w:bottom w:val="single" w:sz="24" w:space="0" w:color="2A3652"/>
            </w:tcBorders>
            <w:shd w:val="clear" w:color="auto" w:fill="A9D6B9" w:themeFill="accent2"/>
          </w:tcPr>
          <w:p w14:paraId="083E291B" w14:textId="77777777" w:rsidR="004667A0" w:rsidRPr="00D9107F" w:rsidRDefault="004667A0" w:rsidP="006B6CBC">
            <w:pPr>
              <w:pStyle w:val="TabellHode-kolonne"/>
              <w:rPr>
                <w:rStyle w:val="halvfet"/>
              </w:rPr>
            </w:pPr>
          </w:p>
        </w:tc>
        <w:tc>
          <w:tcPr>
            <w:tcW w:w="387" w:type="pct"/>
            <w:tcBorders>
              <w:bottom w:val="single" w:sz="24" w:space="0" w:color="2A3652"/>
            </w:tcBorders>
            <w:shd w:val="clear" w:color="auto" w:fill="A9D6B9" w:themeFill="accent2"/>
          </w:tcPr>
          <w:p w14:paraId="53BB9BF7" w14:textId="77777777" w:rsidR="004667A0" w:rsidRPr="00D9107F" w:rsidRDefault="004667A0" w:rsidP="00E41D13">
            <w:pPr>
              <w:pStyle w:val="TabellHode-kolonne"/>
              <w:jc w:val="right"/>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n</w:t>
            </w:r>
          </w:p>
        </w:tc>
        <w:tc>
          <w:tcPr>
            <w:tcW w:w="1218" w:type="pct"/>
            <w:tcBorders>
              <w:bottom w:val="single" w:sz="24" w:space="0" w:color="2A3652"/>
            </w:tcBorders>
            <w:shd w:val="clear" w:color="auto" w:fill="A9D6B9" w:themeFill="accent2"/>
          </w:tcPr>
          <w:p w14:paraId="5F5B448C" w14:textId="04207821" w:rsidR="004667A0" w:rsidRPr="00D9107F" w:rsidRDefault="004667A0" w:rsidP="00E41D13">
            <w:pPr>
              <w:pStyle w:val="TabellHode-kolonne"/>
              <w:jc w:val="right"/>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n per 10</w:t>
            </w:r>
            <w:r w:rsidR="00D9107F" w:rsidRPr="00D9107F">
              <w:rPr>
                <w:rStyle w:val="kursiv"/>
              </w:rPr>
              <w:t>0 000</w:t>
            </w:r>
            <w:r w:rsidRPr="00D9107F">
              <w:rPr>
                <w:rStyle w:val="kursiv"/>
              </w:rPr>
              <w:t xml:space="preserve"> innb.</w:t>
            </w:r>
          </w:p>
        </w:tc>
        <w:tc>
          <w:tcPr>
            <w:tcW w:w="387" w:type="pct"/>
            <w:tcBorders>
              <w:bottom w:val="single" w:sz="24" w:space="0" w:color="2A3652"/>
            </w:tcBorders>
            <w:shd w:val="clear" w:color="auto" w:fill="A9D6B9" w:themeFill="accent2"/>
          </w:tcPr>
          <w:p w14:paraId="4B618554" w14:textId="77777777" w:rsidR="004667A0" w:rsidRPr="00D9107F" w:rsidRDefault="004667A0" w:rsidP="00E41D13">
            <w:pPr>
              <w:pStyle w:val="TabellHode-kolonne"/>
              <w:jc w:val="right"/>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n</w:t>
            </w:r>
          </w:p>
        </w:tc>
        <w:tc>
          <w:tcPr>
            <w:tcW w:w="1217" w:type="pct"/>
            <w:tcBorders>
              <w:bottom w:val="single" w:sz="24" w:space="0" w:color="2A3652"/>
            </w:tcBorders>
            <w:shd w:val="clear" w:color="auto" w:fill="A9D6B9" w:themeFill="accent2"/>
          </w:tcPr>
          <w:p w14:paraId="7744B284" w14:textId="6CAD33B9" w:rsidR="004667A0" w:rsidRPr="00D9107F" w:rsidRDefault="004667A0" w:rsidP="00E41D13">
            <w:pPr>
              <w:pStyle w:val="TabellHode-kolonne"/>
              <w:jc w:val="right"/>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n per 10</w:t>
            </w:r>
            <w:r w:rsidR="00D9107F" w:rsidRPr="00D9107F">
              <w:rPr>
                <w:rStyle w:val="kursiv"/>
              </w:rPr>
              <w:t>0 000</w:t>
            </w:r>
            <w:r w:rsidRPr="00D9107F">
              <w:rPr>
                <w:rStyle w:val="kursiv"/>
              </w:rPr>
              <w:t xml:space="preserve"> innb.</w:t>
            </w:r>
          </w:p>
        </w:tc>
      </w:tr>
      <w:tr w:rsidR="004667A0" w:rsidRPr="000E6AD2" w14:paraId="768F123A" w14:textId="77777777" w:rsidTr="00181064">
        <w:tc>
          <w:tcPr>
            <w:cnfStyle w:val="001000000000" w:firstRow="0" w:lastRow="0" w:firstColumn="1" w:lastColumn="0" w:oddVBand="0" w:evenVBand="0" w:oddHBand="0" w:evenHBand="0" w:firstRowFirstColumn="0" w:firstRowLastColumn="0" w:lastRowFirstColumn="0" w:lastRowLastColumn="0"/>
            <w:tcW w:w="5000" w:type="pct"/>
            <w:gridSpan w:val="5"/>
          </w:tcPr>
          <w:p w14:paraId="7CFFA5F8" w14:textId="77777777" w:rsidR="004667A0" w:rsidRPr="006B6CBC" w:rsidRDefault="004667A0" w:rsidP="00E41D13">
            <w:pPr>
              <w:pStyle w:val="TabellHode-rad"/>
              <w:rPr>
                <w:rStyle w:val="halvfet"/>
                <w:b/>
                <w:bCs/>
              </w:rPr>
            </w:pPr>
            <w:r w:rsidRPr="006B6CBC">
              <w:rPr>
                <w:rStyle w:val="halvfet"/>
                <w:b/>
                <w:bCs/>
              </w:rPr>
              <w:t>Fylke</w:t>
            </w:r>
          </w:p>
        </w:tc>
      </w:tr>
      <w:tr w:rsidR="004667A0" w:rsidRPr="000E6AD2" w14:paraId="2F14FD2A"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9BB3414" w14:textId="77777777" w:rsidR="004667A0" w:rsidRPr="006B6CBC" w:rsidRDefault="004667A0" w:rsidP="006B6CBC">
            <w:pPr>
              <w:pStyle w:val="TabellHode-rad"/>
              <w:rPr>
                <w:b w:val="0"/>
                <w:bCs/>
              </w:rPr>
            </w:pPr>
            <w:r w:rsidRPr="006B6CBC">
              <w:rPr>
                <w:b w:val="0"/>
                <w:bCs/>
              </w:rPr>
              <w:t>Agder</w:t>
            </w:r>
          </w:p>
        </w:tc>
        <w:tc>
          <w:tcPr>
            <w:tcW w:w="387" w:type="pct"/>
          </w:tcPr>
          <w:p w14:paraId="4DC9CA9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31</w:t>
            </w:r>
          </w:p>
        </w:tc>
        <w:tc>
          <w:tcPr>
            <w:tcW w:w="1218" w:type="pct"/>
          </w:tcPr>
          <w:p w14:paraId="516DEF33"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10,1</w:t>
            </w:r>
          </w:p>
        </w:tc>
        <w:tc>
          <w:tcPr>
            <w:tcW w:w="387" w:type="pct"/>
          </w:tcPr>
          <w:p w14:paraId="017E6A6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30</w:t>
            </w:r>
          </w:p>
        </w:tc>
        <w:tc>
          <w:tcPr>
            <w:tcW w:w="1217" w:type="pct"/>
          </w:tcPr>
          <w:p w14:paraId="69C469A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9,8</w:t>
            </w:r>
          </w:p>
        </w:tc>
      </w:tr>
      <w:tr w:rsidR="004667A0" w:rsidRPr="000E6AD2" w14:paraId="1B697798"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5340F1A0" w14:textId="77777777" w:rsidR="004667A0" w:rsidRPr="006B6CBC" w:rsidRDefault="004667A0" w:rsidP="006B6CBC">
            <w:pPr>
              <w:pStyle w:val="TabellHode-rad"/>
              <w:rPr>
                <w:b w:val="0"/>
                <w:bCs/>
              </w:rPr>
            </w:pPr>
            <w:r w:rsidRPr="006B6CBC">
              <w:rPr>
                <w:b w:val="0"/>
                <w:bCs/>
              </w:rPr>
              <w:t>Innlandet</w:t>
            </w:r>
          </w:p>
        </w:tc>
        <w:tc>
          <w:tcPr>
            <w:tcW w:w="387" w:type="pct"/>
          </w:tcPr>
          <w:p w14:paraId="7D8257E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33</w:t>
            </w:r>
          </w:p>
        </w:tc>
        <w:tc>
          <w:tcPr>
            <w:tcW w:w="1218" w:type="pct"/>
          </w:tcPr>
          <w:p w14:paraId="0C72E50E"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8,9</w:t>
            </w:r>
          </w:p>
        </w:tc>
        <w:tc>
          <w:tcPr>
            <w:tcW w:w="387" w:type="pct"/>
          </w:tcPr>
          <w:p w14:paraId="2EC9FD1D"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24</w:t>
            </w:r>
          </w:p>
        </w:tc>
        <w:tc>
          <w:tcPr>
            <w:tcW w:w="1217" w:type="pct"/>
          </w:tcPr>
          <w:p w14:paraId="16000FC3"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6,5</w:t>
            </w:r>
          </w:p>
        </w:tc>
      </w:tr>
      <w:tr w:rsidR="004667A0" w:rsidRPr="000E6AD2" w14:paraId="4DE75959"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381DCE32" w14:textId="77777777" w:rsidR="004667A0" w:rsidRPr="006B6CBC" w:rsidRDefault="004667A0" w:rsidP="006B6CBC">
            <w:pPr>
              <w:pStyle w:val="TabellHode-rad"/>
              <w:rPr>
                <w:b w:val="0"/>
                <w:bCs/>
              </w:rPr>
            </w:pPr>
            <w:r w:rsidRPr="006B6CBC">
              <w:rPr>
                <w:b w:val="0"/>
                <w:bCs/>
              </w:rPr>
              <w:t>Møre og Romsdal</w:t>
            </w:r>
          </w:p>
        </w:tc>
        <w:tc>
          <w:tcPr>
            <w:tcW w:w="387" w:type="pct"/>
          </w:tcPr>
          <w:p w14:paraId="6A7C350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11</w:t>
            </w:r>
          </w:p>
        </w:tc>
        <w:tc>
          <w:tcPr>
            <w:tcW w:w="1218" w:type="pct"/>
          </w:tcPr>
          <w:p w14:paraId="3A0BE1E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4,1</w:t>
            </w:r>
          </w:p>
        </w:tc>
        <w:tc>
          <w:tcPr>
            <w:tcW w:w="387" w:type="pct"/>
          </w:tcPr>
          <w:p w14:paraId="74E54A6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12</w:t>
            </w:r>
          </w:p>
        </w:tc>
        <w:tc>
          <w:tcPr>
            <w:tcW w:w="1217" w:type="pct"/>
          </w:tcPr>
          <w:p w14:paraId="1B635CA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4,5</w:t>
            </w:r>
          </w:p>
        </w:tc>
      </w:tr>
      <w:tr w:rsidR="004667A0" w:rsidRPr="000E6AD2" w14:paraId="4BD94B22"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3F5B98E1" w14:textId="77777777" w:rsidR="004667A0" w:rsidRPr="006B6CBC" w:rsidRDefault="004667A0" w:rsidP="006B6CBC">
            <w:pPr>
              <w:pStyle w:val="TabellHode-rad"/>
              <w:rPr>
                <w:b w:val="0"/>
                <w:bCs/>
              </w:rPr>
            </w:pPr>
            <w:r w:rsidRPr="006B6CBC">
              <w:rPr>
                <w:b w:val="0"/>
                <w:bCs/>
              </w:rPr>
              <w:t>Nordland</w:t>
            </w:r>
          </w:p>
        </w:tc>
        <w:tc>
          <w:tcPr>
            <w:tcW w:w="387" w:type="pct"/>
          </w:tcPr>
          <w:p w14:paraId="3804B8A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22</w:t>
            </w:r>
          </w:p>
        </w:tc>
        <w:tc>
          <w:tcPr>
            <w:tcW w:w="1218" w:type="pct"/>
          </w:tcPr>
          <w:p w14:paraId="282C61A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9,1</w:t>
            </w:r>
          </w:p>
        </w:tc>
        <w:tc>
          <w:tcPr>
            <w:tcW w:w="387" w:type="pct"/>
          </w:tcPr>
          <w:p w14:paraId="49AB9AC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22</w:t>
            </w:r>
          </w:p>
        </w:tc>
        <w:tc>
          <w:tcPr>
            <w:tcW w:w="1217" w:type="pct"/>
          </w:tcPr>
          <w:p w14:paraId="575DFDAA"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9,1</w:t>
            </w:r>
          </w:p>
        </w:tc>
      </w:tr>
      <w:tr w:rsidR="004667A0" w:rsidRPr="000E6AD2" w14:paraId="427CE127"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A24322A" w14:textId="77777777" w:rsidR="004667A0" w:rsidRPr="006B6CBC" w:rsidRDefault="004667A0" w:rsidP="006B6CBC">
            <w:pPr>
              <w:pStyle w:val="TabellHode-rad"/>
              <w:rPr>
                <w:b w:val="0"/>
                <w:bCs/>
              </w:rPr>
            </w:pPr>
            <w:r w:rsidRPr="006B6CBC">
              <w:rPr>
                <w:b w:val="0"/>
                <w:bCs/>
              </w:rPr>
              <w:t>Oslo</w:t>
            </w:r>
          </w:p>
        </w:tc>
        <w:tc>
          <w:tcPr>
            <w:tcW w:w="387" w:type="pct"/>
          </w:tcPr>
          <w:p w14:paraId="09A554C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24</w:t>
            </w:r>
          </w:p>
        </w:tc>
        <w:tc>
          <w:tcPr>
            <w:tcW w:w="1218" w:type="pct"/>
          </w:tcPr>
          <w:p w14:paraId="26B2B9ED"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3,5</w:t>
            </w:r>
          </w:p>
        </w:tc>
        <w:tc>
          <w:tcPr>
            <w:tcW w:w="387" w:type="pct"/>
          </w:tcPr>
          <w:p w14:paraId="31938C3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29</w:t>
            </w:r>
          </w:p>
        </w:tc>
        <w:tc>
          <w:tcPr>
            <w:tcW w:w="1217" w:type="pct"/>
          </w:tcPr>
          <w:p w14:paraId="04761E8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4,2</w:t>
            </w:r>
          </w:p>
        </w:tc>
      </w:tr>
      <w:tr w:rsidR="004667A0" w:rsidRPr="000E6AD2" w14:paraId="349EC36E"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4BD6680A" w14:textId="77777777" w:rsidR="004667A0" w:rsidRPr="006B6CBC" w:rsidRDefault="004667A0" w:rsidP="006B6CBC">
            <w:pPr>
              <w:pStyle w:val="TabellHode-rad"/>
              <w:rPr>
                <w:b w:val="0"/>
                <w:bCs/>
              </w:rPr>
            </w:pPr>
            <w:r w:rsidRPr="006B6CBC">
              <w:rPr>
                <w:b w:val="0"/>
                <w:bCs/>
              </w:rPr>
              <w:t>Rogaland</w:t>
            </w:r>
          </w:p>
        </w:tc>
        <w:tc>
          <w:tcPr>
            <w:tcW w:w="387" w:type="pct"/>
          </w:tcPr>
          <w:p w14:paraId="7B621D6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16</w:t>
            </w:r>
          </w:p>
        </w:tc>
        <w:tc>
          <w:tcPr>
            <w:tcW w:w="1218" w:type="pct"/>
          </w:tcPr>
          <w:p w14:paraId="7E0FB79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3,3</w:t>
            </w:r>
          </w:p>
        </w:tc>
        <w:tc>
          <w:tcPr>
            <w:tcW w:w="387" w:type="pct"/>
          </w:tcPr>
          <w:p w14:paraId="3C03D3C8"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28</w:t>
            </w:r>
          </w:p>
        </w:tc>
        <w:tc>
          <w:tcPr>
            <w:tcW w:w="1217" w:type="pct"/>
          </w:tcPr>
          <w:p w14:paraId="79E0801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5,8</w:t>
            </w:r>
          </w:p>
        </w:tc>
      </w:tr>
      <w:tr w:rsidR="004667A0" w:rsidRPr="000E6AD2" w14:paraId="13884CDF"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49BC1B1E" w14:textId="77777777" w:rsidR="004667A0" w:rsidRPr="006B6CBC" w:rsidRDefault="004667A0" w:rsidP="006B6CBC">
            <w:pPr>
              <w:pStyle w:val="TabellHode-rad"/>
              <w:rPr>
                <w:b w:val="0"/>
                <w:bCs/>
              </w:rPr>
            </w:pPr>
            <w:r w:rsidRPr="006B6CBC">
              <w:rPr>
                <w:b w:val="0"/>
                <w:bCs/>
              </w:rPr>
              <w:t>Troms og Finnmark</w:t>
            </w:r>
          </w:p>
        </w:tc>
        <w:tc>
          <w:tcPr>
            <w:tcW w:w="387" w:type="pct"/>
          </w:tcPr>
          <w:p w14:paraId="506924AA"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31</w:t>
            </w:r>
          </w:p>
        </w:tc>
        <w:tc>
          <w:tcPr>
            <w:tcW w:w="1218" w:type="pct"/>
          </w:tcPr>
          <w:p w14:paraId="6CB074A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12,7</w:t>
            </w:r>
          </w:p>
        </w:tc>
        <w:tc>
          <w:tcPr>
            <w:tcW w:w="387" w:type="pct"/>
          </w:tcPr>
          <w:p w14:paraId="487753C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22</w:t>
            </w:r>
          </w:p>
        </w:tc>
        <w:tc>
          <w:tcPr>
            <w:tcW w:w="1217" w:type="pct"/>
          </w:tcPr>
          <w:p w14:paraId="24D4D1F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9,0</w:t>
            </w:r>
          </w:p>
        </w:tc>
      </w:tr>
      <w:tr w:rsidR="004667A0" w:rsidRPr="000E6AD2" w14:paraId="1634CB44"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EF9D3D0" w14:textId="77777777" w:rsidR="004667A0" w:rsidRPr="006B6CBC" w:rsidRDefault="004667A0" w:rsidP="006B6CBC">
            <w:pPr>
              <w:pStyle w:val="TabellHode-rad"/>
              <w:rPr>
                <w:b w:val="0"/>
                <w:bCs/>
              </w:rPr>
            </w:pPr>
            <w:r w:rsidRPr="006B6CBC">
              <w:rPr>
                <w:b w:val="0"/>
                <w:bCs/>
              </w:rPr>
              <w:t>Trøndelag</w:t>
            </w:r>
          </w:p>
        </w:tc>
        <w:tc>
          <w:tcPr>
            <w:tcW w:w="387" w:type="pct"/>
          </w:tcPr>
          <w:p w14:paraId="013FB36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30</w:t>
            </w:r>
          </w:p>
        </w:tc>
        <w:tc>
          <w:tcPr>
            <w:tcW w:w="1218" w:type="pct"/>
          </w:tcPr>
          <w:p w14:paraId="03D1111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6,4</w:t>
            </w:r>
          </w:p>
        </w:tc>
        <w:tc>
          <w:tcPr>
            <w:tcW w:w="387" w:type="pct"/>
          </w:tcPr>
          <w:p w14:paraId="06886C9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20</w:t>
            </w:r>
          </w:p>
        </w:tc>
        <w:tc>
          <w:tcPr>
            <w:tcW w:w="1217" w:type="pct"/>
          </w:tcPr>
          <w:p w14:paraId="3ABA3FF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4,3</w:t>
            </w:r>
          </w:p>
        </w:tc>
      </w:tr>
      <w:tr w:rsidR="004667A0" w:rsidRPr="000E6AD2" w14:paraId="2462B129"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02669A44" w14:textId="77777777" w:rsidR="004667A0" w:rsidRPr="006B6CBC" w:rsidRDefault="004667A0" w:rsidP="006B6CBC">
            <w:pPr>
              <w:pStyle w:val="TabellHode-rad"/>
              <w:rPr>
                <w:b w:val="0"/>
                <w:bCs/>
              </w:rPr>
            </w:pPr>
            <w:r w:rsidRPr="006B6CBC">
              <w:rPr>
                <w:b w:val="0"/>
                <w:bCs/>
              </w:rPr>
              <w:t>Vestfold og Telemark</w:t>
            </w:r>
          </w:p>
        </w:tc>
        <w:tc>
          <w:tcPr>
            <w:tcW w:w="387" w:type="pct"/>
          </w:tcPr>
          <w:p w14:paraId="3538DCC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32</w:t>
            </w:r>
          </w:p>
        </w:tc>
        <w:tc>
          <w:tcPr>
            <w:tcW w:w="1218" w:type="pct"/>
          </w:tcPr>
          <w:p w14:paraId="617A690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7,6</w:t>
            </w:r>
          </w:p>
        </w:tc>
        <w:tc>
          <w:tcPr>
            <w:tcW w:w="387" w:type="pct"/>
          </w:tcPr>
          <w:p w14:paraId="301B2A6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32</w:t>
            </w:r>
          </w:p>
        </w:tc>
        <w:tc>
          <w:tcPr>
            <w:tcW w:w="1217" w:type="pct"/>
          </w:tcPr>
          <w:p w14:paraId="1D3564A4"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7,6</w:t>
            </w:r>
          </w:p>
        </w:tc>
      </w:tr>
      <w:tr w:rsidR="004667A0" w:rsidRPr="000E6AD2" w14:paraId="629EFA2D"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7933339A" w14:textId="77777777" w:rsidR="004667A0" w:rsidRPr="006B6CBC" w:rsidRDefault="004667A0" w:rsidP="006B6CBC">
            <w:pPr>
              <w:pStyle w:val="TabellHode-rad"/>
              <w:rPr>
                <w:b w:val="0"/>
                <w:bCs/>
              </w:rPr>
            </w:pPr>
            <w:r w:rsidRPr="006B6CBC">
              <w:rPr>
                <w:b w:val="0"/>
                <w:bCs/>
              </w:rPr>
              <w:t>Vestland</w:t>
            </w:r>
          </w:p>
        </w:tc>
        <w:tc>
          <w:tcPr>
            <w:tcW w:w="387" w:type="pct"/>
          </w:tcPr>
          <w:p w14:paraId="3C4FA69D"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52</w:t>
            </w:r>
          </w:p>
        </w:tc>
        <w:tc>
          <w:tcPr>
            <w:tcW w:w="1218" w:type="pct"/>
          </w:tcPr>
          <w:p w14:paraId="56B79EB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8,2</w:t>
            </w:r>
          </w:p>
        </w:tc>
        <w:tc>
          <w:tcPr>
            <w:tcW w:w="387" w:type="pct"/>
          </w:tcPr>
          <w:p w14:paraId="5D4FB4F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45</w:t>
            </w:r>
          </w:p>
        </w:tc>
        <w:tc>
          <w:tcPr>
            <w:tcW w:w="1217" w:type="pct"/>
          </w:tcPr>
          <w:p w14:paraId="55DEE25D"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7,1</w:t>
            </w:r>
          </w:p>
        </w:tc>
      </w:tr>
      <w:tr w:rsidR="004667A0" w:rsidRPr="000E6AD2" w14:paraId="5FCF315C"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07F07BE0" w14:textId="77777777" w:rsidR="004667A0" w:rsidRPr="006B6CBC" w:rsidRDefault="004667A0" w:rsidP="006B6CBC">
            <w:pPr>
              <w:pStyle w:val="TabellHode-rad"/>
              <w:rPr>
                <w:b w:val="0"/>
                <w:bCs/>
              </w:rPr>
            </w:pPr>
            <w:r w:rsidRPr="006B6CBC">
              <w:rPr>
                <w:b w:val="0"/>
                <w:bCs/>
              </w:rPr>
              <w:t>Viken</w:t>
            </w:r>
          </w:p>
        </w:tc>
        <w:tc>
          <w:tcPr>
            <w:tcW w:w="387" w:type="pct"/>
          </w:tcPr>
          <w:p w14:paraId="2FCCE69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62</w:t>
            </w:r>
          </w:p>
        </w:tc>
        <w:tc>
          <w:tcPr>
            <w:tcW w:w="1218" w:type="pct"/>
          </w:tcPr>
          <w:p w14:paraId="62B6FAC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5,0</w:t>
            </w:r>
          </w:p>
        </w:tc>
        <w:tc>
          <w:tcPr>
            <w:tcW w:w="387" w:type="pct"/>
          </w:tcPr>
          <w:p w14:paraId="20BEBE6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59</w:t>
            </w:r>
          </w:p>
        </w:tc>
        <w:tc>
          <w:tcPr>
            <w:tcW w:w="1217" w:type="pct"/>
          </w:tcPr>
          <w:p w14:paraId="509ADAF8"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4,8</w:t>
            </w:r>
          </w:p>
        </w:tc>
      </w:tr>
      <w:tr w:rsidR="004667A0" w:rsidRPr="000E6AD2" w14:paraId="2BE11D33" w14:textId="77777777" w:rsidTr="00181064">
        <w:tc>
          <w:tcPr>
            <w:cnfStyle w:val="001000000000" w:firstRow="0" w:lastRow="0" w:firstColumn="1" w:lastColumn="0" w:oddVBand="0" w:evenVBand="0" w:oddHBand="0" w:evenHBand="0" w:firstRowFirstColumn="0" w:firstRowLastColumn="0" w:lastRowFirstColumn="0" w:lastRowLastColumn="0"/>
            <w:tcW w:w="5000" w:type="pct"/>
            <w:gridSpan w:val="5"/>
          </w:tcPr>
          <w:p w14:paraId="2AA58B63" w14:textId="77777777" w:rsidR="004667A0" w:rsidRPr="006B6CBC" w:rsidRDefault="004667A0" w:rsidP="00E41D13">
            <w:pPr>
              <w:pStyle w:val="TabellHode-rad"/>
              <w:rPr>
                <w:rStyle w:val="halvfet"/>
                <w:b/>
                <w:bCs/>
              </w:rPr>
            </w:pPr>
            <w:r w:rsidRPr="006B6CBC">
              <w:rPr>
                <w:rStyle w:val="halvfet"/>
                <w:b/>
                <w:bCs/>
              </w:rPr>
              <w:t>Kommunesentralitet</w:t>
            </w:r>
          </w:p>
        </w:tc>
      </w:tr>
      <w:tr w:rsidR="004667A0" w:rsidRPr="000E6AD2" w14:paraId="6E6A3678"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7629E4E5" w14:textId="77777777" w:rsidR="004667A0" w:rsidRPr="006B6CBC" w:rsidRDefault="004667A0" w:rsidP="006B6CBC">
            <w:pPr>
              <w:pStyle w:val="TabellHode-rad"/>
              <w:rPr>
                <w:b w:val="0"/>
                <w:bCs/>
              </w:rPr>
            </w:pPr>
            <w:r w:rsidRPr="006B6CBC">
              <w:rPr>
                <w:b w:val="0"/>
                <w:bCs/>
              </w:rPr>
              <w:t>Sentralitetsklasse 1</w:t>
            </w:r>
          </w:p>
        </w:tc>
        <w:tc>
          <w:tcPr>
            <w:tcW w:w="387" w:type="pct"/>
          </w:tcPr>
          <w:p w14:paraId="403F2E4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42</w:t>
            </w:r>
          </w:p>
        </w:tc>
        <w:tc>
          <w:tcPr>
            <w:tcW w:w="1218" w:type="pct"/>
          </w:tcPr>
          <w:p w14:paraId="52E0761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4,2</w:t>
            </w:r>
          </w:p>
        </w:tc>
        <w:tc>
          <w:tcPr>
            <w:tcW w:w="387" w:type="pct"/>
          </w:tcPr>
          <w:p w14:paraId="082072E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43</w:t>
            </w:r>
          </w:p>
        </w:tc>
        <w:tc>
          <w:tcPr>
            <w:tcW w:w="1217" w:type="pct"/>
          </w:tcPr>
          <w:p w14:paraId="5FE4FA7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4,3</w:t>
            </w:r>
          </w:p>
        </w:tc>
      </w:tr>
      <w:tr w:rsidR="004667A0" w:rsidRPr="000E6AD2" w14:paraId="06CA0A69"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7BB8881C" w14:textId="77777777" w:rsidR="004667A0" w:rsidRPr="006B6CBC" w:rsidRDefault="004667A0" w:rsidP="006B6CBC">
            <w:pPr>
              <w:pStyle w:val="TabellHode-rad"/>
              <w:rPr>
                <w:b w:val="0"/>
                <w:bCs/>
              </w:rPr>
            </w:pPr>
            <w:r w:rsidRPr="006B6CBC">
              <w:rPr>
                <w:b w:val="0"/>
                <w:bCs/>
              </w:rPr>
              <w:t>Sentralitetsklasse 2</w:t>
            </w:r>
          </w:p>
        </w:tc>
        <w:tc>
          <w:tcPr>
            <w:tcW w:w="387" w:type="pct"/>
          </w:tcPr>
          <w:p w14:paraId="714A9760"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68</w:t>
            </w:r>
          </w:p>
        </w:tc>
        <w:tc>
          <w:tcPr>
            <w:tcW w:w="1218" w:type="pct"/>
          </w:tcPr>
          <w:p w14:paraId="559E2BC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5,0</w:t>
            </w:r>
          </w:p>
        </w:tc>
        <w:tc>
          <w:tcPr>
            <w:tcW w:w="387" w:type="pct"/>
          </w:tcPr>
          <w:p w14:paraId="3002F69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57</w:t>
            </w:r>
          </w:p>
        </w:tc>
        <w:tc>
          <w:tcPr>
            <w:tcW w:w="1217" w:type="pct"/>
          </w:tcPr>
          <w:p w14:paraId="7CBA011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4,2</w:t>
            </w:r>
          </w:p>
        </w:tc>
      </w:tr>
      <w:tr w:rsidR="004667A0" w:rsidRPr="000E6AD2" w14:paraId="525EC925"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0FFE1346" w14:textId="77777777" w:rsidR="004667A0" w:rsidRPr="006B6CBC" w:rsidRDefault="004667A0" w:rsidP="006B6CBC">
            <w:pPr>
              <w:pStyle w:val="TabellHode-rad"/>
              <w:rPr>
                <w:b w:val="0"/>
                <w:bCs/>
              </w:rPr>
            </w:pPr>
            <w:r w:rsidRPr="006B6CBC">
              <w:rPr>
                <w:b w:val="0"/>
                <w:bCs/>
              </w:rPr>
              <w:t>Sentralitetsklasse 3</w:t>
            </w:r>
          </w:p>
        </w:tc>
        <w:tc>
          <w:tcPr>
            <w:tcW w:w="387" w:type="pct"/>
          </w:tcPr>
          <w:p w14:paraId="21360F9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69</w:t>
            </w:r>
          </w:p>
        </w:tc>
        <w:tc>
          <w:tcPr>
            <w:tcW w:w="1218" w:type="pct"/>
          </w:tcPr>
          <w:p w14:paraId="3200DF4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5,1</w:t>
            </w:r>
          </w:p>
        </w:tc>
        <w:tc>
          <w:tcPr>
            <w:tcW w:w="387" w:type="pct"/>
          </w:tcPr>
          <w:p w14:paraId="6683B02A"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87</w:t>
            </w:r>
          </w:p>
        </w:tc>
        <w:tc>
          <w:tcPr>
            <w:tcW w:w="1217" w:type="pct"/>
          </w:tcPr>
          <w:p w14:paraId="650A2C9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6,4</w:t>
            </w:r>
          </w:p>
        </w:tc>
      </w:tr>
      <w:tr w:rsidR="004667A0" w:rsidRPr="000E6AD2" w14:paraId="5F00B94F"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1957742C" w14:textId="77777777" w:rsidR="004667A0" w:rsidRPr="006B6CBC" w:rsidRDefault="004667A0" w:rsidP="006B6CBC">
            <w:pPr>
              <w:pStyle w:val="TabellHode-rad"/>
              <w:rPr>
                <w:b w:val="0"/>
                <w:bCs/>
              </w:rPr>
            </w:pPr>
            <w:r w:rsidRPr="006B6CBC">
              <w:rPr>
                <w:b w:val="0"/>
                <w:bCs/>
              </w:rPr>
              <w:t>Sentralitetsklasse 4</w:t>
            </w:r>
          </w:p>
        </w:tc>
        <w:tc>
          <w:tcPr>
            <w:tcW w:w="387" w:type="pct"/>
          </w:tcPr>
          <w:p w14:paraId="4B108CC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83</w:t>
            </w:r>
          </w:p>
        </w:tc>
        <w:tc>
          <w:tcPr>
            <w:tcW w:w="1218" w:type="pct"/>
          </w:tcPr>
          <w:p w14:paraId="54F4C0F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9,5</w:t>
            </w:r>
          </w:p>
        </w:tc>
        <w:tc>
          <w:tcPr>
            <w:tcW w:w="387" w:type="pct"/>
          </w:tcPr>
          <w:p w14:paraId="4C9BE9C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70</w:t>
            </w:r>
          </w:p>
        </w:tc>
        <w:tc>
          <w:tcPr>
            <w:tcW w:w="1217" w:type="pct"/>
          </w:tcPr>
          <w:p w14:paraId="1464183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8,0</w:t>
            </w:r>
          </w:p>
        </w:tc>
      </w:tr>
      <w:tr w:rsidR="004667A0" w:rsidRPr="000E6AD2" w14:paraId="27AAF5A3"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39D1FDAA" w14:textId="77777777" w:rsidR="004667A0" w:rsidRPr="006B6CBC" w:rsidRDefault="004667A0" w:rsidP="006B6CBC">
            <w:pPr>
              <w:pStyle w:val="TabellHode-rad"/>
              <w:rPr>
                <w:b w:val="0"/>
                <w:bCs/>
              </w:rPr>
            </w:pPr>
            <w:r w:rsidRPr="006B6CBC">
              <w:rPr>
                <w:b w:val="0"/>
                <w:bCs/>
              </w:rPr>
              <w:lastRenderedPageBreak/>
              <w:t>Sentralitetsklasse 5</w:t>
            </w:r>
          </w:p>
        </w:tc>
        <w:tc>
          <w:tcPr>
            <w:tcW w:w="387" w:type="pct"/>
          </w:tcPr>
          <w:p w14:paraId="47FD472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44</w:t>
            </w:r>
          </w:p>
        </w:tc>
        <w:tc>
          <w:tcPr>
            <w:tcW w:w="1218" w:type="pct"/>
          </w:tcPr>
          <w:p w14:paraId="5A9FD90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8,8</w:t>
            </w:r>
          </w:p>
        </w:tc>
        <w:tc>
          <w:tcPr>
            <w:tcW w:w="387" w:type="pct"/>
          </w:tcPr>
          <w:p w14:paraId="4155689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38</w:t>
            </w:r>
          </w:p>
        </w:tc>
        <w:tc>
          <w:tcPr>
            <w:tcW w:w="1217" w:type="pct"/>
          </w:tcPr>
          <w:p w14:paraId="049A1F2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7,6</w:t>
            </w:r>
          </w:p>
        </w:tc>
      </w:tr>
      <w:tr w:rsidR="004667A0" w:rsidRPr="000E6AD2" w14:paraId="35266675"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49E4475" w14:textId="77777777" w:rsidR="004667A0" w:rsidRPr="006B6CBC" w:rsidRDefault="004667A0" w:rsidP="006B6CBC">
            <w:pPr>
              <w:pStyle w:val="TabellHode-rad"/>
              <w:rPr>
                <w:b w:val="0"/>
                <w:bCs/>
              </w:rPr>
            </w:pPr>
            <w:r w:rsidRPr="006B6CBC">
              <w:rPr>
                <w:b w:val="0"/>
                <w:bCs/>
              </w:rPr>
              <w:t>Sentralitetsklasse 6</w:t>
            </w:r>
          </w:p>
        </w:tc>
        <w:tc>
          <w:tcPr>
            <w:tcW w:w="387" w:type="pct"/>
          </w:tcPr>
          <w:p w14:paraId="26B518F8"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38</w:t>
            </w:r>
          </w:p>
        </w:tc>
        <w:tc>
          <w:tcPr>
            <w:tcW w:w="1218" w:type="pct"/>
          </w:tcPr>
          <w:p w14:paraId="0C8B9B1E"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16,0</w:t>
            </w:r>
          </w:p>
        </w:tc>
        <w:tc>
          <w:tcPr>
            <w:tcW w:w="387" w:type="pct"/>
          </w:tcPr>
          <w:p w14:paraId="62CA8A24"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28</w:t>
            </w:r>
          </w:p>
        </w:tc>
        <w:tc>
          <w:tcPr>
            <w:tcW w:w="1217" w:type="pct"/>
          </w:tcPr>
          <w:p w14:paraId="0F22626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11,8</w:t>
            </w:r>
          </w:p>
        </w:tc>
      </w:tr>
      <w:tr w:rsidR="004667A0" w:rsidRPr="000E6AD2" w14:paraId="2537FC3F" w14:textId="77777777" w:rsidTr="00181064">
        <w:tc>
          <w:tcPr>
            <w:cnfStyle w:val="001000000000" w:firstRow="0" w:lastRow="0" w:firstColumn="1" w:lastColumn="0" w:oddVBand="0" w:evenVBand="0" w:oddHBand="0" w:evenHBand="0" w:firstRowFirstColumn="0" w:firstRowLastColumn="0" w:lastRowFirstColumn="0" w:lastRowLastColumn="0"/>
            <w:tcW w:w="5000" w:type="pct"/>
            <w:gridSpan w:val="5"/>
          </w:tcPr>
          <w:p w14:paraId="1D356A34" w14:textId="77777777" w:rsidR="004667A0" w:rsidRPr="006B6CBC" w:rsidRDefault="004667A0" w:rsidP="00E41D13">
            <w:pPr>
              <w:pStyle w:val="TabellHode-rad"/>
              <w:rPr>
                <w:rStyle w:val="halvfet"/>
                <w:b/>
                <w:bCs/>
              </w:rPr>
            </w:pPr>
            <w:r w:rsidRPr="006B6CBC">
              <w:rPr>
                <w:rStyle w:val="halvfet"/>
                <w:b/>
                <w:bCs/>
              </w:rPr>
              <w:t>Kommunestørrelse</w:t>
            </w:r>
          </w:p>
        </w:tc>
      </w:tr>
      <w:tr w:rsidR="004667A0" w:rsidRPr="000E6AD2" w14:paraId="7C90C955"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FD4CEEE" w14:textId="6704CD20" w:rsidR="004667A0" w:rsidRPr="00D9107F" w:rsidRDefault="004667A0" w:rsidP="006B6CBC">
            <w:pPr>
              <w:pStyle w:val="TabellHode-rad"/>
              <w:rPr>
                <w:rStyle w:val="halvfet"/>
              </w:rPr>
            </w:pPr>
            <w:r w:rsidRPr="00D9107F">
              <w:rPr>
                <w:rStyle w:val="halvfet"/>
              </w:rPr>
              <w:t>&lt;</w:t>
            </w:r>
            <w:r w:rsidR="00D9107F" w:rsidRPr="00D9107F">
              <w:rPr>
                <w:rStyle w:val="halvfet"/>
              </w:rPr>
              <w:t>3 001</w:t>
            </w:r>
          </w:p>
        </w:tc>
        <w:tc>
          <w:tcPr>
            <w:tcW w:w="387" w:type="pct"/>
          </w:tcPr>
          <w:p w14:paraId="52137CB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32</w:t>
            </w:r>
          </w:p>
        </w:tc>
        <w:tc>
          <w:tcPr>
            <w:tcW w:w="1218" w:type="pct"/>
          </w:tcPr>
          <w:p w14:paraId="50A3726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14,2</w:t>
            </w:r>
          </w:p>
        </w:tc>
        <w:tc>
          <w:tcPr>
            <w:tcW w:w="387" w:type="pct"/>
          </w:tcPr>
          <w:p w14:paraId="2969E7E3"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23</w:t>
            </w:r>
          </w:p>
        </w:tc>
        <w:tc>
          <w:tcPr>
            <w:tcW w:w="1217" w:type="pct"/>
          </w:tcPr>
          <w:p w14:paraId="5EF1C7F4"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10,2</w:t>
            </w:r>
          </w:p>
        </w:tc>
      </w:tr>
      <w:tr w:rsidR="004667A0" w:rsidRPr="000E6AD2" w14:paraId="01F84558"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5988BF15" w14:textId="1568694C" w:rsidR="004667A0" w:rsidRPr="00D9107F" w:rsidRDefault="00D9107F" w:rsidP="006B6CBC">
            <w:pPr>
              <w:pStyle w:val="TabellHode-rad"/>
              <w:rPr>
                <w:rStyle w:val="halvfet"/>
              </w:rPr>
            </w:pPr>
            <w:r w:rsidRPr="00D9107F">
              <w:rPr>
                <w:rStyle w:val="halvfet"/>
              </w:rPr>
              <w:t>3 001</w:t>
            </w:r>
            <w:r w:rsidR="004667A0" w:rsidRPr="00D9107F">
              <w:rPr>
                <w:rStyle w:val="halvfet"/>
              </w:rPr>
              <w:t>-</w:t>
            </w:r>
            <w:r w:rsidRPr="00D9107F">
              <w:rPr>
                <w:rStyle w:val="halvfet"/>
              </w:rPr>
              <w:t>5 000</w:t>
            </w:r>
          </w:p>
        </w:tc>
        <w:tc>
          <w:tcPr>
            <w:tcW w:w="387" w:type="pct"/>
          </w:tcPr>
          <w:p w14:paraId="6E17768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20</w:t>
            </w:r>
          </w:p>
        </w:tc>
        <w:tc>
          <w:tcPr>
            <w:tcW w:w="1218" w:type="pct"/>
          </w:tcPr>
          <w:p w14:paraId="152BC49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10,8</w:t>
            </w:r>
          </w:p>
        </w:tc>
        <w:tc>
          <w:tcPr>
            <w:tcW w:w="387" w:type="pct"/>
          </w:tcPr>
          <w:p w14:paraId="4B224FF1"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18</w:t>
            </w:r>
          </w:p>
        </w:tc>
        <w:tc>
          <w:tcPr>
            <w:tcW w:w="1217" w:type="pct"/>
          </w:tcPr>
          <w:p w14:paraId="7E619E0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9,7</w:t>
            </w:r>
          </w:p>
        </w:tc>
      </w:tr>
      <w:tr w:rsidR="004667A0" w:rsidRPr="000E6AD2" w14:paraId="6D580073"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2C88E982" w14:textId="61D85BE3" w:rsidR="004667A0" w:rsidRPr="00D9107F" w:rsidRDefault="00D9107F" w:rsidP="006B6CBC">
            <w:pPr>
              <w:pStyle w:val="TabellHode-rad"/>
              <w:rPr>
                <w:rStyle w:val="halvfet"/>
              </w:rPr>
            </w:pPr>
            <w:r w:rsidRPr="00D9107F">
              <w:rPr>
                <w:rStyle w:val="halvfet"/>
              </w:rPr>
              <w:t>5 001</w:t>
            </w:r>
            <w:r w:rsidR="004667A0" w:rsidRPr="00D9107F">
              <w:rPr>
                <w:rStyle w:val="halvfet"/>
              </w:rPr>
              <w:t>-1</w:t>
            </w:r>
            <w:r w:rsidRPr="00D9107F">
              <w:rPr>
                <w:rStyle w:val="halvfet"/>
              </w:rPr>
              <w:t>0 000</w:t>
            </w:r>
          </w:p>
        </w:tc>
        <w:tc>
          <w:tcPr>
            <w:tcW w:w="387" w:type="pct"/>
          </w:tcPr>
          <w:p w14:paraId="1B72DDF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44</w:t>
            </w:r>
          </w:p>
        </w:tc>
        <w:tc>
          <w:tcPr>
            <w:tcW w:w="1218" w:type="pct"/>
          </w:tcPr>
          <w:p w14:paraId="20BA575A"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9,1</w:t>
            </w:r>
          </w:p>
        </w:tc>
        <w:tc>
          <w:tcPr>
            <w:tcW w:w="387" w:type="pct"/>
          </w:tcPr>
          <w:p w14:paraId="27B5CC8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32</w:t>
            </w:r>
          </w:p>
        </w:tc>
        <w:tc>
          <w:tcPr>
            <w:tcW w:w="1217" w:type="pct"/>
          </w:tcPr>
          <w:p w14:paraId="0473E655"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6,6</w:t>
            </w:r>
          </w:p>
        </w:tc>
      </w:tr>
      <w:tr w:rsidR="004667A0" w:rsidRPr="000E6AD2" w14:paraId="04E56212"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416371C" w14:textId="42FBC6BD" w:rsidR="004667A0" w:rsidRPr="00D9107F" w:rsidRDefault="004667A0" w:rsidP="006B6CBC">
            <w:pPr>
              <w:pStyle w:val="TabellHode-rad"/>
              <w:rPr>
                <w:rStyle w:val="halvfet"/>
              </w:rPr>
            </w:pPr>
            <w:r w:rsidRPr="00D9107F">
              <w:rPr>
                <w:rStyle w:val="halvfet"/>
              </w:rPr>
              <w:t>1</w:t>
            </w:r>
            <w:r w:rsidR="00D9107F" w:rsidRPr="00D9107F">
              <w:rPr>
                <w:rStyle w:val="halvfet"/>
              </w:rPr>
              <w:t>0 001</w:t>
            </w:r>
            <w:r w:rsidRPr="00D9107F">
              <w:rPr>
                <w:rStyle w:val="halvfet"/>
              </w:rPr>
              <w:t>-2</w:t>
            </w:r>
            <w:r w:rsidR="00D9107F" w:rsidRPr="00D9107F">
              <w:rPr>
                <w:rStyle w:val="halvfet"/>
              </w:rPr>
              <w:t>5 000</w:t>
            </w:r>
          </w:p>
        </w:tc>
        <w:tc>
          <w:tcPr>
            <w:tcW w:w="387" w:type="pct"/>
          </w:tcPr>
          <w:p w14:paraId="434D066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84</w:t>
            </w:r>
          </w:p>
        </w:tc>
        <w:tc>
          <w:tcPr>
            <w:tcW w:w="1218" w:type="pct"/>
          </w:tcPr>
          <w:p w14:paraId="7CFBD0C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7,5</w:t>
            </w:r>
          </w:p>
        </w:tc>
        <w:tc>
          <w:tcPr>
            <w:tcW w:w="387" w:type="pct"/>
          </w:tcPr>
          <w:p w14:paraId="6385F61A"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83</w:t>
            </w:r>
          </w:p>
        </w:tc>
        <w:tc>
          <w:tcPr>
            <w:tcW w:w="1217" w:type="pct"/>
          </w:tcPr>
          <w:p w14:paraId="253F351D"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7,4</w:t>
            </w:r>
          </w:p>
        </w:tc>
      </w:tr>
      <w:tr w:rsidR="004667A0" w:rsidRPr="000E6AD2" w14:paraId="7BB88958"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6EEFF96B" w14:textId="56C5E53C" w:rsidR="004667A0" w:rsidRPr="00D9107F" w:rsidRDefault="004667A0" w:rsidP="006B6CBC">
            <w:pPr>
              <w:pStyle w:val="TabellHode-rad"/>
              <w:rPr>
                <w:rStyle w:val="halvfet"/>
              </w:rPr>
            </w:pPr>
            <w:r w:rsidRPr="00D9107F">
              <w:rPr>
                <w:rStyle w:val="halvfet"/>
              </w:rPr>
              <w:t>2</w:t>
            </w:r>
            <w:r w:rsidR="00D9107F" w:rsidRPr="00D9107F">
              <w:rPr>
                <w:rStyle w:val="halvfet"/>
              </w:rPr>
              <w:t>5 001</w:t>
            </w:r>
            <w:r w:rsidRPr="00D9107F">
              <w:rPr>
                <w:rStyle w:val="halvfet"/>
              </w:rPr>
              <w:t>-5</w:t>
            </w:r>
            <w:r w:rsidR="00D9107F" w:rsidRPr="00D9107F">
              <w:rPr>
                <w:rStyle w:val="halvfet"/>
              </w:rPr>
              <w:t>0 000</w:t>
            </w:r>
          </w:p>
        </w:tc>
        <w:tc>
          <w:tcPr>
            <w:tcW w:w="387" w:type="pct"/>
          </w:tcPr>
          <w:p w14:paraId="07407682"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49</w:t>
            </w:r>
          </w:p>
        </w:tc>
        <w:tc>
          <w:tcPr>
            <w:tcW w:w="1218" w:type="pct"/>
          </w:tcPr>
          <w:p w14:paraId="4F0F1DC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5,7</w:t>
            </w:r>
          </w:p>
        </w:tc>
        <w:tc>
          <w:tcPr>
            <w:tcW w:w="387" w:type="pct"/>
          </w:tcPr>
          <w:p w14:paraId="11F68994"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59</w:t>
            </w:r>
          </w:p>
        </w:tc>
        <w:tc>
          <w:tcPr>
            <w:tcW w:w="1217" w:type="pct"/>
          </w:tcPr>
          <w:p w14:paraId="3A08B946"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6,9</w:t>
            </w:r>
          </w:p>
        </w:tc>
      </w:tr>
      <w:tr w:rsidR="004667A0" w:rsidRPr="000E6AD2" w14:paraId="46B41692"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7179E9C7" w14:textId="6FFB5400" w:rsidR="004667A0" w:rsidRPr="00D9107F" w:rsidRDefault="004667A0" w:rsidP="006B6CBC">
            <w:pPr>
              <w:pStyle w:val="TabellHode-rad"/>
              <w:rPr>
                <w:rStyle w:val="halvfet"/>
              </w:rPr>
            </w:pPr>
            <w:r w:rsidRPr="00D9107F">
              <w:rPr>
                <w:rStyle w:val="halvfet"/>
              </w:rPr>
              <w:t>5</w:t>
            </w:r>
            <w:r w:rsidR="00D9107F" w:rsidRPr="00D9107F">
              <w:rPr>
                <w:rStyle w:val="halvfet"/>
              </w:rPr>
              <w:t>0 001</w:t>
            </w:r>
            <w:r w:rsidRPr="00D9107F">
              <w:rPr>
                <w:rStyle w:val="halvfet"/>
              </w:rPr>
              <w:t>-10</w:t>
            </w:r>
            <w:r w:rsidR="00D9107F" w:rsidRPr="00D9107F">
              <w:rPr>
                <w:rStyle w:val="halvfet"/>
              </w:rPr>
              <w:t>0 000</w:t>
            </w:r>
          </w:p>
        </w:tc>
        <w:tc>
          <w:tcPr>
            <w:tcW w:w="387" w:type="pct"/>
          </w:tcPr>
          <w:p w14:paraId="6D0A7E63"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42</w:t>
            </w:r>
          </w:p>
        </w:tc>
        <w:tc>
          <w:tcPr>
            <w:tcW w:w="1218" w:type="pct"/>
          </w:tcPr>
          <w:p w14:paraId="469F88FC"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5,1</w:t>
            </w:r>
          </w:p>
        </w:tc>
        <w:tc>
          <w:tcPr>
            <w:tcW w:w="387" w:type="pct"/>
          </w:tcPr>
          <w:p w14:paraId="71571079"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38</w:t>
            </w:r>
          </w:p>
        </w:tc>
        <w:tc>
          <w:tcPr>
            <w:tcW w:w="1217" w:type="pct"/>
          </w:tcPr>
          <w:p w14:paraId="341FE57F"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4,6</w:t>
            </w:r>
          </w:p>
        </w:tc>
      </w:tr>
      <w:tr w:rsidR="004667A0" w:rsidRPr="000E6AD2" w14:paraId="0E0C8260" w14:textId="77777777" w:rsidTr="002F5FDC">
        <w:tc>
          <w:tcPr>
            <w:cnfStyle w:val="001000000000" w:firstRow="0" w:lastRow="0" w:firstColumn="1" w:lastColumn="0" w:oddVBand="0" w:evenVBand="0" w:oddHBand="0" w:evenHBand="0" w:firstRowFirstColumn="0" w:firstRowLastColumn="0" w:lastRowFirstColumn="0" w:lastRowLastColumn="0"/>
            <w:tcW w:w="1790" w:type="pct"/>
          </w:tcPr>
          <w:p w14:paraId="05D2CC4A" w14:textId="481EBCB3" w:rsidR="004667A0" w:rsidRPr="00D9107F" w:rsidRDefault="004667A0" w:rsidP="006B6CBC">
            <w:pPr>
              <w:pStyle w:val="TabellHode-rad"/>
              <w:rPr>
                <w:rStyle w:val="halvfet"/>
              </w:rPr>
            </w:pPr>
            <w:r w:rsidRPr="00D9107F">
              <w:rPr>
                <w:rStyle w:val="halvfet"/>
              </w:rPr>
              <w:t>&gt;10</w:t>
            </w:r>
            <w:r w:rsidR="00D9107F" w:rsidRPr="00D9107F">
              <w:rPr>
                <w:rStyle w:val="halvfet"/>
              </w:rPr>
              <w:t>0 000</w:t>
            </w:r>
          </w:p>
        </w:tc>
        <w:tc>
          <w:tcPr>
            <w:tcW w:w="387" w:type="pct"/>
          </w:tcPr>
          <w:p w14:paraId="02F3DFEB"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73</w:t>
            </w:r>
          </w:p>
        </w:tc>
        <w:tc>
          <w:tcPr>
            <w:tcW w:w="1218" w:type="pct"/>
          </w:tcPr>
          <w:p w14:paraId="60E1F43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4,4</w:t>
            </w:r>
          </w:p>
        </w:tc>
        <w:tc>
          <w:tcPr>
            <w:tcW w:w="387" w:type="pct"/>
          </w:tcPr>
          <w:p w14:paraId="5762C483"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70</w:t>
            </w:r>
          </w:p>
        </w:tc>
        <w:tc>
          <w:tcPr>
            <w:tcW w:w="1217" w:type="pct"/>
          </w:tcPr>
          <w:p w14:paraId="0319C0F7" w14:textId="77777777" w:rsidR="004667A0" w:rsidRPr="000E6AD2" w:rsidRDefault="004667A0" w:rsidP="00E41D13">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E6AD2">
              <w:rPr>
                <w:rFonts w:cstheme="minorHAnsi"/>
              </w:rPr>
              <w:t>4,3</w:t>
            </w:r>
          </w:p>
        </w:tc>
      </w:tr>
    </w:tbl>
    <w:p w14:paraId="0E44FFDE" w14:textId="72F6495A" w:rsidR="00D9107F" w:rsidRPr="00D9107F" w:rsidRDefault="00F35BC5" w:rsidP="00B31A6B">
      <w:pPr>
        <w:pStyle w:val="Petit"/>
        <w:rPr>
          <w:rStyle w:val="kursiv"/>
        </w:rPr>
      </w:pPr>
      <w:r w:rsidRPr="00D9107F">
        <w:rPr>
          <w:rStyle w:val="kursiv"/>
        </w:rPr>
        <w:t>Merknad: Resultater fordelt på fylker og kommunale karakteristikker (kommunestørrelse og -sentralitet) vises per 10</w:t>
      </w:r>
      <w:r w:rsidR="00D9107F" w:rsidRPr="00D9107F">
        <w:rPr>
          <w:rStyle w:val="kursiv"/>
        </w:rPr>
        <w:t>0 000</w:t>
      </w:r>
      <w:r w:rsidRPr="00D9107F">
        <w:rPr>
          <w:rStyle w:val="kursiv"/>
        </w:rPr>
        <w:t xml:space="preserve"> innbyggere for å ta høyde for forskjeller i befolkningsstørrelse. Kilde: FLO</w:t>
      </w:r>
      <w:r w:rsidR="00A25F6B" w:rsidRPr="00D9107F">
        <w:rPr>
          <w:rStyle w:val="kursiv"/>
        </w:rPr>
        <w:t>, 2021.</w:t>
      </w:r>
    </w:p>
    <w:p w14:paraId="250909C0" w14:textId="3F147122" w:rsidR="00F35BC5" w:rsidRDefault="00F35BC5" w:rsidP="00775632">
      <w:pPr>
        <w:pStyle w:val="Overskrift3"/>
      </w:pPr>
      <w:bookmarkStart w:id="531" w:name="_Toc131238317"/>
      <w:bookmarkStart w:id="532" w:name="_Toc131279347"/>
      <w:bookmarkStart w:id="533" w:name="_Toc131286759"/>
      <w:bookmarkStart w:id="534" w:name="_Toc131281169"/>
      <w:bookmarkStart w:id="535" w:name="_Toc131317708"/>
      <w:bookmarkStart w:id="536" w:name="_Toc132536918"/>
      <w:r>
        <w:t xml:space="preserve">Kommunenes fastlegekapasitet og lister uten </w:t>
      </w:r>
      <w:bookmarkEnd w:id="531"/>
      <w:bookmarkEnd w:id="532"/>
      <w:bookmarkEnd w:id="533"/>
      <w:bookmarkEnd w:id="534"/>
      <w:bookmarkEnd w:id="535"/>
      <w:r>
        <w:t>fastlege</w:t>
      </w:r>
      <w:bookmarkEnd w:id="536"/>
    </w:p>
    <w:p w14:paraId="66C7C20C" w14:textId="77777777" w:rsidR="00F35BC5" w:rsidRDefault="00F35BC5" w:rsidP="00775632">
      <w:pPr>
        <w:pStyle w:val="Overskrift4"/>
      </w:pPr>
      <w:bookmarkStart w:id="537" w:name="_Toc131238318"/>
      <w:bookmarkStart w:id="538" w:name="_Toc131279348"/>
      <w:bookmarkStart w:id="539" w:name="_Toc131286760"/>
      <w:bookmarkStart w:id="540" w:name="_Toc131281170"/>
      <w:bookmarkStart w:id="541" w:name="_Toc131317709"/>
      <w:r>
        <w:t>Kommunenes fastlegekapasitet</w:t>
      </w:r>
      <w:bookmarkEnd w:id="537"/>
      <w:bookmarkEnd w:id="538"/>
      <w:bookmarkEnd w:id="539"/>
      <w:bookmarkEnd w:id="540"/>
      <w:bookmarkEnd w:id="541"/>
    </w:p>
    <w:p w14:paraId="186C2226" w14:textId="7A250222" w:rsidR="00F35BC5" w:rsidRDefault="00F35BC5" w:rsidP="003D588E">
      <w:pPr>
        <w:jc w:val="both"/>
      </w:pPr>
      <w:r>
        <w:t xml:space="preserve">Ledige listeplasser i en kommune er en indikator på fastlegekapasiteten i området. Som omtalt i kapittel </w:t>
      </w:r>
      <w:r w:rsidRPr="006C48BE">
        <w:t>2.</w:t>
      </w:r>
      <w:r w:rsidR="000F730C">
        <w:t>2.</w:t>
      </w:r>
      <w:r w:rsidR="00AD728B">
        <w:t>3</w:t>
      </w:r>
      <w:r w:rsidR="00350E3D">
        <w:t>,</w:t>
      </w:r>
      <w:r>
        <w:t xml:space="preserve"> har nedgangen i antall ledige listeplasser i kommunene vært betydelig. I</w:t>
      </w:r>
      <w:r w:rsidRPr="009804A8">
        <w:t xml:space="preserve"> august 2022 hadde nærmere hver tredje kommune færre plasser totalt enn de har listeinnbyggere</w:t>
      </w:r>
      <w:r>
        <w:t>. Dette gjaldt både lister med og uten fastlege.</w:t>
      </w:r>
    </w:p>
    <w:p w14:paraId="7C140276" w14:textId="77777777" w:rsidR="00D9107F" w:rsidRDefault="00F35BC5" w:rsidP="003D588E">
      <w:pPr>
        <w:jc w:val="both"/>
      </w:pPr>
      <w:r>
        <w:t xml:space="preserve">Figur </w:t>
      </w:r>
      <w:r w:rsidR="00AD728B">
        <w:t>2-38</w:t>
      </w:r>
      <w:r>
        <w:t xml:space="preserve"> viser andel og antall ledige listeplasser etter kommunenes sentralitetsgrad i mars 2023. Helsedirektoratets beregning av ledige listeplasser er nå mer presis enn tidligere. Kun lister med fastlege er inkludert. Det er gjennomgående lite tilgjengelige listeplasser i landet, med unntak av de minst sentrale (sentralitetsklasse 6) kommunene. </w:t>
      </w:r>
      <w:r w:rsidR="00FB3B70">
        <w:t>D</w:t>
      </w:r>
      <w:r w:rsidR="002B4A16">
        <w:t>isse områdene</w:t>
      </w:r>
      <w:r w:rsidR="00FB3B70">
        <w:t xml:space="preserve"> har ofte høyere legedekning (leger per innbygger)</w:t>
      </w:r>
      <w:r w:rsidR="00805471">
        <w:t>,</w:t>
      </w:r>
      <w:r w:rsidR="00FB3B70">
        <w:t xml:space="preserve"> for å </w:t>
      </w:r>
      <w:r w:rsidR="002B4A16">
        <w:t xml:space="preserve">dekke opp for </w:t>
      </w:r>
      <w:r w:rsidR="00FB3B70">
        <w:t>legevakt og annet allmennmedisinsk arbeid. Stor forskjell mellom satt listetak og listelengde vil derfor i mindre grad gjenspeile den reelle kapasiteten</w:t>
      </w:r>
      <w:r w:rsidR="002B4A16">
        <w:t>.</w:t>
      </w:r>
      <w:r w:rsidR="00254EA6">
        <w:t xml:space="preserve"> Det er ikke nødvendigvi</w:t>
      </w:r>
      <w:r w:rsidR="0026125D">
        <w:t>s</w:t>
      </w:r>
      <w:r w:rsidR="00254EA6">
        <w:t xml:space="preserve"> de samme </w:t>
      </w:r>
      <w:r w:rsidR="06DC5D59">
        <w:t>kommu</w:t>
      </w:r>
      <w:r w:rsidR="533A94A4">
        <w:t>n</w:t>
      </w:r>
      <w:r w:rsidR="06DC5D59">
        <w:t>ene</w:t>
      </w:r>
      <w:r w:rsidR="00254EA6">
        <w:t xml:space="preserve"> som har </w:t>
      </w:r>
      <w:r w:rsidR="0026125D">
        <w:t>ledig plass som har lister uten fastlege.</w:t>
      </w:r>
      <w:r>
        <w:t xml:space="preserve"> </w:t>
      </w:r>
      <w:r w:rsidR="00EA50B9">
        <w:t>Samtidig er d</w:t>
      </w:r>
      <w:r w:rsidR="000A31A7">
        <w:t>e minste kommunene sårbare</w:t>
      </w:r>
      <w:r w:rsidR="00805471">
        <w:t>,</w:t>
      </w:r>
      <w:r w:rsidR="000A31A7">
        <w:t xml:space="preserve"> ved </w:t>
      </w:r>
      <w:r w:rsidR="00361A0C">
        <w:t xml:space="preserve">at frafall av én lege kan </w:t>
      </w:r>
      <w:r w:rsidR="00573797">
        <w:t>medføre at en st</w:t>
      </w:r>
      <w:r w:rsidR="00D137B6">
        <w:t>ørre</w:t>
      </w:r>
      <w:r w:rsidR="00573797">
        <w:t xml:space="preserve"> andel av </w:t>
      </w:r>
      <w:r w:rsidR="32D30114">
        <w:t>kommu</w:t>
      </w:r>
      <w:r w:rsidR="3846777E">
        <w:t>n</w:t>
      </w:r>
      <w:r w:rsidR="32D30114">
        <w:t>ens</w:t>
      </w:r>
      <w:r w:rsidR="00573797">
        <w:t xml:space="preserve"> innbyggere står uten</w:t>
      </w:r>
      <w:r w:rsidR="000A31A7">
        <w:t xml:space="preserve"> fastlege. Det er </w:t>
      </w:r>
      <w:r w:rsidR="00D137B6">
        <w:t>følgelig</w:t>
      </w:r>
      <w:r w:rsidR="000A31A7">
        <w:t xml:space="preserve"> stor variasjon </w:t>
      </w:r>
      <w:r w:rsidR="00D137B6">
        <w:t>mellom</w:t>
      </w:r>
      <w:r w:rsidR="000A31A7">
        <w:t xml:space="preserve"> småkommunene.</w:t>
      </w:r>
      <w:r w:rsidR="006F361A">
        <w:t xml:space="preserve"> </w:t>
      </w:r>
      <w:r w:rsidR="002E7336">
        <w:t>Figuren</w:t>
      </w:r>
      <w:r>
        <w:t xml:space="preserve"> viser at det er </w:t>
      </w:r>
      <w:r w:rsidR="00715CB5">
        <w:t xml:space="preserve">en forholdsvis </w:t>
      </w:r>
      <w:r>
        <w:t xml:space="preserve">stor spredning i antall ledige plasser </w:t>
      </w:r>
      <w:r w:rsidR="001D272A">
        <w:t>etter</w:t>
      </w:r>
      <w:r>
        <w:t xml:space="preserve"> kommunene</w:t>
      </w:r>
      <w:r w:rsidR="001D272A">
        <w:t>s sentralitet</w:t>
      </w:r>
      <w:r>
        <w:t>. Kommunene i sentralitetsklasse 2, 3 og 4 har ikke listeplasser til alle sine innbyggere.</w:t>
      </w:r>
    </w:p>
    <w:p w14:paraId="0EB33D14" w14:textId="41929C3A" w:rsidR="00F35BC5" w:rsidRPr="00BB4CE3" w:rsidRDefault="00F35BC5" w:rsidP="00B31A6B">
      <w:pPr>
        <w:pStyle w:val="avsnitt-tittel"/>
      </w:pPr>
      <w:r w:rsidRPr="00BB4CE3">
        <w:lastRenderedPageBreak/>
        <w:t xml:space="preserve">Figur </w:t>
      </w:r>
      <w:r w:rsidR="00C9416A">
        <w:t>2-</w:t>
      </w:r>
      <w:r w:rsidR="00AD728B">
        <w:t>38</w:t>
      </w:r>
      <w:r w:rsidR="005E0B90">
        <w:t>:</w:t>
      </w:r>
      <w:r w:rsidRPr="00BB4CE3">
        <w:t xml:space="preserve"> Andel og antall ledige </w:t>
      </w:r>
      <w:r>
        <w:t>liste</w:t>
      </w:r>
      <w:r w:rsidRPr="00BB4CE3">
        <w:t xml:space="preserve">plasser etter sentralitetsgrad (1-6) per </w:t>
      </w:r>
      <w:r>
        <w:t>1.</w:t>
      </w:r>
      <w:r w:rsidR="00805471">
        <w:t xml:space="preserve"> </w:t>
      </w:r>
      <w:r>
        <w:t>kvartal</w:t>
      </w:r>
      <w:r w:rsidRPr="00BB4CE3">
        <w:t xml:space="preserve"> 2023</w:t>
      </w:r>
    </w:p>
    <w:p w14:paraId="0D3AD9DF" w14:textId="074BCF0B" w:rsidR="00F35BC5" w:rsidRDefault="00041730" w:rsidP="00F35BC5">
      <w:r>
        <w:rPr>
          <w:noProof/>
        </w:rPr>
        <w:drawing>
          <wp:inline distT="0" distB="0" distL="0" distR="0" wp14:anchorId="0A5023DE" wp14:editId="5F1A195C">
            <wp:extent cx="6120765" cy="3225165"/>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225165"/>
                    </a:xfrm>
                    <a:prstGeom prst="rect">
                      <a:avLst/>
                    </a:prstGeom>
                    <a:noFill/>
                  </pic:spPr>
                </pic:pic>
              </a:graphicData>
            </a:graphic>
          </wp:inline>
        </w:drawing>
      </w:r>
    </w:p>
    <w:p w14:paraId="5B9CEF05" w14:textId="77777777" w:rsidR="00D9107F" w:rsidRPr="00D9107F" w:rsidRDefault="00A676B7" w:rsidP="00B31A6B">
      <w:pPr>
        <w:pStyle w:val="Petit"/>
        <w:rPr>
          <w:rStyle w:val="kursiv"/>
        </w:rPr>
      </w:pPr>
      <w:r w:rsidRPr="00D9107F">
        <w:rPr>
          <w:rStyle w:val="kursiv"/>
        </w:rPr>
        <w:t xml:space="preserve">Merknad: </w:t>
      </w:r>
      <w:r w:rsidR="00F35BC5" w:rsidRPr="00D9107F">
        <w:rPr>
          <w:rStyle w:val="kursiv"/>
        </w:rPr>
        <w:t>Inkluderer kun lister med fast lege. Sentralitetsklasser etter SSB. Sentralitetsklasse 1 er mest sentrale kommuner og sentralitetsklasse 6 er minst sentrale. Kilde: FLO</w:t>
      </w:r>
      <w:r w:rsidRPr="00D9107F">
        <w:rPr>
          <w:rStyle w:val="kursiv"/>
        </w:rPr>
        <w:t>, 2023.</w:t>
      </w:r>
    </w:p>
    <w:p w14:paraId="32338B27" w14:textId="77777777" w:rsidR="00D9107F" w:rsidRDefault="00F35BC5" w:rsidP="00F35BC5">
      <w:r>
        <w:t xml:space="preserve">Figur </w:t>
      </w:r>
      <w:r w:rsidR="009A3D5C">
        <w:t>2</w:t>
      </w:r>
      <w:r w:rsidR="00EC61BE">
        <w:t>-39</w:t>
      </w:r>
      <w:r>
        <w:t xml:space="preserve"> viser andel ledige listeplasser fordelt på fylker for tidsperioden desember 2017 til 2022. </w:t>
      </w:r>
      <w:r w:rsidR="00B67FBF">
        <w:t>Det er en neda</w:t>
      </w:r>
      <w:r w:rsidR="00D11E0E">
        <w:t xml:space="preserve">dgående trend i alle fylkene. </w:t>
      </w:r>
      <w:r w:rsidR="000677E6">
        <w:t xml:space="preserve">Andel ledige listeplasser </w:t>
      </w:r>
      <w:r w:rsidR="00B525CB">
        <w:t>e</w:t>
      </w:r>
      <w:r w:rsidR="000677E6">
        <w:t>r lavest</w:t>
      </w:r>
      <w:r w:rsidR="00AC6E91">
        <w:t xml:space="preserve"> i f</w:t>
      </w:r>
      <w:r w:rsidR="00B67FBF">
        <w:t xml:space="preserve">ylkene </w:t>
      </w:r>
      <w:r w:rsidR="00D11E0E">
        <w:t>Vestfol</w:t>
      </w:r>
      <w:r w:rsidR="00AC6E91">
        <w:t>d</w:t>
      </w:r>
      <w:r w:rsidR="00D11E0E">
        <w:t xml:space="preserve"> og Telemark</w:t>
      </w:r>
      <w:r w:rsidR="00162814">
        <w:t xml:space="preserve"> og Rogaland</w:t>
      </w:r>
      <w:r w:rsidR="0024121A">
        <w:t xml:space="preserve">, etterfulgt av </w:t>
      </w:r>
      <w:r w:rsidR="00964A54">
        <w:t>Agder og Trøndelag.</w:t>
      </w:r>
    </w:p>
    <w:p w14:paraId="23877891" w14:textId="30803EA1" w:rsidR="00F35BC5" w:rsidRPr="00C20EF7" w:rsidRDefault="00F35BC5" w:rsidP="00B31A6B">
      <w:pPr>
        <w:pStyle w:val="avsnitt-tittel"/>
      </w:pPr>
      <w:r w:rsidRPr="00C20EF7">
        <w:lastRenderedPageBreak/>
        <w:t xml:space="preserve">Figur </w:t>
      </w:r>
      <w:r w:rsidR="00C9416A">
        <w:t>2-</w:t>
      </w:r>
      <w:r w:rsidR="00EC61BE">
        <w:t>39</w:t>
      </w:r>
      <w:r w:rsidR="005E0B90">
        <w:t>:</w:t>
      </w:r>
      <w:r w:rsidRPr="00C20EF7">
        <w:t xml:space="preserve"> Andel ledige listeplasser per fylke, </w:t>
      </w:r>
      <w:r>
        <w:t>4.</w:t>
      </w:r>
      <w:r w:rsidR="00805471">
        <w:t xml:space="preserve"> </w:t>
      </w:r>
      <w:r>
        <w:t>kvartal</w:t>
      </w:r>
      <w:r w:rsidRPr="00C20EF7">
        <w:t xml:space="preserve"> 2017</w:t>
      </w:r>
      <w:r w:rsidR="00805471">
        <w:t>–</w:t>
      </w:r>
      <w:r w:rsidRPr="00C20EF7">
        <w:t>2022</w:t>
      </w:r>
    </w:p>
    <w:p w14:paraId="1F2914B1" w14:textId="338A98E9" w:rsidR="00F35BC5" w:rsidRDefault="00041730" w:rsidP="00692F03">
      <w:pPr>
        <w:keepNext/>
        <w:keepLines/>
      </w:pPr>
      <w:r>
        <w:rPr>
          <w:noProof/>
        </w:rPr>
        <w:drawing>
          <wp:inline distT="0" distB="0" distL="0" distR="0" wp14:anchorId="06981619" wp14:editId="094191FF">
            <wp:extent cx="6120765" cy="356616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14:paraId="1417856D" w14:textId="77777777" w:rsidR="00D9107F" w:rsidRPr="00D9107F" w:rsidRDefault="00F35BC5" w:rsidP="00B31A6B">
      <w:pPr>
        <w:pStyle w:val="Petit"/>
        <w:rPr>
          <w:rStyle w:val="kursiv"/>
        </w:rPr>
      </w:pPr>
      <w:r w:rsidRPr="00D9107F">
        <w:rPr>
          <w:rStyle w:val="kursiv"/>
        </w:rPr>
        <w:t>Merknad: Inkluderer kun lister med fast lege. Kilde: FLO</w:t>
      </w:r>
      <w:r w:rsidR="00A676B7" w:rsidRPr="00D9107F">
        <w:rPr>
          <w:rStyle w:val="kursiv"/>
        </w:rPr>
        <w:t xml:space="preserve">, </w:t>
      </w:r>
      <w:r w:rsidR="00226DD1" w:rsidRPr="00D9107F">
        <w:rPr>
          <w:rStyle w:val="kursiv"/>
        </w:rPr>
        <w:t xml:space="preserve">4.kvartal </w:t>
      </w:r>
      <w:r w:rsidR="00A676B7" w:rsidRPr="00D9107F">
        <w:rPr>
          <w:rStyle w:val="kursiv"/>
        </w:rPr>
        <w:t>2017-2022.</w:t>
      </w:r>
    </w:p>
    <w:p w14:paraId="64C299B2" w14:textId="2E8A8B87" w:rsidR="00F35BC5" w:rsidRDefault="00F35BC5" w:rsidP="00775632">
      <w:pPr>
        <w:pStyle w:val="Overskrift4"/>
      </w:pPr>
      <w:bookmarkStart w:id="542" w:name="_Toc131238319"/>
      <w:bookmarkStart w:id="543" w:name="_Toc131279349"/>
      <w:bookmarkStart w:id="544" w:name="_Toc131286761"/>
      <w:bookmarkStart w:id="545" w:name="_Toc131281171"/>
      <w:bookmarkStart w:id="546" w:name="_Toc131317710"/>
      <w:r>
        <w:t>Lister uten fastlege i kommunene</w:t>
      </w:r>
      <w:bookmarkEnd w:id="542"/>
      <w:bookmarkEnd w:id="543"/>
      <w:bookmarkEnd w:id="544"/>
      <w:bookmarkEnd w:id="545"/>
      <w:bookmarkEnd w:id="546"/>
    </w:p>
    <w:p w14:paraId="4955D5A3" w14:textId="3C77A0EB" w:rsidR="00020365" w:rsidRPr="0095403D" w:rsidRDefault="00F35BC5" w:rsidP="00EC61BE">
      <w:pPr>
        <w:jc w:val="both"/>
        <w:rPr>
          <w:color w:val="000000" w:themeColor="text1"/>
        </w:rPr>
      </w:pPr>
      <w:r>
        <w:rPr>
          <w:color w:val="000000" w:themeColor="text1"/>
        </w:rPr>
        <w:t xml:space="preserve">Som omtalt i kapittel </w:t>
      </w:r>
      <w:r w:rsidRPr="006E150F">
        <w:rPr>
          <w:color w:val="000000" w:themeColor="text1"/>
        </w:rPr>
        <w:t>2.</w:t>
      </w:r>
      <w:r w:rsidR="00063A6E">
        <w:rPr>
          <w:color w:val="000000" w:themeColor="text1"/>
        </w:rPr>
        <w:t>2.3</w:t>
      </w:r>
      <w:r w:rsidR="0087529D">
        <w:rPr>
          <w:color w:val="000000" w:themeColor="text1"/>
        </w:rPr>
        <w:t>,</w:t>
      </w:r>
      <w:r>
        <w:rPr>
          <w:color w:val="000000" w:themeColor="text1"/>
        </w:rPr>
        <w:t xml:space="preserve"> har de</w:t>
      </w:r>
      <w:r w:rsidRPr="7BA5314F">
        <w:rPr>
          <w:color w:val="000000" w:themeColor="text1"/>
        </w:rPr>
        <w:t xml:space="preserve"> minst sentrale områdene den høyeste andelen innbyggere </w:t>
      </w:r>
      <w:r w:rsidRPr="43F9E4A7">
        <w:rPr>
          <w:color w:val="000000" w:themeColor="text1"/>
        </w:rPr>
        <w:t xml:space="preserve">på lister uten </w:t>
      </w:r>
      <w:r>
        <w:rPr>
          <w:color w:val="000000" w:themeColor="text1"/>
        </w:rPr>
        <w:t>fast</w:t>
      </w:r>
      <w:r w:rsidRPr="7BA5314F">
        <w:rPr>
          <w:color w:val="000000" w:themeColor="text1"/>
        </w:rPr>
        <w:t>lege.</w:t>
      </w:r>
      <w:r w:rsidRPr="43F9E4A7">
        <w:rPr>
          <w:color w:val="000000" w:themeColor="text1"/>
        </w:rPr>
        <w:t xml:space="preserve"> </w:t>
      </w:r>
      <w:r>
        <w:rPr>
          <w:color w:val="000000" w:themeColor="text1"/>
        </w:rPr>
        <w:t>Analyser fra FHI viser at a</w:t>
      </w:r>
      <w:r w:rsidRPr="43F9E4A7">
        <w:rPr>
          <w:color w:val="000000" w:themeColor="text1"/>
        </w:rPr>
        <w:t xml:space="preserve">ndelen av innbyggerne på slike lister var </w:t>
      </w:r>
      <w:r>
        <w:t>per</w:t>
      </w:r>
      <w:r w:rsidRPr="0091343C">
        <w:t xml:space="preserve"> 31.</w:t>
      </w:r>
      <w:r>
        <w:t xml:space="preserve"> </w:t>
      </w:r>
      <w:r w:rsidRPr="0091343C">
        <w:t xml:space="preserve">desember 2020 </w:t>
      </w:r>
      <w:r>
        <w:t xml:space="preserve">høyest i </w:t>
      </w:r>
      <w:r w:rsidRPr="0091343C">
        <w:t xml:space="preserve">Nordland, Troms og Finnmark, Innlandet og Møre og Romsdal, mens </w:t>
      </w:r>
      <w:r>
        <w:t xml:space="preserve">den var lavest i </w:t>
      </w:r>
      <w:r w:rsidRPr="0091343C">
        <w:t>Oslo og Viken</w:t>
      </w:r>
      <w:r>
        <w:t xml:space="preserve">, se figur </w:t>
      </w:r>
      <w:r w:rsidR="00CA770F">
        <w:t>2</w:t>
      </w:r>
      <w:r w:rsidR="00EC61BE">
        <w:t>-40</w:t>
      </w:r>
      <w:r>
        <w:t xml:space="preserve"> </w:t>
      </w:r>
      <w:r>
        <w:fldChar w:fldCharType="begin"/>
      </w:r>
      <w:r w:rsidR="004654FD">
        <w:instrText xml:space="preserve"> ADDIN EN.CITE &lt;EndNote&gt;&lt;Cite&gt;&lt;Author&gt;Deliac&lt;/Author&gt;&lt;Year&gt;2023&lt;/Year&gt;&lt;RecNum&gt;899&lt;/RecNum&gt;&lt;DisplayText&gt;(Deliac et al., 2023)&lt;/DisplayText&gt;&lt;record&gt;&lt;rec-number&gt;899&lt;/rec-number&gt;&lt;foreign-keys&gt;&lt;key app="EN" db-id="95tpr2tp6r9xwoea9rb5wdsz5ds5xeddteew" timestamp="1680121532"&gt;899&lt;/key&gt;&lt;/foreign-keys&gt;&lt;ref-type name="Report"&gt;27&lt;/ref-type&gt;&lt;contributors&gt;&lt;authors&gt;&lt;author&gt;Deliac, L.&lt;/author&gt;&lt;author&gt;Grøsland, M.&lt;/author&gt;&lt;author&gt;Gjefsen, H.M.&lt;/author&gt;&lt;/authors&gt;&lt;tertiary-authors&gt;&lt;author&gt;Folkehelseinsituttet&lt;/author&gt;&lt;/tertiary-authors&gt;&lt;/contributors&gt;&lt;titles&gt;&lt;title&gt;Kontinuitet i lege-pasientforholdet.&lt;/title&gt;&lt;/titles&gt;&lt;dates&gt;&lt;year&gt;2023&lt;/year&gt;&lt;/dates&gt;&lt;pub-location&gt;Oslo&lt;/pub-location&gt;&lt;urls&gt;&lt;/urls&gt;&lt;/record&gt;&lt;/Cite&gt;&lt;/EndNote&gt;</w:instrText>
      </w:r>
      <w:r>
        <w:fldChar w:fldCharType="separate"/>
      </w:r>
      <w:r>
        <w:rPr>
          <w:noProof/>
        </w:rPr>
        <w:t>(Deliac et al., 2023)</w:t>
      </w:r>
      <w:r>
        <w:fldChar w:fldCharType="end"/>
      </w:r>
      <w:r>
        <w:t xml:space="preserve">. </w:t>
      </w:r>
      <w:r w:rsidRPr="0091343C">
        <w:t xml:space="preserve">I de minst sentrale kommunene og i kommuner med under </w:t>
      </w:r>
      <w:r w:rsidR="00D9107F" w:rsidRPr="0091343C">
        <w:t>2</w:t>
      </w:r>
      <w:r w:rsidR="00D9107F">
        <w:t> </w:t>
      </w:r>
      <w:r w:rsidR="00D9107F" w:rsidRPr="0091343C">
        <w:t>000</w:t>
      </w:r>
      <w:r w:rsidRPr="0091343C">
        <w:t xml:space="preserve"> innbyggere var 10</w:t>
      </w:r>
      <w:r>
        <w:t xml:space="preserve"> prosent</w:t>
      </w:r>
      <w:r w:rsidRPr="0091343C">
        <w:t xml:space="preserve"> av listeinnbyggerne uten fastlege, mens nær</w:t>
      </w:r>
      <w:r>
        <w:t>mest</w:t>
      </w:r>
      <w:r w:rsidRPr="0091343C">
        <w:t xml:space="preserve"> </w:t>
      </w:r>
      <w:r>
        <w:t xml:space="preserve">ingen </w:t>
      </w:r>
      <w:r w:rsidRPr="0091343C">
        <w:t>av listeinnbyggerne i de mest sentrale områdene og kommuner med flere enn 5</w:t>
      </w:r>
      <w:r w:rsidR="00D9107F" w:rsidRPr="0091343C">
        <w:t>0</w:t>
      </w:r>
      <w:r w:rsidR="00D9107F">
        <w:t> </w:t>
      </w:r>
      <w:r w:rsidR="00D9107F" w:rsidRPr="0091343C">
        <w:t>000</w:t>
      </w:r>
      <w:r w:rsidRPr="0091343C">
        <w:t xml:space="preserve"> innbyggere var uten fastlege.</w:t>
      </w:r>
    </w:p>
    <w:p w14:paraId="49DC15F6" w14:textId="42EF6CFF" w:rsidR="00F35BC5" w:rsidRDefault="00F35BC5" w:rsidP="00B31A6B">
      <w:pPr>
        <w:pStyle w:val="avsnitt-tittel"/>
      </w:pPr>
      <w:r w:rsidRPr="006F7190">
        <w:lastRenderedPageBreak/>
        <w:t xml:space="preserve">Figur </w:t>
      </w:r>
      <w:r w:rsidR="00C9416A">
        <w:t>2-</w:t>
      </w:r>
      <w:r w:rsidR="00CA2E8C">
        <w:t>40</w:t>
      </w:r>
      <w:r w:rsidR="005E0B90">
        <w:t>:</w:t>
      </w:r>
      <w:r w:rsidRPr="006F7190">
        <w:t xml:space="preserve"> Andel innbyggere på fastlegeliste uten fastlege, 31.12.2020</w:t>
      </w:r>
    </w:p>
    <w:p w14:paraId="1B436851" w14:textId="77777777" w:rsidR="00F35BC5" w:rsidRDefault="00F35BC5" w:rsidP="00AC1A2E">
      <w:pPr>
        <w:keepNext/>
        <w:keepLines/>
      </w:pPr>
      <w:r>
        <w:rPr>
          <w:noProof/>
        </w:rPr>
        <w:drawing>
          <wp:inline distT="0" distB="0" distL="0" distR="0" wp14:anchorId="7DB1A240" wp14:editId="3033F2EA">
            <wp:extent cx="6119495" cy="5015163"/>
            <wp:effectExtent l="38100" t="38100" r="33655" b="3365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1252" cy="5016603"/>
                    </a:xfrm>
                    <a:prstGeom prst="rect">
                      <a:avLst/>
                    </a:prstGeom>
                    <a:noFill/>
                    <a:ln w="38100">
                      <a:solidFill>
                        <a:schemeClr val="accent2"/>
                      </a:solidFill>
                    </a:ln>
                  </pic:spPr>
                </pic:pic>
              </a:graphicData>
            </a:graphic>
          </wp:inline>
        </w:drawing>
      </w:r>
    </w:p>
    <w:p w14:paraId="0405BF20" w14:textId="77777777" w:rsidR="00F35BC5" w:rsidRPr="00D9107F" w:rsidRDefault="00F35BC5" w:rsidP="00B31A6B">
      <w:pPr>
        <w:pStyle w:val="Petit"/>
        <w:rPr>
          <w:rStyle w:val="halvfet"/>
        </w:rPr>
      </w:pPr>
      <w:r w:rsidRPr="00D9107F">
        <w:rPr>
          <w:rStyle w:val="kursiv"/>
        </w:rPr>
        <w:t>Kilde: FLO per 31.12.2020.</w:t>
      </w:r>
    </w:p>
    <w:p w14:paraId="620DA5E9" w14:textId="77777777" w:rsidR="00D9107F" w:rsidRDefault="00F35BC5" w:rsidP="00CA2E8C">
      <w:pPr>
        <w:jc w:val="both"/>
        <w:rPr>
          <w:color w:val="000000" w:themeColor="text1"/>
        </w:rPr>
      </w:pPr>
      <w:r>
        <w:rPr>
          <w:color w:val="000000" w:themeColor="text1"/>
        </w:rPr>
        <w:t>U</w:t>
      </w:r>
      <w:r w:rsidRPr="7BA5314F">
        <w:rPr>
          <w:color w:val="000000" w:themeColor="text1"/>
        </w:rPr>
        <w:t>tvikling</w:t>
      </w:r>
      <w:r>
        <w:rPr>
          <w:color w:val="000000" w:themeColor="text1"/>
        </w:rPr>
        <w:t>en</w:t>
      </w:r>
      <w:r w:rsidRPr="7BA5314F">
        <w:rPr>
          <w:color w:val="000000" w:themeColor="text1"/>
        </w:rPr>
        <w:t xml:space="preserve"> i listeinnbyggere i Norge fra 2006 til og med 2021</w:t>
      </w:r>
      <w:r>
        <w:rPr>
          <w:color w:val="000000" w:themeColor="text1"/>
        </w:rPr>
        <w:t xml:space="preserve"> viser, grovt oppsummert, at det er e</w:t>
      </w:r>
      <w:r w:rsidRPr="7BA5314F">
        <w:rPr>
          <w:color w:val="000000" w:themeColor="text1"/>
        </w:rPr>
        <w:t>t økende antall, men en stabil andel</w:t>
      </w:r>
      <w:r w:rsidRPr="43F9E4A7">
        <w:rPr>
          <w:color w:val="000000" w:themeColor="text1"/>
        </w:rPr>
        <w:t>,</w:t>
      </w:r>
      <w:r w:rsidRPr="7BA5314F">
        <w:rPr>
          <w:color w:val="000000" w:themeColor="text1"/>
        </w:rPr>
        <w:t xml:space="preserve"> personer på lister uten fastlege totalt i landet. Andelen listeinnbyggere uten fastlege varierer etter kommunekarakteristikkene fylke og sentralitet. Det er de minst sentrale områdene, og især fylkene Nordland og Møre og Romsdal, som har den høyeste andelen innbyggere uten fastlege.</w:t>
      </w:r>
    </w:p>
    <w:p w14:paraId="29F743A6" w14:textId="7E6E21A5" w:rsidR="00AF6CAA" w:rsidRPr="00AF0FC8" w:rsidRDefault="00F35BC5" w:rsidP="00F11F74">
      <w:pPr>
        <w:jc w:val="both"/>
      </w:pPr>
      <w:r w:rsidRPr="7BA5314F">
        <w:rPr>
          <w:color w:val="000000" w:themeColor="text1"/>
        </w:rPr>
        <w:t xml:space="preserve">I de minst sentrale områdene har andelen innbyggere på fastlegeliste uten fastlege økt noe de siste årene. I de to mest sentrale områdene, Oslo og Viken, har andelen vært tilnærmet lik 0 i hele perioden. </w:t>
      </w:r>
      <w:r w:rsidR="00976094">
        <w:t>Overordnet ser det ut til at</w:t>
      </w:r>
      <w:r w:rsidR="00745A6B">
        <w:t xml:space="preserve"> i</w:t>
      </w:r>
      <w:r w:rsidR="00C451EC">
        <w:t xml:space="preserve"> </w:t>
      </w:r>
      <w:r w:rsidR="00C42AE2">
        <w:t xml:space="preserve">mindre folkerike </w:t>
      </w:r>
      <w:r w:rsidR="00C451EC">
        <w:t xml:space="preserve">kommuner er lister uten fastlege det største problemet, men i de </w:t>
      </w:r>
      <w:r w:rsidR="00F73CD0">
        <w:t xml:space="preserve">mest </w:t>
      </w:r>
      <w:r w:rsidR="00C42AE2">
        <w:t xml:space="preserve">folkerike </w:t>
      </w:r>
      <w:r w:rsidR="00C451EC">
        <w:t>kommunene er det i større grad en generell kapasitetsutfordring med lite ledige listeplasser.</w:t>
      </w:r>
    </w:p>
    <w:p w14:paraId="2467991D" w14:textId="77777777" w:rsidR="00F35BC5" w:rsidRDefault="00F35BC5" w:rsidP="00775632">
      <w:pPr>
        <w:pStyle w:val="Overskrift3"/>
      </w:pPr>
      <w:bookmarkStart w:id="547" w:name="_Toc131238320"/>
      <w:bookmarkStart w:id="548" w:name="_Toc131279350"/>
      <w:bookmarkStart w:id="549" w:name="_Toc131286762"/>
      <w:bookmarkStart w:id="550" w:name="_Toc131281172"/>
      <w:bookmarkStart w:id="551" w:name="_Toc131317711"/>
      <w:bookmarkStart w:id="552" w:name="_Toc132536919"/>
      <w:r>
        <w:lastRenderedPageBreak/>
        <w:t>Andre kommunale helsetjenester og fastlegene</w:t>
      </w:r>
      <w:bookmarkEnd w:id="547"/>
      <w:bookmarkEnd w:id="548"/>
      <w:bookmarkEnd w:id="549"/>
      <w:bookmarkEnd w:id="550"/>
      <w:bookmarkEnd w:id="551"/>
      <w:bookmarkEnd w:id="552"/>
    </w:p>
    <w:p w14:paraId="3F337A05" w14:textId="77777777" w:rsidR="00F35BC5" w:rsidRDefault="00F35BC5" w:rsidP="00CA2E8C">
      <w:pPr>
        <w:jc w:val="both"/>
      </w:pPr>
      <w:r>
        <w:t>For at helsepersonell og tjenester skal kunne yte gode tjenester til sine brukere og pasienter</w:t>
      </w:r>
      <w:r w:rsidRPr="43F9E4A7">
        <w:t>,</w:t>
      </w:r>
      <w:r>
        <w:t xml:space="preserve"> har de behov for å samarbeide med og ha tilgang </w:t>
      </w:r>
      <w:r w:rsidRPr="1C8F9AAC">
        <w:t>til</w:t>
      </w:r>
      <w:r>
        <w:t xml:space="preserve"> fastlegen, eksempelvis for oppgaver som reseptfornyelse og informasjonsutveksling. Samhandlingsreformen i 2012 har ført til at kommunene har fått ansvar for oppfølging av flere og sykere pasienter med kroniske og sammensatte lidelser. Sett sammen med økningen av mottakere av helse- og omsorgstjenester, vil behovet for kontakt og samhandling mellom annet helsepersonell i kommunene og fastlegene fortsette å øke også framover.</w:t>
      </w:r>
    </w:p>
    <w:p w14:paraId="1D96DF7C" w14:textId="77777777" w:rsidR="00D9107F" w:rsidRDefault="00F35BC5" w:rsidP="0025367D">
      <w:pPr>
        <w:jc w:val="both"/>
      </w:pPr>
      <w:r>
        <w:t>Kontakten mellom ulike helsetjenester i kommunen og fastlegen om pasienter i kommunen inkluderer tverrfaglige samarbeidsmøter og kortere kontakter og møter. Tall fra 2021 viser at det er betydelige forskjeller i bruk av slike tverrfaglige samarbeidsmøter etter kommunenes befolkningsstørrelse, hvor omfanget av samarbeidsmøter er størst i de minst befolkede kommunene, og minst i de mest folkerike kommunene. Kortere kontakter og møter om pasienter mellom fastlegen</w:t>
      </w:r>
      <w:r w:rsidR="00805471">
        <w:t xml:space="preserve"> og øvrig </w:t>
      </w:r>
      <w:r>
        <w:t>helsepersonell og tjenester i kommunen, er mest vanlig for eldre listeinnbyggere. Det sees en svak økning i slike enkle kontakter per listeinnbygger fra 2019 til 2021, og som for samarbeidsmøter er antallet per innbygger lavest i de mest folkerike kommunene</w:t>
      </w:r>
      <w:r w:rsidR="00CB7C9F">
        <w:t xml:space="preserve"> </w:t>
      </w:r>
      <w:r>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fldChar w:fldCharType="separate"/>
      </w:r>
      <w:r w:rsidR="00D078E3">
        <w:rPr>
          <w:noProof/>
        </w:rPr>
        <w:t>(Helsedirektoratet, 2022c)</w:t>
      </w:r>
      <w:r>
        <w:fldChar w:fldCharType="end"/>
      </w:r>
      <w:r>
        <w:t>.</w:t>
      </w:r>
    </w:p>
    <w:p w14:paraId="6C73AC1D" w14:textId="31C2E9FA" w:rsidR="00F35BC5" w:rsidRDefault="00093FC5" w:rsidP="00775632">
      <w:pPr>
        <w:pStyle w:val="Overskrift3"/>
      </w:pPr>
      <w:bookmarkStart w:id="553" w:name="_Toc131238321"/>
      <w:bookmarkStart w:id="554" w:name="_Toc131279351"/>
      <w:bookmarkStart w:id="555" w:name="_Toc131286763"/>
      <w:bookmarkStart w:id="556" w:name="_Toc131281173"/>
      <w:bookmarkStart w:id="557" w:name="_Toc131317712"/>
      <w:bookmarkStart w:id="558" w:name="_Toc132536920"/>
      <w:r>
        <w:t>K</w:t>
      </w:r>
      <w:r w:rsidR="00F35BC5" w:rsidRPr="40D8F136">
        <w:t xml:space="preserve">ostnader </w:t>
      </w:r>
      <w:r w:rsidR="00F35BC5">
        <w:t>til</w:t>
      </w:r>
      <w:r w:rsidR="00F35BC5" w:rsidRPr="40D8F136">
        <w:t xml:space="preserve"> fastlegeordningen</w:t>
      </w:r>
      <w:bookmarkEnd w:id="553"/>
      <w:bookmarkEnd w:id="554"/>
      <w:bookmarkEnd w:id="555"/>
      <w:bookmarkEnd w:id="556"/>
      <w:bookmarkEnd w:id="557"/>
      <w:r w:rsidR="00280D55">
        <w:t xml:space="preserve"> og allmennlegetjenesten</w:t>
      </w:r>
      <w:bookmarkEnd w:id="558"/>
    </w:p>
    <w:p w14:paraId="3D2A66F1" w14:textId="77777777" w:rsidR="00D9107F" w:rsidRDefault="00F35BC5" w:rsidP="00CA2E8C">
      <w:pPr>
        <w:jc w:val="both"/>
      </w:pPr>
      <w:r>
        <w:t xml:space="preserve">Sørge-for-ansvaret og finansieringsansvaret for fastlegetjenesten er delt mellom henholdsvis kommune og stat. At finansieringsansvaret ikke er plassert hos kommunene medfører at kommunene ikke har mulighet til å benytte økonomiske </w:t>
      </w:r>
      <w:r w:rsidRPr="513C6B95">
        <w:t>virkemidler</w:t>
      </w:r>
      <w:r>
        <w:t xml:space="preserve"> til å styre fastlegetjenesten på samme måte som </w:t>
      </w:r>
      <w:r w:rsidRPr="513C6B95">
        <w:t xml:space="preserve">for </w:t>
      </w:r>
      <w:r>
        <w:t>de øvrige deler av den kommunale helse- og omsorgstjenesten</w:t>
      </w:r>
      <w:r w:rsidRPr="513C6B95">
        <w:t xml:space="preserve"> og kommunens øvrige virksomhet</w:t>
      </w:r>
      <w:r>
        <w:t>.</w:t>
      </w:r>
    </w:p>
    <w:p w14:paraId="63A4D05E" w14:textId="40A2B5EF" w:rsidR="00F35BC5" w:rsidRDefault="00F35BC5" w:rsidP="00CA2E8C">
      <w:pPr>
        <w:jc w:val="both"/>
      </w:pPr>
      <w:r>
        <w:t>Videre melder stadig flere kommuner at de bruke</w:t>
      </w:r>
      <w:r w:rsidR="00955667">
        <w:t>r</w:t>
      </w:r>
      <w:r>
        <w:t xml:space="preserve"> av øvrige kommunale midler for å kunne tilby fastlegetjenester til sine innbyggere. Ipsos og Samfunnsøkonomisk analyse gjennomførte i 2021 en nasjonal kartlegging av kommunenes egenfinansiering av fastlegeordningen, den tredje i rekke, på oppdrag fra KS. 217 kommuner deltok i kartleggingen (61 prosent). Tre av fire av disse kommunene oppgav at de har utgifter til fastlegeordningen som går utover basistilskuddet. Blant kommunene som oppgav merkostnader, var fastlønn den ordningen som majoriteten av kommunene brukte</w:t>
      </w:r>
      <w:r w:rsidRPr="003C4350">
        <w:rPr>
          <w:rFonts w:cs="Arial"/>
          <w:bCs/>
        </w:rPr>
        <w:t xml:space="preserve"> (63 </w:t>
      </w:r>
      <w:r w:rsidRPr="513C6B95">
        <w:rPr>
          <w:rFonts w:cs="Arial"/>
        </w:rPr>
        <w:t>prosent</w:t>
      </w:r>
      <w:r w:rsidRPr="003C4350">
        <w:rPr>
          <w:rFonts w:cs="Arial"/>
          <w:bCs/>
        </w:rPr>
        <w:t xml:space="preserve">), </w:t>
      </w:r>
      <w:r>
        <w:rPr>
          <w:rFonts w:cs="Arial"/>
          <w:bCs/>
        </w:rPr>
        <w:t xml:space="preserve">etterfulgt av </w:t>
      </w:r>
      <w:r w:rsidRPr="003C4350">
        <w:rPr>
          <w:rFonts w:cs="Arial"/>
          <w:bCs/>
        </w:rPr>
        <w:t>gunstige avtaler om leie av praksislokaler/</w:t>
      </w:r>
      <w:r>
        <w:rPr>
          <w:rFonts w:cs="Arial"/>
          <w:bCs/>
        </w:rPr>
        <w:t>-</w:t>
      </w:r>
      <w:r w:rsidRPr="003C4350">
        <w:rPr>
          <w:rFonts w:cs="Arial"/>
          <w:bCs/>
        </w:rPr>
        <w:t xml:space="preserve">utstyr til næringsdrivende (56 </w:t>
      </w:r>
      <w:r w:rsidRPr="513C6B95">
        <w:rPr>
          <w:rFonts w:cs="Arial"/>
        </w:rPr>
        <w:t>prosent</w:t>
      </w:r>
      <w:r w:rsidRPr="003C4350">
        <w:rPr>
          <w:rFonts w:cs="Arial"/>
          <w:bCs/>
        </w:rPr>
        <w:t xml:space="preserve">) og avtaler om </w:t>
      </w:r>
      <w:r>
        <w:rPr>
          <w:rFonts w:cs="Arial"/>
          <w:bCs/>
        </w:rPr>
        <w:t>bruk</w:t>
      </w:r>
      <w:r w:rsidRPr="003C4350">
        <w:rPr>
          <w:rFonts w:cs="Arial"/>
          <w:bCs/>
        </w:rPr>
        <w:t xml:space="preserve"> av kommunale </w:t>
      </w:r>
      <w:r w:rsidRPr="008F72B2">
        <w:rPr>
          <w:rFonts w:cs="Arial"/>
          <w:bCs/>
        </w:rPr>
        <w:t xml:space="preserve">støttefunksjoner eller annet helsepersonell (49 </w:t>
      </w:r>
      <w:r w:rsidRPr="513C6B95">
        <w:rPr>
          <w:rFonts w:cs="Arial"/>
        </w:rPr>
        <w:t>prosent</w:t>
      </w:r>
      <w:r w:rsidRPr="008F72B2">
        <w:rPr>
          <w:rFonts w:cs="Arial"/>
          <w:bCs/>
        </w:rPr>
        <w:t>).</w:t>
      </w:r>
      <w:r w:rsidRPr="008F72B2">
        <w:t xml:space="preserve"> 16 </w:t>
      </w:r>
      <w:r>
        <w:t>prosent av kommunene</w:t>
      </w:r>
      <w:r w:rsidRPr="008F72B2">
        <w:t xml:space="preserve"> </w:t>
      </w:r>
      <w:r>
        <w:t xml:space="preserve">oppgav at de </w:t>
      </w:r>
      <w:r w:rsidRPr="008F72B2">
        <w:t xml:space="preserve">har gitt økonomisk kompensasjon til </w:t>
      </w:r>
      <w:r>
        <w:t xml:space="preserve">fratredende </w:t>
      </w:r>
      <w:r w:rsidRPr="008F72B2">
        <w:t>lege</w:t>
      </w:r>
      <w:r>
        <w:t>(</w:t>
      </w:r>
      <w:r w:rsidRPr="008F72B2">
        <w:t>r</w:t>
      </w:r>
      <w:r>
        <w:t>)</w:t>
      </w:r>
      <w:r w:rsidRPr="008F72B2">
        <w:t xml:space="preserve"> ved </w:t>
      </w:r>
      <w:r>
        <w:t>innløsning</w:t>
      </w:r>
      <w:r w:rsidRPr="008F72B2">
        <w:t xml:space="preserve"> av hjemmel i 2020</w:t>
      </w:r>
      <w:r>
        <w:t>, dette er uendret fra 2019</w:t>
      </w:r>
      <w:r w:rsidR="009D43B3">
        <w:t xml:space="preserve"> </w:t>
      </w:r>
      <w:r>
        <w:fldChar w:fldCharType="begin"/>
      </w:r>
      <w:r w:rsidR="00A930FB">
        <w:instrText xml:space="preserve"> ADDIN EN.CITE &lt;EndNote&gt;&lt;Cite&gt;&lt;Author&gt;Ipsos og Samfunnsøkonomisk analyse&lt;/Author&gt;&lt;Year&gt;2021&lt;/Year&gt;&lt;RecNum&gt;989&lt;/RecNum&gt;&lt;DisplayText&gt;(Ipsos og Samfunnsøkonomisk analyse, 2021)&lt;/DisplayText&gt;&lt;record&gt;&lt;rec-number&gt;989&lt;/rec-number&gt;&lt;foreign-keys&gt;&lt;key app="EN" db-id="95tpr2tp6r9xwoea9rb5wdsz5ds5xeddteew" timestamp="1680244769"&gt;989&lt;/key&gt;&lt;/foreign-keys&gt;&lt;ref-type name="Report"&gt;27&lt;/ref-type&gt;&lt;contributors&gt;&lt;authors&gt;&lt;author&gt;Ipsos og Samfunnsøkonomisk analyse,&lt;/author&gt;&lt;/authors&gt;&lt;tertiary-authors&gt;&lt;author&gt;Ipsos&lt;/author&gt;&lt;/tertiary-authors&gt;&lt;/contributors&gt;&lt;titles&gt;&lt;title&gt;Variasjon i finansiering av fastlegeordningen – tredje oppfølgingsundersøkelse. &lt;/title&gt;&lt;/titles&gt;&lt;dates&gt;&lt;year&gt;2021&lt;/year&gt;&lt;/dates&gt;&lt;pub-location&gt;Oslo&lt;/pub-location&gt;&lt;urls&gt;&lt;/urls&gt;&lt;/record&gt;&lt;/Cite&gt;&lt;/EndNote&gt;</w:instrText>
      </w:r>
      <w:r>
        <w:fldChar w:fldCharType="separate"/>
      </w:r>
      <w:r w:rsidR="00A930FB">
        <w:rPr>
          <w:noProof/>
        </w:rPr>
        <w:t>(Ipsos og Samfunnsøkonomisk analyse, 2021)</w:t>
      </w:r>
      <w:r>
        <w:fldChar w:fldCharType="end"/>
      </w:r>
      <w:r w:rsidRPr="008F72B2">
        <w:t>.</w:t>
      </w:r>
    </w:p>
    <w:p w14:paraId="3021883D" w14:textId="77777777" w:rsidR="00D9107F" w:rsidRDefault="00F35BC5" w:rsidP="00CA2E8C">
      <w:pPr>
        <w:jc w:val="both"/>
      </w:pPr>
      <w:r>
        <w:t>Tilsvarende viser FHI sine analyser at antallet fa</w:t>
      </w:r>
      <w:r w:rsidR="00FE4B09">
        <w:t>st ansatte fastleger</w:t>
      </w:r>
      <w:r>
        <w:t xml:space="preserve"> har økt i perioden 2018 til 2022. Denne utviklingen er særlig tydelig i de minst sentrale kommunene. Det er derimot store </w:t>
      </w:r>
      <w:r>
        <w:lastRenderedPageBreak/>
        <w:t xml:space="preserve">forskjeller i bruk av </w:t>
      </w:r>
      <w:r w:rsidR="00A43738">
        <w:t>a</w:t>
      </w:r>
      <w:r w:rsidR="00636084">
        <w:t>nsettelse</w:t>
      </w:r>
      <w:r>
        <w:t xml:space="preserve"> mellom kommunene etter innbyggertall og sentralitet. I de minst sentrale og folkerike kommunene var over 70 prosent av alle fastlegeavtaler </w:t>
      </w:r>
      <w:r w:rsidR="006E7970">
        <w:t xml:space="preserve">fast </w:t>
      </w:r>
      <w:r w:rsidR="709967B0">
        <w:t>ans</w:t>
      </w:r>
      <w:r w:rsidR="7494CB80">
        <w:t>e</w:t>
      </w:r>
      <w:r w:rsidR="709967B0">
        <w:t>tt</w:t>
      </w:r>
      <w:r w:rsidR="58835FE6">
        <w:t>else</w:t>
      </w:r>
      <w:r>
        <w:t xml:space="preserve"> i 2022, mens andelen er lav i sentrale bykommuner, </w:t>
      </w:r>
      <w:r w:rsidR="00BD39E9">
        <w:t>og gjelder</w:t>
      </w:r>
      <w:r>
        <w:t xml:space="preserve"> kun 5,3 prosent i Oslo og 3,6 prosent i Trondheim </w:t>
      </w:r>
      <w:r>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fldChar w:fldCharType="separate"/>
      </w:r>
      <w:r w:rsidR="00856689">
        <w:rPr>
          <w:noProof/>
        </w:rPr>
        <w:t>(Skyrud et al., 2023)</w:t>
      </w:r>
      <w:r>
        <w:fldChar w:fldCharType="end"/>
      </w:r>
      <w:r>
        <w:t>.</w:t>
      </w:r>
    </w:p>
    <w:p w14:paraId="129FC2B5" w14:textId="1EBC1294" w:rsidR="00F35BC5" w:rsidRPr="0050784D" w:rsidRDefault="00F35BC5" w:rsidP="00775632">
      <w:pPr>
        <w:pStyle w:val="Overskrift4"/>
      </w:pPr>
      <w:bookmarkStart w:id="559" w:name="_Toc131238322"/>
      <w:bookmarkStart w:id="560" w:name="_Toc131279352"/>
      <w:bookmarkStart w:id="561" w:name="_Toc131286764"/>
      <w:bookmarkStart w:id="562" w:name="_Toc131281174"/>
      <w:bookmarkStart w:id="563" w:name="_Toc131317713"/>
      <w:r>
        <w:t>Anslag for kostnader til fastlegeordningen</w:t>
      </w:r>
      <w:bookmarkEnd w:id="559"/>
      <w:bookmarkEnd w:id="560"/>
      <w:bookmarkEnd w:id="561"/>
      <w:bookmarkEnd w:id="562"/>
      <w:bookmarkEnd w:id="563"/>
    </w:p>
    <w:p w14:paraId="39F29A3E" w14:textId="77777777" w:rsidR="00D9107F" w:rsidRPr="00B31A6B" w:rsidRDefault="00F35BC5" w:rsidP="00B31A6B">
      <w:pPr>
        <w:rPr>
          <w:rFonts w:eastAsia="Calibri"/>
        </w:rPr>
      </w:pPr>
      <w:r w:rsidRPr="00B31A6B">
        <w:rPr>
          <w:rFonts w:eastAsia="Calibri"/>
        </w:rPr>
        <w:t>Mesteparten av aktiviteten i fastlegeordningen omfattes av takstsystemet. Men det finnes også noen oppgaver fastlegen gjør som ikke har en like tydelig finansieringskilde. Det er dermed ikke helt klart hvilke kostnader som skal omfattes i beregninger av totalkostnader ved fastlegeordningen, og i tillegg er tilgangen på statistikk begrenset. Nedenfor gjengis anslag for kostnader</w:t>
      </w:r>
      <w:r w:rsidR="00003D88" w:rsidRPr="00B31A6B">
        <w:rPr>
          <w:rFonts w:eastAsia="Calibri"/>
        </w:rPr>
        <w:t>,</w:t>
      </w:r>
      <w:r w:rsidRPr="00B31A6B">
        <w:rPr>
          <w:rFonts w:eastAsia="Calibri"/>
        </w:rPr>
        <w:t xml:space="preserve"> der Helsedirektoratet har tatt utgangspunkt i beregninger gjennom basisfinansieringen og den aktivitetsbaserte finansieringen </w:t>
      </w:r>
      <w:r w:rsidRPr="00B31A6B">
        <w:rPr>
          <w:rFonts w:eastAsia="Calibri"/>
        </w:rPr>
        <w:fldChar w:fldCharType="begin"/>
      </w:r>
      <w:r w:rsidR="004654FD" w:rsidRPr="00B31A6B">
        <w:rPr>
          <w:rFonts w:eastAsia="Calibri"/>
        </w:rPr>
        <w:instrText xml:space="preserve"> ADDIN EN.CITE &lt;EndNote&gt;&lt;Cite ExcludeYear="1"&gt;&lt;Author&gt;Helsedirektoratet&lt;/Author&gt;&lt;Year&gt;2022&lt;/Year&gt;&lt;RecNum&gt;910&lt;/RecNum&gt;&lt;DisplayText&gt;(Helsedirektoratet)&lt;/DisplayText&gt;&lt;record&gt;&lt;rec-number&gt;910&lt;/rec-number&gt;&lt;foreign-keys&gt;&lt;key app="EN" db-id="95tpr2tp6r9xwoea9rb5wdsz5ds5xeddteew" timestamp="1680131404"&gt;910&lt;/key&gt;&lt;/foreign-keys&gt;&lt;ref-type name="Web Page"&gt;12&lt;/ref-type&gt;&lt;contributors&gt;&lt;authors&gt;&lt;author&gt;Helsedirektoratet&lt;/author&gt;&lt;/authors&gt;&lt;/contributors&gt;&lt;titles&gt;&lt;title&gt;Fortsatt reduksjon i kapasitet og tilgjengelighet til fastlege&lt;/title&gt;&lt;/titles&gt;&lt;dates&gt;&lt;year&gt;2022&lt;/year&gt;&lt;/dates&gt;&lt;publisher&gt;Helsedirektoratet&lt;/publisher&gt;&lt;urls&gt;&lt;/urls&gt;&lt;/record&gt;&lt;/Cite&gt;&lt;/EndNote&gt;</w:instrText>
      </w:r>
      <w:r w:rsidRPr="00B31A6B">
        <w:rPr>
          <w:rFonts w:eastAsia="Calibri"/>
        </w:rPr>
        <w:fldChar w:fldCharType="separate"/>
      </w:r>
      <w:r w:rsidRPr="00B31A6B">
        <w:rPr>
          <w:rFonts w:eastAsia="Calibri"/>
        </w:rPr>
        <w:t>(Helsedirektoratet)</w:t>
      </w:r>
      <w:r w:rsidRPr="00B31A6B">
        <w:rPr>
          <w:rFonts w:eastAsia="Calibri"/>
        </w:rPr>
        <w:fldChar w:fldCharType="end"/>
      </w:r>
      <w:r w:rsidRPr="00B31A6B">
        <w:rPr>
          <w:rFonts w:eastAsia="Calibri"/>
        </w:rPr>
        <w:t>.</w:t>
      </w:r>
    </w:p>
    <w:p w14:paraId="39A8621E" w14:textId="5E827489" w:rsidR="00D9107F" w:rsidRPr="00B31A6B" w:rsidRDefault="00F35BC5" w:rsidP="00B31A6B">
      <w:pPr>
        <w:rPr>
          <w:rFonts w:eastAsia="Calibri"/>
        </w:rPr>
      </w:pPr>
      <w:r w:rsidRPr="00B31A6B">
        <w:rPr>
          <w:rFonts w:eastAsia="Calibri"/>
        </w:rPr>
        <w:t xml:space="preserve">Kommuners eventuelle merkostnader til fastlegeordningen </w:t>
      </w:r>
      <w:r w:rsidRPr="00B31A6B">
        <w:rPr>
          <w:rFonts w:eastAsia="Calibri"/>
        </w:rPr>
        <w:fldChar w:fldCharType="begin"/>
      </w:r>
      <w:r w:rsidR="00A930FB" w:rsidRPr="00B31A6B">
        <w:rPr>
          <w:rFonts w:eastAsia="Calibri"/>
        </w:rPr>
        <w:instrText xml:space="preserve"> ADDIN EN.CITE &lt;EndNote&gt;&lt;Cite&gt;&lt;Author&gt;og&lt;/Author&gt;&lt;Year&gt;2022&lt;/Year&gt;&lt;RecNum&gt;858&lt;/RecNum&gt;&lt;DisplayText&gt;(og et al., 2022)&lt;/DisplayText&gt;&lt;record&gt;&lt;rec-number&gt;858&lt;/rec-number&gt;&lt;foreign-keys&gt;&lt;key app="EN" db-id="95tpr2tp6r9xwoea9rb5wdsz5ds5xeddteew" timestamp="1680069511"&gt;858&lt;/key&gt;&lt;/foreign-keys&gt;&lt;ref-type name="Report"&gt;27&lt;/ref-type&gt;&lt;contributors&gt;&lt;authors&gt;&lt;author&gt;Ipsos og&lt;/author&gt;&lt;author&gt;Samfunnsøkonomisk analyse,&lt;/author&gt;&lt;/authors&gt;&lt;tertiary-authors&gt;&lt;author&gt;Ipsos&lt;/author&gt;&lt;/tertiary-authors&gt;&lt;/contributors&gt;&lt;titles&gt;&lt;title&gt;Variasjoner i finansiering av fastlegeordningen : fjerde oppfølgingsundersøkelse&lt;/title&gt;&lt;/titles&gt;&lt;dates&gt;&lt;year&gt;2022&lt;/year&gt;&lt;/dates&gt;&lt;pub-location&gt;Oslo&lt;/pub-location&gt;&lt;urls&gt;&lt;/urls&gt;&lt;/record&gt;&lt;/Cite&gt;&lt;/EndNote&gt;</w:instrText>
      </w:r>
      <w:r w:rsidRPr="00B31A6B">
        <w:rPr>
          <w:rFonts w:eastAsia="Calibri"/>
        </w:rPr>
        <w:fldChar w:fldCharType="separate"/>
      </w:r>
      <w:r w:rsidR="00A930FB" w:rsidRPr="00B31A6B">
        <w:rPr>
          <w:rFonts w:eastAsia="Calibri"/>
        </w:rPr>
        <w:t>(og et al., 2022)</w:t>
      </w:r>
      <w:r w:rsidRPr="00B31A6B">
        <w:rPr>
          <w:rFonts w:eastAsia="Calibri"/>
        </w:rPr>
        <w:fldChar w:fldCharType="end"/>
      </w:r>
      <w:r w:rsidRPr="00B31A6B">
        <w:rPr>
          <w:rFonts w:eastAsia="Calibri"/>
        </w:rPr>
        <w:t xml:space="preserve">, for eksempel tilleggsytelser til legene (8.2-avtaler, økt basistilskudd), oppkjøp av praksiser, vikarordninger eller fastlønnsavtaler </w:t>
      </w:r>
      <w:r w:rsidRPr="00B31A6B">
        <w:rPr>
          <w:rFonts w:eastAsia="Calibri"/>
        </w:rPr>
        <w:fldChar w:fldCharType="begin"/>
      </w:r>
      <w:r w:rsidR="004654FD" w:rsidRPr="00B31A6B">
        <w:rPr>
          <w:rFonts w:eastAsia="Calibri"/>
        </w:rPr>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Pr="00B31A6B">
        <w:rPr>
          <w:rFonts w:eastAsia="Calibri"/>
        </w:rPr>
        <w:fldChar w:fldCharType="separate"/>
      </w:r>
      <w:r w:rsidR="00CE2F35" w:rsidRPr="00B31A6B">
        <w:rPr>
          <w:rFonts w:eastAsia="Calibri"/>
        </w:rPr>
        <w:t>(EY og Vista Analyse, 2019)</w:t>
      </w:r>
      <w:r w:rsidRPr="00B31A6B">
        <w:rPr>
          <w:rFonts w:eastAsia="Calibri"/>
        </w:rPr>
        <w:fldChar w:fldCharType="end"/>
      </w:r>
      <w:r w:rsidRPr="00B31A6B">
        <w:rPr>
          <w:rFonts w:eastAsia="Calibri"/>
        </w:rPr>
        <w:t>, er ikke med i Helsedirektoratets overslag. Pasienter i langtidsopphold i institusjon (for eksempel sykehjem), der andre leger enn fastlegen har ansvar for oppfølgingen, er bare inkludert med basistilskuddet. Statens tilskudd til spesialistutdanningen i allmennmedisin (LIS1 og ALIS), samt eventuelle merkostnader for kommunene, inngår ikke i beregningen. Kostnader til</w:t>
      </w:r>
      <w:r w:rsidR="00EF080B" w:rsidRPr="00B31A6B">
        <w:rPr>
          <w:rFonts w:eastAsia="Calibri"/>
        </w:rPr>
        <w:t xml:space="preserve"> </w:t>
      </w:r>
      <w:r w:rsidRPr="00B31A6B">
        <w:rPr>
          <w:rFonts w:eastAsia="Calibri"/>
        </w:rPr>
        <w:t>tilskudd til LIS1 utgjorde 19</w:t>
      </w:r>
      <w:r w:rsidR="00D9107F" w:rsidRPr="00B31A6B">
        <w:rPr>
          <w:rFonts w:eastAsia="Calibri"/>
        </w:rPr>
        <w:t>2 mill.</w:t>
      </w:r>
      <w:r w:rsidRPr="00B31A6B">
        <w:rPr>
          <w:rFonts w:eastAsia="Calibri"/>
        </w:rPr>
        <w:t xml:space="preserve"> kroner i 2022, og kostnader til ALIS-tilskudd var 2</w:t>
      </w:r>
      <w:r w:rsidR="002416D7" w:rsidRPr="00B31A6B">
        <w:rPr>
          <w:rFonts w:eastAsia="Calibri"/>
        </w:rPr>
        <w:t>6</w:t>
      </w:r>
      <w:r w:rsidR="00D9107F" w:rsidRPr="00B31A6B">
        <w:rPr>
          <w:rFonts w:eastAsia="Calibri"/>
        </w:rPr>
        <w:t>1 mill.</w:t>
      </w:r>
      <w:r w:rsidRPr="00B31A6B">
        <w:rPr>
          <w:rFonts w:eastAsia="Calibri"/>
        </w:rPr>
        <w:t xml:space="preserve"> kroner (Totale kostnader for allmennlegetjenesten, 2022)</w:t>
      </w:r>
      <w:r w:rsidRPr="00B31A6B">
        <w:rPr>
          <w:rFonts w:eastAsia="Calibri"/>
        </w:rPr>
        <w:fldChar w:fldCharType="begin"/>
      </w:r>
      <w:r w:rsidR="00235862" w:rsidRPr="00B31A6B">
        <w:rPr>
          <w:rFonts w:eastAsia="Calibri"/>
        </w:rPr>
        <w:instrText xml:space="preserve"> ADDIN EN.CITE &lt;EndNote&gt;&lt;Cite&gt;&lt;Author&gt;Helsedirektoratet&lt;/Author&gt;&lt;Year&gt;2022&lt;/Year&gt;&lt;RecNum&gt;428&lt;/RecNum&gt;&lt;DisplayText&gt;(Helsedirektoratet, 2022d)&lt;/DisplayText&gt;&lt;record&gt;&lt;rec-number&gt;428&lt;/rec-number&gt;&lt;foreign-keys&gt;&lt;key app="EN" db-id="95tpr2tp6r9xwoea9rb5wdsz5ds5xeddteew" timestamp="1680069511"&gt;428&lt;/key&gt;&lt;/foreign-keys&gt;&lt;ref-type name="Web Page"&gt;12&lt;/ref-type&gt;&lt;contributors&gt;&lt;authors&gt;&lt;author&gt;Helsedirektoratet&lt;/author&gt;&lt;/authors&gt;&lt;/contributors&gt;&lt;titles&gt;&lt;title&gt;Kostnader til fastlegeordningen&lt;/title&gt;&lt;/titles&gt;&lt;number&gt;16. mars 2023&lt;/number&gt;&lt;dates&gt;&lt;year&gt;2022&lt;/year&gt;&lt;pub-dates&gt;&lt;date&gt;19. mai 2022&lt;/date&gt;&lt;/pub-dates&gt;&lt;/dates&gt;&lt;pub-location&gt;Oslo&lt;/pub-location&gt;&lt;publisher&gt;Helsedirektoratet&lt;/publisher&gt;&lt;work-type&gt;nettdokument&lt;/work-type&gt;&lt;urls&gt;&lt;/urls&gt;&lt;/record&gt;&lt;/Cite&gt;&lt;/EndNote&gt;</w:instrText>
      </w:r>
      <w:r w:rsidRPr="00B31A6B">
        <w:rPr>
          <w:rFonts w:eastAsia="Calibri"/>
        </w:rPr>
        <w:fldChar w:fldCharType="separate"/>
      </w:r>
      <w:r w:rsidR="00D078E3" w:rsidRPr="00B31A6B">
        <w:rPr>
          <w:rFonts w:eastAsia="Calibri"/>
        </w:rPr>
        <w:t>(Helsedirektoratet, 2022d)</w:t>
      </w:r>
      <w:r w:rsidRPr="00B31A6B">
        <w:rPr>
          <w:rFonts w:eastAsia="Calibri"/>
        </w:rPr>
        <w:fldChar w:fldCharType="end"/>
      </w:r>
      <w:r w:rsidRPr="00B31A6B">
        <w:rPr>
          <w:rFonts w:eastAsia="Calibri"/>
        </w:rPr>
        <w:t>.</w:t>
      </w:r>
      <w:r w:rsidR="00464252" w:rsidRPr="00B31A6B">
        <w:rPr>
          <w:rFonts w:eastAsia="Calibri"/>
        </w:rPr>
        <w:t xml:space="preserve"> </w:t>
      </w:r>
      <w:r w:rsidRPr="00B31A6B">
        <w:rPr>
          <w:rFonts w:eastAsia="Calibri"/>
        </w:rPr>
        <w:t>Kostnader til legemidler inngår ikke i beregningen, og naturligvis heller ikke kostnader i spesialisthelsetjenestene, i helse- og omsorgstjenestene ellers, eller i folkehelsearbeidet.</w:t>
      </w:r>
    </w:p>
    <w:p w14:paraId="7E57BAF8" w14:textId="3FBA3152" w:rsidR="00D9107F" w:rsidRPr="00B31A6B" w:rsidRDefault="00F35BC5" w:rsidP="00B31A6B">
      <w:pPr>
        <w:rPr>
          <w:rFonts w:eastAsia="Calibri"/>
        </w:rPr>
      </w:pPr>
      <w:r w:rsidRPr="00B31A6B">
        <w:rPr>
          <w:rFonts w:eastAsia="Calibri"/>
        </w:rPr>
        <w:t>Basert på disse forutsetningene har Helsedirektoratet beregnet kostnadene for fastlegeordningen til 12,</w:t>
      </w:r>
      <w:r w:rsidR="00D9107F" w:rsidRPr="00B31A6B">
        <w:rPr>
          <w:rFonts w:eastAsia="Calibri"/>
        </w:rPr>
        <w:t>7 mrd.</w:t>
      </w:r>
      <w:r w:rsidRPr="00B31A6B">
        <w:rPr>
          <w:rFonts w:eastAsia="Calibri"/>
        </w:rPr>
        <w:t xml:space="preserve"> kroner i 2022 </w:t>
      </w:r>
      <w:r w:rsidRPr="00B31A6B">
        <w:rPr>
          <w:rFonts w:eastAsia="Calibri"/>
        </w:rPr>
        <w:fldChar w:fldCharType="begin"/>
      </w:r>
      <w:r w:rsidR="00235862" w:rsidRPr="00B31A6B">
        <w:rPr>
          <w:rFonts w:eastAsia="Calibri"/>
        </w:rPr>
        <w:instrText xml:space="preserve"> ADDIN EN.CITE &lt;EndNote&gt;&lt;Cite&gt;&lt;Author&gt;Helsedirektoratet&lt;/Author&gt;&lt;Year&gt;2022&lt;/Year&gt;&lt;RecNum&gt;428&lt;/RecNum&gt;&lt;DisplayText&gt;(Helsedirektoratet, 2022d)&lt;/DisplayText&gt;&lt;record&gt;&lt;rec-number&gt;428&lt;/rec-number&gt;&lt;foreign-keys&gt;&lt;key app="EN" db-id="95tpr2tp6r9xwoea9rb5wdsz5ds5xeddteew" timestamp="1680069511"&gt;428&lt;/key&gt;&lt;/foreign-keys&gt;&lt;ref-type name="Web Page"&gt;12&lt;/ref-type&gt;&lt;contributors&gt;&lt;authors&gt;&lt;author&gt;Helsedirektoratet&lt;/author&gt;&lt;/authors&gt;&lt;/contributors&gt;&lt;titles&gt;&lt;title&gt;Kostnader til fastlegeordningen&lt;/title&gt;&lt;/titles&gt;&lt;number&gt;16. mars 2023&lt;/number&gt;&lt;dates&gt;&lt;year&gt;2022&lt;/year&gt;&lt;pub-dates&gt;&lt;date&gt;19. mai 2022&lt;/date&gt;&lt;/pub-dates&gt;&lt;/dates&gt;&lt;pub-location&gt;Oslo&lt;/pub-location&gt;&lt;publisher&gt;Helsedirektoratet&lt;/publisher&gt;&lt;work-type&gt;nettdokument&lt;/work-type&gt;&lt;urls&gt;&lt;/urls&gt;&lt;/record&gt;&lt;/Cite&gt;&lt;/EndNote&gt;</w:instrText>
      </w:r>
      <w:r w:rsidRPr="00B31A6B">
        <w:rPr>
          <w:rFonts w:eastAsia="Calibri"/>
        </w:rPr>
        <w:fldChar w:fldCharType="separate"/>
      </w:r>
      <w:r w:rsidR="00D078E3" w:rsidRPr="00B31A6B">
        <w:rPr>
          <w:rFonts w:eastAsia="Calibri"/>
        </w:rPr>
        <w:t>(Helsedirektoratet, 2022d)</w:t>
      </w:r>
      <w:r w:rsidRPr="00B31A6B">
        <w:rPr>
          <w:rFonts w:eastAsia="Calibri"/>
        </w:rPr>
        <w:fldChar w:fldCharType="end"/>
      </w:r>
      <w:r w:rsidRPr="00B31A6B">
        <w:rPr>
          <w:rFonts w:eastAsia="Calibri"/>
        </w:rPr>
        <w:t>, som tilsvarer i overkant av 230</w:t>
      </w:r>
      <w:r w:rsidR="00D9107F" w:rsidRPr="00B31A6B">
        <w:rPr>
          <w:rFonts w:eastAsia="Calibri"/>
        </w:rPr>
        <w:t>0 kroner</w:t>
      </w:r>
      <w:r w:rsidRPr="00B31A6B">
        <w:rPr>
          <w:rFonts w:eastAsia="Calibri"/>
        </w:rPr>
        <w:t xml:space="preserve"> per innbygger. </w:t>
      </w:r>
      <w:r w:rsidRPr="00B31A6B">
        <w:t xml:space="preserve">Fra figur </w:t>
      </w:r>
      <w:r w:rsidR="00CA2E8C" w:rsidRPr="00B31A6B">
        <w:t>2-41</w:t>
      </w:r>
      <w:r w:rsidRPr="00B31A6B">
        <w:t xml:space="preserve"> ser vi at disse kostnadene har økt fra 2010 til 2021, men fra 2021 til 2022 har det vært en reduksjon i kostnadene på 1,0 prosent når man tar hensyn til prisveksten. Nedgangen skyldes nedgang i refusjoner på 6,7 prosent</w:t>
      </w:r>
      <w:r w:rsidR="00003D88" w:rsidRPr="00B31A6B">
        <w:t>,</w:t>
      </w:r>
      <w:r w:rsidRPr="00B31A6B">
        <w:t xml:space="preserve"> målt i faste priser. Basisfinansieringen har økt over perioden, og siste år var det en nominell vekst på 9,3 prosent og en realvekst på 6,3 prosent. Egenandeler og egenbetaling fra pasienter har hatt samme prosentvise vekst som basisfinansieringen fra 2021 til 2022.</w:t>
      </w:r>
    </w:p>
    <w:p w14:paraId="221F9F8B" w14:textId="7635498D" w:rsidR="00F35BC5" w:rsidRDefault="00F35BC5" w:rsidP="00B31A6B">
      <w:pPr>
        <w:pStyle w:val="avsnitt-tittel"/>
      </w:pPr>
      <w:r w:rsidRPr="40D8F136">
        <w:lastRenderedPageBreak/>
        <w:t xml:space="preserve">Figur </w:t>
      </w:r>
      <w:r w:rsidR="00C9416A">
        <w:t>2-</w:t>
      </w:r>
      <w:r w:rsidR="00CA2E8C">
        <w:t>41</w:t>
      </w:r>
      <w:r w:rsidR="005E0B90">
        <w:t>:</w:t>
      </w:r>
      <w:r w:rsidR="00B31A6B">
        <w:t xml:space="preserve"> </w:t>
      </w:r>
      <w:r w:rsidRPr="00A27CD1">
        <w:t>Anslag på kostnader til fastlegeordningen, faste priser (millioner 2022-kroner) *</w:t>
      </w:r>
    </w:p>
    <w:p w14:paraId="32385F6E" w14:textId="05E0B4CD" w:rsidR="00F35BC5" w:rsidRDefault="00041730" w:rsidP="00F35BC5">
      <w:pPr>
        <w:spacing w:line="257" w:lineRule="auto"/>
        <w:jc w:val="both"/>
      </w:pPr>
      <w:r>
        <w:rPr>
          <w:noProof/>
        </w:rPr>
        <w:drawing>
          <wp:inline distT="0" distB="0" distL="0" distR="0" wp14:anchorId="6737A128" wp14:editId="4472DEF8">
            <wp:extent cx="6120765" cy="347472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474720"/>
                    </a:xfrm>
                    <a:prstGeom prst="rect">
                      <a:avLst/>
                    </a:prstGeom>
                    <a:noFill/>
                  </pic:spPr>
                </pic:pic>
              </a:graphicData>
            </a:graphic>
          </wp:inline>
        </w:drawing>
      </w:r>
    </w:p>
    <w:p w14:paraId="393F2B88" w14:textId="5A5FD4F9" w:rsidR="00F35BC5" w:rsidRPr="00CE06F0" w:rsidRDefault="00F35BC5" w:rsidP="00C709CD">
      <w:pPr>
        <w:pStyle w:val="Petit"/>
        <w:rPr>
          <w:rStyle w:val="kursiv"/>
        </w:rPr>
      </w:pPr>
      <w:bookmarkStart w:id="564" w:name="_Toc132133907"/>
      <w:r w:rsidRPr="00CE06F0">
        <w:rPr>
          <w:rStyle w:val="kursiv"/>
        </w:rPr>
        <w:t>Kilde: Helsedirektoratets registre KUHR og FLO</w:t>
      </w:r>
      <w:r w:rsidR="00D22D78" w:rsidRPr="00CE06F0">
        <w:rPr>
          <w:rStyle w:val="kursiv"/>
        </w:rPr>
        <w:t>, 2010-2022.</w:t>
      </w:r>
      <w:bookmarkEnd w:id="564"/>
    </w:p>
    <w:p w14:paraId="57FC5CE1" w14:textId="0251B8B4" w:rsidR="00D9107F" w:rsidRPr="00D9107F" w:rsidRDefault="00F35BC5" w:rsidP="00C709CD">
      <w:pPr>
        <w:rPr>
          <w:rStyle w:val="skrift-hevet"/>
          <w:rFonts w:eastAsia="Calibri"/>
        </w:rPr>
      </w:pPr>
      <w:r>
        <w:t xml:space="preserve">En alternativ tilnærming er å </w:t>
      </w:r>
      <w:r w:rsidRPr="6AFB9ADF">
        <w:rPr>
          <w:rFonts w:eastAsia="Calibri"/>
        </w:rPr>
        <w:t>beregne kostnader med utgangspunkt i nasjonalregnskapet</w:t>
      </w:r>
      <w:r w:rsidRPr="43F9E4A7">
        <w:rPr>
          <w:rFonts w:eastAsia="Calibri"/>
        </w:rPr>
        <w:t xml:space="preserve">, men </w:t>
      </w:r>
      <w:r w:rsidRPr="6AFB9ADF">
        <w:rPr>
          <w:rFonts w:eastAsia="Calibri"/>
        </w:rPr>
        <w:t xml:space="preserve">også </w:t>
      </w:r>
      <w:r w:rsidRPr="43F9E4A7">
        <w:rPr>
          <w:rFonts w:eastAsia="Calibri"/>
        </w:rPr>
        <w:t>en slik tilnærming</w:t>
      </w:r>
      <w:r w:rsidR="00D9107F" w:rsidRPr="00D9107F" w:rsidDel="0109D56C">
        <w:rPr>
          <w:rStyle w:val="skrift-hevet"/>
          <w:rFonts w:eastAsia="Calibri"/>
        </w:rPr>
        <w:t xml:space="preserve"> </w:t>
      </w:r>
      <w:r w:rsidRPr="43F9E4A7">
        <w:rPr>
          <w:rFonts w:eastAsia="Calibri"/>
        </w:rPr>
        <w:t>har</w:t>
      </w:r>
      <w:r w:rsidRPr="43F9E4A7" w:rsidDel="0109D56C">
        <w:rPr>
          <w:rFonts w:eastAsia="Calibri"/>
        </w:rPr>
        <w:t xml:space="preserve"> </w:t>
      </w:r>
      <w:r w:rsidRPr="6AFB9ADF">
        <w:rPr>
          <w:rFonts w:eastAsia="Calibri"/>
        </w:rPr>
        <w:t xml:space="preserve">begrensninger </w:t>
      </w:r>
      <w:r>
        <w:rPr>
          <w:rFonts w:eastAsia="Calibri"/>
        </w:rPr>
        <w:fldChar w:fldCharType="begin"/>
      </w:r>
      <w:r w:rsidR="00A27571">
        <w:rPr>
          <w:rFonts w:eastAsia="Calibri"/>
        </w:rPr>
        <w:instrText xml:space="preserve"> ADDIN EN.CITE &lt;EndNote&gt;&lt;Cite ExcludeYear="1"&gt;&lt;Author&gt;SSB&lt;/Author&gt;&lt;RecNum&gt;909&lt;/RecNum&gt;&lt;DisplayText&gt;(Brændvang, 2008; Hernæs et al., 2012; SSB)&lt;/DisplayText&gt;&lt;record&gt;&lt;rec-number&gt;909&lt;/rec-number&gt;&lt;foreign-keys&gt;&lt;key app="EN" db-id="95tpr2tp6r9xwoea9rb5wdsz5ds5xeddteew" timestamp="1680131139"&gt;909&lt;/key&gt;&lt;/foreign-keys&gt;&lt;ref-type name="Web Page"&gt;12&lt;/ref-type&gt;&lt;contributors&gt;&lt;authors&gt;&lt;author&gt;SSB&lt;/author&gt;&lt;/authors&gt;&lt;/contributors&gt;&lt;titles&gt;&lt;title&gt;Helseregnskap: 10814: Helseutgifter, etter type tjeneste (mill. kr) 1997 – 2021. Statistikkbanken &lt;/title&gt;&lt;/titles&gt;&lt;volume&gt;19.03.23&lt;/volume&gt;&lt;dates&gt;&lt;/dates&gt;&lt;publisher&gt;SSB&lt;/publisher&gt;&lt;urls&gt;&lt;related-urls&gt;&lt;url&gt;https://www.ssb.no/statbank/table/10814/&lt;/url&gt;&lt;/related-urls&gt;&lt;/urls&gt;&lt;/record&gt;&lt;/Cite&gt;&lt;Cite&gt;&lt;Author&gt;Brændvang&lt;/Author&gt;&lt;Year&gt;2008&lt;/Year&gt;&lt;RecNum&gt;535&lt;/RecNum&gt;&lt;record&gt;&lt;rec-number&gt;535&lt;/rec-number&gt;&lt;foreign-keys&gt;&lt;key app="EN" db-id="95tpr2tp6r9xwoea9rb5wdsz5ds5xeddteew" timestamp="1680069511"&gt;535&lt;/key&gt;&lt;/foreign-keys&gt;&lt;ref-type name="Report"&gt;27&lt;/ref-type&gt;&lt;contributors&gt;&lt;authors&gt;&lt;author&gt;Brændvang, A-K.,&lt;/author&gt;&lt;/authors&gt;&lt;/contributors&gt;&lt;titles&gt;&lt;title&gt;Norwegian health accounts: Eurostat project report&lt;/title&gt;&lt;/titles&gt;&lt;number&gt;2008/9&lt;/number&gt;&lt;dates&gt;&lt;year&gt;2008&lt;/year&gt;&lt;/dates&gt;&lt;pub-location&gt;Oslo&lt;/pub-location&gt;&lt;publisher&gt;Statistisk sentralbyrå&lt;/publisher&gt;&lt;urls&gt;&lt;/urls&gt;&lt;/record&gt;&lt;/Cite&gt;&lt;Cite&gt;&lt;Author&gt;Hernæs&lt;/Author&gt;&lt;Year&gt;2012&lt;/Year&gt;&lt;RecNum&gt;908&lt;/RecNum&gt;&lt;record&gt;&lt;rec-number&gt;908&lt;/rec-number&gt;&lt;foreign-keys&gt;&lt;key app="EN" db-id="95tpr2tp6r9xwoea9rb5wdsz5ds5xeddteew" timestamp="1680131007"&gt;908&lt;/key&gt;&lt;/foreign-keys&gt;&lt;ref-type name="Report"&gt;27&lt;/ref-type&gt;&lt;contributors&gt;&lt;authors&gt;&lt;author&gt;Hernæs, K.H&lt;/author&gt;&lt;author&gt;Brathaug, A.L.&lt;/author&gt;&lt;/authors&gt;&lt;/contributors&gt;&lt;titles&gt;&lt;title&gt;Helseregnskapet – et internasjonalt system: Helseregnskapet – et internasjonalt system. &lt;/title&gt;&lt;secondary-title&gt;Økonomiske analyser 2/2012&lt;/secondary-title&gt;&lt;/titles&gt;&lt;dates&gt;&lt;year&gt;2012&lt;/year&gt;&lt;/dates&gt;&lt;publisher&gt;SSB&lt;/publisher&gt;&lt;urls&gt;&lt;/urls&gt;&lt;/record&gt;&lt;/Cite&gt;&lt;/EndNote&gt;</w:instrText>
      </w:r>
      <w:r>
        <w:rPr>
          <w:rFonts w:eastAsia="Calibri"/>
        </w:rPr>
        <w:fldChar w:fldCharType="separate"/>
      </w:r>
      <w:r w:rsidR="00235862">
        <w:rPr>
          <w:rFonts w:eastAsia="Calibri"/>
          <w:noProof/>
        </w:rPr>
        <w:t>(Brændvang, 2008; Hernæs et al., 2012; SSB)</w:t>
      </w:r>
      <w:r>
        <w:rPr>
          <w:rFonts w:eastAsia="Calibri"/>
        </w:rPr>
        <w:fldChar w:fldCharType="end"/>
      </w:r>
      <w:r w:rsidRPr="6AFB9ADF">
        <w:rPr>
          <w:rFonts w:eastAsia="Calibri"/>
        </w:rPr>
        <w:t>.</w:t>
      </w:r>
    </w:p>
    <w:p w14:paraId="1493AEA5" w14:textId="4711A418" w:rsidR="00D9107F" w:rsidRDefault="00F35BC5" w:rsidP="00C709CD">
      <w:pPr>
        <w:rPr>
          <w:rFonts w:eastAsia="Calibri"/>
        </w:rPr>
      </w:pPr>
      <w:r>
        <w:rPr>
          <w:rFonts w:eastAsia="Calibri"/>
        </w:rPr>
        <w:t>SSB publiserer kostnadstall om allmennlegetjenesten. De oppgir at foreløpige kostnader for 2021 var 26,</w:t>
      </w:r>
      <w:r w:rsidR="00D9107F">
        <w:rPr>
          <w:rFonts w:eastAsia="Calibri"/>
        </w:rPr>
        <w:t>7 mrd.</w:t>
      </w:r>
      <w:r>
        <w:rPr>
          <w:rFonts w:eastAsia="Calibri"/>
        </w:rPr>
        <w:t xml:space="preserve"> kroner. Her inkluderes kostnader ut over hva som inngår i Helsedirektoratets tall, som sykehjemsleger, legevakt, helsestasjon og skolehelsetjeneste. Helsedirektoratets kostnadstall om fastlegeordningen og SSBs kostnadstall for allmennlegetjenester er derfor ikke direkte sammenliknbare. Figuren nedenfor viser utvikling i kostnader til fastlegeordningen og allmennlegetjenester, med 2012 som referanseår.</w:t>
      </w:r>
    </w:p>
    <w:p w14:paraId="47BE57F5" w14:textId="599CDA40" w:rsidR="00C33652" w:rsidRDefault="00F35BC5" w:rsidP="00B31A6B">
      <w:pPr>
        <w:pStyle w:val="avsnitt-tittel"/>
      </w:pPr>
      <w:r w:rsidRPr="43F9E4A7">
        <w:lastRenderedPageBreak/>
        <w:t xml:space="preserve">Figur </w:t>
      </w:r>
      <w:r w:rsidR="00C9416A">
        <w:t>2-</w:t>
      </w:r>
      <w:r w:rsidR="00C8673C" w:rsidRPr="00C8673C">
        <w:rPr>
          <w:bCs/>
        </w:rPr>
        <w:t>42</w:t>
      </w:r>
      <w:r w:rsidR="0044142E">
        <w:t>:</w:t>
      </w:r>
      <w:r w:rsidRPr="43F9E4A7">
        <w:t xml:space="preserve"> Utvikling i kostnader til fastlegeordningen basert på Helsedirektoratets beregninger og kostnader for allmennlegetjenester fra nasjonalregnskapet (SSB) </w:t>
      </w:r>
    </w:p>
    <w:p w14:paraId="0C6A1A25" w14:textId="5438BBBA" w:rsidR="00C33652" w:rsidRDefault="00041730" w:rsidP="00C33652">
      <w:pPr>
        <w:rPr>
          <w:rStyle w:val="EUFotnoterTegn"/>
        </w:rPr>
      </w:pPr>
      <w:r>
        <w:rPr>
          <w:rStyle w:val="EUFotnoterTegn"/>
          <w:noProof/>
        </w:rPr>
        <w:drawing>
          <wp:inline distT="0" distB="0" distL="0" distR="0" wp14:anchorId="7A896BC2" wp14:editId="617803DA">
            <wp:extent cx="6120765" cy="2743200"/>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743200"/>
                    </a:xfrm>
                    <a:prstGeom prst="rect">
                      <a:avLst/>
                    </a:prstGeom>
                    <a:noFill/>
                  </pic:spPr>
                </pic:pic>
              </a:graphicData>
            </a:graphic>
          </wp:inline>
        </w:drawing>
      </w:r>
    </w:p>
    <w:p w14:paraId="355611E8" w14:textId="5D79A77A" w:rsidR="00F35BC5" w:rsidRPr="00CE06F0" w:rsidRDefault="004A23F5" w:rsidP="00C33652">
      <w:pPr>
        <w:pStyle w:val="Petit"/>
        <w:rPr>
          <w:rStyle w:val="kursiv"/>
        </w:rPr>
      </w:pPr>
      <w:r w:rsidRPr="00CE06F0">
        <w:rPr>
          <w:rStyle w:val="kursiv"/>
          <w:rFonts w:eastAsiaTheme="minorEastAsia"/>
        </w:rPr>
        <w:t>Merknad: Prosentvis endring i faste prise</w:t>
      </w:r>
      <w:r w:rsidR="00D53EE7" w:rsidRPr="00CE06F0">
        <w:rPr>
          <w:rStyle w:val="kursiv"/>
          <w:rFonts w:eastAsiaTheme="minorEastAsia"/>
        </w:rPr>
        <w:t>r. Kilde: SSB, 2021-2021.</w:t>
      </w:r>
    </w:p>
    <w:p w14:paraId="4960F365" w14:textId="1C2F7441" w:rsidR="00D0010B" w:rsidRPr="006868BA" w:rsidRDefault="00E36AB7" w:rsidP="00775632">
      <w:pPr>
        <w:pStyle w:val="Overskrift2"/>
      </w:pPr>
      <w:bookmarkStart w:id="565" w:name="_Toc131062079"/>
      <w:bookmarkStart w:id="566" w:name="_Toc131062333"/>
      <w:bookmarkStart w:id="567" w:name="_Toc131062594"/>
      <w:bookmarkStart w:id="568" w:name="_Toc131062847"/>
      <w:bookmarkStart w:id="569" w:name="_Toc131063615"/>
      <w:bookmarkStart w:id="570" w:name="_Toc131064035"/>
      <w:bookmarkStart w:id="571" w:name="_Toc131238323"/>
      <w:bookmarkStart w:id="572" w:name="_Toc131279353"/>
      <w:bookmarkStart w:id="573" w:name="_Toc131286765"/>
      <w:bookmarkStart w:id="574" w:name="_Toc131281175"/>
      <w:bookmarkStart w:id="575" w:name="_Toc131317714"/>
      <w:bookmarkStart w:id="576" w:name="_Toc132536921"/>
      <w:r w:rsidRPr="006868BA">
        <w:t>Kort om utfordringer i andre lan</w:t>
      </w:r>
      <w:r w:rsidR="00D0010B" w:rsidRPr="006868BA">
        <w:t>d</w:t>
      </w:r>
      <w:bookmarkEnd w:id="248"/>
      <w:bookmarkEnd w:id="249"/>
      <w:bookmarkEnd w:id="565"/>
      <w:bookmarkEnd w:id="566"/>
      <w:bookmarkEnd w:id="567"/>
      <w:bookmarkEnd w:id="568"/>
      <w:bookmarkEnd w:id="569"/>
      <w:bookmarkEnd w:id="570"/>
      <w:bookmarkEnd w:id="571"/>
      <w:bookmarkEnd w:id="572"/>
      <w:bookmarkEnd w:id="573"/>
      <w:bookmarkEnd w:id="574"/>
      <w:bookmarkEnd w:id="575"/>
      <w:bookmarkEnd w:id="576"/>
    </w:p>
    <w:bookmarkEnd w:id="250"/>
    <w:bookmarkEnd w:id="251"/>
    <w:bookmarkEnd w:id="252"/>
    <w:bookmarkEnd w:id="253"/>
    <w:bookmarkEnd w:id="254"/>
    <w:bookmarkEnd w:id="255"/>
    <w:bookmarkEnd w:id="256"/>
    <w:bookmarkEnd w:id="257"/>
    <w:bookmarkEnd w:id="258"/>
    <w:bookmarkEnd w:id="259"/>
    <w:bookmarkEnd w:id="260"/>
    <w:bookmarkEnd w:id="261"/>
    <w:p w14:paraId="65D25A8F" w14:textId="7132E0FA" w:rsidR="004C517D" w:rsidRDefault="004C517D" w:rsidP="009F65A3">
      <w:pPr>
        <w:jc w:val="both"/>
      </w:pPr>
      <w:r w:rsidRPr="00675809">
        <w:t>Teksten i dette delkapit</w:t>
      </w:r>
      <w:r w:rsidR="00B3591E">
        <w:t>te</w:t>
      </w:r>
      <w:r w:rsidRPr="00675809">
        <w:t>let beskriver utfordringsbildet for allmennlegetjenesten i noen utvalgte andre land. Dette inkluderer våre naboland med en nordisk velferdsstatsmodell (Sverige, Danmark og Finland)</w:t>
      </w:r>
      <w:r w:rsidR="00003D88">
        <w:t>,</w:t>
      </w:r>
      <w:r w:rsidRPr="00675809">
        <w:t xml:space="preserve"> og</w:t>
      </w:r>
      <w:r w:rsidR="006470FF">
        <w:t xml:space="preserve"> </w:t>
      </w:r>
      <w:r>
        <w:t>landene</w:t>
      </w:r>
      <w:r w:rsidR="00D9107F">
        <w:t xml:space="preserve"> </w:t>
      </w:r>
      <w:r w:rsidRPr="00675809">
        <w:t>England, Skottland og Nederland</w:t>
      </w:r>
      <w:r w:rsidR="00811042">
        <w:t>,</w:t>
      </w:r>
      <w:r>
        <w:t xml:space="preserve"> </w:t>
      </w:r>
      <w:r w:rsidRPr="00675809">
        <w:t>som tradisjonelt er kjent for å ha en sterk allmennlegetjeneste med likhetstrekk til den norske</w:t>
      </w:r>
      <w:r>
        <w:t>.</w:t>
      </w:r>
    </w:p>
    <w:p w14:paraId="62A7875E" w14:textId="22DBC164" w:rsidR="003C1895" w:rsidRPr="00FD0CEA" w:rsidRDefault="00B075B4" w:rsidP="00775632">
      <w:pPr>
        <w:pStyle w:val="Overskrift3"/>
      </w:pPr>
      <w:bookmarkStart w:id="577" w:name="_Toc130154223"/>
      <w:bookmarkStart w:id="578" w:name="_Toc130490039"/>
      <w:bookmarkStart w:id="579" w:name="_Toc130763766"/>
      <w:bookmarkStart w:id="580" w:name="_Toc130766652"/>
      <w:bookmarkStart w:id="581" w:name="_Toc130932056"/>
      <w:bookmarkStart w:id="582" w:name="_Toc130934347"/>
      <w:bookmarkStart w:id="583" w:name="_Toc130983399"/>
      <w:bookmarkStart w:id="584" w:name="_Toc130983748"/>
      <w:bookmarkStart w:id="585" w:name="_Toc131062080"/>
      <w:bookmarkStart w:id="586" w:name="_Toc131062334"/>
      <w:bookmarkStart w:id="587" w:name="_Toc131062595"/>
      <w:bookmarkStart w:id="588" w:name="_Toc131062848"/>
      <w:bookmarkStart w:id="589" w:name="_Toc131063616"/>
      <w:bookmarkStart w:id="590" w:name="_Toc131064036"/>
      <w:bookmarkStart w:id="591" w:name="_Toc131238324"/>
      <w:bookmarkStart w:id="592" w:name="_Toc131279354"/>
      <w:bookmarkStart w:id="593" w:name="_Toc131286766"/>
      <w:bookmarkStart w:id="594" w:name="_Toc131281176"/>
      <w:bookmarkStart w:id="595" w:name="_Toc131317715"/>
      <w:bookmarkStart w:id="596" w:name="_Toc132536922"/>
      <w:r w:rsidRPr="00314AAB">
        <w:t>Utviklingstrekk</w:t>
      </w:r>
      <w:r w:rsidR="003C1895" w:rsidRPr="00314AAB">
        <w:t xml:space="preserve"> </w:t>
      </w:r>
      <w:r w:rsidR="0027506B" w:rsidRPr="00314AAB">
        <w:t>og</w:t>
      </w:r>
      <w:r w:rsidR="003C1895" w:rsidRPr="00314AAB">
        <w:t xml:space="preserve"> </w:t>
      </w:r>
      <w:r w:rsidRPr="00314AAB">
        <w:t>rammeb</w:t>
      </w:r>
      <w:r w:rsidR="00C36E39" w:rsidRPr="00314AAB">
        <w:t>e</w:t>
      </w:r>
      <w:r w:rsidRPr="00314AAB">
        <w:t>tingelser for</w:t>
      </w:r>
      <w:r w:rsidR="003C1895" w:rsidRPr="00FD0CEA">
        <w:t xml:space="preserve"> allmennlegetjenesten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6DF087C0" w14:textId="77777777" w:rsidR="00D9107F" w:rsidRDefault="003C1895" w:rsidP="009F65A3">
      <w:pPr>
        <w:jc w:val="both"/>
      </w:pPr>
      <w:r w:rsidRPr="00817193">
        <w:t>Utfordringene i den norsk</w:t>
      </w:r>
      <w:r>
        <w:t>e</w:t>
      </w:r>
      <w:r w:rsidRPr="00817193">
        <w:t xml:space="preserve"> fastlegetjenesten er godt dokumentert. </w:t>
      </w:r>
      <w:r w:rsidRPr="00990D7A">
        <w:t>Basert på</w:t>
      </w:r>
      <w:r>
        <w:t xml:space="preserve"> informasjon </w:t>
      </w:r>
      <w:r w:rsidRPr="00990D7A">
        <w:t xml:space="preserve">fra kontaktpersoner i </w:t>
      </w:r>
      <w:r w:rsidR="00FF1EAC">
        <w:t>de seks</w:t>
      </w:r>
      <w:r w:rsidRPr="00990D7A">
        <w:t xml:space="preserve"> </w:t>
      </w:r>
      <w:r>
        <w:t xml:space="preserve">andre </w:t>
      </w:r>
      <w:r w:rsidRPr="00990D7A">
        <w:t>land</w:t>
      </w:r>
      <w:r>
        <w:t>e</w:t>
      </w:r>
      <w:r w:rsidR="00FF1EAC">
        <w:t>ne</w:t>
      </w:r>
      <w:r w:rsidR="00811042">
        <w:t>,</w:t>
      </w:r>
      <w:r>
        <w:t xml:space="preserve"> </w:t>
      </w:r>
      <w:r w:rsidRPr="00990D7A">
        <w:t xml:space="preserve">og </w:t>
      </w:r>
      <w:r>
        <w:t xml:space="preserve">utfyllende </w:t>
      </w:r>
      <w:r w:rsidRPr="00990D7A">
        <w:t>kilder</w:t>
      </w:r>
      <w:r>
        <w:t>,</w:t>
      </w:r>
      <w:r w:rsidRPr="00990D7A">
        <w:t xml:space="preserve"> </w:t>
      </w:r>
      <w:r>
        <w:t xml:space="preserve">tegnes et ganske likeartet utfordringsbilde på tvers av landene, men </w:t>
      </w:r>
      <w:r w:rsidR="00145D75">
        <w:t xml:space="preserve">med </w:t>
      </w:r>
      <w:r>
        <w:t>vari</w:t>
      </w:r>
      <w:r w:rsidR="00145D75">
        <w:t xml:space="preserve">asjoner </w:t>
      </w:r>
      <w:r>
        <w:t>både mellom og innenfor land</w:t>
      </w:r>
      <w:r w:rsidR="00811042">
        <w:t>,</w:t>
      </w:r>
      <w:r>
        <w:t xml:space="preserve"> </w:t>
      </w:r>
      <w:r w:rsidR="004C517D">
        <w:t xml:space="preserve">når det kommer til </w:t>
      </w:r>
      <w:r>
        <w:t>hvilke problemstillinger som er størst og hvordan de adresseres.</w:t>
      </w:r>
    </w:p>
    <w:p w14:paraId="486391F1" w14:textId="77777777" w:rsidR="00D9107F" w:rsidRDefault="003C1895" w:rsidP="009F65A3">
      <w:pPr>
        <w:jc w:val="both"/>
      </w:pPr>
      <w:r w:rsidRPr="00817193">
        <w:t>Mange utviklingstrekk som påvirker behov og etterspørsel etter helsetjenester</w:t>
      </w:r>
      <w:r w:rsidR="00D40313">
        <w:t>,</w:t>
      </w:r>
      <w:r w:rsidRPr="00817193">
        <w:t xml:space="preserve"> er de samme</w:t>
      </w:r>
      <w:r>
        <w:t xml:space="preserve">. Dette gjelder eksempelvis </w:t>
      </w:r>
      <w:r w:rsidRPr="00817193">
        <w:t>endring i befolkningssammensetning</w:t>
      </w:r>
      <w:r>
        <w:t>,</w:t>
      </w:r>
      <w:r w:rsidRPr="00817193">
        <w:t xml:space="preserve"> mer etterspørsel etter hjelp for psykiske problemer og lidelser</w:t>
      </w:r>
      <w:r>
        <w:t>, og endrede forvent</w:t>
      </w:r>
      <w:r w:rsidR="00811042">
        <w:t>n</w:t>
      </w:r>
      <w:r>
        <w:t xml:space="preserve">inger til den offentlige allmennlegetjenesten fra nye </w:t>
      </w:r>
      <w:r w:rsidRPr="00DB640F">
        <w:t>generasjoner</w:t>
      </w:r>
      <w:r>
        <w:t xml:space="preserve"> </w:t>
      </w:r>
      <w:r w:rsidRPr="00DB640F">
        <w:t>av innbyggere og helsepersonell</w:t>
      </w:r>
      <w:r>
        <w:t>.</w:t>
      </w:r>
    </w:p>
    <w:p w14:paraId="772D0347" w14:textId="3F94BEAC" w:rsidR="003C1895" w:rsidRDefault="003C1895" w:rsidP="009F65A3">
      <w:pPr>
        <w:jc w:val="both"/>
      </w:pPr>
      <w:r w:rsidRPr="00617D50">
        <w:t xml:space="preserve">Allmennlegetjenesten i </w:t>
      </w:r>
      <w:r>
        <w:t xml:space="preserve">er i </w:t>
      </w:r>
      <w:r w:rsidRPr="00617D50">
        <w:t>stor grad første kontakt ved behov for helsehjelp</w:t>
      </w:r>
      <w:r w:rsidR="00811042">
        <w:t>,</w:t>
      </w:r>
      <w:r w:rsidRPr="00617D50">
        <w:t xml:space="preserve"> og fungerer som portvakt for tilgang til de fleste spesialist</w:t>
      </w:r>
      <w:r w:rsidRPr="00617D50">
        <w:softHyphen/>
        <w:t>helsetjenester (</w:t>
      </w:r>
      <w:r w:rsidR="00811042">
        <w:t xml:space="preserve">i </w:t>
      </w:r>
      <w:r w:rsidRPr="00617D50">
        <w:t xml:space="preserve">mindre grad i Sverige). Innbyggerne </w:t>
      </w:r>
      <w:r>
        <w:t>kan velge</w:t>
      </w:r>
      <w:r w:rsidRPr="00617D50">
        <w:t xml:space="preserve"> </w:t>
      </w:r>
      <w:r>
        <w:t xml:space="preserve">hvilken </w:t>
      </w:r>
      <w:r w:rsidRPr="00617D50">
        <w:t>praksis eller helsesenter de vil tilhøre</w:t>
      </w:r>
      <w:r>
        <w:t>, og konsultasjoner er ofte gratis</w:t>
      </w:r>
      <w:r w:rsidR="00811042">
        <w:t>,</w:t>
      </w:r>
      <w:r>
        <w:t xml:space="preserve"> eller det er tak på egenbetalingen.</w:t>
      </w:r>
    </w:p>
    <w:p w14:paraId="49F9E8C8" w14:textId="77777777" w:rsidR="00D9107F" w:rsidRDefault="003C1895" w:rsidP="009F65A3">
      <w:pPr>
        <w:jc w:val="both"/>
      </w:pPr>
      <w:r>
        <w:lastRenderedPageBreak/>
        <w:t>Allmennlegetjenestene konkurrerer også med sykehusene</w:t>
      </w:r>
      <w:r w:rsidR="00811042">
        <w:t>,</w:t>
      </w:r>
      <w:r>
        <w:t xml:space="preserve"> og delvis </w:t>
      </w:r>
      <w:r w:rsidR="00811042">
        <w:t xml:space="preserve">med </w:t>
      </w:r>
      <w:r>
        <w:t>private aktører</w:t>
      </w:r>
      <w:r w:rsidR="00811042">
        <w:t>,</w:t>
      </w:r>
      <w:r>
        <w:t xml:space="preserve"> om legene</w:t>
      </w:r>
      <w:r w:rsidRPr="00DB640F">
        <w:t xml:space="preserve">. </w:t>
      </w:r>
      <w:r>
        <w:t>Samtidig har sykehusene kapasitetsproblemer og rådende helsepolitikk er at tjenestene i størst mulig grad skal være lokalbaserte</w:t>
      </w:r>
      <w:r w:rsidR="005C6410">
        <w:t>,</w:t>
      </w:r>
      <w:r>
        <w:t xml:space="preserve"> og så nært pasientens hjem som mulig. Dette er felles utviklingstrekk</w:t>
      </w:r>
      <w:r w:rsidR="00811042">
        <w:t>,</w:t>
      </w:r>
      <w:r>
        <w:t xml:space="preserve"> som ofte gir mer ansvar til primærhelse</w:t>
      </w:r>
      <w:r>
        <w:softHyphen/>
        <w:t>tjenesten og allmennlegene.</w:t>
      </w:r>
    </w:p>
    <w:p w14:paraId="0295A919" w14:textId="77777777" w:rsidR="00D9107F" w:rsidRDefault="003C1895" w:rsidP="009F65A3">
      <w:pPr>
        <w:jc w:val="both"/>
      </w:pPr>
      <w:r>
        <w:t>Til tross for en del felles trekk</w:t>
      </w:r>
      <w:r w:rsidR="00F17BEC">
        <w:t>,</w:t>
      </w:r>
      <w:r>
        <w:t xml:space="preserve"> er det også noen viktige </w:t>
      </w:r>
      <w:r w:rsidR="0024311A">
        <w:t>ulikheter</w:t>
      </w:r>
      <w:r>
        <w:t xml:space="preserve"> i allmennlege</w:t>
      </w:r>
      <w:r>
        <w:softHyphen/>
        <w:t xml:space="preserve">tjenestenes rammebetingelser. Geografi og befolkningstetthet er veldig forskjellig. </w:t>
      </w:r>
      <w:r w:rsidR="00DA73B8">
        <w:t xml:space="preserve">Norge, Sverige, </w:t>
      </w:r>
      <w:r w:rsidR="00601D76">
        <w:t>F</w:t>
      </w:r>
      <w:r w:rsidR="00DA73B8">
        <w:t>inland og Skottland</w:t>
      </w:r>
      <w:r>
        <w:t xml:space="preserve"> har områder med </w:t>
      </w:r>
      <w:r w:rsidR="00483940">
        <w:t xml:space="preserve">store </w:t>
      </w:r>
      <w:r>
        <w:t>avstander og spredt befolkning</w:t>
      </w:r>
      <w:r w:rsidR="00B075B4">
        <w:t>. Her</w:t>
      </w:r>
      <w:r>
        <w:t xml:space="preserve"> er utfordringene med å rekruttere og stabilisere allmennlegetjenesten ekstra store. Danmark og Nederland er små i sammenligning</w:t>
      </w:r>
      <w:r w:rsidR="00003D88">
        <w:t>,</w:t>
      </w:r>
      <w:r>
        <w:t xml:space="preserve"> og har høyere befolkningstetthet, men også disse landene har nå utfordringer</w:t>
      </w:r>
      <w:r w:rsidR="00601D76">
        <w:t>.</w:t>
      </w:r>
      <w:r>
        <w:t xml:space="preserve"> Ulikheter i forvaltningsorganisering og grad av desentralisert ansvar for styring, finansiering og organisering </w:t>
      </w:r>
      <w:r w:rsidR="00811042">
        <w:t>forklarer også</w:t>
      </w:r>
      <w:r>
        <w:t xml:space="preserve"> ulikheter i måten tjenestene organiseres og drives</w:t>
      </w:r>
      <w:r w:rsidR="000370EB">
        <w:t xml:space="preserve"> på</w:t>
      </w:r>
      <w:r>
        <w:t>.</w:t>
      </w:r>
    </w:p>
    <w:p w14:paraId="6EB7A9AB" w14:textId="13641C12" w:rsidR="003C1895" w:rsidRDefault="003C1895" w:rsidP="009F65A3">
      <w:pPr>
        <w:jc w:val="both"/>
      </w:pPr>
      <w:r>
        <w:t>Land hvor primærhelsetjenesten er grunnlagt på en helsesentermodell</w:t>
      </w:r>
      <w:r w:rsidR="000370EB">
        <w:t>,</w:t>
      </w:r>
      <w:r>
        <w:t xml:space="preserve"> har i større grad integrerte primærhelsetjenester som del av sin grunnmodell. </w:t>
      </w:r>
      <w:r w:rsidR="00300DBB">
        <w:t xml:space="preserve">Dette gjelder for Sverige og Finland. </w:t>
      </w:r>
      <w:r w:rsidR="00483940">
        <w:t>P</w:t>
      </w:r>
      <w:r>
        <w:t xml:space="preserve">rimærhelsetjenesten </w:t>
      </w:r>
      <w:r w:rsidR="00483940">
        <w:t>i Finland</w:t>
      </w:r>
      <w:r>
        <w:t xml:space="preserve"> har vært basert på tverrfaglig teamarbeid i helsesentre siden 1972. Personalet på større helsesentre består av et bredt spekter av helsepersonell</w:t>
      </w:r>
      <w:r w:rsidR="00272680">
        <w:t>, og i disse systemene</w:t>
      </w:r>
      <w:r w:rsidRPr="00E91CD9">
        <w:t xml:space="preserve"> har </w:t>
      </w:r>
      <w:r w:rsidR="00272680">
        <w:t>s</w:t>
      </w:r>
      <w:r w:rsidRPr="00E91CD9">
        <w:t>ykepleiere en mer sentral rolle.</w:t>
      </w:r>
    </w:p>
    <w:p w14:paraId="16F4E927" w14:textId="77777777" w:rsidR="003C1895" w:rsidRPr="00AC56B4" w:rsidRDefault="003C1895" w:rsidP="00775632">
      <w:pPr>
        <w:pStyle w:val="Overskrift3"/>
      </w:pPr>
      <w:bookmarkStart w:id="597" w:name="_Toc130153356"/>
      <w:bookmarkStart w:id="598" w:name="_Toc130153515"/>
      <w:bookmarkStart w:id="599" w:name="_Toc130153762"/>
      <w:bookmarkStart w:id="600" w:name="_Toc130153357"/>
      <w:bookmarkStart w:id="601" w:name="_Toc130153516"/>
      <w:bookmarkStart w:id="602" w:name="_Toc130153763"/>
      <w:bookmarkStart w:id="603" w:name="_Toc130153358"/>
      <w:bookmarkStart w:id="604" w:name="_Toc130153517"/>
      <w:bookmarkStart w:id="605" w:name="_Toc130153764"/>
      <w:bookmarkStart w:id="606" w:name="_Toc130153359"/>
      <w:bookmarkStart w:id="607" w:name="_Toc130153518"/>
      <w:bookmarkStart w:id="608" w:name="_Toc130153765"/>
      <w:bookmarkStart w:id="609" w:name="_Toc130153360"/>
      <w:bookmarkStart w:id="610" w:name="_Toc130153519"/>
      <w:bookmarkStart w:id="611" w:name="_Toc130153766"/>
      <w:bookmarkStart w:id="612" w:name="_Toc130154224"/>
      <w:bookmarkStart w:id="613" w:name="_Toc130490040"/>
      <w:bookmarkStart w:id="614" w:name="_Toc130983400"/>
      <w:bookmarkStart w:id="615" w:name="_Toc130983749"/>
      <w:bookmarkStart w:id="616" w:name="_Toc131062081"/>
      <w:bookmarkStart w:id="617" w:name="_Toc131062335"/>
      <w:bookmarkStart w:id="618" w:name="_Toc131062596"/>
      <w:bookmarkStart w:id="619" w:name="_Toc131062849"/>
      <w:bookmarkStart w:id="620" w:name="_Toc131063617"/>
      <w:bookmarkStart w:id="621" w:name="_Toc131238325"/>
      <w:bookmarkStart w:id="622" w:name="_Toc131279355"/>
      <w:bookmarkStart w:id="623" w:name="_Toc131286767"/>
      <w:bookmarkStart w:id="624" w:name="_Toc131281177"/>
      <w:bookmarkStart w:id="625" w:name="_Toc131317716"/>
      <w:bookmarkStart w:id="626" w:name="_Toc132536923"/>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AC56B4">
        <w:t>Om legedekningen generelt</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7BC48C56" w14:textId="77777777" w:rsidR="00D9107F" w:rsidRDefault="003C1895" w:rsidP="009F65A3">
      <w:pPr>
        <w:jc w:val="both"/>
      </w:pPr>
      <w:r w:rsidRPr="00CA6A28">
        <w:t>Basert på internasjonal statistikk</w:t>
      </w:r>
      <w:r w:rsidR="00DA1AC6">
        <w:t>,</w:t>
      </w:r>
      <w:r w:rsidRPr="00CA6A28">
        <w:t xml:space="preserve"> er Norge et av landene i Europa og verden med flest leger per innbygger</w:t>
      </w:r>
      <w:r w:rsidR="00055A48" w:rsidRPr="00CA6A28">
        <w:t>.</w:t>
      </w:r>
      <w:r w:rsidRPr="00CA6A28">
        <w:t xml:space="preserve"> Sverige, Danmark og Nederland ligger også over Europa-gjennomsnittet. Finland ligger litt under, mens Storbritannia har den klart laveste generelle legedekningen av </w:t>
      </w:r>
      <w:r w:rsidR="00E97F78" w:rsidRPr="00CA6A28">
        <w:t xml:space="preserve">de seks </w:t>
      </w:r>
      <w:r w:rsidRPr="00CA6A28">
        <w:t xml:space="preserve">landene </w:t>
      </w:r>
      <w:r w:rsidR="00C32115">
        <w:fldChar w:fldCharType="begin"/>
      </w:r>
      <w:r w:rsidR="00C32115">
        <w:instrText xml:space="preserve"> ADDIN EN.CITE &lt;EndNote&gt;&lt;Cite&gt;&lt;Author&gt;WHO&lt;/Author&gt;&lt;Year&gt;2022&lt;/Year&gt;&lt;RecNum&gt;310&lt;/RecNum&gt;&lt;DisplayText&gt;(WHO, 2022)&lt;/DisplayText&gt;&lt;record&gt;&lt;rec-number&gt;310&lt;/rec-number&gt;&lt;foreign-keys&gt;&lt;key app="EN" db-id="95tpr2tp6r9xwoea9rb5wdsz5ds5xeddteew" timestamp="1680069511"&gt;310&lt;/key&gt;&lt;/foreign-keys&gt;&lt;ref-type name="Report"&gt;27&lt;/ref-type&gt;&lt;contributors&gt;&lt;authors&gt;&lt;author&gt;WHO&lt;/author&gt;&lt;/authors&gt;&lt;/contributors&gt;&lt;titles&gt;&lt;title&gt;Health and care workforce in Europe: time to act&lt;/title&gt;&lt;/titles&gt;&lt;dates&gt;&lt;year&gt;2022&lt;/year&gt;&lt;/dates&gt;&lt;pub-location&gt;København&lt;/pub-location&gt;&lt;publisher&gt;World Health Organization, Regional Office for Europe&lt;/publisher&gt;&lt;urls&gt;&lt;related-urls&gt;&lt;url&gt;https://www.who.int/europe/publications/i/item/9789289058339&lt;/url&gt;&lt;/related-urls&gt;&lt;/urls&gt;&lt;/record&gt;&lt;/Cite&gt;&lt;/EndNote&gt;</w:instrText>
      </w:r>
      <w:r w:rsidR="00C32115">
        <w:fldChar w:fldCharType="separate"/>
      </w:r>
      <w:r w:rsidR="00C32115">
        <w:rPr>
          <w:noProof/>
        </w:rPr>
        <w:t>(WHO, 2022)</w:t>
      </w:r>
      <w:r w:rsidR="00C32115">
        <w:fldChar w:fldCharType="end"/>
      </w:r>
      <w:r w:rsidRPr="00CA6A28">
        <w:t>. Vi har</w:t>
      </w:r>
      <w:r w:rsidR="000370EB">
        <w:t>,</w:t>
      </w:r>
      <w:r w:rsidRPr="00CA6A28">
        <w:t xml:space="preserve"> </w:t>
      </w:r>
      <w:r w:rsidR="5D8D4402" w:rsidRPr="00CA6A28">
        <w:t>ifølge</w:t>
      </w:r>
      <w:r w:rsidR="00E97F78" w:rsidRPr="00CA6A28">
        <w:t xml:space="preserve"> statistikken</w:t>
      </w:r>
      <w:r w:rsidR="000370EB">
        <w:t>,</w:t>
      </w:r>
      <w:r w:rsidRPr="00CA6A28">
        <w:t xml:space="preserve"> også den høyeste sykepleierdekningen, men her er det Finland som ligger nærmest Norge, fulgt av Nederland, Sverige, Danmark og Storbritannia</w:t>
      </w:r>
      <w:r w:rsidR="00E97F78" w:rsidRPr="00CA6A28">
        <w:t>.</w:t>
      </w:r>
      <w:r w:rsidRPr="00CA6A28">
        <w:t xml:space="preserve"> Statistikken </w:t>
      </w:r>
      <w:r w:rsidR="00C77C0F">
        <w:t xml:space="preserve">teller personer. Det </w:t>
      </w:r>
      <w:r w:rsidRPr="00CA6A28">
        <w:t>skille</w:t>
      </w:r>
      <w:r w:rsidR="00C77C0F">
        <w:t>s</w:t>
      </w:r>
      <w:r w:rsidRPr="00CA6A28">
        <w:t xml:space="preserve"> ikke mellom landene i Storbritannia.</w:t>
      </w:r>
    </w:p>
    <w:p w14:paraId="541DEA13" w14:textId="4284CD4B" w:rsidR="001404CC" w:rsidRPr="00CA6A28" w:rsidRDefault="001404CC" w:rsidP="009F65A3">
      <w:pPr>
        <w:jc w:val="both"/>
      </w:pPr>
      <w:r w:rsidRPr="00CA6A28">
        <w:t>Alderssammensetningen for leger generelt er ikke veldig forskjellig i Norge, Nederland og Finland. Sammenlignet med mange andre land har disse landene en relativt liten andel leger over 55 år</w:t>
      </w:r>
      <w:r>
        <w:t>, rundt 25 prosent</w:t>
      </w:r>
      <w:r w:rsidRPr="00CA6A28">
        <w:t xml:space="preserve">. Danmark og Sverige ligger like bak. </w:t>
      </w:r>
      <w:r>
        <w:t xml:space="preserve">Storbritannia var ikke med i Eurostat-tallene vist i figuren under, men tall fra OECD viser at de har lavest andel </w:t>
      </w:r>
      <w:r w:rsidRPr="00CA6A28">
        <w:t>leger</w:t>
      </w:r>
      <w:r>
        <w:t xml:space="preserve"> over 55 år </w:t>
      </w:r>
      <w:r w:rsidR="00494348">
        <w:t xml:space="preserve">av </w:t>
      </w:r>
      <w:r w:rsidRPr="00CA6A28">
        <w:t>de landene vi sammenligner her</w:t>
      </w:r>
      <w:r>
        <w:t xml:space="preserve"> </w:t>
      </w:r>
      <w:r w:rsidR="00D078E3">
        <w:fldChar w:fldCharType="begin"/>
      </w:r>
      <w:r w:rsidR="00D078E3">
        <w:instrText xml:space="preserve"> ADDIN EN.CITE &lt;EndNote&gt;&lt;Cite&gt;&lt;Author&gt;OECD European Union&lt;/Author&gt;&lt;Year&gt;2020&lt;/Year&gt;&lt;RecNum&gt;312&lt;/RecNum&gt;&lt;DisplayText&gt;(OECD European Union, 2020)&lt;/DisplayText&gt;&lt;record&gt;&lt;rec-number&gt;312&lt;/rec-number&gt;&lt;foreign-keys&gt;&lt;key app="EN" db-id="95tpr2tp6r9xwoea9rb5wdsz5ds5xeddteew" timestamp="1680069511"&gt;312&lt;/key&gt;&lt;/foreign-keys&gt;&lt;ref-type name="Book"&gt;6&lt;/ref-type&gt;&lt;contributors&gt;&lt;authors&gt;&lt;author&gt;OECD European Union,&lt;/author&gt;&lt;/authors&gt;&lt;/contributors&gt;&lt;titles&gt;&lt;title&gt;Health at a Glance: Europe 2020: State of Health in the EU Cycle&lt;/title&gt;&lt;/titles&gt;&lt;dates&gt;&lt;year&gt;2020&lt;/year&gt;&lt;/dates&gt;&lt;publisher&gt;OECD European Union&lt;/publisher&gt;&lt;urls&gt;&lt;related-urls&gt;&lt;url&gt;https://www.oecd-ilibrary.org/content/publication/82129230-en&lt;/url&gt;&lt;/related-urls&gt;&lt;/urls&gt;&lt;electronic-resource-num&gt;10.1787/82129230-en&lt;/electronic-resource-num&gt;&lt;/record&gt;&lt;/Cite&gt;&lt;/EndNote&gt;</w:instrText>
      </w:r>
      <w:r w:rsidR="00D078E3">
        <w:fldChar w:fldCharType="separate"/>
      </w:r>
      <w:r w:rsidR="00D078E3">
        <w:rPr>
          <w:noProof/>
        </w:rPr>
        <w:t>(OECD European Union, 2020)</w:t>
      </w:r>
      <w:r w:rsidR="00D078E3">
        <w:fldChar w:fldCharType="end"/>
      </w:r>
      <w:r w:rsidRPr="00CA6A28">
        <w:t>.</w:t>
      </w:r>
    </w:p>
    <w:p w14:paraId="50D937B8" w14:textId="64055226" w:rsidR="00227EDD" w:rsidRPr="000C4701" w:rsidRDefault="0044142E" w:rsidP="00B31A6B">
      <w:pPr>
        <w:pStyle w:val="avsnitt-tittel"/>
      </w:pPr>
      <w:r>
        <w:lastRenderedPageBreak/>
        <w:t xml:space="preserve">Figur </w:t>
      </w:r>
      <w:r w:rsidR="00C9416A">
        <w:t>2-</w:t>
      </w:r>
      <w:r w:rsidR="007B40C1">
        <w:t>43</w:t>
      </w:r>
      <w:r>
        <w:t>:</w:t>
      </w:r>
      <w:r w:rsidR="00227EDD" w:rsidRPr="00DA10BD">
        <w:t xml:space="preserve"> </w:t>
      </w:r>
      <w:r w:rsidR="00227EDD" w:rsidRPr="00CA6A28">
        <w:t xml:space="preserve">Alderssammensetning leger 2020 eller nærmeste. </w:t>
      </w:r>
      <w:r w:rsidR="003B742A">
        <w:t>Prosentandel i hver alderskategori</w:t>
      </w:r>
    </w:p>
    <w:p w14:paraId="0B9EFB50" w14:textId="1B0E0D20" w:rsidR="00D9107F" w:rsidRDefault="00DB3B6A" w:rsidP="00A27CD1">
      <w:pPr>
        <w:keepNext/>
        <w:keepLines/>
        <w:spacing w:after="0"/>
        <w:jc w:val="both"/>
        <w:rPr>
          <w:highlight w:val="lightGray"/>
        </w:rPr>
      </w:pPr>
      <w:r>
        <w:rPr>
          <w:noProof/>
          <w:highlight w:val="lightGray"/>
        </w:rPr>
        <w:drawing>
          <wp:inline distT="0" distB="0" distL="0" distR="0" wp14:anchorId="26249B50" wp14:editId="6C33D20C">
            <wp:extent cx="6120765" cy="2676525"/>
            <wp:effectExtent l="0" t="0" r="0" b="9525"/>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676525"/>
                    </a:xfrm>
                    <a:prstGeom prst="rect">
                      <a:avLst/>
                    </a:prstGeom>
                    <a:noFill/>
                  </pic:spPr>
                </pic:pic>
              </a:graphicData>
            </a:graphic>
          </wp:inline>
        </w:drawing>
      </w:r>
    </w:p>
    <w:p w14:paraId="0373DB22" w14:textId="4EE39384" w:rsidR="0094708E" w:rsidRPr="00CE06F0" w:rsidRDefault="00D515BF" w:rsidP="00C33652">
      <w:pPr>
        <w:pStyle w:val="Petit"/>
        <w:rPr>
          <w:rStyle w:val="kursiv"/>
        </w:rPr>
      </w:pPr>
      <w:bookmarkStart w:id="627" w:name="_Toc132133908"/>
      <w:r w:rsidRPr="00CE06F0">
        <w:rPr>
          <w:rStyle w:val="kursiv"/>
        </w:rPr>
        <w:t>Merknad:</w:t>
      </w:r>
      <w:r w:rsidR="00227EDD" w:rsidRPr="00CE06F0">
        <w:rPr>
          <w:rStyle w:val="kursiv"/>
        </w:rPr>
        <w:t xml:space="preserve"> (1)2019, (2) 2018.</w:t>
      </w:r>
      <w:r w:rsidR="0094708E" w:rsidRPr="00CE06F0">
        <w:rPr>
          <w:rStyle w:val="kursiv"/>
        </w:rPr>
        <w:t xml:space="preserve"> Kilde Eurostat</w:t>
      </w:r>
      <w:bookmarkEnd w:id="627"/>
      <w:r w:rsidR="007B40C1" w:rsidRPr="00CE06F0">
        <w:rPr>
          <w:rStyle w:val="kursiv"/>
        </w:rPr>
        <w:t>.</w:t>
      </w:r>
    </w:p>
    <w:p w14:paraId="093CFF70" w14:textId="6C753BBB" w:rsidR="003C1895" w:rsidRPr="00AC56B4" w:rsidRDefault="003C1895" w:rsidP="00775632">
      <w:pPr>
        <w:pStyle w:val="Overskrift3"/>
      </w:pPr>
      <w:bookmarkStart w:id="628" w:name="_Toc130154225"/>
      <w:bookmarkStart w:id="629" w:name="_Toc130490041"/>
      <w:bookmarkStart w:id="630" w:name="_Toc130983401"/>
      <w:bookmarkStart w:id="631" w:name="_Toc130983750"/>
      <w:bookmarkStart w:id="632" w:name="_Toc131062082"/>
      <w:bookmarkStart w:id="633" w:name="_Toc131062336"/>
      <w:bookmarkStart w:id="634" w:name="_Toc131062597"/>
      <w:bookmarkStart w:id="635" w:name="_Toc131062850"/>
      <w:bookmarkStart w:id="636" w:name="_Toc131063618"/>
      <w:bookmarkStart w:id="637" w:name="_Toc131064037"/>
      <w:bookmarkStart w:id="638" w:name="_Toc131238326"/>
      <w:bookmarkStart w:id="639" w:name="_Toc131279356"/>
      <w:bookmarkStart w:id="640" w:name="_Toc131286768"/>
      <w:bookmarkStart w:id="641" w:name="_Toc131281178"/>
      <w:bookmarkStart w:id="642" w:name="_Toc131317717"/>
      <w:bookmarkStart w:id="643" w:name="_Toc132536924"/>
      <w:r w:rsidRPr="00AC56B4">
        <w:t>Andel og antall leger i allmennpraksis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09A5B5FD" w14:textId="77777777" w:rsidR="00D9107F" w:rsidRDefault="003C1895" w:rsidP="007B40C1">
      <w:pPr>
        <w:jc w:val="both"/>
      </w:pPr>
      <w:r>
        <w:t xml:space="preserve">Det finnes ikke veldig presise tall for internasjonale sammenligninger av legedekningen i </w:t>
      </w:r>
      <w:r w:rsidR="6292C4A2">
        <w:t>primærhelsetjenesten.</w:t>
      </w:r>
      <w:r>
        <w:t xml:space="preserve"> Ulike land organiserer helse- og omsorgstjenesten forskjellig, </w:t>
      </w:r>
      <w:r w:rsidR="00405463">
        <w:t xml:space="preserve">og </w:t>
      </w:r>
      <w:r w:rsidR="6292C4A2">
        <w:t>utdanningssystemer</w:t>
      </w:r>
      <w:r>
        <w:t xml:space="preserve"> og stillingskategorier kan variere. S</w:t>
      </w:r>
      <w:r w:rsidRPr="00516788">
        <w:t>elv om det skjer en tilpasning til internasjonale standarder</w:t>
      </w:r>
      <w:r w:rsidR="000370EB">
        <w:t>,</w:t>
      </w:r>
      <w:r w:rsidRPr="00516788">
        <w:t xml:space="preserve"> og statistikkprodusenter som Eurostat, WHO og OECD i økende </w:t>
      </w:r>
      <w:r>
        <w:t xml:space="preserve">grad </w:t>
      </w:r>
      <w:r w:rsidRPr="00516788">
        <w:t xml:space="preserve">samarbeider om definisjoner </w:t>
      </w:r>
      <w:r>
        <w:t>og kvalitetskontroll</w:t>
      </w:r>
      <w:r w:rsidR="00B77305">
        <w:t>er</w:t>
      </w:r>
      <w:r>
        <w:t>,</w:t>
      </w:r>
      <w:r w:rsidRPr="00516788">
        <w:t xml:space="preserve"> </w:t>
      </w:r>
      <w:r>
        <w:t xml:space="preserve">kan det variere hvor godt </w:t>
      </w:r>
      <w:r w:rsidR="00B77305">
        <w:t xml:space="preserve">legedata fra </w:t>
      </w:r>
      <w:r>
        <w:t xml:space="preserve">ulike land passer med de internasjonale. </w:t>
      </w:r>
      <w:r w:rsidRPr="0017294C">
        <w:t>I hvilken grad man kan skille mellom leger med lisens</w:t>
      </w:r>
      <w:r w:rsidR="00B77305">
        <w:t>,</w:t>
      </w:r>
      <w:r w:rsidRPr="0017294C">
        <w:t xml:space="preserve"> praktiserende leger og identifiser</w:t>
      </w:r>
      <w:r w:rsidR="00B77305">
        <w:t>e</w:t>
      </w:r>
      <w:r w:rsidRPr="0017294C">
        <w:t xml:space="preserve"> leger </w:t>
      </w:r>
      <w:r w:rsidR="00B77305">
        <w:t>under</w:t>
      </w:r>
      <w:r w:rsidRPr="0017294C">
        <w:t xml:space="preserve"> spesialisering i allmennmedisin er antakelig en kilde til variasjon.</w:t>
      </w:r>
    </w:p>
    <w:p w14:paraId="76E75259" w14:textId="77777777" w:rsidR="00D9107F" w:rsidRDefault="003C1895" w:rsidP="007B40C1">
      <w:pPr>
        <w:jc w:val="both"/>
      </w:pPr>
      <w:r w:rsidRPr="004C2336">
        <w:t>Tall fra Eurostat</w:t>
      </w:r>
      <w:r w:rsidR="00301FC5">
        <w:t xml:space="preserve"> </w:t>
      </w:r>
      <w:r w:rsidR="00A15C3C">
        <w:fldChar w:fldCharType="begin"/>
      </w:r>
      <w:r w:rsidR="00A15C3C">
        <w:instrText xml:space="preserve"> ADDIN EN.CITE &lt;EndNote&gt;&lt;Cite&gt;&lt;Author&gt;Eurostat&lt;/Author&gt;&lt;Year&gt;2022&lt;/Year&gt;&lt;RecNum&gt;316&lt;/RecNum&gt;&lt;DisplayText&gt;(Eurostat, 2022)&lt;/DisplayText&gt;&lt;record&gt;&lt;rec-number&gt;316&lt;/rec-number&gt;&lt;foreign-keys&gt;&lt;key app="EN" db-id="95tpr2tp6r9xwoea9rb5wdsz5ds5xeddteew" timestamp="1680069511"&gt;316&lt;/key&gt;&lt;/foreign-keys&gt;&lt;ref-type name="Web Page"&gt;12&lt;/ref-type&gt;&lt;contributors&gt;&lt;authors&gt;&lt;author&gt;Eurostat &lt;/author&gt;&lt;/authors&gt;&lt;/contributors&gt;&lt;titles&gt;&lt;title&gt;Healthcare personnel statistics - physicians&lt;/title&gt;&lt;secondary-title&gt;Statistics Explained&lt;/secondary-title&gt;&lt;/titles&gt;&lt;number&gt;13.01.23&lt;/number&gt;&lt;dates&gt;&lt;year&gt;2022&lt;/year&gt;&lt;pub-dates&gt;&lt;date&gt;Data extracted in July 2022&lt;/date&gt;&lt;/pub-dates&gt;&lt;/dates&gt;&lt;pub-location&gt; Luxembourg&lt;/pub-location&gt;&lt;publisher&gt;Eurostat &lt;/publisher&gt;&lt;work-type&gt;nettside&lt;/work-type&gt;&lt;urls&gt;&lt;related-urls&gt;&lt;url&gt;https://ec.europa.eu/eurostat/statistics-explained/index.php?title=Healthcare_personnel_statistics_-_physicians&lt;/url&gt;&lt;/related-urls&gt;&lt;/urls&gt;&lt;/record&gt;&lt;/Cite&gt;&lt;/EndNote&gt;</w:instrText>
      </w:r>
      <w:r w:rsidR="00A15C3C">
        <w:fldChar w:fldCharType="separate"/>
      </w:r>
      <w:r w:rsidR="00A15C3C">
        <w:rPr>
          <w:noProof/>
        </w:rPr>
        <w:t>(Eurostat, 2022)</w:t>
      </w:r>
      <w:r w:rsidR="00A15C3C">
        <w:fldChar w:fldCharType="end"/>
      </w:r>
      <w:r w:rsidRPr="004C2336">
        <w:t xml:space="preserve"> viser tall for General practitioners (</w:t>
      </w:r>
      <w:r>
        <w:t>s</w:t>
      </w:r>
      <w:r w:rsidRPr="004C2336">
        <w:t>pesialister</w:t>
      </w:r>
      <w:r>
        <w:t xml:space="preserve"> </w:t>
      </w:r>
      <w:r w:rsidR="00FD38F9">
        <w:t>allmennmedisin</w:t>
      </w:r>
      <w:r>
        <w:t xml:space="preserve"> </w:t>
      </w:r>
      <w:r w:rsidRPr="004C2336">
        <w:t xml:space="preserve">og </w:t>
      </w:r>
      <w:r>
        <w:t>fastleger</w:t>
      </w:r>
      <w:r w:rsidR="4E546183" w:rsidRPr="004C2336">
        <w:t>)</w:t>
      </w:r>
      <w:r w:rsidR="08FE2F25" w:rsidRPr="004C2336">
        <w:t>.</w:t>
      </w:r>
      <w:r w:rsidRPr="004C2336">
        <w:t xml:space="preserve"> </w:t>
      </w:r>
      <w:r>
        <w:t>Norge har relativt høy rate General practitioners</w:t>
      </w:r>
      <w:r w:rsidR="002B63F7">
        <w:t xml:space="preserve">. </w:t>
      </w:r>
      <w:r w:rsidR="00B06ECF">
        <w:t xml:space="preserve">Når man teller allmennleger </w:t>
      </w:r>
      <w:r w:rsidR="0071072C">
        <w:t xml:space="preserve">uten </w:t>
      </w:r>
      <w:r w:rsidR="00FD38F9">
        <w:t>spesialitet,</w:t>
      </w:r>
      <w:r w:rsidR="001878BC">
        <w:t xml:space="preserve"> er Norge </w:t>
      </w:r>
      <w:r>
        <w:t>midt på treet. Uavhengig av mål har Danmark, Sverige og Storbritannia lavere rate enn Norge, mens Nederland og Finland har litt høyere</w:t>
      </w:r>
      <w:r w:rsidR="00E23177">
        <w:t xml:space="preserve"> (</w:t>
      </w:r>
      <w:r w:rsidR="00594916">
        <w:t xml:space="preserve">for </w:t>
      </w:r>
      <w:r w:rsidR="00E23177">
        <w:t>2022 eller nærmeste år).</w:t>
      </w:r>
    </w:p>
    <w:p w14:paraId="29BA8652" w14:textId="77777777" w:rsidR="00D9107F" w:rsidRDefault="003C1895" w:rsidP="007B40C1">
      <w:pPr>
        <w:jc w:val="both"/>
      </w:pPr>
      <w:r>
        <w:t xml:space="preserve">Tallene </w:t>
      </w:r>
      <w:r w:rsidR="003B14A3">
        <w:t>må tolkes med forsiktighet, men</w:t>
      </w:r>
      <w:r>
        <w:t xml:space="preserve"> indikerer at Nederland, Finland og Storbritannia har en noe høyere andel generalister </w:t>
      </w:r>
      <w:r w:rsidR="79CAE455">
        <w:t>enn</w:t>
      </w:r>
      <w:r>
        <w:t xml:space="preserve"> Norge, mens det er mindre forskjell mellom Norge, Sverige og Danmark.</w:t>
      </w:r>
    </w:p>
    <w:p w14:paraId="574504B4" w14:textId="234F0689" w:rsidR="003C1895" w:rsidRPr="00ED08DF" w:rsidRDefault="003C1895" w:rsidP="00AF6CAA">
      <w:pPr>
        <w:jc w:val="both"/>
      </w:pPr>
      <w:r w:rsidRPr="00ED08DF">
        <w:t xml:space="preserve">Tall fra OECD </w:t>
      </w:r>
      <w:r>
        <w:fldChar w:fldCharType="begin"/>
      </w:r>
      <w:r w:rsidR="004654FD">
        <w:instrText xml:space="preserve"> ADDIN EN.CITE &lt;EndNote&gt;&lt;Cite&gt;&lt;Author&gt;OECD&lt;/Author&gt;&lt;Year&gt;2020&lt;/Year&gt;&lt;RecNum&gt;420&lt;/RecNum&gt;&lt;Suffix&gt;`, tabell 1.1&lt;/Suffix&gt;&lt;DisplayText&gt;(OECD, 2020a, tabell 1.1)&lt;/DisplayText&gt;&lt;record&gt;&lt;rec-number&gt;420&lt;/rec-number&gt;&lt;foreign-keys&gt;&lt;key app="EN" db-id="95tpr2tp6r9xwoea9rb5wdsz5ds5xeddteew" timestamp="1680069511"&gt;420&lt;/key&gt;&lt;/foreign-keys&gt;&lt;ref-type name="Book"&gt;6&lt;/ref-type&gt;&lt;contributors&gt;&lt;authors&gt;&lt;author&gt;OECD&lt;/author&gt;&lt;/authors&gt;&lt;/contributors&gt;&lt;titles&gt;&lt;title&gt;Key findings&lt;/title&gt;&lt;/titles&gt;&lt;dates&gt;&lt;year&gt;2020&lt;/year&gt;&lt;/dates&gt;&lt;publisher&gt;OECD&lt;/publisher&gt;&lt;urls&gt;&lt;related-urls&gt;&lt;url&gt;https://www.oecd-ilibrary.org/content/component/b4d1eecf-en&lt;/url&gt;&lt;/related-urls&gt;&lt;/urls&gt;&lt;electronic-resource-num&gt;doi:https://doi.org/10.1787/b4d1eecf-en&lt;/electronic-resource-num&gt;&lt;/record&gt;&lt;/Cite&gt;&lt;/EndNote&gt;</w:instrText>
      </w:r>
      <w:r>
        <w:fldChar w:fldCharType="separate"/>
      </w:r>
      <w:r>
        <w:rPr>
          <w:noProof/>
        </w:rPr>
        <w:t>(OECD, 2020a, tabell 1.1)</w:t>
      </w:r>
      <w:r>
        <w:fldChar w:fldCharType="end"/>
      </w:r>
      <w:r w:rsidRPr="00ED08DF">
        <w:t xml:space="preserve"> viste at svært mange </w:t>
      </w:r>
      <w:r w:rsidR="000370EB">
        <w:t>e</w:t>
      </w:r>
      <w:r w:rsidRPr="00ED08DF">
        <w:t xml:space="preserve">uropeiske land, deriblant Danmark, Storbritannia, Norge, Sverige og Nederland (sortert etter grad av endring) hadde en lavere andel </w:t>
      </w:r>
      <w:r w:rsidR="00A3598F">
        <w:t xml:space="preserve">allmennleger </w:t>
      </w:r>
      <w:r w:rsidR="00493F6B">
        <w:t xml:space="preserve">uten spesialitet </w:t>
      </w:r>
      <w:r w:rsidRPr="00ED08DF">
        <w:t>sammenlignet med i 2000</w:t>
      </w:r>
      <w:r w:rsidR="0063110D">
        <w:t>, mens</w:t>
      </w:r>
      <w:r w:rsidRPr="00ED08DF">
        <w:t xml:space="preserve"> Finland hadde en noe høyere andel.</w:t>
      </w:r>
    </w:p>
    <w:p w14:paraId="0DD264D4" w14:textId="77777777" w:rsidR="003C1895" w:rsidRPr="00265321" w:rsidRDefault="003C1895" w:rsidP="00775632">
      <w:pPr>
        <w:pStyle w:val="Overskrift4"/>
      </w:pPr>
      <w:bookmarkStart w:id="644" w:name="_Toc130983402"/>
      <w:bookmarkStart w:id="645" w:name="_Toc130983751"/>
      <w:bookmarkStart w:id="646" w:name="_Toc131062083"/>
      <w:bookmarkStart w:id="647" w:name="_Toc131062337"/>
      <w:bookmarkStart w:id="648" w:name="_Toc131062598"/>
      <w:bookmarkStart w:id="649" w:name="_Toc131062851"/>
      <w:bookmarkStart w:id="650" w:name="_Toc131063619"/>
      <w:bookmarkStart w:id="651" w:name="_Toc131238327"/>
      <w:bookmarkStart w:id="652" w:name="_Toc131279357"/>
      <w:bookmarkStart w:id="653" w:name="_Toc131286769"/>
      <w:bookmarkStart w:id="654" w:name="_Toc131281179"/>
      <w:bookmarkStart w:id="655" w:name="_Toc131317718"/>
      <w:r w:rsidRPr="00265321">
        <w:lastRenderedPageBreak/>
        <w:t>Økende andel kvinnelige leger i allmennpraksis</w:t>
      </w:r>
      <w:bookmarkEnd w:id="644"/>
      <w:bookmarkEnd w:id="645"/>
      <w:bookmarkEnd w:id="646"/>
      <w:bookmarkEnd w:id="647"/>
      <w:bookmarkEnd w:id="648"/>
      <w:bookmarkEnd w:id="649"/>
      <w:bookmarkEnd w:id="650"/>
      <w:bookmarkEnd w:id="651"/>
      <w:bookmarkEnd w:id="652"/>
      <w:bookmarkEnd w:id="653"/>
      <w:bookmarkEnd w:id="654"/>
      <w:bookmarkEnd w:id="655"/>
    </w:p>
    <w:p w14:paraId="1C9E2FEB" w14:textId="77777777" w:rsidR="00D9107F" w:rsidRDefault="003C1895" w:rsidP="003C1895">
      <w:pPr>
        <w:jc w:val="both"/>
      </w:pPr>
      <w:r>
        <w:t>Som i Norge</w:t>
      </w:r>
      <w:r w:rsidR="00EE16EB">
        <w:t>,</w:t>
      </w:r>
      <w:r>
        <w:t xml:space="preserve"> har antall og andel kvinnelige leger økt</w:t>
      </w:r>
      <w:r w:rsidR="000370EB">
        <w:t xml:space="preserve"> </w:t>
      </w:r>
      <w:r>
        <w:t xml:space="preserve">i allmennpraksis </w:t>
      </w:r>
      <w:r w:rsidR="000370EB">
        <w:t xml:space="preserve">også </w:t>
      </w:r>
      <w:r>
        <w:t>i andre land. En gjennomgang av tilgjengelig og oppdatert statistikk fra fem av landene (inkludert Norge, men eksklusive Sverige</w:t>
      </w:r>
      <w:r w:rsidR="00976000">
        <w:t xml:space="preserve"> og</w:t>
      </w:r>
      <w:r>
        <w:t xml:space="preserve"> Finland) viste at andelen kvinner </w:t>
      </w:r>
      <w:r w:rsidR="00976000">
        <w:t xml:space="preserve">(per mars 2023) </w:t>
      </w:r>
      <w:r>
        <w:t>er litt lavere i Norge (48</w:t>
      </w:r>
      <w:r w:rsidR="000370EB">
        <w:t xml:space="preserve"> prosent</w:t>
      </w:r>
      <w:r>
        <w:t>) enn i de andre landene</w:t>
      </w:r>
      <w:r w:rsidR="000370EB">
        <w:t>,</w:t>
      </w:r>
      <w:r>
        <w:t xml:space="preserve"> hvor andelen varierte fra 58 prosent til 62 prosent (</w:t>
      </w:r>
      <w:r w:rsidR="000370EB">
        <w:t>t</w:t>
      </w:r>
      <w:r>
        <w:t>all fra 2022 unntatt Nederland (2018).</w:t>
      </w:r>
    </w:p>
    <w:p w14:paraId="5A167A17" w14:textId="77777777" w:rsidR="00D9107F" w:rsidRDefault="003D39DE" w:rsidP="00775632">
      <w:pPr>
        <w:pStyle w:val="Overskrift4"/>
      </w:pPr>
      <w:bookmarkStart w:id="656" w:name="_Toc130763767"/>
      <w:bookmarkStart w:id="657" w:name="_Toc130766653"/>
      <w:bookmarkStart w:id="658" w:name="_Toc130932057"/>
      <w:bookmarkStart w:id="659" w:name="_Toc130934348"/>
      <w:bookmarkStart w:id="660" w:name="_Toc130983403"/>
      <w:bookmarkStart w:id="661" w:name="_Toc130983752"/>
      <w:bookmarkStart w:id="662" w:name="_Toc131062084"/>
      <w:bookmarkStart w:id="663" w:name="_Toc131062338"/>
      <w:bookmarkStart w:id="664" w:name="_Toc131062599"/>
      <w:bookmarkStart w:id="665" w:name="_Toc131062852"/>
      <w:bookmarkStart w:id="666" w:name="_Toc131063620"/>
      <w:bookmarkStart w:id="667" w:name="_Toc131064038"/>
      <w:bookmarkStart w:id="668" w:name="_Toc131238328"/>
      <w:bookmarkStart w:id="669" w:name="_Toc131279358"/>
      <w:bookmarkStart w:id="670" w:name="_Toc131286770"/>
      <w:bookmarkStart w:id="671" w:name="_Toc131281180"/>
      <w:bookmarkStart w:id="672" w:name="_Toc131317719"/>
      <w:bookmarkStart w:id="673" w:name="_Toc130154226"/>
      <w:bookmarkStart w:id="674" w:name="_Toc130490042"/>
      <w:r w:rsidRPr="009A16CF">
        <w:t>Utfordringer med r</w:t>
      </w:r>
      <w:r w:rsidR="003C1895" w:rsidRPr="009A16CF">
        <w:t>ekruttering og stabilisering</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4AB5819E" w14:textId="42ABF659" w:rsidR="003C1895" w:rsidRDefault="00BC0CBC" w:rsidP="007B40C1">
      <w:pPr>
        <w:jc w:val="both"/>
      </w:pPr>
      <w:r>
        <w:t>Som i store deler av verden</w:t>
      </w:r>
      <w:r w:rsidR="00403A0C">
        <w:t>,</w:t>
      </w:r>
      <w:r>
        <w:t xml:space="preserve"> er det</w:t>
      </w:r>
      <w:r w:rsidR="003C1895">
        <w:t xml:space="preserve"> generell mangel på helsepersonell i </w:t>
      </w:r>
      <w:r w:rsidR="000370EB">
        <w:t>e</w:t>
      </w:r>
      <w:r w:rsidR="003C1895">
        <w:t xml:space="preserve">uropeiske land </w:t>
      </w:r>
      <w:r w:rsidR="003C1895">
        <w:fldChar w:fldCharType="begin"/>
      </w:r>
      <w:r w:rsidR="004654FD">
        <w:instrText xml:space="preserve"> ADDIN EN.CITE &lt;EndNote&gt;&lt;Cite&gt;&lt;Author&gt;European Commission&lt;/Author&gt;&lt;Year&gt;2020&lt;/Year&gt;&lt;RecNum&gt;37&lt;/RecNum&gt;&lt;DisplayText&gt;(European Commission et al., 2020)&lt;/DisplayText&gt;&lt;record&gt;&lt;rec-number&gt;37&lt;/rec-number&gt;&lt;foreign-keys&gt;&lt;key app="EN" db-id="95tpr2tp6r9xwoea9rb5wdsz5ds5xeddteew" timestamp="1680069511"&gt;37&lt;/key&gt;&lt;/foreign-keys&gt;&lt;ref-type name="Report"&gt;27&lt;/ref-type&gt;&lt;contributors&gt;&lt;authors&gt;&lt;author&gt;European Commission,&lt;/author&gt;&lt;author&gt;Directorate-General for Employment,, Social Affairs and Inclusion, &lt;/author&gt;&lt;author&gt;McGrath, J&lt;/author&gt;&lt;/authors&gt;&lt;tertiary-authors&gt;&lt;author&gt;Publications Office&lt;/author&gt;&lt;/tertiary-authors&gt;&lt;/contributors&gt;&lt;titles&gt;&lt;title&gt;Analysis of shortage and surplus occupations 2020&lt;/title&gt;&lt;/titles&gt;&lt;dates&gt;&lt;year&gt;2020&lt;/year&gt;&lt;/dates&gt;&lt;urls&gt;&lt;/urls&gt;&lt;/record&gt;&lt;/Cite&gt;&lt;/EndNote&gt;</w:instrText>
      </w:r>
      <w:r w:rsidR="003C1895">
        <w:fldChar w:fldCharType="separate"/>
      </w:r>
      <w:r w:rsidR="00856689">
        <w:rPr>
          <w:noProof/>
        </w:rPr>
        <w:t>(European Commission et al., 2020)</w:t>
      </w:r>
      <w:r w:rsidR="003C1895">
        <w:fldChar w:fldCharType="end"/>
      </w:r>
      <w:r>
        <w:t>. R</w:t>
      </w:r>
      <w:r w:rsidR="003C1895">
        <w:t>ekrutterings</w:t>
      </w:r>
      <w:r w:rsidR="003C1895">
        <w:softHyphen/>
        <w:t>problemene er spesielt store innen</w:t>
      </w:r>
      <w:r w:rsidR="003C1895" w:rsidRPr="00FC55D1">
        <w:t xml:space="preserve"> </w:t>
      </w:r>
      <w:r w:rsidR="003C1895">
        <w:t xml:space="preserve">primærhelsetjenesten, langtidsomsorg, rehabilitering og psykisk helse </w:t>
      </w:r>
      <w:r w:rsidR="00C32115">
        <w:fldChar w:fldCharType="begin"/>
      </w:r>
      <w:r w:rsidR="00C32115">
        <w:instrText xml:space="preserve"> ADDIN EN.CITE &lt;EndNote&gt;&lt;Cite&gt;&lt;Author&gt;WHO&lt;/Author&gt;&lt;Year&gt;2022&lt;/Year&gt;&lt;RecNum&gt;310&lt;/RecNum&gt;&lt;DisplayText&gt;(WHO, 2022)&lt;/DisplayText&gt;&lt;record&gt;&lt;rec-number&gt;310&lt;/rec-number&gt;&lt;foreign-keys&gt;&lt;key app="EN" db-id="95tpr2tp6r9xwoea9rb5wdsz5ds5xeddteew" timestamp="1680069511"&gt;310&lt;/key&gt;&lt;/foreign-keys&gt;&lt;ref-type name="Report"&gt;27&lt;/ref-type&gt;&lt;contributors&gt;&lt;authors&gt;&lt;author&gt;WHO&lt;/author&gt;&lt;/authors&gt;&lt;/contributors&gt;&lt;titles&gt;&lt;title&gt;Health and care workforce in Europe: time to act&lt;/title&gt;&lt;/titles&gt;&lt;dates&gt;&lt;year&gt;2022&lt;/year&gt;&lt;/dates&gt;&lt;pub-location&gt;København&lt;/pub-location&gt;&lt;publisher&gt;World Health Organization, Regional Office for Europe&lt;/publisher&gt;&lt;urls&gt;&lt;related-urls&gt;&lt;url&gt;https://www.who.int/europe/publications/i/item/9789289058339&lt;/url&gt;&lt;/related-urls&gt;&lt;/urls&gt;&lt;/record&gt;&lt;/Cite&gt;&lt;/EndNote&gt;</w:instrText>
      </w:r>
      <w:r w:rsidR="00C32115">
        <w:fldChar w:fldCharType="separate"/>
      </w:r>
      <w:r w:rsidR="00C32115">
        <w:rPr>
          <w:noProof/>
        </w:rPr>
        <w:t>(WHO, 2022)</w:t>
      </w:r>
      <w:r w:rsidR="00C32115">
        <w:fldChar w:fldCharType="end"/>
      </w:r>
      <w:r w:rsidR="00C32115">
        <w:t>.</w:t>
      </w:r>
    </w:p>
    <w:p w14:paraId="303A76D2" w14:textId="64E864D8" w:rsidR="003C1895" w:rsidRDefault="003C1895" w:rsidP="007B40C1">
      <w:pPr>
        <w:jc w:val="both"/>
      </w:pPr>
      <w:r>
        <w:t xml:space="preserve">Mangel på leger (og annet helsepersonell) er en felles grunnleggende utfordring i den </w:t>
      </w:r>
      <w:r w:rsidR="00C863EF">
        <w:t xml:space="preserve">internasjonale </w:t>
      </w:r>
      <w:r>
        <w:t xml:space="preserve">offentlige </w:t>
      </w:r>
      <w:r w:rsidR="79CAE455">
        <w:t>allmennlegetjenesten</w:t>
      </w:r>
      <w:r w:rsidR="00C863EF">
        <w:t>,</w:t>
      </w:r>
      <w:r>
        <w:t xml:space="preserve"> sett i lys av økt behov og etterspørsel etter </w:t>
      </w:r>
      <w:r w:rsidR="79CAE455">
        <w:t>primærhelsetjenester</w:t>
      </w:r>
      <w:r w:rsidR="20AFADF9">
        <w:t xml:space="preserve">. </w:t>
      </w:r>
      <w:r w:rsidR="79CAE455">
        <w:t>Både</w:t>
      </w:r>
      <w:r>
        <w:t xml:space="preserve"> rekruttering av nye leger og stabilisering av de som allerede er i tjenesten</w:t>
      </w:r>
      <w:r w:rsidR="00F73427">
        <w:t>,</w:t>
      </w:r>
      <w:r>
        <w:t xml:space="preserve"> er tiltakende viktige tema i landene. Det har også tidligere vært krevende å opprettholde en stabil legetjeneste i usentrale og grisgrendte strøk, noe som landene i Norden er godt kjent med. </w:t>
      </w:r>
      <w:r w:rsidR="00C575A1">
        <w:t>Det er s</w:t>
      </w:r>
      <w:r>
        <w:t xml:space="preserve">tørre problemer med rekruttering </w:t>
      </w:r>
      <w:r w:rsidR="00C575A1">
        <w:t xml:space="preserve">i </w:t>
      </w:r>
      <w:r>
        <w:t>distriktene. Landene har derfor særskilte tiltak og ofte kompenserende elementer i finansieringsordningene knyttet til geografi.</w:t>
      </w:r>
    </w:p>
    <w:p w14:paraId="359DCEB9" w14:textId="77777777" w:rsidR="00D9107F" w:rsidRDefault="003C1895" w:rsidP="007B40C1">
      <w:pPr>
        <w:jc w:val="both"/>
      </w:pPr>
      <w:r>
        <w:t xml:space="preserve">I England har det </w:t>
      </w:r>
      <w:r w:rsidR="00D06853">
        <w:t xml:space="preserve">lenge </w:t>
      </w:r>
      <w:r>
        <w:t xml:space="preserve">vært store personellutfordringer i primærhelsetjenesten </w:t>
      </w:r>
      <w:r>
        <w:fldChar w:fldCharType="begin"/>
      </w:r>
      <w:r w:rsidR="00D078E3">
        <w:instrText xml:space="preserve"> ADDIN EN.CITE &lt;EndNote&gt;&lt;Cite&gt;&lt;Author&gt;Spence&lt;/Author&gt;&lt;Year&gt;2016&lt;/Year&gt;&lt;RecNum&gt;289&lt;/RecNum&gt;&lt;DisplayText&gt;(Spence, 2016)&lt;/DisplayText&gt;&lt;record&gt;&lt;rec-number&gt;289&lt;/rec-number&gt;&lt;foreign-keys&gt;&lt;key app="EN" db-id="95tpr2tp6r9xwoea9rb5wdsz5ds5xeddteew" timestamp="1680069511"&gt;289&lt;/key&gt;&lt;/foreign-keys&gt;&lt;ref-type name="Journal Article"&gt;17&lt;/ref-type&gt;&lt;contributors&gt;&lt;authors&gt;&lt;author&gt;Spence, D.&lt;/author&gt;&lt;/authors&gt;&lt;/contributors&gt;&lt;auth-address&gt;Maryhill Health Centre, Glasgow.&lt;/auth-address&gt;&lt;titles&gt;&lt;title&gt;General practice in meltdown&lt;/title&gt;&lt;secondary-title&gt;Br J Gen Pract&lt;/secondary-title&gt;&lt;/titles&gt;&lt;periodical&gt;&lt;full-title&gt;Br J Gen Pract&lt;/full-title&gt;&lt;/periodical&gt;&lt;pages&gt;259&lt;/pages&gt;&lt;volume&gt;66&lt;/volume&gt;&lt;number&gt;646&lt;/number&gt;&lt;keywords&gt;&lt;keyword&gt;Career Choice&lt;/keyword&gt;&lt;keyword&gt;Education, Medical, Undergraduate/organization &amp;amp; administration/*standards&lt;/keyword&gt;&lt;keyword&gt;*General Practice/organization &amp;amp; administration/standards&lt;/keyword&gt;&lt;keyword&gt;Humans&lt;/keyword&gt;&lt;keyword&gt;*State Medicine/organization &amp;amp; administration/standards&lt;/keyword&gt;&lt;keyword&gt;United Kingdom&lt;/keyword&gt;&lt;/keywords&gt;&lt;dates&gt;&lt;year&gt;2016&lt;/year&gt;&lt;pub-dates&gt;&lt;date&gt;May&lt;/date&gt;&lt;/pub-dates&gt;&lt;/dates&gt;&lt;isbn&gt;0960-1643 (Print)&amp;#xD;0960-1643&lt;/isbn&gt;&lt;accession-num&gt;27127280&lt;/accession-num&gt;&lt;urls&gt;&lt;/urls&gt;&lt;custom2&gt;PMC4838430&lt;/custom2&gt;&lt;electronic-resource-num&gt;10.3399/bjgp16X685021&lt;/electronic-resource-num&gt;&lt;remote-database-provider&gt;NLM&lt;/remote-database-provider&gt;&lt;language&gt;eng&lt;/language&gt;&lt;/record&gt;&lt;/Cite&gt;&lt;/EndNote&gt;</w:instrText>
      </w:r>
      <w:r>
        <w:fldChar w:fldCharType="separate"/>
      </w:r>
      <w:r>
        <w:rPr>
          <w:noProof/>
        </w:rPr>
        <w:t>(Spence, 2016)</w:t>
      </w:r>
      <w:r>
        <w:fldChar w:fldCharType="end"/>
      </w:r>
      <w:r>
        <w:t xml:space="preserve"> og alvorligheten i krisen ble skissert og vurdert </w:t>
      </w:r>
      <w:r w:rsidR="00545715">
        <w:t xml:space="preserve">i </w:t>
      </w:r>
      <w:r>
        <w:t xml:space="preserve">en rapport </w:t>
      </w:r>
      <w:r w:rsidR="00545715">
        <w:t>til</w:t>
      </w:r>
      <w:r>
        <w:t xml:space="preserve"> parlamentet høsten 2022</w:t>
      </w:r>
      <w:r w:rsidRPr="0021374E">
        <w:t>.</w:t>
      </w:r>
    </w:p>
    <w:p w14:paraId="4B109DBA" w14:textId="77777777" w:rsidR="00D9107F" w:rsidRDefault="003C1895" w:rsidP="007B40C1">
      <w:pPr>
        <w:jc w:val="both"/>
      </w:pPr>
      <w:r w:rsidRPr="00096BDA">
        <w:t>Det har</w:t>
      </w:r>
      <w:r w:rsidR="000746D0">
        <w:t xml:space="preserve"> i England</w:t>
      </w:r>
      <w:r w:rsidRPr="00096BDA">
        <w:t xml:space="preserve"> samtidig vært ganske god tilgang på leger i spesialisering. Antall utdanningsstillinger </w:t>
      </w:r>
      <w:r>
        <w:t>i allmenn</w:t>
      </w:r>
      <w:r>
        <w:softHyphen/>
        <w:t xml:space="preserve">medisin </w:t>
      </w:r>
      <w:r w:rsidRPr="00096BDA">
        <w:t>har økt mye fra 2014 til i dag</w:t>
      </w:r>
      <w:r w:rsidR="00545715">
        <w:t>,</w:t>
      </w:r>
      <w:r w:rsidRPr="00096BDA">
        <w:t xml:space="preserve"> og de siste årene har alle vært besatte </w:t>
      </w:r>
      <w:r>
        <w:fldChar w:fldCharType="begin"/>
      </w:r>
      <w:r w:rsidR="00D078E3">
        <w:instrText xml:space="preserve"> ADDIN EN.CITE &lt;EndNote&gt;&lt;Cite&gt;&lt;Author&gt;Armitage&lt;/Author&gt;&lt;Year&gt;2023&lt;/Year&gt;&lt;RecNum&gt;416&lt;/RecNum&gt;&lt;DisplayText&gt;(Armitage, 2023)&lt;/DisplayText&gt;&lt;record&gt;&lt;rec-number&gt;416&lt;/rec-number&gt;&lt;foreign-keys&gt;&lt;key app="EN" db-id="95tpr2tp6r9xwoea9rb5wdsz5ds5xeddteew" timestamp="1680069511"&gt;416&lt;/key&gt;&lt;/foreign-keys&gt;&lt;ref-type name="Journal Article"&gt;17&lt;/ref-type&gt;&lt;contributors&gt;&lt;authors&gt;&lt;author&gt;Armitage, Richard&lt;/author&gt;&lt;/authors&gt;&lt;/contributors&gt;&lt;titles&gt;&lt;title&gt;Junior doctors leaving the NHS: what would it mean for general practice?&lt;/title&gt;&lt;secondary-title&gt;British Journal of General Practice&lt;/secondary-title&gt;&lt;/titles&gt;&lt;pages&gt;126-127&lt;/pages&gt;&lt;volume&gt;73&lt;/volume&gt;&lt;number&gt;728&lt;/number&gt;&lt;dates&gt;&lt;year&gt;2023&lt;/year&gt;&lt;/dates&gt;&lt;urls&gt;&lt;related-urls&gt;&lt;url&gt;https://bjgp.org/content/bjgp/73/728/126.full.pdf&lt;/url&gt;&lt;/related-urls&gt;&lt;/urls&gt;&lt;electronic-resource-num&gt;10.3399/bjgp23X732189&lt;/electronic-resource-num&gt;&lt;/record&gt;&lt;/Cite&gt;&lt;/EndNote&gt;</w:instrText>
      </w:r>
      <w:r>
        <w:fldChar w:fldCharType="separate"/>
      </w:r>
      <w:r>
        <w:rPr>
          <w:noProof/>
        </w:rPr>
        <w:t>(Armitage, 2023)</w:t>
      </w:r>
      <w:r>
        <w:fldChar w:fldCharType="end"/>
      </w:r>
      <w:r w:rsidRPr="00096BDA">
        <w:t>. I desember 2022 var tallet oppe i over 9300</w:t>
      </w:r>
      <w:r w:rsidR="46472424" w:rsidRPr="00096BDA">
        <w:t>,</w:t>
      </w:r>
      <w:r w:rsidRPr="00096BDA">
        <w:t xml:space="preserve"> en vekst på 85 prosent fra september 2015. </w:t>
      </w:r>
      <w:r w:rsidRPr="00C710F4">
        <w:t xml:space="preserve">Den siste tidens vekst i antall allmennleger i spesialisering </w:t>
      </w:r>
      <w:r w:rsidR="00545715">
        <w:t>i England</w:t>
      </w:r>
      <w:r w:rsidRPr="00C710F4">
        <w:t xml:space="preserve"> har imidlertid ikke klart å motsvare antallet fullt kvalifiserte fastleger som forlater tjenesten.</w:t>
      </w:r>
    </w:p>
    <w:p w14:paraId="5EAD9826" w14:textId="77777777" w:rsidR="00D9107F" w:rsidRDefault="003C1895" w:rsidP="007B40C1">
      <w:pPr>
        <w:jc w:val="both"/>
      </w:pPr>
      <w:r w:rsidRPr="00C13850">
        <w:t xml:space="preserve">I </w:t>
      </w:r>
      <w:r>
        <w:t>S</w:t>
      </w:r>
      <w:r w:rsidRPr="00C13850">
        <w:t xml:space="preserve">kottland utførte legeforeningen (BMA Scotland) en undersøkelse i oktober 2022 </w:t>
      </w:r>
      <w:r w:rsidR="00C812CE">
        <w:fldChar w:fldCharType="begin"/>
      </w:r>
      <w:r w:rsidR="00A27571">
        <w:instrText xml:space="preserve"> ADDIN EN.CITE &lt;EndNote&gt;&lt;Cite&gt;&lt;Author&gt;British Medical Association&lt;/Author&gt;&lt;Year&gt;2022&lt;/Year&gt;&lt;RecNum&gt;73&lt;/RecNum&gt;&lt;DisplayText&gt;(British Medical Association, 2022)&lt;/DisplayText&gt;&lt;record&gt;&lt;rec-number&gt;73&lt;/rec-number&gt;&lt;foreign-keys&gt;&lt;key app="EN" db-id="95tpr2tp6r9xwoea9rb5wdsz5ds5xeddteew" timestamp="1680069511"&gt;73&lt;/key&gt;&lt;/foreign-keys&gt;&lt;ref-type name="Web Page"&gt;12&lt;/ref-type&gt;&lt;contributors&gt;&lt;authors&gt;&lt;author&gt;British Medical Association,&lt;/author&gt;&lt;/authors&gt;&lt;/contributors&gt;&lt;titles&gt;&lt;title&gt;BMA Scotland: Urgent support required for GPs as practices buckle under unrelenting pressures&lt;/title&gt;&lt;secondary-title&gt;Press release from BMA Scotland&lt;/secondary-title&gt;&lt;/titles&gt;&lt;number&gt;20. mars 2023&lt;/number&gt;&lt;dates&gt;&lt;year&gt;2022&lt;/year&gt;&lt;pub-dates&gt;&lt;date&gt;15. november 2022&lt;/date&gt;&lt;/pub-dates&gt;&lt;/dates&gt;&lt;publisher&gt;The British Medical Association (BMA)&lt;/publisher&gt;&lt;urls&gt;&lt;/urls&gt;&lt;/record&gt;&lt;/Cite&gt;&lt;/EndNote&gt;</w:instrText>
      </w:r>
      <w:r w:rsidR="00C812CE">
        <w:fldChar w:fldCharType="separate"/>
      </w:r>
      <w:r w:rsidR="00C812CE">
        <w:rPr>
          <w:noProof/>
        </w:rPr>
        <w:t>(British Medical Association, 2022)</w:t>
      </w:r>
      <w:r w:rsidR="00C812CE">
        <w:fldChar w:fldCharType="end"/>
      </w:r>
      <w:r w:rsidRPr="00C13850">
        <w:t xml:space="preserve"> som viste at 34 prosent av praksisene </w:t>
      </w:r>
      <w:r>
        <w:t>(</w:t>
      </w:r>
      <w:r w:rsidRPr="00C13850">
        <w:t>som svarte</w:t>
      </w:r>
      <w:r>
        <w:t>)</w:t>
      </w:r>
      <w:r w:rsidRPr="00C13850">
        <w:t xml:space="preserve"> hadde minst en ledig stilling. 81</w:t>
      </w:r>
      <w:r w:rsidR="00545715">
        <w:t xml:space="preserve"> prosent</w:t>
      </w:r>
      <w:r w:rsidRPr="00C13850">
        <w:t xml:space="preserve"> av praksisene mente etterspørselen overstiger kapasiteten og 42</w:t>
      </w:r>
      <w:r w:rsidR="00545715">
        <w:t xml:space="preserve"> pro</w:t>
      </w:r>
      <w:r w:rsidR="00C00F98">
        <w:t>s</w:t>
      </w:r>
      <w:r w:rsidR="00545715">
        <w:t>ent</w:t>
      </w:r>
      <w:r w:rsidRPr="00C13850">
        <w:t xml:space="preserve"> at underkapasiteten er svært stor. </w:t>
      </w:r>
      <w:r>
        <w:t xml:space="preserve">Det er ikke lenger pålagt allmennpraktikerne å bidra i legevakt, </w:t>
      </w:r>
      <w:r w:rsidR="00545715">
        <w:t>og</w:t>
      </w:r>
      <w:r>
        <w:t xml:space="preserve"> dette har etter hvert skapt utfordringer med å bemanne </w:t>
      </w:r>
      <w:r w:rsidR="00BA651E">
        <w:t>lege</w:t>
      </w:r>
      <w:r>
        <w:t>vaktene.</w:t>
      </w:r>
    </w:p>
    <w:p w14:paraId="1CABB8B7" w14:textId="77777777" w:rsidR="00D9107F" w:rsidRDefault="003C1895" w:rsidP="007B40C1">
      <w:pPr>
        <w:jc w:val="both"/>
      </w:pPr>
      <w:r w:rsidRPr="007730D3">
        <w:t>En viktig strategi i England og Skottland er å forsterke primærhelsetjenesten med annet personell</w:t>
      </w:r>
      <w:r w:rsidR="00545715">
        <w:t>,</w:t>
      </w:r>
      <w:r w:rsidRPr="007730D3">
        <w:t xml:space="preserve"> og arbeide mer i team på tvers av tjenester</w:t>
      </w:r>
      <w:r w:rsidR="00BA651E">
        <w:t>.</w:t>
      </w:r>
    </w:p>
    <w:p w14:paraId="00187786" w14:textId="77777777" w:rsidR="00D9107F" w:rsidRDefault="003C1895" w:rsidP="007B40C1">
      <w:pPr>
        <w:jc w:val="both"/>
      </w:pPr>
      <w:r>
        <w:t xml:space="preserve">I Danmark har bare en av tre praksiser (klinikker) åpent for å ta imot nye innbyggere på sine lister, og mange områder er definert som legedekningstruede </w:t>
      </w:r>
      <w:r>
        <w:fldChar w:fldCharType="begin"/>
      </w:r>
      <w:r w:rsidR="00A27571">
        <w:instrText xml:space="preserve"> ADDIN EN.CITE &lt;EndNote&gt;&lt;Cite&gt;&lt;Author&gt;Haumann&lt;/Author&gt;&lt;Year&gt;2023&lt;/Year&gt;&lt;RecNum&gt;39&lt;/RecNum&gt;&lt;DisplayText&gt;(Haumann et al., 2023)&lt;/DisplayText&gt;&lt;record&gt;&lt;rec-number&gt;39&lt;/rec-number&gt;&lt;foreign-keys&gt;&lt;key app="EN" db-id="95tpr2tp6r9xwoea9rb5wdsz5ds5xeddteew" timestamp="1680069511"&gt;39&lt;/key&gt;&lt;/foreign-keys&gt;&lt;ref-type name="Report"&gt;27&lt;/ref-type&gt;&lt;contributors&gt;&lt;authors&gt;&lt;author&gt;Josephine Haumann&lt;/author&gt;&lt;author&gt;Emma Skjold Lindegaard &lt;/author&gt;&lt;/authors&gt;&lt;/contributors&gt;&lt;titles&gt;&lt;title&gt;Andelen af praksis med lukket for tilgang stiger markant&lt;/title&gt;&lt;secondary-title&gt;PLO analyse&lt;/secondary-title&gt;&lt;/titles&gt;&lt;dates&gt;&lt;year&gt;2023&lt;/year&gt;&lt;/dates&gt;&lt;pub-location&gt;København&lt;/pub-location&gt;&lt;publisher&gt;Praktiserende lægers organisation&lt;/publisher&gt;&lt;urls&gt;&lt;/urls&gt;&lt;/record&gt;&lt;/Cite&gt;&lt;/EndNote&gt;</w:instrText>
      </w:r>
      <w:r>
        <w:fldChar w:fldCharType="separate"/>
      </w:r>
      <w:r w:rsidR="00856689">
        <w:rPr>
          <w:noProof/>
        </w:rPr>
        <w:t>(Haumann et al., 2023)</w:t>
      </w:r>
      <w:r>
        <w:fldChar w:fldCharType="end"/>
      </w:r>
      <w:r>
        <w:t>.</w:t>
      </w:r>
    </w:p>
    <w:p w14:paraId="3F1B0571" w14:textId="77777777" w:rsidR="00D9107F" w:rsidRDefault="003C1895" w:rsidP="007B40C1">
      <w:pPr>
        <w:jc w:val="both"/>
        <w:rPr>
          <w:lang w:val="nb"/>
        </w:rPr>
      </w:pPr>
      <w:r w:rsidRPr="009C454C">
        <w:rPr>
          <w:lang w:val="nb"/>
        </w:rPr>
        <w:lastRenderedPageBreak/>
        <w:t xml:space="preserve">Det har lenge vært mangel på allmennleger også i Sverige. For eksempel var </w:t>
      </w:r>
      <w:r>
        <w:rPr>
          <w:lang w:val="nb"/>
        </w:rPr>
        <w:t>ledige stillinger</w:t>
      </w:r>
      <w:r w:rsidRPr="009C454C">
        <w:rPr>
          <w:lang w:val="nb"/>
        </w:rPr>
        <w:t xml:space="preserve"> i</w:t>
      </w:r>
      <w:r>
        <w:rPr>
          <w:lang w:val="nb"/>
        </w:rPr>
        <w:t xml:space="preserve"> </w:t>
      </w:r>
      <w:r w:rsidRPr="009C454C">
        <w:rPr>
          <w:lang w:val="nb"/>
        </w:rPr>
        <w:t>primærhelsetjenesten (totalt antall ledige stillinger konvertert til he</w:t>
      </w:r>
      <w:r w:rsidR="00545715">
        <w:rPr>
          <w:lang w:val="nb"/>
        </w:rPr>
        <w:t>l</w:t>
      </w:r>
      <w:r w:rsidRPr="009C454C">
        <w:rPr>
          <w:lang w:val="nb"/>
        </w:rPr>
        <w:t>tid) 21 prosent i 2018 (Vårdanalys 2018). Flere regioner melder også om vanskeligheter med å rekruttere og beholde spesi</w:t>
      </w:r>
      <w:r w:rsidR="00545715">
        <w:rPr>
          <w:lang w:val="nb"/>
        </w:rPr>
        <w:t>a</w:t>
      </w:r>
      <w:r w:rsidRPr="009C454C">
        <w:rPr>
          <w:lang w:val="nb"/>
        </w:rPr>
        <w:t>lister i allmennmedisin på grunn av konkurranse med private tjen</w:t>
      </w:r>
      <w:r w:rsidR="00545715">
        <w:rPr>
          <w:lang w:val="nb"/>
        </w:rPr>
        <w:t>e</w:t>
      </w:r>
      <w:r w:rsidRPr="009C454C">
        <w:rPr>
          <w:lang w:val="nb"/>
        </w:rPr>
        <w:t>ster, en utfordring som forsterkes av den nasjonale mangelen på fastleger.</w:t>
      </w:r>
    </w:p>
    <w:p w14:paraId="1C789BE8" w14:textId="77777777" w:rsidR="00D9107F" w:rsidRDefault="003C1895" w:rsidP="00B31A6B">
      <w:pPr>
        <w:rPr>
          <w:rFonts w:eastAsia="Calibri"/>
        </w:rPr>
      </w:pPr>
      <w:r>
        <w:t>Finland har</w:t>
      </w:r>
      <w:r w:rsidR="00545715">
        <w:t>,</w:t>
      </w:r>
      <w:r>
        <w:t xml:space="preserve"> som andre land</w:t>
      </w:r>
      <w:r w:rsidR="00545715">
        <w:t>,</w:t>
      </w:r>
      <w:r>
        <w:t xml:space="preserve"> stor geografisk variasjon </w:t>
      </w:r>
      <w:r w:rsidR="0038294F">
        <w:t>når de</w:t>
      </w:r>
      <w:r w:rsidR="00545715">
        <w:t>t</w:t>
      </w:r>
      <w:r w:rsidR="0038294F">
        <w:t xml:space="preserve"> kommer til </w:t>
      </w:r>
      <w:r w:rsidR="00785988">
        <w:t>lege</w:t>
      </w:r>
      <w:r w:rsidR="00545715">
        <w:t>dekning</w:t>
      </w:r>
      <w:r w:rsidR="00785988">
        <w:t>.</w:t>
      </w:r>
      <w:r>
        <w:t xml:space="preserve"> </w:t>
      </w:r>
      <w:r w:rsidRPr="00C23014">
        <w:rPr>
          <w:rFonts w:eastAsia="Calibri"/>
        </w:rPr>
        <w:t>Det har vært stor legemangel i avsidesliggende områder og sykepleiere har periodevis vært eneste helsepersonell til stede lokalt</w:t>
      </w:r>
      <w:r w:rsidR="00A93727">
        <w:rPr>
          <w:rFonts w:eastAsia="Calibri"/>
        </w:rPr>
        <w:t>. I</w:t>
      </w:r>
      <w:r>
        <w:rPr>
          <w:rFonts w:eastAsia="Calibri"/>
        </w:rPr>
        <w:t xml:space="preserve"> mange tilfeller har driften av helsesentre </w:t>
      </w:r>
      <w:r w:rsidR="00785988">
        <w:rPr>
          <w:rFonts w:eastAsia="Calibri"/>
        </w:rPr>
        <w:t>vært</w:t>
      </w:r>
      <w:r>
        <w:rPr>
          <w:rFonts w:eastAsia="Calibri"/>
        </w:rPr>
        <w:t xml:space="preserve"> </w:t>
      </w:r>
      <w:r w:rsidR="00A93727">
        <w:rPr>
          <w:rFonts w:eastAsia="Calibri"/>
        </w:rPr>
        <w:t>utført</w:t>
      </w:r>
      <w:r>
        <w:rPr>
          <w:rFonts w:eastAsia="Calibri"/>
        </w:rPr>
        <w:t xml:space="preserve"> av private selskaper på anbud </w:t>
      </w:r>
      <w:r>
        <w:rPr>
          <w:rFonts w:eastAsia="Calibri"/>
        </w:rPr>
        <w:fldChar w:fldCharType="begin"/>
      </w:r>
      <w:r w:rsidR="004654FD">
        <w:rPr>
          <w:rFonts w:eastAsia="Calibri"/>
        </w:rPr>
        <w:instrText xml:space="preserve"> ADDIN EN.CITE &lt;EndNote&gt;&lt;Cite&gt;&lt;Author&gt;Keskimäki&lt;/Author&gt;&lt;Year&gt;2019&lt;/Year&gt;&lt;RecNum&gt;249&lt;/RecNum&gt;&lt;DisplayText&gt;(Keskimäki et al., 2019)&lt;/DisplayText&gt;&lt;record&gt;&lt;rec-number&gt;249&lt;/rec-number&gt;&lt;foreign-keys&gt;&lt;key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rPr>
          <w:rFonts w:eastAsia="Calibri"/>
        </w:rPr>
        <w:fldChar w:fldCharType="separate"/>
      </w:r>
      <w:r w:rsidR="00856689">
        <w:rPr>
          <w:rFonts w:eastAsia="Calibri"/>
          <w:noProof/>
        </w:rPr>
        <w:t>(Keskimäki et al., 2019)</w:t>
      </w:r>
      <w:r>
        <w:rPr>
          <w:rFonts w:eastAsia="Calibri"/>
        </w:rPr>
        <w:fldChar w:fldCharType="end"/>
      </w:r>
      <w:r>
        <w:rPr>
          <w:rFonts w:eastAsia="Calibri"/>
        </w:rPr>
        <w:t>.</w:t>
      </w:r>
    </w:p>
    <w:p w14:paraId="2AB56840" w14:textId="0AACA668" w:rsidR="003C1895" w:rsidRDefault="003C1895" w:rsidP="007B40C1">
      <w:pPr>
        <w:jc w:val="both"/>
      </w:pPr>
      <w:r>
        <w:t>Selv i Nederland</w:t>
      </w:r>
      <w:r w:rsidR="00E375C6">
        <w:t>,</w:t>
      </w:r>
      <w:r>
        <w:t xml:space="preserve"> hvor det tradisjonelt har vært veldig attraktivt å jobbe i allmennlegetjenesten</w:t>
      </w:r>
      <w:r w:rsidR="00E375C6">
        <w:t>,</w:t>
      </w:r>
      <w:r>
        <w:t xml:space="preserve"> oppleve</w:t>
      </w:r>
      <w:r w:rsidR="00545715">
        <w:t xml:space="preserve">s det </w:t>
      </w:r>
      <w:r>
        <w:t>nå at tjenesten er under press og at ikke alle pasienter finner en lege</w:t>
      </w:r>
      <w:r w:rsidR="00E375C6">
        <w:t xml:space="preserve"> eller </w:t>
      </w:r>
      <w:r>
        <w:t xml:space="preserve">legekontor med ledig plass for nye pasienter. Dette ses blant annet i sammenheng med et aldrende legekorps og økende ønske </w:t>
      </w:r>
      <w:r w:rsidR="00545715">
        <w:t xml:space="preserve">blant legene </w:t>
      </w:r>
      <w:r>
        <w:t>om å arbeide deltid</w:t>
      </w:r>
      <w:r w:rsidR="00451AEC">
        <w:t>.</w:t>
      </w:r>
      <w:r w:rsidRPr="00D9107F">
        <w:rPr>
          <w:rStyle w:val="Fotnotereferanse"/>
        </w:rPr>
        <w:footnoteReference w:id="10"/>
      </w:r>
    </w:p>
    <w:p w14:paraId="117AAEEB" w14:textId="77777777" w:rsidR="00D9107F" w:rsidRDefault="003D39DE" w:rsidP="00775632">
      <w:pPr>
        <w:pStyle w:val="Overskrift4"/>
      </w:pPr>
      <w:bookmarkStart w:id="675" w:name="_Toc130154227"/>
      <w:bookmarkStart w:id="676" w:name="_Toc130490043"/>
      <w:bookmarkStart w:id="677" w:name="_Toc130763768"/>
      <w:bookmarkStart w:id="678" w:name="_Toc130766654"/>
      <w:bookmarkStart w:id="679" w:name="_Toc130932058"/>
      <w:bookmarkStart w:id="680" w:name="_Toc130934349"/>
      <w:bookmarkStart w:id="681" w:name="_Toc130983404"/>
      <w:bookmarkStart w:id="682" w:name="_Toc130983753"/>
      <w:bookmarkStart w:id="683" w:name="_Toc131062085"/>
      <w:bookmarkStart w:id="684" w:name="_Toc131062339"/>
      <w:bookmarkStart w:id="685" w:name="_Toc131062600"/>
      <w:bookmarkStart w:id="686" w:name="_Toc131062853"/>
      <w:bookmarkStart w:id="687" w:name="_Toc131063621"/>
      <w:bookmarkStart w:id="688" w:name="_Toc131064039"/>
      <w:bookmarkStart w:id="689" w:name="_Toc131238329"/>
      <w:bookmarkStart w:id="690" w:name="_Toc131279359"/>
      <w:bookmarkStart w:id="691" w:name="_Toc131286771"/>
      <w:bookmarkStart w:id="692" w:name="_Toc131281181"/>
      <w:bookmarkStart w:id="693" w:name="_Toc131317720"/>
      <w:r w:rsidRPr="00481FB2">
        <w:t>Øk</w:t>
      </w:r>
      <w:r w:rsidR="00323CB9" w:rsidRPr="00481FB2">
        <w:t>t</w:t>
      </w:r>
      <w:r w:rsidR="003C1895" w:rsidRPr="00481FB2">
        <w:t xml:space="preserve"> arbeidsbelastning</w:t>
      </w:r>
      <w:bookmarkEnd w:id="675"/>
      <w:bookmarkEnd w:id="676"/>
      <w:r w:rsidR="003C1895" w:rsidRPr="00481FB2">
        <w:t xml:space="preserve"> </w:t>
      </w:r>
      <w:r w:rsidR="000148E3" w:rsidRPr="00481FB2">
        <w:t xml:space="preserve">og </w:t>
      </w:r>
      <w:r w:rsidR="00323CB9" w:rsidRPr="00481FB2">
        <w:t xml:space="preserve">opplevd </w:t>
      </w:r>
      <w:r w:rsidR="000148E3" w:rsidRPr="00481FB2">
        <w:t>stress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37D78276" w14:textId="77777777" w:rsidR="00D9107F" w:rsidRDefault="008D3432" w:rsidP="007B40C1">
      <w:pPr>
        <w:jc w:val="both"/>
      </w:pPr>
      <w:r>
        <w:t xml:space="preserve">Legemangel </w:t>
      </w:r>
      <w:r w:rsidR="003D39DE">
        <w:t>har konsekvenser</w:t>
      </w:r>
      <w:r w:rsidR="003C1895" w:rsidRPr="00A368AD">
        <w:t xml:space="preserve"> </w:t>
      </w:r>
      <w:r w:rsidR="00064B0A">
        <w:t xml:space="preserve">for </w:t>
      </w:r>
      <w:r w:rsidR="00545715">
        <w:t xml:space="preserve">både </w:t>
      </w:r>
      <w:r w:rsidR="003C1895" w:rsidRPr="00A368AD">
        <w:t xml:space="preserve">innbyggere og </w:t>
      </w:r>
      <w:r w:rsidR="00064B0A">
        <w:t xml:space="preserve">for </w:t>
      </w:r>
      <w:r w:rsidR="003C1895" w:rsidRPr="00A368AD">
        <w:t>legene som arbeider i allmenn</w:t>
      </w:r>
      <w:r w:rsidR="003C1895">
        <w:softHyphen/>
      </w:r>
      <w:r w:rsidR="003C1895" w:rsidRPr="00A368AD">
        <w:t>legetjenesten.</w:t>
      </w:r>
    </w:p>
    <w:p w14:paraId="6ACFF744" w14:textId="3ABA3597" w:rsidR="00D9107F" w:rsidRDefault="003C1895" w:rsidP="007B40C1">
      <w:pPr>
        <w:jc w:val="both"/>
        <w:rPr>
          <w:lang w:val="nb"/>
        </w:rPr>
      </w:pPr>
      <w:r w:rsidRPr="002E323C">
        <w:rPr>
          <w:lang w:val="nb"/>
        </w:rPr>
        <w:t>En studie basert på data fra 2010</w:t>
      </w:r>
      <w:r w:rsidR="00545715">
        <w:rPr>
          <w:lang w:val="nb"/>
        </w:rPr>
        <w:t>–</w:t>
      </w:r>
      <w:r w:rsidRPr="002E323C">
        <w:rPr>
          <w:lang w:val="nb"/>
        </w:rPr>
        <w:t xml:space="preserve">2012 (34 land) </w:t>
      </w:r>
      <w:r>
        <w:rPr>
          <w:lang w:val="nb"/>
        </w:rPr>
        <w:fldChar w:fldCharType="begin"/>
      </w:r>
      <w:r w:rsidR="004654FD">
        <w:rPr>
          <w:lang w:val="nb"/>
        </w:rPr>
        <w:instrText xml:space="preserve"> ADDIN EN.CITE &lt;EndNote&gt;&lt;Cite&gt;&lt;Author&gt;Stobbe&lt;/Author&gt;&lt;Year&gt;2021&lt;/Year&gt;&lt;RecNum&gt;413&lt;/RecNum&gt;&lt;DisplayText&gt;(Stobbe et al., 2021)&lt;/DisplayText&gt;&lt;record&gt;&lt;rec-number&gt;413&lt;/rec-number&gt;&lt;foreign-keys&gt;&lt;key app="EN" db-id="95tpr2tp6r9xwoea9rb5wdsz5ds5xeddteew" timestamp="1680069511"&gt;413&lt;/key&gt;&lt;/foreign-keys&gt;&lt;ref-type name="Journal Article"&gt;17&lt;/ref-type&gt;&lt;contributors&gt;&lt;authors&gt;&lt;author&gt;Stobbe, Emiel J.&lt;/author&gt;&lt;author&gt;Groenewegen, Peter P.&lt;/author&gt;&lt;author&gt;Schäfer, Willemijn&lt;/author&gt;&lt;/authors&gt;&lt;/contributors&gt;&lt;titles&gt;&lt;title&gt;Job satisfaction of general practitioners: a cross-sectional survey in 34 countries&lt;/title&gt;&lt;secondary-title&gt;Human Resources for Health&lt;/secondary-title&gt;&lt;/titles&gt;&lt;periodical&gt;&lt;full-title&gt;Human Resources for Health&lt;/full-title&gt;&lt;/periodical&gt;&lt;pages&gt;57&lt;/pages&gt;&lt;volume&gt;19&lt;/volume&gt;&lt;number&gt;1&lt;/number&gt;&lt;dates&gt;&lt;year&gt;2021&lt;/year&gt;&lt;pub-dates&gt;&lt;date&gt;2021/04/27&lt;/date&gt;&lt;/pub-dates&gt;&lt;/dates&gt;&lt;isbn&gt;1478-4491&lt;/isbn&gt;&lt;urls&gt;&lt;related-urls&gt;&lt;url&gt;https://doi.org/10.1186/s12960-021-00604-0&lt;/url&gt;&lt;/related-urls&gt;&lt;/urls&gt;&lt;/record&gt;&lt;/Cite&gt;&lt;/EndNote&gt;</w:instrText>
      </w:r>
      <w:r>
        <w:rPr>
          <w:lang w:val="nb"/>
        </w:rPr>
        <w:fldChar w:fldCharType="separate"/>
      </w:r>
      <w:r w:rsidR="00856689">
        <w:rPr>
          <w:noProof/>
          <w:lang w:val="nb"/>
        </w:rPr>
        <w:t>(Stobbe et al., 2021)</w:t>
      </w:r>
      <w:r>
        <w:rPr>
          <w:lang w:val="nb"/>
        </w:rPr>
        <w:fldChar w:fldCharType="end"/>
      </w:r>
      <w:r w:rsidRPr="002E323C">
        <w:rPr>
          <w:lang w:val="nb"/>
        </w:rPr>
        <w:t xml:space="preserve"> viste at fastleger (GP</w:t>
      </w:r>
      <w:r w:rsidR="00D9107F">
        <w:rPr>
          <w:lang w:val="nb"/>
        </w:rPr>
        <w:t>’</w:t>
      </w:r>
      <w:r w:rsidRPr="002E323C">
        <w:rPr>
          <w:lang w:val="nb"/>
        </w:rPr>
        <w:t>s) i de skandinaviske landene og Nederland var i den øvre tredjedelen av skalaen for gjennomsnittlig jobbtilfredshet, mens leger i søreuropeiske land var i den nedre tredjedelen.</w:t>
      </w:r>
    </w:p>
    <w:p w14:paraId="0FF33C8D" w14:textId="77777777" w:rsidR="00D9107F" w:rsidRDefault="003C1895" w:rsidP="007B40C1">
      <w:pPr>
        <w:jc w:val="both"/>
      </w:pPr>
      <w:r>
        <w:t>I en annen undersøkelse fra 2015 ble høy arbeidsbelastning blant primærleger</w:t>
      </w:r>
      <w:r w:rsidRPr="003A0AC2">
        <w:t xml:space="preserve"> </w:t>
      </w:r>
      <w:r w:rsidRPr="000432A7">
        <w:t>identifisert som en viktig faktor knyttet til høyt yrkesmessig stres</w:t>
      </w:r>
      <w:r>
        <w:t xml:space="preserve">s. Undersøkelsen inkluderte 11 land, blant annet Norge </w:t>
      </w:r>
      <w:r>
        <w:fldChar w:fldCharType="begin">
          <w:fldData xml:space="preserve">PEVuZE5vdGU+PENpdGU+PEF1dGhvcj5Db2hpZG9uPC9BdXRob3I+PFllYXI+MjAyMDwvWWVhcj48
UmVjTnVtPjQxNDwvUmVjTnVtPjxEaXNwbGF5VGV4dD4oQ29oaWRvbiBldCBhbC4sIDIwMjApPC9E
aXNwbGF5VGV4dD48cmVjb3JkPjxyZWMtbnVtYmVyPjQxNDwvcmVjLW51bWJlcj48Zm9yZWlnbi1r
ZXlzPjxrZXkgYXBwPSJFTiIgZGItaWQ9Ijk1dHByMnRwNnI5eHdvZWE5cmI1d2RzejVkczV4ZWRk
dGVldyIgdGltZXN0YW1wPSIxNjgwMDY5NTExIj40MTQ8L2tleT48L2ZvcmVpZ24ta2V5cz48cmVm
LXR5cGUgbmFtZT0iSm91cm5hbCBBcnRpY2xlIj4xNzwvcmVmLXR5cGU+PGNvbnRyaWJ1dG9ycz48
YXV0aG9ycz48YXV0aG9yPkNvaGlkb24sIEMuPC9hdXRob3I+PGF1dGhvcj5XaWxkLCBQLjwvYXV0
aG9yPjxhdXRob3I+U2VubiwgTi48L2F1dGhvcj48L2F1dGhvcnM+PC9jb250cmlidXRvcnM+PGF1
dGgtYWRkcmVzcz5Db2hpZG9uLCBDaHJpc3RpbmUuIERlcGFydG1lbnQgb2YgRmFtaWx5IE1lZGlj
aW5lLCBDZW50ZXIgZm9yIFByaW1hcnkgQ2FyZSBhbmQgUHVibGljIEhlYWx0aCAoVW5pc2FudGUp
LCBVbml2ZXJzaXR5IG9mIExhdXNhbm5lLCBTd2l0emVybGFuZC4mI3hEO1dpbGQsIFBhc2NhbC4g
RGVwYXJ0bWVudCBvZiBGYW1pbHkgTWVkaWNpbmUsIENlbnRlciBmb3IgUHJpbWFyeSBDYXJlIGFu
ZCBQdWJsaWMgSGVhbHRoIChVbmlzYW50ZSksIFVuaXZlcnNpdHkgb2YgTGF1c2FubmUsIFN3aXR6
ZXJsYW5kOyBOYXRpb25hbCBSZXNlYXJjaCBhbmQgU2FmZXR5IEluc3RpdHV0ZSAoSU5SUyksIFZh
bmRvZXV2cmUtbGVzLU5hbmN5LCBGcmFuY2UuJiN4RDtTZW5uLCBOaWNvbGFzLiBEZXBhcnRtZW50
IG9mIEZhbWlseSBNZWRpY2luZSwgQ2VudGVyIGZvciBQcmltYXJ5IENhcmUgYW5kIFB1YmxpYyBI
ZWFsdGggKFVuaXNhbnRlKSwgVW5pdmVyc2l0eSBvZiBMYXVzYW5uZSwgU3dpdHplcmxhbmQuPC9h
dXRoLWFkZHJlc3M+PHRpdGxlcz48dGl0bGU+Sm9iIHN0cmVzcyBhbW9uZyBHUHM6IGFzc29jaWF0
aW9ucyB3aXRoIHByYWN0aWNlIG9yZ2FuaXNhdGlvbiBpbiAxMSBoaWdoLWluY29tZSBjb3VudHJp
ZXM8L3RpdGxlPjxzZWNvbmRhcnktdGl0bGU+QnJpdGlzaCBKb3VybmFsIG9mIEdlbmVyYWwgUHJh
Y3RpY2U8L3NlY29uZGFyeS10aXRsZT48YWx0LXRpdGxlPkJyIEogR2VuIFByYWN0PC9hbHQtdGl0
bGU+PC90aXRsZXM+PGFsdC1wZXJpb2RpY2FsPjxmdWxsLXRpdGxlPkJyIEogR2VuIFByYWN0PC9m
dWxsLXRpdGxlPjwvYWx0LXBlcmlvZGljYWw+PHBhZ2VzPmU2NTctZTY2NzwvcGFnZXM+PHZvbHVt
ZT43MDwvdm9sdW1lPjxudW1iZXI+Njk4PC9udW1iZXI+PGtleXdvcmRzPjxrZXl3b3JkPkNyb3Nz
LVNlY3Rpb25hbCBTdHVkaWVzPC9rZXl3b3JkPjxrZXl3b3JkPkRldmVsb3BlZCBDb3VudHJpZXM8
L2tleXdvcmQ+PGtleXdvcmQ+KkdlbmVyYWwgUHJhY3RpdGlvbmVyczwva2V5d29yZD48a2V5d29y
ZD5IdW1hbnM8L2tleXdvcmQ+PGtleXdvcmQ+Sm9iIFNhdGlzZmFjdGlvbjwva2V5d29yZD48a2V5
d29yZD5NaWRkbGUgQWdlZDwva2V5d29yZD48a2V5d29yZD5PY2N1cGF0aW9uYWwgU3RyZXNzL2Vw
IFtFcGlkZW1pb2xvZ3ldPC9rZXl3b3JkPjxrZXl3b3JkPipPY2N1cGF0aW9uYWwgU3RyZXNzPC9r
ZXl3b3JkPjxrZXl3b3JkPlN1cnZleXMgYW5kIFF1ZXN0aW9ubmFpcmVzPC9rZXl3b3JkPjxrZXl3
b3JkPldvcmtsb2FkPC9rZXl3b3JkPjwva2V5d29yZHM+PGRhdGVzPjx5ZWFyPjIwMjA8L3llYXI+
PHB1Yi1kYXRlcz48ZGF0ZT4wOTwvZGF0ZT48L3B1Yi1kYXRlcz48L2RhdGVzPjxpc2JuPjE0Nzgt
NTI0MjwvaXNibj48YWNjZXNzaW9uLW51bT4zMjY2MTAxMDwvYWNjZXNzaW9uLW51bT48d29yay10
eXBlPlJlc2VhcmNoIFN1cHBvcnQsIE5vbi1VLlMuIEdvdiZhcG9zO3Q8L3dvcmstdHlwZT48dXJs
cz48cmVsYXRlZC11cmxzPjx1cmw+aHR0cHM6Ly9vdmlkc3Aub3ZpZC5jb20vb3ZpZHdlYi5jZ2k/
VD1KUyZhbXA7Q1NDPVkmYW1wO05FV1M9TiZhbXA7UEFHRT1mdWxsdGV4dCZhbXA7RD1tZWQxOCZh
bXA7QU49MzI2NjEwMTA8L3VybD48dXJsPmh0dHA6Ly9vcGVudXJsLmJpYnN5cy5uby9vcGVudXJs
P290b29sPWlub2lwaGxpYj9zaWQ9T1ZJRDptZWRsaW5lJmFtcDtpZD1wbWlkOjMyNjYxMDEwJmFt
cDtpZD1kb2k6MTAuMzM5OSUyRmJqZ3AyMFg3MTA5MDkmYW1wO2lzc249MDk2MC0xNjQzJmFtcDtp
c2JuPSZhbXA7dm9sdW1lPTcwJmFtcDtpc3N1ZT02OTgmYW1wO3NwYWdlPWU2NTcmYW1wO3BhZ2Vz
PWU2NTctZTY2NyZhbXA7ZGF0ZT0yMDIwJmFtcDt0aXRsZT1Ccml0aXNoK0pvdXJuYWwrb2YrR2Vu
ZXJhbCtQcmFjdGljZSZhbXA7YXRpdGxlPUpvYitzdHJlc3MrYW1vbmcrR1BzJTNBK2Fzc29jaWF0
aW9ucyt3aXRoK3ByYWN0aWNlK29yZ2FuaXNhdGlvbitpbisxMStoaWdoLWluY29tZStjb3VudHJp
ZXMuJmFtcDthdWxhc3Q9Q29oaWRvbiZhbXA7cGlkPSUzQ2F1dGhvciUzRUNvaGlkb24rQyUzQyUy
RmF1dGhvciUzRSUzQ0FOJTNFMzI2NjEwMTAlM0MlMkZBTiUzRSUzQ0RUJTNFSm91cm5hbCtBcnRp
Y2xlJTNDJTJGRFQlM0U8L3VybD48L3JlbGF0ZWQtdXJscz48L3VybHM+PGVsZWN0cm9uaWMtcmVz
b3VyY2UtbnVtPjEwLjMzOTkvYmpncDIwWDcxMDkwOTwvZWxlY3Ryb25pYy1yZXNvdXJjZS1udW0+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4654FD">
        <w:instrText xml:space="preserve"> ADDIN EN.CITE </w:instrText>
      </w:r>
      <w:r w:rsidR="004654FD">
        <w:fldChar w:fldCharType="begin">
          <w:fldData xml:space="preserve">PEVuZE5vdGU+PENpdGU+PEF1dGhvcj5Db2hpZG9uPC9BdXRob3I+PFllYXI+MjAyMDwvWWVhcj48
UmVjTnVtPjQxNDwvUmVjTnVtPjxEaXNwbGF5VGV4dD4oQ29oaWRvbiBldCBhbC4sIDIwMjApPC9E
aXNwbGF5VGV4dD48cmVjb3JkPjxyZWMtbnVtYmVyPjQxNDwvcmVjLW51bWJlcj48Zm9yZWlnbi1r
ZXlzPjxrZXkgYXBwPSJFTiIgZGItaWQ9Ijk1dHByMnRwNnI5eHdvZWE5cmI1d2RzejVkczV4ZWRk
dGVldyIgdGltZXN0YW1wPSIxNjgwMDY5NTExIj40MTQ8L2tleT48L2ZvcmVpZ24ta2V5cz48cmVm
LXR5cGUgbmFtZT0iSm91cm5hbCBBcnRpY2xlIj4xNzwvcmVmLXR5cGU+PGNvbnRyaWJ1dG9ycz48
YXV0aG9ycz48YXV0aG9yPkNvaGlkb24sIEMuPC9hdXRob3I+PGF1dGhvcj5XaWxkLCBQLjwvYXV0
aG9yPjxhdXRob3I+U2VubiwgTi48L2F1dGhvcj48L2F1dGhvcnM+PC9jb250cmlidXRvcnM+PGF1
dGgtYWRkcmVzcz5Db2hpZG9uLCBDaHJpc3RpbmUuIERlcGFydG1lbnQgb2YgRmFtaWx5IE1lZGlj
aW5lLCBDZW50ZXIgZm9yIFByaW1hcnkgQ2FyZSBhbmQgUHVibGljIEhlYWx0aCAoVW5pc2FudGUp
LCBVbml2ZXJzaXR5IG9mIExhdXNhbm5lLCBTd2l0emVybGFuZC4mI3hEO1dpbGQsIFBhc2NhbC4g
RGVwYXJ0bWVudCBvZiBGYW1pbHkgTWVkaWNpbmUsIENlbnRlciBmb3IgUHJpbWFyeSBDYXJlIGFu
ZCBQdWJsaWMgSGVhbHRoIChVbmlzYW50ZSksIFVuaXZlcnNpdHkgb2YgTGF1c2FubmUsIFN3aXR6
ZXJsYW5kOyBOYXRpb25hbCBSZXNlYXJjaCBhbmQgU2FmZXR5IEluc3RpdHV0ZSAoSU5SUyksIFZh
bmRvZXV2cmUtbGVzLU5hbmN5LCBGcmFuY2UuJiN4RDtTZW5uLCBOaWNvbGFzLiBEZXBhcnRtZW50
IG9mIEZhbWlseSBNZWRpY2luZSwgQ2VudGVyIGZvciBQcmltYXJ5IENhcmUgYW5kIFB1YmxpYyBI
ZWFsdGggKFVuaXNhbnRlKSwgVW5pdmVyc2l0eSBvZiBMYXVzYW5uZSwgU3dpdHplcmxhbmQuPC9h
dXRoLWFkZHJlc3M+PHRpdGxlcz48dGl0bGU+Sm9iIHN0cmVzcyBhbW9uZyBHUHM6IGFzc29jaWF0
aW9ucyB3aXRoIHByYWN0aWNlIG9yZ2FuaXNhdGlvbiBpbiAxMSBoaWdoLWluY29tZSBjb3VudHJp
ZXM8L3RpdGxlPjxzZWNvbmRhcnktdGl0bGU+QnJpdGlzaCBKb3VybmFsIG9mIEdlbmVyYWwgUHJh
Y3RpY2U8L3NlY29uZGFyeS10aXRsZT48YWx0LXRpdGxlPkJyIEogR2VuIFByYWN0PC9hbHQtdGl0
bGU+PC90aXRsZXM+PGFsdC1wZXJpb2RpY2FsPjxmdWxsLXRpdGxlPkJyIEogR2VuIFByYWN0PC9m
dWxsLXRpdGxlPjwvYWx0LXBlcmlvZGljYWw+PHBhZ2VzPmU2NTctZTY2NzwvcGFnZXM+PHZvbHVt
ZT43MDwvdm9sdW1lPjxudW1iZXI+Njk4PC9udW1iZXI+PGtleXdvcmRzPjxrZXl3b3JkPkNyb3Nz
LVNlY3Rpb25hbCBTdHVkaWVzPC9rZXl3b3JkPjxrZXl3b3JkPkRldmVsb3BlZCBDb3VudHJpZXM8
L2tleXdvcmQ+PGtleXdvcmQ+KkdlbmVyYWwgUHJhY3RpdGlvbmVyczwva2V5d29yZD48a2V5d29y
ZD5IdW1hbnM8L2tleXdvcmQ+PGtleXdvcmQ+Sm9iIFNhdGlzZmFjdGlvbjwva2V5d29yZD48a2V5
d29yZD5NaWRkbGUgQWdlZDwva2V5d29yZD48a2V5d29yZD5PY2N1cGF0aW9uYWwgU3RyZXNzL2Vw
IFtFcGlkZW1pb2xvZ3ldPC9rZXl3b3JkPjxrZXl3b3JkPipPY2N1cGF0aW9uYWwgU3RyZXNzPC9r
ZXl3b3JkPjxrZXl3b3JkPlN1cnZleXMgYW5kIFF1ZXN0aW9ubmFpcmVzPC9rZXl3b3JkPjxrZXl3
b3JkPldvcmtsb2FkPC9rZXl3b3JkPjwva2V5d29yZHM+PGRhdGVzPjx5ZWFyPjIwMjA8L3llYXI+
PHB1Yi1kYXRlcz48ZGF0ZT4wOTwvZGF0ZT48L3B1Yi1kYXRlcz48L2RhdGVzPjxpc2JuPjE0Nzgt
NTI0MjwvaXNibj48YWNjZXNzaW9uLW51bT4zMjY2MTAxMDwvYWNjZXNzaW9uLW51bT48d29yay10
eXBlPlJlc2VhcmNoIFN1cHBvcnQsIE5vbi1VLlMuIEdvdiZhcG9zO3Q8L3dvcmstdHlwZT48dXJs
cz48cmVsYXRlZC11cmxzPjx1cmw+aHR0cHM6Ly9vdmlkc3Aub3ZpZC5jb20vb3ZpZHdlYi5jZ2k/
VD1KUyZhbXA7Q1NDPVkmYW1wO05FV1M9TiZhbXA7UEFHRT1mdWxsdGV4dCZhbXA7RD1tZWQxOCZh
bXA7QU49MzI2NjEwMTA8L3VybD48dXJsPmh0dHA6Ly9vcGVudXJsLmJpYnN5cy5uby9vcGVudXJs
P290b29sPWlub2lwaGxpYj9zaWQ9T1ZJRDptZWRsaW5lJmFtcDtpZD1wbWlkOjMyNjYxMDEwJmFt
cDtpZD1kb2k6MTAuMzM5OSUyRmJqZ3AyMFg3MTA5MDkmYW1wO2lzc249MDk2MC0xNjQzJmFtcDtp
c2JuPSZhbXA7dm9sdW1lPTcwJmFtcDtpc3N1ZT02OTgmYW1wO3NwYWdlPWU2NTcmYW1wO3BhZ2Vz
PWU2NTctZTY2NyZhbXA7ZGF0ZT0yMDIwJmFtcDt0aXRsZT1Ccml0aXNoK0pvdXJuYWwrb2YrR2Vu
ZXJhbCtQcmFjdGljZSZhbXA7YXRpdGxlPUpvYitzdHJlc3MrYW1vbmcrR1BzJTNBK2Fzc29jaWF0
aW9ucyt3aXRoK3ByYWN0aWNlK29yZ2FuaXNhdGlvbitpbisxMStoaWdoLWluY29tZStjb3VudHJp
ZXMuJmFtcDthdWxhc3Q9Q29oaWRvbiZhbXA7cGlkPSUzQ2F1dGhvciUzRUNvaGlkb24rQyUzQyUy
RmF1dGhvciUzRSUzQ0FOJTNFMzI2NjEwMTAlM0MlMkZBTiUzRSUzQ0RUJTNFSm91cm5hbCtBcnRp
Y2xlJTNDJTJGRFQlM0U8L3VybD48L3JlbGF0ZWQtdXJscz48L3VybHM+PGVsZWN0cm9uaWMtcmVz
b3VyY2UtbnVtPjEwLjMzOTkvYmpncDIwWDcxMDkwOTwvZWxlY3Ryb25pYy1yZXNvdXJjZS1udW0+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4654FD">
        <w:instrText xml:space="preserve"> ADDIN EN.CITE.DATA </w:instrText>
      </w:r>
      <w:r w:rsidR="004654FD">
        <w:fldChar w:fldCharType="end"/>
      </w:r>
      <w:r>
        <w:fldChar w:fldCharType="separate"/>
      </w:r>
      <w:r w:rsidR="004654FD">
        <w:rPr>
          <w:noProof/>
        </w:rPr>
        <w:t>(Cohidon et al., 2020)</w:t>
      </w:r>
      <w:r>
        <w:fldChar w:fldCharType="end"/>
      </w:r>
      <w:r>
        <w:t xml:space="preserve">. </w:t>
      </w:r>
      <w:r w:rsidRPr="000432A7">
        <w:t>Sverige var det andre nordiske landet inkludert, og hadde sammen med Storbritannia den høyeste andelen allmennleger som selv rapporterte om høyt stressnivå i sitt arbeid.</w:t>
      </w:r>
      <w:r>
        <w:t xml:space="preserve"> Nederland hadde lavest andel</w:t>
      </w:r>
      <w:r w:rsidR="00254097">
        <w:t xml:space="preserve"> selvrappo</w:t>
      </w:r>
      <w:r w:rsidR="00545715">
        <w:t>r</w:t>
      </w:r>
      <w:r w:rsidR="00254097">
        <w:t>tert stress</w:t>
      </w:r>
      <w:r>
        <w:t xml:space="preserve">. En oppfølgende undersøkelse i 2022 med de samme landene (utenom Norge) viste omtrent samme rekkefølge </w:t>
      </w:r>
      <w:r>
        <w:fldChar w:fldCharType="begin"/>
      </w:r>
      <w:r w:rsidR="00A27571">
        <w:instrText xml:space="preserve"> ADDIN EN.CITE &lt;EndNote&gt;&lt;Cite&gt;&lt;Author&gt;Munira Z. Gunja&lt;/Author&gt;&lt;Year&gt;2022&lt;/Year&gt;&lt;RecNum&gt;769&lt;/RecNum&gt;&lt;DisplayText&gt;(Munira Z. Gunja et al., 2022)&lt;/DisplayText&gt;&lt;record&gt;&lt;rec-number&gt;769&lt;/rec-number&gt;&lt;foreign-keys&gt;&lt;key app="EN" db-id="95tpr2tp6r9xwoea9rb5wdsz5ds5xeddteew" timestamp="1680069511"&gt;769&lt;/key&gt;&lt;/foreign-keys&gt;&lt;ref-type name="Web Page"&gt;12&lt;/ref-type&gt;&lt;contributors&gt;&lt;authors&gt;&lt;author&gt;Munira Z. Gunja, &lt;/author&gt;&lt;author&gt;Evan D. Gumas, &lt;/author&gt;&lt;author&gt;Reginald D. Williams II, &lt;/author&gt;&lt;author&gt;Michelle M. Doty, &lt;/author&gt;&lt;author&gt;Arnav Shah, &lt;/author&gt;&lt;author&gt;Katharine Fields&lt;/author&gt;&lt;/authors&gt;&lt;/contributors&gt;&lt;titles&gt;&lt;title&gt;Stressed out and burned out: The global primary care crisis: Findings from the 2022 International Health Policy Survey of Primary Care Physicians&lt;/title&gt;&lt;/titles&gt;&lt;number&gt;09.03.2023&lt;/number&gt;&lt;dates&gt;&lt;year&gt;2022&lt;/year&gt;&lt;/dates&gt;&lt;pub-location&gt;New York&lt;/pub-location&gt;&lt;publisher&gt;The Commonwealth Fund&lt;/publisher&gt;&lt;urls&gt;&lt;/urls&gt;&lt;/record&gt;&lt;/Cite&gt;&lt;/EndNote&gt;</w:instrText>
      </w:r>
      <w:r>
        <w:fldChar w:fldCharType="separate"/>
      </w:r>
      <w:r>
        <w:rPr>
          <w:noProof/>
        </w:rPr>
        <w:t>(Munira Z. Gunja et al., 2022)</w:t>
      </w:r>
      <w:r>
        <w:fldChar w:fldCharType="end"/>
      </w:r>
      <w:r>
        <w:t>. Angitt nivå av stress hadde imidlertid økt</w:t>
      </w:r>
      <w:r w:rsidR="00545715">
        <w:t>,</w:t>
      </w:r>
      <w:r>
        <w:t xml:space="preserve"> og </w:t>
      </w:r>
      <w:r w:rsidR="00BF689C">
        <w:t xml:space="preserve">yngre </w:t>
      </w:r>
      <w:r>
        <w:t>leger</w:t>
      </w:r>
      <w:r w:rsidR="00545715">
        <w:t xml:space="preserve"> </w:t>
      </w:r>
      <w:r>
        <w:t xml:space="preserve">opplevde gjennomgående mer stress i jobben enn </w:t>
      </w:r>
      <w:r w:rsidR="00BF689C">
        <w:t xml:space="preserve">eldre. </w:t>
      </w:r>
      <w:r w:rsidR="00545715">
        <w:t>Koronap</w:t>
      </w:r>
      <w:r>
        <w:t xml:space="preserve">andemien </w:t>
      </w:r>
      <w:r w:rsidR="00644CBE">
        <w:t>antas</w:t>
      </w:r>
      <w:r>
        <w:t xml:space="preserve"> å ha bidratt til forverret stress i arbeidet.</w:t>
      </w:r>
    </w:p>
    <w:p w14:paraId="59D95D11" w14:textId="0BE9471C" w:rsidR="00D9107F" w:rsidRDefault="003C1895" w:rsidP="007B40C1">
      <w:pPr>
        <w:jc w:val="both"/>
        <w:rPr>
          <w:lang w:val="nb"/>
        </w:rPr>
      </w:pPr>
      <w:r>
        <w:rPr>
          <w:lang w:val="nb"/>
        </w:rPr>
        <w:t xml:space="preserve">I England ble det vist en klar økning i konsultasjoner per innbygger, gjennomsnittlig konsultasjonsvarighet og total arbeidsbelastning knyttet til pasientrettet klinisk arbeid i allmennpraksis fra 2007 til 2014 </w:t>
      </w:r>
      <w:r>
        <w:rPr>
          <w:lang w:val="nb"/>
        </w:rPr>
        <w:fldChar w:fldCharType="begin">
          <w:fldData xml:space="preserve">PEVuZE5vdGU+PENpdGU+PEF1dGhvcj5Ib2JiczwvQXV0aG9yPjxZZWFyPjIwMTY8L1llYXI+PFJl
Y051bT45MzwvUmVjTnVtPjxEaXNwbGF5VGV4dD4oSG9iYnMgZXQgYWwuLCAyMDE2KTwvRGlzcGxh
eVRleHQ+PHJlY29yZD48cmVjLW51bWJlcj45MzwvcmVjLW51bWJlcj48Zm9yZWlnbi1rZXlzPjxr
ZXkgYXBwPSJFTiIgZGItaWQ9Ijk1dHByMnRwNnI5eHdvZWE5cmI1d2RzejVkczV4ZWRkdGVldyIg
dGltZXN0YW1wPSIxNjgwMDY5NTExIj45Mzwva2V5PjwvZm9yZWlnbi1rZXlzPjxyZWYtdHlwZSBu
YW1lPSJKb3VybmFsIEFydGljbGUiPjE3PC9yZWYtdHlwZT48Y29udHJpYnV0b3JzPjxhdXRob3Jz
PjxhdXRob3I+SG9iYnMsIEYuIEQuIFIuPC9hdXRob3I+PGF1dGhvcj5CYW5raGVhZCwgQy48L2F1
dGhvcj48YXV0aG9yPk11a2h0YXIsIFQuPC9hdXRob3I+PGF1dGhvcj5TdGV2ZW5zLCBTLjwvYXV0
aG9yPjxhdXRob3I+UGVyZXJhLVNhbGF6YXIsIFIuPC9hdXRob3I+PGF1dGhvcj5Ib2x0LCBULjwv
YXV0aG9yPjxhdXRob3I+U2FsaXNidXJ5LCBDLjwvYXV0aG9yPjwvYXV0aG9ycz48L2NvbnRyaWJ1
dG9ycz48YXV0aC1hZGRyZXNzPk51ZmZpZWxkIERlcGFydG1lbnQgb2YgUHJpbWFyeSBDYXJlIEhl
YWx0aCBTY2llbmNlcywgUmFkY2xpZmZlIFByaW1hcnkgQ2FyZSBCdWlsZGluZywgUmFkY2xpZmZl
IE9ic2VydmF0b3J5IFF1YXJ0ZXIsIE94Zm9yZCwgVUsuIEVsZWN0cm9uaWMgYWRkcmVzczogcmlj
aGFyZC5ob2Jic0BwaGMub3guYWMudWsuJiN4RDtOdWZmaWVsZCBEZXBhcnRtZW50IG9mIFByaW1h
cnkgQ2FyZSBIZWFsdGggU2NpZW5jZXMsIFJhZGNsaWZmZSBQcmltYXJ5IENhcmUgQnVpbGRpbmcs
IFJhZGNsaWZmZSBPYnNlcnZhdG9yeSBRdWFydGVyLCBPeGZvcmQsIFVLLiYjeEQ7Q2VudHJlIGZv
ciBBY2FkZW1pYyBQcmltYXJ5IENhcmUsIFNjaG9vbCBvZiBTb2NpYWwgYW5kIENvbW11bml0eSBN
ZWRpY2luZSwgQ2FueW5nZSBIYWxsLCBCcmlzdG9sLCBVSy48L2F1dGgtYWRkcmVzcz48dGl0bGVz
Pjx0aXRsZT5DbGluaWNhbCB3b3JrbG9hZCBpbiBVSyBwcmltYXJ5IGNhcmU6IGEgcmV0cm9zcGVj
dGl2ZSBhbmFseXNpcyBvZiAxMDAgbWlsbGlvbiBjb25zdWx0YXRpb25zIGluIEVuZ2xhbmQsIDIw
MDctMTQ8L3RpdGxlPjxzZWNvbmRhcnktdGl0bGU+TGFuY2V0PC9zZWNvbmRhcnktdGl0bGU+PC90
aXRsZXM+PHBlcmlvZGljYWw+PGZ1bGwtdGl0bGU+TGFuY2V0PC9mdWxsLXRpdGxlPjwvcGVyaW9k
aWNhbD48cGFnZXM+MjMyMy0yMzMwPC9wYWdlcz48dm9sdW1lPjM4Nzwvdm9sdW1lPjxudW1iZXI+
MTAwMzU8L251bWJlcj48ZWRpdGlvbj4yMDE2MDQwNTwvZWRpdGlvbj48a2V5d29yZHM+PGtleXdv
cmQ+QWRvbGVzY2VudDwva2V5d29yZD48a2V5d29yZD5BZHVsdDwva2V5d29yZD48a2V5d29yZD5B
Z2VkPC9rZXl3b3JkPjxrZXl3b3JkPkFnZWQsIDgwIGFuZCBvdmVyPC9rZXl3b3JkPjxrZXl3b3Jk
PkNoaWxkPC9rZXl3b3JkPjxrZXl3b3JkPkNoaWxkLCBQcmVzY2hvb2w8L2tleXdvcmQ+PGtleXdv
cmQ+RW5nbGFuZDwva2V5d29yZD48a2V5d29yZD5GZW1hbGU8L2tleXdvcmQ+PGtleXdvcmQ+R2Vu
ZXJhbCBQcmFjdGljZS8qc3RhdGlzdGljcyAmYW1wOyBudW1lcmljYWwgZGF0YTwva2V5d29yZD48
a2V5d29yZD5IdW1hbnM8L2tleXdvcmQ+PGtleXdvcmQ+SW5mYW50PC9rZXl3b3JkPjxrZXl3b3Jk
PkluZmFudCwgTmV3Ym9ybjwva2V5d29yZD48a2V5d29yZD5NYWxlPC9rZXl3b3JkPjxrZXl3b3Jk
Pk1pZGRsZSBBZ2VkPC9rZXl3b3JkPjxrZXl3b3JkPlBhdGllbnQgQWNjZXB0YW5jZSBvZiBIZWFs
dGggQ2FyZS8qc3RhdGlzdGljcyAmYW1wOyBudW1lcmljYWwgZGF0YTwva2V5d29yZD48a2V5d29y
ZD5SZXRyb3NwZWN0aXZlIFN0dWRpZXM8L2tleXdvcmQ+PGtleXdvcmQ+V29ya2xvYWQvKnN0YXRp
c3RpY3MgJmFtcDsgbnVtZXJpY2FsIGRhdGE8L2tleXdvcmQ+PGtleXdvcmQ+WW91bmcgQWR1bHQ8
L2tleXdvcmQ+PC9rZXl3b3Jkcz48ZGF0ZXM+PHllYXI+MjAxNjwveWVhcj48cHViLWRhdGVzPjxk
YXRlPkp1biA0PC9kYXRlPjwvcHViLWRhdGVzPjwvZGF0ZXM+PGlzYm4+MDE0MC02NzM2IChQcmlu
dCkmI3hEOzAxNDAtNjczNjwvaXNibj48YWNjZXNzaW9uLW51bT4yNzA1OTg4ODwvYWNjZXNzaW9u
LW51bT48dXJscz48L3VybHM+PGN1c3RvbTI+UE1DNDg5OTQyMjwvY3VzdG9tMj48cmVtb3RlLWRh
dGFiYXNlLXByb3ZpZGVyPk5MTTwvcmVtb3RlLWRhdGFiYXNlLXByb3ZpZGVyPjxsYW5ndWFnZT5l
bmc8L2xhbmd1YWdlPjwvcmVjb3JkPjwvQ2l0ZT48L0VuZE5vdGU+AG==
</w:fldData>
        </w:fldChar>
      </w:r>
      <w:r w:rsidR="004654FD">
        <w:rPr>
          <w:lang w:val="nb"/>
        </w:rPr>
        <w:instrText xml:space="preserve"> ADDIN EN.CITE </w:instrText>
      </w:r>
      <w:r w:rsidR="004654FD">
        <w:rPr>
          <w:lang w:val="nb"/>
        </w:rPr>
        <w:fldChar w:fldCharType="begin">
          <w:fldData xml:space="preserve">PEVuZE5vdGU+PENpdGU+PEF1dGhvcj5Ib2JiczwvQXV0aG9yPjxZZWFyPjIwMTY8L1llYXI+PFJl
Y051bT45MzwvUmVjTnVtPjxEaXNwbGF5VGV4dD4oSG9iYnMgZXQgYWwuLCAyMDE2KTwvRGlzcGxh
eVRleHQ+PHJlY29yZD48cmVjLW51bWJlcj45MzwvcmVjLW51bWJlcj48Zm9yZWlnbi1rZXlzPjxr
ZXkgYXBwPSJFTiIgZGItaWQ9Ijk1dHByMnRwNnI5eHdvZWE5cmI1d2RzejVkczV4ZWRkdGVldyIg
dGltZXN0YW1wPSIxNjgwMDY5NTExIj45Mzwva2V5PjwvZm9yZWlnbi1rZXlzPjxyZWYtdHlwZSBu
YW1lPSJKb3VybmFsIEFydGljbGUiPjE3PC9yZWYtdHlwZT48Y29udHJpYnV0b3JzPjxhdXRob3Jz
PjxhdXRob3I+SG9iYnMsIEYuIEQuIFIuPC9hdXRob3I+PGF1dGhvcj5CYW5raGVhZCwgQy48L2F1
dGhvcj48YXV0aG9yPk11a2h0YXIsIFQuPC9hdXRob3I+PGF1dGhvcj5TdGV2ZW5zLCBTLjwvYXV0
aG9yPjxhdXRob3I+UGVyZXJhLVNhbGF6YXIsIFIuPC9hdXRob3I+PGF1dGhvcj5Ib2x0LCBULjwv
YXV0aG9yPjxhdXRob3I+U2FsaXNidXJ5LCBDLjwvYXV0aG9yPjwvYXV0aG9ycz48L2NvbnRyaWJ1
dG9ycz48YXV0aC1hZGRyZXNzPk51ZmZpZWxkIERlcGFydG1lbnQgb2YgUHJpbWFyeSBDYXJlIEhl
YWx0aCBTY2llbmNlcywgUmFkY2xpZmZlIFByaW1hcnkgQ2FyZSBCdWlsZGluZywgUmFkY2xpZmZl
IE9ic2VydmF0b3J5IFF1YXJ0ZXIsIE94Zm9yZCwgVUsuIEVsZWN0cm9uaWMgYWRkcmVzczogcmlj
aGFyZC5ob2Jic0BwaGMub3guYWMudWsuJiN4RDtOdWZmaWVsZCBEZXBhcnRtZW50IG9mIFByaW1h
cnkgQ2FyZSBIZWFsdGggU2NpZW5jZXMsIFJhZGNsaWZmZSBQcmltYXJ5IENhcmUgQnVpbGRpbmcs
IFJhZGNsaWZmZSBPYnNlcnZhdG9yeSBRdWFydGVyLCBPeGZvcmQsIFVLLiYjeEQ7Q2VudHJlIGZv
ciBBY2FkZW1pYyBQcmltYXJ5IENhcmUsIFNjaG9vbCBvZiBTb2NpYWwgYW5kIENvbW11bml0eSBN
ZWRpY2luZSwgQ2FueW5nZSBIYWxsLCBCcmlzdG9sLCBVSy48L2F1dGgtYWRkcmVzcz48dGl0bGVz
Pjx0aXRsZT5DbGluaWNhbCB3b3JrbG9hZCBpbiBVSyBwcmltYXJ5IGNhcmU6IGEgcmV0cm9zcGVj
dGl2ZSBhbmFseXNpcyBvZiAxMDAgbWlsbGlvbiBjb25zdWx0YXRpb25zIGluIEVuZ2xhbmQsIDIw
MDctMTQ8L3RpdGxlPjxzZWNvbmRhcnktdGl0bGU+TGFuY2V0PC9zZWNvbmRhcnktdGl0bGU+PC90
aXRsZXM+PHBlcmlvZGljYWw+PGZ1bGwtdGl0bGU+TGFuY2V0PC9mdWxsLXRpdGxlPjwvcGVyaW9k
aWNhbD48cGFnZXM+MjMyMy0yMzMwPC9wYWdlcz48dm9sdW1lPjM4Nzwvdm9sdW1lPjxudW1iZXI+
MTAwMzU8L251bWJlcj48ZWRpdGlvbj4yMDE2MDQwNTwvZWRpdGlvbj48a2V5d29yZHM+PGtleXdv
cmQ+QWRvbGVzY2VudDwva2V5d29yZD48a2V5d29yZD5BZHVsdDwva2V5d29yZD48a2V5d29yZD5B
Z2VkPC9rZXl3b3JkPjxrZXl3b3JkPkFnZWQsIDgwIGFuZCBvdmVyPC9rZXl3b3JkPjxrZXl3b3Jk
PkNoaWxkPC9rZXl3b3JkPjxrZXl3b3JkPkNoaWxkLCBQcmVzY2hvb2w8L2tleXdvcmQ+PGtleXdv
cmQ+RW5nbGFuZDwva2V5d29yZD48a2V5d29yZD5GZW1hbGU8L2tleXdvcmQ+PGtleXdvcmQ+R2Vu
ZXJhbCBQcmFjdGljZS8qc3RhdGlzdGljcyAmYW1wOyBudW1lcmljYWwgZGF0YTwva2V5d29yZD48
a2V5d29yZD5IdW1hbnM8L2tleXdvcmQ+PGtleXdvcmQ+SW5mYW50PC9rZXl3b3JkPjxrZXl3b3Jk
PkluZmFudCwgTmV3Ym9ybjwva2V5d29yZD48a2V5d29yZD5NYWxlPC9rZXl3b3JkPjxrZXl3b3Jk
Pk1pZGRsZSBBZ2VkPC9rZXl3b3JkPjxrZXl3b3JkPlBhdGllbnQgQWNjZXB0YW5jZSBvZiBIZWFs
dGggQ2FyZS8qc3RhdGlzdGljcyAmYW1wOyBudW1lcmljYWwgZGF0YTwva2V5d29yZD48a2V5d29y
ZD5SZXRyb3NwZWN0aXZlIFN0dWRpZXM8L2tleXdvcmQ+PGtleXdvcmQ+V29ya2xvYWQvKnN0YXRp
c3RpY3MgJmFtcDsgbnVtZXJpY2FsIGRhdGE8L2tleXdvcmQ+PGtleXdvcmQ+WW91bmcgQWR1bHQ8
L2tleXdvcmQ+PC9rZXl3b3Jkcz48ZGF0ZXM+PHllYXI+MjAxNjwveWVhcj48cHViLWRhdGVzPjxk
YXRlPkp1biA0PC9kYXRlPjwvcHViLWRhdGVzPjwvZGF0ZXM+PGlzYm4+MDE0MC02NzM2IChQcmlu
dCkmI3hEOzAxNDAtNjczNjwvaXNibj48YWNjZXNzaW9uLW51bT4yNzA1OTg4ODwvYWNjZXNzaW9u
LW51bT48dXJscz48L3VybHM+PGN1c3RvbTI+UE1DNDg5OTQyMjwvY3VzdG9tMj48cmVtb3RlLWRh
dGFiYXNlLXByb3ZpZGVyPk5MTTwvcmVtb3RlLWRhdGFiYXNlLXByb3ZpZGVyPjxsYW5ndWFnZT5l
bmc8L2xhbmd1YWdlPjwvcmVjb3JkPjwvQ2l0ZT48L0VuZE5vdGU+AG==
</w:fldData>
        </w:fldChar>
      </w:r>
      <w:r w:rsidR="004654FD">
        <w:rPr>
          <w:lang w:val="nb"/>
        </w:rPr>
        <w:instrText xml:space="preserve"> ADDIN EN.CITE.DATA </w:instrText>
      </w:r>
      <w:r w:rsidR="004654FD">
        <w:rPr>
          <w:lang w:val="nb"/>
        </w:rPr>
      </w:r>
      <w:r w:rsidR="004654FD">
        <w:rPr>
          <w:lang w:val="nb"/>
        </w:rPr>
        <w:fldChar w:fldCharType="end"/>
      </w:r>
      <w:r>
        <w:rPr>
          <w:lang w:val="nb"/>
        </w:rPr>
      </w:r>
      <w:r>
        <w:rPr>
          <w:lang w:val="nb"/>
        </w:rPr>
        <w:fldChar w:fldCharType="separate"/>
      </w:r>
      <w:r>
        <w:rPr>
          <w:noProof/>
          <w:lang w:val="nb"/>
        </w:rPr>
        <w:t>(Hobbs et al., 2016)</w:t>
      </w:r>
      <w:r>
        <w:rPr>
          <w:lang w:val="nb"/>
        </w:rPr>
        <w:fldChar w:fldCharType="end"/>
      </w:r>
      <w:r>
        <w:rPr>
          <w:lang w:val="nb"/>
        </w:rPr>
        <w:t xml:space="preserve">. En undersøkelse fra 2015 </w:t>
      </w:r>
      <w:r>
        <w:rPr>
          <w:lang w:val="nb"/>
        </w:rPr>
        <w:fldChar w:fldCharType="begin"/>
      </w:r>
      <w:r w:rsidR="00A27571">
        <w:rPr>
          <w:lang w:val="nb"/>
        </w:rPr>
        <w:instrText xml:space="preserve"> ADDIN EN.CITE &lt;EndNote&gt;&lt;Cite&gt;&lt;Author&gt;Croxson&lt;/Author&gt;&lt;Year&gt;2017&lt;/Year&gt;&lt;RecNum&gt;297&lt;/RecNum&gt;&lt;DisplayText&gt;(Croxson et al., 2017)&lt;/DisplayText&gt;&lt;record&gt;&lt;rec-number&gt;297&lt;/rec-number&gt;&lt;foreign-keys&gt;&lt;key app="EN" db-id="95tpr2tp6r9xwoea9rb5wdsz5ds5xeddteew" timestamp="1680069511"&gt;297&lt;/key&gt;&lt;/foreign-keys&gt;&lt;ref-type name="Journal Article"&gt;17&lt;/ref-type&gt;&lt;contributors&gt;&lt;authors&gt;&lt;author&gt;Croxson, Caroline HD&lt;/author&gt;&lt;author&gt;Ashdown, Helen F&lt;/author&gt;&lt;author&gt;Hobbs, FD Richard&lt;/author&gt;&lt;/authors&gt;&lt;/contributors&gt;&lt;titles&gt;&lt;title&gt;GPs’ perceptions of workload in England: a qualitative interview study&lt;/title&gt;&lt;secondary-title&gt;British Journal of General Practice&lt;/secondary-title&gt;&lt;/titles&gt;&lt;pages&gt;e138-e147&lt;/pages&gt;&lt;volume&gt;67&lt;/volume&gt;&lt;number&gt;655&lt;/number&gt;&lt;dates&gt;&lt;year&gt;2017&lt;/year&gt;&lt;/dates&gt;&lt;urls&gt;&lt;/urls&gt;&lt;electronic-resource-num&gt;10.3399/bjgp17X688849&lt;/electronic-resource-num&gt;&lt;/record&gt;&lt;/Cite&gt;&lt;/EndNote&gt;</w:instrText>
      </w:r>
      <w:r>
        <w:rPr>
          <w:lang w:val="nb"/>
        </w:rPr>
        <w:fldChar w:fldCharType="separate"/>
      </w:r>
      <w:r w:rsidR="00856689">
        <w:rPr>
          <w:noProof/>
          <w:lang w:val="nb"/>
        </w:rPr>
        <w:t>(Croxson et al., 2017)</w:t>
      </w:r>
      <w:r>
        <w:rPr>
          <w:lang w:val="nb"/>
        </w:rPr>
        <w:fldChar w:fldCharType="end"/>
      </w:r>
      <w:r>
        <w:rPr>
          <w:lang w:val="nb"/>
        </w:rPr>
        <w:t xml:space="preserve"> bekreftet at legene opplevde lengre og mer intense arbeidsdager. Å være fulltids partner </w:t>
      </w:r>
      <w:r>
        <w:rPr>
          <w:lang w:val="nb"/>
        </w:rPr>
        <w:lastRenderedPageBreak/>
        <w:t>i en praksis ble ansett å være svært vanskelig, og situasjonen var ikke ansett som bærekraftig, spesielt med tanke på personellmangel. Økt a</w:t>
      </w:r>
      <w:r w:rsidRPr="0077301E">
        <w:rPr>
          <w:lang w:val="nb"/>
        </w:rPr>
        <w:t>rbeidsbelastning ble i hovedsak knyttet til fire temaer: økte pasientbehov og forventninger</w:t>
      </w:r>
      <w:r w:rsidR="00545715">
        <w:rPr>
          <w:lang w:val="nb"/>
        </w:rPr>
        <w:t>,</w:t>
      </w:r>
      <w:r w:rsidRPr="0077301E">
        <w:rPr>
          <w:lang w:val="nb"/>
        </w:rPr>
        <w:t xml:space="preserve"> endringer i forholdet mellom første</w:t>
      </w:r>
      <w:r w:rsidR="00545715">
        <w:rPr>
          <w:lang w:val="nb"/>
        </w:rPr>
        <w:t>-</w:t>
      </w:r>
      <w:r w:rsidRPr="0077301E">
        <w:rPr>
          <w:lang w:val="nb"/>
        </w:rPr>
        <w:t xml:space="preserve"> og andrelinjetjenesten, byråkrati og ressurser, og fordeling av arbeidsbyrde innen praksisen. </w:t>
      </w:r>
      <w:r>
        <w:rPr>
          <w:lang w:val="nb"/>
        </w:rPr>
        <w:t xml:space="preserve">Det er en tydelig utvikling i statistikken at et økende antall allmennpraktikere i England ikke jobber fulltid og at det blir færre partnere </w:t>
      </w:r>
      <w:r w:rsidR="00545715">
        <w:rPr>
          <w:lang w:val="nb"/>
        </w:rPr>
        <w:t>i</w:t>
      </w:r>
      <w:r>
        <w:rPr>
          <w:lang w:val="nb"/>
        </w:rPr>
        <w:t xml:space="preserve"> allmennlegepraksis i perioden 2017</w:t>
      </w:r>
      <w:r w:rsidR="00545715">
        <w:rPr>
          <w:lang w:val="nb"/>
        </w:rPr>
        <w:t>–</w:t>
      </w:r>
      <w:r>
        <w:rPr>
          <w:lang w:val="nb"/>
        </w:rPr>
        <w:t xml:space="preserve">2022 </w:t>
      </w:r>
      <w:r w:rsidR="00C812CE">
        <w:rPr>
          <w:lang w:val="nb"/>
        </w:rPr>
        <w:fldChar w:fldCharType="begin"/>
      </w:r>
      <w:r w:rsidR="00A27571">
        <w:rPr>
          <w:lang w:val="nb"/>
        </w:rPr>
        <w:instrText xml:space="preserve"> ADDIN EN.CITE &lt;EndNote&gt;&lt;Cite&gt;&lt;Author&gt;British Medical Association&lt;/Author&gt;&lt;Year&gt;2023&lt;/Year&gt;&lt;RecNum&gt;651&lt;/RecNum&gt;&lt;DisplayText&gt;(British Medical Association, 2023b)&lt;/DisplayText&gt;&lt;record&gt;&lt;rec-number&gt;651&lt;/rec-number&gt;&lt;foreign-keys&gt;&lt;key app="EN" db-id="95tpr2tp6r9xwoea9rb5wdsz5ds5xeddteew" timestamp="1680069511"&gt;651&lt;/key&gt;&lt;/foreign-keys&gt;&lt;ref-type name="Web Page"&gt;12&lt;/ref-type&gt;&lt;contributors&gt;&lt;authors&gt;&lt;author&gt;British Medical Association,&lt;/author&gt;&lt;/authors&gt;&lt;/contributors&gt;&lt;titles&gt;&lt;title&gt;Pressures in general practice data analysis&lt;/title&gt;&lt;/titles&gt;&lt;number&gt;20. mars 2023&lt;/number&gt;&lt;dates&gt;&lt;year&gt;2023&lt;/year&gt;&lt;pub-dates&gt;&lt;date&gt;26 February 2023&lt;/date&gt;&lt;/pub-dates&gt;&lt;/dates&gt;&lt;pub-location&gt;London&lt;/pub-location&gt;&lt;publisher&gt;British Medical Association (BMA)&lt;/publisher&gt;&lt;urls&gt;&lt;/urls&gt;&lt;/record&gt;&lt;/Cite&gt;&lt;/EndNote&gt;</w:instrText>
      </w:r>
      <w:r w:rsidR="00C812CE">
        <w:rPr>
          <w:lang w:val="nb"/>
        </w:rPr>
        <w:fldChar w:fldCharType="separate"/>
      </w:r>
      <w:r w:rsidR="00E94EA5">
        <w:rPr>
          <w:noProof/>
          <w:lang w:val="nb"/>
        </w:rPr>
        <w:t>(British Medical Association, 2023b)</w:t>
      </w:r>
      <w:r w:rsidR="00C812CE">
        <w:rPr>
          <w:lang w:val="nb"/>
        </w:rPr>
        <w:fldChar w:fldCharType="end"/>
      </w:r>
      <w:r>
        <w:rPr>
          <w:lang w:val="nb"/>
        </w:rPr>
        <w:t>.</w:t>
      </w:r>
    </w:p>
    <w:p w14:paraId="78273C16" w14:textId="0166A520" w:rsidR="003C1895" w:rsidRDefault="003C1895" w:rsidP="007B40C1">
      <w:pPr>
        <w:jc w:val="both"/>
        <w:rPr>
          <w:lang w:val="nb"/>
        </w:rPr>
      </w:pPr>
      <w:r w:rsidRPr="00A94A03">
        <w:rPr>
          <w:lang w:val="nb"/>
        </w:rPr>
        <w:t xml:space="preserve">Etter innføringen av den nye </w:t>
      </w:r>
      <w:r>
        <w:rPr>
          <w:lang w:val="nb"/>
        </w:rPr>
        <w:t xml:space="preserve">nasjonale </w:t>
      </w:r>
      <w:r w:rsidRPr="00A94A03">
        <w:rPr>
          <w:lang w:val="nb"/>
        </w:rPr>
        <w:t xml:space="preserve">kontrakten </w:t>
      </w:r>
      <w:r>
        <w:rPr>
          <w:lang w:val="nb"/>
        </w:rPr>
        <w:t xml:space="preserve">for allmennpraksis </w:t>
      </w:r>
      <w:r w:rsidRPr="00A94A03">
        <w:rPr>
          <w:lang w:val="nb"/>
        </w:rPr>
        <w:t xml:space="preserve">i Skottland </w:t>
      </w:r>
      <w:r>
        <w:rPr>
          <w:lang w:val="nb"/>
        </w:rPr>
        <w:t>(fra 2018)</w:t>
      </w:r>
      <w:r w:rsidR="005444F8">
        <w:rPr>
          <w:lang w:val="nb"/>
        </w:rPr>
        <w:t>,</w:t>
      </w:r>
      <w:r>
        <w:rPr>
          <w:lang w:val="nb"/>
        </w:rPr>
        <w:t xml:space="preserve"> </w:t>
      </w:r>
      <w:r w:rsidRPr="00A94A03">
        <w:rPr>
          <w:lang w:val="nb"/>
        </w:rPr>
        <w:t xml:space="preserve">rapporterte fastleger i Skottland </w:t>
      </w:r>
      <w:r>
        <w:rPr>
          <w:lang w:val="nb"/>
        </w:rPr>
        <w:t xml:space="preserve">klart </w:t>
      </w:r>
      <w:r w:rsidRPr="00A94A03">
        <w:rPr>
          <w:lang w:val="nb"/>
        </w:rPr>
        <w:t xml:space="preserve">bedre </w:t>
      </w:r>
      <w:r>
        <w:rPr>
          <w:lang w:val="nb"/>
        </w:rPr>
        <w:t xml:space="preserve">tilfredshet med arbeidet </w:t>
      </w:r>
      <w:r w:rsidRPr="00A94A03">
        <w:rPr>
          <w:lang w:val="nb"/>
        </w:rPr>
        <w:t xml:space="preserve">og </w:t>
      </w:r>
      <w:r>
        <w:rPr>
          <w:lang w:val="nb"/>
        </w:rPr>
        <w:t xml:space="preserve">færre ønsket redusert </w:t>
      </w:r>
      <w:r w:rsidRPr="00A94A03">
        <w:rPr>
          <w:lang w:val="nb"/>
        </w:rPr>
        <w:t>arbeids</w:t>
      </w:r>
      <w:r>
        <w:rPr>
          <w:lang w:val="nb"/>
        </w:rPr>
        <w:t>tid når man sammenlignet med leger i</w:t>
      </w:r>
      <w:r w:rsidRPr="00A94A03">
        <w:rPr>
          <w:lang w:val="nb"/>
        </w:rPr>
        <w:t xml:space="preserve"> England </w:t>
      </w:r>
      <w:r>
        <w:rPr>
          <w:lang w:val="nb"/>
        </w:rPr>
        <w:fldChar w:fldCharType="begin">
          <w:fldData xml:space="preserve">PEVuZE5vdGU+PENpdGU+PEF1dGhvcj5IYXllczwvQXV0aG9yPjxZZWFyPjIwMjA8L1llYXI+PFJl
Y051bT44OTE8L1JlY051bT48RGlzcGxheVRleHQ+KEhheWVzIGV0IGFsLiwgMjAyMCk8L0Rpc3Bs
YXlUZXh0PjxyZWNvcmQ+PHJlYy1udW1iZXI+ODkxPC9yZWMtbnVtYmVyPjxmb3JlaWduLWtleXM+
PGtleSBhcHA9IkVOIiBkYi1pZD0iOTV0cHIydHA2cjl4d29lYTlyYjV3ZHN6NWRzNXhlZGR0ZWV3
IiB0aW1lc3RhbXA9IjE2ODAwNjk1MTEiPjg5MTwva2V5PjwvZm9yZWlnbi1rZXlzPjxyZWYtdHlw
ZSBuYW1lPSJKb3VybmFsIEFydGljbGUiPjE3PC9yZWYtdHlwZT48Y29udHJpYnV0b3JzPjxhdXRo
b3JzPjxhdXRob3I+SGF5ZXMsIEguPC9hdXRob3I+PGF1dGhvcj5HaWJzb24sIEouPC9hdXRob3I+
PGF1dGhvcj5GaXR6cGF0cmljaywgQi48L2F1dGhvcj48YXV0aG9yPkNoZWNrbGFuZCwgSy48L2F1
dGhvcj48YXV0aG9yPkd1dGhyaWUsIEIuPC9hdXRob3I+PGF1dGhvcj5NZXJjZXIsIFMuIFcuPC9h
dXRob3I+PC9hdXRob3JzPjwvY29udHJpYnV0b3JzPjxhdXRoLWFkZHJlc3M+SGVhbHRoIE9yZ2Fu
aXNhdGlvbiwgUG9saWN5IGFuZCBFY29ub21pY3MgUmVzZWFyY2ggR3JvdXAsIENlbnRyZSBmb3Ig
UHJpbWFyeSBDYXJlICZhbXA7IEhlYWx0aCBTZXJ2aWNlcyBSZXNlYXJjaCwgU2Nob29sIG9mIEhl
YWx0aCBTY2llbmNlcywgVW5pdmVyc2l0eSBvZiBNYW5jaGVzdGVyLCBNYW5jaGVzdGVyLCBVSy4m
I3hEO0luc3RpdHV0ZSBvZiBIZWFsdGggYW5kIFdlbGxiZWluZywgVW5pdmVyc2l0eSBvZiBHbGFz
Z293LCBHbGFzZ293LCBVSy4mI3hEO1VzaGVyIEluc3RpdHV0ZSwgQ29sbGVnZSBvZiBNZWRpY2lu
ZSBhbmQgVmV0ZXJpbmFyeSBNZWRpY2luZSwgVGhlIFVuaXZlcnNpdHkgb2YgRWRpbmJ1cmdoLCBF
ZGluYnVyZ2gsIFVLLiYjeEQ7VXNoZXIgSW5zdGl0dXRlLCBDb2xsZWdlIG9mIE1lZGljaW5lIGFu
ZCBWZXRlcmluYXJ5IE1lZGljaW5lLCBUaGUgVW5pdmVyc2l0eSBvZiBFZGluYnVyZ2gsIEVkaW5i
dXJnaCwgVUsgc3Rld2FydC5tZXJjZXJAZWQuYWMudWsuPC9hdXRoLWFkZHJlc3M+PHRpdGxlcz48
dGl0bGU+V29ya2luZyBsaXZlcyBvZiBHUHMgaW4gU2NvdGxhbmQgYW5kIEVuZ2xhbmQ6IGNyb3Nz
LXNlY3Rpb25hbCBhbmFseXNpcyBvZiBuYXRpb25hbCBzdXJ2ZXlzPC90aXRsZT48c2Vjb25kYXJ5
LXRpdGxlPkJNSiBPcGVuPC9zZWNvbmRhcnktdGl0bGU+PC90aXRsZXM+PHBlcmlvZGljYWw+PGZ1
bGwtdGl0bGU+Qk1KIE9wZW48L2Z1bGwtdGl0bGU+PGFiYnItMT5CTUogT3BlbjwvYWJici0xPjwv
cGVyaW9kaWNhbD48cGFnZXM+ZTA0MjIzNjwvcGFnZXM+PHZvbHVtZT4xMDwvdm9sdW1lPjxudW1i
ZXI+MTA8L251bWJlcj48ZWRpdGlvbj4yMDIwMTAzMDwvZWRpdGlvbj48a2V5d29yZHM+PGtleXdv
cmQ+QXR0aXR1ZGUgb2YgSGVhbHRoIFBlcnNvbm5lbDwva2V5d29yZD48a2V5d29yZD5Dcm9zcy1T
ZWN0aW9uYWwgU3R1ZGllczwva2V5d29yZD48a2V5d29yZD5FbmdsYW5kPC9rZXl3b3JkPjxrZXl3
b3JkPipHZW5lcmFsIFByYWN0aXRpb25lcnM8L2tleXdvcmQ+PGtleXdvcmQ+SHVtYW5zPC9rZXl3
b3JkPjxrZXl3b3JkPkpvYiBTYXRpc2ZhY3Rpb248L2tleXdvcmQ+PGtleXdvcmQ+U2NvdGxhbmQ8
L2tleXdvcmQ+PGtleXdvcmQ+U3VydmV5cyBhbmQgUXVlc3Rpb25uYWlyZXM8L2tleXdvcmQ+PGtl
eXdvcmQ+aGVhbHRoIHBvbGljeTwva2V5d29yZD48a2V5d29yZD5vcmdhbmlzYXRpb24gb2YgaGVh
bHRoIHNlcnZpY2VzPC9rZXl3b3JkPjxrZXl3b3JkPnByaW1hcnkgY2FyZTwva2V5d29yZD48L2tl
eXdvcmRzPjxkYXRlcz48eWVhcj4yMDIwPC95ZWFyPjxwdWItZGF0ZXM+PGRhdGU+T2N0IDMwPC9k
YXRlPjwvcHViLWRhdGVzPjwvZGF0ZXM+PGlzYm4+MjA0NC02MDU1PC9pc2JuPjxhY2Nlc3Npb24t
bnVtPjMzMTI3NjM5PC9hY2Nlc3Npb24tbnVtPjx1cmxzPjwvdXJscz48Y3VzdG9tMT5Db21wZXRp
bmcgaW50ZXJlc3RzOiBOb25lIGRlY2xhcmVkLjwvY3VzdG9tMT48Y3VzdG9tMj5QTUM3NjA0ODU5
PC9jdXN0b20yPjxyZW1vdGUtZGF0YWJhc2UtcHJvdmlkZXI+TkxNPC9yZW1vdGUtZGF0YWJhc2Ut
cHJvdmlkZXI+PGxhbmd1YWdlPmVuZzwvbGFuZ3VhZ2U+PC9yZWNvcmQ+PC9DaXRlPjwvRW5kTm90
ZT5=
</w:fldData>
        </w:fldChar>
      </w:r>
      <w:r w:rsidR="004654FD">
        <w:rPr>
          <w:lang w:val="nb"/>
        </w:rPr>
        <w:instrText xml:space="preserve"> ADDIN EN.CITE </w:instrText>
      </w:r>
      <w:r w:rsidR="004654FD">
        <w:rPr>
          <w:lang w:val="nb"/>
        </w:rPr>
        <w:fldChar w:fldCharType="begin">
          <w:fldData xml:space="preserve">PEVuZE5vdGU+PENpdGU+PEF1dGhvcj5IYXllczwvQXV0aG9yPjxZZWFyPjIwMjA8L1llYXI+PFJl
Y051bT44OTE8L1JlY051bT48RGlzcGxheVRleHQ+KEhheWVzIGV0IGFsLiwgMjAyMCk8L0Rpc3Bs
YXlUZXh0PjxyZWNvcmQ+PHJlYy1udW1iZXI+ODkxPC9yZWMtbnVtYmVyPjxmb3JlaWduLWtleXM+
PGtleSBhcHA9IkVOIiBkYi1pZD0iOTV0cHIydHA2cjl4d29lYTlyYjV3ZHN6NWRzNXhlZGR0ZWV3
IiB0aW1lc3RhbXA9IjE2ODAwNjk1MTEiPjg5MTwva2V5PjwvZm9yZWlnbi1rZXlzPjxyZWYtdHlw
ZSBuYW1lPSJKb3VybmFsIEFydGljbGUiPjE3PC9yZWYtdHlwZT48Y29udHJpYnV0b3JzPjxhdXRo
b3JzPjxhdXRob3I+SGF5ZXMsIEguPC9hdXRob3I+PGF1dGhvcj5HaWJzb24sIEouPC9hdXRob3I+
PGF1dGhvcj5GaXR6cGF0cmljaywgQi48L2F1dGhvcj48YXV0aG9yPkNoZWNrbGFuZCwgSy48L2F1
dGhvcj48YXV0aG9yPkd1dGhyaWUsIEIuPC9hdXRob3I+PGF1dGhvcj5NZXJjZXIsIFMuIFcuPC9h
dXRob3I+PC9hdXRob3JzPjwvY29udHJpYnV0b3JzPjxhdXRoLWFkZHJlc3M+SGVhbHRoIE9yZ2Fu
aXNhdGlvbiwgUG9saWN5IGFuZCBFY29ub21pY3MgUmVzZWFyY2ggR3JvdXAsIENlbnRyZSBmb3Ig
UHJpbWFyeSBDYXJlICZhbXA7IEhlYWx0aCBTZXJ2aWNlcyBSZXNlYXJjaCwgU2Nob29sIG9mIEhl
YWx0aCBTY2llbmNlcywgVW5pdmVyc2l0eSBvZiBNYW5jaGVzdGVyLCBNYW5jaGVzdGVyLCBVSy4m
I3hEO0luc3RpdHV0ZSBvZiBIZWFsdGggYW5kIFdlbGxiZWluZywgVW5pdmVyc2l0eSBvZiBHbGFz
Z293LCBHbGFzZ293LCBVSy4mI3hEO1VzaGVyIEluc3RpdHV0ZSwgQ29sbGVnZSBvZiBNZWRpY2lu
ZSBhbmQgVmV0ZXJpbmFyeSBNZWRpY2luZSwgVGhlIFVuaXZlcnNpdHkgb2YgRWRpbmJ1cmdoLCBF
ZGluYnVyZ2gsIFVLLiYjeEQ7VXNoZXIgSW5zdGl0dXRlLCBDb2xsZWdlIG9mIE1lZGljaW5lIGFu
ZCBWZXRlcmluYXJ5IE1lZGljaW5lLCBUaGUgVW5pdmVyc2l0eSBvZiBFZGluYnVyZ2gsIEVkaW5i
dXJnaCwgVUsgc3Rld2FydC5tZXJjZXJAZWQuYWMudWsuPC9hdXRoLWFkZHJlc3M+PHRpdGxlcz48
dGl0bGU+V29ya2luZyBsaXZlcyBvZiBHUHMgaW4gU2NvdGxhbmQgYW5kIEVuZ2xhbmQ6IGNyb3Nz
LXNlY3Rpb25hbCBhbmFseXNpcyBvZiBuYXRpb25hbCBzdXJ2ZXlzPC90aXRsZT48c2Vjb25kYXJ5
LXRpdGxlPkJNSiBPcGVuPC9zZWNvbmRhcnktdGl0bGU+PC90aXRsZXM+PHBlcmlvZGljYWw+PGZ1
bGwtdGl0bGU+Qk1KIE9wZW48L2Z1bGwtdGl0bGU+PGFiYnItMT5CTUogT3BlbjwvYWJici0xPjwv
cGVyaW9kaWNhbD48cGFnZXM+ZTA0MjIzNjwvcGFnZXM+PHZvbHVtZT4xMDwvdm9sdW1lPjxudW1i
ZXI+MTA8L251bWJlcj48ZWRpdGlvbj4yMDIwMTAzMDwvZWRpdGlvbj48a2V5d29yZHM+PGtleXdv
cmQ+QXR0aXR1ZGUgb2YgSGVhbHRoIFBlcnNvbm5lbDwva2V5d29yZD48a2V5d29yZD5Dcm9zcy1T
ZWN0aW9uYWwgU3R1ZGllczwva2V5d29yZD48a2V5d29yZD5FbmdsYW5kPC9rZXl3b3JkPjxrZXl3
b3JkPipHZW5lcmFsIFByYWN0aXRpb25lcnM8L2tleXdvcmQ+PGtleXdvcmQ+SHVtYW5zPC9rZXl3
b3JkPjxrZXl3b3JkPkpvYiBTYXRpc2ZhY3Rpb248L2tleXdvcmQ+PGtleXdvcmQ+U2NvdGxhbmQ8
L2tleXdvcmQ+PGtleXdvcmQ+U3VydmV5cyBhbmQgUXVlc3Rpb25uYWlyZXM8L2tleXdvcmQ+PGtl
eXdvcmQ+aGVhbHRoIHBvbGljeTwva2V5d29yZD48a2V5d29yZD5vcmdhbmlzYXRpb24gb2YgaGVh
bHRoIHNlcnZpY2VzPC9rZXl3b3JkPjxrZXl3b3JkPnByaW1hcnkgY2FyZTwva2V5d29yZD48L2tl
eXdvcmRzPjxkYXRlcz48eWVhcj4yMDIwPC95ZWFyPjxwdWItZGF0ZXM+PGRhdGU+T2N0IDMwPC9k
YXRlPjwvcHViLWRhdGVzPjwvZGF0ZXM+PGlzYm4+MjA0NC02MDU1PC9pc2JuPjxhY2Nlc3Npb24t
bnVtPjMzMTI3NjM5PC9hY2Nlc3Npb24tbnVtPjx1cmxzPjwvdXJscz48Y3VzdG9tMT5Db21wZXRp
bmcgaW50ZXJlc3RzOiBOb25lIGRlY2xhcmVkLjwvY3VzdG9tMT48Y3VzdG9tMj5QTUM3NjA0ODU5
PC9jdXN0b20yPjxyZW1vdGUtZGF0YWJhc2UtcHJvdmlkZXI+TkxNPC9yZW1vdGUtZGF0YWJhc2Ut
cHJvdmlkZXI+PGxhbmd1YWdlPmVuZzwvbGFuZ3VhZ2U+PC9yZWNvcmQ+PC9DaXRlPjwvRW5kTm90
ZT5=
</w:fldData>
        </w:fldChar>
      </w:r>
      <w:r w:rsidR="004654FD">
        <w:rPr>
          <w:lang w:val="nb"/>
        </w:rPr>
        <w:instrText xml:space="preserve"> ADDIN EN.CITE.DATA </w:instrText>
      </w:r>
      <w:r w:rsidR="004654FD">
        <w:rPr>
          <w:lang w:val="nb"/>
        </w:rPr>
      </w:r>
      <w:r w:rsidR="004654FD">
        <w:rPr>
          <w:lang w:val="nb"/>
        </w:rPr>
        <w:fldChar w:fldCharType="end"/>
      </w:r>
      <w:r>
        <w:rPr>
          <w:lang w:val="nb"/>
        </w:rPr>
      </w:r>
      <w:r>
        <w:rPr>
          <w:lang w:val="nb"/>
        </w:rPr>
        <w:fldChar w:fldCharType="separate"/>
      </w:r>
      <w:r>
        <w:rPr>
          <w:noProof/>
          <w:lang w:val="nb"/>
        </w:rPr>
        <w:t>(Hayes et al., 2020)</w:t>
      </w:r>
      <w:r>
        <w:rPr>
          <w:lang w:val="nb"/>
        </w:rPr>
        <w:fldChar w:fldCharType="end"/>
      </w:r>
      <w:r w:rsidRPr="00A94A03">
        <w:rPr>
          <w:lang w:val="nb"/>
        </w:rPr>
        <w:t xml:space="preserve">. I begge land ble </w:t>
      </w:r>
      <w:r>
        <w:rPr>
          <w:lang w:val="nb"/>
        </w:rPr>
        <w:t xml:space="preserve">likevel </w:t>
      </w:r>
      <w:r w:rsidRPr="00A94A03">
        <w:rPr>
          <w:lang w:val="nb"/>
        </w:rPr>
        <w:t xml:space="preserve">nesten alle </w:t>
      </w:r>
      <w:r>
        <w:rPr>
          <w:lang w:val="nb"/>
        </w:rPr>
        <w:t>av 13 stressfaktorer</w:t>
      </w:r>
      <w:r w:rsidRPr="00A94A03">
        <w:rPr>
          <w:lang w:val="nb"/>
        </w:rPr>
        <w:t xml:space="preserve"> (i gjennomsnitt) vurdert</w:t>
      </w:r>
      <w:r>
        <w:rPr>
          <w:lang w:val="nb"/>
        </w:rPr>
        <w:t xml:space="preserve"> som </w:t>
      </w:r>
      <w:r w:rsidRPr="00A94A03">
        <w:rPr>
          <w:lang w:val="nb"/>
        </w:rPr>
        <w:t>moderat</w:t>
      </w:r>
      <w:r>
        <w:rPr>
          <w:lang w:val="nb"/>
        </w:rPr>
        <w:t>e</w:t>
      </w:r>
      <w:r w:rsidRPr="00A94A03">
        <w:rPr>
          <w:lang w:val="nb"/>
        </w:rPr>
        <w:t xml:space="preserve"> til betydelig</w:t>
      </w:r>
      <w:r>
        <w:rPr>
          <w:lang w:val="nb"/>
        </w:rPr>
        <w:t>e</w:t>
      </w:r>
      <w:r w:rsidRPr="00A94A03">
        <w:rPr>
          <w:lang w:val="nb"/>
        </w:rPr>
        <w:t>.</w:t>
      </w:r>
    </w:p>
    <w:p w14:paraId="24D9BE87" w14:textId="77777777" w:rsidR="00D9107F" w:rsidRDefault="003C1895" w:rsidP="007B40C1">
      <w:pPr>
        <w:jc w:val="both"/>
        <w:rPr>
          <w:lang w:val="nb"/>
        </w:rPr>
      </w:pPr>
      <w:r>
        <w:rPr>
          <w:lang w:val="nb"/>
        </w:rPr>
        <w:t xml:space="preserve">Tall fra Nederland </w:t>
      </w:r>
      <w:r>
        <w:rPr>
          <w:lang w:val="nb"/>
        </w:rPr>
        <w:fldChar w:fldCharType="begin"/>
      </w:r>
      <w:r w:rsidR="004654FD">
        <w:rPr>
          <w:lang w:val="nb"/>
        </w:rPr>
        <w:instrText xml:space="preserve"> ADDIN EN.CITE &lt;EndNote&gt;&lt;Cite&gt;&lt;Author&gt;Batenburg&lt;/Author&gt;&lt;Year&gt;2022&lt;/Year&gt;&lt;RecNum&gt;88&lt;/RecNum&gt;&lt;DisplayText&gt;(Batenburg et al., 2022)&lt;/DisplayText&gt;&lt;record&gt;&lt;rec-number&gt;88&lt;/rec-number&gt;&lt;foreign-keys&gt;&lt;key app="EN" db-id="95tpr2tp6r9xwoea9rb5wdsz5ds5xeddteew" timestamp="1680069511"&gt;88&lt;/key&gt;&lt;/foreign-keys&gt;&lt;ref-type name="Report"&gt;27&lt;/ref-type&gt;&lt;contributors&gt;&lt;authors&gt;&lt;author&gt;R. Batenburg&lt;/author&gt;&lt;author&gt;L. Flinterman&lt;/author&gt;&lt;author&gt;E. Vis&lt;/author&gt;&lt;author&gt;A. van Schaaijk&lt;/author&gt;&lt;author&gt;E. de Geit&lt;/author&gt;&lt;author&gt;R.J. Kenens&lt;/author&gt;&lt;author&gt;B. Duijkers&lt;/author&gt;&lt;/authors&gt;&lt;/contributors&gt;&lt;titles&gt;&lt;title&gt;Cijfers uit de Nivel-registratie van huisartsen en huisartsenpraktijken: Een actualisering voor de periode 2020-2022&lt;/title&gt;&lt;/titles&gt;&lt;dates&gt;&lt;year&gt;2022&lt;/year&gt;&lt;/dates&gt;&lt;pub-location&gt;Utrecht&lt;/pub-location&gt;&lt;publisher&gt;Nivel&lt;/publisher&gt;&lt;urls&gt;&lt;/urls&gt;&lt;/record&gt;&lt;/Cite&gt;&lt;/EndNote&gt;</w:instrText>
      </w:r>
      <w:r>
        <w:rPr>
          <w:lang w:val="nb"/>
        </w:rPr>
        <w:fldChar w:fldCharType="separate"/>
      </w:r>
      <w:r>
        <w:rPr>
          <w:noProof/>
          <w:lang w:val="nb"/>
        </w:rPr>
        <w:t>(Batenburg et al., 2022)</w:t>
      </w:r>
      <w:r>
        <w:rPr>
          <w:lang w:val="nb"/>
        </w:rPr>
        <w:fldChar w:fldCharType="end"/>
      </w:r>
      <w:r>
        <w:rPr>
          <w:lang w:val="nb"/>
        </w:rPr>
        <w:t xml:space="preserve"> viser </w:t>
      </w:r>
      <w:r w:rsidR="00D00CDA">
        <w:rPr>
          <w:lang w:val="nb"/>
        </w:rPr>
        <w:t>at o</w:t>
      </w:r>
      <w:r>
        <w:rPr>
          <w:lang w:val="nb"/>
        </w:rPr>
        <w:t>mtrent halvparten av legene arbeider under 24 timer</w:t>
      </w:r>
      <w:r w:rsidR="00D00CDA">
        <w:rPr>
          <w:lang w:val="nb"/>
        </w:rPr>
        <w:t xml:space="preserve"> per uke</w:t>
      </w:r>
      <w:r>
        <w:rPr>
          <w:lang w:val="nb"/>
        </w:rPr>
        <w:t xml:space="preserve"> med konsultasjoner</w:t>
      </w:r>
      <w:r w:rsidR="00DA6995">
        <w:rPr>
          <w:lang w:val="nb"/>
        </w:rPr>
        <w:t>. O</w:t>
      </w:r>
      <w:r>
        <w:rPr>
          <w:lang w:val="nb"/>
        </w:rPr>
        <w:t>mtrent 25 prosent har konsultasjoner i mer enn 32 timer. Mannlige leger har flere timer med konsultasjoner enn kvinner (kan skyldes aldessammensetning), og partnere (eiere) har langt mer konsultasjonstid enn ansatte leger. Også i Nederland øker antall leger som arbeider deltid og ikke er partnere i en praksis, samt antall som ikke er ansatt/uavhengige (ca</w:t>
      </w:r>
      <w:r w:rsidR="00DC7D85">
        <w:rPr>
          <w:lang w:val="nb"/>
        </w:rPr>
        <w:t>.</w:t>
      </w:r>
      <w:r>
        <w:rPr>
          <w:lang w:val="nb"/>
        </w:rPr>
        <w:t xml:space="preserve"> 20</w:t>
      </w:r>
      <w:r w:rsidR="00545715">
        <w:rPr>
          <w:lang w:val="nb"/>
        </w:rPr>
        <w:t xml:space="preserve"> prosent</w:t>
      </w:r>
      <w:r>
        <w:rPr>
          <w:lang w:val="nb"/>
        </w:rPr>
        <w:t xml:space="preserve"> i 2021) </w:t>
      </w:r>
      <w:r>
        <w:rPr>
          <w:lang w:val="nb"/>
        </w:rPr>
        <w:fldChar w:fldCharType="begin"/>
      </w:r>
      <w:r w:rsidR="00856689">
        <w:rPr>
          <w:lang w:val="nb"/>
        </w:rPr>
        <w:instrText xml:space="preserve"> ADDIN EN.CITE &lt;EndNote&gt;&lt;Cite ExcludeYear="1"&gt;&lt;Author&gt;Flinterman&lt;/Author&gt;&lt;RecNum&gt;89&lt;/RecNum&gt;&lt;DisplayText&gt;(Flinterman et al.)&lt;/DisplayText&gt;&lt;record&gt;&lt;rec-number&gt;89&lt;/rec-number&gt;&lt;foreign-keys&gt;&lt;key app="EN" db-id="95tpr2tp6r9xwoea9rb5wdsz5ds5xeddteew" timestamp="1680069511"&gt;89&lt;/key&gt;&lt;/foreign-keys&gt;&lt;ref-type name="Report"&gt;27&lt;/ref-type&gt;&lt;contributors&gt;&lt;authors&gt;&lt;author&gt;Linda Flinterman&lt;/author&gt;&lt;author&gt;Elize Vis &lt;/author&gt;&lt;author&gt;Ellemarijn de Geit &lt;/author&gt;&lt;author&gt;Ronald Batenburg&lt;/author&gt;&lt;/authors&gt;&lt;tertiary-authors&gt;&lt;author&gt;Nivel&lt;/author&gt;&lt;/tertiary-authors&gt;&lt;/contributors&gt;&lt;titles&gt;&lt;title&gt;Cijfers uit de registratie van huisartsen 2021&lt;/title&gt;&lt;/titles&gt;&lt;dates&gt;&lt;/dates&gt;&lt;pub-location&gt;Utrecht&lt;/pub-location&gt;&lt;urls&gt;&lt;related-urls&gt;&lt;url&gt;https://www.nivel.nl/sites/default/files/bestanden/1004234.pdf&lt;/url&gt;&lt;/related-urls&gt;&lt;/urls&gt;&lt;/record&gt;&lt;/Cite&gt;&lt;/EndNote&gt;</w:instrText>
      </w:r>
      <w:r>
        <w:rPr>
          <w:lang w:val="nb"/>
        </w:rPr>
        <w:fldChar w:fldCharType="separate"/>
      </w:r>
      <w:r w:rsidR="00856689">
        <w:rPr>
          <w:noProof/>
          <w:lang w:val="nb"/>
        </w:rPr>
        <w:t>(Flinterman et al.)</w:t>
      </w:r>
      <w:r>
        <w:rPr>
          <w:lang w:val="nb"/>
        </w:rPr>
        <w:fldChar w:fldCharType="end"/>
      </w:r>
      <w:r>
        <w:rPr>
          <w:lang w:val="nb"/>
        </w:rPr>
        <w:t>. På grunn av økende arbeidsbelastning i kontortiden er mange leger mindre motivert til å arbeide i legevakt i tillegg</w:t>
      </w:r>
      <w:r w:rsidR="009D5268">
        <w:rPr>
          <w:lang w:val="nb"/>
        </w:rPr>
        <w:t>.</w:t>
      </w:r>
    </w:p>
    <w:p w14:paraId="553E088E" w14:textId="02D447F9" w:rsidR="003C1895" w:rsidRPr="005D173D" w:rsidRDefault="00115512" w:rsidP="00775632">
      <w:pPr>
        <w:pStyle w:val="Overskrift3"/>
      </w:pPr>
      <w:bookmarkStart w:id="694" w:name="_Toc130154228"/>
      <w:bookmarkStart w:id="695" w:name="_Toc130490044"/>
      <w:bookmarkStart w:id="696" w:name="_Toc130763769"/>
      <w:bookmarkStart w:id="697" w:name="_Toc130766655"/>
      <w:bookmarkStart w:id="698" w:name="_Toc130932059"/>
      <w:bookmarkStart w:id="699" w:name="_Toc130934350"/>
      <w:bookmarkStart w:id="700" w:name="_Toc130983405"/>
      <w:bookmarkStart w:id="701" w:name="_Toc130983754"/>
      <w:bookmarkStart w:id="702" w:name="_Toc131062086"/>
      <w:bookmarkStart w:id="703" w:name="_Toc131062340"/>
      <w:bookmarkStart w:id="704" w:name="_Toc131062601"/>
      <w:bookmarkStart w:id="705" w:name="_Toc131062854"/>
      <w:bookmarkStart w:id="706" w:name="_Toc131063622"/>
      <w:bookmarkStart w:id="707" w:name="_Toc131064040"/>
      <w:bookmarkStart w:id="708" w:name="_Toc131238330"/>
      <w:bookmarkStart w:id="709" w:name="_Toc131279360"/>
      <w:bookmarkStart w:id="710" w:name="_Toc131286772"/>
      <w:bookmarkStart w:id="711" w:name="_Toc131281182"/>
      <w:bookmarkStart w:id="712" w:name="_Toc131317721"/>
      <w:bookmarkStart w:id="713" w:name="_Toc132536925"/>
      <w:r>
        <w:t>Hvor fornøyde er innbyggerne?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763811D1" w14:textId="5856918C" w:rsidR="00D9107F" w:rsidRDefault="003C1895" w:rsidP="007B40C1">
      <w:pPr>
        <w:jc w:val="both"/>
      </w:pPr>
      <w:r>
        <w:t>For innbyggerne merkes underdekning av leger både ved at det kan bli vanskeligere å finne legepraksiser som har ledig plass for nye innbyggere</w:t>
      </w:r>
      <w:r w:rsidR="00545715">
        <w:t>,</w:t>
      </w:r>
      <w:r>
        <w:t xml:space="preserve"> og at det kan være vanskeligere å få time </w:t>
      </w:r>
      <w:r w:rsidR="00545715">
        <w:t>hos</w:t>
      </w:r>
      <w:r>
        <w:t xml:space="preserve"> </w:t>
      </w:r>
      <w:r w:rsidR="00E72FF5">
        <w:t>s</w:t>
      </w:r>
      <w:r>
        <w:t>in foretrukne</w:t>
      </w:r>
      <w:r w:rsidR="00545715">
        <w:t>/</w:t>
      </w:r>
      <w:r>
        <w:t>faste lege. En sentral helsepolitisk problemstilling i mange land er avveiningen mellom tilgjengelighet og kontinuitet i relasjonen til en bestemt lege (fastlege) når legekapasiteten er under press. Tilgangen til allmennlege utenfor kontortiden blir også berørt</w:t>
      </w:r>
      <w:r w:rsidR="00545715">
        <w:t>,</w:t>
      </w:r>
      <w:r>
        <w:t xml:space="preserve"> fordi legevaktene i mange av landene er avhengig av at fastlegene (GP</w:t>
      </w:r>
      <w:r w:rsidR="00D9107F">
        <w:t>’</w:t>
      </w:r>
      <w:r>
        <w:t xml:space="preserve">s) tar vakter der. Høy arbeidsbelastning og underdekning kan i sin ytterste konsekvens gå ut over kvaliteten på oppfølging/behandling. En omfattende gjennomgang av tilgjengelige tall på konsultasjonstiden i 63 land viste stor variasjon </w:t>
      </w:r>
      <w:r>
        <w:fldChar w:fldCharType="begin">
          <w:fldData xml:space="preserve">PEVuZE5vdGU+PENpdGU+PEF1dGhvcj5JcnZpbmc8L0F1dGhvcj48WWVhcj4yMDE3PC9ZZWFyPjxS
ZWNOdW0+NDAxPC9SZWNOdW0+PERpc3BsYXlUZXh0PihJcnZpbmcgZXQgYWwuLCAyMDE3KTwvRGlz
cGxheVRleHQ+PHJlY29yZD48cmVjLW51bWJlcj40MDE8L3JlYy1udW1iZXI+PGZvcmVpZ24ta2V5
cz48a2V5IGFwcD0iRU4iIGRiLWlkPSI5NXRwcjJ0cDZyOXh3b2VhOXJiNXdkc3o1ZHM1eGVkZHRl
ZXciIHRpbWVzdGFtcD0iMTY4MDA2OTUxMSI+NDAxPC9rZXk+PC9mb3JlaWduLWtleXM+PHJlZi10
eXBlIG5hbWU9IkpvdXJuYWwgQXJ0aWNsZSI+MTc8L3JlZi10eXBlPjxjb250cmlidXRvcnM+PGF1
dGhvcnM+PGF1dGhvcj5JcnZpbmcsIEcuPC9hdXRob3I+PGF1dGhvcj5OZXZlcywgQS4gTC48L2F1
dGhvcj48YXV0aG9yPkRhbWJoYS1NaWxsZXIsIEguPC9hdXRob3I+PGF1dGhvcj5PaXNoaSwgQS48
L2F1dGhvcj48YXV0aG9yPlRhZ2FzaGlyYSwgSC48L2F1dGhvcj48YXV0aG9yPlZlcmhvLCBBLjwv
YXV0aG9yPjxhdXRob3I+SG9sZGVuLCBKLjwvYXV0aG9yPjwvYXV0aG9ycz48L2NvbnRyaWJ1dG9y
cz48YXV0aC1hZGRyZXNzPlByaW1hcnkgQ2FyZSBVbml0LCBVbml2ZXJzaXR5IG9mIENhbWJyaWRn
ZSwgQ2FtYnJpZGdlLCBVSy4mI3hEO0RlcGFydG1lbnQgb2YgQ29tbXVuaXR5IE1lZGljaW5lLCBJ
bmZvcm1hdGlvbiBhbmQgSGVhbHRoIERlY2lzaW9uIFNjaWVuY2VzIChNRURDSURTKSwgVW5pdmVy
c2l0eSBvZiBQb3J0bywgUG9ydG8sIFBvcnR1Z2FsLiYjeEQ7Q2VudHJlIGZvciBIZWFsdGggUG9s
aWN5LCBJbnN0aXR1dGUgR2xvYmFsIEhlYWx0aCBJbm5vdmF0aW9uLCBJbXBlcmlhbCBDb2xsZWdl
IExvbmRvbiwgTG9uZG9uLCBVSy4mI3hEO051ZmZpZWxkIERlcGFydG1lbnQgb2YgUHJpbWFyeSBD
YXJlIEhlYWx0aCBTY2llbmNlcywgVW5pdmVyc2l0eSBvZiBPeGZvcmQuJiN4RDtUaGUgVXNoZXIg
SW5zdGl0dXRlIG9mIFBvcHVsYXRpb24gSGVhbHRoIGFuZCBJbmZvcm1hdGljcywgVW5pdmVyc2l0
eSBvZiBFZGluYnVyZ2gsIEVkaW5idXJnaCwgVUsuJiN4RDtIb3J0b24gR2VuZXJhbCBIb3NwaXRh
bCwgQmFuYnVyeSwgVUsuJiN4RDtUaGUgVW5pdmVyc2l0eSBvZiBIZWxzaW5raSwgRmlubGFuZC4m
I3hEO05hdGlvbmFsIEluc3RpdHV0ZWZvciBIZWFsdGggYW5kIFdlbGZhcmUgKFRITCkuJiN4RDtH
YXJzd29vZCBTdXJnZXJ5LCBXaWdhbiwgVUsuPC9hdXRoLWFkZHJlc3M+PHRpdGxlcz48dGl0bGU+
SW50ZXJuYXRpb25hbCB2YXJpYXRpb25zIGluIHByaW1hcnkgY2FyZSBwaHlzaWNpYW4gY29uc3Vs
dGF0aW9uIHRpbWU6IGEgc3lzdGVtYXRpYyByZXZpZXcgb2YgNjcgY291bnRyaWVzPC90aXRsZT48
c2Vjb25kYXJ5LXRpdGxlPkJNSiBPcGVuPC9zZWNvbmRhcnktdGl0bGU+PC90aXRsZXM+PHBlcmlv
ZGljYWw+PGZ1bGwtdGl0bGU+Qk1KIE9wZW48L2Z1bGwtdGl0bGU+PGFiYnItMT5CTUogT3Blbjwv
YWJici0xPjwvcGVyaW9kaWNhbD48cGFnZXM+ZTAxNzkwMjwvcGFnZXM+PHZvbHVtZT43PC92b2x1
bWU+PG51bWJlcj4xMDwvbnVtYmVyPjxlZGl0aW9uPjIwMTcxMTA4PC9lZGl0aW9uPjxrZXl3b3Jk
cz48a2V5d29yZD4qQXBwb2ludG1lbnRzIGFuZCBTY2hlZHVsZXM8L2tleXdvcmQ+PGtleXdvcmQ+
RmFtaWx5IFByYWN0aWNlLypvcmdhbml6YXRpb24gJmFtcDsgYWRtaW5pc3RyYXRpb248L2tleXdv
cmQ+PGtleXdvcmQ+SHVtYW5zPC9rZXl3b3JkPjxrZXl3b3JkPk9mZmljZSBWaXNpdHMvKnN0YXRp
c3RpY3MgJmFtcDsgbnVtZXJpY2FsIGRhdGE8L2tleXdvcmQ+PGtleXdvcmQ+UGF0aWVudCBTYXRp
c2ZhY3Rpb248L2tleXdvcmQ+PGtleXdvcmQ+KlBoeXNpY2lhbi1QYXRpZW50IFJlbGF0aW9uczwv
a2V5d29yZD48a2V5d29yZD5QaHlzaWNpYW5zLCBQcmltYXJ5IENhcmUvKnN0YXRpc3RpY3MgJmFt
cDsgbnVtZXJpY2FsIGRhdGE8L2tleXdvcmQ+PGtleXdvcmQ+UmVmZXJyYWwgYW5kIENvbnN1bHRh
dGlvbi8qc3RhdGlzdGljcyAmYW1wOyBudW1lcmljYWwgZGF0YTwva2V5d29yZD48a2V5d29yZD5U
aW1lIEZhY3RvcnM8L2tleXdvcmQ+PGtleXdvcmQ+Y29uc3VsdGF0aW9uPC9rZXl3b3JkPjxrZXl3
b3JkPmdsb2JhbCBoZWFsdGg8L2tleXdvcmQ+PGtleXdvcmQ+cHJpbWFyeSBjYXJlPC9rZXl3b3Jk
Pjwva2V5d29yZHM+PGRhdGVzPjx5ZWFyPjIwMTc8L3llYXI+PHB1Yi1kYXRlcz48ZGF0ZT5Ob3Yg
ODwvZGF0ZT48L3B1Yi1kYXRlcz48L2RhdGVzPjxpc2JuPjIwNDQtNjA1NTwvaXNibj48YWNjZXNz
aW9uLW51bT4yOTExODA1MzwvYWNjZXNzaW9uLW51bT48dXJscz48L3VybHM+PGN1c3RvbTE+Q29t
cGV0aW5nIGludGVyZXN0czogTm9uZSBkZWNsYXJlZC48L2N1c3RvbTE+PGN1c3RvbTI+UE1DNTY5
NTUxMjwvY3VzdG9tMj48cmVtb3RlLWRhdGFiYXNlLXByb3ZpZGVyPk5MTTwvcmVtb3RlLWRhdGFi
YXNlLXByb3ZpZGVyPjxsYW5ndWFnZT5lbmc8L2xhbmd1YWdlPjwvcmVjb3JkPjwvQ2l0ZT48L0Vu
ZE5vdGU+
</w:fldData>
        </w:fldChar>
      </w:r>
      <w:r w:rsidR="004654FD">
        <w:instrText xml:space="preserve"> ADDIN EN.CITE </w:instrText>
      </w:r>
      <w:r w:rsidR="004654FD">
        <w:fldChar w:fldCharType="begin">
          <w:fldData xml:space="preserve">PEVuZE5vdGU+PENpdGU+PEF1dGhvcj5JcnZpbmc8L0F1dGhvcj48WWVhcj4yMDE3PC9ZZWFyPjxS
ZWNOdW0+NDAxPC9SZWNOdW0+PERpc3BsYXlUZXh0PihJcnZpbmcgZXQgYWwuLCAyMDE3KTwvRGlz
cGxheVRleHQ+PHJlY29yZD48cmVjLW51bWJlcj40MDE8L3JlYy1udW1iZXI+PGZvcmVpZ24ta2V5
cz48a2V5IGFwcD0iRU4iIGRiLWlkPSI5NXRwcjJ0cDZyOXh3b2VhOXJiNXdkc3o1ZHM1eGVkZHRl
ZXciIHRpbWVzdGFtcD0iMTY4MDA2OTUxMSI+NDAxPC9rZXk+PC9mb3JlaWduLWtleXM+PHJlZi10
eXBlIG5hbWU9IkpvdXJuYWwgQXJ0aWNsZSI+MTc8L3JlZi10eXBlPjxjb250cmlidXRvcnM+PGF1
dGhvcnM+PGF1dGhvcj5JcnZpbmcsIEcuPC9hdXRob3I+PGF1dGhvcj5OZXZlcywgQS4gTC48L2F1
dGhvcj48YXV0aG9yPkRhbWJoYS1NaWxsZXIsIEguPC9hdXRob3I+PGF1dGhvcj5PaXNoaSwgQS48
L2F1dGhvcj48YXV0aG9yPlRhZ2FzaGlyYSwgSC48L2F1dGhvcj48YXV0aG9yPlZlcmhvLCBBLjwv
YXV0aG9yPjxhdXRob3I+SG9sZGVuLCBKLjwvYXV0aG9yPjwvYXV0aG9ycz48L2NvbnRyaWJ1dG9y
cz48YXV0aC1hZGRyZXNzPlByaW1hcnkgQ2FyZSBVbml0LCBVbml2ZXJzaXR5IG9mIENhbWJyaWRn
ZSwgQ2FtYnJpZGdlLCBVSy4mI3hEO0RlcGFydG1lbnQgb2YgQ29tbXVuaXR5IE1lZGljaW5lLCBJ
bmZvcm1hdGlvbiBhbmQgSGVhbHRoIERlY2lzaW9uIFNjaWVuY2VzIChNRURDSURTKSwgVW5pdmVy
c2l0eSBvZiBQb3J0bywgUG9ydG8sIFBvcnR1Z2FsLiYjeEQ7Q2VudHJlIGZvciBIZWFsdGggUG9s
aWN5LCBJbnN0aXR1dGUgR2xvYmFsIEhlYWx0aCBJbm5vdmF0aW9uLCBJbXBlcmlhbCBDb2xsZWdl
IExvbmRvbiwgTG9uZG9uLCBVSy4mI3hEO051ZmZpZWxkIERlcGFydG1lbnQgb2YgUHJpbWFyeSBD
YXJlIEhlYWx0aCBTY2llbmNlcywgVW5pdmVyc2l0eSBvZiBPeGZvcmQuJiN4RDtUaGUgVXNoZXIg
SW5zdGl0dXRlIG9mIFBvcHVsYXRpb24gSGVhbHRoIGFuZCBJbmZvcm1hdGljcywgVW5pdmVyc2l0
eSBvZiBFZGluYnVyZ2gsIEVkaW5idXJnaCwgVUsuJiN4RDtIb3J0b24gR2VuZXJhbCBIb3NwaXRh
bCwgQmFuYnVyeSwgVUsuJiN4RDtUaGUgVW5pdmVyc2l0eSBvZiBIZWxzaW5raSwgRmlubGFuZC4m
I3hEO05hdGlvbmFsIEluc3RpdHV0ZWZvciBIZWFsdGggYW5kIFdlbGZhcmUgKFRITCkuJiN4RDtH
YXJzd29vZCBTdXJnZXJ5LCBXaWdhbiwgVUsuPC9hdXRoLWFkZHJlc3M+PHRpdGxlcz48dGl0bGU+
SW50ZXJuYXRpb25hbCB2YXJpYXRpb25zIGluIHByaW1hcnkgY2FyZSBwaHlzaWNpYW4gY29uc3Vs
dGF0aW9uIHRpbWU6IGEgc3lzdGVtYXRpYyByZXZpZXcgb2YgNjcgY291bnRyaWVzPC90aXRsZT48
c2Vjb25kYXJ5LXRpdGxlPkJNSiBPcGVuPC9zZWNvbmRhcnktdGl0bGU+PC90aXRsZXM+PHBlcmlv
ZGljYWw+PGZ1bGwtdGl0bGU+Qk1KIE9wZW48L2Z1bGwtdGl0bGU+PGFiYnItMT5CTUogT3Blbjwv
YWJici0xPjwvcGVyaW9kaWNhbD48cGFnZXM+ZTAxNzkwMjwvcGFnZXM+PHZvbHVtZT43PC92b2x1
bWU+PG51bWJlcj4xMDwvbnVtYmVyPjxlZGl0aW9uPjIwMTcxMTA4PC9lZGl0aW9uPjxrZXl3b3Jk
cz48a2V5d29yZD4qQXBwb2ludG1lbnRzIGFuZCBTY2hlZHVsZXM8L2tleXdvcmQ+PGtleXdvcmQ+
RmFtaWx5IFByYWN0aWNlLypvcmdhbml6YXRpb24gJmFtcDsgYWRtaW5pc3RyYXRpb248L2tleXdv
cmQ+PGtleXdvcmQ+SHVtYW5zPC9rZXl3b3JkPjxrZXl3b3JkPk9mZmljZSBWaXNpdHMvKnN0YXRp
c3RpY3MgJmFtcDsgbnVtZXJpY2FsIGRhdGE8L2tleXdvcmQ+PGtleXdvcmQ+UGF0aWVudCBTYXRp
c2ZhY3Rpb248L2tleXdvcmQ+PGtleXdvcmQ+KlBoeXNpY2lhbi1QYXRpZW50IFJlbGF0aW9uczwv
a2V5d29yZD48a2V5d29yZD5QaHlzaWNpYW5zLCBQcmltYXJ5IENhcmUvKnN0YXRpc3RpY3MgJmFt
cDsgbnVtZXJpY2FsIGRhdGE8L2tleXdvcmQ+PGtleXdvcmQ+UmVmZXJyYWwgYW5kIENvbnN1bHRh
dGlvbi8qc3RhdGlzdGljcyAmYW1wOyBudW1lcmljYWwgZGF0YTwva2V5d29yZD48a2V5d29yZD5U
aW1lIEZhY3RvcnM8L2tleXdvcmQ+PGtleXdvcmQ+Y29uc3VsdGF0aW9uPC9rZXl3b3JkPjxrZXl3
b3JkPmdsb2JhbCBoZWFsdGg8L2tleXdvcmQ+PGtleXdvcmQ+cHJpbWFyeSBjYXJlPC9rZXl3b3Jk
Pjwva2V5d29yZHM+PGRhdGVzPjx5ZWFyPjIwMTc8L3llYXI+PHB1Yi1kYXRlcz48ZGF0ZT5Ob3Yg
ODwvZGF0ZT48L3B1Yi1kYXRlcz48L2RhdGVzPjxpc2JuPjIwNDQtNjA1NTwvaXNibj48YWNjZXNz
aW9uLW51bT4yOTExODA1MzwvYWNjZXNzaW9uLW51bT48dXJscz48L3VybHM+PGN1c3RvbTE+Q29t
cGV0aW5nIGludGVyZXN0czogTm9uZSBkZWNsYXJlZC48L2N1c3RvbTE+PGN1c3RvbTI+UE1DNTY5
NTUxMjwvY3VzdG9tMj48cmVtb3RlLWRhdGFiYXNlLXByb3ZpZGVyPk5MTTwvcmVtb3RlLWRhdGFi
YXNlLXByb3ZpZGVyPjxsYW5ndWFnZT5lbmc8L2xhbmd1YWdlPjwvcmVjb3JkPjwvQ2l0ZT48L0Vu
ZE5vdGU+
</w:fldData>
        </w:fldChar>
      </w:r>
      <w:r w:rsidR="004654FD">
        <w:instrText xml:space="preserve"> ADDIN EN.CITE.DATA </w:instrText>
      </w:r>
      <w:r w:rsidR="004654FD">
        <w:fldChar w:fldCharType="end"/>
      </w:r>
      <w:r>
        <w:fldChar w:fldCharType="separate"/>
      </w:r>
      <w:r>
        <w:rPr>
          <w:noProof/>
        </w:rPr>
        <w:t>(Irving et al., 2017)</w:t>
      </w:r>
      <w:r>
        <w:fldChar w:fldCharType="end"/>
      </w:r>
      <w:r>
        <w:t xml:space="preserve">. </w:t>
      </w:r>
      <w:r w:rsidR="00D00824" w:rsidRPr="005C3252">
        <w:t>Legene i Sverige hadde lengst konsultasjonstid av alle, med godt over 20 minutter, me</w:t>
      </w:r>
      <w:r w:rsidR="0090631E">
        <w:t>ns</w:t>
      </w:r>
      <w:r w:rsidR="00D00824" w:rsidRPr="005C3252">
        <w:t xml:space="preserve"> Norge og Finland</w:t>
      </w:r>
      <w:r w:rsidR="00D00824">
        <w:t xml:space="preserve"> hadde</w:t>
      </w:r>
      <w:r w:rsidR="00D00824" w:rsidRPr="005C3252">
        <w:t xml:space="preserve"> litt under 20</w:t>
      </w:r>
      <w:r w:rsidR="00D00824">
        <w:t xml:space="preserve"> minutter</w:t>
      </w:r>
      <w:r w:rsidR="00D00824" w:rsidRPr="005C3252">
        <w:t xml:space="preserve">. Nederland og Danmark lå på cirka 10 </w:t>
      </w:r>
      <w:r w:rsidR="00D00824">
        <w:t xml:space="preserve">minutter </w:t>
      </w:r>
      <w:r w:rsidR="00D00824" w:rsidRPr="005C3252">
        <w:t>og Storbritannia like under. Årsaken til forskjeller og hvor godt dette stemmer i dagens situasjon har vi ikke gode tall på.</w:t>
      </w:r>
    </w:p>
    <w:p w14:paraId="72D8D2F1" w14:textId="682471F8" w:rsidR="00D9107F" w:rsidRDefault="003C1895" w:rsidP="007B40C1">
      <w:pPr>
        <w:jc w:val="both"/>
      </w:pPr>
      <w:r>
        <w:t xml:space="preserve">I de fleste land gjennomføres undersøkelser der innbyggerne og pasientene gir sin vurdering av tjenesten. </w:t>
      </w:r>
      <w:r w:rsidRPr="008128C2">
        <w:t>I pasientrapporteringer i Sverige og Norge</w:t>
      </w:r>
      <w:r w:rsidR="00C45D63">
        <w:t>,</w:t>
      </w:r>
      <w:r w:rsidRPr="008128C2">
        <w:t xml:space="preserve"> har opplevd tilgjengelighet i primærlegetjenesten gitt lavere score enn andre forhold </w:t>
      </w:r>
      <w:r>
        <w:fldChar w:fldCharType="begin"/>
      </w:r>
      <w:r w:rsidR="004654FD">
        <w:instrText xml:space="preserve"> ADDIN EN.CITE &lt;EndNote&gt;&lt;Cite&gt;&lt;Author&gt;Norman&lt;/Author&gt;&lt;Year&gt;2022&lt;/Year&gt;&lt;RecNum&gt;611&lt;/RecNum&gt;&lt;DisplayText&gt;(Norman et al., 2022; Vårdanalys, 2017)&lt;/DisplayText&gt;&lt;record&gt;&lt;rec-number&gt;611&lt;/rec-number&gt;&lt;foreign-keys&gt;&lt;key app="EN" db-id="95tpr2tp6r9xwoea9rb5wdsz5ds5xeddteew" timestamp="1680069511"&gt;611&lt;/key&gt;&lt;/foreign-keys&gt;&lt;ref-type name="Report"&gt;27&lt;/ref-type&gt;&lt;contributors&gt;&lt;authors&gt;&lt;author&gt;Norman, Rebecka Maria&lt;/author&gt;&lt;author&gt;Danielsen, Kirsten&lt;/author&gt;&lt;author&gt;Bjertnæs, Øyvind Andresen&lt;/author&gt;&lt;author&gt;Holmboe, Olaf&lt;/author&gt;&lt;/authors&gt;&lt;/contributors&gt;&lt;titles&gt;&lt;title&gt;Pasienterfaringer med fastlegen og fastlegekontoret i 2021/2022&lt;/title&gt;&lt;/titles&gt;&lt;keywords&gt;&lt;keyword&gt;Emigrants and Immigrants&lt;/keyword&gt;&lt;keyword&gt;Fastlege&lt;/keyword&gt;&lt;keyword&gt;General Practice&lt;/keyword&gt;&lt;keyword&gt;Health Care Surveys&lt;/keyword&gt;&lt;keyword&gt;Helseundersøkinger&lt;/keyword&gt;&lt;keyword&gt;Immigranter&lt;/keyword&gt;&lt;keyword&gt;Patient Outcome Assessment&lt;/keyword&gt;&lt;keyword&gt;Resultatvurdering av pasientbehandling&lt;/keyword&gt;&lt;keyword&gt;Spørreundersøkelser&lt;/keyword&gt;&lt;keyword&gt;Utlendinger&lt;/keyword&gt;&lt;/keywords&gt;&lt;dates&gt;&lt;year&gt;2022&lt;/year&gt;&lt;/dates&gt;&lt;publisher&gt;Folkehelseinstituttet&lt;/publisher&gt;&lt;urls&gt;&lt;/urls&gt;&lt;/record&gt;&lt;/Cite&gt;&lt;Cite&gt;&lt;Author&gt;Vårdanalys&lt;/Author&gt;&lt;Year&gt;2017&lt;/Year&gt;&lt;RecNum&gt;660&lt;/RecNum&gt;&lt;record&gt;&lt;rec-number&gt;660&lt;/rec-number&gt;&lt;foreign-keys&gt;&lt;key app="EN" db-id="95tpr2tp6r9xwoea9rb5wdsz5ds5xeddteew" timestamp="1680069511"&gt;660&lt;/key&gt;&lt;/foreign-keys&gt;&lt;ref-type name="Report"&gt;27&lt;/ref-type&gt;&lt;contributors&gt;&lt;authors&gt;&lt;author&gt;Vårdanalys&lt;/author&gt;&lt;/authors&gt;&lt;/contributors&gt;&lt;titles&gt;&lt;title&gt;Primärvården i Europa : En översikt av finansiering, struktur och måluppfyllelse&lt;/title&gt;&lt;/titles&gt;&lt;number&gt;PM 2017:4&lt;/number&gt;&lt;dates&gt;&lt;year&gt;2017&lt;/year&gt;&lt;/dates&gt;&lt;pub-location&gt;Stockholm&lt;/pub-location&gt;&lt;publisher&gt;Vårdanalys&lt;/publisher&gt;&lt;urls&gt;&lt;/urls&gt;&lt;/record&gt;&lt;/Cite&gt;&lt;/EndNote&gt;</w:instrText>
      </w:r>
      <w:r>
        <w:fldChar w:fldCharType="separate"/>
      </w:r>
      <w:r w:rsidR="00904B00">
        <w:rPr>
          <w:noProof/>
        </w:rPr>
        <w:t>(Norman et al., 2022; Vårdanalys, 2017)</w:t>
      </w:r>
      <w:r>
        <w:fldChar w:fldCharType="end"/>
      </w:r>
      <w:r w:rsidR="4E546183" w:rsidRPr="00065BB1">
        <w:t xml:space="preserve">. </w:t>
      </w:r>
      <w:r w:rsidR="4E546183">
        <w:t xml:space="preserve">Over 80 prosent av de spurte var totalt sett fornøyd med fastlegen sin i Norge. </w:t>
      </w:r>
      <w:r w:rsidR="4E546183" w:rsidRPr="00E3454A">
        <w:t>Hälso</w:t>
      </w:r>
      <w:r w:rsidR="760F5C46" w:rsidRPr="00E3454A">
        <w:t>-</w:t>
      </w:r>
      <w:r w:rsidR="4E546183" w:rsidRPr="00E3454A">
        <w:t xml:space="preserve"> och </w:t>
      </w:r>
      <w:r w:rsidR="4E546183" w:rsidRPr="00E3454A">
        <w:lastRenderedPageBreak/>
        <w:t>sjukvårsdbarometern 2022 i Sverige viste at 62 prosent hadde stor tiltro til helsesentrene og 63 prosent mente det var rimelige ventetider ved helsesentrene</w:t>
      </w:r>
      <w:r w:rsidR="00BB321C" w:rsidRPr="00E3454A">
        <w:t xml:space="preserve"> </w:t>
      </w:r>
      <w:r w:rsidR="00C812CE">
        <w:rPr>
          <w:lang w:val="sv-SE"/>
        </w:rPr>
        <w:fldChar w:fldCharType="begin"/>
      </w:r>
      <w:r w:rsidR="00A27571" w:rsidRPr="00ED188F">
        <w:instrText xml:space="preserve"> ADDIN EN.CITE &lt;EndNote&gt;&lt;Cite&gt;&lt;Author&gt;Sveriges Kommuner och Regioner&lt;/Author&gt;&lt;Year&gt;2023&lt;/Year&gt;&lt;RecNum&gt;351&lt;/RecNum&gt;&lt;DisplayText&gt;(Sveriges Kommuner och Regioner, 2023a)&lt;/DisplayText&gt;&lt;record&gt;&lt;rec-number&gt;351&lt;/rec-number&gt;&lt;foreign-keys&gt;&lt;key app="EN" db-id="95tpr2tp6r9xwoea9rb5wdsz5ds5xeddteew" timestamp="1680069511"&gt;351&lt;/key&gt;&lt;/foreign-keys&gt;&lt;ref-type name="Report"&gt;27&lt;/ref-type&gt;&lt;contributors&gt;&lt;authors&gt;&lt;author&gt;Sveriges Kommuner och Regioner,&lt;/author&gt;&lt;/authors&gt;&lt;tertiary-authors&gt;&lt;author&gt;Sveriges Kommuner och Regioner,&lt;/author&gt;&lt;/tertiary-authors&gt;&lt;/contributors&gt;&lt;titles&gt;&lt;title&gt;Hälso- och sjukvårdsbarometern 2022: befolkningens attityder till, förtroende för och uppfattning om hälso- och sjukvården&lt;/title&gt;&lt;/titles&gt;&lt;dates&gt;&lt;year&gt;2023&lt;/year&gt;&lt;/dates&gt;&lt;pub-location&gt;Stockholm&lt;/pub-location&gt;&lt;urls&gt;&lt;/urls&gt;&lt;/record&gt;&lt;/Cite&gt;&lt;/EndNote&gt;</w:instrText>
      </w:r>
      <w:r w:rsidR="00C812CE">
        <w:rPr>
          <w:lang w:val="sv-SE"/>
        </w:rPr>
        <w:fldChar w:fldCharType="separate"/>
      </w:r>
      <w:r w:rsidR="00E94EA5" w:rsidRPr="00E3454A">
        <w:rPr>
          <w:noProof/>
        </w:rPr>
        <w:t>(Sveriges Kommuner och Regioner, 2023a)</w:t>
      </w:r>
      <w:r w:rsidR="00C812CE">
        <w:rPr>
          <w:lang w:val="sv-SE"/>
        </w:rPr>
        <w:fldChar w:fldCharType="end"/>
      </w:r>
      <w:r w:rsidR="4E546183" w:rsidRPr="00E3454A">
        <w:t xml:space="preserve">. </w:t>
      </w:r>
      <w:r w:rsidR="4E546183" w:rsidRPr="008128C2">
        <w:t xml:space="preserve">I en mindre dansk undersøkelse i regi av paraplyorganisasjonen </w:t>
      </w:r>
      <w:r w:rsidR="00D9107F">
        <w:t>«</w:t>
      </w:r>
      <w:r w:rsidR="4E546183" w:rsidRPr="008128C2">
        <w:t>Danske patienter</w:t>
      </w:r>
      <w:r w:rsidR="00D9107F">
        <w:t>»</w:t>
      </w:r>
      <w:r w:rsidR="4E546183" w:rsidRPr="008128C2">
        <w:t xml:space="preserve"> angir mange at kort ventetid er like viktig som å komme til samme lege</w:t>
      </w:r>
      <w:r w:rsidR="00D9107F">
        <w:t xml:space="preserve"> </w:t>
      </w:r>
      <w:r w:rsidR="00C812CE">
        <w:fldChar w:fldCharType="begin"/>
      </w:r>
      <w:r w:rsidR="00A27571">
        <w:instrText xml:space="preserve"> ADDIN EN.CITE &lt;EndNote&gt;&lt;Cite&gt;&lt;Author&gt;Danske patienter&lt;/Author&gt;&lt;Year&gt;[s.a.]&lt;/Year&gt;&lt;RecNum&gt;894&lt;/RecNum&gt;&lt;DisplayText&gt;(Danske patienter, [s.a.])&lt;/DisplayText&gt;&lt;record&gt;&lt;rec-number&gt;894&lt;/rec-number&gt;&lt;foreign-keys&gt;&lt;key app="EN" db-id="95tpr2tp6r9xwoea9rb5wdsz5ds5xeddteew" timestamp="1680069511"&gt;894&lt;/key&gt;&lt;/foreign-keys&gt;&lt;ref-type name="Report"&gt;27&lt;/ref-type&gt;&lt;contributors&gt;&lt;authors&gt;&lt;author&gt;Danske patienter,&lt;/author&gt;&lt;/authors&gt;&lt;/contributors&gt;&lt;titles&gt;&lt;title&gt;Ønskerne til tilgængeligheden i almen praksis er forskellige&lt;/title&gt;&lt;secondary-title&gt;Det mener patienterne&lt;/secondary-title&gt;&lt;/titles&gt;&lt;dates&gt;&lt;year&gt;[s.a.]&lt;/year&gt;&lt;/dates&gt;&lt;pub-location&gt;København&lt;/pub-location&gt;&lt;publisher&gt;Danske patienter&lt;/publisher&gt;&lt;urls&gt;&lt;/urls&gt;&lt;/record&gt;&lt;/Cite&gt;&lt;/EndNote&gt;</w:instrText>
      </w:r>
      <w:r w:rsidR="00C812CE">
        <w:fldChar w:fldCharType="separate"/>
      </w:r>
      <w:r w:rsidR="00C812CE">
        <w:rPr>
          <w:noProof/>
        </w:rPr>
        <w:t>(Danske patienter, [s.a.])</w:t>
      </w:r>
      <w:r w:rsidR="00C812CE">
        <w:fldChar w:fldCharType="end"/>
      </w:r>
      <w:r w:rsidR="4E546183" w:rsidRPr="008128C2">
        <w:t xml:space="preserve">. En studie hvor alle tre land var med, fant imidlertid at pasientene i alle landene vektla tilgjengelighet, men at god kommunikasjon ble vurdert enda viktigere </w:t>
      </w:r>
      <w:r>
        <w:fldChar w:fldCharType="begin"/>
      </w:r>
      <w:r w:rsidR="004654FD">
        <w:instrText xml:space="preserve"> ADDIN EN.CITE &lt;EndNote&gt;&lt;Cite&gt;&lt;Author&gt;Eide&lt;/Author&gt;&lt;Year&gt;2021&lt;/Year&gt;&lt;RecNum&gt;295&lt;/RecNum&gt;&lt;DisplayText&gt;(Eide et al., 2021)&lt;/DisplayText&gt;&lt;record&gt;&lt;rec-number&gt;295&lt;/rec-number&gt;&lt;foreign-keys&gt;&lt;key app="EN" db-id="95tpr2tp6r9xwoea9rb5wdsz5ds5xeddteew" timestamp="1680069511"&gt;295&lt;/key&gt;&lt;/foreign-keys&gt;&lt;ref-type name="Journal Article"&gt;17&lt;/ref-type&gt;&lt;contributors&gt;&lt;authors&gt;&lt;author&gt;Eide, T. B.&lt;/author&gt;&lt;author&gt;Straand, J.&lt;/author&gt;&lt;author&gt;Braend, A. M.&lt;/author&gt;&lt;/authors&gt;&lt;/contributors&gt;&lt;auth-address&gt;Department. of general practice, Institute of Health and Society, University of Oslo, Oslo, Norway.&amp;#xD;General Practice Research Unit (AFE), Department of general practice, Institute of Health and Society, University of Oslo, Norway.&lt;/auth-address&gt;&lt;titles&gt;&lt;title&gt;Good communication was valued as more important than accessibility according to 707 Nordic primary care patients: a report from the QUALICOPC study&lt;/title&gt;&lt;secondary-title&gt;Scand J Prim Health Care&lt;/secondary-title&gt;&lt;/titles&gt;&lt;periodical&gt;&lt;full-title&gt;Scand J Prim Health Care&lt;/full-title&gt;&lt;/periodical&gt;&lt;pages&gt;296-304&lt;/pages&gt;&lt;volume&gt;39&lt;/volume&gt;&lt;number&gt;3&lt;/number&gt;&lt;edition&gt;20210527&lt;/edition&gt;&lt;keywords&gt;&lt;keyword&gt;Communication&lt;/keyword&gt;&lt;keyword&gt;Female&lt;/keyword&gt;&lt;keyword&gt;*General Practice&lt;/keyword&gt;&lt;keyword&gt;*General Practitioners&lt;/keyword&gt;&lt;keyword&gt;Humans&lt;/keyword&gt;&lt;keyword&gt;Primary Health Care&lt;/keyword&gt;&lt;keyword&gt;Quality of Health Care&lt;/keyword&gt;&lt;keyword&gt;General practice&lt;/keyword&gt;&lt;keyword&gt;Nordic countries&lt;/keyword&gt;&lt;keyword&gt;Qualicopc&lt;/keyword&gt;&lt;keyword&gt;delivery of health care&lt;/keyword&gt;&lt;keyword&gt;patient preference&lt;/keyword&gt;&lt;/keywords&gt;&lt;dates&gt;&lt;year&gt;2021&lt;/year&gt;&lt;pub-dates&gt;&lt;date&gt;Sep&lt;/date&gt;&lt;/pub-dates&gt;&lt;/dates&gt;&lt;isbn&gt;0281-3432 (Print)&amp;#xD;0281-3432&lt;/isbn&gt;&lt;accession-num&gt;34041993&lt;/accession-num&gt;&lt;urls&gt;&lt;/urls&gt;&lt;custom1&gt;No potential conflict of interest was reported by the author(s).&lt;/custom1&gt;&lt;custom2&gt;PMC8475124&lt;/custom2&gt;&lt;remote-database-provider&gt;NLM&lt;/remote-database-provider&gt;&lt;language&gt;eng&lt;/language&gt;&lt;/record&gt;&lt;/Cite&gt;&lt;/EndNote&gt;</w:instrText>
      </w:r>
      <w:r>
        <w:fldChar w:fldCharType="separate"/>
      </w:r>
      <w:r w:rsidR="00856689">
        <w:rPr>
          <w:noProof/>
        </w:rPr>
        <w:t>(Eide et al., 2021)</w:t>
      </w:r>
      <w:r>
        <w:fldChar w:fldCharType="end"/>
      </w:r>
      <w:r w:rsidR="4E546183" w:rsidRPr="008128C2">
        <w:t>.</w:t>
      </w:r>
    </w:p>
    <w:p w14:paraId="3CA0D0E8" w14:textId="0F59B1C6" w:rsidR="003C1895" w:rsidRPr="00A270EF" w:rsidRDefault="003C1895" w:rsidP="007B40C1">
      <w:pPr>
        <w:jc w:val="both"/>
      </w:pPr>
      <w:r>
        <w:t>Den nasjonale erfaringsundersøkelsen i Skottland for</w:t>
      </w:r>
      <w:r w:rsidRPr="00A270EF">
        <w:t xml:space="preserve"> 2022 </w:t>
      </w:r>
      <w:r>
        <w:t xml:space="preserve">viste at </w:t>
      </w:r>
      <w:r w:rsidRPr="00A270EF">
        <w:t>67 prosent av de spurte var overordnet sett fornøyde med tjenesten (siste 12 m</w:t>
      </w:r>
      <w:r w:rsidR="00436417">
        <w:t>åneder</w:t>
      </w:r>
      <w:r w:rsidRPr="00A270EF">
        <w:t>)</w:t>
      </w:r>
      <w:r w:rsidR="00B923F8">
        <w:t xml:space="preserve"> </w:t>
      </w:r>
      <w:r w:rsidR="00C812CE">
        <w:fldChar w:fldCharType="begin"/>
      </w:r>
      <w:r w:rsidR="00694E6D">
        <w:instrText xml:space="preserve"> ADDIN EN.CITE &lt;EndNote&gt;&lt;Cite&gt;&lt;Author&gt;The Scottish Government&lt;/Author&gt;&lt;Year&gt;2022&lt;/Year&gt;&lt;RecNum&gt;309&lt;/RecNum&gt;&lt;DisplayText&gt;(The Scottish Government, 2022)&lt;/DisplayText&gt;&lt;record&gt;&lt;rec-number&gt;309&lt;/rec-number&gt;&lt;foreign-keys&gt;&lt;key app="EN" db-id="95tpr2tp6r9xwoea9rb5wdsz5ds5xeddteew" timestamp="1680069511"&gt;309&lt;/key&gt;&lt;/foreign-keys&gt;&lt;ref-type name="Report"&gt;27&lt;/ref-type&gt;&lt;contributors&gt;&lt;authors&gt;&lt;author&gt;The Scottish Government,&lt;/author&gt;&lt;/authors&gt;&lt;tertiary-authors&gt;&lt;author&gt;The Scottish Government,&lt;/author&gt;&lt;/tertiary-authors&gt;&lt;/contributors&gt;&lt;titles&gt;&lt;title&gt;Health and Care Experience Survey 2021/22: National Results&lt;/title&gt;&lt;/titles&gt;&lt;dates&gt;&lt;year&gt;2022&lt;/year&gt;&lt;/dates&gt;&lt;pub-location&gt;Edinburgh&lt;/pub-location&gt;&lt;urls&gt;&lt;/urls&gt;&lt;/record&gt;&lt;/Cite&gt;&lt;/EndNote&gt;</w:instrText>
      </w:r>
      <w:r w:rsidR="00C812CE">
        <w:fldChar w:fldCharType="separate"/>
      </w:r>
      <w:r w:rsidR="00C812CE">
        <w:rPr>
          <w:noProof/>
        </w:rPr>
        <w:t>(The Scottish Government, 2022)</w:t>
      </w:r>
      <w:r w:rsidR="00C812CE">
        <w:fldChar w:fldCharType="end"/>
      </w:r>
      <w:r w:rsidRPr="00A270EF">
        <w:t xml:space="preserve">. Tilfredsheten med tjenesten var imidlertid 12 prosent lavere enn to år tidligere, noe som delvis kan ha sammenheng med </w:t>
      </w:r>
      <w:r w:rsidR="00436417">
        <w:t>korona</w:t>
      </w:r>
      <w:r w:rsidRPr="00A270EF">
        <w:t>pandemien. Det var imidlertid tegn til reduksjon også før pandemien. 68 prosent mottok det meste av oppfølging fra lege, mens 24 prosent fikk mest oppfølging fra sykepleier.</w:t>
      </w:r>
    </w:p>
    <w:p w14:paraId="34B2BC22" w14:textId="7F05C008" w:rsidR="00D9107F" w:rsidRDefault="003C1895" w:rsidP="007B40C1">
      <w:pPr>
        <w:jc w:val="both"/>
        <w:rPr>
          <w:lang w:val="nb"/>
        </w:rPr>
      </w:pPr>
      <w:r>
        <w:t>I England har tilfredsheten med allmennpraksis falt betydelig bare de siste årene</w:t>
      </w:r>
      <w:r w:rsidR="00436417">
        <w:t>,</w:t>
      </w:r>
      <w:r>
        <w:t xml:space="preserve"> og kun 38 prosent svarte </w:t>
      </w:r>
      <w:r w:rsidR="00436417">
        <w:t>at</w:t>
      </w:r>
      <w:r>
        <w:t xml:space="preserve"> de var fornøyde i 2021, mot 80 prosent i 2009 </w:t>
      </w:r>
      <w:r>
        <w:fldChar w:fldCharType="begin"/>
      </w:r>
      <w:r w:rsidR="004654FD">
        <w:instrText xml:space="preserve"> ADDIN EN.CITE &lt;EndNote&gt;&lt;Cite&gt;&lt;Author&gt;Wellings&lt;/Author&gt;&lt;Year&gt;2022&lt;/Year&gt;&lt;RecNum&gt;678&lt;/RecNum&gt;&lt;DisplayText&gt;(Wellings et al., 2022)&lt;/DisplayText&gt;&lt;record&gt;&lt;rec-number&gt;678&lt;/rec-number&gt;&lt;foreign-keys&gt;&lt;key app="EN" db-id="95tpr2tp6r9xwoea9rb5wdsz5ds5xeddteew" timestamp="1680069511"&gt;678&lt;/key&gt;&lt;/foreign-keys&gt;&lt;ref-type name="Report"&gt;27&lt;/ref-type&gt;&lt;contributors&gt;&lt;authors&gt;&lt;author&gt;Dan Wellings&lt;/author&gt;&lt;author&gt;Danielle Jefferies&lt;/author&gt;&lt;author&gt;David Maguire&lt;/author&gt;&lt;author&gt;John Appleby&lt;/author&gt;&lt;author&gt;Nina Hemmings&lt;/author&gt;&lt;author&gt;Jessica Morris&lt;/author&gt;&lt;author&gt;Laura Schlepper&lt;/author&gt;&lt;/authors&gt;&lt;tertiary-authors&gt;&lt;author&gt;The King’s Fund,&lt;/author&gt;&lt;/tertiary-authors&gt;&lt;/contributors&gt;&lt;titles&gt;&lt;title&gt;Public satisfaction with the NHS and social care in 2021: Results from the British Social Attitudes survey&lt;/title&gt;&lt;/titles&gt;&lt;dates&gt;&lt;year&gt;2022&lt;/year&gt;&lt;/dates&gt;&lt;pub-location&gt;London&lt;/pub-location&gt;&lt;urls&gt;&lt;/urls&gt;&lt;/record&gt;&lt;/Cite&gt;&lt;/EndNote&gt;</w:instrText>
      </w:r>
      <w:r>
        <w:fldChar w:fldCharType="separate"/>
      </w:r>
      <w:r>
        <w:rPr>
          <w:noProof/>
        </w:rPr>
        <w:t>(Wellings et al., 2022)</w:t>
      </w:r>
      <w:r>
        <w:fldChar w:fldCharType="end"/>
      </w:r>
      <w:r>
        <w:t>.</w:t>
      </w:r>
      <w:r>
        <w:rPr>
          <w:lang w:val="nb"/>
        </w:rPr>
        <w:t xml:space="preserve"> Fallet var spesielt stort etter pandemien. </w:t>
      </w:r>
      <w:r w:rsidRPr="0010449C">
        <w:rPr>
          <w:lang w:val="nb"/>
        </w:rPr>
        <w:t xml:space="preserve">Tilfredshet med </w:t>
      </w:r>
      <w:r>
        <w:rPr>
          <w:lang w:val="nb"/>
        </w:rPr>
        <w:t>allmennpraksis</w:t>
      </w:r>
      <w:r w:rsidRPr="0010449C">
        <w:rPr>
          <w:lang w:val="nb"/>
        </w:rPr>
        <w:t xml:space="preserve"> er nå den laveste av alle NHS-tjenester</w:t>
      </w:r>
      <w:r w:rsidR="00436417">
        <w:rPr>
          <w:lang w:val="nb"/>
        </w:rPr>
        <w:t>,</w:t>
      </w:r>
      <w:r w:rsidRPr="0010449C">
        <w:rPr>
          <w:lang w:val="nb"/>
        </w:rPr>
        <w:t xml:space="preserve"> med unntak av tannlege</w:t>
      </w:r>
      <w:r>
        <w:rPr>
          <w:lang w:val="nb"/>
        </w:rPr>
        <w:t>tjenester</w:t>
      </w:r>
      <w:r w:rsidRPr="0010449C">
        <w:rPr>
          <w:lang w:val="nb"/>
        </w:rPr>
        <w:t xml:space="preserve">. </w:t>
      </w:r>
      <w:r>
        <w:rPr>
          <w:lang w:val="nb"/>
        </w:rPr>
        <w:t>Allmennpraksis</w:t>
      </w:r>
      <w:r w:rsidRPr="0010449C">
        <w:rPr>
          <w:lang w:val="nb"/>
        </w:rPr>
        <w:t xml:space="preserve"> </w:t>
      </w:r>
      <w:r>
        <w:rPr>
          <w:lang w:val="nb"/>
        </w:rPr>
        <w:t>har</w:t>
      </w:r>
      <w:r w:rsidRPr="0010449C">
        <w:rPr>
          <w:lang w:val="nb"/>
        </w:rPr>
        <w:t xml:space="preserve"> tidligere vært den høyest </w:t>
      </w:r>
      <w:r w:rsidRPr="007E2808">
        <w:rPr>
          <w:lang w:val="nb"/>
        </w:rPr>
        <w:t>rangerte tjenesten hvert eneste år fr</w:t>
      </w:r>
      <w:r w:rsidR="00436417">
        <w:rPr>
          <w:lang w:val="nb"/>
        </w:rPr>
        <w:t>a</w:t>
      </w:r>
      <w:r w:rsidRPr="007E2808">
        <w:rPr>
          <w:lang w:val="nb"/>
        </w:rPr>
        <w:t>m til 2018</w:t>
      </w:r>
      <w:r>
        <w:rPr>
          <w:lang w:val="nb"/>
        </w:rPr>
        <w:t>. I</w:t>
      </w:r>
      <w:r>
        <w:t xml:space="preserve">nnbyggerne er spesielt misfornøyde med ventetiden </w:t>
      </w:r>
      <w:r w:rsidR="00DC7D85">
        <w:t>for</w:t>
      </w:r>
      <w:r w:rsidR="00436417">
        <w:t xml:space="preserve"> å komme </w:t>
      </w:r>
      <w:r>
        <w:t xml:space="preserve">til lege. En annen undersøkelse fra samme </w:t>
      </w:r>
      <w:r w:rsidR="00D42ACA">
        <w:t>år</w:t>
      </w:r>
      <w:r>
        <w:t xml:space="preserve"> viste at personer over 65 år var mer tilbøyelige til å mene at det var en stor utfordring å få treffe den samme legen/personen hver gang, mens yngre mennesker og personer med barn i større grad vektlegger ventetid</w:t>
      </w:r>
      <w:r w:rsidR="006E1FEC">
        <w:t xml:space="preserve"> </w:t>
      </w:r>
      <w:r w:rsidR="00C812CE">
        <w:fldChar w:fldCharType="begin"/>
      </w:r>
      <w:r w:rsidR="00A27571">
        <w:instrText xml:space="preserve"> ADDIN EN.CITE &lt;EndNote&gt;&lt;Cite&gt;&lt;Author&gt;The Health Foundationc&lt;/Author&gt;&lt;Year&gt;2022&lt;/Year&gt;&lt;RecNum&gt;677&lt;/RecNum&gt;&lt;DisplayText&gt;(The Health Foundationc, 2022)&lt;/DisplayText&gt;&lt;record&gt;&lt;rec-number&gt;677&lt;/rec-number&gt;&lt;foreign-keys&gt;&lt;key app="EN" db-id="95tpr2tp6r9xwoea9rb5wdsz5ds5xeddteew" timestamp="1680069511"&gt;677&lt;/key&gt;&lt;/foreign-keys&gt;&lt;ref-type name="Report"&gt;27&lt;/ref-type&gt;&lt;contributors&gt;&lt;authors&gt;&lt;author&gt;The Health Foundationc,&lt;/author&gt;&lt;/authors&gt;&lt;tertiary-authors&gt;&lt;author&gt;The Health Foundation,&lt;/author&gt;&lt;/tertiary-authors&gt;&lt;/contributors&gt;&lt;titles&gt;&lt;title&gt;Public perceptions of health and social care (November–December 2021): The first wave of results from our 2-year programme of UK-wide public polling delivered in partnership with Ipsos&lt;/title&gt;&lt;/titles&gt;&lt;dates&gt;&lt;year&gt;2022&lt;/year&gt;&lt;/dates&gt;&lt;urls&gt;&lt;/urls&gt;&lt;/record&gt;&lt;/Cite&gt;&lt;/EndNote&gt;</w:instrText>
      </w:r>
      <w:r w:rsidR="00C812CE">
        <w:fldChar w:fldCharType="separate"/>
      </w:r>
      <w:r w:rsidR="00C812CE">
        <w:rPr>
          <w:noProof/>
        </w:rPr>
        <w:t>(The Health Foundationc, 2022)</w:t>
      </w:r>
      <w:r w:rsidR="00C812CE">
        <w:fldChar w:fldCharType="end"/>
      </w:r>
      <w:r>
        <w:t xml:space="preserve">. En tredje undersøkelse fant at </w:t>
      </w:r>
      <w:r w:rsidRPr="004906DE">
        <w:rPr>
          <w:lang w:val="nb"/>
        </w:rPr>
        <w:t xml:space="preserve">andelen pasienter som </w:t>
      </w:r>
      <w:r w:rsidR="00D9107F">
        <w:rPr>
          <w:lang w:val="nb"/>
        </w:rPr>
        <w:t>«</w:t>
      </w:r>
      <w:r w:rsidRPr="004906DE">
        <w:rPr>
          <w:lang w:val="nb"/>
        </w:rPr>
        <w:t>alltid eller nesten alltid</w:t>
      </w:r>
      <w:r w:rsidR="00D9107F">
        <w:rPr>
          <w:lang w:val="nb"/>
        </w:rPr>
        <w:t>»</w:t>
      </w:r>
      <w:r w:rsidRPr="004906DE">
        <w:rPr>
          <w:lang w:val="nb"/>
        </w:rPr>
        <w:t xml:space="preserve"> </w:t>
      </w:r>
      <w:r>
        <w:rPr>
          <w:lang w:val="nb"/>
        </w:rPr>
        <w:t xml:space="preserve">hadde fysisk konsultasjon med </w:t>
      </w:r>
      <w:r w:rsidRPr="004906DE">
        <w:rPr>
          <w:lang w:val="nb"/>
        </w:rPr>
        <w:t>eller snakket med sin foretrukne lege</w:t>
      </w:r>
      <w:r>
        <w:rPr>
          <w:lang w:val="nb"/>
        </w:rPr>
        <w:t xml:space="preserve"> (GP)</w:t>
      </w:r>
      <w:r w:rsidRPr="004906DE">
        <w:rPr>
          <w:lang w:val="nb"/>
        </w:rPr>
        <w:t xml:space="preserve">, </w:t>
      </w:r>
      <w:r>
        <w:rPr>
          <w:lang w:val="nb"/>
        </w:rPr>
        <w:t xml:space="preserve">gikk </w:t>
      </w:r>
      <w:r w:rsidRPr="004906DE">
        <w:rPr>
          <w:lang w:val="nb"/>
        </w:rPr>
        <w:t>ned fra 26 til 18</w:t>
      </w:r>
      <w:r>
        <w:rPr>
          <w:lang w:val="nb"/>
        </w:rPr>
        <w:t xml:space="preserve"> prosent fra </w:t>
      </w:r>
      <w:r w:rsidRPr="004352A2">
        <w:rPr>
          <w:lang w:val="nb"/>
        </w:rPr>
        <w:t xml:space="preserve">2018 </w:t>
      </w:r>
      <w:r>
        <w:rPr>
          <w:lang w:val="nb"/>
        </w:rPr>
        <w:t>til</w:t>
      </w:r>
      <w:r w:rsidRPr="004352A2">
        <w:rPr>
          <w:lang w:val="nb"/>
        </w:rPr>
        <w:t xml:space="preserve"> 2022 </w:t>
      </w:r>
      <w:r w:rsidR="00C812CE">
        <w:rPr>
          <w:lang w:val="nb"/>
        </w:rPr>
        <w:fldChar w:fldCharType="begin"/>
      </w:r>
      <w:r w:rsidR="00C812CE">
        <w:rPr>
          <w:lang w:val="nb"/>
        </w:rPr>
        <w:instrText xml:space="preserve"> ADDIN EN.CITE &lt;EndNote&gt;&lt;Cite&gt;&lt;Author&gt;Nuffield Trust&lt;/Author&gt;&lt;Year&gt;2022&lt;/Year&gt;&lt;RecNum&gt;9&lt;/RecNum&gt;&lt;DisplayText&gt;(Nuffield Trust, 2022)&lt;/DisplayText&gt;&lt;record&gt;&lt;rec-number&gt;9&lt;/rec-number&gt;&lt;foreign-keys&gt;&lt;key app="EN" db-id="95tpr2tp6r9xwoea9rb5wdsz5ds5xeddteew" timestamp="1680069511"&gt;9&lt;/key&gt;&lt;/foreign-keys&gt;&lt;ref-type name="Web Page"&gt;12&lt;/ref-type&gt;&lt;contributors&gt;&lt;authors&gt;&lt;author&gt;Nuffield Trust,&lt;/author&gt;&lt;/authors&gt;&lt;/contributors&gt;&lt;titles&gt;&lt;title&gt;Access to GP appointments and services&lt;/title&gt;&lt;/titles&gt;&lt;number&gt;20.03.23&lt;/number&gt;&lt;dates&gt;&lt;year&gt;2022&lt;/year&gt;&lt;pub-dates&gt;&lt;date&gt;15. desember 2022&lt;/date&gt;&lt;/pub-dates&gt;&lt;/dates&gt;&lt;pub-location&gt;London&lt;/pub-location&gt;&lt;publisher&gt;Nuffield Trust&lt;/publisher&gt;&lt;work-type&gt;nettdokument&lt;/work-type&gt;&lt;urls&gt;&lt;related-urls&gt;&lt;url&gt;https://www.nuffieldtrust.org.uk/resource/access-to-gp-services&lt;/url&gt;&lt;/related-urls&gt;&lt;/urls&gt;&lt;/record&gt;&lt;/Cite&gt;&lt;/EndNote&gt;</w:instrText>
      </w:r>
      <w:r w:rsidR="00C812CE">
        <w:rPr>
          <w:lang w:val="nb"/>
        </w:rPr>
        <w:fldChar w:fldCharType="separate"/>
      </w:r>
      <w:r w:rsidR="00C812CE">
        <w:rPr>
          <w:noProof/>
          <w:lang w:val="nb"/>
        </w:rPr>
        <w:t>(Nuffield Trust, 2022)</w:t>
      </w:r>
      <w:r w:rsidR="00C812CE">
        <w:rPr>
          <w:lang w:val="nb"/>
        </w:rPr>
        <w:fldChar w:fldCharType="end"/>
      </w:r>
      <w:r>
        <w:rPr>
          <w:lang w:val="nb"/>
        </w:rPr>
        <w:t>.</w:t>
      </w:r>
    </w:p>
    <w:p w14:paraId="3205F93B" w14:textId="77777777" w:rsidR="00D9107F" w:rsidRDefault="003C1895" w:rsidP="007B40C1">
      <w:pPr>
        <w:jc w:val="both"/>
      </w:pPr>
      <w:r>
        <w:rPr>
          <w:lang w:val="nb"/>
        </w:rPr>
        <w:t xml:space="preserve">Også i Finland er det en utfordring </w:t>
      </w:r>
      <w:r w:rsidR="00436417">
        <w:rPr>
          <w:lang w:val="nb"/>
        </w:rPr>
        <w:t>med at</w:t>
      </w:r>
      <w:r>
        <w:rPr>
          <w:lang w:val="nb"/>
        </w:rPr>
        <w:t xml:space="preserve"> lange ventetider ved helsesentrene</w:t>
      </w:r>
      <w:r w:rsidR="000D79D2">
        <w:rPr>
          <w:lang w:val="nb"/>
        </w:rPr>
        <w:t xml:space="preserve"> kommer i konflikt med mulighet for å få oppfølging av samme lege</w:t>
      </w:r>
      <w:r>
        <w:rPr>
          <w:lang w:val="nb"/>
        </w:rPr>
        <w:t xml:space="preserve"> </w:t>
      </w:r>
      <w:r>
        <w:rPr>
          <w:lang w:val="nb"/>
        </w:rPr>
        <w:fldChar w:fldCharType="begin"/>
      </w:r>
      <w:r w:rsidR="004654FD">
        <w:rPr>
          <w:lang w:val="nb"/>
        </w:rPr>
        <w:instrText xml:space="preserve"> ADDIN EN.CITE &lt;EndNote&gt;&lt;Cite&gt;&lt;Author&gt;Keskimäki&lt;/Author&gt;&lt;Year&gt;2022&lt;/Year&gt;&lt;RecNum&gt;147&lt;/RecNum&gt;&lt;DisplayText&gt;(Keskimäki, 2022; Keskimäki et al., 2019)&lt;/DisplayText&gt;&lt;record&gt;&lt;rec-number&gt;147&lt;/rec-number&gt;&lt;foreign-keys&gt;&lt;key app="EN" db-id="95tpr2tp6r9xwoea9rb5wdsz5ds5xeddteew" timestamp="1680069511"&gt;147&lt;/key&gt;&lt;/foreign-keys&gt;&lt;ref-type name="Report"&gt;27&lt;/ref-type&gt;&lt;contributors&gt;&lt;authors&gt;&lt;author&gt;Ilmo Keskimäki&lt;/author&gt;&lt;/authors&gt;&lt;tertiary-authors&gt;&lt;author&gt;The Lancet Global Health Comission,&lt;/author&gt;&lt;/tertiary-authors&gt;&lt;/contributors&gt;&lt;titles&gt;&lt;title&gt;Development of Primary Health Care in Finland&lt;/title&gt;&lt;secondary-title&gt;The Lancet Global Health Comission on Financing Primary Health Care&lt;/secondary-title&gt;&lt;/titles&gt;&lt;number&gt;Working paper 9&lt;/number&gt;&lt;dates&gt;&lt;year&gt;2022&lt;/year&gt;&lt;/dates&gt;&lt;urls&gt;&lt;/urls&gt;&lt;/record&gt;&lt;/Cite&gt;&lt;Cite&gt;&lt;Author&gt;Keskimäki&lt;/Author&gt;&lt;Year&gt;2019&lt;/Year&gt;&lt;RecNum&gt;249&lt;/RecNum&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rPr>
          <w:lang w:val="nb"/>
        </w:rPr>
        <w:fldChar w:fldCharType="separate"/>
      </w:r>
      <w:r w:rsidR="00856689">
        <w:rPr>
          <w:noProof/>
          <w:lang w:val="nb"/>
        </w:rPr>
        <w:t>(Keskimäki, 2022; Keskimäki et al., 2019)</w:t>
      </w:r>
      <w:r>
        <w:rPr>
          <w:lang w:val="nb"/>
        </w:rPr>
        <w:fldChar w:fldCharType="end"/>
      </w:r>
      <w:r>
        <w:rPr>
          <w:lang w:val="nb"/>
        </w:rPr>
        <w:t>. I tillegg er stabiliteten i legekorpset varierende og en relativt stor andel har i mange år vært ansatt i bemanningsbyråer (vikarer). Ved små helsesentre</w:t>
      </w:r>
      <w:r w:rsidR="00436417">
        <w:rPr>
          <w:lang w:val="nb"/>
        </w:rPr>
        <w:t>,</w:t>
      </w:r>
      <w:r>
        <w:rPr>
          <w:lang w:val="nb"/>
        </w:rPr>
        <w:t xml:space="preserve"> og helsesentre hvor tjenesten er </w:t>
      </w:r>
      <w:r w:rsidR="000D79D2">
        <w:rPr>
          <w:lang w:val="nb"/>
        </w:rPr>
        <w:t>satt ut</w:t>
      </w:r>
      <w:r w:rsidR="00436417">
        <w:rPr>
          <w:lang w:val="nb"/>
        </w:rPr>
        <w:t xml:space="preserve"> </w:t>
      </w:r>
      <w:r>
        <w:rPr>
          <w:lang w:val="nb"/>
        </w:rPr>
        <w:t>til private</w:t>
      </w:r>
      <w:r w:rsidR="000D79D2">
        <w:rPr>
          <w:lang w:val="nb"/>
        </w:rPr>
        <w:t>,</w:t>
      </w:r>
      <w:r>
        <w:rPr>
          <w:lang w:val="nb"/>
        </w:rPr>
        <w:t xml:space="preserve"> er leger uten spesialisering den største gruppen </w:t>
      </w:r>
      <w:r>
        <w:rPr>
          <w:lang w:val="nb"/>
        </w:rPr>
        <w:fldChar w:fldCharType="begin"/>
      </w:r>
      <w:r w:rsidR="00A27571">
        <w:rPr>
          <w:lang w:val="nb"/>
        </w:rPr>
        <w:instrText xml:space="preserve"> ADDIN EN.CITE &lt;EndNote&gt;&lt;Cite&gt;&lt;Author&gt;Syrjä V.&lt;/Author&gt;&lt;Year&gt;2020&lt;/Year&gt;&lt;RecNum&gt;604&lt;/RecNum&gt;&lt;DisplayText&gt;(Syrjä V. et al., 2020)&lt;/DisplayText&gt;&lt;record&gt;&lt;rec-number&gt;604&lt;/rec-number&gt;&lt;foreign-keys&gt;&lt;key app="EN" db-id="95tpr2tp6r9xwoea9rb5wdsz5ds5xeddteew" timestamp="1680069511"&gt;604&lt;/key&gt;&lt;/foreign-keys&gt;&lt;ref-type name="Report"&gt;27&lt;/ref-type&gt;&lt;contributors&gt;&lt;authors&gt;&lt;author&gt;Syrjä V., &lt;/author&gt;&lt;author&gt;Parviainen L.,&lt;/author&gt;&lt;author&gt;Niemi A&lt;/author&gt;&lt;/authors&gt;&lt;/contributors&gt;&lt;titles&gt;&lt;title&gt;Outpatient care arrangements at health centres 2019 – outsourcing, personnel, work inputs and transfers of tasks&lt;/title&gt;&lt;/titles&gt;&lt;number&gt;Data Brief 21&lt;/number&gt;&lt;dates&gt;&lt;year&gt;2020&lt;/year&gt;&lt;/dates&gt;&lt;pub-location&gt;Helsinki&lt;/pub-location&gt;&lt;publisher&gt;Finnish Institute for Health and Welfare (THL)&lt;/publisher&gt;&lt;urls&gt;&lt;/urls&gt;&lt;/record&gt;&lt;/Cite&gt;&lt;/EndNote&gt;</w:instrText>
      </w:r>
      <w:r>
        <w:rPr>
          <w:lang w:val="nb"/>
        </w:rPr>
        <w:fldChar w:fldCharType="separate"/>
      </w:r>
      <w:r w:rsidR="00856689">
        <w:rPr>
          <w:noProof/>
          <w:lang w:val="nb"/>
        </w:rPr>
        <w:t>(Syrjä V. et al., 2020)</w:t>
      </w:r>
      <w:r>
        <w:rPr>
          <w:lang w:val="nb"/>
        </w:rPr>
        <w:fldChar w:fldCharType="end"/>
      </w:r>
      <w:r>
        <w:rPr>
          <w:lang w:val="nb"/>
        </w:rPr>
        <w:t xml:space="preserve">. </w:t>
      </w:r>
      <w:r>
        <w:t xml:space="preserve">Fra </w:t>
      </w:r>
      <w:r w:rsidRPr="003C308F">
        <w:t xml:space="preserve">Nederland </w:t>
      </w:r>
      <w:r>
        <w:t xml:space="preserve">nevnes </w:t>
      </w:r>
      <w:r w:rsidRPr="003C308F">
        <w:t>at økende pasientforventninger om raske svar og service, også på ikke-akutte helsespørsmål</w:t>
      </w:r>
      <w:r>
        <w:t xml:space="preserve"> påvirker kapasiteten</w:t>
      </w:r>
      <w:r w:rsidRPr="003C308F">
        <w:t>. Dette setter spesielt kvelds- og legevaktstjenesten under press.</w:t>
      </w:r>
    </w:p>
    <w:p w14:paraId="1CE74998" w14:textId="77777777" w:rsidR="00D9107F" w:rsidRDefault="00DE4B3F" w:rsidP="007B40C1">
      <w:pPr>
        <w:jc w:val="both"/>
      </w:pPr>
      <w:r>
        <w:t>S</w:t>
      </w:r>
      <w:r w:rsidR="003C1895">
        <w:t xml:space="preserve">ituasjonen er nødvendigvis </w:t>
      </w:r>
      <w:r>
        <w:t>ikke</w:t>
      </w:r>
      <w:r w:rsidR="003C1895">
        <w:t xml:space="preserve"> like problematisk over alt</w:t>
      </w:r>
      <w:r w:rsidR="00436417">
        <w:t>,</w:t>
      </w:r>
      <w:r w:rsidR="003C1895">
        <w:t xml:space="preserve"> og det er spesielt to skillelinjer som går igjen; dårligst tilgjengelighet i distriktsområder og i såkalte depriverte områder, det vil si områder med lavere sosioøkonomiske ressurser og større innslag av sosiale og helsemessige problemer.</w:t>
      </w:r>
    </w:p>
    <w:p w14:paraId="244DE538" w14:textId="77777777" w:rsidR="00D9107F" w:rsidRDefault="003C1895" w:rsidP="007B40C1">
      <w:pPr>
        <w:jc w:val="both"/>
      </w:pPr>
      <w:r>
        <w:lastRenderedPageBreak/>
        <w:t>Skottland har</w:t>
      </w:r>
      <w:r w:rsidR="006C7A2F">
        <w:t>,</w:t>
      </w:r>
      <w:r>
        <w:t xml:space="preserve"> </w:t>
      </w:r>
      <w:r w:rsidR="00D130D1">
        <w:t>i</w:t>
      </w:r>
      <w:r>
        <w:t xml:space="preserve"> d</w:t>
      </w:r>
      <w:r w:rsidRPr="00BA436F">
        <w:t>e mest usentrale distriktene</w:t>
      </w:r>
      <w:r w:rsidR="006C7A2F">
        <w:t xml:space="preserve">, </w:t>
      </w:r>
      <w:r>
        <w:t xml:space="preserve">særlige </w:t>
      </w:r>
      <w:r w:rsidRPr="00BA436F">
        <w:t>utfordringer med å rekruttere og beholde ansatte. Geografi</w:t>
      </w:r>
      <w:r>
        <w:t>ske forhold</w:t>
      </w:r>
      <w:r w:rsidRPr="00BA436F">
        <w:t>, mangel på bolig, profesjonell</w:t>
      </w:r>
      <w:r>
        <w:t xml:space="preserve"> </w:t>
      </w:r>
      <w:r w:rsidRPr="00BA436F">
        <w:t>isolasjon og vaktforpliktelser er noen av faktorene</w:t>
      </w:r>
      <w:r>
        <w:t xml:space="preserve"> som skaper utfordringer</w:t>
      </w:r>
      <w:r w:rsidRPr="00B42972">
        <w:t xml:space="preserve">. </w:t>
      </w:r>
      <w:r w:rsidR="000C2183" w:rsidRPr="00B42972">
        <w:t>Til</w:t>
      </w:r>
      <w:r w:rsidR="00D130D1" w:rsidRPr="00B42972">
        <w:t xml:space="preserve"> </w:t>
      </w:r>
      <w:r w:rsidRPr="00B42972">
        <w:t xml:space="preserve">tross </w:t>
      </w:r>
      <w:r w:rsidR="000C2183" w:rsidRPr="00B42972">
        <w:t>for at</w:t>
      </w:r>
      <w:r w:rsidRPr="00B42972">
        <w:t xml:space="preserve"> leger i rurale områder</w:t>
      </w:r>
      <w:r w:rsidR="00F54EF7" w:rsidRPr="00B42972">
        <w:t>, og særlig kvinner,</w:t>
      </w:r>
      <w:r w:rsidRPr="00B42972">
        <w:t xml:space="preserve"> ofte </w:t>
      </w:r>
      <w:r w:rsidR="000C2183" w:rsidRPr="00B42972">
        <w:t>er</w:t>
      </w:r>
      <w:r w:rsidRPr="00B42972">
        <w:t xml:space="preserve"> tilfredse med jobben sin</w:t>
      </w:r>
      <w:r w:rsidR="000C2183" w:rsidRPr="00B42972">
        <w:t>,</w:t>
      </w:r>
      <w:r>
        <w:t xml:space="preserve"> er det flere </w:t>
      </w:r>
      <w:r w:rsidR="001363D4">
        <w:t xml:space="preserve">enn i mer urbane strøk </w:t>
      </w:r>
      <w:r>
        <w:t>som</w:t>
      </w:r>
      <w:r w:rsidR="000C2183" w:rsidRPr="00B42972">
        <w:t xml:space="preserve"> der</w:t>
      </w:r>
      <w:r>
        <w:t xml:space="preserve"> sier de har en intensjon om å forlate jobben sin innen 5 år </w:t>
      </w:r>
      <w:r>
        <w:fldChar w:fldCharType="begin"/>
      </w:r>
      <w:r w:rsidR="004654FD">
        <w:instrText xml:space="preserve"> ADDIN EN.CITE &lt;EndNote&gt;&lt;Cite&gt;&lt;Author&gt;Eaton-Hart&lt;/Author&gt;&lt;Year&gt;2022&lt;/Year&gt;&lt;RecNum&gt;339&lt;/RecNum&gt;&lt;DisplayText&gt;(Eaton-Hart et al., 2022)&lt;/DisplayText&gt;&lt;record&gt;&lt;rec-number&gt;339&lt;/rec-number&gt;&lt;foreign-keys&gt;&lt;key app="EN" db-id="95tpr2tp6r9xwoea9rb5wdsz5ds5xeddteew" timestamp="1680069511"&gt;339&lt;/key&gt;&lt;/foreign-keys&gt;&lt;ref-type name="Journal Article"&gt;17&lt;/ref-type&gt;&lt;contributors&gt;&lt;authors&gt;&lt;author&gt;Eaton-Hart, J. H.&lt;/author&gt;&lt;author&gt;Gillies, J. C.&lt;/author&gt;&lt;author&gt;Mercer, S. W.&lt;/author&gt;&lt;/authors&gt;&lt;/contributors&gt;&lt;auth-address&gt;College of Medicine and Veterinary Medicine, University of Edinburgh, Chancellor&amp;apos;s Building, 49 Little France Crescent, Edinburgh, UK s1702187@sms.ed.ac.uk.&amp;#xD;The Usher Institute, University of Edinburgh, Old Medical School, Teviot Place, Edinburgh, UK john.gillies@ed.ac.uk.&amp;#xD;The Usher Institute, University of Edinburgh, Old Medical School, Teviot Place, Edinburgh, UK stewart.mercer@ed.ac.uk.&lt;/auth-address&gt;&lt;titles&gt;&lt;title&gt;How do the working lives of general practitioners in rural areas compare with elsewhere in Scotland? Cross-sectional analysis of the Scottish School of Primary Care National GP Survey&lt;/title&gt;&lt;secondary-title&gt;Rural Remote Health&lt;/secondary-title&gt;&lt;/titles&gt;&lt;periodical&gt;&lt;full-title&gt;Rural Remote Health&lt;/full-title&gt;&lt;/periodical&gt;&lt;pages&gt;7270&lt;/pages&gt;&lt;volume&gt;22&lt;/volume&gt;&lt;number&gt;3&lt;/number&gt;&lt;edition&gt;20220712&lt;/edition&gt;&lt;keywords&gt;&lt;keyword&gt;Cross-Sectional Studies&lt;/keyword&gt;&lt;keyword&gt;Female&lt;/keyword&gt;&lt;keyword&gt;*General Practitioners&lt;/keyword&gt;&lt;keyword&gt;Humans&lt;/keyword&gt;&lt;keyword&gt;Job Satisfaction&lt;/keyword&gt;&lt;keyword&gt;Primary Health Care&lt;/keyword&gt;&lt;keyword&gt;Scotland&lt;/keyword&gt;&lt;keyword&gt;Surveys and Questionnaires&lt;/keyword&gt;&lt;keyword&gt;Gp&lt;/keyword&gt;&lt;keyword&gt;gender&lt;/keyword&gt;&lt;keyword&gt;working lives&lt;/keyword&gt;&lt;keyword&gt;career intentions&lt;/keyword&gt;&lt;/keywords&gt;&lt;dates&gt;&lt;year&gt;2022&lt;/year&gt;&lt;pub-dates&gt;&lt;date&gt;Jul&lt;/date&gt;&lt;/pub-dates&gt;&lt;/dates&gt;&lt;isbn&gt;1445-6354&lt;/isbn&gt;&lt;accession-num&gt;35818306&lt;/accession-num&gt;&lt;urls&gt;&lt;/urls&gt;&lt;remote-database-provider&gt;NLM&lt;/remote-database-provider&gt;&lt;language&gt;eng&lt;/language&gt;&lt;/record&gt;&lt;/Cite&gt;&lt;/EndNote&gt;</w:instrText>
      </w:r>
      <w:r>
        <w:fldChar w:fldCharType="separate"/>
      </w:r>
      <w:r w:rsidR="004654FD">
        <w:rPr>
          <w:noProof/>
        </w:rPr>
        <w:t>(Eaton-Hart et al., 2022)</w:t>
      </w:r>
      <w:r>
        <w:fldChar w:fldCharType="end"/>
      </w:r>
      <w:r>
        <w:t xml:space="preserve">. Det er satt i gang et eget initiativ for å styrke praksiser i utkantene </w:t>
      </w:r>
      <w:r w:rsidR="00C812CE">
        <w:fldChar w:fldCharType="begin"/>
      </w:r>
      <w:r w:rsidR="00C812CE">
        <w:instrText xml:space="preserve"> ADDIN EN.CITE &lt;EndNote&gt;&lt;Cite ExcludeYear="1"&gt;&lt;Author&gt;SRMC&lt;/Author&gt;&lt;RecNum&gt;879&lt;/RecNum&gt;&lt;DisplayText&gt;(SRMC)&lt;/DisplayText&gt;&lt;record&gt;&lt;rec-number&gt;879&lt;/rec-number&gt;&lt;foreign-keys&gt;&lt;key app="EN" db-id="95tpr2tp6r9xwoea9rb5wdsz5ds5xeddteew" timestamp="1680069511"&gt;879&lt;/key&gt;&lt;/foreign-keys&gt;&lt;ref-type name="Web Page"&gt;12&lt;/ref-type&gt;&lt;contributors&gt;&lt;authors&gt;&lt;author&gt;SRMC&lt;/author&gt;&lt;/authors&gt;&lt;/contributors&gt;&lt;titles&gt;&lt;title&gt;Welcome to the SRMC…&lt;/title&gt;&lt;/titles&gt;&lt;number&gt;22. mars 2023&lt;/number&gt;&lt;dates&gt;&lt;/dates&gt;&lt;publisher&gt;Scottish Rural Medicine Collaborative&lt;/publisher&gt;&lt;work-type&gt;nettdokument&lt;/work-type&gt;&lt;urls&gt;&lt;related-urls&gt;&lt;url&gt;https://www.srmc.scot.nhs.uk/&lt;/url&gt;&lt;/related-urls&gt;&lt;/urls&gt;&lt;/record&gt;&lt;/Cite&gt;&lt;/EndNote&gt;</w:instrText>
      </w:r>
      <w:r w:rsidR="00C812CE">
        <w:fldChar w:fldCharType="separate"/>
      </w:r>
      <w:r w:rsidR="00C812CE">
        <w:rPr>
          <w:noProof/>
        </w:rPr>
        <w:t>(SRMC)</w:t>
      </w:r>
      <w:r w:rsidR="00C812CE">
        <w:fldChar w:fldCharType="end"/>
      </w:r>
      <w:r>
        <w:t xml:space="preserve">. </w:t>
      </w:r>
      <w:r w:rsidRPr="00DC206D">
        <w:t xml:space="preserve">Praksiser i områder med betydelig deprivasjon kan også slite med å rekruttere </w:t>
      </w:r>
      <w:r>
        <w:t xml:space="preserve">leger på grunn av store tjenestebehov, høy </w:t>
      </w:r>
      <w:r w:rsidRPr="00DC206D">
        <w:t>arbeidsbelastning, kompleks</w:t>
      </w:r>
      <w:r>
        <w:t xml:space="preserve">e kliniske problemstillinger og </w:t>
      </w:r>
      <w:r w:rsidRPr="00DC206D">
        <w:t xml:space="preserve">svært mange </w:t>
      </w:r>
      <w:r>
        <w:t xml:space="preserve">innbyggere </w:t>
      </w:r>
      <w:r w:rsidRPr="00DC206D">
        <w:t>med psykisk helse</w:t>
      </w:r>
      <w:r w:rsidR="00705930">
        <w:t>-</w:t>
      </w:r>
      <w:r w:rsidRPr="00DC206D">
        <w:t xml:space="preserve"> og rusproblemer</w:t>
      </w:r>
      <w:r w:rsidR="00B10894">
        <w:t xml:space="preserve"> </w:t>
      </w:r>
      <w:r w:rsidR="00C812CE">
        <w:fldChar w:fldCharType="begin"/>
      </w:r>
      <w:r w:rsidR="00C812CE">
        <w:instrText xml:space="preserve"> ADDIN EN.CITE &lt;EndNote&gt;&lt;Cite ExcludeYear="1"&gt;&lt;Author&gt;University of Glascow&lt;/Author&gt;&lt;RecNum&gt;741&lt;/RecNum&gt;&lt;DisplayText&gt;(University of Glascow)&lt;/DisplayText&gt;&lt;record&gt;&lt;rec-number&gt;741&lt;/rec-number&gt;&lt;foreign-keys&gt;&lt;key app="EN" db-id="95tpr2tp6r9xwoea9rb5wdsz5ds5xeddteew" timestamp="1680069511"&gt;741&lt;/key&gt;&lt;/foreign-keys&gt;&lt;ref-type name="Web Page"&gt;12&lt;/ref-type&gt;&lt;contributors&gt;&lt;authors&gt;&lt;author&gt;University of Glascow,&lt;/author&gt;&lt;/authors&gt;&lt;/contributors&gt;&lt;titles&gt;&lt;title&gt;The Scottish Deep End Project&lt;/title&gt;&lt;/titles&gt;&lt;number&gt;20. mars 2023&lt;/number&gt;&lt;dates&gt;&lt;/dates&gt;&lt;publisher&gt;University of Glasgow,&lt;/publisher&gt;&lt;work-type&gt;nettdokument&lt;/work-type&gt;&lt;urls&gt;&lt;related-urls&gt;&lt;url&gt;https://www.gla.ac.uk/schools/healthwellbeing/research/generalpractice/deepend/&lt;/url&gt;&lt;/related-urls&gt;&lt;/urls&gt;&lt;/record&gt;&lt;/Cite&gt;&lt;/EndNote&gt;</w:instrText>
      </w:r>
      <w:r w:rsidR="00C812CE">
        <w:fldChar w:fldCharType="separate"/>
      </w:r>
      <w:r w:rsidR="00C812CE">
        <w:rPr>
          <w:noProof/>
        </w:rPr>
        <w:t>(University of Glascow)</w:t>
      </w:r>
      <w:r w:rsidR="00C812CE">
        <w:fldChar w:fldCharType="end"/>
      </w:r>
      <w:r w:rsidRPr="00DC206D">
        <w:t>.</w:t>
      </w:r>
      <w:r>
        <w:t xml:space="preserve"> Lavere jobbtilfredshet blant allmennpraktikere i depriverte områder</w:t>
      </w:r>
      <w:r w:rsidR="00705930">
        <w:t>,</w:t>
      </w:r>
      <w:r>
        <w:t xml:space="preserve"> sammenfaller med lavere pasienttilfredshet med tjenestene </w:t>
      </w:r>
      <w:r>
        <w:fldChar w:fldCharType="begin"/>
      </w:r>
      <w:r w:rsidR="004654FD">
        <w:instrText xml:space="preserve"> ADDIN EN.CITE &lt;EndNote&gt;&lt;Cite&gt;&lt;Author&gt;Mercer&lt;/Author&gt;&lt;Year&gt;2023&lt;/Year&gt;&lt;RecNum&gt;303&lt;/RecNum&gt;&lt;DisplayText&gt;(Mercer et al., 2023)&lt;/DisplayText&gt;&lt;record&gt;&lt;rec-number&gt;303&lt;/rec-number&gt;&lt;foreign-keys&gt;&lt;key app="EN" db-id="95tpr2tp6r9xwoea9rb5wdsz5ds5xeddteew" timestamp="1680069511"&gt;303&lt;/key&gt;&lt;/foreign-keys&gt;&lt;ref-type name="Journal Article"&gt;17&lt;/ref-type&gt;&lt;contributors&gt;&lt;authors&gt;&lt;author&gt;Mercer, Stewart W&lt;/author&gt;&lt;author&gt;Lunan, Carey J&lt;/author&gt;&lt;author&gt;MacRae, Clare&lt;/author&gt;&lt;author&gt;Henderson, David AG&lt;/author&gt;&lt;author&gt;Fitzpatrick, Bridie&lt;/author&gt;&lt;author&gt;Reilly, Johanna&lt;/author&gt;&lt;/authors&gt;&lt;/contributors&gt;&lt;titles&gt;&lt;title&gt;Half a century of the inverse care law: A comparison of general practitioner job satisfaction and patient satisfaction in deprived and affluent areas of Scotland&lt;/title&gt;&lt;secondary-title&gt;Scottish Medical Journal&lt;/secondary-title&gt;&lt;/titles&gt;&lt;periodical&gt;&lt;full-title&gt;Scottish Medical Journal&lt;/full-title&gt;&lt;/periodical&gt;&lt;pages&gt;14-20&lt;/pages&gt;&lt;volume&gt;68&lt;/volume&gt;&lt;number&gt;1&lt;/number&gt;&lt;keywords&gt;&lt;keyword&gt;General practice,health status disparities,job satisfaction,patient satisfaction,socioeconomic factors,surveys and questionnaire&lt;/keyword&gt;&lt;/keywords&gt;&lt;dates&gt;&lt;year&gt;2023&lt;/year&gt;&lt;/dates&gt;&lt;accession-num&gt;36250546&lt;/accession-num&gt;&lt;urls&gt;&lt;related-urls&gt;&lt;url&gt;https://journals.sagepub.com/doi/abs/10.1177/00369330221132156&lt;/url&gt;&lt;/related-urls&gt;&lt;/urls&gt;&lt;/record&gt;&lt;/Cite&gt;&lt;/EndNote&gt;</w:instrText>
      </w:r>
      <w:r>
        <w:fldChar w:fldCharType="separate"/>
      </w:r>
      <w:r>
        <w:rPr>
          <w:noProof/>
        </w:rPr>
        <w:t>(Mercer et al., 2023)</w:t>
      </w:r>
      <w:r>
        <w:fldChar w:fldCharType="end"/>
      </w:r>
      <w:r w:rsidR="000162C2">
        <w:t xml:space="preserve"> og gjenspeiler at</w:t>
      </w:r>
      <w:r>
        <w:t xml:space="preserve"> tilgjengeligheten til gode helse- og sosialtjenester varierer omvendt med behovet for tjenester i befolkningen. Dette er en utfordring </w:t>
      </w:r>
      <w:r w:rsidR="00733AA2">
        <w:t xml:space="preserve">også i flere andre </w:t>
      </w:r>
      <w:r>
        <w:t xml:space="preserve">land. En studie fra England konkluderte med at </w:t>
      </w:r>
      <w:r w:rsidR="00493C4F">
        <w:t>områder med</w:t>
      </w:r>
      <w:r w:rsidR="00246B19">
        <w:t xml:space="preserve"> lav </w:t>
      </w:r>
      <w:r w:rsidR="00C70BB0">
        <w:t>sosioøkomisk status</w:t>
      </w:r>
      <w:r>
        <w:t xml:space="preserve"> ofte er underfinansiert, </w:t>
      </w:r>
      <w:r w:rsidR="00C70BB0">
        <w:t xml:space="preserve">er underbemannet </w:t>
      </w:r>
      <w:r w:rsidR="00436417">
        <w:t>med</w:t>
      </w:r>
      <w:r w:rsidR="00C70BB0">
        <w:t xml:space="preserve"> leger</w:t>
      </w:r>
      <w:r w:rsidR="00436417">
        <w:t>,</w:t>
      </w:r>
      <w:r>
        <w:t xml:space="preserve"> og </w:t>
      </w:r>
      <w:r w:rsidR="00C70BB0">
        <w:t>at</w:t>
      </w:r>
      <w:r>
        <w:t xml:space="preserve"> praks</w:t>
      </w:r>
      <w:r w:rsidR="00436417">
        <w:t>is</w:t>
      </w:r>
      <w:r>
        <w:t xml:space="preserve">ene scorer dårligere på kvalitetsindikatorer sammenlignet med praksiser i mer velstående områder </w:t>
      </w:r>
      <w:r>
        <w:fldChar w:fldCharType="begin">
          <w:fldData xml:space="preserve">PEVuZE5vdGU+PENpdGU+PEF1dGhvcj5GaXNoZXI8L0F1dGhvcj48WWVhcj4yMDIyPC9ZZWFyPjxS
ZWNOdW0+Nzk5PC9SZWNOdW0+PERpc3BsYXlUZXh0Pig8c3R5bGUgZmFjZT0iaXRhbGljIj5BY2Nl
c3MgdG8gR1AgYXBwb2ludG1lbnRzIGFuZCBzZXJ2aWNlczwvc3R5bGU+LCAyMDIyOyBGaXNoZXIg
ZXQgYWwuLCAyMDIyOyBOdXNzYmF1bSBldCBhbC4sIDIwMjEpPC9EaXNwbGF5VGV4dD48cmVjb3Jk
PjxyZWMtbnVtYmVyPjc5OTwvcmVjLW51bWJlcj48Zm9yZWlnbi1rZXlzPjxrZXkgYXBwPSJFTiIg
ZGItaWQ9Ijk1dHByMnRwNnI5eHdvZWE5cmI1d2RzejVkczV4ZWRkdGVldyIgdGltZXN0YW1wPSIx
NjgwMDY5NTExIj43OTk8L2tleT48L2ZvcmVpZ24ta2V5cz48cmVmLXR5cGUgbmFtZT0iUmVwb3J0
Ij4yNzwvcmVmLXR5cGU+PGNvbnRyaWJ1dG9ycz48YXV0aG9ycz48YXV0aG9yPlJlYmVjY2EgRmlz
aGVyICA8L2F1dGhvcj48YXV0aG9yPkx1Y2luZGEgQWxsZW4gIDwvYXV0aG9yPjxhdXRob3I+QWth
bmtzaGEgTWltaSBNYWxob3RyYSAgPC9hdXRob3I+PGF1dGhvcj5IdWdoIEFsZGVyd2ljazwvYXV0
aG9yPjwvYXV0aG9ycz48L2NvbnRyaWJ1dG9ycz48dGl0bGVzPjx0aXRsZT5UYWNrbGluZyB0aGUg
aW52ZXJzZSBjYXJlIGxhdzogQW5hbHlzaXMgb2YgcG9saWNpZXMgdG8gaW1wcm92ZSBnZW5lcmFs
IHByYWN0aWNlIGluIGRlcHJpdmVkIGFyZWFzIHNpbmNlIDE5OTA8L3RpdGxlPjxzZWNvbmRhcnkt
dGl0bGU+QW5hbHlzaXM8L3NlY29uZGFyeS10aXRsZT48L3RpdGxlcz48ZGF0ZXM+PHllYXI+MjAy
MjwveWVhcj48L2RhdGVzPjxwdWItbG9jYXRpb24+TG9uZG9uPC9wdWItbG9jYXRpb24+PHB1Ymxp
c2hlcj5UaGUgSGVhbHRoIEZvdW5kYXRpb248L3B1Ymxpc2hlcj48dXJscz48L3VybHM+PC9yZWNv
cmQ+PC9DaXRlPjxDaXRlPjxZZWFyPjIwMjI8L1llYXI+PFJlY051bT4xMjc3PC9SZWNOdW0+PHJl
Y29yZD48cmVjLW51bWJlcj4xMjc3PC9yZWMtbnVtYmVyPjxmb3JlaWduLWtleXM+PGtleSBhcHA9
IkVOIiBkYi1pZD0iZno5d3hhdDlueGVzczhlMjJ3cXhycjlrd3Jlcnd0ZTl0cnpzIiB0aW1lc3Rh
bXA9IjE2NzkzMTkxMzYiPjEyNzc8L2tleT48L2ZvcmVpZ24ta2V5cz48cmVmLXR5cGUgbmFtZT0i
V2ViIFBhZ2UiPjEyPC9yZWYtdHlwZT48Y29udHJpYnV0b3JzPjwvY29udHJpYnV0b3JzPjx0aXRs
ZXM+PHRpdGxlPkFjY2VzcyB0byBHUCBhcHBvaW50bWVudHMgYW5kIHNlcnZpY2VzPC90aXRsZT48
L3RpdGxlcz48bnVtYmVyPjIwLjAzLjIzPC9udW1iZXI+PGRhdGVzPjx5ZWFyPjIwMjI8L3llYXI+
PHB1Yi1kYXRlcz48ZGF0ZT4xNS4gZGVzZW1iZXIgMjAyMjwvZGF0ZT48L3B1Yi1kYXRlcz48L2Rh
dGVzPjxwdWItbG9jYXRpb24+TG9uZG9uPC9wdWItbG9jYXRpb24+PHB1Ymxpc2hlcj5OdWZmaWVs
ZCBUcnVzdDwvcHVibGlzaGVyPjx3b3JrLXR5cGU+bmV0dGRva3VtZW50PC93b3JrLXR5cGU+PHVy
bHM+PHJlbGF0ZWQtdXJscz48dXJsPmh0dHBzOi8vd3d3Lm51ZmZpZWxkdHJ1c3Qub3JnLnVrL3Jl
c291cmNlL2FjY2Vzcy10by1ncC1zZXJ2aWNlczwvdXJsPjwvcmVsYXRlZC11cmxzPjwvdXJscz48
L3JlY29yZD48L0NpdGU+PENpdGU+PEF1dGhvcj5OdXNzYmF1bTwvQXV0aG9yPjxZZWFyPjIwMjE8
L1llYXI+PFJlY051bT4zODI8L1JlY051bT48cmVjb3JkPjxyZWMtbnVtYmVyPjM4MjwvcmVjLW51
bWJlcj48Zm9yZWlnbi1rZXlzPjxrZXkgYXBwPSJFTiIgZGItaWQ9Ijk1dHByMnRwNnI5eHdvZWE5
cmI1d2RzejVkczV4ZWRkdGVldyIgdGltZXN0YW1wPSIxNjgwMDY5NTExIj4zODI8L2tleT48L2Zv
cmVpZ24ta2V5cz48cmVmLXR5cGUgbmFtZT0iSm91cm5hbCBBcnRpY2xlIj4xNzwvcmVmLXR5cGU+
PGNvbnRyaWJ1dG9ycz48YXV0aG9ycz48YXV0aG9yPk51c3NiYXVtLCBDbGFpcmU8L2F1dGhvcj48
YXV0aG9yPk1hc3NvdSwgRWZ0aGFsaWE8L2F1dGhvcj48YXV0aG9yPkZpc2hlciwgUmViZWNjYTwv
YXV0aG9yPjxhdXRob3I+TW9yY2lhbm8sIE1hcmNlbGxvPC9hdXRob3I+PGF1dGhvcj5IYXJtZXIs
IFJhY2hlbDwvYXV0aG9yPjxhdXRob3I+Rm9yZCwgSm9objwvYXV0aG9yPjwvYXV0aG9ycz48L2Nv
bnRyaWJ1dG9ycz48dGl0bGVzPjx0aXRsZT5JbmVxdWFsaXRpZXMgaW4gdGhlIGRpc3RyaWJ1dGlv
biBvZiB0aGUgZ2VuZXJhbCBwcmFjdGljZSB3b3JrZm9yY2UgaW4gRW5nbGFuZDogYSBwcmFjdGlj
ZS1sZXZlbCBsb25naXR1ZGluYWwgYW5hbHlzaXM8L3RpdGxlPjxzZWNvbmRhcnktdGl0bGU+QkpH
UCBPcGVuPC9zZWNvbmRhcnktdGl0bGU+PC90aXRsZXM+PHBlcmlvZGljYWw+PGZ1bGwtdGl0bGU+
QkpHUCBPcGVuPC9mdWxsLXRpdGxlPjxhYmJyLTE+QkpHUCBvcGVuPC9hYmJyLTE+PC9wZXJpb2Rp
Y2FsPjxwYWdlcz5CSkdQTy4yMDIxLjAwNjY8L3BhZ2VzPjx2b2x1bWU+NTwvdm9sdW1lPjxudW1i
ZXI+NTwvbnVtYmVyPjxkYXRlcz48eWVhcj4yMDIxPC95ZWFyPjwvZGF0ZXM+PHVybHM+PHJlbGF0
ZWQtdXJscz48dXJsPmh0dHBzOi8vYmpncG9wZW4ub3JnL2NvbnRlbnQvYmpncG9hLzUvNS9CSkdQ
Ty4yMDIxLjAwNjYuZnVsbC5wZGY8L3VybD48L3JlbGF0ZWQtdXJscz48L3VybHM+PC9yZWNvcmQ+
PC9DaXRlPjwvRW5kTm90ZT4A
</w:fldData>
        </w:fldChar>
      </w:r>
      <w:r w:rsidR="004654FD">
        <w:instrText xml:space="preserve"> ADDIN EN.CITE </w:instrText>
      </w:r>
      <w:r w:rsidR="004654FD">
        <w:fldChar w:fldCharType="begin">
          <w:fldData xml:space="preserve">PEVuZE5vdGU+PENpdGU+PEF1dGhvcj5GaXNoZXI8L0F1dGhvcj48WWVhcj4yMDIyPC9ZZWFyPjxS
ZWNOdW0+Nzk5PC9SZWNOdW0+PERpc3BsYXlUZXh0Pig8c3R5bGUgZmFjZT0iaXRhbGljIj5BY2Nl
c3MgdG8gR1AgYXBwb2ludG1lbnRzIGFuZCBzZXJ2aWNlczwvc3R5bGU+LCAyMDIyOyBGaXNoZXIg
ZXQgYWwuLCAyMDIyOyBOdXNzYmF1bSBldCBhbC4sIDIwMjEpPC9EaXNwbGF5VGV4dD48cmVjb3Jk
PjxyZWMtbnVtYmVyPjc5OTwvcmVjLW51bWJlcj48Zm9yZWlnbi1rZXlzPjxrZXkgYXBwPSJFTiIg
ZGItaWQ9Ijk1dHByMnRwNnI5eHdvZWE5cmI1d2RzejVkczV4ZWRkdGVldyIgdGltZXN0YW1wPSIx
NjgwMDY5NTExIj43OTk8L2tleT48L2ZvcmVpZ24ta2V5cz48cmVmLXR5cGUgbmFtZT0iUmVwb3J0
Ij4yNzwvcmVmLXR5cGU+PGNvbnRyaWJ1dG9ycz48YXV0aG9ycz48YXV0aG9yPlJlYmVjY2EgRmlz
aGVyICA8L2F1dGhvcj48YXV0aG9yPkx1Y2luZGEgQWxsZW4gIDwvYXV0aG9yPjxhdXRob3I+QWth
bmtzaGEgTWltaSBNYWxob3RyYSAgPC9hdXRob3I+PGF1dGhvcj5IdWdoIEFsZGVyd2ljazwvYXV0
aG9yPjwvYXV0aG9ycz48L2NvbnRyaWJ1dG9ycz48dGl0bGVzPjx0aXRsZT5UYWNrbGluZyB0aGUg
aW52ZXJzZSBjYXJlIGxhdzogQW5hbHlzaXMgb2YgcG9saWNpZXMgdG8gaW1wcm92ZSBnZW5lcmFs
IHByYWN0aWNlIGluIGRlcHJpdmVkIGFyZWFzIHNpbmNlIDE5OTA8L3RpdGxlPjxzZWNvbmRhcnkt
dGl0bGU+QW5hbHlzaXM8L3NlY29uZGFyeS10aXRsZT48L3RpdGxlcz48ZGF0ZXM+PHllYXI+MjAy
MjwveWVhcj48L2RhdGVzPjxwdWItbG9jYXRpb24+TG9uZG9uPC9wdWItbG9jYXRpb24+PHB1Ymxp
c2hlcj5UaGUgSGVhbHRoIEZvdW5kYXRpb248L3B1Ymxpc2hlcj48dXJscz48L3VybHM+PC9yZWNv
cmQ+PC9DaXRlPjxDaXRlPjxZZWFyPjIwMjI8L1llYXI+PFJlY051bT4xMjc3PC9SZWNOdW0+PHJl
Y29yZD48cmVjLW51bWJlcj4xMjc3PC9yZWMtbnVtYmVyPjxmb3JlaWduLWtleXM+PGtleSBhcHA9
IkVOIiBkYi1pZD0iZno5d3hhdDlueGVzczhlMjJ3cXhycjlrd3Jlcnd0ZTl0cnpzIiB0aW1lc3Rh
bXA9IjE2NzkzMTkxMzYiPjEyNzc8L2tleT48L2ZvcmVpZ24ta2V5cz48cmVmLXR5cGUgbmFtZT0i
V2ViIFBhZ2UiPjEyPC9yZWYtdHlwZT48Y29udHJpYnV0b3JzPjwvY29udHJpYnV0b3JzPjx0aXRs
ZXM+PHRpdGxlPkFjY2VzcyB0byBHUCBhcHBvaW50bWVudHMgYW5kIHNlcnZpY2VzPC90aXRsZT48
L3RpdGxlcz48bnVtYmVyPjIwLjAzLjIzPC9udW1iZXI+PGRhdGVzPjx5ZWFyPjIwMjI8L3llYXI+
PHB1Yi1kYXRlcz48ZGF0ZT4xNS4gZGVzZW1iZXIgMjAyMjwvZGF0ZT48L3B1Yi1kYXRlcz48L2Rh
dGVzPjxwdWItbG9jYXRpb24+TG9uZG9uPC9wdWItbG9jYXRpb24+PHB1Ymxpc2hlcj5OdWZmaWVs
ZCBUcnVzdDwvcHVibGlzaGVyPjx3b3JrLXR5cGU+bmV0dGRva3VtZW50PC93b3JrLXR5cGU+PHVy
bHM+PHJlbGF0ZWQtdXJscz48dXJsPmh0dHBzOi8vd3d3Lm51ZmZpZWxkdHJ1c3Qub3JnLnVrL3Jl
c291cmNlL2FjY2Vzcy10by1ncC1zZXJ2aWNlczwvdXJsPjwvcmVsYXRlZC11cmxzPjwvdXJscz48
L3JlY29yZD48L0NpdGU+PENpdGU+PEF1dGhvcj5OdXNzYmF1bTwvQXV0aG9yPjxZZWFyPjIwMjE8
L1llYXI+PFJlY051bT4zODI8L1JlY051bT48cmVjb3JkPjxyZWMtbnVtYmVyPjM4MjwvcmVjLW51
bWJlcj48Zm9yZWlnbi1rZXlzPjxrZXkgYXBwPSJFTiIgZGItaWQ9Ijk1dHByMnRwNnI5eHdvZWE5
cmI1d2RzejVkczV4ZWRkdGVldyIgdGltZXN0YW1wPSIxNjgwMDY5NTExIj4zODI8L2tleT48L2Zv
cmVpZ24ta2V5cz48cmVmLXR5cGUgbmFtZT0iSm91cm5hbCBBcnRpY2xlIj4xNzwvcmVmLXR5cGU+
PGNvbnRyaWJ1dG9ycz48YXV0aG9ycz48YXV0aG9yPk51c3NiYXVtLCBDbGFpcmU8L2F1dGhvcj48
YXV0aG9yPk1hc3NvdSwgRWZ0aGFsaWE8L2F1dGhvcj48YXV0aG9yPkZpc2hlciwgUmViZWNjYTwv
YXV0aG9yPjxhdXRob3I+TW9yY2lhbm8sIE1hcmNlbGxvPC9hdXRob3I+PGF1dGhvcj5IYXJtZXIs
IFJhY2hlbDwvYXV0aG9yPjxhdXRob3I+Rm9yZCwgSm9objwvYXV0aG9yPjwvYXV0aG9ycz48L2Nv
bnRyaWJ1dG9ycz48dGl0bGVzPjx0aXRsZT5JbmVxdWFsaXRpZXMgaW4gdGhlIGRpc3RyaWJ1dGlv
biBvZiB0aGUgZ2VuZXJhbCBwcmFjdGljZSB3b3JrZm9yY2UgaW4gRW5nbGFuZDogYSBwcmFjdGlj
ZS1sZXZlbCBsb25naXR1ZGluYWwgYW5hbHlzaXM8L3RpdGxlPjxzZWNvbmRhcnktdGl0bGU+QkpH
UCBPcGVuPC9zZWNvbmRhcnktdGl0bGU+PC90aXRsZXM+PHBlcmlvZGljYWw+PGZ1bGwtdGl0bGU+
QkpHUCBPcGVuPC9mdWxsLXRpdGxlPjxhYmJyLTE+QkpHUCBvcGVuPC9hYmJyLTE+PC9wZXJpb2Rp
Y2FsPjxwYWdlcz5CSkdQTy4yMDIxLjAwNjY8L3BhZ2VzPjx2b2x1bWU+NTwvdm9sdW1lPjxudW1i
ZXI+NTwvbnVtYmVyPjxkYXRlcz48eWVhcj4yMDIxPC95ZWFyPjwvZGF0ZXM+PHVybHM+PHJlbGF0
ZWQtdXJscz48dXJsPmh0dHBzOi8vYmpncG9wZW4ub3JnL2NvbnRlbnQvYmpncG9hLzUvNS9CSkdQ
Ty4yMDIxLjAwNjYuZnVsbC5wZGY8L3VybD48L3JlbGF0ZWQtdXJscz48L3VybHM+PC9yZWNvcmQ+
PC9DaXRlPjwvRW5kTm90ZT4A
</w:fldData>
        </w:fldChar>
      </w:r>
      <w:r w:rsidR="004654FD">
        <w:instrText xml:space="preserve"> ADDIN EN.CITE.DATA </w:instrText>
      </w:r>
      <w:r w:rsidR="004654FD">
        <w:fldChar w:fldCharType="end"/>
      </w:r>
      <w:r>
        <w:fldChar w:fldCharType="separate"/>
      </w:r>
      <w:r w:rsidR="004654FD">
        <w:rPr>
          <w:noProof/>
        </w:rPr>
        <w:t>(</w:t>
      </w:r>
      <w:r w:rsidR="004654FD" w:rsidRPr="00D9107F">
        <w:rPr>
          <w:rStyle w:val="kursiv"/>
        </w:rPr>
        <w:t>Access to GP appointments and services</w:t>
      </w:r>
      <w:r w:rsidR="004654FD">
        <w:rPr>
          <w:noProof/>
        </w:rPr>
        <w:t>, 2022; Fisher et al., 2022; Nussbaum et al., 2021)</w:t>
      </w:r>
      <w:r>
        <w:fldChar w:fldCharType="end"/>
      </w:r>
      <w:r>
        <w:t>.</w:t>
      </w:r>
    </w:p>
    <w:p w14:paraId="6494DE73" w14:textId="6FFEFD72" w:rsidR="003C1895" w:rsidRPr="00481FB2" w:rsidRDefault="003C1895" w:rsidP="00775632">
      <w:pPr>
        <w:pStyle w:val="Overskrift3"/>
      </w:pPr>
      <w:bookmarkStart w:id="714" w:name="_Toc130154229"/>
      <w:bookmarkStart w:id="715" w:name="_Toc130490046"/>
      <w:bookmarkStart w:id="716" w:name="_Toc130763770"/>
      <w:bookmarkStart w:id="717" w:name="_Toc130766656"/>
      <w:bookmarkStart w:id="718" w:name="_Toc130932060"/>
      <w:bookmarkStart w:id="719" w:name="_Toc130934351"/>
      <w:bookmarkStart w:id="720" w:name="_Toc130983406"/>
      <w:bookmarkStart w:id="721" w:name="_Toc130983755"/>
      <w:bookmarkStart w:id="722" w:name="_Toc131062087"/>
      <w:bookmarkStart w:id="723" w:name="_Toc131062341"/>
      <w:bookmarkStart w:id="724" w:name="_Toc131062602"/>
      <w:bookmarkStart w:id="725" w:name="_Toc131062855"/>
      <w:bookmarkStart w:id="726" w:name="_Toc131063623"/>
      <w:bookmarkStart w:id="727" w:name="_Toc131064041"/>
      <w:bookmarkStart w:id="728" w:name="_Toc131238331"/>
      <w:bookmarkStart w:id="729" w:name="_Toc131279361"/>
      <w:bookmarkStart w:id="730" w:name="_Toc131286773"/>
      <w:bookmarkStart w:id="731" w:name="_Toc131281183"/>
      <w:bookmarkStart w:id="732" w:name="_Toc131317722"/>
      <w:bookmarkStart w:id="733" w:name="_Toc132536926"/>
      <w:r w:rsidRPr="00481FB2">
        <w:t>Finne gode modeller for samhandling, samarbeid og arbeidsdeling</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6788471F" w14:textId="77777777" w:rsidR="00D9107F" w:rsidRDefault="003C1895" w:rsidP="007B40C1">
      <w:pPr>
        <w:jc w:val="both"/>
      </w:pPr>
      <w:r w:rsidRPr="0044202B">
        <w:t xml:space="preserve">God samhandling og koordinering </w:t>
      </w:r>
      <w:r w:rsidR="006917DE">
        <w:t xml:space="preserve">av </w:t>
      </w:r>
      <w:r w:rsidRPr="0044202B">
        <w:t>pasientforløpene horisontalt og vertikalt i helse- og omsorgstjen</w:t>
      </w:r>
      <w:r>
        <w:t>e</w:t>
      </w:r>
      <w:r w:rsidRPr="0044202B">
        <w:t>sten er en stor utfordring i de fleste land</w:t>
      </w:r>
      <w:r w:rsidR="00F77D26">
        <w:t xml:space="preserve">. </w:t>
      </w:r>
      <w:r w:rsidR="002C73DD">
        <w:t>Liksom i Norge er</w:t>
      </w:r>
      <w:r w:rsidR="005506D2">
        <w:t xml:space="preserve"> også samhandling og oppgavefordeling i </w:t>
      </w:r>
      <w:r w:rsidR="005506D2" w:rsidRPr="006D1B9B">
        <w:t>oppfølgi</w:t>
      </w:r>
      <w:r w:rsidR="005506D2">
        <w:t>n</w:t>
      </w:r>
      <w:r w:rsidR="005506D2" w:rsidRPr="006D1B9B">
        <w:t xml:space="preserve">gen av pasientgrupper </w:t>
      </w:r>
      <w:r w:rsidR="005506D2">
        <w:t xml:space="preserve">med </w:t>
      </w:r>
      <w:r w:rsidR="005506D2" w:rsidRPr="006D1B9B">
        <w:t>sammensatte eller langvarige behov for hjelp</w:t>
      </w:r>
      <w:r w:rsidR="00F647C2">
        <w:t>,</w:t>
      </w:r>
      <w:r w:rsidR="005506D2">
        <w:t xml:space="preserve"> sentrale tema i de andre landene</w:t>
      </w:r>
      <w:r w:rsidR="005506D2" w:rsidRPr="006D1B9B">
        <w:t xml:space="preserve">. </w:t>
      </w:r>
      <w:r w:rsidR="0082579A">
        <w:t>E</w:t>
      </w:r>
      <w:r w:rsidRPr="0044202B">
        <w:t>ffektive modeller for samarbeid, informasjonsdeling og arbeidsdeling står sentral</w:t>
      </w:r>
      <w:r w:rsidR="009947B0">
        <w:t>t</w:t>
      </w:r>
      <w:r w:rsidRPr="0044202B">
        <w:t xml:space="preserve"> i utviklingen av tjen</w:t>
      </w:r>
      <w:r>
        <w:t>e</w:t>
      </w:r>
      <w:r w:rsidRPr="0044202B">
        <w:t xml:space="preserve">stene </w:t>
      </w:r>
      <w:r>
        <w:fldChar w:fldCharType="begin"/>
      </w:r>
      <w:r w:rsidR="00D078E3">
        <w:instrText xml:space="preserve"> ADDIN EN.CITE &lt;EndNote&gt;&lt;Cite&gt;&lt;Author&gt;OECD&lt;/Author&gt;&lt;Year&gt;2020&lt;/Year&gt;&lt;RecNum&gt;687&lt;/RecNum&gt;&lt;DisplayText&gt;(OECD, 2020b)&lt;/DisplayText&gt;&lt;record&gt;&lt;rec-number&gt;687&lt;/rec-number&gt;&lt;foreign-keys&gt;&lt;key app="EN" db-id="95tpr2tp6r9xwoea9rb5wdsz5ds5xeddteew" timestamp="1680069511"&gt;687&lt;/key&gt;&lt;/foreign-keys&gt;&lt;ref-type name="Book"&gt;6&lt;/ref-type&gt;&lt;contributors&gt;&lt;authors&gt;&lt;author&gt;OECD&lt;/author&gt;&lt;/authors&gt;&lt;/contributors&gt;&lt;titles&gt;&lt;title&gt;Realising the Potential of Primary Health Care&lt;/title&gt;&lt;/titles&gt;&lt;dates&gt;&lt;year&gt;2020&lt;/year&gt;&lt;/dates&gt;&lt;urls&gt;&lt;related-urls&gt;&lt;url&gt;https://www.oecd-ilibrary.org/content/publication/a92adee4-en&lt;/url&gt;&lt;/related-urls&gt;&lt;/urls&gt;&lt;electronic-resource-num&gt;doi:https://doi.org/10.1787/a92adee4-en&lt;/electronic-resource-num&gt;&lt;/record&gt;&lt;/Cite&gt;&lt;/EndNote&gt;</w:instrText>
      </w:r>
      <w:r>
        <w:fldChar w:fldCharType="separate"/>
      </w:r>
      <w:r>
        <w:rPr>
          <w:noProof/>
        </w:rPr>
        <w:t>(OECD, 2020b)</w:t>
      </w:r>
      <w:r>
        <w:fldChar w:fldCharType="end"/>
      </w:r>
      <w:r w:rsidR="331B5B21" w:rsidRPr="0044202B">
        <w:t>.</w:t>
      </w:r>
      <w:r w:rsidRPr="0044202B">
        <w:t xml:space="preserve"> </w:t>
      </w:r>
      <w:r>
        <w:t xml:space="preserve">Kapasitetsutfordringer i </w:t>
      </w:r>
      <w:r w:rsidR="00A26CEE">
        <w:t>spesi</w:t>
      </w:r>
      <w:r w:rsidR="081DFBA5">
        <w:t>a</w:t>
      </w:r>
      <w:r w:rsidR="00A26CEE">
        <w:t>listhelsetjenesten</w:t>
      </w:r>
      <w:r w:rsidR="001363D4">
        <w:t xml:space="preserve"> </w:t>
      </w:r>
      <w:r>
        <w:t>har gitt r</w:t>
      </w:r>
      <w:r w:rsidRPr="0044202B">
        <w:t>edusert</w:t>
      </w:r>
      <w:r>
        <w:t xml:space="preserve">e </w:t>
      </w:r>
      <w:r w:rsidRPr="0044202B">
        <w:t xml:space="preserve">liggetider </w:t>
      </w:r>
      <w:r>
        <w:t>og påvirker ventetider på planlagt behandling. Dette styrker forventningene til at primærhelsetjenesten og lokalsamfunnene skal forebygge og følge opp befolkningens behov og etterspørsel etter tjenester i størst mulig grad.</w:t>
      </w:r>
    </w:p>
    <w:p w14:paraId="6C680E4F" w14:textId="77777777" w:rsidR="00D9107F" w:rsidRDefault="003C1895" w:rsidP="007B40C1">
      <w:pPr>
        <w:jc w:val="both"/>
      </w:pPr>
      <w:r w:rsidRPr="0080787E">
        <w:t>De fleste land har strategier</w:t>
      </w:r>
      <w:r w:rsidR="0082579A">
        <w:t xml:space="preserve"> og </w:t>
      </w:r>
      <w:r w:rsidRPr="0080787E">
        <w:t>reformer som skal underbygge en slik utvikling</w:t>
      </w:r>
      <w:r w:rsidRPr="00D9107F">
        <w:rPr>
          <w:rStyle w:val="kursiv"/>
        </w:rPr>
        <w:t xml:space="preserve">. </w:t>
      </w:r>
      <w:r>
        <w:t>En dreining mot større lokalbasert ansvar gir samtidig forventninger om at både ressurser og kompetanse fordeles på en god måte.</w:t>
      </w:r>
    </w:p>
    <w:p w14:paraId="605B5722" w14:textId="721D62E6" w:rsidR="00C22B6A" w:rsidRPr="00996079" w:rsidRDefault="00AA148C" w:rsidP="007B40C1">
      <w:pPr>
        <w:jc w:val="both"/>
      </w:pPr>
      <w:r>
        <w:rPr>
          <w:lang w:val="sv-SE"/>
        </w:rPr>
        <w:t xml:space="preserve">I Sverige ble </w:t>
      </w:r>
      <w:r w:rsidR="00C22B6A" w:rsidRPr="000278D9">
        <w:rPr>
          <w:lang w:val="sv-SE"/>
        </w:rPr>
        <w:t xml:space="preserve">God och nära vård-reformen vedtatt i 2020. </w:t>
      </w:r>
      <w:r w:rsidR="00C22B6A" w:rsidRPr="00AA148C">
        <w:t>Reformen tar sikte på en omorganisering av helsevesenet</w:t>
      </w:r>
      <w:r w:rsidR="00436417">
        <w:t>,</w:t>
      </w:r>
      <w:r w:rsidR="00C22B6A" w:rsidRPr="00AA148C">
        <w:t xml:space="preserve"> der primærhelsetjenesten skal være den viktige basisen og førstelinjen i helsevesenet, og dermed endre Sveriges tidligere sykehusfokuserte helsesystem. Målene med reformen er at primærhelsetjenesten skal bli navet i omsorgen, at tjenestene skal bli mer helsefremmende</w:t>
      </w:r>
      <w:r w:rsidR="00436417">
        <w:t>,</w:t>
      </w:r>
      <w:r w:rsidR="00C22B6A" w:rsidRPr="00AA148C">
        <w:t xml:space="preserve"> og at helsevesenet som helhet, skal bli mer effektivt. </w:t>
      </w:r>
      <w:r w:rsidR="00C22B6A" w:rsidRPr="00E065D6">
        <w:t>Regjeringen har tre fokusmål: økt tilgjengelighet, medvirkning/personsentrering</w:t>
      </w:r>
      <w:r w:rsidR="00436417">
        <w:t>,</w:t>
      </w:r>
      <w:r w:rsidR="00C22B6A" w:rsidRPr="00E065D6">
        <w:t xml:space="preserve"> og økt kontinuitet i primærhelsetjenesten. Som ledd i dette, er en målsetting at de som ønsker det skal få en fast </w:t>
      </w:r>
      <w:r w:rsidR="00C22B6A" w:rsidRPr="00E065D6">
        <w:lastRenderedPageBreak/>
        <w:t xml:space="preserve">legekontakt. Det er satt en nasjonal målsetting om 1100 innbyggere per spesialist i allmennmedisin og 550 innbyggere per lege i spesialisering (ST-lege) </w:t>
      </w:r>
      <w:r w:rsidR="00C812CE">
        <w:fldChar w:fldCharType="begin"/>
      </w:r>
      <w:r w:rsidR="004654FD">
        <w:instrText xml:space="preserve"> ADDIN EN.CITE &lt;EndNote&gt;&lt;Cite&gt;&lt;Author&gt;Socialstyrelsen&lt;/Author&gt;&lt;Year&gt;2022&lt;/Year&gt;&lt;RecNum&gt;1013&lt;/RecNum&gt;&lt;DisplayText&gt;(Socialstyrelsen, 2022)&lt;/DisplayText&gt;&lt;record&gt;&lt;rec-number&gt;1013&lt;/rec-number&gt;&lt;foreign-keys&gt;&lt;key app="EN" db-id="95tpr2tp6r9xwoea9rb5wdsz5ds5xeddteew" timestamp="1681121516"&gt;1013&lt;/key&gt;&lt;/foreign-keys&gt;&lt;ref-type name="Report"&gt;27&lt;/ref-type&gt;&lt;contributors&gt;&lt;authors&gt;&lt;author&gt;Socialstyrelsen&lt;/author&gt;&lt;/authors&gt;&lt;tertiary-authors&gt;&lt;author&gt;Socialstyrelsen&lt;/author&gt;&lt;/tertiary-authors&gt;&lt;/contributors&gt;&lt;titles&gt;&lt;title&gt;Nationellt riktvärde för fast läkarkontakt ska bidra till ökad kontinuitet och trygghet i primärvården&lt;/title&gt;&lt;/titles&gt;&lt;number&gt;2022-4-7896&lt;/number&gt;&lt;dates&gt;&lt;year&gt;2022&lt;/year&gt;&lt;/dates&gt;&lt;pub-location&gt;Stockholm&lt;/pub-location&gt;&lt;urls&gt;&lt;/urls&gt;&lt;/record&gt;&lt;/Cite&gt;&lt;/EndNote&gt;</w:instrText>
      </w:r>
      <w:r w:rsidR="00C812CE">
        <w:fldChar w:fldCharType="separate"/>
      </w:r>
      <w:r w:rsidR="00C812CE">
        <w:rPr>
          <w:noProof/>
        </w:rPr>
        <w:t>(Socialstyrelsen, 2022)</w:t>
      </w:r>
      <w:r w:rsidR="00C812CE">
        <w:fldChar w:fldCharType="end"/>
      </w:r>
      <w:r w:rsidR="00674CFF">
        <w:t>.</w:t>
      </w:r>
    </w:p>
    <w:p w14:paraId="01C0912C" w14:textId="33A663CB" w:rsidR="00D9107F" w:rsidRDefault="00C22B6A" w:rsidP="007B40C1">
      <w:pPr>
        <w:jc w:val="both"/>
      </w:pPr>
      <w:r w:rsidRPr="00AA148C">
        <w:t>Sundhedsreformen i Danmark (vedtatt 2022)</w:t>
      </w:r>
      <w:r w:rsidR="00D9107F">
        <w:t xml:space="preserve"> </w:t>
      </w:r>
      <w:r w:rsidRPr="00AA148C">
        <w:t xml:space="preserve">skal gi </w:t>
      </w:r>
      <w:r w:rsidR="00D9107F">
        <w:t>«</w:t>
      </w:r>
      <w:r w:rsidRPr="00AA148C">
        <w:t xml:space="preserve"> Et sammenhængende, nært og stærkt sundhetsvæsen</w:t>
      </w:r>
      <w:r w:rsidR="00D9107F">
        <w:t>»</w:t>
      </w:r>
      <w:r w:rsidR="00C812CE">
        <w:fldChar w:fldCharType="begin"/>
      </w:r>
      <w:r w:rsidR="00A27571">
        <w:instrText xml:space="preserve"> ADDIN EN.CITE &lt;EndNote&gt;&lt;Cite&gt;&lt;Author&gt;Sundhetsministeriet&lt;/Author&gt;&lt;Year&gt;2022&lt;/Year&gt;&lt;RecNum&gt;775&lt;/RecNum&gt;&lt;DisplayText&gt;(Sundhetsministeriet, 2022)&lt;/DisplayText&gt;&lt;record&gt;&lt;rec-number&gt;775&lt;/rec-number&gt;&lt;foreign-keys&gt;&lt;key app="EN" db-id="95tpr2tp6r9xwoea9rb5wdsz5ds5xeddteew" timestamp="1680069511"&gt;775&lt;/key&gt;&lt;/foreign-keys&gt;&lt;ref-type name="Report"&gt;27&lt;/ref-type&gt;&lt;contributors&gt;&lt;authors&gt;&lt;author&gt;Sundhetsministeriet&lt;/author&gt;&lt;/authors&gt;&lt;/contributors&gt;&lt;titles&gt;&lt;title&gt;Sundhetsreformen: Gør Danmark sundere&lt;/title&gt;&lt;/titles&gt;&lt;number&gt;MARTS 2022&lt;/number&gt;&lt;dates&gt;&lt;year&gt;2022&lt;/year&gt;&lt;/dates&gt;&lt;pub-location&gt;København&lt;/pub-location&gt;&lt;publisher&gt;Sundhetsministeriet&lt;/publisher&gt;&lt;urls&gt;&lt;/urls&gt;&lt;/record&gt;&lt;/Cite&gt;&lt;/EndNote&gt;</w:instrText>
      </w:r>
      <w:r w:rsidR="00C812CE">
        <w:fldChar w:fldCharType="separate"/>
      </w:r>
      <w:r w:rsidR="00C812CE">
        <w:rPr>
          <w:noProof/>
        </w:rPr>
        <w:t>(Sundhetsministeriet, 2022)</w:t>
      </w:r>
      <w:r w:rsidR="00C812CE">
        <w:fldChar w:fldCharType="end"/>
      </w:r>
      <w:r w:rsidRPr="00AA148C">
        <w:t xml:space="preserve">. </w:t>
      </w:r>
      <w:r w:rsidRPr="00E065D6">
        <w:t xml:space="preserve">Sentralt er etableringen av 25 nye </w:t>
      </w:r>
      <w:r w:rsidR="00D9107F">
        <w:t>«</w:t>
      </w:r>
      <w:r w:rsidRPr="00E065D6">
        <w:t>nærhospitaler</w:t>
      </w:r>
      <w:r w:rsidR="00D9107F">
        <w:t>»</w:t>
      </w:r>
      <w:r w:rsidRPr="00E065D6">
        <w:t>, bedre og mer ensartet kvalitet i behandlingen av kronisk syke</w:t>
      </w:r>
      <w:r w:rsidR="00436417">
        <w:t>,</w:t>
      </w:r>
      <w:r w:rsidRPr="00E065D6">
        <w:t xml:space="preserve"> og rekruttering av flere medarbeidere, herunder leger. Målet er 43 prosent vekst i allmennleger innen 2035. Nærhospitalene skal romme spesialisthelsetjenester, allmennpraksis og kommunale oppgaver, men ikke ha sengeplasser. Fra tidligere er det etablert såkalte </w:t>
      </w:r>
      <w:r w:rsidR="00D9107F">
        <w:t>«</w:t>
      </w:r>
      <w:r w:rsidRPr="00E065D6">
        <w:t>Sundhedshuse</w:t>
      </w:r>
      <w:r w:rsidR="00D9107F">
        <w:t>»</w:t>
      </w:r>
      <w:r w:rsidR="00436417">
        <w:t>,</w:t>
      </w:r>
      <w:r w:rsidRPr="00E065D6">
        <w:t xml:space="preserve"> som samler flere helsetilbud samlet under samme tak for å skape bedre samhandling på tvers innen kommunene, herunder allmennleger, jordmorsentre, psykiatritilbud og sykepleieklinikk.</w:t>
      </w:r>
    </w:p>
    <w:p w14:paraId="0A5EC314" w14:textId="312AB821" w:rsidR="00D9107F" w:rsidRDefault="00C22B6A" w:rsidP="007B40C1">
      <w:pPr>
        <w:jc w:val="both"/>
      </w:pPr>
      <w:r w:rsidRPr="00E065D6">
        <w:t>Den finske Sosial</w:t>
      </w:r>
      <w:r w:rsidR="00436417">
        <w:t>-</w:t>
      </w:r>
      <w:r w:rsidRPr="00E065D6">
        <w:t xml:space="preserve"> og helsereformen</w:t>
      </w:r>
      <w:r w:rsidR="00436417">
        <w:t>,</w:t>
      </w:r>
      <w:r w:rsidRPr="00E065D6">
        <w:t xml:space="preserve"> vedtatt ved lov i 2021, skal sikre likeverdige og gode helse- og sosialtjenester for alle</w:t>
      </w:r>
      <w:r w:rsidR="00436417">
        <w:t>,</w:t>
      </w:r>
      <w:r w:rsidRPr="00E065D6">
        <w:t xml:space="preserve"> og redusere ulikheter i helse og velvære for befolkningen. Reformen er en strukturreform</w:t>
      </w:r>
      <w:r w:rsidR="00436417">
        <w:t>,</w:t>
      </w:r>
      <w:r w:rsidRPr="00E065D6">
        <w:t xml:space="preserve"> som innfører et nytt administrativt nivå mellom staten og kommunene. Fra og med 1.</w:t>
      </w:r>
      <w:r w:rsidR="00436417">
        <w:t xml:space="preserve"> </w:t>
      </w:r>
      <w:r w:rsidRPr="00E065D6">
        <w:t xml:space="preserve">januar 2023 har 21 </w:t>
      </w:r>
      <w:r w:rsidR="00D9107F">
        <w:t>«</w:t>
      </w:r>
      <w:r w:rsidRPr="00E065D6">
        <w:t>Velferdsområder</w:t>
      </w:r>
      <w:r w:rsidR="00D9107F">
        <w:t>»</w:t>
      </w:r>
      <w:r w:rsidRPr="00E065D6">
        <w:t xml:space="preserve"> (Health and Wellbeeing counties) overtatt ansvaret for å planlegge, styre og sørge for store deler av offentlig</w:t>
      </w:r>
      <w:r w:rsidR="007526DE">
        <w:t>e</w:t>
      </w:r>
      <w:r w:rsidRPr="00E065D6">
        <w:t xml:space="preserve"> helse- og velferdstjenester innenfor rammene av gjeldende lover. Tidligere hadde kommunene (og samkommuner) sørge-for</w:t>
      </w:r>
      <w:r w:rsidR="007526DE">
        <w:t>-</w:t>
      </w:r>
      <w:r w:rsidRPr="00E065D6">
        <w:t xml:space="preserve">ansvar for helsetjenestene. </w:t>
      </w:r>
      <w:r w:rsidRPr="008957DD">
        <w:t>Dette medfører at kommunen</w:t>
      </w:r>
      <w:r w:rsidR="007526DE">
        <w:t>e</w:t>
      </w:r>
      <w:r w:rsidRPr="008957DD">
        <w:t xml:space="preserve"> ikke lenger er ansvarlig for helsesentrene og allmennlegetjenesten som gis der</w:t>
      </w:r>
      <w:r w:rsidR="00D75177">
        <w:t xml:space="preserve">. </w:t>
      </w:r>
      <w:r w:rsidRPr="008957DD">
        <w:t>Som ledd i reformen, er det også et eget program for videre utvikling av helsesentrene</w:t>
      </w:r>
      <w:r w:rsidR="007526DE">
        <w:t>,</w:t>
      </w:r>
      <w:r w:rsidRPr="008957DD">
        <w:t xml:space="preserve"> med mål om økt kontinuitet mellom pasient og lege/sykepleier.</w:t>
      </w:r>
    </w:p>
    <w:p w14:paraId="5A3FBFDC" w14:textId="3996FB47" w:rsidR="00D9107F" w:rsidRDefault="00C22B6A" w:rsidP="007B40C1">
      <w:pPr>
        <w:jc w:val="both"/>
      </w:pPr>
      <w:r w:rsidRPr="00E065D6">
        <w:t>I England kom The NHS Long Term Plan I i 2019 (10 år). Dette skulle danne grunnlaget for en ny tjenestemodell hvor pasientene får gode valgmuligheter, bedre og integrerte tjenester</w:t>
      </w:r>
      <w:r w:rsidR="007526DE">
        <w:t>,</w:t>
      </w:r>
      <w:r w:rsidRPr="00E065D6">
        <w:t xml:space="preserve"> og hvor presset på sykehusene reduseres. Dette skulle skje ved å transformere tjenester utenfor sykehus</w:t>
      </w:r>
      <w:r w:rsidR="007526DE">
        <w:t>,</w:t>
      </w:r>
      <w:r w:rsidRPr="00E065D6">
        <w:t xml:space="preserve"> basert på en </w:t>
      </w:r>
      <w:r w:rsidR="00D9107F">
        <w:t>«</w:t>
      </w:r>
      <w:r w:rsidRPr="00E065D6">
        <w:t>fully integrated community-based care</w:t>
      </w:r>
      <w:r w:rsidR="00D9107F">
        <w:t>»</w:t>
      </w:r>
      <w:r w:rsidR="007526DE">
        <w:t>-</w:t>
      </w:r>
      <w:r w:rsidRPr="00E065D6">
        <w:t>modell, samt økt vektlegging av folkehelse og forebygging. En sentral del av strategien ble bygget inn den nasjonale kontrakten som alle primærleger i den offentlige tjenesten er underlagt (GP-contract).</w:t>
      </w:r>
    </w:p>
    <w:p w14:paraId="374C12D6" w14:textId="2FAAC86F" w:rsidR="00D9107F" w:rsidRDefault="00C22B6A" w:rsidP="007B40C1">
      <w:pPr>
        <w:jc w:val="both"/>
      </w:pPr>
      <w:r w:rsidRPr="00E065D6">
        <w:t>I Skottland vedtok man i 2014 lovgivning for å bedre integrasjon</w:t>
      </w:r>
      <w:r w:rsidR="007526DE">
        <w:t>en</w:t>
      </w:r>
      <w:r w:rsidRPr="00E065D6">
        <w:t xml:space="preserve"> av helse</w:t>
      </w:r>
      <w:r w:rsidR="007526DE">
        <w:t>-</w:t>
      </w:r>
      <w:r w:rsidRPr="00E065D6">
        <w:t xml:space="preserve"> og sosialtjenester. Viktige mål var å forbedre befolkningens helse, redusere helseforskjeller og redusere almennlegenes (GP</w:t>
      </w:r>
      <w:r w:rsidR="00D9107F">
        <w:t>’</w:t>
      </w:r>
      <w:r w:rsidRPr="00E065D6">
        <w:t xml:space="preserve">s) </w:t>
      </w:r>
      <w:r w:rsidRPr="003A26AF">
        <w:t>arbeidsbela</w:t>
      </w:r>
      <w:r w:rsidRPr="00E065D6">
        <w:t xml:space="preserve">stning. Dette førte til opprettelsen av lokale </w:t>
      </w:r>
      <w:r w:rsidR="00D9107F">
        <w:t>«</w:t>
      </w:r>
      <w:r w:rsidRPr="00E065D6">
        <w:t>Integrated Joint Boards</w:t>
      </w:r>
      <w:r w:rsidR="00D9107F">
        <w:t>»</w:t>
      </w:r>
      <w:r w:rsidRPr="00E065D6">
        <w:t xml:space="preserve"> (local authority areas) og deretter </w:t>
      </w:r>
      <w:r w:rsidR="00D9107F">
        <w:t>«</w:t>
      </w:r>
      <w:r w:rsidRPr="00E065D6">
        <w:t xml:space="preserve">Health and Social Care Partnerships (HSCPs) </w:t>
      </w:r>
      <w:r w:rsidR="004C0D15">
        <w:t xml:space="preserve">for </w:t>
      </w:r>
      <w:r w:rsidRPr="00E065D6">
        <w:t>samarbeid om levering av tjenester</w:t>
      </w:r>
      <w:r w:rsidR="004C0D15">
        <w:t xml:space="preserve"> </w:t>
      </w:r>
      <w:r w:rsidRPr="00E065D6">
        <w:t xml:space="preserve">i 2016. Samtidig med disse organisatoriske endringene, ble </w:t>
      </w:r>
      <w:r w:rsidR="00D9107F">
        <w:t>‘</w:t>
      </w:r>
      <w:r w:rsidRPr="00E065D6">
        <w:t>the Scottish General Medical Services contract</w:t>
      </w:r>
      <w:r w:rsidR="00D9107F">
        <w:t>’</w:t>
      </w:r>
      <w:r w:rsidRPr="00E065D6">
        <w:t xml:space="preserve"> vedtatt i april 2018</w:t>
      </w:r>
      <w:r w:rsidR="00F34483">
        <w:t>.</w:t>
      </w:r>
      <w:r w:rsidRPr="00E065D6">
        <w:t xml:space="preserve"> De mest sentrale komponentene i den nye kontrakten, var utvidelsen av tverrfaglige team (multidisciplinary team MDT) og etableringen av </w:t>
      </w:r>
      <w:r w:rsidR="00D9107F">
        <w:t>«</w:t>
      </w:r>
      <w:r w:rsidRPr="00E065D6">
        <w:t>GP clusters</w:t>
      </w:r>
      <w:r w:rsidR="00D9107F">
        <w:t>»</w:t>
      </w:r>
      <w:r w:rsidRPr="00E065D6">
        <w:t xml:space="preserve"> (begge startet I 2016).</w:t>
      </w:r>
    </w:p>
    <w:p w14:paraId="05B0FEFD" w14:textId="77777777" w:rsidR="00D9107F" w:rsidRDefault="003C1895" w:rsidP="00775632">
      <w:pPr>
        <w:pStyle w:val="Overskrift3"/>
      </w:pPr>
      <w:bookmarkStart w:id="734" w:name="_Toc130154230"/>
      <w:bookmarkStart w:id="735" w:name="_Toc130490047"/>
      <w:bookmarkStart w:id="736" w:name="_Toc130763771"/>
      <w:bookmarkStart w:id="737" w:name="_Toc130766657"/>
      <w:bookmarkStart w:id="738" w:name="_Toc130932061"/>
      <w:bookmarkStart w:id="739" w:name="_Toc130934352"/>
      <w:bookmarkStart w:id="740" w:name="_Toc130983407"/>
      <w:bookmarkStart w:id="741" w:name="_Toc130983756"/>
      <w:bookmarkStart w:id="742" w:name="_Toc131062088"/>
      <w:bookmarkStart w:id="743" w:name="_Toc131062342"/>
      <w:bookmarkStart w:id="744" w:name="_Toc131062603"/>
      <w:bookmarkStart w:id="745" w:name="_Toc131062856"/>
      <w:bookmarkStart w:id="746" w:name="_Toc131063624"/>
      <w:bookmarkStart w:id="747" w:name="_Toc131064042"/>
      <w:bookmarkStart w:id="748" w:name="_Toc131238332"/>
      <w:bookmarkStart w:id="749" w:name="_Toc131279362"/>
      <w:bookmarkStart w:id="750" w:name="_Toc131286774"/>
      <w:bookmarkStart w:id="751" w:name="_Toc131281184"/>
      <w:bookmarkStart w:id="752" w:name="_Toc131317723"/>
      <w:bookmarkStart w:id="753" w:name="_Toc132536927"/>
      <w:r>
        <w:lastRenderedPageBreak/>
        <w:t>Å f</w:t>
      </w:r>
      <w:r w:rsidRPr="00302ADE">
        <w:t>inne gode</w:t>
      </w:r>
      <w:r w:rsidR="003A72E4">
        <w:t xml:space="preserve"> </w:t>
      </w:r>
      <w:r w:rsidRPr="00302ADE">
        <w:t>finansieringsmodeller</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232242F7" w14:textId="16955E44" w:rsidR="00D9107F" w:rsidRDefault="003C1895" w:rsidP="007B40C1">
      <w:pPr>
        <w:jc w:val="both"/>
      </w:pPr>
      <w:r>
        <w:t>God finansiering og gode finansieringsmodeller er viktig for rekruttering og stabilitet i allmennlegetjenesten. Tilstrekkelige bevilgninger til tjenestene</w:t>
      </w:r>
      <w:r w:rsidR="007526DE">
        <w:t>,</w:t>
      </w:r>
      <w:r>
        <w:t xml:space="preserve"> og komponenter og innretning på modellene for finansiering</w:t>
      </w:r>
      <w:r w:rsidR="007526DE">
        <w:t>,</w:t>
      </w:r>
      <w:r>
        <w:t xml:space="preserve"> er grunnleggende virkemidler for å oppnå helsepolitiske mål, og vil alltid være viktige tema. Et eksempel er hvor godt justering av basistilskudd basert på ulikheter i listepopulasjon mellom praksiser gjenspeiler de reelle forskjellene i behov for tjenester og ressurser</w:t>
      </w:r>
      <w:r w:rsidR="00424D79">
        <w:t xml:space="preserve"> </w:t>
      </w:r>
      <w:r w:rsidR="00C812CE">
        <w:fldChar w:fldCharType="begin"/>
      </w:r>
      <w:r w:rsidR="004654FD">
        <w:instrText xml:space="preserve"> ADDIN EN.CITE &lt;EndNote&gt;&lt;Cite&gt;&lt;Author&gt;Health and Social Care Committee&lt;/Author&gt;&lt;Year&gt;2022&lt;/Year&gt;&lt;RecNum&gt;282&lt;/RecNum&gt;&lt;DisplayText&gt;(Health and Social Care Committee, 2022)&lt;/DisplayText&gt;&lt;record&gt;&lt;rec-number&gt;282&lt;/rec-number&gt;&lt;foreign-keys&gt;&lt;key app="EN" db-id="95tpr2tp6r9xwoea9rb5wdsz5ds5xeddteew" timestamp="1680069511"&gt;282&lt;/key&gt;&lt;/foreign-keys&gt;&lt;ref-type name="Report"&gt;27&lt;/ref-type&gt;&lt;contributors&gt;&lt;authors&gt;&lt;author&gt;Health and Social Care Committee,&lt;/author&gt;&lt;/authors&gt;&lt;tertiary-authors&gt;&lt;author&gt;House of Commons,, Health and Social Care Committee,&lt;/author&gt;&lt;/tertiary-authors&gt;&lt;/contributors&gt;&lt;titles&gt;&lt;title&gt;The future of general practice &lt;/title&gt;&lt;/titles&gt;&lt;number&gt;Fourth Report of Session 2022–23&lt;/number&gt;&lt;dates&gt;&lt;year&gt;2022&lt;/year&gt;&lt;/dates&gt;&lt;pub-location&gt;London&lt;/pub-location&gt;&lt;urls&gt;&lt;/urls&gt;&lt;/record&gt;&lt;/Cite&gt;&lt;/EndNote&gt;</w:instrText>
      </w:r>
      <w:r w:rsidR="00C812CE">
        <w:fldChar w:fldCharType="separate"/>
      </w:r>
      <w:r w:rsidR="00C812CE">
        <w:rPr>
          <w:noProof/>
        </w:rPr>
        <w:t>(Health and Social Care Committee, 2022)</w:t>
      </w:r>
      <w:r w:rsidR="00C812CE">
        <w:fldChar w:fldCharType="end"/>
      </w:r>
      <w:r>
        <w:t xml:space="preserve"> </w:t>
      </w:r>
      <w:r>
        <w:fldChar w:fldCharType="begin"/>
      </w:r>
      <w:r w:rsidR="004654FD">
        <w:instrText xml:space="preserve"> ADDIN EN.CITE &lt;EndNote&gt;&lt;Cite&gt;&lt;Author&gt;Donaghy&lt;/Author&gt;&lt;Year&gt;2023&lt;/Year&gt;&lt;RecNum&gt;656&lt;/RecNum&gt;&lt;DisplayText&gt;(Donaghy et al., 2023)&lt;/DisplayText&gt;&lt;record&gt;&lt;rec-number&gt;656&lt;/rec-number&gt;&lt;foreign-keys&gt;&lt;key app="EN" db-id="95tpr2tp6r9xwoea9rb5wdsz5ds5xeddteew" timestamp="1680069511"&gt;656&lt;/key&gt;&lt;/foreign-keys&gt;&lt;ref-type name="Journal Article"&gt;17&lt;/ref-type&gt;&lt;contributors&gt;&lt;authors&gt;&lt;author&gt;Donaghy, Eddie&lt;/author&gt;&lt;author&gt;Huang, Huayi&lt;/author&gt;&lt;author&gt;Henderson, David&lt;/author&gt;&lt;author&gt;Wang, Harry H. X.&lt;/author&gt;&lt;author&gt;Guthrie, Bruce&lt;/author&gt;&lt;author&gt;Thompson, Andrew&lt;/author&gt;&lt;author&gt;Mercer, Stewart W.&lt;/author&gt;&lt;/authors&gt;&lt;/contributors&gt;&lt;titles&gt;&lt;title&gt;Primary care transformation in Scotland: qualitative evaluation of the views of national senior stakeholders and cluster quality leads&lt;/title&gt;&lt;secondary-title&gt;British Journal of General Practice&lt;/secondary-title&gt;&lt;/titles&gt;&lt;pages&gt;e231&lt;/pages&gt;&lt;volume&gt;73&lt;/volume&gt;&lt;number&gt;728&lt;/number&gt;&lt;dates&gt;&lt;year&gt;2023&lt;/year&gt;&lt;/dates&gt;&lt;urls&gt;&lt;/urls&gt;&lt;/record&gt;&lt;/Cite&gt;&lt;/EndNote&gt;</w:instrText>
      </w:r>
      <w:r>
        <w:fldChar w:fldCharType="separate"/>
      </w:r>
      <w:r>
        <w:rPr>
          <w:noProof/>
        </w:rPr>
        <w:t>(Donaghy et al., 2023)</w:t>
      </w:r>
      <w:r>
        <w:fldChar w:fldCharType="end"/>
      </w:r>
      <w:r>
        <w:t>.</w:t>
      </w:r>
    </w:p>
    <w:p w14:paraId="1A24E1D9" w14:textId="7232D500" w:rsidR="003C1895" w:rsidRDefault="003C1895" w:rsidP="00775632">
      <w:pPr>
        <w:pStyle w:val="Overskrift3"/>
      </w:pPr>
      <w:bookmarkStart w:id="754" w:name="_Toc130153367"/>
      <w:bookmarkStart w:id="755" w:name="_Toc130153526"/>
      <w:bookmarkStart w:id="756" w:name="_Toc130153774"/>
      <w:bookmarkStart w:id="757" w:name="_Toc130153368"/>
      <w:bookmarkStart w:id="758" w:name="_Toc130153527"/>
      <w:bookmarkStart w:id="759" w:name="_Toc130153775"/>
      <w:bookmarkStart w:id="760" w:name="_Toc130153369"/>
      <w:bookmarkStart w:id="761" w:name="_Toc130153528"/>
      <w:bookmarkStart w:id="762" w:name="_Toc130153776"/>
      <w:bookmarkStart w:id="763" w:name="_Toc130153370"/>
      <w:bookmarkStart w:id="764" w:name="_Toc130153529"/>
      <w:bookmarkStart w:id="765" w:name="_Toc130153777"/>
      <w:bookmarkStart w:id="766" w:name="_Toc130153372"/>
      <w:bookmarkStart w:id="767" w:name="_Toc130153531"/>
      <w:bookmarkStart w:id="768" w:name="_Toc130153779"/>
      <w:bookmarkStart w:id="769" w:name="_Toc130154233"/>
      <w:bookmarkStart w:id="770" w:name="_Toc130490050"/>
      <w:bookmarkStart w:id="771" w:name="_Toc130763772"/>
      <w:bookmarkStart w:id="772" w:name="_Toc130766658"/>
      <w:bookmarkStart w:id="773" w:name="_Toc130932062"/>
      <w:bookmarkStart w:id="774" w:name="_Toc130934353"/>
      <w:bookmarkStart w:id="775" w:name="_Toc130983408"/>
      <w:bookmarkStart w:id="776" w:name="_Toc130983757"/>
      <w:bookmarkStart w:id="777" w:name="_Toc131062089"/>
      <w:bookmarkStart w:id="778" w:name="_Toc131062343"/>
      <w:bookmarkStart w:id="779" w:name="_Toc131062604"/>
      <w:bookmarkStart w:id="780" w:name="_Toc131062857"/>
      <w:bookmarkStart w:id="781" w:name="_Toc131063625"/>
      <w:bookmarkStart w:id="782" w:name="_Toc131064043"/>
      <w:bookmarkStart w:id="783" w:name="_Toc131238333"/>
      <w:bookmarkStart w:id="784" w:name="_Toc131279363"/>
      <w:bookmarkStart w:id="785" w:name="_Toc131286775"/>
      <w:bookmarkStart w:id="786" w:name="_Toc131281185"/>
      <w:bookmarkStart w:id="787" w:name="_Toc131317724"/>
      <w:bookmarkStart w:id="788" w:name="_Toc132536928"/>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t>Tiltak for å styrke allmennlegetjenesten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725CD90" w14:textId="114F20DD" w:rsidR="00D9107F" w:rsidRDefault="003C1895" w:rsidP="007B40C1">
      <w:pPr>
        <w:jc w:val="both"/>
      </w:pPr>
      <w:r>
        <w:t>Tiltak</w:t>
      </w:r>
      <w:r w:rsidRPr="004C22C2">
        <w:t xml:space="preserve"> for å styrke rekruttering og stabilitet i tjenestene inkludere </w:t>
      </w:r>
      <w:r>
        <w:t xml:space="preserve">blant annet </w:t>
      </w:r>
      <w:r w:rsidRPr="004C22C2">
        <w:t xml:space="preserve">ulike typer finansieringsordninger </w:t>
      </w:r>
      <w:r>
        <w:fldChar w:fldCharType="begin"/>
      </w:r>
      <w:r w:rsidR="00856689">
        <w:instrText xml:space="preserve"> ADDIN EN.CITE &lt;EndNote&gt;&lt;Cite&gt;&lt;Author&gt;Olsen&lt;/Author&gt;&lt;Year&gt;2016&lt;/Year&gt;&lt;RecNum&gt;290&lt;/RecNum&gt;&lt;DisplayText&gt;(Olsen et al., 2016)&lt;/DisplayText&gt;&lt;record&gt;&lt;rec-number&gt;290&lt;/rec-number&gt;&lt;foreign-keys&gt;&lt;key app="EN" db-id="95tpr2tp6r9xwoea9rb5wdsz5ds5xeddteew" timestamp="1680069511"&gt;290&lt;/key&gt;&lt;/foreign-keys&gt;&lt;ref-type name="Journal Article"&gt;17&lt;/ref-type&gt;&lt;contributors&gt;&lt;authors&gt;&lt;author&gt;Olsen, Kim&lt;/author&gt;&lt;author&gt;Anell, Anders&lt;/author&gt;&lt;author&gt;Hakkinen, Unto&lt;/author&gt;&lt;author&gt;Iversen, Tor&lt;/author&gt;&lt;author&gt;Ólafsdóttir, Thorhildur&lt;/author&gt;&lt;author&gt;Sutton, Matt&lt;/author&gt;&lt;/authors&gt;&lt;/contributors&gt;&lt;titles&gt;&lt;title&gt;General practice in the Nordic countries&lt;/title&gt;&lt;secondary-title&gt;Nordic Journal of Health Economics&lt;/secondary-title&gt;&lt;/titles&gt;&lt;periodical&gt;&lt;full-title&gt;Nordic Journal of Health Economics&lt;/full-title&gt;&lt;/periodical&gt;&lt;pages&gt;56&lt;/pages&gt;&lt;volume&gt;4&lt;/volume&gt;&lt;dates&gt;&lt;year&gt;2016&lt;/year&gt;&lt;pub-dates&gt;&lt;date&gt;04/26&lt;/date&gt;&lt;/pub-dates&gt;&lt;/dates&gt;&lt;urls&gt;&lt;/urls&gt;&lt;electronic-resource-num&gt;10.5617/njhe.2801&lt;/electronic-resource-num&gt;&lt;/record&gt;&lt;/Cite&gt;&lt;/EndNote&gt;</w:instrText>
      </w:r>
      <w:r>
        <w:fldChar w:fldCharType="separate"/>
      </w:r>
      <w:r w:rsidR="00856689">
        <w:rPr>
          <w:noProof/>
        </w:rPr>
        <w:t>(Olsen et al., 2016)</w:t>
      </w:r>
      <w:r>
        <w:fldChar w:fldCharType="end"/>
      </w:r>
      <w:r w:rsidRPr="004C22C2">
        <w:t xml:space="preserve"> og økonomiske insentiver, muligheter for mer fleksibilitet i arbeidet, økt utdanningskapasitet og støtte til kompetansehevende tiltak.</w:t>
      </w:r>
      <w:r>
        <w:t xml:space="preserve"> </w:t>
      </w:r>
      <w:r w:rsidRPr="004C22C2">
        <w:t xml:space="preserve">Samtidig med vekt på økt rekruttering </w:t>
      </w:r>
      <w:r>
        <w:t xml:space="preserve">og stabilisering </w:t>
      </w:r>
      <w:r w:rsidRPr="004C22C2">
        <w:t>brukes økt digitalisering</w:t>
      </w:r>
      <w:r w:rsidR="00D9107F">
        <w:t xml:space="preserve"> </w:t>
      </w:r>
      <w:r w:rsidRPr="004C22C2">
        <w:t>og nye</w:t>
      </w:r>
      <w:r>
        <w:t xml:space="preserve"> organisasjonsmodeller </w:t>
      </w:r>
      <w:r w:rsidRPr="004C22C2">
        <w:t>for å møte kravene til en lokalbasert og effektiv oppfølging av befolkningens behov for helsehjelp</w:t>
      </w:r>
      <w:r w:rsidR="00C812CE">
        <w:t xml:space="preserve"> </w:t>
      </w:r>
      <w:r w:rsidR="00C812CE">
        <w:fldChar w:fldCharType="begin"/>
      </w:r>
      <w:r w:rsidR="004654FD">
        <w:instrText xml:space="preserve"> ADDIN EN.CITE &lt;EndNote&gt;&lt;Cite&gt;&lt;Author&gt;Nordic Welfare Centre&lt;/Author&gt;&lt;Year&gt;2019&lt;/Year&gt;&lt;RecNum&gt;315&lt;/RecNum&gt;&lt;DisplayText&gt;(Nordic Welfare Centre, 2019)&lt;/DisplayText&gt;&lt;record&gt;&lt;rec-number&gt;315&lt;/rec-number&gt;&lt;foreign-keys&gt;&lt;key app="EN" db-id="95tpr2tp6r9xwoea9rb5wdsz5ds5xeddteew" timestamp="1680069511"&gt;315&lt;/key&gt;&lt;/foreign-keys&gt;&lt;ref-type name="Report"&gt;27&lt;/ref-type&gt;&lt;contributors&gt;&lt;authors&gt;&lt;author&gt;Nordic Welfare Centre,&lt;/author&gt;&lt;/authors&gt;&lt;tertiary-authors&gt;&lt;author&gt;Nordic Welfare Centre,&lt;/author&gt;&lt;/tertiary-authors&gt;&lt;/contributors&gt;&lt;titles&gt;&lt;title&gt;Healthcare and care through distance-spanning solutions – 24 practical examples from the Nordic region&lt;/title&gt;&lt;/titles&gt;&lt;dates&gt;&lt;year&gt;2019&lt;/year&gt;&lt;pub-dates&gt;&lt;date&gt;Desember 2019&lt;/date&gt;&lt;/pub-dates&gt;&lt;/dates&gt;&lt;urls&gt;&lt;/urls&gt;&lt;/record&gt;&lt;/Cite&gt;&lt;/EndNote&gt;</w:instrText>
      </w:r>
      <w:r w:rsidR="00C812CE">
        <w:fldChar w:fldCharType="separate"/>
      </w:r>
      <w:r w:rsidR="00C812CE">
        <w:rPr>
          <w:noProof/>
        </w:rPr>
        <w:t>(Nordic Welfare Centre, 2019)</w:t>
      </w:r>
      <w:r w:rsidR="00C812CE">
        <w:fldChar w:fldCharType="end"/>
      </w:r>
      <w:r w:rsidRPr="004C22C2">
        <w:t>.</w:t>
      </w:r>
    </w:p>
    <w:p w14:paraId="06270BF0" w14:textId="77777777" w:rsidR="00D9107F" w:rsidRDefault="003C1895" w:rsidP="007B40C1">
      <w:pPr>
        <w:jc w:val="both"/>
      </w:pPr>
      <w:r>
        <w:t>Tiltak for å redusere arbeidsbelastning for legene skjer både gjennom mer samarbeid og arbeidsdeling med annet personell, reduksjon av administrative oppgaver</w:t>
      </w:r>
      <w:r w:rsidR="00DC7D85">
        <w:t>,</w:t>
      </w:r>
      <w:r>
        <w:t xml:space="preserve"> og bruk av nye teknologiske løsninger. </w:t>
      </w:r>
      <w:r w:rsidRPr="004C22C2">
        <w:t xml:space="preserve">Økt digitalisering </w:t>
      </w:r>
      <w:r>
        <w:t xml:space="preserve">kan også </w:t>
      </w:r>
      <w:r w:rsidRPr="004C22C2">
        <w:t>bidra til å kompensere for noen av utfordringene med spredt bosetting og lange avstander</w:t>
      </w:r>
      <w:r>
        <w:t>.</w:t>
      </w:r>
    </w:p>
    <w:p w14:paraId="531B1006" w14:textId="504BC73B" w:rsidR="003C1895" w:rsidRDefault="003C1895" w:rsidP="007B40C1">
      <w:pPr>
        <w:jc w:val="both"/>
        <w:rPr>
          <w:noProof/>
          <w:lang w:val="nb"/>
        </w:rPr>
      </w:pPr>
      <w:r>
        <w:rPr>
          <w:noProof/>
          <w:lang w:val="nb"/>
        </w:rPr>
        <w:t xml:space="preserve">En artikkel fra 2016 oppsummerte strategier </w:t>
      </w:r>
      <w:r w:rsidR="00EF7A3E">
        <w:rPr>
          <w:noProof/>
          <w:lang w:val="nb"/>
        </w:rPr>
        <w:t xml:space="preserve">i en rekke land </w:t>
      </w:r>
      <w:r>
        <w:rPr>
          <w:noProof/>
          <w:lang w:val="nb"/>
        </w:rPr>
        <w:t xml:space="preserve">for å rekruttere og bevare allmennleger i tjenesten </w:t>
      </w:r>
      <w:r>
        <w:rPr>
          <w:noProof/>
          <w:lang w:val="nb"/>
        </w:rPr>
        <w:fldChar w:fldCharType="begin"/>
      </w:r>
      <w:r w:rsidR="004654FD">
        <w:rPr>
          <w:noProof/>
          <w:lang w:val="nb"/>
        </w:rPr>
        <w:instrText xml:space="preserve"> ADDIN EN.CITE &lt;EndNote&gt;&lt;Cite&gt;&lt;Author&gt;Verma&lt;/Author&gt;&lt;Year&gt;2016&lt;/Year&gt;&lt;RecNum&gt;791&lt;/RecNum&gt;&lt;DisplayText&gt;(Verma et al., 2016)&lt;/DisplayText&gt;&lt;record&gt;&lt;rec-number&gt;791&lt;/rec-number&gt;&lt;foreign-keys&gt;&lt;key app="EN" db-id="95tpr2tp6r9xwoea9rb5wdsz5ds5xeddteew" timestamp="1680069511"&gt;791&lt;/key&gt;&lt;/foreign-keys&gt;&lt;ref-type name="Journal Article"&gt;17&lt;/ref-type&gt;&lt;contributors&gt;&lt;authors&gt;&lt;author&gt;Verma, Puja&lt;/author&gt;&lt;author&gt;Ford, John A.&lt;/author&gt;&lt;author&gt;Stuart, Arabella&lt;/author&gt;&lt;author&gt;Howe, Amanda&lt;/author&gt;&lt;author&gt;Everington, Sam&lt;/author&gt;&lt;author&gt;Steel, Nicholas&lt;/author&gt;&lt;/authors&gt;&lt;/contributors&gt;&lt;titles&gt;&lt;title&gt;A systematic review of strategies to recruit and retain primary care doctors&lt;/title&gt;&lt;secondary-title&gt;BMC Health Services Research&lt;/secondary-title&gt;&lt;/titles&gt;&lt;pages&gt;126&lt;/pages&gt;&lt;volume&gt;16&lt;/volume&gt;&lt;number&gt;1&lt;/number&gt;&lt;dates&gt;&lt;year&gt;2016&lt;/year&gt;&lt;pub-dates&gt;&lt;date&gt;2016/04/12&lt;/date&gt;&lt;/pub-dates&gt;&lt;/dates&gt;&lt;isbn&gt;1472-6963&lt;/isbn&gt;&lt;urls&gt;&lt;related-urls&gt;&lt;url&gt;https://doi.org/10.1186/s12913-016-1370-1&lt;/url&gt;&lt;/related-urls&gt;&lt;/urls&gt;&lt;/record&gt;&lt;/Cite&gt;&lt;/EndNote&gt;</w:instrText>
      </w:r>
      <w:r>
        <w:rPr>
          <w:noProof/>
          <w:lang w:val="nb"/>
        </w:rPr>
        <w:fldChar w:fldCharType="separate"/>
      </w:r>
      <w:r>
        <w:rPr>
          <w:noProof/>
          <w:lang w:val="nb"/>
        </w:rPr>
        <w:t>(Verma et al., 2016)</w:t>
      </w:r>
      <w:r>
        <w:rPr>
          <w:noProof/>
          <w:lang w:val="nb"/>
        </w:rPr>
        <w:fldChar w:fldCharType="end"/>
      </w:r>
      <w:r>
        <w:rPr>
          <w:noProof/>
          <w:lang w:val="nb"/>
        </w:rPr>
        <w:t>. De fant at k</w:t>
      </w:r>
      <w:r w:rsidRPr="0042585E">
        <w:rPr>
          <w:noProof/>
          <w:lang w:val="nb"/>
        </w:rPr>
        <w:t xml:space="preserve">unnskapsgrunnlaget </w:t>
      </w:r>
      <w:r>
        <w:rPr>
          <w:noProof/>
          <w:lang w:val="nb"/>
        </w:rPr>
        <w:t>var</w:t>
      </w:r>
      <w:r w:rsidRPr="0042585E">
        <w:rPr>
          <w:noProof/>
          <w:lang w:val="nb"/>
        </w:rPr>
        <w:t xml:space="preserve"> svakt</w:t>
      </w:r>
      <w:r w:rsidR="00DC7D85">
        <w:rPr>
          <w:noProof/>
          <w:lang w:val="nb"/>
        </w:rPr>
        <w:t>,</w:t>
      </w:r>
      <w:r w:rsidRPr="0042585E">
        <w:rPr>
          <w:noProof/>
          <w:lang w:val="nb"/>
        </w:rPr>
        <w:t xml:space="preserve"> og</w:t>
      </w:r>
      <w:r>
        <w:rPr>
          <w:noProof/>
          <w:lang w:val="nb"/>
        </w:rPr>
        <w:t xml:space="preserve"> at det var</w:t>
      </w:r>
      <w:r w:rsidRPr="0042585E">
        <w:rPr>
          <w:noProof/>
          <w:lang w:val="nb"/>
        </w:rPr>
        <w:t xml:space="preserve"> behov for mer forskning av høy kvalitet</w:t>
      </w:r>
      <w:r>
        <w:rPr>
          <w:noProof/>
          <w:lang w:val="nb"/>
        </w:rPr>
        <w:t xml:space="preserve">. De fant likevel støtte for at plassering av leger under utdanning i </w:t>
      </w:r>
      <w:r w:rsidRPr="0042585E">
        <w:rPr>
          <w:noProof/>
          <w:lang w:val="nb"/>
        </w:rPr>
        <w:t xml:space="preserve">områder </w:t>
      </w:r>
      <w:r>
        <w:rPr>
          <w:noProof/>
          <w:lang w:val="nb"/>
        </w:rPr>
        <w:t>med underdekning</w:t>
      </w:r>
      <w:r w:rsidR="007526DE">
        <w:rPr>
          <w:noProof/>
          <w:lang w:val="nb"/>
        </w:rPr>
        <w:t>,</w:t>
      </w:r>
      <w:r>
        <w:rPr>
          <w:noProof/>
          <w:lang w:val="nb"/>
        </w:rPr>
        <w:t xml:space="preserve"> </w:t>
      </w:r>
      <w:r w:rsidRPr="0042585E">
        <w:rPr>
          <w:noProof/>
          <w:lang w:val="nb"/>
        </w:rPr>
        <w:t>og selektiv</w:t>
      </w:r>
      <w:r>
        <w:rPr>
          <w:noProof/>
          <w:lang w:val="nb"/>
        </w:rPr>
        <w:t xml:space="preserve"> utvelgelse av studenter</w:t>
      </w:r>
      <w:r w:rsidR="00DC7D85">
        <w:rPr>
          <w:noProof/>
          <w:lang w:val="nb"/>
        </w:rPr>
        <w:t>,</w:t>
      </w:r>
      <w:r>
        <w:rPr>
          <w:noProof/>
          <w:lang w:val="nb"/>
        </w:rPr>
        <w:t xml:space="preserve"> hadde betydning</w:t>
      </w:r>
      <w:r w:rsidRPr="0042585E">
        <w:rPr>
          <w:noProof/>
          <w:lang w:val="nb"/>
        </w:rPr>
        <w:t xml:space="preserve">. Andre tiltak </w:t>
      </w:r>
      <w:r>
        <w:rPr>
          <w:noProof/>
          <w:lang w:val="nb"/>
        </w:rPr>
        <w:t>viste også positive resultater, men hadde ikke god nok dokumentasjon</w:t>
      </w:r>
      <w:r w:rsidRPr="0042585E">
        <w:rPr>
          <w:noProof/>
          <w:lang w:val="nb"/>
        </w:rPr>
        <w:t>.</w:t>
      </w:r>
    </w:p>
    <w:p w14:paraId="1066C0FD" w14:textId="23AC8804" w:rsidR="00D9107F" w:rsidRDefault="00F25B29" w:rsidP="007B40C1">
      <w:pPr>
        <w:jc w:val="both"/>
      </w:pPr>
      <w:r>
        <w:t>For å vurdere effekten av tiltak og utvikle tjenestene videre</w:t>
      </w:r>
      <w:r w:rsidR="00DC7D85">
        <w:t>,</w:t>
      </w:r>
      <w:r>
        <w:t xml:space="preserve"> trengs gode sammenlignbare grunnlagsdata for ressursinnsats</w:t>
      </w:r>
      <w:r w:rsidR="007526DE">
        <w:t xml:space="preserve"> og </w:t>
      </w:r>
      <w:r>
        <w:t>aktiviteter</w:t>
      </w:r>
      <w:r w:rsidR="007526DE">
        <w:t>,</w:t>
      </w:r>
      <w:r>
        <w:t xml:space="preserve"> og </w:t>
      </w:r>
      <w:r w:rsidR="007526DE">
        <w:t xml:space="preserve">å </w:t>
      </w:r>
      <w:r>
        <w:t>kunne måle effekter på tjenestene. I primærhelsetjenesten er dette som regel en større utfordring enn i spesialisthelsetjenesten. Og ikke minst å kunne måle</w:t>
      </w:r>
      <w:r w:rsidRPr="004B6A56">
        <w:t xml:space="preserve"> </w:t>
      </w:r>
      <w:r>
        <w:t>om kvaliteten er god.</w:t>
      </w:r>
      <w:r w:rsidRPr="004B6A56">
        <w:t xml:space="preserve"> </w:t>
      </w:r>
      <w:r>
        <w:t xml:space="preserve">Våre informanter i Danmark påpeker at </w:t>
      </w:r>
      <w:r>
        <w:rPr>
          <w:noProof/>
        </w:rPr>
        <w:t>mangelfull</w:t>
      </w:r>
      <w:r>
        <w:t xml:space="preserve"> kunnskap om kvalitet i allmennpraksis både er nevnt i OECD sin landgjennomgang og av den danske </w:t>
      </w:r>
      <w:r w:rsidRPr="00D712DB">
        <w:t>Rigsrevisjonen.</w:t>
      </w:r>
    </w:p>
    <w:p w14:paraId="7AB841F7" w14:textId="77777777" w:rsidR="00D9107F" w:rsidRDefault="7620B018" w:rsidP="00775632">
      <w:pPr>
        <w:pStyle w:val="Overskrift1"/>
      </w:pPr>
      <w:bookmarkStart w:id="789" w:name="_Toc128934680"/>
      <w:bookmarkStart w:id="790" w:name="_Toc128934881"/>
      <w:bookmarkStart w:id="791" w:name="_Toc128936914"/>
      <w:bookmarkStart w:id="792" w:name="_Toc128938055"/>
      <w:bookmarkStart w:id="793" w:name="_Toc128938269"/>
      <w:bookmarkStart w:id="794" w:name="_Toc128938481"/>
      <w:bookmarkStart w:id="795" w:name="_Toc128938694"/>
      <w:bookmarkStart w:id="796" w:name="_Toc128938906"/>
      <w:bookmarkStart w:id="797" w:name="_Toc128939118"/>
      <w:bookmarkStart w:id="798" w:name="_Toc128939329"/>
      <w:bookmarkStart w:id="799" w:name="_Toc128939541"/>
      <w:bookmarkStart w:id="800" w:name="_Toc128939752"/>
      <w:bookmarkStart w:id="801" w:name="_Toc128939963"/>
      <w:bookmarkStart w:id="802" w:name="_Toc128940175"/>
      <w:bookmarkStart w:id="803" w:name="_Toc128940387"/>
      <w:bookmarkStart w:id="804" w:name="_Toc128940599"/>
      <w:bookmarkStart w:id="805" w:name="_Toc128940811"/>
      <w:bookmarkStart w:id="806" w:name="_Toc129414773"/>
      <w:bookmarkStart w:id="807" w:name="_Toc129643594"/>
      <w:bookmarkStart w:id="808" w:name="_Toc129676871"/>
      <w:bookmarkStart w:id="809" w:name="_Toc129787468"/>
      <w:bookmarkStart w:id="810" w:name="_Toc129799547"/>
      <w:bookmarkStart w:id="811" w:name="_Toc129799919"/>
      <w:bookmarkStart w:id="812" w:name="_Toc129800155"/>
      <w:bookmarkStart w:id="813" w:name="_Toc129860692"/>
      <w:bookmarkStart w:id="814" w:name="_Toc129888113"/>
      <w:bookmarkStart w:id="815" w:name="_Toc130892328"/>
      <w:bookmarkStart w:id="816" w:name="_Toc120526245"/>
      <w:bookmarkStart w:id="817" w:name="_Toc130932063"/>
      <w:bookmarkStart w:id="818" w:name="_Toc130934354"/>
      <w:bookmarkStart w:id="819" w:name="_Toc130983409"/>
      <w:bookmarkStart w:id="820" w:name="_Toc130983758"/>
      <w:bookmarkStart w:id="821" w:name="_Toc131062090"/>
      <w:bookmarkStart w:id="822" w:name="_Toc131062344"/>
      <w:bookmarkStart w:id="823" w:name="_Toc131062605"/>
      <w:bookmarkStart w:id="824" w:name="_Toc131062858"/>
      <w:bookmarkStart w:id="825" w:name="_Toc131063626"/>
      <w:bookmarkStart w:id="826" w:name="_Toc131064044"/>
      <w:bookmarkStart w:id="827" w:name="_Toc131238334"/>
      <w:bookmarkStart w:id="828" w:name="_Toc131279364"/>
      <w:bookmarkStart w:id="829" w:name="_Toc131286776"/>
      <w:bookmarkStart w:id="830" w:name="_Toc131281186"/>
      <w:bookmarkStart w:id="831" w:name="_Toc131317725"/>
      <w:bookmarkStart w:id="832" w:name="_Toc132536929"/>
      <w:bookmarkStart w:id="833" w:name="_Toc126834322"/>
      <w:bookmarkStart w:id="834" w:name="_Toc128032494"/>
      <w:bookmarkStart w:id="835" w:name="_Toc128238475"/>
      <w:bookmarkStart w:id="836" w:name="_Toc128741955"/>
      <w:bookmarkStart w:id="837" w:name="_Toc128744550"/>
      <w:bookmarkStart w:id="838" w:name="_Toc128744769"/>
      <w:bookmarkStart w:id="839" w:name="_Toc129630262"/>
      <w:bookmarkStart w:id="840" w:name="_Toc130763773"/>
      <w:bookmarkStart w:id="841" w:name="_Toc130766659"/>
      <w:bookmarkStart w:id="842" w:name="_Toc127633186"/>
      <w:bookmarkStart w:id="843" w:name="_Toc127864472"/>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8A5B83">
        <w:t>M</w:t>
      </w:r>
      <w:bookmarkEnd w:id="815"/>
      <w:r w:rsidRPr="008A5B83">
        <w:t>ålbilde</w:t>
      </w:r>
      <w:bookmarkEnd w:id="816"/>
      <w:bookmarkEnd w:id="817"/>
      <w:bookmarkEnd w:id="818"/>
      <w:r w:rsidR="00F84AB2" w:rsidRPr="008A5B83">
        <w:t>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bookmarkEnd w:id="842"/>
    <w:bookmarkEnd w:id="843"/>
    <w:p w14:paraId="0BEF3367" w14:textId="2F9B09A5" w:rsidR="0087624C" w:rsidRDefault="0087624C" w:rsidP="002B3B6B">
      <w:pPr>
        <w:jc w:val="both"/>
      </w:pPr>
      <w:r w:rsidRPr="009B2C34">
        <w:t>Et målbilde for allmennlegetjenesten må omfatte flere perspektiver</w:t>
      </w:r>
      <w:r w:rsidR="00064080">
        <w:t>, herunder innbyggerne</w:t>
      </w:r>
      <w:r w:rsidR="009C6532">
        <w:t>s</w:t>
      </w:r>
      <w:r w:rsidR="00064080">
        <w:t>,</w:t>
      </w:r>
      <w:r w:rsidR="00D5583D">
        <w:t xml:space="preserve"> </w:t>
      </w:r>
      <w:r w:rsidR="00064080">
        <w:t>legene</w:t>
      </w:r>
      <w:r w:rsidR="009C6532">
        <w:t>s</w:t>
      </w:r>
      <w:r w:rsidR="00064080">
        <w:t>, kommunene</w:t>
      </w:r>
      <w:r w:rsidR="009C6532">
        <w:t>s</w:t>
      </w:r>
      <w:r w:rsidR="00FE0A6F">
        <w:t xml:space="preserve"> </w:t>
      </w:r>
      <w:r w:rsidR="00064080">
        <w:t xml:space="preserve">og </w:t>
      </w:r>
      <w:r w:rsidR="009C6532">
        <w:t xml:space="preserve">hensynet til </w:t>
      </w:r>
      <w:r w:rsidR="00064080">
        <w:t>en bærekraftig samfunnsutvikling</w:t>
      </w:r>
      <w:r w:rsidRPr="009B2C34">
        <w:t>.</w:t>
      </w:r>
    </w:p>
    <w:p w14:paraId="30CF6DD8" w14:textId="77777777" w:rsidR="00D9107F" w:rsidRDefault="00280527" w:rsidP="002B3B6B">
      <w:pPr>
        <w:jc w:val="both"/>
        <w:rPr>
          <w:rFonts w:cstheme="minorHAnsi"/>
        </w:rPr>
      </w:pPr>
      <w:r>
        <w:rPr>
          <w:rFonts w:cstheme="minorHAnsi"/>
        </w:rPr>
        <w:lastRenderedPageBreak/>
        <w:t>Hovedmålet er at alle innbyggere skal sikres tilgjengel</w:t>
      </w:r>
      <w:r w:rsidR="00064080">
        <w:rPr>
          <w:rFonts w:cstheme="minorHAnsi"/>
        </w:rPr>
        <w:t>ige allmennlegetjenester av riktig</w:t>
      </w:r>
      <w:r>
        <w:rPr>
          <w:rFonts w:cstheme="minorHAnsi"/>
        </w:rPr>
        <w:t xml:space="preserve"> kvalitet, uansett hvor </w:t>
      </w:r>
      <w:r w:rsidR="00FF4B8D">
        <w:rPr>
          <w:rFonts w:cstheme="minorHAnsi"/>
        </w:rPr>
        <w:t xml:space="preserve">i landet </w:t>
      </w:r>
      <w:r>
        <w:rPr>
          <w:rFonts w:cstheme="minorHAnsi"/>
        </w:rPr>
        <w:t>de befinner seg og hvem de er.</w:t>
      </w:r>
      <w:r w:rsidR="00FF245E">
        <w:rPr>
          <w:rFonts w:cstheme="minorHAnsi"/>
        </w:rPr>
        <w:t xml:space="preserve"> </w:t>
      </w:r>
      <w:r w:rsidR="00FF245E">
        <w:t xml:space="preserve">For å oppnå dette må det videreutvikles en </w:t>
      </w:r>
      <w:r w:rsidR="00FF245E">
        <w:rPr>
          <w:rFonts w:cstheme="minorHAnsi"/>
        </w:rPr>
        <w:t>bærekraftig og framtidsrettet kommunehelsetjeneste</w:t>
      </w:r>
      <w:r w:rsidR="009D5C6A">
        <w:rPr>
          <w:rFonts w:cstheme="minorHAnsi"/>
        </w:rPr>
        <w:t>, herunder allmennlegetjeneste</w:t>
      </w:r>
      <w:r w:rsidR="00FF245E">
        <w:rPr>
          <w:rFonts w:cstheme="minorHAnsi"/>
        </w:rPr>
        <w:t>.</w:t>
      </w:r>
    </w:p>
    <w:p w14:paraId="4B36348F" w14:textId="460B0BC5" w:rsidR="00064080" w:rsidRDefault="00064080" w:rsidP="00775632">
      <w:pPr>
        <w:pStyle w:val="Overskrift2"/>
      </w:pPr>
      <w:bookmarkStart w:id="844" w:name="_Toc130766661"/>
      <w:bookmarkStart w:id="845" w:name="_Toc130932064"/>
      <w:bookmarkStart w:id="846" w:name="_Toc130934355"/>
      <w:bookmarkStart w:id="847" w:name="_Toc130983410"/>
      <w:bookmarkStart w:id="848" w:name="_Toc130983759"/>
      <w:bookmarkStart w:id="849" w:name="_Toc131062091"/>
      <w:bookmarkStart w:id="850" w:name="_Toc131062345"/>
      <w:bookmarkStart w:id="851" w:name="_Toc131062606"/>
      <w:bookmarkStart w:id="852" w:name="_Toc131062859"/>
      <w:bookmarkStart w:id="853" w:name="_Toc131063627"/>
      <w:bookmarkStart w:id="854" w:name="_Toc131064045"/>
      <w:bookmarkStart w:id="855" w:name="_Toc131238335"/>
      <w:bookmarkStart w:id="856" w:name="_Toc131279365"/>
      <w:bookmarkStart w:id="857" w:name="_Toc131286777"/>
      <w:bookmarkStart w:id="858" w:name="_Toc131281187"/>
      <w:bookmarkStart w:id="859" w:name="_Toc131317726"/>
      <w:bookmarkStart w:id="860" w:name="_Toc132536930"/>
      <w:r>
        <w:t xml:space="preserve">Innbyggerne og </w:t>
      </w:r>
      <w:r w:rsidR="008E7949">
        <w:t>likeverdige tjenester</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46486991" w14:textId="7D97CD74" w:rsidR="00064080" w:rsidRDefault="00FF245E" w:rsidP="002B3B6B">
      <w:pPr>
        <w:jc w:val="both"/>
        <w:rPr>
          <w:rFonts w:cstheme="minorHAnsi"/>
        </w:rPr>
      </w:pPr>
      <w:r>
        <w:rPr>
          <w:rFonts w:cstheme="minorHAnsi"/>
        </w:rPr>
        <w:t>Innbyggerne i Norge lever stadig lenger</w:t>
      </w:r>
      <w:r w:rsidR="005E1267">
        <w:rPr>
          <w:rFonts w:cstheme="minorHAnsi"/>
        </w:rPr>
        <w:t>,</w:t>
      </w:r>
      <w:r>
        <w:rPr>
          <w:rFonts w:cstheme="minorHAnsi"/>
        </w:rPr>
        <w:t xml:space="preserve"> som følge av bedret f</w:t>
      </w:r>
      <w:r w:rsidR="00064080">
        <w:rPr>
          <w:rFonts w:cstheme="minorHAnsi"/>
        </w:rPr>
        <w:t>olkehelse og medisinske framskritt</w:t>
      </w:r>
      <w:r>
        <w:rPr>
          <w:rFonts w:cstheme="minorHAnsi"/>
        </w:rPr>
        <w:t>. Dette er en ønsket utvikling. Samtidig innebærer det at flere lever med kroniske sykdommer og sammensatte sykdomstilstander</w:t>
      </w:r>
      <w:r w:rsidR="005E1267">
        <w:rPr>
          <w:rFonts w:cstheme="minorHAnsi"/>
        </w:rPr>
        <w:t>,</w:t>
      </w:r>
      <w:r>
        <w:rPr>
          <w:rFonts w:cstheme="minorHAnsi"/>
        </w:rPr>
        <w:t xml:space="preserve"> som gjør at behovet for helse- og omsorgstjenester øker.</w:t>
      </w:r>
    </w:p>
    <w:p w14:paraId="1C6DA1A7" w14:textId="77777777" w:rsidR="00D9107F" w:rsidRDefault="00FF245E" w:rsidP="002B3B6B">
      <w:pPr>
        <w:jc w:val="both"/>
        <w:rPr>
          <w:rFonts w:cstheme="minorHAnsi"/>
        </w:rPr>
      </w:pPr>
      <w:r>
        <w:rPr>
          <w:rFonts w:cstheme="minorHAnsi"/>
        </w:rPr>
        <w:t>Målet er at flest mulig skal leve lange og gode liv</w:t>
      </w:r>
      <w:r w:rsidR="005E1267">
        <w:rPr>
          <w:rFonts w:cstheme="minorHAnsi"/>
        </w:rPr>
        <w:t>,</w:t>
      </w:r>
      <w:r>
        <w:rPr>
          <w:rFonts w:cstheme="minorHAnsi"/>
        </w:rPr>
        <w:t xml:space="preserve"> med de helsemessige utfordringene de har. Flest mulig skal kunne bo i eget hjem og, </w:t>
      </w:r>
      <w:r w:rsidR="00615B29">
        <w:rPr>
          <w:rFonts w:cstheme="minorHAnsi"/>
        </w:rPr>
        <w:t>d</w:t>
      </w:r>
      <w:r w:rsidR="00AA3D08">
        <w:rPr>
          <w:rFonts w:cstheme="minorHAnsi"/>
        </w:rPr>
        <w:t>e skal</w:t>
      </w:r>
      <w:r w:rsidR="005E1267">
        <w:rPr>
          <w:rFonts w:cstheme="minorHAnsi"/>
        </w:rPr>
        <w:t>,</w:t>
      </w:r>
      <w:r w:rsidR="00AA3D08">
        <w:rPr>
          <w:rFonts w:cstheme="minorHAnsi"/>
        </w:rPr>
        <w:t xml:space="preserve"> </w:t>
      </w:r>
      <w:r>
        <w:rPr>
          <w:rFonts w:cstheme="minorHAnsi"/>
        </w:rPr>
        <w:t>så langt det er mulig, få behandling og oppfølging i nærmiljøet sitt</w:t>
      </w:r>
      <w:r w:rsidR="00615B29">
        <w:rPr>
          <w:rFonts w:cstheme="minorHAnsi"/>
        </w:rPr>
        <w:t>. Til dette trenger</w:t>
      </w:r>
      <w:r>
        <w:rPr>
          <w:rFonts w:cstheme="minorHAnsi"/>
        </w:rPr>
        <w:t xml:space="preserve"> </w:t>
      </w:r>
      <w:r w:rsidR="004555D6">
        <w:rPr>
          <w:rFonts w:cstheme="minorHAnsi"/>
        </w:rPr>
        <w:t xml:space="preserve">mange </w:t>
      </w:r>
      <w:r>
        <w:rPr>
          <w:rFonts w:cstheme="minorHAnsi"/>
        </w:rPr>
        <w:t>opplæring og hjelp til å mestre mest mulig selv.</w:t>
      </w:r>
    </w:p>
    <w:p w14:paraId="2269AD83" w14:textId="130DAC0C" w:rsidR="00FF245E" w:rsidRDefault="00FF245E" w:rsidP="002B3B6B">
      <w:pPr>
        <w:jc w:val="both"/>
        <w:rPr>
          <w:rFonts w:cstheme="minorHAnsi"/>
        </w:rPr>
      </w:pPr>
      <w:r>
        <w:rPr>
          <w:rFonts w:cstheme="minorHAnsi"/>
        </w:rPr>
        <w:t xml:space="preserve">Det er derfor </w:t>
      </w:r>
      <w:r>
        <w:t>nødvendig å sørge for at kommunene</w:t>
      </w:r>
      <w:r w:rsidR="005E1267">
        <w:t>,</w:t>
      </w:r>
      <w:r>
        <w:t xml:space="preserve"> og </w:t>
      </w:r>
      <w:r w:rsidR="009D5C6A">
        <w:t xml:space="preserve">derunder </w:t>
      </w:r>
      <w:r>
        <w:rPr>
          <w:rFonts w:cstheme="minorHAnsi"/>
        </w:rPr>
        <w:t>allmennlegetjenesten</w:t>
      </w:r>
      <w:r w:rsidR="005E1267">
        <w:rPr>
          <w:rFonts w:cstheme="minorHAnsi"/>
        </w:rPr>
        <w:t>,</w:t>
      </w:r>
      <w:r>
        <w:rPr>
          <w:rFonts w:cstheme="minorHAnsi"/>
        </w:rPr>
        <w:t xml:space="preserve"> i større grad enn i dag </w:t>
      </w:r>
      <w:r w:rsidR="00064080">
        <w:rPr>
          <w:rFonts w:cstheme="minorHAnsi"/>
        </w:rPr>
        <w:t xml:space="preserve">fokuserer på livsmestring og på </w:t>
      </w:r>
      <w:r w:rsidR="00D9107F">
        <w:rPr>
          <w:rFonts w:cstheme="minorHAnsi"/>
        </w:rPr>
        <w:t>«</w:t>
      </w:r>
      <w:r w:rsidR="00064080">
        <w:rPr>
          <w:rFonts w:cstheme="minorHAnsi"/>
        </w:rPr>
        <w:t>hva er viktig for deg</w:t>
      </w:r>
      <w:r w:rsidR="00D9107F">
        <w:rPr>
          <w:rFonts w:cstheme="minorHAnsi"/>
        </w:rPr>
        <w:t>»</w:t>
      </w:r>
      <w:r w:rsidR="00064080">
        <w:rPr>
          <w:rFonts w:cstheme="minorHAnsi"/>
        </w:rPr>
        <w:t xml:space="preserve">-perspektivet, og </w:t>
      </w:r>
      <w:r>
        <w:rPr>
          <w:rFonts w:cstheme="minorHAnsi"/>
        </w:rPr>
        <w:t>møter behovene til innbyggere og pasienter med omfattende og sammensatte behov</w:t>
      </w:r>
      <w:r w:rsidR="006A1888">
        <w:rPr>
          <w:rFonts w:cstheme="minorHAnsi"/>
        </w:rPr>
        <w:t xml:space="preserve"> </w:t>
      </w:r>
      <w:r w:rsidR="00D078E3">
        <w:rPr>
          <w:rFonts w:cstheme="minorHAnsi"/>
        </w:rPr>
        <w:fldChar w:fldCharType="begin"/>
      </w:r>
      <w:r w:rsidR="00A27571">
        <w:rPr>
          <w:rFonts w:cstheme="minorHAnsi"/>
        </w:rPr>
        <w:instrText xml:space="preserve"> ADDIN EN.CITE &lt;EndNote&gt;&lt;Cite&gt;&lt;Author&gt;Folkehelseinstituttet&lt;/Author&gt;&lt;Year&gt;2019&lt;/Year&gt;&lt;RecNum&gt;897&lt;/RecNum&gt;&lt;DisplayText&gt;(Folkehelseinstituttet, 2019)&lt;/DisplayText&gt;&lt;record&gt;&lt;rec-number&gt;897&lt;/rec-number&gt;&lt;foreign-keys&gt;&lt;key app="EN" db-id="95tpr2tp6r9xwoea9rb5wdsz5ds5xeddteew" timestamp="1680121023"&gt;897&lt;/key&gt;&lt;/foreign-keys&gt;&lt;ref-type name="Web Page"&gt;12&lt;/ref-type&gt;&lt;contributors&gt;&lt;authors&gt;&lt;author&gt;Folkehelseinstituttet&lt;/author&gt;&lt;/authors&gt;&lt;/contributors&gt;&lt;titles&gt;&lt;title&gt;Hva er viktig for deg? - En retningsendring&lt;/title&gt;&lt;/titles&gt;&lt;number&gt;29.03.23&lt;/number&gt;&lt;dates&gt;&lt;year&gt;2019&lt;/year&gt;&lt;/dates&gt;&lt;urls&gt;&lt;/urls&gt;&lt;/record&gt;&lt;/Cite&gt;&lt;/EndNote&gt;</w:instrText>
      </w:r>
      <w:r w:rsidR="00D078E3">
        <w:rPr>
          <w:rFonts w:cstheme="minorHAnsi"/>
        </w:rPr>
        <w:fldChar w:fldCharType="separate"/>
      </w:r>
      <w:r w:rsidR="00D078E3">
        <w:rPr>
          <w:rFonts w:cstheme="minorHAnsi"/>
          <w:noProof/>
        </w:rPr>
        <w:t>(Folkehelseinstituttet, 2019)</w:t>
      </w:r>
      <w:r w:rsidR="00D078E3">
        <w:rPr>
          <w:rFonts w:cstheme="minorHAnsi"/>
        </w:rPr>
        <w:fldChar w:fldCharType="end"/>
      </w:r>
      <w:r>
        <w:rPr>
          <w:rFonts w:cstheme="minorHAnsi"/>
        </w:rPr>
        <w:t>.</w:t>
      </w:r>
    </w:p>
    <w:p w14:paraId="058CAD5C" w14:textId="6BC1BA93" w:rsidR="00FF245E" w:rsidRDefault="00FF245E">
      <w:pPr>
        <w:jc w:val="both"/>
      </w:pPr>
      <w:r w:rsidRPr="009B2C34">
        <w:t>Likeverdig tilgang til helse- og omsorgstjenester for alle er et viktig fundament og et grunnleggende mål for hele helse- og omsorgstjenesten</w:t>
      </w:r>
      <w:r w:rsidR="00064080">
        <w:t xml:space="preserve">. Det </w:t>
      </w:r>
      <w:r w:rsidRPr="009B2C34">
        <w:t xml:space="preserve">innebærer at alle skal ha samme mulighet til å få </w:t>
      </w:r>
      <w:r w:rsidR="0029014B">
        <w:t xml:space="preserve">gode </w:t>
      </w:r>
      <w:r w:rsidRPr="009B2C34">
        <w:t>og tilpassede helsetjenester</w:t>
      </w:r>
      <w:r>
        <w:t xml:space="preserve">, </w:t>
      </w:r>
      <w:r w:rsidRPr="009B2C34">
        <w:t>uavhengig av bosted, sosioøkonomiske forutsetninger, funksjonsevne, alder, kjønn, kjønnsuttrykk, seksuell orientering, etnisitet, språk, tro og livssyn.</w:t>
      </w:r>
    </w:p>
    <w:p w14:paraId="2AC625F5" w14:textId="77777777" w:rsidR="00D9107F" w:rsidRDefault="00FF245E">
      <w:pPr>
        <w:jc w:val="both"/>
      </w:pPr>
      <w:r w:rsidRPr="009B2C34">
        <w:t>Geografiske ulikheter og ulik</w:t>
      </w:r>
      <w:r w:rsidRPr="009B2C34" w:rsidDel="00B3513D">
        <w:t xml:space="preserve"> </w:t>
      </w:r>
      <w:r>
        <w:t>tilgang til personell</w:t>
      </w:r>
      <w:r w:rsidRPr="009B2C34">
        <w:t xml:space="preserve"> medfører at utformingen, og hvilke løsninger som benyttes for å tilby likeverdige tjenester, vil variere fra sted til sted.</w:t>
      </w:r>
    </w:p>
    <w:p w14:paraId="3C5A5ED1" w14:textId="0E9FFD54" w:rsidR="008E7949" w:rsidRDefault="008E7949" w:rsidP="00775632">
      <w:pPr>
        <w:pStyle w:val="Overskrift2"/>
      </w:pPr>
      <w:bookmarkStart w:id="861" w:name="_Toc130766662"/>
      <w:bookmarkStart w:id="862" w:name="_Toc130932065"/>
      <w:bookmarkStart w:id="863" w:name="_Toc130934356"/>
      <w:bookmarkStart w:id="864" w:name="_Toc130983411"/>
      <w:bookmarkStart w:id="865" w:name="_Toc130983760"/>
      <w:bookmarkStart w:id="866" w:name="_Toc131062092"/>
      <w:bookmarkStart w:id="867" w:name="_Toc131062346"/>
      <w:bookmarkStart w:id="868" w:name="_Toc131062607"/>
      <w:bookmarkStart w:id="869" w:name="_Toc131062860"/>
      <w:bookmarkStart w:id="870" w:name="_Toc131063628"/>
      <w:bookmarkStart w:id="871" w:name="_Toc131064046"/>
      <w:bookmarkStart w:id="872" w:name="_Toc131238336"/>
      <w:bookmarkStart w:id="873" w:name="_Toc131279366"/>
      <w:bookmarkStart w:id="874" w:name="_Toc131286778"/>
      <w:bookmarkStart w:id="875" w:name="_Toc131281188"/>
      <w:bookmarkStart w:id="876" w:name="_Toc131317727"/>
      <w:bookmarkStart w:id="877" w:name="_Toc132536931"/>
      <w:r>
        <w:t>Bærekraftig samfunnsutvikling og prioritering</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732DFFC" w14:textId="77777777" w:rsidR="00D9107F" w:rsidRDefault="008E7949">
      <w:pPr>
        <w:jc w:val="both"/>
      </w:pPr>
      <w:r w:rsidRPr="009B2C34">
        <w:t>I arbeidet med å definere et realistisk målbilde</w:t>
      </w:r>
      <w:r w:rsidR="005A2C64">
        <w:t>,</w:t>
      </w:r>
      <w:r w:rsidRPr="009B2C34">
        <w:t xml:space="preserve"> må allmennlegetjenesten ses i sammenheng med samfunnets samlede ressurstilgang. </w:t>
      </w:r>
      <w:r w:rsidR="00D96BC6" w:rsidRPr="009B2C34">
        <w:t xml:space="preserve">Gitt utfordringsbildet og ressursbegrensningene framover, </w:t>
      </w:r>
      <w:r w:rsidR="00557AE8">
        <w:t>må</w:t>
      </w:r>
      <w:r w:rsidR="00D96BC6" w:rsidRPr="009B2C34">
        <w:t xml:space="preserve"> vi bli mer opptatt av </w:t>
      </w:r>
      <w:r w:rsidR="00557AE8">
        <w:t>formålstjenlig</w:t>
      </w:r>
      <w:r w:rsidR="00D96BC6" w:rsidRPr="009B2C34">
        <w:t xml:space="preserve"> og</w:t>
      </w:r>
      <w:r w:rsidR="00D96BC6" w:rsidRPr="00DC2B9D">
        <w:t xml:space="preserve"> </w:t>
      </w:r>
      <w:r w:rsidR="00557AE8">
        <w:t>effektiv utnyttelse og prioritering av ressursene</w:t>
      </w:r>
      <w:r w:rsidR="00D96BC6" w:rsidRPr="00DC2B9D">
        <w:t xml:space="preserve"> i </w:t>
      </w:r>
      <w:r w:rsidR="00557AE8">
        <w:t xml:space="preserve">alle deler av </w:t>
      </w:r>
      <w:r w:rsidR="00D96BC6" w:rsidRPr="00DC2B9D">
        <w:t>helse- og omsorgstjenesten</w:t>
      </w:r>
      <w:r w:rsidR="00D96BC6" w:rsidRPr="00EC0419">
        <w:t>.</w:t>
      </w:r>
      <w:r w:rsidR="00D96BC6">
        <w:rPr>
          <w:rFonts w:cstheme="minorHAnsi"/>
        </w:rPr>
        <w:t xml:space="preserve"> </w:t>
      </w:r>
      <w:r w:rsidR="00557AE8">
        <w:rPr>
          <w:rFonts w:cstheme="minorHAnsi"/>
        </w:rPr>
        <w:t xml:space="preserve">Organisering, arbeidsdeling og </w:t>
      </w:r>
      <w:r w:rsidR="00557AE8">
        <w:t>samhandling</w:t>
      </w:r>
      <w:r w:rsidRPr="009B2C34">
        <w:t xml:space="preserve"> mellom h</w:t>
      </w:r>
      <w:r w:rsidR="00557AE8">
        <w:t>elsepersonell og tjenestenivåer må bygge opp under dette.</w:t>
      </w:r>
    </w:p>
    <w:p w14:paraId="4E3514D6" w14:textId="34DF57AA" w:rsidR="008E7949" w:rsidRDefault="008E7949" w:rsidP="008E7949">
      <w:pPr>
        <w:jc w:val="both"/>
      </w:pPr>
      <w:r w:rsidRPr="009B2C34">
        <w:t xml:space="preserve">Helse- og omsorgstjenesten, herunder allmennlegetjenesten, bør innrettes slik at den kan gi gode tjenester til flere innbyggere, uten at kostnadene eller bruk av personell nødvendigvis øker. For å </w:t>
      </w:r>
      <w:r w:rsidR="0029014B">
        <w:t>lykkes med</w:t>
      </w:r>
      <w:r w:rsidRPr="009B2C34">
        <w:t xml:space="preserve"> dette må både befolkningens og helsepersonells forventninger til hvilke tjenester som kan ytes, og av hvem, </w:t>
      </w:r>
      <w:r w:rsidR="0029014B">
        <w:t>endres</w:t>
      </w:r>
      <w:r w:rsidRPr="009B2C34">
        <w:t xml:space="preserve">. Tjenestenes evne til å utvikle effektive </w:t>
      </w:r>
      <w:r w:rsidRPr="009B2C34">
        <w:lastRenderedPageBreak/>
        <w:t>organisasjonsformer og tjenester</w:t>
      </w:r>
      <w:r w:rsidR="00DF0A8F">
        <w:t>,</w:t>
      </w:r>
      <w:r w:rsidRPr="009B2C34">
        <w:t xml:space="preserve"> som både reduserer kostnadene og er til pasientens beste, må også forbedres.</w:t>
      </w:r>
    </w:p>
    <w:p w14:paraId="7403D898" w14:textId="28DB164E" w:rsidR="00D5583D" w:rsidRPr="009B2C34" w:rsidRDefault="00D5583D" w:rsidP="00EF390E">
      <w:pPr>
        <w:jc w:val="both"/>
      </w:pPr>
      <w:r w:rsidRPr="009B2C34">
        <w:t>Økende forventninger til helsetjenestene i befolkningen, knappere ressurser og økt tjenestebehov, gjør det nødvendig med tydeligere prioriteringer. Klare prioriteringer er også en forutsetning for å sikre likeverdig</w:t>
      </w:r>
      <w:r w:rsidR="007B3928">
        <w:t>e</w:t>
      </w:r>
      <w:r w:rsidRPr="009B2C34">
        <w:t xml:space="preserve"> allmennlegetjenester </w:t>
      </w:r>
      <w:r w:rsidR="005E1267">
        <w:t>til</w:t>
      </w:r>
      <w:r w:rsidRPr="009B2C34">
        <w:t xml:space="preserve"> alle deler av befolkningen.</w:t>
      </w:r>
    </w:p>
    <w:p w14:paraId="087D2F67" w14:textId="77777777" w:rsidR="00D9107F" w:rsidRDefault="008E7949" w:rsidP="008E7949">
      <w:pPr>
        <w:jc w:val="both"/>
      </w:pPr>
      <w:r w:rsidRPr="009B2C34">
        <w:t xml:space="preserve">Behovet for helhetlig tenkning om ressursbruk og planlegging i helsetjenesten gjenspeiles i Blankholmutvalgets anbefaling om felles prioriteringskriterier for hele helse- og omsorgstjenesten </w:t>
      </w:r>
      <w:r w:rsidR="003D1674">
        <w:fldChar w:fldCharType="begin"/>
      </w:r>
      <w:r w:rsidR="00235862">
        <w:instrText xml:space="preserve"> ADDIN EN.CITE &lt;EndNote&gt;&lt;Cite&gt;&lt;Author&gt;Helse- og omsorgsdepartementet&lt;/Author&gt;&lt;Year&gt;2018&lt;/Year&gt;&lt;RecNum&gt;135&lt;/RecNum&gt;&lt;DisplayText&gt;(Helse- og omsorgsdepartementet, 2018)&lt;/DisplayText&gt;&lt;record&gt;&lt;rec-number&gt;135&lt;/rec-number&gt;&lt;foreign-keys&gt;&lt;key app="EN" db-id="95tpr2tp6r9xwoea9rb5wdsz5ds5xeddteew" timestamp="1680069511"&gt;135&lt;/key&gt;&lt;/foreign-keys&gt;&lt;ref-type name="Report"&gt;27&lt;/ref-type&gt;&lt;contributors&gt;&lt;authors&gt;&lt;author&gt;Helse- og omsorgsdepartementet,&lt;/author&gt;&lt;/authors&gt;&lt;/contributors&gt;&lt;titles&gt;&lt;title&gt;NOU 2018:16. Det viktigste først: prinsipper for prioritering i den kommunale helse- og omsorgstjenesten og for offentlig finansierte tannhelsetjenester&lt;/title&gt;&lt;secondary-title&gt;Norges offentlige utredninger &lt;/secondary-title&gt;&lt;/titles&gt;&lt;keywords&gt;&lt;keyword&gt;offentlig tannpleie&lt;/keyword&gt;&lt;keyword&gt;Helse&lt;/keyword&gt;&lt;keyword&gt;Helsepolitikk&lt;/keyword&gt;&lt;keyword&gt;Helse- og omsorgstjenesteloven&lt;/keyword&gt;&lt;keyword&gt;Tannhelse&lt;/keyword&gt;&lt;/keywords&gt;&lt;dates&gt;&lt;year&gt;2018&lt;/year&gt;&lt;/dates&gt;&lt;pub-location&gt;Oslo&lt;/pub-location&gt;&lt;publisher&gt;Helse- og omsorgsdepartementet,&lt;/publisher&gt;&lt;isbn&gt;NOU 2018:16&lt;/isbn&gt;&lt;urls&gt;&lt;/urls&gt;&lt;/record&gt;&lt;/Cite&gt;&lt;/EndNote&gt;</w:instrText>
      </w:r>
      <w:r w:rsidR="003D1674">
        <w:fldChar w:fldCharType="separate"/>
      </w:r>
      <w:r w:rsidR="003D1674">
        <w:rPr>
          <w:noProof/>
        </w:rPr>
        <w:t>(Helse- og omsorgsdepartementet, 2018)</w:t>
      </w:r>
      <w:r w:rsidR="003D1674">
        <w:fldChar w:fldCharType="end"/>
      </w:r>
      <w:r w:rsidRPr="009B2C34">
        <w:t xml:space="preserve">. Etter ytterligere justering av prioriteringskriteriene nytte, ressurs og alvorlighet, er mestring nå inkludert i nytte-kriteriet </w:t>
      </w:r>
      <w:r w:rsidR="005D0E8D">
        <w:fldChar w:fldCharType="begin"/>
      </w:r>
      <w:r w:rsidR="00235862">
        <w:instrText xml:space="preserve"> ADDIN EN.CITE &lt;EndNote&gt;&lt;Cite&gt;&lt;Author&gt;Helse- og omsorgsdepartementet&lt;/Author&gt;&lt;Year&gt;2021&lt;/Year&gt;&lt;RecNum&gt;571&lt;/RecNum&gt;&lt;DisplayText&gt;(Helse- og omsorgsdepartementet, 2021b)&lt;/DisplayText&gt;&lt;record&gt;&lt;rec-number&gt;571&lt;/rec-number&gt;&lt;foreign-keys&gt;&lt;key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5D0E8D">
        <w:fldChar w:fldCharType="separate"/>
      </w:r>
      <w:r w:rsidR="00A841AD">
        <w:rPr>
          <w:noProof/>
        </w:rPr>
        <w:t>(Helse- og omsorgsdepartementet, 2021b)</w:t>
      </w:r>
      <w:r w:rsidR="005D0E8D">
        <w:fldChar w:fldCharType="end"/>
      </w:r>
      <w:r w:rsidRPr="009B2C34">
        <w:t>.</w:t>
      </w:r>
    </w:p>
    <w:p w14:paraId="16F7093D" w14:textId="77777777" w:rsidR="00D9107F" w:rsidRDefault="008E7949" w:rsidP="00775632">
      <w:pPr>
        <w:pStyle w:val="Overskrift2"/>
      </w:pPr>
      <w:bookmarkStart w:id="878" w:name="_Toc130766663"/>
      <w:bookmarkStart w:id="879" w:name="_Toc130932066"/>
      <w:bookmarkStart w:id="880" w:name="_Toc130934357"/>
      <w:bookmarkStart w:id="881" w:name="_Toc130983412"/>
      <w:bookmarkStart w:id="882" w:name="_Toc130983761"/>
      <w:bookmarkStart w:id="883" w:name="_Toc131062093"/>
      <w:bookmarkStart w:id="884" w:name="_Toc131062347"/>
      <w:bookmarkStart w:id="885" w:name="_Toc131062608"/>
      <w:bookmarkStart w:id="886" w:name="_Toc131062861"/>
      <w:bookmarkStart w:id="887" w:name="_Toc131063629"/>
      <w:bookmarkStart w:id="888" w:name="_Toc131064047"/>
      <w:bookmarkStart w:id="889" w:name="_Toc131238337"/>
      <w:bookmarkStart w:id="890" w:name="_Toc131279367"/>
      <w:bookmarkStart w:id="891" w:name="_Toc131286779"/>
      <w:bookmarkStart w:id="892" w:name="_Toc131281189"/>
      <w:bookmarkStart w:id="893" w:name="_Toc131317728"/>
      <w:bookmarkStart w:id="894" w:name="_Toc132536932"/>
      <w:r w:rsidRPr="00AB1586">
        <w:t>Riktig kvalitet og BEON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4F57795F" w14:textId="77777777" w:rsidR="00D9107F" w:rsidRDefault="00D96BC6" w:rsidP="00F15E68">
      <w:pPr>
        <w:jc w:val="both"/>
        <w:rPr>
          <w:rFonts w:cstheme="minorHAnsi"/>
        </w:rPr>
      </w:pPr>
      <w:r>
        <w:rPr>
          <w:rFonts w:cstheme="minorHAnsi"/>
        </w:rPr>
        <w:t xml:space="preserve">Alle innbyggere skal møte en allmennlegetjeneste med god kvalitet, </w:t>
      </w:r>
      <w:r>
        <w:t>bredde</w:t>
      </w:r>
      <w:r w:rsidRPr="009B2C34">
        <w:t xml:space="preserve"> og kontinuitet</w:t>
      </w:r>
      <w:r>
        <w:rPr>
          <w:rFonts w:cstheme="minorHAnsi"/>
        </w:rPr>
        <w:t>. Det betyr at det er behov for tiltak som sikrer en tilgjengelig og tilpasset tjeneste for alle.</w:t>
      </w:r>
    </w:p>
    <w:p w14:paraId="20550C13" w14:textId="77777777" w:rsidR="00D9107F" w:rsidRDefault="00D96BC6" w:rsidP="002B3B6B">
      <w:pPr>
        <w:jc w:val="both"/>
        <w:rPr>
          <w:rFonts w:cstheme="minorHAnsi"/>
        </w:rPr>
      </w:pPr>
      <w:r>
        <w:rPr>
          <w:rFonts w:cstheme="minorHAnsi"/>
        </w:rPr>
        <w:t>Forskrift om ledelse og kvalitetsforbedring i helse- og omsorgstjenesten pålegger alle som yter helse- og omsorgstjenester å bruke kunnskap om kvalitet og pasientsikkerhet i planlegging, gjennomføring, evaluering og korrigering av tjenestetilbudet</w:t>
      </w:r>
      <w:r w:rsidR="003D1674">
        <w:rPr>
          <w:rFonts w:cstheme="minorHAnsi"/>
        </w:rPr>
        <w:t xml:space="preserve"> </w:t>
      </w:r>
      <w:r w:rsidR="00D078E3">
        <w:rPr>
          <w:rFonts w:cstheme="minorHAnsi"/>
        </w:rPr>
        <w:fldChar w:fldCharType="begin"/>
      </w:r>
      <w:r w:rsidR="00D078E3">
        <w:rPr>
          <w:rFonts w:cstheme="minorHAnsi"/>
        </w:rPr>
        <w:instrText xml:space="preserve"> ADDIN EN.CITE &lt;EndNote&gt;&lt;Cite ExcludeAuth="1"&gt;&lt;Year&gt;2016&lt;/Year&gt;&lt;RecNum&gt;259&lt;/RecNum&gt;&lt;DisplayText&gt;(&lt;style face="italic"&gt;Forskrift om ledelse og kvalitetsforbedring i helse- og omsorgstjenesten&lt;/style&gt;, 2016)&lt;/DisplayText&gt;&lt;record&gt;&lt;rec-number&gt;259&lt;/rec-number&gt;&lt;foreign-keys&gt;&lt;key app="EN" db-id="95tpr2tp6r9xwoea9rb5wdsz5ds5xeddteew" timestamp="1680069511"&gt;259&lt;/key&gt;&lt;/foreign-keys&gt;&lt;ref-type name="Legal Rule or Regulation"&gt;50&lt;/ref-type&gt;&lt;contributors&gt;&lt;/contributors&gt;&lt;titles&gt;&lt;title&gt;Forskrift om ledelse og kvalitetsforbedring i helse- og omsorgstjenesten&lt;/title&gt;&lt;secondary-title&gt;FOR-2016-10-28-1250&lt;/secondary-title&gt;&lt;/titles&gt;&lt;edition&gt;FOR-2002-12-20-1731&lt;/edition&gt;&lt;dates&gt;&lt;year&gt;2016&lt;/year&gt;&lt;/dates&gt;&lt;publisher&gt;Helse- og omsorgsdepartementet&lt;/publisher&gt;&lt;urls&gt;&lt;/urls&gt;&lt;/record&gt;&lt;/Cite&gt;&lt;/EndNote&gt;</w:instrText>
      </w:r>
      <w:r w:rsidR="00D078E3">
        <w:rPr>
          <w:rFonts w:cstheme="minorHAnsi"/>
        </w:rPr>
        <w:fldChar w:fldCharType="separate"/>
      </w:r>
      <w:r w:rsidR="00D078E3">
        <w:rPr>
          <w:rFonts w:cstheme="minorHAnsi"/>
          <w:noProof/>
        </w:rPr>
        <w:t>(</w:t>
      </w:r>
      <w:r w:rsidR="00D078E3" w:rsidRPr="00D9107F">
        <w:rPr>
          <w:rStyle w:val="kursiv"/>
        </w:rPr>
        <w:t>Forskrift om ledelse og kvalitetsforbedring i helse- og omsorgstjenesten</w:t>
      </w:r>
      <w:r w:rsidR="00D078E3">
        <w:rPr>
          <w:rFonts w:cstheme="minorHAnsi"/>
          <w:noProof/>
        </w:rPr>
        <w:t>, 2016)</w:t>
      </w:r>
      <w:r w:rsidR="00D078E3">
        <w:rPr>
          <w:rFonts w:cstheme="minorHAnsi"/>
        </w:rPr>
        <w:fldChar w:fldCharType="end"/>
      </w:r>
      <w:r>
        <w:rPr>
          <w:rFonts w:cstheme="minorHAnsi"/>
        </w:rPr>
        <w:t>. Formålet er å bidra til faglig forsvarlige helse- og omsorgstjenester, kvalitetsforbedring og pasient- og brukersikkerhet, og at øvrige krav i helse- og omsorgslovgivningen etterleves.</w:t>
      </w:r>
    </w:p>
    <w:p w14:paraId="646CE662" w14:textId="77777777" w:rsidR="00D9107F" w:rsidRDefault="00DF0A8F" w:rsidP="002B3B6B">
      <w:pPr>
        <w:jc w:val="both"/>
      </w:pPr>
      <w:r w:rsidRPr="009B2C34">
        <w:t>Kvalitet kjennetegnes ved at tjenestene er virkningsfulle, trygge og sikre, involverer bruker</w:t>
      </w:r>
      <w:r>
        <w:t>n</w:t>
      </w:r>
      <w:r w:rsidRPr="009B2C34">
        <w:t>e og gir dem innflytelse, er samordnet og preget av kontinuitet, utnytter ressursene på en god måte</w:t>
      </w:r>
      <w:r>
        <w:t>,</w:t>
      </w:r>
      <w:r w:rsidRPr="009B2C34">
        <w:t xml:space="preserve"> og er tilgjengelige og rettferdig fordelt </w:t>
      </w:r>
      <w:r>
        <w:fldChar w:fldCharType="begin"/>
      </w:r>
      <w:r w:rsidR="004654FD">
        <w:instrText xml:space="preserve"> ADDIN EN.CITE &lt;EndNote&gt;&lt;Cite&gt;&lt;Author&gt;Helse- og omsorgsdepartementet&lt;/Author&gt;&lt;Year&gt;2019&lt;/Year&gt;&lt;RecNum&gt;826&lt;/RecNum&gt;&lt;DisplayText&gt;(Helse- og omsorgsdepartementet, 2019)&lt;/DisplayText&gt;&lt;record&gt;&lt;rec-number&gt;826&lt;/rec-number&gt;&lt;foreign-keys&gt;&lt;key app="EN" db-id="a2xzsdweu09rpte55r0x5fxmpftsf0wrtazr" timestamp="1680069275"&gt;826&lt;/key&gt;&lt;/foreign-keys&gt;&lt;ref-type name="Report"&gt;27&lt;/ref-type&gt;&lt;contributors&gt;&lt;authors&gt;&lt;author&gt;Helse- og omsorgsdepartementet, &lt;/author&gt;&lt;/authors&gt;&lt;/contributors&gt;&lt;titles&gt;&lt;title&gt;Kvalitet og pasientsikkerhet 2019&lt;/title&gt;&lt;/titles&gt;&lt;number&gt;Meld. St. 11 (2020–2021) &lt;/number&gt;&lt;dates&gt;&lt;year&gt;2019&lt;/year&gt;&lt;/dates&gt;&lt;urls&gt;&lt;related-urls&gt;&lt;url&gt;https://www.regjeringen.no/no/dokumenter/meld.-st.-11-20202021/id2791147/?ch=1&lt;/url&gt;&lt;/related-urls&gt;&lt;/urls&gt;&lt;/record&gt;&lt;/Cite&gt;&lt;/EndNote&gt;</w:instrText>
      </w:r>
      <w:r>
        <w:fldChar w:fldCharType="separate"/>
      </w:r>
      <w:r>
        <w:rPr>
          <w:noProof/>
        </w:rPr>
        <w:t>(Helse- og omsorgsdepartementet, 2019)</w:t>
      </w:r>
      <w:r>
        <w:fldChar w:fldCharType="end"/>
      </w:r>
      <w:r w:rsidRPr="009B2C34">
        <w:t xml:space="preserve">. For å oppnå dette er det behov for mest tids- og ressursbruk </w:t>
      </w:r>
      <w:r>
        <w:t>på</w:t>
      </w:r>
      <w:r w:rsidRPr="009B2C34">
        <w:t xml:space="preserve"> pasienter med størst behov og nytte, og hvor teambasert arbeid og tverrfaglighet </w:t>
      </w:r>
      <w:r w:rsidR="00557AE8">
        <w:t>ofte vil</w:t>
      </w:r>
      <w:r w:rsidRPr="009B2C34">
        <w:t xml:space="preserve"> være nødvendige virkemidler.</w:t>
      </w:r>
    </w:p>
    <w:p w14:paraId="007A5631" w14:textId="79BD0B71" w:rsidR="00D5583D" w:rsidRDefault="00DF0A8F" w:rsidP="00EF390E">
      <w:pPr>
        <w:jc w:val="both"/>
      </w:pPr>
      <w:r w:rsidRPr="33C3D0AA">
        <w:t>B</w:t>
      </w:r>
      <w:r w:rsidR="00D5583D" w:rsidRPr="33C3D0AA">
        <w:t>EON-prinsippet skal ligge til grunn. Det vil si at undersøkelse og behandling av pasienter skal foretas på</w:t>
      </w:r>
      <w:r w:rsidR="00D5583D" w:rsidRPr="33C3D0AA" w:rsidDel="00D96BC6">
        <w:t xml:space="preserve"> </w:t>
      </w:r>
      <w:r w:rsidRPr="00D9107F">
        <w:rPr>
          <w:rStyle w:val="halvfet"/>
        </w:rPr>
        <w:t>b</w:t>
      </w:r>
      <w:r w:rsidRPr="33C3D0AA">
        <w:t xml:space="preserve">este </w:t>
      </w:r>
      <w:r w:rsidR="00D5583D" w:rsidRPr="00D9107F">
        <w:rPr>
          <w:rStyle w:val="halvfet"/>
        </w:rPr>
        <w:t>e</w:t>
      </w:r>
      <w:r w:rsidR="00D5583D" w:rsidRPr="33C3D0AA">
        <w:t xml:space="preserve">ffektive </w:t>
      </w:r>
      <w:r w:rsidR="00D5583D" w:rsidRPr="00D9107F">
        <w:rPr>
          <w:rStyle w:val="halvfet"/>
        </w:rPr>
        <w:t>o</w:t>
      </w:r>
      <w:r w:rsidR="00D5583D" w:rsidRPr="33C3D0AA">
        <w:t>msorgs</w:t>
      </w:r>
      <w:r w:rsidR="00D5583D" w:rsidRPr="00D9107F">
        <w:rPr>
          <w:rStyle w:val="halvfet"/>
        </w:rPr>
        <w:t>n</w:t>
      </w:r>
      <w:r w:rsidR="00D5583D" w:rsidRPr="33C3D0AA">
        <w:t>ivå i helse- og omsorgstjenesten. I tillegg må tjenesten være utformet slik at det er tid og rom til å møte behovene til alle, også dem med behov for tett oppfølging og god opplæring</w:t>
      </w:r>
      <w:r w:rsidRPr="33C3D0AA">
        <w:t>,</w:t>
      </w:r>
      <w:r w:rsidR="00D5583D" w:rsidRPr="33C3D0AA">
        <w:t xml:space="preserve"> og dem med omfattende behov for helse- og omsorgstjenester. Dette betyr at legens tid må brukes riktig</w:t>
      </w:r>
      <w:r w:rsidRPr="33C3D0AA">
        <w:t>,</w:t>
      </w:r>
      <w:r w:rsidR="00D5583D" w:rsidRPr="33C3D0AA">
        <w:t xml:space="preserve"> og at annet personell må avlaste og bidra med sin kompetanse der det er faglig riktig og hensiktsmessig. Det betyr også at teknologi og andre virkemidler som understøtter god tilgjengelighet</w:t>
      </w:r>
      <w:r w:rsidR="001E5ADE">
        <w:t>,</w:t>
      </w:r>
      <w:r w:rsidR="00D5583D" w:rsidRPr="33C3D0AA">
        <w:t xml:space="preserve"> må tas i bruk. Effektiv og sikker </w:t>
      </w:r>
      <w:r w:rsidR="00D91BB3" w:rsidRPr="33C3D0AA">
        <w:t>prioritering</w:t>
      </w:r>
      <w:r w:rsidR="00D5583D" w:rsidRPr="33C3D0AA">
        <w:t xml:space="preserve"> må ivaretas. </w:t>
      </w:r>
      <w:r w:rsidR="009D5C6A" w:rsidRPr="00F653A1">
        <w:rPr>
          <w:color w:val="000000" w:themeColor="text1"/>
        </w:rPr>
        <w:t>Administrative oppgaver må reduseres, slik at legene får bruke mesteparten av tiden til pasientrettet arbeid.</w:t>
      </w:r>
    </w:p>
    <w:p w14:paraId="67E4EC21" w14:textId="77777777" w:rsidR="00D9107F" w:rsidRDefault="00FF2E23">
      <w:pPr>
        <w:jc w:val="both"/>
      </w:pPr>
      <w:bookmarkStart w:id="895" w:name="_Toc130766665"/>
      <w:r>
        <w:t>A</w:t>
      </w:r>
      <w:bookmarkEnd w:id="895"/>
      <w:r w:rsidRPr="009B2C34">
        <w:t xml:space="preserve">llmennlegetjenestene må organiseres og finansieres på en måte som </w:t>
      </w:r>
      <w:r w:rsidR="00D66CA5">
        <w:t>fr</w:t>
      </w:r>
      <w:r w:rsidR="000038E5">
        <w:t>e</w:t>
      </w:r>
      <w:r w:rsidR="00D66CA5">
        <w:t>m</w:t>
      </w:r>
      <w:r w:rsidRPr="009B2C34">
        <w:t xml:space="preserve">mer </w:t>
      </w:r>
      <w:r w:rsidR="00FE0A6F" w:rsidRPr="009B2C34">
        <w:t xml:space="preserve">kvalitet og effektivitet, og utvikling av nye produkter, tjenester og organiseringsformer. </w:t>
      </w:r>
      <w:r w:rsidR="00FE0A6F" w:rsidRPr="009B2C34" w:rsidDel="00FF2E23">
        <w:t xml:space="preserve">Helseteknologi har </w:t>
      </w:r>
      <w:r w:rsidR="00FE0A6F" w:rsidRPr="009B2C34" w:rsidDel="00FF2E23">
        <w:lastRenderedPageBreak/>
        <w:t>et stort potensial, både for bedret bærekraft og en effektivisering av måten allmennlegetjenesten leveres på</w:t>
      </w:r>
      <w:r w:rsidR="00FE0A6F" w:rsidDel="00FF2E23">
        <w:t>.</w:t>
      </w:r>
    </w:p>
    <w:p w14:paraId="0B089655" w14:textId="40CF3304" w:rsidR="00064080" w:rsidRDefault="00064080" w:rsidP="00775632">
      <w:pPr>
        <w:pStyle w:val="Overskrift2"/>
      </w:pPr>
      <w:bookmarkStart w:id="896" w:name="_Toc130766666"/>
      <w:bookmarkStart w:id="897" w:name="_Toc130932067"/>
      <w:bookmarkStart w:id="898" w:name="_Toc130934358"/>
      <w:bookmarkStart w:id="899" w:name="_Toc131064048"/>
      <w:bookmarkStart w:id="900" w:name="_Toc131238338"/>
      <w:bookmarkStart w:id="901" w:name="_Toc131279368"/>
      <w:bookmarkStart w:id="902" w:name="_Toc131286780"/>
      <w:bookmarkStart w:id="903" w:name="_Toc131281190"/>
      <w:bookmarkStart w:id="904" w:name="_Toc131317729"/>
      <w:bookmarkStart w:id="905" w:name="_Toc132536933"/>
      <w:r>
        <w:t>Kommunene</w:t>
      </w:r>
      <w:r w:rsidR="008E7949">
        <w:t>s sørge-for-ansvar</w:t>
      </w:r>
      <w:bookmarkEnd w:id="896"/>
      <w:bookmarkEnd w:id="897"/>
      <w:bookmarkEnd w:id="898"/>
      <w:bookmarkEnd w:id="899"/>
      <w:bookmarkEnd w:id="900"/>
      <w:bookmarkEnd w:id="901"/>
      <w:bookmarkEnd w:id="902"/>
      <w:bookmarkEnd w:id="903"/>
      <w:bookmarkEnd w:id="904"/>
      <w:bookmarkEnd w:id="905"/>
    </w:p>
    <w:p w14:paraId="6E394AB6" w14:textId="77777777" w:rsidR="00D9107F" w:rsidRDefault="005A392D" w:rsidP="002B3B6B">
      <w:pPr>
        <w:jc w:val="both"/>
      </w:pPr>
      <w:r>
        <w:t>B</w:t>
      </w:r>
      <w:r w:rsidR="00976C54" w:rsidRPr="001E6DC8">
        <w:t>efolkningen i Norge har lovfestet rett til helse- og omsorgstjenester gjennom hele livet. Ansvaret for helsetjeneste</w:t>
      </w:r>
      <w:r w:rsidR="0087624C">
        <w:t xml:space="preserve">ne </w:t>
      </w:r>
      <w:r w:rsidR="00976C54" w:rsidRPr="001E6DC8">
        <w:t>er delt mellom stat</w:t>
      </w:r>
      <w:r w:rsidR="0087624C">
        <w:t>en</w:t>
      </w:r>
      <w:r w:rsidR="00976C54" w:rsidRPr="001E6DC8">
        <w:t xml:space="preserve"> og kommune</w:t>
      </w:r>
      <w:r w:rsidR="0087624C">
        <w:t>ne</w:t>
      </w:r>
      <w:r w:rsidR="00976C54" w:rsidRPr="001E6DC8">
        <w:t>. Mens staten har ansvar for å tilby helsetjenester på spesialistnivå, har kommunen ansvar for å tilby nødvendige</w:t>
      </w:r>
      <w:r w:rsidR="008E7949" w:rsidRPr="001E6DC8">
        <w:t xml:space="preserve"> </w:t>
      </w:r>
      <w:r w:rsidR="00976C54" w:rsidRPr="001E6DC8">
        <w:t xml:space="preserve">helse- og omsorgstjenester til </w:t>
      </w:r>
      <w:r w:rsidR="00976C54">
        <w:t>personer</w:t>
      </w:r>
      <w:r w:rsidR="00976C54" w:rsidRPr="001E6DC8">
        <w:t xml:space="preserve"> som </w:t>
      </w:r>
      <w:r w:rsidR="008E7949">
        <w:rPr>
          <w:rFonts w:cstheme="minorHAnsi"/>
        </w:rPr>
        <w:t xml:space="preserve">bor eller </w:t>
      </w:r>
      <w:r w:rsidR="008E7949" w:rsidRPr="001E6DC8">
        <w:t xml:space="preserve">oppholder seg i </w:t>
      </w:r>
      <w:r w:rsidR="00976C54" w:rsidRPr="001E6DC8" w:rsidDel="008E7949">
        <w:t>kommunen</w:t>
      </w:r>
      <w:r w:rsidR="00976C54" w:rsidRPr="001E6DC8">
        <w:t>.</w:t>
      </w:r>
    </w:p>
    <w:p w14:paraId="7E17F66A" w14:textId="77777777" w:rsidR="00D9107F" w:rsidRDefault="00976C54" w:rsidP="002B3B6B">
      <w:pPr>
        <w:jc w:val="both"/>
      </w:pPr>
      <w:r w:rsidRPr="001E6DC8">
        <w:t>Kommunen</w:t>
      </w:r>
      <w:r w:rsidR="00FF2E23">
        <w:t>e</w:t>
      </w:r>
      <w:r w:rsidRPr="001E6DC8">
        <w:t xml:space="preserve">s ansvar er omfattende, og innebærer blant annet å sørge for nødvendige allmennlegetjenester til befolkningen, herunder fastlegeordning, legevakt og andre allmennlegeoppgaver </w:t>
      </w:r>
      <w:r w:rsidR="00872101">
        <w:fldChar w:fldCharType="begin"/>
      </w:r>
      <w:r w:rsidR="00D078E3">
        <w:instrText xml:space="preserve"> ADDIN EN.CITE &lt;EndNote&gt;&lt;Cite ExcludeAuth="1"&gt;&lt;Year&gt;2016&lt;/Year&gt;&lt;RecNum&gt;448&lt;/RecNum&gt;&lt;DisplayText&gt;(&lt;style face="italic"&gt;Lov om kommunale helse- og omsorgstjenester m.m. (helse- og omsorgstjenesteloven)&lt;/style&gt;, 2016)&lt;/DisplayText&gt;&lt;record&gt;&lt;rec-number&gt;448&lt;/rec-number&gt;&lt;foreign-keys&gt;&lt;key app="EN" db-id="xv2pp5x2v09a2ae5vwcvrtxd0f09zeseztpp" timestamp="1678702276"&gt;448&lt;/key&gt;&lt;/foreign-keys&gt;&lt;ref-type name="Legal Rule or Regulation"&gt;50&lt;/ref-type&gt;&lt;contributors&gt;&lt;/contributors&gt;&lt;titles&gt;&lt;title&gt;Lov om kommunale helse- og omsorgstjenester m.m. (helse- og omsorgstjenesteloven)&lt;/title&gt;&lt;secondary-title&gt;LOV-2011-06-24-30&lt;/secondary-title&gt;&lt;/titles&gt;&lt;edition&gt;LOV-2022-11-25-86&lt;/edition&gt;&lt;dates&gt;&lt;year&gt;2016&lt;/year&gt;&lt;/dates&gt;&lt;urls&gt;&lt;related-urls&gt;&lt;url&gt;https://lovdata.no/dokument/NL/lov/2011-06-24-30/KAPITTEL_4#%C2%A74-1&lt;/url&gt;&lt;/related-urls&gt;&lt;/urls&gt;&lt;/record&gt;&lt;/Cite&gt;&lt;/EndNote&gt;</w:instrText>
      </w:r>
      <w:r w:rsidR="00872101">
        <w:fldChar w:fldCharType="separate"/>
      </w:r>
      <w:r w:rsidR="00D078E3">
        <w:rPr>
          <w:noProof/>
        </w:rPr>
        <w:t>(</w:t>
      </w:r>
      <w:r w:rsidR="00CE2F35" w:rsidRPr="00D9107F">
        <w:rPr>
          <w:rStyle w:val="kursiv"/>
        </w:rPr>
        <w:t>Lov</w:t>
      </w:r>
      <w:r w:rsidR="00D078E3" w:rsidRPr="00D9107F">
        <w:rPr>
          <w:rStyle w:val="kursiv"/>
        </w:rPr>
        <w:t xml:space="preserve"> om kommunale helse- og omsorgstjenester m.m. (helse- og omsorgstjenesteloven)</w:t>
      </w:r>
      <w:r w:rsidR="00D078E3">
        <w:rPr>
          <w:noProof/>
        </w:rPr>
        <w:t>, 2016)</w:t>
      </w:r>
      <w:r w:rsidR="00872101">
        <w:fldChar w:fldCharType="end"/>
      </w:r>
      <w:r w:rsidRPr="001E6DC8">
        <w:t xml:space="preserve">. </w:t>
      </w:r>
      <w:r w:rsidR="0099067B">
        <w:t>Kommunenes handlingsrom og virkemidler for styring, ledelse og internkontroll må stå i forhold til dette.</w:t>
      </w:r>
    </w:p>
    <w:p w14:paraId="78C8C17C" w14:textId="77777777" w:rsidR="00D9107F" w:rsidRDefault="00976C54">
      <w:pPr>
        <w:jc w:val="both"/>
      </w:pPr>
      <w:r w:rsidRPr="009B2C34">
        <w:t>Allmennlegetjenesten er en sentral del av den kommunale helse- og omsorgstjenesten</w:t>
      </w:r>
      <w:r>
        <w:t>,</w:t>
      </w:r>
      <w:r w:rsidRPr="009B2C34">
        <w:t xml:space="preserve"> og portvokter til andre deler av helsetjeneste</w:t>
      </w:r>
      <w:r w:rsidR="00FF2E23">
        <w:t xml:space="preserve">n </w:t>
      </w:r>
      <w:r w:rsidR="00FF2E23">
        <w:fldChar w:fldCharType="begin"/>
      </w:r>
      <w:r w:rsidR="00FF2E23">
        <w:instrText xml:space="preserve"> ADDIN EN.CITE &lt;EndNote&gt;&lt;Cite ExcludeAuth="1"&gt;&lt;Year&gt;[2012]&lt;/Year&gt;&lt;RecNum&gt;673&lt;/RecNum&gt;&lt;DisplayText&gt;(&lt;style face="italic"&gt;Høringsnotat om revidert fastlegeforskrift m.m.&lt;/style&gt;, [2012])&lt;/DisplayText&gt;&lt;record&gt;&lt;rec-number&gt;673&lt;/rec-number&gt;&lt;foreign-keys&gt;&lt;key app="EN" db-id="xv2pp5x2v09a2ae5vwcvrtxd0f09zeseztpp" timestamp="1678702276"&gt;673&lt;/key&gt;&lt;/foreign-keys&gt;&lt;ref-type name="Report"&gt;27&lt;/ref-type&gt;&lt;contributors&gt;&lt;/contributors&gt;&lt;titles&gt;&lt;title&gt;Høringsnotat om revidert fastlegeforskrift m.m.&lt;/title&gt;&lt;/titles&gt;&lt;dates&gt;&lt;year&gt;[2012]&lt;/year&gt;&lt;/dates&gt;&lt;pub-location&gt;Oslo&lt;/pub-location&gt;&lt;urls&gt;&lt;related-urls&gt;&lt;url&gt;https://www.regjeringen.no/contentassets/e683123127ec414ca71b73a776a8f532/fastlegeforskrift.pdf&lt;/url&gt;&lt;/related-urls&gt;&lt;/urls&gt;&lt;/record&gt;&lt;/Cite&gt;&lt;/EndNote&gt;</w:instrText>
      </w:r>
      <w:r w:rsidR="00FF2E23">
        <w:fldChar w:fldCharType="separate"/>
      </w:r>
      <w:r w:rsidR="00FF2E23">
        <w:rPr>
          <w:noProof/>
        </w:rPr>
        <w:t>(</w:t>
      </w:r>
      <w:r w:rsidR="00FF2E23" w:rsidRPr="00D9107F">
        <w:rPr>
          <w:rStyle w:val="kursiv"/>
        </w:rPr>
        <w:t>Høringsnotat om revidert fastlegeforskrift m.m.</w:t>
      </w:r>
      <w:r w:rsidR="00FF2E23">
        <w:rPr>
          <w:noProof/>
        </w:rPr>
        <w:t>, [2012])</w:t>
      </w:r>
      <w:r w:rsidR="00FF2E23">
        <w:fldChar w:fldCharType="end"/>
      </w:r>
      <w:r w:rsidR="00FF2E23" w:rsidRPr="009B2C34">
        <w:t>.</w:t>
      </w:r>
      <w:r w:rsidR="00FF2E23">
        <w:t xml:space="preserve"> </w:t>
      </w:r>
      <w:r w:rsidR="00FF2E23" w:rsidRPr="009B2C34">
        <w:t xml:space="preserve">Det er viktig at </w:t>
      </w:r>
      <w:r w:rsidR="00FF2E23">
        <w:t xml:space="preserve">allmennlegetjenesten er godt integrert i den øvrige kommunale helsetjenesten, og at </w:t>
      </w:r>
      <w:r w:rsidR="00FF2E23" w:rsidRPr="009B2C34">
        <w:t>fastlegen</w:t>
      </w:r>
      <w:r w:rsidR="00FF2E23">
        <w:t>e</w:t>
      </w:r>
      <w:r w:rsidR="00FF2E23" w:rsidRPr="009B2C34">
        <w:t xml:space="preserve"> bidrar til helhetlige og koordinerte tjenester </w:t>
      </w:r>
      <w:r w:rsidR="00FF2E23">
        <w:t>til innbyggerne og</w:t>
      </w:r>
      <w:r w:rsidR="008E7949" w:rsidRPr="009B2C34" w:rsidDel="00FF2E23">
        <w:t xml:space="preserve"> </w:t>
      </w:r>
      <w:r w:rsidR="008E7949" w:rsidRPr="009B2C34">
        <w:t>støtte</w:t>
      </w:r>
      <w:r w:rsidR="00FF2E23">
        <w:t>r</w:t>
      </w:r>
      <w:r w:rsidR="008E7949" w:rsidRPr="009B2C34">
        <w:t xml:space="preserve"> opp under forebygging, utdanning</w:t>
      </w:r>
      <w:r w:rsidR="008E7949">
        <w:t>, sysselsetting</w:t>
      </w:r>
      <w:r w:rsidR="008E7949" w:rsidRPr="009B2C34">
        <w:t xml:space="preserve"> og velferdstjenestene.</w:t>
      </w:r>
    </w:p>
    <w:p w14:paraId="6400F1EF" w14:textId="78553B16" w:rsidR="74ED4B4E" w:rsidRDefault="74ED4B4E" w:rsidP="009018B9">
      <w:pPr>
        <w:rPr>
          <w:rFonts w:eastAsia="Calibri"/>
        </w:rPr>
      </w:pPr>
      <w:r w:rsidRPr="395FB02E">
        <w:rPr>
          <w:rFonts w:eastAsia="Calibri"/>
        </w:rPr>
        <w:t xml:space="preserve">Etter innføring av fastlegeordningen har det skjedd store endringer i de kommunale helse- og omsorgstjenenestene. Fastlegeordningen er en viktig del av helsetjenesten, men </w:t>
      </w:r>
      <w:r w:rsidR="008231C5">
        <w:rPr>
          <w:rFonts w:eastAsia="Calibri"/>
        </w:rPr>
        <w:t>de</w:t>
      </w:r>
      <w:r w:rsidRPr="395FB02E">
        <w:rPr>
          <w:rFonts w:eastAsia="Calibri"/>
        </w:rPr>
        <w:t xml:space="preserve"> består også av mange andre tjenester.</w:t>
      </w:r>
      <w:r w:rsidRPr="395FB02E" w:rsidDel="005E1267">
        <w:rPr>
          <w:rFonts w:eastAsia="Calibri"/>
        </w:rPr>
        <w:t xml:space="preserve"> </w:t>
      </w:r>
      <w:r w:rsidRPr="395FB02E">
        <w:rPr>
          <w:rFonts w:eastAsia="Calibri"/>
        </w:rPr>
        <w:t>Helsestasjonen og skolehelsetjenesten har blitt styrket. Helsesykepleiere har en viktig rolle i oppfølging av barn, unge og deres familier. Jordmortjenesten i norske kommuner avlaster legene for en rekke oppgaver knyttet til svangerskap og kvinnehelse. Kommunale helsetjenester for pasienter med psykiske og rusrelaterte lidelser har, som helsestasjonen, blitt vesentlig styrket. Tjenesten er et lavterskeltilbud, men følger også opp og behandler gjennom samtaleterapi, pasienter med kroniske lidelser, og er en betydelig ressurs.</w:t>
      </w:r>
    </w:p>
    <w:p w14:paraId="2FE80C9A" w14:textId="536A0214" w:rsidR="61170899" w:rsidRDefault="74ED4B4E" w:rsidP="009018B9">
      <w:pPr>
        <w:rPr>
          <w:rFonts w:eastAsia="Calibri"/>
        </w:rPr>
      </w:pPr>
      <w:r w:rsidRPr="395FB02E">
        <w:rPr>
          <w:rFonts w:eastAsia="Calibri"/>
        </w:rPr>
        <w:t xml:space="preserve">Kommunene har psykososiale kriseteam, der legen er en av mange deltakere som bidrar ved kriser og katastrofer. Kommunene har blitt pålagt i lov å ansette psykolog og ergoterapeut i tillegg til lege, fysioterapeut og jordmor. Det har også de siste årene vært et økende antall sykepleiere i kommunene med spesialkompetanse blant annet innen kreftomsorg. Kommunenes ansvar for rehabilitering og habilitering, som er forankret i egen forskrift, involverer en rekke kommunalt ansatte i tillegg til legen, herunder fysioterapeuter, ergoterapeuter, logopeder, vernepleiere og sykepleiere. Den beskrevne utviklingen i de kommunale helsetjenestene utenfor fastlegeordningen, </w:t>
      </w:r>
      <w:r w:rsidR="006E0946">
        <w:rPr>
          <w:rFonts w:eastAsia="Calibri"/>
        </w:rPr>
        <w:t>understreker</w:t>
      </w:r>
      <w:r w:rsidRPr="395FB02E">
        <w:rPr>
          <w:rFonts w:eastAsia="Calibri"/>
        </w:rPr>
        <w:t xml:space="preserve"> behovet for en bedre integrering av fastlegeordningen med de øvrige kommunale helsetjenestene. Det vil legge </w:t>
      </w:r>
      <w:r w:rsidRPr="395FB02E">
        <w:rPr>
          <w:rFonts w:eastAsia="Calibri"/>
        </w:rPr>
        <w:lastRenderedPageBreak/>
        <w:t>forholdene bedre til rette for samarbeid rundt de pasientene som har behov for flere og sammensatte tjenester.</w:t>
      </w:r>
    </w:p>
    <w:p w14:paraId="310F0FE5" w14:textId="77777777" w:rsidR="00D9107F" w:rsidRDefault="00FF2E23" w:rsidP="00EF390E">
      <w:pPr>
        <w:jc w:val="both"/>
        <w:rPr>
          <w:rFonts w:cstheme="minorHAnsi"/>
        </w:rPr>
      </w:pPr>
      <w:r>
        <w:rPr>
          <w:rFonts w:cstheme="minorHAnsi"/>
        </w:rPr>
        <w:t>En del av målbildet er også å for</w:t>
      </w:r>
      <w:r w:rsidR="00D5583D">
        <w:rPr>
          <w:rFonts w:cstheme="minorHAnsi"/>
        </w:rPr>
        <w:t>bedre arbeidsdeling og samhandling m</w:t>
      </w:r>
      <w:r>
        <w:rPr>
          <w:rFonts w:cstheme="minorHAnsi"/>
        </w:rPr>
        <w:t>ellom kommunehelsetjenesten og</w:t>
      </w:r>
      <w:r w:rsidR="00D5583D">
        <w:rPr>
          <w:rFonts w:cstheme="minorHAnsi"/>
        </w:rPr>
        <w:t xml:space="preserve"> spesialisthelsetjenesten</w:t>
      </w:r>
      <w:r>
        <w:rPr>
          <w:rFonts w:cstheme="minorHAnsi"/>
        </w:rPr>
        <w:t>.</w:t>
      </w:r>
    </w:p>
    <w:p w14:paraId="702D3CDB" w14:textId="77777777" w:rsidR="00D9107F" w:rsidRDefault="008E7949" w:rsidP="00775632">
      <w:pPr>
        <w:pStyle w:val="Overskrift2"/>
      </w:pPr>
      <w:bookmarkStart w:id="906" w:name="_Toc130766667"/>
      <w:bookmarkStart w:id="907" w:name="_Toc130932068"/>
      <w:bookmarkStart w:id="908" w:name="_Toc130934359"/>
      <w:bookmarkStart w:id="909" w:name="_Toc131064049"/>
      <w:bookmarkStart w:id="910" w:name="_Toc131238339"/>
      <w:bookmarkStart w:id="911" w:name="_Toc131279369"/>
      <w:bookmarkStart w:id="912" w:name="_Toc131286781"/>
      <w:bookmarkStart w:id="913" w:name="_Toc131281191"/>
      <w:bookmarkStart w:id="914" w:name="_Toc131317730"/>
      <w:bookmarkStart w:id="915" w:name="_Toc132536934"/>
      <w:r>
        <w:t>Rekruttere og beholde leger</w:t>
      </w:r>
      <w:bookmarkEnd w:id="906"/>
      <w:bookmarkEnd w:id="907"/>
      <w:bookmarkEnd w:id="908"/>
      <w:bookmarkEnd w:id="909"/>
      <w:bookmarkEnd w:id="910"/>
      <w:bookmarkEnd w:id="911"/>
      <w:bookmarkEnd w:id="912"/>
      <w:bookmarkEnd w:id="913"/>
      <w:bookmarkEnd w:id="914"/>
      <w:bookmarkEnd w:id="915"/>
    </w:p>
    <w:p w14:paraId="00DF3F0B" w14:textId="77777777" w:rsidR="00D9107F" w:rsidRDefault="00D5583D" w:rsidP="00F15E68">
      <w:pPr>
        <w:jc w:val="both"/>
        <w:rPr>
          <w:rFonts w:cstheme="minorHAnsi"/>
        </w:rPr>
      </w:pPr>
      <w:r>
        <w:rPr>
          <w:rFonts w:cstheme="minorHAnsi"/>
        </w:rPr>
        <w:t>Allmennlegene, herunder fastlegene, inngår i grunnmuren i helse- og omsorgstjeneste</w:t>
      </w:r>
      <w:r w:rsidR="00FF2E23">
        <w:rPr>
          <w:rFonts w:cstheme="minorHAnsi"/>
        </w:rPr>
        <w:t>n.</w:t>
      </w:r>
      <w:r w:rsidDel="00FF2E23">
        <w:rPr>
          <w:rFonts w:cstheme="minorHAnsi"/>
        </w:rPr>
        <w:t xml:space="preserve"> </w:t>
      </w:r>
      <w:r>
        <w:rPr>
          <w:rFonts w:cstheme="minorHAnsi"/>
        </w:rPr>
        <w:t xml:space="preserve">Det </w:t>
      </w:r>
      <w:r w:rsidR="00FF2E23">
        <w:rPr>
          <w:rFonts w:cstheme="minorHAnsi"/>
        </w:rPr>
        <w:t>er derfor av avgjørende betydning</w:t>
      </w:r>
      <w:r w:rsidR="002D7126">
        <w:rPr>
          <w:rFonts w:cstheme="minorHAnsi"/>
        </w:rPr>
        <w:t xml:space="preserve"> å lykkes med å rekruttere og beholde et tilstrekkelig antall </w:t>
      </w:r>
      <w:r w:rsidR="00E114F4">
        <w:rPr>
          <w:rFonts w:cstheme="minorHAnsi"/>
        </w:rPr>
        <w:t xml:space="preserve">godt kvalifiserte </w:t>
      </w:r>
      <w:r w:rsidR="002D7126">
        <w:rPr>
          <w:rFonts w:cstheme="minorHAnsi"/>
        </w:rPr>
        <w:t>leger i kommunehelsetjenesten. N</w:t>
      </w:r>
      <w:r>
        <w:rPr>
          <w:rFonts w:cstheme="minorHAnsi"/>
        </w:rPr>
        <w:t xml:space="preserve">yutdannede leger skal oppleve </w:t>
      </w:r>
      <w:r w:rsidR="002D7126">
        <w:rPr>
          <w:rFonts w:cstheme="minorHAnsi"/>
        </w:rPr>
        <w:t xml:space="preserve">allmennlegetjenesten og </w:t>
      </w:r>
      <w:r>
        <w:rPr>
          <w:rFonts w:cstheme="minorHAnsi"/>
        </w:rPr>
        <w:t>fastlegeyrket som en trygg</w:t>
      </w:r>
      <w:r w:rsidR="00F5257E">
        <w:rPr>
          <w:rFonts w:cstheme="minorHAnsi"/>
        </w:rPr>
        <w:t>,</w:t>
      </w:r>
      <w:r>
        <w:rPr>
          <w:rFonts w:cstheme="minorHAnsi"/>
        </w:rPr>
        <w:t xml:space="preserve"> og samtidig faglig attraktiv</w:t>
      </w:r>
      <w:r w:rsidR="00F5257E">
        <w:rPr>
          <w:rFonts w:cstheme="minorHAnsi"/>
        </w:rPr>
        <w:t>,</w:t>
      </w:r>
      <w:r>
        <w:rPr>
          <w:rFonts w:cstheme="minorHAnsi"/>
        </w:rPr>
        <w:t xml:space="preserve"> karrierevei. </w:t>
      </w:r>
      <w:r w:rsidR="00221F23">
        <w:rPr>
          <w:rFonts w:cstheme="minorHAnsi"/>
        </w:rPr>
        <w:t xml:space="preserve">Samtidig må vi </w:t>
      </w:r>
      <w:r w:rsidR="00F5257E">
        <w:rPr>
          <w:rFonts w:cstheme="minorHAnsi"/>
        </w:rPr>
        <w:t xml:space="preserve">søke å </w:t>
      </w:r>
      <w:r w:rsidR="00221F23">
        <w:rPr>
          <w:rFonts w:cstheme="minorHAnsi"/>
        </w:rPr>
        <w:t>holde på de allmennlegene og fastelegene vi allerede har.</w:t>
      </w:r>
    </w:p>
    <w:p w14:paraId="13DACE2D" w14:textId="77777777" w:rsidR="00D9107F" w:rsidRDefault="00221F23">
      <w:pPr>
        <w:jc w:val="both"/>
        <w:rPr>
          <w:rFonts w:cstheme="minorHAnsi"/>
        </w:rPr>
      </w:pPr>
      <w:r>
        <w:rPr>
          <w:rFonts w:cstheme="minorHAnsi"/>
        </w:rPr>
        <w:t xml:space="preserve">Viktige fokusområder for å rekruttere og beholde allmenn- og fastleger er gode utdanningsløp med veiledning og supervisjon, </w:t>
      </w:r>
      <w:r w:rsidR="00E114F4">
        <w:rPr>
          <w:rFonts w:cstheme="minorHAnsi"/>
        </w:rPr>
        <w:t xml:space="preserve">lav terskel for etablering av praksis, </w:t>
      </w:r>
      <w:r>
        <w:rPr>
          <w:rFonts w:cstheme="minorHAnsi"/>
        </w:rPr>
        <w:t xml:space="preserve">forsvarlig arbeidsbelastning, tid </w:t>
      </w:r>
      <w:r w:rsidR="00E114F4">
        <w:rPr>
          <w:rFonts w:cstheme="minorHAnsi"/>
        </w:rPr>
        <w:t xml:space="preserve">og anledning </w:t>
      </w:r>
      <w:r>
        <w:rPr>
          <w:rFonts w:cstheme="minorHAnsi"/>
        </w:rPr>
        <w:t>til faglig oppdatering</w:t>
      </w:r>
      <w:r w:rsidR="00F5257E">
        <w:rPr>
          <w:rFonts w:cstheme="minorHAnsi"/>
        </w:rPr>
        <w:t>,</w:t>
      </w:r>
      <w:r w:rsidR="00D5583D">
        <w:rPr>
          <w:rFonts w:cstheme="minorHAnsi"/>
        </w:rPr>
        <w:t xml:space="preserve"> kvalitetsarbeid</w:t>
      </w:r>
      <w:r>
        <w:rPr>
          <w:rFonts w:cstheme="minorHAnsi"/>
        </w:rPr>
        <w:t xml:space="preserve"> og samhandling</w:t>
      </w:r>
      <w:r w:rsidR="00F5257E">
        <w:rPr>
          <w:rFonts w:cstheme="minorHAnsi"/>
        </w:rPr>
        <w:t xml:space="preserve">, </w:t>
      </w:r>
      <w:r>
        <w:rPr>
          <w:rFonts w:cstheme="minorHAnsi"/>
        </w:rPr>
        <w:t>og</w:t>
      </w:r>
      <w:r w:rsidR="00E114F4">
        <w:rPr>
          <w:rFonts w:cstheme="minorHAnsi"/>
        </w:rPr>
        <w:t xml:space="preserve"> ordninger som sikrer </w:t>
      </w:r>
      <w:r w:rsidR="00F5257E">
        <w:rPr>
          <w:rFonts w:cstheme="minorHAnsi"/>
        </w:rPr>
        <w:t>ledelse</w:t>
      </w:r>
      <w:r>
        <w:rPr>
          <w:rFonts w:cstheme="minorHAnsi"/>
        </w:rPr>
        <w:t xml:space="preserve"> og praktisk </w:t>
      </w:r>
      <w:r w:rsidR="00E114F4">
        <w:rPr>
          <w:rFonts w:cstheme="minorHAnsi"/>
        </w:rPr>
        <w:t>og administrativ bistand og</w:t>
      </w:r>
      <w:r>
        <w:rPr>
          <w:rFonts w:cstheme="minorHAnsi"/>
        </w:rPr>
        <w:t xml:space="preserve"> tilrettelegging</w:t>
      </w:r>
      <w:r w:rsidR="00E114F4">
        <w:rPr>
          <w:rFonts w:cstheme="minorHAnsi"/>
        </w:rPr>
        <w:t>, der dette er ønskelig</w:t>
      </w:r>
      <w:r>
        <w:rPr>
          <w:rFonts w:cstheme="minorHAnsi"/>
        </w:rPr>
        <w:t>.</w:t>
      </w:r>
    </w:p>
    <w:p w14:paraId="24F26BD4" w14:textId="3AD16131" w:rsidR="00852DE1" w:rsidRPr="00576702" w:rsidRDefault="5290213D" w:rsidP="00775632">
      <w:pPr>
        <w:pStyle w:val="Overskrift1"/>
      </w:pPr>
      <w:bookmarkStart w:id="916" w:name="_Toc126834323"/>
      <w:bookmarkStart w:id="917" w:name="_Toc127633187"/>
      <w:bookmarkStart w:id="918" w:name="_Toc127864473"/>
      <w:bookmarkStart w:id="919" w:name="_Toc128032495"/>
      <w:bookmarkStart w:id="920" w:name="_Toc128238476"/>
      <w:bookmarkStart w:id="921" w:name="_Toc128741956"/>
      <w:bookmarkStart w:id="922" w:name="_Toc128744551"/>
      <w:bookmarkStart w:id="923" w:name="_Toc128744770"/>
      <w:bookmarkStart w:id="924" w:name="_Toc129630263"/>
      <w:bookmarkStart w:id="925" w:name="_Toc130763774"/>
      <w:bookmarkStart w:id="926" w:name="_Toc130766669"/>
      <w:bookmarkStart w:id="927" w:name="_Ref130922108"/>
      <w:bookmarkStart w:id="928" w:name="_Toc130932069"/>
      <w:bookmarkStart w:id="929" w:name="_Toc130934360"/>
      <w:bookmarkStart w:id="930" w:name="_Toc130983413"/>
      <w:bookmarkStart w:id="931" w:name="_Toc130983762"/>
      <w:bookmarkStart w:id="932" w:name="_Toc131062094"/>
      <w:bookmarkStart w:id="933" w:name="_Toc131062348"/>
      <w:bookmarkStart w:id="934" w:name="_Toc131062609"/>
      <w:bookmarkStart w:id="935" w:name="_Toc131062862"/>
      <w:bookmarkStart w:id="936" w:name="_Toc131064050"/>
      <w:bookmarkStart w:id="937" w:name="_Toc131238340"/>
      <w:bookmarkStart w:id="938" w:name="_Toc131279370"/>
      <w:bookmarkStart w:id="939" w:name="_Toc131286782"/>
      <w:bookmarkStart w:id="940" w:name="_Toc131281192"/>
      <w:bookmarkStart w:id="941" w:name="_Toc131317731"/>
      <w:bookmarkStart w:id="942" w:name="_Toc132536935"/>
      <w:bookmarkStart w:id="943" w:name="_Toc131063630"/>
      <w:r w:rsidRPr="00752F55">
        <w:t>Organisering</w:t>
      </w:r>
      <w:bookmarkEnd w:id="916"/>
      <w:bookmarkEnd w:id="917"/>
      <w:bookmarkEnd w:id="918"/>
      <w:bookmarkEnd w:id="919"/>
      <w:bookmarkEnd w:id="920"/>
      <w:bookmarkEnd w:id="921"/>
      <w:bookmarkEnd w:id="922"/>
      <w:bookmarkEnd w:id="923"/>
      <w:bookmarkEnd w:id="924"/>
      <w:r w:rsidR="002F1AAE" w:rsidRPr="00752F55">
        <w:t xml:space="preserve"> av fastlegetjene</w:t>
      </w:r>
      <w:r w:rsidR="003C29EC" w:rsidRPr="00752F55">
        <w:t>sten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16B7A99D" w14:textId="59836F58" w:rsidR="00CB2908" w:rsidRPr="00BF7ABD" w:rsidRDefault="001D385F" w:rsidP="00775632">
      <w:pPr>
        <w:pStyle w:val="Overskrift2"/>
      </w:pPr>
      <w:bookmarkStart w:id="944" w:name="_Toc129630264"/>
      <w:bookmarkStart w:id="945" w:name="_Toc130763775"/>
      <w:bookmarkStart w:id="946" w:name="_Toc130766670"/>
      <w:bookmarkStart w:id="947" w:name="_Toc130932070"/>
      <w:bookmarkStart w:id="948" w:name="_Toc130934361"/>
      <w:bookmarkStart w:id="949" w:name="_Toc130983414"/>
      <w:bookmarkStart w:id="950" w:name="_Toc130983763"/>
      <w:bookmarkStart w:id="951" w:name="_Toc131062095"/>
      <w:bookmarkStart w:id="952" w:name="_Toc131062349"/>
      <w:bookmarkStart w:id="953" w:name="_Toc131062610"/>
      <w:bookmarkStart w:id="954" w:name="_Toc131062863"/>
      <w:bookmarkStart w:id="955" w:name="_Toc131063631"/>
      <w:bookmarkStart w:id="956" w:name="_Toc131064051"/>
      <w:bookmarkStart w:id="957" w:name="_Toc131238341"/>
      <w:bookmarkStart w:id="958" w:name="_Toc131279371"/>
      <w:bookmarkStart w:id="959" w:name="_Toc131286783"/>
      <w:bookmarkStart w:id="960" w:name="_Toc131281193"/>
      <w:bookmarkStart w:id="961" w:name="_Toc131317732"/>
      <w:bookmarkStart w:id="962" w:name="_Toc132536936"/>
      <w:r w:rsidRPr="00BF7ABD">
        <w:t xml:space="preserve">Ekspertutvalgets </w:t>
      </w:r>
      <w:bookmarkEnd w:id="944"/>
      <w:r w:rsidRPr="00BF7ABD">
        <w:t>anbefaling</w:t>
      </w:r>
      <w:r w:rsidR="003C29EC" w:rsidRPr="00BF7ABD">
        <w:t>er</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2AD15361" w14:textId="77777777" w:rsidR="00D9107F" w:rsidRDefault="00843B9C" w:rsidP="00843B9C">
      <w:pPr>
        <w:jc w:val="both"/>
      </w:pPr>
      <w:r>
        <w:t xml:space="preserve">I dag har kommunene ansvaret for å sørge for alle allmennlegetjenestene, mens finansieringsansvaret for fastlegetjenestene i hovedsak ligger hos staten. Ekspertutvalget er av den oppfatning at en samling av sørge-for-ansvaret og finansieringsansvaret </w:t>
      </w:r>
      <w:r w:rsidR="005D5203">
        <w:t>hos</w:t>
      </w:r>
      <w:r>
        <w:t xml:space="preserve"> kommunene har både fordeler og ulemper, og anbefaler at en eventuell overføring av finansieringsansvaret for fastlegeordningen til kommunene utredes </w:t>
      </w:r>
      <w:r w:rsidR="00936132">
        <w:t>nærmere</w:t>
      </w:r>
      <w:r>
        <w:t>.</w:t>
      </w:r>
    </w:p>
    <w:p w14:paraId="2A3921CC" w14:textId="0270574A" w:rsidR="008609CC" w:rsidRDefault="00E8776D" w:rsidP="00E8776D">
      <w:pPr>
        <w:jc w:val="both"/>
      </w:pPr>
      <w:r>
        <w:t>Dagens krav til individuelle avtaler med hver enkelt lege bidrar til å begrense mulighete</w:t>
      </w:r>
      <w:r w:rsidR="00BC56E2">
        <w:t>ne</w:t>
      </w:r>
      <w:r>
        <w:t xml:space="preserve"> til å tenke nytt om organiseringen av fastlegetjenesten. </w:t>
      </w:r>
      <w:r w:rsidR="006F0458" w:rsidRPr="006F0458">
        <w:t>Ekspertutvalget mener det bør være flere valgmuligheter enn det er i dag</w:t>
      </w:r>
      <w:r w:rsidR="00BC56E2">
        <w:t xml:space="preserve"> </w:t>
      </w:r>
      <w:r w:rsidR="006F0458" w:rsidRPr="006F0458">
        <w:t xml:space="preserve">til å organisere </w:t>
      </w:r>
      <w:r w:rsidR="00BC56E2">
        <w:t>fastlegetjenesten mer</w:t>
      </w:r>
      <w:r w:rsidR="006F0458" w:rsidRPr="006F0458">
        <w:t xml:space="preserve"> hensiktsmessig. Ekspertutvalget anbefaler derfor at rammene for hvordan fastlegetjenesten organiseres bør åpne for større grad av handlingsfrihet og tilpasning av tjenesten.</w:t>
      </w:r>
    </w:p>
    <w:p w14:paraId="7E0FAD8A" w14:textId="1F90411B" w:rsidR="00564F6E" w:rsidRDefault="00564F6E" w:rsidP="00564F6E">
      <w:pPr>
        <w:jc w:val="both"/>
      </w:pPr>
      <w:r>
        <w:t xml:space="preserve">Ekspertutvalget anbefaler at det åpnes opp for at kommunen kan inngå avtale med fastlegeselskap, som supplement til videreføring av dagens ordning med individuelle fastlegeavtaler. Et fastlegeselskap </w:t>
      </w:r>
      <w:r w:rsidR="009B18A2">
        <w:t>kan</w:t>
      </w:r>
      <w:r>
        <w:t xml:space="preserve"> tilrettelegge for større fagmiljø og oppgavedeling, og til bedre å kunne utvikle og innrette tjenestene etter innbyggernes behov. Det bør stilles krav til eierskap av fastlegeselskap</w:t>
      </w:r>
      <w:r w:rsidR="00936132">
        <w:t>,</w:t>
      </w:r>
      <w:r>
        <w:t xml:space="preserve"> som bidrar til kommunal styring og sikrer god integrering med andre deler av de kommunale tjenestene og spesialisthelsetjenesten. Ekspertutvalget mener at hver enkelt fastlege i selskapet fortsatt må ha oppfølgings- og behandlingsansvaret for en </w:t>
      </w:r>
      <w:r>
        <w:lastRenderedPageBreak/>
        <w:t>definert liste med innbyggere. På den måten vil fastlegeordningen</w:t>
      </w:r>
      <w:r w:rsidR="00936132">
        <w:t>,</w:t>
      </w:r>
      <w:r>
        <w:t xml:space="preserve"> slik den fr</w:t>
      </w:r>
      <w:r w:rsidR="00936132">
        <w:t>a</w:t>
      </w:r>
      <w:r>
        <w:t>mstår for innbyggern</w:t>
      </w:r>
      <w:r w:rsidR="00936132">
        <w:t>e</w:t>
      </w:r>
      <w:r>
        <w:t xml:space="preserve"> i dag, videreføres innenfor rammen av den nye organisasjonsmodellen.</w:t>
      </w:r>
    </w:p>
    <w:p w14:paraId="3A817893" w14:textId="24E11BC3" w:rsidR="00843B9C" w:rsidRDefault="00843B9C" w:rsidP="00843B9C">
      <w:pPr>
        <w:jc w:val="both"/>
      </w:pPr>
      <w:r>
        <w:t xml:space="preserve">Ekspertutvalget anbefaler videre </w:t>
      </w:r>
      <w:r w:rsidR="007E64B5">
        <w:t xml:space="preserve">at </w:t>
      </w:r>
      <w:r w:rsidR="00230991">
        <w:t xml:space="preserve">det bør tilrettelegges for </w:t>
      </w:r>
      <w:r>
        <w:t xml:space="preserve">at kommuner kan drifte </w:t>
      </w:r>
      <w:r w:rsidR="00D472CE">
        <w:t xml:space="preserve">kommunale </w:t>
      </w:r>
      <w:r>
        <w:t>fastlegekontor etter samme modell som for fastlegeselskap, og hvor listeansvaret formelt ligger til kommunen. En slik modell kan tilrettelegge for tettere integrasjon opp mot de øvrige kommunale helse- og omsorgstjeneste</w:t>
      </w:r>
      <w:r w:rsidR="00936132">
        <w:t>ne</w:t>
      </w:r>
      <w:r>
        <w:t>, og gi kommunen bedre styring med fastlegetjenesten</w:t>
      </w:r>
      <w:r w:rsidR="0086092A">
        <w:t>.</w:t>
      </w:r>
    </w:p>
    <w:p w14:paraId="15B2DF5B" w14:textId="77777777" w:rsidR="00D9107F" w:rsidRDefault="00843B9C" w:rsidP="00843B9C">
      <w:pPr>
        <w:jc w:val="both"/>
      </w:pPr>
      <w:r>
        <w:t>Samtidig anbefaler ekspertutvalget at avtaleverket knyttet til dagens ordning for gruppepraksis gjennomgås, for å tydeliggjøre hvilke elementer i dagens avtale mellom fastlege og kommune som i stedet kan inngå i en gruppepraksisavtale.</w:t>
      </w:r>
    </w:p>
    <w:p w14:paraId="4A3966CE" w14:textId="3B786B23" w:rsidR="00222E74" w:rsidRDefault="00843B9C" w:rsidP="008F5AD8">
      <w:r w:rsidRPr="00CC6B6F">
        <w:t xml:space="preserve">Primærformålet med regler om overdragelse </w:t>
      </w:r>
      <w:r>
        <w:t xml:space="preserve">av fastlegepraksis </w:t>
      </w:r>
      <w:r w:rsidRPr="00CC6B6F">
        <w:t>må være å sikre at innbyggerne har tilgang til fastlege</w:t>
      </w:r>
      <w:r>
        <w:t xml:space="preserve">. </w:t>
      </w:r>
      <w:r w:rsidR="00222E74">
        <w:t>K</w:t>
      </w:r>
      <w:r w:rsidR="00511918" w:rsidRPr="008F5AD8">
        <w:rPr>
          <w:rFonts w:eastAsiaTheme="minorEastAsia"/>
        </w:rPr>
        <w:t xml:space="preserve">ommunen kan ikke i dag </w:t>
      </w:r>
      <w:r w:rsidR="00511918" w:rsidRPr="00AC029D">
        <w:rPr>
          <w:shd w:val="clear" w:color="auto" w:fill="FFFFFF"/>
        </w:rPr>
        <w:t xml:space="preserve">sette en annen </w:t>
      </w:r>
      <w:r w:rsidR="007A0542">
        <w:rPr>
          <w:shd w:val="clear" w:color="auto" w:fill="FFFFFF"/>
        </w:rPr>
        <w:t>fast</w:t>
      </w:r>
      <w:r w:rsidR="00511918" w:rsidRPr="00AC029D">
        <w:rPr>
          <w:shd w:val="clear" w:color="auto" w:fill="FFFFFF"/>
        </w:rPr>
        <w:t xml:space="preserve">lege til å betjene listeinnbyggerne før fratredende lege har fått solgt sin praksis. </w:t>
      </w:r>
      <w:r w:rsidR="00511918">
        <w:rPr>
          <w:shd w:val="clear" w:color="auto" w:fill="FFFFFF"/>
        </w:rPr>
        <w:t>For listeinnbyggerne kan konsekvensen være diskontinuitet i pasient-lege-relasjonen og mangel på fastlege. Overd</w:t>
      </w:r>
      <w:r w:rsidR="003F2AA9">
        <w:rPr>
          <w:shd w:val="clear" w:color="auto" w:fill="FFFFFF"/>
        </w:rPr>
        <w:t>r</w:t>
      </w:r>
      <w:r w:rsidR="00511918">
        <w:rPr>
          <w:shd w:val="clear" w:color="auto" w:fill="FFFFFF"/>
        </w:rPr>
        <w:t xml:space="preserve">agelsesordningen antas også å være en medvirkende årsak til liten rekruttering til fastlegeyrket. </w:t>
      </w:r>
      <w:r w:rsidR="00222E74" w:rsidRPr="00CC6B6F">
        <w:t xml:space="preserve">Ekspertutvalget anbefaler en ordning der fratredende fastleges rett til å selge sin praksis </w:t>
      </w:r>
      <w:r w:rsidR="00222E74">
        <w:t>reguleres,</w:t>
      </w:r>
      <w:r w:rsidR="00222E74" w:rsidRPr="00CC6B6F">
        <w:t xml:space="preserve"> for å </w:t>
      </w:r>
      <w:r w:rsidR="00222E74">
        <w:t xml:space="preserve">fjerne </w:t>
      </w:r>
      <w:r w:rsidR="00222E74" w:rsidRPr="00CC6B6F">
        <w:t>alle uklarheter rundt når kommunen kan gi innbyggerne i hjemmelen en annen fastlege.</w:t>
      </w:r>
    </w:p>
    <w:p w14:paraId="563726AE" w14:textId="77777777" w:rsidR="00D9107F" w:rsidRDefault="00142FD9" w:rsidP="00142FD9">
      <w:pPr>
        <w:jc w:val="both"/>
      </w:pPr>
      <w:r>
        <w:t>Det er viktig at kunnskapen om helprivate allmennlegetjenester blir langt bedre, for å kunne ha oversikt over aktivitet, og for å sikre likeverdige helsetjenester i Norge framover. Ekspertutvalget anbefaler at det innføres krav til helprivate allmennlegetjenester om rapportering om virksomheten og aktiviteten til nasjonale registre.</w:t>
      </w:r>
    </w:p>
    <w:p w14:paraId="28C895E6" w14:textId="0A2F5E09" w:rsidR="00D9107F" w:rsidRDefault="002C34AF" w:rsidP="008367CE">
      <w:pPr>
        <w:jc w:val="both"/>
      </w:pPr>
      <w:r w:rsidRPr="005771BF">
        <w:rPr>
          <w:rFonts w:cstheme="minorHAnsi"/>
          <w:shd w:val="clear" w:color="auto" w:fill="FFFFFF"/>
        </w:rPr>
        <w:t>Gitt de utfordringene helsetjenestene står overfor, vil det</w:t>
      </w:r>
      <w:r w:rsidR="00F008B7">
        <w:rPr>
          <w:rFonts w:cstheme="minorHAnsi"/>
          <w:shd w:val="clear" w:color="auto" w:fill="FFFFFF"/>
        </w:rPr>
        <w:t>,</w:t>
      </w:r>
      <w:r w:rsidRPr="005771BF">
        <w:rPr>
          <w:rFonts w:cstheme="minorHAnsi"/>
          <w:shd w:val="clear" w:color="auto" w:fill="FFFFFF"/>
        </w:rPr>
        <w:t xml:space="preserve"> i tiden som kommer, bli viktigere at fastlegen prioriterer blant innbyggerne. </w:t>
      </w:r>
      <w:r>
        <w:t xml:space="preserve">Uten mulighet for fastlegen til å sortere og prioritere blant e-konsultasjoner, vil disse kunne gå på bekostning av fastlegens </w:t>
      </w:r>
      <w:r w:rsidR="00F008B7">
        <w:t xml:space="preserve">mulighet </w:t>
      </w:r>
      <w:r>
        <w:t xml:space="preserve">til å yte helsetjenester </w:t>
      </w:r>
      <w:r w:rsidR="00F008B7">
        <w:t xml:space="preserve">til </w:t>
      </w:r>
      <w:r>
        <w:t>de som trenger det mest. Ekspertutvalget anbefaler å begrense denne type konsultasjoner ved at kveld</w:t>
      </w:r>
      <w:r w:rsidR="005E1267">
        <w:t>s</w:t>
      </w:r>
      <w:r>
        <w:t>takst</w:t>
      </w:r>
      <w:r w:rsidR="00CB464F">
        <w:t xml:space="preserve"> for </w:t>
      </w:r>
      <w:r w:rsidR="00FC72B7">
        <w:t>e-konsultasjon i fastlegepraksis</w:t>
      </w:r>
      <w:r>
        <w:t xml:space="preserve"> fjernes, og </w:t>
      </w:r>
      <w:r w:rsidR="005E1267">
        <w:t xml:space="preserve">mener </w:t>
      </w:r>
      <w:r>
        <w:t xml:space="preserve">det </w:t>
      </w:r>
      <w:r w:rsidR="00F963F3">
        <w:t xml:space="preserve">bør </w:t>
      </w:r>
      <w:r>
        <w:t xml:space="preserve">innføres forhåndsbetaling av egenandel før innsending av tekstlige konsultasjoner. </w:t>
      </w:r>
      <w:r w:rsidR="007D084B">
        <w:t>Ekspertutvalget mener at fastlegens mulighet til å utøve sitt medisinskfaglige skjønn bør styrkes ytterligere</w:t>
      </w:r>
      <w:r w:rsidR="005E1267">
        <w:t>,</w:t>
      </w:r>
      <w:r w:rsidR="007D084B">
        <w:t xml:space="preserve"> for å sikre likeverdige tjen</w:t>
      </w:r>
      <w:r w:rsidR="008C0DC7">
        <w:t>e</w:t>
      </w:r>
      <w:r w:rsidR="007D084B">
        <w:t>ster, og at fastlegeforskriftens formulering om at listeinnbyggeren normalt skal få tilbud om konsultasjon innen fem arbeidsdager derfor kan fjernes.</w:t>
      </w:r>
      <w:r w:rsidR="006638A7">
        <w:t xml:space="preserve"> </w:t>
      </w:r>
      <w:r w:rsidR="00F61FC9">
        <w:t xml:space="preserve">Fastlegene har også en viktig rolle som henviser til spesialisthelsetjenesten. </w:t>
      </w:r>
      <w:r w:rsidR="006638A7" w:rsidRPr="006638A7">
        <w:t>For å tilrettelegge bedre for drøfting og utdyping av henvisninger mellom fastlegen og spesialisthelsetjenesten, mener ekspertutvalget det bør vurderes å endre pasient- og brukerrettighetsloven</w:t>
      </w:r>
      <w:r w:rsidR="00F61FC9">
        <w:t>.</w:t>
      </w:r>
    </w:p>
    <w:p w14:paraId="2D9CCE81" w14:textId="54BE6F81" w:rsidR="00F8166C" w:rsidRDefault="3371DDF0" w:rsidP="00775632">
      <w:pPr>
        <w:pStyle w:val="Overskrift2"/>
      </w:pPr>
      <w:bookmarkStart w:id="963" w:name="_Toc126834324"/>
      <w:bookmarkStart w:id="964" w:name="_Toc127633188"/>
      <w:bookmarkStart w:id="965" w:name="_Toc127864474"/>
      <w:bookmarkStart w:id="966" w:name="_Toc128032496"/>
      <w:bookmarkStart w:id="967" w:name="_Toc128238477"/>
      <w:bookmarkStart w:id="968" w:name="_Toc128741957"/>
      <w:bookmarkStart w:id="969" w:name="_Toc128744552"/>
      <w:bookmarkStart w:id="970" w:name="_Toc128744771"/>
      <w:bookmarkStart w:id="971" w:name="_Toc129630266"/>
      <w:bookmarkStart w:id="972" w:name="_Toc130763776"/>
      <w:bookmarkStart w:id="973" w:name="_Toc130766671"/>
      <w:bookmarkStart w:id="974" w:name="_Toc130932071"/>
      <w:bookmarkStart w:id="975" w:name="_Toc130934362"/>
      <w:bookmarkStart w:id="976" w:name="_Toc130983415"/>
      <w:bookmarkStart w:id="977" w:name="_Toc130983764"/>
      <w:bookmarkStart w:id="978" w:name="_Toc131062096"/>
      <w:bookmarkStart w:id="979" w:name="_Toc131062350"/>
      <w:bookmarkStart w:id="980" w:name="_Toc131062611"/>
      <w:bookmarkStart w:id="981" w:name="_Toc131062864"/>
      <w:bookmarkStart w:id="982" w:name="_Toc131063632"/>
      <w:bookmarkStart w:id="983" w:name="_Toc131064052"/>
      <w:bookmarkStart w:id="984" w:name="_Toc131238342"/>
      <w:bookmarkStart w:id="985" w:name="_Toc131279372"/>
      <w:bookmarkStart w:id="986" w:name="_Toc131286784"/>
      <w:bookmarkStart w:id="987" w:name="_Toc131281194"/>
      <w:bookmarkStart w:id="988" w:name="_Toc131317733"/>
      <w:bookmarkStart w:id="989" w:name="_Toc132536937"/>
      <w:r>
        <w:lastRenderedPageBreak/>
        <w:t>Dagens organisering av fastlegeordningen</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04DACF72" w14:textId="77777777" w:rsidR="00D9107F" w:rsidRDefault="00866C36" w:rsidP="00775632">
      <w:pPr>
        <w:pStyle w:val="Overskrift3"/>
      </w:pPr>
      <w:bookmarkStart w:id="990" w:name="_Toc132536938"/>
      <w:bookmarkStart w:id="991" w:name="_Toc131062097"/>
      <w:bookmarkStart w:id="992" w:name="_Toc131062351"/>
      <w:bookmarkStart w:id="993" w:name="_Toc131062612"/>
      <w:bookmarkStart w:id="994" w:name="_Toc131062865"/>
      <w:bookmarkStart w:id="995" w:name="_Toc131063633"/>
      <w:bookmarkStart w:id="996" w:name="_Toc131064053"/>
      <w:bookmarkStart w:id="997" w:name="_Toc131238343"/>
      <w:bookmarkStart w:id="998" w:name="_Toc131317734"/>
      <w:bookmarkStart w:id="999" w:name="_Toc131281195"/>
      <w:bookmarkStart w:id="1000" w:name="_Toc131279373"/>
      <w:bookmarkStart w:id="1001" w:name="_Toc131286785"/>
      <w:r w:rsidRPr="00866C36">
        <w:t>Kommunens ansvar og rettslig regulering</w:t>
      </w:r>
      <w:bookmarkEnd w:id="990"/>
      <w:bookmarkEnd w:id="991"/>
      <w:bookmarkEnd w:id="992"/>
      <w:bookmarkEnd w:id="993"/>
      <w:bookmarkEnd w:id="994"/>
      <w:bookmarkEnd w:id="995"/>
      <w:bookmarkEnd w:id="996"/>
      <w:bookmarkEnd w:id="997"/>
    </w:p>
    <w:p w14:paraId="2D082339" w14:textId="5EC21B06" w:rsidR="00D9107F" w:rsidRDefault="00662C75" w:rsidP="00153CFE">
      <w:bookmarkStart w:id="1002" w:name="_Hlk130281477"/>
      <w:bookmarkEnd w:id="998"/>
      <w:bookmarkEnd w:id="999"/>
      <w:bookmarkEnd w:id="1000"/>
      <w:bookmarkEnd w:id="1001"/>
      <w:r>
        <w:t xml:space="preserve">Som en del av ansvaret </w:t>
      </w:r>
      <w:r w:rsidR="00023B24">
        <w:t>for</w:t>
      </w:r>
      <w:r>
        <w:t xml:space="preserve"> å sørge for nødvendige helse- og omsorgstjenester til alle som oppholder seg i kommunen, har kommunen </w:t>
      </w:r>
      <w:r w:rsidR="00A86105">
        <w:t xml:space="preserve">etter helse- og omsorgstjenesteloven </w:t>
      </w:r>
      <w:r w:rsidR="00D9107F">
        <w:t>§ 3</w:t>
      </w:r>
      <w:r w:rsidR="00A62029">
        <w:t xml:space="preserve">-2 </w:t>
      </w:r>
      <w:r>
        <w:t xml:space="preserve">ansvar for å tilby </w:t>
      </w:r>
      <w:r w:rsidR="00881635" w:rsidRPr="00881635">
        <w:t>en rekke ulike typer tjenester, herunder ulike typer allmennlegetjenester.</w:t>
      </w:r>
      <w:r w:rsidR="61E307B6">
        <w:t xml:space="preserve"> </w:t>
      </w:r>
      <w:r w:rsidR="00E34CDC">
        <w:t xml:space="preserve">Allmennlegetjenesten i kommunen består av ulike </w:t>
      </w:r>
      <w:r w:rsidR="00061DD4">
        <w:t>del</w:t>
      </w:r>
      <w:r w:rsidR="00963CC7">
        <w:t>tjenester</w:t>
      </w:r>
      <w:r w:rsidR="00E34CDC">
        <w:t xml:space="preserve"> som utføres av leger, herunder </w:t>
      </w:r>
      <w:r w:rsidR="00E34CDC" w:rsidRPr="003B3EAD">
        <w:t>fastlegeordningen</w:t>
      </w:r>
      <w:r w:rsidR="00E34CDC">
        <w:t xml:space="preserve"> og </w:t>
      </w:r>
      <w:r w:rsidR="00E34CDC" w:rsidRPr="003B3EAD">
        <w:t>legevakt</w:t>
      </w:r>
      <w:r w:rsidR="00E34CDC">
        <w:t xml:space="preserve">, samt </w:t>
      </w:r>
      <w:r w:rsidR="00E34CDC" w:rsidRPr="003B3EAD">
        <w:t xml:space="preserve">legeoppgaver i helsestasjons- og skolehelsetjeneste, sykehjem, </w:t>
      </w:r>
      <w:r w:rsidR="00F008B7">
        <w:t>intermediære senger og KAD (kommunale akutte døgnplasser)</w:t>
      </w:r>
      <w:r w:rsidR="00E34CDC" w:rsidRPr="003B3EAD">
        <w:t xml:space="preserve">, </w:t>
      </w:r>
      <w:r w:rsidR="00F008B7">
        <w:t xml:space="preserve">samt </w:t>
      </w:r>
      <w:r w:rsidR="00E34CDC" w:rsidRPr="003B3EAD">
        <w:t>fengsler og asylmottak</w:t>
      </w:r>
      <w:r w:rsidR="00E34CDC">
        <w:t xml:space="preserve">. De tjenestene som </w:t>
      </w:r>
      <w:r w:rsidR="00E34CDC" w:rsidRPr="00073B44">
        <w:t>kommunen har ansvaret for</w:t>
      </w:r>
      <w:r w:rsidR="0060135F">
        <w:t>,</w:t>
      </w:r>
      <w:r w:rsidR="00E34CDC" w:rsidRPr="00073B44">
        <w:t xml:space="preserve"> kan utføres av kommunen selv eller ved at kommunen inngår avtale</w:t>
      </w:r>
      <w:r w:rsidR="00E34CDC">
        <w:t xml:space="preserve"> </w:t>
      </w:r>
      <w:r w:rsidR="00E34CDC" w:rsidRPr="00073B44">
        <w:t>med andre offentlige eller private tjenesteytere</w:t>
      </w:r>
      <w:r w:rsidR="00E34CDC">
        <w:t>.</w:t>
      </w:r>
    </w:p>
    <w:p w14:paraId="19A05408" w14:textId="05947F90" w:rsidR="00D9107F" w:rsidRDefault="000D06C9" w:rsidP="00153CFE">
      <w:r>
        <w:t>I tillegg til de overordnede ansvarsbestemmelsene i helse- og omsorgstjenesteloven</w:t>
      </w:r>
      <w:r w:rsidR="0060135F">
        <w:t>,</w:t>
      </w:r>
      <w:r>
        <w:t xml:space="preserve"> er allmennlegeoppgavene regulert i ulike lov</w:t>
      </w:r>
      <w:r w:rsidR="00061DD4">
        <w:t>er</w:t>
      </w:r>
      <w:r>
        <w:t xml:space="preserve"> og forskrifter, samt tydeliggjort i normerende produkter fra Helsedirektoratet. Eksempelvis er kommunens ansvar for helsetjenester i fengsler </w:t>
      </w:r>
      <w:r w:rsidR="004A7C53">
        <w:t xml:space="preserve">nærmere </w:t>
      </w:r>
      <w:r>
        <w:t xml:space="preserve">regulert i en egen lovbestemmelse i helse- og omsorgstjenesteloven </w:t>
      </w:r>
      <w:r w:rsidR="00D9107F">
        <w:t>§ 3</w:t>
      </w:r>
      <w:r>
        <w:t xml:space="preserve">-9. Forskrift om sykehjem og boform for heldøgns omsorg og pleie </w:t>
      </w:r>
      <w:r w:rsidR="00D9107F">
        <w:t>§ 2</w:t>
      </w:r>
      <w:r>
        <w:t xml:space="preserve">-1 og </w:t>
      </w:r>
      <w:r w:rsidR="00D9107F">
        <w:t>§ 3</w:t>
      </w:r>
      <w:r>
        <w:t>-2 bokstav b beskriver at det skal være organisert legetjeneste i institusjonen, og at legen skal ha ansvaret for den medisinske behandlingen</w:t>
      </w:r>
      <w:r w:rsidR="00061AE5">
        <w:t xml:space="preserve"> </w:t>
      </w:r>
      <w:r w:rsidR="00D078E3">
        <w:fldChar w:fldCharType="begin"/>
      </w:r>
      <w:r w:rsidR="00235862">
        <w:instrText xml:space="preserve"> ADDIN EN.CITE &lt;EndNote&gt;&lt;Cite ExcludeAuth="1"&gt;&lt;Year&gt;1988&lt;/Year&gt;&lt;RecNum&gt;991&lt;/RecNum&gt;&lt;DisplayText&gt;(&lt;style face="italic"&gt;Forskrift for sykehjem og boform for heldøgns omsorg og pleie &lt;/style&gt;1988)&lt;/DisplayText&gt;&lt;record&gt;&lt;rec-number&gt;991&lt;/rec-number&gt;&lt;foreign-keys&gt;&lt;key app="EN" db-id="95tpr2tp6r9xwoea9rb5wdsz5ds5xeddteew" timestamp="1680248051"&gt;991&lt;/key&gt;&lt;/foreign-keys&gt;&lt;ref-type name="Legal Rule or Regulation"&gt;50&lt;/ref-type&gt;&lt;contributors&gt;&lt;/contributors&gt;&lt;titles&gt;&lt;title&gt;Forskrift for sykehjem og boform for heldøgns omsorg og pleie &lt;/title&gt;&lt;secondary-title&gt;FOR-1988-11-14-932&lt;/secondary-title&gt;&lt;/titles&gt;&lt;edition&gt;FOR-2022-06-23-1176. &lt;/edition&gt;&lt;dates&gt;&lt;year&gt;1988&lt;/year&gt;&lt;/dates&gt;&lt;urls&gt;&lt;related-urls&gt;&lt;url&gt;https://lovdata.no/forskrift/1988-11-14-932 &lt;/url&gt;&lt;/related-urls&gt;&lt;/urls&gt;&lt;/record&gt;&lt;/Cite&gt;&lt;/EndNote&gt;</w:instrText>
      </w:r>
      <w:r w:rsidR="00D078E3">
        <w:fldChar w:fldCharType="separate"/>
      </w:r>
      <w:r w:rsidR="00235862">
        <w:rPr>
          <w:noProof/>
        </w:rPr>
        <w:t>(</w:t>
      </w:r>
      <w:r w:rsidR="00235862" w:rsidRPr="00D9107F">
        <w:rPr>
          <w:rStyle w:val="kursiv"/>
        </w:rPr>
        <w:t xml:space="preserve">Forskrift for sykehjem og boform for heldøgns omsorg og pleie </w:t>
      </w:r>
      <w:r w:rsidR="00235862">
        <w:rPr>
          <w:noProof/>
        </w:rPr>
        <w:t>1988)</w:t>
      </w:r>
      <w:r w:rsidR="00D078E3">
        <w:fldChar w:fldCharType="end"/>
      </w:r>
      <w:r>
        <w:t>. For helsestasjons- og skolehelsetjenesten</w:t>
      </w:r>
      <w:r w:rsidR="00241725">
        <w:t>,</w:t>
      </w:r>
      <w:r w:rsidR="00F008B7">
        <w:t xml:space="preserve"> </w:t>
      </w:r>
      <w:r>
        <w:t>er det tydeliggjort i Helsedirektoratets nasjonale faglige retningslinje for tjenesten at legekompetanse</w:t>
      </w:r>
      <w:r w:rsidRPr="007272BC">
        <w:t xml:space="preserve"> </w:t>
      </w:r>
      <w:r>
        <w:t xml:space="preserve">er nødvendig for at helsestasjons- og skolehelsetjenesten skal kunne gjennomføre de forskriftspålagte oppgavene </w:t>
      </w:r>
      <w:r w:rsidR="004F1CC9">
        <w:t xml:space="preserve">sine </w:t>
      </w:r>
      <w:r>
        <w:t>på en forsvarlig måte</w:t>
      </w:r>
      <w:r w:rsidR="0061469C">
        <w:t xml:space="preserve"> </w:t>
      </w:r>
      <w:r w:rsidR="00D078E3">
        <w:fldChar w:fldCharType="begin"/>
      </w:r>
      <w:r w:rsidR="004654FD">
        <w:instrText xml:space="preserve"> ADDIN EN.CITE &lt;EndNote&gt;&lt;Cite&gt;&lt;Author&gt;Helsedirektoratet&lt;/Author&gt;&lt;Year&gt;2006&lt;/Year&gt;&lt;RecNum&gt;992&lt;/RecNum&gt;&lt;DisplayText&gt;(Helsedirektoratet, 2006)&lt;/DisplayText&gt;&lt;record&gt;&lt;rec-number&gt;992&lt;/rec-number&gt;&lt;foreign-keys&gt;&lt;key app="EN" db-id="95tpr2tp6r9xwoea9rb5wdsz5ds5xeddteew" timestamp="1680248241"&gt;992&lt;/key&gt;&lt;/foreign-keys&gt;&lt;ref-type name="Report"&gt;27&lt;/ref-type&gt;&lt;contributors&gt;&lt;authors&gt;&lt;author&gt;Helsedirektoratet&lt;/author&gt;&lt;/authors&gt;&lt;tertiary-authors&gt;&lt;author&gt;Helsedirektoratet&lt;/author&gt;&lt;/tertiary-authors&gt;&lt;/contributors&gt;&lt;titles&gt;&lt;title&gt;Nasjonal faglig retningslinje for helsestasjon, skolehelsetjenesten og helsestasjon for ungdom. Hentet fra Helsestasjon, skolehelsetjeneste og helsestasjon for ungdom &lt;/title&gt;&lt;/titles&gt;&lt;dates&gt;&lt;year&gt;2006&lt;/year&gt;&lt;/dates&gt;&lt;pub-location&gt;Oslo&lt;/pub-location&gt;&lt;urls&gt;&lt;/urls&gt;&lt;/record&gt;&lt;/Cite&gt;&lt;/EndNote&gt;</w:instrText>
      </w:r>
      <w:r w:rsidR="00D078E3">
        <w:fldChar w:fldCharType="separate"/>
      </w:r>
      <w:r w:rsidR="00D078E3">
        <w:rPr>
          <w:noProof/>
        </w:rPr>
        <w:t>(Helsedirektoratet, 2006)</w:t>
      </w:r>
      <w:r w:rsidR="00D078E3">
        <w:fldChar w:fldCharType="end"/>
      </w:r>
      <w:r>
        <w:t>. Det er presisert i retningslinjen at det blant annet skal gjennomføres helseundersøkelser av barn av lege</w:t>
      </w:r>
      <w:r w:rsidR="00F008B7">
        <w:t xml:space="preserve">, </w:t>
      </w:r>
      <w:r>
        <w:t>både i helsestasjonsprogrammet for barn 0</w:t>
      </w:r>
      <w:r w:rsidR="00F008B7">
        <w:t>–</w:t>
      </w:r>
      <w:r>
        <w:t>5 år og i skolehelsetjenesten. Videre skal det være lege tilgjengelig i kommunens tilbud om helsestasjon for ungdom.</w:t>
      </w:r>
    </w:p>
    <w:bookmarkEnd w:id="1002"/>
    <w:p w14:paraId="118D78E6" w14:textId="3B216DDD" w:rsidR="004F1CC9" w:rsidRDefault="004F1CC9" w:rsidP="00153CFE">
      <w:r>
        <w:t xml:space="preserve">Kommunene inngår fastlegeavtaler med leger om å tilby fastlegetjenester, jf. fastlegeforskriften </w:t>
      </w:r>
      <w:r w:rsidR="00D9107F">
        <w:t>§ 3</w:t>
      </w:r>
      <w:r>
        <w:t>0</w:t>
      </w:r>
      <w:r w:rsidR="000C3B2C">
        <w:t xml:space="preserve"> </w:t>
      </w:r>
      <w:r w:rsidR="00D078E3">
        <w:fldChar w:fldCharType="begin"/>
      </w:r>
      <w:r w:rsidR="00D078E3">
        <w:instrText xml:space="preserve"> ADDIN EN.CITE &lt;EndNote&gt;&lt;Cite ExcludeAuth="1"&gt;&lt;Year&gt;2012&lt;/Year&gt;&lt;RecNum&gt;255&lt;/RecNum&gt;&lt;DisplayText&gt;(&lt;style face="italic"&gt;Forskrift om fastlegeordning i kommunene&lt;/style&gt;, 2012)&lt;/DisplayText&gt;&lt;record&gt;&lt;rec-number&gt;255&lt;/rec-number&gt;&lt;foreign-keys&gt;&lt;key app="EN" db-id="95tpr2tp6r9xwoea9rb5wdsz5ds5xeddteew" timestamp="1680069511"&gt;255&lt;/key&gt;&lt;/foreign-keys&gt;&lt;ref-type name="Legal Rule or Regulation"&gt;50&lt;/ref-type&gt;&lt;contributors&gt;&lt;/contributors&gt;&lt;titles&gt;&lt;title&gt;Forskrift om fastlegeordning i kommunene&lt;/title&gt;&lt;secondary-title&gt;FOR-2012-08-29-842&lt;/secondary-title&gt;&lt;/titles&gt;&lt;edition&gt;FOR-2021-09-17-2821&lt;/edition&gt;&lt;dates&gt;&lt;year&gt;2012&lt;/year&gt;&lt;/dates&gt;&lt;urls&gt;&lt;related-urls&gt;&lt;url&gt;https://lovdata.no/dokument/SF/forskrift/2012-08-29-842&lt;/url&gt;&lt;/related-urls&gt;&lt;/urls&gt;&lt;/record&gt;&lt;/Cite&gt;&lt;/EndNote&gt;</w:instrText>
      </w:r>
      <w:r w:rsidR="00D078E3">
        <w:fldChar w:fldCharType="separate"/>
      </w:r>
      <w:r w:rsidR="00D078E3">
        <w:rPr>
          <w:noProof/>
        </w:rPr>
        <w:t>(</w:t>
      </w:r>
      <w:r w:rsidR="00D078E3" w:rsidRPr="00D9107F">
        <w:rPr>
          <w:rStyle w:val="kursiv"/>
        </w:rPr>
        <w:t>Forskrift om fastlegeordning i kommunene</w:t>
      </w:r>
      <w:r w:rsidR="00D078E3">
        <w:rPr>
          <w:noProof/>
        </w:rPr>
        <w:t>, 2012)</w:t>
      </w:r>
      <w:r w:rsidR="00D078E3">
        <w:fldChar w:fldCharType="end"/>
      </w:r>
      <w:r>
        <w:t>. I fastlegeavtalene kan kommunene avtale med fastlege</w:t>
      </w:r>
      <w:r w:rsidR="00107978">
        <w:t xml:space="preserve"> i fulltidspraksis</w:t>
      </w:r>
      <w:r>
        <w:t xml:space="preserve"> at vedkommende også skal ivareta andre allmennlegeoppgaver</w:t>
      </w:r>
      <w:r w:rsidR="00107978">
        <w:t xml:space="preserve"> i inntil 7,5 timer per uke</w:t>
      </w:r>
      <w:r>
        <w:t>, og fastlegen har plikt til å delta i legevakt i kommunen, jf. fastlegeforskriften §</w:t>
      </w:r>
      <w:r w:rsidR="00D9107F">
        <w:t>§ 1</w:t>
      </w:r>
      <w:r>
        <w:t>2 og 13. Det er ulikt hvordan kommunene bruker fastlegene til andre allmennlegeoppgaver. Mange stede</w:t>
      </w:r>
      <w:r w:rsidR="00EB4354">
        <w:t>r, særlig i større kommuner,</w:t>
      </w:r>
      <w:r>
        <w:t xml:space="preserve"> </w:t>
      </w:r>
      <w:r w:rsidR="00EB4354">
        <w:t>er det</w:t>
      </w:r>
      <w:r>
        <w:t xml:space="preserve"> ansatt egne leger i kommunale stillinger utenom fastlegeordningen til å ivareta slike oppgaver, eksempelvis egne sykehjemsleger,</w:t>
      </w:r>
      <w:r w:rsidR="007961D4">
        <w:t xml:space="preserve"> KAD-leger, </w:t>
      </w:r>
      <w:r>
        <w:t xml:space="preserve">helsestasjonsleger eller legevaktsleger. </w:t>
      </w:r>
      <w:r w:rsidR="00490029">
        <w:t>I d</w:t>
      </w:r>
      <w:r w:rsidR="00EB4354">
        <w:t xml:space="preserve">e mindre kommunene </w:t>
      </w:r>
      <w:r w:rsidR="00490029">
        <w:t>er det vanligere å benytte</w:t>
      </w:r>
      <w:r w:rsidR="00EB4354">
        <w:t xml:space="preserve"> kombinasjonsstillinger for fastlegene. </w:t>
      </w:r>
      <w:r>
        <w:t>K</w:t>
      </w:r>
      <w:r w:rsidRPr="00073B44">
        <w:t xml:space="preserve">ommunen </w:t>
      </w:r>
      <w:r>
        <w:t xml:space="preserve">har uansett </w:t>
      </w:r>
      <w:r w:rsidRPr="00073B44">
        <w:t>det overordnede ansvaret for å sørge for et nødvendig og forsvarlig tilbud, enten kommunen yter tjenesten selv eller tjenestene ytes av andre</w:t>
      </w:r>
      <w:r>
        <w:t>.</w:t>
      </w:r>
    </w:p>
    <w:p w14:paraId="20A5553A" w14:textId="47F3F6FE" w:rsidR="00662C75" w:rsidRDefault="00662C75" w:rsidP="00153CFE">
      <w:r>
        <w:lastRenderedPageBreak/>
        <w:t xml:space="preserve">Fastlegeordningen er regulert på fire nivåer; i lov, forskrift og </w:t>
      </w:r>
      <w:r w:rsidR="00023B24">
        <w:t xml:space="preserve">gjennom </w:t>
      </w:r>
      <w:r>
        <w:t>ulike avtaler på sentralt og lokalt nivå:</w:t>
      </w:r>
    </w:p>
    <w:p w14:paraId="01C367A4" w14:textId="77777777" w:rsidR="00662C75" w:rsidRPr="00153CFE" w:rsidRDefault="00662C75" w:rsidP="00775632">
      <w:pPr>
        <w:pStyle w:val="Nummerertliste"/>
      </w:pPr>
      <w:r w:rsidRPr="00153CFE">
        <w:t>Kommunens plikt til å organisere fastlegeordning og sentrale pasient- og brukerrettigheter i ordningen er beskrevet i helse- og omsorgstjenesteloven og pasient- og brukerrettighetsloven.</w:t>
      </w:r>
    </w:p>
    <w:p w14:paraId="406BC2B0" w14:textId="265F61E9" w:rsidR="00662C75" w:rsidRPr="00153CFE" w:rsidRDefault="00662C75" w:rsidP="00775632">
      <w:pPr>
        <w:pStyle w:val="Nummerertliste"/>
      </w:pPr>
      <w:r w:rsidRPr="00153CFE">
        <w:t>Utfyllende bestemmelser til lovbestemmelsene er gitt i forskrift om fastlegeordning i kommunene (fastlegeforskriften) og forskrift om pasient- og brukerrettigheter i fastlegeordningen</w:t>
      </w:r>
      <w:r w:rsidR="00061AE5" w:rsidRPr="00153CFE">
        <w:t xml:space="preserve"> </w:t>
      </w:r>
      <w:r w:rsidR="00D078E3" w:rsidRPr="00153CFE">
        <w:fldChar w:fldCharType="begin"/>
      </w:r>
      <w:r w:rsidR="00D078E3" w:rsidRPr="00153CFE">
        <w:instrText xml:space="preserve"> ADDIN EN.CITE &lt;EndNote&gt;&lt;Cite ExcludeAuth="1"&gt;&lt;Year&gt;2012&lt;/Year&gt;&lt;RecNum&gt;263&lt;/RecNum&gt;&lt;DisplayText&gt;(&lt;style face="italic"&gt;Forskrift om pasient- og brukerrettigheter i fastlegeordningen&lt;/style&gt;, 2012)&lt;/DisplayText&gt;&lt;record&gt;&lt;rec-number&gt;263&lt;/rec-number&gt;&lt;foreign-keys&gt;&lt;key app="EN" db-id="95tpr2tp6r9xwoea9rb5wdsz5ds5xeddteew" timestamp="1680069511"&gt;263&lt;/key&gt;&lt;/foreign-keys&gt;&lt;ref-type name="Legal Rule or Regulation"&gt;50&lt;/ref-type&gt;&lt;contributors&gt;&lt;/contributors&gt;&lt;titles&gt;&lt;title&gt;Forskrift om pasient- og brukerrettigheter i fastlegeordningen&lt;/title&gt;&lt;secondary-title&gt;FOR-2012-08-29-843&lt;/secondary-title&gt;&lt;/titles&gt;&lt;edition&gt;FOR-2021-04-29-1363&lt;/edition&gt;&lt;dates&gt;&lt;year&gt;2012&lt;/year&gt;&lt;/dates&gt;&lt;pub-location&gt;Oslo&lt;/pub-location&gt;&lt;urls&gt;&lt;related-urls&gt;&lt;url&gt;https://lovdata.no/dokument/SF/forskrift/2012-08-29-843&lt;/url&gt;&lt;/related-urls&gt;&lt;/urls&gt;&lt;/record&gt;&lt;/Cite&gt;&lt;/EndNote&gt;</w:instrText>
      </w:r>
      <w:r w:rsidR="00D078E3" w:rsidRPr="00153CFE">
        <w:fldChar w:fldCharType="separate"/>
      </w:r>
      <w:r w:rsidR="00D078E3" w:rsidRPr="00153CFE">
        <w:t>(Forskrift om pasient- og brukerrettigheter i fastlegeordningen, 2012)</w:t>
      </w:r>
      <w:r w:rsidR="00D078E3" w:rsidRPr="00153CFE">
        <w:fldChar w:fldCharType="end"/>
      </w:r>
      <w:r w:rsidRPr="00153CFE">
        <w:t xml:space="preserve">. Forskriftene omtaler kommunens og fastlegens ansvar, funksjons- og kvalitetskrav, krav til fastlegeavtalen og krav </w:t>
      </w:r>
      <w:r w:rsidR="00371A34" w:rsidRPr="00153CFE">
        <w:t xml:space="preserve">til </w:t>
      </w:r>
      <w:r w:rsidRPr="00153CFE">
        <w:t>listestørrelse mv., samt sentrale rettighetsbestemmelser som rett til å stå på liste hos fastlege, rett til å bytte fastlege og rett til ny vurdering.</w:t>
      </w:r>
    </w:p>
    <w:p w14:paraId="0118B80E" w14:textId="377B942F" w:rsidR="00662C75" w:rsidRPr="00153CFE" w:rsidRDefault="00662C75" w:rsidP="00775632">
      <w:pPr>
        <w:pStyle w:val="Nummerertliste"/>
      </w:pPr>
      <w:r w:rsidRPr="00153CFE">
        <w:t>En nærmere utforming av kommunenes og legenes rettigheter og plikter, samarbeid mellom partene og økonomiske forhold er regulert i sentralt avtaleverk mellom staten, Den norske legeforening og KS/Oslo kommune.</w:t>
      </w:r>
    </w:p>
    <w:p w14:paraId="2C599A99" w14:textId="516D9005" w:rsidR="00662C75" w:rsidRPr="00153CFE" w:rsidRDefault="00662C75" w:rsidP="00775632">
      <w:pPr>
        <w:pStyle w:val="alfaliste2"/>
      </w:pPr>
      <w:r w:rsidRPr="00153CFE">
        <w:t>Statsavtalen (ASA 4301) er inngått mellom staten og KS på den ene side og Den norske Legeforening på den andre side</w:t>
      </w:r>
      <w:r w:rsidR="00023B24" w:rsidRPr="00153CFE">
        <w:t>,</w:t>
      </w:r>
      <w:r w:rsidRPr="00153CFE">
        <w:t xml:space="preserve"> og regulerer økonomiske vilkår for allmennleger med kommunal fastlegeavtale og legespesialister med avtalepraksis (avtalespesialister).</w:t>
      </w:r>
    </w:p>
    <w:p w14:paraId="048CAB31" w14:textId="0288E9B6" w:rsidR="00662C75" w:rsidRPr="00153CFE" w:rsidRDefault="00662C75" w:rsidP="00775632">
      <w:pPr>
        <w:pStyle w:val="alfaliste2"/>
      </w:pPr>
      <w:r w:rsidRPr="00153CFE">
        <w:t xml:space="preserve">Rammeavtalen (ASA 4310) er inngått mellom KS og Den norske legeforening om allmennpraksis i fastlegeordningen. Avtalen regulerer kommunen og </w:t>
      </w:r>
      <w:r w:rsidR="00737DAF" w:rsidRPr="00153CFE">
        <w:t xml:space="preserve">næringsdrivende fastlegers </w:t>
      </w:r>
      <w:r w:rsidRPr="00153CFE">
        <w:t>oppgaver. Det er inngått en egen avtale mellom Oslo kommune og Den norske legeforening.</w:t>
      </w:r>
    </w:p>
    <w:p w14:paraId="239019FB" w14:textId="1E2263F5" w:rsidR="00662C75" w:rsidRPr="00153CFE" w:rsidRDefault="00662C75" w:rsidP="00775632">
      <w:pPr>
        <w:pStyle w:val="alfaliste2"/>
      </w:pPr>
      <w:r w:rsidRPr="00153CFE">
        <w:t xml:space="preserve">Sentral forbundsvis særavtale (SFS 2305, </w:t>
      </w:r>
      <w:r w:rsidR="00D9107F" w:rsidRPr="00153CFE">
        <w:t>«</w:t>
      </w:r>
      <w:r w:rsidRPr="00153CFE">
        <w:t>Særavtalen</w:t>
      </w:r>
      <w:r w:rsidR="00D9107F" w:rsidRPr="00153CFE">
        <w:t>»</w:t>
      </w:r>
      <w:r w:rsidRPr="00153CFE">
        <w:t xml:space="preserve">) er inngått mellom KS og Den norske legeforening om vilkår for leger og turnusleger/LIS1 i kommunehelsetjenesten med arbeidsavtale, herunder leger i fastlegeordningen. </w:t>
      </w:r>
      <w:r w:rsidR="004060E2" w:rsidRPr="00153CFE">
        <w:t xml:space="preserve">Avtalen har bestemmelse om ukentlig arbeidstid for alle ansatte leger, regulerer praksiskompensasjon ved fravær fra fastlegepraksisen for utøvelse av offentlig legearbeid, </w:t>
      </w:r>
      <w:r w:rsidR="004A77E1" w:rsidRPr="00153CFE">
        <w:t>deltakelse i</w:t>
      </w:r>
      <w:r w:rsidR="004060E2" w:rsidRPr="00153CFE">
        <w:t xml:space="preserve"> legevakt på dagtid og utenom ordinær åpningstid,</w:t>
      </w:r>
      <w:r w:rsidR="004A77E1" w:rsidRPr="00153CFE">
        <w:t xml:space="preserve"> samt</w:t>
      </w:r>
      <w:r w:rsidR="004060E2" w:rsidRPr="00153CFE">
        <w:t xml:space="preserve"> enkelte bestemmelser for LIS1, utdanningspermisjoner og samfunnsmedisin.</w:t>
      </w:r>
      <w:r w:rsidRPr="00153CFE">
        <w:t xml:space="preserve"> For Oslo kommune reguleres dette i rammeavtalen som er inngått mellom Oslo kommune og Den norske legeforening.</w:t>
      </w:r>
    </w:p>
    <w:p w14:paraId="22ED8388" w14:textId="2A77BE17" w:rsidR="00D9107F" w:rsidRPr="00153CFE" w:rsidRDefault="00662C75" w:rsidP="00775632">
      <w:pPr>
        <w:pStyle w:val="Nummerertliste"/>
      </w:pPr>
      <w:r w:rsidRPr="00153CFE">
        <w:t>Den enkelte fastlege inngår i tillegg en individuell fastlegeavtale med kommunen, som gir fastlegen rett til å drive som fastlege, herunder ha refusjonsrett</w:t>
      </w:r>
      <w:r w:rsidR="0085659E" w:rsidRPr="00153CFE">
        <w:t xml:space="preserve">, jf. fastlegeforskriften </w:t>
      </w:r>
      <w:r w:rsidR="00D9107F" w:rsidRPr="00153CFE">
        <w:t>§ 3</w:t>
      </w:r>
      <w:r w:rsidR="0085659E" w:rsidRPr="00153CFE">
        <w:t xml:space="preserve">0 og folketrygdloven </w:t>
      </w:r>
      <w:r w:rsidR="00D9107F" w:rsidRPr="00153CFE">
        <w:t>§ 5</w:t>
      </w:r>
      <w:r w:rsidR="0085659E" w:rsidRPr="00153CFE">
        <w:t>-4 andre ledd</w:t>
      </w:r>
      <w:r w:rsidR="07346945" w:rsidRPr="00153CFE">
        <w:t xml:space="preserve"> </w:t>
      </w:r>
      <w:r w:rsidR="00872101" w:rsidRPr="00153CFE">
        <w:fldChar w:fldCharType="begin"/>
      </w:r>
      <w:r w:rsidR="00D078E3" w:rsidRPr="00153CFE">
        <w:instrText xml:space="preserve"> ADDIN EN.CITE &lt;EndNote&gt;&lt;Cite ExcludeAuth="1"&gt;&lt;Year&gt;1997&lt;/Year&gt;&lt;RecNum&gt;465&lt;/RecNum&gt;&lt;DisplayText&gt;(&lt;style face="italic"&gt;Lov om folketrygd (folketrygdloven)&lt;/style&gt;, 1997)&lt;/DisplayText&gt;&lt;record&gt;&lt;rec-number&gt;465&lt;/rec-number&gt;&lt;foreign-keys&gt;&lt;key app="EN" db-id="95tpr2tp6r9xwoea9rb5wdsz5ds5xeddteew" timestamp="1680069511"&gt;465&lt;/key&gt;&lt;/foreign-keys&gt;&lt;ref-type name="Legal Rule or Regulation"&gt;50&lt;/ref-type&gt;&lt;contributors&gt;&lt;/contributors&gt;&lt;titles&gt;&lt;title&gt;Lov om folketrygd (folketrygdloven)&lt;/title&gt;&lt;/titles&gt;&lt;volume&gt;LOV-1997-02-28-19&lt;/volume&gt;&lt;edition&gt;LOV-2022-12-20-104 &lt;/edition&gt;&lt;dates&gt;&lt;year&gt;1997&lt;/year&gt;&lt;/dates&gt;&lt;urls&gt;&lt;related-urls&gt;&lt;url&gt;https://lovdata.no/dokument/NL/lov/1997-02-28-19?q=folketrygd&lt;/url&gt;&lt;/related-urls&gt;&lt;/urls&gt;&lt;/record&gt;&lt;/Cite&gt;&lt;/EndNote&gt;</w:instrText>
      </w:r>
      <w:r w:rsidR="00872101" w:rsidRPr="00153CFE">
        <w:fldChar w:fldCharType="separate"/>
      </w:r>
      <w:r w:rsidR="00872101" w:rsidRPr="00153CFE">
        <w:t>(Lov om folketrygd (folketrygdloven), 1997)</w:t>
      </w:r>
      <w:r w:rsidR="00872101" w:rsidRPr="00153CFE">
        <w:fldChar w:fldCharType="end"/>
      </w:r>
      <w:r w:rsidRPr="00153CFE">
        <w:t>. I fastlegeavtalen kan det settes rammer for fastlegens ansvar og oppgaver, og avtalen skal som et minimum inneholde bestemmelser om åpningstider, listetak og lokalisering</w:t>
      </w:r>
      <w:r w:rsidR="00AE2B61" w:rsidRPr="00153CFE">
        <w:t>.</w:t>
      </w:r>
      <w:r w:rsidRPr="00153CFE">
        <w:t xml:space="preserve"> Den individuelle </w:t>
      </w:r>
      <w:r w:rsidR="00737DAF" w:rsidRPr="00153CFE">
        <w:t>fastlege</w:t>
      </w:r>
      <w:r w:rsidRPr="00153CFE">
        <w:t>avtalen</w:t>
      </w:r>
      <w:r w:rsidR="00737DAF" w:rsidRPr="00153CFE">
        <w:t xml:space="preserve">, og arbeidsavtaler med kommunalt ansatte fastleger, </w:t>
      </w:r>
      <w:r w:rsidRPr="00153CFE">
        <w:t xml:space="preserve">er kommunenes viktigste styringsverktøy i oppfyllelsen av </w:t>
      </w:r>
      <w:r w:rsidR="00737DAF" w:rsidRPr="00153CFE">
        <w:t>sine</w:t>
      </w:r>
      <w:r w:rsidRPr="00153CFE">
        <w:t xml:space="preserve"> lovpålagte plikter.</w:t>
      </w:r>
    </w:p>
    <w:p w14:paraId="60A1A3FE" w14:textId="0EAC189C" w:rsidR="00D9107F" w:rsidRDefault="00662C75" w:rsidP="00153CFE">
      <w:r>
        <w:lastRenderedPageBreak/>
        <w:t>For at pasientene skal få stønad fra folketrygden for undersøkelse og behandling hos fastlegen, og for at fastlegen skal få refusjon, må fastlegen i tillegg inngå en avtale om direkte oppgjør med Helfo</w:t>
      </w:r>
      <w:r w:rsidR="009C1A0B">
        <w:t xml:space="preserve">, jf. folketrygdloven </w:t>
      </w:r>
      <w:r w:rsidR="00D9107F">
        <w:t>§ 2</w:t>
      </w:r>
      <w:r w:rsidR="0085659E">
        <w:t>2-2</w:t>
      </w:r>
      <w:r>
        <w:t>. Direkteoppgjørsavtalen er en personlig og gjensidig forpliktende avtale om det økonomiske oppgjøret mellom legen og Helfo.</w:t>
      </w:r>
    </w:p>
    <w:p w14:paraId="24F352D7" w14:textId="46EF2D17" w:rsidR="00E96C68" w:rsidRDefault="00B73722" w:rsidP="00775632">
      <w:pPr>
        <w:pStyle w:val="Overskrift3"/>
      </w:pPr>
      <w:bookmarkStart w:id="1003" w:name="_Toc130763778"/>
      <w:bookmarkStart w:id="1004" w:name="_Toc130766673"/>
      <w:bookmarkStart w:id="1005" w:name="_Toc130932073"/>
      <w:bookmarkStart w:id="1006" w:name="_Toc130934364"/>
      <w:bookmarkStart w:id="1007" w:name="_Toc130983417"/>
      <w:bookmarkStart w:id="1008" w:name="_Toc130983766"/>
      <w:bookmarkStart w:id="1009" w:name="_Toc131062098"/>
      <w:bookmarkStart w:id="1010" w:name="_Toc131062352"/>
      <w:bookmarkStart w:id="1011" w:name="_Toc131062613"/>
      <w:bookmarkStart w:id="1012" w:name="_Toc131062866"/>
      <w:bookmarkStart w:id="1013" w:name="_Toc131063634"/>
      <w:bookmarkStart w:id="1014" w:name="_Toc131064054"/>
      <w:bookmarkStart w:id="1015" w:name="_Toc131238344"/>
      <w:bookmarkStart w:id="1016" w:name="_Toc132536939"/>
      <w:bookmarkStart w:id="1017" w:name="_Toc131317735"/>
      <w:bookmarkStart w:id="1018" w:name="_Toc131281196"/>
      <w:bookmarkStart w:id="1019" w:name="_Toc131279374"/>
      <w:bookmarkStart w:id="1020" w:name="_Toc131286786"/>
      <w:r>
        <w:t>U</w:t>
      </w:r>
      <w:r w:rsidR="004D48B1">
        <w:t xml:space="preserve">like </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r>
        <w:t>driftsformer</w:t>
      </w:r>
      <w:bookmarkEnd w:id="1016"/>
    </w:p>
    <w:bookmarkEnd w:id="1017"/>
    <w:bookmarkEnd w:id="1018"/>
    <w:bookmarkEnd w:id="1019"/>
    <w:bookmarkEnd w:id="1020"/>
    <w:p w14:paraId="22B82EFF" w14:textId="2EC7795C" w:rsidR="00625963" w:rsidRDefault="00625963" w:rsidP="00960FD2">
      <w:pPr>
        <w:jc w:val="both"/>
      </w:pPr>
      <w:r>
        <w:t>Det er i dag vanligst at kommunen inngår avtale med næringsdrivende leger om å tilby fastlegetjenester til innbyggerne, og næringsdrift omtales ofte som hovedmodellen for organisering av fastlegetjenester. Per mars 2023 var 8</w:t>
      </w:r>
      <w:r w:rsidR="00EE5FC6">
        <w:t>1,6</w:t>
      </w:r>
      <w:r>
        <w:t xml:space="preserve"> prosent av landets fastleger næringsdrivende</w:t>
      </w:r>
      <w:r w:rsidR="00AC1FE0">
        <w:t xml:space="preserve"> </w:t>
      </w:r>
      <w:r w:rsidR="00D078E3">
        <w:fldChar w:fldCharType="begin"/>
      </w:r>
      <w:r w:rsidR="00694E6D">
        <w:instrText xml:space="preserve"> ADDIN EN.CITE &lt;EndNote&gt;&lt;Cite ExcludeYear="1"&gt;&lt;Author&gt;Helsedirektoratet&lt;/Author&gt;&lt;RecNum&gt;304&lt;/RecNum&gt;&lt;DisplayText&gt;(Helsedirektoratet)&lt;/DisplayText&gt;&lt;record&gt;&lt;rec-number&gt;304&lt;/rec-number&gt;&lt;foreign-keys&gt;&lt;key app="EN" db-id="95tpr2tp6r9xwoea9rb5wdsz5ds5xeddteew" timestamp="1680069511"&gt;304&lt;/key&gt;&lt;/foreign-keys&gt;&lt;ref-type name="Web Page"&gt;12&lt;/ref-type&gt;&lt;contributors&gt;&lt;authors&gt;&lt;author&gt;Helsedirektoratet&lt;/author&gt;&lt;/authors&gt;&lt;/contributors&gt;&lt;titles&gt;&lt;title&gt;Handlingsplan Allmennlegetjenesten: utvalgte nasjonale nøkkeltall fra fastlegeordningen - per desember 2022&lt;/title&gt;&lt;secondary-title&gt;MÅNEDSRAPPORT&lt;/secondary-title&gt;&lt;/titles&gt;&lt;number&gt;27.01.23&lt;/number&gt;&lt;dates&gt;&lt;pub-dates&gt;&lt;date&gt;desember 2022&lt;/date&gt;&lt;/pub-dates&gt;&lt;/dates&gt;&lt;pub-location&gt;Oslo&lt;/pub-location&gt;&lt;publisher&gt;Helsedirektoratet&lt;/publisher&gt;&lt;urls&gt;&lt;/urls&gt;&lt;/record&gt;&lt;/Cite&gt;&lt;/EndNote&gt;</w:instrText>
      </w:r>
      <w:r w:rsidR="00D078E3">
        <w:fldChar w:fldCharType="separate"/>
      </w:r>
      <w:r w:rsidR="00D078E3">
        <w:rPr>
          <w:noProof/>
        </w:rPr>
        <w:t>(Helsedirektoratet)</w:t>
      </w:r>
      <w:r w:rsidR="00D078E3">
        <w:fldChar w:fldCharType="end"/>
      </w:r>
      <w:r>
        <w:t xml:space="preserve">. Ved næringsdrift reguleres forholdet mellom kommunen og fastlegen av fastlegeavtalen. Fastlegen er da en kontraktspart som utfører oppgaver som inngår i kommunens sørge-for-ansvar, på vegne av kommunen. Kommunen kan imidlertid ikke delegere bort sitt sørge-for-ansvar, slik at kommunen uansett vil være overordnet ansvarlig for fastlegetjenestene i kommunen, selv om kommunen har satt ut utførelsen av oppgaven til </w:t>
      </w:r>
      <w:r w:rsidR="00205CD4">
        <w:t xml:space="preserve">næringsdrivende </w:t>
      </w:r>
      <w:r>
        <w:t>leger.</w:t>
      </w:r>
    </w:p>
    <w:p w14:paraId="0EEFBDDD" w14:textId="0B87246C" w:rsidR="00625963" w:rsidRDefault="00625963" w:rsidP="00960FD2">
      <w:pPr>
        <w:jc w:val="both"/>
      </w:pPr>
      <w:r>
        <w:t>Næringsdrivende fastleger er bedriftseiere, som drifter sin egen virksomhet. Det innebærer at fastlegen selv er ansvarlig for å sørge for nødvendige lokaler og utstyr for virksomhet</w:t>
      </w:r>
      <w:r w:rsidR="009C7781">
        <w:t>en</w:t>
      </w:r>
      <w:r>
        <w:t xml:space="preserve">, </w:t>
      </w:r>
      <w:r w:rsidR="007961D4">
        <w:t xml:space="preserve">og </w:t>
      </w:r>
      <w:r>
        <w:t>følge alle relevante regler knyttet til drift av virksomheter, for eksempel skatte- og avgiftsregler</w:t>
      </w:r>
      <w:r w:rsidR="000210EE">
        <w:t>. H</w:t>
      </w:r>
      <w:r>
        <w:t xml:space="preserve">vis fastlegen trenger en </w:t>
      </w:r>
      <w:r w:rsidR="3A2A68D4" w:rsidRPr="528FACD9">
        <w:t>helsesekretær</w:t>
      </w:r>
      <w:r w:rsidR="007961D4">
        <w:t xml:space="preserve"> eller annen medarbeider</w:t>
      </w:r>
      <w:r>
        <w:t>, vil legen selv måtte ansette vedkommende</w:t>
      </w:r>
      <w:r w:rsidR="007961D4">
        <w:t>,</w:t>
      </w:r>
      <w:r>
        <w:t xml:space="preserve"> og vil følgelig være arbeidsgiver, med de pliktene og oppgavene det innebærer.</w:t>
      </w:r>
    </w:p>
    <w:p w14:paraId="1E5376DE" w14:textId="055EF6D8" w:rsidR="00625963" w:rsidRDefault="00625963" w:rsidP="00960FD2">
      <w:pPr>
        <w:jc w:val="both"/>
      </w:pPr>
      <w:r>
        <w:t>Mange næringsdrivende fastleger har organisert seg i gruppepraksiser. Ved organisering i gruppepraksis går flere leger sammen i et driftsselskap</w:t>
      </w:r>
      <w:r w:rsidR="008C45D6">
        <w:t>,</w:t>
      </w:r>
      <w:r>
        <w:t xml:space="preserve"> som leier lokaler, holder utstyr</w:t>
      </w:r>
      <w:r w:rsidR="1F84E5A5">
        <w:t xml:space="preserve"> og</w:t>
      </w:r>
      <w:r w:rsidR="007961D4">
        <w:t xml:space="preserve"> </w:t>
      </w:r>
      <w:r>
        <w:t xml:space="preserve">ansetter personell </w:t>
      </w:r>
      <w:r w:rsidR="007961D4">
        <w:t>som</w:t>
      </w:r>
      <w:r>
        <w:t xml:space="preserve"> står for andre elementer av driften. Den enkelte lege vil fortsatt ha selvstendig ansvar for sin liste, men innad i gruppepraksisen kan man ha avtale om kollegial fraværsdekning.</w:t>
      </w:r>
      <w:r w:rsidRPr="00814C84">
        <w:t xml:space="preserve"> </w:t>
      </w:r>
      <w:r>
        <w:t>Ved drift i gruppepraksis er det vanlig at den enkelte lege har et enkeltpersonsforetak</w:t>
      </w:r>
      <w:r w:rsidR="615FEBAB">
        <w:t xml:space="preserve"> eller AS</w:t>
      </w:r>
      <w:r>
        <w:t>, mens legekontoret er organisert som et aksjeselskap (AS), et ansvarlig selskap (ANS)</w:t>
      </w:r>
      <w:r w:rsidR="007961D4">
        <w:t>,</w:t>
      </w:r>
      <w:r>
        <w:t xml:space="preserve"> eller et selskap med delt ansvar (DA). Legene i gruppepraksisen eier vanligvis like deler i legekontor-selskapet, og avgjørelser baseres på konsensus legene imellom</w:t>
      </w:r>
      <w:r w:rsidR="008C45D6">
        <w:t>,</w:t>
      </w:r>
      <w:r>
        <w:t xml:space="preserve"> eller ut fra selskapets internavtale.</w:t>
      </w:r>
    </w:p>
    <w:p w14:paraId="473164AA" w14:textId="19064675" w:rsidR="00625963" w:rsidRDefault="00625963" w:rsidP="00901E66">
      <w:pPr>
        <w:jc w:val="both"/>
      </w:pPr>
      <w:r>
        <w:t>Som et alternativ til næringsdrift, kan kommunene velge å tilby leger ansettelse</w:t>
      </w:r>
      <w:r w:rsidR="009C7781">
        <w:t>,</w:t>
      </w:r>
      <w:r>
        <w:t xml:space="preserve"> for å dekke behovet for fastleger. Dette er særlig aktuelt i kommuner der befolkningsgrunnlaget eller andre forhold gjør at det ikke er grunnlag for ren næringsdrift, men </w:t>
      </w:r>
      <w:r w:rsidR="00D3545B">
        <w:t>omfanget av ansatte fastleger øker nå også i</w:t>
      </w:r>
      <w:r>
        <w:t xml:space="preserve"> sentrale strøk. Tall fra Helsedirektoratet viser at 1</w:t>
      </w:r>
      <w:r w:rsidR="00946BCD">
        <w:t>8,4</w:t>
      </w:r>
      <w:r>
        <w:t xml:space="preserve"> prosent av </w:t>
      </w:r>
      <w:r w:rsidR="00FF54E9">
        <w:t>fastlegelistene</w:t>
      </w:r>
      <w:r>
        <w:t xml:space="preserve"> var </w:t>
      </w:r>
      <w:r w:rsidR="00FF54E9">
        <w:t>knyttet til en</w:t>
      </w:r>
      <w:r w:rsidR="001A3E5C">
        <w:t xml:space="preserve"> </w:t>
      </w:r>
      <w:r>
        <w:t xml:space="preserve">ansatt </w:t>
      </w:r>
      <w:r w:rsidR="00FF54E9">
        <w:t>fastlege</w:t>
      </w:r>
      <w:r>
        <w:t xml:space="preserve"> i mars 2023</w:t>
      </w:r>
      <w:r w:rsidR="00701C6F">
        <w:t xml:space="preserve"> </w:t>
      </w:r>
      <w:r w:rsidR="00EB17EE">
        <w:fldChar w:fldCharType="begin"/>
      </w:r>
      <w:r w:rsidR="00235862">
        <w:instrText xml:space="preserve"> ADDIN EN.CITE &lt;EndNote&gt;&lt;Cite&gt;&lt;Author&gt;Helsedirektoratet&lt;/Author&gt;&lt;Year&gt;2023&lt;/Year&gt;&lt;RecNum&gt;1011&lt;/RecNum&gt;&lt;DisplayText&gt;(Helsedirektoratet, 2023d)&lt;/DisplayText&gt;&lt;record&gt;&lt;rec-number&gt;1011&lt;/rec-number&gt;&lt;foreign-keys&gt;&lt;key app="EN" db-id="95tpr2tp6r9xwoea9rb5wdsz5ds5xeddteew" timestamp="1681119033"&gt;1011&lt;/key&gt;&lt;/foreign-keys&gt;&lt;ref-type name="Web Page"&gt;12&lt;/ref-type&gt;&lt;contributors&gt;&lt;authors&gt;&lt;author&gt;Helsedirektoratet&lt;/author&gt;&lt;/authors&gt;&lt;/contributors&gt;&lt;titles&gt;&lt;title&gt;Månedlig rapportering HPA per mars 2023&lt;/title&gt;&lt;/titles&gt;&lt;dates&gt;&lt;year&gt;2023&lt;/year&gt;&lt;/dates&gt;&lt;publisher&gt;Helsedirektoratet&lt;/publisher&gt;&lt;urls&gt;&lt;/urls&gt;&lt;/record&gt;&lt;/Cite&gt;&lt;/EndNote&gt;</w:instrText>
      </w:r>
      <w:r w:rsidR="00EB17EE">
        <w:fldChar w:fldCharType="separate"/>
      </w:r>
      <w:r w:rsidR="00EB17EE">
        <w:rPr>
          <w:noProof/>
        </w:rPr>
        <w:t>(Helsedirektoratet, 2023d)</w:t>
      </w:r>
      <w:r w:rsidR="00EB17EE">
        <w:fldChar w:fldCharType="end"/>
      </w:r>
      <w:r>
        <w:t xml:space="preserve">. </w:t>
      </w:r>
      <w:r w:rsidRPr="00646626">
        <w:t xml:space="preserve">Kommunalt ansatte fastleger mottar normalt en fast lønn, og </w:t>
      </w:r>
      <w:r w:rsidR="00D3545B">
        <w:t>mange</w:t>
      </w:r>
      <w:r w:rsidRPr="00646626">
        <w:t xml:space="preserve"> har i tillegg en insentivkomponent</w:t>
      </w:r>
      <w:r w:rsidR="007961D4">
        <w:t xml:space="preserve"> i lønnen</w:t>
      </w:r>
      <w:r>
        <w:t xml:space="preserve">. Insentivkomponenten er ofte basert på aktivitet, eksempelvis slik at det tilsvarer en andel av </w:t>
      </w:r>
      <w:r w:rsidR="007961D4">
        <w:t xml:space="preserve">de </w:t>
      </w:r>
      <w:r>
        <w:t>refusjonene fra folketrygden som legen er ansvarlig for.</w:t>
      </w:r>
    </w:p>
    <w:p w14:paraId="224F085F" w14:textId="77777777" w:rsidR="00D9107F" w:rsidRDefault="00AF4DB7" w:rsidP="00901E66">
      <w:pPr>
        <w:jc w:val="both"/>
      </w:pPr>
      <w:r>
        <w:lastRenderedPageBreak/>
        <w:t>For å rekruttere og beholde fastleger kan k</w:t>
      </w:r>
      <w:r w:rsidR="00625963">
        <w:t xml:space="preserve">ommunene også tilby tilleggsfinansiering til næringsdrivende leger, gjennom </w:t>
      </w:r>
      <w:r w:rsidR="007961D4">
        <w:t xml:space="preserve">såkalte </w:t>
      </w:r>
      <w:r w:rsidR="00625963">
        <w:t>8.2-avtaler</w:t>
      </w:r>
      <w:r w:rsidR="007961D4">
        <w:t>,</w:t>
      </w:r>
      <w:r w:rsidR="00625963">
        <w:t xml:space="preserve"> eller andre avtaler som på ulike måter </w:t>
      </w:r>
      <w:r w:rsidR="00FA7A57">
        <w:t xml:space="preserve">tilleggsfinansierer </w:t>
      </w:r>
      <w:r w:rsidR="00625963">
        <w:t xml:space="preserve">den næringsdrivende legens virksomhet. </w:t>
      </w:r>
      <w:r w:rsidR="00625963" w:rsidRPr="00D64FCD">
        <w:t>I slike avtaler er det vanlig at kommunen stiller med kontorlokaler, utstyr</w:t>
      </w:r>
      <w:r w:rsidR="0047390E" w:rsidRPr="00D64FCD">
        <w:t>,</w:t>
      </w:r>
      <w:r w:rsidR="00625963" w:rsidRPr="00D64FCD">
        <w:t xml:space="preserve"> hjelpepersonell</w:t>
      </w:r>
      <w:r w:rsidR="0047390E" w:rsidRPr="00D64FCD">
        <w:t xml:space="preserve"> og</w:t>
      </w:r>
      <w:r w:rsidR="0047390E">
        <w:t xml:space="preserve"> lignend</w:t>
      </w:r>
      <w:r w:rsidR="00D64FCD">
        <w:t>e, mot at legene betaler et avtalt beløp for dette.</w:t>
      </w:r>
    </w:p>
    <w:p w14:paraId="34EC30C3" w14:textId="77777777" w:rsidR="00D9107F" w:rsidRDefault="00D3545B" w:rsidP="00901E66">
      <w:pPr>
        <w:jc w:val="both"/>
      </w:pPr>
      <w:r>
        <w:t>I rammeavtalen fastslås blant annet at</w:t>
      </w:r>
      <w:r w:rsidR="00725F1B">
        <w:t xml:space="preserve"> d</w:t>
      </w:r>
      <w:r w:rsidRPr="00725F1B">
        <w:t>ersom legen mottar ytelser fra kommunen i form av hjelpepersonell, lokaler, utstyr, forbruksvarer osv</w:t>
      </w:r>
      <w:r>
        <w:t>.</w:t>
      </w:r>
      <w:r w:rsidRPr="00725F1B">
        <w:t>, skal legen refundere kommunens utlegg i sin helhet, med mindre kommunen og legen av rekrutteringshensyn o.a. skriftlig avtaler redusert innbetaling for en tidfestet periode</w:t>
      </w:r>
      <w:r w:rsidRPr="00EF390E">
        <w:t>.</w:t>
      </w:r>
    </w:p>
    <w:p w14:paraId="5C84CBD7" w14:textId="4D00DB5C" w:rsidR="00F745B9" w:rsidRDefault="00625963" w:rsidP="007275AF">
      <w:pPr>
        <w:jc w:val="both"/>
      </w:pPr>
      <w:r>
        <w:t>I Helsedirektoratets årsrapport for 2021 til Handlingsplan for allmennlegetjenesten påpekes det at det</w:t>
      </w:r>
      <w:r w:rsidR="007961D4">
        <w:t>,</w:t>
      </w:r>
      <w:r>
        <w:t xml:space="preserve"> per i dag</w:t>
      </w:r>
      <w:r w:rsidR="007961D4">
        <w:t>,</w:t>
      </w:r>
      <w:r>
        <w:t xml:space="preserve"> ikke foreligger en samlet oversikt over hvilke kommuner som bidrar med tilleggsfinansiering, eller det økonomiske omfanget av tilleggsfinansieringen</w:t>
      </w:r>
      <w:r w:rsidR="00C147B2">
        <w:t xml:space="preserve"> </w:t>
      </w:r>
      <w:r w:rsidR="00872101">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rsidR="00872101">
        <w:fldChar w:fldCharType="separate"/>
      </w:r>
      <w:r w:rsidR="00B87F6D">
        <w:rPr>
          <w:noProof/>
        </w:rPr>
        <w:t>(Helsedirektoratet, 2022c)</w:t>
      </w:r>
      <w:r w:rsidR="00872101">
        <w:fldChar w:fldCharType="end"/>
      </w:r>
      <w:r>
        <w:t>.</w:t>
      </w:r>
      <w:r w:rsidR="009C7781">
        <w:t xml:space="preserve"> </w:t>
      </w:r>
      <w:r w:rsidR="00297D9B">
        <w:t>Oslo Economics</w:t>
      </w:r>
      <w:r w:rsidR="00952D32">
        <w:t xml:space="preserve"> estimerte imidlertid i</w:t>
      </w:r>
      <w:r w:rsidR="0088119A">
        <w:t xml:space="preserve"> 2022 </w:t>
      </w:r>
      <w:r w:rsidR="00952D32">
        <w:t>at 12 prosent av fastlegene hadde driftsform næringsdrift med 8.2-avtale</w:t>
      </w:r>
      <w:r w:rsidR="00561836">
        <w:t xml:space="preserve"> </w:t>
      </w:r>
      <w:r w:rsidR="00EB17EE">
        <w:fldChar w:fldCharType="begin"/>
      </w:r>
      <w:r w:rsidR="00EB17EE">
        <w:instrText xml:space="preserve"> ADDIN EN.CITE &lt;EndNote&gt;&lt;Cite&gt;&lt;Author&gt;Oslo Economics&lt;/Author&gt;&lt;Year&gt;2022&lt;/Year&gt;&lt;RecNum&gt;218&lt;/RecNum&gt;&lt;DisplayText&gt;(Oslo Economics, 2022)&lt;/DisplayText&gt;&lt;record&gt;&lt;rec-number&gt;218&lt;/rec-number&gt;&lt;foreign-keys&gt;&lt;key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rsidR="00EB17EE">
        <w:fldChar w:fldCharType="separate"/>
      </w:r>
      <w:r w:rsidR="00EB17EE">
        <w:rPr>
          <w:noProof/>
        </w:rPr>
        <w:t>(Oslo Economics, 2022)</w:t>
      </w:r>
      <w:r w:rsidR="00EB17EE">
        <w:fldChar w:fldCharType="end"/>
      </w:r>
      <w:r w:rsidR="00952D32">
        <w:t>.</w:t>
      </w:r>
      <w:r w:rsidR="002C37EB">
        <w:t xml:space="preserve"> </w:t>
      </w:r>
      <w:r w:rsidR="0088119A">
        <w:t xml:space="preserve">I en undersøkelse fra 2022 oppgir </w:t>
      </w:r>
      <w:r w:rsidR="00E57066">
        <w:t>videre</w:t>
      </w:r>
      <w:r w:rsidR="00AC6F04">
        <w:t xml:space="preserve"> </w:t>
      </w:r>
      <w:r w:rsidR="0088119A">
        <w:t>e</w:t>
      </w:r>
      <w:r w:rsidR="009C7781" w:rsidRPr="00611FA6">
        <w:rPr>
          <w:rFonts w:cstheme="minorHAnsi"/>
          <w:color w:val="000000" w:themeColor="text1"/>
        </w:rPr>
        <w:t>t flertall av kommunene at de har merkostnader til fastlegeordningen, der kostnader til lokaler, utstyr og personell er en av årsakene</w:t>
      </w:r>
      <w:r w:rsidR="002C37EB">
        <w:rPr>
          <w:rFonts w:cstheme="minorHAnsi"/>
          <w:color w:val="000000" w:themeColor="text1"/>
        </w:rPr>
        <w:t xml:space="preserve"> </w:t>
      </w:r>
      <w:r w:rsidR="00D078E3">
        <w:rPr>
          <w:rFonts w:cstheme="minorHAnsi"/>
          <w:color w:val="000000" w:themeColor="text1"/>
        </w:rPr>
        <w:fldChar w:fldCharType="begin"/>
      </w:r>
      <w:r w:rsidR="00A930FB">
        <w:rPr>
          <w:rFonts w:cstheme="minorHAnsi"/>
          <w:color w:val="000000" w:themeColor="text1"/>
        </w:rPr>
        <w:instrText xml:space="preserve"> ADDIN EN.CITE &lt;EndNote&gt;&lt;Cite&gt;&lt;Author&gt;og&lt;/Author&gt;&lt;Year&gt;2022&lt;/Year&gt;&lt;RecNum&gt;858&lt;/RecNum&gt;&lt;DisplayText&gt;(og et al., 2022)&lt;/DisplayText&gt;&lt;record&gt;&lt;rec-number&gt;858&lt;/rec-number&gt;&lt;foreign-keys&gt;&lt;key app="EN" db-id="95tpr2tp6r9xwoea9rb5wdsz5ds5xeddteew" timestamp="1680069511"&gt;858&lt;/key&gt;&lt;/foreign-keys&gt;&lt;ref-type name="Report"&gt;27&lt;/ref-type&gt;&lt;contributors&gt;&lt;authors&gt;&lt;author&gt;Ipsos og&lt;/author&gt;&lt;author&gt;Samfunnsøkonomisk analyse,&lt;/author&gt;&lt;/authors&gt;&lt;tertiary-authors&gt;&lt;author&gt;Ipsos&lt;/author&gt;&lt;/tertiary-authors&gt;&lt;/contributors&gt;&lt;titles&gt;&lt;title&gt;Variasjoner i finansiering av fastlegeordningen : fjerde oppfølgingsundersøkelse&lt;/title&gt;&lt;/titles&gt;&lt;dates&gt;&lt;year&gt;2022&lt;/year&gt;&lt;/dates&gt;&lt;pub-location&gt;Oslo&lt;/pub-location&gt;&lt;urls&gt;&lt;/urls&gt;&lt;/record&gt;&lt;/Cite&gt;&lt;/EndNote&gt;</w:instrText>
      </w:r>
      <w:r w:rsidR="00D078E3">
        <w:rPr>
          <w:rFonts w:cstheme="minorHAnsi"/>
          <w:color w:val="000000" w:themeColor="text1"/>
        </w:rPr>
        <w:fldChar w:fldCharType="separate"/>
      </w:r>
      <w:r w:rsidR="00A930FB">
        <w:rPr>
          <w:rFonts w:cstheme="minorHAnsi"/>
          <w:noProof/>
          <w:color w:val="000000" w:themeColor="text1"/>
        </w:rPr>
        <w:t>(og et al., 2022)</w:t>
      </w:r>
      <w:r w:rsidR="00D078E3">
        <w:rPr>
          <w:rFonts w:cstheme="minorHAnsi"/>
          <w:color w:val="000000" w:themeColor="text1"/>
        </w:rPr>
        <w:fldChar w:fldCharType="end"/>
      </w:r>
      <w:r w:rsidR="002C37EB">
        <w:rPr>
          <w:rFonts w:cstheme="minorHAnsi"/>
          <w:color w:val="000000" w:themeColor="text1"/>
        </w:rPr>
        <w:t>.</w:t>
      </w:r>
    </w:p>
    <w:p w14:paraId="75E034AA" w14:textId="77777777" w:rsidR="00D9107F" w:rsidRDefault="00625963" w:rsidP="00725F1B">
      <w:pPr>
        <w:jc w:val="both"/>
      </w:pPr>
      <w:r>
        <w:t xml:space="preserve">I tillegg er det etablert en særordning for organisering av fastlegetjenester ved </w:t>
      </w:r>
      <w:r w:rsidR="009C7781">
        <w:t>S</w:t>
      </w:r>
      <w:r>
        <w:t xml:space="preserve">tudentsamskipnaden i Oslo (SiO Helse). Det redegjøres nærmere for denne modellen </w:t>
      </w:r>
      <w:r w:rsidR="001752C0">
        <w:t xml:space="preserve">i </w:t>
      </w:r>
      <w:r w:rsidR="00490029" w:rsidRPr="00FC70F9">
        <w:t>kapittel 4.7.3</w:t>
      </w:r>
      <w:r w:rsidR="00136A47" w:rsidRPr="00FC70F9">
        <w:t>.</w:t>
      </w:r>
    </w:p>
    <w:p w14:paraId="0FD62B4F" w14:textId="64178899" w:rsidR="00315710" w:rsidRDefault="00315710" w:rsidP="00775632">
      <w:pPr>
        <w:pStyle w:val="Overskrift3"/>
      </w:pPr>
      <w:bookmarkStart w:id="1021" w:name="_Toc130763779"/>
      <w:bookmarkStart w:id="1022" w:name="_Toc130766674"/>
      <w:bookmarkStart w:id="1023" w:name="_Toc130932074"/>
      <w:bookmarkStart w:id="1024" w:name="_Toc130934365"/>
      <w:bookmarkStart w:id="1025" w:name="_Toc130983418"/>
      <w:bookmarkStart w:id="1026" w:name="_Toc130983767"/>
      <w:bookmarkStart w:id="1027" w:name="_Toc131062099"/>
      <w:bookmarkStart w:id="1028" w:name="_Toc131062353"/>
      <w:bookmarkStart w:id="1029" w:name="_Toc131062614"/>
      <w:bookmarkStart w:id="1030" w:name="_Toc131062867"/>
      <w:bookmarkStart w:id="1031" w:name="_Toc131063635"/>
      <w:bookmarkStart w:id="1032" w:name="_Toc131064055"/>
      <w:bookmarkStart w:id="1033" w:name="_Toc131238345"/>
      <w:bookmarkStart w:id="1034" w:name="_Toc131279375"/>
      <w:bookmarkStart w:id="1035" w:name="_Toc131286787"/>
      <w:bookmarkStart w:id="1036" w:name="_Toc131281197"/>
      <w:bookmarkStart w:id="1037" w:name="_Toc131317736"/>
      <w:bookmarkStart w:id="1038" w:name="_Toc132536940"/>
      <w:r>
        <w:t>Utfordringer i forholdet mellom næringsdrift og fast ansettelse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00535A1B" w14:textId="4899F379" w:rsidR="00200B24" w:rsidRDefault="00200B24" w:rsidP="00C21537">
      <w:pPr>
        <w:jc w:val="both"/>
      </w:pPr>
      <w:r>
        <w:t>Antall og andelen fastlegeavtaler hvor legen har ansettelse har økt de siste årene.</w:t>
      </w:r>
      <w:r w:rsidRPr="001C37FC">
        <w:t xml:space="preserve"> </w:t>
      </w:r>
      <w:r w:rsidR="003312F6">
        <w:t>Tall fra FHI viser</w:t>
      </w:r>
      <w:r w:rsidR="00C305A4">
        <w:t xml:space="preserve"> at </w:t>
      </w:r>
      <w:r w:rsidR="00CA5EA7">
        <w:t>endringen, m</w:t>
      </w:r>
      <w:r>
        <w:t>ålt i prosentpoeng</w:t>
      </w:r>
      <w:r w:rsidR="00CA5EA7">
        <w:t>, er størst</w:t>
      </w:r>
      <w:r w:rsidR="009F5805">
        <w:t xml:space="preserve"> i Nordland, Innlandet og Troms og Finnmark. </w:t>
      </w:r>
      <w:r w:rsidR="00C26F8A">
        <w:t xml:space="preserve">Tallene viser videre at </w:t>
      </w:r>
      <w:r>
        <w:t xml:space="preserve">bruken av fastlønnsavtaler </w:t>
      </w:r>
      <w:r w:rsidR="00B126C7">
        <w:t xml:space="preserve">i 2022 var </w:t>
      </w:r>
      <w:r>
        <w:t>mest utbredt i Nordland, hvor 56,2 prosent av alle fastlegeavtaler var fastlønnede</w:t>
      </w:r>
      <w:r w:rsidR="00B126C7">
        <w:t>.</w:t>
      </w:r>
      <w:r>
        <w:t xml:space="preserve"> Videre har bruken av fastlønnsavtaler vært mest utbredt i de minst sentrale og </w:t>
      </w:r>
      <w:r w:rsidR="00A45E3B">
        <w:t xml:space="preserve">minst </w:t>
      </w:r>
      <w:r>
        <w:t xml:space="preserve">folkerike kommunene, hvor andelen i 2022 var </w:t>
      </w:r>
      <w:r w:rsidR="00F745B9">
        <w:t xml:space="preserve">henholdsvis </w:t>
      </w:r>
      <w:r>
        <w:t>70,4 prosent og 71,6 prosent. Fastlønnsavtaler er derimot relativt lite brukt i mer sentrale strøk, hvor andelen fastlønnsavtaler lå på 5,3 prosent i Oslo, 3,1 prosent i Bergen og 3,6 prosent i Trondheim i 2022</w:t>
      </w:r>
      <w:r w:rsidR="008A7F4C">
        <w:t xml:space="preserve"> </w:t>
      </w:r>
      <w:r w:rsidR="00D078E3">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rsidR="00D078E3">
        <w:fldChar w:fldCharType="separate"/>
      </w:r>
      <w:r w:rsidR="00856689">
        <w:rPr>
          <w:noProof/>
        </w:rPr>
        <w:t>(Skyrud et al., 2023)</w:t>
      </w:r>
      <w:r w:rsidR="00D078E3">
        <w:fldChar w:fldCharType="end"/>
      </w:r>
      <w:r>
        <w:t>.</w:t>
      </w:r>
    </w:p>
    <w:p w14:paraId="1A4ED37C" w14:textId="77777777" w:rsidR="00D9107F" w:rsidRDefault="00200B24" w:rsidP="003B1E10">
      <w:pPr>
        <w:jc w:val="both"/>
      </w:pPr>
      <w:r>
        <w:t xml:space="preserve">Det er usikkert hva som er grunnen til at antall og andelen fastleger </w:t>
      </w:r>
      <w:r w:rsidR="00A5430F">
        <w:t xml:space="preserve">med </w:t>
      </w:r>
      <w:r>
        <w:t>fastlønnsavtale har økt. En undersøkelse fra Oslo Economics viser at yngre fastleger i mindre grad ønsker å være selvstendig næringsdrivende, og heller ønsker seg ansettelsesforhold, enn sine eldre kollegaer</w:t>
      </w:r>
      <w:r w:rsidR="008A7F4C">
        <w:t xml:space="preserve"> </w:t>
      </w:r>
      <w:r w:rsidR="00D078E3">
        <w:fldChar w:fldCharType="begin"/>
      </w:r>
      <w:r w:rsidR="004654FD">
        <w:instrText xml:space="preserve"> ADDIN EN.CITE &lt;EndNote&gt;&lt;Cite&gt;&lt;Author&gt;Oslo Economics&lt;/Author&gt;&lt;Year&gt;2023&lt;/Year&gt;&lt;RecNum&gt;993&lt;/RecNum&gt;&lt;DisplayText&gt;(Oslo Economics, 2023)&lt;/DisplayText&gt;&lt;record&gt;&lt;rec-number&gt;993&lt;/rec-number&gt;&lt;foreign-keys&gt;&lt;key app="EN" db-id="95tpr2tp6r9xwoea9rb5wdsz5ds5xeddteew" timestamp="1680248682"&gt;993&lt;/key&gt;&lt;/foreign-keys&gt;&lt;ref-type name="Unpublished Work"&gt;34&lt;/ref-type&gt;&lt;contributors&gt;&lt;authors&gt;&lt;author&gt;Oslo Economics, &lt;/author&gt;&lt;/authors&gt;&lt;/contributors&gt;&lt;titles&gt;&lt;title&gt;Foreløpige funn fra evaluering av handlingsplan for allmennlegetjenesten &lt;/title&gt;&lt;/titles&gt;&lt;dates&gt;&lt;year&gt;2023&lt;/year&gt;&lt;/dates&gt;&lt;publisher&gt;Oslo Economics,&lt;/publisher&gt;&lt;urls&gt;&lt;/urls&gt;&lt;/record&gt;&lt;/Cite&gt;&lt;/EndNote&gt;</w:instrText>
      </w:r>
      <w:r w:rsidR="00D078E3">
        <w:fldChar w:fldCharType="separate"/>
      </w:r>
      <w:r w:rsidR="00CE2F35">
        <w:rPr>
          <w:noProof/>
        </w:rPr>
        <w:t>(Oslo Economics, 2023)</w:t>
      </w:r>
      <w:r w:rsidR="00D078E3">
        <w:fldChar w:fldCharType="end"/>
      </w:r>
      <w:r>
        <w:t xml:space="preserve">. En undersøkelse gjort av Legeforskningsinstituttet viser også at viktige faktorer for at leger velger seg bort fra allmennmedisin blant annet er at </w:t>
      </w:r>
      <w:r w:rsidRPr="00D66757">
        <w:t>det er vanskelig å være selvstendig næringsdrivende, at det koster mye å etablere egen praksis</w:t>
      </w:r>
      <w:r w:rsidR="00F745B9">
        <w:t>,</w:t>
      </w:r>
      <w:r w:rsidRPr="00D66757">
        <w:t xml:space="preserve"> og at det er mangel på sosiale rettigheter og trygd</w:t>
      </w:r>
      <w:r w:rsidR="00555A41">
        <w:t xml:space="preserve"> </w:t>
      </w:r>
      <w:r w:rsidR="00A77572">
        <w:fldChar w:fldCharType="begin"/>
      </w:r>
      <w:r w:rsidR="004654FD">
        <w:instrText xml:space="preserve"> ADDIN EN.CITE &lt;EndNote&gt;&lt;Cite&gt;&lt;Author&gt;Birkeli&lt;/Author&gt;&lt;Year&gt;2020&lt;/Year&gt;&lt;RecNum&gt;349&lt;/RecNum&gt;&lt;DisplayText&gt;(Birkeli et al., 2020)&lt;/DisplayText&gt;&lt;record&gt;&lt;rec-number&gt;349&lt;/rec-number&gt;&lt;foreign-keys&gt;&lt;key app="EN" db-id="95tpr2tp6r9xwoea9rb5wdsz5ds5xeddteew" timestamp="1680069511"&gt;349&lt;/key&gt;&lt;/foreign-keys&gt;&lt;ref-type name="Journal Article"&gt;17&lt;/ref-type&gt;&lt;contributors&gt;&lt;authors&gt;&lt;author&gt;Birkeli, Cecilie Normann&lt;/author&gt;&lt;author&gt;Rosta, Judith&lt;/author&gt;&lt;author&gt;Aasland, Olaf Gjerløw&lt;/author&gt;&lt;author&gt;Rø, Karin Isaksson&lt;/author&gt;&lt;/authors&gt;&lt;/contributors&gt;&lt;titles&gt;&lt;title&gt;Hvorfor velger leger seg bort fra allmennmedisin?&lt;/title&gt;&lt;secondary-title&gt;Tidsskrift for den Norske Lægeforening&lt;/secondary-title&gt;&lt;/titles&gt;&lt;dates&gt;&lt;year&gt;2020&lt;/year&gt;&lt;/dates&gt;&lt;isbn&gt;0029-2001&lt;/isbn&gt;&lt;urls&gt;&lt;/urls&gt;&lt;/record&gt;&lt;/Cite&gt;&lt;/EndNote&gt;</w:instrText>
      </w:r>
      <w:r w:rsidR="00A77572">
        <w:fldChar w:fldCharType="separate"/>
      </w:r>
      <w:r w:rsidR="00856689">
        <w:rPr>
          <w:noProof/>
        </w:rPr>
        <w:t>(Birkeli et al., 2020)</w:t>
      </w:r>
      <w:r w:rsidR="00A77572">
        <w:fldChar w:fldCharType="end"/>
      </w:r>
      <w:r>
        <w:t>.</w:t>
      </w:r>
    </w:p>
    <w:p w14:paraId="63B2D880" w14:textId="77777777" w:rsidR="00D9107F" w:rsidRDefault="00200B24" w:rsidP="003B1E10">
      <w:pPr>
        <w:jc w:val="both"/>
      </w:pPr>
      <w:r>
        <w:lastRenderedPageBreak/>
        <w:t>Det har også vært en økning i fastlegelister uten fast lege de siste</w:t>
      </w:r>
      <w:r w:rsidR="00555A41" w:rsidDel="00A45E3B">
        <w:t xml:space="preserve"> </w:t>
      </w:r>
      <w:r w:rsidR="00A45E3B">
        <w:t>årene</w:t>
      </w:r>
      <w:r w:rsidR="00555A41">
        <w:t xml:space="preserve"> </w:t>
      </w:r>
      <w:r w:rsidR="00A77572">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rsidR="00A77572">
        <w:fldChar w:fldCharType="separate"/>
      </w:r>
      <w:r w:rsidR="00B87F6D">
        <w:rPr>
          <w:noProof/>
        </w:rPr>
        <w:t>(Helsedirektoratet, 2022c)</w:t>
      </w:r>
      <w:r w:rsidR="00A77572">
        <w:fldChar w:fldCharType="end"/>
      </w:r>
      <w:r>
        <w:t>. Ubesatte lister skyldes som oftest at en lege som avslutter praksis eller slutter i gjeldende stilling</w:t>
      </w:r>
      <w:r w:rsidR="00A45E3B">
        <w:t>,</w:t>
      </w:r>
      <w:r>
        <w:t xml:space="preserve"> ikke er erstattet av ny lege ved avslutning</w:t>
      </w:r>
      <w:r w:rsidR="009F221B">
        <w:t>. U</w:t>
      </w:r>
      <w:r>
        <w:t xml:space="preserve">besatte lister kan også oppstå når kommunen oppretter </w:t>
      </w:r>
      <w:r w:rsidR="00A05568">
        <w:t xml:space="preserve">en </w:t>
      </w:r>
      <w:r>
        <w:t>ny liste</w:t>
      </w:r>
      <w:r w:rsidR="00F745B9">
        <w:t>,</w:t>
      </w:r>
      <w:r>
        <w:t xml:space="preserve"> som de en</w:t>
      </w:r>
      <w:r w:rsidR="00F745B9">
        <w:t>da</w:t>
      </w:r>
      <w:r>
        <w:t xml:space="preserve"> ikke har rekruttert en fastlege til. </w:t>
      </w:r>
      <w:r w:rsidR="00AF4DB7" w:rsidRPr="00D4569E">
        <w:t>En medvirkende årsak kan også være at gjennomsnittlig listelengde har blitt redusert over år, og derved ført til et behov for flere fastleger.</w:t>
      </w:r>
      <w:r w:rsidR="00AF4DB7" w:rsidRPr="00D9107F">
        <w:rPr>
          <w:rStyle w:val="kursiv"/>
        </w:rPr>
        <w:t xml:space="preserve"> </w:t>
      </w:r>
      <w:r>
        <w:t>Det varierer hvor lang tid det tar før man får på plass en ny lege på ubesatte lister, men andelen listeinnbyggere på lister som har vært ubesatt i mer enn et år</w:t>
      </w:r>
      <w:r w:rsidR="009E07B1">
        <w:t>,</w:t>
      </w:r>
      <w:r>
        <w:t xml:space="preserve"> har økt fra 0,3 prosent i første tertial 2019 til 1 prosent i andre tertial 2022.</w:t>
      </w:r>
    </w:p>
    <w:p w14:paraId="33DB2CB9" w14:textId="77777777" w:rsidR="00D9107F" w:rsidRDefault="00200B24" w:rsidP="003B1E10">
      <w:pPr>
        <w:jc w:val="both"/>
      </w:pPr>
      <w:r>
        <w:t xml:space="preserve">Kommuner </w:t>
      </w:r>
      <w:r w:rsidR="00F745B9">
        <w:t xml:space="preserve">som </w:t>
      </w:r>
      <w:r w:rsidR="00E13E96">
        <w:t>ekspert</w:t>
      </w:r>
      <w:r>
        <w:t>utvalget har vært i kontakt med</w:t>
      </w:r>
      <w:r w:rsidR="00B85823">
        <w:t>,</w:t>
      </w:r>
      <w:r>
        <w:t xml:space="preserve"> har gitt uttrykk for at det </w:t>
      </w:r>
      <w:r w:rsidR="00F745B9">
        <w:t xml:space="preserve">nå </w:t>
      </w:r>
      <w:r>
        <w:t xml:space="preserve">oppleves lettere å rekruttere leger til fastlegeavtaler i faste stillinger enn til næringsdrift, men utvalget har ikke undersøkt om denne oppfatningen er representativ for landets kommuner, og vi er ikke kjent med statistikk som understøtter uttalelsene. </w:t>
      </w:r>
      <w:r w:rsidR="00B3706E">
        <w:t>F</w:t>
      </w:r>
      <w:r w:rsidR="00B3706E" w:rsidRPr="00B3706E">
        <w:t xml:space="preserve">ølgeforskningen av ALIS-Vest og ALIS-Nord prosjektene </w:t>
      </w:r>
      <w:r w:rsidR="00B3706E">
        <w:t>viser også at kommunene opplever god søkning til ALIS-stillinger</w:t>
      </w:r>
      <w:r w:rsidR="005E715B">
        <w:t xml:space="preserve"> </w:t>
      </w:r>
      <w:r w:rsidR="00D078E3">
        <w:fldChar w:fldCharType="begin"/>
      </w:r>
      <w:r w:rsidR="00235862">
        <w:instrText xml:space="preserve"> ADDIN EN.CITE &lt;EndNote&gt;&lt;Cite&gt;&lt;Author&gt;Abelsen&lt;/Author&gt;&lt;Year&gt;2023&lt;/Year&gt;&lt;RecNum&gt;633&lt;/RecNum&gt;&lt;DisplayText&gt;(Abelsen et al., 2023)&lt;/DisplayText&gt;&lt;record&gt;&lt;rec-number&gt;633&lt;/rec-number&gt;&lt;foreign-keys&gt;&lt;key app="EN" db-id="95tpr2tp6r9xwoea9rb5wdsz5ds5xeddteew" timestamp="1680069511"&gt;633&lt;/key&gt;&lt;/foreign-keys&gt;&lt;ref-type name="Report"&gt;27&lt;/ref-type&gt;&lt;contributors&gt;&lt;authors&gt;&lt;author&gt; Abelsen, B., &lt;/author&gt;&lt;author&gt;Fosse, A.,&lt;/author&gt;&lt;author&gt;Brandstorp, H&lt;/author&gt;&lt;/authors&gt;&lt;/contributors&gt;&lt;titles&gt;&lt;title&gt;Pilotprosjektet ALIS-vest: En utprøving av utdanningsstillinger i allmennmedisin. Sluttrapport fra følgeevaluering&lt;/title&gt;&lt;/titles&gt;&lt;dates&gt;&lt;year&gt;2023&lt;/year&gt;&lt;/dates&gt;&lt;pub-location&gt;Tromsø&lt;/pub-location&gt;&lt;publisher&gt;Nasjonalt senter for distriktsmedisin og UiT Norges arktiske universitet&lt;/publisher&gt;&lt;urls&gt;&lt;/urls&gt;&lt;/record&gt;&lt;/Cite&gt;&lt;/EndNote&gt;</w:instrText>
      </w:r>
      <w:r w:rsidR="00D078E3">
        <w:fldChar w:fldCharType="separate"/>
      </w:r>
      <w:r w:rsidR="00856689">
        <w:rPr>
          <w:noProof/>
        </w:rPr>
        <w:t>(Abelsen et al., 2023)</w:t>
      </w:r>
      <w:r w:rsidR="00D078E3">
        <w:fldChar w:fldCharType="end"/>
      </w:r>
      <w:r w:rsidR="00B3706E">
        <w:t xml:space="preserve">. </w:t>
      </w:r>
      <w:r>
        <w:t xml:space="preserve">Sett i sammenheng med funnene i undersøkelsene fra Oslo Economics og Legeforskningsinstituttet, kan dette muligens peke mot at </w:t>
      </w:r>
      <w:r w:rsidR="00B85823">
        <w:t>fast</w:t>
      </w:r>
      <w:r>
        <w:t>leger i større grad enn tidligere ønsker seg ansettelsesforhold.</w:t>
      </w:r>
    </w:p>
    <w:p w14:paraId="55417E4B" w14:textId="77777777" w:rsidR="00D9107F" w:rsidRDefault="00200B24" w:rsidP="003B1E10">
      <w:pPr>
        <w:jc w:val="both"/>
      </w:pPr>
      <w:r>
        <w:t xml:space="preserve">Samtidig er det viktig å påpeke at undersøkelsen fra Oslo Economics også viser at næringsdrivende </w:t>
      </w:r>
      <w:r w:rsidR="00B85823">
        <w:t>fast</w:t>
      </w:r>
      <w:r>
        <w:t>leger i stor grad er fornøyde med driftsformen</w:t>
      </w:r>
      <w:r w:rsidR="003E695A">
        <w:t>,</w:t>
      </w:r>
      <w:r>
        <w:t xml:space="preserve"> og i relativt liten grad ønsker seg over til ansettelse. Selv om selvstendig næringsdrift gir fastlegene mye ansvar, gir denne driftsformen også en frihet til å organisere arbeidshverdagen slik man selv ønsker, herunder mulighet til å organisere egne lokaler og profil på praksisen og de ansatte. </w:t>
      </w:r>
      <w:r w:rsidRPr="00EE4BCE">
        <w:t>Det kan være at barrierene for å starte opp praksis</w:t>
      </w:r>
      <w:r w:rsidR="003E695A">
        <w:t>,</w:t>
      </w:r>
      <w:r w:rsidRPr="00EE4BCE">
        <w:t xml:space="preserve"> og overgangen fra LIS1-stilling eller annen fast stilling til å bli selvstendig næringsdrivende fastlege</w:t>
      </w:r>
      <w:r w:rsidR="003E695A">
        <w:t>,</w:t>
      </w:r>
      <w:r w:rsidRPr="00EE4BCE">
        <w:t xml:space="preserve"> oppleves som høye, mens når praksisen først er etablert</w:t>
      </w:r>
      <w:r w:rsidR="00276274">
        <w:t>,</w:t>
      </w:r>
      <w:r w:rsidRPr="00EE4BCE">
        <w:t xml:space="preserve"> og man er vant til denne måten å arbeide på, er man stort sett fornøyd med driftsformen.</w:t>
      </w:r>
    </w:p>
    <w:p w14:paraId="560ABFDE" w14:textId="77777777" w:rsidR="00D9107F" w:rsidRDefault="00CC3AA7" w:rsidP="003B1E10">
      <w:pPr>
        <w:jc w:val="both"/>
      </w:pPr>
      <w:r>
        <w:t xml:space="preserve">Utover at </w:t>
      </w:r>
      <w:r w:rsidR="005771FA">
        <w:t xml:space="preserve">mange </w:t>
      </w:r>
      <w:r>
        <w:t>lege</w:t>
      </w:r>
      <w:r w:rsidR="005771FA">
        <w:t>r</w:t>
      </w:r>
      <w:r>
        <w:t xml:space="preserve"> selv har ønsket å være selv</w:t>
      </w:r>
      <w:r w:rsidR="6231CBA3">
        <w:t>s</w:t>
      </w:r>
      <w:r>
        <w:t xml:space="preserve">tendig næringsdrivende, er en viktig faktor for hvorfor næringsdrift foretrekkes, at denne modellen er </w:t>
      </w:r>
      <w:r w:rsidR="57E9651B">
        <w:t xml:space="preserve">vurdert som </w:t>
      </w:r>
      <w:r>
        <w:t xml:space="preserve">mer kostnadseffektiv enn ansettelse av leger. </w:t>
      </w:r>
      <w:r w:rsidR="00200B24">
        <w:t xml:space="preserve">Helsedirektoratet </w:t>
      </w:r>
      <w:r>
        <w:t xml:space="preserve">gjennomførte i 2022 en beregning av hva det ville koste dersom alle de næringsdrivende fastlegene skulle gått over til ansettelse i </w:t>
      </w:r>
      <w:r w:rsidR="1B7CEFE8">
        <w:t>kommunen</w:t>
      </w:r>
      <w:r w:rsidR="57E9651B">
        <w:t>e</w:t>
      </w:r>
      <w:r w:rsidR="1B7CEFE8">
        <w:t>.</w:t>
      </w:r>
      <w:r>
        <w:t xml:space="preserve"> De konkluderte med</w:t>
      </w:r>
      <w:r w:rsidR="00200B24">
        <w:t xml:space="preserve"> at det ville medføre kostnader på mellom 4,4 og 11,1 milliarder kroner det første året, </w:t>
      </w:r>
      <w:r w:rsidR="008E5E4F">
        <w:t>og at de fleste kostnadene også ville påløpe hvert år</w:t>
      </w:r>
      <w:r w:rsidR="00555A41">
        <w:t xml:space="preserve"> </w:t>
      </w:r>
      <w:r w:rsidR="00EB17EE">
        <w:fldChar w:fldCharType="begin"/>
      </w:r>
      <w:r w:rsidR="004654FD">
        <w:instrText xml:space="preserve"> ADDIN EN.CITE &lt;EndNote&gt;&lt;Cite&gt;&lt;Author&gt;Helsedirektoratet&lt;/Author&gt;&lt;Year&gt;2022&lt;/Year&gt;&lt;RecNum&gt;66&lt;/RecNum&gt;&lt;DisplayText&gt;(Helsedirektoratet, 2022a)&lt;/DisplayText&gt;&lt;record&gt;&lt;rec-number&gt;66&lt;/rec-number&gt;&lt;foreign-keys&gt;&lt;key app="EN" db-id="95tpr2tp6r9xwoea9rb5wdsz5ds5xeddteew" timestamp="1680069511"&gt;66&lt;/key&gt;&lt;/foreign-keys&gt;&lt;ref-type name="Unpublished Work"&gt;34&lt;/ref-type&gt;&lt;contributors&gt;&lt;authors&gt;&lt;author&gt;Helsedirektoratet&lt;/author&gt;&lt;/authors&gt;&lt;/contributors&gt;&lt;titles&gt;&lt;title&gt;Besvarelse: TTB04_22 Oppdrag knyttet til rekruttering og arbeidsbelastning i allmennlegetjenesten : Deloppdrag 1: Fast ansettelse i kommunehelsetjenesten&lt;/title&gt;&lt;/titles&gt;&lt;dates&gt;&lt;year&gt;2022&lt;/year&gt;&lt;/dates&gt;&lt;publisher&gt;Helsedirektoratet&lt;/publisher&gt;&lt;urls&gt;&lt;/urls&gt;&lt;/record&gt;&lt;/Cite&gt;&lt;/EndNote&gt;</w:instrText>
      </w:r>
      <w:r w:rsidR="00EB17EE">
        <w:fldChar w:fldCharType="separate"/>
      </w:r>
      <w:r w:rsidR="004654FD">
        <w:rPr>
          <w:noProof/>
        </w:rPr>
        <w:t>(Helsedirektoratet, 2022a)</w:t>
      </w:r>
      <w:r w:rsidR="00EB17EE">
        <w:fldChar w:fldCharType="end"/>
      </w:r>
      <w:r w:rsidR="00200B24">
        <w:t xml:space="preserve">. </w:t>
      </w:r>
      <w:r w:rsidR="003E695A">
        <w:t>Samtidig framgår det av rapporten at beregningene er beheftet med en betydelig grad av usikkerhet.</w:t>
      </w:r>
      <w:r w:rsidR="00200B24">
        <w:t xml:space="preserve"> En viktig grunn til at kostnadene ble vurdert å være såpass høye, var knyttet til arbeidstid og måten legene arbeider på de timene de er på jobb. Rapporten viser til at næringsdrivende fastleger i snitt jobber flere arbeidstimer med pasientrettet arbeid per kurative arbeidsdag, og at de i gjennomsnitt har flere prosedyrer per konsultasjon. Dette antas å henge sammen med insentiver som ligger i næringsmodellen</w:t>
      </w:r>
      <w:r w:rsidR="57E9651B">
        <w:t>,</w:t>
      </w:r>
      <w:r w:rsidR="00200B24">
        <w:t xml:space="preserve"> og at de ansatte legene har </w:t>
      </w:r>
      <w:r w:rsidR="00051B49">
        <w:t xml:space="preserve">større innslag </w:t>
      </w:r>
      <w:r w:rsidR="00051B49">
        <w:lastRenderedPageBreak/>
        <w:t xml:space="preserve">av </w:t>
      </w:r>
      <w:r w:rsidR="00200B24">
        <w:t>andre arbeidsoppgaver i kommunen, herunder legevakt</w:t>
      </w:r>
      <w:r w:rsidR="003E695A">
        <w:t>, allmennlegeoppgaver og kommun</w:t>
      </w:r>
      <w:r w:rsidR="00DD7489">
        <w:t>e</w:t>
      </w:r>
      <w:r w:rsidR="003E695A">
        <w:t>legearbeid</w:t>
      </w:r>
      <w:r w:rsidR="00200B24">
        <w:t>.</w:t>
      </w:r>
    </w:p>
    <w:p w14:paraId="541FB5D7" w14:textId="4C96F390" w:rsidR="00200B24" w:rsidRDefault="00200B24" w:rsidP="003B1E10">
      <w:pPr>
        <w:jc w:val="both"/>
      </w:pPr>
      <w:r>
        <w:t xml:space="preserve">Arbeidsmiljøloven gjelder ikke for selvstendige næringsdrivende, </w:t>
      </w:r>
      <w:r w:rsidR="6F136389">
        <w:t>så</w:t>
      </w:r>
      <w:r>
        <w:t xml:space="preserve"> lovens bestemmelser om arbeidstid </w:t>
      </w:r>
      <w:r w:rsidR="6F136389">
        <w:t xml:space="preserve">er </w:t>
      </w:r>
      <w:r>
        <w:t>ikke til hinder for at selvstendig næringsdrivende fastleger jobber mer enn hovedregelen på 40 timer i løpet av sju dager</w:t>
      </w:r>
      <w:r w:rsidR="00A16CAC">
        <w:t xml:space="preserve"> </w:t>
      </w:r>
      <w:r w:rsidR="00A16CAC">
        <w:fldChar w:fldCharType="begin"/>
      </w:r>
      <w:r w:rsidR="00D078E3">
        <w:instrText xml:space="preserve"> ADDIN EN.CITE &lt;EndNote&gt;&lt;Cite ExcludeAuth="1"&gt;&lt;Year&gt;2005&lt;/Year&gt;&lt;RecNum&gt;459&lt;/RecNum&gt;&lt;DisplayText&gt;(&lt;style face="italic"&gt;Lov om arbeidsmiljø, arbeidstid og stillingsvern mv. (arbeidsmiljøloven)&lt;/style&gt;, 2005)&lt;/DisplayText&gt;&lt;record&gt;&lt;rec-number&gt;459&lt;/rec-number&gt;&lt;foreign-keys&gt;&lt;key app="EN" db-id="95tpr2tp6r9xwoea9rb5wdsz5ds5xeddteew" timestamp="1680069511"&gt;459&lt;/key&gt;&lt;/foreign-keys&gt;&lt;ref-type name="Legal Rule or Regulation"&gt;50&lt;/ref-type&gt;&lt;contributors&gt;&lt;/contributors&gt;&lt;titles&gt;&lt;title&gt;Lov om arbeidsmiljø, arbeidstid og stillingsvern mv. (arbeidsmiljøloven)&lt;/title&gt;&lt;secondary-title&gt;LOV-1977-02-04-4&lt;/secondary-title&gt;&lt;/titles&gt;&lt;edition&gt;LOV-2005-06-17-62&lt;/edition&gt;&lt;dates&gt;&lt;year&gt;2005&lt;/year&gt;&lt;/dates&gt;&lt;urls&gt;&lt;related-urls&gt;&lt;url&gt;https://lovdata.no/dokument/NL/lov/2005-06-17-62&lt;/url&gt;&lt;/related-urls&gt;&lt;/urls&gt;&lt;/record&gt;&lt;/Cite&gt;&lt;/EndNote&gt;</w:instrText>
      </w:r>
      <w:r w:rsidR="00A16CAC">
        <w:fldChar w:fldCharType="separate"/>
      </w:r>
      <w:r w:rsidR="00D078E3">
        <w:rPr>
          <w:noProof/>
        </w:rPr>
        <w:t>(</w:t>
      </w:r>
      <w:r w:rsidR="00D078E3" w:rsidRPr="00D9107F">
        <w:rPr>
          <w:rStyle w:val="kursiv"/>
        </w:rPr>
        <w:t>Lov om arbeidsmiljø, arbeidstid og stillingsvern mv. (arbeidsmiljøloven)</w:t>
      </w:r>
      <w:r w:rsidR="00D078E3">
        <w:rPr>
          <w:noProof/>
        </w:rPr>
        <w:t>, 2005)</w:t>
      </w:r>
      <w:r w:rsidR="00A16CAC">
        <w:fldChar w:fldCharType="end"/>
      </w:r>
      <w:r>
        <w:t xml:space="preserve">. For kommunalt ansatte fastleger </w:t>
      </w:r>
      <w:r w:rsidR="00213AD9">
        <w:t>setter</w:t>
      </w:r>
      <w:r>
        <w:t xml:space="preserve"> </w:t>
      </w:r>
      <w:r w:rsidR="00A86EB7">
        <w:t>i utgangspunktet</w:t>
      </w:r>
      <w:r>
        <w:t xml:space="preserve"> arbeidsmiljøloven begrensninger </w:t>
      </w:r>
      <w:r w:rsidR="003E695A">
        <w:t>for</w:t>
      </w:r>
      <w:r>
        <w:t xml:space="preserve"> hvor mye det er lov for legene å arbeide</w:t>
      </w:r>
      <w:r w:rsidR="00EA0793">
        <w:t>, med mindre fastlegene kan anses å ha en ledende eller særlig uavhengig stilling</w:t>
      </w:r>
      <w:r>
        <w:t xml:space="preserve">. Helsedirektoratets utredning fra 2022 har estimert et behov for mellom 1,3 og 1,6 ansatte leger per næringsdrivende fastlege, fordi ansatte leger vil ha kortere arbeidstid og </w:t>
      </w:r>
      <w:r w:rsidR="00436A8C">
        <w:t xml:space="preserve">annen </w:t>
      </w:r>
      <w:r>
        <w:t>arbeidsform</w:t>
      </w:r>
      <w:r w:rsidR="00A16CAC">
        <w:t xml:space="preserve"> </w:t>
      </w:r>
      <w:r w:rsidR="00EB17EE">
        <w:fldChar w:fldCharType="begin"/>
      </w:r>
      <w:r w:rsidR="004654FD">
        <w:instrText xml:space="preserve"> ADDIN EN.CITE &lt;EndNote&gt;&lt;Cite&gt;&lt;Author&gt;Helsedirektoratet&lt;/Author&gt;&lt;Year&gt;2022&lt;/Year&gt;&lt;RecNum&gt;66&lt;/RecNum&gt;&lt;DisplayText&gt;(Helsedirektoratet, 2022a)&lt;/DisplayText&gt;&lt;record&gt;&lt;rec-number&gt;66&lt;/rec-number&gt;&lt;foreign-keys&gt;&lt;key app="EN" db-id="95tpr2tp6r9xwoea9rb5wdsz5ds5xeddteew" timestamp="1680069511"&gt;66&lt;/key&gt;&lt;/foreign-keys&gt;&lt;ref-type name="Unpublished Work"&gt;34&lt;/ref-type&gt;&lt;contributors&gt;&lt;authors&gt;&lt;author&gt;Helsedirektoratet&lt;/author&gt;&lt;/authors&gt;&lt;/contributors&gt;&lt;titles&gt;&lt;title&gt;Besvarelse: TTB04_22 Oppdrag knyttet til rekruttering og arbeidsbelastning i allmennlegetjenesten : Deloppdrag 1: Fast ansettelse i kommunehelsetjenesten&lt;/title&gt;&lt;/titles&gt;&lt;dates&gt;&lt;year&gt;2022&lt;/year&gt;&lt;/dates&gt;&lt;publisher&gt;Helsedirektoratet&lt;/publisher&gt;&lt;urls&gt;&lt;/urls&gt;&lt;/record&gt;&lt;/Cite&gt;&lt;/EndNote&gt;</w:instrText>
      </w:r>
      <w:r w:rsidR="00EB17EE">
        <w:fldChar w:fldCharType="separate"/>
      </w:r>
      <w:r w:rsidR="004654FD">
        <w:rPr>
          <w:noProof/>
        </w:rPr>
        <w:t>(Helsedirektoratet, 2022a)</w:t>
      </w:r>
      <w:r w:rsidR="00EB17EE">
        <w:fldChar w:fldCharType="end"/>
      </w:r>
      <w:r>
        <w:t>.</w:t>
      </w:r>
    </w:p>
    <w:p w14:paraId="5F8FE30D" w14:textId="3EE00D9E" w:rsidR="00200B24" w:rsidRPr="004D692A" w:rsidRDefault="00200B24" w:rsidP="003B1E10">
      <w:pPr>
        <w:jc w:val="both"/>
      </w:pPr>
      <w:r>
        <w:t>Samtidig er det tydelig at arbeidsbelastningen for fastlegene er for stor, og at det er nødvendig å øke kapasiteten i fastlegeordningen for å redusere belastningen på den enkelte fastlege og gjøre yrket mer attraktivt. Dersom de næringsdrivende fastlegene skulle redusert arbeidstiden sin i samsvar med arbeidsmiljølovens grenser, vil det også være behov for vesentlig flere fastleger.</w:t>
      </w:r>
    </w:p>
    <w:p w14:paraId="5068B9DC" w14:textId="77777777" w:rsidR="00D9107F" w:rsidRDefault="006C085D" w:rsidP="00115AA9">
      <w:pPr>
        <w:jc w:val="both"/>
      </w:pPr>
      <w:r w:rsidRPr="00CB0A4D">
        <w:t xml:space="preserve">Det er nødvendig å stille spørsmål om hvordan </w:t>
      </w:r>
      <w:r w:rsidR="00D5015E" w:rsidRPr="00CB0A4D">
        <w:rPr>
          <w:color w:val="000000" w:themeColor="text1"/>
        </w:rPr>
        <w:t xml:space="preserve">organiseringen og finansiering av fastlegeordningen </w:t>
      </w:r>
      <w:r w:rsidRPr="00CB0A4D">
        <w:rPr>
          <w:color w:val="000000" w:themeColor="text1"/>
        </w:rPr>
        <w:t xml:space="preserve">kan </w:t>
      </w:r>
      <w:r w:rsidR="00D5015E" w:rsidRPr="00CB0A4D">
        <w:t>tilpasses</w:t>
      </w:r>
      <w:r w:rsidRPr="00CB0A4D">
        <w:t xml:space="preserve"> leger som ønsker </w:t>
      </w:r>
      <w:r w:rsidR="00FA7DCF" w:rsidRPr="00CB0A4D">
        <w:t xml:space="preserve">noe </w:t>
      </w:r>
      <w:r w:rsidR="003E695A" w:rsidRPr="00CB0A4D">
        <w:t xml:space="preserve">mer </w:t>
      </w:r>
      <w:r w:rsidR="00FA7DCF" w:rsidRPr="00CB0A4D">
        <w:t xml:space="preserve">av </w:t>
      </w:r>
      <w:r w:rsidRPr="00CB0A4D">
        <w:t xml:space="preserve">tryggheten </w:t>
      </w:r>
      <w:r w:rsidR="00FA7DCF" w:rsidRPr="00CB0A4D">
        <w:t>og fordelene</w:t>
      </w:r>
      <w:r w:rsidRPr="00CB0A4D">
        <w:t xml:space="preserve"> som et ansettelsesforhold gir, herunder</w:t>
      </w:r>
      <w:r w:rsidR="00BE6245">
        <w:t xml:space="preserve"> </w:t>
      </w:r>
      <w:r w:rsidR="00BE6245" w:rsidRPr="00CB0A4D">
        <w:t>lavere arbeidsbelastning,</w:t>
      </w:r>
      <w:r w:rsidRPr="00CB0A4D">
        <w:t xml:space="preserve"> samtidig som modellen </w:t>
      </w:r>
      <w:r w:rsidR="003E695A" w:rsidRPr="00CB0A4D">
        <w:t>fortsatt</w:t>
      </w:r>
      <w:r w:rsidRPr="00CB0A4D">
        <w:t xml:space="preserve"> bidrar til en kostnadseffektiv og bærekraftig utvikling av fastlegetjenesten.</w:t>
      </w:r>
    </w:p>
    <w:p w14:paraId="422D324E" w14:textId="77777777" w:rsidR="00D9107F" w:rsidRDefault="00041024" w:rsidP="00115AA9">
      <w:pPr>
        <w:jc w:val="both"/>
      </w:pPr>
      <w:r w:rsidRPr="004566A7">
        <w:t xml:space="preserve">Når næringsdrivende fastleger er </w:t>
      </w:r>
      <w:r w:rsidR="009731B3" w:rsidRPr="004566A7">
        <w:t>tett innve</w:t>
      </w:r>
      <w:r w:rsidR="009731B3">
        <w:t>vde</w:t>
      </w:r>
      <w:r w:rsidRPr="004566A7">
        <w:t xml:space="preserve"> i kommunens virksomhet, eller når fastleger som er ansatt i kommunen også har tunge innslag av næringsdrift i sine fastlegeoppgaver, vil det kunne oppstå spørsmål knyttet til om det egentlig foreligger et fast ansettelsesforhold eller om deler av aktiviteten ikke egentlig inngår i ansettelsesforholdet. Uklarheter rundt slike forhold kan bli en stor belastning, særlig dersom en part feilaktig har tilpasset seg det man trodde var situasjonen. Det er derfor viktig at grenseoppgangene</w:t>
      </w:r>
      <w:r w:rsidR="00A753F1" w:rsidRPr="004566A7">
        <w:t xml:space="preserve"> mellom det å være næringsdrivende og det å være arbeidstaker, med tilhørende plikter og rettigheter, </w:t>
      </w:r>
      <w:r w:rsidRPr="004566A7">
        <w:t>er klare.</w:t>
      </w:r>
    </w:p>
    <w:p w14:paraId="110B78A1" w14:textId="5CAF0A5B" w:rsidR="00DD58D6" w:rsidRDefault="00DD58D6" w:rsidP="00775632">
      <w:pPr>
        <w:pStyle w:val="Overskrift3"/>
      </w:pPr>
      <w:bookmarkStart w:id="1039" w:name="_Toc130763780"/>
      <w:bookmarkStart w:id="1040" w:name="_Toc130766675"/>
      <w:bookmarkStart w:id="1041" w:name="_Toc130932075"/>
      <w:bookmarkStart w:id="1042" w:name="_Toc130934366"/>
      <w:bookmarkStart w:id="1043" w:name="_Toc130983419"/>
      <w:bookmarkStart w:id="1044" w:name="_Toc130983768"/>
      <w:bookmarkStart w:id="1045" w:name="_Toc131062100"/>
      <w:bookmarkStart w:id="1046" w:name="_Toc131062354"/>
      <w:bookmarkStart w:id="1047" w:name="_Toc131062615"/>
      <w:bookmarkStart w:id="1048" w:name="_Toc131062868"/>
      <w:bookmarkStart w:id="1049" w:name="_Toc131063636"/>
      <w:bookmarkStart w:id="1050" w:name="_Toc131064056"/>
      <w:bookmarkStart w:id="1051" w:name="_Toc131238346"/>
      <w:bookmarkStart w:id="1052" w:name="_Toc131279376"/>
      <w:bookmarkStart w:id="1053" w:name="_Toc131286788"/>
      <w:bookmarkStart w:id="1054" w:name="_Toc131281198"/>
      <w:bookmarkStart w:id="1055" w:name="_Toc131317737"/>
      <w:bookmarkStart w:id="1056" w:name="_Toc132536941"/>
      <w:r>
        <w:t>Varighet av fastlegeavtaler</w:t>
      </w:r>
      <w:r w:rsidR="004878B9">
        <w:t xml:space="preserve"> og eldre fastleger</w:t>
      </w:r>
      <w:r w:rsidR="009C2551">
        <w:t>s</w:t>
      </w:r>
      <w:r w:rsidR="004878B9">
        <w:t xml:space="preserve"> mulighet til å stå i arbeid</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29568017" w14:textId="15FA2782" w:rsidR="006867D9" w:rsidRDefault="00650F39" w:rsidP="00333BD6">
      <w:pPr>
        <w:jc w:val="both"/>
      </w:pPr>
      <w:r w:rsidRPr="00650F39">
        <w:t xml:space="preserve">Kommunen og legen kan </w:t>
      </w:r>
      <w:r>
        <w:t xml:space="preserve">gjensidig </w:t>
      </w:r>
      <w:r w:rsidRPr="00650F39">
        <w:t>si opp</w:t>
      </w:r>
      <w:r>
        <w:t xml:space="preserve"> fastlege</w:t>
      </w:r>
      <w:r w:rsidRPr="00650F39">
        <w:t>avtalen med en frist på seks måneder</w:t>
      </w:r>
      <w:r>
        <w:t xml:space="preserve">, jf. fastlegeforskriften </w:t>
      </w:r>
      <w:r w:rsidR="00D9107F">
        <w:t>§ 3</w:t>
      </w:r>
      <w:r w:rsidR="003F784A">
        <w:t>2</w:t>
      </w:r>
      <w:r w:rsidR="00CC74A2">
        <w:t xml:space="preserve">. </w:t>
      </w:r>
      <w:r w:rsidR="005C0E00">
        <w:t>Kommunen kan kun si opp avtalen dersom oppsigelsen er saklig begrunnet</w:t>
      </w:r>
      <w:r w:rsidR="003F784A">
        <w:t>, som skal forstås på samme måte som vernet mot usaklig oppsigelse etter arbeidsmiljøloven</w:t>
      </w:r>
      <w:r w:rsidR="00CC74A2">
        <w:t>.</w:t>
      </w:r>
    </w:p>
    <w:p w14:paraId="1C5C51A1" w14:textId="49AEDABA" w:rsidR="00837F4C" w:rsidRDefault="00D13D5C" w:rsidP="00333BD6">
      <w:pPr>
        <w:jc w:val="both"/>
      </w:pPr>
      <w:r>
        <w:t xml:space="preserve">Dersom avtalen ikke sies opp, </w:t>
      </w:r>
      <w:r w:rsidR="00CA5CF4">
        <w:t>opphører den i utgangspunktet</w:t>
      </w:r>
      <w:r w:rsidR="00837F4C">
        <w:t xml:space="preserve"> når legen fyller 70 år. Kommunen og legen kan imidlertid inngå en tidsbegrenset avtale om videre drift av fastlegevirksomheten, men da ikke lenger enn til legen fyller 75 år. Autorisasjon som helsepersonell</w:t>
      </w:r>
      <w:r w:rsidR="00D219BE">
        <w:t>,</w:t>
      </w:r>
      <w:r w:rsidR="00837F4C">
        <w:t xml:space="preserve"> faller imidlertid </w:t>
      </w:r>
      <w:r w:rsidR="00837F4C">
        <w:lastRenderedPageBreak/>
        <w:t xml:space="preserve">ikke bort før vedkommende fyller 80 år, og det kan gis lisens og spesialistgodkjenning for helsepersonell også over 80 år, jf. helsepersonelloven </w:t>
      </w:r>
      <w:r w:rsidR="00D9107F">
        <w:t>§ 5</w:t>
      </w:r>
      <w:r w:rsidR="00837F4C">
        <w:t>4</w:t>
      </w:r>
      <w:r w:rsidR="001B30A4">
        <w:t xml:space="preserve"> </w:t>
      </w:r>
      <w:r w:rsidR="00D078E3">
        <w:fldChar w:fldCharType="begin"/>
      </w:r>
      <w:r w:rsidR="00D078E3">
        <w:instrText xml:space="preserve"> ADDIN EN.CITE &lt;EndNote&gt;&lt;Cite ExcludeAuth="1"&gt;&lt;Year&gt;2001&lt;/Year&gt;&lt;RecNum&gt;467&lt;/RecNum&gt;&lt;DisplayText&gt;(&lt;style face="italic"&gt;Lov om helsepersonell m.v. (helsepersonelloven)&lt;/style&gt;, 2001)&lt;/DisplayText&gt;&lt;record&gt;&lt;rec-number&gt;467&lt;/rec-number&gt;&lt;foreign-keys&gt;&lt;key app="EN" db-id="95tpr2tp6r9xwoea9rb5wdsz5ds5xeddteew" timestamp="1680069511"&gt;467&lt;/key&gt;&lt;/foreign-keys&gt;&lt;ref-type name="Legal Rule or Regulation"&gt;50&lt;/ref-type&gt;&lt;contributors&gt;&lt;/contributors&gt;&lt;titles&gt;&lt;title&gt;Lov om helsepersonell m.v. (helsepersonelloven)&lt;/title&gt;&lt;secondary-title&gt;LOV-1999-07-02-64&lt;/secondary-title&gt;&lt;/titles&gt;&lt;edition&gt;LOV-2022-12-20-115&lt;/edition&gt;&lt;dates&gt;&lt;year&gt;2001&lt;/year&gt;&lt;/dates&gt;&lt;urls&gt;&lt;related-urls&gt;&lt;url&gt;https://lovdata.no/dokument/NL/lov/1999-07-02-64&lt;/url&gt;&lt;/related-urls&gt;&lt;/urls&gt;&lt;/record&gt;&lt;/Cite&gt;&lt;/EndNote&gt;</w:instrText>
      </w:r>
      <w:r w:rsidR="00D078E3">
        <w:fldChar w:fldCharType="separate"/>
      </w:r>
      <w:r w:rsidR="00D078E3">
        <w:rPr>
          <w:noProof/>
        </w:rPr>
        <w:t>(</w:t>
      </w:r>
      <w:r w:rsidR="00D078E3" w:rsidRPr="00D9107F">
        <w:rPr>
          <w:rStyle w:val="kursiv"/>
        </w:rPr>
        <w:t>Lov om helsepersonell m.v. (helsepersonelloven)</w:t>
      </w:r>
      <w:r w:rsidR="00D078E3">
        <w:rPr>
          <w:noProof/>
        </w:rPr>
        <w:t>, 2001)</w:t>
      </w:r>
      <w:r w:rsidR="00D078E3">
        <w:fldChar w:fldCharType="end"/>
      </w:r>
      <w:r w:rsidR="00837F4C">
        <w:t>.</w:t>
      </w:r>
    </w:p>
    <w:p w14:paraId="1C02A49E" w14:textId="77777777" w:rsidR="00D9107F" w:rsidRDefault="00837F4C" w:rsidP="00333BD6">
      <w:pPr>
        <w:jc w:val="both"/>
      </w:pPr>
      <w:r>
        <w:t xml:space="preserve">Aldersgrensen for bortfall av autorisasjon ble økt fra 75 til 80 år i 2015. Begrunnelsen for økningen var blant annet knyttet til en økende andel eldre i befolkningen og at de fleste lever lenger med god funksjonsevne enn før </w:t>
      </w:r>
      <w:r w:rsidR="00E94EA5">
        <w:fldChar w:fldCharType="begin"/>
      </w:r>
      <w:r w:rsidR="004654FD">
        <w:instrText xml:space="preserve"> ADDIN EN.CITE &lt;EndNote&gt;&lt;Cite&gt;&lt;Author&gt;Kunnskapsdepartementet&lt;/Author&gt;&lt;Year&gt;2022&lt;/Year&gt;&lt;RecNum&gt;200&lt;/RecNum&gt;&lt;DisplayText&gt;(Kunnskapsdepartementet, 2022)&lt;/DisplayText&gt;&lt;record&gt;&lt;rec-number&gt;200&lt;/rec-number&gt;&lt;foreign-keys&gt;&lt;key app="EN" db-id="95tpr2tp6r9xwoea9rb5wdsz5ds5xeddteew" timestamp="1680069511"&gt;200&lt;/key&gt;&lt;/foreign-keys&gt;&lt;ref-type name="Report"&gt;27&lt;/ref-type&gt;&lt;contributors&gt;&lt;authors&gt;&lt;author&gt;Kunnskapsdepartementet&lt;/author&gt;&lt;/authors&gt;&lt;/contributors&gt;&lt;titles&gt;&lt;title&gt;Endringer i opplæringsloven, universitets- og høyskoleloven og fagskoleloven (endring av NOKUTs oppgaver, studentrettigheter mv.)&lt;/title&gt;&lt;/titles&gt;&lt;number&gt;Prop. 74 L (2021–2022)&lt;/number&gt;&lt;dates&gt;&lt;year&gt;2022&lt;/year&gt;&lt;/dates&gt;&lt;pub-location&gt;Oslo&lt;/pub-location&gt;&lt;publisher&gt;Kunnskapsdepartementet&lt;/publisher&gt;&lt;urls&gt;&lt;/urls&gt;&lt;/record&gt;&lt;/Cite&gt;&lt;/EndNote&gt;</w:instrText>
      </w:r>
      <w:r w:rsidR="00E94EA5">
        <w:fldChar w:fldCharType="separate"/>
      </w:r>
      <w:r w:rsidR="00E94EA5">
        <w:rPr>
          <w:noProof/>
        </w:rPr>
        <w:t>(Kunnskapsdepartementet, 2022)</w:t>
      </w:r>
      <w:r w:rsidR="00E94EA5">
        <w:fldChar w:fldCharType="end"/>
      </w:r>
      <w:r>
        <w:t>. Aldersgrensen for opphør av fastlegeavtalen ble imidlertid ikke hevet i forbindelse med endringene i helsepersonelloven.</w:t>
      </w:r>
    </w:p>
    <w:p w14:paraId="4BED813A" w14:textId="2F3EEC79" w:rsidR="00837F4C" w:rsidRDefault="00837F4C" w:rsidP="00333BD6">
      <w:pPr>
        <w:jc w:val="both"/>
      </w:pPr>
      <w:r>
        <w:t>Både den enkeltes livskvalitet og hensynet til et bærekraftig samfunn tilsier en utvikling der det legges til rette for, og stimuleres til, økt deltakelse i arbeids- og samfunnslivet for eldre mennesker. Rekrutteringsutfordringene i dagens fastlegeordning kan tilsi at det bør stimuleres til at eldre fastleger får mulighet til å stå i yrket lenger enn til fylte 75 år, forutsatt at de er friske, velfungerende og i stand til å utføre oppgavene i en fastlegevirksomhet på en forsvarlig måte. Utfordringene</w:t>
      </w:r>
      <w:r w:rsidR="006867D9">
        <w:t xml:space="preserve"> som</w:t>
      </w:r>
      <w:r>
        <w:t xml:space="preserve"> helse- og omsorgstjenesten vil stå overfor i tiden fr</w:t>
      </w:r>
      <w:r w:rsidR="006867D9">
        <w:t>a</w:t>
      </w:r>
      <w:r>
        <w:t>mover understreker behovet for å benytte de ressursene vi har på en god og effektiv måte</w:t>
      </w:r>
      <w:r w:rsidR="006867D9">
        <w:t>,</w:t>
      </w:r>
      <w:r>
        <w:t xml:space="preserve"> og ikke ilegge begrensninger på yrkesutøvelse uten at det er faglig gode grunner for det. Eldre leger, med sin erfaring og kunnskap, utgjør en stor ressurs som det </w:t>
      </w:r>
      <w:r w:rsidR="00FA7DCF">
        <w:t xml:space="preserve">dermed </w:t>
      </w:r>
      <w:r>
        <w:t xml:space="preserve">kan være nødvendig </w:t>
      </w:r>
      <w:r w:rsidR="006867D9">
        <w:t xml:space="preserve">og riktig </w:t>
      </w:r>
      <w:r>
        <w:t>å nyttiggjøre seg av.</w:t>
      </w:r>
    </w:p>
    <w:p w14:paraId="6440B90B" w14:textId="77777777" w:rsidR="00D9107F" w:rsidRDefault="00837F4C" w:rsidP="00534828">
      <w:pPr>
        <w:jc w:val="both"/>
      </w:pPr>
      <w:r>
        <w:t xml:space="preserve">Fastlegevirksomhet er krevende arbeid, der bred og oppdatert kunnskap, godt faglig skjønn og høy funksjonsgrad er nødvendig for å kunne yte gode og forsvarlige tjenester til listeinnbyggerne. Dersom fastleger skal få stå i yrket lenger, vil det være viktig å tilpasse arbeidssituasjonen slik at forsvarligheten ivaretas. </w:t>
      </w:r>
      <w:r w:rsidR="00E40E2F">
        <w:t>Ekspertu</w:t>
      </w:r>
      <w:r w:rsidR="00534828" w:rsidRPr="00534828">
        <w:t>tvalget mener derfor</w:t>
      </w:r>
      <w:r w:rsidR="0042015D">
        <w:t xml:space="preserve"> at leger ikke bør kunne </w:t>
      </w:r>
      <w:r w:rsidR="009E1397">
        <w:t xml:space="preserve">ha egen fastlegehjemmel etter fylte 75 år. </w:t>
      </w:r>
      <w:r w:rsidR="000E2DBF">
        <w:t>Det kan imid</w:t>
      </w:r>
      <w:r w:rsidR="5A68F410">
        <w:t>l</w:t>
      </w:r>
      <w:r w:rsidR="000E2DBF">
        <w:t>ertid tilrettelegges for at legen kan arbeide redusert</w:t>
      </w:r>
      <w:r w:rsidR="006867D9">
        <w:t>,</w:t>
      </w:r>
      <w:r w:rsidR="000E2DBF">
        <w:t xml:space="preserve"> eller som vikar på en annen leges liste.</w:t>
      </w:r>
      <w:r>
        <w:t xml:space="preserve"> Det vil fortsatt være nødvendig å gjøre individuelle vurderinger av om den enkelte lege er egnet til å stå i arbeid lenger. </w:t>
      </w:r>
      <w:r w:rsidR="00534828" w:rsidRPr="00534828">
        <w:t>Det vil måtte påligge både</w:t>
      </w:r>
      <w:r>
        <w:t xml:space="preserve"> legen selv</w:t>
      </w:r>
      <w:r w:rsidR="004878B9">
        <w:t>, legens eventuelle leder</w:t>
      </w:r>
      <w:r>
        <w:t xml:space="preserve"> og kommunen </w:t>
      </w:r>
      <w:r w:rsidR="00534828" w:rsidRPr="00534828">
        <w:t>et særlig</w:t>
      </w:r>
      <w:r>
        <w:t xml:space="preserve"> ansvar for å sørge for at den helsehjelpen som ytes i fastlegevirksomheten er faglig forsvarlig</w:t>
      </w:r>
      <w:r w:rsidR="004878B9">
        <w:t>, og at personellet som yter helsehjelpen</w:t>
      </w:r>
      <w:r w:rsidR="00600EA8">
        <w:t>,</w:t>
      </w:r>
      <w:r w:rsidR="004878B9">
        <w:t xml:space="preserve"> er skikket til å gjøre dette</w:t>
      </w:r>
      <w:r>
        <w:t>.</w:t>
      </w:r>
    </w:p>
    <w:p w14:paraId="2C72940A" w14:textId="77777777" w:rsidR="00D9107F" w:rsidRPr="00783F3E" w:rsidRDefault="00315346" w:rsidP="00775632">
      <w:pPr>
        <w:pStyle w:val="Overskrift2"/>
      </w:pPr>
      <w:bookmarkStart w:id="1057" w:name="_Toc131281764"/>
      <w:bookmarkStart w:id="1058" w:name="_Toc131281766"/>
      <w:bookmarkStart w:id="1059" w:name="_Toc130763781"/>
      <w:bookmarkStart w:id="1060" w:name="_Toc130766676"/>
      <w:bookmarkStart w:id="1061" w:name="_Toc130932076"/>
      <w:bookmarkStart w:id="1062" w:name="_Toc130934367"/>
      <w:bookmarkStart w:id="1063" w:name="_Toc130983420"/>
      <w:bookmarkStart w:id="1064" w:name="_Toc130983769"/>
      <w:bookmarkStart w:id="1065" w:name="_Toc131062101"/>
      <w:bookmarkStart w:id="1066" w:name="_Toc131062355"/>
      <w:bookmarkStart w:id="1067" w:name="_Toc131062616"/>
      <w:bookmarkStart w:id="1068" w:name="_Toc131062869"/>
      <w:bookmarkStart w:id="1069" w:name="_Toc131063637"/>
      <w:bookmarkStart w:id="1070" w:name="_Toc131064057"/>
      <w:bookmarkStart w:id="1071" w:name="_Toc131238347"/>
      <w:bookmarkStart w:id="1072" w:name="_Toc131279377"/>
      <w:bookmarkStart w:id="1073" w:name="_Toc131286789"/>
      <w:bookmarkStart w:id="1074" w:name="_Toc131281199"/>
      <w:bookmarkStart w:id="1075" w:name="_Toc131317738"/>
      <w:bookmarkStart w:id="1076" w:name="_Toc132536942"/>
      <w:bookmarkStart w:id="1077" w:name="_Toc124796268"/>
      <w:bookmarkStart w:id="1078" w:name="_Toc126834330"/>
      <w:bookmarkStart w:id="1079" w:name="_Toc127633202"/>
      <w:bookmarkStart w:id="1080" w:name="_Toc127864488"/>
      <w:bookmarkStart w:id="1081" w:name="_Toc128238491"/>
      <w:bookmarkStart w:id="1082" w:name="_Toc128741971"/>
      <w:bookmarkStart w:id="1083" w:name="_Toc128744566"/>
      <w:bookmarkStart w:id="1084" w:name="_Toc128744785"/>
      <w:bookmarkStart w:id="1085" w:name="_Toc129630283"/>
      <w:r w:rsidRPr="00783F3E">
        <w:t>Organisering av det som tilsvarer fastlegetjenesten i andre</w:t>
      </w:r>
      <w:bookmarkEnd w:id="1057"/>
      <w:bookmarkEnd w:id="1058"/>
      <w:r w:rsidRPr="00783F3E">
        <w:t xml:space="preserve"> land</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779443F8" w14:textId="2C71FFE4" w:rsidR="00841875" w:rsidRPr="0070261A" w:rsidRDefault="00AD238A" w:rsidP="00775632">
      <w:pPr>
        <w:pStyle w:val="Overskrift3"/>
      </w:pPr>
      <w:bookmarkStart w:id="1086" w:name="_Toc129630274"/>
      <w:bookmarkStart w:id="1087" w:name="_Toc129962167"/>
      <w:bookmarkStart w:id="1088" w:name="_Toc130154236"/>
      <w:bookmarkStart w:id="1089" w:name="_Toc130490052"/>
      <w:bookmarkStart w:id="1090" w:name="_Toc127138792"/>
      <w:bookmarkStart w:id="1091" w:name="_Toc130763782"/>
      <w:bookmarkStart w:id="1092" w:name="_Toc130766677"/>
      <w:bookmarkStart w:id="1093" w:name="_Toc130932077"/>
      <w:bookmarkStart w:id="1094" w:name="_Toc130934368"/>
      <w:bookmarkStart w:id="1095" w:name="_Toc130983421"/>
      <w:bookmarkStart w:id="1096" w:name="_Toc130983770"/>
      <w:bookmarkStart w:id="1097" w:name="_Toc131062102"/>
      <w:bookmarkStart w:id="1098" w:name="_Toc131062356"/>
      <w:bookmarkStart w:id="1099" w:name="_Toc131062617"/>
      <w:bookmarkStart w:id="1100" w:name="_Toc131062870"/>
      <w:bookmarkStart w:id="1101" w:name="_Toc131063638"/>
      <w:bookmarkStart w:id="1102" w:name="_Toc131064058"/>
      <w:bookmarkStart w:id="1103" w:name="_Toc131238348"/>
      <w:bookmarkStart w:id="1104" w:name="_Toc131279378"/>
      <w:bookmarkStart w:id="1105" w:name="_Toc131286790"/>
      <w:bookmarkStart w:id="1106" w:name="_Toc131281200"/>
      <w:bookmarkStart w:id="1107" w:name="_Toc131317739"/>
      <w:bookmarkStart w:id="1108" w:name="_Toc132536943"/>
      <w:bookmarkStart w:id="1109" w:name="_Toc126767285"/>
      <w:r>
        <w:t>S</w:t>
      </w:r>
      <w:r w:rsidR="00841875" w:rsidRPr="0070261A">
        <w:t xml:space="preserve">entrale trekk ved </w:t>
      </w:r>
      <w:r>
        <w:t>orga</w:t>
      </w:r>
      <w:r w:rsidR="00B160BD">
        <w:t>n</w:t>
      </w:r>
      <w:r>
        <w:t xml:space="preserve">isering av </w:t>
      </w:r>
      <w:r w:rsidR="00841875" w:rsidRPr="0070261A">
        <w:t>allmennlegetjenesten</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52811C7" w14:textId="77777777" w:rsidR="00D9107F" w:rsidRDefault="00841875" w:rsidP="00153CFE">
      <w:r>
        <w:t>Ved sammenligning av allmennlegetjenesten i Norge og andre land, finnes både likheter og forskjeller. Et likhetstrekk mellom de landene</w:t>
      </w:r>
      <w:r w:rsidR="00763649">
        <w:t xml:space="preserve"> som ekspertutvalget har sett nærmere på</w:t>
      </w:r>
      <w:r>
        <w:t xml:space="preserve"> og Norge</w:t>
      </w:r>
      <w:r w:rsidR="007B4471">
        <w:t>,</w:t>
      </w:r>
      <w:r>
        <w:t xml:space="preserve"> er at allmennlegetjenesten i stor grad utgjør innbyggernes første </w:t>
      </w:r>
      <w:r w:rsidRPr="00CF4196">
        <w:t>kontakt</w:t>
      </w:r>
      <w:r>
        <w:t>punkt</w:t>
      </w:r>
      <w:r w:rsidRPr="00CF4196">
        <w:t xml:space="preserve"> ved behov for helsehjelp</w:t>
      </w:r>
      <w:r>
        <w:t xml:space="preserve">, og at den har en </w:t>
      </w:r>
      <w:r w:rsidRPr="00CF4196">
        <w:t>portvakt</w:t>
      </w:r>
      <w:r>
        <w:t>funksjon</w:t>
      </w:r>
      <w:r w:rsidRPr="00CF4196">
        <w:t xml:space="preserve"> for tilgang til de fleste spesialisthelsetjenester</w:t>
      </w:r>
      <w:r>
        <w:t>.</w:t>
      </w:r>
      <w:r w:rsidRPr="00CF4196">
        <w:t xml:space="preserve"> </w:t>
      </w:r>
      <w:r>
        <w:t>Videre at i</w:t>
      </w:r>
      <w:r w:rsidRPr="00CF4196">
        <w:t>nnbyggerne</w:t>
      </w:r>
      <w:r>
        <w:t xml:space="preserve"> </w:t>
      </w:r>
      <w:r w:rsidRPr="00CF4196">
        <w:t xml:space="preserve">får tilgang til tjenester gjennom å velge en </w:t>
      </w:r>
      <w:r w:rsidRPr="00CF4196">
        <w:lastRenderedPageBreak/>
        <w:t xml:space="preserve">bestemt praksis eller </w:t>
      </w:r>
      <w:r>
        <w:t xml:space="preserve">et </w:t>
      </w:r>
      <w:r w:rsidRPr="00CF4196">
        <w:t xml:space="preserve">helsesenter de </w:t>
      </w:r>
      <w:r>
        <w:t xml:space="preserve">ønsker å </w:t>
      </w:r>
      <w:r w:rsidRPr="00CF4196">
        <w:t xml:space="preserve">tilhøre. Helsetjenesten </w:t>
      </w:r>
      <w:r>
        <w:t xml:space="preserve">i de utvalgte landene </w:t>
      </w:r>
      <w:r w:rsidR="006867D9">
        <w:t xml:space="preserve">vi har sammenliknet oss med </w:t>
      </w:r>
      <w:r>
        <w:t xml:space="preserve">er også </w:t>
      </w:r>
      <w:r w:rsidRPr="00CF4196">
        <w:t>i stor grad finansiert gjennom skattesystemet</w:t>
      </w:r>
      <w:r>
        <w:t>, med u</w:t>
      </w:r>
      <w:r w:rsidRPr="00CF4196">
        <w:t>nntak</w:t>
      </w:r>
      <w:r>
        <w:t xml:space="preserve"> av </w:t>
      </w:r>
      <w:r w:rsidRPr="00CF4196">
        <w:t>Nederland</w:t>
      </w:r>
      <w:r w:rsidR="006867D9">
        <w:t>,</w:t>
      </w:r>
      <w:r w:rsidRPr="00CF4196">
        <w:t xml:space="preserve"> som har bland</w:t>
      </w:r>
      <w:r>
        <w:t>et finansiering</w:t>
      </w:r>
      <w:r w:rsidR="006867D9">
        <w:t>,</w:t>
      </w:r>
      <w:r>
        <w:t xml:space="preserve"> med både skatt o</w:t>
      </w:r>
      <w:r w:rsidRPr="00CF4196">
        <w:t>g innb</w:t>
      </w:r>
      <w:r>
        <w:t>yggerbetaling.</w:t>
      </w:r>
    </w:p>
    <w:p w14:paraId="15A893C7" w14:textId="77777777" w:rsidR="00D9107F" w:rsidRDefault="00E96C54" w:rsidP="00153CFE">
      <w:r w:rsidRPr="004532B1">
        <w:t xml:space="preserve">Danmark </w:t>
      </w:r>
      <w:r w:rsidR="006867D9">
        <w:t>er</w:t>
      </w:r>
      <w:r w:rsidRPr="004532B1">
        <w:t xml:space="preserve"> de</w:t>
      </w:r>
      <w:r>
        <w:t>t</w:t>
      </w:r>
      <w:r w:rsidRPr="004532B1">
        <w:t xml:space="preserve"> landet som </w:t>
      </w:r>
      <w:r>
        <w:t xml:space="preserve">ligner mest på Norge når det gjelder organisering og finansiering. Det vises til Helsedirektoratets notat </w:t>
      </w:r>
      <w:r w:rsidRPr="00525B3C">
        <w:t>Organisering og regulering av allmennpraksis i Danmark</w:t>
      </w:r>
      <w:r w:rsidR="00172E77">
        <w:t xml:space="preserve"> </w:t>
      </w:r>
      <w:r w:rsidR="00D078E3">
        <w:fldChar w:fldCharType="begin"/>
      </w:r>
      <w:r w:rsidR="004654FD">
        <w:instrText xml:space="preserve"> ADDIN EN.CITE &lt;EndNote&gt;&lt;Cite&gt;&lt;Author&gt;Kalseth&lt;/Author&gt;&lt;Year&gt;2023&lt;/Year&gt;&lt;RecNum&gt;947&lt;/RecNum&gt;&lt;DisplayText&gt;(Kalseth, 2023)&lt;/DisplayText&gt;&lt;record&gt;&lt;rec-number&gt;947&lt;/rec-number&gt;&lt;foreign-keys&gt;&lt;key app="EN" db-id="95tpr2tp6r9xwoea9rb5wdsz5ds5xeddteew" timestamp="1680222018"&gt;947&lt;/key&gt;&lt;/foreign-keys&gt;&lt;ref-type name="Unpublished Work"&gt;34&lt;/ref-type&gt;&lt;contributors&gt;&lt;authors&gt;&lt;author&gt;Kalseth, B.&lt;/author&gt;&lt;/authors&gt;&lt;/contributors&gt;&lt;titles&gt;&lt;title&gt;Organisering og regulering av allmennpraksis i Danmark. &lt;/title&gt;&lt;/titles&gt;&lt;dates&gt;&lt;year&gt;2023&lt;/year&gt;&lt;/dates&gt;&lt;publisher&gt;Helsedirektoratet&lt;/publisher&gt;&lt;urls&gt;&lt;/urls&gt;&lt;/record&gt;&lt;/Cite&gt;&lt;/EndNote&gt;</w:instrText>
      </w:r>
      <w:r w:rsidR="00D078E3">
        <w:fldChar w:fldCharType="separate"/>
      </w:r>
      <w:r w:rsidR="00D078E3">
        <w:rPr>
          <w:noProof/>
        </w:rPr>
        <w:t>(Kalseth, 2023)</w:t>
      </w:r>
      <w:r w:rsidR="00D078E3">
        <w:fldChar w:fldCharType="end"/>
      </w:r>
      <w:r w:rsidR="006867D9">
        <w:t xml:space="preserve">, </w:t>
      </w:r>
      <w:r>
        <w:t>som er utarbeidet på oppdrag fra ekspertutvalget.</w:t>
      </w:r>
    </w:p>
    <w:p w14:paraId="31522F70" w14:textId="77777777" w:rsidR="00783F3E" w:rsidRDefault="00841875" w:rsidP="00783F3E">
      <w:r>
        <w:t xml:space="preserve">I tabellen nedenfor </w:t>
      </w:r>
      <w:r w:rsidR="008B2477">
        <w:t>oppsummeres</w:t>
      </w:r>
      <w:r>
        <w:t xml:space="preserve"> noen sentrale trekk ved organisering av allmennlegetjenesten i Norge og utvalgte andre land.</w:t>
      </w:r>
    </w:p>
    <w:p w14:paraId="4098D1D1" w14:textId="377EE217" w:rsidR="00783F3E" w:rsidRPr="00783F3E" w:rsidRDefault="00052938" w:rsidP="00AC345C">
      <w:pPr>
        <w:pStyle w:val="tabell-tittel"/>
      </w:pPr>
      <w:r w:rsidRPr="00153CFE">
        <w:lastRenderedPageBreak/>
        <w:t>S</w:t>
      </w:r>
      <w:r w:rsidR="00037001" w:rsidRPr="00153CFE">
        <w:t>entrale trekk ved organisering av allmennlegetjenesten i Norge og utvalgte andre land</w:t>
      </w:r>
    </w:p>
    <w:tbl>
      <w:tblPr>
        <w:tblStyle w:val="EUTabellstil"/>
        <w:tblpPr w:leftFromText="141" w:rightFromText="141" w:vertAnchor="text" w:horzAnchor="margin" w:tblpY="-53"/>
        <w:tblW w:w="5000" w:type="pct"/>
        <w:tblLook w:val="04A0" w:firstRow="1" w:lastRow="0" w:firstColumn="1" w:lastColumn="0" w:noHBand="0" w:noVBand="1"/>
      </w:tblPr>
      <w:tblGrid>
        <w:gridCol w:w="2268"/>
        <w:gridCol w:w="7468"/>
      </w:tblGrid>
      <w:tr w:rsidR="00841875" w:rsidRPr="006B6CBC" w14:paraId="373721EE" w14:textId="77777777" w:rsidTr="002843E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8" w:type="pct"/>
            <w:tcBorders>
              <w:bottom w:val="single" w:sz="24" w:space="0" w:color="2A3652"/>
            </w:tcBorders>
            <w:shd w:val="clear" w:color="auto" w:fill="A9D6B9"/>
            <w:noWrap/>
          </w:tcPr>
          <w:p w14:paraId="75A5D333" w14:textId="77777777" w:rsidR="00841875" w:rsidRPr="006B6CBC" w:rsidRDefault="00841875" w:rsidP="006B6CBC">
            <w:pPr>
              <w:pStyle w:val="TabellHode-kolonne"/>
            </w:pPr>
            <w:r w:rsidRPr="006B6CBC">
              <w:lastRenderedPageBreak/>
              <w:t>Likhetstrekk med Norges allmennlegetjeneste</w:t>
            </w:r>
          </w:p>
        </w:tc>
        <w:tc>
          <w:tcPr>
            <w:tcW w:w="3962" w:type="pct"/>
            <w:tcBorders>
              <w:bottom w:val="single" w:sz="24" w:space="0" w:color="2A3652"/>
            </w:tcBorders>
            <w:shd w:val="clear" w:color="auto" w:fill="A9D6B9"/>
            <w:noWrap/>
          </w:tcPr>
          <w:p w14:paraId="75A432A0" w14:textId="77777777" w:rsidR="00841875" w:rsidRPr="006B6CBC" w:rsidRDefault="00841875" w:rsidP="006B6CBC">
            <w:pPr>
              <w:pStyle w:val="TabellHode-kolonne"/>
              <w:cnfStyle w:val="100000000000" w:firstRow="1" w:lastRow="0" w:firstColumn="0" w:lastColumn="0" w:oddVBand="0" w:evenVBand="0" w:oddHBand="0" w:evenHBand="0" w:firstRowFirstColumn="0" w:firstRowLastColumn="0" w:lastRowFirstColumn="0" w:lastRowLastColumn="0"/>
            </w:pPr>
            <w:r w:rsidRPr="006B6CBC">
              <w:t>Beskrivelse</w:t>
            </w:r>
          </w:p>
        </w:tc>
      </w:tr>
      <w:tr w:rsidR="00841875" w:rsidRPr="006B6CBC" w14:paraId="7906C121" w14:textId="77777777" w:rsidTr="00901E66">
        <w:trPr>
          <w:trHeight w:val="521"/>
        </w:trPr>
        <w:tc>
          <w:tcPr>
            <w:cnfStyle w:val="001000000000" w:firstRow="0" w:lastRow="0" w:firstColumn="1" w:lastColumn="0" w:oddVBand="0" w:evenVBand="0" w:oddHBand="0" w:evenHBand="0" w:firstRowFirstColumn="0" w:firstRowLastColumn="0" w:lastRowFirstColumn="0" w:lastRowLastColumn="0"/>
            <w:tcW w:w="1038" w:type="pct"/>
            <w:tcBorders>
              <w:top w:val="single" w:sz="24" w:space="0" w:color="2A3652"/>
            </w:tcBorders>
            <w:noWrap/>
          </w:tcPr>
          <w:p w14:paraId="5BD3BA32" w14:textId="2C4DE64E" w:rsidR="00841875" w:rsidRPr="006B6CBC" w:rsidRDefault="00841875" w:rsidP="006B6CBC">
            <w:pPr>
              <w:pStyle w:val="TabellHode-rad"/>
            </w:pPr>
            <w:r w:rsidRPr="006B6CBC">
              <w:t xml:space="preserve">Statens styringsrolle </w:t>
            </w:r>
          </w:p>
        </w:tc>
        <w:tc>
          <w:tcPr>
            <w:tcW w:w="3962" w:type="pct"/>
            <w:tcBorders>
              <w:top w:val="single" w:sz="24" w:space="0" w:color="2A3652"/>
            </w:tcBorders>
            <w:noWrap/>
          </w:tcPr>
          <w:p w14:paraId="649AF4A4" w14:textId="77777777"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Statens styringsrolle er sterk i de fleste landene.</w:t>
            </w:r>
          </w:p>
          <w:p w14:paraId="27A827AC" w14:textId="313DCD9B"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Mindre i Sverige</w:t>
            </w:r>
            <w:r w:rsidR="006867D9" w:rsidRPr="006B6CBC">
              <w:t>,</w:t>
            </w:r>
            <w:r w:rsidRPr="006B6CBC">
              <w:t xml:space="preserve"> der regionene også styrer finansieringen</w:t>
            </w:r>
            <w:r w:rsidR="000D008F" w:rsidRPr="006B6CBC">
              <w:t>.</w:t>
            </w:r>
            <w:r w:rsidRPr="006B6CBC">
              <w:t xml:space="preserve"> </w:t>
            </w:r>
          </w:p>
        </w:tc>
      </w:tr>
      <w:tr w:rsidR="00841875" w:rsidRPr="006B6CBC" w14:paraId="5DA91C0E"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132C126A" w14:textId="3F0EFBF5" w:rsidR="00841875" w:rsidRPr="006B6CBC" w:rsidRDefault="00841875" w:rsidP="006B6CBC">
            <w:pPr>
              <w:pStyle w:val="TabellHode-rad"/>
            </w:pPr>
            <w:r w:rsidRPr="006B6CBC">
              <w:t>Sørge-for</w:t>
            </w:r>
            <w:r w:rsidR="006867D9" w:rsidRPr="006B6CBC">
              <w:t>-</w:t>
            </w:r>
            <w:r w:rsidRPr="006B6CBC">
              <w:t xml:space="preserve">ansvar </w:t>
            </w:r>
          </w:p>
        </w:tc>
        <w:tc>
          <w:tcPr>
            <w:tcW w:w="3962" w:type="pct"/>
            <w:noWrap/>
          </w:tcPr>
          <w:p w14:paraId="3D42DE9F" w14:textId="77777777" w:rsidR="00D9107F"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Hvilket styringsnivå allmennlegetjenesten er underlagt</w:t>
            </w:r>
            <w:r w:rsidR="002F272B" w:rsidRPr="006B6CBC">
              <w:t>,</w:t>
            </w:r>
            <w:r w:rsidRPr="006B6CBC">
              <w:t xml:space="preserve"> er forskjellig i landene.</w:t>
            </w:r>
          </w:p>
          <w:p w14:paraId="3B0C3063" w14:textId="4E235A0F"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Norge skiller seg fra de andre landene</w:t>
            </w:r>
            <w:r w:rsidR="00B73722" w:rsidRPr="006B6CBC">
              <w:t>,</w:t>
            </w:r>
            <w:r w:rsidRPr="006B6CBC">
              <w:t xml:space="preserve"> ved at allmennlegetjenesten ikke ligger på samme forvaltningsnivå som sykehusene.</w:t>
            </w:r>
            <w:r w:rsidR="00D9107F" w:rsidRPr="006B6CBC">
              <w:t xml:space="preserve"> </w:t>
            </w:r>
          </w:p>
        </w:tc>
      </w:tr>
      <w:tr w:rsidR="00841875" w:rsidRPr="006B6CBC" w14:paraId="0E5A5D23"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3BA639FA" w14:textId="61CD36B0" w:rsidR="00841875" w:rsidRPr="006B6CBC" w:rsidRDefault="00841875" w:rsidP="006B6CBC">
            <w:pPr>
              <w:pStyle w:val="TabellHode-rad"/>
            </w:pPr>
            <w:r w:rsidRPr="006B6CBC">
              <w:t>Portvakt</w:t>
            </w:r>
            <w:r w:rsidR="006867D9" w:rsidRPr="006B6CBC">
              <w:t>-</w:t>
            </w:r>
            <w:r w:rsidRPr="006B6CBC">
              <w:t xml:space="preserve">funksjonen </w:t>
            </w:r>
          </w:p>
        </w:tc>
        <w:tc>
          <w:tcPr>
            <w:tcW w:w="3962" w:type="pct"/>
            <w:noWrap/>
          </w:tcPr>
          <w:p w14:paraId="730AED14" w14:textId="3EA415AA"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Portvaktfunksjonen mot spesialisthelsetjenesten er noe varierende</w:t>
            </w:r>
            <w:r w:rsidR="009C0A94" w:rsidRPr="006B6CBC">
              <w:t>.</w:t>
            </w:r>
          </w:p>
          <w:p w14:paraId="0536207D" w14:textId="3CE4AAB7"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Generelt er den sterk i disse landene</w:t>
            </w:r>
            <w:r w:rsidR="006867D9" w:rsidRPr="006B6CBC">
              <w:t>,</w:t>
            </w:r>
            <w:r w:rsidRPr="006B6CBC">
              <w:t xml:space="preserve"> i forhold til mange andre </w:t>
            </w:r>
            <w:r w:rsidR="006867D9" w:rsidRPr="006B6CBC">
              <w:t>e</w:t>
            </w:r>
            <w:r w:rsidRPr="006B6CBC">
              <w:t>uropeiske land</w:t>
            </w:r>
            <w:r w:rsidR="009C0A94" w:rsidRPr="006B6CBC">
              <w:t>.</w:t>
            </w:r>
          </w:p>
          <w:p w14:paraId="08891795" w14:textId="2B75F79D"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Sverige har ikke formell portvaktfunksjon, og reglene varierer mellom regioner</w:t>
            </w:r>
            <w:r w:rsidR="009C0A94" w:rsidRPr="006B6CBC">
              <w:t>.</w:t>
            </w:r>
          </w:p>
        </w:tc>
      </w:tr>
      <w:tr w:rsidR="00841875" w:rsidRPr="006B6CBC" w14:paraId="240716F8"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3BB3CF6C" w14:textId="77777777" w:rsidR="00841875" w:rsidRPr="006B6CBC" w:rsidRDefault="00841875" w:rsidP="006B6CBC">
            <w:pPr>
              <w:pStyle w:val="TabellHode-rad"/>
            </w:pPr>
            <w:r w:rsidRPr="006B6CBC">
              <w:t>Driftsformer og praksismodell</w:t>
            </w:r>
          </w:p>
        </w:tc>
        <w:tc>
          <w:tcPr>
            <w:tcW w:w="3962" w:type="pct"/>
            <w:noWrap/>
          </w:tcPr>
          <w:p w14:paraId="7C29358D" w14:textId="77777777"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Driftsform og praksismodell varierer.</w:t>
            </w:r>
          </w:p>
          <w:p w14:paraId="53F861D3" w14:textId="5B66351D"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Helsentermodellen gjelder i Sverige og Finland</w:t>
            </w:r>
            <w:r w:rsidR="00B73722" w:rsidRPr="006B6CBC">
              <w:t xml:space="preserve">, </w:t>
            </w:r>
            <w:r w:rsidR="00E9737B" w:rsidRPr="006B6CBC">
              <w:t>mens næringsdrift er vanligst i de andre landene.</w:t>
            </w:r>
          </w:p>
          <w:p w14:paraId="7ACDC260" w14:textId="4B6F9341"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I Sverige drives nesten halvparten av private selskaper</w:t>
            </w:r>
            <w:r w:rsidR="009C0A94" w:rsidRPr="006B6CBC">
              <w:t>.</w:t>
            </w:r>
          </w:p>
          <w:p w14:paraId="008883C5" w14:textId="77777777" w:rsidR="00D9107F"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Landene med privat næringsdrift varierer ifht</w:t>
            </w:r>
            <w:r w:rsidR="006867D9" w:rsidRPr="006B6CBC">
              <w:t>.</w:t>
            </w:r>
            <w:r w:rsidRPr="006B6CBC">
              <w:t xml:space="preserve"> omfang av partnerskapspraksiser med gruppeavtaler. </w:t>
            </w:r>
            <w:r w:rsidR="003F31F7" w:rsidRPr="006B6CBC">
              <w:t>Det er k</w:t>
            </w:r>
            <w:r w:rsidRPr="006B6CBC">
              <w:t xml:space="preserve">un </w:t>
            </w:r>
            <w:r w:rsidR="003F31F7" w:rsidRPr="006B6CBC">
              <w:t>i</w:t>
            </w:r>
            <w:r w:rsidRPr="006B6CBC">
              <w:t xml:space="preserve"> Norge hvor dette ikke kan sies å være hovedmodell.</w:t>
            </w:r>
          </w:p>
          <w:p w14:paraId="30001951" w14:textId="77777777" w:rsidR="00D9107F"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Danmark har flest solopraksiser</w:t>
            </w:r>
            <w:r w:rsidR="00A61637" w:rsidRPr="006B6CBC">
              <w:t>.</w:t>
            </w:r>
          </w:p>
          <w:p w14:paraId="0E99E679" w14:textId="77777777" w:rsidR="00D9107F"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Andel ansatte (ikke partnere/eiere) varierer, men er økende. Andelen er størst i England, Nederland og Skottland.</w:t>
            </w:r>
          </w:p>
          <w:p w14:paraId="35A8B3D1" w14:textId="0ED7F9E1"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Økende bruk av deltid</w:t>
            </w:r>
            <w:r w:rsidR="00A61637" w:rsidRPr="006B6CBC">
              <w:t>.</w:t>
            </w:r>
            <w:r w:rsidRPr="006B6CBC">
              <w:t xml:space="preserve"> </w:t>
            </w:r>
          </w:p>
        </w:tc>
      </w:tr>
      <w:tr w:rsidR="00841875" w:rsidRPr="006B6CBC" w14:paraId="5A52EE2B"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5426A754" w14:textId="4388FB7A" w:rsidR="00841875" w:rsidRPr="006B6CBC" w:rsidRDefault="00841875" w:rsidP="006B6CBC">
            <w:pPr>
              <w:pStyle w:val="TabellHode-rad"/>
            </w:pPr>
            <w:r w:rsidRPr="006B6CBC">
              <w:t>Praksisstørrelse og pasientlister</w:t>
            </w:r>
          </w:p>
        </w:tc>
        <w:tc>
          <w:tcPr>
            <w:tcW w:w="3962" w:type="pct"/>
            <w:noWrap/>
          </w:tcPr>
          <w:p w14:paraId="6D6C74C4" w14:textId="77777777" w:rsidR="0026172A" w:rsidRPr="006B6CBC" w:rsidRDefault="0026172A" w:rsidP="006B6CBC">
            <w:pPr>
              <w:cnfStyle w:val="000000000000" w:firstRow="0" w:lastRow="0" w:firstColumn="0" w:lastColumn="0" w:oddVBand="0" w:evenVBand="0" w:oddHBand="0" w:evenHBand="0" w:firstRowFirstColumn="0" w:firstRowLastColumn="0" w:lastRowFirstColumn="0" w:lastRowLastColumn="0"/>
            </w:pPr>
            <w:r w:rsidRPr="006B6CBC">
              <w:t>Tilgjengelige tall indikerer størst praksiser målt i gjennomsnittlig antall listepasienter i England og færrest i Danmark og Nederland (av land med næringsdrift som hovedmodell).</w:t>
            </w:r>
          </w:p>
          <w:p w14:paraId="6F097ED0" w14:textId="74C86E59"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 xml:space="preserve">Leger per innbygger synes å være høyere i Norge og Skottland, enn de andre landene med næringsdrift. </w:t>
            </w:r>
            <w:r w:rsidR="0026172A" w:rsidRPr="006B6CBC">
              <w:t>Innslag av rurale områder kan påvirke variasjon i dekningsgrad.</w:t>
            </w:r>
          </w:p>
        </w:tc>
      </w:tr>
      <w:tr w:rsidR="00841875" w:rsidRPr="006B6CBC" w14:paraId="61B21FF4"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057D18E3" w14:textId="7924598C" w:rsidR="00841875" w:rsidRPr="006B6CBC" w:rsidRDefault="00841875" w:rsidP="006B6CBC">
            <w:pPr>
              <w:pStyle w:val="TabellHode-rad"/>
            </w:pPr>
            <w:r w:rsidRPr="006B6CBC">
              <w:t>Pasienttilknytning</w:t>
            </w:r>
          </w:p>
        </w:tc>
        <w:tc>
          <w:tcPr>
            <w:tcW w:w="3962" w:type="pct"/>
            <w:noWrap/>
          </w:tcPr>
          <w:p w14:paraId="2B307496" w14:textId="0F5E1A4E"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Innbyggerne i de andre landene velger ikke fastlege, men praksis/legekontor</w:t>
            </w:r>
            <w:r w:rsidR="00CD0F2A" w:rsidRPr="006B6CBC">
              <w:t>.</w:t>
            </w:r>
          </w:p>
          <w:p w14:paraId="3B2EBCEE" w14:textId="77777777" w:rsidR="00D9107F"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Graden av tilknytning og oppfølging av en fast lege kan variere når det ikke er formelt definert.</w:t>
            </w:r>
          </w:p>
          <w:p w14:paraId="705E0351" w14:textId="412B74DB" w:rsidR="00841875" w:rsidRPr="006B6CBC" w:rsidRDefault="00280EB9" w:rsidP="006B6CBC">
            <w:pPr>
              <w:cnfStyle w:val="000000000000" w:firstRow="0" w:lastRow="0" w:firstColumn="0" w:lastColumn="0" w:oddVBand="0" w:evenVBand="0" w:oddHBand="0" w:evenHBand="0" w:firstRowFirstColumn="0" w:firstRowLastColumn="0" w:lastRowFirstColumn="0" w:lastRowLastColumn="0"/>
            </w:pPr>
            <w:r w:rsidRPr="006B6CBC">
              <w:t>T</w:t>
            </w:r>
            <w:r w:rsidR="00841875" w:rsidRPr="006B6CBC">
              <w:t>rend med større praksiser (færre solopraksiser og også færre små praksiser 2</w:t>
            </w:r>
            <w:r w:rsidR="006867D9" w:rsidRPr="006B6CBC">
              <w:t>–</w:t>
            </w:r>
            <w:r w:rsidR="00841875" w:rsidRPr="006B6CBC">
              <w:t>3 lege enn før)</w:t>
            </w:r>
          </w:p>
        </w:tc>
      </w:tr>
      <w:tr w:rsidR="00841875" w:rsidRPr="006B6CBC" w14:paraId="20ADC3FB"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0980B247" w14:textId="77777777" w:rsidR="00841875" w:rsidRPr="006B6CBC" w:rsidRDefault="00841875" w:rsidP="006B6CBC">
            <w:pPr>
              <w:pStyle w:val="TabellHode-rad"/>
            </w:pPr>
            <w:r w:rsidRPr="006B6CBC">
              <w:lastRenderedPageBreak/>
              <w:t>Legens oppgaver og medisinsk praksis</w:t>
            </w:r>
          </w:p>
        </w:tc>
        <w:tc>
          <w:tcPr>
            <w:tcW w:w="3962" w:type="pct"/>
            <w:noWrap/>
          </w:tcPr>
          <w:p w14:paraId="29441115" w14:textId="274AC8ED"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Indikasjon på variasjon i medisinsk praksis ift. prosedyrer</w:t>
            </w:r>
            <w:r w:rsidR="00280EB9" w:rsidRPr="006B6CBC">
              <w:t>.</w:t>
            </w:r>
          </w:p>
          <w:p w14:paraId="33500A74" w14:textId="67CC2D6E" w:rsidR="00841875" w:rsidRPr="006B6CBC" w:rsidRDefault="004C78E2" w:rsidP="006B6CBC">
            <w:pPr>
              <w:cnfStyle w:val="000000000000" w:firstRow="0" w:lastRow="0" w:firstColumn="0" w:lastColumn="0" w:oddVBand="0" w:evenVBand="0" w:oddHBand="0" w:evenHBand="0" w:firstRowFirstColumn="0" w:firstRowLastColumn="0" w:lastRowFirstColumn="0" w:lastRowLastColumn="0"/>
            </w:pPr>
            <w:r w:rsidRPr="006B6CBC">
              <w:t>L</w:t>
            </w:r>
            <w:r w:rsidR="00841875" w:rsidRPr="006B6CBC">
              <w:t>eger</w:t>
            </w:r>
            <w:r w:rsidR="127A97BD" w:rsidRPr="006B6CBC">
              <w:t xml:space="preserve"> </w:t>
            </w:r>
            <w:r w:rsidR="5AAC3866" w:rsidRPr="006B6CBC">
              <w:t>i</w:t>
            </w:r>
            <w:r w:rsidR="00841875" w:rsidRPr="006B6CBC">
              <w:t xml:space="preserve"> nordiske land og Nederland utfører alle et bredt sett med prosedyrer</w:t>
            </w:r>
            <w:r w:rsidR="006867D9" w:rsidRPr="006B6CBC">
              <w:t>,</w:t>
            </w:r>
            <w:r w:rsidR="00841875" w:rsidRPr="006B6CBC">
              <w:t xml:space="preserve"> sammenlignet med andre </w:t>
            </w:r>
            <w:r w:rsidR="783F2105" w:rsidRPr="006B6CBC">
              <w:t>e</w:t>
            </w:r>
            <w:r w:rsidR="00841875" w:rsidRPr="006B6CBC">
              <w:t>uropeiske land (ikke ref</w:t>
            </w:r>
            <w:r w:rsidR="006867D9" w:rsidRPr="006B6CBC">
              <w:t>.</w:t>
            </w:r>
            <w:r w:rsidR="00841875" w:rsidRPr="006B6CBC">
              <w:t xml:space="preserve"> på England/Skottland)</w:t>
            </w:r>
            <w:r w:rsidR="00B73722" w:rsidRPr="006B6CBC">
              <w:t>.</w:t>
            </w:r>
          </w:p>
        </w:tc>
      </w:tr>
      <w:tr w:rsidR="00841875" w:rsidRPr="007E7936" w14:paraId="106EF325" w14:textId="77777777" w:rsidTr="00901E66">
        <w:trPr>
          <w:trHeight w:val="340"/>
        </w:trPr>
        <w:tc>
          <w:tcPr>
            <w:cnfStyle w:val="001000000000" w:firstRow="0" w:lastRow="0" w:firstColumn="1" w:lastColumn="0" w:oddVBand="0" w:evenVBand="0" w:oddHBand="0" w:evenHBand="0" w:firstRowFirstColumn="0" w:firstRowLastColumn="0" w:lastRowFirstColumn="0" w:lastRowLastColumn="0"/>
            <w:tcW w:w="1038" w:type="pct"/>
            <w:noWrap/>
          </w:tcPr>
          <w:p w14:paraId="454444BB" w14:textId="77777777" w:rsidR="00841875" w:rsidRPr="006B6CBC" w:rsidRDefault="00841875" w:rsidP="006B6CBC">
            <w:pPr>
              <w:pStyle w:val="TabellHode-rad"/>
            </w:pPr>
            <w:r w:rsidRPr="006B6CBC">
              <w:t>Tverrfaglighet og team</w:t>
            </w:r>
          </w:p>
        </w:tc>
        <w:tc>
          <w:tcPr>
            <w:tcW w:w="3962" w:type="pct"/>
            <w:noWrap/>
          </w:tcPr>
          <w:p w14:paraId="670D9DE3" w14:textId="197D5DA6" w:rsidR="00841875" w:rsidRPr="006B6CBC" w:rsidRDefault="00841875" w:rsidP="006B6CBC">
            <w:pPr>
              <w:cnfStyle w:val="000000000000" w:firstRow="0" w:lastRow="0" w:firstColumn="0" w:lastColumn="0" w:oddVBand="0" w:evenVBand="0" w:oddHBand="0" w:evenHBand="0" w:firstRowFirstColumn="0" w:firstRowLastColumn="0" w:lastRowFirstColumn="0" w:lastRowLastColumn="0"/>
            </w:pPr>
            <w:r w:rsidRPr="006B6CBC">
              <w:t>Bruk av annet personell, teamorganisering og nettverk er økende i andre land</w:t>
            </w:r>
            <w:r w:rsidR="009A638A" w:rsidRPr="006B6CBC">
              <w:t>.</w:t>
            </w:r>
          </w:p>
        </w:tc>
      </w:tr>
    </w:tbl>
    <w:p w14:paraId="465419D7" w14:textId="1138115E" w:rsidR="00841875" w:rsidRPr="0070261A" w:rsidRDefault="00841875" w:rsidP="00775632">
      <w:pPr>
        <w:pStyle w:val="Overskrift3"/>
      </w:pPr>
      <w:bookmarkStart w:id="1110" w:name="_Toc129630275"/>
      <w:bookmarkStart w:id="1111" w:name="_Toc129962168"/>
      <w:bookmarkStart w:id="1112" w:name="_Toc130154237"/>
      <w:bookmarkStart w:id="1113" w:name="_Toc130490053"/>
      <w:bookmarkStart w:id="1114" w:name="_Toc130763783"/>
      <w:bookmarkStart w:id="1115" w:name="_Toc130766678"/>
      <w:bookmarkStart w:id="1116" w:name="_Toc130932078"/>
      <w:bookmarkStart w:id="1117" w:name="_Toc130934369"/>
      <w:bookmarkStart w:id="1118" w:name="_Toc130983422"/>
      <w:bookmarkStart w:id="1119" w:name="_Toc130983771"/>
      <w:bookmarkStart w:id="1120" w:name="_Toc131062103"/>
      <w:bookmarkStart w:id="1121" w:name="_Toc131062357"/>
      <w:bookmarkStart w:id="1122" w:name="_Toc131062618"/>
      <w:bookmarkStart w:id="1123" w:name="_Toc131062871"/>
      <w:bookmarkStart w:id="1124" w:name="_Toc131063639"/>
      <w:bookmarkStart w:id="1125" w:name="_Toc131064059"/>
      <w:bookmarkStart w:id="1126" w:name="_Toc131238349"/>
      <w:bookmarkStart w:id="1127" w:name="_Toc131279379"/>
      <w:bookmarkStart w:id="1128" w:name="_Toc131286791"/>
      <w:bookmarkStart w:id="1129" w:name="_Toc131281201"/>
      <w:bookmarkStart w:id="1130" w:name="_Toc131317740"/>
      <w:bookmarkStart w:id="1131" w:name="_Toc132536944"/>
      <w:r w:rsidRPr="0070261A">
        <w:t>En sterk statlig styringsrolle</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69022BD8" w14:textId="77777777" w:rsidR="00D9107F" w:rsidRDefault="00841875" w:rsidP="008D11FA">
      <w:pPr>
        <w:jc w:val="both"/>
      </w:pPr>
      <w:r>
        <w:t>Staten har i alle landene en viktig rolle både ved å fastsette overordnede nasjonale helsepolitiske mål og regulere rammene for styring og finansiering av helsetjenestene</w:t>
      </w:r>
      <w:r w:rsidR="006867D9">
        <w:t>,</w:t>
      </w:r>
      <w:r>
        <w:t xml:space="preserve"> og lovregulere forvaltningens, tjenesteutøvernes og innbyggernes rettigheter og plikter. Statlige organer har som regel</w:t>
      </w:r>
      <w:r w:rsidR="00CA241F">
        <w:t xml:space="preserve"> også</w:t>
      </w:r>
      <w:r>
        <w:t xml:space="preserve"> en kontrollerende funksjon når det gjelder gjennomføring av nasjonale strategier, etterlevelse av lover og retningslinjer</w:t>
      </w:r>
      <w:r w:rsidR="006867D9">
        <w:t>,</w:t>
      </w:r>
      <w:r>
        <w:t xml:space="preserve"> og måloppnåelse. Det er en svakere nasjonal styring av primærhelsetjenesten i Sverige og Finland enn i de andre landene som sammenlignes her.</w:t>
      </w:r>
    </w:p>
    <w:p w14:paraId="5684729D" w14:textId="77777777" w:rsidR="00D9107F" w:rsidRDefault="00841875" w:rsidP="008D11FA">
      <w:pPr>
        <w:jc w:val="both"/>
      </w:pPr>
      <w:r>
        <w:t xml:space="preserve">Landene har også </w:t>
      </w:r>
      <w:r w:rsidRPr="00FF70EA">
        <w:t xml:space="preserve">i stor grad nasjonale rammer for organisering og finansiering av </w:t>
      </w:r>
      <w:r>
        <w:t>allmennlege</w:t>
      </w:r>
      <w:r>
        <w:softHyphen/>
        <w:t>tjenesten (Sverige og Finland avviker mest fra dette).</w:t>
      </w:r>
      <w:r w:rsidRPr="00FF70EA">
        <w:t xml:space="preserve"> Reguleringen skjer gjennom nasjonal lovgivning og nasjonale overenskomster/avtaler. Styringsnivået som har sørge-for-ansvar for tjenesten (for eksempel kommuner, regioner), legeforeningene og statlige myndigheter</w:t>
      </w:r>
      <w:r w:rsidR="00AF74F1">
        <w:t>,</w:t>
      </w:r>
      <w:r w:rsidRPr="00FF70EA">
        <w:t xml:space="preserve"> framforhandler nasjonale avtaler som omhandler for eksempel økonomiske spørsmål og/eller allmennlegenes forpliktelser og rettigheter. Gjennom flerpartssamarbeid kan man også enes om virkemidler/tiltak for å oppnå overordnede og langsiktige nasjonale mål for tjenestene.</w:t>
      </w:r>
    </w:p>
    <w:p w14:paraId="6516F2A7" w14:textId="7E981F5A" w:rsidR="00841875" w:rsidRDefault="00841875" w:rsidP="008D11FA">
      <w:pPr>
        <w:jc w:val="both"/>
        <w:rPr>
          <w:noProof/>
        </w:rPr>
      </w:pPr>
      <w:r>
        <w:t xml:space="preserve">I Storbritannia har de respektive regjeringene i England, Skottland, Wales og Nord-Irland siden slutten av 1990-tallet vært ansvarlige for å organisere og levere helsetjenester. Regjeringen i London (United Kingdom </w:t>
      </w:r>
      <w:r>
        <w:rPr>
          <w:noProof/>
        </w:rPr>
        <w:t>Government) gir</w:t>
      </w:r>
      <w:r>
        <w:t xml:space="preserve"> en rammeoverføring til Skottland, Wales og Nord Irland til offentlige utgifter som landene selv styrer over. Helseministrene i hvert land er ansvarlige for planlegging og styring</w:t>
      </w:r>
      <w:r w:rsidR="005038E3">
        <w:t>,</w:t>
      </w:r>
      <w:r>
        <w:t xml:space="preserve"> i tråd med rådende helsepolitikk i hvert av landene. I England er dette et delt ansvar mellom helseministeren og NHS England, som er et </w:t>
      </w:r>
      <w:r w:rsidR="00D9107F">
        <w:t>«</w:t>
      </w:r>
      <w:r>
        <w:rPr>
          <w:noProof/>
        </w:rPr>
        <w:t>arms length</w:t>
      </w:r>
      <w:r w:rsidR="00D9107F">
        <w:rPr>
          <w:noProof/>
        </w:rPr>
        <w:t>»</w:t>
      </w:r>
      <w:r>
        <w:rPr>
          <w:noProof/>
        </w:rPr>
        <w:t xml:space="preserve">, </w:t>
      </w:r>
      <w:r w:rsidR="00D9107F">
        <w:rPr>
          <w:noProof/>
        </w:rPr>
        <w:t>«</w:t>
      </w:r>
      <w:r>
        <w:rPr>
          <w:noProof/>
        </w:rPr>
        <w:t>non departmental</w:t>
      </w:r>
      <w:r w:rsidR="00D9107F">
        <w:rPr>
          <w:noProof/>
        </w:rPr>
        <w:t>»</w:t>
      </w:r>
      <w:r>
        <w:rPr>
          <w:noProof/>
        </w:rPr>
        <w:t xml:space="preserve"> utøvende organ. I Skottland heter dette NHS Scotland. Både i England og Skottland er det tradisjon for sterk nasjonal styring av helsetjenesten.</w:t>
      </w:r>
    </w:p>
    <w:p w14:paraId="781DC8E0" w14:textId="29C47D3A" w:rsidR="00841875" w:rsidRDefault="00841875" w:rsidP="008D11FA">
      <w:pPr>
        <w:jc w:val="both"/>
      </w:pPr>
      <w:r>
        <w:t>I Nederland er statens rolle sterk som regulator og kontrollør av primærhelsetjeneste</w:t>
      </w:r>
      <w:r w:rsidR="005038E3">
        <w:t>,</w:t>
      </w:r>
      <w:r>
        <w:t xml:space="preserve"> gjennom det statlige </w:t>
      </w:r>
      <w:r>
        <w:rPr>
          <w:noProof/>
        </w:rPr>
        <w:t>organet Nederlandse Zorgautoriteit (NZ</w:t>
      </w:r>
      <w:r>
        <w:t>). Den nederlandske helsetjenesten er et styrt marked, hvor staten setter regler og kontrollerer</w:t>
      </w:r>
      <w:r w:rsidR="00C934DD">
        <w:t>,</w:t>
      </w:r>
      <w:r>
        <w:t xml:space="preserve"> og helseforsikringsselskapene konkurrerer om innbyggerne. H</w:t>
      </w:r>
      <w:r w:rsidRPr="00611576">
        <w:t>elseforsikringsselskaper forhandle</w:t>
      </w:r>
      <w:r>
        <w:t>r</w:t>
      </w:r>
      <w:r w:rsidRPr="00611576">
        <w:t xml:space="preserve"> med </w:t>
      </w:r>
      <w:r>
        <w:t>tjenesteleverandører (som fastlegene)</w:t>
      </w:r>
      <w:r w:rsidRPr="00611576">
        <w:t xml:space="preserve"> om pris, volum og kvalitet på </w:t>
      </w:r>
      <w:r>
        <w:t>tjenestene</w:t>
      </w:r>
      <w:r w:rsidRPr="00611576">
        <w:t xml:space="preserve"> </w:t>
      </w:r>
      <w:r w:rsidR="00E94EA5">
        <w:fldChar w:fldCharType="begin"/>
      </w:r>
      <w:r w:rsidR="00E94EA5">
        <w:instrText xml:space="preserve"> ADDIN EN.CITE &lt;EndNote&gt;&lt;Cite&gt;&lt;Author&gt;Kroneman&lt;/Author&gt;&lt;Year&gt;2016&lt;/Year&gt;&lt;RecNum&gt;520&lt;/RecNum&gt;&lt;DisplayText&gt;(Kroneman et al., 2016)&lt;/DisplayText&gt;&lt;record&gt;&lt;rec-number&gt;520&lt;/rec-number&gt;&lt;foreign-keys&gt;&lt;key app="EN" db-id="95tpr2tp6r9xwoea9rb5wdsz5ds5xeddteew" timestamp="1680069511"&gt;520&lt;/key&gt;&lt;/foreign-keys&gt;&lt;ref-type name="Journal Article"&gt;17&lt;/ref-type&gt;&lt;contributors&gt;&lt;authors&gt;&lt;author&gt;Kroneman, M.&lt;/author&gt;&lt;author&gt;Boerma, W.&lt;/author&gt;&lt;author&gt;van den Berg, M.&lt;/author&gt;&lt;author&gt;Groenewegen, P.&lt;/author&gt;&lt;author&gt;de Jong, J.&lt;/author&gt;&lt;author&gt;van Ginneken, E.&lt;/author&gt;&lt;/authors&gt;&lt;/contributors&gt;&lt;auth-address&gt;NIVEL, Netherlands Institute for Health Services Research.&amp;#xD;RIVM, the National Institute for Public Health and the Environment.&amp;#xD;European Observatory on Health Systems and Policies, Berlin University of Technology.&lt;/auth-address&gt;&lt;titles&gt;&lt;title&gt;Netherlands: Health System Review&lt;/title&gt;&lt;secondary-title&gt;Health Syst Transit&lt;/secondary-title&gt;&lt;/titles&gt;&lt;periodical&gt;&lt;full-title&gt;Health Syst Transit&lt;/full-title&gt;&lt;/periodical&gt;&lt;pages&gt;1-240&lt;/pages&gt;&lt;volume&gt;18&lt;/volume&gt;&lt;number&gt;2&lt;/number&gt;&lt;keywords&gt;&lt;keyword&gt;Delivery of Health Care/*methods/*organization &amp;amp; administration&lt;/keyword&gt;&lt;keyword&gt;Health Care Reform/methods/organization &amp;amp; administration&lt;/keyword&gt;&lt;keyword&gt;Health Expenditures&lt;/keyword&gt;&lt;keyword&gt;*Health Policy&lt;/keyword&gt;&lt;keyword&gt;*Healthcare Financing&lt;/keyword&gt;&lt;keyword&gt;Humans&lt;/keyword&gt;&lt;keyword&gt;Insurance, Health/organization &amp;amp; administration&lt;/keyword&gt;&lt;keyword&gt;Long-Term Care/methods/organization &amp;amp; administration&lt;/keyword&gt;&lt;keyword&gt;Netherlands&lt;/keyword&gt;&lt;keyword&gt;Quality of Health Care&lt;/keyword&gt;&lt;/keywords&gt;&lt;dates&gt;&lt;year&gt;2016&lt;/year&gt;&lt;pub-dates&gt;&lt;date&gt;Mar&lt;/date&gt;&lt;/pub-dates&gt;&lt;/dates&gt;&lt;isbn&gt;1817-6119&lt;/isbn&gt;&lt;accession-num&gt;27467715&lt;/accession-num&gt;&lt;urls&gt;&lt;/urls&gt;&lt;remote-database-provider&gt;NLM&lt;/remote-database-provider&gt;&lt;language&gt;eng&lt;/language&gt;&lt;/record&gt;&lt;/Cite&gt;&lt;/EndNote&gt;</w:instrText>
      </w:r>
      <w:r w:rsidR="00E94EA5">
        <w:fldChar w:fldCharType="separate"/>
      </w:r>
      <w:r w:rsidR="00E94EA5">
        <w:rPr>
          <w:noProof/>
        </w:rPr>
        <w:t>(Kroneman et al., 2016)</w:t>
      </w:r>
      <w:r w:rsidR="00E94EA5">
        <w:fldChar w:fldCharType="end"/>
      </w:r>
      <w:r w:rsidR="00303813">
        <w:t>.</w:t>
      </w:r>
    </w:p>
    <w:p w14:paraId="62E68551" w14:textId="7B0EBD49" w:rsidR="008D11FA" w:rsidRDefault="00841875" w:rsidP="008D11FA">
      <w:pPr>
        <w:jc w:val="both"/>
      </w:pPr>
      <w:r w:rsidRPr="00AC098C">
        <w:t xml:space="preserve">Ansvar for primærhelsetjenesten i Danmark er delt mellom fem regioner og kommunene. Statens rolle i styring av allmennlegetjenesten er relativt sterk. Staten er ansvarlig for politikk, </w:t>
      </w:r>
      <w:r w:rsidRPr="00AC098C">
        <w:lastRenderedPageBreak/>
        <w:t>finansiering, planlegging og regulering. Finansieringen er basert på årlige økonomiske avtaler mellom regjering, regioner og kommuner, der partene er enige om et sett med mål for nivået på helseutgifter for det kommende året. Det settes blant annet nasjonale mål for kvalitet, sammenheng i tjenestene og geografisk likhet.</w:t>
      </w:r>
    </w:p>
    <w:p w14:paraId="249E4497" w14:textId="77777777" w:rsidR="00D9107F" w:rsidRDefault="00841875" w:rsidP="008D11FA">
      <w:pPr>
        <w:jc w:val="both"/>
      </w:pPr>
      <w:r w:rsidRPr="00FF70EA">
        <w:t>I Sverige er statens rolle svakere enn i de andre landene</w:t>
      </w:r>
      <w:r w:rsidR="005038E3">
        <w:t>,</w:t>
      </w:r>
      <w:r w:rsidRPr="00FF70EA">
        <w:t xml:space="preserve"> fordi helsetjenestene både politisk og administrativt er desentralisert til regionene. Regionen</w:t>
      </w:r>
      <w:r w:rsidR="007450E9">
        <w:t>e</w:t>
      </w:r>
      <w:r w:rsidRPr="00FF70EA">
        <w:t xml:space="preserve"> i Sverige har </w:t>
      </w:r>
      <w:r w:rsidR="007C186E">
        <w:t xml:space="preserve">beskatningsrett og </w:t>
      </w:r>
      <w:r w:rsidRPr="00FF70EA">
        <w:t>stor grad av frihet til å organisere og også finansiere helsetjenestene slik de vil</w:t>
      </w:r>
      <w:r>
        <w:t xml:space="preserve">, men er forpliktet av nasjonal lovgivning og avtaler. </w:t>
      </w:r>
      <w:r w:rsidRPr="00FF70EA">
        <w:t>Store nasjonale tiltak og reformer gjennomføres gjennom avtaler mellom regionene og staten.</w:t>
      </w:r>
    </w:p>
    <w:p w14:paraId="0A03D4E0" w14:textId="77777777" w:rsidR="00D9107F" w:rsidRDefault="00841875" w:rsidP="008D11FA">
      <w:pPr>
        <w:jc w:val="both"/>
      </w:pPr>
      <w:r w:rsidRPr="00FF70EA">
        <w:t xml:space="preserve">I Finland har staten i flere tiår (spesielt etter lovgivning fra 1993) hatt en relativt svak rolle i organisering og styring av helsetjenesten </w:t>
      </w:r>
      <w:r>
        <w:fldChar w:fldCharType="begin"/>
      </w:r>
      <w:r w:rsidR="004654FD">
        <w:instrText xml:space="preserve"> ADDIN EN.CITE &lt;EndNote&gt;&lt;Cite&gt;&lt;Author&gt;Keskimäki&lt;/Author&gt;&lt;Year&gt;2022&lt;/Year&gt;&lt;RecNum&gt;147&lt;/RecNum&gt;&lt;DisplayText&gt;(Keskimäki, 2022)&lt;/DisplayText&gt;&lt;record&gt;&lt;rec-number&gt;147&lt;/rec-number&gt;&lt;foreign-keys&gt;&lt;key app="EN" db-id="95tpr2tp6r9xwoea9rb5wdsz5ds5xeddteew" timestamp="1680069511"&gt;147&lt;/key&gt;&lt;/foreign-keys&gt;&lt;ref-type name="Report"&gt;27&lt;/ref-type&gt;&lt;contributors&gt;&lt;authors&gt;&lt;author&gt;Ilmo Keskimäki&lt;/author&gt;&lt;/authors&gt;&lt;tertiary-authors&gt;&lt;author&gt;The Lancet Global Health Comission,&lt;/author&gt;&lt;/tertiary-authors&gt;&lt;/contributors&gt;&lt;titles&gt;&lt;title&gt;Development of Primary Health Care in Finland&lt;/title&gt;&lt;secondary-title&gt;The Lancet Global Health Comission on Financing Primary Health Care&lt;/secondary-title&gt;&lt;/titles&gt;&lt;number&gt;Working paper 9&lt;/number&gt;&lt;dates&gt;&lt;year&gt;2022&lt;/year&gt;&lt;/dates&gt;&lt;urls&gt;&lt;/urls&gt;&lt;/record&gt;&lt;/Cite&gt;&lt;/EndNote&gt;</w:instrText>
      </w:r>
      <w:r>
        <w:fldChar w:fldCharType="separate"/>
      </w:r>
      <w:r w:rsidR="00856689">
        <w:rPr>
          <w:noProof/>
        </w:rPr>
        <w:t>(Keskimäki, 2022)</w:t>
      </w:r>
      <w:r>
        <w:fldChar w:fldCharType="end"/>
      </w:r>
      <w:r>
        <w:t>, selv om staten har spilt en viktig rolle i finansiering gjennom overføringer til kommunene. Samtidig setter</w:t>
      </w:r>
      <w:r w:rsidRPr="00D86C59">
        <w:rPr>
          <w:rFonts w:ascii="Calibri" w:hAnsi="Calibri" w:cs="Calibri"/>
        </w:rPr>
        <w:t xml:space="preserve"> loven om primærhelsetjenester fra 1972 rammer for organisering av tjenester til befolkningen gjennom bruk av en helsesentermodell. </w:t>
      </w:r>
      <w:r>
        <w:t>Den nye Sosial</w:t>
      </w:r>
      <w:r w:rsidR="005038E3">
        <w:t>-</w:t>
      </w:r>
      <w:r>
        <w:t xml:space="preserve"> og helsetjenestereformen</w:t>
      </w:r>
      <w:r w:rsidR="00536830">
        <w:t>, med virkning fra 2023,</w:t>
      </w:r>
      <w:r>
        <w:t xml:space="preserve"> innebærer en strukturell endring med sentralisering av ansvar fra kommune</w:t>
      </w:r>
      <w:r w:rsidR="00536830">
        <w:t>ne</w:t>
      </w:r>
      <w:r>
        <w:t xml:space="preserve"> til 21 velferdsområder </w:t>
      </w:r>
      <w:r w:rsidR="005159DD">
        <w:t>med demokratisk valgt styre.</w:t>
      </w:r>
      <w:r w:rsidR="00536830">
        <w:t xml:space="preserve"> Fra samme tidspunkt øker</w:t>
      </w:r>
      <w:r>
        <w:t xml:space="preserve"> også </w:t>
      </w:r>
      <w:r w:rsidR="00536830">
        <w:t xml:space="preserve">den </w:t>
      </w:r>
      <w:r>
        <w:t>statlig</w:t>
      </w:r>
      <w:r w:rsidR="00536830">
        <w:t>e</w:t>
      </w:r>
      <w:r>
        <w:t xml:space="preserve"> innflytelse</w:t>
      </w:r>
      <w:r w:rsidR="00536830">
        <w:t>n.</w:t>
      </w:r>
      <w:r>
        <w:t xml:space="preserve"> Velferdsområdene vil ikke</w:t>
      </w:r>
      <w:r w:rsidR="005038E3">
        <w:t>,</w:t>
      </w:r>
      <w:r>
        <w:t xml:space="preserve"> i første fase av reformen</w:t>
      </w:r>
      <w:r w:rsidR="002A644C">
        <w:t>,</w:t>
      </w:r>
      <w:r>
        <w:t xml:space="preserve"> ha beskatningsrett </w:t>
      </w:r>
      <w:r w:rsidR="00E94EA5">
        <w:fldChar w:fldCharType="begin"/>
      </w:r>
      <w:r w:rsidR="00A27571">
        <w:instrText xml:space="preserve"> ADDIN EN.CITE &lt;EndNote&gt;&lt;Cite&gt;&lt;Author&gt;Social- och hälsovårdministeriet&lt;/Author&gt;&lt;Year&gt;[s.a.]&lt;/Year&gt;&lt;RecNum&gt;63&lt;/RecNum&gt;&lt;DisplayText&gt;(Social- och hälsovårdministeriet, [s.a.])&lt;/DisplayText&gt;&lt;record&gt;&lt;rec-number&gt;63&lt;/rec-number&gt;&lt;foreign-keys&gt;&lt;key app="EN" db-id="95tpr2tp6r9xwoea9rb5wdsz5ds5xeddteew" timestamp="1680069511"&gt;63&lt;/key&gt;&lt;/foreign-keys&gt;&lt;ref-type name="Web Page"&gt;12&lt;/ref-type&gt;&lt;contributors&gt;&lt;authors&gt;&lt;author&gt;Social- och hälsovårdministeriet,&lt;/author&gt;&lt;/authors&gt;&lt;/contributors&gt;&lt;titles&gt;&lt;title&gt;Bestämmande av finansieringsnivån och årlig justering&lt;/title&gt;&lt;/titles&gt;&lt;number&gt;22. mars 2023&lt;/number&gt;&lt;dates&gt;&lt;year&gt;[s.a.]&lt;/year&gt;&lt;/dates&gt;&lt;pub-location&gt;Helsingfors&lt;/pub-location&gt;&lt;publisher&gt;Institutet för hälsa och välfärd&lt;/publisher&gt;&lt;work-type&gt;nettdokument&lt;/work-type&gt;&lt;urls&gt;&lt;related-urls&gt;&lt;url&gt;https://soteuudistus.fi/sv/bestammande-justering-av-finansieringen&lt;/url&gt;&lt;/related-urls&gt;&lt;/urls&gt;&lt;/record&gt;&lt;/Cite&gt;&lt;/EndNote&gt;</w:instrText>
      </w:r>
      <w:r w:rsidR="00E94EA5">
        <w:fldChar w:fldCharType="separate"/>
      </w:r>
      <w:r w:rsidR="00A27571">
        <w:rPr>
          <w:noProof/>
        </w:rPr>
        <w:t>(Social- och hälsovårdministeriet, [s.a.])</w:t>
      </w:r>
      <w:r w:rsidR="00E94EA5">
        <w:fldChar w:fldCharType="end"/>
      </w:r>
      <w:r>
        <w:t>.</w:t>
      </w:r>
    </w:p>
    <w:p w14:paraId="6676FBA6" w14:textId="66BA094E" w:rsidR="00841875" w:rsidRPr="0070261A" w:rsidRDefault="00841875" w:rsidP="00775632">
      <w:pPr>
        <w:pStyle w:val="Overskrift3"/>
      </w:pPr>
      <w:bookmarkStart w:id="1132" w:name="_Toc126285336"/>
      <w:bookmarkStart w:id="1133" w:name="_Toc126709463"/>
      <w:bookmarkStart w:id="1134" w:name="_Toc126918003"/>
      <w:bookmarkStart w:id="1135" w:name="_Toc126937693"/>
      <w:bookmarkStart w:id="1136" w:name="_Toc127633195"/>
      <w:bookmarkStart w:id="1137" w:name="_Toc127864481"/>
      <w:bookmarkStart w:id="1138" w:name="_Toc128032503"/>
      <w:bookmarkStart w:id="1139" w:name="_Toc128238484"/>
      <w:bookmarkStart w:id="1140" w:name="_Toc128741964"/>
      <w:bookmarkStart w:id="1141" w:name="_Toc128744559"/>
      <w:bookmarkStart w:id="1142" w:name="_Toc128744778"/>
      <w:bookmarkStart w:id="1143" w:name="_Toc129630276"/>
      <w:bookmarkStart w:id="1144" w:name="_Toc129962169"/>
      <w:bookmarkStart w:id="1145" w:name="_Toc130154238"/>
      <w:bookmarkStart w:id="1146" w:name="_Toc130490054"/>
      <w:bookmarkStart w:id="1147" w:name="_Toc130763784"/>
      <w:bookmarkStart w:id="1148" w:name="_Toc130766679"/>
      <w:bookmarkStart w:id="1149" w:name="_Toc130932079"/>
      <w:bookmarkStart w:id="1150" w:name="_Toc130934370"/>
      <w:bookmarkStart w:id="1151" w:name="_Toc130983423"/>
      <w:bookmarkStart w:id="1152" w:name="_Toc130983772"/>
      <w:bookmarkStart w:id="1153" w:name="_Toc131062104"/>
      <w:bookmarkStart w:id="1154" w:name="_Toc131062358"/>
      <w:bookmarkStart w:id="1155" w:name="_Toc131062619"/>
      <w:bookmarkStart w:id="1156" w:name="_Toc131062872"/>
      <w:bookmarkStart w:id="1157" w:name="_Toc131063640"/>
      <w:bookmarkStart w:id="1158" w:name="_Toc131064060"/>
      <w:bookmarkStart w:id="1159" w:name="_Toc131238350"/>
      <w:bookmarkStart w:id="1160" w:name="_Toc131279380"/>
      <w:bookmarkStart w:id="1161" w:name="_Toc131286792"/>
      <w:bookmarkStart w:id="1162" w:name="_Toc131281202"/>
      <w:bookmarkStart w:id="1163" w:name="_Toc131317741"/>
      <w:bookmarkStart w:id="1164" w:name="_Toc132536945"/>
      <w:bookmarkStart w:id="1165" w:name="_Toc126767286"/>
      <w:r>
        <w:t xml:space="preserve">Forvaltningsnivå </w:t>
      </w:r>
      <w:r w:rsidR="006D0B06">
        <w:t>og</w:t>
      </w:r>
      <w:r>
        <w:t xml:space="preserve"> s</w:t>
      </w:r>
      <w:r w:rsidRPr="0070261A">
        <w:t>ørge-for</w:t>
      </w:r>
      <w:bookmarkEnd w:id="1132"/>
      <w:bookmarkEnd w:id="1133"/>
      <w:bookmarkEnd w:id="1134"/>
      <w:bookmarkEnd w:id="1135"/>
      <w:bookmarkEnd w:id="1136"/>
      <w:bookmarkEnd w:id="1137"/>
      <w:bookmarkEnd w:id="1138"/>
      <w:bookmarkEnd w:id="1139"/>
      <w:bookmarkEnd w:id="1140"/>
      <w:bookmarkEnd w:id="1141"/>
      <w:bookmarkEnd w:id="1142"/>
      <w:r w:rsidR="007520B7">
        <w:t>-</w:t>
      </w:r>
      <w:r w:rsidRPr="0070261A">
        <w:t>ansvar</w:t>
      </w:r>
      <w:r w:rsidR="006D0B06">
        <w:t>;</w:t>
      </w:r>
      <w:r w:rsidRPr="0070261A">
        <w:t xml:space="preserve"> Norge skiller seg ut</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3340DFE6" w14:textId="77777777" w:rsidR="00D9107F" w:rsidRDefault="00841875" w:rsidP="00841875">
      <w:pPr>
        <w:jc w:val="both"/>
      </w:pPr>
      <w:r w:rsidRPr="00FF70EA">
        <w:t>Hvilket styringsnivå allmennlegetjenesten er underlagt</w:t>
      </w:r>
      <w:r w:rsidR="00534315">
        <w:t>,</w:t>
      </w:r>
      <w:r w:rsidRPr="00FF70EA">
        <w:t xml:space="preserve"> er forskjellig i landene. Allmennlegene i både Sverige og Danmark </w:t>
      </w:r>
      <w:r w:rsidR="00381C8B">
        <w:t xml:space="preserve">er </w:t>
      </w:r>
      <w:r w:rsidRPr="00FF70EA">
        <w:t xml:space="preserve">organisatorisk tilknyttet regionene, mens </w:t>
      </w:r>
      <w:r w:rsidR="00534315">
        <w:t>de</w:t>
      </w:r>
      <w:r w:rsidR="00BD2193">
        <w:t>t</w:t>
      </w:r>
      <w:r w:rsidR="00534315">
        <w:t xml:space="preserve"> i Norge er </w:t>
      </w:r>
      <w:r w:rsidRPr="00FF70EA">
        <w:t xml:space="preserve">kommunene </w:t>
      </w:r>
      <w:r w:rsidR="00BD2193">
        <w:t xml:space="preserve">som </w:t>
      </w:r>
      <w:r w:rsidRPr="00FF70EA">
        <w:t>har ansvaret for allmennlegetjenesten. I Finland er det de 21 nye helse</w:t>
      </w:r>
      <w:r w:rsidR="00F96BEB">
        <w:t>-</w:t>
      </w:r>
      <w:r w:rsidRPr="00FF70EA">
        <w:t xml:space="preserve"> og velferdsområdene (Health and Well-being counties) som skal planlegge og sørge for de fleste helsetjeneste</w:t>
      </w:r>
      <w:r w:rsidRPr="008F639A">
        <w:t xml:space="preserve">r </w:t>
      </w:r>
      <w:r>
        <w:fldChar w:fldCharType="begin"/>
      </w:r>
      <w:r w:rsidR="00D078E3">
        <w:instrText xml:space="preserve"> ADDIN EN.CITE &lt;EndNote&gt;&lt;Cite ExcludeAuth="1"&gt;&lt;Year&gt;2021&lt;/Year&gt;&lt;RecNum&gt;435&lt;/RecNum&gt;&lt;DisplayText&gt;(&lt;style face="italic"&gt;Lag om ordnande av social- och hälsovård&lt;/style&gt;, 2021)&lt;/DisplayText&gt;&lt;record&gt;&lt;rec-number&gt;435&lt;/rec-number&gt;&lt;foreign-keys&gt;&lt;key app="EN" db-id="95tpr2tp6r9xwoea9rb5wdsz5ds5xeddteew" timestamp="1680069511"&gt;435&lt;/key&gt;&lt;/foreign-keys&gt;&lt;ref-type name="Legal Rule or Regulation"&gt;50&lt;/ref-type&gt;&lt;contributors&gt;&lt;/contributors&gt;&lt;titles&gt;&lt;title&gt;Lag om ordnande av social- och hälsovård&lt;/title&gt;&lt;secondary-title&gt;612/2021&lt;/secondary-title&gt;&lt;/titles&gt;&lt;edition&gt;221/2023&lt;/edition&gt;&lt;dates&gt;&lt;year&gt;2021&lt;/year&gt;&lt;/dates&gt;&lt;urls&gt;&lt;related-urls&gt;&lt;url&gt;https://www.finlex.fi/sv/laki/smur/2021/20210612&lt;/url&gt;&lt;/related-urls&gt;&lt;/urls&gt;&lt;/record&gt;&lt;/Cite&gt;&lt;/EndNote&gt;</w:instrText>
      </w:r>
      <w:r>
        <w:fldChar w:fldCharType="separate"/>
      </w:r>
      <w:r w:rsidR="00D078E3">
        <w:rPr>
          <w:noProof/>
        </w:rPr>
        <w:t>(</w:t>
      </w:r>
      <w:r w:rsidR="00D078E3" w:rsidRPr="00D9107F">
        <w:rPr>
          <w:rStyle w:val="kursiv"/>
        </w:rPr>
        <w:t>Lag om ordnande av social- och hälsovård</w:t>
      </w:r>
      <w:r w:rsidR="00D078E3">
        <w:rPr>
          <w:noProof/>
        </w:rPr>
        <w:t>, 2021)</w:t>
      </w:r>
      <w:r>
        <w:fldChar w:fldCharType="end"/>
      </w:r>
      <w:r w:rsidRPr="008F639A">
        <w:t>.</w:t>
      </w:r>
      <w:r w:rsidRPr="00FF70EA">
        <w:t xml:space="preserve"> </w:t>
      </w:r>
      <w:r w:rsidR="00CF6657" w:rsidRPr="00FF70EA">
        <w:t>De</w:t>
      </w:r>
      <w:r w:rsidR="00CF6657">
        <w:t>t er de</w:t>
      </w:r>
      <w:r w:rsidR="00CF6657" w:rsidRPr="00FF70EA">
        <w:t xml:space="preserve">mokratisk representasjon gjennom valg på regionalt nivå i Sverige, Finland og Danmark og </w:t>
      </w:r>
      <w:r w:rsidR="005038E3">
        <w:t xml:space="preserve">i </w:t>
      </w:r>
      <w:r w:rsidR="00CF6657" w:rsidRPr="00FF70EA">
        <w:t>kommunene i Norge.</w:t>
      </w:r>
    </w:p>
    <w:p w14:paraId="01AB7D7C" w14:textId="77777777" w:rsidR="00D9107F" w:rsidRDefault="00841875" w:rsidP="00841875">
      <w:pPr>
        <w:jc w:val="both"/>
      </w:pPr>
      <w:r w:rsidRPr="00FF70EA">
        <w:t>42 Integrated Care Systems (ICS) i England</w:t>
      </w:r>
      <w:r>
        <w:t xml:space="preserve"> </w:t>
      </w:r>
      <w:r w:rsidRPr="00FF70EA">
        <w:t xml:space="preserve">og 14 Health Boards i Scotland er ansvarlige for å </w:t>
      </w:r>
      <w:r w:rsidRPr="008F639A">
        <w:t>planlegge og sørge for helsetjenester innen sine områder.</w:t>
      </w:r>
      <w:r>
        <w:t xml:space="preserve"> </w:t>
      </w:r>
      <w:r w:rsidRPr="00CF4196">
        <w:t>Dette er desentraliserte organer underlagt N</w:t>
      </w:r>
      <w:r w:rsidR="00A46F43">
        <w:t xml:space="preserve">ational </w:t>
      </w:r>
      <w:r w:rsidRPr="00CF4196">
        <w:t>H</w:t>
      </w:r>
      <w:r w:rsidR="00A46F43">
        <w:t xml:space="preserve">ealth </w:t>
      </w:r>
      <w:r w:rsidRPr="00CF4196">
        <w:t>S</w:t>
      </w:r>
      <w:r w:rsidR="00A46F43">
        <w:t>ervice</w:t>
      </w:r>
      <w:r w:rsidRPr="00CF4196">
        <w:t xml:space="preserve"> </w:t>
      </w:r>
      <w:r w:rsidR="000A72CE">
        <w:t>i begge landene.</w:t>
      </w:r>
      <w:r w:rsidRPr="00CF4196">
        <w:t xml:space="preserve"> </w:t>
      </w:r>
      <w:r w:rsidRPr="00FF70EA">
        <w:t>Norge skiller seg fra de andre landene ved at allmennlegetjenesten ikke ligger på samme forvaltningsnivå som sykehusene.</w:t>
      </w:r>
    </w:p>
    <w:p w14:paraId="4B106737" w14:textId="19B44FA5" w:rsidR="00841875" w:rsidRPr="00FF70EA" w:rsidRDefault="00841875" w:rsidP="00841875">
      <w:pPr>
        <w:jc w:val="both"/>
      </w:pPr>
      <w:r w:rsidRPr="00FF70EA">
        <w:t>Nederland skiller seg fra de nordiske landene, Skottland og England både når det gjelder finansieringskilde</w:t>
      </w:r>
      <w:r w:rsidR="006B640F">
        <w:t>r</w:t>
      </w:r>
      <w:r w:rsidRPr="00FF70EA">
        <w:t xml:space="preserve"> (forsikring og skatt)</w:t>
      </w:r>
      <w:r w:rsidR="00500B88">
        <w:t xml:space="preserve"> og</w:t>
      </w:r>
      <w:r w:rsidRPr="00FF70EA">
        <w:t xml:space="preserve"> </w:t>
      </w:r>
      <w:r w:rsidR="002E6488">
        <w:t>plassering av</w:t>
      </w:r>
      <w:r w:rsidRPr="00FF70EA">
        <w:t xml:space="preserve"> sørge-for-ansvaret</w:t>
      </w:r>
      <w:r w:rsidR="00500B88">
        <w:t>, som</w:t>
      </w:r>
      <w:r w:rsidR="00D10284">
        <w:t xml:space="preserve"> i Nederland</w:t>
      </w:r>
      <w:r w:rsidR="00500B88">
        <w:t xml:space="preserve"> er lagt til </w:t>
      </w:r>
      <w:r w:rsidR="00D10284" w:rsidRPr="00FF70EA">
        <w:t>forsikringsselskaper</w:t>
      </w:r>
      <w:r w:rsidR="00D10284">
        <w:t>.</w:t>
      </w:r>
    </w:p>
    <w:p w14:paraId="779EAA4B" w14:textId="5FA08C1A" w:rsidR="00841875" w:rsidRPr="00670E28" w:rsidRDefault="00841875" w:rsidP="00775632">
      <w:pPr>
        <w:pStyle w:val="tabell-tittel"/>
      </w:pPr>
      <w:r w:rsidRPr="00FF70EA">
        <w:lastRenderedPageBreak/>
        <w:t>Organ med ansvar for allmennlegetjenesten og antall praksiser</w:t>
      </w:r>
      <w:r>
        <w:t>*</w:t>
      </w:r>
    </w:p>
    <w:tbl>
      <w:tblPr>
        <w:tblStyle w:val="EUTabellstil"/>
        <w:tblW w:w="5000" w:type="pct"/>
        <w:tblLook w:val="04A0" w:firstRow="1" w:lastRow="0" w:firstColumn="1" w:lastColumn="0" w:noHBand="0" w:noVBand="1"/>
      </w:tblPr>
      <w:tblGrid>
        <w:gridCol w:w="1742"/>
        <w:gridCol w:w="3230"/>
        <w:gridCol w:w="2453"/>
        <w:gridCol w:w="2311"/>
      </w:tblGrid>
      <w:tr w:rsidR="00841875" w:rsidRPr="00FF70EA" w14:paraId="79CA712E" w14:textId="77777777" w:rsidTr="00C6773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Borders>
              <w:bottom w:val="single" w:sz="24" w:space="0" w:color="2A3652"/>
            </w:tcBorders>
            <w:shd w:val="clear" w:color="auto" w:fill="A9D6B9"/>
          </w:tcPr>
          <w:p w14:paraId="1CF8091E" w14:textId="77777777" w:rsidR="00841875" w:rsidRPr="00D9107F" w:rsidRDefault="00841875" w:rsidP="000E769C">
            <w:pPr>
              <w:pStyle w:val="TabellHode-kolonne"/>
              <w:rPr>
                <w:rStyle w:val="halvfet"/>
              </w:rPr>
            </w:pPr>
          </w:p>
        </w:tc>
        <w:tc>
          <w:tcPr>
            <w:tcW w:w="1659" w:type="pct"/>
            <w:tcBorders>
              <w:bottom w:val="single" w:sz="24" w:space="0" w:color="2A3652"/>
            </w:tcBorders>
            <w:shd w:val="clear" w:color="auto" w:fill="A9D6B9"/>
          </w:tcPr>
          <w:p w14:paraId="72827FC3" w14:textId="70B93995"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Sørge-for-ansvar</w:t>
            </w:r>
            <w:r w:rsidR="005038E3" w:rsidRPr="00D9107F">
              <w:rPr>
                <w:rStyle w:val="halvfet"/>
              </w:rPr>
              <w:t xml:space="preserve"> –</w:t>
            </w:r>
            <w:r w:rsidRPr="00D9107F">
              <w:rPr>
                <w:rStyle w:val="halvfet"/>
              </w:rPr>
              <w:t xml:space="preserve"> Allmennlegetjenesten</w:t>
            </w:r>
          </w:p>
        </w:tc>
        <w:tc>
          <w:tcPr>
            <w:tcW w:w="1260" w:type="pct"/>
            <w:tcBorders>
              <w:bottom w:val="single" w:sz="24" w:space="0" w:color="2A3652"/>
            </w:tcBorders>
            <w:shd w:val="clear" w:color="auto" w:fill="A9D6B9"/>
          </w:tcPr>
          <w:p w14:paraId="136C6111"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Eksempel Strukturerer for samarbeid/ integrasjon med annet personell/ tjenester</w:t>
            </w:r>
          </w:p>
        </w:tc>
        <w:tc>
          <w:tcPr>
            <w:tcW w:w="1188" w:type="pct"/>
            <w:tcBorders>
              <w:bottom w:val="single" w:sz="24" w:space="0" w:color="2A3652"/>
            </w:tcBorders>
            <w:shd w:val="clear" w:color="auto" w:fill="A9D6B9"/>
          </w:tcPr>
          <w:p w14:paraId="3FD47B27"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Antall praksiser</w:t>
            </w:r>
          </w:p>
        </w:tc>
      </w:tr>
      <w:tr w:rsidR="00841875" w:rsidRPr="00FF70EA" w14:paraId="03A9FD5F" w14:textId="77777777" w:rsidTr="00C67738">
        <w:trPr>
          <w:trHeight w:val="350"/>
        </w:trPr>
        <w:tc>
          <w:tcPr>
            <w:cnfStyle w:val="001000000000" w:firstRow="0" w:lastRow="0" w:firstColumn="1" w:lastColumn="0" w:oddVBand="0" w:evenVBand="0" w:oddHBand="0" w:evenHBand="0" w:firstRowFirstColumn="0" w:firstRowLastColumn="0" w:lastRowFirstColumn="0" w:lastRowLastColumn="0"/>
            <w:tcW w:w="894" w:type="pct"/>
            <w:tcBorders>
              <w:top w:val="single" w:sz="24" w:space="0" w:color="2A3652"/>
            </w:tcBorders>
          </w:tcPr>
          <w:p w14:paraId="6664DECE" w14:textId="77777777" w:rsidR="00841875" w:rsidRPr="000516F7" w:rsidRDefault="00841875" w:rsidP="000E769C">
            <w:pPr>
              <w:pStyle w:val="TabellHode-rad"/>
            </w:pPr>
            <w:r w:rsidRPr="000516F7">
              <w:t>Norge</w:t>
            </w:r>
          </w:p>
        </w:tc>
        <w:tc>
          <w:tcPr>
            <w:tcW w:w="1659" w:type="pct"/>
            <w:tcBorders>
              <w:top w:val="single" w:sz="24" w:space="0" w:color="2A3652"/>
            </w:tcBorders>
          </w:tcPr>
          <w:p w14:paraId="46C470A8"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356 Kommuner</w:t>
            </w:r>
          </w:p>
        </w:tc>
        <w:tc>
          <w:tcPr>
            <w:tcW w:w="1260" w:type="pct"/>
            <w:tcBorders>
              <w:top w:val="single" w:sz="24" w:space="0" w:color="2A3652"/>
            </w:tcBorders>
          </w:tcPr>
          <w:p w14:paraId="7922C57A"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Kommunale variasjoner</w:t>
            </w:r>
            <w:r>
              <w:t xml:space="preserve"> </w:t>
            </w:r>
          </w:p>
        </w:tc>
        <w:tc>
          <w:tcPr>
            <w:tcW w:w="1188" w:type="pct"/>
            <w:tcBorders>
              <w:top w:val="single" w:sz="24" w:space="0" w:color="2A3652"/>
            </w:tcBorders>
          </w:tcPr>
          <w:p w14:paraId="45FEE177" w14:textId="032D92D4" w:rsidR="00841875" w:rsidRPr="00FF70EA" w:rsidRDefault="00D9107F" w:rsidP="000E769C">
            <w:pPr>
              <w:cnfStyle w:val="000000000000" w:firstRow="0" w:lastRow="0" w:firstColumn="0" w:lastColumn="0" w:oddVBand="0" w:evenVBand="0" w:oddHBand="0" w:evenHBand="0" w:firstRowFirstColumn="0" w:firstRowLastColumn="0" w:lastRowFirstColumn="0" w:lastRowLastColumn="0"/>
            </w:pPr>
            <w:r w:rsidRPr="00FF70EA">
              <w:t>1</w:t>
            </w:r>
            <w:r>
              <w:t> </w:t>
            </w:r>
            <w:r w:rsidRPr="00FF70EA">
              <w:t>360</w:t>
            </w:r>
            <w:r w:rsidR="00841875" w:rsidRPr="00FF70EA">
              <w:t xml:space="preserve"> praksiser </w:t>
            </w:r>
          </w:p>
        </w:tc>
      </w:tr>
      <w:tr w:rsidR="00841875" w:rsidRPr="00FF70EA" w14:paraId="35F77531" w14:textId="77777777" w:rsidTr="00C67738">
        <w:trPr>
          <w:trHeight w:val="340"/>
        </w:trPr>
        <w:tc>
          <w:tcPr>
            <w:cnfStyle w:val="001000000000" w:firstRow="0" w:lastRow="0" w:firstColumn="1" w:lastColumn="0" w:oddVBand="0" w:evenVBand="0" w:oddHBand="0" w:evenHBand="0" w:firstRowFirstColumn="0" w:firstRowLastColumn="0" w:lastRowFirstColumn="0" w:lastRowLastColumn="0"/>
            <w:tcW w:w="894" w:type="pct"/>
          </w:tcPr>
          <w:p w14:paraId="2B69CA9A" w14:textId="77777777" w:rsidR="00841875" w:rsidRPr="000516F7" w:rsidRDefault="00841875" w:rsidP="000E769C">
            <w:pPr>
              <w:pStyle w:val="TabellHode-rad"/>
            </w:pPr>
            <w:r w:rsidRPr="000516F7">
              <w:t>Danmark</w:t>
            </w:r>
          </w:p>
        </w:tc>
        <w:tc>
          <w:tcPr>
            <w:tcW w:w="1659" w:type="pct"/>
          </w:tcPr>
          <w:p w14:paraId="148E4C6A"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5 Regioner</w:t>
            </w:r>
          </w:p>
        </w:tc>
        <w:tc>
          <w:tcPr>
            <w:tcW w:w="1260" w:type="pct"/>
          </w:tcPr>
          <w:p w14:paraId="32164983"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 xml:space="preserve">Nærsygehuse </w:t>
            </w:r>
            <w:r>
              <w:t>o</w:t>
            </w:r>
            <w:r w:rsidRPr="00FF70EA">
              <w:t xml:space="preserve">g Sundhedshuse </w:t>
            </w:r>
          </w:p>
        </w:tc>
        <w:tc>
          <w:tcPr>
            <w:tcW w:w="1188" w:type="pct"/>
          </w:tcPr>
          <w:p w14:paraId="1C0EF99D" w14:textId="5B3E05FC" w:rsidR="00841875" w:rsidRPr="00FF70EA" w:rsidRDefault="00D9107F" w:rsidP="000E769C">
            <w:pPr>
              <w:cnfStyle w:val="000000000000" w:firstRow="0" w:lastRow="0" w:firstColumn="0" w:lastColumn="0" w:oddVBand="0" w:evenVBand="0" w:oddHBand="0" w:evenHBand="0" w:firstRowFirstColumn="0" w:firstRowLastColumn="0" w:lastRowFirstColumn="0" w:lastRowLastColumn="0"/>
            </w:pPr>
            <w:r w:rsidRPr="00FF70EA">
              <w:t>1</w:t>
            </w:r>
            <w:r>
              <w:t> </w:t>
            </w:r>
            <w:r w:rsidRPr="00FF70EA">
              <w:t>678</w:t>
            </w:r>
            <w:r w:rsidR="00841875" w:rsidRPr="00FF70EA">
              <w:t xml:space="preserve"> </w:t>
            </w:r>
            <w:r w:rsidR="00841875">
              <w:t xml:space="preserve">praksiser </w:t>
            </w:r>
          </w:p>
        </w:tc>
      </w:tr>
      <w:tr w:rsidR="00841875" w:rsidRPr="00FD4DC0" w14:paraId="0B0F2A01" w14:textId="77777777" w:rsidTr="00C67738">
        <w:trPr>
          <w:trHeight w:val="350"/>
        </w:trPr>
        <w:tc>
          <w:tcPr>
            <w:cnfStyle w:val="001000000000" w:firstRow="0" w:lastRow="0" w:firstColumn="1" w:lastColumn="0" w:oddVBand="0" w:evenVBand="0" w:oddHBand="0" w:evenHBand="0" w:firstRowFirstColumn="0" w:firstRowLastColumn="0" w:lastRowFirstColumn="0" w:lastRowLastColumn="0"/>
            <w:tcW w:w="894" w:type="pct"/>
          </w:tcPr>
          <w:p w14:paraId="7157AB4B" w14:textId="77777777" w:rsidR="00841875" w:rsidRPr="000516F7" w:rsidRDefault="00841875" w:rsidP="000E769C">
            <w:pPr>
              <w:pStyle w:val="TabellHode-rad"/>
            </w:pPr>
            <w:r w:rsidRPr="000516F7">
              <w:t>Skottland</w:t>
            </w:r>
          </w:p>
        </w:tc>
        <w:tc>
          <w:tcPr>
            <w:tcW w:w="1659" w:type="pct"/>
          </w:tcPr>
          <w:p w14:paraId="4B535BE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rPr>
                <w:lang w:val="en-US"/>
              </w:rPr>
            </w:pPr>
            <w:r>
              <w:t xml:space="preserve">14 Health Boards </w:t>
            </w:r>
          </w:p>
        </w:tc>
        <w:tc>
          <w:tcPr>
            <w:tcW w:w="1260" w:type="pct"/>
          </w:tcPr>
          <w:p w14:paraId="57FA5A5A" w14:textId="77777777" w:rsidR="00841875" w:rsidRPr="00880A2F" w:rsidRDefault="00841875" w:rsidP="000E769C">
            <w:pPr>
              <w:cnfStyle w:val="000000000000" w:firstRow="0" w:lastRow="0" w:firstColumn="0" w:lastColumn="0" w:oddVBand="0" w:evenVBand="0" w:oddHBand="0" w:evenHBand="0" w:firstRowFirstColumn="0" w:firstRowLastColumn="0" w:lastRowFirstColumn="0" w:lastRowLastColumn="0"/>
              <w:rPr>
                <w:lang w:val="en-US"/>
              </w:rPr>
            </w:pPr>
            <w:r w:rsidRPr="007C6230">
              <w:rPr>
                <w:lang w:val="en-US"/>
              </w:rPr>
              <w:t xml:space="preserve">31 Health and social care partnerships </w:t>
            </w:r>
          </w:p>
        </w:tc>
        <w:tc>
          <w:tcPr>
            <w:tcW w:w="1188" w:type="pct"/>
          </w:tcPr>
          <w:p w14:paraId="3A6924EF"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908 praksiser</w:t>
            </w:r>
          </w:p>
        </w:tc>
      </w:tr>
      <w:tr w:rsidR="00841875" w:rsidRPr="00FF70EA" w14:paraId="6975EFF6" w14:textId="77777777" w:rsidTr="00C67738">
        <w:trPr>
          <w:trHeight w:val="340"/>
        </w:trPr>
        <w:tc>
          <w:tcPr>
            <w:cnfStyle w:val="001000000000" w:firstRow="0" w:lastRow="0" w:firstColumn="1" w:lastColumn="0" w:oddVBand="0" w:evenVBand="0" w:oddHBand="0" w:evenHBand="0" w:firstRowFirstColumn="0" w:firstRowLastColumn="0" w:lastRowFirstColumn="0" w:lastRowLastColumn="0"/>
            <w:tcW w:w="894" w:type="pct"/>
          </w:tcPr>
          <w:p w14:paraId="5FCB2B1F" w14:textId="77777777" w:rsidR="00841875" w:rsidRPr="000516F7" w:rsidRDefault="00841875" w:rsidP="000E769C">
            <w:pPr>
              <w:pStyle w:val="TabellHode-rad"/>
            </w:pPr>
            <w:r w:rsidRPr="000516F7">
              <w:t>England</w:t>
            </w:r>
          </w:p>
        </w:tc>
        <w:tc>
          <w:tcPr>
            <w:tcW w:w="1659" w:type="pct"/>
          </w:tcPr>
          <w:p w14:paraId="10423E66"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42 Integrated Care systems</w:t>
            </w:r>
            <w:r w:rsidRPr="00D9107F">
              <w:rPr>
                <w:rStyle w:val="Fotnotereferanse"/>
              </w:rPr>
              <w:footnoteReference w:id="11"/>
            </w:r>
            <w:r w:rsidRPr="00FF70EA">
              <w:t xml:space="preserve"> (Boards)</w:t>
            </w:r>
          </w:p>
        </w:tc>
        <w:tc>
          <w:tcPr>
            <w:tcW w:w="1260" w:type="pct"/>
          </w:tcPr>
          <w:p w14:paraId="58608560" w14:textId="2A3B85D8"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3952F3">
              <w:t>1250 Primary</w:t>
            </w:r>
            <w:r w:rsidRPr="00FF70EA">
              <w:t xml:space="preserve"> care networks </w:t>
            </w:r>
            <w:r w:rsidRPr="00D9107F">
              <w:rPr>
                <w:rStyle w:val="Fotnotereferanse"/>
              </w:rPr>
              <w:footnoteReference w:id="12"/>
            </w:r>
            <w:r w:rsidR="00D9107F">
              <w:t xml:space="preserve"> </w:t>
            </w:r>
          </w:p>
        </w:tc>
        <w:tc>
          <w:tcPr>
            <w:tcW w:w="1188" w:type="pct"/>
          </w:tcPr>
          <w:p w14:paraId="09E9A82B" w14:textId="39B2D7FD"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Ca</w:t>
            </w:r>
            <w:r w:rsidR="00B73722">
              <w:t>.</w:t>
            </w:r>
            <w:r w:rsidRPr="00FF70EA">
              <w:t xml:space="preserve"> 6400 praksiser</w:t>
            </w:r>
          </w:p>
        </w:tc>
      </w:tr>
      <w:tr w:rsidR="00841875" w:rsidRPr="00FF70EA" w14:paraId="3F372B26" w14:textId="77777777" w:rsidTr="00C67738">
        <w:trPr>
          <w:trHeight w:val="526"/>
        </w:trPr>
        <w:tc>
          <w:tcPr>
            <w:cnfStyle w:val="001000000000" w:firstRow="0" w:lastRow="0" w:firstColumn="1" w:lastColumn="0" w:oddVBand="0" w:evenVBand="0" w:oddHBand="0" w:evenHBand="0" w:firstRowFirstColumn="0" w:firstRowLastColumn="0" w:lastRowFirstColumn="0" w:lastRowLastColumn="0"/>
            <w:tcW w:w="894" w:type="pct"/>
          </w:tcPr>
          <w:p w14:paraId="6C838FC0" w14:textId="77777777" w:rsidR="00841875" w:rsidRPr="000516F7" w:rsidRDefault="00841875" w:rsidP="000E769C">
            <w:pPr>
              <w:pStyle w:val="TabellHode-rad"/>
            </w:pPr>
            <w:r w:rsidRPr="000516F7">
              <w:t>Nederland</w:t>
            </w:r>
          </w:p>
        </w:tc>
        <w:tc>
          <w:tcPr>
            <w:tcW w:w="1659" w:type="pct"/>
          </w:tcPr>
          <w:p w14:paraId="0E2E9B5C" w14:textId="598F15D8"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Forsikringsselskaper</w:t>
            </w:r>
          </w:p>
        </w:tc>
        <w:tc>
          <w:tcPr>
            <w:tcW w:w="1260" w:type="pct"/>
          </w:tcPr>
          <w:p w14:paraId="2D0ACD66"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Nettverkssamarbeid</w:t>
            </w:r>
          </w:p>
        </w:tc>
        <w:tc>
          <w:tcPr>
            <w:tcW w:w="1188" w:type="pct"/>
          </w:tcPr>
          <w:p w14:paraId="127685A5" w14:textId="1FEFECF4" w:rsidR="00841875" w:rsidRPr="00FF70EA" w:rsidRDefault="00D9107F" w:rsidP="000E769C">
            <w:pPr>
              <w:cnfStyle w:val="000000000000" w:firstRow="0" w:lastRow="0" w:firstColumn="0" w:lastColumn="0" w:oddVBand="0" w:evenVBand="0" w:oddHBand="0" w:evenHBand="0" w:firstRowFirstColumn="0" w:firstRowLastColumn="0" w:lastRowFirstColumn="0" w:lastRowLastColumn="0"/>
            </w:pPr>
            <w:r w:rsidRPr="00FF70EA">
              <w:t>4</w:t>
            </w:r>
            <w:r>
              <w:t> </w:t>
            </w:r>
            <w:r w:rsidRPr="00FF70EA">
              <w:t>874</w:t>
            </w:r>
            <w:r w:rsidR="00841875" w:rsidRPr="00FF70EA">
              <w:t xml:space="preserve"> praksiser</w:t>
            </w:r>
          </w:p>
        </w:tc>
      </w:tr>
      <w:tr w:rsidR="00841875" w:rsidRPr="00FF70EA" w14:paraId="48026D7D" w14:textId="77777777" w:rsidTr="00C67738">
        <w:trPr>
          <w:trHeight w:val="340"/>
        </w:trPr>
        <w:tc>
          <w:tcPr>
            <w:cnfStyle w:val="001000000000" w:firstRow="0" w:lastRow="0" w:firstColumn="1" w:lastColumn="0" w:oddVBand="0" w:evenVBand="0" w:oddHBand="0" w:evenHBand="0" w:firstRowFirstColumn="0" w:firstRowLastColumn="0" w:lastRowFirstColumn="0" w:lastRowLastColumn="0"/>
            <w:tcW w:w="894" w:type="pct"/>
          </w:tcPr>
          <w:p w14:paraId="427F22DA" w14:textId="77777777" w:rsidR="00841875" w:rsidRPr="000516F7" w:rsidRDefault="00841875" w:rsidP="000E769C">
            <w:pPr>
              <w:pStyle w:val="TabellHode-rad"/>
            </w:pPr>
            <w:r w:rsidRPr="000516F7">
              <w:t>Sverige</w:t>
            </w:r>
          </w:p>
        </w:tc>
        <w:tc>
          <w:tcPr>
            <w:tcW w:w="1659" w:type="pct"/>
          </w:tcPr>
          <w:p w14:paraId="2268DB11"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 xml:space="preserve">21 Regioner </w:t>
            </w:r>
          </w:p>
        </w:tc>
        <w:tc>
          <w:tcPr>
            <w:tcW w:w="1260" w:type="pct"/>
          </w:tcPr>
          <w:p w14:paraId="2BA8D4C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Helsesentermodell</w:t>
            </w:r>
          </w:p>
        </w:tc>
        <w:tc>
          <w:tcPr>
            <w:tcW w:w="1188" w:type="pct"/>
          </w:tcPr>
          <w:p w14:paraId="06F863BD" w14:textId="4AB65097" w:rsidR="00841875" w:rsidRPr="00FF70EA" w:rsidRDefault="009F7537" w:rsidP="000E769C">
            <w:pPr>
              <w:cnfStyle w:val="000000000000" w:firstRow="0" w:lastRow="0" w:firstColumn="0" w:lastColumn="0" w:oddVBand="0" w:evenVBand="0" w:oddHBand="0" w:evenHBand="0" w:firstRowFirstColumn="0" w:firstRowLastColumn="0" w:lastRowFirstColumn="0" w:lastRowLastColumn="0"/>
            </w:pPr>
            <w:r>
              <w:t>1178 V</w:t>
            </w:r>
            <w:r w:rsidR="00841875" w:rsidRPr="00FF70EA">
              <w:t xml:space="preserve">årdcentraler </w:t>
            </w:r>
          </w:p>
        </w:tc>
      </w:tr>
      <w:tr w:rsidR="00841875" w:rsidRPr="00FF70EA" w14:paraId="36F8095B" w14:textId="77777777" w:rsidTr="00C67738">
        <w:trPr>
          <w:trHeight w:val="174"/>
        </w:trPr>
        <w:tc>
          <w:tcPr>
            <w:cnfStyle w:val="001000000000" w:firstRow="0" w:lastRow="0" w:firstColumn="1" w:lastColumn="0" w:oddVBand="0" w:evenVBand="0" w:oddHBand="0" w:evenHBand="0" w:firstRowFirstColumn="0" w:firstRowLastColumn="0" w:lastRowFirstColumn="0" w:lastRowLastColumn="0"/>
            <w:tcW w:w="894" w:type="pct"/>
          </w:tcPr>
          <w:p w14:paraId="202F324D" w14:textId="77777777" w:rsidR="00841875" w:rsidRPr="000516F7" w:rsidRDefault="00841875" w:rsidP="000E769C">
            <w:pPr>
              <w:pStyle w:val="TabellHode-rad"/>
            </w:pPr>
            <w:r w:rsidRPr="000516F7">
              <w:t>Finland</w:t>
            </w:r>
          </w:p>
        </w:tc>
        <w:tc>
          <w:tcPr>
            <w:tcW w:w="1659" w:type="pct"/>
          </w:tcPr>
          <w:p w14:paraId="4DA96EF1"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21 Velferdsområder</w:t>
            </w:r>
          </w:p>
        </w:tc>
        <w:tc>
          <w:tcPr>
            <w:tcW w:w="1260" w:type="pct"/>
          </w:tcPr>
          <w:p w14:paraId="7811EB83"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Helsesentermodell</w:t>
            </w:r>
          </w:p>
        </w:tc>
        <w:tc>
          <w:tcPr>
            <w:tcW w:w="1188" w:type="pct"/>
          </w:tcPr>
          <w:p w14:paraId="62850A3B"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t>130 helsesenter</w:t>
            </w:r>
            <w:r>
              <w:softHyphen/>
              <w:t>org</w:t>
            </w:r>
            <w:r>
              <w:softHyphen/>
              <w:t>ani</w:t>
            </w:r>
            <w:r>
              <w:softHyphen/>
              <w:t>sasjoner (510 lokale helse</w:t>
            </w:r>
            <w:r>
              <w:softHyphen/>
              <w:t>stasjoner/sentre)</w:t>
            </w:r>
          </w:p>
        </w:tc>
      </w:tr>
    </w:tbl>
    <w:p w14:paraId="4FABF583" w14:textId="77777777" w:rsidR="00D9107F" w:rsidRPr="00D9107F" w:rsidRDefault="00605382" w:rsidP="00C67738">
      <w:pPr>
        <w:spacing w:after="0"/>
        <w:rPr>
          <w:rStyle w:val="kursiv"/>
        </w:rPr>
      </w:pPr>
      <w:bookmarkStart w:id="1166" w:name="_Toc126767287"/>
      <w:bookmarkStart w:id="1167" w:name="_Toc126918004"/>
      <w:bookmarkEnd w:id="1165"/>
      <w:r w:rsidRPr="00D9107F">
        <w:rPr>
          <w:rStyle w:val="kursiv"/>
        </w:rPr>
        <w:t xml:space="preserve">Merknad: </w:t>
      </w:r>
      <w:r w:rsidR="00841875" w:rsidRPr="00D9107F">
        <w:rPr>
          <w:rStyle w:val="kursiv"/>
        </w:rPr>
        <w:t>*</w:t>
      </w:r>
      <w:r w:rsidRPr="00D9107F">
        <w:rPr>
          <w:rStyle w:val="kursiv"/>
        </w:rPr>
        <w:t xml:space="preserve"> </w:t>
      </w:r>
      <w:r w:rsidR="00841875" w:rsidRPr="00D9107F">
        <w:rPr>
          <w:rStyle w:val="kursiv"/>
        </w:rPr>
        <w:t>Tall fra de fleste land er fra 2022</w:t>
      </w:r>
      <w:r w:rsidR="00813857" w:rsidRPr="00D9107F">
        <w:rPr>
          <w:rStyle w:val="kursiv"/>
        </w:rPr>
        <w:t>, V</w:t>
      </w:r>
      <w:r w:rsidR="00841875" w:rsidRPr="00D9107F">
        <w:rPr>
          <w:rStyle w:val="kursiv"/>
        </w:rPr>
        <w:t>årdcentraler i Sverige</w:t>
      </w:r>
      <w:r w:rsidR="00813857" w:rsidRPr="00D9107F">
        <w:rPr>
          <w:rStyle w:val="kursiv"/>
        </w:rPr>
        <w:t xml:space="preserve"> fra 2021</w:t>
      </w:r>
      <w:r w:rsidR="00C67738" w:rsidRPr="00D9107F">
        <w:rPr>
          <w:rStyle w:val="kursiv"/>
        </w:rPr>
        <w:t xml:space="preserve"> </w:t>
      </w:r>
      <w:r w:rsidR="00841875" w:rsidRPr="00D9107F">
        <w:rPr>
          <w:rStyle w:val="kursiv"/>
        </w:rPr>
        <w:t>**</w:t>
      </w:r>
      <w:r w:rsidRPr="00D9107F">
        <w:rPr>
          <w:rStyle w:val="kursiv"/>
        </w:rPr>
        <w:t xml:space="preserve"> </w:t>
      </w:r>
      <w:r w:rsidR="00841875" w:rsidRPr="00D9107F">
        <w:rPr>
          <w:rStyle w:val="kursiv"/>
        </w:rPr>
        <w:t>En Lægekapacitet tilsvarer en helstilling. Inkluderer ikke leger i 19 udbudsklinikker og 13 regionsklinikker</w:t>
      </w:r>
      <w:r w:rsidR="00C67738" w:rsidRPr="00D9107F">
        <w:rPr>
          <w:rStyle w:val="kursiv"/>
        </w:rPr>
        <w:t>.</w:t>
      </w:r>
    </w:p>
    <w:p w14:paraId="4710DF62" w14:textId="77777777" w:rsidR="00D9107F" w:rsidRDefault="00A02D77" w:rsidP="00775632">
      <w:pPr>
        <w:pStyle w:val="Overskrift3"/>
      </w:pPr>
      <w:bookmarkStart w:id="1168" w:name="_Toc130763785"/>
      <w:bookmarkStart w:id="1169" w:name="_Toc130766680"/>
      <w:bookmarkStart w:id="1170" w:name="_Toc130932080"/>
      <w:bookmarkStart w:id="1171" w:name="_Toc130934371"/>
      <w:bookmarkStart w:id="1172" w:name="_Toc130983424"/>
      <w:bookmarkStart w:id="1173" w:name="_Toc130983773"/>
      <w:bookmarkStart w:id="1174" w:name="_Toc131062105"/>
      <w:bookmarkStart w:id="1175" w:name="_Toc131062359"/>
      <w:bookmarkStart w:id="1176" w:name="_Toc131062620"/>
      <w:bookmarkStart w:id="1177" w:name="_Toc131062873"/>
      <w:bookmarkStart w:id="1178" w:name="_Toc131063641"/>
      <w:bookmarkStart w:id="1179" w:name="_Toc131064061"/>
      <w:bookmarkStart w:id="1180" w:name="_Toc131238351"/>
      <w:bookmarkStart w:id="1181" w:name="_Toc131279381"/>
      <w:bookmarkStart w:id="1182" w:name="_Toc131286793"/>
      <w:bookmarkStart w:id="1183" w:name="_Toc131281203"/>
      <w:bookmarkStart w:id="1184" w:name="_Toc131317742"/>
      <w:bookmarkStart w:id="1185" w:name="_Toc132536946"/>
      <w:bookmarkStart w:id="1186" w:name="_Toc126937694"/>
      <w:bookmarkStart w:id="1187" w:name="_Toc127633196"/>
      <w:bookmarkStart w:id="1188" w:name="_Toc127864482"/>
      <w:bookmarkStart w:id="1189" w:name="_Toc128032504"/>
      <w:bookmarkStart w:id="1190" w:name="_Toc128238485"/>
      <w:bookmarkStart w:id="1191" w:name="_Toc128741965"/>
      <w:bookmarkStart w:id="1192" w:name="_Toc128744560"/>
      <w:bookmarkStart w:id="1193" w:name="_Toc128744779"/>
      <w:r w:rsidRPr="0070261A">
        <w:t>Varierende portvaktfunksjon</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34DAC9C8" w14:textId="2AF9AA8E" w:rsidR="00A02D77" w:rsidRPr="00FF70EA" w:rsidRDefault="00A02D77" w:rsidP="00E6257E">
      <w:pPr>
        <w:jc w:val="both"/>
      </w:pPr>
      <w:r w:rsidRPr="00E6257E">
        <w:t>I Norge</w:t>
      </w:r>
      <w:r w:rsidR="005038E3" w:rsidRPr="00E6257E">
        <w:t>,</w:t>
      </w:r>
      <w:r w:rsidRPr="00E6257E">
        <w:t xml:space="preserve"> og i de andre utvalgte landene med unntak av Sverige, har legene i allmennpraksis en formalisert og viktig portvaktfunksjon ved at innbyggerne må ha henvisning til planlagt oppfølging av spesialisthelsetjenesten</w:t>
      </w:r>
      <w:r w:rsidR="005038E3" w:rsidRPr="00E6257E">
        <w:t>,</w:t>
      </w:r>
      <w:r w:rsidRPr="00E6257E">
        <w:t xml:space="preserve"> og også for tilgang til en del andre lokalbaserte tjenester. Det er likevel noen forskjeller. Eksem</w:t>
      </w:r>
      <w:r w:rsidR="00EC23D9">
        <w:t>pelvis</w:t>
      </w:r>
      <w:r w:rsidRPr="00E6257E">
        <w:t xml:space="preserve"> kreves det i</w:t>
      </w:r>
      <w:r w:rsidRPr="00E6257E">
        <w:rPr>
          <w:color w:val="000000" w:themeColor="text1"/>
        </w:rPr>
        <w:t xml:space="preserve"> Danmark ikke henvisning for å komme </w:t>
      </w:r>
      <w:r w:rsidRPr="00E6257E">
        <w:rPr>
          <w:color w:val="000000" w:themeColor="text1"/>
        </w:rPr>
        <w:lastRenderedPageBreak/>
        <w:t>til øye</w:t>
      </w:r>
      <w:r w:rsidR="003F703A" w:rsidRPr="00E6257E">
        <w:rPr>
          <w:color w:val="000000" w:themeColor="text1"/>
        </w:rPr>
        <w:t>-</w:t>
      </w:r>
      <w:r w:rsidRPr="00E6257E">
        <w:rPr>
          <w:color w:val="000000" w:themeColor="text1"/>
        </w:rPr>
        <w:t xml:space="preserve"> og øre-nese hals-spesialist. I </w:t>
      </w:r>
      <w:r w:rsidRPr="00FF70EA">
        <w:t>Nederland pågår</w:t>
      </w:r>
      <w:r>
        <w:t xml:space="preserve"> en pilot som prøver ut d</w:t>
      </w:r>
      <w:r w:rsidRPr="00FF70EA">
        <w:t>irekte henvisning til ortopedisk kirurgi fra fysioterapeut</w:t>
      </w:r>
      <w:r>
        <w:t>.</w:t>
      </w:r>
    </w:p>
    <w:p w14:paraId="29E9B8A9" w14:textId="47DE6B35" w:rsidR="00D9107F" w:rsidRDefault="00A02D77" w:rsidP="00E6257E">
      <w:pPr>
        <w:jc w:val="both"/>
      </w:pPr>
      <w:r w:rsidRPr="00E6257E">
        <w:t xml:space="preserve">Sverige er det eneste landet hvor det ikke er formelle krav til henvisning til spesialisthelsetjenesten, men de fleste spesialister trenger i praksis en henvisning fra en behandler for å kunne foreta en riktig medisinsk prioritering av pasienten. Regionene kan likevel ikke innføre krav om henvisning innenfor spesialitetene pediatri, gynekologi og psykiatri til privatpraktiserende leger, som yter tjenester etter lov (1993: 1651) om </w:t>
      </w:r>
      <w:r w:rsidR="00D9107F">
        <w:t>«</w:t>
      </w:r>
      <w:r w:rsidRPr="00E6257E">
        <w:t>läkarvårdsersättning</w:t>
      </w:r>
      <w:r w:rsidR="00D9107F">
        <w:t>»</w:t>
      </w:r>
      <w:r w:rsidRPr="00E6257E">
        <w:t xml:space="preserve"> </w:t>
      </w:r>
      <w:r w:rsidR="00E94EA5">
        <w:rPr>
          <w:color w:val="000000" w:themeColor="text1"/>
        </w:rPr>
        <w:fldChar w:fldCharType="begin"/>
      </w:r>
      <w:r w:rsidR="004654FD">
        <w:rPr>
          <w:color w:val="000000" w:themeColor="text1"/>
        </w:rPr>
        <w:instrText xml:space="preserve"> ADDIN EN.CITE &lt;EndNote&gt;&lt;Cite&gt;&lt;Author&gt;Knutsson&lt;/Author&gt;&lt;Year&gt;2023&lt;/Year&gt;&lt;RecNum&gt;732&lt;/RecNum&gt;&lt;DisplayText&gt;(Knutsson, 2023)&lt;/DisplayText&gt;&lt;record&gt;&lt;rec-number&gt;732&lt;/rec-number&gt;&lt;foreign-keys&gt;&lt;key app="EN" db-id="95tpr2tp6r9xwoea9rb5wdsz5ds5xeddteew" timestamp="1680069511"&gt;732&lt;/key&gt;&lt;/foreign-keys&gt;&lt;ref-type name="Web Page"&gt;12&lt;/ref-type&gt;&lt;contributors&gt;&lt;authors&gt;&lt;author&gt;Knutsson, H.&lt;/author&gt;&lt;/authors&gt;&lt;/contributors&gt;&lt;titles&gt;&lt;title&gt;Sammanställning över regionernas krav på remiss i öppen vård&lt;/title&gt;&lt;/titles&gt;&lt;number&gt;14.03.23&lt;/number&gt;&lt;dates&gt;&lt;year&gt;2023&lt;/year&gt;&lt;pub-dates&gt;&lt;date&gt;16. februar 2023&lt;/date&gt;&lt;/pub-dates&gt;&lt;/dates&gt;&lt;pub-location&gt;Stockholm&lt;/pub-location&gt;&lt;publisher&gt;Sveriges Kommuner och Regioner&lt;/publisher&gt;&lt;work-type&gt;nettdokument&lt;/work-type&gt;&lt;urls&gt;&lt;/urls&gt;&lt;/record&gt;&lt;/Cite&gt;&lt;/EndNote&gt;</w:instrText>
      </w:r>
      <w:r w:rsidR="00E94EA5">
        <w:rPr>
          <w:color w:val="000000" w:themeColor="text1"/>
        </w:rPr>
        <w:fldChar w:fldCharType="separate"/>
      </w:r>
      <w:r w:rsidR="00E94EA5">
        <w:rPr>
          <w:noProof/>
          <w:color w:val="000000" w:themeColor="text1"/>
        </w:rPr>
        <w:t>(Knutsson, 2023)</w:t>
      </w:r>
      <w:r w:rsidR="00E94EA5">
        <w:rPr>
          <w:color w:val="000000" w:themeColor="text1"/>
        </w:rPr>
        <w:fldChar w:fldCharType="end"/>
      </w:r>
      <w:r w:rsidRPr="00E6257E">
        <w:t>. Det er ut over dette opp til regionene å stille krav til henvisning fra primærhelsetjenesten</w:t>
      </w:r>
      <w:r w:rsidR="005038E3" w:rsidRPr="00E6257E">
        <w:t>,</w:t>
      </w:r>
      <w:r w:rsidRPr="00E6257E">
        <w:t xml:space="preserve"> og dette varierer.</w:t>
      </w:r>
      <w:r w:rsidRPr="00A2554B">
        <w:t xml:space="preserve"> </w:t>
      </w:r>
      <w:r>
        <w:t xml:space="preserve">Seks av </w:t>
      </w:r>
      <w:r w:rsidR="005038E3">
        <w:t>de</w:t>
      </w:r>
      <w:r>
        <w:t xml:space="preserve"> </w:t>
      </w:r>
      <w:r w:rsidRPr="00611EB2">
        <w:t xml:space="preserve">21 regionene i Sverige </w:t>
      </w:r>
      <w:r>
        <w:t>hadde i 2022</w:t>
      </w:r>
      <w:r w:rsidRPr="00611EB2">
        <w:t xml:space="preserve"> ingen henvisningskrav for å oppsøke spesialistleger, 12 regioner ha</w:t>
      </w:r>
      <w:r>
        <w:t>dde</w:t>
      </w:r>
      <w:r w:rsidRPr="00611EB2">
        <w:t xml:space="preserve"> henvisningskrav for å gjennomgå en nevropsykiatrisk undersøkelse og 15 regioner ha</w:t>
      </w:r>
      <w:r>
        <w:t>dde</w:t>
      </w:r>
      <w:r w:rsidRPr="00611EB2">
        <w:t xml:space="preserve"> henvisningskrav for å oppsøke leger i andre deler av spesialist</w:t>
      </w:r>
      <w:r w:rsidR="005E5D9B">
        <w:t>helsetjenesten</w:t>
      </w:r>
      <w:r>
        <w:t>. A</w:t>
      </w:r>
      <w:r w:rsidRPr="00611EB2">
        <w:t xml:space="preserve">lle regioner </w:t>
      </w:r>
      <w:r>
        <w:t xml:space="preserve">krever </w:t>
      </w:r>
      <w:r w:rsidRPr="00611EB2">
        <w:t xml:space="preserve">henvisning til </w:t>
      </w:r>
      <w:r>
        <w:t>medisinske undersøkelser</w:t>
      </w:r>
      <w:r w:rsidRPr="00611EB2">
        <w:t>, for eksempel røntgenundersøkelser og prøvetaking</w:t>
      </w:r>
      <w:r>
        <w:t>. Mange</w:t>
      </w:r>
      <w:r w:rsidRPr="00611EB2">
        <w:t xml:space="preserve"> regioner har senket</w:t>
      </w:r>
      <w:r>
        <w:t xml:space="preserve"> egenandelen</w:t>
      </w:r>
      <w:r w:rsidRPr="00611EB2">
        <w:t xml:space="preserve"> til et nivå der </w:t>
      </w:r>
      <w:r>
        <w:t xml:space="preserve">prisen </w:t>
      </w:r>
      <w:r w:rsidRPr="00611EB2">
        <w:t>for besøk i primærhelsetjenesten og</w:t>
      </w:r>
      <w:r>
        <w:t xml:space="preserve"> </w:t>
      </w:r>
      <w:r w:rsidRPr="00611EB2">
        <w:t>til spesialistbehandling til sammen tilsvarer egenbetalingen dersom pasienten hadde søkt hjelp direkte i spesialist</w:t>
      </w:r>
      <w:r>
        <w:t>helsetjenesten</w:t>
      </w:r>
      <w:r w:rsidRPr="00611EB2">
        <w:t>.</w:t>
      </w:r>
      <w:r>
        <w:t xml:space="preserve"> </w:t>
      </w:r>
      <w:r w:rsidRPr="00FF70EA">
        <w:t>Pasiente</w:t>
      </w:r>
      <w:r>
        <w:t>r</w:t>
      </w:r>
      <w:r w:rsidRPr="00FF70EA">
        <w:t xml:space="preserve"> henvender seg direkte til spesialisthelsetjenesten innen </w:t>
      </w:r>
      <w:r w:rsidR="005038E3">
        <w:t>eksempelvis</w:t>
      </w:r>
      <w:r w:rsidRPr="00FF70EA">
        <w:t xml:space="preserve"> øyesykdommer. </w:t>
      </w:r>
      <w:r w:rsidRPr="00E6257E">
        <w:t>Det er også mulig å få henvisninger via de private digitale tjenestene, for eksempel KRY.</w:t>
      </w:r>
    </w:p>
    <w:p w14:paraId="171D30AD" w14:textId="6D567C41" w:rsidR="00841875" w:rsidRPr="00FF70EA" w:rsidRDefault="00841875" w:rsidP="00775632">
      <w:pPr>
        <w:pStyle w:val="Overskrift3"/>
      </w:pPr>
      <w:bookmarkStart w:id="1194" w:name="_Toc129630278"/>
      <w:bookmarkStart w:id="1195" w:name="_Toc129962171"/>
      <w:bookmarkStart w:id="1196" w:name="_Toc130154240"/>
      <w:bookmarkStart w:id="1197" w:name="_Toc130490056"/>
      <w:bookmarkStart w:id="1198" w:name="_Toc130763786"/>
      <w:bookmarkStart w:id="1199" w:name="_Toc130766681"/>
      <w:bookmarkStart w:id="1200" w:name="_Toc130932081"/>
      <w:bookmarkStart w:id="1201" w:name="_Toc130934372"/>
      <w:bookmarkStart w:id="1202" w:name="_Toc130983425"/>
      <w:bookmarkStart w:id="1203" w:name="_Toc130983774"/>
      <w:bookmarkStart w:id="1204" w:name="_Toc131062106"/>
      <w:bookmarkStart w:id="1205" w:name="_Toc131062360"/>
      <w:bookmarkStart w:id="1206" w:name="_Toc131062621"/>
      <w:bookmarkStart w:id="1207" w:name="_Toc131062874"/>
      <w:bookmarkStart w:id="1208" w:name="_Toc131063642"/>
      <w:bookmarkStart w:id="1209" w:name="_Toc131064062"/>
      <w:bookmarkStart w:id="1210" w:name="_Toc131238352"/>
      <w:bookmarkStart w:id="1211" w:name="_Toc131279382"/>
      <w:bookmarkStart w:id="1212" w:name="_Toc131286794"/>
      <w:bookmarkStart w:id="1213" w:name="_Toc131281204"/>
      <w:bookmarkStart w:id="1214" w:name="_Toc131317743"/>
      <w:bookmarkStart w:id="1215" w:name="_Toc132536947"/>
      <w:bookmarkEnd w:id="1166"/>
      <w:bookmarkEnd w:id="1167"/>
      <w:bookmarkEnd w:id="1186"/>
      <w:bookmarkEnd w:id="1187"/>
      <w:bookmarkEnd w:id="1188"/>
      <w:bookmarkEnd w:id="1189"/>
      <w:bookmarkEnd w:id="1190"/>
      <w:bookmarkEnd w:id="1191"/>
      <w:bookmarkEnd w:id="1192"/>
      <w:bookmarkEnd w:id="1193"/>
      <w:r>
        <w:t>Ulike d</w:t>
      </w:r>
      <w:r w:rsidRPr="00FF70EA">
        <w:t>riftsformer</w:t>
      </w:r>
      <w:r>
        <w:t xml:space="preserve"> og praksismodeller</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B5B55C0" w14:textId="2D2BB297" w:rsidR="00D9107F" w:rsidRDefault="00841875" w:rsidP="00841875">
      <w:pPr>
        <w:jc w:val="both"/>
      </w:pPr>
      <w:r w:rsidRPr="00FF70EA">
        <w:t>Organisering og driftsform på legepraksisene varierer mellom landene. Hovedskillene går på:</w:t>
      </w:r>
    </w:p>
    <w:p w14:paraId="3BBD223C" w14:textId="77777777" w:rsidR="00D9107F" w:rsidRDefault="00841875" w:rsidP="00775632">
      <w:pPr>
        <w:pStyle w:val="Listebombe"/>
      </w:pPr>
      <w:r>
        <w:t xml:space="preserve">Hvorvidt </w:t>
      </w:r>
      <w:r w:rsidRPr="00FF70EA">
        <w:t>tjenesten er organisert etter en helsesentermodell</w:t>
      </w:r>
      <w:r w:rsidR="005038E3">
        <w:t>,</w:t>
      </w:r>
      <w:r w:rsidRPr="00FF70EA">
        <w:t xml:space="preserve"> hvor flere tjenester er integrerte/samlokalisert</w:t>
      </w:r>
      <w:r w:rsidR="005038E3">
        <w:t>,</w:t>
      </w:r>
      <w:r w:rsidRPr="00FF70EA">
        <w:t xml:space="preserve"> eller</w:t>
      </w:r>
      <w:r>
        <w:t xml:space="preserve"> er organisert </w:t>
      </w:r>
      <w:r w:rsidRPr="00FF70EA">
        <w:t>som frittstående legekontor/legesenter</w:t>
      </w:r>
    </w:p>
    <w:p w14:paraId="1473301A" w14:textId="006F08FA" w:rsidR="00D9107F" w:rsidRDefault="00841875" w:rsidP="00775632">
      <w:pPr>
        <w:pStyle w:val="Listebombe"/>
      </w:pPr>
      <w:r>
        <w:t xml:space="preserve">Hvorvidt </w:t>
      </w:r>
      <w:r w:rsidRPr="00FF70EA">
        <w:t xml:space="preserve">legekontorene i hovedsak er drevet av </w:t>
      </w:r>
      <w:r w:rsidR="00CF1F16">
        <w:t>næringsdrivende</w:t>
      </w:r>
      <w:r w:rsidRPr="00FF70EA">
        <w:t xml:space="preserve"> leger</w:t>
      </w:r>
      <w:r w:rsidR="005038E3">
        <w:t>,</w:t>
      </w:r>
      <w:r w:rsidRPr="00FF70EA">
        <w:t xml:space="preserve"> som eier sin egen virksomhet</w:t>
      </w:r>
      <w:r w:rsidR="005038E3">
        <w:t>,</w:t>
      </w:r>
      <w:r w:rsidRPr="00FF70EA">
        <w:t xml:space="preserve"> eller ikke</w:t>
      </w:r>
    </w:p>
    <w:p w14:paraId="174F3FC5" w14:textId="3438BB17" w:rsidR="00D9107F" w:rsidRDefault="00841875" w:rsidP="00775632">
      <w:pPr>
        <w:pStyle w:val="Listebombe"/>
      </w:pPr>
      <w:r>
        <w:t xml:space="preserve">Hvorvidt </w:t>
      </w:r>
      <w:r w:rsidR="009772DB">
        <w:t>næringsdrivende</w:t>
      </w:r>
      <w:r w:rsidRPr="00FF70EA">
        <w:t xml:space="preserve"> leger er solopraktiserende</w:t>
      </w:r>
      <w:r w:rsidR="005038E3">
        <w:t>,</w:t>
      </w:r>
      <w:r w:rsidRPr="00FF70EA">
        <w:t xml:space="preserve"> eller er medeiere i en</w:t>
      </w:r>
      <w:r w:rsidR="00153CFE">
        <w:t xml:space="preserve"> </w:t>
      </w:r>
      <w:r w:rsidRPr="00FF70EA">
        <w:t>gruppepraksis (partnere)</w:t>
      </w:r>
    </w:p>
    <w:p w14:paraId="5009D302" w14:textId="77777777" w:rsidR="00D9107F" w:rsidRDefault="00841875" w:rsidP="00CB1C26">
      <w:pPr>
        <w:contextualSpacing/>
      </w:pPr>
      <w:r w:rsidRPr="00FF70EA">
        <w:t xml:space="preserve">Den vanlige modellen i Norge er </w:t>
      </w:r>
      <w:r>
        <w:t xml:space="preserve">gruppepraksis, hvor </w:t>
      </w:r>
      <w:r w:rsidRPr="00FF70EA">
        <w:t xml:space="preserve">hver enkelt lege eier sin egen praksis med egen inntekt og avtale med kommunen, men deler utgifter til lokaler, utstyr og personell med andre leger. </w:t>
      </w:r>
      <w:r>
        <w:t xml:space="preserve">I </w:t>
      </w:r>
      <w:r w:rsidRPr="00FF70EA">
        <w:t>Danmark kalles dette solopraksis med samarbeide</w:t>
      </w:r>
      <w:r>
        <w:t>.</w:t>
      </w:r>
      <w:r w:rsidRPr="00FF70EA">
        <w:t xml:space="preserve"> En </w:t>
      </w:r>
      <w:r>
        <w:t xml:space="preserve">alternativ </w:t>
      </w:r>
      <w:r w:rsidRPr="00FF70EA">
        <w:t xml:space="preserve">modell er </w:t>
      </w:r>
      <w:r>
        <w:t xml:space="preserve">at </w:t>
      </w:r>
      <w:r w:rsidRPr="00FF70EA">
        <w:t>det inngås formelt partnerskap mellom leger (gruppe</w:t>
      </w:r>
      <w:r>
        <w:t>avtaler</w:t>
      </w:r>
      <w:r w:rsidRPr="00FF70EA">
        <w:t>)</w:t>
      </w:r>
      <w:r w:rsidR="005038E3">
        <w:t>,</w:t>
      </w:r>
      <w:r w:rsidRPr="00FF70EA">
        <w:t xml:space="preserve"> som deler både utgifter</w:t>
      </w:r>
      <w:r>
        <w:t xml:space="preserve">, </w:t>
      </w:r>
      <w:r w:rsidRPr="00FF70EA">
        <w:t>inntekter</w:t>
      </w:r>
      <w:r>
        <w:t xml:space="preserve"> og pasienter</w:t>
      </w:r>
      <w:r w:rsidRPr="00FF70EA">
        <w:t>, og har en felles kontrakt med en offentlig bestiller. Dette er mer vanlig i flere av de andre landene.</w:t>
      </w:r>
    </w:p>
    <w:p w14:paraId="06975C8F" w14:textId="7F6E2383" w:rsidR="00841875" w:rsidRPr="00037001" w:rsidRDefault="00841875" w:rsidP="00775632">
      <w:pPr>
        <w:pStyle w:val="tabell-tittel"/>
      </w:pPr>
      <w:r w:rsidRPr="0054140C">
        <w:lastRenderedPageBreak/>
        <w:t>Vanligste driftsformer i allmennpraksis</w:t>
      </w:r>
      <w:r>
        <w:t xml:space="preserve"> (</w:t>
      </w:r>
      <w:r w:rsidR="005933B5">
        <w:t>t</w:t>
      </w:r>
      <w:r>
        <w:t>all fra 2022</w:t>
      </w:r>
      <w:r w:rsidR="00BB32BD">
        <w:t xml:space="preserve"> og </w:t>
      </w:r>
      <w:r>
        <w:t>jan 2023)</w:t>
      </w:r>
    </w:p>
    <w:tbl>
      <w:tblPr>
        <w:tblStyle w:val="EUTabellstil"/>
        <w:tblW w:w="9812" w:type="dxa"/>
        <w:tblLayout w:type="fixed"/>
        <w:tblLook w:val="04A0" w:firstRow="1" w:lastRow="0" w:firstColumn="1" w:lastColumn="0" w:noHBand="0" w:noVBand="1"/>
      </w:tblPr>
      <w:tblGrid>
        <w:gridCol w:w="1401"/>
        <w:gridCol w:w="1401"/>
        <w:gridCol w:w="1402"/>
        <w:gridCol w:w="1402"/>
        <w:gridCol w:w="1402"/>
        <w:gridCol w:w="1402"/>
        <w:gridCol w:w="1402"/>
      </w:tblGrid>
      <w:tr w:rsidR="00051ED1" w:rsidRPr="00FF70EA" w14:paraId="5EAD23D8" w14:textId="77777777" w:rsidTr="002843E0">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401" w:type="dxa"/>
            <w:tcBorders>
              <w:bottom w:val="single" w:sz="24" w:space="0" w:color="2A3652"/>
            </w:tcBorders>
            <w:shd w:val="clear" w:color="auto" w:fill="A9D6B9"/>
          </w:tcPr>
          <w:p w14:paraId="77C67E23" w14:textId="77777777" w:rsidR="00841875" w:rsidRPr="00D9107F" w:rsidRDefault="00841875" w:rsidP="000E769C">
            <w:pPr>
              <w:pStyle w:val="TabellHode-kolonne"/>
              <w:rPr>
                <w:rStyle w:val="halvfet"/>
              </w:rPr>
            </w:pPr>
            <w:bookmarkStart w:id="1216" w:name="_Hlk126330864"/>
          </w:p>
        </w:tc>
        <w:tc>
          <w:tcPr>
            <w:tcW w:w="1401" w:type="dxa"/>
            <w:tcBorders>
              <w:bottom w:val="single" w:sz="24" w:space="0" w:color="2A3652"/>
            </w:tcBorders>
            <w:shd w:val="clear" w:color="auto" w:fill="A9D6B9"/>
          </w:tcPr>
          <w:p w14:paraId="14E1FAA8"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Næringsdrift som hovedmodell</w:t>
            </w:r>
          </w:p>
        </w:tc>
        <w:tc>
          <w:tcPr>
            <w:tcW w:w="1402" w:type="dxa"/>
            <w:tcBorders>
              <w:bottom w:val="single" w:sz="24" w:space="0" w:color="2A3652"/>
            </w:tcBorders>
            <w:shd w:val="clear" w:color="auto" w:fill="A9D6B9"/>
          </w:tcPr>
          <w:p w14:paraId="3C59AEE9"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Partnerskaps-praksis hovedmodell </w:t>
            </w:r>
          </w:p>
        </w:tc>
        <w:tc>
          <w:tcPr>
            <w:tcW w:w="1402" w:type="dxa"/>
            <w:tcBorders>
              <w:bottom w:val="single" w:sz="24" w:space="0" w:color="2A3652"/>
            </w:tcBorders>
            <w:shd w:val="clear" w:color="auto" w:fill="A9D6B9"/>
          </w:tcPr>
          <w:p w14:paraId="5797FD1B"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Andel leger i solopraksis</w:t>
            </w:r>
          </w:p>
        </w:tc>
        <w:tc>
          <w:tcPr>
            <w:tcW w:w="1402" w:type="dxa"/>
            <w:tcBorders>
              <w:bottom w:val="single" w:sz="24" w:space="0" w:color="2A3652"/>
            </w:tcBorders>
            <w:shd w:val="clear" w:color="auto" w:fill="A9D6B9"/>
          </w:tcPr>
          <w:p w14:paraId="7CD5D430"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Andel praksiser med kun en lege </w:t>
            </w:r>
          </w:p>
        </w:tc>
        <w:tc>
          <w:tcPr>
            <w:tcW w:w="1402" w:type="dxa"/>
            <w:tcBorders>
              <w:bottom w:val="single" w:sz="24" w:space="0" w:color="2A3652"/>
            </w:tcBorders>
            <w:shd w:val="clear" w:color="auto" w:fill="A9D6B9"/>
          </w:tcPr>
          <w:p w14:paraId="323A3E68"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Andel praksiser med to leger</w:t>
            </w:r>
          </w:p>
        </w:tc>
        <w:tc>
          <w:tcPr>
            <w:tcW w:w="1402" w:type="dxa"/>
            <w:tcBorders>
              <w:bottom w:val="single" w:sz="24" w:space="0" w:color="2A3652"/>
            </w:tcBorders>
            <w:shd w:val="clear" w:color="auto" w:fill="A9D6B9"/>
          </w:tcPr>
          <w:p w14:paraId="7F78F71E"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Andel fast ansatte </w:t>
            </w:r>
          </w:p>
        </w:tc>
      </w:tr>
      <w:tr w:rsidR="00841875" w:rsidRPr="00FF70EA" w14:paraId="5405D609" w14:textId="77777777" w:rsidTr="002843E0">
        <w:trPr>
          <w:trHeight w:val="315"/>
        </w:trPr>
        <w:tc>
          <w:tcPr>
            <w:cnfStyle w:val="001000000000" w:firstRow="0" w:lastRow="0" w:firstColumn="1" w:lastColumn="0" w:oddVBand="0" w:evenVBand="0" w:oddHBand="0" w:evenHBand="0" w:firstRowFirstColumn="0" w:firstRowLastColumn="0" w:lastRowFirstColumn="0" w:lastRowLastColumn="0"/>
            <w:tcW w:w="1401" w:type="dxa"/>
            <w:tcBorders>
              <w:top w:val="single" w:sz="24" w:space="0" w:color="2A3652"/>
            </w:tcBorders>
          </w:tcPr>
          <w:p w14:paraId="33450FAE" w14:textId="77777777" w:rsidR="00841875" w:rsidRPr="00E029E2" w:rsidRDefault="00841875" w:rsidP="000E769C">
            <w:pPr>
              <w:pStyle w:val="TabellHode-rad"/>
            </w:pPr>
            <w:r w:rsidRPr="00E029E2">
              <w:t>Norge</w:t>
            </w:r>
          </w:p>
        </w:tc>
        <w:tc>
          <w:tcPr>
            <w:tcW w:w="1401" w:type="dxa"/>
            <w:tcBorders>
              <w:top w:val="single" w:sz="24" w:space="0" w:color="2A3652"/>
            </w:tcBorders>
          </w:tcPr>
          <w:p w14:paraId="7B774380"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82 %</w:t>
            </w:r>
          </w:p>
        </w:tc>
        <w:tc>
          <w:tcPr>
            <w:tcW w:w="1402" w:type="dxa"/>
            <w:tcBorders>
              <w:top w:val="single" w:sz="24" w:space="0" w:color="2A3652"/>
            </w:tcBorders>
          </w:tcPr>
          <w:p w14:paraId="296575AB"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Nei</w:t>
            </w:r>
          </w:p>
        </w:tc>
        <w:tc>
          <w:tcPr>
            <w:tcW w:w="1402" w:type="dxa"/>
            <w:tcBorders>
              <w:top w:val="single" w:sz="24" w:space="0" w:color="2A3652"/>
            </w:tcBorders>
          </w:tcPr>
          <w:p w14:paraId="345FF7D0"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2,7 %</w:t>
            </w:r>
          </w:p>
        </w:tc>
        <w:tc>
          <w:tcPr>
            <w:tcW w:w="1402" w:type="dxa"/>
            <w:tcBorders>
              <w:top w:val="single" w:sz="24" w:space="0" w:color="2A3652"/>
            </w:tcBorders>
          </w:tcPr>
          <w:p w14:paraId="60B2C678" w14:textId="498E737D"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 xml:space="preserve">11 % </w:t>
            </w:r>
          </w:p>
        </w:tc>
        <w:tc>
          <w:tcPr>
            <w:tcW w:w="1402" w:type="dxa"/>
            <w:tcBorders>
              <w:top w:val="single" w:sz="24" w:space="0" w:color="2A3652"/>
            </w:tcBorders>
          </w:tcPr>
          <w:p w14:paraId="4574D69D"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15 %</w:t>
            </w:r>
          </w:p>
        </w:tc>
        <w:tc>
          <w:tcPr>
            <w:tcW w:w="1402" w:type="dxa"/>
            <w:tcBorders>
              <w:top w:val="single" w:sz="24" w:space="0" w:color="2A3652"/>
            </w:tcBorders>
          </w:tcPr>
          <w:p w14:paraId="2E5A29E4" w14:textId="22B67F36"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18 %</w:t>
            </w:r>
          </w:p>
        </w:tc>
      </w:tr>
      <w:tr w:rsidR="00841875" w:rsidRPr="00FF70EA" w14:paraId="1451EC37" w14:textId="77777777" w:rsidTr="00FB704D">
        <w:trPr>
          <w:trHeight w:val="315"/>
        </w:trPr>
        <w:tc>
          <w:tcPr>
            <w:cnfStyle w:val="001000000000" w:firstRow="0" w:lastRow="0" w:firstColumn="1" w:lastColumn="0" w:oddVBand="0" w:evenVBand="0" w:oddHBand="0" w:evenHBand="0" w:firstRowFirstColumn="0" w:firstRowLastColumn="0" w:lastRowFirstColumn="0" w:lastRowLastColumn="0"/>
            <w:tcW w:w="1401" w:type="dxa"/>
          </w:tcPr>
          <w:p w14:paraId="7EF0F8AC" w14:textId="77777777" w:rsidR="00841875" w:rsidRPr="00E029E2" w:rsidRDefault="00841875" w:rsidP="000E769C">
            <w:pPr>
              <w:pStyle w:val="TabellHode-rad"/>
            </w:pPr>
            <w:r w:rsidRPr="00E029E2">
              <w:t>Danmark</w:t>
            </w:r>
          </w:p>
        </w:tc>
        <w:tc>
          <w:tcPr>
            <w:tcW w:w="1401" w:type="dxa"/>
          </w:tcPr>
          <w:p w14:paraId="7D80E3C7" w14:textId="78F14C23" w:rsidR="00841875" w:rsidRPr="00E029E2" w:rsidRDefault="00B73722"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O</w:t>
            </w:r>
            <w:r w:rsidR="00841875" w:rsidRPr="00E029E2">
              <w:rPr>
                <w:rFonts w:ascii="Calibri" w:hAnsi="Calibri" w:cs="Calibri"/>
              </w:rPr>
              <w:t>ver 90 %</w:t>
            </w:r>
          </w:p>
        </w:tc>
        <w:tc>
          <w:tcPr>
            <w:tcW w:w="1402" w:type="dxa"/>
          </w:tcPr>
          <w:p w14:paraId="54AF4EE4"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nb-NO"/>
              </w:rPr>
            </w:pPr>
            <w:r w:rsidRPr="00E029E2">
              <w:rPr>
                <w:rFonts w:ascii="Calibri" w:hAnsi="Calibri" w:cs="Calibri"/>
                <w:lang w:val="nb-NO"/>
              </w:rPr>
              <w:t xml:space="preserve">Ja, (48 % av praksis og 67 % av pas.) </w:t>
            </w:r>
          </w:p>
        </w:tc>
        <w:tc>
          <w:tcPr>
            <w:tcW w:w="1402" w:type="dxa"/>
          </w:tcPr>
          <w:p w14:paraId="64725592" w14:textId="0A21475C"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nb-NO"/>
              </w:rPr>
            </w:pPr>
            <w:r w:rsidRPr="00E029E2">
              <w:rPr>
                <w:rFonts w:ascii="Calibri" w:hAnsi="Calibri" w:cs="Calibri"/>
                <w:lang w:val="nb-NO"/>
              </w:rPr>
              <w:t>41</w:t>
            </w:r>
            <w:r w:rsidR="005038E3" w:rsidRPr="00E029E2">
              <w:rPr>
                <w:rFonts w:ascii="Calibri" w:hAnsi="Calibri" w:cs="Calibri"/>
                <w:lang w:val="nb-NO"/>
              </w:rPr>
              <w:t xml:space="preserve"> </w:t>
            </w:r>
            <w:r w:rsidRPr="00E029E2">
              <w:rPr>
                <w:rFonts w:ascii="Calibri" w:hAnsi="Calibri" w:cs="Calibri"/>
                <w:lang w:val="nb-NO"/>
              </w:rPr>
              <w:t>% Med eller uten samarbeid om lokaler osv</w:t>
            </w:r>
          </w:p>
        </w:tc>
        <w:tc>
          <w:tcPr>
            <w:tcW w:w="1402" w:type="dxa"/>
          </w:tcPr>
          <w:p w14:paraId="1149AC97"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 xml:space="preserve">31 % (deler ikke lokaler med andre) </w:t>
            </w:r>
          </w:p>
        </w:tc>
        <w:tc>
          <w:tcPr>
            <w:tcW w:w="1402" w:type="dxa"/>
          </w:tcPr>
          <w:p w14:paraId="526EDB92"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26 %</w:t>
            </w:r>
          </w:p>
        </w:tc>
        <w:tc>
          <w:tcPr>
            <w:tcW w:w="1402" w:type="dxa"/>
          </w:tcPr>
          <w:p w14:paraId="01EA4B28" w14:textId="6DB48268"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7-8 % </w:t>
            </w:r>
          </w:p>
        </w:tc>
      </w:tr>
      <w:tr w:rsidR="00841875" w:rsidRPr="00FF70EA" w14:paraId="6348030A" w14:textId="77777777" w:rsidTr="00FB704D">
        <w:trPr>
          <w:trHeight w:val="294"/>
        </w:trPr>
        <w:tc>
          <w:tcPr>
            <w:cnfStyle w:val="001000000000" w:firstRow="0" w:lastRow="0" w:firstColumn="1" w:lastColumn="0" w:oddVBand="0" w:evenVBand="0" w:oddHBand="0" w:evenHBand="0" w:firstRowFirstColumn="0" w:firstRowLastColumn="0" w:lastRowFirstColumn="0" w:lastRowLastColumn="0"/>
            <w:tcW w:w="1401" w:type="dxa"/>
          </w:tcPr>
          <w:p w14:paraId="25DFB3AE" w14:textId="77777777" w:rsidR="00841875" w:rsidRPr="00E029E2" w:rsidRDefault="00841875" w:rsidP="000E769C">
            <w:pPr>
              <w:pStyle w:val="TabellHode-rad"/>
            </w:pPr>
            <w:r w:rsidRPr="00E029E2">
              <w:t>Skottland</w:t>
            </w:r>
          </w:p>
        </w:tc>
        <w:tc>
          <w:tcPr>
            <w:tcW w:w="1401" w:type="dxa"/>
          </w:tcPr>
          <w:p w14:paraId="11FCDF73" w14:textId="10D0986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75 % </w:t>
            </w:r>
          </w:p>
        </w:tc>
        <w:tc>
          <w:tcPr>
            <w:tcW w:w="1402" w:type="dxa"/>
          </w:tcPr>
          <w:p w14:paraId="2D14EBF6"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Ja</w:t>
            </w:r>
          </w:p>
        </w:tc>
        <w:tc>
          <w:tcPr>
            <w:tcW w:w="1402" w:type="dxa"/>
          </w:tcPr>
          <w:p w14:paraId="16AD0427"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1,3 %</w:t>
            </w:r>
          </w:p>
        </w:tc>
        <w:tc>
          <w:tcPr>
            <w:tcW w:w="1402" w:type="dxa"/>
          </w:tcPr>
          <w:p w14:paraId="06850019"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 xml:space="preserve">8 % </w:t>
            </w:r>
          </w:p>
        </w:tc>
        <w:tc>
          <w:tcPr>
            <w:tcW w:w="1402" w:type="dxa"/>
          </w:tcPr>
          <w:p w14:paraId="37616DD7"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12 %</w:t>
            </w:r>
          </w:p>
        </w:tc>
        <w:tc>
          <w:tcPr>
            <w:tcW w:w="1402" w:type="dxa"/>
          </w:tcPr>
          <w:p w14:paraId="2FBF91C5" w14:textId="060DC25B"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28 % *</w:t>
            </w:r>
          </w:p>
        </w:tc>
      </w:tr>
      <w:tr w:rsidR="00841875" w:rsidRPr="00FF70EA" w14:paraId="0ECBC841" w14:textId="77777777" w:rsidTr="00FB704D">
        <w:trPr>
          <w:trHeight w:val="315"/>
        </w:trPr>
        <w:tc>
          <w:tcPr>
            <w:cnfStyle w:val="001000000000" w:firstRow="0" w:lastRow="0" w:firstColumn="1" w:lastColumn="0" w:oddVBand="0" w:evenVBand="0" w:oddHBand="0" w:evenHBand="0" w:firstRowFirstColumn="0" w:firstRowLastColumn="0" w:lastRowFirstColumn="0" w:lastRowLastColumn="0"/>
            <w:tcW w:w="1401" w:type="dxa"/>
          </w:tcPr>
          <w:p w14:paraId="5CA9739E" w14:textId="77777777" w:rsidR="00841875" w:rsidRPr="00E029E2" w:rsidRDefault="00841875" w:rsidP="000E769C">
            <w:pPr>
              <w:pStyle w:val="TabellHode-rad"/>
            </w:pPr>
            <w:r w:rsidRPr="00E029E2">
              <w:t>England</w:t>
            </w:r>
          </w:p>
        </w:tc>
        <w:tc>
          <w:tcPr>
            <w:tcW w:w="1401" w:type="dxa"/>
          </w:tcPr>
          <w:p w14:paraId="6BC55E32" w14:textId="79805073"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63 %**</w:t>
            </w:r>
          </w:p>
        </w:tc>
        <w:tc>
          <w:tcPr>
            <w:tcW w:w="1402" w:type="dxa"/>
          </w:tcPr>
          <w:p w14:paraId="0DBB904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Ja</w:t>
            </w:r>
          </w:p>
        </w:tc>
        <w:tc>
          <w:tcPr>
            <w:tcW w:w="1402" w:type="dxa"/>
          </w:tcPr>
          <w:p w14:paraId="6F9B1E8D" w14:textId="4C8D1045"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2 %</w:t>
            </w:r>
          </w:p>
        </w:tc>
        <w:tc>
          <w:tcPr>
            <w:tcW w:w="1402" w:type="dxa"/>
          </w:tcPr>
          <w:p w14:paraId="2CF005D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7 %</w:t>
            </w:r>
          </w:p>
        </w:tc>
        <w:tc>
          <w:tcPr>
            <w:tcW w:w="1402" w:type="dxa"/>
          </w:tcPr>
          <w:p w14:paraId="0F1D5523"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10 %</w:t>
            </w:r>
          </w:p>
        </w:tc>
        <w:tc>
          <w:tcPr>
            <w:tcW w:w="1402" w:type="dxa"/>
          </w:tcPr>
          <w:p w14:paraId="7357EA7E" w14:textId="2867F72A"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37 %**</w:t>
            </w:r>
          </w:p>
        </w:tc>
      </w:tr>
      <w:tr w:rsidR="00841875" w:rsidRPr="00FF70EA" w14:paraId="6155A060" w14:textId="77777777" w:rsidTr="00FB704D">
        <w:trPr>
          <w:trHeight w:val="297"/>
        </w:trPr>
        <w:tc>
          <w:tcPr>
            <w:cnfStyle w:val="001000000000" w:firstRow="0" w:lastRow="0" w:firstColumn="1" w:lastColumn="0" w:oddVBand="0" w:evenVBand="0" w:oddHBand="0" w:evenHBand="0" w:firstRowFirstColumn="0" w:firstRowLastColumn="0" w:lastRowFirstColumn="0" w:lastRowLastColumn="0"/>
            <w:tcW w:w="1401" w:type="dxa"/>
          </w:tcPr>
          <w:p w14:paraId="3ACE2F6B" w14:textId="77777777" w:rsidR="00841875" w:rsidRPr="00E029E2" w:rsidRDefault="00841875" w:rsidP="000E769C">
            <w:pPr>
              <w:pStyle w:val="TabellHode-rad"/>
            </w:pPr>
            <w:r w:rsidRPr="00E029E2">
              <w:t>Nederland</w:t>
            </w:r>
          </w:p>
        </w:tc>
        <w:tc>
          <w:tcPr>
            <w:tcW w:w="1401" w:type="dxa"/>
          </w:tcPr>
          <w:p w14:paraId="12FDF27E" w14:textId="49850ACD"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65 %</w:t>
            </w:r>
          </w:p>
        </w:tc>
        <w:tc>
          <w:tcPr>
            <w:tcW w:w="1402" w:type="dxa"/>
          </w:tcPr>
          <w:p w14:paraId="334C7E5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Ja</w:t>
            </w:r>
          </w:p>
        </w:tc>
        <w:tc>
          <w:tcPr>
            <w:tcW w:w="1402" w:type="dxa"/>
          </w:tcPr>
          <w:p w14:paraId="18980D7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7,1 % ***</w:t>
            </w:r>
          </w:p>
        </w:tc>
        <w:tc>
          <w:tcPr>
            <w:tcW w:w="1402" w:type="dxa"/>
          </w:tcPr>
          <w:p w14:paraId="1C49BF70"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 xml:space="preserve">17 % </w:t>
            </w:r>
          </w:p>
        </w:tc>
        <w:tc>
          <w:tcPr>
            <w:tcW w:w="1402" w:type="dxa"/>
          </w:tcPr>
          <w:p w14:paraId="5441F56B"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44 %</w:t>
            </w:r>
          </w:p>
        </w:tc>
        <w:tc>
          <w:tcPr>
            <w:tcW w:w="1402" w:type="dxa"/>
          </w:tcPr>
          <w:p w14:paraId="0170D986" w14:textId="0355894F"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Ca</w:t>
            </w:r>
            <w:r w:rsidR="00B73722" w:rsidRPr="00E029E2">
              <w:rPr>
                <w:rFonts w:ascii="Calibri" w:hAnsi="Calibri" w:cs="Calibri"/>
              </w:rPr>
              <w:t>.</w:t>
            </w:r>
            <w:r w:rsidRPr="00E029E2">
              <w:rPr>
                <w:rFonts w:ascii="Calibri" w:hAnsi="Calibri" w:cs="Calibri"/>
              </w:rPr>
              <w:t xml:space="preserve"> 35 %</w:t>
            </w:r>
            <w:r w:rsidR="00D9107F">
              <w:rPr>
                <w:rFonts w:ascii="Calibri" w:hAnsi="Calibri" w:cs="Calibri"/>
              </w:rPr>
              <w:t xml:space="preserve"> </w:t>
            </w:r>
          </w:p>
        </w:tc>
      </w:tr>
      <w:tr w:rsidR="00841875" w:rsidRPr="00FF70EA" w14:paraId="0368AB65" w14:textId="77777777" w:rsidTr="00FB704D">
        <w:trPr>
          <w:trHeight w:val="315"/>
        </w:trPr>
        <w:tc>
          <w:tcPr>
            <w:cnfStyle w:val="001000000000" w:firstRow="0" w:lastRow="0" w:firstColumn="1" w:lastColumn="0" w:oddVBand="0" w:evenVBand="0" w:oddHBand="0" w:evenHBand="0" w:firstRowFirstColumn="0" w:firstRowLastColumn="0" w:lastRowFirstColumn="0" w:lastRowLastColumn="0"/>
            <w:tcW w:w="1401" w:type="dxa"/>
          </w:tcPr>
          <w:p w14:paraId="2CF673A5" w14:textId="77777777" w:rsidR="00841875" w:rsidRPr="00E029E2" w:rsidRDefault="00841875" w:rsidP="000E769C">
            <w:pPr>
              <w:pStyle w:val="TabellHode-rad"/>
            </w:pPr>
            <w:r w:rsidRPr="00E029E2">
              <w:t>Sverige</w:t>
            </w:r>
          </w:p>
        </w:tc>
        <w:tc>
          <w:tcPr>
            <w:tcW w:w="1401" w:type="dxa"/>
          </w:tcPr>
          <w:p w14:paraId="05BF4E0C"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Nei***</w:t>
            </w:r>
          </w:p>
        </w:tc>
        <w:tc>
          <w:tcPr>
            <w:tcW w:w="1402" w:type="dxa"/>
          </w:tcPr>
          <w:p w14:paraId="1721D251"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Nei</w:t>
            </w:r>
          </w:p>
        </w:tc>
        <w:tc>
          <w:tcPr>
            <w:tcW w:w="1402" w:type="dxa"/>
          </w:tcPr>
          <w:p w14:paraId="078E2A7F"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7400FF09"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6544DF3F"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1E357225"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Hovedregel</w:t>
            </w:r>
          </w:p>
        </w:tc>
      </w:tr>
      <w:tr w:rsidR="00841875" w:rsidRPr="00FF70EA" w14:paraId="22565197" w14:textId="77777777" w:rsidTr="00FB704D">
        <w:trPr>
          <w:trHeight w:val="297"/>
        </w:trPr>
        <w:tc>
          <w:tcPr>
            <w:cnfStyle w:val="001000000000" w:firstRow="0" w:lastRow="0" w:firstColumn="1" w:lastColumn="0" w:oddVBand="0" w:evenVBand="0" w:oddHBand="0" w:evenHBand="0" w:firstRowFirstColumn="0" w:firstRowLastColumn="0" w:lastRowFirstColumn="0" w:lastRowLastColumn="0"/>
            <w:tcW w:w="1401" w:type="dxa"/>
          </w:tcPr>
          <w:p w14:paraId="6183ECC6" w14:textId="77777777" w:rsidR="00841875" w:rsidRPr="00E029E2" w:rsidRDefault="00841875" w:rsidP="000E769C">
            <w:pPr>
              <w:pStyle w:val="TabellHode-rad"/>
            </w:pPr>
            <w:r w:rsidRPr="00E029E2">
              <w:t>Finland</w:t>
            </w:r>
          </w:p>
        </w:tc>
        <w:tc>
          <w:tcPr>
            <w:tcW w:w="1401" w:type="dxa"/>
          </w:tcPr>
          <w:p w14:paraId="1D1F52C8"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Nei</w:t>
            </w:r>
          </w:p>
        </w:tc>
        <w:tc>
          <w:tcPr>
            <w:tcW w:w="1402" w:type="dxa"/>
          </w:tcPr>
          <w:p w14:paraId="55B776E1"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Nei</w:t>
            </w:r>
          </w:p>
        </w:tc>
        <w:tc>
          <w:tcPr>
            <w:tcW w:w="1402" w:type="dxa"/>
          </w:tcPr>
          <w:p w14:paraId="7A5886B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31358A7A"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6E0E3C5D"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w:t>
            </w:r>
          </w:p>
        </w:tc>
        <w:tc>
          <w:tcPr>
            <w:tcW w:w="1402" w:type="dxa"/>
          </w:tcPr>
          <w:p w14:paraId="332EB804" w14:textId="77777777" w:rsidR="00841875" w:rsidRPr="00E029E2"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29E2">
              <w:rPr>
                <w:rFonts w:ascii="Calibri" w:hAnsi="Calibri" w:cs="Calibri"/>
              </w:rPr>
              <w:t>Hovedregel</w:t>
            </w:r>
          </w:p>
        </w:tc>
      </w:tr>
    </w:tbl>
    <w:bookmarkEnd w:id="1216"/>
    <w:p w14:paraId="69F96F1A" w14:textId="77777777" w:rsidR="00D9107F" w:rsidRPr="00CE06F0" w:rsidRDefault="00C67738" w:rsidP="00C709CD">
      <w:pPr>
        <w:pStyle w:val="Petit"/>
        <w:rPr>
          <w:rStyle w:val="kursiv"/>
        </w:rPr>
      </w:pPr>
      <w:r w:rsidRPr="00CE06F0">
        <w:rPr>
          <w:rStyle w:val="kursiv"/>
        </w:rPr>
        <w:t xml:space="preserve">Merknad: </w:t>
      </w:r>
      <w:r w:rsidR="00841875" w:rsidRPr="00CE06F0">
        <w:rPr>
          <w:rStyle w:val="kursiv"/>
        </w:rPr>
        <w:t>*</w:t>
      </w:r>
      <w:r w:rsidRPr="00CE06F0">
        <w:rPr>
          <w:rStyle w:val="kursiv"/>
        </w:rPr>
        <w:t xml:space="preserve"> </w:t>
      </w:r>
      <w:r w:rsidR="00841875" w:rsidRPr="00CE06F0">
        <w:rPr>
          <w:rStyle w:val="kursiv"/>
        </w:rPr>
        <w:t>Ekskl</w:t>
      </w:r>
      <w:r w:rsidR="005933B5" w:rsidRPr="00CE06F0">
        <w:rPr>
          <w:rStyle w:val="kursiv"/>
        </w:rPr>
        <w:t>usive</w:t>
      </w:r>
      <w:r w:rsidR="00841875" w:rsidRPr="00CE06F0">
        <w:rPr>
          <w:rStyle w:val="kursiv"/>
        </w:rPr>
        <w:t xml:space="preserve"> leger i spesialisering</w:t>
      </w:r>
      <w:r w:rsidR="00B73722" w:rsidRPr="00CE06F0">
        <w:rPr>
          <w:rStyle w:val="kursiv"/>
        </w:rPr>
        <w:t xml:space="preserve"> –</w:t>
      </w:r>
      <w:r w:rsidR="00841875" w:rsidRPr="00CE06F0">
        <w:rPr>
          <w:rStyle w:val="kursiv"/>
        </w:rPr>
        <w:t xml:space="preserve"> 25 % inklusive ** Beregnet i fulltidsekvivalente og eksklusive leger i spesialisering, faste vikarer mm. Inkluderes disse blir andelen 27 prosen</w:t>
      </w:r>
      <w:r w:rsidR="00EC23D9" w:rsidRPr="00CE06F0">
        <w:rPr>
          <w:rStyle w:val="kursiv"/>
        </w:rPr>
        <w:t>t</w:t>
      </w:r>
      <w:r w:rsidR="00841875" w:rsidRPr="00CE06F0">
        <w:rPr>
          <w:rStyle w:val="kursiv"/>
        </w:rPr>
        <w:t>. ***Flest offentlig driftede vårdcentraler, men helprivate selskaper nesten halvparten</w:t>
      </w:r>
    </w:p>
    <w:p w14:paraId="148A9D1A" w14:textId="23F0DA75" w:rsidR="00841875" w:rsidRPr="00FF70EA" w:rsidRDefault="00841875" w:rsidP="00775632">
      <w:pPr>
        <w:pStyle w:val="Overskrift4"/>
      </w:pPr>
      <w:bookmarkStart w:id="1217" w:name="_Toc130983426"/>
      <w:bookmarkStart w:id="1218" w:name="_Toc130983775"/>
      <w:bookmarkStart w:id="1219" w:name="_Toc131064063"/>
      <w:bookmarkStart w:id="1220" w:name="_Toc131238353"/>
      <w:bookmarkStart w:id="1221" w:name="_Toc131279383"/>
      <w:bookmarkStart w:id="1222" w:name="_Toc131286795"/>
      <w:bookmarkStart w:id="1223" w:name="_Toc131281205"/>
      <w:bookmarkStart w:id="1224" w:name="_Toc131317744"/>
      <w:r w:rsidRPr="00FF70EA">
        <w:t>Helsesentermodell</w:t>
      </w:r>
      <w:bookmarkEnd w:id="1217"/>
      <w:bookmarkEnd w:id="1218"/>
      <w:bookmarkEnd w:id="1219"/>
      <w:bookmarkEnd w:id="1220"/>
      <w:bookmarkEnd w:id="1221"/>
      <w:bookmarkEnd w:id="1222"/>
      <w:bookmarkEnd w:id="1223"/>
      <w:bookmarkEnd w:id="1224"/>
    </w:p>
    <w:p w14:paraId="1C436A4F" w14:textId="77777777" w:rsidR="00D9107F" w:rsidRDefault="00841875" w:rsidP="00841875">
      <w:pPr>
        <w:jc w:val="both"/>
      </w:pPr>
      <w:r w:rsidRPr="00FF70EA">
        <w:t>I Sverige og Finland er den offentlige finansierte allmennlegetjenesten i hovedsak organisert gjennom helsesentre</w:t>
      </w:r>
      <w:r w:rsidR="005038E3">
        <w:t>,</w:t>
      </w:r>
      <w:r w:rsidRPr="00FF70EA">
        <w:t xml:space="preserve"> </w:t>
      </w:r>
      <w:r>
        <w:t xml:space="preserve">som samler </w:t>
      </w:r>
      <w:r w:rsidRPr="00FF70EA">
        <w:t>en rekke tjenester og helsepersonellgrupper</w:t>
      </w:r>
      <w:r>
        <w:t>.</w:t>
      </w:r>
      <w:r w:rsidRPr="00FF70EA">
        <w:t xml:space="preserve"> I Norge kan noen slike tjenester være samlokalisert i kommunene, men de kommunale tjenestene er adskilt fra fastlegetjenesten</w:t>
      </w:r>
      <w:r w:rsidR="005038E3">
        <w:t>,</w:t>
      </w:r>
      <w:r w:rsidRPr="00FF70EA">
        <w:t xml:space="preserve"> som i hovedsak er drevet av næringsdrivende leger.</w:t>
      </w:r>
    </w:p>
    <w:p w14:paraId="0012B195" w14:textId="212825EB" w:rsidR="00841875" w:rsidRPr="00FF70EA" w:rsidRDefault="00841875" w:rsidP="00841875">
      <w:pPr>
        <w:jc w:val="both"/>
      </w:pPr>
      <w:r w:rsidRPr="00FF70EA">
        <w:t>I Finland er helsesentrene i hovedsak offentlig driftet og legene ansatt</w:t>
      </w:r>
      <w:r>
        <w:t>,</w:t>
      </w:r>
      <w:r w:rsidRPr="00FF70EA">
        <w:t xml:space="preserve"> med unntak av en del helsesentre i utkantkommuner</w:t>
      </w:r>
      <w:r w:rsidR="005038E3">
        <w:t>,</w:t>
      </w:r>
      <w:r w:rsidRPr="00FF70EA">
        <w:t xml:space="preserve"> hvor driften er satt ut på anbud og drevet av større helprivate selskaper. </w:t>
      </w:r>
      <w:r w:rsidR="33D5C3F9" w:rsidRPr="00FF70EA">
        <w:t>Hels</w:t>
      </w:r>
      <w:r w:rsidR="33A7C37B" w:rsidRPr="00FF70EA">
        <w:t>es</w:t>
      </w:r>
      <w:r w:rsidR="085C1014" w:rsidRPr="00FF70EA">
        <w:t>entrene</w:t>
      </w:r>
      <w:r w:rsidR="65970436" w:rsidRPr="00FF70EA">
        <w:t>s</w:t>
      </w:r>
      <w:r w:rsidRPr="00FF70EA">
        <w:t xml:space="preserve"> størrelse varierer</w:t>
      </w:r>
      <w:r w:rsidRPr="00D9107F">
        <w:rPr>
          <w:rStyle w:val="Fotnotereferanse"/>
        </w:rPr>
        <w:footnoteReference w:id="13"/>
      </w:r>
      <w:r w:rsidR="005038E3">
        <w:t>,</w:t>
      </w:r>
      <w:r w:rsidRPr="00FF70EA">
        <w:t xml:space="preserve"> og</w:t>
      </w:r>
      <w:r>
        <w:t xml:space="preserve"> mange</w:t>
      </w:r>
      <w:r w:rsidRPr="00FF70EA">
        <w:t xml:space="preserve"> har sengeavdeling</w:t>
      </w:r>
      <w:r>
        <w:t>er</w:t>
      </w:r>
      <w:r w:rsidRPr="00FF70EA">
        <w:t xml:space="preserve"> tilknyttet </w:t>
      </w:r>
      <w:r w:rsidR="085C1014" w:rsidRPr="00FF70EA">
        <w:t>sent</w:t>
      </w:r>
      <w:r w:rsidR="2490BB50" w:rsidRPr="00FF70EA">
        <w:t>e</w:t>
      </w:r>
      <w:r w:rsidR="085C1014" w:rsidRPr="00FF70EA">
        <w:t>ret.</w:t>
      </w:r>
      <w:r w:rsidRPr="00FF70EA">
        <w:t xml:space="preserve"> Det er viktig å påpeke at befolkningen i Finland kan få allmennlegetjenester også andre steder enn ved helse</w:t>
      </w:r>
      <w:r w:rsidR="00565A2A">
        <w:t>se</w:t>
      </w:r>
      <w:r w:rsidRPr="00FF70EA">
        <w:t xml:space="preserve">ntrene. </w:t>
      </w:r>
      <w:r w:rsidR="085C1014" w:rsidRPr="00FF70EA">
        <w:t>D</w:t>
      </w:r>
      <w:r w:rsidR="165AB6FD" w:rsidRPr="00FF70EA">
        <w:t>e</w:t>
      </w:r>
      <w:r>
        <w:t xml:space="preserve"> kan velge å oppsøke en helprivat tjeneste</w:t>
      </w:r>
      <w:r w:rsidR="005038E3">
        <w:t>,</w:t>
      </w:r>
      <w:r>
        <w:t xml:space="preserve"> og ha rett på en viss refusjon fra staten. </w:t>
      </w:r>
      <w:r w:rsidRPr="00FF70EA">
        <w:t xml:space="preserve">Yrkesaktive finner har </w:t>
      </w:r>
      <w:r>
        <w:t xml:space="preserve">også ofte </w:t>
      </w:r>
      <w:r w:rsidRPr="00FF70EA">
        <w:t xml:space="preserve">tilgang til lege gjennom </w:t>
      </w:r>
      <w:r w:rsidRPr="00FF70EA">
        <w:lastRenderedPageBreak/>
        <w:t>bedriftshelsetjenesten</w:t>
      </w:r>
      <w:r w:rsidR="005038E3">
        <w:t>,</w:t>
      </w:r>
      <w:r w:rsidRPr="00FF70EA">
        <w:t xml:space="preserve"> og det er egne </w:t>
      </w:r>
      <w:r>
        <w:t xml:space="preserve">helsetjenester </w:t>
      </w:r>
      <w:r w:rsidRPr="00FF70EA">
        <w:t>for studenter</w:t>
      </w:r>
      <w:r>
        <w:t xml:space="preserve">. Arbeidsgivere kan ansette leger eller inngå avtaler om </w:t>
      </w:r>
      <w:r w:rsidRPr="0031760F">
        <w:t>bedriftshelsetjenester fra helsesentrene</w:t>
      </w:r>
      <w:r>
        <w:t xml:space="preserve"> eller andre.</w:t>
      </w:r>
    </w:p>
    <w:p w14:paraId="2883B427" w14:textId="77777777" w:rsidR="00D9107F" w:rsidRDefault="00841875" w:rsidP="00841875">
      <w:pPr>
        <w:jc w:val="both"/>
      </w:pPr>
      <w:r w:rsidRPr="00FF70EA">
        <w:t xml:space="preserve">I Sverige var omtrent 45 prosent av vårdcentralene driftet av private og 55 prosent driftet av regionene i 2021. </w:t>
      </w:r>
      <w:r w:rsidRPr="43AD43D5">
        <w:rPr>
          <w:color w:val="000000"/>
        </w:rPr>
        <w:t xml:space="preserve">Andelen private </w:t>
      </w:r>
      <w:r>
        <w:rPr>
          <w:color w:val="000000"/>
        </w:rPr>
        <w:t>helsesentre</w:t>
      </w:r>
      <w:r w:rsidRPr="43AD43D5">
        <w:rPr>
          <w:color w:val="000000"/>
        </w:rPr>
        <w:t xml:space="preserve"> er høyest i de mest sentrale delene av landet </w:t>
      </w:r>
      <w:r>
        <w:rPr>
          <w:color w:val="000000" w:themeColor="text1"/>
        </w:rPr>
        <w:fldChar w:fldCharType="begin"/>
      </w:r>
      <w:r w:rsidR="004654FD">
        <w:rPr>
          <w:color w:val="000000" w:themeColor="text1"/>
        </w:rPr>
        <w:instrText xml:space="preserve"> ADDIN EN.CITE &lt;EndNote&gt;&lt;Cite&gt;&lt;Author&gt;Khan&lt;/Author&gt;&lt;Year&gt;2022&lt;/Year&gt;&lt;RecNum&gt;876&lt;/RecNum&gt;&lt;DisplayText&gt;(Khan, 2022)&lt;/DisplayText&gt;&lt;record&gt;&lt;rec-number&gt;876&lt;/rec-number&gt;&lt;foreign-keys&gt;&lt;key app="EN" db-id="95tpr2tp6r9xwoea9rb5wdsz5ds5xeddteew" timestamp="1680069511"&gt;876&lt;/key&gt;&lt;/foreign-keys&gt;&lt;ref-type name="Web Page"&gt;12&lt;/ref-type&gt;&lt;contributors&gt;&lt;authors&gt;&lt;author&gt;Michelle Khan&lt;/author&gt;&lt;/authors&gt;&lt;/contributors&gt;&lt;titles&gt;&lt;title&gt;Vårdcentraler i privat regi&lt;/title&gt;&lt;/titles&gt;&lt;number&gt;14.03.23&lt;/number&gt;&lt;dates&gt;&lt;year&gt;2022&lt;/year&gt;&lt;pub-dates&gt;&lt;date&gt;11. november 2022&lt;/date&gt;&lt;/pub-dates&gt;&lt;/dates&gt;&lt;pub-location&gt;Stockholm&lt;/pub-location&gt;&lt;publisher&gt;Ekonomifakta&lt;/publisher&gt;&lt;work-type&gt;nettdokument&lt;/work-type&gt;&lt;urls&gt;&lt;/urls&gt;&lt;/record&gt;&lt;/Cite&gt;&lt;/EndNote&gt;</w:instrText>
      </w:r>
      <w:r>
        <w:rPr>
          <w:color w:val="000000" w:themeColor="text1"/>
        </w:rPr>
        <w:fldChar w:fldCharType="separate"/>
      </w:r>
      <w:r>
        <w:rPr>
          <w:noProof/>
          <w:color w:val="000000" w:themeColor="text1"/>
        </w:rPr>
        <w:t>(Khan, 2022)</w:t>
      </w:r>
      <w:r>
        <w:rPr>
          <w:color w:val="000000" w:themeColor="text1"/>
        </w:rPr>
        <w:fldChar w:fldCharType="end"/>
      </w:r>
      <w:r w:rsidRPr="43AD43D5">
        <w:rPr>
          <w:color w:val="000000"/>
        </w:rPr>
        <w:t xml:space="preserve">. </w:t>
      </w:r>
      <w:r w:rsidRPr="00FF70EA">
        <w:t>I tillegg finnes det privatpraktiserende allmennleger som arbeider på kontrakt med myndighetene</w:t>
      </w:r>
      <w:r w:rsidR="005038E3">
        <w:t>,</w:t>
      </w:r>
      <w:r>
        <w:t xml:space="preserve"> </w:t>
      </w:r>
      <w:r w:rsidRPr="00FF70EA">
        <w:t>slik som i Norge og Danmark.</w:t>
      </w:r>
    </w:p>
    <w:p w14:paraId="15E53D1A" w14:textId="61522C8B" w:rsidR="00841875" w:rsidRPr="00FF70EA" w:rsidRDefault="00841875" w:rsidP="00775632">
      <w:pPr>
        <w:pStyle w:val="Overskrift4"/>
      </w:pPr>
      <w:bookmarkStart w:id="1225" w:name="_Toc126767289"/>
      <w:bookmarkStart w:id="1226" w:name="_Toc130983427"/>
      <w:bookmarkStart w:id="1227" w:name="_Toc130983776"/>
      <w:bookmarkStart w:id="1228" w:name="_Toc131279384"/>
      <w:bookmarkStart w:id="1229" w:name="_Toc131286796"/>
      <w:bookmarkStart w:id="1230" w:name="_Toc131281206"/>
      <w:bookmarkStart w:id="1231" w:name="_Toc131317745"/>
      <w:r>
        <w:t>N</w:t>
      </w:r>
      <w:r w:rsidRPr="00FF70EA">
        <w:t>æringsdri</w:t>
      </w:r>
      <w:r>
        <w:t xml:space="preserve">ft som hovedmodell for </w:t>
      </w:r>
      <w:bookmarkEnd w:id="1225"/>
      <w:r w:rsidR="00E26B73" w:rsidRPr="00FF70EA">
        <w:t>allmenn</w:t>
      </w:r>
      <w:r w:rsidR="00E26B73">
        <w:t>leger</w:t>
      </w:r>
      <w:bookmarkEnd w:id="1226"/>
      <w:bookmarkEnd w:id="1227"/>
      <w:bookmarkEnd w:id="1228"/>
      <w:bookmarkEnd w:id="1229"/>
      <w:bookmarkEnd w:id="1230"/>
      <w:bookmarkEnd w:id="1231"/>
    </w:p>
    <w:p w14:paraId="0C28F814" w14:textId="77777777" w:rsidR="00D9107F" w:rsidRDefault="00841875" w:rsidP="00841875">
      <w:pPr>
        <w:jc w:val="both"/>
      </w:pPr>
      <w:r w:rsidRPr="00FF70EA">
        <w:t>I Norge, Danmark, England, Skottland og Nederland er de</w:t>
      </w:r>
      <w:r w:rsidR="005038E3">
        <w:t>n</w:t>
      </w:r>
      <w:r w:rsidRPr="00FF70EA">
        <w:t xml:space="preserve"> offentlig finansierte allmennlegetjenesten i stor grad drevet av og ei</w:t>
      </w:r>
      <w:r w:rsidR="005038E3">
        <w:t>d</w:t>
      </w:r>
      <w:r w:rsidRPr="00FF70EA">
        <w:t xml:space="preserve"> av </w:t>
      </w:r>
      <w:r w:rsidR="00DB3CD7">
        <w:t>næringsdrivende</w:t>
      </w:r>
      <w:r w:rsidRPr="00FF70EA">
        <w:t xml:space="preserve"> leger</w:t>
      </w:r>
      <w:r w:rsidR="005038E3">
        <w:t>,</w:t>
      </w:r>
      <w:r w:rsidRPr="00FF70EA">
        <w:t xml:space="preserve"> som selv arbeider i sin egen virksomhet. Med unntak av Norge</w:t>
      </w:r>
      <w:r w:rsidR="00C07ADB">
        <w:t>,</w:t>
      </w:r>
      <w:r w:rsidRPr="00FF70EA">
        <w:t xml:space="preserve"> er partnerskapsmodell med felles inntekter, utgifter og pasientliste ganske vanlig. Et generelt utviklingstrekk er at det blir færre leger som har solopraksis og ikke samarbeider med andre leger (deler praksis/eller kontor). Samtidig med dette</w:t>
      </w:r>
      <w:r w:rsidR="00C07ADB">
        <w:t>,</w:t>
      </w:r>
      <w:r w:rsidRPr="00FF70EA">
        <w:t xml:space="preserve"> har det vært økning i antall som er ansatt og ikke inngår som partnere/eiere i alle landene, men spesielt i England</w:t>
      </w:r>
      <w:r>
        <w:t xml:space="preserve">, </w:t>
      </w:r>
      <w:r w:rsidRPr="00FF70EA">
        <w:t>Nederland</w:t>
      </w:r>
      <w:r>
        <w:t xml:space="preserve"> og Skottland</w:t>
      </w:r>
      <w:r w:rsidRPr="00FF70EA">
        <w:t>.</w:t>
      </w:r>
    </w:p>
    <w:p w14:paraId="17692E40" w14:textId="77777777" w:rsidR="00D9107F" w:rsidRDefault="00841875" w:rsidP="00841875">
      <w:pPr>
        <w:jc w:val="both"/>
      </w:pPr>
      <w:r w:rsidRPr="00FF70EA">
        <w:t>Tradisjonelt har ansettelse vært knyttet til lite grunnlag for næringsdrift i utkantstrøk, mens det nå også blir noe flere ansatte i ordinære praksiser (ref</w:t>
      </w:r>
      <w:r w:rsidR="00915D2F">
        <w:t>.</w:t>
      </w:r>
      <w:r w:rsidRPr="00FF70EA">
        <w:t xml:space="preserve"> kontaktpersoner). Det er også flere som ønsker å arbeide deltid</w:t>
      </w:r>
      <w:r>
        <w:t xml:space="preserve">. </w:t>
      </w:r>
      <w:r w:rsidRPr="00FF70EA">
        <w:t>Økende arbeidsbelastning og høy økonomisk risiko kan være mulige årsaker</w:t>
      </w:r>
      <w:r w:rsidR="00915D2F">
        <w:t>,</w:t>
      </w:r>
      <w:r>
        <w:t xml:space="preserve"> i tillegg til ønsker om mer fleksibilitet</w:t>
      </w:r>
      <w:r w:rsidRPr="00FF70EA">
        <w:t>. Når større helprivate selskaper gis mulighet for å drifte legepraksiser</w:t>
      </w:r>
      <w:r w:rsidR="005F027A">
        <w:t>,</w:t>
      </w:r>
      <w:r w:rsidRPr="00FF70EA">
        <w:t xml:space="preserve"> vil det også bidra til flere ansatte og færre eiere. Over tid har det blitt færre solopraksiser og flere leger per legekontor/praksis i landene.</w:t>
      </w:r>
    </w:p>
    <w:p w14:paraId="1D60DEE1" w14:textId="77777777" w:rsidR="00D9107F" w:rsidRDefault="00841875" w:rsidP="00841875">
      <w:pPr>
        <w:spacing w:after="0"/>
        <w:jc w:val="both"/>
      </w:pPr>
      <w:r w:rsidRPr="00FF70EA">
        <w:t xml:space="preserve">Tilgjengelige tallgrunnlag og statistikk indikerer at </w:t>
      </w:r>
      <w:r w:rsidR="008D40DC" w:rsidRPr="00FF70EA">
        <w:t>lege</w:t>
      </w:r>
      <w:r w:rsidR="008D40DC">
        <w:t>kontor</w:t>
      </w:r>
      <w:r w:rsidRPr="00FF70EA">
        <w:t xml:space="preserve"> er noe større i snitt i England og Skottland enn i Norge, Danmark og Nederland (antall leger)</w:t>
      </w:r>
      <w:r w:rsidRPr="00D9107F">
        <w:rPr>
          <w:rStyle w:val="Fotnotereferanse"/>
        </w:rPr>
        <w:footnoteReference w:id="14"/>
      </w:r>
      <w:r w:rsidRPr="00FF70EA">
        <w:t>. Danmark har høyest andel solopraksiser</w:t>
      </w:r>
      <w:r w:rsidR="0007333B">
        <w:t>.</w:t>
      </w:r>
      <w:r w:rsidRPr="00FF70EA">
        <w:t xml:space="preserve"> Videre indikerer tallene at det er færre</w:t>
      </w:r>
      <w:r w:rsidRPr="000D0169">
        <w:t xml:space="preserve"> listeinnbyggere</w:t>
      </w:r>
      <w:r w:rsidRPr="00FF70EA">
        <w:t xml:space="preserve"> per lege i Norge og Skottland enn i Danmark, England og Nederland.</w:t>
      </w:r>
    </w:p>
    <w:p w14:paraId="71CD6D1F" w14:textId="39200B5E" w:rsidR="00D9107F" w:rsidRDefault="003462B0" w:rsidP="007F5ECF">
      <w:pPr>
        <w:spacing w:after="0"/>
        <w:jc w:val="both"/>
        <w:rPr>
          <w:rFonts w:cstheme="minorHAnsi"/>
        </w:rPr>
      </w:pPr>
      <w:r>
        <w:t>Tallene må tolkes med forsiktighet</w:t>
      </w:r>
      <w:r w:rsidR="007F5ECF">
        <w:t xml:space="preserve"> og forskjeller </w:t>
      </w:r>
      <w:r w:rsidR="007F5ECF" w:rsidRPr="00495CBB">
        <w:t xml:space="preserve">må ses i lys av ulikheter </w:t>
      </w:r>
      <w:r w:rsidR="007F5ECF">
        <w:t>mellom land</w:t>
      </w:r>
      <w:r w:rsidR="007F5ECF" w:rsidRPr="00495CBB">
        <w:t>, grad av ruralitet og hvordan leger telles. For eksempel vil historiske ulikheter i spesialitetskrav gjøre at allmennleger i spesialisering ikke er inkludert i legetallene for Danmark og Nederland, mens ALIS som er fastleger inngår i Norge. Det er også forskjell på å telle personer (Norge og Nederland) vs</w:t>
      </w:r>
      <w:r w:rsidR="00B73722">
        <w:t>.</w:t>
      </w:r>
      <w:r w:rsidR="007F5ECF" w:rsidRPr="00495CBB">
        <w:t xml:space="preserve"> fulltidsstillinger (Danmark, lægekapaciteter</w:t>
      </w:r>
      <w:r w:rsidR="00B73722">
        <w:t>.</w:t>
      </w:r>
    </w:p>
    <w:p w14:paraId="05F049C0" w14:textId="3F5567B4" w:rsidR="00841875" w:rsidRDefault="00841875" w:rsidP="00775632">
      <w:pPr>
        <w:pStyle w:val="tabell-tittel"/>
      </w:pPr>
      <w:r w:rsidRPr="00FF70EA">
        <w:lastRenderedPageBreak/>
        <w:t>Utvalgte kjennetegn ved legepraksiser og legedekning</w:t>
      </w:r>
    </w:p>
    <w:tbl>
      <w:tblPr>
        <w:tblStyle w:val="EUTabellstil"/>
        <w:tblW w:w="5000" w:type="pct"/>
        <w:tblLook w:val="04A0" w:firstRow="1" w:lastRow="0" w:firstColumn="1" w:lastColumn="0" w:noHBand="0" w:noVBand="1"/>
      </w:tblPr>
      <w:tblGrid>
        <w:gridCol w:w="1203"/>
        <w:gridCol w:w="1278"/>
        <w:gridCol w:w="1662"/>
        <w:gridCol w:w="2727"/>
        <w:gridCol w:w="1662"/>
        <w:gridCol w:w="1204"/>
      </w:tblGrid>
      <w:tr w:rsidR="000F730C" w:rsidRPr="00FF70EA" w14:paraId="07F3F447" w14:textId="77777777" w:rsidTr="00DA229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85" w:type="pct"/>
            <w:tcBorders>
              <w:bottom w:val="single" w:sz="24" w:space="0" w:color="2A3652"/>
            </w:tcBorders>
            <w:shd w:val="clear" w:color="auto" w:fill="A9D6B9"/>
          </w:tcPr>
          <w:p w14:paraId="56940E8D" w14:textId="77777777" w:rsidR="009F4A1B" w:rsidRPr="00D9107F" w:rsidRDefault="009F4A1B" w:rsidP="000E769C">
            <w:pPr>
              <w:pStyle w:val="TabellHode-kolonne"/>
              <w:rPr>
                <w:rStyle w:val="halvfet"/>
              </w:rPr>
            </w:pPr>
          </w:p>
        </w:tc>
        <w:tc>
          <w:tcPr>
            <w:tcW w:w="663" w:type="pct"/>
            <w:tcBorders>
              <w:bottom w:val="single" w:sz="24" w:space="0" w:color="2A3652"/>
            </w:tcBorders>
            <w:shd w:val="clear" w:color="auto" w:fill="A9D6B9"/>
          </w:tcPr>
          <w:p w14:paraId="08FF2705" w14:textId="77777777" w:rsidR="009F4A1B" w:rsidRPr="00D9107F" w:rsidRDefault="009F4A1B"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Mest vanlig antall leger i praksisen</w:t>
            </w:r>
          </w:p>
        </w:tc>
        <w:tc>
          <w:tcPr>
            <w:tcW w:w="860" w:type="pct"/>
            <w:tcBorders>
              <w:bottom w:val="single" w:sz="24" w:space="0" w:color="2A3652"/>
            </w:tcBorders>
            <w:shd w:val="clear" w:color="auto" w:fill="A9D6B9"/>
          </w:tcPr>
          <w:p w14:paraId="3F889E98" w14:textId="77777777" w:rsidR="009F4A1B" w:rsidRPr="00D9107F" w:rsidRDefault="009F4A1B"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Gjennomsnitt innbyggere tilknyttet praksisen</w:t>
            </w:r>
          </w:p>
        </w:tc>
        <w:tc>
          <w:tcPr>
            <w:tcW w:w="1407" w:type="pct"/>
            <w:tcBorders>
              <w:bottom w:val="single" w:sz="24" w:space="0" w:color="2A3652"/>
            </w:tcBorders>
            <w:shd w:val="clear" w:color="auto" w:fill="A9D6B9"/>
          </w:tcPr>
          <w:p w14:paraId="7738F466" w14:textId="77777777" w:rsidR="009F4A1B" w:rsidRPr="00D9107F" w:rsidRDefault="009F4A1B"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Listeinnbyggere per lege</w:t>
            </w:r>
          </w:p>
        </w:tc>
        <w:tc>
          <w:tcPr>
            <w:tcW w:w="860" w:type="pct"/>
            <w:tcBorders>
              <w:bottom w:val="single" w:sz="24" w:space="0" w:color="2A3652"/>
            </w:tcBorders>
            <w:shd w:val="clear" w:color="auto" w:fill="A9D6B9"/>
          </w:tcPr>
          <w:p w14:paraId="5F04DC52" w14:textId="77777777" w:rsidR="009F4A1B" w:rsidRPr="00D9107F" w:rsidRDefault="009F4A1B"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(Fast)leger per 1000 innbyggere</w:t>
            </w:r>
          </w:p>
        </w:tc>
        <w:tc>
          <w:tcPr>
            <w:tcW w:w="625" w:type="pct"/>
            <w:tcBorders>
              <w:bottom w:val="single" w:sz="24" w:space="0" w:color="2A3652"/>
            </w:tcBorders>
            <w:shd w:val="clear" w:color="auto" w:fill="A9D6B9"/>
          </w:tcPr>
          <w:p w14:paraId="58852BF3" w14:textId="77777777" w:rsidR="009F4A1B" w:rsidRPr="00D9107F" w:rsidRDefault="009F4A1B"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Tall fra År</w:t>
            </w:r>
          </w:p>
        </w:tc>
      </w:tr>
      <w:tr w:rsidR="009F4A1B" w:rsidRPr="00FF70EA" w14:paraId="4610A021" w14:textId="77777777" w:rsidTr="002843E0">
        <w:trPr>
          <w:trHeight w:val="129"/>
        </w:trPr>
        <w:tc>
          <w:tcPr>
            <w:cnfStyle w:val="001000000000" w:firstRow="0" w:lastRow="0" w:firstColumn="1" w:lastColumn="0" w:oddVBand="0" w:evenVBand="0" w:oddHBand="0" w:evenHBand="0" w:firstRowFirstColumn="0" w:firstRowLastColumn="0" w:lastRowFirstColumn="0" w:lastRowLastColumn="0"/>
            <w:tcW w:w="585" w:type="pct"/>
            <w:tcBorders>
              <w:top w:val="single" w:sz="24" w:space="0" w:color="2A3652"/>
            </w:tcBorders>
          </w:tcPr>
          <w:p w14:paraId="34EF09F5" w14:textId="77777777" w:rsidR="009F4A1B" w:rsidRPr="00E029E2" w:rsidRDefault="009F4A1B" w:rsidP="000E769C">
            <w:pPr>
              <w:pStyle w:val="TabellHode-rad"/>
            </w:pPr>
            <w:r w:rsidRPr="00E029E2">
              <w:t>Norge</w:t>
            </w:r>
          </w:p>
        </w:tc>
        <w:tc>
          <w:tcPr>
            <w:tcW w:w="663" w:type="pct"/>
            <w:tcBorders>
              <w:top w:val="single" w:sz="24" w:space="0" w:color="2A3652"/>
            </w:tcBorders>
          </w:tcPr>
          <w:p w14:paraId="515DBE64" w14:textId="694BDFEB"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3-4 (38</w:t>
            </w:r>
            <w:r w:rsidR="00B73722" w:rsidRPr="00E029E2">
              <w:rPr>
                <w:rFonts w:cstheme="minorHAnsi"/>
              </w:rPr>
              <w:t xml:space="preserve"> </w:t>
            </w:r>
            <w:r w:rsidRPr="00E029E2">
              <w:rPr>
                <w:rFonts w:cstheme="minorHAnsi"/>
              </w:rPr>
              <w:t xml:space="preserve">%) </w:t>
            </w:r>
          </w:p>
        </w:tc>
        <w:tc>
          <w:tcPr>
            <w:tcW w:w="860" w:type="pct"/>
            <w:tcBorders>
              <w:top w:val="single" w:sz="24" w:space="0" w:color="2A3652"/>
            </w:tcBorders>
          </w:tcPr>
          <w:p w14:paraId="145DD99F"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4055</w:t>
            </w:r>
          </w:p>
        </w:tc>
        <w:tc>
          <w:tcPr>
            <w:tcW w:w="1407" w:type="pct"/>
            <w:tcBorders>
              <w:top w:val="single" w:sz="24" w:space="0" w:color="2A3652"/>
            </w:tcBorders>
          </w:tcPr>
          <w:p w14:paraId="6F7273B0" w14:textId="13E0F659" w:rsidR="009F4A1B" w:rsidRPr="00D9107F" w:rsidRDefault="009F4A1B" w:rsidP="000E769C">
            <w:pPr>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1080 (Alle fastleger</w:t>
            </w:r>
            <w:r w:rsidR="00B73722" w:rsidRPr="00D9107F">
              <w:rPr>
                <w:rStyle w:val="kursiv"/>
              </w:rPr>
              <w:t>g –</w:t>
            </w:r>
            <w:r w:rsidRPr="00D9107F">
              <w:rPr>
                <w:rStyle w:val="kursiv"/>
              </w:rPr>
              <w:t xml:space="preserve"> inkl ALIS,</w:t>
            </w:r>
            <w:r w:rsidR="00D9107F" w:rsidRPr="00D9107F">
              <w:rPr>
                <w:rStyle w:val="kursiv"/>
              </w:rPr>
              <w:t xml:space="preserve"> </w:t>
            </w:r>
            <w:r w:rsidRPr="00D9107F">
              <w:rPr>
                <w:rStyle w:val="kursiv"/>
              </w:rPr>
              <w:t>headcount)</w:t>
            </w:r>
          </w:p>
        </w:tc>
        <w:tc>
          <w:tcPr>
            <w:tcW w:w="860" w:type="pct"/>
            <w:tcBorders>
              <w:top w:val="single" w:sz="24" w:space="0" w:color="2A3652"/>
            </w:tcBorders>
          </w:tcPr>
          <w:p w14:paraId="14CD195B" w14:textId="5B07E1E3"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w:t>
            </w:r>
            <w:r w:rsidR="00B73722" w:rsidRPr="00E029E2">
              <w:rPr>
                <w:rFonts w:cstheme="minorHAnsi"/>
                <w:lang w:val="en-US"/>
              </w:rPr>
              <w:t>,</w:t>
            </w:r>
            <w:r w:rsidRPr="00E029E2">
              <w:rPr>
                <w:rFonts w:cstheme="minorHAnsi"/>
                <w:lang w:val="en-US"/>
              </w:rPr>
              <w:t xml:space="preserve">90 </w:t>
            </w:r>
          </w:p>
        </w:tc>
        <w:tc>
          <w:tcPr>
            <w:tcW w:w="625" w:type="pct"/>
            <w:tcBorders>
              <w:top w:val="single" w:sz="24" w:space="0" w:color="2A3652"/>
            </w:tcBorders>
          </w:tcPr>
          <w:p w14:paraId="1B5279A0"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2023</w:t>
            </w:r>
          </w:p>
        </w:tc>
      </w:tr>
      <w:tr w:rsidR="009F4A1B" w:rsidRPr="00FF70EA" w14:paraId="0575BF95" w14:textId="77777777" w:rsidTr="00E37CAB">
        <w:trPr>
          <w:trHeight w:val="129"/>
        </w:trPr>
        <w:tc>
          <w:tcPr>
            <w:cnfStyle w:val="001000000000" w:firstRow="0" w:lastRow="0" w:firstColumn="1" w:lastColumn="0" w:oddVBand="0" w:evenVBand="0" w:oddHBand="0" w:evenHBand="0" w:firstRowFirstColumn="0" w:firstRowLastColumn="0" w:lastRowFirstColumn="0" w:lastRowLastColumn="0"/>
            <w:tcW w:w="585" w:type="pct"/>
          </w:tcPr>
          <w:p w14:paraId="06DBE3E4" w14:textId="77777777" w:rsidR="009F4A1B" w:rsidRPr="00E029E2" w:rsidRDefault="009F4A1B" w:rsidP="000E769C">
            <w:pPr>
              <w:pStyle w:val="TabellHode-rad"/>
            </w:pPr>
            <w:r w:rsidRPr="00E029E2">
              <w:t>Danmark</w:t>
            </w:r>
          </w:p>
        </w:tc>
        <w:tc>
          <w:tcPr>
            <w:tcW w:w="663" w:type="pct"/>
          </w:tcPr>
          <w:p w14:paraId="3CC24366" w14:textId="37D2A4DF"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44</w:t>
            </w:r>
            <w:r w:rsidR="00B73722" w:rsidRPr="00E029E2">
              <w:rPr>
                <w:rFonts w:cstheme="minorHAnsi"/>
              </w:rPr>
              <w:t xml:space="preserve"> </w:t>
            </w:r>
            <w:r w:rsidRPr="00E029E2">
              <w:rPr>
                <w:rFonts w:cstheme="minorHAnsi"/>
              </w:rPr>
              <w:t>% kompani</w:t>
            </w:r>
            <w:r w:rsidRPr="00E029E2">
              <w:rPr>
                <w:rFonts w:cstheme="minorHAnsi"/>
              </w:rPr>
              <w:softHyphen/>
              <w:t xml:space="preserve">skap med 2-3 leger </w:t>
            </w:r>
          </w:p>
        </w:tc>
        <w:tc>
          <w:tcPr>
            <w:tcW w:w="860" w:type="pct"/>
          </w:tcPr>
          <w:p w14:paraId="03A061EC"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3508</w:t>
            </w:r>
          </w:p>
        </w:tc>
        <w:tc>
          <w:tcPr>
            <w:tcW w:w="1407" w:type="pct"/>
          </w:tcPr>
          <w:p w14:paraId="3AD94140"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1678 spesialister- lægekapasiteter (FTE)</w:t>
            </w:r>
          </w:p>
        </w:tc>
        <w:tc>
          <w:tcPr>
            <w:tcW w:w="860" w:type="pct"/>
          </w:tcPr>
          <w:p w14:paraId="3BA8F5AA"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0,61</w:t>
            </w:r>
          </w:p>
        </w:tc>
        <w:tc>
          <w:tcPr>
            <w:tcW w:w="625" w:type="pct"/>
          </w:tcPr>
          <w:p w14:paraId="5BE54430"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2022</w:t>
            </w:r>
          </w:p>
        </w:tc>
      </w:tr>
      <w:tr w:rsidR="009F4A1B" w:rsidRPr="00FF70EA" w14:paraId="38CC08C8" w14:textId="77777777" w:rsidTr="00E37CAB">
        <w:trPr>
          <w:trHeight w:val="136"/>
        </w:trPr>
        <w:tc>
          <w:tcPr>
            <w:cnfStyle w:val="001000000000" w:firstRow="0" w:lastRow="0" w:firstColumn="1" w:lastColumn="0" w:oddVBand="0" w:evenVBand="0" w:oddHBand="0" w:evenHBand="0" w:firstRowFirstColumn="0" w:firstRowLastColumn="0" w:lastRowFirstColumn="0" w:lastRowLastColumn="0"/>
            <w:tcW w:w="585" w:type="pct"/>
          </w:tcPr>
          <w:p w14:paraId="114357F3" w14:textId="77777777" w:rsidR="009F4A1B" w:rsidRPr="00E029E2" w:rsidRDefault="009F4A1B" w:rsidP="000E769C">
            <w:pPr>
              <w:pStyle w:val="TabellHode-rad"/>
            </w:pPr>
            <w:r w:rsidRPr="00E029E2">
              <w:t>Skottland</w:t>
            </w:r>
          </w:p>
        </w:tc>
        <w:tc>
          <w:tcPr>
            <w:tcW w:w="663" w:type="pct"/>
          </w:tcPr>
          <w:p w14:paraId="5F91CE2E"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rPr>
              <w:t xml:space="preserve">5-6 leger </w:t>
            </w:r>
          </w:p>
        </w:tc>
        <w:tc>
          <w:tcPr>
            <w:tcW w:w="860" w:type="pct"/>
          </w:tcPr>
          <w:p w14:paraId="779FB0CB"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rPr>
              <w:t>6500</w:t>
            </w:r>
          </w:p>
        </w:tc>
        <w:tc>
          <w:tcPr>
            <w:tcW w:w="1407" w:type="pct"/>
          </w:tcPr>
          <w:p w14:paraId="444E6624" w14:textId="77777777" w:rsidR="009F4A1B" w:rsidRPr="00D9107F" w:rsidRDefault="009F4A1B" w:rsidP="000E769C">
            <w:pPr>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1116 (inkl ALIS, Headcount</w:t>
            </w:r>
          </w:p>
          <w:p w14:paraId="0EB13970" w14:textId="77777777" w:rsidR="009F4A1B" w:rsidRPr="008B481C"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nb-NO"/>
              </w:rPr>
            </w:pPr>
            <w:r w:rsidRPr="008B481C">
              <w:rPr>
                <w:rFonts w:cstheme="minorHAnsi"/>
                <w:lang w:val="nb-NO"/>
              </w:rPr>
              <w:t>1268 (kun spesialister Headcount)</w:t>
            </w:r>
          </w:p>
          <w:p w14:paraId="3FF546AB"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1311 (ekskl ALIS, Headcount)</w:t>
            </w:r>
          </w:p>
          <w:p w14:paraId="3FA4E4D0"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1693 (ekskl ALIS, FTE)</w:t>
            </w:r>
          </w:p>
        </w:tc>
        <w:tc>
          <w:tcPr>
            <w:tcW w:w="860" w:type="pct"/>
          </w:tcPr>
          <w:p w14:paraId="1A010C07"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0,90</w:t>
            </w:r>
          </w:p>
          <w:p w14:paraId="21AA55EB"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0,76</w:t>
            </w:r>
          </w:p>
          <w:p w14:paraId="337B8DBF"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0,76</w:t>
            </w:r>
          </w:p>
          <w:p w14:paraId="62A65309" w14:textId="1EAED058"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0,59</w:t>
            </w:r>
          </w:p>
        </w:tc>
        <w:tc>
          <w:tcPr>
            <w:tcW w:w="625" w:type="pct"/>
          </w:tcPr>
          <w:p w14:paraId="21CC61AE" w14:textId="4E826C29"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rPr>
              <w:t xml:space="preserve">2022 </w:t>
            </w:r>
            <w:r w:rsidR="00B73722" w:rsidRPr="00E029E2">
              <w:rPr>
                <w:rFonts w:cstheme="minorHAnsi"/>
              </w:rPr>
              <w:br/>
            </w:r>
            <w:r w:rsidRPr="00E029E2">
              <w:rPr>
                <w:rFonts w:cstheme="minorHAnsi"/>
              </w:rPr>
              <w:t xml:space="preserve">og jan 2023 </w:t>
            </w:r>
          </w:p>
        </w:tc>
      </w:tr>
      <w:tr w:rsidR="009F4A1B" w:rsidRPr="00FF70EA" w14:paraId="106AC929" w14:textId="77777777" w:rsidTr="00E37CAB">
        <w:trPr>
          <w:trHeight w:val="207"/>
        </w:trPr>
        <w:tc>
          <w:tcPr>
            <w:cnfStyle w:val="001000000000" w:firstRow="0" w:lastRow="0" w:firstColumn="1" w:lastColumn="0" w:oddVBand="0" w:evenVBand="0" w:oddHBand="0" w:evenHBand="0" w:firstRowFirstColumn="0" w:firstRowLastColumn="0" w:lastRowFirstColumn="0" w:lastRowLastColumn="0"/>
            <w:tcW w:w="585" w:type="pct"/>
          </w:tcPr>
          <w:p w14:paraId="0679BFD2" w14:textId="77777777" w:rsidR="009F4A1B" w:rsidRPr="00E029E2" w:rsidRDefault="009F4A1B" w:rsidP="000E769C">
            <w:pPr>
              <w:pStyle w:val="TabellHode-rad"/>
            </w:pPr>
            <w:r w:rsidRPr="00E029E2">
              <w:t>England</w:t>
            </w:r>
          </w:p>
        </w:tc>
        <w:tc>
          <w:tcPr>
            <w:tcW w:w="663" w:type="pct"/>
          </w:tcPr>
          <w:p w14:paraId="07C082A1"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 xml:space="preserve">5-6 </w:t>
            </w:r>
          </w:p>
        </w:tc>
        <w:tc>
          <w:tcPr>
            <w:tcW w:w="860" w:type="pct"/>
          </w:tcPr>
          <w:p w14:paraId="7F601BD2"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9671</w:t>
            </w:r>
          </w:p>
        </w:tc>
        <w:tc>
          <w:tcPr>
            <w:tcW w:w="1407" w:type="pct"/>
          </w:tcPr>
          <w:p w14:paraId="2518567B" w14:textId="77777777" w:rsidR="009F4A1B" w:rsidRPr="00D9107F" w:rsidRDefault="009F4A1B" w:rsidP="000E769C">
            <w:pPr>
              <w:cnfStyle w:val="000000000000" w:firstRow="0" w:lastRow="0" w:firstColumn="0" w:lastColumn="0" w:oddVBand="0" w:evenVBand="0" w:oddHBand="0" w:evenHBand="0" w:firstRowFirstColumn="0" w:firstRowLastColumn="0" w:lastRowFirstColumn="0" w:lastRowLastColumn="0"/>
              <w:rPr>
                <w:rStyle w:val="kursiv"/>
              </w:rPr>
            </w:pPr>
            <w:r w:rsidRPr="00D9107F">
              <w:rPr>
                <w:rStyle w:val="kursiv"/>
              </w:rPr>
              <w:t>1355 inkl ALIS, Headcount</w:t>
            </w:r>
          </w:p>
          <w:p w14:paraId="31BA64A8"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nb-NO"/>
              </w:rPr>
            </w:pPr>
            <w:r w:rsidRPr="00E029E2">
              <w:rPr>
                <w:rFonts w:cstheme="minorHAnsi"/>
                <w:lang w:val="nb-NO"/>
              </w:rPr>
              <w:t>1695 inkl ALIS, FTE (fulltid)</w:t>
            </w:r>
          </w:p>
          <w:p w14:paraId="56B44ECE"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nb-NO"/>
              </w:rPr>
            </w:pPr>
            <w:r w:rsidRPr="00E029E2">
              <w:rPr>
                <w:rFonts w:cstheme="minorHAnsi"/>
                <w:lang w:val="nb-NO"/>
              </w:rPr>
              <w:t>2329 Kun spesialister*** FTE</w:t>
            </w:r>
          </w:p>
          <w:p w14:paraId="5E402381"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1764 Kun spesialister Headc</w:t>
            </w:r>
          </w:p>
        </w:tc>
        <w:tc>
          <w:tcPr>
            <w:tcW w:w="860" w:type="pct"/>
          </w:tcPr>
          <w:p w14:paraId="74968B00"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0,74</w:t>
            </w:r>
          </w:p>
          <w:p w14:paraId="4157B75C"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0,59</w:t>
            </w:r>
          </w:p>
          <w:p w14:paraId="025AC55A" w14:textId="4E5F83FF"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0,43</w:t>
            </w:r>
          </w:p>
          <w:p w14:paraId="6F51C584"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E029E2">
              <w:rPr>
                <w:rFonts w:cstheme="minorHAnsi"/>
                <w:lang w:val="en-US"/>
              </w:rPr>
              <w:t>0,57</w:t>
            </w:r>
          </w:p>
        </w:tc>
        <w:tc>
          <w:tcPr>
            <w:tcW w:w="625" w:type="pct"/>
          </w:tcPr>
          <w:p w14:paraId="2F133F29"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Des 2022</w:t>
            </w:r>
          </w:p>
        </w:tc>
      </w:tr>
      <w:tr w:rsidR="009F4A1B" w:rsidRPr="00FF70EA" w14:paraId="61468BCA" w14:textId="77777777" w:rsidTr="00E37CAB">
        <w:trPr>
          <w:trHeight w:val="122"/>
        </w:trPr>
        <w:tc>
          <w:tcPr>
            <w:cnfStyle w:val="001000000000" w:firstRow="0" w:lastRow="0" w:firstColumn="1" w:lastColumn="0" w:oddVBand="0" w:evenVBand="0" w:oddHBand="0" w:evenHBand="0" w:firstRowFirstColumn="0" w:firstRowLastColumn="0" w:lastRowFirstColumn="0" w:lastRowLastColumn="0"/>
            <w:tcW w:w="585" w:type="pct"/>
          </w:tcPr>
          <w:p w14:paraId="6BB3E563" w14:textId="77777777" w:rsidR="009F4A1B" w:rsidRPr="00E029E2" w:rsidRDefault="009F4A1B" w:rsidP="000E769C">
            <w:pPr>
              <w:pStyle w:val="TabellHode-rad"/>
            </w:pPr>
            <w:r w:rsidRPr="00E029E2">
              <w:t>Nederland</w:t>
            </w:r>
          </w:p>
        </w:tc>
        <w:tc>
          <w:tcPr>
            <w:tcW w:w="663" w:type="pct"/>
          </w:tcPr>
          <w:p w14:paraId="6F73E958"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 xml:space="preserve">Snitt 2,4 </w:t>
            </w:r>
          </w:p>
        </w:tc>
        <w:tc>
          <w:tcPr>
            <w:tcW w:w="860" w:type="pct"/>
          </w:tcPr>
          <w:p w14:paraId="4CCBC1D7"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3596</w:t>
            </w:r>
          </w:p>
        </w:tc>
        <w:tc>
          <w:tcPr>
            <w:tcW w:w="1407" w:type="pct"/>
          </w:tcPr>
          <w:p w14:paraId="3FD82C19"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1509 spesialister (headcount)</w:t>
            </w:r>
          </w:p>
          <w:p w14:paraId="73545B09" w14:textId="028C5516"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(2300 Kun praksiseiere)</w:t>
            </w:r>
          </w:p>
        </w:tc>
        <w:tc>
          <w:tcPr>
            <w:tcW w:w="860" w:type="pct"/>
          </w:tcPr>
          <w:p w14:paraId="02A1CE7D" w14:textId="77777777" w:rsidR="00D9107F"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0,67</w:t>
            </w:r>
          </w:p>
          <w:p w14:paraId="46160865" w14:textId="5D222993"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(Ca</w:t>
            </w:r>
            <w:r w:rsidR="00B73722" w:rsidRPr="00E029E2">
              <w:rPr>
                <w:rFonts w:cstheme="minorHAnsi"/>
              </w:rPr>
              <w:t>.</w:t>
            </w:r>
            <w:r w:rsidRPr="00E029E2">
              <w:rPr>
                <w:rFonts w:cstheme="minorHAnsi"/>
              </w:rPr>
              <w:t xml:space="preserve"> 0,43)</w:t>
            </w:r>
          </w:p>
        </w:tc>
        <w:tc>
          <w:tcPr>
            <w:tcW w:w="625" w:type="pct"/>
          </w:tcPr>
          <w:p w14:paraId="564CF457"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2022</w:t>
            </w:r>
          </w:p>
        </w:tc>
      </w:tr>
      <w:tr w:rsidR="009F4A1B" w:rsidRPr="00FF70EA" w14:paraId="1512A54D" w14:textId="77777777" w:rsidTr="00E37CAB">
        <w:trPr>
          <w:trHeight w:val="129"/>
        </w:trPr>
        <w:tc>
          <w:tcPr>
            <w:cnfStyle w:val="001000000000" w:firstRow="0" w:lastRow="0" w:firstColumn="1" w:lastColumn="0" w:oddVBand="0" w:evenVBand="0" w:oddHBand="0" w:evenHBand="0" w:firstRowFirstColumn="0" w:firstRowLastColumn="0" w:lastRowFirstColumn="0" w:lastRowLastColumn="0"/>
            <w:tcW w:w="585" w:type="pct"/>
          </w:tcPr>
          <w:p w14:paraId="6A6DAA95" w14:textId="77777777" w:rsidR="009F4A1B" w:rsidRPr="00E029E2" w:rsidRDefault="009F4A1B" w:rsidP="000E769C">
            <w:pPr>
              <w:pStyle w:val="TabellHode-rad"/>
            </w:pPr>
            <w:r w:rsidRPr="00E029E2">
              <w:t>Sverige</w:t>
            </w:r>
          </w:p>
        </w:tc>
        <w:tc>
          <w:tcPr>
            <w:tcW w:w="663" w:type="pct"/>
          </w:tcPr>
          <w:p w14:paraId="0C360D0B"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4-6 leger**</w:t>
            </w:r>
          </w:p>
        </w:tc>
        <w:tc>
          <w:tcPr>
            <w:tcW w:w="860" w:type="pct"/>
          </w:tcPr>
          <w:p w14:paraId="109F1C97"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1407" w:type="pct"/>
          </w:tcPr>
          <w:p w14:paraId="43188C2C"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860" w:type="pct"/>
          </w:tcPr>
          <w:p w14:paraId="1FC63A1F"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625" w:type="pct"/>
          </w:tcPr>
          <w:p w14:paraId="12B06B57"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2021</w:t>
            </w:r>
          </w:p>
        </w:tc>
      </w:tr>
      <w:tr w:rsidR="009F4A1B" w:rsidRPr="00FF70EA" w14:paraId="4FAEEA0D" w14:textId="77777777" w:rsidTr="00E37CAB">
        <w:trPr>
          <w:trHeight w:val="122"/>
        </w:trPr>
        <w:tc>
          <w:tcPr>
            <w:cnfStyle w:val="001000000000" w:firstRow="0" w:lastRow="0" w:firstColumn="1" w:lastColumn="0" w:oddVBand="0" w:evenVBand="0" w:oddHBand="0" w:evenHBand="0" w:firstRowFirstColumn="0" w:firstRowLastColumn="0" w:lastRowFirstColumn="0" w:lastRowLastColumn="0"/>
            <w:tcW w:w="585" w:type="pct"/>
          </w:tcPr>
          <w:p w14:paraId="075C3366" w14:textId="77777777" w:rsidR="009F4A1B" w:rsidRPr="00E029E2" w:rsidRDefault="009F4A1B" w:rsidP="000E769C">
            <w:pPr>
              <w:pStyle w:val="TabellHode-rad"/>
            </w:pPr>
            <w:r w:rsidRPr="00E029E2">
              <w:t>Finland</w:t>
            </w:r>
          </w:p>
        </w:tc>
        <w:tc>
          <w:tcPr>
            <w:tcW w:w="663" w:type="pct"/>
          </w:tcPr>
          <w:p w14:paraId="772C7AE9"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860" w:type="pct"/>
          </w:tcPr>
          <w:p w14:paraId="007438F4"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1407" w:type="pct"/>
          </w:tcPr>
          <w:p w14:paraId="05B9A94F"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860" w:type="pct"/>
          </w:tcPr>
          <w:p w14:paraId="3EA0E5CF"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c>
          <w:tcPr>
            <w:tcW w:w="625" w:type="pct"/>
          </w:tcPr>
          <w:p w14:paraId="3D9D1EAF" w14:textId="77777777" w:rsidR="009F4A1B" w:rsidRPr="00E029E2" w:rsidRDefault="009F4A1B" w:rsidP="000E769C">
            <w:pPr>
              <w:cnfStyle w:val="000000000000" w:firstRow="0" w:lastRow="0" w:firstColumn="0" w:lastColumn="0" w:oddVBand="0" w:evenVBand="0" w:oddHBand="0" w:evenHBand="0" w:firstRowFirstColumn="0" w:firstRowLastColumn="0" w:lastRowFirstColumn="0" w:lastRowLastColumn="0"/>
              <w:rPr>
                <w:rFonts w:cstheme="minorHAnsi"/>
              </w:rPr>
            </w:pPr>
            <w:r w:rsidRPr="00E029E2">
              <w:rPr>
                <w:rFonts w:cstheme="minorHAnsi"/>
              </w:rPr>
              <w:t>-</w:t>
            </w:r>
          </w:p>
        </w:tc>
      </w:tr>
    </w:tbl>
    <w:p w14:paraId="56B87987" w14:textId="77777777" w:rsidR="00D9107F" w:rsidRPr="00CE06F0" w:rsidRDefault="00C67738" w:rsidP="00C33652">
      <w:pPr>
        <w:pStyle w:val="Petit"/>
        <w:rPr>
          <w:rStyle w:val="kursiv"/>
          <w:rFonts w:eastAsiaTheme="minorHAnsi"/>
        </w:rPr>
      </w:pPr>
      <w:r w:rsidRPr="00CE06F0">
        <w:rPr>
          <w:rStyle w:val="kursiv"/>
          <w:rFonts w:eastAsiaTheme="minorHAnsi"/>
        </w:rPr>
        <w:t xml:space="preserve">Merknad: </w:t>
      </w:r>
      <w:r w:rsidR="002B2FDF" w:rsidRPr="00CE06F0">
        <w:rPr>
          <w:rStyle w:val="kursiv"/>
          <w:rFonts w:eastAsiaTheme="minorHAnsi"/>
        </w:rPr>
        <w:t>*FTE= omregnet til hel</w:t>
      </w:r>
      <w:r w:rsidR="00BA49B5" w:rsidRPr="00CE06F0">
        <w:rPr>
          <w:rStyle w:val="kursiv"/>
          <w:rFonts w:eastAsiaTheme="minorHAnsi"/>
        </w:rPr>
        <w:t xml:space="preserve">e </w:t>
      </w:r>
      <w:r w:rsidR="002B2FDF" w:rsidRPr="00CE06F0">
        <w:rPr>
          <w:rStyle w:val="kursiv"/>
          <w:rFonts w:eastAsiaTheme="minorHAnsi"/>
        </w:rPr>
        <w:t>stillinger, Headcount= personer** Private vårdcentraler har ofte litt færre leger ***Nasjonalt mål om 1100 pasienter per spesialist og 550 per lege i spesialistutdanning i allmennmedisin</w:t>
      </w:r>
    </w:p>
    <w:p w14:paraId="41165BA5" w14:textId="147B3BF9" w:rsidR="00841875" w:rsidRPr="00FF70EA" w:rsidRDefault="00841875" w:rsidP="00775632">
      <w:pPr>
        <w:pStyle w:val="Overskrift3"/>
      </w:pPr>
      <w:bookmarkStart w:id="1232" w:name="_Toc126767296"/>
      <w:bookmarkStart w:id="1233" w:name="_Toc126918006"/>
      <w:bookmarkStart w:id="1234" w:name="_Toc126937695"/>
      <w:bookmarkStart w:id="1235" w:name="_Toc127633197"/>
      <w:bookmarkStart w:id="1236" w:name="_Toc127864483"/>
      <w:bookmarkStart w:id="1237" w:name="_Toc128032505"/>
      <w:bookmarkStart w:id="1238" w:name="_Toc128238486"/>
      <w:bookmarkStart w:id="1239" w:name="_Toc128741966"/>
      <w:bookmarkStart w:id="1240" w:name="_Toc128744561"/>
      <w:bookmarkStart w:id="1241" w:name="_Toc128744780"/>
      <w:bookmarkStart w:id="1242" w:name="_Toc129630279"/>
      <w:bookmarkStart w:id="1243" w:name="_Toc129962172"/>
      <w:bookmarkStart w:id="1244" w:name="_Toc130154241"/>
      <w:bookmarkStart w:id="1245" w:name="_Toc130490057"/>
      <w:bookmarkStart w:id="1246" w:name="_Toc130763787"/>
      <w:bookmarkStart w:id="1247" w:name="_Toc130766682"/>
      <w:bookmarkStart w:id="1248" w:name="_Toc130932082"/>
      <w:bookmarkStart w:id="1249" w:name="_Toc130934373"/>
      <w:bookmarkStart w:id="1250" w:name="_Toc130983428"/>
      <w:bookmarkStart w:id="1251" w:name="_Toc130983777"/>
      <w:bookmarkStart w:id="1252" w:name="_Toc131062107"/>
      <w:bookmarkStart w:id="1253" w:name="_Toc131062361"/>
      <w:bookmarkStart w:id="1254" w:name="_Toc131062622"/>
      <w:bookmarkStart w:id="1255" w:name="_Toc131062875"/>
      <w:bookmarkStart w:id="1256" w:name="_Toc131063643"/>
      <w:bookmarkStart w:id="1257" w:name="_Toc131064064"/>
      <w:bookmarkStart w:id="1258" w:name="_Toc131238354"/>
      <w:bookmarkStart w:id="1259" w:name="_Toc131279385"/>
      <w:bookmarkStart w:id="1260" w:name="_Toc131286797"/>
      <w:bookmarkStart w:id="1261" w:name="_Toc131281207"/>
      <w:bookmarkStart w:id="1262" w:name="_Toc131317746"/>
      <w:bookmarkStart w:id="1263" w:name="_Toc132536948"/>
      <w:r w:rsidRPr="00FF70EA">
        <w:t>Pasienttilknytning</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70791C33" w14:textId="77777777" w:rsidR="00D9107F" w:rsidRDefault="00841875" w:rsidP="00841875">
      <w:pPr>
        <w:jc w:val="both"/>
      </w:pPr>
      <w:r w:rsidRPr="00FF70EA">
        <w:t xml:space="preserve">Norge har </w:t>
      </w:r>
      <w:r w:rsidR="007B5058">
        <w:t xml:space="preserve">kanskje </w:t>
      </w:r>
      <w:r w:rsidRPr="00FF70EA">
        <w:t>den mest rendyrkede fastlegeordningen</w:t>
      </w:r>
      <w:r w:rsidR="00915D2F">
        <w:t>,</w:t>
      </w:r>
      <w:r w:rsidRPr="00FF70EA">
        <w:t xml:space="preserve"> hvor </w:t>
      </w:r>
      <w:r>
        <w:t xml:space="preserve">systemene er organisert for at </w:t>
      </w:r>
      <w:r w:rsidR="005D3D8D">
        <w:t>innbyggerne</w:t>
      </w:r>
      <w:r w:rsidRPr="00FF70EA">
        <w:t xml:space="preserve"> entydig </w:t>
      </w:r>
      <w:r>
        <w:t xml:space="preserve">kan være </w:t>
      </w:r>
      <w:r w:rsidRPr="00FF70EA">
        <w:t>knyttet til en spesifikk lege</w:t>
      </w:r>
      <w:r w:rsidR="00915D2F">
        <w:t>,</w:t>
      </w:r>
      <w:r w:rsidRPr="00FF70EA">
        <w:t xml:space="preserve"> og hvor ansvaret for </w:t>
      </w:r>
      <w:r w:rsidR="005D3D8D">
        <w:t>listeinnbyggere</w:t>
      </w:r>
      <w:r w:rsidRPr="00FF70EA">
        <w:t xml:space="preserve"> </w:t>
      </w:r>
      <w:r w:rsidRPr="00FC1E81">
        <w:t xml:space="preserve">formelt </w:t>
      </w:r>
      <w:r w:rsidRPr="00FF70EA">
        <w:t>sett ikke deles med andre leger.</w:t>
      </w:r>
    </w:p>
    <w:p w14:paraId="1C56839E" w14:textId="77777777" w:rsidR="00D9107F" w:rsidRDefault="00841875" w:rsidP="00841875">
      <w:pPr>
        <w:jc w:val="both"/>
      </w:pPr>
      <w:r w:rsidRPr="00FF70EA">
        <w:lastRenderedPageBreak/>
        <w:t>I land hvor mange av legene inngår i en partnerskapspraksis deler man også ofte pasientliste. Både i Danmark, England, Skottland</w:t>
      </w:r>
      <w:r w:rsidR="00915D2F">
        <w:t xml:space="preserve">, </w:t>
      </w:r>
      <w:r w:rsidRPr="00FF70EA">
        <w:t>Finland og Sverige kan man fritt velge praksis eller helsesenter (Sverige og Finland</w:t>
      </w:r>
      <w:r w:rsidR="0EBAE00F">
        <w:t>)</w:t>
      </w:r>
      <w:r w:rsidR="5B4C1A78">
        <w:t>,</w:t>
      </w:r>
      <w:r w:rsidRPr="00FF70EA">
        <w:t xml:space="preserve"> men du har ikke som innbygger formell rett til å bli </w:t>
      </w:r>
      <w:r w:rsidR="38AC2770">
        <w:t>tilknyttet</w:t>
      </w:r>
      <w:r w:rsidRPr="00FF70EA">
        <w:t xml:space="preserve"> en spesifikk lege. Det kan likevel være slik at </w:t>
      </w:r>
      <w:r w:rsidR="005D3D8D">
        <w:t>innbyggerne</w:t>
      </w:r>
      <w:r w:rsidRPr="00FF70EA">
        <w:t xml:space="preserve"> i stor grad går til en </w:t>
      </w:r>
      <w:r>
        <w:t xml:space="preserve">fast </w:t>
      </w:r>
      <w:r w:rsidRPr="00FF70EA">
        <w:t xml:space="preserve">lege </w:t>
      </w:r>
      <w:r>
        <w:t xml:space="preserve">ut fra eget </w:t>
      </w:r>
      <w:r w:rsidRPr="00FF70EA">
        <w:t xml:space="preserve">ønske, men det kan i noen tilfeller bety at man må vente </w:t>
      </w:r>
      <w:r w:rsidR="5B4C1A78">
        <w:t>le</w:t>
      </w:r>
      <w:r w:rsidR="27610F92">
        <w:t>n</w:t>
      </w:r>
      <w:r w:rsidR="0EBAE00F">
        <w:t>ger</w:t>
      </w:r>
      <w:r w:rsidRPr="00FF70EA">
        <w:t xml:space="preserve"> på time.</w:t>
      </w:r>
    </w:p>
    <w:p w14:paraId="3B710538" w14:textId="77777777" w:rsidR="00D9107F" w:rsidRDefault="00EC6C21" w:rsidP="00841875">
      <w:pPr>
        <w:jc w:val="both"/>
      </w:pPr>
      <w:r>
        <w:t>Som i Norge</w:t>
      </w:r>
      <w:r w:rsidR="00DD3DFA">
        <w:t>,</w:t>
      </w:r>
      <w:r w:rsidR="00841875">
        <w:t xml:space="preserve"> er alle praksiser</w:t>
      </w:r>
      <w:r>
        <w:t xml:space="preserve"> i Nederland</w:t>
      </w:r>
      <w:r w:rsidR="00841875">
        <w:t xml:space="preserve"> pålagt å tildele alle sine registrerte pasienter en navngitt ansvarlig lege</w:t>
      </w:r>
      <w:r w:rsidR="00EF62D1">
        <w:t>, vanligvis en praksiseier.</w:t>
      </w:r>
      <w:r w:rsidR="00841875">
        <w:t xml:space="preserve"> Fastlegen skal sikre at </w:t>
      </w:r>
      <w:r w:rsidR="00EF62D1">
        <w:t>fastlegetjenestene er koordinerte</w:t>
      </w:r>
      <w:r w:rsidR="00841875">
        <w:t xml:space="preserve"> og </w:t>
      </w:r>
      <w:r w:rsidR="00EF62D1">
        <w:t>tilgjengelige</w:t>
      </w:r>
      <w:r w:rsidR="00841875">
        <w:t xml:space="preserve"> for </w:t>
      </w:r>
      <w:r w:rsidR="00EF62D1">
        <w:t xml:space="preserve">pasienten. </w:t>
      </w:r>
      <w:r w:rsidR="00EF62D1" w:rsidRPr="00EE3755">
        <w:t xml:space="preserve">Det er vanlig at en pasient bestiller konsultasjon hos egen fastlege. </w:t>
      </w:r>
      <w:r w:rsidR="0085283C">
        <w:t>H</w:t>
      </w:r>
      <w:r w:rsidR="00EF62D1" w:rsidRPr="00EE3755">
        <w:t xml:space="preserve">vis deres egen fastlege ikke er tilgjengelig, har de </w:t>
      </w:r>
      <w:r w:rsidR="00EF62D1">
        <w:t>mulighet</w:t>
      </w:r>
      <w:r w:rsidR="00841875">
        <w:t xml:space="preserve"> til </w:t>
      </w:r>
      <w:r w:rsidR="00EF62D1" w:rsidRPr="00EE3755">
        <w:t xml:space="preserve">å bestille konsultasjon </w:t>
      </w:r>
      <w:r w:rsidR="0085283C">
        <w:t>hos</w:t>
      </w:r>
      <w:r w:rsidR="00EF62D1" w:rsidRPr="00EE3755">
        <w:t xml:space="preserve"> en annen fastlege i samme praksis. Pasienter kan velge å vente til egen fastlege er tilgjengelig. Dette varierer fra pasient til pasient: En yngre</w:t>
      </w:r>
      <w:r w:rsidR="00EF62D1">
        <w:t xml:space="preserve"> frisk person </w:t>
      </w:r>
      <w:r w:rsidR="00EF62D1" w:rsidRPr="00EE3755">
        <w:t>har kanskje ikke et like sterkt bånd til fastlegen som en kronisk syk pasient som ofte konsulterer fastlegen</w:t>
      </w:r>
      <w:r w:rsidR="00EF62D1">
        <w:t xml:space="preserve"> (meddelelse fra kontaktperson)</w:t>
      </w:r>
      <w:r w:rsidR="00EF62D1" w:rsidRPr="00EE3755">
        <w:t>.</w:t>
      </w:r>
      <w:r w:rsidR="00841875">
        <w:t xml:space="preserve"> Også i England skal alle</w:t>
      </w:r>
      <w:r w:rsidR="00841875" w:rsidRPr="00FF70EA">
        <w:t xml:space="preserve"> praksiser tilordne innbyggerne en ansvarlig lege, men det er ikke </w:t>
      </w:r>
      <w:r w:rsidR="009B3E66">
        <w:t>et</w:t>
      </w:r>
      <w:r w:rsidR="00841875" w:rsidRPr="00FF70EA">
        <w:t xml:space="preserve"> </w:t>
      </w:r>
      <w:r w:rsidR="00841875" w:rsidRPr="004A3144">
        <w:t>formelt</w:t>
      </w:r>
      <w:r w:rsidR="00841875" w:rsidRPr="00FF70EA">
        <w:t xml:space="preserve"> krav at </w:t>
      </w:r>
      <w:r w:rsidR="005D3D8D">
        <w:t>innbyggerne</w:t>
      </w:r>
      <w:r w:rsidR="00841875" w:rsidRPr="00FF70EA">
        <w:t xml:space="preserve"> primært skal følges opp av denne legen</w:t>
      </w:r>
      <w:r w:rsidR="009B3E66">
        <w:t>.</w:t>
      </w:r>
      <w:r w:rsidR="00841875" w:rsidRPr="00FF70EA">
        <w:t xml:space="preserve"> En utvikling med større praksiser og ikke listeansvar gir stor fleksibilitet, men kan også </w:t>
      </w:r>
      <w:r w:rsidR="00841875">
        <w:t>gå ut over</w:t>
      </w:r>
      <w:r w:rsidR="00841875" w:rsidRPr="00FF70EA">
        <w:t xml:space="preserve"> kontinuiteten</w:t>
      </w:r>
      <w:r w:rsidR="00841875">
        <w:t xml:space="preserve"> i lege-pasientrelasjonen</w:t>
      </w:r>
      <w:r w:rsidR="00841875" w:rsidRPr="00FF70EA">
        <w:t>.</w:t>
      </w:r>
    </w:p>
    <w:p w14:paraId="12B24C54" w14:textId="4A783BD5" w:rsidR="00841875" w:rsidRPr="00037001" w:rsidRDefault="008F22AC" w:rsidP="00775632">
      <w:pPr>
        <w:pStyle w:val="tabell-tittel"/>
      </w:pPr>
      <w:r>
        <w:t>Pa</w:t>
      </w:r>
      <w:r w:rsidR="00841875" w:rsidRPr="00FF70EA">
        <w:t>sienttilknytning</w:t>
      </w:r>
    </w:p>
    <w:tbl>
      <w:tblPr>
        <w:tblStyle w:val="EUTabellstil"/>
        <w:tblW w:w="5000" w:type="pct"/>
        <w:tblLook w:val="04A0" w:firstRow="1" w:lastRow="0" w:firstColumn="1" w:lastColumn="0" w:noHBand="0" w:noVBand="1"/>
      </w:tblPr>
      <w:tblGrid>
        <w:gridCol w:w="1838"/>
        <w:gridCol w:w="2983"/>
        <w:gridCol w:w="4915"/>
      </w:tblGrid>
      <w:tr w:rsidR="00841875" w:rsidRPr="00FF70EA" w14:paraId="787C57CF" w14:textId="77777777" w:rsidTr="00DA229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84" w:type="pct"/>
            <w:tcBorders>
              <w:bottom w:val="single" w:sz="24" w:space="0" w:color="2A3652"/>
            </w:tcBorders>
            <w:shd w:val="clear" w:color="auto" w:fill="A9D6B9"/>
            <w:noWrap/>
            <w:hideMark/>
          </w:tcPr>
          <w:p w14:paraId="5D26FCFE" w14:textId="77777777" w:rsidR="00841875" w:rsidRPr="00D9107F" w:rsidRDefault="00841875" w:rsidP="000E769C">
            <w:pPr>
              <w:pStyle w:val="TabellHode-kolonne"/>
              <w:rPr>
                <w:rStyle w:val="halvfet"/>
              </w:rPr>
            </w:pPr>
          </w:p>
        </w:tc>
        <w:tc>
          <w:tcPr>
            <w:tcW w:w="1772" w:type="pct"/>
            <w:tcBorders>
              <w:bottom w:val="single" w:sz="24" w:space="0" w:color="2A3652"/>
            </w:tcBorders>
            <w:shd w:val="clear" w:color="auto" w:fill="A9D6B9"/>
            <w:noWrap/>
            <w:hideMark/>
          </w:tcPr>
          <w:p w14:paraId="3BC48B3E" w14:textId="5CA8DEF8"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Pasienttilknytning</w:t>
            </w:r>
          </w:p>
        </w:tc>
        <w:tc>
          <w:tcPr>
            <w:tcW w:w="2044" w:type="pct"/>
            <w:tcBorders>
              <w:bottom w:val="single" w:sz="24" w:space="0" w:color="2A3652"/>
            </w:tcBorders>
            <w:shd w:val="clear" w:color="auto" w:fill="A9D6B9"/>
            <w:noWrap/>
            <w:hideMark/>
          </w:tcPr>
          <w:p w14:paraId="7E1EA3BC" w14:textId="557EAFDA"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Fritt valg av Fastlege eller Legekontor/helsesenter?</w:t>
            </w:r>
          </w:p>
        </w:tc>
      </w:tr>
      <w:tr w:rsidR="00841875" w:rsidRPr="00FF70EA" w14:paraId="217986BB" w14:textId="77777777" w:rsidTr="002843E0">
        <w:trPr>
          <w:trHeight w:val="411"/>
        </w:trPr>
        <w:tc>
          <w:tcPr>
            <w:cnfStyle w:val="001000000000" w:firstRow="0" w:lastRow="0" w:firstColumn="1" w:lastColumn="0" w:oddVBand="0" w:evenVBand="0" w:oddHBand="0" w:evenHBand="0" w:firstRowFirstColumn="0" w:firstRowLastColumn="0" w:lastRowFirstColumn="0" w:lastRowLastColumn="0"/>
            <w:tcW w:w="1184" w:type="pct"/>
            <w:tcBorders>
              <w:top w:val="single" w:sz="24" w:space="0" w:color="2A3652"/>
            </w:tcBorders>
            <w:hideMark/>
          </w:tcPr>
          <w:p w14:paraId="55418B6C" w14:textId="77777777" w:rsidR="00841875" w:rsidRPr="0094075C" w:rsidRDefault="00841875" w:rsidP="000E769C">
            <w:pPr>
              <w:pStyle w:val="TabellHode-rad"/>
            </w:pPr>
            <w:r w:rsidRPr="0094075C">
              <w:t>Norge</w:t>
            </w:r>
          </w:p>
        </w:tc>
        <w:tc>
          <w:tcPr>
            <w:tcW w:w="1772" w:type="pct"/>
            <w:tcBorders>
              <w:top w:val="single" w:sz="24" w:space="0" w:color="2A3652"/>
            </w:tcBorders>
            <w:hideMark/>
          </w:tcPr>
          <w:p w14:paraId="4E8E8560"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94075C">
              <w:rPr>
                <w:lang w:val="nb-NO"/>
              </w:rPr>
              <w:t>Fast navngitt lege. Velges direkte</w:t>
            </w:r>
          </w:p>
        </w:tc>
        <w:tc>
          <w:tcPr>
            <w:tcW w:w="2044" w:type="pct"/>
            <w:tcBorders>
              <w:top w:val="single" w:sz="24" w:space="0" w:color="2A3652"/>
            </w:tcBorders>
            <w:hideMark/>
          </w:tcPr>
          <w:p w14:paraId="4C9F973B" w14:textId="78709CBA"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94075C">
              <w:rPr>
                <w:lang w:val="nb-NO"/>
              </w:rPr>
              <w:t>Ja,</w:t>
            </w:r>
            <w:r w:rsidR="00915D2F" w:rsidRPr="0094075C">
              <w:rPr>
                <w:lang w:val="nb-NO"/>
              </w:rPr>
              <w:t xml:space="preserve"> i</w:t>
            </w:r>
            <w:r w:rsidRPr="0094075C">
              <w:rPr>
                <w:lang w:val="nb-NO"/>
              </w:rPr>
              <w:t>ngen geografiske restriksjoner. Kan bytte</w:t>
            </w:r>
            <w:r w:rsidR="00B73722" w:rsidRPr="0094075C">
              <w:rPr>
                <w:lang w:val="nb-NO"/>
              </w:rPr>
              <w:t>.</w:t>
            </w:r>
          </w:p>
        </w:tc>
      </w:tr>
      <w:tr w:rsidR="00841875" w:rsidRPr="00FF70EA" w14:paraId="2D41BC8B" w14:textId="77777777" w:rsidTr="005A2DE9">
        <w:trPr>
          <w:trHeight w:val="250"/>
        </w:trPr>
        <w:tc>
          <w:tcPr>
            <w:cnfStyle w:val="001000000000" w:firstRow="0" w:lastRow="0" w:firstColumn="1" w:lastColumn="0" w:oddVBand="0" w:evenVBand="0" w:oddHBand="0" w:evenHBand="0" w:firstRowFirstColumn="0" w:firstRowLastColumn="0" w:lastRowFirstColumn="0" w:lastRowLastColumn="0"/>
            <w:tcW w:w="1184" w:type="pct"/>
            <w:noWrap/>
            <w:hideMark/>
          </w:tcPr>
          <w:p w14:paraId="4E3274AC" w14:textId="77777777" w:rsidR="00841875" w:rsidRPr="0094075C" w:rsidRDefault="00841875" w:rsidP="000E769C">
            <w:pPr>
              <w:pStyle w:val="TabellHode-rad"/>
            </w:pPr>
            <w:r w:rsidRPr="0094075C">
              <w:t>Danmark</w:t>
            </w:r>
          </w:p>
        </w:tc>
        <w:tc>
          <w:tcPr>
            <w:tcW w:w="1772" w:type="pct"/>
            <w:hideMark/>
          </w:tcPr>
          <w:p w14:paraId="00B2C1EE" w14:textId="36347ABE"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pPr>
            <w:r w:rsidRPr="0094075C">
              <w:t>Innbyggerne er listet til en praksis/legekontor. 0</w:t>
            </w:r>
            <w:r w:rsidR="00915D2F" w:rsidRPr="0094075C">
              <w:t>,</w:t>
            </w:r>
            <w:r w:rsidRPr="0094075C">
              <w:t>3</w:t>
            </w:r>
            <w:r w:rsidR="00915D2F" w:rsidRPr="0094075C">
              <w:t xml:space="preserve"> </w:t>
            </w:r>
            <w:r w:rsidRPr="0094075C">
              <w:t>% er ikke knyttet til en praksis.</w:t>
            </w:r>
          </w:p>
        </w:tc>
        <w:tc>
          <w:tcPr>
            <w:tcW w:w="2044" w:type="pct"/>
            <w:hideMark/>
          </w:tcPr>
          <w:p w14:paraId="64C679F6"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94075C">
              <w:rPr>
                <w:lang w:val="nb-NO"/>
              </w:rPr>
              <w:t>Innbyggerne kan bli knyttet til en bestemt allmennlege, men kan formelt kun velge en bestemt legepraksis.</w:t>
            </w:r>
          </w:p>
        </w:tc>
      </w:tr>
      <w:tr w:rsidR="00841875" w:rsidRPr="00FF70EA" w14:paraId="35EE8E6F" w14:textId="77777777" w:rsidTr="005A2DE9">
        <w:trPr>
          <w:trHeight w:val="250"/>
        </w:trPr>
        <w:tc>
          <w:tcPr>
            <w:cnfStyle w:val="001000000000" w:firstRow="0" w:lastRow="0" w:firstColumn="1" w:lastColumn="0" w:oddVBand="0" w:evenVBand="0" w:oddHBand="0" w:evenHBand="0" w:firstRowFirstColumn="0" w:firstRowLastColumn="0" w:lastRowFirstColumn="0" w:lastRowLastColumn="0"/>
            <w:tcW w:w="1184" w:type="pct"/>
            <w:noWrap/>
            <w:hideMark/>
          </w:tcPr>
          <w:p w14:paraId="4DEAEE32" w14:textId="77777777" w:rsidR="00841875" w:rsidRPr="0094075C" w:rsidRDefault="00841875" w:rsidP="000E769C">
            <w:pPr>
              <w:pStyle w:val="TabellHode-rad"/>
            </w:pPr>
            <w:r w:rsidRPr="0094075C">
              <w:t>Sverige</w:t>
            </w:r>
          </w:p>
        </w:tc>
        <w:tc>
          <w:tcPr>
            <w:tcW w:w="1772" w:type="pct"/>
            <w:hideMark/>
          </w:tcPr>
          <w:p w14:paraId="48C0DBDD" w14:textId="06F2EA80"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94075C">
              <w:rPr>
                <w:rFonts w:ascii="Calibri" w:hAnsi="Calibri" w:cs="Calibri"/>
                <w:szCs w:val="18"/>
              </w:rPr>
              <w:t>Vårdcentral</w:t>
            </w:r>
            <w:r w:rsidR="00D9107F">
              <w:rPr>
                <w:rFonts w:ascii="Calibri" w:hAnsi="Calibri" w:cs="Calibri"/>
                <w:szCs w:val="18"/>
              </w:rPr>
              <w:t xml:space="preserve"> </w:t>
            </w:r>
          </w:p>
        </w:tc>
        <w:tc>
          <w:tcPr>
            <w:tcW w:w="2044" w:type="pct"/>
            <w:hideMark/>
          </w:tcPr>
          <w:p w14:paraId="29BF961D"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nb-NO"/>
              </w:rPr>
            </w:pPr>
            <w:r w:rsidRPr="0094075C">
              <w:rPr>
                <w:rFonts w:ascii="Calibri" w:hAnsi="Calibri" w:cs="Calibri"/>
                <w:szCs w:val="18"/>
                <w:lang w:val="nb-NO"/>
              </w:rPr>
              <w:t xml:space="preserve">I de fleste regioner er det skal innbyggerne være registrert ved en vårdcentral som de kan velge fritt (Kan stå utenfor). Fra 1. juli 2022 ble det det lovfestet muligheten til å få fast lege. </w:t>
            </w:r>
          </w:p>
        </w:tc>
      </w:tr>
      <w:tr w:rsidR="00841875" w:rsidRPr="00FF70EA" w14:paraId="328BD2EB" w14:textId="77777777" w:rsidTr="005A2DE9">
        <w:trPr>
          <w:trHeight w:val="250"/>
        </w:trPr>
        <w:tc>
          <w:tcPr>
            <w:cnfStyle w:val="001000000000" w:firstRow="0" w:lastRow="0" w:firstColumn="1" w:lastColumn="0" w:oddVBand="0" w:evenVBand="0" w:oddHBand="0" w:evenHBand="0" w:firstRowFirstColumn="0" w:firstRowLastColumn="0" w:lastRowFirstColumn="0" w:lastRowLastColumn="0"/>
            <w:tcW w:w="1184" w:type="pct"/>
            <w:hideMark/>
          </w:tcPr>
          <w:p w14:paraId="1BDAFF22" w14:textId="77777777" w:rsidR="00841875" w:rsidRPr="0094075C" w:rsidRDefault="00841875" w:rsidP="000E769C">
            <w:pPr>
              <w:pStyle w:val="TabellHode-rad"/>
            </w:pPr>
            <w:r w:rsidRPr="0094075C">
              <w:t>Finland</w:t>
            </w:r>
          </w:p>
        </w:tc>
        <w:tc>
          <w:tcPr>
            <w:tcW w:w="1772" w:type="pct"/>
            <w:hideMark/>
          </w:tcPr>
          <w:p w14:paraId="3B7A87C7"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94075C">
              <w:rPr>
                <w:szCs w:val="18"/>
              </w:rPr>
              <w:t xml:space="preserve">Innbyggerne er tilknyttet helsesentret. </w:t>
            </w:r>
          </w:p>
        </w:tc>
        <w:tc>
          <w:tcPr>
            <w:tcW w:w="2044" w:type="pct"/>
            <w:hideMark/>
          </w:tcPr>
          <w:p w14:paraId="66B7C19F"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en-US"/>
              </w:rPr>
            </w:pPr>
            <w:r w:rsidRPr="0094075C">
              <w:rPr>
                <w:rFonts w:ascii="Calibri" w:hAnsi="Calibri" w:cs="Calibri"/>
                <w:szCs w:val="18"/>
                <w:lang w:val="nb-NO"/>
              </w:rPr>
              <w:t xml:space="preserve">Fritt valg av helsesenter siden 2014. Selv om det ikke er formalisert er det anbefalt å tillate at innbyggerne kan velge lege. </w:t>
            </w:r>
            <w:r w:rsidRPr="0094075C">
              <w:rPr>
                <w:rFonts w:ascii="Calibri" w:hAnsi="Calibri" w:cs="Calibri"/>
                <w:szCs w:val="18"/>
              </w:rPr>
              <w:t xml:space="preserve">Retten til å bytte helsesenter benyttes i liten grad. </w:t>
            </w:r>
          </w:p>
        </w:tc>
      </w:tr>
      <w:tr w:rsidR="00841875" w:rsidRPr="00FF70EA" w14:paraId="12F60E63" w14:textId="77777777" w:rsidTr="005A2DE9">
        <w:trPr>
          <w:trHeight w:val="250"/>
        </w:trPr>
        <w:tc>
          <w:tcPr>
            <w:cnfStyle w:val="001000000000" w:firstRow="0" w:lastRow="0" w:firstColumn="1" w:lastColumn="0" w:oddVBand="0" w:evenVBand="0" w:oddHBand="0" w:evenHBand="0" w:firstRowFirstColumn="0" w:firstRowLastColumn="0" w:lastRowFirstColumn="0" w:lastRowLastColumn="0"/>
            <w:tcW w:w="1184" w:type="pct"/>
            <w:hideMark/>
          </w:tcPr>
          <w:p w14:paraId="39275943" w14:textId="77777777" w:rsidR="00841875" w:rsidRPr="0094075C" w:rsidRDefault="00841875" w:rsidP="000E769C">
            <w:pPr>
              <w:pStyle w:val="TabellHode-rad"/>
            </w:pPr>
            <w:r w:rsidRPr="0094075C">
              <w:t>England</w:t>
            </w:r>
          </w:p>
        </w:tc>
        <w:tc>
          <w:tcPr>
            <w:tcW w:w="1772" w:type="pct"/>
            <w:hideMark/>
          </w:tcPr>
          <w:p w14:paraId="35983BA7"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nb-NO"/>
              </w:rPr>
            </w:pPr>
            <w:r w:rsidRPr="0094075C">
              <w:rPr>
                <w:rFonts w:ascii="Calibri" w:hAnsi="Calibri" w:cs="Calibri"/>
                <w:szCs w:val="18"/>
                <w:lang w:val="nb-NO"/>
              </w:rPr>
              <w:t>Pasienten er registrert ved ett legekontor/praksis, men ikke en spesifikk lege.</w:t>
            </w:r>
          </w:p>
        </w:tc>
        <w:tc>
          <w:tcPr>
            <w:tcW w:w="2044" w:type="pct"/>
            <w:hideMark/>
          </w:tcPr>
          <w:p w14:paraId="2C35471E" w14:textId="537B05A8"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nb-NO"/>
              </w:rPr>
            </w:pPr>
            <w:r w:rsidRPr="0094075C">
              <w:rPr>
                <w:rFonts w:ascii="Calibri" w:hAnsi="Calibri" w:cs="Calibri"/>
                <w:szCs w:val="18"/>
                <w:lang w:val="nb-NO"/>
              </w:rPr>
              <w:t>Ja, men geografiske restriksjonert. Du kan velge utenfor geografisk område, men praksisen kan avvise personer hvis for eksempel de ikke har ledige plasser eller personen bor veldig langt unna (for hjemmebesøk)</w:t>
            </w:r>
            <w:r w:rsidR="00B73722" w:rsidRPr="0094075C">
              <w:rPr>
                <w:rFonts w:ascii="Calibri" w:hAnsi="Calibri" w:cs="Calibri"/>
                <w:szCs w:val="18"/>
                <w:lang w:val="nb-NO"/>
              </w:rPr>
              <w:t>.</w:t>
            </w:r>
          </w:p>
        </w:tc>
      </w:tr>
      <w:tr w:rsidR="00841875" w:rsidRPr="00FF70EA" w14:paraId="29FD29AF" w14:textId="77777777" w:rsidTr="005A2DE9">
        <w:trPr>
          <w:trHeight w:val="250"/>
        </w:trPr>
        <w:tc>
          <w:tcPr>
            <w:cnfStyle w:val="001000000000" w:firstRow="0" w:lastRow="0" w:firstColumn="1" w:lastColumn="0" w:oddVBand="0" w:evenVBand="0" w:oddHBand="0" w:evenHBand="0" w:firstRowFirstColumn="0" w:firstRowLastColumn="0" w:lastRowFirstColumn="0" w:lastRowLastColumn="0"/>
            <w:tcW w:w="1184" w:type="pct"/>
            <w:hideMark/>
          </w:tcPr>
          <w:p w14:paraId="0492A032" w14:textId="34E5B0BA" w:rsidR="00841875" w:rsidRPr="0094075C" w:rsidRDefault="000469CC" w:rsidP="000E769C">
            <w:pPr>
              <w:pStyle w:val="TabellHode-rad"/>
            </w:pPr>
            <w:r w:rsidRPr="0094075C">
              <w:t>Skottland</w:t>
            </w:r>
          </w:p>
        </w:tc>
        <w:tc>
          <w:tcPr>
            <w:tcW w:w="1772" w:type="pct"/>
            <w:hideMark/>
          </w:tcPr>
          <w:p w14:paraId="50B8C2D6" w14:textId="782D3447" w:rsidR="00841875" w:rsidRPr="00777CD1"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nb-NO"/>
              </w:rPr>
            </w:pPr>
            <w:r w:rsidRPr="0094075C">
              <w:rPr>
                <w:rFonts w:ascii="Calibri" w:hAnsi="Calibri" w:cs="Calibri"/>
                <w:szCs w:val="18"/>
                <w:lang w:val="nb-NO"/>
              </w:rPr>
              <w:t>Pasienten er velger legekontor og kan ønske å bli knyttet til en spesifikk lege.</w:t>
            </w:r>
          </w:p>
        </w:tc>
        <w:tc>
          <w:tcPr>
            <w:tcW w:w="2044" w:type="pct"/>
            <w:hideMark/>
          </w:tcPr>
          <w:p w14:paraId="5B175AA4" w14:textId="3E943CBC"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en-US"/>
              </w:rPr>
            </w:pPr>
            <w:r w:rsidRPr="0094075C">
              <w:rPr>
                <w:rFonts w:ascii="Calibri" w:hAnsi="Calibri" w:cs="Calibri"/>
                <w:szCs w:val="18"/>
                <w:lang w:val="nb-NO"/>
              </w:rPr>
              <w:t>J</w:t>
            </w:r>
            <w:r w:rsidR="00B73722" w:rsidRPr="0094075C">
              <w:rPr>
                <w:rFonts w:ascii="Calibri" w:hAnsi="Calibri" w:cs="Calibri"/>
                <w:szCs w:val="18"/>
                <w:lang w:val="nb-NO"/>
              </w:rPr>
              <w:t>a</w:t>
            </w:r>
            <w:r w:rsidRPr="0094075C">
              <w:rPr>
                <w:rFonts w:ascii="Calibri" w:hAnsi="Calibri" w:cs="Calibri"/>
                <w:szCs w:val="18"/>
                <w:lang w:val="nb-NO"/>
              </w:rPr>
              <w:t xml:space="preserve">, </w:t>
            </w:r>
            <w:r w:rsidR="00915D2F" w:rsidRPr="0094075C">
              <w:rPr>
                <w:rFonts w:ascii="Calibri" w:hAnsi="Calibri" w:cs="Calibri"/>
                <w:szCs w:val="18"/>
                <w:lang w:val="nb-NO"/>
              </w:rPr>
              <w:t>p</w:t>
            </w:r>
            <w:r w:rsidRPr="0094075C">
              <w:rPr>
                <w:rFonts w:ascii="Calibri" w:hAnsi="Calibri" w:cs="Calibri"/>
                <w:szCs w:val="18"/>
                <w:lang w:val="nb-NO"/>
              </w:rPr>
              <w:t xml:space="preserve">asienten kan velge legekontor/praksis, men ikke en spesifikk lege. Pasienten kan gå til en ønsket lege, men </w:t>
            </w:r>
            <w:r w:rsidRPr="0094075C">
              <w:rPr>
                <w:rFonts w:ascii="Calibri" w:hAnsi="Calibri" w:cs="Calibri"/>
                <w:szCs w:val="18"/>
                <w:lang w:val="nb-NO"/>
              </w:rPr>
              <w:lastRenderedPageBreak/>
              <w:t xml:space="preserve">må kanskje vente lenger på time (kontaktperson). </w:t>
            </w:r>
            <w:r w:rsidRPr="0094075C">
              <w:rPr>
                <w:rFonts w:ascii="Calibri" w:hAnsi="Calibri" w:cs="Calibri"/>
                <w:szCs w:val="18"/>
                <w:lang w:val="en-US"/>
              </w:rPr>
              <w:t>Geografiske be</w:t>
            </w:r>
            <w:r w:rsidR="00BA49B5">
              <w:rPr>
                <w:rFonts w:ascii="Calibri" w:hAnsi="Calibri" w:cs="Calibri"/>
                <w:szCs w:val="18"/>
                <w:lang w:val="en-US"/>
              </w:rPr>
              <w:t>grens</w:t>
            </w:r>
            <w:r w:rsidR="005E25EC">
              <w:rPr>
                <w:rFonts w:ascii="Calibri" w:hAnsi="Calibri" w:cs="Calibri"/>
                <w:szCs w:val="18"/>
                <w:lang w:val="en-US"/>
              </w:rPr>
              <w:t>n</w:t>
            </w:r>
            <w:r w:rsidR="00BA49B5">
              <w:rPr>
                <w:rFonts w:ascii="Calibri" w:hAnsi="Calibri" w:cs="Calibri"/>
                <w:szCs w:val="18"/>
                <w:lang w:val="en-US"/>
              </w:rPr>
              <w:t>inger</w:t>
            </w:r>
            <w:r w:rsidRPr="0094075C">
              <w:rPr>
                <w:rFonts w:ascii="Calibri" w:hAnsi="Calibri" w:cs="Calibri"/>
                <w:szCs w:val="18"/>
                <w:lang w:val="en-US"/>
              </w:rPr>
              <w:t>.</w:t>
            </w:r>
          </w:p>
        </w:tc>
      </w:tr>
      <w:tr w:rsidR="00841875" w:rsidRPr="00FF70EA" w14:paraId="76980358" w14:textId="77777777" w:rsidTr="005A2DE9">
        <w:trPr>
          <w:trHeight w:val="1419"/>
        </w:trPr>
        <w:tc>
          <w:tcPr>
            <w:cnfStyle w:val="001000000000" w:firstRow="0" w:lastRow="0" w:firstColumn="1" w:lastColumn="0" w:oddVBand="0" w:evenVBand="0" w:oddHBand="0" w:evenHBand="0" w:firstRowFirstColumn="0" w:firstRowLastColumn="0" w:lastRowFirstColumn="0" w:lastRowLastColumn="0"/>
            <w:tcW w:w="1184" w:type="pct"/>
            <w:hideMark/>
          </w:tcPr>
          <w:p w14:paraId="7034EBD3" w14:textId="77777777" w:rsidR="00841875" w:rsidRPr="0094075C" w:rsidRDefault="00841875" w:rsidP="000E769C">
            <w:pPr>
              <w:pStyle w:val="TabellHode-rad"/>
            </w:pPr>
            <w:r w:rsidRPr="0094075C">
              <w:lastRenderedPageBreak/>
              <w:t>Nederland</w:t>
            </w:r>
          </w:p>
        </w:tc>
        <w:tc>
          <w:tcPr>
            <w:tcW w:w="1772" w:type="pct"/>
            <w:hideMark/>
          </w:tcPr>
          <w:p w14:paraId="3947E1E8"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en-US"/>
              </w:rPr>
            </w:pPr>
            <w:r w:rsidRPr="0094075C">
              <w:rPr>
                <w:rFonts w:ascii="Calibri" w:hAnsi="Calibri" w:cs="Calibri"/>
                <w:szCs w:val="18"/>
                <w:lang w:val="en-US"/>
              </w:rPr>
              <w:t>Pasienten har fast lege. In case of a broken patient-doctor relationship, the GP is responsible to put effort in transferring the patient to a colleague. Not all patients are able to register with a GP anymore. Also support staff is limited. This varies over the country</w:t>
            </w:r>
          </w:p>
        </w:tc>
        <w:tc>
          <w:tcPr>
            <w:tcW w:w="2044" w:type="pct"/>
            <w:hideMark/>
          </w:tcPr>
          <w:p w14:paraId="15B25C9F" w14:textId="77777777" w:rsidR="00841875" w:rsidRPr="0094075C" w:rsidRDefault="00841875" w:rsidP="000E769C">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val="nb-NO"/>
              </w:rPr>
            </w:pPr>
            <w:r w:rsidRPr="0094075C">
              <w:rPr>
                <w:rFonts w:ascii="Calibri" w:hAnsi="Calibri" w:cs="Calibri"/>
                <w:szCs w:val="18"/>
                <w:lang w:val="nb-NO"/>
              </w:rPr>
              <w:t>Valg av praksis, men praksiser kan stenges for nyregistreringer på grunn av mangel på personale, ikke nok plass i praksisen (både fysisk og for pasienter). Blitt større problem, med innbyggere som ikke kan registrere seg hos noen lege i sitt område.</w:t>
            </w:r>
          </w:p>
        </w:tc>
      </w:tr>
    </w:tbl>
    <w:p w14:paraId="6A5C7F55" w14:textId="69ABA436" w:rsidR="00841875" w:rsidRDefault="00841875" w:rsidP="00775632">
      <w:pPr>
        <w:pStyle w:val="Overskrift3"/>
      </w:pPr>
      <w:bookmarkStart w:id="1264" w:name="_Toc126709471"/>
      <w:bookmarkStart w:id="1265" w:name="_Toc126918007"/>
      <w:bookmarkStart w:id="1266" w:name="_Toc130763788"/>
      <w:bookmarkStart w:id="1267" w:name="_Toc130766683"/>
      <w:bookmarkStart w:id="1268" w:name="_Toc130932083"/>
      <w:bookmarkStart w:id="1269" w:name="_Toc130934374"/>
      <w:bookmarkStart w:id="1270" w:name="_Toc130983429"/>
      <w:bookmarkStart w:id="1271" w:name="_Toc130983778"/>
      <w:bookmarkStart w:id="1272" w:name="_Toc131062108"/>
      <w:bookmarkStart w:id="1273" w:name="_Toc131062362"/>
      <w:bookmarkStart w:id="1274" w:name="_Toc131062623"/>
      <w:bookmarkStart w:id="1275" w:name="_Toc131062876"/>
      <w:bookmarkStart w:id="1276" w:name="_Toc131063644"/>
      <w:bookmarkStart w:id="1277" w:name="_Toc131064065"/>
      <w:bookmarkStart w:id="1278" w:name="_Toc131238355"/>
      <w:bookmarkStart w:id="1279" w:name="_Toc131279386"/>
      <w:bookmarkStart w:id="1280" w:name="_Toc131286798"/>
      <w:bookmarkStart w:id="1281" w:name="_Toc131281208"/>
      <w:bookmarkStart w:id="1282" w:name="_Toc131317747"/>
      <w:bookmarkStart w:id="1283" w:name="_Toc132536949"/>
      <w:r>
        <w:t>Helprivat</w:t>
      </w:r>
      <w:r w:rsidR="000469CC">
        <w:t>e</w:t>
      </w:r>
      <w:r>
        <w:t xml:space="preserve"> </w:t>
      </w:r>
      <w:bookmarkEnd w:id="1264"/>
      <w:r>
        <w:t>allmennlegetjeneste</w:t>
      </w:r>
      <w:bookmarkEnd w:id="1265"/>
      <w:r>
        <w:t>r</w:t>
      </w:r>
      <w:r w:rsidR="009772DB">
        <w:t xml:space="preserve"> i andre land</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6CC439E7" w14:textId="77777777" w:rsidR="00D9107F" w:rsidRDefault="00841875" w:rsidP="004A3144">
      <w:pPr>
        <w:jc w:val="both"/>
      </w:pPr>
      <w:r>
        <w:t xml:space="preserve">Et stadig mer aktuelt spørsmål </w:t>
      </w:r>
      <w:r w:rsidR="009772DB">
        <w:t xml:space="preserve">er </w:t>
      </w:r>
      <w:r>
        <w:t>hvorvidt helprivate helsetjenester har en sentral rolle innenfor og utenfor den offentlige helsetjenesten.</w:t>
      </w:r>
    </w:p>
    <w:p w14:paraId="604D71A3" w14:textId="79E1F6C1" w:rsidR="00841875" w:rsidRDefault="00841875" w:rsidP="004A3144">
      <w:pPr>
        <w:jc w:val="both"/>
      </w:pPr>
      <w:r w:rsidRPr="00FF70EA">
        <w:t xml:space="preserve">I Skottland er </w:t>
      </w:r>
      <w:r>
        <w:t>allmenn</w:t>
      </w:r>
      <w:r w:rsidR="00A36F51">
        <w:t>legetjenesten</w:t>
      </w:r>
      <w:r w:rsidRPr="00FF70EA">
        <w:t xml:space="preserve"> regulert for å hindre passive investorer. </w:t>
      </w:r>
      <w:r>
        <w:t>Enhver konkurranse om fastlegeavtaler må inkludere fastleger</w:t>
      </w:r>
      <w:r w:rsidR="00915D2F">
        <w:t>,</w:t>
      </w:r>
      <w:r>
        <w:t xml:space="preserve"> enten alene eller som partnere. Konkurransereglene utestenger altså ikke formelt utenlandske selskaper, men kontrakten krever at alle kontraktsinnehavere er tilstrekkelig involvert i utøvelsen av tjenester i Skottland. Det er noen private </w:t>
      </w:r>
      <w:r w:rsidR="00E900A9">
        <w:t>allmenn</w:t>
      </w:r>
      <w:r>
        <w:t>leger i de mest velstående områdene som gjerne spesialiserer seg på spesielle tjenester</w:t>
      </w:r>
      <w:r w:rsidR="00915D2F">
        <w:t>,</w:t>
      </w:r>
      <w:r>
        <w:t xml:space="preserve"> som for eksempel reisevaksinasjoner, men </w:t>
      </w:r>
      <w:r w:rsidR="00A36F51">
        <w:t>hel</w:t>
      </w:r>
      <w:r>
        <w:t>privat allmennpraksis er ikke utbredt.</w:t>
      </w:r>
    </w:p>
    <w:p w14:paraId="58031D7D" w14:textId="107B1C8D" w:rsidR="00D9107F" w:rsidRDefault="00841875" w:rsidP="004A3144">
      <w:pPr>
        <w:jc w:val="both"/>
        <w:rPr>
          <w:lang w:val="nb"/>
        </w:rPr>
      </w:pPr>
      <w:r w:rsidRPr="00FF70EA">
        <w:t>I England kan a</w:t>
      </w:r>
      <w:r w:rsidRPr="004A3144">
        <w:rPr>
          <w:lang w:val="nb"/>
        </w:rPr>
        <w:t xml:space="preserve">ndre private virksomheter og aktører, som </w:t>
      </w:r>
      <w:r w:rsidR="00C22F13" w:rsidRPr="004A3144">
        <w:rPr>
          <w:lang w:val="nb"/>
        </w:rPr>
        <w:t>ideelle</w:t>
      </w:r>
      <w:r w:rsidRPr="004A3144">
        <w:rPr>
          <w:lang w:val="nb"/>
        </w:rPr>
        <w:t xml:space="preserve"> organisasjoner, ha en kontrakt for å utføre </w:t>
      </w:r>
      <w:r w:rsidR="4DC8E401" w:rsidRPr="004A3144">
        <w:rPr>
          <w:lang w:val="nb"/>
        </w:rPr>
        <w:t>allmennlegetjen</w:t>
      </w:r>
      <w:r w:rsidR="4C21DA5E" w:rsidRPr="004A3144">
        <w:rPr>
          <w:lang w:val="nb"/>
        </w:rPr>
        <w:t>e</w:t>
      </w:r>
      <w:r w:rsidR="4DC8E401" w:rsidRPr="004A3144">
        <w:rPr>
          <w:lang w:val="nb"/>
        </w:rPr>
        <w:t>ster</w:t>
      </w:r>
      <w:r w:rsidRPr="004A3144">
        <w:rPr>
          <w:lang w:val="nb"/>
        </w:rPr>
        <w:t xml:space="preserve">, men disse er bare tillatt å være tidsbegrenset og ikke vedvare på same måte som kontrakten til praksis-partnere. Bedrifter som </w:t>
      </w:r>
      <w:r w:rsidR="00D9107F">
        <w:rPr>
          <w:lang w:val="nb"/>
        </w:rPr>
        <w:t>«</w:t>
      </w:r>
      <w:r w:rsidRPr="004A3144">
        <w:rPr>
          <w:lang w:val="nb"/>
        </w:rPr>
        <w:t>Operose</w:t>
      </w:r>
      <w:r w:rsidR="00D9107F">
        <w:rPr>
          <w:lang w:val="nb"/>
        </w:rPr>
        <w:t>»</w:t>
      </w:r>
      <w:r w:rsidRPr="004A3144">
        <w:rPr>
          <w:lang w:val="nb"/>
        </w:rPr>
        <w:t xml:space="preserve"> har kontrakter som gjør dem i stand til å drive et stort antall praksiser</w:t>
      </w:r>
      <w:r w:rsidR="005550CB">
        <w:rPr>
          <w:lang w:val="nb"/>
        </w:rPr>
        <w:t xml:space="preserve"> </w:t>
      </w:r>
      <w:r w:rsidR="00E94EA5">
        <w:rPr>
          <w:lang w:val="nb"/>
        </w:rPr>
        <w:fldChar w:fldCharType="begin"/>
      </w:r>
      <w:r w:rsidR="00E94EA5">
        <w:rPr>
          <w:lang w:val="nb"/>
        </w:rPr>
        <w:instrText xml:space="preserve"> ADDIN EN.CITE &lt;EndNote&gt;&lt;Cite ExcludeYear="1"&gt;&lt;Author&gt;Operose health&lt;/Author&gt;&lt;RecNum&gt;586&lt;/RecNum&gt;&lt;DisplayText&gt;(Operose health)&lt;/DisplayText&gt;&lt;record&gt;&lt;rec-number&gt;586&lt;/rec-number&gt;&lt;foreign-keys&gt;&lt;key app="EN" db-id="95tpr2tp6r9xwoea9rb5wdsz5ds5xeddteew" timestamp="1680069511"&gt;586&lt;/key&gt;&lt;/foreign-keys&gt;&lt;ref-type name="Web Page"&gt;12&lt;/ref-type&gt;&lt;contributors&gt;&lt;authors&gt;&lt;author&gt;Operose health,&lt;/author&gt;&lt;/authors&gt;&lt;/contributors&gt;&lt;titles&gt;&lt;title&gt;Operose Health&lt;/title&gt;&lt;/titles&gt;&lt;number&gt;14.03.23&lt;/number&gt;&lt;dates&gt;&lt;/dates&gt;&lt;pub-location&gt;Little Chalfont&lt;/pub-location&gt;&lt;publisher&gt;operosehealth.co.uk&lt;/publisher&gt;&lt;work-type&gt;nettside&lt;/work-type&gt;&lt;urls&gt;&lt;related-urls&gt;&lt;url&gt;https://www.operosehealth.co.uk/&lt;/url&gt;&lt;/related-urls&gt;&lt;/urls&gt;&lt;/record&gt;&lt;/Cite&gt;&lt;/EndNote&gt;</w:instrText>
      </w:r>
      <w:r w:rsidR="00E94EA5">
        <w:rPr>
          <w:lang w:val="nb"/>
        </w:rPr>
        <w:fldChar w:fldCharType="separate"/>
      </w:r>
      <w:r w:rsidR="00E94EA5">
        <w:rPr>
          <w:noProof/>
          <w:lang w:val="nb"/>
        </w:rPr>
        <w:t>(Operose health)</w:t>
      </w:r>
      <w:r w:rsidR="00E94EA5">
        <w:rPr>
          <w:lang w:val="nb"/>
        </w:rPr>
        <w:fldChar w:fldCharType="end"/>
      </w:r>
      <w:r w:rsidRPr="004A3144">
        <w:rPr>
          <w:lang w:val="nb"/>
        </w:rPr>
        <w:t xml:space="preserve">. I tillegg har selskaper som som </w:t>
      </w:r>
      <w:r w:rsidR="00D9107F">
        <w:rPr>
          <w:lang w:val="nb"/>
        </w:rPr>
        <w:t>«</w:t>
      </w:r>
      <w:r w:rsidRPr="004A3144">
        <w:rPr>
          <w:lang w:val="nb"/>
        </w:rPr>
        <w:t>LIVI</w:t>
      </w:r>
      <w:r w:rsidR="00D9107F">
        <w:rPr>
          <w:lang w:val="nb"/>
        </w:rPr>
        <w:t>»</w:t>
      </w:r>
      <w:r w:rsidRPr="004A3144">
        <w:rPr>
          <w:lang w:val="nb"/>
        </w:rPr>
        <w:t xml:space="preserve"> eller </w:t>
      </w:r>
      <w:r w:rsidR="00D9107F">
        <w:rPr>
          <w:lang w:val="nb"/>
        </w:rPr>
        <w:t>«</w:t>
      </w:r>
      <w:r w:rsidRPr="004A3144">
        <w:rPr>
          <w:lang w:val="nb"/>
        </w:rPr>
        <w:t>Babylon</w:t>
      </w:r>
      <w:r w:rsidR="00D9107F">
        <w:rPr>
          <w:lang w:val="nb"/>
        </w:rPr>
        <w:t>»</w:t>
      </w:r>
      <w:r w:rsidRPr="004A3144">
        <w:rPr>
          <w:lang w:val="nb"/>
        </w:rPr>
        <w:t xml:space="preserve"> en kontrakt som gjør at de kan tilby sine tjenester nesten utelukkende digitalt </w:t>
      </w:r>
      <w:r w:rsidR="00E94EA5">
        <w:rPr>
          <w:lang w:val="nb"/>
        </w:rPr>
        <w:fldChar w:fldCharType="begin"/>
      </w:r>
      <w:r w:rsidR="00235862">
        <w:rPr>
          <w:lang w:val="nb"/>
        </w:rPr>
        <w:instrText xml:space="preserve"> ADDIN EN.CITE &lt;EndNote&gt;&lt;Cite&gt;&lt;Author&gt;NHS England&lt;/Author&gt;&lt;Year&gt;2022&lt;/Year&gt;&lt;RecNum&gt;36&lt;/RecNum&gt;&lt;DisplayText&gt;(NHS England, 2022a)&lt;/DisplayText&gt;&lt;record&gt;&lt;rec-number&gt;36&lt;/rec-number&gt;&lt;foreign-keys&gt;&lt;key app="EN" db-id="95tpr2tp6r9xwoea9rb5wdsz5ds5xeddteew" timestamp="1680069511"&gt;36&lt;/key&gt;&lt;/foreign-keys&gt;&lt;ref-type name="Report"&gt;27&lt;/ref-type&gt;&lt;contributors&gt;&lt;authors&gt;&lt;author&gt;NHS England,&lt;/author&gt;&lt;/authors&gt;&lt;/contributors&gt;&lt;titles&gt;&lt;title&gt;The Alternative Provider Medical Services Directions 2022&lt;/title&gt;&lt;/titles&gt;&lt;dates&gt;&lt;year&gt;2022&lt;/year&gt;&lt;/dates&gt;&lt;pub-location&gt;London&lt;/pub-location&gt;&lt;publisher&gt;National Health Service, England&lt;/publisher&gt;&lt;urls&gt;&lt;/urls&gt;&lt;/record&gt;&lt;/Cite&gt;&lt;/EndNote&gt;</w:instrText>
      </w:r>
      <w:r w:rsidR="00E94EA5">
        <w:rPr>
          <w:lang w:val="nb"/>
        </w:rPr>
        <w:fldChar w:fldCharType="separate"/>
      </w:r>
      <w:r w:rsidR="00235862">
        <w:rPr>
          <w:noProof/>
          <w:lang w:val="nb"/>
        </w:rPr>
        <w:t>(NHS England, 2022a)</w:t>
      </w:r>
      <w:r w:rsidR="00E94EA5">
        <w:rPr>
          <w:lang w:val="nb"/>
        </w:rPr>
        <w:fldChar w:fldCharType="end"/>
      </w:r>
      <w:r w:rsidRPr="004A3144">
        <w:rPr>
          <w:lang w:val="nb"/>
        </w:rPr>
        <w:t xml:space="preserve">. Det er generelt sett et marked for helprivate </w:t>
      </w:r>
      <w:r w:rsidR="7BE8C2E6" w:rsidRPr="004A3144">
        <w:rPr>
          <w:lang w:val="nb"/>
        </w:rPr>
        <w:t>helsetjen</w:t>
      </w:r>
      <w:r w:rsidR="5D3E8F3E" w:rsidRPr="004A3144">
        <w:rPr>
          <w:lang w:val="nb"/>
        </w:rPr>
        <w:t>e</w:t>
      </w:r>
      <w:r w:rsidR="7BE8C2E6" w:rsidRPr="004A3144">
        <w:rPr>
          <w:lang w:val="nb"/>
        </w:rPr>
        <w:t>ster</w:t>
      </w:r>
      <w:r w:rsidRPr="004A3144">
        <w:rPr>
          <w:lang w:val="nb"/>
        </w:rPr>
        <w:t xml:space="preserve"> i England</w:t>
      </w:r>
      <w:r w:rsidR="00915D2F" w:rsidRPr="004A3144">
        <w:rPr>
          <w:lang w:val="nb"/>
        </w:rPr>
        <w:t>,</w:t>
      </w:r>
      <w:r w:rsidRPr="004A3144">
        <w:rPr>
          <w:lang w:val="nb"/>
        </w:rPr>
        <w:t xml:space="preserve"> og stadig flere betaler for å ha tilgang til </w:t>
      </w:r>
      <w:r w:rsidR="0099212E" w:rsidRPr="004A3144">
        <w:rPr>
          <w:lang w:val="nb"/>
        </w:rPr>
        <w:t>hel</w:t>
      </w:r>
      <w:r w:rsidRPr="004A3144">
        <w:rPr>
          <w:lang w:val="nb"/>
        </w:rPr>
        <w:t>private tjenester. Bruken av private helseforsikringer er størst i London-området og det Sør-Østlige England</w:t>
      </w:r>
      <w:r w:rsidR="008F12F9">
        <w:rPr>
          <w:lang w:val="nb"/>
        </w:rPr>
        <w:t xml:space="preserve"> </w:t>
      </w:r>
      <w:r w:rsidR="00D078E3" w:rsidRPr="004A3144">
        <w:rPr>
          <w:lang w:val="nb"/>
        </w:rPr>
        <w:fldChar w:fldCharType="begin"/>
      </w:r>
      <w:r w:rsidR="00856689">
        <w:rPr>
          <w:lang w:val="nb"/>
        </w:rPr>
        <w:instrText xml:space="preserve"> ADDIN EN.CITE &lt;EndNote&gt;&lt;Cite&gt;&lt;Author&gt;Anderson&lt;/Author&gt;&lt;Year&gt;2022&lt;/Year&gt;&lt;RecNum&gt;974&lt;/RecNum&gt;&lt;DisplayText&gt;(Anderson et al., 2022)&lt;/DisplayText&gt;&lt;record&gt;&lt;rec-number&gt;974&lt;/rec-number&gt;&lt;foreign-keys&gt;&lt;key app="EN" db-id="95tpr2tp6r9xwoea9rb5wdsz5ds5xeddteew" timestamp="1680226204"&gt;974&lt;/key&gt;&lt;/foreign-keys&gt;&lt;ref-type name="Report"&gt;27&lt;/ref-type&gt;&lt;contributors&gt;&lt;authors&gt;&lt;author&gt;Anderson, M.&lt;/author&gt;&lt;author&gt;Pitchforth, E.&lt;/author&gt;&lt;author&gt;Edwards, N. et al. &lt;/author&gt;&lt;/authors&gt;&lt;/contributors&gt;&lt;titles&gt;&lt;title&gt;United Kingdom: health system review. &lt;/title&gt;&lt;/titles&gt;&lt;dates&gt;&lt;year&gt;2022&lt;/year&gt;&lt;/dates&gt;&lt;publisher&gt;World Health Organization. Regional Office for Europe&lt;/publisher&gt;&lt;urls&gt;&lt;related-urls&gt;&lt;url&gt;https://apps.who.int/iris/handle/10665/354075&lt;/url&gt;&lt;/related-urls&gt;&lt;/urls&gt;&lt;/record&gt;&lt;/Cite&gt;&lt;/EndNote&gt;</w:instrText>
      </w:r>
      <w:r w:rsidR="00D078E3" w:rsidRPr="004A3144">
        <w:rPr>
          <w:lang w:val="nb"/>
        </w:rPr>
        <w:fldChar w:fldCharType="separate"/>
      </w:r>
      <w:r w:rsidR="00856689">
        <w:rPr>
          <w:noProof/>
          <w:lang w:val="nb"/>
        </w:rPr>
        <w:t>(Anderson et al., 2022)</w:t>
      </w:r>
      <w:r w:rsidR="00D078E3" w:rsidRPr="004A3144">
        <w:rPr>
          <w:lang w:val="nb"/>
        </w:rPr>
        <w:fldChar w:fldCharType="end"/>
      </w:r>
      <w:r w:rsidRPr="004A3144">
        <w:rPr>
          <w:lang w:val="nb"/>
        </w:rPr>
        <w:t>.</w:t>
      </w:r>
    </w:p>
    <w:p w14:paraId="33C9BDE9" w14:textId="77777777" w:rsidR="00D9107F" w:rsidRDefault="00841875" w:rsidP="004A3144">
      <w:pPr>
        <w:jc w:val="both"/>
      </w:pPr>
      <w:r w:rsidRPr="00FF70EA">
        <w:t xml:space="preserve">I Nederland er det </w:t>
      </w:r>
      <w:r>
        <w:t xml:space="preserve">et svært lite (men økende) antall private selskaper som tilbyr fastlegeavtaler, hovedsakelig </w:t>
      </w:r>
      <w:r w:rsidRPr="7BA5314F">
        <w:t>i områder der en praksiseier ikke finner en etterfølger, men dette er ikke vanlig</w:t>
      </w:r>
      <w:r w:rsidRPr="4A037235">
        <w:t xml:space="preserve">. Teoretisk </w:t>
      </w:r>
      <w:r w:rsidRPr="7BA5314F">
        <w:t xml:space="preserve">sett kan utenlandske aktører delta, men dette er foreløpig ikke tilfelle. Videre er alle </w:t>
      </w:r>
      <w:r w:rsidR="00E900A9">
        <w:t>allmennlegetjenester</w:t>
      </w:r>
      <w:r w:rsidRPr="7BA5314F">
        <w:t xml:space="preserve"> offentlig finansiert</w:t>
      </w:r>
      <w:r>
        <w:t xml:space="preserve">, </w:t>
      </w:r>
      <w:r w:rsidRPr="7BA5314F">
        <w:t xml:space="preserve">og det er ikke noe </w:t>
      </w:r>
      <w:r>
        <w:t xml:space="preserve">stort </w:t>
      </w:r>
      <w:r w:rsidRPr="7BA5314F">
        <w:t xml:space="preserve">privat marked </w:t>
      </w:r>
      <w:r w:rsidR="25ADC935">
        <w:t>(meddelelse fra kontaktperson</w:t>
      </w:r>
      <w:r w:rsidR="003B4436">
        <w:t xml:space="preserve"> i Nederland</w:t>
      </w:r>
      <w:r w:rsidR="25ADC935">
        <w:t>)</w:t>
      </w:r>
      <w:r w:rsidR="00915D2F">
        <w:t>.</w:t>
      </w:r>
    </w:p>
    <w:p w14:paraId="2B558FB3" w14:textId="4B68F879" w:rsidR="00D9107F" w:rsidRDefault="00A21FF1" w:rsidP="00841875">
      <w:pPr>
        <w:jc w:val="both"/>
        <w:rPr>
          <w:rFonts w:eastAsia="Calibri"/>
        </w:rPr>
      </w:pPr>
      <w:r>
        <w:rPr>
          <w:rFonts w:eastAsia="Calibri"/>
        </w:rPr>
        <w:t xml:space="preserve">I </w:t>
      </w:r>
      <w:r w:rsidR="00841875" w:rsidRPr="00F0272B">
        <w:rPr>
          <w:rFonts w:eastAsia="Calibri"/>
        </w:rPr>
        <w:t xml:space="preserve">Sverige </w:t>
      </w:r>
      <w:r>
        <w:rPr>
          <w:rFonts w:eastAsia="Calibri"/>
        </w:rPr>
        <w:t>er det</w:t>
      </w:r>
      <w:r w:rsidR="00841875" w:rsidRPr="00F0272B">
        <w:rPr>
          <w:rFonts w:eastAsia="Calibri"/>
        </w:rPr>
        <w:t xml:space="preserve"> fri etablering av vårdcentraler. Retten til å etablere en praksis og bli offentlig finansiert gjelder alle offentlige og private leverandører som fyller kravende.Regionene kontrollerer etableringen av nye private praksiser ved å regulere åpningstider, kompetansekrav og andre organisatoriske aspekter</w:t>
      </w:r>
      <w:r w:rsidR="00915D2F">
        <w:rPr>
          <w:rFonts w:eastAsia="Calibri"/>
        </w:rPr>
        <w:t>,</w:t>
      </w:r>
      <w:r w:rsidR="00841875" w:rsidRPr="00F0272B">
        <w:rPr>
          <w:rFonts w:eastAsia="Calibri"/>
        </w:rPr>
        <w:t xml:space="preserve"> og ved å regulere økonomiske betingelser for akkreditering </w:t>
      </w:r>
      <w:r w:rsidR="00841875" w:rsidRPr="00F0272B">
        <w:rPr>
          <w:rFonts w:eastAsia="Calibri"/>
        </w:rPr>
        <w:lastRenderedPageBreak/>
        <w:t>og finansiering. Utenfor vårdcentralene kan leger også jobbe som selvstendig næringsdrivende innenfor nasjonal tariff (nationella taxan)</w:t>
      </w:r>
      <w:r w:rsidR="00915D2F">
        <w:rPr>
          <w:rFonts w:eastAsia="Calibri"/>
        </w:rPr>
        <w:t>,</w:t>
      </w:r>
      <w:r w:rsidR="00841875" w:rsidRPr="00F0272B">
        <w:rPr>
          <w:rFonts w:eastAsia="Calibri"/>
        </w:rPr>
        <w:t xml:space="preserve"> gjennom fritt </w:t>
      </w:r>
      <w:r w:rsidR="00D9107F">
        <w:rPr>
          <w:rFonts w:eastAsia="Calibri"/>
        </w:rPr>
        <w:t>«</w:t>
      </w:r>
      <w:r w:rsidR="00841875" w:rsidRPr="00F0272B">
        <w:rPr>
          <w:rFonts w:eastAsia="Calibri"/>
        </w:rPr>
        <w:t>Vårdval</w:t>
      </w:r>
      <w:r w:rsidR="00D9107F">
        <w:rPr>
          <w:rFonts w:eastAsia="Calibri"/>
        </w:rPr>
        <w:t>»</w:t>
      </w:r>
      <w:r w:rsidR="00915D2F">
        <w:rPr>
          <w:rFonts w:eastAsia="Calibri"/>
        </w:rPr>
        <w:t>,</w:t>
      </w:r>
      <w:r w:rsidR="00841875" w:rsidRPr="00F0272B">
        <w:rPr>
          <w:rFonts w:eastAsia="Calibri"/>
        </w:rPr>
        <w:t xml:space="preserve"> eller helt uten offentlig finansiering. For alle leger med svensk godkjenning er det fri etablering for de som etablerer seg utenfor det offentlige refusjonssystemet </w:t>
      </w:r>
      <w:r w:rsidR="00E94EA5">
        <w:rPr>
          <w:rFonts w:eastAsia="Calibri"/>
        </w:rPr>
        <w:fldChar w:fldCharType="begin"/>
      </w:r>
      <w:r w:rsidR="00A27571">
        <w:rPr>
          <w:rFonts w:eastAsia="Calibri"/>
        </w:rPr>
        <w:instrText xml:space="preserve"> ADDIN EN.CITE &lt;EndNote&gt;&lt;Cite&gt;&lt;Author&gt;Sveriges Kommuner och Regioner&lt;/Author&gt;&lt;Year&gt;2023&lt;/Year&gt;&lt;RecNum&gt;518&lt;/RecNum&gt;&lt;DisplayText&gt;(Sveriges Kommuner och Regioner, 2023b)&lt;/DisplayText&gt;&lt;record&gt;&lt;rec-number&gt;518&lt;/rec-number&gt;&lt;foreign-keys&gt;&lt;key app="EN" db-id="95tpr2tp6r9xwoea9rb5wdsz5ds5xeddteew" timestamp="1680069511"&gt;518&lt;/key&gt;&lt;/foreign-keys&gt;&lt;ref-type name="Web Page"&gt;12&lt;/ref-type&gt;&lt;contributors&gt;&lt;authors&gt;&lt;author&gt;Sveriges Kommuner och Regioner,&lt;/author&gt;&lt;/authors&gt;&lt;/contributors&gt;&lt;titles&gt;&lt;title&gt;Nationella taxan för privata läkare och fysioterapeuter&lt;/title&gt;&lt;/titles&gt;&lt;number&gt;22. mars 2023&lt;/number&gt;&lt;dates&gt;&lt;year&gt;2023&lt;/year&gt;&lt;pub-dates&gt;&lt;date&gt;06.03.2023&lt;/date&gt;&lt;/pub-dates&gt;&lt;/dates&gt;&lt;pub-location&gt;Stockholm&lt;/pub-location&gt;&lt;publisher&gt;Sveriges Kommuner och Regioner&lt;/publisher&gt;&lt;work-type&gt;nettdokument&lt;/work-type&gt;&lt;urls&gt;&lt;/urls&gt;&lt;/record&gt;&lt;/Cite&gt;&lt;/EndNote&gt;</w:instrText>
      </w:r>
      <w:r w:rsidR="00E94EA5">
        <w:rPr>
          <w:rFonts w:eastAsia="Calibri"/>
        </w:rPr>
        <w:fldChar w:fldCharType="separate"/>
      </w:r>
      <w:r w:rsidR="00E94EA5">
        <w:rPr>
          <w:rFonts w:eastAsia="Calibri"/>
          <w:noProof/>
        </w:rPr>
        <w:t>(Sveriges Kommuner och Regioner, 2023b)</w:t>
      </w:r>
      <w:r w:rsidR="00E94EA5">
        <w:rPr>
          <w:rFonts w:eastAsia="Calibri"/>
        </w:rPr>
        <w:fldChar w:fldCharType="end"/>
      </w:r>
      <w:r w:rsidR="00841875" w:rsidRPr="00F0272B">
        <w:rPr>
          <w:rFonts w:eastAsia="Calibri"/>
        </w:rPr>
        <w:t>. Leger som ønsker å jobbe i nasjonal tariff</w:t>
      </w:r>
      <w:r w:rsidR="004971AF">
        <w:rPr>
          <w:rFonts w:eastAsia="Calibri"/>
        </w:rPr>
        <w:t>,</w:t>
      </w:r>
      <w:r w:rsidR="00841875" w:rsidRPr="00F0272B">
        <w:rPr>
          <w:rFonts w:eastAsia="Calibri"/>
        </w:rPr>
        <w:t xml:space="preserve"> kan enten overta virksomhet fra en allerede etablert virksomhet (såkalt ersättningsetablering)</w:t>
      </w:r>
      <w:r w:rsidR="00915D2F">
        <w:rPr>
          <w:rFonts w:eastAsia="Calibri"/>
        </w:rPr>
        <w:t>,</w:t>
      </w:r>
      <w:r w:rsidR="00841875" w:rsidRPr="00F0272B">
        <w:rPr>
          <w:rFonts w:eastAsia="Calibri"/>
        </w:rPr>
        <w:t xml:space="preserve"> eller de starter helt ny praksis basert på </w:t>
      </w:r>
      <w:r w:rsidR="00D9107F">
        <w:rPr>
          <w:rFonts w:eastAsia="Calibri"/>
        </w:rPr>
        <w:t>«</w:t>
      </w:r>
      <w:r w:rsidR="00841875" w:rsidRPr="00F0272B">
        <w:rPr>
          <w:rFonts w:eastAsia="Calibri"/>
        </w:rPr>
        <w:t>vårdval</w:t>
      </w:r>
      <w:r w:rsidR="00D9107F">
        <w:rPr>
          <w:rFonts w:eastAsia="Calibri"/>
        </w:rPr>
        <w:t>»</w:t>
      </w:r>
      <w:r w:rsidR="00841875" w:rsidRPr="00F0272B">
        <w:rPr>
          <w:rFonts w:eastAsia="Calibri"/>
        </w:rPr>
        <w:t>.</w:t>
      </w:r>
    </w:p>
    <w:p w14:paraId="3CF703CC" w14:textId="5150242B" w:rsidR="00D9107F" w:rsidRDefault="00841875" w:rsidP="00841875">
      <w:pPr>
        <w:jc w:val="both"/>
        <w:rPr>
          <w:rFonts w:eastAsia="Calibri"/>
        </w:rPr>
      </w:pPr>
      <w:r>
        <w:rPr>
          <w:rFonts w:eastAsia="Calibri"/>
        </w:rPr>
        <w:t>I Sverige som i Norge</w:t>
      </w:r>
      <w:r w:rsidR="004971AF">
        <w:rPr>
          <w:rFonts w:eastAsia="Calibri"/>
        </w:rPr>
        <w:t>,</w:t>
      </w:r>
      <w:r>
        <w:rPr>
          <w:rFonts w:eastAsia="Calibri"/>
        </w:rPr>
        <w:t xml:space="preserve"> er det et marked for private helseforsikringer. I 2021 hadde omtrent 72</w:t>
      </w:r>
      <w:r w:rsidR="00D9107F">
        <w:rPr>
          <w:rFonts w:eastAsia="Calibri"/>
        </w:rPr>
        <w:t>0 000</w:t>
      </w:r>
      <w:r>
        <w:rPr>
          <w:rFonts w:eastAsia="Calibri"/>
        </w:rPr>
        <w:t xml:space="preserve"> svensker en privat helseforsikring, og 6 av 10 får dette betalt av arbeidsgiver</w:t>
      </w:r>
      <w:r w:rsidR="00D078E3">
        <w:rPr>
          <w:rFonts w:eastAsia="Calibri"/>
        </w:rPr>
        <w:fldChar w:fldCharType="begin"/>
      </w:r>
      <w:r w:rsidR="004654FD">
        <w:rPr>
          <w:rFonts w:eastAsia="Calibri"/>
        </w:rPr>
        <w:instrText xml:space="preserve"> ADDIN EN.CITE &lt;EndNote&gt;&lt;Cite ExcludeAuth="1" ExcludeYear="1"&gt;&lt;Author&gt;Svensk Försäkring&lt;/Author&gt;&lt;Year&gt;2023&lt;/Year&gt;&lt;RecNum&gt;949&lt;/RecNum&gt;&lt;DisplayText&gt;(Finans Norge)&lt;/DisplayText&gt;&lt;record&gt;&lt;rec-number&gt;949&lt;/rec-number&gt;&lt;foreign-keys&gt;&lt;key app="EN" db-id="95tpr2tp6r9xwoea9rb5wdsz5ds5xeddteew" timestamp="1680222237"&gt;949&lt;/key&gt;&lt;/foreign-keys&gt;&lt;ref-type name="Web Page"&gt;12&lt;/ref-type&gt;&lt;contributors&gt;&lt;authors&gt;&lt;author&gt;Svensk Försäkring,&lt;/author&gt;&lt;/authors&gt;&lt;/contributors&gt;&lt;titles&gt;&lt;title&gt;Så här fungerar en privat sjukvårdsförsäkring  &lt;/title&gt;&lt;/titles&gt;&lt;dates&gt;&lt;year&gt;2023&lt;/year&gt;&lt;/dates&gt;&lt;publisher&gt;Svensk Försäkring&lt;/publisher&gt;&lt;urls&gt;&lt;related-urls&gt;&lt;url&gt;https://www.svenskforsakring.se/&lt;/url&gt;&lt;/related-urls&gt;&lt;/urls&gt;&lt;/record&gt;&lt;/Cite&gt;&lt;Cite ExcludeYear="1"&gt;&lt;Author&gt;Finans Norge&lt;/Author&gt;&lt;Year&gt;2022&lt;/Year&gt;&lt;RecNum&gt;950&lt;/RecNum&gt;&lt;record&gt;&lt;rec-number&gt;950&lt;/rec-number&gt;&lt;foreign-keys&gt;&lt;key app="EN" db-id="95tpr2tp6r9xwoea9rb5wdsz5ds5xeddteew" timestamp="1680222322"&gt;950&lt;/key&gt;&lt;/foreign-keys&gt;&lt;ref-type name="Web Page"&gt;12&lt;/ref-type&gt;&lt;contributors&gt;&lt;authors&gt;&lt;author&gt;Finans Norge,&lt;/author&gt;&lt;/authors&gt;&lt;/contributors&gt;&lt;titles&gt;&lt;title&gt;Behandlingsforsikring &lt;/title&gt;&lt;/titles&gt;&lt;dates&gt;&lt;year&gt;2022&lt;/year&gt;&lt;/dates&gt;&lt;urls&gt;&lt;related-urls&gt;&lt;url&gt;https://www.finansnorge.no/statistikk/skadeforsikring/helseforsikring/behandlingsforsikring/&lt;/url&gt;&lt;/related-urls&gt;&lt;/urls&gt;&lt;/record&gt;&lt;/Cite&gt;&lt;/EndNote&gt;</w:instrText>
      </w:r>
      <w:r w:rsidR="00D078E3">
        <w:rPr>
          <w:rFonts w:eastAsia="Calibri"/>
        </w:rPr>
        <w:fldChar w:fldCharType="separate"/>
      </w:r>
      <w:r w:rsidR="00E94EA5">
        <w:rPr>
          <w:rFonts w:eastAsia="Calibri"/>
          <w:noProof/>
        </w:rPr>
        <w:t>(Finans Norge)</w:t>
      </w:r>
      <w:r w:rsidR="00D078E3">
        <w:rPr>
          <w:rFonts w:eastAsia="Calibri"/>
        </w:rPr>
        <w:fldChar w:fldCharType="end"/>
      </w:r>
      <w:r>
        <w:rPr>
          <w:rFonts w:eastAsia="Calibri"/>
        </w:rPr>
        <w:t xml:space="preserve">. I Norge er det like mange med bare halvparten så stor befolkning. Personer med privat forsikring har også ofte tilgang til privat spesialist i allmennmedisin gjennom de større etablerte aktørene (utenfor de offentlig finansierte vårdcentralene). I Danmark har nesten halvparten av befolkningen nå en privat helseforsikring, </w:t>
      </w:r>
      <w:r w:rsidR="00B050CA">
        <w:rPr>
          <w:rFonts w:eastAsia="Calibri"/>
        </w:rPr>
        <w:t xml:space="preserve">i </w:t>
      </w:r>
      <w:r>
        <w:rPr>
          <w:rFonts w:eastAsia="Calibri"/>
        </w:rPr>
        <w:t>hovedsak gjennom arbeidsgiver. På 10 år er det over en fordobling</w:t>
      </w:r>
      <w:r w:rsidR="00A266E8">
        <w:rPr>
          <w:rFonts w:eastAsia="Calibri"/>
        </w:rPr>
        <w:t xml:space="preserve"> </w:t>
      </w:r>
      <w:r w:rsidR="00D078E3">
        <w:rPr>
          <w:rFonts w:eastAsia="Calibri"/>
        </w:rPr>
        <w:fldChar w:fldCharType="begin"/>
      </w:r>
      <w:r w:rsidR="004654FD">
        <w:rPr>
          <w:rFonts w:eastAsia="Calibri"/>
        </w:rPr>
        <w:instrText xml:space="preserve"> ADDIN EN.CITE &lt;EndNote&gt;&lt;Cite ExcludeYear="1"&gt;&lt;Author&gt;Østjylland | DR&lt;/Author&gt;&lt;RecNum&gt;951&lt;/RecNum&gt;&lt;DisplayText&gt;(Østjylland | DR)&lt;/DisplayText&gt;&lt;record&gt;&lt;rec-number&gt;951&lt;/rec-number&gt;&lt;foreign-keys&gt;&lt;key app="EN" db-id="95tpr2tp6r9xwoea9rb5wdsz5ds5xeddteew" timestamp="1680222451"&gt;951&lt;/key&gt;&lt;/foreign-keys&gt;&lt;ref-type name="Web Page"&gt;12&lt;/ref-type&gt;&lt;contributors&gt;&lt;authors&gt;&lt;author&gt;Østjylland | DR,&lt;/author&gt;&lt;/authors&gt;&lt;/contributors&gt;&lt;titles&gt;&lt;title&gt;Professor om boom i private sundhedsforsikringer: &amp;apos;Det strider imod sundhedsloven&lt;/title&gt;&lt;/titles&gt;&lt;dates&gt;&lt;/dates&gt;&lt;urls&gt;&lt;related-urls&gt;&lt;url&gt;https://www.dr.dk/nyheder/regionale/oestjylland/professor-om-boom-i-private-sundhedsforsikringer-det-strider-imod&lt;/url&gt;&lt;/related-urls&gt;&lt;/urls&gt;&lt;/record&gt;&lt;/Cite&gt;&lt;/EndNote&gt;</w:instrText>
      </w:r>
      <w:r w:rsidR="00D078E3">
        <w:rPr>
          <w:rFonts w:eastAsia="Calibri"/>
        </w:rPr>
        <w:fldChar w:fldCharType="separate"/>
      </w:r>
      <w:r w:rsidR="004654FD">
        <w:rPr>
          <w:rFonts w:eastAsia="Calibri"/>
          <w:noProof/>
        </w:rPr>
        <w:t>(Østjylland | DR)</w:t>
      </w:r>
      <w:r w:rsidR="00D078E3">
        <w:rPr>
          <w:rFonts w:eastAsia="Calibri"/>
        </w:rPr>
        <w:fldChar w:fldCharType="end"/>
      </w:r>
      <w:r>
        <w:rPr>
          <w:rFonts w:eastAsia="Calibri"/>
        </w:rPr>
        <w:t>. Private selskaper spiller foreløpig en begrenset rolle innen den offentlig finansierte allmenn</w:t>
      </w:r>
      <w:r w:rsidR="00E900A9">
        <w:rPr>
          <w:rFonts w:eastAsia="Calibri"/>
        </w:rPr>
        <w:t>legetjenesten</w:t>
      </w:r>
      <w:r>
        <w:rPr>
          <w:rFonts w:eastAsia="Calibri"/>
        </w:rPr>
        <w:t xml:space="preserve"> i Danmark.</w:t>
      </w:r>
    </w:p>
    <w:p w14:paraId="62386A83" w14:textId="77777777" w:rsidR="00D9107F" w:rsidRDefault="00841875" w:rsidP="00841875">
      <w:pPr>
        <w:jc w:val="both"/>
      </w:pPr>
      <w:r w:rsidRPr="4A037235">
        <w:t xml:space="preserve">I Finland </w:t>
      </w:r>
      <w:r w:rsidRPr="7BA5314F">
        <w:t xml:space="preserve">eksisterer </w:t>
      </w:r>
      <w:r>
        <w:t>også</w:t>
      </w:r>
      <w:r w:rsidRPr="7BA5314F">
        <w:t xml:space="preserve"> et marked for private allmennlegetjenester utenfor de offentlige </w:t>
      </w:r>
      <w:r w:rsidR="004B36B1">
        <w:t>helsesentrene</w:t>
      </w:r>
      <w:r w:rsidR="008B2402">
        <w:t>.</w:t>
      </w:r>
      <w:r w:rsidRPr="4A037235">
        <w:t xml:space="preserve"> Man kan få refundert noe av kostnaden hvis man oppsøker privat allmennlege. Beløpet som dekkes</w:t>
      </w:r>
      <w:r w:rsidR="00133D3F" w:rsidRPr="4A037235">
        <w:t>,</w:t>
      </w:r>
      <w:r w:rsidRPr="4A037235">
        <w:t xml:space="preserve"> har imidlertid blitt mye redusert, og antall personer som har privat helseforsikring</w:t>
      </w:r>
      <w:r w:rsidR="00133D3F" w:rsidRPr="4A037235">
        <w:t>,</w:t>
      </w:r>
      <w:r w:rsidRPr="4A037235">
        <w:t xml:space="preserve"> har økt. Omkring 20 prosent av befolkningen (og nesten 60 </w:t>
      </w:r>
      <w:r w:rsidR="00133D3F" w:rsidRPr="4A037235">
        <w:t xml:space="preserve">prosent </w:t>
      </w:r>
      <w:r w:rsidRPr="4A037235">
        <w:t xml:space="preserve">av små barn) har privat </w:t>
      </w:r>
      <w:r w:rsidR="00133D3F" w:rsidRPr="4A037235">
        <w:t>helse</w:t>
      </w:r>
      <w:r w:rsidRPr="4A037235">
        <w:t xml:space="preserve">forsikring som skal supplere det offentlige tilbudet. Det dekker i hovedsak primærhelsetjenester og noen spesialisthelsetjenester. I tillegg settes en del offentlig finansierte primærhelsetjenester ut på anbud, spesielt i områder hvor det er vanskelig å rekruttere helsepersonell. </w:t>
      </w:r>
      <w:r>
        <w:t xml:space="preserve">Ved </w:t>
      </w:r>
      <w:r w:rsidRPr="7BA5314F">
        <w:t>outsourc</w:t>
      </w:r>
      <w:r>
        <w:t>ing av</w:t>
      </w:r>
      <w:r w:rsidRPr="7BA5314F">
        <w:t xml:space="preserve"> primærhelsetjeneste</w:t>
      </w:r>
      <w:r>
        <w:t>r</w:t>
      </w:r>
      <w:r w:rsidRPr="7BA5314F">
        <w:t>, er tilbyderne i de fleste tilfeller store private selskaper. For-profit selskaper deltar i anbud</w:t>
      </w:r>
      <w:r w:rsidR="00915D2F">
        <w:t>,</w:t>
      </w:r>
      <w:r w:rsidRPr="7BA5314F">
        <w:t xml:space="preserve"> og det er EU-reglement som gjelder</w:t>
      </w:r>
      <w:r>
        <w:t xml:space="preserve"> (meddelelse fra kontaktperson i Finland).</w:t>
      </w:r>
    </w:p>
    <w:p w14:paraId="0D8D0360" w14:textId="6B597708" w:rsidR="00841875" w:rsidRPr="00FF70EA" w:rsidRDefault="00841875" w:rsidP="00775632">
      <w:pPr>
        <w:pStyle w:val="Overskrift3"/>
      </w:pPr>
      <w:bookmarkStart w:id="1284" w:name="_Toc126918010"/>
      <w:bookmarkStart w:id="1285" w:name="_Toc126937697"/>
      <w:bookmarkStart w:id="1286" w:name="_Toc127633199"/>
      <w:bookmarkStart w:id="1287" w:name="_Toc127864485"/>
      <w:bookmarkStart w:id="1288" w:name="_Toc128238488"/>
      <w:bookmarkStart w:id="1289" w:name="_Toc128741968"/>
      <w:bookmarkStart w:id="1290" w:name="_Toc128744563"/>
      <w:bookmarkStart w:id="1291" w:name="_Toc128744782"/>
      <w:bookmarkStart w:id="1292" w:name="_Toc129630280"/>
      <w:bookmarkStart w:id="1293" w:name="_Toc129962173"/>
      <w:bookmarkStart w:id="1294" w:name="_Toc130154242"/>
      <w:bookmarkStart w:id="1295" w:name="_Toc130490058"/>
      <w:bookmarkStart w:id="1296" w:name="_Toc130763789"/>
      <w:bookmarkStart w:id="1297" w:name="_Toc130766684"/>
      <w:bookmarkStart w:id="1298" w:name="_Toc130932084"/>
      <w:bookmarkStart w:id="1299" w:name="_Toc130934375"/>
      <w:bookmarkStart w:id="1300" w:name="_Toc130983430"/>
      <w:bookmarkStart w:id="1301" w:name="_Toc130983779"/>
      <w:bookmarkStart w:id="1302" w:name="_Toc131062109"/>
      <w:bookmarkStart w:id="1303" w:name="_Toc131062363"/>
      <w:bookmarkStart w:id="1304" w:name="_Toc131062624"/>
      <w:bookmarkStart w:id="1305" w:name="_Toc131062877"/>
      <w:bookmarkStart w:id="1306" w:name="_Toc131063645"/>
      <w:bookmarkStart w:id="1307" w:name="_Toc131064066"/>
      <w:bookmarkStart w:id="1308" w:name="_Toc131238356"/>
      <w:bookmarkStart w:id="1309" w:name="_Toc131279387"/>
      <w:bookmarkStart w:id="1310" w:name="_Toc131286799"/>
      <w:bookmarkStart w:id="1311" w:name="_Toc131281209"/>
      <w:bookmarkStart w:id="1312" w:name="_Toc131317748"/>
      <w:bookmarkStart w:id="1313" w:name="_Toc132536950"/>
      <w:r w:rsidRPr="00FF70EA">
        <w:t>Legenes ansvar i henhold til nasjonale avtaler/kontrakter</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2320B1FB" w14:textId="77777777" w:rsidR="00D9107F" w:rsidRDefault="00841875" w:rsidP="00841875">
      <w:pPr>
        <w:jc w:val="both"/>
      </w:pPr>
      <w:r w:rsidRPr="00FF70EA">
        <w:t xml:space="preserve">Kjernen av allmennmedisinske oppgaver som utføres av en </w:t>
      </w:r>
      <w:r w:rsidR="00F35E0E">
        <w:t>allmenn</w:t>
      </w:r>
      <w:r w:rsidRPr="00FF70EA">
        <w:t>lege</w:t>
      </w:r>
      <w:r w:rsidR="00105A54">
        <w:t>,</w:t>
      </w:r>
      <w:r w:rsidRPr="00FF70EA">
        <w:t xml:space="preserve"> vil i stor grad være felles på tvers av land. Det er likevel mange forhold som kan bidra til at hva den enkelte lege eller praksis følger opp</w:t>
      </w:r>
      <w:r w:rsidR="00915D2F">
        <w:t>,</w:t>
      </w:r>
      <w:r w:rsidRPr="00FF70EA">
        <w:t xml:space="preserve"> varierer mellom (og innen) land. Dette kan gjelde omfanget av ulike kliniske problemstillinger og oppgaver man følger opp på legekontoret, men også i hvilken grad legene er pålagt eller gis insentiver til å ta oppgaver utenfor legekontoret. </w:t>
      </w:r>
      <w:r w:rsidR="150BF265">
        <w:t>Ulikheter i forvaltningsorganisering</w:t>
      </w:r>
      <w:r w:rsidRPr="00FF70EA">
        <w:t xml:space="preserve">, tradisjoner og avstand til sykehus </w:t>
      </w:r>
      <w:r>
        <w:t xml:space="preserve">er forhold som kan </w:t>
      </w:r>
      <w:r w:rsidRPr="00FF70EA">
        <w:t>virke inn</w:t>
      </w:r>
      <w:r>
        <w:t xml:space="preserve"> på hvilke oppgaver legene </w:t>
      </w:r>
      <w:r w:rsidR="0C0CA286">
        <w:t>utfører.</w:t>
      </w:r>
    </w:p>
    <w:p w14:paraId="3B57660C" w14:textId="77777777" w:rsidR="00D9107F" w:rsidRDefault="00841875" w:rsidP="00841875">
      <w:pPr>
        <w:jc w:val="both"/>
      </w:pPr>
      <w:r w:rsidRPr="00C81764">
        <w:t>I Norge setter fastlegeforskriften,</w:t>
      </w:r>
      <w:r w:rsidR="00915D2F">
        <w:t xml:space="preserve"> samt</w:t>
      </w:r>
      <w:r w:rsidRPr="00C81764">
        <w:t xml:space="preserve"> avtaler gjennom trepartssamarbeidet og mellom KS og legeforeningen viktige rammer for allmennlegetjenesten gjennom krav til oppfølging av egne listeinnbyggere.</w:t>
      </w:r>
      <w:r w:rsidRPr="00E433FA">
        <w:t xml:space="preserve"> </w:t>
      </w:r>
      <w:r w:rsidRPr="00C81764">
        <w:t>Tilsvarende typer nasjonal regulering som skisserer rettigheter og</w:t>
      </w:r>
      <w:r>
        <w:t xml:space="preserve"> plikter</w:t>
      </w:r>
      <w:r w:rsidR="0052369F">
        <w:t>,</w:t>
      </w:r>
      <w:r>
        <w:t xml:space="preserve"> finnes i Danmark, England og Skottland. I Nederland settes også rammene nasjonalt og er ofte et </w:t>
      </w:r>
      <w:r>
        <w:lastRenderedPageBreak/>
        <w:t>resultat av forhandlinger. Legene/praksisene inngår en eller flere kontrakter med forsikringsselskapene, hvor det også kan forhandles om vilkår</w:t>
      </w:r>
      <w:r w:rsidRPr="00C81764">
        <w:t>.</w:t>
      </w:r>
    </w:p>
    <w:p w14:paraId="55DAC479" w14:textId="77777777" w:rsidR="00D9107F" w:rsidRDefault="00841875" w:rsidP="00841875">
      <w:pPr>
        <w:jc w:val="both"/>
      </w:pPr>
      <w:r w:rsidRPr="00FF70EA">
        <w:t>I England finnes tre typer kontrakter</w:t>
      </w:r>
      <w:r>
        <w:t xml:space="preserve"> </w:t>
      </w:r>
      <w:r w:rsidRPr="00C81764">
        <w:t xml:space="preserve">mellom </w:t>
      </w:r>
      <w:r w:rsidR="004B36B1" w:rsidRPr="00C81764">
        <w:t>allmennlegepraksiser</w:t>
      </w:r>
      <w:r w:rsidRPr="00C81764">
        <w:t xml:space="preserve"> og NHS ,</w:t>
      </w:r>
      <w:r w:rsidRPr="00FF70EA">
        <w:t xml:space="preserve"> hvorav den ene er en nasjonalt framforhandlet standardavtale</w:t>
      </w:r>
      <w:r w:rsidR="008C26A6">
        <w:t xml:space="preserve"> </w:t>
      </w:r>
      <w:r w:rsidR="00E94EA5">
        <w:fldChar w:fldCharType="begin"/>
      </w:r>
      <w:r w:rsidR="00235862">
        <w:instrText xml:space="preserve"> ADDIN EN.CITE &lt;EndNote&gt;&lt;Cite ExcludeYear="1"&gt;&lt;Author&gt;NHS England&lt;/Author&gt;&lt;RecNum&gt;296&lt;/RecNum&gt;&lt;DisplayText&gt;(NHS England)&lt;/DisplayText&gt;&lt;record&gt;&lt;rec-number&gt;296&lt;/rec-number&gt;&lt;foreign-keys&gt;&lt;key app="EN" db-id="95tpr2tp6r9xwoea9rb5wdsz5ds5xeddteew" timestamp="1680069511"&gt;296&lt;/key&gt;&lt;/foreign-keys&gt;&lt;ref-type name="Web Page"&gt;12&lt;/ref-type&gt;&lt;contributors&gt;&lt;authors&gt;&lt;author&gt;NHS England,&lt;/author&gt;&lt;/authors&gt;&lt;/contributors&gt;&lt;titles&gt;&lt;title&gt;GP Contract&lt;/title&gt;&lt;/titles&gt;&lt;number&gt;14.03.23&lt;/number&gt;&lt;dates&gt;&lt;/dates&gt;&lt;publisher&gt;NHS 75 England&lt;/publisher&gt;&lt;urls&gt;&lt;related-urls&gt;&lt;url&gt;https://www.england.nhs.uk/gp/investment/gp-contract/&lt;/url&gt;&lt;/related-urls&gt;&lt;/urls&gt;&lt;/record&gt;&lt;/Cite&gt;&lt;/EndNote&gt;</w:instrText>
      </w:r>
      <w:r w:rsidR="00E94EA5">
        <w:fldChar w:fldCharType="separate"/>
      </w:r>
      <w:r w:rsidR="00235862">
        <w:rPr>
          <w:noProof/>
        </w:rPr>
        <w:t>(NHS England)</w:t>
      </w:r>
      <w:r w:rsidR="00E94EA5">
        <w:fldChar w:fldCharType="end"/>
      </w:r>
      <w:r w:rsidRPr="00FF70EA">
        <w:t>.</w:t>
      </w:r>
      <w:r w:rsidR="007309F1">
        <w:t xml:space="preserve"> </w:t>
      </w:r>
      <w:r w:rsidRPr="00A629DA">
        <w:t>Det skilles mellom essensielle tjenester og tilleggstjenester i standardkontraktene</w:t>
      </w:r>
      <w:r w:rsidR="0095103D">
        <w:t xml:space="preserve"> </w:t>
      </w:r>
      <w:r w:rsidR="00E94EA5">
        <w:fldChar w:fldCharType="begin"/>
      </w:r>
      <w:r w:rsidR="00A27571">
        <w:instrText xml:space="preserve"> ADDIN EN.CITE &lt;EndNote&gt;&lt;Cite&gt;&lt;Author&gt;British Medical Association&lt;/Author&gt;&lt;Year&gt;2023&lt;/Year&gt;&lt;RecNum&gt;201&lt;/RecNum&gt;&lt;DisplayText&gt;(British Medical Association, 2023a)&lt;/DisplayText&gt;&lt;record&gt;&lt;rec-number&gt;201&lt;/rec-number&gt;&lt;foreign-keys&gt;&lt;key app="EN" db-id="95tpr2tp6r9xwoea9rb5wdsz5ds5xeddteew" timestamp="1680069511"&gt;201&lt;/key&gt;&lt;/foreign-keys&gt;&lt;ref-type name="Web Page"&gt;12&lt;/ref-type&gt;&lt;contributors&gt;&lt;authors&gt;&lt;author&gt;British Medical Association,&lt;/author&gt;&lt;/authors&gt;&lt;/contributors&gt;&lt;titles&gt;&lt;title&gt;Enhanced services GP practices can seek funding for&lt;/title&gt;&lt;/titles&gt;&lt;number&gt;15.03.23&lt;/number&gt;&lt;dates&gt;&lt;year&gt;2023&lt;/year&gt;&lt;pub-dates&gt;&lt;date&gt;3. mars 2023&lt;/date&gt;&lt;/pub-dates&gt;&lt;/dates&gt;&lt;pub-location&gt;UK&lt;/pub-location&gt;&lt;publisher&gt;British Medical Association&lt;/publisher&gt;&lt;work-type&gt;nettdokument&lt;/work-type&gt;&lt;urls&gt;&lt;/urls&gt;&lt;/record&gt;&lt;/Cite&gt;&lt;/EndNote&gt;</w:instrText>
      </w:r>
      <w:r w:rsidR="00E94EA5">
        <w:fldChar w:fldCharType="separate"/>
      </w:r>
      <w:r w:rsidR="00E94EA5">
        <w:rPr>
          <w:noProof/>
        </w:rPr>
        <w:t>(British Medical Association, 2023a)</w:t>
      </w:r>
      <w:r w:rsidR="00E94EA5">
        <w:fldChar w:fldCharType="end"/>
      </w:r>
      <w:r w:rsidRPr="00A629DA">
        <w:t>.</w:t>
      </w:r>
      <w:r>
        <w:t xml:space="preserve"> Det er mulig for praksiser å ikke levere alle tjenester som inngår i standardkontrakten, for eksempel legevakt (opting out). </w:t>
      </w:r>
      <w:r w:rsidR="005C506E">
        <w:t>Det er også to alternative kontrakter som kan inngås, og som er mer fleksible</w:t>
      </w:r>
      <w:r w:rsidR="00140774">
        <w:t xml:space="preserve"> </w:t>
      </w:r>
      <w:r w:rsidRPr="00FF70EA">
        <w:t>og tilpasset lokale behov.</w:t>
      </w:r>
      <w:r w:rsidR="004B36B1">
        <w:t xml:space="preserve"> </w:t>
      </w:r>
      <w:r w:rsidRPr="00FF70EA">
        <w:t>Disse</w:t>
      </w:r>
      <w:r w:rsidR="004B36B1">
        <w:t xml:space="preserve"> </w:t>
      </w:r>
      <w:r w:rsidRPr="00FF70EA">
        <w:t>avtalene åpner for å tilby tjenester til grupper som ellers i mindre grad enn andre oppsøker primærhelsetjenesten, som hjemløse, innsatte, rusmisbrukere.</w:t>
      </w:r>
    </w:p>
    <w:p w14:paraId="35D03AA9" w14:textId="77777777" w:rsidR="00D9107F" w:rsidRDefault="00841875" w:rsidP="00841875">
      <w:pPr>
        <w:jc w:val="both"/>
      </w:pPr>
      <w:r w:rsidRPr="00C81764">
        <w:t>Skottland har også ulike typer praksiser/kontrakter som ligner på den engelske</w:t>
      </w:r>
      <w:r w:rsidR="009A7E70">
        <w:t>,</w:t>
      </w:r>
      <w:r w:rsidRPr="00C81764">
        <w:t xml:space="preserve"> med en standard nasjonal kontrakt som er det vanligste</w:t>
      </w:r>
      <w:r w:rsidR="00D9107F">
        <w:t xml:space="preserve"> </w:t>
      </w:r>
      <w:r w:rsidR="00E94EA5">
        <w:rPr>
          <w:noProof/>
        </w:rPr>
        <w:fldChar w:fldCharType="begin"/>
      </w:r>
      <w:r w:rsidR="00E94EA5">
        <w:rPr>
          <w:noProof/>
        </w:rPr>
        <w:instrText xml:space="preserve"> ADDIN EN.CITE &lt;EndNote&gt;&lt;Cite&gt;&lt;Author&gt;Service&lt;/Author&gt;&lt;Year&gt;2018&lt;/Year&gt;&lt;RecNum&gt;945&lt;/RecNum&gt;&lt;DisplayText&gt;(Service, 2018)&lt;/DisplayText&gt;&lt;record&gt;&lt;rec-number&gt;945&lt;/rec-number&gt;&lt;foreign-keys&gt;&lt;key app="EN" db-id="95tpr2tp6r9xwoea9rb5wdsz5ds5xeddteew" timestamp="1680221729"&gt;945&lt;/key&gt;&lt;/foreign-keys&gt;&lt;ref-type name="Journal Article"&gt;17&lt;/ref-type&gt;&lt;contributors&gt;&lt;authors&gt;&lt;author&gt;The National Health Service &lt;/author&gt;&lt;/authors&gt;&lt;/contributors&gt;&lt;titles&gt;&lt;title&gt;(Primary Medical Services Section 17C Agreements) (Scotland) Regulations 2018 (legisl ation.gov.uk)&lt;/title&gt;&lt;/titles&gt;&lt;dates&gt;&lt;year&gt;2018&lt;/year&gt;&lt;/dates&gt;&lt;urls&gt;&lt;/urls&gt;&lt;/record&gt;&lt;/Cite&gt;&lt;/EndNote&gt;</w:instrText>
      </w:r>
      <w:r w:rsidR="00E94EA5">
        <w:rPr>
          <w:noProof/>
        </w:rPr>
        <w:fldChar w:fldCharType="separate"/>
      </w:r>
      <w:r w:rsidR="00E94EA5">
        <w:rPr>
          <w:noProof/>
        </w:rPr>
        <w:t>(Service, 2018)</w:t>
      </w:r>
      <w:r w:rsidR="00E94EA5">
        <w:rPr>
          <w:noProof/>
        </w:rPr>
        <w:fldChar w:fldCharType="end"/>
      </w:r>
      <w:r w:rsidRPr="003B4436">
        <w:t>.</w:t>
      </w:r>
    </w:p>
    <w:p w14:paraId="377E1329" w14:textId="44B02D8C" w:rsidR="00841875" w:rsidRPr="00FF70EA" w:rsidRDefault="00841875" w:rsidP="00775632">
      <w:pPr>
        <w:pStyle w:val="Overskrift4"/>
      </w:pPr>
      <w:bookmarkStart w:id="1314" w:name="_Toc126767301"/>
      <w:bookmarkStart w:id="1315" w:name="_Toc130983431"/>
      <w:bookmarkStart w:id="1316" w:name="_Toc130983780"/>
      <w:bookmarkStart w:id="1317" w:name="_Toc131238357"/>
      <w:bookmarkStart w:id="1318" w:name="_Toc131279388"/>
      <w:bookmarkStart w:id="1319" w:name="_Toc131286800"/>
      <w:bookmarkStart w:id="1320" w:name="_Toc131281210"/>
      <w:bookmarkStart w:id="1321" w:name="_Toc131317749"/>
      <w:r w:rsidRPr="00337180">
        <w:t xml:space="preserve">Eksempler </w:t>
      </w:r>
      <w:r>
        <w:t xml:space="preserve">på </w:t>
      </w:r>
      <w:r w:rsidRPr="00337180">
        <w:t xml:space="preserve">krav om oppfølging </w:t>
      </w:r>
      <w:r>
        <w:t xml:space="preserve">av </w:t>
      </w:r>
      <w:r w:rsidRPr="00337180">
        <w:t>spesifikke grupper</w:t>
      </w:r>
      <w:bookmarkEnd w:id="1314"/>
      <w:r>
        <w:t xml:space="preserve"> pasienter</w:t>
      </w:r>
      <w:bookmarkEnd w:id="1315"/>
      <w:bookmarkEnd w:id="1316"/>
      <w:bookmarkEnd w:id="1317"/>
      <w:bookmarkEnd w:id="1318"/>
      <w:bookmarkEnd w:id="1319"/>
      <w:bookmarkEnd w:id="1320"/>
      <w:bookmarkEnd w:id="1321"/>
    </w:p>
    <w:p w14:paraId="65282480" w14:textId="77777777" w:rsidR="00D9107F" w:rsidRDefault="00841875" w:rsidP="00841875">
      <w:pPr>
        <w:jc w:val="both"/>
      </w:pPr>
      <w:r w:rsidRPr="00FF70EA">
        <w:t xml:space="preserve">Praktiserende leger i Danmark følger opp pasienter med diabetes og </w:t>
      </w:r>
      <w:r w:rsidR="00C14D65">
        <w:t>k</w:t>
      </w:r>
      <w:r w:rsidR="00C14D65" w:rsidRPr="00FF70EA">
        <w:t>ols</w:t>
      </w:r>
      <w:r w:rsidR="009A7E70">
        <w:t>,</w:t>
      </w:r>
      <w:r w:rsidR="00C14D65" w:rsidRPr="00FF70EA">
        <w:t xml:space="preserve"> </w:t>
      </w:r>
      <w:r w:rsidRPr="00FF70EA">
        <w:t xml:space="preserve">som tidligere i større grad ble fulgt opp i sykehus. Fra 2018 ble det innført kronikerhonorar for oppfølging av pasienter diagnostisert med diabetes type 2 og/eller </w:t>
      </w:r>
      <w:r w:rsidR="00C14D65">
        <w:t>kols</w:t>
      </w:r>
      <w:r w:rsidRPr="00FF70EA">
        <w:t xml:space="preserve">, og </w:t>
      </w:r>
      <w:r w:rsidR="44ECE870">
        <w:t>d</w:t>
      </w:r>
      <w:r w:rsidR="0D56C330">
        <w:t>ette</w:t>
      </w:r>
      <w:r w:rsidRPr="00FF70EA">
        <w:t xml:space="preserve"> skal dekke alle kontakter for pasienter med disse diagnosene. Dette vil kunne påvirke hvilke diagnoser danske leger bruker tid på.</w:t>
      </w:r>
    </w:p>
    <w:p w14:paraId="13126E24" w14:textId="10674754" w:rsidR="00841875" w:rsidRPr="00FF70EA" w:rsidRDefault="00841875" w:rsidP="00841875">
      <w:pPr>
        <w:jc w:val="both"/>
      </w:pPr>
      <w:r w:rsidRPr="00FF70EA">
        <w:t>I Danmark er det også inngått avtale om at praktiserende leger forpliktes til å gjøre en helsesjekk på alle som bor i spesielle botilbud, både for å forebygge og eventuelt behandle sykdom. Helsesjekken skal gi grunnlag for å avtale videre oppfølging. Krav til gjennomføring av denne type helsesjekk</w:t>
      </w:r>
      <w:r w:rsidR="00C14D65">
        <w:t>,</w:t>
      </w:r>
      <w:r w:rsidRPr="00FF70EA">
        <w:t xml:space="preserve"> er spesifisert i avtalen mellom regionene og PLO (Praktiserende Lægers Organisasjon)</w:t>
      </w:r>
      <w:r>
        <w:t xml:space="preserve"> </w:t>
      </w:r>
      <w:r w:rsidR="00E94EA5">
        <w:fldChar w:fldCharType="begin"/>
      </w:r>
      <w:r w:rsidR="004654FD">
        <w:instrText xml:space="preserve"> ADDIN EN.CITE &lt;EndNote&gt;&lt;Cite ExcludeYear="1"&gt;&lt;Author&gt;Praktiserende lægers organisation&lt;/Author&gt;&lt;Year&gt;2021&lt;/Year&gt;&lt;RecNum&gt;24&lt;/RecNum&gt;&lt;DisplayText&gt;(Praktiserende lægers organisation)&lt;/DisplayText&gt;&lt;record&gt;&lt;rec-number&gt;24&lt;/rec-number&gt;&lt;foreign-keys&gt;&lt;key app="EN" db-id="95tpr2tp6r9xwoea9rb5wdsz5ds5xeddteew" timestamp="1680069511"&gt;24&lt;/key&gt;&lt;/foreign-keys&gt;&lt;ref-type name="Report"&gt;27&lt;/ref-type&gt;&lt;contributors&gt;&lt;authors&gt;&lt;author&gt;Praktiserende lægers organisation,&lt;/author&gt;&lt;/authors&gt;&lt;tertiary-authors&gt;&lt;author&gt;Danske Regioner,&lt;/author&gt;&lt;/tertiary-authors&gt;&lt;/contributors&gt;&lt;titles&gt;&lt;title&gt;Aftale om almen praksis&lt;/title&gt;&lt;/titles&gt;&lt;dates&gt;&lt;year&gt;2021&lt;/year&gt;&lt;pub-dates&gt;&lt;date&gt;19. juni 2021&lt;/date&gt;&lt;/pub-dates&gt;&lt;/dates&gt;&lt;pub-location&gt;København&lt;/pub-location&gt;&lt;urls&gt;&lt;/urls&gt;&lt;access-date&gt;15.03.23&lt;/access-date&gt;&lt;/record&gt;&lt;/Cite&gt;&lt;/EndNote&gt;</w:instrText>
      </w:r>
      <w:r w:rsidR="00E94EA5">
        <w:fldChar w:fldCharType="separate"/>
      </w:r>
      <w:r w:rsidR="004654FD">
        <w:rPr>
          <w:noProof/>
        </w:rPr>
        <w:t>(Praktiserende lægers organisation)</w:t>
      </w:r>
      <w:r w:rsidR="00E94EA5">
        <w:fldChar w:fldCharType="end"/>
      </w:r>
      <w:r w:rsidRPr="00FF70EA">
        <w:t>. Praktiserende leger i Danmark har</w:t>
      </w:r>
      <w:r w:rsidR="3A55D513" w:rsidRPr="00FF70EA">
        <w:t>,</w:t>
      </w:r>
      <w:r w:rsidRPr="00FF70EA">
        <w:t xml:space="preserve"> som i Norge</w:t>
      </w:r>
      <w:r w:rsidR="00C14D65">
        <w:t>,</w:t>
      </w:r>
      <w:r w:rsidRPr="00FF70EA">
        <w:t xml:space="preserve"> ansvar for oppfølgingen </w:t>
      </w:r>
      <w:r w:rsidR="72ECBA99" w:rsidRPr="00FF70EA">
        <w:t>av gravide</w:t>
      </w:r>
      <w:r w:rsidR="2299F6B2" w:rsidRPr="00FF70EA">
        <w:t xml:space="preserve"> </w:t>
      </w:r>
      <w:r w:rsidRPr="00FF70EA">
        <w:t>i svangerskapet og for gjennomføring av svangerskapskontroller.</w:t>
      </w:r>
    </w:p>
    <w:p w14:paraId="451809E9" w14:textId="0612156F" w:rsidR="00841875" w:rsidRPr="00FF70EA" w:rsidRDefault="00841875" w:rsidP="00841875">
      <w:pPr>
        <w:jc w:val="both"/>
      </w:pPr>
      <w:r w:rsidRPr="00FF70EA">
        <w:t xml:space="preserve">I Sverige kan omsorg for kronisk syke og samarbeid ved utskrivning fra sykehus skje gjennom vårdcentralen, men kan også skje gjennom den kommunale helsetjenesten. Det er imidlertid regionenes </w:t>
      </w:r>
      <w:r w:rsidR="00FD44F2">
        <w:t>allmennleger</w:t>
      </w:r>
      <w:r w:rsidRPr="00FF70EA">
        <w:t xml:space="preserve"> som har ansvar for den medisinske oppfølgingen. Distriktsykepleiere ansatt i kommunene koordinerer omsorgen for pasienter med kronisk sykdom eller sammensatte behov, spesielt eldre; de har begrenset forskrivningsmyndighet. Disse sykepleierne deltar også i hjemmetjenesten</w:t>
      </w:r>
      <w:r w:rsidR="009A7E70">
        <w:t>,</w:t>
      </w:r>
      <w:r w:rsidRPr="00FF70EA">
        <w:t xml:space="preserve"> og avlegger jevnlig hjemmebesøk.</w:t>
      </w:r>
    </w:p>
    <w:p w14:paraId="243E2DAC" w14:textId="400CAB23" w:rsidR="00D9107F" w:rsidRDefault="00841875" w:rsidP="00841875">
      <w:pPr>
        <w:jc w:val="both"/>
      </w:pPr>
      <w:r w:rsidRPr="00FF70EA">
        <w:t>I England skal ansvarlig lege sørge for a</w:t>
      </w:r>
      <w:r w:rsidR="009A7E70">
        <w:t>t</w:t>
      </w:r>
      <w:r w:rsidRPr="00FF70EA">
        <w:t xml:space="preserve"> </w:t>
      </w:r>
      <w:r w:rsidRPr="00A30A51">
        <w:rPr>
          <w:lang w:val="nb"/>
        </w:rPr>
        <w:t>registrerte pasienter over 75 år får en årlig helsesjekk</w:t>
      </w:r>
      <w:r w:rsidR="009A7E70">
        <w:rPr>
          <w:lang w:val="nb"/>
        </w:rPr>
        <w:t>,</w:t>
      </w:r>
      <w:r w:rsidRPr="00A30A51">
        <w:rPr>
          <w:lang w:val="nb"/>
        </w:rPr>
        <w:t xml:space="preserve"> hvis personen ønsker det. Praksisene er også pålagt å hvert år gjøre tiltak for å identifisere innbyggere over 65 år som kan mistenkes å ha moderat til svært dårlig helsetilstand (skrøpelighet). Når dette avdekkes</w:t>
      </w:r>
      <w:r w:rsidR="00FE6253">
        <w:rPr>
          <w:lang w:val="nb"/>
        </w:rPr>
        <w:t>,</w:t>
      </w:r>
      <w:r w:rsidRPr="00A30A51">
        <w:rPr>
          <w:lang w:val="nb"/>
        </w:rPr>
        <w:t xml:space="preserve"> skal det gjennomføres en klinisk vurdering, inkludert en årlig </w:t>
      </w:r>
      <w:r w:rsidR="2322D94B" w:rsidRPr="024B159E">
        <w:rPr>
          <w:lang w:val="nb"/>
        </w:rPr>
        <w:t>medisingjennomgang</w:t>
      </w:r>
      <w:r w:rsidR="009A7E70">
        <w:rPr>
          <w:lang w:val="nb"/>
        </w:rPr>
        <w:t>,</w:t>
      </w:r>
      <w:r w:rsidRPr="00A30A51">
        <w:rPr>
          <w:lang w:val="nb"/>
        </w:rPr>
        <w:t xml:space="preserve"> og man skal sørge for at pasienten blir fulgt opp med tilpassede kliniske tiltak, f</w:t>
      </w:r>
      <w:r w:rsidR="009A7E70">
        <w:rPr>
          <w:lang w:val="nb"/>
        </w:rPr>
        <w:t>or eksempel</w:t>
      </w:r>
      <w:r w:rsidRPr="00A30A51">
        <w:rPr>
          <w:lang w:val="nb"/>
        </w:rPr>
        <w:t xml:space="preserve"> blodprøver, videre undersøkelser eller henvisninger. </w:t>
      </w:r>
      <w:r w:rsidR="00FD44F2">
        <w:rPr>
          <w:lang w:val="nb"/>
        </w:rPr>
        <w:t>For t</w:t>
      </w:r>
      <w:r w:rsidRPr="00A30A51">
        <w:t xml:space="preserve">jenester til </w:t>
      </w:r>
      <w:r w:rsidRPr="00A30A51">
        <w:lastRenderedPageBreak/>
        <w:t xml:space="preserve">personer som sitter </w:t>
      </w:r>
      <w:r w:rsidR="04D23F37">
        <w:t>i</w:t>
      </w:r>
      <w:r w:rsidRPr="00A30A51">
        <w:t xml:space="preserve"> fengsel eller </w:t>
      </w:r>
      <w:r w:rsidR="00D9107F">
        <w:t>«</w:t>
      </w:r>
      <w:r w:rsidRPr="00A30A51">
        <w:t>detention</w:t>
      </w:r>
      <w:r w:rsidR="00D9107F">
        <w:t>»</w:t>
      </w:r>
      <w:r w:rsidRPr="00A30A51">
        <w:t>-sentre</w:t>
      </w:r>
      <w:r w:rsidR="003E2865">
        <w:t>,</w:t>
      </w:r>
      <w:r w:rsidRPr="00A30A51">
        <w:t xml:space="preserve"> inngås egne kontrakter om </w:t>
      </w:r>
      <w:r w:rsidR="0023369A" w:rsidRPr="00A30A51">
        <w:t>spesiell</w:t>
      </w:r>
      <w:r w:rsidR="0023369A">
        <w:t>e</w:t>
      </w:r>
      <w:r w:rsidR="0023369A" w:rsidRPr="00A30A51">
        <w:t xml:space="preserve"> tjeneste</w:t>
      </w:r>
      <w:r w:rsidR="0023369A">
        <w:t>r</w:t>
      </w:r>
      <w:r w:rsidR="003E2865">
        <w:t xml:space="preserve"> </w:t>
      </w:r>
      <w:r w:rsidRPr="00A30A51">
        <w:t>utenfor allmenn</w:t>
      </w:r>
      <w:r w:rsidR="0023369A">
        <w:t>legetjenesten</w:t>
      </w:r>
      <w:r w:rsidRPr="00A30A51">
        <w:t>.</w:t>
      </w:r>
    </w:p>
    <w:p w14:paraId="214DC973" w14:textId="77777777" w:rsidR="00D9107F" w:rsidRDefault="00841875" w:rsidP="00775632">
      <w:pPr>
        <w:pStyle w:val="Overskrift4"/>
      </w:pPr>
      <w:bookmarkStart w:id="1322" w:name="_Toc126918012"/>
      <w:bookmarkStart w:id="1323" w:name="_Toc130983432"/>
      <w:bookmarkStart w:id="1324" w:name="_Toc130983781"/>
      <w:bookmarkStart w:id="1325" w:name="_Toc131238358"/>
      <w:bookmarkStart w:id="1326" w:name="_Toc131279389"/>
      <w:bookmarkStart w:id="1327" w:name="_Toc131286801"/>
      <w:bookmarkStart w:id="1328" w:name="_Toc131281211"/>
      <w:bookmarkStart w:id="1329" w:name="_Toc131317750"/>
      <w:r w:rsidRPr="00682C9A">
        <w:t>Deltakelse i legevakt, hjemmebesøk og ansvar for listeinnbyggere i institusjon</w:t>
      </w:r>
      <w:bookmarkEnd w:id="1322"/>
      <w:bookmarkEnd w:id="1323"/>
      <w:bookmarkEnd w:id="1324"/>
      <w:bookmarkEnd w:id="1325"/>
      <w:bookmarkEnd w:id="1326"/>
      <w:bookmarkEnd w:id="1327"/>
      <w:bookmarkEnd w:id="1328"/>
      <w:bookmarkEnd w:id="1329"/>
    </w:p>
    <w:p w14:paraId="7388E086" w14:textId="77777777" w:rsidR="00D9107F" w:rsidRDefault="00863FF6" w:rsidP="00863FF6">
      <w:pPr>
        <w:jc w:val="both"/>
      </w:pPr>
      <w:r>
        <w:t xml:space="preserve">I </w:t>
      </w:r>
      <w:r w:rsidRPr="00FF70EA">
        <w:t xml:space="preserve">Norge, Nederland og Danmark har </w:t>
      </w:r>
      <w:r>
        <w:t>allmennlegene</w:t>
      </w:r>
      <w:r w:rsidRPr="00A30A51">
        <w:t xml:space="preserve"> </w:t>
      </w:r>
      <w:r w:rsidRPr="00FF70EA">
        <w:t xml:space="preserve">formelt sett et større ansvar for å </w:t>
      </w:r>
      <w:r>
        <w:t>delta i</w:t>
      </w:r>
      <w:r w:rsidRPr="00FF70EA">
        <w:t xml:space="preserve"> legevakt</w:t>
      </w:r>
      <w:r>
        <w:t xml:space="preserve"> enn i de andre landene</w:t>
      </w:r>
      <w:r w:rsidRPr="00A30A51">
        <w:t>.</w:t>
      </w:r>
      <w:r w:rsidRPr="00FF70EA">
        <w:t xml:space="preserve"> I Sverige og Finland er det ikke pålegg om dette. I Nederland har det til nå bare vært praksiseiere som </w:t>
      </w:r>
      <w:r>
        <w:t xml:space="preserve">er </w:t>
      </w:r>
      <w:r w:rsidRPr="00FF70EA">
        <w:t>pålagt å delta (</w:t>
      </w:r>
      <w:r w:rsidR="003669F0">
        <w:t>o</w:t>
      </w:r>
      <w:r w:rsidRPr="00FF70EA">
        <w:t>mtrent 50</w:t>
      </w:r>
      <w:r w:rsidRPr="00A30A51">
        <w:t xml:space="preserve"> </w:t>
      </w:r>
      <w:r>
        <w:t>prosent</w:t>
      </w:r>
      <w:r w:rsidRPr="00A30A51">
        <w:t xml:space="preserve"> er praksiseiere).</w:t>
      </w:r>
      <w:r w:rsidRPr="00FF70EA">
        <w:t xml:space="preserve"> </w:t>
      </w:r>
      <w:r>
        <w:t>S</w:t>
      </w:r>
      <w:r w:rsidRPr="00FF70EA">
        <w:t xml:space="preserve">ystemet vil bli revidert </w:t>
      </w:r>
      <w:r>
        <w:t xml:space="preserve">slik at også leger som ikke er praksiseiere skal delta </w:t>
      </w:r>
      <w:r w:rsidRPr="00FF70EA">
        <w:t xml:space="preserve">ettersom </w:t>
      </w:r>
      <w:r>
        <w:t xml:space="preserve">stadig færre leger er </w:t>
      </w:r>
      <w:r w:rsidRPr="00FF70EA">
        <w:t>praksiseiere (</w:t>
      </w:r>
      <w:r>
        <w:t xml:space="preserve">endringer </w:t>
      </w:r>
      <w:r w:rsidRPr="00FF70EA">
        <w:t xml:space="preserve">godkjent i avtale </w:t>
      </w:r>
      <w:r>
        <w:t>inngått i</w:t>
      </w:r>
      <w:r w:rsidRPr="00FF70EA">
        <w:t xml:space="preserve"> januar</w:t>
      </w:r>
      <w:r>
        <w:t xml:space="preserve"> 2023</w:t>
      </w:r>
      <w:r w:rsidRPr="00FF70EA">
        <w:t>).</w:t>
      </w:r>
    </w:p>
    <w:p w14:paraId="5A4370C8" w14:textId="403605CA" w:rsidR="00D61A56" w:rsidRDefault="00D61A56" w:rsidP="00D61A56">
      <w:pPr>
        <w:jc w:val="both"/>
        <w:rPr>
          <w:lang w:val="nb"/>
        </w:rPr>
      </w:pPr>
      <w:r>
        <w:rPr>
          <w:lang w:val="nb"/>
        </w:rPr>
        <w:t>Danske i</w:t>
      </w:r>
      <w:r w:rsidRPr="0043126A">
        <w:rPr>
          <w:lang w:val="nb"/>
        </w:rPr>
        <w:t>nnbyggere i bofellesskap, kommunale tilbud o.l. er fortsatt tilknyttet en praktiserende lege, og de alminnelige reglene gjelder for gjennomføring av sykebesøk, med henvisning til andre behandlingstilbud mv. En fastlege kan være tilknyttet sykehjem/bosted som konsulent, hvor legen også underviser personalet osv. Beboerne står fritt til å velge den aktuelle legen som sin egen, men de har fortsatt rett til fritt valg av lege</w:t>
      </w:r>
      <w:r w:rsidR="003650DE">
        <w:rPr>
          <w:lang w:val="nb"/>
        </w:rPr>
        <w:t>.</w:t>
      </w:r>
    </w:p>
    <w:p w14:paraId="684A7E4C" w14:textId="68B3E13D" w:rsidR="00D61A56" w:rsidRPr="00495CBB" w:rsidRDefault="00D61A56" w:rsidP="00D61A56">
      <w:pPr>
        <w:jc w:val="both"/>
      </w:pPr>
      <w:r>
        <w:rPr>
          <w:lang w:val="nb"/>
        </w:rPr>
        <w:t xml:space="preserve">Fastlegene i Nederland er </w:t>
      </w:r>
      <w:r w:rsidRPr="00E71CE7">
        <w:rPr>
          <w:lang w:val="nb"/>
        </w:rPr>
        <w:t xml:space="preserve">ansvarlige for sine oppførte pasienter når de flytter i omsorgsboliger og </w:t>
      </w:r>
      <w:r>
        <w:rPr>
          <w:lang w:val="nb"/>
        </w:rPr>
        <w:t>lignende</w:t>
      </w:r>
      <w:r w:rsidRPr="00E71CE7">
        <w:rPr>
          <w:lang w:val="nb"/>
        </w:rPr>
        <w:t xml:space="preserve"> fasiliteter. </w:t>
      </w:r>
      <w:r>
        <w:rPr>
          <w:lang w:val="nb"/>
        </w:rPr>
        <w:t xml:space="preserve">Men </w:t>
      </w:r>
      <w:r w:rsidRPr="00E71CE7">
        <w:rPr>
          <w:lang w:val="nb"/>
        </w:rPr>
        <w:t>det er noen unntak</w:t>
      </w:r>
      <w:r w:rsidR="00AE7C3E">
        <w:rPr>
          <w:lang w:val="nb"/>
        </w:rPr>
        <w:t xml:space="preserve"> knyttet til </w:t>
      </w:r>
      <w:r w:rsidRPr="00E71CE7">
        <w:rPr>
          <w:lang w:val="nb"/>
        </w:rPr>
        <w:t>langtidspleieloven</w:t>
      </w:r>
      <w:r>
        <w:rPr>
          <w:lang w:val="nb"/>
        </w:rPr>
        <w:t xml:space="preserve"> (Long-term Care Act)</w:t>
      </w:r>
      <w:r w:rsidR="00AE7C3E">
        <w:rPr>
          <w:lang w:val="nb"/>
        </w:rPr>
        <w:t>.</w:t>
      </w:r>
    </w:p>
    <w:p w14:paraId="3E9926C0" w14:textId="0CCB5525" w:rsidR="00D9107F" w:rsidRDefault="00841875" w:rsidP="00841875">
      <w:pPr>
        <w:jc w:val="both"/>
      </w:pPr>
      <w:r w:rsidRPr="00FF70EA">
        <w:t xml:space="preserve">I England ligger legevaktsarbeid som en del av GMS-kontakten. Det er likevel mulig å søke om å ikke delta (opt </w:t>
      </w:r>
      <w:r w:rsidR="004543A9">
        <w:t>ou</w:t>
      </w:r>
      <w:r w:rsidRPr="00FF70EA">
        <w:t xml:space="preserve">t). Det lokale </w:t>
      </w:r>
      <w:r w:rsidR="00D9107F">
        <w:t>«</w:t>
      </w:r>
      <w:r w:rsidRPr="00FF70EA">
        <w:t>Integrated Health Board</w:t>
      </w:r>
      <w:r w:rsidR="00D9107F">
        <w:t>»</w:t>
      </w:r>
      <w:r w:rsidRPr="00FF70EA">
        <w:t xml:space="preserve"> er ansvarlige for at alle har et tilbud</w:t>
      </w:r>
      <w:r w:rsidR="009A7E70">
        <w:t>,</w:t>
      </w:r>
      <w:r w:rsidRPr="00FF70EA">
        <w:t xml:space="preserve"> og avhengig av at flest mulig deltar. Gjennom primary care networks</w:t>
      </w:r>
      <w:r w:rsidR="009A7E70">
        <w:t>,</w:t>
      </w:r>
      <w:r w:rsidRPr="00FF70EA">
        <w:t xml:space="preserve"> som 99 prosent av praksisen</w:t>
      </w:r>
      <w:r w:rsidR="009A7E70">
        <w:t>e</w:t>
      </w:r>
      <w:r w:rsidRPr="00FF70EA">
        <w:t xml:space="preserve"> er med i (se nedenfor) etableres legevaktsordninger for større områder. </w:t>
      </w:r>
      <w:r w:rsidR="0AD639B1">
        <w:t xml:space="preserve">I </w:t>
      </w:r>
      <w:r w:rsidR="38AA68C2">
        <w:t>S</w:t>
      </w:r>
      <w:r w:rsidR="0AD639B1">
        <w:t>kottland</w:t>
      </w:r>
      <w:r w:rsidRPr="00FF70EA">
        <w:t xml:space="preserve"> er ikke allmennpraksisene pålagt å delta i legevakt. Legevakttjenester er i stor grad organisert og drevet gjennom Health Boards</w:t>
      </w:r>
      <w:r>
        <w:t xml:space="preserve">, men er likevel avhengige av at vanlige </w:t>
      </w:r>
      <w:r w:rsidR="00D9107F">
        <w:t>«</w:t>
      </w:r>
      <w:r>
        <w:t>GP</w:t>
      </w:r>
      <w:r w:rsidR="00D9107F">
        <w:t>’</w:t>
      </w:r>
      <w:r>
        <w:t>s</w:t>
      </w:r>
      <w:r w:rsidR="00D9107F">
        <w:t>»</w:t>
      </w:r>
      <w:r>
        <w:t xml:space="preserve"> deltar i vaktene.</w:t>
      </w:r>
    </w:p>
    <w:p w14:paraId="35ADC81C" w14:textId="15BB8ED5" w:rsidR="00D9107F" w:rsidRDefault="00841875" w:rsidP="00841875">
      <w:pPr>
        <w:jc w:val="both"/>
      </w:pPr>
      <w:r w:rsidRPr="00A30A51">
        <w:t xml:space="preserve">I England og Skottland har legene i prinsippet ansvar også når en person bor i sykehjem </w:t>
      </w:r>
      <w:r w:rsidR="42D53711">
        <w:t xml:space="preserve">og for </w:t>
      </w:r>
      <w:r w:rsidRPr="00A30A51">
        <w:t>grupper i andre boformer</w:t>
      </w:r>
      <w:r>
        <w:t xml:space="preserve">. I </w:t>
      </w:r>
      <w:r w:rsidRPr="00A30A51">
        <w:t>England</w:t>
      </w:r>
      <w:r>
        <w:t xml:space="preserve"> </w:t>
      </w:r>
      <w:r w:rsidRPr="00A30A51">
        <w:t xml:space="preserve">kan </w:t>
      </w:r>
      <w:r>
        <w:t xml:space="preserve">det </w:t>
      </w:r>
      <w:r w:rsidRPr="00A30A51">
        <w:t xml:space="preserve">i tillegg inngås en avtale om </w:t>
      </w:r>
      <w:r w:rsidR="00D9107F">
        <w:t>«</w:t>
      </w:r>
      <w:r w:rsidRPr="00A30A51">
        <w:t>local enhanced services</w:t>
      </w:r>
      <w:r w:rsidR="00AF35D8">
        <w:t>»</w:t>
      </w:r>
      <w:r w:rsidRPr="00A30A51">
        <w:t xml:space="preserve"> med </w:t>
      </w:r>
      <w:r>
        <w:t>allmennpraksiser</w:t>
      </w:r>
      <w:r w:rsidRPr="00A30A51">
        <w:t xml:space="preserve"> om et visst antall timer </w:t>
      </w:r>
      <w:r>
        <w:t xml:space="preserve">arbeid </w:t>
      </w:r>
      <w:r w:rsidRPr="00A30A51">
        <w:t xml:space="preserve">i uken. Beboerne deles i </w:t>
      </w:r>
      <w:r w:rsidR="009A7E70">
        <w:t>tre</w:t>
      </w:r>
      <w:r w:rsidRPr="00A30A51">
        <w:t xml:space="preserve"> nivå</w:t>
      </w:r>
      <w:r w:rsidR="009A7E70">
        <w:t>er –</w:t>
      </w:r>
      <w:r w:rsidRPr="00A30A51">
        <w:t xml:space="preserve"> de med stabile kroniske tilstander, ustabile kroniske tilstander</w:t>
      </w:r>
      <w:r w:rsidR="009A7E70">
        <w:t>,</w:t>
      </w:r>
      <w:r w:rsidRPr="00A30A51">
        <w:t xml:space="preserve"> og terminale personer.</w:t>
      </w:r>
    </w:p>
    <w:p w14:paraId="5FBF4A89" w14:textId="019C333F" w:rsidR="00841875" w:rsidRPr="00AA2F6C" w:rsidRDefault="00841875" w:rsidP="00775632">
      <w:pPr>
        <w:pStyle w:val="tabell-tittel"/>
      </w:pPr>
      <w:r>
        <w:t>Deltakelse i oppfølging av pasienter utenfor kontoret</w:t>
      </w:r>
      <w:r w:rsidRPr="00FF70EA">
        <w:t xml:space="preserve"> </w:t>
      </w:r>
    </w:p>
    <w:tbl>
      <w:tblPr>
        <w:tblStyle w:val="EUTabellstil"/>
        <w:tblW w:w="5000" w:type="pct"/>
        <w:tblLook w:val="04A0" w:firstRow="1" w:lastRow="0" w:firstColumn="1" w:lastColumn="0" w:noHBand="0" w:noVBand="1"/>
      </w:tblPr>
      <w:tblGrid>
        <w:gridCol w:w="1736"/>
        <w:gridCol w:w="2030"/>
        <w:gridCol w:w="1846"/>
        <w:gridCol w:w="2146"/>
        <w:gridCol w:w="1978"/>
      </w:tblGrid>
      <w:tr w:rsidR="00841875" w:rsidRPr="00FF70EA" w14:paraId="43E4B62D" w14:textId="77777777" w:rsidTr="007455F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 w:type="pct"/>
            <w:tcBorders>
              <w:bottom w:val="single" w:sz="24" w:space="0" w:color="2A3652"/>
            </w:tcBorders>
            <w:shd w:val="clear" w:color="auto" w:fill="A9D6B9"/>
          </w:tcPr>
          <w:p w14:paraId="489B4FD2" w14:textId="77777777" w:rsidR="00841875" w:rsidRPr="00D9107F" w:rsidRDefault="00841875" w:rsidP="000E769C">
            <w:pPr>
              <w:pStyle w:val="TabellHode-kolonne"/>
              <w:rPr>
                <w:rStyle w:val="halvfet"/>
              </w:rPr>
            </w:pPr>
          </w:p>
        </w:tc>
        <w:tc>
          <w:tcPr>
            <w:tcW w:w="1042" w:type="pct"/>
            <w:tcBorders>
              <w:bottom w:val="single" w:sz="24" w:space="0" w:color="2A3652"/>
            </w:tcBorders>
            <w:shd w:val="clear" w:color="auto" w:fill="A9D6B9"/>
          </w:tcPr>
          <w:p w14:paraId="09521444"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Deltakelse i legevakt </w:t>
            </w:r>
          </w:p>
        </w:tc>
        <w:tc>
          <w:tcPr>
            <w:tcW w:w="948" w:type="pct"/>
            <w:tcBorders>
              <w:bottom w:val="single" w:sz="24" w:space="0" w:color="2A3652"/>
            </w:tcBorders>
            <w:shd w:val="clear" w:color="auto" w:fill="A9D6B9"/>
          </w:tcPr>
          <w:p w14:paraId="2CE03A8A"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Planlagte Hjemme-besøk</w:t>
            </w:r>
          </w:p>
        </w:tc>
        <w:tc>
          <w:tcPr>
            <w:tcW w:w="1102" w:type="pct"/>
            <w:tcBorders>
              <w:bottom w:val="single" w:sz="24" w:space="0" w:color="2A3652"/>
            </w:tcBorders>
            <w:shd w:val="clear" w:color="auto" w:fill="A9D6B9"/>
          </w:tcPr>
          <w:p w14:paraId="31327EB3"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Ansvar for listepas</w:t>
            </w:r>
            <w:r w:rsidRPr="00D9107F">
              <w:rPr>
                <w:rStyle w:val="halvfet"/>
              </w:rPr>
              <w:softHyphen/>
              <w:t>ienter i institusjon ol.</w:t>
            </w:r>
          </w:p>
        </w:tc>
        <w:tc>
          <w:tcPr>
            <w:tcW w:w="1016" w:type="pct"/>
            <w:tcBorders>
              <w:bottom w:val="single" w:sz="24" w:space="0" w:color="2A3652"/>
            </w:tcBorders>
            <w:shd w:val="clear" w:color="auto" w:fill="A9D6B9"/>
          </w:tcPr>
          <w:p w14:paraId="79336633" w14:textId="77777777" w:rsidR="00841875" w:rsidRPr="00D9107F" w:rsidRDefault="0084187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Annet</w:t>
            </w:r>
          </w:p>
        </w:tc>
      </w:tr>
      <w:tr w:rsidR="00841875" w:rsidRPr="00FF70EA" w14:paraId="63ADF643" w14:textId="77777777" w:rsidTr="007455FD">
        <w:trPr>
          <w:trHeight w:val="345"/>
        </w:trPr>
        <w:tc>
          <w:tcPr>
            <w:cnfStyle w:val="001000000000" w:firstRow="0" w:lastRow="0" w:firstColumn="1" w:lastColumn="0" w:oddVBand="0" w:evenVBand="0" w:oddHBand="0" w:evenHBand="0" w:firstRowFirstColumn="0" w:firstRowLastColumn="0" w:lastRowFirstColumn="0" w:lastRowLastColumn="0"/>
            <w:tcW w:w="891" w:type="pct"/>
            <w:tcBorders>
              <w:top w:val="single" w:sz="24" w:space="0" w:color="2A3652"/>
            </w:tcBorders>
          </w:tcPr>
          <w:p w14:paraId="382DBBBB" w14:textId="77777777" w:rsidR="00841875" w:rsidRPr="00FF70EA" w:rsidRDefault="00841875" w:rsidP="000E769C">
            <w:pPr>
              <w:pStyle w:val="TabellHode-rad"/>
            </w:pPr>
            <w:r w:rsidRPr="00FF70EA">
              <w:t>Norge</w:t>
            </w:r>
          </w:p>
        </w:tc>
        <w:tc>
          <w:tcPr>
            <w:tcW w:w="1042" w:type="pct"/>
            <w:tcBorders>
              <w:top w:val="single" w:sz="24" w:space="0" w:color="2A3652"/>
            </w:tcBorders>
          </w:tcPr>
          <w:p w14:paraId="4D87D78A"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 kan pålegges</w:t>
            </w:r>
          </w:p>
        </w:tc>
        <w:tc>
          <w:tcPr>
            <w:tcW w:w="948" w:type="pct"/>
            <w:tcBorders>
              <w:top w:val="single" w:sz="24" w:space="0" w:color="2A3652"/>
            </w:tcBorders>
          </w:tcPr>
          <w:p w14:paraId="6F64A478"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1102" w:type="pct"/>
            <w:tcBorders>
              <w:top w:val="single" w:sz="24" w:space="0" w:color="2A3652"/>
            </w:tcBorders>
          </w:tcPr>
          <w:p w14:paraId="0306798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Ikke når det er egne legeordninger</w:t>
            </w:r>
          </w:p>
        </w:tc>
        <w:tc>
          <w:tcPr>
            <w:tcW w:w="1016" w:type="pct"/>
            <w:tcBorders>
              <w:top w:val="single" w:sz="24" w:space="0" w:color="2A3652"/>
            </w:tcBorders>
          </w:tcPr>
          <w:p w14:paraId="2A719D58" w14:textId="5B646CDE"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Kan pålegges 7,5 t uke</w:t>
            </w:r>
          </w:p>
        </w:tc>
      </w:tr>
      <w:tr w:rsidR="00841875" w:rsidRPr="00FF70EA" w14:paraId="35664FE4" w14:textId="77777777" w:rsidTr="007455FD">
        <w:trPr>
          <w:trHeight w:val="335"/>
        </w:trPr>
        <w:tc>
          <w:tcPr>
            <w:cnfStyle w:val="001000000000" w:firstRow="0" w:lastRow="0" w:firstColumn="1" w:lastColumn="0" w:oddVBand="0" w:evenVBand="0" w:oddHBand="0" w:evenHBand="0" w:firstRowFirstColumn="0" w:firstRowLastColumn="0" w:lastRowFirstColumn="0" w:lastRowLastColumn="0"/>
            <w:tcW w:w="891" w:type="pct"/>
          </w:tcPr>
          <w:p w14:paraId="23CD4926" w14:textId="77777777" w:rsidR="00841875" w:rsidRPr="00FF70EA" w:rsidRDefault="00841875" w:rsidP="000E769C">
            <w:pPr>
              <w:pStyle w:val="TabellHode-rad"/>
            </w:pPr>
            <w:r w:rsidRPr="00FF70EA">
              <w:t>Danmark</w:t>
            </w:r>
          </w:p>
        </w:tc>
        <w:tc>
          <w:tcPr>
            <w:tcW w:w="1042" w:type="pct"/>
          </w:tcPr>
          <w:p w14:paraId="157C045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948" w:type="pct"/>
          </w:tcPr>
          <w:p w14:paraId="51BFF0D2"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1102" w:type="pct"/>
          </w:tcPr>
          <w:p w14:paraId="4B86995B"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p>
        </w:tc>
        <w:tc>
          <w:tcPr>
            <w:tcW w:w="1016" w:type="pct"/>
          </w:tcPr>
          <w:p w14:paraId="05B61593"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p>
        </w:tc>
      </w:tr>
      <w:tr w:rsidR="00841875" w:rsidRPr="00FF70EA" w14:paraId="2865B882" w14:textId="77777777" w:rsidTr="007455FD">
        <w:trPr>
          <w:trHeight w:val="324"/>
        </w:trPr>
        <w:tc>
          <w:tcPr>
            <w:cnfStyle w:val="001000000000" w:firstRow="0" w:lastRow="0" w:firstColumn="1" w:lastColumn="0" w:oddVBand="0" w:evenVBand="0" w:oddHBand="0" w:evenHBand="0" w:firstRowFirstColumn="0" w:firstRowLastColumn="0" w:lastRowFirstColumn="0" w:lastRowLastColumn="0"/>
            <w:tcW w:w="891" w:type="pct"/>
          </w:tcPr>
          <w:p w14:paraId="3113AD1A" w14:textId="77777777" w:rsidR="00841875" w:rsidRPr="00FF70EA" w:rsidRDefault="00841875" w:rsidP="000E769C">
            <w:pPr>
              <w:pStyle w:val="TabellHode-rad"/>
            </w:pPr>
            <w:r w:rsidRPr="00FF70EA">
              <w:lastRenderedPageBreak/>
              <w:t>Skottland</w:t>
            </w:r>
          </w:p>
        </w:tc>
        <w:tc>
          <w:tcPr>
            <w:tcW w:w="1042" w:type="pct"/>
          </w:tcPr>
          <w:p w14:paraId="5AE49F07"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rPr>
                <w:lang w:val="en-US"/>
              </w:rPr>
            </w:pPr>
            <w:r>
              <w:t>Praksiser Ikke pliktig</w:t>
            </w:r>
          </w:p>
        </w:tc>
        <w:tc>
          <w:tcPr>
            <w:tcW w:w="948" w:type="pct"/>
          </w:tcPr>
          <w:p w14:paraId="0FB5AE8E"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1102" w:type="pct"/>
          </w:tcPr>
          <w:p w14:paraId="47F63D5A"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Ja, i prinsippet, men delvis tilleggsavtaler</w:t>
            </w:r>
          </w:p>
        </w:tc>
        <w:tc>
          <w:tcPr>
            <w:tcW w:w="1016" w:type="pct"/>
          </w:tcPr>
          <w:p w14:paraId="4C9C6F46"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p>
        </w:tc>
      </w:tr>
      <w:tr w:rsidR="00841875" w:rsidRPr="00FF70EA" w14:paraId="03585656" w14:textId="77777777" w:rsidTr="007455FD">
        <w:trPr>
          <w:trHeight w:val="335"/>
        </w:trPr>
        <w:tc>
          <w:tcPr>
            <w:cnfStyle w:val="001000000000" w:firstRow="0" w:lastRow="0" w:firstColumn="1" w:lastColumn="0" w:oddVBand="0" w:evenVBand="0" w:oddHBand="0" w:evenHBand="0" w:firstRowFirstColumn="0" w:firstRowLastColumn="0" w:lastRowFirstColumn="0" w:lastRowLastColumn="0"/>
            <w:tcW w:w="891" w:type="pct"/>
          </w:tcPr>
          <w:p w14:paraId="6164122A" w14:textId="77777777" w:rsidR="00841875" w:rsidRPr="00FF70EA" w:rsidRDefault="00841875" w:rsidP="000E769C">
            <w:pPr>
              <w:pStyle w:val="TabellHode-rad"/>
            </w:pPr>
            <w:r w:rsidRPr="00FF70EA">
              <w:t>England</w:t>
            </w:r>
          </w:p>
        </w:tc>
        <w:tc>
          <w:tcPr>
            <w:tcW w:w="1042" w:type="pct"/>
          </w:tcPr>
          <w:p w14:paraId="5719C546"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Praksiser kan søke kan søke om fritak</w:t>
            </w:r>
          </w:p>
        </w:tc>
        <w:tc>
          <w:tcPr>
            <w:tcW w:w="948" w:type="pct"/>
          </w:tcPr>
          <w:p w14:paraId="12B1FD7A"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1102" w:type="pct"/>
          </w:tcPr>
          <w:p w14:paraId="5155EC23"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Ja, i prinsippet, men egne kontrakter for utvidet oppfølging</w:t>
            </w:r>
          </w:p>
        </w:tc>
        <w:tc>
          <w:tcPr>
            <w:tcW w:w="1016" w:type="pct"/>
          </w:tcPr>
          <w:p w14:paraId="6850EB1B"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p>
        </w:tc>
      </w:tr>
      <w:tr w:rsidR="00841875" w:rsidRPr="00FF70EA" w14:paraId="23E41130" w14:textId="77777777" w:rsidTr="007455FD">
        <w:trPr>
          <w:trHeight w:val="518"/>
        </w:trPr>
        <w:tc>
          <w:tcPr>
            <w:cnfStyle w:val="001000000000" w:firstRow="0" w:lastRow="0" w:firstColumn="1" w:lastColumn="0" w:oddVBand="0" w:evenVBand="0" w:oddHBand="0" w:evenHBand="0" w:firstRowFirstColumn="0" w:firstRowLastColumn="0" w:lastRowFirstColumn="0" w:lastRowLastColumn="0"/>
            <w:tcW w:w="891" w:type="pct"/>
          </w:tcPr>
          <w:p w14:paraId="6EF4C774" w14:textId="77777777" w:rsidR="00841875" w:rsidRPr="00FF70EA" w:rsidRDefault="00841875" w:rsidP="000E769C">
            <w:pPr>
              <w:pStyle w:val="TabellHode-rad"/>
            </w:pPr>
            <w:r w:rsidRPr="00FF70EA">
              <w:t>Nederland</w:t>
            </w:r>
          </w:p>
        </w:tc>
        <w:tc>
          <w:tcPr>
            <w:tcW w:w="1042" w:type="pct"/>
          </w:tcPr>
          <w:p w14:paraId="3F949F68" w14:textId="77777777" w:rsidR="00841875" w:rsidRPr="00672E58" w:rsidRDefault="00841875" w:rsidP="000E769C">
            <w:pPr>
              <w:cnfStyle w:val="000000000000" w:firstRow="0" w:lastRow="0" w:firstColumn="0" w:lastColumn="0" w:oddVBand="0" w:evenVBand="0" w:oddHBand="0" w:evenHBand="0" w:firstRowFirstColumn="0" w:firstRowLastColumn="0" w:lastRowFirstColumn="0" w:lastRowLastColumn="0"/>
              <w:rPr>
                <w:lang w:val="nb-NO"/>
              </w:rPr>
            </w:pPr>
            <w:r w:rsidRPr="00672E58">
              <w:rPr>
                <w:lang w:val="nb-NO"/>
              </w:rPr>
              <w:t>Ja, til nå praksiseiere- blir utvidet til andre leger i 2023</w:t>
            </w:r>
          </w:p>
        </w:tc>
        <w:tc>
          <w:tcPr>
            <w:tcW w:w="948" w:type="pct"/>
          </w:tcPr>
          <w:p w14:paraId="43B432C5"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Ja</w:t>
            </w:r>
          </w:p>
        </w:tc>
        <w:tc>
          <w:tcPr>
            <w:tcW w:w="1102" w:type="pct"/>
          </w:tcPr>
          <w:p w14:paraId="730C8F2C" w14:textId="36B17743"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t>Egne sykeshjemsleger det vanlige?</w:t>
            </w:r>
          </w:p>
        </w:tc>
        <w:tc>
          <w:tcPr>
            <w:tcW w:w="1016" w:type="pct"/>
          </w:tcPr>
          <w:p w14:paraId="43DD827F"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p>
        </w:tc>
      </w:tr>
      <w:tr w:rsidR="00841875" w:rsidRPr="00FF70EA" w14:paraId="0C571DA0" w14:textId="77777777" w:rsidTr="007455FD">
        <w:trPr>
          <w:trHeight w:val="567"/>
        </w:trPr>
        <w:tc>
          <w:tcPr>
            <w:cnfStyle w:val="001000000000" w:firstRow="0" w:lastRow="0" w:firstColumn="1" w:lastColumn="0" w:oddVBand="0" w:evenVBand="0" w:oddHBand="0" w:evenHBand="0" w:firstRowFirstColumn="0" w:firstRowLastColumn="0" w:lastRowFirstColumn="0" w:lastRowLastColumn="0"/>
            <w:tcW w:w="891" w:type="pct"/>
          </w:tcPr>
          <w:p w14:paraId="7F742A1D" w14:textId="77777777" w:rsidR="00841875" w:rsidRPr="00FF70EA" w:rsidRDefault="00841875" w:rsidP="000E769C">
            <w:pPr>
              <w:pStyle w:val="TabellHode-rad"/>
            </w:pPr>
            <w:r w:rsidRPr="00FF70EA">
              <w:t>Sverige</w:t>
            </w:r>
          </w:p>
        </w:tc>
        <w:tc>
          <w:tcPr>
            <w:tcW w:w="1042" w:type="pct"/>
          </w:tcPr>
          <w:p w14:paraId="268085E9" w14:textId="51390D6C"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Frivillig</w:t>
            </w:r>
          </w:p>
        </w:tc>
        <w:tc>
          <w:tcPr>
            <w:tcW w:w="948" w:type="pct"/>
          </w:tcPr>
          <w:p w14:paraId="2B9DFA5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t>Nei, men kan variere</w:t>
            </w:r>
          </w:p>
        </w:tc>
        <w:tc>
          <w:tcPr>
            <w:tcW w:w="1102" w:type="pct"/>
          </w:tcPr>
          <w:p w14:paraId="669A7688"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0106F6">
              <w:t>Kan variere. Regionen er ansvarlig for at dette finnes</w:t>
            </w:r>
          </w:p>
        </w:tc>
        <w:tc>
          <w:tcPr>
            <w:tcW w:w="1016" w:type="pct"/>
          </w:tcPr>
          <w:p w14:paraId="4EC23AD0"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p>
        </w:tc>
      </w:tr>
      <w:tr w:rsidR="00841875" w:rsidRPr="00FF70EA" w14:paraId="47954E20" w14:textId="77777777" w:rsidTr="007455FD">
        <w:trPr>
          <w:trHeight w:val="63"/>
        </w:trPr>
        <w:tc>
          <w:tcPr>
            <w:cnfStyle w:val="001000000000" w:firstRow="0" w:lastRow="0" w:firstColumn="1" w:lastColumn="0" w:oddVBand="0" w:evenVBand="0" w:oddHBand="0" w:evenHBand="0" w:firstRowFirstColumn="0" w:firstRowLastColumn="0" w:lastRowFirstColumn="0" w:lastRowLastColumn="0"/>
            <w:tcW w:w="891" w:type="pct"/>
          </w:tcPr>
          <w:p w14:paraId="0518315C" w14:textId="77777777" w:rsidR="00841875" w:rsidRPr="00FF70EA" w:rsidRDefault="00841875" w:rsidP="000E769C">
            <w:pPr>
              <w:pStyle w:val="TabellHode-rad"/>
            </w:pPr>
            <w:r w:rsidRPr="00FF70EA">
              <w:t>Finland</w:t>
            </w:r>
          </w:p>
        </w:tc>
        <w:tc>
          <w:tcPr>
            <w:tcW w:w="1042" w:type="pct"/>
          </w:tcPr>
          <w:p w14:paraId="0C2A4CAC"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Frivillig, insentiv</w:t>
            </w:r>
          </w:p>
        </w:tc>
        <w:tc>
          <w:tcPr>
            <w:tcW w:w="948" w:type="pct"/>
          </w:tcPr>
          <w:p w14:paraId="4DCC2971" w14:textId="14C4B809"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rsidRPr="00FF70EA">
              <w:t>Nei</w:t>
            </w:r>
          </w:p>
        </w:tc>
        <w:tc>
          <w:tcPr>
            <w:tcW w:w="1102" w:type="pct"/>
          </w:tcPr>
          <w:p w14:paraId="2C5EAE6A" w14:textId="77777777"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t>Ja</w:t>
            </w:r>
          </w:p>
        </w:tc>
        <w:tc>
          <w:tcPr>
            <w:tcW w:w="1016" w:type="pct"/>
          </w:tcPr>
          <w:p w14:paraId="4755F498" w14:textId="314880DA" w:rsidR="00841875" w:rsidRPr="00FF70EA" w:rsidRDefault="00841875" w:rsidP="000E769C">
            <w:pPr>
              <w:cnfStyle w:val="000000000000" w:firstRow="0" w:lastRow="0" w:firstColumn="0" w:lastColumn="0" w:oddVBand="0" w:evenVBand="0" w:oddHBand="0" w:evenHBand="0" w:firstRowFirstColumn="0" w:firstRowLastColumn="0" w:lastRowFirstColumn="0" w:lastRowLastColumn="0"/>
            </w:pPr>
            <w:r>
              <w:t>Ca</w:t>
            </w:r>
            <w:r w:rsidR="00B73722">
              <w:t>.</w:t>
            </w:r>
            <w:r>
              <w:t xml:space="preserve"> 20</w:t>
            </w:r>
            <w:r w:rsidR="009A7E70">
              <w:t xml:space="preserve"> </w:t>
            </w:r>
            <w:r>
              <w:t>% sektorarbeid</w:t>
            </w:r>
          </w:p>
        </w:tc>
      </w:tr>
    </w:tbl>
    <w:p w14:paraId="20911ABD" w14:textId="57675F4E" w:rsidR="00D9107F" w:rsidRDefault="00841875" w:rsidP="00841875">
      <w:pPr>
        <w:jc w:val="both"/>
        <w:rPr>
          <w:lang w:val="nb"/>
        </w:rPr>
      </w:pPr>
      <w:r w:rsidRPr="00C54070">
        <w:rPr>
          <w:lang w:val="nb"/>
        </w:rPr>
        <w:t>Legene i helsesentrene i Finland har</w:t>
      </w:r>
      <w:r w:rsidR="009A7E70">
        <w:rPr>
          <w:lang w:val="nb"/>
        </w:rPr>
        <w:t>,</w:t>
      </w:r>
      <w:r w:rsidRPr="00C54070">
        <w:rPr>
          <w:lang w:val="nb"/>
        </w:rPr>
        <w:t xml:space="preserve"> som fastlegene i Norge</w:t>
      </w:r>
      <w:r w:rsidR="00CF3428">
        <w:rPr>
          <w:lang w:val="nb"/>
        </w:rPr>
        <w:t>,</w:t>
      </w:r>
      <w:r w:rsidRPr="00C54070">
        <w:rPr>
          <w:lang w:val="nb"/>
        </w:rPr>
        <w:t xml:space="preserve"> ansvar for andre tjenester, såkalt </w:t>
      </w:r>
      <w:r w:rsidR="00D9107F">
        <w:rPr>
          <w:lang w:val="nb"/>
        </w:rPr>
        <w:t>«</w:t>
      </w:r>
      <w:r w:rsidRPr="00C54070">
        <w:rPr>
          <w:lang w:val="nb"/>
        </w:rPr>
        <w:t>sektorarbeid</w:t>
      </w:r>
      <w:r w:rsidR="00D9107F">
        <w:rPr>
          <w:lang w:val="nb"/>
        </w:rPr>
        <w:t>»</w:t>
      </w:r>
      <w:r w:rsidRPr="502C70DA">
        <w:rPr>
          <w:lang w:val="nb"/>
        </w:rPr>
        <w:t xml:space="preserve"> </w:t>
      </w:r>
      <w:r>
        <w:rPr>
          <w:lang w:val="nb"/>
        </w:rPr>
        <w:fldChar w:fldCharType="begin"/>
      </w:r>
      <w:r w:rsidR="00A27571">
        <w:rPr>
          <w:lang w:val="nb"/>
        </w:rPr>
        <w:instrText xml:space="preserve"> ADDIN EN.CITE &lt;EndNote&gt;&lt;Cite&gt;&lt;Author&gt;Syrjä V.&lt;/Author&gt;&lt;Year&gt;2020&lt;/Year&gt;&lt;RecNum&gt;604&lt;/RecNum&gt;&lt;DisplayText&gt;(Syrjä V. et al., 2020)&lt;/DisplayText&gt;&lt;record&gt;&lt;rec-number&gt;604&lt;/rec-number&gt;&lt;foreign-keys&gt;&lt;key app="EN" db-id="95tpr2tp6r9xwoea9rb5wdsz5ds5xeddteew" timestamp="1680069511"&gt;604&lt;/key&gt;&lt;/foreign-keys&gt;&lt;ref-type name="Report"&gt;27&lt;/ref-type&gt;&lt;contributors&gt;&lt;authors&gt;&lt;author&gt;Syrjä V., &lt;/author&gt;&lt;author&gt;Parviainen L.,&lt;/author&gt;&lt;author&gt;Niemi A&lt;/author&gt;&lt;/authors&gt;&lt;/contributors&gt;&lt;titles&gt;&lt;title&gt;Outpatient care arrangements at health centres 2019 – outsourcing, personnel, work inputs and transfers of tasks&lt;/title&gt;&lt;/titles&gt;&lt;number&gt;Data Brief 21&lt;/number&gt;&lt;dates&gt;&lt;year&gt;2020&lt;/year&gt;&lt;/dates&gt;&lt;pub-location&gt;Helsinki&lt;/pub-location&gt;&lt;publisher&gt;Finnish Institute for Health and Welfare (THL)&lt;/publisher&gt;&lt;urls&gt;&lt;/urls&gt;&lt;/record&gt;&lt;/Cite&gt;&lt;/EndNote&gt;</w:instrText>
      </w:r>
      <w:r>
        <w:rPr>
          <w:lang w:val="nb"/>
        </w:rPr>
        <w:fldChar w:fldCharType="separate"/>
      </w:r>
      <w:r>
        <w:rPr>
          <w:noProof/>
          <w:lang w:val="nb"/>
        </w:rPr>
        <w:t>(Syrjä V. et al., 2020)</w:t>
      </w:r>
      <w:r>
        <w:rPr>
          <w:lang w:val="nb"/>
        </w:rPr>
        <w:fldChar w:fldCharType="end"/>
      </w:r>
      <w:r w:rsidRPr="00C54070">
        <w:rPr>
          <w:lang w:val="nb"/>
        </w:rPr>
        <w:t xml:space="preserve">. Sektorarbeidet omfatter for eksempel legetjenester ved </w:t>
      </w:r>
      <w:r w:rsidR="668A3A93" w:rsidRPr="00C54070">
        <w:rPr>
          <w:lang w:val="nb"/>
        </w:rPr>
        <w:t>helsestasjon</w:t>
      </w:r>
      <w:r w:rsidRPr="00C54070">
        <w:rPr>
          <w:lang w:val="nb"/>
        </w:rPr>
        <w:t xml:space="preserve"> for barn, skole- og studenthelsetjenesten, heldøgns</w:t>
      </w:r>
      <w:r w:rsidR="00423603">
        <w:rPr>
          <w:lang w:val="nb"/>
        </w:rPr>
        <w:t>s</w:t>
      </w:r>
      <w:r w:rsidRPr="00C54070">
        <w:rPr>
          <w:lang w:val="nb"/>
        </w:rPr>
        <w:t>avdeling ved helsesentre, særskilte boenheter,</w:t>
      </w:r>
      <w:r w:rsidR="2D42809B" w:rsidRPr="00C54070">
        <w:rPr>
          <w:lang w:val="nb"/>
        </w:rPr>
        <w:t xml:space="preserve"> og </w:t>
      </w:r>
      <w:r w:rsidRPr="00C54070">
        <w:rPr>
          <w:lang w:val="nb"/>
        </w:rPr>
        <w:t xml:space="preserve">legetjenester knyttet opp mot hjemmesykepleien. Sektorarbeid utgjør nesten 20 prosent av legenes arbeidstid, i gjennomsnitt én dag i uken. De sektorielle oppgavene som helsesentrenes leger har ansvar </w:t>
      </w:r>
      <w:r>
        <w:rPr>
          <w:lang w:val="nb"/>
        </w:rPr>
        <w:t>for</w:t>
      </w:r>
      <w:r w:rsidR="00CF3428">
        <w:rPr>
          <w:lang w:val="nb"/>
        </w:rPr>
        <w:t>,</w:t>
      </w:r>
      <w:r>
        <w:rPr>
          <w:lang w:val="nb"/>
        </w:rPr>
        <w:t xml:space="preserve"> går</w:t>
      </w:r>
      <w:r w:rsidRPr="00C54070">
        <w:rPr>
          <w:lang w:val="nb"/>
        </w:rPr>
        <w:t xml:space="preserve"> vanligvis </w:t>
      </w:r>
      <w:r>
        <w:rPr>
          <w:lang w:val="nb"/>
        </w:rPr>
        <w:t>på omgang</w:t>
      </w:r>
      <w:r w:rsidRPr="00C54070">
        <w:rPr>
          <w:lang w:val="nb"/>
        </w:rPr>
        <w:t xml:space="preserve"> </w:t>
      </w:r>
      <w:r>
        <w:rPr>
          <w:lang w:val="nb"/>
        </w:rPr>
        <w:t xml:space="preserve">mellom </w:t>
      </w:r>
      <w:r w:rsidRPr="00C54070">
        <w:rPr>
          <w:lang w:val="nb"/>
        </w:rPr>
        <w:t>leger ved sentrene. Ved store helsesentre er andelen sektorarbeid lavere, 14 prosent. Døgnavdelinger i helsesentre er et særtrekk i finsk primærhelsetjeneste</w:t>
      </w:r>
      <w:r w:rsidRPr="502C70DA">
        <w:rPr>
          <w:lang w:val="nb"/>
        </w:rPr>
        <w:t xml:space="preserve"> </w:t>
      </w:r>
      <w:r>
        <w:rPr>
          <w:lang w:val="nb"/>
        </w:rPr>
        <w:fldChar w:fldCharType="begin"/>
      </w:r>
      <w:r w:rsidR="004654FD">
        <w:rPr>
          <w:lang w:val="nb"/>
        </w:rPr>
        <w:instrText xml:space="preserve"> ADDIN EN.CITE &lt;EndNote&gt;&lt;Cite&gt;&lt;Author&gt;Keskimäki&lt;/Author&gt;&lt;Year&gt;2019&lt;/Year&gt;&lt;RecNum&gt;249&lt;/RecNum&gt;&lt;DisplayText&gt;(Keskimäki et al., 2019)&lt;/DisplayText&gt;&lt;record&gt;&lt;rec-number&gt;249&lt;/rec-number&gt;&lt;foreign-keys&gt;&lt;key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rPr>
          <w:lang w:val="nb"/>
        </w:rPr>
        <w:fldChar w:fldCharType="separate"/>
      </w:r>
      <w:r w:rsidR="00856689">
        <w:rPr>
          <w:noProof/>
          <w:lang w:val="nb"/>
        </w:rPr>
        <w:t>(Keskimäki et al., 2019)</w:t>
      </w:r>
      <w:r>
        <w:rPr>
          <w:lang w:val="nb"/>
        </w:rPr>
        <w:fldChar w:fldCharType="end"/>
      </w:r>
      <w:r w:rsidRPr="00C54070">
        <w:rPr>
          <w:lang w:val="nb"/>
        </w:rPr>
        <w:t xml:space="preserve">. I 2015 var det 226 av disse </w:t>
      </w:r>
      <w:r w:rsidR="06D7D37E" w:rsidRPr="1A97BF4C">
        <w:rPr>
          <w:lang w:val="nb"/>
        </w:rPr>
        <w:t>sykehuslignende</w:t>
      </w:r>
      <w:r w:rsidRPr="00C54070">
        <w:rPr>
          <w:lang w:val="nb"/>
        </w:rPr>
        <w:t xml:space="preserve"> døgnavdelinger bemannet med sykepleiere og med fast lege eller tilsynslege, eller spesialist i geriatri. Disse enhetene står for om lag 20–25 prosent av alle ø-hjelpsinnleggelser. En typisk sengeavdeling har 30–60 sengeplasser. På grunn av sentralisering av spesialistbehandling og endringer i eldreomsorgen i løpet av det siste tiåret, har disse </w:t>
      </w:r>
      <w:r w:rsidR="00B20362">
        <w:rPr>
          <w:lang w:val="nb"/>
        </w:rPr>
        <w:t>allmenn</w:t>
      </w:r>
      <w:r w:rsidR="00931A5F">
        <w:rPr>
          <w:lang w:val="nb"/>
        </w:rPr>
        <w:t>lege</w:t>
      </w:r>
      <w:r w:rsidRPr="00C54070">
        <w:rPr>
          <w:lang w:val="nb"/>
        </w:rPr>
        <w:t xml:space="preserve">drevne </w:t>
      </w:r>
      <w:r w:rsidR="21E5ED44" w:rsidRPr="00C54070">
        <w:rPr>
          <w:lang w:val="nb"/>
        </w:rPr>
        <w:t>sengeenhetene</w:t>
      </w:r>
      <w:r w:rsidRPr="00C54070">
        <w:rPr>
          <w:lang w:val="nb"/>
        </w:rPr>
        <w:t xml:space="preserve"> ved større helsesentre på enkelte områder tatt en mer aktiv rolle i rehabilitering og deler av spesialis</w:t>
      </w:r>
      <w:r>
        <w:rPr>
          <w:lang w:val="nb"/>
        </w:rPr>
        <w:t>tbehandlingen</w:t>
      </w:r>
      <w:r w:rsidRPr="00C54070">
        <w:rPr>
          <w:lang w:val="nb"/>
        </w:rPr>
        <w:t xml:space="preserve">, for eksempel kreftomsorg. Disse avdelingene brukes ofte like mye til akutt behandling som omsorg for kronikere og rehabilitering. Legene er ikke forpliktet til å delta i </w:t>
      </w:r>
      <w:r>
        <w:rPr>
          <w:lang w:val="nb"/>
        </w:rPr>
        <w:t>primær</w:t>
      </w:r>
      <w:r w:rsidRPr="00C54070">
        <w:rPr>
          <w:lang w:val="nb"/>
        </w:rPr>
        <w:t>legevakt, men får bedre betalt for dette arbeidet.</w:t>
      </w:r>
    </w:p>
    <w:p w14:paraId="087A356E" w14:textId="66E2A998" w:rsidR="00841875" w:rsidRPr="009A5256" w:rsidRDefault="00841875" w:rsidP="00775632">
      <w:pPr>
        <w:pStyle w:val="Overskrift4"/>
      </w:pPr>
      <w:bookmarkStart w:id="1330" w:name="_Toc130983433"/>
      <w:bookmarkStart w:id="1331" w:name="_Toc130983782"/>
      <w:bookmarkStart w:id="1332" w:name="_Toc131238359"/>
      <w:bookmarkStart w:id="1333" w:name="_Toc131279390"/>
      <w:bookmarkStart w:id="1334" w:name="_Toc131286802"/>
      <w:bookmarkStart w:id="1335" w:name="_Toc131281212"/>
      <w:bookmarkStart w:id="1336" w:name="_Toc131317751"/>
      <w:r w:rsidRPr="009A5256">
        <w:t>Sykmelding</w:t>
      </w:r>
      <w:bookmarkEnd w:id="1330"/>
      <w:bookmarkEnd w:id="1331"/>
      <w:bookmarkEnd w:id="1332"/>
      <w:bookmarkEnd w:id="1333"/>
      <w:bookmarkEnd w:id="1334"/>
      <w:bookmarkEnd w:id="1335"/>
      <w:bookmarkEnd w:id="1336"/>
    </w:p>
    <w:p w14:paraId="2D468B7A" w14:textId="77777777" w:rsidR="00D9107F" w:rsidRDefault="00841875" w:rsidP="00841875">
      <w:pPr>
        <w:jc w:val="both"/>
      </w:pPr>
      <w:r w:rsidRPr="00FF70EA">
        <w:t>Med unntak av Nederland og Finland</w:t>
      </w:r>
      <w:r w:rsidR="00E87B04">
        <w:t>,</w:t>
      </w:r>
      <w:r w:rsidRPr="00FF70EA">
        <w:t xml:space="preserve"> er det mest vanlige at fastlegen</w:t>
      </w:r>
      <w:r w:rsidR="0092173D">
        <w:t xml:space="preserve"> eller </w:t>
      </w:r>
      <w:r w:rsidRPr="00FF70EA">
        <w:t xml:space="preserve">eget legesenter kontaktes for </w:t>
      </w:r>
      <w:r>
        <w:t>sykmelding</w:t>
      </w:r>
      <w:r w:rsidRPr="00FF70EA">
        <w:t xml:space="preserve">. Reglene for krav til </w:t>
      </w:r>
      <w:r>
        <w:t>sykmelding</w:t>
      </w:r>
      <w:r w:rsidRPr="00FF70EA">
        <w:t xml:space="preserve"> </w:t>
      </w:r>
      <w:r w:rsidR="0092173D" w:rsidRPr="0092173D">
        <w:t>kan variere.</w:t>
      </w:r>
      <w:r w:rsidRPr="00FF70EA">
        <w:t xml:space="preserve"> I Finland har bedriftshelsetjenesten en betydelig allmennmedisinsk funksjon</w:t>
      </w:r>
      <w:r w:rsidR="0092173D" w:rsidRPr="0092173D">
        <w:t xml:space="preserve"> inkl</w:t>
      </w:r>
      <w:r w:rsidR="008230ED">
        <w:t>udert</w:t>
      </w:r>
      <w:r w:rsidRPr="00FF70EA">
        <w:t xml:space="preserve"> sykmeldingsfunksjon. </w:t>
      </w:r>
      <w:r w:rsidR="0092173D" w:rsidRPr="0092173D">
        <w:t xml:space="preserve">Nederlandske fastleger har ingen formell rolle når det gjelder sykmelding. Hver arbeidsgiver i </w:t>
      </w:r>
      <w:r w:rsidR="0092173D" w:rsidRPr="0092173D">
        <w:lastRenderedPageBreak/>
        <w:t xml:space="preserve">Nederland må engasjere en bedriftslege. Bedriftslegen hjelper også ansatte tilbake til jobb så raskt og ansvarlig som mulig. Videre kan den enkelte ansatte gå til bedriftslegen dersom de har spørsmål om individuelle og personlige arbeidsrelaterte helseproblemer. Ved langtidssykdom vil bedriftslege avgjøre om eller når noen er uegnet til å arbeide. Bedriftslegen kan spørre </w:t>
      </w:r>
      <w:r w:rsidR="00A5132D">
        <w:t xml:space="preserve">om </w:t>
      </w:r>
      <w:r w:rsidR="0092173D" w:rsidRPr="0092173D">
        <w:t>fastlegens råd i denne prosessen. I Finland har bedriftshelsetjenesten på samme måte som i Nederland en betydelig allmennmedisinsk funksjon inkl</w:t>
      </w:r>
      <w:r w:rsidR="008230ED">
        <w:t>udert</w:t>
      </w:r>
      <w:r w:rsidR="0092173D" w:rsidRPr="0092173D">
        <w:t xml:space="preserve"> sykmeldingsfunksjon. </w:t>
      </w:r>
      <w:r w:rsidRPr="00FF70EA">
        <w:t>Det samme gjelder i Nederland</w:t>
      </w:r>
      <w:r w:rsidR="0092173D" w:rsidRPr="0092173D">
        <w:t>, men der har også helseforsikringselskapene en rolle.</w:t>
      </w:r>
      <w:r w:rsidRPr="00FF70EA">
        <w:t xml:space="preserve"> I Danmark er det vanlig at egen lege </w:t>
      </w:r>
      <w:r w:rsidR="0092173D" w:rsidRPr="0092173D">
        <w:t>sykmelder</w:t>
      </w:r>
      <w:r w:rsidRPr="00FF70EA">
        <w:t xml:space="preserve">, men </w:t>
      </w:r>
      <w:r w:rsidR="002B6E86">
        <w:t xml:space="preserve">det </w:t>
      </w:r>
      <w:r w:rsidRPr="00FF70EA">
        <w:t>kan også gjøres av andre. Utgiftene</w:t>
      </w:r>
      <w:r w:rsidR="60CC8EDB">
        <w:t xml:space="preserve"> </w:t>
      </w:r>
      <w:r w:rsidR="2B7B4554">
        <w:t>til selve sykmeldingen</w:t>
      </w:r>
      <w:r w:rsidRPr="00FF70EA">
        <w:t xml:space="preserve"> dekkes av arbeidsgiver, ikke det offentlige. I Storbritannia kan også sykepleiere, fysioterapeuter og farmasøyt</w:t>
      </w:r>
      <w:r w:rsidR="00B20362">
        <w:t>er</w:t>
      </w:r>
      <w:r w:rsidRPr="00FF70EA">
        <w:t xml:space="preserve"> sykmelde</w:t>
      </w:r>
      <w:r w:rsidR="0092173D" w:rsidRPr="0092173D">
        <w:t>. Det</w:t>
      </w:r>
      <w:r w:rsidR="00B20362">
        <w:t xml:space="preserve"> </w:t>
      </w:r>
      <w:r w:rsidRPr="00FF70EA">
        <w:t>kan være ulike regler rundt langtidsoppfølging av sykmeldte</w:t>
      </w:r>
      <w:r w:rsidR="0092173D" w:rsidRPr="0092173D">
        <w:t xml:space="preserve"> i de ulike landene.</w:t>
      </w:r>
    </w:p>
    <w:p w14:paraId="731CC966" w14:textId="79BB9B6D" w:rsidR="00841875" w:rsidRPr="009A5256" w:rsidRDefault="00841875" w:rsidP="00775632">
      <w:pPr>
        <w:pStyle w:val="Overskrift4"/>
      </w:pPr>
      <w:bookmarkStart w:id="1337" w:name="_Toc126918013"/>
      <w:bookmarkStart w:id="1338" w:name="_Toc130983434"/>
      <w:bookmarkStart w:id="1339" w:name="_Toc130983783"/>
      <w:bookmarkStart w:id="1340" w:name="_Toc131238360"/>
      <w:bookmarkStart w:id="1341" w:name="_Toc131279391"/>
      <w:bookmarkStart w:id="1342" w:name="_Toc131286803"/>
      <w:bookmarkStart w:id="1343" w:name="_Toc131281213"/>
      <w:bookmarkStart w:id="1344" w:name="_Toc131317752"/>
      <w:bookmarkStart w:id="1345" w:name="_Hlk126778006"/>
      <w:r w:rsidRPr="009A5256">
        <w:t>Bredde i prosedyrer</w:t>
      </w:r>
      <w:r w:rsidRPr="00FF70EA">
        <w:t xml:space="preserve"> som utføres i praksis</w:t>
      </w:r>
      <w:bookmarkEnd w:id="1337"/>
      <w:bookmarkEnd w:id="1338"/>
      <w:bookmarkEnd w:id="1339"/>
      <w:bookmarkEnd w:id="1340"/>
      <w:bookmarkEnd w:id="1341"/>
      <w:bookmarkEnd w:id="1342"/>
      <w:bookmarkEnd w:id="1343"/>
      <w:bookmarkEnd w:id="1344"/>
    </w:p>
    <w:p w14:paraId="66F55BA8" w14:textId="77777777" w:rsidR="00D9107F" w:rsidRDefault="00841875" w:rsidP="00841875">
      <w:pPr>
        <w:jc w:val="both"/>
      </w:pPr>
      <w:r w:rsidRPr="00FF70EA">
        <w:t>Allmennlegene i alle nordiske land er godt utstyrt</w:t>
      </w:r>
      <w:r w:rsidR="009A7E70">
        <w:t>,</w:t>
      </w:r>
      <w:r w:rsidRPr="00FF70EA">
        <w:t xml:space="preserve"> og tilbyr et bredt spekter av medisinske tjenester i internasjonalt perspektiv, men det er likevel ulikheter. En studie av 34 land i 2014 indikerte at norske allmennleger følger opp et bredere spekter av tilstander og utfører noe flere prosedyrer enn </w:t>
      </w:r>
      <w:r w:rsidR="00E27261">
        <w:t>allm</w:t>
      </w:r>
      <w:r w:rsidR="00306BDA">
        <w:t xml:space="preserve">ennleger </w:t>
      </w:r>
      <w:r w:rsidRPr="00FF70EA">
        <w:t xml:space="preserve">i for eksempel Sverige og Danmark </w:t>
      </w:r>
      <w:r>
        <w:fldChar w:fldCharType="begin">
          <w:fldData xml:space="preserve">PEVuZE5vdGU+PENpdGU+PEF1dGhvcj5FaWRlPC9BdXRob3I+PFllYXI+MjAxNzwvWWVhcj48UmVj
TnVtPjE0OTwvUmVjTnVtPjxEaXNwbGF5VGV4dD4oRWlkZSBldCBhbC4sIDIwMTcpPC9EaXNwbGF5
VGV4dD48cmVjb3JkPjxyZWMtbnVtYmVyPjE0OTwvcmVjLW51bWJlcj48Zm9yZWlnbi1rZXlzPjxr
ZXkgYXBwPSJFTiIgZGItaWQ9Ijk1dHByMnRwNnI5eHdvZWE5cmI1d2RzejVkczV4ZWRkdGVldyIg
dGltZXN0YW1wPSIxNjgwMDY5NTExIj4xNDk8L2tleT48L2ZvcmVpZ24ta2V5cz48cmVmLXR5cGUg
bmFtZT0iSm91cm5hbCBBcnRpY2xlIj4xNzwvcmVmLXR5cGU+PGNvbnRyaWJ1dG9ycz48YXV0aG9y
cz48YXV0aG9yPkVpZGUsIFQuIEIuPC9hdXRob3I+PGF1dGhvcj5TdHJhYW5kLCBKLjwvYXV0aG9y
PjxhdXRob3I+QmrDtnJrZWx1bmQsIEMuPC9hdXRob3I+PGF1dGhvcj5Lb3N1bmVuLCBFLjwvYXV0
aG9yPjxhdXRob3I+VGhvcmdlaXJzc29uLCBPLjwvYXV0aG9yPjxhdXRob3I+VmVkc3RlZCwgUC48
L2F1dGhvcj48YXV0aG9yPlJvc3ZvbGQsIEUuIE8uPC9hdXRob3I+PC9hdXRob3JzPjwvY29udHJp
YnV0b3JzPjxhdXRoLWFkZHJlc3M+YSBEZXBhcnRtZW50IG9mIEdlbmVyYWwgUHJhY3RpY2UgLCBJ
bnN0aXR1dGUgb2YgSGVhbHRoIGFuZCBTb2NpZXR5LCBVbml2ZXJzaXR5IG9mIE9zbG8gLCBPc2xv
ICwgTm9yd2F5LiYjeEQ7YiBEZXBhcnRtZW50IG9mIFByaW1hcnkgSGVhbHRoIENhcmUgLCBJbnN0
aXR1dGUgb2YgTWVkaWNpbmUsIFVuaXZlcnNpdHkgb2YgR290aGVuYnVyZyAsIEdvdGhlbmJ1cmcg
LCBTd2VkZW4uJiN4RDtjIFNjaG9vbCBvZiBNZWRpY2luZSAsIFVuaXZlcnNpdHkgb2YgVGFtcGVy
ZSAsIFRhbXBlcmUgLCBGaW5sYW5kLiYjeEQ7ZCBDZW50cmUgb2YgR2VuZXJhbCBQcmFjdGljZSwg
UGlya2FubWFhIEhvc3BpdGFsIERpc3RyaWN0ICwgUGlya2FubWFhICwgRmlubGFuZC4mI3hEO2Ug
R3JhZmFydm9ndXIgUHJpbWFyeSBDYXJlIENlbnRyZSAsIFJleWtqYXZpayAsIEljZWxhbmQuJiN4
RDtmIFJlc2VhcmNoIFVuaXQgZm9yIEdlbmVyYWwgUHJhY3RpY2UsIEFhcmh1cyBVbml2ZXJzaXR5
ICwgQWFyaHVzICwgRGVubWFyay48L2F1dGgtYWRkcmVzcz48dGl0bGVzPjx0aXRsZT5EaWZmZXJl
bmNlcyBpbiBtZWRpY2FsIHNlcnZpY2VzIGluIE5vcmRpYyBnZW5lcmFsIHByYWN0aWNlOiBhIGNv
bXBhcmF0aXZlIHN1cnZleSBmcm9tIHRoZSBRVUFMSUNPUEMgc3R1ZHk8L3RpdGxlPjxzZWNvbmRh
cnktdGl0bGU+U2NhbmQgSiBQcmltIEhlYWx0aCBDYXJlPC9zZWNvbmRhcnktdGl0bGU+PC90aXRs
ZXM+PHBlcmlvZGljYWw+PGZ1bGwtdGl0bGU+U2NhbmQgSiBQcmltIEhlYWx0aCBDYXJlPC9mdWxs
LXRpdGxlPjwvcGVyaW9kaWNhbD48cGFnZXM+MTUzLTE2MTwvcGFnZXM+PHZvbHVtZT4zNTwvdm9s
dW1lPjxudW1iZXI+MjwvbnVtYmVyPjxrZXl3b3Jkcz48a2V5d29yZD5BZHVsdDwva2V5d29yZD48
a2V5d29yZD5BZ2VkPC9rZXl3b3JkPjxrZXl3b3JkPipEZWxpdmVyeSBvZiBIZWFsdGggQ2FyZS9l
Y29ub21pY3Mvc3RhbmRhcmRzPC9rZXl3b3JkPjxrZXl3b3JkPkVxdWlwbWVudCBhbmQgU3VwcGxp
ZXMvc3RhdGlzdGljcyAmYW1wOyBudW1lcmljYWwgZGF0YTwva2V5d29yZD48a2V5d29yZD4qRmFt
aWx5IFByYWN0aWNlL2Vjb25vbWljcy9zdGFuZGFyZHM8L2tleXdvcmQ+PGtleXdvcmQ+RmVtYWxl
PC9rZXl3b3JkPjxrZXl3b3JkPkhlYWx0aCBDYXJlIENvc3RzPC9rZXl3b3JkPjxrZXl3b3JkPkh1
bWFuczwva2V5d29yZD48a2V5d29yZD5Mb2dpc3RpYyBNb2RlbHM8L2tleXdvcmQ+PGtleXdvcmQ+
TWFsZTwva2V5d29yZD48a2V5d29yZD5NaWRkbGUgQWdlZDwva2V5d29yZD48a2V5d29yZD5NaW5v
ciBTdXJnaWNhbCBQcm9jZWR1cmVzL3N0YXRpc3RpY3MgJmFtcDsgbnVtZXJpY2FsIGRhdGE8L2tl
eXdvcmQ+PGtleXdvcmQ+UHJhY3RpY2UgUGF0dGVybnMsIFBoeXNpY2lhbnMmYXBvczsvKnN0YXRp
c3RpY3MgJmFtcDsgbnVtZXJpY2FsIGRhdGE8L2tleXdvcmQ+PGtleXdvcmQ+UXVhbGl0eSBvZiBI
ZWFsdGggQ2FyZS8qc3RhbmRhcmRzPC9rZXl3b3JkPjxrZXl3b3JkPlNjYW5kaW5hdmlhbiBhbmQg
Tm9yZGljIENvdW50cmllczwva2V5d29yZD48a2V5d29yZD5HZW5lcmFsIHByYWN0aWNlPC9rZXl3
b3JkPjxrZXl3b3JkPk5vcmRpYyBjb3VudHJpZXM8L2tleXdvcmQ+PGtleXdvcmQ+T3JnYW5pc2F0
aW9uIGFuZCBBZG1pbmlzdHJhdGlvbjwva2V5d29yZD48a2V5d29yZD5RdWFsaWNvcGM8L2tleXdv
cmQ+PGtleXdvcmQ+ZGlhZ25vc2lzPC9rZXl3b3JkPjxrZXl3b3JkPmVxdWlwbWVudDwva2V5d29y
ZD48a2V5d29yZD5oZWFsdGggc2VydmljZXM8L2tleXdvcmQ+PGtleXdvcmQ+cHJvY2VkdXJlczwv
a2V5d29yZD48L2tleXdvcmRzPjxkYXRlcz48eWVhcj4yMDE3PC95ZWFyPjxwdWItZGF0ZXM+PGRh
dGU+SnVuPC9kYXRlPjwvcHViLWRhdGVzPjwvZGF0ZXM+PGlzYm4+MDI4MS0zNDMyIChQcmludCkm
I3hEOzAyODEtMzQzMjwvaXNibj48YWNjZXNzaW9uLW51bT4yODYxMzEyNzwvYWNjZXNzaW9uLW51
bT48dXJscz48L3VybHM+PGN1c3RvbTI+UE1DNTQ5OTMxNTwvY3VzdG9tMj48cmVtb3RlLWRhdGFi
YXNlLXByb3ZpZGVyPk5MTTwvcmVtb3RlLWRhdGFiYXNlLXByb3ZpZGVyPjxsYW5ndWFnZT5lbmc8
L2xhbmd1YWdlPjwvcmVjb3JkPjwvQ2l0ZT48L0VuZE5vdGU+AG==
</w:fldData>
        </w:fldChar>
      </w:r>
      <w:r w:rsidR="004654FD">
        <w:instrText xml:space="preserve"> ADDIN EN.CITE </w:instrText>
      </w:r>
      <w:r w:rsidR="004654FD">
        <w:fldChar w:fldCharType="begin">
          <w:fldData xml:space="preserve">PEVuZE5vdGU+PENpdGU+PEF1dGhvcj5FaWRlPC9BdXRob3I+PFllYXI+MjAxNzwvWWVhcj48UmVj
TnVtPjE0OTwvUmVjTnVtPjxEaXNwbGF5VGV4dD4oRWlkZSBldCBhbC4sIDIwMTcpPC9EaXNwbGF5
VGV4dD48cmVjb3JkPjxyZWMtbnVtYmVyPjE0OTwvcmVjLW51bWJlcj48Zm9yZWlnbi1rZXlzPjxr
ZXkgYXBwPSJFTiIgZGItaWQ9Ijk1dHByMnRwNnI5eHdvZWE5cmI1d2RzejVkczV4ZWRkdGVldyIg
dGltZXN0YW1wPSIxNjgwMDY5NTExIj4xNDk8L2tleT48L2ZvcmVpZ24ta2V5cz48cmVmLXR5cGUg
bmFtZT0iSm91cm5hbCBBcnRpY2xlIj4xNzwvcmVmLXR5cGU+PGNvbnRyaWJ1dG9ycz48YXV0aG9y
cz48YXV0aG9yPkVpZGUsIFQuIEIuPC9hdXRob3I+PGF1dGhvcj5TdHJhYW5kLCBKLjwvYXV0aG9y
PjxhdXRob3I+QmrDtnJrZWx1bmQsIEMuPC9hdXRob3I+PGF1dGhvcj5Lb3N1bmVuLCBFLjwvYXV0
aG9yPjxhdXRob3I+VGhvcmdlaXJzc29uLCBPLjwvYXV0aG9yPjxhdXRob3I+VmVkc3RlZCwgUC48
L2F1dGhvcj48YXV0aG9yPlJvc3ZvbGQsIEUuIE8uPC9hdXRob3I+PC9hdXRob3JzPjwvY29udHJp
YnV0b3JzPjxhdXRoLWFkZHJlc3M+YSBEZXBhcnRtZW50IG9mIEdlbmVyYWwgUHJhY3RpY2UgLCBJ
bnN0aXR1dGUgb2YgSGVhbHRoIGFuZCBTb2NpZXR5LCBVbml2ZXJzaXR5IG9mIE9zbG8gLCBPc2xv
ICwgTm9yd2F5LiYjeEQ7YiBEZXBhcnRtZW50IG9mIFByaW1hcnkgSGVhbHRoIENhcmUgLCBJbnN0
aXR1dGUgb2YgTWVkaWNpbmUsIFVuaXZlcnNpdHkgb2YgR290aGVuYnVyZyAsIEdvdGhlbmJ1cmcg
LCBTd2VkZW4uJiN4RDtjIFNjaG9vbCBvZiBNZWRpY2luZSAsIFVuaXZlcnNpdHkgb2YgVGFtcGVy
ZSAsIFRhbXBlcmUgLCBGaW5sYW5kLiYjeEQ7ZCBDZW50cmUgb2YgR2VuZXJhbCBQcmFjdGljZSwg
UGlya2FubWFhIEhvc3BpdGFsIERpc3RyaWN0ICwgUGlya2FubWFhICwgRmlubGFuZC4mI3hEO2Ug
R3JhZmFydm9ndXIgUHJpbWFyeSBDYXJlIENlbnRyZSAsIFJleWtqYXZpayAsIEljZWxhbmQuJiN4
RDtmIFJlc2VhcmNoIFVuaXQgZm9yIEdlbmVyYWwgUHJhY3RpY2UsIEFhcmh1cyBVbml2ZXJzaXR5
ICwgQWFyaHVzICwgRGVubWFyay48L2F1dGgtYWRkcmVzcz48dGl0bGVzPjx0aXRsZT5EaWZmZXJl
bmNlcyBpbiBtZWRpY2FsIHNlcnZpY2VzIGluIE5vcmRpYyBnZW5lcmFsIHByYWN0aWNlOiBhIGNv
bXBhcmF0aXZlIHN1cnZleSBmcm9tIHRoZSBRVUFMSUNPUEMgc3R1ZHk8L3RpdGxlPjxzZWNvbmRh
cnktdGl0bGU+U2NhbmQgSiBQcmltIEhlYWx0aCBDYXJlPC9zZWNvbmRhcnktdGl0bGU+PC90aXRs
ZXM+PHBlcmlvZGljYWw+PGZ1bGwtdGl0bGU+U2NhbmQgSiBQcmltIEhlYWx0aCBDYXJlPC9mdWxs
LXRpdGxlPjwvcGVyaW9kaWNhbD48cGFnZXM+MTUzLTE2MTwvcGFnZXM+PHZvbHVtZT4zNTwvdm9s
dW1lPjxudW1iZXI+MjwvbnVtYmVyPjxrZXl3b3Jkcz48a2V5d29yZD5BZHVsdDwva2V5d29yZD48
a2V5d29yZD5BZ2VkPC9rZXl3b3JkPjxrZXl3b3JkPipEZWxpdmVyeSBvZiBIZWFsdGggQ2FyZS9l
Y29ub21pY3Mvc3RhbmRhcmRzPC9rZXl3b3JkPjxrZXl3b3JkPkVxdWlwbWVudCBhbmQgU3VwcGxp
ZXMvc3RhdGlzdGljcyAmYW1wOyBudW1lcmljYWwgZGF0YTwva2V5d29yZD48a2V5d29yZD4qRmFt
aWx5IFByYWN0aWNlL2Vjb25vbWljcy9zdGFuZGFyZHM8L2tleXdvcmQ+PGtleXdvcmQ+RmVtYWxl
PC9rZXl3b3JkPjxrZXl3b3JkPkhlYWx0aCBDYXJlIENvc3RzPC9rZXl3b3JkPjxrZXl3b3JkPkh1
bWFuczwva2V5d29yZD48a2V5d29yZD5Mb2dpc3RpYyBNb2RlbHM8L2tleXdvcmQ+PGtleXdvcmQ+
TWFsZTwva2V5d29yZD48a2V5d29yZD5NaWRkbGUgQWdlZDwva2V5d29yZD48a2V5d29yZD5NaW5v
ciBTdXJnaWNhbCBQcm9jZWR1cmVzL3N0YXRpc3RpY3MgJmFtcDsgbnVtZXJpY2FsIGRhdGE8L2tl
eXdvcmQ+PGtleXdvcmQ+UHJhY3RpY2UgUGF0dGVybnMsIFBoeXNpY2lhbnMmYXBvczsvKnN0YXRp
c3RpY3MgJmFtcDsgbnVtZXJpY2FsIGRhdGE8L2tleXdvcmQ+PGtleXdvcmQ+UXVhbGl0eSBvZiBI
ZWFsdGggQ2FyZS8qc3RhbmRhcmRzPC9rZXl3b3JkPjxrZXl3b3JkPlNjYW5kaW5hdmlhbiBhbmQg
Tm9yZGljIENvdW50cmllczwva2V5d29yZD48a2V5d29yZD5HZW5lcmFsIHByYWN0aWNlPC9rZXl3
b3JkPjxrZXl3b3JkPk5vcmRpYyBjb3VudHJpZXM8L2tleXdvcmQ+PGtleXdvcmQ+T3JnYW5pc2F0
aW9uIGFuZCBBZG1pbmlzdHJhdGlvbjwva2V5d29yZD48a2V5d29yZD5RdWFsaWNvcGM8L2tleXdv
cmQ+PGtleXdvcmQ+ZGlhZ25vc2lzPC9rZXl3b3JkPjxrZXl3b3JkPmVxdWlwbWVudDwva2V5d29y
ZD48a2V5d29yZD5oZWFsdGggc2VydmljZXM8L2tleXdvcmQ+PGtleXdvcmQ+cHJvY2VkdXJlczwv
a2V5d29yZD48L2tleXdvcmRzPjxkYXRlcz48eWVhcj4yMDE3PC95ZWFyPjxwdWItZGF0ZXM+PGRh
dGU+SnVuPC9kYXRlPjwvcHViLWRhdGVzPjwvZGF0ZXM+PGlzYm4+MDI4MS0zNDMyIChQcmludCkm
I3hEOzAyODEtMzQzMjwvaXNibj48YWNjZXNzaW9uLW51bT4yODYxMzEyNzwvYWNjZXNzaW9uLW51
bT48dXJscz48L3VybHM+PGN1c3RvbTI+UE1DNTQ5OTMxNTwvY3VzdG9tMj48cmVtb3RlLWRhdGFi
YXNlLXByb3ZpZGVyPk5MTTwvcmVtb3RlLWRhdGFiYXNlLXByb3ZpZGVyPjxsYW5ndWFnZT5lbmc8
L2xhbmd1YWdlPjwvcmVjb3JkPjwvQ2l0ZT48L0VuZE5vdGU+AG==
</w:fldData>
        </w:fldChar>
      </w:r>
      <w:r w:rsidR="004654FD">
        <w:instrText xml:space="preserve"> ADDIN EN.CITE.DATA </w:instrText>
      </w:r>
      <w:r w:rsidR="004654FD">
        <w:fldChar w:fldCharType="end"/>
      </w:r>
      <w:r>
        <w:fldChar w:fldCharType="separate"/>
      </w:r>
      <w:r>
        <w:rPr>
          <w:noProof/>
        </w:rPr>
        <w:t>(Eide et al., 2017)</w:t>
      </w:r>
      <w:r>
        <w:fldChar w:fldCharType="end"/>
      </w:r>
      <w:r w:rsidRPr="00FF70EA">
        <w:rPr>
          <w:rFonts w:ascii="Calibri" w:eastAsia="Calibri" w:hAnsi="Calibri" w:cs="Calibri"/>
          <w:color w:val="000000"/>
        </w:rPr>
        <w:t>.</w:t>
      </w:r>
      <w:r w:rsidRPr="00FF70EA">
        <w:t xml:space="preserve"> </w:t>
      </w:r>
      <w:r>
        <w:t xml:space="preserve">Eide </w:t>
      </w:r>
      <w:r w:rsidRPr="00FF70EA">
        <w:t>m.fl</w:t>
      </w:r>
      <w:r w:rsidR="009A7E70">
        <w:t>.</w:t>
      </w:r>
      <w:r w:rsidRPr="00FF70EA">
        <w:t xml:space="preserve"> konkluderer med at fastleger i alle de nordiske landene er godt rustet og tilbyr et bredt spekter av medisinske tjenester, men </w:t>
      </w:r>
      <w:r>
        <w:t>det var likevel</w:t>
      </w:r>
      <w:r w:rsidRPr="00FF70EA">
        <w:t xml:space="preserve"> variasjon. Det var ikke noe klart mønster </w:t>
      </w:r>
      <w:r>
        <w:t>ved</w:t>
      </w:r>
      <w:r w:rsidRPr="00FF70EA">
        <w:t xml:space="preserve"> at fastleger i ett land gjorde konsekvent flere prosedyrer, hadde konsekvent mer utstyr og behandlet et større mangfold av medisinske tilstander enn fastleger i de andre landene. </w:t>
      </w:r>
      <w:r>
        <w:t>D</w:t>
      </w:r>
      <w:r w:rsidRPr="00FF70EA">
        <w:t>e danske allmennlegene utførte mindre kirurgiske inngrep betydelig sjeldnere enn fastleger i alle andre land, selv om de satte inn spiral betydelig oftere enn fastleger på Island, Sverige og Finland. Finske allmennleger utførte et flertall av de medisinske prosedyrene oftere enn fastleger i de andre landene. De finske fastlegene hadde mer avansert teknisk utstyr enn fastleger i alle andre nordiske land. Strukturelle forhold så imidlertid ut til å påvirke tjenestetilbudet. Bosettingsstruktur og reiseavstander hadde blant annet betydning for bredden i hva allmennlegen utførte. Tall fra samme studie viser at danske leger i gjennomsnitt hadde flest konsultasjoner per dag og kortere konsultasjonstid, mens legene i Sverige hadde færrest konsultasjoner per dag, men lengst konsultasjonstid når man sammenligner Norge, Sverige og Danmark.</w:t>
      </w:r>
    </w:p>
    <w:p w14:paraId="7E5F4A8A" w14:textId="77777777" w:rsidR="00D9107F" w:rsidRDefault="00841875" w:rsidP="00841875">
      <w:pPr>
        <w:jc w:val="both"/>
      </w:pPr>
      <w:r w:rsidRPr="00FF70EA">
        <w:t>Kroneman et al (2016) viser med utgangspunkt i samme studie at Nederland har en veldig sterk primærhelsetjen</w:t>
      </w:r>
      <w:r>
        <w:t>e</w:t>
      </w:r>
      <w:r w:rsidRPr="00FF70EA">
        <w:t>ste</w:t>
      </w:r>
      <w:r w:rsidR="009A7E70">
        <w:t>,</w:t>
      </w:r>
      <w:r w:rsidRPr="00FF70EA">
        <w:t xml:space="preserve"> </w:t>
      </w:r>
      <w:r>
        <w:t>og primærlegene har en svært stor bredde i hvilke prosedyrer de utfører</w:t>
      </w:r>
      <w:r w:rsidRPr="00FF70EA">
        <w:t xml:space="preserve"> sammenlignet med andre </w:t>
      </w:r>
      <w:r w:rsidR="009A7E70">
        <w:t>e</w:t>
      </w:r>
      <w:r w:rsidRPr="00FF70EA">
        <w:t xml:space="preserve">uropeiske land </w:t>
      </w:r>
      <w:r w:rsidR="00E94EA5">
        <w:fldChar w:fldCharType="begin"/>
      </w:r>
      <w:r w:rsidR="00E94EA5">
        <w:instrText xml:space="preserve"> ADDIN EN.CITE &lt;EndNote&gt;&lt;Cite&gt;&lt;Author&gt;Kroneman&lt;/Author&gt;&lt;Year&gt;2016&lt;/Year&gt;&lt;RecNum&gt;520&lt;/RecNum&gt;&lt;DisplayText&gt;(Kroneman et al., 2016)&lt;/DisplayText&gt;&lt;record&gt;&lt;rec-number&gt;520&lt;/rec-number&gt;&lt;foreign-keys&gt;&lt;key app="EN" db-id="95tpr2tp6r9xwoea9rb5wdsz5ds5xeddteew" timestamp="1680069511"&gt;520&lt;/key&gt;&lt;/foreign-keys&gt;&lt;ref-type name="Journal Article"&gt;17&lt;/ref-type&gt;&lt;contributors&gt;&lt;authors&gt;&lt;author&gt;Kroneman, M.&lt;/author&gt;&lt;author&gt;Boerma, W.&lt;/author&gt;&lt;author&gt;van den Berg, M.&lt;/author&gt;&lt;author&gt;Groenewegen, P.&lt;/author&gt;&lt;author&gt;de Jong, J.&lt;/author&gt;&lt;author&gt;van Ginneken, E.&lt;/author&gt;&lt;/authors&gt;&lt;/contributors&gt;&lt;auth-address&gt;NIVEL, Netherlands Institute for Health Services Research.&amp;#xD;RIVM, the National Institute for Public Health and the Environment.&amp;#xD;European Observatory on Health Systems and Policies, Berlin University of Technology.&lt;/auth-address&gt;&lt;titles&gt;&lt;title&gt;Netherlands: Health System Review&lt;/title&gt;&lt;secondary-title&gt;Health Syst Transit&lt;/secondary-title&gt;&lt;/titles&gt;&lt;periodical&gt;&lt;full-title&gt;Health Syst Transit&lt;/full-title&gt;&lt;/periodical&gt;&lt;pages&gt;1-240&lt;/pages&gt;&lt;volume&gt;18&lt;/volume&gt;&lt;number&gt;2&lt;/number&gt;&lt;keywords&gt;&lt;keyword&gt;Delivery of Health Care/*methods/*organization &amp;amp; administration&lt;/keyword&gt;&lt;keyword&gt;Health Care Reform/methods/organization &amp;amp; administration&lt;/keyword&gt;&lt;keyword&gt;Health Expenditures&lt;/keyword&gt;&lt;keyword&gt;*Health Policy&lt;/keyword&gt;&lt;keyword&gt;*Healthcare Financing&lt;/keyword&gt;&lt;keyword&gt;Humans&lt;/keyword&gt;&lt;keyword&gt;Insurance, Health/organization &amp;amp; administration&lt;/keyword&gt;&lt;keyword&gt;Long-Term Care/methods/organization &amp;amp; administration&lt;/keyword&gt;&lt;keyword&gt;Netherlands&lt;/keyword&gt;&lt;keyword&gt;Quality of Health Care&lt;/keyword&gt;&lt;/keywords&gt;&lt;dates&gt;&lt;year&gt;2016&lt;/year&gt;&lt;pub-dates&gt;&lt;date&gt;Mar&lt;/date&gt;&lt;/pub-dates&gt;&lt;/dates&gt;&lt;isbn&gt;1817-6119&lt;/isbn&gt;&lt;accession-num&gt;27467715&lt;/accession-num&gt;&lt;urls&gt;&lt;/urls&gt;&lt;remote-database-provider&gt;NLM&lt;/remote-database-provider&gt;&lt;language&gt;eng&lt;/language&gt;&lt;/record&gt;&lt;/Cite&gt;&lt;/EndNote&gt;</w:instrText>
      </w:r>
      <w:r w:rsidR="00E94EA5">
        <w:fldChar w:fldCharType="separate"/>
      </w:r>
      <w:r w:rsidR="00E94EA5">
        <w:rPr>
          <w:noProof/>
        </w:rPr>
        <w:t>(Kroneman et al., 2016)</w:t>
      </w:r>
      <w:r w:rsidR="00E94EA5">
        <w:fldChar w:fldCharType="end"/>
      </w:r>
      <w:r>
        <w:t>.</w:t>
      </w:r>
      <w:r w:rsidRPr="00FF70EA">
        <w:t xml:space="preserve"> </w:t>
      </w:r>
      <w:r>
        <w:t>Bare finske leger hadde større bredde.</w:t>
      </w:r>
    </w:p>
    <w:p w14:paraId="4FCD7A65" w14:textId="6DCA20F5" w:rsidR="00841875" w:rsidRPr="002D58E4" w:rsidRDefault="00841875" w:rsidP="00775632">
      <w:pPr>
        <w:pStyle w:val="Overskrift3"/>
      </w:pPr>
      <w:bookmarkStart w:id="1346" w:name="_Toc129414791"/>
      <w:bookmarkStart w:id="1347" w:name="_Toc129643612"/>
      <w:bookmarkStart w:id="1348" w:name="_Toc129676889"/>
      <w:bookmarkStart w:id="1349" w:name="_Toc129787486"/>
      <w:bookmarkStart w:id="1350" w:name="_Toc129799565"/>
      <w:bookmarkStart w:id="1351" w:name="_Toc129799937"/>
      <w:bookmarkStart w:id="1352" w:name="_Toc129800173"/>
      <w:bookmarkStart w:id="1353" w:name="_Toc129860711"/>
      <w:bookmarkStart w:id="1354" w:name="_Toc129888133"/>
      <w:bookmarkStart w:id="1355" w:name="_Toc126918014"/>
      <w:bookmarkStart w:id="1356" w:name="_Toc126937698"/>
      <w:bookmarkStart w:id="1357" w:name="_Toc127633200"/>
      <w:bookmarkStart w:id="1358" w:name="_Toc127864486"/>
      <w:bookmarkStart w:id="1359" w:name="_Toc128238489"/>
      <w:bookmarkStart w:id="1360" w:name="_Toc128741969"/>
      <w:bookmarkStart w:id="1361" w:name="_Toc128744564"/>
      <w:bookmarkStart w:id="1362" w:name="_Toc128744783"/>
      <w:bookmarkStart w:id="1363" w:name="_Toc129630281"/>
      <w:bookmarkStart w:id="1364" w:name="_Toc129962174"/>
      <w:bookmarkStart w:id="1365" w:name="_Toc130154243"/>
      <w:bookmarkStart w:id="1366" w:name="_Toc130490059"/>
      <w:bookmarkStart w:id="1367" w:name="_Toc130763790"/>
      <w:bookmarkStart w:id="1368" w:name="_Toc130766685"/>
      <w:bookmarkStart w:id="1369" w:name="_Toc130932085"/>
      <w:bookmarkStart w:id="1370" w:name="_Toc130934376"/>
      <w:bookmarkStart w:id="1371" w:name="_Toc130983435"/>
      <w:bookmarkStart w:id="1372" w:name="_Toc130983784"/>
      <w:bookmarkStart w:id="1373" w:name="_Toc131062110"/>
      <w:bookmarkStart w:id="1374" w:name="_Toc131062364"/>
      <w:bookmarkStart w:id="1375" w:name="_Toc131062625"/>
      <w:bookmarkStart w:id="1376" w:name="_Toc131062878"/>
      <w:bookmarkStart w:id="1377" w:name="_Toc131063646"/>
      <w:bookmarkStart w:id="1378" w:name="_Toc131064067"/>
      <w:bookmarkStart w:id="1379" w:name="_Toc131238361"/>
      <w:bookmarkStart w:id="1380" w:name="_Toc131279392"/>
      <w:bookmarkStart w:id="1381" w:name="_Toc131286804"/>
      <w:bookmarkStart w:id="1382" w:name="_Toc131281214"/>
      <w:bookmarkStart w:id="1383" w:name="_Toc131317753"/>
      <w:bookmarkStart w:id="1384" w:name="_Toc132536951"/>
      <w:bookmarkEnd w:id="1346"/>
      <w:bookmarkEnd w:id="1347"/>
      <w:bookmarkEnd w:id="1348"/>
      <w:bookmarkEnd w:id="1349"/>
      <w:bookmarkEnd w:id="1350"/>
      <w:bookmarkEnd w:id="1351"/>
      <w:bookmarkEnd w:id="1352"/>
      <w:bookmarkEnd w:id="1353"/>
      <w:bookmarkEnd w:id="1354"/>
      <w:r w:rsidRPr="002D58E4">
        <w:lastRenderedPageBreak/>
        <w:t>Økende vekt på lokalbaserte, integrerte helsetjenester</w:t>
      </w:r>
      <w:bookmarkEnd w:id="1355"/>
      <w:r w:rsidRPr="002D58E4">
        <w:t xml:space="preserve"> og team</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3F26FEC8" w14:textId="77777777" w:rsidR="00D9107F" w:rsidRDefault="00841875" w:rsidP="00441F94">
      <w:pPr>
        <w:jc w:val="both"/>
      </w:pPr>
      <w:r w:rsidRPr="00FF70EA">
        <w:rPr>
          <w:color w:val="333333"/>
          <w:shd w:val="clear" w:color="auto" w:fill="FFFFFF"/>
          <w:lang w:val="nb"/>
        </w:rPr>
        <w:t>Både Norge og andre land står overfor store helse- og sosialfaglige utfordringer knyttet til en aldrende befolkning, økende forekomst av kronisk sykdom og multimorbiditet, psykiske helseproblemer, økende sosioøkonomiske og helsemessige ulikheter mm. Presset på helsetjenestene øker</w:t>
      </w:r>
      <w:r w:rsidR="009A7E70">
        <w:rPr>
          <w:color w:val="333333"/>
          <w:shd w:val="clear" w:color="auto" w:fill="FFFFFF"/>
          <w:lang w:val="nb"/>
        </w:rPr>
        <w:t>,</w:t>
      </w:r>
      <w:r w:rsidRPr="00FF70EA">
        <w:rPr>
          <w:color w:val="333333"/>
          <w:shd w:val="clear" w:color="auto" w:fill="FFFFFF"/>
          <w:lang w:val="nb"/>
        </w:rPr>
        <w:t xml:space="preserve"> samtidig som ressursene er knappe. De fleste land ønsker å r</w:t>
      </w:r>
      <w:r w:rsidRPr="00FF70EA">
        <w:t>edusere presset på sykehusene og understøtte lokalsamfunnsbaserte løsninger med vekt på forebygging, økt integrasjon og tverrfaglig samarbeid i tjenestene</w:t>
      </w:r>
      <w:r w:rsidRPr="00FF70EA">
        <w:rPr>
          <w:color w:val="333333"/>
          <w:shd w:val="clear" w:color="auto" w:fill="FFFFFF"/>
          <w:lang w:val="nb"/>
        </w:rPr>
        <w:t>. Samtidig har r</w:t>
      </w:r>
      <w:r w:rsidRPr="00FF70EA">
        <w:t xml:space="preserve">ekrutteringsutfordringene i allmennlegetjenesten i </w:t>
      </w:r>
      <w:r w:rsidR="2B79E95C" w:rsidRPr="00856434">
        <w:t>e</w:t>
      </w:r>
      <w:r w:rsidR="7169D5C0" w:rsidRPr="00856434">
        <w:t>uropeiske</w:t>
      </w:r>
      <w:r w:rsidRPr="00FF70EA">
        <w:t xml:space="preserve"> land vært økende </w:t>
      </w:r>
      <w:r>
        <w:fldChar w:fldCharType="begin">
          <w:fldData xml:space="preserve">PEVuZE5vdGU+PENpdGU+PEF1dGhvcj5FdXJvcGVhbiBDb21taXNzaW9uPC9BdXRob3I+PFllYXI+
MjAyMDwvWWVhcj48UmVjTnVtPjM3PC9SZWNOdW0+PERpc3BsYXlUZXh0PihCZXJ0aGllciwgMjAx
ODsgRXVyb3BlYW4gQ29tbWlzc2lvbiBldCBhbC4sIDIwMjA7IEdyb2VuZXdlZ2VuIGV0IGFsLiwg
MjAyMCk8L0Rpc3BsYXlUZXh0PjxyZWNvcmQ+PHJlYy1udW1iZXI+Mzc8L3JlYy1udW1iZXI+PGZv
cmVpZ24ta2V5cz48a2V5IGFwcD0iRU4iIGRiLWlkPSI5NXRwcjJ0cDZyOXh3b2VhOXJiNXdkc3o1
ZHM1eGVkZHRlZXciIHRpbWVzdGFtcD0iMTY4MDA2OTUxMSI+Mzc8L2tleT48L2ZvcmVpZ24ta2V5
cz48cmVmLXR5cGUgbmFtZT0iUmVwb3J0Ij4yNzwvcmVmLXR5cGU+PGNvbnRyaWJ1dG9ycz48YXV0
aG9ycz48YXV0aG9yPkV1cm9wZWFuIENvbW1pc3Npb24sPC9hdXRob3I+PGF1dGhvcj5EaXJlY3Rv
cmF0ZS1HZW5lcmFsIGZvciBFbXBsb3ltZW50LCwgU29jaWFsIEFmZmFpcnMgYW5kIEluY2x1c2lv
biwgPC9hdXRob3I+PGF1dGhvcj5NY0dyYXRoLCBKPC9hdXRob3I+PC9hdXRob3JzPjx0ZXJ0aWFy
eS1hdXRob3JzPjxhdXRob3I+UHVibGljYXRpb25zIE9mZmljZTwvYXV0aG9yPjwvdGVydGlhcnkt
YXV0aG9ycz48L2NvbnRyaWJ1dG9ycz48dGl0bGVzPjx0aXRsZT5BbmFseXNpcyBvZiBzaG9ydGFn
ZSBhbmQgc3VycGx1cyBvY2N1cGF0aW9ucyAyMDIwPC90aXRsZT48L3RpdGxlcz48ZGF0ZXM+PHll
YXI+MjAyMDwveWVhcj48L2RhdGVzPjx1cmxzPjwvdXJscz48L3JlY29yZD48L0NpdGU+PENpdGU+
PEF1dGhvcj5CZXJ0aGllcjwvQXV0aG9yPjxZZWFyPjIwMTg8L1llYXI+PFJlY051bT4yMDc8L1Jl
Y051bT48cmVjb3JkPjxyZWMtbnVtYmVyPjIwNzwvcmVjLW51bWJlcj48Zm9yZWlnbi1rZXlzPjxr
ZXkgYXBwPSJFTiIgZGItaWQ9Ijk1dHByMnRwNnI5eHdvZWE5cmI1d2RzejVkczV4ZWRkdGVldyIg
dGltZXN0YW1wPSIxNjgwMDY5NTExIj4yMDc8L2tleT48L2ZvcmVpZ24ta2V5cz48cmVmLXR5cGUg
bmFtZT0iV2ViIFBhZ2UiPjEyPC9yZWYtdHlwZT48Y29udHJpYnV0b3JzPjxhdXRob3JzPjxhdXRo
b3I+RMOpYm9yYWggQmVydGhpZXI8L2F1dGhvcj48L2F1dGhvcnM+PC9jb250cmlidXRvcnM+PHRp
dGxlcz48dGl0bGU+RXVyb3BlIGhhcyBhIHNob3J0YWdlIG9mIGRvY3RvcnM8L3RpdGxlPjwvdGl0
bGVzPjxudW1iZXI+MTMuMDEuMjM8L251bWJlcj48ZGF0ZXM+PHllYXI+MjAxODwveWVhcj48cHVi
LWRhdGVzPjxkYXRlPkZyaWRheSAzMCBOb3ZlbWJlciAyMDE4PC9kYXRlPjwvcHViLWRhdGVzPjwv
ZGF0ZXM+PHB1Ymxpc2hlcj5FdXJvcGVhbiBkYXRhIGpvdXJuYWxpc20gbmV0d29yazwvcHVibGlz
aGVyPjx1cmxzPjwvdXJscz48L3JlY29yZD48L0NpdGU+PENpdGU+PEF1dGhvcj5Hcm9lbmV3ZWdl
bjwvQXV0aG9yPjxZZWFyPjIwMjA8L1llYXI+PFJlY051bT42NTg8L1JlY051bT48cmVjb3JkPjxy
ZWMtbnVtYmVyPjY1ODwvcmVjLW51bWJlcj48Zm9yZWlnbi1rZXlzPjxrZXkgYXBwPSJFTiIgZGIt
aWQ9Ijk1dHByMnRwNnI5eHdvZWE5cmI1d2RzejVkczV4ZWRkdGVldyIgdGltZXN0YW1wPSIxNjgw
MDY5NTExIj42NTg8L2tleT48L2ZvcmVpZ24ta2V5cz48cmVmLXR5cGUgbmFtZT0iSm91cm5hbCBB
cnRpY2xlIj4xNzwvcmVmLXR5cGU+PGNvbnRyaWJ1dG9ycz48YXV0aG9ycz48YXV0aG9yPkdyb2Vu
ZXdlZ2VuLCBQLiBQLjwvYXV0aG9yPjxhdXRob3I+Qm9zbWFucywgTS4gVy4gRy48L2F1dGhvcj48
YXV0aG9yPkJvZXJtYSwgVy4gRy4gVy48L2F1dGhvcj48YXV0aG9yPlNwcmVldXdlbmJlcmcsIFAu
PC9hdXRob3I+PC9hdXRob3JzPjwvY29udHJpYnV0b3JzPjxhdXRoLWFkZHJlc3M+Tml2ZWwgLSBO
ZXRoZXJsYW5kcyBJbnN0aXR1dGUgZm9yIEhlYWx0aCBTZXJ2aWNlcyBSZXNlYXJjaCwgVXRyZWNo
dCwgVGhlIE5ldGhlcmxhbmRzLiYjeEQ7RGVwYXJ0bWVudHMgb2YgU29jaW9sb2d5IGFuZCBIdW1h
biBHZW9ncmFwaHksIFV0cmVjaHQgVW5pdmVyc2l0eSwgVXRyZWNodCwgVGhlIE5ldGhlcmxhbmRz
LjwvYXV0aC1hZGRyZXNzPjx0aXRsZXM+PHRpdGxlPlRoZSBwcmltYXJ5IGNhcmUgd29ya2ZvcmNl
IGluIEV1cm9wZTogYSBjcm9zcy1zZWN0aW9uYWwgaW50ZXJuYXRpb25hbCBjb21wYXJpc29uIG9m
IHJ1cmFsIGFuZCB1cmJhbiBhcmVhcyBhbmQgY2hhbmdlcyBiZXR3ZWVuIDE5OTMgYW5kIDIwMTE8
L3RpdGxlPjxzZWNvbmRhcnktdGl0bGU+RXVyIEogUHVibGljIEhlYWx0aDwvc2Vjb25kYXJ5LXRp
dGxlPjwvdGl0bGVzPjxwZXJpb2RpY2FsPjxmdWxsLXRpdGxlPkV1ciBKIFB1YmxpYyBIZWFsdGg8
L2Z1bGwtdGl0bGU+PC9wZXJpb2RpY2FsPjxwYWdlcz5pdjEyLWl2MTc8L3BhZ2VzPjx2b2x1bWU+
MzA8L3ZvbHVtZT48bnVtYmVyPlN1cHBsXzQ8L251bWJlcj48a2V5d29yZHM+PGtleXdvcmQ+QWR1
bHQ8L2tleXdvcmQ+PGtleXdvcmQ+Q3Jvc3MtU2VjdGlvbmFsIFN0dWRpZXM8L2tleXdvcmQ+PGtl
eXdvcmQ+RGVsaXZlcnkgb2YgSGVhbHRoIENhcmUvKm9yZ2FuaXphdGlvbiAmYW1wOyBhZG1pbmlz
dHJhdGlvbi9zdGF0aXN0aWNzICZhbXA7IG51bWVyaWNhbDwva2V5d29yZD48a2V5d29yZD5kYXRh
PC9rZXl3b3JkPjxrZXl3b3JkPkV1cm9wZTwva2V5d29yZD48a2V5d29yZD5GZW1hbGU8L2tleXdv
cmQ+PGtleXdvcmQ+R2VuZXJhbCBQcmFjdGljZS8qb3JnYW5pemF0aW9uICZhbXA7IGFkbWluaXN0
cmF0aW9uPC9rZXl3b3JkPjxrZXl3b3JkPkdlbmVyYWwgUHJhY3RpdGlvbmVycy8qc3VwcGx5ICZh
bXA7IGRpc3RyaWJ1dGlvbjwva2V5d29yZD48a2V5d29yZD5IZWFsdGggV29ya2ZvcmNlLypzdGF0
aXN0aWNzICZhbXA7IG51bWVyaWNhbCBkYXRhPC9rZXl3b3JkPjxrZXl3b3JkPkh1bWFuczwva2V5
d29yZD48a2V5d29yZD5Kb2IgU2F0aXNmYWN0aW9uPC9rZXl3b3JkPjxrZXl3b3JkPk1hbGU8L2tl
eXdvcmQ+PGtleXdvcmQ+TWlkZGxlIEFnZWQ8L2tleXdvcmQ+PGtleXdvcmQ+UHJpbWFyeSBIZWFs
dGggQ2FyZS9vcmdhbml6YXRpb24gJmFtcDsgYWRtaW5pc3RyYXRpb248L2tleXdvcmQ+PGtleXdv
cmQ+KlByb2Zlc3Npb25hbCBQcmFjdGljZSBMb2NhdGlvbjwva2V5d29yZD48a2V5d29yZD5SdXJh
bCBIZWFsdGg8L2tleXdvcmQ+PGtleXdvcmQ+UnVyYWwgUG9wdWxhdGlvbjwva2V5d29yZD48a2V5
d29yZD5TdXJ2ZXlzIGFuZCBRdWVzdGlvbm5haXJlczwva2V5d29yZD48a2V5d29yZD5VcmJhbiBI
ZWFsdGg8L2tleXdvcmQ+PGtleXdvcmQ+VXJiYW4gUG9wdWxhdGlvbjwva2V5d29yZD48a2V5d29y
ZD5Xb3JrbG9hZDwva2V5d29yZD48L2tleXdvcmRzPjxkYXRlcz48eWVhcj4yMDIwPC95ZWFyPjxw
dWItZGF0ZXM+PGRhdGU+U2VwIDE8L2RhdGU+PC9wdWItZGF0ZXM+PC9kYXRlcz48aXNibj4xMTAx
LTEyNjIgKFByaW50KSYjeEQ7MTEwMS0xMjYyPC9pc2JuPjxhY2Nlc3Npb24tbnVtPjMyODc1MzE2
PC9hY2Nlc3Npb24tbnVtPjx1cmxzPjwvdXJscz48Y3VzdG9tMj5QTUM3NTI2NzY2PC9jdXN0b20y
PjxyZW1vdGUtZGF0YWJhc2UtcHJvdmlkZXI+TkxNPC9yZW1vdGUtZGF0YWJhc2UtcHJvdmlkZXI+
PGxhbmd1YWdlPmVuZzwvbGFuZ3VhZ2U+PC9yZWNvcmQ+PC9DaXRlPjwvRW5kTm90ZT4A
</w:fldData>
        </w:fldChar>
      </w:r>
      <w:r w:rsidR="004654FD">
        <w:instrText xml:space="preserve"> ADDIN EN.CITE </w:instrText>
      </w:r>
      <w:r w:rsidR="004654FD">
        <w:fldChar w:fldCharType="begin">
          <w:fldData xml:space="preserve">PEVuZE5vdGU+PENpdGU+PEF1dGhvcj5FdXJvcGVhbiBDb21taXNzaW9uPC9BdXRob3I+PFllYXI+
MjAyMDwvWWVhcj48UmVjTnVtPjM3PC9SZWNOdW0+PERpc3BsYXlUZXh0PihCZXJ0aGllciwgMjAx
ODsgRXVyb3BlYW4gQ29tbWlzc2lvbiBldCBhbC4sIDIwMjA7IEdyb2VuZXdlZ2VuIGV0IGFsLiwg
MjAyMCk8L0Rpc3BsYXlUZXh0PjxyZWNvcmQ+PHJlYy1udW1iZXI+Mzc8L3JlYy1udW1iZXI+PGZv
cmVpZ24ta2V5cz48a2V5IGFwcD0iRU4iIGRiLWlkPSI5NXRwcjJ0cDZyOXh3b2VhOXJiNXdkc3o1
ZHM1eGVkZHRlZXciIHRpbWVzdGFtcD0iMTY4MDA2OTUxMSI+Mzc8L2tleT48L2ZvcmVpZ24ta2V5
cz48cmVmLXR5cGUgbmFtZT0iUmVwb3J0Ij4yNzwvcmVmLXR5cGU+PGNvbnRyaWJ1dG9ycz48YXV0
aG9ycz48YXV0aG9yPkV1cm9wZWFuIENvbW1pc3Npb24sPC9hdXRob3I+PGF1dGhvcj5EaXJlY3Rv
cmF0ZS1HZW5lcmFsIGZvciBFbXBsb3ltZW50LCwgU29jaWFsIEFmZmFpcnMgYW5kIEluY2x1c2lv
biwgPC9hdXRob3I+PGF1dGhvcj5NY0dyYXRoLCBKPC9hdXRob3I+PC9hdXRob3JzPjx0ZXJ0aWFy
eS1hdXRob3JzPjxhdXRob3I+UHVibGljYXRpb25zIE9mZmljZTwvYXV0aG9yPjwvdGVydGlhcnkt
YXV0aG9ycz48L2NvbnRyaWJ1dG9ycz48dGl0bGVzPjx0aXRsZT5BbmFseXNpcyBvZiBzaG9ydGFn
ZSBhbmQgc3VycGx1cyBvY2N1cGF0aW9ucyAyMDIwPC90aXRsZT48L3RpdGxlcz48ZGF0ZXM+PHll
YXI+MjAyMDwveWVhcj48L2RhdGVzPjx1cmxzPjwvdXJscz48L3JlY29yZD48L0NpdGU+PENpdGU+
PEF1dGhvcj5CZXJ0aGllcjwvQXV0aG9yPjxZZWFyPjIwMTg8L1llYXI+PFJlY051bT4yMDc8L1Jl
Y051bT48cmVjb3JkPjxyZWMtbnVtYmVyPjIwNzwvcmVjLW51bWJlcj48Zm9yZWlnbi1rZXlzPjxr
ZXkgYXBwPSJFTiIgZGItaWQ9Ijk1dHByMnRwNnI5eHdvZWE5cmI1d2RzejVkczV4ZWRkdGVldyIg
dGltZXN0YW1wPSIxNjgwMDY5NTExIj4yMDc8L2tleT48L2ZvcmVpZ24ta2V5cz48cmVmLXR5cGUg
bmFtZT0iV2ViIFBhZ2UiPjEyPC9yZWYtdHlwZT48Y29udHJpYnV0b3JzPjxhdXRob3JzPjxhdXRo
b3I+RMOpYm9yYWggQmVydGhpZXI8L2F1dGhvcj48L2F1dGhvcnM+PC9jb250cmlidXRvcnM+PHRp
dGxlcz48dGl0bGU+RXVyb3BlIGhhcyBhIHNob3J0YWdlIG9mIGRvY3RvcnM8L3RpdGxlPjwvdGl0
bGVzPjxudW1iZXI+MTMuMDEuMjM8L251bWJlcj48ZGF0ZXM+PHllYXI+MjAxODwveWVhcj48cHVi
LWRhdGVzPjxkYXRlPkZyaWRheSAzMCBOb3ZlbWJlciAyMDE4PC9kYXRlPjwvcHViLWRhdGVzPjwv
ZGF0ZXM+PHB1Ymxpc2hlcj5FdXJvcGVhbiBkYXRhIGpvdXJuYWxpc20gbmV0d29yazwvcHVibGlz
aGVyPjx1cmxzPjwvdXJscz48L3JlY29yZD48L0NpdGU+PENpdGU+PEF1dGhvcj5Hcm9lbmV3ZWdl
bjwvQXV0aG9yPjxZZWFyPjIwMjA8L1llYXI+PFJlY051bT42NTg8L1JlY051bT48cmVjb3JkPjxy
ZWMtbnVtYmVyPjY1ODwvcmVjLW51bWJlcj48Zm9yZWlnbi1rZXlzPjxrZXkgYXBwPSJFTiIgZGIt
aWQ9Ijk1dHByMnRwNnI5eHdvZWE5cmI1d2RzejVkczV4ZWRkdGVldyIgdGltZXN0YW1wPSIxNjgw
MDY5NTExIj42NTg8L2tleT48L2ZvcmVpZ24ta2V5cz48cmVmLXR5cGUgbmFtZT0iSm91cm5hbCBB
cnRpY2xlIj4xNzwvcmVmLXR5cGU+PGNvbnRyaWJ1dG9ycz48YXV0aG9ycz48YXV0aG9yPkdyb2Vu
ZXdlZ2VuLCBQLiBQLjwvYXV0aG9yPjxhdXRob3I+Qm9zbWFucywgTS4gVy4gRy48L2F1dGhvcj48
YXV0aG9yPkJvZXJtYSwgVy4gRy4gVy48L2F1dGhvcj48YXV0aG9yPlNwcmVldXdlbmJlcmcsIFAu
PC9hdXRob3I+PC9hdXRob3JzPjwvY29udHJpYnV0b3JzPjxhdXRoLWFkZHJlc3M+Tml2ZWwgLSBO
ZXRoZXJsYW5kcyBJbnN0aXR1dGUgZm9yIEhlYWx0aCBTZXJ2aWNlcyBSZXNlYXJjaCwgVXRyZWNo
dCwgVGhlIE5ldGhlcmxhbmRzLiYjeEQ7RGVwYXJ0bWVudHMgb2YgU29jaW9sb2d5IGFuZCBIdW1h
biBHZW9ncmFwaHksIFV0cmVjaHQgVW5pdmVyc2l0eSwgVXRyZWNodCwgVGhlIE5ldGhlcmxhbmRz
LjwvYXV0aC1hZGRyZXNzPjx0aXRsZXM+PHRpdGxlPlRoZSBwcmltYXJ5IGNhcmUgd29ya2ZvcmNl
IGluIEV1cm9wZTogYSBjcm9zcy1zZWN0aW9uYWwgaW50ZXJuYXRpb25hbCBjb21wYXJpc29uIG9m
IHJ1cmFsIGFuZCB1cmJhbiBhcmVhcyBhbmQgY2hhbmdlcyBiZXR3ZWVuIDE5OTMgYW5kIDIwMTE8
L3RpdGxlPjxzZWNvbmRhcnktdGl0bGU+RXVyIEogUHVibGljIEhlYWx0aDwvc2Vjb25kYXJ5LXRp
dGxlPjwvdGl0bGVzPjxwZXJpb2RpY2FsPjxmdWxsLXRpdGxlPkV1ciBKIFB1YmxpYyBIZWFsdGg8
L2Z1bGwtdGl0bGU+PC9wZXJpb2RpY2FsPjxwYWdlcz5pdjEyLWl2MTc8L3BhZ2VzPjx2b2x1bWU+
MzA8L3ZvbHVtZT48bnVtYmVyPlN1cHBsXzQ8L251bWJlcj48a2V5d29yZHM+PGtleXdvcmQ+QWR1
bHQ8L2tleXdvcmQ+PGtleXdvcmQ+Q3Jvc3MtU2VjdGlvbmFsIFN0dWRpZXM8L2tleXdvcmQ+PGtl
eXdvcmQ+RGVsaXZlcnkgb2YgSGVhbHRoIENhcmUvKm9yZ2FuaXphdGlvbiAmYW1wOyBhZG1pbmlz
dHJhdGlvbi9zdGF0aXN0aWNzICZhbXA7IG51bWVyaWNhbDwva2V5d29yZD48a2V5d29yZD5kYXRh
PC9rZXl3b3JkPjxrZXl3b3JkPkV1cm9wZTwva2V5d29yZD48a2V5d29yZD5GZW1hbGU8L2tleXdv
cmQ+PGtleXdvcmQ+R2VuZXJhbCBQcmFjdGljZS8qb3JnYW5pemF0aW9uICZhbXA7IGFkbWluaXN0
cmF0aW9uPC9rZXl3b3JkPjxrZXl3b3JkPkdlbmVyYWwgUHJhY3RpdGlvbmVycy8qc3VwcGx5ICZh
bXA7IGRpc3RyaWJ1dGlvbjwva2V5d29yZD48a2V5d29yZD5IZWFsdGggV29ya2ZvcmNlLypzdGF0
aXN0aWNzICZhbXA7IG51bWVyaWNhbCBkYXRhPC9rZXl3b3JkPjxrZXl3b3JkPkh1bWFuczwva2V5
d29yZD48a2V5d29yZD5Kb2IgU2F0aXNmYWN0aW9uPC9rZXl3b3JkPjxrZXl3b3JkPk1hbGU8L2tl
eXdvcmQ+PGtleXdvcmQ+TWlkZGxlIEFnZWQ8L2tleXdvcmQ+PGtleXdvcmQ+UHJpbWFyeSBIZWFs
dGggQ2FyZS9vcmdhbml6YXRpb24gJmFtcDsgYWRtaW5pc3RyYXRpb248L2tleXdvcmQ+PGtleXdv
cmQ+KlByb2Zlc3Npb25hbCBQcmFjdGljZSBMb2NhdGlvbjwva2V5d29yZD48a2V5d29yZD5SdXJh
bCBIZWFsdGg8L2tleXdvcmQ+PGtleXdvcmQ+UnVyYWwgUG9wdWxhdGlvbjwva2V5d29yZD48a2V5
d29yZD5TdXJ2ZXlzIGFuZCBRdWVzdGlvbm5haXJlczwva2V5d29yZD48a2V5d29yZD5VcmJhbiBI
ZWFsdGg8L2tleXdvcmQ+PGtleXdvcmQ+VXJiYW4gUG9wdWxhdGlvbjwva2V5d29yZD48a2V5d29y
ZD5Xb3JrbG9hZDwva2V5d29yZD48L2tleXdvcmRzPjxkYXRlcz48eWVhcj4yMDIwPC95ZWFyPjxw
dWItZGF0ZXM+PGRhdGU+U2VwIDE8L2RhdGU+PC9wdWItZGF0ZXM+PC9kYXRlcz48aXNibj4xMTAx
LTEyNjIgKFByaW50KSYjeEQ7MTEwMS0xMjYyPC9pc2JuPjxhY2Nlc3Npb24tbnVtPjMyODc1MzE2
PC9hY2Nlc3Npb24tbnVtPjx1cmxzPjwvdXJscz48Y3VzdG9tMj5QTUM3NTI2NzY2PC9jdXN0b20y
PjxyZW1vdGUtZGF0YWJhc2UtcHJvdmlkZXI+TkxNPC9yZW1vdGUtZGF0YWJhc2UtcHJvdmlkZXI+
PGxhbmd1YWdlPmVuZzwvbGFuZ3VhZ2U+PC9yZWNvcmQ+PC9DaXRlPjwvRW5kTm90ZT4A
</w:fldData>
        </w:fldChar>
      </w:r>
      <w:r w:rsidR="004654FD">
        <w:instrText xml:space="preserve"> ADDIN EN.CITE.DATA </w:instrText>
      </w:r>
      <w:r w:rsidR="004654FD">
        <w:fldChar w:fldCharType="end"/>
      </w:r>
      <w:r>
        <w:fldChar w:fldCharType="separate"/>
      </w:r>
      <w:r w:rsidR="004654FD">
        <w:rPr>
          <w:noProof/>
        </w:rPr>
        <w:t>(Berthier, 2018; European Commission et al., 2020; Groenewegen et al., 2020)</w:t>
      </w:r>
      <w:r>
        <w:fldChar w:fldCharType="end"/>
      </w:r>
      <w:r w:rsidRPr="00FF70EA">
        <w:t xml:space="preserve">. Mer bruk av annet personell på legekontoret, tverrfaglig samarbeid og tiltak med mål om reduksjon av arbeidsbelastningen på </w:t>
      </w:r>
      <w:r w:rsidR="00931A5F" w:rsidRPr="00856434">
        <w:t>allmenn</w:t>
      </w:r>
      <w:r w:rsidRPr="00856434">
        <w:t>leger</w:t>
      </w:r>
      <w:r w:rsidRPr="00FF70EA">
        <w:t xml:space="preserve"> er viktige elementer i nasjonale strategier </w:t>
      </w:r>
      <w:r w:rsidR="00CD694C">
        <w:t>og reformer i landene.</w:t>
      </w:r>
    </w:p>
    <w:p w14:paraId="3611B0E7" w14:textId="77777777" w:rsidR="00D9107F" w:rsidRDefault="00841875" w:rsidP="00441F94">
      <w:pPr>
        <w:jc w:val="both"/>
      </w:pPr>
      <w:r w:rsidRPr="00FF70EA">
        <w:t xml:space="preserve">En rapport fra Vårdanalys i Sverige sammenligner primærhelsetjenesten i Europeiske land i 2017 og konkluderer med at utviklingen går mot </w:t>
      </w:r>
      <w:r w:rsidRPr="442B7D7D">
        <w:t>større</w:t>
      </w:r>
      <w:r w:rsidRPr="00856434">
        <w:t xml:space="preserve"> teambaserte organisasjoner </w:t>
      </w:r>
      <w:r w:rsidR="00E94EA5">
        <w:fldChar w:fldCharType="begin"/>
      </w:r>
      <w:r w:rsidR="004654FD">
        <w:instrText xml:space="preserve"> ADDIN EN.CITE &lt;EndNote&gt;&lt;Cite&gt;&lt;Author&gt;Vårdanalys&lt;/Author&gt;&lt;Year&gt;2017&lt;/Year&gt;&lt;RecNum&gt;660&lt;/RecNum&gt;&lt;DisplayText&gt;(Vårdanalys, 2017)&lt;/DisplayText&gt;&lt;record&gt;&lt;rec-number&gt;660&lt;/rec-number&gt;&lt;foreign-keys&gt;&lt;key app="EN" db-id="95tpr2tp6r9xwoea9rb5wdsz5ds5xeddteew" timestamp="1680069511"&gt;660&lt;/key&gt;&lt;/foreign-keys&gt;&lt;ref-type name="Report"&gt;27&lt;/ref-type&gt;&lt;contributors&gt;&lt;authors&gt;&lt;author&gt;Vårdanalys&lt;/author&gt;&lt;/authors&gt;&lt;/contributors&gt;&lt;titles&gt;&lt;title&gt;Primärvården i Europa : En översikt av finansiering, struktur och måluppfyllelse&lt;/title&gt;&lt;/titles&gt;&lt;number&gt;PM 2017:4&lt;/number&gt;&lt;dates&gt;&lt;year&gt;2017&lt;/year&gt;&lt;/dates&gt;&lt;pub-location&gt;Stockholm&lt;/pub-location&gt;&lt;publisher&gt;Vårdanalys&lt;/publisher&gt;&lt;urls&gt;&lt;/urls&gt;&lt;/record&gt;&lt;/Cite&gt;&lt;/EndNote&gt;</w:instrText>
      </w:r>
      <w:r w:rsidR="00E94EA5">
        <w:fldChar w:fldCharType="separate"/>
      </w:r>
      <w:r w:rsidR="00E94EA5">
        <w:rPr>
          <w:noProof/>
        </w:rPr>
        <w:t>(Vårdanalys, 2017)</w:t>
      </w:r>
      <w:r w:rsidR="00E94EA5">
        <w:fldChar w:fldCharType="end"/>
      </w:r>
      <w:r w:rsidR="00180EBF" w:rsidRPr="00856434">
        <w:t>.</w:t>
      </w:r>
    </w:p>
    <w:p w14:paraId="59E38E0E" w14:textId="56091905" w:rsidR="00CA1A44" w:rsidRPr="006A6038" w:rsidRDefault="00CA1A44" w:rsidP="00775632">
      <w:pPr>
        <w:pStyle w:val="Overskrift2"/>
        <w:rPr>
          <w:rStyle w:val="Overskrift2Tegn"/>
          <w:b/>
          <w:color w:val="2A3652"/>
        </w:rPr>
      </w:pPr>
      <w:bookmarkStart w:id="1385" w:name="_Toc127633191"/>
      <w:bookmarkStart w:id="1386" w:name="_Toc127864477"/>
      <w:bookmarkStart w:id="1387" w:name="_Toc128032499"/>
      <w:bookmarkStart w:id="1388" w:name="_Toc128238480"/>
      <w:bookmarkStart w:id="1389" w:name="_Toc128741960"/>
      <w:bookmarkStart w:id="1390" w:name="_Toc128744555"/>
      <w:bookmarkStart w:id="1391" w:name="_Toc128744774"/>
      <w:bookmarkStart w:id="1392" w:name="_Toc129630271"/>
      <w:bookmarkStart w:id="1393" w:name="_Toc130763791"/>
      <w:bookmarkStart w:id="1394" w:name="_Toc130766686"/>
      <w:bookmarkStart w:id="1395" w:name="_Toc130932086"/>
      <w:bookmarkStart w:id="1396" w:name="_Toc130934377"/>
      <w:bookmarkStart w:id="1397" w:name="_Toc130983436"/>
      <w:bookmarkStart w:id="1398" w:name="_Toc130983785"/>
      <w:bookmarkStart w:id="1399" w:name="_Toc131062111"/>
      <w:bookmarkStart w:id="1400" w:name="_Toc131062365"/>
      <w:bookmarkStart w:id="1401" w:name="_Toc131062626"/>
      <w:bookmarkStart w:id="1402" w:name="_Toc131062879"/>
      <w:bookmarkStart w:id="1403" w:name="_Toc131063647"/>
      <w:bookmarkStart w:id="1404" w:name="_Toc131064068"/>
      <w:bookmarkStart w:id="1405" w:name="_Toc131238362"/>
      <w:bookmarkStart w:id="1406" w:name="_Toc131279393"/>
      <w:bookmarkStart w:id="1407" w:name="_Toc131286805"/>
      <w:bookmarkStart w:id="1408" w:name="_Toc131281215"/>
      <w:bookmarkStart w:id="1409" w:name="_Toc131317754"/>
      <w:bookmarkStart w:id="1410" w:name="_Toc132536952"/>
      <w:bookmarkEnd w:id="1345"/>
      <w:r w:rsidRPr="006A6038">
        <w:rPr>
          <w:rStyle w:val="Overskrift2Tegn"/>
          <w:b/>
          <w:color w:val="2A3652"/>
        </w:rPr>
        <w:t>Om helprivate allmennlegetjenester</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09CD9C56" w14:textId="345BE699" w:rsidR="00CA1A44" w:rsidRDefault="00CA1A44" w:rsidP="00FC1E81">
      <w:pPr>
        <w:jc w:val="both"/>
      </w:pPr>
      <w:r>
        <w:t xml:space="preserve">Private tjenesteytere leverer betydelige volum av helsetjenester i Norge. Det meste av dette er offentlig finansierte helsetjenester, som for eksempel næringsdrivende fastleger </w:t>
      </w:r>
      <w:r>
        <w:fldChar w:fldCharType="begin"/>
      </w:r>
      <w:r w:rsidR="00856689">
        <w:instrText xml:space="preserve"> ADDIN EN.CITE &lt;EndNote&gt;&lt;Cite&gt;&lt;Author&gt;Jakobsen&lt;/Author&gt;&lt;Year&gt;2022&lt;/Year&gt;&lt;RecNum&gt;324&lt;/RecNum&gt;&lt;DisplayText&gt;(Jakobsen et al., 2022)&lt;/DisplayText&gt;&lt;record&gt;&lt;rec-number&gt;324&lt;/rec-number&gt;&lt;foreign-keys&gt;&lt;key app="EN" db-id="95tpr2tp6r9xwoea9rb5wdsz5ds5xeddteew" timestamp="1680069511"&gt;324&lt;/key&gt;&lt;/foreign-keys&gt;&lt;ref-type name="Report"&gt;27&lt;/ref-type&gt;&lt;contributors&gt;&lt;authors&gt;&lt;author&gt;Jakobsen, E. W.,&lt;/author&gt;&lt;author&gt;Lind, L. H.,&lt;/author&gt;&lt;author&gt;Lading, L.,&lt;/author&gt;&lt;author&gt;Sjule, H.,&lt;/author&gt;&lt;author&gt;Skogli, E.&lt;/author&gt;&lt;/authors&gt;&lt;tertiary-authors&gt;&lt;author&gt;Menon Economics,&lt;/author&gt;&lt;/tertiary-authors&gt;&lt;/contributors&gt;&lt;titles&gt;&lt;title&gt;Helsenæringens verdi 2022&lt;/title&gt;&lt;secondary-title&gt;Rapport&lt;/secondary-title&gt;&lt;/titles&gt;&lt;number&gt;57/2022&lt;/number&gt;&lt;dates&gt;&lt;year&gt;2022&lt;/year&gt;&lt;/dates&gt;&lt;pub-location&gt;Oslo&lt;/pub-location&gt;&lt;urls&gt;&lt;related-urls&gt;&lt;url&gt;https://www.menon.no/wp-content/uploads/2022-57-Helsenaeringens-verdi-2022.pdf&lt;/url&gt;&lt;/related-urls&gt;&lt;/urls&gt;&lt;/record&gt;&lt;/Cite&gt;&lt;/EndNote&gt;</w:instrText>
      </w:r>
      <w:r>
        <w:fldChar w:fldCharType="separate"/>
      </w:r>
      <w:r w:rsidR="00856689">
        <w:rPr>
          <w:noProof/>
        </w:rPr>
        <w:t>(Jakobsen et al., 2022)</w:t>
      </w:r>
      <w:r>
        <w:fldChar w:fldCharType="end"/>
      </w:r>
      <w:r>
        <w:t>. De siste årene har det vokst fram flere aktører som tilbyr helprivate allmennlegetjenester</w:t>
      </w:r>
      <w:r w:rsidR="006B5B51">
        <w:t>,</w:t>
      </w:r>
      <w:r>
        <w:t xml:space="preserve"> uten offentlig finansiering.</w:t>
      </w:r>
    </w:p>
    <w:p w14:paraId="2FF33C47" w14:textId="3AE7570B" w:rsidR="00CA1A44" w:rsidRDefault="00CA1A44" w:rsidP="00FC1E81">
      <w:pPr>
        <w:jc w:val="both"/>
      </w:pPr>
      <w:r>
        <w:t>Det er fri etableringsrett for helprivate helsetjenester i Norge. Helsetjenester som tilbys av private virksomheter helt uten avtale med det offentlige, er imidlertid omfattet av krav til forsvarlighet, tilsyn og krav om autorisert helsepersonell i helselovgivningen mv. Helsepersonelloven stiller krav til helsepersonells yrkesutøvelse i kapittel 2, bl</w:t>
      </w:r>
      <w:r w:rsidR="006B5B51">
        <w:t xml:space="preserve">ant annet </w:t>
      </w:r>
      <w:r>
        <w:t>om forsvarlighet, bruk av medhjelpere og informasjon til pasienter m.m. Disse bestemmelsene gjelder også helsepersonell i privat sektor</w:t>
      </w:r>
      <w:r w:rsidR="00560F14">
        <w:t xml:space="preserve"> </w:t>
      </w:r>
      <w:r w:rsidR="00D078E3">
        <w:fldChar w:fldCharType="begin"/>
      </w:r>
      <w:r w:rsidR="004654FD">
        <w:instrText xml:space="preserve"> ADDIN EN.CITE &lt;EndNote&gt;&lt;Cite&gt;&lt;Author&gt;Stortingets utredningsseksjon&lt;/Author&gt;&lt;Year&gt;2022&lt;/Year&gt;&lt;RecNum&gt;994&lt;/RecNum&gt;&lt;DisplayText&gt;(Stortingets utredningsseksjon, 2022)&lt;/DisplayText&gt;&lt;record&gt;&lt;rec-number&gt;994&lt;/rec-number&gt;&lt;foreign-keys&gt;&lt;key app="EN" db-id="95tpr2tp6r9xwoea9rb5wdsz5ds5xeddteew" timestamp="1680249357"&gt;994&lt;/key&gt;&lt;/foreign-keys&gt;&lt;ref-type name="Report"&gt;27&lt;/ref-type&gt;&lt;contributors&gt;&lt;authors&gt;&lt;author&gt;Stortingets utredningsseksjon,&lt;/author&gt;&lt;/authors&gt;&lt;/contributors&gt;&lt;titles&gt;&lt;title&gt;Etableringskontroll med private helsetjenester&lt;/title&gt;&lt;/titles&gt;&lt;dates&gt;&lt;year&gt;2022&lt;/year&gt;&lt;/dates&gt;&lt;publisher&gt;Stortinget&lt;/publisher&gt;&lt;urls&gt;&lt;/urls&gt;&lt;/record&gt;&lt;/Cite&gt;&lt;/EndNote&gt;</w:instrText>
      </w:r>
      <w:r w:rsidR="00D078E3">
        <w:fldChar w:fldCharType="separate"/>
      </w:r>
      <w:r w:rsidR="00CE2F35">
        <w:rPr>
          <w:noProof/>
        </w:rPr>
        <w:t>(Stortingets utredningsseksjon, 2022)</w:t>
      </w:r>
      <w:r w:rsidR="00D078E3">
        <w:fldChar w:fldCharType="end"/>
      </w:r>
      <w:r>
        <w:t>.</w:t>
      </w:r>
      <w:r w:rsidR="00D9107F" w:rsidRPr="00D9107F">
        <w:rPr>
          <w:rStyle w:val="skrift-hevet"/>
        </w:rPr>
        <w:t xml:space="preserve"> </w:t>
      </w:r>
      <w:r>
        <w:t>Dessuten skal det meldes fra til kommunen om oppstart av virksomheten.</w:t>
      </w:r>
    </w:p>
    <w:p w14:paraId="215C29A4" w14:textId="7AE8E59D" w:rsidR="00CA1A44" w:rsidRDefault="00CA1A44" w:rsidP="00FC1E81">
      <w:pPr>
        <w:jc w:val="both"/>
      </w:pPr>
      <w:r>
        <w:t>Det stilles ulike krav til allmennlegenes kompetanse</w:t>
      </w:r>
      <w:r w:rsidR="006B5B51">
        <w:t>,</w:t>
      </w:r>
      <w:r>
        <w:t xml:space="preserve"> ut fra om allmennlegetjenestene som gis er helprivate eller kommunale. Se nærmere omtale i</w:t>
      </w:r>
      <w:r w:rsidR="006B5B51">
        <w:t xml:space="preserve"> </w:t>
      </w:r>
      <w:r w:rsidR="006B5B51" w:rsidRPr="00A77B47">
        <w:t>kapittel</w:t>
      </w:r>
      <w:r w:rsidRPr="00A77B47">
        <w:t xml:space="preserve"> </w:t>
      </w:r>
      <w:r w:rsidR="00660F60" w:rsidRPr="00A77B47">
        <w:t>9.</w:t>
      </w:r>
      <w:r w:rsidR="00F006B6">
        <w:t>2</w:t>
      </w:r>
      <w:r w:rsidR="00660F60" w:rsidRPr="00A77B47">
        <w:t>.1.</w:t>
      </w:r>
    </w:p>
    <w:p w14:paraId="5B411F80" w14:textId="77777777" w:rsidR="00D9107F" w:rsidRDefault="00CA1A44" w:rsidP="00FC1E81">
      <w:pPr>
        <w:jc w:val="both"/>
      </w:pPr>
      <w:r>
        <w:t>Ekspertutvalget er ikke kjent med utfyllende statistikk om omfanget av slike tjenester. Helsedirektoratet har fått i oppdrag fra Helse- og omsorgsdepartementet å dokumentere status og utvikling i den helprivate allmennlegetjenesten</w:t>
      </w:r>
      <w:r w:rsidR="00560F14">
        <w:t xml:space="preserve"> </w:t>
      </w:r>
      <w:r w:rsidR="00D078E3">
        <w:fldChar w:fldCharType="begin"/>
      </w:r>
      <w:r w:rsidR="004654FD">
        <w:instrText xml:space="preserve"> ADDIN EN.CITE &lt;EndNote&gt;&lt;Cite&gt;&lt;Author&gt;Helse- og omsorgsdepartementet&lt;/Author&gt;&lt;Year&gt;2023&lt;/Year&gt;&lt;RecNum&gt;995&lt;/RecNum&gt;&lt;DisplayText&gt;(Helse- og omsorgsdepartementet, 2023d)&lt;/DisplayText&gt;&lt;record&gt;&lt;rec-number&gt;995&lt;/rec-number&gt;&lt;foreign-keys&gt;&lt;key app="EN" db-id="95tpr2tp6r9xwoea9rb5wdsz5ds5xeddteew" timestamp="1680249502"&gt;995&lt;/key&gt;&lt;/foreign-keys&gt;&lt;ref-type name="Government Document"&gt;46&lt;/ref-type&gt;&lt;contributors&gt;&lt;authors&gt;&lt;author&gt;Helse- og omsorgsdepartementet,&lt;/author&gt;&lt;/authors&gt;&lt;/contributors&gt;&lt;titles&gt;&lt;title&gt;Tildelingsbrev til Helsedirektoratet for 2023. &lt;/title&gt;&lt;/titles&gt;&lt;dates&gt;&lt;year&gt;2023&lt;/year&gt;&lt;/dates&gt;&lt;publisher&gt;Helse- og omsorgsdepartementet,&lt;/publisher&gt;&lt;urls&gt;&lt;/urls&gt;&lt;/record&gt;&lt;/Cite&gt;&lt;/EndNote&gt;</w:instrText>
      </w:r>
      <w:r w:rsidR="00D078E3">
        <w:fldChar w:fldCharType="separate"/>
      </w:r>
      <w:r w:rsidR="000F5FDA">
        <w:rPr>
          <w:noProof/>
        </w:rPr>
        <w:t>(Helse- og omsorgsdepartementet, 2023d)</w:t>
      </w:r>
      <w:r w:rsidR="00D078E3">
        <w:fldChar w:fldCharType="end"/>
      </w:r>
      <w:r>
        <w:t>. Endelig leveranse foreligger ikke ennå, men ekspertutvalget har fått tilgang til enkelte foreløpige funn.</w:t>
      </w:r>
    </w:p>
    <w:p w14:paraId="541257C1" w14:textId="651C3CCB" w:rsidR="00CA1A44" w:rsidRDefault="00CA1A44" w:rsidP="00FC1E81">
      <w:pPr>
        <w:jc w:val="both"/>
      </w:pPr>
      <w:r>
        <w:t xml:space="preserve">Alle som yter helsehjelp utenfor den offentlige helsetjenesten, har plikt etter pasientskadeloven </w:t>
      </w:r>
      <w:r w:rsidR="00D9107F">
        <w:t>§ 8</w:t>
      </w:r>
      <w:r>
        <w:t xml:space="preserve"> til å melde fra om sin virksomhet til Norsk pasientskadeerstatning (NPE). Av hensyn til </w:t>
      </w:r>
      <w:r>
        <w:lastRenderedPageBreak/>
        <w:t>innkrevingen av tilskudd, har NPE bygget opp et register over private tjenesteytere, som ikke finansieres av det offentlige gjennom driftstilskudd eller kjøp av tjenester. Melding skal sendes til NPE om antall og sammensetning av profesjoner og årsverk</w:t>
      </w:r>
      <w:r w:rsidR="00560F14">
        <w:t xml:space="preserve"> </w:t>
      </w:r>
      <w:r w:rsidR="00D078E3">
        <w:fldChar w:fldCharType="begin"/>
      </w:r>
      <w:r w:rsidR="004654FD">
        <w:instrText xml:space="preserve"> ADDIN EN.CITE &lt;EndNote&gt;&lt;Cite&gt;&lt;Author&gt;Stortingets utredningsseksjon&lt;/Author&gt;&lt;Year&gt;2022&lt;/Year&gt;&lt;RecNum&gt;994&lt;/RecNum&gt;&lt;DisplayText&gt;(Stortingets utredningsseksjon, 2022)&lt;/DisplayText&gt;&lt;record&gt;&lt;rec-number&gt;994&lt;/rec-number&gt;&lt;foreign-keys&gt;&lt;key app="EN" db-id="95tpr2tp6r9xwoea9rb5wdsz5ds5xeddteew" timestamp="1680249357"&gt;994&lt;/key&gt;&lt;/foreign-keys&gt;&lt;ref-type name="Report"&gt;27&lt;/ref-type&gt;&lt;contributors&gt;&lt;authors&gt;&lt;author&gt;Stortingets utredningsseksjon,&lt;/author&gt;&lt;/authors&gt;&lt;/contributors&gt;&lt;titles&gt;&lt;title&gt;Etableringskontroll med private helsetjenester&lt;/title&gt;&lt;/titles&gt;&lt;dates&gt;&lt;year&gt;2022&lt;/year&gt;&lt;/dates&gt;&lt;publisher&gt;Stortinget&lt;/publisher&gt;&lt;urls&gt;&lt;/urls&gt;&lt;/record&gt;&lt;/Cite&gt;&lt;/EndNote&gt;</w:instrText>
      </w:r>
      <w:r w:rsidR="00D078E3">
        <w:fldChar w:fldCharType="separate"/>
      </w:r>
      <w:r w:rsidR="00CE2F35">
        <w:rPr>
          <w:noProof/>
        </w:rPr>
        <w:t>(Stortingets utredningsseksjon, 2022)</w:t>
      </w:r>
      <w:r w:rsidR="00D078E3">
        <w:fldChar w:fldCharType="end"/>
      </w:r>
      <w:r>
        <w:t>.</w:t>
      </w:r>
    </w:p>
    <w:p w14:paraId="5EBD752E" w14:textId="05BFA7FF" w:rsidR="00CA1A44" w:rsidRDefault="00CA1A44" w:rsidP="00FC1E81">
      <w:pPr>
        <w:jc w:val="both"/>
      </w:pPr>
      <w:r>
        <w:t xml:space="preserve">Det er vanskelig å identifisere allmennlegeårsverkene presist i dataene fra NPE. Det er derfor betydelig usikkerhet i anslagene. Ut fra foreløpig informasjon </w:t>
      </w:r>
      <w:r w:rsidR="006B5B51">
        <w:t>som</w:t>
      </w:r>
      <w:r>
        <w:t xml:space="preserve"> Helsedirektoratet har innhentet, lå antall årsverk i 2022 </w:t>
      </w:r>
      <w:r w:rsidR="006B5B51">
        <w:t xml:space="preserve">på </w:t>
      </w:r>
      <w:r>
        <w:t>mellom 86 og 235. Antall årsverk innenfor helprivat allmennlegetjeneste er svært lavt</w:t>
      </w:r>
      <w:r w:rsidR="006B5B51">
        <w:t>,</w:t>
      </w:r>
      <w:r>
        <w:t xml:space="preserve"> sammenliknet med antall fastleger, men veksten i helprivate allmennlegeårsverk har vært sterkere enn veksten i antall fastleger. </w:t>
      </w:r>
      <w:r w:rsidR="003B0B96">
        <w:t>Foreløpige</w:t>
      </w:r>
      <w:r>
        <w:t xml:space="preserve"> resultater fra Helsedirektoratets kartlegging antyder at antall helprivate årsverk har økt med 50</w:t>
      </w:r>
      <w:r w:rsidR="006B5B51">
        <w:t>–</w:t>
      </w:r>
      <w:r>
        <w:t>70 prosent i perioden 2009</w:t>
      </w:r>
      <w:r w:rsidR="006B5B51">
        <w:t>–</w:t>
      </w:r>
      <w:r>
        <w:t>2022, mens antall fastleger har økt med 25 prosent.</w:t>
      </w:r>
    </w:p>
    <w:p w14:paraId="25455F65" w14:textId="77777777" w:rsidR="00CA1A44" w:rsidRDefault="00CA1A44" w:rsidP="00FC1E81">
      <w:pPr>
        <w:jc w:val="both"/>
      </w:pPr>
      <w:r>
        <w:t>De helprivate leverandørene av allmennlegetjenester tilbyr både e-konsultasjoner og vanlige fysiske konsultasjoner. Noen leger er ansatt i virksomhetene, andre er næringsdrivende innenfor virksomhetene. I tillegg er det helprivate tilbydere av legevakttjenester.</w:t>
      </w:r>
    </w:p>
    <w:p w14:paraId="11E2BAED" w14:textId="77777777" w:rsidR="00D9107F" w:rsidRDefault="00CA1A44" w:rsidP="00FC1E81">
      <w:pPr>
        <w:jc w:val="both"/>
      </w:pPr>
      <w:r>
        <w:t xml:space="preserve">Helprivate allmennlegetjenester mottar ingen direkte offentlig støtte. De får derfor verken basistilskudd eller takstrefusjoner. </w:t>
      </w:r>
      <w:r w:rsidR="00561D63">
        <w:t>Inntektskildene</w:t>
      </w:r>
      <w:r>
        <w:t xml:space="preserve"> er først og fremst pasientbetaling og utbetaling fra private forsikringer. De helprivate tjenestene har imidlertid indirekte tilgang til offentlige finansieringskilder, ved at de kan forskrive legemidler på blå</w:t>
      </w:r>
      <w:r w:rsidR="005B76AB">
        <w:t xml:space="preserve"> </w:t>
      </w:r>
      <w:r>
        <w:t xml:space="preserve">resept og henvise til offentlig finansierte </w:t>
      </w:r>
      <w:r w:rsidR="00491779">
        <w:t>helse</w:t>
      </w:r>
      <w:r>
        <w:t>tjenester. På denne måten vil en innbygger kunne få en henvisning til spesialisthelsetjenester uten å måtte gå gjennom portv</w:t>
      </w:r>
      <w:r w:rsidR="00357AAF">
        <w:t>a</w:t>
      </w:r>
      <w:r>
        <w:t xml:space="preserve">ktrollen med tilhørende prioriteringer som fastlegeordningen er ment å ivareta. </w:t>
      </w:r>
      <w:r w:rsidR="006B5B51">
        <w:t>Dette vil</w:t>
      </w:r>
      <w:r>
        <w:t xml:space="preserve"> kunne utfordre målet om likeverdige helsetjenester.</w:t>
      </w:r>
    </w:p>
    <w:p w14:paraId="5B2EFB28" w14:textId="77777777" w:rsidR="00D9107F" w:rsidRDefault="00CA1A44" w:rsidP="00FC1E81">
      <w:pPr>
        <w:jc w:val="both"/>
      </w:pPr>
      <w:r>
        <w:t>Det finnes ikke registerdata om aktiviteten hos de helprivate virksomhetene. Det betyr at det ikke finnes tilgjengelig informasjon om omfang av aktivitet og hvilke typer tjenester de leverer. Det finnes heller ikke registerdata om hvilke grupper av innbyggere som benytter seg av tjenestene.</w:t>
      </w:r>
    </w:p>
    <w:p w14:paraId="491E9A38" w14:textId="77777777" w:rsidR="00D9107F" w:rsidRDefault="00CA1A44" w:rsidP="00FC1E81">
      <w:pPr>
        <w:jc w:val="both"/>
      </w:pPr>
      <w:r>
        <w:t xml:space="preserve">Ekspertutvalget anser det som viktig at kunnskapen om </w:t>
      </w:r>
      <w:r w:rsidR="0072390A">
        <w:t>helprivate allmennlege</w:t>
      </w:r>
      <w:r>
        <w:t>tjeneste</w:t>
      </w:r>
      <w:r w:rsidR="00294104">
        <w:t>r</w:t>
      </w:r>
      <w:r>
        <w:t xml:space="preserve"> blir langt bedre</w:t>
      </w:r>
      <w:r w:rsidR="006B5B51">
        <w:t>,</w:t>
      </w:r>
      <w:r>
        <w:t xml:space="preserve"> for å kunne ha oversikt over aktivitet, og for å sikre likeverdige helsetjenester i Norge framover. Ekspertutvalget anbefaler at det innføres krav til helprivate allmennlegetjenester om rapportering om virksomheten og aktivitet</w:t>
      </w:r>
      <w:r w:rsidR="006B5B51">
        <w:t>en</w:t>
      </w:r>
      <w:r>
        <w:t xml:space="preserve"> til nasjonale registre.</w:t>
      </w:r>
    </w:p>
    <w:p w14:paraId="74F43070" w14:textId="346606C6" w:rsidR="00C13F33" w:rsidRPr="00C13F33" w:rsidRDefault="4F523F86" w:rsidP="00775632">
      <w:pPr>
        <w:pStyle w:val="Overskrift2"/>
      </w:pPr>
      <w:bookmarkStart w:id="1411" w:name="_Toc130763792"/>
      <w:bookmarkStart w:id="1412" w:name="_Toc130766687"/>
      <w:bookmarkStart w:id="1413" w:name="_Toc130932087"/>
      <w:bookmarkStart w:id="1414" w:name="_Toc130934378"/>
      <w:bookmarkStart w:id="1415" w:name="_Toc130983437"/>
      <w:bookmarkStart w:id="1416" w:name="_Toc130983786"/>
      <w:bookmarkStart w:id="1417" w:name="_Toc131062112"/>
      <w:bookmarkStart w:id="1418" w:name="_Toc131062366"/>
      <w:bookmarkStart w:id="1419" w:name="_Toc131062627"/>
      <w:bookmarkStart w:id="1420" w:name="_Toc131062880"/>
      <w:bookmarkStart w:id="1421" w:name="_Toc131063648"/>
      <w:bookmarkStart w:id="1422" w:name="_Toc131064069"/>
      <w:bookmarkStart w:id="1423" w:name="_Toc131238363"/>
      <w:bookmarkStart w:id="1424" w:name="_Toc131279394"/>
      <w:bookmarkStart w:id="1425" w:name="_Toc131286806"/>
      <w:bookmarkStart w:id="1426" w:name="_Toc131281216"/>
      <w:bookmarkStart w:id="1427" w:name="_Toc131317755"/>
      <w:bookmarkStart w:id="1428" w:name="_Toc132536953"/>
      <w:r>
        <w:t>S</w:t>
      </w:r>
      <w:r w:rsidR="44218CA6">
        <w:t xml:space="preserve">ørge-for-ansvaret og </w:t>
      </w:r>
      <w:bookmarkEnd w:id="1077"/>
      <w:r w:rsidR="44218CA6">
        <w:t>finansiering</w:t>
      </w:r>
      <w:r w:rsidR="6DC280CD">
        <w:t xml:space="preserve"> av fastlegetjenesten</w:t>
      </w:r>
      <w:bookmarkEnd w:id="1078"/>
      <w:bookmarkEnd w:id="1079"/>
      <w:bookmarkEnd w:id="1080"/>
      <w:bookmarkEnd w:id="1081"/>
      <w:bookmarkEnd w:id="1082"/>
      <w:bookmarkEnd w:id="1083"/>
      <w:bookmarkEnd w:id="1084"/>
      <w:bookmarkEnd w:id="1085"/>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7A3A87B2" w14:textId="5D207EE1" w:rsidR="007775E2" w:rsidRDefault="007775E2" w:rsidP="00775632">
      <w:pPr>
        <w:pStyle w:val="Overskrift3"/>
      </w:pPr>
      <w:bookmarkStart w:id="1429" w:name="_Toc130763793"/>
      <w:bookmarkStart w:id="1430" w:name="_Toc130766688"/>
      <w:bookmarkStart w:id="1431" w:name="_Toc130932088"/>
      <w:bookmarkStart w:id="1432" w:name="_Toc130934379"/>
      <w:bookmarkStart w:id="1433" w:name="_Toc130983438"/>
      <w:bookmarkStart w:id="1434" w:name="_Toc130983787"/>
      <w:bookmarkStart w:id="1435" w:name="_Toc131062113"/>
      <w:bookmarkStart w:id="1436" w:name="_Toc131062367"/>
      <w:bookmarkStart w:id="1437" w:name="_Toc131062628"/>
      <w:bookmarkStart w:id="1438" w:name="_Toc131062881"/>
      <w:bookmarkStart w:id="1439" w:name="_Toc131063649"/>
      <w:bookmarkStart w:id="1440" w:name="_Toc131064070"/>
      <w:bookmarkStart w:id="1441" w:name="_Toc131238364"/>
      <w:bookmarkStart w:id="1442" w:name="_Toc131279395"/>
      <w:bookmarkStart w:id="1443" w:name="_Toc131286807"/>
      <w:bookmarkStart w:id="1444" w:name="_Toc131281217"/>
      <w:bookmarkStart w:id="1445" w:name="_Toc131317756"/>
      <w:bookmarkStart w:id="1446" w:name="_Toc132536954"/>
      <w:r>
        <w:t xml:space="preserve">Dagens ansvarsfordeling og </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00561D63">
        <w:t>finansieringsordning</w:t>
      </w:r>
      <w:bookmarkEnd w:id="1446"/>
    </w:p>
    <w:p w14:paraId="4AB223D8" w14:textId="77777777" w:rsidR="00D9107F" w:rsidRDefault="004030EF" w:rsidP="00ED7F5A">
      <w:pPr>
        <w:jc w:val="both"/>
      </w:pPr>
      <w:r>
        <w:t xml:space="preserve">I dag har kommunene ansvaret for å sørge for fastlegetjenester til innbyggerne, mens finansieringsansvaret </w:t>
      </w:r>
      <w:r w:rsidR="00E43828">
        <w:t>for fastlegetjenesten</w:t>
      </w:r>
      <w:r>
        <w:t xml:space="preserve"> i hovedsak er lagt til staten. </w:t>
      </w:r>
      <w:r w:rsidR="007775E2">
        <w:t>Fastlegeordningen er rettighetsbasert, hvor alle kostnader til basistilskudd og takster dekkes.</w:t>
      </w:r>
    </w:p>
    <w:p w14:paraId="7922A901" w14:textId="77777777" w:rsidR="00D9107F" w:rsidRDefault="009F2B72" w:rsidP="00ED7F5A">
      <w:pPr>
        <w:jc w:val="both"/>
      </w:pPr>
      <w:r>
        <w:lastRenderedPageBreak/>
        <w:t>Staten tilfører midler til kommunene gjennom frie inntekter</w:t>
      </w:r>
      <w:r w:rsidR="002272FE">
        <w:t xml:space="preserve"> (rammetilskudd og skatteinntekter)</w:t>
      </w:r>
      <w:r w:rsidR="004B2A2C">
        <w:t xml:space="preserve">, og de </w:t>
      </w:r>
      <w:r w:rsidR="0043231A">
        <w:t xml:space="preserve">fleste kommunale helse- og omsorgstjenestene finansieres av </w:t>
      </w:r>
      <w:r w:rsidR="004B2A2C">
        <w:t>disse</w:t>
      </w:r>
      <w:r w:rsidR="003B26F0">
        <w:t xml:space="preserve"> midlene</w:t>
      </w:r>
      <w:r w:rsidR="004B2A2C">
        <w:t xml:space="preserve">. </w:t>
      </w:r>
      <w:r w:rsidR="004030EF">
        <w:t>Midler</w:t>
      </w:r>
      <w:r w:rsidR="00626650">
        <w:t xml:space="preserve"> til b</w:t>
      </w:r>
      <w:r w:rsidR="00A33A3B">
        <w:t>asistilskudd</w:t>
      </w:r>
      <w:r w:rsidR="00725DE9">
        <w:t xml:space="preserve"> </w:t>
      </w:r>
      <w:r w:rsidR="007775E2">
        <w:t>til fastlegene</w:t>
      </w:r>
      <w:r w:rsidR="00725DE9">
        <w:t xml:space="preserve"> </w:t>
      </w:r>
      <w:r w:rsidR="004030EF">
        <w:t xml:space="preserve">overføres </w:t>
      </w:r>
      <w:r w:rsidR="00F119D4">
        <w:t>til kommunene gjennom de frie inntektene, mens</w:t>
      </w:r>
      <w:r w:rsidR="00A33A3B">
        <w:t xml:space="preserve"> </w:t>
      </w:r>
      <w:r w:rsidR="0000559A">
        <w:t xml:space="preserve">takstene refunderes direkte fra staten </w:t>
      </w:r>
      <w:r w:rsidR="006B5B51">
        <w:t>til fastlegene</w:t>
      </w:r>
      <w:r w:rsidR="0000559A">
        <w:t xml:space="preserve"> (via Helfo). </w:t>
      </w:r>
      <w:r w:rsidR="003C3C25">
        <w:t xml:space="preserve">Også for legevaktarbeidet </w:t>
      </w:r>
      <w:r w:rsidR="00BC5FAD">
        <w:t xml:space="preserve">i kommunene </w:t>
      </w:r>
      <w:r w:rsidR="00D3156C">
        <w:t>r</w:t>
      </w:r>
      <w:r w:rsidR="00A15AB3">
        <w:t>efu</w:t>
      </w:r>
      <w:r w:rsidR="00D3156C">
        <w:t>nderes takstene</w:t>
      </w:r>
      <w:r w:rsidR="00AD264F">
        <w:t xml:space="preserve"> </w:t>
      </w:r>
      <w:r w:rsidR="00FB0119">
        <w:t>av staten</w:t>
      </w:r>
      <w:r w:rsidR="0043231A">
        <w:t>.</w:t>
      </w:r>
    </w:p>
    <w:p w14:paraId="2B021D03" w14:textId="77777777" w:rsidR="00D9107F" w:rsidRDefault="00813EC6" w:rsidP="005E5BC0">
      <w:pPr>
        <w:jc w:val="both"/>
        <w:rPr>
          <w:shd w:val="clear" w:color="auto" w:fill="FFFFFF"/>
        </w:rPr>
      </w:pPr>
      <w:r w:rsidRPr="00E66AB0">
        <w:t>Den statlige finansieringen av fastlegeordningen har som intensjon å gjøre tilgangen til fastlege lik for befolkningen</w:t>
      </w:r>
      <w:r>
        <w:t>,</w:t>
      </w:r>
      <w:r w:rsidRPr="00E66AB0">
        <w:t xml:space="preserve"> uavhengig av bosted og kommuneøkonomi. Statlig finansiering gir økonomisk sikkerhet for kommunene</w:t>
      </w:r>
      <w:r>
        <w:t>,</w:t>
      </w:r>
      <w:r w:rsidRPr="00E66AB0">
        <w:t xml:space="preserve"> og bidrar til å forhindre ulikheter i tilbudet knyttet til lokale prioriteringer.</w:t>
      </w:r>
      <w:r>
        <w:t xml:space="preserve"> </w:t>
      </w:r>
      <w:r>
        <w:rPr>
          <w:shd w:val="clear" w:color="auto" w:fill="FFFFFF"/>
        </w:rPr>
        <w:t>Tjeneste</w:t>
      </w:r>
      <w:r w:rsidRPr="00E66AB0">
        <w:rPr>
          <w:shd w:val="clear" w:color="auto" w:fill="FFFFFF"/>
        </w:rPr>
        <w:t>utforming styr</w:t>
      </w:r>
      <w:r>
        <w:rPr>
          <w:shd w:val="clear" w:color="auto" w:fill="FFFFFF"/>
        </w:rPr>
        <w:t>t</w:t>
      </w:r>
      <w:r w:rsidRPr="00E66AB0">
        <w:rPr>
          <w:shd w:val="clear" w:color="auto" w:fill="FFFFFF"/>
        </w:rPr>
        <w:t xml:space="preserve"> av </w:t>
      </w:r>
      <w:r w:rsidR="003D268C">
        <w:rPr>
          <w:shd w:val="clear" w:color="auto" w:fill="FFFFFF"/>
        </w:rPr>
        <w:t xml:space="preserve">politiske prioriteringer </w:t>
      </w:r>
      <w:r w:rsidRPr="00E66AB0">
        <w:rPr>
          <w:shd w:val="clear" w:color="auto" w:fill="FFFFFF"/>
        </w:rPr>
        <w:t xml:space="preserve">og økonomi </w:t>
      </w:r>
      <w:r w:rsidR="00AA615D">
        <w:rPr>
          <w:shd w:val="clear" w:color="auto" w:fill="FFFFFF"/>
        </w:rPr>
        <w:t xml:space="preserve">i kommunene </w:t>
      </w:r>
      <w:r w:rsidRPr="00E66AB0">
        <w:rPr>
          <w:shd w:val="clear" w:color="auto" w:fill="FFFFFF"/>
        </w:rPr>
        <w:t>vil kunne bidra til u</w:t>
      </w:r>
      <w:r>
        <w:rPr>
          <w:shd w:val="clear" w:color="auto" w:fill="FFFFFF"/>
        </w:rPr>
        <w:t>ønsket</w:t>
      </w:r>
      <w:r w:rsidRPr="00E66AB0">
        <w:rPr>
          <w:shd w:val="clear" w:color="auto" w:fill="FFFFFF"/>
        </w:rPr>
        <w:t xml:space="preserve"> variasjon</w:t>
      </w:r>
      <w:r>
        <w:rPr>
          <w:shd w:val="clear" w:color="auto" w:fill="FFFFFF"/>
        </w:rPr>
        <w:t xml:space="preserve">, også </w:t>
      </w:r>
      <w:r w:rsidRPr="00E66AB0">
        <w:rPr>
          <w:shd w:val="clear" w:color="auto" w:fill="FFFFFF"/>
        </w:rPr>
        <w:t xml:space="preserve">selv om tjenester er lovpålagte og krav til kvalitet og tilgjengelighet </w:t>
      </w:r>
      <w:r>
        <w:rPr>
          <w:shd w:val="clear" w:color="auto" w:fill="FFFFFF"/>
        </w:rPr>
        <w:t xml:space="preserve">er </w:t>
      </w:r>
      <w:r w:rsidRPr="00E66AB0">
        <w:rPr>
          <w:shd w:val="clear" w:color="auto" w:fill="FFFFFF"/>
        </w:rPr>
        <w:t>regulert i forskrift.</w:t>
      </w:r>
    </w:p>
    <w:p w14:paraId="06514E1E" w14:textId="77777777" w:rsidR="00D9107F" w:rsidRDefault="00813EC6" w:rsidP="00775632">
      <w:pPr>
        <w:pStyle w:val="Overskrift3"/>
      </w:pPr>
      <w:bookmarkStart w:id="1447" w:name="_Toc130763794"/>
      <w:bookmarkStart w:id="1448" w:name="_Toc130766689"/>
      <w:bookmarkStart w:id="1449" w:name="_Toc130932089"/>
      <w:bookmarkStart w:id="1450" w:name="_Toc130934380"/>
      <w:bookmarkStart w:id="1451" w:name="_Toc130983439"/>
      <w:bookmarkStart w:id="1452" w:name="_Toc130983788"/>
      <w:bookmarkStart w:id="1453" w:name="_Toc131062114"/>
      <w:bookmarkStart w:id="1454" w:name="_Toc131062368"/>
      <w:bookmarkStart w:id="1455" w:name="_Toc131062629"/>
      <w:bookmarkStart w:id="1456" w:name="_Toc131062882"/>
      <w:bookmarkStart w:id="1457" w:name="_Toc131063650"/>
      <w:bookmarkStart w:id="1458" w:name="_Toc131064071"/>
      <w:bookmarkStart w:id="1459" w:name="_Toc131238365"/>
      <w:bookmarkStart w:id="1460" w:name="_Toc131279396"/>
      <w:bookmarkStart w:id="1461" w:name="_Toc131286808"/>
      <w:bookmarkStart w:id="1462" w:name="_Toc131281218"/>
      <w:bookmarkStart w:id="1463" w:name="_Toc131317757"/>
      <w:bookmarkStart w:id="1464" w:name="_Toc132536955"/>
      <w:r>
        <w:t>Utfordringer med dagens ordning</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29C8985B" w14:textId="77777777" w:rsidR="00D9107F" w:rsidRDefault="004030EF" w:rsidP="009E6BE4">
      <w:pPr>
        <w:jc w:val="both"/>
      </w:pPr>
      <w:r w:rsidRPr="00E66AB0">
        <w:t xml:space="preserve">For å rekruttere og beholde fastleger har </w:t>
      </w:r>
      <w:r w:rsidR="00813EC6">
        <w:t xml:space="preserve">stadig flere </w:t>
      </w:r>
      <w:r w:rsidRPr="00E66AB0">
        <w:t>kommune</w:t>
      </w:r>
      <w:r w:rsidR="00813EC6">
        <w:t>r</w:t>
      </w:r>
      <w:r w:rsidRPr="00E66AB0">
        <w:t xml:space="preserve"> de senere årene i økende grad </w:t>
      </w:r>
      <w:r w:rsidR="00F659E0">
        <w:t>tilleggsfinansiert</w:t>
      </w:r>
      <w:r w:rsidRPr="00E66AB0">
        <w:t xml:space="preserve"> tjenesten</w:t>
      </w:r>
      <w:r w:rsidR="00813EC6">
        <w:t>, ut over det som opprinnelig er forutsatt fra statens side</w:t>
      </w:r>
      <w:r w:rsidRPr="00E66AB0">
        <w:t xml:space="preserve">. Tilgang </w:t>
      </w:r>
      <w:r>
        <w:t>til fastleger og kommunens merkostnader varierer mellom kommune</w:t>
      </w:r>
      <w:r w:rsidR="00813EC6">
        <w:t>ne</w:t>
      </w:r>
      <w:r>
        <w:t xml:space="preserve">, og det er ikke gitt at </w:t>
      </w:r>
      <w:r w:rsidR="002272FE">
        <w:t>en</w:t>
      </w:r>
      <w:r>
        <w:t xml:space="preserve"> økende kommunal tilleggsfinansiering bidrar til stabilisering.</w:t>
      </w:r>
    </w:p>
    <w:p w14:paraId="2BAC69C1" w14:textId="77777777" w:rsidR="00D9107F" w:rsidRDefault="00813EC6" w:rsidP="009E6BE4">
      <w:pPr>
        <w:jc w:val="both"/>
        <w:rPr>
          <w:color w:val="333333"/>
          <w:shd w:val="clear" w:color="auto" w:fill="FFFFFF"/>
        </w:rPr>
      </w:pPr>
      <w:r>
        <w:rPr>
          <w:shd w:val="clear" w:color="auto" w:fill="FFFFFF"/>
        </w:rPr>
        <w:t>G</w:t>
      </w:r>
      <w:r w:rsidR="002272FE">
        <w:rPr>
          <w:shd w:val="clear" w:color="auto" w:fill="FFFFFF"/>
        </w:rPr>
        <w:t>jennom samhandlingsreformen fra 2012</w:t>
      </w:r>
      <w:r w:rsidR="00CB146A" w:rsidRPr="001F1368">
        <w:rPr>
          <w:shd w:val="clear" w:color="auto" w:fill="FFFFFF"/>
        </w:rPr>
        <w:t xml:space="preserve"> </w:t>
      </w:r>
      <w:r>
        <w:rPr>
          <w:shd w:val="clear" w:color="auto" w:fill="FFFFFF"/>
        </w:rPr>
        <w:t>har kommunene</w:t>
      </w:r>
      <w:r w:rsidR="002272FE">
        <w:rPr>
          <w:shd w:val="clear" w:color="auto" w:fill="FFFFFF"/>
        </w:rPr>
        <w:t xml:space="preserve"> </w:t>
      </w:r>
      <w:r w:rsidR="00CB146A" w:rsidRPr="001F1368">
        <w:rPr>
          <w:shd w:val="clear" w:color="auto" w:fill="FFFFFF"/>
        </w:rPr>
        <w:t>fått ansvar for oppfølging av flere og dårligere pasienter med kroniske og sammensatte lidelser, og behovet for samhandling mellom fastlegene og annet helsepersonell i kommunene er i dag et helt annet enn i 2001</w:t>
      </w:r>
      <w:r w:rsidR="00CB146A" w:rsidRPr="001A0D64">
        <w:rPr>
          <w:color w:val="333333"/>
          <w:shd w:val="clear" w:color="auto" w:fill="FFFFFF"/>
        </w:rPr>
        <w:t>.</w:t>
      </w:r>
    </w:p>
    <w:p w14:paraId="1340D533" w14:textId="6429184A" w:rsidR="00D9107F" w:rsidRDefault="004030EF" w:rsidP="009E6BE4">
      <w:pPr>
        <w:jc w:val="both"/>
      </w:pPr>
      <w:r>
        <w:t>Helsepersonellkommisjonen peker</w:t>
      </w:r>
      <w:r w:rsidR="344A2538">
        <w:t xml:space="preserve"> </w:t>
      </w:r>
      <w:r w:rsidR="0E357942">
        <w:t>på at</w:t>
      </w:r>
      <w:r>
        <w:t xml:space="preserve"> </w:t>
      </w:r>
      <w:r w:rsidR="00F76A0A">
        <w:t>vi har</w:t>
      </w:r>
      <w:r>
        <w:t xml:space="preserve"> den største økningen i </w:t>
      </w:r>
      <w:r w:rsidR="36F6EFAA">
        <w:t>fr</w:t>
      </w:r>
      <w:r w:rsidR="5A358851">
        <w:t>a</w:t>
      </w:r>
      <w:r w:rsidR="36F6EFAA">
        <w:t>mtidig</w:t>
      </w:r>
      <w:r>
        <w:t xml:space="preserve"> behov for helse- og omsorgstjenester </w:t>
      </w:r>
      <w:r w:rsidR="00B6571D">
        <w:t xml:space="preserve">foran oss, </w:t>
      </w:r>
      <w:r w:rsidR="00F76A0A">
        <w:t xml:space="preserve">og at </w:t>
      </w:r>
      <w:r w:rsidR="00954930">
        <w:t>denne</w:t>
      </w:r>
      <w:r>
        <w:t xml:space="preserve"> i </w:t>
      </w:r>
      <w:r w:rsidR="00954930">
        <w:t xml:space="preserve">størst grad </w:t>
      </w:r>
      <w:r>
        <w:t>vil komme i kommunen</w:t>
      </w:r>
      <w:r w:rsidR="002272FE">
        <w:t>e</w:t>
      </w:r>
      <w:r>
        <w:t>.</w:t>
      </w:r>
      <w:r w:rsidR="00D9107F" w:rsidRPr="00D9107F">
        <w:rPr>
          <w:rStyle w:val="skrift-hevet"/>
        </w:rPr>
        <w:t xml:space="preserve"> </w:t>
      </w:r>
      <w:r>
        <w:t xml:space="preserve">I lys av dette vil det være behov for å ruste opp lokale tjenester, og tilpasse organiseringen av de kommunale </w:t>
      </w:r>
      <w:r w:rsidR="00813EC6">
        <w:t>helse- og omsorgs</w:t>
      </w:r>
      <w:r>
        <w:t xml:space="preserve">tjenestene slik at personell ansatt i kommunen kan håndtere flere brukere. Det vil være et økende behov for </w:t>
      </w:r>
      <w:r w:rsidRPr="00FC2850">
        <w:t>å jobbe på tvers av ulike tjenester</w:t>
      </w:r>
      <w:r w:rsidR="6756550A" w:rsidRPr="00FC2850">
        <w:t xml:space="preserve"> </w:t>
      </w:r>
      <w:r w:rsidR="00D51CF6">
        <w:fldChar w:fldCharType="begin"/>
      </w:r>
      <w:r w:rsidR="00D51CF6">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D51CF6">
        <w:fldChar w:fldCharType="separate"/>
      </w:r>
      <w:r w:rsidR="00D51CF6">
        <w:rPr>
          <w:noProof/>
        </w:rPr>
        <w:t>(Helse- og omsorgsdepartementet, 2023c)</w:t>
      </w:r>
      <w:r w:rsidR="00D51CF6">
        <w:fldChar w:fldCharType="end"/>
      </w:r>
      <w:r w:rsidR="0CCC1D5C">
        <w:t>.</w:t>
      </w:r>
      <w:r w:rsidR="00D9107F" w:rsidRPr="00D9107F">
        <w:rPr>
          <w:rStyle w:val="skrift-hevet"/>
        </w:rPr>
        <w:t xml:space="preserve"> </w:t>
      </w:r>
      <w:r w:rsidR="00372349">
        <w:t>Utvikling av helhetlige pasientforløp vil være avhengig av god samhandling med gjensidig kunnskapsoverføring, dialog, samt</w:t>
      </w:r>
      <w:r w:rsidR="00C2753C">
        <w:t xml:space="preserve"> </w:t>
      </w:r>
      <w:r w:rsidR="00372349">
        <w:t>organisatoriske og økonomiske rammebetingelser</w:t>
      </w:r>
      <w:r w:rsidR="74CA9AD3">
        <w:t xml:space="preserve"> </w:t>
      </w:r>
      <w:r w:rsidR="00E94EA5">
        <w:fldChar w:fldCharType="begin"/>
      </w:r>
      <w:r w:rsidR="004654FD">
        <w:instrText xml:space="preserve"> ADDIN EN.CITE &lt;EndNote&gt;&lt;Cite&gt;&lt;Author&gt;Helsedirektoratet&lt;/Author&gt;&lt;Year&gt;2022&lt;/Year&gt;&lt;RecNum&gt;853&lt;/RecNum&gt;&lt;DisplayText&gt;(Helsedirektoratet, 2022j)&lt;/DisplayText&gt;&lt;record&gt;&lt;rec-number&gt;853&lt;/rec-number&gt;&lt;foreign-keys&gt;&lt;key app="EN" db-id="95tpr2tp6r9xwoea9rb5wdsz5ds5xeddteew" timestamp="1680069511"&gt;853&lt;/key&gt;&lt;/foreign-keys&gt;&lt;ref-type name="Report"&gt;27&lt;/ref-type&gt;&lt;contributors&gt;&lt;authors&gt;&lt;author&gt;Helsedirektoratet&lt;/author&gt;&lt;/authors&gt;&lt;/contributors&gt;&lt;titles&gt;&lt;title&gt;Utvikling av finansieringssystemene for bedre å understøtte sammenheng i tjenestene - Svar på tillegg nr. 44 til tildelingsbrev 2021&lt;/title&gt;&lt;secondary-title&gt;Rapport&lt;/secondary-title&gt;&lt;/titles&gt;&lt;dates&gt;&lt;year&gt;2022&lt;/year&gt;&lt;/dates&gt;&lt;pub-location&gt;Oslo&lt;/pub-location&gt;&lt;publisher&gt;Helsedirektoratet&lt;/publisher&gt;&lt;urls&gt;&lt;/urls&gt;&lt;/record&gt;&lt;/Cite&gt;&lt;/EndNote&gt;</w:instrText>
      </w:r>
      <w:r w:rsidR="00E94EA5">
        <w:fldChar w:fldCharType="separate"/>
      </w:r>
      <w:r w:rsidR="004654FD">
        <w:rPr>
          <w:noProof/>
        </w:rPr>
        <w:t>(Helsedirektoratet, 2022j)</w:t>
      </w:r>
      <w:r w:rsidR="00E94EA5">
        <w:fldChar w:fldCharType="end"/>
      </w:r>
      <w:r w:rsidR="00372349">
        <w:t>.</w:t>
      </w:r>
    </w:p>
    <w:p w14:paraId="601305B8" w14:textId="77777777" w:rsidR="00D9107F" w:rsidRDefault="006C2F1D" w:rsidP="009E6BE4">
      <w:pPr>
        <w:jc w:val="both"/>
      </w:pPr>
      <w:r>
        <w:t xml:space="preserve">God sammenheng i tjenestene har vært et overordnet mål for helse- og omsorgstjenestene gjennom flere tiår. </w:t>
      </w:r>
      <w:r w:rsidR="00493E0B">
        <w:t xml:space="preserve">Gitt den økende kompleksiteten </w:t>
      </w:r>
      <w:r w:rsidR="00AF7DCF">
        <w:t>i sykdomstilstander som skal behandles i kommunen, vil det</w:t>
      </w:r>
      <w:r w:rsidR="006B5B51">
        <w:t>,</w:t>
      </w:r>
      <w:r w:rsidR="00AF7DCF">
        <w:t xml:space="preserve"> i tiden som kommer</w:t>
      </w:r>
      <w:r w:rsidR="00B82456">
        <w:t>,</w:t>
      </w:r>
      <w:r w:rsidR="00AF7DCF">
        <w:t xml:space="preserve"> være viktigere enn noen </w:t>
      </w:r>
      <w:r w:rsidR="007C4137">
        <w:t xml:space="preserve">gang å legge </w:t>
      </w:r>
      <w:r w:rsidR="00CE61A1">
        <w:t xml:space="preserve">til rette </w:t>
      </w:r>
      <w:r w:rsidR="007C4137">
        <w:t xml:space="preserve">for at </w:t>
      </w:r>
      <w:r w:rsidR="00C2753C">
        <w:t>tjenestene er godt planlagt og koordinert.</w:t>
      </w:r>
    </w:p>
    <w:p w14:paraId="2F66DE43" w14:textId="77777777" w:rsidR="00D9107F" w:rsidRDefault="009F0001" w:rsidP="009E6BE4">
      <w:pPr>
        <w:jc w:val="both"/>
        <w:rPr>
          <w:color w:val="000000" w:themeColor="text1"/>
        </w:rPr>
      </w:pPr>
      <w:r>
        <w:t xml:space="preserve">Stadig flere krevende problemstillinger og utfordringer forventes håndtert proaktivt og planmessig av kommunene. Dette gjelder både helsefaglige forhold, samspill mellom kommune og spesialisthelsetjeneste, rekruttering og utdanning av leger, samt tverrfaglig arbeid og kvalitetssikring. </w:t>
      </w:r>
      <w:r w:rsidR="00813EC6">
        <w:t xml:space="preserve">Samlet </w:t>
      </w:r>
      <w:r>
        <w:t>sett opplever mange kommuner</w:t>
      </w:r>
      <w:r w:rsidR="00813EC6">
        <w:t xml:space="preserve"> at det </w:t>
      </w:r>
      <w:r w:rsidR="00902D97">
        <w:t xml:space="preserve">nå </w:t>
      </w:r>
      <w:r w:rsidR="00813EC6">
        <w:t xml:space="preserve">både forventes, og er helt </w:t>
      </w:r>
      <w:r w:rsidR="00813EC6">
        <w:lastRenderedPageBreak/>
        <w:t xml:space="preserve">nødvendig med, en langt mer omfattende styring </w:t>
      </w:r>
      <w:r>
        <w:t xml:space="preserve">og </w:t>
      </w:r>
      <w:r w:rsidRPr="007E64B5">
        <w:rPr>
          <w:color w:val="000000" w:themeColor="text1"/>
        </w:rPr>
        <w:t xml:space="preserve">finansiering </w:t>
      </w:r>
      <w:r w:rsidR="00813EC6" w:rsidRPr="007E64B5">
        <w:rPr>
          <w:color w:val="000000" w:themeColor="text1"/>
        </w:rPr>
        <w:t>av fastlegetjen</w:t>
      </w:r>
      <w:r w:rsidRPr="007E64B5">
        <w:rPr>
          <w:color w:val="000000" w:themeColor="text1"/>
        </w:rPr>
        <w:t>esten enn det som opprinnelig ligger</w:t>
      </w:r>
      <w:r w:rsidR="00813EC6" w:rsidRPr="007E64B5">
        <w:rPr>
          <w:color w:val="000000" w:themeColor="text1"/>
        </w:rPr>
        <w:t xml:space="preserve"> til grunn for ordningen.</w:t>
      </w:r>
    </w:p>
    <w:p w14:paraId="22546A7E" w14:textId="77777777" w:rsidR="00D9107F" w:rsidRDefault="00902D97" w:rsidP="009E6BE4">
      <w:pPr>
        <w:jc w:val="both"/>
        <w:rPr>
          <w:color w:val="000000" w:themeColor="text1"/>
        </w:rPr>
      </w:pPr>
      <w:r w:rsidRPr="007E64B5">
        <w:rPr>
          <w:color w:val="000000" w:themeColor="text1"/>
        </w:rPr>
        <w:t xml:space="preserve">Helse- og omsorgstjenesteloven og fastlegeforskriften gir kommunene et omfattende ansvar for å organisere fastlegeordningen. Samtidig gir lovverket et direkte og selvstendig ansvar til den enkelte fastlege. Sammen med sterke innbyggerrettigheter og statlig finansiering, </w:t>
      </w:r>
      <w:r w:rsidR="006B5B51" w:rsidRPr="007E64B5">
        <w:rPr>
          <w:color w:val="000000" w:themeColor="text1"/>
        </w:rPr>
        <w:t>medfører dette</w:t>
      </w:r>
      <w:r w:rsidRPr="007E64B5">
        <w:rPr>
          <w:color w:val="000000" w:themeColor="text1"/>
        </w:rPr>
        <w:t xml:space="preserve"> en krevende styringsmodell.</w:t>
      </w:r>
    </w:p>
    <w:p w14:paraId="76B212F5" w14:textId="18697FB1" w:rsidR="0043231A" w:rsidRPr="007E64B5" w:rsidRDefault="00114886" w:rsidP="009E6BE4">
      <w:pPr>
        <w:jc w:val="both"/>
        <w:rPr>
          <w:color w:val="000000" w:themeColor="text1"/>
        </w:rPr>
      </w:pPr>
      <w:r w:rsidRPr="007E64B5">
        <w:rPr>
          <w:color w:val="000000" w:themeColor="text1"/>
        </w:rPr>
        <w:t>Kommunen har i dag sørge-for-ansvaret for fastlegetjenesten, mens finansieringsansvaret ligger hos staten</w:t>
      </w:r>
      <w:r w:rsidR="001D2CA9" w:rsidRPr="007E64B5">
        <w:rPr>
          <w:color w:val="000000" w:themeColor="text1"/>
        </w:rPr>
        <w:t>. Sett i lys av</w:t>
      </w:r>
      <w:r w:rsidR="004030EF" w:rsidRPr="007E64B5">
        <w:rPr>
          <w:color w:val="000000" w:themeColor="text1"/>
        </w:rPr>
        <w:t xml:space="preserve"> behovet for endring i tjenesten</w:t>
      </w:r>
      <w:r w:rsidR="00AA615D" w:rsidRPr="007E64B5">
        <w:rPr>
          <w:color w:val="000000" w:themeColor="text1"/>
        </w:rPr>
        <w:t xml:space="preserve"> i årene framover</w:t>
      </w:r>
      <w:r w:rsidR="006B5B51" w:rsidRPr="007E64B5">
        <w:rPr>
          <w:color w:val="000000" w:themeColor="text1"/>
        </w:rPr>
        <w:t>,</w:t>
      </w:r>
      <w:r w:rsidR="00902D97" w:rsidRPr="007E64B5">
        <w:rPr>
          <w:color w:val="000000" w:themeColor="text1"/>
        </w:rPr>
        <w:t xml:space="preserve"> </w:t>
      </w:r>
      <w:r w:rsidR="002826A7" w:rsidRPr="007E64B5">
        <w:rPr>
          <w:color w:val="000000" w:themeColor="text1"/>
        </w:rPr>
        <w:t>mer tverrfaglig og koordinert arbeid,</w:t>
      </w:r>
      <w:r w:rsidR="00902D97" w:rsidRPr="007E64B5">
        <w:rPr>
          <w:color w:val="000000" w:themeColor="text1"/>
        </w:rPr>
        <w:t xml:space="preserve"> og mer omfattende og helhetlig styring og ledelse</w:t>
      </w:r>
      <w:r w:rsidR="00B82456" w:rsidRPr="007E64B5">
        <w:rPr>
          <w:color w:val="000000" w:themeColor="text1"/>
        </w:rPr>
        <w:t>,</w:t>
      </w:r>
      <w:r w:rsidR="004030EF" w:rsidRPr="007E64B5">
        <w:rPr>
          <w:color w:val="000000" w:themeColor="text1"/>
        </w:rPr>
        <w:t xml:space="preserve"> mener ekspertutvalget det er grunn til å stille spørsmålstegn ved om </w:t>
      </w:r>
      <w:r w:rsidR="00717FCF" w:rsidRPr="007E64B5">
        <w:rPr>
          <w:color w:val="000000" w:themeColor="text1"/>
        </w:rPr>
        <w:t>det</w:t>
      </w:r>
      <w:r w:rsidR="002272FE" w:rsidRPr="007E64B5">
        <w:rPr>
          <w:color w:val="000000" w:themeColor="text1"/>
        </w:rPr>
        <w:t xml:space="preserve"> </w:t>
      </w:r>
      <w:r w:rsidR="004030EF" w:rsidRPr="007E64B5">
        <w:rPr>
          <w:color w:val="000000" w:themeColor="text1"/>
        </w:rPr>
        <w:t>er hensiktsmessig</w:t>
      </w:r>
      <w:r w:rsidR="002272FE" w:rsidRPr="007E64B5">
        <w:rPr>
          <w:color w:val="000000" w:themeColor="text1"/>
        </w:rPr>
        <w:t xml:space="preserve"> å videreføre dette skillet</w:t>
      </w:r>
      <w:r w:rsidR="004030EF" w:rsidRPr="007E64B5">
        <w:rPr>
          <w:color w:val="000000" w:themeColor="text1"/>
        </w:rPr>
        <w:t xml:space="preserve">. </w:t>
      </w:r>
      <w:r w:rsidR="002826A7" w:rsidRPr="007E64B5">
        <w:rPr>
          <w:color w:val="000000" w:themeColor="text1"/>
        </w:rPr>
        <w:t xml:space="preserve">I tillegg til ansvarsdelingen mellom kommunen og staten, er sentrale elementer i ordningen avhengig av enighet i forhandlinger med Legeforeningen, hvilket bidrar til god forankring, samtidig som det innskrenker </w:t>
      </w:r>
      <w:r w:rsidR="00314D03" w:rsidRPr="007E64B5">
        <w:rPr>
          <w:color w:val="000000" w:themeColor="text1"/>
        </w:rPr>
        <w:t>både statens og kommunenes styringsmekanismer for å sikre gode tjenester.</w:t>
      </w:r>
    </w:p>
    <w:p w14:paraId="73882A16" w14:textId="53EB5ECE" w:rsidR="004030EF" w:rsidRDefault="00902D97" w:rsidP="00775632">
      <w:pPr>
        <w:pStyle w:val="Overskrift3"/>
      </w:pPr>
      <w:bookmarkStart w:id="1465" w:name="_Toc128126586"/>
      <w:bookmarkStart w:id="1466" w:name="_Toc128741972"/>
      <w:bookmarkStart w:id="1467" w:name="_Toc128744567"/>
      <w:bookmarkStart w:id="1468" w:name="_Toc128744786"/>
      <w:bookmarkStart w:id="1469" w:name="_Toc129630284"/>
      <w:bookmarkStart w:id="1470" w:name="_Toc130763795"/>
      <w:bookmarkStart w:id="1471" w:name="_Toc130766690"/>
      <w:bookmarkStart w:id="1472" w:name="_Toc130932090"/>
      <w:bookmarkStart w:id="1473" w:name="_Toc130934381"/>
      <w:bookmarkStart w:id="1474" w:name="_Toc130983440"/>
      <w:bookmarkStart w:id="1475" w:name="_Toc130983789"/>
      <w:bookmarkStart w:id="1476" w:name="_Toc131062115"/>
      <w:bookmarkStart w:id="1477" w:name="_Toc131062369"/>
      <w:bookmarkStart w:id="1478" w:name="_Toc131062630"/>
      <w:bookmarkStart w:id="1479" w:name="_Toc131062883"/>
      <w:bookmarkStart w:id="1480" w:name="_Toc131063651"/>
      <w:bookmarkStart w:id="1481" w:name="_Toc131064072"/>
      <w:bookmarkStart w:id="1482" w:name="_Toc131238366"/>
      <w:bookmarkStart w:id="1483" w:name="_Toc131279397"/>
      <w:bookmarkStart w:id="1484" w:name="_Toc131286809"/>
      <w:bookmarkStart w:id="1485" w:name="_Toc131281219"/>
      <w:bookmarkStart w:id="1486" w:name="_Toc131317758"/>
      <w:bookmarkStart w:id="1487" w:name="_Toc132536956"/>
      <w:r>
        <w:t>K</w:t>
      </w:r>
      <w:r w:rsidR="1ABA849A">
        <w:t xml:space="preserve">onsekvenser av </w:t>
      </w:r>
      <w:bookmarkEnd w:id="1465"/>
      <w:bookmarkEnd w:id="1466"/>
      <w:bookmarkEnd w:id="1467"/>
      <w:bookmarkEnd w:id="1468"/>
      <w:bookmarkEnd w:id="1469"/>
      <w:r>
        <w:t>delt ansvar</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025F021E" w14:textId="77777777" w:rsidR="00D9107F" w:rsidRDefault="001304D6" w:rsidP="000F6D39">
      <w:pPr>
        <w:jc w:val="both"/>
        <w:rPr>
          <w:color w:val="000000" w:themeColor="text1"/>
        </w:rPr>
      </w:pPr>
      <w:r w:rsidRPr="007E64B5">
        <w:rPr>
          <w:color w:val="000000" w:themeColor="text1"/>
        </w:rPr>
        <w:t>Et delt finansieringsansvar støtter opp om prinsippet om geografisk likhet. Kommunen</w:t>
      </w:r>
      <w:r w:rsidR="002826A7" w:rsidRPr="007E64B5">
        <w:rPr>
          <w:color w:val="000000" w:themeColor="text1"/>
        </w:rPr>
        <w:t>e</w:t>
      </w:r>
      <w:r w:rsidRPr="007E64B5">
        <w:rPr>
          <w:color w:val="000000" w:themeColor="text1"/>
        </w:rPr>
        <w:t>s selvråderett står sterkt, og et delt ansvar er en garanti for at fastlegetjenestene i mindre grad påvirkes av kommunale budsjetter og politiske prioriteringer</w:t>
      </w:r>
      <w:r w:rsidR="001333B6" w:rsidRPr="007E64B5">
        <w:rPr>
          <w:color w:val="000000" w:themeColor="text1"/>
        </w:rPr>
        <w:t xml:space="preserve">. </w:t>
      </w:r>
      <w:r w:rsidR="00421C63" w:rsidRPr="007E64B5">
        <w:rPr>
          <w:color w:val="000000" w:themeColor="text1"/>
        </w:rPr>
        <w:t xml:space="preserve">Næringsdrivende fastleger etter hovedmodellen er ikke </w:t>
      </w:r>
      <w:r w:rsidR="00831638" w:rsidRPr="007E64B5">
        <w:rPr>
          <w:color w:val="000000" w:themeColor="text1"/>
        </w:rPr>
        <w:t>avhengig</w:t>
      </w:r>
      <w:r w:rsidR="002826A7" w:rsidRPr="007E64B5">
        <w:rPr>
          <w:color w:val="000000" w:themeColor="text1"/>
        </w:rPr>
        <w:t>e</w:t>
      </w:r>
      <w:r w:rsidR="00831638" w:rsidRPr="007E64B5">
        <w:rPr>
          <w:color w:val="000000" w:themeColor="text1"/>
        </w:rPr>
        <w:t xml:space="preserve"> av kommunens økonomi knyttet til </w:t>
      </w:r>
      <w:r w:rsidR="00A548F9" w:rsidRPr="007E64B5">
        <w:rPr>
          <w:color w:val="000000" w:themeColor="text1"/>
        </w:rPr>
        <w:t>aktivitet</w:t>
      </w:r>
      <w:r w:rsidR="006B7BDB" w:rsidRPr="007E64B5">
        <w:rPr>
          <w:color w:val="000000" w:themeColor="text1"/>
        </w:rPr>
        <w:t xml:space="preserve"> og</w:t>
      </w:r>
      <w:r w:rsidR="00A548F9" w:rsidRPr="007E64B5">
        <w:rPr>
          <w:color w:val="000000" w:themeColor="text1"/>
        </w:rPr>
        <w:t xml:space="preserve"> </w:t>
      </w:r>
      <w:r w:rsidR="00831638" w:rsidRPr="007E64B5">
        <w:rPr>
          <w:color w:val="000000" w:themeColor="text1"/>
        </w:rPr>
        <w:t>drift av kontoret</w:t>
      </w:r>
      <w:r w:rsidR="006B7BDB" w:rsidRPr="007E64B5">
        <w:rPr>
          <w:color w:val="000000" w:themeColor="text1"/>
        </w:rPr>
        <w:t xml:space="preserve">. </w:t>
      </w:r>
      <w:r w:rsidR="00831638" w:rsidRPr="007E64B5">
        <w:rPr>
          <w:color w:val="000000" w:themeColor="text1"/>
        </w:rPr>
        <w:t xml:space="preserve">Dette gir fastlegene </w:t>
      </w:r>
      <w:r w:rsidR="006B7BDB" w:rsidRPr="007E64B5">
        <w:rPr>
          <w:color w:val="000000" w:themeColor="text1"/>
        </w:rPr>
        <w:t xml:space="preserve">stor grad av </w:t>
      </w:r>
      <w:r w:rsidR="388B7B3E" w:rsidRPr="007E64B5">
        <w:rPr>
          <w:color w:val="000000" w:themeColor="text1"/>
        </w:rPr>
        <w:t>aut</w:t>
      </w:r>
      <w:r w:rsidR="67F9CB12" w:rsidRPr="007E64B5">
        <w:rPr>
          <w:color w:val="000000" w:themeColor="text1"/>
        </w:rPr>
        <w:t>o</w:t>
      </w:r>
      <w:r w:rsidR="388B7B3E" w:rsidRPr="007E64B5">
        <w:rPr>
          <w:color w:val="000000" w:themeColor="text1"/>
        </w:rPr>
        <w:t>nomi</w:t>
      </w:r>
      <w:r w:rsidR="006B7BDB" w:rsidRPr="007E64B5">
        <w:rPr>
          <w:color w:val="000000" w:themeColor="text1"/>
        </w:rPr>
        <w:t xml:space="preserve"> knyttet </w:t>
      </w:r>
      <w:r w:rsidR="004A3DB9" w:rsidRPr="007E64B5">
        <w:rPr>
          <w:color w:val="000000" w:themeColor="text1"/>
        </w:rPr>
        <w:t xml:space="preserve">til </w:t>
      </w:r>
      <w:r w:rsidR="006B7BDB" w:rsidRPr="007E64B5">
        <w:rPr>
          <w:color w:val="000000" w:themeColor="text1"/>
        </w:rPr>
        <w:t>innretning</w:t>
      </w:r>
      <w:r w:rsidR="003F251A" w:rsidRPr="007E64B5">
        <w:rPr>
          <w:color w:val="000000" w:themeColor="text1"/>
        </w:rPr>
        <w:t xml:space="preserve"> på</w:t>
      </w:r>
      <w:r w:rsidR="002826A7" w:rsidRPr="007E64B5">
        <w:rPr>
          <w:color w:val="000000" w:themeColor="text1"/>
        </w:rPr>
        <w:t>,</w:t>
      </w:r>
      <w:r w:rsidR="003F251A" w:rsidRPr="007E64B5">
        <w:rPr>
          <w:color w:val="000000" w:themeColor="text1"/>
        </w:rPr>
        <w:t xml:space="preserve"> og </w:t>
      </w:r>
      <w:r w:rsidR="006B7BDB" w:rsidRPr="007E64B5">
        <w:rPr>
          <w:color w:val="000000" w:themeColor="text1"/>
        </w:rPr>
        <w:t>utvikling av</w:t>
      </w:r>
      <w:r w:rsidR="002826A7" w:rsidRPr="007E64B5">
        <w:rPr>
          <w:color w:val="000000" w:themeColor="text1"/>
        </w:rPr>
        <w:t>,</w:t>
      </w:r>
      <w:r w:rsidR="006B7BDB" w:rsidRPr="007E64B5">
        <w:rPr>
          <w:color w:val="000000" w:themeColor="text1"/>
        </w:rPr>
        <w:t xml:space="preserve"> tjenesten.</w:t>
      </w:r>
    </w:p>
    <w:p w14:paraId="301E8F64" w14:textId="1B86184D" w:rsidR="004030EF" w:rsidRPr="007E64B5" w:rsidRDefault="004030EF" w:rsidP="000F6D39">
      <w:pPr>
        <w:jc w:val="both"/>
        <w:rPr>
          <w:color w:val="000000" w:themeColor="text1"/>
          <w:shd w:val="clear" w:color="auto" w:fill="FFFFFF"/>
        </w:rPr>
      </w:pPr>
      <w:r w:rsidRPr="007E64B5">
        <w:rPr>
          <w:color w:val="000000" w:themeColor="text1"/>
        </w:rPr>
        <w:t>Innenfor kravene i lov og forskrift står kommunene i utgangspunktet fritt til å innrette de kommunale helse- og omsorgstjenestene på den måten som er mest hensiktsmessig i den aktuelle kommunen. Dette gjelder</w:t>
      </w:r>
      <w:r w:rsidR="00902D97" w:rsidRPr="007E64B5">
        <w:rPr>
          <w:color w:val="000000" w:themeColor="text1"/>
        </w:rPr>
        <w:t xml:space="preserve"> i prinsippet</w:t>
      </w:r>
      <w:r w:rsidRPr="007E64B5">
        <w:rPr>
          <w:color w:val="000000" w:themeColor="text1"/>
        </w:rPr>
        <w:t xml:space="preserve"> også for fastlegeordningen. I forarbeidene til helse- og omsorgstjenesteloven ble det lagt vekt på at det ville være uheldig å binde opp den enkelte kommune til særskilte organisatoriske eller personellmessige løsninger, og at dersom kommunene bindes opp med bestemte profesjons- eller bemanningskrav, vil det kunne komme til fortrengsel for andre personellgrupper</w:t>
      </w:r>
      <w:r w:rsidR="002826A7" w:rsidRPr="007E64B5">
        <w:rPr>
          <w:color w:val="000000" w:themeColor="text1"/>
        </w:rPr>
        <w:t>,</w:t>
      </w:r>
      <w:r w:rsidRPr="007E64B5">
        <w:rPr>
          <w:color w:val="000000" w:themeColor="text1"/>
        </w:rPr>
        <w:t xml:space="preserve"> som også kan dekke aktuelle funksjoner på en forsvarlig måte </w:t>
      </w:r>
      <w:r w:rsidR="00E94EA5" w:rsidRPr="007E64B5">
        <w:rPr>
          <w:color w:val="000000" w:themeColor="text1"/>
        </w:rPr>
        <w:fldChar w:fldCharType="begin"/>
      </w:r>
      <w:r w:rsidR="00235862">
        <w:rPr>
          <w:color w:val="000000" w:themeColor="text1"/>
        </w:rPr>
        <w:instrText xml:space="preserve"> ADDIN EN.CITE &lt;EndNote&gt;&lt;Cite&gt;&lt;Author&gt;Helse- og omsorgsdepartementet&lt;/Author&gt;&lt;Year&gt;2011&lt;/Year&gt;&lt;RecNum&gt;667&lt;/RecNum&gt;&lt;DisplayText&gt;(Helse- og omsorgsdepartementet, 2011)&lt;/DisplayText&gt;&lt;record&gt;&lt;rec-number&gt;667&lt;/rec-number&gt;&lt;foreign-keys&gt;&lt;key app="EN" db-id="95tpr2tp6r9xwoea9rb5wdsz5ds5xeddteew" timestamp="1680069511"&gt;667&lt;/key&gt;&lt;/foreign-keys&gt;&lt;ref-type name="Report"&gt;27&lt;/ref-type&gt;&lt;contributors&gt;&lt;authors&gt;&lt;author&gt;Helse- og omsorgsdepartementet, &lt;/author&gt;&lt;/authors&gt;&lt;/contributors&gt;&lt;titles&gt;&lt;title&gt;Prop- 91 L (2010-2011). Proposisjon til Stortinget (forslag til lovvedtak). Lov om kommunale helse- og omsorgstjenester m.m. (helse- og omsorgstjenesteloven)&lt;/title&gt;&lt;/titles&gt;&lt;dates&gt;&lt;year&gt;2011&lt;/year&gt;&lt;/dates&gt;&lt;publisher&gt;Helse- og omsorgsdepartementet, &lt;/publisher&gt;&lt;urls&gt;&lt;/urls&gt;&lt;/record&gt;&lt;/Cite&gt;&lt;/EndNote&gt;</w:instrText>
      </w:r>
      <w:r w:rsidR="00E94EA5" w:rsidRPr="007E64B5">
        <w:rPr>
          <w:color w:val="000000" w:themeColor="text1"/>
        </w:rPr>
        <w:fldChar w:fldCharType="separate"/>
      </w:r>
      <w:r w:rsidR="00E94EA5" w:rsidRPr="007E64B5">
        <w:rPr>
          <w:noProof/>
          <w:color w:val="000000" w:themeColor="text1"/>
        </w:rPr>
        <w:t>(Helse- og omsorgsdepartementet, 2011)</w:t>
      </w:r>
      <w:r w:rsidR="00E94EA5" w:rsidRPr="007E64B5">
        <w:rPr>
          <w:color w:val="000000" w:themeColor="text1"/>
        </w:rPr>
        <w:fldChar w:fldCharType="end"/>
      </w:r>
      <w:r w:rsidRPr="007E64B5">
        <w:rPr>
          <w:color w:val="000000" w:themeColor="text1"/>
        </w:rPr>
        <w:t>. Hensynet til å bygge opp en tjeneste basert på lokale behov tilsa at kommunene fortløpende selv burde avgjøre hva slags personell de ville ha behov for, likevel innenfor grensene av forsvarlighetskravet.</w:t>
      </w:r>
      <w:r w:rsidR="00F85057" w:rsidRPr="007E64B5">
        <w:rPr>
          <w:color w:val="000000" w:themeColor="text1"/>
        </w:rPr>
        <w:t xml:space="preserve"> Dette må </w:t>
      </w:r>
      <w:r w:rsidR="000F6D39" w:rsidRPr="007E64B5">
        <w:rPr>
          <w:color w:val="000000" w:themeColor="text1"/>
        </w:rPr>
        <w:t>langt på vei</w:t>
      </w:r>
      <w:r w:rsidR="00F85057" w:rsidRPr="007E64B5">
        <w:rPr>
          <w:color w:val="000000" w:themeColor="text1"/>
        </w:rPr>
        <w:t xml:space="preserve"> sies å gjelde selv om </w:t>
      </w:r>
      <w:r w:rsidR="006118F9" w:rsidRPr="007E64B5">
        <w:rPr>
          <w:color w:val="000000" w:themeColor="text1"/>
        </w:rPr>
        <w:t>h</w:t>
      </w:r>
      <w:r w:rsidR="00F85057" w:rsidRPr="007E64B5">
        <w:rPr>
          <w:color w:val="000000" w:themeColor="text1"/>
        </w:rPr>
        <w:t>else-</w:t>
      </w:r>
      <w:r w:rsidR="00C05329" w:rsidRPr="007E64B5">
        <w:rPr>
          <w:color w:val="000000" w:themeColor="text1"/>
        </w:rPr>
        <w:t xml:space="preserve"> </w:t>
      </w:r>
      <w:r w:rsidR="00F85057" w:rsidRPr="007E64B5">
        <w:rPr>
          <w:color w:val="000000" w:themeColor="text1"/>
        </w:rPr>
        <w:t>og omsorgstjenesteloven senere er oppdatert med noen profesjonskrav.</w:t>
      </w:r>
    </w:p>
    <w:p w14:paraId="79E212B0" w14:textId="77777777" w:rsidR="00D9107F" w:rsidRDefault="0043231A" w:rsidP="00C05329">
      <w:pPr>
        <w:jc w:val="both"/>
        <w:rPr>
          <w:color w:val="000000" w:themeColor="text1"/>
        </w:rPr>
      </w:pPr>
      <w:r w:rsidRPr="007E64B5">
        <w:rPr>
          <w:color w:val="000000" w:themeColor="text1"/>
        </w:rPr>
        <w:t>Det kan</w:t>
      </w:r>
      <w:r w:rsidR="00E33CD0" w:rsidRPr="007E64B5">
        <w:rPr>
          <w:color w:val="000000" w:themeColor="text1"/>
        </w:rPr>
        <w:t xml:space="preserve"> </w:t>
      </w:r>
      <w:r w:rsidRPr="007E64B5">
        <w:rPr>
          <w:color w:val="000000" w:themeColor="text1"/>
        </w:rPr>
        <w:t xml:space="preserve">oppstå situasjoner </w:t>
      </w:r>
      <w:r w:rsidR="00AB657C" w:rsidRPr="007E64B5">
        <w:rPr>
          <w:color w:val="000000" w:themeColor="text1"/>
        </w:rPr>
        <w:t>hvor</w:t>
      </w:r>
      <w:r w:rsidRPr="007E64B5">
        <w:rPr>
          <w:color w:val="000000" w:themeColor="text1"/>
        </w:rPr>
        <w:t xml:space="preserve"> den statlige finansieringen</w:t>
      </w:r>
      <w:r w:rsidR="00281C5C" w:rsidRPr="007E64B5">
        <w:rPr>
          <w:color w:val="000000" w:themeColor="text1"/>
        </w:rPr>
        <w:t xml:space="preserve"> </w:t>
      </w:r>
      <w:r w:rsidRPr="007E64B5">
        <w:rPr>
          <w:color w:val="000000" w:themeColor="text1"/>
        </w:rPr>
        <w:t>av fastlegens aktivitet</w:t>
      </w:r>
      <w:r w:rsidR="004030EF" w:rsidRPr="007E64B5">
        <w:rPr>
          <w:color w:val="000000" w:themeColor="text1"/>
        </w:rPr>
        <w:t>,</w:t>
      </w:r>
      <w:r w:rsidRPr="007E64B5">
        <w:rPr>
          <w:color w:val="000000" w:themeColor="text1"/>
        </w:rPr>
        <w:t xml:space="preserve"> </w:t>
      </w:r>
      <w:r w:rsidR="005C6F10" w:rsidRPr="007E64B5">
        <w:rPr>
          <w:color w:val="000000" w:themeColor="text1"/>
        </w:rPr>
        <w:t>fastlegens prioriteringer innenfor rammene,</w:t>
      </w:r>
      <w:r w:rsidRPr="007E64B5">
        <w:rPr>
          <w:color w:val="000000" w:themeColor="text1"/>
        </w:rPr>
        <w:t xml:space="preserve"> og kommunens ønsker for fastlegetjenesten</w:t>
      </w:r>
      <w:r w:rsidR="004030EF" w:rsidRPr="007E64B5">
        <w:rPr>
          <w:color w:val="000000" w:themeColor="text1"/>
        </w:rPr>
        <w:t>,</w:t>
      </w:r>
      <w:r w:rsidRPr="007E64B5">
        <w:rPr>
          <w:color w:val="000000" w:themeColor="text1"/>
        </w:rPr>
        <w:t xml:space="preserve"> ikke er sammenfallende. Eksempler på dette kan være ønske fra kommunen om at fastlegene skal bruke tid på aktiviteter som ikke er finansiert gjennom takstsystemet</w:t>
      </w:r>
      <w:r w:rsidR="00053025" w:rsidRPr="007E64B5">
        <w:rPr>
          <w:color w:val="000000" w:themeColor="text1"/>
        </w:rPr>
        <w:t>, h</w:t>
      </w:r>
      <w:r w:rsidR="001D2C29" w:rsidRPr="007E64B5">
        <w:rPr>
          <w:color w:val="000000" w:themeColor="text1"/>
        </w:rPr>
        <w:t>erunder</w:t>
      </w:r>
      <w:r w:rsidR="00F540E0" w:rsidRPr="007E64B5">
        <w:rPr>
          <w:color w:val="000000" w:themeColor="text1"/>
        </w:rPr>
        <w:t xml:space="preserve"> innovasjon</w:t>
      </w:r>
      <w:r w:rsidR="00053025" w:rsidRPr="007E64B5">
        <w:rPr>
          <w:color w:val="000000" w:themeColor="text1"/>
        </w:rPr>
        <w:t xml:space="preserve"> og utvikling</w:t>
      </w:r>
      <w:r w:rsidR="00F540E0" w:rsidRPr="007E64B5">
        <w:rPr>
          <w:color w:val="000000" w:themeColor="text1"/>
        </w:rPr>
        <w:t xml:space="preserve">, ledelse, kvalitetsforbedringsarbeid, kompetanseheving, </w:t>
      </w:r>
      <w:r w:rsidR="00053025" w:rsidRPr="007E64B5">
        <w:rPr>
          <w:color w:val="000000" w:themeColor="text1"/>
        </w:rPr>
        <w:t>og</w:t>
      </w:r>
      <w:r w:rsidR="00F540E0" w:rsidRPr="007E64B5">
        <w:rPr>
          <w:color w:val="000000" w:themeColor="text1"/>
        </w:rPr>
        <w:t xml:space="preserve"> deltakelse i arbeidsgrupper </w:t>
      </w:r>
      <w:r w:rsidR="00F540E0" w:rsidRPr="007E64B5">
        <w:rPr>
          <w:color w:val="000000" w:themeColor="text1"/>
        </w:rPr>
        <w:lastRenderedPageBreak/>
        <w:t>og møter med kommune</w:t>
      </w:r>
      <w:r w:rsidR="00053025" w:rsidRPr="007E64B5">
        <w:rPr>
          <w:color w:val="000000" w:themeColor="text1"/>
        </w:rPr>
        <w:t>ns øvrige ledere og medarbeidere</w:t>
      </w:r>
      <w:r w:rsidR="00F540E0" w:rsidRPr="007E64B5">
        <w:rPr>
          <w:color w:val="000000" w:themeColor="text1"/>
        </w:rPr>
        <w:t xml:space="preserve">. </w:t>
      </w:r>
      <w:r w:rsidR="0023343B" w:rsidRPr="007E64B5">
        <w:rPr>
          <w:color w:val="000000" w:themeColor="text1"/>
        </w:rPr>
        <w:t>Det</w:t>
      </w:r>
      <w:r w:rsidRPr="007E64B5">
        <w:rPr>
          <w:color w:val="000000" w:themeColor="text1"/>
        </w:rPr>
        <w:t xml:space="preserve"> at finansieringen ikke følger sørge-for-ansvaret for tjenesten,</w:t>
      </w:r>
      <w:r w:rsidR="005351C1" w:rsidRPr="007E64B5">
        <w:rPr>
          <w:color w:val="000000" w:themeColor="text1"/>
        </w:rPr>
        <w:t xml:space="preserve"> kan potensielt medføre at kommunene ikke ser det som reelt mulig å fremme endring og utvikling av tjenesten</w:t>
      </w:r>
      <w:r w:rsidR="00433F39" w:rsidRPr="007E64B5">
        <w:rPr>
          <w:color w:val="000000" w:themeColor="text1"/>
        </w:rPr>
        <w:t xml:space="preserve"> etter eget ønske</w:t>
      </w:r>
      <w:r w:rsidRPr="007E64B5">
        <w:rPr>
          <w:color w:val="000000" w:themeColor="text1"/>
        </w:rPr>
        <w:t>.</w:t>
      </w:r>
    </w:p>
    <w:p w14:paraId="581C9C3E" w14:textId="77777777" w:rsidR="00D9107F" w:rsidRDefault="00433F39" w:rsidP="006118F9">
      <w:pPr>
        <w:jc w:val="both"/>
        <w:rPr>
          <w:color w:val="000000" w:themeColor="text1"/>
        </w:rPr>
      </w:pPr>
      <w:r w:rsidRPr="007E64B5">
        <w:rPr>
          <w:color w:val="000000" w:themeColor="text1"/>
        </w:rPr>
        <w:t>På samme tid som</w:t>
      </w:r>
      <w:r w:rsidR="00114394" w:rsidRPr="007E64B5">
        <w:rPr>
          <w:color w:val="000000" w:themeColor="text1"/>
        </w:rPr>
        <w:t xml:space="preserve"> statlig</w:t>
      </w:r>
      <w:r w:rsidRPr="007E64B5">
        <w:rPr>
          <w:color w:val="000000" w:themeColor="text1"/>
        </w:rPr>
        <w:t xml:space="preserve"> finansiering i dag gir større handlings</w:t>
      </w:r>
      <w:r w:rsidR="00124109" w:rsidRPr="007E64B5">
        <w:rPr>
          <w:color w:val="000000" w:themeColor="text1"/>
        </w:rPr>
        <w:t>r</w:t>
      </w:r>
      <w:r w:rsidRPr="007E64B5">
        <w:rPr>
          <w:color w:val="000000" w:themeColor="text1"/>
        </w:rPr>
        <w:t xml:space="preserve">om for fastlegene, vil </w:t>
      </w:r>
      <w:r w:rsidR="2EBAEEB4" w:rsidRPr="007E64B5">
        <w:rPr>
          <w:color w:val="000000" w:themeColor="text1"/>
        </w:rPr>
        <w:t>ove</w:t>
      </w:r>
      <w:r w:rsidR="490259C0" w:rsidRPr="007E64B5">
        <w:rPr>
          <w:color w:val="000000" w:themeColor="text1"/>
        </w:rPr>
        <w:t>r</w:t>
      </w:r>
      <w:r w:rsidR="2EBAEEB4" w:rsidRPr="007E64B5">
        <w:rPr>
          <w:color w:val="000000" w:themeColor="text1"/>
        </w:rPr>
        <w:t>føring</w:t>
      </w:r>
      <w:r w:rsidR="00356AE4" w:rsidRPr="007E64B5">
        <w:rPr>
          <w:color w:val="000000" w:themeColor="text1"/>
        </w:rPr>
        <w:t xml:space="preserve"> av finansieringsansvaret til kommunene </w:t>
      </w:r>
      <w:r w:rsidR="0069654D" w:rsidRPr="007E64B5">
        <w:rPr>
          <w:color w:val="000000" w:themeColor="text1"/>
        </w:rPr>
        <w:t>øke kommunen</w:t>
      </w:r>
      <w:r w:rsidR="00124109" w:rsidRPr="007E64B5">
        <w:rPr>
          <w:color w:val="000000" w:themeColor="text1"/>
        </w:rPr>
        <w:t>e</w:t>
      </w:r>
      <w:r w:rsidR="0069654D" w:rsidRPr="007E64B5">
        <w:rPr>
          <w:color w:val="000000" w:themeColor="text1"/>
        </w:rPr>
        <w:t xml:space="preserve">s </w:t>
      </w:r>
      <w:r w:rsidR="00AD732C" w:rsidRPr="007E64B5">
        <w:rPr>
          <w:color w:val="000000" w:themeColor="text1"/>
        </w:rPr>
        <w:t xml:space="preserve">handlingsrom. </w:t>
      </w:r>
      <w:r w:rsidR="0043231A" w:rsidRPr="007E64B5">
        <w:rPr>
          <w:color w:val="000000" w:themeColor="text1"/>
        </w:rPr>
        <w:t>Et samlet ansvar for tjenesten</w:t>
      </w:r>
      <w:r w:rsidR="00ED3368" w:rsidRPr="007E64B5">
        <w:rPr>
          <w:color w:val="000000" w:themeColor="text1"/>
        </w:rPr>
        <w:t>,</w:t>
      </w:r>
      <w:r w:rsidR="0043231A" w:rsidRPr="007E64B5">
        <w:rPr>
          <w:color w:val="000000" w:themeColor="text1"/>
        </w:rPr>
        <w:t xml:space="preserve"> og for finansieringen av den, </w:t>
      </w:r>
      <w:r w:rsidR="0025295A" w:rsidRPr="007E64B5">
        <w:rPr>
          <w:color w:val="000000" w:themeColor="text1"/>
        </w:rPr>
        <w:t>kan gi</w:t>
      </w:r>
      <w:r w:rsidR="0043231A" w:rsidRPr="007E64B5">
        <w:rPr>
          <w:color w:val="000000" w:themeColor="text1"/>
        </w:rPr>
        <w:t xml:space="preserve"> </w:t>
      </w:r>
      <w:r w:rsidR="00AC3D13" w:rsidRPr="007E64B5">
        <w:rPr>
          <w:color w:val="000000" w:themeColor="text1"/>
        </w:rPr>
        <w:t xml:space="preserve">større reell </w:t>
      </w:r>
      <w:r w:rsidR="0043231A" w:rsidRPr="007E64B5">
        <w:rPr>
          <w:color w:val="000000" w:themeColor="text1"/>
        </w:rPr>
        <w:t>kommunal handlingsfrihet til å organisere tjenestene sine slik kommunen finner mest hensiktsmessig</w:t>
      </w:r>
      <w:r w:rsidR="009F0001" w:rsidRPr="007E64B5">
        <w:rPr>
          <w:color w:val="000000" w:themeColor="text1"/>
        </w:rPr>
        <w:t>,</w:t>
      </w:r>
      <w:r w:rsidR="00A554E8" w:rsidRPr="007E64B5">
        <w:rPr>
          <w:color w:val="000000" w:themeColor="text1"/>
        </w:rPr>
        <w:t xml:space="preserve"> </w:t>
      </w:r>
      <w:r w:rsidR="00BF319E" w:rsidRPr="007E64B5">
        <w:rPr>
          <w:color w:val="000000" w:themeColor="text1"/>
        </w:rPr>
        <w:t>gitt lokale behov</w:t>
      </w:r>
      <w:r w:rsidR="00053025" w:rsidRPr="007E64B5">
        <w:rPr>
          <w:color w:val="000000" w:themeColor="text1"/>
        </w:rPr>
        <w:t>,</w:t>
      </w:r>
      <w:r w:rsidR="005C6F10" w:rsidRPr="007E64B5">
        <w:rPr>
          <w:color w:val="000000" w:themeColor="text1"/>
        </w:rPr>
        <w:t xml:space="preserve"> og forutsatt at kommunen er gitt mulighet for å drive kostnadskontroll. </w:t>
      </w:r>
      <w:r w:rsidR="0043231A" w:rsidRPr="007E64B5">
        <w:rPr>
          <w:color w:val="000000" w:themeColor="text1"/>
        </w:rPr>
        <w:t xml:space="preserve">Dette er i dag tilfelle for andre deler av den kommunale legetjenesten, og også for andre deler av kommunens tjenester. I sykehus er det også handlingsfrihet knyttet til dette, og som særlig kanskje gir seg utslag knyttet til </w:t>
      </w:r>
      <w:r w:rsidR="00204582" w:rsidRPr="007E64B5">
        <w:rPr>
          <w:color w:val="000000" w:themeColor="text1"/>
        </w:rPr>
        <w:t>effektiv oppgaveløs</w:t>
      </w:r>
      <w:r w:rsidR="006118F9" w:rsidRPr="007E64B5">
        <w:rPr>
          <w:color w:val="000000" w:themeColor="text1"/>
        </w:rPr>
        <w:t>n</w:t>
      </w:r>
      <w:r w:rsidR="00204582" w:rsidRPr="007E64B5">
        <w:rPr>
          <w:color w:val="000000" w:themeColor="text1"/>
        </w:rPr>
        <w:t xml:space="preserve">ing </w:t>
      </w:r>
      <w:r w:rsidR="004B4B5F" w:rsidRPr="007E64B5">
        <w:rPr>
          <w:color w:val="000000" w:themeColor="text1"/>
        </w:rPr>
        <w:t xml:space="preserve">og </w:t>
      </w:r>
      <w:r w:rsidR="00053025" w:rsidRPr="007E64B5">
        <w:rPr>
          <w:color w:val="000000" w:themeColor="text1"/>
        </w:rPr>
        <w:t>oppgavedeling mellom ulike yrkesgrupper</w:t>
      </w:r>
      <w:r w:rsidR="0043231A" w:rsidRPr="007E64B5">
        <w:rPr>
          <w:color w:val="000000" w:themeColor="text1"/>
        </w:rPr>
        <w:t>.</w:t>
      </w:r>
    </w:p>
    <w:p w14:paraId="6C7F58B2" w14:textId="77777777" w:rsidR="00D9107F" w:rsidRDefault="0043231A" w:rsidP="00E83671">
      <w:pPr>
        <w:jc w:val="both"/>
        <w:rPr>
          <w:color w:val="000000" w:themeColor="text1"/>
        </w:rPr>
      </w:pPr>
      <w:r w:rsidRPr="007E64B5">
        <w:rPr>
          <w:color w:val="000000" w:themeColor="text1"/>
        </w:rPr>
        <w:t xml:space="preserve">Det </w:t>
      </w:r>
      <w:r w:rsidR="007B573F" w:rsidRPr="007E64B5">
        <w:rPr>
          <w:color w:val="000000" w:themeColor="text1"/>
        </w:rPr>
        <w:t>delte ansvaret</w:t>
      </w:r>
      <w:r w:rsidRPr="007E64B5">
        <w:rPr>
          <w:color w:val="000000" w:themeColor="text1"/>
        </w:rPr>
        <w:t xml:space="preserve"> kan tenkes å være noe av årsaken til at organiseringen av fastlegeordningen er nokså lik i dag som ved innføringen</w:t>
      </w:r>
      <w:r w:rsidR="00E83671" w:rsidRPr="007E64B5">
        <w:rPr>
          <w:color w:val="000000" w:themeColor="text1"/>
        </w:rPr>
        <w:t xml:space="preserve">. </w:t>
      </w:r>
      <w:r w:rsidR="004030EF" w:rsidRPr="007E64B5">
        <w:rPr>
          <w:color w:val="000000" w:themeColor="text1"/>
        </w:rPr>
        <w:t xml:space="preserve">At sørge-for-ansvaret og finansieringsansvaret for fastlegetjenesten ikke ligger samlet, </w:t>
      </w:r>
      <w:r w:rsidR="009A61C8" w:rsidRPr="007E64B5">
        <w:rPr>
          <w:color w:val="000000" w:themeColor="text1"/>
        </w:rPr>
        <w:t xml:space="preserve">kan tenkes </w:t>
      </w:r>
      <w:r w:rsidR="004030EF" w:rsidRPr="007E64B5">
        <w:rPr>
          <w:color w:val="000000" w:themeColor="text1"/>
        </w:rPr>
        <w:t>å begrense kommunens mulighet til å utøve strategisk ledelse av fastlegetjenesten. Dette kan videre gi uklare linjer for styring og ansvar i fastlegeordningen, som igjen kan bidra til en distansert og mindre integrert legetjeneste i kommunen.</w:t>
      </w:r>
    </w:p>
    <w:p w14:paraId="38196A23" w14:textId="77777777" w:rsidR="00D9107F" w:rsidRDefault="00467664" w:rsidP="00E83671">
      <w:pPr>
        <w:jc w:val="both"/>
        <w:rPr>
          <w:color w:val="000000" w:themeColor="text1"/>
        </w:rPr>
      </w:pPr>
      <w:r w:rsidRPr="007E64B5">
        <w:rPr>
          <w:color w:val="000000" w:themeColor="text1"/>
        </w:rPr>
        <w:t>Med dagens modell</w:t>
      </w:r>
      <w:r w:rsidR="007D589D" w:rsidRPr="007E64B5">
        <w:rPr>
          <w:color w:val="000000" w:themeColor="text1"/>
        </w:rPr>
        <w:t>,</w:t>
      </w:r>
      <w:r w:rsidRPr="007E64B5">
        <w:rPr>
          <w:color w:val="000000" w:themeColor="text1"/>
        </w:rPr>
        <w:t xml:space="preserve"> </w:t>
      </w:r>
      <w:r w:rsidR="00253720" w:rsidRPr="007E64B5">
        <w:rPr>
          <w:color w:val="000000" w:themeColor="text1"/>
        </w:rPr>
        <w:t>hvor staten har finansieringsansvaret</w:t>
      </w:r>
      <w:r w:rsidR="00E345E1" w:rsidRPr="007E64B5">
        <w:rPr>
          <w:color w:val="000000" w:themeColor="text1"/>
        </w:rPr>
        <w:t>,</w:t>
      </w:r>
      <w:r w:rsidRPr="007E64B5">
        <w:rPr>
          <w:color w:val="000000" w:themeColor="text1"/>
        </w:rPr>
        <w:t xml:space="preserve"> </w:t>
      </w:r>
      <w:r w:rsidR="007775E2" w:rsidRPr="007E64B5">
        <w:rPr>
          <w:color w:val="000000" w:themeColor="text1"/>
        </w:rPr>
        <w:t xml:space="preserve">vil </w:t>
      </w:r>
      <w:r w:rsidR="00F571EC" w:rsidRPr="007E64B5">
        <w:rPr>
          <w:color w:val="000000" w:themeColor="text1"/>
        </w:rPr>
        <w:t>k</w:t>
      </w:r>
      <w:r w:rsidRPr="007E64B5">
        <w:rPr>
          <w:color w:val="000000" w:themeColor="text1"/>
        </w:rPr>
        <w:t>ommunene</w:t>
      </w:r>
      <w:r w:rsidR="007775E2" w:rsidRPr="007E64B5">
        <w:rPr>
          <w:color w:val="000000" w:themeColor="text1"/>
        </w:rPr>
        <w:t xml:space="preserve"> kunne ha økonomiske insentiver til å tilføre eller beholde oppgaver i fastlegeordningen. Tilsvarende vil ikke kommunene ha økonomiske insentiver til å opprette </w:t>
      </w:r>
      <w:r w:rsidR="00942483" w:rsidRPr="007E64B5">
        <w:rPr>
          <w:color w:val="000000" w:themeColor="text1"/>
        </w:rPr>
        <w:t xml:space="preserve">for eksempel </w:t>
      </w:r>
      <w:r w:rsidR="007775E2" w:rsidRPr="007E64B5">
        <w:rPr>
          <w:color w:val="000000" w:themeColor="text1"/>
        </w:rPr>
        <w:t xml:space="preserve">sykepleietjenester for </w:t>
      </w:r>
      <w:r w:rsidR="007D589D" w:rsidRPr="007E64B5">
        <w:rPr>
          <w:color w:val="000000" w:themeColor="text1"/>
        </w:rPr>
        <w:t>håndtering av</w:t>
      </w:r>
      <w:r w:rsidR="007775E2" w:rsidRPr="007E64B5">
        <w:rPr>
          <w:color w:val="000000" w:themeColor="text1"/>
        </w:rPr>
        <w:t xml:space="preserve"> oppgaver som fastlegen kan – men ikke må – løse, som for eksempel sårstell, diabeteskontroller, svangerskapsomsorg og prevensjonsveiledning, fordi kommunen selv må betale. </w:t>
      </w:r>
      <w:r w:rsidR="007D589D" w:rsidRPr="007E64B5">
        <w:rPr>
          <w:color w:val="000000" w:themeColor="text1"/>
        </w:rPr>
        <w:t>Til tross for dette, ser vi likevel at kommunene etablerer nye og avlastende tjenester og tiltak, samtidig som potensialet for oppgavedeling er større.</w:t>
      </w:r>
    </w:p>
    <w:p w14:paraId="053BCE1B" w14:textId="77777777" w:rsidR="00D9107F" w:rsidRDefault="00467664" w:rsidP="00E83671">
      <w:pPr>
        <w:jc w:val="both"/>
        <w:rPr>
          <w:color w:val="000000" w:themeColor="text1"/>
          <w:shd w:val="clear" w:color="auto" w:fill="FFFFFF"/>
        </w:rPr>
      </w:pPr>
      <w:r w:rsidRPr="007E64B5">
        <w:rPr>
          <w:color w:val="000000" w:themeColor="text1"/>
        </w:rPr>
        <w:t xml:space="preserve">Fastlegene kunne vært bedre integrert med kommunenes øvrige helsetjenester. </w:t>
      </w:r>
      <w:r w:rsidR="007775E2" w:rsidRPr="007E64B5">
        <w:rPr>
          <w:color w:val="000000" w:themeColor="text1"/>
        </w:rPr>
        <w:t>Mange sykepleiere i kommunen har i dag selvstendige og spesialiserte oppgaver</w:t>
      </w:r>
      <w:r w:rsidR="00ED3368" w:rsidRPr="007E64B5">
        <w:rPr>
          <w:color w:val="000000" w:themeColor="text1"/>
        </w:rPr>
        <w:t>,</w:t>
      </w:r>
      <w:r w:rsidR="007775E2" w:rsidRPr="007E64B5">
        <w:rPr>
          <w:color w:val="000000" w:themeColor="text1"/>
        </w:rPr>
        <w:t xml:space="preserve"> </w:t>
      </w:r>
      <w:r w:rsidR="007775E2" w:rsidRPr="007E64B5">
        <w:rPr>
          <w:color w:val="000000" w:themeColor="text1"/>
          <w:highlight w:val="white"/>
        </w:rPr>
        <w:t>som krever solid breddekompetanse og avanserte kliniske ferdigheter</w:t>
      </w:r>
      <w:r w:rsidR="007775E2" w:rsidRPr="007E64B5">
        <w:rPr>
          <w:color w:val="000000" w:themeColor="text1"/>
          <w:shd w:val="clear" w:color="auto" w:fill="FFFFFF"/>
        </w:rPr>
        <w:t xml:space="preserve">. Denne kompetansen </w:t>
      </w:r>
      <w:r w:rsidR="00786A9C" w:rsidRPr="007E64B5">
        <w:rPr>
          <w:color w:val="000000" w:themeColor="text1"/>
          <w:shd w:val="clear" w:color="auto" w:fill="FFFFFF"/>
        </w:rPr>
        <w:t>kan</w:t>
      </w:r>
      <w:r w:rsidR="007775E2" w:rsidRPr="007E64B5">
        <w:rPr>
          <w:color w:val="000000" w:themeColor="text1"/>
          <w:shd w:val="clear" w:color="auto" w:fill="FFFFFF"/>
        </w:rPr>
        <w:t xml:space="preserve"> </w:t>
      </w:r>
      <w:r w:rsidRPr="007E64B5">
        <w:rPr>
          <w:color w:val="000000" w:themeColor="text1"/>
          <w:shd w:val="clear" w:color="auto" w:fill="FFFFFF"/>
        </w:rPr>
        <w:t xml:space="preserve">brukes på tvers av de kommunale tjenestene, og avlaste fastlegene for mange oppgaver. </w:t>
      </w:r>
      <w:r w:rsidR="007775E2" w:rsidRPr="007E64B5">
        <w:rPr>
          <w:color w:val="000000" w:themeColor="text1"/>
          <w:shd w:val="clear" w:color="auto" w:fill="FFFFFF"/>
        </w:rPr>
        <w:t>Det samme gjelder også for bruk av annet helsepersonell</w:t>
      </w:r>
      <w:r w:rsidR="00ED3368" w:rsidRPr="007E64B5">
        <w:rPr>
          <w:color w:val="000000" w:themeColor="text1"/>
          <w:shd w:val="clear" w:color="auto" w:fill="FFFFFF"/>
        </w:rPr>
        <w:t>,</w:t>
      </w:r>
      <w:r w:rsidR="007775E2" w:rsidRPr="007E64B5">
        <w:rPr>
          <w:color w:val="000000" w:themeColor="text1"/>
          <w:shd w:val="clear" w:color="auto" w:fill="FFFFFF"/>
        </w:rPr>
        <w:t xml:space="preserve"> som psykologer, fysioterapeuter og manuellterapeuter. Med dagens finansieringsordning vil en slik tilpasning av tjenesten påføre kommunen ekstra kostnader.</w:t>
      </w:r>
    </w:p>
    <w:p w14:paraId="63974BE9" w14:textId="77777777" w:rsidR="00D9107F" w:rsidRDefault="00D07F37" w:rsidP="00E83671">
      <w:pPr>
        <w:jc w:val="both"/>
        <w:rPr>
          <w:color w:val="000000" w:themeColor="text1"/>
          <w:shd w:val="clear" w:color="auto" w:fill="FFFFFF"/>
        </w:rPr>
      </w:pPr>
      <w:r w:rsidRPr="007E64B5">
        <w:rPr>
          <w:color w:val="000000" w:themeColor="text1"/>
        </w:rPr>
        <w:t xml:space="preserve">Kommunen har et lovpålagt ansvar for å drive folkehelsearbeid og forebygging, der det meste av arbeidet foregår utenfor fastlegeordningen. </w:t>
      </w:r>
      <w:r w:rsidR="007775E2" w:rsidRPr="007E64B5">
        <w:rPr>
          <w:color w:val="000000" w:themeColor="text1"/>
          <w:shd w:val="clear" w:color="auto" w:fill="FFFFFF"/>
        </w:rPr>
        <w:t xml:space="preserve">Folkehelsearbeid og primærforebygging </w:t>
      </w:r>
      <w:r w:rsidR="007775E2" w:rsidRPr="007E64B5">
        <w:rPr>
          <w:color w:val="000000" w:themeColor="text1"/>
        </w:rPr>
        <w:t xml:space="preserve">av </w:t>
      </w:r>
      <w:r w:rsidR="007775E2" w:rsidRPr="007E64B5">
        <w:rPr>
          <w:color w:val="000000" w:themeColor="text1"/>
          <w:shd w:val="clear" w:color="auto" w:fill="FFFFFF"/>
        </w:rPr>
        <w:t>sykdom ligger utenfor den statlige finansieringen av fastlegeordningen. Dersom kommunene skal involvere fastlegene i dette arbeidet, vil det måtte avtales særskilt.</w:t>
      </w:r>
    </w:p>
    <w:p w14:paraId="6F7A9285" w14:textId="77777777" w:rsidR="00D9107F" w:rsidRDefault="00371E2E" w:rsidP="0042634D">
      <w:pPr>
        <w:jc w:val="both"/>
        <w:rPr>
          <w:rFonts w:cstheme="minorHAnsi"/>
          <w:color w:val="000000" w:themeColor="text1"/>
        </w:rPr>
      </w:pPr>
      <w:r w:rsidRPr="007E64B5">
        <w:rPr>
          <w:rFonts w:cstheme="minorHAnsi"/>
          <w:color w:val="000000" w:themeColor="text1"/>
        </w:rPr>
        <w:lastRenderedPageBreak/>
        <w:t xml:space="preserve">Vi har omtalt noen mulige insentiver fra kommunens </w:t>
      </w:r>
      <w:r w:rsidR="00862276" w:rsidRPr="007E64B5">
        <w:rPr>
          <w:rFonts w:cstheme="minorHAnsi"/>
          <w:color w:val="000000" w:themeColor="text1"/>
        </w:rPr>
        <w:t>og fastlegens</w:t>
      </w:r>
      <w:r w:rsidRPr="007E64B5">
        <w:rPr>
          <w:rFonts w:cstheme="minorHAnsi"/>
          <w:color w:val="000000" w:themeColor="text1"/>
        </w:rPr>
        <w:t xml:space="preserve"> perspektiv, men </w:t>
      </w:r>
      <w:r w:rsidR="00B41C1E" w:rsidRPr="007E64B5">
        <w:rPr>
          <w:rFonts w:cstheme="minorHAnsi"/>
          <w:color w:val="000000" w:themeColor="text1"/>
        </w:rPr>
        <w:t xml:space="preserve">det delte ansvaret kan også påvirke statens </w:t>
      </w:r>
      <w:r w:rsidR="007A5CE3" w:rsidRPr="007E64B5">
        <w:rPr>
          <w:rFonts w:cstheme="minorHAnsi"/>
          <w:color w:val="000000" w:themeColor="text1"/>
        </w:rPr>
        <w:t xml:space="preserve">atferd. </w:t>
      </w:r>
      <w:r w:rsidR="004030EF" w:rsidRPr="007E64B5">
        <w:rPr>
          <w:rFonts w:cstheme="minorHAnsi"/>
          <w:color w:val="000000" w:themeColor="text1"/>
        </w:rPr>
        <w:t>Et</w:t>
      </w:r>
      <w:r w:rsidR="004030EF" w:rsidRPr="007E64B5" w:rsidDel="008C4211">
        <w:rPr>
          <w:rFonts w:cstheme="minorHAnsi"/>
          <w:color w:val="000000" w:themeColor="text1"/>
        </w:rPr>
        <w:t xml:space="preserve"> </w:t>
      </w:r>
      <w:r w:rsidR="008C4211" w:rsidRPr="007E64B5">
        <w:rPr>
          <w:rFonts w:cstheme="minorHAnsi"/>
          <w:color w:val="000000" w:themeColor="text1"/>
        </w:rPr>
        <w:t>mer åpent</w:t>
      </w:r>
      <w:r w:rsidR="004030EF" w:rsidRPr="007E64B5">
        <w:rPr>
          <w:rFonts w:cstheme="minorHAnsi"/>
          <w:color w:val="000000" w:themeColor="text1"/>
        </w:rPr>
        <w:t xml:space="preserve"> lovverk knyttet til refusjoner fra Helfo gir staten redusert kostnadskontroll. Å gi flere personellgrupper i fastlegeordningen </w:t>
      </w:r>
      <w:r w:rsidR="00FE210A" w:rsidRPr="007E64B5">
        <w:rPr>
          <w:rFonts w:cstheme="minorHAnsi"/>
          <w:color w:val="000000" w:themeColor="text1"/>
        </w:rPr>
        <w:t xml:space="preserve">tilgang til å kreve refusjoner </w:t>
      </w:r>
      <w:r w:rsidR="00CC2CB0" w:rsidRPr="007E64B5">
        <w:rPr>
          <w:rFonts w:cstheme="minorHAnsi"/>
          <w:color w:val="000000" w:themeColor="text1"/>
        </w:rPr>
        <w:t xml:space="preserve">– eller utvide hva man kan kreve refusjoner for </w:t>
      </w:r>
      <w:r w:rsidR="00ED3368" w:rsidRPr="007E64B5">
        <w:rPr>
          <w:rFonts w:cstheme="minorHAnsi"/>
          <w:color w:val="000000" w:themeColor="text1"/>
        </w:rPr>
        <w:t>–</w:t>
      </w:r>
      <w:r w:rsidR="00CC2CB0" w:rsidRPr="007E64B5">
        <w:rPr>
          <w:rFonts w:cstheme="minorHAnsi"/>
          <w:color w:val="000000" w:themeColor="text1"/>
        </w:rPr>
        <w:t xml:space="preserve"> </w:t>
      </w:r>
      <w:r w:rsidR="00FE210A" w:rsidRPr="007E64B5">
        <w:rPr>
          <w:rFonts w:cstheme="minorHAnsi"/>
          <w:color w:val="000000" w:themeColor="text1"/>
        </w:rPr>
        <w:t>vil isolert sett fr</w:t>
      </w:r>
      <w:r w:rsidR="00053025" w:rsidRPr="007E64B5">
        <w:rPr>
          <w:rFonts w:cstheme="minorHAnsi"/>
          <w:color w:val="000000" w:themeColor="text1"/>
        </w:rPr>
        <w:t>a</w:t>
      </w:r>
      <w:r w:rsidR="00FE210A" w:rsidRPr="007E64B5">
        <w:rPr>
          <w:rFonts w:cstheme="minorHAnsi"/>
          <w:color w:val="000000" w:themeColor="text1"/>
        </w:rPr>
        <w:t xml:space="preserve">mstå som en </w:t>
      </w:r>
      <w:r w:rsidR="00BF318F" w:rsidRPr="007E64B5">
        <w:rPr>
          <w:rFonts w:cstheme="minorHAnsi"/>
          <w:color w:val="000000" w:themeColor="text1"/>
        </w:rPr>
        <w:t xml:space="preserve">ekstrakostnad for </w:t>
      </w:r>
      <w:r w:rsidR="004030EF" w:rsidRPr="007E64B5">
        <w:rPr>
          <w:rFonts w:cstheme="minorHAnsi"/>
          <w:color w:val="000000" w:themeColor="text1"/>
        </w:rPr>
        <w:t>staten.</w:t>
      </w:r>
      <w:r w:rsidR="00BF318F" w:rsidRPr="007E64B5">
        <w:rPr>
          <w:rFonts w:cstheme="minorHAnsi"/>
          <w:color w:val="000000" w:themeColor="text1"/>
        </w:rPr>
        <w:t xml:space="preserve"> </w:t>
      </w:r>
      <w:r w:rsidR="008B2703" w:rsidRPr="007E64B5">
        <w:rPr>
          <w:rFonts w:cstheme="minorHAnsi"/>
          <w:color w:val="000000" w:themeColor="text1"/>
        </w:rPr>
        <w:t xml:space="preserve">Dette kan være en berettiget </w:t>
      </w:r>
      <w:r w:rsidR="009A221E" w:rsidRPr="007E64B5">
        <w:rPr>
          <w:rFonts w:cstheme="minorHAnsi"/>
          <w:color w:val="000000" w:themeColor="text1"/>
        </w:rPr>
        <w:t xml:space="preserve">bekymring, men det kan også tenkes at </w:t>
      </w:r>
      <w:r w:rsidR="0096405E" w:rsidRPr="007E64B5">
        <w:rPr>
          <w:rFonts w:cstheme="minorHAnsi"/>
          <w:color w:val="000000" w:themeColor="text1"/>
        </w:rPr>
        <w:t xml:space="preserve">det offentliges totale kostnader blir lavere ved å </w:t>
      </w:r>
      <w:r w:rsidR="005A30FD" w:rsidRPr="007E64B5">
        <w:rPr>
          <w:rFonts w:cstheme="minorHAnsi"/>
          <w:color w:val="000000" w:themeColor="text1"/>
        </w:rPr>
        <w:t xml:space="preserve">utvide </w:t>
      </w:r>
      <w:r w:rsidR="00237E6B" w:rsidRPr="007E64B5">
        <w:rPr>
          <w:rFonts w:cstheme="minorHAnsi"/>
          <w:color w:val="000000" w:themeColor="text1"/>
        </w:rPr>
        <w:t xml:space="preserve">hva det kan søkes </w:t>
      </w:r>
      <w:r w:rsidR="005A30FD" w:rsidRPr="007E64B5">
        <w:rPr>
          <w:rFonts w:cstheme="minorHAnsi"/>
          <w:color w:val="000000" w:themeColor="text1"/>
        </w:rPr>
        <w:t>refusjon</w:t>
      </w:r>
      <w:r w:rsidR="00237E6B" w:rsidRPr="007E64B5">
        <w:rPr>
          <w:rFonts w:cstheme="minorHAnsi"/>
          <w:color w:val="000000" w:themeColor="text1"/>
        </w:rPr>
        <w:t xml:space="preserve"> for og </w:t>
      </w:r>
      <w:r w:rsidR="26BF782C" w:rsidRPr="007E64B5">
        <w:rPr>
          <w:color w:val="000000" w:themeColor="text1"/>
        </w:rPr>
        <w:t xml:space="preserve">ved å </w:t>
      </w:r>
      <w:r w:rsidR="008330E4" w:rsidRPr="007E64B5">
        <w:rPr>
          <w:rFonts w:cstheme="minorHAnsi"/>
          <w:color w:val="000000" w:themeColor="text1"/>
        </w:rPr>
        <w:t xml:space="preserve">åpne for </w:t>
      </w:r>
      <w:r w:rsidR="0074400F" w:rsidRPr="007E64B5">
        <w:rPr>
          <w:rFonts w:cstheme="minorHAnsi"/>
          <w:color w:val="000000" w:themeColor="text1"/>
        </w:rPr>
        <w:t xml:space="preserve">refusjoner til </w:t>
      </w:r>
      <w:r w:rsidR="008330E4" w:rsidRPr="007E64B5">
        <w:rPr>
          <w:rFonts w:cstheme="minorHAnsi"/>
          <w:color w:val="000000" w:themeColor="text1"/>
        </w:rPr>
        <w:t xml:space="preserve">andre enn </w:t>
      </w:r>
      <w:r w:rsidR="004030EF" w:rsidRPr="007E64B5">
        <w:rPr>
          <w:rFonts w:cstheme="minorHAnsi"/>
          <w:color w:val="000000" w:themeColor="text1"/>
        </w:rPr>
        <w:t>fastleger.</w:t>
      </w:r>
      <w:r w:rsidR="008330E4" w:rsidRPr="007E64B5">
        <w:rPr>
          <w:rFonts w:cstheme="minorHAnsi"/>
          <w:color w:val="000000" w:themeColor="text1"/>
        </w:rPr>
        <w:t xml:space="preserve"> </w:t>
      </w:r>
      <w:r w:rsidR="00B202AF" w:rsidRPr="007E64B5">
        <w:rPr>
          <w:rFonts w:cstheme="minorHAnsi"/>
          <w:color w:val="000000" w:themeColor="text1"/>
        </w:rPr>
        <w:t xml:space="preserve">Mer overordnet kan det tenkes at staten </w:t>
      </w:r>
      <w:r w:rsidR="00732788" w:rsidRPr="007E64B5">
        <w:rPr>
          <w:rFonts w:cstheme="minorHAnsi"/>
          <w:color w:val="000000" w:themeColor="text1"/>
        </w:rPr>
        <w:t xml:space="preserve">ønsker å </w:t>
      </w:r>
      <w:r w:rsidR="00BF33C8" w:rsidRPr="007E64B5">
        <w:rPr>
          <w:rFonts w:cstheme="minorHAnsi"/>
          <w:color w:val="000000" w:themeColor="text1"/>
        </w:rPr>
        <w:t xml:space="preserve">både </w:t>
      </w:r>
      <w:r w:rsidR="00732788" w:rsidRPr="007E64B5">
        <w:rPr>
          <w:rFonts w:cstheme="minorHAnsi"/>
          <w:color w:val="000000" w:themeColor="text1"/>
        </w:rPr>
        <w:t xml:space="preserve">detaljregulere </w:t>
      </w:r>
      <w:r w:rsidR="00BF33C8" w:rsidRPr="007E64B5">
        <w:rPr>
          <w:rFonts w:cstheme="minorHAnsi"/>
          <w:color w:val="000000" w:themeColor="text1"/>
        </w:rPr>
        <w:t xml:space="preserve">og kontrollere </w:t>
      </w:r>
      <w:r w:rsidR="00732788" w:rsidRPr="007E64B5">
        <w:rPr>
          <w:rFonts w:cstheme="minorHAnsi"/>
          <w:color w:val="000000" w:themeColor="text1"/>
        </w:rPr>
        <w:t xml:space="preserve">kommunene </w:t>
      </w:r>
      <w:r w:rsidR="003A462A" w:rsidRPr="007E64B5">
        <w:rPr>
          <w:rFonts w:cstheme="minorHAnsi"/>
          <w:color w:val="000000" w:themeColor="text1"/>
        </w:rPr>
        <w:t xml:space="preserve">og legene </w:t>
      </w:r>
      <w:r w:rsidR="0084249B" w:rsidRPr="007E64B5">
        <w:rPr>
          <w:rFonts w:cstheme="minorHAnsi"/>
          <w:color w:val="000000" w:themeColor="text1"/>
        </w:rPr>
        <w:t xml:space="preserve">for å </w:t>
      </w:r>
      <w:r w:rsidR="00F66AF1" w:rsidRPr="007E64B5">
        <w:rPr>
          <w:rFonts w:cstheme="minorHAnsi"/>
          <w:color w:val="000000" w:themeColor="text1"/>
        </w:rPr>
        <w:t xml:space="preserve">ramme </w:t>
      </w:r>
      <w:r w:rsidR="00603E32" w:rsidRPr="007E64B5">
        <w:rPr>
          <w:rFonts w:cstheme="minorHAnsi"/>
          <w:color w:val="000000" w:themeColor="text1"/>
        </w:rPr>
        <w:t xml:space="preserve">inn </w:t>
      </w:r>
      <w:r w:rsidR="000A78E5" w:rsidRPr="007E64B5">
        <w:rPr>
          <w:rFonts w:cstheme="minorHAnsi"/>
          <w:color w:val="000000" w:themeColor="text1"/>
        </w:rPr>
        <w:t xml:space="preserve">kostnadene til </w:t>
      </w:r>
      <w:r w:rsidR="002E71D7" w:rsidRPr="007E64B5">
        <w:rPr>
          <w:rFonts w:cstheme="minorHAnsi"/>
          <w:color w:val="000000" w:themeColor="text1"/>
        </w:rPr>
        <w:t>refusjon</w:t>
      </w:r>
      <w:r w:rsidR="000A78E5" w:rsidRPr="007E64B5">
        <w:rPr>
          <w:rFonts w:cstheme="minorHAnsi"/>
          <w:color w:val="000000" w:themeColor="text1"/>
        </w:rPr>
        <w:t>er</w:t>
      </w:r>
      <w:r w:rsidR="0084249B" w:rsidRPr="007E64B5">
        <w:rPr>
          <w:rFonts w:cstheme="minorHAnsi"/>
          <w:color w:val="000000" w:themeColor="text1"/>
        </w:rPr>
        <w:t>.</w:t>
      </w:r>
    </w:p>
    <w:p w14:paraId="4D12D0D2" w14:textId="77777777" w:rsidR="00D9107F" w:rsidRDefault="00B673B1" w:rsidP="0042634D">
      <w:pPr>
        <w:jc w:val="both"/>
        <w:rPr>
          <w:color w:val="000000" w:themeColor="text1"/>
        </w:rPr>
      </w:pPr>
      <w:r w:rsidRPr="007E64B5">
        <w:rPr>
          <w:color w:val="000000" w:themeColor="text1"/>
        </w:rPr>
        <w:t xml:space="preserve">Også andre deler av staten, som </w:t>
      </w:r>
      <w:r w:rsidR="005179CD" w:rsidRPr="007E64B5">
        <w:rPr>
          <w:color w:val="000000" w:themeColor="text1"/>
        </w:rPr>
        <w:t xml:space="preserve">for eksempel </w:t>
      </w:r>
      <w:r w:rsidR="00ED3368" w:rsidRPr="007E64B5">
        <w:rPr>
          <w:color w:val="000000" w:themeColor="text1"/>
        </w:rPr>
        <w:t>helseforetakene</w:t>
      </w:r>
      <w:r w:rsidR="005179CD" w:rsidRPr="007E64B5">
        <w:rPr>
          <w:color w:val="000000" w:themeColor="text1"/>
        </w:rPr>
        <w:t xml:space="preserve">, </w:t>
      </w:r>
      <w:r w:rsidR="000F49CD" w:rsidRPr="007E64B5">
        <w:rPr>
          <w:color w:val="000000" w:themeColor="text1"/>
        </w:rPr>
        <w:t xml:space="preserve">vil ha insentiver til å flytte aktivitet fra egne budsjetter og over </w:t>
      </w:r>
      <w:r w:rsidR="002E5A79" w:rsidRPr="007E64B5">
        <w:rPr>
          <w:color w:val="000000" w:themeColor="text1"/>
        </w:rPr>
        <w:t xml:space="preserve">på </w:t>
      </w:r>
      <w:r w:rsidR="00D008AE" w:rsidRPr="007E64B5">
        <w:rPr>
          <w:color w:val="000000" w:themeColor="text1"/>
        </w:rPr>
        <w:t>fastlegene</w:t>
      </w:r>
      <w:r w:rsidR="00F230A6" w:rsidRPr="007E64B5">
        <w:rPr>
          <w:color w:val="000000" w:themeColor="text1"/>
        </w:rPr>
        <w:t xml:space="preserve"> (som belaster Helfo</w:t>
      </w:r>
      <w:r w:rsidR="004030EF" w:rsidRPr="007E64B5">
        <w:rPr>
          <w:color w:val="000000" w:themeColor="text1"/>
        </w:rPr>
        <w:t xml:space="preserve">). Insentiver som følger av at sørge-for-ansvaret er avgrenset på </w:t>
      </w:r>
      <w:r w:rsidR="00ED3368" w:rsidRPr="007E64B5">
        <w:rPr>
          <w:color w:val="000000" w:themeColor="text1"/>
        </w:rPr>
        <w:t xml:space="preserve">en annen </w:t>
      </w:r>
      <w:r w:rsidR="004030EF" w:rsidRPr="007E64B5">
        <w:rPr>
          <w:color w:val="000000" w:themeColor="text1"/>
        </w:rPr>
        <w:t xml:space="preserve">måte enn finansieringsansvaret </w:t>
      </w:r>
      <w:r w:rsidR="00453862" w:rsidRPr="007E64B5">
        <w:rPr>
          <w:color w:val="000000" w:themeColor="text1"/>
        </w:rPr>
        <w:t xml:space="preserve">og </w:t>
      </w:r>
      <w:r w:rsidR="004030EF" w:rsidRPr="007E64B5">
        <w:rPr>
          <w:color w:val="000000" w:themeColor="text1"/>
        </w:rPr>
        <w:t>kan dermed føre til suboptimale aktivitets- og atferdsmønstre i helsetjenestene.</w:t>
      </w:r>
    </w:p>
    <w:p w14:paraId="4468A688" w14:textId="77777777" w:rsidR="00D9107F" w:rsidRDefault="00902D97" w:rsidP="00775632">
      <w:pPr>
        <w:pStyle w:val="Overskrift3"/>
      </w:pPr>
      <w:bookmarkStart w:id="1488" w:name="_Toc128126587"/>
      <w:bookmarkStart w:id="1489" w:name="_Toc128741973"/>
      <w:bookmarkStart w:id="1490" w:name="_Toc128744568"/>
      <w:bookmarkStart w:id="1491" w:name="_Toc128744787"/>
      <w:bookmarkStart w:id="1492" w:name="_Toc129630285"/>
      <w:bookmarkStart w:id="1493" w:name="_Toc130763796"/>
      <w:bookmarkStart w:id="1494" w:name="_Toc130766691"/>
      <w:bookmarkStart w:id="1495" w:name="_Toc130932091"/>
      <w:bookmarkStart w:id="1496" w:name="_Toc130934382"/>
      <w:bookmarkStart w:id="1497" w:name="_Toc130983441"/>
      <w:bookmarkStart w:id="1498" w:name="_Toc130983790"/>
      <w:bookmarkStart w:id="1499" w:name="_Toc131062116"/>
      <w:bookmarkStart w:id="1500" w:name="_Toc131062370"/>
      <w:bookmarkStart w:id="1501" w:name="_Toc131062631"/>
      <w:bookmarkStart w:id="1502" w:name="_Toc131062884"/>
      <w:bookmarkStart w:id="1503" w:name="_Toc131063652"/>
      <w:bookmarkStart w:id="1504" w:name="_Toc131064073"/>
      <w:bookmarkStart w:id="1505" w:name="_Toc131238367"/>
      <w:bookmarkStart w:id="1506" w:name="_Toc131279398"/>
      <w:bookmarkStart w:id="1507" w:name="_Toc131286810"/>
      <w:bookmarkStart w:id="1508" w:name="_Toc131281220"/>
      <w:bookmarkStart w:id="1509" w:name="_Toc131317759"/>
      <w:bookmarkStart w:id="1510" w:name="_Toc132536957"/>
      <w:r w:rsidRPr="007E64B5">
        <w:t>Modeller for s</w:t>
      </w:r>
      <w:r w:rsidR="44218CA6" w:rsidRPr="007E64B5">
        <w:t xml:space="preserve">amling av </w:t>
      </w:r>
      <w:r w:rsidR="7813CC37" w:rsidRPr="007E64B5">
        <w:t>ansvaret</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3A26EA97" w14:textId="77777777" w:rsidR="00D9107F" w:rsidRDefault="004030EF" w:rsidP="00601D7F">
      <w:pPr>
        <w:jc w:val="both"/>
        <w:rPr>
          <w:color w:val="000000" w:themeColor="text1"/>
        </w:rPr>
      </w:pPr>
      <w:r w:rsidRPr="007E64B5">
        <w:rPr>
          <w:color w:val="000000" w:themeColor="text1"/>
        </w:rPr>
        <w:t>En samling av sørge-for-ansvaret og ansvaret for finansiering av fastlegetjenesten kan gjøres på flere måter. For det første kan sørge-for-ansvaret for fastlegetjenesten flyttes til staten, som også har ansvaret for finansieringen. For det andre kan finansieringen av fastlegeordningen flyttes til kommunen, som i dag har sørge-for-ansvaret. Etter anbefaling fra Helsepersonellkommisjonen</w:t>
      </w:r>
      <w:r w:rsidR="00940B3A" w:rsidRPr="007E64B5">
        <w:rPr>
          <w:color w:val="000000" w:themeColor="text1"/>
        </w:rPr>
        <w:t>,</w:t>
      </w:r>
      <w:r w:rsidRPr="007E64B5">
        <w:rPr>
          <w:color w:val="000000" w:themeColor="text1"/>
        </w:rPr>
        <w:t xml:space="preserve"> kan en tredje mulighet være å samle hele helse- og omsorgstjenesten</w:t>
      </w:r>
      <w:r w:rsidR="00D07F37" w:rsidRPr="007E64B5">
        <w:rPr>
          <w:color w:val="000000" w:themeColor="text1"/>
        </w:rPr>
        <w:t xml:space="preserve"> på ett nivå</w:t>
      </w:r>
      <w:r w:rsidRPr="007E64B5">
        <w:rPr>
          <w:color w:val="000000" w:themeColor="text1"/>
        </w:rPr>
        <w:t>.</w:t>
      </w:r>
      <w:r w:rsidR="00B35383" w:rsidRPr="007E64B5">
        <w:rPr>
          <w:color w:val="000000" w:themeColor="text1"/>
        </w:rPr>
        <w:t xml:space="preserve"> </w:t>
      </w:r>
      <w:r w:rsidR="007A6E89" w:rsidRPr="007E64B5">
        <w:rPr>
          <w:color w:val="000000" w:themeColor="text1"/>
        </w:rPr>
        <w:t>Helsepersonellkommisjonen peker på at en</w:t>
      </w:r>
      <w:r w:rsidR="00B35383" w:rsidRPr="007E64B5">
        <w:rPr>
          <w:color w:val="000000" w:themeColor="text1"/>
        </w:rPr>
        <w:t xml:space="preserve">hetlig organisering av tjenestene på ett nivå </w:t>
      </w:r>
      <w:r w:rsidR="007A6E89" w:rsidRPr="007E64B5">
        <w:rPr>
          <w:color w:val="000000" w:themeColor="text1"/>
        </w:rPr>
        <w:t>kan</w:t>
      </w:r>
      <w:r w:rsidR="00B35383" w:rsidRPr="007E64B5">
        <w:rPr>
          <w:color w:val="000000" w:themeColor="text1"/>
        </w:rPr>
        <w:t xml:space="preserve"> bidra til bedre bruk og utnyttelse av den samlede tilgjengelige arbeidskraften</w:t>
      </w:r>
      <w:r w:rsidR="4664FAB6" w:rsidRPr="007E64B5">
        <w:rPr>
          <w:color w:val="000000" w:themeColor="text1"/>
        </w:rPr>
        <w:t xml:space="preserve"> </w:t>
      </w:r>
      <w:r w:rsidR="00B27C0D">
        <w:rPr>
          <w:color w:val="000000" w:themeColor="text1"/>
        </w:rPr>
        <w:fldChar w:fldCharType="begin"/>
      </w:r>
      <w:r w:rsidR="00B27C0D">
        <w:rPr>
          <w:color w:val="000000" w:themeColor="text1"/>
        </w:rPr>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B27C0D">
        <w:rPr>
          <w:color w:val="000000" w:themeColor="text1"/>
        </w:rPr>
        <w:fldChar w:fldCharType="separate"/>
      </w:r>
      <w:r w:rsidR="00B27C0D">
        <w:rPr>
          <w:noProof/>
          <w:color w:val="000000" w:themeColor="text1"/>
        </w:rPr>
        <w:t>(Helse- og omsorgsdepartementet, 2023c)</w:t>
      </w:r>
      <w:r w:rsidR="00B27C0D">
        <w:rPr>
          <w:color w:val="000000" w:themeColor="text1"/>
        </w:rPr>
        <w:fldChar w:fldCharType="end"/>
      </w:r>
      <w:r w:rsidR="00B35383" w:rsidRPr="007E64B5">
        <w:rPr>
          <w:color w:val="000000" w:themeColor="text1"/>
        </w:rPr>
        <w:t>.</w:t>
      </w:r>
    </w:p>
    <w:p w14:paraId="0E9286AA" w14:textId="7DC99A07" w:rsidR="004030EF" w:rsidRPr="007E64B5" w:rsidRDefault="004030EF" w:rsidP="00601D7F">
      <w:pPr>
        <w:jc w:val="both"/>
        <w:rPr>
          <w:color w:val="000000" w:themeColor="text1"/>
        </w:rPr>
      </w:pPr>
      <w:r w:rsidRPr="007E64B5">
        <w:rPr>
          <w:color w:val="000000" w:themeColor="text1"/>
        </w:rPr>
        <w:t>Akkurat som dagens ordning har fordeler og ulemper, vil det samme gjelde for hver</w:t>
      </w:r>
      <w:r w:rsidR="00940B3A" w:rsidRPr="007E64B5">
        <w:rPr>
          <w:color w:val="000000" w:themeColor="text1"/>
        </w:rPr>
        <w:t>t</w:t>
      </w:r>
      <w:r w:rsidRPr="007E64B5">
        <w:rPr>
          <w:color w:val="000000" w:themeColor="text1"/>
        </w:rPr>
        <w:t xml:space="preserve"> av disse alternativene. Ekspertutvalget har i sin drøfting valgt å ta utgangspunkt i de to nivåene vi har i helsetjenesten i dag, altså en samling enten hos staten</w:t>
      </w:r>
      <w:r w:rsidR="00940B3A" w:rsidRPr="007E64B5">
        <w:rPr>
          <w:color w:val="000000" w:themeColor="text1"/>
        </w:rPr>
        <w:t xml:space="preserve">, i det som i dag er spesialisthelsetjenesten/helseforetakene, </w:t>
      </w:r>
      <w:r w:rsidRPr="007E64B5">
        <w:rPr>
          <w:color w:val="000000" w:themeColor="text1"/>
        </w:rPr>
        <w:t xml:space="preserve">eller </w:t>
      </w:r>
      <w:r w:rsidR="00940B3A" w:rsidRPr="007E64B5">
        <w:rPr>
          <w:color w:val="000000" w:themeColor="text1"/>
        </w:rPr>
        <w:t>i</w:t>
      </w:r>
      <w:r w:rsidRPr="007E64B5">
        <w:rPr>
          <w:color w:val="000000" w:themeColor="text1"/>
        </w:rPr>
        <w:t xml:space="preserve"> kommunen.</w:t>
      </w:r>
    </w:p>
    <w:p w14:paraId="3E081706" w14:textId="77777777" w:rsidR="004030EF" w:rsidRDefault="1ABA849A" w:rsidP="00775632">
      <w:pPr>
        <w:pStyle w:val="Overskrift4"/>
      </w:pPr>
      <w:bookmarkStart w:id="1511" w:name="_Toc130983442"/>
      <w:bookmarkStart w:id="1512" w:name="_Toc130983791"/>
      <w:bookmarkStart w:id="1513" w:name="_Toc131062117"/>
      <w:bookmarkStart w:id="1514" w:name="_Toc131062371"/>
      <w:bookmarkStart w:id="1515" w:name="_Toc131062632"/>
      <w:bookmarkStart w:id="1516" w:name="_Toc131062885"/>
      <w:bookmarkStart w:id="1517" w:name="_Toc131063653"/>
      <w:bookmarkStart w:id="1518" w:name="_Toc131064074"/>
      <w:bookmarkStart w:id="1519" w:name="_Toc131238368"/>
      <w:bookmarkStart w:id="1520" w:name="_Toc131279399"/>
      <w:bookmarkStart w:id="1521" w:name="_Toc131286811"/>
      <w:bookmarkStart w:id="1522" w:name="_Toc131281221"/>
      <w:bookmarkStart w:id="1523" w:name="_Toc131317760"/>
      <w:r>
        <w:t>Flytte sørge-for-ansvaret til staten ved helseforetakene</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340F0EFE" w14:textId="77777777" w:rsidR="00D9107F" w:rsidRDefault="004030EF" w:rsidP="001618A5">
      <w:pPr>
        <w:jc w:val="both"/>
        <w:rPr>
          <w:color w:val="000000" w:themeColor="text1"/>
        </w:rPr>
      </w:pPr>
      <w:r w:rsidRPr="007E64B5">
        <w:rPr>
          <w:color w:val="000000" w:themeColor="text1"/>
        </w:rPr>
        <w:t xml:space="preserve">En flytting av sørge-for-ansvaret for fastlegetjenesten fra kommunen til staten ved de regionale helseforetakene (RHF), vil i praksis innebære at ansvaret for å yte fastlegetjenester legges til helseforetakene. Enten som </w:t>
      </w:r>
      <w:r w:rsidR="00B05503" w:rsidRPr="007E64B5">
        <w:rPr>
          <w:color w:val="000000" w:themeColor="text1"/>
        </w:rPr>
        <w:t xml:space="preserve">del av de eksisterende helseforetakene, </w:t>
      </w:r>
      <w:r w:rsidR="00940B3A" w:rsidRPr="007E64B5">
        <w:rPr>
          <w:color w:val="000000" w:themeColor="text1"/>
        </w:rPr>
        <w:t xml:space="preserve">til </w:t>
      </w:r>
      <w:r w:rsidRPr="007E64B5">
        <w:rPr>
          <w:color w:val="000000" w:themeColor="text1"/>
        </w:rPr>
        <w:t xml:space="preserve">et eget helseforetak under hvert enkelt RHF, </w:t>
      </w:r>
      <w:r w:rsidR="006A6F57" w:rsidRPr="007E64B5">
        <w:rPr>
          <w:color w:val="000000" w:themeColor="text1"/>
        </w:rPr>
        <w:t xml:space="preserve">eller </w:t>
      </w:r>
      <w:r w:rsidRPr="007E64B5">
        <w:rPr>
          <w:color w:val="000000" w:themeColor="text1"/>
        </w:rPr>
        <w:t xml:space="preserve">alternativt </w:t>
      </w:r>
      <w:r w:rsidR="00940B3A" w:rsidRPr="007E64B5">
        <w:rPr>
          <w:color w:val="000000" w:themeColor="text1"/>
        </w:rPr>
        <w:t>til</w:t>
      </w:r>
      <w:r w:rsidRPr="007E64B5">
        <w:rPr>
          <w:color w:val="000000" w:themeColor="text1"/>
        </w:rPr>
        <w:t xml:space="preserve"> et eget felles helseforetak</w:t>
      </w:r>
      <w:r w:rsidR="00940B3A" w:rsidRPr="007E64B5">
        <w:rPr>
          <w:color w:val="000000" w:themeColor="text1"/>
        </w:rPr>
        <w:t>,</w:t>
      </w:r>
      <w:r w:rsidRPr="007E64B5">
        <w:rPr>
          <w:color w:val="000000" w:themeColor="text1"/>
        </w:rPr>
        <w:t xml:space="preserve"> som eies av alle RHF</w:t>
      </w:r>
      <w:r w:rsidR="00940B3A" w:rsidRPr="007E64B5">
        <w:rPr>
          <w:color w:val="000000" w:themeColor="text1"/>
        </w:rPr>
        <w:t>ene</w:t>
      </w:r>
      <w:r w:rsidRPr="007E64B5">
        <w:rPr>
          <w:color w:val="000000" w:themeColor="text1"/>
        </w:rPr>
        <w:t>.</w:t>
      </w:r>
    </w:p>
    <w:p w14:paraId="799F8AC7" w14:textId="77777777" w:rsidR="00D9107F" w:rsidRDefault="004030EF" w:rsidP="00D05541">
      <w:pPr>
        <w:jc w:val="both"/>
        <w:rPr>
          <w:color w:val="000000" w:themeColor="text1"/>
        </w:rPr>
      </w:pPr>
      <w:r w:rsidRPr="007E64B5">
        <w:rPr>
          <w:color w:val="000000" w:themeColor="text1"/>
        </w:rPr>
        <w:t>Å flytte ansvaret for fastlegetjenesten til helseforetak</w:t>
      </w:r>
      <w:r w:rsidR="00940B3A" w:rsidRPr="007E64B5">
        <w:rPr>
          <w:color w:val="000000" w:themeColor="text1"/>
        </w:rPr>
        <w:t>ene</w:t>
      </w:r>
      <w:r w:rsidRPr="007E64B5">
        <w:rPr>
          <w:color w:val="000000" w:themeColor="text1"/>
        </w:rPr>
        <w:t xml:space="preserve"> vil medføre en betydelig endring i ansvarsforhold. Helseforetakene har rutiner for samarbeid og samhandling med kommunene. Over tid kan en forvente at de kan opparbeide seg mer inngående kunnskap om den kommunale </w:t>
      </w:r>
      <w:r w:rsidRPr="007E64B5">
        <w:rPr>
          <w:color w:val="000000" w:themeColor="text1"/>
        </w:rPr>
        <w:lastRenderedPageBreak/>
        <w:t>helse- og omsorgstjenesten, og om lokale forhold. Dette er viktig kunnskap for å kunne planlegge og innrette fastlegetjenesten godt.</w:t>
      </w:r>
    </w:p>
    <w:p w14:paraId="1DE1063A" w14:textId="40BEFA92" w:rsidR="004030EF" w:rsidRPr="007E64B5" w:rsidRDefault="004030EF" w:rsidP="00D05541">
      <w:pPr>
        <w:jc w:val="both"/>
        <w:rPr>
          <w:color w:val="000000" w:themeColor="text1"/>
        </w:rPr>
      </w:pPr>
      <w:r w:rsidRPr="007E64B5">
        <w:rPr>
          <w:color w:val="000000" w:themeColor="text1"/>
        </w:rPr>
        <w:t>Med den forventede aldringen av befolkningen</w:t>
      </w:r>
      <w:r w:rsidR="00940B3A" w:rsidRPr="007E64B5">
        <w:rPr>
          <w:color w:val="000000" w:themeColor="text1"/>
        </w:rPr>
        <w:t>,</w:t>
      </w:r>
      <w:r w:rsidRPr="007E64B5">
        <w:rPr>
          <w:color w:val="000000" w:themeColor="text1"/>
        </w:rPr>
        <w:t xml:space="preserve"> og tilhørende økning i kommunens ansvar for å håndtere flere multisyke pasienter med et stort behov for helse- og omsorgstjenester, vil det i økende grad være nødvendig at fastlegetjenesten er tett koordinert og samhandler godt med øvrige </w:t>
      </w:r>
      <w:r w:rsidR="00940B3A" w:rsidRPr="007E64B5">
        <w:rPr>
          <w:color w:val="000000" w:themeColor="text1"/>
        </w:rPr>
        <w:t xml:space="preserve">kommunale </w:t>
      </w:r>
      <w:r w:rsidRPr="007E64B5">
        <w:rPr>
          <w:color w:val="000000" w:themeColor="text1"/>
        </w:rPr>
        <w:t xml:space="preserve">tjenester. Flytting av sørge-for-ansvaret til staten kan tenkes å skape en distanse og en mindre integrert fastlegetjeneste i kommunen og forsterke samhandlingsutfordringene. Det vil også skille fastlegetjenesten fra annen </w:t>
      </w:r>
      <w:r w:rsidR="00412512" w:rsidRPr="007E64B5">
        <w:rPr>
          <w:color w:val="000000" w:themeColor="text1"/>
        </w:rPr>
        <w:t>allmennlegetjeneste</w:t>
      </w:r>
      <w:r w:rsidRPr="007E64B5">
        <w:rPr>
          <w:color w:val="000000" w:themeColor="text1"/>
        </w:rPr>
        <w:t xml:space="preserve"> i kommunen. </w:t>
      </w:r>
      <w:r w:rsidR="6DCCBC2F" w:rsidRPr="007E64B5">
        <w:rPr>
          <w:color w:val="000000" w:themeColor="text1"/>
        </w:rPr>
        <w:t>Dette</w:t>
      </w:r>
      <w:r w:rsidRPr="007E64B5">
        <w:rPr>
          <w:color w:val="000000" w:themeColor="text1"/>
        </w:rPr>
        <w:t xml:space="preserve"> kan tenkes å ha innvirkning på legevakt og andre kommunale tjenester i kommunen</w:t>
      </w:r>
      <w:r w:rsidR="00940B3A" w:rsidRPr="007E64B5">
        <w:rPr>
          <w:color w:val="000000" w:themeColor="text1"/>
        </w:rPr>
        <w:t>,</w:t>
      </w:r>
      <w:r w:rsidRPr="007E64B5">
        <w:rPr>
          <w:color w:val="000000" w:themeColor="text1"/>
        </w:rPr>
        <w:t xml:space="preserve"> hvor fastlegen</w:t>
      </w:r>
      <w:r w:rsidR="00940B3A" w:rsidRPr="007E64B5">
        <w:rPr>
          <w:color w:val="000000" w:themeColor="text1"/>
        </w:rPr>
        <w:t>e</w:t>
      </w:r>
      <w:r w:rsidRPr="007E64B5">
        <w:rPr>
          <w:color w:val="000000" w:themeColor="text1"/>
        </w:rPr>
        <w:t xml:space="preserve"> er sentral</w:t>
      </w:r>
      <w:r w:rsidR="00940B3A" w:rsidRPr="007E64B5">
        <w:rPr>
          <w:color w:val="000000" w:themeColor="text1"/>
        </w:rPr>
        <w:t>e</w:t>
      </w:r>
      <w:r w:rsidR="00255978" w:rsidRPr="007E64B5">
        <w:rPr>
          <w:color w:val="000000" w:themeColor="text1"/>
        </w:rPr>
        <w:t>.</w:t>
      </w:r>
    </w:p>
    <w:p w14:paraId="1047B1C0" w14:textId="77777777" w:rsidR="00D9107F" w:rsidRDefault="004030EF" w:rsidP="00D05541">
      <w:pPr>
        <w:jc w:val="both"/>
        <w:rPr>
          <w:color w:val="000000" w:themeColor="text1"/>
        </w:rPr>
      </w:pPr>
      <w:r w:rsidRPr="007E64B5">
        <w:rPr>
          <w:color w:val="000000" w:themeColor="text1"/>
        </w:rPr>
        <w:t>Helseforetakene er robuste organisasjoner</w:t>
      </w:r>
      <w:r w:rsidR="00940B3A" w:rsidRPr="007E64B5">
        <w:rPr>
          <w:color w:val="000000" w:themeColor="text1"/>
        </w:rPr>
        <w:t>,</w:t>
      </w:r>
      <w:r w:rsidRPr="007E64B5">
        <w:rPr>
          <w:color w:val="000000" w:themeColor="text1"/>
        </w:rPr>
        <w:t xml:space="preserve"> med lang erfaring med å drifte og lede spesialisthelsetjenesten. Med dette som utgangspunkt kan det tenkes at helseforetakene vil kunne utøve profesjonell ledelse av fastlegeordningen</w:t>
      </w:r>
      <w:r w:rsidR="000D46C7" w:rsidRPr="007E64B5">
        <w:rPr>
          <w:color w:val="000000" w:themeColor="text1"/>
        </w:rPr>
        <w:t>.</w:t>
      </w:r>
      <w:r w:rsidRPr="007E64B5">
        <w:rPr>
          <w:color w:val="000000" w:themeColor="text1"/>
        </w:rPr>
        <w:t xml:space="preserve"> </w:t>
      </w:r>
      <w:r w:rsidR="000F7A74" w:rsidRPr="007E64B5">
        <w:rPr>
          <w:color w:val="000000" w:themeColor="text1"/>
        </w:rPr>
        <w:t>En annen mulig fordel</w:t>
      </w:r>
      <w:r w:rsidRPr="007E64B5">
        <w:rPr>
          <w:color w:val="000000" w:themeColor="text1"/>
        </w:rPr>
        <w:t xml:space="preserve"> ved statlig overtakelse av fastlegeordningen er at samhandlingen mellom spesialist</w:t>
      </w:r>
      <w:r w:rsidR="00940B3A" w:rsidRPr="007E64B5">
        <w:rPr>
          <w:color w:val="000000" w:themeColor="text1"/>
        </w:rPr>
        <w:t>helse-</w:t>
      </w:r>
      <w:r w:rsidRPr="007E64B5">
        <w:rPr>
          <w:color w:val="000000" w:themeColor="text1"/>
        </w:rPr>
        <w:t xml:space="preserve"> og fastlegetjenesten vil kunne bli bedre, særlig knyttet til ivaretakelse av pasienter i overgang</w:t>
      </w:r>
      <w:r w:rsidR="00BB2AB1" w:rsidRPr="007E64B5">
        <w:rPr>
          <w:color w:val="000000" w:themeColor="text1"/>
        </w:rPr>
        <w:t>en</w:t>
      </w:r>
      <w:r w:rsidRPr="007E64B5">
        <w:rPr>
          <w:color w:val="000000" w:themeColor="text1"/>
        </w:rPr>
        <w:t xml:space="preserve"> mellom sykehus og kommune. Helhetlige og gode pasientforløp vil kreve godt samarbeid med de øvrige kommunale tjenestene, og det kan tenkes at fastlegen kan fungere som en god koordinator og bindeledd mellom disse to tjenestenivåene</w:t>
      </w:r>
      <w:r w:rsidR="00D07F37" w:rsidRPr="007E64B5">
        <w:rPr>
          <w:color w:val="000000" w:themeColor="text1"/>
        </w:rPr>
        <w:t>, antakelig med en større arbeidsmengde som konsekvens</w:t>
      </w:r>
      <w:r w:rsidRPr="007E64B5">
        <w:rPr>
          <w:color w:val="000000" w:themeColor="text1"/>
        </w:rPr>
        <w:t>. Helseforetaket vil med en slik organisering få et helhetlig ansvar for oppgaveoverføring mellom spesialist</w:t>
      </w:r>
      <w:r w:rsidR="00940B3A" w:rsidRPr="007E64B5">
        <w:rPr>
          <w:color w:val="000000" w:themeColor="text1"/>
        </w:rPr>
        <w:t>helse-</w:t>
      </w:r>
      <w:r w:rsidRPr="007E64B5">
        <w:rPr>
          <w:color w:val="000000" w:themeColor="text1"/>
        </w:rPr>
        <w:t xml:space="preserve"> og fastlegetjenesten. Dette kan </w:t>
      </w:r>
      <w:r w:rsidR="00D05541" w:rsidRPr="007E64B5">
        <w:rPr>
          <w:color w:val="000000" w:themeColor="text1"/>
        </w:rPr>
        <w:t>tenkes å</w:t>
      </w:r>
      <w:r w:rsidRPr="007E64B5">
        <w:rPr>
          <w:color w:val="000000" w:themeColor="text1"/>
        </w:rPr>
        <w:t xml:space="preserve"> bidra til bedre koordinering av prehospitale tjenester og til styrking av fastlegens portv</w:t>
      </w:r>
      <w:r w:rsidR="00C35E84" w:rsidRPr="007E64B5">
        <w:rPr>
          <w:color w:val="000000" w:themeColor="text1"/>
        </w:rPr>
        <w:t>a</w:t>
      </w:r>
      <w:r w:rsidRPr="007E64B5">
        <w:rPr>
          <w:color w:val="000000" w:themeColor="text1"/>
        </w:rPr>
        <w:t>ktfunksjon</w:t>
      </w:r>
      <w:r w:rsidR="00CE37BD" w:rsidRPr="007E64B5">
        <w:rPr>
          <w:color w:val="000000" w:themeColor="text1"/>
        </w:rPr>
        <w:t xml:space="preserve"> </w:t>
      </w:r>
      <w:r w:rsidR="003B69A4" w:rsidRPr="007E64B5">
        <w:rPr>
          <w:color w:val="000000" w:themeColor="text1"/>
        </w:rPr>
        <w:t xml:space="preserve">til </w:t>
      </w:r>
      <w:r w:rsidR="00A3153A" w:rsidRPr="007E64B5">
        <w:rPr>
          <w:color w:val="000000" w:themeColor="text1"/>
        </w:rPr>
        <w:t>utredning og beh</w:t>
      </w:r>
      <w:r w:rsidR="00960079" w:rsidRPr="007E64B5">
        <w:rPr>
          <w:color w:val="000000" w:themeColor="text1"/>
        </w:rPr>
        <w:t>andling i spesialisthelsetjen</w:t>
      </w:r>
      <w:r w:rsidR="003B4A9F" w:rsidRPr="007E64B5">
        <w:rPr>
          <w:color w:val="000000" w:themeColor="text1"/>
        </w:rPr>
        <w:t>esten</w:t>
      </w:r>
      <w:r w:rsidRPr="007E64B5">
        <w:rPr>
          <w:color w:val="000000" w:themeColor="text1"/>
        </w:rPr>
        <w:t>.</w:t>
      </w:r>
    </w:p>
    <w:p w14:paraId="64DCFEB5" w14:textId="77777777" w:rsidR="00D9107F" w:rsidRDefault="00F56E29" w:rsidP="00DE4A4E">
      <w:pPr>
        <w:jc w:val="both"/>
        <w:rPr>
          <w:color w:val="000000" w:themeColor="text1"/>
        </w:rPr>
      </w:pPr>
      <w:r w:rsidRPr="007E64B5">
        <w:rPr>
          <w:color w:val="000000" w:themeColor="text1"/>
        </w:rPr>
        <w:t>Helseforetakene</w:t>
      </w:r>
      <w:r w:rsidR="004030EF" w:rsidRPr="007E64B5">
        <w:rPr>
          <w:color w:val="000000" w:themeColor="text1"/>
        </w:rPr>
        <w:t xml:space="preserve"> vil også være ansvarlige for kompetanseutvikling og ressursbruk. Ved økt medisinsk kompleksitet og krav til avansert behandling i kommunen vil det trolig i </w:t>
      </w:r>
      <w:r w:rsidR="00D66CA5" w:rsidRPr="007E64B5">
        <w:rPr>
          <w:color w:val="000000" w:themeColor="text1"/>
        </w:rPr>
        <w:t>fram</w:t>
      </w:r>
      <w:r w:rsidR="004030EF" w:rsidRPr="007E64B5">
        <w:rPr>
          <w:color w:val="000000" w:themeColor="text1"/>
        </w:rPr>
        <w:t>tiden være behov for at spesialisthelsetjenesten i større grad tar ansvar for kompetanseoverføring til fastlegetjenesten, men også til øvrige kommunale helse- og omsorgstjenester. Gitt utfordringsbildet</w:t>
      </w:r>
      <w:r w:rsidR="00575E49" w:rsidRPr="007E64B5">
        <w:rPr>
          <w:color w:val="000000" w:themeColor="text1"/>
        </w:rPr>
        <w:t>,</w:t>
      </w:r>
      <w:r w:rsidR="004030EF" w:rsidRPr="007E64B5">
        <w:rPr>
          <w:color w:val="000000" w:themeColor="text1"/>
        </w:rPr>
        <w:t xml:space="preserve"> er det forventet at den største veksten i helsepersonell de neste ti-årene vil komme i kommunen. Helseforetakene vil ved overtakelse av fastlegeordningen få et særlig ansvar for å sikre god fordeling av leger både i spesialist</w:t>
      </w:r>
      <w:r w:rsidR="00940B3A" w:rsidRPr="007E64B5">
        <w:rPr>
          <w:color w:val="000000" w:themeColor="text1"/>
        </w:rPr>
        <w:t>helse</w:t>
      </w:r>
      <w:r w:rsidR="004030EF" w:rsidRPr="007E64B5">
        <w:rPr>
          <w:color w:val="000000" w:themeColor="text1"/>
        </w:rPr>
        <w:t>- og fastlegetjenesten. Hvordan sentralisering av ansvaret for fastlegetjenesten vil påvirke fordeling av leger i øvrig kommunal legetjeneste</w:t>
      </w:r>
      <w:r w:rsidR="002B7451" w:rsidRPr="007E64B5">
        <w:rPr>
          <w:color w:val="000000" w:themeColor="text1"/>
        </w:rPr>
        <w:t>,</w:t>
      </w:r>
      <w:r w:rsidR="004030EF" w:rsidRPr="007E64B5">
        <w:rPr>
          <w:color w:val="000000" w:themeColor="text1"/>
        </w:rPr>
        <w:t xml:space="preserve"> er vanskeligere å forutsi.</w:t>
      </w:r>
    </w:p>
    <w:p w14:paraId="64EAB2DF" w14:textId="297ABE23" w:rsidR="0043231A" w:rsidRDefault="44218CA6" w:rsidP="00775632">
      <w:pPr>
        <w:pStyle w:val="Overskrift4"/>
      </w:pPr>
      <w:bookmarkStart w:id="1524" w:name="_Toc130983443"/>
      <w:bookmarkStart w:id="1525" w:name="_Toc130983792"/>
      <w:bookmarkStart w:id="1526" w:name="_Toc131062118"/>
      <w:bookmarkStart w:id="1527" w:name="_Toc131062372"/>
      <w:bookmarkStart w:id="1528" w:name="_Toc131062633"/>
      <w:bookmarkStart w:id="1529" w:name="_Toc131062886"/>
      <w:bookmarkStart w:id="1530" w:name="_Toc131063654"/>
      <w:bookmarkStart w:id="1531" w:name="_Toc131064075"/>
      <w:bookmarkStart w:id="1532" w:name="_Toc131238369"/>
      <w:bookmarkStart w:id="1533" w:name="_Toc131279400"/>
      <w:bookmarkStart w:id="1534" w:name="_Toc131286812"/>
      <w:bookmarkStart w:id="1535" w:name="_Toc131281222"/>
      <w:bookmarkStart w:id="1536" w:name="_Toc131317761"/>
      <w:r>
        <w:t>Flytte finansieringsansvaret til kommunen</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38BCC6BD" w14:textId="77777777" w:rsidR="00D9107F" w:rsidRDefault="0043231A" w:rsidP="009204E3">
      <w:pPr>
        <w:jc w:val="both"/>
        <w:rPr>
          <w:rFonts w:cstheme="minorHAnsi"/>
          <w:color w:val="000000" w:themeColor="text1"/>
        </w:rPr>
      </w:pPr>
      <w:r w:rsidRPr="007E64B5">
        <w:rPr>
          <w:color w:val="000000" w:themeColor="text1"/>
        </w:rPr>
        <w:t>En samling av ansvaret</w:t>
      </w:r>
      <w:r w:rsidR="00940B3A" w:rsidRPr="007E64B5">
        <w:rPr>
          <w:color w:val="000000" w:themeColor="text1"/>
        </w:rPr>
        <w:t>,</w:t>
      </w:r>
      <w:r w:rsidRPr="007E64B5">
        <w:rPr>
          <w:color w:val="000000" w:themeColor="text1"/>
        </w:rPr>
        <w:t xml:space="preserve"> ved å flytte finansiering av fastlegeordningen fra stat til kommune</w:t>
      </w:r>
      <w:r w:rsidR="00940B3A" w:rsidRPr="007E64B5">
        <w:rPr>
          <w:color w:val="000000" w:themeColor="text1"/>
        </w:rPr>
        <w:t>,</w:t>
      </w:r>
      <w:r w:rsidRPr="007E64B5">
        <w:rPr>
          <w:color w:val="000000" w:themeColor="text1"/>
        </w:rPr>
        <w:t xml:space="preserve"> </w:t>
      </w:r>
      <w:r w:rsidR="00DF55DB" w:rsidRPr="007E64B5">
        <w:rPr>
          <w:color w:val="000000" w:themeColor="text1"/>
        </w:rPr>
        <w:t xml:space="preserve">vurderes å være </w:t>
      </w:r>
      <w:r w:rsidRPr="007E64B5">
        <w:rPr>
          <w:color w:val="000000" w:themeColor="text1"/>
        </w:rPr>
        <w:t>en mindre inngripende endring</w:t>
      </w:r>
      <w:r w:rsidR="000F229E" w:rsidRPr="007E64B5">
        <w:rPr>
          <w:color w:val="000000" w:themeColor="text1"/>
        </w:rPr>
        <w:t xml:space="preserve"> enn å flytte sørge-for-ansvaret </w:t>
      </w:r>
      <w:r w:rsidR="00940B3A" w:rsidRPr="007E64B5">
        <w:rPr>
          <w:color w:val="000000" w:themeColor="text1"/>
        </w:rPr>
        <w:t>fra kommunene</w:t>
      </w:r>
      <w:r w:rsidR="000F229E" w:rsidRPr="007E64B5">
        <w:rPr>
          <w:color w:val="000000" w:themeColor="text1"/>
        </w:rPr>
        <w:t xml:space="preserve"> til staten</w:t>
      </w:r>
      <w:r w:rsidRPr="007E64B5">
        <w:rPr>
          <w:color w:val="000000" w:themeColor="text1"/>
        </w:rPr>
        <w:t xml:space="preserve">. </w:t>
      </w:r>
      <w:r w:rsidR="0030119D" w:rsidRPr="007E64B5">
        <w:rPr>
          <w:color w:val="000000" w:themeColor="text1"/>
        </w:rPr>
        <w:t>K</w:t>
      </w:r>
      <w:r w:rsidRPr="007E64B5">
        <w:rPr>
          <w:color w:val="000000" w:themeColor="text1"/>
        </w:rPr>
        <w:t>ommunen</w:t>
      </w:r>
      <w:r w:rsidR="00940B3A" w:rsidRPr="007E64B5">
        <w:rPr>
          <w:color w:val="000000" w:themeColor="text1"/>
        </w:rPr>
        <w:t>e</w:t>
      </w:r>
      <w:r w:rsidRPr="007E64B5">
        <w:rPr>
          <w:color w:val="000000" w:themeColor="text1"/>
        </w:rPr>
        <w:t xml:space="preserve"> </w:t>
      </w:r>
      <w:r w:rsidR="0030119D" w:rsidRPr="007E64B5">
        <w:rPr>
          <w:color w:val="000000" w:themeColor="text1"/>
        </w:rPr>
        <w:t xml:space="preserve">har </w:t>
      </w:r>
      <w:r w:rsidRPr="007E64B5">
        <w:rPr>
          <w:color w:val="000000" w:themeColor="text1"/>
        </w:rPr>
        <w:t xml:space="preserve">allerede </w:t>
      </w:r>
      <w:r w:rsidRPr="007E64B5">
        <w:rPr>
          <w:rFonts w:cstheme="minorHAnsi"/>
          <w:color w:val="000000" w:themeColor="text1"/>
        </w:rPr>
        <w:t xml:space="preserve">det finansielle </w:t>
      </w:r>
      <w:r w:rsidR="001618A5" w:rsidRPr="007E64B5">
        <w:rPr>
          <w:rFonts w:cstheme="minorHAnsi"/>
          <w:color w:val="000000" w:themeColor="text1"/>
        </w:rPr>
        <w:t>ansvaret</w:t>
      </w:r>
      <w:r w:rsidRPr="007E64B5">
        <w:rPr>
          <w:rFonts w:cstheme="minorHAnsi"/>
          <w:color w:val="000000" w:themeColor="text1"/>
        </w:rPr>
        <w:t xml:space="preserve"> og sørge-for-ansvaret for andre deler av </w:t>
      </w:r>
      <w:r w:rsidR="004030EF" w:rsidRPr="007E64B5">
        <w:rPr>
          <w:rFonts w:cstheme="minorHAnsi"/>
          <w:color w:val="000000" w:themeColor="text1"/>
        </w:rPr>
        <w:t>allmennlegetjenesten.</w:t>
      </w:r>
      <w:r w:rsidRPr="007E64B5">
        <w:rPr>
          <w:rFonts w:cstheme="minorHAnsi"/>
          <w:color w:val="000000" w:themeColor="text1"/>
        </w:rPr>
        <w:t xml:space="preserve"> Ved å samle både </w:t>
      </w:r>
      <w:r w:rsidR="00BC4ACF" w:rsidRPr="007E64B5">
        <w:rPr>
          <w:rFonts w:cstheme="minorHAnsi"/>
          <w:color w:val="000000" w:themeColor="text1"/>
        </w:rPr>
        <w:t>sørge-for-ansvaret</w:t>
      </w:r>
      <w:r w:rsidRPr="007E64B5">
        <w:rPr>
          <w:rFonts w:cstheme="minorHAnsi"/>
          <w:color w:val="000000" w:themeColor="text1"/>
        </w:rPr>
        <w:t xml:space="preserve"> og </w:t>
      </w:r>
      <w:r w:rsidR="00BC4ACF" w:rsidRPr="007E64B5">
        <w:rPr>
          <w:rFonts w:cstheme="minorHAnsi"/>
          <w:color w:val="000000" w:themeColor="text1"/>
        </w:rPr>
        <w:t>finansieringsansvaret</w:t>
      </w:r>
      <w:r w:rsidRPr="007E64B5">
        <w:rPr>
          <w:rFonts w:cstheme="minorHAnsi"/>
          <w:color w:val="000000" w:themeColor="text1"/>
        </w:rPr>
        <w:t xml:space="preserve"> </w:t>
      </w:r>
      <w:r w:rsidR="00940B3A" w:rsidRPr="007E64B5">
        <w:rPr>
          <w:rFonts w:cstheme="minorHAnsi"/>
          <w:color w:val="000000" w:themeColor="text1"/>
        </w:rPr>
        <w:lastRenderedPageBreak/>
        <w:t xml:space="preserve">for fastlegetjenesten </w:t>
      </w:r>
      <w:r w:rsidRPr="007E64B5">
        <w:rPr>
          <w:rFonts w:cstheme="minorHAnsi"/>
          <w:color w:val="000000" w:themeColor="text1"/>
        </w:rPr>
        <w:t>hos kommunen</w:t>
      </w:r>
      <w:r w:rsidR="00940B3A" w:rsidRPr="007E64B5">
        <w:rPr>
          <w:rFonts w:cstheme="minorHAnsi"/>
          <w:color w:val="000000" w:themeColor="text1"/>
        </w:rPr>
        <w:t>e</w:t>
      </w:r>
      <w:r w:rsidRPr="007E64B5">
        <w:rPr>
          <w:rFonts w:cstheme="minorHAnsi"/>
          <w:color w:val="000000" w:themeColor="text1"/>
        </w:rPr>
        <w:t xml:space="preserve">, vil </w:t>
      </w:r>
      <w:r w:rsidR="00BC4ACF" w:rsidRPr="007E64B5">
        <w:rPr>
          <w:rFonts w:cstheme="minorHAnsi"/>
          <w:color w:val="000000" w:themeColor="text1"/>
        </w:rPr>
        <w:t>ordningen</w:t>
      </w:r>
      <w:r w:rsidRPr="007E64B5">
        <w:rPr>
          <w:rFonts w:cstheme="minorHAnsi"/>
          <w:color w:val="000000" w:themeColor="text1"/>
        </w:rPr>
        <w:t xml:space="preserve"> ligne </w:t>
      </w:r>
      <w:r w:rsidR="00940B3A" w:rsidRPr="007E64B5">
        <w:rPr>
          <w:rFonts w:cstheme="minorHAnsi"/>
          <w:color w:val="000000" w:themeColor="text1"/>
        </w:rPr>
        <w:t>mer</w:t>
      </w:r>
      <w:r w:rsidRPr="007E64B5">
        <w:rPr>
          <w:rFonts w:cstheme="minorHAnsi"/>
          <w:color w:val="000000" w:themeColor="text1"/>
        </w:rPr>
        <w:t xml:space="preserve"> på hvordan de andre delene av den kommunale </w:t>
      </w:r>
      <w:r w:rsidR="00BC4ACF" w:rsidRPr="007E64B5">
        <w:rPr>
          <w:rFonts w:cstheme="minorHAnsi"/>
          <w:color w:val="000000" w:themeColor="text1"/>
        </w:rPr>
        <w:t>helse- og omsorgs</w:t>
      </w:r>
      <w:r w:rsidRPr="007E64B5">
        <w:rPr>
          <w:rFonts w:cstheme="minorHAnsi"/>
          <w:color w:val="000000" w:themeColor="text1"/>
        </w:rPr>
        <w:t>tjenesten er organisert</w:t>
      </w:r>
      <w:r w:rsidR="00940B3A" w:rsidRPr="007E64B5">
        <w:rPr>
          <w:rFonts w:cstheme="minorHAnsi"/>
          <w:color w:val="000000" w:themeColor="text1"/>
        </w:rPr>
        <w:t xml:space="preserve"> og finansiert</w:t>
      </w:r>
      <w:r w:rsidRPr="007E64B5">
        <w:rPr>
          <w:rFonts w:cstheme="minorHAnsi"/>
          <w:color w:val="000000" w:themeColor="text1"/>
        </w:rPr>
        <w:t>.</w:t>
      </w:r>
    </w:p>
    <w:p w14:paraId="38BAC0EA" w14:textId="77777777" w:rsidR="00D9107F" w:rsidRDefault="004030EF" w:rsidP="009204E3">
      <w:pPr>
        <w:jc w:val="both"/>
        <w:rPr>
          <w:rFonts w:cstheme="minorHAnsi"/>
          <w:color w:val="000000" w:themeColor="text1"/>
        </w:rPr>
      </w:pPr>
      <w:r w:rsidRPr="007E64B5">
        <w:rPr>
          <w:rFonts w:cstheme="minorHAnsi"/>
          <w:color w:val="000000" w:themeColor="text1"/>
        </w:rPr>
        <w:t>Flytting av det finansielle ansvaret gir kommunen</w:t>
      </w:r>
      <w:r w:rsidR="004C7F7B" w:rsidRPr="007E64B5">
        <w:rPr>
          <w:rFonts w:cstheme="minorHAnsi"/>
          <w:color w:val="000000" w:themeColor="text1"/>
        </w:rPr>
        <w:t>e</w:t>
      </w:r>
      <w:r w:rsidRPr="007E64B5">
        <w:rPr>
          <w:rFonts w:cstheme="minorHAnsi"/>
          <w:color w:val="000000" w:themeColor="text1"/>
        </w:rPr>
        <w:t xml:space="preserve"> virkemidler som kan sette </w:t>
      </w:r>
      <w:r w:rsidR="004C7F7B" w:rsidRPr="007E64B5">
        <w:rPr>
          <w:rFonts w:cstheme="minorHAnsi"/>
          <w:color w:val="000000" w:themeColor="text1"/>
        </w:rPr>
        <w:t xml:space="preserve">dem </w:t>
      </w:r>
      <w:r w:rsidRPr="007E64B5">
        <w:rPr>
          <w:rFonts w:cstheme="minorHAnsi"/>
          <w:color w:val="000000" w:themeColor="text1"/>
        </w:rPr>
        <w:t>bedre i stand til å iverksette tiltak for å styrke fastlegeordningen, herunder vurdere hvordan oppgaver, personell og øvrige ressurser fordeles mellom fastlegetjenesten og andre kommunale tjenester. Kommunalt finansieringsansvar kan dermed bidra til tjenester som er bedre tilpasset lokale behov, riktigere ressursbruk, større kostnadseffektivitet og tettere integrering med øvrig kommunal helse- og omsorgstjeneste.</w:t>
      </w:r>
    </w:p>
    <w:p w14:paraId="440B08FC" w14:textId="77777777" w:rsidR="00D9107F" w:rsidRDefault="004030EF" w:rsidP="00A83CDF">
      <w:pPr>
        <w:jc w:val="both"/>
        <w:rPr>
          <w:rFonts w:cstheme="minorHAnsi"/>
          <w:color w:val="000000" w:themeColor="text1"/>
        </w:rPr>
      </w:pPr>
      <w:r w:rsidRPr="007E64B5">
        <w:rPr>
          <w:rFonts w:cstheme="minorHAnsi"/>
          <w:color w:val="000000" w:themeColor="text1"/>
        </w:rPr>
        <w:t xml:space="preserve">Økt nærhet mellom fastlegetjenesten og de øvrige kommunale tjenestene kan gi bedre samhandling og samarbeid på tvers av tjenester. Innad på fastlegekontoret vil endringen legge til rette for at flere helsepersonellgrupper kan jobbe sammen </w:t>
      </w:r>
      <w:r w:rsidR="00ED3368" w:rsidRPr="007E64B5">
        <w:rPr>
          <w:rFonts w:cstheme="minorHAnsi"/>
          <w:color w:val="000000" w:themeColor="text1"/>
        </w:rPr>
        <w:t>om</w:t>
      </w:r>
      <w:r w:rsidRPr="007E64B5">
        <w:rPr>
          <w:rFonts w:cstheme="minorHAnsi"/>
          <w:color w:val="000000" w:themeColor="text1"/>
        </w:rPr>
        <w:t xml:space="preserve"> komplekse pasienter. Det vil videre bli færre uklarheter knyttet til styringslinjen. Kommunens posisjon til å følge med på, ta et helhetlig eierskap til</w:t>
      </w:r>
      <w:r w:rsidR="00ED3368" w:rsidRPr="007E64B5">
        <w:rPr>
          <w:rFonts w:cstheme="minorHAnsi"/>
          <w:color w:val="000000" w:themeColor="text1"/>
        </w:rPr>
        <w:t>,</w:t>
      </w:r>
      <w:r w:rsidRPr="007E64B5">
        <w:rPr>
          <w:rFonts w:cstheme="minorHAnsi"/>
          <w:color w:val="000000" w:themeColor="text1"/>
        </w:rPr>
        <w:t xml:space="preserve"> og profesjonalisere ledelsen av fastlegetjenesten vil styrkes. Ansvar for finansieringen vil gi kommunen handlingsfrihet, innenfor kravene i </w:t>
      </w:r>
      <w:r w:rsidR="004C7F7B" w:rsidRPr="007E64B5">
        <w:rPr>
          <w:rFonts w:cstheme="minorHAnsi"/>
          <w:color w:val="000000" w:themeColor="text1"/>
        </w:rPr>
        <w:t xml:space="preserve">til enhver tid gjeldende </w:t>
      </w:r>
      <w:r w:rsidRPr="007E64B5">
        <w:rPr>
          <w:rFonts w:cstheme="minorHAnsi"/>
          <w:color w:val="000000" w:themeColor="text1"/>
        </w:rPr>
        <w:t>lov og forskrift, til å organisere fastlegetjenesten slik den finner det mest hensiktsmessig.</w:t>
      </w:r>
    </w:p>
    <w:p w14:paraId="09F371EA" w14:textId="77777777" w:rsidR="00D9107F" w:rsidRDefault="004030EF" w:rsidP="00A83CDF">
      <w:pPr>
        <w:jc w:val="both"/>
        <w:rPr>
          <w:color w:val="000000" w:themeColor="text1"/>
        </w:rPr>
      </w:pPr>
      <w:r w:rsidRPr="007E64B5">
        <w:rPr>
          <w:color w:val="000000" w:themeColor="text1"/>
        </w:rPr>
        <w:t xml:space="preserve">En endring i finansieringsansvaret vil i prinsippet kunne gjennomføres uten at innbyggerne og fastlegene merker det. Det </w:t>
      </w:r>
      <w:r w:rsidR="00A7680E" w:rsidRPr="007E64B5">
        <w:rPr>
          <w:color w:val="000000" w:themeColor="text1"/>
        </w:rPr>
        <w:t>kan</w:t>
      </w:r>
      <w:r w:rsidRPr="007E64B5">
        <w:rPr>
          <w:color w:val="000000" w:themeColor="text1"/>
        </w:rPr>
        <w:t xml:space="preserve"> </w:t>
      </w:r>
      <w:r w:rsidR="00576EFF" w:rsidRPr="007E64B5">
        <w:rPr>
          <w:color w:val="000000" w:themeColor="text1"/>
        </w:rPr>
        <w:t>teoretisk sett</w:t>
      </w:r>
      <w:r w:rsidRPr="007E64B5">
        <w:rPr>
          <w:color w:val="000000" w:themeColor="text1"/>
        </w:rPr>
        <w:t xml:space="preserve"> være mulig å videreføre dagens takstsystem og forvaltning</w:t>
      </w:r>
      <w:r w:rsidR="00576EFF" w:rsidRPr="007E64B5">
        <w:rPr>
          <w:color w:val="000000" w:themeColor="text1"/>
        </w:rPr>
        <w:t>, selv om dette</w:t>
      </w:r>
      <w:r w:rsidR="009A7BC2" w:rsidRPr="007E64B5">
        <w:rPr>
          <w:color w:val="000000" w:themeColor="text1"/>
        </w:rPr>
        <w:t xml:space="preserve">, blant annet på grunn av kommunenes manglende muligheter for kostnadskontroll, </w:t>
      </w:r>
      <w:r w:rsidR="00576EFF" w:rsidRPr="007E64B5">
        <w:rPr>
          <w:color w:val="000000" w:themeColor="text1"/>
        </w:rPr>
        <w:t>vurderes som lite aktuelt</w:t>
      </w:r>
      <w:r w:rsidRPr="007E64B5">
        <w:rPr>
          <w:color w:val="000000" w:themeColor="text1"/>
        </w:rPr>
        <w:t xml:space="preserve">. </w:t>
      </w:r>
      <w:r w:rsidR="00ED3368" w:rsidRPr="007E64B5">
        <w:rPr>
          <w:color w:val="000000" w:themeColor="text1"/>
        </w:rPr>
        <w:t>Alternativt kan det gjøres større endringer i finansieringsordningen, som omfatter driftsformer, finansieringsmodell og/eller takstsystemet.</w:t>
      </w:r>
    </w:p>
    <w:p w14:paraId="51B258CA" w14:textId="76648947" w:rsidR="004030EF" w:rsidRPr="007E64B5" w:rsidRDefault="004030EF" w:rsidP="00A83CDF">
      <w:pPr>
        <w:jc w:val="both"/>
        <w:rPr>
          <w:color w:val="000000" w:themeColor="text1"/>
        </w:rPr>
      </w:pPr>
      <w:r w:rsidRPr="007E64B5">
        <w:rPr>
          <w:color w:val="000000" w:themeColor="text1"/>
        </w:rPr>
        <w:t>I kommuner hvor fastlegene er ansatt i kommunen, vil behovet for finansiering gjennom takster bli mindre</w:t>
      </w:r>
      <w:r w:rsidR="004C7F7B" w:rsidRPr="007E64B5">
        <w:rPr>
          <w:color w:val="000000" w:themeColor="text1"/>
        </w:rPr>
        <w:t>,</w:t>
      </w:r>
      <w:r w:rsidRPr="007E64B5">
        <w:rPr>
          <w:color w:val="000000" w:themeColor="text1"/>
        </w:rPr>
        <w:t xml:space="preserve"> eller kanskje bortfalle. Dette er imidlertid en situasjon som allerede i dag gjelder for denne legegruppen, og som kan motvirkes av aktiv</w:t>
      </w:r>
      <w:r w:rsidR="00576EFF" w:rsidRPr="007E64B5">
        <w:rPr>
          <w:color w:val="000000" w:themeColor="text1"/>
        </w:rPr>
        <w:t>i</w:t>
      </w:r>
      <w:r w:rsidRPr="007E64B5">
        <w:rPr>
          <w:color w:val="000000" w:themeColor="text1"/>
        </w:rPr>
        <w:t>tetsbaserte avlønningselementer</w:t>
      </w:r>
      <w:r w:rsidR="007421AC" w:rsidRPr="007E64B5">
        <w:rPr>
          <w:color w:val="000000" w:themeColor="text1"/>
        </w:rPr>
        <w:t xml:space="preserve"> </w:t>
      </w:r>
      <w:r w:rsidR="00D06E8D" w:rsidRPr="007E64B5">
        <w:rPr>
          <w:color w:val="000000" w:themeColor="text1"/>
        </w:rPr>
        <w:t xml:space="preserve">(bonus) i tillegg til </w:t>
      </w:r>
      <w:r w:rsidR="007421AC" w:rsidRPr="007E64B5">
        <w:rPr>
          <w:color w:val="000000" w:themeColor="text1"/>
        </w:rPr>
        <w:t>fastlønn</w:t>
      </w:r>
      <w:r w:rsidRPr="007E64B5">
        <w:rPr>
          <w:color w:val="000000" w:themeColor="text1"/>
        </w:rPr>
        <w:t>. Det vil fortsatt være hensiktsmessig at også kommunalt ansatte fastleger benytter takstsystemet, dersom takstene fortsatt skal være en kilde til informasjon om aktivitet i fastlegekontorene</w:t>
      </w:r>
      <w:r w:rsidR="004C7F7B" w:rsidRPr="007E64B5">
        <w:rPr>
          <w:color w:val="000000" w:themeColor="text1"/>
        </w:rPr>
        <w:t xml:space="preserve">, </w:t>
      </w:r>
      <w:r w:rsidRPr="007E64B5">
        <w:rPr>
          <w:color w:val="000000" w:themeColor="text1"/>
        </w:rPr>
        <w:t xml:space="preserve">eller som verktøy for å stimulere til ønsket aktivitet. </w:t>
      </w:r>
      <w:r w:rsidR="009A7BC2" w:rsidRPr="007E64B5">
        <w:rPr>
          <w:color w:val="000000" w:themeColor="text1"/>
        </w:rPr>
        <w:t>Dette forutsetter en forenkling av takstsystemet</w:t>
      </w:r>
      <w:r w:rsidR="00394A1A" w:rsidRPr="007E64B5">
        <w:rPr>
          <w:color w:val="000000" w:themeColor="text1"/>
        </w:rPr>
        <w:t>.</w:t>
      </w:r>
    </w:p>
    <w:p w14:paraId="6E7838D1" w14:textId="77777777" w:rsidR="00D9107F" w:rsidRDefault="004030EF" w:rsidP="00A83CDF">
      <w:pPr>
        <w:jc w:val="both"/>
        <w:rPr>
          <w:rFonts w:cstheme="minorHAnsi"/>
        </w:rPr>
      </w:pPr>
      <w:r w:rsidRPr="007E64B5">
        <w:rPr>
          <w:rFonts w:cstheme="minorHAnsi"/>
          <w:color w:val="000000" w:themeColor="text1"/>
        </w:rPr>
        <w:t xml:space="preserve">En flytting av </w:t>
      </w:r>
      <w:r w:rsidR="0058135D" w:rsidRPr="007E64B5">
        <w:rPr>
          <w:rFonts w:cstheme="minorHAnsi"/>
          <w:color w:val="000000" w:themeColor="text1"/>
        </w:rPr>
        <w:t>finansierings</w:t>
      </w:r>
      <w:r w:rsidRPr="007E64B5">
        <w:rPr>
          <w:rFonts w:cstheme="minorHAnsi"/>
          <w:color w:val="000000" w:themeColor="text1"/>
        </w:rPr>
        <w:t>ansvaret vil også kunne påvirke hvem som deltar i</w:t>
      </w:r>
      <w:r w:rsidR="00ED3368" w:rsidRPr="007E64B5">
        <w:rPr>
          <w:rFonts w:cstheme="minorHAnsi"/>
          <w:color w:val="000000" w:themeColor="text1"/>
        </w:rPr>
        <w:t>,</w:t>
      </w:r>
      <w:r w:rsidRPr="007E64B5">
        <w:rPr>
          <w:rFonts w:cstheme="minorHAnsi"/>
          <w:color w:val="000000" w:themeColor="text1"/>
        </w:rPr>
        <w:t xml:space="preserve"> og har størst interesse </w:t>
      </w:r>
      <w:r w:rsidR="00ED3368" w:rsidRPr="007E64B5">
        <w:rPr>
          <w:rFonts w:cstheme="minorHAnsi"/>
          <w:color w:val="000000" w:themeColor="text1"/>
        </w:rPr>
        <w:t>for,</w:t>
      </w:r>
      <w:r w:rsidRPr="007E64B5">
        <w:rPr>
          <w:rFonts w:cstheme="minorHAnsi"/>
          <w:color w:val="000000" w:themeColor="text1"/>
        </w:rPr>
        <w:t xml:space="preserve"> det årlige arbeidet med endringer i basisfinansieringen og takstene. Et helhetlig ansvar for finansieringen vil</w:t>
      </w:r>
      <w:r w:rsidR="00ED3368" w:rsidRPr="007E64B5">
        <w:rPr>
          <w:rFonts w:cstheme="minorHAnsi"/>
          <w:color w:val="000000" w:themeColor="text1"/>
        </w:rPr>
        <w:t>,</w:t>
      </w:r>
      <w:r w:rsidRPr="007E64B5">
        <w:rPr>
          <w:rFonts w:cstheme="minorHAnsi"/>
          <w:color w:val="000000" w:themeColor="text1"/>
        </w:rPr>
        <w:t xml:space="preserve"> i større grad legge til rette for at kommunene kan følge med på kostnadene. Kost</w:t>
      </w:r>
      <w:r w:rsidR="00AB3144" w:rsidRPr="007E64B5">
        <w:rPr>
          <w:rFonts w:cstheme="minorHAnsi"/>
          <w:color w:val="000000" w:themeColor="text1"/>
        </w:rPr>
        <w:t>na</w:t>
      </w:r>
      <w:r w:rsidRPr="007E64B5">
        <w:rPr>
          <w:rFonts w:cstheme="minorHAnsi"/>
          <w:color w:val="000000" w:themeColor="text1"/>
        </w:rPr>
        <w:t xml:space="preserve">dskontroll kan tenkes å være særlig viktig ved innføring av profesjonsnøytrale takster eller økt grad av delegering i fastlegetjenesten, hvor </w:t>
      </w:r>
      <w:r w:rsidR="006C64A2" w:rsidRPr="007E64B5">
        <w:rPr>
          <w:rFonts w:cstheme="minorHAnsi"/>
          <w:color w:val="000000" w:themeColor="text1"/>
        </w:rPr>
        <w:t xml:space="preserve">det kan være en risiko for at </w:t>
      </w:r>
      <w:r w:rsidRPr="007E64B5">
        <w:rPr>
          <w:rFonts w:cstheme="minorHAnsi"/>
          <w:color w:val="000000" w:themeColor="text1"/>
        </w:rPr>
        <w:t xml:space="preserve">kostnadene </w:t>
      </w:r>
      <w:r w:rsidR="006C64A2" w:rsidRPr="007E64B5">
        <w:rPr>
          <w:rFonts w:cstheme="minorHAnsi"/>
          <w:color w:val="000000" w:themeColor="text1"/>
        </w:rPr>
        <w:t>øker.</w:t>
      </w:r>
      <w:r w:rsidRPr="007E64B5">
        <w:rPr>
          <w:rFonts w:cstheme="minorHAnsi"/>
          <w:color w:val="000000" w:themeColor="text1"/>
        </w:rPr>
        <w:t xml:space="preserve"> Kommunen kan dermed settes i stand til å vurdere aktivitet og ressursbruk opp mot kostnader. I dag er dette nærmest umulig</w:t>
      </w:r>
      <w:r w:rsidR="00ED3368">
        <w:rPr>
          <w:rFonts w:cstheme="minorHAnsi"/>
        </w:rPr>
        <w:t>,</w:t>
      </w:r>
      <w:r>
        <w:rPr>
          <w:rFonts w:cstheme="minorHAnsi"/>
        </w:rPr>
        <w:t xml:space="preserve"> ved at fastlegenes aktivitet finansieres av staten.</w:t>
      </w:r>
    </w:p>
    <w:p w14:paraId="5C3A01E3" w14:textId="5B65E111" w:rsidR="00B37483" w:rsidRDefault="1ABA849A" w:rsidP="00A83CDF">
      <w:pPr>
        <w:jc w:val="both"/>
      </w:pPr>
      <w:r>
        <w:lastRenderedPageBreak/>
        <w:t>Å flytte finansieringsansvaret til kommunen</w:t>
      </w:r>
      <w:r w:rsidR="0023277A">
        <w:t>,</w:t>
      </w:r>
      <w:r>
        <w:t xml:space="preserve"> kan også tenkes å ha ulemper. For det første kan prinsippet om likeverdige helsetjenester utfordres. De økonomiske forskjellene mellom kommunene kan bidra til at innbyggerne i kommuner med dårlig økonomi vil få et dårligere fastlegetilbud enn innbyggere i kommuner med god økonomi. </w:t>
      </w:r>
      <w:r w:rsidR="006D4A11">
        <w:t>I tillegg vil mange kommuner måtte utvikle egen kompetanse og ledelseskapasitet til å følge opp og lede fastlegetjenestene, noe som også vil medføre kostnader og ressurs</w:t>
      </w:r>
      <w:r w:rsidR="00C02A94">
        <w:t>bruk</w:t>
      </w:r>
      <w:r w:rsidR="006D4A11">
        <w:t xml:space="preserve"> for kommunene</w:t>
      </w:r>
      <w:r w:rsidR="006D4A11">
        <w:rPr>
          <w:color w:val="333333"/>
        </w:rPr>
        <w:t xml:space="preserve">. </w:t>
      </w:r>
      <w:r w:rsidR="005420B4" w:rsidRPr="00BB587B">
        <w:rPr>
          <w:color w:val="333333"/>
        </w:rPr>
        <w:t xml:space="preserve">Det er i dag variasjoner i tilbudet som kommuner tilbyr sine innbyggere. Det er derfor grunn til å stille spørsmål ved om særlig </w:t>
      </w:r>
      <w:r w:rsidR="004F4646">
        <w:rPr>
          <w:color w:val="333333"/>
        </w:rPr>
        <w:t>mindre folkerike</w:t>
      </w:r>
      <w:r w:rsidR="005420B4" w:rsidRPr="00BB587B">
        <w:rPr>
          <w:color w:val="333333"/>
        </w:rPr>
        <w:t xml:space="preserve"> kommuner </w:t>
      </w:r>
      <w:r w:rsidR="005420B4">
        <w:rPr>
          <w:color w:val="333333"/>
        </w:rPr>
        <w:t xml:space="preserve">vil </w:t>
      </w:r>
      <w:r w:rsidR="005420B4" w:rsidRPr="00BB587B">
        <w:rPr>
          <w:color w:val="333333"/>
        </w:rPr>
        <w:t xml:space="preserve">kunne </w:t>
      </w:r>
      <w:r w:rsidR="005420B4">
        <w:rPr>
          <w:color w:val="333333"/>
        </w:rPr>
        <w:t xml:space="preserve">ha tilstrekkelig </w:t>
      </w:r>
      <w:r w:rsidR="005420B4" w:rsidRPr="00BB587B">
        <w:rPr>
          <w:color w:val="333333"/>
        </w:rPr>
        <w:t>faglig og økonomisk styrke til å forvalte et slik ansvar til det beste for innbyggerne</w:t>
      </w:r>
      <w:r w:rsidR="005420B4">
        <w:rPr>
          <w:color w:val="333333"/>
        </w:rPr>
        <w:t xml:space="preserve">. </w:t>
      </w:r>
      <w:r>
        <w:t>I dagens situasjon kan det likevel argumenteres for at prinsippet om likeverdige tjenester allerede er utfordret. Dette gjelder både innenfor fastlegetjenesten, men også i de øvrige kommunale tjenestene.</w:t>
      </w:r>
    </w:p>
    <w:p w14:paraId="52085D46" w14:textId="77777777" w:rsidR="00D9107F" w:rsidRDefault="004030EF" w:rsidP="00836909">
      <w:pPr>
        <w:jc w:val="both"/>
      </w:pPr>
      <w:r w:rsidRPr="0F2E5F14">
        <w:t xml:space="preserve">Det er imidlertid ikke åpenbart at innbyggerne kommer dårligere ut enn i dag dersom </w:t>
      </w:r>
      <w:r>
        <w:t>kommunene får finansieringsansvaret for fastlegetjenesten. Mange kommuner dekker i dag merkostnade</w:t>
      </w:r>
      <w:r w:rsidR="005356B5">
        <w:t>r</w:t>
      </w:r>
      <w:r>
        <w:t xml:space="preserve"> til fastlegeordningen. Et helhetlig ansvar for finansiering, vil </w:t>
      </w:r>
      <w:r w:rsidRPr="0F2E5F14">
        <w:t>øke kommunenes mulighet til å prioritere også inn</w:t>
      </w:r>
      <w:r>
        <w:t>enfor denne t</w:t>
      </w:r>
      <w:r w:rsidRPr="0F2E5F14">
        <w:t xml:space="preserve">jenesten. </w:t>
      </w:r>
      <w:r>
        <w:t>U</w:t>
      </w:r>
      <w:r w:rsidRPr="0F2E5F14">
        <w:t xml:space="preserve">ønsket variasjon løses ellers ved at staten stiller krav til kommunenes tilbud og kvalitet på tjenestene. Gjennom forskrift og avtaleverk kan kommunen gis større eller mindre frihetsgrad knyttet til fastlegeordningen. Dette vil </w:t>
      </w:r>
      <w:r w:rsidR="00ED3368">
        <w:t>kunne</w:t>
      </w:r>
      <w:r w:rsidRPr="0F2E5F14">
        <w:t xml:space="preserve"> motvirke kommunal ulikhet i fastlegetjenesten</w:t>
      </w:r>
      <w:r w:rsidR="00ED3368">
        <w:t>,</w:t>
      </w:r>
      <w:r w:rsidRPr="0F2E5F14">
        <w:t xml:space="preserve"> og bidra til et </w:t>
      </w:r>
      <w:r>
        <w:t xml:space="preserve">mer </w:t>
      </w:r>
      <w:r w:rsidRPr="0F2E5F14">
        <w:t>likeverdig tilbud.</w:t>
      </w:r>
      <w:r>
        <w:t xml:space="preserve"> </w:t>
      </w:r>
      <w:r w:rsidR="009F5C0C">
        <w:rPr>
          <w:rFonts w:cstheme="minorHAnsi"/>
        </w:rPr>
        <w:t xml:space="preserve">For å lykkes </w:t>
      </w:r>
      <w:r w:rsidR="00525839">
        <w:rPr>
          <w:rFonts w:cstheme="minorHAnsi"/>
        </w:rPr>
        <w:t>i dette arbeidet</w:t>
      </w:r>
      <w:r w:rsidR="009F5C0C">
        <w:rPr>
          <w:rFonts w:cstheme="minorHAnsi"/>
        </w:rPr>
        <w:t xml:space="preserve">, vil det være nødvendig at kommunene prioriterer kompetansebygging, økonomiske ressurser og ledelse av </w:t>
      </w:r>
      <w:r w:rsidR="00525839">
        <w:rPr>
          <w:rFonts w:cstheme="minorHAnsi"/>
        </w:rPr>
        <w:t>fastlege</w:t>
      </w:r>
      <w:r w:rsidR="009F5C0C">
        <w:rPr>
          <w:rFonts w:cstheme="minorHAnsi"/>
        </w:rPr>
        <w:t>tjenesten. Ikke minst for å hindre at en overføring av finansieringsansvaret til kommunene</w:t>
      </w:r>
      <w:r w:rsidR="00480136">
        <w:rPr>
          <w:rFonts w:cstheme="minorHAnsi"/>
        </w:rPr>
        <w:t>,</w:t>
      </w:r>
      <w:r w:rsidR="009F5C0C">
        <w:rPr>
          <w:rFonts w:cstheme="minorHAnsi"/>
        </w:rPr>
        <w:t xml:space="preserve"> gir store geografiske ulikheter i tilbudet. </w:t>
      </w:r>
      <w:r>
        <w:t>Likevel vil det trolig</w:t>
      </w:r>
      <w:r w:rsidR="00ED3368">
        <w:t>,</w:t>
      </w:r>
      <w:r>
        <w:t xml:space="preserve"> som i dag</w:t>
      </w:r>
      <w:r w:rsidR="00ED3368">
        <w:t>,</w:t>
      </w:r>
      <w:r>
        <w:t xml:space="preserve"> fortsatt være ulikheter i tjenestetilbudet, </w:t>
      </w:r>
      <w:r w:rsidR="00BF3E70">
        <w:t xml:space="preserve">med større eller mindre variasjoner </w:t>
      </w:r>
      <w:r>
        <w:t>mellom kommuner.</w:t>
      </w:r>
    </w:p>
    <w:p w14:paraId="601ABB3B" w14:textId="77777777" w:rsidR="00D9107F" w:rsidRDefault="004030EF" w:rsidP="00836909">
      <w:pPr>
        <w:jc w:val="both"/>
        <w:rPr>
          <w:rFonts w:cstheme="minorHAnsi"/>
        </w:rPr>
      </w:pPr>
      <w:r>
        <w:rPr>
          <w:rFonts w:cstheme="minorHAnsi"/>
        </w:rPr>
        <w:t>For det andre vil den økonomiske usikkerheten for kommunene øke. Allerede i dag kan det være en utfordring for en kommunes økonomi dersom den har innbyggere med særlig store behov</w:t>
      </w:r>
      <w:r w:rsidR="004C7F7B">
        <w:rPr>
          <w:rFonts w:cstheme="minorHAnsi"/>
        </w:rPr>
        <w:t xml:space="preserve"> for helsetjenester</w:t>
      </w:r>
      <w:r>
        <w:rPr>
          <w:rFonts w:cstheme="minorHAnsi"/>
        </w:rPr>
        <w:t xml:space="preserve">. Store behov for fastlegetjenester påfører i dag ikke kommunen økte kostnader, fordi staten betaler gjennom Helfo, noe som vil forandres ved overføring av finansieringsansvaret. </w:t>
      </w:r>
      <w:r w:rsidR="00DF3DCE">
        <w:t>Ubegrenset taks</w:t>
      </w:r>
      <w:r w:rsidR="006B6A2A">
        <w:t>t</w:t>
      </w:r>
      <w:r w:rsidR="00DF3DCE">
        <w:t>finansiering</w:t>
      </w:r>
      <w:r w:rsidR="00BF3E70">
        <w:t>,</w:t>
      </w:r>
      <w:r w:rsidR="00DF3DCE">
        <w:t xml:space="preserve"> som i dag</w:t>
      </w:r>
      <w:r w:rsidR="00BF3E70">
        <w:t>,</w:t>
      </w:r>
      <w:r w:rsidR="00DF3DCE">
        <w:t xml:space="preserve"> </w:t>
      </w:r>
      <w:r w:rsidR="004C7F7B">
        <w:t>vil</w:t>
      </w:r>
      <w:r w:rsidR="00DF3DCE">
        <w:t xml:space="preserve"> medføre at kommunene betaler uten å ha kontroll over volumet de betaler for</w:t>
      </w:r>
      <w:r w:rsidR="003D3E46">
        <w:rPr>
          <w:rFonts w:cstheme="minorHAnsi"/>
        </w:rPr>
        <w:t xml:space="preserve">. </w:t>
      </w:r>
      <w:r w:rsidR="0020590B">
        <w:rPr>
          <w:rFonts w:cstheme="minorHAnsi"/>
        </w:rPr>
        <w:t>Mindre folkerike</w:t>
      </w:r>
      <w:r>
        <w:rPr>
          <w:rFonts w:cstheme="minorHAnsi"/>
        </w:rPr>
        <w:t xml:space="preserve"> kommuner vil være mer sårbare for slik usikkerhet enn store, og for staten vil slik variasjon ha lite å si for planleggingen. Det kan være en risiko for at fastlegetjenesten</w:t>
      </w:r>
      <w:r w:rsidR="00BF3E70">
        <w:rPr>
          <w:rFonts w:cstheme="minorHAnsi"/>
        </w:rPr>
        <w:t>,</w:t>
      </w:r>
      <w:r>
        <w:rPr>
          <w:rFonts w:cstheme="minorHAnsi"/>
        </w:rPr>
        <w:t xml:space="preserve"> i større grad enn i dag, vil finansieres på bekostning av andre tjenester.</w:t>
      </w:r>
    </w:p>
    <w:p w14:paraId="624CF7F3" w14:textId="77777777" w:rsidR="00D9107F" w:rsidRDefault="004030EF" w:rsidP="00836909">
      <w:pPr>
        <w:jc w:val="both"/>
      </w:pPr>
      <w:r w:rsidRPr="1841BB2D">
        <w:t xml:space="preserve">For å bøte på denne typen uønsket variasjon i den kommunale økonomien er det mulig å vurdere innføring av ulike forsikringsordninger og garantier fra staten. </w:t>
      </w:r>
      <w:r w:rsidR="002679B9" w:rsidRPr="1841BB2D">
        <w:t>Eventuelt</w:t>
      </w:r>
      <w:r w:rsidRPr="1841BB2D">
        <w:t xml:space="preserve"> </w:t>
      </w:r>
      <w:r w:rsidR="00494688">
        <w:t>kan</w:t>
      </w:r>
      <w:r w:rsidRPr="1841BB2D">
        <w:t xml:space="preserve"> </w:t>
      </w:r>
      <w:r w:rsidR="00790D12" w:rsidRPr="1841BB2D">
        <w:t>tilskuddsordningen</w:t>
      </w:r>
      <w:r>
        <w:t xml:space="preserve">, der staten dekker kommunens kostnader over en terskelverdi for enkeltpasienter som krever særlig store ressurser, </w:t>
      </w:r>
      <w:r w:rsidR="001D1231">
        <w:t xml:space="preserve">bygges ut </w:t>
      </w:r>
      <w:r>
        <w:t>til også å omfatte fastlegetjenester</w:t>
      </w:r>
      <w:r w:rsidR="177894E4">
        <w:t xml:space="preserve"> </w:t>
      </w:r>
      <w:r w:rsidR="00E94EA5">
        <w:fldChar w:fldCharType="begin"/>
      </w:r>
      <w:r w:rsidR="00235862">
        <w:instrText xml:space="preserve"> ADDIN EN.CITE &lt;EndNote&gt;&lt;Cite&gt;&lt;Author&gt;Helsedirektoratet&lt;/Author&gt;&lt;Year&gt;2019&lt;/Year&gt;&lt;RecNum&gt;796&lt;/RecNum&gt;&lt;DisplayText&gt;(Helsedirektoratet, 2019e)&lt;/DisplayText&gt;&lt;record&gt;&lt;rec-number&gt;796&lt;/rec-number&gt;&lt;foreign-keys&gt;&lt;key app="EN" db-id="95tpr2tp6r9xwoea9rb5wdsz5ds5xeddteew" timestamp="1680069511"&gt;796&lt;/key&gt;&lt;/foreign-keys&gt;&lt;ref-type name="Web Page"&gt;12&lt;/ref-type&gt;&lt;contributors&gt;&lt;authors&gt;&lt;author&gt;Helsedirektoratet&lt;/author&gt;&lt;/authors&gt;&lt;/contributors&gt;&lt;titles&gt;&lt;title&gt;Særlig ressurskrevende helse- og omsorgstjenester&lt;/title&gt;&lt;/titles&gt;&lt;number&gt;16. mars 2023&lt;/number&gt;&lt;dates&gt;&lt;year&gt;2019&lt;/year&gt;&lt;pub-dates&gt;&lt;date&gt;10. januar 2023&lt;/date&gt;&lt;/pub-dates&gt;&lt;/dates&gt;&lt;pub-location&gt;Oslo&lt;/pub-location&gt;&lt;publisher&gt;Helsedirektoratet&lt;/publisher&gt;&lt;work-type&gt;nettdokument&lt;/work-type&gt;&lt;urls&gt;&lt;/urls&gt;&lt;/record&gt;&lt;/Cite&gt;&lt;/EndNote&gt;</w:instrText>
      </w:r>
      <w:r w:rsidR="00E94EA5">
        <w:fldChar w:fldCharType="separate"/>
      </w:r>
      <w:r w:rsidR="00E94EA5">
        <w:rPr>
          <w:noProof/>
        </w:rPr>
        <w:t>(Helsedirektoratet, 2019e)</w:t>
      </w:r>
      <w:r w:rsidR="00E94EA5">
        <w:fldChar w:fldCharType="end"/>
      </w:r>
      <w:r>
        <w:t>.</w:t>
      </w:r>
      <w:r w:rsidR="004C7F7B">
        <w:t xml:space="preserve"> </w:t>
      </w:r>
      <w:r w:rsidR="00AF1664">
        <w:t>Forsikringsordninger</w:t>
      </w:r>
      <w:r w:rsidR="00DE2A60">
        <w:t xml:space="preserve"> </w:t>
      </w:r>
      <w:r w:rsidR="00AF1664">
        <w:t xml:space="preserve">vil medføre at staten </w:t>
      </w:r>
      <w:r w:rsidR="002074BA">
        <w:t>har</w:t>
      </w:r>
      <w:r w:rsidR="00AF1664">
        <w:t xml:space="preserve"> det økonomiske </w:t>
      </w:r>
      <w:r w:rsidR="00AF1664">
        <w:lastRenderedPageBreak/>
        <w:t>ansvaret og</w:t>
      </w:r>
      <w:r w:rsidR="004C7F7B">
        <w:t xml:space="preserve"> </w:t>
      </w:r>
      <w:r w:rsidR="00030F0F">
        <w:t xml:space="preserve">kan </w:t>
      </w:r>
      <w:r w:rsidR="001954F2">
        <w:t>bidra til uhensiktsmessige ins</w:t>
      </w:r>
      <w:r w:rsidR="001C5D3E">
        <w:t>entiver fra kommunens side</w:t>
      </w:r>
      <w:r w:rsidR="00801AE4" w:rsidRPr="00EF390E">
        <w:t>,</w:t>
      </w:r>
      <w:r w:rsidR="001C5D3E" w:rsidRPr="00EF390E">
        <w:t xml:space="preserve"> som i dag</w:t>
      </w:r>
      <w:r w:rsidR="00AF1664" w:rsidRPr="00EF390E">
        <w:t>.</w:t>
      </w:r>
      <w:r w:rsidR="00925252" w:rsidRPr="00EF390E">
        <w:t xml:space="preserve"> </w:t>
      </w:r>
      <w:r w:rsidR="00801AE4" w:rsidRPr="00EF390E">
        <w:t>På generelt grunnlag er det viktig at finansieringsordningene ikke blir unødig byråkratiske, eller krever store administrative forvaltningsress</w:t>
      </w:r>
      <w:r w:rsidR="00536FFD">
        <w:t>u</w:t>
      </w:r>
      <w:r w:rsidR="00801AE4" w:rsidRPr="00EF390E">
        <w:t>rser.</w:t>
      </w:r>
    </w:p>
    <w:p w14:paraId="1A390123" w14:textId="77777777" w:rsidR="00D9107F" w:rsidRDefault="00B342A5" w:rsidP="00DE4A4E">
      <w:pPr>
        <w:jc w:val="both"/>
      </w:pPr>
      <w:r>
        <w:t xml:space="preserve">Videreføring av dagens takstsystem, og den økonomiske risikoen dette gir kommunene, </w:t>
      </w:r>
      <w:r w:rsidR="00D748B7">
        <w:t xml:space="preserve">vil </w:t>
      </w:r>
      <w:r w:rsidR="00016B7A">
        <w:t>minke</w:t>
      </w:r>
      <w:r w:rsidR="00D748B7">
        <w:t xml:space="preserve"> om </w:t>
      </w:r>
      <w:r w:rsidR="000F58AB">
        <w:t xml:space="preserve">andelen </w:t>
      </w:r>
      <w:r w:rsidR="009B1B59">
        <w:t xml:space="preserve">takster reduseres til fordel for økt basisfinansiering. </w:t>
      </w:r>
      <w:r w:rsidR="002C402B">
        <w:t xml:space="preserve">Likevel vil den økonomiske risikoen, og muligheter for å redusere denne for kommunen, </w:t>
      </w:r>
      <w:r w:rsidR="00573CBB">
        <w:t xml:space="preserve">måtte utredes </w:t>
      </w:r>
      <w:r w:rsidR="004C7F7B">
        <w:t>nærmere</w:t>
      </w:r>
      <w:r w:rsidR="00573CBB">
        <w:t>.</w:t>
      </w:r>
    </w:p>
    <w:p w14:paraId="18BA0ED7" w14:textId="3DD11C57" w:rsidR="00152F42" w:rsidRPr="00C8590F" w:rsidRDefault="08594295" w:rsidP="00775632">
      <w:pPr>
        <w:pStyle w:val="Overskrift3"/>
      </w:pPr>
      <w:bookmarkStart w:id="1537" w:name="_Toc128741974"/>
      <w:bookmarkStart w:id="1538" w:name="_Toc128744569"/>
      <w:bookmarkStart w:id="1539" w:name="_Toc128744788"/>
      <w:bookmarkStart w:id="1540" w:name="_Toc129630286"/>
      <w:bookmarkStart w:id="1541" w:name="_Toc130763797"/>
      <w:bookmarkStart w:id="1542" w:name="_Toc130766692"/>
      <w:bookmarkStart w:id="1543" w:name="_Toc130932092"/>
      <w:bookmarkStart w:id="1544" w:name="_Toc130934383"/>
      <w:bookmarkStart w:id="1545" w:name="_Toc130983444"/>
      <w:bookmarkStart w:id="1546" w:name="_Toc130983793"/>
      <w:bookmarkStart w:id="1547" w:name="_Toc131062119"/>
      <w:bookmarkStart w:id="1548" w:name="_Toc131062373"/>
      <w:bookmarkStart w:id="1549" w:name="_Toc131062634"/>
      <w:bookmarkStart w:id="1550" w:name="_Toc131062887"/>
      <w:bookmarkStart w:id="1551" w:name="_Toc131063655"/>
      <w:bookmarkStart w:id="1552" w:name="_Toc131064076"/>
      <w:bookmarkStart w:id="1553" w:name="_Toc131238370"/>
      <w:bookmarkStart w:id="1554" w:name="_Toc131279401"/>
      <w:bookmarkStart w:id="1555" w:name="_Toc131286813"/>
      <w:bookmarkStart w:id="1556" w:name="_Toc131281223"/>
      <w:bookmarkStart w:id="1557" w:name="_Toc131317762"/>
      <w:bookmarkStart w:id="1558" w:name="_Toc132536958"/>
      <w:r>
        <w:t>Ekspertutvalgets</w:t>
      </w:r>
      <w:r w:rsidR="44218CA6">
        <w:t xml:space="preserve"> </w:t>
      </w:r>
      <w:bookmarkEnd w:id="1537"/>
      <w:bookmarkEnd w:id="1538"/>
      <w:bookmarkEnd w:id="1539"/>
      <w:r w:rsidR="44218CA6">
        <w:t>vurdering</w:t>
      </w:r>
      <w:r w:rsidR="69761763">
        <w:t>er</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47F77D7C" w14:textId="77777777" w:rsidR="00D9107F" w:rsidRDefault="004030EF" w:rsidP="007E64B5">
      <w:pPr>
        <w:jc w:val="both"/>
      </w:pPr>
      <w:r w:rsidRPr="4DB50DB7">
        <w:t xml:space="preserve">En overføring av sørge-for-ansvaret for fastlegetjenesten fra kommunene til RHFene vil kunne bidra til en mer helhetlig planlegging av helsetjenestene, og det er mulig at det vil </w:t>
      </w:r>
      <w:r w:rsidR="00F74B76" w:rsidRPr="4DB50DB7">
        <w:t>kunne</w:t>
      </w:r>
      <w:r w:rsidRPr="4DB50DB7">
        <w:t xml:space="preserve"> legge til rette for å løse noen av samhandlingsproblemene vi i dag ser mellom tjenestenivåene. Det vil imidlertid kunne gjøre andre ansvarsgrenser mer uklare, eksempelvis mellom fastlegene og de øvrige kommunale helse- og omsorgstjenestene.</w:t>
      </w:r>
    </w:p>
    <w:p w14:paraId="1E7ECEFF" w14:textId="77777777" w:rsidR="00D9107F" w:rsidRDefault="009A4690" w:rsidP="007E64B5">
      <w:pPr>
        <w:jc w:val="both"/>
      </w:pPr>
      <w:r w:rsidRPr="007E64B5">
        <w:t>Helsepersonellkommisjonen peker på at behovet for personell kommer til å øke, og at økningen vil bli størst i kommunene. I lys av dette</w:t>
      </w:r>
      <w:r w:rsidR="004030EF" w:rsidRPr="007E64B5">
        <w:t xml:space="preserve"> forventer </w:t>
      </w:r>
      <w:r w:rsidRPr="007E64B5">
        <w:t>ekspertutvalget</w:t>
      </w:r>
      <w:r w:rsidR="004030EF" w:rsidRPr="007E64B5">
        <w:t xml:space="preserve"> at samspillet mellom fastlegene og de øvrige kommunale helse- og omsorgstjenestene vil bli stadig viktigere når befolkningens omsorgsbehov tiltar kraftig de neste tiårene.</w:t>
      </w:r>
    </w:p>
    <w:p w14:paraId="5095404E" w14:textId="77777777" w:rsidR="00D9107F" w:rsidRDefault="00D14042" w:rsidP="007E64B5">
      <w:pPr>
        <w:jc w:val="both"/>
      </w:pPr>
      <w:r>
        <w:t>E</w:t>
      </w:r>
      <w:r w:rsidRPr="54ACEA7F">
        <w:t>n</w:t>
      </w:r>
      <w:r w:rsidR="004030EF" w:rsidRPr="54ACEA7F">
        <w:t xml:space="preserve"> flytting av ansvaret for fastlegene til helseforetakene vil trolig </w:t>
      </w:r>
      <w:r w:rsidR="00A871BA">
        <w:t xml:space="preserve">måtte </w:t>
      </w:r>
      <w:r w:rsidR="004030EF" w:rsidRPr="54ACEA7F">
        <w:t xml:space="preserve">medføre en vurdering </w:t>
      </w:r>
      <w:r w:rsidR="00884A6E">
        <w:t>av</w:t>
      </w:r>
      <w:r w:rsidR="004030EF" w:rsidRPr="54ACEA7F">
        <w:t xml:space="preserve"> om ikke andre helsetjenester også bør overføres fra kommunene. Dette </w:t>
      </w:r>
      <w:r w:rsidR="00385886">
        <w:t>kan</w:t>
      </w:r>
      <w:r w:rsidR="004030EF" w:rsidRPr="54ACEA7F">
        <w:t xml:space="preserve"> være </w:t>
      </w:r>
      <w:r w:rsidR="00385886">
        <w:t>relevant</w:t>
      </w:r>
      <w:r w:rsidR="004030EF" w:rsidRPr="54ACEA7F">
        <w:t xml:space="preserve"> for blant annet legevakt</w:t>
      </w:r>
      <w:r w:rsidR="00671A3F">
        <w:t xml:space="preserve"> for å </w:t>
      </w:r>
      <w:r w:rsidR="004030EF" w:rsidRPr="54ACEA7F">
        <w:t>styrk</w:t>
      </w:r>
      <w:r w:rsidR="00671A3F">
        <w:t>e</w:t>
      </w:r>
      <w:r w:rsidR="004030EF" w:rsidRPr="54ACEA7F">
        <w:t xml:space="preserve"> samarbeidet i den akuttmedisinske kjeden. I tillegg vil en opprusting av sykehjemmene og KAD-enheter tenkes å kunne avlaste noen lokalsykehusfunksjoner. Gitt behovet for samhandling knyttet til kapasitetsutfordringene i helse- og omsorgstjenestene de neste tiårene, vil det nok være behov for å vurdere slike problemstillinger, inkludert fordeler og ulemper ved å innføre kun ett forvaltningsnivå i de norske helse- og omsorgstjenestene.</w:t>
      </w:r>
    </w:p>
    <w:p w14:paraId="4DF73CDE" w14:textId="77777777" w:rsidR="00D9107F" w:rsidRDefault="1ABA849A" w:rsidP="007E64B5">
      <w:pPr>
        <w:jc w:val="both"/>
      </w:pPr>
      <w:r>
        <w:t xml:space="preserve">En overføring av finansieringsansvaret for fastlegetjenesten fra staten til kommunen kan bidra til en mer helhetlig planlegging av helsetjenestene, og </w:t>
      </w:r>
      <w:r w:rsidR="49B98E60">
        <w:t>kan</w:t>
      </w:r>
      <w:r>
        <w:t xml:space="preserve"> legge til rette for å løse noen av utfordringene vi har – og som vi antar vil bli forsterket i årene som kommer. Det vil også kunne styrke kommunenes mulighet til å utnytte potensialet som ligger i en hensiktsmessig oppgavedeling</w:t>
      </w:r>
      <w:r w:rsidR="49B98E60">
        <w:t>,</w:t>
      </w:r>
      <w:r>
        <w:t xml:space="preserve"> og til å innpasse fastlegetjenestene på en måte som i større grad enn i dag</w:t>
      </w:r>
      <w:r w:rsidR="0351E402">
        <w:t>,</w:t>
      </w:r>
      <w:r>
        <w:t xml:space="preserve"> møter lokale behov. </w:t>
      </w:r>
      <w:r w:rsidR="52F74B3E">
        <w:t xml:space="preserve">Det vil kunne legge forholdene bedre til rette for kommunens styring og ledelse av </w:t>
      </w:r>
      <w:r w:rsidR="47FC3381">
        <w:t>fastlegetjenesten</w:t>
      </w:r>
      <w:r w:rsidR="49B98E60">
        <w:t xml:space="preserve"> og den samlede allmennlegetjenesten</w:t>
      </w:r>
      <w:r w:rsidR="47FC3381">
        <w:t>, og</w:t>
      </w:r>
      <w:r>
        <w:t xml:space="preserve"> styrke muligheten for organisatoriske og personellmessige tilpasninger som imøtekommer behovene i hver enkelt kommune</w:t>
      </w:r>
      <w:r w:rsidR="71BA68A6">
        <w:t>.</w:t>
      </w:r>
      <w:r w:rsidR="49B98E60">
        <w:t xml:space="preserve"> </w:t>
      </w:r>
      <w:r w:rsidR="00C85F05">
        <w:t xml:space="preserve">Samtidig vil en overføring av finansieringsansvaret også kunne ha noen klare ulemper, knyttet til </w:t>
      </w:r>
      <w:r w:rsidR="008368FF">
        <w:t xml:space="preserve">at </w:t>
      </w:r>
      <w:r w:rsidR="00BF0695">
        <w:t>uli</w:t>
      </w:r>
      <w:r w:rsidR="00CD4F24">
        <w:t>khet</w:t>
      </w:r>
      <w:r w:rsidR="002128CD">
        <w:t xml:space="preserve"> i økonomi og</w:t>
      </w:r>
      <w:r w:rsidR="00BF0695">
        <w:t xml:space="preserve"> </w:t>
      </w:r>
      <w:r w:rsidR="00CD4F24">
        <w:t xml:space="preserve">kommunenes </w:t>
      </w:r>
      <w:r w:rsidR="00BF0695">
        <w:t xml:space="preserve">forutsetninger </w:t>
      </w:r>
      <w:r w:rsidR="00A81E3B">
        <w:t>for å ivareta ansvaret,</w:t>
      </w:r>
      <w:r w:rsidR="002128CD">
        <w:t xml:space="preserve"> kan føre til uheldig variasjon i tjenesten.</w:t>
      </w:r>
    </w:p>
    <w:p w14:paraId="53C1C5F9" w14:textId="77777777" w:rsidR="00D9107F" w:rsidRDefault="2DDBDB28" w:rsidP="00DE4A4E">
      <w:pPr>
        <w:jc w:val="both"/>
      </w:pPr>
      <w:r>
        <w:lastRenderedPageBreak/>
        <w:t xml:space="preserve">En flytting </w:t>
      </w:r>
      <w:r w:rsidR="7615F22E">
        <w:t xml:space="preserve">av sørge-for-ansvaret </w:t>
      </w:r>
      <w:r w:rsidR="49B98E60">
        <w:t xml:space="preserve">fra kommunen </w:t>
      </w:r>
      <w:r w:rsidR="6237D9FB">
        <w:t xml:space="preserve">til staten </w:t>
      </w:r>
      <w:r w:rsidR="7615F22E">
        <w:t xml:space="preserve">anses </w:t>
      </w:r>
      <w:r w:rsidR="57998DF0">
        <w:t xml:space="preserve">av ekspertutvalget </w:t>
      </w:r>
      <w:r w:rsidR="713C3CE4">
        <w:t xml:space="preserve">ikke </w:t>
      </w:r>
      <w:r w:rsidR="57998DF0">
        <w:t>å være</w:t>
      </w:r>
      <w:r w:rsidR="713C3CE4">
        <w:t xml:space="preserve"> en </w:t>
      </w:r>
      <w:r w:rsidR="4776ABC9">
        <w:t>aktuell</w:t>
      </w:r>
      <w:r w:rsidR="57998DF0">
        <w:t xml:space="preserve"> </w:t>
      </w:r>
      <w:r w:rsidR="713C3CE4">
        <w:t>løsning i dag</w:t>
      </w:r>
      <w:r w:rsidR="5D4949EF">
        <w:t xml:space="preserve">. </w:t>
      </w:r>
      <w:r w:rsidR="063287EA">
        <w:t xml:space="preserve">At flere og sykere pasienter i større grad skal håndteres i kommunene framover, er et argument for at fastlegene </w:t>
      </w:r>
      <w:r w:rsidR="00C96DB3">
        <w:t>bør</w:t>
      </w:r>
      <w:r w:rsidR="063287EA">
        <w:t xml:space="preserve"> knyttes tettere </w:t>
      </w:r>
      <w:r w:rsidR="005D6BDE">
        <w:t>til</w:t>
      </w:r>
      <w:r w:rsidR="063287EA">
        <w:t xml:space="preserve"> denne delen av helsetjenesten. </w:t>
      </w:r>
      <w:r w:rsidR="12829558">
        <w:t xml:space="preserve">En samling av sørge-for-ansvaret og finansieringsansvaret </w:t>
      </w:r>
      <w:r w:rsidR="49B98E60">
        <w:t>i</w:t>
      </w:r>
      <w:r w:rsidR="2206C796">
        <w:t xml:space="preserve"> kommunen</w:t>
      </w:r>
      <w:r w:rsidR="49B98E60">
        <w:t>e</w:t>
      </w:r>
      <w:r w:rsidR="2206C796">
        <w:t xml:space="preserve"> </w:t>
      </w:r>
      <w:r w:rsidR="12829558">
        <w:t xml:space="preserve">har </w:t>
      </w:r>
      <w:r w:rsidR="007215FB">
        <w:t xml:space="preserve">både </w:t>
      </w:r>
      <w:r w:rsidR="12829558">
        <w:t>fordeler</w:t>
      </w:r>
      <w:r w:rsidR="00F027B5">
        <w:t xml:space="preserve"> og ulemper</w:t>
      </w:r>
      <w:r w:rsidR="0041091B">
        <w:t>. Ekspertutvalget</w:t>
      </w:r>
      <w:r w:rsidR="52D0B729">
        <w:t xml:space="preserve"> anbefaler at </w:t>
      </w:r>
      <w:r w:rsidR="4776ABC9">
        <w:t>en overføring av</w:t>
      </w:r>
      <w:r w:rsidR="52D0B729">
        <w:t xml:space="preserve"> finansieringsansvaret for fastlegeordningen til kommunene utredes</w:t>
      </w:r>
      <w:r w:rsidR="786A1288">
        <w:t xml:space="preserve"> videre</w:t>
      </w:r>
      <w:r w:rsidR="52D0B729">
        <w:t>.</w:t>
      </w:r>
      <w:r w:rsidR="009D0724">
        <w:t xml:space="preserve"> </w:t>
      </w:r>
      <w:r w:rsidR="00E92C33">
        <w:t>Det er naturlig at en slik utredning også bør omfatte</w:t>
      </w:r>
      <w:r w:rsidR="00376496">
        <w:t xml:space="preserve"> </w:t>
      </w:r>
      <w:r w:rsidR="004F312B">
        <w:t>finansieringsansvaret for</w:t>
      </w:r>
      <w:r w:rsidR="00E92C33">
        <w:t xml:space="preserve"> legevakt.</w:t>
      </w:r>
    </w:p>
    <w:p w14:paraId="3BC25DDA" w14:textId="20E6DD3A" w:rsidR="009223EC" w:rsidRPr="009223EC" w:rsidRDefault="2A0CCF46" w:rsidP="00775632">
      <w:pPr>
        <w:pStyle w:val="Overskrift2"/>
      </w:pPr>
      <w:bookmarkStart w:id="1559" w:name="_Toc128238495"/>
      <w:bookmarkStart w:id="1560" w:name="_Toc128741975"/>
      <w:bookmarkStart w:id="1561" w:name="_Toc128744570"/>
      <w:bookmarkStart w:id="1562" w:name="_Toc128744789"/>
      <w:bookmarkStart w:id="1563" w:name="_Toc129630287"/>
      <w:bookmarkStart w:id="1564" w:name="_Toc130763798"/>
      <w:bookmarkStart w:id="1565" w:name="_Toc130766693"/>
      <w:bookmarkStart w:id="1566" w:name="_Toc130932093"/>
      <w:bookmarkStart w:id="1567" w:name="_Toc130934384"/>
      <w:bookmarkStart w:id="1568" w:name="_Toc130983445"/>
      <w:bookmarkStart w:id="1569" w:name="_Toc130983794"/>
      <w:bookmarkStart w:id="1570" w:name="_Toc131062120"/>
      <w:bookmarkStart w:id="1571" w:name="_Toc131062374"/>
      <w:bookmarkStart w:id="1572" w:name="_Toc131062635"/>
      <w:bookmarkStart w:id="1573" w:name="_Toc131062888"/>
      <w:bookmarkStart w:id="1574" w:name="_Toc131063656"/>
      <w:bookmarkStart w:id="1575" w:name="_Toc131064077"/>
      <w:bookmarkStart w:id="1576" w:name="_Toc131238371"/>
      <w:bookmarkStart w:id="1577" w:name="_Toc131279402"/>
      <w:bookmarkStart w:id="1578" w:name="_Toc131286814"/>
      <w:bookmarkStart w:id="1579" w:name="_Toc131281224"/>
      <w:bookmarkStart w:id="1580" w:name="_Toc131317763"/>
      <w:bookmarkStart w:id="1581" w:name="_Toc132536959"/>
      <w:r>
        <w:t xml:space="preserve">Fastlegen som </w:t>
      </w:r>
      <w:bookmarkEnd w:id="1559"/>
      <w:bookmarkEnd w:id="1560"/>
      <w:bookmarkEnd w:id="1561"/>
      <w:bookmarkEnd w:id="1562"/>
      <w:bookmarkEnd w:id="1563"/>
      <w:bookmarkEnd w:id="1564"/>
      <w:bookmarkEnd w:id="1565"/>
      <w:r>
        <w:t>portv</w:t>
      </w:r>
      <w:r w:rsidR="00761089">
        <w:t>a</w:t>
      </w:r>
      <w:r>
        <w:t>kt</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4876975B" w14:textId="64263EA9" w:rsidR="000D321D" w:rsidRDefault="009223EC" w:rsidP="009E3C95">
      <w:pPr>
        <w:jc w:val="both"/>
      </w:pPr>
      <w:r>
        <w:t>Fastlegen har mange portvaktroller</w:t>
      </w:r>
      <w:r w:rsidR="007B6D55">
        <w:t>.</w:t>
      </w:r>
      <w:r>
        <w:t xml:space="preserve"> </w:t>
      </w:r>
      <w:r w:rsidR="00546587">
        <w:t>Fastl</w:t>
      </w:r>
      <w:r w:rsidR="004C213B">
        <w:t xml:space="preserve">egen </w:t>
      </w:r>
      <w:r w:rsidR="00BF1634">
        <w:t>er portvakt til spesialist</w:t>
      </w:r>
      <w:r w:rsidR="003B2B71">
        <w:t>helsetjenesten</w:t>
      </w:r>
      <w:r w:rsidR="005E1D2B">
        <w:t xml:space="preserve">, </w:t>
      </w:r>
      <w:r>
        <w:t xml:space="preserve">til </w:t>
      </w:r>
      <w:r w:rsidR="00182B21">
        <w:t xml:space="preserve">forskrivning av legemidler </w:t>
      </w:r>
      <w:r w:rsidR="001926A6">
        <w:t xml:space="preserve">og til </w:t>
      </w:r>
      <w:r>
        <w:t xml:space="preserve">velferdstjenester </w:t>
      </w:r>
      <w:r w:rsidR="00C17489">
        <w:t xml:space="preserve">som </w:t>
      </w:r>
      <w:r>
        <w:t>sykmelding</w:t>
      </w:r>
      <w:r w:rsidR="00C17489">
        <w:t>,</w:t>
      </w:r>
      <w:r>
        <w:t xml:space="preserve"> uføretrygd</w:t>
      </w:r>
      <w:r w:rsidR="00C17489">
        <w:t xml:space="preserve"> og andre stønader. </w:t>
      </w:r>
      <w:r w:rsidR="005E273A">
        <w:t xml:space="preserve">Fastlegen kan </w:t>
      </w:r>
      <w:r w:rsidR="00AA615D">
        <w:t>også</w:t>
      </w:r>
      <w:r w:rsidR="005E273A">
        <w:t xml:space="preserve"> sies å være portvakt inn til seg selv</w:t>
      </w:r>
      <w:r w:rsidR="00A47B30">
        <w:t xml:space="preserve"> </w:t>
      </w:r>
      <w:r w:rsidR="00E94EA5">
        <w:fldChar w:fldCharType="begin"/>
      </w:r>
      <w:r w:rsidR="00E94EA5">
        <w:instrText xml:space="preserve"> ADDIN EN.CITE &lt;EndNote&gt;&lt;Cite ExcludeAuth="1"&gt;&lt;Year&gt;2012&lt;/Year&gt;&lt;RecNum&gt;255&lt;/RecNum&gt;&lt;DisplayText&gt;(&lt;style face="italic"&gt;Forskrift om fastlegeordning i kommunene&lt;/style&gt;, 2012)&lt;/DisplayText&gt;&lt;record&gt;&lt;rec-number&gt;255&lt;/rec-number&gt;&lt;foreign-keys&gt;&lt;key app="EN" db-id="95tpr2tp6r9xwoea9rb5wdsz5ds5xeddteew" timestamp="1680069511"&gt;255&lt;/key&gt;&lt;/foreign-keys&gt;&lt;ref-type name="Legal Rule or Regulation"&gt;50&lt;/ref-type&gt;&lt;contributors&gt;&lt;/contributors&gt;&lt;titles&gt;&lt;title&gt;Forskrift om fastlegeordning i kommunene&lt;/title&gt;&lt;secondary-title&gt;FOR-2012-08-29-842&lt;/secondary-title&gt;&lt;/titles&gt;&lt;edition&gt;FOR-2021-09-17-2821&lt;/edition&gt;&lt;dates&gt;&lt;year&gt;2012&lt;/year&gt;&lt;/dates&gt;&lt;urls&gt;&lt;related-urls&gt;&lt;url&gt;https://lovdata.no/dokument/SF/forskrift/2012-08-29-842&lt;/url&gt;&lt;/related-urls&gt;&lt;/urls&gt;&lt;/record&gt;&lt;/Cite&gt;&lt;/EndNote&gt;</w:instrText>
      </w:r>
      <w:r w:rsidR="00E94EA5">
        <w:fldChar w:fldCharType="separate"/>
      </w:r>
      <w:r w:rsidR="00E94EA5">
        <w:rPr>
          <w:noProof/>
        </w:rPr>
        <w:t>(</w:t>
      </w:r>
      <w:r w:rsidR="00E94EA5" w:rsidRPr="00D9107F">
        <w:rPr>
          <w:rStyle w:val="kursiv"/>
        </w:rPr>
        <w:t>Forskrift om fastlegeordning i kommunene</w:t>
      </w:r>
      <w:r w:rsidR="00E94EA5">
        <w:rPr>
          <w:noProof/>
        </w:rPr>
        <w:t>, 2012)</w:t>
      </w:r>
      <w:r w:rsidR="00E94EA5">
        <w:fldChar w:fldCharType="end"/>
      </w:r>
      <w:r w:rsidR="00BA6816">
        <w:t>.</w:t>
      </w:r>
    </w:p>
    <w:p w14:paraId="4E3F681D" w14:textId="3ED426C0" w:rsidR="00EA4B99" w:rsidRDefault="00E55050" w:rsidP="009E3C95">
      <w:pPr>
        <w:jc w:val="both"/>
      </w:pPr>
      <w:r>
        <w:t>F</w:t>
      </w:r>
      <w:r w:rsidR="00F24EAC">
        <w:t xml:space="preserve">astlegens </w:t>
      </w:r>
      <w:r w:rsidR="00F73B28">
        <w:t xml:space="preserve">plikt til å henvise </w:t>
      </w:r>
      <w:r w:rsidR="001926A6">
        <w:t>er en sentral del av portv</w:t>
      </w:r>
      <w:r w:rsidR="009E3C95">
        <w:t>a</w:t>
      </w:r>
      <w:r w:rsidR="001926A6">
        <w:t>ktrollen</w:t>
      </w:r>
      <w:r w:rsidR="00107A64">
        <w:t xml:space="preserve">. </w:t>
      </w:r>
      <w:r w:rsidR="0006189A">
        <w:t xml:space="preserve">Dette gjelder spesielt for </w:t>
      </w:r>
      <w:r w:rsidR="765AF20D">
        <w:t xml:space="preserve">henvisning til </w:t>
      </w:r>
      <w:r w:rsidR="0067473D">
        <w:t xml:space="preserve">spesialisthelsetjenesten. </w:t>
      </w:r>
      <w:r w:rsidR="00107A64">
        <w:t xml:space="preserve">Henvisningspraksisen </w:t>
      </w:r>
      <w:r>
        <w:t xml:space="preserve">skal </w:t>
      </w:r>
      <w:r w:rsidR="00F24EAC">
        <w:t xml:space="preserve">understøtte </w:t>
      </w:r>
      <w:r w:rsidR="00F24EAC" w:rsidRPr="002628D5">
        <w:t>faglig riktig oppgavedeling og god samhandling mellom behandlingsnivåene</w:t>
      </w:r>
      <w:r w:rsidR="00AA615D">
        <w:t>,</w:t>
      </w:r>
      <w:r w:rsidR="00F24EAC" w:rsidRPr="002628D5">
        <w:t xml:space="preserve"> i tråd med lov, forskrift og lokale samarbeidsavtaler</w:t>
      </w:r>
      <w:r w:rsidR="00F24EAC">
        <w:t>.</w:t>
      </w:r>
    </w:p>
    <w:p w14:paraId="42F8206A" w14:textId="77777777" w:rsidR="00D9107F" w:rsidRDefault="00E55050" w:rsidP="009E3C95">
      <w:pPr>
        <w:jc w:val="both"/>
      </w:pPr>
      <w:r>
        <w:t>K</w:t>
      </w:r>
      <w:r w:rsidR="00CD0A17">
        <w:t xml:space="preserve">ommunen har </w:t>
      </w:r>
      <w:r w:rsidR="0042508B">
        <w:t>etter helse- og omsorgstjenesteloven</w:t>
      </w:r>
      <w:r w:rsidR="00CD0A17">
        <w:t xml:space="preserve"> ansvar for mange tjenester hvor fastlegen ikke har noen formell </w:t>
      </w:r>
      <w:r w:rsidR="00B4599A">
        <w:t>henvisningsrolle</w:t>
      </w:r>
      <w:r w:rsidR="00CD0A17">
        <w:t xml:space="preserve">. </w:t>
      </w:r>
      <w:r w:rsidR="002D3282">
        <w:t>Fast</w:t>
      </w:r>
      <w:r w:rsidR="00172F69">
        <w:t xml:space="preserve">legen </w:t>
      </w:r>
      <w:r w:rsidR="002D3282">
        <w:t>vil</w:t>
      </w:r>
      <w:r w:rsidR="00172F69">
        <w:t xml:space="preserve"> likevel </w:t>
      </w:r>
      <w:r w:rsidR="003302A2">
        <w:t xml:space="preserve">bidra </w:t>
      </w:r>
      <w:r w:rsidR="00CD0A17">
        <w:t>med helseopplysninger</w:t>
      </w:r>
      <w:r w:rsidR="00B4599A">
        <w:t xml:space="preserve"> til andre kommunale helse- og omsorgstjenester ved behov</w:t>
      </w:r>
      <w:r w:rsidR="009A7BC2">
        <w:t>.</w:t>
      </w:r>
      <w:r w:rsidR="008619B5">
        <w:t xml:space="preserve"> </w:t>
      </w:r>
      <w:r w:rsidR="00B26B95">
        <w:t xml:space="preserve">Fastlegens plikt til å utstede attester </w:t>
      </w:r>
      <w:r w:rsidR="002802A9">
        <w:t>er drøftet i kapittel 7.</w:t>
      </w:r>
    </w:p>
    <w:p w14:paraId="60FC6EBA" w14:textId="7EEF7212" w:rsidR="00134C59" w:rsidRDefault="00134C59" w:rsidP="00134C59">
      <w:pPr>
        <w:jc w:val="both"/>
      </w:pPr>
      <w:r w:rsidRPr="00D05D2C">
        <w:rPr>
          <w:shd w:val="clear" w:color="auto" w:fill="FFFFFF"/>
        </w:rPr>
        <w:t>Helsepersonellkommisjonen peker på at behovet for helse- og omsorgstjenester vil øke kraftig fr</w:t>
      </w:r>
      <w:r w:rsidR="00AA615D">
        <w:rPr>
          <w:shd w:val="clear" w:color="auto" w:fill="FFFFFF"/>
        </w:rPr>
        <w:t>a</w:t>
      </w:r>
      <w:r w:rsidRPr="00D05D2C">
        <w:rPr>
          <w:shd w:val="clear" w:color="auto" w:fill="FFFFFF"/>
        </w:rPr>
        <w:t xml:space="preserve">mover, og at den største økningen forventes å komme i kommunen. </w:t>
      </w:r>
      <w:r w:rsidRPr="005D133B">
        <w:t>Kommisjonen ser på fastlegenes portv</w:t>
      </w:r>
      <w:r w:rsidR="000C320C">
        <w:t>a</w:t>
      </w:r>
      <w:r w:rsidRPr="005D133B">
        <w:t>ktfunksjon som kritisk viktig</w:t>
      </w:r>
      <w:r w:rsidR="004D0A1D">
        <w:t>,</w:t>
      </w:r>
      <w:r w:rsidRPr="005D133B">
        <w:t xml:space="preserve"> for å oppnå en bærekraftig helsetjeneste</w:t>
      </w:r>
      <w:r>
        <w:t xml:space="preserve"> </w:t>
      </w:r>
      <w:r w:rsidR="00605D96">
        <w:fldChar w:fldCharType="begin"/>
      </w:r>
      <w:r w:rsidR="00605D96">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605D96">
        <w:fldChar w:fldCharType="separate"/>
      </w:r>
      <w:r w:rsidR="00605D96">
        <w:rPr>
          <w:noProof/>
        </w:rPr>
        <w:t>(Helse- og omsorgsdepartementet, 2023c)</w:t>
      </w:r>
      <w:r w:rsidR="00605D96">
        <w:fldChar w:fldCharType="end"/>
      </w:r>
      <w:r w:rsidRPr="005D133B">
        <w:t>.</w:t>
      </w:r>
    </w:p>
    <w:p w14:paraId="07A7B013" w14:textId="3FE91DE4" w:rsidR="006B7F15" w:rsidRDefault="006B7F15" w:rsidP="00775632">
      <w:pPr>
        <w:pStyle w:val="Overskrift3"/>
      </w:pPr>
      <w:bookmarkStart w:id="1582" w:name="_Toc130763799"/>
      <w:bookmarkStart w:id="1583" w:name="_Toc130766694"/>
      <w:bookmarkStart w:id="1584" w:name="_Toc130932094"/>
      <w:bookmarkStart w:id="1585" w:name="_Toc130934385"/>
      <w:bookmarkStart w:id="1586" w:name="_Toc130983446"/>
      <w:bookmarkStart w:id="1587" w:name="_Toc130983795"/>
      <w:bookmarkStart w:id="1588" w:name="_Toc131062121"/>
      <w:bookmarkStart w:id="1589" w:name="_Toc131062375"/>
      <w:bookmarkStart w:id="1590" w:name="_Toc131062636"/>
      <w:bookmarkStart w:id="1591" w:name="_Toc131062889"/>
      <w:bookmarkStart w:id="1592" w:name="_Toc131063657"/>
      <w:bookmarkStart w:id="1593" w:name="_Toc131064078"/>
      <w:bookmarkStart w:id="1594" w:name="_Toc131238372"/>
      <w:bookmarkStart w:id="1595" w:name="_Toc131279403"/>
      <w:bookmarkStart w:id="1596" w:name="_Toc131286815"/>
      <w:bookmarkStart w:id="1597" w:name="_Toc131281225"/>
      <w:bookmarkStart w:id="1598" w:name="_Toc131317764"/>
      <w:bookmarkStart w:id="1599" w:name="_Toc132536960"/>
      <w:r>
        <w:t>Fastlegen som portvakt til seg selv</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5B17A8B2" w14:textId="77777777" w:rsidR="00D9107F" w:rsidRDefault="006B7F15" w:rsidP="006B7F15">
      <w:pPr>
        <w:jc w:val="both"/>
      </w:pPr>
      <w:r>
        <w:t xml:space="preserve">Ved økende behov for fastlegetjenester som overgår tilbudet, vil det være særlig viktig at legen </w:t>
      </w:r>
      <w:r w:rsidR="00C849A5">
        <w:t>prioriterer</w:t>
      </w:r>
      <w:r w:rsidR="00F237B0">
        <w:t xml:space="preserve"> sin</w:t>
      </w:r>
      <w:r>
        <w:t xml:space="preserve"> tid </w:t>
      </w:r>
      <w:r w:rsidR="00F237B0">
        <w:t>til</w:t>
      </w:r>
      <w:r>
        <w:t xml:space="preserve"> de pasientene som trenger det mest, og hvor helsegevinsten av diagnostikk og behandling er høy</w:t>
      </w:r>
      <w:r w:rsidR="00C1319D">
        <w:t>.</w:t>
      </w:r>
    </w:p>
    <w:p w14:paraId="2BFD70E6" w14:textId="77777777" w:rsidR="00D9107F" w:rsidRDefault="008F56A8" w:rsidP="006B7F15">
      <w:pPr>
        <w:jc w:val="both"/>
      </w:pPr>
      <w:r w:rsidRPr="001608D6">
        <w:t xml:space="preserve">Prioritering </w:t>
      </w:r>
      <w:r>
        <w:t xml:space="preserve">inn til fastlegen </w:t>
      </w:r>
      <w:r w:rsidRPr="001608D6">
        <w:t xml:space="preserve">er vanskelig fordi </w:t>
      </w:r>
      <w:r w:rsidR="056A8179">
        <w:t>fastlegen arbeider med en uselektert populasjon, som i all hovedsak selv velger</w:t>
      </w:r>
      <w:r w:rsidR="3CC909E6">
        <w:t xml:space="preserve"> </w:t>
      </w:r>
      <w:r w:rsidR="056A8179">
        <w:t>å oppsøke fastlegen</w:t>
      </w:r>
      <w:r>
        <w:t>.</w:t>
      </w:r>
      <w:r w:rsidRPr="001608D6">
        <w:t xml:space="preserve"> </w:t>
      </w:r>
      <w:r>
        <w:t>Noen pasienter kan tjene på en prioritering, andre kan tape</w:t>
      </w:r>
      <w:r w:rsidRPr="001608D6">
        <w:t>.</w:t>
      </w:r>
      <w:r>
        <w:t xml:space="preserve"> </w:t>
      </w:r>
      <w:r w:rsidR="006B7F15">
        <w:t xml:space="preserve">Ved manglende systemer for </w:t>
      </w:r>
      <w:r w:rsidR="00C03321">
        <w:t>prioritering av henvendelse</w:t>
      </w:r>
      <w:r w:rsidR="004339D8">
        <w:t>r</w:t>
      </w:r>
      <w:r w:rsidR="006B7F15">
        <w:t xml:space="preserve"> inn til fastlegen, vil andre og ofte usynlige mekanismer like </w:t>
      </w:r>
      <w:r w:rsidR="004339D8">
        <w:t xml:space="preserve">fullt </w:t>
      </w:r>
      <w:r w:rsidR="006B7F15">
        <w:t xml:space="preserve">sørge for </w:t>
      </w:r>
      <w:r w:rsidR="00C80B10">
        <w:t xml:space="preserve">en </w:t>
      </w:r>
      <w:r w:rsidR="00227A8F">
        <w:t>rekkefølge</w:t>
      </w:r>
      <w:r w:rsidR="006B7F15">
        <w:t>.</w:t>
      </w:r>
    </w:p>
    <w:p w14:paraId="6B6817A2" w14:textId="35AF953F" w:rsidR="006B7F15" w:rsidRDefault="006B7F15" w:rsidP="006B7F15">
      <w:pPr>
        <w:jc w:val="both"/>
      </w:pPr>
      <w:r>
        <w:t>Når flere</w:t>
      </w:r>
      <w:r w:rsidDel="00334D7E">
        <w:t xml:space="preserve"> </w:t>
      </w:r>
      <w:r w:rsidR="00334D7E">
        <w:t>innbyggere</w:t>
      </w:r>
      <w:r>
        <w:t xml:space="preserve"> ønsker en konsultasjon med fastlegen enn det fastlegen har kapasitet til, vil det være nødvendig med begrensinger i tilbudet for å sikre likeverdige tjenester. Dette </w:t>
      </w:r>
      <w:r>
        <w:lastRenderedPageBreak/>
        <w:t>innebærer at fastlegen må si nei til noen innbyggere for å kunne yte tilstrekkelig tid til innbyggere som har enda større nytte av legens tid.</w:t>
      </w:r>
      <w:r w:rsidR="0032456D">
        <w:t xml:space="preserve"> </w:t>
      </w:r>
      <w:r w:rsidR="00F7253D">
        <w:t>Ved knapphet på legeressurser</w:t>
      </w:r>
      <w:r w:rsidR="00334D7E">
        <w:t>,</w:t>
      </w:r>
      <w:r w:rsidR="00F7253D">
        <w:t xml:space="preserve"> vil </w:t>
      </w:r>
      <w:r w:rsidR="00F20599">
        <w:t xml:space="preserve">prioritering </w:t>
      </w:r>
      <w:r w:rsidR="00F7253D">
        <w:t>i praksis innebære at alle kan komme til fastlegen</w:t>
      </w:r>
      <w:r w:rsidR="005F6687">
        <w:t xml:space="preserve"> – men ikke for alt.</w:t>
      </w:r>
      <w:r w:rsidR="0075660E">
        <w:t xml:space="preserve"> </w:t>
      </w:r>
      <w:r w:rsidR="00EB3D93">
        <w:t>P</w:t>
      </w:r>
      <w:r w:rsidR="0032456D">
        <w:t xml:space="preserve">rioriteringen </w:t>
      </w:r>
      <w:r w:rsidR="00021B21">
        <w:t>kan</w:t>
      </w:r>
      <w:r w:rsidR="0032456D">
        <w:t xml:space="preserve"> </w:t>
      </w:r>
      <w:r w:rsidR="00EB3D93">
        <w:t>således</w:t>
      </w:r>
      <w:r w:rsidR="0075660E">
        <w:t xml:space="preserve"> </w:t>
      </w:r>
      <w:r w:rsidR="00BB78A9">
        <w:t>påvirke</w:t>
      </w:r>
      <w:r w:rsidR="00EB3D93">
        <w:t xml:space="preserve"> </w:t>
      </w:r>
      <w:r w:rsidR="0030146B">
        <w:t>kjerneverdien knyttet til at fastlegen er en førstelinjetjeneste.</w:t>
      </w:r>
    </w:p>
    <w:p w14:paraId="51D0FEC5" w14:textId="1CCE7BB4" w:rsidR="006B7F15" w:rsidRDefault="00335557" w:rsidP="00574BE6">
      <w:pPr>
        <w:jc w:val="both"/>
      </w:pPr>
      <w:r>
        <w:t>Utfordringen</w:t>
      </w:r>
      <w:r w:rsidR="006B7F15">
        <w:t xml:space="preserve"> mot likeverdige tjenester kan forsterkes ved at noen </w:t>
      </w:r>
      <w:r w:rsidR="00B01B44">
        <w:t xml:space="preserve">innbyggere </w:t>
      </w:r>
      <w:r w:rsidR="006B7F15">
        <w:t xml:space="preserve">sjelden eller aldri oppsøker helsetjenestene. Fastlegene har i liten grad systemer </w:t>
      </w:r>
      <w:r w:rsidR="591CED8F">
        <w:t>eller insentiver</w:t>
      </w:r>
      <w:r w:rsidR="006B7F15">
        <w:t xml:space="preserve"> til å fange opp eller oppsøke slike </w:t>
      </w:r>
      <w:r w:rsidR="00FA1A48">
        <w:t>liste</w:t>
      </w:r>
      <w:r w:rsidR="00B01B44">
        <w:t>innbyggere</w:t>
      </w:r>
      <w:r w:rsidR="006B7F15">
        <w:t xml:space="preserve">. Dette kan bidra til en skjevhet i fordeling av helsetjenester, og </w:t>
      </w:r>
      <w:r w:rsidR="00B13DD3">
        <w:t>til</w:t>
      </w:r>
      <w:r w:rsidR="006B7F15">
        <w:t xml:space="preserve"> at det er etterspørselen og ikke behovet, som ligger til grunn for fordeling og prioritering av fastlegens tid.</w:t>
      </w:r>
      <w:r w:rsidR="00A8503F">
        <w:t xml:space="preserve"> </w:t>
      </w:r>
      <w:r w:rsidR="006B7F15">
        <w:t xml:space="preserve">Hvis fastlegen ikke kan imøtekomme all etterspørsel, vil manglende </w:t>
      </w:r>
      <w:r w:rsidR="00F8398A">
        <w:t>prioritering</w:t>
      </w:r>
      <w:r w:rsidR="006B7F15">
        <w:t xml:space="preserve"> bety at en annen </w:t>
      </w:r>
      <w:r w:rsidR="00C14556">
        <w:t>liste</w:t>
      </w:r>
      <w:r w:rsidR="00DE5275">
        <w:t xml:space="preserve">innbygger </w:t>
      </w:r>
      <w:r w:rsidR="006B7F15">
        <w:t>med større nytte av helsetjenestene ikke får den hjelpen h</w:t>
      </w:r>
      <w:r w:rsidR="00690E7C">
        <w:t>e</w:t>
      </w:r>
      <w:r w:rsidR="006B7F15">
        <w:t xml:space="preserve">n burde. </w:t>
      </w:r>
      <w:r w:rsidR="000B45B5">
        <w:t>Dette kan gi uønsket variasjon i tjenesten.</w:t>
      </w:r>
    </w:p>
    <w:p w14:paraId="116BA3D6" w14:textId="573B0777" w:rsidR="00C83D26" w:rsidRDefault="00C83D26" w:rsidP="00574BE6">
      <w:pPr>
        <w:jc w:val="both"/>
      </w:pPr>
      <w:r>
        <w:t xml:space="preserve">Fastlegene har ansvar for alle allmennlegeoppgaver innen somatikk, psykisk helse og rus for innbyggerne på sin liste, jf. fastlegeforskriften </w:t>
      </w:r>
      <w:r w:rsidR="00D9107F">
        <w:t>§ 1</w:t>
      </w:r>
      <w:r>
        <w:t xml:space="preserve">0. Hva som ligger i begrepet </w:t>
      </w:r>
      <w:r w:rsidR="00D9107F">
        <w:t>«</w:t>
      </w:r>
      <w:r>
        <w:t>alle allmennlegeoppgaver</w:t>
      </w:r>
      <w:r w:rsidR="00D9107F">
        <w:t>»</w:t>
      </w:r>
      <w:r>
        <w:t xml:space="preserve"> er ikke beskrevet nærmere i fastlegeforskriften eller andre lover, forskrifter og forarbeider. Det kan derfor sies at begrepet ikke har et fast eller entydig innhold. Hva som anses som </w:t>
      </w:r>
      <w:r w:rsidR="00D9107F">
        <w:t>«</w:t>
      </w:r>
      <w:r>
        <w:t>allmennlegeoppgaver</w:t>
      </w:r>
      <w:r w:rsidR="00D9107F">
        <w:t>»</w:t>
      </w:r>
      <w:r>
        <w:t xml:space="preserve">, avgrenses av hva som til enhver tid </w:t>
      </w:r>
      <w:r w:rsidR="00652B92">
        <w:t xml:space="preserve">anses som </w:t>
      </w:r>
      <w:r>
        <w:t>spesialisthelsetjenestens oppgaver</w:t>
      </w:r>
      <w:r w:rsidR="005C12ED">
        <w:t>. D</w:t>
      </w:r>
      <w:r>
        <w:t xml:space="preserve">et finnes ingen tydelig avgrensning av </w:t>
      </w:r>
      <w:r w:rsidR="005613A6">
        <w:t xml:space="preserve">oppgavene </w:t>
      </w:r>
      <w:r>
        <w:t>opp mot andre oppgaver i den kommunale helse- og omsorgstjenesten. En tydeliggjøring av begrepets innhold kan bidra til å avklare nærmere hvilke oppgaver fastlegen skal gjøre og hvilke oppgaver som i utgangspunktet faller utenfor hva innbyggerne kan forvente av fastlegen sin</w:t>
      </w:r>
      <w:r w:rsidR="00687CEB">
        <w:t>.</w:t>
      </w:r>
    </w:p>
    <w:p w14:paraId="3316FE5F" w14:textId="3B00C905" w:rsidR="00D9107F" w:rsidRPr="00AF35D8" w:rsidRDefault="00641DD0" w:rsidP="00614CBD">
      <w:pPr>
        <w:jc w:val="both"/>
        <w:rPr>
          <w:rFonts w:eastAsia="Calibri"/>
        </w:rPr>
      </w:pPr>
      <w:r w:rsidRPr="00AF35D8">
        <w:t>En viktig del av fastlegens portv</w:t>
      </w:r>
      <w:r w:rsidR="005C12ED" w:rsidRPr="00AF35D8">
        <w:t>akt</w:t>
      </w:r>
      <w:r w:rsidRPr="00AF35D8">
        <w:t xml:space="preserve">rolle, er å kunne si nei til undersøkelser og henvisninger som er formålsløse eller som kan påføre pasienten helseskade. Helsepersonelloven </w:t>
      </w:r>
      <w:r w:rsidR="00D9107F" w:rsidRPr="00AF35D8">
        <w:t>§ 6</w:t>
      </w:r>
      <w:r w:rsidRPr="00AF35D8">
        <w:t xml:space="preserve"> pålegger alt helsepersonell å s</w:t>
      </w:r>
      <w:r w:rsidRPr="00AF35D8">
        <w:rPr>
          <w:rFonts w:eastAsia="Calibri"/>
        </w:rPr>
        <w:t>ørge for at helsehjelpen ikke påfører pasient, helseinstitusjon, trygden eller andre unødvendig tidstap eller utgift. Å ikke henvise til en undersøkelse eller behandling som fastlegen med sin fagkunnskap vet er unyttig eller ikke vil medføre helsegevinst – eller kanskje også helseskade – er derfor en viktig oppgave. De siste årene har det blitt økt fokus på overdiagnostikk</w:t>
      </w:r>
      <w:r w:rsidR="005C12ED" w:rsidRPr="00AF35D8">
        <w:rPr>
          <w:rFonts w:eastAsia="Calibri"/>
        </w:rPr>
        <w:t>, og flere av d</w:t>
      </w:r>
      <w:r w:rsidRPr="00AF35D8">
        <w:rPr>
          <w:rFonts w:eastAsia="Calibri"/>
        </w:rPr>
        <w:t>e medisinske fagmiljøene i Norge har laget retningslinjer for hvilke tilstander som ikke trenger nærmere utredning og behandling.</w:t>
      </w:r>
    </w:p>
    <w:p w14:paraId="0E2B2403" w14:textId="77777777" w:rsidR="00D9107F" w:rsidRDefault="00641DD0" w:rsidP="00FC4740">
      <w:pPr>
        <w:jc w:val="both"/>
      </w:pPr>
      <w:r w:rsidRPr="0072315B">
        <w:rPr>
          <w:rFonts w:eastAsiaTheme="minorEastAsia"/>
        </w:rPr>
        <w:t xml:space="preserve">Det er bred enighet om at underdiagnostikk og underbehandling er et problem, men overdiagnostikk og overbehandling er et større problem i omfang fordi langt flere utsettes for dette. </w:t>
      </w:r>
      <w:r w:rsidR="0090797A">
        <w:rPr>
          <w:rFonts w:eastAsiaTheme="minorEastAsia"/>
        </w:rPr>
        <w:t xml:space="preserve">Mellom </w:t>
      </w:r>
      <w:r w:rsidR="0072315B" w:rsidRPr="005D133B">
        <w:t>10</w:t>
      </w:r>
      <w:r w:rsidR="0090797A" w:rsidDel="00C925EF">
        <w:t xml:space="preserve"> </w:t>
      </w:r>
      <w:r w:rsidR="00C925EF">
        <w:t>og</w:t>
      </w:r>
      <w:r w:rsidR="0090797A">
        <w:t xml:space="preserve"> </w:t>
      </w:r>
      <w:r w:rsidR="0072315B" w:rsidRPr="005D133B">
        <w:t>34 prosent av helseutgiftene i OECD-landene er brukt på uheldige eller bortkastede helsetjenester</w:t>
      </w:r>
      <w:r w:rsidR="00753E0A">
        <w:t xml:space="preserve"> </w:t>
      </w:r>
      <w:r w:rsidR="00BA149F">
        <w:fldChar w:fldCharType="begin"/>
      </w:r>
      <w:r w:rsidR="00BA149F">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BA149F">
        <w:fldChar w:fldCharType="separate"/>
      </w:r>
      <w:r w:rsidR="00BA149F">
        <w:rPr>
          <w:noProof/>
        </w:rPr>
        <w:t>(Helse- og omsorgsdepartementet, 2023c)</w:t>
      </w:r>
      <w:r w:rsidR="00BA149F">
        <w:fldChar w:fldCharType="end"/>
      </w:r>
      <w:r w:rsidR="00FC4740">
        <w:t>.</w:t>
      </w:r>
    </w:p>
    <w:p w14:paraId="3B537811" w14:textId="77777777" w:rsidR="00D9107F" w:rsidRDefault="006B7F15" w:rsidP="00EF390E">
      <w:pPr>
        <w:jc w:val="both"/>
      </w:pPr>
      <w:r>
        <w:t xml:space="preserve">For at fastlegen skal </w:t>
      </w:r>
      <w:r w:rsidR="00FC4740">
        <w:t xml:space="preserve">prioritere og </w:t>
      </w:r>
      <w:r>
        <w:t xml:space="preserve">være en god portvakt inn til seg selv, må flere forutsetninger være på plass. For det første må den faktiske </w:t>
      </w:r>
      <w:r w:rsidRPr="007341CB">
        <w:t>etterspørselen</w:t>
      </w:r>
      <w:r>
        <w:t xml:space="preserve"> etter fastlegetjenester </w:t>
      </w:r>
      <w:r w:rsidRPr="007341CB">
        <w:t>overgå tilbudet</w:t>
      </w:r>
      <w:r>
        <w:t xml:space="preserve">. Dette er et nødvendig premiss for at fastlegen i det hele tatt skal ha et behov for å </w:t>
      </w:r>
      <w:r>
        <w:lastRenderedPageBreak/>
        <w:t xml:space="preserve">prioritere. Desto større gapet er mellom tilbud og etterspørsel, desto større blir behovet for å prioritere. </w:t>
      </w:r>
      <w:r w:rsidR="001A6F80">
        <w:t>L</w:t>
      </w:r>
      <w:r>
        <w:t xml:space="preserve">ang kø inn til fastlegekontoret </w:t>
      </w:r>
      <w:r w:rsidR="001A6F80">
        <w:t xml:space="preserve">vil </w:t>
      </w:r>
      <w:r>
        <w:t>forsterke betydningen av å prioritere.</w:t>
      </w:r>
    </w:p>
    <w:p w14:paraId="76046473" w14:textId="77777777" w:rsidR="00D9107F" w:rsidRDefault="006B7F15" w:rsidP="00EF390E">
      <w:pPr>
        <w:jc w:val="both"/>
      </w:pPr>
      <w:r>
        <w:t>For det andre må fastlegen ha systemer som stimulerer til og gjør det mulig å prioritere blant de som tar kontakt. Ved at</w:t>
      </w:r>
      <w:r w:rsidDel="00686D9E">
        <w:t xml:space="preserve"> </w:t>
      </w:r>
      <w:r w:rsidR="00686D9E">
        <w:t>innbyggerne</w:t>
      </w:r>
      <w:r>
        <w:t xml:space="preserve"> i økende grad benytter digitale tjenester, er det mulig å ta direkte kontakt med fastlegen uten noen form for</w:t>
      </w:r>
      <w:r w:rsidR="00DF2EB1">
        <w:t xml:space="preserve"> prioritering</w:t>
      </w:r>
      <w:r>
        <w:t xml:space="preserve">. Dette gjelder spesielt ved bestilling av legetimer </w:t>
      </w:r>
      <w:r w:rsidR="00F03A51">
        <w:t xml:space="preserve">digitalt </w:t>
      </w:r>
      <w:r>
        <w:t>og i høyeste grad ved bruk av tekstlige e-konsultasjoner. Disse tjenesten</w:t>
      </w:r>
      <w:r w:rsidR="00852989">
        <w:t>e</w:t>
      </w:r>
      <w:r w:rsidR="00C1319D">
        <w:t xml:space="preserve"> gjør det vanskeligere for fastlegen å prioritere sin tidsbruk.</w:t>
      </w:r>
      <w:r>
        <w:t xml:space="preserve"> </w:t>
      </w:r>
      <w:r w:rsidR="2BD670EC">
        <w:t>En mulig</w:t>
      </w:r>
      <w:r w:rsidR="79F261AE">
        <w:t xml:space="preserve"> </w:t>
      </w:r>
      <w:r w:rsidR="02115003">
        <w:t>k</w:t>
      </w:r>
      <w:r w:rsidR="6CD88E6D">
        <w:t>onsekvens</w:t>
      </w:r>
      <w:r>
        <w:t xml:space="preserve"> er at det </w:t>
      </w:r>
      <w:r w:rsidR="031078CA">
        <w:t>i hovedsak</w:t>
      </w:r>
      <w:r>
        <w:t xml:space="preserve"> er etterspørselen som styrer hvem som f</w:t>
      </w:r>
      <w:r w:rsidR="00994161">
        <w:t>å</w:t>
      </w:r>
      <w:r>
        <w:t>r legen</w:t>
      </w:r>
      <w:r w:rsidR="001A6F80">
        <w:t>s</w:t>
      </w:r>
      <w:r>
        <w:t xml:space="preserve"> oppmerksomhet. I tillegg vil </w:t>
      </w:r>
      <w:r w:rsidR="005966AD">
        <w:t>innbyggere</w:t>
      </w:r>
      <w:r>
        <w:t xml:space="preserve"> med dårlig digital kompetanse, nødvendigvis ha vanskelig for å benytte slike tjenester. Etterspørselen etter digitale tjenester i befolkningen, vil kreve at verktøy for at fastlegen skal kunne prioritere mellom disse, raskt må på plass. I tillegg bør det i større grad være mulig å rute </w:t>
      </w:r>
      <w:r w:rsidR="00A67497">
        <w:t>innbyggere</w:t>
      </w:r>
      <w:r>
        <w:t xml:space="preserve"> til selvhjelpsverktøy og informasjon, når de ikke trenger tid hos </w:t>
      </w:r>
      <w:r w:rsidR="00A67497">
        <w:t>fast</w:t>
      </w:r>
      <w:r>
        <w:t xml:space="preserve">legen. Dette kan stimulere til økt helsekompetanse i befolkningen som igjen kan redusere behovet for å kontakte fastlegen. Det kan også legge til rette for at andre helsepersonellgrupper kan håndtere problemstillinger som ikke krever </w:t>
      </w:r>
      <w:r w:rsidR="00141CC7">
        <w:t xml:space="preserve">vurdering </w:t>
      </w:r>
      <w:r w:rsidR="006069CF">
        <w:t>fra legen.</w:t>
      </w:r>
    </w:p>
    <w:p w14:paraId="6E2EA905" w14:textId="0C32055C" w:rsidR="006B7F15" w:rsidRPr="00CB0C48" w:rsidRDefault="6034DB90" w:rsidP="006B7F15">
      <w:pPr>
        <w:jc w:val="both"/>
        <w:rPr>
          <w:shd w:val="clear" w:color="auto" w:fill="FFFFFF"/>
        </w:rPr>
      </w:pPr>
      <w:r w:rsidRPr="1A94B12D">
        <w:rPr>
          <w:shd w:val="clear" w:color="auto" w:fill="FFFFFF"/>
        </w:rPr>
        <w:t xml:space="preserve">For det tredje må finansieringssystemet bidra til at det lønner seg for fastlegen å prioritere riktig. I dag har mange fastleger for mye å gjøre, samtidig som høy aktivitet er forutsetningen for inntjeningen. Innretningen på finansieringen gjør at det er lønnsomt for fastlegen å ha mange korte konsultasjoner. Korte konsultasjoner kan være tilstrekkelig for mindre og enkle problemstillinger. </w:t>
      </w:r>
      <w:r w:rsidR="13F086C8" w:rsidRPr="4FA680C7">
        <w:rPr>
          <w:shd w:val="clear" w:color="auto" w:fill="FFFFFF"/>
        </w:rPr>
        <w:t xml:space="preserve">Tiltak i </w:t>
      </w:r>
      <w:r w:rsidR="0C3C0435" w:rsidRPr="6608D935">
        <w:rPr>
          <w:shd w:val="clear" w:color="auto" w:fill="FFFFFF"/>
        </w:rPr>
        <w:t>p</w:t>
      </w:r>
      <w:r w:rsidR="2C0704F5">
        <w:t>rimær</w:t>
      </w:r>
      <w:r w:rsidR="00655A67" w:rsidRPr="4FA680C7">
        <w:t>helsetjenesten</w:t>
      </w:r>
      <w:r w:rsidRPr="4FA680C7">
        <w:t xml:space="preserve"> skal vurderes ut fra nytte, ressursbruk</w:t>
      </w:r>
      <w:r w:rsidR="6F410A11">
        <w:t>,</w:t>
      </w:r>
      <w:r w:rsidR="438EED02">
        <w:t xml:space="preserve"> </w:t>
      </w:r>
      <w:r w:rsidR="3C6E1E8B" w:rsidRPr="4FA680C7">
        <w:t>alvorlighet</w:t>
      </w:r>
      <w:r w:rsidR="3C6E1E8B">
        <w:t xml:space="preserve"> og mestring</w:t>
      </w:r>
      <w:r w:rsidR="004F3D8D">
        <w:t xml:space="preserve"> </w:t>
      </w:r>
      <w:r w:rsidR="00E94EA5">
        <w:fldChar w:fldCharType="begin"/>
      </w:r>
      <w:r w:rsidR="00235862">
        <w:instrText xml:space="preserve"> ADDIN EN.CITE &lt;EndNote&gt;&lt;Cite&gt;&lt;Author&gt;Helse- og omsorgsdepartementet&lt;/Author&gt;&lt;Year&gt;2018&lt;/Year&gt;&lt;RecNum&gt;135&lt;/RecNum&gt;&lt;DisplayText&gt;(Helse- og omsorgsdepartementet, 2018, 2021b)&lt;/DisplayText&gt;&lt;record&gt;&lt;rec-number&gt;135&lt;/rec-number&gt;&lt;foreign-keys&gt;&lt;key app="EN" db-id="95tpr2tp6r9xwoea9rb5wdsz5ds5xeddteew" timestamp="1680069511"&gt;135&lt;/key&gt;&lt;/foreign-keys&gt;&lt;ref-type name="Report"&gt;27&lt;/ref-type&gt;&lt;contributors&gt;&lt;authors&gt;&lt;author&gt;Helse- og omsorgsdepartementet,&lt;/author&gt;&lt;/authors&gt;&lt;/contributors&gt;&lt;titles&gt;&lt;title&gt;NOU 2018:16. Det viktigste først: prinsipper for prioritering i den kommunale helse- og omsorgstjenesten og for offentlig finansierte tannhelsetjenester&lt;/title&gt;&lt;secondary-title&gt;Norges offentlige utredninger &lt;/secondary-title&gt;&lt;/titles&gt;&lt;keywords&gt;&lt;keyword&gt;offentlig tannpleie&lt;/keyword&gt;&lt;keyword&gt;Helse&lt;/keyword&gt;&lt;keyword&gt;Helsepolitikk&lt;/keyword&gt;&lt;keyword&gt;Helse- og omsorgstjenesteloven&lt;/keyword&gt;&lt;keyword&gt;Tannhelse&lt;/keyword&gt;&lt;/keywords&gt;&lt;dates&gt;&lt;year&gt;2018&lt;/year&gt;&lt;/dates&gt;&lt;pub-location&gt;Oslo&lt;/pub-location&gt;&lt;publisher&gt;Helse- og omsorgsdepartementet,&lt;/publisher&gt;&lt;isbn&gt;NOU 2018:16&lt;/isbn&gt;&lt;urls&gt;&lt;/urls&gt;&lt;/record&gt;&lt;/Cite&gt;&lt;Cite&gt;&lt;Author&gt;Helse- og omsorgsdepartementet&lt;/Author&gt;&lt;Year&gt;2021&lt;/Year&gt;&lt;RecNum&gt;571&lt;/RecNum&gt;&lt;record&gt;&lt;rec-number&gt;571&lt;/rec-number&gt;&lt;foreign-keys&gt;&lt;key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E94EA5">
        <w:fldChar w:fldCharType="separate"/>
      </w:r>
      <w:r w:rsidR="00A841AD">
        <w:rPr>
          <w:noProof/>
        </w:rPr>
        <w:t>(Helse- og omsorgsdepartementet, 2018, 2021b)</w:t>
      </w:r>
      <w:r w:rsidR="00E94EA5">
        <w:fldChar w:fldCharType="end"/>
      </w:r>
      <w:r w:rsidR="13F086C8" w:rsidRPr="4FA680C7">
        <w:rPr>
          <w:shd w:val="clear" w:color="auto" w:fill="FFFFFF"/>
        </w:rPr>
        <w:t>.</w:t>
      </w:r>
      <w:r w:rsidRPr="1A94B12D">
        <w:rPr>
          <w:shd w:val="clear" w:color="auto" w:fill="FFFFFF"/>
        </w:rPr>
        <w:t xml:space="preserve"> En mer aktiv </w:t>
      </w:r>
      <w:r w:rsidR="71CAB296" w:rsidRPr="1A94B12D">
        <w:rPr>
          <w:shd w:val="clear" w:color="auto" w:fill="FFFFFF"/>
        </w:rPr>
        <w:t xml:space="preserve">sortering og </w:t>
      </w:r>
      <w:r w:rsidR="34903AD1" w:rsidRPr="1A94B12D">
        <w:rPr>
          <w:shd w:val="clear" w:color="auto" w:fill="FFFFFF"/>
        </w:rPr>
        <w:t>prioritering</w:t>
      </w:r>
      <w:r w:rsidRPr="1A94B12D">
        <w:rPr>
          <w:shd w:val="clear" w:color="auto" w:fill="FFFFFF"/>
        </w:rPr>
        <w:t xml:space="preserve"> </w:t>
      </w:r>
      <w:r w:rsidR="71CAB296" w:rsidRPr="1A94B12D">
        <w:rPr>
          <w:shd w:val="clear" w:color="auto" w:fill="FFFFFF"/>
        </w:rPr>
        <w:t>av henvendelser</w:t>
      </w:r>
      <w:r w:rsidR="10F0681E" w:rsidRPr="1A94B12D">
        <w:rPr>
          <w:shd w:val="clear" w:color="auto" w:fill="FFFFFF"/>
        </w:rPr>
        <w:t xml:space="preserve">, </w:t>
      </w:r>
      <w:r w:rsidRPr="1A94B12D">
        <w:rPr>
          <w:shd w:val="clear" w:color="auto" w:fill="FFFFFF"/>
        </w:rPr>
        <w:t xml:space="preserve">som i større grad er basert på medisinskfaglige kriterier, kan tenkes å bidra til at fastlegens aktivitet forskyves i retning av pasienter med alvorlige og komplekse problemstillinger. </w:t>
      </w:r>
      <w:r w:rsidR="10F0681E" w:rsidRPr="1A94B12D">
        <w:rPr>
          <w:shd w:val="clear" w:color="auto" w:fill="FFFFFF"/>
        </w:rPr>
        <w:t>På k</w:t>
      </w:r>
      <w:r w:rsidRPr="1A94B12D">
        <w:rPr>
          <w:shd w:val="clear" w:color="auto" w:fill="FFFFFF"/>
        </w:rPr>
        <w:t xml:space="preserve">ort sikt vil fastlegen kunne oppleve at </w:t>
      </w:r>
      <w:r w:rsidR="10F0681E" w:rsidRPr="1A94B12D">
        <w:rPr>
          <w:shd w:val="clear" w:color="auto" w:fill="FFFFFF"/>
        </w:rPr>
        <w:t>en slik prioritering</w:t>
      </w:r>
      <w:r w:rsidRPr="1A94B12D">
        <w:rPr>
          <w:shd w:val="clear" w:color="auto" w:fill="FFFFFF"/>
        </w:rPr>
        <w:t xml:space="preserve"> fjerner enkle konsultasjone</w:t>
      </w:r>
      <w:r w:rsidR="10F0681E" w:rsidRPr="1A94B12D">
        <w:rPr>
          <w:shd w:val="clear" w:color="auto" w:fill="FFFFFF"/>
        </w:rPr>
        <w:t>r</w:t>
      </w:r>
      <w:r w:rsidRPr="1A94B12D">
        <w:rPr>
          <w:shd w:val="clear" w:color="auto" w:fill="FFFFFF"/>
        </w:rPr>
        <w:t xml:space="preserve"> og av den grunn de små pusterommene i </w:t>
      </w:r>
      <w:r w:rsidR="3F4C7A52" w:rsidRPr="00EF390E">
        <w:rPr>
          <w:shd w:val="clear" w:color="auto" w:fill="FFFFFF"/>
        </w:rPr>
        <w:t>arbeidshverdag</w:t>
      </w:r>
      <w:r w:rsidR="4F3110E3" w:rsidRPr="00EF390E">
        <w:rPr>
          <w:shd w:val="clear" w:color="auto" w:fill="FFFFFF"/>
        </w:rPr>
        <w:t>en.</w:t>
      </w:r>
      <w:r w:rsidR="006B7F15" w:rsidRPr="1A94B12D">
        <w:rPr>
          <w:shd w:val="clear" w:color="auto" w:fill="FFFFFF"/>
        </w:rPr>
        <w:t xml:space="preserve"> Det vil også kunne medføre at inntjeningen går ned. For å motvirke disse effektene vil det være en fordel om finansieringen av fastlegetjenesten i større grad understøtter</w:t>
      </w:r>
      <w:r w:rsidR="0052394B" w:rsidRPr="1A94B12D">
        <w:rPr>
          <w:shd w:val="clear" w:color="auto" w:fill="FFFFFF"/>
        </w:rPr>
        <w:t xml:space="preserve"> </w:t>
      </w:r>
      <w:r w:rsidR="00D429A2" w:rsidRPr="1A94B12D">
        <w:rPr>
          <w:shd w:val="clear" w:color="auto" w:fill="FFFFFF"/>
        </w:rPr>
        <w:t xml:space="preserve">at </w:t>
      </w:r>
      <w:r w:rsidR="008C63C2">
        <w:rPr>
          <w:shd w:val="clear" w:color="auto" w:fill="FFFFFF"/>
        </w:rPr>
        <w:t>fastlegen prioriterer riktig</w:t>
      </w:r>
      <w:r w:rsidR="006B7F15" w:rsidRPr="1A94B12D">
        <w:rPr>
          <w:shd w:val="clear" w:color="auto" w:fill="FFFFFF"/>
        </w:rPr>
        <w:t xml:space="preserve">. </w:t>
      </w:r>
      <w:r w:rsidR="00FE4C05" w:rsidRPr="1A94B12D">
        <w:rPr>
          <w:shd w:val="clear" w:color="auto" w:fill="FFFFFF"/>
        </w:rPr>
        <w:t>Det vises til</w:t>
      </w:r>
      <w:r w:rsidR="006B7F15" w:rsidRPr="1A94B12D">
        <w:rPr>
          <w:shd w:val="clear" w:color="auto" w:fill="FFFFFF"/>
        </w:rPr>
        <w:t xml:space="preserve"> </w:t>
      </w:r>
      <w:r w:rsidR="00527728" w:rsidRPr="1A94B12D">
        <w:rPr>
          <w:shd w:val="clear" w:color="auto" w:fill="FFFFFF"/>
        </w:rPr>
        <w:t xml:space="preserve">drøfting av </w:t>
      </w:r>
      <w:r w:rsidR="007D58EF" w:rsidRPr="1A94B12D">
        <w:rPr>
          <w:shd w:val="clear" w:color="auto" w:fill="FFFFFF"/>
        </w:rPr>
        <w:t xml:space="preserve">effektene </w:t>
      </w:r>
      <w:r w:rsidR="00CE23A2" w:rsidRPr="1A94B12D">
        <w:rPr>
          <w:shd w:val="clear" w:color="auto" w:fill="FFFFFF"/>
        </w:rPr>
        <w:t xml:space="preserve">av </w:t>
      </w:r>
      <w:r w:rsidR="007D58EF" w:rsidRPr="1A94B12D">
        <w:rPr>
          <w:shd w:val="clear" w:color="auto" w:fill="FFFFFF"/>
        </w:rPr>
        <w:t>aktivitetsbasert</w:t>
      </w:r>
      <w:r w:rsidR="00810070" w:rsidRPr="1A94B12D">
        <w:rPr>
          <w:shd w:val="clear" w:color="auto" w:fill="FFFFFF"/>
        </w:rPr>
        <w:t xml:space="preserve"> finansiering</w:t>
      </w:r>
      <w:r w:rsidR="007D58EF" w:rsidRPr="1A94B12D">
        <w:rPr>
          <w:shd w:val="clear" w:color="auto" w:fill="FFFFFF"/>
        </w:rPr>
        <w:t xml:space="preserve"> </w:t>
      </w:r>
      <w:r w:rsidR="006B7F15" w:rsidRPr="1A94B12D">
        <w:rPr>
          <w:shd w:val="clear" w:color="auto" w:fill="FFFFFF"/>
        </w:rPr>
        <w:t>i kap</w:t>
      </w:r>
      <w:r w:rsidR="0036011E">
        <w:rPr>
          <w:shd w:val="clear" w:color="auto" w:fill="FFFFFF"/>
        </w:rPr>
        <w:t>ittel</w:t>
      </w:r>
      <w:r w:rsidR="006B7F15" w:rsidRPr="1A94B12D">
        <w:rPr>
          <w:shd w:val="clear" w:color="auto" w:fill="FFFFFF"/>
        </w:rPr>
        <w:t xml:space="preserve"> </w:t>
      </w:r>
      <w:r w:rsidR="00152A1E" w:rsidRPr="1A94B12D">
        <w:rPr>
          <w:shd w:val="clear" w:color="auto" w:fill="FFFFFF"/>
        </w:rPr>
        <w:t>5.</w:t>
      </w:r>
    </w:p>
    <w:p w14:paraId="721D059F" w14:textId="7709B549" w:rsidR="00D9107F" w:rsidRDefault="006B7F15" w:rsidP="00DE4A4E">
      <w:pPr>
        <w:jc w:val="both"/>
        <w:rPr>
          <w:shd w:val="clear" w:color="auto" w:fill="FFFFFF"/>
        </w:rPr>
      </w:pPr>
      <w:r w:rsidRPr="6613EABD">
        <w:rPr>
          <w:shd w:val="clear" w:color="auto" w:fill="FFFFFF"/>
        </w:rPr>
        <w:t xml:space="preserve">For det fjerde må innrettingen av fastlegetjenesten gjøre det mulig for fastlegen å prioritere blant listeinnbyggerne som ikke selv oppsøker fastlegen. Dagens takstsystem belønner gjennomføring av systematisk risikokartlegging av fastlegens listeinnbyggere for å identifisere pasienter med kronisk sykdom med risiko for helse- og funksjonsfall. For den enkelte pasient som identifiseres med risiko, skal det lages en plan for oppfølging som journalføres. Til tross for at det er innført en takst for at fastlegen går gjennom listen, har fastlegens </w:t>
      </w:r>
      <w:r w:rsidR="285AB816" w:rsidRPr="6613EABD">
        <w:rPr>
          <w:shd w:val="clear" w:color="auto" w:fill="FFFFFF"/>
        </w:rPr>
        <w:t>journalsystem</w:t>
      </w:r>
      <w:r w:rsidR="6B53D503" w:rsidRPr="6613EABD">
        <w:rPr>
          <w:shd w:val="clear" w:color="auto" w:fill="FFFFFF"/>
        </w:rPr>
        <w:t>er</w:t>
      </w:r>
      <w:r w:rsidRPr="6613EABD">
        <w:rPr>
          <w:shd w:val="clear" w:color="auto" w:fill="FFFFFF"/>
        </w:rPr>
        <w:t xml:space="preserve"> dårlig funksjonalitet for å holde oversikt over og fange opp pasienter som uteblir. En forutsetning for at fastlegen kan prioritere </w:t>
      </w:r>
      <w:r w:rsidR="00712445">
        <w:rPr>
          <w:shd w:val="clear" w:color="auto" w:fill="FFFFFF"/>
        </w:rPr>
        <w:t>listeinnbyggere</w:t>
      </w:r>
      <w:r w:rsidRPr="6613EABD">
        <w:rPr>
          <w:shd w:val="clear" w:color="auto" w:fill="FFFFFF"/>
        </w:rPr>
        <w:t xml:space="preserve"> med alvorlig sykdom og som ikke selv tar kontakt, er at journalsystemene understøtter denne type aktivitet. Utover at </w:t>
      </w:r>
      <w:r w:rsidR="0096203A">
        <w:rPr>
          <w:shd w:val="clear" w:color="auto" w:fill="FFFFFF"/>
        </w:rPr>
        <w:t>listeinnbyggerne</w:t>
      </w:r>
      <w:r w:rsidR="0096203A" w:rsidRPr="6613EABD">
        <w:rPr>
          <w:shd w:val="clear" w:color="auto" w:fill="FFFFFF"/>
        </w:rPr>
        <w:t xml:space="preserve"> </w:t>
      </w:r>
      <w:r w:rsidRPr="6613EABD">
        <w:rPr>
          <w:shd w:val="clear" w:color="auto" w:fill="FFFFFF"/>
        </w:rPr>
        <w:t xml:space="preserve">identifiseres og </w:t>
      </w:r>
      <w:r w:rsidRPr="6613EABD">
        <w:rPr>
          <w:shd w:val="clear" w:color="auto" w:fill="FFFFFF"/>
        </w:rPr>
        <w:lastRenderedPageBreak/>
        <w:t>får fastlegens oppmerksomhet, må den øvrige organiseringen av fastlegetjenesten bidra til at oppsøkende virksomhet i praksis er mulig</w:t>
      </w:r>
      <w:r w:rsidR="00D9107F">
        <w:rPr>
          <w:shd w:val="clear" w:color="auto" w:fill="FFFFFF"/>
        </w:rPr>
        <w:t xml:space="preserve"> – </w:t>
      </w:r>
      <w:r w:rsidR="00B26FB9" w:rsidRPr="6613EABD">
        <w:rPr>
          <w:shd w:val="clear" w:color="auto" w:fill="FFFFFF"/>
        </w:rPr>
        <w:t>og blir prioritert</w:t>
      </w:r>
      <w:r w:rsidRPr="6613EABD">
        <w:rPr>
          <w:shd w:val="clear" w:color="auto" w:fill="FFFFFF"/>
        </w:rPr>
        <w:t>.</w:t>
      </w:r>
    </w:p>
    <w:p w14:paraId="1A412F8F" w14:textId="218E7B4D" w:rsidR="008C5EFF" w:rsidRDefault="128731B5" w:rsidP="00775632">
      <w:pPr>
        <w:pStyle w:val="Overskrift3"/>
      </w:pPr>
      <w:bookmarkStart w:id="1600" w:name="_Toc129630288"/>
      <w:bookmarkStart w:id="1601" w:name="_Toc130763800"/>
      <w:bookmarkStart w:id="1602" w:name="_Toc130766695"/>
      <w:bookmarkStart w:id="1603" w:name="_Toc130932095"/>
      <w:bookmarkStart w:id="1604" w:name="_Toc130934386"/>
      <w:bookmarkStart w:id="1605" w:name="_Toc130983447"/>
      <w:bookmarkStart w:id="1606" w:name="_Toc130983796"/>
      <w:bookmarkStart w:id="1607" w:name="_Toc131062122"/>
      <w:bookmarkStart w:id="1608" w:name="_Toc131062376"/>
      <w:bookmarkStart w:id="1609" w:name="_Toc131062637"/>
      <w:bookmarkStart w:id="1610" w:name="_Toc131062890"/>
      <w:bookmarkStart w:id="1611" w:name="_Toc131063658"/>
      <w:bookmarkStart w:id="1612" w:name="_Toc131064079"/>
      <w:bookmarkStart w:id="1613" w:name="_Toc131238373"/>
      <w:bookmarkStart w:id="1614" w:name="_Toc131279404"/>
      <w:bookmarkStart w:id="1615" w:name="_Toc131286816"/>
      <w:bookmarkStart w:id="1616" w:name="_Toc131281226"/>
      <w:bookmarkStart w:id="1617" w:name="_Toc131317765"/>
      <w:bookmarkStart w:id="1618" w:name="_Toc132536961"/>
      <w:r>
        <w:t xml:space="preserve">Fastlegen som portvakt </w:t>
      </w:r>
      <w:r w:rsidR="00D85613">
        <w:t>t</w:t>
      </w:r>
      <w:r w:rsidR="00625CF7">
        <w:t>il</w:t>
      </w:r>
      <w:r>
        <w:t xml:space="preserve"> spesialisthelsetjenesten</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7F611A50" w14:textId="77777777" w:rsidR="00D9107F" w:rsidRDefault="003F79FC" w:rsidP="00EF390E">
      <w:pPr>
        <w:jc w:val="both"/>
        <w:rPr>
          <w:rFonts w:cstheme="minorHAnsi"/>
          <w:shd w:val="clear" w:color="auto" w:fill="FFFFFF"/>
        </w:rPr>
      </w:pPr>
      <w:r>
        <w:t xml:space="preserve">Krav om henvisning </w:t>
      </w:r>
      <w:r w:rsidR="00A035B2">
        <w:t xml:space="preserve">fra lege </w:t>
      </w:r>
      <w:r w:rsidR="003474C8">
        <w:t xml:space="preserve">for å kunne </w:t>
      </w:r>
      <w:r w:rsidR="008429D3">
        <w:t xml:space="preserve">oppsøke </w:t>
      </w:r>
      <w:r w:rsidR="002450EB">
        <w:t>spesialisthelsetjenesten</w:t>
      </w:r>
      <w:r w:rsidR="00CE610C">
        <w:t>,</w:t>
      </w:r>
      <w:r w:rsidR="00435A72">
        <w:t xml:space="preserve"> ble innført samtidig med </w:t>
      </w:r>
      <w:r w:rsidR="002D025D" w:rsidRPr="00560EC8">
        <w:t>fastlegeordningen i 2001</w:t>
      </w:r>
      <w:r w:rsidR="00A035B2" w:rsidRPr="00560EC8">
        <w:t>.</w:t>
      </w:r>
      <w:r w:rsidR="000E5132" w:rsidRPr="00560EC8">
        <w:t xml:space="preserve"> </w:t>
      </w:r>
      <w:r w:rsidR="008258A2">
        <w:t>B</w:t>
      </w:r>
      <w:r w:rsidR="00C407F4" w:rsidRPr="00560EC8">
        <w:t>EON</w:t>
      </w:r>
      <w:r w:rsidR="4EF9A898">
        <w:t>-</w:t>
      </w:r>
      <w:r w:rsidR="00C407F4" w:rsidRPr="00560EC8">
        <w:t xml:space="preserve">prinsippet </w:t>
      </w:r>
      <w:r w:rsidR="00FD65F9">
        <w:t xml:space="preserve">innebærer at </w:t>
      </w:r>
      <w:r w:rsidR="00C47156" w:rsidRPr="00560EC8">
        <w:t xml:space="preserve">undersøkelse og behandling av pasienter </w:t>
      </w:r>
      <w:r w:rsidR="00C47156">
        <w:t>foregå</w:t>
      </w:r>
      <w:r w:rsidR="00FD65F9">
        <w:t>r</w:t>
      </w:r>
      <w:r w:rsidR="00C47156" w:rsidRPr="00560EC8">
        <w:t xml:space="preserve"> på </w:t>
      </w:r>
      <w:r w:rsidR="00FD65F9">
        <w:t xml:space="preserve">det </w:t>
      </w:r>
      <w:r w:rsidR="008258A2">
        <w:t xml:space="preserve">beste </w:t>
      </w:r>
      <w:r w:rsidR="001D426A" w:rsidRPr="00560EC8">
        <w:t xml:space="preserve">effektive </w:t>
      </w:r>
      <w:r w:rsidR="00A46883">
        <w:t>omsorgsnivå</w:t>
      </w:r>
      <w:r w:rsidR="00FD65F9">
        <w:t>et</w:t>
      </w:r>
      <w:r w:rsidR="005B3844">
        <w:t>.</w:t>
      </w:r>
      <w:r w:rsidR="005B3844" w:rsidRPr="00560EC8">
        <w:t xml:space="preserve"> Dette innebærer </w:t>
      </w:r>
      <w:r w:rsidR="00560EC8" w:rsidRPr="00560EC8">
        <w:rPr>
          <w:rFonts w:cstheme="minorHAnsi"/>
          <w:shd w:val="clear" w:color="auto" w:fill="FFFFFF"/>
        </w:rPr>
        <w:t>at utredning, behandling og oppfølging som kan gjøres bedre eller like godt i kommunen</w:t>
      </w:r>
      <w:r w:rsidR="00343539">
        <w:rPr>
          <w:rFonts w:cstheme="minorHAnsi"/>
          <w:shd w:val="clear" w:color="auto" w:fill="FFFFFF"/>
        </w:rPr>
        <w:t>,</w:t>
      </w:r>
      <w:r w:rsidR="00560EC8" w:rsidRPr="00560EC8">
        <w:rPr>
          <w:rFonts w:cstheme="minorHAnsi"/>
          <w:shd w:val="clear" w:color="auto" w:fill="FFFFFF"/>
        </w:rPr>
        <w:t xml:space="preserve"> </w:t>
      </w:r>
      <w:r w:rsidR="00C520FE">
        <w:rPr>
          <w:rFonts w:cstheme="minorHAnsi"/>
          <w:shd w:val="clear" w:color="auto" w:fill="FFFFFF"/>
        </w:rPr>
        <w:t xml:space="preserve">ikke bør henvises </w:t>
      </w:r>
      <w:r w:rsidR="00574D2A">
        <w:rPr>
          <w:rFonts w:cstheme="minorHAnsi"/>
          <w:shd w:val="clear" w:color="auto" w:fill="FFFFFF"/>
        </w:rPr>
        <w:t>videre.</w:t>
      </w:r>
      <w:r w:rsidR="00DD3157">
        <w:rPr>
          <w:rFonts w:cstheme="minorHAnsi"/>
          <w:shd w:val="clear" w:color="auto" w:fill="FFFFFF"/>
        </w:rPr>
        <w:t xml:space="preserve"> </w:t>
      </w:r>
      <w:r w:rsidR="00CA1871">
        <w:rPr>
          <w:rFonts w:cstheme="minorHAnsi"/>
          <w:shd w:val="clear" w:color="auto" w:fill="FFFFFF"/>
        </w:rPr>
        <w:t>F</w:t>
      </w:r>
      <w:r w:rsidR="006A6064">
        <w:rPr>
          <w:rFonts w:cstheme="minorHAnsi"/>
          <w:shd w:val="clear" w:color="auto" w:fill="FFFFFF"/>
        </w:rPr>
        <w:t>astlegen</w:t>
      </w:r>
      <w:r w:rsidR="00582E17">
        <w:rPr>
          <w:rFonts w:cstheme="minorHAnsi"/>
          <w:shd w:val="clear" w:color="auto" w:fill="FFFFFF"/>
        </w:rPr>
        <w:t>s vurdering</w:t>
      </w:r>
      <w:r w:rsidR="00CA1871">
        <w:rPr>
          <w:rFonts w:cstheme="minorHAnsi"/>
          <w:shd w:val="clear" w:color="auto" w:fill="FFFFFF"/>
        </w:rPr>
        <w:t xml:space="preserve"> av pasientens </w:t>
      </w:r>
      <w:r w:rsidR="009914ED">
        <w:rPr>
          <w:rFonts w:cstheme="minorHAnsi"/>
          <w:shd w:val="clear" w:color="auto" w:fill="FFFFFF"/>
        </w:rPr>
        <w:t xml:space="preserve">behov for </w:t>
      </w:r>
      <w:r w:rsidR="00D63268">
        <w:rPr>
          <w:rFonts w:cstheme="minorHAnsi"/>
          <w:shd w:val="clear" w:color="auto" w:fill="FFFFFF"/>
        </w:rPr>
        <w:t xml:space="preserve">henvisning til </w:t>
      </w:r>
      <w:r w:rsidR="009914ED">
        <w:rPr>
          <w:rFonts w:cstheme="minorHAnsi"/>
          <w:shd w:val="clear" w:color="auto" w:fill="FFFFFF"/>
        </w:rPr>
        <w:t>spesialist</w:t>
      </w:r>
      <w:r w:rsidR="00343539">
        <w:rPr>
          <w:rFonts w:cstheme="minorHAnsi"/>
          <w:shd w:val="clear" w:color="auto" w:fill="FFFFFF"/>
        </w:rPr>
        <w:t>,</w:t>
      </w:r>
      <w:r w:rsidR="009914ED">
        <w:rPr>
          <w:rFonts w:cstheme="minorHAnsi"/>
          <w:shd w:val="clear" w:color="auto" w:fill="FFFFFF"/>
        </w:rPr>
        <w:t xml:space="preserve"> </w:t>
      </w:r>
      <w:r w:rsidR="000B3A62">
        <w:rPr>
          <w:rFonts w:cstheme="minorHAnsi"/>
          <w:shd w:val="clear" w:color="auto" w:fill="FFFFFF"/>
        </w:rPr>
        <w:t xml:space="preserve">vil ha stor betydning for det videre utrednings- og behandlingsforløpet. </w:t>
      </w:r>
      <w:r w:rsidR="00EE43D2">
        <w:rPr>
          <w:rFonts w:cstheme="minorHAnsi"/>
          <w:shd w:val="clear" w:color="auto" w:fill="FFFFFF"/>
        </w:rPr>
        <w:t xml:space="preserve">Det </w:t>
      </w:r>
      <w:r w:rsidR="00045777">
        <w:rPr>
          <w:rFonts w:cstheme="minorHAnsi"/>
          <w:shd w:val="clear" w:color="auto" w:fill="FFFFFF"/>
        </w:rPr>
        <w:t xml:space="preserve">kan derfor være avgjørende </w:t>
      </w:r>
      <w:r w:rsidR="00EE43D2">
        <w:rPr>
          <w:rFonts w:cstheme="minorHAnsi"/>
          <w:shd w:val="clear" w:color="auto" w:fill="FFFFFF"/>
        </w:rPr>
        <w:t xml:space="preserve">for pasienten at </w:t>
      </w:r>
      <w:r w:rsidR="00863521">
        <w:rPr>
          <w:rFonts w:cstheme="minorHAnsi"/>
          <w:shd w:val="clear" w:color="auto" w:fill="FFFFFF"/>
        </w:rPr>
        <w:t xml:space="preserve">fastlegen </w:t>
      </w:r>
      <w:r w:rsidR="004266B6">
        <w:rPr>
          <w:rFonts w:cstheme="minorHAnsi"/>
          <w:shd w:val="clear" w:color="auto" w:fill="FFFFFF"/>
        </w:rPr>
        <w:t>gjør en riktig</w:t>
      </w:r>
      <w:r w:rsidR="00551770">
        <w:rPr>
          <w:rFonts w:cstheme="minorHAnsi"/>
          <w:shd w:val="clear" w:color="auto" w:fill="FFFFFF"/>
        </w:rPr>
        <w:t xml:space="preserve"> vurdering</w:t>
      </w:r>
      <w:r w:rsidR="00385846">
        <w:rPr>
          <w:rFonts w:cstheme="minorHAnsi"/>
          <w:shd w:val="clear" w:color="auto" w:fill="FFFFFF"/>
        </w:rPr>
        <w:t xml:space="preserve"> og utøver portvaktfunksjonen </w:t>
      </w:r>
      <w:r w:rsidR="00B60A7D">
        <w:rPr>
          <w:rFonts w:cstheme="minorHAnsi"/>
          <w:shd w:val="clear" w:color="auto" w:fill="FFFFFF"/>
        </w:rPr>
        <w:t>kunnskapsbasert og med godt faglig skjønn</w:t>
      </w:r>
      <w:r w:rsidR="004266B6">
        <w:rPr>
          <w:rFonts w:cstheme="minorHAnsi"/>
          <w:shd w:val="clear" w:color="auto" w:fill="FFFFFF"/>
        </w:rPr>
        <w:t>.</w:t>
      </w:r>
    </w:p>
    <w:p w14:paraId="43648739" w14:textId="77777777" w:rsidR="00D9107F" w:rsidRDefault="00343539" w:rsidP="00EF390E">
      <w:pPr>
        <w:jc w:val="both"/>
      </w:pPr>
      <w:r>
        <w:t>Fastlegens h</w:t>
      </w:r>
      <w:r w:rsidR="009223EC">
        <w:t>envisningsbeslutning</w:t>
      </w:r>
      <w:r w:rsidR="00FD45A7">
        <w:t xml:space="preserve"> </w:t>
      </w:r>
      <w:r w:rsidR="009223EC">
        <w:t xml:space="preserve">ligner en diagnostisk test. Fastlegen gjør en vurdering av om spesialisthelsetjenesten kan tilby pasienten bedre helsehjelp enn hva fastlegen kan, og henviser hvis svaret er ja. </w:t>
      </w:r>
      <w:r w:rsidR="005776BC" w:rsidRPr="005776BC">
        <w:t>Fastlege</w:t>
      </w:r>
      <w:r w:rsidR="00D24BC5">
        <w:t>n vil kunne</w:t>
      </w:r>
      <w:r w:rsidR="005776BC" w:rsidRPr="005776BC">
        <w:t xml:space="preserve"> si nei til å henvise hvis </w:t>
      </w:r>
      <w:r w:rsidR="00037E56">
        <w:t>fastlegen</w:t>
      </w:r>
      <w:r w:rsidR="005776BC" w:rsidRPr="005776BC">
        <w:t xml:space="preserve"> kan gjøre jobben selv</w:t>
      </w:r>
      <w:r w:rsidR="0050626A">
        <w:t xml:space="preserve">, </w:t>
      </w:r>
      <w:r w:rsidR="005776BC" w:rsidRPr="005776BC">
        <w:t>vet at det ikke har noen hensikt å henvise</w:t>
      </w:r>
      <w:r w:rsidR="0050626A">
        <w:t xml:space="preserve"> </w:t>
      </w:r>
      <w:r w:rsidR="005776BC" w:rsidRPr="005776BC">
        <w:t xml:space="preserve">eller </w:t>
      </w:r>
      <w:r w:rsidR="00123CA9">
        <w:t xml:space="preserve">vurderer </w:t>
      </w:r>
      <w:r w:rsidR="005776BC" w:rsidRPr="005776BC">
        <w:t>at det ikke er klokt å gjennomføre det pasienten ønsker</w:t>
      </w:r>
      <w:r w:rsidR="00AD4499">
        <w:t>.</w:t>
      </w:r>
      <w:r w:rsidR="009645F7">
        <w:t xml:space="preserve"> </w:t>
      </w:r>
      <w:r w:rsidR="00CF525A">
        <w:t>Fastlegen kan gjøre</w:t>
      </w:r>
      <w:r w:rsidR="009223EC">
        <w:t xml:space="preserve"> to typer feil i vurderingen. Den første feilen resulterer i en unødvendig henvisning</w:t>
      </w:r>
      <w:r w:rsidR="00263CD8">
        <w:t xml:space="preserve"> </w:t>
      </w:r>
      <w:r w:rsidR="009C1BC9">
        <w:t xml:space="preserve">ved at </w:t>
      </w:r>
      <w:r w:rsidR="009223EC">
        <w:t>pasient</w:t>
      </w:r>
      <w:r w:rsidR="00F624C4">
        <w:t>en</w:t>
      </w:r>
      <w:r w:rsidR="009223EC">
        <w:t xml:space="preserve"> </w:t>
      </w:r>
      <w:r w:rsidR="00B12B16">
        <w:t>ikke</w:t>
      </w:r>
      <w:r w:rsidR="009223EC">
        <w:t xml:space="preserve"> få</w:t>
      </w:r>
      <w:r w:rsidR="00B12B16">
        <w:t>r</w:t>
      </w:r>
      <w:r w:rsidR="009223EC">
        <w:t xml:space="preserve"> bedre helsehjelp i spesialisthelsetjenesten. Den andre feilen er at pasient</w:t>
      </w:r>
      <w:r w:rsidR="00B12B16">
        <w:t>en</w:t>
      </w:r>
      <w:r w:rsidR="009223EC">
        <w:t xml:space="preserve"> som burde ha vært henvist, ikke </w:t>
      </w:r>
      <w:r w:rsidR="32209CCF">
        <w:t>bli</w:t>
      </w:r>
      <w:r w:rsidR="328E0D1F">
        <w:t>r</w:t>
      </w:r>
      <w:r w:rsidR="009223EC">
        <w:t xml:space="preserve"> henvist. I det første tilfellet blir det unødvendig ressursbruk. I det andre tilfellet kan det bli </w:t>
      </w:r>
      <w:r w:rsidR="00AC2402">
        <w:t xml:space="preserve">et </w:t>
      </w:r>
      <w:r w:rsidR="009223EC">
        <w:t>helsetap for pasienten og kanskje mer bruk av ressurser ved at behandlingen bli mer omfattende ved forsinket diagnostikk.</w:t>
      </w:r>
    </w:p>
    <w:p w14:paraId="79DC73E7" w14:textId="4B3B7782" w:rsidR="009223EC" w:rsidRDefault="00094138" w:rsidP="00EF390E">
      <w:pPr>
        <w:jc w:val="both"/>
      </w:pPr>
      <w:r>
        <w:t>Teoretisk sett</w:t>
      </w:r>
      <w:r w:rsidR="007E428E">
        <w:t>,</w:t>
      </w:r>
      <w:r w:rsidR="00872C59">
        <w:t xml:space="preserve"> kunne </w:t>
      </w:r>
      <w:r w:rsidR="009223EC">
        <w:t>pasienten selv gj</w:t>
      </w:r>
      <w:r w:rsidR="00872C59">
        <w:t>ort</w:t>
      </w:r>
      <w:r w:rsidR="009223EC">
        <w:t xml:space="preserve"> denne vurderingen og </w:t>
      </w:r>
      <w:r w:rsidR="00F24C00">
        <w:t>oppsøkt</w:t>
      </w:r>
      <w:r w:rsidR="009223EC">
        <w:t xml:space="preserve"> spesialisthelsetjenesten hvis egenvurderingen </w:t>
      </w:r>
      <w:r w:rsidR="007E428E">
        <w:t xml:space="preserve">tilsa </w:t>
      </w:r>
      <w:r w:rsidR="009223EC">
        <w:t>det. Dersom pasient</w:t>
      </w:r>
      <w:r w:rsidR="002F6804">
        <w:t>ens egenbetaling er lav</w:t>
      </w:r>
      <w:r w:rsidR="009223EC">
        <w:t>, vil</w:t>
      </w:r>
      <w:r w:rsidR="007E428E">
        <w:t>le</w:t>
      </w:r>
      <w:r w:rsidR="009223EC">
        <w:t xml:space="preserve"> </w:t>
      </w:r>
      <w:r w:rsidR="00217685">
        <w:t>trolig mange</w:t>
      </w:r>
      <w:r w:rsidR="009223EC">
        <w:t xml:space="preserve"> pasient</w:t>
      </w:r>
      <w:r w:rsidR="00217685">
        <w:t>er</w:t>
      </w:r>
      <w:r w:rsidR="009223EC">
        <w:t xml:space="preserve"> </w:t>
      </w:r>
      <w:r w:rsidR="005C41A6">
        <w:t xml:space="preserve">oppsøkt </w:t>
      </w:r>
      <w:r w:rsidR="009223EC">
        <w:t>spesialisthelsetjenesten. Ulempen er at det blir mange unødvendige undersøkelser og behandlinger i spesialisthelsetjenesten. Kanskje vil også begrenset kapasitet i spesialisthelsetjenesten medføre vilkårlighet i sortering av ventelisten.</w:t>
      </w:r>
    </w:p>
    <w:p w14:paraId="7B60681F" w14:textId="75A8EB0A" w:rsidR="00D9107F" w:rsidRDefault="009223EC" w:rsidP="00EF390E">
      <w:pPr>
        <w:jc w:val="both"/>
      </w:pPr>
      <w:r>
        <w:t>Portvaktfunksjonen baserer seg på at fastlegen stiller diagnosen presist</w:t>
      </w:r>
      <w:r w:rsidR="00F1163C">
        <w:t>.</w:t>
      </w:r>
      <w:r>
        <w:t xml:space="preserve"> Diagnostisk presisjon</w:t>
      </w:r>
      <w:r w:rsidR="6E1CCA55">
        <w:t xml:space="preserve"> </w:t>
      </w:r>
      <w:r w:rsidR="00872101">
        <w:fldChar w:fldCharType="begin"/>
      </w:r>
      <w:r w:rsidR="00856689">
        <w:instrText xml:space="preserve"> ADDIN EN.CITE &lt;EndNote&gt;&lt;Cite&gt;&lt;Author&gt;Godager&lt;/Author&gt;&lt;Year&gt;2017&lt;/Year&gt;&lt;RecNum&gt;635&lt;/RecNum&gt;&lt;DisplayText&gt;(Godager et al., 2017b)&lt;/DisplayText&gt;&lt;record&gt;&lt;rec-number&gt;635&lt;/rec-number&gt;&lt;foreign-keys&gt;&lt;key app="EN" db-id="95tpr2tp6r9xwoea9rb5wdsz5ds5xeddteew" timestamp="1680069511"&gt;635&lt;/key&gt;&lt;/foreign-keys&gt;&lt;ref-type name="Book Section"&gt;5&lt;/ref-type&gt;&lt;contributors&gt;&lt;authors&gt;&lt;author&gt;Geir Godager&lt;/author&gt;&lt;author&gt;Tor Iversen&lt;/author&gt;&lt;/authors&gt;&lt;/contributors&gt;&lt;titles&gt;&lt;title&gt;Portnerrollen og økonomiske incentiver i primærhelsetjenesten&lt;/title&gt;&lt;secondary-title&gt; I: Riktig diagnose til rett tid - fastlegen som helsetjenestens portner&lt;/secondary-title&gt;&lt;/titles&gt;&lt;dates&gt;&lt;year&gt;2017&lt;/year&gt;&lt;/dates&gt;&lt;pub-location&gt;Oslo&lt;/pub-location&gt;&lt;publisher&gt;Den norske legeforening&lt;/publisher&gt;&lt;urls&gt;&lt;/urls&gt;&lt;/record&gt;&lt;/Cite&gt;&lt;/EndNote&gt;</w:instrText>
      </w:r>
      <w:r w:rsidR="00872101">
        <w:fldChar w:fldCharType="separate"/>
      </w:r>
      <w:r w:rsidR="00856689">
        <w:rPr>
          <w:noProof/>
        </w:rPr>
        <w:t>(Godager et al., 2017b)</w:t>
      </w:r>
      <w:r w:rsidR="00872101">
        <w:fldChar w:fldCharType="end"/>
      </w:r>
      <w:r w:rsidR="009B68CA">
        <w:t xml:space="preserve"> </w:t>
      </w:r>
      <w:r>
        <w:t xml:space="preserve">dreier seg både om å henvise de som skal henvises og samtidig å unnlate å henvise de som har like stort utbytte av </w:t>
      </w:r>
      <w:r w:rsidR="00265E09">
        <w:t xml:space="preserve">ingen eller </w:t>
      </w:r>
      <w:r>
        <w:t>annen behandling. Dersom presisjonen var perfekt</w:t>
      </w:r>
      <w:r w:rsidRPr="00D9107F">
        <w:rPr>
          <w:rStyle w:val="Fotnotereferanse"/>
        </w:rPr>
        <w:footnoteReference w:id="15"/>
      </w:r>
      <w:r>
        <w:t xml:space="preserve">, ville det verken være unødvendige henvisninger eller pasienter som feilaktig ikke blir henvist. </w:t>
      </w:r>
      <w:r w:rsidR="0034A842">
        <w:t>Det</w:t>
      </w:r>
      <w:r w:rsidR="644855FF">
        <w:t>te</w:t>
      </w:r>
      <w:r>
        <w:t xml:space="preserve"> er neppe realistisk. Samtidig vil fastlegens legitimitet som portv</w:t>
      </w:r>
      <w:r w:rsidR="00FF3A6F">
        <w:t>a</w:t>
      </w:r>
      <w:r>
        <w:t>kt til spesialisthelsetjenesten</w:t>
      </w:r>
      <w:r w:rsidR="0011016C">
        <w:t>,</w:t>
      </w:r>
      <w:r>
        <w:t xml:space="preserve"> avhenge av at fastlegens diagnostiske </w:t>
      </w:r>
      <w:r w:rsidR="00A33748">
        <w:t>vurdering</w:t>
      </w:r>
      <w:r>
        <w:t xml:space="preserve"> er </w:t>
      </w:r>
      <w:r w:rsidR="00AC1B63">
        <w:t>god.</w:t>
      </w:r>
      <w:r>
        <w:t xml:space="preserve"> </w:t>
      </w:r>
      <w:r w:rsidR="008B21A2">
        <w:t xml:space="preserve">Desto bedre diagnostisk presisjon fastlegen har, jo bedre er argumentet for fastlegen som portvakt </w:t>
      </w:r>
      <w:r w:rsidR="00360A9D">
        <w:t xml:space="preserve">til </w:t>
      </w:r>
      <w:r w:rsidR="008B21A2">
        <w:lastRenderedPageBreak/>
        <w:t>spesialisthelsetjenesten.</w:t>
      </w:r>
      <w:r w:rsidR="00F463DB">
        <w:t xml:space="preserve"> </w:t>
      </w:r>
      <w:r w:rsidR="00527787">
        <w:t>Det</w:t>
      </w:r>
      <w:r w:rsidR="00626BED">
        <w:t xml:space="preserve"> </w:t>
      </w:r>
      <w:r w:rsidR="00452DAC">
        <w:t xml:space="preserve">blir </w:t>
      </w:r>
      <w:r w:rsidR="0018638C">
        <w:t xml:space="preserve">en </w:t>
      </w:r>
      <w:r>
        <w:t>større velferdsøkning</w:t>
      </w:r>
      <w:r w:rsidR="00CB1BAB">
        <w:t xml:space="preserve"> </w:t>
      </w:r>
      <w:r>
        <w:t xml:space="preserve">når </w:t>
      </w:r>
      <w:r w:rsidR="00D9107F">
        <w:t>«</w:t>
      </w:r>
      <w:r>
        <w:t>syke</w:t>
      </w:r>
      <w:r w:rsidR="00D9107F">
        <w:t>»</w:t>
      </w:r>
      <w:r>
        <w:t xml:space="preserve"> </w:t>
      </w:r>
      <w:r w:rsidR="006E68B0">
        <w:t>blir henvist</w:t>
      </w:r>
      <w:r>
        <w:t xml:space="preserve"> </w:t>
      </w:r>
      <w:r w:rsidR="006E68B0">
        <w:t>og</w:t>
      </w:r>
      <w:r w:rsidR="00D955D5">
        <w:t xml:space="preserve"> </w:t>
      </w:r>
      <w:r w:rsidR="00D9107F">
        <w:t>«</w:t>
      </w:r>
      <w:r>
        <w:t>friske</w:t>
      </w:r>
      <w:r w:rsidR="00D9107F">
        <w:t>»</w:t>
      </w:r>
      <w:r>
        <w:t xml:space="preserve"> slipper å bli henvist til spesialisthelsetjenesten. Fastlegen som portv</w:t>
      </w:r>
      <w:r w:rsidR="00F4635C">
        <w:t>a</w:t>
      </w:r>
      <w:r>
        <w:t>kt</w:t>
      </w:r>
      <w:r w:rsidR="0001768B">
        <w:t>,</w:t>
      </w:r>
      <w:r>
        <w:t xml:space="preserve"> er mindre ønskelig </w:t>
      </w:r>
      <w:r w:rsidR="00A252AA">
        <w:t>dersom</w:t>
      </w:r>
      <w:r>
        <w:t xml:space="preserve"> flere </w:t>
      </w:r>
      <w:r w:rsidR="00210B42">
        <w:t xml:space="preserve">av dem </w:t>
      </w:r>
      <w:r>
        <w:t>som ikke blir henvist</w:t>
      </w:r>
      <w:r w:rsidR="005E6192">
        <w:t>,</w:t>
      </w:r>
      <w:r>
        <w:t xml:space="preserve"> burde vært henvist.</w:t>
      </w:r>
    </w:p>
    <w:p w14:paraId="4E3EB515" w14:textId="02A47D1D" w:rsidR="009223EC" w:rsidRDefault="009223EC" w:rsidP="00EF390E">
      <w:pPr>
        <w:jc w:val="both"/>
      </w:pPr>
      <w:r>
        <w:t>Faktiske henvisningsrater vil kunne påvirkes av finansieringsordninger</w:t>
      </w:r>
      <w:r w:rsidR="00407D46">
        <w:t>,</w:t>
      </w:r>
      <w:r>
        <w:t xml:space="preserve"> og av kapasiteten blant fastlegene og i spesialisthelsetjenesten. Basistilskuddet er uavhengig </w:t>
      </w:r>
      <w:r w:rsidR="005B2D27">
        <w:t>av</w:t>
      </w:r>
      <w:r>
        <w:t xml:space="preserve"> omfanget av helsetjenester som fastlegene yter. I teorien trekker basistilskuddet i retning av lange pasientlister, få fastlegetjenester per listeinnbygger og mange henvisninger. Aktivitetsavhengige takster trekker i retning av flere fastlegetjenester per pasient og færre henvisninger. Dersom kapasiteten blant fastlegene er god, vil fastlegene ha mer tid til å ta hånd om helseproblemer som kanskje ville ha resultert i henvisning dersom fastlegekapasiteten hadde vært dårligere. På den annen side vil </w:t>
      </w:r>
      <w:r w:rsidR="00AD44E3">
        <w:t>kanskje</w:t>
      </w:r>
      <w:r>
        <w:t xml:space="preserve"> muligheten for at en misfornøyd pasient bytter fastlege, trekke i retning av å henvise når pasienten ønsker det. </w:t>
      </w:r>
      <w:r w:rsidR="00757E5E" w:rsidRPr="00757E5E">
        <w:t>Vi kan derfor ikke uten videre forutsi hva nettoeffekten</w:t>
      </w:r>
      <w:r>
        <w:t xml:space="preserve"> av kapasitet i fastlegeordningen på antallet henvisninger</w:t>
      </w:r>
      <w:r w:rsidR="00B671D3">
        <w:t>,</w:t>
      </w:r>
      <w:r>
        <w:t xml:space="preserve"> </w:t>
      </w:r>
      <w:r w:rsidR="00757E5E" w:rsidRPr="00757E5E">
        <w:t>blir.</w:t>
      </w:r>
    </w:p>
    <w:p w14:paraId="56B5D718" w14:textId="5667F153" w:rsidR="009223EC" w:rsidRDefault="009223EC" w:rsidP="00EF390E">
      <w:pPr>
        <w:jc w:val="both"/>
      </w:pPr>
      <w:r>
        <w:t xml:space="preserve">Det er flere empiriske undersøkelser av effekt av finansieringsordninger og kapasitet på omfanget av fastlegenes henvisninger. </w:t>
      </w:r>
      <w:r w:rsidR="006B1C50">
        <w:t>E</w:t>
      </w:r>
      <w:r>
        <w:t>n studie fra Danmark</w:t>
      </w:r>
      <w:r w:rsidR="4F9FA06A">
        <w:t xml:space="preserve"> </w:t>
      </w:r>
      <w:r w:rsidR="00872101">
        <w:fldChar w:fldCharType="begin"/>
      </w:r>
      <w:r w:rsidR="004654FD">
        <w:instrText xml:space="preserve"> ADDIN EN.CITE &lt;EndNote&gt;&lt;Cite&gt;&lt;Author&gt;Krasnik&lt;/Author&gt;&lt;Year&gt;1990&lt;/Year&gt;&lt;RecNum&gt;86&lt;/RecNum&gt;&lt;DisplayText&gt;(Krasnik et al., 1990)&lt;/DisplayText&gt;&lt;record&gt;&lt;rec-number&gt;86&lt;/rec-number&gt;&lt;foreign-keys&gt;&lt;key app="EN" db-id="95tpr2tp6r9xwoea9rb5wdsz5ds5xeddteew" timestamp="1680069511"&gt;86&lt;/key&gt;&lt;/foreign-keys&gt;&lt;ref-type name="Journal Article"&gt;17&lt;/ref-type&gt;&lt;contributors&gt;&lt;authors&gt;&lt;author&gt;Krasnik, A&lt;/author&gt;&lt;author&gt;Groenewegen, P P&lt;/author&gt;&lt;author&gt;Pedersen, P A&lt;/author&gt;&lt;author&gt;von Scholten, P&lt;/author&gt;&lt;author&gt;Mooney, G&lt;/author&gt;&lt;author&gt;Damsgaard, M T&lt;/author&gt;&lt;/authors&gt;&lt;/contributors&gt;&lt;titles&gt;&lt;title&gt;Changing remuneration systems: effects on activity in general practice&lt;/title&gt;&lt;secondary-title&gt;British Medical Journal&lt;/secondary-title&gt;&lt;/titles&gt;&lt;periodical&gt;&lt;full-title&gt;British Medical Journal&lt;/full-title&gt;&lt;/periodical&gt;&lt;pages&gt;1698-1701&lt;/pages&gt;&lt;volume&gt;300&lt;/volume&gt;&lt;number&gt;6741&lt;/number&gt;&lt;dates&gt;&lt;year&gt;1990&lt;/year&gt;&lt;/dates&gt;&lt;urls&gt;&lt;related-urls&gt;&lt;url&gt;https://www.bmj.com/content/bmj/300/6741/1698.full.pdf&lt;/url&gt;&lt;/related-urls&gt;&lt;/urls&gt;&lt;/record&gt;&lt;/Cite&gt;&lt;/EndNote&gt;</w:instrText>
      </w:r>
      <w:r w:rsidR="00872101">
        <w:fldChar w:fldCharType="separate"/>
      </w:r>
      <w:r w:rsidR="00872101">
        <w:rPr>
          <w:noProof/>
        </w:rPr>
        <w:t>(Krasnik et al., 1990)</w:t>
      </w:r>
      <w:r w:rsidR="00872101">
        <w:fldChar w:fldCharType="end"/>
      </w:r>
      <w:r>
        <w:t xml:space="preserve"> finner at henvisningsraten til spesialisthelsetjenesten ble redusert når finansieringsordningen ble endret fra basistilskudd til en kombinasjon av basistilskudd og aktivitetsavhengige takster. En studie fra Norge</w:t>
      </w:r>
      <w:r w:rsidR="082E6E78">
        <w:t xml:space="preserve"> </w:t>
      </w:r>
      <w:r w:rsidR="00872101">
        <w:fldChar w:fldCharType="begin">
          <w:fldData xml:space="preserve">PEVuZE5vdGU+PENpdGU+PEF1dGhvcj5Hb2RhZ2VyPC9BdXRob3I+PFllYXI+MjAxNTwvWWVhcj48
UmVjTnVtPjk5PC9SZWNOdW0+PERpc3BsYXlUZXh0PihHb2RhZ2VyIGV0IGFsLiwgMjAxNWEpPC9E
aXNwbGF5VGV4dD48cmVjb3JkPjxyZWMtbnVtYmVyPjk5PC9yZWMtbnVtYmVyPjxmb3JlaWduLWtl
eXM+PGtleSBhcHA9IkVOIiBkYi1pZD0iOTV0cHIydHA2cjl4d29lYTlyYjV3ZHN6NWRzNXhlZGR0
ZWV3IiB0aW1lc3RhbXA9IjE2ODAwNjk1MTEiPjk5PC9rZXk+PC9mb3JlaWduLWtleXM+PHJlZi10
eXBlIG5hbWU9IkpvdXJuYWwgQXJ0aWNsZSI+MTc8L3JlZi10eXBlPjxjb250cmlidXRvcnM+PGF1
dGhvcnM+PGF1dGhvcj5Hb2RhZ2VyLCBHLjwvYXV0aG9yPjxhdXRob3I+SXZlcnNlbiwgVC48L2F1
dGhvcj48YXV0aG9yPk1hLCBDLiBULjwvYXV0aG9yPjwvYXV0aG9ycz48L2NvbnRyaWJ1dG9ycz48
YXV0aC1hZGRyZXNzPkRlcGFydG1lbnQgb2YgSGVhbHRoIE1hbmFnZW1lbnQgYW5kIEhlYWx0aCBF
Y29ub21pY3MsIFVuaXZlcnNpdHkgb2YgT3NsbywgTm9yd2F5LiBFbGVjdHJvbmljIGFkZHJlc3M6
IGdlaXIuZ29kYWdlckBtZWRpc2luLnVpby5uby4mI3hEO0RlcGFydG1lbnQgb2YgSGVhbHRoIE1h
bmFnZW1lbnQgYW5kIEhlYWx0aCBFY29ub21pY3MsIFVuaXZlcnNpdHkgb2YgT3NsbywgTm9yd2F5
LiBFbGVjdHJvbmljIGFkZHJlc3M6IHRvci5pdmVyc2VuQG1lZGlzaW4udWlvLm5vLiYjeEQ7RGVw
YXJ0bWVudCBvZiBFY29ub21pY3MsIEJvc3RvbiBVbml2ZXJzaXR5LCBVU0E7IFVuaXZlcnNpdHkg
b2YgT3NsbywgTm9yd2F5LiBFbGVjdHJvbmljIGFkZHJlc3M6IG1hQGJ1LmVkdS48L2F1dGgtYWRk
cmVzcz48dGl0bGVzPjx0aXRsZT5Db21wZXRpdGlvbiwgZ2F0ZWtlZXBpbmcsIGFuZCBoZWFsdGgg
Y2FyZSBhY2Nlc3M8L3RpdGxlPjxzZWNvbmRhcnktdGl0bGU+SiBIZWFsdGggRWNvbjwvc2Vjb25k
YXJ5LXRpdGxlPjwvdGl0bGVzPjxwZXJpb2RpY2FsPjxmdWxsLXRpdGxlPkogSGVhbHRoIEVjb248
L2Z1bGwtdGl0bGU+PC9wZXJpb2RpY2FsPjxwYWdlcz4xNTktNzA8L3BhZ2VzPjx2b2x1bWU+Mzk8
L3ZvbHVtZT48ZWRpdGlvbj4yMDE0MTEyMjwvZWRpdGlvbj48a2V5d29yZHM+PGtleXdvcmQ+QWRv
bGVzY2VudDwva2V5d29yZD48a2V5d29yZD5BZHVsdDwva2V5d29yZD48a2V5d29yZD5BZ2VkPC9r
ZXl3b3JkPjxrZXl3b3JkPkVjb25vbWljIENvbXBldGl0aW9uLypzdGF0aXN0aWNzICZhbXA7IG51
bWVyaWNhbCBkYXRhPC9rZXl3b3JkPjxrZXl3b3JkPkZlbWFsZTwva2V5d29yZD48a2V5d29yZD5H
YXRla2VlcGluZy8qc3RhdGlzdGljcyAmYW1wOyBudW1lcmljYWwgZGF0YTwva2V5d29yZD48a2V5
d29yZD5IZWFsdGggU2VydmljZXMgQWNjZXNzaWJpbGl0eS8qc3RhdGlzdGljcyAmYW1wOyBudW1l
cmljYWwgZGF0YTwva2V5d29yZD48a2V5d29yZD5IdW1hbnM8L2tleXdvcmQ+PGtleXdvcmQ+TWFs
ZTwva2V5d29yZD48a2V5d29yZD5NZWRpY2luZS8qc3RhdGlzdGljcyAmYW1wOyBudW1lcmljYWwg
ZGF0YTwva2V5d29yZD48a2V5d29yZD5NaWRkbGUgQWdlZDwva2V5d29yZD48a2V5d29yZD5Ob3J3
YXk8L2tleXdvcmQ+PGtleXdvcmQ+UGh5c2ljaWFucywgUHJpbWFyeSBDYXJlL3N0YXRpc3RpY3Mg
JmFtcDsgbnVtZXJpY2FsIGRhdGE8L2tleXdvcmQ+PGtleXdvcmQ+UmVmZXJyYWwgYW5kIENvbnN1
bHRhdGlvbi8qc3RhdGlzdGljcyAmYW1wOyBudW1lcmljYWwgZGF0YTwva2V5d29yZD48a2V5d29y
ZD5Zb3VuZyBBZHVsdDwva2V5d29yZD48a2V5d29yZD5Db21wZXRpdGlvbjwva2V5d29yZD48a2V5
d29yZD5HYXRla2VlcGluZzwva2V5d29yZD48a2V5d29yZD5QcmltYXJ5IGNhcmU8L2tleXdvcmQ+
PGtleXdvcmQ+U2Vjb25kYXJ5IGNhcmU8L2tleXdvcmQ+PC9rZXl3b3Jkcz48ZGF0ZXM+PHllYXI+
MjAxNTwveWVhcj48cHViLWRhdGVzPjxkYXRlPkphbjwvZGF0ZT48L3B1Yi1kYXRlcz48L2RhdGVz
Pjxpc2JuPjAxNjctNjI5NjwvaXNibj48YWNjZXNzaW9uLW51bT4yNTU0NDQwMDwvYWNjZXNzaW9u
LW51bT48dXJscz48L3VybHM+PHJlbW90ZS1kYXRhYmFzZS1wcm92aWRlcj5OTE08L3JlbW90ZS1k
YXRhYmFzZS1wcm92aWRlcj48bGFuZ3VhZ2U+ZW5nPC9sYW5ndWFnZT48L3JlY29yZD48L0NpdGU+
PC9FbmROb3RlPn==
</w:fldData>
        </w:fldChar>
      </w:r>
      <w:r w:rsidR="004654FD">
        <w:instrText xml:space="preserve"> ADDIN EN.CITE </w:instrText>
      </w:r>
      <w:r w:rsidR="004654FD">
        <w:fldChar w:fldCharType="begin">
          <w:fldData xml:space="preserve">PEVuZE5vdGU+PENpdGU+PEF1dGhvcj5Hb2RhZ2VyPC9BdXRob3I+PFllYXI+MjAxNTwvWWVhcj48
UmVjTnVtPjk5PC9SZWNOdW0+PERpc3BsYXlUZXh0PihHb2RhZ2VyIGV0IGFsLiwgMjAxNWEpPC9E
aXNwbGF5VGV4dD48cmVjb3JkPjxyZWMtbnVtYmVyPjk5PC9yZWMtbnVtYmVyPjxmb3JlaWduLWtl
eXM+PGtleSBhcHA9IkVOIiBkYi1pZD0iOTV0cHIydHA2cjl4d29lYTlyYjV3ZHN6NWRzNXhlZGR0
ZWV3IiB0aW1lc3RhbXA9IjE2ODAwNjk1MTEiPjk5PC9rZXk+PC9mb3JlaWduLWtleXM+PHJlZi10
eXBlIG5hbWU9IkpvdXJuYWwgQXJ0aWNsZSI+MTc8L3JlZi10eXBlPjxjb250cmlidXRvcnM+PGF1
dGhvcnM+PGF1dGhvcj5Hb2RhZ2VyLCBHLjwvYXV0aG9yPjxhdXRob3I+SXZlcnNlbiwgVC48L2F1
dGhvcj48YXV0aG9yPk1hLCBDLiBULjwvYXV0aG9yPjwvYXV0aG9ycz48L2NvbnRyaWJ1dG9ycz48
YXV0aC1hZGRyZXNzPkRlcGFydG1lbnQgb2YgSGVhbHRoIE1hbmFnZW1lbnQgYW5kIEhlYWx0aCBF
Y29ub21pY3MsIFVuaXZlcnNpdHkgb2YgT3NsbywgTm9yd2F5LiBFbGVjdHJvbmljIGFkZHJlc3M6
IGdlaXIuZ29kYWdlckBtZWRpc2luLnVpby5uby4mI3hEO0RlcGFydG1lbnQgb2YgSGVhbHRoIE1h
bmFnZW1lbnQgYW5kIEhlYWx0aCBFY29ub21pY3MsIFVuaXZlcnNpdHkgb2YgT3NsbywgTm9yd2F5
LiBFbGVjdHJvbmljIGFkZHJlc3M6IHRvci5pdmVyc2VuQG1lZGlzaW4udWlvLm5vLiYjeEQ7RGVw
YXJ0bWVudCBvZiBFY29ub21pY3MsIEJvc3RvbiBVbml2ZXJzaXR5LCBVU0E7IFVuaXZlcnNpdHkg
b2YgT3NsbywgTm9yd2F5LiBFbGVjdHJvbmljIGFkZHJlc3M6IG1hQGJ1LmVkdS48L2F1dGgtYWRk
cmVzcz48dGl0bGVzPjx0aXRsZT5Db21wZXRpdGlvbiwgZ2F0ZWtlZXBpbmcsIGFuZCBoZWFsdGgg
Y2FyZSBhY2Nlc3M8L3RpdGxlPjxzZWNvbmRhcnktdGl0bGU+SiBIZWFsdGggRWNvbjwvc2Vjb25k
YXJ5LXRpdGxlPjwvdGl0bGVzPjxwZXJpb2RpY2FsPjxmdWxsLXRpdGxlPkogSGVhbHRoIEVjb248
L2Z1bGwtdGl0bGU+PC9wZXJpb2RpY2FsPjxwYWdlcz4xNTktNzA8L3BhZ2VzPjx2b2x1bWU+Mzk8
L3ZvbHVtZT48ZWRpdGlvbj4yMDE0MTEyMjwvZWRpdGlvbj48a2V5d29yZHM+PGtleXdvcmQ+QWRv
bGVzY2VudDwva2V5d29yZD48a2V5d29yZD5BZHVsdDwva2V5d29yZD48a2V5d29yZD5BZ2VkPC9r
ZXl3b3JkPjxrZXl3b3JkPkVjb25vbWljIENvbXBldGl0aW9uLypzdGF0aXN0aWNzICZhbXA7IG51
bWVyaWNhbCBkYXRhPC9rZXl3b3JkPjxrZXl3b3JkPkZlbWFsZTwva2V5d29yZD48a2V5d29yZD5H
YXRla2VlcGluZy8qc3RhdGlzdGljcyAmYW1wOyBudW1lcmljYWwgZGF0YTwva2V5d29yZD48a2V5
d29yZD5IZWFsdGggU2VydmljZXMgQWNjZXNzaWJpbGl0eS8qc3RhdGlzdGljcyAmYW1wOyBudW1l
cmljYWwgZGF0YTwva2V5d29yZD48a2V5d29yZD5IdW1hbnM8L2tleXdvcmQ+PGtleXdvcmQ+TWFs
ZTwva2V5d29yZD48a2V5d29yZD5NZWRpY2luZS8qc3RhdGlzdGljcyAmYW1wOyBudW1lcmljYWwg
ZGF0YTwva2V5d29yZD48a2V5d29yZD5NaWRkbGUgQWdlZDwva2V5d29yZD48a2V5d29yZD5Ob3J3
YXk8L2tleXdvcmQ+PGtleXdvcmQ+UGh5c2ljaWFucywgUHJpbWFyeSBDYXJlL3N0YXRpc3RpY3Mg
JmFtcDsgbnVtZXJpY2FsIGRhdGE8L2tleXdvcmQ+PGtleXdvcmQ+UmVmZXJyYWwgYW5kIENvbnN1
bHRhdGlvbi8qc3RhdGlzdGljcyAmYW1wOyBudW1lcmljYWwgZGF0YTwva2V5d29yZD48a2V5d29y
ZD5Zb3VuZyBBZHVsdDwva2V5d29yZD48a2V5d29yZD5Db21wZXRpdGlvbjwva2V5d29yZD48a2V5
d29yZD5HYXRla2VlcGluZzwva2V5d29yZD48a2V5d29yZD5QcmltYXJ5IGNhcmU8L2tleXdvcmQ+
PGtleXdvcmQ+U2Vjb25kYXJ5IGNhcmU8L2tleXdvcmQ+PC9rZXl3b3Jkcz48ZGF0ZXM+PHllYXI+
MjAxNTwveWVhcj48cHViLWRhdGVzPjxkYXRlPkphbjwvZGF0ZT48L3B1Yi1kYXRlcz48L2RhdGVz
Pjxpc2JuPjAxNjctNjI5NjwvaXNibj48YWNjZXNzaW9uLW51bT4yNTU0NDQwMDwvYWNjZXNzaW9u
LW51bT48dXJscz48L3VybHM+PHJlbW90ZS1kYXRhYmFzZS1wcm92aWRlcj5OTE08L3JlbW90ZS1k
YXRhYmFzZS1wcm92aWRlcj48bGFuZ3VhZ2U+ZW5nPC9sYW5ndWFnZT48L3JlY29yZD48L0NpdGU+
PC9FbmROb3RlPn==
</w:fldData>
        </w:fldChar>
      </w:r>
      <w:r w:rsidR="004654FD">
        <w:instrText xml:space="preserve"> ADDIN EN.CITE.DATA </w:instrText>
      </w:r>
      <w:r w:rsidR="004654FD">
        <w:fldChar w:fldCharType="end"/>
      </w:r>
      <w:r w:rsidR="00872101">
        <w:fldChar w:fldCharType="separate"/>
      </w:r>
      <w:r w:rsidR="004654FD">
        <w:rPr>
          <w:noProof/>
        </w:rPr>
        <w:t>(Godager et al., 2015a)</w:t>
      </w:r>
      <w:r w:rsidR="00872101">
        <w:fldChar w:fldCharType="end"/>
      </w:r>
      <w:r>
        <w:t xml:space="preserve"> finner ikke at fastlegekapasitet påvirker </w:t>
      </w:r>
      <w:r w:rsidR="00D51041">
        <w:t xml:space="preserve">fastlegenes </w:t>
      </w:r>
      <w:r>
        <w:t>henvisningsrate til spesialisthelsetjenesten. En annen studie fra Norge</w:t>
      </w:r>
      <w:r w:rsidR="3CF555C5">
        <w:t xml:space="preserve"> </w:t>
      </w:r>
      <w:r w:rsidR="00872101">
        <w:fldChar w:fldCharType="begin"/>
      </w:r>
      <w:r w:rsidR="004654FD">
        <w:instrText xml:space="preserve"> ADDIN EN.CITE &lt;EndNote&gt;&lt;Cite&gt;&lt;Author&gt;Markussen&lt;/Author&gt;&lt;Year&gt;2017&lt;/Year&gt;&lt;RecNum&gt;480&lt;/RecNum&gt;&lt;DisplayText&gt;(Markussen et al., 2017)&lt;/DisplayText&gt;&lt;record&gt;&lt;rec-number&gt;480&lt;/rec-number&gt;&lt;foreign-keys&gt;&lt;key app="EN" db-id="95tpr2tp6r9xwoea9rb5wdsz5ds5xeddteew" timestamp="1680069511"&gt;480&lt;/key&gt;&lt;/foreign-keys&gt;&lt;ref-type name="Journal Article"&gt;17&lt;/ref-type&gt;&lt;contributors&gt;&lt;authors&gt;&lt;author&gt;Markussen, Simen&lt;/author&gt;&lt;author&gt;Røed, Knut&lt;/author&gt;&lt;/authors&gt;&lt;/contributors&gt;&lt;titles&gt;&lt;title&gt;The market for paid sick leave&lt;/title&gt;&lt;secondary-title&gt;Journal of Health Economics&lt;/secondary-title&gt;&lt;/titles&gt;&lt;periodical&gt;&lt;full-title&gt;Journal of Health Economics&lt;/full-title&gt;&lt;/periodical&gt;&lt;pages&gt;244-261&lt;/pages&gt;&lt;volume&gt;55&lt;/volume&gt;&lt;keywords&gt;&lt;keyword&gt;Absenteeism&lt;/keyword&gt;&lt;keyword&gt;Gatekeeping&lt;/keyword&gt;&lt;keyword&gt;Competition&lt;/keyword&gt;&lt;keyword&gt;Role-conflicts&lt;/keyword&gt;&lt;/keywords&gt;&lt;dates&gt;&lt;year&gt;2017&lt;/year&gt;&lt;pub-dates&gt;&lt;date&gt;2017/09/01/&lt;/date&gt;&lt;/pub-dates&gt;&lt;/dates&gt;&lt;isbn&gt;0167-6296&lt;/isbn&gt;&lt;urls&gt;&lt;related-urls&gt;&lt;url&gt;https://www.sciencedirect.com/science/article/pii/S0167629616300893&lt;/url&gt;&lt;/related-urls&gt;&lt;/urls&gt;&lt;/record&gt;&lt;/Cite&gt;&lt;/EndNote&gt;</w:instrText>
      </w:r>
      <w:r w:rsidR="00872101">
        <w:fldChar w:fldCharType="separate"/>
      </w:r>
      <w:r w:rsidR="00856689">
        <w:rPr>
          <w:noProof/>
        </w:rPr>
        <w:t>(Markussen et al., 2017)</w:t>
      </w:r>
      <w:r w:rsidR="00872101">
        <w:fldChar w:fldCharType="end"/>
      </w:r>
      <w:r>
        <w:t xml:space="preserve"> finner at fastlegen er mindre streng portvakt til sykmelding når </w:t>
      </w:r>
      <w:r w:rsidR="00C356D1">
        <w:t>fastlegen har</w:t>
      </w:r>
      <w:r w:rsidR="0013464A">
        <w:t xml:space="preserve"> flere ledige listeplasser</w:t>
      </w:r>
      <w:r>
        <w:t>.</w:t>
      </w:r>
    </w:p>
    <w:p w14:paraId="2FE1951D" w14:textId="77777777" w:rsidR="00D9107F" w:rsidRDefault="009223EC" w:rsidP="00EF390E">
      <w:pPr>
        <w:jc w:val="both"/>
      </w:pPr>
      <w:r>
        <w:t xml:space="preserve">Studier tyder på at det er </w:t>
      </w:r>
      <w:r w:rsidR="005E2CE5">
        <w:t>uforklart variasjon</w:t>
      </w:r>
      <w:r w:rsidR="0033331D">
        <w:t xml:space="preserve"> i fastlegenes henvisningspraksis</w:t>
      </w:r>
      <w:r w:rsidR="00E10A29">
        <w:t xml:space="preserve"> </w:t>
      </w:r>
      <w:r w:rsidR="00E10A29">
        <w:fldChar w:fldCharType="begin">
          <w:fldData xml:space="preserve">PEVuZE5vdGU+PENpdGU+PEF1dGhvcj5SaW5nYmVyZzwvQXV0aG9yPjxZZWFyPjIwMTM8L1llYXI+
PFJlY051bT4zMjg8L1JlY051bT48RGlzcGxheVRleHQ+KFJpbmdiZXJnIGV0IGFsLiwgMjAxMyk8
L0Rpc3BsYXlUZXh0PjxyZWNvcmQ+PHJlYy1udW1iZXI+MzI4PC9yZWMtbnVtYmVyPjxmb3JlaWdu
LWtleXM+PGtleSBhcHA9IkVOIiBkYi1pZD0iOTV0cHIydHA2cjl4d29lYTlyYjV3ZHN6NWRzNXhl
ZGR0ZWV3IiB0aW1lc3RhbXA9IjE2ODAwNjk1MTEiPjMyODwva2V5PjwvZm9yZWlnbi1rZXlzPjxy
ZWYtdHlwZSBuYW1lPSJKb3VybmFsIEFydGljbGUiPjE3PC9yZWYtdHlwZT48Y29udHJpYnV0b3Jz
PjxhdXRob3JzPjxhdXRob3I+UmluZ2JlcmcsIFUuPC9hdXRob3I+PGF1dGhvcj5GbGV0ZW4sIE4u
PC9hdXRob3I+PGF1dGhvcj5EZXJhYXMsIFQuIFMuPC9hdXRob3I+PGF1dGhvcj5IYXN2b2xkLCBU
LjwvYXV0aG9yPjxhdXRob3I+Rm9yZGUsIE8uPC9hdXRob3I+PC9hdXRob3JzPjwvY29udHJpYnV0
b3JzPjxhdXRoLWFkZHJlc3M+UmluZ2JlcmcsIFVubmkuIEZhY3VsdHkgb2YgSGVhbHRoIFNjaWVu
Y2VzLCBEZXBhcnRtZW50IG9mIENvbW11bml0eSBNZWRpY2luZSwgVW5pdmVyc2l0eSBvZiBUcm9t
c28sIFRyb21zbywgTm9yd2F5LiB1bm5pLnJpbmdiZXJnQHVpdC5ubzwvYXV0aC1hZGRyZXNzPjx0
aXRsZXM+PHRpdGxlPkhpZ2ggcmVmZXJyYWwgcmF0ZXMgdG8gc2Vjb25kYXJ5IGNhcmUgYnkgZ2Vu
ZXJhbCBwcmFjdGl0aW9uZXJzIGluIE5vcndheSBhcmUgYXNzb2NpYXRlZCB3aXRoIEdQcyZhcG9z
OyBnZW5kZXIgYW5kIHNwZWNpYWxpc3QgcXVhbGlmaWNhdGlvbnMgaW4gZmFtaWx5IG1lZGljaW5l
LCBhIHN0dWR5IG9mIDQzNTAgY29uc3VsdGF0aW9uczwvdGl0bGU+PHNlY29uZGFyeS10aXRsZT5C
TUMgSGVhbHRoIFNlcnZpY2VzIFJlc2VhcmNoPC9zZWNvbmRhcnktdGl0bGU+PGFsdC10aXRsZT5C
TUMgSGVhbHRoIFNlcnYgUmVzPC9hbHQtdGl0bGU+PC90aXRsZXM+PGFsdC1wZXJpb2RpY2FsPjxm
dWxsLXRpdGxlPkJNQyBIZWFsdGggU2VydiBSZXM8L2Z1bGwtdGl0bGU+PC9hbHQtcGVyaW9kaWNh
bD48cGFnZXM+MTQ3PC9wYWdlcz48dm9sdW1lPjEzPC92b2x1bWU+PGtleXdvcmRzPjxrZXl3b3Jk
PkNsaW5pY2FsIENvbXBldGVuY2U8L2tleXdvcmQ+PGtleXdvcmQ+RmVtYWxlPC9rZXl3b3JkPjxr
ZXl3b3JkPkdlbmVyYWwgUHJhY3RpdGlvbmVyczwva2V5d29yZD48a2V5d29yZD5IdW1hbnM8L2tl
eXdvcmQ+PGtleXdvcmQ+TWFsZTwva2V5d29yZD48a2V5d29yZD5QcmFjdGljZSBQYXR0ZXJucywg
UGh5c2ljaWFucyZhcG9zOzwva2V5d29yZD48a2V5d29yZD4qUmVmZXJyYWwgYW5kIENvbnN1bHRh
dGlvbi9zbiBbU3RhdGlzdGljcyAmYW1wOyBOdW1lcmljYWwgRGF0YV08L2tleXdvcmQ+PGtleXdv
cmQ+UmVmZXJyYWwgYW5kIENvbnN1bHRhdGlvbi90ZCBbVHJlbmRzXTwva2V5d29yZD48L2tleXdv
cmRzPjxkYXRlcz48eWVhcj4yMDEzPC95ZWFyPjxwdWItZGF0ZXM+PGRhdGU+QXByIDIzPC9kYXRl
PjwvcHViLWRhdGVzPjwvZGF0ZXM+PGlzYm4+MTQ3Mi02OTYzPC9pc2JuPjxhY2Nlc3Npb24tbnVt
PjIzNjE3Mjk2PC9hY2Nlc3Npb24tbnVtPjx1cmxzPjxyZWxhdGVkLXVybHM+PHVybD5odHRwczov
L292aWRzcC5vdmlkLmNvbS9vdmlkd2ViLmNnaT9UPUpTJmFtcDtDU0M9WSZhbXA7TkVXUz1OJmFt
cDtQQUdFPWZ1bGx0ZXh0JmFtcDtEPW1lZDEwJmFtcDtBTj0yMzYxNzI5NjwvdXJsPjx1cmw+aHR0
cDovL29wZW51cmwuYmlic3lzLm5vL29wZW51cmw/b3Rvb2w9aW5vaXBobGliP3NpZD1PVklEOm1l
ZGxpbmUmYW1wO2lkPXBtaWQ6MjM2MTcyOTYmYW1wO2lkPWRvaToxMC4xMTg2JTJGMTQ3Mi02OTYz
LTEzLTE0NyZhbXA7aXNzbj0xNDcyLTY5NjMmYW1wO2lzYm49JmFtcDt2b2x1bWU9MTMmYW1wO2lz
c3VlPTEmYW1wO3NwYWdlPTE0NyZhbXA7cGFnZXM9MTQ3JmFtcDtkYXRlPTIwMTMmYW1wO3RpdGxl
PUJNQytIZWFsdGgrU2VydmljZXMrUmVzZWFyY2gmYW1wO2F0aXRsZT1IaWdoK3JlZmVycmFsK3Jh
dGVzK3RvK3NlY29uZGFyeStjYXJlK2J5K2dlbmVyYWwrcHJhY3RpdGlvbmVycytpbitOb3J3YXkr
YXJlK2Fzc29jaWF0ZWQrd2l0aCtHUHMlMjcrZ2VuZGVyK2FuZCtzcGVjaWFsaXN0K3F1YWxpZmlj
YXRpb25zK2luK2ZhbWlseSttZWRpY2luZSUyQythK3N0dWR5K29mKzQzNTArY29uc3VsdGF0aW9u
cy4mYW1wO2F1bGFzdD1SaW5nYmVyZyZhbXA7cGlkPSUzQ2F1dGhvciUzRVJpbmdiZXJnK1UlM0Ml
MkZhdXRob3IlM0UlM0NBTiUzRTIzNjE3Mjk2JTNDJTJGQU4lM0UlM0NEVCUzRUpvdXJuYWwrQXJ0
aWNsZSUzQyUyRkRUJTNFPC91cmw+PC9yZWxhdGVkLXVybHM+PC91cmxzPjxyZW1vdGUtZGF0YWJh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4654FD">
        <w:instrText xml:space="preserve"> ADDIN EN.CITE </w:instrText>
      </w:r>
      <w:r w:rsidR="004654FD">
        <w:fldChar w:fldCharType="begin">
          <w:fldData xml:space="preserve">PEVuZE5vdGU+PENpdGU+PEF1dGhvcj5SaW5nYmVyZzwvQXV0aG9yPjxZZWFyPjIwMTM8L1llYXI+
PFJlY051bT4zMjg8L1JlY051bT48RGlzcGxheVRleHQ+KFJpbmdiZXJnIGV0IGFsLiwgMjAxMyk8
L0Rpc3BsYXlUZXh0PjxyZWNvcmQ+PHJlYy1udW1iZXI+MzI4PC9yZWMtbnVtYmVyPjxmb3JlaWdu
LWtleXM+PGtleSBhcHA9IkVOIiBkYi1pZD0iOTV0cHIydHA2cjl4d29lYTlyYjV3ZHN6NWRzNXhl
ZGR0ZWV3IiB0aW1lc3RhbXA9IjE2ODAwNjk1MTEiPjMyODwva2V5PjwvZm9yZWlnbi1rZXlzPjxy
ZWYtdHlwZSBuYW1lPSJKb3VybmFsIEFydGljbGUiPjE3PC9yZWYtdHlwZT48Y29udHJpYnV0b3Jz
PjxhdXRob3JzPjxhdXRob3I+UmluZ2JlcmcsIFUuPC9hdXRob3I+PGF1dGhvcj5GbGV0ZW4sIE4u
PC9hdXRob3I+PGF1dGhvcj5EZXJhYXMsIFQuIFMuPC9hdXRob3I+PGF1dGhvcj5IYXN2b2xkLCBU
LjwvYXV0aG9yPjxhdXRob3I+Rm9yZGUsIE8uPC9hdXRob3I+PC9hdXRob3JzPjwvY29udHJpYnV0
b3JzPjxhdXRoLWFkZHJlc3M+UmluZ2JlcmcsIFVubmkuIEZhY3VsdHkgb2YgSGVhbHRoIFNjaWVu
Y2VzLCBEZXBhcnRtZW50IG9mIENvbW11bml0eSBNZWRpY2luZSwgVW5pdmVyc2l0eSBvZiBUcm9t
c28sIFRyb21zbywgTm9yd2F5LiB1bm5pLnJpbmdiZXJnQHVpdC5ubzwvYXV0aC1hZGRyZXNzPjx0
aXRsZXM+PHRpdGxlPkhpZ2ggcmVmZXJyYWwgcmF0ZXMgdG8gc2Vjb25kYXJ5IGNhcmUgYnkgZ2Vu
ZXJhbCBwcmFjdGl0aW9uZXJzIGluIE5vcndheSBhcmUgYXNzb2NpYXRlZCB3aXRoIEdQcyZhcG9z
OyBnZW5kZXIgYW5kIHNwZWNpYWxpc3QgcXVhbGlmaWNhdGlvbnMgaW4gZmFtaWx5IG1lZGljaW5l
LCBhIHN0dWR5IG9mIDQzNTAgY29uc3VsdGF0aW9uczwvdGl0bGU+PHNlY29uZGFyeS10aXRsZT5C
TUMgSGVhbHRoIFNlcnZpY2VzIFJlc2VhcmNoPC9zZWNvbmRhcnktdGl0bGU+PGFsdC10aXRsZT5C
TUMgSGVhbHRoIFNlcnYgUmVzPC9hbHQtdGl0bGU+PC90aXRsZXM+PGFsdC1wZXJpb2RpY2FsPjxm
dWxsLXRpdGxlPkJNQyBIZWFsdGggU2VydiBSZXM8L2Z1bGwtdGl0bGU+PC9hbHQtcGVyaW9kaWNh
bD48cGFnZXM+MTQ3PC9wYWdlcz48dm9sdW1lPjEzPC92b2x1bWU+PGtleXdvcmRzPjxrZXl3b3Jk
PkNsaW5pY2FsIENvbXBldGVuY2U8L2tleXdvcmQ+PGtleXdvcmQ+RmVtYWxlPC9rZXl3b3JkPjxr
ZXl3b3JkPkdlbmVyYWwgUHJhY3RpdGlvbmVyczwva2V5d29yZD48a2V5d29yZD5IdW1hbnM8L2tl
eXdvcmQ+PGtleXdvcmQ+TWFsZTwva2V5d29yZD48a2V5d29yZD5QcmFjdGljZSBQYXR0ZXJucywg
UGh5c2ljaWFucyZhcG9zOzwva2V5d29yZD48a2V5d29yZD4qUmVmZXJyYWwgYW5kIENvbnN1bHRh
dGlvbi9zbiBbU3RhdGlzdGljcyAmYW1wOyBOdW1lcmljYWwgRGF0YV08L2tleXdvcmQ+PGtleXdv
cmQ+UmVmZXJyYWwgYW5kIENvbnN1bHRhdGlvbi90ZCBbVHJlbmRzXTwva2V5d29yZD48L2tleXdv
cmRzPjxkYXRlcz48eWVhcj4yMDEzPC95ZWFyPjxwdWItZGF0ZXM+PGRhdGU+QXByIDIzPC9kYXRl
PjwvcHViLWRhdGVzPjwvZGF0ZXM+PGlzYm4+MTQ3Mi02OTYzPC9pc2JuPjxhY2Nlc3Npb24tbnVt
PjIzNjE3Mjk2PC9hY2Nlc3Npb24tbnVtPjx1cmxzPjxyZWxhdGVkLXVybHM+PHVybD5odHRwczov
L292aWRzcC5vdmlkLmNvbS9vdmlkd2ViLmNnaT9UPUpTJmFtcDtDU0M9WSZhbXA7TkVXUz1OJmFt
cDtQQUdFPWZ1bGx0ZXh0JmFtcDtEPW1lZDEwJmFtcDtBTj0yMzYxNzI5NjwvdXJsPjx1cmw+aHR0
cDovL29wZW51cmwuYmlic3lzLm5vL29wZW51cmw/b3Rvb2w9aW5vaXBobGliP3NpZD1PVklEOm1l
ZGxpbmUmYW1wO2lkPXBtaWQ6MjM2MTcyOTYmYW1wO2lkPWRvaToxMC4xMTg2JTJGMTQ3Mi02OTYz
LTEzLTE0NyZhbXA7aXNzbj0xNDcyLTY5NjMmYW1wO2lzYm49JmFtcDt2b2x1bWU9MTMmYW1wO2lz
c3VlPTEmYW1wO3NwYWdlPTE0NyZhbXA7cGFnZXM9MTQ3JmFtcDtkYXRlPTIwMTMmYW1wO3RpdGxl
PUJNQytIZWFsdGgrU2VydmljZXMrUmVzZWFyY2gmYW1wO2F0aXRsZT1IaWdoK3JlZmVycmFsK3Jh
dGVzK3RvK3NlY29uZGFyeStjYXJlK2J5K2dlbmVyYWwrcHJhY3RpdGlvbmVycytpbitOb3J3YXkr
YXJlK2Fzc29jaWF0ZWQrd2l0aCtHUHMlMjcrZ2VuZGVyK2FuZCtzcGVjaWFsaXN0K3F1YWxpZmlj
YXRpb25zK2luK2ZhbWlseSttZWRpY2luZSUyQythK3N0dWR5K29mKzQzNTArY29uc3VsdGF0aW9u
cy4mYW1wO2F1bGFzdD1SaW5nYmVyZyZhbXA7cGlkPSUzQ2F1dGhvciUzRVJpbmdiZXJnK1UlM0Ml
MkZhdXRob3IlM0UlM0NBTiUzRTIzNjE3Mjk2JTNDJTJGQU4lM0UlM0NEVCUzRUpvdXJuYWwrQXJ0
aWNsZSUzQyUyRkRUJTNFPC91cmw+PC9yZWxhdGVkLXVybHM+PC91cmxzPjxyZW1vdGUtZGF0YWJh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4654FD">
        <w:instrText xml:space="preserve"> ADDIN EN.CITE.DATA </w:instrText>
      </w:r>
      <w:r w:rsidR="004654FD">
        <w:fldChar w:fldCharType="end"/>
      </w:r>
      <w:r w:rsidR="00E10A29">
        <w:fldChar w:fldCharType="separate"/>
      </w:r>
      <w:r w:rsidR="004654FD">
        <w:rPr>
          <w:noProof/>
        </w:rPr>
        <w:t>(Ringberg et al., 2013)</w:t>
      </w:r>
      <w:r w:rsidR="00E10A29">
        <w:fldChar w:fldCharType="end"/>
      </w:r>
      <w:r w:rsidR="008F73A7">
        <w:t>.</w:t>
      </w:r>
      <w:r>
        <w:t xml:space="preserve"> Riksrevisjonens undersøkelse av henvisningspraksis konkluderer med at unødvendige henvisninger og henvisninger med dårlig kvalitet</w:t>
      </w:r>
      <w:r w:rsidR="0057465A">
        <w:t>,</w:t>
      </w:r>
      <w:r>
        <w:t xml:space="preserve"> fører til at ressursene i helsetjenesten ikke utnyttes på en måte som gir best nytte for pasientene</w:t>
      </w:r>
      <w:r w:rsidR="0042283C">
        <w:t xml:space="preserve"> </w:t>
      </w:r>
      <w:r w:rsidR="00BA149F">
        <w:fldChar w:fldCharType="begin"/>
      </w:r>
      <w:r w:rsidR="004654FD">
        <w:instrText xml:space="preserve"> ADDIN EN.CITE &lt;EndNote&gt;&lt;Cite&gt;&lt;Author&gt;Riksrevisjonen&lt;/Author&gt;&lt;Year&gt;2018&lt;/Year&gt;&lt;RecNum&gt;712&lt;/RecNum&gt;&lt;DisplayText&gt;(Riksrevisjonen, 2018)&lt;/DisplayText&gt;&lt;record&gt;&lt;rec-number&gt;712&lt;/rec-number&gt;&lt;foreign-keys&gt;&lt;key app="EN" db-id="95tpr2tp6r9xwoea9rb5wdsz5ds5xeddteew" timestamp="1680069511"&gt;712&lt;/key&gt;&lt;/foreign-keys&gt;&lt;ref-type name="Report"&gt;27&lt;/ref-type&gt;&lt;contributors&gt;&lt;authors&gt;&lt;author&gt;Riksrevisjonen&lt;/author&gt;&lt;/authors&gt;&lt;/contributors&gt;&lt;titles&gt;&lt;title&gt;Riksrevisjonens undersøkelse av myndighetenes arbeid med å sikre god henvisningspraksis fra fastlegene til spesialisthelsetjenesten&lt;/title&gt;&lt;secondary-title&gt;Dokument 3:4 (2017-2018)&lt;/secondary-title&gt;&lt;/titles&gt;&lt;dates&gt;&lt;year&gt;2018&lt;/year&gt;&lt;/dates&gt;&lt;publisher&gt;Riksrevisjonen&lt;/publisher&gt;&lt;urls&gt;&lt;/urls&gt;&lt;/record&gt;&lt;/Cite&gt;&lt;/EndNote&gt;</w:instrText>
      </w:r>
      <w:r w:rsidR="00BA149F">
        <w:fldChar w:fldCharType="separate"/>
      </w:r>
      <w:r w:rsidR="00BA149F">
        <w:rPr>
          <w:noProof/>
        </w:rPr>
        <w:t>(Riksrevisjonen, 2018)</w:t>
      </w:r>
      <w:r w:rsidR="00BA149F">
        <w:fldChar w:fldCharType="end"/>
      </w:r>
      <w:r>
        <w:t>. Basert på undersøkelsen</w:t>
      </w:r>
      <w:r w:rsidR="0057465A">
        <w:t>,</w:t>
      </w:r>
      <w:r>
        <w:t xml:space="preserve"> konkluderer de med at mange fastleger jevnlig </w:t>
      </w:r>
      <w:r w:rsidR="0057465A">
        <w:t xml:space="preserve">henviser </w:t>
      </w:r>
      <w:r>
        <w:t xml:space="preserve">pasienter til sykehus selv om de ikke forventer medisinsk nytte av </w:t>
      </w:r>
      <w:r w:rsidR="0057465A">
        <w:t xml:space="preserve">videre </w:t>
      </w:r>
      <w:r>
        <w:t>utredning</w:t>
      </w:r>
      <w:r w:rsidR="00B86327">
        <w:t xml:space="preserve"> eller </w:t>
      </w:r>
      <w:r>
        <w:t xml:space="preserve">behandling. </w:t>
      </w:r>
      <w:r w:rsidR="00680EA0">
        <w:t>E</w:t>
      </w:r>
      <w:r>
        <w:t>n nylig studie</w:t>
      </w:r>
      <w:r w:rsidR="4D9EABD4">
        <w:t xml:space="preserve"> </w:t>
      </w:r>
      <w:r w:rsidR="00872101">
        <w:fldChar w:fldCharType="begin">
          <w:fldData xml:space="preserve">PEVuZE5vdGU+PENpdGU+PEF1dGhvcj5OeW1vZW48L0F1dGhvcj48WWVhcj4yMDIyPC9ZZWFyPjxS
ZWNOdW0+MzcyPC9SZWNOdW0+PERpc3BsYXlUZXh0PihOeW1vZW4gZXQgYWwuLCAyMDIyKTwvRGlz
cGxheVRleHQ+PHJlY29yZD48cmVjLW51bWJlcj4zNzI8L3JlYy1udW1iZXI+PGZvcmVpZ24ta2V5
cz48a2V5IGFwcD0iRU4iIGRiLWlkPSI5NXRwcjJ0cDZyOXh3b2VhOXJiNXdkc3o1ZHM1eGVkZHRl
ZXciIHRpbWVzdGFtcD0iMTY4MDA2OTUxMSI+MzcyPC9rZXk+PC9mb3JlaWduLWtleXM+PHJlZi10
eXBlIG5hbWU9IkpvdXJuYWwgQXJ0aWNsZSI+MTc8L3JlZi10eXBlPjxjb250cmlidXRvcnM+PGF1
dGhvcnM+PGF1dGhvcj5OeW1vZW4sIE0uPC9hdXRob3I+PGF1dGhvcj5CaXJpbmdlciwgRS48L2F1
dGhvcj48YXV0aG9yPkhldGxldmlrLCBPLjwvYXV0aG9yPjxhdXRob3I+VGhvcnNlbiwgTy48L2F1
dGhvcj48YXV0aG9yPkFzc211cywgSi48L2F1dGhvcj48YXV0aG9yPkhhcnR2ZWl0LCBNLjwvYXV0
aG9yPjwvYXV0aG9ycz48L2NvbnRyaWJ1dG9ycz48YXV0aC1hZGRyZXNzPk55bW9lbiwgTWFyaXQu
IERlcGFydG1lbnQgb2YgUmVzZWFyY2ggYW5kIElubm92YXRpb24sIEhlbHNlIEZvbm5hIEhlYWx0
aCBUcnVzdCwgSGF1Z2VzdW5kLCBOb3J3YXkuIE1hcml0Lk55bW9lbkB1aWIubm8uJiN4RDtOeW1v
ZW4sIE1hcml0LiBEZXBhcnRtZW50IG9mIEdsb2JhbCBQdWJsaWMgSGVhbHRoIGFuZCBQcmltYXJ5
IENhcmUsIFVuaXZlcnNpdHkgb2YgQmVyZ2VuLCBCZXJnZW4sIE5vcndheS4gTWFyaXQuTnltb2Vu
QHVpYi5uby4mI3hEO0JpcmluZ2VyLCBFdmEuIERlcGFydG1lbnQgb2YgUmVzZWFyY2ggYW5kIElu
bm92YXRpb24sIEhlbHNlIEZvbm5hIEhlYWx0aCBUcnVzdCwgSGF1Z2VzdW5kLCBOb3J3YXkuJiN4
RDtIZXRsZXZpaywgT3lzdGVpbi4gRGVwYXJ0bWVudCBvZiBHbG9iYWwgUHVibGljIEhlYWx0aCBh
bmQgUHJpbWFyeSBDYXJlLCBVbml2ZXJzaXR5IG9mIEJlcmdlbiwgQmVyZ2VuLCBOb3J3YXkuJiN4
RDtUaG9yc2VuLCBPbGF2LiBUaGUgR2VuZXJhbCBQcmFjdGljZSBhbmQgQ2FyZSBDb29yZGluYXRp
b24gUmVzZWFyY2ggR3JvdXAsIFN0YXZhbmdlciBVbml2ZXJzaXR5IEhvc3BpdGFsLCBTdGF2YW5n
ZXIsIE5vcndheS4mI3hEO0Fzc211cywgSm9yZy4gQ2VudGVyIGZvciBDbGluaWNhbCBSZXNlYXJj
aCwgSGF1a2VsYW5kIFVuaXZlcnNpdHkgSG9zcGl0YWwsIEJlcmdlbiwgTm9yd2F5LiYjeEQ7SGFy
dHZlaXQsIE1pcmlhbS4gRGVwYXJ0bWVudCBvZiBSZXNlYXJjaCBhbmQgSW5ub3ZhdGlvbiwgSGVs
c2UgRm9ubmEgSGVhbHRoIFRydXN0LCBIYXVnZXN1bmQsIE5vcndheS4mI3hEO0hhcnR2ZWl0LCBN
aXJpYW0uIERlcGFydG1lbnQgb2YgR2xvYmFsIFB1YmxpYyBIZWFsdGggYW5kIFByaW1hcnkgQ2Fy
ZSwgVW5pdmVyc2l0eSBvZiBCZXJnZW4sIEJlcmdlbiwgTm9yd2F5LjwvYXV0aC1hZGRyZXNzPjx0
aXRsZXM+PHRpdGxlPlRoZSBpbXBhY3Qgb2YgcmVmZXJyYWwgbGV0dGVyIHF1YWxpdHkgb24gdGlt
ZWx5IGFjY2VzcyB0byBzcGVjaWFsaXNlZCBtZW50YWwgaGVhbHRoIGNhcmU6IGEgcXVhbnRpdGF0
aXZlIHN0dWR5IG9mIHRoZSByZWxpYWJpbGl0eSBvZiBwYXRpZW50IHRyaWFnZTwvdGl0bGU+PHNl
Y29uZGFyeS10aXRsZT5CTUMgSGVhbHRoIFNlcnZpY2VzIFJlc2VhcmNoPC9zZWNvbmRhcnktdGl0
bGU+PGFsdC10aXRsZT5CTUMgSGVhbHRoIFNlcnYgUmVzPC9hbHQtdGl0bGU+PC90aXRsZXM+PGFs
dC1wZXJpb2RpY2FsPjxmdWxsLXRpdGxlPkJNQyBIZWFsdGggU2VydiBSZXM8L2Z1bGwtdGl0bGU+
PC9hbHQtcGVyaW9kaWNhbD48cGFnZXM+NzM1PC9wYWdlcz48dm9sdW1lPjIyPC92b2x1bWU+PG51
bWJlcj4xPC9udW1iZXI+PGtleXdvcmRzPjxrZXl3b3JkPkh1bWFuczwva2V5d29yZD48a2V5d29y
ZD4qTWVudGFsIEhlYWx0aDwva2V5d29yZD48a2V5d29yZD5Ob3J3YXk8L2tleXdvcmQ+PGtleXdv
cmQ+UmVmZXJyYWwgYW5kIENvbnN1bHRhdGlvbjwva2V5d29yZD48a2V5d29yZD5SZXByb2R1Y2li
aWxpdHkgb2YgUmVzdWx0czwva2V5d29yZD48a2V5d29yZD4qVHJpYWdlPC9rZXl3b3JkPjwva2V5
d29yZHM+PGRhdGVzPjx5ZWFyPjIwMjI8L3llYXI+PHB1Yi1kYXRlcz48ZGF0ZT5KdW4gMDI8L2Rh
dGU+PC9wdWItZGF0ZXM+PC9kYXRlcz48aXNibj4xNDcyLTY5NjM8L2lzYm4+PGFjY2Vzc2lvbi1u
dW0+MzU2NTUzMDI8L2FjY2Vzc2lvbi1udW0+PHVybHM+PHJlbGF0ZWQtdXJscz48dXJsPmh0dHBz
Oi8vb3ZpZHNwLm92aWQuY29tL292aWR3ZWIuY2dpP1Q9SlMmYW1wO0NTQz1ZJmFtcDtORVdTPU4m
YW1wO1BBR0U9ZnVsbHRleHQmYW1wO0Q9bWVkMjImYW1wO0FOPTM1NjU1MzAyPC91cmw+PHVybD5o
dHRwOi8vb3BlbnVybC5iaWJzeXMubm8vb3BlbnVybD9vdG9vbD1pbm9pcGhsaWI/c2lkPU9WSUQ6
bWVkbGluZSZhbXA7aWQ9cG1pZDozNTY1NTMwMiZhbXA7aWQ9ZG9pOjEwLjExODYlMkZzMTI5MTMt
MDIyLTA4MTM5LTMmYW1wO2lzc249MTQ3Mi02OTYzJmFtcDtpc2JuPSZhbXA7dm9sdW1lPTIyJmFt
cDtpc3N1ZT0xJmFtcDtzcGFnZT03MzUmYW1wO3BhZ2VzPTczNSZhbXA7ZGF0ZT0yMDIyJmFtcDt0
aXRsZT1CTUMrSGVhbHRoK1NlcnZpY2VzK1Jlc2VhcmNoJmFtcDthdGl0bGU9VGhlK2ltcGFjdCtv
ZityZWZlcnJhbCtsZXR0ZXIrcXVhbGl0eStvbit0aW1lbHkrYWNjZXNzK3RvK3NwZWNpYWxpc2Vk
K21lbnRhbCtoZWFsdGgrY2FyZSUzQSthK3F1YW50aXRhdGl2ZStzdHVkeStvZit0aGUrcmVsaWFi
aWxpdHkrb2YrcGF0aWVudCt0cmlhZ2UuJmFtcDthdWxhc3Q9Tnltb2VuJmFtcDtwaWQ9JTNDYXV0
aG9yJTNFTnltb2VuK00lM0MlMkZhdXRob3IlM0UlM0NBTiUzRTM1NjU1MzAyJTNDJTJGQU4lM0Ul
M0NEVCUzRUpvdXJuYWwrQXJ0aWNsZSUzQyUyRkRUJTNFPC91cmw+PC9yZWxhdGVkLXVybHM+PC91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004654FD">
        <w:instrText xml:space="preserve"> ADDIN EN.CITE </w:instrText>
      </w:r>
      <w:r w:rsidR="004654FD">
        <w:fldChar w:fldCharType="begin">
          <w:fldData xml:space="preserve">PEVuZE5vdGU+PENpdGU+PEF1dGhvcj5OeW1vZW48L0F1dGhvcj48WWVhcj4yMDIyPC9ZZWFyPjxS
ZWNOdW0+MzcyPC9SZWNOdW0+PERpc3BsYXlUZXh0PihOeW1vZW4gZXQgYWwuLCAyMDIyKTwvRGlz
cGxheVRleHQ+PHJlY29yZD48cmVjLW51bWJlcj4zNzI8L3JlYy1udW1iZXI+PGZvcmVpZ24ta2V5
cz48a2V5IGFwcD0iRU4iIGRiLWlkPSI5NXRwcjJ0cDZyOXh3b2VhOXJiNXdkc3o1ZHM1eGVkZHRl
ZXciIHRpbWVzdGFtcD0iMTY4MDA2OTUxMSI+MzcyPC9rZXk+PC9mb3JlaWduLWtleXM+PHJlZi10
eXBlIG5hbWU9IkpvdXJuYWwgQXJ0aWNsZSI+MTc8L3JlZi10eXBlPjxjb250cmlidXRvcnM+PGF1
dGhvcnM+PGF1dGhvcj5OeW1vZW4sIE0uPC9hdXRob3I+PGF1dGhvcj5CaXJpbmdlciwgRS48L2F1
dGhvcj48YXV0aG9yPkhldGxldmlrLCBPLjwvYXV0aG9yPjxhdXRob3I+VGhvcnNlbiwgTy48L2F1
dGhvcj48YXV0aG9yPkFzc211cywgSi48L2F1dGhvcj48YXV0aG9yPkhhcnR2ZWl0LCBNLjwvYXV0
aG9yPjwvYXV0aG9ycz48L2NvbnRyaWJ1dG9ycz48YXV0aC1hZGRyZXNzPk55bW9lbiwgTWFyaXQu
IERlcGFydG1lbnQgb2YgUmVzZWFyY2ggYW5kIElubm92YXRpb24sIEhlbHNlIEZvbm5hIEhlYWx0
aCBUcnVzdCwgSGF1Z2VzdW5kLCBOb3J3YXkuIE1hcml0Lk55bW9lbkB1aWIubm8uJiN4RDtOeW1v
ZW4sIE1hcml0LiBEZXBhcnRtZW50IG9mIEdsb2JhbCBQdWJsaWMgSGVhbHRoIGFuZCBQcmltYXJ5
IENhcmUsIFVuaXZlcnNpdHkgb2YgQmVyZ2VuLCBCZXJnZW4sIE5vcndheS4gTWFyaXQuTnltb2Vu
QHVpYi5uby4mI3hEO0JpcmluZ2VyLCBFdmEuIERlcGFydG1lbnQgb2YgUmVzZWFyY2ggYW5kIElu
bm92YXRpb24sIEhlbHNlIEZvbm5hIEhlYWx0aCBUcnVzdCwgSGF1Z2VzdW5kLCBOb3J3YXkuJiN4
RDtIZXRsZXZpaywgT3lzdGVpbi4gRGVwYXJ0bWVudCBvZiBHbG9iYWwgUHVibGljIEhlYWx0aCBh
bmQgUHJpbWFyeSBDYXJlLCBVbml2ZXJzaXR5IG9mIEJlcmdlbiwgQmVyZ2VuLCBOb3J3YXkuJiN4
RDtUaG9yc2VuLCBPbGF2LiBUaGUgR2VuZXJhbCBQcmFjdGljZSBhbmQgQ2FyZSBDb29yZGluYXRp
b24gUmVzZWFyY2ggR3JvdXAsIFN0YXZhbmdlciBVbml2ZXJzaXR5IEhvc3BpdGFsLCBTdGF2YW5n
ZXIsIE5vcndheS4mI3hEO0Fzc211cywgSm9yZy4gQ2VudGVyIGZvciBDbGluaWNhbCBSZXNlYXJj
aCwgSGF1a2VsYW5kIFVuaXZlcnNpdHkgSG9zcGl0YWwsIEJlcmdlbiwgTm9yd2F5LiYjeEQ7SGFy
dHZlaXQsIE1pcmlhbS4gRGVwYXJ0bWVudCBvZiBSZXNlYXJjaCBhbmQgSW5ub3ZhdGlvbiwgSGVs
c2UgRm9ubmEgSGVhbHRoIFRydXN0LCBIYXVnZXN1bmQsIE5vcndheS4mI3hEO0hhcnR2ZWl0LCBN
aXJpYW0uIERlcGFydG1lbnQgb2YgR2xvYmFsIFB1YmxpYyBIZWFsdGggYW5kIFByaW1hcnkgQ2Fy
ZSwgVW5pdmVyc2l0eSBvZiBCZXJnZW4sIEJlcmdlbiwgTm9yd2F5LjwvYXV0aC1hZGRyZXNzPjx0
aXRsZXM+PHRpdGxlPlRoZSBpbXBhY3Qgb2YgcmVmZXJyYWwgbGV0dGVyIHF1YWxpdHkgb24gdGlt
ZWx5IGFjY2VzcyB0byBzcGVjaWFsaXNlZCBtZW50YWwgaGVhbHRoIGNhcmU6IGEgcXVhbnRpdGF0
aXZlIHN0dWR5IG9mIHRoZSByZWxpYWJpbGl0eSBvZiBwYXRpZW50IHRyaWFnZTwvdGl0bGU+PHNl
Y29uZGFyeS10aXRsZT5CTUMgSGVhbHRoIFNlcnZpY2VzIFJlc2VhcmNoPC9zZWNvbmRhcnktdGl0
bGU+PGFsdC10aXRsZT5CTUMgSGVhbHRoIFNlcnYgUmVzPC9hbHQtdGl0bGU+PC90aXRsZXM+PGFs
dC1wZXJpb2RpY2FsPjxmdWxsLXRpdGxlPkJNQyBIZWFsdGggU2VydiBSZXM8L2Z1bGwtdGl0bGU+
PC9hbHQtcGVyaW9kaWNhbD48cGFnZXM+NzM1PC9wYWdlcz48dm9sdW1lPjIyPC92b2x1bWU+PG51
bWJlcj4xPC9udW1iZXI+PGtleXdvcmRzPjxrZXl3b3JkPkh1bWFuczwva2V5d29yZD48a2V5d29y
ZD4qTWVudGFsIEhlYWx0aDwva2V5d29yZD48a2V5d29yZD5Ob3J3YXk8L2tleXdvcmQ+PGtleXdv
cmQ+UmVmZXJyYWwgYW5kIENvbnN1bHRhdGlvbjwva2V5d29yZD48a2V5d29yZD5SZXByb2R1Y2li
aWxpdHkgb2YgUmVzdWx0czwva2V5d29yZD48a2V5d29yZD4qVHJpYWdlPC9rZXl3b3JkPjwva2V5
d29yZHM+PGRhdGVzPjx5ZWFyPjIwMjI8L3llYXI+PHB1Yi1kYXRlcz48ZGF0ZT5KdW4gMDI8L2Rh
dGU+PC9wdWItZGF0ZXM+PC9kYXRlcz48aXNibj4xNDcyLTY5NjM8L2lzYm4+PGFjY2Vzc2lvbi1u
dW0+MzU2NTUzMDI8L2FjY2Vzc2lvbi1udW0+PHVybHM+PHJlbGF0ZWQtdXJscz48dXJsPmh0dHBz
Oi8vb3ZpZHNwLm92aWQuY29tL292aWR3ZWIuY2dpP1Q9SlMmYW1wO0NTQz1ZJmFtcDtORVdTPU4m
YW1wO1BBR0U9ZnVsbHRleHQmYW1wO0Q9bWVkMjImYW1wO0FOPTM1NjU1MzAyPC91cmw+PHVybD5o
dHRwOi8vb3BlbnVybC5iaWJzeXMubm8vb3BlbnVybD9vdG9vbD1pbm9pcGhsaWI/c2lkPU9WSUQ6
bWVkbGluZSZhbXA7aWQ9cG1pZDozNTY1NTMwMiZhbXA7aWQ9ZG9pOjEwLjExODYlMkZzMTI5MTMt
MDIyLTA4MTM5LTMmYW1wO2lzc249MTQ3Mi02OTYzJmFtcDtpc2JuPSZhbXA7dm9sdW1lPTIyJmFt
cDtpc3N1ZT0xJmFtcDtzcGFnZT03MzUmYW1wO3BhZ2VzPTczNSZhbXA7ZGF0ZT0yMDIyJmFtcDt0
aXRsZT1CTUMrSGVhbHRoK1NlcnZpY2VzK1Jlc2VhcmNoJmFtcDthdGl0bGU9VGhlK2ltcGFjdCtv
ZityZWZlcnJhbCtsZXR0ZXIrcXVhbGl0eStvbit0aW1lbHkrYWNjZXNzK3RvK3NwZWNpYWxpc2Vk
K21lbnRhbCtoZWFsdGgrY2FyZSUzQSthK3F1YW50aXRhdGl2ZStzdHVkeStvZit0aGUrcmVsaWFi
aWxpdHkrb2YrcGF0aWVudCt0cmlhZ2UuJmFtcDthdWxhc3Q9Tnltb2VuJmFtcDtwaWQ9JTNDYXV0
aG9yJTNFTnltb2VuK00lM0MlMkZhdXRob3IlM0UlM0NBTiUzRTM1NjU1MzAyJTNDJTJGQU4lM0Ul
M0NEVCUzRUpvdXJuYWwrQXJ0aWNsZSUzQyUyRkRUJTNFPC91cmw+PC9yZWxhdGVkLXVybHM+PC91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004654FD">
        <w:instrText xml:space="preserve"> ADDIN EN.CITE.DATA </w:instrText>
      </w:r>
      <w:r w:rsidR="004654FD">
        <w:fldChar w:fldCharType="end"/>
      </w:r>
      <w:r w:rsidR="00872101">
        <w:fldChar w:fldCharType="separate"/>
      </w:r>
      <w:r w:rsidR="00872101">
        <w:rPr>
          <w:noProof/>
        </w:rPr>
        <w:t>(Nymoen et al., 2022)</w:t>
      </w:r>
      <w:r w:rsidR="00872101">
        <w:fldChar w:fldCharType="end"/>
      </w:r>
      <w:r>
        <w:t xml:space="preserve"> av kvaliteten på fastlegenes henvisningsbrev til psykiatrisk spesialisthelsetjeneste</w:t>
      </w:r>
      <w:r w:rsidR="00680EA0">
        <w:t>,</w:t>
      </w:r>
      <w:r>
        <w:t xml:space="preserve"> finner at </w:t>
      </w:r>
      <w:r w:rsidR="00A16CDE">
        <w:t xml:space="preserve">det </w:t>
      </w:r>
      <w:r>
        <w:t>i 54 prosent av tilfellene var samsvar mellom fastlegens vurdering og vurderingen som blir gjort etter først konsultasjon i spesialisthelsetjenesten. I 27 prosent av tilfellene undervurderte fastlegen hastegraden.</w:t>
      </w:r>
    </w:p>
    <w:p w14:paraId="4BAEBE01" w14:textId="77777777" w:rsidR="00D9107F" w:rsidRDefault="008454E0" w:rsidP="00892A29">
      <w:pPr>
        <w:jc w:val="both"/>
      </w:pPr>
      <w:r>
        <w:t>En oppsummerings</w:t>
      </w:r>
      <w:r w:rsidRPr="00FF70EA">
        <w:t xml:space="preserve">artikkel </w:t>
      </w:r>
      <w:r>
        <w:t xml:space="preserve">fra </w:t>
      </w:r>
      <w:r w:rsidRPr="00FF70EA">
        <w:t xml:space="preserve">2019 konkluderer med at </w:t>
      </w:r>
      <w:r>
        <w:t>en portvaktfunksjon</w:t>
      </w:r>
      <w:r w:rsidRPr="00FF70EA">
        <w:t xml:space="preserve"> er assosiert med lavere helsetjenestebruk og kostnader, og </w:t>
      </w:r>
      <w:r>
        <w:t xml:space="preserve">generelt </w:t>
      </w:r>
      <w:r w:rsidRPr="00FF70EA">
        <w:t>bedre kvalitet,</w:t>
      </w:r>
      <w:r>
        <w:t xml:space="preserve"> (u</w:t>
      </w:r>
      <w:r w:rsidRPr="00FF70EA">
        <w:t>nntak</w:t>
      </w:r>
      <w:r>
        <w:t>et var</w:t>
      </w:r>
      <w:r w:rsidRPr="00FF70EA">
        <w:t xml:space="preserve"> dårligere overlevelse </w:t>
      </w:r>
      <w:r>
        <w:t xml:space="preserve">hos </w:t>
      </w:r>
      <w:r w:rsidRPr="00FF70EA">
        <w:t>kreftpasienter)</w:t>
      </w:r>
      <w:r>
        <w:t xml:space="preserve">, </w:t>
      </w:r>
      <w:r w:rsidRPr="00FF70EA">
        <w:t xml:space="preserve">men </w:t>
      </w:r>
      <w:r>
        <w:t>også med</w:t>
      </w:r>
      <w:r w:rsidRPr="00FF70EA">
        <w:t xml:space="preserve"> dårligere pasienttilfredshet</w:t>
      </w:r>
      <w:r>
        <w:t>.</w:t>
      </w:r>
      <w:r w:rsidRPr="00FF70EA">
        <w:t xml:space="preserve"> </w:t>
      </w:r>
      <w:r>
        <w:t>D</w:t>
      </w:r>
      <w:r w:rsidRPr="00FF70EA">
        <w:t xml:space="preserve">e fleste studiene </w:t>
      </w:r>
      <w:r>
        <w:t xml:space="preserve">var utført i </w:t>
      </w:r>
      <w:r w:rsidRPr="00FF70EA">
        <w:t xml:space="preserve">USA </w:t>
      </w:r>
      <w:r>
        <w:fldChar w:fldCharType="begin">
          <w:fldData xml:space="preserve">PEVuZE5vdGU+PENpdGU+PEF1dGhvcj5TcmlwYTwvQXV0aG9yPjxZZWFyPjIwMTk8L1llYXI+PFJl
Y051bT4zNjg8L1JlY051bT48RGlzcGxheVRleHQ+KFNyaXBhIGV0IGFsLiwgMjAxOSk8L0Rpc3Bs
YXlUZXh0PjxyZWNvcmQ+PHJlYy1udW1iZXI+MzY4PC9yZWMtbnVtYmVyPjxmb3JlaWduLWtleXM+
PGtleSBhcHA9IkVOIiBkYi1pZD0iOTV0cHIydHA2cjl4d29lYTlyYjV3ZHN6NWRzNXhlZGR0ZWV3
IiB0aW1lc3RhbXA9IjE2ODAwNjk1MTEiPjM2ODwva2V5PjwvZm9yZWlnbi1rZXlzPjxyZWYtdHlw
ZSBuYW1lPSJKb3VybmFsIEFydGljbGUiPjE3PC9yZWYtdHlwZT48Y29udHJpYnV0b3JzPjxhdXRo
b3JzPjxhdXRob3I+U3JpcGEsIFAuPC9hdXRob3I+PGF1dGhvcj5IYXlob2UsIEIuPC9hdXRob3I+
PGF1dGhvcj5HYXJnLCBQLjwvYXV0aG9yPjxhdXRob3I+TWFqZWVkLCBBLjwvYXV0aG9yPjxhdXRo
b3I+R3JlZW5maWVsZCwgRy48L2F1dGhvcj48L2F1dGhvcnM+PC9jb250cmlidXRvcnM+PGF1dGgt
YWRkcmVzcz5EZXBhcnRtZW50IG9mIFByaW1hcnkgQ2FyZSBhbmQgUHVibGljIEhlYWx0aCwgU2No
b29sIG9mIFB1YmxpYyBIZWFsdGgsIEltcGVyaWFsIENvbGxlZ2UgTG9uZG9uLCBMb25kb24sIFVL
OyBEZXBhcnRtZW50IG9mIENvbW11bml0eSBNZWRpY2luZSwgRmFjdWx0eSBvZiBNZWRpY2luZSwg
S2hvbiBLYWVuIFVuaXZlcnNpdHksIEtob24gS2FlbiwgVGhhaWxhbmQuJiN4RDtEZXBhcnRtZW50
IG9mIFByaW1hcnkgQ2FyZSBhbmQgUHVibGljIEhlYWx0aCwgU2Nob29sIG9mIFB1YmxpYyBIZWFs
dGgsIEltcGVyaWFsIENvbGxlZ2UgTG9uZG9uLCBMb25kb24sIFVLLiYjeEQ7RmFjdWx0eSBvZiBN
ZWRpY2FsIGFuZCBIZWFsdGggU2NpZW5jZXMsIFVuaXZlcnNpdHkgb2YgQXVja2xhbmQsIEF1Y2ts
YW5kLCBOZXcgWmVhbGFuZC48L2F1dGgtYWRkcmVzcz48dGl0bGVzPjx0aXRsZT5JbXBhY3Qgb2Yg
R1AgZ2F0ZWtlZXBpbmcgb24gcXVhbGl0eSBvZiBjYXJlLCBhbmQgaGVhbHRoIG91dGNvbWVzLCB1
c2UsIGFuZCBleHBlbmRpdHVyZTogYSBzeXN0ZW1hdGljIHJldmlldzwvdGl0bGU+PHNlY29uZGFy
eS10aXRsZT5CciBKIEdlbiBQcmFjdDwvc2Vjb25kYXJ5LXRpdGxlPjwvdGl0bGVzPjxwZXJpb2Rp
Y2FsPjxmdWxsLXRpdGxlPkJyIEogR2VuIFByYWN0PC9mdWxsLXRpdGxlPjwvcGVyaW9kaWNhbD48
cGFnZXM+ZTI5NC1lMzAzPC9wYWdlcz48dm9sdW1lPjY5PC92b2x1bWU+PG51bWJlcj42ODI8L251
bWJlcj48ZWRpdGlvbj4yMDE5MDMyNTwvZWRpdGlvbj48a2V5d29yZHM+PGtleXdvcmQ+KkdhdGVr
ZWVwaW5nPC9rZXl3b3JkPjxrZXl3b3JkPipHZW5lcmFsIFByYWN0aWNlL21ldGhvZHMvc3RhbmRh
cmRzPC9rZXl3b3JkPjxrZXl3b3JkPkh1bWFuczwva2V5d29yZD48a2V5d29yZD5RdWFsaXR5IG9m
IEhlYWx0aCBDYXJlPC9rZXl3b3JkPjxrZXl3b3JkPmdhdGVrZWVwaW5nPC9rZXl3b3JkPjxrZXl3
b3JkPmhlYWx0aGNhcmUgZXhwZW5kaXR1cmU8L2tleXdvcmQ+PGtleXdvcmQ+aGVhbHRoY2FyZSB1
c2U8L2tleXdvcmQ+PGtleXdvcmQ+cGF0aWVudCBjYXJlPC9rZXl3b3JkPjxrZXl3b3JkPnByaW1h
cnkgY2FyZTwva2V5d29yZD48a2V5d29yZD5yZWZlcnJhbCBhbmQgY29uc3VsdGF0aW9uPC9rZXl3
b3JkPjwva2V5d29yZHM+PGRhdGVzPjx5ZWFyPjIwMTk8L3llYXI+PHB1Yi1kYXRlcz48ZGF0ZT5N
YXk8L2RhdGU+PC9wdWItZGF0ZXM+PC9kYXRlcz48aXNibj4xNDc4LTUyNDIgKEVsZWN0cm9uaWMp
JiN4RDswOTYwLTE2NDMgKFByaW50KSYjeEQ7MDk2MC0xNjQzIChMaW5raW5nKTwvaXNibj48YWNj
ZXNzaW9uLW51bT4zMDkxMDg3NTwvYWNjZXNzaW9uLW51bT48dXJscz48cmVsYXRlZC11cmxzPjx1
cmw+aHR0cHM6Ly93d3cubmNiaS5ubG0ubmloLmdvdi9wdWJtZWQvMzA5MTA4NzU8L3VybD48L3Jl
bGF0ZWQtdXJscz48L3VybHM+PGN1c3RvbTI+UE1DNjQ3ODQ3ODwvY3VzdG9tMj48ZWxlY3Ryb25p
Yy1yZXNvdXJjZS1udW0+MTAuMzM5OS9iamdwMTlYNzAyMjA5PC9lbGVjdHJvbmljLXJlc291cmNl
LW51bT48cmVtb3RlLWRhdGFiYXNlLW5hbWU+TWVkbGluZTwvcmVtb3RlLWRhdGFiYXNlLW5hbWU+
PHJlbW90ZS1kYXRhYmFzZS1wcm92aWRlcj5OTE08L3JlbW90ZS1kYXRhYmFzZS1wcm92aWRlcj48
L3JlY29yZD48L0NpdGU+PC9FbmROb3RlPgB=
</w:fldData>
        </w:fldChar>
      </w:r>
      <w:r w:rsidR="004654FD">
        <w:instrText xml:space="preserve"> ADDIN EN.CITE </w:instrText>
      </w:r>
      <w:r w:rsidR="004654FD">
        <w:fldChar w:fldCharType="begin">
          <w:fldData xml:space="preserve">PEVuZE5vdGU+PENpdGU+PEF1dGhvcj5TcmlwYTwvQXV0aG9yPjxZZWFyPjIwMTk8L1llYXI+PFJl
Y051bT4zNjg8L1JlY051bT48RGlzcGxheVRleHQ+KFNyaXBhIGV0IGFsLiwgMjAxOSk8L0Rpc3Bs
YXlUZXh0PjxyZWNvcmQ+PHJlYy1udW1iZXI+MzY4PC9yZWMtbnVtYmVyPjxmb3JlaWduLWtleXM+
PGtleSBhcHA9IkVOIiBkYi1pZD0iOTV0cHIydHA2cjl4d29lYTlyYjV3ZHN6NWRzNXhlZGR0ZWV3
IiB0aW1lc3RhbXA9IjE2ODAwNjk1MTEiPjM2ODwva2V5PjwvZm9yZWlnbi1rZXlzPjxyZWYtdHlw
ZSBuYW1lPSJKb3VybmFsIEFydGljbGUiPjE3PC9yZWYtdHlwZT48Y29udHJpYnV0b3JzPjxhdXRo
b3JzPjxhdXRob3I+U3JpcGEsIFAuPC9hdXRob3I+PGF1dGhvcj5IYXlob2UsIEIuPC9hdXRob3I+
PGF1dGhvcj5HYXJnLCBQLjwvYXV0aG9yPjxhdXRob3I+TWFqZWVkLCBBLjwvYXV0aG9yPjxhdXRo
b3I+R3JlZW5maWVsZCwgRy48L2F1dGhvcj48L2F1dGhvcnM+PC9jb250cmlidXRvcnM+PGF1dGgt
YWRkcmVzcz5EZXBhcnRtZW50IG9mIFByaW1hcnkgQ2FyZSBhbmQgUHVibGljIEhlYWx0aCwgU2No
b29sIG9mIFB1YmxpYyBIZWFsdGgsIEltcGVyaWFsIENvbGxlZ2UgTG9uZG9uLCBMb25kb24sIFVL
OyBEZXBhcnRtZW50IG9mIENvbW11bml0eSBNZWRpY2luZSwgRmFjdWx0eSBvZiBNZWRpY2luZSwg
S2hvbiBLYWVuIFVuaXZlcnNpdHksIEtob24gS2FlbiwgVGhhaWxhbmQuJiN4RDtEZXBhcnRtZW50
IG9mIFByaW1hcnkgQ2FyZSBhbmQgUHVibGljIEhlYWx0aCwgU2Nob29sIG9mIFB1YmxpYyBIZWFs
dGgsIEltcGVyaWFsIENvbGxlZ2UgTG9uZG9uLCBMb25kb24sIFVLLiYjeEQ7RmFjdWx0eSBvZiBN
ZWRpY2FsIGFuZCBIZWFsdGggU2NpZW5jZXMsIFVuaXZlcnNpdHkgb2YgQXVja2xhbmQsIEF1Y2ts
YW5kLCBOZXcgWmVhbGFuZC48L2F1dGgtYWRkcmVzcz48dGl0bGVzPjx0aXRsZT5JbXBhY3Qgb2Yg
R1AgZ2F0ZWtlZXBpbmcgb24gcXVhbGl0eSBvZiBjYXJlLCBhbmQgaGVhbHRoIG91dGNvbWVzLCB1
c2UsIGFuZCBleHBlbmRpdHVyZTogYSBzeXN0ZW1hdGljIHJldmlldzwvdGl0bGU+PHNlY29uZGFy
eS10aXRsZT5CciBKIEdlbiBQcmFjdDwvc2Vjb25kYXJ5LXRpdGxlPjwvdGl0bGVzPjxwZXJpb2Rp
Y2FsPjxmdWxsLXRpdGxlPkJyIEogR2VuIFByYWN0PC9mdWxsLXRpdGxlPjwvcGVyaW9kaWNhbD48
cGFnZXM+ZTI5NC1lMzAzPC9wYWdlcz48dm9sdW1lPjY5PC92b2x1bWU+PG51bWJlcj42ODI8L251
bWJlcj48ZWRpdGlvbj4yMDE5MDMyNTwvZWRpdGlvbj48a2V5d29yZHM+PGtleXdvcmQ+KkdhdGVr
ZWVwaW5nPC9rZXl3b3JkPjxrZXl3b3JkPipHZW5lcmFsIFByYWN0aWNlL21ldGhvZHMvc3RhbmRh
cmRzPC9rZXl3b3JkPjxrZXl3b3JkPkh1bWFuczwva2V5d29yZD48a2V5d29yZD5RdWFsaXR5IG9m
IEhlYWx0aCBDYXJlPC9rZXl3b3JkPjxrZXl3b3JkPmdhdGVrZWVwaW5nPC9rZXl3b3JkPjxrZXl3
b3JkPmhlYWx0aGNhcmUgZXhwZW5kaXR1cmU8L2tleXdvcmQ+PGtleXdvcmQ+aGVhbHRoY2FyZSB1
c2U8L2tleXdvcmQ+PGtleXdvcmQ+cGF0aWVudCBjYXJlPC9rZXl3b3JkPjxrZXl3b3JkPnByaW1h
cnkgY2FyZTwva2V5d29yZD48a2V5d29yZD5yZWZlcnJhbCBhbmQgY29uc3VsdGF0aW9uPC9rZXl3
b3JkPjwva2V5d29yZHM+PGRhdGVzPjx5ZWFyPjIwMTk8L3llYXI+PHB1Yi1kYXRlcz48ZGF0ZT5N
YXk8L2RhdGU+PC9wdWItZGF0ZXM+PC9kYXRlcz48aXNibj4xNDc4LTUyNDIgKEVsZWN0cm9uaWMp
JiN4RDswOTYwLTE2NDMgKFByaW50KSYjeEQ7MDk2MC0xNjQzIChMaW5raW5nKTwvaXNibj48YWNj
ZXNzaW9uLW51bT4zMDkxMDg3NTwvYWNjZXNzaW9uLW51bT48dXJscz48cmVsYXRlZC11cmxzPjx1
cmw+aHR0cHM6Ly93d3cubmNiaS5ubG0ubmloLmdvdi9wdWJtZWQvMzA5MTA4NzU8L3VybD48L3Jl
bGF0ZWQtdXJscz48L3VybHM+PGN1c3RvbTI+UE1DNjQ3ODQ3ODwvY3VzdG9tMj48ZWxlY3Ryb25p
Yy1yZXNvdXJjZS1udW0+MTAuMzM5OS9iamdwMTlYNzAyMjA5PC9lbGVjdHJvbmljLXJlc291cmNl
LW51bT48cmVtb3RlLWRhdGFiYXNlLW5hbWU+TWVkbGluZTwvcmVtb3RlLWRhdGFiYXNlLW5hbWU+
PHJlbW90ZS1kYXRhYmFzZS1wcm92aWRlcj5OTE08L3JlbW90ZS1kYXRhYmFzZS1wcm92aWRlcj48
L3JlY29yZD48L0NpdGU+PC9FbmROb3RlPgB=
</w:fldData>
        </w:fldChar>
      </w:r>
      <w:r w:rsidR="004654FD">
        <w:instrText xml:space="preserve"> ADDIN EN.CITE.DATA </w:instrText>
      </w:r>
      <w:r w:rsidR="004654FD">
        <w:fldChar w:fldCharType="end"/>
      </w:r>
      <w:r>
        <w:fldChar w:fldCharType="separate"/>
      </w:r>
      <w:r w:rsidR="004654FD">
        <w:rPr>
          <w:noProof/>
        </w:rPr>
        <w:t>(Sripa et al., 2019)</w:t>
      </w:r>
      <w:r>
        <w:fldChar w:fldCharType="end"/>
      </w:r>
      <w:r w:rsidRPr="00FF70EA">
        <w:t>.</w:t>
      </w:r>
    </w:p>
    <w:p w14:paraId="0D74C87F" w14:textId="77777777" w:rsidR="00D9107F" w:rsidRDefault="7687BED1" w:rsidP="00EF390E">
      <w:pPr>
        <w:jc w:val="both"/>
        <w:rPr>
          <w:rFonts w:eastAsiaTheme="minorEastAsia"/>
          <w:color w:val="333333"/>
        </w:rPr>
      </w:pPr>
      <w:r w:rsidRPr="00FC07C2">
        <w:rPr>
          <w:rFonts w:eastAsiaTheme="minorEastAsia"/>
        </w:rPr>
        <w:lastRenderedPageBreak/>
        <w:t xml:space="preserve">Å styrke fastlegens </w:t>
      </w:r>
      <w:r w:rsidR="0056699E">
        <w:rPr>
          <w:rFonts w:eastAsiaTheme="minorEastAsia"/>
        </w:rPr>
        <w:t>kompetanse og</w:t>
      </w:r>
      <w:r w:rsidRPr="00FC07C2">
        <w:rPr>
          <w:rFonts w:eastAsiaTheme="minorEastAsia"/>
        </w:rPr>
        <w:t xml:space="preserve"> mulighet og rett til å si nei til </w:t>
      </w:r>
      <w:r w:rsidR="00C1418D">
        <w:rPr>
          <w:rFonts w:eastAsiaTheme="minorEastAsia"/>
        </w:rPr>
        <w:t xml:space="preserve">unødvendige </w:t>
      </w:r>
      <w:r w:rsidRPr="00FC07C2">
        <w:rPr>
          <w:rFonts w:eastAsiaTheme="minorEastAsia"/>
        </w:rPr>
        <w:t>henvisninger og undersøkelser</w:t>
      </w:r>
      <w:r w:rsidR="00FC3413" w:rsidRPr="00FC07C2">
        <w:rPr>
          <w:rFonts w:eastAsiaTheme="minorEastAsia"/>
        </w:rPr>
        <w:t>,</w:t>
      </w:r>
      <w:r w:rsidRPr="00FC07C2">
        <w:rPr>
          <w:rFonts w:eastAsiaTheme="minorEastAsia"/>
        </w:rPr>
        <w:t xml:space="preserve"> vil kunne spare helsevesenet for store </w:t>
      </w:r>
      <w:r w:rsidR="00163115">
        <w:rPr>
          <w:rFonts w:eastAsiaTheme="minorEastAsia"/>
        </w:rPr>
        <w:t>ressurser</w:t>
      </w:r>
      <w:r w:rsidRPr="00FC07C2">
        <w:rPr>
          <w:rFonts w:eastAsiaTheme="minorEastAsia"/>
        </w:rPr>
        <w:t xml:space="preserve">. </w:t>
      </w:r>
      <w:r w:rsidR="00114606">
        <w:rPr>
          <w:rFonts w:eastAsiaTheme="minorEastAsia"/>
        </w:rPr>
        <w:t>Ikke minst vil det</w:t>
      </w:r>
      <w:r w:rsidR="005E72D6">
        <w:rPr>
          <w:rFonts w:eastAsiaTheme="minorEastAsia"/>
        </w:rPr>
        <w:t xml:space="preserve"> redusere belastningen for pasienten knyttet til </w:t>
      </w:r>
      <w:r w:rsidR="005E72D6" w:rsidRPr="005D133B">
        <w:t>uheldige eller bortkastede helsetjenester</w:t>
      </w:r>
      <w:r w:rsidR="00F10F0F">
        <w:t>.</w:t>
      </w:r>
      <w:r>
        <w:t xml:space="preserve"> </w:t>
      </w:r>
      <w:r w:rsidRPr="00FC07C2">
        <w:rPr>
          <w:rFonts w:eastAsiaTheme="minorEastAsia"/>
        </w:rPr>
        <w:t>Dette er et område som krever mer forskning, men også støtte fra prioriteringsho</w:t>
      </w:r>
      <w:r w:rsidR="4A307AFE" w:rsidRPr="00FC07C2">
        <w:rPr>
          <w:rFonts w:eastAsiaTheme="minorEastAsia"/>
        </w:rPr>
        <w:t>ld, fra fagmiljøene som utarbeider retningslinjer, fra tilsynsmyndighetene og fra befolkningen</w:t>
      </w:r>
      <w:r w:rsidR="4A307AFE" w:rsidRPr="71F852AB">
        <w:rPr>
          <w:rFonts w:eastAsiaTheme="minorEastAsia"/>
          <w:color w:val="333333"/>
        </w:rPr>
        <w:t>.</w:t>
      </w:r>
    </w:p>
    <w:p w14:paraId="223A2E13" w14:textId="09BC0768" w:rsidR="009223EC" w:rsidRDefault="08594295" w:rsidP="00775632">
      <w:pPr>
        <w:pStyle w:val="Overskrift3"/>
      </w:pPr>
      <w:bookmarkStart w:id="1619" w:name="_Toc128238496"/>
      <w:bookmarkStart w:id="1620" w:name="_Toc128741976"/>
      <w:bookmarkStart w:id="1621" w:name="_Toc128744571"/>
      <w:bookmarkStart w:id="1622" w:name="_Toc128744790"/>
      <w:bookmarkStart w:id="1623" w:name="_Toc129630290"/>
      <w:bookmarkStart w:id="1624" w:name="_Toc130763801"/>
      <w:bookmarkStart w:id="1625" w:name="_Toc130766696"/>
      <w:bookmarkStart w:id="1626" w:name="_Toc130932096"/>
      <w:bookmarkStart w:id="1627" w:name="_Toc130934387"/>
      <w:bookmarkStart w:id="1628" w:name="_Toc130983448"/>
      <w:bookmarkStart w:id="1629" w:name="_Toc130983797"/>
      <w:bookmarkStart w:id="1630" w:name="_Toc131062123"/>
      <w:bookmarkStart w:id="1631" w:name="_Toc131062377"/>
      <w:bookmarkStart w:id="1632" w:name="_Toc131062638"/>
      <w:bookmarkStart w:id="1633" w:name="_Toc131062891"/>
      <w:bookmarkStart w:id="1634" w:name="_Toc131063659"/>
      <w:bookmarkStart w:id="1635" w:name="_Toc131064080"/>
      <w:bookmarkStart w:id="1636" w:name="_Toc131238374"/>
      <w:bookmarkStart w:id="1637" w:name="_Toc131279405"/>
      <w:bookmarkStart w:id="1638" w:name="_Toc131286817"/>
      <w:bookmarkStart w:id="1639" w:name="_Toc131281227"/>
      <w:bookmarkStart w:id="1640" w:name="_Toc131317766"/>
      <w:bookmarkStart w:id="1641" w:name="_Toc132536962"/>
      <w:r>
        <w:t>Ekspertutvalgets</w:t>
      </w:r>
      <w:r w:rsidR="2A0CCF46">
        <w:t xml:space="preserve"> </w:t>
      </w:r>
      <w:bookmarkEnd w:id="1619"/>
      <w:bookmarkEnd w:id="1620"/>
      <w:bookmarkEnd w:id="1621"/>
      <w:bookmarkEnd w:id="1622"/>
      <w:r w:rsidR="2A0CCF46">
        <w:t>vurdering</w:t>
      </w:r>
      <w:r w:rsidR="69761763">
        <w:t>er</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77FAE2E4" w14:textId="77777777" w:rsidR="00D9107F" w:rsidRDefault="009170F9" w:rsidP="00EF390E">
      <w:pPr>
        <w:jc w:val="both"/>
        <w:rPr>
          <w:rFonts w:cstheme="minorHAnsi"/>
          <w:shd w:val="clear" w:color="auto" w:fill="FFFFFF"/>
        </w:rPr>
      </w:pPr>
      <w:r w:rsidRPr="005771BF">
        <w:rPr>
          <w:rFonts w:cstheme="minorHAnsi"/>
          <w:shd w:val="clear" w:color="auto" w:fill="FFFFFF"/>
        </w:rPr>
        <w:t xml:space="preserve">Gitt de utfordringene helsetjenestene står overfor, vil det i tiden som kommer, bli viktigere enn noen gang at fastlegen prioriterer blant innbyggerne. Dette krever at finansiering, organisering og øvrige systemer tilrettelegger for </w:t>
      </w:r>
      <w:r w:rsidR="00AC1021">
        <w:rPr>
          <w:rFonts w:cstheme="minorHAnsi"/>
          <w:shd w:val="clear" w:color="auto" w:fill="FFFFFF"/>
        </w:rPr>
        <w:t>at fastlegen kan gjøre gode vurderinger</w:t>
      </w:r>
      <w:r w:rsidRPr="005771BF">
        <w:rPr>
          <w:rFonts w:cstheme="minorHAnsi"/>
          <w:shd w:val="clear" w:color="auto" w:fill="FFFFFF"/>
        </w:rPr>
        <w:t>.</w:t>
      </w:r>
    </w:p>
    <w:p w14:paraId="030C9C40" w14:textId="77777777" w:rsidR="00D9107F" w:rsidRDefault="009223EC" w:rsidP="00EF390E">
      <w:pPr>
        <w:jc w:val="both"/>
      </w:pPr>
      <w:r>
        <w:t xml:space="preserve">Kontinuitet gjør at mer omfattende sykehistorie og dermed bedre beslutningsgrunnlag er tilgjengelig. Diagnostisk teknologi på legekontoret kan bidra til å forbedre grunnlaget for henvisningsbeslutninger. Det vil være mer lønnsomt å ha diagnostisk utstyr i en stor fastlegepraksis enn i en liten fastlegepraksis både fordi utstyret bli mer brukt og fordi trening i tolkning av prøvesvar </w:t>
      </w:r>
      <w:r w:rsidR="006E1E24">
        <w:t>kan</w:t>
      </w:r>
      <w:r>
        <w:t xml:space="preserve"> bidra til </w:t>
      </w:r>
      <w:r w:rsidR="00C10BC8">
        <w:t>bedre henvisningsbeslutninger</w:t>
      </w:r>
      <w:r>
        <w:t xml:space="preserve">. Det vil også være mer lønnsomt å innføre </w:t>
      </w:r>
      <w:r w:rsidR="00CA29BF">
        <w:t>diagnostisk utstyr</w:t>
      </w:r>
      <w:r w:rsidR="002B3E3B">
        <w:t xml:space="preserve"> </w:t>
      </w:r>
      <w:r>
        <w:t>i allmennpraksis for hyppige forekommende tilstander enn for sjelden forekommende tilstander, siden liten sykdomsforekomst trekker i retning av mange falske positive for ellers like testegenskaper.</w:t>
      </w:r>
    </w:p>
    <w:p w14:paraId="0DBBFE08" w14:textId="6EDF2EA0" w:rsidR="009223EC" w:rsidRDefault="009223EC" w:rsidP="00EF390E">
      <w:pPr>
        <w:jc w:val="both"/>
      </w:pPr>
      <w:r>
        <w:t xml:space="preserve">Hvor godt en test treffer, vil avhenge av sykdomsforekomsten blant de som blir testet. Økt sykdomsforekomst bidrar til færre unødvendige henvisninger. Sykdomsforekomsten blant </w:t>
      </w:r>
      <w:r w:rsidR="00FA4445">
        <w:t xml:space="preserve">innbyggere </w:t>
      </w:r>
      <w:r>
        <w:t>som oppsøker fastlegen</w:t>
      </w:r>
      <w:r w:rsidR="004F5CC6">
        <w:t>,</w:t>
      </w:r>
      <w:r w:rsidR="009B501F">
        <w:t xml:space="preserve"> varierer</w:t>
      </w:r>
      <w:r>
        <w:t xml:space="preserve">. </w:t>
      </w:r>
      <w:r w:rsidR="0092602E">
        <w:t xml:space="preserve">Desto </w:t>
      </w:r>
      <w:r w:rsidR="00410044">
        <w:t xml:space="preserve">mer kompetanse </w:t>
      </w:r>
      <w:r w:rsidR="00FA4445">
        <w:t xml:space="preserve">innbyggerne </w:t>
      </w:r>
      <w:r w:rsidR="00410044">
        <w:t>har til å vurdere behovet for legehjelp</w:t>
      </w:r>
      <w:r w:rsidR="00700E8A">
        <w:t xml:space="preserve">, </w:t>
      </w:r>
      <w:r w:rsidR="00214455">
        <w:t>desto</w:t>
      </w:r>
      <w:r>
        <w:t xml:space="preserve"> bedre </w:t>
      </w:r>
      <w:r w:rsidR="00214455">
        <w:t xml:space="preserve">blir </w:t>
      </w:r>
      <w:r w:rsidR="00FA4445">
        <w:t xml:space="preserve">de </w:t>
      </w:r>
      <w:r>
        <w:t xml:space="preserve">til å </w:t>
      </w:r>
      <w:r w:rsidR="00987933">
        <w:t xml:space="preserve">oppsøke legen </w:t>
      </w:r>
      <w:r w:rsidR="00D32B41">
        <w:t>når de</w:t>
      </w:r>
      <w:r w:rsidR="0000270F">
        <w:t xml:space="preserve"> </w:t>
      </w:r>
      <w:r w:rsidR="006031CF">
        <w:t xml:space="preserve">er </w:t>
      </w:r>
      <w:r w:rsidR="001E75C6">
        <w:t xml:space="preserve">så </w:t>
      </w:r>
      <w:r w:rsidR="006031CF">
        <w:t>syke</w:t>
      </w:r>
      <w:r w:rsidR="00DD596E">
        <w:t xml:space="preserve"> </w:t>
      </w:r>
      <w:r w:rsidR="001E75C6">
        <w:t>at de trenger legens diagnostikk og behandling</w:t>
      </w:r>
      <w:r w:rsidR="006E06F8">
        <w:t xml:space="preserve"> – og ikke ellers</w:t>
      </w:r>
      <w:r w:rsidR="001E7C6C">
        <w:t>.</w:t>
      </w:r>
      <w:r>
        <w:t xml:space="preserve"> </w:t>
      </w:r>
      <w:r w:rsidR="00450EA0">
        <w:t>Når bare de som faktisk trenger legens hjel</w:t>
      </w:r>
      <w:r w:rsidR="00920E38">
        <w:t>p</w:t>
      </w:r>
      <w:r w:rsidR="00BE79AB">
        <w:t>,</w:t>
      </w:r>
      <w:r w:rsidR="00920E38">
        <w:t xml:space="preserve"> er de</w:t>
      </w:r>
      <w:r w:rsidR="00BE79AB">
        <w:t xml:space="preserve"> som</w:t>
      </w:r>
      <w:r w:rsidR="00920E38">
        <w:t xml:space="preserve"> oppsøker legen – og ikke de andre – vil pågangen til fastlegen reduseres. </w:t>
      </w:r>
      <w:r w:rsidR="00FC48FE">
        <w:t>Videre vil s</w:t>
      </w:r>
      <w:r w:rsidR="00CD50A0">
        <w:t xml:space="preserve">ykeligheten blant de som oppsøker </w:t>
      </w:r>
      <w:r w:rsidR="00FC48FE">
        <w:t>fastlegen være høyere</w:t>
      </w:r>
      <w:r w:rsidR="004D5D03">
        <w:t xml:space="preserve">. </w:t>
      </w:r>
      <w:r w:rsidR="001328E0">
        <w:t>E</w:t>
      </w:r>
      <w:r w:rsidR="004637F6">
        <w:t xml:space="preserve">n økning i </w:t>
      </w:r>
      <w:r>
        <w:t xml:space="preserve">sykdomsforekomsten på legekontoret </w:t>
      </w:r>
      <w:r w:rsidR="00666FA8">
        <w:t xml:space="preserve">vil </w:t>
      </w:r>
      <w:r w:rsidR="001328E0">
        <w:t xml:space="preserve">derved </w:t>
      </w:r>
      <w:r w:rsidR="00666FA8">
        <w:t>minske</w:t>
      </w:r>
      <w:r>
        <w:t xml:space="preserve"> sjansen for </w:t>
      </w:r>
      <w:r w:rsidR="00FA4445">
        <w:t xml:space="preserve">unødvendige </w:t>
      </w:r>
      <w:r>
        <w:t>henvis</w:t>
      </w:r>
      <w:r w:rsidR="00FA4445">
        <w:t>ninger</w:t>
      </w:r>
      <w:r>
        <w:t xml:space="preserve">. Større sykdomsforekomst blant </w:t>
      </w:r>
      <w:r w:rsidR="00FA4445">
        <w:t xml:space="preserve">de </w:t>
      </w:r>
      <w:r>
        <w:t xml:space="preserve">som kommer til fastlegen, kan trolig oppnås ved bedre kunnskap om helse og sykdom blant </w:t>
      </w:r>
      <w:r w:rsidR="00FA4445">
        <w:t>innbyggerne</w:t>
      </w:r>
      <w:r w:rsidR="00DA5090">
        <w:t>, j</w:t>
      </w:r>
      <w:r w:rsidR="00B059E7">
        <w:t>f</w:t>
      </w:r>
      <w:r w:rsidR="006C6986">
        <w:t>.</w:t>
      </w:r>
      <w:r w:rsidR="00B059E7">
        <w:t xml:space="preserve"> </w:t>
      </w:r>
      <w:r w:rsidR="00B9703F">
        <w:t>tekst</w:t>
      </w:r>
      <w:r w:rsidR="00B059E7">
        <w:t xml:space="preserve"> </w:t>
      </w:r>
      <w:r w:rsidR="00D2194F">
        <w:t>over</w:t>
      </w:r>
      <w:r w:rsidR="00B059E7">
        <w:t xml:space="preserve"> om fastlegen som portvakt til seg selv</w:t>
      </w:r>
      <w:r w:rsidR="008768B3">
        <w:t xml:space="preserve"> og behovet for økning i innbyggernes helsekompetanse</w:t>
      </w:r>
      <w:r>
        <w:t>.</w:t>
      </w:r>
    </w:p>
    <w:p w14:paraId="30F851D0" w14:textId="5DE5ACAB" w:rsidR="00EB11CE" w:rsidRDefault="006F58B0" w:rsidP="00EF390E">
      <w:pPr>
        <w:jc w:val="both"/>
      </w:pPr>
      <w:bookmarkStart w:id="1642" w:name="_Hlk131494402"/>
      <w:r>
        <w:t xml:space="preserve">Fastlegens </w:t>
      </w:r>
      <w:r w:rsidR="00BD0DB7">
        <w:t xml:space="preserve">kompetanse </w:t>
      </w:r>
      <w:r w:rsidR="001A03D0">
        <w:t>vil påvirke vur</w:t>
      </w:r>
      <w:r w:rsidR="007712B4">
        <w:t>d</w:t>
      </w:r>
      <w:r w:rsidR="001A03D0">
        <w:t xml:space="preserve">eringen av ulike tilstander. </w:t>
      </w:r>
      <w:r w:rsidR="00B6238A">
        <w:t xml:space="preserve">Tilgang til </w:t>
      </w:r>
      <w:r w:rsidR="00BF05DD">
        <w:t>retningslinjer</w:t>
      </w:r>
      <w:r w:rsidR="000A5AFF">
        <w:t>, veiledere</w:t>
      </w:r>
      <w:r w:rsidR="00BF05DD">
        <w:t xml:space="preserve"> og </w:t>
      </w:r>
      <w:r w:rsidR="0058776E">
        <w:t xml:space="preserve">oppdatert </w:t>
      </w:r>
      <w:r w:rsidR="00B6238A">
        <w:t>kunnskap</w:t>
      </w:r>
      <w:r w:rsidR="00ED3A88">
        <w:t xml:space="preserve"> </w:t>
      </w:r>
      <w:r w:rsidR="00F34235">
        <w:t xml:space="preserve">kan </w:t>
      </w:r>
      <w:r w:rsidR="009D7CAC">
        <w:t xml:space="preserve">gi støtte </w:t>
      </w:r>
      <w:r w:rsidR="005A2042">
        <w:t xml:space="preserve">når vanskelige </w:t>
      </w:r>
      <w:r w:rsidR="002376A8">
        <w:t>vurdering</w:t>
      </w:r>
      <w:r w:rsidR="005A2042">
        <w:t>er</w:t>
      </w:r>
      <w:r w:rsidR="002376A8">
        <w:t xml:space="preserve"> og prioritering</w:t>
      </w:r>
      <w:r w:rsidR="00ED3A88">
        <w:t xml:space="preserve"> skal gjøres. </w:t>
      </w:r>
      <w:r w:rsidR="006C6986">
        <w:t>Mulighet</w:t>
      </w:r>
      <w:r w:rsidR="00AA4B41">
        <w:t xml:space="preserve"> for rådføring med spesialist</w:t>
      </w:r>
      <w:r w:rsidR="00581F33">
        <w:t>,</w:t>
      </w:r>
      <w:r w:rsidR="00AA4B41">
        <w:t xml:space="preserve"> vil kunne avklare behovet for henvisning. </w:t>
      </w:r>
      <w:r w:rsidR="002679FA" w:rsidRPr="002679FA">
        <w:t>For å tilrettelegge bedre for drøfting av henvisninger og avklare informasjonen i disse, mellom fastlege og spesialisthelsetjenesten, mener ekspertutvalget at det bør vurderes å endre fristene i pasient- og brukerrettighetsloven.</w:t>
      </w:r>
      <w:r w:rsidR="002679FA">
        <w:t xml:space="preserve"> </w:t>
      </w:r>
      <w:r w:rsidR="003C4567">
        <w:t xml:space="preserve">Et annet tiltak </w:t>
      </w:r>
      <w:r w:rsidR="00BF05DD">
        <w:t xml:space="preserve">kan være </w:t>
      </w:r>
      <w:r w:rsidR="003C4567">
        <w:t>å</w:t>
      </w:r>
      <w:r w:rsidR="003C4567" w:rsidRPr="003C4567">
        <w:t xml:space="preserve"> </w:t>
      </w:r>
      <w:r w:rsidR="00BF05DD">
        <w:t>stimulere til mer</w:t>
      </w:r>
      <w:r w:rsidR="003C4567" w:rsidRPr="003C4567">
        <w:t xml:space="preserve"> forskning i klinisk beslutningslære med primærmedisinsk utgangspunkt.</w:t>
      </w:r>
    </w:p>
    <w:bookmarkEnd w:id="1642"/>
    <w:p w14:paraId="59F10800" w14:textId="1070AAED" w:rsidR="00D9107F" w:rsidRDefault="00C71A8E" w:rsidP="00EF390E">
      <w:pPr>
        <w:jc w:val="both"/>
      </w:pPr>
      <w:r>
        <w:lastRenderedPageBreak/>
        <w:t xml:space="preserve">Ut fra bestemmelsen i </w:t>
      </w:r>
      <w:r w:rsidR="004C1CD5">
        <w:t>f</w:t>
      </w:r>
      <w:r>
        <w:t xml:space="preserve">astlegeforskriftens </w:t>
      </w:r>
      <w:r w:rsidR="00D9107F">
        <w:t>§ 2</w:t>
      </w:r>
      <w:r>
        <w:t>1</w:t>
      </w:r>
      <w:r w:rsidRPr="00230704">
        <w:t xml:space="preserve"> skal </w:t>
      </w:r>
      <w:r>
        <w:t xml:space="preserve">fastlegen </w:t>
      </w:r>
      <w:r w:rsidRPr="00230704">
        <w:t>prioritere</w:t>
      </w:r>
      <w:r w:rsidR="000E5357">
        <w:t xml:space="preserve"> </w:t>
      </w:r>
      <w:r>
        <w:t xml:space="preserve">sine </w:t>
      </w:r>
      <w:r w:rsidRPr="00230704">
        <w:t>listeinnbyggerne ut i fra en konkret medisinsk vurdering av haste- og alvorlighetsgrad. Listeinnbyggeren skal få tilbud om konsultasjon så tidlig som mulig, og normalt innen fem arbeidsdager.</w:t>
      </w:r>
      <w:r>
        <w:t xml:space="preserve"> Ved økende pågang til fastlege og mangel på kapasitet i tjenesten, vil det etter ekspertutvalgets vurdering være behov for at fastlegene</w:t>
      </w:r>
      <w:r w:rsidR="00D9107F">
        <w:t xml:space="preserve"> – </w:t>
      </w:r>
      <w:r>
        <w:t>mer enn i dag</w:t>
      </w:r>
      <w:r w:rsidR="00D9107F">
        <w:t xml:space="preserve"> – </w:t>
      </w:r>
      <w:r>
        <w:t xml:space="preserve">prioriterer blant sine listeinnbyggere. For å kunne ha kortere ventetid og bruke mer tid på innbyggere som trenger legens hjelp mest, innebærer det at andre må vente. For at fastlegen i </w:t>
      </w:r>
      <w:r w:rsidR="00D66CA5">
        <w:t>fram</w:t>
      </w:r>
      <w:r>
        <w:t xml:space="preserve">tiden skal gi likeverdige helsetjenester til sine listeinnbyggere, vil det være helt nødvendig at fastlegen gir </w:t>
      </w:r>
      <w:r w:rsidR="11E204C9">
        <w:t>l</w:t>
      </w:r>
      <w:r w:rsidR="27D4F836">
        <w:t>engre</w:t>
      </w:r>
      <w:r>
        <w:t xml:space="preserve"> ventetid </w:t>
      </w:r>
      <w:r w:rsidR="11E204C9">
        <w:t>til</w:t>
      </w:r>
      <w:r>
        <w:t xml:space="preserve"> henvendelser som ikke haster.</w:t>
      </w:r>
    </w:p>
    <w:p w14:paraId="5D0CF1D0" w14:textId="15D2FAED" w:rsidR="001C3DAA" w:rsidRDefault="00647228" w:rsidP="001C3DAA">
      <w:pPr>
        <w:jc w:val="both"/>
      </w:pPr>
      <w:r>
        <w:t xml:space="preserve">Antall e-konsultasjoner har steget </w:t>
      </w:r>
      <w:r w:rsidR="00F55ECA">
        <w:t>kraftig</w:t>
      </w:r>
      <w:r>
        <w:t xml:space="preserve"> de siste årene</w:t>
      </w:r>
      <w:r w:rsidR="00345422">
        <w:t xml:space="preserve">. </w:t>
      </w:r>
      <w:r w:rsidR="00F55ECA">
        <w:t>Etter at fastlegene kunne ta takst for e-konsultasjoner utenfor vanlig arbeidstid, har andelen som jobber med pasientkontakt utover kvelden økt betydelig.</w:t>
      </w:r>
      <w:r w:rsidR="00BF4FE5">
        <w:t xml:space="preserve"> </w:t>
      </w:r>
      <w:r>
        <w:t>E-konsultasjoner er ofte enkle</w:t>
      </w:r>
      <w:r w:rsidR="00C16FD7">
        <w:t xml:space="preserve"> og</w:t>
      </w:r>
      <w:r>
        <w:t xml:space="preserve"> korte konsultasjoner. Uten mulighet for å sortere og prioritere blant disse, vil mengden e-konsultasjoner kunne gå på bekostning av fastlegens evne til å yte helsetjenester </w:t>
      </w:r>
      <w:r w:rsidR="00AB7815">
        <w:t xml:space="preserve">til </w:t>
      </w:r>
      <w:r>
        <w:t>de som tren</w:t>
      </w:r>
      <w:r w:rsidR="004518B6">
        <w:t>g</w:t>
      </w:r>
      <w:r>
        <w:t xml:space="preserve">er det mest. </w:t>
      </w:r>
      <w:r w:rsidR="00650B51">
        <w:t xml:space="preserve">Ekspertutvalget </w:t>
      </w:r>
      <w:r w:rsidR="004807EF">
        <w:t xml:space="preserve">mener </w:t>
      </w:r>
      <w:r w:rsidR="003E4978">
        <w:t>derfor</w:t>
      </w:r>
      <w:r w:rsidR="004807EF">
        <w:t xml:space="preserve"> det er nødvendig å begrense antall</w:t>
      </w:r>
      <w:r w:rsidR="00650B51">
        <w:t xml:space="preserve"> e-konsultasjoner.</w:t>
      </w:r>
    </w:p>
    <w:p w14:paraId="157223DA" w14:textId="57B33A97" w:rsidR="000E448A" w:rsidRDefault="004A2E98" w:rsidP="00EF390E">
      <w:pPr>
        <w:jc w:val="both"/>
      </w:pPr>
      <w:r>
        <w:t xml:space="preserve">Det er grunn til å tro at </w:t>
      </w:r>
      <w:r w:rsidR="005A16C1">
        <w:t xml:space="preserve">en høy takst for svært korte konsultasjoner, </w:t>
      </w:r>
      <w:r w:rsidR="008837C1">
        <w:t>er en uhensiktsmessig driver for fastlegens aktivitet</w:t>
      </w:r>
      <w:r w:rsidR="00CC41C6">
        <w:t xml:space="preserve">. </w:t>
      </w:r>
      <w:r w:rsidR="00D43794">
        <w:t xml:space="preserve">Danmark har betydelig lavere takster for e-konsultasjon enn Norge. I Norge er det samme takst for bruk av telefon, tekst, video og fysisk oppmøte. </w:t>
      </w:r>
      <w:r w:rsidR="000E448A">
        <w:t xml:space="preserve">Kveldstakst for e-konsultasjon </w:t>
      </w:r>
      <w:r w:rsidR="3BB51C62">
        <w:t>stimulerer</w:t>
      </w:r>
      <w:r w:rsidR="000E448A">
        <w:t xml:space="preserve"> fastlegen til å arbeide på kveld og helg, da dette gir en adskillig høyere inntjening</w:t>
      </w:r>
      <w:r w:rsidR="00A86303">
        <w:t xml:space="preserve">. </w:t>
      </w:r>
      <w:r w:rsidR="000E448A">
        <w:t>Ekspertutvalget kan ikke se at det er tilstrekkelig medisinskfaglig grunnlag for å understøtte forventninger om denne typen kveldsarbeid for fastlegene, ei heller at en slik utvikling er bærekraftig på sikt. Ekspertutvalget anbefaler derfor at muligheten for å benytte kveldstakst for e-konsultasjon for fastleger fjernes.</w:t>
      </w:r>
    </w:p>
    <w:p w14:paraId="3E683AD0" w14:textId="475E2239" w:rsidR="000A5AFF" w:rsidRDefault="00A51EE0" w:rsidP="00EF390E">
      <w:pPr>
        <w:jc w:val="both"/>
      </w:pPr>
      <w:r>
        <w:t>I tillegg til å dempe fastlegens aktivitet knyttet til e-konsultasjoner</w:t>
      </w:r>
      <w:r w:rsidR="00B72DA4">
        <w:t xml:space="preserve">, bør det også legges en demper på </w:t>
      </w:r>
      <w:r w:rsidR="00C20A09">
        <w:t xml:space="preserve">innbyggernes </w:t>
      </w:r>
      <w:r w:rsidR="00B72DA4">
        <w:t xml:space="preserve">etterspørsel. Et mulig tiltak kan være å </w:t>
      </w:r>
      <w:r w:rsidR="00FB2CBA">
        <w:t xml:space="preserve">innføre </w:t>
      </w:r>
      <w:r w:rsidR="00886FC9">
        <w:t xml:space="preserve">krav til forhåndsbetaling av </w:t>
      </w:r>
      <w:r w:rsidR="00E23391">
        <w:t>egenandel før innsending av tekst</w:t>
      </w:r>
      <w:r w:rsidR="00FB2CBA">
        <w:t xml:space="preserve">lig e-konsultasjon. </w:t>
      </w:r>
      <w:r w:rsidR="00073FC0">
        <w:t>Dette vil ikke gjøre noe med tilgangen til tjenesten, men e</w:t>
      </w:r>
      <w:r w:rsidR="007F516B">
        <w:t>kspertutvalget tror det</w:t>
      </w:r>
      <w:r w:rsidR="00073FC0">
        <w:t xml:space="preserve"> vil medføre</w:t>
      </w:r>
      <w:r w:rsidR="007F516B">
        <w:t xml:space="preserve"> at innbyggeren i større grad vurderer behovet for den type kontakt med fastlegen</w:t>
      </w:r>
      <w:r w:rsidR="00073FC0">
        <w:t xml:space="preserve">. </w:t>
      </w:r>
      <w:r w:rsidR="00825D21">
        <w:t xml:space="preserve">I tillegg </w:t>
      </w:r>
      <w:r w:rsidR="0014175D">
        <w:t xml:space="preserve">bør det stilles krav til at innbyggerne </w:t>
      </w:r>
      <w:r w:rsidR="008C2F61">
        <w:t xml:space="preserve">avgir tilstrekkelig informasjon </w:t>
      </w:r>
      <w:r w:rsidR="003E61F7">
        <w:t xml:space="preserve">om </w:t>
      </w:r>
      <w:r w:rsidR="00223330">
        <w:t>sine plager</w:t>
      </w:r>
      <w:r w:rsidR="009825FB">
        <w:t xml:space="preserve">. Dette vil gjøre det mulig for fastlegen </w:t>
      </w:r>
      <w:r w:rsidR="00132D62">
        <w:t xml:space="preserve">å sortere etter hastegrad og </w:t>
      </w:r>
      <w:r w:rsidR="008D1903">
        <w:t xml:space="preserve">håndtere </w:t>
      </w:r>
      <w:r w:rsidR="00994675">
        <w:t>problemstillingen</w:t>
      </w:r>
      <w:r w:rsidR="00C20A09">
        <w:t xml:space="preserve"> </w:t>
      </w:r>
      <w:r w:rsidR="006566C7">
        <w:t xml:space="preserve">uten å </w:t>
      </w:r>
      <w:r w:rsidR="000872BC">
        <w:t xml:space="preserve">måtte etterspørre informasjon i flere omganger. </w:t>
      </w:r>
      <w:r w:rsidR="00771768">
        <w:t>En statlig allmennmedisinsk nettside med formål om å øke befolkningens helsekompetanse vil kunne redusere behovet for legehjelp</w:t>
      </w:r>
      <w:r w:rsidR="000D3323">
        <w:t xml:space="preserve">. Det vises til omtale av dette, sammen med </w:t>
      </w:r>
      <w:r w:rsidR="00E40D43">
        <w:t xml:space="preserve">nasjonal e-konsultasjonstjeneste og utprøving av </w:t>
      </w:r>
      <w:r w:rsidR="00DC2D51">
        <w:t>digitalt triageringsverk</w:t>
      </w:r>
      <w:r w:rsidR="001465B3">
        <w:t>t</w:t>
      </w:r>
      <w:r w:rsidR="00DC2D51">
        <w:t>øy i kap</w:t>
      </w:r>
      <w:r w:rsidR="00340B49">
        <w:t>ittel</w:t>
      </w:r>
      <w:r w:rsidR="00DC2D51">
        <w:t xml:space="preserve"> </w:t>
      </w:r>
      <w:r w:rsidR="002362B2">
        <w:t>10.</w:t>
      </w:r>
      <w:r w:rsidR="00DC2D51">
        <w:t>8.</w:t>
      </w:r>
    </w:p>
    <w:p w14:paraId="63534272" w14:textId="2999B138" w:rsidR="00D9107F" w:rsidRDefault="004D74D5" w:rsidP="003228E0">
      <w:pPr>
        <w:jc w:val="both"/>
      </w:pPr>
      <w:r>
        <w:t>Det er ekspertutvalgets forståelse at aktiv prioritering av pasienter og aktiviteter er en fundamental del av fastlegens medisinskfaglige skjønnsutøvelse, og at fastlegeforskriftens angivelse av at listeinnbygger</w:t>
      </w:r>
      <w:r w:rsidR="005A4A8C">
        <w:t>ne</w:t>
      </w:r>
      <w:r>
        <w:t xml:space="preserve"> normalt skal tilbys konsultasjon innen fem dager</w:t>
      </w:r>
      <w:r w:rsidR="005A6557">
        <w:t>,</w:t>
      </w:r>
      <w:r>
        <w:t xml:space="preserve"> ikke egentlig er til hinder for dette. Ekspertutvalget mener likevel at fastlegens mulighet til å utøve sitt </w:t>
      </w:r>
      <w:r>
        <w:lastRenderedPageBreak/>
        <w:t>medisinskfaglige skjønn bør styrkes ytterligere for å sikre likeverdige tjen</w:t>
      </w:r>
      <w:r w:rsidR="005A6557">
        <w:t>e</w:t>
      </w:r>
      <w:r>
        <w:t xml:space="preserve">ster, og at fastlegeforskriftens formulering </w:t>
      </w:r>
      <w:r w:rsidR="00AD3B94">
        <w:t xml:space="preserve">i </w:t>
      </w:r>
      <w:r w:rsidR="00D9107F">
        <w:t>§ 2</w:t>
      </w:r>
      <w:r w:rsidR="00AD3B94">
        <w:t xml:space="preserve">1 </w:t>
      </w:r>
      <w:r>
        <w:t xml:space="preserve">om at listeinnbyggeren normalt skal få tilbud om konsultasjon innen fem arbeidsdager derfor </w:t>
      </w:r>
      <w:r w:rsidR="0004619D">
        <w:t>bør</w:t>
      </w:r>
      <w:r>
        <w:t xml:space="preserve"> fjernes.</w:t>
      </w:r>
    </w:p>
    <w:p w14:paraId="64E4577B" w14:textId="028FD7B7" w:rsidR="00327CA4" w:rsidRDefault="62F24858" w:rsidP="00775632">
      <w:pPr>
        <w:pStyle w:val="Overskrift2"/>
      </w:pPr>
      <w:bookmarkStart w:id="1643" w:name="_Toc125125034"/>
      <w:bookmarkStart w:id="1644" w:name="_Toc126834334"/>
      <w:bookmarkStart w:id="1645" w:name="_Toc127633208"/>
      <w:bookmarkStart w:id="1646" w:name="_Toc127864492"/>
      <w:bookmarkStart w:id="1647" w:name="_Toc128238501"/>
      <w:bookmarkStart w:id="1648" w:name="_Toc128741980"/>
      <w:bookmarkStart w:id="1649" w:name="_Toc128744575"/>
      <w:bookmarkStart w:id="1650" w:name="_Toc128744794"/>
      <w:bookmarkStart w:id="1651" w:name="_Ref128946452"/>
      <w:bookmarkStart w:id="1652" w:name="_Toc129630294"/>
      <w:bookmarkStart w:id="1653" w:name="_Ref129964001"/>
      <w:bookmarkStart w:id="1654" w:name="_Toc130763802"/>
      <w:bookmarkStart w:id="1655" w:name="_Toc130766697"/>
      <w:bookmarkStart w:id="1656" w:name="_Toc130932097"/>
      <w:bookmarkStart w:id="1657" w:name="_Toc130934388"/>
      <w:bookmarkStart w:id="1658" w:name="_Toc130983449"/>
      <w:bookmarkStart w:id="1659" w:name="_Toc130983798"/>
      <w:bookmarkStart w:id="1660" w:name="_Toc131062124"/>
      <w:bookmarkStart w:id="1661" w:name="_Toc131062378"/>
      <w:bookmarkStart w:id="1662" w:name="_Toc131062639"/>
      <w:bookmarkStart w:id="1663" w:name="_Toc131062892"/>
      <w:bookmarkStart w:id="1664" w:name="_Toc131063660"/>
      <w:bookmarkStart w:id="1665" w:name="_Toc131064081"/>
      <w:bookmarkStart w:id="1666" w:name="_Toc131238375"/>
      <w:bookmarkStart w:id="1667" w:name="_Toc131279406"/>
      <w:bookmarkStart w:id="1668" w:name="_Toc131286818"/>
      <w:bookmarkStart w:id="1669" w:name="_Toc131281228"/>
      <w:bookmarkStart w:id="1670" w:name="_Toc131317767"/>
      <w:bookmarkStart w:id="1671" w:name="_Toc132536963"/>
      <w:r>
        <w:t>Gruppe</w:t>
      </w:r>
      <w:r w:rsidR="1C2BE42C">
        <w:t>avtaler</w:t>
      </w:r>
      <w:r>
        <w:t xml:space="preserve"> og </w:t>
      </w:r>
      <w:r w:rsidR="6FC22F52">
        <w:t>fastlegeselskap</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26FCFAE7" w14:textId="491A1CF2" w:rsidR="00327CA4" w:rsidRPr="00764611" w:rsidRDefault="62F24858" w:rsidP="00775632">
      <w:pPr>
        <w:pStyle w:val="Overskrift3"/>
      </w:pPr>
      <w:bookmarkStart w:id="1672" w:name="_Toc125125035"/>
      <w:bookmarkStart w:id="1673" w:name="_Toc126834335"/>
      <w:bookmarkStart w:id="1674" w:name="_Toc127633209"/>
      <w:bookmarkStart w:id="1675" w:name="_Toc127864493"/>
      <w:bookmarkStart w:id="1676" w:name="_Toc128238502"/>
      <w:bookmarkStart w:id="1677" w:name="_Toc128741981"/>
      <w:bookmarkStart w:id="1678" w:name="_Toc128744576"/>
      <w:bookmarkStart w:id="1679" w:name="_Toc128744795"/>
      <w:bookmarkStart w:id="1680" w:name="_Toc129630295"/>
      <w:bookmarkStart w:id="1681" w:name="_Toc130763803"/>
      <w:bookmarkStart w:id="1682" w:name="_Toc130766698"/>
      <w:bookmarkStart w:id="1683" w:name="_Toc130932098"/>
      <w:bookmarkStart w:id="1684" w:name="_Toc130934389"/>
      <w:bookmarkStart w:id="1685" w:name="_Toc130983450"/>
      <w:bookmarkStart w:id="1686" w:name="_Toc130983799"/>
      <w:bookmarkStart w:id="1687" w:name="_Toc131062125"/>
      <w:bookmarkStart w:id="1688" w:name="_Toc131062379"/>
      <w:bookmarkStart w:id="1689" w:name="_Toc131062640"/>
      <w:bookmarkStart w:id="1690" w:name="_Toc131062893"/>
      <w:bookmarkStart w:id="1691" w:name="_Toc131063661"/>
      <w:bookmarkStart w:id="1692" w:name="_Toc131064082"/>
      <w:bookmarkStart w:id="1693" w:name="_Toc131238376"/>
      <w:bookmarkStart w:id="1694" w:name="_Toc131279407"/>
      <w:bookmarkStart w:id="1695" w:name="_Toc131286819"/>
      <w:bookmarkStart w:id="1696" w:name="_Toc131281229"/>
      <w:bookmarkStart w:id="1697" w:name="_Toc131317768"/>
      <w:bookmarkStart w:id="1698" w:name="_Toc132536964"/>
      <w:r>
        <w:t>Om gruppepraksiser og utfordringer med dagens organisering</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637F60E2" w14:textId="77777777" w:rsidR="00D9107F" w:rsidRDefault="000F722B" w:rsidP="009C2FAE">
      <w:pPr>
        <w:jc w:val="both"/>
      </w:pPr>
      <w:r>
        <w:t>En gruppepraksis består a</w:t>
      </w:r>
      <w:r w:rsidR="00D03E97">
        <w:t>v</w:t>
      </w:r>
      <w:r>
        <w:t xml:space="preserve"> flere fastleger, som med hver sin hjemmel</w:t>
      </w:r>
      <w:r w:rsidR="6CE5B34B" w:rsidRPr="4751CE30">
        <w:t>,</w:t>
      </w:r>
      <w:r>
        <w:t xml:space="preserve"> er samlokalisert i et legekontor. </w:t>
      </w:r>
      <w:r w:rsidR="001C44A1">
        <w:t>G</w:t>
      </w:r>
      <w:r w:rsidR="00B8287C">
        <w:t>ruppe</w:t>
      </w:r>
      <w:r w:rsidR="00327CA4">
        <w:t>praksiser</w:t>
      </w:r>
      <w:r w:rsidR="00FA745F">
        <w:t xml:space="preserve"> </w:t>
      </w:r>
      <w:r w:rsidR="00F867A2">
        <w:t>legger</w:t>
      </w:r>
      <w:r w:rsidR="00327CA4">
        <w:t xml:space="preserve"> til </w:t>
      </w:r>
      <w:r w:rsidR="00F867A2">
        <w:t>rette for</w:t>
      </w:r>
      <w:r w:rsidR="00327CA4">
        <w:t xml:space="preserve"> kollegial og faglig støtte, samtidig som legene kan dele på de administrative oppgavene og kostnadene som følger med det å drive en næringsvirksomhet, som husleie, innkjøp av forbruksmateriell og utstyr, </w:t>
      </w:r>
      <w:r w:rsidR="00B8287C">
        <w:t xml:space="preserve">ansettelse av </w:t>
      </w:r>
      <w:r w:rsidR="007D186F">
        <w:t>medarbeidere</w:t>
      </w:r>
      <w:r w:rsidR="00327CA4">
        <w:t xml:space="preserve">, IT- og telefonsystemer og lignende. </w:t>
      </w:r>
      <w:r w:rsidR="00157A31">
        <w:t>L</w:t>
      </w:r>
      <w:r w:rsidR="00327CA4">
        <w:t>ege</w:t>
      </w:r>
      <w:r w:rsidR="00157A31">
        <w:t>ne</w:t>
      </w:r>
      <w:r w:rsidR="00327CA4">
        <w:t xml:space="preserve"> kan også dekke opp for hverandre ved kortvarig fravær, noe som bedrer arbeidssituasjonen for fastlegene selv, og bidrar til bedre kontinuitet for </w:t>
      </w:r>
      <w:r w:rsidR="001B50D8">
        <w:t>liste</w:t>
      </w:r>
      <w:r w:rsidR="00327CA4">
        <w:t>innbyggerne.</w:t>
      </w:r>
    </w:p>
    <w:p w14:paraId="733A2F4F" w14:textId="0ECCD7CC" w:rsidR="00017383" w:rsidRDefault="00017383" w:rsidP="009C2FAE">
      <w:pPr>
        <w:jc w:val="both"/>
      </w:pPr>
      <w:r w:rsidRPr="00017383">
        <w:t>Selv om legene er samlokalisert i en gruppepraksis</w:t>
      </w:r>
      <w:r w:rsidR="001B50D8">
        <w:t>,</w:t>
      </w:r>
      <w:r w:rsidRPr="00017383">
        <w:t xml:space="preserve"> legger rammeverket for fastlegeordningen fortsatt opp til at det skal inngås individuelle fastlegeavtaler mellom kommunen og den enkelte lege, og individuelle oppgjørsavtaler mellom legen og Helfo. Legen har et individuelt ansvar for takstbruk og er selv ansvarlig for å oppfylle lov- og forskriftsfestede krav for sin virksomhet. Legene jobber altså fortsatt for seg selv, selv om de er samlokaliserte, og en gruppepraksis består dermed i realiteten av flere, små samarbeidende solopraksiser under samme tak. Man kan derfor si at rammeverket for dagens fastlegeordning i all hovedsak er utformet for solopraksis.</w:t>
      </w:r>
    </w:p>
    <w:p w14:paraId="3629C836" w14:textId="77777777" w:rsidR="00D9107F" w:rsidRDefault="009C2FAE" w:rsidP="009C2FAE">
      <w:pPr>
        <w:jc w:val="both"/>
      </w:pPr>
      <w:r>
        <w:t xml:space="preserve">Ved drift i gruppepraksis er det vanlig at den enkelte lege har et enkeltpersonforetak, mens legekontoret er organisert i et eget selskap, eksempelvis et aksjeselskap eller et selskap med begrenset ansvar. Legene i gruppepraksisen eier vanligvis like deler i legekontorselskapet og avgjørelser baseres normalt enten på konsensus legene imellom, eller ut fra det legene har avtalt seg imellom og fastsatt i selskapets vedtekter. </w:t>
      </w:r>
      <w:r w:rsidRPr="002B6B07">
        <w:t>Legekontoret som sådan</w:t>
      </w:r>
      <w:r w:rsidR="00367990" w:rsidRPr="002B6B07">
        <w:t>,</w:t>
      </w:r>
      <w:r w:rsidRPr="002B6B07">
        <w:t xml:space="preserve"> har ingen plikter eller rettigheter og er ikke avtalepart overfor kommunen.</w:t>
      </w:r>
    </w:p>
    <w:p w14:paraId="0195A185" w14:textId="28B4ABA6" w:rsidR="00FE0094" w:rsidRDefault="008B63CB" w:rsidP="008B63CB">
      <w:pPr>
        <w:jc w:val="center"/>
      </w:pPr>
      <w:r>
        <w:rPr>
          <w:noProof/>
        </w:rPr>
        <w:lastRenderedPageBreak/>
        <w:drawing>
          <wp:inline distT="0" distB="0" distL="0" distR="0" wp14:anchorId="730D2A42" wp14:editId="31074599">
            <wp:extent cx="3139822" cy="2823522"/>
            <wp:effectExtent l="0" t="0" r="3810" b="0"/>
            <wp:docPr id="1908704943" name="Picture 190870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0156" t="33427" r="24565" b="31385"/>
                    <a:stretch/>
                  </pic:blipFill>
                  <pic:spPr bwMode="auto">
                    <a:xfrm>
                      <a:off x="0" y="0"/>
                      <a:ext cx="3150387" cy="2833023"/>
                    </a:xfrm>
                    <a:prstGeom prst="rect">
                      <a:avLst/>
                    </a:prstGeom>
                    <a:noFill/>
                    <a:ln>
                      <a:noFill/>
                    </a:ln>
                    <a:extLst>
                      <a:ext uri="{53640926-AAD7-44D8-BBD7-CCE9431645EC}">
                        <a14:shadowObscured xmlns:a14="http://schemas.microsoft.com/office/drawing/2010/main"/>
                      </a:ext>
                    </a:extLst>
                  </pic:spPr>
                </pic:pic>
              </a:graphicData>
            </a:graphic>
          </wp:inline>
        </w:drawing>
      </w:r>
    </w:p>
    <w:p w14:paraId="39DEEA86" w14:textId="77777777" w:rsidR="00E53021" w:rsidRDefault="00E53021" w:rsidP="00E53021">
      <w:pPr>
        <w:jc w:val="both"/>
      </w:pPr>
      <w:r>
        <w:t xml:space="preserve">Dialogen med fastlegene må i dagens system i stor grad gå mellom kommunen og den enkelte lege. Rammeavtalen fastsetter at kommunen skal ta initiativ til å opprette allmennlegeutvalg og samarbeidsutvalg som skal bidra til nødvendig samarbeid mellom legene, og mellom legene og kommunen, og legge til rette for at driften av allmennlegetjenesten skjer på en hensiktsmessig måte </w:t>
      </w:r>
      <w:r>
        <w:fldChar w:fldCharType="begin"/>
      </w:r>
      <w:r>
        <w:instrText xml:space="preserve"> ADDIN EN.CITE &lt;EndNote&gt;&lt;Cite&gt;&lt;Author&gt;KS&lt;/Author&gt;&lt;Year&gt;2021&lt;/Year&gt;&lt;RecNum&gt;683&lt;/RecNum&gt;&lt;DisplayText&gt;(KS, 2021)&lt;/DisplayText&gt;&lt;record&gt;&lt;rec-number&gt;683&lt;/rec-number&gt;&lt;foreign-keys&gt;&lt;key app="EN" db-id="95tpr2tp6r9xwoea9rb5wdsz5ds5xeddteew" timestamp="1680069511"&gt;683&lt;/key&gt;&lt;/foreign-keys&gt;&lt;ref-type name="Web Page"&gt;12&lt;/ref-type&gt;&lt;contributors&gt;&lt;authors&gt;&lt;author&gt;KS&lt;/author&gt;&lt;/authors&gt;&lt;/contributors&gt;&lt;titles&gt;&lt;title&gt;Rammeavtalen om fastlegeordningen (ASA 4310)&lt;/title&gt;&lt;/titles&gt;&lt;number&gt;16.03.23&lt;/number&gt;&lt;dates&gt;&lt;year&gt;2021&lt;/year&gt;&lt;pub-dates&gt;&lt;date&gt;29.03.2021&lt;/date&gt;&lt;/pub-dates&gt;&lt;/dates&gt;&lt;publisher&gt;Kommunesektorens organisasjon KS&lt;/publisher&gt;&lt;work-type&gt;nettdokument&lt;/work-type&gt;&lt;urls&gt;&lt;related-urls&gt;&lt;url&gt;https://www.ks.no/fagomrader/lonn-og-tariff/legeavtaler/rammeavtalen-om-fastlegeordningen-asa-4310/&lt;/url&gt;&lt;/related-urls&gt;&lt;/urls&gt;&lt;/record&gt;&lt;/Cite&gt;&lt;/EndNote&gt;</w:instrText>
      </w:r>
      <w:r>
        <w:fldChar w:fldCharType="separate"/>
      </w:r>
      <w:r>
        <w:rPr>
          <w:noProof/>
        </w:rPr>
        <w:t>(KS, 2021)</w:t>
      </w:r>
      <w:r>
        <w:fldChar w:fldCharType="end"/>
      </w:r>
      <w:r>
        <w:t xml:space="preserve">. Slike utvalg kan bidra positivt til kommunens styring av tjenesten, men kommunen vil fortsatt ha behov for kontakt med den enkelte fastlege om løpende oppfølging av ansvaret de har påtatt seg på vegne av kommunen. Dette </w:t>
      </w:r>
      <w:r w:rsidRPr="0DEC219B">
        <w:t>kan</w:t>
      </w:r>
      <w:r>
        <w:t xml:space="preserve"> vanskeliggjøres av mange små aktører, også der legene </w:t>
      </w:r>
      <w:r w:rsidRPr="0DEC219B">
        <w:t xml:space="preserve">hovedsakelig </w:t>
      </w:r>
      <w:r>
        <w:t>er organisert i gruppepraksiser. Det er derfor grunn til å stille spørsmål ved</w:t>
      </w:r>
      <w:r w:rsidRPr="000D36A7">
        <w:t xml:space="preserve"> </w:t>
      </w:r>
      <w:r>
        <w:t xml:space="preserve">om </w:t>
      </w:r>
      <w:r w:rsidRPr="0DEC219B">
        <w:t xml:space="preserve">måten </w:t>
      </w:r>
      <w:r>
        <w:t>fastlegeordningen organiseres</w:t>
      </w:r>
      <w:r w:rsidRPr="0DEC219B">
        <w:t xml:space="preserve"> på</w:t>
      </w:r>
      <w:r>
        <w:t>, slår uheldig ut for kommunens mulighet til å profesjonalisere ledelsen av fastlegene og for å tilrettelegge tjenesten slik at den i tilstrekkelig grad ivaretar innbyggernes behov.</w:t>
      </w:r>
    </w:p>
    <w:p w14:paraId="2371E0A3" w14:textId="77777777" w:rsidR="00D9107F" w:rsidRDefault="009C2FAE" w:rsidP="009C2FAE">
      <w:pPr>
        <w:jc w:val="both"/>
      </w:pPr>
      <w:r>
        <w:t xml:space="preserve">Det er grunn til å stille spørsmål ved om dagens organisering i små enheter, der hver lege er ansvarlig for sin egen virksomhet, </w:t>
      </w:r>
      <w:r w:rsidR="00204770">
        <w:t>bidrar nok</w:t>
      </w:r>
      <w:r>
        <w:t xml:space="preserve"> til å fremme innovasjon, tverrfaglighet og oppgavedeling i tjenesten. </w:t>
      </w:r>
      <w:r w:rsidR="00EF5666">
        <w:t>Videre om det ikke</w:t>
      </w:r>
      <w:r>
        <w:t xml:space="preserve"> vil være </w:t>
      </w:r>
      <w:r w:rsidR="7273C120" w:rsidRPr="306240ED">
        <w:t>lettere</w:t>
      </w:r>
      <w:r w:rsidR="00DF524B">
        <w:t xml:space="preserve"> </w:t>
      </w:r>
      <w:r>
        <w:t>å arbeide med tjenesteutvikling i større virksomheter</w:t>
      </w:r>
      <w:r w:rsidR="007163E8">
        <w:t>,</w:t>
      </w:r>
      <w:r>
        <w:t xml:space="preserve"> enn det fastlegetjenestens rammer tilrettelegger for i dag.</w:t>
      </w:r>
    </w:p>
    <w:p w14:paraId="28283408" w14:textId="7BF28F56" w:rsidR="00662870" w:rsidRPr="009C2FAE" w:rsidRDefault="006456FF" w:rsidP="00686511">
      <w:pPr>
        <w:jc w:val="both"/>
      </w:pPr>
      <w:r w:rsidRPr="006456FF">
        <w:t>Ekspertutvalget er bedt om å utrede om kommuner og fastleger skal kunne velge avtale med en gruppe fastleger</w:t>
      </w:r>
      <w:r w:rsidR="00E77D7D">
        <w:t>,</w:t>
      </w:r>
      <w:r w:rsidRPr="006456FF">
        <w:t xml:space="preserve"> som alternativ til individuell fastlegeavtale. Det kan tenkes ulike former for slike gruppeavtaler sammenlignet med dagens individuelt rettede organiseringsform. Utvalget har særlig vurdert to </w:t>
      </w:r>
      <w:r w:rsidR="00686511">
        <w:t>innretninger på gruppeavtaler</w:t>
      </w:r>
      <w:r w:rsidRPr="006456FF">
        <w:t xml:space="preserve">, der den ene innebærer mindre justeringer sammenlignet med dagens gruppepraksiser, mens den andre vil </w:t>
      </w:r>
      <w:r w:rsidR="00686511" w:rsidRPr="006456FF">
        <w:t>innebære en</w:t>
      </w:r>
      <w:r w:rsidRPr="006456FF">
        <w:t xml:space="preserve"> annerledes måte å organisere fastlegetjenesten på. I det følgende vil utvalget redegjøre nærmere for disse to modellene.</w:t>
      </w:r>
    </w:p>
    <w:p w14:paraId="072374AB" w14:textId="4AD6A20E" w:rsidR="004D6806" w:rsidRDefault="00686511" w:rsidP="00775632">
      <w:pPr>
        <w:pStyle w:val="Overskrift3"/>
      </w:pPr>
      <w:bookmarkStart w:id="1699" w:name="_Toc127633210"/>
      <w:bookmarkStart w:id="1700" w:name="_Toc127864494"/>
      <w:bookmarkStart w:id="1701" w:name="_Toc128238503"/>
      <w:bookmarkStart w:id="1702" w:name="_Toc128741982"/>
      <w:bookmarkStart w:id="1703" w:name="_Toc128744577"/>
      <w:bookmarkStart w:id="1704" w:name="_Toc128744796"/>
      <w:bookmarkStart w:id="1705" w:name="_Toc129630296"/>
      <w:bookmarkStart w:id="1706" w:name="_Toc130763804"/>
      <w:bookmarkStart w:id="1707" w:name="_Toc130766699"/>
      <w:bookmarkStart w:id="1708" w:name="_Toc130932099"/>
      <w:bookmarkStart w:id="1709" w:name="_Toc130934390"/>
      <w:bookmarkStart w:id="1710" w:name="_Toc130983451"/>
      <w:bookmarkStart w:id="1711" w:name="_Toc130983800"/>
      <w:bookmarkStart w:id="1712" w:name="_Toc131062126"/>
      <w:bookmarkStart w:id="1713" w:name="_Toc131062380"/>
      <w:bookmarkStart w:id="1714" w:name="_Toc131062641"/>
      <w:bookmarkStart w:id="1715" w:name="_Toc131062894"/>
      <w:bookmarkStart w:id="1716" w:name="_Toc131063662"/>
      <w:bookmarkStart w:id="1717" w:name="_Toc131064083"/>
      <w:bookmarkStart w:id="1718" w:name="_Toc131238377"/>
      <w:bookmarkStart w:id="1719" w:name="_Toc131279408"/>
      <w:bookmarkStart w:id="1720" w:name="_Toc131286820"/>
      <w:bookmarkStart w:id="1721" w:name="_Toc131281230"/>
      <w:bookmarkStart w:id="1722" w:name="_Toc131317769"/>
      <w:bookmarkStart w:id="1723" w:name="_Toc132536965"/>
      <w:r>
        <w:lastRenderedPageBreak/>
        <w:t>Avtaler</w:t>
      </w:r>
      <w:r w:rsidR="72F8A5CA">
        <w:t xml:space="preserve"> mellom </w:t>
      </w:r>
      <w:r w:rsidR="30CAC450">
        <w:t>en gruppepraksis</w:t>
      </w:r>
      <w:r w:rsidR="72F8A5CA">
        <w:t xml:space="preserve"> og kommunen</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3A201470" w14:textId="3D860A11" w:rsidR="00573EB4" w:rsidRDefault="00573EB4" w:rsidP="00573EB4">
      <w:pPr>
        <w:jc w:val="both"/>
      </w:pPr>
      <w:r>
        <w:t>En måte å tilrettelegge for gruppeavtaler på er å la enkelte elementer i de individuelle fastlegeavtalene heller inngå i en avtale mellom kommunen og legekontoret. Mange av pliktene som i dag er pålagt den enkelte fastlege</w:t>
      </w:r>
      <w:r w:rsidR="0014725A">
        <w:t>,</w:t>
      </w:r>
      <w:r>
        <w:t xml:space="preserve"> kan egne seg godt som legekontorets plikter, eksempelvis kravene til åpnings- og telefontider, styringssystem for internkontroll, elektroniske pasientjournalsystemer, rapportering av</w:t>
      </w:r>
      <w:r w:rsidRPr="002A3F1B">
        <w:t xml:space="preserve"> data til styrings- og kvalitetsformål</w:t>
      </w:r>
      <w:r>
        <w:t xml:space="preserve"> og innretning av praksisen for å ivareta ulike typer fastlegeoppgaver, herunder ekstratjenester som vaksinasjon og lignende. Videre vil kommunen kunne inngå avtale med legekontoret om tilrettelegging for studentpraksis, LIS1-stillinger og avtaler om ALIS. Avtalen mellom gruppepraksisen og kommunen vil komme i tillegg til de individuelle fastlegeavtalene som fortsatt vil regulere blant annet listelengde og deltakelse i andre allmennlegeoppgaver og legevakt.</w:t>
      </w:r>
    </w:p>
    <w:p w14:paraId="04013763" w14:textId="77777777" w:rsidR="00D9107F" w:rsidRDefault="008257D4" w:rsidP="008257D4">
      <w:pPr>
        <w:jc w:val="both"/>
      </w:pPr>
      <w:r>
        <w:t xml:space="preserve">I utgangspunktet må legene i gruppepraksisen være enige om hvilke elementer som skal inngå som en del av praksisens avtale med kommunen, og ikke i den enkeltes fastlegeavtale. Videre kan det også legges til rette for at </w:t>
      </w:r>
      <w:r w:rsidR="00FB5C59">
        <w:t xml:space="preserve">en </w:t>
      </w:r>
      <w:r>
        <w:t>representant for gruppepraksisen, eksempelvis selskapets daglige leder hvis selskapet har dette, kan uttale seg på vegne av alle legene på kontoret, med bindende virkning. Daglig leders, eller representantens, ansvar og fullmakter kan defineres nærmere i praksisens vedtekter. På den måten vil det komme tydelig fram hvilke beslutninger som kan tas av daglig leder/representanten, og hvilke som må avklares med hver enkelt lege i gruppepraksisen.</w:t>
      </w:r>
    </w:p>
    <w:p w14:paraId="1D8AFA28" w14:textId="77777777" w:rsidR="00D9107F" w:rsidRDefault="00291361" w:rsidP="00291361">
      <w:pPr>
        <w:jc w:val="both"/>
      </w:pPr>
      <w:r>
        <w:t>Å tilrettelegge for et slikt avtaleforhold vil innebære liten risiko for de involverte partene. Det vil lett kunne gjennomføres, uten å måtte omstrukturere fastlegeordningen i vesentlig grad. Kommunen vil fortsatt måtte inngå individuelle fastlegeavtaler med den enkelte fastlege som regulerer listelengde, deltakelse i andre allmennlegeoppgaver samt andre relevante forhold</w:t>
      </w:r>
      <w:r w:rsidR="002F54BF">
        <w:t>.</w:t>
      </w:r>
      <w:r>
        <w:t xml:space="preserve"> </w:t>
      </w:r>
      <w:r w:rsidR="002F54BF">
        <w:t>D</w:t>
      </w:r>
      <w:r>
        <w:t>en enkelte fastlegen vil fortsatt ha listeansvaret for innbyggerne på sin liste. Forskjellen</w:t>
      </w:r>
      <w:r w:rsidR="00E77D7D">
        <w:t>,</w:t>
      </w:r>
      <w:r>
        <w:t xml:space="preserve"> sammenlignet med dagens gruppepraksiser</w:t>
      </w:r>
      <w:r w:rsidR="00E77D7D">
        <w:t>,</w:t>
      </w:r>
      <w:r>
        <w:t xml:space="preserve"> er at legekontoret i større grad ansvarliggjøres og at dialog i større grad kan skje mellom kommune og legekontor </w:t>
      </w:r>
      <w:r w:rsidR="00AC63FB">
        <w:t>framfor med hver enkelt lege.</w:t>
      </w:r>
      <w:r>
        <w:t xml:space="preserve"> Dette kan bidra til å lette kommunens oppfølging av fastlegene sammenlignet med dagens organisering. En slik løsning vil imidlertid kunne oppleves negativt for enkelte leger. </w:t>
      </w:r>
      <w:r w:rsidRPr="004D7F2E">
        <w:t xml:space="preserve">En viktig opplevd fordel </w:t>
      </w:r>
      <w:r>
        <w:t>ved</w:t>
      </w:r>
      <w:r w:rsidRPr="004D7F2E">
        <w:t xml:space="preserve"> fastlegeyrket er å i stor grad kunne ha sin egen, personlige praksisprofil innenfor rammen av forskrift, forsvarlighet og samarbeid med andre. Denne autonomien </w:t>
      </w:r>
      <w:r w:rsidR="5E40DE34" w:rsidRPr="69042155">
        <w:t>er</w:t>
      </w:r>
      <w:r w:rsidRPr="004D7F2E">
        <w:t xml:space="preserve"> for mange fastleger viktig</w:t>
      </w:r>
      <w:r w:rsidR="00182D37">
        <w:t xml:space="preserve">. </w:t>
      </w:r>
      <w:r>
        <w:t xml:space="preserve">Noen leger vil dermed kanskje ikke ønske å gi </w:t>
      </w:r>
      <w:r w:rsidR="00182D37">
        <w:t>daglig leder</w:t>
      </w:r>
      <w:r>
        <w:t xml:space="preserve"> mulighet til å ta avgjørelser som påvirker </w:t>
      </w:r>
      <w:r w:rsidR="00BC6B31">
        <w:t xml:space="preserve">deres </w:t>
      </w:r>
      <w:r>
        <w:t>praksis</w:t>
      </w:r>
      <w:r w:rsidR="00ED4835">
        <w:t>.</w:t>
      </w:r>
    </w:p>
    <w:p w14:paraId="4F2F10A5" w14:textId="3DB6814B" w:rsidR="007E73F4" w:rsidRDefault="00A35D3F" w:rsidP="00142898">
      <w:pPr>
        <w:jc w:val="both"/>
      </w:pPr>
      <w:r>
        <w:t xml:space="preserve">En </w:t>
      </w:r>
      <w:r w:rsidR="000F53EC">
        <w:t xml:space="preserve">slik modell for gruppeavtale </w:t>
      </w:r>
      <w:r w:rsidR="00711960">
        <w:t xml:space="preserve">vil innebære </w:t>
      </w:r>
      <w:r w:rsidR="009034D4" w:rsidRPr="006456FF">
        <w:t>mindre justeringer sammenlignet med dagens gruppepraksiser</w:t>
      </w:r>
      <w:r w:rsidR="00711960">
        <w:t xml:space="preserve">. </w:t>
      </w:r>
      <w:r w:rsidR="007E73F4">
        <w:t xml:space="preserve">Hvor mye ansvar som legges til </w:t>
      </w:r>
      <w:r w:rsidR="00BC6B31">
        <w:t xml:space="preserve">daglig </w:t>
      </w:r>
      <w:r w:rsidR="007E73F4">
        <w:t>leder, vil kunne variere. I tillegg vil hver enkelt lege i praksisen fortsatt ha individuelle fastlegeavtaler med kommunen.</w:t>
      </w:r>
    </w:p>
    <w:p w14:paraId="0CD3F14B" w14:textId="77777777" w:rsidR="00D9107F" w:rsidRDefault="00711960" w:rsidP="00DE4A4E">
      <w:pPr>
        <w:jc w:val="both"/>
      </w:pPr>
      <w:r>
        <w:lastRenderedPageBreak/>
        <w:t>Det kan lages standardisert</w:t>
      </w:r>
      <w:r w:rsidR="00BC6B31">
        <w:t>e</w:t>
      </w:r>
      <w:r>
        <w:t xml:space="preserve"> avtaler som lister opp vanlige </w:t>
      </w:r>
      <w:r w:rsidR="00BB6802">
        <w:t>elementer</w:t>
      </w:r>
      <w:r w:rsidR="006D46C5">
        <w:t xml:space="preserve"> </w:t>
      </w:r>
      <w:r w:rsidR="00142898">
        <w:t>i gruppepraksisens avtale med kommunen</w:t>
      </w:r>
      <w:r>
        <w:t>.</w:t>
      </w:r>
      <w:r w:rsidR="00142898">
        <w:t xml:space="preserve"> </w:t>
      </w:r>
      <w:r w:rsidR="00D72BC8">
        <w:t xml:space="preserve">De standardiserte avtalene </w:t>
      </w:r>
      <w:r w:rsidR="007E73F4">
        <w:t>kan</w:t>
      </w:r>
      <w:r w:rsidR="00142898">
        <w:t xml:space="preserve"> </w:t>
      </w:r>
      <w:r w:rsidR="009E35BF">
        <w:t xml:space="preserve">blant annet </w:t>
      </w:r>
      <w:r w:rsidR="00CA655D">
        <w:t>tydeliggjøre</w:t>
      </w:r>
      <w:r w:rsidR="00397A44">
        <w:t xml:space="preserve"> </w:t>
      </w:r>
      <w:r w:rsidR="009E35BF">
        <w:t>hvordan kommunen skal følge opp gruppepraksisen</w:t>
      </w:r>
      <w:r w:rsidR="00142898">
        <w:t xml:space="preserve"> </w:t>
      </w:r>
      <w:r w:rsidR="00CA655D">
        <w:t>sett i forhold til de in</w:t>
      </w:r>
      <w:r w:rsidR="006F2872">
        <w:t>dividuelle avtalene, for å redusere eventuell risiko for ansvarspulverisering og fragmentering i avtalene.</w:t>
      </w:r>
      <w:r w:rsidR="00142898">
        <w:t xml:space="preserve"> </w:t>
      </w:r>
      <w:r w:rsidR="00BC6B31">
        <w:t>De standardiserte a</w:t>
      </w:r>
      <w:r w:rsidR="007E73F4">
        <w:t>vtalene kan</w:t>
      </w:r>
      <w:r w:rsidR="003A7580">
        <w:t xml:space="preserve"> også </w:t>
      </w:r>
      <w:r w:rsidR="007E73F4">
        <w:t>tydeliggjøre</w:t>
      </w:r>
      <w:r w:rsidR="003A7580">
        <w:t xml:space="preserve"> hvilke </w:t>
      </w:r>
      <w:r w:rsidR="00CB06BE">
        <w:t>følger</w:t>
      </w:r>
      <w:r w:rsidR="00E07B5F">
        <w:t xml:space="preserve"> brudd på avtalen kan få for gruppepraksisen</w:t>
      </w:r>
      <w:r w:rsidR="00577646">
        <w:t xml:space="preserve"> og eventuelt for den enkelte lege</w:t>
      </w:r>
      <w:r w:rsidR="00E07B5F">
        <w:t xml:space="preserve">, eksempelvis </w:t>
      </w:r>
      <w:r w:rsidR="00DA35E6">
        <w:t xml:space="preserve">konsekvenser </w:t>
      </w:r>
      <w:r w:rsidR="00B27F4A">
        <w:t>ved</w:t>
      </w:r>
      <w:r w:rsidR="00DA35E6">
        <w:t xml:space="preserve"> mislighold</w:t>
      </w:r>
      <w:r w:rsidR="00142898">
        <w:t xml:space="preserve"> </w:t>
      </w:r>
      <w:r w:rsidR="007F248E">
        <w:t xml:space="preserve">av tilgjengelighetsbestemmelser </w:t>
      </w:r>
      <w:r w:rsidR="00B27F4A">
        <w:t>eller lignende.</w:t>
      </w:r>
    </w:p>
    <w:p w14:paraId="691E1C9E" w14:textId="77AB9730" w:rsidR="2E25AC29" w:rsidRDefault="00750AC8" w:rsidP="00775632">
      <w:pPr>
        <w:pStyle w:val="Overskrift3"/>
      </w:pPr>
      <w:bookmarkStart w:id="1724" w:name="_Toc130763805"/>
      <w:bookmarkStart w:id="1725" w:name="_Toc130766700"/>
      <w:bookmarkStart w:id="1726" w:name="_Toc130932100"/>
      <w:bookmarkStart w:id="1727" w:name="_Toc130934391"/>
      <w:bookmarkStart w:id="1728" w:name="_Toc130983452"/>
      <w:bookmarkStart w:id="1729" w:name="_Toc130983801"/>
      <w:bookmarkStart w:id="1730" w:name="_Toc131062127"/>
      <w:bookmarkStart w:id="1731" w:name="_Toc131062381"/>
      <w:bookmarkStart w:id="1732" w:name="_Toc131062642"/>
      <w:bookmarkStart w:id="1733" w:name="_Toc131062895"/>
      <w:bookmarkStart w:id="1734" w:name="_Toc131063663"/>
      <w:bookmarkStart w:id="1735" w:name="_Toc131064084"/>
      <w:bookmarkStart w:id="1736" w:name="_Toc131238378"/>
      <w:bookmarkStart w:id="1737" w:name="_Toc131279409"/>
      <w:bookmarkStart w:id="1738" w:name="_Toc131286821"/>
      <w:bookmarkStart w:id="1739" w:name="_Toc131281231"/>
      <w:bookmarkStart w:id="1740" w:name="_Toc131317770"/>
      <w:bookmarkStart w:id="1741" w:name="_Toc132536966"/>
      <w:r>
        <w:t>Gruppeavtaler der listeansvaret legges til legekontoret</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2CD0235B" w14:textId="77777777" w:rsidR="00D9107F" w:rsidRDefault="00006198" w:rsidP="00006198">
      <w:pPr>
        <w:jc w:val="both"/>
      </w:pPr>
      <w:r>
        <w:t>En annen modell for gruppeavtaler kan være å åpne for at kommunen ikke inngår individuelle fastlegeavtaler med hver enkelt lege, men at det i stedet inngås avtale mellom kommunen og legekontoret</w:t>
      </w:r>
      <w:r w:rsidR="00A66FE8">
        <w:t>,</w:t>
      </w:r>
      <w:r>
        <w:t xml:space="preserve"> som ivaretar alle forhold i fastlegeavtalen. Legekontoret vil da få et samlet og overordnet ansvar for å sørge for fastlegetjenester til innbyggerne på selskapets liste. Ordningen skiller seg altså fra dagens organisering i gruppepraksiser og i praksiser med fellesliste, samt fra beskrivelsen over</w:t>
      </w:r>
      <w:r w:rsidR="00A66FE8">
        <w:t>,</w:t>
      </w:r>
      <w:r>
        <w:t xml:space="preserve"> av den enklere modellen for gruppeavtaler, ved at det ikke inngås individuelle avtaler mellom den enkelte lege og kommunen.</w:t>
      </w:r>
    </w:p>
    <w:p w14:paraId="03CA3986" w14:textId="024504A7" w:rsidR="00006198" w:rsidRDefault="00006198" w:rsidP="00006198">
      <w:pPr>
        <w:jc w:val="both"/>
      </w:pPr>
      <w:r>
        <w:t>Dette vil kunne innebære en større endring i hvordan kommunene kan organisere fastlegetjenestene sine, ved at det vil åpne for at kommunen kan inngå avtaler med andre typer rettssubjekter, organisert i ulike selskapsformer, eller i større grad drifte legekontor selv.</w:t>
      </w:r>
    </w:p>
    <w:p w14:paraId="56599FAC" w14:textId="77777777" w:rsidR="00D9107F" w:rsidRDefault="001A04EE" w:rsidP="001A04EE">
      <w:pPr>
        <w:jc w:val="both"/>
      </w:pPr>
      <w:r>
        <w:t xml:space="preserve">Det sentrale spørsmålet er om en slik måte å organisere fastlegetjenesten på kan være et godt supplement til dagens organisasjonsformer. Dersom det skal være aktuelt å åpne for slike avtaler, vil det, etter ekspertutvalgets mening, være basert på at en slik modell kan bidra til en fastlegetjeneste som har tydelig ledelse, som er tettere knyttet </w:t>
      </w:r>
      <w:r w:rsidR="00A66FE8">
        <w:t xml:space="preserve">til </w:t>
      </w:r>
      <w:r>
        <w:t>de øvrige helse- og omsorgstjenestene i kommunen, og som tilrettelegger for innovasjon, kunnskapsdeling og hensiktsmessig fordeling av oppgaver og ansvar.</w:t>
      </w:r>
    </w:p>
    <w:p w14:paraId="758A295F" w14:textId="47E925BD" w:rsidR="00B02EE9" w:rsidRDefault="00B02EE9" w:rsidP="00B02EE9">
      <w:pPr>
        <w:jc w:val="both"/>
      </w:pPr>
      <w:r w:rsidRPr="007732F3">
        <w:t xml:space="preserve">Å åpne for </w:t>
      </w:r>
      <w:r>
        <w:t>en slik måte å organisere tjenestene på</w:t>
      </w:r>
      <w:r w:rsidR="00F32C07">
        <w:t>,</w:t>
      </w:r>
      <w:r>
        <w:t xml:space="preserve"> vil</w:t>
      </w:r>
      <w:r w:rsidRPr="007732F3">
        <w:t xml:space="preserve"> naturligvis ikke </w:t>
      </w:r>
      <w:r>
        <w:t>tilsi</w:t>
      </w:r>
      <w:r w:rsidRPr="007732F3">
        <w:t xml:space="preserve"> at dagens ordning med individuelle fastlegeavtaler må endres</w:t>
      </w:r>
      <w:r>
        <w:t>. Slike gruppeavtaler vil kunne være et supplement til dagens organisasjonsformer, herunder dagens gruppepraksiser. F</w:t>
      </w:r>
      <w:r w:rsidRPr="007732F3">
        <w:t>astleger som trives godt med det individuelle ansvaret</w:t>
      </w:r>
      <w:r>
        <w:t>,</w:t>
      </w:r>
      <w:r w:rsidRPr="007732F3">
        <w:t xml:space="preserve"> vil kunne fortsette </w:t>
      </w:r>
      <w:r>
        <w:t>med det</w:t>
      </w:r>
      <w:r w:rsidRPr="007732F3">
        <w:t xml:space="preserve"> og inngå i </w:t>
      </w:r>
      <w:r>
        <w:t>individuelle fastlegeavtaler</w:t>
      </w:r>
      <w:r w:rsidR="00A66FE8">
        <w:t xml:space="preserve">, </w:t>
      </w:r>
      <w:r w:rsidRPr="007732F3">
        <w:t>slik som i dag</w:t>
      </w:r>
      <w:r w:rsidR="009A7BC2">
        <w:t>, dersom kommunene ønsker det</w:t>
      </w:r>
      <w:r w:rsidRPr="007732F3">
        <w:t>.</w:t>
      </w:r>
    </w:p>
    <w:p w14:paraId="4BF2B534" w14:textId="77777777" w:rsidR="00D9107F" w:rsidRDefault="00B02EE9" w:rsidP="00B02EE9">
      <w:pPr>
        <w:jc w:val="both"/>
      </w:pPr>
      <w:r>
        <w:t>Et sentralt spørsmål er om organisering med gruppeavtaler vil kunne medføre økte kostnader for fastlegetjenesten</w:t>
      </w:r>
      <w:r w:rsidR="00A66FE8">
        <w:t>,</w:t>
      </w:r>
      <w:r>
        <w:t xml:space="preserve"> sammenlignet med dagens organisasjonsmodeller. Hvor mye kostnadene </w:t>
      </w:r>
      <w:r w:rsidR="00A66FE8">
        <w:t>eventuelt</w:t>
      </w:r>
      <w:r>
        <w:t xml:space="preserve"> vil øke, må undersøkes nærmere og vil avhenge av den nærmere innretningen på slike avtaler, samt innretningen på finansieringsmodellene, </w:t>
      </w:r>
      <w:r w:rsidRPr="00D156C5">
        <w:t xml:space="preserve">herunder </w:t>
      </w:r>
      <w:r w:rsidRPr="003942D6">
        <w:t>eventuell innføring av profesjonsnøytrale takster og kvalitetselement i basistilskuddet</w:t>
      </w:r>
      <w:r w:rsidRPr="00D156C5">
        <w:t xml:space="preserve">. Det må vurderes om fordelene med en slik organisasjonsmodell kan veie opp for de eventuelle ulempene </w:t>
      </w:r>
      <w:r w:rsidR="00A66FE8">
        <w:t>m</w:t>
      </w:r>
      <w:r w:rsidRPr="00D156C5">
        <w:t>ed økte</w:t>
      </w:r>
      <w:r>
        <w:t xml:space="preserve"> kostnader.</w:t>
      </w:r>
    </w:p>
    <w:p w14:paraId="22FBBEF7" w14:textId="49118F2A" w:rsidR="00ED536F" w:rsidRDefault="00ED536F" w:rsidP="00BF01B4">
      <w:pPr>
        <w:pStyle w:val="tittel-ramme"/>
        <w:jc w:val="left"/>
        <w:rPr>
          <w:rStyle w:val="kursiv"/>
        </w:rPr>
      </w:pPr>
      <w:r w:rsidRPr="00D9107F">
        <w:rPr>
          <w:rStyle w:val="kursiv"/>
        </w:rPr>
        <w:lastRenderedPageBreak/>
        <w:t>Organisering av fastlegeordningen ved SiO Helse</w:t>
      </w:r>
    </w:p>
    <w:tbl>
      <w:tblPr>
        <w:tblStyle w:val="StandardBoks"/>
        <w:tblW w:w="0" w:type="auto"/>
        <w:tblLook w:val="04A0" w:firstRow="1" w:lastRow="0" w:firstColumn="1" w:lastColumn="0" w:noHBand="0" w:noVBand="1"/>
      </w:tblPr>
      <w:tblGrid>
        <w:gridCol w:w="9736"/>
      </w:tblGrid>
      <w:tr w:rsidR="00BF01B4" w14:paraId="7FED9A05" w14:textId="77777777" w:rsidTr="00BF01B4">
        <w:tc>
          <w:tcPr>
            <w:tcW w:w="9736" w:type="dxa"/>
          </w:tcPr>
          <w:p w14:paraId="1413CC27" w14:textId="1559655C" w:rsidR="00BF01B4" w:rsidRDefault="00BF01B4" w:rsidP="00BF01B4">
            <w:r w:rsidRPr="00DE43E8">
              <w:t>Siden 1954 ha</w:t>
            </w:r>
            <w:r>
              <w:t>r</w:t>
            </w:r>
            <w:r w:rsidRPr="00DE43E8">
              <w:t xml:space="preserve"> legene ved Helsetjenesten ved Universitetet i Oslo stått for et bredt allmennlegetilbud til studenter og ansatte.  Da fastlegeordningen ble innført, ble allmennlegetilbudet for studenter og ansatte ved Universitet i Oslo en del av denne.</w:t>
            </w:r>
          </w:p>
          <w:p w14:paraId="2D4EFC16" w14:textId="219233F8" w:rsidR="00BF01B4" w:rsidRPr="00DE43E8" w:rsidRDefault="00BF01B4" w:rsidP="00BF01B4">
            <w:r w:rsidRPr="00DE43E8">
              <w:t xml:space="preserve">Pasientgrunnlaget ble videreført, og den særskilte bruksretten er </w:t>
            </w:r>
            <w:r>
              <w:t>tatt inn</w:t>
            </w:r>
            <w:r w:rsidRPr="00DE43E8">
              <w:t xml:space="preserve"> i forskrift om pasient- og brukerrettigheter i fastlegeordningen § 3.</w:t>
            </w:r>
          </w:p>
          <w:p w14:paraId="4A299595" w14:textId="77777777" w:rsidR="00BF01B4" w:rsidRPr="00DE43E8" w:rsidRDefault="00BF01B4" w:rsidP="00BF01B4">
            <w:r w:rsidRPr="00DE43E8">
              <w:t>Fastlegetilbudet ved SiO Helse er regulert i en avtale med Oslo kommune. I avtalen er det SiO Helse som tildeles og disponerer hjemlene, og som ansetter legene. Det er samarbeid med kommunen, blant annet om opprettelse av flere fastlegehjemler.</w:t>
            </w:r>
          </w:p>
          <w:p w14:paraId="385C5ACF" w14:textId="77777777" w:rsidR="00BF01B4" w:rsidRPr="00DE43E8" w:rsidRDefault="00BF01B4" w:rsidP="00BF01B4">
            <w:r w:rsidRPr="00DE43E8">
              <w:t xml:space="preserve">Fastlegetjenesten </w:t>
            </w:r>
            <w:r>
              <w:t>ved</w:t>
            </w:r>
            <w:r w:rsidRPr="00DE43E8">
              <w:t xml:space="preserve"> SiO Helse er lokalisert i en egen seksjon. I tillegg er det egne seksjoner for psykisk helse og rådgiving, sekretærtjeneste og tannhelse. I disse enhetene jobber det psykologer, psykologspesialister, psykiatere, sosionomer, psykomotorisk fysioterapeut og tannleger. Alle seksjoner er samlokalisert.</w:t>
            </w:r>
          </w:p>
          <w:p w14:paraId="4A147D55" w14:textId="77777777" w:rsidR="00BF01B4" w:rsidRPr="00DE43E8" w:rsidRDefault="00BF01B4" w:rsidP="00BF01B4">
            <w:r w:rsidRPr="00DE43E8">
              <w:t>Allmennseksjonen ved SiO Helse består av 15 fastleger, LIS1, en helsesykepleier og to sykepleiere. Seksjonen ledes av seksjonsoverlege, som i tillegg til budsjett- og personalansvar, har det overordnede medisinske ansvaret for tjenesten. Elleve av femten fastlegehjemler er besatt av spesialister i allmennmedisin. For en fastlege i 100 prosent stilling er listetaket per i dag 1150 listeinnbyggere.</w:t>
            </w:r>
          </w:p>
          <w:p w14:paraId="0F190052" w14:textId="77777777" w:rsidR="00BF01B4" w:rsidRPr="00DE43E8" w:rsidRDefault="00BF01B4" w:rsidP="00BF01B4">
            <w:r w:rsidRPr="00DE43E8">
              <w:t>Tjenesten er finansiert gjennom basistilskudd og takster, på lik linje med ordinær fastlegetjeneste og skal gå med positiv driftsmargin når kostnader til lønn, husleie, IT, helsesekretær, overhead og materialer er regnet inn. Fastlegene har fastlønn med bonus. Lønnsmodellen angis å gi høy produksjon. I tillegg oppleves ordningen som rettferdig, ved at leger som påtar seg ekstrabelastning med lange dager og mange konsultasjoner, kompenseres for dette.</w:t>
            </w:r>
          </w:p>
          <w:p w14:paraId="4D2E067B" w14:textId="77777777" w:rsidR="00BF01B4" w:rsidRPr="00DE43E8" w:rsidRDefault="00BF01B4" w:rsidP="00BF01B4">
            <w:r w:rsidRPr="00DE43E8">
              <w:t>Det legges til rette for deltakelse på kurs og kompetanseheving. Spesialister i allmennmedisin har overlegepermisjon, på samme måte som sykehusleger, hvert 5. år. Det er faste felles møter, fagdager og samarbeid på tvers av yrkesgruppene i andre seksjoner knyttet til utvikling av tjenesten og digitale tilbud.</w:t>
            </w:r>
          </w:p>
          <w:p w14:paraId="79BB7B77" w14:textId="77777777" w:rsidR="00BF01B4" w:rsidRPr="00DE43E8" w:rsidRDefault="00BF01B4" w:rsidP="00BF01B4">
            <w:r w:rsidRPr="00DE43E8">
              <w:t xml:space="preserve">Legene samarbeider </w:t>
            </w:r>
            <w:r>
              <w:t xml:space="preserve">på tvers av seksjonen </w:t>
            </w:r>
            <w:r w:rsidRPr="00DE43E8">
              <w:t>med psykologer og psykiatere, tannleger, sosionomer og ernæringsfysiolog om oppfølgingen av pasienter.</w:t>
            </w:r>
          </w:p>
          <w:p w14:paraId="08C16FE0" w14:textId="6F762E33" w:rsidR="00BF01B4" w:rsidRPr="00BF01B4" w:rsidRDefault="00BF01B4" w:rsidP="00BF01B4">
            <w:pPr>
              <w:rPr>
                <w:caps/>
              </w:rPr>
            </w:pPr>
            <w:r w:rsidRPr="00DE43E8">
              <w:t>Enkelte allmennlegeoppgaver utføres av annet personell enn legene. Helsesykepleier har samtaletilbud knyttet til kropp og seksualitet, prevensjonsveiledning, forskrivning av prevensjon og innsettelse av p-stav. Sykepleiere driver vaksinasjonspoliklinikk, sårskift, testing og MRSA-sanering, og gjør annet skiftestuearbeid.</w:t>
            </w:r>
          </w:p>
        </w:tc>
      </w:tr>
    </w:tbl>
    <w:p w14:paraId="2272A2A7" w14:textId="4897B1DE" w:rsidR="00F4717B" w:rsidRDefault="05819AE7" w:rsidP="00775632">
      <w:pPr>
        <w:pStyle w:val="Overskrift4"/>
      </w:pPr>
      <w:bookmarkStart w:id="1742" w:name="_Toc130983453"/>
      <w:bookmarkStart w:id="1743" w:name="_Toc130983802"/>
      <w:bookmarkStart w:id="1744" w:name="_Toc131063664"/>
      <w:bookmarkStart w:id="1745" w:name="_Toc131064085"/>
      <w:bookmarkStart w:id="1746" w:name="_Toc131238379"/>
      <w:bookmarkStart w:id="1747" w:name="_Toc131279410"/>
      <w:bookmarkStart w:id="1748" w:name="_Toc131286822"/>
      <w:bookmarkStart w:id="1749" w:name="_Toc131281232"/>
      <w:bookmarkStart w:id="1750" w:name="_Toc131317771"/>
      <w:r>
        <w:lastRenderedPageBreak/>
        <w:t>Tydelig ledelse kan fremme innovasjon og tett kontakt med kommunen</w:t>
      </w:r>
      <w:bookmarkEnd w:id="1742"/>
      <w:bookmarkEnd w:id="1743"/>
      <w:bookmarkEnd w:id="1744"/>
      <w:bookmarkEnd w:id="1745"/>
      <w:bookmarkEnd w:id="1746"/>
      <w:bookmarkEnd w:id="1747"/>
      <w:bookmarkEnd w:id="1748"/>
      <w:bookmarkEnd w:id="1749"/>
      <w:bookmarkEnd w:id="1750"/>
    </w:p>
    <w:p w14:paraId="5E14C9E6" w14:textId="77777777" w:rsidR="00D9107F" w:rsidRDefault="00603508" w:rsidP="00603508">
      <w:pPr>
        <w:jc w:val="both"/>
        <w:rPr>
          <w:color w:val="000000" w:themeColor="text1"/>
        </w:rPr>
      </w:pPr>
      <w:r>
        <w:t>Organisering av fastlegeordningen i gruppeavtaler med legekontoret vil</w:t>
      </w:r>
      <w:r w:rsidR="00A66FE8">
        <w:t>,</w:t>
      </w:r>
      <w:r>
        <w:t xml:space="preserve"> som nevnt</w:t>
      </w:r>
      <w:r w:rsidR="00A66FE8">
        <w:t>,</w:t>
      </w:r>
      <w:r>
        <w:t xml:space="preserve"> innebære at ansvaret for å tilby fastlegetjenester løftes fra den enkelte fastlege og over på legekontoret. Fastleger, og andre ansatte tilknyttet legekontoret, vil fortsatt utøve oppgavene i fastlegeordningen overfor innbyggerne på listen. Legekontoret som sådan vil være</w:t>
      </w:r>
      <w:r w:rsidRPr="00464402">
        <w:t xml:space="preserve"> ansvarlig </w:t>
      </w:r>
      <w:r>
        <w:t xml:space="preserve">for tjenestene som ytes. En slik organisering av fastlegetjenesten, der </w:t>
      </w:r>
      <w:r w:rsidRPr="5A74A7DA">
        <w:t>ledelsen</w:t>
      </w:r>
      <w:r>
        <w:t xml:space="preserve"> for legekontoret har et helhetlig </w:t>
      </w:r>
      <w:r w:rsidRPr="0B49E385">
        <w:t>ansvar</w:t>
      </w:r>
      <w:r>
        <w:t xml:space="preserve"> for tjenestene som utføres, vil være en mer vanlig form for organisering og </w:t>
      </w:r>
      <w:r w:rsidRPr="00917AB4">
        <w:rPr>
          <w:color w:val="000000" w:themeColor="text1"/>
        </w:rPr>
        <w:t xml:space="preserve">ledelse, </w:t>
      </w:r>
      <w:r w:rsidR="00E125BB" w:rsidRPr="00917AB4">
        <w:rPr>
          <w:color w:val="000000" w:themeColor="text1"/>
        </w:rPr>
        <w:t xml:space="preserve">sammenliknet med </w:t>
      </w:r>
      <w:r w:rsidR="00A66FE8" w:rsidRPr="00917AB4">
        <w:rPr>
          <w:color w:val="000000" w:themeColor="text1"/>
        </w:rPr>
        <w:t xml:space="preserve">både </w:t>
      </w:r>
      <w:r w:rsidRPr="00917AB4">
        <w:rPr>
          <w:color w:val="000000" w:themeColor="text1"/>
        </w:rPr>
        <w:t xml:space="preserve">offentlig og privat </w:t>
      </w:r>
      <w:r w:rsidR="3979CF4B" w:rsidRPr="00917AB4">
        <w:rPr>
          <w:color w:val="000000" w:themeColor="text1"/>
        </w:rPr>
        <w:t>sektor.</w:t>
      </w:r>
    </w:p>
    <w:p w14:paraId="2F652E3A" w14:textId="77777777" w:rsidR="00D9107F" w:rsidRDefault="00603508" w:rsidP="00603508">
      <w:pPr>
        <w:jc w:val="both"/>
        <w:rPr>
          <w:color w:val="000000" w:themeColor="text1"/>
        </w:rPr>
      </w:pPr>
      <w:r w:rsidRPr="00917AB4">
        <w:rPr>
          <w:color w:val="000000" w:themeColor="text1"/>
        </w:rPr>
        <w:t>Legekontorets leder vil måtte ha en vesentlig del av sin stilling avsatt til ledelsesoppgaver</w:t>
      </w:r>
      <w:r w:rsidR="002B29DB" w:rsidRPr="00917AB4">
        <w:rPr>
          <w:color w:val="000000" w:themeColor="text1"/>
        </w:rPr>
        <w:t xml:space="preserve">. </w:t>
      </w:r>
      <w:r w:rsidRPr="00917AB4">
        <w:rPr>
          <w:color w:val="000000" w:themeColor="text1"/>
        </w:rPr>
        <w:t>Der fastlegeavtalen inngås med et næringsdrivende legekontor, vil kommunen primært ha behov for løpende kontakt med daglig leder av legekontoret. Dette kan bidra til at kommunen får bedre kontakt med de næringsdrivende aktørene i fastlegeordningen, som igjen vil kunne styrke kommunens oppfølging av tjenesten. Det kan også stimulere til bedre kontakt og rutiner for samarbeid på systemnivå, mellom legekontoret og andre kommunale helse- og omsorgstjenester. Samtidig vil mer ledelse</w:t>
      </w:r>
      <w:r w:rsidR="00A66FE8" w:rsidRPr="00917AB4">
        <w:rPr>
          <w:color w:val="000000" w:themeColor="text1"/>
        </w:rPr>
        <w:t>,</w:t>
      </w:r>
      <w:r w:rsidRPr="00917AB4">
        <w:rPr>
          <w:color w:val="000000" w:themeColor="text1"/>
        </w:rPr>
        <w:t xml:space="preserve"> på bekostning av ordinært legearbeid, dersom daglig leder er lege, ha en ekstra kostnad og legge beslag på legekapasitet.</w:t>
      </w:r>
    </w:p>
    <w:p w14:paraId="5D50DA0F" w14:textId="77777777" w:rsidR="00D9107F" w:rsidRDefault="00F4717B" w:rsidP="00F4717B">
      <w:pPr>
        <w:jc w:val="both"/>
        <w:rPr>
          <w:color w:val="000000" w:themeColor="text1"/>
        </w:rPr>
      </w:pPr>
      <w:r w:rsidRPr="00917AB4">
        <w:rPr>
          <w:color w:val="000000" w:themeColor="text1"/>
        </w:rPr>
        <w:t>At ansvaret løftes fr</w:t>
      </w:r>
      <w:r w:rsidR="00A66FE8" w:rsidRPr="00917AB4">
        <w:rPr>
          <w:color w:val="000000" w:themeColor="text1"/>
        </w:rPr>
        <w:t>a</w:t>
      </w:r>
      <w:r w:rsidRPr="00917AB4">
        <w:rPr>
          <w:color w:val="000000" w:themeColor="text1"/>
        </w:rPr>
        <w:t>m på denne måten</w:t>
      </w:r>
      <w:r w:rsidR="00B81A94" w:rsidRPr="00917AB4">
        <w:rPr>
          <w:color w:val="000000" w:themeColor="text1"/>
        </w:rPr>
        <w:t>,</w:t>
      </w:r>
      <w:r w:rsidRPr="00917AB4">
        <w:rPr>
          <w:color w:val="000000" w:themeColor="text1"/>
        </w:rPr>
        <w:t xml:space="preserve"> vil kunne bidra til tydeligere ledelse av fastlegetjenesten sammenlignet med i dag</w:t>
      </w:r>
      <w:r w:rsidR="00C62DEF" w:rsidRPr="00917AB4">
        <w:rPr>
          <w:color w:val="000000" w:themeColor="text1"/>
        </w:rPr>
        <w:t>,</w:t>
      </w:r>
      <w:r w:rsidRPr="00917AB4">
        <w:rPr>
          <w:color w:val="000000" w:themeColor="text1"/>
        </w:rPr>
        <w:t xml:space="preserve"> hvor hver enkelt lege i stor grad leder seg selv. </w:t>
      </w:r>
      <w:r w:rsidR="00B1770D" w:rsidRPr="00917AB4">
        <w:rPr>
          <w:color w:val="000000" w:themeColor="text1"/>
        </w:rPr>
        <w:t>Profesjonalisert</w:t>
      </w:r>
      <w:r w:rsidRPr="00917AB4">
        <w:rPr>
          <w:color w:val="000000" w:themeColor="text1"/>
        </w:rPr>
        <w:t xml:space="preserve"> ledelse </w:t>
      </w:r>
      <w:r w:rsidR="00C62DEF" w:rsidRPr="00917AB4">
        <w:rPr>
          <w:color w:val="000000" w:themeColor="text1"/>
        </w:rPr>
        <w:t>kan</w:t>
      </w:r>
      <w:r w:rsidRPr="00917AB4">
        <w:rPr>
          <w:color w:val="000000" w:themeColor="text1"/>
        </w:rPr>
        <w:t xml:space="preserve"> gi grunnlag for å arbeide annerledes enn i dag, ved at </w:t>
      </w:r>
      <w:r w:rsidR="00C62DEF" w:rsidRPr="00917AB4">
        <w:rPr>
          <w:color w:val="000000" w:themeColor="text1"/>
        </w:rPr>
        <w:t xml:space="preserve">legekontoret </w:t>
      </w:r>
      <w:r w:rsidRPr="00917AB4">
        <w:rPr>
          <w:color w:val="000000" w:themeColor="text1"/>
        </w:rPr>
        <w:t xml:space="preserve">får insentiver til å finne bedre eller mer effektive måter å løse oppgavene på. Det kan videre også være enklere å skape rom for innovasjon i en større virksomhet enn i et enkeltpersonsforetak, blant annet fordi en større virksomhet kan bidra til en arbeidsdeling som gir tid til å tenke nytt og annerledes. </w:t>
      </w:r>
      <w:r w:rsidR="00C62DEF" w:rsidRPr="00917AB4">
        <w:rPr>
          <w:color w:val="000000" w:themeColor="text1"/>
        </w:rPr>
        <w:t>På samme måte kan det</w:t>
      </w:r>
      <w:r w:rsidRPr="00917AB4">
        <w:rPr>
          <w:color w:val="000000" w:themeColor="text1"/>
        </w:rPr>
        <w:t xml:space="preserve"> legges bedre til rette for arbeid med systematisk kvalitetsforbedring, kompetanseheving og utdanningsvirksomhet. Det kan også tenkes å i større grad kunne stimulere til</w:t>
      </w:r>
      <w:r w:rsidR="00087411" w:rsidRPr="00917AB4">
        <w:rPr>
          <w:color w:val="000000" w:themeColor="text1"/>
        </w:rPr>
        <w:t>,</w:t>
      </w:r>
      <w:r w:rsidRPr="00917AB4">
        <w:rPr>
          <w:color w:val="000000" w:themeColor="text1"/>
        </w:rPr>
        <w:t xml:space="preserve"> og prioritere</w:t>
      </w:r>
      <w:r w:rsidR="00087411" w:rsidRPr="00917AB4">
        <w:rPr>
          <w:color w:val="000000" w:themeColor="text1"/>
        </w:rPr>
        <w:t>,</w:t>
      </w:r>
      <w:r w:rsidRPr="00917AB4">
        <w:rPr>
          <w:color w:val="000000" w:themeColor="text1"/>
        </w:rPr>
        <w:t xml:space="preserve"> forskning.</w:t>
      </w:r>
    </w:p>
    <w:p w14:paraId="60C26DA4" w14:textId="57AB2FAD" w:rsidR="00C82C4B" w:rsidRDefault="00EA6BD4" w:rsidP="00775632">
      <w:pPr>
        <w:pStyle w:val="Overskrift4"/>
      </w:pPr>
      <w:bookmarkStart w:id="1751" w:name="_Toc130983454"/>
      <w:bookmarkStart w:id="1752" w:name="_Toc130983803"/>
      <w:bookmarkStart w:id="1753" w:name="_Toc131064086"/>
      <w:bookmarkStart w:id="1754" w:name="_Toc131238380"/>
      <w:bookmarkStart w:id="1755" w:name="_Toc131279411"/>
      <w:bookmarkStart w:id="1756" w:name="_Toc131286823"/>
      <w:bookmarkStart w:id="1757" w:name="_Toc131281233"/>
      <w:bookmarkStart w:id="1758" w:name="_Toc131317772"/>
      <w:r>
        <w:t>M</w:t>
      </w:r>
      <w:r w:rsidR="00C82C4B" w:rsidRPr="00C82C4B">
        <w:t>ulighet for faste ansettelsesforhold og færre administrative oppgaver</w:t>
      </w:r>
      <w:bookmarkEnd w:id="1751"/>
      <w:bookmarkEnd w:id="1752"/>
      <w:bookmarkEnd w:id="1753"/>
      <w:bookmarkEnd w:id="1754"/>
      <w:bookmarkEnd w:id="1755"/>
      <w:bookmarkEnd w:id="1756"/>
      <w:bookmarkEnd w:id="1757"/>
      <w:bookmarkEnd w:id="1758"/>
    </w:p>
    <w:p w14:paraId="571E4B35" w14:textId="77777777" w:rsidR="00D9107F" w:rsidRDefault="00267439" w:rsidP="00267439">
      <w:pPr>
        <w:jc w:val="both"/>
      </w:pPr>
      <w:r>
        <w:t xml:space="preserve">Både dersom gruppeavtale inngås med et næringsdrivende legekontor </w:t>
      </w:r>
      <w:r w:rsidR="00A66FE8">
        <w:t xml:space="preserve">og </w:t>
      </w:r>
      <w:r w:rsidR="00591661">
        <w:t xml:space="preserve">med </w:t>
      </w:r>
      <w:r>
        <w:t xml:space="preserve">et kommunalt drevet legekontor, er det </w:t>
      </w:r>
      <w:r w:rsidRPr="6841C4C6">
        <w:t xml:space="preserve">naturlig å se for seg at </w:t>
      </w:r>
      <w:r>
        <w:t xml:space="preserve">legekontoret </w:t>
      </w:r>
      <w:r w:rsidRPr="6841C4C6">
        <w:t xml:space="preserve">vil ansette leger og annet nødvendig personell for å utøve de fastlegetjenestene som </w:t>
      </w:r>
      <w:r>
        <w:t>legekontoret</w:t>
      </w:r>
      <w:r w:rsidRPr="6841C4C6">
        <w:t xml:space="preserve"> har påtatt seg ansvar for</w:t>
      </w:r>
      <w:r>
        <w:t>. Det vil være opp til legekontoret om personell</w:t>
      </w:r>
      <w:r w:rsidR="002D7A38">
        <w:t>et</w:t>
      </w:r>
      <w:r>
        <w:t xml:space="preserve"> skal være næringsdrivende</w:t>
      </w:r>
      <w:r w:rsidR="002D7A38">
        <w:t>, ansatt</w:t>
      </w:r>
      <w:r w:rsidR="00591661">
        <w:t>,</w:t>
      </w:r>
      <w:r>
        <w:t xml:space="preserve"> eller en kombinasjon av begge deler. </w:t>
      </w:r>
      <w:r w:rsidRPr="6841C4C6">
        <w:t>Dette vil kunne bidra til å sikre leger som ønsker det</w:t>
      </w:r>
      <w:r>
        <w:t>,</w:t>
      </w:r>
      <w:r w:rsidRPr="6841C4C6">
        <w:t xml:space="preserve"> et ansettelsesforhold</w:t>
      </w:r>
      <w:r w:rsidR="00A66FE8">
        <w:t>,</w:t>
      </w:r>
      <w:r w:rsidRPr="6841C4C6">
        <w:t xml:space="preserve"> samtidig som næringsdriftsmodellen </w:t>
      </w:r>
      <w:r>
        <w:t xml:space="preserve">kan </w:t>
      </w:r>
      <w:r w:rsidRPr="6841C4C6">
        <w:t>opprettholdes.</w:t>
      </w:r>
    </w:p>
    <w:p w14:paraId="42BF772E" w14:textId="77777777" w:rsidR="00D9107F" w:rsidRDefault="002E48C7" w:rsidP="002E48C7">
      <w:pPr>
        <w:jc w:val="both"/>
      </w:pPr>
      <w:r w:rsidRPr="6841C4C6">
        <w:t xml:space="preserve">Legene som ansettes </w:t>
      </w:r>
      <w:r w:rsidR="00670C15">
        <w:t>ved legekontoret</w:t>
      </w:r>
      <w:r w:rsidR="00C15EBC">
        <w:t>,</w:t>
      </w:r>
      <w:r w:rsidRPr="6841C4C6">
        <w:t xml:space="preserve"> vil i større grad kunne fokusere på det kliniske arbeidet</w:t>
      </w:r>
      <w:r w:rsidR="00A66FE8">
        <w:t>,</w:t>
      </w:r>
      <w:r w:rsidRPr="6841C4C6">
        <w:t xml:space="preserve"> og i mindre grad enn ved dagens organiseringsmodeller måtte bruke tid på administrativt arbeid knyttet til det å drive sin egen virksomhet</w:t>
      </w:r>
      <w:r w:rsidR="00A66FE8">
        <w:t>,</w:t>
      </w:r>
      <w:r w:rsidRPr="6841C4C6">
        <w:t xml:space="preserve"> som selvstendig næringsdrivende. De administrative oppgavene vil tilligge </w:t>
      </w:r>
      <w:r w:rsidR="00670C15">
        <w:t>legekontorets</w:t>
      </w:r>
      <w:r w:rsidRPr="6841C4C6">
        <w:t xml:space="preserve"> ledelse, slik at den høyt spesialiserte kompetansen til legene </w:t>
      </w:r>
      <w:r w:rsidRPr="6841C4C6">
        <w:lastRenderedPageBreak/>
        <w:t xml:space="preserve">i størst </w:t>
      </w:r>
      <w:r w:rsidR="00A66FE8">
        <w:t xml:space="preserve">mulig </w:t>
      </w:r>
      <w:r w:rsidRPr="6841C4C6">
        <w:t xml:space="preserve">grad </w:t>
      </w:r>
      <w:r w:rsidR="00A66FE8">
        <w:t>kan</w:t>
      </w:r>
      <w:r w:rsidRPr="6841C4C6">
        <w:t xml:space="preserve"> benyttes i det pasientrettede arbeidet</w:t>
      </w:r>
      <w:r>
        <w:t>.</w:t>
      </w:r>
      <w:r w:rsidRPr="6841C4C6">
        <w:t xml:space="preserve"> Dette vil kunne bidra til en fastlegetjeneste med større fokus på oppga</w:t>
      </w:r>
      <w:r w:rsidR="00642A57">
        <w:t>ve</w:t>
      </w:r>
      <w:r w:rsidRPr="6841C4C6">
        <w:t>deling e</w:t>
      </w:r>
      <w:r w:rsidRPr="05DABA61">
        <w:t>nn</w:t>
      </w:r>
      <w:r>
        <w:t xml:space="preserve"> dagens organisering. Oppgave</w:t>
      </w:r>
      <w:r w:rsidR="00642A57">
        <w:t>deling</w:t>
      </w:r>
      <w:r>
        <w:t xml:space="preserve"> hvor leger i større grad bruker tid på rene legeoppgaver og hvor andre oppgaver kan løses av andre, vil også være i tråd med Helsepersonellkommisjonens anbefaling om en bærekraftig tjeneste</w:t>
      </w:r>
      <w:r w:rsidR="35490FFC">
        <w:t xml:space="preserve"> </w:t>
      </w:r>
      <w:r w:rsidR="00F16715">
        <w:fldChar w:fldCharType="begin"/>
      </w:r>
      <w:r w:rsidR="00F16715">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F16715">
        <w:fldChar w:fldCharType="separate"/>
      </w:r>
      <w:r w:rsidR="00F16715">
        <w:rPr>
          <w:noProof/>
        </w:rPr>
        <w:t>(Helse- og omsorgsdepartementet, 2023c)</w:t>
      </w:r>
      <w:r w:rsidR="00F16715">
        <w:fldChar w:fldCharType="end"/>
      </w:r>
      <w:r>
        <w:t>.</w:t>
      </w:r>
    </w:p>
    <w:p w14:paraId="46BF2C9F" w14:textId="40381662" w:rsidR="002E48C7" w:rsidRDefault="002E48C7" w:rsidP="002E48C7">
      <w:pPr>
        <w:jc w:val="both"/>
      </w:pPr>
      <w:r>
        <w:t>SiO Helse tilbyr i dag fastlegene ansettelse, der fastlegene ansettes med fastlønn og bonus. Samtidig inngår fastlegetjenesten i SiOs konsernmodell, som gir støtte for HR, lønn, økonomi og andre administrative oppgaver. Dette medfører at legene primært arbeider klinisk og pasientrettet, uten å måtte bruke tid på drift og administrasjon.</w:t>
      </w:r>
    </w:p>
    <w:p w14:paraId="6DD38F52" w14:textId="77777777" w:rsidR="00D9107F" w:rsidRDefault="002E48C7" w:rsidP="002E48C7">
      <w:pPr>
        <w:jc w:val="both"/>
      </w:pPr>
      <w:r>
        <w:t>I en undersøkelse fra 2020 av hvilke leger som velger seg bort fra allmennmedisin og hvorfor, ble a</w:t>
      </w:r>
      <w:r w:rsidRPr="007E17B4">
        <w:t>dministrativ byrde og lite faglig miljø</w:t>
      </w:r>
      <w:r>
        <w:t xml:space="preserve"> trukket fr</w:t>
      </w:r>
      <w:r w:rsidR="00591661">
        <w:t>a</w:t>
      </w:r>
      <w:r>
        <w:t>m som viktige årsaker til at leger valgte seg bort fra allmennmedisin</w:t>
      </w:r>
      <w:r w:rsidR="1AF5FEB9">
        <w:t xml:space="preserve"> </w:t>
      </w:r>
      <w:r w:rsidR="00CD73A4">
        <w:fldChar w:fldCharType="begin"/>
      </w:r>
      <w:r w:rsidR="004654FD">
        <w:instrText xml:space="preserve"> ADDIN EN.CITE &lt;EndNote&gt;&lt;Cite&gt;&lt;Author&gt;Birkeli&lt;/Author&gt;&lt;Year&gt;2020&lt;/Year&gt;&lt;RecNum&gt;349&lt;/RecNum&gt;&lt;DisplayText&gt;(Birkeli et al., 2020)&lt;/DisplayText&gt;&lt;record&gt;&lt;rec-number&gt;349&lt;/rec-number&gt;&lt;foreign-keys&gt;&lt;key app="EN" db-id="95tpr2tp6r9xwoea9rb5wdsz5ds5xeddteew" timestamp="1680069511"&gt;349&lt;/key&gt;&lt;/foreign-keys&gt;&lt;ref-type name="Journal Article"&gt;17&lt;/ref-type&gt;&lt;contributors&gt;&lt;authors&gt;&lt;author&gt;Birkeli, Cecilie Normann&lt;/author&gt;&lt;author&gt;Rosta, Judith&lt;/author&gt;&lt;author&gt;Aasland, Olaf Gjerløw&lt;/author&gt;&lt;author&gt;Rø, Karin Isaksson&lt;/author&gt;&lt;/authors&gt;&lt;/contributors&gt;&lt;titles&gt;&lt;title&gt;Hvorfor velger leger seg bort fra allmennmedisin?&lt;/title&gt;&lt;secondary-title&gt;Tidsskrift for den Norske Lægeforening&lt;/secondary-title&gt;&lt;/titles&gt;&lt;dates&gt;&lt;year&gt;2020&lt;/year&gt;&lt;/dates&gt;&lt;isbn&gt;0029-2001&lt;/isbn&gt;&lt;urls&gt;&lt;/urls&gt;&lt;/record&gt;&lt;/Cite&gt;&lt;/EndNote&gt;</w:instrText>
      </w:r>
      <w:r w:rsidR="00CD73A4">
        <w:fldChar w:fldCharType="separate"/>
      </w:r>
      <w:r w:rsidR="00CD73A4">
        <w:rPr>
          <w:noProof/>
        </w:rPr>
        <w:t>(Birkeli et al., 2020)</w:t>
      </w:r>
      <w:r w:rsidR="00CD73A4">
        <w:fldChar w:fldCharType="end"/>
      </w:r>
      <w:r w:rsidR="393FA527">
        <w:t>.</w:t>
      </w:r>
      <w:r>
        <w:t xml:space="preserve"> Lite faglig nettverk, lite samarbeid med andre kolleger, at det er kostbart å etablere egen praksis og at en ikke ønsket å være selvstendig næringsdrivende, er eksempler på andre årsaker til å velge bort og til å slutte i allmennpraksis for legene som ble forespurt. </w:t>
      </w:r>
      <w:r w:rsidR="002C30E0">
        <w:t>Legekontor med gruppeavtale</w:t>
      </w:r>
      <w:r>
        <w:t xml:space="preserve"> vil kunne gi mulighet for ansettelsesforhold og færre administrative oppgaver, samt tilrettelegge for et enda større fagmiljø enn dagens gruppepraksis. Dette</w:t>
      </w:r>
      <w:r w:rsidRPr="004673B0">
        <w:t xml:space="preserve"> kan virke rekrutterende</w:t>
      </w:r>
      <w:r>
        <w:t xml:space="preserve"> for å få nye leger inn i ordningen og kan bidra til å beholde erfarne fastleger.</w:t>
      </w:r>
    </w:p>
    <w:p w14:paraId="4E79C9F4" w14:textId="77777777" w:rsidR="00D9107F" w:rsidRDefault="00347888" w:rsidP="00347888">
      <w:pPr>
        <w:jc w:val="both"/>
      </w:pPr>
      <w:r w:rsidRPr="6841C4C6">
        <w:t xml:space="preserve">En konsekvens av at ansvaret for å yte fastlegetjenester ligger hos </w:t>
      </w:r>
      <w:r>
        <w:t>legekontoret</w:t>
      </w:r>
      <w:r w:rsidR="00612DA8">
        <w:t>,</w:t>
      </w:r>
      <w:r w:rsidRPr="6841C4C6">
        <w:t xml:space="preserve"> kan være at </w:t>
      </w:r>
      <w:r>
        <w:t>legekontoret</w:t>
      </w:r>
      <w:r w:rsidRPr="6841C4C6">
        <w:t xml:space="preserve"> selv </w:t>
      </w:r>
      <w:r>
        <w:t>kan eller må</w:t>
      </w:r>
      <w:r w:rsidRPr="6841C4C6">
        <w:t xml:space="preserve"> ha direkteoppgjørsavtale med Helfo, og at de ansattes refusjonskrav sendes inn på vegne av selskapet. </w:t>
      </w:r>
      <w:r>
        <w:t>Det kan tenkes at legekontoret</w:t>
      </w:r>
      <w:r w:rsidRPr="6841C4C6">
        <w:t xml:space="preserve"> vil </w:t>
      </w:r>
      <w:r>
        <w:t xml:space="preserve">kunne </w:t>
      </w:r>
      <w:r w:rsidRPr="6841C4C6">
        <w:t>være ansvarlig for legenes refusjonskrav</w:t>
      </w:r>
      <w:r w:rsidR="6CADE38F" w:rsidRPr="5E61EF69">
        <w:t>,</w:t>
      </w:r>
      <w:r w:rsidRPr="6841C4C6">
        <w:t xml:space="preserve"> og</w:t>
      </w:r>
      <w:r w:rsidR="39100870" w:rsidRPr="5E61EF69">
        <w:t xml:space="preserve"> </w:t>
      </w:r>
      <w:r w:rsidR="58856133" w:rsidRPr="5E61EF69">
        <w:t>at</w:t>
      </w:r>
      <w:r w:rsidRPr="6841C4C6">
        <w:t xml:space="preserve"> dersom det oppdages feil i takstbruken ved kontroll, vil Helfo måtte fr</w:t>
      </w:r>
      <w:r w:rsidR="00591661">
        <w:t>a</w:t>
      </w:r>
      <w:r w:rsidRPr="6841C4C6">
        <w:t>msette tilbakebetalingskrav overfor selskapet</w:t>
      </w:r>
      <w:r w:rsidR="00591661">
        <w:t>,</w:t>
      </w:r>
      <w:r>
        <w:t xml:space="preserve"> </w:t>
      </w:r>
      <w:r w:rsidRPr="6841C4C6">
        <w:t xml:space="preserve">og ikke den enkelte lege. </w:t>
      </w:r>
      <w:r>
        <w:t xml:space="preserve">Dersom legekontoret er kommunalt, vil det kunne være kommunen som </w:t>
      </w:r>
      <w:r w:rsidR="6F447190" w:rsidRPr="268E955D">
        <w:t>inngå</w:t>
      </w:r>
      <w:r w:rsidR="6D8CD111" w:rsidRPr="268E955D">
        <w:t>r</w:t>
      </w:r>
      <w:r>
        <w:t xml:space="preserve"> direkteoppgjørsavtalen og står som ansvarlig ved feil takstbruk. En slik løsning</w:t>
      </w:r>
      <w:r w:rsidRPr="6841C4C6">
        <w:t xml:space="preserve"> vil </w:t>
      </w:r>
      <w:r>
        <w:t>i tilfelle</w:t>
      </w:r>
      <w:r w:rsidRPr="6841C4C6">
        <w:t xml:space="preserve"> kreve endringer i finansieringssystemet</w:t>
      </w:r>
      <w:r w:rsidR="00591661">
        <w:t>,</w:t>
      </w:r>
      <w:r w:rsidRPr="6841C4C6">
        <w:t xml:space="preserve"> og det vil måtte bero på en helhetlig vurdering om en slik endring i ansvar vil være riktig</w:t>
      </w:r>
      <w:r>
        <w:t>, ettersom det vil utgjøre en ekstra risiko for eiere av legekontoret å skulle være økonomisk ansvarlig for slik tilbakebetaling dersom ansatte benytter takstene feil, eller misbruker takstsystemet.</w:t>
      </w:r>
      <w:r w:rsidRPr="6841C4C6">
        <w:t xml:space="preserve"> God og tydelig ledelse av </w:t>
      </w:r>
      <w:r>
        <w:t>legekontoret</w:t>
      </w:r>
      <w:r w:rsidRPr="6841C4C6">
        <w:t xml:space="preserve"> vil imidlertid kunne bidra til å sikre at selskapet har kontroll med takstbruken til fastlegene, og redusere risikoen for feil takstbruk. </w:t>
      </w:r>
      <w:r>
        <w:t>Alternativt kan det åpnes for å kombinere gruppeavtale med en videreføring av det individuelle ansvaret for takstbruk.</w:t>
      </w:r>
    </w:p>
    <w:p w14:paraId="0F4FD55C" w14:textId="682E2CCE" w:rsidR="00F4717B" w:rsidRDefault="00D5077D" w:rsidP="00F4717B">
      <w:pPr>
        <w:jc w:val="both"/>
      </w:pPr>
      <w:r>
        <w:t>L</w:t>
      </w:r>
      <w:r w:rsidR="002E48C7">
        <w:t>eger</w:t>
      </w:r>
      <w:r w:rsidR="00591661">
        <w:t>,</w:t>
      </w:r>
      <w:r w:rsidR="002E48C7">
        <w:t xml:space="preserve"> og eventuelt annet </w:t>
      </w:r>
      <w:r w:rsidR="008B5C24">
        <w:t>helse</w:t>
      </w:r>
      <w:r w:rsidR="002E48C7">
        <w:t xml:space="preserve">personell, kan </w:t>
      </w:r>
      <w:r w:rsidR="00927431">
        <w:t xml:space="preserve">også </w:t>
      </w:r>
      <w:r w:rsidR="002E48C7">
        <w:t xml:space="preserve">være selvstendig næringsdrivende i </w:t>
      </w:r>
      <w:r w:rsidR="00927431">
        <w:t>legekontoret.</w:t>
      </w:r>
      <w:r w:rsidR="002E48C7">
        <w:t xml:space="preserve"> Den enkelte vil da inngå avtale med </w:t>
      </w:r>
      <w:r w:rsidR="00927431">
        <w:t>legekontoret</w:t>
      </w:r>
      <w:r w:rsidR="002E48C7">
        <w:t xml:space="preserve"> om å yte tjenester innenfor rammene av </w:t>
      </w:r>
      <w:r w:rsidR="00927431">
        <w:t>kontorets</w:t>
      </w:r>
      <w:r w:rsidR="002E48C7">
        <w:t xml:space="preserve"> avtale med kommunen. Eksempelvis kan det tenkes at selvstendig næringsdrivende </w:t>
      </w:r>
      <w:r w:rsidR="00803EF6">
        <w:t>helse</w:t>
      </w:r>
      <w:r w:rsidR="002E48C7">
        <w:t xml:space="preserve">personell betaler et vederlag for leie av kontorplass, bruk av administrative ressurser og lignende til </w:t>
      </w:r>
      <w:r w:rsidR="00927431">
        <w:t>legekontoret</w:t>
      </w:r>
      <w:r w:rsidR="002E48C7">
        <w:t xml:space="preserve">, mot å yte en viss mengde tjenester. For </w:t>
      </w:r>
      <w:r w:rsidR="002E48C7">
        <w:lastRenderedPageBreak/>
        <w:t xml:space="preserve">legen kan det innebære å få ansvar for et gitt antall av </w:t>
      </w:r>
      <w:r w:rsidR="00927431">
        <w:t>legekontorets</w:t>
      </w:r>
      <w:r w:rsidR="002E48C7">
        <w:t xml:space="preserve"> listeinnbyggere. Den selvstendige næringsdrivende vil på den måten i praksis fungere som en underleverandør til </w:t>
      </w:r>
      <w:r w:rsidR="00927431">
        <w:t>legekontoret.</w:t>
      </w:r>
      <w:r w:rsidR="002E48C7">
        <w:t xml:space="preserve"> Dette vil imidlertid forutsette at regelverket og/eller kommunen tillater at fastlegeselskapet organiserer seg på en slik måte. </w:t>
      </w:r>
      <w:r w:rsidR="00927431">
        <w:t>Dersom legekontoret er kommunalt, vil organiseringsmodellen med selvstendig næringsdrivende leger i det kommunale legekontoret ligne på dagens modell med 8.2-avtaler.</w:t>
      </w:r>
    </w:p>
    <w:p w14:paraId="7A81F65D" w14:textId="0B60E25E" w:rsidR="00F4717B" w:rsidRDefault="00DD2243" w:rsidP="00775632">
      <w:pPr>
        <w:pStyle w:val="Overskrift4"/>
      </w:pPr>
      <w:bookmarkStart w:id="1759" w:name="_Toc130983455"/>
      <w:bookmarkStart w:id="1760" w:name="_Toc130983804"/>
      <w:bookmarkStart w:id="1761" w:name="_Toc131064087"/>
      <w:bookmarkStart w:id="1762" w:name="_Toc131238381"/>
      <w:bookmarkStart w:id="1763" w:name="_Toc131279412"/>
      <w:bookmarkStart w:id="1764" w:name="_Toc131286824"/>
      <w:bookmarkStart w:id="1765" w:name="_Toc131281234"/>
      <w:bookmarkStart w:id="1766" w:name="_Toc131317773"/>
      <w:r>
        <w:t>Økt</w:t>
      </w:r>
      <w:r w:rsidR="05819AE7">
        <w:t xml:space="preserve"> tverrfaglighet og hensiktsmessig oppgavefordeling</w:t>
      </w:r>
      <w:bookmarkEnd w:id="1759"/>
      <w:bookmarkEnd w:id="1760"/>
      <w:bookmarkEnd w:id="1761"/>
      <w:bookmarkEnd w:id="1762"/>
      <w:bookmarkEnd w:id="1763"/>
      <w:bookmarkEnd w:id="1764"/>
      <w:bookmarkEnd w:id="1765"/>
      <w:bookmarkEnd w:id="1766"/>
    </w:p>
    <w:p w14:paraId="51F79AA7" w14:textId="77777777" w:rsidR="00D9107F" w:rsidRDefault="00D732E5" w:rsidP="00AF35D8">
      <w:r>
        <w:t>Gruppeavtaler</w:t>
      </w:r>
      <w:r w:rsidRPr="6841C4C6">
        <w:t xml:space="preserve"> vil også kunne være en egnet organisasjonsmodell for å tilrettelegge for mer tverrfaglighet og oppgavedeling mellom ulike personellgrupper enn hva som er tilfelle i dagens organisasjonsmodeller. </w:t>
      </w:r>
      <w:r w:rsidR="00CE10DE">
        <w:t>L</w:t>
      </w:r>
      <w:r>
        <w:t>egekontor med gruppeavtale</w:t>
      </w:r>
      <w:r w:rsidRPr="6841C4C6">
        <w:t xml:space="preserve"> kunne være av betydelig størrelse, og ivareta fastlegetjenester til en stor gruppe innbyggere.</w:t>
      </w:r>
    </w:p>
    <w:p w14:paraId="27F157BC" w14:textId="77777777" w:rsidR="00D9107F" w:rsidRDefault="00F4717B" w:rsidP="00AF35D8">
      <w:r>
        <w:t xml:space="preserve">Økt tverrfaglighet i fastlegetjenesten beror imidlertid ikke kun på at det finnes organisasjonsmodeller som legger til </w:t>
      </w:r>
      <w:r w:rsidR="00160952">
        <w:t>r</w:t>
      </w:r>
      <w:r>
        <w:t>ette for større frihet i å utøve en annen arbeidsfordeling enn i dag. Det er også viktig at andre rammebetingelser, herunder særlig finansieringsordningene, tilrettelegger for økt tverrfaglighet.</w:t>
      </w:r>
    </w:p>
    <w:p w14:paraId="66713A4A" w14:textId="16D525DE" w:rsidR="00F4717B" w:rsidRPr="007E3A8A" w:rsidRDefault="00F4717B" w:rsidP="00AF35D8">
      <w:r>
        <w:t xml:space="preserve">Det vises til </w:t>
      </w:r>
      <w:r w:rsidRPr="00C46DED">
        <w:t>kapittel 6</w:t>
      </w:r>
      <w:r>
        <w:t xml:space="preserve"> for nærmere drøftelse av tverrfaglighet i fastlegetjenesten.</w:t>
      </w:r>
    </w:p>
    <w:p w14:paraId="20D60EA3" w14:textId="77777777" w:rsidR="00F4717B" w:rsidRDefault="05819AE7" w:rsidP="00775632">
      <w:pPr>
        <w:pStyle w:val="Overskrift4"/>
      </w:pPr>
      <w:bookmarkStart w:id="1767" w:name="_Toc130983456"/>
      <w:bookmarkStart w:id="1768" w:name="_Toc130983805"/>
      <w:bookmarkStart w:id="1769" w:name="_Toc131062128"/>
      <w:bookmarkStart w:id="1770" w:name="_Toc131062382"/>
      <w:bookmarkStart w:id="1771" w:name="_Toc131062643"/>
      <w:bookmarkStart w:id="1772" w:name="_Toc131062896"/>
      <w:bookmarkStart w:id="1773" w:name="_Toc131064088"/>
      <w:bookmarkStart w:id="1774" w:name="_Toc131238382"/>
      <w:bookmarkStart w:id="1775" w:name="_Toc131279413"/>
      <w:bookmarkStart w:id="1776" w:name="_Toc131286825"/>
      <w:bookmarkStart w:id="1777" w:name="_Toc131281235"/>
      <w:bookmarkStart w:id="1778" w:name="_Toc131317774"/>
      <w:r>
        <w:t>Kontinuiteten i forholdet mellom innbygger og fastlege kan bestå</w:t>
      </w:r>
      <w:bookmarkEnd w:id="1767"/>
      <w:bookmarkEnd w:id="1768"/>
      <w:bookmarkEnd w:id="1769"/>
      <w:bookmarkEnd w:id="1770"/>
      <w:bookmarkEnd w:id="1771"/>
      <w:bookmarkEnd w:id="1772"/>
      <w:bookmarkEnd w:id="1773"/>
      <w:bookmarkEnd w:id="1774"/>
      <w:bookmarkEnd w:id="1775"/>
      <w:bookmarkEnd w:id="1776"/>
      <w:bookmarkEnd w:id="1777"/>
      <w:bookmarkEnd w:id="1778"/>
    </w:p>
    <w:p w14:paraId="7D686901" w14:textId="77777777" w:rsidR="00D9107F" w:rsidRDefault="00A4013F" w:rsidP="00A4013F">
      <w:pPr>
        <w:jc w:val="both"/>
      </w:pPr>
      <w:r>
        <w:t>Et viktig hensyn i vurderingen av om gruppeavtaler med legekontor er ønskelig, er hensynet til kontinuitet i forholdet mellom listeinnbyggeren og fastlegen. Dette er en grunnleggende forutsetning ved dagens fastlegeordning</w:t>
      </w:r>
      <w:r w:rsidR="00591661">
        <w:t>,</w:t>
      </w:r>
      <w:r>
        <w:t xml:space="preserve"> som innebærer at hver innbygger skal ha en fast lege. Dersom det legges opp til at innbyggernes tilknytning til fastlegetjenesten vil være med legekontoret som sådan, og ikke med den enkelte lege, kan en ulempe være at den nære tilknytningen mellom legen og den enkelte listeinnbygger svekkes.</w:t>
      </w:r>
    </w:p>
    <w:p w14:paraId="433E2BC1" w14:textId="77777777" w:rsidR="00D9107F" w:rsidRDefault="00A4013F" w:rsidP="00A4013F">
      <w:pPr>
        <w:jc w:val="both"/>
      </w:pPr>
      <w:r w:rsidRPr="23AB0E13">
        <w:t xml:space="preserve">Det vil imidlertid være mulig å organisere </w:t>
      </w:r>
      <w:r>
        <w:t>gruppeavtaler</w:t>
      </w:r>
      <w:r w:rsidRPr="23AB0E13">
        <w:t xml:space="preserve"> </w:t>
      </w:r>
      <w:r>
        <w:t>med et krav om</w:t>
      </w:r>
      <w:r w:rsidRPr="23AB0E13">
        <w:t xml:space="preserve"> at </w:t>
      </w:r>
      <w:r>
        <w:t>innbyggerne, som i dag, fortsatt skal ha</w:t>
      </w:r>
      <w:r w:rsidRPr="23AB0E13">
        <w:t xml:space="preserve"> en fast lege å forholde seg til. Man kan se for seg en løsning der innbyggeren velger hvilket </w:t>
      </w:r>
      <w:r>
        <w:t>legekontor</w:t>
      </w:r>
      <w:r w:rsidRPr="23AB0E13">
        <w:t xml:space="preserve"> vedkommende ønsker å tilhøre, og deretter velger seg en fastlege ved det aktuelle kontoret. Forskjellen fra dagens system</w:t>
      </w:r>
      <w:r>
        <w:t xml:space="preserve"> </w:t>
      </w:r>
      <w:r w:rsidRPr="23AB0E13">
        <w:t xml:space="preserve">vil være at </w:t>
      </w:r>
      <w:r>
        <w:t>legekontoret</w:t>
      </w:r>
      <w:r w:rsidRPr="23AB0E13">
        <w:t xml:space="preserve"> selv vil kunne ansette eller inngå avtale med legene som kan velges som fastleger</w:t>
      </w:r>
      <w:r>
        <w:t xml:space="preserve"> ved legekontoret</w:t>
      </w:r>
      <w:r w:rsidRPr="23AB0E13">
        <w:t>, mens det i dag er kommunen som må tildele hjemlene til hver enkelt lege som skal kunne velges som fastlege av innbyggerne.</w:t>
      </w:r>
    </w:p>
    <w:p w14:paraId="735014A1" w14:textId="77777777" w:rsidR="00D9107F" w:rsidRDefault="00B64257" w:rsidP="00B64257">
      <w:pPr>
        <w:jc w:val="both"/>
      </w:pPr>
      <w:r w:rsidRPr="209934C1">
        <w:t xml:space="preserve">Samtidig som kontinuiteten mellom legen og den enkelte innbyggeren kan ivaretas, kan en også tenke seg at </w:t>
      </w:r>
      <w:r w:rsidR="00A4013F">
        <w:t>denne typen gruppeavtaler</w:t>
      </w:r>
      <w:r w:rsidRPr="209934C1">
        <w:t xml:space="preserve"> kan åpne opp for at innbyggere som ikke ønsker det, eller har behov for det, ikke må velge seg en fast lege</w:t>
      </w:r>
      <w:r w:rsidR="00A4013F" w:rsidRPr="209934C1">
        <w:t>.</w:t>
      </w:r>
      <w:r w:rsidRPr="209934C1">
        <w:t xml:space="preserve"> Det kan hende det vil være tilstrekkelig for enkelte innbyggere å kun være tilknyttet </w:t>
      </w:r>
      <w:r w:rsidR="00A4013F">
        <w:t>et legekontor</w:t>
      </w:r>
      <w:r w:rsidRPr="209934C1">
        <w:t xml:space="preserve">, og at innbyggerens behov for helsehjelp ivaretas av den til enhver tid </w:t>
      </w:r>
      <w:r w:rsidR="00F94CC0">
        <w:t>tilgjengelige</w:t>
      </w:r>
      <w:r w:rsidR="00F94CC0" w:rsidRPr="209934C1">
        <w:t xml:space="preserve"> </w:t>
      </w:r>
      <w:r w:rsidRPr="209934C1">
        <w:t xml:space="preserve">legen. </w:t>
      </w:r>
      <w:r>
        <w:t xml:space="preserve">Det kan tenkes at det å tilhøre et </w:t>
      </w:r>
      <w:r w:rsidR="00A4013F">
        <w:t>legekontor</w:t>
      </w:r>
      <w:r>
        <w:t xml:space="preserve"> kan </w:t>
      </w:r>
      <w:r>
        <w:lastRenderedPageBreak/>
        <w:t>medføre økt stabilitet for enkelte pasienter. Dette</w:t>
      </w:r>
      <w:r w:rsidRPr="209934C1">
        <w:t xml:space="preserve"> vil ligne på løsningen med kompaniskapspraksiser i Danmark, hvor det er vanlig å velge seg til en praksis fr</w:t>
      </w:r>
      <w:r w:rsidR="00591661">
        <w:t>a</w:t>
      </w:r>
      <w:r w:rsidRPr="209934C1">
        <w:t>mfor</w:t>
      </w:r>
      <w:r>
        <w:t xml:space="preserve"> en spesifikk</w:t>
      </w:r>
      <w:r w:rsidRPr="209934C1">
        <w:t xml:space="preserve"> lege. Dette vil nok først og fremst være aktuelt for innbyggere som sjelden har behov for å benytte fastlegen, og som derfor også i liten grad har behov for at legen kjenner sykdomshistorikk og lignende.</w:t>
      </w:r>
    </w:p>
    <w:p w14:paraId="3EA97A8E" w14:textId="432165ED" w:rsidR="00B64257" w:rsidRDefault="00B64257" w:rsidP="00B64257">
      <w:pPr>
        <w:jc w:val="both"/>
      </w:pPr>
      <w:r>
        <w:t xml:space="preserve">I Sverige går man nå i større grad bort fra en løsning der innbyggerne kun har tilknytning til helsesenteret (vårdcentralen). Gjennom </w:t>
      </w:r>
      <w:r w:rsidRPr="00D9107F">
        <w:rPr>
          <w:rStyle w:val="kursiv"/>
        </w:rPr>
        <w:t>God och nära vård-reformen</w:t>
      </w:r>
      <w:r>
        <w:t xml:space="preserve"> er det nylig vedtatt lovbestemmelser som gir innbyggerne en lovfestet mulighet til å velge en fast lege, og det er en </w:t>
      </w:r>
      <w:r w:rsidR="00D66CA5">
        <w:t>målsetting</w:t>
      </w:r>
      <w:r>
        <w:t xml:space="preserve"> med reformen at flere skal få en fast legekontakt. Formålet med å sikre en fast legekontakt til pasientene er å møte pasientens behov for trygghet og kontinuitet, og det understrekes at slik kontinuitet i pasient-lege-relasjonen også vil innebære fordeler for legen</w:t>
      </w:r>
      <w:r w:rsidR="24A7E40C">
        <w:t xml:space="preserve"> </w:t>
      </w:r>
      <w:r w:rsidR="00CD73A4">
        <w:fldChar w:fldCharType="begin"/>
      </w:r>
      <w:r w:rsidR="00A27571">
        <w:instrText xml:space="preserve"> ADDIN EN.CITE &lt;EndNote&gt;&lt;Cite ExcludeYear="1"&gt;&lt;Author&gt;Socialstyrelsen&lt;/Author&gt;&lt;RecNum&gt;778&lt;/RecNum&gt;&lt;DisplayText&gt;(Socialstyrelsen)&lt;/DisplayText&gt;&lt;record&gt;&lt;rec-number&gt;778&lt;/rec-number&gt;&lt;foreign-keys&gt;&lt;key app="EN" db-id="95tpr2tp6r9xwoea9rb5wdsz5ds5xeddteew" timestamp="1680069511"&gt;778&lt;/key&gt;&lt;/foreign-keys&gt;&lt;ref-type name="Web Page"&gt;12&lt;/ref-type&gt;&lt;contributors&gt;&lt;authors&gt;&lt;author&gt;Socialstyrelsen&lt;/author&gt;&lt;/authors&gt;&lt;/contributors&gt;&lt;titles&gt;&lt;title&gt;Syftet med fast läkarkontakt&lt;/title&gt;&lt;/titles&gt;&lt;number&gt;16. mars 2023&lt;/number&gt;&lt;dates&gt;&lt;pub-dates&gt;&lt;date&gt;21. november 2022&lt;/date&gt;&lt;/pub-dates&gt;&lt;/dates&gt;&lt;publisher&gt;Kunnskapsguiden&lt;/publisher&gt;&lt;work-type&gt;nettdokument&lt;/work-type&gt;&lt;urls&gt;&lt;/urls&gt;&lt;/record&gt;&lt;/Cite&gt;&lt;/EndNote&gt;</w:instrText>
      </w:r>
      <w:r w:rsidR="00CD73A4">
        <w:fldChar w:fldCharType="separate"/>
      </w:r>
      <w:r w:rsidR="00CD73A4">
        <w:rPr>
          <w:noProof/>
        </w:rPr>
        <w:t>(Socialstyrelsen)</w:t>
      </w:r>
      <w:r w:rsidR="00CD73A4">
        <w:fldChar w:fldCharType="end"/>
      </w:r>
      <w:r w:rsidR="5CB5E6CB">
        <w:t>.</w:t>
      </w:r>
    </w:p>
    <w:p w14:paraId="33AABA68" w14:textId="5CC0542A" w:rsidR="00F4717B" w:rsidRDefault="00B64257" w:rsidP="00D9778B">
      <w:pPr>
        <w:jc w:val="both"/>
      </w:pPr>
      <w:r>
        <w:t>Det er de samme hensynene som Sverige nå trekker fr</w:t>
      </w:r>
      <w:r w:rsidR="00591661">
        <w:t>a</w:t>
      </w:r>
      <w:r>
        <w:t>m</w:t>
      </w:r>
      <w:r w:rsidR="005D0B62">
        <w:t>,</w:t>
      </w:r>
      <w:r>
        <w:t xml:space="preserve"> som var styrende da Norge gjennomførte fastlegereformen. Formålet med fastlegereformen var nettopp å bedre kvaliteten på allmennlegetjenesten ved at alle som ønsket det, skulle kunne få en fast allmennlege å forholde seg til. Reformen skulle bidra til større trygghet, bedre tilgjengelighet og bidra til kontinuitet i lege-pasient-forholdet</w:t>
      </w:r>
      <w:r w:rsidR="31821C7C">
        <w:t xml:space="preserve"> </w:t>
      </w:r>
      <w:r w:rsidR="00E94EA5">
        <w:fldChar w:fldCharType="begin"/>
      </w:r>
      <w:r w:rsidR="00E94EA5">
        <w:instrText xml:space="preserve"> ADDIN EN.CITE &lt;EndNote&gt;&lt;Cite ExcludeAuth="1" ExcludeYear="1"&gt;&lt;RecNum&gt;577&lt;/RecNum&gt;&lt;DisplayText&gt;(&lt;style face="italic"&gt;Om lov om endringer i lov 19. november 1982 nr. 66 om helsetjenesten i kommunene og i visse andre lover (fastlegeordningen)&lt;/style&gt;)&lt;/DisplayText&gt;&lt;record&gt;&lt;rec-number&gt;577&lt;/rec-number&gt;&lt;foreign-keys&gt;&lt;key app="EN" db-id="95tpr2tp6r9xwoea9rb5wdsz5ds5xeddteew" timestamp="1680069511"&gt;577&lt;/key&gt;&lt;/foreign-keys&gt;&lt;ref-type name="Report"&gt;27&lt;/ref-type&gt;&lt;contributors&gt;&lt;/contributors&gt;&lt;titles&gt;&lt;title&gt;Om lov om endringer i lov 19. november 1982 nr. 66 om helsetjenesten i kommunene og i visse andre lover (fastlegeordningen)&lt;/title&gt;&lt;/titles&gt;&lt;number&gt;Ot.prp. nr. 99 (1998-99)&lt;/number&gt;&lt;dates&gt;&lt;/dates&gt;&lt;publisher&gt;Helse- og omsorgsdepartementet, &lt;/publisher&gt;&lt;urls&gt;&lt;related-urls&gt;&lt;url&gt;https://www.regjeringen.no/no/dokumenter/otprp-nr-99-1998-99-/id160124/&lt;/url&gt;&lt;/related-urls&gt;&lt;/urls&gt;&lt;/record&gt;&lt;/Cite&gt;&lt;/EndNote&gt;</w:instrText>
      </w:r>
      <w:r w:rsidR="00E94EA5">
        <w:fldChar w:fldCharType="separate"/>
      </w:r>
      <w:r w:rsidR="00E94EA5">
        <w:rPr>
          <w:noProof/>
        </w:rPr>
        <w:t>(</w:t>
      </w:r>
      <w:r w:rsidR="00E94EA5" w:rsidRPr="00D9107F">
        <w:rPr>
          <w:rStyle w:val="kursiv"/>
        </w:rPr>
        <w:t>Om lov om endringer i lov 19. november 1982 nr. 66 om helsetjenesten i kommunene og i visse andre lover (fastlegeordningen)</w:t>
      </w:r>
      <w:r w:rsidR="00E94EA5">
        <w:rPr>
          <w:noProof/>
        </w:rPr>
        <w:t>)</w:t>
      </w:r>
      <w:r w:rsidR="00E94EA5">
        <w:fldChar w:fldCharType="end"/>
      </w:r>
      <w:r w:rsidR="5CB5E6CB">
        <w:t>.</w:t>
      </w:r>
      <w:r>
        <w:t xml:space="preserve"> Å åpne for at ikke alle innbyggere skal ha en fast lege, vil kunne uthule disse viktige prinsippene ved fastlegeordningen. Det vil kunne være risikofylt å gjøre slike endringer i fastlegeordningen uten at det vurderes nøye hvilke uheldige konsekvenser dette kan få. Et eksempel på en uheldig konsekvens kan være at dersom fastlegene fortsatt skal prioritere sine egne listeinnbyggere fr</w:t>
      </w:r>
      <w:r w:rsidR="00591661">
        <w:t>a</w:t>
      </w:r>
      <w:r>
        <w:t xml:space="preserve">mfor andre personer med behov for time, vil det for </w:t>
      </w:r>
      <w:r w:rsidR="008E4763">
        <w:t xml:space="preserve">innbyggere </w:t>
      </w:r>
      <w:r>
        <w:t xml:space="preserve">tilknyttet et </w:t>
      </w:r>
      <w:r w:rsidR="00573730">
        <w:t>legekontor,</w:t>
      </w:r>
      <w:r>
        <w:t xml:space="preserve"> men ikke en konkret lege, kunne være mer utfordrende å få time ved behov, kanskje særlig dersom legene </w:t>
      </w:r>
      <w:r w:rsidR="00573730">
        <w:t>ved kontoret</w:t>
      </w:r>
      <w:r>
        <w:t xml:space="preserve"> har mange faste innbyggere på sine individuelle lister. En annen konsekvens, kan være at det blir mindre klare ansvarsforhold om oppfølgingen av </w:t>
      </w:r>
      <w:r w:rsidR="004B7102">
        <w:t xml:space="preserve">innbyggere </w:t>
      </w:r>
      <w:r>
        <w:t xml:space="preserve">som kun er knyttet til </w:t>
      </w:r>
      <w:r w:rsidR="00573730">
        <w:t>legekontoret</w:t>
      </w:r>
      <w:r>
        <w:t xml:space="preserve"> og ikke til en konkret lege</w:t>
      </w:r>
      <w:r w:rsidRPr="00974103">
        <w:t xml:space="preserve"> og at det er vanskelig å forutse et </w:t>
      </w:r>
      <w:r w:rsidR="00D66CA5">
        <w:t>fram</w:t>
      </w:r>
      <w:r w:rsidRPr="00974103">
        <w:t>tidig behov for helsetjenester</w:t>
      </w:r>
      <w:r>
        <w:t xml:space="preserve">. </w:t>
      </w:r>
      <w:r w:rsidR="000F383B">
        <w:t>Etter ekspertutvalgets</w:t>
      </w:r>
      <w:r w:rsidR="23C9D947">
        <w:t xml:space="preserve"> </w:t>
      </w:r>
      <w:r w:rsidR="000F383B" w:rsidRPr="209934C1">
        <w:t xml:space="preserve">vurdering </w:t>
      </w:r>
      <w:r w:rsidR="004000A8">
        <w:t>er</w:t>
      </w:r>
      <w:r w:rsidR="000F383B">
        <w:t xml:space="preserve"> det sterke argumenter for at innbyggerne fortsatt skal </w:t>
      </w:r>
      <w:r w:rsidR="000F383B" w:rsidRPr="209934C1">
        <w:t xml:space="preserve">velge seg en fastlege, også i </w:t>
      </w:r>
      <w:r w:rsidR="00573730" w:rsidRPr="209934C1">
        <w:t>e</w:t>
      </w:r>
      <w:r w:rsidR="00573730">
        <w:t>n modell med gruppeavtaler</w:t>
      </w:r>
      <w:r w:rsidR="00573730" w:rsidRPr="209934C1">
        <w:t>.</w:t>
      </w:r>
    </w:p>
    <w:p w14:paraId="6847EC95" w14:textId="6A49A8BC" w:rsidR="007D110A" w:rsidRDefault="00790F04" w:rsidP="00775632">
      <w:pPr>
        <w:pStyle w:val="Overskrift4"/>
      </w:pPr>
      <w:bookmarkStart w:id="1779" w:name="_Toc130983457"/>
      <w:bookmarkStart w:id="1780" w:name="_Toc130983806"/>
      <w:bookmarkStart w:id="1781" w:name="_Toc131064089"/>
      <w:bookmarkStart w:id="1782" w:name="_Toc131238383"/>
      <w:bookmarkStart w:id="1783" w:name="_Toc131279414"/>
      <w:bookmarkStart w:id="1784" w:name="_Toc131286826"/>
      <w:bookmarkStart w:id="1785" w:name="_Toc131281236"/>
      <w:bookmarkStart w:id="1786" w:name="_Toc131317775"/>
      <w:r>
        <w:t>Kommunen kan inngå avtale med et fastlegeselskap</w:t>
      </w:r>
      <w:bookmarkEnd w:id="1779"/>
      <w:bookmarkEnd w:id="1780"/>
      <w:bookmarkEnd w:id="1781"/>
      <w:bookmarkEnd w:id="1782"/>
      <w:bookmarkEnd w:id="1783"/>
      <w:bookmarkEnd w:id="1784"/>
      <w:bookmarkEnd w:id="1785"/>
      <w:bookmarkEnd w:id="1786"/>
    </w:p>
    <w:p w14:paraId="78332275" w14:textId="77777777" w:rsidR="00203E1A" w:rsidRDefault="00203E1A" w:rsidP="00203E1A">
      <w:pPr>
        <w:jc w:val="both"/>
      </w:pPr>
      <w:r>
        <w:t>Ettersom det er vanligst at kommunen inngår avtaler med næringsdrivende om å yte fastlegetjenester, er det naturlig å se for seg at bruk av gruppeavtaler knyttes til en organisasjonsmodell der det er et næringsdrivende selskap som er kommunens avtalepart. En modell der gruppeavtalen inngås mellom kommunen og et selskap vil innebære at selskapet</w:t>
      </w:r>
      <w:r w:rsidRPr="00346AF1">
        <w:t xml:space="preserve"> </w:t>
      </w:r>
      <w:r>
        <w:t>får et samlet og overordnet ansvar for å sørge for fastlegetjenester til innbyggerne på selskapets liste.</w:t>
      </w:r>
    </w:p>
    <w:p w14:paraId="0CAEE728" w14:textId="77777777" w:rsidR="00D9107F" w:rsidRDefault="00203E1A" w:rsidP="00203E1A">
      <w:pPr>
        <w:jc w:val="both"/>
      </w:pPr>
      <w:r>
        <w:lastRenderedPageBreak/>
        <w:t>Ekspertutvalget har valgt å omtale virksomheten/selskapet som i slike tilfeller vil kunne inngå avtale med kommunen</w:t>
      </w:r>
      <w:r w:rsidRPr="4E6F30E5">
        <w:t>,</w:t>
      </w:r>
      <w:r>
        <w:t xml:space="preserve"> som et fastlegeselskap. Begrepet er valgt for å synliggjøre den sentrale forskjellen mellom en slik ordning og både dagens gruppepraksiser, bruk av felleslister, den alternative modellen for gruppeavtaler som drøftes innledningsvi</w:t>
      </w:r>
      <w:r w:rsidR="005773D5">
        <w:t>s</w:t>
      </w:r>
      <w:r>
        <w:t>, og en modell der kommunen selv drifter legekontor.</w:t>
      </w:r>
    </w:p>
    <w:p w14:paraId="4A14D36B" w14:textId="62345507" w:rsidR="00D9107F" w:rsidRDefault="007D110A" w:rsidP="007D110A">
      <w:pPr>
        <w:jc w:val="both"/>
      </w:pPr>
      <w:r>
        <w:t>Et viktig spørsmål i utredningen og vurderingen av om det bør åpnes for organisering i fastlegeselskap er hvem som kan eie selskap som inngår avtaler med kommunen. Sentralt i en slik drøft</w:t>
      </w:r>
      <w:r w:rsidR="002A77FD">
        <w:t>ing</w:t>
      </w:r>
      <w:r>
        <w:t xml:space="preserve"> er om det bør være et krav at fastlegeselskapet eies av fastlegene selv</w:t>
      </w:r>
      <w:r w:rsidR="002A77FD">
        <w:t>,</w:t>
      </w:r>
      <w:r>
        <w:t xml:space="preserve"> eller av ideelle organisasjoner eller lignende. I realiteten handler dette om i hvilken grad det skal åpnes for at større kommersielle aktører kan inngå avtaler med kommunen om å yte fastlegetjenester til innbyggerne. Dagens organisering av fastlegetjenesten forhindrer at større virksomheter drifter fastlegetjenesten, blant annet gjennom krav til at det skal inngås individuelle fastlegeavtaler og individuelle direkteoppgjørsavtaler. Dersom det åpnes for at kommunen </w:t>
      </w:r>
      <w:r w:rsidR="002A77FD">
        <w:t>kan</w:t>
      </w:r>
      <w:r>
        <w:t xml:space="preserve"> inngå avtaler med fastlegeselskap</w:t>
      </w:r>
      <w:r w:rsidR="002F4AD7">
        <w:t>,</w:t>
      </w:r>
      <w:r>
        <w:t xml:space="preserve"> må disse kravene endres og spørsmål knyttet til hvem som får adgang til å eie og drifte fastlege</w:t>
      </w:r>
      <w:r w:rsidR="00C9237B">
        <w:t>selskap</w:t>
      </w:r>
      <w:r>
        <w:t xml:space="preserve"> må vurderes og reguleres.</w:t>
      </w:r>
    </w:p>
    <w:p w14:paraId="1CE62A69" w14:textId="3EB1E7C2" w:rsidR="00AB4177" w:rsidRPr="00D9107F" w:rsidRDefault="003F17E7" w:rsidP="00AF35D8">
      <w:pPr>
        <w:pStyle w:val="avsnitt-undertittel"/>
        <w:rPr>
          <w:rStyle w:val="kursiv"/>
        </w:rPr>
      </w:pPr>
      <w:r w:rsidRPr="00D9107F">
        <w:rPr>
          <w:rStyle w:val="kursiv"/>
        </w:rPr>
        <w:t>Eierskap av kommersielle aktører bør begrenses</w:t>
      </w:r>
    </w:p>
    <w:p w14:paraId="24FFD476" w14:textId="77777777" w:rsidR="00D9107F" w:rsidRDefault="007D110A" w:rsidP="007D110A">
      <w:pPr>
        <w:jc w:val="both"/>
      </w:pPr>
      <w:r w:rsidRPr="00905B78">
        <w:t xml:space="preserve">Fastlegeordningen er en offentlig helsetjeneste, </w:t>
      </w:r>
      <w:r>
        <w:t xml:space="preserve">finansiert av offentlige midler, </w:t>
      </w:r>
      <w:r w:rsidRPr="00905B78">
        <w:t>som er strengt regulert gjennom fastlegeforskriften, avtaleverket og takstsystemet</w:t>
      </w:r>
      <w:r>
        <w:t xml:space="preserve">. Det er mye som taler for at det vil være uheldig </w:t>
      </w:r>
      <w:r w:rsidR="002A77FD">
        <w:t>å</w:t>
      </w:r>
      <w:r>
        <w:t xml:space="preserve"> åpne for at rent kommersielle aktører k</w:t>
      </w:r>
      <w:r w:rsidR="002A77FD">
        <w:t>an</w:t>
      </w:r>
      <w:r>
        <w:t xml:space="preserve"> drifte fastlegetjenesten på vegne av kommunene, uten at det stilles krav som bidrar til å sikre tilstrekkelig offentlig kontroll. NOU 2020: 13 Private aktører i velferdsstaten (velferdstjenesteutvalget), har kartlagt private tilbydere av velferdstjenester og pengestrømmen i disse</w:t>
      </w:r>
      <w:r w:rsidR="1A848DFA">
        <w:t xml:space="preserve"> </w:t>
      </w:r>
      <w:r w:rsidR="00E94EA5">
        <w:fldChar w:fldCharType="begin"/>
      </w:r>
      <w:r w:rsidR="00E94EA5">
        <w:instrText xml:space="preserve"> ADDIN EN.CITE &lt;EndNote&gt;&lt;Cite&gt;&lt;Author&gt;Helse- og omsorgsdepartementet&lt;/Author&gt;&lt;Year&gt;2020&lt;/Year&gt;&lt;RecNum&gt;957&lt;/RecNum&gt;&lt;DisplayText&gt;(Helse- og omsorgsdepartementet, 2020b)&lt;/DisplayText&gt;&lt;record&gt;&lt;rec-number&gt;957&lt;/rec-number&gt;&lt;foreign-keys&gt;&lt;key app="EN" db-id="95tpr2tp6r9xwoea9rb5wdsz5ds5xeddteew" timestamp="1680223180"&gt;957&lt;/key&gt;&lt;/foreign-keys&gt;&lt;ref-type name="Report"&gt;27&lt;/ref-type&gt;&lt;contributors&gt;&lt;authors&gt;&lt;author&gt;Helse- og omsorgsdepartementet,&lt;/author&gt;&lt;/authors&gt;&lt;/contributors&gt;&lt;titles&gt;&lt;title&gt;Private aktører i velferdsstaten — Velferdstjenesteutvalgets delutredning I og II om offentlig finansierte velferdstjenester&lt;/title&gt;&lt;/titles&gt;&lt;number&gt;NOU 2020: 13&lt;/number&gt;&lt;dates&gt;&lt;year&gt;2020&lt;/year&gt;&lt;/dates&gt;&lt;urls&gt;&lt;/urls&gt;&lt;/record&gt;&lt;/Cite&gt;&lt;/EndNote&gt;</w:instrText>
      </w:r>
      <w:r w:rsidR="00E94EA5">
        <w:fldChar w:fldCharType="separate"/>
      </w:r>
      <w:r w:rsidR="00E94EA5">
        <w:rPr>
          <w:noProof/>
        </w:rPr>
        <w:t>(Helse- og omsorgsdepartementet, 2020b)</w:t>
      </w:r>
      <w:r w:rsidR="00E94EA5">
        <w:fldChar w:fldCharType="end"/>
      </w:r>
      <w:r>
        <w:t>. Utredningen viser en økning i store kommersielle foretak blant de kommersielle aktørene i den kommunale helse- og omsorgstjenesten de siste årene. Flere av de kommersielle aktørene er eid av store utenlandske konsern og enkelte er eid av Private Equity-fond (PE-fond). I slike selskaper vil det offentliges midler kunne bli ført ut av landet og ikke bli brukt til det beste for fellesskapet. Utredningen peker på at det har vært knyttet særlig bekymring til aktører eid av PE-fond, særlig i Sverige og i USA. Slike foretak har ofte sterke insentiver til å øke verdien i et selskap, fordi PE-fondet i utgangspunktet eier selskapet for å få fortjeneste ved salg, og det er bekymring for at dette kan gå på bekostning av kvaliteten i tilbudet.</w:t>
      </w:r>
    </w:p>
    <w:p w14:paraId="44091571" w14:textId="2CE69571" w:rsidR="00EF631D" w:rsidRDefault="007D110A" w:rsidP="007D110A">
      <w:pPr>
        <w:jc w:val="both"/>
      </w:pPr>
      <w:r>
        <w:t>På bakgrunn av dette</w:t>
      </w:r>
      <w:r w:rsidR="00C57BBE">
        <w:t>,</w:t>
      </w:r>
      <w:r>
        <w:t xml:space="preserve"> bør </w:t>
      </w:r>
      <w:r w:rsidR="00251577">
        <w:t>det</w:t>
      </w:r>
      <w:r>
        <w:t xml:space="preserve"> stilles krav til fastlegeselskap</w:t>
      </w:r>
      <w:r w:rsidR="00B74F0F">
        <w:t>s</w:t>
      </w:r>
      <w:r>
        <w:t xml:space="preserve"> </w:t>
      </w:r>
      <w:r w:rsidR="00B74F0F">
        <w:t>eierskap</w:t>
      </w:r>
      <w:r>
        <w:t xml:space="preserve">. </w:t>
      </w:r>
      <w:r w:rsidR="002A77FD">
        <w:t>Dette</w:t>
      </w:r>
      <w:r>
        <w:t xml:space="preserve"> kan for eksempel være å lovfeste krav som begrenser hvem som kan eie eller drifte slike selskap. En slik løsning er blant annet valgt for advokatforetak og apoteker.</w:t>
      </w:r>
    </w:p>
    <w:p w14:paraId="3749E628" w14:textId="591E0B68" w:rsidR="00D9107F" w:rsidRDefault="004C44F3" w:rsidP="002D5E4B">
      <w:pPr>
        <w:pStyle w:val="tittel-ramme"/>
        <w:jc w:val="left"/>
        <w:rPr>
          <w:rStyle w:val="kursiv"/>
        </w:rPr>
      </w:pPr>
      <w:r w:rsidRPr="00D9107F">
        <w:rPr>
          <w:rStyle w:val="kursiv"/>
        </w:rPr>
        <w:lastRenderedPageBreak/>
        <w:t>Eksempler på krav til eierskap: Ad</w:t>
      </w:r>
      <w:r w:rsidR="005C1CAF" w:rsidRPr="00D9107F">
        <w:rPr>
          <w:rStyle w:val="kursiv"/>
        </w:rPr>
        <w:t>v</w:t>
      </w:r>
      <w:r w:rsidRPr="00D9107F">
        <w:rPr>
          <w:rStyle w:val="kursiv"/>
        </w:rPr>
        <w:t>okatforetak og apotek</w:t>
      </w:r>
    </w:p>
    <w:tbl>
      <w:tblPr>
        <w:tblStyle w:val="StandardBoks"/>
        <w:tblW w:w="0" w:type="auto"/>
        <w:tblLook w:val="04A0" w:firstRow="1" w:lastRow="0" w:firstColumn="1" w:lastColumn="0" w:noHBand="0" w:noVBand="1"/>
      </w:tblPr>
      <w:tblGrid>
        <w:gridCol w:w="9736"/>
      </w:tblGrid>
      <w:tr w:rsidR="002D5E4B" w14:paraId="64F8C549" w14:textId="77777777" w:rsidTr="002D5E4B">
        <w:tc>
          <w:tcPr>
            <w:tcW w:w="9736" w:type="dxa"/>
          </w:tcPr>
          <w:p w14:paraId="16EE990F" w14:textId="77777777" w:rsidR="002D5E4B" w:rsidRPr="00CD0E42" w:rsidRDefault="002D5E4B" w:rsidP="002D5E4B">
            <w:r w:rsidRPr="00CD0E42">
              <w:t>For å være eier, eller deltaker, i et advokatforetak stilles det krav om at vedkommende må utøve en «vesentlig del av sin yrkesaktivitet» i selskapet, jf. domstolloven § 231 andre ledd første punktum (Lov om domstolene (domstolloven)</w:t>
            </w:r>
            <w:r w:rsidRPr="00CD0E42">
              <w:tab/>
              <w:t>1915).  Det er ikke krav om at eierne er advokater, slik at også annet personell kan eie et advokatforetak, men vedkommende må altså utøve en vesentlig del av sin yrkesaktivitet i selskapet. Et slikt krav er blant annet begrunnet i at det vil være uforenlig med prinsippet om at advokater skal være økonomisk</w:t>
            </w:r>
            <w:r>
              <w:t xml:space="preserve">e- </w:t>
            </w:r>
            <w:r w:rsidRPr="00CD0E42">
              <w:t>og faglig uavhengige, dersom andre enn de personer som har tilknytning til selskapet, kan eie andeler i selskapet og dermed påvirke driften (Det kongelige justis- og beredskapsdepartement, 2021; Justis- og politidepartementet, 1990).</w:t>
            </w:r>
          </w:p>
          <w:p w14:paraId="5913BAF9" w14:textId="2BDB9D0F" w:rsidR="002D5E4B" w:rsidRDefault="002D5E4B" w:rsidP="002D5E4B">
            <w:r w:rsidRPr="00CD0E42">
              <w:t>For apoteker stilles det krav til både hvem som kan gis konsesjon til eierskap av apotek, og til hvem som kan gis konsesjon til å drifte et apotek. Kravene som stilles til eierskap av apotek, begrenser i hovedsak legemiddelforskrivere og farmasøytisk industri fra å eie apotek, jf. apotekloven § 2-3 (Lov om apotek (apotekloven), 2000).  Begrunnelsen for disse begrensningene er for legemiddelforskrivere at koblinger mellom eierskap av apotek og forskrivningsrett kan gi insentiver til økt forskrivning. For farmasøytisk industri er begrensningen begrunnet i det åpenbare uheldige konkurransemessige ved at alle ledd i legemiddelomsetningskjeden skal kunne kontrolleres av én aktør (Ot.prp. nr. 29 (1998</w:t>
            </w:r>
            <w:r>
              <w:t>–</w:t>
            </w:r>
            <w:r w:rsidRPr="00CD0E42">
              <w:t>99). Om lov om apotek (apotekloven)— Ny apoteklov som ledd i en samlet gjennomgang av legemiddelpolitikken).  Apotekloven § 3-2 stiller som krav for å få rett til driftskonsesjon, at søker blant annet har autorisasjon som provisorfarmasøyt og skal være daglig leder for apoteket. Dette er begrunnet i hensynet til at alle apotek bør ha tilgang til den teoretiske kompetanse som farmasøyter innehar.</w:t>
            </w:r>
          </w:p>
        </w:tc>
      </w:tr>
    </w:tbl>
    <w:p w14:paraId="14E2382A" w14:textId="77777777" w:rsidR="00D9107F" w:rsidRDefault="007D110A" w:rsidP="007D110A">
      <w:pPr>
        <w:jc w:val="both"/>
      </w:pPr>
      <w:r>
        <w:t>Tilsvarende krav med tilsvarende begrunnelse kan også være relevant å vurdere i spørsmålet om krav til eierskap av fastlegeselskaper. Integritet og uavhengighet er viktige etiske prinsipper for leger, og det vil være klart uheldig dersom økonomiske hensyn spilte for stor rolle i å påvirke hvordan fastlegene utførte sine oppgaver og prioriterte sine pasienter. Videre kan det være gode grunner til at lederen av et selskap som primært skal yte legetjenester til innbyggerne</w:t>
      </w:r>
      <w:r w:rsidR="00172D8C">
        <w:t>,</w:t>
      </w:r>
      <w:r>
        <w:t xml:space="preserve"> selv innehar </w:t>
      </w:r>
      <w:r w:rsidR="00172D8C">
        <w:t>lege</w:t>
      </w:r>
      <w:r>
        <w:t>kompetansen.</w:t>
      </w:r>
    </w:p>
    <w:p w14:paraId="6E66554D" w14:textId="0586867E" w:rsidR="007D110A" w:rsidRDefault="007D110A" w:rsidP="007D110A">
      <w:pPr>
        <w:jc w:val="both"/>
      </w:pPr>
      <w:r>
        <w:t>Fastlegeselskap skiller seg imidlertid fra advokat- og apotekforetak ved at tjenestene som skal ytes i selskapet</w:t>
      </w:r>
      <w:r w:rsidR="00A21A08">
        <w:t>,</w:t>
      </w:r>
      <w:r>
        <w:t xml:space="preserve"> i hovedsak vil finansieres av offentlige midler. Dette gir ekstra god grunn til å stille krav som sikrer offentlig kontroll, som et krav om eierskap vil kunne bidra til.</w:t>
      </w:r>
    </w:p>
    <w:p w14:paraId="732C624E" w14:textId="77777777" w:rsidR="00D9107F" w:rsidRDefault="007D110A" w:rsidP="007D110A">
      <w:pPr>
        <w:jc w:val="both"/>
      </w:pPr>
      <w:r>
        <w:t>Et eksempel er å stille krav om at det kun er leger</w:t>
      </w:r>
      <w:r w:rsidR="00DE1C87">
        <w:t>,</w:t>
      </w:r>
      <w:r>
        <w:t xml:space="preserve"> og eventuelt annet personell som arbeider i fastlegeselskapet, som kan eie selskapet, eventuelt at disse personene må eie den vesentlige </w:t>
      </w:r>
      <w:r>
        <w:lastRenderedPageBreak/>
        <w:t>delen av selskapet. I tillegg kan det, som for apotek, være god grunn til å stille krav om at daglig leder av selskapet er lege.</w:t>
      </w:r>
    </w:p>
    <w:p w14:paraId="691F7356" w14:textId="6DCBC0A3" w:rsidR="00D9107F" w:rsidRDefault="007D110A" w:rsidP="007D110A">
      <w:pPr>
        <w:jc w:val="both"/>
      </w:pPr>
      <w:r>
        <w:t>Eventuelle krav til eierskap må naturligvis vurderes opp mot Norges EØS-rettslige forpliktelser.</w:t>
      </w:r>
      <w:r w:rsidRPr="00AC5FC7">
        <w:t xml:space="preserve"> Et eventuelt krav om at kun fastleger kan eie et fastlege</w:t>
      </w:r>
      <w:r w:rsidR="00C9237B">
        <w:t>selskap</w:t>
      </w:r>
      <w:r w:rsidRPr="00AC5FC7">
        <w:t xml:space="preserve"> vil ikke kunne forskjellsbehandle norske leger på bekostning av leger fra andre EØS-land</w:t>
      </w:r>
      <w:r w:rsidR="00386059">
        <w:t>.</w:t>
      </w:r>
      <w:r w:rsidR="00386059" w:rsidRPr="00AC5FC7">
        <w:t xml:space="preserve"> </w:t>
      </w:r>
      <w:r w:rsidR="00D465E5">
        <w:t>K</w:t>
      </w:r>
      <w:r w:rsidRPr="00AC5FC7">
        <w:t>rav vi ellers stiller til leger som skal arbeide i Norge, rundt autorisasjon, norskkunnskaper og kjennskap til det norske helse-</w:t>
      </w:r>
      <w:r w:rsidR="004004E1">
        <w:t>,</w:t>
      </w:r>
      <w:r w:rsidRPr="00AC5FC7">
        <w:t xml:space="preserve"> omsorgs- og trygdesystemet, vil </w:t>
      </w:r>
      <w:r w:rsidR="00D465E5">
        <w:t xml:space="preserve">imidlertid </w:t>
      </w:r>
      <w:r w:rsidRPr="00AC5FC7">
        <w:t>være minst like relevante for eiere.</w:t>
      </w:r>
      <w:r w:rsidR="00D01766" w:rsidRPr="00D01766">
        <w:t xml:space="preserve"> </w:t>
      </w:r>
      <w:r w:rsidR="00D01766">
        <w:t xml:space="preserve">Videre må et slikt krav vurderes opp mot reglene om offentlige anskaffelser. </w:t>
      </w:r>
      <w:r w:rsidR="00F73337">
        <w:t>Ekspertutvalget</w:t>
      </w:r>
      <w:r w:rsidR="00D01766">
        <w:t xml:space="preserve"> har ikke utredet fastlegeselskap som organisasjonsform</w:t>
      </w:r>
      <w:r w:rsidR="00F40581">
        <w:t>,</w:t>
      </w:r>
      <w:r w:rsidR="00D01766">
        <w:t xml:space="preserve"> opp mot reglene om offentlige anskaffelser, men vil peke på mulighetene som ligger i anskaffelsesforskriften (FOA) </w:t>
      </w:r>
      <w:r w:rsidR="00D9107F">
        <w:t>§ 3</w:t>
      </w:r>
      <w:r w:rsidR="00D01766">
        <w:t>0-2 til å reservere retten til å delta i konkurranser om helse- og sosialtjenester til organisasjoner der de ansatte eier eller medvirker i ledelsen av organisasjonen, og til organisasjoner der overskuddet blir brukt til å oppnå organisasjonens mål</w:t>
      </w:r>
      <w:r w:rsidR="48508AC1">
        <w:t xml:space="preserve"> </w:t>
      </w:r>
      <w:r w:rsidR="00CD73A4">
        <w:fldChar w:fldCharType="begin"/>
      </w:r>
      <w:r w:rsidR="00A27571">
        <w:instrText xml:space="preserve"> ADDIN EN.CITE &lt;EndNote&gt;&lt;Cite ExcludeAuth="1"&gt;&lt;Year&gt;2016&lt;/Year&gt;&lt;RecNum&gt;262&lt;/RecNum&gt;&lt;DisplayText&gt;(&lt;style face="italic"&gt;Forskrift om offentlige anskaffelser (anskaffelsesforskriften)&lt;/style&gt;, 2016)&lt;/DisplayText&gt;&lt;record&gt;&lt;rec-number&gt;262&lt;/rec-number&gt;&lt;foreign-keys&gt;&lt;key app="EN" db-id="95tpr2tp6r9xwoea9rb5wdsz5ds5xeddteew" timestamp="1680069511"&gt;262&lt;/key&gt;&lt;/foreign-keys&gt;&lt;ref-type name="Legal Rule or Regulation"&gt;50&lt;/ref-type&gt;&lt;contributors&gt;&lt;/contributors&gt;&lt;titles&gt;&lt;title&gt;Forskrift om offentlige anskaffelser (anskaffelsesforskriften)&lt;/title&gt;&lt;secondary-title&gt;FOR-2016-08-12-974&lt;/secondary-title&gt;&lt;/titles&gt;&lt;edition&gt;FOR-2022-03-31-498&lt;/edition&gt;&lt;dates&gt;&lt;year&gt;2016&lt;/year&gt;&lt;/dates&gt;&lt;urls&gt;&lt;/urls&gt;&lt;/record&gt;&lt;/Cite&gt;&lt;/EndNote&gt;</w:instrText>
      </w:r>
      <w:r w:rsidR="00CD73A4">
        <w:fldChar w:fldCharType="separate"/>
      </w:r>
      <w:r w:rsidR="00CD73A4">
        <w:rPr>
          <w:noProof/>
        </w:rPr>
        <w:t>(</w:t>
      </w:r>
      <w:r w:rsidR="00CD73A4" w:rsidRPr="00D9107F">
        <w:rPr>
          <w:rStyle w:val="kursiv"/>
        </w:rPr>
        <w:t>Forskrift om offentlige anskaffelser (anskaffelsesforskriften)</w:t>
      </w:r>
      <w:r w:rsidR="00CD73A4">
        <w:rPr>
          <w:noProof/>
        </w:rPr>
        <w:t>, 2016)</w:t>
      </w:r>
      <w:r w:rsidR="00CD73A4">
        <w:fldChar w:fldCharType="end"/>
      </w:r>
      <w:r w:rsidR="25F384CE">
        <w:t>.</w:t>
      </w:r>
      <w:r w:rsidR="00D01766">
        <w:t xml:space="preserve"> </w:t>
      </w:r>
      <w:r w:rsidR="00E211F8">
        <w:t>Det</w:t>
      </w:r>
      <w:r w:rsidR="00D01766">
        <w:t xml:space="preserve"> er </w:t>
      </w:r>
      <w:r w:rsidR="00E211F8">
        <w:t xml:space="preserve">imidlertid en begrensing til at slike kontrakter kun kan ha en varighet på inntil tre år. </w:t>
      </w:r>
      <w:r w:rsidR="00D01766">
        <w:t>Tilsvarende bestemmelse om reservasjoner er ikke tatt inn i konsesjonskontraktforskriften</w:t>
      </w:r>
      <w:r w:rsidR="00CD73A4" w:rsidRPr="00CD73A4">
        <w:t xml:space="preserve"> </w:t>
      </w:r>
      <w:r w:rsidR="00CD73A4">
        <w:fldChar w:fldCharType="begin"/>
      </w:r>
      <w:r w:rsidR="00D078E3">
        <w:instrText xml:space="preserve"> ADDIN EN.CITE &lt;EndNote&gt;&lt;Cite ExcludeAuth="1"&gt;&lt;Year&gt;2016&lt;/Year&gt;&lt;RecNum&gt;258&lt;/RecNum&gt;&lt;DisplayText&gt;(&lt;style face="italic"&gt;Forskrift om konsesjonskontrakter (konsesjonskontraktforskriften)&lt;/style&gt;, 2016)&lt;/DisplayText&gt;&lt;record&gt;&lt;rec-number&gt;258&lt;/rec-number&gt;&lt;foreign-keys&gt;&lt;key app="EN" db-id="95tpr2tp6r9xwoea9rb5wdsz5ds5xeddteew" timestamp="1680069511"&gt;258&lt;/key&gt;&lt;/foreign-keys&gt;&lt;ref-type name="Legal Rule or Regulation"&gt;50&lt;/ref-type&gt;&lt;contributors&gt;&lt;/contributors&gt;&lt;titles&gt;&lt;title&gt;Forskrift om konsesjonskontrakter (konsesjonskontraktforskriften)&lt;/title&gt;&lt;secondary-title&gt;FOR-2016-08-12-976&lt;/secondary-title&gt;&lt;/titles&gt;&lt;edition&gt;FOR-2022-03-18-442&lt;/edition&gt;&lt;dates&gt;&lt;year&gt;2016&lt;/year&gt;&lt;/dates&gt;&lt;urls&gt;&lt;related-urls&gt;&lt;url&gt;https://lovdata.no/dokument/SF/forskrift/2016-08-12-976?q=Konsesjonskontraktforskriften&lt;/url&gt;&lt;/related-urls&gt;&lt;/urls&gt;&lt;/record&gt;&lt;/Cite&gt;&lt;/EndNote&gt;</w:instrText>
      </w:r>
      <w:r w:rsidR="00CD73A4">
        <w:fldChar w:fldCharType="separate"/>
      </w:r>
      <w:r w:rsidR="00CD73A4">
        <w:rPr>
          <w:noProof/>
        </w:rPr>
        <w:t>(</w:t>
      </w:r>
      <w:r w:rsidR="00CD73A4" w:rsidRPr="00D9107F">
        <w:rPr>
          <w:rStyle w:val="kursiv"/>
        </w:rPr>
        <w:t>Forskrift om konsesjonskontrakter (konsesjonskontraktforskriften)</w:t>
      </w:r>
      <w:r w:rsidR="00CD73A4">
        <w:rPr>
          <w:noProof/>
        </w:rPr>
        <w:t>, 2016)</w:t>
      </w:r>
      <w:r w:rsidR="00CD73A4">
        <w:fldChar w:fldCharType="end"/>
      </w:r>
      <w:r w:rsidR="30DD38D0">
        <w:t>.</w:t>
      </w:r>
      <w:r w:rsidR="00D01766">
        <w:t xml:space="preserve"> </w:t>
      </w:r>
      <w:r w:rsidR="00EB5D23">
        <w:t>Dersom</w:t>
      </w:r>
      <w:r w:rsidR="00E211F8">
        <w:t xml:space="preserve"> avtaler mellom kommunen og et fastlegeselskap skal anses som en tjenestekonsesjonskontrakt, vil det være nødvendig å ta inn tilsvarende reservasjonsadgang i konsesjonskontraktforskriften, og det bør </w:t>
      </w:r>
      <w:r w:rsidR="00157881">
        <w:t xml:space="preserve">da ikke stilles tilsvarende begrensninger i kontraktslengden som i anskaffelsesforskriften. </w:t>
      </w:r>
      <w:r w:rsidR="00D01766">
        <w:t xml:space="preserve">Det vil </w:t>
      </w:r>
      <w:r w:rsidR="00022170">
        <w:t>uansett</w:t>
      </w:r>
      <w:r w:rsidR="00D01766">
        <w:t xml:space="preserve"> være sentralt å utrede nærmere hvilke begrensninger som lovlig kan stilles til eierskap av fastlegeselskap, og om det eventuelt er behov for endringer i forskriftene til lov om offentlige anskaffelser for å kunne stille slike krav.</w:t>
      </w:r>
    </w:p>
    <w:p w14:paraId="72EFAEFD" w14:textId="2E063D54" w:rsidR="007D110A" w:rsidRDefault="007D110A" w:rsidP="007D110A">
      <w:pPr>
        <w:jc w:val="both"/>
      </w:pPr>
      <w:r>
        <w:t xml:space="preserve">Også andre virkemidler enn å begrense eierskap i fastlegeselskapene til fastlegene selv, kan være relevante. Alternativer til et krav om at det kun er fastleger som kan eie fastlegeselskap, kan eksempelvis være å begrense virksomhetens muligheter for å tilby andre tjenester enn kommunale allmennlegetjenester, </w:t>
      </w:r>
      <w:r w:rsidRPr="00B920F5">
        <w:t>herunder typiske tilleggstjenester som prises</w:t>
      </w:r>
      <w:r>
        <w:t xml:space="preserve"> og tilbys</w:t>
      </w:r>
      <w:r w:rsidRPr="00B920F5">
        <w:t xml:space="preserve"> som helprivate tjenester</w:t>
      </w:r>
      <w:r>
        <w:t>. Et annet alternativ er å begrense fastlegeselskapenes mulighet til å ta ut utbytte, eller stille krav om at deler av overskuddet i selskapet skal reinvesteres i nærmere bestemte formål, eksempelvis innovasjonsprosjekter, innad i fastlege</w:t>
      </w:r>
      <w:r w:rsidR="00C9237B">
        <w:t>selskape</w:t>
      </w:r>
      <w:r>
        <w:t xml:space="preserve">t. Videre kan man stille krav om åpenhet rundt økonomi og eierskap, eksempelvis ved å kreve at fastlegeselskapene er egne rettssubjekter, registrert med eget organisasjonsnummer i Enhetsregisteret. Et slikt tiltak er innført for private barnehager, jf. barnehageloven </w:t>
      </w:r>
      <w:r w:rsidR="00D9107F">
        <w:t>§ 7</w:t>
      </w:r>
      <w:r>
        <w:t>a, og et slikt krav bidrar blant annet til å gi kommunene og staten informasjon om økonomien i barnehagene, og gir bedre mulighet for kontroll</w:t>
      </w:r>
      <w:r w:rsidR="3C531454">
        <w:t xml:space="preserve"> </w:t>
      </w:r>
      <w:r w:rsidR="00CD73A4">
        <w:fldChar w:fldCharType="begin"/>
      </w:r>
      <w:r w:rsidR="004654FD">
        <w:instrText xml:space="preserve"> ADDIN EN.CITE &lt;EndNote&gt;&lt;Cite ExcludeYear="1"&gt;&lt;Author&gt;Kunnskapsdepartementet&lt;/Author&gt;&lt;Year&gt;2021&lt;/Year&gt;&lt;RecNum&gt;671&lt;/RecNum&gt;&lt;DisplayText&gt;(Kunnskapsdepartementet; &lt;style face="italic"&gt;Lov om barnehager (barnehageloven)&lt;/style&gt;, 2005)&lt;/DisplayText&gt;&lt;record&gt;&lt;rec-number&gt;671&lt;/rec-number&gt;&lt;foreign-keys&gt;&lt;key app="EN" db-id="95tpr2tp6r9xwoea9rb5wdsz5ds5xeddteew" timestamp="1680069511"&gt;671&lt;/key&gt;&lt;/foreign-keys&gt;&lt;ref-type name="Report"&gt;27&lt;/ref-type&gt;&lt;contributors&gt;&lt;authors&gt;&lt;author&gt;Kunnskapsdepartementet, &lt;/author&gt;&lt;/authors&gt;&lt;/contributors&gt;&lt;titles&gt;&lt;title&gt;Prop. 82 L (2021 –2022): Proposisjon til Stortinget (forslag til lovvedtak) - Endringer i barnehageloven (selvstendig rettssubjekt, forbud mot annen virksomhet, meldeplikt m.m.)&lt;/title&gt;&lt;/titles&gt;&lt;dates&gt;&lt;year&gt;2021&lt;/year&gt;&lt;/dates&gt;&lt;urls&gt;&lt;/urls&gt;&lt;/record&gt;&lt;/Cite&gt;&lt;Cite&gt;&lt;Year&gt;2005&lt;/Year&gt;&lt;RecNum&gt;460&lt;/RecNum&gt;&lt;record&gt;&lt;rec-number&gt;460&lt;/rec-number&gt;&lt;foreign-keys&gt;&lt;key app="EN" db-id="95tpr2tp6r9xwoea9rb5wdsz5ds5xeddteew" timestamp="1680069511"&gt;460&lt;/key&gt;&lt;/foreign-keys&gt;&lt;ref-type name="Legal Rule or Regulation"&gt;50&lt;/ref-type&gt;&lt;contributors&gt;&lt;/contributors&gt;&lt;titles&gt;&lt;title&gt;Lov om barnehager (barnehageloven)&lt;/title&gt;&lt;secondary-title&gt;LOV-2005-06-17-64&lt;/secondary-title&gt;&lt;/titles&gt;&lt;edition&gt;LOV-2022-06-10-40 &lt;/edition&gt;&lt;dates&gt;&lt;year&gt;2005&lt;/year&gt;&lt;/dates&gt;&lt;urls&gt;&lt;related-urls&gt;&lt;url&gt;https://lovdata.no/dokument/NL/lov/2005-06-17-64&lt;/url&gt;&lt;/related-urls&gt;&lt;/urls&gt;&lt;/record&gt;&lt;/Cite&gt;&lt;/EndNote&gt;</w:instrText>
      </w:r>
      <w:r w:rsidR="00CD73A4">
        <w:fldChar w:fldCharType="separate"/>
      </w:r>
      <w:r w:rsidR="004654FD">
        <w:rPr>
          <w:noProof/>
        </w:rPr>
        <w:t xml:space="preserve">(Kunnskapsdepartementet; </w:t>
      </w:r>
      <w:r w:rsidR="004654FD" w:rsidRPr="00D9107F">
        <w:rPr>
          <w:rStyle w:val="kursiv"/>
        </w:rPr>
        <w:t>Lov om barnehager (barnehageloven)</w:t>
      </w:r>
      <w:r w:rsidR="004654FD">
        <w:rPr>
          <w:noProof/>
        </w:rPr>
        <w:t>, 2005)</w:t>
      </w:r>
      <w:r w:rsidR="00CD73A4">
        <w:fldChar w:fldCharType="end"/>
      </w:r>
      <w:r>
        <w:t>.</w:t>
      </w:r>
    </w:p>
    <w:p w14:paraId="54D082A3" w14:textId="77777777" w:rsidR="00D9107F" w:rsidRDefault="00106D44" w:rsidP="00274797">
      <w:pPr>
        <w:jc w:val="both"/>
      </w:pPr>
      <w:r>
        <w:t>Ekspertu</w:t>
      </w:r>
      <w:r w:rsidR="007214EF">
        <w:t xml:space="preserve">tvalget </w:t>
      </w:r>
      <w:r w:rsidR="00B721AC">
        <w:t xml:space="preserve">legger </w:t>
      </w:r>
      <w:r w:rsidR="007214EF">
        <w:t xml:space="preserve">til grunn at </w:t>
      </w:r>
      <w:r w:rsidR="007D110A">
        <w:t xml:space="preserve">kommunene </w:t>
      </w:r>
      <w:r w:rsidR="00DF1435">
        <w:t xml:space="preserve">selvsagt </w:t>
      </w:r>
      <w:r w:rsidR="00DE1C87">
        <w:t>vil</w:t>
      </w:r>
      <w:r w:rsidR="007D110A">
        <w:t xml:space="preserve"> </w:t>
      </w:r>
      <w:r w:rsidR="007214EF">
        <w:t xml:space="preserve">kunne </w:t>
      </w:r>
      <w:r w:rsidR="00DE1C87">
        <w:t>eie</w:t>
      </w:r>
      <w:r w:rsidR="007D110A">
        <w:t xml:space="preserve"> fastlegeselskap selv, </w:t>
      </w:r>
      <w:r w:rsidR="00DE1C87">
        <w:t>som</w:t>
      </w:r>
      <w:r w:rsidR="007D110A">
        <w:t xml:space="preserve"> kommunale eller interkommunale selskaper</w:t>
      </w:r>
      <w:r w:rsidR="00DE1C87">
        <w:t>.</w:t>
      </w:r>
    </w:p>
    <w:p w14:paraId="04A31578" w14:textId="77777777" w:rsidR="00D9107F" w:rsidRPr="00D9107F" w:rsidRDefault="537A732E" w:rsidP="00AF35D8">
      <w:pPr>
        <w:pStyle w:val="avsnitt-undertittel"/>
        <w:rPr>
          <w:rStyle w:val="kursiv"/>
        </w:rPr>
      </w:pPr>
      <w:r w:rsidRPr="00D9107F">
        <w:rPr>
          <w:rStyle w:val="kursiv"/>
        </w:rPr>
        <w:lastRenderedPageBreak/>
        <w:t>Stiftelser og</w:t>
      </w:r>
      <w:r w:rsidR="36FD7AB0" w:rsidRPr="00D9107F">
        <w:rPr>
          <w:rStyle w:val="kursiv"/>
        </w:rPr>
        <w:t xml:space="preserve"> ideelle organisasjoner kan </w:t>
      </w:r>
      <w:r w:rsidR="00761D80" w:rsidRPr="00D9107F">
        <w:rPr>
          <w:rStyle w:val="kursiv"/>
        </w:rPr>
        <w:t>bidra</w:t>
      </w:r>
      <w:r w:rsidR="36FD7AB0" w:rsidRPr="00D9107F">
        <w:rPr>
          <w:rStyle w:val="kursiv"/>
        </w:rPr>
        <w:t xml:space="preserve"> til tjenesteutvikling</w:t>
      </w:r>
    </w:p>
    <w:p w14:paraId="3AE37B62" w14:textId="77777777" w:rsidR="00D9107F" w:rsidRDefault="007D110A" w:rsidP="007D110A">
      <w:pPr>
        <w:jc w:val="both"/>
      </w:pPr>
      <w:r>
        <w:t>I drøftingen av hvem som skal kunne tilby fastlegetjenester gjennom e</w:t>
      </w:r>
      <w:r w:rsidR="000471F7">
        <w:t>t fastlegeselskap</w:t>
      </w:r>
      <w:r w:rsidR="00024E53">
        <w:t>,</w:t>
      </w:r>
      <w:r w:rsidR="00014700">
        <w:t xml:space="preserve"> vil det være relevant å se </w:t>
      </w:r>
      <w:r w:rsidR="004E0975">
        <w:t>til hvilke aktører</w:t>
      </w:r>
      <w:r w:rsidR="00300A49">
        <w:t xml:space="preserve"> som </w:t>
      </w:r>
      <w:r w:rsidR="00FF5E16">
        <w:t xml:space="preserve">allerede </w:t>
      </w:r>
      <w:r w:rsidR="00974CF0">
        <w:t>er på markedet i dag</w:t>
      </w:r>
      <w:r w:rsidR="00971796">
        <w:t>,</w:t>
      </w:r>
      <w:r w:rsidR="00974CF0">
        <w:t xml:space="preserve"> og som har erfaring med å levere helse</w:t>
      </w:r>
      <w:r w:rsidR="006977BA">
        <w:t>- og omsorgs</w:t>
      </w:r>
      <w:r w:rsidR="00974CF0">
        <w:t>tjenester</w:t>
      </w:r>
      <w:r w:rsidR="00FF5E16">
        <w:t>.</w:t>
      </w:r>
      <w:r w:rsidR="00F516D8">
        <w:t xml:space="preserve"> </w:t>
      </w:r>
      <w:r w:rsidR="00CB187B">
        <w:t>Det</w:t>
      </w:r>
      <w:r w:rsidR="00C86457">
        <w:t xml:space="preserve"> </w:t>
      </w:r>
      <w:r w:rsidR="00CB187B">
        <w:t xml:space="preserve">er i dag flere eksempler på </w:t>
      </w:r>
      <w:r w:rsidR="003D6978">
        <w:t>ideelle organisasjoner</w:t>
      </w:r>
      <w:r w:rsidR="000D4AF8">
        <w:t xml:space="preserve"> og stiftelser som</w:t>
      </w:r>
      <w:r w:rsidR="00590285">
        <w:t xml:space="preserve"> har avtale med </w:t>
      </w:r>
      <w:r w:rsidR="006977BA">
        <w:t>de regionale helseforetakene</w:t>
      </w:r>
      <w:r w:rsidR="00FA636A">
        <w:t xml:space="preserve"> om å yte spesialisthelsetjenester</w:t>
      </w:r>
      <w:r w:rsidR="00997C4C">
        <w:t xml:space="preserve"> innenfor en rekke fagområder</w:t>
      </w:r>
      <w:r w:rsidR="00DF1DDB">
        <w:t xml:space="preserve">. </w:t>
      </w:r>
      <w:r w:rsidR="009F1D85">
        <w:t xml:space="preserve">Det finnes også eksempler på at slike ideelle organisasjoner og stiftelser har avtaler med kommuner om å tilby kommunale helse- og omsorgstjenester, eksempelvis sykehjemsplasser og </w:t>
      </w:r>
      <w:r w:rsidR="00AA785C">
        <w:t>omsorgsboliger.</w:t>
      </w:r>
      <w:r w:rsidR="00DF1DDB">
        <w:t xml:space="preserve"> </w:t>
      </w:r>
      <w:r w:rsidR="00E5675A">
        <w:t xml:space="preserve">Det kan tenkes at disse aktørene </w:t>
      </w:r>
      <w:r w:rsidR="00821813">
        <w:t xml:space="preserve">også </w:t>
      </w:r>
      <w:r w:rsidR="0020294F">
        <w:t>kan være aktuelle</w:t>
      </w:r>
      <w:r w:rsidR="00F91440">
        <w:t xml:space="preserve"> </w:t>
      </w:r>
      <w:r w:rsidR="00D07CA6">
        <w:t xml:space="preserve">avtaleparter overfor kommunen </w:t>
      </w:r>
      <w:r w:rsidR="002B5562">
        <w:t xml:space="preserve">knyttet </w:t>
      </w:r>
      <w:r w:rsidR="00AA785C">
        <w:t xml:space="preserve">til </w:t>
      </w:r>
      <w:r>
        <w:t>ytelse av fastlegetjenester.</w:t>
      </w:r>
    </w:p>
    <w:p w14:paraId="11F7AA2A" w14:textId="7F7B5E74" w:rsidR="002638D8" w:rsidRPr="008F5AD8" w:rsidRDefault="000224A1" w:rsidP="007D110A">
      <w:pPr>
        <w:jc w:val="both"/>
      </w:pPr>
      <w:r>
        <w:t>I</w:t>
      </w:r>
      <w:r w:rsidR="002638D8">
        <w:t xml:space="preserve"> motsetning </w:t>
      </w:r>
      <w:r>
        <w:t>til</w:t>
      </w:r>
      <w:r w:rsidR="002638D8">
        <w:t xml:space="preserve"> de kommersielle aktørene, er de ideelle organisasjonenes særtrekk at de </w:t>
      </w:r>
      <w:r>
        <w:t>har</w:t>
      </w:r>
      <w:r w:rsidR="002638D8">
        <w:t xml:space="preserve"> samfunnsnyttige formål</w:t>
      </w:r>
      <w:r w:rsidR="007E5367">
        <w:t>.</w:t>
      </w:r>
      <w:r w:rsidR="00D41731">
        <w:t xml:space="preserve"> O</w:t>
      </w:r>
      <w:r w:rsidR="00116B57">
        <w:t>fte er dette formålet fastsatt i organisasjonens vedtekte</w:t>
      </w:r>
      <w:r w:rsidR="007C4C3E">
        <w:t>r. Et</w:t>
      </w:r>
      <w:r w:rsidR="00116B57">
        <w:t xml:space="preserve"> eventuelt overskudd </w:t>
      </w:r>
      <w:r w:rsidR="005E1A9A">
        <w:t xml:space="preserve">ved </w:t>
      </w:r>
      <w:r w:rsidR="00BD5797">
        <w:t>driften vil</w:t>
      </w:r>
      <w:r w:rsidR="007C4C3E">
        <w:t xml:space="preserve"> da</w:t>
      </w:r>
      <w:r w:rsidR="00BD5797">
        <w:t xml:space="preserve"> måtte benyttes innenfor det sosiale eller samfunnsnyttige formålet som er </w:t>
      </w:r>
      <w:r w:rsidR="007C4C3E">
        <w:t xml:space="preserve">fastsatt i vedtektene. </w:t>
      </w:r>
      <w:r w:rsidR="0054588E">
        <w:t>NOU</w:t>
      </w:r>
      <w:r w:rsidR="00BB08DD">
        <w:t xml:space="preserve"> 2020: 13</w:t>
      </w:r>
      <w:r w:rsidR="00626559">
        <w:t xml:space="preserve"> om private aktører i velferdsstaten</w:t>
      </w:r>
      <w:r w:rsidR="00341B2D">
        <w:t xml:space="preserve"> (velferdstjenesteutvalget)</w:t>
      </w:r>
      <w:r w:rsidR="00626559">
        <w:t xml:space="preserve"> peker på </w:t>
      </w:r>
      <w:r w:rsidR="00F7225A">
        <w:t xml:space="preserve">at ideell sektor </w:t>
      </w:r>
      <w:r w:rsidR="00D74A16">
        <w:t>anses som bærer av samfunnsmessig viktige verdier som solidaritet og fellesskapsorientering</w:t>
      </w:r>
      <w:r w:rsidR="00275F33">
        <w:t>.</w:t>
      </w:r>
      <w:r w:rsidR="00341B2D">
        <w:t xml:space="preserve"> </w:t>
      </w:r>
      <w:r w:rsidRPr="008F5AD8">
        <w:t xml:space="preserve">Per i dag finnes det ikke en entydig definisjon av ideelle organisasjoner, men </w:t>
      </w:r>
      <w:r w:rsidR="00DE1C87" w:rsidRPr="008F5AD8">
        <w:t>r</w:t>
      </w:r>
      <w:r w:rsidRPr="008F5AD8">
        <w:t>egjeringen har satt ned et offentlig utvalg (avkommersi</w:t>
      </w:r>
      <w:r w:rsidR="00CA6844" w:rsidRPr="008F5AD8">
        <w:t>alis</w:t>
      </w:r>
      <w:r w:rsidRPr="008F5AD8">
        <w:t xml:space="preserve">eringsutvalget) som skal legge </w:t>
      </w:r>
      <w:r w:rsidR="00D66CA5" w:rsidRPr="008F5AD8">
        <w:t>fram</w:t>
      </w:r>
      <w:r w:rsidRPr="008F5AD8">
        <w:t xml:space="preserve"> en juridisk definisjon av ideelle virksomheter og hvordan disse kan registreres</w:t>
      </w:r>
      <w:r w:rsidR="00DE1C87" w:rsidRPr="008F5AD8">
        <w:t>,</w:t>
      </w:r>
      <w:r w:rsidRPr="008F5AD8">
        <w:t xml:space="preserve"> innen juni 2023</w:t>
      </w:r>
      <w:r w:rsidR="6B056615" w:rsidRPr="008F5AD8">
        <w:t xml:space="preserve"> </w:t>
      </w:r>
      <w:r w:rsidR="00CD73A4" w:rsidRPr="008F5AD8">
        <w:fldChar w:fldCharType="begin"/>
      </w:r>
      <w:r w:rsidR="00D078E3" w:rsidRPr="008F5AD8">
        <w:instrText xml:space="preserve"> ADDIN EN.CITE &lt;EndNote&gt;&lt;Cite ExcludeYear="1"&gt;&lt;Author&gt;Dinardi&lt;/Author&gt;&lt;RecNum&gt;478&lt;/RecNum&gt;&lt;DisplayText&gt;(Dinardi)&lt;/DisplayText&gt;&lt;record&gt;&lt;rec-number&gt;478&lt;/rec-number&gt;&lt;foreign-keys&gt;&lt;key app="EN" db-id="95tpr2tp6r9xwoea9rb5wdsz5ds5xeddteew" timestamp="1680069511"&gt;478&lt;/key&gt;&lt;/foreign-keys&gt;&lt;ref-type name="Web Page"&gt;12&lt;/ref-type&gt;&lt;contributors&gt;&lt;authors&gt;&lt;author&gt;Cecilia Dinardi&lt;/author&gt;&lt;/authors&gt;&lt;/contributors&gt;&lt;titles&gt;&lt;title&gt;Mandat&lt;/title&gt;&lt;/titles&gt;&lt;number&gt;16. mars 2023&lt;/number&gt;&lt;dates&gt;&lt;/dates&gt;&lt;publisher&gt;Avkommersialiseringsutvalget&lt;/publisher&gt;&lt;work-type&gt;nettdokument&lt;/work-type&gt;&lt;urls&gt;&lt;related-urls&gt;&lt;url&gt;https://avkommersialiseringsutvalget.no/mandat/&lt;/url&gt;&lt;/related-urls&gt;&lt;/urls&gt;&lt;/record&gt;&lt;/Cite&gt;&lt;/EndNote&gt;</w:instrText>
      </w:r>
      <w:r w:rsidR="00CD73A4" w:rsidRPr="008F5AD8">
        <w:fldChar w:fldCharType="separate"/>
      </w:r>
      <w:r w:rsidR="00CD73A4" w:rsidRPr="008F5AD8">
        <w:t>(Dinardi)</w:t>
      </w:r>
      <w:r w:rsidR="00CD73A4" w:rsidRPr="008F5AD8">
        <w:fldChar w:fldCharType="end"/>
      </w:r>
      <w:r w:rsidRPr="008F5AD8">
        <w:t>.</w:t>
      </w:r>
    </w:p>
    <w:p w14:paraId="7A3BC29F" w14:textId="77777777" w:rsidR="00D9107F" w:rsidRDefault="007D110A" w:rsidP="007D110A">
      <w:pPr>
        <w:jc w:val="both"/>
      </w:pPr>
      <w:r>
        <w:t xml:space="preserve">Velferdstjenesteutvalget påpeker videre at ideelle aktører historisk har hatt en pioner- og innovatørrolle. De har ofte fungert som en slags utprøvningsfabrikk for offentlig finansiert tjenesteproduksjon. Denne rollen kan de ideelle aktørene ta fordi de har egne midler, er tilknyttet frivillig sektor og har et formål med sin virksomhet som ligger tett opptil formålet med offentlig finansiert tjenesteproduksjon. Dette har en verdi fordi det offentlige i ettertid kan velge blant ferdig utprøvde tjenester, </w:t>
      </w:r>
      <w:r w:rsidR="00907AE4">
        <w:t xml:space="preserve">og </w:t>
      </w:r>
      <w:r>
        <w:t>finansiere de tjenester som har god effekt, jf. NOU 2020: 13</w:t>
      </w:r>
      <w:r w:rsidRPr="0063633F">
        <w:t xml:space="preserve"> </w:t>
      </w:r>
      <w:r w:rsidRPr="00394A1A">
        <w:t>kapittel 5.12.6</w:t>
      </w:r>
      <w:r>
        <w:t>. De samme argumentene vil også være gjeldene for stiftelser. Det kan være positivt å la aktører som er vant til å jobbe med innovasjon og tjenesteutvikling, yte fastlegetjenester.</w:t>
      </w:r>
    </w:p>
    <w:p w14:paraId="42D91C30" w14:textId="77777777" w:rsidR="00D9107F" w:rsidRDefault="007D110A" w:rsidP="007D110A">
      <w:pPr>
        <w:jc w:val="both"/>
      </w:pPr>
      <w:r>
        <w:t>Ideelle organisasjoner som i dag yter helse- og omsorgstjenester etter avtale med helseforetak og kommuner</w:t>
      </w:r>
      <w:r w:rsidR="006615D3">
        <w:t>,</w:t>
      </w:r>
      <w:r>
        <w:t xml:space="preserve"> er ofte større og godt etablerte organisasjoner med </w:t>
      </w:r>
      <w:r w:rsidR="00D6795E">
        <w:t>et</w:t>
      </w:r>
      <w:r>
        <w:t xml:space="preserve"> god</w:t>
      </w:r>
      <w:r w:rsidR="00800AA8">
        <w:t>t</w:t>
      </w:r>
      <w:r>
        <w:t xml:space="preserve"> administrativ</w:t>
      </w:r>
      <w:r w:rsidR="00800AA8">
        <w:t>t</w:t>
      </w:r>
      <w:r>
        <w:t xml:space="preserve"> </w:t>
      </w:r>
      <w:r w:rsidR="00800AA8">
        <w:t>apparat</w:t>
      </w:r>
      <w:r>
        <w:t xml:space="preserve"> og tilstrekkelig finansiell trygghet. I en større organisasjon vil fastlegeselskapet kunne utgjøre en avdeling eller seksjon i organisasjonen. En slik grunnmur vil være et godt utgangspunkt for å kunne starte opp fastlegeselskap.</w:t>
      </w:r>
    </w:p>
    <w:p w14:paraId="2C6C3875" w14:textId="61A64605" w:rsidR="007D110A" w:rsidRDefault="007D110A" w:rsidP="007D110A">
      <w:pPr>
        <w:jc w:val="both"/>
      </w:pPr>
      <w:r w:rsidRPr="6841C4C6">
        <w:t xml:space="preserve">Det nærmeste </w:t>
      </w:r>
      <w:r>
        <w:t>eksemplet</w:t>
      </w:r>
      <w:r w:rsidRPr="6841C4C6">
        <w:t xml:space="preserve"> vi har til denne typen organisering av fastlegetjenester i dag, er særordningen for studenter, ansatte og deres barn ved Universitetet i Oslo. Etter avtale med Oslo kommune, tilbyr Studentsamskipnaden i Oslo</w:t>
      </w:r>
      <w:r>
        <w:t xml:space="preserve"> </w:t>
      </w:r>
      <w:r w:rsidRPr="6841C4C6">
        <w:t xml:space="preserve">(SiO) fastlegetjenester, i tillegg til andre helsetilbud som </w:t>
      </w:r>
      <w:r>
        <w:t>tann</w:t>
      </w:r>
      <w:r w:rsidR="00D6795E">
        <w:t>legetjenester</w:t>
      </w:r>
      <w:r w:rsidRPr="6841C4C6">
        <w:t xml:space="preserve"> og psykisk helsehjelp. </w:t>
      </w:r>
      <w:r>
        <w:t xml:space="preserve">Studentsamskipnader reguleres av egen lov om studentsamskipnader, som understreker at studentsamskipnadens oppgave er å </w:t>
      </w:r>
      <w:r>
        <w:lastRenderedPageBreak/>
        <w:t>ta seg av studentenes velferdsbehov og tilby tjenester til studentene</w:t>
      </w:r>
      <w:r w:rsidR="1E1D9444">
        <w:t xml:space="preserve"> </w:t>
      </w:r>
      <w:r w:rsidR="00CD73A4">
        <w:fldChar w:fldCharType="begin"/>
      </w:r>
      <w:r w:rsidR="00D078E3">
        <w:instrText xml:space="preserve"> ADDIN EN.CITE &lt;EndNote&gt;&lt;Cite ExcludeAuth="1"&gt;&lt;Year&gt;2007&lt;/Year&gt;&lt;RecNum&gt;475&lt;/RecNum&gt;&lt;DisplayText&gt;(&lt;style face="italic"&gt;Lov om studentsamskipnader (studentsamskipnadsloven)&lt;/style&gt;, 2007)&lt;/DisplayText&gt;&lt;record&gt;&lt;rec-number&gt;475&lt;/rec-number&gt;&lt;foreign-keys&gt;&lt;key app="EN" db-id="95tpr2tp6r9xwoea9rb5wdsz5ds5xeddteew" timestamp="1680069511"&gt;475&lt;/key&gt;&lt;/foreign-keys&gt;&lt;ref-type name="Legal Rule or Regulation"&gt;50&lt;/ref-type&gt;&lt;contributors&gt;&lt;/contributors&gt;&lt;titles&gt;&lt;title&gt;Lov om studentsamskipnader (studentsamskipnadsloven)&lt;/title&gt;&lt;secondary-title&gt;LOV-2007-12-14-116&lt;/secondary-title&gt;&lt;/titles&gt;&lt;edition&gt;LOV-2021-06-11-81 &lt;/edition&gt;&lt;dates&gt;&lt;year&gt;2007&lt;/year&gt;&lt;/dates&gt;&lt;urls&gt;&lt;related-urls&gt;&lt;url&gt;https://lovdata.no/dokument/NL/lov/2007-12-14-116&lt;/url&gt;&lt;/related-urls&gt;&lt;/urls&gt;&lt;/record&gt;&lt;/Cite&gt;&lt;/EndNote&gt;</w:instrText>
      </w:r>
      <w:r w:rsidR="00CD73A4">
        <w:fldChar w:fldCharType="separate"/>
      </w:r>
      <w:r w:rsidR="00CD73A4">
        <w:rPr>
          <w:noProof/>
        </w:rPr>
        <w:t>(</w:t>
      </w:r>
      <w:r w:rsidR="00CD73A4" w:rsidRPr="00D9107F">
        <w:rPr>
          <w:rStyle w:val="kursiv"/>
        </w:rPr>
        <w:t>Lov om studentsamskipnader (studentsamskipnadsloven)</w:t>
      </w:r>
      <w:r w:rsidR="00CD73A4">
        <w:rPr>
          <w:noProof/>
        </w:rPr>
        <w:t>, 2007)</w:t>
      </w:r>
      <w:r w:rsidR="00CD73A4">
        <w:fldChar w:fldCharType="end"/>
      </w:r>
      <w:r>
        <w:t>. Dersom studentsamskipnaden tilbyr tjenester til andre enn studenter, stiller loven krav om at overskudd skal komme studentvelferden til gode. Dersom lignende organisasjoner kunne inngått avtale med kommunen om å yte fastlegetjenester, vil</w:t>
      </w:r>
      <w:r w:rsidR="00DE1C87">
        <w:t>le</w:t>
      </w:r>
      <w:r>
        <w:t xml:space="preserve"> det kunne bidra til en fastlegetjeneste som i større grad legger til rette for leger som av ulike grunner ikke ønsker å være selvstendig næringsdrivende, samtidig som det tilrettelegges for innovasjon og tjenesteutvikling. </w:t>
      </w:r>
      <w:r w:rsidR="00F039CA" w:rsidRPr="00C46DED">
        <w:t xml:space="preserve">Det vises for øvrig til omtale av SiO-modellen i </w:t>
      </w:r>
      <w:r w:rsidR="00643DF0" w:rsidRPr="00C46DED">
        <w:t>kapittel 4.7.3</w:t>
      </w:r>
      <w:r w:rsidR="001F72F1" w:rsidRPr="00C46DED">
        <w:t>.</w:t>
      </w:r>
    </w:p>
    <w:p w14:paraId="1297EDD3" w14:textId="77777777" w:rsidR="00D9107F" w:rsidRDefault="0045215A" w:rsidP="0045215A">
      <w:pPr>
        <w:jc w:val="both"/>
      </w:pPr>
      <w:r>
        <w:t>Flere ideelle organisasjoner og stiftelser yter i dag både spesialisthelsetjenester og omsorgstjenester. Ved at de også kan yte fastlegetjenester vil det legge til rette for sammenhengende tjenester på tvers av nivå innenfor et område eller region. Ideelle organisasjoner yter i dag spesialiserte tjenester rettet mot pasienter og brukere, hvorav flere innenfor rus- og avhengighetsbehandling. At disse kan tilby fastlegetjenester gjennom fastlegeselskap vil åpne opp for at utformingen av tjenesten knyttet til personell og utstyr kan innrettes tilbudet brukergruppens behov. På den måten kan fastlegetilbudet til enkelte brukergrupper tenkes å bli bedre med en slik organisering.</w:t>
      </w:r>
    </w:p>
    <w:p w14:paraId="768D566D" w14:textId="1E1B2645" w:rsidR="00A46156" w:rsidRDefault="000C5C1A" w:rsidP="007D110A">
      <w:pPr>
        <w:jc w:val="both"/>
      </w:pPr>
      <w:r>
        <w:t xml:space="preserve">Alt dette taler for at ideelle organisasjoner og stiftelser bør </w:t>
      </w:r>
      <w:r w:rsidR="007E1728">
        <w:t>kunne</w:t>
      </w:r>
      <w:r>
        <w:t xml:space="preserve"> drive fastlegeselskap etter avtale med kommunen.</w:t>
      </w:r>
    </w:p>
    <w:p w14:paraId="7E2A14BB" w14:textId="6B041F54" w:rsidR="006A5D20" w:rsidRDefault="006A5D20" w:rsidP="00775632">
      <w:pPr>
        <w:pStyle w:val="Overskrift4"/>
      </w:pPr>
      <w:bookmarkStart w:id="1787" w:name="_Toc130983458"/>
      <w:bookmarkStart w:id="1788" w:name="_Toc130983807"/>
      <w:bookmarkStart w:id="1789" w:name="_Toc131062129"/>
      <w:bookmarkStart w:id="1790" w:name="_Toc131062383"/>
      <w:bookmarkStart w:id="1791" w:name="_Toc131062644"/>
      <w:bookmarkStart w:id="1792" w:name="_Toc131062897"/>
      <w:bookmarkStart w:id="1793" w:name="_Toc131063665"/>
      <w:bookmarkStart w:id="1794" w:name="_Toc131064090"/>
      <w:bookmarkStart w:id="1795" w:name="_Toc131238384"/>
      <w:bookmarkStart w:id="1796" w:name="_Toc131279415"/>
      <w:bookmarkStart w:id="1797" w:name="_Toc131286827"/>
      <w:bookmarkStart w:id="1798" w:name="_Toc131281237"/>
      <w:bookmarkStart w:id="1799" w:name="_Toc131317776"/>
      <w:r>
        <w:t>Om avtalen med kommunen</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26BEA9F6" w14:textId="5D88898B" w:rsidR="00D9107F" w:rsidRDefault="006A5D20" w:rsidP="006A5D20">
      <w:pPr>
        <w:jc w:val="both"/>
      </w:pPr>
      <w:r>
        <w:t xml:space="preserve">På samme måte som de individuelle fastlegeavtalene gjør i dag, vil det måtte settes et maksimalt antall listeinnbyggere som et fastlegekontor med gruppeavtale kan tilby fastlegetjenester til. Ettersom legekontoret vil kunne ha ansatt flere leger og annet helsepersonell, vil det samlede listetaket måtte settes høyere enn </w:t>
      </w:r>
      <w:r>
        <w:br/>
      </w:r>
      <w:r w:rsidR="00D9107F">
        <w:t>2 500</w:t>
      </w:r>
      <w:r>
        <w:t>, som fastlegeforskriften setter som tak i dag. Et realistisk maksimalt listetak for gruppeavtaler bør forskriftsfestes i fastlegeforskriften dersom det skal åpnes for denne type avtaler.</w:t>
      </w:r>
    </w:p>
    <w:p w14:paraId="1FBAF1FA" w14:textId="77777777" w:rsidR="00D9107F" w:rsidRDefault="006A5D20" w:rsidP="006A5D20">
      <w:pPr>
        <w:jc w:val="both"/>
      </w:pPr>
      <w:r>
        <w:t>For næringsdrivende legekontorer</w:t>
      </w:r>
      <w:r w:rsidR="00455900">
        <w:t xml:space="preserve"> (fastlegeselskap)</w:t>
      </w:r>
      <w:r>
        <w:t xml:space="preserve"> er det naturlig at listetaket fastsettes i gruppeavtalen mellom legekontoret og kommunen. Andre forhold som tilgjengelighetsfaktorer (åpningstider, telefontider), deltakelse fra legene ved legekontoret i allmennlegeutvalget og samarbeidsutvalget, avtale om utbetaling av basistilskudd mv. bør også, på samme måte som i den individuelle fastlegeavtalen, inngå i gruppeavtalen mellom kommunen og legekontoret. Det bør vurderes om det bør utarbeides en standardavtale for slike gruppeavtaler, slik som er gjort for individuelle fastlegeavtaler i rammeavtalen (ASA 4310).</w:t>
      </w:r>
    </w:p>
    <w:p w14:paraId="2BD7298F" w14:textId="77777777" w:rsidR="00D9107F" w:rsidRDefault="006A5D20" w:rsidP="006A5D20">
      <w:pPr>
        <w:jc w:val="both"/>
      </w:pPr>
      <w:r>
        <w:t xml:space="preserve">Dersom kommunen inngår avtaler med </w:t>
      </w:r>
      <w:r w:rsidR="00DD30A7">
        <w:t>fastlegeselskap</w:t>
      </w:r>
      <w:r>
        <w:t xml:space="preserve">, vil det måtte vurderes hvordan kommunen skal ivareta behovet for fastleger inn i andre allmennlegeoppgaver i kommunen. </w:t>
      </w:r>
      <w:r w:rsidRPr="23AB0E13">
        <w:t xml:space="preserve">Det kan tenkes en modell der en del av – eller alle – kommunens behov for allmennlegeoppgaver fra </w:t>
      </w:r>
      <w:r w:rsidRPr="23AB0E13">
        <w:lastRenderedPageBreak/>
        <w:t xml:space="preserve">legene i </w:t>
      </w:r>
      <w:r>
        <w:t>legekontoret</w:t>
      </w:r>
      <w:r w:rsidRPr="23AB0E13">
        <w:t xml:space="preserve"> reguleres i avtalen med selskapet. Selskapet må </w:t>
      </w:r>
      <w:r>
        <w:t>i så tilfelle</w:t>
      </w:r>
      <w:r w:rsidRPr="23AB0E13">
        <w:t xml:space="preserve"> selv sørge for å avsette tilstrekkelige ressurser til at </w:t>
      </w:r>
      <w:r>
        <w:t xml:space="preserve">deres </w:t>
      </w:r>
      <w:r w:rsidRPr="23AB0E13">
        <w:t>lege</w:t>
      </w:r>
      <w:r>
        <w:t>r</w:t>
      </w:r>
      <w:r w:rsidRPr="23AB0E13">
        <w:t xml:space="preserve"> kan yte disse tjenestene til kommunen. Ved ansettelse kan dette gjøres gjennom arbeidsgiveransvaret</w:t>
      </w:r>
      <w:r>
        <w:t>.</w:t>
      </w:r>
      <w:r w:rsidRPr="23AB0E13">
        <w:t xml:space="preserve"> </w:t>
      </w:r>
      <w:r>
        <w:t>D</w:t>
      </w:r>
      <w:r w:rsidRPr="23AB0E13">
        <w:t xml:space="preserve">ersom legene </w:t>
      </w:r>
      <w:r w:rsidR="00DD30A7">
        <w:t>i fastlegeselskapet er</w:t>
      </w:r>
      <w:r w:rsidRPr="23AB0E13">
        <w:t xml:space="preserve"> selvstendig næringsdrivende, vil </w:t>
      </w:r>
      <w:r>
        <w:t>selskapet</w:t>
      </w:r>
      <w:r w:rsidRPr="23AB0E13">
        <w:t xml:space="preserve"> måtte inngå avtale med den enkelte lege om deltakelse i alle allmennlegeoppgavene </w:t>
      </w:r>
      <w:r>
        <w:t>legekontoret</w:t>
      </w:r>
      <w:r w:rsidRPr="23AB0E13">
        <w:t xml:space="preserve"> skal dekke, både fastlegeoppgaver og andre forpliktelser </w:t>
      </w:r>
      <w:r>
        <w:t>kontoret</w:t>
      </w:r>
      <w:r w:rsidRPr="23AB0E13">
        <w:t xml:space="preserve"> har overfor kommunen. </w:t>
      </w:r>
      <w:r>
        <w:t>Det er imidlertid et spørsmål om dette vil medføre økte utgifter for kommunen sammenlignet med i dag, samt om en slik løsning vil gjøre det mer utfordrende for kommunene å styre de øvrige kommunale allmennlegeoppgavene.</w:t>
      </w:r>
    </w:p>
    <w:p w14:paraId="65ED7AA0" w14:textId="77777777" w:rsidR="00D9107F" w:rsidRDefault="006A5D20" w:rsidP="006A5D20">
      <w:pPr>
        <w:jc w:val="both"/>
      </w:pPr>
      <w:r w:rsidRPr="23AB0E13">
        <w:t xml:space="preserve">Ved </w:t>
      </w:r>
      <w:r>
        <w:t>gruppeavtaler kan det også legges til rette for at kommunen inngår avtale med legekontoret om andre forhold enn hva som ville vært naturlig å gjøre med den enkelte fastlege i dagens ordning. Et eksempel på dette kan være at kommunen stiller krav om at legekontoret har et gitt antall utdanningsstillinger for ALIS, eller at de tar inn medisinstudenter eller LIS1 i praksis, mot kompensasjon fra kommunen. Dette vil kunne bedre rammene rundt gjennomføring av praksis og spesialistutdanningen i fastlegetjenesten, både ved at ansvaret inngås med legekontoret og at det trolig vil være et enda større fagmiljø å fordele undervisning- og utdanningsoppgaver på. I et stort legekontor vil det være mulig å ha flere studenter, LIS1 og ALIS på samme tid, noe som kan tenkes å bidra til jevn kvalitet, fellesskap og bedre utnyttelse av ressurser knyttet til oppfølging.</w:t>
      </w:r>
    </w:p>
    <w:p w14:paraId="7FC07E88" w14:textId="786215DB" w:rsidR="006A5D20" w:rsidRDefault="006A5D20" w:rsidP="006A5D20">
      <w:pPr>
        <w:jc w:val="both"/>
      </w:pPr>
      <w:r>
        <w:t xml:space="preserve">I Danmark er det krav om at </w:t>
      </w:r>
      <w:r w:rsidRPr="0474A1AA">
        <w:t>kompaniska</w:t>
      </w:r>
      <w:r>
        <w:t>p</w:t>
      </w:r>
      <w:r w:rsidRPr="0474A1AA">
        <w:t>spraksiser</w:t>
      </w:r>
      <w:r>
        <w:t xml:space="preserve"> minst en dag i uken skal ha åpent for </w:t>
      </w:r>
      <w:r w:rsidRPr="00013B4D">
        <w:t>konsultasjoner etter klokken 16.00</w:t>
      </w:r>
      <w:r>
        <w:t xml:space="preserve">, med mulighet for å redusere </w:t>
      </w:r>
      <w:r w:rsidRPr="00013B4D">
        <w:t>åpningstid</w:t>
      </w:r>
      <w:r>
        <w:t>en</w:t>
      </w:r>
      <w:r w:rsidRPr="00013B4D">
        <w:t xml:space="preserve"> på dagen tilsvarende.</w:t>
      </w:r>
      <w:r>
        <w:t xml:space="preserve"> Overført til norske forhold kan kveldsåpent en gang i uken også knyttes til å ivareta andre deler av kommunens oppgaver, for eksempel at legekontoret drifter helsestasjon for ungdom (HFU) eller har </w:t>
      </w:r>
      <w:r w:rsidRPr="23AB0E13">
        <w:t>legevaktfunksjon.</w:t>
      </w:r>
      <w:r>
        <w:t xml:space="preserve"> Videre regulerer avtalene med kompaniskapspraksiser antall innbyggere praksisen skal ta ansvar for og krav til listelengde. Alle praksiser spørres en gang i året om maksimalt antall pasienter de ønsker til praksisen. Samtidig kartlegges det om praksisen ønsker en utvidelse av antall leger og om de ønsker å flytte, eller slå seg sammen med andre. Dette gir grunnlag for at regionen kan planlegge og tilrettelegge for allmennlegetilbudet i regionen. Det er også krav om at antall leger under spesialistutdanning i allmennmedisin ikke kan være høyere enn halvparten av antallet spesialister i praksisen. Kompaniskapspraksisen har også et avtalefestet ansvar for å dekke opp for fravær. Tilsvarende reguleringer vil også være relevant for </w:t>
      </w:r>
      <w:r w:rsidRPr="23AB0E13">
        <w:t>fastlegeselskap i Norge.</w:t>
      </w:r>
    </w:p>
    <w:p w14:paraId="545C0D7F" w14:textId="77777777" w:rsidR="00D9107F" w:rsidRDefault="006A5D20" w:rsidP="00BC56E2">
      <w:pPr>
        <w:jc w:val="both"/>
      </w:pPr>
      <w:r w:rsidRPr="23AB0E13">
        <w:t xml:space="preserve">Ved rekrutteringsutfordringer i </w:t>
      </w:r>
      <w:r>
        <w:t>legekontoret</w:t>
      </w:r>
      <w:r w:rsidRPr="23AB0E13">
        <w:t xml:space="preserve"> vil det være et lederansvar å prioritere og fordele ressursene for å sikre ivaretakelse av listeinnbyggerne. Det vil </w:t>
      </w:r>
      <w:r>
        <w:t>i første omgang</w:t>
      </w:r>
      <w:r w:rsidRPr="23AB0E13">
        <w:t xml:space="preserve"> være </w:t>
      </w:r>
      <w:r>
        <w:t>legekontorets</w:t>
      </w:r>
      <w:r w:rsidRPr="23AB0E13">
        <w:t xml:space="preserve"> ansvar å ansette nye leger, skaffe vikar</w:t>
      </w:r>
      <w:r>
        <w:t>,</w:t>
      </w:r>
      <w:r w:rsidRPr="23AB0E13">
        <w:t xml:space="preserve"> eller fordele innbyggere som står uten fast lege på de øvrige legene </w:t>
      </w:r>
      <w:r>
        <w:t>på kontoret</w:t>
      </w:r>
      <w:r w:rsidRPr="23AB0E13">
        <w:t>.</w:t>
      </w:r>
    </w:p>
    <w:p w14:paraId="1A33CAA5" w14:textId="77777777" w:rsidR="00D9107F" w:rsidRDefault="006A5D20" w:rsidP="006A5D20">
      <w:pPr>
        <w:jc w:val="both"/>
      </w:pPr>
      <w:r w:rsidRPr="23AB0E13">
        <w:t xml:space="preserve">Det vil imidlertid </w:t>
      </w:r>
      <w:r>
        <w:t>uansett</w:t>
      </w:r>
      <w:r w:rsidRPr="23AB0E13">
        <w:t xml:space="preserve"> være kommunen som er overordnet ansvarlig for at innbyggerne tilbys fastlegetjenester. I en situasjon med vedvarende legemangel</w:t>
      </w:r>
      <w:r>
        <w:t>,</w:t>
      </w:r>
      <w:r w:rsidRPr="23AB0E13">
        <w:t xml:space="preserve"> der </w:t>
      </w:r>
      <w:r>
        <w:t>et legekontor</w:t>
      </w:r>
      <w:r w:rsidRPr="23AB0E13">
        <w:t xml:space="preserve"> </w:t>
      </w:r>
      <w:r w:rsidRPr="37EAF7E6">
        <w:t xml:space="preserve">med </w:t>
      </w:r>
      <w:r w:rsidRPr="37EAF7E6">
        <w:lastRenderedPageBreak/>
        <w:t>gruppeavtale</w:t>
      </w:r>
      <w:r w:rsidRPr="23AB0E13">
        <w:t xml:space="preserve"> ikke makter å ivareta listeinnbyggernes behov for fastlegetjenester, vil kommunen derfor måtte finne gode løsninger som ivaretar innbyggernes behov på en forsvarlig måte.</w:t>
      </w:r>
      <w:r>
        <w:t xml:space="preserve"> En tilsvarende ordning som i </w:t>
      </w:r>
      <w:r w:rsidRPr="5D9604C3">
        <w:t>Danmark</w:t>
      </w:r>
      <w:r>
        <w:t>, ved at avtalen med kompaniskapspraksiser gjennomgås årlig, kan tenkes gjennomført med næringsdrivende legekontor og kommuner. Legekontorene vil da kunne få mulighet til å redusere listelengden sin, dersom de har utfordringer med å rekruttere nye leger, eller øke listelengde sin, dersom de ønsker å utvide virksomheten. Dersom det blir behov for å redusere selskapets aktivitet basert på at en eller flere leger slutter, vil arbeidsmiljølovens regler regulere eventuell oppsigelse av øvrig personell.</w:t>
      </w:r>
    </w:p>
    <w:p w14:paraId="7373CCA7" w14:textId="6A7EB6B2" w:rsidR="00A46156" w:rsidRDefault="39892A10" w:rsidP="00775632">
      <w:pPr>
        <w:pStyle w:val="Overskrift4"/>
      </w:pPr>
      <w:bookmarkStart w:id="1800" w:name="_Ref128732495"/>
      <w:bookmarkStart w:id="1801" w:name="_Toc130983459"/>
      <w:bookmarkStart w:id="1802" w:name="_Toc130983808"/>
      <w:bookmarkStart w:id="1803" w:name="_Toc131062130"/>
      <w:bookmarkStart w:id="1804" w:name="_Toc131062384"/>
      <w:bookmarkStart w:id="1805" w:name="_Toc131062645"/>
      <w:bookmarkStart w:id="1806" w:name="_Toc131062898"/>
      <w:bookmarkStart w:id="1807" w:name="_Toc131063666"/>
      <w:bookmarkStart w:id="1808" w:name="_Toc131064091"/>
      <w:bookmarkStart w:id="1809" w:name="_Toc131238385"/>
      <w:bookmarkStart w:id="1810" w:name="_Toc131279416"/>
      <w:bookmarkStart w:id="1811" w:name="_Toc131286828"/>
      <w:bookmarkStart w:id="1812" w:name="_Toc131281238"/>
      <w:bookmarkStart w:id="1813" w:name="_Toc131317777"/>
      <w:bookmarkStart w:id="1814" w:name="_Hlk128561684"/>
      <w:r>
        <w:t xml:space="preserve">Kostnader og risiko ved </w:t>
      </w:r>
      <w:r w:rsidR="001448A4">
        <w:t>gruppeavtaler</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bookmarkEnd w:id="1814"/>
    <w:p w14:paraId="7822F589" w14:textId="78CF1BD5" w:rsidR="00A46156" w:rsidRDefault="00A46156" w:rsidP="0067484D">
      <w:pPr>
        <w:jc w:val="both"/>
      </w:pPr>
      <w:r>
        <w:t xml:space="preserve">Det er et spørsmål om bruken av </w:t>
      </w:r>
      <w:r w:rsidR="00EA0FDB">
        <w:t>gruppeavtaler</w:t>
      </w:r>
      <w:r>
        <w:t xml:space="preserve"> vil medføre økte kostnader</w:t>
      </w:r>
      <w:r w:rsidR="00AD4055">
        <w:t>,</w:t>
      </w:r>
      <w:r>
        <w:t xml:space="preserve"> sammenlignet med dagens organisasjonsmodeller. Et sentralt forhold er at det med </w:t>
      </w:r>
      <w:r w:rsidR="00EA0FDB">
        <w:t>gruppeavtaler</w:t>
      </w:r>
      <w:r>
        <w:t xml:space="preserve"> legges opp til mer ledelse, og at lederen i </w:t>
      </w:r>
      <w:r w:rsidR="00EA0FDB">
        <w:t>legekontoret antas å måtte ha en vesentlig del av sin stilling avsatt til ledelsesoppgaver og drift.</w:t>
      </w:r>
      <w:r>
        <w:t xml:space="preserve"> Sammenlignet med dagens modell</w:t>
      </w:r>
      <w:r w:rsidR="00310A6C">
        <w:t>,</w:t>
      </w:r>
      <w:r>
        <w:t xml:space="preserve"> med selvstendig næringsdrivende fastleger, vil dette innebære at oppgaver knyttet til drift, administrasjon og ledelse flyttes fra den enkelte fastlege til en leder. I teorien vil dette kunne innebære at hver enkelt fastlege frigjør mer tid til pasientrettet arbeid, som på grunn av finansieringsmodellen vil kunne medføre økte inntekter, fordi det sendes inn flere refusjonskrav for flere gjennomførte oppgaver. Slike økte inntekter kan igjen bidra til å finansiere en lederstilling. </w:t>
      </w:r>
      <w:r w:rsidR="00D931D9" w:rsidRPr="00D931D9">
        <w:t>Det er også sentralt å påpeke at det er grunn til å tro at mange leger, særlig unge, vil sette pris på å slippe slike driftsoppgaver, og at en slik organisasjonsform dermed kan virke både rekrutterende og stabiliserende, samt bidra til at en næringsdriftsmodell blir mer attraktiv.</w:t>
      </w:r>
    </w:p>
    <w:p w14:paraId="6A7CC280" w14:textId="77777777" w:rsidR="00D9107F" w:rsidRDefault="00A46156" w:rsidP="00D45BEF">
      <w:pPr>
        <w:jc w:val="both"/>
      </w:pPr>
      <w:r>
        <w:t>Samtidig kan det stilles spørsmål ved hvor mye tid dagens fastleger i praksis bruker på drift, administrasjonsoppgaver og ledelsesarbeid. De</w:t>
      </w:r>
      <w:r w:rsidR="00E41339">
        <w:t>t</w:t>
      </w:r>
      <w:r>
        <w:t xml:space="preserve"> kan også være at mye av dette arbeidet gjøres etter kontortid, slik at disse oppgavene ikke påvirker omfanget av pasientrettet arbeid, men kun utgjør ekstraarbeid for fastlegene. I dagens gruppepraksiser er det vanlig at en av legene innehar et ledelsesansvar, enten på fast basis eller at et slikt ansvar roteres mellom legene i praksisen. En slik ordning bidrar til å avlaste de andre legene for drifts- og ledelsesoppgaver, men bidrar </w:t>
      </w:r>
      <w:r w:rsidR="002F1226">
        <w:t xml:space="preserve">trolig </w:t>
      </w:r>
      <w:r>
        <w:t>til økt arbeidsmengde for den legen som til enhver tid innehar lederansvaret.</w:t>
      </w:r>
      <w:r w:rsidR="005A2575">
        <w:t xml:space="preserve"> </w:t>
      </w:r>
      <w:r>
        <w:t xml:space="preserve">Det kan vurderes om ekstra administrasjonskostnader knyttet til drift av </w:t>
      </w:r>
      <w:r w:rsidR="00DF1626">
        <w:t>legekontor med gruppeavtaler</w:t>
      </w:r>
      <w:r>
        <w:t xml:space="preserve">, for eksempel at </w:t>
      </w:r>
      <w:r w:rsidR="00DF1626">
        <w:t>legekontoret</w:t>
      </w:r>
      <w:r>
        <w:t xml:space="preserve"> har økte utgifter til ledelse, kan kompenseres noe gjennom </w:t>
      </w:r>
      <w:r w:rsidR="00DF1626">
        <w:t>differensiering av</w:t>
      </w:r>
      <w:r>
        <w:t xml:space="preserve"> basistilskuddet</w:t>
      </w:r>
      <w:r w:rsidR="00DF1626">
        <w:t>, eksem</w:t>
      </w:r>
      <w:r w:rsidR="00F374F8">
        <w:t>p</w:t>
      </w:r>
      <w:r w:rsidR="00DF1626">
        <w:t>elvis i form av en kvalitetsjustering</w:t>
      </w:r>
      <w:r>
        <w:t xml:space="preserve">. </w:t>
      </w:r>
      <w:r w:rsidR="00C21A2A">
        <w:t xml:space="preserve">Slike muligheter drøftes nærmere i </w:t>
      </w:r>
      <w:r w:rsidR="00C21A2A" w:rsidRPr="00326816">
        <w:t xml:space="preserve">kapittel </w:t>
      </w:r>
      <w:r w:rsidR="00326816" w:rsidRPr="00326816">
        <w:t>5</w:t>
      </w:r>
      <w:r w:rsidR="00DF1626" w:rsidRPr="00326816">
        <w:t>.6</w:t>
      </w:r>
      <w:r w:rsidR="00C21A2A">
        <w:t>.</w:t>
      </w:r>
    </w:p>
    <w:p w14:paraId="2DF28012" w14:textId="77777777" w:rsidR="00D9107F" w:rsidRDefault="00A46156" w:rsidP="007758C0">
      <w:pPr>
        <w:jc w:val="both"/>
      </w:pPr>
      <w:r>
        <w:t xml:space="preserve">Det er vesentlig mer kostbart </w:t>
      </w:r>
      <w:r w:rsidR="00310A6C">
        <w:t xml:space="preserve">for en kommune </w:t>
      </w:r>
      <w:r w:rsidR="00D45BEF">
        <w:t>å ha ansatte fastleger</w:t>
      </w:r>
      <w:r>
        <w:t xml:space="preserve"> enn å la selvstendig næringsdrivende fastleger tilby tjenester til innbyggerne. Dette ble vist i Helsedirektoratets utredning i 2022</w:t>
      </w:r>
      <w:r w:rsidR="00310A6C">
        <w:t>,</w:t>
      </w:r>
      <w:r>
        <w:t xml:space="preserve"> om kostnadene ved å overføre de selvstendig næringsdrivende fastlegene til ansettelsesforhold i kommunen</w:t>
      </w:r>
      <w:r w:rsidR="760E401E">
        <w:t xml:space="preserve"> </w:t>
      </w:r>
      <w:r w:rsidR="00E94EA5">
        <w:fldChar w:fldCharType="begin"/>
      </w:r>
      <w:r w:rsidR="004654FD">
        <w:instrText xml:space="preserve"> ADDIN EN.CITE &lt;EndNote&gt;&lt;Cite&gt;&lt;Author&gt;Helsedirektoratet&lt;/Author&gt;&lt;Year&gt;2022&lt;/Year&gt;&lt;RecNum&gt;66&lt;/RecNum&gt;&lt;DisplayText&gt;(Helsedirektoratet, 2022a)&lt;/DisplayText&gt;&lt;record&gt;&lt;rec-number&gt;66&lt;/rec-number&gt;&lt;foreign-keys&gt;&lt;key app="EN" db-id="95tpr2tp6r9xwoea9rb5wdsz5ds5xeddteew" timestamp="1680069511"&gt;66&lt;/key&gt;&lt;/foreign-keys&gt;&lt;ref-type name="Unpublished Work"&gt;34&lt;/ref-type&gt;&lt;contributors&gt;&lt;authors&gt;&lt;author&gt;Helsedirektoratet&lt;/author&gt;&lt;/authors&gt;&lt;/contributors&gt;&lt;titles&gt;&lt;title&gt;Besvarelse: TTB04_22 Oppdrag knyttet til rekruttering og arbeidsbelastning i allmennlegetjenesten : Deloppdrag 1: Fast ansettelse i kommunehelsetjenesten&lt;/title&gt;&lt;/titles&gt;&lt;dates&gt;&lt;year&gt;2022&lt;/year&gt;&lt;/dates&gt;&lt;publisher&gt;Helsedirektoratet&lt;/publisher&gt;&lt;urls&gt;&lt;/urls&gt;&lt;/record&gt;&lt;/Cite&gt;&lt;/EndNote&gt;</w:instrText>
      </w:r>
      <w:r w:rsidR="00E94EA5">
        <w:fldChar w:fldCharType="separate"/>
      </w:r>
      <w:r w:rsidR="004654FD">
        <w:rPr>
          <w:noProof/>
        </w:rPr>
        <w:t>(Helsedirektoratet, 2022a)</w:t>
      </w:r>
      <w:r w:rsidR="00E94EA5">
        <w:fldChar w:fldCharType="end"/>
      </w:r>
      <w:r w:rsidR="00B20258">
        <w:t xml:space="preserve">. </w:t>
      </w:r>
      <w:r w:rsidR="007758C0">
        <w:t xml:space="preserve">Dersom et legekontor med gruppeavtale skal ansette leger og annet personell i selskapet, er det gode grunner til å tro at </w:t>
      </w:r>
      <w:r w:rsidR="007758C0">
        <w:lastRenderedPageBreak/>
        <w:t>det vil koste mer enn dersom de samme legene var selvstendig næringsdrivende. Arbeidsmiljølovens regler vil regulere arbeidstiden til personellet i selskapet, noe som vil kunne være positivt for de ansatte. Som påpekt i utredningen til Helsedirektoratet, vil det medføre at det vil være behov for flere leger enn dersom legene var selvstendig næringsdrivende og da jobbet flere timer enn arbeidsmiljøloven åpner for. Samtidig er det ønskelig å bidra til å redusere arbeidsmengden til fastlegene, slik at det ikke skal være nødvendig for legene å arbeide vesentlig mer enn arbeidsmiljøloven legger opp til. Tiltak som å ta oppgaver ut av fastlegeordningen, samt i større grad benytte seg av annet personell til å gjøre oppgaver som i dag gjøres av fastlegen selv, kan bidra til å redusere arbeidsbelastningen til fastlegen. Dersom gruppeavtaler med legekontor som tilbyr fast ansettelse til personellet skal bli lønnsomt, er det likevel viktig å påpeke at finansieringssystemene må utformes slik at legekontorets økonomi fortsatt går i balanse selv om oppgaver tas vekk fra fastlegen og flyttes til annet personell. Profesjonsnøytrale takster vil være et tiltak som vil legge til rette for at oppgaver som løses av annet personell ikke vil redusere legekontorets lønnsomhet.</w:t>
      </w:r>
      <w:r w:rsidR="00D9107F">
        <w:t xml:space="preserve"> </w:t>
      </w:r>
      <w:r w:rsidR="007758C0">
        <w:t>Ekspertutvalget anbefaler at det åpnes opp for å bruke slike takster i fastlegeselskap eller i kommunale legekontor med tilsvarende organisering</w:t>
      </w:r>
      <w:r w:rsidR="00DA192A">
        <w:t>.</w:t>
      </w:r>
      <w:r w:rsidR="007758C0">
        <w:t xml:space="preserve"> Profesjonsnøytrale takster drøftes nærmere i </w:t>
      </w:r>
      <w:r w:rsidR="007758C0" w:rsidRPr="0006656E">
        <w:t xml:space="preserve">kapittel </w:t>
      </w:r>
      <w:r w:rsidR="0006656E" w:rsidRPr="0006656E">
        <w:t>6</w:t>
      </w:r>
      <w:r w:rsidR="00DA192A" w:rsidRPr="0006656E">
        <w:t xml:space="preserve">.3 og </w:t>
      </w:r>
      <w:r w:rsidR="0006656E" w:rsidRPr="0006656E">
        <w:t>6</w:t>
      </w:r>
      <w:r w:rsidR="00DA192A" w:rsidRPr="0006656E">
        <w:t>.4</w:t>
      </w:r>
      <w:r w:rsidR="007758C0">
        <w:t>.</w:t>
      </w:r>
    </w:p>
    <w:p w14:paraId="21280318" w14:textId="4F3E8EA0" w:rsidR="00BE3DEA" w:rsidRDefault="00BE3DEA" w:rsidP="00BE3DEA">
      <w:pPr>
        <w:jc w:val="both"/>
      </w:pPr>
      <w:r>
        <w:t>Det er videre særlige spørsmål om risiko og kostnader knyttet til næringsdrivende legekontor med gruppeavtale (fastlegeselskap). Et sentralt spørsmål er om kostnadene og risikoen knyttet til oppstart av et fastlegeselskap vil kunne være for store. I et fastlegeselskap påtar selskapet seg ansvar gjennom å ansette mer personell, kjøpe inn mer utstyr og leie større lokaler enn man ville gjort dersom man var selvstendig næringsdrivende. Samtidig åpner fastlegeselskap for muligheten til å organisere selskapet i selskapsformer med begrenset ansvar, for eksempel aksjeselskap, noe som vil avgrense den økonomiske risikoen hver enkelt eier i selskapet påtar seg til den innskutte aksjekapitalen. For fastlegeselskap som skal starte opp helt fra bunnen av, vil det trolig kreve at eierne har mulighet til å skaffe nødvendig startkapital. For etablerte gruppepraksiser som eventuelt vil omdanne seg til fastlegeselskap, vil risikoen kunne være lavere, ettersom eksempelvis lokaler og utstyr allerede er på plass. Dersom ideelle organisasjoner eller stiftelser eier fastlegeselskap, vil disse ofte ha en robust organisasjon i ryggen, slik at risikoen ved oppstart kan oppleves lavere. Det samme vil gjelde der kommunen er eier.</w:t>
      </w:r>
    </w:p>
    <w:p w14:paraId="56D2208D" w14:textId="77777777" w:rsidR="00D9107F" w:rsidRDefault="00662D5A" w:rsidP="00062289">
      <w:pPr>
        <w:jc w:val="both"/>
      </w:pPr>
      <w:r>
        <w:t xml:space="preserve">En annen type risiko ligger i forpliktelsene fastlegeselskapet påtar seg gjennom avtalen med kommunen. Som drøftet i </w:t>
      </w:r>
      <w:r w:rsidR="002D60FA" w:rsidRPr="007738F8">
        <w:t xml:space="preserve">kapittel </w:t>
      </w:r>
      <w:r w:rsidR="00F940A9" w:rsidRPr="007738F8">
        <w:t>4</w:t>
      </w:r>
      <w:r w:rsidR="002D60FA" w:rsidRPr="007738F8">
        <w:t>.7.</w:t>
      </w:r>
      <w:r w:rsidR="00D20283" w:rsidRPr="007738F8">
        <w:t>3.6</w:t>
      </w:r>
      <w:r>
        <w:t>, vil et fastlegeselskap ha større forpliktelser enn tradisjonelle gruppepraksiser når det kommer til å erstatte leger som sier opp sin stilling i selskapet. For å forhindre at fastlegeselskapet blir stående i en situasjon der de ikke klarer å rekruttere nytt personell og dermed heller ikke klarer å tilby fastlegetjenester til alle innbyggerne på sin liste, er det viktig at det etableres ordninger som reduserer risikoen for selskapet. Eksempler på dette er årlige gjennomganger av fastlegeavtalen med kommunen som blant annet vil kunne gi mulighet for å justere listelengde opp og ned.</w:t>
      </w:r>
    </w:p>
    <w:p w14:paraId="31976035" w14:textId="77777777" w:rsidR="00D9107F" w:rsidRDefault="00B272A7" w:rsidP="00B272A7">
      <w:pPr>
        <w:jc w:val="both"/>
      </w:pPr>
      <w:r>
        <w:lastRenderedPageBreak/>
        <w:t>Dersom det skal lønne seg for fastleger eller ideelle organisasjoner og stiftelser å starte fastlegeselskap og inngå gruppeavtale med kommunen om å yte fastlegetjenester, må organisasjonsformen og finansieringsmodellen være utformet på en måte som gjør at selskapets økonomi sikrer lønn til de ansatte, dekning av utgifter og samtidig et moderat overskudd. Det er usikkert hvorvidt det vil være attraktivt for etablerte gruppepraksiser å gå over til en organisasjonsform i fastlegeselskap. Det er en risiko for at fastlegeselskap først og fremst vil være en ønsket organisasjonsform for nye aktører i fastlegemarkedet. Det vil derfor være sentralt å utforme en finansieringsmodell for fastlegeselskap som understøtter tverrfaglighet og større fagmiljø, samtidig som det gir økonomisk bærekraft. Det vil være usikkert hvor stor risiko ulike aktører vil være villige til å ta, og hvor stor grad av tilrettelegging fra det offentlige som vil være nødvendig for å fremme organisasjonsmodellen som attraktiv.</w:t>
      </w:r>
    </w:p>
    <w:p w14:paraId="7EE76A73" w14:textId="5637B13D" w:rsidR="00AD753F" w:rsidRDefault="00AD753F" w:rsidP="00775632">
      <w:pPr>
        <w:pStyle w:val="Overskrift4"/>
      </w:pPr>
      <w:bookmarkStart w:id="1815" w:name="_Toc130983460"/>
      <w:bookmarkStart w:id="1816" w:name="_Toc130983809"/>
      <w:bookmarkStart w:id="1817" w:name="_Toc131062131"/>
      <w:bookmarkStart w:id="1818" w:name="_Toc131062385"/>
      <w:bookmarkStart w:id="1819" w:name="_Toc131062646"/>
      <w:bookmarkStart w:id="1820" w:name="_Toc131062899"/>
      <w:bookmarkStart w:id="1821" w:name="_Toc131063667"/>
      <w:bookmarkStart w:id="1822" w:name="_Toc131064092"/>
      <w:bookmarkStart w:id="1823" w:name="_Toc131238386"/>
      <w:bookmarkStart w:id="1824" w:name="_Toc131279417"/>
      <w:bookmarkStart w:id="1825" w:name="_Toc131286829"/>
      <w:bookmarkStart w:id="1826" w:name="_Toc131281239"/>
      <w:bookmarkStart w:id="1827" w:name="_Toc131317778"/>
      <w:r>
        <w:t>Kommunen kan drifte egne fastlegekontorer uten individuelle fastlegeavtaler</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0EEBA9D4" w14:textId="761D89CE" w:rsidR="00AD753F" w:rsidRDefault="00AD753F" w:rsidP="00AD753F">
      <w:pPr>
        <w:jc w:val="both"/>
      </w:pPr>
      <w:r>
        <w:t xml:space="preserve">Det vil ikke være naturlig å snakke om gruppeavtaler i en situasjon der kommunen </w:t>
      </w:r>
      <w:r w:rsidR="00AD4055">
        <w:t xml:space="preserve">selv </w:t>
      </w:r>
      <w:r>
        <w:t>drifter et legekontor, da kommunen i et slikt tilfelle ville måttet inngå gruppeavtalen med seg selv. Det er imidlertid ikke noe i veien for at kommunene i større grad selv kan drifte fastlegekontor</w:t>
      </w:r>
      <w:r w:rsidR="00AD4055">
        <w:t>,</w:t>
      </w:r>
      <w:r>
        <w:t xml:space="preserve"> etter samme modell som for gruppeavtaler</w:t>
      </w:r>
      <w:r w:rsidR="00AD4055">
        <w:t>,</w:t>
      </w:r>
      <w:r>
        <w:t xml:space="preserve"> hvor listeansvaret løftes. Dette vil kunne innebære at kommunen ikke trenger å inngå individuelle fastlegeavtaler med legene som er ansatt i kommunen, men at forholdet mellom den enkelte legen og kommunen vil ivaretas av ansettelsesforholdet. Man kan altså se for seg kommunale legekontor der listeansvaret formelt ligger til kommunen.</w:t>
      </w:r>
    </w:p>
    <w:p w14:paraId="508213B3" w14:textId="77777777" w:rsidR="00D9107F" w:rsidRDefault="00AD753F" w:rsidP="00AD753F">
      <w:pPr>
        <w:jc w:val="both"/>
      </w:pPr>
      <w:r>
        <w:t xml:space="preserve">Mange av de positive effektene av gruppeavtaler som skisseres over, kan også oppnås med større grad av kommunal drift. En bedre tilrettelegging for organisering og drift av kommunale fastlegekontorer kan bidra til en fastlegetjeneste som har tydelig ledelse, er tettere knyttet </w:t>
      </w:r>
      <w:r w:rsidR="00AD4055">
        <w:t>til</w:t>
      </w:r>
      <w:r>
        <w:t xml:space="preserve"> de øvrige helse- og omsorgstjenestene i kommunen, og tilrettelegger </w:t>
      </w:r>
      <w:r w:rsidR="00455249">
        <w:t xml:space="preserve">godt </w:t>
      </w:r>
      <w:r>
        <w:t xml:space="preserve">for </w:t>
      </w:r>
      <w:r w:rsidR="00455249">
        <w:t>utdanningsvirksomhet,</w:t>
      </w:r>
      <w:r>
        <w:t xml:space="preserve"> innovasjon, kunnskapsdeling og hensiktsmessig fordeling av oppgaver og ansvar.</w:t>
      </w:r>
    </w:p>
    <w:p w14:paraId="5D7C8119" w14:textId="225C785C" w:rsidR="00AD753F" w:rsidRDefault="00AD753F" w:rsidP="00AD753F">
      <w:pPr>
        <w:jc w:val="both"/>
      </w:pPr>
      <w:r>
        <w:t>Dersom selvstendig næringsdrivende fastleger skulle vært tilknyttet kommunale legekontorer, vil det imidlertid måtte inngås individuelle avtaler mellom den enkelte næringsdrivende fastlegen og kommunen. Slike avtaler vil ligne på dagens fastlegeavtaler, særlig de såkalte 8.2-avtalene. Dersom en slik modell skal kunne oppnå samme positive effekter som et næringsdrivende legekontor med gruppeavtale</w:t>
      </w:r>
      <w:r w:rsidR="00AD4055">
        <w:t>,</w:t>
      </w:r>
      <w:r>
        <w:t xml:space="preserve"> eller et rent kommunalt legekontor, vil avtalene måtte tilpasses slik at kommunen fortsatt kan utøve nødvendig ledelse og styring, og slik at de selvstendig næringsdrivende legene fungerer som en integrert del av legekontoret.</w:t>
      </w:r>
    </w:p>
    <w:p w14:paraId="3EA8E6B6" w14:textId="69054C2A" w:rsidR="00327CA4" w:rsidRDefault="43B0D092" w:rsidP="00775632">
      <w:pPr>
        <w:pStyle w:val="Overskrift3"/>
      </w:pPr>
      <w:bookmarkStart w:id="1828" w:name="_Toc127633212"/>
      <w:bookmarkStart w:id="1829" w:name="_Toc127864497"/>
      <w:bookmarkStart w:id="1830" w:name="_Toc128238505"/>
      <w:bookmarkStart w:id="1831" w:name="_Toc128741984"/>
      <w:bookmarkStart w:id="1832" w:name="_Toc128744579"/>
      <w:bookmarkStart w:id="1833" w:name="_Toc128744798"/>
      <w:bookmarkStart w:id="1834" w:name="_Toc129630298"/>
      <w:bookmarkStart w:id="1835" w:name="_Toc130763806"/>
      <w:bookmarkStart w:id="1836" w:name="_Toc130766701"/>
      <w:bookmarkStart w:id="1837" w:name="_Toc130932101"/>
      <w:bookmarkStart w:id="1838" w:name="_Toc130934392"/>
      <w:bookmarkStart w:id="1839" w:name="_Toc130983461"/>
      <w:bookmarkStart w:id="1840" w:name="_Toc130983810"/>
      <w:bookmarkStart w:id="1841" w:name="_Toc131062132"/>
      <w:bookmarkStart w:id="1842" w:name="_Toc131062386"/>
      <w:bookmarkStart w:id="1843" w:name="_Toc131062647"/>
      <w:bookmarkStart w:id="1844" w:name="_Toc131062900"/>
      <w:bookmarkStart w:id="1845" w:name="_Toc131063668"/>
      <w:bookmarkStart w:id="1846" w:name="_Toc131064093"/>
      <w:bookmarkStart w:id="1847" w:name="_Toc131238387"/>
      <w:bookmarkStart w:id="1848" w:name="_Toc131279418"/>
      <w:bookmarkStart w:id="1849" w:name="_Toc131286830"/>
      <w:bookmarkStart w:id="1850" w:name="_Toc131281240"/>
      <w:bookmarkStart w:id="1851" w:name="_Toc131317779"/>
      <w:bookmarkStart w:id="1852" w:name="_Toc132536967"/>
      <w:r>
        <w:t>Ekspertu</w:t>
      </w:r>
      <w:r w:rsidR="62F24858">
        <w:t xml:space="preserve">tvalgets </w:t>
      </w:r>
      <w:bookmarkEnd w:id="1828"/>
      <w:bookmarkEnd w:id="1829"/>
      <w:bookmarkEnd w:id="1830"/>
      <w:bookmarkEnd w:id="1831"/>
      <w:bookmarkEnd w:id="1832"/>
      <w:bookmarkEnd w:id="1833"/>
      <w:r w:rsidR="62F24858">
        <w:t>vurdering</w:t>
      </w:r>
      <w:r w:rsidR="569B05EB">
        <w:t>er</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46982536" w14:textId="77777777" w:rsidR="00D9107F" w:rsidRDefault="001F00B5" w:rsidP="00FF5875">
      <w:pPr>
        <w:jc w:val="both"/>
      </w:pPr>
      <w:r>
        <w:t>Forskjeller i kommunestørrelser,</w:t>
      </w:r>
      <w:r w:rsidDel="00602F09">
        <w:t xml:space="preserve"> </w:t>
      </w:r>
      <w:r w:rsidR="00602F09">
        <w:t>listeinnbyggergrunnlag</w:t>
      </w:r>
      <w:r>
        <w:t xml:space="preserve"> og tilgang til personell </w:t>
      </w:r>
      <w:r w:rsidR="0082647A" w:rsidRPr="0082647A">
        <w:t>tilsier variasjon</w:t>
      </w:r>
      <w:r>
        <w:t xml:space="preserve"> i </w:t>
      </w:r>
      <w:r w:rsidR="0082647A" w:rsidRPr="0082647A">
        <w:t>organisering</w:t>
      </w:r>
      <w:r w:rsidR="007275AF">
        <w:t>,</w:t>
      </w:r>
      <w:r w:rsidR="0082647A" w:rsidRPr="0082647A">
        <w:t xml:space="preserve"> avhengig av kommunetype</w:t>
      </w:r>
      <w:r>
        <w:t xml:space="preserve">. Det vil være forskjell på hvordan en stor bykommune </w:t>
      </w:r>
      <w:r>
        <w:lastRenderedPageBreak/>
        <w:t xml:space="preserve">og en mindre </w:t>
      </w:r>
      <w:r w:rsidR="00E77D7D">
        <w:t>distriktskommune</w:t>
      </w:r>
      <w:r>
        <w:t xml:space="preserve"> vil organisere fastlegetjenesten sin. </w:t>
      </w:r>
      <w:r w:rsidR="003F2763">
        <w:t>Ekspertu</w:t>
      </w:r>
      <w:r>
        <w:t>tvalget mener det bør være flere valgmuligheter enn det er i dag</w:t>
      </w:r>
      <w:r w:rsidR="00BC56E2">
        <w:t xml:space="preserve"> </w:t>
      </w:r>
      <w:r>
        <w:t xml:space="preserve">til å organisere </w:t>
      </w:r>
      <w:r w:rsidR="00BC56E2">
        <w:t>fastlegetjenesten mer</w:t>
      </w:r>
      <w:r>
        <w:t xml:space="preserve"> hensiktsmessig. </w:t>
      </w:r>
      <w:r w:rsidR="00A1561F">
        <w:t>Ekspertu</w:t>
      </w:r>
      <w:r w:rsidR="002D09F4">
        <w:t>tvalget anbefaler derfor at rammene</w:t>
      </w:r>
      <w:r>
        <w:t xml:space="preserve"> for hvordan fastlegetjenesten organiseres bør åpne for større grad av handlingsfrihet og tilpasning av tjenesten</w:t>
      </w:r>
      <w:r w:rsidR="007E1728">
        <w:t>.</w:t>
      </w:r>
    </w:p>
    <w:p w14:paraId="2EA76682" w14:textId="293A8F4C" w:rsidR="00327CA4" w:rsidRDefault="00E15091" w:rsidP="001F00B5">
      <w:pPr>
        <w:jc w:val="both"/>
      </w:pPr>
      <w:r>
        <w:t xml:space="preserve">Dagens krav til individuelle </w:t>
      </w:r>
      <w:r w:rsidR="00332821">
        <w:t xml:space="preserve">avtaler med hver enkelt lege </w:t>
      </w:r>
      <w:r w:rsidR="00D409B7">
        <w:t xml:space="preserve">bidrar til å begrense </w:t>
      </w:r>
      <w:r w:rsidR="00780EB9">
        <w:t>mulighete</w:t>
      </w:r>
      <w:r w:rsidR="00BC56E2">
        <w:t>ne</w:t>
      </w:r>
      <w:r w:rsidR="00780EB9">
        <w:t xml:space="preserve"> til å tenke nytt om organiseringen av fastlegetjenesten. </w:t>
      </w:r>
      <w:r w:rsidR="00327CA4">
        <w:t>Økt</w:t>
      </w:r>
      <w:r w:rsidR="00327CA4" w:rsidRPr="0046758F">
        <w:t xml:space="preserve"> fleksibilitet </w:t>
      </w:r>
      <w:r w:rsidR="007436E4">
        <w:t>og flere modeller for</w:t>
      </w:r>
      <w:r w:rsidR="007436E4" w:rsidRPr="0046758F">
        <w:t xml:space="preserve"> </w:t>
      </w:r>
      <w:r w:rsidR="00327CA4" w:rsidRPr="0046758F">
        <w:t xml:space="preserve">hvordan fastlegetjenesten organiseres kan også åpne opp for større grad av tverrfaglighet innad i fastlegepraksiser og samarbeid med andre helsetjenester. </w:t>
      </w:r>
      <w:r w:rsidR="00C9032B">
        <w:t>Det vil også trolig bidra til å fremme utvikling</w:t>
      </w:r>
      <w:r w:rsidR="00205466">
        <w:t xml:space="preserve">, </w:t>
      </w:r>
      <w:r w:rsidR="0014121A">
        <w:t>kompetansehev</w:t>
      </w:r>
      <w:r w:rsidR="005D53C1">
        <w:t>ing og utdanning i tjenesten</w:t>
      </w:r>
      <w:r w:rsidR="00CD7310">
        <w:t>.</w:t>
      </w:r>
    </w:p>
    <w:p w14:paraId="66A27291" w14:textId="77777777" w:rsidR="00D9107F" w:rsidRDefault="00F527FC" w:rsidP="001F00B5">
      <w:pPr>
        <w:jc w:val="both"/>
      </w:pPr>
      <w:r>
        <w:t>Ekspertu</w:t>
      </w:r>
      <w:r w:rsidR="001F00B5">
        <w:t xml:space="preserve">tvalget </w:t>
      </w:r>
      <w:r w:rsidR="002D09F4">
        <w:t xml:space="preserve">anbefaler at </w:t>
      </w:r>
      <w:r w:rsidR="001F00B5">
        <w:t xml:space="preserve">det åpnes </w:t>
      </w:r>
      <w:r w:rsidR="002D09F4">
        <w:t xml:space="preserve">opp </w:t>
      </w:r>
      <w:r w:rsidR="001F00B5">
        <w:t>for at kommunen kan inngå gruppeavtaler. For å understøtte større grad av kommunal handlingsfrihet, bør det åpnes for både gruppeavtaler med legekontoret i tillegg til individuelle fastlegeavtaler</w:t>
      </w:r>
      <w:r w:rsidR="00FC2369">
        <w:t>,</w:t>
      </w:r>
      <w:r w:rsidR="001F00B5">
        <w:t xml:space="preserve"> og for at kommunen kan inngå </w:t>
      </w:r>
      <w:r w:rsidR="002D09F4">
        <w:t>gruppeavtaler der listeansvaret løftes til legekontoret (</w:t>
      </w:r>
      <w:r w:rsidR="001F00B5">
        <w:t>fastlegeselskap</w:t>
      </w:r>
      <w:r w:rsidR="002D09F4">
        <w:t>).</w:t>
      </w:r>
      <w:r w:rsidR="001F00B5">
        <w:t xml:space="preserve"> De nye modellene vil komme i tillegg til dagens organisasjonsformer med gruppepraksis og solopraksis</w:t>
      </w:r>
      <w:r w:rsidR="002D09F4">
        <w:t>.</w:t>
      </w:r>
    </w:p>
    <w:p w14:paraId="350F8521" w14:textId="77777777" w:rsidR="00D9107F" w:rsidRDefault="00E51FC3" w:rsidP="00775632">
      <w:pPr>
        <w:pStyle w:val="Overskrift4"/>
      </w:pPr>
      <w:bookmarkStart w:id="1853" w:name="_Toc130983462"/>
      <w:bookmarkStart w:id="1854" w:name="_Toc130983811"/>
      <w:bookmarkStart w:id="1855" w:name="_Toc131062133"/>
      <w:bookmarkStart w:id="1856" w:name="_Toc131062387"/>
      <w:bookmarkStart w:id="1857" w:name="_Toc131062648"/>
      <w:bookmarkStart w:id="1858" w:name="_Toc131062901"/>
      <w:bookmarkStart w:id="1859" w:name="_Toc131063669"/>
      <w:bookmarkStart w:id="1860" w:name="_Toc131064094"/>
      <w:bookmarkStart w:id="1861" w:name="_Toc131238388"/>
      <w:bookmarkStart w:id="1862" w:name="_Toc131279419"/>
      <w:bookmarkStart w:id="1863" w:name="_Toc131286831"/>
      <w:bookmarkStart w:id="1864" w:name="_Toc131281241"/>
      <w:bookmarkStart w:id="1865" w:name="_Toc131317780"/>
      <w:r>
        <w:t xml:space="preserve">Avtale mellom </w:t>
      </w:r>
      <w:r w:rsidR="00D36F39">
        <w:t xml:space="preserve">kommunen og </w:t>
      </w:r>
      <w:r>
        <w:t>gruppepraksis</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6A2C3077" w14:textId="77777777" w:rsidR="00D9107F" w:rsidRDefault="00343D79" w:rsidP="001F00B5">
      <w:pPr>
        <w:jc w:val="both"/>
      </w:pPr>
      <w:r>
        <w:t xml:space="preserve">Ekspertutvalget </w:t>
      </w:r>
      <w:r w:rsidR="00E02B7C">
        <w:t>anbefaler</w:t>
      </w:r>
      <w:r>
        <w:t xml:space="preserve"> at det bør legges til rette for at flere av elementene i dagens individuelle fastlegeavtaler </w:t>
      </w:r>
      <w:r w:rsidR="008E7486">
        <w:t>kan inngå</w:t>
      </w:r>
      <w:r>
        <w:t xml:space="preserve"> i en </w:t>
      </w:r>
      <w:r w:rsidR="00E02B7C">
        <w:t>avtale</w:t>
      </w:r>
      <w:r>
        <w:t xml:space="preserve"> mellom kommunen og legekontoret. </w:t>
      </w:r>
      <w:r w:rsidR="009F2633">
        <w:t>A</w:t>
      </w:r>
      <w:r w:rsidR="001F00B5">
        <w:t>vtaleverket knyttet til dagens gruppepraksis bør gjennomgås</w:t>
      </w:r>
      <w:r w:rsidR="00267947">
        <w:t>,</w:t>
      </w:r>
      <w:r w:rsidR="001F00B5">
        <w:t xml:space="preserve"> med formål om å tydeliggjøre hvilke beslutninger som kan tas av daglig leder og hvilke som må avklares med hver enkelt lege i gruppepraksisen.</w:t>
      </w:r>
    </w:p>
    <w:p w14:paraId="384207C0" w14:textId="2F73024E" w:rsidR="00A15B7E" w:rsidRDefault="00A5597C" w:rsidP="001F00B5">
      <w:pPr>
        <w:jc w:val="both"/>
      </w:pPr>
      <w:r>
        <w:t>En slik løsning vil etter ekspertutvalgets vurdering kunne gjennomføres uten å måtte omstrukturere fastlegeordningen i vesentlig grad</w:t>
      </w:r>
      <w:r w:rsidR="00A15B7E">
        <w:t>, samtidig som løsningen vil være forenklende, og forbedre kommunens muligheter for dialog med og oppfølging av legekontorene.</w:t>
      </w:r>
    </w:p>
    <w:p w14:paraId="552783F6" w14:textId="77777777" w:rsidR="00D9107F" w:rsidRDefault="00A15B7E" w:rsidP="001F00B5">
      <w:pPr>
        <w:jc w:val="both"/>
      </w:pPr>
      <w:r w:rsidRPr="352CDF4D">
        <w:t>Ekspertutvalge</w:t>
      </w:r>
      <w:r w:rsidR="200D2488" w:rsidRPr="352CDF4D">
        <w:t>t</w:t>
      </w:r>
      <w:r>
        <w:t xml:space="preserve"> vil understreke at k</w:t>
      </w:r>
      <w:r w:rsidR="00A5597C">
        <w:t xml:space="preserve">ommunen fortsatt </w:t>
      </w:r>
      <w:r>
        <w:t>vil</w:t>
      </w:r>
      <w:r w:rsidR="00A5597C">
        <w:t xml:space="preserve"> måtte inngå individuelle fastlegeavtaler med den enkelte fastlege, som regulerer listelengde, deltakelse i andre allmennlegeoppgaver samt andre relevante forhold</w:t>
      </w:r>
      <w:r w:rsidR="00012F60">
        <w:t>. D</w:t>
      </w:r>
      <w:r w:rsidR="00A5597C">
        <w:t>en enkelte fastlegen vil fortsatt ha listeansvaret for innbyggerne på sin liste.</w:t>
      </w:r>
    </w:p>
    <w:p w14:paraId="519EB75F" w14:textId="3C4C4608" w:rsidR="00E51FC3" w:rsidRDefault="00E51FC3" w:rsidP="00775632">
      <w:pPr>
        <w:pStyle w:val="Overskrift4"/>
      </w:pPr>
      <w:bookmarkStart w:id="1866" w:name="_Toc130983463"/>
      <w:bookmarkStart w:id="1867" w:name="_Toc130983812"/>
      <w:bookmarkStart w:id="1868" w:name="_Toc131062134"/>
      <w:bookmarkStart w:id="1869" w:name="_Toc131062388"/>
      <w:bookmarkStart w:id="1870" w:name="_Toc131062649"/>
      <w:bookmarkStart w:id="1871" w:name="_Toc131062902"/>
      <w:bookmarkStart w:id="1872" w:name="_Toc131063670"/>
      <w:bookmarkStart w:id="1873" w:name="_Toc131064095"/>
      <w:bookmarkStart w:id="1874" w:name="_Toc131238389"/>
      <w:bookmarkStart w:id="1875" w:name="_Toc131279420"/>
      <w:bookmarkStart w:id="1876" w:name="_Toc131286832"/>
      <w:bookmarkStart w:id="1877" w:name="_Toc131281242"/>
      <w:bookmarkStart w:id="1878" w:name="_Toc131317781"/>
      <w:r>
        <w:t>Avtale mellom kommunen og et fastlegeselskap</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14:paraId="4F9CAB40" w14:textId="77777777" w:rsidR="00D9107F" w:rsidRDefault="005B3DC3" w:rsidP="001F00B5">
      <w:pPr>
        <w:jc w:val="both"/>
      </w:pPr>
      <w:r>
        <w:t>E</w:t>
      </w:r>
      <w:r w:rsidR="002666D4">
        <w:t>kspert</w:t>
      </w:r>
      <w:r w:rsidR="001F00B5">
        <w:t>utvalget</w:t>
      </w:r>
      <w:r>
        <w:t xml:space="preserve"> </w:t>
      </w:r>
      <w:r w:rsidR="00720D48">
        <w:t>anbefaler</w:t>
      </w:r>
      <w:r>
        <w:t xml:space="preserve"> videre</w:t>
      </w:r>
      <w:r w:rsidR="001F00B5">
        <w:t xml:space="preserve"> at det </w:t>
      </w:r>
      <w:r>
        <w:t xml:space="preserve">bør </w:t>
      </w:r>
      <w:r w:rsidR="001F00B5">
        <w:t>åpnes</w:t>
      </w:r>
      <w:r w:rsidR="00720D48">
        <w:t xml:space="preserve"> opp</w:t>
      </w:r>
      <w:r w:rsidR="001F00B5">
        <w:t xml:space="preserve"> for at </w:t>
      </w:r>
      <w:r>
        <w:t>en</w:t>
      </w:r>
      <w:r w:rsidR="001F00B5">
        <w:t xml:space="preserve"> avtale om å yte fastlegetjenester kan inngås mellom </w:t>
      </w:r>
      <w:r w:rsidR="00B14ECF">
        <w:t xml:space="preserve">kommunen </w:t>
      </w:r>
      <w:r w:rsidR="001F00B5">
        <w:t xml:space="preserve">og </w:t>
      </w:r>
      <w:r w:rsidR="004F47ED">
        <w:t xml:space="preserve">et </w:t>
      </w:r>
      <w:r w:rsidR="001F00B5">
        <w:t>fastlegeselskap. En slik modell vil innebære en større endring i måten å organisere fastlegetjenesten på. Modellen skiller seg fra dagens organisasjonsmodeller ved at det kun inngås avtale mellom selskapet og kommunen</w:t>
      </w:r>
      <w:r w:rsidR="008570EE">
        <w:t>,</w:t>
      </w:r>
      <w:r w:rsidR="001F00B5">
        <w:t xml:space="preserve"> og ved at selskapet er ansvarlig for å yte fastlegetjenester på vegne av kommunen til innbyggerne tilknyttet selskapet.</w:t>
      </w:r>
    </w:p>
    <w:p w14:paraId="0986454A" w14:textId="77777777" w:rsidR="00D9107F" w:rsidRDefault="001F00B5" w:rsidP="001F00B5">
      <w:pPr>
        <w:jc w:val="both"/>
      </w:pPr>
      <w:r>
        <w:lastRenderedPageBreak/>
        <w:t xml:space="preserve">Organisering i fastlegeselskap vil etter </w:t>
      </w:r>
      <w:r w:rsidR="002666D4">
        <w:t>ekspert</w:t>
      </w:r>
      <w:r>
        <w:t>utvalgets vurdering bidra til å begrense ansvaret for den enkelte lege i fastlegeselskapet, samtidig som ansvaret for selskapet og selskapets eiere</w:t>
      </w:r>
      <w:r w:rsidR="00945E83">
        <w:t>,</w:t>
      </w:r>
      <w:r>
        <w:t xml:space="preserve"> blir større enn i dag. </w:t>
      </w:r>
      <w:r w:rsidR="002666D4">
        <w:t>Ekspert</w:t>
      </w:r>
      <w:r w:rsidR="007A2C38">
        <w:t>u</w:t>
      </w:r>
      <w:r>
        <w:t>tvalget vil imidlertid påpeke eiernes mulighet for å begrense risikoen gjennom å velge selskapsformer med begrenset ansvar.</w:t>
      </w:r>
    </w:p>
    <w:p w14:paraId="22DE44AB" w14:textId="486298A1" w:rsidR="001F00B5" w:rsidRDefault="007A2C38" w:rsidP="001F00B5">
      <w:pPr>
        <w:jc w:val="both"/>
      </w:pPr>
      <w:r>
        <w:t>Ekspertu</w:t>
      </w:r>
      <w:r w:rsidR="001F00B5">
        <w:t>tvalget</w:t>
      </w:r>
      <w:r w:rsidR="009C6A02">
        <w:t>s vurdering er</w:t>
      </w:r>
      <w:r w:rsidR="001F00B5">
        <w:t xml:space="preserve"> at fastlegeselskap kan ha gevinster ved</w:t>
      </w:r>
      <w:r w:rsidR="001F00B5" w:rsidRPr="0077392E">
        <w:t xml:space="preserve"> </w:t>
      </w:r>
      <w:r w:rsidR="001F00B5">
        <w:t>å bedre tilrettelegge for tydelig ledelse med større fokus på innovasjon, kunnskapsdeling, tverrfaglighet og oppgavedeling</w:t>
      </w:r>
      <w:r w:rsidR="0065346E">
        <w:t>.</w:t>
      </w:r>
      <w:r w:rsidR="001F00B5">
        <w:t xml:space="preserve"> </w:t>
      </w:r>
      <w:r w:rsidR="000D224A">
        <w:t>F</w:t>
      </w:r>
      <w:r w:rsidR="001F00B5">
        <w:t xml:space="preserve">astlegeselskap </w:t>
      </w:r>
      <w:r w:rsidR="00E365F1">
        <w:t>v</w:t>
      </w:r>
      <w:r w:rsidR="000D224A">
        <w:t>il</w:t>
      </w:r>
      <w:r w:rsidR="001F00B5">
        <w:t xml:space="preserve"> </w:t>
      </w:r>
      <w:r w:rsidR="00764A34">
        <w:t xml:space="preserve">i </w:t>
      </w:r>
      <w:r w:rsidR="001F00B5">
        <w:t xml:space="preserve">større grad kunne tilby ansettelsesforhold. </w:t>
      </w:r>
      <w:r w:rsidR="00844F7B">
        <w:t>Dette</w:t>
      </w:r>
      <w:r w:rsidR="001F00B5">
        <w:t xml:space="preserve"> vil kunne virke både rekrutterende og stabiliserende, samt bidra til at en næringsdriftsmodell blir mer attraktiv.</w:t>
      </w:r>
    </w:p>
    <w:p w14:paraId="0F9CBB2B" w14:textId="77777777" w:rsidR="00D9107F" w:rsidRDefault="0097101F" w:rsidP="001F00B5">
      <w:pPr>
        <w:jc w:val="both"/>
      </w:pPr>
      <w:r>
        <w:t>Ekspert</w:t>
      </w:r>
      <w:r w:rsidR="005B3785">
        <w:t>u</w:t>
      </w:r>
      <w:r w:rsidR="001F00B5">
        <w:t>tvalget understreke</w:t>
      </w:r>
      <w:r w:rsidR="007E1728">
        <w:t>r</w:t>
      </w:r>
      <w:r w:rsidR="001F00B5">
        <w:t xml:space="preserve"> at kommunen fortsatt </w:t>
      </w:r>
      <w:r w:rsidR="007E1728">
        <w:t>må</w:t>
      </w:r>
      <w:r w:rsidR="001F00B5">
        <w:t xml:space="preserve"> ha det overordnede ansvaret for fastlegetjenesten, og at det kun er fastlegeselskap som kommunen har inngått avtale med</w:t>
      </w:r>
      <w:r w:rsidR="00F727A5">
        <w:t>,</w:t>
      </w:r>
      <w:r w:rsidR="001F00B5">
        <w:t xml:space="preserve"> som vil kunne yte tjenester på vegne av komm</w:t>
      </w:r>
      <w:r w:rsidR="00350161">
        <w:t>un</w:t>
      </w:r>
      <w:r w:rsidR="001F00B5">
        <w:t>en. Det vil dermed ikke være fri etableringsrett for fastlegeselskap. Kommunen vil måtte avgjøre hvilke fastlegeselskap de vil inngå avtale med, og kommunene bør beholde muligheten til å fastsette hvilket område i kommunen fastlegeselskap kan etablere seg i og selvsagt stille krav til kvalitet.</w:t>
      </w:r>
    </w:p>
    <w:p w14:paraId="469DC960" w14:textId="77777777" w:rsidR="00D9107F" w:rsidRDefault="00FC6453" w:rsidP="001F00B5">
      <w:pPr>
        <w:jc w:val="both"/>
      </w:pPr>
      <w:r>
        <w:t xml:space="preserve">Ekspertutvalget </w:t>
      </w:r>
      <w:r w:rsidR="00720D48">
        <w:t>anbefaler at</w:t>
      </w:r>
      <w:r>
        <w:t xml:space="preserve"> det</w:t>
      </w:r>
      <w:r w:rsidR="005163C8">
        <w:t xml:space="preserve"> stilles krav til eierskap av fastlegeselskap som forhindrer at </w:t>
      </w:r>
      <w:r w:rsidR="00AA3FDE">
        <w:t>hel</w:t>
      </w:r>
      <w:r w:rsidR="005163C8">
        <w:t xml:space="preserve">kommersielle </w:t>
      </w:r>
      <w:r w:rsidR="002D3E8B">
        <w:t>aktører</w:t>
      </w:r>
      <w:r w:rsidR="005163C8">
        <w:t xml:space="preserve"> kan drifte fastlegetjenester på vegne av kommunene.</w:t>
      </w:r>
      <w:r>
        <w:t xml:space="preserve"> </w:t>
      </w:r>
      <w:r w:rsidR="00046A3A">
        <w:t xml:space="preserve">Fastlegetjenesten er en offentlig helsetjeneste, finansiert av offentlige midler, og </w:t>
      </w:r>
      <w:r w:rsidR="00751D92">
        <w:t>ekspert</w:t>
      </w:r>
      <w:r w:rsidR="00046A3A">
        <w:t xml:space="preserve">utvalget mener det vil være </w:t>
      </w:r>
      <w:r w:rsidR="00056020">
        <w:t>feil</w:t>
      </w:r>
      <w:r w:rsidR="00046A3A">
        <w:t xml:space="preserve"> dersom </w:t>
      </w:r>
      <w:r w:rsidR="00220911">
        <w:t xml:space="preserve">helkommersielle aktører </w:t>
      </w:r>
      <w:r w:rsidR="00AA36B5">
        <w:t>gis mulighet til å opptjene store overskudd basert på skattefinansierte midler.</w:t>
      </w:r>
      <w:r w:rsidR="00220911">
        <w:t xml:space="preserve"> </w:t>
      </w:r>
      <w:r w:rsidR="001F00B5">
        <w:t xml:space="preserve">Eiere uten nær tilknytning til aktiviteten, eller den øvrige delen av kommunens helse- og omsorgstjenester, vil </w:t>
      </w:r>
      <w:r w:rsidR="002B231D">
        <w:t xml:space="preserve">også </w:t>
      </w:r>
      <w:r w:rsidR="001F00B5">
        <w:t>kunne undergrave kommunens behov for god styring med virksomheten, og dermed forhindre god integrering med andre deler av de kommunale tjenestene og spesialisthelsetjenesten.</w:t>
      </w:r>
      <w:r w:rsidR="00F121A1">
        <w:t xml:space="preserve"> </w:t>
      </w:r>
      <w:r w:rsidR="00720D48">
        <w:t>Ekspertutvalget</w:t>
      </w:r>
      <w:r w:rsidR="003D4A5E">
        <w:t xml:space="preserve"> mener at e</w:t>
      </w:r>
      <w:r w:rsidR="00D14F63">
        <w:t>t k</w:t>
      </w:r>
      <w:r w:rsidR="001F00B5">
        <w:t>rav om at eierne i fastlegeselskapet selv må være fastleger, eller utøve en vesentlig del av sitt virke i fastlegeselskapet</w:t>
      </w:r>
      <w:r w:rsidR="00241C6F">
        <w:t>,</w:t>
      </w:r>
      <w:r w:rsidR="001F00B5">
        <w:t xml:space="preserve"> vil begrense </w:t>
      </w:r>
      <w:r w:rsidR="00AB4A25">
        <w:t>st</w:t>
      </w:r>
      <w:r w:rsidR="00493067">
        <w:t xml:space="preserve">ørre </w:t>
      </w:r>
      <w:r w:rsidR="00AB4A25">
        <w:t>hel</w:t>
      </w:r>
      <w:r w:rsidR="001F00B5">
        <w:t xml:space="preserve">kommersielle aktører fra å kunne tilby fastlegetjenester finansiert av offentlige midler til landets innbyggere. </w:t>
      </w:r>
      <w:r w:rsidR="00241C6F">
        <w:t xml:space="preserve">Ekspertutvalget anbefaler </w:t>
      </w:r>
      <w:r w:rsidR="006A08A3">
        <w:t>derfor</w:t>
      </w:r>
      <w:r w:rsidR="001F00B5">
        <w:t xml:space="preserve"> at eierskap </w:t>
      </w:r>
      <w:r w:rsidR="003D4A5E">
        <w:t>i fastlegeselskap</w:t>
      </w:r>
      <w:r w:rsidR="001F00B5">
        <w:t xml:space="preserve"> </w:t>
      </w:r>
      <w:r w:rsidR="00C516AB">
        <w:t xml:space="preserve">for </w:t>
      </w:r>
      <w:r w:rsidR="00A62A28">
        <w:t>kommersielle</w:t>
      </w:r>
      <w:r w:rsidR="00C516AB">
        <w:t xml:space="preserve"> aktører</w:t>
      </w:r>
      <w:r w:rsidR="001F00B5">
        <w:t xml:space="preserve"> begrenses </w:t>
      </w:r>
      <w:r w:rsidR="00BC60F4">
        <w:t>til</w:t>
      </w:r>
      <w:r w:rsidR="001F00B5">
        <w:t xml:space="preserve"> leger som </w:t>
      </w:r>
      <w:r w:rsidR="005A109F">
        <w:t xml:space="preserve">selv </w:t>
      </w:r>
      <w:r w:rsidR="001F00B5">
        <w:t>jobber i selskapet.</w:t>
      </w:r>
      <w:r w:rsidR="001C4AB4">
        <w:t xml:space="preserve"> </w:t>
      </w:r>
      <w:r w:rsidR="00207EBA">
        <w:t>Det bør i</w:t>
      </w:r>
      <w:r w:rsidR="00BC60F4">
        <w:t xml:space="preserve"> tillegg</w:t>
      </w:r>
      <w:r w:rsidR="007913DF">
        <w:t xml:space="preserve"> </w:t>
      </w:r>
      <w:r w:rsidR="00720D48">
        <w:t>stilles</w:t>
      </w:r>
      <w:r w:rsidR="007913DF">
        <w:t xml:space="preserve"> krav </w:t>
      </w:r>
      <w:r w:rsidR="00D97F3B">
        <w:t>om</w:t>
      </w:r>
      <w:r w:rsidR="007913DF">
        <w:t xml:space="preserve"> at </w:t>
      </w:r>
      <w:r w:rsidR="00207EBA">
        <w:t xml:space="preserve">disse </w:t>
      </w:r>
      <w:r w:rsidR="00F17031">
        <w:t xml:space="preserve">legene </w:t>
      </w:r>
      <w:r w:rsidR="00684856">
        <w:t>må være</w:t>
      </w:r>
      <w:r w:rsidR="007913DF">
        <w:t xml:space="preserve"> spesialister i allmennmedisin.</w:t>
      </w:r>
    </w:p>
    <w:p w14:paraId="6290B9EE" w14:textId="77777777" w:rsidR="00D9107F" w:rsidRDefault="001F00B5" w:rsidP="001F00B5">
      <w:pPr>
        <w:jc w:val="both"/>
      </w:pPr>
      <w:r>
        <w:t xml:space="preserve">Dersom mulighet til å inngå slike </w:t>
      </w:r>
      <w:r w:rsidR="00720D48">
        <w:t>gruppeavtaler</w:t>
      </w:r>
      <w:r>
        <w:t xml:space="preserve"> avgrenses til kun fastlegeselskap eid av legene selv, vil dette i all hovedsak være relativt små virksomheter. En sentral fordel med at en større og mer </w:t>
      </w:r>
      <w:r w:rsidR="00720D48">
        <w:t>etablerte</w:t>
      </w:r>
      <w:r>
        <w:t xml:space="preserve"> virksomhet starter opp et fastlegeselskap</w:t>
      </w:r>
      <w:r w:rsidR="001D316F">
        <w:t>,</w:t>
      </w:r>
      <w:r>
        <w:t xml:space="preserve"> vil være at virksomheten allerede har en grunnmur av administrative støttefunksjoner. </w:t>
      </w:r>
      <w:r w:rsidR="00500BBD">
        <w:t>Dette vil</w:t>
      </w:r>
      <w:r>
        <w:t xml:space="preserve"> gjøre det enklere for fastlegeselskapene å profesjonalisere driften av fastlegetjenester. I tillegg vil flere allerede ha en godt etablert ledelsesstruktur, og erfaring med å drive innovasjon og utvikling. </w:t>
      </w:r>
      <w:r w:rsidR="00EB0FD8">
        <w:t>Ekspertut</w:t>
      </w:r>
      <w:r>
        <w:t xml:space="preserve">valget </w:t>
      </w:r>
      <w:r w:rsidR="00C620C6">
        <w:t>anbefaler</w:t>
      </w:r>
      <w:r>
        <w:t xml:space="preserve"> derfor at ideelle organisasjoner, stiftelser</w:t>
      </w:r>
      <w:r w:rsidR="00EB0FD8">
        <w:t>, studentsamski</w:t>
      </w:r>
      <w:r w:rsidR="0F81FE72">
        <w:t>p</w:t>
      </w:r>
      <w:r w:rsidR="00EB0FD8">
        <w:t>nader</w:t>
      </w:r>
      <w:r w:rsidR="00085BA7">
        <w:t>,</w:t>
      </w:r>
      <w:r>
        <w:t xml:space="preserve"> eller kommunen selv</w:t>
      </w:r>
      <w:r w:rsidR="00085BA7">
        <w:t>,</w:t>
      </w:r>
      <w:r>
        <w:t xml:space="preserve"> også skal kunne eie fastlegeselskap. For disse eierskapsmodellene bør det ikke stilles krav </w:t>
      </w:r>
      <w:r>
        <w:lastRenderedPageBreak/>
        <w:t xml:space="preserve">til at eierne i fastlegeselskapet selv må være </w:t>
      </w:r>
      <w:r w:rsidR="00301786">
        <w:t>leger</w:t>
      </w:r>
      <w:r>
        <w:t>, eller utøve en vesentlig del av sitt virke i fastlegeselskapet.</w:t>
      </w:r>
    </w:p>
    <w:p w14:paraId="693942C4" w14:textId="2E432FE2" w:rsidR="001F00B5" w:rsidRDefault="00645813" w:rsidP="001F00B5">
      <w:pPr>
        <w:jc w:val="both"/>
      </w:pPr>
      <w:r>
        <w:t>Etter e</w:t>
      </w:r>
      <w:r w:rsidR="00A2508A">
        <w:t>kspert</w:t>
      </w:r>
      <w:r w:rsidR="00E1436E">
        <w:t>utv</w:t>
      </w:r>
      <w:r w:rsidR="001F00B5">
        <w:t>alget</w:t>
      </w:r>
      <w:r>
        <w:t xml:space="preserve">s vurdering bør </w:t>
      </w:r>
      <w:r w:rsidR="001F00B5">
        <w:t xml:space="preserve">fastlegeselskap tilrettelegge for at flere faggrupper kan jobbe sammen, med mulighet for et større fagmiljø, og til å i større grad, innrette tjenestene etter innbyggernes behov. Videre </w:t>
      </w:r>
      <w:r w:rsidR="00C00D68">
        <w:t>bør</w:t>
      </w:r>
      <w:r w:rsidR="001F00B5">
        <w:t xml:space="preserve"> kommunene kunne inngå avtale om at fastlegeselskap har utdanningsstillinger for ALIS, og at fastlegeselskap tar inn LIS1 og medisinstudenter i praksis. Dette vil bidra til en styrking av utdanningsvirksomheten i tjenesten sammenliknet med dagens system. </w:t>
      </w:r>
      <w:r w:rsidR="006776B6">
        <w:t>Ekspert</w:t>
      </w:r>
      <w:r w:rsidR="00A378AA">
        <w:t>u</w:t>
      </w:r>
      <w:r w:rsidR="001F00B5">
        <w:t xml:space="preserve">tvalget mener også at fastlegeselskap kan bidra til </w:t>
      </w:r>
      <w:r w:rsidR="00754442">
        <w:t xml:space="preserve">å </w:t>
      </w:r>
      <w:r w:rsidR="00754442" w:rsidRPr="00754442">
        <w:t>gjøre allmennmedisinsk forskning enklere å få til for legene.</w:t>
      </w:r>
    </w:p>
    <w:p w14:paraId="54C34FAA" w14:textId="47721E78" w:rsidR="001F00B5" w:rsidRDefault="00D86C5E" w:rsidP="001F00B5">
      <w:pPr>
        <w:jc w:val="both"/>
      </w:pPr>
      <w:r>
        <w:t>D</w:t>
      </w:r>
      <w:r w:rsidR="001F00B5">
        <w:t>et er viktig</w:t>
      </w:r>
      <w:r w:rsidR="001F00B5" w:rsidRPr="732EEE06">
        <w:t xml:space="preserve"> å</w:t>
      </w:r>
      <w:r w:rsidR="001F00B5">
        <w:t xml:space="preserve"> bevare kjernen i den velfungerende delen av dagens fastlegeordning, nemlig det nære og vedvarende forholdet mellom fastlegen og innbyggeren. I et fastlegeselskap er det derfor avgjørende at innbyggeren får en fast lege å forholde seg til. Selv om det overordnede listeansvaret vil være knyttet til fastlegeselskapet, mener </w:t>
      </w:r>
      <w:r w:rsidR="00EC203D">
        <w:t>ekspert</w:t>
      </w:r>
      <w:r w:rsidR="001F00B5">
        <w:t xml:space="preserve">utvalget at </w:t>
      </w:r>
      <w:r w:rsidR="001F00B5" w:rsidRPr="05DCDD01">
        <w:t xml:space="preserve">hver enkelt </w:t>
      </w:r>
      <w:r w:rsidR="001F00B5">
        <w:t>fastlege i selskapet fortsatt må ha oppfølgings</w:t>
      </w:r>
      <w:r w:rsidR="009E61EE">
        <w:t>-</w:t>
      </w:r>
      <w:r w:rsidR="001F00B5">
        <w:t xml:space="preserve"> og behandlingsansvaret for </w:t>
      </w:r>
      <w:r w:rsidR="001F00B5" w:rsidRPr="05DCDD01">
        <w:t>en</w:t>
      </w:r>
      <w:r w:rsidR="001F00B5">
        <w:t xml:space="preserve"> definert </w:t>
      </w:r>
      <w:r w:rsidR="001F00B5" w:rsidRPr="05DCDD01">
        <w:t xml:space="preserve">liste med </w:t>
      </w:r>
      <w:r w:rsidR="001F00B5">
        <w:t>innbyggere.</w:t>
      </w:r>
      <w:r w:rsidR="001F00B5" w:rsidRPr="00887819">
        <w:t xml:space="preserve"> </w:t>
      </w:r>
      <w:r w:rsidR="001F00B5">
        <w:t xml:space="preserve">På den måten vil fastlegeordningen slik den </w:t>
      </w:r>
      <w:r w:rsidR="00D66CA5">
        <w:t>fram</w:t>
      </w:r>
      <w:r w:rsidR="001F00B5">
        <w:t>står for innbyggeren i dag, videreføres innenfor rammen av den nye organisasjonsmodellen.</w:t>
      </w:r>
    </w:p>
    <w:p w14:paraId="75B6EBEA" w14:textId="77777777" w:rsidR="00D9107F" w:rsidRDefault="002E20FD" w:rsidP="002130FE">
      <w:pPr>
        <w:jc w:val="both"/>
      </w:pPr>
      <w:r>
        <w:t xml:space="preserve">Utvalget mener det er nødvendig å utrede </w:t>
      </w:r>
      <w:r w:rsidR="00AE2222">
        <w:t>flere</w:t>
      </w:r>
      <w:r>
        <w:t xml:space="preserve"> forhold knyttet til fastlegeselskap nærmere. </w:t>
      </w:r>
      <w:r w:rsidR="001F00B5">
        <w:t xml:space="preserve">Særlig er det behov for å finne en finansieringsmodell som vil bidra til å understøtte målsettingene med fastlegeselskap. Finansieringsmodellen må bidra til at det blir attraktivt å drive fastlegeselskap, samtidig som </w:t>
      </w:r>
      <w:r w:rsidR="001F00B5" w:rsidRPr="00513E04">
        <w:t>det offentliges midler i størst mulig grad komme</w:t>
      </w:r>
      <w:r w:rsidR="001F00B5">
        <w:t>r</w:t>
      </w:r>
      <w:r w:rsidR="001F00B5" w:rsidRPr="00513E04">
        <w:t xml:space="preserve"> innbyggerne til gode</w:t>
      </w:r>
      <w:r w:rsidR="001F00B5">
        <w:t>.</w:t>
      </w:r>
      <w:r w:rsidR="00C701BF">
        <w:t xml:space="preserve"> </w:t>
      </w:r>
      <w:r w:rsidR="001F00B5">
        <w:t>Flere juridiske forhold må også utredes nærmere, herunder hvilke regler som lovlig kan stilles som begrenser eierskap i fastlegeselskaper, hvordan tildeling av avtale til et fastlegeselskap kan skje opp mot reglene om offentlige anskaffelser og hvordan fastlegeforskriften må endres for å tilrettelegge for at fastlegeselskap likestilles med øvrige næringsdriftsformer.</w:t>
      </w:r>
    </w:p>
    <w:p w14:paraId="6831FBC3" w14:textId="77777777" w:rsidR="00D9107F" w:rsidRDefault="00720D48" w:rsidP="00252B1D">
      <w:pPr>
        <w:jc w:val="both"/>
      </w:pPr>
      <w:r>
        <w:t>Det vil etter ekspertutvalgets vurdering være hensiktsmessig om det utarbeides en sentral rammeavtale som tar for seg viktige forhold knyttet til en slik organisasjonsmodell. Ekspertutvalget anbefaler at en ordning med fastlegeselskap følgeevalueres. Dette vil være viktig for å bygge åpen, kollektiv kunnskap underveis som kan bidra til forbedring og utvikling.</w:t>
      </w:r>
    </w:p>
    <w:p w14:paraId="76B295FB" w14:textId="05855C48" w:rsidR="00252B1D" w:rsidRDefault="00A90143" w:rsidP="00775632">
      <w:pPr>
        <w:pStyle w:val="Overskrift4"/>
      </w:pPr>
      <w:bookmarkStart w:id="1879" w:name="_Toc130983464"/>
      <w:bookmarkStart w:id="1880" w:name="_Toc130983813"/>
      <w:bookmarkStart w:id="1881" w:name="_Toc131062135"/>
      <w:bookmarkStart w:id="1882" w:name="_Toc131062389"/>
      <w:bookmarkStart w:id="1883" w:name="_Toc131062650"/>
      <w:bookmarkStart w:id="1884" w:name="_Toc131062903"/>
      <w:bookmarkStart w:id="1885" w:name="_Toc131063671"/>
      <w:bookmarkStart w:id="1886" w:name="_Toc131064096"/>
      <w:bookmarkStart w:id="1887" w:name="_Toc131238390"/>
      <w:bookmarkStart w:id="1888" w:name="_Toc131279421"/>
      <w:bookmarkStart w:id="1889" w:name="_Toc131286833"/>
      <w:bookmarkStart w:id="1890" w:name="_Toc131281243"/>
      <w:bookmarkStart w:id="1891" w:name="_Toc131317782"/>
      <w:r>
        <w:lastRenderedPageBreak/>
        <w:t>Kommunalt</w:t>
      </w:r>
      <w:r w:rsidR="00252B1D">
        <w:t xml:space="preserve"> fastlegekontor etter modell som fastlegeselskap</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22FA34D1" w14:textId="3FF56471" w:rsidR="00D9107F" w:rsidRDefault="0040712A" w:rsidP="00252B1D">
      <w:pPr>
        <w:jc w:val="both"/>
        <w:rPr>
          <w:color w:val="000000" w:themeColor="text1"/>
        </w:rPr>
      </w:pPr>
      <w:r>
        <w:rPr>
          <w:noProof/>
        </w:rPr>
        <w:drawing>
          <wp:anchor distT="0" distB="0" distL="114300" distR="114300" simplePos="0" relativeHeight="251658290" behindDoc="0" locked="0" layoutInCell="1" allowOverlap="1" wp14:anchorId="70C0DA82" wp14:editId="0F5AEE25">
            <wp:simplePos x="0" y="0"/>
            <wp:positionH relativeFrom="page">
              <wp:posOffset>1657350</wp:posOffset>
            </wp:positionH>
            <wp:positionV relativeFrom="paragraph">
              <wp:posOffset>1853565</wp:posOffset>
            </wp:positionV>
            <wp:extent cx="3965575" cy="4500245"/>
            <wp:effectExtent l="0" t="0" r="0" b="0"/>
            <wp:wrapTopAndBottom/>
            <wp:docPr id="1908704938" name="Picture 190870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4938" name="Bilde 1908704938"/>
                    <pic:cNvPicPr/>
                  </pic:nvPicPr>
                  <pic:blipFill rotWithShape="1">
                    <a:blip r:embed="rId69" cstate="print">
                      <a:extLst>
                        <a:ext uri="{28A0092B-C50C-407E-A947-70E740481C1C}">
                          <a14:useLocalDpi xmlns:a14="http://schemas.microsoft.com/office/drawing/2010/main" val="0"/>
                        </a:ext>
                      </a:extLst>
                    </a:blip>
                    <a:srcRect l="32799" t="2493" r="5200" b="47765"/>
                    <a:stretch/>
                  </pic:blipFill>
                  <pic:spPr bwMode="auto">
                    <a:xfrm>
                      <a:off x="0" y="0"/>
                      <a:ext cx="3965575" cy="450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B1D">
        <w:t xml:space="preserve">Ekspertutvalget anbefaler at </w:t>
      </w:r>
      <w:r w:rsidR="00591661">
        <w:t xml:space="preserve">det legges til rette for at </w:t>
      </w:r>
      <w:r w:rsidR="00252B1D">
        <w:t>kommuner i større grad selv kan drifte fastlegekontor</w:t>
      </w:r>
      <w:r w:rsidR="00DA6433">
        <w:t>,</w:t>
      </w:r>
      <w:r w:rsidR="00252B1D">
        <w:t xml:space="preserve"> etter samme modell som for gruppeavtaler uten individuelle fastlegeavtaler</w:t>
      </w:r>
      <w:r w:rsidR="00591661">
        <w:t>,</w:t>
      </w:r>
      <w:r w:rsidR="00252B1D">
        <w:t xml:space="preserve"> og hvor listeansvaret formelt ligger til kommunen</w:t>
      </w:r>
      <w:r w:rsidR="00252B1D" w:rsidRPr="00DA6433">
        <w:rPr>
          <w:color w:val="000000" w:themeColor="text1"/>
        </w:rPr>
        <w:t>.</w:t>
      </w:r>
      <w:r w:rsidR="00DA6433" w:rsidRPr="00DA6433">
        <w:rPr>
          <w:color w:val="000000" w:themeColor="text1"/>
        </w:rPr>
        <w:t xml:space="preserve"> Fundamentet for kommunale selskaper er allerede etablert i mange kommuner, gjennom såkalte 8.2-avtaler, der kommunene har ansvar for fastlegens medarbeidere, lokaler og/eller utstyr. En formalisering av kommunens muligheter til å drifte fastlegekontor vil kunne erstatte dagens mange ulike varianter av 8.2-avtaler med en mer rendyrket modell for kommunalt fastlegekontor, der kommunen har ansvar for hele kontoret.</w:t>
      </w:r>
    </w:p>
    <w:p w14:paraId="268FBAC1" w14:textId="4A3A7709" w:rsidR="00D9107F" w:rsidRDefault="00252B1D" w:rsidP="009A7979">
      <w:pPr>
        <w:jc w:val="both"/>
      </w:pPr>
      <w:r>
        <w:t xml:space="preserve">Mange av de positive effektene ved fastlegeselskap kan også oppnås med større grad av kommunal drift. En slik modell kan i tillegg tenkes å tilrettelegge for tettere integrasjon </w:t>
      </w:r>
      <w:r w:rsidR="00DA6433" w:rsidRPr="00DA6433">
        <w:t>med</w:t>
      </w:r>
      <w:r>
        <w:t xml:space="preserve"> de øvrige kommunale helse- og omsorgstjeneste</w:t>
      </w:r>
      <w:r w:rsidR="00591661">
        <w:t>ne,</w:t>
      </w:r>
      <w:r>
        <w:t xml:space="preserve"> og gi kommunen bedre styring med fastlegetjenesten</w:t>
      </w:r>
      <w:r w:rsidR="00A31484">
        <w:t>.</w:t>
      </w:r>
      <w:r w:rsidR="00DA6433" w:rsidRPr="00DA6433">
        <w:t xml:space="preserve"> </w:t>
      </w:r>
      <w:r w:rsidR="00DA6433">
        <w:t>Den t</w:t>
      </w:r>
      <w:r w:rsidR="00DA6433" w:rsidRPr="00DA6433">
        <w:t>ilgangen fastlegene vil få til kommunale kvalitetssystem</w:t>
      </w:r>
      <w:r w:rsidR="00DA6433">
        <w:t>er</w:t>
      </w:r>
      <w:r w:rsidR="00DA6433" w:rsidRPr="00DA6433">
        <w:t>, planer og prosedyrer for de øvrige he</w:t>
      </w:r>
      <w:r w:rsidR="00DA6433">
        <w:t xml:space="preserve">lse- og omsorgstjenestene, kan </w:t>
      </w:r>
      <w:r w:rsidR="00DA6433" w:rsidRPr="00DA6433">
        <w:t>bidra til mer sammenhengende og helhetlige tjenester.</w:t>
      </w:r>
    </w:p>
    <w:p w14:paraId="508E5973" w14:textId="77777777" w:rsidR="00D9107F" w:rsidRPr="00AF35D8" w:rsidRDefault="00906AB1" w:rsidP="008F5AD8">
      <w:r w:rsidRPr="00AF35D8">
        <w:t xml:space="preserve">Terskelen for samarbeid mellom fastlegene og øvrig helsepersonell vil reduseres når de formelt er en del av samme organisasjon. Det vil også kunne tilrettelegge bedre for innovasjon, </w:t>
      </w:r>
      <w:r w:rsidRPr="00AF35D8">
        <w:lastRenderedPageBreak/>
        <w:t>kunnskapsdeling og hensiktsmessig fordeling av oppgaver og ansvar i kommunehelsetjenesten. Digitale tjenester kan for eksempel utvikles under en felles paraply.</w:t>
      </w:r>
    </w:p>
    <w:p w14:paraId="2A52C4F4" w14:textId="77777777" w:rsidR="00D9107F" w:rsidRDefault="00906AB1" w:rsidP="009A7979">
      <w:pPr>
        <w:jc w:val="both"/>
        <w:rPr>
          <w:rFonts w:cstheme="minorHAnsi"/>
          <w:color w:val="000000" w:themeColor="text1"/>
        </w:rPr>
      </w:pPr>
      <w:r>
        <w:rPr>
          <w:rFonts w:cstheme="minorHAnsi"/>
          <w:color w:val="000000" w:themeColor="text1"/>
        </w:rPr>
        <w:t xml:space="preserve">Kommunene har lang erfaring med </w:t>
      </w:r>
      <w:r w:rsidRPr="001C1A9D">
        <w:rPr>
          <w:rFonts w:cstheme="minorHAnsi"/>
          <w:color w:val="000000" w:themeColor="text1"/>
        </w:rPr>
        <w:t>ledelse og styring av helsetjenester. Med kommunal drift av fastlegekontor vil det ligge bedre til rette for at ko</w:t>
      </w:r>
      <w:r>
        <w:rPr>
          <w:rFonts w:cstheme="minorHAnsi"/>
          <w:color w:val="000000" w:themeColor="text1"/>
        </w:rPr>
        <w:t>mmunene kan ivareta sitt sørge-for-ansvar</w:t>
      </w:r>
      <w:r w:rsidRPr="001C1A9D">
        <w:rPr>
          <w:rFonts w:cstheme="minorHAnsi"/>
          <w:color w:val="000000" w:themeColor="text1"/>
        </w:rPr>
        <w:t xml:space="preserve"> </w:t>
      </w:r>
      <w:r>
        <w:rPr>
          <w:rFonts w:cstheme="minorHAnsi"/>
          <w:color w:val="000000" w:themeColor="text1"/>
        </w:rPr>
        <w:t xml:space="preserve">for tjenesten, </w:t>
      </w:r>
      <w:r w:rsidRPr="001C1A9D">
        <w:rPr>
          <w:rFonts w:cstheme="minorHAnsi"/>
          <w:color w:val="000000" w:themeColor="text1"/>
        </w:rPr>
        <w:t>og forvalte de totale ressursene de har til rådighet til beste for innbyggerne.</w:t>
      </w:r>
    </w:p>
    <w:p w14:paraId="5EF5683D" w14:textId="77777777" w:rsidR="00D9107F" w:rsidRPr="00AF35D8" w:rsidRDefault="0078512F" w:rsidP="009A7979">
      <w:pPr>
        <w:jc w:val="both"/>
      </w:pPr>
      <w:r w:rsidRPr="00AF35D8">
        <w:rPr>
          <w:rFonts w:eastAsia="Calibri"/>
        </w:rPr>
        <w:t xml:space="preserve">Kommunalt fastlegekontor kan også, som i dag, drives med individuelle fastlegeavtaler, som alternativ til gruppeavtale med felles, kommunalt listeansvar. Dette er en ordning som gir næringsdrivende fastleger enkel </w:t>
      </w:r>
      <w:r w:rsidRPr="00AF35D8">
        <w:t>tilgang til fastlegehjemmel og kontor, uten samtidig å måtte kjøpe og eie egen praksis. Sammenliknet med selv å eie og drive en legepraksis, vil en slik 8.2-avtale kunne oppleves som lett tilgjengelig og risikofri, samtidig som mindre tid og oppmerksomhet vil medgå til kontoradministrasjon.</w:t>
      </w:r>
    </w:p>
    <w:p w14:paraId="0CC42230" w14:textId="77777777" w:rsidR="00D9107F" w:rsidRPr="00AF35D8" w:rsidRDefault="0078512F" w:rsidP="001F00B5">
      <w:pPr>
        <w:jc w:val="both"/>
      </w:pPr>
      <w:r w:rsidRPr="00AF35D8">
        <w:t>Økt etablering av kommunale</w:t>
      </w:r>
      <w:r w:rsidR="00602553" w:rsidRPr="00AF35D8">
        <w:t xml:space="preserve"> </w:t>
      </w:r>
      <w:r w:rsidRPr="00AF35D8">
        <w:t>fastlegekontor, for næringsdrivende og for kommunalt ansatte fastleger, med og uten gruppeavtale, forutsetter at kommunene settes økonomisk i stand til å håndtere dette.</w:t>
      </w:r>
    </w:p>
    <w:p w14:paraId="0866D33C" w14:textId="07ACD716" w:rsidR="00345211" w:rsidRPr="00345211" w:rsidRDefault="316AAC61" w:rsidP="00775632">
      <w:pPr>
        <w:pStyle w:val="Overskrift2"/>
      </w:pPr>
      <w:bookmarkStart w:id="1892" w:name="_Toc126834339"/>
      <w:bookmarkStart w:id="1893" w:name="_Toc127633213"/>
      <w:bookmarkStart w:id="1894" w:name="_Toc127864498"/>
      <w:bookmarkStart w:id="1895" w:name="_Toc128238506"/>
      <w:bookmarkStart w:id="1896" w:name="_Toc128741985"/>
      <w:bookmarkStart w:id="1897" w:name="_Toc128744580"/>
      <w:bookmarkStart w:id="1898" w:name="_Toc128744799"/>
      <w:bookmarkStart w:id="1899" w:name="_Toc129630299"/>
      <w:bookmarkStart w:id="1900" w:name="_Toc130763807"/>
      <w:bookmarkStart w:id="1901" w:name="_Toc130766702"/>
      <w:bookmarkStart w:id="1902" w:name="_Toc130932102"/>
      <w:bookmarkStart w:id="1903" w:name="_Toc130934393"/>
      <w:bookmarkStart w:id="1904" w:name="_Toc130983465"/>
      <w:bookmarkStart w:id="1905" w:name="_Toc130983814"/>
      <w:bookmarkStart w:id="1906" w:name="_Toc131062136"/>
      <w:bookmarkStart w:id="1907" w:name="_Toc131062390"/>
      <w:bookmarkStart w:id="1908" w:name="_Toc131062651"/>
      <w:bookmarkStart w:id="1909" w:name="_Toc131062904"/>
      <w:bookmarkStart w:id="1910" w:name="_Toc131063672"/>
      <w:bookmarkStart w:id="1911" w:name="_Toc131064097"/>
      <w:bookmarkStart w:id="1912" w:name="_Toc131238391"/>
      <w:bookmarkStart w:id="1913" w:name="_Toc131279422"/>
      <w:bookmarkStart w:id="1914" w:name="_Toc131286834"/>
      <w:bookmarkStart w:id="1915" w:name="_Toc131281244"/>
      <w:bookmarkStart w:id="1916" w:name="_Toc131317783"/>
      <w:bookmarkStart w:id="1917" w:name="_Toc132536968"/>
      <w:r>
        <w:t xml:space="preserve">Overdragelse av </w:t>
      </w:r>
      <w:r w:rsidR="545CE3AA">
        <w:t>fastlege</w:t>
      </w:r>
      <w:r>
        <w:t>praksis</w:t>
      </w:r>
      <w:r w:rsidR="6123F7C7">
        <w:t xml:space="preserve"> </w:t>
      </w:r>
      <w:r w:rsidR="24C7FE17">
        <w:t>ved</w:t>
      </w:r>
      <w:r w:rsidR="6123F7C7">
        <w:t xml:space="preserve"> næringsdrift</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76CFC114" w14:textId="3933FD8B" w:rsidR="008935C7" w:rsidRPr="00A663CE" w:rsidRDefault="469B5BFD" w:rsidP="00775632">
      <w:pPr>
        <w:pStyle w:val="Overskrift3"/>
      </w:pPr>
      <w:bookmarkStart w:id="1918" w:name="_Toc122655263"/>
      <w:bookmarkStart w:id="1919" w:name="_Toc126834340"/>
      <w:bookmarkStart w:id="1920" w:name="_Toc127633214"/>
      <w:bookmarkStart w:id="1921" w:name="_Toc127864499"/>
      <w:bookmarkStart w:id="1922" w:name="_Toc128238507"/>
      <w:bookmarkStart w:id="1923" w:name="_Toc128741986"/>
      <w:bookmarkStart w:id="1924" w:name="_Toc128744581"/>
      <w:bookmarkStart w:id="1925" w:name="_Toc128744800"/>
      <w:bookmarkStart w:id="1926" w:name="_Toc129630300"/>
      <w:bookmarkStart w:id="1927" w:name="_Toc130763808"/>
      <w:bookmarkStart w:id="1928" w:name="_Toc130766703"/>
      <w:bookmarkStart w:id="1929" w:name="_Toc130932103"/>
      <w:bookmarkStart w:id="1930" w:name="_Toc130934394"/>
      <w:bookmarkStart w:id="1931" w:name="_Toc130983466"/>
      <w:bookmarkStart w:id="1932" w:name="_Toc130983815"/>
      <w:bookmarkStart w:id="1933" w:name="_Toc131062137"/>
      <w:bookmarkStart w:id="1934" w:name="_Toc131062391"/>
      <w:bookmarkStart w:id="1935" w:name="_Toc131062652"/>
      <w:bookmarkStart w:id="1936" w:name="_Toc131062905"/>
      <w:bookmarkStart w:id="1937" w:name="_Toc131063673"/>
      <w:bookmarkStart w:id="1938" w:name="_Toc131064098"/>
      <w:bookmarkStart w:id="1939" w:name="_Toc131238392"/>
      <w:bookmarkStart w:id="1940" w:name="_Toc131279423"/>
      <w:bookmarkStart w:id="1941" w:name="_Toc131286835"/>
      <w:bookmarkStart w:id="1942" w:name="_Toc131281245"/>
      <w:bookmarkStart w:id="1943" w:name="_Toc131317784"/>
      <w:bookmarkStart w:id="1944" w:name="_Toc132536969"/>
      <w:r>
        <w:t>Kort om regler og praksis for overdragelse</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2AD1CCBC" w14:textId="65AF0DD4" w:rsidR="00D9107F" w:rsidRDefault="00B84B6C" w:rsidP="00724CA9">
      <w:pPr>
        <w:jc w:val="both"/>
        <w:rPr>
          <w:shd w:val="clear" w:color="auto" w:fill="FFFFFF"/>
        </w:rPr>
      </w:pPr>
      <w:r w:rsidRPr="00AC029D">
        <w:rPr>
          <w:shd w:val="clear" w:color="auto" w:fill="FFFFFF"/>
        </w:rPr>
        <w:t>Kommunen skal organisere fastlegeordningen</w:t>
      </w:r>
      <w:r w:rsidR="00B27320" w:rsidRPr="00AC029D">
        <w:rPr>
          <w:shd w:val="clear" w:color="auto" w:fill="FFFFFF"/>
        </w:rPr>
        <w:t>,</w:t>
      </w:r>
      <w:r w:rsidRPr="00AC029D">
        <w:rPr>
          <w:shd w:val="clear" w:color="auto" w:fill="FFFFFF"/>
        </w:rPr>
        <w:t xml:space="preserve"> og sørge for at personer som ønsker det får tilbud om plass på fastleges liste</w:t>
      </w:r>
      <w:r w:rsidR="00FB5C35" w:rsidRPr="008F5AD8">
        <w:rPr>
          <w:rFonts w:eastAsiaTheme="minorEastAsia"/>
        </w:rPr>
        <w:t xml:space="preserve">, jf. fastlegeforskriften </w:t>
      </w:r>
      <w:r w:rsidR="00D9107F" w:rsidRPr="008F5AD8">
        <w:rPr>
          <w:rFonts w:eastAsiaTheme="minorEastAsia"/>
        </w:rPr>
        <w:t>§ 4</w:t>
      </w:r>
      <w:r w:rsidRPr="00AC029D">
        <w:rPr>
          <w:shd w:val="clear" w:color="auto" w:fill="FFFFFF"/>
        </w:rPr>
        <w:t xml:space="preserve">. For å sikre et tilstrekkelig antall listeplasser skal kommunen opprette og tildele </w:t>
      </w:r>
      <w:r w:rsidRPr="008F5AD8">
        <w:rPr>
          <w:rFonts w:eastAsiaTheme="minorEastAsia"/>
        </w:rPr>
        <w:t>fastlegehjemler</w:t>
      </w:r>
      <w:r w:rsidR="00915132" w:rsidRPr="008F5AD8">
        <w:rPr>
          <w:rFonts w:eastAsiaTheme="minorEastAsia"/>
        </w:rPr>
        <w:t>.</w:t>
      </w:r>
      <w:r w:rsidRPr="00AC029D">
        <w:rPr>
          <w:shd w:val="clear" w:color="auto" w:fill="FFFFFF"/>
        </w:rPr>
        <w:t xml:space="preserve"> Det gjøres enten ved å opprette en ny </w:t>
      </w:r>
      <w:r w:rsidRPr="00AC029D">
        <w:t xml:space="preserve">hjemmel </w:t>
      </w:r>
      <w:r w:rsidRPr="00AC029D">
        <w:rPr>
          <w:shd w:val="clear" w:color="auto" w:fill="FFFFFF"/>
        </w:rPr>
        <w:t>(0-liste)</w:t>
      </w:r>
      <w:r w:rsidR="006A708E" w:rsidRPr="00AC029D">
        <w:rPr>
          <w:shd w:val="clear" w:color="auto" w:fill="FFFFFF"/>
        </w:rPr>
        <w:t>,</w:t>
      </w:r>
      <w:r w:rsidRPr="00AC029D">
        <w:rPr>
          <w:shd w:val="clear" w:color="auto" w:fill="FFFFFF"/>
        </w:rPr>
        <w:t xml:space="preserve"> eller</w:t>
      </w:r>
      <w:r w:rsidR="00DA42FD">
        <w:rPr>
          <w:shd w:val="clear" w:color="auto" w:fill="FFFFFF"/>
        </w:rPr>
        <w:t xml:space="preserve"> </w:t>
      </w:r>
      <w:r w:rsidRPr="00AC029D">
        <w:rPr>
          <w:shd w:val="clear" w:color="auto" w:fill="FFFFFF"/>
        </w:rPr>
        <w:t xml:space="preserve">ved å utlyse og </w:t>
      </w:r>
      <w:r w:rsidRPr="008F5AD8">
        <w:rPr>
          <w:rFonts w:eastAsiaTheme="minorEastAsia"/>
        </w:rPr>
        <w:t xml:space="preserve">så </w:t>
      </w:r>
      <w:r w:rsidRPr="00AC029D">
        <w:rPr>
          <w:shd w:val="clear" w:color="auto" w:fill="FFFFFF"/>
        </w:rPr>
        <w:t xml:space="preserve">tildele en </w:t>
      </w:r>
      <w:r w:rsidRPr="008F5AD8">
        <w:rPr>
          <w:rFonts w:eastAsiaTheme="minorEastAsia"/>
        </w:rPr>
        <w:t>eksister</w:t>
      </w:r>
      <w:r w:rsidRPr="00AC029D" w:rsidDel="008935C7">
        <w:t>ende</w:t>
      </w:r>
      <w:r w:rsidRPr="00AC029D">
        <w:rPr>
          <w:shd w:val="clear" w:color="auto" w:fill="FFFFFF"/>
        </w:rPr>
        <w:t xml:space="preserve"> </w:t>
      </w:r>
      <w:r w:rsidRPr="00AC029D">
        <w:t xml:space="preserve">hjemmel </w:t>
      </w:r>
      <w:r w:rsidRPr="00AC029D">
        <w:rPr>
          <w:shd w:val="clear" w:color="auto" w:fill="FFFFFF"/>
        </w:rPr>
        <w:t>til overtakende lege</w:t>
      </w:r>
      <w:r w:rsidR="00DA42FD">
        <w:rPr>
          <w:shd w:val="clear" w:color="auto" w:fill="FFFFFF"/>
        </w:rPr>
        <w:t xml:space="preserve"> </w:t>
      </w:r>
      <w:r w:rsidR="00DA42FD" w:rsidRPr="00AC029D">
        <w:rPr>
          <w:shd w:val="clear" w:color="auto" w:fill="FFFFFF"/>
        </w:rPr>
        <w:t>når en fastlege slutter</w:t>
      </w:r>
      <w:r w:rsidRPr="00AC029D">
        <w:rPr>
          <w:shd w:val="clear" w:color="auto" w:fill="FFFFFF"/>
        </w:rPr>
        <w:t>.</w:t>
      </w:r>
    </w:p>
    <w:p w14:paraId="44FED839" w14:textId="77777777" w:rsidR="00D9107F" w:rsidRDefault="00B84B6C" w:rsidP="00724CA9">
      <w:pPr>
        <w:jc w:val="both"/>
      </w:pPr>
      <w:r w:rsidRPr="00AC029D">
        <w:t>Dersom det dreier seg om en solopraksis, står kommunen fritt til å avgjøre hvem som skal tildeles hjemmelen</w:t>
      </w:r>
      <w:r w:rsidR="006A708E" w:rsidRPr="00AC029D">
        <w:t>, i tråd med kvalifikasjonsprinsippe</w:t>
      </w:r>
      <w:r w:rsidR="00921BD0">
        <w:t>t</w:t>
      </w:r>
      <w:r w:rsidR="006A708E" w:rsidRPr="00AC029D">
        <w:t>.</w:t>
      </w:r>
      <w:r w:rsidRPr="00AC029D">
        <w:t xml:space="preserve"> Dersom hjemmelen er plassert i en gruppepraksis, skal representant for gruppepraksisen inviteres til å delta i intervjuer av aktuelle kandidater, og gjenværende legers uttalelse om hvem de ønsker som ny kollega skal tillegges stor vekt</w:t>
      </w:r>
      <w:r w:rsidR="006A708E" w:rsidRPr="00AC029D">
        <w:t xml:space="preserve">, samtidig som </w:t>
      </w:r>
      <w:r w:rsidR="00820CBB">
        <w:t>beslutningen</w:t>
      </w:r>
      <w:r w:rsidR="00820CBB" w:rsidRPr="00AC029D">
        <w:t xml:space="preserve"> </w:t>
      </w:r>
      <w:r w:rsidR="006A708E" w:rsidRPr="00AC029D">
        <w:t>må være i tråd med kvalifikasjonsprinsippet</w:t>
      </w:r>
      <w:r w:rsidRPr="00AC029D">
        <w:t>.</w:t>
      </w:r>
    </w:p>
    <w:p w14:paraId="1B14B897" w14:textId="77777777" w:rsidR="00D9107F" w:rsidRPr="00775632" w:rsidRDefault="00B84B6C" w:rsidP="008757C5">
      <w:r w:rsidRPr="008F5AD8">
        <w:rPr>
          <w:rFonts w:eastAsiaTheme="minorEastAsia"/>
        </w:rPr>
        <w:t>Tildeling av fastlegehjemmel er et enkeltvedtak etter forvaltningsloven</w:t>
      </w:r>
      <w:r w:rsidRPr="00AC029D">
        <w:t>, og ved tildelingen skal kommunen blant annet legge vekt på faglig kompetanse og erfaring, samarbeidsevner, kjønns- og alderssammensetning og evne til å drive privat praksis</w:t>
      </w:r>
      <w:r w:rsidR="00F80227">
        <w:t xml:space="preserve"> </w:t>
      </w:r>
      <w:r w:rsidR="00D078E3">
        <w:fldChar w:fldCharType="begin"/>
      </w:r>
      <w:r w:rsidR="00D078E3">
        <w:instrText xml:space="preserve"> ADDIN EN.CITE &lt;EndNote&gt;&lt;Cite ExcludeAuth="1"&gt;&lt;Year&gt;1967&lt;/Year&gt;&lt;RecNum&gt;983&lt;/RecNum&gt;&lt;DisplayText&gt;(&lt;style face="italic"&gt;Lov om behandlingsmåten i forvaltningssaker (forvaltningsloven)&lt;/style&gt;, 1967)&lt;/DisplayText&gt;&lt;record&gt;&lt;rec-number&gt;983&lt;/rec-number&gt;&lt;foreign-keys&gt;&lt;key app="EN" db-id="95tpr2tp6r9xwoea9rb5wdsz5ds5xeddteew" timestamp="1680227547"&gt;983&lt;/key&gt;&lt;/foreign-keys&gt;&lt;ref-type name="Legal Rule or Regulation"&gt;50&lt;/ref-type&gt;&lt;contributors&gt;&lt;/contributors&gt;&lt;titles&gt;&lt;title&gt;Lov om behandlingsmåten i forvaltningssaker (forvaltningsloven)&lt;/title&gt;&lt;secondary-title&gt;LOV-1967-02-10&lt;/secondary-title&gt;&lt;/titles&gt;&lt;edition&gt;LOV-2022-12-20-115&lt;/edition&gt;&lt;dates&gt;&lt;year&gt;1967&lt;/year&gt;&lt;/dates&gt;&lt;urls&gt;&lt;related-urls&gt;&lt;url&gt;https://lovdata.no/dokument/NL/lov/1967-02-10&lt;/url&gt;&lt;/related-urls&gt;&lt;/urls&gt;&lt;/record&gt;&lt;/Cite&gt;&lt;/EndNote&gt;</w:instrText>
      </w:r>
      <w:r w:rsidR="00D078E3">
        <w:fldChar w:fldCharType="separate"/>
      </w:r>
      <w:r w:rsidR="00D078E3">
        <w:rPr>
          <w:noProof/>
        </w:rPr>
        <w:t>(</w:t>
      </w:r>
      <w:r w:rsidR="00D078E3" w:rsidRPr="00D9107F">
        <w:rPr>
          <w:rStyle w:val="kursiv"/>
        </w:rPr>
        <w:t>Lov om behandlingsmåten i forvaltningssaker (forvaltningsloven)</w:t>
      </w:r>
      <w:r w:rsidR="00D078E3">
        <w:rPr>
          <w:noProof/>
        </w:rPr>
        <w:t>, 1967)</w:t>
      </w:r>
      <w:r w:rsidR="00D078E3">
        <w:fldChar w:fldCharType="end"/>
      </w:r>
      <w:r w:rsidRPr="00AC029D">
        <w:t xml:space="preserve">. </w:t>
      </w:r>
      <w:r w:rsidR="00492773" w:rsidRPr="00775632">
        <w:t>Tildeling av fastlegeavtaler er ikke en ansettelse, men innebærer at kommunen inngår avtale med en privat tjenesteyter om å tilby tjenester til innbyggerne på vegne av kommunen.</w:t>
      </w:r>
    </w:p>
    <w:p w14:paraId="0443D8C1" w14:textId="7FB9EF0D" w:rsidR="00724CA9" w:rsidRPr="008757C5" w:rsidRDefault="00B84B6C" w:rsidP="008757C5">
      <w:r w:rsidRPr="008757C5">
        <w:t xml:space="preserve">Dersom fratredende lege har drevet næringsvirksomhet i egen praksis, har fratredende lege, ihht. rammeavtalen mellom Legeforeningen og KS/Oslo kommune, rett til å overdra praksisen </w:t>
      </w:r>
      <w:r w:rsidRPr="008757C5">
        <w:lastRenderedPageBreak/>
        <w:t xml:space="preserve">til den legen som har fått tilbud fra kommunen </w:t>
      </w:r>
      <w:r w:rsidR="00E94EA5" w:rsidRPr="008757C5">
        <w:fldChar w:fldCharType="begin"/>
      </w:r>
      <w:r w:rsidR="00904B00" w:rsidRPr="008757C5">
        <w:instrText xml:space="preserve"> ADDIN EN.CITE &lt;EndNote&gt;&lt;Cite&gt;&lt;Author&gt;KS og Den norske legeforening&lt;/Author&gt;&lt;Year&gt;2012folk&lt;/Year&gt;&lt;RecNum&gt;48&lt;/RecNum&gt;&lt;DisplayText&gt;(KS og Den norske legeforening, 2012folk)&lt;/DisplayText&gt;&lt;record&gt;&lt;rec-number&gt;48&lt;/rec-number&gt;&lt;foreign-keys&gt;&lt;key app="EN" db-id="95tpr2tp6r9xwoea9rb5wdsz5ds5xeddteew" timestamp="1680069511"&gt;48&lt;/key&gt;&lt;/foreign-keys&gt;&lt;ref-type name="Report"&gt;27&lt;/ref-type&gt;&lt;contributors&gt;&lt;authors&gt;&lt;author&gt;KS og Den norske legeforening,&lt;/author&gt;&lt;/authors&gt;&lt;/contributors&gt;&lt;titles&gt;&lt;title&gt;ASA 4310 – Rammeavtale (sentral kommuneavtale) mellom Kommunenes Sentralforbund og Den norske lægeforening om allmenn¬lege-praksis i fastlegeordningen i kommunene&lt;/title&gt;&lt;/titles&gt;&lt;dates&gt;&lt;year&gt;2012folk&lt;/year&gt;&lt;/dates&gt;&lt;publisher&gt;KS og Den norske lægeforening&lt;/publisher&gt;&lt;urls&gt;&lt;related-urls&gt;&lt;url&gt;https://www.legeforeningen.no/contentassets/5acb1bbeaadf47d1975f2c41e6564bf9/rammeavtalen-2012.pdf&lt;/url&gt;&lt;/related-urls&gt;&lt;/urls&gt;&lt;/record&gt;&lt;/Cite&gt;&lt;/EndNote&gt;</w:instrText>
      </w:r>
      <w:r w:rsidR="00E94EA5" w:rsidRPr="008757C5">
        <w:fldChar w:fldCharType="separate"/>
      </w:r>
      <w:r w:rsidR="00904B00" w:rsidRPr="008757C5">
        <w:t>(KS og Den norske legeforening, 2012folk)</w:t>
      </w:r>
      <w:r w:rsidR="00E94EA5" w:rsidRPr="008757C5">
        <w:fldChar w:fldCharType="end"/>
      </w:r>
      <w:r w:rsidR="000E6D3C" w:rsidRPr="008757C5">
        <w:t>.</w:t>
      </w:r>
      <w:r w:rsidRPr="008757C5">
        <w:t xml:space="preserve"> Bakgrunnen for denne retten er at det krever ressurser å bygge opp og vedlikeholde en velfungerende praksis, og når en næringsdrivende fastlege ønsker å slutte, har det vært </w:t>
      </w:r>
      <w:r w:rsidR="00820CBB" w:rsidRPr="008757C5">
        <w:t>enighet om</w:t>
      </w:r>
      <w:r w:rsidRPr="008757C5">
        <w:t xml:space="preserve"> et system for overdragelse av fastlegepraksiser som bidrar til at arbeidet avtroppende lege har lagt </w:t>
      </w:r>
      <w:r w:rsidR="001A4B3B" w:rsidRPr="008757C5">
        <w:t xml:space="preserve">ned </w:t>
      </w:r>
      <w:r w:rsidRPr="008757C5">
        <w:t>i å bygge opp sin praksis</w:t>
      </w:r>
      <w:r w:rsidR="008B123B" w:rsidRPr="008757C5">
        <w:t>,</w:t>
      </w:r>
      <w:r w:rsidRPr="008757C5">
        <w:t xml:space="preserve"> blir kompensert økonomisk.</w:t>
      </w:r>
    </w:p>
    <w:p w14:paraId="0F242C4B" w14:textId="77777777" w:rsidR="00D9107F" w:rsidRPr="008F5AD8" w:rsidRDefault="00B84B6C" w:rsidP="008757C5">
      <w:pPr>
        <w:rPr>
          <w:rFonts w:eastAsiaTheme="minorEastAsia"/>
        </w:rPr>
      </w:pPr>
      <w:r w:rsidRPr="00AC029D">
        <w:t xml:space="preserve">I rammeavtalen mellom Legeforeningen og hhv. KS og Oslo kommune skilles det </w:t>
      </w:r>
      <w:r w:rsidRPr="008F5AD8">
        <w:rPr>
          <w:rFonts w:eastAsiaTheme="minorEastAsia"/>
        </w:rPr>
        <w:t xml:space="preserve">mellom tildeling av selve hjemmelen, som gir eksklusiv tilgang til en fastlegeliste, og overdragelse av legepraksisen. </w:t>
      </w:r>
      <w:r w:rsidRPr="00AC029D">
        <w:t>Det er legens praksis, og ikke pasientlisten eller fastlegeavtalen, som overdras mot betaling. Legepraksisen er anskaffet eller bygget opp av legen for å utføre sine plikter etter fastlegeavtalen, og omfatter utstyr og inventar, i tillegg til verdier som kontorrutiner, opplært hjelpepersonell, journalsystemer</w:t>
      </w:r>
      <w:r w:rsidR="001A4B3B" w:rsidRPr="00AC029D">
        <w:t>, husleieavtale</w:t>
      </w:r>
      <w:r w:rsidRPr="00AC029D">
        <w:t xml:space="preserve"> osv.</w:t>
      </w:r>
    </w:p>
    <w:p w14:paraId="6B82D0B5" w14:textId="77777777" w:rsidR="00D9107F" w:rsidRPr="008757C5" w:rsidRDefault="00B84B6C" w:rsidP="008757C5">
      <w:r w:rsidRPr="008757C5">
        <w:t xml:space="preserve">Overdragelsesbetingelsene </w:t>
      </w:r>
      <w:r w:rsidR="003D7AD0" w:rsidRPr="008757C5">
        <w:t>knyttet til legepraksisen</w:t>
      </w:r>
      <w:r w:rsidRPr="008757C5">
        <w:t xml:space="preserve"> avtales mellom fratredende og overta</w:t>
      </w:r>
      <w:r w:rsidR="001A4B3B" w:rsidRPr="008757C5">
        <w:t>k</w:t>
      </w:r>
      <w:r w:rsidRPr="008757C5">
        <w:t xml:space="preserve">ende lege, og kommunen er ikke part i denne avtalen. Kommunen tilbyr først hjemmelen til den legen som er funnet best kvalifisert for hjemmelen. Deretter har tiltredene og fratredende lege </w:t>
      </w:r>
      <w:r w:rsidR="004D2AE0" w:rsidRPr="008757C5">
        <w:t>fem</w:t>
      </w:r>
      <w:r w:rsidRPr="008757C5">
        <w:t xml:space="preserve"> uker på seg til å bli enige om vilkår for overdragelse av praksis. Tidspunktet for oppstart i hjemmelen avtales mellom kommunen og overta</w:t>
      </w:r>
      <w:r w:rsidR="00CE7330" w:rsidRPr="008757C5">
        <w:t>k</w:t>
      </w:r>
      <w:r w:rsidRPr="008757C5">
        <w:t>ende lege, mens overtakelsen av praksisen avtales mellom fratredende og overta</w:t>
      </w:r>
      <w:r w:rsidR="00CE7330" w:rsidRPr="008757C5">
        <w:t>k</w:t>
      </w:r>
      <w:r w:rsidRPr="008757C5">
        <w:t>ende lege.</w:t>
      </w:r>
    </w:p>
    <w:p w14:paraId="42686F16" w14:textId="79C3E706" w:rsidR="00724CA9" w:rsidRPr="008757C5" w:rsidRDefault="00B84B6C" w:rsidP="008757C5">
      <w:r w:rsidRPr="008757C5">
        <w:t>Overta</w:t>
      </w:r>
      <w:r w:rsidR="00CE7330" w:rsidRPr="008757C5">
        <w:t>k</w:t>
      </w:r>
      <w:r w:rsidRPr="008757C5">
        <w:t xml:space="preserve">ende lege inngår </w:t>
      </w:r>
      <w:r w:rsidR="001A4B3B" w:rsidRPr="008757C5">
        <w:t>altså</w:t>
      </w:r>
      <w:r w:rsidRPr="008757C5">
        <w:t xml:space="preserve"> minst to avtaler i forbindelse med tiltredelse i fastlegehjemmel: en avtale med kommunen om tildeling og oppstart i hjemmelen, og en avtale med fratredende lege om overdragelse av praksis</w:t>
      </w:r>
      <w:r w:rsidR="00E102F5" w:rsidRPr="008757C5">
        <w:t xml:space="preserve">. Det </w:t>
      </w:r>
      <w:r w:rsidRPr="008757C5">
        <w:t>vil ofte også foreligge en avtale mellom legen og de andre legene i praksisen. Den tiltredende legen vil da normalt også måtte tre inn i avtroppende leges gruppepraksisavtale</w:t>
      </w:r>
      <w:r w:rsidR="00105121" w:rsidRPr="008757C5">
        <w:t>,</w:t>
      </w:r>
      <w:r w:rsidR="0027321C" w:rsidRPr="008757C5">
        <w:t xml:space="preserve"> </w:t>
      </w:r>
      <w:r w:rsidRPr="008757C5">
        <w:t xml:space="preserve">og de andre legene i gruppepraksisen vil derfor ha viktige og legitime interesser knyttet til overdragelsen. Disse hensynene er forsøkt ivaretatt ved at de andre legene i gruppepraksisen deltar </w:t>
      </w:r>
      <w:r w:rsidR="001A4B3B" w:rsidRPr="008757C5">
        <w:t xml:space="preserve">i rekruttering og tildeling av hjemmelen, </w:t>
      </w:r>
      <w:r w:rsidRPr="008757C5">
        <w:t>og at deres uttalelse skal tillegges stor vekt.</w:t>
      </w:r>
    </w:p>
    <w:p w14:paraId="15CA539F" w14:textId="77777777" w:rsidR="00D9107F" w:rsidRPr="008757C5" w:rsidRDefault="00B84B6C" w:rsidP="008757C5">
      <w:r w:rsidRPr="008757C5">
        <w:t>Av hensyn til kontinuitet i praksisen er det et mål at tiltredende lege overtar praksisen uten opphold</w:t>
      </w:r>
      <w:r w:rsidR="00820CBB" w:rsidRPr="008757C5">
        <w:t>,</w:t>
      </w:r>
      <w:r w:rsidRPr="008757C5">
        <w:t xml:space="preserve"> ved oppsigelsesfristens utløp </w:t>
      </w:r>
      <w:r w:rsidR="00E94EA5" w:rsidRPr="008757C5">
        <w:fldChar w:fldCharType="begin"/>
      </w:r>
      <w:r w:rsidR="00A27571" w:rsidRPr="008757C5">
        <w:instrText xml:space="preserve"> ADDIN EN.CITE &lt;EndNote&gt;&lt;Cite&gt;&lt;Author&gt;Den Norske Legeforening&lt;/Author&gt;&lt;Year&gt;2018&lt;/Year&gt;&lt;RecNum&gt;169&lt;/RecNum&gt;&lt;DisplayText&gt;(Den Norske Legeforening, 2018a)&lt;/DisplayText&gt;&lt;record&gt;&lt;rec-number&gt;169&lt;/rec-number&gt;&lt;foreign-keys&gt;&lt;key app="EN" db-id="95tpr2tp6r9xwoea9rb5wdsz5ds5xeddteew" timestamp="1680069511"&gt;169&lt;/key&gt;&lt;/foreign-keys&gt;&lt;ref-type name="Web Page"&gt;12&lt;/ref-type&gt;&lt;contributors&gt;&lt;authors&gt;&lt;author&gt;Den Norske Legeforening,&lt;/author&gt;&lt;/authors&gt;&lt;/contributors&gt;&lt;titles&gt;&lt;title&gt;Dreiebok for overdragelse av spesialistpraksis: fremgangsmåte ved salg av spesialistpraksis&lt;/title&gt;&lt;/titles&gt;&lt;number&gt;30. januar 2023&lt;/number&gt;&lt;dates&gt;&lt;year&gt;2018&lt;/year&gt;&lt;/dates&gt;&lt;publisher&gt;Den norske legeforening, &lt;/publisher&gt;&lt;work-type&gt;nettdokument&lt;/work-type&gt;&lt;urls&gt;&lt;/urls&gt;&lt;/record&gt;&lt;/Cite&gt;&lt;/EndNote&gt;</w:instrText>
      </w:r>
      <w:r w:rsidR="00E94EA5" w:rsidRPr="008757C5">
        <w:fldChar w:fldCharType="separate"/>
      </w:r>
      <w:r w:rsidR="00A841AD" w:rsidRPr="008757C5">
        <w:t>(Den Norske Legeforening, 2018a)</w:t>
      </w:r>
      <w:r w:rsidR="00E94EA5" w:rsidRPr="008757C5">
        <w:fldChar w:fldCharType="end"/>
      </w:r>
      <w:r w:rsidRPr="008757C5">
        <w:t xml:space="preserve">. Dersom kjøper og selger ikke blir enige om overdragelsesbeløp innen </w:t>
      </w:r>
      <w:r w:rsidR="00456079" w:rsidRPr="008757C5">
        <w:t>fem</w:t>
      </w:r>
      <w:r w:rsidRPr="008757C5">
        <w:t xml:space="preserve"> uker etter at kommunens tilbud er mottatt, kan de og kommunen kreve at pris avgjøres av en nemnd i Legeforeningen. Nemndas beslutning er en voldgiftsavgjørelse, som er bindende for både kjøper og selger, og som ikke kan overprøves av de ordinære domstolene.</w:t>
      </w:r>
    </w:p>
    <w:p w14:paraId="15456290" w14:textId="148D8F97" w:rsidR="001E4E5D" w:rsidRPr="008757C5" w:rsidRDefault="00B84B6C" w:rsidP="008757C5">
      <w:r w:rsidRPr="008757C5">
        <w:t xml:space="preserve">Kommunen kan ikke sette en kortere frist for overtagende lege </w:t>
      </w:r>
      <w:r w:rsidR="00820CBB" w:rsidRPr="008757C5">
        <w:t>til</w:t>
      </w:r>
      <w:r w:rsidRPr="008757C5">
        <w:t xml:space="preserve"> å godta kommunens tilbud om tildeling av hjemmelen, av hensyn til prosessen rundt overdragelse av fratredende leges praksis. </w:t>
      </w:r>
      <w:r w:rsidR="00A255E2" w:rsidRPr="008757C5">
        <w:t>K</w:t>
      </w:r>
      <w:r w:rsidRPr="008757C5">
        <w:t xml:space="preserve">ommunen har </w:t>
      </w:r>
      <w:r w:rsidR="00820CBB" w:rsidRPr="008757C5">
        <w:t>samtidig</w:t>
      </w:r>
      <w:r w:rsidRPr="008757C5">
        <w:t xml:space="preserve"> en plikt</w:t>
      </w:r>
      <w:r w:rsidR="00820CBB" w:rsidRPr="008757C5">
        <w:t>,</w:t>
      </w:r>
      <w:r w:rsidRPr="008757C5">
        <w:t xml:space="preserve"> </w:t>
      </w:r>
      <w:r w:rsidR="00A255E2" w:rsidRPr="008757C5">
        <w:t>gjenn</w:t>
      </w:r>
      <w:r w:rsidR="00820CBB" w:rsidRPr="008757C5">
        <w:t>o</w:t>
      </w:r>
      <w:r w:rsidR="00A255E2" w:rsidRPr="008757C5">
        <w:t>m</w:t>
      </w:r>
      <w:r w:rsidR="00820CBB" w:rsidRPr="008757C5">
        <w:t xml:space="preserve"> </w:t>
      </w:r>
      <w:r w:rsidR="00A255E2" w:rsidRPr="008757C5">
        <w:t>sitt sørge-for-ansvar og gjennom rammeavtalen</w:t>
      </w:r>
      <w:r w:rsidR="00820CBB" w:rsidRPr="008757C5">
        <w:t>,</w:t>
      </w:r>
      <w:r w:rsidR="00A255E2" w:rsidRPr="008757C5">
        <w:t xml:space="preserve"> </w:t>
      </w:r>
      <w:r w:rsidRPr="008757C5">
        <w:t>til å sørge for at pasientene og praksisen ivaretas inntil ny avtalehaver tiltrer.</w:t>
      </w:r>
    </w:p>
    <w:p w14:paraId="4ED725AE" w14:textId="77777777" w:rsidR="00D9107F" w:rsidRDefault="00D46B0A" w:rsidP="00775632">
      <w:pPr>
        <w:pStyle w:val="Overskrift3"/>
        <w:rPr>
          <w:shd w:val="clear" w:color="auto" w:fill="FFFFFF"/>
        </w:rPr>
      </w:pPr>
      <w:bookmarkStart w:id="1945" w:name="_Toc129630301"/>
      <w:bookmarkStart w:id="1946" w:name="_Toc130763809"/>
      <w:bookmarkStart w:id="1947" w:name="_Toc130766704"/>
      <w:bookmarkStart w:id="1948" w:name="_Toc130932104"/>
      <w:bookmarkStart w:id="1949" w:name="_Toc130934395"/>
      <w:bookmarkStart w:id="1950" w:name="_Toc130983467"/>
      <w:bookmarkStart w:id="1951" w:name="_Toc130983816"/>
      <w:bookmarkStart w:id="1952" w:name="_Toc131062138"/>
      <w:bookmarkStart w:id="1953" w:name="_Toc131062392"/>
      <w:bookmarkStart w:id="1954" w:name="_Toc131062653"/>
      <w:bookmarkStart w:id="1955" w:name="_Toc131062906"/>
      <w:bookmarkStart w:id="1956" w:name="_Toc131063674"/>
      <w:bookmarkStart w:id="1957" w:name="_Toc131064099"/>
      <w:bookmarkStart w:id="1958" w:name="_Toc131238393"/>
      <w:bookmarkStart w:id="1959" w:name="_Toc131279424"/>
      <w:bookmarkStart w:id="1960" w:name="_Toc131286836"/>
      <w:bookmarkStart w:id="1961" w:name="_Toc131281246"/>
      <w:bookmarkStart w:id="1962" w:name="_Toc131317785"/>
      <w:bookmarkStart w:id="1963" w:name="_Toc132536970"/>
      <w:r>
        <w:lastRenderedPageBreak/>
        <w:t>Overdragelse av praksis – bakgrunn</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1955B69C" w14:textId="77777777" w:rsidR="00D9107F" w:rsidRDefault="007D4C35" w:rsidP="00724CA9">
      <w:pPr>
        <w:jc w:val="both"/>
        <w:rPr>
          <w:shd w:val="clear" w:color="auto" w:fill="FFFFFF"/>
        </w:rPr>
      </w:pPr>
      <w:r w:rsidRPr="00AC029D">
        <w:rPr>
          <w:shd w:val="clear" w:color="auto" w:fill="FFFFFF"/>
        </w:rPr>
        <w:t xml:space="preserve">Leger som har overtatt en etablert </w:t>
      </w:r>
      <w:r w:rsidR="001A4B3B" w:rsidRPr="00AC029D">
        <w:rPr>
          <w:shd w:val="clear" w:color="auto" w:fill="FFFFFF"/>
        </w:rPr>
        <w:t>nærings</w:t>
      </w:r>
      <w:r w:rsidRPr="00AC029D">
        <w:rPr>
          <w:shd w:val="clear" w:color="auto" w:fill="FFFFFF"/>
        </w:rPr>
        <w:t>praksis fra en kollega</w:t>
      </w:r>
      <w:r w:rsidR="00B6086B">
        <w:rPr>
          <w:shd w:val="clear" w:color="auto" w:fill="FFFFFF"/>
        </w:rPr>
        <w:t>,</w:t>
      </w:r>
      <w:r w:rsidRPr="00AC029D">
        <w:rPr>
          <w:shd w:val="clear" w:color="auto" w:fill="FFFFFF"/>
        </w:rPr>
        <w:t xml:space="preserve"> har alltid, som i annen næringsvirksomhet, måttet betale for de verdier som ligger i virksomheten. Fra 1984 ble omsetning av legepraksiser regulert i nasjonale avtaler, og det ble da satt en grense for hvor mye som kunne betales</w:t>
      </w:r>
      <w:r w:rsidR="00820CBB">
        <w:rPr>
          <w:shd w:val="clear" w:color="auto" w:fill="FFFFFF"/>
        </w:rPr>
        <w:t>,</w:t>
      </w:r>
      <w:r w:rsidRPr="00AC029D">
        <w:rPr>
          <w:shd w:val="clear" w:color="auto" w:fill="FFFFFF"/>
        </w:rPr>
        <w:t xml:space="preserve"> relatert til omsetningen. Prisen har vært høyere for veldrevne praksiser i attraktive strøk</w:t>
      </w:r>
      <w:r w:rsidR="001A4B3B" w:rsidRPr="00AC029D">
        <w:rPr>
          <w:shd w:val="clear" w:color="auto" w:fill="FFFFFF"/>
        </w:rPr>
        <w:t>,</w:t>
      </w:r>
      <w:r w:rsidRPr="00AC029D">
        <w:rPr>
          <w:shd w:val="clear" w:color="auto" w:fill="FFFFFF"/>
        </w:rPr>
        <w:t xml:space="preserve"> enn for praksiser </w:t>
      </w:r>
      <w:r w:rsidR="001A4B3B" w:rsidRPr="00AC029D">
        <w:rPr>
          <w:shd w:val="clear" w:color="auto" w:fill="FFFFFF"/>
        </w:rPr>
        <w:t>med lavere</w:t>
      </w:r>
      <w:r w:rsidRPr="00AC029D">
        <w:rPr>
          <w:shd w:val="clear" w:color="auto" w:fill="FFFFFF"/>
        </w:rPr>
        <w:t xml:space="preserve"> standard</w:t>
      </w:r>
      <w:r w:rsidR="001A4B3B" w:rsidRPr="00AC029D">
        <w:rPr>
          <w:shd w:val="clear" w:color="auto" w:fill="FFFFFF"/>
        </w:rPr>
        <w:t xml:space="preserve"> eller plassert mindre sentralt</w:t>
      </w:r>
      <w:r w:rsidRPr="00AC029D">
        <w:rPr>
          <w:shd w:val="clear" w:color="auto" w:fill="FFFFFF"/>
        </w:rPr>
        <w:t>.</w:t>
      </w:r>
    </w:p>
    <w:p w14:paraId="4AFD28E1" w14:textId="1E69C4D9" w:rsidR="00D9107F" w:rsidRDefault="007D4C35" w:rsidP="00724CA9">
      <w:pPr>
        <w:jc w:val="both"/>
      </w:pPr>
      <w:r w:rsidRPr="00AC029D">
        <w:t>Før 2001 fikk en lege som startet praksis etter avtale med kommunen</w:t>
      </w:r>
      <w:r w:rsidR="00462CB5" w:rsidRPr="00AC029D">
        <w:t>,</w:t>
      </w:r>
      <w:r w:rsidRPr="00AC029D">
        <w:t xml:space="preserve"> et driftstilskudd på om lag 40</w:t>
      </w:r>
      <w:r w:rsidR="00D9107F" w:rsidRPr="00AC029D">
        <w:t>0</w:t>
      </w:r>
      <w:r w:rsidR="00D9107F">
        <w:t> </w:t>
      </w:r>
      <w:r w:rsidR="00D9107F" w:rsidRPr="00AC029D">
        <w:t>000</w:t>
      </w:r>
      <w:r w:rsidR="00D9107F">
        <w:t> kroner</w:t>
      </w:r>
      <w:r w:rsidRPr="00AC029D">
        <w:t xml:space="preserve"> per år, uavhengig av aktivitet og pasientmengde.</w:t>
      </w:r>
    </w:p>
    <w:p w14:paraId="2168A7EA" w14:textId="084B475B" w:rsidR="00724CA9" w:rsidRDefault="001A4B3B" w:rsidP="00724CA9">
      <w:pPr>
        <w:jc w:val="both"/>
      </w:pPr>
      <w:r w:rsidRPr="00AC029D">
        <w:t>Ved innføring av fastlegeordningen i 2001</w:t>
      </w:r>
      <w:r w:rsidR="00267947">
        <w:t>,</w:t>
      </w:r>
      <w:r w:rsidRPr="00AC029D">
        <w:t xml:space="preserve"> var partene klar over at listesystemet ville by på utfordringer. </w:t>
      </w:r>
      <w:r w:rsidR="007D4C35" w:rsidRPr="00AC029D">
        <w:t>For en lege som først og fremst er opptatt av å utøve sitt fag, vil det ofte fr</w:t>
      </w:r>
      <w:r w:rsidRPr="00AC029D">
        <w:t>a</w:t>
      </w:r>
      <w:r w:rsidR="007D4C35" w:rsidRPr="00AC029D">
        <w:t>mstå som langt mer attraktivt å kjøpe seg inn i en etablert praksis med umiddelbar omsetning, enn å skulle bygge opp en praksis fra bunnen av.</w:t>
      </w:r>
    </w:p>
    <w:p w14:paraId="01818FBB" w14:textId="77777777" w:rsidR="00D9107F" w:rsidRDefault="007E2FE7" w:rsidP="00775632">
      <w:pPr>
        <w:pStyle w:val="Overskrift3"/>
        <w:rPr>
          <w:shd w:val="clear" w:color="auto" w:fill="FFFFFF"/>
          <w:lang w:val="nn-NO"/>
        </w:rPr>
      </w:pPr>
      <w:bookmarkStart w:id="1964" w:name="_Toc129630302"/>
      <w:bookmarkStart w:id="1965" w:name="_Toc130763810"/>
      <w:bookmarkStart w:id="1966" w:name="_Toc130766705"/>
      <w:bookmarkStart w:id="1967" w:name="_Toc130932105"/>
      <w:bookmarkStart w:id="1968" w:name="_Toc130934396"/>
      <w:bookmarkStart w:id="1969" w:name="_Toc130983468"/>
      <w:bookmarkStart w:id="1970" w:name="_Toc130983817"/>
      <w:bookmarkStart w:id="1971" w:name="_Toc131062139"/>
      <w:bookmarkStart w:id="1972" w:name="_Toc131062393"/>
      <w:bookmarkStart w:id="1973" w:name="_Toc131062654"/>
      <w:bookmarkStart w:id="1974" w:name="_Toc131062907"/>
      <w:bookmarkStart w:id="1975" w:name="_Toc131063675"/>
      <w:bookmarkStart w:id="1976" w:name="_Toc131064100"/>
      <w:bookmarkStart w:id="1977" w:name="_Toc131238394"/>
      <w:bookmarkStart w:id="1978" w:name="_Toc131279425"/>
      <w:bookmarkStart w:id="1979" w:name="_Toc131286837"/>
      <w:bookmarkStart w:id="1980" w:name="_Toc131281247"/>
      <w:bookmarkStart w:id="1981" w:name="_Toc131317786"/>
      <w:bookmarkStart w:id="1982" w:name="_Toc132536971"/>
      <w:r w:rsidRPr="00946805">
        <w:rPr>
          <w:lang w:val="nn-NO"/>
        </w:rPr>
        <w:t>Verdi av opparbeidet praksis og nemndas rolle</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14:paraId="08B02095" w14:textId="77777777" w:rsidR="00D9107F" w:rsidRPr="008757C5" w:rsidRDefault="001666A4" w:rsidP="008757C5">
      <w:r w:rsidRPr="008757C5">
        <w:rPr>
          <w:rFonts w:eastAsiaTheme="minorEastAsia"/>
        </w:rPr>
        <w:t>Legeforeningens retningslinjer for fastsettelse av pris ved overdragelse tilsier at det skal skilles mellom materielle verdier</w:t>
      </w:r>
      <w:r w:rsidR="001A4B3B" w:rsidRPr="008757C5">
        <w:rPr>
          <w:rFonts w:eastAsiaTheme="minorEastAsia"/>
        </w:rPr>
        <w:t>,</w:t>
      </w:r>
      <w:r w:rsidRPr="008757C5">
        <w:rPr>
          <w:rFonts w:eastAsiaTheme="minorEastAsia"/>
        </w:rPr>
        <w:t xml:space="preserve"> som inventar og utstyr, og såkalt verdi av opparbeidet praksis (tidligere kalt goodwill). </w:t>
      </w:r>
      <w:r w:rsidRPr="008757C5">
        <w:t>Materielle verdier blir normalt taksert, mens det er vanskeligere å tallfeste verdien av opparbeidet praksis. Verdien av opparbeidet praksis er en immateriell verdi</w:t>
      </w:r>
      <w:r w:rsidR="001A4B3B" w:rsidRPr="008757C5">
        <w:t xml:space="preserve">, </w:t>
      </w:r>
      <w:r w:rsidRPr="008757C5">
        <w:t>som er ment å ivareta det arbeidet som ligger i å bygge opp</w:t>
      </w:r>
      <w:r w:rsidR="00951D96" w:rsidRPr="008757C5">
        <w:t>, vedlikeholde og utvikle</w:t>
      </w:r>
      <w:r w:rsidRPr="008757C5">
        <w:t xml:space="preserve"> en legepraksis. Prissettingen er skjønnsmessig, og det er ikke angitt hvordan de ulike elementene som inngår</w:t>
      </w:r>
      <w:r w:rsidR="003C3EB1" w:rsidRPr="008757C5">
        <w:t>,</w:t>
      </w:r>
      <w:r w:rsidRPr="008757C5">
        <w:t xml:space="preserve"> skal vektes i forhold til hverandre.</w:t>
      </w:r>
    </w:p>
    <w:p w14:paraId="64ED4A2D" w14:textId="789B5DE7" w:rsidR="00D9107F" w:rsidRPr="008757C5" w:rsidRDefault="001666A4" w:rsidP="008757C5">
      <w:pPr>
        <w:rPr>
          <w:rFonts w:eastAsiaTheme="minorEastAsia"/>
        </w:rPr>
      </w:pPr>
      <w:r w:rsidRPr="008757C5">
        <w:rPr>
          <w:rFonts w:eastAsiaTheme="minorEastAsia"/>
        </w:rPr>
        <w:t>Elementer som i retningslinjene skal inngå i beregningen av opparbeidet praksis</w:t>
      </w:r>
      <w:r w:rsidR="007355BB" w:rsidRPr="008757C5">
        <w:rPr>
          <w:rFonts w:eastAsiaTheme="minorEastAsia"/>
        </w:rPr>
        <w:t>,</w:t>
      </w:r>
      <w:r w:rsidRPr="008757C5">
        <w:rPr>
          <w:rFonts w:eastAsiaTheme="minorEastAsia"/>
        </w:rPr>
        <w:t xml:space="preserve"> er legens kontinuitet i praksisen, om praksisen er en gruppe- eller solopraksis, kontorrutiner, opplært personell, beliggenhet, driftsresultat, stabilitet og vekst i pasientgrunnlag, samarbeidsavtaler og systemer </w:t>
      </w:r>
      <w:r w:rsidR="00E94EA5" w:rsidRPr="008757C5">
        <w:rPr>
          <w:rFonts w:eastAsiaTheme="minorEastAsia"/>
        </w:rPr>
        <w:fldChar w:fldCharType="begin"/>
      </w:r>
      <w:r w:rsidR="00A27571" w:rsidRPr="008757C5">
        <w:rPr>
          <w:rFonts w:eastAsiaTheme="minorEastAsia"/>
        </w:rPr>
        <w:instrText xml:space="preserve"> ADDIN EN.CITE &lt;EndNote&gt;&lt;Cite&gt;&lt;Author&gt;Den Norske Legeforening&lt;/Author&gt;&lt;Year&gt;2018&lt;/Year&gt;&lt;RecNum&gt;169&lt;/RecNum&gt;&lt;DisplayText&gt;(Den Norske Legeforening, 2018a)&lt;/DisplayText&gt;&lt;record&gt;&lt;rec-number&gt;169&lt;/rec-number&gt;&lt;foreign-keys&gt;&lt;key app="EN" db-id="95tpr2tp6r9xwoea9rb5wdsz5ds5xeddteew" timestamp="1680069511"&gt;169&lt;/key&gt;&lt;/foreign-keys&gt;&lt;ref-type name="Web Page"&gt;12&lt;/ref-type&gt;&lt;contributors&gt;&lt;authors&gt;&lt;author&gt;Den Norske Legeforening,&lt;/author&gt;&lt;/authors&gt;&lt;/contributors&gt;&lt;titles&gt;&lt;title&gt;Dreiebok for overdragelse av spesialistpraksis: fremgangsmåte ved salg av spesialistpraksis&lt;/title&gt;&lt;/titles&gt;&lt;number&gt;30. januar 2023&lt;/number&gt;&lt;dates&gt;&lt;year&gt;2018&lt;/year&gt;&lt;/dates&gt;&lt;publisher&gt;Den norske legeforening, &lt;/publisher&gt;&lt;work-type&gt;nettdokument&lt;/work-type&gt;&lt;urls&gt;&lt;/urls&gt;&lt;/record&gt;&lt;/Cite&gt;&lt;/EndNote&gt;</w:instrText>
      </w:r>
      <w:r w:rsidR="00E94EA5" w:rsidRPr="008757C5">
        <w:rPr>
          <w:rFonts w:eastAsiaTheme="minorEastAsia"/>
        </w:rPr>
        <w:fldChar w:fldCharType="separate"/>
      </w:r>
      <w:r w:rsidR="00A841AD" w:rsidRPr="008757C5">
        <w:rPr>
          <w:rFonts w:eastAsiaTheme="minorEastAsia"/>
        </w:rPr>
        <w:t>(Den Norske Legeforening, 2018a)</w:t>
      </w:r>
      <w:r w:rsidR="00E94EA5" w:rsidRPr="008757C5">
        <w:rPr>
          <w:rFonts w:eastAsiaTheme="minorEastAsia"/>
        </w:rPr>
        <w:fldChar w:fldCharType="end"/>
      </w:r>
      <w:r w:rsidRPr="008757C5">
        <w:rPr>
          <w:rFonts w:eastAsiaTheme="minorEastAsia"/>
        </w:rPr>
        <w:t xml:space="preserve">. </w:t>
      </w:r>
      <w:r w:rsidRPr="008757C5">
        <w:t xml:space="preserve">Dette er verdier kjøper overtar, og som </w:t>
      </w:r>
      <w:r w:rsidRPr="008757C5">
        <w:rPr>
          <w:rFonts w:eastAsiaTheme="minorEastAsia"/>
        </w:rPr>
        <w:t>det kan være vanskelig for kjøper å få et fullstendig inntrykk av</w:t>
      </w:r>
      <w:r w:rsidR="001A4B3B" w:rsidRPr="008757C5">
        <w:rPr>
          <w:rFonts w:eastAsiaTheme="minorEastAsia"/>
        </w:rPr>
        <w:t>,</w:t>
      </w:r>
      <w:r w:rsidRPr="008757C5">
        <w:rPr>
          <w:rFonts w:eastAsiaTheme="minorEastAsia"/>
        </w:rPr>
        <w:t xml:space="preserve"> med mindre kjøper har jobbet som vikar i praksisen tidligere</w:t>
      </w:r>
      <w:r w:rsidRPr="008757C5">
        <w:t xml:space="preserve">. </w:t>
      </w:r>
      <w:r w:rsidRPr="008757C5">
        <w:rPr>
          <w:rFonts w:eastAsiaTheme="minorEastAsia"/>
        </w:rPr>
        <w:t>Enkelte av elementene som inngår i beregningen av opparbeidet praksis</w:t>
      </w:r>
      <w:r w:rsidR="00BA5754" w:rsidRPr="008757C5">
        <w:rPr>
          <w:rFonts w:eastAsiaTheme="minorEastAsia"/>
        </w:rPr>
        <w:t>,</w:t>
      </w:r>
      <w:r w:rsidRPr="008757C5">
        <w:rPr>
          <w:rFonts w:eastAsiaTheme="minorEastAsia"/>
        </w:rPr>
        <w:t xml:space="preserve"> </w:t>
      </w:r>
      <w:r w:rsidRPr="008757C5">
        <w:t>fr</w:t>
      </w:r>
      <w:r w:rsidR="001A4B3B" w:rsidRPr="008757C5">
        <w:t>a</w:t>
      </w:r>
      <w:r w:rsidRPr="008757C5">
        <w:t>mkommer</w:t>
      </w:r>
      <w:r w:rsidRPr="008757C5">
        <w:rPr>
          <w:rFonts w:eastAsiaTheme="minorEastAsia"/>
        </w:rPr>
        <w:t xml:space="preserve"> i lov- og forskriftskrav som alle fastleger må overholde, herunder krav til forsvarlighet, krav til ledelse og kvalitetsforbedring (internkontroll), systematisk arbeid med kvalitetsforbedring og pasient- og brukersikkerhet mv.</w:t>
      </w:r>
      <w:r w:rsidR="4AEEA1D6" w:rsidRPr="008757C5">
        <w:rPr>
          <w:rFonts w:eastAsiaTheme="minorEastAsia"/>
        </w:rPr>
        <w:t xml:space="preserve"> </w:t>
      </w:r>
      <w:r w:rsidR="0B63303F" w:rsidRPr="008757C5">
        <w:rPr>
          <w:rFonts w:eastAsiaTheme="minorEastAsia"/>
        </w:rPr>
        <w:t>Helsepersonelloven</w:t>
      </w:r>
      <w:r w:rsidRPr="008757C5">
        <w:rPr>
          <w:rFonts w:eastAsiaTheme="minorEastAsia"/>
        </w:rPr>
        <w:t>, pasientjournalloven og pasientjournalforskriften stiller også krav til føring av pasientjournal og krav om at pasientjournalen skal føres elektronisk</w:t>
      </w:r>
      <w:r w:rsidR="19504D59" w:rsidRPr="008757C5">
        <w:rPr>
          <w:rFonts w:eastAsiaTheme="minorEastAsia"/>
        </w:rPr>
        <w:t xml:space="preserve"> </w:t>
      </w:r>
      <w:r w:rsidR="00BA433C" w:rsidRPr="008757C5">
        <w:rPr>
          <w:rFonts w:eastAsiaTheme="minorEastAsia"/>
        </w:rPr>
        <w:fldChar w:fldCharType="begin"/>
      </w:r>
      <w:r w:rsidR="00D078E3" w:rsidRPr="008757C5">
        <w:rPr>
          <w:rFonts w:eastAsiaTheme="minorEastAsia"/>
        </w:rPr>
        <w:instrText xml:space="preserve"> ADDIN EN.CITE &lt;EndNote&gt;&lt;Cite ExcludeAuth="1"&gt;&lt;Year&gt;2014&lt;/Year&gt;&lt;RecNum&gt;461&lt;/RecNum&gt;&lt;DisplayText&gt;(&lt;style face="italic"&gt;Forskrift om pasientjournal (pasientjournalforskriften)&lt;/style&gt;, 2019; &lt;style face="italic"&gt;Lov om behandling av helseopplysninger ved ytelse av helsehjelp (pasientjournalloven)&lt;/style&gt;, 2014)&lt;/DisplayText&gt;&lt;record&gt;&lt;rec-number&gt;461&lt;/rec-number&gt;&lt;foreign-keys&gt;&lt;key app="EN" db-id="95tpr2tp6r9xwoea9rb5wdsz5ds5xeddteew" timestamp="1680069511"&gt;461&lt;/key&gt;&lt;/foreign-keys&gt;&lt;ref-type name="Legal Rule or Regulation"&gt;50&lt;/ref-type&gt;&lt;contributors&gt;&lt;/contributors&gt;&lt;titles&gt;&lt;title&gt;Lov om behandling av helseopplysninger ved ytelse av helsehjelp (pasientjournalloven)&lt;/title&gt;&lt;secondary-title&gt;LOV-2014-06-20-42&lt;/secondary-title&gt;&lt;/titles&gt;&lt;edition&gt;LOV-2022-06-17-51 &lt;/edition&gt;&lt;dates&gt;&lt;year&gt;2014&lt;/year&gt;&lt;/dates&gt;&lt;publisher&gt;Helse- og omsorgsdepartementet&lt;/publisher&gt;&lt;urls&gt;&lt;related-urls&gt;&lt;url&gt;https://lovdata.no/dokument/NL/lov/2014-06-20-42&lt;/url&gt;&lt;/related-urls&gt;&lt;/urls&gt;&lt;/record&gt;&lt;/Cite&gt;&lt;Cite&gt;&lt;Year&gt;2019&lt;/Year&gt;&lt;RecNum&gt;264&lt;/RecNum&gt;&lt;record&gt;&lt;rec-number&gt;264&lt;/rec-number&gt;&lt;foreign-keys&gt;&lt;key app="EN" db-id="95tpr2tp6r9xwoea9rb5wdsz5ds5xeddteew" timestamp="1680069511"&gt;264&lt;/key&gt;&lt;/foreign-keys&gt;&lt;ref-type name="Legal Rule or Regulation"&gt;50&lt;/ref-type&gt;&lt;contributors&gt;&lt;/contributors&gt;&lt;titles&gt;&lt;title&gt;Forskrift om pasientjournal (pasientjournalforskriften)&lt;/title&gt;&lt;secondary-title&gt;FOR-2019-03-01-168&lt;/secondary-title&gt;&lt;/titles&gt;&lt;edition&gt;FOR-2021-10-08-2958&lt;/edition&gt;&lt;dates&gt;&lt;year&gt;2019&lt;/year&gt;&lt;/dates&gt;&lt;publisher&gt;Helse- og omsorgsdepartementet&lt;/publisher&gt;&lt;urls&gt;&lt;/urls&gt;&lt;/record&gt;&lt;/Cite&gt;&lt;/EndNote&gt;</w:instrText>
      </w:r>
      <w:r w:rsidR="00BA433C" w:rsidRPr="008757C5">
        <w:rPr>
          <w:rFonts w:eastAsiaTheme="minorEastAsia"/>
        </w:rPr>
        <w:fldChar w:fldCharType="separate"/>
      </w:r>
      <w:r w:rsidR="00D078E3" w:rsidRPr="008757C5">
        <w:rPr>
          <w:rFonts w:eastAsiaTheme="minorEastAsia"/>
        </w:rPr>
        <w:t>(Forskrift om pasientjournal (pasientjournalforskriften), 2019; Lov om behandling av helseopplysninger ved ytelse av helsehjelp (pasientjournalloven), 2014)</w:t>
      </w:r>
      <w:r w:rsidR="00BA433C" w:rsidRPr="008757C5">
        <w:rPr>
          <w:rFonts w:eastAsiaTheme="minorEastAsia"/>
        </w:rPr>
        <w:fldChar w:fldCharType="end"/>
      </w:r>
      <w:r w:rsidR="5C9B01ED" w:rsidRPr="008757C5">
        <w:rPr>
          <w:rFonts w:eastAsiaTheme="minorEastAsia"/>
        </w:rPr>
        <w:t xml:space="preserve"> </w:t>
      </w:r>
      <w:r w:rsidR="24D47298" w:rsidRPr="008757C5">
        <w:rPr>
          <w:rFonts w:eastAsiaTheme="minorEastAsia"/>
        </w:rPr>
        <w:t>.</w:t>
      </w:r>
      <w:r w:rsidR="00D9107F" w:rsidRPr="008757C5">
        <w:t xml:space="preserve"> </w:t>
      </w:r>
      <w:r w:rsidRPr="008757C5">
        <w:t xml:space="preserve">Det kan likevel være store forskjeller i kvaliteten på for eksempel journalføring og drift av to legepraksiser som begge oppfyller alle krav i lov og forskrift. </w:t>
      </w:r>
      <w:r w:rsidRPr="008757C5">
        <w:rPr>
          <w:rFonts w:eastAsiaTheme="minorEastAsia"/>
        </w:rPr>
        <w:t>Fra et markedsperspektiv er derfor en velfungerende praksis et mer attraktivt kjøp enn en praksis som så vidt oppfyller myndighetskrav.</w:t>
      </w:r>
    </w:p>
    <w:p w14:paraId="7FBB9DB3" w14:textId="77777777" w:rsidR="00D9107F" w:rsidRPr="008757C5" w:rsidRDefault="001666A4" w:rsidP="008757C5">
      <w:pPr>
        <w:rPr>
          <w:rFonts w:eastAsiaTheme="minorEastAsia"/>
        </w:rPr>
      </w:pPr>
      <w:r w:rsidRPr="008757C5">
        <w:rPr>
          <w:rFonts w:eastAsiaTheme="minorEastAsia"/>
        </w:rPr>
        <w:lastRenderedPageBreak/>
        <w:t xml:space="preserve">Det brukes skjønn når kjøper, selger og nemnda beregner verdien av opparbeidet praksis. Det finnes ikke </w:t>
      </w:r>
      <w:r w:rsidRPr="008757C5">
        <w:t xml:space="preserve">veldokumentert og representativ </w:t>
      </w:r>
      <w:r w:rsidRPr="008757C5">
        <w:rPr>
          <w:rFonts w:eastAsiaTheme="minorEastAsia"/>
        </w:rPr>
        <w:t>kunnskap om hva fastlegepraksiser i Norge omsettes for. Legeforeningen publiserer oversikt over prisen på overdragelser som meldes dem</w:t>
      </w:r>
      <w:r w:rsidR="000A35BB" w:rsidRPr="008757C5">
        <w:rPr>
          <w:rFonts w:eastAsiaTheme="minorEastAsia"/>
        </w:rPr>
        <w:t xml:space="preserve"> </w:t>
      </w:r>
      <w:r w:rsidR="00D078E3" w:rsidRPr="008757C5">
        <w:rPr>
          <w:rFonts w:eastAsiaTheme="minorEastAsia"/>
        </w:rPr>
        <w:fldChar w:fldCharType="begin"/>
      </w:r>
      <w:r w:rsidR="00A27571" w:rsidRPr="008757C5">
        <w:rPr>
          <w:rFonts w:eastAsiaTheme="minorEastAsia"/>
        </w:rPr>
        <w:instrText xml:space="preserve"> ADDIN EN.CITE &lt;EndNote&gt;&lt;Cite&gt;&lt;Author&gt;Den Norske Legeforening&lt;/Author&gt;&lt;Year&gt;2002&lt;/Year&gt;&lt;RecNum&gt;583&lt;/RecNum&gt;&lt;DisplayText&gt;(Den Norske Legeforening, 2002)&lt;/DisplayText&gt;&lt;record&gt;&lt;rec-number&gt;583&lt;/rec-number&gt;&lt;foreign-keys&gt;&lt;key app="EN" db-id="95tpr2tp6r9xwoea9rb5wdsz5ds5xeddteew" timestamp="1680069511"&gt;583&lt;/key&gt;&lt;/foreign-keys&gt;&lt;ref-type name="Web Page"&gt;12&lt;/ref-type&gt;&lt;contributors&gt;&lt;authors&gt;&lt;author&gt;Den Norske Legeforening,&lt;/author&gt;&lt;/authors&gt;&lt;/contributors&gt;&lt;titles&gt;&lt;title&gt;Omsetningsmelding - salg av praksis&lt;/title&gt;&lt;/titles&gt;&lt;number&gt;16.01.2023&lt;/number&gt;&lt;dates&gt;&lt;year&gt;2002&lt;/year&gt;&lt;pub-dates&gt;&lt;date&gt;01.09.2022&lt;/date&gt;&lt;/pub-dates&gt;&lt;/dates&gt;&lt;pub-location&gt;Oslo&lt;/pub-location&gt;&lt;publisher&gt;Legeforeningen&lt;/publisher&gt;&lt;work-type&gt;nettdokument&lt;/work-type&gt;&lt;urls&gt;&lt;/urls&gt;&lt;/record&gt;&lt;/Cite&gt;&lt;/EndNote&gt;</w:instrText>
      </w:r>
      <w:r w:rsidR="00D078E3" w:rsidRPr="008757C5">
        <w:rPr>
          <w:rFonts w:eastAsiaTheme="minorEastAsia"/>
        </w:rPr>
        <w:fldChar w:fldCharType="separate"/>
      </w:r>
      <w:r w:rsidR="00D078E3" w:rsidRPr="008757C5">
        <w:rPr>
          <w:rFonts w:eastAsiaTheme="minorEastAsia"/>
        </w:rPr>
        <w:t>(Den Norske Legeforening, 2002)</w:t>
      </w:r>
      <w:r w:rsidR="00D078E3" w:rsidRPr="008757C5">
        <w:rPr>
          <w:rFonts w:eastAsiaTheme="minorEastAsia"/>
        </w:rPr>
        <w:fldChar w:fldCharType="end"/>
      </w:r>
      <w:r w:rsidR="000A35BB" w:rsidRPr="008757C5">
        <w:rPr>
          <w:rFonts w:eastAsiaTheme="minorEastAsia"/>
        </w:rPr>
        <w:t>,</w:t>
      </w:r>
      <w:r w:rsidRPr="008757C5">
        <w:rPr>
          <w:rFonts w:eastAsiaTheme="minorEastAsia"/>
        </w:rPr>
        <w:t xml:space="preserve"> </w:t>
      </w:r>
      <w:r w:rsidRPr="008757C5">
        <w:t xml:space="preserve">når to leger har inngått en avtale, </w:t>
      </w:r>
      <w:r w:rsidR="39685DCD" w:rsidRPr="008757C5">
        <w:t>men</w:t>
      </w:r>
      <w:r w:rsidRPr="008757C5">
        <w:rPr>
          <w:rFonts w:eastAsiaTheme="minorEastAsia"/>
        </w:rPr>
        <w:t xml:space="preserve"> det er på langt nær alle overdragels</w:t>
      </w:r>
      <w:r w:rsidR="6B4ACAF2" w:rsidRPr="008757C5">
        <w:rPr>
          <w:rFonts w:eastAsiaTheme="minorEastAsia"/>
        </w:rPr>
        <w:t>priser</w:t>
      </w:r>
      <w:r w:rsidRPr="008757C5">
        <w:rPr>
          <w:rFonts w:eastAsiaTheme="minorEastAsia"/>
        </w:rPr>
        <w:t xml:space="preserve"> som legges ut. Legeforeningen legger også ut de aller fleste</w:t>
      </w:r>
      <w:r w:rsidR="007626F5" w:rsidRPr="008757C5">
        <w:rPr>
          <w:rFonts w:eastAsiaTheme="minorEastAsia"/>
        </w:rPr>
        <w:t xml:space="preserve"> av </w:t>
      </w:r>
      <w:r w:rsidRPr="008757C5">
        <w:rPr>
          <w:rFonts w:eastAsiaTheme="minorEastAsia"/>
        </w:rPr>
        <w:t>nemndas beslutninger</w:t>
      </w:r>
      <w:r w:rsidR="000A35BB" w:rsidRPr="008757C5">
        <w:rPr>
          <w:rFonts w:eastAsiaTheme="minorEastAsia"/>
        </w:rPr>
        <w:t xml:space="preserve"> </w:t>
      </w:r>
      <w:r w:rsidR="00D078E3" w:rsidRPr="008757C5">
        <w:rPr>
          <w:rFonts w:eastAsiaTheme="minorEastAsia"/>
        </w:rPr>
        <w:fldChar w:fldCharType="begin"/>
      </w:r>
      <w:r w:rsidR="00D078E3" w:rsidRPr="008757C5">
        <w:rPr>
          <w:rFonts w:eastAsiaTheme="minorEastAsia"/>
        </w:rPr>
        <w:instrText xml:space="preserve"> ADDIN EN.CITE &lt;EndNote&gt;&lt;Cite ExcludeYear="1"&gt;&lt;Author&gt;Den Norske Legeforening&lt;/Author&gt;&lt;RecNum&gt;954&lt;/RecNum&gt;&lt;DisplayText&gt;(Den Norske Legeforening)&lt;/DisplayText&gt;&lt;record&gt;&lt;rec-number&gt;954&lt;/rec-number&gt;&lt;foreign-keys&gt;&lt;key app="EN" db-id="95tpr2tp6r9xwoea9rb5wdsz5ds5xeddteew" timestamp="1680222956"&gt;954&lt;/key&gt;&lt;/foreign-keys&gt;&lt;ref-type name="Web Page"&gt;12&lt;/ref-type&gt;&lt;contributors&gt;&lt;authors&gt;&lt;author&gt;Den Norske Legeforening,&lt;/author&gt;&lt;/authors&gt;&lt;/contributors&gt;&lt;titles&gt;&lt;title&gt;Nasjonal nemd FLO/allmennpraksis&lt;/title&gt;&lt;/titles&gt;&lt;dates&gt;&lt;/dates&gt;&lt;urls&gt;&lt;related-urls&gt;&lt;url&gt;https://www.legeforeningen.no/jus-og-arbeidsliv/drift-av-legekontor/kjop-og-salg-av-praksis/nemndsavgjorelser/nasjonal-nemnd-fra-01.11.2006-floallmennpraksis/&lt;/url&gt;&lt;/related-urls&gt;&lt;/urls&gt;&lt;/record&gt;&lt;/Cite&gt;&lt;/EndNote&gt;</w:instrText>
      </w:r>
      <w:r w:rsidR="00D078E3" w:rsidRPr="008757C5">
        <w:rPr>
          <w:rFonts w:eastAsiaTheme="minorEastAsia"/>
        </w:rPr>
        <w:fldChar w:fldCharType="separate"/>
      </w:r>
      <w:r w:rsidR="00D078E3" w:rsidRPr="008757C5">
        <w:rPr>
          <w:rFonts w:eastAsiaTheme="minorEastAsia"/>
        </w:rPr>
        <w:t>(Den Norske Legeforening)</w:t>
      </w:r>
      <w:r w:rsidR="00D078E3" w:rsidRPr="008757C5">
        <w:rPr>
          <w:rFonts w:eastAsiaTheme="minorEastAsia"/>
        </w:rPr>
        <w:fldChar w:fldCharType="end"/>
      </w:r>
      <w:r w:rsidRPr="008757C5">
        <w:rPr>
          <w:rFonts w:eastAsiaTheme="minorEastAsia"/>
        </w:rPr>
        <w:t>.</w:t>
      </w:r>
      <w:r w:rsidRPr="008757C5">
        <w:t xml:space="preserve"> I nemndas beslutninger fr</w:t>
      </w:r>
      <w:r w:rsidR="001A4B3B" w:rsidRPr="008757C5">
        <w:t>a</w:t>
      </w:r>
      <w:r w:rsidRPr="008757C5">
        <w:t xml:space="preserve">mkommer verdsettingen av opparbeidet praksis separat. Med utgangspunkt i disse oversiktene spenner prisene fra noen hundre tusen til oppunder </w:t>
      </w:r>
      <w:r w:rsidR="00947E8B" w:rsidRPr="008757C5">
        <w:t xml:space="preserve">to </w:t>
      </w:r>
      <w:r w:rsidRPr="008757C5">
        <w:t>millioner kroner, og verdien av opparbeidet praksis fastsettes normalt til langt mer enn de materielle verdiene.</w:t>
      </w:r>
    </w:p>
    <w:p w14:paraId="3544ABC3" w14:textId="77777777" w:rsidR="00D9107F" w:rsidRDefault="469B5BFD" w:rsidP="00775632">
      <w:pPr>
        <w:pStyle w:val="Overskrift3"/>
        <w:rPr>
          <w:shd w:val="clear" w:color="auto" w:fill="FFFFFF"/>
        </w:rPr>
      </w:pPr>
      <w:bookmarkStart w:id="1983" w:name="_Toc122655264"/>
      <w:bookmarkStart w:id="1984" w:name="_Toc126834341"/>
      <w:bookmarkStart w:id="1985" w:name="_Toc127633215"/>
      <w:bookmarkStart w:id="1986" w:name="_Toc127864500"/>
      <w:bookmarkStart w:id="1987" w:name="_Toc128238508"/>
      <w:bookmarkStart w:id="1988" w:name="_Toc128741987"/>
      <w:bookmarkStart w:id="1989" w:name="_Toc128744582"/>
      <w:bookmarkStart w:id="1990" w:name="_Toc128744801"/>
      <w:bookmarkStart w:id="1991" w:name="_Toc129630303"/>
      <w:bookmarkStart w:id="1992" w:name="_Toc130763811"/>
      <w:bookmarkStart w:id="1993" w:name="_Toc130766706"/>
      <w:bookmarkStart w:id="1994" w:name="_Toc130932106"/>
      <w:bookmarkStart w:id="1995" w:name="_Toc130934397"/>
      <w:bookmarkStart w:id="1996" w:name="_Toc130983469"/>
      <w:bookmarkStart w:id="1997" w:name="_Toc130983818"/>
      <w:bookmarkStart w:id="1998" w:name="_Toc131062140"/>
      <w:bookmarkStart w:id="1999" w:name="_Toc131062394"/>
      <w:bookmarkStart w:id="2000" w:name="_Toc131062655"/>
      <w:bookmarkStart w:id="2001" w:name="_Toc131062908"/>
      <w:bookmarkStart w:id="2002" w:name="_Toc131063676"/>
      <w:bookmarkStart w:id="2003" w:name="_Toc131064101"/>
      <w:bookmarkStart w:id="2004" w:name="_Toc131238395"/>
      <w:bookmarkStart w:id="2005" w:name="_Toc131279426"/>
      <w:bookmarkStart w:id="2006" w:name="_Toc131286838"/>
      <w:bookmarkStart w:id="2007" w:name="_Toc131281248"/>
      <w:bookmarkStart w:id="2008" w:name="_Toc131317787"/>
      <w:bookmarkStart w:id="2009" w:name="_Toc132536972"/>
      <w:r w:rsidRPr="00625607">
        <w:rPr>
          <w:shd w:val="clear" w:color="auto" w:fill="FFFFFF"/>
        </w:rPr>
        <w:t xml:space="preserve">Utfordringer med </w:t>
      </w:r>
      <w:r w:rsidRPr="00BF4793">
        <w:t>dagens</w:t>
      </w:r>
      <w:r w:rsidRPr="00625607">
        <w:rPr>
          <w:shd w:val="clear" w:color="auto" w:fill="FFFFFF"/>
        </w:rPr>
        <w:t xml:space="preserve"> regler og praktiseringen av dem</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2D70666C" w14:textId="4914927D" w:rsidR="00F95C98" w:rsidRPr="00736F57" w:rsidRDefault="00A0382D" w:rsidP="00775632">
      <w:pPr>
        <w:pStyle w:val="Overskrift4"/>
      </w:pPr>
      <w:bookmarkStart w:id="2010" w:name="_Toc131238396"/>
      <w:bookmarkStart w:id="2011" w:name="_Toc131279427"/>
      <w:bookmarkStart w:id="2012" w:name="_Toc131286839"/>
      <w:bookmarkStart w:id="2013" w:name="_Toc131281249"/>
      <w:bookmarkStart w:id="2014" w:name="_Toc131317788"/>
      <w:r>
        <w:rPr>
          <w:shd w:val="clear" w:color="auto" w:fill="FFFFFF"/>
        </w:rPr>
        <w:t xml:space="preserve">Konsekvenser av </w:t>
      </w:r>
      <w:r w:rsidR="000456F6">
        <w:rPr>
          <w:shd w:val="clear" w:color="auto" w:fill="FFFFFF"/>
        </w:rPr>
        <w:t xml:space="preserve">verdsetting av </w:t>
      </w:r>
      <w:r>
        <w:rPr>
          <w:shd w:val="clear" w:color="auto" w:fill="FFFFFF"/>
        </w:rPr>
        <w:t>opparbeidet praksis</w:t>
      </w:r>
      <w:bookmarkEnd w:id="2010"/>
      <w:bookmarkEnd w:id="2011"/>
      <w:bookmarkEnd w:id="2012"/>
      <w:bookmarkEnd w:id="2013"/>
      <w:bookmarkEnd w:id="2014"/>
    </w:p>
    <w:p w14:paraId="0E738EA0" w14:textId="77777777" w:rsidR="00D9107F" w:rsidRDefault="00736F57" w:rsidP="008757C5">
      <w:r w:rsidRPr="00736F57">
        <w:t>Verd</w:t>
      </w:r>
      <w:r w:rsidR="000456F6">
        <w:t>setting</w:t>
      </w:r>
      <w:r w:rsidRPr="00736F57">
        <w:t xml:space="preserve"> av opparbeidet praksis </w:t>
      </w:r>
      <w:r w:rsidR="000456F6">
        <w:t>innebærer</w:t>
      </w:r>
      <w:r w:rsidRPr="00736F57">
        <w:t xml:space="preserve"> at fastlegen</w:t>
      </w:r>
      <w:r w:rsidRPr="00736F57" w:rsidDel="000456F6">
        <w:t xml:space="preserve"> </w:t>
      </w:r>
      <w:r w:rsidRPr="00736F57">
        <w:t xml:space="preserve">belønnes for å drive praksisen godt, noe som særlig er viktig når en fastlege vurderer å fratre. Dersom fratredende fastlege ikke skulle få betaling for </w:t>
      </w:r>
      <w:r w:rsidR="000456F6">
        <w:t xml:space="preserve">innsats og </w:t>
      </w:r>
      <w:r w:rsidRPr="00736F57">
        <w:t>investeringer som gjøres i legepraksisen, kan samfunnet risikere at fastleger ikke lenger vil være like interessert i å bygge opp og vedlikeholde en legepraksis av god kvalitet. Det kan videre lede til underinvestering, og i verste fall en uforsvarlig fastlegetjeneste.</w:t>
      </w:r>
    </w:p>
    <w:p w14:paraId="475D3AF4" w14:textId="0821A996" w:rsidR="00736F57" w:rsidRPr="00736F57" w:rsidRDefault="00736F57" w:rsidP="008757C5">
      <w:r w:rsidRPr="00736F57">
        <w:t>Uheldige insentiver, særlig mot slutten av en avtaleperiode, er et velkjent problem i mange andre sammenhenger, for eksempel når husleiekontrakter løper ut</w:t>
      </w:r>
      <w:r w:rsidR="000456F6">
        <w:t>,</w:t>
      </w:r>
      <w:r w:rsidRPr="00736F57">
        <w:t xml:space="preserve"> eller ved hjemfall av vannkraftverk</w:t>
      </w:r>
      <w:r w:rsidR="000456F6">
        <w:t>. D</w:t>
      </w:r>
      <w:r w:rsidRPr="00736F57">
        <w:t xml:space="preserve">et finnes omfattende teori og praksis </w:t>
      </w:r>
      <w:r w:rsidR="007C3356">
        <w:t xml:space="preserve">som peker på </w:t>
      </w:r>
      <w:r w:rsidRPr="00736F57">
        <w:t>manglende insentiver for vedlikehold mot slutten av avtaleforholdet</w:t>
      </w:r>
      <w:r w:rsidR="00E40073">
        <w:t xml:space="preserve"> </w:t>
      </w:r>
      <w:r w:rsidR="00D078E3">
        <w:fldChar w:fldCharType="begin"/>
      </w:r>
      <w:r w:rsidR="004654FD">
        <w:instrText xml:space="preserve"> ADDIN EN.CITE &lt;EndNote&gt;&lt;Cite&gt;&lt;Author&gt;Olje- og energideparmentet&lt;/Author&gt;&lt;Year&gt;2004&lt;/Year&gt;&lt;RecNum&gt;955&lt;/RecNum&gt;&lt;DisplayText&gt;(Olje- og energideparmentet, 2004)&lt;/DisplayText&gt;&lt;record&gt;&lt;rec-number&gt;955&lt;/rec-number&gt;&lt;foreign-keys&gt;&lt;key app="EN" db-id="95tpr2tp6r9xwoea9rb5wdsz5ds5xeddteew" timestamp="1680223024"&gt;955&lt;/key&gt;&lt;/foreign-keys&gt;&lt;ref-type name="Report"&gt;27&lt;/ref-type&gt;&lt;contributors&gt;&lt;authors&gt;&lt;author&gt;Olje- og energideparmentet,&lt;/author&gt;&lt;/authors&gt;&lt;tertiary-authors&gt;&lt;author&gt;Offentlig utredningsutvalg oppnevnt av Kongen i statsråd 4. april 2003, &lt;/author&gt;&lt;/tertiary-authors&gt;&lt;/contributors&gt;&lt;titles&gt;&lt;title&gt;Hjemfall&lt;/title&gt;&lt;/titles&gt;&lt;number&gt;NOU 2004:26&lt;/number&gt;&lt;dates&gt;&lt;year&gt;2004&lt;/year&gt;&lt;/dates&gt;&lt;urls&gt;&lt;/urls&gt;&lt;/record&gt;&lt;/Cite&gt;&lt;/EndNote&gt;</w:instrText>
      </w:r>
      <w:r w:rsidR="00D078E3">
        <w:fldChar w:fldCharType="separate"/>
      </w:r>
      <w:r w:rsidR="00CE2F35">
        <w:rPr>
          <w:noProof/>
        </w:rPr>
        <w:t>(Olje- og energideparmentet, 2004)</w:t>
      </w:r>
      <w:r w:rsidR="00D078E3">
        <w:fldChar w:fldCharType="end"/>
      </w:r>
      <w:r w:rsidRPr="00736F57">
        <w:t>.</w:t>
      </w:r>
    </w:p>
    <w:p w14:paraId="5EAB846C" w14:textId="0485FEDC" w:rsidR="00736F57" w:rsidRDefault="00736F57" w:rsidP="008757C5">
      <w:r w:rsidRPr="00736F57">
        <w:t>På den annen side vil en vektlegging av fratredende fastleges innretning på, og investeringer i, praksisen ikke nødvendigvis reflektere den innretningen som en ny generasjon fastleger ønsker. Endringer av måten praksiser drives på i Norge</w:t>
      </w:r>
      <w:r w:rsidR="000456F6">
        <w:t>,</w:t>
      </w:r>
      <w:r w:rsidRPr="00736F57">
        <w:t xml:space="preserve"> i en retning som yngre leger nå ønsker, vil hemmes dersom verdsettingen ved en praksisoverdragelse legger stor vekt på investeringer, i henhold til fratredende leges preferanser.</w:t>
      </w:r>
    </w:p>
    <w:p w14:paraId="119CFD88" w14:textId="2699909C" w:rsidR="008935C7" w:rsidRDefault="7730018D" w:rsidP="00775632">
      <w:pPr>
        <w:pStyle w:val="Overskrift4"/>
        <w:rPr>
          <w:shd w:val="clear" w:color="auto" w:fill="FFFFFF"/>
        </w:rPr>
      </w:pPr>
      <w:bookmarkStart w:id="2015" w:name="_Toc122655265"/>
      <w:bookmarkStart w:id="2016" w:name="_Toc130983470"/>
      <w:bookmarkStart w:id="2017" w:name="_Toc130983819"/>
      <w:bookmarkStart w:id="2018" w:name="_Toc131062141"/>
      <w:bookmarkStart w:id="2019" w:name="_Toc131062395"/>
      <w:bookmarkStart w:id="2020" w:name="_Toc131062656"/>
      <w:bookmarkStart w:id="2021" w:name="_Toc131062909"/>
      <w:bookmarkStart w:id="2022" w:name="_Toc131063677"/>
      <w:bookmarkStart w:id="2023" w:name="_Toc131064102"/>
      <w:bookmarkStart w:id="2024" w:name="_Toc131238397"/>
      <w:bookmarkStart w:id="2025" w:name="_Toc131279428"/>
      <w:bookmarkStart w:id="2026" w:name="_Toc131286840"/>
      <w:bookmarkStart w:id="2027" w:name="_Toc131281250"/>
      <w:bookmarkStart w:id="2028" w:name="_Toc131317789"/>
      <w:r>
        <w:rPr>
          <w:shd w:val="clear" w:color="auto" w:fill="FFFFFF"/>
        </w:rPr>
        <w:t>Uavklart r</w:t>
      </w:r>
      <w:r w:rsidR="2063B9A8">
        <w:rPr>
          <w:shd w:val="clear" w:color="auto" w:fill="FFFFFF"/>
        </w:rPr>
        <w:t>ettstilstand</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758E8C1A" w14:textId="7C78DF34" w:rsidR="002A156C" w:rsidRDefault="0095059F" w:rsidP="008757C5">
      <w:r w:rsidRPr="00AC029D">
        <w:rPr>
          <w:shd w:val="clear" w:color="auto" w:fill="FFFFFF"/>
        </w:rPr>
        <w:t xml:space="preserve">Rammeavtalens bestemmelser om overdragelse av praksis i forbindelse med </w:t>
      </w:r>
      <w:r w:rsidRPr="008F5AD8">
        <w:t>tildeling av fastlegehjemler har</w:t>
      </w:r>
      <w:r w:rsidRPr="00AC029D">
        <w:rPr>
          <w:shd w:val="clear" w:color="auto" w:fill="FFFFFF"/>
        </w:rPr>
        <w:t xml:space="preserve"> flere uklarheter</w:t>
      </w:r>
      <w:r w:rsidR="0042536B" w:rsidRPr="00AC029D">
        <w:rPr>
          <w:shd w:val="clear" w:color="auto" w:fill="FFFFFF"/>
        </w:rPr>
        <w:t>,</w:t>
      </w:r>
      <w:r w:rsidRPr="00AC029D">
        <w:rPr>
          <w:shd w:val="clear" w:color="auto" w:fill="FFFFFF"/>
        </w:rPr>
        <w:t xml:space="preserve"> som gjør at det kan oppstå utfordrende situasjoner, spesielt ved rekrutteringssvikt til ordningen</w:t>
      </w:r>
      <w:r w:rsidR="000456F6">
        <w:rPr>
          <w:shd w:val="clear" w:color="auto" w:fill="FFFFFF"/>
        </w:rPr>
        <w:t>, der markedet ikke fungerer</w:t>
      </w:r>
      <w:r w:rsidRPr="00AC029D">
        <w:rPr>
          <w:shd w:val="clear" w:color="auto" w:fill="FFFFFF"/>
        </w:rPr>
        <w:t>.</w:t>
      </w:r>
    </w:p>
    <w:p w14:paraId="05280BF0" w14:textId="77777777" w:rsidR="00D9107F" w:rsidRPr="008757C5" w:rsidRDefault="0095059F" w:rsidP="008757C5">
      <w:r w:rsidRPr="008757C5">
        <w:t>Fastlegehjemmelen administreres og tildeles av kommunen</w:t>
      </w:r>
      <w:r w:rsidR="00E83C06" w:rsidRPr="008757C5">
        <w:t>,</w:t>
      </w:r>
      <w:r w:rsidRPr="008757C5">
        <w:t xml:space="preserve"> som et enkeltvedtak, men fratredende leges rett til å selge sin praksis innebærer i realiteten at kommunen ikke står fritt </w:t>
      </w:r>
      <w:r w:rsidR="00E83C06" w:rsidRPr="008757C5">
        <w:t>til</w:t>
      </w:r>
      <w:r w:rsidRPr="008757C5">
        <w:t xml:space="preserve"> å administrere og tildele fastlegehjemler. Bytte av hjemmelsinnehaver forutsetter </w:t>
      </w:r>
      <w:r w:rsidR="00E83C06" w:rsidRPr="008757C5">
        <w:t xml:space="preserve">i dag </w:t>
      </w:r>
      <w:r w:rsidRPr="008757C5">
        <w:t>at det oppnås privatrettslig enighet om overdragelsen av praksisen</w:t>
      </w:r>
      <w:r w:rsidR="0042536B" w:rsidRPr="008757C5">
        <w:t>,</w:t>
      </w:r>
      <w:r w:rsidRPr="008757C5">
        <w:t xml:space="preserve"> mellom fratredende og tiltredende lege.</w:t>
      </w:r>
    </w:p>
    <w:p w14:paraId="07605EC3" w14:textId="77777777" w:rsidR="00D9107F" w:rsidRPr="008757C5" w:rsidRDefault="0095059F" w:rsidP="008757C5">
      <w:pPr>
        <w:rPr>
          <w:rFonts w:eastAsiaTheme="minorEastAsia"/>
        </w:rPr>
      </w:pPr>
      <w:r w:rsidRPr="008757C5">
        <w:lastRenderedPageBreak/>
        <w:t>Kommunen kan også selv kjøpe praksisen til den prisen partene måtte bli enige om (ev</w:t>
      </w:r>
      <w:r w:rsidR="00E83C06" w:rsidRPr="008757C5">
        <w:t>entuelt</w:t>
      </w:r>
      <w:r w:rsidRPr="008757C5">
        <w:t xml:space="preserve"> gjennom bruk av </w:t>
      </w:r>
      <w:r w:rsidR="00E83C06" w:rsidRPr="008757C5">
        <w:t xml:space="preserve">Legeforeningens </w:t>
      </w:r>
      <w:r w:rsidRPr="008757C5">
        <w:t>nemnd), eller den kan benytte andre grep (jf. for eksempel pkt. 8.2 i rammeavtalen</w:t>
      </w:r>
      <w:r w:rsidR="0042536B" w:rsidRPr="008757C5">
        <w:t>,</w:t>
      </w:r>
      <w:r w:rsidRPr="008757C5">
        <w:t xml:space="preserve"> som gir kommunen mulighet til å inngå ulike avtaler med til</w:t>
      </w:r>
      <w:r w:rsidR="00E83C06" w:rsidRPr="008757C5">
        <w:t>t</w:t>
      </w:r>
      <w:r w:rsidRPr="008757C5">
        <w:t xml:space="preserve">redende lege) for å få fratredende og tiltredende lege til å inngå avtale om praksisoverdragelse. Hvis kommunen kjøper praksisen, kan den </w:t>
      </w:r>
      <w:r w:rsidRPr="008757C5">
        <w:rPr>
          <w:rFonts w:eastAsiaTheme="minorEastAsia"/>
        </w:rPr>
        <w:t>deretter lyse den ut som næringsdrivende hjemmel</w:t>
      </w:r>
      <w:r w:rsidR="0042536B" w:rsidRPr="008757C5">
        <w:rPr>
          <w:rFonts w:eastAsiaTheme="minorEastAsia"/>
        </w:rPr>
        <w:t>,</w:t>
      </w:r>
      <w:r w:rsidRPr="008757C5">
        <w:rPr>
          <w:rFonts w:eastAsiaTheme="minorEastAsia"/>
        </w:rPr>
        <w:t xml:space="preserve"> der legen overtar praksisen fra kommunen igjen, som fastlønnsstilling </w:t>
      </w:r>
      <w:r w:rsidRPr="008757C5">
        <w:t xml:space="preserve">eller som </w:t>
      </w:r>
      <w:r w:rsidRPr="008757C5">
        <w:rPr>
          <w:rFonts w:eastAsiaTheme="minorEastAsia"/>
        </w:rPr>
        <w:t>8.2-avtale.</w:t>
      </w:r>
    </w:p>
    <w:p w14:paraId="4557347E" w14:textId="77777777" w:rsidR="00D9107F" w:rsidRPr="008F5AD8" w:rsidRDefault="00E83C06" w:rsidP="008757C5">
      <w:pPr>
        <w:rPr>
          <w:rFonts w:eastAsiaTheme="minorEastAsia"/>
        </w:rPr>
      </w:pPr>
      <w:r w:rsidRPr="008F5AD8">
        <w:rPr>
          <w:rFonts w:eastAsiaTheme="minorEastAsia"/>
        </w:rPr>
        <w:t>Denne formen for kjøps- og salgsprosesser, eierskapsforvaltning med videre, er imidlertid ikke godt egnet for kommunal virksomhet, som skal styres i tråd med en rekke</w:t>
      </w:r>
      <w:r w:rsidR="00BE6B2D" w:rsidRPr="008F5AD8">
        <w:rPr>
          <w:rFonts w:eastAsiaTheme="minorEastAsia"/>
        </w:rPr>
        <w:t xml:space="preserve"> lovbestemmelser, innenfor stramme årsbudsjetter, og med lav risiko. Kommunalt eierskap til eksempelvis en andel av en gruppepraksis vil begrense kommunens handlingsrom, binde kommunen i en struktur som de ikke nødvendigvis er tjent med, og innebære en risiko for økonomisk tap og manglende oppfyllelse av sørge-for-ansvaret i fastlegeordningen.</w:t>
      </w:r>
    </w:p>
    <w:p w14:paraId="2D81C694" w14:textId="17201876" w:rsidR="002A156C" w:rsidRPr="008F5AD8" w:rsidRDefault="0095059F" w:rsidP="008757C5">
      <w:r w:rsidRPr="008F5AD8">
        <w:rPr>
          <w:rFonts w:eastAsiaTheme="minorEastAsia"/>
        </w:rPr>
        <w:t xml:space="preserve">Legeforeningen opplyser at </w:t>
      </w:r>
      <w:r w:rsidRPr="00AC029D">
        <w:rPr>
          <w:rFonts w:cstheme="minorHAnsi"/>
          <w:shd w:val="clear" w:color="auto" w:fill="FFFFFF"/>
        </w:rPr>
        <w:t xml:space="preserve">den </w:t>
      </w:r>
      <w:r w:rsidRPr="008F5AD8">
        <w:rPr>
          <w:rFonts w:eastAsiaTheme="minorEastAsia"/>
        </w:rPr>
        <w:t>har bistått mange medlemmer</w:t>
      </w:r>
      <w:r w:rsidRPr="00AC029D">
        <w:rPr>
          <w:rFonts w:cstheme="minorHAnsi"/>
          <w:shd w:val="clear" w:color="auto" w:fill="FFFFFF"/>
        </w:rPr>
        <w:t xml:space="preserve"> i </w:t>
      </w:r>
      <w:r w:rsidRPr="008F5AD8">
        <w:rPr>
          <w:rFonts w:eastAsiaTheme="minorEastAsia"/>
        </w:rPr>
        <w:t>slike saker, men disse er oftest løst i forlik</w:t>
      </w:r>
      <w:r w:rsidR="00E83C06" w:rsidRPr="008F5AD8">
        <w:rPr>
          <w:rFonts w:eastAsiaTheme="minorEastAsia"/>
        </w:rPr>
        <w:t>,</w:t>
      </w:r>
      <w:r w:rsidRPr="008F5AD8">
        <w:rPr>
          <w:rFonts w:eastAsiaTheme="minorEastAsia"/>
        </w:rPr>
        <w:t xml:space="preserve"> og rettstilstanden må derfor kunne betegnes som uklar.</w:t>
      </w:r>
      <w:r w:rsidR="0037757E" w:rsidRPr="008F5AD8">
        <w:rPr>
          <w:rFonts w:eastAsiaTheme="minorEastAsia"/>
        </w:rPr>
        <w:t xml:space="preserve"> </w:t>
      </w:r>
      <w:r w:rsidRPr="008F5AD8">
        <w:t>Å måtte kjøpe ut en solopraksis</w:t>
      </w:r>
      <w:r w:rsidR="0042536B" w:rsidRPr="008F5AD8">
        <w:t>,</w:t>
      </w:r>
      <w:r w:rsidRPr="008F5AD8">
        <w:t xml:space="preserve"> eller e</w:t>
      </w:r>
      <w:r w:rsidR="00305519" w:rsidRPr="008F5AD8">
        <w:t>n</w:t>
      </w:r>
      <w:r w:rsidRPr="008F5AD8">
        <w:t xml:space="preserve"> hel gruppepraksis</w:t>
      </w:r>
      <w:r w:rsidR="0042536B" w:rsidRPr="008F5AD8">
        <w:t>,</w:t>
      </w:r>
      <w:r w:rsidRPr="008F5AD8">
        <w:t xml:space="preserve"> og omgjøre </w:t>
      </w:r>
      <w:r w:rsidR="00E83C06" w:rsidRPr="008F5AD8">
        <w:t>den</w:t>
      </w:r>
      <w:r w:rsidRPr="008F5AD8">
        <w:t xml:space="preserve"> til enten 8.2-avtale eller fastlønnsavtale</w:t>
      </w:r>
      <w:r w:rsidR="00E83C06" w:rsidRPr="008F5AD8">
        <w:t>,</w:t>
      </w:r>
      <w:r w:rsidRPr="008F5AD8">
        <w:t xml:space="preserve"> er både komplisert og kostbart for kommunen, da kommunen må overta både ansatte, leieavtaler og andre forplikte</w:t>
      </w:r>
      <w:r w:rsidR="00436008" w:rsidRPr="008F5AD8">
        <w:t>lse</w:t>
      </w:r>
      <w:r w:rsidRPr="008F5AD8">
        <w:t>r. Å kjøpe ut en del av en gruppepraksis er om mulig enda mer komplisert, da kommunen da går inn som deleier i et driftsselskap. Rettstilstanden her er uklar</w:t>
      </w:r>
      <w:r w:rsidR="00BE6B2D" w:rsidRPr="008F5AD8">
        <w:t>,</w:t>
      </w:r>
      <w:r w:rsidRPr="008F5AD8">
        <w:t xml:space="preserve"> og partene har lite praktisk erfaring med slike løsninger.</w:t>
      </w:r>
    </w:p>
    <w:p w14:paraId="631C1848" w14:textId="663C3083" w:rsidR="0042536B" w:rsidRPr="00AC029D" w:rsidRDefault="0095059F" w:rsidP="008757C5">
      <w:pPr>
        <w:rPr>
          <w:shd w:val="clear" w:color="auto" w:fill="FFFFFF"/>
        </w:rPr>
      </w:pPr>
      <w:r w:rsidRPr="008F5AD8">
        <w:rPr>
          <w:rFonts w:eastAsiaTheme="minorEastAsia"/>
        </w:rPr>
        <w:t xml:space="preserve">Rammeavtalen angir </w:t>
      </w:r>
      <w:r w:rsidR="00BA0ADD" w:rsidRPr="008F5AD8">
        <w:rPr>
          <w:rFonts w:eastAsiaTheme="minorEastAsia"/>
        </w:rPr>
        <w:t>i dag</w:t>
      </w:r>
      <w:r w:rsidRPr="008F5AD8">
        <w:rPr>
          <w:rFonts w:eastAsiaTheme="minorEastAsia"/>
        </w:rPr>
        <w:t xml:space="preserve"> ikke noen grense for</w:t>
      </w:r>
      <w:r w:rsidRPr="00AC029D">
        <w:rPr>
          <w:shd w:val="clear" w:color="auto" w:fill="FFFFFF"/>
        </w:rPr>
        <w:t xml:space="preserve"> hvor lenge</w:t>
      </w:r>
      <w:r w:rsidR="00BA0ADD">
        <w:rPr>
          <w:shd w:val="clear" w:color="auto" w:fill="FFFFFF"/>
        </w:rPr>
        <w:t>,</w:t>
      </w:r>
      <w:r w:rsidRPr="00AC029D">
        <w:rPr>
          <w:shd w:val="clear" w:color="auto" w:fill="FFFFFF"/>
        </w:rPr>
        <w:t xml:space="preserve"> eller hvor mange ganger</w:t>
      </w:r>
      <w:r w:rsidR="00BA0ADD">
        <w:rPr>
          <w:shd w:val="clear" w:color="auto" w:fill="FFFFFF"/>
        </w:rPr>
        <w:t>,</w:t>
      </w:r>
      <w:r w:rsidRPr="00AC029D">
        <w:rPr>
          <w:shd w:val="clear" w:color="auto" w:fill="FFFFFF"/>
        </w:rPr>
        <w:t xml:space="preserve"> kommunen plikter å annonsere en ledig fastlegehjemmel</w:t>
      </w:r>
      <w:r w:rsidRPr="008F5AD8">
        <w:rPr>
          <w:rFonts w:eastAsiaTheme="minorEastAsia"/>
        </w:rPr>
        <w:t>. Det angis heller ikke</w:t>
      </w:r>
      <w:r w:rsidRPr="00AC029D">
        <w:rPr>
          <w:shd w:val="clear" w:color="auto" w:fill="FFFFFF"/>
        </w:rPr>
        <w:t xml:space="preserve"> hvor lenge fratredende lege kan kreve kompensasjon for praksisen</w:t>
      </w:r>
      <w:r w:rsidR="00BA0ADD">
        <w:rPr>
          <w:shd w:val="clear" w:color="auto" w:fill="FFFFFF"/>
        </w:rPr>
        <w:t>,</w:t>
      </w:r>
      <w:r w:rsidRPr="00AC029D">
        <w:rPr>
          <w:shd w:val="clear" w:color="auto" w:fill="FFFFFF"/>
        </w:rPr>
        <w:t xml:space="preserve"> hvis det ikke melder seg kjøpere. </w:t>
      </w:r>
      <w:r w:rsidRPr="008F5AD8">
        <w:rPr>
          <w:rFonts w:eastAsiaTheme="minorEastAsia"/>
        </w:rPr>
        <w:t>Gjennom rammeavtalen har kommunen en plikt til å sørge for at pasientene og praksisen ivaretas inntil ny avtalehaver tiltrer.</w:t>
      </w:r>
      <w:r w:rsidR="00D77E19" w:rsidRPr="008F5AD8">
        <w:rPr>
          <w:rFonts w:eastAsiaTheme="minorEastAsia"/>
        </w:rPr>
        <w:t xml:space="preserve"> </w:t>
      </w:r>
      <w:r w:rsidRPr="00AC029D">
        <w:rPr>
          <w:shd w:val="clear" w:color="auto" w:fill="FFFFFF"/>
        </w:rPr>
        <w:t>Vanligvis skjer dette ved vikar i praksisen, eller ved at andre leger i gruppepraksisen påtar seg vikaransvaret. Dersom rekrutteringssituasjonen er svært vanskelig, må kommunen vurdere ulike typer tiltak for å oppfylle sine forpliktelser om å tilby befolkningen fastlegetjenester.</w:t>
      </w:r>
      <w:r w:rsidR="00D9107F" w:rsidRPr="008F5AD8">
        <w:rPr>
          <w:rFonts w:eastAsiaTheme="minorEastAsia"/>
        </w:rPr>
        <w:t xml:space="preserve"> </w:t>
      </w:r>
    </w:p>
    <w:p w14:paraId="4B518FCF" w14:textId="77777777" w:rsidR="00D9107F" w:rsidRDefault="0095059F" w:rsidP="008757C5">
      <w:pPr>
        <w:rPr>
          <w:sz w:val="28"/>
          <w:szCs w:val="28"/>
        </w:rPr>
      </w:pPr>
      <w:r w:rsidRPr="00AC029D">
        <w:rPr>
          <w:shd w:val="clear" w:color="auto" w:fill="FFFFFF"/>
        </w:rPr>
        <w:t xml:space="preserve">Hvis utlysningen ikke har gitt søkere, eller tilsetting er vesentlig forsinket, kan det være behov for midlertidige løsninger. En slik ordning kan redusere kontinuiteten og derav øke risikoen for at verdien av praksisen reduseres, men det er naturligvis en bedre løsning enn at hjemmelen ikke blir betjent av lege. For kommunen må hensynet til å tilby innbyggerne fastlegetjenester nødvendigvis veie tyngre enn hensynet til å </w:t>
      </w:r>
      <w:r w:rsidRPr="008F5AD8">
        <w:rPr>
          <w:rFonts w:eastAsiaTheme="minorEastAsia"/>
        </w:rPr>
        <w:t>opprettholde full verdi av</w:t>
      </w:r>
      <w:r w:rsidRPr="00AC029D">
        <w:rPr>
          <w:shd w:val="clear" w:color="auto" w:fill="FFFFFF"/>
        </w:rPr>
        <w:t xml:space="preserve"> fratredende leges praksis</w:t>
      </w:r>
      <w:r w:rsidR="005A7BFB" w:rsidRPr="00AC029D">
        <w:rPr>
          <w:shd w:val="clear" w:color="auto" w:fill="FFFFFF"/>
        </w:rPr>
        <w:t>.</w:t>
      </w:r>
    </w:p>
    <w:p w14:paraId="084FD453" w14:textId="77777777" w:rsidR="00D9107F" w:rsidRPr="008F5AD8" w:rsidRDefault="0095059F" w:rsidP="0040712A">
      <w:r w:rsidRPr="008F5AD8">
        <w:t xml:space="preserve">Dersom en lege </w:t>
      </w:r>
      <w:r w:rsidRPr="00AC029D">
        <w:rPr>
          <w:shd w:val="clear" w:color="auto" w:fill="FFFFFF"/>
        </w:rPr>
        <w:t>går av med pensjon eller mister autorisasjonen</w:t>
      </w:r>
      <w:r w:rsidR="00B37B60" w:rsidRPr="00AC029D">
        <w:rPr>
          <w:shd w:val="clear" w:color="auto" w:fill="FFFFFF"/>
        </w:rPr>
        <w:t>,</w:t>
      </w:r>
      <w:r w:rsidRPr="008F5AD8">
        <w:t xml:space="preserve"> vil </w:t>
      </w:r>
      <w:r w:rsidRPr="00AC029D">
        <w:rPr>
          <w:rFonts w:ascii="Calibri" w:hAnsi="Calibri" w:cs="Calibri"/>
          <w:shd w:val="clear" w:color="auto" w:fill="FFFFFF"/>
        </w:rPr>
        <w:t>reglene for overdragelse av praksis i utgangspunktet være de samme.</w:t>
      </w:r>
      <w:r w:rsidR="00C421DD" w:rsidRPr="00AC029D">
        <w:rPr>
          <w:rFonts w:ascii="Calibri" w:hAnsi="Calibri" w:cs="Calibri"/>
          <w:shd w:val="clear" w:color="auto" w:fill="FFFFFF"/>
        </w:rPr>
        <w:t xml:space="preserve"> </w:t>
      </w:r>
      <w:r w:rsidRPr="008F5AD8">
        <w:t>Det er mer usikkert hva som skjer dersom en praksis legges ned i forbindelse med oppsigelse av fastlegepraksis. Kommunen har, jf</w:t>
      </w:r>
      <w:r w:rsidR="00FD5A28" w:rsidRPr="008F5AD8">
        <w:t>.</w:t>
      </w:r>
      <w:r w:rsidRPr="008F5AD8">
        <w:t xml:space="preserve"> rammeavtalen, </w:t>
      </w:r>
      <w:r w:rsidRPr="008F5AD8">
        <w:lastRenderedPageBreak/>
        <w:t xml:space="preserve">ikke mulighet til å spre pasientene til andre leger uten etter avtale med berørte parter, men rettstilstanden når </w:t>
      </w:r>
      <w:r w:rsidR="0042536B" w:rsidRPr="008F5AD8">
        <w:t xml:space="preserve">en </w:t>
      </w:r>
      <w:r w:rsidRPr="008F5AD8">
        <w:t>praksis i prinsippet opphører å eksistere er uklar.</w:t>
      </w:r>
    </w:p>
    <w:p w14:paraId="542E325C" w14:textId="1306D616" w:rsidR="00DD3368" w:rsidRDefault="0095059F" w:rsidP="0040712A">
      <w:r w:rsidRPr="00AC029D">
        <w:rPr>
          <w:rFonts w:ascii="Calibri" w:hAnsi="Calibri" w:cs="Calibri"/>
          <w:shd w:val="clear" w:color="auto" w:fill="FFFFFF"/>
        </w:rPr>
        <w:t xml:space="preserve">Det er </w:t>
      </w:r>
      <w:r w:rsidR="00DD3368">
        <w:rPr>
          <w:rFonts w:ascii="Calibri" w:hAnsi="Calibri" w:cs="Calibri"/>
          <w:shd w:val="clear" w:color="auto" w:fill="FFFFFF"/>
        </w:rPr>
        <w:t>er heller ikke åpenbart</w:t>
      </w:r>
      <w:r w:rsidRPr="00AC029D">
        <w:rPr>
          <w:rFonts w:ascii="Calibri" w:hAnsi="Calibri" w:cs="Calibri"/>
          <w:shd w:val="clear" w:color="auto" w:fill="FFFFFF"/>
        </w:rPr>
        <w:t xml:space="preserve"> når avtalerettslige lojalitetsprinsipper begrenser en kommunes mulighet til å opprette </w:t>
      </w:r>
      <w:r w:rsidRPr="00AC029D">
        <w:rPr>
          <w:shd w:val="clear" w:color="auto" w:fill="FFFFFF"/>
        </w:rPr>
        <w:t>en ny 0-hjemmel</w:t>
      </w:r>
      <w:r w:rsidR="0042536B" w:rsidRPr="00AC029D">
        <w:rPr>
          <w:shd w:val="clear" w:color="auto" w:fill="FFFFFF"/>
        </w:rPr>
        <w:t>,</w:t>
      </w:r>
      <w:r w:rsidRPr="00AC029D">
        <w:rPr>
          <w:shd w:val="clear" w:color="auto" w:fill="FFFFFF"/>
        </w:rPr>
        <w:t xml:space="preserve"> i en situasjon der </w:t>
      </w:r>
      <w:r w:rsidRPr="008F5AD8">
        <w:t xml:space="preserve">en eller flere </w:t>
      </w:r>
      <w:r w:rsidRPr="00AC029D">
        <w:rPr>
          <w:shd w:val="clear" w:color="auto" w:fill="FFFFFF"/>
        </w:rPr>
        <w:t xml:space="preserve">fratredende </w:t>
      </w:r>
      <w:r w:rsidRPr="008F5AD8">
        <w:t>leger</w:t>
      </w:r>
      <w:r w:rsidRPr="00AC029D">
        <w:rPr>
          <w:shd w:val="clear" w:color="auto" w:fill="FFFFFF"/>
        </w:rPr>
        <w:t xml:space="preserve"> ikke får solgt sin praksis.</w:t>
      </w:r>
      <w:r w:rsidRPr="008F5AD8">
        <w:t xml:space="preserve"> </w:t>
      </w:r>
      <w:r w:rsidR="00652C29">
        <w:rPr>
          <w:rFonts w:ascii="Calibri" w:hAnsi="Calibri" w:cs="Calibri"/>
          <w:shd w:val="clear" w:color="auto" w:fill="FFFFFF"/>
        </w:rPr>
        <w:t>Situasjonen</w:t>
      </w:r>
      <w:r w:rsidR="006B6771">
        <w:rPr>
          <w:rFonts w:ascii="Calibri" w:hAnsi="Calibri" w:cs="Calibri"/>
          <w:shd w:val="clear" w:color="auto" w:fill="FFFFFF"/>
        </w:rPr>
        <w:t xml:space="preserve"> </w:t>
      </w:r>
      <w:r w:rsidRPr="00AC029D">
        <w:rPr>
          <w:rFonts w:ascii="Calibri" w:hAnsi="Calibri" w:cs="Calibri"/>
          <w:shd w:val="clear" w:color="auto" w:fill="FFFFFF"/>
        </w:rPr>
        <w:t xml:space="preserve">reflekterer en spenning mellom kommunens plikt til å sørge for gode fastlegetjenester og fratredende leges avtalefestede rett til å inngå avtale om salg av praksisen før kommunen kan la en tiltredende lege begynne å betjene </w:t>
      </w:r>
      <w:r w:rsidRPr="00AC029D">
        <w:rPr>
          <w:rFonts w:ascii="Calibri" w:hAnsi="Calibri" w:cs="Calibri"/>
        </w:rPr>
        <w:t>hjemmelen</w:t>
      </w:r>
      <w:r w:rsidRPr="00AC029D">
        <w:rPr>
          <w:rFonts w:ascii="Calibri" w:hAnsi="Calibri" w:cs="Calibri"/>
          <w:shd w:val="clear" w:color="auto" w:fill="FFFFFF"/>
        </w:rPr>
        <w:t>. Det finnes lite rettspraksis på feltet,</w:t>
      </w:r>
      <w:r w:rsidR="003C491C" w:rsidRPr="00D9107F">
        <w:rPr>
          <w:rStyle w:val="Fotnotereferanse"/>
        </w:rPr>
        <w:footnoteReference w:id="16"/>
      </w:r>
      <w:r w:rsidRPr="00AC029D">
        <w:rPr>
          <w:rFonts w:ascii="Calibri" w:hAnsi="Calibri" w:cs="Calibri"/>
          <w:shd w:val="clear" w:color="auto" w:fill="FFFFFF"/>
        </w:rPr>
        <w:t xml:space="preserve"> og rettstilstanden må kunne betegnes som uklar.</w:t>
      </w:r>
    </w:p>
    <w:p w14:paraId="18DB48D9" w14:textId="5068BB31" w:rsidR="008935C7" w:rsidRPr="00C3489F" w:rsidRDefault="37096B1C" w:rsidP="00775632">
      <w:pPr>
        <w:pStyle w:val="Overskrift4"/>
        <w:rPr>
          <w:shd w:val="clear" w:color="auto" w:fill="FFFFFF"/>
        </w:rPr>
      </w:pPr>
      <w:bookmarkStart w:id="2029" w:name="_Toc122655266"/>
      <w:bookmarkStart w:id="2030" w:name="_Toc130983471"/>
      <w:bookmarkStart w:id="2031" w:name="_Toc130983820"/>
      <w:bookmarkStart w:id="2032" w:name="_Toc131062142"/>
      <w:bookmarkStart w:id="2033" w:name="_Toc131062396"/>
      <w:bookmarkStart w:id="2034" w:name="_Toc131062657"/>
      <w:bookmarkStart w:id="2035" w:name="_Toc131062910"/>
      <w:bookmarkStart w:id="2036" w:name="_Toc131063678"/>
      <w:bookmarkStart w:id="2037" w:name="_Toc131064103"/>
      <w:bookmarkStart w:id="2038" w:name="_Toc131238398"/>
      <w:bookmarkStart w:id="2039" w:name="_Toc131279429"/>
      <w:bookmarkStart w:id="2040" w:name="_Toc131286841"/>
      <w:bookmarkStart w:id="2041" w:name="_Toc131281251"/>
      <w:bookmarkStart w:id="2042" w:name="_Toc131317790"/>
      <w:r w:rsidRPr="0052589D">
        <w:rPr>
          <w:shd w:val="clear" w:color="auto" w:fill="FFFFFF"/>
        </w:rPr>
        <w:t xml:space="preserve">Usikkerhet </w:t>
      </w:r>
      <w:r w:rsidR="76FC7A2F">
        <w:rPr>
          <w:shd w:val="clear" w:color="auto" w:fill="FFFFFF"/>
        </w:rPr>
        <w:t xml:space="preserve">om pris ved </w:t>
      </w:r>
      <w:bookmarkEnd w:id="2029"/>
      <w:bookmarkEnd w:id="2030"/>
      <w:bookmarkEnd w:id="2031"/>
      <w:bookmarkEnd w:id="2032"/>
      <w:bookmarkEnd w:id="2033"/>
      <w:bookmarkEnd w:id="2034"/>
      <w:bookmarkEnd w:id="2035"/>
      <w:bookmarkEnd w:id="2036"/>
      <w:bookmarkEnd w:id="2037"/>
      <w:r w:rsidRPr="0052589D">
        <w:rPr>
          <w:shd w:val="clear" w:color="auto" w:fill="FFFFFF"/>
        </w:rPr>
        <w:t>nemnd</w:t>
      </w:r>
      <w:r w:rsidR="00BA0ADD">
        <w:rPr>
          <w:shd w:val="clear" w:color="auto" w:fill="FFFFFF"/>
        </w:rPr>
        <w:t>s</w:t>
      </w:r>
      <w:r w:rsidRPr="0052589D">
        <w:rPr>
          <w:shd w:val="clear" w:color="auto" w:fill="FFFFFF"/>
        </w:rPr>
        <w:t>behandling</w:t>
      </w:r>
      <w:bookmarkEnd w:id="2038"/>
      <w:bookmarkEnd w:id="2039"/>
      <w:bookmarkEnd w:id="2040"/>
      <w:bookmarkEnd w:id="2041"/>
      <w:bookmarkEnd w:id="2042"/>
    </w:p>
    <w:p w14:paraId="51BE10BE" w14:textId="77777777" w:rsidR="00D9107F" w:rsidRPr="008F5AD8" w:rsidRDefault="00595EED" w:rsidP="002A156C">
      <w:pPr>
        <w:jc w:val="both"/>
      </w:pPr>
      <w:r>
        <w:t>Overdragelser av fastlegepraksiser foregår ikke i et vanlig marked, der varer og tjenester overdras etter prinsippene om tilbud og etterspørsel. Justering av pris skjer også i markedet for fastlegepraksiser, men overdragelser</w:t>
      </w:r>
      <w:r w:rsidR="0042536B">
        <w:t>,</w:t>
      </w:r>
      <w:r>
        <w:t xml:space="preserve"> </w:t>
      </w:r>
      <w:r w:rsidRPr="008F5AD8">
        <w:t>og derigjennom rekruttering</w:t>
      </w:r>
      <w:r w:rsidR="0042536B" w:rsidRPr="008F5AD8">
        <w:t>,</w:t>
      </w:r>
      <w:r w:rsidRPr="008F5AD8">
        <w:t xml:space="preserve"> </w:t>
      </w:r>
      <w:r>
        <w:t xml:space="preserve">vil kunne </w:t>
      </w:r>
      <w:r w:rsidRPr="008F5AD8">
        <w:t>hindres</w:t>
      </w:r>
      <w:r>
        <w:t xml:space="preserve"> dersom selger har høyere prisforventninger enn kjøper. </w:t>
      </w:r>
      <w:r w:rsidR="005F0767">
        <w:t>Dersom</w:t>
      </w:r>
      <w:r w:rsidRPr="00713D5B">
        <w:t xml:space="preserve"> </w:t>
      </w:r>
      <w:r>
        <w:t>praksisen</w:t>
      </w:r>
      <w:r w:rsidRPr="00713D5B">
        <w:t xml:space="preserve"> i utstrakt grad har blitt betjent av vikarer, eller den har stått uten fast lege lenge, kan dette bidra til at verdien av praksisen forringes</w:t>
      </w:r>
      <w:r>
        <w:t xml:space="preserve">, selv om </w:t>
      </w:r>
      <w:r w:rsidRPr="008F5AD8">
        <w:t>nemndspraksis nok trekker i retning av at dette ikke reduserer verdien i stor grad.</w:t>
      </w:r>
    </w:p>
    <w:p w14:paraId="164F8800" w14:textId="39BF21B4" w:rsidR="00DD3368" w:rsidRDefault="00595EED" w:rsidP="002A156C">
      <w:pPr>
        <w:jc w:val="both"/>
      </w:pPr>
      <w:r w:rsidRPr="008F5AD8">
        <w:t>Usikkerheten om endelig pris ved å gå inn i en nemnd</w:t>
      </w:r>
      <w:r w:rsidR="00BA0ADD" w:rsidRPr="008F5AD8">
        <w:t>s</w:t>
      </w:r>
      <w:r w:rsidRPr="008F5AD8">
        <w:t>behandling vil være stor</w:t>
      </w:r>
      <w:r w:rsidR="0042536B" w:rsidRPr="008F5AD8">
        <w:t>,</w:t>
      </w:r>
      <w:r w:rsidRPr="008F5AD8">
        <w:t xml:space="preserve"> </w:t>
      </w:r>
      <w:r w:rsidRPr="00AC029D">
        <w:t>for både kjøper og selger. Nemnda er bundet av å sette en pris som befinner seg mellom tilbud fra kjøper og prisantydning fra selger</w:t>
      </w:r>
      <w:r w:rsidR="00361D73">
        <w:t>,</w:t>
      </w:r>
      <w:r w:rsidRPr="008F5AD8">
        <w:t xml:space="preserve"> men</w:t>
      </w:r>
      <w:r w:rsidRPr="00AC029D">
        <w:t xml:space="preserve"> avstanden mellom disse </w:t>
      </w:r>
      <w:r w:rsidRPr="008F5AD8">
        <w:t xml:space="preserve">kan </w:t>
      </w:r>
      <w:r w:rsidRPr="00AC029D">
        <w:t>være stor</w:t>
      </w:r>
      <w:r w:rsidRPr="008F5AD8">
        <w:t xml:space="preserve">. </w:t>
      </w:r>
      <w:r w:rsidRPr="00AC029D">
        <w:t>Dette kan bidra til økt usikkerhet for partene i prosessen. I tillegg til at tiltredende lege allerede i utgangspunktet mener at fratredende lege krever en for høy pris (ellers ville de blitt enige), må tiltredende lege forplikte seg på forhånd til å kjøpe praksisen til den prisen nemnda bestemmer</w:t>
      </w:r>
      <w:r w:rsidRPr="00AC029D">
        <w:rPr>
          <w:rFonts w:ascii="Calibri" w:hAnsi="Calibri" w:cs="Calibri"/>
        </w:rPr>
        <w:t>.</w:t>
      </w:r>
      <w:r w:rsidR="003C2B93" w:rsidRPr="00D9107F">
        <w:rPr>
          <w:rStyle w:val="Fotnotereferanse"/>
        </w:rPr>
        <w:footnoteReference w:id="17"/>
      </w:r>
      <w:r w:rsidR="00D9107F" w:rsidRPr="00D9107F">
        <w:rPr>
          <w:rStyle w:val="skrift-hevet"/>
        </w:rPr>
        <w:t xml:space="preserve"> </w:t>
      </w:r>
      <w:r w:rsidRPr="008757C5">
        <w:t>Tilsvarende gjelder for selger. Denne usikkerheten ved nemnd</w:t>
      </w:r>
      <w:r w:rsidR="007A6853" w:rsidRPr="008757C5">
        <w:t>s</w:t>
      </w:r>
      <w:r w:rsidRPr="008757C5">
        <w:t>behandling kan tenkes å redusere interessen for i det hele tatt å søke på en utlyst hjemmel.</w:t>
      </w:r>
    </w:p>
    <w:p w14:paraId="327ED106" w14:textId="20B64C3F" w:rsidR="00A908D3" w:rsidRPr="00C3489F" w:rsidRDefault="7451A03C" w:rsidP="00775632">
      <w:pPr>
        <w:pStyle w:val="Overskrift4"/>
        <w:rPr>
          <w:shd w:val="clear" w:color="auto" w:fill="FFFFFF"/>
        </w:rPr>
      </w:pPr>
      <w:bookmarkStart w:id="2043" w:name="_Toc130983472"/>
      <w:bookmarkStart w:id="2044" w:name="_Toc130983821"/>
      <w:bookmarkStart w:id="2045" w:name="_Toc131062143"/>
      <w:bookmarkStart w:id="2046" w:name="_Toc131062397"/>
      <w:bookmarkStart w:id="2047" w:name="_Toc131062658"/>
      <w:bookmarkStart w:id="2048" w:name="_Toc131062911"/>
      <w:bookmarkStart w:id="2049" w:name="_Toc131063679"/>
      <w:bookmarkStart w:id="2050" w:name="_Toc131064104"/>
      <w:bookmarkStart w:id="2051" w:name="_Toc131238399"/>
      <w:bookmarkStart w:id="2052" w:name="_Toc131279430"/>
      <w:bookmarkStart w:id="2053" w:name="_Toc131286842"/>
      <w:bookmarkStart w:id="2054" w:name="_Toc131281252"/>
      <w:bookmarkStart w:id="2055" w:name="_Toc131317791"/>
      <w:r>
        <w:rPr>
          <w:shd w:val="clear" w:color="auto" w:fill="FFFFFF"/>
        </w:rPr>
        <w:t>Generell u</w:t>
      </w:r>
      <w:r w:rsidRPr="0052589D">
        <w:rPr>
          <w:shd w:val="clear" w:color="auto" w:fill="FFFFFF"/>
        </w:rPr>
        <w:t xml:space="preserve">sikkerhet </w:t>
      </w:r>
      <w:r>
        <w:rPr>
          <w:shd w:val="clear" w:color="auto" w:fill="FFFFFF"/>
        </w:rPr>
        <w:t>om pris</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3A9A71BC" w14:textId="220E645F" w:rsidR="002A156C" w:rsidRDefault="007D779E" w:rsidP="002A156C">
      <w:pPr>
        <w:jc w:val="both"/>
      </w:pPr>
      <w:r w:rsidRPr="008F5AD8">
        <w:rPr>
          <w:rFonts w:eastAsiaTheme="minorEastAsia"/>
        </w:rPr>
        <w:t>I tillegg til en høy forventet pris, kan ogs</w:t>
      </w:r>
      <w:r w:rsidR="00621017" w:rsidRPr="008F5AD8">
        <w:rPr>
          <w:rFonts w:eastAsiaTheme="minorEastAsia"/>
        </w:rPr>
        <w:t>å</w:t>
      </w:r>
      <w:r w:rsidRPr="008F5AD8">
        <w:rPr>
          <w:rFonts w:eastAsiaTheme="minorEastAsia"/>
        </w:rPr>
        <w:t xml:space="preserve"> selve u</w:t>
      </w:r>
      <w:r w:rsidR="00A25B5F" w:rsidRPr="008F5AD8">
        <w:rPr>
          <w:rFonts w:eastAsiaTheme="minorEastAsia"/>
        </w:rPr>
        <w:t>sikkerhet</w:t>
      </w:r>
      <w:r w:rsidRPr="008F5AD8">
        <w:rPr>
          <w:rFonts w:eastAsiaTheme="minorEastAsia"/>
        </w:rPr>
        <w:t>en</w:t>
      </w:r>
      <w:r w:rsidR="00A25B5F" w:rsidRPr="008F5AD8">
        <w:rPr>
          <w:rFonts w:eastAsiaTheme="minorEastAsia"/>
        </w:rPr>
        <w:t xml:space="preserve"> om prisen på en praksis gjøre at mange unge leger ikke en gang vurderer å søke på en hjemmel. I dag orienteres det ikke om prisantydning</w:t>
      </w:r>
      <w:r w:rsidR="00A25B5F" w:rsidRPr="00AC029D">
        <w:rPr>
          <w:shd w:val="clear" w:color="auto" w:fill="FFFFFF"/>
        </w:rPr>
        <w:t xml:space="preserve"> på fastlegepraksisen i forbindelse med kommunens utlysning av </w:t>
      </w:r>
      <w:r w:rsidR="00A25B5F" w:rsidRPr="00AC029D">
        <w:rPr>
          <w:shd w:val="clear" w:color="auto" w:fill="FFFFFF"/>
        </w:rPr>
        <w:lastRenderedPageBreak/>
        <w:t>fastlegehjemmelen.</w:t>
      </w:r>
      <w:r w:rsidR="00A25B5F" w:rsidRPr="6E9CBEE1">
        <w:t xml:space="preserve"> </w:t>
      </w:r>
      <w:r w:rsidR="00A25B5F" w:rsidRPr="008F5AD8">
        <w:rPr>
          <w:rFonts w:eastAsiaTheme="minorEastAsia"/>
        </w:rPr>
        <w:t xml:space="preserve">Rammeavtalen forplikter </w:t>
      </w:r>
      <w:r w:rsidR="00A25B5F" w:rsidRPr="6E9CBEE1">
        <w:rPr>
          <w:shd w:val="clear" w:color="auto" w:fill="FFFFFF"/>
        </w:rPr>
        <w:t xml:space="preserve">fratredende lege </w:t>
      </w:r>
      <w:r w:rsidR="00A25B5F" w:rsidRPr="008F5AD8">
        <w:rPr>
          <w:rFonts w:eastAsiaTheme="minorEastAsia"/>
        </w:rPr>
        <w:t xml:space="preserve">først </w:t>
      </w:r>
      <w:r w:rsidR="00A25B5F" w:rsidRPr="6E9CBEE1">
        <w:rPr>
          <w:shd w:val="clear" w:color="auto" w:fill="FFFFFF"/>
        </w:rPr>
        <w:t xml:space="preserve">etter søknadsfristens utløp </w:t>
      </w:r>
      <w:r w:rsidR="007A6853">
        <w:rPr>
          <w:shd w:val="clear" w:color="auto" w:fill="FFFFFF"/>
        </w:rPr>
        <w:t xml:space="preserve">til </w:t>
      </w:r>
      <w:r w:rsidR="00A25B5F" w:rsidRPr="6E9CBEE1">
        <w:rPr>
          <w:shd w:val="clear" w:color="auto" w:fill="FFFFFF"/>
        </w:rPr>
        <w:t xml:space="preserve">å orientere samtlige søkere om </w:t>
      </w:r>
      <w:r w:rsidR="00A25B5F" w:rsidRPr="008F5AD8">
        <w:rPr>
          <w:rFonts w:eastAsiaTheme="minorEastAsia"/>
        </w:rPr>
        <w:t>bl</w:t>
      </w:r>
      <w:r w:rsidR="0042536B" w:rsidRPr="008F5AD8">
        <w:rPr>
          <w:rFonts w:eastAsiaTheme="minorEastAsia"/>
        </w:rPr>
        <w:t>ant annet</w:t>
      </w:r>
      <w:r w:rsidR="00A25B5F" w:rsidRPr="6E9CBEE1">
        <w:rPr>
          <w:shd w:val="clear" w:color="auto" w:fill="FFFFFF"/>
        </w:rPr>
        <w:t xml:space="preserve"> prisantydning. Det skal blant annet gis informasjon om driftsform, listestørrelse, ansatt personell, driftsutgifter siste år, refusjonsinntekt det siste året, inntekt fra egenandeler det siste året, prisantydning for inventar/utstyr og prisantydning for opparbeidet praksis. </w:t>
      </w:r>
      <w:r w:rsidR="00E94EA5">
        <w:fldChar w:fldCharType="begin"/>
      </w:r>
      <w:r w:rsidR="00A27571">
        <w:instrText xml:space="preserve"> ADDIN EN.CITE &lt;EndNote&gt;&lt;Cite&gt;&lt;Author&gt;Den Norske Legeforening&lt;/Author&gt;&lt;Year&gt;2018&lt;/Year&gt;&lt;RecNum&gt;169&lt;/RecNum&gt;&lt;DisplayText&gt;(Den Norske Legeforening, 2018a)&lt;/DisplayText&gt;&lt;record&gt;&lt;rec-number&gt;169&lt;/rec-number&gt;&lt;foreign-keys&gt;&lt;key app="EN" db-id="95tpr2tp6r9xwoea9rb5wdsz5ds5xeddteew" timestamp="1680069511"&gt;169&lt;/key&gt;&lt;/foreign-keys&gt;&lt;ref-type name="Web Page"&gt;12&lt;/ref-type&gt;&lt;contributors&gt;&lt;authors&gt;&lt;author&gt;Den Norske Legeforening,&lt;/author&gt;&lt;/authors&gt;&lt;/contributors&gt;&lt;titles&gt;&lt;title&gt;Dreiebok for overdragelse av spesialistpraksis: fremgangsmåte ved salg av spesialistpraksis&lt;/title&gt;&lt;/titles&gt;&lt;number&gt;30. januar 2023&lt;/number&gt;&lt;dates&gt;&lt;year&gt;2018&lt;/year&gt;&lt;/dates&gt;&lt;publisher&gt;Den norske legeforening, &lt;/publisher&gt;&lt;work-type&gt;nettdokument&lt;/work-type&gt;&lt;urls&gt;&lt;/urls&gt;&lt;/record&gt;&lt;/Cite&gt;&lt;/EndNote&gt;</w:instrText>
      </w:r>
      <w:r w:rsidR="00E94EA5">
        <w:fldChar w:fldCharType="separate"/>
      </w:r>
      <w:r w:rsidR="00A841AD">
        <w:rPr>
          <w:noProof/>
        </w:rPr>
        <w:t>(Den Norske Legeforening, 2018a)</w:t>
      </w:r>
      <w:r w:rsidR="00E94EA5">
        <w:fldChar w:fldCharType="end"/>
      </w:r>
      <w:r w:rsidR="00A25B5F" w:rsidRPr="6E9CBEE1">
        <w:rPr>
          <w:shd w:val="clear" w:color="auto" w:fill="FFFFFF"/>
        </w:rPr>
        <w:t>. Dette er ment å gi informasjon og forutsigbarhet for søkerne</w:t>
      </w:r>
      <w:r w:rsidR="00A25B5F" w:rsidRPr="008F5AD8">
        <w:rPr>
          <w:rFonts w:eastAsiaTheme="minorEastAsia"/>
        </w:rPr>
        <w:t>, og skal danne utgangspunkt for forhandling om pris</w:t>
      </w:r>
      <w:r w:rsidR="00A25B5F" w:rsidRPr="6E9CBEE1">
        <w:rPr>
          <w:shd w:val="clear" w:color="auto" w:fill="FFFFFF"/>
        </w:rPr>
        <w:t xml:space="preserve">. Mistenker søkerne at </w:t>
      </w:r>
      <w:r w:rsidR="00A25B5F" w:rsidRPr="008F5AD8">
        <w:rPr>
          <w:rFonts w:eastAsiaTheme="minorEastAsia"/>
        </w:rPr>
        <w:t>prisantydning</w:t>
      </w:r>
      <w:r w:rsidR="00A25B5F" w:rsidRPr="6E9CBEE1">
        <w:rPr>
          <w:shd w:val="clear" w:color="auto" w:fill="FFFFFF"/>
        </w:rPr>
        <w:t xml:space="preserve"> for praksisen er for høy, kan uansett ikke forhandlinger settes i gang før kommunen har tilbudt en av søkerne hjemmelen.</w:t>
      </w:r>
      <w:r w:rsidR="00A25B5F" w:rsidRPr="008F5AD8">
        <w:rPr>
          <w:rFonts w:eastAsiaTheme="minorEastAsia"/>
        </w:rPr>
        <w:t xml:space="preserve"> </w:t>
      </w:r>
      <w:r w:rsidR="007A6853" w:rsidRPr="008F5AD8">
        <w:rPr>
          <w:rFonts w:eastAsiaTheme="minorEastAsia"/>
        </w:rPr>
        <w:t>En offentliggjøring av</w:t>
      </w:r>
      <w:r w:rsidR="00607E16" w:rsidRPr="008F5AD8">
        <w:rPr>
          <w:rFonts w:eastAsiaTheme="minorEastAsia"/>
        </w:rPr>
        <w:t xml:space="preserve"> </w:t>
      </w:r>
      <w:r w:rsidR="00A25B5F" w:rsidRPr="008F5AD8">
        <w:rPr>
          <w:rFonts w:eastAsiaTheme="minorEastAsia"/>
        </w:rPr>
        <w:t>prisantydning</w:t>
      </w:r>
      <w:r w:rsidR="00607E16" w:rsidRPr="008F5AD8">
        <w:rPr>
          <w:rFonts w:eastAsiaTheme="minorEastAsia"/>
        </w:rPr>
        <w:t xml:space="preserve"> </w:t>
      </w:r>
      <w:r w:rsidR="00A25B5F" w:rsidRPr="008F5AD8">
        <w:rPr>
          <w:rFonts w:eastAsiaTheme="minorEastAsia"/>
        </w:rPr>
        <w:t>tidligere</w:t>
      </w:r>
      <w:r w:rsidR="007A6853" w:rsidRPr="008F5AD8">
        <w:rPr>
          <w:rFonts w:eastAsiaTheme="minorEastAsia"/>
        </w:rPr>
        <w:t xml:space="preserve"> i prosessen</w:t>
      </w:r>
      <w:r w:rsidR="00085BC1" w:rsidRPr="008F5AD8">
        <w:rPr>
          <w:rFonts w:eastAsiaTheme="minorEastAsia"/>
        </w:rPr>
        <w:t>,</w:t>
      </w:r>
      <w:r w:rsidR="00A25B5F" w:rsidRPr="008F5AD8">
        <w:rPr>
          <w:rFonts w:eastAsiaTheme="minorEastAsia"/>
        </w:rPr>
        <w:t xml:space="preserve"> vil kunne medføre at interessenter velger å ikke søke fordi de synes prisen er for høy</w:t>
      </w:r>
      <w:r w:rsidR="002A156C" w:rsidRPr="008F5AD8">
        <w:rPr>
          <w:rFonts w:eastAsiaTheme="minorEastAsia"/>
        </w:rPr>
        <w:t>.</w:t>
      </w:r>
    </w:p>
    <w:p w14:paraId="67462E97" w14:textId="2E3F6688" w:rsidR="002A156C" w:rsidRDefault="00A25B5F" w:rsidP="008757C5">
      <w:r>
        <w:t xml:space="preserve">Begrunnelsen for at </w:t>
      </w:r>
      <w:r>
        <w:rPr>
          <w:shd w:val="clear" w:color="auto" w:fill="FFFFFF"/>
        </w:rPr>
        <w:t xml:space="preserve">prisen på fastlegepraksisen ikke bestemmes på forhånd og </w:t>
      </w:r>
      <w:r w:rsidR="007A6853">
        <w:rPr>
          <w:shd w:val="clear" w:color="auto" w:fill="FFFFFF"/>
        </w:rPr>
        <w:t xml:space="preserve">omtales </w:t>
      </w:r>
      <w:r>
        <w:rPr>
          <w:shd w:val="clear" w:color="auto" w:fill="FFFFFF"/>
        </w:rPr>
        <w:t>i kommunens utlysning,</w:t>
      </w:r>
      <w:r>
        <w:t xml:space="preserve"> har vært at kvalifikasjoner </w:t>
      </w:r>
      <w:r w:rsidR="0042536B">
        <w:t>–</w:t>
      </w:r>
      <w:r>
        <w:t xml:space="preserve"> og ikke økonomi </w:t>
      </w:r>
      <w:r w:rsidR="0042536B">
        <w:t>–</w:t>
      </w:r>
      <w:r>
        <w:t xml:space="preserve"> skal være førende for tildelingen av hjemmelen til lege. Likevel kan fravær av prisantydning tidlig i prosessen bidra til usikkerhet, og kan tenkes å utgjøre en barriere for i det hele tatt å søke på utlysninger av fastlegehjemler med næringsdrift.</w:t>
      </w:r>
    </w:p>
    <w:p w14:paraId="40245B8C" w14:textId="79ADF4A0" w:rsidR="00DD3368" w:rsidRDefault="00A25B5F" w:rsidP="008757C5">
      <w:r w:rsidRPr="00AC029D">
        <w:rPr>
          <w:shd w:val="clear" w:color="auto" w:fill="FFFFFF"/>
        </w:rPr>
        <w:t>Usikkerhet knyttet til prisen på en praksis, både når man skal kjøpe og selge, kan være en barriere for overdragelse av fastlegepraksiser. Det er vanskelig å tallfeste hvor sentralt dette er for dagens rekrutteringsproblemer. Men usikkerheten</w:t>
      </w:r>
      <w:r w:rsidRPr="008F5AD8">
        <w:t xml:space="preserve"> og uenigheten</w:t>
      </w:r>
      <w:r w:rsidRPr="00AC029D">
        <w:rPr>
          <w:shd w:val="clear" w:color="auto" w:fill="FFFFFF"/>
        </w:rPr>
        <w:t xml:space="preserve"> om pris</w:t>
      </w:r>
      <w:r w:rsidR="007A6853">
        <w:rPr>
          <w:shd w:val="clear" w:color="auto" w:fill="FFFFFF"/>
        </w:rPr>
        <w:t>,</w:t>
      </w:r>
      <w:r w:rsidRPr="00AC029D">
        <w:rPr>
          <w:shd w:val="clear" w:color="auto" w:fill="FFFFFF"/>
        </w:rPr>
        <w:t xml:space="preserve"> og kompleksiteten i overdragelsesprosessen</w:t>
      </w:r>
      <w:r w:rsidR="007A6853">
        <w:rPr>
          <w:shd w:val="clear" w:color="auto" w:fill="FFFFFF"/>
        </w:rPr>
        <w:t>,</w:t>
      </w:r>
      <w:r w:rsidRPr="00AC029D">
        <w:rPr>
          <w:shd w:val="clear" w:color="auto" w:fill="FFFFFF"/>
        </w:rPr>
        <w:t xml:space="preserve"> vil uansett kunne være problematisk for legene og kommunen, og tiltak som kan fremme overdragelser bør vurderes.</w:t>
      </w:r>
    </w:p>
    <w:p w14:paraId="7BC73F93" w14:textId="0013DF0F" w:rsidR="008935C7" w:rsidRPr="00C3489F" w:rsidRDefault="37096B1C" w:rsidP="00775632">
      <w:pPr>
        <w:pStyle w:val="Overskrift4"/>
        <w:rPr>
          <w:shd w:val="clear" w:color="auto" w:fill="FFFFFF"/>
        </w:rPr>
      </w:pPr>
      <w:bookmarkStart w:id="2056" w:name="_Toc122655267"/>
      <w:bookmarkStart w:id="2057" w:name="_Toc130983473"/>
      <w:bookmarkStart w:id="2058" w:name="_Toc130983822"/>
      <w:bookmarkStart w:id="2059" w:name="_Toc131062144"/>
      <w:bookmarkStart w:id="2060" w:name="_Toc131062398"/>
      <w:bookmarkStart w:id="2061" w:name="_Toc131062659"/>
      <w:bookmarkStart w:id="2062" w:name="_Toc131062912"/>
      <w:bookmarkStart w:id="2063" w:name="_Toc131063680"/>
      <w:bookmarkStart w:id="2064" w:name="_Toc131064105"/>
      <w:bookmarkStart w:id="2065" w:name="_Toc131238400"/>
      <w:bookmarkStart w:id="2066" w:name="_Toc131279431"/>
      <w:bookmarkStart w:id="2067" w:name="_Toc131286843"/>
      <w:bookmarkStart w:id="2068" w:name="_Toc131281253"/>
      <w:bookmarkStart w:id="2069" w:name="_Toc131317792"/>
      <w:r w:rsidRPr="0052589D">
        <w:rPr>
          <w:shd w:val="clear" w:color="auto" w:fill="FFFFFF"/>
        </w:rPr>
        <w:t>Innlåsin</w:t>
      </w:r>
      <w:r w:rsidRPr="00DD6AB5">
        <w:rPr>
          <w:shd w:val="clear" w:color="auto" w:fill="FFFFFF"/>
        </w:rPr>
        <w:t>g</w:t>
      </w:r>
      <w:r w:rsidRPr="00C3489F">
        <w:rPr>
          <w:shd w:val="clear" w:color="auto" w:fill="FFFFFF"/>
        </w:rPr>
        <w:t xml:space="preserve"> i eksisterende infrastruktur</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0F4F9CF4" w14:textId="77777777" w:rsidR="00D9107F" w:rsidRPr="008F5AD8" w:rsidRDefault="00B21B12" w:rsidP="002A156C">
      <w:pPr>
        <w:jc w:val="both"/>
      </w:pPr>
      <w:r w:rsidRPr="00AC029D">
        <w:rPr>
          <w:shd w:val="clear" w:color="auto" w:fill="FFFFFF"/>
        </w:rPr>
        <w:t xml:space="preserve">Legeforeningens retningslinjer for prissetting, </w:t>
      </w:r>
      <w:r w:rsidRPr="008F5AD8">
        <w:t>som benyttes av</w:t>
      </w:r>
      <w:r w:rsidRPr="00AC029D">
        <w:rPr>
          <w:shd w:val="clear" w:color="auto" w:fill="FFFFFF"/>
        </w:rPr>
        <w:t xml:space="preserve"> nemnda, tilsier at fratredende lege normalt har rett til å overdra praksisen i det legekontoret den foreligger, uavhengig av om tiltredende lege ønsker å benytte eksisterende kontor eller ikke </w:t>
      </w:r>
      <w:r w:rsidR="00E94EA5">
        <w:rPr>
          <w:shd w:val="clear" w:color="auto" w:fill="FFFFFF"/>
        </w:rPr>
        <w:fldChar w:fldCharType="begin"/>
      </w:r>
      <w:r w:rsidR="00A27571">
        <w:rPr>
          <w:shd w:val="clear" w:color="auto" w:fill="FFFFFF"/>
        </w:rPr>
        <w:instrText xml:space="preserve"> ADDIN EN.CITE &lt;EndNote&gt;&lt;Cite&gt;&lt;Author&gt;Den Norske Legeforening&lt;/Author&gt;&lt;Year&gt;2018&lt;/Year&gt;&lt;RecNum&gt;169&lt;/RecNum&gt;&lt;DisplayText&gt;(Den Norske Legeforening, 2018a)&lt;/DisplayText&gt;&lt;record&gt;&lt;rec-number&gt;169&lt;/rec-number&gt;&lt;foreign-keys&gt;&lt;key app="EN" db-id="95tpr2tp6r9xwoea9rb5wdsz5ds5xeddteew" timestamp="1680069511"&gt;169&lt;/key&gt;&lt;/foreign-keys&gt;&lt;ref-type name="Web Page"&gt;12&lt;/ref-type&gt;&lt;contributors&gt;&lt;authors&gt;&lt;author&gt;Den Norske Legeforening,&lt;/author&gt;&lt;/authors&gt;&lt;/contributors&gt;&lt;titles&gt;&lt;title&gt;Dreiebok for overdragelse av spesialistpraksis: fremgangsmåte ved salg av spesialistpraksis&lt;/title&gt;&lt;/titles&gt;&lt;number&gt;30. januar 2023&lt;/number&gt;&lt;dates&gt;&lt;year&gt;2018&lt;/year&gt;&lt;/dates&gt;&lt;publisher&gt;Den norske legeforening, &lt;/publisher&gt;&lt;work-type&gt;nettdokument&lt;/work-type&gt;&lt;urls&gt;&lt;/urls&gt;&lt;/record&gt;&lt;/Cite&gt;&lt;/EndNote&gt;</w:instrText>
      </w:r>
      <w:r w:rsidR="00E94EA5">
        <w:rPr>
          <w:shd w:val="clear" w:color="auto" w:fill="FFFFFF"/>
        </w:rPr>
        <w:fldChar w:fldCharType="separate"/>
      </w:r>
      <w:r w:rsidR="00A841AD">
        <w:rPr>
          <w:noProof/>
          <w:shd w:val="clear" w:color="auto" w:fill="FFFFFF"/>
        </w:rPr>
        <w:t>(Den Norske Legeforening, 2018a)</w:t>
      </w:r>
      <w:r w:rsidR="00E94EA5">
        <w:rPr>
          <w:shd w:val="clear" w:color="auto" w:fill="FFFFFF"/>
        </w:rPr>
        <w:fldChar w:fldCharType="end"/>
      </w:r>
      <w:r w:rsidR="00CC626C" w:rsidRPr="008F5AD8">
        <w:t>.</w:t>
      </w:r>
      <w:r w:rsidRPr="008F5AD8">
        <w:t xml:space="preserve"> Avtaleverket</w:t>
      </w:r>
      <w:r w:rsidRPr="00AC029D">
        <w:rPr>
          <w:shd w:val="clear" w:color="auto" w:fill="FFFFFF"/>
        </w:rPr>
        <w:t xml:space="preserve"> bidrar til at eksisterende praksiser, med sine opparbeidede fagmiljø og ansatte, bevares. I gruppepraksiser gir det de resterende eierne større sikkerhet for fr</w:t>
      </w:r>
      <w:r w:rsidR="0042536B" w:rsidRPr="00AC029D">
        <w:rPr>
          <w:shd w:val="clear" w:color="auto" w:fill="FFFFFF"/>
        </w:rPr>
        <w:t>a</w:t>
      </w:r>
      <w:r w:rsidRPr="00AC029D">
        <w:rPr>
          <w:shd w:val="clear" w:color="auto" w:fill="FFFFFF"/>
        </w:rPr>
        <w:t xml:space="preserve">mtidig drift, ved at hjemlene mest sannsynlig forblir ved legekontoret også ved overdragelse. Denne sikkerheten bidrar til å ta ned eiernes risiko </w:t>
      </w:r>
      <w:r w:rsidR="0330D5A4" w:rsidRPr="00AC029D">
        <w:rPr>
          <w:shd w:val="clear" w:color="auto" w:fill="FFFFFF"/>
        </w:rPr>
        <w:t>for eksempel</w:t>
      </w:r>
      <w:r w:rsidRPr="00AC029D">
        <w:rPr>
          <w:shd w:val="clear" w:color="auto" w:fill="FFFFFF"/>
        </w:rPr>
        <w:t xml:space="preserve"> ved ansettelse av hjelpepersonell, og kan øke deres villighet til å investere i lokaler og utstyr.</w:t>
      </w:r>
    </w:p>
    <w:p w14:paraId="7F37987A" w14:textId="77777777" w:rsidR="00D9107F" w:rsidRDefault="00B21B12" w:rsidP="002A156C">
      <w:pPr>
        <w:jc w:val="both"/>
        <w:rPr>
          <w:shd w:val="clear" w:color="auto" w:fill="FFFFFF"/>
        </w:rPr>
      </w:pPr>
      <w:r w:rsidRPr="00AC029D">
        <w:rPr>
          <w:shd w:val="clear" w:color="auto" w:fill="FFFFFF"/>
        </w:rPr>
        <w:t xml:space="preserve">På den annen side bidrar disse reglene til at en tiltredende lege, som for eksempel overtar en solopraksis og ønsker å flytte praksisen til en gruppepraksis, først må betale for </w:t>
      </w:r>
      <w:r w:rsidRPr="008F5AD8">
        <w:t>den</w:t>
      </w:r>
      <w:r w:rsidRPr="00AC029D">
        <w:rPr>
          <w:shd w:val="clear" w:color="auto" w:fill="FFFFFF"/>
        </w:rPr>
        <w:t xml:space="preserve"> eksisterende </w:t>
      </w:r>
      <w:r w:rsidRPr="008F5AD8">
        <w:t>legepraksisen</w:t>
      </w:r>
      <w:r w:rsidRPr="00AC029D">
        <w:rPr>
          <w:shd w:val="clear" w:color="auto" w:fill="FFFFFF"/>
        </w:rPr>
        <w:t xml:space="preserve"> og deretter også for å komme inn i</w:t>
      </w:r>
      <w:r w:rsidR="007A6853">
        <w:rPr>
          <w:shd w:val="clear" w:color="auto" w:fill="FFFFFF"/>
        </w:rPr>
        <w:t>,</w:t>
      </w:r>
      <w:r w:rsidRPr="00AC029D">
        <w:rPr>
          <w:shd w:val="clear" w:color="auto" w:fill="FFFFFF"/>
        </w:rPr>
        <w:t xml:space="preserve"> eller opprette</w:t>
      </w:r>
      <w:r w:rsidR="007A6853">
        <w:rPr>
          <w:shd w:val="clear" w:color="auto" w:fill="FFFFFF"/>
        </w:rPr>
        <w:t>,</w:t>
      </w:r>
      <w:r w:rsidRPr="00AC029D">
        <w:rPr>
          <w:shd w:val="clear" w:color="auto" w:fill="FFFFFF"/>
        </w:rPr>
        <w:t xml:space="preserve"> en ny legepraksis. Dette </w:t>
      </w:r>
      <w:r w:rsidRPr="008F5AD8">
        <w:t>kan medføre</w:t>
      </w:r>
      <w:r w:rsidRPr="00AC029D">
        <w:rPr>
          <w:shd w:val="clear" w:color="auto" w:fill="FFFFFF"/>
        </w:rPr>
        <w:t xml:space="preserve"> innlåsingseffekter i eksisterende infrastruktur, f</w:t>
      </w:r>
      <w:r w:rsidR="0042536B" w:rsidRPr="00AC029D">
        <w:rPr>
          <w:shd w:val="clear" w:color="auto" w:fill="FFFFFF"/>
        </w:rPr>
        <w:t xml:space="preserve">or </w:t>
      </w:r>
      <w:r w:rsidR="00B223CE" w:rsidRPr="00AC029D">
        <w:rPr>
          <w:shd w:val="clear" w:color="auto" w:fill="FFFFFF"/>
        </w:rPr>
        <w:t>eksempel</w:t>
      </w:r>
      <w:r w:rsidRPr="00AC029D">
        <w:rPr>
          <w:shd w:val="clear" w:color="auto" w:fill="FFFFFF"/>
        </w:rPr>
        <w:t xml:space="preserve"> ved at mindre praksiser med en eller få leger i større grad består</w:t>
      </w:r>
      <w:r w:rsidR="00CE27C3">
        <w:rPr>
          <w:shd w:val="clear" w:color="auto" w:fill="FFFFFF"/>
        </w:rPr>
        <w:t>,</w:t>
      </w:r>
      <w:r w:rsidRPr="00AC029D">
        <w:rPr>
          <w:shd w:val="clear" w:color="auto" w:fill="FFFFFF"/>
        </w:rPr>
        <w:t xml:space="preserve"> enn hva tilfellet ville vært dersom prisen ble bestemt ut fra kjøpers betalingsvillighet</w:t>
      </w:r>
      <w:r w:rsidR="007A6853">
        <w:rPr>
          <w:shd w:val="clear" w:color="auto" w:fill="FFFFFF"/>
        </w:rPr>
        <w:t>, eller overdragelser var regulert på en annen måte</w:t>
      </w:r>
      <w:r w:rsidRPr="00AC029D">
        <w:rPr>
          <w:shd w:val="clear" w:color="auto" w:fill="FFFFFF"/>
        </w:rPr>
        <w:t>.</w:t>
      </w:r>
    </w:p>
    <w:p w14:paraId="6E407B1E" w14:textId="77777777" w:rsidR="00D9107F" w:rsidRPr="008757C5" w:rsidRDefault="00B21B12" w:rsidP="002A156C">
      <w:pPr>
        <w:jc w:val="both"/>
      </w:pPr>
      <w:r w:rsidRPr="008757C5">
        <w:lastRenderedPageBreak/>
        <w:t>Det betyr også at forskjeller i eldre og yngre legers preferanser for innretning på praksisen, vil kunne bidra til en diskrepans i hva de eldre forventer for sin praksis og hva de yngre ønsker å betale.</w:t>
      </w:r>
    </w:p>
    <w:p w14:paraId="529C4FAD" w14:textId="12E1748A" w:rsidR="008935C7" w:rsidRPr="00A466C3" w:rsidRDefault="52BEE52F" w:rsidP="00775632">
      <w:pPr>
        <w:pStyle w:val="Overskrift4"/>
      </w:pPr>
      <w:bookmarkStart w:id="2070" w:name="_Toc122655269"/>
      <w:bookmarkStart w:id="2071" w:name="_Toc130983474"/>
      <w:bookmarkStart w:id="2072" w:name="_Toc130983823"/>
      <w:bookmarkStart w:id="2073" w:name="_Toc131062145"/>
      <w:bookmarkStart w:id="2074" w:name="_Toc131062399"/>
      <w:bookmarkStart w:id="2075" w:name="_Toc131062660"/>
      <w:bookmarkStart w:id="2076" w:name="_Toc131062913"/>
      <w:bookmarkStart w:id="2077" w:name="_Toc131063681"/>
      <w:bookmarkStart w:id="2078" w:name="_Toc131064106"/>
      <w:bookmarkStart w:id="2079" w:name="_Toc131238401"/>
      <w:bookmarkStart w:id="2080" w:name="_Toc131279432"/>
      <w:bookmarkStart w:id="2081" w:name="_Toc131286844"/>
      <w:bookmarkStart w:id="2082" w:name="_Toc131281254"/>
      <w:bookmarkStart w:id="2083" w:name="_Toc131317793"/>
      <w:r>
        <w:t>Bedre økonomi i fastlegeordningen kan øke prisen</w:t>
      </w:r>
      <w:bookmarkEnd w:id="2070"/>
      <w:r w:rsidR="61387CF3">
        <w:t xml:space="preserve"> på en praksis</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5EECC4AD" w14:textId="77777777" w:rsidR="00D9107F" w:rsidRDefault="00182430" w:rsidP="002A156C">
      <w:pPr>
        <w:jc w:val="both"/>
      </w:pPr>
      <w:r>
        <w:rPr>
          <w:shd w:val="clear" w:color="auto" w:fill="FFFFFF"/>
        </w:rPr>
        <w:t>I henhold til Legeforeningens retningslinjer for prissetting av praksiser</w:t>
      </w:r>
      <w:r w:rsidR="003A232A">
        <w:rPr>
          <w:shd w:val="clear" w:color="auto" w:fill="FFFFFF"/>
        </w:rPr>
        <w:t>,</w:t>
      </w:r>
      <w:r>
        <w:rPr>
          <w:shd w:val="clear" w:color="auto" w:fill="FFFFFF"/>
        </w:rPr>
        <w:t xml:space="preserve"> kan e</w:t>
      </w:r>
      <w:r w:rsidRPr="09C7D7CC">
        <w:rPr>
          <w:shd w:val="clear" w:color="auto" w:fill="FFFFFF"/>
        </w:rPr>
        <w:t xml:space="preserve">n økning i driftsresultatet i en praksis isolert sett innebære at </w:t>
      </w:r>
      <w:r>
        <w:rPr>
          <w:shd w:val="clear" w:color="auto" w:fill="FFFFFF"/>
        </w:rPr>
        <w:t xml:space="preserve">prisen på en </w:t>
      </w:r>
      <w:r w:rsidRPr="09C7D7CC">
        <w:rPr>
          <w:shd w:val="clear" w:color="auto" w:fill="FFFFFF"/>
        </w:rPr>
        <w:t>praksis øker. Driftsresultatet påvirkes av mange forhold, bl</w:t>
      </w:r>
      <w:r w:rsidR="0042536B">
        <w:rPr>
          <w:shd w:val="clear" w:color="auto" w:fill="FFFFFF"/>
        </w:rPr>
        <w:t>ant annet</w:t>
      </w:r>
      <w:r w:rsidRPr="09C7D7CC">
        <w:rPr>
          <w:shd w:val="clear" w:color="auto" w:fill="FFFFFF"/>
        </w:rPr>
        <w:t xml:space="preserve"> kostnader i praksis, om legen er spesialist og har rett til tilleggstakst, finansieringssystemer, eventuelle kommunale støtteordninger, listelengde og ikke minst legens aktivitetsnivå. Hvordan </w:t>
      </w:r>
      <w:r w:rsidRPr="008F5AD8">
        <w:t>økninger i basistilskudd eller takster</w:t>
      </w:r>
      <w:r w:rsidRPr="09C7D7CC">
        <w:rPr>
          <w:shd w:val="clear" w:color="auto" w:fill="FFFFFF"/>
        </w:rPr>
        <w:t xml:space="preserve"> slår inn i driftsresultatet</w:t>
      </w:r>
      <w:r w:rsidR="00AC628F">
        <w:rPr>
          <w:shd w:val="clear" w:color="auto" w:fill="FFFFFF"/>
        </w:rPr>
        <w:t>,</w:t>
      </w:r>
      <w:r w:rsidRPr="09C7D7CC">
        <w:rPr>
          <w:shd w:val="clear" w:color="auto" w:fill="FFFFFF"/>
        </w:rPr>
        <w:t xml:space="preserve"> vil avhenge av innretningen på praksisen og også legens utøvelse av faget og tilhørende takstbruk. En økning i basistilskuddet vil slå ut i økt driftsresultat</w:t>
      </w:r>
      <w:r w:rsidR="007A6853">
        <w:rPr>
          <w:shd w:val="clear" w:color="auto" w:fill="FFFFFF"/>
        </w:rPr>
        <w:t>,</w:t>
      </w:r>
      <w:r w:rsidRPr="09C7D7CC">
        <w:rPr>
          <w:shd w:val="clear" w:color="auto" w:fill="FFFFFF"/>
        </w:rPr>
        <w:t xml:space="preserve"> dersom </w:t>
      </w:r>
      <w:r w:rsidRPr="008F5AD8">
        <w:t xml:space="preserve">takstene og </w:t>
      </w:r>
      <w:r w:rsidRPr="09C7D7CC">
        <w:t>kostnadene for øvrig holdes like.</w:t>
      </w:r>
    </w:p>
    <w:p w14:paraId="4DFB186A" w14:textId="77777777" w:rsidR="00D9107F" w:rsidRDefault="00182430" w:rsidP="008757C5">
      <w:pPr>
        <w:rPr>
          <w:shd w:val="clear" w:color="auto" w:fill="FFFFFF"/>
        </w:rPr>
      </w:pPr>
      <w:r w:rsidRPr="00AC029D">
        <w:rPr>
          <w:shd w:val="clear" w:color="auto" w:fill="FFFFFF"/>
        </w:rPr>
        <w:t>Standard økonomisk teori for verdsetting av næringsvirksomhet tar utgangspunkt i at prisen gjenspeiler den finansielle verdien av å overta fastlegepraksisen. Da vil prisen maksimalt settes til kostnadene tiltredende lege ville ha ved å opprette en tilsvarende praksis selv, eller at prisen er nåverdien av alle framtidige strømmer av inntekter fratrukket kostnader (inkludert kostnader ved materiell, husleieavtaler, vedlikehold, legesekretær, osv.) som praksisen er forventet å gi tiltredende lege (inkludert salgsverdi når tiltredende lege selv skal selge).</w:t>
      </w:r>
    </w:p>
    <w:p w14:paraId="56B632F1" w14:textId="3C4213B7" w:rsidR="002A156C" w:rsidRDefault="00182430" w:rsidP="008757C5">
      <w:r w:rsidRPr="00AC029D">
        <w:rPr>
          <w:shd w:val="clear" w:color="auto" w:fill="FFFFFF"/>
        </w:rPr>
        <w:t>I et velfungerende marked</w:t>
      </w:r>
      <w:r w:rsidR="007A6853">
        <w:rPr>
          <w:shd w:val="clear" w:color="auto" w:fill="FFFFFF"/>
        </w:rPr>
        <w:t>,</w:t>
      </w:r>
      <w:r w:rsidRPr="00AC029D">
        <w:rPr>
          <w:shd w:val="clear" w:color="auto" w:fill="FFFFFF"/>
        </w:rPr>
        <w:t xml:space="preserve"> med gode lånemuligheter, vil nåverdien av alle framtidige nettoinntektsstrømmer gjenspeile den forventede finansielle verdien av praksisen for tiltredende lege. En økning i basistilskuddet – eller i andre tilskudd til fastlegeordningen – vil da isolert sett medføre at prisen på en eksisterende praksis går opp. Over tid er det derfor vanskelig å se hvordan kriteriet om at driftsresultatet skal vektlegges ved fastsettelse av verdien av opparbeidet praksis, ikke skulle påvirkes av basistilskuddet.</w:t>
      </w:r>
    </w:p>
    <w:p w14:paraId="06D44155" w14:textId="10A4AA43" w:rsidR="00443EF8" w:rsidRDefault="00182430" w:rsidP="002A156C">
      <w:pPr>
        <w:jc w:val="both"/>
      </w:pPr>
      <w:r w:rsidRPr="008F5AD8">
        <w:t xml:space="preserve">Samtidig vil god og forutsigbar økonomi i fastlegeordningen kunne bidra til å redusere usikkerheten yngre leger kan </w:t>
      </w:r>
      <w:r w:rsidR="007A6853" w:rsidRPr="008F5AD8">
        <w:t>oppleve</w:t>
      </w:r>
      <w:r w:rsidRPr="008F5AD8">
        <w:t xml:space="preserve"> ved å gå inn i ordningen</w:t>
      </w:r>
      <w:r w:rsidR="007A6853" w:rsidRPr="008F5AD8">
        <w:t xml:space="preserve"> som næringsdrivende</w:t>
      </w:r>
      <w:r w:rsidRPr="008F5AD8">
        <w:t>, slik at rekrutteringssituasjonen bedres. Bedre rekruttering, og visshet om at det også i fr</w:t>
      </w:r>
      <w:r w:rsidR="0042536B" w:rsidRPr="008F5AD8">
        <w:t>a</w:t>
      </w:r>
      <w:r w:rsidRPr="008F5AD8">
        <w:t>mtiden vil være god rekruttering, kan være viktig for å få leger inn som næringsdrivende fastleger.</w:t>
      </w:r>
    </w:p>
    <w:p w14:paraId="389EB133" w14:textId="120424D2" w:rsidR="008935C7" w:rsidRDefault="469B5BFD" w:rsidP="00775632">
      <w:pPr>
        <w:pStyle w:val="Overskrift3"/>
        <w:rPr>
          <w:shd w:val="clear" w:color="auto" w:fill="FFFFFF"/>
        </w:rPr>
      </w:pPr>
      <w:bookmarkStart w:id="2084" w:name="_Toc122655270"/>
      <w:bookmarkStart w:id="2085" w:name="_Toc126834342"/>
      <w:bookmarkStart w:id="2086" w:name="_Toc127633216"/>
      <w:bookmarkStart w:id="2087" w:name="_Toc127864501"/>
      <w:bookmarkStart w:id="2088" w:name="_Toc128238509"/>
      <w:bookmarkStart w:id="2089" w:name="_Toc128741988"/>
      <w:bookmarkStart w:id="2090" w:name="_Toc128744583"/>
      <w:bookmarkStart w:id="2091" w:name="_Toc128744802"/>
      <w:bookmarkStart w:id="2092" w:name="_Toc129630304"/>
      <w:bookmarkStart w:id="2093" w:name="_Toc130763812"/>
      <w:bookmarkStart w:id="2094" w:name="_Toc130766707"/>
      <w:bookmarkStart w:id="2095" w:name="_Toc130932107"/>
      <w:bookmarkStart w:id="2096" w:name="_Toc130934398"/>
      <w:bookmarkStart w:id="2097" w:name="_Toc130983475"/>
      <w:bookmarkStart w:id="2098" w:name="_Toc130983824"/>
      <w:bookmarkStart w:id="2099" w:name="_Toc131062146"/>
      <w:bookmarkStart w:id="2100" w:name="_Toc131062400"/>
      <w:bookmarkStart w:id="2101" w:name="_Toc131062661"/>
      <w:bookmarkStart w:id="2102" w:name="_Toc131062914"/>
      <w:bookmarkStart w:id="2103" w:name="_Toc131063682"/>
      <w:bookmarkStart w:id="2104" w:name="_Toc131064107"/>
      <w:bookmarkStart w:id="2105" w:name="_Toc131238402"/>
      <w:bookmarkStart w:id="2106" w:name="_Toc131279433"/>
      <w:bookmarkStart w:id="2107" w:name="_Toc131286845"/>
      <w:bookmarkStart w:id="2108" w:name="_Toc131281255"/>
      <w:bookmarkStart w:id="2109" w:name="_Toc131317794"/>
      <w:bookmarkStart w:id="2110" w:name="_Toc132536973"/>
      <w:r w:rsidRPr="006A6F65">
        <w:rPr>
          <w:shd w:val="clear" w:color="auto" w:fill="FFFFFF"/>
        </w:rPr>
        <w:t>Mulige tiltak</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3BF144C3" w14:textId="77777777" w:rsidR="00D9107F" w:rsidRDefault="003E3FA3" w:rsidP="008757C5">
      <w:pPr>
        <w:rPr>
          <w:shd w:val="clear" w:color="auto" w:fill="FFFFFF"/>
        </w:rPr>
      </w:pPr>
      <w:r w:rsidRPr="00AC029D">
        <w:rPr>
          <w:shd w:val="clear" w:color="auto" w:fill="FFFFFF"/>
        </w:rPr>
        <w:t>Rekrutteringsproblemene gjør at mange kommuner i dag b</w:t>
      </w:r>
      <w:r w:rsidR="0042536B" w:rsidRPr="00AC029D">
        <w:rPr>
          <w:shd w:val="clear" w:color="auto" w:fill="FFFFFF"/>
        </w:rPr>
        <w:t>ruker</w:t>
      </w:r>
      <w:r w:rsidRPr="00AC029D">
        <w:rPr>
          <w:shd w:val="clear" w:color="auto" w:fill="FFFFFF"/>
        </w:rPr>
        <w:t xml:space="preserve"> store ressurser </w:t>
      </w:r>
      <w:r w:rsidR="0042536B" w:rsidRPr="00AC029D">
        <w:rPr>
          <w:shd w:val="clear" w:color="auto" w:fill="FFFFFF"/>
        </w:rPr>
        <w:t>på</w:t>
      </w:r>
      <w:r w:rsidR="00D247BA">
        <w:rPr>
          <w:shd w:val="clear" w:color="auto" w:fill="FFFFFF"/>
        </w:rPr>
        <w:t xml:space="preserve"> </w:t>
      </w:r>
      <w:r w:rsidRPr="00AC029D">
        <w:rPr>
          <w:shd w:val="clear" w:color="auto" w:fill="FFFFFF"/>
        </w:rPr>
        <w:t xml:space="preserve">å sikre gode allmennlegetjenester. For å rekruttere fastleger kjøper kommuner opp fastlegepraksiser, oppretter egne </w:t>
      </w:r>
      <w:r w:rsidR="007A6853">
        <w:rPr>
          <w:shd w:val="clear" w:color="auto" w:fill="FFFFFF"/>
        </w:rPr>
        <w:t xml:space="preserve">kommunale </w:t>
      </w:r>
      <w:r w:rsidRPr="00AC029D">
        <w:rPr>
          <w:shd w:val="clear" w:color="auto" w:fill="FFFFFF"/>
        </w:rPr>
        <w:t>fastlegekontorer, tilbyr attraktive 8.2-avtaler osv.</w:t>
      </w:r>
    </w:p>
    <w:p w14:paraId="66639037" w14:textId="34E4788B" w:rsidR="008935C7" w:rsidRPr="003B523F" w:rsidRDefault="003B2743" w:rsidP="00775632">
      <w:pPr>
        <w:pStyle w:val="Overskrift4"/>
        <w:rPr>
          <w:shd w:val="clear" w:color="auto" w:fill="FFFFFF"/>
        </w:rPr>
      </w:pPr>
      <w:bookmarkStart w:id="2111" w:name="_Toc131238403"/>
      <w:bookmarkStart w:id="2112" w:name="_Toc131279434"/>
      <w:bookmarkStart w:id="2113" w:name="_Toc131286846"/>
      <w:bookmarkStart w:id="2114" w:name="_Toc131281256"/>
      <w:bookmarkStart w:id="2115" w:name="_Toc131317795"/>
      <w:r>
        <w:rPr>
          <w:shd w:val="clear" w:color="auto" w:fill="FFFFFF"/>
        </w:rPr>
        <w:t>Prisgarantier og gjenkjøpsgarantier</w:t>
      </w:r>
      <w:bookmarkEnd w:id="2111"/>
      <w:bookmarkEnd w:id="2112"/>
      <w:bookmarkEnd w:id="2113"/>
      <w:bookmarkEnd w:id="2114"/>
      <w:bookmarkEnd w:id="2115"/>
    </w:p>
    <w:p w14:paraId="22715569" w14:textId="77777777" w:rsidR="00D9107F" w:rsidRPr="008F5AD8" w:rsidRDefault="00AE5049" w:rsidP="00AE5049">
      <w:pPr>
        <w:jc w:val="both"/>
      </w:pPr>
      <w:r w:rsidRPr="008F5AD8">
        <w:t xml:space="preserve">Leger som søker på en hjemmel, vet ikke i dag hva prisen for praksisen vil bli før forhandlingene med fratredende lege er sluttført. Ved overdragelse av praksis ved nemndsbehandling vet ikke </w:t>
      </w:r>
      <w:r w:rsidRPr="008F5AD8">
        <w:lastRenderedPageBreak/>
        <w:t>tiltredende lege engang hva prisen vil bli idet bindende avtale om å følge nemndas beslutning inngås.</w:t>
      </w:r>
    </w:p>
    <w:p w14:paraId="4BB2C484" w14:textId="476901A8" w:rsidR="008D1A43" w:rsidRPr="008F5AD8" w:rsidRDefault="00AE5049" w:rsidP="002A156C">
      <w:pPr>
        <w:jc w:val="both"/>
      </w:pPr>
      <w:r w:rsidRPr="008F5AD8">
        <w:t>Tilsvarende vil tiltredende lege kunne være usikker på praksisens prisutvikling i framtiden, noe som kan være en barriere for å overta en praksis. Tiltredende leger som ikke tidligere har eid en fastlegepraksis, kan også oppleve usikkerhet rundt hvilke forpliktelser man påtar seg som innehaver av en praksis, som kan bidra til at det oppleves utfordrende å skulle investere store summer i en praksis, som man er usikker på om man ønsker å drifte i lang tid.</w:t>
      </w:r>
    </w:p>
    <w:p w14:paraId="52E2C511" w14:textId="77777777" w:rsidR="00D9107F" w:rsidRPr="008F5AD8" w:rsidRDefault="00E951FA" w:rsidP="00840F95">
      <w:pPr>
        <w:jc w:val="both"/>
      </w:pPr>
      <w:r w:rsidRPr="008F5AD8">
        <w:t>Et mulig tiltak kan være at kommunen</w:t>
      </w:r>
      <w:r w:rsidRPr="00E951FA">
        <w:rPr>
          <w:shd w:val="clear" w:color="auto" w:fill="FFFFFF"/>
        </w:rPr>
        <w:t xml:space="preserve"> inngår avtale om</w:t>
      </w:r>
      <w:r w:rsidRPr="008F5AD8">
        <w:t xml:space="preserve"> å dekke kjøpskostnader opp til – eller</w:t>
      </w:r>
      <w:r w:rsidRPr="00E951FA">
        <w:rPr>
          <w:shd w:val="clear" w:color="auto" w:fill="FFFFFF"/>
        </w:rPr>
        <w:t xml:space="preserve"> over – et angitt beløp. En slik maksprisgaranti fra kommunen </w:t>
      </w:r>
      <w:r w:rsidR="00840F95">
        <w:rPr>
          <w:shd w:val="clear" w:color="auto" w:fill="FFFFFF"/>
        </w:rPr>
        <w:t xml:space="preserve">vil kunne bidra til å </w:t>
      </w:r>
      <w:r w:rsidRPr="00E951FA">
        <w:rPr>
          <w:shd w:val="clear" w:color="auto" w:fill="FFFFFF"/>
        </w:rPr>
        <w:t xml:space="preserve">redusere risikoen for tiltredende lege, og dermed øke mulighetene for at overdragelse finner sted. Slike garantier vil </w:t>
      </w:r>
      <w:r w:rsidR="00840F95">
        <w:rPr>
          <w:shd w:val="clear" w:color="auto" w:fill="FFFFFF"/>
        </w:rPr>
        <w:t xml:space="preserve">eksempelvis </w:t>
      </w:r>
      <w:r w:rsidRPr="00E951FA">
        <w:rPr>
          <w:shd w:val="clear" w:color="auto" w:fill="FFFFFF"/>
        </w:rPr>
        <w:t>kunne gis som lån, tilskudd eller på andre måter</w:t>
      </w:r>
      <w:r w:rsidRPr="008F5AD8">
        <w:t>.</w:t>
      </w:r>
    </w:p>
    <w:p w14:paraId="3233328B" w14:textId="77777777" w:rsidR="00D9107F" w:rsidRDefault="009E6A8D" w:rsidP="009E6A8D">
      <w:pPr>
        <w:jc w:val="both"/>
        <w:rPr>
          <w:color w:val="000000"/>
          <w:shd w:val="clear" w:color="auto" w:fill="FFFFFF"/>
        </w:rPr>
      </w:pPr>
      <w:r>
        <w:rPr>
          <w:color w:val="000000"/>
          <w:shd w:val="clear" w:color="auto" w:fill="FFFFFF"/>
        </w:rPr>
        <w:t>Når det ikke melder seg en annen lege som vil ta over, kjøper mange kommuner nå</w:t>
      </w:r>
      <w:r w:rsidR="00057AC9">
        <w:rPr>
          <w:color w:val="000000"/>
          <w:shd w:val="clear" w:color="auto" w:fill="FFFFFF"/>
        </w:rPr>
        <w:t xml:space="preserve"> selv praksisen for å kunne ivareta sitt sørge-for-ansvar og la en ny fastlege begynne å betjene innbyggerne. Gjennomsnittlig kompensasjon kommunene har betalt ved innløsning av hjemler er estimert til rundt en halv million kroner per hjemmel </w:t>
      </w:r>
      <w:r w:rsidR="00057AC9" w:rsidRPr="00AC029D">
        <w:fldChar w:fldCharType="begin"/>
      </w:r>
      <w:r w:rsidR="00A930FB">
        <w:instrText xml:space="preserve"> ADDIN EN.CITE &lt;EndNote&gt;&lt;Cite&gt;&lt;Author&gt;og&lt;/Author&gt;&lt;Year&gt;2022&lt;/Year&gt;&lt;RecNum&gt;858&lt;/RecNum&gt;&lt;DisplayText&gt;(og et al., 2022)&lt;/DisplayText&gt;&lt;record&gt;&lt;rec-number&gt;858&lt;/rec-number&gt;&lt;foreign-keys&gt;&lt;key app="EN" db-id="95tpr2tp6r9xwoea9rb5wdsz5ds5xeddteew" timestamp="1680069511"&gt;858&lt;/key&gt;&lt;/foreign-keys&gt;&lt;ref-type name="Report"&gt;27&lt;/ref-type&gt;&lt;contributors&gt;&lt;authors&gt;&lt;author&gt;Ipsos og&lt;/author&gt;&lt;author&gt;Samfunnsøkonomisk analyse,&lt;/author&gt;&lt;/authors&gt;&lt;tertiary-authors&gt;&lt;author&gt;Ipsos&lt;/author&gt;&lt;/tertiary-authors&gt;&lt;/contributors&gt;&lt;titles&gt;&lt;title&gt;Variasjoner i finansiering av fastlegeordningen : fjerde oppfølgingsundersøkelse&lt;/title&gt;&lt;/titles&gt;&lt;dates&gt;&lt;year&gt;2022&lt;/year&gt;&lt;/dates&gt;&lt;pub-location&gt;Oslo&lt;/pub-location&gt;&lt;urls&gt;&lt;/urls&gt;&lt;/record&gt;&lt;/Cite&gt;&lt;/EndNote&gt;</w:instrText>
      </w:r>
      <w:r w:rsidR="00057AC9" w:rsidRPr="00AC029D">
        <w:fldChar w:fldCharType="separate"/>
      </w:r>
      <w:r w:rsidR="00A930FB">
        <w:rPr>
          <w:noProof/>
        </w:rPr>
        <w:t>(og et al., 2022)</w:t>
      </w:r>
      <w:r w:rsidR="00057AC9" w:rsidRPr="00AC029D">
        <w:fldChar w:fldCharType="end"/>
      </w:r>
      <w:r w:rsidR="00057AC9" w:rsidRPr="00AC029D">
        <w:rPr>
          <w:shd w:val="clear" w:color="auto" w:fill="FFFFFF"/>
        </w:rPr>
        <w:t>.</w:t>
      </w:r>
      <w:r w:rsidR="00057AC9" w:rsidRPr="00AC029D">
        <w:t xml:space="preserve"> </w:t>
      </w:r>
      <w:r>
        <w:rPr>
          <w:color w:val="000000"/>
          <w:shd w:val="clear" w:color="auto" w:fill="FFFFFF"/>
        </w:rPr>
        <w:t>Ekspertutvalget har for lite kunnskap om hvordan kommunene opplever denne situasjonen, men i dialog med kommunesektoren kommer det fram at flere opplever det som svært uheldig når de må gå til det skritt å kjøpe opp en praksis.</w:t>
      </w:r>
    </w:p>
    <w:p w14:paraId="76411B36" w14:textId="77777777" w:rsidR="00D9107F" w:rsidRDefault="009E6A8D" w:rsidP="00057AC9">
      <w:pPr>
        <w:jc w:val="both"/>
        <w:rPr>
          <w:color w:val="000000"/>
          <w:shd w:val="clear" w:color="auto" w:fill="FFFFFF"/>
        </w:rPr>
      </w:pPr>
      <w:r>
        <w:rPr>
          <w:color w:val="000000"/>
          <w:shd w:val="clear" w:color="auto" w:fill="FFFFFF"/>
        </w:rPr>
        <w:t>For å gjøre terskelen lavere for tiltredende leger for å investere i praksis, er ekspertutvalget kjent med at enkelte</w:t>
      </w:r>
      <w:r>
        <w:rPr>
          <w:rFonts w:ascii="Times New Roman" w:hAnsi="Times New Roman" w:cs="Times New Roman"/>
        </w:rPr>
        <w:t xml:space="preserve"> </w:t>
      </w:r>
      <w:r>
        <w:t xml:space="preserve">kommuner har stilt garanti om en minimumspris for praksisen ved framtidig avhendelse. </w:t>
      </w:r>
      <w:r>
        <w:rPr>
          <w:color w:val="000000"/>
          <w:shd w:val="clear" w:color="auto" w:fill="FFFFFF"/>
        </w:rPr>
        <w:t xml:space="preserve">Det kan i dagens situasjon argumenteres for at en mulighet til å kunne stille gjenkjøpsgarantier kan være den ressursmessige beste løsningen for mange kommuner, fordi alternativet ofte vil være at kommunen selv </w:t>
      </w:r>
      <w:r w:rsidR="00D66CA5">
        <w:rPr>
          <w:color w:val="000000"/>
          <w:shd w:val="clear" w:color="auto" w:fill="FFFFFF"/>
        </w:rPr>
        <w:t xml:space="preserve">ser seg nødt til å </w:t>
      </w:r>
      <w:r>
        <w:rPr>
          <w:color w:val="000000"/>
          <w:shd w:val="clear" w:color="auto" w:fill="FFFFFF"/>
        </w:rPr>
        <w:t xml:space="preserve">kjøpe </w:t>
      </w:r>
      <w:r w:rsidR="00D66CA5">
        <w:rPr>
          <w:color w:val="000000"/>
          <w:shd w:val="clear" w:color="auto" w:fill="FFFFFF"/>
        </w:rPr>
        <w:t>ut</w:t>
      </w:r>
      <w:r>
        <w:rPr>
          <w:color w:val="000000"/>
          <w:shd w:val="clear" w:color="auto" w:fill="FFFFFF"/>
        </w:rPr>
        <w:t xml:space="preserve"> praksisen fra fratredende lege, for å kunne la en ny fastlege begynne å betjene listeinnbyggerne.</w:t>
      </w:r>
      <w:r>
        <w:t xml:space="preserve"> </w:t>
      </w:r>
      <w:r>
        <w:rPr>
          <w:color w:val="000000"/>
          <w:shd w:val="clear" w:color="auto" w:fill="FFFFFF"/>
        </w:rPr>
        <w:t>Dette synes iallfall å være en utbredt forståelse av rammeavtalens pkt. 5.6, om at fratredende lege har en rett til å selge sin praksis før en ny fastlege kan begynne å betjene hjemmelen.</w:t>
      </w:r>
    </w:p>
    <w:p w14:paraId="7B57A145" w14:textId="6D560254" w:rsidR="00670066" w:rsidRPr="00AC029D" w:rsidRDefault="0031475A" w:rsidP="002A156C">
      <w:pPr>
        <w:jc w:val="both"/>
        <w:rPr>
          <w:shd w:val="clear" w:color="auto" w:fill="FFFFFF"/>
        </w:rPr>
      </w:pPr>
      <w:r w:rsidRPr="00AC029D">
        <w:rPr>
          <w:shd w:val="clear" w:color="auto" w:fill="FFFFFF"/>
        </w:rPr>
        <w:t xml:space="preserve">Det har </w:t>
      </w:r>
      <w:r w:rsidR="00685B41">
        <w:rPr>
          <w:shd w:val="clear" w:color="auto" w:fill="FFFFFF"/>
        </w:rPr>
        <w:t>imidlertid</w:t>
      </w:r>
      <w:r w:rsidR="00AC1B74">
        <w:rPr>
          <w:shd w:val="clear" w:color="auto" w:fill="FFFFFF"/>
        </w:rPr>
        <w:t xml:space="preserve"> </w:t>
      </w:r>
      <w:r w:rsidRPr="00AC029D">
        <w:rPr>
          <w:shd w:val="clear" w:color="auto" w:fill="FFFFFF"/>
        </w:rPr>
        <w:t xml:space="preserve">vært diskutert om slike prisgarantier kan være i strid med kommuneloven </w:t>
      </w:r>
      <w:r w:rsidR="00D9107F">
        <w:rPr>
          <w:shd w:val="clear" w:color="auto" w:fill="FFFFFF"/>
        </w:rPr>
        <w:t>§ </w:t>
      </w:r>
      <w:r w:rsidR="00D9107F" w:rsidRPr="00AC029D">
        <w:rPr>
          <w:shd w:val="clear" w:color="auto" w:fill="FFFFFF"/>
        </w:rPr>
        <w:t>1</w:t>
      </w:r>
      <w:r w:rsidRPr="00AC029D">
        <w:rPr>
          <w:shd w:val="clear" w:color="auto" w:fill="FFFFFF"/>
        </w:rPr>
        <w:t>4-19</w:t>
      </w:r>
      <w:r w:rsidRPr="00AC029D">
        <w:t>,</w:t>
      </w:r>
      <w:r w:rsidRPr="00AC029D">
        <w:rPr>
          <w:shd w:val="clear" w:color="auto" w:fill="FFFFFF"/>
        </w:rPr>
        <w:t xml:space="preserve"> som begrenser kommunens mulighet til å stille kausjon eller annen økonomisk garanti for virksomhet som drives av andre enn kommunen selv, hvis garantien innebærer en vesentlig økonomisk risiko eller er stilt for næringsvirksomhet</w:t>
      </w:r>
      <w:r w:rsidR="00A20D2E">
        <w:rPr>
          <w:shd w:val="clear" w:color="auto" w:fill="FFFFFF"/>
        </w:rPr>
        <w:t xml:space="preserve"> </w:t>
      </w:r>
      <w:r w:rsidR="00D078E3">
        <w:rPr>
          <w:shd w:val="clear" w:color="auto" w:fill="FFFFFF"/>
        </w:rPr>
        <w:fldChar w:fldCharType="begin"/>
      </w:r>
      <w:r w:rsidR="00D078E3">
        <w:rPr>
          <w:shd w:val="clear" w:color="auto" w:fill="FFFFFF"/>
        </w:rPr>
        <w:instrText xml:space="preserve"> ADDIN EN.CITE &lt;EndNote&gt;&lt;Cite ExcludeAuth="1"&gt;&lt;Year&gt;2021&lt;/Year&gt;&lt;RecNum&gt;469&lt;/RecNum&gt;&lt;DisplayText&gt;(&lt;style face="italic"&gt;Lov om kommuner og fylkeskommuner (kommuneloven)&lt;/style&gt;, 2021)&lt;/DisplayText&gt;&lt;record&gt;&lt;rec-number&gt;469&lt;/rec-number&gt;&lt;foreign-keys&gt;&lt;key app="EN" db-id="95tpr2tp6r9xwoea9rb5wdsz5ds5xeddteew" timestamp="1680069511"&gt;469&lt;/key&gt;&lt;/foreign-keys&gt;&lt;ref-type name="Legal Rule or Regulation"&gt;50&lt;/ref-type&gt;&lt;contributors&gt;&lt;/contributors&gt;&lt;titles&gt;&lt;title&gt;Lov om kommuner og fylkeskommuner (kommuneloven)&lt;/title&gt;&lt;secondary-title&gt;LOV-2018-06-22-83&lt;/secondary-title&gt;&lt;/titles&gt;&lt;edition&gt;LOV-2021-04-23-24&lt;/edition&gt;&lt;dates&gt;&lt;year&gt;2021&lt;/year&gt;&lt;/dates&gt;&lt;urls&gt;&lt;related-urls&gt;&lt;url&gt;https://lovdata.no/dokument/NL/lov/2018-06-22-83&lt;/url&gt;&lt;/related-urls&gt;&lt;/urls&gt;&lt;/record&gt;&lt;/Cite&gt;&lt;/EndNote&gt;</w:instrText>
      </w:r>
      <w:r w:rsidR="00D078E3">
        <w:rPr>
          <w:shd w:val="clear" w:color="auto" w:fill="FFFFFF"/>
        </w:rPr>
        <w:fldChar w:fldCharType="separate"/>
      </w:r>
      <w:r w:rsidR="00D078E3">
        <w:rPr>
          <w:noProof/>
          <w:shd w:val="clear" w:color="auto" w:fill="FFFFFF"/>
        </w:rPr>
        <w:t>(</w:t>
      </w:r>
      <w:r w:rsidR="00D078E3" w:rsidRPr="00D9107F">
        <w:rPr>
          <w:rStyle w:val="kursiv"/>
        </w:rPr>
        <w:t>Lov om kommuner og fylkeskommuner (kommuneloven)</w:t>
      </w:r>
      <w:r w:rsidR="00D078E3">
        <w:rPr>
          <w:noProof/>
          <w:shd w:val="clear" w:color="auto" w:fill="FFFFFF"/>
        </w:rPr>
        <w:t>, 2021)</w:t>
      </w:r>
      <w:r w:rsidR="00D078E3">
        <w:rPr>
          <w:shd w:val="clear" w:color="auto" w:fill="FFFFFF"/>
        </w:rPr>
        <w:fldChar w:fldCharType="end"/>
      </w:r>
      <w:r w:rsidRPr="00AC029D">
        <w:rPr>
          <w:shd w:val="clear" w:color="auto" w:fill="FFFFFF"/>
        </w:rPr>
        <w:t>. Bakgrunnen for bestemmelsen er et behov for å beskytte kommunens økonomi mot den type økonomisk risiko som garantistillelse kan bidra til</w:t>
      </w:r>
      <w:r w:rsidR="000159E4">
        <w:rPr>
          <w:shd w:val="clear" w:color="auto" w:fill="FFFFFF"/>
        </w:rPr>
        <w:t>.</w:t>
      </w:r>
    </w:p>
    <w:p w14:paraId="75E2F590" w14:textId="35B66E2A" w:rsidR="0095184B" w:rsidRDefault="00343A03" w:rsidP="002A156C">
      <w:pPr>
        <w:jc w:val="both"/>
        <w:rPr>
          <w:shd w:val="clear" w:color="auto" w:fill="FFFFFF"/>
        </w:rPr>
      </w:pPr>
      <w:r>
        <w:t xml:space="preserve">Kommunal- og distriktsdepartementet har i brev til Statsforvalteren i Rogaland, datert 13. </w:t>
      </w:r>
      <w:r>
        <w:rPr>
          <w:shd w:val="clear" w:color="auto" w:fill="FFFFFF"/>
        </w:rPr>
        <w:t>desember 2022</w:t>
      </w:r>
      <w:r w:rsidR="0095184B">
        <w:rPr>
          <w:shd w:val="clear" w:color="auto" w:fill="FFFFFF"/>
        </w:rPr>
        <w:t>, vurdert at forbudet mot</w:t>
      </w:r>
      <w:r w:rsidR="00894B11" w:rsidDel="004A199A">
        <w:rPr>
          <w:shd w:val="clear" w:color="auto" w:fill="FFFFFF"/>
        </w:rPr>
        <w:t xml:space="preserve"> </w:t>
      </w:r>
      <w:r w:rsidR="00D92759">
        <w:rPr>
          <w:shd w:val="clear" w:color="auto" w:fill="FFFFFF"/>
        </w:rPr>
        <w:t>å</w:t>
      </w:r>
      <w:r w:rsidR="00894B11">
        <w:rPr>
          <w:shd w:val="clear" w:color="auto" w:fill="FFFFFF"/>
        </w:rPr>
        <w:t xml:space="preserve"> stille garanti for næringsvirksomhet i kommuneloven </w:t>
      </w:r>
      <w:r w:rsidR="00D9107F">
        <w:rPr>
          <w:shd w:val="clear" w:color="auto" w:fill="FFFFFF"/>
        </w:rPr>
        <w:t>§ 1</w:t>
      </w:r>
      <w:r w:rsidR="00894B11">
        <w:rPr>
          <w:shd w:val="clear" w:color="auto" w:fill="FFFFFF"/>
        </w:rPr>
        <w:t xml:space="preserve">4-19, </w:t>
      </w:r>
      <w:r w:rsidR="00D92759">
        <w:rPr>
          <w:shd w:val="clear" w:color="auto" w:fill="FFFFFF"/>
        </w:rPr>
        <w:t>normalt vil innebære</w:t>
      </w:r>
      <w:r w:rsidR="00894B11">
        <w:rPr>
          <w:shd w:val="clear" w:color="auto" w:fill="FFFFFF"/>
        </w:rPr>
        <w:t xml:space="preserve"> at</w:t>
      </w:r>
      <w:r w:rsidR="00D92759">
        <w:rPr>
          <w:shd w:val="clear" w:color="auto" w:fill="FFFFFF"/>
        </w:rPr>
        <w:t xml:space="preserve"> kommunen ikke kan stille slike gjenkjøpsgarantier overfor næringsdrivende fastleger</w:t>
      </w:r>
      <w:r w:rsidR="0030418F">
        <w:rPr>
          <w:shd w:val="clear" w:color="auto" w:fill="FFFFFF"/>
        </w:rPr>
        <w:t xml:space="preserve"> </w:t>
      </w:r>
      <w:r w:rsidR="00D078E3">
        <w:rPr>
          <w:shd w:val="clear" w:color="auto" w:fill="FFFFFF"/>
        </w:rPr>
        <w:fldChar w:fldCharType="begin"/>
      </w:r>
      <w:r w:rsidR="00CE2F35">
        <w:rPr>
          <w:shd w:val="clear" w:color="auto" w:fill="FFFFFF"/>
        </w:rPr>
        <w:instrText xml:space="preserve"> ADDIN EN.CITE &lt;EndNote&gt;&lt;Cite&gt;&lt;Author&gt;Kommunal- og distriktsdepartementet&lt;/Author&gt;&lt;Year&gt;2022&lt;/Year&gt;&lt;RecNum&gt;940&lt;/RecNum&gt;&lt;DisplayText&gt;(Kommunal- og distriktsdepartementet, 2022b)&lt;/DisplayText&gt;&lt;record&gt;&lt;rec-number&gt;940&lt;/rec-number&gt;&lt;foreign-keys&gt;&lt;key app="EN" db-id="95tpr2tp6r9xwoea9rb5wdsz5ds5xeddteew" timestamp="1680221198"&gt;940&lt;/key&gt;&lt;/foreign-keys&gt;&lt;ref-type name="Unpublished Work"&gt;34&lt;/ref-type&gt;&lt;contributors&gt;&lt;authors&gt;&lt;author&gt;Kommunal- og distriktsdepartementet,&lt;/author&gt;&lt;/authors&gt;&lt;/contributors&gt;&lt;titles&gt;&lt;title&gt;Svar på spørsmål om tolkningen av kommuneloven § 14-19 – Gjenkjøpsgarantier for fastlegevirksomhet. Brev til Statsforvalteren i Rogaland, ref. 22/4558-3. &lt;/title&gt;&lt;/titles&gt;&lt;dates&gt;&lt;year&gt;2022&lt;/year&gt;&lt;/dates&gt;&lt;urls&gt;&lt;/urls&gt;&lt;/record&gt;&lt;/Cite&gt;&lt;/EndNote&gt;</w:instrText>
      </w:r>
      <w:r w:rsidR="00D078E3">
        <w:rPr>
          <w:shd w:val="clear" w:color="auto" w:fill="FFFFFF"/>
        </w:rPr>
        <w:fldChar w:fldCharType="separate"/>
      </w:r>
      <w:r w:rsidR="00CE2F35">
        <w:rPr>
          <w:noProof/>
          <w:shd w:val="clear" w:color="auto" w:fill="FFFFFF"/>
        </w:rPr>
        <w:t>(Kommunal- og distriktsdepartementet, 2022b)</w:t>
      </w:r>
      <w:r w:rsidR="00D078E3">
        <w:rPr>
          <w:shd w:val="clear" w:color="auto" w:fill="FFFFFF"/>
        </w:rPr>
        <w:fldChar w:fldCharType="end"/>
      </w:r>
      <w:r w:rsidR="00D92759">
        <w:rPr>
          <w:shd w:val="clear" w:color="auto" w:fill="FFFFFF"/>
        </w:rPr>
        <w:t xml:space="preserve">. </w:t>
      </w:r>
      <w:r w:rsidR="00D92759" w:rsidRPr="007D6758">
        <w:rPr>
          <w:shd w:val="clear" w:color="auto" w:fill="FFFFFF"/>
        </w:rPr>
        <w:t xml:space="preserve">Kommunelovens </w:t>
      </w:r>
      <w:r w:rsidR="00D92759" w:rsidRPr="007D6758">
        <w:rPr>
          <w:shd w:val="clear" w:color="auto" w:fill="FFFFFF"/>
        </w:rPr>
        <w:lastRenderedPageBreak/>
        <w:t>forbud mot å garantere for næringsvirksomhet</w:t>
      </w:r>
      <w:r w:rsidR="00B15A08">
        <w:rPr>
          <w:shd w:val="clear" w:color="auto" w:fill="FFFFFF"/>
        </w:rPr>
        <w:t>,</w:t>
      </w:r>
      <w:r w:rsidR="00D92759">
        <w:rPr>
          <w:shd w:val="clear" w:color="auto" w:fill="FFFFFF"/>
        </w:rPr>
        <w:t xml:space="preserve"> er</w:t>
      </w:r>
      <w:r w:rsidR="00D92759" w:rsidRPr="007D6758">
        <w:rPr>
          <w:shd w:val="clear" w:color="auto" w:fill="FFFFFF"/>
        </w:rPr>
        <w:t xml:space="preserve"> ment å være en ekstra mekanisme for å sikre at kommunen ikke påtar seg markedsrisiko.</w:t>
      </w:r>
      <w:r w:rsidR="00D92759">
        <w:rPr>
          <w:shd w:val="clear" w:color="auto" w:fill="FFFFFF"/>
        </w:rPr>
        <w:t xml:space="preserve"> Departementet påpeker at formålet med en gjenkjøpsgaranti kan anses å være å bidra til å opprettholde markedet for private fastlegepraksiser, og det trekker i retning av at en slik gjenkjøpsgaranti </w:t>
      </w:r>
      <w:r w:rsidR="00894B11">
        <w:rPr>
          <w:shd w:val="clear" w:color="auto" w:fill="FFFFFF"/>
        </w:rPr>
        <w:t xml:space="preserve">innebærer at </w:t>
      </w:r>
      <w:r w:rsidR="00D92759">
        <w:rPr>
          <w:shd w:val="clear" w:color="auto" w:fill="FFFFFF"/>
        </w:rPr>
        <w:t>kommunen avlaster næringsvirksomhet for markedsrisiko som slik virksomhet burde bære selv.</w:t>
      </w:r>
    </w:p>
    <w:p w14:paraId="46514374" w14:textId="5CC628B4" w:rsidR="00A04F0A" w:rsidRDefault="00A04F0A" w:rsidP="002A156C">
      <w:pPr>
        <w:jc w:val="both"/>
        <w:rPr>
          <w:shd w:val="clear" w:color="auto" w:fill="FFFFFF"/>
        </w:rPr>
      </w:pPr>
      <w:r w:rsidRPr="00A04F0A">
        <w:rPr>
          <w:shd w:val="clear" w:color="auto" w:fill="FFFFFF"/>
        </w:rPr>
        <w:t>Ekspertutvalget ser at det kan være behov for enda tydeligere juridisk avklaring på dette området.</w:t>
      </w:r>
    </w:p>
    <w:p w14:paraId="4907DD71" w14:textId="4F0DBEE3" w:rsidR="008935C7" w:rsidRPr="006A6F65" w:rsidRDefault="2063B9A8" w:rsidP="00775632">
      <w:pPr>
        <w:pStyle w:val="Overskrift4"/>
        <w:rPr>
          <w:shd w:val="clear" w:color="auto" w:fill="FFFFFF"/>
        </w:rPr>
      </w:pPr>
      <w:bookmarkStart w:id="2116" w:name="_Toc130983477"/>
      <w:bookmarkStart w:id="2117" w:name="_Toc130983826"/>
      <w:bookmarkStart w:id="2118" w:name="_Toc131062148"/>
      <w:bookmarkStart w:id="2119" w:name="_Toc131062402"/>
      <w:bookmarkStart w:id="2120" w:name="_Toc131062663"/>
      <w:bookmarkStart w:id="2121" w:name="_Toc131062916"/>
      <w:bookmarkStart w:id="2122" w:name="_Toc131063684"/>
      <w:bookmarkStart w:id="2123" w:name="_Toc131064109"/>
      <w:bookmarkStart w:id="2124" w:name="_Toc131238404"/>
      <w:bookmarkStart w:id="2125" w:name="_Toc131279435"/>
      <w:bookmarkStart w:id="2126" w:name="_Toc131286847"/>
      <w:bookmarkStart w:id="2127" w:name="_Toc131281257"/>
      <w:bookmarkStart w:id="2128" w:name="_Toc131317796"/>
      <w:r w:rsidRPr="006A6F65">
        <w:rPr>
          <w:shd w:val="clear" w:color="auto" w:fill="FFFFFF"/>
        </w:rPr>
        <w:t xml:space="preserve">Styrket </w:t>
      </w:r>
      <w:r w:rsidR="3D9E91A9">
        <w:rPr>
          <w:shd w:val="clear" w:color="auto" w:fill="FFFFFF"/>
        </w:rPr>
        <w:t>grunn</w:t>
      </w:r>
      <w:r w:rsidRPr="006A6F65">
        <w:t>tilskudd</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1F1C7CC4" w14:textId="77777777" w:rsidR="00D9107F" w:rsidRDefault="00CD385F" w:rsidP="002A156C">
      <w:pPr>
        <w:jc w:val="both"/>
      </w:pPr>
      <w:r w:rsidRPr="09C7D7CC">
        <w:t xml:space="preserve">Det kan være en motsetning mellom tiltak som bidrar til at flere av dagens fastleger står lenger i jobben, og tiltak som bidrar til at flere leger ønsker å bli fastlege. Mens </w:t>
      </w:r>
      <w:r w:rsidRPr="008F5AD8">
        <w:t>bedre</w:t>
      </w:r>
      <w:r w:rsidRPr="09C7D7CC">
        <w:t xml:space="preserve"> finansiering av dagens praksiser (økt basistilskudd, økte egenandeler og refusjoner) kan medføre at dagens fastleger står lenger i jobben, kan </w:t>
      </w:r>
      <w:r w:rsidRPr="008F5AD8">
        <w:t>dette</w:t>
      </w:r>
      <w:r w:rsidRPr="09C7D7CC">
        <w:t xml:space="preserve"> også</w:t>
      </w:r>
      <w:r w:rsidR="00EC203C">
        <w:t>, med dagens modell for verdsetting og overdragelse av fastlegepraksiser,</w:t>
      </w:r>
      <w:r w:rsidRPr="09C7D7CC">
        <w:t xml:space="preserve"> føre til at prisen på fastlegepraksiser går opp, noe som vil kunne redusere unge legers vilje og evne til å kjøpe en praksis og bli fastlege. </w:t>
      </w:r>
      <w:r w:rsidRPr="008F5AD8">
        <w:t>Dersom ikke</w:t>
      </w:r>
      <w:r w:rsidRPr="09C7D7CC">
        <w:t xml:space="preserve"> økt </w:t>
      </w:r>
      <w:r w:rsidRPr="008F5AD8">
        <w:t xml:space="preserve">driftsresultat </w:t>
      </w:r>
      <w:r w:rsidRPr="09C7D7CC">
        <w:t xml:space="preserve">slår ut i </w:t>
      </w:r>
      <w:r w:rsidRPr="008F5AD8">
        <w:t xml:space="preserve">langt </w:t>
      </w:r>
      <w:r w:rsidRPr="09C7D7CC">
        <w:t xml:space="preserve">høyere </w:t>
      </w:r>
      <w:r w:rsidR="00EC203C">
        <w:t xml:space="preserve">verdi, og dermed </w:t>
      </w:r>
      <w:r w:rsidRPr="09C7D7CC">
        <w:t>pris</w:t>
      </w:r>
      <w:r w:rsidR="00EC203C">
        <w:t>,</w:t>
      </w:r>
      <w:r w:rsidRPr="09C7D7CC">
        <w:t xml:space="preserve"> på praksisen, vil det økte driftsresultatet </w:t>
      </w:r>
      <w:r w:rsidRPr="008F5AD8">
        <w:t xml:space="preserve">likevel </w:t>
      </w:r>
      <w:r w:rsidRPr="09C7D7CC">
        <w:t>gjøre kjøper i bedre stand til å håndtere denne investeringen.</w:t>
      </w:r>
    </w:p>
    <w:p w14:paraId="34EA3E02" w14:textId="77777777" w:rsidR="00D9107F" w:rsidRDefault="00CD385F" w:rsidP="002A156C">
      <w:pPr>
        <w:jc w:val="both"/>
        <w:rPr>
          <w:rFonts w:cstheme="minorHAnsi"/>
        </w:rPr>
      </w:pPr>
      <w:r w:rsidRPr="002547DA">
        <w:rPr>
          <w:rFonts w:cstheme="minorHAnsi"/>
        </w:rPr>
        <w:t>Fastleger som starter med en 0-liste kan i dag få et basistilskudd tilsvarende 500 listepasienter i inntil to år. Dette kalles grunntilskudd</w:t>
      </w:r>
      <w:r w:rsidR="00EC203C" w:rsidRPr="002547DA">
        <w:rPr>
          <w:rFonts w:cstheme="minorHAnsi"/>
        </w:rPr>
        <w:t>,</w:t>
      </w:r>
      <w:r w:rsidRPr="002547DA">
        <w:rPr>
          <w:rFonts w:cstheme="minorHAnsi"/>
        </w:rPr>
        <w:t xml:space="preserve"> og er ment å gi legen en sikkerhet for minimumsinntekter </w:t>
      </w:r>
      <w:r w:rsidR="00EC203C" w:rsidRPr="002547DA">
        <w:rPr>
          <w:rFonts w:cstheme="minorHAnsi"/>
        </w:rPr>
        <w:t>under</w:t>
      </w:r>
      <w:r w:rsidRPr="002547DA">
        <w:rPr>
          <w:rFonts w:cstheme="minorHAnsi"/>
        </w:rPr>
        <w:t xml:space="preserve"> oppbyggingen av en ny liste.</w:t>
      </w:r>
    </w:p>
    <w:p w14:paraId="509CF231" w14:textId="22EB38AE" w:rsidR="002A156C" w:rsidRDefault="00CD385F" w:rsidP="002A156C">
      <w:pPr>
        <w:jc w:val="both"/>
      </w:pPr>
      <w:r w:rsidRPr="002547DA">
        <w:rPr>
          <w:rFonts w:cstheme="minorHAnsi"/>
        </w:rPr>
        <w:t>E</w:t>
      </w:r>
      <w:r w:rsidRPr="09C7D7CC">
        <w:t>n styrking eller utvidelse av grunntilskuddet</w:t>
      </w:r>
      <w:r w:rsidR="00FD28CA">
        <w:t xml:space="preserve">, for eksempel ved å heve </w:t>
      </w:r>
      <w:r w:rsidR="008C3279">
        <w:t xml:space="preserve">grensen på 500 pasienter eller </w:t>
      </w:r>
      <w:r w:rsidR="00F86911">
        <w:t xml:space="preserve">grensen </w:t>
      </w:r>
      <w:r w:rsidR="00E513D7">
        <w:t xml:space="preserve">på to år, </w:t>
      </w:r>
      <w:r>
        <w:t>kan</w:t>
      </w:r>
      <w:r w:rsidRPr="008F5AD8">
        <w:t xml:space="preserve"> </w:t>
      </w:r>
      <w:r w:rsidRPr="09C7D7CC">
        <w:t xml:space="preserve">gjøre det mer gunstig for en lege å bli fastlege gjennom å bygge </w:t>
      </w:r>
      <w:r w:rsidRPr="008F5AD8">
        <w:t xml:space="preserve">opp </w:t>
      </w:r>
      <w:r w:rsidRPr="09C7D7CC">
        <w:t>sin egen 0-liste. Styrket grunntilskudd vil ta ned den økonomiske risikoen forbundet med lav listelengde</w:t>
      </w:r>
      <w:r>
        <w:t xml:space="preserve"> i starten</w:t>
      </w:r>
      <w:r w:rsidRPr="09C7D7CC">
        <w:t>, samtidig som legen kan ha kostnader til å kjøpe seg inn i et etablert legekontor med betaling for utstyr og verdien av opparbeidet praksis.</w:t>
      </w:r>
      <w:r>
        <w:t xml:space="preserve"> </w:t>
      </w:r>
      <w:r w:rsidRPr="008F5AD8">
        <w:t xml:space="preserve">Flere 0-hjemler </w:t>
      </w:r>
      <w:r w:rsidRPr="002547DA">
        <w:rPr>
          <w:rFonts w:cstheme="minorHAnsi"/>
        </w:rPr>
        <w:t>vil imidlertid kunne redusere listelengden og inntektene for de etablerte legene i et område, og dermed også prisen på deres praksiser.</w:t>
      </w:r>
    </w:p>
    <w:p w14:paraId="1E977B5C" w14:textId="77777777" w:rsidR="00D9107F" w:rsidRDefault="00CD385F" w:rsidP="002A156C">
      <w:pPr>
        <w:jc w:val="both"/>
      </w:pPr>
      <w:r w:rsidRPr="002547DA">
        <w:rPr>
          <w:rFonts w:cstheme="minorHAnsi"/>
        </w:rPr>
        <w:t xml:space="preserve">Ut over å starte med 0-lister, kunne man tenke seg </w:t>
      </w:r>
      <w:r w:rsidR="004414A9" w:rsidRPr="002547DA">
        <w:rPr>
          <w:rFonts w:cstheme="minorHAnsi"/>
        </w:rPr>
        <w:t xml:space="preserve">en ny ordning der </w:t>
      </w:r>
      <w:r w:rsidR="003B125D" w:rsidRPr="002547DA">
        <w:rPr>
          <w:rFonts w:cstheme="minorHAnsi"/>
        </w:rPr>
        <w:t>grunntilskuddet utvides</w:t>
      </w:r>
      <w:r w:rsidR="00670066" w:rsidRPr="002547DA">
        <w:rPr>
          <w:rFonts w:cstheme="minorHAnsi"/>
        </w:rPr>
        <w:t>,</w:t>
      </w:r>
      <w:r w:rsidR="003B125D" w:rsidRPr="002547DA">
        <w:rPr>
          <w:rFonts w:cstheme="minorHAnsi"/>
        </w:rPr>
        <w:t xml:space="preserve"> slik at det </w:t>
      </w:r>
      <w:r w:rsidR="009D1634" w:rsidRPr="002547DA">
        <w:rPr>
          <w:rFonts w:cstheme="minorHAnsi"/>
        </w:rPr>
        <w:t xml:space="preserve">også </w:t>
      </w:r>
      <w:r w:rsidR="0078635A" w:rsidRPr="002547DA">
        <w:rPr>
          <w:rFonts w:cstheme="minorHAnsi"/>
        </w:rPr>
        <w:t xml:space="preserve">kan </w:t>
      </w:r>
      <w:r w:rsidR="003B125D" w:rsidRPr="002547DA">
        <w:rPr>
          <w:rFonts w:cstheme="minorHAnsi"/>
        </w:rPr>
        <w:t xml:space="preserve">benyttes </w:t>
      </w:r>
      <w:r w:rsidR="0078635A" w:rsidRPr="002547DA">
        <w:rPr>
          <w:rFonts w:cstheme="minorHAnsi"/>
        </w:rPr>
        <w:t xml:space="preserve">til </w:t>
      </w:r>
      <w:r w:rsidR="004F162E" w:rsidRPr="002547DA">
        <w:rPr>
          <w:rFonts w:cstheme="minorHAnsi"/>
        </w:rPr>
        <w:t xml:space="preserve">subsidiering av </w:t>
      </w:r>
      <w:r w:rsidR="004109BF" w:rsidRPr="002547DA">
        <w:rPr>
          <w:rFonts w:cstheme="minorHAnsi"/>
        </w:rPr>
        <w:t xml:space="preserve">tiltredende leges praksiskjøp. </w:t>
      </w:r>
      <w:r w:rsidR="00276368" w:rsidRPr="002547DA">
        <w:rPr>
          <w:rFonts w:cstheme="minorHAnsi"/>
        </w:rPr>
        <w:t>For eksempel kunne ordningen vært at e</w:t>
      </w:r>
      <w:r w:rsidRPr="002547DA">
        <w:rPr>
          <w:rFonts w:cstheme="minorHAnsi"/>
        </w:rPr>
        <w:t xml:space="preserve">n ny lege </w:t>
      </w:r>
      <w:r w:rsidR="005D4FEA" w:rsidRPr="002547DA">
        <w:rPr>
          <w:rFonts w:cstheme="minorHAnsi"/>
        </w:rPr>
        <w:t xml:space="preserve">kan </w:t>
      </w:r>
      <w:r w:rsidRPr="002547DA">
        <w:rPr>
          <w:rFonts w:cstheme="minorHAnsi"/>
        </w:rPr>
        <w:t xml:space="preserve">benytte et styrket </w:t>
      </w:r>
      <w:r w:rsidR="008F57D7" w:rsidRPr="002547DA">
        <w:rPr>
          <w:rFonts w:cstheme="minorHAnsi"/>
        </w:rPr>
        <w:t xml:space="preserve">og utvidet </w:t>
      </w:r>
      <w:r w:rsidRPr="002547DA">
        <w:rPr>
          <w:rFonts w:cstheme="minorHAnsi"/>
        </w:rPr>
        <w:t xml:space="preserve">grunntilskudd til å finansiere kjøpet av en eksisterende praksis ved overtakelse av en eksisterende hjemmel. </w:t>
      </w:r>
      <w:r w:rsidR="00442871" w:rsidRPr="002547DA">
        <w:rPr>
          <w:rFonts w:cstheme="minorHAnsi"/>
        </w:rPr>
        <w:t>Dette vil</w:t>
      </w:r>
      <w:r w:rsidR="003B5C9E" w:rsidRPr="002547DA">
        <w:rPr>
          <w:rFonts w:cstheme="minorHAnsi"/>
        </w:rPr>
        <w:t>le kunne</w:t>
      </w:r>
      <w:r w:rsidR="00442871" w:rsidRPr="002547DA">
        <w:rPr>
          <w:rFonts w:cstheme="minorHAnsi"/>
        </w:rPr>
        <w:t xml:space="preserve"> </w:t>
      </w:r>
      <w:r w:rsidR="00EE2665" w:rsidRPr="002547DA">
        <w:rPr>
          <w:rFonts w:cstheme="minorHAnsi"/>
        </w:rPr>
        <w:t xml:space="preserve">innebære en </w:t>
      </w:r>
      <w:r w:rsidR="003B5C9E" w:rsidRPr="002547DA">
        <w:rPr>
          <w:rFonts w:cstheme="minorHAnsi"/>
        </w:rPr>
        <w:t xml:space="preserve">trygghet for </w:t>
      </w:r>
      <w:r w:rsidR="00C7472E" w:rsidRPr="002547DA">
        <w:rPr>
          <w:rFonts w:cstheme="minorHAnsi"/>
        </w:rPr>
        <w:t xml:space="preserve">en minimumsinntekt </w:t>
      </w:r>
      <w:r w:rsidR="006441D6" w:rsidRPr="002547DA">
        <w:rPr>
          <w:rFonts w:cstheme="minorHAnsi"/>
        </w:rPr>
        <w:t xml:space="preserve">de første årene, </w:t>
      </w:r>
      <w:r w:rsidR="00900811" w:rsidRPr="002547DA">
        <w:rPr>
          <w:rFonts w:cstheme="minorHAnsi"/>
        </w:rPr>
        <w:t xml:space="preserve">eksempelvis dersom </w:t>
      </w:r>
      <w:r w:rsidR="00C803FD" w:rsidRPr="002547DA">
        <w:rPr>
          <w:rFonts w:cstheme="minorHAnsi"/>
        </w:rPr>
        <w:t>det faller f</w:t>
      </w:r>
      <w:r w:rsidR="001D6B5E" w:rsidRPr="002547DA">
        <w:rPr>
          <w:rFonts w:cstheme="minorHAnsi"/>
        </w:rPr>
        <w:t>ra pasienter</w:t>
      </w:r>
      <w:r w:rsidR="000B3226" w:rsidRPr="002547DA">
        <w:rPr>
          <w:rFonts w:cstheme="minorHAnsi"/>
        </w:rPr>
        <w:t>,</w:t>
      </w:r>
      <w:r w:rsidR="001D6B5E" w:rsidRPr="002547DA">
        <w:rPr>
          <w:rFonts w:cstheme="minorHAnsi"/>
        </w:rPr>
        <w:t xml:space="preserve"> eller </w:t>
      </w:r>
      <w:r w:rsidR="00D30516" w:rsidRPr="002547DA">
        <w:rPr>
          <w:rFonts w:cstheme="minorHAnsi"/>
        </w:rPr>
        <w:t xml:space="preserve">hvis </w:t>
      </w:r>
      <w:r w:rsidR="001D6B5E" w:rsidRPr="002547DA">
        <w:rPr>
          <w:rFonts w:cstheme="minorHAnsi"/>
        </w:rPr>
        <w:t>kommunen splitter en hjemmel i to kortere lister</w:t>
      </w:r>
      <w:r w:rsidR="00EC203C" w:rsidRPr="002547DA">
        <w:rPr>
          <w:rFonts w:cstheme="minorHAnsi"/>
        </w:rPr>
        <w:t>,</w:t>
      </w:r>
      <w:r w:rsidR="001D6B5E" w:rsidRPr="002547DA">
        <w:rPr>
          <w:rFonts w:cstheme="minorHAnsi"/>
        </w:rPr>
        <w:t xml:space="preserve"> som et rekrutterings</w:t>
      </w:r>
      <w:r w:rsidR="00FB642A" w:rsidRPr="002547DA">
        <w:rPr>
          <w:rFonts w:cstheme="minorHAnsi"/>
        </w:rPr>
        <w:t>tiltak</w:t>
      </w:r>
      <w:r w:rsidR="00D30516" w:rsidRPr="002547DA">
        <w:rPr>
          <w:rFonts w:cstheme="minorHAnsi"/>
        </w:rPr>
        <w:t xml:space="preserve"> i forbindelse med </w:t>
      </w:r>
      <w:r w:rsidR="00DA5F80" w:rsidRPr="002547DA">
        <w:rPr>
          <w:rFonts w:cstheme="minorHAnsi"/>
        </w:rPr>
        <w:t>overdragelsen</w:t>
      </w:r>
      <w:r w:rsidR="00FB642A" w:rsidRPr="002547DA">
        <w:rPr>
          <w:rFonts w:cstheme="minorHAnsi"/>
        </w:rPr>
        <w:t>.</w:t>
      </w:r>
      <w:r w:rsidR="003B5C9E" w:rsidRPr="002547DA">
        <w:rPr>
          <w:rFonts w:cstheme="minorHAnsi"/>
        </w:rPr>
        <w:t xml:space="preserve"> </w:t>
      </w:r>
      <w:r w:rsidR="00B66EEF">
        <w:t xml:space="preserve">Dette ville likne mye på </w:t>
      </w:r>
      <w:r w:rsidR="00EC203C">
        <w:t>et tilskudd</w:t>
      </w:r>
      <w:r w:rsidR="00B66EEF">
        <w:t xml:space="preserve"> til etablering for nye leger</w:t>
      </w:r>
      <w:r w:rsidR="003331FC">
        <w:t xml:space="preserve">, </w:t>
      </w:r>
      <w:r w:rsidR="00EC203C">
        <w:t>slik</w:t>
      </w:r>
      <w:r w:rsidR="003331FC">
        <w:t xml:space="preserve"> </w:t>
      </w:r>
      <w:r w:rsidR="00455ADA">
        <w:t xml:space="preserve">noen kommuner </w:t>
      </w:r>
      <w:r w:rsidR="013C19E6">
        <w:t>allere</w:t>
      </w:r>
      <w:r w:rsidR="4DE1261F">
        <w:t>de</w:t>
      </w:r>
      <w:r w:rsidR="00EC203C">
        <w:t xml:space="preserve"> har sett seg nødt til å tilby i ulike varianter, uten særskilt finansiering.</w:t>
      </w:r>
      <w:r w:rsidR="00455ADA">
        <w:t xml:space="preserve"> </w:t>
      </w:r>
      <w:r w:rsidR="000D5616">
        <w:t xml:space="preserve">Det vises for øvrig til kapittel </w:t>
      </w:r>
      <w:r w:rsidR="00D404EA">
        <w:t xml:space="preserve">5.7.1 om </w:t>
      </w:r>
      <w:r w:rsidR="00FB7BFF">
        <w:t>etablering av et midlertidig rekrutteringstilskudd.</w:t>
      </w:r>
    </w:p>
    <w:p w14:paraId="066FD4A1" w14:textId="77777777" w:rsidR="00D9107F" w:rsidRDefault="0030283E" w:rsidP="002A156C">
      <w:pPr>
        <w:jc w:val="both"/>
        <w:rPr>
          <w:rFonts w:cstheme="minorHAnsi"/>
        </w:rPr>
      </w:pPr>
      <w:r w:rsidRPr="002547DA">
        <w:rPr>
          <w:rFonts w:cstheme="minorHAnsi"/>
        </w:rPr>
        <w:lastRenderedPageBreak/>
        <w:t>I</w:t>
      </w:r>
      <w:r w:rsidR="00CD385F" w:rsidRPr="002547DA">
        <w:rPr>
          <w:rFonts w:cstheme="minorHAnsi"/>
        </w:rPr>
        <w:t xml:space="preserve"> økonomisk teori for vanlige markeder vil en slik subsidiering av kjøper i stor grad slå ut i at prisen går opp</w:t>
      </w:r>
      <w:r w:rsidR="00EC203C" w:rsidRPr="002547DA">
        <w:rPr>
          <w:rFonts w:cstheme="minorHAnsi"/>
        </w:rPr>
        <w:t>. O</w:t>
      </w:r>
      <w:r w:rsidR="00CD385F" w:rsidRPr="002547DA">
        <w:rPr>
          <w:rFonts w:cstheme="minorHAnsi"/>
        </w:rPr>
        <w:t xml:space="preserve">m det vil være tiltredende eller fratredende lege som er mest tjent med en slik </w:t>
      </w:r>
      <w:r w:rsidR="00800DE9" w:rsidRPr="002547DA">
        <w:rPr>
          <w:rFonts w:cstheme="minorHAnsi"/>
        </w:rPr>
        <w:t xml:space="preserve">subsidiering </w:t>
      </w:r>
      <w:r w:rsidR="00CD385F" w:rsidRPr="002547DA">
        <w:rPr>
          <w:rFonts w:cstheme="minorHAnsi"/>
        </w:rPr>
        <w:t>er derfor ikke helt klart. Det bør vurderes hvordan en slik subsidiering skal håndteres når legen senere skal selge sin praksis.</w:t>
      </w:r>
    </w:p>
    <w:p w14:paraId="644ED4F3" w14:textId="77777777" w:rsidR="00D9107F" w:rsidRDefault="388B8D57" w:rsidP="00775632">
      <w:pPr>
        <w:pStyle w:val="Overskrift4"/>
        <w:rPr>
          <w:shd w:val="clear" w:color="auto" w:fill="FFFFFF"/>
        </w:rPr>
      </w:pPr>
      <w:bookmarkStart w:id="2129" w:name="_Toc122655273"/>
      <w:bookmarkStart w:id="2130" w:name="_Toc130983478"/>
      <w:bookmarkStart w:id="2131" w:name="_Toc130983827"/>
      <w:bookmarkStart w:id="2132" w:name="_Toc131062149"/>
      <w:bookmarkStart w:id="2133" w:name="_Toc131062403"/>
      <w:bookmarkStart w:id="2134" w:name="_Toc131062664"/>
      <w:bookmarkStart w:id="2135" w:name="_Toc131062917"/>
      <w:bookmarkStart w:id="2136" w:name="_Toc131063685"/>
      <w:bookmarkStart w:id="2137" w:name="_Toc131064110"/>
      <w:bookmarkStart w:id="2138" w:name="_Toc131238405"/>
      <w:bookmarkStart w:id="2139" w:name="_Toc131279436"/>
      <w:bookmarkStart w:id="2140" w:name="_Toc131286848"/>
      <w:bookmarkStart w:id="2141" w:name="_Toc131281258"/>
      <w:bookmarkStart w:id="2142" w:name="_Toc131317797"/>
      <w:r>
        <w:rPr>
          <w:shd w:val="clear" w:color="auto" w:fill="FFFFFF"/>
        </w:rPr>
        <w:t>Tillate fratredende lege selv å finne sin etterfølger</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4FDE895C" w14:textId="1F964E84" w:rsidR="002A156C" w:rsidRDefault="00710CDC" w:rsidP="008757C5">
      <w:r w:rsidRPr="00AC029D">
        <w:rPr>
          <w:shd w:val="clear" w:color="auto" w:fill="FFFFFF"/>
        </w:rPr>
        <w:t>Etter rammeavtalen har f</w:t>
      </w:r>
      <w:r w:rsidR="005D05BD" w:rsidRPr="00AC029D">
        <w:rPr>
          <w:shd w:val="clear" w:color="auto" w:fill="FFFFFF"/>
        </w:rPr>
        <w:t xml:space="preserve">ratredende lege i dag en rett til å selge sin fastlegepraksis til den legen som har fått tilbud fra kommunen om å overta </w:t>
      </w:r>
      <w:r w:rsidR="005D05BD" w:rsidRPr="00AC029D">
        <w:t>hjemmelen</w:t>
      </w:r>
      <w:r w:rsidR="005D05BD" w:rsidRPr="00AC029D">
        <w:rPr>
          <w:shd w:val="clear" w:color="auto" w:fill="FFFFFF"/>
        </w:rPr>
        <w:t>. Tiltredende lege vil gå glipp av fastlegejobben dersom det ikke oppnås enighet om prisen, og fratredende lege vil på sin side kunne forbli eller føle seg ansvarlig for</w:t>
      </w:r>
      <w:r w:rsidR="00D442DD" w:rsidRPr="00AC029D">
        <w:rPr>
          <w:shd w:val="clear" w:color="auto" w:fill="FFFFFF"/>
        </w:rPr>
        <w:t xml:space="preserve"> </w:t>
      </w:r>
      <w:r w:rsidR="002E7B5D" w:rsidRPr="00AC029D">
        <w:rPr>
          <w:shd w:val="clear" w:color="auto" w:fill="FFFFFF"/>
        </w:rPr>
        <w:t xml:space="preserve">listeinnbyggerne </w:t>
      </w:r>
      <w:r w:rsidR="005D05BD" w:rsidRPr="00AC029D">
        <w:t>lenger enn ønsket</w:t>
      </w:r>
      <w:r w:rsidR="00172283">
        <w:t>,</w:t>
      </w:r>
      <w:r w:rsidR="005D05BD" w:rsidRPr="00AC029D">
        <w:t xml:space="preserve"> </w:t>
      </w:r>
      <w:r w:rsidR="005D05BD" w:rsidRPr="00AC029D">
        <w:rPr>
          <w:shd w:val="clear" w:color="auto" w:fill="FFFFFF"/>
        </w:rPr>
        <w:t>og måtte gå gjennom nye utlysninger</w:t>
      </w:r>
      <w:r w:rsidR="00172283">
        <w:rPr>
          <w:shd w:val="clear" w:color="auto" w:fill="FFFFFF"/>
        </w:rPr>
        <w:t>,</w:t>
      </w:r>
      <w:r w:rsidR="005D05BD" w:rsidRPr="00AC029D">
        <w:rPr>
          <w:shd w:val="clear" w:color="auto" w:fill="FFFFFF"/>
        </w:rPr>
        <w:t xml:space="preserve"> dersom det ikke oppnås enighet. Som et forsøk på å unngå at tiltredelse og overdragelse av hjemmel trekker ut i tid fordi </w:t>
      </w:r>
      <w:r w:rsidR="005D05BD">
        <w:t xml:space="preserve">legene ikke blir enige om pris eller </w:t>
      </w:r>
      <w:r w:rsidR="00172283">
        <w:t xml:space="preserve">om </w:t>
      </w:r>
      <w:r w:rsidR="005D05BD">
        <w:t xml:space="preserve">hva som er gjenstand for overdragelse, </w:t>
      </w:r>
      <w:r w:rsidR="005D05BD" w:rsidRPr="00AC029D">
        <w:rPr>
          <w:shd w:val="clear" w:color="auto" w:fill="FFFFFF"/>
        </w:rPr>
        <w:t>er nemnda i Legeforeningen opprettet.</w:t>
      </w:r>
    </w:p>
    <w:p w14:paraId="6E54A31A" w14:textId="77777777" w:rsidR="00D9107F" w:rsidRDefault="005D05BD" w:rsidP="002A156C">
      <w:pPr>
        <w:jc w:val="both"/>
        <w:rPr>
          <w:shd w:val="clear" w:color="auto" w:fill="FFFFFF"/>
        </w:rPr>
      </w:pPr>
      <w:r w:rsidRPr="008F5AD8">
        <w:t>En mulig</w:t>
      </w:r>
      <w:r w:rsidRPr="00AC029D">
        <w:rPr>
          <w:shd w:val="clear" w:color="auto" w:fill="FFFFFF"/>
        </w:rPr>
        <w:t xml:space="preserve"> årsak til at uenighet mellom to parter kan hemme overdragelser, er prosedyren med at kommunen først gir tilbud til én tiltredende lege før det forhandles om pris. </w:t>
      </w:r>
      <w:r w:rsidRPr="00AC029D">
        <w:rPr>
          <w:rFonts w:ascii="Calibri" w:hAnsi="Calibri" w:cs="Calibri"/>
          <w:shd w:val="clear" w:color="auto" w:fill="FFFFFF"/>
        </w:rPr>
        <w:t>E</w:t>
      </w:r>
      <w:r w:rsidRPr="008F5AD8">
        <w:t xml:space="preserve">n </w:t>
      </w:r>
      <w:r w:rsidRPr="00AC029D">
        <w:rPr>
          <w:shd w:val="clear" w:color="auto" w:fill="FFFFFF"/>
        </w:rPr>
        <w:t xml:space="preserve">prosedyre der fratredende lege selv </w:t>
      </w:r>
      <w:r w:rsidRPr="008F5AD8">
        <w:t>sto</w:t>
      </w:r>
      <w:r w:rsidRPr="00AC029D">
        <w:rPr>
          <w:shd w:val="clear" w:color="auto" w:fill="FFFFFF"/>
        </w:rPr>
        <w:t xml:space="preserve"> fritt til å finne sin etterfølger og inngå en avtale om praksisoverdragelse</w:t>
      </w:r>
      <w:r w:rsidR="00172283">
        <w:rPr>
          <w:shd w:val="clear" w:color="auto" w:fill="FFFFFF"/>
        </w:rPr>
        <w:t>,</w:t>
      </w:r>
      <w:r w:rsidRPr="00AC029D">
        <w:rPr>
          <w:shd w:val="clear" w:color="auto" w:fill="FFFFFF"/>
        </w:rPr>
        <w:t xml:space="preserve"> k</w:t>
      </w:r>
      <w:r w:rsidR="00172283">
        <w:rPr>
          <w:shd w:val="clear" w:color="auto" w:fill="FFFFFF"/>
        </w:rPr>
        <w:t>unne</w:t>
      </w:r>
      <w:r w:rsidRPr="00AC029D">
        <w:rPr>
          <w:shd w:val="clear" w:color="auto" w:fill="FFFFFF"/>
        </w:rPr>
        <w:t xml:space="preserve"> være et alternativ</w:t>
      </w:r>
      <w:r w:rsidRPr="008F5AD8">
        <w:t>.</w:t>
      </w:r>
      <w:r w:rsidRPr="00AC029D">
        <w:rPr>
          <w:shd w:val="clear" w:color="auto" w:fill="FFFFFF"/>
        </w:rPr>
        <w:t xml:space="preserve"> I Danmark har de en slik ordning. Leger i en </w:t>
      </w:r>
      <w:r w:rsidRPr="008F5AD8">
        <w:t>gruppepraksis ville</w:t>
      </w:r>
      <w:r w:rsidRPr="00AC029D">
        <w:rPr>
          <w:shd w:val="clear" w:color="auto" w:fill="FFFFFF"/>
        </w:rPr>
        <w:t xml:space="preserve"> da kunne avtale seg imellom hvordan de skal gå fram for å erstatte en av </w:t>
      </w:r>
      <w:r w:rsidRPr="008F5AD8">
        <w:t>legene</w:t>
      </w:r>
      <w:r w:rsidRPr="00AC029D">
        <w:rPr>
          <w:shd w:val="clear" w:color="auto" w:fill="FFFFFF"/>
        </w:rPr>
        <w:t xml:space="preserve">, og i så måte vil de kunne avtale større innflytelse enn i dag </w:t>
      </w:r>
      <w:r w:rsidRPr="00AC029D">
        <w:t>i valget av en ny kollega.</w:t>
      </w:r>
    </w:p>
    <w:p w14:paraId="273815EC" w14:textId="44170EB0" w:rsidR="00D9107F" w:rsidRDefault="00114FBE" w:rsidP="008757C5">
      <w:pPr>
        <w:rPr>
          <w:shd w:val="clear" w:color="auto" w:fill="FFFFFF"/>
        </w:rPr>
      </w:pPr>
      <w:r w:rsidRPr="700DF671">
        <w:t>Det følger imidlertid a</w:t>
      </w:r>
      <w:r w:rsidR="00172283">
        <w:t>v</w:t>
      </w:r>
      <w:r w:rsidRPr="700DF671">
        <w:t xml:space="preserve"> helse- og omsorgstjenesteloven </w:t>
      </w:r>
      <w:r w:rsidR="00D9107F">
        <w:t>§ </w:t>
      </w:r>
      <w:r w:rsidR="00D9107F" w:rsidRPr="700DF671">
        <w:t>3</w:t>
      </w:r>
      <w:r w:rsidRPr="700DF671">
        <w:t>-1 femte ledd at avtaler som kommunen inngår med private tjenesteytere om å yte helse- og omsorgstjenester på deres vegne, ikke kan overdras.</w:t>
      </w:r>
      <w:r w:rsidR="00D61E76" w:rsidRPr="700DF671">
        <w:t xml:space="preserve"> Det innebærer at det ikke vil være lov</w:t>
      </w:r>
      <w:r w:rsidR="00D61E76">
        <w:rPr>
          <w:shd w:val="clear" w:color="auto" w:fill="FFFFFF"/>
        </w:rPr>
        <w:t xml:space="preserve"> </w:t>
      </w:r>
      <w:r w:rsidR="00D61E76" w:rsidRPr="700DF671">
        <w:t xml:space="preserve">for en fastlege å overdra sin fastlegeavtale til en annen lege etter dagens </w:t>
      </w:r>
      <w:r w:rsidR="00835494" w:rsidRPr="700DF671">
        <w:t xml:space="preserve">lovgivning. </w:t>
      </w:r>
      <w:r w:rsidR="00903A66">
        <w:rPr>
          <w:shd w:val="clear" w:color="auto" w:fill="FFFFFF"/>
        </w:rPr>
        <w:t>At kommunen beholder sørge-for-ansvaret for tjenestene de setter ut til private tilbydere</w:t>
      </w:r>
      <w:r w:rsidR="00DD4999">
        <w:rPr>
          <w:shd w:val="clear" w:color="auto" w:fill="FFFFFF"/>
        </w:rPr>
        <w:t>,</w:t>
      </w:r>
      <w:r w:rsidR="00903A66">
        <w:rPr>
          <w:shd w:val="clear" w:color="auto" w:fill="FFFFFF"/>
        </w:rPr>
        <w:t xml:space="preserve"> understreker behovet for en slik regel. Kommunen må fortsatt kunne ha kontroll med hvem som tilbyr </w:t>
      </w:r>
      <w:r w:rsidR="0082525D">
        <w:rPr>
          <w:shd w:val="clear" w:color="auto" w:fill="FFFFFF"/>
        </w:rPr>
        <w:t xml:space="preserve">tjenester på deres vegne, for å sikre </w:t>
      </w:r>
      <w:r w:rsidR="00C55DAE">
        <w:rPr>
          <w:shd w:val="clear" w:color="auto" w:fill="FFFFFF"/>
        </w:rPr>
        <w:t xml:space="preserve">god kvalitet i tjenestene og gi nødvendig oppfølging til sine leverandører. </w:t>
      </w:r>
      <w:r w:rsidR="00380DE7">
        <w:rPr>
          <w:shd w:val="clear" w:color="auto" w:fill="FFFFFF"/>
        </w:rPr>
        <w:t>Kommunen må også kunne påse at reglene om offentlige anskaffelser overholdes når de inngår avtaler med private tjenesteytere. Dersom fratredende lege skulle tillates å finne sin etterfølger innenfor dagens lovverk, vil det fortsatt være behov for at den formelle avtaleinngåelsen skjer mellom tiltredende lege og kommunen.</w:t>
      </w:r>
    </w:p>
    <w:p w14:paraId="7EEA8D22" w14:textId="77777777" w:rsidR="00D9107F" w:rsidRDefault="00317428" w:rsidP="008757C5">
      <w:pPr>
        <w:rPr>
          <w:shd w:val="clear" w:color="auto" w:fill="FFFFFF"/>
        </w:rPr>
      </w:pPr>
      <w:r>
        <w:rPr>
          <w:shd w:val="clear" w:color="auto" w:fill="FFFFFF"/>
        </w:rPr>
        <w:t>K</w:t>
      </w:r>
      <w:r w:rsidR="005D05BD" w:rsidRPr="00AC029D">
        <w:rPr>
          <w:shd w:val="clear" w:color="auto" w:fill="FFFFFF"/>
        </w:rPr>
        <w:t>ommunen</w:t>
      </w:r>
      <w:r>
        <w:rPr>
          <w:shd w:val="clear" w:color="auto" w:fill="FFFFFF"/>
        </w:rPr>
        <w:t xml:space="preserve"> må</w:t>
      </w:r>
      <w:r w:rsidR="005D05BD" w:rsidRPr="00AC029D">
        <w:rPr>
          <w:shd w:val="clear" w:color="auto" w:fill="FFFFFF"/>
        </w:rPr>
        <w:t xml:space="preserve"> selvsagt påse at tiltredende lege oppfyller alle fastsatte krav og retningslinjer, og kommunen må ha både rett og plikt til å blokkere en overdragelse som ikke tilfredsstiller slike krav. </w:t>
      </w:r>
      <w:r w:rsidR="006935DB" w:rsidRPr="00AC029D">
        <w:rPr>
          <w:shd w:val="clear" w:color="auto" w:fill="FFFFFF"/>
        </w:rPr>
        <w:t xml:space="preserve">I Danmark har man krav om at fastleger må være spesialist i allmennmedisin for å kunne ta over en hjemmel. </w:t>
      </w:r>
      <w:r w:rsidR="005D05BD" w:rsidRPr="00AC029D">
        <w:rPr>
          <w:shd w:val="clear" w:color="auto" w:fill="FFFFFF"/>
        </w:rPr>
        <w:t>Kommunen må også kunne suspendere eller trekke tilbake fastlegehjemler dersom kvaliteten ikke er tilfredsstillende</w:t>
      </w:r>
      <w:r w:rsidR="00172283">
        <w:rPr>
          <w:shd w:val="clear" w:color="auto" w:fill="FFFFFF"/>
        </w:rPr>
        <w:t>,</w:t>
      </w:r>
      <w:r w:rsidR="005D05BD" w:rsidRPr="00AC029D">
        <w:rPr>
          <w:shd w:val="clear" w:color="auto" w:fill="FFFFFF"/>
        </w:rPr>
        <w:t xml:space="preserve"> eller kommunen mener det ikke lenger er behov for så mange hjemler.</w:t>
      </w:r>
    </w:p>
    <w:p w14:paraId="253E5279" w14:textId="77777777" w:rsidR="00D9107F" w:rsidRDefault="005D05BD" w:rsidP="008757C5">
      <w:pPr>
        <w:rPr>
          <w:shd w:val="clear" w:color="auto" w:fill="FFFFFF"/>
        </w:rPr>
      </w:pPr>
      <w:r w:rsidRPr="00AC029D">
        <w:rPr>
          <w:shd w:val="clear" w:color="auto" w:fill="FFFFFF"/>
        </w:rPr>
        <w:lastRenderedPageBreak/>
        <w:t xml:space="preserve">En prosedyre hvor fratredende lege </w:t>
      </w:r>
      <w:r w:rsidR="00DA0062">
        <w:rPr>
          <w:shd w:val="clear" w:color="auto" w:fill="FFFFFF"/>
        </w:rPr>
        <w:t>selv har ansvar for å</w:t>
      </w:r>
      <w:r w:rsidRPr="00AC029D">
        <w:rPr>
          <w:shd w:val="clear" w:color="auto" w:fill="FFFFFF"/>
        </w:rPr>
        <w:t xml:space="preserve"> finne en kjøper av sin praksis, vil aktivere prisen som mekanisme for å fremme overdragelser av praksiser (prisen faller helt til det melder seg en kjøper). En slik prosedyre vil kunne løse opp i noen av barrierene vi i dag ser for rekruttering av nye fastleger. Det vil også kunne redusere innlåsing i eksisterende infrastruktur</w:t>
      </w:r>
      <w:r w:rsidR="00172283">
        <w:rPr>
          <w:shd w:val="clear" w:color="auto" w:fill="FFFFFF"/>
        </w:rPr>
        <w:t>,</w:t>
      </w:r>
      <w:r w:rsidRPr="00AC029D">
        <w:rPr>
          <w:shd w:val="clear" w:color="auto" w:fill="FFFFFF"/>
        </w:rPr>
        <w:t xml:space="preserve"> fordi dagens fastleger vil ha større insentiver til å tilpasse praksisene sine til det de tror framtidige kjøpere ønsker seg, d</w:t>
      </w:r>
      <w:r w:rsidR="00670066" w:rsidRPr="00AC029D">
        <w:rPr>
          <w:shd w:val="clear" w:color="auto" w:fill="FFFFFF"/>
        </w:rPr>
        <w:t>et vil si</w:t>
      </w:r>
      <w:r w:rsidRPr="00AC029D">
        <w:rPr>
          <w:shd w:val="clear" w:color="auto" w:fill="FFFFFF"/>
        </w:rPr>
        <w:t xml:space="preserve"> til yngre legers preferanser.</w:t>
      </w:r>
    </w:p>
    <w:p w14:paraId="7A94B265" w14:textId="77777777" w:rsidR="00D9107F" w:rsidRDefault="005D05BD" w:rsidP="008757C5">
      <w:pPr>
        <w:rPr>
          <w:rFonts w:ascii="Calibri" w:hAnsi="Calibri" w:cs="Calibri"/>
          <w:shd w:val="clear" w:color="auto" w:fill="FFFFFF"/>
        </w:rPr>
      </w:pPr>
      <w:r w:rsidRPr="00AC029D">
        <w:rPr>
          <w:rFonts w:ascii="Calibri" w:hAnsi="Calibri" w:cs="Calibri"/>
          <w:shd w:val="clear" w:color="auto" w:fill="FFFFFF"/>
        </w:rPr>
        <w:t xml:space="preserve">Å åpne for at fratredende lege selv kan finne sin etterfølger, vil kunne ha flere ulemper. </w:t>
      </w:r>
      <w:r w:rsidRPr="008F5AD8">
        <w:t>En slik prosedyre vil</w:t>
      </w:r>
      <w:r w:rsidRPr="00AC029D">
        <w:rPr>
          <w:shd w:val="clear" w:color="auto" w:fill="FFFFFF"/>
        </w:rPr>
        <w:t xml:space="preserve"> redusere kommunens innflytelse på valget av nye fastleger. Kommunen vil i mindre grad kunne benytte overdragelser til å påvirke sammensetningen av legekorpset, dog vil det antakeligvis være mulig å avtale- eller forskriftsfeste noen slike muligheter. </w:t>
      </w:r>
      <w:r w:rsidRPr="00AC029D">
        <w:rPr>
          <w:rFonts w:ascii="Calibri" w:hAnsi="Calibri" w:cs="Calibri"/>
          <w:shd w:val="clear" w:color="auto" w:fill="FFFFFF"/>
        </w:rPr>
        <w:t xml:space="preserve">Det oppstår også </w:t>
      </w:r>
      <w:r w:rsidRPr="00AC029D">
        <w:rPr>
          <w:shd w:val="clear" w:color="auto" w:fill="FFFFFF"/>
        </w:rPr>
        <w:t>mulighet for budrunder</w:t>
      </w:r>
      <w:r w:rsidR="00172283">
        <w:rPr>
          <w:shd w:val="clear" w:color="auto" w:fill="FFFFFF"/>
        </w:rPr>
        <w:t>,</w:t>
      </w:r>
      <w:r w:rsidRPr="00AC029D">
        <w:rPr>
          <w:shd w:val="clear" w:color="auto" w:fill="FFFFFF"/>
        </w:rPr>
        <w:t xml:space="preserve"> hvor legen med høyest betalingsevne får kjøpe praksisen. I en slik situasjon vil betalingsevne, og ikke nødvendigvis faglige kvalifikasjoner, være førende for hvilke leger som tilbys legepraksisen. </w:t>
      </w:r>
      <w:r w:rsidRPr="00AC029D">
        <w:rPr>
          <w:rFonts w:ascii="Calibri" w:hAnsi="Calibri" w:cs="Calibri"/>
          <w:shd w:val="clear" w:color="auto" w:fill="FFFFFF"/>
        </w:rPr>
        <w:t>Praksisprisen kan også gå opp mye for noen av dagens fastleger og ned for andre. Antakelig vil fastleger med attraktive praksiser på større steder få mer for sin praksis enn i dag, mens det motsatte trolig vil være tilfellet for fastleger i mindre attraktive praksiser utenfor regionale tettsteder. I Danmark finnes det regler om maksimumspris for verdsetting av goodwill, for å unngå at praksiser blir overdratt til svært høye priser.</w:t>
      </w:r>
    </w:p>
    <w:p w14:paraId="1625560F" w14:textId="62EEB4A3" w:rsidR="3536A91A" w:rsidRDefault="4487E1C7" w:rsidP="008757C5">
      <w:pPr>
        <w:rPr>
          <w:rFonts w:eastAsia="Calibri"/>
        </w:rPr>
      </w:pPr>
      <w:r w:rsidRPr="75E3BA41">
        <w:rPr>
          <w:rFonts w:eastAsia="Calibri"/>
        </w:rPr>
        <w:t>En slik ordning vil innebære at man går bort fra kvalifikasjonsprinsippet som i dag er nedfelt i rammeavtalen. Selv om det ikke er faglig ønskelig å gå bort fra at den best kvalifiserte legen skal tildeles en hjemmel, er det mulig å tenke seg at kvalifikasjonsprinsippet erstattes av noen minstekrav til kvalifikasjoner for å kunne ta over en hjemmel. Det vil imidlertid kunne føre til at det er legen med størst betalingsvilje og -evne som overtar en hjemmel</w:t>
      </w:r>
      <w:r w:rsidR="00172283">
        <w:rPr>
          <w:rFonts w:eastAsia="Calibri"/>
        </w:rPr>
        <w:t>,</w:t>
      </w:r>
      <w:r w:rsidRPr="75E3BA41">
        <w:rPr>
          <w:rFonts w:eastAsia="Calibri"/>
        </w:rPr>
        <w:t xml:space="preserve"> fr</w:t>
      </w:r>
      <w:r w:rsidR="00670066">
        <w:rPr>
          <w:rFonts w:eastAsia="Calibri"/>
        </w:rPr>
        <w:t>a</w:t>
      </w:r>
      <w:r w:rsidRPr="75E3BA41">
        <w:rPr>
          <w:rFonts w:eastAsia="Calibri"/>
        </w:rPr>
        <w:t>mfor den best kvalifiserte. Dette kan igjen gå ut over kvaliteten i helsetjenesten</w:t>
      </w:r>
      <w:r w:rsidR="009F719C">
        <w:rPr>
          <w:rFonts w:eastAsia="Calibri"/>
        </w:rPr>
        <w:t>.</w:t>
      </w:r>
    </w:p>
    <w:p w14:paraId="0331CA61" w14:textId="7F6A8D0F" w:rsidR="3536A91A" w:rsidRPr="00AC029D" w:rsidRDefault="005060AD" w:rsidP="008757C5">
      <w:r>
        <w:rPr>
          <w:rFonts w:eastAsia="Calibri"/>
        </w:rPr>
        <w:t>D</w:t>
      </w:r>
      <w:r w:rsidR="394071EA" w:rsidRPr="75E3BA41">
        <w:rPr>
          <w:rFonts w:eastAsia="Calibri"/>
        </w:rPr>
        <w:t xml:space="preserve">et </w:t>
      </w:r>
      <w:r>
        <w:rPr>
          <w:rFonts w:eastAsia="Calibri"/>
        </w:rPr>
        <w:t>er</w:t>
      </w:r>
      <w:r w:rsidR="00FA2D76">
        <w:rPr>
          <w:rFonts w:eastAsia="Calibri"/>
        </w:rPr>
        <w:t xml:space="preserve"> </w:t>
      </w:r>
      <w:r>
        <w:rPr>
          <w:rFonts w:eastAsia="Calibri"/>
        </w:rPr>
        <w:t>også</w:t>
      </w:r>
      <w:r w:rsidR="394071EA" w:rsidRPr="75E3BA41">
        <w:rPr>
          <w:rFonts w:eastAsia="Calibri"/>
        </w:rPr>
        <w:t xml:space="preserve"> krevende å se for seg at en slik ordning kan innrettes i tråd med norsk forvaltningsrett</w:t>
      </w:r>
      <w:r>
        <w:rPr>
          <w:rFonts w:eastAsia="Calibri"/>
        </w:rPr>
        <w:t>.</w:t>
      </w:r>
      <w:r w:rsidR="394071EA" w:rsidRPr="75E3BA41">
        <w:rPr>
          <w:rFonts w:eastAsia="Calibri"/>
        </w:rPr>
        <w:t xml:space="preserve"> En tildeling av en fastlegeavtale er et enkeltvedtak etter forvaltningsloven. Selv om det fortsatt ville vært kommunen som formelt sett fatter enkeltvedtaket, blir det legen som reelt sett velger hvem som skal få tildelt hjemmelen. Det er vanskelig å se for seg at en slik indirekte delegasjon av myndighet til en privatperson er gjennomførbar</w:t>
      </w:r>
      <w:r w:rsidR="007E144F">
        <w:rPr>
          <w:rFonts w:eastAsia="Calibri"/>
        </w:rPr>
        <w:t>t eller hensiktsmessig</w:t>
      </w:r>
      <w:r w:rsidR="394071EA" w:rsidRPr="75E3BA41">
        <w:rPr>
          <w:rFonts w:eastAsia="Calibri"/>
        </w:rPr>
        <w:t>. Det er bl</w:t>
      </w:r>
      <w:r w:rsidR="007E144F">
        <w:rPr>
          <w:rFonts w:eastAsia="Calibri"/>
        </w:rPr>
        <w:t>ant annet</w:t>
      </w:r>
      <w:r w:rsidR="394071EA" w:rsidRPr="75E3BA41">
        <w:rPr>
          <w:rFonts w:eastAsia="Calibri"/>
        </w:rPr>
        <w:t xml:space="preserve"> vanskelig å se for seg at en slik ordning kan innrettes i tråd med habilitetsreglene i forvaltningsloven</w:t>
      </w:r>
      <w:r w:rsidR="394071EA" w:rsidRPr="4C8296F9">
        <w:rPr>
          <w:rFonts w:eastAsia="Calibri"/>
        </w:rPr>
        <w:t>,</w:t>
      </w:r>
      <w:r w:rsidR="394071EA" w:rsidRPr="75E3BA41">
        <w:rPr>
          <w:rFonts w:eastAsia="Calibri"/>
        </w:rPr>
        <w:t xml:space="preserve"> eller at legen vil være i stand til å tilfredsstille krav til forsvarlig saksbehandling og ikke lar seg påvirke av utenforliggende hensyn (som for eksempel egne økonomiske interesser). Videre kan</w:t>
      </w:r>
      <w:r w:rsidR="394071EA" w:rsidRPr="75E3BA41" w:rsidDel="00896907">
        <w:rPr>
          <w:rFonts w:eastAsia="Calibri"/>
        </w:rPr>
        <w:t xml:space="preserve"> </w:t>
      </w:r>
      <w:r w:rsidR="00896907">
        <w:rPr>
          <w:rFonts w:eastAsia="Calibri"/>
        </w:rPr>
        <w:t>en slik løsning</w:t>
      </w:r>
      <w:r w:rsidR="394071EA" w:rsidRPr="75E3BA41">
        <w:rPr>
          <w:rFonts w:eastAsia="Calibri"/>
        </w:rPr>
        <w:t xml:space="preserve"> utfordre forholdet til </w:t>
      </w:r>
      <w:r w:rsidR="009F719C">
        <w:rPr>
          <w:rFonts w:eastAsia="Calibri"/>
        </w:rPr>
        <w:t>reglene om offentlige anskaffelser</w:t>
      </w:r>
      <w:r w:rsidR="394071EA" w:rsidRPr="75E3BA41">
        <w:rPr>
          <w:rFonts w:eastAsia="Calibri"/>
        </w:rPr>
        <w:t>, som stiller krav om at det gjennomføres en konkurranse om å få tildelt avtalen, herunder er det krav om å opptre i tråd med grunnleggende anskaffelsesrettslige prinsipper som for eksempel krav om likebehandling, forutberegnelighet og etterprøvbarhet. Ovennevnte vil også kunne veve det offentlige og private sammen</w:t>
      </w:r>
      <w:r w:rsidR="00172283">
        <w:rPr>
          <w:rFonts w:eastAsia="Calibri"/>
        </w:rPr>
        <w:t>,</w:t>
      </w:r>
      <w:r w:rsidR="394071EA" w:rsidRPr="75E3BA41">
        <w:rPr>
          <w:rFonts w:eastAsia="Calibri"/>
        </w:rPr>
        <w:t xml:space="preserve"> og reise utfordringer i forhold til styring og kontroll fra politiske og folkevalgte organer.</w:t>
      </w:r>
    </w:p>
    <w:p w14:paraId="733EBA26" w14:textId="77777777" w:rsidR="00D9107F" w:rsidRDefault="005D05BD" w:rsidP="008639ED">
      <w:pPr>
        <w:jc w:val="both"/>
        <w:rPr>
          <w:shd w:val="clear" w:color="auto" w:fill="FFFFFF"/>
        </w:rPr>
      </w:pPr>
      <w:r w:rsidRPr="00AC029D">
        <w:rPr>
          <w:shd w:val="clear" w:color="auto" w:fill="FFFFFF"/>
        </w:rPr>
        <w:lastRenderedPageBreak/>
        <w:t xml:space="preserve">Å tillate at legen selv finner sin etterfølger innebærer </w:t>
      </w:r>
      <w:r w:rsidR="5A11D772" w:rsidRPr="00AC029D">
        <w:rPr>
          <w:shd w:val="clear" w:color="auto" w:fill="FFFFFF"/>
        </w:rPr>
        <w:t xml:space="preserve">også </w:t>
      </w:r>
      <w:r w:rsidRPr="00AC029D">
        <w:rPr>
          <w:shd w:val="clear" w:color="auto" w:fill="FFFFFF"/>
        </w:rPr>
        <w:t xml:space="preserve">fri prissetting, og det vil nesten som en nødvendighet innebære at prisen på en praksis kan svinge mer over tid enn i dag. Vi vil altså kunne se at noen fastleger betaler lite for en </w:t>
      </w:r>
      <w:r w:rsidR="006C0E43" w:rsidRPr="00AC029D">
        <w:rPr>
          <w:shd w:val="clear" w:color="auto" w:fill="FFFFFF"/>
        </w:rPr>
        <w:t xml:space="preserve">praksis </w:t>
      </w:r>
      <w:r w:rsidRPr="00AC029D">
        <w:rPr>
          <w:shd w:val="clear" w:color="auto" w:fill="FFFFFF"/>
        </w:rPr>
        <w:t>i ett år og selger med betydelig gevinst (eller tap) i det neste.</w:t>
      </w:r>
    </w:p>
    <w:p w14:paraId="46D90970" w14:textId="66694AE2" w:rsidR="00D9107F" w:rsidRDefault="005D05BD" w:rsidP="008757C5">
      <w:pPr>
        <w:rPr>
          <w:shd w:val="clear" w:color="auto" w:fill="FFFFFF"/>
        </w:rPr>
      </w:pPr>
      <w:r w:rsidRPr="00AC029D">
        <w:rPr>
          <w:shd w:val="clear" w:color="auto" w:fill="FFFFFF"/>
        </w:rPr>
        <w:t>Isolert sett vil den økte usikkerhet</w:t>
      </w:r>
      <w:r w:rsidR="00172283">
        <w:rPr>
          <w:shd w:val="clear" w:color="auto" w:fill="FFFFFF"/>
        </w:rPr>
        <w:t>en</w:t>
      </w:r>
      <w:r w:rsidRPr="00AC029D">
        <w:rPr>
          <w:shd w:val="clear" w:color="auto" w:fill="FFFFFF"/>
        </w:rPr>
        <w:t xml:space="preserve"> knyttet til prisen gjøre det mindre attraktivt for en ny lege å kjøpe en praksis. Men en slik usikkerhet vil ikke på samme måte som i dag forhindre overdragelser, fordi ulempen ved usikkerheten vil gjenspeiles i lavere pris.</w:t>
      </w:r>
      <w:r w:rsidR="002660CE" w:rsidRPr="00AC029D">
        <w:rPr>
          <w:shd w:val="clear" w:color="auto" w:fill="FFFFFF"/>
        </w:rPr>
        <w:t xml:space="preserve"> </w:t>
      </w:r>
      <w:r w:rsidR="002660CE" w:rsidRPr="008F5AD8">
        <w:t xml:space="preserve">En prosedyre </w:t>
      </w:r>
      <w:r w:rsidR="002660CE" w:rsidRPr="00AC029D">
        <w:rPr>
          <w:rFonts w:ascii="Calibri" w:hAnsi="Calibri" w:cs="Calibri"/>
          <w:shd w:val="clear" w:color="auto" w:fill="FFFFFF"/>
        </w:rPr>
        <w:t xml:space="preserve">hvor fratredende lege selv kan finne og selge til sin etterfølger, </w:t>
      </w:r>
      <w:r w:rsidR="000D2506" w:rsidRPr="00AC029D">
        <w:rPr>
          <w:rFonts w:ascii="Calibri" w:hAnsi="Calibri" w:cs="Calibri"/>
          <w:shd w:val="clear" w:color="auto" w:fill="FFFFFF"/>
        </w:rPr>
        <w:t xml:space="preserve">påvirker ikke at kommunen like </w:t>
      </w:r>
      <w:r w:rsidR="52BD5B13" w:rsidRPr="00AC029D">
        <w:rPr>
          <w:rFonts w:ascii="Calibri" w:hAnsi="Calibri" w:cs="Calibri"/>
          <w:shd w:val="clear" w:color="auto" w:fill="FFFFFF"/>
        </w:rPr>
        <w:t>fu</w:t>
      </w:r>
      <w:r w:rsidR="0ECEDF46" w:rsidRPr="00AC029D">
        <w:rPr>
          <w:rFonts w:ascii="Calibri" w:hAnsi="Calibri" w:cs="Calibri"/>
          <w:shd w:val="clear" w:color="auto" w:fill="FFFFFF"/>
        </w:rPr>
        <w:t>l</w:t>
      </w:r>
      <w:r w:rsidR="52BD5B13" w:rsidRPr="00AC029D">
        <w:rPr>
          <w:rFonts w:ascii="Calibri" w:hAnsi="Calibri" w:cs="Calibri"/>
          <w:shd w:val="clear" w:color="auto" w:fill="FFFFFF"/>
        </w:rPr>
        <w:t>lt</w:t>
      </w:r>
      <w:r w:rsidR="000D2506" w:rsidRPr="00AC029D">
        <w:rPr>
          <w:rFonts w:ascii="Calibri" w:hAnsi="Calibri" w:cs="Calibri"/>
          <w:shd w:val="clear" w:color="auto" w:fill="FFFFFF"/>
        </w:rPr>
        <w:t xml:space="preserve"> sitter med sørge-for-ansvaret og må </w:t>
      </w:r>
      <w:r w:rsidR="000F6D58" w:rsidRPr="00AC029D">
        <w:rPr>
          <w:rFonts w:ascii="Calibri" w:hAnsi="Calibri" w:cs="Calibri"/>
          <w:shd w:val="clear" w:color="auto" w:fill="FFFFFF"/>
        </w:rPr>
        <w:t xml:space="preserve">ta over hjemmelen </w:t>
      </w:r>
      <w:r w:rsidR="000D2506" w:rsidRPr="00AC029D">
        <w:rPr>
          <w:rFonts w:ascii="Calibri" w:hAnsi="Calibri" w:cs="Calibri"/>
          <w:shd w:val="clear" w:color="auto" w:fill="FFFFFF"/>
        </w:rPr>
        <w:t xml:space="preserve">dersom legen ikke får solgt. </w:t>
      </w:r>
      <w:r w:rsidR="007057E8" w:rsidRPr="00AC029D">
        <w:rPr>
          <w:rFonts w:ascii="Calibri" w:hAnsi="Calibri" w:cs="Calibri"/>
          <w:shd w:val="clear" w:color="auto" w:fill="FFFFFF"/>
        </w:rPr>
        <w:t xml:space="preserve">Legens rett til å selge praksisen </w:t>
      </w:r>
      <w:r w:rsidR="00DD5AED" w:rsidRPr="00AC029D">
        <w:rPr>
          <w:rFonts w:ascii="Calibri" w:hAnsi="Calibri" w:cs="Calibri"/>
          <w:shd w:val="clear" w:color="auto" w:fill="FFFFFF"/>
        </w:rPr>
        <w:t xml:space="preserve">må derfor opphøre </w:t>
      </w:r>
      <w:r w:rsidR="00BF5144" w:rsidRPr="00AC029D">
        <w:rPr>
          <w:rFonts w:ascii="Calibri" w:hAnsi="Calibri" w:cs="Calibri"/>
          <w:shd w:val="clear" w:color="auto" w:fill="FFFFFF"/>
        </w:rPr>
        <w:t>– etter klart beskreven</w:t>
      </w:r>
      <w:r w:rsidR="003D1718">
        <w:rPr>
          <w:rFonts w:ascii="Calibri" w:hAnsi="Calibri" w:cs="Calibri"/>
          <w:shd w:val="clear" w:color="auto" w:fill="FFFFFF"/>
        </w:rPr>
        <w:t>de</w:t>
      </w:r>
      <w:r w:rsidR="00BF5144" w:rsidRPr="00AC029D">
        <w:rPr>
          <w:rFonts w:ascii="Calibri" w:hAnsi="Calibri" w:cs="Calibri"/>
          <w:shd w:val="clear" w:color="auto" w:fill="FFFFFF"/>
        </w:rPr>
        <w:t xml:space="preserve"> </w:t>
      </w:r>
      <w:r w:rsidR="004C6A73" w:rsidRPr="00AC029D">
        <w:rPr>
          <w:rFonts w:ascii="Calibri" w:hAnsi="Calibri" w:cs="Calibri"/>
          <w:shd w:val="clear" w:color="auto" w:fill="FFFFFF"/>
        </w:rPr>
        <w:t xml:space="preserve">vilkår </w:t>
      </w:r>
      <w:r w:rsidR="00112ABB" w:rsidRPr="00AC029D">
        <w:rPr>
          <w:rFonts w:ascii="Calibri" w:hAnsi="Calibri" w:cs="Calibri"/>
          <w:shd w:val="clear" w:color="auto" w:fill="FFFFFF"/>
        </w:rPr>
        <w:t>–</w:t>
      </w:r>
      <w:r w:rsidR="004C6A73" w:rsidRPr="00AC029D">
        <w:rPr>
          <w:rFonts w:ascii="Calibri" w:hAnsi="Calibri" w:cs="Calibri"/>
          <w:shd w:val="clear" w:color="auto" w:fill="FFFFFF"/>
        </w:rPr>
        <w:t xml:space="preserve"> </w:t>
      </w:r>
      <w:r w:rsidR="00BF5144" w:rsidRPr="00AC029D">
        <w:rPr>
          <w:rFonts w:ascii="Calibri" w:hAnsi="Calibri" w:cs="Calibri"/>
          <w:shd w:val="clear" w:color="auto" w:fill="FFFFFF"/>
        </w:rPr>
        <w:t xml:space="preserve">dersom </w:t>
      </w:r>
      <w:r w:rsidR="004C6A73" w:rsidRPr="00AC029D">
        <w:rPr>
          <w:rFonts w:ascii="Calibri" w:hAnsi="Calibri" w:cs="Calibri"/>
          <w:shd w:val="clear" w:color="auto" w:fill="FFFFFF"/>
        </w:rPr>
        <w:t xml:space="preserve">legen ikke ønsker eller klarer å selge. </w:t>
      </w:r>
      <w:r w:rsidR="00734644" w:rsidRPr="00AC029D">
        <w:rPr>
          <w:rFonts w:ascii="Calibri" w:hAnsi="Calibri" w:cs="Calibri"/>
          <w:shd w:val="clear" w:color="auto" w:fill="FFFFFF"/>
        </w:rPr>
        <w:t>E</w:t>
      </w:r>
      <w:r w:rsidR="000C0595" w:rsidRPr="00AC029D">
        <w:rPr>
          <w:rFonts w:ascii="Calibri" w:hAnsi="Calibri" w:cs="Calibri"/>
          <w:shd w:val="clear" w:color="auto" w:fill="FFFFFF"/>
        </w:rPr>
        <w:t xml:space="preserve">n ordning </w:t>
      </w:r>
      <w:r w:rsidR="002660CE" w:rsidRPr="00AC029D">
        <w:rPr>
          <w:rFonts w:ascii="Calibri" w:hAnsi="Calibri" w:cs="Calibri"/>
          <w:shd w:val="clear" w:color="auto" w:fill="FFFFFF"/>
        </w:rPr>
        <w:t xml:space="preserve">der hjemmelen hjemfaller til kommunen dersom fratredende lege ikke finner en lege som vil overta, </w:t>
      </w:r>
      <w:r w:rsidR="002660CE" w:rsidRPr="008F5AD8">
        <w:t>vil ligne på den løsningen man i dag har i Danmark</w:t>
      </w:r>
      <w:r w:rsidR="005E7A95" w:rsidRPr="008F5AD8">
        <w:t>.</w:t>
      </w:r>
      <w:r w:rsidR="00D9107F" w:rsidRPr="00D9107F">
        <w:rPr>
          <w:rStyle w:val="skrift-hevet"/>
        </w:rPr>
        <w:t>57</w:t>
      </w:r>
      <w:r w:rsidRPr="00AC029D">
        <w:rPr>
          <w:shd w:val="clear" w:color="auto" w:fill="FFFFFF"/>
        </w:rPr>
        <w:t xml:space="preserve"> </w:t>
      </w:r>
      <w:r w:rsidR="00874309" w:rsidRPr="00AC029D">
        <w:rPr>
          <w:shd w:val="clear" w:color="auto" w:fill="FFFFFF"/>
        </w:rPr>
        <w:t xml:space="preserve">Dette innebærer at </w:t>
      </w:r>
      <w:r w:rsidR="00FC29B6" w:rsidRPr="00AC029D">
        <w:rPr>
          <w:shd w:val="clear" w:color="auto" w:fill="FFFFFF"/>
        </w:rPr>
        <w:t xml:space="preserve">man ikke får noe for </w:t>
      </w:r>
      <w:r w:rsidR="5C4AC937" w:rsidRPr="00AC029D">
        <w:rPr>
          <w:shd w:val="clear" w:color="auto" w:fill="FFFFFF"/>
        </w:rPr>
        <w:t>pr</w:t>
      </w:r>
      <w:r w:rsidR="74B175F1" w:rsidRPr="00AC029D">
        <w:rPr>
          <w:shd w:val="clear" w:color="auto" w:fill="FFFFFF"/>
        </w:rPr>
        <w:t>aks</w:t>
      </w:r>
      <w:r w:rsidR="5C4AC937" w:rsidRPr="00AC029D">
        <w:rPr>
          <w:shd w:val="clear" w:color="auto" w:fill="FFFFFF"/>
        </w:rPr>
        <w:t>isen.</w:t>
      </w:r>
      <w:r w:rsidR="00FC29B6" w:rsidRPr="00AC029D">
        <w:rPr>
          <w:shd w:val="clear" w:color="auto" w:fill="FFFFFF"/>
        </w:rPr>
        <w:t xml:space="preserve"> </w:t>
      </w:r>
      <w:r w:rsidR="47A68297" w:rsidRPr="00AC029D">
        <w:rPr>
          <w:shd w:val="clear" w:color="auto" w:fill="FFFFFF"/>
        </w:rPr>
        <w:t xml:space="preserve">Å risikere at praksisen er uten verdi vil </w:t>
      </w:r>
      <w:r w:rsidR="00297447" w:rsidRPr="00AC029D">
        <w:rPr>
          <w:shd w:val="clear" w:color="auto" w:fill="FFFFFF"/>
        </w:rPr>
        <w:t xml:space="preserve">kunne </w:t>
      </w:r>
      <w:r w:rsidR="47A68297" w:rsidRPr="00AC029D">
        <w:rPr>
          <w:shd w:val="clear" w:color="auto" w:fill="FFFFFF"/>
        </w:rPr>
        <w:t>gjøre det mindre attraktivt for en lege å starte egen praksis eller nytt legekontor.</w:t>
      </w:r>
    </w:p>
    <w:p w14:paraId="277C5DD6" w14:textId="77777777" w:rsidR="00D9107F" w:rsidRDefault="581B781C" w:rsidP="00775632">
      <w:pPr>
        <w:pStyle w:val="Overskrift4"/>
      </w:pPr>
      <w:bookmarkStart w:id="2143" w:name="_Toc130983479"/>
      <w:bookmarkStart w:id="2144" w:name="_Toc130983828"/>
      <w:bookmarkStart w:id="2145" w:name="_Toc131062150"/>
      <w:bookmarkStart w:id="2146" w:name="_Toc131062404"/>
      <w:bookmarkStart w:id="2147" w:name="_Toc131062665"/>
      <w:bookmarkStart w:id="2148" w:name="_Toc131062918"/>
      <w:bookmarkStart w:id="2149" w:name="_Toc131063686"/>
      <w:bookmarkStart w:id="2150" w:name="_Toc131064111"/>
      <w:bookmarkStart w:id="2151" w:name="_Toc131238406"/>
      <w:bookmarkStart w:id="2152" w:name="_Toc131279437"/>
      <w:bookmarkStart w:id="2153" w:name="_Toc131286849"/>
      <w:bookmarkStart w:id="2154" w:name="_Toc131281259"/>
      <w:bookmarkStart w:id="2155" w:name="_Toc131317798"/>
      <w:r>
        <w:t>Hjemfallsrett til kommunen</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1977902D" w14:textId="2D9AD223" w:rsidR="00B27D30" w:rsidRPr="00AC029D" w:rsidRDefault="005D4A6C" w:rsidP="008757C5">
      <w:pPr>
        <w:rPr>
          <w:rFonts w:ascii="Calibri" w:hAnsi="Calibri" w:cs="Calibri"/>
          <w:shd w:val="clear" w:color="auto" w:fill="FFFFFF"/>
        </w:rPr>
      </w:pPr>
      <w:r w:rsidRPr="008F5AD8">
        <w:rPr>
          <w:rFonts w:eastAsiaTheme="minorEastAsia"/>
        </w:rPr>
        <w:t xml:space="preserve">Dersom det ikke melder </w:t>
      </w:r>
      <w:r w:rsidR="002F24ED" w:rsidRPr="008F5AD8">
        <w:rPr>
          <w:rFonts w:eastAsiaTheme="minorEastAsia"/>
        </w:rPr>
        <w:t xml:space="preserve">seg </w:t>
      </w:r>
      <w:r w:rsidR="00756AB6" w:rsidRPr="008F5AD8">
        <w:rPr>
          <w:rFonts w:eastAsiaTheme="minorEastAsia"/>
        </w:rPr>
        <w:t xml:space="preserve">en lege som ønsker å </w:t>
      </w:r>
      <w:r w:rsidR="00481712" w:rsidRPr="008F5AD8">
        <w:rPr>
          <w:rFonts w:eastAsiaTheme="minorEastAsia"/>
        </w:rPr>
        <w:t>ta over en hjemmel</w:t>
      </w:r>
      <w:r w:rsidR="00EA0085" w:rsidRPr="008F5AD8">
        <w:rPr>
          <w:rFonts w:eastAsiaTheme="minorEastAsia"/>
        </w:rPr>
        <w:t xml:space="preserve"> </w:t>
      </w:r>
      <w:r w:rsidR="00325985" w:rsidRPr="008F5AD8">
        <w:rPr>
          <w:rFonts w:eastAsiaTheme="minorEastAsia"/>
        </w:rPr>
        <w:t xml:space="preserve">med </w:t>
      </w:r>
      <w:r w:rsidR="369EF90A" w:rsidRPr="008F5AD8">
        <w:rPr>
          <w:rFonts w:eastAsiaTheme="minorEastAsia"/>
        </w:rPr>
        <w:t>tilh</w:t>
      </w:r>
      <w:r w:rsidR="4B1C9134" w:rsidRPr="008F5AD8">
        <w:rPr>
          <w:rFonts w:eastAsiaTheme="minorEastAsia"/>
        </w:rPr>
        <w:t>ø</w:t>
      </w:r>
      <w:r w:rsidR="2846E3E3" w:rsidRPr="008F5AD8">
        <w:rPr>
          <w:rFonts w:eastAsiaTheme="minorEastAsia"/>
        </w:rPr>
        <w:t>re</w:t>
      </w:r>
      <w:r w:rsidR="7669EB3D" w:rsidRPr="008F5AD8">
        <w:rPr>
          <w:rFonts w:eastAsiaTheme="minorEastAsia"/>
        </w:rPr>
        <w:t>n</w:t>
      </w:r>
      <w:r w:rsidR="2846E3E3" w:rsidRPr="008F5AD8">
        <w:rPr>
          <w:rFonts w:eastAsiaTheme="minorEastAsia"/>
        </w:rPr>
        <w:t>de</w:t>
      </w:r>
      <w:r w:rsidR="008404D9" w:rsidRPr="008F5AD8">
        <w:rPr>
          <w:rFonts w:eastAsiaTheme="minorEastAsia"/>
        </w:rPr>
        <w:t xml:space="preserve"> </w:t>
      </w:r>
      <w:r w:rsidR="00CD6276" w:rsidRPr="008F5AD8">
        <w:rPr>
          <w:rFonts w:eastAsiaTheme="minorEastAsia"/>
        </w:rPr>
        <w:t xml:space="preserve">vilkår for </w:t>
      </w:r>
      <w:r w:rsidR="00172283" w:rsidRPr="008F5AD8">
        <w:rPr>
          <w:rFonts w:eastAsiaTheme="minorEastAsia"/>
        </w:rPr>
        <w:t xml:space="preserve">kjøp </w:t>
      </w:r>
      <w:r w:rsidR="00CD6276" w:rsidRPr="008F5AD8">
        <w:rPr>
          <w:rFonts w:eastAsiaTheme="minorEastAsia"/>
        </w:rPr>
        <w:t xml:space="preserve">av fratredende leges </w:t>
      </w:r>
      <w:r w:rsidR="00EA0085" w:rsidRPr="008F5AD8">
        <w:rPr>
          <w:rFonts w:eastAsiaTheme="minorEastAsia"/>
        </w:rPr>
        <w:t xml:space="preserve">praksis, </w:t>
      </w:r>
      <w:r w:rsidRPr="00AC029D">
        <w:rPr>
          <w:rFonts w:ascii="Calibri" w:hAnsi="Calibri" w:cs="Calibri"/>
          <w:shd w:val="clear" w:color="auto" w:fill="FFFFFF"/>
        </w:rPr>
        <w:t>er det kommunen som har sørge-for-ansvaret</w:t>
      </w:r>
      <w:r w:rsidR="00172283">
        <w:rPr>
          <w:rFonts w:ascii="Calibri" w:hAnsi="Calibri" w:cs="Calibri"/>
          <w:shd w:val="clear" w:color="auto" w:fill="FFFFFF"/>
        </w:rPr>
        <w:t xml:space="preserve"> overfor </w:t>
      </w:r>
      <w:r w:rsidR="00240480">
        <w:rPr>
          <w:rFonts w:ascii="Calibri" w:hAnsi="Calibri" w:cs="Calibri"/>
          <w:shd w:val="clear" w:color="auto" w:fill="FFFFFF"/>
        </w:rPr>
        <w:t>liste</w:t>
      </w:r>
      <w:r w:rsidR="00172283">
        <w:rPr>
          <w:rFonts w:ascii="Calibri" w:hAnsi="Calibri" w:cs="Calibri"/>
          <w:shd w:val="clear" w:color="auto" w:fill="FFFFFF"/>
        </w:rPr>
        <w:t>innbyggerne</w:t>
      </w:r>
      <w:r w:rsidRPr="00AC029D">
        <w:rPr>
          <w:rFonts w:ascii="Calibri" w:hAnsi="Calibri" w:cs="Calibri"/>
          <w:shd w:val="clear" w:color="auto" w:fill="FFFFFF"/>
        </w:rPr>
        <w:t xml:space="preserve">. I dag kan det imidlertid være vanskelig for kommunen å ivareta dette ansvaret, fordi den ikke uten videre kan sette en annen lege til å betjene </w:t>
      </w:r>
      <w:r w:rsidR="006C0E43" w:rsidRPr="00AC029D">
        <w:rPr>
          <w:rFonts w:ascii="Calibri" w:hAnsi="Calibri" w:cs="Calibri"/>
          <w:shd w:val="clear" w:color="auto" w:fill="FFFFFF"/>
        </w:rPr>
        <w:t>listeinnbyggerne</w:t>
      </w:r>
      <w:r w:rsidRPr="00AC029D">
        <w:rPr>
          <w:rFonts w:ascii="Calibri" w:hAnsi="Calibri" w:cs="Calibri"/>
          <w:shd w:val="clear" w:color="auto" w:fill="FFFFFF"/>
        </w:rPr>
        <w:t xml:space="preserve"> før fratredende lege har fått solgt sin praksis. </w:t>
      </w:r>
      <w:r w:rsidR="003C24C1" w:rsidRPr="00AC029D">
        <w:rPr>
          <w:rFonts w:ascii="Calibri" w:hAnsi="Calibri" w:cs="Calibri"/>
        </w:rPr>
        <w:t xml:space="preserve">For </w:t>
      </w:r>
      <w:r w:rsidR="007610BD" w:rsidRPr="00AC029D">
        <w:rPr>
          <w:rFonts w:ascii="Calibri" w:hAnsi="Calibri" w:cs="Calibri"/>
        </w:rPr>
        <w:t>liste</w:t>
      </w:r>
      <w:r w:rsidR="003C24C1" w:rsidRPr="00AC029D">
        <w:rPr>
          <w:rFonts w:ascii="Calibri" w:hAnsi="Calibri" w:cs="Calibri"/>
        </w:rPr>
        <w:t>innbyggerne vil en slik situasjon være klart uheldig</w:t>
      </w:r>
      <w:r w:rsidR="00172283">
        <w:rPr>
          <w:rFonts w:ascii="Calibri" w:hAnsi="Calibri" w:cs="Calibri"/>
        </w:rPr>
        <w:t>,</w:t>
      </w:r>
      <w:r w:rsidR="00A62D47" w:rsidRPr="00AC029D">
        <w:rPr>
          <w:rFonts w:ascii="Calibri" w:hAnsi="Calibri" w:cs="Calibri"/>
        </w:rPr>
        <w:t xml:space="preserve"> knyttet til vikarbruk og diskontinuitet, og i v</w:t>
      </w:r>
      <w:r w:rsidR="0C6EA093" w:rsidRPr="00AC029D">
        <w:rPr>
          <w:rFonts w:ascii="Calibri" w:hAnsi="Calibri" w:cs="Calibri"/>
        </w:rPr>
        <w:t>e</w:t>
      </w:r>
      <w:r w:rsidR="00A62D47" w:rsidRPr="00AC029D">
        <w:rPr>
          <w:rFonts w:ascii="Calibri" w:hAnsi="Calibri" w:cs="Calibri"/>
        </w:rPr>
        <w:t xml:space="preserve">rste fall </w:t>
      </w:r>
      <w:r w:rsidR="006E02ED" w:rsidRPr="00AC029D">
        <w:rPr>
          <w:rFonts w:ascii="Calibri" w:hAnsi="Calibri" w:cs="Calibri"/>
        </w:rPr>
        <w:t xml:space="preserve">mangel på </w:t>
      </w:r>
      <w:r w:rsidR="00FD68B8" w:rsidRPr="00AC029D">
        <w:rPr>
          <w:rFonts w:ascii="Calibri" w:hAnsi="Calibri" w:cs="Calibri"/>
        </w:rPr>
        <w:t>lege</w:t>
      </w:r>
      <w:r w:rsidR="007846C8" w:rsidRPr="00AC029D">
        <w:rPr>
          <w:rFonts w:ascii="Calibri" w:hAnsi="Calibri" w:cs="Calibri"/>
        </w:rPr>
        <w:t>.</w:t>
      </w:r>
    </w:p>
    <w:p w14:paraId="5797F167" w14:textId="77777777" w:rsidR="00D9107F" w:rsidRDefault="00664C3E" w:rsidP="00B96380">
      <w:r w:rsidRPr="00AC029D">
        <w:rPr>
          <w:shd w:val="clear" w:color="auto" w:fill="FFFFFF"/>
        </w:rPr>
        <w:t xml:space="preserve">Rammeavtalen setter </w:t>
      </w:r>
      <w:r w:rsidR="005D4A6C" w:rsidRPr="00AC029D">
        <w:rPr>
          <w:shd w:val="clear" w:color="auto" w:fill="FFFFFF"/>
        </w:rPr>
        <w:t xml:space="preserve">i dag </w:t>
      </w:r>
      <w:r w:rsidRPr="00AC029D">
        <w:rPr>
          <w:shd w:val="clear" w:color="auto" w:fill="FFFFFF"/>
        </w:rPr>
        <w:t xml:space="preserve">ingen </w:t>
      </w:r>
      <w:r w:rsidR="00037668" w:rsidRPr="00AC029D">
        <w:rPr>
          <w:shd w:val="clear" w:color="auto" w:fill="FFFFFF"/>
        </w:rPr>
        <w:t xml:space="preserve">grenser </w:t>
      </w:r>
      <w:r w:rsidR="00832779" w:rsidRPr="00AC029D">
        <w:rPr>
          <w:shd w:val="clear" w:color="auto" w:fill="FFFFFF"/>
        </w:rPr>
        <w:t xml:space="preserve">for </w:t>
      </w:r>
      <w:r w:rsidR="005D4A6C" w:rsidRPr="00AC029D">
        <w:rPr>
          <w:shd w:val="clear" w:color="auto" w:fill="FFFFFF"/>
        </w:rPr>
        <w:t>hvor lenge fratredende lege</w:t>
      </w:r>
      <w:r w:rsidR="00917E62" w:rsidRPr="00AC029D">
        <w:rPr>
          <w:shd w:val="clear" w:color="auto" w:fill="FFFFFF"/>
        </w:rPr>
        <w:t xml:space="preserve"> har en </w:t>
      </w:r>
      <w:r w:rsidR="005D4A6C" w:rsidRPr="00AC029D">
        <w:rPr>
          <w:shd w:val="clear" w:color="auto" w:fill="FFFFFF"/>
        </w:rPr>
        <w:t xml:space="preserve">rett til å selge sin praksis før </w:t>
      </w:r>
      <w:r w:rsidR="00917E62" w:rsidRPr="00AC029D">
        <w:rPr>
          <w:shd w:val="clear" w:color="auto" w:fill="FFFFFF"/>
        </w:rPr>
        <w:t xml:space="preserve">kommunen kan la </w:t>
      </w:r>
      <w:r w:rsidR="005D4A6C" w:rsidRPr="00AC029D">
        <w:rPr>
          <w:shd w:val="clear" w:color="auto" w:fill="FFFFFF"/>
        </w:rPr>
        <w:t xml:space="preserve">ny lege ta over hjemmelen. </w:t>
      </w:r>
      <w:r w:rsidR="00B46669" w:rsidRPr="00AC029D">
        <w:rPr>
          <w:shd w:val="clear" w:color="auto" w:fill="FFFFFF"/>
        </w:rPr>
        <w:t>Inntil fratredende lege og kommunen kommer til en løsnin</w:t>
      </w:r>
      <w:r w:rsidR="00527CE6" w:rsidRPr="00AC029D">
        <w:rPr>
          <w:shd w:val="clear" w:color="auto" w:fill="FFFFFF"/>
        </w:rPr>
        <w:t>g</w:t>
      </w:r>
      <w:r w:rsidR="00B46669" w:rsidRPr="00AC029D">
        <w:rPr>
          <w:shd w:val="clear" w:color="auto" w:fill="FFFFFF"/>
        </w:rPr>
        <w:t xml:space="preserve">, kan </w:t>
      </w:r>
      <w:r w:rsidR="00E37FA3">
        <w:rPr>
          <w:shd w:val="clear" w:color="auto" w:fill="FFFFFF"/>
        </w:rPr>
        <w:t>liste</w:t>
      </w:r>
      <w:r w:rsidR="00B46669" w:rsidRPr="00AC029D">
        <w:rPr>
          <w:shd w:val="clear" w:color="auto" w:fill="FFFFFF"/>
        </w:rPr>
        <w:t xml:space="preserve">innbyggere bli stående på lister uten fast </w:t>
      </w:r>
      <w:r w:rsidR="00EA3B0D" w:rsidRPr="00AC029D">
        <w:rPr>
          <w:shd w:val="clear" w:color="auto" w:fill="FFFFFF"/>
        </w:rPr>
        <w:t xml:space="preserve">tilknyttet </w:t>
      </w:r>
      <w:r w:rsidR="00B46669" w:rsidRPr="00AC029D">
        <w:rPr>
          <w:shd w:val="clear" w:color="auto" w:fill="FFFFFF"/>
        </w:rPr>
        <w:t xml:space="preserve">lege. </w:t>
      </w:r>
      <w:r w:rsidR="00C0409B" w:rsidRPr="00AC029D">
        <w:rPr>
          <w:shd w:val="clear" w:color="auto" w:fill="FFFFFF"/>
        </w:rPr>
        <w:t xml:space="preserve">Kommunen er forpliktet </w:t>
      </w:r>
      <w:r w:rsidR="00C11888" w:rsidRPr="00AC029D">
        <w:rPr>
          <w:shd w:val="clear" w:color="auto" w:fill="FFFFFF"/>
        </w:rPr>
        <w:t xml:space="preserve">etter loven </w:t>
      </w:r>
      <w:r w:rsidR="00C0409B" w:rsidRPr="00AC029D">
        <w:rPr>
          <w:shd w:val="clear" w:color="auto" w:fill="FFFFFF"/>
        </w:rPr>
        <w:t xml:space="preserve">til </w:t>
      </w:r>
      <w:r w:rsidR="00A72283" w:rsidRPr="00AC029D">
        <w:rPr>
          <w:shd w:val="clear" w:color="auto" w:fill="FFFFFF"/>
        </w:rPr>
        <w:t xml:space="preserve">å </w:t>
      </w:r>
      <w:r w:rsidR="00801429" w:rsidRPr="00AC029D">
        <w:rPr>
          <w:shd w:val="clear" w:color="auto" w:fill="FFFFFF"/>
        </w:rPr>
        <w:t>ivareta sørge-for-ansvaret og gi</w:t>
      </w:r>
      <w:r w:rsidR="00801429" w:rsidRPr="00AC029D" w:rsidDel="007610BD">
        <w:rPr>
          <w:shd w:val="clear" w:color="auto" w:fill="FFFFFF"/>
        </w:rPr>
        <w:t xml:space="preserve"> </w:t>
      </w:r>
      <w:r w:rsidR="007610BD" w:rsidRPr="00AC029D">
        <w:rPr>
          <w:shd w:val="clear" w:color="auto" w:fill="FFFFFF"/>
        </w:rPr>
        <w:t>innbyggerne</w:t>
      </w:r>
      <w:r w:rsidR="00801429" w:rsidRPr="00AC029D">
        <w:rPr>
          <w:shd w:val="clear" w:color="auto" w:fill="FFFFFF"/>
        </w:rPr>
        <w:t xml:space="preserve"> på slike lister en fastlege, </w:t>
      </w:r>
      <w:r w:rsidR="001F12DF" w:rsidRPr="00AC029D">
        <w:rPr>
          <w:shd w:val="clear" w:color="auto" w:fill="FFFFFF"/>
        </w:rPr>
        <w:t xml:space="preserve">men </w:t>
      </w:r>
      <w:r w:rsidR="00D31BFD" w:rsidRPr="00AC029D">
        <w:rPr>
          <w:shd w:val="clear" w:color="auto" w:fill="FFFFFF"/>
        </w:rPr>
        <w:t xml:space="preserve">praksis </w:t>
      </w:r>
      <w:r w:rsidR="001D177D" w:rsidRPr="00AC029D">
        <w:rPr>
          <w:shd w:val="clear" w:color="auto" w:fill="FFFFFF"/>
        </w:rPr>
        <w:t xml:space="preserve">ser i dag ut til å </w:t>
      </w:r>
      <w:r w:rsidR="002801A1" w:rsidRPr="00AC029D">
        <w:rPr>
          <w:shd w:val="clear" w:color="auto" w:fill="FFFFFF"/>
        </w:rPr>
        <w:t xml:space="preserve">være </w:t>
      </w:r>
      <w:r w:rsidR="001D177D" w:rsidRPr="00AC029D">
        <w:rPr>
          <w:shd w:val="clear" w:color="auto" w:fill="FFFFFF"/>
        </w:rPr>
        <w:t xml:space="preserve">at </w:t>
      </w:r>
      <w:r w:rsidR="005815D7" w:rsidRPr="00AC029D">
        <w:rPr>
          <w:shd w:val="clear" w:color="auto" w:fill="FFFFFF"/>
        </w:rPr>
        <w:t>kommunen</w:t>
      </w:r>
      <w:r w:rsidR="00F87F8D" w:rsidRPr="00AC029D">
        <w:rPr>
          <w:shd w:val="clear" w:color="auto" w:fill="FFFFFF"/>
        </w:rPr>
        <w:t>e</w:t>
      </w:r>
      <w:r w:rsidR="005815D7" w:rsidRPr="00AC029D">
        <w:rPr>
          <w:shd w:val="clear" w:color="auto" w:fill="FFFFFF"/>
        </w:rPr>
        <w:t xml:space="preserve"> </w:t>
      </w:r>
      <w:r w:rsidR="001F12DF" w:rsidRPr="00AC029D">
        <w:rPr>
          <w:shd w:val="clear" w:color="auto" w:fill="FFFFFF"/>
        </w:rPr>
        <w:t xml:space="preserve">ikke </w:t>
      </w:r>
      <w:r w:rsidR="00CB01B5" w:rsidRPr="00AC029D">
        <w:rPr>
          <w:shd w:val="clear" w:color="auto" w:fill="FFFFFF"/>
        </w:rPr>
        <w:t>la</w:t>
      </w:r>
      <w:r w:rsidR="003B1F82" w:rsidRPr="00AC029D">
        <w:rPr>
          <w:shd w:val="clear" w:color="auto" w:fill="FFFFFF"/>
        </w:rPr>
        <w:t>r</w:t>
      </w:r>
      <w:r w:rsidR="00CB01B5" w:rsidRPr="00AC029D">
        <w:rPr>
          <w:shd w:val="clear" w:color="auto" w:fill="FFFFFF"/>
        </w:rPr>
        <w:t xml:space="preserve"> en annen fastlege betjene </w:t>
      </w:r>
      <w:r w:rsidR="00BC1482" w:rsidRPr="00AC029D">
        <w:rPr>
          <w:shd w:val="clear" w:color="auto" w:fill="FFFFFF"/>
        </w:rPr>
        <w:t xml:space="preserve">hjemmelen </w:t>
      </w:r>
      <w:r w:rsidR="001F12DF" w:rsidRPr="00AC029D">
        <w:rPr>
          <w:shd w:val="clear" w:color="auto" w:fill="FFFFFF"/>
        </w:rPr>
        <w:t xml:space="preserve">før </w:t>
      </w:r>
      <w:r w:rsidR="005248B9" w:rsidRPr="00AC029D">
        <w:rPr>
          <w:shd w:val="clear" w:color="auto" w:fill="FFFFFF"/>
        </w:rPr>
        <w:t xml:space="preserve">fratredende lege har solgt sin praksis. </w:t>
      </w:r>
      <w:r w:rsidR="006906B3" w:rsidRPr="00AC029D">
        <w:t xml:space="preserve">Mange kommuner rapporterer at </w:t>
      </w:r>
      <w:r w:rsidR="005D0273" w:rsidRPr="00AC029D">
        <w:t xml:space="preserve">de </w:t>
      </w:r>
      <w:r w:rsidR="00400C49" w:rsidRPr="00AC029D">
        <w:t xml:space="preserve">har </w:t>
      </w:r>
      <w:r w:rsidR="00400C49">
        <w:t>gitt økonomisk kompensasjon</w:t>
      </w:r>
      <w:r w:rsidR="00015FEB">
        <w:t xml:space="preserve">, i snitt </w:t>
      </w:r>
      <w:r w:rsidR="00F64027">
        <w:t xml:space="preserve">på </w:t>
      </w:r>
      <w:r w:rsidR="002771D2">
        <w:t xml:space="preserve">rundt </w:t>
      </w:r>
      <w:r w:rsidR="00C4034C">
        <w:t xml:space="preserve">en halv </w:t>
      </w:r>
      <w:r w:rsidR="00F64027">
        <w:t xml:space="preserve">million kroner </w:t>
      </w:r>
      <w:r w:rsidR="002771D2">
        <w:t xml:space="preserve">per </w:t>
      </w:r>
      <w:r w:rsidR="00400C49">
        <w:t>lege</w:t>
      </w:r>
      <w:r w:rsidR="00015FEB">
        <w:t>,</w:t>
      </w:r>
      <w:r w:rsidR="00400C49">
        <w:t xml:space="preserve"> ved innløsing av </w:t>
      </w:r>
      <w:r w:rsidR="009C1787">
        <w:t xml:space="preserve">en </w:t>
      </w:r>
      <w:r w:rsidR="00400C49">
        <w:t>hjem</w:t>
      </w:r>
      <w:r w:rsidR="009C1787">
        <w:t>me</w:t>
      </w:r>
      <w:r w:rsidR="00400C49">
        <w:t>l</w:t>
      </w:r>
      <w:r w:rsidR="00085449">
        <w:t xml:space="preserve"> de siste årene</w:t>
      </w:r>
      <w:r w:rsidR="12321927">
        <w:t xml:space="preserve"> </w:t>
      </w:r>
      <w:r w:rsidR="00BA433C">
        <w:fldChar w:fldCharType="begin"/>
      </w:r>
      <w:r w:rsidR="00A930FB">
        <w:instrText xml:space="preserve"> ADDIN EN.CITE &lt;EndNote&gt;&lt;Cite&gt;&lt;Author&gt;og&lt;/Author&gt;&lt;Year&gt;2022&lt;/Year&gt;&lt;RecNum&gt;858&lt;/RecNum&gt;&lt;DisplayText&gt;(og et al., 2022)&lt;/DisplayText&gt;&lt;record&gt;&lt;rec-number&gt;858&lt;/rec-number&gt;&lt;foreign-keys&gt;&lt;key app="EN" db-id="95tpr2tp6r9xwoea9rb5wdsz5ds5xeddteew" timestamp="1680069511"&gt;858&lt;/key&gt;&lt;/foreign-keys&gt;&lt;ref-type name="Report"&gt;27&lt;/ref-type&gt;&lt;contributors&gt;&lt;authors&gt;&lt;author&gt;Ipsos og&lt;/author&gt;&lt;author&gt;Samfunnsøkonomisk analyse,&lt;/author&gt;&lt;/authors&gt;&lt;tertiary-authors&gt;&lt;author&gt;Ipsos&lt;/author&gt;&lt;/tertiary-authors&gt;&lt;/contributors&gt;&lt;titles&gt;&lt;title&gt;Variasjoner i finansiering av fastlegeordningen : fjerde oppfølgingsundersøkelse&lt;/title&gt;&lt;/titles&gt;&lt;dates&gt;&lt;year&gt;2022&lt;/year&gt;&lt;/dates&gt;&lt;pub-location&gt;Oslo&lt;/pub-location&gt;&lt;urls&gt;&lt;/urls&gt;&lt;/record&gt;&lt;/Cite&gt;&lt;/EndNote&gt;</w:instrText>
      </w:r>
      <w:r w:rsidR="00BA433C">
        <w:fldChar w:fldCharType="separate"/>
      </w:r>
      <w:r w:rsidR="00A930FB">
        <w:rPr>
          <w:noProof/>
        </w:rPr>
        <w:t>(og et al., 2022)</w:t>
      </w:r>
      <w:r w:rsidR="00BA433C">
        <w:fldChar w:fldCharType="end"/>
      </w:r>
      <w:r w:rsidR="0B876E9E">
        <w:t>.</w:t>
      </w:r>
    </w:p>
    <w:p w14:paraId="69F38D91" w14:textId="77777777" w:rsidR="00D9107F" w:rsidRDefault="00E13CB9" w:rsidP="00B96380">
      <w:r w:rsidRPr="00AC029D">
        <w:t xml:space="preserve">Siden kommunens sørge-for-ansvar følger av lov, og </w:t>
      </w:r>
      <w:r w:rsidR="00B92951" w:rsidRPr="00AC029D">
        <w:t xml:space="preserve">fratredende leges rett til å </w:t>
      </w:r>
      <w:r w:rsidR="00EB68F0" w:rsidRPr="00AC029D">
        <w:t xml:space="preserve">selge praksisen før </w:t>
      </w:r>
      <w:r w:rsidR="004E3024" w:rsidRPr="00AC029D">
        <w:t xml:space="preserve">kommunen kan la en ny fastlege betjene hjemmelen, </w:t>
      </w:r>
      <w:r w:rsidR="00C20447" w:rsidRPr="00AC029D">
        <w:t>bare følger av rammeavtalen</w:t>
      </w:r>
      <w:r w:rsidR="0026340F" w:rsidRPr="00AC029D">
        <w:t xml:space="preserve"> (pkt. 5.6)</w:t>
      </w:r>
      <w:r w:rsidR="00C20447" w:rsidRPr="00AC029D">
        <w:t xml:space="preserve">, er det ikke </w:t>
      </w:r>
      <w:r w:rsidR="00EA593B" w:rsidRPr="00AC029D">
        <w:t xml:space="preserve">helt klart </w:t>
      </w:r>
      <w:r w:rsidR="004C3D5E" w:rsidRPr="00AC029D">
        <w:t xml:space="preserve">hva </w:t>
      </w:r>
      <w:r w:rsidR="00AE4E03" w:rsidRPr="00AC029D">
        <w:t xml:space="preserve">gjeldende rett egentlig er på feltet. </w:t>
      </w:r>
      <w:r w:rsidR="00BA1FF3" w:rsidRPr="00AC029D">
        <w:t>Dermed</w:t>
      </w:r>
      <w:r w:rsidR="00D10A2A" w:rsidRPr="00AC029D" w:rsidDel="007610BD">
        <w:t xml:space="preserve"> </w:t>
      </w:r>
      <w:r w:rsidR="007E14A6">
        <w:t>kan</w:t>
      </w:r>
      <w:r w:rsidR="007E14A6" w:rsidRPr="00AC029D" w:rsidDel="007610BD">
        <w:t xml:space="preserve"> </w:t>
      </w:r>
      <w:r w:rsidR="007610BD" w:rsidRPr="00AC029D">
        <w:t>innbyggere</w:t>
      </w:r>
      <w:r w:rsidR="00D10A2A" w:rsidRPr="00AC029D">
        <w:t xml:space="preserve"> </w:t>
      </w:r>
      <w:r w:rsidR="007E14A6">
        <w:t xml:space="preserve">bli </w:t>
      </w:r>
      <w:r w:rsidR="00D10A2A" w:rsidRPr="00AC029D">
        <w:t>låst inne på en liste uten fast lege og deres pasientrettigheter</w:t>
      </w:r>
      <w:r w:rsidR="000B70B0" w:rsidRPr="00AC029D">
        <w:t xml:space="preserve"> </w:t>
      </w:r>
      <w:r w:rsidR="007E14A6">
        <w:t xml:space="preserve">kan </w:t>
      </w:r>
      <w:r w:rsidR="000B70B0" w:rsidRPr="00AC029D">
        <w:t>trues</w:t>
      </w:r>
      <w:r w:rsidR="005F6ADA" w:rsidRPr="00AC029D">
        <w:t xml:space="preserve">. For å </w:t>
      </w:r>
      <w:r w:rsidR="006C31C2" w:rsidRPr="00AC029D">
        <w:t xml:space="preserve">sikre at kommunen kan ivareta </w:t>
      </w:r>
      <w:r w:rsidR="00693DD3" w:rsidRPr="00AC029D">
        <w:t xml:space="preserve">innbyggernes rettigheter og tilgang til fastlege, er det behov for å </w:t>
      </w:r>
      <w:r w:rsidR="005634D7" w:rsidRPr="00AC029D">
        <w:t>avklare om</w:t>
      </w:r>
      <w:r w:rsidR="00172283">
        <w:t>,</w:t>
      </w:r>
      <w:r w:rsidR="005634D7" w:rsidRPr="00AC029D">
        <w:t xml:space="preserve"> og hvor lenge</w:t>
      </w:r>
      <w:r w:rsidR="00172283">
        <w:t>,</w:t>
      </w:r>
      <w:r w:rsidR="005634D7" w:rsidRPr="00AC029D">
        <w:t xml:space="preserve"> en fastlege skal ha rett til å selge sin praksis før kommunen </w:t>
      </w:r>
      <w:r w:rsidR="006C0217" w:rsidRPr="00AC029D">
        <w:t xml:space="preserve">selv </w:t>
      </w:r>
      <w:r w:rsidR="005634D7" w:rsidRPr="00AC029D">
        <w:t>kan la en ny</w:t>
      </w:r>
      <w:r w:rsidR="006D43CA" w:rsidRPr="00AC029D">
        <w:t xml:space="preserve"> fast</w:t>
      </w:r>
      <w:r w:rsidR="005634D7" w:rsidRPr="00AC029D">
        <w:t xml:space="preserve">lege </w:t>
      </w:r>
      <w:r w:rsidR="006D43CA" w:rsidRPr="00AC029D">
        <w:t xml:space="preserve">begynne å betjene </w:t>
      </w:r>
      <w:r w:rsidR="00C23C3A" w:rsidRPr="00AC029D">
        <w:t>hjemmelen</w:t>
      </w:r>
      <w:r w:rsidR="006D43CA" w:rsidRPr="00AC029D">
        <w:t>.</w:t>
      </w:r>
    </w:p>
    <w:p w14:paraId="494C29FA" w14:textId="7B14D9C6" w:rsidR="0059162C" w:rsidRPr="00AC029D" w:rsidRDefault="0059162C" w:rsidP="00B96380">
      <w:r w:rsidRPr="00AC029D">
        <w:lastRenderedPageBreak/>
        <w:t xml:space="preserve">En mulighet er å åpne for at fratredende lege helt på egen hånd kan finne en kjøper til praksisen som tar over hjemmelen, </w:t>
      </w:r>
      <w:r w:rsidR="00F4594A" w:rsidRPr="00AC029D">
        <w:t xml:space="preserve">men hvis </w:t>
      </w:r>
      <w:r w:rsidR="00683EE6" w:rsidRPr="00AC029D">
        <w:t>legen ikke finner en kjøper</w:t>
      </w:r>
      <w:r w:rsidR="00F07A4A" w:rsidRPr="00AC029D">
        <w:t xml:space="preserve">, må </w:t>
      </w:r>
      <w:r w:rsidR="008B4D13" w:rsidRPr="00AC029D">
        <w:t xml:space="preserve">hjemmelen </w:t>
      </w:r>
      <w:r w:rsidR="007D57D9" w:rsidRPr="00AC029D">
        <w:t xml:space="preserve">hjemfalle </w:t>
      </w:r>
      <w:r w:rsidR="008B4D13" w:rsidRPr="00AC029D">
        <w:t xml:space="preserve">til </w:t>
      </w:r>
      <w:r w:rsidR="00F07A4A" w:rsidRPr="00AC029D">
        <w:t>kommunen</w:t>
      </w:r>
      <w:r w:rsidR="00172283">
        <w:t>,</w:t>
      </w:r>
      <w:r w:rsidR="00F07A4A" w:rsidRPr="00AC029D">
        <w:t xml:space="preserve"> </w:t>
      </w:r>
      <w:r w:rsidR="007D57D9" w:rsidRPr="00AC029D">
        <w:t xml:space="preserve">ved at </w:t>
      </w:r>
      <w:r w:rsidR="00F07A4A" w:rsidRPr="00AC029D">
        <w:t xml:space="preserve">fratredende leges rett til å selge </w:t>
      </w:r>
      <w:r w:rsidR="00172A73" w:rsidRPr="00AC029D">
        <w:t>praksisen</w:t>
      </w:r>
      <w:r w:rsidR="0053335C" w:rsidRPr="00AC029D">
        <w:t xml:space="preserve"> opphører</w:t>
      </w:r>
      <w:r w:rsidR="00172A73" w:rsidRPr="00AC029D">
        <w:t>.</w:t>
      </w:r>
    </w:p>
    <w:p w14:paraId="5064944A" w14:textId="77777777" w:rsidR="00D9107F" w:rsidRDefault="0059162C" w:rsidP="00B96380">
      <w:r w:rsidRPr="00AC029D">
        <w:t xml:space="preserve">En alternativ eller supplerende løsning, som </w:t>
      </w:r>
      <w:r w:rsidR="005C12BD" w:rsidRPr="00AC029D">
        <w:t xml:space="preserve">har mange likhetstrekk med </w:t>
      </w:r>
      <w:r w:rsidRPr="00AC029D">
        <w:t xml:space="preserve">på dagens ordning, kunne være å </w:t>
      </w:r>
      <w:r>
        <w:t xml:space="preserve">forskriftsfeste at fratredende lege må oppgi prisen for praksisen i kommunens utlysning av hjemmelen. Dersom det ikke melder seg søkere som tar over hjemmelen og praksisen på disse vilkårene, kan det forskriftsfestes at </w:t>
      </w:r>
      <w:r w:rsidRPr="6E9CBEE1">
        <w:t>kommunen</w:t>
      </w:r>
      <w:r>
        <w:t xml:space="preserve"> </w:t>
      </w:r>
      <w:r w:rsidR="00D05C48">
        <w:t xml:space="preserve">bare </w:t>
      </w:r>
      <w:r>
        <w:t xml:space="preserve">er forpliktet til å lyse ut hjemmelen </w:t>
      </w:r>
      <w:r w:rsidRPr="6E9CBEE1">
        <w:t>for eksempel</w:t>
      </w:r>
      <w:r>
        <w:t xml:space="preserve"> </w:t>
      </w:r>
      <w:r w:rsidR="2D878A6E" w:rsidRPr="09FE05BB">
        <w:t xml:space="preserve">én </w:t>
      </w:r>
      <w:r w:rsidR="2D878A6E" w:rsidRPr="2008F295">
        <w:t>eller</w:t>
      </w:r>
      <w:r w:rsidR="2D878A6E" w:rsidRPr="09FE05BB">
        <w:t xml:space="preserve"> </w:t>
      </w:r>
      <w:r w:rsidR="54122066" w:rsidRPr="09FE05BB">
        <w:t>to</w:t>
      </w:r>
      <w:r>
        <w:t xml:space="preserve"> ganger til. Fratredende lege kan sette ned prisen på praksisen ved hver av de nye utlysningene, men dersom det ikke melder seg søkere som tar over etter tre utlysinger, mister fratredende lege sin rett til å selge praksisen og kommunen må overta betjeningen av hjemmelen. Det kan fastsettes minimum og maksimum tid mellom hver av utlysningene (for eksempel 4 og 12 uker).</w:t>
      </w:r>
    </w:p>
    <w:p w14:paraId="074712AF" w14:textId="3F8AF1A1" w:rsidR="0059162C" w:rsidRPr="008F5AD8" w:rsidRDefault="0059162C" w:rsidP="00B96380">
      <w:pPr>
        <w:rPr>
          <w:rFonts w:eastAsiaTheme="minorEastAsia"/>
        </w:rPr>
      </w:pPr>
      <w:r>
        <w:t xml:space="preserve">Kommunen kan da selvsagt inngå avtale med legen om å kjøpe praksisen, men legen har ingen rett (og selvsagt ingen plikt) til å selge og kommunen har ingen plikt (og ingen rett) til å kjøpe. Fratredende lege kan ha rett til å vise til beskrivelser eller takst av praksisen i kommunens utlysning av hjemmelen. </w:t>
      </w:r>
      <w:r w:rsidR="007D099E">
        <w:t xml:space="preserve">Ved en slik hjemfallsrett til kommunen </w:t>
      </w:r>
      <w:r>
        <w:t xml:space="preserve">vil behovet for </w:t>
      </w:r>
      <w:r w:rsidRPr="00AC029D">
        <w:t>nem</w:t>
      </w:r>
      <w:r w:rsidR="008643EB">
        <w:t>n</w:t>
      </w:r>
      <w:r w:rsidRPr="00AC029D">
        <w:t>da i Legeforeningen bortfalle</w:t>
      </w:r>
      <w:r w:rsidR="00356F72" w:rsidRPr="00AC029D">
        <w:t xml:space="preserve"> (men parte</w:t>
      </w:r>
      <w:r w:rsidR="004A556F" w:rsidRPr="00AC029D">
        <w:t>ne</w:t>
      </w:r>
      <w:r w:rsidR="00356F72" w:rsidRPr="00AC029D">
        <w:t xml:space="preserve"> vil selvsagt kunne avtale voldgift</w:t>
      </w:r>
      <w:r w:rsidR="00E832F9" w:rsidRPr="00AC029D">
        <w:t xml:space="preserve"> </w:t>
      </w:r>
      <w:r w:rsidR="004A556F" w:rsidRPr="00AC029D">
        <w:t xml:space="preserve">iht. </w:t>
      </w:r>
      <w:r w:rsidR="00CF5C3F" w:rsidRPr="00AC029D">
        <w:t>voldgift</w:t>
      </w:r>
      <w:r w:rsidR="005B390B" w:rsidRPr="00AC029D">
        <w:t>s</w:t>
      </w:r>
      <w:r w:rsidR="004A556F" w:rsidRPr="00AC029D">
        <w:t>loven</w:t>
      </w:r>
      <w:r w:rsidR="00E832F9" w:rsidRPr="00AC029D">
        <w:t>)</w:t>
      </w:r>
      <w:r w:rsidRPr="00AC029D">
        <w:t>.</w:t>
      </w:r>
      <w:r w:rsidR="00C71FE3" w:rsidRPr="00AC029D">
        <w:t xml:space="preserve"> </w:t>
      </w:r>
      <w:r w:rsidR="00C71FE3">
        <w:t>For at fratredende lege skal ha godt grunnlag for å sette en pris i utlysningen, bør det fastsettes at alle priser og beskrivelser av praksiser skal offentliggjøres og samles på ett sted (en nettside). Bare når særlige hensyn tilsier det</w:t>
      </w:r>
      <w:r w:rsidR="009C5D11">
        <w:t>,</w:t>
      </w:r>
      <w:r w:rsidR="00C71FE3">
        <w:t xml:space="preserve"> bør konkrete forhold i en omtale av praksisen kunne unntas offentlighet</w:t>
      </w:r>
      <w:r w:rsidR="008643EB">
        <w:t>, i tråd med gjeldende lovverk på området</w:t>
      </w:r>
      <w:r w:rsidR="00C71FE3">
        <w:t>.</w:t>
      </w:r>
    </w:p>
    <w:p w14:paraId="45788153" w14:textId="772B5DC2" w:rsidR="007D60FA" w:rsidRDefault="00E26F1B" w:rsidP="00B96380">
      <w:r w:rsidRPr="00AC029D">
        <w:t>Hvorvidt hjemfallet til kommunen skal være vederlagsfritt, eller det skal lages en fast eller midlertidig ordning der kommunen eller staten gir fratredende lege standardiserte minimumssatser</w:t>
      </w:r>
      <w:r w:rsidR="008643EB">
        <w:t xml:space="preserve"> for praksisen</w:t>
      </w:r>
      <w:r w:rsidRPr="00AC029D">
        <w:t xml:space="preserve">, kan vurderes nærmere. </w:t>
      </w:r>
      <w:r w:rsidRPr="00AC029D">
        <w:rPr>
          <w:shd w:val="clear" w:color="auto" w:fill="FFFFFF"/>
        </w:rPr>
        <w:t>Noen</w:t>
      </w:r>
      <w:r w:rsidR="008643EB">
        <w:rPr>
          <w:shd w:val="clear" w:color="auto" w:fill="FFFFFF"/>
        </w:rPr>
        <w:t xml:space="preserve"> av dagens</w:t>
      </w:r>
      <w:r w:rsidRPr="00AC029D">
        <w:rPr>
          <w:shd w:val="clear" w:color="auto" w:fill="FFFFFF"/>
        </w:rPr>
        <w:t xml:space="preserve"> fastleger måtte i sin tid kjøpe praksisen til en høy </w:t>
      </w:r>
      <w:r w:rsidR="00644EB8" w:rsidRPr="00AC029D">
        <w:t>pris</w:t>
      </w:r>
      <w:r w:rsidRPr="00AC029D">
        <w:rPr>
          <w:shd w:val="clear" w:color="auto" w:fill="FFFFFF"/>
        </w:rPr>
        <w:t xml:space="preserve">, og </w:t>
      </w:r>
      <w:r w:rsidRPr="00AC029D">
        <w:t>selv om de har kunnet avskrive disse kostnadene</w:t>
      </w:r>
      <w:r w:rsidR="008643EB">
        <w:t>,</w:t>
      </w:r>
      <w:r w:rsidRPr="00AC029D">
        <w:t xml:space="preserve"> og derfor spart skatt, vil nok mange ha forventninger </w:t>
      </w:r>
      <w:r w:rsidR="00D808DA" w:rsidRPr="00AC029D">
        <w:t xml:space="preserve">om </w:t>
      </w:r>
      <w:r w:rsidRPr="00AC029D">
        <w:t xml:space="preserve">å få tilbake iallfall noe av prisen de en gang betalte når de skal </w:t>
      </w:r>
      <w:r w:rsidR="008643EB">
        <w:t>tre ut av</w:t>
      </w:r>
      <w:r w:rsidR="008643EB" w:rsidRPr="00AC029D">
        <w:t xml:space="preserve"> </w:t>
      </w:r>
      <w:r w:rsidRPr="00AC029D">
        <w:t>praksis</w:t>
      </w:r>
      <w:r w:rsidRPr="00AC029D">
        <w:rPr>
          <w:shd w:val="clear" w:color="auto" w:fill="FFFFFF"/>
        </w:rPr>
        <w:t>en. Av denne grunn kan det vurderes å avtale en overgangsordning</w:t>
      </w:r>
      <w:r w:rsidR="00D808DA" w:rsidRPr="00AC029D">
        <w:rPr>
          <w:shd w:val="clear" w:color="auto" w:fill="FFFFFF"/>
        </w:rPr>
        <w:t>,</w:t>
      </w:r>
      <w:r w:rsidRPr="00AC029D">
        <w:rPr>
          <w:shd w:val="clear" w:color="auto" w:fill="FFFFFF"/>
        </w:rPr>
        <w:t xml:space="preserve"> der staten eller kommunen må yte fratredende leger en standardisert kompensasjon for praksisen, </w:t>
      </w:r>
      <w:r w:rsidRPr="00AC029D">
        <w:t xml:space="preserve">iallfall i tilfeller der kvaliteten på praksisen </w:t>
      </w:r>
      <w:r w:rsidR="00DE0450" w:rsidRPr="00AC029D">
        <w:t xml:space="preserve">klart overstiger lov- og forskriftsfestede </w:t>
      </w:r>
      <w:r w:rsidR="00AC342E" w:rsidRPr="00AC029D">
        <w:t>minimums</w:t>
      </w:r>
      <w:r w:rsidR="00DE0450" w:rsidRPr="00AC029D">
        <w:t>krav</w:t>
      </w:r>
      <w:r w:rsidR="007D60FA" w:rsidRPr="00AC029D">
        <w:t>.</w:t>
      </w:r>
    </w:p>
    <w:p w14:paraId="4DED60E9" w14:textId="77777777" w:rsidR="00D9107F" w:rsidRDefault="00E26F1B" w:rsidP="007D60FA">
      <w:pPr>
        <w:jc w:val="both"/>
        <w:rPr>
          <w:shd w:val="clear" w:color="auto" w:fill="FFFFFF"/>
        </w:rPr>
      </w:pPr>
      <w:r w:rsidRPr="00AC029D">
        <w:rPr>
          <w:shd w:val="clear" w:color="auto" w:fill="FFFFFF"/>
        </w:rPr>
        <w:t>En prosedyre med hjemfall til kommunen av hjemmelen (ikke praksisen), vil kunne løse opp i noen av barrierene vi i dag ser for rekruttering av nye fastleger</w:t>
      </w:r>
      <w:r w:rsidR="008643EB">
        <w:rPr>
          <w:shd w:val="clear" w:color="auto" w:fill="FFFFFF"/>
        </w:rPr>
        <w:t>,</w:t>
      </w:r>
      <w:r w:rsidRPr="00AC029D">
        <w:rPr>
          <w:shd w:val="clear" w:color="auto" w:fill="FFFFFF"/>
        </w:rPr>
        <w:t xml:space="preserve"> eller for at kommunene </w:t>
      </w:r>
      <w:r w:rsidR="00B03948" w:rsidRPr="00AC029D">
        <w:rPr>
          <w:shd w:val="clear" w:color="auto" w:fill="FFFFFF"/>
        </w:rPr>
        <w:t>faktisk</w:t>
      </w:r>
      <w:r w:rsidR="00BE484E" w:rsidRPr="00AC029D">
        <w:rPr>
          <w:shd w:val="clear" w:color="auto" w:fill="FFFFFF"/>
        </w:rPr>
        <w:t xml:space="preserve"> </w:t>
      </w:r>
      <w:r w:rsidR="004B2000" w:rsidRPr="00AC029D">
        <w:rPr>
          <w:shd w:val="clear" w:color="auto" w:fill="FFFFFF"/>
        </w:rPr>
        <w:t xml:space="preserve">får </w:t>
      </w:r>
      <w:r w:rsidR="00EC30D5" w:rsidRPr="00AC029D">
        <w:rPr>
          <w:shd w:val="clear" w:color="auto" w:fill="FFFFFF"/>
        </w:rPr>
        <w:t xml:space="preserve">mulighet til å </w:t>
      </w:r>
      <w:r w:rsidRPr="00AC029D">
        <w:rPr>
          <w:shd w:val="clear" w:color="auto" w:fill="FFFFFF"/>
        </w:rPr>
        <w:t xml:space="preserve">overta hjemmelen. Det vil også kunne redusere innlåsing i eksisterende infrastruktur fordi dagens fastleger vil ha større insentiver til å tilpasse praksisene sine til det de tror framtidige kjøpere ønsker seg, </w:t>
      </w:r>
      <w:r w:rsidR="00112ABB" w:rsidRPr="00AC029D">
        <w:rPr>
          <w:shd w:val="clear" w:color="auto" w:fill="FFFFFF"/>
        </w:rPr>
        <w:t>det vil si</w:t>
      </w:r>
      <w:r w:rsidRPr="00AC029D">
        <w:rPr>
          <w:shd w:val="clear" w:color="auto" w:fill="FFFFFF"/>
        </w:rPr>
        <w:t xml:space="preserve"> til yngre legers preferanser.</w:t>
      </w:r>
    </w:p>
    <w:p w14:paraId="32373B72" w14:textId="3D99BCD1" w:rsidR="007D60FA" w:rsidRDefault="00E26F1B" w:rsidP="007D60FA">
      <w:pPr>
        <w:jc w:val="both"/>
      </w:pPr>
      <w:r w:rsidRPr="00AC029D">
        <w:rPr>
          <w:shd w:val="clear" w:color="auto" w:fill="FFFFFF"/>
        </w:rPr>
        <w:lastRenderedPageBreak/>
        <w:t xml:space="preserve">Samtidig vil en slik ordning kunne dempe insentivene til noen typer investeringer i praksisen, fordi selger kan risikere å ikke få noe nevneverdig for praksisen. Det kan også tenkes en motsatt effekt </w:t>
      </w:r>
      <w:r w:rsidR="008643EB">
        <w:rPr>
          <w:shd w:val="clear" w:color="auto" w:fill="FFFFFF"/>
        </w:rPr>
        <w:t>for</w:t>
      </w:r>
      <w:r w:rsidRPr="00AC029D">
        <w:rPr>
          <w:shd w:val="clear" w:color="auto" w:fill="FFFFFF"/>
        </w:rPr>
        <w:t xml:space="preserve"> økning av investering i kvalitet, for å gjøre praksisen mer attraktiv for salg. Hvordan disse effektene vil virke mot hverandre er uklart.</w:t>
      </w:r>
    </w:p>
    <w:p w14:paraId="3DCF199B" w14:textId="2A9725F0" w:rsidR="007D60FA" w:rsidRDefault="00E26F1B" w:rsidP="007D60FA">
      <w:pPr>
        <w:jc w:val="both"/>
      </w:pPr>
      <w:r w:rsidRPr="00AC029D">
        <w:rPr>
          <w:shd w:val="clear" w:color="auto" w:fill="FFFFFF"/>
        </w:rPr>
        <w:t>En hjemfallsordning kan være krevende for gruppepraksiser</w:t>
      </w:r>
      <w:r w:rsidR="00112ABB" w:rsidRPr="00AC029D">
        <w:rPr>
          <w:shd w:val="clear" w:color="auto" w:fill="FFFFFF"/>
        </w:rPr>
        <w:t>,</w:t>
      </w:r>
      <w:r w:rsidRPr="00AC029D">
        <w:rPr>
          <w:shd w:val="clear" w:color="auto" w:fill="FFFFFF"/>
        </w:rPr>
        <w:t xml:space="preserve"> siden de kan miste en hjemmel til kommunen, og kommunen dermed står fritt til å velge å flytte hjemmelen ut av eksisterende praksis, uten at de faste kostnadene for gjenværende leger faller tilsvarende. Det vil derfor være viktig at legene i en gruppepraksis avtaler seg imellom hvordan de skal gå fram for å rekruttere hvis noen slutter, for å sikre at det kommer en ny lege inn hvis de ikke ønsker at hjemmelen hjemfaller til kommunen.</w:t>
      </w:r>
    </w:p>
    <w:p w14:paraId="497E7E1A" w14:textId="0690EF48" w:rsidR="008935C7" w:rsidRDefault="6F9DD8E4" w:rsidP="00775632">
      <w:pPr>
        <w:pStyle w:val="Overskrift4"/>
      </w:pPr>
      <w:bookmarkStart w:id="2156" w:name="_Toc122655274"/>
      <w:bookmarkStart w:id="2157" w:name="_Toc130983480"/>
      <w:bookmarkStart w:id="2158" w:name="_Toc130983829"/>
      <w:bookmarkStart w:id="2159" w:name="_Toc131062151"/>
      <w:bookmarkStart w:id="2160" w:name="_Toc131062405"/>
      <w:bookmarkStart w:id="2161" w:name="_Toc131062666"/>
      <w:bookmarkStart w:id="2162" w:name="_Toc131062919"/>
      <w:bookmarkStart w:id="2163" w:name="_Toc131063687"/>
      <w:bookmarkStart w:id="2164" w:name="_Toc131064112"/>
      <w:bookmarkStart w:id="2165" w:name="_Toc131238407"/>
      <w:bookmarkStart w:id="2166" w:name="_Toc131279438"/>
      <w:bookmarkStart w:id="2167" w:name="_Toc131286850"/>
      <w:bookmarkStart w:id="2168" w:name="_Toc131281260"/>
      <w:bookmarkStart w:id="2169" w:name="_Toc131317799"/>
      <w:r>
        <w:t>Full regulering av praksis</w:t>
      </w:r>
      <w:r w:rsidR="1745F9C4">
        <w:t>overdragelse</w:t>
      </w:r>
      <w:r w:rsidR="008643EB">
        <w:t>,</w:t>
      </w:r>
      <w:r w:rsidR="1745F9C4">
        <w:t xml:space="preserve"> </w:t>
      </w:r>
      <w:r w:rsidR="328C939C">
        <w:t xml:space="preserve">inkludert </w:t>
      </w:r>
      <w:r w:rsidR="1B08FFAC">
        <w:t>vederlag</w:t>
      </w:r>
      <w:bookmarkEnd w:id="2156"/>
      <w:r w:rsidR="1E877B36">
        <w:t xml:space="preserve"> </w:t>
      </w:r>
      <w:r w:rsidR="5128E6DB">
        <w:t>for praksisen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240B211D" w14:textId="77777777" w:rsidR="00D9107F" w:rsidRDefault="00114443" w:rsidP="00B96380">
      <w:r w:rsidRPr="432CC7BB">
        <w:t>Kjøp og salg av praksis</w:t>
      </w:r>
      <w:r w:rsidR="009E47CA" w:rsidRPr="432CC7BB">
        <w:t xml:space="preserve"> som betingelse for å få tilgang til en hjemmel</w:t>
      </w:r>
      <w:r w:rsidR="00B722DC">
        <w:t>,</w:t>
      </w:r>
      <w:r w:rsidR="009E47CA" w:rsidRPr="432CC7BB">
        <w:t xml:space="preserve"> </w:t>
      </w:r>
      <w:r w:rsidR="008643EB">
        <w:t>kan</w:t>
      </w:r>
      <w:r w:rsidR="008643EB" w:rsidRPr="432CC7BB">
        <w:t xml:space="preserve"> </w:t>
      </w:r>
      <w:r w:rsidR="009E47CA" w:rsidRPr="432CC7BB">
        <w:t>alternativt avvikle</w:t>
      </w:r>
      <w:r w:rsidR="008643EB">
        <w:t>s</w:t>
      </w:r>
      <w:r w:rsidR="005205EC" w:rsidRPr="432CC7BB">
        <w:t xml:space="preserve"> helt</w:t>
      </w:r>
      <w:r w:rsidR="009E47CA" w:rsidRPr="432CC7BB">
        <w:t xml:space="preserve">. </w:t>
      </w:r>
      <w:r w:rsidR="006739D8" w:rsidRPr="432CC7BB">
        <w:t xml:space="preserve">I realiteten </w:t>
      </w:r>
      <w:r w:rsidR="00807F30" w:rsidRPr="432CC7BB">
        <w:t xml:space="preserve">finnes </w:t>
      </w:r>
      <w:r w:rsidR="1DEC3365" w:rsidRPr="2F6AC54D">
        <w:t>e</w:t>
      </w:r>
      <w:r w:rsidR="31EFC811" w:rsidRPr="2F6AC54D">
        <w:t>n</w:t>
      </w:r>
      <w:r w:rsidR="00807F30" w:rsidRPr="432CC7BB">
        <w:t xml:space="preserve"> slik løsning allere</w:t>
      </w:r>
      <w:r w:rsidR="007738AF" w:rsidRPr="432CC7BB">
        <w:t>de</w:t>
      </w:r>
      <w:r w:rsidR="004E68BC">
        <w:t>,</w:t>
      </w:r>
      <w:r w:rsidR="007738AF" w:rsidRPr="432CC7BB">
        <w:t xml:space="preserve"> der kommunen </w:t>
      </w:r>
      <w:r w:rsidR="00963BA5" w:rsidRPr="432CC7BB">
        <w:t xml:space="preserve">drifter praksisen og </w:t>
      </w:r>
      <w:r w:rsidR="00703C97" w:rsidRPr="432CC7BB">
        <w:t xml:space="preserve">leier </w:t>
      </w:r>
      <w:r w:rsidR="000C3100" w:rsidRPr="432CC7BB">
        <w:t xml:space="preserve">den ut til </w:t>
      </w:r>
      <w:r w:rsidR="00AD3CED" w:rsidRPr="432CC7BB">
        <w:t xml:space="preserve">næringsdrivende </w:t>
      </w:r>
      <w:r w:rsidR="00B11D3C" w:rsidRPr="432CC7BB">
        <w:t>fast</w:t>
      </w:r>
      <w:r w:rsidR="000C3100" w:rsidRPr="432CC7BB">
        <w:t>lege</w:t>
      </w:r>
      <w:r w:rsidR="00785A6B" w:rsidRPr="432CC7BB">
        <w:t xml:space="preserve">. Denne løsningen </w:t>
      </w:r>
      <w:r w:rsidR="002C3983" w:rsidRPr="432CC7BB">
        <w:t xml:space="preserve">er </w:t>
      </w:r>
      <w:r w:rsidR="0030684D" w:rsidRPr="432CC7BB">
        <w:t>omtal</w:t>
      </w:r>
      <w:r w:rsidR="002C3983" w:rsidRPr="432CC7BB">
        <w:t>t</w:t>
      </w:r>
      <w:r w:rsidR="0030684D" w:rsidRPr="432CC7BB">
        <w:t xml:space="preserve"> i pkt. 8</w:t>
      </w:r>
      <w:r w:rsidR="002C3983" w:rsidRPr="432CC7BB">
        <w:t>.</w:t>
      </w:r>
      <w:r w:rsidR="0030684D" w:rsidRPr="432CC7BB">
        <w:t>2. i rammeavtalen</w:t>
      </w:r>
      <w:r w:rsidR="00C2638F" w:rsidRPr="432CC7BB">
        <w:t xml:space="preserve">, og kommunen </w:t>
      </w:r>
      <w:r w:rsidR="0030684D">
        <w:t>stiller med kontor, utstyr, hjelpepersonell mv.</w:t>
      </w:r>
    </w:p>
    <w:p w14:paraId="1F425A2C" w14:textId="77777777" w:rsidR="00D9107F" w:rsidRDefault="006F6730" w:rsidP="00C2638F">
      <w:pPr>
        <w:jc w:val="both"/>
      </w:pPr>
      <w:r>
        <w:t xml:space="preserve">Selv i slike tilfeller </w:t>
      </w:r>
      <w:r w:rsidR="00262B9C">
        <w:t xml:space="preserve">tilsier rammeavtalen at fratredende </w:t>
      </w:r>
      <w:r w:rsidR="000028B1">
        <w:t xml:space="preserve">næringsdrivende </w:t>
      </w:r>
      <w:r w:rsidR="00262B9C">
        <w:t xml:space="preserve">lege har en rett til å selge praksisen og få betalt for opparbeidet praksis. </w:t>
      </w:r>
      <w:r w:rsidR="3C7AFAD8">
        <w:t>Men dersom</w:t>
      </w:r>
      <w:r w:rsidR="006624F4" w:rsidDel="000028B1">
        <w:t xml:space="preserve"> </w:t>
      </w:r>
      <w:r w:rsidR="00BC703B">
        <w:t xml:space="preserve">kommunen </w:t>
      </w:r>
      <w:r w:rsidR="00950E4D">
        <w:t>ha</w:t>
      </w:r>
      <w:r w:rsidR="005B38FC">
        <w:t>r</w:t>
      </w:r>
      <w:r w:rsidR="00950E4D">
        <w:t xml:space="preserve"> hatt </w:t>
      </w:r>
      <w:r w:rsidR="00BF159C">
        <w:t xml:space="preserve">stort </w:t>
      </w:r>
      <w:r w:rsidR="7D7ABF15">
        <w:t>ansvar</w:t>
      </w:r>
      <w:r w:rsidR="00950E4D">
        <w:t xml:space="preserve"> for driften</w:t>
      </w:r>
      <w:r w:rsidR="004E68BC">
        <w:t>,</w:t>
      </w:r>
      <w:r w:rsidR="00950E4D">
        <w:t xml:space="preserve"> </w:t>
      </w:r>
      <w:r w:rsidR="00C53E5D">
        <w:t xml:space="preserve">og derfor </w:t>
      </w:r>
      <w:r w:rsidR="00BF159C">
        <w:t xml:space="preserve">anses å ha stått for opparbeidingen </w:t>
      </w:r>
      <w:r w:rsidR="00C53E5D">
        <w:t>a</w:t>
      </w:r>
      <w:r w:rsidR="00BF159C">
        <w:t>v praksisen</w:t>
      </w:r>
      <w:r w:rsidR="00950E4D">
        <w:t xml:space="preserve">, </w:t>
      </w:r>
      <w:r w:rsidR="00C53E5D">
        <w:t xml:space="preserve">kan hjemmelen </w:t>
      </w:r>
      <w:r w:rsidR="006624F4">
        <w:t xml:space="preserve">lyses ut og en ny lege kan tre inn uten </w:t>
      </w:r>
      <w:r w:rsidR="00844AF0">
        <w:t xml:space="preserve">at det oppstår </w:t>
      </w:r>
      <w:r w:rsidR="00C0099E">
        <w:t xml:space="preserve">problemstillinger </w:t>
      </w:r>
      <w:r w:rsidR="00844AF0">
        <w:t xml:space="preserve">knyttet </w:t>
      </w:r>
      <w:r w:rsidR="008643EB">
        <w:t xml:space="preserve">til </w:t>
      </w:r>
      <w:r w:rsidR="00C0099E">
        <w:t xml:space="preserve">kjøp og salg av </w:t>
      </w:r>
      <w:r w:rsidR="005230DC">
        <w:t>praksis</w:t>
      </w:r>
      <w:r w:rsidR="00C0099E">
        <w:t>en</w:t>
      </w:r>
      <w:r w:rsidR="005230DC">
        <w:t xml:space="preserve"> </w:t>
      </w:r>
      <w:r w:rsidR="00844AF0">
        <w:t xml:space="preserve">(fordi kommunen </w:t>
      </w:r>
      <w:r w:rsidR="41C28064">
        <w:t xml:space="preserve">i henhold til rammeavtalen </w:t>
      </w:r>
      <w:r w:rsidR="00844AF0">
        <w:t xml:space="preserve">allerede eier </w:t>
      </w:r>
      <w:r w:rsidR="00F333B9">
        <w:t xml:space="preserve">både </w:t>
      </w:r>
      <w:r w:rsidR="009A196B">
        <w:t>den</w:t>
      </w:r>
      <w:r w:rsidR="00F333B9">
        <w:t xml:space="preserve"> og verdien av opparbeidet </w:t>
      </w:r>
      <w:r w:rsidR="7CC31DA8">
        <w:t>prak</w:t>
      </w:r>
      <w:r w:rsidR="6C2BDD01">
        <w:t>s</w:t>
      </w:r>
      <w:r w:rsidR="7CC31DA8">
        <w:t>is</w:t>
      </w:r>
      <w:r w:rsidR="00844AF0">
        <w:t>).</w:t>
      </w:r>
    </w:p>
    <w:p w14:paraId="5675508F" w14:textId="5A022495" w:rsidR="0042319B" w:rsidRDefault="00C17F1A" w:rsidP="00B96380">
      <w:r>
        <w:t>E</w:t>
      </w:r>
      <w:r w:rsidR="003E44F9">
        <w:t xml:space="preserve">n nyutdannet lege </w:t>
      </w:r>
      <w:r>
        <w:t xml:space="preserve">kan da </w:t>
      </w:r>
      <w:r w:rsidR="0087305D">
        <w:t>gå</w:t>
      </w:r>
      <w:r>
        <w:t xml:space="preserve"> rett inn og begynne å praktisere allmennmedisin. </w:t>
      </w:r>
      <w:r w:rsidR="00511F82">
        <w:t xml:space="preserve">Sammenliknet med </w:t>
      </w:r>
      <w:r w:rsidR="000D67A6">
        <w:t>ren</w:t>
      </w:r>
      <w:r w:rsidR="00511F82">
        <w:t xml:space="preserve"> næringsdrift</w:t>
      </w:r>
      <w:r w:rsidR="008643EB">
        <w:t>,</w:t>
      </w:r>
      <w:r w:rsidR="00511F82">
        <w:t xml:space="preserve"> der fastlegen selv eier praksisen, </w:t>
      </w:r>
      <w:r w:rsidR="00F91339">
        <w:t xml:space="preserve">kan en slik 8.2-avtale være </w:t>
      </w:r>
      <w:r w:rsidR="00D95FEC">
        <w:t>oversiktlig og enkel</w:t>
      </w:r>
      <w:r w:rsidR="00F91339">
        <w:t xml:space="preserve">. </w:t>
      </w:r>
      <w:r w:rsidR="00E73E3C">
        <w:t xml:space="preserve">På den annen side </w:t>
      </w:r>
      <w:r w:rsidR="00894DD2">
        <w:t xml:space="preserve">har ikke </w:t>
      </w:r>
      <w:r w:rsidR="00974D83">
        <w:t xml:space="preserve">fastlegen </w:t>
      </w:r>
      <w:r w:rsidR="00F2277F">
        <w:t xml:space="preserve">like stor innflytelse på utformingen av </w:t>
      </w:r>
      <w:r w:rsidR="008D6FBE">
        <w:t>praksisen</w:t>
      </w:r>
      <w:r w:rsidR="00905525">
        <w:t xml:space="preserve"> som ved selvstendig næringsdrift</w:t>
      </w:r>
      <w:r w:rsidR="00737AB6">
        <w:t xml:space="preserve">, og </w:t>
      </w:r>
      <w:r w:rsidR="00842CAA">
        <w:t xml:space="preserve">kommunens </w:t>
      </w:r>
      <w:r w:rsidR="00AF5F5C">
        <w:t xml:space="preserve">prioriteringer </w:t>
      </w:r>
      <w:r w:rsidR="00A446F1">
        <w:t xml:space="preserve">av </w:t>
      </w:r>
      <w:r w:rsidR="00DA38BC">
        <w:t xml:space="preserve">utvikling og </w:t>
      </w:r>
      <w:r w:rsidR="00A446F1">
        <w:t xml:space="preserve">vedlikehold </w:t>
      </w:r>
      <w:r w:rsidR="0022418F">
        <w:t>samsvare</w:t>
      </w:r>
      <w:r w:rsidR="00905525">
        <w:t>r ikke nødvendigvis</w:t>
      </w:r>
      <w:r w:rsidR="0022418F">
        <w:t xml:space="preserve"> med legens ønsker og behov. </w:t>
      </w:r>
      <w:r w:rsidR="00C92C2C">
        <w:t xml:space="preserve">Legen vil </w:t>
      </w:r>
      <w:r w:rsidR="008643EB">
        <w:t>kunne</w:t>
      </w:r>
      <w:r w:rsidR="00C92C2C">
        <w:t xml:space="preserve"> ha </w:t>
      </w:r>
      <w:r w:rsidR="008643EB">
        <w:t>mindre</w:t>
      </w:r>
      <w:r w:rsidR="00C92C2C">
        <w:t xml:space="preserve"> økonomiske insentiver i å oppgradere eller </w:t>
      </w:r>
      <w:r w:rsidR="3EAF202B" w:rsidRPr="2F6AC54D">
        <w:t>effektivisere</w:t>
      </w:r>
      <w:r w:rsidR="00C92C2C">
        <w:t xml:space="preserve"> praksisen. </w:t>
      </w:r>
      <w:r w:rsidR="403CBA02" w:rsidRPr="2F6AC54D">
        <w:t>Noen slike forhold kan ivaretas i avtalen som legen inngår med kommunen.</w:t>
      </w:r>
    </w:p>
    <w:p w14:paraId="7E6E0B46" w14:textId="77777777" w:rsidR="00D9107F" w:rsidRDefault="00A6761D" w:rsidP="00B96380">
      <w:r>
        <w:t>For å styrk</w:t>
      </w:r>
      <w:r w:rsidR="008D4C2D">
        <w:t>e</w:t>
      </w:r>
      <w:r>
        <w:t xml:space="preserve"> fastlegens </w:t>
      </w:r>
      <w:r w:rsidR="00194872">
        <w:t>innflytelse på praksisutformingen</w:t>
      </w:r>
      <w:r w:rsidR="008643EB">
        <w:t>,</w:t>
      </w:r>
      <w:r w:rsidR="00194872">
        <w:t xml:space="preserve"> </w:t>
      </w:r>
      <w:r w:rsidR="00905525">
        <w:t xml:space="preserve">der legen har et sterkt ønske om dette, </w:t>
      </w:r>
      <w:r w:rsidR="00194872">
        <w:t xml:space="preserve">kunne </w:t>
      </w:r>
      <w:r w:rsidR="002D71BD">
        <w:t xml:space="preserve">man tenke seg </w:t>
      </w:r>
      <w:r w:rsidR="00BC38F9">
        <w:t>en variant der fastlegen tok over eierskapet</w:t>
      </w:r>
      <w:r w:rsidR="005917E6">
        <w:t xml:space="preserve"> </w:t>
      </w:r>
      <w:r w:rsidR="00BC38F9">
        <w:t xml:space="preserve">til praksisen ved inntreden i hjemmelen, men med en plikt til å </w:t>
      </w:r>
      <w:r w:rsidR="00A52DFE">
        <w:t xml:space="preserve">gi </w:t>
      </w:r>
      <w:r w:rsidR="00EA6B38">
        <w:t xml:space="preserve">fra seg eierskapet til kommunen </w:t>
      </w:r>
      <w:r w:rsidR="008643EB">
        <w:t>igjen</w:t>
      </w:r>
      <w:r w:rsidR="00EA6B38">
        <w:t xml:space="preserve"> </w:t>
      </w:r>
      <w:r w:rsidR="00B035D6">
        <w:t xml:space="preserve">når man trer ut av </w:t>
      </w:r>
      <w:r w:rsidR="005810D7">
        <w:t xml:space="preserve">hjemmelen. </w:t>
      </w:r>
      <w:r w:rsidR="000709E4">
        <w:t>Det måtte da også følge med en plikt til å vedlikeholde og utvikle praksisen</w:t>
      </w:r>
      <w:r w:rsidR="00E2577A">
        <w:t xml:space="preserve"> i tråd med lover</w:t>
      </w:r>
      <w:r w:rsidR="0074559A">
        <w:t xml:space="preserve"> og regler, behovene til listeinnbyggerne og kommunen, </w:t>
      </w:r>
      <w:r w:rsidR="00D217DD">
        <w:t xml:space="preserve">den </w:t>
      </w:r>
      <w:r w:rsidR="00907FF7">
        <w:t xml:space="preserve">teknologiske </w:t>
      </w:r>
      <w:r w:rsidR="005C7376">
        <w:t xml:space="preserve">utviklingen og </w:t>
      </w:r>
      <w:r w:rsidR="007D7F6E">
        <w:t xml:space="preserve">medisinskfaglige </w:t>
      </w:r>
      <w:r w:rsidR="00CA717D">
        <w:t>oppdateringer</w:t>
      </w:r>
      <w:r w:rsidR="004C59A3">
        <w:t xml:space="preserve">. </w:t>
      </w:r>
      <w:r w:rsidR="00264C56">
        <w:t xml:space="preserve">Dette vil innebære betydelig juridisk og økonomisk oppfølging fra kommunens side, i tråd med krav til eierskapsforvaltning og økonomistyring. </w:t>
      </w:r>
      <w:r w:rsidR="00422DB5">
        <w:t xml:space="preserve">En ulempe </w:t>
      </w:r>
      <w:r w:rsidR="0069765E">
        <w:t xml:space="preserve">ville være at fastlegen </w:t>
      </w:r>
      <w:r w:rsidR="00046455">
        <w:t xml:space="preserve">vil </w:t>
      </w:r>
      <w:r w:rsidR="00A04FA7">
        <w:t xml:space="preserve">ha </w:t>
      </w:r>
      <w:r w:rsidR="003367AB">
        <w:t xml:space="preserve">begrensede insentiver til å </w:t>
      </w:r>
      <w:r w:rsidR="00CD4B9A">
        <w:t xml:space="preserve">foreta </w:t>
      </w:r>
      <w:r w:rsidR="00A66A5A">
        <w:lastRenderedPageBreak/>
        <w:t xml:space="preserve">dyre oppgraderinger og endringer i praksisen, </w:t>
      </w:r>
      <w:r w:rsidR="007511B6">
        <w:t xml:space="preserve">siden </w:t>
      </w:r>
      <w:r w:rsidR="00AB16CD">
        <w:t xml:space="preserve">disse </w:t>
      </w:r>
      <w:r w:rsidR="00BF541F">
        <w:t xml:space="preserve">vil tilfalle </w:t>
      </w:r>
      <w:r w:rsidR="00A9202D">
        <w:t xml:space="preserve">kommunen når fastlegen fratrer hjemmelen. </w:t>
      </w:r>
      <w:r w:rsidR="006F6256">
        <w:t xml:space="preserve">Mulige tiltak for å kompensere for slike disinsentiver </w:t>
      </w:r>
      <w:r w:rsidR="00D06C27">
        <w:t xml:space="preserve">kunne være </w:t>
      </w:r>
      <w:r w:rsidR="006F5FC9">
        <w:t>reguleringer i avtalen</w:t>
      </w:r>
      <w:r w:rsidR="00D91CE2">
        <w:t xml:space="preserve"> med kommunen</w:t>
      </w:r>
      <w:r w:rsidR="006F5FC9">
        <w:t xml:space="preserve">, </w:t>
      </w:r>
      <w:r w:rsidR="009016B1">
        <w:t xml:space="preserve">at kommunen eller staten </w:t>
      </w:r>
      <w:r w:rsidR="00AC14CF">
        <w:t>opprettet fond for økonomisk støtte til slike tiltak</w:t>
      </w:r>
      <w:r w:rsidR="009C5C41">
        <w:t xml:space="preserve">, </w:t>
      </w:r>
      <w:r w:rsidR="0031641D">
        <w:t xml:space="preserve">eller at det tas inn </w:t>
      </w:r>
      <w:r w:rsidR="00B42D72">
        <w:t xml:space="preserve">justering for kvalitetselementer ved praksisen i </w:t>
      </w:r>
      <w:r w:rsidR="0031641D">
        <w:t>basisfinansieringen</w:t>
      </w:r>
      <w:r w:rsidR="00B42D72">
        <w:t xml:space="preserve">. </w:t>
      </w:r>
      <w:r w:rsidR="009E17D9">
        <w:t xml:space="preserve">Det kunne også vært mulig å lage en ordning der prisen skjematisk ble bestemt </w:t>
      </w:r>
      <w:r w:rsidR="00CB2BA6">
        <w:t xml:space="preserve">i en enkel kalkulator tilgjengelig på internett, som tok hensyn til </w:t>
      </w:r>
      <w:r w:rsidR="003A0208">
        <w:t xml:space="preserve">noen få elementer som </w:t>
      </w:r>
      <w:r w:rsidR="0055400C">
        <w:t>basistilskudd</w:t>
      </w:r>
      <w:r w:rsidR="003A0208">
        <w:t xml:space="preserve">, omsetning og </w:t>
      </w:r>
      <w:r w:rsidR="00E73AEB">
        <w:t>kostbart utstyr kjøpt inn siste år</w:t>
      </w:r>
      <w:r w:rsidR="003A0208">
        <w:t xml:space="preserve">. </w:t>
      </w:r>
      <w:r w:rsidR="00E73AEB">
        <w:t xml:space="preserve">I praksis vil det imidlertid være litt vanskelig å </w:t>
      </w:r>
      <w:r w:rsidR="00AC5604">
        <w:t xml:space="preserve">bestemme akkurat hvilke elementer som skulle inngå, med fare for at leger </w:t>
      </w:r>
      <w:r w:rsidR="00711213">
        <w:t>som planla snarlig fratredelse</w:t>
      </w:r>
      <w:r w:rsidR="002E24B5">
        <w:t>,</w:t>
      </w:r>
      <w:r w:rsidR="00711213">
        <w:t xml:space="preserve"> </w:t>
      </w:r>
      <w:r w:rsidR="00AC5604">
        <w:t>skjevinv</w:t>
      </w:r>
      <w:r w:rsidR="00E472B1">
        <w:t>e</w:t>
      </w:r>
      <w:r w:rsidR="00AC5604">
        <w:t xml:space="preserve">sterte for å </w:t>
      </w:r>
      <w:r w:rsidR="00711213">
        <w:t>maksimere verdien i kalkulatoren.</w:t>
      </w:r>
    </w:p>
    <w:p w14:paraId="25E6AE6E" w14:textId="77777777" w:rsidR="00D9107F" w:rsidRDefault="004A6D36" w:rsidP="00B96380">
      <w:r w:rsidRPr="432CC7BB">
        <w:t>Enda et skritt nærmere dagens ordning</w:t>
      </w:r>
      <w:r w:rsidR="00905525">
        <w:t>,</w:t>
      </w:r>
      <w:r w:rsidRPr="432CC7BB">
        <w:t xml:space="preserve"> der fratredende lege kan selge sin praksis, og dermed får igjen for investeringene, </w:t>
      </w:r>
      <w:r w:rsidR="00590F50" w:rsidRPr="432CC7BB">
        <w:t>kunne innebære at praksisen takseres</w:t>
      </w:r>
      <w:r w:rsidR="00FF3E10" w:rsidRPr="432CC7BB">
        <w:t xml:space="preserve"> på en forenklet, transparent og </w:t>
      </w:r>
      <w:r w:rsidR="2BBF742F" w:rsidRPr="432CC7BB">
        <w:t>etterp</w:t>
      </w:r>
      <w:r w:rsidR="22E4799E" w:rsidRPr="432CC7BB">
        <w:t>r</w:t>
      </w:r>
      <w:r w:rsidR="2BBF742F" w:rsidRPr="432CC7BB">
        <w:t>øvbar måte.</w:t>
      </w:r>
      <w:r w:rsidR="00FF3E10" w:rsidRPr="432CC7BB">
        <w:t xml:space="preserve"> </w:t>
      </w:r>
      <w:r w:rsidR="005A104B" w:rsidRPr="432CC7BB">
        <w:t>Utstyr er forholdsvis enkelt å verdsette</w:t>
      </w:r>
      <w:r w:rsidR="00F95706" w:rsidRPr="432CC7BB">
        <w:t xml:space="preserve">, mens dagens ordning </w:t>
      </w:r>
      <w:r w:rsidR="00A22CF8" w:rsidRPr="432CC7BB">
        <w:t xml:space="preserve">med verdsetting av </w:t>
      </w:r>
      <w:r w:rsidR="000E522A" w:rsidRPr="432CC7BB">
        <w:t xml:space="preserve">opparbeidet praksis er svært </w:t>
      </w:r>
      <w:r w:rsidR="00413703" w:rsidRPr="432CC7BB">
        <w:t xml:space="preserve">skjønnspreget. </w:t>
      </w:r>
      <w:r w:rsidR="00497DC9" w:rsidRPr="432CC7BB">
        <w:t xml:space="preserve">En pris </w:t>
      </w:r>
      <w:r w:rsidR="00C0137F" w:rsidRPr="432CC7BB">
        <w:t xml:space="preserve">som bestod av takst på utstyr, der det var forbudt å inkludere verdien av </w:t>
      </w:r>
      <w:r w:rsidR="00EC79BA" w:rsidRPr="432CC7BB">
        <w:t>opparbeidet praksis</w:t>
      </w:r>
      <w:r w:rsidR="00C0137F" w:rsidRPr="432CC7BB">
        <w:t xml:space="preserve">, </w:t>
      </w:r>
      <w:r w:rsidR="00F31544" w:rsidRPr="432CC7BB">
        <w:t xml:space="preserve">ville </w:t>
      </w:r>
      <w:r w:rsidR="00D935B1" w:rsidRPr="432CC7BB">
        <w:t>derfor kompensere fastlegen for kjøp av utstyr</w:t>
      </w:r>
      <w:r w:rsidR="009C5C41">
        <w:t>,</w:t>
      </w:r>
      <w:r w:rsidR="00D935B1" w:rsidRPr="432CC7BB">
        <w:t xml:space="preserve"> samtidig som det klart største usikkerhetsmomentet </w:t>
      </w:r>
      <w:r w:rsidR="001C4377" w:rsidRPr="432CC7BB">
        <w:t xml:space="preserve">i dagens prisfastsetting ville falle bort. </w:t>
      </w:r>
      <w:r w:rsidR="00240DDC" w:rsidRPr="432CC7BB">
        <w:t xml:space="preserve">Prisen på praksiser ville ved en slik løsning </w:t>
      </w:r>
      <w:r w:rsidR="327C7801" w:rsidRPr="2F6AC54D">
        <w:t xml:space="preserve">kunne </w:t>
      </w:r>
      <w:r w:rsidR="00240DDC" w:rsidRPr="432CC7BB">
        <w:t xml:space="preserve">falle med </w:t>
      </w:r>
      <w:r w:rsidR="327C7801" w:rsidRPr="2F6AC54D">
        <w:t xml:space="preserve">så mye som </w:t>
      </w:r>
      <w:r w:rsidR="00240DDC" w:rsidRPr="432CC7BB">
        <w:t>80-90</w:t>
      </w:r>
      <w:r w:rsidR="005F74AA" w:rsidRPr="432CC7BB">
        <w:t xml:space="preserve"> pr</w:t>
      </w:r>
      <w:r w:rsidR="00061272">
        <w:t>osent</w:t>
      </w:r>
      <w:r w:rsidR="005F74AA" w:rsidRPr="432CC7BB">
        <w:t xml:space="preserve"> i forhold til dagens praksis i nem</w:t>
      </w:r>
      <w:r w:rsidR="009C5C41">
        <w:t>n</w:t>
      </w:r>
      <w:r w:rsidR="005F74AA" w:rsidRPr="432CC7BB">
        <w:t>da</w:t>
      </w:r>
      <w:r w:rsidR="00DF4692" w:rsidRPr="432CC7BB">
        <w:t xml:space="preserve">. </w:t>
      </w:r>
      <w:r w:rsidR="00286D5C" w:rsidRPr="432CC7BB">
        <w:t xml:space="preserve">Hvis praksisen tilfalt kommunen </w:t>
      </w:r>
      <w:r w:rsidR="00905525">
        <w:t>(mot takst)</w:t>
      </w:r>
      <w:r w:rsidR="00286D5C" w:rsidRPr="432CC7BB">
        <w:t xml:space="preserve"> når fratredende lege sa opp hjemmelen, eventuelt dersom fratredende lege måtte overdra praksisen til tiltredende lege direkte</w:t>
      </w:r>
      <w:r w:rsidR="000C356D" w:rsidRPr="432CC7BB">
        <w:t xml:space="preserve"> som i dag</w:t>
      </w:r>
      <w:r w:rsidR="00286D5C" w:rsidRPr="432CC7BB">
        <w:t xml:space="preserve">, </w:t>
      </w:r>
      <w:r w:rsidR="006A0A98" w:rsidRPr="432CC7BB">
        <w:t xml:space="preserve">ville en slik </w:t>
      </w:r>
      <w:r w:rsidR="0061448D" w:rsidRPr="432CC7BB">
        <w:t xml:space="preserve">reduksjon i prisen og forenkling i overdragelsesreglene kunne </w:t>
      </w:r>
      <w:r w:rsidR="00573D90" w:rsidRPr="432CC7BB">
        <w:t>redusere dagen</w:t>
      </w:r>
      <w:r w:rsidR="00812578" w:rsidRPr="432CC7BB">
        <w:t>s</w:t>
      </w:r>
      <w:r w:rsidR="00573D90" w:rsidRPr="432CC7BB">
        <w:t xml:space="preserve"> </w:t>
      </w:r>
      <w:r w:rsidR="005F74AA" w:rsidRPr="432CC7BB">
        <w:t>barriere</w:t>
      </w:r>
      <w:r w:rsidR="000C356D" w:rsidRPr="432CC7BB">
        <w:t>r</w:t>
      </w:r>
      <w:r w:rsidR="005F74AA" w:rsidRPr="432CC7BB">
        <w:t xml:space="preserve"> for nye leger som ønsker å bli fastlege. </w:t>
      </w:r>
      <w:r w:rsidR="00DB69E6" w:rsidRPr="432CC7BB">
        <w:t>Hva tiltredende lege måtte betale for å ta over praksisen</w:t>
      </w:r>
      <w:r w:rsidR="007A3A93" w:rsidRPr="432CC7BB">
        <w:t>,</w:t>
      </w:r>
      <w:r w:rsidR="00DB69E6" w:rsidRPr="432CC7BB">
        <w:t xml:space="preserve"> </w:t>
      </w:r>
      <w:r w:rsidR="00812578" w:rsidRPr="432CC7BB">
        <w:t>måtte vær</w:t>
      </w:r>
      <w:r w:rsidR="00DB69E6" w:rsidRPr="432CC7BB">
        <w:t>t</w:t>
      </w:r>
      <w:r w:rsidR="00812578" w:rsidRPr="432CC7BB">
        <w:t xml:space="preserve"> </w:t>
      </w:r>
      <w:r w:rsidR="00D65B0B" w:rsidRPr="432CC7BB">
        <w:t xml:space="preserve">tatt inn i </w:t>
      </w:r>
      <w:r w:rsidR="00812578" w:rsidRPr="432CC7BB">
        <w:t xml:space="preserve">kommunens utlysing av </w:t>
      </w:r>
      <w:r w:rsidR="00DF4692" w:rsidRPr="432CC7BB">
        <w:t>hjemmelen.</w:t>
      </w:r>
    </w:p>
    <w:p w14:paraId="2E31D53F" w14:textId="77777777" w:rsidR="00D9107F" w:rsidRDefault="00392B8E" w:rsidP="00B96380">
      <w:r>
        <w:t xml:space="preserve">Dette er løsninger som er mye enklere og </w:t>
      </w:r>
      <w:r w:rsidR="002F0CB4">
        <w:t xml:space="preserve">mer </w:t>
      </w:r>
      <w:r>
        <w:t xml:space="preserve">gjennomsiktige enn dagens ordning, </w:t>
      </w:r>
      <w:r w:rsidR="002F0CB4">
        <w:t xml:space="preserve">og det er grunn til å tro at </w:t>
      </w:r>
      <w:r w:rsidR="496CEEF6" w:rsidRPr="2F6AC54D">
        <w:t>det</w:t>
      </w:r>
      <w:r w:rsidR="002F0CB4">
        <w:t xml:space="preserve"> </w:t>
      </w:r>
      <w:r w:rsidR="003A4B9B">
        <w:t xml:space="preserve">nesten umiddelbart </w:t>
      </w:r>
      <w:r w:rsidR="002F0CB4">
        <w:t>vil</w:t>
      </w:r>
      <w:r w:rsidR="003A4B9B">
        <w:t>le</w:t>
      </w:r>
      <w:r w:rsidR="002F0CB4">
        <w:t xml:space="preserve"> </w:t>
      </w:r>
      <w:r w:rsidR="000E1117">
        <w:t xml:space="preserve">styrket </w:t>
      </w:r>
      <w:r w:rsidR="002F0CB4">
        <w:t xml:space="preserve">rekrutteringen til </w:t>
      </w:r>
      <w:r w:rsidR="409836F5" w:rsidRPr="2F6AC54D">
        <w:t>fastlege</w:t>
      </w:r>
      <w:r w:rsidR="2956CA3D" w:rsidRPr="2F6AC54D">
        <w:t>ordningen</w:t>
      </w:r>
      <w:r w:rsidR="003A4B9B">
        <w:t xml:space="preserve">. </w:t>
      </w:r>
      <w:r w:rsidR="002E6A06">
        <w:t>Noen av de største fordelene vil være e</w:t>
      </w:r>
      <w:r w:rsidR="003A4B9B">
        <w:t xml:space="preserve">n langt lavere pris for å ta over en praksis, </w:t>
      </w:r>
      <w:r w:rsidR="00D86782">
        <w:t xml:space="preserve">ingen uoversiktlige forhandlinger for å bli enig med </w:t>
      </w:r>
      <w:r w:rsidR="33FF3688" w:rsidRPr="748F1835">
        <w:t>fratredende</w:t>
      </w:r>
      <w:r w:rsidR="00D86782">
        <w:t xml:space="preserve"> fastlege om priser </w:t>
      </w:r>
      <w:r w:rsidR="00731F92">
        <w:t>m.v.</w:t>
      </w:r>
      <w:r w:rsidR="009C5C41">
        <w:t>,</w:t>
      </w:r>
      <w:r w:rsidR="00731F92">
        <w:t xml:space="preserve"> og full klarhet i når </w:t>
      </w:r>
      <w:r w:rsidR="002E6A06">
        <w:t>kommunen kan sette en annen lege til å betjene hjemmelen</w:t>
      </w:r>
      <w:r w:rsidR="00C4572A">
        <w:t xml:space="preserve">. </w:t>
      </w:r>
      <w:r w:rsidR="0035066D">
        <w:t xml:space="preserve">Det kan også tenkes at et forbud </w:t>
      </w:r>
      <w:r w:rsidR="008846FB">
        <w:t xml:space="preserve">mot </w:t>
      </w:r>
      <w:r w:rsidR="009914A4">
        <w:t>å inkludere verd</w:t>
      </w:r>
      <w:r w:rsidR="00657A49">
        <w:t>i</w:t>
      </w:r>
      <w:r w:rsidR="009914A4">
        <w:t xml:space="preserve">en av opparbeidet praksis </w:t>
      </w:r>
      <w:r w:rsidR="0035066D">
        <w:t>ville kunne styrke legitimiteten til ordningen på sikt, da praksiser ikke lenger ville bli omsatt for millionbeløp.</w:t>
      </w:r>
    </w:p>
    <w:p w14:paraId="396E4976" w14:textId="77777777" w:rsidR="00D9107F" w:rsidRDefault="42E7C90F" w:rsidP="00B96380">
      <w:r w:rsidRPr="2F6AC54D">
        <w:t>Den langsiktige h</w:t>
      </w:r>
      <w:r w:rsidR="773154D0" w:rsidRPr="2F6AC54D">
        <w:t>ovedu</w:t>
      </w:r>
      <w:r w:rsidR="46DB62BC" w:rsidRPr="2F6AC54D">
        <w:t>lempen</w:t>
      </w:r>
      <w:r w:rsidR="000E1117">
        <w:t xml:space="preserve"> </w:t>
      </w:r>
      <w:r w:rsidR="00B05163">
        <w:t xml:space="preserve">vil </w:t>
      </w:r>
      <w:r w:rsidR="000E1117">
        <w:t xml:space="preserve">være </w:t>
      </w:r>
      <w:r w:rsidR="003F64BF">
        <w:t xml:space="preserve">at fastlegens </w:t>
      </w:r>
      <w:r w:rsidR="00905525">
        <w:t xml:space="preserve">rent </w:t>
      </w:r>
      <w:r w:rsidR="003F64BF">
        <w:t xml:space="preserve">økonomiske insentiver for å investere i en veldrevet praksis, ut over </w:t>
      </w:r>
      <w:r w:rsidR="00D8023C">
        <w:t xml:space="preserve">å </w:t>
      </w:r>
      <w:r w:rsidR="00AF2FB9">
        <w:t>oppdater</w:t>
      </w:r>
      <w:r w:rsidR="00D8023C">
        <w:t>e</w:t>
      </w:r>
      <w:r w:rsidR="00AF2FB9">
        <w:t xml:space="preserve"> </w:t>
      </w:r>
      <w:r w:rsidR="003F64BF">
        <w:t>utstyr</w:t>
      </w:r>
      <w:r w:rsidR="00D8023C">
        <w:t>et</w:t>
      </w:r>
      <w:r w:rsidR="003F64BF">
        <w:t xml:space="preserve">, </w:t>
      </w:r>
      <w:r w:rsidR="00AF2FB9">
        <w:t xml:space="preserve">vil falle. </w:t>
      </w:r>
      <w:r w:rsidR="00CB7B1A">
        <w:t>Dette vil kunne svekke innovasjonstakten i næringen</w:t>
      </w:r>
      <w:r w:rsidR="000D66CB">
        <w:t xml:space="preserve">, som på lang sikt vil kunne redusere tilbudet og kvaliteten på tjenestene til innbyggerne. </w:t>
      </w:r>
      <w:r w:rsidR="00940079">
        <w:t xml:space="preserve">På den annen side vil </w:t>
      </w:r>
      <w:r w:rsidR="004C042F">
        <w:t xml:space="preserve">det å investere </w:t>
      </w:r>
      <w:r w:rsidR="009C5C41">
        <w:t xml:space="preserve">løpende </w:t>
      </w:r>
      <w:r w:rsidR="00823814">
        <w:t xml:space="preserve">i kvalitet og utvikling </w:t>
      </w:r>
      <w:r w:rsidR="00870EBA">
        <w:t xml:space="preserve">gi en veldrevet praksis, </w:t>
      </w:r>
      <w:r w:rsidR="00B66BA4">
        <w:t xml:space="preserve">som kan gi </w:t>
      </w:r>
      <w:r w:rsidR="68E6672C" w:rsidRPr="07A69C41">
        <w:t xml:space="preserve">både </w:t>
      </w:r>
      <w:r w:rsidR="00485C59" w:rsidRPr="07A69C41">
        <w:t>økonomisk</w:t>
      </w:r>
      <w:r w:rsidR="3F4CD47C" w:rsidRPr="07A69C41">
        <w:t>e</w:t>
      </w:r>
      <w:r w:rsidR="5B2C436C" w:rsidRPr="07A69C41">
        <w:t>, faglige og arbeidsmiljømessige</w:t>
      </w:r>
      <w:r w:rsidR="00485C59" w:rsidRPr="07A69C41">
        <w:t xml:space="preserve"> gevinst</w:t>
      </w:r>
      <w:r w:rsidR="6279731F" w:rsidRPr="07A69C41">
        <w:t>er</w:t>
      </w:r>
      <w:r w:rsidR="00485C59" w:rsidRPr="07A69C41">
        <w:t xml:space="preserve"> for eier over tid.</w:t>
      </w:r>
    </w:p>
    <w:p w14:paraId="367DA2F7" w14:textId="48CE9D1D" w:rsidR="00264C56" w:rsidRPr="00385EA6" w:rsidRDefault="008846FB" w:rsidP="00B96380">
      <w:pPr>
        <w:rPr>
          <w:rFonts w:ascii="Calibri" w:hAnsi="Calibri" w:cs="Calibri"/>
        </w:rPr>
      </w:pPr>
      <w:r>
        <w:rPr>
          <w:rFonts w:ascii="Calibri" w:hAnsi="Calibri" w:cs="Calibri"/>
        </w:rPr>
        <w:lastRenderedPageBreak/>
        <w:t xml:space="preserve">Andre ulemper er at et </w:t>
      </w:r>
      <w:r w:rsidRPr="00AC029D">
        <w:rPr>
          <w:rFonts w:eastAsiaTheme="minorEastAsia"/>
        </w:rPr>
        <w:t xml:space="preserve">forbud mot </w:t>
      </w:r>
      <w:r w:rsidR="006A7B73" w:rsidRPr="00AC029D">
        <w:rPr>
          <w:rFonts w:eastAsiaTheme="minorEastAsia"/>
        </w:rPr>
        <w:t>å inkludere verdien av opparbeidet praksis</w:t>
      </w:r>
      <w:r w:rsidRPr="00AC029D">
        <w:rPr>
          <w:rFonts w:eastAsiaTheme="minorEastAsia"/>
        </w:rPr>
        <w:t xml:space="preserve"> </w:t>
      </w:r>
      <w:r w:rsidR="00633E39" w:rsidRPr="00AC029D">
        <w:rPr>
          <w:rFonts w:eastAsiaTheme="minorEastAsia"/>
        </w:rPr>
        <w:t xml:space="preserve">trolig </w:t>
      </w:r>
      <w:r w:rsidRPr="00AC029D">
        <w:rPr>
          <w:rFonts w:eastAsiaTheme="minorEastAsia"/>
        </w:rPr>
        <w:t>vil måtte komme sammen med strenge</w:t>
      </w:r>
      <w:r w:rsidR="00E81DA1" w:rsidRPr="00AC029D">
        <w:rPr>
          <w:rFonts w:eastAsiaTheme="minorEastAsia"/>
        </w:rPr>
        <w:t>re</w:t>
      </w:r>
      <w:r w:rsidRPr="00AC029D">
        <w:rPr>
          <w:rFonts w:eastAsiaTheme="minorEastAsia"/>
        </w:rPr>
        <w:t xml:space="preserve"> kvalitetskrav til drift av praksiser</w:t>
      </w:r>
      <w:r w:rsidR="009C5C41">
        <w:rPr>
          <w:rFonts w:eastAsiaTheme="minorEastAsia"/>
        </w:rPr>
        <w:t xml:space="preserve">, </w:t>
      </w:r>
      <w:r w:rsidRPr="00AC029D">
        <w:rPr>
          <w:rFonts w:eastAsiaTheme="minorEastAsia"/>
        </w:rPr>
        <w:t>for å sikre at kvaliteten på praksisene ikke forringes</w:t>
      </w:r>
      <w:r w:rsidR="00703219" w:rsidRPr="00AC029D">
        <w:rPr>
          <w:rFonts w:eastAsiaTheme="minorEastAsia"/>
        </w:rPr>
        <w:t>, særlig</w:t>
      </w:r>
      <w:r w:rsidRPr="00AC029D">
        <w:rPr>
          <w:rFonts w:eastAsiaTheme="minorEastAsia"/>
        </w:rPr>
        <w:t xml:space="preserve"> når en lege vurderer å </w:t>
      </w:r>
      <w:r w:rsidR="00B92FDD" w:rsidRPr="00AC029D">
        <w:rPr>
          <w:rFonts w:eastAsiaTheme="minorEastAsia"/>
        </w:rPr>
        <w:t>slutte som fastlege</w:t>
      </w:r>
      <w:r w:rsidRPr="00AC029D">
        <w:rPr>
          <w:rFonts w:eastAsiaTheme="minorEastAsia"/>
        </w:rPr>
        <w:t xml:space="preserve">. Behovet for å kontrollere praksiskvaliteten kan også øke. Den største ulempen er altså at fastlegens egeninteresse i en god praksis kan reduseres, og for å kompensere for dette </w:t>
      </w:r>
      <w:r w:rsidR="00EC248F" w:rsidRPr="00AC029D">
        <w:rPr>
          <w:rFonts w:eastAsiaTheme="minorEastAsia"/>
        </w:rPr>
        <w:t>bør</w:t>
      </w:r>
      <w:r w:rsidRPr="00AC029D">
        <w:rPr>
          <w:rFonts w:eastAsiaTheme="minorEastAsia"/>
        </w:rPr>
        <w:t xml:space="preserve"> det offentlige innføre mer regulering av kvaliteten.</w:t>
      </w:r>
      <w:r w:rsidR="00DB6137" w:rsidRPr="00AC029D">
        <w:rPr>
          <w:rFonts w:eastAsiaTheme="minorEastAsia"/>
        </w:rPr>
        <w:t xml:space="preserve"> For </w:t>
      </w:r>
      <w:r w:rsidR="00BE7C3F" w:rsidRPr="00AC029D">
        <w:rPr>
          <w:rFonts w:eastAsiaTheme="minorEastAsia"/>
        </w:rPr>
        <w:t xml:space="preserve">eksisterende fastleger </w:t>
      </w:r>
      <w:r w:rsidR="00DB6137" w:rsidRPr="00AC029D">
        <w:rPr>
          <w:rFonts w:eastAsiaTheme="minorEastAsia"/>
        </w:rPr>
        <w:t xml:space="preserve">er det en ulempe at prisen på </w:t>
      </w:r>
      <w:r w:rsidR="00BE7C3F" w:rsidRPr="00AC029D">
        <w:rPr>
          <w:rFonts w:eastAsiaTheme="minorEastAsia"/>
        </w:rPr>
        <w:t>praksis</w:t>
      </w:r>
      <w:r w:rsidR="00DB6137" w:rsidRPr="00AC029D">
        <w:rPr>
          <w:rFonts w:eastAsiaTheme="minorEastAsia"/>
        </w:rPr>
        <w:t xml:space="preserve">en </w:t>
      </w:r>
      <w:r w:rsidR="00BE7C3F" w:rsidRPr="00AC029D">
        <w:rPr>
          <w:rFonts w:eastAsiaTheme="minorEastAsia"/>
        </w:rPr>
        <w:t>vil falle, og overgangsordninger måtte vært vurdert.</w:t>
      </w:r>
    </w:p>
    <w:p w14:paraId="25C66751" w14:textId="6A6762AC" w:rsidR="008935C7" w:rsidRDefault="37096B1C" w:rsidP="00775632">
      <w:pPr>
        <w:pStyle w:val="Overskrift4"/>
      </w:pPr>
      <w:bookmarkStart w:id="2170" w:name="_Toc130983481"/>
      <w:bookmarkStart w:id="2171" w:name="_Toc130983830"/>
      <w:bookmarkStart w:id="2172" w:name="_Toc131062152"/>
      <w:bookmarkStart w:id="2173" w:name="_Toc131062406"/>
      <w:bookmarkStart w:id="2174" w:name="_Toc131062667"/>
      <w:bookmarkStart w:id="2175" w:name="_Toc131062920"/>
      <w:bookmarkStart w:id="2176" w:name="_Toc131063688"/>
      <w:bookmarkStart w:id="2177" w:name="_Toc131064113"/>
      <w:bookmarkStart w:id="2178" w:name="_Toc131238408"/>
      <w:bookmarkStart w:id="2179" w:name="_Toc131279439"/>
      <w:bookmarkStart w:id="2180" w:name="_Toc131286851"/>
      <w:bookmarkStart w:id="2181" w:name="_Toc131281261"/>
      <w:bookmarkStart w:id="2182" w:name="_Toc131317801"/>
      <w:r>
        <w:t>Fri etableringsrett</w:t>
      </w:r>
      <w:r w:rsidR="78636DD1">
        <w:t xml:space="preserve"> og </w:t>
      </w:r>
      <w:r w:rsidR="37D4687A">
        <w:t>auksjonering av fastlegehjemler</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07792858" w14:textId="5F2C3F30" w:rsidR="007D60FA" w:rsidRDefault="009202F9" w:rsidP="007D60FA">
      <w:pPr>
        <w:jc w:val="both"/>
      </w:pPr>
      <w:r w:rsidRPr="09C7D7CC">
        <w:t xml:space="preserve">I Sverige er det fri etableringsrett, så sant man oppfyller kompetanse- og kvalitetskravene. Der er det altså ingen hjemler, og omsetning av praksiser foregår på kommersielle vilkår mellom selskapene som driver vårdcentralene. Dette har ført til at om lag halvparten av vårdcentralene drives av kommersielle aktører, også store internasjonale selskaper. På steder der de kommersielle ikke etablerer seg, driver det offentlige vårdcentraler. Innbyggerne velger selv </w:t>
      </w:r>
      <w:r w:rsidR="001F0A10" w:rsidRPr="09C7D7CC">
        <w:t>hvilke</w:t>
      </w:r>
      <w:r w:rsidRPr="09C7D7CC">
        <w:t xml:space="preserve"> vårdcentral de vil knytte seg til. De svenske vårdcentralene er i snitt større enn norske fastlegekontorer, og de har i langt større grad ansatte leger og flere sykepleiere per lege</w:t>
      </w:r>
      <w:r w:rsidR="0043165A">
        <w:t xml:space="preserve"> </w:t>
      </w:r>
      <w:r w:rsidR="00D078E3">
        <w:fldChar w:fldCharType="begin"/>
      </w:r>
      <w:r w:rsidR="004654FD">
        <w:instrText xml:space="preserve"> ADDIN EN.CITE &lt;EndNote&gt;&lt;Cite&gt;&lt;Author&gt;Skudal&lt;/Author&gt;&lt;Year&gt;2019&lt;/Year&gt;&lt;RecNum&gt;96&lt;/RecNum&gt;&lt;DisplayText&gt;(Skudal et al., 2019)&lt;/DisplayText&gt;&lt;record&gt;&lt;rec-number&gt;96&lt;/rec-number&gt;&lt;foreign-keys&gt;&lt;key app="EN" db-id="95tpr2tp6r9xwoea9rb5wdsz5ds5xeddteew" timestamp="1680069511"&gt;96&lt;/key&gt;&lt;/foreign-keys&gt;&lt;ref-type name="Report"&gt;27&lt;/ref-type&gt;&lt;contributors&gt;&lt;authors&gt;&lt;author&gt;Skudal, Kjersti Eeg&lt;/author&gt;&lt;author&gt;Holmboe, Olaf&lt;/author&gt;&lt;author&gt;Bjertnæs, Øyvind Andresen&lt;/author&gt;&lt;author&gt;Telle, Kjetil Elias&lt;/author&gt;&lt;/authors&gt;&lt;/contributors&gt;&lt;titles&gt;&lt;title&gt;Commonwealth Fund-undersøkelsen blant allmennleger i elleve land i 2019: tabellrapport&lt;/title&gt;&lt;/titles&gt;&lt;dates&gt;&lt;year&gt;2019&lt;/year&gt;&lt;/dates&gt;&lt;pub-location&gt;Oslo&lt;/pub-location&gt;&lt;publisher&gt;Folkehelseinstituttet&lt;/publisher&gt;&lt;urls&gt;&lt;/urls&gt;&lt;/record&gt;&lt;/Cite&gt;&lt;/EndNote&gt;</w:instrText>
      </w:r>
      <w:r w:rsidR="00D078E3">
        <w:fldChar w:fldCharType="separate"/>
      </w:r>
      <w:r w:rsidR="00D078E3">
        <w:rPr>
          <w:noProof/>
        </w:rPr>
        <w:t>(Skudal et al., 2019)</w:t>
      </w:r>
      <w:r w:rsidR="00D078E3">
        <w:fldChar w:fldCharType="end"/>
      </w:r>
      <w:r w:rsidRPr="09C7D7CC">
        <w:t>.</w:t>
      </w:r>
    </w:p>
    <w:p w14:paraId="76720878" w14:textId="31B4B201" w:rsidR="007D60FA" w:rsidRDefault="009202F9" w:rsidP="00B96380">
      <w:r>
        <w:t xml:space="preserve">I Sverige er det meste av finansieringen basert på antall innbyggere en vårdcentral har ansvar for, og bare en liten del er aktivitetsbasert. </w:t>
      </w:r>
      <w:r w:rsidRPr="008F5AD8">
        <w:t>En ulempe ved fri etableringsrett for fastleger</w:t>
      </w:r>
      <w:r w:rsidR="001512A0" w:rsidRPr="008F5AD8">
        <w:t>,</w:t>
      </w:r>
      <w:r w:rsidRPr="008F5AD8">
        <w:t xml:space="preserve"> vil være manglende kostnadskontroll for staten. Med en definert fastlegeliste får fastlegen tilnærmet monopol på å levere helsetjenester til en etablert gruppe. </w:t>
      </w:r>
      <w:r>
        <w:t xml:space="preserve">I et system med høy grad av aktivitetsbasert finansiering, som i Norge, vil fri etableringsrett kunne føre til at </w:t>
      </w:r>
      <w:r w:rsidRPr="008F5AD8">
        <w:t xml:space="preserve">fastleger konkurrer om de samme pasientene som kan gi økt takstbruk for </w:t>
      </w:r>
      <w:r w:rsidR="00F73960" w:rsidRPr="008F5AD8">
        <w:t xml:space="preserve">å </w:t>
      </w:r>
      <w:r w:rsidRPr="008F5AD8">
        <w:t>sikre økonomisk trygghet. Å ha en konkurransesituasjon mellom fastleger</w:t>
      </w:r>
      <w:r w:rsidR="00BD42AD" w:rsidRPr="008F5AD8">
        <w:t>,</w:t>
      </w:r>
      <w:r w:rsidRPr="008F5AD8">
        <w:t xml:space="preserve"> kan også tenkes å føre til negative konsekvenser for pasientene, medisinsk faglighet og trygdesystemet. Å gå fra </w:t>
      </w:r>
      <w:r>
        <w:t>hjemler til fri etablering vil også kunne føre til større konkurranse mellom leger om pasientene, iallfall dersom tilbudet er større enn etterspørselen, og legene vil da i større grad kunne rette sin aktivitet inn mot de pasientene som gir høyest inntjening</w:t>
      </w:r>
      <w:r w:rsidR="00B6748B">
        <w:t>,</w:t>
      </w:r>
      <w:r>
        <w:t xml:space="preserve"> i stedet for de som trenger det mest.</w:t>
      </w:r>
    </w:p>
    <w:p w14:paraId="778CCEB1" w14:textId="77777777" w:rsidR="00D9107F" w:rsidRDefault="009202F9" w:rsidP="00B96380">
      <w:r w:rsidDel="00976646">
        <w:t>En slags mellomløsning mellom fri etableringsrett og ordningen med fastlegehjemler, ville kunne være å la kommunen auksjonere ut fastlegehjemler for en gitt periode. Dersom ingen vil betale for en slik hjemmel i en auksjon, kan i stedet kommunen betale noen for å påta seg å betjene hjemmelen</w:t>
      </w:r>
      <w:r w:rsidR="2EDB2A99" w:rsidRPr="2C95A606">
        <w:t>.</w:t>
      </w:r>
      <w:r>
        <w:t xml:space="preserve"> </w:t>
      </w:r>
      <w:r w:rsidR="13929C59" w:rsidRPr="4AF9D6C9">
        <w:t xml:space="preserve">Det siste likner på den faktiske </w:t>
      </w:r>
      <w:r w:rsidR="13929C59" w:rsidRPr="4F780F51">
        <w:t>situasjonen mange kommuner i dag opplever, der kommunen for eksempel betal</w:t>
      </w:r>
      <w:r w:rsidR="6E24E0A7" w:rsidRPr="4F780F51">
        <w:t>er for kontorlokaler, utstyr</w:t>
      </w:r>
      <w:r w:rsidDel="00976646">
        <w:t xml:space="preserve"> og </w:t>
      </w:r>
      <w:r w:rsidR="6E24E0A7" w:rsidRPr="4F780F51">
        <w:t>lignende</w:t>
      </w:r>
      <w:r w:rsidR="13929C59" w:rsidRPr="4F780F51">
        <w:t>.</w:t>
      </w:r>
      <w:r w:rsidDel="00976646">
        <w:t xml:space="preserve"> Men mens norske kommuner i dag ikke kan be om penger av en lege som ønsker å tre inn i en attraktiv hjemmel (jf. auksjon), så er det stadig mer utbredt at kommunen må yte tilleggsfinansiering (jf. anbud) for å få en lege til å ta over en hjemmel.</w:t>
      </w:r>
    </w:p>
    <w:p w14:paraId="527E0219" w14:textId="77777777" w:rsidR="00D9107F" w:rsidRPr="00D9107F" w:rsidRDefault="009202F9" w:rsidP="00B96380">
      <w:pPr>
        <w:rPr>
          <w:rStyle w:val="skrift-hevet"/>
        </w:rPr>
      </w:pPr>
      <w:r w:rsidDel="00976646">
        <w:lastRenderedPageBreak/>
        <w:t xml:space="preserve">På linje med at fastlegen selv kan selge sin praksis med tilhørende hjemmel, ville en mulighet for kommunen til å gjennomføre auksjon og anbud kanskje </w:t>
      </w:r>
      <w:r>
        <w:t>frem</w:t>
      </w:r>
      <w:r w:rsidDel="00976646">
        <w:t>me</w:t>
      </w:r>
      <w:r>
        <w:t xml:space="preserve"> b</w:t>
      </w:r>
      <w:r w:rsidDel="00976646">
        <w:t xml:space="preserve">etjeningen av </w:t>
      </w:r>
      <w:r w:rsidRPr="00AC029D" w:rsidDel="00976646">
        <w:t>hjemler både i sentrale strøk (auksjonsprisen vil bli høy) og i utkantkommuner (anbudsprisen vil bli høy</w:t>
      </w:r>
      <w:r w:rsidR="1A710589" w:rsidRPr="00AC029D">
        <w:t>).</w:t>
      </w:r>
      <w:r w:rsidRPr="00AC029D">
        <w:t xml:space="preserve"> Utvalget er ikke kjent med at ordninger med auksjoner av allmennlegetjenester er forsøkt i våre naboland. </w:t>
      </w:r>
      <w:r>
        <w:t xml:space="preserve">Det pågår en større debatt om fordeler og ulemper ved kommersialisering av velferdstjenester, og ekspertutvalget nøyer seg med å vise til </w:t>
      </w:r>
      <w:r w:rsidRPr="2F6AC54D">
        <w:t>Velferdstjenesteutvalget (NOU 2020: 13) og</w:t>
      </w:r>
      <w:r>
        <w:t xml:space="preserve"> Avkommersialiseringsutvalget</w:t>
      </w:r>
      <w:r w:rsidR="0039374B">
        <w:t xml:space="preserve"> </w:t>
      </w:r>
      <w:r w:rsidR="00D078E3">
        <w:fldChar w:fldCharType="begin"/>
      </w:r>
      <w:r w:rsidR="00CE2F35">
        <w:instrText xml:space="preserve"> ADDIN EN.CITE &lt;EndNote&gt;&lt;Cite&gt;&lt;Author&gt;Helse- og omsorgsdepartementet&lt;/Author&gt;&lt;Year&gt;2020&lt;/Year&gt;&lt;RecNum&gt;957&lt;/RecNum&gt;&lt;DisplayText&gt;(Helse- og omsorgsdepartementet, 2020b)&lt;/DisplayText&gt;&lt;record&gt;&lt;rec-number&gt;957&lt;/rec-number&gt;&lt;foreign-keys&gt;&lt;key app="EN" db-id="95tpr2tp6r9xwoea9rb5wdsz5ds5xeddteew" timestamp="1680223180"&gt;957&lt;/key&gt;&lt;/foreign-keys&gt;&lt;ref-type name="Report"&gt;27&lt;/ref-type&gt;&lt;contributors&gt;&lt;authors&gt;&lt;author&gt;Helse- og omsorgsdepartementet,&lt;/author&gt;&lt;/authors&gt;&lt;/contributors&gt;&lt;titles&gt;&lt;title&gt;Private aktører i velferdsstaten — Velferdstjenesteutvalgets delutredning I og II om offentlig finansierte velferdstjenester&lt;/title&gt;&lt;/titles&gt;&lt;number&gt;NOU 2020: 13&lt;/number&gt;&lt;dates&gt;&lt;year&gt;2020&lt;/year&gt;&lt;/dates&gt;&lt;urls&gt;&lt;/urls&gt;&lt;/record&gt;&lt;/Cite&gt;&lt;/EndNote&gt;</w:instrText>
      </w:r>
      <w:r w:rsidR="00D078E3">
        <w:fldChar w:fldCharType="separate"/>
      </w:r>
      <w:r w:rsidR="00CE2F35">
        <w:rPr>
          <w:noProof/>
        </w:rPr>
        <w:t>(Helse- og omsorgsdepartementet, 2020b)</w:t>
      </w:r>
      <w:r w:rsidR="00D078E3">
        <w:fldChar w:fldCharType="end"/>
      </w:r>
      <w:r>
        <w:t>.</w:t>
      </w:r>
      <w:bookmarkStart w:id="2183" w:name="_Toc122655275"/>
      <w:bookmarkStart w:id="2184" w:name="_Toc126834343"/>
      <w:bookmarkStart w:id="2185" w:name="_Toc127633217"/>
      <w:bookmarkStart w:id="2186" w:name="_Toc127864502"/>
      <w:bookmarkStart w:id="2187" w:name="_Toc128238510"/>
      <w:bookmarkStart w:id="2188" w:name="_Toc128741989"/>
      <w:bookmarkStart w:id="2189" w:name="_Toc128744584"/>
      <w:bookmarkStart w:id="2190" w:name="_Toc128744803"/>
      <w:bookmarkStart w:id="2191" w:name="_Toc129630305"/>
      <w:bookmarkStart w:id="2192" w:name="_Toc130763813"/>
      <w:bookmarkStart w:id="2193" w:name="_Toc130766708"/>
      <w:bookmarkStart w:id="2194" w:name="_Ref130928437"/>
      <w:bookmarkStart w:id="2195" w:name="_Toc130932108"/>
      <w:bookmarkStart w:id="2196" w:name="_Toc130934399"/>
      <w:bookmarkStart w:id="2197" w:name="_Toc130983482"/>
      <w:bookmarkStart w:id="2198" w:name="_Toc130983831"/>
      <w:bookmarkStart w:id="2199" w:name="_Toc131062153"/>
      <w:bookmarkStart w:id="2200" w:name="_Toc131062407"/>
      <w:bookmarkStart w:id="2201" w:name="_Toc131062668"/>
      <w:bookmarkStart w:id="2202" w:name="_Toc131062921"/>
      <w:bookmarkStart w:id="2203" w:name="_Toc131063689"/>
      <w:bookmarkStart w:id="2204" w:name="_Toc131064114"/>
      <w:bookmarkStart w:id="2205" w:name="_Toc131238409"/>
      <w:bookmarkStart w:id="2206" w:name="_Toc131279440"/>
      <w:bookmarkStart w:id="2207" w:name="_Toc131286852"/>
      <w:bookmarkStart w:id="2208" w:name="_Toc131281262"/>
      <w:bookmarkStart w:id="2209" w:name="_Toc131317802"/>
      <w:bookmarkStart w:id="2210" w:name="_Toc132536974"/>
    </w:p>
    <w:p w14:paraId="0247D552" w14:textId="472369D9" w:rsidR="005246EC" w:rsidRDefault="005246EC" w:rsidP="00775632">
      <w:pPr>
        <w:pStyle w:val="Overskrift3"/>
        <w:rPr>
          <w:shd w:val="clear" w:color="auto" w:fill="FFFFFF"/>
        </w:rPr>
      </w:pPr>
      <w:r>
        <w:rPr>
          <w:shd w:val="clear" w:color="auto" w:fill="FFFFFF"/>
        </w:rPr>
        <w:t xml:space="preserve">Ekspertutvalgets </w:t>
      </w:r>
      <w:bookmarkEnd w:id="2183"/>
      <w:bookmarkEnd w:id="2184"/>
      <w:bookmarkEnd w:id="2185"/>
      <w:bookmarkEnd w:id="2186"/>
      <w:bookmarkEnd w:id="2187"/>
      <w:bookmarkEnd w:id="2188"/>
      <w:bookmarkEnd w:id="2189"/>
      <w:bookmarkEnd w:id="2190"/>
      <w:r>
        <w:rPr>
          <w:shd w:val="clear" w:color="auto" w:fill="FFFFFF"/>
        </w:rPr>
        <w:t>vurderinger</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7549171" w14:textId="77777777" w:rsidR="00D9107F" w:rsidRDefault="00A44DAC" w:rsidP="00B96380">
      <w:pPr>
        <w:rPr>
          <w:shd w:val="clear" w:color="auto" w:fill="FFFFFF"/>
        </w:rPr>
      </w:pPr>
      <w:r w:rsidRPr="008F5AD8">
        <w:rPr>
          <w:rFonts w:eastAsiaTheme="minorEastAsia"/>
        </w:rPr>
        <w:t xml:space="preserve">Kommunen kan ikke i dag </w:t>
      </w:r>
      <w:r w:rsidRPr="00AC029D">
        <w:rPr>
          <w:shd w:val="clear" w:color="auto" w:fill="FFFFFF"/>
        </w:rPr>
        <w:t xml:space="preserve">uten videre sette en annen lege til å betjene listeinnbyggerne før fratredende lege har fått solgt sin praksis. </w:t>
      </w:r>
      <w:r>
        <w:rPr>
          <w:shd w:val="clear" w:color="auto" w:fill="FFFFFF"/>
        </w:rPr>
        <w:t>For listeinnbyggerne kan konsekvensen være diskontinuitet i pasient-lege-relasjonen og mangel på fastlege. Overd</w:t>
      </w:r>
      <w:r w:rsidR="001F0A10">
        <w:rPr>
          <w:shd w:val="clear" w:color="auto" w:fill="FFFFFF"/>
        </w:rPr>
        <w:t>r</w:t>
      </w:r>
      <w:r>
        <w:rPr>
          <w:shd w:val="clear" w:color="auto" w:fill="FFFFFF"/>
        </w:rPr>
        <w:t xml:space="preserve">agelsesordningen antas også å være en medvirkende årsak til </w:t>
      </w:r>
      <w:r w:rsidR="00385EA6">
        <w:rPr>
          <w:shd w:val="clear" w:color="auto" w:fill="FFFFFF"/>
        </w:rPr>
        <w:t>lav</w:t>
      </w:r>
      <w:r>
        <w:rPr>
          <w:shd w:val="clear" w:color="auto" w:fill="FFFFFF"/>
        </w:rPr>
        <w:t xml:space="preserve"> rekruttering til fastlegeyrket.</w:t>
      </w:r>
    </w:p>
    <w:p w14:paraId="576ED71C" w14:textId="6FE24A98" w:rsidR="00A44DAC" w:rsidRDefault="00A44DAC" w:rsidP="00B96380">
      <w:pPr>
        <w:rPr>
          <w:rFonts w:eastAsia="Calibri"/>
        </w:rPr>
      </w:pPr>
      <w:r w:rsidRPr="3DB159A6">
        <w:rPr>
          <w:rFonts w:eastAsia="Calibri"/>
        </w:rPr>
        <w:t xml:space="preserve">Det er ulik praksis </w:t>
      </w:r>
      <w:r>
        <w:rPr>
          <w:rFonts w:eastAsia="Calibri"/>
        </w:rPr>
        <w:t>for</w:t>
      </w:r>
      <w:r w:rsidRPr="3DB159A6">
        <w:rPr>
          <w:rFonts w:eastAsia="Calibri"/>
        </w:rPr>
        <w:t xml:space="preserve"> hvordan og når innløsningen skjer, og også rundt kompensasjonen. For å finansiere </w:t>
      </w:r>
      <w:r>
        <w:rPr>
          <w:rFonts w:eastAsia="Calibri"/>
        </w:rPr>
        <w:t xml:space="preserve">en eventuell </w:t>
      </w:r>
      <w:r w:rsidRPr="446B5395">
        <w:rPr>
          <w:rFonts w:eastAsia="Calibri"/>
        </w:rPr>
        <w:t>innløsning</w:t>
      </w:r>
      <w:r w:rsidR="00AE579D">
        <w:rPr>
          <w:rFonts w:eastAsia="Calibri"/>
        </w:rPr>
        <w:t>,</w:t>
      </w:r>
      <w:r w:rsidRPr="446B5395">
        <w:rPr>
          <w:rFonts w:eastAsia="Calibri"/>
        </w:rPr>
        <w:t xml:space="preserve"> </w:t>
      </w:r>
      <w:r w:rsidRPr="3DB159A6">
        <w:rPr>
          <w:rFonts w:eastAsia="Calibri"/>
        </w:rPr>
        <w:t xml:space="preserve">må kommunen </w:t>
      </w:r>
      <w:r w:rsidRPr="426D743A">
        <w:rPr>
          <w:rFonts w:eastAsia="Calibri"/>
        </w:rPr>
        <w:t xml:space="preserve">bruke av </w:t>
      </w:r>
      <w:r w:rsidRPr="3DB159A6">
        <w:rPr>
          <w:rFonts w:eastAsia="Calibri"/>
        </w:rPr>
        <w:t>kommunebudsjettet</w:t>
      </w:r>
      <w:r>
        <w:rPr>
          <w:rFonts w:eastAsia="Calibri"/>
        </w:rPr>
        <w:t xml:space="preserve"> ut over det som er forutsatt i inntektssystemet, </w:t>
      </w:r>
      <w:r w:rsidRPr="446B5395" w:rsidDel="000C5B26">
        <w:rPr>
          <w:rFonts w:eastAsia="Calibri"/>
        </w:rPr>
        <w:t>o</w:t>
      </w:r>
      <w:r w:rsidRPr="446B5395">
        <w:rPr>
          <w:rFonts w:eastAsia="Calibri"/>
        </w:rPr>
        <w:t xml:space="preserve">g </w:t>
      </w:r>
      <w:r>
        <w:rPr>
          <w:rFonts w:eastAsia="Calibri"/>
        </w:rPr>
        <w:t>ressursbruk til</w:t>
      </w:r>
      <w:r w:rsidRPr="3DB159A6">
        <w:rPr>
          <w:rFonts w:eastAsia="Calibri"/>
        </w:rPr>
        <w:t xml:space="preserve"> innløsning av hjemler </w:t>
      </w:r>
      <w:r w:rsidRPr="426D743A">
        <w:rPr>
          <w:rFonts w:eastAsia="Calibri"/>
        </w:rPr>
        <w:t>kan gå</w:t>
      </w:r>
      <w:r w:rsidRPr="3DB159A6">
        <w:rPr>
          <w:rFonts w:eastAsia="Calibri"/>
        </w:rPr>
        <w:t xml:space="preserve"> ut over kommunens øvrige tjenester til innbyggerne. Kommunens evne til å ivareta sitt lovpålagte sørge-for-ansvar begrenses dermed av fratredende leges rett etter rammeavtalen til å selge sin praksis før kommunen kan la en ny fastlege betjene hjemmelen.</w:t>
      </w:r>
    </w:p>
    <w:p w14:paraId="13F4D188" w14:textId="77777777" w:rsidR="00D9107F" w:rsidRDefault="00A44DAC" w:rsidP="00B96380">
      <w:pPr>
        <w:rPr>
          <w:rFonts w:eastAsia="Calibri"/>
        </w:rPr>
      </w:pPr>
      <w:r w:rsidRPr="3DB159A6">
        <w:rPr>
          <w:rFonts w:eastAsia="Calibri"/>
        </w:rPr>
        <w:t xml:space="preserve">Noe av bakgrunnen for uklarhetene synes å være at fastlegeordningen ikke har en like klar styringslinje som de andre helse- og omsorgstjenestene, da sentrale elementer framgår av den </w:t>
      </w:r>
      <w:r w:rsidRPr="446B5395">
        <w:rPr>
          <w:rFonts w:eastAsia="Calibri"/>
        </w:rPr>
        <w:t>fr</w:t>
      </w:r>
      <w:r>
        <w:rPr>
          <w:rFonts w:eastAsia="Calibri"/>
        </w:rPr>
        <w:t>a</w:t>
      </w:r>
      <w:r w:rsidRPr="446B5395">
        <w:rPr>
          <w:rFonts w:eastAsia="Calibri"/>
        </w:rPr>
        <w:t>mforhandlede</w:t>
      </w:r>
      <w:r w:rsidRPr="3DB159A6">
        <w:rPr>
          <w:rFonts w:eastAsia="Calibri"/>
        </w:rPr>
        <w:t xml:space="preserve"> rammeavtalen (KS/Oslo kommune og Legeforeningen</w:t>
      </w:r>
      <w:r w:rsidRPr="446B5395">
        <w:rPr>
          <w:rFonts w:eastAsia="Calibri"/>
        </w:rPr>
        <w:t>)</w:t>
      </w:r>
      <w:r>
        <w:rPr>
          <w:rFonts w:eastAsia="Calibri"/>
        </w:rPr>
        <w:t>, og ikke i lov eller forskrift</w:t>
      </w:r>
      <w:r w:rsidRPr="446B5395">
        <w:rPr>
          <w:rFonts w:eastAsia="Calibri"/>
        </w:rPr>
        <w:t>.</w:t>
      </w:r>
      <w:r w:rsidRPr="3DB159A6">
        <w:rPr>
          <w:rFonts w:eastAsia="Calibri"/>
        </w:rPr>
        <w:t xml:space="preserve"> Rettstilstanden blir uklar når det ikke er åpenbart at det er overenstemmelse mellom lov og forskrift på den ene siden og rammeavtalens punkt 5.6 om overdragelser på den andre. Hovedansvaret ligger like fullt hos Helse- og omsorgsdepartementet, og ekspertutvalget anbefaler at departementet avklarer rettstilstanden på feltet.</w:t>
      </w:r>
    </w:p>
    <w:p w14:paraId="5EC50D5C" w14:textId="625C8F5D" w:rsidR="00A44DAC" w:rsidRDefault="00A44DAC" w:rsidP="00B96380">
      <w:pPr>
        <w:rPr>
          <w:rFonts w:eastAsia="Calibri"/>
        </w:rPr>
      </w:pPr>
      <w:r w:rsidRPr="3DB159A6">
        <w:rPr>
          <w:rFonts w:eastAsia="Calibri"/>
        </w:rPr>
        <w:t>Ekspertutvalgets flertall mener overdragelsesreglene er så sentrale for en velfungerende fastlegeordning, at de må reguleres i fastlegeforskriften og ikke i rammeavtalen. Utvalgets medlem Sakshaug anser det ikke hensiktsmessig med en forskriftsregulering av disse prosessene, og mener dette fortsatt bør framgå av rammeavtalen.</w:t>
      </w:r>
    </w:p>
    <w:p w14:paraId="3A5C2DFF" w14:textId="77777777" w:rsidR="00D9107F" w:rsidRDefault="00A44DAC" w:rsidP="00B96380">
      <w:pPr>
        <w:rPr>
          <w:rFonts w:eastAsia="Calibri"/>
        </w:rPr>
      </w:pPr>
      <w:r w:rsidRPr="3DB159A6">
        <w:rPr>
          <w:rFonts w:eastAsia="Calibri"/>
        </w:rPr>
        <w:t xml:space="preserve">Ekspertutvalget mener dagens regler for </w:t>
      </w:r>
      <w:r>
        <w:rPr>
          <w:rFonts w:eastAsia="Calibri"/>
        </w:rPr>
        <w:t>praksis</w:t>
      </w:r>
      <w:r w:rsidRPr="446B5395">
        <w:rPr>
          <w:rFonts w:eastAsia="Calibri"/>
        </w:rPr>
        <w:t>overdragelser</w:t>
      </w:r>
      <w:r w:rsidRPr="3DB159A6">
        <w:rPr>
          <w:rFonts w:eastAsia="Calibri"/>
        </w:rPr>
        <w:t xml:space="preserve"> er </w:t>
      </w:r>
      <w:r w:rsidRPr="446B5395">
        <w:rPr>
          <w:rFonts w:eastAsia="Calibri"/>
        </w:rPr>
        <w:t xml:space="preserve">for </w:t>
      </w:r>
      <w:r w:rsidRPr="3DB159A6">
        <w:rPr>
          <w:rFonts w:eastAsia="Calibri"/>
        </w:rPr>
        <w:t>kompliserte og uoversiktlige</w:t>
      </w:r>
      <w:r>
        <w:rPr>
          <w:rFonts w:eastAsia="Calibri"/>
        </w:rPr>
        <w:t xml:space="preserve">, og at de ser ut til å medvirke til å begrense antall </w:t>
      </w:r>
      <w:r w:rsidRPr="3DB159A6">
        <w:rPr>
          <w:rFonts w:eastAsia="Calibri"/>
        </w:rPr>
        <w:t>leger som ønsker å bli fastlege. Primærformålet med regler om overdragelse må være å sikre at innbyggerne har tilgang til fastlege, der det viktigste i dagens situasjon er å raskt øke rekrutteringen av leger</w:t>
      </w:r>
      <w:r w:rsidRPr="3395C2AD">
        <w:rPr>
          <w:rFonts w:eastAsia="Calibri"/>
        </w:rPr>
        <w:t xml:space="preserve"> inn i ordningen.</w:t>
      </w:r>
      <w:r w:rsidRPr="3DB159A6">
        <w:rPr>
          <w:rFonts w:eastAsia="Calibri"/>
        </w:rPr>
        <w:t xml:space="preserve"> Å ivareta fratredende leges interesser i å få en rimelig pris for sin praksis, handler også primært om rekruttering, ved at det gir nye leger tillit til at kostnader ved å kjøpe eller bygge </w:t>
      </w:r>
      <w:r>
        <w:rPr>
          <w:rFonts w:eastAsia="Calibri"/>
        </w:rPr>
        <w:t xml:space="preserve">opp </w:t>
      </w:r>
      <w:r w:rsidRPr="3DB159A6">
        <w:rPr>
          <w:rFonts w:eastAsia="Calibri"/>
        </w:rPr>
        <w:t>en praksis blir kompensert.</w:t>
      </w:r>
    </w:p>
    <w:p w14:paraId="00A7AC99" w14:textId="321713B7" w:rsidR="00A44DAC" w:rsidRDefault="00A44DAC" w:rsidP="00B96380">
      <w:pPr>
        <w:rPr>
          <w:rFonts w:eastAsia="Calibri"/>
        </w:rPr>
      </w:pPr>
      <w:r w:rsidRPr="3DB159A6">
        <w:rPr>
          <w:rFonts w:eastAsia="Calibri"/>
        </w:rPr>
        <w:lastRenderedPageBreak/>
        <w:t xml:space="preserve">Ekspertutvalget mener dagens binding mellom overdragelse av hjemmelen og fratredende leges næringsinteresser rundt prisen på praksisen, har </w:t>
      </w:r>
      <w:r w:rsidR="4C54D652" w:rsidRPr="7825484B">
        <w:rPr>
          <w:rFonts w:eastAsia="Calibri"/>
        </w:rPr>
        <w:t>prinsipielle</w:t>
      </w:r>
      <w:r w:rsidRPr="7BD81450">
        <w:rPr>
          <w:rFonts w:eastAsia="Calibri"/>
        </w:rPr>
        <w:t xml:space="preserve"> </w:t>
      </w:r>
      <w:r w:rsidRPr="74B96F50">
        <w:rPr>
          <w:rFonts w:eastAsia="Calibri"/>
        </w:rPr>
        <w:t>utfordringer</w:t>
      </w:r>
      <w:r>
        <w:rPr>
          <w:rFonts w:eastAsia="Calibri"/>
        </w:rPr>
        <w:t>.</w:t>
      </w:r>
      <w:r w:rsidRPr="3DB159A6">
        <w:rPr>
          <w:rFonts w:eastAsia="Calibri"/>
        </w:rPr>
        <w:t xml:space="preserve"> I realiteten innebærer bindingen at innbyggere på en fastlegeliste der fastlegen ikke får den prisen </w:t>
      </w:r>
      <w:r w:rsidRPr="446B5395">
        <w:rPr>
          <w:rFonts w:eastAsia="Calibri"/>
        </w:rPr>
        <w:t>h</w:t>
      </w:r>
      <w:r>
        <w:rPr>
          <w:rFonts w:eastAsia="Calibri"/>
        </w:rPr>
        <w:t>e</w:t>
      </w:r>
      <w:r w:rsidRPr="446B5395">
        <w:rPr>
          <w:rFonts w:eastAsia="Calibri"/>
        </w:rPr>
        <w:t>n</w:t>
      </w:r>
      <w:r w:rsidRPr="3DB159A6">
        <w:rPr>
          <w:rFonts w:eastAsia="Calibri"/>
        </w:rPr>
        <w:t xml:space="preserve"> ønsker for praksisen, </w:t>
      </w:r>
      <w:r>
        <w:rPr>
          <w:rFonts w:eastAsia="Calibri"/>
        </w:rPr>
        <w:t xml:space="preserve">over en periode </w:t>
      </w:r>
      <w:r w:rsidRPr="3DB159A6">
        <w:rPr>
          <w:rFonts w:eastAsia="Calibri"/>
        </w:rPr>
        <w:t>får et dårligere fastlegetilbud enn innbyggere på andre fastlegelister. Etter flertallets syn er en ordning der kommunens rett og plikt til å yte fastlegetjenester begrenses av denne typen næringsinteresser, i strid med grunnleggende pasientrettigheter og prinsippet om likeverdige helsetjenester. I prinsippet anbefaler flertallet derfor at hjemmelen til en fastlege som sier opp, hjemfaller til kommunen etter klare frister som fastsettes i lov eller forskrift. Når hjemmelen er hjemfalt til kommunen, må kommunen umiddelbart stå helt fritt til å disponere over den, for eksempel ved å avvikle den, lyse den ut</w:t>
      </w:r>
      <w:r>
        <w:rPr>
          <w:rFonts w:eastAsia="Calibri"/>
        </w:rPr>
        <w:t xml:space="preserve">, </w:t>
      </w:r>
      <w:r w:rsidRPr="3DB159A6">
        <w:rPr>
          <w:rFonts w:eastAsia="Calibri"/>
        </w:rPr>
        <w:t xml:space="preserve">eller </w:t>
      </w:r>
      <w:r>
        <w:rPr>
          <w:rFonts w:eastAsia="Calibri"/>
        </w:rPr>
        <w:t xml:space="preserve">kunne </w:t>
      </w:r>
      <w:r w:rsidRPr="74B96F50">
        <w:rPr>
          <w:rFonts w:eastAsia="Calibri"/>
        </w:rPr>
        <w:t>fordele den på flere</w:t>
      </w:r>
      <w:r w:rsidRPr="3DB159A6">
        <w:rPr>
          <w:rFonts w:eastAsia="Calibri"/>
        </w:rPr>
        <w:t xml:space="preserve"> andre leger, osv.</w:t>
      </w:r>
    </w:p>
    <w:p w14:paraId="63C4CBE5" w14:textId="0AD0EC99" w:rsidR="00A44DAC" w:rsidRDefault="00A44DAC" w:rsidP="00B96380">
      <w:pPr>
        <w:rPr>
          <w:rFonts w:eastAsia="Calibri"/>
        </w:rPr>
      </w:pPr>
      <w:r w:rsidRPr="3DB159A6">
        <w:rPr>
          <w:rFonts w:eastAsia="Calibri"/>
        </w:rPr>
        <w:t>Noen fastleger måtte i sin tid kjøpe praksisen til en høy pris, og selv om de har kunnet avskrive disse kostnadene</w:t>
      </w:r>
      <w:r>
        <w:rPr>
          <w:rFonts w:eastAsia="Calibri"/>
        </w:rPr>
        <w:t xml:space="preserve">, </w:t>
      </w:r>
      <w:r w:rsidRPr="3DB159A6">
        <w:rPr>
          <w:rFonts w:eastAsia="Calibri"/>
        </w:rPr>
        <w:t xml:space="preserve">og derfor </w:t>
      </w:r>
      <w:r>
        <w:rPr>
          <w:rFonts w:eastAsia="Calibri"/>
        </w:rPr>
        <w:t>har</w:t>
      </w:r>
      <w:r w:rsidRPr="3DB159A6">
        <w:rPr>
          <w:rFonts w:eastAsia="Calibri"/>
        </w:rPr>
        <w:t xml:space="preserve"> spart skatt, vil nok mange ha forventninger om å få tilbake iallfall noe av prisen de en gang betalte når de skal selge praksisen. Av denne grunn kan det vurderes å avtale en overgangsordning, der staten eller kommunen må yte fratredende leger en standardisert kompensasjon for praksisen, i tilfeller der kvaliteten på praksisen klart overstiger lov- og forskriftsfestede minimumskrav. På denne måten vil hjemmelen raskt kunne overtas av en ny lege som ikke må betale </w:t>
      </w:r>
      <w:r>
        <w:rPr>
          <w:rFonts w:eastAsia="Calibri"/>
        </w:rPr>
        <w:t>en for høy pris</w:t>
      </w:r>
      <w:r w:rsidRPr="3DB159A6">
        <w:rPr>
          <w:rFonts w:eastAsia="Calibri"/>
        </w:rPr>
        <w:t xml:space="preserve">, samtidig som fratredende lege også </w:t>
      </w:r>
      <w:r>
        <w:rPr>
          <w:rFonts w:eastAsia="Calibri"/>
        </w:rPr>
        <w:t>er</w:t>
      </w:r>
      <w:r w:rsidRPr="446B5395">
        <w:rPr>
          <w:rFonts w:eastAsia="Calibri"/>
        </w:rPr>
        <w:t xml:space="preserve"> </w:t>
      </w:r>
      <w:r w:rsidRPr="3DB159A6">
        <w:rPr>
          <w:rFonts w:eastAsia="Calibri"/>
        </w:rPr>
        <w:t>ivaretatt.</w:t>
      </w:r>
    </w:p>
    <w:p w14:paraId="00516547" w14:textId="77777777" w:rsidR="00D9107F" w:rsidRDefault="00A44DAC" w:rsidP="00B96380">
      <w:pPr>
        <w:rPr>
          <w:rFonts w:eastAsia="Calibri"/>
        </w:rPr>
      </w:pPr>
      <w:r>
        <w:rPr>
          <w:rFonts w:eastAsia="Calibri"/>
        </w:rPr>
        <w:t xml:space="preserve">Tiltredende lege, eller eventuelt kommunen, </w:t>
      </w:r>
      <w:r w:rsidRPr="3DB159A6">
        <w:rPr>
          <w:rFonts w:eastAsia="Calibri"/>
        </w:rPr>
        <w:t>vil normalt være interessert i å kjøpe fratredende leges praksis. I stedet for dagens ordning</w:t>
      </w:r>
      <w:r>
        <w:rPr>
          <w:rFonts w:eastAsia="Calibri"/>
        </w:rPr>
        <w:t>,</w:t>
      </w:r>
      <w:r w:rsidRPr="3DB159A6">
        <w:rPr>
          <w:rFonts w:eastAsia="Calibri"/>
        </w:rPr>
        <w:t xml:space="preserve"> der fratredende og tiltredende lege må bli enige om prisen, kunne praksisen takseres på en forenklet, transparent og etterprøvbar måte. Utstyr er forholdsvis enkelt å verdsette, mens dagens ordning</w:t>
      </w:r>
      <w:r>
        <w:rPr>
          <w:rFonts w:eastAsia="Calibri"/>
        </w:rPr>
        <w:t>,</w:t>
      </w:r>
      <w:r w:rsidRPr="3DB159A6">
        <w:rPr>
          <w:rFonts w:eastAsia="Calibri"/>
        </w:rPr>
        <w:t xml:space="preserve"> med verdsetting av opparbeidet praksis</w:t>
      </w:r>
      <w:r>
        <w:rPr>
          <w:rFonts w:eastAsia="Calibri"/>
        </w:rPr>
        <w:t>,</w:t>
      </w:r>
      <w:r w:rsidRPr="3DB159A6">
        <w:rPr>
          <w:rFonts w:eastAsia="Calibri"/>
        </w:rPr>
        <w:t xml:space="preserve"> er svært skjønnspreget. En pris som </w:t>
      </w:r>
      <w:r w:rsidRPr="446B5395">
        <w:rPr>
          <w:rFonts w:eastAsia="Calibri"/>
        </w:rPr>
        <w:t>best</w:t>
      </w:r>
      <w:r>
        <w:rPr>
          <w:rFonts w:eastAsia="Calibri"/>
        </w:rPr>
        <w:t>år</w:t>
      </w:r>
      <w:r w:rsidRPr="3DB159A6">
        <w:rPr>
          <w:rFonts w:eastAsia="Calibri"/>
        </w:rPr>
        <w:t xml:space="preserve"> av takst på utstyr, </w:t>
      </w:r>
      <w:r>
        <w:rPr>
          <w:rFonts w:eastAsia="Calibri"/>
        </w:rPr>
        <w:t>og</w:t>
      </w:r>
      <w:r w:rsidRPr="3DB159A6">
        <w:rPr>
          <w:rFonts w:eastAsia="Calibri"/>
        </w:rPr>
        <w:t xml:space="preserve"> der verdien av opparbeidet praksis brytes ned til spesifikke kvalitetsindikatorer som er ønskelige for en fastlegepraksis å ha, ville kompensere fastlegen for kjøp </w:t>
      </w:r>
      <w:r w:rsidRPr="3F4419C0">
        <w:rPr>
          <w:rFonts w:eastAsia="Calibri"/>
        </w:rPr>
        <w:t xml:space="preserve">og vedlikehold </w:t>
      </w:r>
      <w:r w:rsidRPr="3DB159A6">
        <w:rPr>
          <w:rFonts w:eastAsia="Calibri"/>
        </w:rPr>
        <w:t>av utstyr</w:t>
      </w:r>
      <w:r w:rsidR="00DD1FA5">
        <w:rPr>
          <w:rFonts w:eastAsia="Calibri"/>
        </w:rPr>
        <w:t xml:space="preserve">, </w:t>
      </w:r>
      <w:r w:rsidRPr="3DB159A6">
        <w:rPr>
          <w:rFonts w:eastAsia="Calibri"/>
        </w:rPr>
        <w:t>samtidig som usikkerheten rundt verdien av opparbeidet praksis ville falle.</w:t>
      </w:r>
    </w:p>
    <w:p w14:paraId="1ABE9EB6" w14:textId="77777777" w:rsidR="00D9107F" w:rsidRDefault="00A44DAC" w:rsidP="00B96380">
      <w:pPr>
        <w:rPr>
          <w:rFonts w:eastAsia="Calibri"/>
        </w:rPr>
      </w:pPr>
      <w:r w:rsidRPr="3DB159A6">
        <w:rPr>
          <w:rFonts w:eastAsia="Calibri"/>
        </w:rPr>
        <w:t xml:space="preserve">Ekspertutvalget mener prisen for praksisen må oppgis i kommunens utlysning av hjemmelen. Dersom det ikke melder seg søkere som tar over hjemmelen og praksisen på disse vilkårene, har ekspertutvalgets medlemmer ulike syn på kommunens plikt og rett til å innløse praksisen. </w:t>
      </w:r>
      <w:r>
        <w:rPr>
          <w:rFonts w:eastAsia="Calibri"/>
        </w:rPr>
        <w:t>Ekspertutvalgets medlem</w:t>
      </w:r>
      <w:r w:rsidR="00006A4D">
        <w:rPr>
          <w:rFonts w:eastAsia="Calibri"/>
        </w:rPr>
        <w:t>mer</w:t>
      </w:r>
      <w:r>
        <w:rPr>
          <w:rFonts w:eastAsia="Calibri"/>
        </w:rPr>
        <w:t xml:space="preserve"> Abelsen</w:t>
      </w:r>
      <w:r w:rsidR="000318EC">
        <w:rPr>
          <w:rFonts w:eastAsia="Calibri"/>
        </w:rPr>
        <w:t>, Rashidi og Sakshaug</w:t>
      </w:r>
      <w:r w:rsidR="000318EC" w:rsidRPr="3DB159A6">
        <w:rPr>
          <w:rFonts w:eastAsia="Calibri"/>
        </w:rPr>
        <w:t xml:space="preserve"> </w:t>
      </w:r>
      <w:r w:rsidRPr="3DB159A6">
        <w:rPr>
          <w:rFonts w:eastAsia="Calibri"/>
        </w:rPr>
        <w:t xml:space="preserve">mener kommunen bør ha plikt til å innløse praksisen til takst. </w:t>
      </w:r>
      <w:r>
        <w:rPr>
          <w:rFonts w:eastAsia="Calibri"/>
        </w:rPr>
        <w:t>Ekspertutvalgets medlem</w:t>
      </w:r>
      <w:r w:rsidR="00006A4D">
        <w:rPr>
          <w:rFonts w:eastAsia="Calibri"/>
        </w:rPr>
        <w:t>mer</w:t>
      </w:r>
      <w:r>
        <w:rPr>
          <w:rFonts w:eastAsia="Calibri"/>
        </w:rPr>
        <w:t xml:space="preserve"> </w:t>
      </w:r>
      <w:r w:rsidR="000318EC">
        <w:rPr>
          <w:rFonts w:eastAsia="Calibri"/>
        </w:rPr>
        <w:t xml:space="preserve">Elvestad, Grønvold, Iversen og </w:t>
      </w:r>
      <w:r>
        <w:rPr>
          <w:rFonts w:eastAsia="Calibri"/>
        </w:rPr>
        <w:t>Telle, og</w:t>
      </w:r>
      <w:r w:rsidRPr="3DB159A6">
        <w:rPr>
          <w:rFonts w:eastAsia="Calibri"/>
        </w:rPr>
        <w:t xml:space="preserve"> mener kommunen ikke bør ha en plikt til å innløse, men at den bør ha rett til å innløse til takst.</w:t>
      </w:r>
    </w:p>
    <w:p w14:paraId="3E247F12" w14:textId="4DA7002D" w:rsidR="00D70201" w:rsidRDefault="00A44DAC" w:rsidP="00B96380">
      <w:r w:rsidRPr="00D70201">
        <w:rPr>
          <w:rFonts w:eastAsia="Calibri"/>
        </w:rPr>
        <w:t xml:space="preserve">Ekspertutvalgets </w:t>
      </w:r>
      <w:r w:rsidR="7758C90F" w:rsidRPr="00D70201">
        <w:rPr>
          <w:rFonts w:eastAsia="Calibri"/>
        </w:rPr>
        <w:t>medlem</w:t>
      </w:r>
      <w:r w:rsidRPr="00D70201">
        <w:rPr>
          <w:rFonts w:eastAsia="Calibri"/>
        </w:rPr>
        <w:t xml:space="preserve"> Grønvold </w:t>
      </w:r>
      <w:r w:rsidR="004907F4">
        <w:rPr>
          <w:rFonts w:eastAsia="Calibri"/>
        </w:rPr>
        <w:t>påpeker</w:t>
      </w:r>
      <w:r w:rsidR="004907F4" w:rsidRPr="00D70201">
        <w:rPr>
          <w:rFonts w:eastAsia="Calibri"/>
        </w:rPr>
        <w:t xml:space="preserve"> </w:t>
      </w:r>
      <w:r w:rsidR="00DD1FA5" w:rsidRPr="00D70201">
        <w:rPr>
          <w:rFonts w:eastAsia="Calibri"/>
        </w:rPr>
        <w:t xml:space="preserve">samtidig </w:t>
      </w:r>
      <w:r w:rsidR="004907F4">
        <w:rPr>
          <w:rFonts w:eastAsia="Calibri"/>
        </w:rPr>
        <w:t xml:space="preserve">muligheten </w:t>
      </w:r>
      <w:r w:rsidR="00E8102F" w:rsidRPr="00D70201">
        <w:rPr>
          <w:rFonts w:eastAsia="Calibri"/>
        </w:rPr>
        <w:t xml:space="preserve">for </w:t>
      </w:r>
      <w:r w:rsidR="00DD1FA5" w:rsidRPr="00D70201">
        <w:rPr>
          <w:rFonts w:eastAsia="Calibri"/>
        </w:rPr>
        <w:t xml:space="preserve">å utvikle og øke bruken av </w:t>
      </w:r>
      <w:r w:rsidR="00E8102F" w:rsidRPr="00D70201">
        <w:rPr>
          <w:rFonts w:eastAsia="Calibri"/>
        </w:rPr>
        <w:t xml:space="preserve">ordninger som </w:t>
      </w:r>
      <w:r w:rsidR="00DD1FA5" w:rsidRPr="00D70201">
        <w:rPr>
          <w:rFonts w:eastAsia="Calibri"/>
        </w:rPr>
        <w:t xml:space="preserve">gir næringsdrivende fastleger </w:t>
      </w:r>
      <w:r w:rsidR="001A5838" w:rsidRPr="00D70201">
        <w:rPr>
          <w:rFonts w:eastAsia="Calibri"/>
        </w:rPr>
        <w:t xml:space="preserve">enkel </w:t>
      </w:r>
      <w:r w:rsidR="00DD1FA5" w:rsidRPr="00D70201">
        <w:t xml:space="preserve">tilgang til </w:t>
      </w:r>
      <w:r w:rsidR="00E8102F" w:rsidRPr="00D70201">
        <w:t>fastlegehjemmel</w:t>
      </w:r>
      <w:r w:rsidR="00DD1FA5" w:rsidRPr="00D70201">
        <w:t xml:space="preserve"> og kontor,</w:t>
      </w:r>
      <w:r w:rsidR="00E8102F" w:rsidRPr="00D70201">
        <w:t xml:space="preserve"> </w:t>
      </w:r>
      <w:r w:rsidR="00DD1FA5" w:rsidRPr="00D70201">
        <w:lastRenderedPageBreak/>
        <w:t>uten samtidig å måtte kjøpe og eie egen praksis</w:t>
      </w:r>
      <w:r w:rsidR="00E8102F" w:rsidRPr="00D70201">
        <w:t>.</w:t>
      </w:r>
      <w:r w:rsidR="00DD1FA5" w:rsidRPr="00D70201">
        <w:t xml:space="preserve"> </w:t>
      </w:r>
      <w:r w:rsidR="00E8102F" w:rsidRPr="00D70201">
        <w:t>Dette kan eksempelvis organiseres i form av økt bruk av kommunalt fastlegekontor</w:t>
      </w:r>
      <w:r w:rsidR="00A90143" w:rsidRPr="00D70201">
        <w:t xml:space="preserve">, </w:t>
      </w:r>
      <w:r w:rsidR="00E8102F" w:rsidRPr="00D70201">
        <w:t xml:space="preserve">jf. </w:t>
      </w:r>
      <w:r w:rsidR="00A90143" w:rsidRPr="00D70201">
        <w:t>kapittel 4.7.4.3.</w:t>
      </w:r>
    </w:p>
    <w:p w14:paraId="2B7D8EA0" w14:textId="0016CAB0" w:rsidR="00A44DAC" w:rsidRDefault="00A44DAC" w:rsidP="00B96380">
      <w:pPr>
        <w:rPr>
          <w:rFonts w:eastAsia="Calibri"/>
        </w:rPr>
      </w:pPr>
      <w:r w:rsidRPr="446B5395">
        <w:rPr>
          <w:rFonts w:eastAsia="Calibri"/>
        </w:rPr>
        <w:t xml:space="preserve">Ekspertutvalget </w:t>
      </w:r>
      <w:r>
        <w:rPr>
          <w:rFonts w:eastAsia="Calibri"/>
        </w:rPr>
        <w:t>mener</w:t>
      </w:r>
      <w:r w:rsidRPr="446B5395">
        <w:rPr>
          <w:rFonts w:eastAsia="Calibri"/>
        </w:rPr>
        <w:t xml:space="preserve"> at </w:t>
      </w:r>
      <w:r>
        <w:rPr>
          <w:rFonts w:eastAsia="Calibri"/>
        </w:rPr>
        <w:t xml:space="preserve">ordningen for praksisoverdragelser mellom næringsdrivende fastleger </w:t>
      </w:r>
      <w:r w:rsidRPr="446B5395">
        <w:rPr>
          <w:rFonts w:eastAsia="Calibri"/>
        </w:rPr>
        <w:t>er et trykkende punkt i fastlegeordningen</w:t>
      </w:r>
      <w:r>
        <w:rPr>
          <w:rFonts w:eastAsia="Calibri"/>
        </w:rPr>
        <w:t>. Ekspertutvalget</w:t>
      </w:r>
      <w:r w:rsidR="002E6C32">
        <w:rPr>
          <w:rFonts w:eastAsia="Calibri"/>
        </w:rPr>
        <w:t>,</w:t>
      </w:r>
      <w:r>
        <w:rPr>
          <w:rFonts w:eastAsia="Calibri"/>
        </w:rPr>
        <w:t xml:space="preserve"> med unntak av Sakshaug</w:t>
      </w:r>
      <w:r w:rsidR="002E6C32">
        <w:rPr>
          <w:rFonts w:eastAsia="Calibri"/>
        </w:rPr>
        <w:t>,</w:t>
      </w:r>
      <w:r>
        <w:rPr>
          <w:rFonts w:eastAsia="Calibri"/>
        </w:rPr>
        <w:t xml:space="preserve"> anbefaler at </w:t>
      </w:r>
      <w:r w:rsidRPr="446B5395">
        <w:rPr>
          <w:rFonts w:eastAsia="Calibri"/>
        </w:rPr>
        <w:t xml:space="preserve">det raskest mulig må </w:t>
      </w:r>
      <w:r>
        <w:rPr>
          <w:rFonts w:eastAsia="Calibri"/>
        </w:rPr>
        <w:t xml:space="preserve">gjøres </w:t>
      </w:r>
      <w:r w:rsidRPr="446B5395">
        <w:rPr>
          <w:rFonts w:eastAsia="Calibri"/>
        </w:rPr>
        <w:t xml:space="preserve">endring i forskrift slik at flere leger </w:t>
      </w:r>
      <w:r>
        <w:rPr>
          <w:rFonts w:eastAsia="Calibri"/>
        </w:rPr>
        <w:t xml:space="preserve">raskere </w:t>
      </w:r>
      <w:r w:rsidRPr="446B5395">
        <w:rPr>
          <w:rFonts w:eastAsia="Calibri"/>
        </w:rPr>
        <w:t xml:space="preserve">kan få tilgang til å jobbe med de </w:t>
      </w:r>
      <w:r w:rsidR="00680426">
        <w:rPr>
          <w:rFonts w:eastAsia="Calibri"/>
        </w:rPr>
        <w:t>hjemlene</w:t>
      </w:r>
      <w:r w:rsidR="00680426" w:rsidRPr="446B5395">
        <w:rPr>
          <w:rFonts w:eastAsia="Calibri"/>
        </w:rPr>
        <w:t xml:space="preserve"> </w:t>
      </w:r>
      <w:r w:rsidRPr="446B5395">
        <w:rPr>
          <w:rFonts w:eastAsia="Calibri"/>
        </w:rPr>
        <w:t>som andre leger fratrer</w:t>
      </w:r>
      <w:r>
        <w:rPr>
          <w:rFonts w:eastAsia="Calibri"/>
        </w:rPr>
        <w:t xml:space="preserve">, </w:t>
      </w:r>
      <w:r w:rsidRPr="446B5395">
        <w:rPr>
          <w:rFonts w:eastAsia="Calibri"/>
        </w:rPr>
        <w:t xml:space="preserve">igjen slik at </w:t>
      </w:r>
      <w:r w:rsidR="00BE7077">
        <w:rPr>
          <w:rFonts w:eastAsia="Calibri"/>
        </w:rPr>
        <w:t>listeinnbyggere</w:t>
      </w:r>
      <w:r w:rsidR="00BE7077" w:rsidRPr="446B5395">
        <w:rPr>
          <w:rFonts w:eastAsia="Calibri"/>
        </w:rPr>
        <w:t xml:space="preserve"> </w:t>
      </w:r>
      <w:r w:rsidRPr="446B5395">
        <w:rPr>
          <w:rFonts w:eastAsia="Calibri"/>
        </w:rPr>
        <w:t>ikke blir stående uten fastlege på grunn av næringsinteresser hos fratredende lege.</w:t>
      </w:r>
    </w:p>
    <w:p w14:paraId="0AD55729" w14:textId="44BA71A2" w:rsidR="00A44DAC" w:rsidRPr="00775632" w:rsidRDefault="00A44DAC" w:rsidP="00B96380">
      <w:r w:rsidRPr="00131464">
        <w:rPr>
          <w:rFonts w:eastAsia="Calibri"/>
        </w:rPr>
        <w:t xml:space="preserve">For å få flere leger </w:t>
      </w:r>
      <w:r>
        <w:rPr>
          <w:rFonts w:eastAsia="Calibri"/>
        </w:rPr>
        <w:t xml:space="preserve">raskt </w:t>
      </w:r>
      <w:r w:rsidRPr="00131464">
        <w:rPr>
          <w:rFonts w:eastAsia="Calibri"/>
        </w:rPr>
        <w:t xml:space="preserve">inn i fastlegeordningen, </w:t>
      </w:r>
      <w:r>
        <w:rPr>
          <w:rFonts w:eastAsia="Calibri"/>
        </w:rPr>
        <w:t xml:space="preserve">anbefaler ekspertutvalget at det innføres </w:t>
      </w:r>
      <w:r w:rsidRPr="00775632">
        <w:t>et midlertidig rekrutteringsstilskudd i størrelsesorden 30</w:t>
      </w:r>
      <w:r w:rsidR="00D9107F" w:rsidRPr="00775632">
        <w:t>0 000 kroner</w:t>
      </w:r>
      <w:r w:rsidRPr="00775632">
        <w:t xml:space="preserve"> til nye fastleger, i kommuner med </w:t>
      </w:r>
      <w:r w:rsidR="00C721AB" w:rsidRPr="00775632">
        <w:t xml:space="preserve">særlige </w:t>
      </w:r>
      <w:r w:rsidRPr="00775632">
        <w:t>rekrutteringsvansker. Se beskrivelse i kap</w:t>
      </w:r>
      <w:r w:rsidR="00E32627" w:rsidRPr="00775632">
        <w:t>ittel 5.7.1.</w:t>
      </w:r>
    </w:p>
    <w:p w14:paraId="03BB5E39" w14:textId="06936D48" w:rsidR="00D9107F" w:rsidRDefault="008F6763" w:rsidP="0040712A">
      <w:pPr>
        <w:pStyle w:val="tittel-ramme"/>
        <w:jc w:val="left"/>
        <w:rPr>
          <w:rStyle w:val="kursiv"/>
        </w:rPr>
      </w:pPr>
      <w:bookmarkStart w:id="2211" w:name="_Toc126834355"/>
      <w:bookmarkStart w:id="2212" w:name="_Toc127633230"/>
      <w:bookmarkStart w:id="2213" w:name="_Toc127864516"/>
      <w:bookmarkStart w:id="2214" w:name="_Toc128238524"/>
      <w:bookmarkStart w:id="2215" w:name="_Toc128741995"/>
      <w:bookmarkStart w:id="2216" w:name="_Toc128744590"/>
      <w:bookmarkStart w:id="2217" w:name="_Toc128744809"/>
      <w:bookmarkStart w:id="2218" w:name="_Toc129630311"/>
      <w:r w:rsidRPr="00D9107F">
        <w:rPr>
          <w:rStyle w:val="kursiv"/>
        </w:rPr>
        <w:t>Om fastlegeavtaler og reglene om offentlige anskaffelser</w:t>
      </w:r>
    </w:p>
    <w:tbl>
      <w:tblPr>
        <w:tblStyle w:val="StandardBoks"/>
        <w:tblW w:w="0" w:type="auto"/>
        <w:tblLook w:val="04A0" w:firstRow="1" w:lastRow="0" w:firstColumn="1" w:lastColumn="0" w:noHBand="0" w:noVBand="1"/>
      </w:tblPr>
      <w:tblGrid>
        <w:gridCol w:w="9736"/>
      </w:tblGrid>
      <w:tr w:rsidR="0040712A" w14:paraId="05D3220F" w14:textId="77777777" w:rsidTr="0040712A">
        <w:tc>
          <w:tcPr>
            <w:tcW w:w="9736" w:type="dxa"/>
          </w:tcPr>
          <w:p w14:paraId="590FA2F9" w14:textId="0BDF336F" w:rsidR="0040712A" w:rsidRPr="00C46114" w:rsidRDefault="0040712A" w:rsidP="0040712A">
            <w:r w:rsidRPr="00C46114">
              <w:t xml:space="preserve">Den næringsdrivende fastlegen anses som en privat tjenesteyter, som kommunen har inngått avtale med. Når kommunen inngår slike avtaler, vil avtalene i utgangspunktet falle inn under reglene om offentlige anskaffelser, jf. anskaffelsesloven § 2 </w:t>
            </w:r>
            <w:r w:rsidRPr="00C46114">
              <w:fldChar w:fldCharType="begin"/>
            </w:r>
            <w:r w:rsidRPr="00C46114">
              <w:instrText xml:space="preserve"> ADDIN EN.CITE &lt;EndNote&gt;&lt;Cite ExcludeAuth="1"&gt;&lt;Year&gt;2017&lt;/Year&gt;&lt;RecNum&gt;471&lt;/RecNum&gt;&lt;DisplayText&gt;(&lt;style face="italic"&gt;Lov om offentlige anskaffelser (anskaffelsesloven)&lt;/style&gt;, 2017)&lt;/DisplayText&gt;&lt;record&gt;&lt;rec-number&gt;471&lt;/rec-number&gt;&lt;foreign-keys&gt;&lt;key app="EN" db-id="95tpr2tp6r9xwoea9rb5wdsz5ds5xeddteew" timestamp="1680069511"&gt;471&lt;/key&gt;&lt;/foreign-keys&gt;&lt;ref-type name="Legal Rule or Regulation"&gt;50&lt;/ref-type&gt;&lt;contributors&gt;&lt;/contributors&gt;&lt;titles&gt;&lt;title&gt;Lov om offentlige anskaffelser (anskaffelsesloven)&lt;/title&gt;&lt;secondary-title&gt;LOV-2016-06-17-73&lt;/secondary-title&gt;&lt;/titles&gt;&lt;edition&gt;LOV-2017-04-21-18&lt;/edition&gt;&lt;dates&gt;&lt;year&gt;2017&lt;/year&gt;&lt;/dates&gt;&lt;urls&gt;&lt;related-urls&gt;&lt;url&gt;https://lovdata.no/dokument/NL/lov/2016-06-17-73&lt;/url&gt;&lt;/related-urls&gt;&lt;/urls&gt;&lt;/record&gt;&lt;/Cite&gt;&lt;/EndNote&gt;</w:instrText>
            </w:r>
            <w:r w:rsidRPr="00C46114">
              <w:fldChar w:fldCharType="separate"/>
            </w:r>
            <w:r w:rsidRPr="00C46114">
              <w:rPr>
                <w:noProof/>
              </w:rPr>
              <w:t>(</w:t>
            </w:r>
            <w:r w:rsidRPr="00C46114">
              <w:rPr>
                <w:i/>
                <w:noProof/>
              </w:rPr>
              <w:t>Lov om offentlige anskaffelser (anskaffelsesloven)</w:t>
            </w:r>
            <w:r w:rsidRPr="00C46114">
              <w:rPr>
                <w:noProof/>
              </w:rPr>
              <w:t>, 2017)</w:t>
            </w:r>
            <w:r w:rsidRPr="00C46114">
              <w:fldChar w:fldCharType="end"/>
            </w:r>
            <w:r w:rsidRPr="00C46114">
              <w:t>.</w:t>
            </w:r>
          </w:p>
          <w:p w14:paraId="47EBFDDA" w14:textId="77777777" w:rsidR="0040712A" w:rsidRPr="00C46114" w:rsidRDefault="0040712A" w:rsidP="0040712A">
            <w:r w:rsidRPr="00C46114">
              <w:t>Utvalget har sett nærmere på spørsmålet om hvordan reglene om offentlige anskaffelser påvirker kommunens inngåelse av fastlegeavtaler. Forholdet til anskaffelsesreglene ser ikke ut til å være løftet i fastlegeforskriften, i forarbeidene til helse- og omsorgstjenesteloven, eller i rammeavtalen mellom Legeforeningen og KS. Fastlegetjenester er heller ikke omtalt i DFØ</w:t>
            </w:r>
            <w:r>
              <w:t>'</w:t>
            </w:r>
            <w:r w:rsidRPr="00C46114">
              <w:t xml:space="preserve">s veileder for anskaffelser av helse- og sosialtjenester, som blant annet nevner flere andre kommunale helse- og omsorgstjenester, som sykehjem, hjemmesykepleie og BPA </w:t>
            </w:r>
            <w:r w:rsidRPr="00C46114">
              <w:fldChar w:fldCharType="begin"/>
            </w:r>
            <w:r>
              <w:instrText xml:space="preserve"> ADDIN EN.CITE &lt;EndNote&gt;&lt;Cite ExcludeYear="1"&gt;&lt;Author&gt;Anskaffelser.no&lt;/Author&gt;&lt;RecNum&gt;828&lt;/RecNum&gt;&lt;DisplayText&gt;(Anskaffelser.no)&lt;/DisplayText&gt;&lt;record&gt;&lt;rec-number&gt;828&lt;/rec-number&gt;&lt;foreign-keys&gt;&lt;key app="EN" db-id="95tpr2tp6r9xwoea9rb5wdsz5ds5xeddteew" timestamp="1680069511"&gt;828&lt;/key&gt;&lt;/foreign-keys&gt;&lt;ref-type name="Web Page"&gt;12&lt;/ref-type&gt;&lt;contributors&gt;&lt;authors&gt;&lt;author&gt;Anskaffelser.no&lt;/author&gt;&lt;/authors&gt;&lt;/contributors&gt;&lt;titles&gt;&lt;title&gt;Tjenestespesifikk veileder om anskaffelse av helse- og sosialtjenester&lt;/title&gt;&lt;/titles&gt;&lt;number&gt;14.03.23&lt;/number&gt;&lt;dates&gt;&lt;pub-dates&gt;&lt;date&gt;12. desember 2022&lt;/date&gt;&lt;/pub-dates&gt;&lt;/dates&gt;&lt;pub-location&gt;Oslo&lt;/pub-location&gt;&lt;publisher&gt;Direktoratet for forvaltning og økonomistyring&lt;/publisher&gt;&lt;work-type&gt;nettdokument&lt;/work-type&gt;&lt;urls&gt;&lt;/urls&gt;&lt;/record&gt;&lt;/Cite&gt;&lt;/EndNote&gt;</w:instrText>
            </w:r>
            <w:r w:rsidRPr="00C46114">
              <w:fldChar w:fldCharType="separate"/>
            </w:r>
            <w:r w:rsidRPr="00C46114">
              <w:rPr>
                <w:noProof/>
              </w:rPr>
              <w:t>(Anskaffelser.no)</w:t>
            </w:r>
            <w:r w:rsidRPr="00C46114">
              <w:fldChar w:fldCharType="end"/>
            </w:r>
            <w:r>
              <w:t>.</w:t>
            </w:r>
          </w:p>
          <w:p w14:paraId="43767467" w14:textId="77777777" w:rsidR="0040712A" w:rsidRPr="00C46114" w:rsidRDefault="0040712A" w:rsidP="0040712A">
            <w:r w:rsidRPr="00C46114">
              <w:t xml:space="preserve">I brev av 16. mars 2003 vurderte Nærings- og handelsdepartementet at en avtale om driftstilskudd med privatpraktiserende fysioterapeuter var å anse som en tjenestekonsesjonskontrakt, som i 2003 ikke var omfattet av anskaffelsesforskriften </w:t>
            </w:r>
            <w:r w:rsidRPr="00C46114">
              <w:fldChar w:fldCharType="begin"/>
            </w:r>
            <w:r>
              <w:instrText xml:space="preserve"> ADDIN EN.CITE &lt;EndNote&gt;&lt;Cite ExcludeYear="1"&gt;&lt;Author&gt;Hellesylt&lt;/Author&gt;&lt;RecNum&gt;41&lt;/RecNum&gt;&lt;DisplayText&gt;(Hellesylt et al.)&lt;/DisplayText&gt;&lt;record&gt;&lt;rec-number&gt;41&lt;/rec-number&gt;&lt;foreign-keys&gt;&lt;key app="EN" db-id="95tpr2tp6r9xwoea9rb5wdsz5ds5xeddteew" timestamp="1680069511"&gt;41&lt;/key&gt;&lt;/foreign-keys&gt;&lt;ref-type name="Report"&gt;27&lt;/ref-type&gt;&lt;contributors&gt;&lt;authors&gt;&lt;author&gt;Pål Hellesylt&lt;/author&gt;&lt;author&gt;Johan Henrik Bjørge &lt;/author&gt;&lt;/authors&gt;&lt;tertiary-authors&gt;&lt;author&gt;Nærings- og handelsdepartementet,&lt;/author&gt;&lt;/tertiary-authors&gt;&lt;/contributors&gt;&lt;titles&gt;&lt;title&gt;Anmodning om å vurdere om anskaffelsesreglene kommer til anvendelse, når det skal inngås avtale om driftstilskudd med privatpraktiserende fysioterapeut [brev til Oslo kommune]&lt;/title&gt;&lt;/titles&gt;&lt;dates&gt;&lt;pub-dates&gt;&lt;date&gt;16.03.23&lt;/date&gt;&lt;/pub-dates&gt;&lt;/dates&gt;&lt;urls&gt;&lt;/urls&gt;&lt;/record&gt;&lt;/Cite&gt;&lt;/EndNote&gt;</w:instrText>
            </w:r>
            <w:r w:rsidRPr="00C46114">
              <w:fldChar w:fldCharType="separate"/>
            </w:r>
            <w:r>
              <w:rPr>
                <w:noProof/>
              </w:rPr>
              <w:t>(Hellesylt et al.)</w:t>
            </w:r>
            <w:r w:rsidRPr="00C46114">
              <w:fldChar w:fldCharType="end"/>
            </w:r>
            <w:r w:rsidRPr="00C46114">
              <w:t xml:space="preserve">. Siden den gang har det kommet egne regler om slike konsesjonskontrakter i en egen forskrift </w:t>
            </w:r>
            <w:r w:rsidRPr="00C46114">
              <w:fldChar w:fldCharType="begin"/>
            </w:r>
            <w:r w:rsidRPr="00C46114">
              <w:instrText xml:space="preserve"> ADDIN EN.CITE &lt;EndNote&gt;&lt;Cite ExcludeAuth="1"&gt;&lt;Year&gt;2016&lt;/Year&gt;&lt;RecNum&gt;258&lt;/RecNum&gt;&lt;DisplayText&gt;(&lt;style face="italic"&gt;Forskrift om konsesjonskontrakter (konsesjonskontraktforskriften)&lt;/style&gt;, 2016)&lt;/DisplayText&gt;&lt;record&gt;&lt;rec-number&gt;258&lt;/rec-number&gt;&lt;foreign-keys&gt;&lt;key app="EN" db-id="95tpr2tp6r9xwoea9rb5wdsz5ds5xeddteew" timestamp="1680069511"&gt;258&lt;/key&gt;&lt;/foreign-keys&gt;&lt;ref-type name="Legal Rule or Regulation"&gt;50&lt;/ref-type&gt;&lt;contributors&gt;&lt;/contributors&gt;&lt;titles&gt;&lt;title&gt;Forskrift om konsesjonskontrakter (konsesjonskontraktforskriften)&lt;/title&gt;&lt;secondary-title&gt;FOR-2016-08-12-976&lt;/secondary-title&gt;&lt;/titles&gt;&lt;edition&gt;FOR-2022-03-18-442&lt;/edition&gt;&lt;dates&gt;&lt;year&gt;2016&lt;/year&gt;&lt;/dates&gt;&lt;urls&gt;&lt;related-urls&gt;&lt;url&gt;https://lovdata.no/dokument/SF/forskrift/2016-08-12-976?q=Konsesjonskontraktforskriften&lt;/url&gt;&lt;/related-urls&gt;&lt;/urls&gt;&lt;/record&gt;&lt;/Cite&gt;&lt;/EndNote&gt;</w:instrText>
            </w:r>
            <w:r w:rsidRPr="00C46114">
              <w:fldChar w:fldCharType="separate"/>
            </w:r>
            <w:r w:rsidRPr="00C46114">
              <w:rPr>
                <w:noProof/>
              </w:rPr>
              <w:t>(</w:t>
            </w:r>
            <w:r w:rsidRPr="00C46114">
              <w:rPr>
                <w:i/>
                <w:noProof/>
              </w:rPr>
              <w:t>Forskrift om konsesjonskontrakter (konsesjonskontraktforskriften)</w:t>
            </w:r>
            <w:r w:rsidRPr="00C46114">
              <w:rPr>
                <w:noProof/>
              </w:rPr>
              <w:t>, 2016)</w:t>
            </w:r>
            <w:r w:rsidRPr="00C46114">
              <w:fldChar w:fldCharType="end"/>
            </w:r>
            <w:r w:rsidRPr="00C46114">
              <w:t>. Forskriften definerer konsesjonskontrakter i § 1-2 som "</w:t>
            </w:r>
            <w:r w:rsidRPr="00C46114">
              <w:rPr>
                <w:i/>
                <w:iCs/>
              </w:rPr>
              <w:t>en tjenestekontrakt eller en bygge- og anleggskontrakt der vederlaget består enten utelukkende av retten til å utnytte tjenestene eller bygge- og anleggsarbeidene eller en slik rett sammen med betaling, og der driftsrisikoen er overført fra oppdragsgiveren til leverandøren.</w:t>
            </w:r>
            <w:r w:rsidRPr="00C46114">
              <w:t>"</w:t>
            </w:r>
          </w:p>
          <w:p w14:paraId="325C75F3" w14:textId="77777777" w:rsidR="0040712A" w:rsidRPr="00C46114" w:rsidRDefault="0040712A" w:rsidP="0040712A">
            <w:r w:rsidRPr="00C46114">
              <w:t xml:space="preserve">Det er vanskelig å se at definisjonen ikke skulle omfatte fastlegeavtaler. Ved tildeling av hjemmel får fastlegen en rett til å yte tjenester til et bestemt antall innbyggere, og </w:t>
            </w:r>
            <w:r w:rsidRPr="00C46114">
              <w:lastRenderedPageBreak/>
              <w:t>vederlaget fastlegen mottar er avhengig av at innbyggerne faktisk velger fastlegen som sin faste lege og faktisk oppsøker fastlegen for helsehjelp. At Nærings- og handelsdepartementet har konkludert med at avtale mellom kommunen og næringsdrivende fysioterapeuter som mottar driftstilskudd, anses som en tjenestekonsesjonskontrakt, taler også for at fastlegeavtaler anses som dette.</w:t>
            </w:r>
          </w:p>
          <w:p w14:paraId="2025BFA6" w14:textId="77777777" w:rsidR="0040712A" w:rsidRPr="00C46114" w:rsidRDefault="0040712A" w:rsidP="0040712A">
            <w:r w:rsidRPr="00C46114">
              <w:t xml:space="preserve">Anskaffelser over EØS-terskelverdien på 51 millioner kroner må blant annet kunngjøres i Doffin på norsk og ett av de offisielle EU-språkene, jf. konsesjonskontraktforskriften § 14-3, jf. § 9-2. Kontraktens verdi skal baseres på leverandørens forventede samlede omsetning i kontraktens varighet eksl. mva., jf. § 5-2. For fastlegeavtaler, vil det i utgangspunktet kunne innebære at samlet omsetning vurderes i perioden </w:t>
            </w:r>
            <w:r>
              <w:t>fram</w:t>
            </w:r>
            <w:r w:rsidRPr="00C46114">
              <w:t xml:space="preserve"> til legen fyller 70 år, da dette er tidspunktet der fastlegeavtalen som hovedregel opphører, jf. fastlegeforskriften § 32.</w:t>
            </w:r>
          </w:p>
          <w:p w14:paraId="63360B02" w14:textId="77777777" w:rsidR="0040712A" w:rsidRPr="00C46114" w:rsidRDefault="0040712A" w:rsidP="0040712A">
            <w:r w:rsidRPr="00C46114">
              <w:t xml:space="preserve">Det følger av rammeavtalen (ASA 4310) punkt 5.4 at kunngjøring av fastlegehjemler skal skje i Tidsskrift for Den norske legeforening og/eller i landsdekkende avis o.l med minst tre ukers søknadsfrist. Det </w:t>
            </w:r>
            <w:r>
              <w:t>fram</w:t>
            </w:r>
            <w:r w:rsidRPr="00C46114">
              <w:t>kommer ikke av rammeavtalen at reglene i konsesjonskontraktforskriften skal følges, men dette kan henge sammen med at innholdet i rammeavtalen ikke er endret siden 2013–2014, og konsesjonskontraktforskriften trådte i kraft i 2017. Etter hva utvalget er kjent med, lyses ikke fastlegehjemler ut på Doffin i dag.</w:t>
            </w:r>
          </w:p>
          <w:p w14:paraId="38CF5A97" w14:textId="75468DF0" w:rsidR="0040712A" w:rsidRDefault="0040712A" w:rsidP="0040712A">
            <w:r w:rsidRPr="00C46114">
              <w:t>De øvrige kravene i konsesjonskontraktforskriften kapittel 14 til konkurranse, valg av leverandør, begrunnelse mv., anses i all hovedsak å ligge på et nivå som samsvarer med kravene som allerede stilles i fastlegeforskriften og rammeavtalen (ASA 4310). Det kan likevel være behov for en nærmere vurdering av kommunens inngåelse av fastlegeavtaler opp mot reglene for offentlige anskaffelser.</w:t>
            </w:r>
          </w:p>
        </w:tc>
      </w:tr>
    </w:tbl>
    <w:p w14:paraId="02A0E76A" w14:textId="0D8A7589" w:rsidR="00F052F9" w:rsidRDefault="00F052F9" w:rsidP="00775632">
      <w:pPr>
        <w:pStyle w:val="Overskrift1"/>
      </w:pPr>
      <w:bookmarkStart w:id="2219" w:name="_Toc131063690"/>
      <w:bookmarkStart w:id="2220" w:name="_Toc131238410"/>
      <w:bookmarkStart w:id="2221" w:name="_Toc131279441"/>
      <w:bookmarkStart w:id="2222" w:name="_Toc131286853"/>
      <w:bookmarkStart w:id="2223" w:name="_Toc131281263"/>
      <w:bookmarkStart w:id="2224" w:name="_Toc131317803"/>
      <w:bookmarkStart w:id="2225" w:name="_Toc132536975"/>
      <w:r>
        <w:lastRenderedPageBreak/>
        <w:t>Finansiering</w:t>
      </w:r>
      <w:bookmarkEnd w:id="2219"/>
      <w:bookmarkEnd w:id="2220"/>
      <w:bookmarkEnd w:id="2221"/>
      <w:bookmarkEnd w:id="2222"/>
      <w:bookmarkEnd w:id="2223"/>
      <w:bookmarkEnd w:id="2224"/>
      <w:bookmarkEnd w:id="2225"/>
      <w:r w:rsidRPr="008737C9">
        <w:t xml:space="preserve"> </w:t>
      </w:r>
    </w:p>
    <w:p w14:paraId="4CFD67DC" w14:textId="541C9150" w:rsidR="00294054" w:rsidRDefault="00294054" w:rsidP="00775632">
      <w:pPr>
        <w:pStyle w:val="Overskrift2"/>
      </w:pPr>
      <w:bookmarkStart w:id="2226" w:name="_Toc129630312"/>
      <w:bookmarkStart w:id="2227" w:name="_Toc130763815"/>
      <w:bookmarkStart w:id="2228" w:name="_Toc130766710"/>
      <w:bookmarkStart w:id="2229" w:name="_Toc130932110"/>
      <w:bookmarkStart w:id="2230" w:name="_Toc130934401"/>
      <w:bookmarkStart w:id="2231" w:name="_Toc130983484"/>
      <w:bookmarkStart w:id="2232" w:name="_Toc130983833"/>
      <w:bookmarkStart w:id="2233" w:name="_Toc131062155"/>
      <w:bookmarkStart w:id="2234" w:name="_Toc131062409"/>
      <w:bookmarkStart w:id="2235" w:name="_Toc131062670"/>
      <w:bookmarkStart w:id="2236" w:name="_Toc131062923"/>
      <w:bookmarkStart w:id="2237" w:name="_Toc131063691"/>
      <w:bookmarkStart w:id="2238" w:name="_Toc131064116"/>
      <w:bookmarkStart w:id="2239" w:name="_Toc131238411"/>
      <w:bookmarkStart w:id="2240" w:name="_Toc131279442"/>
      <w:bookmarkStart w:id="2241" w:name="_Toc131286854"/>
      <w:bookmarkStart w:id="2242" w:name="_Toc131281264"/>
      <w:bookmarkStart w:id="2243" w:name="_Toc131317804"/>
      <w:bookmarkStart w:id="2244" w:name="_Toc132536976"/>
      <w:bookmarkStart w:id="2245" w:name="_Toc126834356"/>
      <w:bookmarkStart w:id="2246" w:name="_Toc127633231"/>
      <w:bookmarkStart w:id="2247" w:name="_Toc127864517"/>
      <w:bookmarkStart w:id="2248" w:name="_Toc128238525"/>
      <w:bookmarkStart w:id="2249" w:name="_Toc128741996"/>
      <w:bookmarkStart w:id="2250" w:name="_Toc128744591"/>
      <w:bookmarkStart w:id="2251" w:name="_Toc128744810"/>
      <w:bookmarkEnd w:id="2211"/>
      <w:bookmarkEnd w:id="2212"/>
      <w:bookmarkEnd w:id="2213"/>
      <w:bookmarkEnd w:id="2214"/>
      <w:bookmarkEnd w:id="2215"/>
      <w:bookmarkEnd w:id="2216"/>
      <w:bookmarkEnd w:id="2217"/>
      <w:bookmarkEnd w:id="2218"/>
      <w:r>
        <w:t>Ekspertutvalgets anbefaling</w:t>
      </w:r>
      <w:bookmarkEnd w:id="2226"/>
      <w:r w:rsidR="00F23006">
        <w:t>er</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7D0F35EA" w14:textId="77777777" w:rsidR="00D9107F" w:rsidRDefault="3D8E3BAB" w:rsidP="00B96380">
      <w:pPr>
        <w:rPr>
          <w:rFonts w:eastAsia="Calibri"/>
        </w:rPr>
      </w:pPr>
      <w:r>
        <w:rPr>
          <w:rFonts w:eastAsia="Calibri"/>
        </w:rPr>
        <w:t>Ekspertutvalget</w:t>
      </w:r>
      <w:r w:rsidR="7E8CE0C8">
        <w:rPr>
          <w:rFonts w:eastAsia="Calibri"/>
        </w:rPr>
        <w:t>s</w:t>
      </w:r>
      <w:r w:rsidR="00C227E7">
        <w:rPr>
          <w:rFonts w:eastAsia="Calibri"/>
        </w:rPr>
        <w:t xml:space="preserve"> </w:t>
      </w:r>
      <w:r w:rsidR="7E8CE0C8">
        <w:rPr>
          <w:rFonts w:eastAsia="Calibri"/>
        </w:rPr>
        <w:t>flertall</w:t>
      </w:r>
      <w:r>
        <w:rPr>
          <w:rFonts w:eastAsia="Calibri"/>
        </w:rPr>
        <w:t xml:space="preserve"> </w:t>
      </w:r>
      <w:r w:rsidR="00C227E7">
        <w:rPr>
          <w:rFonts w:eastAsia="Calibri"/>
        </w:rPr>
        <w:t xml:space="preserve">anbefaler at </w:t>
      </w:r>
      <w:r>
        <w:rPr>
          <w:rFonts w:eastAsia="Calibri"/>
        </w:rPr>
        <w:t>basis</w:t>
      </w:r>
      <w:r w:rsidR="00961D83">
        <w:rPr>
          <w:rFonts w:eastAsia="Calibri"/>
        </w:rPr>
        <w:t xml:space="preserve">tilskuddet </w:t>
      </w:r>
      <w:r w:rsidR="00831997">
        <w:rPr>
          <w:rFonts w:eastAsia="Calibri"/>
        </w:rPr>
        <w:t xml:space="preserve">økes til 50 prosent av </w:t>
      </w:r>
      <w:r w:rsidR="000E41EC">
        <w:rPr>
          <w:rFonts w:eastAsia="Calibri"/>
        </w:rPr>
        <w:t>fastlegenes</w:t>
      </w:r>
      <w:r w:rsidR="00C227E7">
        <w:rPr>
          <w:rFonts w:eastAsia="Calibri"/>
        </w:rPr>
        <w:t xml:space="preserve"> totale inntekt</w:t>
      </w:r>
      <w:r w:rsidR="00F70CFD">
        <w:rPr>
          <w:rFonts w:eastAsia="Calibri"/>
        </w:rPr>
        <w:t>,</w:t>
      </w:r>
      <w:r w:rsidR="00C227E7">
        <w:rPr>
          <w:rFonts w:eastAsia="Calibri"/>
        </w:rPr>
        <w:t xml:space="preserve"> for </w:t>
      </w:r>
      <w:r w:rsidR="789498A2">
        <w:rPr>
          <w:rFonts w:eastAsia="Calibri"/>
        </w:rPr>
        <w:t xml:space="preserve">å </w:t>
      </w:r>
      <w:r w:rsidR="00C227E7">
        <w:rPr>
          <w:rFonts w:eastAsia="Calibri"/>
        </w:rPr>
        <w:t>styrke insentivene til å ta listeansvar.</w:t>
      </w:r>
    </w:p>
    <w:p w14:paraId="15C6607C" w14:textId="77777777" w:rsidR="00D9107F" w:rsidRDefault="0024512D" w:rsidP="00B96380">
      <w:pPr>
        <w:rPr>
          <w:rFonts w:eastAsia="Calibri"/>
        </w:rPr>
      </w:pPr>
      <w:r>
        <w:rPr>
          <w:rFonts w:eastAsia="Calibri"/>
        </w:rPr>
        <w:t>Ekspertutvalgets f</w:t>
      </w:r>
      <w:r w:rsidR="00AC5B25">
        <w:rPr>
          <w:rFonts w:eastAsia="Calibri"/>
        </w:rPr>
        <w:t>lertall vurderer at h</w:t>
      </w:r>
      <w:r w:rsidR="00C227E7">
        <w:rPr>
          <w:rFonts w:eastAsia="Calibri"/>
        </w:rPr>
        <w:t>øyere andel basistilskudd og til</w:t>
      </w:r>
      <w:r w:rsidR="00AB0EA2">
        <w:rPr>
          <w:rFonts w:eastAsia="Calibri"/>
        </w:rPr>
        <w:t>svarende</w:t>
      </w:r>
      <w:r w:rsidR="00C227E7">
        <w:rPr>
          <w:rFonts w:eastAsia="Calibri"/>
        </w:rPr>
        <w:t xml:space="preserve"> lavere takster, er nødvendig for å kunne innføre </w:t>
      </w:r>
      <w:r w:rsidR="00566AAA">
        <w:rPr>
          <w:rFonts w:eastAsia="Calibri"/>
        </w:rPr>
        <w:t xml:space="preserve">flere </w:t>
      </w:r>
      <w:r w:rsidR="00C227E7">
        <w:rPr>
          <w:rFonts w:eastAsia="Calibri"/>
        </w:rPr>
        <w:t xml:space="preserve">av </w:t>
      </w:r>
      <w:r w:rsidR="005752E4">
        <w:rPr>
          <w:rFonts w:eastAsia="Calibri"/>
        </w:rPr>
        <w:t xml:space="preserve">de andre </w:t>
      </w:r>
      <w:r w:rsidR="00C227E7">
        <w:rPr>
          <w:rFonts w:eastAsia="Calibri"/>
        </w:rPr>
        <w:t xml:space="preserve">tiltakene utvalget foreslår for å redusere arbeidsbelastningen </w:t>
      </w:r>
      <w:r w:rsidR="000A122B">
        <w:rPr>
          <w:rFonts w:eastAsia="Calibri"/>
        </w:rPr>
        <w:t>til</w:t>
      </w:r>
      <w:r w:rsidR="00C227E7">
        <w:rPr>
          <w:rFonts w:eastAsia="Calibri"/>
        </w:rPr>
        <w:t xml:space="preserve"> fastlegene. </w:t>
      </w:r>
      <w:r w:rsidR="005A6475">
        <w:rPr>
          <w:rFonts w:eastAsia="Calibri"/>
        </w:rPr>
        <w:t>En økning i andelen</w:t>
      </w:r>
      <w:r w:rsidR="00C227E7">
        <w:rPr>
          <w:rFonts w:eastAsia="Calibri"/>
        </w:rPr>
        <w:t xml:space="preserve"> basistilskudd </w:t>
      </w:r>
      <w:r w:rsidR="007C0B97">
        <w:rPr>
          <w:rFonts w:eastAsia="Calibri"/>
        </w:rPr>
        <w:t xml:space="preserve">kan i større grad legge til rette for finansiering av </w:t>
      </w:r>
      <w:r w:rsidR="00C227E7">
        <w:rPr>
          <w:rFonts w:eastAsia="Calibri"/>
        </w:rPr>
        <w:t>annet helsepersonell</w:t>
      </w:r>
      <w:r w:rsidR="008B749B">
        <w:rPr>
          <w:rFonts w:eastAsia="Calibri"/>
        </w:rPr>
        <w:t>. Økt andel basistilskudd</w:t>
      </w:r>
      <w:r w:rsidR="00AB0EA2">
        <w:rPr>
          <w:rFonts w:eastAsia="Calibri"/>
        </w:rPr>
        <w:t>,</w:t>
      </w:r>
      <w:r w:rsidR="008B749B">
        <w:rPr>
          <w:rFonts w:eastAsia="Calibri"/>
        </w:rPr>
        <w:t xml:space="preserve"> </w:t>
      </w:r>
      <w:r>
        <w:rPr>
          <w:rFonts w:eastAsia="Calibri"/>
        </w:rPr>
        <w:t xml:space="preserve">med </w:t>
      </w:r>
      <w:r w:rsidR="00636C22">
        <w:rPr>
          <w:rFonts w:eastAsia="Calibri"/>
        </w:rPr>
        <w:t>ti</w:t>
      </w:r>
      <w:r w:rsidR="00AB0EA2">
        <w:rPr>
          <w:rFonts w:eastAsia="Calibri"/>
        </w:rPr>
        <w:t>lsvarende</w:t>
      </w:r>
      <w:r w:rsidR="00636C22">
        <w:rPr>
          <w:rFonts w:eastAsia="Calibri"/>
        </w:rPr>
        <w:t xml:space="preserve"> l</w:t>
      </w:r>
      <w:r w:rsidR="00C227E7">
        <w:rPr>
          <w:rFonts w:eastAsia="Calibri"/>
        </w:rPr>
        <w:t>avere takster</w:t>
      </w:r>
      <w:r w:rsidR="00AB0EA2">
        <w:rPr>
          <w:rFonts w:eastAsia="Calibri"/>
        </w:rPr>
        <w:t>,</w:t>
      </w:r>
      <w:r w:rsidR="00C227E7">
        <w:rPr>
          <w:rFonts w:eastAsia="Calibri"/>
        </w:rPr>
        <w:t xml:space="preserve"> bidra</w:t>
      </w:r>
      <w:r w:rsidR="00636C22">
        <w:rPr>
          <w:rFonts w:eastAsia="Calibri"/>
        </w:rPr>
        <w:t>r</w:t>
      </w:r>
      <w:r w:rsidR="00C227E7">
        <w:rPr>
          <w:rFonts w:eastAsia="Calibri"/>
        </w:rPr>
        <w:t xml:space="preserve"> til </w:t>
      </w:r>
      <w:r w:rsidR="00AB0EA2">
        <w:rPr>
          <w:rFonts w:eastAsia="Calibri"/>
        </w:rPr>
        <w:t>bedre</w:t>
      </w:r>
      <w:r w:rsidR="00C227E7">
        <w:rPr>
          <w:rFonts w:eastAsia="Calibri"/>
        </w:rPr>
        <w:t xml:space="preserve"> kostnadskontroll ved </w:t>
      </w:r>
      <w:r w:rsidR="00461B3B">
        <w:rPr>
          <w:rFonts w:eastAsia="Calibri"/>
        </w:rPr>
        <w:t>utvidet rom</w:t>
      </w:r>
      <w:r w:rsidR="00C227E7">
        <w:rPr>
          <w:rFonts w:eastAsia="Calibri"/>
        </w:rPr>
        <w:t xml:space="preserve"> for delegasjon</w:t>
      </w:r>
      <w:r w:rsidR="00461B3B">
        <w:rPr>
          <w:rFonts w:eastAsia="Calibri"/>
        </w:rPr>
        <w:t xml:space="preserve"> og innføring av profesjonsnøytrale takster</w:t>
      </w:r>
      <w:r w:rsidR="00073EB6">
        <w:rPr>
          <w:rFonts w:eastAsia="Calibri"/>
        </w:rPr>
        <w:t>.</w:t>
      </w:r>
    </w:p>
    <w:p w14:paraId="4A9B2E26" w14:textId="77777777" w:rsidR="00D9107F" w:rsidRDefault="000E05D6" w:rsidP="00B96380">
      <w:pPr>
        <w:rPr>
          <w:rFonts w:eastAsia="Calibri"/>
        </w:rPr>
      </w:pPr>
      <w:r>
        <w:rPr>
          <w:rFonts w:eastAsia="Calibri"/>
        </w:rPr>
        <w:t xml:space="preserve">Et mindretall </w:t>
      </w:r>
      <w:r w:rsidR="0024512D">
        <w:rPr>
          <w:rFonts w:eastAsia="Calibri"/>
        </w:rPr>
        <w:t xml:space="preserve">i utvalget </w:t>
      </w:r>
      <w:r>
        <w:rPr>
          <w:rFonts w:eastAsia="Calibri"/>
        </w:rPr>
        <w:t xml:space="preserve">fraråder </w:t>
      </w:r>
      <w:r w:rsidR="001308DC">
        <w:rPr>
          <w:rFonts w:eastAsia="Calibri"/>
        </w:rPr>
        <w:t xml:space="preserve">at </w:t>
      </w:r>
      <w:r w:rsidR="00C227E7">
        <w:rPr>
          <w:rFonts w:eastAsia="Calibri"/>
        </w:rPr>
        <w:t>basis</w:t>
      </w:r>
      <w:r w:rsidR="00DA6524">
        <w:rPr>
          <w:rFonts w:eastAsia="Calibri"/>
        </w:rPr>
        <w:t>tilskuddet</w:t>
      </w:r>
      <w:r w:rsidR="001308DC">
        <w:rPr>
          <w:rFonts w:eastAsia="Calibri"/>
        </w:rPr>
        <w:t>s andel av finansieringen økes</w:t>
      </w:r>
      <w:r w:rsidR="00C227E7">
        <w:rPr>
          <w:rFonts w:eastAsia="Calibri"/>
        </w:rPr>
        <w:t>.</w:t>
      </w:r>
    </w:p>
    <w:p w14:paraId="29B59894" w14:textId="77777777" w:rsidR="00D9107F" w:rsidRDefault="00F34BB0" w:rsidP="00B96380">
      <w:pPr>
        <w:rPr>
          <w:rFonts w:eastAsia="Calibri"/>
        </w:rPr>
      </w:pPr>
      <w:r>
        <w:rPr>
          <w:rFonts w:eastAsia="Calibri"/>
        </w:rPr>
        <w:lastRenderedPageBreak/>
        <w:t xml:space="preserve">Dersom </w:t>
      </w:r>
      <w:r w:rsidR="3E6F35AB" w:rsidRPr="500394CD">
        <w:rPr>
          <w:rFonts w:eastAsia="Calibri"/>
        </w:rPr>
        <w:t>basis</w:t>
      </w:r>
      <w:r w:rsidR="00DA6524">
        <w:rPr>
          <w:rFonts w:eastAsia="Calibri"/>
        </w:rPr>
        <w:t xml:space="preserve">tilskuddet </w:t>
      </w:r>
      <w:r>
        <w:rPr>
          <w:rFonts w:eastAsia="Calibri"/>
        </w:rPr>
        <w:t xml:space="preserve">økes til 50 </w:t>
      </w:r>
      <w:r w:rsidR="00E73C1A">
        <w:rPr>
          <w:rFonts w:eastAsia="Calibri"/>
        </w:rPr>
        <w:t xml:space="preserve">prosent </w:t>
      </w:r>
      <w:r>
        <w:rPr>
          <w:rFonts w:eastAsia="Calibri"/>
        </w:rPr>
        <w:t xml:space="preserve">eller mer, </w:t>
      </w:r>
      <w:r w:rsidR="00850602">
        <w:rPr>
          <w:rFonts w:eastAsia="Calibri"/>
        </w:rPr>
        <w:t>mener</w:t>
      </w:r>
      <w:r>
        <w:rPr>
          <w:rFonts w:eastAsia="Calibri"/>
        </w:rPr>
        <w:t xml:space="preserve"> </w:t>
      </w:r>
      <w:r w:rsidR="0024512D">
        <w:rPr>
          <w:rFonts w:eastAsia="Calibri"/>
        </w:rPr>
        <w:t>ekspert</w:t>
      </w:r>
      <w:r>
        <w:rPr>
          <w:rFonts w:eastAsia="Calibri"/>
        </w:rPr>
        <w:t>utvalget</w:t>
      </w:r>
      <w:r w:rsidR="006E0504">
        <w:rPr>
          <w:rFonts w:eastAsia="Calibri"/>
        </w:rPr>
        <w:t>s flertall</w:t>
      </w:r>
      <w:r>
        <w:rPr>
          <w:rFonts w:eastAsia="Calibri"/>
        </w:rPr>
        <w:t xml:space="preserve"> </w:t>
      </w:r>
      <w:r w:rsidR="00850602">
        <w:rPr>
          <w:rFonts w:eastAsia="Calibri"/>
        </w:rPr>
        <w:t xml:space="preserve">at </w:t>
      </w:r>
      <w:r>
        <w:rPr>
          <w:rFonts w:eastAsia="Calibri"/>
        </w:rPr>
        <w:t>det pasienttilpassede basistilskuddet som innføres 1. mai 2023</w:t>
      </w:r>
      <w:r w:rsidR="00250350">
        <w:rPr>
          <w:rFonts w:eastAsia="Calibri"/>
        </w:rPr>
        <w:t>,</w:t>
      </w:r>
      <w:r>
        <w:rPr>
          <w:rFonts w:eastAsia="Calibri"/>
        </w:rPr>
        <w:t xml:space="preserve"> er et tilfredsstillende utgangspunkt</w:t>
      </w:r>
      <w:r w:rsidR="00850602">
        <w:rPr>
          <w:rFonts w:eastAsia="Calibri"/>
        </w:rPr>
        <w:t xml:space="preserve">. Ekspertutvalget anbefaler at det </w:t>
      </w:r>
      <w:r>
        <w:rPr>
          <w:rFonts w:eastAsia="Calibri"/>
        </w:rPr>
        <w:t xml:space="preserve">bør få virke i noen år før </w:t>
      </w:r>
      <w:r w:rsidR="00AB0EA2">
        <w:rPr>
          <w:rFonts w:eastAsia="Calibri"/>
        </w:rPr>
        <w:t xml:space="preserve">det </w:t>
      </w:r>
      <w:r w:rsidR="00AA5631">
        <w:rPr>
          <w:rFonts w:eastAsia="Calibri"/>
        </w:rPr>
        <w:t xml:space="preserve">vurderes å </w:t>
      </w:r>
      <w:r>
        <w:rPr>
          <w:rFonts w:eastAsia="Calibri"/>
        </w:rPr>
        <w:t>gjøre justeringer.</w:t>
      </w:r>
    </w:p>
    <w:p w14:paraId="60CB44F7" w14:textId="77777777" w:rsidR="00D9107F" w:rsidRDefault="0070607C" w:rsidP="00B96380">
      <w:pPr>
        <w:rPr>
          <w:rFonts w:eastAsia="Calibri"/>
        </w:rPr>
      </w:pPr>
      <w:r>
        <w:rPr>
          <w:rFonts w:eastAsia="Calibri"/>
        </w:rPr>
        <w:t>Ekspertutvalget</w:t>
      </w:r>
      <w:r w:rsidR="00A45121">
        <w:rPr>
          <w:rFonts w:eastAsia="Calibri"/>
        </w:rPr>
        <w:t>s flerta</w:t>
      </w:r>
      <w:r w:rsidR="0048710C">
        <w:rPr>
          <w:rFonts w:eastAsia="Calibri"/>
        </w:rPr>
        <w:t>ll</w:t>
      </w:r>
      <w:r w:rsidR="00A45121">
        <w:rPr>
          <w:rFonts w:eastAsia="Calibri"/>
        </w:rPr>
        <w:t xml:space="preserve"> anbefaler at</w:t>
      </w:r>
      <w:r>
        <w:rPr>
          <w:rFonts w:eastAsia="Calibri"/>
        </w:rPr>
        <w:t xml:space="preserve"> det også bør innføre</w:t>
      </w:r>
      <w:r w:rsidR="00BF0205">
        <w:rPr>
          <w:rFonts w:eastAsia="Calibri"/>
        </w:rPr>
        <w:t>s</w:t>
      </w:r>
      <w:r>
        <w:rPr>
          <w:rFonts w:eastAsia="Calibri"/>
        </w:rPr>
        <w:t xml:space="preserve"> en kvalitetsjustering av basistilskuddet. </w:t>
      </w:r>
      <w:r w:rsidR="00FA5E56">
        <w:rPr>
          <w:rFonts w:eastAsia="Calibri"/>
        </w:rPr>
        <w:t>E</w:t>
      </w:r>
      <w:r w:rsidR="27A61DFF" w:rsidRPr="500394CD">
        <w:rPr>
          <w:rFonts w:eastAsia="Calibri"/>
        </w:rPr>
        <w:t>t</w:t>
      </w:r>
      <w:r>
        <w:rPr>
          <w:rFonts w:eastAsia="Calibri"/>
        </w:rPr>
        <w:t xml:space="preserve"> første skritt for å bygge opp en ordning med </w:t>
      </w:r>
      <w:r w:rsidR="29096F04" w:rsidRPr="500394CD">
        <w:rPr>
          <w:rFonts w:eastAsia="Calibri"/>
        </w:rPr>
        <w:t>kvalitet</w:t>
      </w:r>
      <w:r w:rsidR="2E21DA0E" w:rsidRPr="500394CD">
        <w:rPr>
          <w:rFonts w:eastAsia="Calibri"/>
        </w:rPr>
        <w:t>s</w:t>
      </w:r>
      <w:r w:rsidR="29096F04" w:rsidRPr="500394CD">
        <w:rPr>
          <w:rFonts w:eastAsia="Calibri"/>
        </w:rPr>
        <w:t>justering</w:t>
      </w:r>
      <w:r>
        <w:rPr>
          <w:rFonts w:eastAsia="Calibri"/>
        </w:rPr>
        <w:t xml:space="preserve"> av basistilskuddet, </w:t>
      </w:r>
      <w:r w:rsidR="0048710C">
        <w:rPr>
          <w:rFonts w:eastAsia="Calibri"/>
        </w:rPr>
        <w:t xml:space="preserve">vil </w:t>
      </w:r>
      <w:r>
        <w:rPr>
          <w:rFonts w:eastAsia="Calibri"/>
        </w:rPr>
        <w:t>kunne være å føre honorarene som i dag knyt</w:t>
      </w:r>
      <w:r w:rsidR="00DD2969">
        <w:rPr>
          <w:rFonts w:eastAsia="Calibri"/>
        </w:rPr>
        <w:t>t</w:t>
      </w:r>
      <w:r>
        <w:rPr>
          <w:rFonts w:eastAsia="Calibri"/>
        </w:rPr>
        <w:t xml:space="preserve">er seg til </w:t>
      </w:r>
      <w:r w:rsidR="003B4EDF">
        <w:rPr>
          <w:rFonts w:eastAsia="Calibri"/>
        </w:rPr>
        <w:t>spesialisttillegget</w:t>
      </w:r>
      <w:r>
        <w:rPr>
          <w:rFonts w:eastAsia="Calibri"/>
        </w:rPr>
        <w:t>, over til basis</w:t>
      </w:r>
      <w:r w:rsidR="00F5569D">
        <w:rPr>
          <w:rFonts w:eastAsia="Calibri"/>
        </w:rPr>
        <w:t xml:space="preserve">tilskuddet </w:t>
      </w:r>
      <w:r>
        <w:rPr>
          <w:rFonts w:eastAsia="Calibri"/>
        </w:rPr>
        <w:t>på en slik måte at spesialistene beholder sin inntekt.</w:t>
      </w:r>
    </w:p>
    <w:p w14:paraId="66D9E622" w14:textId="36AB32DE" w:rsidR="004C6E97" w:rsidRDefault="0024512D" w:rsidP="00B96380">
      <w:r>
        <w:t>Ekspertut</w:t>
      </w:r>
      <w:r w:rsidR="004C6E97">
        <w:t xml:space="preserve">valget anbefaler at takstsystemet gjennomgås, med henblikk på en forenkling og reduksjon av antall takster. </w:t>
      </w:r>
      <w:r>
        <w:t>Ekspe</w:t>
      </w:r>
      <w:r w:rsidR="00AB0EA2">
        <w:t>r</w:t>
      </w:r>
      <w:r>
        <w:t>tu</w:t>
      </w:r>
      <w:r w:rsidR="004C6E97">
        <w:t xml:space="preserve">tvalget anbefaler videre at det i den sammenheng </w:t>
      </w:r>
      <w:r w:rsidR="00AB0EA2">
        <w:t xml:space="preserve">også </w:t>
      </w:r>
      <w:r w:rsidR="004C6E97">
        <w:t>vurderes om takstene kan benyttes mer aktivt for å stimulere til ønsket aktivitet og prioritering i tjenestene.</w:t>
      </w:r>
    </w:p>
    <w:p w14:paraId="318C1219" w14:textId="4E26F75A" w:rsidR="00D9107F" w:rsidRDefault="00A779B6" w:rsidP="00B96380">
      <w:pPr>
        <w:rPr>
          <w:rFonts w:eastAsia="Calibri"/>
        </w:rPr>
      </w:pPr>
      <w:r w:rsidRPr="00BD5E26">
        <w:rPr>
          <w:rFonts w:eastAsia="Calibri"/>
        </w:rPr>
        <w:t xml:space="preserve">For å få flere leger </w:t>
      </w:r>
      <w:r w:rsidR="00AB0EA2" w:rsidRPr="00BD5E26">
        <w:rPr>
          <w:rFonts w:eastAsia="Calibri"/>
        </w:rPr>
        <w:t xml:space="preserve">raskt </w:t>
      </w:r>
      <w:r w:rsidRPr="00BD5E26">
        <w:rPr>
          <w:rFonts w:eastAsia="Calibri"/>
        </w:rPr>
        <w:t xml:space="preserve">inn i fastlegeordningen, anbefaler ekspertutvalget at det innføres </w:t>
      </w:r>
      <w:r w:rsidRPr="00775632">
        <w:t xml:space="preserve">et midlertidig rekrutteringsstilskudd </w:t>
      </w:r>
      <w:r w:rsidR="00A70F36" w:rsidRPr="00775632">
        <w:t xml:space="preserve">på </w:t>
      </w:r>
      <w:r w:rsidR="00AB0EA2" w:rsidRPr="00775632">
        <w:t>i størrelsesorden</w:t>
      </w:r>
      <w:r w:rsidRPr="00775632">
        <w:t xml:space="preserve"> 30</w:t>
      </w:r>
      <w:r w:rsidR="00D9107F" w:rsidRPr="00775632">
        <w:t>0 000 kroner</w:t>
      </w:r>
      <w:r w:rsidRPr="00775632">
        <w:t xml:space="preserve"> til nye fastleger, i kommuner med rekrutteringsvansker. Tilskuddet kan innebære en bindingstid på eksempelvis 3 år. </w:t>
      </w:r>
      <w:r w:rsidRPr="00BD5E26">
        <w:rPr>
          <w:rFonts w:eastAsia="Calibri"/>
        </w:rPr>
        <w:t>Dersom legen slutter før det har gått 3 år, må beløpet, eller det aller meste av det, tilbakebetales.</w:t>
      </w:r>
    </w:p>
    <w:p w14:paraId="26BF5000" w14:textId="76DA58C2" w:rsidR="009E25EB" w:rsidRDefault="00545EE3" w:rsidP="00775632">
      <w:pPr>
        <w:pStyle w:val="Overskrift2"/>
      </w:pPr>
      <w:bookmarkStart w:id="2252" w:name="_Toc129630313"/>
      <w:bookmarkStart w:id="2253" w:name="_Toc130763816"/>
      <w:bookmarkStart w:id="2254" w:name="_Toc130766711"/>
      <w:bookmarkStart w:id="2255" w:name="_Toc130932111"/>
      <w:bookmarkStart w:id="2256" w:name="_Toc130934402"/>
      <w:bookmarkStart w:id="2257" w:name="_Toc130983485"/>
      <w:bookmarkStart w:id="2258" w:name="_Toc130983834"/>
      <w:bookmarkStart w:id="2259" w:name="_Toc131062156"/>
      <w:bookmarkStart w:id="2260" w:name="_Toc131062410"/>
      <w:bookmarkStart w:id="2261" w:name="_Toc131062671"/>
      <w:bookmarkStart w:id="2262" w:name="_Toc131062924"/>
      <w:bookmarkStart w:id="2263" w:name="_Toc131063692"/>
      <w:bookmarkStart w:id="2264" w:name="_Toc131064117"/>
      <w:bookmarkStart w:id="2265" w:name="_Toc131238412"/>
      <w:bookmarkStart w:id="2266" w:name="_Toc131279443"/>
      <w:bookmarkStart w:id="2267" w:name="_Toc131286855"/>
      <w:bookmarkStart w:id="2268" w:name="_Toc131281265"/>
      <w:bookmarkStart w:id="2269" w:name="_Toc131317805"/>
      <w:bookmarkStart w:id="2270" w:name="_Toc132536977"/>
      <w:r>
        <w:t>Finansiering som virkemiddel</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146CC56D" w14:textId="177D0F9F" w:rsidR="009E25EB" w:rsidRDefault="009E25EB" w:rsidP="009E25EB">
      <w:pPr>
        <w:jc w:val="both"/>
      </w:pPr>
      <w:r>
        <w:t>Finansiering er et av flere virkemid</w:t>
      </w:r>
      <w:r w:rsidR="0093223B">
        <w:t>ler</w:t>
      </w:r>
      <w:r>
        <w:t xml:space="preserve"> for å </w:t>
      </w:r>
      <w:r w:rsidR="0093223B">
        <w:t xml:space="preserve">oppnå og </w:t>
      </w:r>
      <w:r>
        <w:t>opprettholde ønsket aktivitet, oppmuntre til innovasjon og forbedring</w:t>
      </w:r>
      <w:r w:rsidR="0093223B">
        <w:t>,</w:t>
      </w:r>
      <w:r>
        <w:t xml:space="preserve"> og bidra til å forme </w:t>
      </w:r>
      <w:r w:rsidR="0093223B">
        <w:t>og utvikle</w:t>
      </w:r>
      <w:r>
        <w:t xml:space="preserve"> en </w:t>
      </w:r>
      <w:r w:rsidR="0093223B">
        <w:t>allmennlege- og</w:t>
      </w:r>
      <w:r>
        <w:t xml:space="preserve"> fastlegetjeneste etter befolkningens helsebehov. I tråd med målbildet</w:t>
      </w:r>
      <w:r w:rsidR="00EE3770">
        <w:t>,</w:t>
      </w:r>
      <w:r>
        <w:t xml:space="preserve"> bør finansieringsordningen av allmennlegetjenesten innrettes slik at den understøtter målene om best mulig helse</w:t>
      </w:r>
      <w:r w:rsidR="00AB0EA2">
        <w:t>hjelp</w:t>
      </w:r>
      <w:r>
        <w:t xml:space="preserve"> til befolkningen, gitt de ressursene </w:t>
      </w:r>
      <w:r w:rsidR="00AB0EA2">
        <w:t>som er</w:t>
      </w:r>
      <w:r>
        <w:t xml:space="preserve"> til rådighet. Videre bør finansieringssystemet bidra til å fordele kostnader </w:t>
      </w:r>
      <w:r w:rsidR="002A0114">
        <w:t xml:space="preserve">og risiko </w:t>
      </w:r>
      <w:r>
        <w:t xml:space="preserve">på en fordelaktig måte for samfunnet som helhet. </w:t>
      </w:r>
      <w:r w:rsidR="00A302B3" w:rsidRPr="008860F5">
        <w:t>Finansiering som virkemiddel</w:t>
      </w:r>
      <w:r w:rsidR="00EE3770">
        <w:t>,</w:t>
      </w:r>
      <w:r w:rsidR="00A302B3" w:rsidRPr="008860F5">
        <w:t xml:space="preserve"> må vurderes og ses i sammenheng med øvrige virkemidler</w:t>
      </w:r>
      <w:r w:rsidR="00A302B3">
        <w:t>,</w:t>
      </w:r>
      <w:r w:rsidR="00A302B3" w:rsidRPr="008860F5">
        <w:t xml:space="preserve"> og i særdeleshet </w:t>
      </w:r>
      <w:r w:rsidR="00A302B3">
        <w:t xml:space="preserve">med </w:t>
      </w:r>
      <w:r w:rsidR="00A302B3" w:rsidRPr="008860F5">
        <w:t>organisering</w:t>
      </w:r>
      <w:r w:rsidR="005A7432">
        <w:t>en</w:t>
      </w:r>
      <w:r w:rsidR="001C0EDA">
        <w:t xml:space="preserve"> av fastlegetjenesten</w:t>
      </w:r>
      <w:r w:rsidR="00A302B3" w:rsidRPr="008860F5">
        <w:t>.</w:t>
      </w:r>
    </w:p>
    <w:p w14:paraId="2BDEADA2" w14:textId="308D0460" w:rsidR="009E25EB" w:rsidRDefault="009E25EB" w:rsidP="009E25EB">
      <w:pPr>
        <w:jc w:val="both"/>
        <w:rPr>
          <w:rFonts w:eastAsia="Calibri" w:cs="Times New Roman"/>
          <w:color w:val="000000"/>
        </w:rPr>
      </w:pPr>
      <w:r>
        <w:t>I tråd med mandatet</w:t>
      </w:r>
      <w:r w:rsidR="00AB0EA2">
        <w:t>,</w:t>
      </w:r>
      <w:r>
        <w:t xml:space="preserve"> skal ekspertutvalget blant annet utrede </w:t>
      </w:r>
      <w:r w:rsidRPr="2C1A13BE">
        <w:rPr>
          <w:rFonts w:eastAsia="Calibri" w:cs="Times New Roman"/>
          <w:color w:val="000000" w:themeColor="text1"/>
        </w:rPr>
        <w:t>endringer i innretningen på basisfinansieringen, herunder utvikling av risikojustert basistilskudd og innføring av kvalitetselement</w:t>
      </w:r>
      <w:r w:rsidR="0034002E">
        <w:rPr>
          <w:rFonts w:eastAsia="Calibri" w:cs="Times New Roman"/>
          <w:color w:val="000000" w:themeColor="text1"/>
        </w:rPr>
        <w:t xml:space="preserve"> i basistilskuddet</w:t>
      </w:r>
      <w:r w:rsidRPr="2C1A13BE">
        <w:rPr>
          <w:rFonts w:eastAsia="Calibri" w:cs="Times New Roman"/>
          <w:color w:val="000000" w:themeColor="text1"/>
        </w:rPr>
        <w:t xml:space="preserve">. </w:t>
      </w:r>
      <w:r w:rsidR="00EE3770">
        <w:rPr>
          <w:rFonts w:eastAsia="Calibri" w:cs="Times New Roman"/>
          <w:color w:val="000000" w:themeColor="text1"/>
        </w:rPr>
        <w:t>Ekspertu</w:t>
      </w:r>
      <w:r w:rsidR="00EE3770" w:rsidRPr="2C1A13BE">
        <w:rPr>
          <w:rFonts w:eastAsia="Calibri" w:cs="Times New Roman"/>
          <w:color w:val="000000" w:themeColor="text1"/>
        </w:rPr>
        <w:t>tvalget</w:t>
      </w:r>
      <w:r w:rsidRPr="2C1A13BE">
        <w:rPr>
          <w:rFonts w:eastAsia="Calibri" w:cs="Times New Roman"/>
          <w:color w:val="000000" w:themeColor="text1"/>
        </w:rPr>
        <w:t xml:space="preserve"> skal også vurdere endret fordeling mellom takster og basistilskudd</w:t>
      </w:r>
      <w:r w:rsidR="00EB4ABD">
        <w:rPr>
          <w:rFonts w:eastAsia="Calibri" w:cs="Times New Roman"/>
          <w:color w:val="000000" w:themeColor="text1"/>
        </w:rPr>
        <w:t xml:space="preserve">. </w:t>
      </w:r>
      <w:r w:rsidR="00F46BEE">
        <w:rPr>
          <w:rFonts w:eastAsia="Calibri" w:cs="Times New Roman"/>
          <w:color w:val="000000" w:themeColor="text1"/>
        </w:rPr>
        <w:t>V</w:t>
      </w:r>
      <w:r w:rsidR="00763EFD">
        <w:rPr>
          <w:rFonts w:eastAsia="Calibri" w:cs="Times New Roman"/>
          <w:color w:val="000000" w:themeColor="text1"/>
        </w:rPr>
        <w:t>urder</w:t>
      </w:r>
      <w:r w:rsidR="00F46BEE">
        <w:rPr>
          <w:rFonts w:eastAsia="Calibri" w:cs="Times New Roman"/>
          <w:color w:val="000000" w:themeColor="text1"/>
        </w:rPr>
        <w:t xml:space="preserve">ing </w:t>
      </w:r>
      <w:r w:rsidR="00763EFD">
        <w:rPr>
          <w:rFonts w:eastAsia="Calibri" w:cs="Times New Roman"/>
          <w:color w:val="000000" w:themeColor="text1"/>
        </w:rPr>
        <w:t>av</w:t>
      </w:r>
      <w:r w:rsidRPr="2C1A13BE">
        <w:rPr>
          <w:rFonts w:eastAsia="Calibri" w:cs="Times New Roman"/>
          <w:color w:val="000000" w:themeColor="text1"/>
        </w:rPr>
        <w:t xml:space="preserve"> takster som legger til rette for flerfaglige praksiser</w:t>
      </w:r>
      <w:r w:rsidR="00F46BEE">
        <w:rPr>
          <w:rFonts w:eastAsia="Calibri" w:cs="Times New Roman"/>
          <w:color w:val="000000" w:themeColor="text1"/>
        </w:rPr>
        <w:t xml:space="preserve"> er omtalt i kap</w:t>
      </w:r>
      <w:r w:rsidR="004F36D5">
        <w:rPr>
          <w:rFonts w:eastAsia="Calibri" w:cs="Times New Roman"/>
          <w:color w:val="000000" w:themeColor="text1"/>
        </w:rPr>
        <w:t>ittel</w:t>
      </w:r>
      <w:r w:rsidR="00F46BEE">
        <w:rPr>
          <w:rFonts w:eastAsia="Calibri" w:cs="Times New Roman"/>
          <w:color w:val="000000" w:themeColor="text1"/>
        </w:rPr>
        <w:t xml:space="preserve"> 6.</w:t>
      </w:r>
      <w:r w:rsidR="00EE2340">
        <w:rPr>
          <w:rFonts w:eastAsia="Calibri" w:cs="Times New Roman"/>
          <w:color w:val="000000" w:themeColor="text1"/>
        </w:rPr>
        <w:t>3</w:t>
      </w:r>
      <w:r w:rsidR="00F46BEE">
        <w:rPr>
          <w:rFonts w:eastAsia="Calibri" w:cs="Times New Roman"/>
          <w:color w:val="000000" w:themeColor="text1"/>
        </w:rPr>
        <w:t>.</w:t>
      </w:r>
    </w:p>
    <w:p w14:paraId="74F5AC62" w14:textId="77777777" w:rsidR="00D9107F" w:rsidRDefault="009E25EB" w:rsidP="00864D31">
      <w:pPr>
        <w:shd w:val="clear" w:color="auto" w:fill="FFFFFF" w:themeFill="background1"/>
        <w:spacing w:before="150" w:after="0"/>
        <w:jc w:val="both"/>
      </w:pPr>
      <w:r>
        <w:t xml:space="preserve">Selv om økonomiske insentiver er effektive virkemidler, er det samtidig slik at det neppe vil være mulig å lage et finansieringssystem som bidrar til å oppfylle alle </w:t>
      </w:r>
      <w:r w:rsidR="00D66CA5">
        <w:t>målsetting</w:t>
      </w:r>
      <w:r>
        <w:t>er fullt ut. Et hvert finansieringssystem vil ha positive og negative sider</w:t>
      </w:r>
      <w:r w:rsidR="00C14D63">
        <w:t>,</w:t>
      </w:r>
      <w:r>
        <w:t xml:space="preserve"> som må veies mot hverandre og vurderes i </w:t>
      </w:r>
      <w:r>
        <w:lastRenderedPageBreak/>
        <w:t>lys av ønsket utvikling for allmennlegetjenesten</w:t>
      </w:r>
      <w:r w:rsidR="00C14D63">
        <w:t>, sett i sammenheng med situasjonsbestemte forhold</w:t>
      </w:r>
      <w:r>
        <w:t>.</w:t>
      </w:r>
    </w:p>
    <w:p w14:paraId="0B5AFBAF" w14:textId="590020C3" w:rsidR="009E25EB" w:rsidRPr="007D0C20" w:rsidRDefault="009E25EB" w:rsidP="00775632">
      <w:pPr>
        <w:pStyle w:val="Overskrift2"/>
      </w:pPr>
      <w:bookmarkStart w:id="2271" w:name="_Toc126834357"/>
      <w:bookmarkStart w:id="2272" w:name="_Toc127633232"/>
      <w:bookmarkStart w:id="2273" w:name="_Toc127864518"/>
      <w:bookmarkStart w:id="2274" w:name="_Toc128238526"/>
      <w:bookmarkStart w:id="2275" w:name="_Toc128741997"/>
      <w:bookmarkStart w:id="2276" w:name="_Toc128744592"/>
      <w:bookmarkStart w:id="2277" w:name="_Toc128744811"/>
      <w:bookmarkStart w:id="2278" w:name="_Toc129630314"/>
      <w:bookmarkStart w:id="2279" w:name="_Toc130763817"/>
      <w:bookmarkStart w:id="2280" w:name="_Toc130766712"/>
      <w:bookmarkStart w:id="2281" w:name="_Toc130932112"/>
      <w:bookmarkStart w:id="2282" w:name="_Toc130934403"/>
      <w:bookmarkStart w:id="2283" w:name="_Toc130983486"/>
      <w:bookmarkStart w:id="2284" w:name="_Toc130983835"/>
      <w:bookmarkStart w:id="2285" w:name="_Toc131062157"/>
      <w:bookmarkStart w:id="2286" w:name="_Toc131062411"/>
      <w:bookmarkStart w:id="2287" w:name="_Toc131062672"/>
      <w:bookmarkStart w:id="2288" w:name="_Toc131062925"/>
      <w:bookmarkStart w:id="2289" w:name="_Toc131063693"/>
      <w:bookmarkStart w:id="2290" w:name="_Toc131064118"/>
      <w:bookmarkStart w:id="2291" w:name="_Toc131238413"/>
      <w:bookmarkStart w:id="2292" w:name="_Toc131279444"/>
      <w:bookmarkStart w:id="2293" w:name="_Toc131286856"/>
      <w:bookmarkStart w:id="2294" w:name="_Toc131281266"/>
      <w:bookmarkStart w:id="2295" w:name="_Toc131317806"/>
      <w:bookmarkStart w:id="2296" w:name="_Toc132536978"/>
      <w:r w:rsidRPr="007D0C20">
        <w:t xml:space="preserve">Dagens finansiering </w:t>
      </w:r>
      <w:r w:rsidR="001A1549">
        <w:t>av fastlegeordningen</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3C762FE8" w14:textId="76FAF6D9" w:rsidR="009E25EB" w:rsidRPr="00623088" w:rsidRDefault="56F33994" w:rsidP="00775632">
      <w:pPr>
        <w:pStyle w:val="Overskrift3"/>
      </w:pPr>
      <w:bookmarkStart w:id="2297" w:name="_Toc126834358"/>
      <w:bookmarkStart w:id="2298" w:name="_Toc127633233"/>
      <w:bookmarkStart w:id="2299" w:name="_Toc127864519"/>
      <w:bookmarkStart w:id="2300" w:name="_Toc128238527"/>
      <w:bookmarkStart w:id="2301" w:name="_Toc128741998"/>
      <w:bookmarkStart w:id="2302" w:name="_Toc128744593"/>
      <w:bookmarkStart w:id="2303" w:name="_Toc128744812"/>
      <w:bookmarkStart w:id="2304" w:name="_Toc129630315"/>
      <w:bookmarkStart w:id="2305" w:name="_Toc130763818"/>
      <w:bookmarkStart w:id="2306" w:name="_Toc130766713"/>
      <w:bookmarkStart w:id="2307" w:name="_Toc130932113"/>
      <w:bookmarkStart w:id="2308" w:name="_Toc130934404"/>
      <w:bookmarkStart w:id="2309" w:name="_Toc130983487"/>
      <w:bookmarkStart w:id="2310" w:name="_Toc130983836"/>
      <w:bookmarkStart w:id="2311" w:name="_Toc131062158"/>
      <w:bookmarkStart w:id="2312" w:name="_Toc131062412"/>
      <w:bookmarkStart w:id="2313" w:name="_Toc131062673"/>
      <w:bookmarkStart w:id="2314" w:name="_Toc131062926"/>
      <w:bookmarkStart w:id="2315" w:name="_Toc131063694"/>
      <w:bookmarkStart w:id="2316" w:name="_Toc131064119"/>
      <w:bookmarkStart w:id="2317" w:name="_Toc131238414"/>
      <w:bookmarkStart w:id="2318" w:name="_Toc131279445"/>
      <w:bookmarkStart w:id="2319" w:name="_Toc131286857"/>
      <w:bookmarkStart w:id="2320" w:name="_Toc131281267"/>
      <w:bookmarkStart w:id="2321" w:name="_Toc131317807"/>
      <w:bookmarkStart w:id="2322" w:name="_Toc132536979"/>
      <w:r>
        <w:t>Driftsformer</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4476AFC8" w14:textId="77777777" w:rsidR="00D9107F" w:rsidRDefault="009E25EB" w:rsidP="009E25EB">
      <w:pPr>
        <w:jc w:val="both"/>
      </w:pPr>
      <w:r>
        <w:t xml:space="preserve">Det er ulike driftsformer innenfor fastlegeordningen. Hovedmodellen i fastlegeordningen er at kommunene dekker behovet for fastleger gjennom avtaleinngåelse med næringsdrivende leger. Næringsdrivende fastleger mottar </w:t>
      </w:r>
      <w:r w:rsidRPr="00F720C4">
        <w:t xml:space="preserve">basisfinansiering </w:t>
      </w:r>
      <w:r>
        <w:t>fra kommunen</w:t>
      </w:r>
      <w:r w:rsidRPr="009F082F">
        <w:t xml:space="preserve">, </w:t>
      </w:r>
      <w:r w:rsidRPr="00F720C4">
        <w:t>takstrefusjoner</w:t>
      </w:r>
      <w:r>
        <w:t xml:space="preserve"> fra folketr</w:t>
      </w:r>
      <w:r w:rsidRPr="009F082F">
        <w:t xml:space="preserve">ygden og </w:t>
      </w:r>
      <w:r w:rsidRPr="00F720C4">
        <w:t>egenandeler</w:t>
      </w:r>
      <w:r>
        <w:t xml:space="preserve"> fra pasientene. Legene har i praksis også inntekter utenfor disse ordningene</w:t>
      </w:r>
      <w:r w:rsidR="00C14D63">
        <w:t xml:space="preserve">, </w:t>
      </w:r>
      <w:r>
        <w:t xml:space="preserve">fra vaksinering, erklæringer, forsikringsattester, m.m. Hvert av de ulike elementene i finansieringen er </w:t>
      </w:r>
      <w:r w:rsidRPr="0D4CD27A">
        <w:t>ikke</w:t>
      </w:r>
      <w:r>
        <w:t xml:space="preserve"> ment å dekke bestemte deler av fastlegenes </w:t>
      </w:r>
      <w:r w:rsidR="00633908">
        <w:t xml:space="preserve">kostnader og </w:t>
      </w:r>
      <w:r>
        <w:t xml:space="preserve">aktivitet, men skal samlet sett gi fastlegen en inntjening som </w:t>
      </w:r>
      <w:r w:rsidR="0093223B">
        <w:t>finansierer lønn og andre kostnader</w:t>
      </w:r>
      <w:r>
        <w:t>.</w:t>
      </w:r>
    </w:p>
    <w:p w14:paraId="458A52D4" w14:textId="77777777" w:rsidR="00D9107F" w:rsidRDefault="009E25EB" w:rsidP="009E25EB">
      <w:pPr>
        <w:jc w:val="both"/>
      </w:pPr>
      <w:r>
        <w:t xml:space="preserve">I </w:t>
      </w:r>
      <w:r w:rsidR="0093223B">
        <w:t>tillegg til</w:t>
      </w:r>
      <w:r w:rsidRPr="00AC3B44">
        <w:t xml:space="preserve"> </w:t>
      </w:r>
      <w:r w:rsidR="006D7D46">
        <w:t>hoved</w:t>
      </w:r>
      <w:r>
        <w:t xml:space="preserve">modellen med næringsdrivende lege, kan </w:t>
      </w:r>
      <w:r w:rsidRPr="00AC3B44">
        <w:t xml:space="preserve">kommuner tilby </w:t>
      </w:r>
      <w:r>
        <w:t xml:space="preserve">fast </w:t>
      </w:r>
      <w:r w:rsidRPr="00AC3B44">
        <w:t xml:space="preserve">ansettelse eller andre økonomiske </w:t>
      </w:r>
      <w:r w:rsidR="00C14D63">
        <w:t>og organisatoriske</w:t>
      </w:r>
      <w:r w:rsidRPr="00AC3B44">
        <w:t xml:space="preserve"> tiltak</w:t>
      </w:r>
      <w:r>
        <w:t>,</w:t>
      </w:r>
      <w:r w:rsidRPr="00AC3B44">
        <w:t xml:space="preserve"> for å dekke behovet for fastleger. </w:t>
      </w:r>
      <w:r w:rsidR="00C14D63" w:rsidRPr="1032CE2B">
        <w:t>Næringsdr</w:t>
      </w:r>
      <w:r w:rsidR="00C14D63">
        <w:t>i</w:t>
      </w:r>
      <w:r w:rsidR="00C14D63" w:rsidRPr="1032CE2B">
        <w:t>ft er vanligst i folkerike kommuner, mens fast ansettelse er vanligst i kommuner med få innbyggere.</w:t>
      </w:r>
    </w:p>
    <w:p w14:paraId="7DF60281" w14:textId="77777777" w:rsidR="00D9107F" w:rsidRDefault="009E25EB" w:rsidP="009E25EB">
      <w:pPr>
        <w:jc w:val="both"/>
      </w:pPr>
      <w:r>
        <w:t>Dersom fastlegen er ansatt i kommunen med fast lønn</w:t>
      </w:r>
      <w:r w:rsidRPr="00AC3B44">
        <w:t xml:space="preserve">, vil kommunen </w:t>
      </w:r>
      <w:r>
        <w:t xml:space="preserve">beholde basistilskuddet og </w:t>
      </w:r>
      <w:r w:rsidRPr="00AC3B44">
        <w:t xml:space="preserve">motta takstrefusjoner og </w:t>
      </w:r>
      <w:r>
        <w:t>egenandeler. Det finnes også mellomvarianter, herunder næringsdrivende leger som mottar ytterligere støtte fra kommunen (</w:t>
      </w:r>
      <w:r w:rsidR="00C14D63">
        <w:t xml:space="preserve">gjennom </w:t>
      </w:r>
      <w:r>
        <w:t xml:space="preserve">for eksempel såkalte 8.2-avtaler), eller fast ansatte </w:t>
      </w:r>
      <w:r w:rsidR="00C14D63">
        <w:t xml:space="preserve">kommunale </w:t>
      </w:r>
      <w:r>
        <w:t>leger</w:t>
      </w:r>
      <w:r w:rsidR="00C14D63">
        <w:t>,</w:t>
      </w:r>
      <w:r>
        <w:t xml:space="preserve"> som har aktivitetsbasert tilleggsinntekt.</w:t>
      </w:r>
    </w:p>
    <w:p w14:paraId="62FEBB3F" w14:textId="66985B5E" w:rsidR="009E25EB" w:rsidRPr="00F53177" w:rsidRDefault="56F33994" w:rsidP="00775632">
      <w:pPr>
        <w:pStyle w:val="Overskrift3"/>
      </w:pPr>
      <w:bookmarkStart w:id="2323" w:name="_Toc126834359"/>
      <w:bookmarkStart w:id="2324" w:name="_Toc127633234"/>
      <w:bookmarkStart w:id="2325" w:name="_Toc127864520"/>
      <w:bookmarkStart w:id="2326" w:name="_Toc128238528"/>
      <w:bookmarkStart w:id="2327" w:name="_Toc128741999"/>
      <w:bookmarkStart w:id="2328" w:name="_Toc128744594"/>
      <w:bookmarkStart w:id="2329" w:name="_Toc128744813"/>
      <w:bookmarkStart w:id="2330" w:name="_Toc129630316"/>
      <w:bookmarkStart w:id="2331" w:name="_Toc130763819"/>
      <w:bookmarkStart w:id="2332" w:name="_Toc130766714"/>
      <w:bookmarkStart w:id="2333" w:name="_Toc130932114"/>
      <w:bookmarkStart w:id="2334" w:name="_Toc130934405"/>
      <w:bookmarkStart w:id="2335" w:name="_Toc130983488"/>
      <w:bookmarkStart w:id="2336" w:name="_Toc130983837"/>
      <w:bookmarkStart w:id="2337" w:name="_Toc131062159"/>
      <w:bookmarkStart w:id="2338" w:name="_Toc131062413"/>
      <w:bookmarkStart w:id="2339" w:name="_Toc131062674"/>
      <w:bookmarkStart w:id="2340" w:name="_Toc131062927"/>
      <w:bookmarkStart w:id="2341" w:name="_Toc131063695"/>
      <w:bookmarkStart w:id="2342" w:name="_Toc131064120"/>
      <w:bookmarkStart w:id="2343" w:name="_Toc131238415"/>
      <w:bookmarkStart w:id="2344" w:name="_Toc131279446"/>
      <w:bookmarkStart w:id="2345" w:name="_Toc131286858"/>
      <w:bookmarkStart w:id="2346" w:name="_Toc131281268"/>
      <w:bookmarkStart w:id="2347" w:name="_Toc131317808"/>
      <w:bookmarkStart w:id="2348" w:name="_Toc132536980"/>
      <w:r>
        <w:t>Basisfinansieringen</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4B635DDA" w14:textId="77777777" w:rsidR="00D9107F" w:rsidRDefault="009E25EB" w:rsidP="009E25EB">
      <w:pPr>
        <w:jc w:val="both"/>
      </w:pPr>
      <w:r>
        <w:t>Basisfinansieringen utgjør opp mot 30 prosent av finansieringen av fastlegeordningen</w:t>
      </w:r>
      <w:r w:rsidR="00C14D63">
        <w:t>,</w:t>
      </w:r>
      <w:r>
        <w:t xml:space="preserve"> og består av de tre elementene basistilskudd, grunntilskudd og utjamningstilskudd, som alle er </w:t>
      </w:r>
      <w:r w:rsidRPr="00F720C4">
        <w:t>u</w:t>
      </w:r>
      <w:r>
        <w:t>avhengig</w:t>
      </w:r>
      <w:r w:rsidRPr="004B2720">
        <w:t>e</w:t>
      </w:r>
      <w:r>
        <w:t xml:space="preserve"> av hvor mange konsultasjoner eller annen aktivitet legen har.</w:t>
      </w:r>
    </w:p>
    <w:p w14:paraId="208126F7" w14:textId="77777777" w:rsidR="00D9107F" w:rsidRDefault="56F33994" w:rsidP="00775632">
      <w:pPr>
        <w:pStyle w:val="Overskrift4"/>
      </w:pPr>
      <w:bookmarkStart w:id="2349" w:name="_Toc130983489"/>
      <w:bookmarkStart w:id="2350" w:name="_Toc130983838"/>
      <w:bookmarkStart w:id="2351" w:name="_Toc131063696"/>
      <w:bookmarkStart w:id="2352" w:name="_Toc131238416"/>
      <w:bookmarkStart w:id="2353" w:name="_Toc131279447"/>
      <w:bookmarkStart w:id="2354" w:name="_Toc131286859"/>
      <w:bookmarkStart w:id="2355" w:name="_Toc131281269"/>
      <w:bookmarkStart w:id="2356" w:name="_Toc131317809"/>
      <w:r>
        <w:t>Basistilskuddet</w:t>
      </w:r>
      <w:bookmarkEnd w:id="2349"/>
      <w:bookmarkEnd w:id="2350"/>
      <w:bookmarkEnd w:id="2351"/>
      <w:bookmarkEnd w:id="2352"/>
      <w:bookmarkEnd w:id="2353"/>
      <w:bookmarkEnd w:id="2354"/>
      <w:bookmarkEnd w:id="2355"/>
      <w:bookmarkEnd w:id="2356"/>
    </w:p>
    <w:p w14:paraId="27AC4107" w14:textId="7994FAA2" w:rsidR="009E25EB" w:rsidRDefault="009E25EB" w:rsidP="009E25EB">
      <w:pPr>
        <w:jc w:val="both"/>
      </w:pPr>
      <w:r>
        <w:t>Basistilskuddet er det mest sentrale elementet i basisfinansieringen</w:t>
      </w:r>
      <w:r w:rsidR="00C14D63">
        <w:t xml:space="preserve">, </w:t>
      </w:r>
      <w:r>
        <w:t xml:space="preserve">og utgjør et fast beløp for hver innbygger på </w:t>
      </w:r>
      <w:r w:rsidR="003D7683">
        <w:t>fast</w:t>
      </w:r>
      <w:r>
        <w:t>legens liste. Fra 1.</w:t>
      </w:r>
      <w:r w:rsidR="006A7B80">
        <w:t xml:space="preserve"> juli </w:t>
      </w:r>
      <w:r w:rsidRPr="00C02B6A">
        <w:t>202</w:t>
      </w:r>
      <w:r>
        <w:t xml:space="preserve">2 </w:t>
      </w:r>
      <w:r w:rsidRPr="00C02B6A">
        <w:t xml:space="preserve">utgjør </w:t>
      </w:r>
      <w:r>
        <w:t>det</w:t>
      </w:r>
      <w:r w:rsidRPr="00C02B6A">
        <w:t xml:space="preserve"> </w:t>
      </w:r>
      <w:r>
        <w:t>67</w:t>
      </w:r>
      <w:r w:rsidR="00D9107F">
        <w:t>5 kroner</w:t>
      </w:r>
      <w:r w:rsidRPr="00C02B6A">
        <w:t xml:space="preserve"> per listeinnbygger </w:t>
      </w:r>
      <w:r>
        <w:t xml:space="preserve">per år for </w:t>
      </w:r>
      <w:r w:rsidRPr="00C02B6A">
        <w:t xml:space="preserve">inntil </w:t>
      </w:r>
      <w:r w:rsidR="00D9107F" w:rsidRPr="00C02B6A">
        <w:t>1</w:t>
      </w:r>
      <w:r w:rsidR="00D9107F">
        <w:t> </w:t>
      </w:r>
      <w:r w:rsidR="00D9107F" w:rsidRPr="00C02B6A">
        <w:t>000</w:t>
      </w:r>
      <w:r w:rsidRPr="00C02B6A">
        <w:t xml:space="preserve"> listeinnbyggere. Fra listeinnbygger</w:t>
      </w:r>
      <w:r>
        <w:t xml:space="preserve"> </w:t>
      </w:r>
      <w:r w:rsidRPr="00C02B6A">
        <w:t xml:space="preserve">1001 utgjør basistilskuddet </w:t>
      </w:r>
      <w:r>
        <w:t>54</w:t>
      </w:r>
      <w:r w:rsidR="00D9107F">
        <w:t>4 kroner</w:t>
      </w:r>
      <w:r w:rsidRPr="00C02B6A">
        <w:t xml:space="preserve"> </w:t>
      </w:r>
      <w:r>
        <w:t>per</w:t>
      </w:r>
      <w:r w:rsidRPr="00C02B6A">
        <w:t xml:space="preserve"> listeinnbygger. Det betyr at det er </w:t>
      </w:r>
      <w:r>
        <w:t>én sats til og med det såkalte knekkpunktet på 1000 innbyggere, og én sats over.</w:t>
      </w:r>
      <w:r w:rsidR="00E648AE">
        <w:t xml:space="preserve"> Dette endres fra 1. mai 202</w:t>
      </w:r>
      <w:r w:rsidR="001C3F43">
        <w:t>3</w:t>
      </w:r>
      <w:r w:rsidR="00085787" w:rsidRPr="03E026A2">
        <w:t>, når pasienttilpasset basistilskudd innføres</w:t>
      </w:r>
      <w:r w:rsidR="001C3F43">
        <w:t>.</w:t>
      </w:r>
    </w:p>
    <w:p w14:paraId="164A2DDA" w14:textId="77777777" w:rsidR="00D9107F" w:rsidRDefault="56F33994" w:rsidP="00775632">
      <w:pPr>
        <w:pStyle w:val="Overskrift4"/>
      </w:pPr>
      <w:bookmarkStart w:id="2357" w:name="_Toc130983490"/>
      <w:bookmarkStart w:id="2358" w:name="_Toc130983839"/>
      <w:bookmarkStart w:id="2359" w:name="_Toc131063697"/>
      <w:bookmarkStart w:id="2360" w:name="_Toc131238417"/>
      <w:bookmarkStart w:id="2361" w:name="_Toc131279448"/>
      <w:bookmarkStart w:id="2362" w:name="_Toc131286860"/>
      <w:bookmarkStart w:id="2363" w:name="_Toc131281270"/>
      <w:bookmarkStart w:id="2364" w:name="_Toc131317810"/>
      <w:r>
        <w:t>Grunntilskuddet</w:t>
      </w:r>
      <w:bookmarkEnd w:id="2357"/>
      <w:bookmarkEnd w:id="2358"/>
      <w:bookmarkEnd w:id="2359"/>
      <w:bookmarkEnd w:id="2360"/>
      <w:bookmarkEnd w:id="2361"/>
      <w:bookmarkEnd w:id="2362"/>
      <w:bookmarkEnd w:id="2363"/>
      <w:bookmarkEnd w:id="2364"/>
    </w:p>
    <w:p w14:paraId="4C9445CC" w14:textId="75C0F0CB" w:rsidR="009E25EB" w:rsidRPr="00C1152F" w:rsidRDefault="009E25EB" w:rsidP="009E25EB">
      <w:pPr>
        <w:jc w:val="both"/>
      </w:pPr>
      <w:r>
        <w:t xml:space="preserve">Grunntilskuddet ble innført for å styrke rekrutteringen til fastlegeordningen og utbetales </w:t>
      </w:r>
      <w:r w:rsidR="00C14D63">
        <w:t xml:space="preserve">til nye fastleger </w:t>
      </w:r>
      <w:r>
        <w:t xml:space="preserve">i stedet for basistilskudd. For leger med listetak over 500 innbyggere, men som for eksempel i en oppstartsfase har færre enn 500 </w:t>
      </w:r>
      <w:r w:rsidR="005C3355">
        <w:t>liste</w:t>
      </w:r>
      <w:r>
        <w:t xml:space="preserve">innbyggere, vil grunntilskudd tilsvare </w:t>
      </w:r>
      <w:r>
        <w:lastRenderedPageBreak/>
        <w:t>basistilskudd for 500 listeinnbyggere. Dermed er legen sikret en aktivitetsuavhengig årlig inntekt på minst 33</w:t>
      </w:r>
      <w:r w:rsidR="00D9107F">
        <w:t>7 500 kroner</w:t>
      </w:r>
      <w:r>
        <w:t xml:space="preserve"> (500 * 67</w:t>
      </w:r>
      <w:r w:rsidR="00D9107F">
        <w:t>5 kroner</w:t>
      </w:r>
      <w:r>
        <w:t>)</w:t>
      </w:r>
      <w:r w:rsidR="00C14D63">
        <w:t>,</w:t>
      </w:r>
      <w:r>
        <w:t xml:space="preserve"> selv om det skulle ta tid å få 500 </w:t>
      </w:r>
      <w:r w:rsidR="002A667E">
        <w:t>liste</w:t>
      </w:r>
      <w:r>
        <w:t>innbyggere. En lege kan motta grunntilskudd i inntil to år.</w:t>
      </w:r>
    </w:p>
    <w:p w14:paraId="0CB2F72B" w14:textId="77777777" w:rsidR="00D9107F" w:rsidRDefault="56F33994" w:rsidP="00775632">
      <w:pPr>
        <w:pStyle w:val="Overskrift4"/>
      </w:pPr>
      <w:bookmarkStart w:id="2365" w:name="_Toc130983491"/>
      <w:bookmarkStart w:id="2366" w:name="_Toc130983840"/>
      <w:bookmarkStart w:id="2367" w:name="_Toc131063698"/>
      <w:bookmarkStart w:id="2368" w:name="_Toc131238418"/>
      <w:bookmarkStart w:id="2369" w:name="_Toc131279449"/>
      <w:bookmarkStart w:id="2370" w:name="_Toc131286861"/>
      <w:bookmarkStart w:id="2371" w:name="_Toc131281271"/>
      <w:bookmarkStart w:id="2372" w:name="_Toc131317811"/>
      <w:r>
        <w:t>Utjamningstilskuddet</w:t>
      </w:r>
      <w:bookmarkEnd w:id="2365"/>
      <w:bookmarkEnd w:id="2366"/>
      <w:bookmarkEnd w:id="2367"/>
      <w:bookmarkEnd w:id="2368"/>
      <w:bookmarkEnd w:id="2369"/>
      <w:bookmarkEnd w:id="2370"/>
      <w:bookmarkEnd w:id="2371"/>
      <w:bookmarkEnd w:id="2372"/>
    </w:p>
    <w:p w14:paraId="7AB4D70C" w14:textId="592317F4" w:rsidR="00485FCC" w:rsidRDefault="009E25EB" w:rsidP="009E25EB">
      <w:pPr>
        <w:jc w:val="both"/>
      </w:pPr>
      <w:r>
        <w:t xml:space="preserve">Utjamningstilskuddet </w:t>
      </w:r>
      <w:r w:rsidRPr="0037099D">
        <w:t xml:space="preserve">kan utbetales til næringsdrivende fastleger i kommuner med mindre enn </w:t>
      </w:r>
      <w:r w:rsidR="00D9107F" w:rsidRPr="0037099D">
        <w:t>5</w:t>
      </w:r>
      <w:r w:rsidR="00D9107F">
        <w:t> </w:t>
      </w:r>
      <w:r w:rsidR="00D9107F" w:rsidRPr="0037099D">
        <w:t>000</w:t>
      </w:r>
      <w:r>
        <w:t xml:space="preserve"> </w:t>
      </w:r>
      <w:r w:rsidRPr="0037099D">
        <w:t xml:space="preserve">innbyggere, der gjennomsnittlig listelengde er mindre enn </w:t>
      </w:r>
      <w:r w:rsidR="00D9107F" w:rsidRPr="0037099D">
        <w:t>1</w:t>
      </w:r>
      <w:r w:rsidR="00D9107F">
        <w:t> </w:t>
      </w:r>
      <w:r w:rsidR="00D9107F" w:rsidRPr="0037099D">
        <w:t>200</w:t>
      </w:r>
      <w:r w:rsidRPr="0037099D">
        <w:t>.</w:t>
      </w:r>
      <w:r w:rsidRPr="004D5BDB">
        <w:t xml:space="preserve"> </w:t>
      </w:r>
      <w:r>
        <w:t>T</w:t>
      </w:r>
      <w:r w:rsidRPr="004D5BDB">
        <w:t xml:space="preserve">ilskuddet beregnes som basistilskudd for differansen mellom referanselisten på </w:t>
      </w:r>
      <w:r w:rsidR="00D9107F" w:rsidRPr="004D5BDB">
        <w:t>1</w:t>
      </w:r>
      <w:r w:rsidR="00D9107F">
        <w:t> </w:t>
      </w:r>
      <w:r w:rsidR="00D9107F" w:rsidRPr="004D5BDB">
        <w:t>200</w:t>
      </w:r>
      <w:r w:rsidRPr="004D5BDB">
        <w:t xml:space="preserve"> innbyggere og gjennomsnittlig listelengde i kommunen.</w:t>
      </w:r>
      <w:r w:rsidR="00485FCC">
        <w:t xml:space="preserve"> Utjamningstilskuddet er likt for alle de næringsdrivende legene i kommunen. I en kommune med gjennomsnittlig listelengde på 900, vil hver næringsdrivende fastlege altså få utbetalt et utjamningstilskudd tilsvarende basistilskuddet for 300 listeinnbyggere.</w:t>
      </w:r>
    </w:p>
    <w:p w14:paraId="46AADDD2" w14:textId="5608A1ED" w:rsidR="009E25EB" w:rsidRDefault="56F33994" w:rsidP="00775632">
      <w:pPr>
        <w:pStyle w:val="Overskrift4"/>
      </w:pPr>
      <w:bookmarkStart w:id="2373" w:name="_Toc130983492"/>
      <w:bookmarkStart w:id="2374" w:name="_Toc130983841"/>
      <w:bookmarkStart w:id="2375" w:name="_Toc131063699"/>
      <w:bookmarkStart w:id="2376" w:name="_Toc131238419"/>
      <w:bookmarkStart w:id="2377" w:name="_Toc131279450"/>
      <w:bookmarkStart w:id="2378" w:name="_Toc131286862"/>
      <w:bookmarkStart w:id="2379" w:name="_Toc131281272"/>
      <w:bookmarkStart w:id="2380" w:name="_Toc131317812"/>
      <w:r>
        <w:t>Kommunenes midler til basisfinansiering</w:t>
      </w:r>
      <w:bookmarkEnd w:id="2373"/>
      <w:bookmarkEnd w:id="2374"/>
      <w:bookmarkEnd w:id="2375"/>
      <w:bookmarkEnd w:id="2376"/>
      <w:bookmarkEnd w:id="2377"/>
      <w:bookmarkEnd w:id="2378"/>
      <w:bookmarkEnd w:id="2379"/>
      <w:bookmarkEnd w:id="2380"/>
    </w:p>
    <w:p w14:paraId="2C367BAD" w14:textId="77777777" w:rsidR="00D9107F" w:rsidRDefault="009E25EB" w:rsidP="009E25EB">
      <w:pPr>
        <w:jc w:val="both"/>
      </w:pPr>
      <w:r>
        <w:t xml:space="preserve">Dekning av basisfinansieringen inngår i statens generelle overføringer til kommunene, og det er ingen øremerking av disse midlene til fastlegene. Fordelingen mellom kommunene justeres ihht. den vanlige delkostnadsnøkkelen for kommunehelse. Pasientflyt over kommunegrensene håndteres gjennom gjesteinnbyggeroppgjøret. I praksis er det derfor ingen automatikk i at en nasjonal økning i basisfinansieringen til fastlegene innebærer en økning i </w:t>
      </w:r>
      <w:r w:rsidR="00C14D63">
        <w:t xml:space="preserve">lege- eller </w:t>
      </w:r>
      <w:r>
        <w:t>helsebudsjettet i en kommune, da det på vanlig måte er opp til kommunen å prioritere om den vil benytte økte overføringer fra staten til skole, kultur, helse, osv.</w:t>
      </w:r>
    </w:p>
    <w:p w14:paraId="6B373523" w14:textId="77777777" w:rsidR="00D9107F" w:rsidRDefault="009E25EB" w:rsidP="00E167BB">
      <w:pPr>
        <w:jc w:val="both"/>
      </w:pPr>
      <w:r>
        <w:t xml:space="preserve">For næringsdrivende fastleger i hovedmodellen vil en økning i basistilskuddet i sin helhet tilfalle dem, som en utbetaling fra kommunen, men det er opp til kommunens </w:t>
      </w:r>
      <w:r w:rsidR="00C14D63">
        <w:t xml:space="preserve">økonomi og </w:t>
      </w:r>
      <w:r>
        <w:t>prioriteringer hvor inndekningen hentes fra. For kommunalt ansatte fastleger vil økningen i basistilskuddet normalt ikke endre deres lønn, og det er opp til kommunen om den velger å benytte den økte basisfinansieringen til å styrke fastlegetjenesten</w:t>
      </w:r>
      <w:r w:rsidR="00A0308A">
        <w:t>.</w:t>
      </w:r>
      <w:r>
        <w:t xml:space="preserve"> I kommuner med bare næringsdrivende leger etter hovedmodellen vil en økning i basistilskuddet ikke styrke kommuneøkonomien, mens den kommunale økonomien vil kunne bli styrket av økt basistilskudd i kommuner med kommunalt ansatte fastleger.</w:t>
      </w:r>
    </w:p>
    <w:p w14:paraId="604F8D13" w14:textId="413361AE" w:rsidR="006B0C77" w:rsidRDefault="006B0C77" w:rsidP="00C33652">
      <w:r w:rsidRPr="03E026A2">
        <w:t>Overføringssystemet fra stat til kommune (helsenøkkelen) vil ikke bli endret fra 1.</w:t>
      </w:r>
      <w:r w:rsidR="00F6746D" w:rsidRPr="03E026A2">
        <w:t xml:space="preserve"> mai </w:t>
      </w:r>
      <w:r w:rsidRPr="03E026A2">
        <w:t xml:space="preserve">2023, når pasienttilpasset basistilskudd innføres. Men kommunene vil </w:t>
      </w:r>
      <w:r w:rsidRPr="03E026A2">
        <w:rPr>
          <w:i/>
        </w:rPr>
        <w:t>samlet sett</w:t>
      </w:r>
      <w:r w:rsidRPr="03E026A2">
        <w:t xml:space="preserve"> få styrket økonomien for å ivareta at basistilskuddet økes.</w:t>
      </w:r>
    </w:p>
    <w:p w14:paraId="5B11D767" w14:textId="083CA484" w:rsidR="009E25EB" w:rsidRPr="00F53177" w:rsidRDefault="56F33994" w:rsidP="00775632">
      <w:pPr>
        <w:pStyle w:val="Overskrift3"/>
      </w:pPr>
      <w:bookmarkStart w:id="2381" w:name="_Toc126834360"/>
      <w:bookmarkStart w:id="2382" w:name="_Toc127633235"/>
      <w:bookmarkStart w:id="2383" w:name="_Toc127864521"/>
      <w:bookmarkStart w:id="2384" w:name="_Toc128238529"/>
      <w:bookmarkStart w:id="2385" w:name="_Toc128742000"/>
      <w:bookmarkStart w:id="2386" w:name="_Toc128744595"/>
      <w:bookmarkStart w:id="2387" w:name="_Toc128744814"/>
      <w:bookmarkStart w:id="2388" w:name="_Toc129630317"/>
      <w:bookmarkStart w:id="2389" w:name="_Toc130763820"/>
      <w:bookmarkStart w:id="2390" w:name="_Toc130766715"/>
      <w:bookmarkStart w:id="2391" w:name="_Toc130932115"/>
      <w:bookmarkStart w:id="2392" w:name="_Toc130934406"/>
      <w:bookmarkStart w:id="2393" w:name="_Toc130983493"/>
      <w:bookmarkStart w:id="2394" w:name="_Toc130983842"/>
      <w:bookmarkStart w:id="2395" w:name="_Toc131062160"/>
      <w:bookmarkStart w:id="2396" w:name="_Toc131062414"/>
      <w:bookmarkStart w:id="2397" w:name="_Toc131062675"/>
      <w:bookmarkStart w:id="2398" w:name="_Toc131062928"/>
      <w:bookmarkStart w:id="2399" w:name="_Toc131063700"/>
      <w:bookmarkStart w:id="2400" w:name="_Toc131064121"/>
      <w:bookmarkStart w:id="2401" w:name="_Toc131238420"/>
      <w:bookmarkStart w:id="2402" w:name="_Toc131279451"/>
      <w:bookmarkStart w:id="2403" w:name="_Toc131286863"/>
      <w:bookmarkStart w:id="2404" w:name="_Toc131281273"/>
      <w:bookmarkStart w:id="2405" w:name="_Toc131317813"/>
      <w:bookmarkStart w:id="2406" w:name="_Toc132536981"/>
      <w:r>
        <w:t>Den aktivitetsbaserte finansieringen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1F98620D" w14:textId="77777777" w:rsidR="00D9107F" w:rsidRDefault="009E25EB" w:rsidP="009E25EB">
      <w:pPr>
        <w:jc w:val="both"/>
      </w:pPr>
      <w:r>
        <w:t xml:space="preserve">Takstrefusjoner og egenandeler utgjør de to aktivitetsbaserte delene av finansieringen i fastlegeordningen, og til sammen utgjør de per 2022 </w:t>
      </w:r>
      <w:r w:rsidR="00E75CB5">
        <w:t>drøyt</w:t>
      </w:r>
      <w:r>
        <w:t xml:space="preserve"> 70 prosent av finansieringen.</w:t>
      </w:r>
    </w:p>
    <w:p w14:paraId="3E295B8D" w14:textId="3FFE7341" w:rsidR="009E25EB" w:rsidRDefault="00630FFA" w:rsidP="009E25EB">
      <w:pPr>
        <w:jc w:val="both"/>
      </w:pPr>
      <w:r>
        <w:t>Formelt er t</w:t>
      </w:r>
      <w:r w:rsidR="009E25EB" w:rsidRPr="00337519">
        <w:t xml:space="preserve">akstene det beløpet folketrygden gir i stønad til den enkelte pasient i forbindelse med </w:t>
      </w:r>
      <w:r w:rsidR="009E25EB">
        <w:t xml:space="preserve">undersøkelse eller </w:t>
      </w:r>
      <w:r w:rsidR="009E25EB" w:rsidRPr="00337519">
        <w:t>behandling</w:t>
      </w:r>
      <w:r w:rsidR="001E0472">
        <w:t xml:space="preserve"> hos fastlege</w:t>
      </w:r>
      <w:r w:rsidR="009E25EB" w:rsidRPr="00337519">
        <w:t xml:space="preserve">. Gjennom direkteoppgjørsordningen mottar </w:t>
      </w:r>
      <w:r w:rsidR="009E25EB" w:rsidRPr="00337519">
        <w:lastRenderedPageBreak/>
        <w:t>legene refusjonene direkte</w:t>
      </w:r>
      <w:r w:rsidR="009E25EB">
        <w:t xml:space="preserve"> fra staten ved Helfo. For leger som er ansatt i kommunen, tilfaller den aktivitetsbaserte finansieringen normalt kommunen. Uansett er det</w:t>
      </w:r>
      <w:r w:rsidR="009E25EB" w:rsidRPr="00337519">
        <w:t xml:space="preserve"> en forutsetning for å kunne </w:t>
      </w:r>
      <w:r w:rsidR="006C5BC3">
        <w:t xml:space="preserve">utløse </w:t>
      </w:r>
      <w:r w:rsidR="00C85A55">
        <w:t>takster</w:t>
      </w:r>
      <w:r w:rsidR="00566F2E">
        <w:t>,</w:t>
      </w:r>
      <w:r w:rsidR="009E25EB" w:rsidRPr="00337519">
        <w:t xml:space="preserve"> at legen har fastlegeavtale med kommunen</w:t>
      </w:r>
      <w:r w:rsidR="009E25EB">
        <w:t>.</w:t>
      </w:r>
    </w:p>
    <w:p w14:paraId="53AA14C7" w14:textId="4F12A256" w:rsidR="009E25EB" w:rsidRDefault="009E25EB" w:rsidP="009E25EB">
      <w:pPr>
        <w:jc w:val="both"/>
      </w:pPr>
      <w:r>
        <w:t>Refusjonene kommer fra folketrygden</w:t>
      </w:r>
      <w:r w:rsidR="00635E7A">
        <w:t>,</w:t>
      </w:r>
      <w:r>
        <w:t xml:space="preserve"> som legger rammer for hvilke aktiviteter som kan utløse stønad (undersøkelse og behandling hos lege). Kravet i folketrygdloven </w:t>
      </w:r>
      <w:r w:rsidR="00D9107F">
        <w:t>§ 5</w:t>
      </w:r>
      <w:r>
        <w:t xml:space="preserve">-4, jf. </w:t>
      </w:r>
      <w:r w:rsidR="00D9107F">
        <w:t>§ 5</w:t>
      </w:r>
      <w:r>
        <w:t>-1 om at refusjon kun ytes ved sykdom, skade eller lyte, gjør at folkehelsearbeid og primærforebygging faller utenfor takstsystemet som fastlegene får refusjon etter.</w:t>
      </w:r>
    </w:p>
    <w:p w14:paraId="0BF234B5" w14:textId="77777777" w:rsidR="00D9107F" w:rsidRDefault="009E25EB" w:rsidP="009E25EB">
      <w:pPr>
        <w:jc w:val="both"/>
      </w:pPr>
      <w:r>
        <w:t>Den aktivitetsbaserte finansieringen er en form for tredjepartsfinansiering. Det er kommunen som har sørge-for-ansvar for fastlegetjenestene, samtidig som staten står for hoveddelen av finansieringen.</w:t>
      </w:r>
    </w:p>
    <w:p w14:paraId="6062791C" w14:textId="77777777" w:rsidR="00D9107F" w:rsidRDefault="009E25EB" w:rsidP="009E25EB">
      <w:pPr>
        <w:jc w:val="both"/>
      </w:pPr>
      <w:r>
        <w:t>I tillegg til takstrefusjonene betaler pasientene egenandeler. Pasienten har et tak for hvor mye egenandeler som kan betales i løpet av et år</w:t>
      </w:r>
      <w:r w:rsidRPr="00D9107F">
        <w:rPr>
          <w:rStyle w:val="Fotnotereferanse"/>
        </w:rPr>
        <w:footnoteReference w:id="18"/>
      </w:r>
      <w:r>
        <w:t>, og når taket nås</w:t>
      </w:r>
      <w:r w:rsidR="00282182">
        <w:t>,</w:t>
      </w:r>
      <w:r>
        <w:t xml:space="preserve"> får fastlegen refundert ytterligere egenandeler fra folketrygden.</w:t>
      </w:r>
    </w:p>
    <w:p w14:paraId="249A88FD" w14:textId="77777777" w:rsidR="00D9107F" w:rsidRDefault="009E25EB" w:rsidP="009E25EB">
      <w:pPr>
        <w:jc w:val="both"/>
      </w:pPr>
      <w:r>
        <w:t>Fastlegene yter også tjenester som faller utenfor de offentlige finansieringsordningene. Dette kan være attester og erklæringer, eksempelvis helseattest for bilførere eller til forsikringsselskaper. De fleste slike tjenester må listeinnbyggeren eller forsikringsselskapet selv betale for i sin helhet.</w:t>
      </w:r>
    </w:p>
    <w:p w14:paraId="509B72C2" w14:textId="3CCD21E8" w:rsidR="00E01A25" w:rsidRDefault="00121C19" w:rsidP="00775632">
      <w:pPr>
        <w:pStyle w:val="Overskrift3"/>
      </w:pPr>
      <w:bookmarkStart w:id="2407" w:name="_Toc130763821"/>
      <w:bookmarkStart w:id="2408" w:name="_Toc130766716"/>
      <w:bookmarkStart w:id="2409" w:name="_Toc130932116"/>
      <w:bookmarkStart w:id="2410" w:name="_Toc130934407"/>
      <w:bookmarkStart w:id="2411" w:name="_Toc130983494"/>
      <w:bookmarkStart w:id="2412" w:name="_Toc130983843"/>
      <w:bookmarkStart w:id="2413" w:name="_Toc131062161"/>
      <w:bookmarkStart w:id="2414" w:name="_Toc131062415"/>
      <w:bookmarkStart w:id="2415" w:name="_Toc131062676"/>
      <w:bookmarkStart w:id="2416" w:name="_Toc131062929"/>
      <w:bookmarkStart w:id="2417" w:name="_Toc131063701"/>
      <w:bookmarkStart w:id="2418" w:name="_Toc131064122"/>
      <w:bookmarkStart w:id="2419" w:name="_Toc131238421"/>
      <w:bookmarkStart w:id="2420" w:name="_Toc131279452"/>
      <w:bookmarkStart w:id="2421" w:name="_Toc131286864"/>
      <w:bookmarkStart w:id="2422" w:name="_Toc131281274"/>
      <w:bookmarkStart w:id="2423" w:name="_Toc131317814"/>
      <w:bookmarkStart w:id="2424" w:name="_Toc132536982"/>
      <w:r>
        <w:t>Om takstsystemet</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14:paraId="433753F1" w14:textId="77777777" w:rsidR="00D9107F" w:rsidRDefault="00F52A70" w:rsidP="00767443">
      <w:pPr>
        <w:jc w:val="both"/>
      </w:pPr>
      <w:r w:rsidRPr="00361EE8">
        <w:t>Takst</w:t>
      </w:r>
      <w:r>
        <w:t>ene</w:t>
      </w:r>
      <w:r w:rsidRPr="00361EE8">
        <w:t xml:space="preserve"> </w:t>
      </w:r>
      <w:r>
        <w:t>beskriver</w:t>
      </w:r>
      <w:r w:rsidRPr="00361EE8">
        <w:t xml:space="preserve"> hvilken type legehjelp </w:t>
      </w:r>
      <w:r>
        <w:t>legene</w:t>
      </w:r>
      <w:r w:rsidRPr="00361EE8">
        <w:t xml:space="preserve"> kan kreve dekning for via takstene</w:t>
      </w:r>
      <w:r w:rsidR="00635E7A">
        <w:t>,</w:t>
      </w:r>
      <w:r w:rsidRPr="00361EE8">
        <w:t xml:space="preserve"> og hva betalingen for hver takst er.</w:t>
      </w:r>
      <w:r w:rsidRPr="00762B38">
        <w:t xml:space="preserve"> Videre beskrive</w:t>
      </w:r>
      <w:r w:rsidR="00114DB5">
        <w:t>s</w:t>
      </w:r>
      <w:r w:rsidRPr="00762B38">
        <w:t xml:space="preserve"> hvilke takster som kan benyttes ved de ulike kontaktformene</w:t>
      </w:r>
      <w:r>
        <w:t>,</w:t>
      </w:r>
      <w:r w:rsidRPr="00762B38">
        <w:t xml:space="preserve"> prosedyrene og prøvene som blir gjort, ved å beskrive hvilke vilkår som må være oppfylt for å utløse takstene.</w:t>
      </w:r>
    </w:p>
    <w:p w14:paraId="1E1E54D7" w14:textId="7AFFD265" w:rsidR="006C2801" w:rsidRDefault="00ED2E09" w:rsidP="00767443">
      <w:pPr>
        <w:jc w:val="both"/>
      </w:pPr>
      <w:r>
        <w:t>Fra e</w:t>
      </w:r>
      <w:r w:rsidR="006C2801">
        <w:t xml:space="preserve">t </w:t>
      </w:r>
      <w:r>
        <w:t xml:space="preserve">samfunnsperspektiv </w:t>
      </w:r>
      <w:r w:rsidR="00A60175">
        <w:t xml:space="preserve">kan </w:t>
      </w:r>
      <w:r>
        <w:t xml:space="preserve">flere hensyn ligge til grunn for </w:t>
      </w:r>
      <w:r w:rsidR="00E31523">
        <w:t xml:space="preserve">et </w:t>
      </w:r>
      <w:r w:rsidR="006C2801">
        <w:t>takstsystem</w:t>
      </w:r>
      <w:r w:rsidR="00E31523">
        <w:t>:</w:t>
      </w:r>
    </w:p>
    <w:p w14:paraId="4E071FD3" w14:textId="77777777" w:rsidR="00D9107F" w:rsidRDefault="00155189" w:rsidP="00775632">
      <w:pPr>
        <w:pStyle w:val="Nummerertliste"/>
        <w:numPr>
          <w:ilvl w:val="0"/>
          <w:numId w:val="43"/>
        </w:numPr>
      </w:pPr>
      <w:r w:rsidRPr="002536A5">
        <w:t xml:space="preserve">Takstene </w:t>
      </w:r>
      <w:r w:rsidR="00216F44">
        <w:t>er</w:t>
      </w:r>
      <w:r w:rsidRPr="002536A5">
        <w:t xml:space="preserve"> </w:t>
      </w:r>
      <w:r w:rsidR="00E31523" w:rsidRPr="002536A5">
        <w:t>kostnadsnøytrale</w:t>
      </w:r>
      <w:r w:rsidR="00803707" w:rsidRPr="002536A5">
        <w:t xml:space="preserve">: </w:t>
      </w:r>
      <w:r w:rsidR="00FC48E4" w:rsidRPr="002536A5">
        <w:t>Taksten</w:t>
      </w:r>
      <w:r w:rsidR="00803707" w:rsidRPr="002536A5">
        <w:t xml:space="preserve"> </w:t>
      </w:r>
      <w:r w:rsidR="00FC48E4" w:rsidRPr="002536A5">
        <w:t>avhenge</w:t>
      </w:r>
      <w:r w:rsidR="00F339CE">
        <w:t>r da</w:t>
      </w:r>
      <w:r w:rsidR="00F9154D" w:rsidRPr="002536A5">
        <w:t xml:space="preserve"> av </w:t>
      </w:r>
      <w:r w:rsidR="00FC48E4" w:rsidRPr="002536A5">
        <w:t>hvor mye det koster å produsere en tjeneste</w:t>
      </w:r>
      <w:r w:rsidR="00635E7A">
        <w:t>,</w:t>
      </w:r>
      <w:r w:rsidR="00FC48E4" w:rsidRPr="002536A5">
        <w:t xml:space="preserve"> selv </w:t>
      </w:r>
      <w:r w:rsidR="00A17957">
        <w:t>når</w:t>
      </w:r>
      <w:r w:rsidR="00F9154D" w:rsidRPr="002536A5">
        <w:t xml:space="preserve"> tjenestene</w:t>
      </w:r>
      <w:r w:rsidR="00FC48E4" w:rsidRPr="002536A5">
        <w:t xml:space="preserve"> er t</w:t>
      </w:r>
      <w:r w:rsidR="00803707" w:rsidRPr="002536A5">
        <w:t>il</w:t>
      </w:r>
      <w:r w:rsidR="00524F46" w:rsidRPr="002536A5">
        <w:t>nærmet likeverdige</w:t>
      </w:r>
      <w:r w:rsidR="00FC48E4" w:rsidRPr="002536A5">
        <w:t>.</w:t>
      </w:r>
    </w:p>
    <w:p w14:paraId="74D66FD2" w14:textId="3C9C2A14" w:rsidR="009C6A23" w:rsidRPr="009C487A" w:rsidRDefault="009C6A23" w:rsidP="00775632">
      <w:pPr>
        <w:pStyle w:val="Nummerertliste"/>
        <w:numPr>
          <w:ilvl w:val="0"/>
          <w:numId w:val="43"/>
        </w:numPr>
      </w:pPr>
      <w:r w:rsidRPr="002536A5">
        <w:t xml:space="preserve">Takstene </w:t>
      </w:r>
      <w:r w:rsidR="00195E82">
        <w:t>er</w:t>
      </w:r>
      <w:r w:rsidRPr="002536A5">
        <w:t xml:space="preserve"> teknologinøytrale</w:t>
      </w:r>
      <w:r w:rsidR="00F717D1" w:rsidRPr="002536A5">
        <w:t xml:space="preserve">: Tilnærmet likeverdige tjenester </w:t>
      </w:r>
      <w:r w:rsidR="00371F5A" w:rsidRPr="002536A5">
        <w:t>ha</w:t>
      </w:r>
      <w:r w:rsidR="00F339CE">
        <w:t>r</w:t>
      </w:r>
      <w:r w:rsidR="00371F5A" w:rsidRPr="002536A5">
        <w:t xml:space="preserve"> </w:t>
      </w:r>
      <w:r w:rsidR="00F339CE">
        <w:t xml:space="preserve">da </w:t>
      </w:r>
      <w:r w:rsidR="00371F5A" w:rsidRPr="002536A5">
        <w:t>samme takst</w:t>
      </w:r>
      <w:r w:rsidR="00635E7A">
        <w:t>,</w:t>
      </w:r>
      <w:r w:rsidR="00371F5A" w:rsidRPr="002536A5">
        <w:t xml:space="preserve"> </w:t>
      </w:r>
      <w:r w:rsidR="00892CAB" w:rsidRPr="002536A5">
        <w:t xml:space="preserve">uavhengig av om kostnadene </w:t>
      </w:r>
      <w:r w:rsidR="00D67A70" w:rsidRPr="002536A5">
        <w:t>ved å produ</w:t>
      </w:r>
      <w:r w:rsidR="00143DAC">
        <w:t>s</w:t>
      </w:r>
      <w:r w:rsidR="00D67A70" w:rsidRPr="002536A5">
        <w:t xml:space="preserve">ere tjenestene </w:t>
      </w:r>
      <w:r w:rsidR="00892CAB" w:rsidRPr="002536A5">
        <w:t>er ulike</w:t>
      </w:r>
      <w:r w:rsidR="00D67A70" w:rsidRPr="002536A5">
        <w:t>.</w:t>
      </w:r>
    </w:p>
    <w:p w14:paraId="2B9164B6" w14:textId="411234B1" w:rsidR="00D67A70" w:rsidRPr="009C487A" w:rsidRDefault="0020244F" w:rsidP="00775632">
      <w:pPr>
        <w:pStyle w:val="Nummerertliste"/>
        <w:numPr>
          <w:ilvl w:val="0"/>
          <w:numId w:val="43"/>
        </w:numPr>
      </w:pPr>
      <w:r w:rsidRPr="00E22222">
        <w:t xml:space="preserve">Takstene brukes </w:t>
      </w:r>
      <w:r w:rsidR="00DE2447" w:rsidRPr="00E22222">
        <w:t>som et redskap til å prioritere ønsket aktivitet</w:t>
      </w:r>
      <w:r w:rsidR="00656958">
        <w:t xml:space="preserve"> (det motsatte av prioriteringsnøytral)</w:t>
      </w:r>
      <w:r w:rsidR="00464F06" w:rsidRPr="00E22222">
        <w:t>.</w:t>
      </w:r>
    </w:p>
    <w:p w14:paraId="3BE4D32F" w14:textId="77777777" w:rsidR="00D9107F" w:rsidRDefault="0001367D" w:rsidP="0050274C">
      <w:pPr>
        <w:jc w:val="both"/>
        <w:rPr>
          <w:rFonts w:cstheme="minorHAnsi"/>
        </w:rPr>
      </w:pPr>
      <w:r>
        <w:rPr>
          <w:rFonts w:cstheme="minorHAnsi"/>
        </w:rPr>
        <w:lastRenderedPageBreak/>
        <w:t xml:space="preserve">Hvilket takstsystem </w:t>
      </w:r>
      <w:r w:rsidR="00B10D93">
        <w:rPr>
          <w:rFonts w:cstheme="minorHAnsi"/>
        </w:rPr>
        <w:t>en beslutningstaker</w:t>
      </w:r>
      <w:r>
        <w:rPr>
          <w:rFonts w:cstheme="minorHAnsi"/>
        </w:rPr>
        <w:t xml:space="preserve"> foretrekker, vil avhenge av hvordan </w:t>
      </w:r>
      <w:r w:rsidR="00D31D2F">
        <w:rPr>
          <w:rFonts w:cstheme="minorHAnsi"/>
        </w:rPr>
        <w:t>de ulike hensynene</w:t>
      </w:r>
      <w:r w:rsidR="00B10D93">
        <w:rPr>
          <w:rFonts w:cstheme="minorHAnsi"/>
        </w:rPr>
        <w:t xml:space="preserve"> vektes</w:t>
      </w:r>
      <w:r w:rsidR="00D31D2F">
        <w:rPr>
          <w:rFonts w:cstheme="minorHAnsi"/>
        </w:rPr>
        <w:t xml:space="preserve">. </w:t>
      </w:r>
      <w:r w:rsidR="00965CF5">
        <w:rPr>
          <w:rFonts w:cstheme="minorHAnsi"/>
        </w:rPr>
        <w:t>Et eksempel</w:t>
      </w:r>
      <w:r w:rsidR="00925DE0">
        <w:rPr>
          <w:rFonts w:cstheme="minorHAnsi"/>
        </w:rPr>
        <w:t xml:space="preserve"> kan belyse avvein</w:t>
      </w:r>
      <w:r w:rsidR="00B7588B">
        <w:rPr>
          <w:rFonts w:cstheme="minorHAnsi"/>
        </w:rPr>
        <w:t>in</w:t>
      </w:r>
      <w:r w:rsidR="00925DE0">
        <w:rPr>
          <w:rFonts w:cstheme="minorHAnsi"/>
        </w:rPr>
        <w:t>gen.</w:t>
      </w:r>
      <w:r w:rsidR="00B7588B">
        <w:rPr>
          <w:rFonts w:cstheme="minorHAnsi"/>
        </w:rPr>
        <w:t xml:space="preserve"> En konsultasjon med fastlegen kan enten skje ved frammøte på legekontoret</w:t>
      </w:r>
      <w:r w:rsidR="001D648E">
        <w:rPr>
          <w:rFonts w:cstheme="minorHAnsi"/>
        </w:rPr>
        <w:t xml:space="preserve"> eller elektronisk</w:t>
      </w:r>
      <w:r w:rsidR="00635E7A">
        <w:rPr>
          <w:rFonts w:cstheme="minorHAnsi"/>
        </w:rPr>
        <w:t>,</w:t>
      </w:r>
      <w:r w:rsidR="001D648E">
        <w:rPr>
          <w:rFonts w:cstheme="minorHAnsi"/>
        </w:rPr>
        <w:t xml:space="preserve"> ved hjelp av video, telefon eller </w:t>
      </w:r>
      <w:r w:rsidR="00422BCC">
        <w:rPr>
          <w:rFonts w:cstheme="minorHAnsi"/>
        </w:rPr>
        <w:t>tekst-samtale</w:t>
      </w:r>
      <w:r w:rsidR="001D648E">
        <w:rPr>
          <w:rFonts w:cstheme="minorHAnsi"/>
        </w:rPr>
        <w:t>.</w:t>
      </w:r>
      <w:r w:rsidR="00246041">
        <w:rPr>
          <w:rFonts w:cstheme="minorHAnsi"/>
        </w:rPr>
        <w:t xml:space="preserve"> I dag er </w:t>
      </w:r>
      <w:r w:rsidR="0019661D">
        <w:rPr>
          <w:rFonts w:cstheme="minorHAnsi"/>
        </w:rPr>
        <w:t>konsultasjons</w:t>
      </w:r>
      <w:r w:rsidR="00246041">
        <w:rPr>
          <w:rFonts w:cstheme="minorHAnsi"/>
        </w:rPr>
        <w:t>taksten</w:t>
      </w:r>
      <w:r w:rsidR="0019661D">
        <w:rPr>
          <w:rFonts w:cstheme="minorHAnsi"/>
        </w:rPr>
        <w:t xml:space="preserve"> på dagtid de</w:t>
      </w:r>
      <w:r w:rsidR="00B86346">
        <w:rPr>
          <w:rFonts w:cstheme="minorHAnsi"/>
        </w:rPr>
        <w:t>n</w:t>
      </w:r>
      <w:r w:rsidR="0019661D">
        <w:rPr>
          <w:rFonts w:cstheme="minorHAnsi"/>
        </w:rPr>
        <w:t xml:space="preserve"> samme</w:t>
      </w:r>
      <w:r w:rsidR="00635E7A">
        <w:rPr>
          <w:rFonts w:cstheme="minorHAnsi"/>
        </w:rPr>
        <w:t>,</w:t>
      </w:r>
      <w:r w:rsidR="0019661D">
        <w:rPr>
          <w:rFonts w:cstheme="minorHAnsi"/>
        </w:rPr>
        <w:t xml:space="preserve"> uavhengig av </w:t>
      </w:r>
      <w:r w:rsidR="00B86346">
        <w:rPr>
          <w:rFonts w:cstheme="minorHAnsi"/>
        </w:rPr>
        <w:t xml:space="preserve">konsultasjonsmåte. Det medfører at taksten er teknologinøytral. </w:t>
      </w:r>
      <w:r w:rsidR="003E4A58">
        <w:rPr>
          <w:rFonts w:cstheme="minorHAnsi"/>
        </w:rPr>
        <w:t xml:space="preserve">Dersom takstene skulle være kostnadsnøytrale, skulle trolig takstene for konsultasjon på legekontoret </w:t>
      </w:r>
      <w:r w:rsidR="00E22222">
        <w:rPr>
          <w:rFonts w:cstheme="minorHAnsi"/>
        </w:rPr>
        <w:t>og for videokonsultasjon vært større en</w:t>
      </w:r>
      <w:r w:rsidR="00635E7A">
        <w:rPr>
          <w:rFonts w:cstheme="minorHAnsi"/>
        </w:rPr>
        <w:t>n</w:t>
      </w:r>
      <w:r w:rsidR="00E22222">
        <w:rPr>
          <w:rFonts w:cstheme="minorHAnsi"/>
        </w:rPr>
        <w:t xml:space="preserve"> taksten for </w:t>
      </w:r>
      <w:r w:rsidR="00153A2E">
        <w:rPr>
          <w:rFonts w:cstheme="minorHAnsi"/>
        </w:rPr>
        <w:t>tekst-</w:t>
      </w:r>
      <w:r w:rsidR="00E22222">
        <w:rPr>
          <w:rFonts w:cstheme="minorHAnsi"/>
        </w:rPr>
        <w:t xml:space="preserve">konsultasjon. </w:t>
      </w:r>
      <w:r w:rsidR="0009756A">
        <w:rPr>
          <w:rFonts w:cstheme="minorHAnsi"/>
        </w:rPr>
        <w:t xml:space="preserve">Det kan også tenkes at </w:t>
      </w:r>
      <w:r w:rsidR="00635E7A">
        <w:rPr>
          <w:rFonts w:cstheme="minorHAnsi"/>
        </w:rPr>
        <w:t>en</w:t>
      </w:r>
      <w:r w:rsidR="0009756A">
        <w:rPr>
          <w:rFonts w:cstheme="minorHAnsi"/>
        </w:rPr>
        <w:t xml:space="preserve"> ønsker å signalisere til fastlegen at en bestemt aktivitet er ønsket</w:t>
      </w:r>
      <w:r w:rsidR="00FB28FE">
        <w:rPr>
          <w:rFonts w:cstheme="minorHAnsi"/>
        </w:rPr>
        <w:t>,</w:t>
      </w:r>
      <w:r w:rsidR="0009756A">
        <w:rPr>
          <w:rFonts w:cstheme="minorHAnsi"/>
        </w:rPr>
        <w:t xml:space="preserve"> ved å øke taksten uavhengig av </w:t>
      </w:r>
      <w:r w:rsidR="004010E0">
        <w:rPr>
          <w:rFonts w:cstheme="minorHAnsi"/>
        </w:rPr>
        <w:t>kostnaden ved å skaffe til veie tjenesten</w:t>
      </w:r>
      <w:r w:rsidR="008D34D7">
        <w:rPr>
          <w:rFonts w:cstheme="minorHAnsi"/>
        </w:rPr>
        <w:t>, jf</w:t>
      </w:r>
      <w:r w:rsidR="00C92BE7">
        <w:rPr>
          <w:rFonts w:cstheme="minorHAnsi"/>
        </w:rPr>
        <w:t>.</w:t>
      </w:r>
      <w:r w:rsidR="008D34D7">
        <w:rPr>
          <w:rFonts w:cstheme="minorHAnsi"/>
        </w:rPr>
        <w:t xml:space="preserve"> punkt 3.</w:t>
      </w:r>
      <w:r w:rsidR="00392DAB">
        <w:rPr>
          <w:rFonts w:cstheme="minorHAnsi"/>
        </w:rPr>
        <w:t xml:space="preserve"> I eksemplet</w:t>
      </w:r>
      <w:r w:rsidR="00656958">
        <w:rPr>
          <w:rFonts w:cstheme="minorHAnsi"/>
        </w:rPr>
        <w:t xml:space="preserve"> </w:t>
      </w:r>
      <w:r w:rsidR="00635E7A">
        <w:rPr>
          <w:rFonts w:cstheme="minorHAnsi"/>
        </w:rPr>
        <w:t>over</w:t>
      </w:r>
      <w:r w:rsidR="00656958">
        <w:rPr>
          <w:rFonts w:cstheme="minorHAnsi"/>
        </w:rPr>
        <w:t xml:space="preserve"> kan </w:t>
      </w:r>
      <w:r w:rsidR="00C8203D">
        <w:rPr>
          <w:rFonts w:cstheme="minorHAnsi"/>
        </w:rPr>
        <w:t>like takster uav</w:t>
      </w:r>
      <w:r w:rsidR="00892642">
        <w:rPr>
          <w:rFonts w:cstheme="minorHAnsi"/>
        </w:rPr>
        <w:t xml:space="preserve">hengig av konsultasjonstype </w:t>
      </w:r>
      <w:r w:rsidR="00392DAB">
        <w:rPr>
          <w:rFonts w:cstheme="minorHAnsi"/>
        </w:rPr>
        <w:t>tolkes som</w:t>
      </w:r>
      <w:r w:rsidR="009F7DF0">
        <w:rPr>
          <w:rFonts w:cstheme="minorHAnsi"/>
        </w:rPr>
        <w:t xml:space="preserve"> at man ønsker å oppmuntre fastlegene til å prioritere e</w:t>
      </w:r>
      <w:r w:rsidR="00FB28FE">
        <w:rPr>
          <w:rFonts w:cstheme="minorHAnsi"/>
        </w:rPr>
        <w:t>-</w:t>
      </w:r>
      <w:r w:rsidR="009F7DF0">
        <w:rPr>
          <w:rFonts w:cstheme="minorHAnsi"/>
        </w:rPr>
        <w:t>konsultasjoner.</w:t>
      </w:r>
    </w:p>
    <w:p w14:paraId="1F4C96B5" w14:textId="025CC456" w:rsidR="00F52A70" w:rsidRDefault="00F52A70" w:rsidP="0050274C">
      <w:pPr>
        <w:jc w:val="both"/>
      </w:pPr>
      <w:r>
        <w:t>Takstene fr</w:t>
      </w:r>
      <w:r w:rsidR="00635E7A">
        <w:t>a</w:t>
      </w:r>
      <w:r>
        <w:t xml:space="preserve">mkommer av forskrift om stønad til dekning av utgifter til undersøkelse og behandling hos lege </w:t>
      </w:r>
      <w:r w:rsidR="00D078E3">
        <w:fldChar w:fldCharType="begin"/>
      </w:r>
      <w:r w:rsidR="00D078E3">
        <w:instrText xml:space="preserve"> ADDIN EN.CITE &lt;EndNote&gt;&lt;Cite ExcludeAuth="1"&gt;&lt;Year&gt;2022&lt;/Year&gt;&lt;RecNum&gt;268&lt;/RecNum&gt;&lt;DisplayText&gt;(&lt;style face="italic"&gt;Forskrift om stønad til dekning av utgifter til undersøkelse og behandling hos lege&lt;/style&gt;, 2022)&lt;/DisplayText&gt;&lt;record&gt;&lt;rec-number&gt;268&lt;/rec-number&gt;&lt;foreign-keys&gt;&lt;key app="EN" db-id="95tpr2tp6r9xwoea9rb5wdsz5ds5xeddteew" timestamp="1680069511"&gt;268&lt;/key&gt;&lt;/foreign-keys&gt;&lt;ref-type name="Legal Rule or Regulation"&gt;50&lt;/ref-type&gt;&lt;contributors&gt;&lt;/contributors&gt;&lt;titles&gt;&lt;title&gt;Forskrift om stønad til dekning av utgifter til undersøkelse og behandling hos lege&lt;/title&gt;&lt;/titles&gt;&lt;volume&gt;FOR-2022-06-29-1269&lt;/volume&gt;&lt;edition&gt;FOR-2022-09-12-1659&lt;/edition&gt;&lt;dates&gt;&lt;year&gt;2022&lt;/year&gt;&lt;/dates&gt;&lt;urls&gt;&lt;related-urls&gt;&lt;url&gt;https://lovdata.no/dokument/SF/forskrift/2022-06-29-1269&lt;/url&gt;&lt;/related-urls&gt;&lt;/urls&gt;&lt;/record&gt;&lt;/Cite&gt;&lt;/EndNote&gt;</w:instrText>
      </w:r>
      <w:r w:rsidR="00D078E3">
        <w:fldChar w:fldCharType="separate"/>
      </w:r>
      <w:r w:rsidR="00D078E3">
        <w:rPr>
          <w:noProof/>
        </w:rPr>
        <w:t>(</w:t>
      </w:r>
      <w:r w:rsidR="00D078E3" w:rsidRPr="00D9107F">
        <w:rPr>
          <w:rStyle w:val="kursiv"/>
        </w:rPr>
        <w:t>Forskrift om stønad til dekning av utgifter til undersøkelse og behandling hos lege</w:t>
      </w:r>
      <w:r w:rsidR="00D078E3">
        <w:rPr>
          <w:noProof/>
        </w:rPr>
        <w:t>, 2022)</w:t>
      </w:r>
      <w:r w:rsidR="00D078E3">
        <w:fldChar w:fldCharType="end"/>
      </w:r>
      <w:r>
        <w:t>, ofte omtalt som Normaltariffen. Takstene er gjenstand for årlige forhandlinger mellom Legeforeningen, KS, Oslo kommune, de regionale helseforetakene og staten ved Helse- og omsorgsdepartementet.</w:t>
      </w:r>
    </w:p>
    <w:p w14:paraId="4A7E63FD" w14:textId="77777777" w:rsidR="00D9107F" w:rsidRDefault="00756C0F" w:rsidP="0050274C">
      <w:pPr>
        <w:jc w:val="both"/>
      </w:pPr>
      <w:r>
        <w:t>T</w:t>
      </w:r>
      <w:r w:rsidR="00F52A70" w:rsidRPr="007760BF">
        <w:t xml:space="preserve">akstforskriften </w:t>
      </w:r>
      <w:r w:rsidR="00635E7A">
        <w:t>er</w:t>
      </w:r>
      <w:r w:rsidR="00F52A70" w:rsidRPr="007760BF">
        <w:t xml:space="preserve"> detaljert og omfangsrik</w:t>
      </w:r>
      <w:r w:rsidR="00F946E8">
        <w:t xml:space="preserve">. </w:t>
      </w:r>
      <w:r w:rsidR="0039792F">
        <w:t>De</w:t>
      </w:r>
      <w:r w:rsidR="00F52A70" w:rsidRPr="007760BF">
        <w:t xml:space="preserve"> mange takste</w:t>
      </w:r>
      <w:r w:rsidR="0039792F">
        <w:t>ne</w:t>
      </w:r>
      <w:r w:rsidR="00F52A70">
        <w:t xml:space="preserve"> (om lag </w:t>
      </w:r>
      <w:r w:rsidR="00F52A70" w:rsidRPr="007760BF">
        <w:t>150</w:t>
      </w:r>
      <w:r w:rsidR="00F52A70">
        <w:t>)</w:t>
      </w:r>
      <w:r w:rsidR="00F52A70" w:rsidRPr="007760BF">
        <w:t xml:space="preserve"> </w:t>
      </w:r>
      <w:r w:rsidR="0039792F">
        <w:t>med deta</w:t>
      </w:r>
      <w:r w:rsidR="005B79A2">
        <w:t>l</w:t>
      </w:r>
      <w:r w:rsidR="0039792F">
        <w:t>jerte be</w:t>
      </w:r>
      <w:r w:rsidR="000A1440">
        <w:t>s</w:t>
      </w:r>
      <w:r w:rsidR="0039792F">
        <w:t>krivelser</w:t>
      </w:r>
      <w:r w:rsidR="00F52A70" w:rsidRPr="007760BF">
        <w:t xml:space="preserve"> kan gjør</w:t>
      </w:r>
      <w:r w:rsidR="004C735C">
        <w:t>e</w:t>
      </w:r>
      <w:r w:rsidR="00F52A70" w:rsidRPr="007760BF">
        <w:t xml:space="preserve"> </w:t>
      </w:r>
      <w:r w:rsidR="004C735C">
        <w:t xml:space="preserve">det </w:t>
      </w:r>
      <w:r w:rsidR="00F52A70" w:rsidRPr="007760BF">
        <w:t xml:space="preserve">utfordrende </w:t>
      </w:r>
      <w:r w:rsidR="004C735C" w:rsidRPr="007760BF">
        <w:t xml:space="preserve">for fastlegene </w:t>
      </w:r>
      <w:r w:rsidR="00F52A70" w:rsidRPr="007760BF">
        <w:t xml:space="preserve">å </w:t>
      </w:r>
      <w:r w:rsidR="000A1440">
        <w:t>alltid takste presist</w:t>
      </w:r>
      <w:r w:rsidR="00F52A70" w:rsidRPr="007760BF">
        <w:t>.</w:t>
      </w:r>
    </w:p>
    <w:p w14:paraId="321DE40C" w14:textId="77777777" w:rsidR="00D9107F" w:rsidRDefault="00F52A70" w:rsidP="0050274C">
      <w:pPr>
        <w:jc w:val="both"/>
      </w:pPr>
      <w:r>
        <w:t xml:space="preserve">Takstenes primære formål er at fastlegene skal motta betaling for </w:t>
      </w:r>
      <w:r w:rsidR="0082733B">
        <w:t xml:space="preserve">den </w:t>
      </w:r>
      <w:r>
        <w:t>aktivitet</w:t>
      </w:r>
      <w:r w:rsidR="0082733B">
        <w:t>en</w:t>
      </w:r>
      <w:r>
        <w:t xml:space="preserve"> de utfører. Samtidig </w:t>
      </w:r>
      <w:r w:rsidR="00635E7A">
        <w:t>er</w:t>
      </w:r>
      <w:r>
        <w:t xml:space="preserve"> registerdata over legenes takstbruk (i oppgjørssystemet KUHR</w:t>
      </w:r>
      <w:r w:rsidRPr="00D9107F">
        <w:rPr>
          <w:rStyle w:val="Fotnotereferanse"/>
        </w:rPr>
        <w:footnoteReference w:id="19"/>
      </w:r>
      <w:r>
        <w:t>) en verdifull kilde til detaljert statistikk og kunnskap om b</w:t>
      </w:r>
      <w:r w:rsidR="00635E7A">
        <w:t>lant annet</w:t>
      </w:r>
      <w:r>
        <w:t xml:space="preserve"> fastlegetjenestene. Det gir god oversikt over aktiviteten i ordningen, men </w:t>
      </w:r>
      <w:r w:rsidR="00E46FA4">
        <w:t xml:space="preserve">takstene </w:t>
      </w:r>
      <w:r>
        <w:t xml:space="preserve">har i </w:t>
      </w:r>
      <w:r w:rsidR="00E46FA4">
        <w:t>begrenset</w:t>
      </w:r>
      <w:r>
        <w:t xml:space="preserve"> grad vært benyttet </w:t>
      </w:r>
      <w:r w:rsidR="00635E7A">
        <w:t>til</w:t>
      </w:r>
      <w:r>
        <w:t xml:space="preserve"> å forsøke å understøtte prioriteringer.</w:t>
      </w:r>
    </w:p>
    <w:p w14:paraId="67F81AF6" w14:textId="6DCED067" w:rsidR="00F52A70" w:rsidRDefault="00F52A70" w:rsidP="0050274C">
      <w:r w:rsidRPr="00D03C65">
        <w:t>Som en del av handlingsplanen for</w:t>
      </w:r>
      <w:r>
        <w:t xml:space="preserve"> allmennlegetjeneste</w:t>
      </w:r>
      <w:r w:rsidR="005402E6">
        <w:t>n</w:t>
      </w:r>
      <w:r>
        <w:t xml:space="preserve">, har Helsedirektoratet foretatt gjennomganger av </w:t>
      </w:r>
      <w:r w:rsidRPr="00CB254B">
        <w:t>takstsystem</w:t>
      </w:r>
      <w:r w:rsidR="00074D84">
        <w:t>et</w:t>
      </w:r>
      <w:r w:rsidRPr="00CB254B">
        <w:t xml:space="preserve"> for å understøtte faglig riktig praksis</w:t>
      </w:r>
      <w:r>
        <w:t>, og forenklinger i regelverket. Endringsforslag er diskutert mellom partene, og enkelte endringer ble iverksatt i 2021 og 2022</w:t>
      </w:r>
      <w:r w:rsidR="00296FB1">
        <w:t xml:space="preserve"> </w:t>
      </w:r>
      <w:r w:rsidR="00837F6D">
        <w:fldChar w:fldCharType="begin"/>
      </w:r>
      <w:r w:rsidR="00235862">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rsidR="00837F6D">
        <w:fldChar w:fldCharType="separate"/>
      </w:r>
      <w:r w:rsidR="00837F6D">
        <w:rPr>
          <w:noProof/>
        </w:rPr>
        <w:t>(Helsedirektoratet, 2022c)</w:t>
      </w:r>
      <w:r w:rsidR="00837F6D">
        <w:fldChar w:fldCharType="end"/>
      </w:r>
      <w:r>
        <w:t>.</w:t>
      </w:r>
    </w:p>
    <w:p w14:paraId="342F3472" w14:textId="77777777" w:rsidR="00F52A70" w:rsidRDefault="00F52A70" w:rsidP="0050274C">
      <w:pPr>
        <w:jc w:val="both"/>
      </w:pPr>
      <w:r w:rsidRPr="00361EE8">
        <w:t>Det er en forutsetning for å kunne bruke takstsystemet at legen har fastlegeavtale med kommunen.</w:t>
      </w:r>
    </w:p>
    <w:p w14:paraId="2905F2C7" w14:textId="77777777" w:rsidR="00D9107F" w:rsidRDefault="00F52A70" w:rsidP="0050274C">
      <w:pPr>
        <w:jc w:val="both"/>
      </w:pPr>
      <w:r>
        <w:t xml:space="preserve">Fastlege (hjemmelsinnehaver) og </w:t>
      </w:r>
      <w:r w:rsidRPr="00935774">
        <w:t xml:space="preserve">vikar </w:t>
      </w:r>
      <w:r>
        <w:t xml:space="preserve">har ikke </w:t>
      </w:r>
      <w:r w:rsidRPr="00935774">
        <w:t xml:space="preserve">lov til å </w:t>
      </w:r>
      <w:r w:rsidR="00635E7A">
        <w:t>registrere takster</w:t>
      </w:r>
      <w:r w:rsidR="00635E7A" w:rsidRPr="00935774">
        <w:t xml:space="preserve"> </w:t>
      </w:r>
      <w:r w:rsidRPr="00935774">
        <w:t>samtidig</w:t>
      </w:r>
      <w:r>
        <w:t xml:space="preserve"> på samme fastlegeliste. Hovedargumentet for en slik bestemmelse er at fastlegen ikke skal kunne ha flere </w:t>
      </w:r>
      <w:r>
        <w:lastRenderedPageBreak/>
        <w:t xml:space="preserve">vikarer som jobber for seg, blant annet fordi det kan redusere kontinuiteten </w:t>
      </w:r>
      <w:r w:rsidR="00635E7A">
        <w:t>i tjen</w:t>
      </w:r>
      <w:r w:rsidR="001A41F0">
        <w:t>e</w:t>
      </w:r>
      <w:r w:rsidR="00635E7A">
        <w:t>sten,</w:t>
      </w:r>
      <w:r>
        <w:t xml:space="preserve"> </w:t>
      </w:r>
      <w:r w:rsidR="008A2C99">
        <w:t>tilgangen på vikarer i dist</w:t>
      </w:r>
      <w:r w:rsidR="00AA67CB">
        <w:t xml:space="preserve">riktene </w:t>
      </w:r>
      <w:r>
        <w:t>og kostnadskontroll</w:t>
      </w:r>
      <w:r w:rsidR="003F00FC">
        <w:t>en</w:t>
      </w:r>
      <w:r>
        <w:t xml:space="preserve"> for staten.</w:t>
      </w:r>
    </w:p>
    <w:p w14:paraId="0F9DBFF7" w14:textId="75506A2B" w:rsidR="003061C6" w:rsidRDefault="003061C6" w:rsidP="00775632">
      <w:pPr>
        <w:pStyle w:val="Overskrift2"/>
      </w:pPr>
      <w:bookmarkStart w:id="2425" w:name="_Toc130763822"/>
      <w:bookmarkStart w:id="2426" w:name="_Toc130766717"/>
      <w:bookmarkStart w:id="2427" w:name="_Toc130932117"/>
      <w:bookmarkStart w:id="2428" w:name="_Toc130934408"/>
      <w:bookmarkStart w:id="2429" w:name="_Toc130983495"/>
      <w:bookmarkStart w:id="2430" w:name="_Toc130983844"/>
      <w:bookmarkStart w:id="2431" w:name="_Toc131062162"/>
      <w:bookmarkStart w:id="2432" w:name="_Toc131062416"/>
      <w:bookmarkStart w:id="2433" w:name="_Toc131062677"/>
      <w:bookmarkStart w:id="2434" w:name="_Toc131062930"/>
      <w:bookmarkStart w:id="2435" w:name="_Toc131063702"/>
      <w:bookmarkStart w:id="2436" w:name="_Toc131064123"/>
      <w:bookmarkStart w:id="2437" w:name="_Toc131238422"/>
      <w:bookmarkStart w:id="2438" w:name="_Toc131279453"/>
      <w:bookmarkStart w:id="2439" w:name="_Toc131286865"/>
      <w:bookmarkStart w:id="2440" w:name="_Toc131281275"/>
      <w:bookmarkStart w:id="2441" w:name="_Toc131317815"/>
      <w:bookmarkStart w:id="2442" w:name="_Toc132536983"/>
      <w:r>
        <w:t>Syke</w:t>
      </w:r>
      <w:r w:rsidR="00A417FD">
        <w:t>penger og pensjon for næringsdrivende leger</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31DA1291" w14:textId="53883F7F" w:rsidR="003061C6" w:rsidRDefault="002F1C57" w:rsidP="00775632">
      <w:pPr>
        <w:pStyle w:val="Overskrift3"/>
      </w:pPr>
      <w:bookmarkStart w:id="2443" w:name="_Toc130763823"/>
      <w:bookmarkStart w:id="2444" w:name="_Toc130766718"/>
      <w:bookmarkStart w:id="2445" w:name="_Toc130932118"/>
      <w:bookmarkStart w:id="2446" w:name="_Toc130934409"/>
      <w:bookmarkStart w:id="2447" w:name="_Toc130983496"/>
      <w:bookmarkStart w:id="2448" w:name="_Toc130983845"/>
      <w:bookmarkStart w:id="2449" w:name="_Toc131062163"/>
      <w:bookmarkStart w:id="2450" w:name="_Toc131062417"/>
      <w:bookmarkStart w:id="2451" w:name="_Toc131062678"/>
      <w:bookmarkStart w:id="2452" w:name="_Toc131062931"/>
      <w:bookmarkStart w:id="2453" w:name="_Toc131063703"/>
      <w:bookmarkStart w:id="2454" w:name="_Toc131064124"/>
      <w:bookmarkStart w:id="2455" w:name="_Toc131238423"/>
      <w:bookmarkStart w:id="2456" w:name="_Toc131279454"/>
      <w:bookmarkStart w:id="2457" w:name="_Toc131286866"/>
      <w:bookmarkStart w:id="2458" w:name="_Toc131281276"/>
      <w:bookmarkStart w:id="2459" w:name="_Toc131317816"/>
      <w:bookmarkStart w:id="2460" w:name="_Toc132536984"/>
      <w:r>
        <w:t>S</w:t>
      </w:r>
      <w:r w:rsidR="008150AD">
        <w:t>osiale rettigheter</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r w:rsidR="0033473C">
        <w:t xml:space="preserve"> for næringsdrivende</w:t>
      </w:r>
      <w:bookmarkEnd w:id="2460"/>
    </w:p>
    <w:p w14:paraId="1116109E" w14:textId="77777777" w:rsidR="00D9107F" w:rsidRPr="00D9107F" w:rsidRDefault="003061C6" w:rsidP="00236383">
      <w:pPr>
        <w:jc w:val="both"/>
        <w:rPr>
          <w:rStyle w:val="skrift-hevet"/>
        </w:rPr>
      </w:pPr>
      <w:r>
        <w:t>S</w:t>
      </w:r>
      <w:r w:rsidRPr="00C42F6E">
        <w:t>elvstendig næringsdrivende har ikke de samme sosiale rettigheter som arbeidstakere</w:t>
      </w:r>
      <w:r>
        <w:t xml:space="preserve">, </w:t>
      </w:r>
      <w:r w:rsidR="00635E7A">
        <w:t>blant annet</w:t>
      </w:r>
      <w:r>
        <w:t xml:space="preserve"> når det gjelder sykepenger, pensjon og dagpenger </w:t>
      </w:r>
      <w:r>
        <w:fldChar w:fldCharType="begin"/>
      </w:r>
      <w:r w:rsidR="004654FD">
        <w:instrText xml:space="preserve"> ADDIN EN.CITE &lt;EndNote&gt;&lt;Cite&gt;&lt;Author&gt;Alsos&lt;/Author&gt;&lt;Year&gt;2022&lt;/Year&gt;&lt;RecNum&gt;866&lt;/RecNum&gt;&lt;DisplayText&gt;(Alsos et al., 2022)&lt;/DisplayText&gt;&lt;record&gt;&lt;rec-number&gt;866&lt;/rec-number&gt;&lt;foreign-keys&gt;&lt;key app="EN" db-id="95tpr2tp6r9xwoea9rb5wdsz5ds5xeddteew" timestamp="1680069511"&gt;866&lt;/key&gt;&lt;/foreign-keys&gt;&lt;ref-type name="Report"&gt;27&lt;/ref-type&gt;&lt;contributors&gt;&lt;authors&gt;&lt;author&gt;Kristin Alsos&lt;/author&gt;&lt;author&gt;Kristine Nergaard&lt;/author&gt;&lt;author&gt;Sondre Thorbjørnsen&lt;/author&gt;&lt;/authors&gt;&lt;tertiary-authors&gt;&lt;author&gt;Fafo&lt;/author&gt;&lt;/tertiary-authors&gt;&lt;/contributors&gt;&lt;titles&gt;&lt;title&gt;Velferdsordninger for selvstendig næringsdrivende : utfordringer og tilpasninger&lt;/title&gt;&lt;/titles&gt;&lt;number&gt;Fafo-rapport 2022:12&lt;/number&gt;&lt;dates&gt;&lt;year&gt;2022&lt;/year&gt;&lt;/dates&gt;&lt;pub-location&gt;Oslo&lt;/pub-location&gt;&lt;urls&gt;&lt;/urls&gt;&lt;/record&gt;&lt;/Cite&gt;&lt;/EndNote&gt;</w:instrText>
      </w:r>
      <w:r>
        <w:fldChar w:fldCharType="separate"/>
      </w:r>
      <w:r w:rsidR="00856689">
        <w:rPr>
          <w:noProof/>
        </w:rPr>
        <w:t>(Alsos et al., 2022)</w:t>
      </w:r>
      <w:r>
        <w:fldChar w:fldCharType="end"/>
      </w:r>
      <w:r w:rsidRPr="00C42F6E">
        <w:t>.</w:t>
      </w:r>
    </w:p>
    <w:p w14:paraId="25E910A4" w14:textId="168849E7" w:rsidR="003061C6" w:rsidRPr="001A54C9" w:rsidRDefault="003061C6" w:rsidP="00236383">
      <w:pPr>
        <w:jc w:val="both"/>
      </w:pPr>
      <w:r w:rsidRPr="001A54C9">
        <w:t xml:space="preserve">Sykepenger for ordinære arbeidstakere dekkes av arbeidsgiver de første 16 dagene av arbeidstakers sykdom, deretter overtar NAV sykepengeutbetalingen. </w:t>
      </w:r>
      <w:r>
        <w:t>S</w:t>
      </w:r>
      <w:r w:rsidRPr="001A54C9">
        <w:t xml:space="preserve">elvstendig </w:t>
      </w:r>
      <w:r w:rsidRPr="00C42F6E">
        <w:t>næringsdrivende må</w:t>
      </w:r>
      <w:r w:rsidRPr="00C42F6E" w:rsidDel="00C03D9B">
        <w:t xml:space="preserve"> </w:t>
      </w:r>
      <w:r w:rsidRPr="00C42F6E">
        <w:t xml:space="preserve">selv </w:t>
      </w:r>
      <w:r w:rsidRPr="001A54C9">
        <w:t xml:space="preserve">dekke arbeidsgiverperioden på 16 dager. I tillegg har </w:t>
      </w:r>
      <w:r>
        <w:t xml:space="preserve">næringsdrivende </w:t>
      </w:r>
      <w:r w:rsidRPr="001A54C9">
        <w:t xml:space="preserve">ikke rett til full dekning av sykepenger </w:t>
      </w:r>
      <w:r>
        <w:t>(</w:t>
      </w:r>
      <w:r w:rsidRPr="001A54C9">
        <w:t>opp til 6G</w:t>
      </w:r>
      <w:r w:rsidRPr="00D9107F">
        <w:rPr>
          <w:rStyle w:val="Fotnotereferanse"/>
        </w:rPr>
        <w:footnoteReference w:id="20"/>
      </w:r>
      <w:r>
        <w:t xml:space="preserve">) </w:t>
      </w:r>
      <w:r w:rsidRPr="001A54C9">
        <w:t xml:space="preserve">fra dag 17, men får 80 prosent av sykepengegrunnlaget. </w:t>
      </w:r>
      <w:r>
        <w:t>Næringsdrivende</w:t>
      </w:r>
      <w:r w:rsidRPr="00C42F6E">
        <w:t xml:space="preserve"> har </w:t>
      </w:r>
      <w:r w:rsidRPr="001A54C9">
        <w:t>normalt mulighet til å tegne egen sykefraværsforsikring gjennom NAV, med ulike dekningsgrader.</w:t>
      </w:r>
    </w:p>
    <w:p w14:paraId="4421B0EB" w14:textId="77777777" w:rsidR="00D9107F" w:rsidRDefault="003061C6" w:rsidP="007C1E6A">
      <w:pPr>
        <w:jc w:val="both"/>
      </w:pPr>
      <w:r w:rsidRPr="00122421">
        <w:t xml:space="preserve">Pensjon består av tre ulike deler: folketrygd, tjenestepensjon og </w:t>
      </w:r>
      <w:r>
        <w:t>avtalefestet pensjon</w:t>
      </w:r>
      <w:r w:rsidRPr="00122421">
        <w:t xml:space="preserve">, og individuelle pensjonsordninger. </w:t>
      </w:r>
      <w:r>
        <w:t>Mens</w:t>
      </w:r>
      <w:r w:rsidRPr="00C42F6E">
        <w:t xml:space="preserve"> folketrygden</w:t>
      </w:r>
      <w:r w:rsidRPr="00122421">
        <w:t xml:space="preserve"> er universell</w:t>
      </w:r>
      <w:r w:rsidR="00635E7A">
        <w:t>,</w:t>
      </w:r>
      <w:r w:rsidRPr="00122421">
        <w:t xml:space="preserve"> og uavhengig av tilknytning til arbeidslivet, er tjenestepensjon en pensjonssparing som gjøres av arbeidsgiver, på vegne av arbeidstaker. Selvstendig næringsdrivende må selv eventuelt kompensere for manglende tjenestepensjonssparing ved å opprette egen pensjonssparing</w:t>
      </w:r>
      <w:r w:rsidRPr="00C42F6E">
        <w:t>.</w:t>
      </w:r>
      <w:r w:rsidR="00A05C80">
        <w:t xml:space="preserve"> </w:t>
      </w:r>
      <w:r>
        <w:t>Selvstendig næringsdrivende opptjener ikke rett til dagpenger.</w:t>
      </w:r>
      <w:r w:rsidR="00A05C80">
        <w:t xml:space="preserve"> </w:t>
      </w:r>
      <w:r>
        <w:t>F</w:t>
      </w:r>
      <w:r w:rsidRPr="00C42F6E">
        <w:t xml:space="preserve">or leger er det </w:t>
      </w:r>
      <w:r>
        <w:t xml:space="preserve">tilsvarende </w:t>
      </w:r>
      <w:r w:rsidRPr="00C42F6E">
        <w:t xml:space="preserve">forskjeller i sosiale rettigheter </w:t>
      </w:r>
      <w:r>
        <w:t>mellom</w:t>
      </w:r>
      <w:r w:rsidRPr="00C42F6E">
        <w:t xml:space="preserve"> næringsdrivende og ansatte. </w:t>
      </w:r>
      <w:r w:rsidR="00F822DB">
        <w:t>Slike f</w:t>
      </w:r>
      <w:r w:rsidRPr="007D2321">
        <w:t>orskjelle</w:t>
      </w:r>
      <w:r w:rsidR="00F822DB">
        <w:t xml:space="preserve">r </w:t>
      </w:r>
      <w:r w:rsidRPr="007D2321">
        <w:t>kan påvirke legers valg mellom næringsdrift og ansettelse i kommune eller sykehus.</w:t>
      </w:r>
    </w:p>
    <w:p w14:paraId="1B26629A" w14:textId="77777777" w:rsidR="00D9107F" w:rsidRDefault="003061C6" w:rsidP="00775632">
      <w:pPr>
        <w:pStyle w:val="Overskrift3"/>
      </w:pPr>
      <w:bookmarkStart w:id="2461" w:name="_Toc132536985"/>
      <w:bookmarkStart w:id="2462" w:name="_Toc130763824"/>
      <w:bookmarkStart w:id="2463" w:name="_Toc130766719"/>
      <w:bookmarkStart w:id="2464" w:name="_Toc130932119"/>
      <w:bookmarkStart w:id="2465" w:name="_Toc130934410"/>
      <w:bookmarkStart w:id="2466" w:name="_Toc130983497"/>
      <w:bookmarkStart w:id="2467" w:name="_Toc130983846"/>
      <w:bookmarkStart w:id="2468" w:name="_Toc131062164"/>
      <w:bookmarkStart w:id="2469" w:name="_Toc131062418"/>
      <w:bookmarkStart w:id="2470" w:name="_Toc131062679"/>
      <w:bookmarkStart w:id="2471" w:name="_Toc131062932"/>
      <w:bookmarkStart w:id="2472" w:name="_Toc131063704"/>
      <w:bookmarkStart w:id="2473" w:name="_Toc131064125"/>
      <w:bookmarkStart w:id="2474" w:name="_Toc131238424"/>
      <w:bookmarkStart w:id="2475" w:name="_Toc131279455"/>
      <w:bookmarkStart w:id="2476" w:name="_Toc131286867"/>
      <w:bookmarkStart w:id="2477" w:name="_Toc131281277"/>
      <w:bookmarkStart w:id="2478" w:name="_Toc131317817"/>
      <w:r>
        <w:t>Sykehjelps- og pensjonsordningen for leger</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2407B895" w14:textId="713F0EC4" w:rsidR="003061C6" w:rsidRPr="005C7B32" w:rsidRDefault="003061C6" w:rsidP="003061C6">
      <w:pPr>
        <w:jc w:val="both"/>
      </w:pPr>
      <w:r w:rsidRPr="005C7B32">
        <w:t xml:space="preserve">Legeforeningen </w:t>
      </w:r>
      <w:r>
        <w:t>etablerte stiftelsen S</w:t>
      </w:r>
      <w:r w:rsidRPr="005C7B32">
        <w:t>ykehjelp</w:t>
      </w:r>
      <w:r>
        <w:t>s-</w:t>
      </w:r>
      <w:r w:rsidRPr="005C7B32">
        <w:t xml:space="preserve"> og pensjonsordningen for leger (SOP)</w:t>
      </w:r>
      <w:r>
        <w:t xml:space="preserve"> i 1965</w:t>
      </w:r>
      <w:r w:rsidRPr="005C7B32">
        <w:t>.</w:t>
      </w:r>
      <w:r w:rsidRPr="00D9107F">
        <w:rPr>
          <w:rStyle w:val="Fotnotereferanse"/>
        </w:rPr>
        <w:footnoteReference w:id="21"/>
      </w:r>
      <w:r w:rsidRPr="005C7B32">
        <w:t xml:space="preserve"> Alle leger som driver eller har drevet legevirksomhet i Norge</w:t>
      </w:r>
      <w:r w:rsidR="00635E7A">
        <w:t>,</w:t>
      </w:r>
      <w:r w:rsidRPr="005C7B32">
        <w:t xml:space="preserve"> og som er og har vært medlem av folketrygden i minst tre år</w:t>
      </w:r>
      <w:r>
        <w:t>,</w:t>
      </w:r>
      <w:r w:rsidRPr="005C7B32">
        <w:t xml:space="preserve"> er automatisk medlem av SOP. Målgruppe</w:t>
      </w:r>
      <w:r>
        <w:t>n</w:t>
      </w:r>
      <w:r w:rsidRPr="005C7B32">
        <w:t xml:space="preserve"> for ordningen er </w:t>
      </w:r>
      <w:r>
        <w:t>næringsdrivende</w:t>
      </w:r>
      <w:r w:rsidRPr="005C7B32">
        <w:t xml:space="preserve"> leger.</w:t>
      </w:r>
    </w:p>
    <w:p w14:paraId="5740F76E" w14:textId="74DCF2F1" w:rsidR="003061C6" w:rsidRDefault="003061C6" w:rsidP="003061C6">
      <w:pPr>
        <w:jc w:val="both"/>
      </w:pPr>
      <w:r w:rsidRPr="004A1116">
        <w:lastRenderedPageBreak/>
        <w:t>Ordningen</w:t>
      </w:r>
      <w:r>
        <w:t xml:space="preserve"> er gratis for den enkelte lege</w:t>
      </w:r>
      <w:r w:rsidR="00635E7A">
        <w:t>,</w:t>
      </w:r>
      <w:r>
        <w:t xml:space="preserve"> og</w:t>
      </w:r>
      <w:r w:rsidRPr="004A1116">
        <w:t xml:space="preserve"> finansieres ved tilskudd </w:t>
      </w:r>
      <w:r w:rsidR="00635E7A">
        <w:t xml:space="preserve">fra staten </w:t>
      </w:r>
      <w:r w:rsidRPr="004A1116">
        <w:t>som avsettes i normaltariff</w:t>
      </w:r>
      <w:r>
        <w:t>-f</w:t>
      </w:r>
      <w:r w:rsidRPr="004A1116">
        <w:t>orhandlingene</w:t>
      </w:r>
      <w:r>
        <w:t>. For avtaleåret 2022</w:t>
      </w:r>
      <w:r w:rsidR="00A30CD9">
        <w:t>–</w:t>
      </w:r>
      <w:r>
        <w:t>2023 utgjør dette om lag 5</w:t>
      </w:r>
      <w:r w:rsidR="00D9107F">
        <w:t>0 mill.</w:t>
      </w:r>
      <w:r>
        <w:t xml:space="preserve"> kroner. </w:t>
      </w:r>
      <w:r w:rsidRPr="009D24AA">
        <w:t>I tillegg</w:t>
      </w:r>
      <w:r>
        <w:t xml:space="preserve"> til ordinære årlige fondsavsetninger</w:t>
      </w:r>
      <w:r w:rsidR="00C10DC1">
        <w:t>,</w:t>
      </w:r>
      <w:r w:rsidRPr="009D24AA">
        <w:t xml:space="preserve"> ble SOP tilført 2</w:t>
      </w:r>
      <w:r w:rsidR="00D9107F" w:rsidRPr="009D24AA">
        <w:t>5</w:t>
      </w:r>
      <w:r w:rsidR="00D9107F">
        <w:t> mill.</w:t>
      </w:r>
      <w:r>
        <w:t xml:space="preserve"> kroner</w:t>
      </w:r>
      <w:r w:rsidRPr="009D24AA">
        <w:t xml:space="preserve"> i forbindelse med fr</w:t>
      </w:r>
      <w:r w:rsidR="00A30CD9">
        <w:t>a</w:t>
      </w:r>
      <w:r w:rsidRPr="009D24AA">
        <w:t>mleggelse</w:t>
      </w:r>
      <w:r w:rsidR="00635E7A">
        <w:t>n</w:t>
      </w:r>
      <w:r w:rsidRPr="009D24AA">
        <w:t xml:space="preserve"> av handlingsplanen for allmennlegetjenesten</w:t>
      </w:r>
      <w:r>
        <w:t xml:space="preserve"> i 2020, og 2</w:t>
      </w:r>
      <w:r w:rsidR="00D9107F">
        <w:t>0 mill.</w:t>
      </w:r>
      <w:r>
        <w:t xml:space="preserve"> kroner ifm. takstforhandlingene for 2021</w:t>
      </w:r>
      <w:r w:rsidR="00A30CD9">
        <w:t>–</w:t>
      </w:r>
      <w:r>
        <w:t>2022.</w:t>
      </w:r>
    </w:p>
    <w:p w14:paraId="726125DA" w14:textId="6DE6B267" w:rsidR="003061C6" w:rsidRPr="00807481" w:rsidRDefault="003061C6" w:rsidP="003061C6">
      <w:pPr>
        <w:jc w:val="both"/>
      </w:pPr>
      <w:r w:rsidRPr="00807481">
        <w:t>SOPs formål er å bidra til økonomisk sikring av næringsdrivende leger og deres familie</w:t>
      </w:r>
      <w:r w:rsidR="00635E7A">
        <w:t>,</w:t>
      </w:r>
      <w:r w:rsidRPr="00807481">
        <w:t xml:space="preserve"> ved arbeidsuførhet, alderdom og død, samt ved fravær fra egen praksis i forbindelse med sykdom, fødsel og adopsjon.</w:t>
      </w:r>
    </w:p>
    <w:p w14:paraId="0D42B0FA" w14:textId="77777777" w:rsidR="00D9107F" w:rsidRDefault="003061C6" w:rsidP="003061C6">
      <w:pPr>
        <w:jc w:val="both"/>
      </w:pPr>
      <w:r>
        <w:t>Ordningens avbruddsytelser skal bidra til å kompensere for tapt praksisinntekt samt løpende driftsutgifter under fravær fra praksis som skyldes sykdom, fødsel eller barns sykdom (kronisk eller alvorlig syke barn, eller pleie av nærstående i livets sluttfase, dvs. pleiepenger). Ytelsene dekker inntektstap opp til en viss prosent av brutto praksisomsetning, begrenset oppad til 12G</w:t>
      </w:r>
      <w:r w:rsidR="00A30CD9" w:rsidRPr="00D9107F">
        <w:rPr>
          <w:rStyle w:val="Fotnotereferanse"/>
        </w:rPr>
        <w:footnoteReference w:id="22"/>
      </w:r>
      <w:r>
        <w:t xml:space="preserve">, og kommer i tillegg til ytelser fra NAV. Dersom legen har høyere inntekt enn 12G, eller andre inntekter enn fra egen praksis (legevakt, andre oppdrag), er det mulig å tegne sykeforsikring hos NAV og/eller hos </w:t>
      </w:r>
      <w:r w:rsidR="00AD49A4">
        <w:t xml:space="preserve">et </w:t>
      </w:r>
      <w:r>
        <w:t xml:space="preserve">forsikringsselskap </w:t>
      </w:r>
      <w:r w:rsidR="00AD49A4">
        <w:t xml:space="preserve">som </w:t>
      </w:r>
      <w:r>
        <w:t xml:space="preserve">Legeforeningen har avtale med. </w:t>
      </w:r>
      <w:r w:rsidRPr="00D81F37">
        <w:t>Videre gir ordningen dekning b</w:t>
      </w:r>
      <w:r w:rsidR="00A30CD9">
        <w:t>lant annet</w:t>
      </w:r>
      <w:r w:rsidRPr="00D81F37">
        <w:t xml:space="preserve"> i forbindelse med uførhet.</w:t>
      </w:r>
    </w:p>
    <w:p w14:paraId="6543D6FC" w14:textId="77777777" w:rsidR="00D9107F" w:rsidRDefault="003061C6" w:rsidP="003061C6">
      <w:pPr>
        <w:jc w:val="both"/>
      </w:pPr>
      <w:r>
        <w:t xml:space="preserve">SOP bidrar til at </w:t>
      </w:r>
      <w:r w:rsidRPr="00C42F6E">
        <w:t xml:space="preserve">forskjeller i sosiale rettigheter </w:t>
      </w:r>
      <w:r>
        <w:t>mellom</w:t>
      </w:r>
      <w:r w:rsidRPr="00C42F6E">
        <w:t xml:space="preserve"> næringsdrivende og ansatte</w:t>
      </w:r>
      <w:r>
        <w:t xml:space="preserve"> leger blir redusert. Forskjellen er i hovedsak at en ansatt lege har rett til full lønn ved sykdom fra dag 1, mens de første 16 dagene av en sykmelding ikke dekkes av SOP. Næringsdrivende fastleger får heller ikke </w:t>
      </w:r>
      <w:r w:rsidR="00493679">
        <w:t xml:space="preserve">særskilt </w:t>
      </w:r>
      <w:r>
        <w:t>kompensasjon for å være hjemme noen dager i året med barn under 12 år som har korttidssykdom, for eksempel omgangssyke.</w:t>
      </w:r>
    </w:p>
    <w:p w14:paraId="43A898A2" w14:textId="77777777" w:rsidR="00D9107F" w:rsidRDefault="00493679" w:rsidP="003061C6">
      <w:pPr>
        <w:jc w:val="both"/>
        <w:rPr>
          <w:color w:val="000000" w:themeColor="text1"/>
        </w:rPr>
      </w:pPr>
      <w:r w:rsidRPr="00A05C80">
        <w:rPr>
          <w:color w:val="000000" w:themeColor="text1"/>
        </w:rPr>
        <w:t xml:space="preserve">Basisgodtgjørelsen utbetales imidlertid uendret ved sykdom sammenhengende inntil 16 dager. Dette gjelder også </w:t>
      </w:r>
      <w:r w:rsidR="003C70FF">
        <w:rPr>
          <w:color w:val="000000" w:themeColor="text1"/>
        </w:rPr>
        <w:t>ved</w:t>
      </w:r>
      <w:r w:rsidRPr="00A05C80">
        <w:rPr>
          <w:color w:val="000000" w:themeColor="text1"/>
        </w:rPr>
        <w:t xml:space="preserve"> fravær på grunn av sykdom hos barn under 12 år og barn under 16 år, dersom det foreligger kronisk sykdom eller funksjonshemninger, inntil 10 dager p</w:t>
      </w:r>
      <w:r>
        <w:rPr>
          <w:color w:val="000000" w:themeColor="text1"/>
        </w:rPr>
        <w:t>e</w:t>
      </w:r>
      <w:r w:rsidRPr="00A05C80">
        <w:rPr>
          <w:color w:val="000000" w:themeColor="text1"/>
        </w:rPr>
        <w:t xml:space="preserve">r kalenderår. Dersom omsorgen gjelder mer enn to barn utvides antall dager uten trekk i </w:t>
      </w:r>
      <w:r w:rsidR="00E0618A">
        <w:rPr>
          <w:color w:val="000000" w:themeColor="text1"/>
        </w:rPr>
        <w:t>basis</w:t>
      </w:r>
      <w:r w:rsidRPr="00A05C80">
        <w:rPr>
          <w:color w:val="000000" w:themeColor="text1"/>
        </w:rPr>
        <w:t>godtgjørelsen til 15 dager, og til 20 dager hvis barnet er funksjonshemmet eller kronisk sykt. Dersom praksisinnehaveren er alene om omsorgen, fordobles ovennevnte kvoter</w:t>
      </w:r>
      <w:r>
        <w:rPr>
          <w:color w:val="000000" w:themeColor="text1"/>
        </w:rPr>
        <w:t xml:space="preserve"> (ref. rammeavtalen).</w:t>
      </w:r>
    </w:p>
    <w:p w14:paraId="62AF522E" w14:textId="3E00C6A0" w:rsidR="003061C6" w:rsidRDefault="003061C6" w:rsidP="003061C6">
      <w:pPr>
        <w:jc w:val="both"/>
      </w:pPr>
      <w:r>
        <w:t>Videre gir SOP dekning kun opp til 12G</w:t>
      </w:r>
      <w:r w:rsidR="00DC5311">
        <w:t>, som per mai 2022 var 1.337.72</w:t>
      </w:r>
      <w:r w:rsidR="00D9107F">
        <w:t>4 kroner</w:t>
      </w:r>
      <w:r>
        <w:t>. En ansatt fastlege med høyere inntekt enn 12G, vil teoretisk sett få mer enn sin næringsdrivende kollega ved fravær. Utover dette er ordningene sammenlignbare.</w:t>
      </w:r>
    </w:p>
    <w:p w14:paraId="6BDC92EC" w14:textId="77777777" w:rsidR="00D9107F" w:rsidRDefault="003061C6" w:rsidP="003061C6">
      <w:pPr>
        <w:jc w:val="both"/>
      </w:pPr>
      <w:r>
        <w:lastRenderedPageBreak/>
        <w:t>Næringsdrivende leger autorisert før 1.1.1993 har alderspensjonsrettigheter i SOP. Medlemmer autorisert senere har ikke rett på alderspensjon i SOP. Legeforeningen har imidlertid inngått avtale med Storebrand om tjenestepensjonsordning for næringsdrivende leger.</w:t>
      </w:r>
    </w:p>
    <w:p w14:paraId="645F3759" w14:textId="727E219E" w:rsidR="00907063" w:rsidRDefault="5B89B704" w:rsidP="00775632">
      <w:pPr>
        <w:pStyle w:val="Overskrift2"/>
      </w:pPr>
      <w:bookmarkStart w:id="2479" w:name="_Toc126834362"/>
      <w:bookmarkStart w:id="2480" w:name="_Toc127633237"/>
      <w:bookmarkStart w:id="2481" w:name="_Toc127864523"/>
      <w:bookmarkStart w:id="2482" w:name="_Toc128238531"/>
      <w:bookmarkStart w:id="2483" w:name="_Toc128742002"/>
      <w:bookmarkStart w:id="2484" w:name="_Toc128744597"/>
      <w:bookmarkStart w:id="2485" w:name="_Toc128744816"/>
      <w:bookmarkStart w:id="2486" w:name="_Toc129630319"/>
      <w:bookmarkStart w:id="2487" w:name="_Toc130763825"/>
      <w:bookmarkStart w:id="2488" w:name="_Toc130766720"/>
      <w:bookmarkStart w:id="2489" w:name="_Ref130919120"/>
      <w:bookmarkStart w:id="2490" w:name="_Ref130919133"/>
      <w:bookmarkStart w:id="2491" w:name="_Toc130932120"/>
      <w:bookmarkStart w:id="2492" w:name="_Toc130934411"/>
      <w:bookmarkStart w:id="2493" w:name="_Toc130983498"/>
      <w:bookmarkStart w:id="2494" w:name="_Toc130983847"/>
      <w:bookmarkStart w:id="2495" w:name="_Toc131062165"/>
      <w:bookmarkStart w:id="2496" w:name="_Toc131062419"/>
      <w:bookmarkStart w:id="2497" w:name="_Toc131062680"/>
      <w:bookmarkStart w:id="2498" w:name="_Toc131062933"/>
      <w:bookmarkStart w:id="2499" w:name="_Toc131063705"/>
      <w:bookmarkStart w:id="2500" w:name="_Toc131064126"/>
      <w:bookmarkStart w:id="2501" w:name="_Toc131238425"/>
      <w:bookmarkStart w:id="2502" w:name="_Toc131279456"/>
      <w:bookmarkStart w:id="2503" w:name="_Toc131286868"/>
      <w:bookmarkStart w:id="2504" w:name="_Toc131281278"/>
      <w:bookmarkStart w:id="2505" w:name="_Toc131317818"/>
      <w:bookmarkStart w:id="2506" w:name="_Toc132536986"/>
      <w:r>
        <w:t>Finansiering av allmennlegetjenesten i andre land</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0FFDEC03" w14:textId="56D19ADF" w:rsidR="00650181" w:rsidRDefault="00650181" w:rsidP="00B96380">
      <w:pPr>
        <w:rPr>
          <w:rFonts w:ascii="Calibri" w:eastAsia="Calibri" w:hAnsi="Calibri" w:cs="Calibri"/>
        </w:rPr>
      </w:pPr>
      <w:r>
        <w:t>De land</w:t>
      </w:r>
      <w:r w:rsidR="00666E8C">
        <w:t>ene som ekspertutvalget har sett nærmere på</w:t>
      </w:r>
      <w:r w:rsidR="00477685">
        <w:t>,</w:t>
      </w:r>
      <w:r>
        <w:t xml:space="preserve"> har finansieringssystemer med elementer av både basistilskudd og aktivitetsbasert avlønning. Det danske systemet likner mye på det vi har i Norge, med om lag 30 prosent av inntektene fra basistilskuddet. I Sverige </w:t>
      </w:r>
      <w:r w:rsidRPr="00B96380">
        <w:rPr>
          <w:rFonts w:eastAsia="Calibri"/>
        </w:rPr>
        <w:t>utgjør basistilskuddet en stor andel av samlet finansiering av vårdcentralene, og den varierer mellom regioner fra 60 til 9</w:t>
      </w:r>
      <w:r w:rsidR="00D21ABB" w:rsidRPr="00B96380">
        <w:rPr>
          <w:rFonts w:eastAsia="Calibri"/>
        </w:rPr>
        <w:t>0</w:t>
      </w:r>
      <w:r w:rsidRPr="00B96380">
        <w:rPr>
          <w:rFonts w:eastAsia="Calibri"/>
        </w:rPr>
        <w:t xml:space="preserve"> prosent. England</w:t>
      </w:r>
      <w:r w:rsidR="00477685" w:rsidRPr="00B96380">
        <w:rPr>
          <w:rFonts w:eastAsia="Calibri"/>
        </w:rPr>
        <w:t>, Skottland</w:t>
      </w:r>
      <w:r w:rsidRPr="00B96380">
        <w:rPr>
          <w:rFonts w:eastAsia="Calibri"/>
        </w:rPr>
        <w:t xml:space="preserve"> og Nederland har også en høyere andel avlønning fra basistilskudd enn Norge </w:t>
      </w:r>
      <w:r w:rsidRPr="00B96380">
        <w:rPr>
          <w:rFonts w:eastAsia="Calibri"/>
        </w:rPr>
        <w:fldChar w:fldCharType="begin"/>
      </w:r>
      <w:r w:rsidR="00856689" w:rsidRPr="00B96380">
        <w:rPr>
          <w:rFonts w:eastAsia="Calibri"/>
        </w:rPr>
        <w:instrText xml:space="preserve"> ADDIN EN.CITE &lt;EndNote&gt;&lt;Cite&gt;&lt;Author&gt;Anell&lt;/Author&gt;&lt;Year&gt;2017&lt;/Year&gt;&lt;RecNum&gt;661&lt;/RecNum&gt;&lt;DisplayText&gt;(Anell, 2017)&lt;/DisplayText&gt;&lt;record&gt;&lt;rec-number&gt;661&lt;/rec-number&gt;&lt;foreign-keys&gt;&lt;key app="EN" db-id="95tpr2tp6r9xwoea9rb5wdsz5ds5xeddteew" timestamp="1680069511"&gt;661&lt;/key&gt;&lt;/foreign-keys&gt;&lt;ref-type name="Report"&gt;27&lt;/ref-type&gt;&lt;contributors&gt;&lt;authors&gt;&lt;author&gt;Anders Anell&lt;/author&gt;&lt;/authors&gt;&lt;/contributors&gt;&lt;titles&gt;&lt;title&gt;Primärvårdens resurser, styrning och organisation: En jämförelse av villkor och förhållanden i Danmark, Norge, Nederländerna och Storbritannien&lt;/title&gt;&lt;/titles&gt;&lt;dates&gt;&lt;year&gt;2017&lt;/year&gt;&lt;/dates&gt;&lt;pub-location&gt;Stockholm&lt;/pub-location&gt;&lt;publisher&gt;Vårdanalys&lt;/publisher&gt;&lt;isbn&gt;PM 2017:1&lt;/isbn&gt;&lt;urls&gt;&lt;related-urls&gt;&lt;url&gt;https://www.vardanalys.se/rapporter/primarvardens-resurser-styrning-och-organisation/&lt;/url&gt;&lt;/related-urls&gt;&lt;/urls&gt;&lt;/record&gt;&lt;/Cite&gt;&lt;/EndNote&gt;</w:instrText>
      </w:r>
      <w:r w:rsidRPr="00B96380">
        <w:rPr>
          <w:rFonts w:eastAsia="Calibri"/>
        </w:rPr>
        <w:fldChar w:fldCharType="separate"/>
      </w:r>
      <w:r w:rsidR="00856689" w:rsidRPr="00B96380">
        <w:rPr>
          <w:rFonts w:eastAsia="Calibri"/>
        </w:rPr>
        <w:t>(Anell, 2017)</w:t>
      </w:r>
      <w:r w:rsidRPr="00B96380">
        <w:rPr>
          <w:rFonts w:eastAsia="Calibri"/>
        </w:rPr>
        <w:fldChar w:fldCharType="end"/>
      </w:r>
      <w:r w:rsidRPr="00B96380">
        <w:rPr>
          <w:rFonts w:eastAsia="Calibri"/>
        </w:rPr>
        <w:t>.</w:t>
      </w:r>
    </w:p>
    <w:p w14:paraId="1B53F90C" w14:textId="0AC1FB1C" w:rsidR="00650181" w:rsidRDefault="00650181" w:rsidP="00B96380">
      <w:r w:rsidRPr="00B96380">
        <w:rPr>
          <w:rFonts w:eastAsia="Calibri"/>
        </w:rPr>
        <w:t>I land med høy basisfinansiering er det også vanlig at basistilskuddet er differensiert</w:t>
      </w:r>
      <w:r w:rsidR="00477685" w:rsidRPr="00B96380">
        <w:rPr>
          <w:rFonts w:eastAsia="Calibri"/>
        </w:rPr>
        <w:t>.</w:t>
      </w:r>
      <w:r w:rsidRPr="00B96380">
        <w:rPr>
          <w:rFonts w:eastAsia="Calibri"/>
        </w:rPr>
        <w:t xml:space="preserve"> </w:t>
      </w:r>
      <w:r>
        <w:t>Land med høy basisfinansiering kan også ha kvalite</w:t>
      </w:r>
      <w:r w:rsidR="004E28AD">
        <w:t>ts</w:t>
      </w:r>
      <w:r>
        <w:t xml:space="preserve">justerte elementer i tilskuddet, </w:t>
      </w:r>
      <w:r w:rsidR="0085027F">
        <w:t xml:space="preserve">et </w:t>
      </w:r>
      <w:r>
        <w:t xml:space="preserve">eksempel </w:t>
      </w:r>
      <w:r w:rsidR="0085027F">
        <w:t>er</w:t>
      </w:r>
      <w:r>
        <w:t xml:space="preserve"> Storbritannia.</w:t>
      </w:r>
    </w:p>
    <w:p w14:paraId="7A62CB50" w14:textId="77777777" w:rsidR="00D9107F" w:rsidRDefault="00075C56" w:rsidP="00B96380">
      <w:pPr>
        <w:rPr>
          <w:rFonts w:eastAsia="Calibri"/>
        </w:rPr>
      </w:pPr>
      <w:r w:rsidRPr="00075C56">
        <w:rPr>
          <w:rFonts w:eastAsia="Calibri"/>
        </w:rPr>
        <w:t>Det økonomiske grunnlaget for finansieringen av allmennlegetjenesten skjer i mange land gjennom overføring av penger fra staten til et lokalt</w:t>
      </w:r>
      <w:r w:rsidR="0098717E">
        <w:rPr>
          <w:rFonts w:eastAsia="Calibri"/>
        </w:rPr>
        <w:t xml:space="preserve"> eller </w:t>
      </w:r>
      <w:r w:rsidRPr="00075C56">
        <w:rPr>
          <w:rFonts w:eastAsia="Calibri"/>
        </w:rPr>
        <w:t>regionalt nivå</w:t>
      </w:r>
      <w:r w:rsidR="003C70FF">
        <w:rPr>
          <w:rFonts w:eastAsia="Calibri"/>
        </w:rPr>
        <w:t>,</w:t>
      </w:r>
      <w:r w:rsidRPr="00075C56">
        <w:rPr>
          <w:rFonts w:eastAsia="Calibri"/>
        </w:rPr>
        <w:t xml:space="preserve"> som skal dekke oppgavene som er desentralisert til dette nivået. Det kan gjelde planlegging, bestilling</w:t>
      </w:r>
      <w:r w:rsidR="00206132">
        <w:rPr>
          <w:rFonts w:eastAsia="Calibri"/>
        </w:rPr>
        <w:t>,</w:t>
      </w:r>
      <w:r w:rsidR="0098717E">
        <w:rPr>
          <w:rFonts w:eastAsia="Calibri"/>
        </w:rPr>
        <w:t xml:space="preserve"> </w:t>
      </w:r>
      <w:r w:rsidRPr="00075C56">
        <w:rPr>
          <w:rFonts w:eastAsia="Calibri"/>
        </w:rPr>
        <w:t>organisering og finansiering av tjenestene. Omfanget av desentralisert ansvar varierer.</w:t>
      </w:r>
    </w:p>
    <w:p w14:paraId="4B76D360" w14:textId="7D8D18F0" w:rsidR="00075C56" w:rsidRPr="00075C56" w:rsidRDefault="0080029D" w:rsidP="00775632">
      <w:pPr>
        <w:pStyle w:val="tabell-tittel"/>
      </w:pPr>
      <w:r>
        <w:t>F</w:t>
      </w:r>
      <w:r w:rsidR="00964683">
        <w:t>inansieri</w:t>
      </w:r>
      <w:r w:rsidR="00075C56" w:rsidRPr="00075C56">
        <w:t>ngskilde</w:t>
      </w:r>
      <w:r w:rsidR="002D3647">
        <w:t>r</w:t>
      </w:r>
      <w:r w:rsidR="00075C56" w:rsidRPr="00075C56">
        <w:t xml:space="preserve"> </w:t>
      </w:r>
    </w:p>
    <w:tbl>
      <w:tblPr>
        <w:tblStyle w:val="EUTabellstil"/>
        <w:tblW w:w="5000" w:type="pct"/>
        <w:tblLook w:val="04A0" w:firstRow="1" w:lastRow="0" w:firstColumn="1" w:lastColumn="0" w:noHBand="0" w:noVBand="1"/>
      </w:tblPr>
      <w:tblGrid>
        <w:gridCol w:w="1520"/>
        <w:gridCol w:w="2906"/>
        <w:gridCol w:w="1881"/>
        <w:gridCol w:w="1408"/>
        <w:gridCol w:w="2021"/>
      </w:tblGrid>
      <w:tr w:rsidR="00821D8D" w:rsidRPr="00B62870" w14:paraId="7B839BAA" w14:textId="77777777" w:rsidTr="00D554BF">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780" w:type="pct"/>
            <w:tcBorders>
              <w:bottom w:val="single" w:sz="24" w:space="0" w:color="2A3652"/>
            </w:tcBorders>
            <w:shd w:val="clear" w:color="auto" w:fill="A9D6B9"/>
          </w:tcPr>
          <w:p w14:paraId="5B777DDF" w14:textId="77777777" w:rsidR="00821D8D" w:rsidRPr="00D9107F" w:rsidRDefault="00821D8D" w:rsidP="000E769C">
            <w:pPr>
              <w:pStyle w:val="TabellHode-kolonne"/>
              <w:rPr>
                <w:rStyle w:val="halvfet"/>
                <w:rFonts w:eastAsia="Calibri"/>
              </w:rPr>
            </w:pPr>
          </w:p>
        </w:tc>
        <w:tc>
          <w:tcPr>
            <w:tcW w:w="1492" w:type="pct"/>
            <w:tcBorders>
              <w:bottom w:val="single" w:sz="24" w:space="0" w:color="2A3652"/>
            </w:tcBorders>
            <w:shd w:val="clear" w:color="auto" w:fill="A9D6B9"/>
            <w:hideMark/>
          </w:tcPr>
          <w:p w14:paraId="1224C874" w14:textId="77777777" w:rsidR="00821D8D" w:rsidRPr="00D9107F" w:rsidRDefault="00821D8D"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 xml:space="preserve">Overføringer fra stat til </w:t>
            </w:r>
          </w:p>
        </w:tc>
        <w:tc>
          <w:tcPr>
            <w:tcW w:w="966" w:type="pct"/>
            <w:tcBorders>
              <w:bottom w:val="single" w:sz="24" w:space="0" w:color="2A3652"/>
            </w:tcBorders>
            <w:shd w:val="clear" w:color="auto" w:fill="A9D6B9"/>
            <w:hideMark/>
          </w:tcPr>
          <w:p w14:paraId="282AC7F5" w14:textId="77777777" w:rsidR="00821D8D" w:rsidRPr="00D9107F" w:rsidRDefault="00821D8D"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I hovedsak statlig finansiering</w:t>
            </w:r>
          </w:p>
        </w:tc>
        <w:tc>
          <w:tcPr>
            <w:tcW w:w="723" w:type="pct"/>
            <w:tcBorders>
              <w:bottom w:val="single" w:sz="24" w:space="0" w:color="2A3652"/>
            </w:tcBorders>
            <w:shd w:val="clear" w:color="auto" w:fill="A9D6B9"/>
            <w:hideMark/>
          </w:tcPr>
          <w:p w14:paraId="0C45D63A" w14:textId="77777777" w:rsidR="00821D8D" w:rsidRPr="00D9107F" w:rsidRDefault="00821D8D"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Finansiering gjennom beskatning</w:t>
            </w:r>
          </w:p>
        </w:tc>
        <w:tc>
          <w:tcPr>
            <w:tcW w:w="1038" w:type="pct"/>
            <w:tcBorders>
              <w:bottom w:val="single" w:sz="24" w:space="0" w:color="2A3652"/>
            </w:tcBorders>
            <w:shd w:val="clear" w:color="auto" w:fill="A9D6B9"/>
            <w:hideMark/>
          </w:tcPr>
          <w:p w14:paraId="6E3828D6" w14:textId="77777777" w:rsidR="00821D8D" w:rsidRPr="00D9107F" w:rsidRDefault="00821D8D"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Direkte innbetaling til forsikrings-selskap?</w:t>
            </w:r>
          </w:p>
        </w:tc>
      </w:tr>
      <w:tr w:rsidR="00821D8D" w:rsidRPr="00B62870" w14:paraId="4E8097CF" w14:textId="77777777" w:rsidTr="00D554BF">
        <w:trPr>
          <w:trHeight w:val="295"/>
        </w:trPr>
        <w:tc>
          <w:tcPr>
            <w:cnfStyle w:val="001000000000" w:firstRow="0" w:lastRow="0" w:firstColumn="1" w:lastColumn="0" w:oddVBand="0" w:evenVBand="0" w:oddHBand="0" w:evenHBand="0" w:firstRowFirstColumn="0" w:firstRowLastColumn="0" w:lastRowFirstColumn="0" w:lastRowLastColumn="0"/>
            <w:tcW w:w="780" w:type="pct"/>
            <w:tcBorders>
              <w:top w:val="single" w:sz="24" w:space="0" w:color="2A3652"/>
            </w:tcBorders>
            <w:hideMark/>
          </w:tcPr>
          <w:p w14:paraId="02F7C7C4" w14:textId="77777777" w:rsidR="00821D8D" w:rsidRPr="0038633B" w:rsidRDefault="00821D8D" w:rsidP="000E769C">
            <w:pPr>
              <w:pStyle w:val="TabellHode-rad"/>
              <w:rPr>
                <w:rFonts w:eastAsia="Calibri"/>
              </w:rPr>
            </w:pPr>
            <w:r w:rsidRPr="0038633B">
              <w:rPr>
                <w:rFonts w:eastAsia="Calibri"/>
              </w:rPr>
              <w:t>Norge</w:t>
            </w:r>
          </w:p>
        </w:tc>
        <w:tc>
          <w:tcPr>
            <w:tcW w:w="1492" w:type="pct"/>
            <w:tcBorders>
              <w:top w:val="single" w:sz="24" w:space="0" w:color="2A3652"/>
            </w:tcBorders>
            <w:hideMark/>
          </w:tcPr>
          <w:p w14:paraId="76B7592E"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Fastleger/kommuner</w:t>
            </w:r>
          </w:p>
        </w:tc>
        <w:tc>
          <w:tcPr>
            <w:tcW w:w="966" w:type="pct"/>
            <w:tcBorders>
              <w:top w:val="single" w:sz="24" w:space="0" w:color="2A3652"/>
            </w:tcBorders>
            <w:hideMark/>
          </w:tcPr>
          <w:p w14:paraId="72E535A4"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723" w:type="pct"/>
            <w:tcBorders>
              <w:top w:val="single" w:sz="24" w:space="0" w:color="2A3652"/>
            </w:tcBorders>
            <w:hideMark/>
          </w:tcPr>
          <w:p w14:paraId="5E47D621"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1038" w:type="pct"/>
            <w:tcBorders>
              <w:top w:val="single" w:sz="24" w:space="0" w:color="2A3652"/>
            </w:tcBorders>
            <w:hideMark/>
          </w:tcPr>
          <w:p w14:paraId="04EE8C14"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r w:rsidR="00821D8D" w:rsidRPr="00B62870" w14:paraId="07E02B7E" w14:textId="77777777" w:rsidTr="00D554BF">
        <w:trPr>
          <w:trHeight w:val="277"/>
        </w:trPr>
        <w:tc>
          <w:tcPr>
            <w:cnfStyle w:val="001000000000" w:firstRow="0" w:lastRow="0" w:firstColumn="1" w:lastColumn="0" w:oddVBand="0" w:evenVBand="0" w:oddHBand="0" w:evenHBand="0" w:firstRowFirstColumn="0" w:firstRowLastColumn="0" w:lastRowFirstColumn="0" w:lastRowLastColumn="0"/>
            <w:tcW w:w="780" w:type="pct"/>
            <w:hideMark/>
          </w:tcPr>
          <w:p w14:paraId="364CB10C" w14:textId="77777777" w:rsidR="00821D8D" w:rsidRPr="0038633B" w:rsidRDefault="00821D8D" w:rsidP="000E769C">
            <w:pPr>
              <w:pStyle w:val="TabellHode-rad"/>
              <w:rPr>
                <w:rFonts w:eastAsia="Calibri"/>
              </w:rPr>
            </w:pPr>
            <w:r w:rsidRPr="0038633B">
              <w:rPr>
                <w:rFonts w:eastAsia="Calibri"/>
              </w:rPr>
              <w:t>Danmark</w:t>
            </w:r>
            <w:r w:rsidRPr="00D9107F">
              <w:rPr>
                <w:rStyle w:val="Fotnotereferanse"/>
                <w:rFonts w:eastAsia="Calibri"/>
              </w:rPr>
              <w:footnoteReference w:id="23"/>
            </w:r>
          </w:p>
        </w:tc>
        <w:tc>
          <w:tcPr>
            <w:tcW w:w="1492" w:type="pct"/>
            <w:hideMark/>
          </w:tcPr>
          <w:p w14:paraId="3730F2D3"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 xml:space="preserve">Regioner </w:t>
            </w:r>
          </w:p>
        </w:tc>
        <w:tc>
          <w:tcPr>
            <w:tcW w:w="966" w:type="pct"/>
            <w:hideMark/>
          </w:tcPr>
          <w:p w14:paraId="6BE05DD8"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723" w:type="pct"/>
            <w:hideMark/>
          </w:tcPr>
          <w:p w14:paraId="197D1577"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1038" w:type="pct"/>
            <w:hideMark/>
          </w:tcPr>
          <w:p w14:paraId="6EAD4294"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r w:rsidR="00821D8D" w:rsidRPr="00B62870" w14:paraId="0CEAA66E" w14:textId="77777777" w:rsidTr="00D554BF">
        <w:trPr>
          <w:trHeight w:val="295"/>
        </w:trPr>
        <w:tc>
          <w:tcPr>
            <w:cnfStyle w:val="001000000000" w:firstRow="0" w:lastRow="0" w:firstColumn="1" w:lastColumn="0" w:oddVBand="0" w:evenVBand="0" w:oddHBand="0" w:evenHBand="0" w:firstRowFirstColumn="0" w:firstRowLastColumn="0" w:lastRowFirstColumn="0" w:lastRowLastColumn="0"/>
            <w:tcW w:w="780" w:type="pct"/>
            <w:hideMark/>
          </w:tcPr>
          <w:p w14:paraId="3DF140D6" w14:textId="77777777" w:rsidR="00821D8D" w:rsidRPr="0038633B" w:rsidRDefault="00821D8D" w:rsidP="000E769C">
            <w:pPr>
              <w:pStyle w:val="TabellHode-rad"/>
              <w:rPr>
                <w:rFonts w:eastAsia="Calibri"/>
              </w:rPr>
            </w:pPr>
            <w:r w:rsidRPr="0038633B">
              <w:rPr>
                <w:rFonts w:eastAsia="Calibri"/>
              </w:rPr>
              <w:t>Skottland</w:t>
            </w:r>
            <w:r w:rsidRPr="00D9107F">
              <w:rPr>
                <w:rStyle w:val="Fotnotereferanse"/>
                <w:rFonts w:eastAsia="Calibri"/>
              </w:rPr>
              <w:footnoteReference w:id="24"/>
            </w:r>
          </w:p>
        </w:tc>
        <w:tc>
          <w:tcPr>
            <w:tcW w:w="1492" w:type="pct"/>
            <w:hideMark/>
          </w:tcPr>
          <w:p w14:paraId="6B513731"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 xml:space="preserve">Health Boards </w:t>
            </w:r>
          </w:p>
        </w:tc>
        <w:tc>
          <w:tcPr>
            <w:tcW w:w="966" w:type="pct"/>
            <w:hideMark/>
          </w:tcPr>
          <w:p w14:paraId="25BF50C2"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723" w:type="pct"/>
            <w:hideMark/>
          </w:tcPr>
          <w:p w14:paraId="3789E2FE"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1038" w:type="pct"/>
            <w:hideMark/>
          </w:tcPr>
          <w:p w14:paraId="3FD5ECCF"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r w:rsidR="00821D8D" w:rsidRPr="00B62870" w14:paraId="253863B4" w14:textId="77777777" w:rsidTr="00D554BF">
        <w:trPr>
          <w:trHeight w:val="295"/>
        </w:trPr>
        <w:tc>
          <w:tcPr>
            <w:cnfStyle w:val="001000000000" w:firstRow="0" w:lastRow="0" w:firstColumn="1" w:lastColumn="0" w:oddVBand="0" w:evenVBand="0" w:oddHBand="0" w:evenHBand="0" w:firstRowFirstColumn="0" w:firstRowLastColumn="0" w:lastRowFirstColumn="0" w:lastRowLastColumn="0"/>
            <w:tcW w:w="780" w:type="pct"/>
            <w:hideMark/>
          </w:tcPr>
          <w:p w14:paraId="20FF8CA6" w14:textId="77777777" w:rsidR="00821D8D" w:rsidRPr="0038633B" w:rsidRDefault="00821D8D" w:rsidP="000E769C">
            <w:pPr>
              <w:pStyle w:val="TabellHode-rad"/>
              <w:rPr>
                <w:rFonts w:eastAsia="Calibri"/>
              </w:rPr>
            </w:pPr>
            <w:r w:rsidRPr="0038633B">
              <w:rPr>
                <w:rFonts w:eastAsia="Calibri"/>
              </w:rPr>
              <w:t>England</w:t>
            </w:r>
            <w:r w:rsidRPr="00D9107F">
              <w:rPr>
                <w:rStyle w:val="Fotnotereferanse"/>
                <w:rFonts w:eastAsia="Calibri"/>
              </w:rPr>
              <w:footnoteReference w:id="25"/>
            </w:r>
          </w:p>
        </w:tc>
        <w:tc>
          <w:tcPr>
            <w:tcW w:w="1492" w:type="pct"/>
            <w:hideMark/>
          </w:tcPr>
          <w:p w14:paraId="06C3891C"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Integrated care Boards</w:t>
            </w:r>
          </w:p>
        </w:tc>
        <w:tc>
          <w:tcPr>
            <w:tcW w:w="966" w:type="pct"/>
            <w:hideMark/>
          </w:tcPr>
          <w:p w14:paraId="166FB19E"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8633B">
              <w:rPr>
                <w:rFonts w:ascii="Calibri" w:eastAsia="Calibri" w:hAnsi="Calibri" w:cs="Calibri"/>
                <w:lang w:val="en-US"/>
              </w:rPr>
              <w:t>Ja</w:t>
            </w:r>
          </w:p>
        </w:tc>
        <w:tc>
          <w:tcPr>
            <w:tcW w:w="723" w:type="pct"/>
            <w:hideMark/>
          </w:tcPr>
          <w:p w14:paraId="55FDC7F3"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38633B">
              <w:rPr>
                <w:rFonts w:ascii="Calibri" w:eastAsia="Calibri" w:hAnsi="Calibri" w:cs="Calibri"/>
                <w:lang w:val="en-US"/>
              </w:rPr>
              <w:t>Ja</w:t>
            </w:r>
          </w:p>
        </w:tc>
        <w:tc>
          <w:tcPr>
            <w:tcW w:w="1038" w:type="pct"/>
            <w:hideMark/>
          </w:tcPr>
          <w:p w14:paraId="03EC8F0C"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r w:rsidR="00821D8D" w:rsidRPr="00B62870" w14:paraId="41BED026" w14:textId="77777777" w:rsidTr="00D554BF">
        <w:trPr>
          <w:trHeight w:val="277"/>
        </w:trPr>
        <w:tc>
          <w:tcPr>
            <w:cnfStyle w:val="001000000000" w:firstRow="0" w:lastRow="0" w:firstColumn="1" w:lastColumn="0" w:oddVBand="0" w:evenVBand="0" w:oddHBand="0" w:evenHBand="0" w:firstRowFirstColumn="0" w:firstRowLastColumn="0" w:lastRowFirstColumn="0" w:lastRowLastColumn="0"/>
            <w:tcW w:w="780" w:type="pct"/>
            <w:hideMark/>
          </w:tcPr>
          <w:p w14:paraId="7F55A789" w14:textId="77777777" w:rsidR="00821D8D" w:rsidRPr="0038633B" w:rsidRDefault="00821D8D" w:rsidP="000E769C">
            <w:pPr>
              <w:pStyle w:val="TabellHode-rad"/>
              <w:rPr>
                <w:rFonts w:eastAsia="Calibri"/>
              </w:rPr>
            </w:pPr>
            <w:r w:rsidRPr="0038633B">
              <w:rPr>
                <w:rFonts w:eastAsia="Calibri"/>
              </w:rPr>
              <w:lastRenderedPageBreak/>
              <w:t>Nederland</w:t>
            </w:r>
            <w:r w:rsidRPr="00D9107F">
              <w:rPr>
                <w:rStyle w:val="Fotnotereferanse"/>
                <w:rFonts w:eastAsia="Calibri"/>
              </w:rPr>
              <w:footnoteReference w:id="26"/>
            </w:r>
          </w:p>
        </w:tc>
        <w:tc>
          <w:tcPr>
            <w:tcW w:w="1492" w:type="pct"/>
            <w:hideMark/>
          </w:tcPr>
          <w:p w14:paraId="140926FC"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Helseforsikringsselskaper</w:t>
            </w:r>
          </w:p>
        </w:tc>
        <w:tc>
          <w:tcPr>
            <w:tcW w:w="966" w:type="pct"/>
            <w:hideMark/>
          </w:tcPr>
          <w:p w14:paraId="3E2960E5" w14:textId="026C73EF"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Ca 5</w:t>
            </w:r>
            <w:r w:rsidR="003C70FF" w:rsidRPr="0038633B">
              <w:rPr>
                <w:rFonts w:ascii="Calibri" w:eastAsia="Calibri" w:hAnsi="Calibri" w:cs="Calibri"/>
              </w:rPr>
              <w:t xml:space="preserve"> </w:t>
            </w:r>
            <w:r w:rsidRPr="0038633B">
              <w:rPr>
                <w:rFonts w:ascii="Calibri" w:eastAsia="Calibri" w:hAnsi="Calibri" w:cs="Calibri"/>
              </w:rPr>
              <w:t>%*</w:t>
            </w:r>
          </w:p>
        </w:tc>
        <w:tc>
          <w:tcPr>
            <w:tcW w:w="723" w:type="pct"/>
            <w:hideMark/>
          </w:tcPr>
          <w:p w14:paraId="547718BE" w14:textId="1A647ADF"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Ca 50</w:t>
            </w:r>
            <w:r w:rsidR="003C70FF" w:rsidRPr="0038633B">
              <w:rPr>
                <w:rFonts w:ascii="Calibri" w:eastAsia="Calibri" w:hAnsi="Calibri" w:cs="Calibri"/>
              </w:rPr>
              <w:t xml:space="preserve"> </w:t>
            </w:r>
            <w:r w:rsidRPr="0038633B">
              <w:rPr>
                <w:rFonts w:ascii="Calibri" w:eastAsia="Calibri" w:hAnsi="Calibri" w:cs="Calibri"/>
              </w:rPr>
              <w:t>%*</w:t>
            </w:r>
          </w:p>
        </w:tc>
        <w:tc>
          <w:tcPr>
            <w:tcW w:w="1038" w:type="pct"/>
            <w:hideMark/>
          </w:tcPr>
          <w:p w14:paraId="77FD0BE9" w14:textId="73A23BBC"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45</w:t>
            </w:r>
            <w:r w:rsidR="003C70FF" w:rsidRPr="0038633B">
              <w:rPr>
                <w:rFonts w:ascii="Calibri" w:eastAsia="Calibri" w:hAnsi="Calibri" w:cs="Calibri"/>
              </w:rPr>
              <w:t xml:space="preserve"> </w:t>
            </w:r>
            <w:r w:rsidRPr="0038633B">
              <w:rPr>
                <w:rFonts w:ascii="Calibri" w:eastAsia="Calibri" w:hAnsi="Calibri" w:cs="Calibri"/>
              </w:rPr>
              <w:t>%</w:t>
            </w:r>
          </w:p>
        </w:tc>
      </w:tr>
      <w:tr w:rsidR="00821D8D" w:rsidRPr="00B62870" w14:paraId="3667B976" w14:textId="77777777" w:rsidTr="00D554BF">
        <w:trPr>
          <w:trHeight w:val="295"/>
        </w:trPr>
        <w:tc>
          <w:tcPr>
            <w:cnfStyle w:val="001000000000" w:firstRow="0" w:lastRow="0" w:firstColumn="1" w:lastColumn="0" w:oddVBand="0" w:evenVBand="0" w:oddHBand="0" w:evenHBand="0" w:firstRowFirstColumn="0" w:firstRowLastColumn="0" w:lastRowFirstColumn="0" w:lastRowLastColumn="0"/>
            <w:tcW w:w="780" w:type="pct"/>
            <w:hideMark/>
          </w:tcPr>
          <w:p w14:paraId="504407DD" w14:textId="77777777" w:rsidR="00821D8D" w:rsidRPr="0038633B" w:rsidRDefault="00821D8D" w:rsidP="000E769C">
            <w:pPr>
              <w:pStyle w:val="TabellHode-rad"/>
              <w:rPr>
                <w:rFonts w:eastAsia="Calibri"/>
              </w:rPr>
            </w:pPr>
            <w:r w:rsidRPr="0038633B">
              <w:rPr>
                <w:rFonts w:eastAsia="Calibri"/>
              </w:rPr>
              <w:t>Sverige</w:t>
            </w:r>
            <w:r w:rsidRPr="00D9107F">
              <w:rPr>
                <w:rStyle w:val="Fotnotereferanse"/>
                <w:rFonts w:eastAsia="Calibri"/>
              </w:rPr>
              <w:footnoteReference w:id="27"/>
            </w:r>
          </w:p>
        </w:tc>
        <w:tc>
          <w:tcPr>
            <w:tcW w:w="1492" w:type="pct"/>
            <w:hideMark/>
          </w:tcPr>
          <w:p w14:paraId="5CEE7CC1"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Regioner</w:t>
            </w:r>
          </w:p>
        </w:tc>
        <w:tc>
          <w:tcPr>
            <w:tcW w:w="966" w:type="pct"/>
            <w:hideMark/>
          </w:tcPr>
          <w:p w14:paraId="4434DF4A"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Delvis</w:t>
            </w:r>
          </w:p>
        </w:tc>
        <w:tc>
          <w:tcPr>
            <w:tcW w:w="723" w:type="pct"/>
            <w:hideMark/>
          </w:tcPr>
          <w:p w14:paraId="3B66F84B"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 xml:space="preserve">Ja </w:t>
            </w:r>
          </w:p>
        </w:tc>
        <w:tc>
          <w:tcPr>
            <w:tcW w:w="1038" w:type="pct"/>
            <w:hideMark/>
          </w:tcPr>
          <w:p w14:paraId="785029FD"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r w:rsidR="00821D8D" w:rsidRPr="00B62870" w14:paraId="28AE6B41" w14:textId="77777777" w:rsidTr="00D554BF">
        <w:trPr>
          <w:trHeight w:val="277"/>
        </w:trPr>
        <w:tc>
          <w:tcPr>
            <w:cnfStyle w:val="001000000000" w:firstRow="0" w:lastRow="0" w:firstColumn="1" w:lastColumn="0" w:oddVBand="0" w:evenVBand="0" w:oddHBand="0" w:evenHBand="0" w:firstRowFirstColumn="0" w:firstRowLastColumn="0" w:lastRowFirstColumn="0" w:lastRowLastColumn="0"/>
            <w:tcW w:w="780" w:type="pct"/>
            <w:hideMark/>
          </w:tcPr>
          <w:p w14:paraId="4442A2BB" w14:textId="77777777" w:rsidR="00821D8D" w:rsidRPr="0038633B" w:rsidRDefault="00821D8D" w:rsidP="000E769C">
            <w:pPr>
              <w:pStyle w:val="TabellHode-rad"/>
              <w:rPr>
                <w:rFonts w:eastAsia="Calibri"/>
              </w:rPr>
            </w:pPr>
            <w:r w:rsidRPr="0038633B">
              <w:rPr>
                <w:rFonts w:eastAsia="Calibri"/>
              </w:rPr>
              <w:t>Finland</w:t>
            </w:r>
            <w:r w:rsidRPr="00D9107F">
              <w:rPr>
                <w:rStyle w:val="Fotnotereferanse"/>
                <w:rFonts w:eastAsia="Calibri"/>
              </w:rPr>
              <w:footnoteReference w:id="28"/>
            </w:r>
          </w:p>
        </w:tc>
        <w:tc>
          <w:tcPr>
            <w:tcW w:w="1492" w:type="pct"/>
            <w:hideMark/>
          </w:tcPr>
          <w:p w14:paraId="4B69C8FC"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Velferdsområder</w:t>
            </w:r>
          </w:p>
        </w:tc>
        <w:tc>
          <w:tcPr>
            <w:tcW w:w="966" w:type="pct"/>
            <w:hideMark/>
          </w:tcPr>
          <w:p w14:paraId="34503859"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w:t>
            </w:r>
          </w:p>
        </w:tc>
        <w:tc>
          <w:tcPr>
            <w:tcW w:w="723" w:type="pct"/>
            <w:hideMark/>
          </w:tcPr>
          <w:p w14:paraId="048E8F25"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Ja, i hovedsak</w:t>
            </w:r>
          </w:p>
        </w:tc>
        <w:tc>
          <w:tcPr>
            <w:tcW w:w="1038" w:type="pct"/>
            <w:hideMark/>
          </w:tcPr>
          <w:p w14:paraId="6C1625A0" w14:textId="77777777" w:rsidR="00821D8D" w:rsidRPr="0038633B" w:rsidRDefault="00821D8D"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3B">
              <w:rPr>
                <w:rFonts w:ascii="Calibri" w:eastAsia="Calibri" w:hAnsi="Calibri" w:cs="Calibri"/>
              </w:rPr>
              <w:t>Nei</w:t>
            </w:r>
          </w:p>
        </w:tc>
      </w:tr>
    </w:tbl>
    <w:p w14:paraId="4F9B59C1" w14:textId="69CCB0C0" w:rsidR="00D9107F" w:rsidRPr="00CE06F0" w:rsidRDefault="00821D8D" w:rsidP="00C33652">
      <w:pPr>
        <w:pStyle w:val="Petit"/>
        <w:rPr>
          <w:rStyle w:val="kursiv"/>
          <w:rFonts w:eastAsia="Calibri"/>
        </w:rPr>
      </w:pPr>
      <w:bookmarkStart w:id="2508" w:name="_Toc132133909"/>
      <w:r w:rsidRPr="00CE06F0">
        <w:rPr>
          <w:rStyle w:val="kursiv"/>
        </w:rPr>
        <w:t xml:space="preserve">* </w:t>
      </w:r>
      <w:r w:rsidRPr="00CE06F0">
        <w:rPr>
          <w:rStyle w:val="kursiv"/>
          <w:rFonts w:eastAsia="Calibri"/>
        </w:rPr>
        <w:t>Innbetaling til nasjonalt fond kontrollert av statlige myndigheter. Arbeidsgivere trekker fra arbeidstakeres lønn og staten bidrar i tillegg med en liten andel.</w:t>
      </w:r>
      <w:bookmarkEnd w:id="2508"/>
    </w:p>
    <w:p w14:paraId="1FB6A504" w14:textId="2C478A8F" w:rsidR="00075C56" w:rsidRPr="00075C56" w:rsidRDefault="00075C56" w:rsidP="00775632">
      <w:pPr>
        <w:pStyle w:val="Overskrift3"/>
      </w:pPr>
      <w:bookmarkStart w:id="2509" w:name="_Toc130932121"/>
      <w:bookmarkStart w:id="2510" w:name="_Toc130934412"/>
      <w:bookmarkStart w:id="2511" w:name="_Toc130983499"/>
      <w:bookmarkStart w:id="2512" w:name="_Toc130983848"/>
      <w:bookmarkStart w:id="2513" w:name="_Toc131062166"/>
      <w:bookmarkStart w:id="2514" w:name="_Toc131062420"/>
      <w:bookmarkStart w:id="2515" w:name="_Toc131062681"/>
      <w:bookmarkStart w:id="2516" w:name="_Toc131062934"/>
      <w:bookmarkStart w:id="2517" w:name="_Toc131063706"/>
      <w:bookmarkStart w:id="2518" w:name="_Toc131064127"/>
      <w:bookmarkStart w:id="2519" w:name="_Toc131238426"/>
      <w:bookmarkStart w:id="2520" w:name="_Toc131279457"/>
      <w:bookmarkStart w:id="2521" w:name="_Toc131286869"/>
      <w:bookmarkStart w:id="2522" w:name="_Toc131281279"/>
      <w:bookmarkStart w:id="2523" w:name="_Toc131317819"/>
      <w:bookmarkStart w:id="2524" w:name="_Toc132536987"/>
      <w:r w:rsidRPr="00075C56">
        <w:t>Finansiering av legepraksiser</w:t>
      </w:r>
      <w:r w:rsidR="000210AC">
        <w:t xml:space="preserve"> og </w:t>
      </w:r>
      <w:r w:rsidRPr="00075C56">
        <w:t>helsesentre</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25DB866F" w14:textId="77777777" w:rsidR="00D9107F" w:rsidRDefault="00075C56" w:rsidP="0029023A">
      <w:pPr>
        <w:jc w:val="both"/>
        <w:rPr>
          <w:rFonts w:ascii="Calibri" w:eastAsia="Calibri" w:hAnsi="Calibri" w:cs="Calibri"/>
        </w:rPr>
      </w:pPr>
      <w:r w:rsidRPr="00075C56">
        <w:rPr>
          <w:rFonts w:ascii="Calibri" w:eastAsia="Calibri" w:hAnsi="Calibri" w:cs="Calibri"/>
        </w:rPr>
        <w:t>De fleste av landene har nasjonale modeller for finansiering av primærlegene, men i land med mer desentralisert ansvar for organisering og styring av tjenestene kan det være en del ulikheter i innretning. Dette gjelder spesielt Sverige, men også i Finland. Selv om det i noen land er større grad av frihet til å innrette finansieringsmodellene etter lokale behov</w:t>
      </w:r>
      <w:r w:rsidR="004440DD">
        <w:rPr>
          <w:rFonts w:ascii="Calibri" w:eastAsia="Calibri" w:hAnsi="Calibri" w:cs="Calibri"/>
        </w:rPr>
        <w:t>,</w:t>
      </w:r>
      <w:r w:rsidRPr="00075C56">
        <w:rPr>
          <w:rFonts w:ascii="Calibri" w:eastAsia="Calibri" w:hAnsi="Calibri" w:cs="Calibri"/>
        </w:rPr>
        <w:t xml:space="preserve"> må alle oppfylle nasjonale krav til tjenestene.</w:t>
      </w:r>
    </w:p>
    <w:p w14:paraId="17A9DF65" w14:textId="77777777" w:rsidR="00D9107F" w:rsidRDefault="00075C56" w:rsidP="0029023A">
      <w:pPr>
        <w:jc w:val="both"/>
        <w:rPr>
          <w:rFonts w:ascii="Calibri" w:eastAsia="Calibri" w:hAnsi="Calibri" w:cs="Calibri"/>
        </w:rPr>
      </w:pPr>
      <w:r w:rsidRPr="00075C56">
        <w:rPr>
          <w:rFonts w:ascii="Calibri" w:eastAsia="Calibri" w:hAnsi="Calibri" w:cs="Calibri"/>
        </w:rPr>
        <w:t>Inntektene til primærlegene i landene hvor hovedmodellen er privatpraktiserende leger med offentlig avtale</w:t>
      </w:r>
      <w:r w:rsidR="00E55C83">
        <w:rPr>
          <w:rFonts w:ascii="Calibri" w:eastAsia="Calibri" w:hAnsi="Calibri" w:cs="Calibri"/>
        </w:rPr>
        <w:t>,</w:t>
      </w:r>
      <w:r w:rsidRPr="00075C56">
        <w:rPr>
          <w:rFonts w:ascii="Calibri" w:eastAsia="Calibri" w:hAnsi="Calibri" w:cs="Calibri"/>
        </w:rPr>
        <w:t xml:space="preserve"> er som regel en blanding av tilskudd per innbygger (</w:t>
      </w:r>
      <w:r w:rsidR="00583C87">
        <w:rPr>
          <w:rFonts w:ascii="Calibri" w:eastAsia="Calibri" w:hAnsi="Calibri" w:cs="Calibri"/>
        </w:rPr>
        <w:t xml:space="preserve">per </w:t>
      </w:r>
      <w:r w:rsidRPr="00075C56">
        <w:rPr>
          <w:rFonts w:ascii="Calibri" w:eastAsia="Calibri" w:hAnsi="Calibri" w:cs="Calibri"/>
        </w:rPr>
        <w:t xml:space="preserve">capita) og aktivitetsbasert refusjon. I tillegg kan det være ulike former for </w:t>
      </w:r>
      <w:r w:rsidR="00583C87">
        <w:rPr>
          <w:rFonts w:ascii="Calibri" w:eastAsia="Calibri" w:hAnsi="Calibri" w:cs="Calibri"/>
        </w:rPr>
        <w:t>risikojustering av per capita-tilskuddet</w:t>
      </w:r>
      <w:r w:rsidRPr="00075C56">
        <w:rPr>
          <w:rFonts w:ascii="Calibri" w:eastAsia="Calibri" w:hAnsi="Calibri" w:cs="Calibri"/>
        </w:rPr>
        <w:t xml:space="preserve"> ut fra forskjeller i befolkningens behov for helsetjenester, samt tilskudd for å utjevne kostnadsforskjeller knyttet til geografisk plassering av praksisen eller ekstra kostnader knyttet til at noen områder er mer flerspråklige o.l. </w:t>
      </w:r>
      <w:r w:rsidR="00440445">
        <w:rPr>
          <w:rFonts w:ascii="Calibri" w:eastAsia="Calibri" w:hAnsi="Calibri" w:cs="Calibri"/>
        </w:rPr>
        <w:t>E</w:t>
      </w:r>
      <w:r w:rsidRPr="00075C56">
        <w:rPr>
          <w:rFonts w:ascii="Calibri" w:eastAsia="Calibri" w:hAnsi="Calibri" w:cs="Calibri"/>
        </w:rPr>
        <w:t xml:space="preserve">genandeler på konsultasjoner utgjør som regel en relativt liten del av </w:t>
      </w:r>
      <w:r w:rsidR="004E6821">
        <w:rPr>
          <w:rFonts w:ascii="Calibri" w:eastAsia="Calibri" w:hAnsi="Calibri" w:cs="Calibri"/>
        </w:rPr>
        <w:t xml:space="preserve">legenes </w:t>
      </w:r>
      <w:r w:rsidRPr="00075C56">
        <w:rPr>
          <w:rFonts w:ascii="Calibri" w:eastAsia="Calibri" w:hAnsi="Calibri" w:cs="Calibri"/>
        </w:rPr>
        <w:t>inntekte</w:t>
      </w:r>
      <w:r w:rsidR="004E6821">
        <w:rPr>
          <w:rFonts w:ascii="Calibri" w:eastAsia="Calibri" w:hAnsi="Calibri" w:cs="Calibri"/>
        </w:rPr>
        <w:t>r</w:t>
      </w:r>
      <w:r w:rsidRPr="00075C56">
        <w:rPr>
          <w:rFonts w:ascii="Calibri" w:eastAsia="Calibri" w:hAnsi="Calibri" w:cs="Calibri"/>
        </w:rPr>
        <w:t>.</w:t>
      </w:r>
    </w:p>
    <w:p w14:paraId="3604EE66" w14:textId="7847C921" w:rsidR="00075C56" w:rsidRPr="00075C56" w:rsidRDefault="00964683" w:rsidP="00775632">
      <w:pPr>
        <w:pStyle w:val="tabell-tittel"/>
      </w:pPr>
      <w:r>
        <w:t>Finansieringen</w:t>
      </w:r>
      <w:r w:rsidR="00075C56" w:rsidRPr="00075C56">
        <w:t xml:space="preserve"> av allmennpraktiserende leger</w:t>
      </w:r>
      <w:r w:rsidR="00D47589">
        <w:t xml:space="preserve"> og </w:t>
      </w:r>
      <w:r w:rsidR="00075C56" w:rsidRPr="00075C56">
        <w:t xml:space="preserve">helsesenter med offentlig </w:t>
      </w:r>
      <w:r w:rsidR="008F2ED9">
        <w:t>avtale</w:t>
      </w:r>
      <w:r w:rsidR="00CD440A" w:rsidRPr="00D9107F">
        <w:rPr>
          <w:rStyle w:val="Fotnotereferanse"/>
          <w:rFonts w:eastAsia="Calibri"/>
        </w:rPr>
        <w:footnoteReference w:id="29"/>
      </w:r>
    </w:p>
    <w:tbl>
      <w:tblPr>
        <w:tblStyle w:val="EUTabellstil"/>
        <w:tblW w:w="9776" w:type="dxa"/>
        <w:tblLayout w:type="fixed"/>
        <w:tblLook w:val="04A0" w:firstRow="1" w:lastRow="0" w:firstColumn="1" w:lastColumn="0" w:noHBand="0" w:noVBand="1"/>
      </w:tblPr>
      <w:tblGrid>
        <w:gridCol w:w="1129"/>
        <w:gridCol w:w="993"/>
        <w:gridCol w:w="1701"/>
        <w:gridCol w:w="1417"/>
        <w:gridCol w:w="1418"/>
        <w:gridCol w:w="3118"/>
      </w:tblGrid>
      <w:tr w:rsidR="00075C56" w:rsidRPr="00075C56" w14:paraId="358AF649" w14:textId="77777777" w:rsidTr="0028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single" w:sz="24" w:space="0" w:color="2A3652"/>
            </w:tcBorders>
            <w:shd w:val="clear" w:color="auto" w:fill="A9D6B9"/>
          </w:tcPr>
          <w:p w14:paraId="763A85A2" w14:textId="77777777" w:rsidR="00075C56" w:rsidRPr="00D9107F" w:rsidRDefault="00075C56" w:rsidP="000E769C">
            <w:pPr>
              <w:pStyle w:val="TabellHode-kolonne"/>
              <w:rPr>
                <w:rStyle w:val="halvfet"/>
                <w:rFonts w:eastAsia="Calibri"/>
              </w:rPr>
            </w:pPr>
          </w:p>
        </w:tc>
        <w:tc>
          <w:tcPr>
            <w:tcW w:w="993" w:type="dxa"/>
            <w:tcBorders>
              <w:bottom w:val="single" w:sz="24" w:space="0" w:color="2A3652"/>
            </w:tcBorders>
            <w:shd w:val="clear" w:color="auto" w:fill="A9D6B9"/>
          </w:tcPr>
          <w:p w14:paraId="3E259C1A" w14:textId="10A8FC87" w:rsidR="00075C56" w:rsidRPr="00D9107F" w:rsidRDefault="00075C56"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 xml:space="preserve">Per </w:t>
            </w:r>
            <w:r w:rsidR="00EE1EB3" w:rsidRPr="00D9107F">
              <w:rPr>
                <w:rStyle w:val="halvfet"/>
                <w:rFonts w:eastAsia="Calibri"/>
              </w:rPr>
              <w:t>c</w:t>
            </w:r>
            <w:r w:rsidRPr="00D9107F">
              <w:rPr>
                <w:rStyle w:val="halvfet"/>
                <w:rFonts w:eastAsia="Calibri"/>
              </w:rPr>
              <w:t>apita</w:t>
            </w:r>
          </w:p>
        </w:tc>
        <w:tc>
          <w:tcPr>
            <w:tcW w:w="1701" w:type="dxa"/>
            <w:tcBorders>
              <w:bottom w:val="single" w:sz="24" w:space="0" w:color="2A3652"/>
            </w:tcBorders>
            <w:shd w:val="clear" w:color="auto" w:fill="A9D6B9"/>
          </w:tcPr>
          <w:p w14:paraId="43E25BD9" w14:textId="21079228" w:rsidR="00075C56" w:rsidRPr="00D9107F" w:rsidRDefault="00075C56"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Aktivitetsbasert</w:t>
            </w:r>
          </w:p>
        </w:tc>
        <w:tc>
          <w:tcPr>
            <w:tcW w:w="1417" w:type="dxa"/>
            <w:tcBorders>
              <w:bottom w:val="single" w:sz="24" w:space="0" w:color="2A3652"/>
            </w:tcBorders>
            <w:shd w:val="clear" w:color="auto" w:fill="A9D6B9"/>
          </w:tcPr>
          <w:p w14:paraId="5DEA7BD5" w14:textId="5EA9B998" w:rsidR="00075C56" w:rsidRPr="00D9107F" w:rsidRDefault="00075C56"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Risiko</w:t>
            </w:r>
            <w:r w:rsidR="002747B0" w:rsidRPr="00D9107F">
              <w:rPr>
                <w:rStyle w:val="halvfet"/>
                <w:rFonts w:eastAsia="Calibri"/>
              </w:rPr>
              <w:t>-</w:t>
            </w:r>
            <w:r w:rsidRPr="00D9107F">
              <w:rPr>
                <w:rStyle w:val="halvfet"/>
                <w:rFonts w:eastAsia="Calibri"/>
              </w:rPr>
              <w:t>justering</w:t>
            </w:r>
          </w:p>
        </w:tc>
        <w:tc>
          <w:tcPr>
            <w:tcW w:w="1418" w:type="dxa"/>
            <w:tcBorders>
              <w:bottom w:val="single" w:sz="24" w:space="0" w:color="2A3652"/>
            </w:tcBorders>
            <w:shd w:val="clear" w:color="auto" w:fill="A9D6B9"/>
          </w:tcPr>
          <w:p w14:paraId="079D78B8" w14:textId="10E64A6D" w:rsidR="00075C56" w:rsidRPr="00D9107F" w:rsidRDefault="00075C56"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Egenandel konsultasjon</w:t>
            </w:r>
          </w:p>
        </w:tc>
        <w:tc>
          <w:tcPr>
            <w:tcW w:w="3118" w:type="dxa"/>
            <w:tcBorders>
              <w:bottom w:val="single" w:sz="24" w:space="0" w:color="2A3652"/>
            </w:tcBorders>
            <w:shd w:val="clear" w:color="auto" w:fill="A9D6B9"/>
          </w:tcPr>
          <w:p w14:paraId="3F2CD242" w14:textId="77777777" w:rsidR="00075C56" w:rsidRPr="00D9107F" w:rsidRDefault="00075C56"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Fonts w:eastAsia="Calibri"/>
              </w:rPr>
              <w:t>Annet</w:t>
            </w:r>
          </w:p>
        </w:tc>
      </w:tr>
      <w:tr w:rsidR="00075C56" w:rsidRPr="00075C56" w14:paraId="6AED408B" w14:textId="77777777" w:rsidTr="002843E0">
        <w:tc>
          <w:tcPr>
            <w:cnfStyle w:val="001000000000" w:firstRow="0" w:lastRow="0" w:firstColumn="1" w:lastColumn="0" w:oddVBand="0" w:evenVBand="0" w:oddHBand="0" w:evenHBand="0" w:firstRowFirstColumn="0" w:firstRowLastColumn="0" w:lastRowFirstColumn="0" w:lastRowLastColumn="0"/>
            <w:tcW w:w="1129" w:type="dxa"/>
            <w:tcBorders>
              <w:top w:val="single" w:sz="24" w:space="0" w:color="2A3652"/>
            </w:tcBorders>
          </w:tcPr>
          <w:p w14:paraId="2F170CDC" w14:textId="77777777" w:rsidR="00075C56" w:rsidRPr="00075C56" w:rsidRDefault="00075C56" w:rsidP="000E769C">
            <w:pPr>
              <w:pStyle w:val="TabellHode-rad"/>
              <w:rPr>
                <w:rFonts w:eastAsia="Calibri"/>
              </w:rPr>
            </w:pPr>
            <w:r w:rsidRPr="00075C56">
              <w:rPr>
                <w:rFonts w:eastAsia="Calibri"/>
              </w:rPr>
              <w:t>Norge</w:t>
            </w:r>
          </w:p>
        </w:tc>
        <w:tc>
          <w:tcPr>
            <w:tcW w:w="993" w:type="dxa"/>
            <w:tcBorders>
              <w:top w:val="single" w:sz="24" w:space="0" w:color="2A3652"/>
            </w:tcBorders>
          </w:tcPr>
          <w:p w14:paraId="2255328F" w14:textId="4DC81335"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28</w:t>
            </w:r>
            <w:r w:rsidR="00493679">
              <w:rPr>
                <w:rFonts w:ascii="Calibri" w:eastAsia="Calibri" w:hAnsi="Calibri" w:cs="Calibri"/>
              </w:rPr>
              <w:t xml:space="preserve"> </w:t>
            </w:r>
            <w:r w:rsidRPr="00075C56">
              <w:rPr>
                <w:rFonts w:ascii="Calibri" w:eastAsia="Calibri" w:hAnsi="Calibri" w:cs="Calibri"/>
              </w:rPr>
              <w:t>%</w:t>
            </w:r>
          </w:p>
        </w:tc>
        <w:tc>
          <w:tcPr>
            <w:tcW w:w="1701" w:type="dxa"/>
            <w:tcBorders>
              <w:top w:val="single" w:sz="24" w:space="0" w:color="2A3652"/>
            </w:tcBorders>
          </w:tcPr>
          <w:p w14:paraId="39815B3C" w14:textId="3E232F25"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72</w:t>
            </w:r>
            <w:r w:rsidR="00493679">
              <w:rPr>
                <w:rFonts w:ascii="Calibri" w:eastAsia="Calibri" w:hAnsi="Calibri" w:cs="Calibri"/>
              </w:rPr>
              <w:t xml:space="preserve"> </w:t>
            </w:r>
            <w:r w:rsidRPr="00075C56">
              <w:rPr>
                <w:rFonts w:ascii="Calibri" w:eastAsia="Calibri" w:hAnsi="Calibri" w:cs="Calibri"/>
              </w:rPr>
              <w:t>%</w:t>
            </w:r>
          </w:p>
        </w:tc>
        <w:tc>
          <w:tcPr>
            <w:tcW w:w="1417" w:type="dxa"/>
            <w:tcBorders>
              <w:top w:val="single" w:sz="24" w:space="0" w:color="2A3652"/>
            </w:tcBorders>
          </w:tcPr>
          <w:p w14:paraId="3295EAFC" w14:textId="3776CE66" w:rsidR="00075C56" w:rsidRPr="00075C56" w:rsidRDefault="00CD750C"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Fra 1.5.2023</w:t>
            </w:r>
          </w:p>
        </w:tc>
        <w:tc>
          <w:tcPr>
            <w:tcW w:w="1418" w:type="dxa"/>
            <w:tcBorders>
              <w:top w:val="single" w:sz="24" w:space="0" w:color="2A3652"/>
            </w:tcBorders>
          </w:tcPr>
          <w:p w14:paraId="3C648563" w14:textId="54FA0E98"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3118" w:type="dxa"/>
            <w:tcBorders>
              <w:top w:val="single" w:sz="24" w:space="0" w:color="2A3652"/>
            </w:tcBorders>
          </w:tcPr>
          <w:p w14:paraId="775DF782" w14:textId="24120562" w:rsidR="00075C56" w:rsidRPr="00075C56" w:rsidRDefault="00E125DF"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Utj</w:t>
            </w:r>
            <w:r>
              <w:rPr>
                <w:rFonts w:ascii="Calibri" w:eastAsia="Calibri" w:hAnsi="Calibri" w:cs="Calibri"/>
              </w:rPr>
              <w:t>amn</w:t>
            </w:r>
            <w:r w:rsidRPr="00075C56">
              <w:rPr>
                <w:rFonts w:ascii="Calibri" w:eastAsia="Calibri" w:hAnsi="Calibri" w:cs="Calibri"/>
              </w:rPr>
              <w:t>ingstilskudd</w:t>
            </w:r>
          </w:p>
        </w:tc>
      </w:tr>
      <w:tr w:rsidR="00075C56" w:rsidRPr="00075C56" w14:paraId="7B96184F"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2AD1FA53" w14:textId="77777777" w:rsidR="00075C56" w:rsidRPr="00075C56" w:rsidRDefault="00075C56" w:rsidP="000E769C">
            <w:pPr>
              <w:pStyle w:val="TabellHode-rad"/>
              <w:rPr>
                <w:rFonts w:eastAsia="Calibri"/>
              </w:rPr>
            </w:pPr>
            <w:r w:rsidRPr="00075C56">
              <w:rPr>
                <w:rFonts w:eastAsia="Calibri"/>
              </w:rPr>
              <w:t>Danmark</w:t>
            </w:r>
          </w:p>
        </w:tc>
        <w:tc>
          <w:tcPr>
            <w:tcW w:w="993" w:type="dxa"/>
          </w:tcPr>
          <w:p w14:paraId="547D164C" w14:textId="4526AFB6"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30</w:t>
            </w:r>
            <w:r w:rsidR="00493679">
              <w:rPr>
                <w:rFonts w:ascii="Calibri" w:eastAsia="Calibri" w:hAnsi="Calibri" w:cs="Calibri"/>
              </w:rPr>
              <w:t xml:space="preserve"> </w:t>
            </w:r>
            <w:r w:rsidRPr="00075C56">
              <w:rPr>
                <w:rFonts w:ascii="Calibri" w:eastAsia="Calibri" w:hAnsi="Calibri" w:cs="Calibri"/>
              </w:rPr>
              <w:t>%</w:t>
            </w:r>
          </w:p>
        </w:tc>
        <w:tc>
          <w:tcPr>
            <w:tcW w:w="1701" w:type="dxa"/>
          </w:tcPr>
          <w:p w14:paraId="5DCD3AC6" w14:textId="40EAC474"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70</w:t>
            </w:r>
            <w:r w:rsidR="00493679">
              <w:rPr>
                <w:rFonts w:ascii="Calibri" w:eastAsia="Calibri" w:hAnsi="Calibri" w:cs="Calibri"/>
              </w:rPr>
              <w:t xml:space="preserve"> </w:t>
            </w:r>
            <w:r w:rsidRPr="00075C56">
              <w:rPr>
                <w:rFonts w:ascii="Calibri" w:eastAsia="Calibri" w:hAnsi="Calibri" w:cs="Calibri"/>
              </w:rPr>
              <w:t>%</w:t>
            </w:r>
          </w:p>
        </w:tc>
        <w:tc>
          <w:tcPr>
            <w:tcW w:w="1417" w:type="dxa"/>
          </w:tcPr>
          <w:p w14:paraId="25549D9D" w14:textId="46F90DE2"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 xml:space="preserve">Kun </w:t>
            </w:r>
            <w:r w:rsidR="00CD750C" w:rsidRPr="00AF56BE">
              <w:rPr>
                <w:rFonts w:ascii="Calibri" w:eastAsia="Calibri" w:hAnsi="Calibri" w:cs="Calibri"/>
                <w:lang w:val="nb-NO"/>
              </w:rPr>
              <w:t>l</w:t>
            </w:r>
            <w:r w:rsidRPr="00AF56BE">
              <w:rPr>
                <w:rFonts w:ascii="Calibri" w:eastAsia="Calibri" w:hAnsi="Calibri" w:cs="Calibri"/>
                <w:lang w:val="nb-NO"/>
              </w:rPr>
              <w:t xml:space="preserve">ister med mange </w:t>
            </w:r>
            <w:r w:rsidR="00D9107F">
              <w:rPr>
                <w:rFonts w:ascii="Calibri" w:eastAsia="Calibri" w:hAnsi="Calibri" w:cs="Calibri"/>
                <w:lang w:val="nb-NO"/>
              </w:rPr>
              <w:t>«</w:t>
            </w:r>
            <w:r w:rsidRPr="00AF56BE">
              <w:rPr>
                <w:rFonts w:ascii="Calibri" w:eastAsia="Calibri" w:hAnsi="Calibri" w:cs="Calibri"/>
                <w:lang w:val="nb-NO"/>
              </w:rPr>
              <w:t>tunge</w:t>
            </w:r>
            <w:r w:rsidR="00D9107F">
              <w:rPr>
                <w:rFonts w:ascii="Calibri" w:eastAsia="Calibri" w:hAnsi="Calibri" w:cs="Calibri"/>
                <w:lang w:val="nb-NO"/>
              </w:rPr>
              <w:t>»</w:t>
            </w:r>
            <w:r w:rsidRPr="00AF56BE">
              <w:rPr>
                <w:rFonts w:ascii="Calibri" w:eastAsia="Calibri" w:hAnsi="Calibri" w:cs="Calibri"/>
                <w:lang w:val="nb-NO"/>
              </w:rPr>
              <w:t xml:space="preserve"> </w:t>
            </w:r>
            <w:r w:rsidRPr="00AF56BE">
              <w:rPr>
                <w:rFonts w:ascii="Calibri" w:eastAsia="Calibri" w:hAnsi="Calibri" w:cs="Calibri"/>
                <w:lang w:val="nb-NO"/>
              </w:rPr>
              <w:lastRenderedPageBreak/>
              <w:t>pasienter. Utgjør lite</w:t>
            </w:r>
            <w:r w:rsidR="004E28AD">
              <w:rPr>
                <w:rFonts w:ascii="Calibri" w:eastAsia="Calibri" w:hAnsi="Calibri" w:cs="Calibri"/>
                <w:lang w:val="nb-NO"/>
              </w:rPr>
              <w:t>.</w:t>
            </w:r>
          </w:p>
        </w:tc>
        <w:tc>
          <w:tcPr>
            <w:tcW w:w="1418" w:type="dxa"/>
          </w:tcPr>
          <w:p w14:paraId="3A2F6827"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lastRenderedPageBreak/>
              <w:t>Nei</w:t>
            </w:r>
          </w:p>
        </w:tc>
        <w:tc>
          <w:tcPr>
            <w:tcW w:w="3118" w:type="dxa"/>
          </w:tcPr>
          <w:p w14:paraId="47BB6B05"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Definerte legedekningstruede områder får tilleggsfinansiering.</w:t>
            </w:r>
          </w:p>
          <w:p w14:paraId="7C058A43" w14:textId="3C793C46"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Kronikerhonorar for oppfølging av pasienter med diabetes og KOLS</w:t>
            </w:r>
            <w:r w:rsidR="004E28AD">
              <w:rPr>
                <w:rFonts w:ascii="Calibri" w:eastAsia="Calibri" w:hAnsi="Calibri" w:cs="Calibri"/>
                <w:lang w:val="nb-NO"/>
              </w:rPr>
              <w:t>.</w:t>
            </w:r>
          </w:p>
        </w:tc>
      </w:tr>
      <w:tr w:rsidR="00075C56" w:rsidRPr="00075C56" w14:paraId="76735BA1"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482F8529" w14:textId="77777777" w:rsidR="00075C56" w:rsidRPr="00075C56" w:rsidRDefault="00075C56" w:rsidP="000E769C">
            <w:pPr>
              <w:pStyle w:val="TabellHode-rad"/>
              <w:rPr>
                <w:rFonts w:eastAsia="Calibri"/>
              </w:rPr>
            </w:pPr>
            <w:r w:rsidRPr="00075C56">
              <w:rPr>
                <w:rFonts w:eastAsia="Calibri"/>
              </w:rPr>
              <w:t>Skottland</w:t>
            </w:r>
          </w:p>
        </w:tc>
        <w:tc>
          <w:tcPr>
            <w:tcW w:w="993" w:type="dxa"/>
          </w:tcPr>
          <w:p w14:paraId="6214567A" w14:textId="133EA024"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85</w:t>
            </w:r>
            <w:r w:rsidR="00493679">
              <w:rPr>
                <w:rFonts w:ascii="Calibri" w:eastAsia="Calibri" w:hAnsi="Calibri" w:cs="Calibri"/>
              </w:rPr>
              <w:t xml:space="preserve"> </w:t>
            </w:r>
            <w:r w:rsidRPr="00075C56">
              <w:rPr>
                <w:rFonts w:ascii="Calibri" w:eastAsia="Calibri" w:hAnsi="Calibri" w:cs="Calibri"/>
              </w:rPr>
              <w:t>%</w:t>
            </w:r>
          </w:p>
        </w:tc>
        <w:tc>
          <w:tcPr>
            <w:tcW w:w="1701" w:type="dxa"/>
          </w:tcPr>
          <w:p w14:paraId="41466554"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Nei, men mulighet for noe variasjon i oppgaver gjennom kontraktene</w:t>
            </w:r>
          </w:p>
        </w:tc>
        <w:tc>
          <w:tcPr>
            <w:tcW w:w="1417" w:type="dxa"/>
          </w:tcPr>
          <w:p w14:paraId="44AA2DA5"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1418" w:type="dxa"/>
          </w:tcPr>
          <w:p w14:paraId="4FA5DC85"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Nei</w:t>
            </w:r>
          </w:p>
        </w:tc>
        <w:tc>
          <w:tcPr>
            <w:tcW w:w="3118" w:type="dxa"/>
          </w:tcPr>
          <w:p w14:paraId="2909C265" w14:textId="2D33BD3E"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Ca 15</w:t>
            </w:r>
            <w:r w:rsidR="00493679" w:rsidRPr="00AF56BE">
              <w:rPr>
                <w:rFonts w:ascii="Calibri" w:eastAsia="Calibri" w:hAnsi="Calibri" w:cs="Calibri"/>
                <w:lang w:val="nb-NO"/>
              </w:rPr>
              <w:t xml:space="preserve"> </w:t>
            </w:r>
            <w:r w:rsidRPr="00AF56BE">
              <w:rPr>
                <w:rFonts w:ascii="Calibri" w:eastAsia="Calibri" w:hAnsi="Calibri" w:cs="Calibri"/>
                <w:lang w:val="nb-NO"/>
              </w:rPr>
              <w:t xml:space="preserve">% betaling som er praksisspesifikke basert på avtaler </w:t>
            </w:r>
            <w:r w:rsidR="00CD750C" w:rsidRPr="00AF56BE">
              <w:rPr>
                <w:rFonts w:ascii="Calibri" w:eastAsia="Calibri" w:hAnsi="Calibri" w:cs="Calibri"/>
                <w:lang w:val="nb-NO"/>
              </w:rPr>
              <w:t>og en</w:t>
            </w:r>
            <w:r w:rsidRPr="00AF56BE">
              <w:rPr>
                <w:rFonts w:ascii="Calibri" w:eastAsia="Calibri" w:hAnsi="Calibri" w:cs="Calibri"/>
                <w:lang w:val="nb-NO"/>
              </w:rPr>
              <w:t xml:space="preserve"> liten andel spesifikke takster basert på lokale avtaler</w:t>
            </w:r>
            <w:r w:rsidR="004E28AD">
              <w:rPr>
                <w:rFonts w:ascii="Calibri" w:eastAsia="Calibri" w:hAnsi="Calibri" w:cs="Calibri"/>
                <w:lang w:val="nb-NO"/>
              </w:rPr>
              <w:t>.</w:t>
            </w:r>
          </w:p>
        </w:tc>
      </w:tr>
      <w:tr w:rsidR="00075C56" w:rsidRPr="00075C56" w14:paraId="5A91A313"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428F1F82" w14:textId="77777777" w:rsidR="00075C56" w:rsidRPr="00075C56" w:rsidRDefault="00075C56" w:rsidP="000E769C">
            <w:pPr>
              <w:pStyle w:val="TabellHode-rad"/>
              <w:rPr>
                <w:rFonts w:eastAsia="Calibri"/>
              </w:rPr>
            </w:pPr>
            <w:r w:rsidRPr="00075C56">
              <w:rPr>
                <w:rFonts w:eastAsia="Calibri"/>
              </w:rPr>
              <w:t>England</w:t>
            </w:r>
          </w:p>
        </w:tc>
        <w:tc>
          <w:tcPr>
            <w:tcW w:w="993" w:type="dxa"/>
          </w:tcPr>
          <w:p w14:paraId="07B886FC" w14:textId="70C374E8"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50-60</w:t>
            </w:r>
            <w:r w:rsidR="00493679">
              <w:rPr>
                <w:rFonts w:ascii="Calibri" w:eastAsia="Calibri" w:hAnsi="Calibri" w:cs="Calibri"/>
              </w:rPr>
              <w:t xml:space="preserve"> </w:t>
            </w:r>
            <w:r w:rsidRPr="00075C56">
              <w:rPr>
                <w:rFonts w:ascii="Calibri" w:eastAsia="Calibri" w:hAnsi="Calibri" w:cs="Calibri"/>
              </w:rPr>
              <w:t>%</w:t>
            </w:r>
          </w:p>
        </w:tc>
        <w:tc>
          <w:tcPr>
            <w:tcW w:w="1701" w:type="dxa"/>
          </w:tcPr>
          <w:p w14:paraId="4D1F3355"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Nei, men mulighet for noe variasjon i oppgaver gjennom kontraktene</w:t>
            </w:r>
          </w:p>
        </w:tc>
        <w:tc>
          <w:tcPr>
            <w:tcW w:w="1417" w:type="dxa"/>
          </w:tcPr>
          <w:p w14:paraId="41013027"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1418" w:type="dxa"/>
          </w:tcPr>
          <w:p w14:paraId="65A10DB3"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Nei</w:t>
            </w:r>
          </w:p>
        </w:tc>
        <w:tc>
          <w:tcPr>
            <w:tcW w:w="3118" w:type="dxa"/>
          </w:tcPr>
          <w:p w14:paraId="6E977B71" w14:textId="0CA61B73"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14</w:t>
            </w:r>
            <w:r w:rsidR="00493679">
              <w:rPr>
                <w:rFonts w:ascii="Calibri" w:eastAsia="Calibri" w:hAnsi="Calibri" w:cs="Calibri"/>
              </w:rPr>
              <w:t xml:space="preserve"> </w:t>
            </w:r>
            <w:r w:rsidRPr="00075C56">
              <w:rPr>
                <w:rFonts w:ascii="Calibri" w:eastAsia="Calibri" w:hAnsi="Calibri" w:cs="Calibri"/>
              </w:rPr>
              <w:t>% Core PCN*-funding</w:t>
            </w:r>
          </w:p>
          <w:p w14:paraId="74B21B65" w14:textId="77777777" w:rsidR="00D9107F"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7</w:t>
            </w:r>
            <w:r w:rsidR="00493679">
              <w:rPr>
                <w:rFonts w:ascii="Calibri" w:eastAsia="Calibri" w:hAnsi="Calibri" w:cs="Calibri"/>
              </w:rPr>
              <w:t xml:space="preserve"> </w:t>
            </w:r>
            <w:r w:rsidRPr="00075C56">
              <w:rPr>
                <w:rFonts w:ascii="Calibri" w:eastAsia="Calibri" w:hAnsi="Calibri" w:cs="Calibri"/>
              </w:rPr>
              <w:t>% ledelse</w:t>
            </w:r>
          </w:p>
          <w:p w14:paraId="56C18ED7" w14:textId="05044FD0"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3ADF">
              <w:rPr>
                <w:rFonts w:ascii="Calibri" w:eastAsia="Calibri" w:hAnsi="Calibri" w:cs="Calibri"/>
              </w:rPr>
              <w:t>10</w:t>
            </w:r>
            <w:r w:rsidR="00493679">
              <w:rPr>
                <w:rFonts w:ascii="Calibri" w:eastAsia="Calibri" w:hAnsi="Calibri" w:cs="Calibri"/>
              </w:rPr>
              <w:t xml:space="preserve"> </w:t>
            </w:r>
            <w:r w:rsidRPr="00F13ADF">
              <w:rPr>
                <w:rFonts w:ascii="Calibri" w:eastAsia="Calibri" w:hAnsi="Calibri" w:cs="Calibri"/>
              </w:rPr>
              <w:t>% kvalitetsbasert finansiering**og 4</w:t>
            </w:r>
            <w:r w:rsidR="00493679">
              <w:rPr>
                <w:rFonts w:ascii="Calibri" w:eastAsia="Calibri" w:hAnsi="Calibri" w:cs="Calibri"/>
              </w:rPr>
              <w:t xml:space="preserve"> </w:t>
            </w:r>
            <w:r w:rsidRPr="00F13ADF">
              <w:rPr>
                <w:rFonts w:ascii="Calibri" w:eastAsia="Calibri" w:hAnsi="Calibri" w:cs="Calibri"/>
              </w:rPr>
              <w:t xml:space="preserve">% fra et investerings og </w:t>
            </w:r>
            <w:r w:rsidR="00D9107F">
              <w:rPr>
                <w:rFonts w:ascii="Calibri" w:eastAsia="Calibri" w:hAnsi="Calibri" w:cs="Calibri"/>
              </w:rPr>
              <w:t>«</w:t>
            </w:r>
            <w:r w:rsidRPr="00F13ADF">
              <w:rPr>
                <w:rFonts w:ascii="Calibri" w:eastAsia="Calibri" w:hAnsi="Calibri" w:cs="Calibri"/>
              </w:rPr>
              <w:t>impact</w:t>
            </w:r>
            <w:r w:rsidR="00D9107F">
              <w:rPr>
                <w:rFonts w:ascii="Calibri" w:eastAsia="Calibri" w:hAnsi="Calibri" w:cs="Calibri"/>
              </w:rPr>
              <w:t>»</w:t>
            </w:r>
            <w:r w:rsidRPr="00F13ADF">
              <w:rPr>
                <w:rFonts w:ascii="Calibri" w:eastAsia="Calibri" w:hAnsi="Calibri" w:cs="Calibri"/>
              </w:rPr>
              <w:t>-fond</w:t>
            </w:r>
          </w:p>
        </w:tc>
      </w:tr>
      <w:tr w:rsidR="00075C56" w:rsidRPr="00075C56" w14:paraId="3F696903"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2029E8FF" w14:textId="77777777" w:rsidR="00075C56" w:rsidRPr="00075C56" w:rsidRDefault="00075C56" w:rsidP="000E769C">
            <w:pPr>
              <w:pStyle w:val="TabellHode-rad"/>
              <w:rPr>
                <w:rFonts w:eastAsia="Calibri"/>
              </w:rPr>
            </w:pPr>
            <w:r w:rsidRPr="00075C56">
              <w:rPr>
                <w:rFonts w:eastAsia="Calibri"/>
              </w:rPr>
              <w:t>Nederland</w:t>
            </w:r>
          </w:p>
        </w:tc>
        <w:tc>
          <w:tcPr>
            <w:tcW w:w="993" w:type="dxa"/>
          </w:tcPr>
          <w:p w14:paraId="02DC30FE" w14:textId="73B263F9"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Ca 49</w:t>
            </w:r>
            <w:r w:rsidR="00493679">
              <w:rPr>
                <w:rFonts w:ascii="Calibri" w:eastAsia="Calibri" w:hAnsi="Calibri" w:cs="Calibri"/>
              </w:rPr>
              <w:t xml:space="preserve"> </w:t>
            </w:r>
            <w:r w:rsidRPr="00075C56">
              <w:rPr>
                <w:rFonts w:ascii="Calibri" w:eastAsia="Calibri" w:hAnsi="Calibri" w:cs="Calibri"/>
              </w:rPr>
              <w:t>%</w:t>
            </w:r>
          </w:p>
        </w:tc>
        <w:tc>
          <w:tcPr>
            <w:tcW w:w="1701" w:type="dxa"/>
          </w:tcPr>
          <w:p w14:paraId="54503625" w14:textId="77B53A61"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Ca 21</w:t>
            </w:r>
            <w:r w:rsidR="00493679">
              <w:rPr>
                <w:rFonts w:ascii="Calibri" w:eastAsia="Calibri" w:hAnsi="Calibri" w:cs="Calibri"/>
              </w:rPr>
              <w:t xml:space="preserve"> </w:t>
            </w:r>
            <w:r w:rsidRPr="00075C56">
              <w:rPr>
                <w:rFonts w:ascii="Calibri" w:eastAsia="Calibri" w:hAnsi="Calibri" w:cs="Calibri"/>
              </w:rPr>
              <w:t>%</w:t>
            </w:r>
          </w:p>
        </w:tc>
        <w:tc>
          <w:tcPr>
            <w:tcW w:w="1417" w:type="dxa"/>
          </w:tcPr>
          <w:p w14:paraId="243A1A4A"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1418" w:type="dxa"/>
          </w:tcPr>
          <w:p w14:paraId="640F4220"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Nei</w:t>
            </w:r>
          </w:p>
        </w:tc>
        <w:tc>
          <w:tcPr>
            <w:tcW w:w="3118" w:type="dxa"/>
          </w:tcPr>
          <w:p w14:paraId="3868BD23" w14:textId="4F219FA1"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15</w:t>
            </w:r>
            <w:r w:rsidR="00493679" w:rsidRPr="00AF56BE">
              <w:rPr>
                <w:rFonts w:ascii="Calibri" w:eastAsia="Calibri" w:hAnsi="Calibri" w:cs="Calibri"/>
                <w:lang w:val="nb-NO"/>
              </w:rPr>
              <w:t xml:space="preserve"> </w:t>
            </w:r>
            <w:r w:rsidRPr="00AF56BE">
              <w:rPr>
                <w:rFonts w:ascii="Calibri" w:eastAsia="Calibri" w:hAnsi="Calibri" w:cs="Calibri"/>
                <w:lang w:val="nb-NO"/>
              </w:rPr>
              <w:t>% tverrfaglig oppfølging</w:t>
            </w:r>
          </w:p>
          <w:p w14:paraId="252CB6B1" w14:textId="5D3DF5C2"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Ca 15</w:t>
            </w:r>
            <w:r w:rsidR="00493679" w:rsidRPr="00AF56BE">
              <w:rPr>
                <w:rFonts w:ascii="Calibri" w:eastAsia="Calibri" w:hAnsi="Calibri" w:cs="Calibri"/>
                <w:lang w:val="nb-NO"/>
              </w:rPr>
              <w:t xml:space="preserve"> </w:t>
            </w:r>
            <w:r w:rsidRPr="00AF56BE">
              <w:rPr>
                <w:rFonts w:ascii="Calibri" w:eastAsia="Calibri" w:hAnsi="Calibri" w:cs="Calibri"/>
                <w:lang w:val="nb-NO"/>
              </w:rPr>
              <w:t>% innovasjon og resultatbasert finansiering</w:t>
            </w:r>
          </w:p>
        </w:tc>
      </w:tr>
      <w:tr w:rsidR="00075C56" w:rsidRPr="00075C56" w14:paraId="32005614"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49EE6138" w14:textId="77777777" w:rsidR="00075C56" w:rsidRPr="00075C56" w:rsidRDefault="00075C56" w:rsidP="000E769C">
            <w:pPr>
              <w:pStyle w:val="TabellHode-rad"/>
              <w:rPr>
                <w:rFonts w:eastAsia="Calibri"/>
              </w:rPr>
            </w:pPr>
            <w:r w:rsidRPr="00075C56">
              <w:rPr>
                <w:rFonts w:eastAsia="Calibri"/>
              </w:rPr>
              <w:t>Sverige</w:t>
            </w:r>
          </w:p>
        </w:tc>
        <w:tc>
          <w:tcPr>
            <w:tcW w:w="993" w:type="dxa"/>
          </w:tcPr>
          <w:p w14:paraId="591485F9" w14:textId="4F59DC48"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Varierer mellom regioner 60-90</w:t>
            </w:r>
            <w:r w:rsidR="00493679">
              <w:rPr>
                <w:rFonts w:ascii="Calibri" w:eastAsia="Calibri" w:hAnsi="Calibri" w:cs="Calibri"/>
              </w:rPr>
              <w:t xml:space="preserve"> </w:t>
            </w:r>
            <w:r w:rsidRPr="00075C56">
              <w:rPr>
                <w:rFonts w:ascii="Calibri" w:eastAsia="Calibri" w:hAnsi="Calibri" w:cs="Calibri"/>
              </w:rPr>
              <w:t>%</w:t>
            </w:r>
          </w:p>
        </w:tc>
        <w:tc>
          <w:tcPr>
            <w:tcW w:w="1701" w:type="dxa"/>
          </w:tcPr>
          <w:p w14:paraId="03647921"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Varierer mellom regioner</w:t>
            </w:r>
          </w:p>
        </w:tc>
        <w:tc>
          <w:tcPr>
            <w:tcW w:w="1417" w:type="dxa"/>
          </w:tcPr>
          <w:p w14:paraId="40878808"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Ja, men med varierende innhold mellom regioner</w:t>
            </w:r>
          </w:p>
        </w:tc>
        <w:tc>
          <w:tcPr>
            <w:tcW w:w="1418" w:type="dxa"/>
          </w:tcPr>
          <w:p w14:paraId="2A7A78B8"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3118" w:type="dxa"/>
          </w:tcPr>
          <w:p w14:paraId="3775EE35"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Justert for geografiulemper.</w:t>
            </w:r>
          </w:p>
          <w:p w14:paraId="4240260B" w14:textId="375D47C5"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Noe innslag av resultatbasert finansiering</w:t>
            </w:r>
            <w:r w:rsidR="004E28AD">
              <w:rPr>
                <w:rFonts w:ascii="Calibri" w:eastAsia="Calibri" w:hAnsi="Calibri" w:cs="Calibri"/>
                <w:lang w:val="nb-NO"/>
              </w:rPr>
              <w:t>.</w:t>
            </w:r>
          </w:p>
        </w:tc>
      </w:tr>
      <w:tr w:rsidR="00075C56" w:rsidRPr="00075C56" w14:paraId="207AB483" w14:textId="77777777" w:rsidTr="00A03736">
        <w:tc>
          <w:tcPr>
            <w:cnfStyle w:val="001000000000" w:firstRow="0" w:lastRow="0" w:firstColumn="1" w:lastColumn="0" w:oddVBand="0" w:evenVBand="0" w:oddHBand="0" w:evenHBand="0" w:firstRowFirstColumn="0" w:firstRowLastColumn="0" w:lastRowFirstColumn="0" w:lastRowLastColumn="0"/>
            <w:tcW w:w="1129" w:type="dxa"/>
          </w:tcPr>
          <w:p w14:paraId="747427DE" w14:textId="793B922F" w:rsidR="00075C56" w:rsidRPr="00075C56" w:rsidRDefault="00075C56" w:rsidP="000E769C">
            <w:pPr>
              <w:pStyle w:val="TabellHode-rad"/>
              <w:rPr>
                <w:rFonts w:eastAsia="Calibri"/>
              </w:rPr>
            </w:pPr>
            <w:r w:rsidRPr="00075C56">
              <w:rPr>
                <w:rFonts w:eastAsia="Calibri"/>
              </w:rPr>
              <w:t>Finland</w:t>
            </w:r>
          </w:p>
        </w:tc>
        <w:tc>
          <w:tcPr>
            <w:tcW w:w="993" w:type="dxa"/>
          </w:tcPr>
          <w:p w14:paraId="272A6716"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01" w:type="dxa"/>
          </w:tcPr>
          <w:p w14:paraId="20C17F26" w14:textId="0238D684"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7" w:type="dxa"/>
          </w:tcPr>
          <w:p w14:paraId="3A37AB93" w14:textId="77777777"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04BDE6EB" w14:textId="34937202" w:rsidR="00075C56" w:rsidRPr="00075C56"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75C56">
              <w:rPr>
                <w:rFonts w:ascii="Calibri" w:eastAsia="Calibri" w:hAnsi="Calibri" w:cs="Calibri"/>
              </w:rPr>
              <w:t>Ja</w:t>
            </w:r>
          </w:p>
        </w:tc>
        <w:tc>
          <w:tcPr>
            <w:tcW w:w="3118" w:type="dxa"/>
          </w:tcPr>
          <w:p w14:paraId="045087E9" w14:textId="77777777" w:rsidR="00075C56" w:rsidRPr="00117D3A" w:rsidRDefault="00075C56" w:rsidP="000E76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r w:rsidRPr="00AF56BE">
              <w:rPr>
                <w:rFonts w:ascii="Calibri" w:eastAsia="Calibri" w:hAnsi="Calibri" w:cs="Calibri"/>
                <w:lang w:val="nb-NO"/>
              </w:rPr>
              <w:t>Velferdsområdene får statlig tilskudd etter ny modell for behovsjustering.</w:t>
            </w:r>
          </w:p>
        </w:tc>
      </w:tr>
    </w:tbl>
    <w:p w14:paraId="5EFF568F" w14:textId="595A7D3B" w:rsidR="00D9107F" w:rsidRPr="00CE06F0" w:rsidRDefault="00075C56" w:rsidP="00C33652">
      <w:pPr>
        <w:pStyle w:val="Petit"/>
        <w:rPr>
          <w:rStyle w:val="kursiv"/>
          <w:rFonts w:eastAsia="Calibri"/>
        </w:rPr>
      </w:pPr>
      <w:bookmarkStart w:id="2525" w:name="_Toc132133910"/>
      <w:r w:rsidRPr="00C5420F">
        <w:rPr>
          <w:rStyle w:val="kursiv"/>
          <w:lang w:val="en-US"/>
        </w:rPr>
        <w:t>*</w:t>
      </w:r>
      <w:r w:rsidRPr="00C5420F">
        <w:rPr>
          <w:rStyle w:val="kursiv"/>
          <w:rFonts w:eastAsia="Calibri"/>
          <w:lang w:val="en-US"/>
        </w:rPr>
        <w:t xml:space="preserve">PCN: Primary care Network ** Quality and outcome Framework. </w:t>
      </w:r>
      <w:r w:rsidRPr="00CE06F0">
        <w:rPr>
          <w:rStyle w:val="kursiv"/>
          <w:rFonts w:eastAsia="Calibri"/>
        </w:rPr>
        <w:t>Ikke obligatorisk, men de fleste er med.</w:t>
      </w:r>
      <w:bookmarkEnd w:id="2525"/>
    </w:p>
    <w:p w14:paraId="6CDA354A" w14:textId="50BC330D" w:rsidR="00EE1EB3" w:rsidRPr="00075C56" w:rsidRDefault="00EE1EB3" w:rsidP="00775632">
      <w:pPr>
        <w:pStyle w:val="Overskrift4"/>
      </w:pPr>
      <w:bookmarkStart w:id="2526" w:name="_Toc130983500"/>
      <w:bookmarkStart w:id="2527" w:name="_Toc130983849"/>
      <w:bookmarkStart w:id="2528" w:name="_Toc131063707"/>
      <w:bookmarkStart w:id="2529" w:name="_Toc131238427"/>
      <w:bookmarkStart w:id="2530" w:name="_Toc131279458"/>
      <w:bookmarkStart w:id="2531" w:name="_Toc131286870"/>
      <w:bookmarkStart w:id="2532" w:name="_Toc131281280"/>
      <w:bookmarkStart w:id="2533" w:name="_Toc131317820"/>
      <w:r w:rsidRPr="00075C56">
        <w:t>Danmark</w:t>
      </w:r>
      <w:bookmarkEnd w:id="2526"/>
      <w:bookmarkEnd w:id="2527"/>
      <w:bookmarkEnd w:id="2528"/>
      <w:bookmarkEnd w:id="2529"/>
      <w:bookmarkEnd w:id="2530"/>
      <w:bookmarkEnd w:id="2531"/>
      <w:bookmarkEnd w:id="2532"/>
      <w:bookmarkEnd w:id="2533"/>
    </w:p>
    <w:p w14:paraId="5BEED195" w14:textId="0C454FB6" w:rsidR="00EE1EB3" w:rsidRDefault="00EE1EB3" w:rsidP="00B96380">
      <w:pPr>
        <w:rPr>
          <w:rFonts w:eastAsia="Calibri"/>
        </w:rPr>
      </w:pPr>
      <w:r w:rsidRPr="00075C56">
        <w:rPr>
          <w:rFonts w:eastAsia="Calibri"/>
        </w:rPr>
        <w:t>Danmark har en høy andel aktivitetsbasert finansiering fra staten på rundt 70 prosent</w:t>
      </w:r>
      <w:r w:rsidR="0005607B">
        <w:rPr>
          <w:rFonts w:eastAsia="Calibri"/>
        </w:rPr>
        <w:t>,</w:t>
      </w:r>
      <w:r w:rsidRPr="00075C56">
        <w:rPr>
          <w:rFonts w:eastAsia="Calibri"/>
        </w:rPr>
        <w:t xml:space="preserve"> og 30 prosent per capita-andel. </w:t>
      </w:r>
      <w:r>
        <w:rPr>
          <w:rFonts w:eastAsia="Calibri"/>
        </w:rPr>
        <w:t>P</w:t>
      </w:r>
      <w:r w:rsidRPr="00075C56">
        <w:rPr>
          <w:rFonts w:eastAsia="Calibri"/>
        </w:rPr>
        <w:t xml:space="preserve">asientene betaler </w:t>
      </w:r>
      <w:r>
        <w:rPr>
          <w:rFonts w:eastAsia="Calibri"/>
        </w:rPr>
        <w:t xml:space="preserve">ikke </w:t>
      </w:r>
      <w:r w:rsidRPr="00075C56">
        <w:rPr>
          <w:rFonts w:eastAsia="Calibri"/>
        </w:rPr>
        <w:t xml:space="preserve">egenandel for konsultasjon. </w:t>
      </w:r>
      <w:r>
        <w:rPr>
          <w:rFonts w:eastAsia="Calibri"/>
        </w:rPr>
        <w:t>F</w:t>
      </w:r>
      <w:r w:rsidRPr="00075C56">
        <w:rPr>
          <w:rFonts w:eastAsia="Calibri"/>
        </w:rPr>
        <w:t xml:space="preserve">astlegene i Danmark har større mulighet </w:t>
      </w:r>
      <w:r>
        <w:rPr>
          <w:rFonts w:eastAsia="Calibri"/>
        </w:rPr>
        <w:t xml:space="preserve">enn i Norge til </w:t>
      </w:r>
      <w:r w:rsidRPr="00075C56">
        <w:rPr>
          <w:rFonts w:eastAsia="Calibri"/>
        </w:rPr>
        <w:t xml:space="preserve">å delegere oppgaver til hjelpepersonell i legekontoret. </w:t>
      </w:r>
      <w:r w:rsidR="00E006CB">
        <w:rPr>
          <w:rFonts w:eastAsia="Calibri"/>
        </w:rPr>
        <w:t>I</w:t>
      </w:r>
      <w:r w:rsidR="00BC4CEC" w:rsidRPr="00075C56">
        <w:rPr>
          <w:rFonts w:eastAsia="Calibri"/>
        </w:rPr>
        <w:t xml:space="preserve"> 2018 </w:t>
      </w:r>
      <w:r w:rsidR="00E006CB">
        <w:rPr>
          <w:rFonts w:eastAsia="Calibri"/>
        </w:rPr>
        <w:t xml:space="preserve">ble det innført </w:t>
      </w:r>
      <w:r w:rsidR="00BC4CEC" w:rsidRPr="00075C56">
        <w:rPr>
          <w:rFonts w:eastAsia="Calibri"/>
        </w:rPr>
        <w:t>et ekstra basistilskudd for arbeidskrevende lister (risikojustering)</w:t>
      </w:r>
      <w:r w:rsidR="000A1A08">
        <w:rPr>
          <w:rFonts w:eastAsia="Calibri"/>
        </w:rPr>
        <w:t xml:space="preserve"> på </w:t>
      </w:r>
      <w:r w:rsidR="00840F76" w:rsidRPr="52441A37">
        <w:rPr>
          <w:rFonts w:eastAsia="Calibri"/>
        </w:rPr>
        <w:t>36 mill</w:t>
      </w:r>
      <w:r w:rsidR="00840F76">
        <w:rPr>
          <w:rFonts w:eastAsia="Calibri"/>
        </w:rPr>
        <w:t>ioner</w:t>
      </w:r>
      <w:r w:rsidR="00840F76" w:rsidRPr="52441A37">
        <w:rPr>
          <w:rFonts w:eastAsia="Calibri"/>
        </w:rPr>
        <w:t xml:space="preserve"> </w:t>
      </w:r>
      <w:r w:rsidR="00840F76">
        <w:rPr>
          <w:rFonts w:eastAsia="Calibri"/>
        </w:rPr>
        <w:t>danske kroner</w:t>
      </w:r>
      <w:r w:rsidR="000A1A08">
        <w:rPr>
          <w:rFonts w:eastAsia="Calibri"/>
        </w:rPr>
        <w:t>.</w:t>
      </w:r>
      <w:r w:rsidR="00840F76" w:rsidRPr="52441A37">
        <w:rPr>
          <w:rFonts w:eastAsia="Calibri"/>
        </w:rPr>
        <w:t xml:space="preserve"> Midlene fordeles til legene som har de </w:t>
      </w:r>
      <w:r w:rsidR="00840F76">
        <w:rPr>
          <w:rFonts w:eastAsia="Calibri"/>
        </w:rPr>
        <w:t xml:space="preserve">mest arbeidskrevende </w:t>
      </w:r>
      <w:r w:rsidR="00840F76" w:rsidRPr="52441A37">
        <w:rPr>
          <w:rFonts w:eastAsia="Calibri"/>
        </w:rPr>
        <w:t xml:space="preserve">listene, målt ut fra </w:t>
      </w:r>
      <w:r w:rsidR="00840F76">
        <w:rPr>
          <w:rFonts w:eastAsia="Calibri"/>
        </w:rPr>
        <w:t xml:space="preserve">listeinnbyggernes </w:t>
      </w:r>
      <w:r w:rsidR="00840F76" w:rsidRPr="52441A37">
        <w:rPr>
          <w:rFonts w:eastAsia="Calibri"/>
        </w:rPr>
        <w:t xml:space="preserve">alder, kjønn og helsetilstand. </w:t>
      </w:r>
      <w:r w:rsidR="00060972">
        <w:rPr>
          <w:rFonts w:eastAsia="Calibri"/>
        </w:rPr>
        <w:fldChar w:fldCharType="begin"/>
      </w:r>
      <w:r w:rsidR="004654FD">
        <w:rPr>
          <w:rFonts w:eastAsia="Calibri"/>
        </w:rPr>
        <w:instrText xml:space="preserve"> ADDIN EN.CITE &lt;EndNote&gt;&lt;Cite&gt;&lt;Author&gt;Holm&lt;/Author&gt;&lt;Year&gt;2018&lt;/Year&gt;&lt;RecNum&gt;599&lt;/RecNum&gt;&lt;DisplayText&gt;(Holm, 2018)&lt;/DisplayText&gt;&lt;record&gt;&lt;rec-number&gt;599&lt;/rec-number&gt;&lt;foreign-keys&gt;&lt;key app="EN" db-id="95tpr2tp6r9xwoea9rb5wdsz5ds5xeddteew" timestamp="1680069511"&gt;599&lt;/key&gt;&lt;/foreign-keys&gt;&lt;ref-type name="Report"&gt;27&lt;/ref-type&gt;&lt;contributors&gt;&lt;authors&gt;&lt;author&gt;Jane Holm&lt;/author&gt;&lt;/authors&gt;&lt;/contributors&gt;&lt;titles&gt;&lt;title&gt;Ordning vedrørende differentieret basishonorar til praktiserende læger : notat&lt;/title&gt;&lt;/titles&gt;&lt;number&gt;EMN</w:instrText>
      </w:r>
      <w:r w:rsidR="004654FD">
        <w:rPr>
          <w:rFonts w:ascii="Cambria Math" w:eastAsia="Calibri" w:hAnsi="Cambria Math" w:cs="Cambria Math"/>
        </w:rPr>
        <w:instrText>‐</w:instrText>
      </w:r>
      <w:r w:rsidR="004654FD">
        <w:rPr>
          <w:rFonts w:eastAsia="Calibri"/>
        </w:rPr>
        <w:instrText>2017</w:instrText>
      </w:r>
      <w:r w:rsidR="004654FD">
        <w:rPr>
          <w:rFonts w:ascii="Cambria Math" w:eastAsia="Calibri" w:hAnsi="Cambria Math" w:cs="Cambria Math"/>
        </w:rPr>
        <w:instrText>‐</w:instrText>
      </w:r>
      <w:r w:rsidR="004654FD">
        <w:rPr>
          <w:rFonts w:eastAsia="Calibri"/>
        </w:rPr>
        <w:instrText>04129&lt;/number&gt;&lt;dates&gt;&lt;year&gt;2018&lt;/year&gt;&lt;/dates&gt;&lt;publisher&gt;Danske regioner,&lt;/publisher&gt;&lt;urls&gt;&lt;/urls&gt;&lt;/record&gt;&lt;/Cite&gt;&lt;/EndNote&gt;</w:instrText>
      </w:r>
      <w:r w:rsidR="00060972">
        <w:rPr>
          <w:rFonts w:eastAsia="Calibri"/>
        </w:rPr>
        <w:fldChar w:fldCharType="separate"/>
      </w:r>
      <w:r w:rsidR="00060972">
        <w:rPr>
          <w:rFonts w:eastAsia="Calibri"/>
          <w:noProof/>
        </w:rPr>
        <w:t>(Holm, 2018)</w:t>
      </w:r>
      <w:r w:rsidR="00060972">
        <w:rPr>
          <w:rFonts w:eastAsia="Calibri"/>
        </w:rPr>
        <w:fldChar w:fldCharType="end"/>
      </w:r>
      <w:r w:rsidR="00060972" w:rsidRPr="52441A37">
        <w:rPr>
          <w:rFonts w:eastAsia="Calibri"/>
        </w:rPr>
        <w:t>.</w:t>
      </w:r>
      <w:r w:rsidR="00060972">
        <w:rPr>
          <w:rFonts w:eastAsia="Calibri"/>
        </w:rPr>
        <w:t xml:space="preserve"> </w:t>
      </w:r>
      <w:r w:rsidRPr="00075C56">
        <w:rPr>
          <w:rFonts w:eastAsia="Calibri"/>
        </w:rPr>
        <w:t xml:space="preserve">I 2018 </w:t>
      </w:r>
      <w:r>
        <w:rPr>
          <w:rFonts w:eastAsia="Calibri"/>
        </w:rPr>
        <w:t xml:space="preserve">ble det </w:t>
      </w:r>
      <w:r w:rsidRPr="00075C56">
        <w:rPr>
          <w:rFonts w:eastAsia="Calibri"/>
        </w:rPr>
        <w:t xml:space="preserve">innført et </w:t>
      </w:r>
      <w:r w:rsidRPr="00D9107F">
        <w:rPr>
          <w:rStyle w:val="kursiv"/>
          <w:rFonts w:eastAsia="Calibri"/>
        </w:rPr>
        <w:t>kronikerhonorar</w:t>
      </w:r>
      <w:r w:rsidR="00CF4EA0" w:rsidRPr="00D9107F">
        <w:rPr>
          <w:rStyle w:val="kursiv"/>
          <w:rFonts w:eastAsia="Calibri"/>
        </w:rPr>
        <w:t>,</w:t>
      </w:r>
      <w:r w:rsidR="00CF4EA0">
        <w:rPr>
          <w:rFonts w:eastAsia="Calibri"/>
        </w:rPr>
        <w:t xml:space="preserve"> som</w:t>
      </w:r>
      <w:r w:rsidRPr="00075C56" w:rsidDel="007D12EA">
        <w:rPr>
          <w:rFonts w:eastAsia="Calibri"/>
        </w:rPr>
        <w:t xml:space="preserve"> </w:t>
      </w:r>
      <w:r w:rsidRPr="00075C56">
        <w:rPr>
          <w:rFonts w:eastAsia="Calibri"/>
        </w:rPr>
        <w:t xml:space="preserve">erstatter aktivitetsbasert finansiering for enkelte pasientgrupper (KOLS og diabetes type 2). </w:t>
      </w:r>
      <w:r>
        <w:rPr>
          <w:rFonts w:eastAsia="Calibri"/>
        </w:rPr>
        <w:t xml:space="preserve">Videre er det </w:t>
      </w:r>
      <w:r w:rsidRPr="00075C56">
        <w:rPr>
          <w:rFonts w:eastAsia="Calibri"/>
        </w:rPr>
        <w:t>nedsatt et råd som skal utrede nye finansieringsmodeller. Partene deltar i rådet, men det er helseøkonomer og forskere som leder arbeidet. Rådet skal levere forslag i 2023.</w:t>
      </w:r>
    </w:p>
    <w:p w14:paraId="61C14C63" w14:textId="77777777" w:rsidR="00D9107F" w:rsidRDefault="006D5225" w:rsidP="00775632">
      <w:pPr>
        <w:pStyle w:val="Overskrift4"/>
      </w:pPr>
      <w:bookmarkStart w:id="2534" w:name="_Toc130983501"/>
      <w:bookmarkStart w:id="2535" w:name="_Toc130983850"/>
      <w:bookmarkStart w:id="2536" w:name="_Toc131063708"/>
      <w:bookmarkStart w:id="2537" w:name="_Toc131238428"/>
      <w:bookmarkStart w:id="2538" w:name="_Toc131279459"/>
      <w:bookmarkStart w:id="2539" w:name="_Toc131286871"/>
      <w:bookmarkStart w:id="2540" w:name="_Toc131281281"/>
      <w:bookmarkStart w:id="2541" w:name="_Toc131317821"/>
      <w:r>
        <w:t>Sverige</w:t>
      </w:r>
      <w:bookmarkEnd w:id="2534"/>
      <w:bookmarkEnd w:id="2535"/>
      <w:bookmarkEnd w:id="2536"/>
      <w:bookmarkEnd w:id="2537"/>
      <w:bookmarkEnd w:id="2538"/>
      <w:bookmarkEnd w:id="2539"/>
      <w:bookmarkEnd w:id="2540"/>
      <w:bookmarkEnd w:id="2541"/>
    </w:p>
    <w:p w14:paraId="3EB53A3A" w14:textId="77777777" w:rsidR="00D9107F" w:rsidRDefault="00075C56" w:rsidP="00B96380">
      <w:pPr>
        <w:rPr>
          <w:rFonts w:eastAsia="Calibri"/>
        </w:rPr>
      </w:pPr>
      <w:r w:rsidRPr="00075C56">
        <w:rPr>
          <w:rFonts w:eastAsia="Calibri"/>
        </w:rPr>
        <w:t xml:space="preserve">Finansieringen av allmennlegetjenester i Sverige (vårdcentraler) er forskjellig fra Danmark og Norge ved at det ikke er en nasjonal modell for finansiering. </w:t>
      </w:r>
      <w:r w:rsidR="008D437F">
        <w:rPr>
          <w:rFonts w:eastAsia="Calibri"/>
        </w:rPr>
        <w:t>F</w:t>
      </w:r>
      <w:r w:rsidRPr="00075C56">
        <w:rPr>
          <w:rFonts w:eastAsia="Calibri"/>
        </w:rPr>
        <w:t xml:space="preserve">inansieringsordningene for </w:t>
      </w:r>
      <w:r w:rsidRPr="00075C56">
        <w:rPr>
          <w:rFonts w:eastAsia="Calibri"/>
        </w:rPr>
        <w:lastRenderedPageBreak/>
        <w:t>vårdcentralene varierer mellom regione</w:t>
      </w:r>
      <w:r w:rsidR="00720BAC">
        <w:rPr>
          <w:rFonts w:eastAsia="Calibri"/>
        </w:rPr>
        <w:t>ne</w:t>
      </w:r>
      <w:r w:rsidRPr="00075C56">
        <w:rPr>
          <w:rFonts w:eastAsia="Calibri"/>
        </w:rPr>
        <w:t>. Vilkårene og finansieringen fastsettes av regionene, uten forhandlinger. Alle regioner har en kombinasjon av fast og variabel finansiering. Per capita-tilskuddet varierer mellom cirka 60 og 90 prosent i regionene.</w:t>
      </w:r>
    </w:p>
    <w:p w14:paraId="4B5C56E7" w14:textId="4335D3B3" w:rsidR="006F6FC1" w:rsidRPr="00075C56" w:rsidRDefault="006F6FC1" w:rsidP="00B96380">
      <w:pPr>
        <w:rPr>
          <w:rFonts w:eastAsia="Calibri"/>
        </w:rPr>
      </w:pPr>
      <w:r w:rsidRPr="00075C56">
        <w:rPr>
          <w:rFonts w:eastAsia="Calibri"/>
        </w:rPr>
        <w:t>De fleste regionene i Sverige vekter overføringene til vårdcentralene basert på kjennetegn ved listepopulasjonen sent</w:t>
      </w:r>
      <w:r>
        <w:rPr>
          <w:rFonts w:eastAsia="Calibri"/>
        </w:rPr>
        <w:t>e</w:t>
      </w:r>
      <w:r w:rsidRPr="00075C56">
        <w:rPr>
          <w:rFonts w:eastAsia="Calibri"/>
        </w:rPr>
        <w:t>ret har ansvar for. I 2020 hadde alle regionene en vekting basert på sosioøkonomiske variable og de fleste justerer for alderssammensetning</w:t>
      </w:r>
      <w:r>
        <w:rPr>
          <w:rFonts w:eastAsia="Calibri"/>
        </w:rPr>
        <w:t xml:space="preserve">, </w:t>
      </w:r>
      <w:r w:rsidRPr="00075C56">
        <w:rPr>
          <w:rFonts w:eastAsia="Calibri"/>
        </w:rPr>
        <w:t>men få inkluderer kjønn. 14 av 25 regioner vektet listene basert på helsetilstand (på gruppenivå) målt ved ACG (Adjusted Clinical Groups). Et flertall av regionene vekter også inn en geografisk komponent. Det sistnevnte kan beregnes ut fra for eksempel avstand til nærmeste sykehus, og spredtbygde områder. Sosioøkonomiske variable betyr relativt lite for finansieringen sammenlignet med de andre variablene</w:t>
      </w:r>
      <w:r w:rsidR="007A3EE0">
        <w:rPr>
          <w:rFonts w:eastAsia="Calibri"/>
        </w:rPr>
        <w:t xml:space="preserve"> </w:t>
      </w:r>
      <w:r w:rsidR="00D078E3">
        <w:rPr>
          <w:rFonts w:eastAsia="Calibri"/>
        </w:rPr>
        <w:fldChar w:fldCharType="begin"/>
      </w:r>
      <w:r w:rsidR="004654FD">
        <w:rPr>
          <w:rFonts w:eastAsia="Calibri"/>
        </w:rPr>
        <w:instrText xml:space="preserve"> ADDIN EN.CITE &lt;EndNote&gt;&lt;Cite ExcludeYear="1"&gt;&lt;Author&gt;Sveriges kommuner og regioner&lt;/Author&gt;&lt;Year&gt;2021&lt;/Year&gt;&lt;RecNum&gt;960&lt;/RecNum&gt;&lt;DisplayText&gt;(Sveriges kommuner og regioner)&lt;/DisplayText&gt;&lt;record&gt;&lt;rec-number&gt;960&lt;/rec-number&gt;&lt;foreign-keys&gt;&lt;key app="EN" db-id="95tpr2tp6r9xwoea9rb5wdsz5ds5xeddteew" timestamp="1680223872"&gt;960&lt;/key&gt;&lt;/foreign-keys&gt;&lt;ref-type name="Report"&gt;27&lt;/ref-type&gt;&lt;contributors&gt;&lt;authors&gt;&lt;author&gt;Sveriges kommuner og regioner,&lt;/author&gt;&lt;/authors&gt;&lt;tertiary-authors&gt;&lt;author&gt;Sveriges kommuner og regioner,&lt;/author&gt;&lt;/tertiary-authors&gt;&lt;/contributors&gt;&lt;titles&gt;&lt;title&gt;Ersätningsmodeller i primärvården&lt;/title&gt;&lt;/titles&gt;&lt;dates&gt;&lt;year&gt;2021&lt;/year&gt;&lt;/dates&gt;&lt;pub-location&gt;Stockholm&lt;/pub-location&gt;&lt;urls&gt;&lt;related-urls&gt;&lt;url&gt;Ersättningsmodeller i primärvården (skr.se)&lt;/url&gt;&lt;/related-urls&gt;&lt;/urls&gt;&lt;/record&gt;&lt;/Cite&gt;&lt;/EndNote&gt;</w:instrText>
      </w:r>
      <w:r w:rsidR="00D078E3">
        <w:rPr>
          <w:rFonts w:eastAsia="Calibri"/>
        </w:rPr>
        <w:fldChar w:fldCharType="separate"/>
      </w:r>
      <w:r w:rsidR="00A27571">
        <w:rPr>
          <w:rFonts w:eastAsia="Calibri"/>
          <w:noProof/>
        </w:rPr>
        <w:t>(Sveriges kommuner og regioner)</w:t>
      </w:r>
      <w:r w:rsidR="00D078E3">
        <w:rPr>
          <w:rFonts w:eastAsia="Calibri"/>
        </w:rPr>
        <w:fldChar w:fldCharType="end"/>
      </w:r>
      <w:r w:rsidR="00D9107F" w:rsidRPr="00D9107F">
        <w:rPr>
          <w:rStyle w:val="skrift-hevet"/>
          <w:rFonts w:eastAsia="Calibri"/>
        </w:rPr>
        <w:t>.</w:t>
      </w:r>
    </w:p>
    <w:p w14:paraId="0963BA19" w14:textId="78A50319" w:rsidR="00075C56" w:rsidRDefault="00075C56" w:rsidP="00B96380">
      <w:pPr>
        <w:rPr>
          <w:rFonts w:eastAsia="Calibri"/>
        </w:rPr>
      </w:pPr>
      <w:r w:rsidRPr="00075C56">
        <w:rPr>
          <w:rFonts w:eastAsia="Calibri"/>
        </w:rPr>
        <w:t xml:space="preserve">Det er i varierende grad finansiering knyttet til indikatorer som skal gjenspeile kvalitet og effektivitet, geografiske komponenter og andel </w:t>
      </w:r>
      <w:r w:rsidR="00094C8F">
        <w:rPr>
          <w:rFonts w:eastAsia="Calibri"/>
        </w:rPr>
        <w:t xml:space="preserve">av alle </w:t>
      </w:r>
      <w:r w:rsidRPr="00075C56">
        <w:rPr>
          <w:rFonts w:eastAsia="Calibri"/>
        </w:rPr>
        <w:t xml:space="preserve">konsultasjoner </w:t>
      </w:r>
      <w:r w:rsidR="00281AF6">
        <w:rPr>
          <w:rFonts w:eastAsia="Calibri"/>
        </w:rPr>
        <w:t xml:space="preserve">som foretas </w:t>
      </w:r>
      <w:r w:rsidRPr="00075C56">
        <w:rPr>
          <w:rFonts w:eastAsia="Calibri"/>
        </w:rPr>
        <w:t>i primærhelsetjenesten</w:t>
      </w:r>
      <w:r w:rsidR="00D9107F" w:rsidRPr="00D9107F">
        <w:rPr>
          <w:rStyle w:val="skrift-hevet"/>
          <w:rFonts w:eastAsia="Calibri"/>
        </w:rPr>
        <w:t xml:space="preserve"> </w:t>
      </w:r>
      <w:r w:rsidR="00837F6D">
        <w:rPr>
          <w:rFonts w:eastAsia="Calibri"/>
        </w:rPr>
        <w:fldChar w:fldCharType="begin"/>
      </w:r>
      <w:r w:rsidR="004654FD">
        <w:rPr>
          <w:rFonts w:eastAsia="Calibri"/>
        </w:rPr>
        <w:instrText xml:space="preserve"> ADDIN EN.CITE &lt;EndNote&gt;&lt;Cite&gt;&lt;Author&gt;Sveriges kommuner og regioner&lt;/Author&gt;&lt;Year&gt;2023&lt;/Year&gt;&lt;RecNum&gt;1015&lt;/RecNum&gt;&lt;DisplayText&gt;(Sveriges kommuner og regioner, 2023)&lt;/DisplayText&gt;&lt;record&gt;&lt;rec-number&gt;1015&lt;/rec-number&gt;&lt;foreign-keys&gt;&lt;key app="EN" db-id="95tpr2tp6r9xwoea9rb5wdsz5ds5xeddteew" timestamp="1681131230"&gt;1015&lt;/key&gt;&lt;/foreign-keys&gt;&lt;ref-type name="Web Page"&gt;12&lt;/ref-type&gt;&lt;contributors&gt;&lt;authors&gt;&lt;author&gt;Sveriges kommuner og regioner,&lt;/author&gt;&lt;/authors&gt;&lt;/contributors&gt;&lt;titles&gt;&lt;title&gt;Ersättningsformer i primärvård&lt;/title&gt;&lt;/titles&gt;&lt;dates&gt;&lt;year&gt;2023&lt;/year&gt;&lt;/dates&gt;&lt;publisher&gt;Sveriges kommuner og regioner,&lt;/publisher&gt;&lt;urls&gt;&lt;related-urls&gt;&lt;url&gt;https://skr.se/demokratiledningstyrning/driftformervalfrihet/valfrihetssystemochersattningsmodeller/halsoochsjukvard/ersattningsmodellerhalsoochsjukvard/ersattningsmodelleriprimarvard.2061.html&lt;/url&gt;&lt;/related-urls&gt;&lt;/urls&gt;&lt;/record&gt;&lt;/Cite&gt;&lt;/EndNote&gt;</w:instrText>
      </w:r>
      <w:r w:rsidR="00837F6D">
        <w:rPr>
          <w:rFonts w:eastAsia="Calibri"/>
        </w:rPr>
        <w:fldChar w:fldCharType="separate"/>
      </w:r>
      <w:r w:rsidR="00A27571">
        <w:rPr>
          <w:rFonts w:eastAsia="Calibri"/>
          <w:noProof/>
        </w:rPr>
        <w:t>(Sveriges kommuner og regioner, 2023)</w:t>
      </w:r>
      <w:r w:rsidR="00837F6D">
        <w:rPr>
          <w:rFonts w:eastAsia="Calibri"/>
        </w:rPr>
        <w:fldChar w:fldCharType="end"/>
      </w:r>
      <w:r w:rsidRPr="00075C56">
        <w:rPr>
          <w:rFonts w:eastAsia="Calibri"/>
        </w:rPr>
        <w:t xml:space="preserve">. </w:t>
      </w:r>
      <w:r w:rsidR="00D950AD">
        <w:rPr>
          <w:rFonts w:eastAsia="Calibri"/>
        </w:rPr>
        <w:t>Denne andelen</w:t>
      </w:r>
      <w:r w:rsidRPr="00075C56">
        <w:rPr>
          <w:rFonts w:eastAsia="Calibri"/>
        </w:rPr>
        <w:t xml:space="preserve"> kan fungere som en økonomisk belønning for at vårdcentralene selv tar hånd om listeinnbyggernes behov for helsetjenester</w:t>
      </w:r>
      <w:r w:rsidR="003C5CB2">
        <w:rPr>
          <w:rFonts w:eastAsia="Calibri"/>
        </w:rPr>
        <w:t>, i stedet for å sende listeinnbyggerne videre til spesialisthelsetjenesten</w:t>
      </w:r>
      <w:r w:rsidRPr="00075C56">
        <w:rPr>
          <w:rFonts w:eastAsia="Calibri"/>
        </w:rPr>
        <w:t>. Nesten halvparten av vårdcentralene drives av private selskap</w:t>
      </w:r>
      <w:r w:rsidR="003B0A0E">
        <w:rPr>
          <w:rFonts w:eastAsia="Calibri"/>
        </w:rPr>
        <w:t>, og i</w:t>
      </w:r>
      <w:r w:rsidR="003B0A0E" w:rsidRPr="14C19E51">
        <w:rPr>
          <w:rFonts w:eastAsia="Calibri"/>
        </w:rPr>
        <w:t xml:space="preserve"> gjennomsnitt har vårdcentralene </w:t>
      </w:r>
      <w:r w:rsidR="00D9107F" w:rsidRPr="14C19E51">
        <w:rPr>
          <w:rFonts w:eastAsia="Calibri"/>
        </w:rPr>
        <w:t>9</w:t>
      </w:r>
      <w:r w:rsidR="00D9107F">
        <w:rPr>
          <w:rFonts w:eastAsia="Calibri"/>
        </w:rPr>
        <w:t> </w:t>
      </w:r>
      <w:r w:rsidR="00D9107F" w:rsidRPr="14C19E51">
        <w:rPr>
          <w:rFonts w:eastAsia="Calibri"/>
        </w:rPr>
        <w:t>000</w:t>
      </w:r>
      <w:r w:rsidR="003B0A0E" w:rsidRPr="14C19E51">
        <w:rPr>
          <w:rFonts w:eastAsia="Calibri"/>
        </w:rPr>
        <w:t xml:space="preserve"> listeinnbyggere</w:t>
      </w:r>
      <w:r w:rsidR="00513BC5">
        <w:rPr>
          <w:rFonts w:eastAsia="Calibri"/>
        </w:rPr>
        <w:t>.</w:t>
      </w:r>
    </w:p>
    <w:p w14:paraId="710EBA29" w14:textId="77777777" w:rsidR="00D9107F" w:rsidRDefault="00075C56" w:rsidP="00775632">
      <w:pPr>
        <w:pStyle w:val="Overskrift4"/>
      </w:pPr>
      <w:bookmarkStart w:id="2542" w:name="_Toc130983502"/>
      <w:bookmarkStart w:id="2543" w:name="_Toc130983851"/>
      <w:bookmarkStart w:id="2544" w:name="_Toc131063709"/>
      <w:bookmarkStart w:id="2545" w:name="_Toc131238429"/>
      <w:bookmarkStart w:id="2546" w:name="_Toc131279460"/>
      <w:bookmarkStart w:id="2547" w:name="_Toc131286872"/>
      <w:bookmarkStart w:id="2548" w:name="_Toc131281282"/>
      <w:bookmarkStart w:id="2549" w:name="_Toc131317822"/>
      <w:r w:rsidRPr="00075C56">
        <w:t>Finland</w:t>
      </w:r>
      <w:bookmarkEnd w:id="2542"/>
      <w:bookmarkEnd w:id="2543"/>
      <w:bookmarkEnd w:id="2544"/>
      <w:bookmarkEnd w:id="2545"/>
      <w:bookmarkEnd w:id="2546"/>
      <w:bookmarkEnd w:id="2547"/>
      <w:bookmarkEnd w:id="2548"/>
      <w:bookmarkEnd w:id="2549"/>
    </w:p>
    <w:p w14:paraId="3151183F" w14:textId="77777777" w:rsidR="00D9107F" w:rsidRDefault="00075C56" w:rsidP="00FB310D">
      <w:pPr>
        <w:rPr>
          <w:rFonts w:eastAsia="Calibri"/>
        </w:rPr>
      </w:pPr>
      <w:r w:rsidRPr="00075C56">
        <w:rPr>
          <w:rFonts w:eastAsia="Calibri"/>
        </w:rPr>
        <w:t>Fra og med 2023 er helsesentrene i Finland, og dermed primærhelsetjenesten</w:t>
      </w:r>
      <w:r w:rsidR="008C0502">
        <w:rPr>
          <w:rFonts w:eastAsia="Calibri"/>
        </w:rPr>
        <w:t>,</w:t>
      </w:r>
      <w:r w:rsidRPr="00075C56">
        <w:rPr>
          <w:rFonts w:eastAsia="Calibri"/>
        </w:rPr>
        <w:t xml:space="preserve"> blitt sentralisert til 21 velferdsområder fra tidligere </w:t>
      </w:r>
      <w:r w:rsidR="0020063F">
        <w:rPr>
          <w:rFonts w:eastAsia="Calibri"/>
        </w:rPr>
        <w:t xml:space="preserve">å ha </w:t>
      </w:r>
      <w:r w:rsidRPr="00075C56">
        <w:rPr>
          <w:rFonts w:eastAsia="Calibri"/>
        </w:rPr>
        <w:t>vært et kommunalt ansvar. Velfer</w:t>
      </w:r>
      <w:r w:rsidR="006D0B79">
        <w:rPr>
          <w:rFonts w:eastAsia="Calibri"/>
        </w:rPr>
        <w:t>d</w:t>
      </w:r>
      <w:r w:rsidRPr="00075C56">
        <w:rPr>
          <w:rFonts w:eastAsia="Calibri"/>
        </w:rPr>
        <w:t>sområdene har stor autonomi i hvordan pengene fordeles til ulike tjenester og modeller for finansiering. Allmennlegetjen</w:t>
      </w:r>
      <w:r w:rsidR="0011395E">
        <w:rPr>
          <w:rFonts w:eastAsia="Calibri"/>
        </w:rPr>
        <w:t>e</w:t>
      </w:r>
      <w:r w:rsidRPr="00075C56">
        <w:rPr>
          <w:rFonts w:eastAsia="Calibri"/>
        </w:rPr>
        <w:t>ster er i hovedsak drevet av offentlige helsesentraler med underliggende enheter. Legene</w:t>
      </w:r>
      <w:r w:rsidR="0011395E">
        <w:rPr>
          <w:rFonts w:eastAsia="Calibri"/>
        </w:rPr>
        <w:t>s</w:t>
      </w:r>
      <w:r w:rsidRPr="00075C56">
        <w:rPr>
          <w:rFonts w:eastAsia="Calibri"/>
        </w:rPr>
        <w:t xml:space="preserve"> avlønningsordninger varierer med spesifikke arbeidsoppgaver og kvalifikasjoner. I 2019 var de</w:t>
      </w:r>
      <w:r w:rsidR="00D55FA2">
        <w:rPr>
          <w:rFonts w:eastAsia="Calibri"/>
        </w:rPr>
        <w:t>t</w:t>
      </w:r>
      <w:r w:rsidRPr="00075C56">
        <w:rPr>
          <w:rFonts w:eastAsia="Calibri"/>
        </w:rPr>
        <w:t xml:space="preserve"> vanligst</w:t>
      </w:r>
      <w:r w:rsidR="00D55FA2">
        <w:rPr>
          <w:rFonts w:eastAsia="Calibri"/>
        </w:rPr>
        <w:t xml:space="preserve"> med</w:t>
      </w:r>
      <w:r w:rsidRPr="00075C56">
        <w:rPr>
          <w:rFonts w:eastAsia="Calibri"/>
        </w:rPr>
        <w:t xml:space="preserve"> fast lønn med noe ekstra </w:t>
      </w:r>
      <w:r w:rsidR="007235BE">
        <w:rPr>
          <w:rFonts w:eastAsia="Calibri"/>
        </w:rPr>
        <w:t>aktivitetsbasert finansiering</w:t>
      </w:r>
      <w:r w:rsidRPr="00075C56">
        <w:rPr>
          <w:rFonts w:eastAsia="Calibri"/>
        </w:rPr>
        <w:t xml:space="preserve"> for utvalgte tjenester eller mindre prosedyrer, pluss kompensasjon for legevakt og overtidsarbeid.</w:t>
      </w:r>
      <w:r w:rsidR="00AB7C1B" w:rsidRPr="00D9107F">
        <w:rPr>
          <w:rStyle w:val="Fotnotereferanse"/>
          <w:rFonts w:eastAsia="Calibri"/>
        </w:rPr>
        <w:footnoteReference w:id="30"/>
      </w:r>
      <w:r w:rsidRPr="00D9107F">
        <w:rPr>
          <w:rStyle w:val="kursiv"/>
          <w:rFonts w:eastAsia="Calibri"/>
        </w:rPr>
        <w:t xml:space="preserve"> </w:t>
      </w:r>
      <w:r w:rsidRPr="00075C56">
        <w:rPr>
          <w:rFonts w:eastAsia="Calibri"/>
        </w:rPr>
        <w:t xml:space="preserve">Velferdsområdene kan også inngå kontrakter med andre tjenesteleverandører om allmennlegetjenester, </w:t>
      </w:r>
      <w:r w:rsidR="005929A0" w:rsidRPr="00075C56">
        <w:rPr>
          <w:rFonts w:eastAsia="Calibri"/>
        </w:rPr>
        <w:t>f.eks.</w:t>
      </w:r>
      <w:r w:rsidRPr="00075C56">
        <w:rPr>
          <w:rFonts w:eastAsia="Calibri"/>
        </w:rPr>
        <w:t xml:space="preserve"> private aktører.</w:t>
      </w:r>
    </w:p>
    <w:p w14:paraId="75FF4A42" w14:textId="5D08AFE7" w:rsidR="00075C56" w:rsidRPr="00075C56" w:rsidRDefault="00075C56" w:rsidP="00775632">
      <w:pPr>
        <w:pStyle w:val="Overskrift4"/>
      </w:pPr>
      <w:bookmarkStart w:id="2550" w:name="_Toc130983503"/>
      <w:bookmarkStart w:id="2551" w:name="_Toc130983852"/>
      <w:bookmarkStart w:id="2552" w:name="_Toc131063710"/>
      <w:bookmarkStart w:id="2553" w:name="_Toc131238430"/>
      <w:bookmarkStart w:id="2554" w:name="_Toc131279461"/>
      <w:bookmarkStart w:id="2555" w:name="_Toc131286873"/>
      <w:bookmarkStart w:id="2556" w:name="_Toc131281283"/>
      <w:bookmarkStart w:id="2557" w:name="_Toc131317823"/>
      <w:r w:rsidRPr="00075C56">
        <w:t>Skottland og England</w:t>
      </w:r>
      <w:bookmarkEnd w:id="2550"/>
      <w:bookmarkEnd w:id="2551"/>
      <w:bookmarkEnd w:id="2552"/>
      <w:bookmarkEnd w:id="2553"/>
      <w:bookmarkEnd w:id="2554"/>
      <w:bookmarkEnd w:id="2555"/>
      <w:bookmarkEnd w:id="2556"/>
      <w:bookmarkEnd w:id="2557"/>
    </w:p>
    <w:p w14:paraId="6CE56A2F" w14:textId="08DC3CEE" w:rsidR="00D9107F" w:rsidRDefault="00075C56" w:rsidP="00FB310D">
      <w:pPr>
        <w:rPr>
          <w:rFonts w:eastAsia="Calibri"/>
        </w:rPr>
      </w:pPr>
      <w:r w:rsidRPr="00075C56">
        <w:rPr>
          <w:rFonts w:eastAsia="Calibri"/>
        </w:rPr>
        <w:t xml:space="preserve">Landene har flere fellestrekk. Etter en lovfestet innføring av en organisasjonsmodell med regionale </w:t>
      </w:r>
      <w:r w:rsidR="00D9107F">
        <w:rPr>
          <w:rFonts w:eastAsia="Calibri"/>
        </w:rPr>
        <w:t>«</w:t>
      </w:r>
      <w:r w:rsidRPr="00075C56">
        <w:rPr>
          <w:rFonts w:eastAsia="Calibri"/>
        </w:rPr>
        <w:t>Integrate</w:t>
      </w:r>
      <w:r w:rsidR="00B30631">
        <w:rPr>
          <w:rFonts w:eastAsia="Calibri"/>
        </w:rPr>
        <w:t>d</w:t>
      </w:r>
      <w:r w:rsidRPr="00075C56">
        <w:rPr>
          <w:rFonts w:eastAsia="Calibri"/>
        </w:rPr>
        <w:t xml:space="preserve"> care systems</w:t>
      </w:r>
      <w:r w:rsidR="00D9107F">
        <w:rPr>
          <w:rFonts w:eastAsia="Calibri"/>
        </w:rPr>
        <w:t>»</w:t>
      </w:r>
      <w:r w:rsidRPr="00075C56">
        <w:rPr>
          <w:rFonts w:eastAsia="Calibri"/>
        </w:rPr>
        <w:t xml:space="preserve"> i England fra 2022 er systemene i landene mer like enn </w:t>
      </w:r>
      <w:r w:rsidRPr="00075C56">
        <w:rPr>
          <w:rFonts w:eastAsia="Calibri"/>
        </w:rPr>
        <w:lastRenderedPageBreak/>
        <w:t>tidligere. Da gikk England bort fra et bestillersystem med vekt på konkurranse til mer vekt på samarbeid og strategisk inngåelse av kontrakter og avtaler</w:t>
      </w:r>
      <w:r w:rsidR="00130BD4">
        <w:rPr>
          <w:rFonts w:eastAsia="Calibri"/>
        </w:rPr>
        <w:t xml:space="preserve"> </w:t>
      </w:r>
      <w:r w:rsidR="00D078E3">
        <w:rPr>
          <w:rFonts w:eastAsia="Calibri"/>
        </w:rPr>
        <w:fldChar w:fldCharType="begin"/>
      </w:r>
      <w:r w:rsidR="00CE2F35">
        <w:rPr>
          <w:rFonts w:eastAsia="Calibri"/>
        </w:rPr>
        <w:instrText xml:space="preserve"> ADDIN EN.CITE &lt;EndNote&gt;&lt;Cite&gt;&lt;Author&gt;King&amp;apos;s Fund&lt;/Author&gt;&lt;Year&gt;2022&lt;/Year&gt;&lt;RecNum&gt;996&lt;/RecNum&gt;&lt;DisplayText&gt;(King&amp;apos;s Fund, 2022)&lt;/DisplayText&gt;&lt;record&gt;&lt;rec-number&gt;996&lt;/rec-number&gt;&lt;foreign-keys&gt;&lt;key app="EN" db-id="95tpr2tp6r9xwoea9rb5wdsz5ds5xeddteew" timestamp="1680251278"&gt;996&lt;/key&gt;&lt;/foreign-keys&gt;&lt;ref-type name="Web Page"&gt;12&lt;/ref-type&gt;&lt;contributors&gt;&lt;authors&gt;&lt;author&gt;King&amp;apos;s Fund,&lt;/author&gt;&lt;/authors&gt;&lt;/contributors&gt;&lt;titles&gt;&lt;title&gt;Integrated care systems explained. Health and Care Act 2022&lt;/title&gt;&lt;/titles&gt;&lt;dates&gt;&lt;year&gt;2022&lt;/year&gt;&lt;/dates&gt;&lt;urls&gt;&lt;related-urls&gt;&lt;url&gt;https://www.kingsfund.org.uk/topics/integrated-care&lt;/url&gt;&lt;/related-urls&gt;&lt;/urls&gt;&lt;/record&gt;&lt;/Cite&gt;&lt;/EndNote&gt;</w:instrText>
      </w:r>
      <w:r w:rsidR="00D078E3">
        <w:rPr>
          <w:rFonts w:eastAsia="Calibri"/>
        </w:rPr>
        <w:fldChar w:fldCharType="separate"/>
      </w:r>
      <w:r w:rsidR="00CE2F35">
        <w:rPr>
          <w:rFonts w:eastAsia="Calibri"/>
          <w:noProof/>
        </w:rPr>
        <w:t>(King</w:t>
      </w:r>
      <w:r w:rsidR="00D9107F">
        <w:rPr>
          <w:rFonts w:eastAsia="Calibri"/>
          <w:noProof/>
        </w:rPr>
        <w:t>’</w:t>
      </w:r>
      <w:r w:rsidR="00CE2F35">
        <w:rPr>
          <w:rFonts w:eastAsia="Calibri"/>
          <w:noProof/>
        </w:rPr>
        <w:t>s Fund, 2022)</w:t>
      </w:r>
      <w:r w:rsidR="00D078E3">
        <w:rPr>
          <w:rFonts w:eastAsia="Calibri"/>
        </w:rPr>
        <w:fldChar w:fldCharType="end"/>
      </w:r>
      <w:r w:rsidRPr="00075C56">
        <w:rPr>
          <w:rFonts w:eastAsia="Calibri"/>
        </w:rPr>
        <w:t>.</w:t>
      </w:r>
    </w:p>
    <w:p w14:paraId="5CA679AE" w14:textId="7926D9CA" w:rsidR="00D9107F" w:rsidRDefault="00075C56" w:rsidP="00FB310D">
      <w:pPr>
        <w:rPr>
          <w:rFonts w:eastAsia="Calibri"/>
        </w:rPr>
      </w:pPr>
      <w:r w:rsidRPr="00075C56">
        <w:rPr>
          <w:rFonts w:eastAsia="Calibri"/>
        </w:rPr>
        <w:t>I England er andelen per capita</w:t>
      </w:r>
      <w:r w:rsidR="00B30631">
        <w:rPr>
          <w:rFonts w:eastAsia="Calibri"/>
        </w:rPr>
        <w:t>-</w:t>
      </w:r>
      <w:r w:rsidRPr="00075C56">
        <w:rPr>
          <w:rFonts w:eastAsia="Calibri"/>
        </w:rPr>
        <w:t>tilskudd ca</w:t>
      </w:r>
      <w:r w:rsidR="00A24C13">
        <w:rPr>
          <w:rFonts w:eastAsia="Calibri"/>
        </w:rPr>
        <w:t>.</w:t>
      </w:r>
      <w:r w:rsidRPr="00075C56">
        <w:rPr>
          <w:rFonts w:eastAsia="Calibri"/>
        </w:rPr>
        <w:t xml:space="preserve"> 50-60 prosent som skal dekke kjernetjenester og avtaler om tilleggstjenester. </w:t>
      </w:r>
      <w:r w:rsidR="00D9107F">
        <w:rPr>
          <w:rFonts w:eastAsia="Calibri"/>
        </w:rPr>
        <w:t>«</w:t>
      </w:r>
      <w:r w:rsidRPr="00075C56">
        <w:rPr>
          <w:rFonts w:eastAsia="Calibri"/>
        </w:rPr>
        <w:t>The Carr-Hill Formula</w:t>
      </w:r>
      <w:r w:rsidR="00D9107F">
        <w:rPr>
          <w:rFonts w:eastAsia="Calibri"/>
        </w:rPr>
        <w:t>»</w:t>
      </w:r>
      <w:r w:rsidRPr="00075C56">
        <w:rPr>
          <w:rFonts w:eastAsia="Calibri"/>
        </w:rPr>
        <w:t xml:space="preserve"> er utgangspunkt for </w:t>
      </w:r>
      <w:r w:rsidR="005756A0">
        <w:rPr>
          <w:rFonts w:eastAsia="Calibri"/>
        </w:rPr>
        <w:t>risikojustering</w:t>
      </w:r>
      <w:r w:rsidRPr="00075C56">
        <w:rPr>
          <w:rFonts w:eastAsia="Calibri"/>
        </w:rPr>
        <w:t>. Den inkluderer en rekke komponenter som kjønn og alder og andre behovsvariable, antall pasienter i spes</w:t>
      </w:r>
      <w:r w:rsidR="00A843E7">
        <w:rPr>
          <w:rFonts w:eastAsia="Calibri"/>
        </w:rPr>
        <w:t>ial</w:t>
      </w:r>
      <w:r w:rsidRPr="00075C56">
        <w:rPr>
          <w:rFonts w:eastAsia="Calibri"/>
        </w:rPr>
        <w:t>boliger</w:t>
      </w:r>
      <w:r w:rsidR="004E53EC">
        <w:rPr>
          <w:rFonts w:eastAsia="Calibri"/>
        </w:rPr>
        <w:t xml:space="preserve"> </w:t>
      </w:r>
      <w:r w:rsidR="00337DE9">
        <w:rPr>
          <w:rFonts w:eastAsia="Calibri"/>
        </w:rPr>
        <w:t>og</w:t>
      </w:r>
      <w:r w:rsidR="004E53EC">
        <w:rPr>
          <w:rFonts w:eastAsia="Calibri"/>
        </w:rPr>
        <w:t xml:space="preserve"> </w:t>
      </w:r>
      <w:r w:rsidRPr="00075C56">
        <w:rPr>
          <w:rFonts w:eastAsia="Calibri"/>
        </w:rPr>
        <w:t>sykehjem, turnover på pasientlist</w:t>
      </w:r>
      <w:r w:rsidR="006C03AE">
        <w:rPr>
          <w:rFonts w:eastAsia="Calibri"/>
        </w:rPr>
        <w:t>en</w:t>
      </w:r>
      <w:r w:rsidRPr="00075C56">
        <w:rPr>
          <w:rFonts w:eastAsia="Calibri"/>
        </w:rPr>
        <w:t>, ruralitet, samt en justering for ulikheter i kostnader pga markeds</w:t>
      </w:r>
      <w:r w:rsidRPr="00075C56">
        <w:rPr>
          <w:rFonts w:eastAsia="Calibri"/>
        </w:rPr>
        <w:softHyphen/>
        <w:t xml:space="preserve">krefter, </w:t>
      </w:r>
      <w:r w:rsidR="00B67D0E">
        <w:rPr>
          <w:rFonts w:eastAsia="Calibri"/>
        </w:rPr>
        <w:t>for eksempel</w:t>
      </w:r>
      <w:r w:rsidRPr="00075C56">
        <w:rPr>
          <w:rFonts w:eastAsia="Calibri"/>
        </w:rPr>
        <w:t xml:space="preserve"> lønnsnivå</w:t>
      </w:r>
      <w:r w:rsidR="00F74394">
        <w:rPr>
          <w:rFonts w:eastAsia="Calibri"/>
        </w:rPr>
        <w:t xml:space="preserve"> og</w:t>
      </w:r>
      <w:r w:rsidRPr="00075C56">
        <w:rPr>
          <w:rFonts w:eastAsia="Calibri"/>
        </w:rPr>
        <w:t xml:space="preserve"> leiekostnader.</w:t>
      </w:r>
    </w:p>
    <w:p w14:paraId="2D1FF640" w14:textId="77777777" w:rsidR="00D9107F" w:rsidRDefault="00075C56" w:rsidP="00FB310D">
      <w:pPr>
        <w:rPr>
          <w:rFonts w:eastAsia="Calibri"/>
          <w:lang w:val="nb"/>
        </w:rPr>
      </w:pPr>
      <w:r w:rsidRPr="00075C56">
        <w:rPr>
          <w:rFonts w:eastAsia="Calibri"/>
        </w:rPr>
        <w:t xml:space="preserve">Legepraksisene </w:t>
      </w:r>
      <w:r w:rsidR="00417F10">
        <w:rPr>
          <w:rFonts w:eastAsia="Calibri"/>
        </w:rPr>
        <w:t>i England</w:t>
      </w:r>
      <w:r w:rsidRPr="00075C56">
        <w:rPr>
          <w:rFonts w:eastAsia="Calibri"/>
        </w:rPr>
        <w:t xml:space="preserve"> får </w:t>
      </w:r>
      <w:r w:rsidR="000922FB">
        <w:rPr>
          <w:rFonts w:eastAsia="Calibri"/>
        </w:rPr>
        <w:t xml:space="preserve">også </w:t>
      </w:r>
      <w:r w:rsidRPr="00075C56">
        <w:rPr>
          <w:rFonts w:eastAsia="Calibri"/>
        </w:rPr>
        <w:t>aktivitetsbasert</w:t>
      </w:r>
      <w:r w:rsidR="00067ECE">
        <w:rPr>
          <w:rFonts w:eastAsia="Calibri"/>
        </w:rPr>
        <w:t>e</w:t>
      </w:r>
      <w:r w:rsidRPr="00075C56">
        <w:rPr>
          <w:rFonts w:eastAsia="Calibri"/>
        </w:rPr>
        <w:t xml:space="preserve"> inntekt</w:t>
      </w:r>
      <w:r w:rsidR="00067ECE">
        <w:rPr>
          <w:rFonts w:eastAsia="Calibri"/>
        </w:rPr>
        <w:t>er</w:t>
      </w:r>
      <w:r w:rsidRPr="00075C56">
        <w:rPr>
          <w:rFonts w:eastAsia="Calibri"/>
        </w:rPr>
        <w:t xml:space="preserve"> fra en kvalitetsbasert finansiering (Qality and Outcom</w:t>
      </w:r>
      <w:r w:rsidR="004E28AD">
        <w:rPr>
          <w:rFonts w:eastAsia="Calibri"/>
        </w:rPr>
        <w:t>e</w:t>
      </w:r>
      <w:r w:rsidRPr="00075C56">
        <w:rPr>
          <w:rFonts w:eastAsia="Calibri"/>
        </w:rPr>
        <w:t xml:space="preserve"> Framework</w:t>
      </w:r>
      <w:r w:rsidR="00505421">
        <w:rPr>
          <w:rFonts w:eastAsia="Calibri"/>
        </w:rPr>
        <w:t>, QOF</w:t>
      </w:r>
      <w:r w:rsidRPr="00075C56">
        <w:rPr>
          <w:rFonts w:eastAsia="Calibri"/>
        </w:rPr>
        <w:t>)</w:t>
      </w:r>
      <w:r w:rsidR="00FE60EB">
        <w:rPr>
          <w:rFonts w:eastAsia="Calibri"/>
        </w:rPr>
        <w:t>.</w:t>
      </w:r>
      <w:r w:rsidR="00C749CD">
        <w:rPr>
          <w:rFonts w:eastAsia="Calibri"/>
        </w:rPr>
        <w:t xml:space="preserve"> </w:t>
      </w:r>
      <w:r w:rsidR="00505421" w:rsidRPr="00075C56">
        <w:rPr>
          <w:rFonts w:eastAsia="Calibri"/>
          <w:lang w:val="nb"/>
        </w:rPr>
        <w:t>QOF er en frivillig ordning som gir finansiering for oppnåelse av kvalitetsstandarder, ved å belønne volum og kvalitet. Måloppnåelse måles mot kliniske, folkehelse-, kvalitets-</w:t>
      </w:r>
      <w:r w:rsidR="00A24C13">
        <w:rPr>
          <w:rFonts w:eastAsia="Calibri"/>
          <w:lang w:val="nb"/>
        </w:rPr>
        <w:t>,</w:t>
      </w:r>
      <w:r w:rsidR="00505421" w:rsidRPr="00075C56">
        <w:rPr>
          <w:rFonts w:eastAsia="Calibri"/>
          <w:lang w:val="nb"/>
        </w:rPr>
        <w:t xml:space="preserve"> produktivitets- og pasientopplevelses</w:t>
      </w:r>
      <w:r w:rsidR="00505421" w:rsidRPr="00075C56">
        <w:rPr>
          <w:rFonts w:eastAsia="Calibri"/>
          <w:lang w:val="nb"/>
        </w:rPr>
        <w:softHyphen/>
        <w:t xml:space="preserve">indikatorer. </w:t>
      </w:r>
      <w:r w:rsidR="00513979">
        <w:rPr>
          <w:rFonts w:eastAsia="Calibri"/>
          <w:lang w:val="nb"/>
        </w:rPr>
        <w:t>Utbetalinge</w:t>
      </w:r>
      <w:r w:rsidR="003922E5">
        <w:rPr>
          <w:rFonts w:eastAsia="Calibri"/>
          <w:lang w:val="nb"/>
        </w:rPr>
        <w:t>ne</w:t>
      </w:r>
      <w:r w:rsidR="00513979">
        <w:rPr>
          <w:rFonts w:eastAsia="Calibri"/>
          <w:lang w:val="nb"/>
        </w:rPr>
        <w:t xml:space="preserve"> beregnes </w:t>
      </w:r>
      <w:r w:rsidR="00505421" w:rsidRPr="00075C56">
        <w:rPr>
          <w:rFonts w:eastAsia="Calibri"/>
          <w:lang w:val="nb"/>
        </w:rPr>
        <w:t xml:space="preserve">i henhold til </w:t>
      </w:r>
      <w:r w:rsidR="00EE75B5">
        <w:rPr>
          <w:rFonts w:eastAsia="Calibri"/>
          <w:lang w:val="nb"/>
        </w:rPr>
        <w:t>grad av måloppnåelse</w:t>
      </w:r>
      <w:r w:rsidR="00820B31">
        <w:rPr>
          <w:rFonts w:eastAsia="Calibri"/>
          <w:lang w:val="nb"/>
        </w:rPr>
        <w:t xml:space="preserve"> på mer enn </w:t>
      </w:r>
      <w:r w:rsidR="00EE3F8E" w:rsidRPr="00EE3F8E">
        <w:rPr>
          <w:lang w:val="nb"/>
        </w:rPr>
        <w:t>60 indikatorer</w:t>
      </w:r>
      <w:r w:rsidR="00832FF4">
        <w:rPr>
          <w:lang w:val="nb"/>
        </w:rPr>
        <w:t xml:space="preserve"> </w:t>
      </w:r>
      <w:r w:rsidR="00D078E3">
        <w:rPr>
          <w:lang w:val="nb"/>
        </w:rPr>
        <w:fldChar w:fldCharType="begin"/>
      </w:r>
      <w:r w:rsidR="004654FD">
        <w:rPr>
          <w:lang w:val="nb"/>
        </w:rPr>
        <w:instrText xml:space="preserve"> ADDIN EN.CITE &lt;EndNote&gt;&lt;Cite&gt;&lt;Author&gt;NHS England&lt;/Author&gt;&lt;Year&gt;2022&lt;/Year&gt;&lt;RecNum&gt;997&lt;/RecNum&gt;&lt;DisplayText&gt;(NHS England, 2022b)&lt;/DisplayText&gt;&lt;record&gt;&lt;rec-number&gt;997&lt;/rec-number&gt;&lt;foreign-keys&gt;&lt;key app="EN" db-id="95tpr2tp6r9xwoea9rb5wdsz5ds5xeddteew" timestamp="1680251795"&gt;997&lt;/key&gt;&lt;/foreign-keys&gt;&lt;ref-type name="Report"&gt;27&lt;/ref-type&gt;&lt;contributors&gt;&lt;authors&gt;&lt;author&gt;NHS England,&lt;/author&gt;&lt;/authors&gt;&lt;/contributors&gt;&lt;titles&gt;&lt;title&gt;Update on Quality Outcomes Framework changes for 2022/23&lt;/title&gt;&lt;/titles&gt;&lt;dates&gt;&lt;year&gt;2022&lt;/year&gt;&lt;/dates&gt;&lt;urls&gt;&lt;related-urls&gt;&lt;url&gt;https://www.england.nhs.uk/publication/update-on-quality-outcomes-framework-changes-for-2022-23/&lt;/url&gt;&lt;/related-urls&gt;&lt;/urls&gt;&lt;/record&gt;&lt;/Cite&gt;&lt;/EndNote&gt;</w:instrText>
      </w:r>
      <w:r w:rsidR="00D078E3">
        <w:rPr>
          <w:lang w:val="nb"/>
        </w:rPr>
        <w:fldChar w:fldCharType="separate"/>
      </w:r>
      <w:r w:rsidR="00235862">
        <w:rPr>
          <w:noProof/>
          <w:lang w:val="nb"/>
        </w:rPr>
        <w:t>(NHS England, 2022b)</w:t>
      </w:r>
      <w:r w:rsidR="00D078E3">
        <w:rPr>
          <w:lang w:val="nb"/>
        </w:rPr>
        <w:fldChar w:fldCharType="end"/>
      </w:r>
      <w:r w:rsidR="00EE3F8E">
        <w:rPr>
          <w:lang w:val="nb"/>
        </w:rPr>
        <w:t>.</w:t>
      </w:r>
    </w:p>
    <w:p w14:paraId="533B6A80" w14:textId="77777777" w:rsidR="00D9107F" w:rsidRDefault="00075C56" w:rsidP="00FB310D">
      <w:pPr>
        <w:rPr>
          <w:rFonts w:eastAsia="Calibri"/>
        </w:rPr>
      </w:pPr>
      <w:r w:rsidRPr="00075C56">
        <w:rPr>
          <w:rFonts w:eastAsia="Calibri"/>
        </w:rPr>
        <w:t>Skottland har en høy andel per capita</w:t>
      </w:r>
      <w:r w:rsidR="00A24C13">
        <w:rPr>
          <w:rFonts w:eastAsia="Calibri"/>
        </w:rPr>
        <w:t>-</w:t>
      </w:r>
      <w:r w:rsidRPr="00075C56">
        <w:rPr>
          <w:rFonts w:eastAsia="Calibri"/>
        </w:rPr>
        <w:t>tilskudd</w:t>
      </w:r>
      <w:r w:rsidR="0039273F">
        <w:rPr>
          <w:rFonts w:eastAsia="Calibri"/>
        </w:rPr>
        <w:t>,</w:t>
      </w:r>
      <w:r w:rsidRPr="00075C56">
        <w:rPr>
          <w:rFonts w:eastAsia="Calibri"/>
        </w:rPr>
        <w:t xml:space="preserve"> på 85</w:t>
      </w:r>
      <w:r w:rsidR="002855E8">
        <w:rPr>
          <w:rFonts w:eastAsia="Calibri"/>
        </w:rPr>
        <w:t xml:space="preserve"> prosent</w:t>
      </w:r>
      <w:r w:rsidRPr="00075C56">
        <w:rPr>
          <w:rFonts w:eastAsia="Calibri"/>
        </w:rPr>
        <w:t xml:space="preserve">. </w:t>
      </w:r>
      <w:r w:rsidR="0039273F">
        <w:rPr>
          <w:rFonts w:eastAsia="Calibri"/>
        </w:rPr>
        <w:t>Tilskuddet risikojusteres</w:t>
      </w:r>
      <w:r w:rsidRPr="00075C56">
        <w:rPr>
          <w:rFonts w:eastAsia="Calibri"/>
        </w:rPr>
        <w:t xml:space="preserve"> på grunnlag av forventet arbeidsbelastning basert på pasientenes alder og kjønn, sammen med vekting for deprivasjon og levekår. Mesteparten av den resterende inntekten er praksisspesifikke ut fra avtaler som inngås ut over standardavtalen. En liten andel av inntekten er basert på lokalt avtalte takster.</w:t>
      </w:r>
    </w:p>
    <w:p w14:paraId="02CD9DD8" w14:textId="3E36B145" w:rsidR="00075C56" w:rsidRPr="00075C56" w:rsidRDefault="00075C56" w:rsidP="00775632">
      <w:pPr>
        <w:pStyle w:val="Overskrift4"/>
      </w:pPr>
      <w:bookmarkStart w:id="2558" w:name="_Toc130983504"/>
      <w:bookmarkStart w:id="2559" w:name="_Toc130983853"/>
      <w:bookmarkStart w:id="2560" w:name="_Toc131063711"/>
      <w:bookmarkStart w:id="2561" w:name="_Toc131238431"/>
      <w:bookmarkStart w:id="2562" w:name="_Toc131279462"/>
      <w:bookmarkStart w:id="2563" w:name="_Toc131286874"/>
      <w:bookmarkStart w:id="2564" w:name="_Toc131281284"/>
      <w:bookmarkStart w:id="2565" w:name="_Toc131317824"/>
      <w:r w:rsidRPr="00075C56">
        <w:t>Nederland</w:t>
      </w:r>
      <w:bookmarkEnd w:id="2558"/>
      <w:bookmarkEnd w:id="2559"/>
      <w:bookmarkEnd w:id="2560"/>
      <w:bookmarkEnd w:id="2561"/>
      <w:bookmarkEnd w:id="2562"/>
      <w:bookmarkEnd w:id="2563"/>
      <w:bookmarkEnd w:id="2564"/>
      <w:bookmarkEnd w:id="2565"/>
    </w:p>
    <w:p w14:paraId="252D1BFF" w14:textId="356791DB" w:rsidR="00075C56" w:rsidRPr="00075C56" w:rsidRDefault="00075C56" w:rsidP="00FB310D">
      <w:pPr>
        <w:rPr>
          <w:rFonts w:eastAsia="Calibri"/>
        </w:rPr>
      </w:pPr>
      <w:r w:rsidRPr="00075C56">
        <w:rPr>
          <w:rFonts w:eastAsia="Calibri"/>
        </w:rPr>
        <w:t>I Nederland består inntektene til fastlegene av tre deler. Den største delen er den generelle standard finansieringen, herunder per capita</w:t>
      </w:r>
      <w:r w:rsidR="002747BB">
        <w:rPr>
          <w:rFonts w:eastAsia="Calibri"/>
        </w:rPr>
        <w:t>-</w:t>
      </w:r>
      <w:r w:rsidRPr="00075C56">
        <w:rPr>
          <w:rFonts w:eastAsia="Calibri"/>
        </w:rPr>
        <w:t>tilskudd (</w:t>
      </w:r>
      <w:r w:rsidR="00244943">
        <w:rPr>
          <w:rFonts w:eastAsia="Calibri"/>
        </w:rPr>
        <w:t>ca.</w:t>
      </w:r>
      <w:r w:rsidRPr="00075C56">
        <w:rPr>
          <w:rFonts w:eastAsia="Calibri"/>
        </w:rPr>
        <w:t xml:space="preserve"> 49 </w:t>
      </w:r>
      <w:r w:rsidR="00A766F2">
        <w:rPr>
          <w:rFonts w:eastAsia="Calibri"/>
        </w:rPr>
        <w:t>prosent</w:t>
      </w:r>
      <w:r w:rsidRPr="00075C56">
        <w:rPr>
          <w:rFonts w:eastAsia="Calibri"/>
        </w:rPr>
        <w:t xml:space="preserve">) og aktivitetsbasert </w:t>
      </w:r>
      <w:r w:rsidR="00962806">
        <w:rPr>
          <w:rFonts w:eastAsia="Calibri"/>
        </w:rPr>
        <w:t>fina</w:t>
      </w:r>
      <w:r w:rsidR="00F4505E">
        <w:rPr>
          <w:rFonts w:eastAsia="Calibri"/>
        </w:rPr>
        <w:t>n</w:t>
      </w:r>
      <w:r w:rsidR="00962806">
        <w:rPr>
          <w:rFonts w:eastAsia="Calibri"/>
        </w:rPr>
        <w:t>siering</w:t>
      </w:r>
      <w:r w:rsidR="002751F6">
        <w:rPr>
          <w:rFonts w:eastAsia="Calibri"/>
        </w:rPr>
        <w:t xml:space="preserve"> (</w:t>
      </w:r>
      <w:r w:rsidRPr="00075C56">
        <w:rPr>
          <w:rFonts w:eastAsia="Calibri"/>
        </w:rPr>
        <w:t>ca</w:t>
      </w:r>
      <w:r w:rsidR="005D5B77">
        <w:rPr>
          <w:rFonts w:eastAsia="Calibri"/>
        </w:rPr>
        <w:t>.</w:t>
      </w:r>
      <w:r w:rsidRPr="00075C56">
        <w:rPr>
          <w:rFonts w:eastAsia="Calibri"/>
        </w:rPr>
        <w:t xml:space="preserve"> 21 </w:t>
      </w:r>
      <w:r w:rsidR="005D5B77">
        <w:rPr>
          <w:rFonts w:eastAsia="Calibri"/>
        </w:rPr>
        <w:t>prosent</w:t>
      </w:r>
      <w:r w:rsidRPr="00075C56">
        <w:rPr>
          <w:rFonts w:eastAsia="Calibri"/>
        </w:rPr>
        <w:t>).</w:t>
      </w:r>
    </w:p>
    <w:p w14:paraId="5CB2DFAA" w14:textId="3A300364" w:rsidR="002747BB" w:rsidRDefault="002747BB" w:rsidP="00FB310D">
      <w:pPr>
        <w:rPr>
          <w:rFonts w:eastAsia="Calibri"/>
        </w:rPr>
      </w:pPr>
      <w:r w:rsidRPr="00075C56">
        <w:rPr>
          <w:rFonts w:eastAsia="Calibri"/>
        </w:rPr>
        <w:t>I Nederland brukes alderssammensetning, men ikke kjønn</w:t>
      </w:r>
      <w:r w:rsidR="009A453C">
        <w:rPr>
          <w:rFonts w:eastAsia="Calibri"/>
        </w:rPr>
        <w:t>,</w:t>
      </w:r>
      <w:r w:rsidRPr="00075C56">
        <w:rPr>
          <w:rFonts w:eastAsia="Calibri"/>
        </w:rPr>
        <w:t xml:space="preserve"> som grunnlag for </w:t>
      </w:r>
      <w:r>
        <w:rPr>
          <w:rFonts w:eastAsia="Calibri"/>
        </w:rPr>
        <w:t>risikojustering av per capita-tilskuddet</w:t>
      </w:r>
      <w:r w:rsidRPr="00075C56">
        <w:rPr>
          <w:rFonts w:eastAsia="Calibri"/>
        </w:rPr>
        <w:t xml:space="preserve">. I tillegg brukes en sosioøkonomisk vekting basert på </w:t>
      </w:r>
      <w:r w:rsidR="002E6E86">
        <w:rPr>
          <w:rFonts w:eastAsia="Calibri"/>
        </w:rPr>
        <w:t xml:space="preserve">kjennetegn ved </w:t>
      </w:r>
      <w:r w:rsidR="00F6685F">
        <w:rPr>
          <w:rFonts w:eastAsia="Calibri"/>
        </w:rPr>
        <w:t xml:space="preserve">innbyggerne i </w:t>
      </w:r>
      <w:r w:rsidRPr="00075C56">
        <w:rPr>
          <w:rFonts w:eastAsia="Calibri"/>
        </w:rPr>
        <w:t>nabolag</w:t>
      </w:r>
      <w:r w:rsidR="00F6685F">
        <w:rPr>
          <w:rFonts w:eastAsia="Calibri"/>
        </w:rPr>
        <w:t>et</w:t>
      </w:r>
      <w:r w:rsidRPr="00075C56">
        <w:rPr>
          <w:rFonts w:eastAsia="Calibri"/>
        </w:rPr>
        <w:t xml:space="preserve"> (postnummer)</w:t>
      </w:r>
      <w:r w:rsidR="00F6685F">
        <w:rPr>
          <w:rFonts w:eastAsia="Calibri"/>
        </w:rPr>
        <w:t>,</w:t>
      </w:r>
      <w:r w:rsidR="00C807B0">
        <w:rPr>
          <w:rFonts w:eastAsia="Calibri"/>
        </w:rPr>
        <w:t xml:space="preserve"> </w:t>
      </w:r>
      <w:r w:rsidR="000D172E">
        <w:rPr>
          <w:rFonts w:eastAsia="Calibri"/>
        </w:rPr>
        <w:t xml:space="preserve">som </w:t>
      </w:r>
      <w:r w:rsidR="002E6E86">
        <w:rPr>
          <w:rFonts w:eastAsia="Calibri"/>
        </w:rPr>
        <w:t xml:space="preserve">andelen med </w:t>
      </w:r>
      <w:r w:rsidRPr="00075C56">
        <w:rPr>
          <w:rFonts w:eastAsia="Calibri"/>
        </w:rPr>
        <w:t>lav inntekt, arbeidsledige</w:t>
      </w:r>
      <w:r w:rsidR="00CF79C2">
        <w:rPr>
          <w:rFonts w:eastAsia="Calibri"/>
        </w:rPr>
        <w:t xml:space="preserve"> og innvandrerbakgrunn</w:t>
      </w:r>
      <w:r w:rsidR="00832FF4">
        <w:rPr>
          <w:rFonts w:eastAsia="Calibri"/>
        </w:rPr>
        <w:t xml:space="preserve"> </w:t>
      </w:r>
      <w:r w:rsidR="00D078E3">
        <w:rPr>
          <w:rFonts w:eastAsia="Calibri"/>
        </w:rPr>
        <w:fldChar w:fldCharType="begin"/>
      </w:r>
      <w:r w:rsidR="00D078E3">
        <w:rPr>
          <w:rFonts w:eastAsia="Calibri"/>
        </w:rPr>
        <w:instrText xml:space="preserve"> ADDIN EN.CITE &lt;EndNote&gt;&lt;Cite&gt;&lt;Author&gt;Zorgautoriteit&lt;/Author&gt;&lt;Year&gt;2022&lt;/Year&gt;&lt;RecNum&gt;998&lt;/RecNum&gt;&lt;DisplayText&gt;(Zorgautoriteit, 2022)&lt;/DisplayText&gt;&lt;record&gt;&lt;rec-number&gt;998&lt;/rec-number&gt;&lt;foreign-keys&gt;&lt;key app="EN" db-id="95tpr2tp6r9xwoea9rb5wdsz5ds5xeddteew" timestamp="1680252030"&gt;998&lt;/key&gt;&lt;/foreign-keys&gt;&lt;ref-type name="Web Page"&gt;12&lt;/ref-type&gt;&lt;contributors&gt;&lt;authors&gt;&lt;author&gt;Nederlandse Zorgautoriteit&lt;/author&gt;&lt;/authors&gt;&lt;/contributors&gt;&lt;titles&gt;&lt;title&gt;Prestatie- en tariefbeschikking huisartsenzorg en multidisciplinaire zorg 2022 - TB/REG-22622-03&lt;/title&gt;&lt;/titles&gt;&lt;dates&gt;&lt;year&gt;2022&lt;/year&gt;&lt;/dates&gt;&lt;urls&gt;&lt;related-urls&gt;&lt;url&gt;Prestatie- en tariefbeschikking huisartsenzorg en multidisciplinaire zorg 2022 - TB/REG-22622-03 - Nederlandse Zorgautoriteit (overheid.nl) &lt;/url&gt;&lt;/related-urls&gt;&lt;/urls&gt;&lt;/record&gt;&lt;/Cite&gt;&lt;/EndNote&gt;</w:instrText>
      </w:r>
      <w:r w:rsidR="00D078E3">
        <w:rPr>
          <w:rFonts w:eastAsia="Calibri"/>
        </w:rPr>
        <w:fldChar w:fldCharType="separate"/>
      </w:r>
      <w:r w:rsidR="00D078E3">
        <w:rPr>
          <w:rFonts w:eastAsia="Calibri"/>
          <w:noProof/>
        </w:rPr>
        <w:t>(Zorgautoriteit, 2022)</w:t>
      </w:r>
      <w:r w:rsidR="00D078E3">
        <w:rPr>
          <w:rFonts w:eastAsia="Calibri"/>
        </w:rPr>
        <w:fldChar w:fldCharType="end"/>
      </w:r>
      <w:r w:rsidRPr="00075C56">
        <w:rPr>
          <w:rFonts w:eastAsia="Calibri"/>
        </w:rPr>
        <w:t>.</w:t>
      </w:r>
    </w:p>
    <w:p w14:paraId="222EC738" w14:textId="0BAE68FC" w:rsidR="00D9107F" w:rsidRDefault="00075C56" w:rsidP="00FB310D">
      <w:pPr>
        <w:rPr>
          <w:rFonts w:eastAsia="Calibri"/>
          <w:lang w:val="nb"/>
        </w:rPr>
      </w:pPr>
      <w:r w:rsidRPr="00075C56">
        <w:rPr>
          <w:rFonts w:eastAsia="Calibri"/>
        </w:rPr>
        <w:t xml:space="preserve">Den andre delen av inntekten til praksisene kommer fra arbeid i tverrfaglige team og er knyttet til oppfølging av pasienter med kroniske sykdommer som diabetes, KOLS og astma. Nettverk av allmennpraksiser og andre helsetjenester samarbeider om å koordinere oppfølging av personer med kroniske sykdommer. </w:t>
      </w:r>
      <w:r w:rsidRPr="00075C56">
        <w:rPr>
          <w:rFonts w:eastAsia="Calibri"/>
          <w:lang w:val="nb"/>
        </w:rPr>
        <w:t>Dette er juridiske enheter som påtar seg klinisk og økonomisk ansvar for pasienter med kronisk sykdom</w:t>
      </w:r>
      <w:r w:rsidR="00FA26F3">
        <w:rPr>
          <w:rFonts w:eastAsia="Calibri"/>
          <w:lang w:val="nb"/>
        </w:rPr>
        <w:t xml:space="preserve"> </w:t>
      </w:r>
      <w:r w:rsidR="00D078E3">
        <w:rPr>
          <w:rFonts w:eastAsia="Calibri"/>
          <w:lang w:val="nb"/>
        </w:rPr>
        <w:fldChar w:fldCharType="begin"/>
      </w:r>
      <w:r w:rsidR="00A86A67">
        <w:rPr>
          <w:rFonts w:eastAsia="Calibri"/>
          <w:lang w:val="nb"/>
        </w:rPr>
        <w:instrText xml:space="preserve"> ADDIN EN.CITE &lt;EndNote&gt;&lt;Cite ExcludeYear="1"&gt;&lt;Author&gt;Commonwealth Fund&lt;/Author&gt;&lt;Year&gt;2020&lt;/Year&gt;&lt;RecNum&gt;965&lt;/RecNum&gt;&lt;DisplayText&gt;(Commonwealth Fund)&lt;/DisplayText&gt;&lt;record&gt;&lt;rec-number&gt;965&lt;/rec-number&gt;&lt;foreign-keys&gt;&lt;key app="EN" db-id="95tpr2tp6r9xwoea9rb5wdsz5ds5xeddteew" timestamp="1680224565"&gt;965&lt;/key&gt;&lt;/foreign-keys&gt;&lt;ref-type name="Web Page"&gt;12&lt;/ref-type&gt;&lt;contributors&gt;&lt;authors&gt;&lt;author&gt;Commonwealth Fund,&lt;/author&gt;&lt;/authors&gt;&lt;/contributors&gt;&lt;titles&gt;&lt;title&gt;International health care system profile Netherlands&lt;/title&gt;&lt;/titles&gt;&lt;dates&gt;&lt;year&gt;2020&lt;/year&gt;&lt;/dates&gt;&lt;urls&gt;&lt;related-urls&gt;&lt;url&gt;https://www.commonwealthfund.org/international-health-policy-center/countries/netherlands&lt;/url&gt;&lt;/related-urls&gt;&lt;/urls&gt;&lt;/record&gt;&lt;/Cite&gt;&lt;/EndNote&gt;</w:instrText>
      </w:r>
      <w:r w:rsidR="00D078E3">
        <w:rPr>
          <w:rFonts w:eastAsia="Calibri"/>
          <w:lang w:val="nb"/>
        </w:rPr>
        <w:fldChar w:fldCharType="separate"/>
      </w:r>
      <w:r w:rsidR="00CE2F35">
        <w:rPr>
          <w:rFonts w:eastAsia="Calibri"/>
          <w:noProof/>
          <w:lang w:val="nb"/>
        </w:rPr>
        <w:t>(Commonwealth Fund)</w:t>
      </w:r>
      <w:r w:rsidR="00D078E3">
        <w:rPr>
          <w:rFonts w:eastAsia="Calibri"/>
          <w:lang w:val="nb"/>
        </w:rPr>
        <w:fldChar w:fldCharType="end"/>
      </w:r>
      <w:r w:rsidR="00595C80">
        <w:rPr>
          <w:rFonts w:eastAsia="Calibri"/>
          <w:lang w:val="nb"/>
        </w:rPr>
        <w:t>.</w:t>
      </w:r>
      <w:r w:rsidRPr="00075C56">
        <w:rPr>
          <w:rFonts w:eastAsia="Calibri"/>
        </w:rPr>
        <w:t xml:space="preserve"> </w:t>
      </w:r>
      <w:r w:rsidRPr="00075C56">
        <w:rPr>
          <w:rFonts w:eastAsia="Calibri"/>
          <w:lang w:val="nb"/>
        </w:rPr>
        <w:t>Nettverks</w:t>
      </w:r>
      <w:r w:rsidRPr="00075C56">
        <w:rPr>
          <w:rFonts w:eastAsia="Calibri"/>
          <w:lang w:val="nb"/>
        </w:rPr>
        <w:softHyphen/>
        <w:t xml:space="preserve">gruppene forhandler med forsikringsselskapene om innhold og pris på </w:t>
      </w:r>
      <w:r w:rsidR="00D9107F">
        <w:rPr>
          <w:rFonts w:eastAsia="Calibri"/>
          <w:lang w:val="nb"/>
        </w:rPr>
        <w:t>«</w:t>
      </w:r>
      <w:r w:rsidRPr="00075C56">
        <w:rPr>
          <w:rFonts w:eastAsia="Calibri"/>
          <w:lang w:val="nb"/>
        </w:rPr>
        <w:t>pakker</w:t>
      </w:r>
      <w:r w:rsidR="00D9107F">
        <w:rPr>
          <w:rFonts w:eastAsia="Calibri"/>
          <w:lang w:val="nb"/>
        </w:rPr>
        <w:t>»</w:t>
      </w:r>
      <w:r w:rsidRPr="00075C56">
        <w:rPr>
          <w:rFonts w:eastAsia="Calibri"/>
          <w:lang w:val="nb"/>
        </w:rPr>
        <w:t xml:space="preserve"> av tjenester (</w:t>
      </w:r>
      <w:r w:rsidR="000F4BD8">
        <w:rPr>
          <w:rFonts w:eastAsia="Calibri"/>
          <w:lang w:val="nb"/>
        </w:rPr>
        <w:t>b</w:t>
      </w:r>
      <w:r w:rsidRPr="00075C56">
        <w:rPr>
          <w:rFonts w:eastAsia="Calibri"/>
          <w:lang w:val="nb"/>
        </w:rPr>
        <w:t xml:space="preserve">undled payment). De kan deretter utføre tjenestene selv, men </w:t>
      </w:r>
      <w:r w:rsidR="00E02049">
        <w:rPr>
          <w:rFonts w:eastAsia="Calibri"/>
          <w:lang w:val="nb"/>
        </w:rPr>
        <w:t xml:space="preserve">de </w:t>
      </w:r>
      <w:r w:rsidRPr="00075C56">
        <w:rPr>
          <w:rFonts w:eastAsia="Calibri"/>
          <w:lang w:val="nb"/>
        </w:rPr>
        <w:t>kan også kjøpe diverse tjenester fra ulike typer helsepersonell gjennom under</w:t>
      </w:r>
      <w:r w:rsidRPr="00075C56">
        <w:rPr>
          <w:rFonts w:eastAsia="Calibri"/>
          <w:lang w:val="nb"/>
        </w:rPr>
        <w:softHyphen/>
        <w:t xml:space="preserve">kontrakter, for eksempel med ernæringsfysiologer, øyeleger og laboratorier. </w:t>
      </w:r>
      <w:r w:rsidR="00187EBB">
        <w:rPr>
          <w:rFonts w:eastAsia="Calibri"/>
          <w:lang w:val="nb"/>
        </w:rPr>
        <w:t>B</w:t>
      </w:r>
      <w:r w:rsidRPr="00075C56">
        <w:rPr>
          <w:rFonts w:eastAsia="Calibri"/>
          <w:lang w:val="nb"/>
        </w:rPr>
        <w:t>etal</w:t>
      </w:r>
      <w:r w:rsidR="00187EBB">
        <w:rPr>
          <w:rFonts w:eastAsia="Calibri"/>
          <w:lang w:val="nb"/>
        </w:rPr>
        <w:t xml:space="preserve">ingen kan skje </w:t>
      </w:r>
      <w:r w:rsidRPr="00075C56">
        <w:rPr>
          <w:rFonts w:eastAsia="Calibri"/>
          <w:lang w:val="nb"/>
        </w:rPr>
        <w:t xml:space="preserve">i form av </w:t>
      </w:r>
      <w:r w:rsidR="000F4BD8">
        <w:rPr>
          <w:rFonts w:eastAsia="Calibri"/>
          <w:lang w:val="nb"/>
        </w:rPr>
        <w:t>aktivitetsbasert fina</w:t>
      </w:r>
      <w:r w:rsidR="00595C80">
        <w:rPr>
          <w:rFonts w:eastAsia="Calibri"/>
          <w:lang w:val="nb"/>
        </w:rPr>
        <w:t>n</w:t>
      </w:r>
      <w:r w:rsidR="000F4BD8">
        <w:rPr>
          <w:rFonts w:eastAsia="Calibri"/>
          <w:lang w:val="nb"/>
        </w:rPr>
        <w:t>siering</w:t>
      </w:r>
      <w:r w:rsidRPr="00075C56">
        <w:rPr>
          <w:rFonts w:eastAsia="Calibri"/>
          <w:lang w:val="nb"/>
        </w:rPr>
        <w:t>, fast sats eller lønn</w:t>
      </w:r>
      <w:r w:rsidR="00FA26F3">
        <w:rPr>
          <w:rFonts w:eastAsia="Calibri"/>
          <w:lang w:val="nb"/>
        </w:rPr>
        <w:t xml:space="preserve"> </w:t>
      </w:r>
      <w:r w:rsidR="00D078E3">
        <w:rPr>
          <w:rFonts w:eastAsia="Calibri"/>
          <w:lang w:val="nb"/>
        </w:rPr>
        <w:fldChar w:fldCharType="begin">
          <w:fldData xml:space="preserve">PEVuZE5vdGU+PENpdGU+PEF1dGhvcj5XaWxsaWFtczwvQXV0aG9yPjxZZWFyPjIwMjI8L1llYXI+
PFJlY051bT43NTI8L1JlY051bT48RGlzcGxheVRleHQ+KFdpbGxpYW1zLCAyMDIyKTwvRGlzcGxh
eVRleHQ+PHJlY29yZD48cmVjLW51bWJlcj43NTI8L3JlYy1udW1iZXI+PGZvcmVpZ24ta2V5cz48
a2V5IGFwcD0iRU4iIGRiLWlkPSI5NXRwcjJ0cDZyOXh3b2VhOXJiNXdkc3o1ZHM1eGVkZHRlZXci
IHRpbWVzdGFtcD0iMTY4MDA2OTUxMSI+NzUyPC9rZXk+PC9mb3JlaWduLWtleXM+PHJlZi10eXBl
IG5hbWU9IkpvdXJuYWwgQXJ0aWNsZSI+MTc8L3JlZi10eXBlPjxjb250cmlidXRvcnM+PGF1dGhv
cnM+PGF1dGhvcj5XaWxsaWFtcywgSy4gTS48L2F1dGhvcj48L2F1dGhvcnM+PC9jb250cmlidXRv
cnM+PGF1dGgtYWRkcmVzcz5XaWxsaWFtcywgS2F0aHkgTS4gVVNBRiwgRWdsaW4gQUZCLCBGbG9y
aWRhLCBVU0EuPC9hdXRoLWFkZHJlc3M+PHRpdGxlcz48dGl0bGU+U2xlZXAgcHJvdG9jb2wtVXNl
IG9mIGV2aWRlbmNlLWJhc2VkIHByYWN0aWNlIChFQlApIHRvIGltcHJvdmUgcGF0aWVudCBvdXRj
b21lcyBhbmQgcGF0aWVudCBzYXRpc2ZhY3Rpb24gd2hpbGUgaG9zcGl0YWxpemVkPC90aXRsZT48
c2Vjb25kYXJ5LXRpdGxlPldvcmxkdmlld3Mgb24gRXZpZGVuY2UtQmFzZWQgTnVyc2luZzwvc2Vj
b25kYXJ5LXRpdGxlPjxhbHQtdGl0bGU+V29ybGR2aWV3cyBFdmlkIEJhc2VkIE51cnM8L2FsdC10
aXRsZT48L3RpdGxlcz48cGVyaW9kaWNhbD48ZnVsbC10aXRsZT5Xb3JsZHZpZXdzIG9uIEV2aWRl
bmNlLUJhc2VkIE51cnNpbmc8L2Z1bGwtdGl0bGU+PGFiYnItMT5Xb3JsZHZpZXdzIEV2aWQgQmFz
ZWQgTnVyczwvYWJici0xPjwvcGVyaW9kaWNhbD48YWx0LXBlcmlvZGljYWw+PGZ1bGwtdGl0bGU+
V29ybGR2aWV3cyBvbiBFdmlkZW5jZS1CYXNlZCBOdXJzaW5nPC9mdWxsLXRpdGxlPjxhYmJyLTE+
V29ybGR2aWV3cyBFdmlkIEJhc2VkIE51cnM8L2FiYnItMT48L2FsdC1wZXJpb2RpY2FsPjxwYWdl
cz40MjMtNDI1PC9wYWdlcz48dm9sdW1lPjE5PC92b2x1bWU+PG51bWJlcj41PC9udW1iZXI+PGtl
eXdvcmRzPjxrZXl3b3JkPkV2aWRlbmNlLUJhc2VkIFByYWN0aWNlPC9rZXl3b3JkPjxrZXl3b3Jk
Pkhvc3BpdGFsaXphdGlvbjwva2V5d29yZD48a2V5d29yZD5IdW1hbnM8L2tleXdvcmQ+PGtleXdv
cmQ+Kkh5ZHJvY29kb25lPC9rZXl3b3JkPjxrZXl3b3JkPipQYXRpZW50IFNhdGlzZmFjdGlvbjwv
a2V5d29yZD48a2V5d29yZD5TbGVlcDwva2V5d29yZD48a2V5d29yZD42WUtTNFkzV1E3IChIeWRy
b2NvZG9uZSk8L2tleXdvcmQ+PC9rZXl3b3Jkcz48ZGF0ZXM+PHllYXI+MjAyMjwveWVhcj48cHVi
LWRhdGVzPjxkYXRlPk9jdDwvZGF0ZT48L3B1Yi1kYXRlcz48L2RhdGVzPjxpc2JuPjE3NDEtNjc4
NzwvaXNibj48YWNjZXNzaW9uLW51bT4zNTA0NDA1NTwvYWNjZXNzaW9uLW51bT48bGFiZWw+MTAu
MTExMS93dm4uMTI1NjI8L2xhYmVsPjx3b3JrLXR5cGU+U3lzdGVtYXRpYyBSZXZpZXc8L3dvcmst
dHlwZT48dXJscz48cmVsYXRlZC11cmxzPjx1cmw+aHR0cHM6Ly9vdmlkc3Aub3ZpZC5jb20vb3Zp
ZHdlYi5jZ2k/VD1KUyZhbXA7Q1NDPVkmYW1wO05FV1M9TiZhbXA7UEFHRT1mdWxsdGV4dCZhbXA7
RD1tZWRsJmFtcDtBTj0zNTA0NDA1NTwvdXJsPjx1cmw+aHR0cDovL29wZW51cmwuYmlic3lzLm5v
L29wZW51cmw/b3Rvb2w9aW5vaXBobGliP3NpZD1PVklEOm1lZGxpbmUmYW1wO2lkPXBtaWQ6MzUw
NDQwNTUmYW1wO2lkPWRvaToxMC4xMTExJTJGd3ZuLjEyNTYyJmFtcDtpc3NuPTE1NDUtMTAyWCZh
bXA7aXNibj0mYW1wO3ZvbHVtZT0xOSZhbXA7aXNzdWU9NSZhbXA7c3BhZ2U9NDIzJmFtcDtwYWdl
cz00MjMtNDI1JmFtcDtkYXRlPTIwMjImYW1wO3RpdGxlPVdvcmxkdmlld3Mrb24rRXZpZGVuY2Ut
QmFzZWQrTnVyc2luZyZhbXA7YXRpdGxlPVNsZWVwK3Byb3RvY29sLVVzZStvZitldmlkZW5jZS1i
YXNlZCtwcmFjdGljZSslMjhFQlAlMjkrdG8raW1wcm92ZStwYXRpZW50K291dGNvbWVzK2FuZCtw
YXRpZW50K3NhdGlzZmFjdGlvbit3aGlsZStob3NwaXRhbGl6ZWQuJmFtcDthdWxhc3Q9V2lsbGlh
bXMmYW1wO3BpZD0lM0NhdXRob3IlM0VXaWxsaWFtcytLTSUzQyUyRmF1dGhvciUzRSUzQ0FOJTNF
MzUwNDQwNTUlM0MlMkZBTiUzRSUzQ0RUJTNFSm91cm5hbCtBcnRpY2xlJTNDJTJGRFQlM0U8L3Vy
bD48L3JlbGF0ZWQtdXJscz48L3VybHM+PGVsZWN0cm9uaWMtcmVzb3VyY2UtbnVtPjEwLjExMTEv
d3ZuLjEyNTYyPC9lbGVjdHJvbmljLXJlc291cmNlLW51bT48cmVtb3RlLWRhdGFiYXNlLW5hbWU+
T3BwZ2F2ZWdsaWRuaW5nPC9yZW1vdGUtZGF0YWJhc2UtbmFtZT48cmVtb3RlLWRhdGFiYXNlLXBy
b3ZpZGVyPk92aWQgVGVjaG5vbG9naWVzPC9yZW1vdGUtZGF0YWJhc2UtcHJvdmlkZXI+PGxhbmd1
YWdlPkVuZ2xpc2g8L2xhbmd1YWdlPjwvcmVjb3JkPjwvQ2l0ZT48L0VuZE5vdGU+AG==
</w:fldData>
        </w:fldChar>
      </w:r>
      <w:r w:rsidR="00D078E3">
        <w:rPr>
          <w:rFonts w:eastAsia="Calibri"/>
          <w:lang w:val="nb"/>
        </w:rPr>
        <w:instrText xml:space="preserve"> ADDIN EN.CITE </w:instrText>
      </w:r>
      <w:r w:rsidR="00D078E3">
        <w:rPr>
          <w:rFonts w:eastAsia="Calibri"/>
          <w:lang w:val="nb"/>
        </w:rPr>
        <w:fldChar w:fldCharType="begin">
          <w:fldData xml:space="preserve">PEVuZE5vdGU+PENpdGU+PEF1dGhvcj5XaWxsaWFtczwvQXV0aG9yPjxZZWFyPjIwMjI8L1llYXI+
PFJlY051bT43NTI8L1JlY051bT48RGlzcGxheVRleHQ+KFdpbGxpYW1zLCAyMDIyKTwvRGlzcGxh
eVRleHQ+PHJlY29yZD48cmVjLW51bWJlcj43NTI8L3JlYy1udW1iZXI+PGZvcmVpZ24ta2V5cz48
a2V5IGFwcD0iRU4iIGRiLWlkPSI5NXRwcjJ0cDZyOXh3b2VhOXJiNXdkc3o1ZHM1eGVkZHRlZXci
IHRpbWVzdGFtcD0iMTY4MDA2OTUxMSI+NzUyPC9rZXk+PC9mb3JlaWduLWtleXM+PHJlZi10eXBl
IG5hbWU9IkpvdXJuYWwgQXJ0aWNsZSI+MTc8L3JlZi10eXBlPjxjb250cmlidXRvcnM+PGF1dGhv
cnM+PGF1dGhvcj5XaWxsaWFtcywgSy4gTS48L2F1dGhvcj48L2F1dGhvcnM+PC9jb250cmlidXRv
cnM+PGF1dGgtYWRkcmVzcz5XaWxsaWFtcywgS2F0aHkgTS4gVVNBRiwgRWdsaW4gQUZCLCBGbG9y
aWRhLCBVU0EuPC9hdXRoLWFkZHJlc3M+PHRpdGxlcz48dGl0bGU+U2xlZXAgcHJvdG9jb2wtVXNl
IG9mIGV2aWRlbmNlLWJhc2VkIHByYWN0aWNlIChFQlApIHRvIGltcHJvdmUgcGF0aWVudCBvdXRj
b21lcyBhbmQgcGF0aWVudCBzYXRpc2ZhY3Rpb24gd2hpbGUgaG9zcGl0YWxpemVkPC90aXRsZT48
c2Vjb25kYXJ5LXRpdGxlPldvcmxkdmlld3Mgb24gRXZpZGVuY2UtQmFzZWQgTnVyc2luZzwvc2Vj
b25kYXJ5LXRpdGxlPjxhbHQtdGl0bGU+V29ybGR2aWV3cyBFdmlkIEJhc2VkIE51cnM8L2FsdC10
aXRsZT48L3RpdGxlcz48cGVyaW9kaWNhbD48ZnVsbC10aXRsZT5Xb3JsZHZpZXdzIG9uIEV2aWRl
bmNlLUJhc2VkIE51cnNpbmc8L2Z1bGwtdGl0bGU+PGFiYnItMT5Xb3JsZHZpZXdzIEV2aWQgQmFz
ZWQgTnVyczwvYWJici0xPjwvcGVyaW9kaWNhbD48YWx0LXBlcmlvZGljYWw+PGZ1bGwtdGl0bGU+
V29ybGR2aWV3cyBvbiBFdmlkZW5jZS1CYXNlZCBOdXJzaW5nPC9mdWxsLXRpdGxlPjxhYmJyLTE+
V29ybGR2aWV3cyBFdmlkIEJhc2VkIE51cnM8L2FiYnItMT48L2FsdC1wZXJpb2RpY2FsPjxwYWdl
cz40MjMtNDI1PC9wYWdlcz48dm9sdW1lPjE5PC92b2x1bWU+PG51bWJlcj41PC9udW1iZXI+PGtl
eXdvcmRzPjxrZXl3b3JkPkV2aWRlbmNlLUJhc2VkIFByYWN0aWNlPC9rZXl3b3JkPjxrZXl3b3Jk
Pkhvc3BpdGFsaXphdGlvbjwva2V5d29yZD48a2V5d29yZD5IdW1hbnM8L2tleXdvcmQ+PGtleXdv
cmQ+Kkh5ZHJvY29kb25lPC9rZXl3b3JkPjxrZXl3b3JkPipQYXRpZW50IFNhdGlzZmFjdGlvbjwv
a2V5d29yZD48a2V5d29yZD5TbGVlcDwva2V5d29yZD48a2V5d29yZD42WUtTNFkzV1E3IChIeWRy
b2NvZG9uZSk8L2tleXdvcmQ+PC9rZXl3b3Jkcz48ZGF0ZXM+PHllYXI+MjAyMjwveWVhcj48cHVi
LWRhdGVzPjxkYXRlPk9jdDwvZGF0ZT48L3B1Yi1kYXRlcz48L2RhdGVzPjxpc2JuPjE3NDEtNjc4
NzwvaXNibj48YWNjZXNzaW9uLW51bT4zNTA0NDA1NTwvYWNjZXNzaW9uLW51bT48bGFiZWw+MTAu
MTExMS93dm4uMTI1NjI8L2xhYmVsPjx3b3JrLXR5cGU+U3lzdGVtYXRpYyBSZXZpZXc8L3dvcmst
dHlwZT48dXJscz48cmVsYXRlZC11cmxzPjx1cmw+aHR0cHM6Ly9vdmlkc3Aub3ZpZC5jb20vb3Zp
ZHdlYi5jZ2k/VD1KUyZhbXA7Q1NDPVkmYW1wO05FV1M9TiZhbXA7UEFHRT1mdWxsdGV4dCZhbXA7
RD1tZWRsJmFtcDtBTj0zNTA0NDA1NTwvdXJsPjx1cmw+aHR0cDovL29wZW51cmwuYmlic3lzLm5v
L29wZW51cmw/b3Rvb2w9aW5vaXBobGliP3NpZD1PVklEOm1lZGxpbmUmYW1wO2lkPXBtaWQ6MzUw
NDQwNTUmYW1wO2lkPWRvaToxMC4xMTExJTJGd3ZuLjEyNTYyJmFtcDtpc3NuPTE1NDUtMTAyWCZh
bXA7aXNibj0mYW1wO3ZvbHVtZT0xOSZhbXA7aXNzdWU9NSZhbXA7c3BhZ2U9NDIzJmFtcDtwYWdl
cz00MjMtNDI1JmFtcDtkYXRlPTIwMjImYW1wO3RpdGxlPVdvcmxkdmlld3Mrb24rRXZpZGVuY2Ut
QmFzZWQrTnVyc2luZyZhbXA7YXRpdGxlPVNsZWVwK3Byb3RvY29sLVVzZStvZitldmlkZW5jZS1i
YXNlZCtwcmFjdGljZSslMjhFQlAlMjkrdG8raW1wcm92ZStwYXRpZW50K291dGNvbWVzK2FuZCtw
YXRpZW50K3NhdGlzZmFjdGlvbit3aGlsZStob3NwaXRhbGl6ZWQuJmFtcDthdWxhc3Q9V2lsbGlh
bXMmYW1wO3BpZD0lM0NhdXRob3IlM0VXaWxsaWFtcytLTSUzQyUyRmF1dGhvciUzRSUzQ0FOJTNF
MzUwNDQwNTUlM0MlMkZBTiUzRSUzQ0RUJTNFSm91cm5hbCtBcnRpY2xlJTNDJTJGRFQlM0U8L3Vy
bD48L3JlbGF0ZWQtdXJscz48L3VybHM+PGVsZWN0cm9uaWMtcmVzb3VyY2UtbnVtPjEwLjExMTEv
d3ZuLjEyNTYyPC9lbGVjdHJvbmljLXJlc291cmNlLW51bT48cmVtb3RlLWRhdGFiYXNlLW5hbWU+
T3BwZ2F2ZWdsaWRuaW5nPC9yZW1vdGUtZGF0YWJhc2UtbmFtZT48cmVtb3RlLWRhdGFiYXNlLXBy
b3ZpZGVyPk92aWQgVGVjaG5vbG9naWVzPC9yZW1vdGUtZGF0YWJhc2UtcHJvdmlkZXI+PGxhbmd1
YWdlPkVuZ2xpc2g8L2xhbmd1YWdlPjwvcmVjb3JkPjwvQ2l0ZT48L0VuZE5vdGU+AG==
</w:fldData>
        </w:fldChar>
      </w:r>
      <w:r w:rsidR="00D078E3">
        <w:rPr>
          <w:rFonts w:eastAsia="Calibri"/>
          <w:lang w:val="nb"/>
        </w:rPr>
        <w:instrText xml:space="preserve"> ADDIN EN.CITE.DATA </w:instrText>
      </w:r>
      <w:r w:rsidR="00D078E3">
        <w:rPr>
          <w:rFonts w:eastAsia="Calibri"/>
          <w:lang w:val="nb"/>
        </w:rPr>
      </w:r>
      <w:r w:rsidR="00D078E3">
        <w:rPr>
          <w:rFonts w:eastAsia="Calibri"/>
          <w:lang w:val="nb"/>
        </w:rPr>
        <w:fldChar w:fldCharType="end"/>
      </w:r>
      <w:r w:rsidR="00D078E3">
        <w:rPr>
          <w:rFonts w:eastAsia="Calibri"/>
          <w:lang w:val="nb"/>
        </w:rPr>
      </w:r>
      <w:r w:rsidR="00D078E3">
        <w:rPr>
          <w:rFonts w:eastAsia="Calibri"/>
          <w:lang w:val="nb"/>
        </w:rPr>
        <w:fldChar w:fldCharType="separate"/>
      </w:r>
      <w:r w:rsidR="00D078E3">
        <w:rPr>
          <w:rFonts w:eastAsia="Calibri"/>
          <w:noProof/>
          <w:lang w:val="nb"/>
        </w:rPr>
        <w:t>(Williams, 2022)</w:t>
      </w:r>
      <w:r w:rsidR="00D078E3">
        <w:rPr>
          <w:rFonts w:eastAsia="Calibri"/>
          <w:lang w:val="nb"/>
        </w:rPr>
        <w:fldChar w:fldCharType="end"/>
      </w:r>
      <w:r w:rsidRPr="00075C56">
        <w:rPr>
          <w:rFonts w:eastAsia="Calibri"/>
          <w:lang w:val="nb"/>
        </w:rPr>
        <w:t>.</w:t>
      </w:r>
    </w:p>
    <w:p w14:paraId="6FB917DC" w14:textId="77777777" w:rsidR="00D9107F" w:rsidRDefault="00075C56" w:rsidP="00FB310D">
      <w:pPr>
        <w:rPr>
          <w:rFonts w:eastAsia="Calibri"/>
          <w:lang w:val="nb"/>
        </w:rPr>
      </w:pPr>
      <w:r w:rsidRPr="00075C56">
        <w:rPr>
          <w:rFonts w:eastAsia="Calibri"/>
          <w:lang w:val="nb"/>
        </w:rPr>
        <w:lastRenderedPageBreak/>
        <w:t xml:space="preserve">Det er en nasjonalt fastsatt separat betalingsordning når det gjelder oppfølging av pasienter med psykiske helseproblemer. Mange fastlegekontor ansetter sykepleiere og psykologer. </w:t>
      </w:r>
      <w:r w:rsidR="000C72D7">
        <w:rPr>
          <w:rFonts w:eastAsia="Calibri"/>
          <w:lang w:val="nb"/>
        </w:rPr>
        <w:t xml:space="preserve">Nederland har profesjonsnøytrale takster (se </w:t>
      </w:r>
      <w:r w:rsidR="000C72D7">
        <w:rPr>
          <w:rFonts w:eastAsia="Calibri"/>
          <w:lang w:val="nb"/>
        </w:rPr>
        <w:fldChar w:fldCharType="begin"/>
      </w:r>
      <w:r w:rsidR="000C72D7">
        <w:rPr>
          <w:rFonts w:eastAsia="Calibri"/>
          <w:lang w:val="nb"/>
        </w:rPr>
        <w:instrText xml:space="preserve"> REF _Ref130902065 \r \h </w:instrText>
      </w:r>
      <w:r w:rsidR="000C72D7">
        <w:rPr>
          <w:rFonts w:eastAsia="Calibri"/>
          <w:lang w:val="nb"/>
        </w:rPr>
      </w:r>
      <w:r w:rsidR="000C72D7">
        <w:rPr>
          <w:rFonts w:eastAsia="Calibri"/>
          <w:lang w:val="nb"/>
        </w:rPr>
        <w:fldChar w:fldCharType="end"/>
      </w:r>
      <w:r w:rsidR="00DB1D75">
        <w:rPr>
          <w:rFonts w:eastAsia="Calibri"/>
          <w:lang w:val="nb"/>
        </w:rPr>
        <w:t>)</w:t>
      </w:r>
      <w:r w:rsidR="000C72D7">
        <w:rPr>
          <w:rFonts w:eastAsia="Calibri"/>
          <w:lang w:val="nb"/>
        </w:rPr>
        <w:t>, og r</w:t>
      </w:r>
      <w:r w:rsidRPr="00075C56">
        <w:rPr>
          <w:rFonts w:eastAsia="Calibri"/>
          <w:lang w:val="nb"/>
        </w:rPr>
        <w:t>efusjon for sykepleiere ansatt i praksisen mottas av fastlegen, slik at eventuelle produktivitets</w:t>
      </w:r>
      <w:r w:rsidRPr="00075C56">
        <w:rPr>
          <w:rFonts w:eastAsia="Calibri"/>
          <w:lang w:val="nb"/>
        </w:rPr>
        <w:softHyphen/>
        <w:t>gevinster som følge av å delegere oppgaver til en sykepleier, tilfaller fastlegen.</w:t>
      </w:r>
    </w:p>
    <w:p w14:paraId="5133EECA" w14:textId="77777777" w:rsidR="00D9107F" w:rsidRDefault="00075C56" w:rsidP="00FB310D">
      <w:pPr>
        <w:rPr>
          <w:rFonts w:eastAsia="Calibri"/>
        </w:rPr>
      </w:pPr>
      <w:r w:rsidRPr="00075C56">
        <w:rPr>
          <w:rFonts w:eastAsia="Calibri"/>
        </w:rPr>
        <w:t>De siste 15 prosent av inntektene til fastlegepraksiser i Nederland er knyttet til innovasjon og prestasjonsbaserte mål (pay for performance).</w:t>
      </w:r>
    </w:p>
    <w:p w14:paraId="313EBB52" w14:textId="2AD53A8D" w:rsidR="009E25EB" w:rsidRPr="00F53177" w:rsidRDefault="009E25EB" w:rsidP="00775632">
      <w:pPr>
        <w:pStyle w:val="Overskrift2"/>
      </w:pPr>
      <w:bookmarkStart w:id="2566" w:name="_Toc126834363"/>
      <w:bookmarkStart w:id="2567" w:name="_Toc127633238"/>
      <w:bookmarkStart w:id="2568" w:name="_Toc127864524"/>
      <w:bookmarkStart w:id="2569" w:name="_Toc128238532"/>
      <w:bookmarkStart w:id="2570" w:name="_Toc128742003"/>
      <w:bookmarkStart w:id="2571" w:name="_Toc128744598"/>
      <w:bookmarkStart w:id="2572" w:name="_Toc128744817"/>
      <w:bookmarkStart w:id="2573" w:name="_Toc129630320"/>
      <w:bookmarkStart w:id="2574" w:name="_Toc130763826"/>
      <w:bookmarkStart w:id="2575" w:name="_Toc130766721"/>
      <w:bookmarkStart w:id="2576" w:name="_Toc130932122"/>
      <w:bookmarkStart w:id="2577" w:name="_Toc130934413"/>
      <w:bookmarkStart w:id="2578" w:name="_Toc130983505"/>
      <w:bookmarkStart w:id="2579" w:name="_Toc130983854"/>
      <w:bookmarkStart w:id="2580" w:name="_Toc131062167"/>
      <w:bookmarkStart w:id="2581" w:name="_Toc131062421"/>
      <w:bookmarkStart w:id="2582" w:name="_Toc131062682"/>
      <w:bookmarkStart w:id="2583" w:name="_Toc131062935"/>
      <w:bookmarkStart w:id="2584" w:name="_Toc131063712"/>
      <w:bookmarkStart w:id="2585" w:name="_Toc131064128"/>
      <w:bookmarkStart w:id="2586" w:name="_Toc131238432"/>
      <w:bookmarkStart w:id="2587" w:name="_Toc131279463"/>
      <w:bookmarkStart w:id="2588" w:name="_Toc131286875"/>
      <w:bookmarkStart w:id="2589" w:name="_Toc131281285"/>
      <w:bookmarkStart w:id="2590" w:name="_Toc131317825"/>
      <w:bookmarkStart w:id="2591" w:name="_Toc132536988"/>
      <w:r w:rsidRPr="00F53177">
        <w:t xml:space="preserve">Drøfting av elementene i </w:t>
      </w:r>
      <w:bookmarkEnd w:id="2566"/>
      <w:bookmarkEnd w:id="2567"/>
      <w:bookmarkEnd w:id="2568"/>
      <w:bookmarkEnd w:id="2569"/>
      <w:bookmarkEnd w:id="2570"/>
      <w:bookmarkEnd w:id="2571"/>
      <w:bookmarkEnd w:id="2572"/>
      <w:r w:rsidRPr="00F53177">
        <w:t>finansieringen</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4EA5189F" w14:textId="7DA29C51" w:rsidR="009E25EB" w:rsidRPr="00F53177" w:rsidRDefault="56F33994" w:rsidP="00775632">
      <w:pPr>
        <w:pStyle w:val="Overskrift3"/>
      </w:pPr>
      <w:bookmarkStart w:id="2592" w:name="_Toc126834364"/>
      <w:bookmarkStart w:id="2593" w:name="_Toc127633239"/>
      <w:bookmarkStart w:id="2594" w:name="_Toc127864525"/>
      <w:bookmarkStart w:id="2595" w:name="_Toc128238533"/>
      <w:bookmarkStart w:id="2596" w:name="_Toc128742004"/>
      <w:bookmarkStart w:id="2597" w:name="_Toc128744599"/>
      <w:bookmarkStart w:id="2598" w:name="_Toc128744818"/>
      <w:bookmarkStart w:id="2599" w:name="_Toc129630321"/>
      <w:bookmarkStart w:id="2600" w:name="_Toc130763827"/>
      <w:bookmarkStart w:id="2601" w:name="_Toc130766722"/>
      <w:bookmarkStart w:id="2602" w:name="_Toc130932123"/>
      <w:bookmarkStart w:id="2603" w:name="_Toc130934414"/>
      <w:bookmarkStart w:id="2604" w:name="_Toc130983506"/>
      <w:bookmarkStart w:id="2605" w:name="_Toc130983855"/>
      <w:bookmarkStart w:id="2606" w:name="_Toc131062168"/>
      <w:bookmarkStart w:id="2607" w:name="_Toc131062422"/>
      <w:bookmarkStart w:id="2608" w:name="_Toc131062683"/>
      <w:bookmarkStart w:id="2609" w:name="_Toc131062936"/>
      <w:bookmarkStart w:id="2610" w:name="_Toc131063713"/>
      <w:bookmarkStart w:id="2611" w:name="_Toc131064129"/>
      <w:bookmarkStart w:id="2612" w:name="_Toc131238433"/>
      <w:bookmarkStart w:id="2613" w:name="_Toc131279464"/>
      <w:bookmarkStart w:id="2614" w:name="_Toc131286876"/>
      <w:bookmarkStart w:id="2615" w:name="_Toc131281286"/>
      <w:bookmarkStart w:id="2616" w:name="_Toc131317826"/>
      <w:bookmarkStart w:id="2617" w:name="_Toc132536989"/>
      <w:r>
        <w:t>Basistilskudd vs. aktivitetsbasert finansiering</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4AA96684" w14:textId="77777777" w:rsidR="00D9107F" w:rsidRDefault="00D14AA2" w:rsidP="009E25EB">
      <w:pPr>
        <w:jc w:val="both"/>
      </w:pPr>
      <w:r>
        <w:t xml:space="preserve">Finansieringen av fastlegeordningen er et virkemiddel for å oppnå de tjenestene </w:t>
      </w:r>
      <w:r w:rsidR="00163D2A">
        <w:t xml:space="preserve">vi som samfunn </w:t>
      </w:r>
      <w:r>
        <w:t xml:space="preserve">ønsker. Finansieringsordningen bør understøtte at befolkningen får tilgang til tjenester av </w:t>
      </w:r>
      <w:r w:rsidR="003F37AE">
        <w:t xml:space="preserve">god </w:t>
      </w:r>
      <w:r>
        <w:t>kvalitet og tilgjengelighet etter behov</w:t>
      </w:r>
      <w:r w:rsidR="003E0A41">
        <w:t xml:space="preserve">, i tråd med </w:t>
      </w:r>
      <w:r w:rsidR="004907C1">
        <w:rPr>
          <w:rFonts w:ascii="Calibri" w:eastAsia="Calibri" w:hAnsi="Calibri" w:cs="Calibri"/>
        </w:rPr>
        <w:t xml:space="preserve">prioriteringene </w:t>
      </w:r>
      <w:r w:rsidR="00CA7111">
        <w:rPr>
          <w:rFonts w:ascii="Calibri" w:eastAsia="Calibri" w:hAnsi="Calibri" w:cs="Calibri"/>
        </w:rPr>
        <w:t xml:space="preserve">Stortinget </w:t>
      </w:r>
      <w:r w:rsidR="004907C1">
        <w:rPr>
          <w:rFonts w:ascii="Calibri" w:eastAsia="Calibri" w:hAnsi="Calibri" w:cs="Calibri"/>
        </w:rPr>
        <w:t xml:space="preserve">har sluttet seg til </w:t>
      </w:r>
      <w:r w:rsidR="00837F6D">
        <w:fldChar w:fldCharType="begin"/>
      </w:r>
      <w:r w:rsidR="00235862">
        <w:instrText xml:space="preserve"> ADDIN EN.CITE &lt;EndNote&gt;&lt;Cite&gt;&lt;Author&gt;Helse- og omsorgsdepartementet&lt;/Author&gt;&lt;Year&gt;2018&lt;/Year&gt;&lt;RecNum&gt;135&lt;/RecNum&gt;&lt;DisplayText&gt;(Helse- og omsorgsdepartementet, 2018, 2021b)&lt;/DisplayText&gt;&lt;record&gt;&lt;rec-number&gt;135&lt;/rec-number&gt;&lt;foreign-keys&gt;&lt;key app="EN" db-id="95tpr2tp6r9xwoea9rb5wdsz5ds5xeddteew" timestamp="1680069511"&gt;135&lt;/key&gt;&lt;/foreign-keys&gt;&lt;ref-type name="Report"&gt;27&lt;/ref-type&gt;&lt;contributors&gt;&lt;authors&gt;&lt;author&gt;Helse- og omsorgsdepartementet,&lt;/author&gt;&lt;/authors&gt;&lt;/contributors&gt;&lt;titles&gt;&lt;title&gt;NOU 2018:16. Det viktigste først: prinsipper for prioritering i den kommunale helse- og omsorgstjenesten og for offentlig finansierte tannhelsetjenester&lt;/title&gt;&lt;secondary-title&gt;Norges offentlige utredninger &lt;/secondary-title&gt;&lt;/titles&gt;&lt;keywords&gt;&lt;keyword&gt;offentlig tannpleie&lt;/keyword&gt;&lt;keyword&gt;Helse&lt;/keyword&gt;&lt;keyword&gt;Helsepolitikk&lt;/keyword&gt;&lt;keyword&gt;Helse- og omsorgstjenesteloven&lt;/keyword&gt;&lt;keyword&gt;Tannhelse&lt;/keyword&gt;&lt;/keywords&gt;&lt;dates&gt;&lt;year&gt;2018&lt;/year&gt;&lt;/dates&gt;&lt;pub-location&gt;Oslo&lt;/pub-location&gt;&lt;publisher&gt;Helse- og omsorgsdepartementet,&lt;/publisher&gt;&lt;isbn&gt;NOU 2018:16&lt;/isbn&gt;&lt;urls&gt;&lt;/urls&gt;&lt;/record&gt;&lt;/Cite&gt;&lt;Cite&gt;&lt;Author&gt;Helse- og omsorgsdepartementet&lt;/Author&gt;&lt;Year&gt;2021&lt;/Year&gt;&lt;RecNum&gt;571&lt;/RecNum&gt;&lt;record&gt;&lt;rec-number&gt;571&lt;/rec-number&gt;&lt;foreign-keys&gt;&lt;key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837F6D">
        <w:fldChar w:fldCharType="separate"/>
      </w:r>
      <w:r w:rsidR="00A841AD">
        <w:rPr>
          <w:noProof/>
        </w:rPr>
        <w:t>(Helse- og omsorgsdepartementet, 2018, 2021b)</w:t>
      </w:r>
      <w:r w:rsidR="00837F6D">
        <w:fldChar w:fldCharType="end"/>
      </w:r>
      <w:r w:rsidR="004907C1">
        <w:t xml:space="preserve">. Innenfor disse </w:t>
      </w:r>
      <w:r w:rsidR="005D5F08">
        <w:t>rammene</w:t>
      </w:r>
      <w:r w:rsidR="00136BAD">
        <w:t xml:space="preserve"> </w:t>
      </w:r>
      <w:r>
        <w:t xml:space="preserve">bør </w:t>
      </w:r>
      <w:r w:rsidR="00506D69">
        <w:t xml:space="preserve">vi tilstrebe at det finansielle systemet </w:t>
      </w:r>
      <w:r w:rsidR="0029479E">
        <w:t xml:space="preserve">belønner gode </w:t>
      </w:r>
      <w:r>
        <w:t>medisinsk</w:t>
      </w:r>
      <w:r w:rsidR="0029479E">
        <w:t>faglige</w:t>
      </w:r>
      <w:r>
        <w:t xml:space="preserve"> prioritering</w:t>
      </w:r>
      <w:r w:rsidR="00A87E9C">
        <w:t>er og vurderinger</w:t>
      </w:r>
      <w:r>
        <w:t xml:space="preserve">. Det bør også være insentiver til å utvikle effektive og gode tjenester </w:t>
      </w:r>
      <w:r w:rsidR="00946CCC">
        <w:t xml:space="preserve">for </w:t>
      </w:r>
      <w:r>
        <w:t>befolkningens behov i framtiden.</w:t>
      </w:r>
    </w:p>
    <w:p w14:paraId="448070F7" w14:textId="7406F9C8" w:rsidR="009E25EB" w:rsidRDefault="009E25EB" w:rsidP="009E25EB">
      <w:pPr>
        <w:jc w:val="both"/>
      </w:pPr>
      <w:r w:rsidRPr="608C13A0">
        <w:t xml:space="preserve">I praksis er det vanskelig eller umulig å lage finansieringsordninger uten uønskede virkninger, og legenes høye etiske og faglige standarder er derfor avgjørende for gode </w:t>
      </w:r>
      <w:r>
        <w:t xml:space="preserve">og likeverdige </w:t>
      </w:r>
      <w:r w:rsidRPr="608C13A0">
        <w:t>tjenester til innbyggerne.</w:t>
      </w:r>
    </w:p>
    <w:p w14:paraId="17299132" w14:textId="77777777" w:rsidR="00D9107F" w:rsidRDefault="009E25EB" w:rsidP="00A15BA5">
      <w:pPr>
        <w:jc w:val="both"/>
        <w:rPr>
          <w:noProof/>
        </w:rPr>
      </w:pPr>
      <w:r w:rsidRPr="608C13A0">
        <w:rPr>
          <w:rFonts w:eastAsia="Calibri"/>
        </w:rPr>
        <w:t xml:space="preserve">De ulike elementene i finansieringen har forskjellige fordeler og ulemper. </w:t>
      </w:r>
      <w:r w:rsidRPr="608C13A0">
        <w:rPr>
          <w:rFonts w:eastAsia="Segoe UI"/>
        </w:rPr>
        <w:t xml:space="preserve">Ytterpunktene er bare fast inntekt, </w:t>
      </w:r>
      <w:r w:rsidRPr="004907F4">
        <w:rPr>
          <w:noProof/>
        </w:rPr>
        <w:t>som er aktivitetsuavhengig, og full akkord, der inntekten kun er aktivitetsavhengig. I praksis og i litteraturen</w:t>
      </w:r>
      <w:r w:rsidR="28DC6892" w:rsidRPr="004907F4">
        <w:rPr>
          <w:noProof/>
        </w:rPr>
        <w:t xml:space="preserve"> </w:t>
      </w:r>
      <w:r w:rsidRPr="004907F4">
        <w:rPr>
          <w:noProof/>
        </w:rPr>
        <w:t>ser vi ofte blandede systemer</w:t>
      </w:r>
      <w:r w:rsidR="00AE714F" w:rsidRPr="004907F4">
        <w:rPr>
          <w:noProof/>
        </w:rPr>
        <w:t xml:space="preserve"> </w:t>
      </w:r>
      <w:r w:rsidR="00837F6D" w:rsidRPr="004907F4">
        <w:rPr>
          <w:noProof/>
        </w:rPr>
        <w:fldChar w:fldCharType="begin"/>
      </w:r>
      <w:r w:rsidR="00837F6D" w:rsidRPr="004907F4">
        <w:rPr>
          <w:noProof/>
        </w:rPr>
        <w:instrText xml:space="preserve"> ADDIN EN.CITE &lt;EndNote&gt;&lt;Cite&gt;&lt;Author&gt;Newhouse&lt;/Author&gt;&lt;Year&gt;1996&lt;/Year&gt;&lt;RecNum&gt;700&lt;/RecNum&gt;&lt;DisplayText&gt;(Newhouse, 1996)&lt;/DisplayText&gt;&lt;record&gt;&lt;rec-number&gt;700&lt;/rec-number&gt;&lt;foreign-keys&gt;&lt;key app="EN" db-id="95tpr2tp6r9xwoea9rb5wdsz5ds5xeddteew" timestamp="1680069511"&gt;700&lt;/key&gt;&lt;/foreign-keys&gt;&lt;ref-type name="Journal Article"&gt;17&lt;/ref-type&gt;&lt;contributors&gt;&lt;authors&gt;&lt;author&gt;Newhouse, J. P.&lt;/author&gt;&lt;/authors&gt;&lt;/contributors&gt;&lt;titles&gt;&lt;title&gt;Reimbursing Health Plans and Health Providers: Efficiency in Production Versus Selection&lt;/title&gt;&lt;secondary-title&gt;Journal of Economic Literature&lt;/secondary-title&gt;&lt;/titles&gt;&lt;periodical&gt;&lt;full-title&gt;Journal of Economic Literature&lt;/full-title&gt;&lt;/periodical&gt;&lt;pages&gt;1236-1263&lt;/pages&gt;&lt;volume&gt;34&lt;/volume&gt;&lt;number&gt;3&lt;/number&gt;&lt;dates&gt;&lt;year&gt;1996&lt;/year&gt;&lt;/dates&gt;&lt;publisher&gt;American Economic Association&lt;/publisher&gt;&lt;isbn&gt;00220515&lt;/isbn&gt;&lt;urls&gt;&lt;related-urls&gt;&lt;url&gt;http://www.jstor.org/stable/2729501&lt;/url&gt;&lt;/related-urls&gt;&lt;/urls&gt;&lt;custom1&gt;Full publication date: Sep., 1996&lt;/custom1&gt;&lt;remote-database-name&gt;JSTOR&lt;/remote-database-name&gt;&lt;access-date&gt;2023/01/03/&lt;/access-date&gt;&lt;/record&gt;&lt;/Cite&gt;&lt;/EndNote&gt;</w:instrText>
      </w:r>
      <w:r w:rsidR="00837F6D" w:rsidRPr="004907F4">
        <w:rPr>
          <w:noProof/>
        </w:rPr>
        <w:fldChar w:fldCharType="separate"/>
      </w:r>
      <w:r w:rsidR="00837F6D" w:rsidRPr="004907F4">
        <w:rPr>
          <w:noProof/>
        </w:rPr>
        <w:t>(Newhouse, 1996)</w:t>
      </w:r>
      <w:r w:rsidR="00837F6D" w:rsidRPr="004907F4">
        <w:rPr>
          <w:noProof/>
        </w:rPr>
        <w:fldChar w:fldCharType="end"/>
      </w:r>
      <w:r w:rsidRPr="004907F4">
        <w:rPr>
          <w:noProof/>
        </w:rPr>
        <w:t xml:space="preserve">, for eksempel ved at næringsdrivende fastleger gis </w:t>
      </w:r>
      <w:r w:rsidR="00CC715E" w:rsidRPr="004907F4">
        <w:rPr>
          <w:noProof/>
        </w:rPr>
        <w:t xml:space="preserve">både </w:t>
      </w:r>
      <w:r w:rsidR="006C1AA8" w:rsidRPr="004907F4">
        <w:rPr>
          <w:noProof/>
        </w:rPr>
        <w:t>noe</w:t>
      </w:r>
      <w:r w:rsidR="007854F0" w:rsidRPr="004907F4">
        <w:rPr>
          <w:noProof/>
        </w:rPr>
        <w:t>n</w:t>
      </w:r>
      <w:r w:rsidR="006C1AA8" w:rsidRPr="004907F4">
        <w:rPr>
          <w:noProof/>
        </w:rPr>
        <w:t xml:space="preserve"> </w:t>
      </w:r>
      <w:r w:rsidR="00501A05" w:rsidRPr="004907F4">
        <w:rPr>
          <w:noProof/>
        </w:rPr>
        <w:t>fast</w:t>
      </w:r>
      <w:r w:rsidR="007854F0" w:rsidRPr="004907F4">
        <w:rPr>
          <w:noProof/>
        </w:rPr>
        <w:t>e</w:t>
      </w:r>
      <w:r w:rsidR="00501A05" w:rsidRPr="004907F4">
        <w:rPr>
          <w:noProof/>
        </w:rPr>
        <w:t xml:space="preserve"> tilskudd</w:t>
      </w:r>
      <w:r w:rsidR="007E40F1" w:rsidRPr="004907F4">
        <w:rPr>
          <w:noProof/>
        </w:rPr>
        <w:t xml:space="preserve">, </w:t>
      </w:r>
      <w:r w:rsidR="00216550" w:rsidRPr="004907F4">
        <w:rPr>
          <w:noProof/>
        </w:rPr>
        <w:t xml:space="preserve">noen faste </w:t>
      </w:r>
      <w:r w:rsidR="007E40F1" w:rsidRPr="004907F4">
        <w:rPr>
          <w:noProof/>
        </w:rPr>
        <w:t>tilskudd per innbygger man har ansvar for</w:t>
      </w:r>
      <w:r w:rsidR="00501A05" w:rsidRPr="004907F4">
        <w:rPr>
          <w:noProof/>
        </w:rPr>
        <w:t xml:space="preserve"> (</w:t>
      </w:r>
      <w:r w:rsidRPr="004907F4">
        <w:rPr>
          <w:noProof/>
        </w:rPr>
        <w:t>basistilskudd</w:t>
      </w:r>
      <w:r w:rsidR="00501A05" w:rsidRPr="004907F4">
        <w:rPr>
          <w:noProof/>
        </w:rPr>
        <w:t>)</w:t>
      </w:r>
      <w:r w:rsidR="003C70FF" w:rsidRPr="004907F4">
        <w:rPr>
          <w:noProof/>
        </w:rPr>
        <w:t>,</w:t>
      </w:r>
      <w:r w:rsidRPr="004907F4">
        <w:rPr>
          <w:noProof/>
        </w:rPr>
        <w:t xml:space="preserve"> og </w:t>
      </w:r>
      <w:r w:rsidR="00501A05" w:rsidRPr="004907F4">
        <w:rPr>
          <w:noProof/>
        </w:rPr>
        <w:t>noe</w:t>
      </w:r>
      <w:r w:rsidR="007854F0" w:rsidRPr="004907F4">
        <w:rPr>
          <w:noProof/>
        </w:rPr>
        <w:t>n</w:t>
      </w:r>
      <w:r w:rsidR="00501A05" w:rsidRPr="004907F4">
        <w:rPr>
          <w:noProof/>
        </w:rPr>
        <w:t xml:space="preserve"> </w:t>
      </w:r>
      <w:r w:rsidR="00E553C6" w:rsidRPr="004907F4">
        <w:rPr>
          <w:noProof/>
        </w:rPr>
        <w:t>aktivitets</w:t>
      </w:r>
      <w:r w:rsidR="00FF67D3" w:rsidRPr="004907F4">
        <w:rPr>
          <w:noProof/>
        </w:rPr>
        <w:t xml:space="preserve">baserte </w:t>
      </w:r>
      <w:r w:rsidRPr="004907F4">
        <w:rPr>
          <w:noProof/>
        </w:rPr>
        <w:t>ytelse</w:t>
      </w:r>
      <w:r w:rsidR="00580302" w:rsidRPr="004907F4">
        <w:rPr>
          <w:noProof/>
        </w:rPr>
        <w:t>r (takster</w:t>
      </w:r>
      <w:r w:rsidR="003C70FF" w:rsidRPr="004907F4">
        <w:rPr>
          <w:noProof/>
        </w:rPr>
        <w:t xml:space="preserve"> og egenandeler</w:t>
      </w:r>
      <w:r w:rsidR="00580302" w:rsidRPr="004907F4">
        <w:rPr>
          <w:noProof/>
        </w:rPr>
        <w:t>)</w:t>
      </w:r>
      <w:r w:rsidRPr="004907F4">
        <w:rPr>
          <w:noProof/>
        </w:rPr>
        <w:t>.</w:t>
      </w:r>
      <w:r w:rsidR="00AA34C6" w:rsidRPr="004907F4">
        <w:rPr>
          <w:noProof/>
        </w:rPr>
        <w:t xml:space="preserve"> </w:t>
      </w:r>
      <w:r w:rsidR="00A12EEA" w:rsidRPr="004907F4">
        <w:rPr>
          <w:noProof/>
        </w:rPr>
        <w:t>Det er anerkjent i litteraturen at a</w:t>
      </w:r>
      <w:r w:rsidR="001170A6" w:rsidRPr="004907F4">
        <w:rPr>
          <w:noProof/>
        </w:rPr>
        <w:t xml:space="preserve">vveiningen mellom </w:t>
      </w:r>
      <w:r w:rsidR="003C70FF" w:rsidRPr="004907F4">
        <w:rPr>
          <w:noProof/>
        </w:rPr>
        <w:t xml:space="preserve">omfanget av </w:t>
      </w:r>
      <w:r w:rsidR="00574CA5" w:rsidRPr="004907F4">
        <w:rPr>
          <w:noProof/>
        </w:rPr>
        <w:t xml:space="preserve">faste </w:t>
      </w:r>
      <w:r w:rsidR="004C65FD" w:rsidRPr="004907F4">
        <w:rPr>
          <w:noProof/>
        </w:rPr>
        <w:t xml:space="preserve">og aktivitetsbaserte </w:t>
      </w:r>
      <w:r w:rsidR="00A12EEA" w:rsidRPr="004907F4">
        <w:rPr>
          <w:noProof/>
        </w:rPr>
        <w:t xml:space="preserve">ytelser </w:t>
      </w:r>
      <w:r w:rsidR="001170A6" w:rsidRPr="004907F4">
        <w:rPr>
          <w:noProof/>
        </w:rPr>
        <w:t>er vanskelig</w:t>
      </w:r>
      <w:r w:rsidR="003C70FF" w:rsidRPr="004907F4">
        <w:rPr>
          <w:noProof/>
        </w:rPr>
        <w:t>,</w:t>
      </w:r>
      <w:r w:rsidR="001170A6" w:rsidRPr="004907F4">
        <w:rPr>
          <w:noProof/>
        </w:rPr>
        <w:t xml:space="preserve"> og avhenger av en rekke forhold knyttet til pasientene, legene og helsetjenestene for øvrig</w:t>
      </w:r>
      <w:r w:rsidR="00574CA5" w:rsidRPr="004907F4">
        <w:rPr>
          <w:noProof/>
        </w:rPr>
        <w:t xml:space="preserve"> </w:t>
      </w:r>
      <w:r w:rsidR="00FC2D0A" w:rsidRPr="004907F4">
        <w:rPr>
          <w:noProof/>
        </w:rPr>
        <w:fldChar w:fldCharType="begin"/>
      </w:r>
      <w:r w:rsidR="00856689" w:rsidRPr="004907F4">
        <w:rPr>
          <w:noProof/>
        </w:rPr>
        <w:instrText xml:space="preserve"> ADDIN EN.CITE &lt;EndNote&gt;&lt;Cite&gt;&lt;Author&gt;Zweifel&lt;/Author&gt;&lt;Year&gt;2009&lt;/Year&gt;&lt;RecNum&gt;618&lt;/RecNum&gt;&lt;DisplayText&gt;(Zweifel et al., 2009)&lt;/DisplayText&gt;&lt;record&gt;&lt;rec-number&gt;618&lt;/rec-number&gt;&lt;foreign-keys&gt;&lt;key app="EN" db-id="95tpr2tp6r9xwoea9rb5wdsz5ds5xeddteew" timestamp="1680069511"&gt;618&lt;/key&gt;&lt;/foreign-keys&gt;&lt;ref-type name="Book Section"&gt;5&lt;/ref-type&gt;&lt;contributors&gt;&lt;authors&gt;&lt;author&gt;Zweifel, Peter&lt;/author&gt;&lt;author&gt;Breyer, Friedrich&lt;/author&gt;&lt;author&gt;Kifmann, Mathias&lt;/author&gt;&lt;/authors&gt;&lt;secondary-authors&gt;&lt;author&gt;Zweifel, Peter&lt;/author&gt;&lt;author&gt;Breyer, Friedrich&lt;/author&gt;&lt;author&gt;Kifmann, Mathias&lt;/author&gt;&lt;/secondary-authors&gt;&lt;/contributors&gt;&lt;titles&gt;&lt;title&gt;Paying Providers&lt;/title&gt;&lt;secondary-title&gt;Health Economics&lt;/secondary-title&gt;&lt;/titles&gt;&lt;periodical&gt;&lt;full-title&gt;Health Economics&lt;/full-title&gt;&lt;abbr-1&gt;Health Econ&lt;/abbr-1&gt;&lt;/periodical&gt;&lt;pages&gt;331-377&lt;/pages&gt;&lt;dates&gt;&lt;year&gt;2009&lt;/year&gt;&lt;pub-dates&gt;&lt;date&gt;2009//&lt;/date&gt;&lt;/pub-dates&gt;&lt;/dates&gt;&lt;pub-location&gt;Berlin, Heidelberg&lt;/pub-location&gt;&lt;publisher&gt;Springer Berlin Heidelberg&lt;/publisher&gt;&lt;isbn&gt;978-3-540-68540-1&lt;/isbn&gt;&lt;urls&gt;&lt;related-urls&gt;&lt;url&gt;https://doi.org/10.1007/978-3-540-68540-1_10&lt;/url&gt;&lt;/related-urls&gt;&lt;/urls&gt;&lt;electronic-resource-num&gt;10.1007/978-3-540-68540-1_10&lt;/electronic-resource-num&gt;&lt;/record&gt;&lt;/Cite&gt;&lt;/EndNote&gt;</w:instrText>
      </w:r>
      <w:r w:rsidR="00FC2D0A" w:rsidRPr="004907F4">
        <w:rPr>
          <w:noProof/>
        </w:rPr>
        <w:fldChar w:fldCharType="separate"/>
      </w:r>
      <w:r w:rsidR="00856689" w:rsidRPr="004907F4">
        <w:rPr>
          <w:noProof/>
        </w:rPr>
        <w:t>(Zweifel et al., 2009)</w:t>
      </w:r>
      <w:r w:rsidR="00FC2D0A" w:rsidRPr="004907F4">
        <w:rPr>
          <w:noProof/>
        </w:rPr>
        <w:fldChar w:fldCharType="end"/>
      </w:r>
      <w:r w:rsidR="00FC2D0A" w:rsidRPr="004907F4">
        <w:rPr>
          <w:noProof/>
        </w:rPr>
        <w:t>.</w:t>
      </w:r>
    </w:p>
    <w:p w14:paraId="47FFBE89" w14:textId="5FCEAF57" w:rsidR="00151346" w:rsidRPr="004907F4" w:rsidRDefault="00EB2791" w:rsidP="004907F4">
      <w:pPr>
        <w:jc w:val="both"/>
      </w:pPr>
      <w:r w:rsidRPr="004907F4">
        <w:t xml:space="preserve">Den aktivitetsbaserte finansieringen stimulerer til </w:t>
      </w:r>
      <w:r w:rsidR="00BC1D1B" w:rsidRPr="004907F4">
        <w:t xml:space="preserve">mange </w:t>
      </w:r>
      <w:r w:rsidRPr="004907F4">
        <w:t>konsultasjoner</w:t>
      </w:r>
      <w:r w:rsidR="00BC1D1B" w:rsidRPr="004907F4">
        <w:t xml:space="preserve"> og andre aktiviteter</w:t>
      </w:r>
      <w:r w:rsidR="00D90E3D" w:rsidRPr="004907F4">
        <w:t>.</w:t>
      </w:r>
      <w:r w:rsidR="00837F6D" w:rsidRPr="004907F4">
        <w:rPr>
          <w:noProof/>
        </w:rPr>
        <w:t xml:space="preserve"> </w:t>
      </w:r>
      <w:r w:rsidR="00D90E3D" w:rsidRPr="004907F4">
        <w:t>D</w:t>
      </w:r>
      <w:r w:rsidRPr="004907F4">
        <w:t>et er mulig at mange pasienter kunne fått det de trengte på annet vis. Det k</w:t>
      </w:r>
      <w:r w:rsidR="00883174" w:rsidRPr="004907F4">
        <w:t>unne</w:t>
      </w:r>
      <w:r w:rsidRPr="004907F4">
        <w:t xml:space="preserve"> være i form av en nettside</w:t>
      </w:r>
      <w:r w:rsidR="00D87675" w:rsidRPr="004907F4">
        <w:t xml:space="preserve"> med god informasjon</w:t>
      </w:r>
      <w:r w:rsidRPr="004907F4">
        <w:t>, en robot</w:t>
      </w:r>
      <w:r w:rsidR="003C70FF" w:rsidRPr="004907F4">
        <w:t>,</w:t>
      </w:r>
      <w:r w:rsidRPr="004907F4">
        <w:t xml:space="preserve"> eller en chatte-</w:t>
      </w:r>
      <w:r w:rsidR="00EF6FE8" w:rsidRPr="004907F4">
        <w:t>, video-</w:t>
      </w:r>
      <w:r w:rsidRPr="004907F4">
        <w:t xml:space="preserve"> eller svartjeneste på telefon. De næringsdrivende fastlegene har imidlertid </w:t>
      </w:r>
      <w:r w:rsidR="00CF0AEA" w:rsidRPr="004907F4">
        <w:t xml:space="preserve">få </w:t>
      </w:r>
      <w:r w:rsidRPr="004907F4">
        <w:t xml:space="preserve">insentiver til å bruke tid og krefter til å utvikle slike informasjonskilder, for de vil da – på kort sikt – måtte forsake konsultasjoner med inntjening, og dessuten vil de på lang sikt – hvis informasjonskilden blir så god at den reduserer innbyggernes behov for konsultasjoner </w:t>
      </w:r>
      <w:r w:rsidR="0093302A" w:rsidRPr="004907F4">
        <w:t>–</w:t>
      </w:r>
      <w:r w:rsidRPr="004907F4">
        <w:t xml:space="preserve"> </w:t>
      </w:r>
      <w:r w:rsidR="0093302A" w:rsidRPr="004907F4">
        <w:t>kunne</w:t>
      </w:r>
      <w:r w:rsidRPr="004907F4">
        <w:t xml:space="preserve"> redusere inntektsgrunnlaget.</w:t>
      </w:r>
    </w:p>
    <w:p w14:paraId="3F2B8E36" w14:textId="30328241" w:rsidR="007106F0" w:rsidRPr="004907F4" w:rsidRDefault="00EB2791" w:rsidP="004907F4">
      <w:pPr>
        <w:jc w:val="both"/>
      </w:pPr>
      <w:r w:rsidRPr="004907F4">
        <w:t xml:space="preserve">Giftinformasjonen </w:t>
      </w:r>
      <w:r w:rsidR="002E032D" w:rsidRPr="004907F4">
        <w:t>ved Folkehelseinstituttet</w:t>
      </w:r>
      <w:r w:rsidRPr="004907F4">
        <w:t xml:space="preserve"> er et eksempel på en tjeneste som ikke har aktivitetsfinansiering. Den er døgnåpen, og mottar telefoner om forgiftninger fra helsepersonell </w:t>
      </w:r>
      <w:r w:rsidRPr="004907F4">
        <w:lastRenderedPageBreak/>
        <w:t xml:space="preserve">og befolkningen for øvrig. For å unngå unødige telefoner, legger giftinformasjonen stor vekt på oversiktlige og gode nettsider. Og når de får mange telefoner om en ny tematikk, prioriterer de å forbedre nettsidene for å veilede helsepersonell og befolkningen. Når veiledningen lykkes, får de færre telefoner, som igjen innebærer at de frigjør tid til faglig oppdatering og forbedrede nettsider. Det blir en god sirkel. For en </w:t>
      </w:r>
      <w:r w:rsidR="00A22722" w:rsidRPr="004907F4">
        <w:t>næringsdrivende</w:t>
      </w:r>
      <w:r w:rsidRPr="004907F4">
        <w:t xml:space="preserve"> fastlege derimot, ville en slik god sirkel redusere den aktivitetsbaserte delen av inntjeningen, særlig på kort sikt, </w:t>
      </w:r>
      <w:r>
        <w:t>men muligens også på lang sikt.</w:t>
      </w:r>
    </w:p>
    <w:p w14:paraId="335004BE" w14:textId="4F0593CD" w:rsidR="00816BD9" w:rsidRPr="004907F4" w:rsidRDefault="00EB2791" w:rsidP="004907F4">
      <w:pPr>
        <w:jc w:val="both"/>
      </w:pPr>
      <w:r w:rsidRPr="004907F4">
        <w:t xml:space="preserve">Den aktivitetsbaserte finansieringen </w:t>
      </w:r>
      <w:r w:rsidR="00B26F02" w:rsidRPr="004907F4">
        <w:t xml:space="preserve">i Norge </w:t>
      </w:r>
      <w:r w:rsidR="001B33BD" w:rsidRPr="004907F4">
        <w:t>stimulerer altså ikk</w:t>
      </w:r>
      <w:r w:rsidR="00B9240C" w:rsidRPr="004907F4">
        <w:t>e</w:t>
      </w:r>
      <w:r w:rsidR="001B33BD" w:rsidRPr="004907F4">
        <w:t xml:space="preserve"> </w:t>
      </w:r>
      <w:r w:rsidR="008C0F01" w:rsidRPr="004907F4">
        <w:t xml:space="preserve">fastlegene </w:t>
      </w:r>
      <w:r w:rsidR="001B33BD" w:rsidRPr="004907F4">
        <w:t xml:space="preserve">til </w:t>
      </w:r>
      <w:r w:rsidRPr="004907F4">
        <w:t xml:space="preserve">å </w:t>
      </w:r>
      <w:r w:rsidR="0066358E" w:rsidRPr="004907F4">
        <w:t xml:space="preserve">bruke tid på </w:t>
      </w:r>
      <w:r w:rsidR="00082676" w:rsidRPr="004907F4">
        <w:t>innovasjon og utvikling av tjenesten</w:t>
      </w:r>
      <w:r w:rsidR="0082571C" w:rsidRPr="004907F4">
        <w:t>.</w:t>
      </w:r>
      <w:r w:rsidR="007B7DC6" w:rsidRPr="004907F4">
        <w:t xml:space="preserve"> </w:t>
      </w:r>
      <w:r w:rsidRPr="004907F4">
        <w:t xml:space="preserve">Fastlegetjenesten til SiO Helse orienterte </w:t>
      </w:r>
      <w:r w:rsidR="00414540" w:rsidRPr="004907F4">
        <w:t>ekspert</w:t>
      </w:r>
      <w:r w:rsidRPr="004907F4">
        <w:t xml:space="preserve">utvalget om et prosjekt for å fremme testing av smittsomme kjønnssykdommer, der listeinnbyggeren selv kunne booke time for å avgi en urin- eller </w:t>
      </w:r>
      <w:r w:rsidR="000832E3" w:rsidRPr="004907F4">
        <w:t>vaginal</w:t>
      </w:r>
      <w:r w:rsidRPr="004907F4">
        <w:t>prøve til SiOs laboratorie, og motta svar, uten at fastlegen var involvert. SiO utviklet en tilsvarende løsning for prøver og prøvesvar for SARS-CoV-2. Prosjektet økte testingen betydelig, det reduserte behovet for fastlegekonsultasjoner mye, men dermed falt også inntjeningen til SiOs fastlegetjeneste. Sett kun fra fastlegens perspektiv</w:t>
      </w:r>
      <w:r w:rsidR="00EE614A" w:rsidRPr="004907F4">
        <w:t>,</w:t>
      </w:r>
      <w:r w:rsidRPr="004907F4">
        <w:t xml:space="preserve"> vil det å sette av tid til et slikt prosjekt innebære reduksjon i inntjeningen, særlig på kort sikt. Dette kan knyttes til reduksjon i antall konsultasjoner, men også tid brukt til planlegging av prosjektet før iverksetting, </w:t>
      </w:r>
      <w:r w:rsidR="00F56B92" w:rsidRPr="004907F4">
        <w:t xml:space="preserve">fjerner </w:t>
      </w:r>
      <w:r w:rsidRPr="004907F4">
        <w:t xml:space="preserve">tid fra pasientrettet, </w:t>
      </w:r>
      <w:r w:rsidR="00930D48" w:rsidRPr="004907F4">
        <w:t xml:space="preserve">takstgenererende </w:t>
      </w:r>
      <w:r w:rsidRPr="004907F4">
        <w:t xml:space="preserve">arbeid. Når man inntar perspektivet til SiOs eier – studentene i Oslo – har prosjektet spart </w:t>
      </w:r>
      <w:r w:rsidR="0019512F" w:rsidRPr="004907F4">
        <w:t xml:space="preserve">studenter og leger for </w:t>
      </w:r>
      <w:r w:rsidR="004208B4" w:rsidRPr="004907F4">
        <w:t xml:space="preserve">tid brukt på </w:t>
      </w:r>
      <w:r w:rsidR="00671A91" w:rsidRPr="004907F4">
        <w:t>unødvendig</w:t>
      </w:r>
      <w:r w:rsidR="009B651B" w:rsidRPr="004907F4">
        <w:t>e</w:t>
      </w:r>
      <w:r w:rsidR="00671A91" w:rsidRPr="004907F4">
        <w:t xml:space="preserve"> </w:t>
      </w:r>
      <w:r w:rsidRPr="004907F4">
        <w:t xml:space="preserve">konsultasjoner, og det har sannsynligvis </w:t>
      </w:r>
      <w:r w:rsidR="004208B4" w:rsidRPr="004907F4">
        <w:t xml:space="preserve">samtidig </w:t>
      </w:r>
      <w:r w:rsidRPr="004907F4">
        <w:t>bidra</w:t>
      </w:r>
      <w:r>
        <w:t>tt til mindre smittespredning.</w:t>
      </w:r>
      <w:r w:rsidR="00D9107F">
        <w:t xml:space="preserve"> </w:t>
      </w:r>
    </w:p>
    <w:p w14:paraId="0314615A" w14:textId="77777777" w:rsidR="00D9107F" w:rsidRDefault="004F7636" w:rsidP="004907F4">
      <w:pPr>
        <w:jc w:val="both"/>
      </w:pPr>
      <w:r w:rsidRPr="004907F4">
        <w:t xml:space="preserve">Mye </w:t>
      </w:r>
      <w:r w:rsidR="00C01D59" w:rsidRPr="004907F4">
        <w:t>a</w:t>
      </w:r>
      <w:r w:rsidR="00425676" w:rsidRPr="004907F4">
        <w:t xml:space="preserve">ktivitetsbasert finansiering </w:t>
      </w:r>
      <w:r w:rsidR="008D419F">
        <w:t>gi</w:t>
      </w:r>
      <w:r>
        <w:t>r altså</w:t>
      </w:r>
      <w:r w:rsidR="008D419F">
        <w:t xml:space="preserve"> insitamenter til å yte tjenester</w:t>
      </w:r>
      <w:r w:rsidR="000241BD">
        <w:t xml:space="preserve"> nå</w:t>
      </w:r>
      <w:r w:rsidR="008D419F">
        <w:t xml:space="preserve">, eller til å innrette praksis til å generere mye av de mest innbringende takstene, uten at dette nødvendigvis gir </w:t>
      </w:r>
      <w:r w:rsidR="000241BD">
        <w:t>de beste tjenestene</w:t>
      </w:r>
      <w:r w:rsidR="00EF1F2B">
        <w:t>.</w:t>
      </w:r>
    </w:p>
    <w:p w14:paraId="2D623681" w14:textId="77777777" w:rsidR="00D9107F" w:rsidRDefault="006F2D91" w:rsidP="004907F4">
      <w:pPr>
        <w:jc w:val="both"/>
      </w:pPr>
      <w:r w:rsidRPr="004907F4">
        <w:t>En viktig del av fastlegens rolle er å si nei til undersøkelser og henvisninger som er formålsløse</w:t>
      </w:r>
      <w:r w:rsidR="003C70FF" w:rsidRPr="004907F4">
        <w:t>,</w:t>
      </w:r>
      <w:r w:rsidRPr="004907F4">
        <w:t xml:space="preserve"> eller som kan påføre pasienten helseskade. </w:t>
      </w:r>
      <w:r w:rsidR="00714B06" w:rsidRPr="004907F4">
        <w:t>I forskningslitteraturen er d</w:t>
      </w:r>
      <w:r w:rsidRPr="004907F4">
        <w:t xml:space="preserve">et bred enighet om at underdiagnostikk og underbehandling er et problem, men </w:t>
      </w:r>
      <w:r w:rsidR="00714B06" w:rsidRPr="004907F4">
        <w:t xml:space="preserve">også at </w:t>
      </w:r>
      <w:r w:rsidRPr="004907F4">
        <w:t>overdiagnostikk og overbehandling er et større problem i omfang</w:t>
      </w:r>
      <w:r w:rsidR="003C70FF" w:rsidRPr="004907F4">
        <w:t>,</w:t>
      </w:r>
      <w:r w:rsidRPr="004907F4">
        <w:t xml:space="preserve"> fordi langt flere utsettes for dette.</w:t>
      </w:r>
      <w:r w:rsidR="00683835" w:rsidRPr="004907F4">
        <w:t xml:space="preserve"> </w:t>
      </w:r>
      <w:r w:rsidR="00210D40" w:rsidRPr="004907F4">
        <w:t>Helsepersonellkommisjonen</w:t>
      </w:r>
      <w:r w:rsidR="00B22225" w:rsidRPr="004907F4">
        <w:t xml:space="preserve"> </w:t>
      </w:r>
      <w:r w:rsidR="0015645E">
        <w:fldChar w:fldCharType="begin"/>
      </w:r>
      <w:r w:rsidR="0015645E">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15645E">
        <w:fldChar w:fldCharType="separate"/>
      </w:r>
      <w:r w:rsidR="0015645E">
        <w:rPr>
          <w:noProof/>
        </w:rPr>
        <w:t>(Helse- og omsorgsdepartementet, 2023c)</w:t>
      </w:r>
      <w:r w:rsidR="0015645E">
        <w:fldChar w:fldCharType="end"/>
      </w:r>
      <w:r w:rsidR="00B22225" w:rsidRPr="004907F4">
        <w:t xml:space="preserve"> </w:t>
      </w:r>
      <w:r w:rsidR="00CB7B7D" w:rsidRPr="004907F4">
        <w:t xml:space="preserve">viser eksempelvis til </w:t>
      </w:r>
      <w:r w:rsidR="00C934B9" w:rsidRPr="004907F4">
        <w:t>OECD, som anslo at 10–34 prosent av helseutgiftene i OECD-landene er brukt på uheldige eller bortkastede helsetjenester</w:t>
      </w:r>
      <w:r w:rsidR="00416161" w:rsidRPr="004907F4">
        <w:t xml:space="preserve"> </w:t>
      </w:r>
      <w:r w:rsidR="00A841AD" w:rsidRPr="004907F4">
        <w:fldChar w:fldCharType="begin"/>
      </w:r>
      <w:r w:rsidR="004654FD">
        <w:instrText xml:space="preserve"> ADDIN EN.CITE &lt;EndNote&gt;&lt;Cite&gt;&lt;Author&gt;OECD&lt;/Author&gt;&lt;Year&gt;2017&lt;/Year&gt;&lt;RecNum&gt;1016&lt;/RecNum&gt;&lt;DisplayText&gt;(OECD, 2017)&lt;/DisplayText&gt;&lt;record&gt;&lt;rec-number&gt;1016&lt;/rec-number&gt;&lt;foreign-keys&gt;&lt;key app="EN" db-id="95tpr2tp6r9xwoea9rb5wdsz5ds5xeddteew" timestamp="1681131770"&gt;1016&lt;/key&gt;&lt;/foreign-keys&gt;&lt;ref-type name="Report"&gt;27&lt;/ref-type&gt;&lt;contributors&gt;&lt;authors&gt;&lt;author&gt;OECD&lt;/author&gt;&lt;/authors&gt;&lt;tertiary-authors&gt;&lt;author&gt;OECD Publishing,&lt;/author&gt;&lt;/tertiary-authors&gt;&lt;/contributors&gt;&lt;titles&gt;&lt;title&gt;Tackling Wasteful Spending on Health&lt;/title&gt;&lt;/titles&gt;&lt;dates&gt;&lt;year&gt;2017&lt;/year&gt;&lt;/dates&gt;&lt;pub-location&gt;Paris&lt;/pub-location&gt;&lt;urls&gt;&lt;/urls&gt;&lt;/record&gt;&lt;/Cite&gt;&lt;/EndNote&gt;</w:instrText>
      </w:r>
      <w:r w:rsidR="00A841AD" w:rsidRPr="004907F4">
        <w:fldChar w:fldCharType="separate"/>
      </w:r>
      <w:r w:rsidR="00A841AD" w:rsidRPr="004907F4">
        <w:rPr>
          <w:noProof/>
        </w:rPr>
        <w:t>(OECD, 2017)</w:t>
      </w:r>
      <w:r w:rsidR="00A841AD" w:rsidRPr="004907F4">
        <w:fldChar w:fldCharType="end"/>
      </w:r>
      <w:r w:rsidR="00C934B9" w:rsidRPr="004907F4">
        <w:t xml:space="preserve">. </w:t>
      </w:r>
      <w:r w:rsidR="001E432F" w:rsidRPr="004907F4">
        <w:t>En studie estimerte</w:t>
      </w:r>
      <w:r w:rsidR="0046252F" w:rsidRPr="004907F4">
        <w:t xml:space="preserve"> </w:t>
      </w:r>
      <w:r w:rsidR="00C934B9" w:rsidRPr="004907F4">
        <w:t xml:space="preserve">at 20 prosent av samlede helseutgifter i USA er bortkastet, men </w:t>
      </w:r>
      <w:r w:rsidR="003F447A" w:rsidRPr="004907F4">
        <w:t xml:space="preserve">har </w:t>
      </w:r>
      <w:r w:rsidR="00C934B9" w:rsidRPr="004907F4">
        <w:t xml:space="preserve">antydet at omfanget kan </w:t>
      </w:r>
      <w:r w:rsidR="0046252F" w:rsidRPr="004907F4">
        <w:t xml:space="preserve">være </w:t>
      </w:r>
      <w:r w:rsidR="00C934B9" w:rsidRPr="004907F4">
        <w:t>nærme</w:t>
      </w:r>
      <w:r w:rsidR="0046252F" w:rsidRPr="004907F4">
        <w:t>re</w:t>
      </w:r>
      <w:r w:rsidR="00C934B9" w:rsidRPr="004907F4">
        <w:t xml:space="preserve"> 50 prosent</w:t>
      </w:r>
      <w:r w:rsidR="001E432F" w:rsidRPr="004907F4">
        <w:t xml:space="preserve"> </w:t>
      </w:r>
      <w:r w:rsidR="00D078E3" w:rsidRPr="004907F4">
        <w:fldChar w:fldCharType="begin"/>
      </w:r>
      <w:r w:rsidR="00856689" w:rsidRPr="004907F4">
        <w:instrText xml:space="preserve"> ADDIN EN.CITE &lt;EndNote&gt;&lt;Cite&gt;&lt;Author&gt;Berwick&lt;/Author&gt;&lt;Year&gt;2012&lt;/Year&gt;&lt;RecNum&gt;911&lt;/RecNum&gt;&lt;DisplayText&gt;(Berwick et al., 2012)&lt;/DisplayText&gt;&lt;record&gt;&lt;rec-number&gt;911&lt;/rec-number&gt;&lt;foreign-keys&gt;&lt;key app="EN" db-id="95tpr2tp6r9xwoea9rb5wdsz5ds5xeddteew" timestamp="1680154031"&gt;911&lt;/key&gt;&lt;/foreign-keys&gt;&lt;ref-type name="Journal Article"&gt;17&lt;/ref-type&gt;&lt;contributors&gt;&lt;authors&gt;&lt;author&gt;Berwick, D.M.&lt;/author&gt;&lt;author&gt;Hackbarth, A.D.&lt;/author&gt;&lt;/authors&gt;&lt;/contributors&gt;&lt;titles&gt;&lt;title&gt;Eliminating Waste in US Health Care&lt;/title&gt;&lt;secondary-title&gt;JAMA Network Open&lt;/secondary-title&gt;&lt;/titles&gt;&lt;periodical&gt;&lt;full-title&gt;JAMA Network Open&lt;/full-title&gt;&lt;abbr-1&gt;JAMA netw&lt;/abbr-1&gt;&lt;/periodical&gt;&lt;pages&gt;1513– 1516&lt;/pages&gt;&lt;volume&gt;14&lt;/volume&gt;&lt;number&gt;207&lt;/number&gt;&lt;dates&gt;&lt;year&gt;2012&lt;/year&gt;&lt;/dates&gt;&lt;urls&gt;&lt;/urls&gt;&lt;/record&gt;&lt;/Cite&gt;&lt;/EndNote&gt;</w:instrText>
      </w:r>
      <w:r w:rsidR="00D078E3" w:rsidRPr="004907F4">
        <w:fldChar w:fldCharType="separate"/>
      </w:r>
      <w:r w:rsidR="00856689" w:rsidRPr="004907F4">
        <w:t>(Berwick et al., 2012)</w:t>
      </w:r>
      <w:r w:rsidR="00D078E3" w:rsidRPr="004907F4">
        <w:fldChar w:fldCharType="end"/>
      </w:r>
      <w:r w:rsidR="00C934B9" w:rsidRPr="004907F4">
        <w:t>.</w:t>
      </w:r>
      <w:r w:rsidR="00B97A84" w:rsidRPr="004907F4">
        <w:t xml:space="preserve"> Ebell mfl. anslår i en litteraturgjennomgang at bare 18 prosent av beslutningene i allmennpraksis er fundert på solid vitenskapelig dokumentasjon</w:t>
      </w:r>
      <w:r w:rsidR="00764196" w:rsidRPr="004907F4">
        <w:t xml:space="preserve"> </w:t>
      </w:r>
      <w:r w:rsidR="00D078E3" w:rsidRPr="004907F4">
        <w:fldChar w:fldCharType="begin"/>
      </w:r>
      <w:r w:rsidR="00856689" w:rsidRPr="004907F4">
        <w:instrText xml:space="preserve"> ADDIN EN.CITE &lt;EndNote&gt;&lt;Cite&gt;&lt;Author&gt;Ebell&lt;/Author&gt;&lt;Year&gt;2017&lt;/Year&gt;&lt;RecNum&gt;912&lt;/RecNum&gt;&lt;DisplayText&gt;(Ebell et al., 2017)&lt;/DisplayText&gt;&lt;record&gt;&lt;rec-number&gt;912&lt;/rec-number&gt;&lt;foreign-keys&gt;&lt;key app="EN" db-id="95tpr2tp6r9xwoea9rb5wdsz5ds5xeddteew" timestamp="1680154162"&gt;912&lt;/key&gt;&lt;/foreign-keys&gt;&lt;ref-type name="Journal Article"&gt;17&lt;/ref-type&gt;&lt;contributors&gt;&lt;authors&gt;&lt;author&gt;Ebell, M.H.&lt;/author&gt;&lt;author&gt;Sokol,, R.&lt;/author&gt;&lt;author&gt;Lee, A. &lt;/author&gt;&lt;author&gt;Simons, C.&lt;/author&gt;&lt;author&gt;Early, J.&lt;/author&gt;&lt;/authors&gt;&lt;/contributors&gt;&lt;titles&gt;&lt;title&gt;How good is the evidence to support primary care practice?&lt;/title&gt;&lt;secondary-title&gt;Evid Based Med&lt;/secondary-title&gt;&lt;/titles&gt;&lt;periodical&gt;&lt;full-title&gt;Evid Based Med&lt;/full-title&gt;&lt;/periodical&gt;&lt;pages&gt;88–92&lt;/pages&gt;&lt;volume&gt;22&lt;/volume&gt;&lt;number&gt;3&lt;/number&gt;&lt;dates&gt;&lt;year&gt;2017&lt;/year&gt;&lt;/dates&gt;&lt;urls&gt;&lt;/urls&gt;&lt;/record&gt;&lt;/Cite&gt;&lt;/EndNote&gt;</w:instrText>
      </w:r>
      <w:r w:rsidR="00D078E3" w:rsidRPr="004907F4">
        <w:fldChar w:fldCharType="separate"/>
      </w:r>
      <w:r w:rsidR="00856689" w:rsidRPr="004907F4">
        <w:t>(Ebell et al., 2017)</w:t>
      </w:r>
      <w:r w:rsidR="00D078E3" w:rsidRPr="004907F4">
        <w:fldChar w:fldCharType="end"/>
      </w:r>
      <w:r w:rsidR="00B97A84" w:rsidRPr="004907F4">
        <w:t>.</w:t>
      </w:r>
      <w:r w:rsidR="00D85937" w:rsidRPr="004907F4">
        <w:t xml:space="preserve"> </w:t>
      </w:r>
      <w:r w:rsidR="00A4038D" w:rsidRPr="004907F4">
        <w:t>Også i Norge har det d</w:t>
      </w:r>
      <w:r w:rsidR="00D85937" w:rsidRPr="004907F4">
        <w:t xml:space="preserve">e siste årene </w:t>
      </w:r>
      <w:r w:rsidR="00A4038D" w:rsidRPr="004907F4">
        <w:t xml:space="preserve">vært </w:t>
      </w:r>
      <w:r w:rsidR="00D85937" w:rsidRPr="004907F4">
        <w:t xml:space="preserve">økt fokus på </w:t>
      </w:r>
      <w:r w:rsidR="00C85F8F" w:rsidRPr="004907F4">
        <w:t xml:space="preserve">medisinsk </w:t>
      </w:r>
      <w:r w:rsidR="00042A4C" w:rsidRPr="004907F4">
        <w:t>overaktivitet</w:t>
      </w:r>
      <w:r w:rsidR="00C85F8F" w:rsidRPr="004907F4">
        <w:t xml:space="preserve"> </w:t>
      </w:r>
      <w:r w:rsidR="00C85F8F" w:rsidRPr="004907F4">
        <w:fldChar w:fldCharType="begin"/>
      </w:r>
      <w:r w:rsidR="004654FD">
        <w:instrText xml:space="preserve"> ADDIN EN.CITE &lt;EndNote&gt;&lt;Cite&gt;&lt;Author&gt;Førland&lt;/Author&gt;&lt;Year&gt;2019&lt;/Year&gt;&lt;RecNum&gt;856&lt;/RecNum&gt;&lt;DisplayText&gt;(Førland et al., 2019)&lt;/DisplayText&gt;&lt;record&gt;&lt;rec-number&gt;856&lt;/rec-number&gt;&lt;foreign-keys&gt;&lt;key app="EN" db-id="95tpr2tp6r9xwoea9rb5wdsz5ds5xeddteew" timestamp="1680069511"&gt;856&lt;/key&gt;&lt;/foreign-keys&gt;&lt;ref-type name="Report"&gt;27&lt;/ref-type&gt;&lt;contributors&gt;&lt;authors&gt;&lt;author&gt;Oddvar Førland&lt;/author&gt;&lt;author&gt;Hanne Marie Rostad&lt;/author&gt;&lt;/authors&gt;&lt;tertiary-authors&gt;&lt;author&gt;Senter for omsorgsforskning,&lt;/author&gt;&lt;/tertiary-authors&gt;&lt;/contributors&gt;&lt;titles&gt;&lt;title&gt;Variasjon og uønsket variasjon i kvalitet i omsorgstjenestene : en kunnskapsoppsummering&lt;/title&gt;&lt;secondary-title&gt;Senter for omsorgsforsknings rapportserie&lt;/secondary-title&gt;&lt;/titles&gt;&lt;num-vols&gt;nr. 04/2019&lt;/num-vols&gt;&lt;dates&gt;&lt;year&gt;2019&lt;/year&gt;&lt;/dates&gt;&lt;urls&gt;&lt;/urls&gt;&lt;/record&gt;&lt;/Cite&gt;&lt;/EndNote&gt;</w:instrText>
      </w:r>
      <w:r w:rsidR="00C85F8F" w:rsidRPr="004907F4">
        <w:fldChar w:fldCharType="separate"/>
      </w:r>
      <w:r w:rsidR="00856689" w:rsidRPr="004907F4">
        <w:rPr>
          <w:noProof/>
        </w:rPr>
        <w:t>(Førland et al., 2019)</w:t>
      </w:r>
      <w:r w:rsidR="00C85F8F" w:rsidRPr="004907F4">
        <w:fldChar w:fldCharType="end"/>
      </w:r>
      <w:r w:rsidR="00E15665" w:rsidRPr="004907F4">
        <w:t>.</w:t>
      </w:r>
    </w:p>
    <w:p w14:paraId="27B8A8D1" w14:textId="77777777" w:rsidR="00D9107F" w:rsidRDefault="0066740D" w:rsidP="004907F4">
      <w:pPr>
        <w:jc w:val="both"/>
      </w:pPr>
      <w:r w:rsidRPr="004907F4">
        <w:t>I</w:t>
      </w:r>
      <w:r w:rsidR="00F51F7F" w:rsidRPr="004907F4">
        <w:t xml:space="preserve">nsentivene til overaktivitet går lenger enn til overaktivitet overfor den enkelte pasient </w:t>
      </w:r>
      <w:r w:rsidR="00840AE1" w:rsidRPr="004907F4">
        <w:t>– for h</w:t>
      </w:r>
      <w:r w:rsidR="003C46A9" w:rsidRPr="004907F4">
        <w:t xml:space="preserve">vis fastlegen bruker mer tid på en pasient, vil det være mindre tid igjen til </w:t>
      </w:r>
      <w:r w:rsidR="00B91472" w:rsidRPr="004907F4">
        <w:t xml:space="preserve">en annen </w:t>
      </w:r>
      <w:r w:rsidR="003C46A9" w:rsidRPr="004907F4">
        <w:t xml:space="preserve">pasient. Når </w:t>
      </w:r>
      <w:r w:rsidR="003C46A9" w:rsidRPr="004907F4">
        <w:lastRenderedPageBreak/>
        <w:t xml:space="preserve">høy aktivitet er viktig for inntjeningen, kan legens oppmerksomhet trekkes bort fra å </w:t>
      </w:r>
      <w:r w:rsidR="00926A08" w:rsidRPr="004907F4">
        <w:t xml:space="preserve">bruke mye tid på de pasientene som trenger det mest og på å </w:t>
      </w:r>
      <w:r w:rsidR="003C46A9" w:rsidRPr="004907F4">
        <w:t>identifisere og kontakte svake etterspørrere</w:t>
      </w:r>
      <w:r w:rsidR="000C608F" w:rsidRPr="004907F4">
        <w:t xml:space="preserve">. </w:t>
      </w:r>
      <w:r w:rsidR="00ED172D" w:rsidRPr="004907F4">
        <w:t>For sterke i</w:t>
      </w:r>
      <w:r w:rsidR="00F51F7F" w:rsidRPr="004907F4">
        <w:t>nsentiver til overaktivitet</w:t>
      </w:r>
      <w:r w:rsidR="000C71D2" w:rsidRPr="004907F4">
        <w:t>,</w:t>
      </w:r>
      <w:r w:rsidR="00F51F7F" w:rsidRPr="004907F4">
        <w:t xml:space="preserve"> kan dermed true det bærende prinsippet om likeverdige tjenester.</w:t>
      </w:r>
    </w:p>
    <w:p w14:paraId="3F216508" w14:textId="70999EAE" w:rsidR="007E346D" w:rsidRPr="00963231" w:rsidRDefault="00107F8E" w:rsidP="004907F4">
      <w:pPr>
        <w:jc w:val="both"/>
        <w:rPr>
          <w:lang w:val="en-US"/>
        </w:rPr>
      </w:pPr>
      <w:r w:rsidRPr="004907F4">
        <w:t>Vi vet at det er s</w:t>
      </w:r>
      <w:r w:rsidR="00C71B68" w:rsidRPr="004907F4">
        <w:t>tor</w:t>
      </w:r>
      <w:r w:rsidR="00775FD8" w:rsidRPr="004907F4">
        <w:t>e geografiske</w:t>
      </w:r>
      <w:r w:rsidR="00C71B68" w:rsidRPr="004907F4">
        <w:t xml:space="preserve"> variasjon</w:t>
      </w:r>
      <w:r w:rsidR="00775FD8" w:rsidRPr="004907F4">
        <w:t>er</w:t>
      </w:r>
      <w:r w:rsidR="00C71B68" w:rsidRPr="004907F4">
        <w:t xml:space="preserve"> </w:t>
      </w:r>
      <w:r w:rsidR="00CE15ED" w:rsidRPr="004907F4">
        <w:t xml:space="preserve">i </w:t>
      </w:r>
      <w:r w:rsidR="00775FD8" w:rsidRPr="004907F4">
        <w:t xml:space="preserve">medisinsk </w:t>
      </w:r>
      <w:r w:rsidR="00CE15ED" w:rsidRPr="004907F4">
        <w:t>aktivitet</w:t>
      </w:r>
      <w:r w:rsidR="00B82E36" w:rsidRPr="004907F4">
        <w:t xml:space="preserve"> </w:t>
      </w:r>
      <w:r w:rsidR="00D078E3" w:rsidRPr="004907F4">
        <w:fldChar w:fldCharType="begin"/>
      </w:r>
      <w:r w:rsidR="00D078E3" w:rsidRPr="004907F4">
        <w:instrText xml:space="preserve"> ADDIN EN.CITE &lt;EndNote&gt;&lt;Cite&gt;&lt;Author&gt;Wennberg&lt;/Author&gt;&lt;Year&gt;2011&lt;/Year&gt;&lt;RecNum&gt;913&lt;/RecNum&gt;&lt;DisplayText&gt;(Wennberg, 2011)&lt;/DisplayText&gt;&lt;record&gt;&lt;rec-number&gt;913&lt;/rec-number&gt;&lt;foreign-keys&gt;&lt;key app="EN" db-id="95tpr2tp6r9xwoea9rb5wdsz5ds5xeddteew" timestamp="1680154255"&gt;913&lt;/key&gt;&lt;/foreign-keys&gt;&lt;ref-type name="Journal Article"&gt;17&lt;/ref-type&gt;&lt;contributors&gt;&lt;authors&gt;&lt;author&gt;Wennberg, J.&lt;/author&gt;&lt;/authors&gt;&lt;/contributors&gt;&lt;titles&gt;&lt;title&gt;Time to tackle unwarranted variation in practise&lt;/title&gt;&lt;secondary-title&gt;BMJ &lt;/secondary-title&gt;&lt;/titles&gt;&lt;pages&gt;1513&lt;/pages&gt;&lt;number&gt;342&lt;/number&gt;&lt;dates&gt;&lt;year&gt;2011&lt;/year&gt;&lt;/dates&gt;&lt;urls&gt;&lt;/urls&gt;&lt;/record&gt;&lt;/Cite&gt;&lt;/EndNote&gt;</w:instrText>
      </w:r>
      <w:r w:rsidR="00D078E3" w:rsidRPr="004907F4">
        <w:fldChar w:fldCharType="separate"/>
      </w:r>
      <w:r w:rsidR="00D078E3" w:rsidRPr="004907F4">
        <w:t>(Wennberg, 2011)</w:t>
      </w:r>
      <w:r w:rsidR="00D078E3" w:rsidRPr="004907F4">
        <w:fldChar w:fldCharType="end"/>
      </w:r>
      <w:r w:rsidR="00775FD8" w:rsidRPr="004907F4">
        <w:t xml:space="preserve">, og slik variasjon </w:t>
      </w:r>
      <w:r w:rsidR="0082372B" w:rsidRPr="004907F4">
        <w:t xml:space="preserve">tolkes </w:t>
      </w:r>
      <w:r w:rsidR="00775FD8" w:rsidRPr="004907F4">
        <w:t>ofte</w:t>
      </w:r>
      <w:r w:rsidR="00C71B68" w:rsidRPr="004907F4">
        <w:t xml:space="preserve"> </w:t>
      </w:r>
      <w:r w:rsidR="0082372B" w:rsidRPr="004907F4">
        <w:t xml:space="preserve">som </w:t>
      </w:r>
      <w:r w:rsidR="00C71B68" w:rsidRPr="004907F4">
        <w:t xml:space="preserve">et uttrykk for overbehandling </w:t>
      </w:r>
      <w:r w:rsidR="00B60A69" w:rsidRPr="004907F4">
        <w:fldChar w:fldCharType="begin"/>
      </w:r>
      <w:r w:rsidR="004654FD">
        <w:instrText xml:space="preserve"> ADDIN EN.CITE &lt;EndNote&gt;&lt;Cite&gt;&lt;Author&gt;Førland&lt;/Author&gt;&lt;Year&gt;2019&lt;/Year&gt;&lt;RecNum&gt;856&lt;/RecNum&gt;&lt;DisplayText&gt;(Førland et al., 2019)&lt;/DisplayText&gt;&lt;record&gt;&lt;rec-number&gt;856&lt;/rec-number&gt;&lt;foreign-keys&gt;&lt;key app="EN" db-id="95tpr2tp6r9xwoea9rb5wdsz5ds5xeddteew" timestamp="1680069511"&gt;856&lt;/key&gt;&lt;/foreign-keys&gt;&lt;ref-type name="Report"&gt;27&lt;/ref-type&gt;&lt;contributors&gt;&lt;authors&gt;&lt;author&gt;Oddvar Førland&lt;/author&gt;&lt;author&gt;Hanne Marie Rostad&lt;/author&gt;&lt;/authors&gt;&lt;tertiary-authors&gt;&lt;author&gt;Senter for omsorgsforskning,&lt;/author&gt;&lt;/tertiary-authors&gt;&lt;/contributors&gt;&lt;titles&gt;&lt;title&gt;Variasjon og uønsket variasjon i kvalitet i omsorgstjenestene : en kunnskapsoppsummering&lt;/title&gt;&lt;secondary-title&gt;Senter for omsorgsforsknings rapportserie&lt;/secondary-title&gt;&lt;/titles&gt;&lt;num-vols&gt;nr. 04/2019&lt;/num-vols&gt;&lt;dates&gt;&lt;year&gt;2019&lt;/year&gt;&lt;/dates&gt;&lt;urls&gt;&lt;/urls&gt;&lt;/record&gt;&lt;/Cite&gt;&lt;/EndNote&gt;</w:instrText>
      </w:r>
      <w:r w:rsidR="00B60A69" w:rsidRPr="004907F4">
        <w:fldChar w:fldCharType="separate"/>
      </w:r>
      <w:r w:rsidR="00856689" w:rsidRPr="004907F4">
        <w:rPr>
          <w:noProof/>
        </w:rPr>
        <w:t>(Førland et al., 2019)</w:t>
      </w:r>
      <w:r w:rsidR="00B60A69" w:rsidRPr="004907F4">
        <w:fldChar w:fldCharType="end"/>
      </w:r>
      <w:r w:rsidR="005F2C15" w:rsidRPr="004907F4">
        <w:t>. D</w:t>
      </w:r>
      <w:r w:rsidR="00C71B68" w:rsidRPr="004907F4">
        <w:t>e</w:t>
      </w:r>
      <w:r w:rsidR="00F56640" w:rsidRPr="004907F4">
        <w:t xml:space="preserve">t er også </w:t>
      </w:r>
      <w:r w:rsidR="004B024A" w:rsidRPr="004907F4">
        <w:t xml:space="preserve">stor grad av </w:t>
      </w:r>
      <w:r w:rsidR="00F56640" w:rsidRPr="004907F4">
        <w:t xml:space="preserve">enighet om </w:t>
      </w:r>
      <w:r w:rsidR="004B024A" w:rsidRPr="004907F4">
        <w:t>at de</w:t>
      </w:r>
      <w:r w:rsidR="00C71B68" w:rsidRPr="004907F4">
        <w:t>n viktigste årsaken til uønsket variasjon i forbruket av helsetjenester</w:t>
      </w:r>
      <w:r w:rsidR="004506AB" w:rsidRPr="004907F4">
        <w:t>,</w:t>
      </w:r>
      <w:r w:rsidR="00C71B68" w:rsidRPr="004907F4">
        <w:t xml:space="preserve"> er variasjon i tjenestetilbudets størrelse</w:t>
      </w:r>
      <w:r w:rsidR="00ED172D" w:rsidRPr="004907F4">
        <w:t xml:space="preserve"> </w:t>
      </w:r>
      <w:r w:rsidR="007D0F28" w:rsidRPr="004907F4">
        <w:fldChar w:fldCharType="begin"/>
      </w:r>
      <w:r w:rsidR="007D0F28" w:rsidRPr="004907F4">
        <w:instrText xml:space="preserve"> ADDIN EN.CITE &lt;EndNote&gt;&lt;Cite&gt;&lt;Author&gt;Wennberg&lt;/Author&gt;&lt;Year&gt;2011&lt;/Year&gt;&lt;RecNum&gt;913&lt;/RecNum&gt;&lt;DisplayText&gt;(Wennberg, 2011)&lt;/DisplayText&gt;&lt;record&gt;&lt;rec-number&gt;913&lt;/rec-number&gt;&lt;foreign-keys&gt;&lt;key app="EN" db-id="95tpr2tp6r9xwoea9rb5wdsz5ds5xeddteew" timestamp="1680154255"&gt;913&lt;/key&gt;&lt;/foreign-keys&gt;&lt;ref-type name="Journal Article"&gt;17&lt;/ref-type&gt;&lt;contributors&gt;&lt;authors&gt;&lt;author&gt;Wennberg, J.&lt;/author&gt;&lt;/authors&gt;&lt;/contributors&gt;&lt;titles&gt;&lt;title&gt;Time to tackle unwarranted variation in practise&lt;/title&gt;&lt;secondary-title&gt;BMJ &lt;/secondary-title&gt;&lt;/titles&gt;&lt;pages&gt;1513&lt;/pages&gt;&lt;number&gt;342&lt;/number&gt;&lt;dates&gt;&lt;year&gt;2011&lt;/year&gt;&lt;/dates&gt;&lt;urls&gt;&lt;/urls&gt;&lt;/record&gt;&lt;/Cite&gt;&lt;/EndNote&gt;</w:instrText>
      </w:r>
      <w:r w:rsidR="007D0F28" w:rsidRPr="004907F4">
        <w:fldChar w:fldCharType="separate"/>
      </w:r>
      <w:r w:rsidR="007D0F28" w:rsidRPr="004907F4">
        <w:t>(Wennberg, 2011)</w:t>
      </w:r>
      <w:r w:rsidR="007D0F28" w:rsidRPr="004907F4">
        <w:fldChar w:fldCharType="end"/>
      </w:r>
      <w:r w:rsidR="00ED172D" w:rsidRPr="004907F4">
        <w:t>.</w:t>
      </w:r>
      <w:r w:rsidR="00C71B68" w:rsidRPr="004907F4">
        <w:t xml:space="preserve"> Tilbudets størrelse er </w:t>
      </w:r>
      <w:r w:rsidR="00232555" w:rsidRPr="004907F4">
        <w:t>et</w:t>
      </w:r>
      <w:r w:rsidR="00C77F66" w:rsidRPr="004907F4">
        <w:t xml:space="preserve"> </w:t>
      </w:r>
      <w:r w:rsidR="00C71B68" w:rsidRPr="004907F4">
        <w:t xml:space="preserve">resultat av </w:t>
      </w:r>
      <w:r w:rsidR="00232555" w:rsidRPr="004907F4">
        <w:t xml:space="preserve">mange </w:t>
      </w:r>
      <w:r w:rsidR="00AD2D1B" w:rsidRPr="004907F4">
        <w:t xml:space="preserve">ulike forhold, </w:t>
      </w:r>
      <w:r w:rsidR="00957B89" w:rsidRPr="004907F4">
        <w:t xml:space="preserve">men </w:t>
      </w:r>
      <w:r w:rsidR="00CC5910" w:rsidRPr="004907F4">
        <w:t xml:space="preserve">også </w:t>
      </w:r>
      <w:r w:rsidR="00607653" w:rsidRPr="004907F4">
        <w:t>finansieringssystem</w:t>
      </w:r>
      <w:r w:rsidR="00103567" w:rsidRPr="004907F4">
        <w:t xml:space="preserve">et </w:t>
      </w:r>
      <w:r w:rsidR="00CC5910" w:rsidRPr="004907F4">
        <w:t xml:space="preserve">innvirker </w:t>
      </w:r>
      <w:r w:rsidR="00EC7827" w:rsidRPr="004907F4">
        <w:t>på legene</w:t>
      </w:r>
      <w:r w:rsidR="0070704A" w:rsidRPr="004907F4">
        <w:t>s tids</w:t>
      </w:r>
      <w:r w:rsidR="00EC7827" w:rsidRPr="004907F4">
        <w:t>bruk</w:t>
      </w:r>
      <w:r w:rsidR="00AC0820" w:rsidRPr="004907F4">
        <w:t>.</w:t>
      </w:r>
      <w:r w:rsidR="00BD2A29" w:rsidRPr="004907F4">
        <w:t xml:space="preserve"> </w:t>
      </w:r>
      <w:r w:rsidR="00356B2A" w:rsidRPr="00963231">
        <w:rPr>
          <w:lang w:val="en-US"/>
        </w:rPr>
        <w:t xml:space="preserve">For eksempel </w:t>
      </w:r>
      <w:r w:rsidR="00BD2A29" w:rsidRPr="00963231">
        <w:rPr>
          <w:lang w:val="en-US"/>
        </w:rPr>
        <w:t xml:space="preserve">oppsummerer </w:t>
      </w:r>
      <w:r w:rsidR="00356B2A" w:rsidRPr="00963231">
        <w:rPr>
          <w:lang w:val="en-US"/>
        </w:rPr>
        <w:t>en nyere</w:t>
      </w:r>
      <w:r w:rsidR="00226270" w:rsidRPr="00963231">
        <w:rPr>
          <w:lang w:val="en-US"/>
        </w:rPr>
        <w:t xml:space="preserve"> litteraturgjennomgang</w:t>
      </w:r>
      <w:r w:rsidR="00BD2A29" w:rsidRPr="00963231">
        <w:rPr>
          <w:lang w:val="en-US"/>
        </w:rPr>
        <w:t xml:space="preserve"> at </w:t>
      </w:r>
      <w:r w:rsidR="00D9107F">
        <w:rPr>
          <w:lang w:val="en-US"/>
        </w:rPr>
        <w:t>«</w:t>
      </w:r>
      <w:r w:rsidR="00BB105B" w:rsidRPr="00963231">
        <w:rPr>
          <w:lang w:val="en-US"/>
        </w:rPr>
        <w:t>there is considerable evidence that physicians change</w:t>
      </w:r>
      <w:r w:rsidR="008F51DA" w:rsidRPr="00963231">
        <w:rPr>
          <w:lang w:val="en-US"/>
        </w:rPr>
        <w:t xml:space="preserve"> </w:t>
      </w:r>
      <w:r w:rsidR="00BB105B" w:rsidRPr="00963231">
        <w:rPr>
          <w:lang w:val="en-US"/>
        </w:rPr>
        <w:t>what</w:t>
      </w:r>
      <w:r w:rsidR="008F51DA" w:rsidRPr="00963231">
        <w:rPr>
          <w:lang w:val="en-US"/>
        </w:rPr>
        <w:t xml:space="preserve"> </w:t>
      </w:r>
      <w:r w:rsidR="00BB105B" w:rsidRPr="00963231">
        <w:rPr>
          <w:lang w:val="en-US"/>
        </w:rPr>
        <w:t>they do – and often quite rapidly – in response to changes in incentives that are brought about by changes in how, and what, they are paid for</w:t>
      </w:r>
      <w:r w:rsidR="00D9107F">
        <w:rPr>
          <w:lang w:val="en-US"/>
        </w:rPr>
        <w:t>»</w:t>
      </w:r>
      <w:r w:rsidR="00356B2A" w:rsidRPr="00963231">
        <w:rPr>
          <w:lang w:val="en-US"/>
        </w:rPr>
        <w:t xml:space="preserve"> </w:t>
      </w:r>
      <w:r w:rsidR="00356B2A" w:rsidRPr="004907F4">
        <w:fldChar w:fldCharType="begin"/>
      </w:r>
      <w:r w:rsidR="004654FD" w:rsidRPr="00D00BB8">
        <w:rPr>
          <w:lang w:val="en-US"/>
        </w:rPr>
        <w:instrText xml:space="preserve"> ADDIN EN.CITE &lt;EndNote&gt;&lt;Cite&gt;&lt;Author&gt;Lee&lt;/Author&gt;&lt;Year&gt;2020&lt;/Year&gt;&lt;RecNum&gt;484&lt;/RecNum&gt;&lt;DisplayText&gt;(Lee et al., 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00356B2A" w:rsidRPr="004907F4">
        <w:fldChar w:fldCharType="separate"/>
      </w:r>
      <w:r w:rsidR="00856689" w:rsidRPr="00963231">
        <w:rPr>
          <w:noProof/>
          <w:lang w:val="en-US"/>
        </w:rPr>
        <w:t>(Lee et al., 2020)</w:t>
      </w:r>
      <w:r w:rsidR="00356B2A" w:rsidRPr="004907F4">
        <w:fldChar w:fldCharType="end"/>
      </w:r>
      <w:r w:rsidR="00C3029B" w:rsidRPr="00963231">
        <w:rPr>
          <w:lang w:val="en-US"/>
        </w:rPr>
        <w:t>.</w:t>
      </w:r>
    </w:p>
    <w:p w14:paraId="64C11631" w14:textId="03A90F5C" w:rsidR="00D9107F" w:rsidRDefault="00373A9C" w:rsidP="004907F4">
      <w:pPr>
        <w:jc w:val="both"/>
      </w:pPr>
      <w:r w:rsidRPr="004907F4">
        <w:t xml:space="preserve">Takstsystemet </w:t>
      </w:r>
      <w:r w:rsidR="00F64EDC" w:rsidRPr="004907F4">
        <w:t>kan</w:t>
      </w:r>
      <w:r w:rsidR="00401AAB" w:rsidRPr="004907F4" w:rsidDel="009C07F3">
        <w:t xml:space="preserve"> </w:t>
      </w:r>
      <w:r w:rsidR="004478D5" w:rsidRPr="004907F4" w:rsidDel="009C07F3">
        <w:t xml:space="preserve">også </w:t>
      </w:r>
      <w:r w:rsidR="00401AAB" w:rsidRPr="004907F4">
        <w:t xml:space="preserve">forsterke </w:t>
      </w:r>
      <w:r w:rsidR="4F4ECE13" w:rsidRPr="36EB9D36">
        <w:t>arbeid</w:t>
      </w:r>
      <w:r w:rsidR="3709FBEE" w:rsidRPr="36EB9D36">
        <w:t>s</w:t>
      </w:r>
      <w:r w:rsidR="296661EC" w:rsidRPr="36EB9D36">
        <w:t>belastningen</w:t>
      </w:r>
      <w:r w:rsidR="0050527C">
        <w:t xml:space="preserve"> for </w:t>
      </w:r>
      <w:r w:rsidR="0072774F">
        <w:t>fastlegene.</w:t>
      </w:r>
      <w:r w:rsidR="004D7852">
        <w:t xml:space="preserve"> </w:t>
      </w:r>
      <w:r w:rsidR="00E10542">
        <w:t xml:space="preserve">I kapittel </w:t>
      </w:r>
      <w:r w:rsidR="00782A50">
        <w:t>2</w:t>
      </w:r>
      <w:r w:rsidR="0025663A">
        <w:t>.3.6</w:t>
      </w:r>
      <w:r w:rsidR="00E10542">
        <w:t xml:space="preserve"> </w:t>
      </w:r>
      <w:r w:rsidR="005B3EBC">
        <w:t xml:space="preserve">så </w:t>
      </w:r>
      <w:r w:rsidR="00E10542">
        <w:t xml:space="preserve">vi </w:t>
      </w:r>
      <w:r w:rsidR="001970EC">
        <w:t xml:space="preserve">hvordan andelen fastleger som jobber utenfor vanlig arbeidstid har vokst de siste årene, </w:t>
      </w:r>
      <w:r w:rsidR="005B3EBC">
        <w:t xml:space="preserve">og det er mye som tyder på at denne veksten i stor grad henger sammen med </w:t>
      </w:r>
      <w:r w:rsidR="00501E3A">
        <w:t xml:space="preserve">åpning for bruk av </w:t>
      </w:r>
      <w:r w:rsidR="000E70A9">
        <w:t>e-konsultasjon</w:t>
      </w:r>
      <w:r w:rsidR="002D1EF0">
        <w:t>staks</w:t>
      </w:r>
      <w:r w:rsidR="00E36E6D">
        <w:t>t</w:t>
      </w:r>
      <w:r w:rsidR="000E70A9">
        <w:t xml:space="preserve"> </w:t>
      </w:r>
      <w:r w:rsidR="00A36996">
        <w:t>utenfor vanlig arbeidstid</w:t>
      </w:r>
      <w:r w:rsidR="000E70A9">
        <w:t xml:space="preserve">. </w:t>
      </w:r>
      <w:r w:rsidR="00102ED9">
        <w:t xml:space="preserve">I dag honoreres en </w:t>
      </w:r>
      <w:r w:rsidR="00CA1B1F">
        <w:t xml:space="preserve">slik e-konsultasjon med </w:t>
      </w:r>
      <w:r w:rsidR="00180235">
        <w:t>32</w:t>
      </w:r>
      <w:r w:rsidR="00D9107F">
        <w:t>4 kroner</w:t>
      </w:r>
      <w:r w:rsidR="00180235">
        <w:t xml:space="preserve">, </w:t>
      </w:r>
      <w:r w:rsidR="00333DE8">
        <w:t xml:space="preserve">noe som i mange tilfeller kan gjøre det økonomisk </w:t>
      </w:r>
      <w:r w:rsidR="0095168F">
        <w:t xml:space="preserve">attraktivt å jobbe utover kvelden. </w:t>
      </w:r>
      <w:r w:rsidR="0077546B">
        <w:t xml:space="preserve">Det vil særlig være </w:t>
      </w:r>
      <w:r w:rsidR="00B75EF2">
        <w:t xml:space="preserve">attraktivt </w:t>
      </w:r>
      <w:r w:rsidR="0077546B">
        <w:t>for enklere forespørsler</w:t>
      </w:r>
      <w:r w:rsidR="00031D82">
        <w:t>,</w:t>
      </w:r>
      <w:r w:rsidR="0077546B">
        <w:t xml:space="preserve"> som </w:t>
      </w:r>
      <w:r w:rsidR="00BB3325">
        <w:t>tar kort tid.</w:t>
      </w:r>
      <w:r w:rsidR="007A4465" w:rsidDel="00FD5CFD">
        <w:t xml:space="preserve"> </w:t>
      </w:r>
      <w:r w:rsidR="00B700C6">
        <w:t xml:space="preserve">Dersom honoraret hadde vært lavere, er det grunn til å tro at </w:t>
      </w:r>
      <w:r w:rsidR="001956B8">
        <w:t>flere fast</w:t>
      </w:r>
      <w:r w:rsidR="00B700C6">
        <w:t>lege</w:t>
      </w:r>
      <w:r w:rsidR="001956B8">
        <w:t xml:space="preserve">r </w:t>
      </w:r>
      <w:r w:rsidR="00F87469">
        <w:t xml:space="preserve">ville prioritert </w:t>
      </w:r>
      <w:r w:rsidR="008363CA">
        <w:t xml:space="preserve">å arbeide mindre </w:t>
      </w:r>
      <w:r w:rsidR="00F87469">
        <w:t>utenfor vanlig arbeidstid</w:t>
      </w:r>
      <w:r w:rsidR="008363CA">
        <w:t>.</w:t>
      </w:r>
    </w:p>
    <w:p w14:paraId="070350F0" w14:textId="77777777" w:rsidR="00D9107F" w:rsidRDefault="00CD4E6A" w:rsidP="004907F4">
      <w:pPr>
        <w:jc w:val="both"/>
      </w:pPr>
      <w:r w:rsidRPr="004907F4">
        <w:t>O</w:t>
      </w:r>
      <w:r w:rsidR="00D52247" w:rsidRPr="004907F4">
        <w:t>bligatorisk medlemskap i folketrygden</w:t>
      </w:r>
      <w:r w:rsidRPr="004907F4">
        <w:t xml:space="preserve"> er fundamentet for likeverdige helsetjenester i Norge</w:t>
      </w:r>
      <w:r w:rsidR="00D52247" w:rsidRPr="004907F4">
        <w:t xml:space="preserve">. Grunnideen </w:t>
      </w:r>
      <w:r w:rsidR="000C667A" w:rsidRPr="004907F4">
        <w:t xml:space="preserve">bak likeverdige </w:t>
      </w:r>
      <w:r w:rsidR="00F26A24" w:rsidRPr="004907F4">
        <w:t xml:space="preserve">helsetjenester </w:t>
      </w:r>
      <w:r w:rsidR="00206A0D" w:rsidRPr="004907F4">
        <w:t xml:space="preserve">er </w:t>
      </w:r>
      <w:r w:rsidR="00D52247" w:rsidRPr="004907F4">
        <w:t>at alle</w:t>
      </w:r>
      <w:r w:rsidR="005E3FB9" w:rsidRPr="004907F4">
        <w:t xml:space="preserve"> </w:t>
      </w:r>
      <w:r w:rsidR="00D52247" w:rsidRPr="004907F4">
        <w:t xml:space="preserve">skattebetalerne deler regningen. </w:t>
      </w:r>
      <w:r w:rsidR="00233DFB" w:rsidRPr="004907F4">
        <w:t xml:space="preserve">Egenandelen </w:t>
      </w:r>
      <w:r w:rsidR="00D52247" w:rsidRPr="004907F4">
        <w:t>er</w:t>
      </w:r>
      <w:r w:rsidR="002A6CB1" w:rsidRPr="004907F4">
        <w:t xml:space="preserve"> </w:t>
      </w:r>
      <w:r w:rsidR="00D52247" w:rsidRPr="004907F4">
        <w:t>lavere enn kost</w:t>
      </w:r>
      <w:r w:rsidR="0092260B" w:rsidRPr="004907F4">
        <w:t>na</w:t>
      </w:r>
      <w:r w:rsidR="00D52247" w:rsidRPr="004907F4">
        <w:t>den</w:t>
      </w:r>
      <w:r w:rsidR="004208FB" w:rsidRPr="004907F4">
        <w:t xml:space="preserve"> </w:t>
      </w:r>
      <w:r w:rsidR="005E3FB9" w:rsidRPr="004907F4">
        <w:t>for samfunnet</w:t>
      </w:r>
      <w:r w:rsidR="00D52247" w:rsidRPr="004907F4">
        <w:t>, og etterspørsel</w:t>
      </w:r>
      <w:r w:rsidR="009919E4" w:rsidRPr="004907F4">
        <w:t>en</w:t>
      </w:r>
      <w:r w:rsidR="00D52247" w:rsidRPr="004907F4">
        <w:t xml:space="preserve"> vil </w:t>
      </w:r>
      <w:r w:rsidR="000831C6" w:rsidRPr="004907F4">
        <w:t xml:space="preserve">derfor </w:t>
      </w:r>
      <w:r w:rsidR="00D52247" w:rsidRPr="004907F4">
        <w:t xml:space="preserve">være høyere enn den ville vært </w:t>
      </w:r>
      <w:r w:rsidR="00B8030D" w:rsidRPr="004907F4">
        <w:t xml:space="preserve">hvis </w:t>
      </w:r>
      <w:r w:rsidR="009919E4" w:rsidRPr="004907F4">
        <w:t>pasienten</w:t>
      </w:r>
      <w:r w:rsidR="00B8030D" w:rsidRPr="004907F4">
        <w:t xml:space="preserve"> måtte betalt alt selv</w:t>
      </w:r>
      <w:r w:rsidR="00D52247" w:rsidRPr="004907F4">
        <w:t xml:space="preserve">. </w:t>
      </w:r>
      <w:r w:rsidR="006F7654" w:rsidRPr="004907F4">
        <w:t xml:space="preserve">I velferdsstaten </w:t>
      </w:r>
      <w:r w:rsidR="000A7843" w:rsidRPr="004907F4">
        <w:t xml:space="preserve">er det et grunnleggende </w:t>
      </w:r>
      <w:r w:rsidR="001B1CBA" w:rsidRPr="004907F4">
        <w:t xml:space="preserve">prinsipp at </w:t>
      </w:r>
      <w:r w:rsidR="006F7654" w:rsidRPr="004907F4">
        <w:t>e</w:t>
      </w:r>
      <w:r w:rsidR="00D52247" w:rsidRPr="004907F4">
        <w:t xml:space="preserve">tterspørselen </w:t>
      </w:r>
      <w:r w:rsidR="00615F86" w:rsidRPr="004907F4">
        <w:t xml:space="preserve">etter </w:t>
      </w:r>
      <w:r w:rsidR="00D52247" w:rsidRPr="004907F4">
        <w:t xml:space="preserve">helsetjenester </w:t>
      </w:r>
      <w:r w:rsidR="001B1CBA" w:rsidRPr="004907F4">
        <w:t xml:space="preserve">ikke begrenses </w:t>
      </w:r>
      <w:r w:rsidR="009A0184" w:rsidRPr="004907F4">
        <w:t xml:space="preserve">av </w:t>
      </w:r>
      <w:r w:rsidR="00394597" w:rsidRPr="004907F4">
        <w:t xml:space="preserve">pasientens </w:t>
      </w:r>
      <w:r w:rsidR="009A0184" w:rsidRPr="004907F4">
        <w:t>betalings</w:t>
      </w:r>
      <w:r w:rsidR="00D20235" w:rsidRPr="004907F4">
        <w:t>evne</w:t>
      </w:r>
      <w:r w:rsidR="00D45670" w:rsidRPr="004907F4">
        <w:t xml:space="preserve">. </w:t>
      </w:r>
      <w:r w:rsidR="00511F48" w:rsidRPr="004907F4">
        <w:t>For å kunne sikre likeverdige helsetjenester til alle, uten at kostn</w:t>
      </w:r>
      <w:r w:rsidR="00D11493" w:rsidRPr="004907F4">
        <w:t>a</w:t>
      </w:r>
      <w:r w:rsidR="00511F48" w:rsidRPr="004907F4">
        <w:t xml:space="preserve">dene blir langt høyere enn samfunnet er villig til å </w:t>
      </w:r>
      <w:r w:rsidR="005B08B7" w:rsidRPr="004907F4">
        <w:t>avse, må t</w:t>
      </w:r>
      <w:r w:rsidR="00D52247" w:rsidRPr="004907F4">
        <w:t xml:space="preserve">ilbyderne av </w:t>
      </w:r>
      <w:r w:rsidR="00E14526" w:rsidRPr="004907F4">
        <w:t xml:space="preserve">offentlige </w:t>
      </w:r>
      <w:r w:rsidR="00D52247" w:rsidRPr="004907F4">
        <w:t>helsetjenester</w:t>
      </w:r>
      <w:r w:rsidR="00D45670" w:rsidRPr="004907F4">
        <w:t xml:space="preserve"> gjøre </w:t>
      </w:r>
      <w:r w:rsidR="004E458E" w:rsidRPr="004907F4">
        <w:t>valg</w:t>
      </w:r>
      <w:r w:rsidR="0065629F" w:rsidRPr="004907F4">
        <w:t xml:space="preserve"> for å </w:t>
      </w:r>
      <w:r w:rsidR="004E458E" w:rsidRPr="004907F4">
        <w:t xml:space="preserve">begrense </w:t>
      </w:r>
      <w:r w:rsidR="009A0B0C" w:rsidRPr="004907F4">
        <w:t>tjenestene som ytes</w:t>
      </w:r>
      <w:r w:rsidR="00D52247" w:rsidRPr="004907F4">
        <w:t>.</w:t>
      </w:r>
      <w:r w:rsidR="00AE7F98" w:rsidRPr="004907F4">
        <w:t xml:space="preserve"> </w:t>
      </w:r>
      <w:r w:rsidR="00E14526" w:rsidRPr="004907F4">
        <w:t>Dette er stikk i strid med vanlig markedslogikk, der de som tilbyr e</w:t>
      </w:r>
      <w:r w:rsidR="00374910" w:rsidRPr="004907F4">
        <w:t xml:space="preserve">n </w:t>
      </w:r>
      <w:r w:rsidR="002E743F" w:rsidRPr="004907F4">
        <w:t xml:space="preserve">tjeneste </w:t>
      </w:r>
      <w:r w:rsidR="00862028" w:rsidRPr="004907F4">
        <w:t xml:space="preserve">ikke ønsker å begrense </w:t>
      </w:r>
      <w:r w:rsidR="001248EA" w:rsidRPr="004907F4">
        <w:t>salget</w:t>
      </w:r>
      <w:r w:rsidR="00374910" w:rsidRPr="004907F4">
        <w:t xml:space="preserve">. </w:t>
      </w:r>
      <w:r w:rsidR="00954064" w:rsidRPr="004907F4">
        <w:t xml:space="preserve">Den enkelte </w:t>
      </w:r>
      <w:r w:rsidR="00A70AD7" w:rsidRPr="004907F4">
        <w:t>pasient</w:t>
      </w:r>
      <w:r w:rsidR="00954064" w:rsidRPr="004907F4">
        <w:t xml:space="preserve"> kan ha </w:t>
      </w:r>
      <w:r w:rsidR="00A70AD7" w:rsidRPr="004907F4">
        <w:t xml:space="preserve">ønsker om </w:t>
      </w:r>
      <w:r w:rsidR="00954064" w:rsidRPr="004907F4">
        <w:t xml:space="preserve">flere </w:t>
      </w:r>
      <w:r w:rsidR="00A70AD7" w:rsidRPr="004907F4">
        <w:t xml:space="preserve">tjenester </w:t>
      </w:r>
      <w:r w:rsidR="00954064" w:rsidRPr="004907F4">
        <w:t xml:space="preserve">enn legen strengt tatt mener er forenelig med </w:t>
      </w:r>
      <w:r w:rsidR="009A57A7" w:rsidRPr="004907F4">
        <w:t>likeverdige tjenester</w:t>
      </w:r>
      <w:r w:rsidR="0051148F" w:rsidRPr="004907F4">
        <w:t>.</w:t>
      </w:r>
      <w:r w:rsidR="002B1346" w:rsidRPr="004907F4">
        <w:t xml:space="preserve"> </w:t>
      </w:r>
      <w:r w:rsidR="002B1346">
        <w:t xml:space="preserve">Det er da viktig at fastlegen </w:t>
      </w:r>
      <w:r w:rsidR="00E64ED1">
        <w:t xml:space="preserve">har økonomiske insentiver til å </w:t>
      </w:r>
      <w:r w:rsidR="002B1346">
        <w:t>ta hensyn til hele listepopulasjonen</w:t>
      </w:r>
      <w:r w:rsidR="001A48D0">
        <w:t>, og også kostnader ellers i helsetjenestene,</w:t>
      </w:r>
      <w:r w:rsidR="002B1346">
        <w:t xml:space="preserve"> når fastlegen avgjør hvor mange tjenester den enkelte listeinnbygger skal få</w:t>
      </w:r>
      <w:r w:rsidR="007B7383">
        <w:t>.</w:t>
      </w:r>
    </w:p>
    <w:p w14:paraId="5AA28771" w14:textId="77777777" w:rsidR="00D9107F" w:rsidRDefault="00DB5CF3" w:rsidP="004907F4">
      <w:pPr>
        <w:jc w:val="both"/>
      </w:pPr>
      <w:r w:rsidRPr="004907F4">
        <w:t xml:space="preserve">Mens den </w:t>
      </w:r>
      <w:r w:rsidR="00C21AC6" w:rsidRPr="004907F4">
        <w:t xml:space="preserve">aktivitetsbaserte finansieringen </w:t>
      </w:r>
      <w:r w:rsidR="00537AB8" w:rsidRPr="004907F4">
        <w:t>bla</w:t>
      </w:r>
      <w:r w:rsidR="000166C8" w:rsidRPr="004907F4">
        <w:t xml:space="preserve">nt annet </w:t>
      </w:r>
      <w:r w:rsidRPr="004907F4">
        <w:t xml:space="preserve">kan </w:t>
      </w:r>
      <w:r w:rsidR="00C21AC6" w:rsidRPr="004907F4">
        <w:t xml:space="preserve">stimulere til </w:t>
      </w:r>
      <w:r w:rsidRPr="004907F4">
        <w:t xml:space="preserve">for høy </w:t>
      </w:r>
      <w:r w:rsidR="37C19BA3" w:rsidRPr="004907F4">
        <w:t xml:space="preserve">eller uønsket sammensetning av </w:t>
      </w:r>
      <w:r w:rsidR="3EC332B2" w:rsidRPr="004907F4">
        <w:t>aktivitet</w:t>
      </w:r>
      <w:r w:rsidR="31F421FA" w:rsidRPr="004907F4">
        <w:t>en</w:t>
      </w:r>
      <w:r w:rsidRPr="004907F4">
        <w:t xml:space="preserve">, </w:t>
      </w:r>
      <w:r w:rsidR="00995E8F" w:rsidRPr="004907F4">
        <w:t xml:space="preserve">kan </w:t>
      </w:r>
      <w:r w:rsidR="006E6B2E" w:rsidRPr="004907F4">
        <w:t>basis</w:t>
      </w:r>
      <w:r w:rsidR="00446571" w:rsidRPr="004907F4">
        <w:t>tilskudd</w:t>
      </w:r>
      <w:r w:rsidR="000D22E7" w:rsidRPr="004907F4">
        <w:t xml:space="preserve"> per listeinnbygger</w:t>
      </w:r>
      <w:r w:rsidRPr="004907F4">
        <w:t xml:space="preserve"> </w:t>
      </w:r>
      <w:r w:rsidR="00995E8F" w:rsidRPr="004907F4">
        <w:t xml:space="preserve">ha </w:t>
      </w:r>
      <w:r w:rsidR="006739FC" w:rsidRPr="004907F4">
        <w:t xml:space="preserve">andre ulemper. </w:t>
      </w:r>
      <w:r w:rsidR="00201478" w:rsidRPr="004907F4">
        <w:t>Siden legens inntekt er den samme uavhen</w:t>
      </w:r>
      <w:r w:rsidR="00C00E39" w:rsidRPr="004907F4">
        <w:t>g</w:t>
      </w:r>
      <w:r w:rsidR="00201478" w:rsidRPr="004907F4">
        <w:t xml:space="preserve">ig av aktivitet, </w:t>
      </w:r>
      <w:r w:rsidR="00880A93" w:rsidRPr="004907F4">
        <w:t>gir basistilskudd</w:t>
      </w:r>
      <w:r w:rsidR="00A96874" w:rsidRPr="004907F4">
        <w:t xml:space="preserve"> </w:t>
      </w:r>
      <w:r w:rsidR="009E25EB" w:rsidRPr="004907F4">
        <w:t xml:space="preserve">et insitament til å yte for få tjenester til </w:t>
      </w:r>
      <w:r w:rsidR="004A7711" w:rsidRPr="004907F4">
        <w:t xml:space="preserve">litt flere </w:t>
      </w:r>
      <w:r w:rsidR="00E549F5" w:rsidRPr="004907F4">
        <w:t>liste</w:t>
      </w:r>
      <w:r w:rsidR="00A96874" w:rsidRPr="004907F4">
        <w:t>innbyggere</w:t>
      </w:r>
      <w:r w:rsidR="009E25EB" w:rsidRPr="004907F4">
        <w:t xml:space="preserve">. På den annen side kan </w:t>
      </w:r>
      <w:r w:rsidR="00E64781" w:rsidRPr="004907F4">
        <w:t xml:space="preserve">basistilskudd </w:t>
      </w:r>
      <w:r w:rsidR="009E25EB" w:rsidRPr="004907F4">
        <w:t xml:space="preserve">gjøre det enklere å </w:t>
      </w:r>
      <w:r w:rsidR="009E25EB" w:rsidRPr="004907F4">
        <w:lastRenderedPageBreak/>
        <w:t>prioritere de pasientene med størst nytte av legens tjenester, fordi inntekten uansett er den samme.</w:t>
      </w:r>
    </w:p>
    <w:p w14:paraId="3F8DAADC" w14:textId="38459A23" w:rsidR="00431DAC" w:rsidRPr="004907F4" w:rsidRDefault="00396609" w:rsidP="004907F4">
      <w:pPr>
        <w:jc w:val="both"/>
      </w:pPr>
      <w:r w:rsidRPr="004907F4">
        <w:t>Fordi b</w:t>
      </w:r>
      <w:r w:rsidR="00E01B4F" w:rsidRPr="004907F4">
        <w:t>asis</w:t>
      </w:r>
      <w:r w:rsidR="006F0538" w:rsidRPr="004907F4">
        <w:t>tilskudd</w:t>
      </w:r>
      <w:r w:rsidRPr="004907F4">
        <w:t xml:space="preserve">et stimulerer til flere </w:t>
      </w:r>
      <w:r w:rsidR="00DC58FD" w:rsidRPr="004907F4">
        <w:t>listeinnbygger</w:t>
      </w:r>
      <w:r w:rsidRPr="004907F4">
        <w:t>e</w:t>
      </w:r>
      <w:r w:rsidR="00E8128A" w:rsidRPr="004907F4">
        <w:t>,</w:t>
      </w:r>
      <w:r w:rsidR="00DC58FD" w:rsidRPr="004907F4">
        <w:t xml:space="preserve"> trenger </w:t>
      </w:r>
      <w:r w:rsidRPr="004907F4">
        <w:t xml:space="preserve">det </w:t>
      </w:r>
      <w:r w:rsidR="00076C40" w:rsidRPr="004907F4">
        <w:t>imidlertid</w:t>
      </w:r>
      <w:r w:rsidR="00DC58FD" w:rsidRPr="004907F4">
        <w:t xml:space="preserve"> ikke å medføre mindre samlet aktivit</w:t>
      </w:r>
      <w:r w:rsidR="0091340D" w:rsidRPr="004907F4">
        <w:t xml:space="preserve">et </w:t>
      </w:r>
      <w:r w:rsidR="00954FE9" w:rsidRPr="004907F4">
        <w:t xml:space="preserve">for fastlegen </w:t>
      </w:r>
      <w:r w:rsidR="0091340D" w:rsidRPr="004907F4">
        <w:t xml:space="preserve">enn </w:t>
      </w:r>
      <w:r w:rsidR="00AD6F5C" w:rsidRPr="004907F4">
        <w:t>aktivitets</w:t>
      </w:r>
      <w:r w:rsidR="004F4FA7" w:rsidRPr="004907F4">
        <w:t xml:space="preserve">basert finansiering. </w:t>
      </w:r>
      <w:r w:rsidR="00CE65D0" w:rsidRPr="004907F4">
        <w:t xml:space="preserve">Sammensetningen av aktiviteten forventes derimot å </w:t>
      </w:r>
      <w:r w:rsidR="00D379F0" w:rsidRPr="004907F4">
        <w:t>være annerledes. Et eksempel kan illustrere</w:t>
      </w:r>
      <w:r w:rsidR="00DC58FD" w:rsidRPr="004907F4">
        <w:t xml:space="preserve"> </w:t>
      </w:r>
      <w:r w:rsidR="00C66A60" w:rsidRPr="004907F4">
        <w:t xml:space="preserve">poenget. </w:t>
      </w:r>
      <w:r w:rsidR="00395AE0" w:rsidRPr="004907F4">
        <w:t xml:space="preserve">En fastlege har </w:t>
      </w:r>
      <w:r w:rsidR="00D9107F" w:rsidRPr="004907F4">
        <w:t>1</w:t>
      </w:r>
      <w:r w:rsidR="00D9107F">
        <w:t> </w:t>
      </w:r>
      <w:r w:rsidR="00D9107F" w:rsidRPr="004907F4">
        <w:t>000</w:t>
      </w:r>
      <w:r w:rsidR="001F4D96" w:rsidRPr="004907F4">
        <w:t xml:space="preserve"> listeinnbyggere</w:t>
      </w:r>
      <w:r w:rsidR="008D6836" w:rsidRPr="004907F4">
        <w:t xml:space="preserve"> </w:t>
      </w:r>
      <w:r w:rsidR="00B8103F" w:rsidRPr="004907F4">
        <w:t xml:space="preserve">og yter </w:t>
      </w:r>
      <w:r w:rsidR="00BC6460" w:rsidRPr="004907F4">
        <w:t xml:space="preserve">fire konsultasjoner </w:t>
      </w:r>
      <w:r w:rsidR="00B32B3A" w:rsidRPr="004907F4">
        <w:t xml:space="preserve">a 15 minutter til hver </w:t>
      </w:r>
      <w:r w:rsidR="006F0538" w:rsidRPr="004907F4">
        <w:t xml:space="preserve">listeinnbygger </w:t>
      </w:r>
      <w:r w:rsidR="00B32B3A" w:rsidRPr="004907F4">
        <w:t xml:space="preserve">per år. Hver konsultasjon gir fastlegen </w:t>
      </w:r>
      <w:r w:rsidR="00EF5F37" w:rsidRPr="004907F4">
        <w:t>20</w:t>
      </w:r>
      <w:r w:rsidR="00D9107F" w:rsidRPr="004907F4">
        <w:t>0</w:t>
      </w:r>
      <w:r w:rsidR="00D9107F">
        <w:t> kroner</w:t>
      </w:r>
      <w:r w:rsidR="00EF5F37" w:rsidRPr="004907F4">
        <w:t xml:space="preserve"> i inntekt. Den samlede årlige inntekten</w:t>
      </w:r>
      <w:r w:rsidR="009D27D3" w:rsidRPr="004907F4">
        <w:t xml:space="preserve"> blir 80</w:t>
      </w:r>
      <w:r w:rsidR="00D9107F" w:rsidRPr="004907F4">
        <w:t>0</w:t>
      </w:r>
      <w:r w:rsidR="00D9107F">
        <w:t> </w:t>
      </w:r>
      <w:r w:rsidR="00D9107F" w:rsidRPr="004907F4">
        <w:t>000</w:t>
      </w:r>
      <w:r w:rsidR="00D9107F">
        <w:t> kroner</w:t>
      </w:r>
      <w:r w:rsidR="009D27D3" w:rsidRPr="004907F4">
        <w:t xml:space="preserve">. </w:t>
      </w:r>
      <w:r w:rsidR="00C12399" w:rsidRPr="004907F4">
        <w:t xml:space="preserve">Inntekten fra å arbeide </w:t>
      </w:r>
      <w:r w:rsidR="00031D82" w:rsidRPr="004907F4">
        <w:t>é</w:t>
      </w:r>
      <w:r w:rsidR="00C12399" w:rsidRPr="004907F4">
        <w:t>n time ekstra blir 80</w:t>
      </w:r>
      <w:r w:rsidR="00D9107F" w:rsidRPr="004907F4">
        <w:t>0</w:t>
      </w:r>
      <w:r w:rsidR="00D9107F">
        <w:t> kroner</w:t>
      </w:r>
      <w:r w:rsidR="00C12399" w:rsidRPr="004907F4">
        <w:t xml:space="preserve">. </w:t>
      </w:r>
      <w:r w:rsidR="0003521A" w:rsidRPr="004907F4">
        <w:t>Som et alternativ til dette systemet med kun aktivitetsavhengige innt</w:t>
      </w:r>
      <w:r w:rsidR="002464AF" w:rsidRPr="004907F4">
        <w:t>ekter</w:t>
      </w:r>
      <w:r w:rsidR="00F25AD6" w:rsidRPr="004907F4">
        <w:t>,</w:t>
      </w:r>
      <w:r w:rsidR="002464AF" w:rsidRPr="004907F4">
        <w:t xml:space="preserve"> tenker vi oss et system</w:t>
      </w:r>
      <w:r w:rsidR="00B97FA9" w:rsidRPr="004907F4">
        <w:t xml:space="preserve"> med </w:t>
      </w:r>
      <w:r w:rsidR="00545344" w:rsidRPr="004907F4">
        <w:t>kun</w:t>
      </w:r>
      <w:r w:rsidR="00B97FA9" w:rsidRPr="004907F4">
        <w:t xml:space="preserve"> </w:t>
      </w:r>
      <w:r w:rsidR="005D6F8D" w:rsidRPr="004907F4">
        <w:t>basis</w:t>
      </w:r>
      <w:r w:rsidR="005968C6" w:rsidRPr="004907F4">
        <w:t>tilskudd</w:t>
      </w:r>
      <w:r w:rsidR="005D6F8D" w:rsidRPr="004907F4">
        <w:t xml:space="preserve"> i form </w:t>
      </w:r>
      <w:r w:rsidR="7F492522" w:rsidRPr="004907F4">
        <w:t xml:space="preserve">av </w:t>
      </w:r>
      <w:r w:rsidR="0A19FAA6" w:rsidRPr="004907F4">
        <w:t>40</w:t>
      </w:r>
      <w:r w:rsidR="00D9107F" w:rsidRPr="004907F4">
        <w:t>0</w:t>
      </w:r>
      <w:r w:rsidR="00D9107F">
        <w:t> kroner</w:t>
      </w:r>
      <w:r w:rsidR="00545344" w:rsidRPr="004907F4">
        <w:t xml:space="preserve"> per år for hver liste</w:t>
      </w:r>
      <w:r w:rsidR="00DD3361" w:rsidRPr="004907F4">
        <w:t xml:space="preserve">innbygger. </w:t>
      </w:r>
      <w:r w:rsidR="005D59FF" w:rsidRPr="004907F4">
        <w:t xml:space="preserve">Fastlegen har valgt å ha </w:t>
      </w:r>
      <w:r w:rsidR="00D9107F" w:rsidRPr="004907F4">
        <w:t>2</w:t>
      </w:r>
      <w:r w:rsidR="00D9107F">
        <w:t> </w:t>
      </w:r>
      <w:r w:rsidR="00D9107F" w:rsidRPr="004907F4">
        <w:t>000</w:t>
      </w:r>
      <w:r w:rsidR="005D59FF" w:rsidRPr="004907F4">
        <w:t xml:space="preserve"> listeinnbyggere</w:t>
      </w:r>
      <w:r w:rsidR="0080709F" w:rsidRPr="004907F4">
        <w:t>. Den samlede årsinnte</w:t>
      </w:r>
      <w:r w:rsidR="005968C6" w:rsidRPr="004907F4">
        <w:t>k</w:t>
      </w:r>
      <w:r w:rsidR="0080709F" w:rsidRPr="004907F4">
        <w:t>ten er dermed 80</w:t>
      </w:r>
      <w:r w:rsidR="00D9107F" w:rsidRPr="004907F4">
        <w:t>0</w:t>
      </w:r>
      <w:r w:rsidR="00D9107F">
        <w:t> </w:t>
      </w:r>
      <w:r w:rsidR="00D9107F" w:rsidRPr="004907F4">
        <w:t>000</w:t>
      </w:r>
      <w:r w:rsidR="00D9107F">
        <w:t> kroner</w:t>
      </w:r>
      <w:r w:rsidR="0080709F" w:rsidRPr="004907F4">
        <w:t xml:space="preserve"> også</w:t>
      </w:r>
      <w:r w:rsidR="00602C01" w:rsidRPr="004907F4">
        <w:t xml:space="preserve"> </w:t>
      </w:r>
      <w:r w:rsidR="00031D82" w:rsidRPr="004907F4">
        <w:t xml:space="preserve">med </w:t>
      </w:r>
      <w:r w:rsidR="00602C01" w:rsidRPr="004907F4">
        <w:t xml:space="preserve">denne finansieringsmåten. Det </w:t>
      </w:r>
      <w:r w:rsidR="005968C6" w:rsidRPr="004907F4">
        <w:t>antas</w:t>
      </w:r>
      <w:r w:rsidR="00602C01" w:rsidRPr="004907F4">
        <w:t xml:space="preserve"> samtidig en </w:t>
      </w:r>
      <w:r w:rsidR="00817408" w:rsidRPr="004907F4">
        <w:t>lege</w:t>
      </w:r>
      <w:r w:rsidR="00602C01" w:rsidRPr="004907F4">
        <w:t xml:space="preserve">faglig norm </w:t>
      </w:r>
      <w:r w:rsidR="00191C0F" w:rsidRPr="004907F4">
        <w:t>som sier at hver listeinnbygger må tilbys minimum to konsultasjoner per år</w:t>
      </w:r>
      <w:r w:rsidR="00CB6EE7" w:rsidRPr="004907F4">
        <w:t xml:space="preserve">, og at legen </w:t>
      </w:r>
      <w:r w:rsidR="006F7E40" w:rsidRPr="004907F4">
        <w:t xml:space="preserve">minimerer </w:t>
      </w:r>
      <w:r w:rsidR="000F457E" w:rsidRPr="004907F4">
        <w:t xml:space="preserve">pasientkontakten til normen på </w:t>
      </w:r>
      <w:r w:rsidR="00317999" w:rsidRPr="004907F4">
        <w:t>to konsultasjoner per år.</w:t>
      </w:r>
      <w:r w:rsidR="000B408B" w:rsidRPr="004907F4">
        <w:t xml:space="preserve"> </w:t>
      </w:r>
      <w:r w:rsidR="00EE238A" w:rsidRPr="004907F4">
        <w:t>Inntekten fra å arbeide en time ekstra med eksisterende listeinnbyggere er null. Inntektene fra å arbeide en time ekstra som resultat av å øke listen med to personer</w:t>
      </w:r>
      <w:r w:rsidR="00662C2B" w:rsidRPr="004907F4">
        <w:t>,</w:t>
      </w:r>
      <w:r w:rsidR="00EE238A" w:rsidRPr="004907F4">
        <w:t xml:space="preserve"> er </w:t>
      </w:r>
      <w:r w:rsidR="006C712C" w:rsidRPr="004907F4">
        <w:t>80</w:t>
      </w:r>
      <w:r w:rsidR="00D9107F" w:rsidRPr="004907F4">
        <w:t>0</w:t>
      </w:r>
      <w:r w:rsidR="00D9107F">
        <w:t> kroner</w:t>
      </w:r>
      <w:r w:rsidR="006C712C" w:rsidRPr="004907F4">
        <w:t xml:space="preserve">. </w:t>
      </w:r>
      <w:r w:rsidR="00A94FDF" w:rsidRPr="004907F4">
        <w:t xml:space="preserve">Inntekten fra å arbeide en time ekstra er dermed den samme som under aktivitetsavhengig finansiering. </w:t>
      </w:r>
      <w:r w:rsidR="006C712C" w:rsidRPr="004907F4">
        <w:t>T</w:t>
      </w:r>
      <w:r w:rsidR="00380A2D" w:rsidRPr="004907F4">
        <w:t>re</w:t>
      </w:r>
      <w:r w:rsidR="006C712C" w:rsidRPr="004907F4">
        <w:t xml:space="preserve"> konklusjoner følger. 1) Basi</w:t>
      </w:r>
      <w:r w:rsidR="00F5616B">
        <w:t>s</w:t>
      </w:r>
      <w:r w:rsidR="00057DEF" w:rsidRPr="004907F4">
        <w:t>ti</w:t>
      </w:r>
      <w:r w:rsidR="006C712C" w:rsidRPr="004907F4">
        <w:t>l</w:t>
      </w:r>
      <w:r w:rsidR="00057DEF" w:rsidRPr="004907F4">
        <w:t>s</w:t>
      </w:r>
      <w:r w:rsidR="00C35345">
        <w:t>k</w:t>
      </w:r>
      <w:r w:rsidR="006C712C" w:rsidRPr="004907F4">
        <w:t>udd i form av per</w:t>
      </w:r>
      <w:r w:rsidR="00704EEE">
        <w:t xml:space="preserve"> </w:t>
      </w:r>
      <w:r w:rsidR="006C712C" w:rsidRPr="004907F4">
        <w:t>capita finansiering er gunstig når det er knapphet på fastleger</w:t>
      </w:r>
      <w:r w:rsidR="00C502D0" w:rsidRPr="004907F4">
        <w:t xml:space="preserve"> </w:t>
      </w:r>
      <w:r w:rsidR="00E76E5D" w:rsidRPr="004907F4">
        <w:t xml:space="preserve">med ledige </w:t>
      </w:r>
      <w:r w:rsidR="00DF230D" w:rsidRPr="004907F4">
        <w:t>listeplasser</w:t>
      </w:r>
      <w:r w:rsidR="006C712C" w:rsidRPr="004907F4">
        <w:t xml:space="preserve"> siden fastlegene vil velge lengre liste </w:t>
      </w:r>
      <w:r w:rsidR="006F0538" w:rsidRPr="004907F4">
        <w:t>ved basistil</w:t>
      </w:r>
      <w:r w:rsidR="00C502D0" w:rsidRPr="004907F4">
        <w:t>s</w:t>
      </w:r>
      <w:r w:rsidR="006F0538" w:rsidRPr="004907F4">
        <w:t xml:space="preserve">kudd </w:t>
      </w:r>
      <w:r w:rsidR="006C712C" w:rsidRPr="004907F4">
        <w:t xml:space="preserve">enn de vil gjøre under aktivitetsbasert finansiering. 2) Den samlede aktiviteten </w:t>
      </w:r>
      <w:r w:rsidR="00FC7835" w:rsidRPr="004907F4">
        <w:t>i form av konsultasjoner og arbeidstimer</w:t>
      </w:r>
      <w:r w:rsidR="006C712C" w:rsidRPr="004907F4">
        <w:t xml:space="preserve"> kan forventes</w:t>
      </w:r>
      <w:r w:rsidR="00A94FDF" w:rsidRPr="004907F4">
        <w:t xml:space="preserve"> </w:t>
      </w:r>
      <w:r w:rsidR="006C712C" w:rsidRPr="004907F4">
        <w:t xml:space="preserve">å </w:t>
      </w:r>
      <w:r w:rsidR="00A94FDF" w:rsidRPr="004907F4">
        <w:t xml:space="preserve">være </w:t>
      </w:r>
      <w:r w:rsidR="005F6D0F" w:rsidRPr="004907F4">
        <w:t xml:space="preserve">omtrent </w:t>
      </w:r>
      <w:r w:rsidR="000B4215" w:rsidRPr="004907F4">
        <w:t>d</w:t>
      </w:r>
      <w:r w:rsidR="00A94FDF" w:rsidRPr="004907F4">
        <w:t>en samme under per capita finans</w:t>
      </w:r>
      <w:r w:rsidR="00380A2D" w:rsidRPr="004907F4">
        <w:t>iering som under aktivitetsbasert finansiering. 3)</w:t>
      </w:r>
      <w:r w:rsidR="00BC2E29" w:rsidRPr="004907F4">
        <w:t xml:space="preserve"> Per capita finansiering oppmuntrer til færre tjenester til hver listeinnbygger enn aktivitetsbasert finansiering</w:t>
      </w:r>
      <w:r w:rsidR="00FC7835" w:rsidRPr="004907F4">
        <w:t>.</w:t>
      </w:r>
    </w:p>
    <w:p w14:paraId="35295308" w14:textId="2FE69F62" w:rsidR="00116EDD" w:rsidRPr="004907F4" w:rsidRDefault="00BD0820" w:rsidP="004907F4">
      <w:pPr>
        <w:jc w:val="both"/>
      </w:pPr>
      <w:r w:rsidRPr="004907F4">
        <w:t>B</w:t>
      </w:r>
      <w:r w:rsidR="00116EDD" w:rsidRPr="004907F4">
        <w:t xml:space="preserve">asisfinansiering </w:t>
      </w:r>
      <w:r w:rsidRPr="004907F4">
        <w:t xml:space="preserve">kan altså gi legen insentiver til å yte </w:t>
      </w:r>
      <w:r w:rsidR="001D4522" w:rsidRPr="004907F4">
        <w:t xml:space="preserve">færre tjenester til </w:t>
      </w:r>
      <w:r w:rsidR="00F5616B" w:rsidRPr="004907F4">
        <w:t>noen innbyggere</w:t>
      </w:r>
      <w:r w:rsidR="00C20445" w:rsidRPr="004907F4">
        <w:t xml:space="preserve">, </w:t>
      </w:r>
      <w:r w:rsidR="00AD0F61" w:rsidRPr="004907F4">
        <w:t xml:space="preserve">og ut fra </w:t>
      </w:r>
      <w:r w:rsidR="00EB5F27" w:rsidRPr="004907F4">
        <w:t xml:space="preserve">medisinskfaglige prioriteringer vil det fortrinnsvis være de innbyggerne </w:t>
      </w:r>
      <w:r w:rsidR="001D4522" w:rsidRPr="004907F4">
        <w:t>som trenger de</w:t>
      </w:r>
      <w:r w:rsidR="00BE6085" w:rsidRPr="004907F4">
        <w:t>m</w:t>
      </w:r>
      <w:r w:rsidR="001D4522" w:rsidRPr="004907F4">
        <w:t xml:space="preserve"> minst</w:t>
      </w:r>
      <w:r w:rsidR="00115F8D" w:rsidRPr="004907F4">
        <w:t>. Ved knapphet på legetjenester</w:t>
      </w:r>
      <w:r w:rsidR="00403708" w:rsidRPr="004907F4">
        <w:t>,</w:t>
      </w:r>
      <w:r w:rsidR="00115F8D" w:rsidRPr="004907F4">
        <w:t xml:space="preserve"> vil dette være en ønsket prioritering fra samfunnets side</w:t>
      </w:r>
      <w:r w:rsidR="00E44594" w:rsidRPr="004907F4">
        <w:t xml:space="preserve">. </w:t>
      </w:r>
      <w:r w:rsidR="001F1973" w:rsidRPr="004907F4">
        <w:t>I</w:t>
      </w:r>
      <w:r w:rsidR="00E44594" w:rsidRPr="004907F4">
        <w:t xml:space="preserve"> praksis kan det være vanskelig for legene å identifisere pasientgruppene</w:t>
      </w:r>
      <w:r w:rsidR="00B80065" w:rsidRPr="004907F4">
        <w:t xml:space="preserve"> som trenger dem minst</w:t>
      </w:r>
      <w:r w:rsidR="00E44594" w:rsidRPr="004907F4">
        <w:t xml:space="preserve">, </w:t>
      </w:r>
      <w:r w:rsidR="00514555" w:rsidRPr="004907F4">
        <w:t xml:space="preserve">og det kan hende at disse gruppene av pasienter </w:t>
      </w:r>
      <w:r w:rsidR="000E4A9A" w:rsidRPr="004907F4">
        <w:t>søker andre tilbydere</w:t>
      </w:r>
      <w:r w:rsidR="00EE5EA9" w:rsidRPr="004907F4">
        <w:t xml:space="preserve"> hvis ventetiden </w:t>
      </w:r>
      <w:r w:rsidR="00C449CA" w:rsidRPr="004907F4">
        <w:t xml:space="preserve">til time </w:t>
      </w:r>
      <w:r w:rsidR="00EE5EA9" w:rsidRPr="004907F4">
        <w:t>blir lang</w:t>
      </w:r>
      <w:r w:rsidR="000E4A9A" w:rsidRPr="004907F4">
        <w:t xml:space="preserve">. </w:t>
      </w:r>
      <w:r w:rsidR="00101F1F" w:rsidRPr="004907F4">
        <w:t xml:space="preserve">Det er dermed fare for at </w:t>
      </w:r>
      <w:r w:rsidR="00A210DF" w:rsidRPr="004907F4">
        <w:t>dersom fastlegene lykkes i å gjøre en bedre medisin</w:t>
      </w:r>
      <w:r w:rsidR="005049E3" w:rsidRPr="004907F4">
        <w:t>s</w:t>
      </w:r>
      <w:r w:rsidR="00A210DF" w:rsidRPr="004907F4">
        <w:t>kfagli</w:t>
      </w:r>
      <w:r w:rsidR="005049E3" w:rsidRPr="004907F4">
        <w:t>g</w:t>
      </w:r>
      <w:r w:rsidR="00A210DF" w:rsidRPr="004907F4">
        <w:t xml:space="preserve"> prioritering, </w:t>
      </w:r>
      <w:r w:rsidR="004057EC" w:rsidRPr="004907F4">
        <w:t xml:space="preserve">vil de selv sitte igjen med de krevende pasientene og de enkle pasientene </w:t>
      </w:r>
      <w:r w:rsidR="009A3E44" w:rsidRPr="004907F4">
        <w:t xml:space="preserve">vil </w:t>
      </w:r>
      <w:r w:rsidR="007F6282" w:rsidRPr="004907F4">
        <w:t xml:space="preserve">i større grad </w:t>
      </w:r>
      <w:r w:rsidR="004057EC" w:rsidRPr="004907F4">
        <w:t xml:space="preserve">oppsøker </w:t>
      </w:r>
      <w:r w:rsidR="007F6282" w:rsidRPr="004907F4">
        <w:t xml:space="preserve">legevakt eller </w:t>
      </w:r>
      <w:r w:rsidR="00AD18B2" w:rsidRPr="004907F4">
        <w:t xml:space="preserve">helprivate tjenester. </w:t>
      </w:r>
      <w:r w:rsidR="00A4618B" w:rsidRPr="004907F4">
        <w:t xml:space="preserve">Lav </w:t>
      </w:r>
      <w:r w:rsidR="0082259A" w:rsidRPr="004907F4">
        <w:t>grad av aktivitetsbasert finansiering</w:t>
      </w:r>
      <w:r w:rsidR="00D40E88" w:rsidRPr="004907F4">
        <w:t>,</w:t>
      </w:r>
      <w:r w:rsidR="0082259A" w:rsidRPr="004907F4">
        <w:t xml:space="preserve"> </w:t>
      </w:r>
      <w:r w:rsidR="000C623D" w:rsidRPr="004907F4">
        <w:t xml:space="preserve">kan også gjøre det gunstig </w:t>
      </w:r>
      <w:r w:rsidR="0082259A" w:rsidRPr="004907F4">
        <w:t xml:space="preserve">for fastlegen </w:t>
      </w:r>
      <w:r w:rsidR="000C623D" w:rsidRPr="004907F4">
        <w:t>å henvise eller på andre måter overføre noe av pasientenes behandlingsbehov, til andre deler av helsetjenesten</w:t>
      </w:r>
      <w:r w:rsidR="000C623D" w:rsidRPr="00B60A69">
        <w:t xml:space="preserve"> </w:t>
      </w:r>
      <w:r w:rsidR="000C623D" w:rsidRPr="004907F4">
        <w:fldChar w:fldCharType="begin"/>
      </w:r>
      <w:r w:rsidR="00A27571">
        <w:instrText xml:space="preserve"> ADDIN EN.CITE &lt;EndNote&gt;&lt;Cite&gt;&lt;Author&gt;Godager&lt;/Author&gt;&lt;Year&gt;2017&lt;/Year&gt;&lt;RecNum&gt;241&lt;/RecNum&gt;&lt;DisplayText&gt;(Brekke et al., 2020; Godager et al., 2017a)&lt;/DisplayText&gt;&lt;record&gt;&lt;rec-number&gt;241&lt;/rec-number&gt;&lt;foreign-keys&gt;&lt;key app="EN" db-id="95tpr2tp6r9xwoea9rb5wdsz5ds5xeddteew" timestamp="1680069511"&gt;241&lt;/key&gt;&lt;/foreign-keys&gt;&lt;ref-type name="Journal Article"&gt;17&lt;/ref-type&gt;&lt;contributors&gt;&lt;authors&gt;&lt;author&gt;Geir Godager &lt;/author&gt;&lt;author&gt;Tor Iversen&lt;/author&gt;&lt;/authors&gt;&lt;/contributors&gt;&lt;titles&gt;&lt;title&gt;Fastlegen som portvakt&lt;/title&gt;&lt;secondary-title&gt;Michael&lt;/secondary-title&gt;&lt;/titles&gt;&lt;periodical&gt;&lt;full-title&gt;Michael&lt;/full-title&gt;&lt;/periodical&gt;&lt;pages&gt;43-59&lt;/pages&gt;&lt;volume&gt;14&lt;/volume&gt;&lt;num-vols&gt;19&lt;/num-vols&gt;&lt;dates&gt;&lt;year&gt;2017&lt;/year&gt;&lt;/dates&gt;&lt;urls&gt;&lt;/urls&gt;&lt;/record&gt;&lt;/Cite&gt;&lt;Cite&gt;&lt;Author&gt;Brekke&lt;/Author&gt;&lt;Year&gt;2020&lt;/Year&gt;&lt;RecNum&gt;970&lt;/RecNum&gt;&lt;record&gt;&lt;rec-number&gt;970&lt;/rec-number&gt;&lt;foreign-keys&gt;&lt;key app="EN" db-id="95tpr2tp6r9xwoea9rb5wdsz5ds5xeddteew" timestamp="1680225507"&gt;970&lt;/key&gt;&lt;/foreign-keys&gt;&lt;ref-type name="Journal Article"&gt;17&lt;/ref-type&gt;&lt;contributors&gt;&lt;authors&gt;&lt;author&gt;Brekke, K.R.&lt;/author&gt;&lt;author&gt;Holmåa, T.H.&lt;/author&gt;&lt;author&gt;Monstad, K.&lt;/author&gt;&lt;author&gt;Straume, O.R.&lt;/author&gt;&lt;/authors&gt;&lt;/contributors&gt;&lt;titles&gt;&lt;title&gt;How does the type of remuneration affect physician behaviour?: Fixed salary versus fee-for-service&lt;/title&gt;&lt;secondary-title&gt;Am Jour of Health Ec&lt;/secondary-title&gt;&lt;/titles&gt;&lt;periodical&gt;&lt;full-title&gt;Am Jour of Health Ec&lt;/full-title&gt;&lt;/periodical&gt;&lt;volume&gt;6&lt;/volume&gt;&lt;number&gt;1&lt;/number&gt;&lt;dates&gt;&lt;year&gt;2020&lt;/year&gt;&lt;/dates&gt;&lt;urls&gt;&lt;/urls&gt;&lt;/record&gt;&lt;/Cite&gt;&lt;/EndNote&gt;</w:instrText>
      </w:r>
      <w:r w:rsidR="000C623D" w:rsidRPr="004907F4">
        <w:fldChar w:fldCharType="separate"/>
      </w:r>
      <w:r w:rsidR="00856689" w:rsidRPr="004907F4">
        <w:rPr>
          <w:noProof/>
        </w:rPr>
        <w:t>(Brekke et al., 2020; Godager et al., 2017a)</w:t>
      </w:r>
      <w:r w:rsidR="000C623D" w:rsidRPr="004907F4">
        <w:fldChar w:fldCharType="end"/>
      </w:r>
      <w:r w:rsidR="000C623D" w:rsidRPr="004907F4">
        <w:t>.</w:t>
      </w:r>
    </w:p>
    <w:p w14:paraId="4524F364" w14:textId="77777777" w:rsidR="00D9107F" w:rsidRDefault="009E25EB" w:rsidP="004907F4">
      <w:pPr>
        <w:jc w:val="both"/>
      </w:pPr>
      <w:r w:rsidRPr="004907F4">
        <w:t>Hvis basis</w:t>
      </w:r>
      <w:r w:rsidR="009F627C" w:rsidRPr="004907F4">
        <w:t>tilskuddet</w:t>
      </w:r>
      <w:r w:rsidRPr="004907F4">
        <w:t xml:space="preserve"> utgjør all, eller mesteparten av, fastlegens inntekt, kan det</w:t>
      </w:r>
      <w:r w:rsidR="004B221F" w:rsidRPr="004907F4">
        <w:t xml:space="preserve"> </w:t>
      </w:r>
      <w:r w:rsidRPr="004907F4">
        <w:t xml:space="preserve">være behov for å </w:t>
      </w:r>
      <w:r w:rsidR="006B2ADB" w:rsidRPr="004907F4">
        <w:t xml:space="preserve">kompensere og </w:t>
      </w:r>
      <w:r w:rsidRPr="004907F4">
        <w:t>redusere legens risiko knyttet til at liste</w:t>
      </w:r>
      <w:r w:rsidR="004F0C19" w:rsidRPr="004907F4">
        <w:t>innbyggere</w:t>
      </w:r>
      <w:r w:rsidRPr="004907F4">
        <w:t xml:space="preserve"> har eller får større helsetjenestebehov enn vanlig. Dette kan gjøres ved å la legen </w:t>
      </w:r>
      <w:r w:rsidR="00D15481" w:rsidRPr="004907F4">
        <w:t xml:space="preserve">i større grad </w:t>
      </w:r>
      <w:r w:rsidR="008B640B" w:rsidRPr="004907F4">
        <w:t xml:space="preserve">prioritere ned andre </w:t>
      </w:r>
      <w:r w:rsidR="008B640B" w:rsidRPr="004907F4">
        <w:lastRenderedPageBreak/>
        <w:t xml:space="preserve">listeinnbyggere </w:t>
      </w:r>
      <w:r w:rsidR="0049159E" w:rsidRPr="004907F4">
        <w:t xml:space="preserve">eller </w:t>
      </w:r>
      <w:r w:rsidRPr="004907F4">
        <w:t xml:space="preserve">redusere listelengden for å unngå for stor arbeidsbelastning, men da vil også </w:t>
      </w:r>
      <w:r w:rsidR="00F07CBE" w:rsidRPr="004907F4">
        <w:t xml:space="preserve">fastlegens </w:t>
      </w:r>
      <w:r w:rsidR="004640D3" w:rsidRPr="004907F4">
        <w:t>kostnade</w:t>
      </w:r>
      <w:r w:rsidR="00F07CBE" w:rsidRPr="004907F4">
        <w:t>r</w:t>
      </w:r>
      <w:r w:rsidR="004640D3" w:rsidRPr="004907F4">
        <w:t xml:space="preserve"> øke eller </w:t>
      </w:r>
      <w:r w:rsidRPr="004907F4">
        <w:t>inntekte</w:t>
      </w:r>
      <w:r w:rsidR="00F07CBE" w:rsidRPr="004907F4">
        <w:t>r</w:t>
      </w:r>
      <w:r w:rsidRPr="004907F4">
        <w:t xml:space="preserve"> falle. For å unngå fall i inntekt som følge av </w:t>
      </w:r>
      <w:r w:rsidR="003728C3" w:rsidRPr="004907F4">
        <w:t>strengere</w:t>
      </w:r>
      <w:r w:rsidR="00606519" w:rsidRPr="004907F4">
        <w:t xml:space="preserve"> prioriteringer </w:t>
      </w:r>
      <w:r w:rsidR="00AB0A0C" w:rsidRPr="004907F4">
        <w:t>og</w:t>
      </w:r>
      <w:r w:rsidR="00AB1B52" w:rsidRPr="004907F4">
        <w:t xml:space="preserve"> </w:t>
      </w:r>
      <w:r w:rsidR="00606519" w:rsidRPr="004907F4">
        <w:t>økt</w:t>
      </w:r>
      <w:r w:rsidRPr="004907F4">
        <w:t xml:space="preserve"> behov blant </w:t>
      </w:r>
      <w:r w:rsidR="004C4F8F" w:rsidRPr="004907F4">
        <w:t>listeinnbyggere</w:t>
      </w:r>
      <w:r w:rsidRPr="004907F4">
        <w:t xml:space="preserve">, kan risikoen alternativt </w:t>
      </w:r>
      <w:r w:rsidR="003C4862" w:rsidRPr="004907F4">
        <w:t>justeres</w:t>
      </w:r>
      <w:r w:rsidRPr="004907F4">
        <w:t xml:space="preserve"> ved å la basistilskuddet avhenge av behovene til liste</w:t>
      </w:r>
      <w:r w:rsidR="004C4F8F" w:rsidRPr="004907F4">
        <w:t>innbyggerne</w:t>
      </w:r>
      <w:r w:rsidRPr="004907F4">
        <w:t xml:space="preserve">. I ytterste konsekvens vil en slik justering ende opp som aktivitetsbasert </w:t>
      </w:r>
      <w:r w:rsidR="00226EC5" w:rsidRPr="004907F4">
        <w:t>finansiering</w:t>
      </w:r>
      <w:r w:rsidRPr="004907F4">
        <w:t>, der den økonomiske risikoen ved økt arbeidsbelastning i sin helhet er flyttet fra legen til den som finansierer ordningen</w:t>
      </w:r>
      <w:r w:rsidR="00505B4B" w:rsidRPr="004907F4">
        <w:t>.</w:t>
      </w:r>
      <w:r w:rsidRPr="004907F4">
        <w:t xml:space="preserve"> Legen vil dermed kompenseres økonomisk dersom helsetjenestebehovene til listeinnbyggerne øker. I et system der mesteparten eller all avlønning i utgangspunktet er bestemt av legens aktivitet (taks</w:t>
      </w:r>
      <w:r w:rsidR="00BC23C2" w:rsidRPr="004907F4">
        <w:t>t</w:t>
      </w:r>
      <w:r w:rsidR="00DA7FBA" w:rsidRPr="004907F4">
        <w:t>er</w:t>
      </w:r>
      <w:r w:rsidRPr="004907F4">
        <w:t>), vil med andre ord det økonomiske behovet for å justere basistilskuddet være annerledes eller bortfalle.</w:t>
      </w:r>
    </w:p>
    <w:p w14:paraId="7C7A718B" w14:textId="2832EFC4" w:rsidR="002426C7" w:rsidRDefault="00404281" w:rsidP="004907F4">
      <w:pPr>
        <w:jc w:val="both"/>
      </w:pPr>
      <w:r>
        <w:t>D</w:t>
      </w:r>
      <w:r w:rsidR="009E25EB">
        <w:t>et finnes en god del empirisk forskning på effekter av de ulike elementene i en finansieringsordning</w:t>
      </w:r>
      <w:r w:rsidR="5C6A17A5">
        <w:t xml:space="preserve"> </w:t>
      </w:r>
      <w:r w:rsidR="00576E44">
        <w:fldChar w:fldCharType="begin">
          <w:fldData xml:space="preserve">PEVuZE5vdGU+PENpdGU+PEF1dGhvcj52YW4gRGlqazwvQXV0aG9yPjxZZWFyPjIwMTM8L1llYXI+
PFJlY051bT41MDA8L1JlY051bT48RGlzcGxheVRleHQ+KHZhbiBEaWprIGV0IGFsLiwgMjAxMyk8
L0Rpc3BsYXlUZXh0PjxyZWNvcmQ+PHJlYy1udW1iZXI+NTAwPC9yZWMtbnVtYmVyPjxmb3JlaWdu
LWtleXM+PGtleSBhcHA9IkVOIiBkYi1pZD0iOTV0cHIydHA2cjl4d29lYTlyYjV3ZHN6NWRzNXhl
ZGR0ZWV3IiB0aW1lc3RhbXA9IjE2ODAwNjk1MTEiPjUwMDwva2V5PjwvZm9yZWlnbi1rZXlzPjxy
ZWYtdHlwZSBuYW1lPSJKb3VybmFsIEFydGljbGUiPjE3PC9yZWYtdHlwZT48Y29udHJpYnV0b3Jz
PjxhdXRob3JzPjxhdXRob3I+dmFuIERpamssIEMuIEUuPC9hdXRob3I+PGF1dGhvcj52YW4gZGVu
IEJlcmcsIEIuPC9hdXRob3I+PGF1dGhvcj5WZXJoZWlqLCBSLiBBLjwvYXV0aG9yPjxhdXRob3I+
U3ByZWV1d2VuYmVyZywgUC48L2F1dGhvcj48YXV0aG9yPkdyb2VuZXdlZ2VuLCBQLiBQLjwvYXV0
aG9yPjxhdXRob3I+ZGUgQmFra2VyLCBELiBILjwvYXV0aG9yPjwvYXV0aG9ycz48L2NvbnRyaWJ1
dG9ycz48YXV0aC1hZGRyZXNzPk5JVkVMLCBOZXRoZXJsYW5kcyBJbnN0aXR1dGUgZm9yIEhlYWx0
aCBTZXJ2aWNlcyBSZXNlYXJjaCwgVXRyZWNodCwgdGhlIE5ldGhlcmxhbmRzLiBjLnZhbmRpamtA
bml2ZWwubmw8L2F1dGgtYWRkcmVzcz48dGl0bGVzPjx0aXRsZT5Nb3JhbCBoYXphcmQgYW5kIHN1
cHBsaWVyLWluZHVjZWQgZGVtYW5kOiBlbXBpcmljYWwgZXZpZGVuY2UgaW4gZ2VuZXJhbCBwcmFj
dGljZTwvdGl0bGU+PHNlY29uZGFyeS10aXRsZT5IZWFsdGggRWNvbjwvc2Vjb25kYXJ5LXRpdGxl
PjwvdGl0bGVzPjxwZXJpb2RpY2FsPjxmdWxsLXRpdGxlPkhlYWx0aCBFY29uPC9mdWxsLXRpdGxl
PjwvcGVyaW9kaWNhbD48cGFnZXM+MzQwLTUyPC9wYWdlcz48dm9sdW1lPjIyPC92b2x1bWU+PG51
bWJlcj4zPC9udW1iZXI+PGVkaXRpb24+MjAxMjAyMjA8L2VkaXRpb24+PGtleXdvcmRzPjxrZXl3
b3JkPkFkb2xlc2NlbnQ8L2tleXdvcmQ+PGtleXdvcmQ+QWR1bHQ8L2tleXdvcmQ+PGtleXdvcmQ+
QWdlIERpc3RyaWJ1dGlvbjwva2V5d29yZD48a2V5d29yZD5BZ2VkPC9rZXl3b3JkPjxrZXl3b3Jk
PkNvc3QgU2hhcmluZy9lY29ub21pY3MvZXRoaWNzL3RyZW5kczwva2V5d29yZD48a2V5d29yZD5H
ZW5lcmFsIFByYWN0aWNlLyplY29ub21pY3MvZXRoaWNzL3RyZW5kczwva2V5d29yZD48a2V5d29y
ZD5IZWFsdGggU2VydmljZXMvKmVjb25vbWljcy9ldGhpY3Mvc3RhdGlzdGljcyAmYW1wOyBudW1l
cmljYWwgZGF0YS90cmVuZHM8L2tleXdvcmQ+PGtleXdvcmQ+SGVhbHRoIFNlcnZpY2VzIE5lZWRz
IGFuZCBEZW1hbmQvKmVjb25vbWljcy9ldGhpY3M8L2tleXdvcmQ+PGtleXdvcmQ+SHVtYW5zPC9r
ZXl3b3JkPjxrZXl3b3JkPk1hbmFnZWQgQ29tcGV0aXRpb24vZXRoaWNzL3RyZW5kczwva2V5d29y
ZD48a2V5d29yZD5NaWRkbGUgQWdlZDwva2V5d29yZD48a2V5d29yZD5Nb2RlbHMsIEVjb25vbWV0
cmljPC9rZXl3b3JkPjxrZXl3b3JkPk5ldGhlcmxhbmRzPC9rZXl3b3JkPjxrZXl3b3JkPlBvaXNz
b24gRGlzdHJpYnV0aW9uPC9rZXl3b3JkPjxrZXl3b3JkPlByYWN0aWNlIFBhdHRlcm5zLCBQaHlz
aWNpYW5zJmFwb3M7LyplY29ub21pY3MvZXRoaWNzL3RyZW5kczwva2V5d29yZD48a2V5d29yZD5S
ZWltYnVyc2VtZW50IE1lY2hhbmlzbXMvKmV0aGljcy90cmVuZHM8L2tleXdvcmQ+PGtleXdvcmQ+
U29jaWFsIFNlY3VyaXR5L2Vjb25vbWljcy9ldGhpY3M8L2tleXdvcmQ+PGtleXdvcmQ+WW91bmcg
QWR1bHQ8L2tleXdvcmQ+PC9rZXl3b3Jkcz48ZGF0ZXM+PHllYXI+MjAxMzwveWVhcj48cHViLWRh
dGVzPjxkYXRlPk1hcjwvZGF0ZT48L3B1Yi1kYXRlcz48L2RhdGVzPjxpc2JuPjEwNTctOTIzMDwv
aXNibj48YWNjZXNzaW9uLW51bT4yMjM0NDcxMjwvYWNjZXNzaW9uLW51bT48dXJscz48L3VybHM+
PGVsZWN0cm9uaWMtcmVzb3VyY2UtbnVtPjEwLjEwMDIvaGVjLjI4MDE8L2VsZWN0cm9uaWMtcmVz
b3VyY2UtbnVtPjxyZW1vdGUtZGF0YWJhc2UtcHJvdmlkZXI+TkxNPC9yZW1vdGUtZGF0YWJhc2Ut
cHJvdmlkZXI+PGxhbmd1YWdlPmVuZzwvbGFuZ3VhZ2U+PC9yZWNvcmQ+PC9DaXRlPjwvRW5kTm90
ZT5=
</w:fldData>
        </w:fldChar>
      </w:r>
      <w:r w:rsidR="00D078E3">
        <w:instrText xml:space="preserve"> ADDIN EN.CITE </w:instrText>
      </w:r>
      <w:r w:rsidR="00D078E3">
        <w:fldChar w:fldCharType="begin">
          <w:fldData xml:space="preserve">PEVuZE5vdGU+PENpdGU+PEF1dGhvcj52YW4gRGlqazwvQXV0aG9yPjxZZWFyPjIwMTM8L1llYXI+
PFJlY051bT41MDA8L1JlY051bT48RGlzcGxheVRleHQ+KHZhbiBEaWprIGV0IGFsLiwgMjAxMyk8
L0Rpc3BsYXlUZXh0PjxyZWNvcmQ+PHJlYy1udW1iZXI+NTAwPC9yZWMtbnVtYmVyPjxmb3JlaWdu
LWtleXM+PGtleSBhcHA9IkVOIiBkYi1pZD0iOTV0cHIydHA2cjl4d29lYTlyYjV3ZHN6NWRzNXhl
ZGR0ZWV3IiB0aW1lc3RhbXA9IjE2ODAwNjk1MTEiPjUwMDwva2V5PjwvZm9yZWlnbi1rZXlzPjxy
ZWYtdHlwZSBuYW1lPSJKb3VybmFsIEFydGljbGUiPjE3PC9yZWYtdHlwZT48Y29udHJpYnV0b3Jz
PjxhdXRob3JzPjxhdXRob3I+dmFuIERpamssIEMuIEUuPC9hdXRob3I+PGF1dGhvcj52YW4gZGVu
IEJlcmcsIEIuPC9hdXRob3I+PGF1dGhvcj5WZXJoZWlqLCBSLiBBLjwvYXV0aG9yPjxhdXRob3I+
U3ByZWV1d2VuYmVyZywgUC48L2F1dGhvcj48YXV0aG9yPkdyb2VuZXdlZ2VuLCBQLiBQLjwvYXV0
aG9yPjxhdXRob3I+ZGUgQmFra2VyLCBELiBILjwvYXV0aG9yPjwvYXV0aG9ycz48L2NvbnRyaWJ1
dG9ycz48YXV0aC1hZGRyZXNzPk5JVkVMLCBOZXRoZXJsYW5kcyBJbnN0aXR1dGUgZm9yIEhlYWx0
aCBTZXJ2aWNlcyBSZXNlYXJjaCwgVXRyZWNodCwgdGhlIE5ldGhlcmxhbmRzLiBjLnZhbmRpamtA
bml2ZWwubmw8L2F1dGgtYWRkcmVzcz48dGl0bGVzPjx0aXRsZT5Nb3JhbCBoYXphcmQgYW5kIHN1
cHBsaWVyLWluZHVjZWQgZGVtYW5kOiBlbXBpcmljYWwgZXZpZGVuY2UgaW4gZ2VuZXJhbCBwcmFj
dGljZTwvdGl0bGU+PHNlY29uZGFyeS10aXRsZT5IZWFsdGggRWNvbjwvc2Vjb25kYXJ5LXRpdGxl
PjwvdGl0bGVzPjxwZXJpb2RpY2FsPjxmdWxsLXRpdGxlPkhlYWx0aCBFY29uPC9mdWxsLXRpdGxl
PjwvcGVyaW9kaWNhbD48cGFnZXM+MzQwLTUyPC9wYWdlcz48dm9sdW1lPjIyPC92b2x1bWU+PG51
bWJlcj4zPC9udW1iZXI+PGVkaXRpb24+MjAxMjAyMjA8L2VkaXRpb24+PGtleXdvcmRzPjxrZXl3
b3JkPkFkb2xlc2NlbnQ8L2tleXdvcmQ+PGtleXdvcmQ+QWR1bHQ8L2tleXdvcmQ+PGtleXdvcmQ+
QWdlIERpc3RyaWJ1dGlvbjwva2V5d29yZD48a2V5d29yZD5BZ2VkPC9rZXl3b3JkPjxrZXl3b3Jk
PkNvc3QgU2hhcmluZy9lY29ub21pY3MvZXRoaWNzL3RyZW5kczwva2V5d29yZD48a2V5d29yZD5H
ZW5lcmFsIFByYWN0aWNlLyplY29ub21pY3MvZXRoaWNzL3RyZW5kczwva2V5d29yZD48a2V5d29y
ZD5IZWFsdGggU2VydmljZXMvKmVjb25vbWljcy9ldGhpY3Mvc3RhdGlzdGljcyAmYW1wOyBudW1l
cmljYWwgZGF0YS90cmVuZHM8L2tleXdvcmQ+PGtleXdvcmQ+SGVhbHRoIFNlcnZpY2VzIE5lZWRz
IGFuZCBEZW1hbmQvKmVjb25vbWljcy9ldGhpY3M8L2tleXdvcmQ+PGtleXdvcmQ+SHVtYW5zPC9r
ZXl3b3JkPjxrZXl3b3JkPk1hbmFnZWQgQ29tcGV0aXRpb24vZXRoaWNzL3RyZW5kczwva2V5d29y
ZD48a2V5d29yZD5NaWRkbGUgQWdlZDwva2V5d29yZD48a2V5d29yZD5Nb2RlbHMsIEVjb25vbWV0
cmljPC9rZXl3b3JkPjxrZXl3b3JkPk5ldGhlcmxhbmRzPC9rZXl3b3JkPjxrZXl3b3JkPlBvaXNz
b24gRGlzdHJpYnV0aW9uPC9rZXl3b3JkPjxrZXl3b3JkPlByYWN0aWNlIFBhdHRlcm5zLCBQaHlz
aWNpYW5zJmFwb3M7LyplY29ub21pY3MvZXRoaWNzL3RyZW5kczwva2V5d29yZD48a2V5d29yZD5S
ZWltYnVyc2VtZW50IE1lY2hhbmlzbXMvKmV0aGljcy90cmVuZHM8L2tleXdvcmQ+PGtleXdvcmQ+
U29jaWFsIFNlY3VyaXR5L2Vjb25vbWljcy9ldGhpY3M8L2tleXdvcmQ+PGtleXdvcmQ+WW91bmcg
QWR1bHQ8L2tleXdvcmQ+PC9rZXl3b3Jkcz48ZGF0ZXM+PHllYXI+MjAxMzwveWVhcj48cHViLWRh
dGVzPjxkYXRlPk1hcjwvZGF0ZT48L3B1Yi1kYXRlcz48L2RhdGVzPjxpc2JuPjEwNTctOTIzMDwv
aXNibj48YWNjZXNzaW9uLW51bT4yMjM0NDcxMjwvYWNjZXNzaW9uLW51bT48dXJscz48L3VybHM+
PGVsZWN0cm9uaWMtcmVzb3VyY2UtbnVtPjEwLjEwMDIvaGVjLjI4MDE8L2VsZWN0cm9uaWMtcmVz
b3VyY2UtbnVtPjxyZW1vdGUtZGF0YWJhc2UtcHJvdmlkZXI+TkxNPC9yZW1vdGUtZGF0YWJhc2Ut
cHJvdmlkZXI+PGxhbmd1YWdlPmVuZzwvbGFuZ3VhZ2U+PC9yZWNvcmQ+PC9DaXRlPjwvRW5kTm90
ZT5=
</w:fldData>
        </w:fldChar>
      </w:r>
      <w:r w:rsidR="00D078E3">
        <w:instrText xml:space="preserve"> ADDIN EN.CITE.DATA </w:instrText>
      </w:r>
      <w:r w:rsidR="00D078E3">
        <w:fldChar w:fldCharType="end"/>
      </w:r>
      <w:r w:rsidR="00576E44">
        <w:fldChar w:fldCharType="separate"/>
      </w:r>
      <w:r w:rsidR="00576E44">
        <w:rPr>
          <w:noProof/>
        </w:rPr>
        <w:t>(van Dijk et al., 2013)</w:t>
      </w:r>
      <w:r w:rsidR="00576E44">
        <w:fldChar w:fldCharType="end"/>
      </w:r>
      <w:r>
        <w:t xml:space="preserve"> og </w:t>
      </w:r>
      <w:r w:rsidR="0063242A" w:rsidRPr="00CA481B">
        <w:fldChar w:fldCharType="begin"/>
      </w:r>
      <w:r w:rsidR="004654FD">
        <w:instrText xml:space="preserve"> ADDIN EN.CITE &lt;EndNote&gt;&lt;Cite&gt;&lt;Author&gt;Lee&lt;/Author&gt;&lt;Year&gt;2020&lt;/Year&gt;&lt;RecNum&gt;484&lt;/RecNum&gt;&lt;DisplayText&gt;(Lee et al., 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0063242A" w:rsidRPr="00CA481B">
        <w:fldChar w:fldCharType="separate"/>
      </w:r>
      <w:r w:rsidR="00856689">
        <w:rPr>
          <w:noProof/>
        </w:rPr>
        <w:t>(Lee et al., 2020)</w:t>
      </w:r>
      <w:r w:rsidR="0063242A" w:rsidRPr="00CA481B">
        <w:fldChar w:fldCharType="end"/>
      </w:r>
      <w:r w:rsidR="00B33D58" w:rsidRPr="004907F4">
        <w:t>.</w:t>
      </w:r>
      <w:r w:rsidRPr="004907F4">
        <w:t xml:space="preserve"> </w:t>
      </w:r>
      <w:r>
        <w:t>Mer overordnet er e</w:t>
      </w:r>
      <w:r w:rsidR="009E25EB">
        <w:t xml:space="preserve">kspertutvalget </w:t>
      </w:r>
      <w:r>
        <w:t>ikke</w:t>
      </w:r>
      <w:r w:rsidR="009E25EB">
        <w:t xml:space="preserve"> kjent med metodisk pålitelige evalueringer av hvilken balanse mellom ulike former for basistilskudd og aktivitetsbasert </w:t>
      </w:r>
      <w:r w:rsidR="00C81E70">
        <w:t>finansiering</w:t>
      </w:r>
      <w:r w:rsidR="009E25EB">
        <w:t xml:space="preserve"> som best understøtter måle</w:t>
      </w:r>
      <w:r w:rsidR="00634317">
        <w:t>ne</w:t>
      </w:r>
      <w:r w:rsidR="009E25EB">
        <w:t xml:space="preserve"> om gode </w:t>
      </w:r>
      <w:r w:rsidR="0052434F">
        <w:t>og likeverdige allmennlege</w:t>
      </w:r>
      <w:r w:rsidR="009E25EB">
        <w:t>tjenester til innbyggerne.</w:t>
      </w:r>
    </w:p>
    <w:p w14:paraId="7F08BC03" w14:textId="3CFF0E87" w:rsidR="00D554BF" w:rsidRDefault="00BE1BE5" w:rsidP="00DF5091">
      <w:pPr>
        <w:jc w:val="both"/>
      </w:pPr>
      <w:r w:rsidRPr="004907F4">
        <w:t xml:space="preserve">Godager </w:t>
      </w:r>
      <w:r w:rsidR="00803267" w:rsidRPr="004907F4">
        <w:t>og kolleger</w:t>
      </w:r>
      <w:r w:rsidRPr="00736C49">
        <w:t xml:space="preserve"> </w:t>
      </w:r>
      <w:r w:rsidRPr="004907F4">
        <w:fldChar w:fldCharType="begin"/>
      </w:r>
      <w:r w:rsidR="00856689" w:rsidRPr="004907F4">
        <w:instrText xml:space="preserve"> ADDIN EN.CITE &lt;EndNote&gt;&lt;Cite&gt;&lt;Author&gt;Godager&lt;/Author&gt;&lt;Year&gt;2021&lt;/Year&gt;&lt;RecNum&gt;68&lt;/RecNum&gt;&lt;DisplayText&gt;(Godager et al., 2021)&lt;/DisplayText&gt;&lt;record&gt;&lt;rec-number&gt;68&lt;/rec-number&gt;&lt;foreign-keys&gt;&lt;key app="EN" db-id="95tpr2tp6r9xwoea9rb5wdsz5ds5xeddteew" timestamp="1680069511"&gt;68&lt;/key&gt;&lt;/foreign-keys&gt;&lt;ref-type name="Book Section"&gt;5&lt;/ref-type&gt;&lt;contributors&gt;&lt;authors&gt;&lt;author&gt;Godager, G.&lt;/author&gt;&lt;author&gt;Iversen, T.&lt;/author&gt;&lt;author&gt;Snilsberg, Ø.&lt;/author&gt;&lt;/authors&gt;&lt;secondary-authors&gt;&lt;author&gt;Botten, Grete&lt;/author&gt;&lt;author&gt;Det Norske medicinske Selskab,&lt;/author&gt;&lt;/secondary-authors&gt;&lt;/contributors&gt;&lt;titles&gt;&lt;title&gt;Betalingsmåter for teamarbeid i primærhelsetjenesten&lt;/title&gt;&lt;secondary-title&gt;Mangfold og engasjement i 10 år: Institutt for helse og samfunn ved universitetet i Oslo 2010-2020&lt;/secondary-title&gt;&lt;/titles&gt;&lt;pages&gt;100-109&lt;/pages&gt;&lt;keywords&gt;&lt;keyword&gt;Universitetet i Oslo Institutt for helse og samfunn&lt;/keyword&gt;&lt;keyword&gt;History of Medicine&lt;/keyword&gt;&lt;keyword&gt;Norway&lt;/keyword&gt;&lt;/keywords&gt;&lt;dates&gt;&lt;year&gt;2021&lt;/year&gt;&lt;/dates&gt;&lt;pub-location&gt;Oslo&lt;/pub-location&gt;&lt;publisher&gt;Det norske medicinske Selskab&lt;/publisher&gt;&lt;isbn&gt;9788292871768&lt;/isbn&gt;&lt;urls&gt;&lt;/urls&gt;&lt;/record&gt;&lt;/Cite&gt;&lt;/EndNote&gt;</w:instrText>
      </w:r>
      <w:r w:rsidRPr="004907F4">
        <w:fldChar w:fldCharType="separate"/>
      </w:r>
      <w:r w:rsidR="00856689" w:rsidRPr="004907F4">
        <w:t>(Godager et al., 2021)</w:t>
      </w:r>
      <w:r w:rsidRPr="004907F4">
        <w:fldChar w:fldCharType="end"/>
      </w:r>
      <w:r w:rsidRPr="004907F4">
        <w:t xml:space="preserve"> drøfter fordeler og ulemper ved de ulike elementene i finansieringsordninger for fastleger; se tabell </w:t>
      </w:r>
      <w:r w:rsidR="008E5B1F">
        <w:t>5.3</w:t>
      </w:r>
      <w:r w:rsidRPr="004907F4">
        <w:t>.</w:t>
      </w:r>
    </w:p>
    <w:p w14:paraId="2BA4987E" w14:textId="6AC46332" w:rsidR="00BE1BE5" w:rsidRDefault="005B2DBC" w:rsidP="00775632">
      <w:pPr>
        <w:pStyle w:val="tabell-tittel"/>
      </w:pPr>
      <w:r>
        <w:t>Eg</w:t>
      </w:r>
      <w:r w:rsidR="00964683">
        <w:t>enskap</w:t>
      </w:r>
      <w:r w:rsidR="00722068">
        <w:t>er</w:t>
      </w:r>
      <w:r w:rsidR="00BE1BE5">
        <w:t xml:space="preserve"> ved de ulike elementene i finansieringsordninger for fastleger</w:t>
      </w:r>
    </w:p>
    <w:tbl>
      <w:tblPr>
        <w:tblStyle w:val="EUTabellstil"/>
        <w:tblW w:w="9214" w:type="dxa"/>
        <w:tblLayout w:type="fixed"/>
        <w:tblLook w:val="00A0" w:firstRow="1" w:lastRow="0" w:firstColumn="1" w:lastColumn="0" w:noHBand="0" w:noVBand="0"/>
      </w:tblPr>
      <w:tblGrid>
        <w:gridCol w:w="1555"/>
        <w:gridCol w:w="1842"/>
        <w:gridCol w:w="5817"/>
      </w:tblGrid>
      <w:tr w:rsidR="00BE1BE5" w:rsidRPr="003703B7" w14:paraId="67E1CD47" w14:textId="77777777" w:rsidTr="0028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24" w:space="0" w:color="2A3652"/>
            </w:tcBorders>
            <w:shd w:val="clear" w:color="auto" w:fill="A9D6B9"/>
          </w:tcPr>
          <w:p w14:paraId="647AD8DC" w14:textId="77777777" w:rsidR="00BE1BE5" w:rsidRPr="00D9107F" w:rsidRDefault="00BE1BE5" w:rsidP="000E769C">
            <w:pPr>
              <w:pStyle w:val="TabellHode-kolonne"/>
              <w:rPr>
                <w:rStyle w:val="halvfet"/>
              </w:rPr>
            </w:pPr>
            <w:r w:rsidRPr="00D9107F">
              <w:rPr>
                <w:rStyle w:val="halvfet"/>
              </w:rPr>
              <w:t>Avlønningsform</w:t>
            </w:r>
          </w:p>
        </w:tc>
        <w:tc>
          <w:tcPr>
            <w:tcW w:w="1842" w:type="dxa"/>
            <w:tcBorders>
              <w:bottom w:val="single" w:sz="24" w:space="0" w:color="2A3652"/>
            </w:tcBorders>
            <w:shd w:val="clear" w:color="auto" w:fill="A9D6B9"/>
          </w:tcPr>
          <w:p w14:paraId="57DE6DE0" w14:textId="77777777" w:rsidR="00BE1BE5" w:rsidRPr="00D9107F" w:rsidRDefault="00BE1BE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Avlønningsformel</w:t>
            </w:r>
          </w:p>
        </w:tc>
        <w:tc>
          <w:tcPr>
            <w:tcW w:w="5817" w:type="dxa"/>
            <w:tcBorders>
              <w:bottom w:val="single" w:sz="24" w:space="0" w:color="2A3652"/>
            </w:tcBorders>
            <w:shd w:val="clear" w:color="auto" w:fill="A9D6B9"/>
          </w:tcPr>
          <w:p w14:paraId="0B2A112E" w14:textId="77777777" w:rsidR="00BE1BE5" w:rsidRPr="00D9107F" w:rsidRDefault="00BE1BE5" w:rsidP="000E769C">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Særtrekk ved betalingssystemet</w:t>
            </w:r>
          </w:p>
        </w:tc>
      </w:tr>
      <w:tr w:rsidR="00BE1BE5" w:rsidRPr="003703B7" w14:paraId="7F8B9B71" w14:textId="77777777" w:rsidTr="002843E0">
        <w:tc>
          <w:tcPr>
            <w:cnfStyle w:val="001000000000" w:firstRow="0" w:lastRow="0" w:firstColumn="1" w:lastColumn="0" w:oddVBand="0" w:evenVBand="0" w:oddHBand="0" w:evenHBand="0" w:firstRowFirstColumn="0" w:firstRowLastColumn="0" w:lastRowFirstColumn="0" w:lastRowLastColumn="0"/>
            <w:tcW w:w="1555" w:type="dxa"/>
            <w:tcBorders>
              <w:top w:val="single" w:sz="24" w:space="0" w:color="2A3652"/>
            </w:tcBorders>
          </w:tcPr>
          <w:p w14:paraId="5C8D0624" w14:textId="77777777" w:rsidR="00BE1BE5" w:rsidRPr="003703B7" w:rsidRDefault="00BE1BE5" w:rsidP="000E769C">
            <w:pPr>
              <w:pStyle w:val="TabellHode-rad"/>
              <w:rPr>
                <w:lang w:val="en-GB"/>
              </w:rPr>
            </w:pPr>
            <w:r w:rsidRPr="003703B7">
              <w:rPr>
                <w:lang w:val="en-GB"/>
              </w:rPr>
              <w:t>[A] Rendyrket per capita betaling</w:t>
            </w:r>
          </w:p>
        </w:tc>
        <w:tc>
          <w:tcPr>
            <w:tcW w:w="1842" w:type="dxa"/>
            <w:tcBorders>
              <w:top w:val="single" w:sz="24" w:space="0" w:color="2A3652"/>
            </w:tcBorders>
          </w:tcPr>
          <w:p w14:paraId="29317BC1"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Driftsinntekt =</w:t>
            </w:r>
          </w:p>
          <w:p w14:paraId="74860A7B"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 pasienter *</w:t>
            </w:r>
          </w:p>
          <w:p w14:paraId="17F2FC57" w14:textId="359A1E38"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per capita sats (kr)</w:t>
            </w:r>
          </w:p>
        </w:tc>
        <w:tc>
          <w:tcPr>
            <w:tcW w:w="5817" w:type="dxa"/>
            <w:tcBorders>
              <w:top w:val="single" w:sz="24" w:space="0" w:color="2A3652"/>
            </w:tcBorders>
          </w:tcPr>
          <w:p w14:paraId="5FC75A9D" w14:textId="522D5024"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Ingen usikkerhet knyttet til myndighetenes totale utgifter</w:t>
            </w:r>
            <w:r w:rsidR="00EF1DEE">
              <w:rPr>
                <w:rFonts w:asciiTheme="minorHAnsi" w:hAnsiTheme="minorHAnsi" w:cstheme="minorHAnsi"/>
                <w:lang w:val="nb-NO"/>
              </w:rPr>
              <w:t>.</w:t>
            </w:r>
          </w:p>
          <w:p w14:paraId="7DEC1E09" w14:textId="77777777"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Usikkerhet for legen med hensyn til egne kostnader, siden kostnader til pasientbehandling må dekkes av legen.</w:t>
            </w:r>
          </w:p>
          <w:p w14:paraId="664939C6" w14:textId="30BE6085"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Oppmuntrer legene til å ta ansvar for mange pasienter</w:t>
            </w:r>
            <w:r w:rsidR="00EF1DEE">
              <w:rPr>
                <w:rFonts w:asciiTheme="minorHAnsi" w:hAnsiTheme="minorHAnsi" w:cstheme="minorHAnsi"/>
                <w:lang w:val="nb-NO"/>
              </w:rPr>
              <w:t>.</w:t>
            </w:r>
          </w:p>
          <w:p w14:paraId="223A6089" w14:textId="3961B164" w:rsidR="00BE1BE5" w:rsidRPr="00941AB1"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41AB1">
              <w:rPr>
                <w:rFonts w:asciiTheme="minorHAnsi" w:hAnsiTheme="minorHAnsi" w:cstheme="minorHAnsi"/>
              </w:rPr>
              <w:t>Oppmuntrer til lavt tjenestevolum</w:t>
            </w:r>
            <w:r w:rsidR="00EF1DEE">
              <w:rPr>
                <w:rFonts w:asciiTheme="minorHAnsi" w:hAnsiTheme="minorHAnsi" w:cstheme="minorHAnsi"/>
              </w:rPr>
              <w:t>.</w:t>
            </w:r>
          </w:p>
          <w:p w14:paraId="3496280F" w14:textId="77777777"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Oppmuntrer til pasientseleksjon: Kostbart for legene å ta ansvar for pasienter med stort behov for tjenester.</w:t>
            </w:r>
          </w:p>
        </w:tc>
      </w:tr>
      <w:tr w:rsidR="00BE1BE5" w:rsidRPr="003703B7" w14:paraId="6F4C91B5" w14:textId="77777777">
        <w:tc>
          <w:tcPr>
            <w:cnfStyle w:val="001000000000" w:firstRow="0" w:lastRow="0" w:firstColumn="1" w:lastColumn="0" w:oddVBand="0" w:evenVBand="0" w:oddHBand="0" w:evenHBand="0" w:firstRowFirstColumn="0" w:firstRowLastColumn="0" w:lastRowFirstColumn="0" w:lastRowLastColumn="0"/>
            <w:tcW w:w="1555" w:type="dxa"/>
          </w:tcPr>
          <w:p w14:paraId="29D72FA5" w14:textId="77777777" w:rsidR="00BE1BE5" w:rsidRPr="003703B7" w:rsidRDefault="00BE1BE5" w:rsidP="000E769C">
            <w:pPr>
              <w:pStyle w:val="TabellHode-rad"/>
            </w:pPr>
            <w:r w:rsidRPr="003703B7">
              <w:t>[B] Rendyrket aktivitetsbasert betaling</w:t>
            </w:r>
          </w:p>
        </w:tc>
        <w:tc>
          <w:tcPr>
            <w:tcW w:w="1842" w:type="dxa"/>
          </w:tcPr>
          <w:p w14:paraId="3F4B8E81"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pPr>
            <w:r w:rsidRPr="008F50D1">
              <w:t>Driftsinntekt =</w:t>
            </w:r>
          </w:p>
          <w:p w14:paraId="57363BCF" w14:textId="00A5B82B"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pPr>
            <w:r w:rsidRPr="008F50D1">
              <w:t>#takster * takst (kr)</w:t>
            </w:r>
          </w:p>
        </w:tc>
        <w:tc>
          <w:tcPr>
            <w:tcW w:w="5817" w:type="dxa"/>
          </w:tcPr>
          <w:p w14:paraId="0596C85C"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Usikkerhet knyttet til myndighetenes totale utgifter.</w:t>
            </w:r>
          </w:p>
          <w:p w14:paraId="4C8C9C65"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703B7">
              <w:rPr>
                <w:rFonts w:asciiTheme="minorHAnsi" w:hAnsiTheme="minorHAnsi" w:cstheme="minorHAnsi"/>
              </w:rPr>
              <w:t>Mindre inntektsusikkerhet for legen</w:t>
            </w:r>
            <w:r w:rsidR="00EF1DEE">
              <w:rPr>
                <w:rFonts w:asciiTheme="minorHAnsi" w:hAnsiTheme="minorHAnsi" w:cstheme="minorHAnsi"/>
              </w:rPr>
              <w:t>.</w:t>
            </w:r>
          </w:p>
          <w:p w14:paraId="115D9FBC" w14:textId="049112D8"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Kan oppmuntre legene til å tilby stort tjenestevolum</w:t>
            </w:r>
            <w:r w:rsidR="00EF1DEE">
              <w:rPr>
                <w:rFonts w:asciiTheme="minorHAnsi" w:hAnsiTheme="minorHAnsi" w:cstheme="minorHAnsi"/>
                <w:lang w:val="nb-NO"/>
              </w:rPr>
              <w:t>.</w:t>
            </w:r>
          </w:p>
          <w:p w14:paraId="4FC5B8BA" w14:textId="74247D33"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C528F3">
              <w:rPr>
                <w:rFonts w:asciiTheme="minorHAnsi" w:hAnsiTheme="minorHAnsi" w:cstheme="minorHAnsi"/>
                <w:lang w:val="nb-NO"/>
              </w:rPr>
              <w:t>Oppmuntrer ikke til pasientseleksjon: Pasienter med stort behov for tjenester er ikke mer kostbare å behandle for den enkelte lege, siden det kan kompenseres med å behandle et mindre antall pasienter</w:t>
            </w:r>
            <w:r w:rsidR="00EB2A98">
              <w:rPr>
                <w:rFonts w:asciiTheme="minorHAnsi" w:hAnsiTheme="minorHAnsi" w:cstheme="minorHAnsi"/>
                <w:lang w:val="nb-NO"/>
              </w:rPr>
              <w:t>.</w:t>
            </w:r>
          </w:p>
        </w:tc>
      </w:tr>
      <w:tr w:rsidR="00BE1BE5" w:rsidRPr="003703B7" w14:paraId="5EA2BB86" w14:textId="77777777">
        <w:tc>
          <w:tcPr>
            <w:cnfStyle w:val="001000000000" w:firstRow="0" w:lastRow="0" w:firstColumn="1" w:lastColumn="0" w:oddVBand="0" w:evenVBand="0" w:oddHBand="0" w:evenHBand="0" w:firstRowFirstColumn="0" w:firstRowLastColumn="0" w:lastRowFirstColumn="0" w:lastRowLastColumn="0"/>
            <w:tcW w:w="1555" w:type="dxa"/>
          </w:tcPr>
          <w:p w14:paraId="677EBA4C" w14:textId="77777777" w:rsidR="00BE1BE5" w:rsidRPr="00C528F3" w:rsidRDefault="00BE1BE5" w:rsidP="000E769C">
            <w:pPr>
              <w:pStyle w:val="TabellHode-rad"/>
              <w:rPr>
                <w:lang w:val="nb-NO"/>
              </w:rPr>
            </w:pPr>
            <w:r w:rsidRPr="00C528F3">
              <w:rPr>
                <w:lang w:val="nb-NO"/>
              </w:rPr>
              <w:lastRenderedPageBreak/>
              <w:t>[C] Rendyrket fastlønn eller Fast driftstilskudd</w:t>
            </w:r>
          </w:p>
        </w:tc>
        <w:tc>
          <w:tcPr>
            <w:tcW w:w="1842" w:type="dxa"/>
          </w:tcPr>
          <w:p w14:paraId="03BDE508"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Driftsinntekt =</w:t>
            </w:r>
          </w:p>
          <w:p w14:paraId="27081B35"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fast årlig beløp (kr)</w:t>
            </w:r>
          </w:p>
        </w:tc>
        <w:tc>
          <w:tcPr>
            <w:tcW w:w="5817" w:type="dxa"/>
          </w:tcPr>
          <w:p w14:paraId="68912339"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Ingen usikkerhet knyttet til myndighetenes totale utgifter.</w:t>
            </w:r>
          </w:p>
          <w:p w14:paraId="48975B3E" w14:textId="4958A3CF" w:rsidR="00BE1BE5" w:rsidRPr="003703B7"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703B7">
              <w:rPr>
                <w:rFonts w:asciiTheme="minorHAnsi" w:hAnsiTheme="minorHAnsi" w:cstheme="minorHAnsi"/>
              </w:rPr>
              <w:t>Oppmuntrer til lavt tjenestevolum</w:t>
            </w:r>
            <w:r w:rsidR="00EB2A98">
              <w:rPr>
                <w:rFonts w:asciiTheme="minorHAnsi" w:hAnsiTheme="minorHAnsi" w:cstheme="minorHAnsi"/>
              </w:rPr>
              <w:t>.</w:t>
            </w:r>
          </w:p>
          <w:p w14:paraId="71943ADA" w14:textId="62325BD2"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C528F3">
              <w:rPr>
                <w:rFonts w:asciiTheme="minorHAnsi" w:hAnsiTheme="minorHAnsi" w:cstheme="minorHAnsi"/>
                <w:lang w:val="nb-NO"/>
              </w:rPr>
              <w:t>Oppmuntrer ikke til pasientseleksjon: Pasienter med stort behov for tjenester er ikke mer kostbare å behandle for den enkelte lege.</w:t>
            </w:r>
          </w:p>
        </w:tc>
      </w:tr>
      <w:tr w:rsidR="00BE1BE5" w:rsidRPr="003703B7" w14:paraId="290FCD58" w14:textId="77777777">
        <w:tc>
          <w:tcPr>
            <w:cnfStyle w:val="001000000000" w:firstRow="0" w:lastRow="0" w:firstColumn="1" w:lastColumn="0" w:oddVBand="0" w:evenVBand="0" w:oddHBand="0" w:evenHBand="0" w:firstRowFirstColumn="0" w:firstRowLastColumn="0" w:lastRowFirstColumn="0" w:lastRowLastColumn="0"/>
            <w:tcW w:w="1555" w:type="dxa"/>
          </w:tcPr>
          <w:p w14:paraId="2400E71D" w14:textId="77777777" w:rsidR="00BE1BE5" w:rsidRPr="00C528F3" w:rsidRDefault="00BE1BE5" w:rsidP="000E769C">
            <w:pPr>
              <w:pStyle w:val="TabellHode-rad"/>
              <w:rPr>
                <w:lang w:val="nb-NO"/>
              </w:rPr>
            </w:pPr>
            <w:r w:rsidRPr="00C528F3">
              <w:rPr>
                <w:lang w:val="nb-NO"/>
              </w:rPr>
              <w:t>[D] Kombinasjon av per capita betaling</w:t>
            </w:r>
            <w:r w:rsidRPr="00C528F3" w:rsidDel="00D006E1">
              <w:rPr>
                <w:lang w:val="nb-NO"/>
              </w:rPr>
              <w:t xml:space="preserve"> </w:t>
            </w:r>
            <w:r w:rsidRPr="00C528F3">
              <w:rPr>
                <w:lang w:val="nb-NO"/>
              </w:rPr>
              <w:t>og aktivitetsbasert betaling</w:t>
            </w:r>
          </w:p>
        </w:tc>
        <w:tc>
          <w:tcPr>
            <w:tcW w:w="1842" w:type="dxa"/>
          </w:tcPr>
          <w:p w14:paraId="51AEF86F"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Driftsinntekt =</w:t>
            </w:r>
          </w:p>
          <w:p w14:paraId="407D9D4E"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#pasienter * per capita sats (kr)</w:t>
            </w:r>
          </w:p>
          <w:p w14:paraId="19B55A84" w14:textId="709700FE"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pPr>
            <w:r w:rsidRPr="008F50D1">
              <w:t>+ #takster * takst (kr)</w:t>
            </w:r>
          </w:p>
        </w:tc>
        <w:tc>
          <w:tcPr>
            <w:tcW w:w="5817" w:type="dxa"/>
          </w:tcPr>
          <w:p w14:paraId="00E3097C"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Noe usikkerhet knyttet til myndighetenes totale utgifter.</w:t>
            </w:r>
          </w:p>
          <w:p w14:paraId="005DCE02" w14:textId="2301388C"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Noe usikkerhet for legen med hensyn til egne kostnader, men mindre enn under (A).</w:t>
            </w:r>
          </w:p>
          <w:p w14:paraId="29B4DA7A" w14:textId="333E5FF7"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Oppmuntrer legene til å ta ansvar for mange pasienter</w:t>
            </w:r>
            <w:r w:rsidR="00EB2A98">
              <w:rPr>
                <w:rFonts w:asciiTheme="minorHAnsi" w:hAnsiTheme="minorHAnsi" w:cstheme="minorHAnsi"/>
                <w:lang w:val="nb-NO"/>
              </w:rPr>
              <w:t>.</w:t>
            </w:r>
          </w:p>
          <w:p w14:paraId="1A2E3332" w14:textId="6628BA04"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Kan oppmuntre til større tjenestevolum enn under (A)</w:t>
            </w:r>
            <w:r w:rsidR="00EB2A98">
              <w:rPr>
                <w:rFonts w:asciiTheme="minorHAnsi" w:hAnsiTheme="minorHAnsi" w:cstheme="minorHAnsi"/>
                <w:lang w:val="nb-NO"/>
              </w:rPr>
              <w:t>.</w:t>
            </w:r>
          </w:p>
          <w:p w14:paraId="796EC1DA" w14:textId="77777777"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C528F3">
              <w:rPr>
                <w:rFonts w:asciiTheme="minorHAnsi" w:hAnsiTheme="minorHAnsi" w:cstheme="minorHAnsi"/>
                <w:lang w:val="nb-NO"/>
              </w:rPr>
              <w:t>Kan oppmuntre til pasientseleksjon: Kostbart for legene å ta ansvar for pasienter med stort behov for tjenester siden det blir vanskeligere å samtidig ta ansvar for mange pasienter.</w:t>
            </w:r>
          </w:p>
        </w:tc>
      </w:tr>
      <w:tr w:rsidR="00BE1BE5" w:rsidRPr="003703B7" w14:paraId="0DE79FD3" w14:textId="77777777">
        <w:tc>
          <w:tcPr>
            <w:cnfStyle w:val="001000000000" w:firstRow="0" w:lastRow="0" w:firstColumn="1" w:lastColumn="0" w:oddVBand="0" w:evenVBand="0" w:oddHBand="0" w:evenHBand="0" w:firstRowFirstColumn="0" w:firstRowLastColumn="0" w:lastRowFirstColumn="0" w:lastRowLastColumn="0"/>
            <w:tcW w:w="1555" w:type="dxa"/>
          </w:tcPr>
          <w:p w14:paraId="5E457A44" w14:textId="793B63DA" w:rsidR="00BE1BE5" w:rsidRPr="00C528F3" w:rsidRDefault="00BE1BE5" w:rsidP="000E769C">
            <w:pPr>
              <w:pStyle w:val="TabellHode-rad"/>
              <w:rPr>
                <w:lang w:val="nb-NO"/>
              </w:rPr>
            </w:pPr>
            <w:r w:rsidRPr="00C528F3">
              <w:rPr>
                <w:lang w:val="nb-NO"/>
              </w:rPr>
              <w:t>[E] Kombinasjon av fastlønn eller Fast driftstilskudd</w:t>
            </w:r>
            <w:r w:rsidR="00D9107F">
              <w:rPr>
                <w:lang w:val="nb-NO"/>
              </w:rPr>
              <w:t xml:space="preserve"> </w:t>
            </w:r>
            <w:r w:rsidRPr="00C528F3">
              <w:rPr>
                <w:lang w:val="nb-NO"/>
              </w:rPr>
              <w:t>og aktivitetsbasert betaling</w:t>
            </w:r>
          </w:p>
        </w:tc>
        <w:tc>
          <w:tcPr>
            <w:tcW w:w="1842" w:type="dxa"/>
          </w:tcPr>
          <w:p w14:paraId="2A705F9E"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Driftsinntekt =</w:t>
            </w:r>
          </w:p>
          <w:p w14:paraId="3410ECDE" w14:textId="7777777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8F50D1">
              <w:rPr>
                <w:lang w:val="nb-NO"/>
              </w:rPr>
              <w:t>fast årlig beløp (kr)</w:t>
            </w:r>
          </w:p>
          <w:p w14:paraId="69EE474E" w14:textId="6C0DF307" w:rsidR="00BE1BE5" w:rsidRPr="008F50D1" w:rsidRDefault="00BE1BE5" w:rsidP="000E769C">
            <w:pPr>
              <w:cnfStyle w:val="000000000000" w:firstRow="0" w:lastRow="0" w:firstColumn="0" w:lastColumn="0" w:oddVBand="0" w:evenVBand="0" w:oddHBand="0" w:evenHBand="0" w:firstRowFirstColumn="0" w:firstRowLastColumn="0" w:lastRowFirstColumn="0" w:lastRowLastColumn="0"/>
            </w:pPr>
            <w:r w:rsidRPr="008F50D1">
              <w:t>+ #takster * takst (kr)</w:t>
            </w:r>
          </w:p>
        </w:tc>
        <w:tc>
          <w:tcPr>
            <w:tcW w:w="5817" w:type="dxa"/>
          </w:tcPr>
          <w:p w14:paraId="237963CF" w14:textId="77777777" w:rsidR="00D9107F"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Noe usikkerhet knyttet til de myndighetenes totale utgifter.</w:t>
            </w:r>
          </w:p>
          <w:p w14:paraId="2A86C827" w14:textId="20EF9D7C"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Noe usikkerhet for legen med hensyn til egne kostnader, men mindre enn under (A).</w:t>
            </w:r>
          </w:p>
          <w:p w14:paraId="0FB95BCF" w14:textId="5C38475D"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b-NO"/>
              </w:rPr>
            </w:pPr>
            <w:r w:rsidRPr="00C528F3">
              <w:rPr>
                <w:rFonts w:asciiTheme="minorHAnsi" w:hAnsiTheme="minorHAnsi" w:cstheme="minorHAnsi"/>
                <w:lang w:val="nb-NO"/>
              </w:rPr>
              <w:t>Inntektene er uavhengig av om legen tilbyr mange tjenester til få pasienter, eller få tjenester til mange pasienter</w:t>
            </w:r>
            <w:r w:rsidR="00EB2A98">
              <w:rPr>
                <w:rFonts w:asciiTheme="minorHAnsi" w:hAnsiTheme="minorHAnsi" w:cstheme="minorHAnsi"/>
                <w:lang w:val="nb-NO"/>
              </w:rPr>
              <w:t>.</w:t>
            </w:r>
          </w:p>
          <w:p w14:paraId="5503CD4B" w14:textId="6C98BE0C" w:rsidR="00BE1BE5" w:rsidRPr="00C528F3" w:rsidRDefault="00BE1BE5" w:rsidP="000E769C">
            <w:pPr>
              <w:cnfStyle w:val="000000000000" w:firstRow="0" w:lastRow="0" w:firstColumn="0" w:lastColumn="0" w:oddVBand="0" w:evenVBand="0" w:oddHBand="0" w:evenHBand="0" w:firstRowFirstColumn="0" w:firstRowLastColumn="0" w:lastRowFirstColumn="0" w:lastRowLastColumn="0"/>
              <w:rPr>
                <w:lang w:val="nb-NO"/>
              </w:rPr>
            </w:pPr>
            <w:r w:rsidRPr="00C528F3">
              <w:rPr>
                <w:rFonts w:asciiTheme="minorHAnsi" w:hAnsiTheme="minorHAnsi" w:cstheme="minorHAnsi"/>
                <w:lang w:val="nb-NO"/>
              </w:rPr>
              <w:t>Oppmuntrer til større tjenestevolum enn under (A)</w:t>
            </w:r>
            <w:r w:rsidR="00EB2A98">
              <w:rPr>
                <w:rFonts w:asciiTheme="minorHAnsi" w:hAnsiTheme="minorHAnsi" w:cstheme="minorHAnsi"/>
                <w:lang w:val="nb-NO"/>
              </w:rPr>
              <w:t>.</w:t>
            </w:r>
          </w:p>
        </w:tc>
      </w:tr>
    </w:tbl>
    <w:p w14:paraId="4F15A68E" w14:textId="645C8B57" w:rsidR="00D9107F" w:rsidRPr="00CE06F0" w:rsidRDefault="00D554BF" w:rsidP="00C33652">
      <w:pPr>
        <w:pStyle w:val="Petit"/>
        <w:rPr>
          <w:rStyle w:val="kursiv"/>
        </w:rPr>
      </w:pPr>
      <w:bookmarkStart w:id="2618" w:name="_Toc132133911"/>
      <w:r w:rsidRPr="00CE06F0">
        <w:rPr>
          <w:rStyle w:val="kursiv"/>
        </w:rPr>
        <w:t>Kilde</w:t>
      </w:r>
      <w:r w:rsidR="00BE1BE5" w:rsidRPr="00CE06F0">
        <w:rPr>
          <w:rStyle w:val="kursiv"/>
        </w:rPr>
        <w:t xml:space="preserve">: Godager et al. </w:t>
      </w:r>
      <w:r w:rsidR="00BE1BE5" w:rsidRPr="00CE06F0">
        <w:rPr>
          <w:rStyle w:val="kursiv"/>
        </w:rPr>
        <w:fldChar w:fldCharType="begin"/>
      </w:r>
      <w:r w:rsidR="00CE2F35" w:rsidRPr="00CE06F0">
        <w:rPr>
          <w:rStyle w:val="kursiv"/>
        </w:rPr>
        <w:instrText xml:space="preserve"> ADDIN EN.CITE &lt;EndNote&gt;&lt;Cite ExcludeAuth="1"&gt;&lt;Author&gt;Godager&lt;/Author&gt;&lt;Year&gt;2021&lt;/Year&gt;&lt;RecNum&gt;68&lt;/RecNum&gt;&lt;DisplayText&gt;(2021)&lt;/DisplayText&gt;&lt;record&gt;&lt;rec-number&gt;68&lt;/rec-number&gt;&lt;foreign-keys&gt;&lt;key app="EN" db-id="95tpr2tp6r9xwoea9rb5wdsz5ds5xeddteew" timestamp="1680069511"&gt;68&lt;/key&gt;&lt;/foreign-keys&gt;&lt;ref-type name="Book Section"&gt;5&lt;/ref-type&gt;&lt;contributors&gt;&lt;authors&gt;&lt;author&gt;Godager, G.&lt;/author&gt;&lt;author&gt;Iversen, T.&lt;/author&gt;&lt;author&gt;Snilsberg, Ø.&lt;/author&gt;&lt;/authors&gt;&lt;secondary-authors&gt;&lt;author&gt;Botten, Grete&lt;/author&gt;&lt;author&gt;Det Norske medicinske Selskab,&lt;/author&gt;&lt;/secondary-authors&gt;&lt;/contributors&gt;&lt;titles&gt;&lt;title&gt;Betalingsmåter for teamarbeid i primærhelsetjenesten&lt;/title&gt;&lt;secondary-title&gt;Mangfold og engasjement i 10 år: Institutt for helse og samfunn ved universitetet i Oslo 2010-2020&lt;/secondary-title&gt;&lt;/titles&gt;&lt;pages&gt;100-109&lt;/pages&gt;&lt;keywords&gt;&lt;keyword&gt;Universitetet i Oslo Institutt for helse og samfunn&lt;/keyword&gt;&lt;keyword&gt;History of Medicine&lt;/keyword&gt;&lt;keyword&gt;Norway&lt;/keyword&gt;&lt;/keywords&gt;&lt;dates&gt;&lt;year&gt;2021&lt;/year&gt;&lt;/dates&gt;&lt;pub-location&gt;Oslo&lt;/pub-location&gt;&lt;publisher&gt;Det norske medicinske Selskab&lt;/publisher&gt;&lt;isbn&gt;9788292871768&lt;/isbn&gt;&lt;urls&gt;&lt;/urls&gt;&lt;/record&gt;&lt;/Cite&gt;&lt;/EndNote&gt;</w:instrText>
      </w:r>
      <w:r w:rsidR="00BE1BE5" w:rsidRPr="00CE06F0">
        <w:rPr>
          <w:rStyle w:val="kursiv"/>
        </w:rPr>
        <w:fldChar w:fldCharType="separate"/>
      </w:r>
      <w:r w:rsidR="00BE1BE5" w:rsidRPr="00CE06F0">
        <w:rPr>
          <w:rStyle w:val="kursiv"/>
        </w:rPr>
        <w:t>(2021)</w:t>
      </w:r>
      <w:bookmarkEnd w:id="2618"/>
      <w:r w:rsidR="00BE1BE5" w:rsidRPr="00CE06F0">
        <w:rPr>
          <w:rStyle w:val="kursiv"/>
        </w:rPr>
        <w:fldChar w:fldCharType="end"/>
      </w:r>
    </w:p>
    <w:p w14:paraId="7222C537" w14:textId="02F6BF4D" w:rsidR="009E25EB" w:rsidRPr="00F53177" w:rsidRDefault="00A41799" w:rsidP="00775632">
      <w:pPr>
        <w:pStyle w:val="Overskrift3"/>
      </w:pPr>
      <w:bookmarkStart w:id="2619" w:name="_Toc126834365"/>
      <w:bookmarkStart w:id="2620" w:name="_Toc127633240"/>
      <w:bookmarkStart w:id="2621" w:name="_Toc127864526"/>
      <w:bookmarkStart w:id="2622" w:name="_Toc128238534"/>
      <w:bookmarkStart w:id="2623" w:name="_Toc128742005"/>
      <w:bookmarkStart w:id="2624" w:name="_Toc128744600"/>
      <w:bookmarkStart w:id="2625" w:name="_Toc128744819"/>
      <w:bookmarkStart w:id="2626" w:name="_Toc129630322"/>
      <w:bookmarkStart w:id="2627" w:name="_Toc130763828"/>
      <w:bookmarkStart w:id="2628" w:name="_Toc130766723"/>
      <w:bookmarkStart w:id="2629" w:name="_Toc130932124"/>
      <w:bookmarkStart w:id="2630" w:name="_Toc130934415"/>
      <w:bookmarkStart w:id="2631" w:name="_Toc130983507"/>
      <w:bookmarkStart w:id="2632" w:name="_Toc130983856"/>
      <w:bookmarkStart w:id="2633" w:name="_Toc131062169"/>
      <w:bookmarkStart w:id="2634" w:name="_Toc131062423"/>
      <w:bookmarkStart w:id="2635" w:name="_Toc131062684"/>
      <w:bookmarkStart w:id="2636" w:name="_Toc131062937"/>
      <w:bookmarkStart w:id="2637" w:name="_Toc131063714"/>
      <w:bookmarkStart w:id="2638" w:name="_Toc131064130"/>
      <w:bookmarkStart w:id="2639" w:name="_Toc131238434"/>
      <w:bookmarkStart w:id="2640" w:name="_Toc131279465"/>
      <w:bookmarkStart w:id="2641" w:name="_Toc131286877"/>
      <w:bookmarkStart w:id="2642" w:name="_Toc131281287"/>
      <w:bookmarkStart w:id="2643" w:name="_Toc131317827"/>
      <w:bookmarkStart w:id="2644" w:name="_Toc132536990"/>
      <w:r>
        <w:t>D</w:t>
      </w:r>
      <w:r w:rsidR="56F33994">
        <w:t>ifferensieringer av basisfinansieringen</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618814FB" w14:textId="77777777" w:rsidR="00D9107F" w:rsidRDefault="009E25EB" w:rsidP="004907F4">
      <w:pPr>
        <w:jc w:val="both"/>
      </w:pPr>
      <w:r>
        <w:t>Basisfinansieringen variere</w:t>
      </w:r>
      <w:r w:rsidR="00AC2CC7">
        <w:t>r ikke alltid</w:t>
      </w:r>
      <w:r>
        <w:t xml:space="preserve"> med antall </w:t>
      </w:r>
      <w:r w:rsidR="00920882">
        <w:t>l</w:t>
      </w:r>
      <w:r w:rsidR="009E034C">
        <w:t>iste</w:t>
      </w:r>
      <w:r w:rsidR="00920882">
        <w:t xml:space="preserve">innbyggere </w:t>
      </w:r>
      <w:r>
        <w:t>legen faktisk har ansvar for. I Norge er dette tilfellet for grunntilskuddet</w:t>
      </w:r>
      <w:r w:rsidR="00AC2CC7">
        <w:t xml:space="preserve"> (et element i basisfinansieringen)</w:t>
      </w:r>
      <w:r>
        <w:t xml:space="preserve">, som er det samme (i inntil to år) enten legen har 100 eller 500 </w:t>
      </w:r>
      <w:r w:rsidR="009E034C">
        <w:t>listeinnbyggere</w:t>
      </w:r>
      <w:r>
        <w:t xml:space="preserve">. Før fastlegeordningen ble innført i 2001, var driftstilskuddet uavhengig av hvor mange </w:t>
      </w:r>
      <w:r w:rsidR="006C1D0C">
        <w:t xml:space="preserve">innbyggere </w:t>
      </w:r>
      <w:r>
        <w:t>legen betjente.</w:t>
      </w:r>
    </w:p>
    <w:p w14:paraId="759F2DB0" w14:textId="2217DE93" w:rsidR="00D9107F" w:rsidRDefault="009E25EB" w:rsidP="004907F4">
      <w:pPr>
        <w:jc w:val="both"/>
      </w:pPr>
      <w:r>
        <w:t>Siden flere listeinnbyggere ofte innebærer større ansvar og flere oppgaver, er basistilskuddet i Norge et per</w:t>
      </w:r>
      <w:r w:rsidR="00AA62DF">
        <w:t xml:space="preserve"> </w:t>
      </w:r>
      <w:r>
        <w:t xml:space="preserve">capita-tilskudd: Det øker med antall </w:t>
      </w:r>
      <w:r w:rsidR="00C41D9D">
        <w:t>listeinnbyggere</w:t>
      </w:r>
      <w:r>
        <w:t xml:space="preserve">, og kan således sies å være differensiert etter listelengde. Knekkpunktet på </w:t>
      </w:r>
      <w:r w:rsidR="00D9107F">
        <w:t>1 000</w:t>
      </w:r>
      <w:r>
        <w:t xml:space="preserve"> listeinnbyggere</w:t>
      </w:r>
      <w:r w:rsidR="00B5034C">
        <w:t xml:space="preserve">, </w:t>
      </w:r>
      <w:r w:rsidR="00AC2CC7">
        <w:t xml:space="preserve">som avvikles fra 1. mai 2023, </w:t>
      </w:r>
      <w:r>
        <w:t>innebærer også en differensiering. Per</w:t>
      </w:r>
      <w:r w:rsidR="00AA62DF">
        <w:t xml:space="preserve"> </w:t>
      </w:r>
      <w:r>
        <w:t xml:space="preserve">capita-tilskuddet er </w:t>
      </w:r>
      <w:r w:rsidR="00AC2CC7">
        <w:t>fram til 1. mai 2023</w:t>
      </w:r>
      <w:r>
        <w:t xml:space="preserve"> høyere opp til </w:t>
      </w:r>
      <w:r w:rsidR="00D9107F">
        <w:t>1 000</w:t>
      </w:r>
      <w:r>
        <w:t xml:space="preserve"> </w:t>
      </w:r>
      <w:r w:rsidR="00EC319D">
        <w:t>liste</w:t>
      </w:r>
      <w:r>
        <w:t xml:space="preserve">innbyggere og noe lavere for over </w:t>
      </w:r>
      <w:r w:rsidR="00D9107F">
        <w:t>1 000</w:t>
      </w:r>
      <w:r>
        <w:t xml:space="preserve"> </w:t>
      </w:r>
      <w:r w:rsidR="00ED4299">
        <w:t>liste</w:t>
      </w:r>
      <w:r>
        <w:t xml:space="preserve">innbyggere. I tillegg har vi en regel om at en liste ikke skal overstige </w:t>
      </w:r>
      <w:r w:rsidR="00D9107F">
        <w:t>2 500</w:t>
      </w:r>
      <w:r>
        <w:t xml:space="preserve"> </w:t>
      </w:r>
      <w:r w:rsidR="00ED4299">
        <w:t>liste</w:t>
      </w:r>
      <w:r>
        <w:t>innbyggere, men dette kan avvikes midlertidig</w:t>
      </w:r>
      <w:r w:rsidR="00031D82">
        <w:t>,</w:t>
      </w:r>
      <w:r>
        <w:t xml:space="preserve"> og per</w:t>
      </w:r>
      <w:r w:rsidR="00AA62DF">
        <w:t xml:space="preserve"> </w:t>
      </w:r>
      <w:r>
        <w:t xml:space="preserve">capita-tilskuddet ytes også for flere enn </w:t>
      </w:r>
      <w:r w:rsidR="00D9107F">
        <w:t>2 500</w:t>
      </w:r>
      <w:r>
        <w:t xml:space="preserve"> listeinnbyggere. </w:t>
      </w:r>
      <w:r w:rsidR="00BE52D9">
        <w:t xml:space="preserve">Grunntilskuddet </w:t>
      </w:r>
      <w:r w:rsidR="005454DF">
        <w:t xml:space="preserve">vil </w:t>
      </w:r>
      <w:r w:rsidR="00BE52D9">
        <w:t xml:space="preserve">også </w:t>
      </w:r>
      <w:r w:rsidR="005454DF">
        <w:t xml:space="preserve">kunne </w:t>
      </w:r>
      <w:r w:rsidR="00BE52D9">
        <w:t xml:space="preserve">betraktes som en form for differensiering etter listelengde </w:t>
      </w:r>
      <w:r w:rsidR="00F82107">
        <w:t xml:space="preserve">for leger i </w:t>
      </w:r>
      <w:r w:rsidR="00F864DC">
        <w:t xml:space="preserve">en </w:t>
      </w:r>
      <w:r w:rsidR="00F82107">
        <w:t>oppbyggingsfase.</w:t>
      </w:r>
    </w:p>
    <w:p w14:paraId="3EFF0C6A" w14:textId="77777777" w:rsidR="00D9107F" w:rsidRDefault="009E25EB" w:rsidP="004907F4">
      <w:pPr>
        <w:jc w:val="both"/>
      </w:pPr>
      <w:r>
        <w:t>Vi har</w:t>
      </w:r>
      <w:r w:rsidDel="0090580E">
        <w:t xml:space="preserve"> </w:t>
      </w:r>
      <w:r>
        <w:t>et element av geografisk differensiering av basisfinansieringen i Norge. Utjamningstilskuddet skal bidra til næringsdrift i kommuner der fastlegene på grunn av lavt folketall får korte lister og dermed mindre basistilskudd.</w:t>
      </w:r>
    </w:p>
    <w:p w14:paraId="6FF34FF7" w14:textId="77777777" w:rsidR="00D9107F" w:rsidRDefault="009E25EB" w:rsidP="004907F4">
      <w:pPr>
        <w:jc w:val="both"/>
      </w:pPr>
      <w:r>
        <w:lastRenderedPageBreak/>
        <w:t xml:space="preserve">I Norge har næringsdrivende fastleger </w:t>
      </w:r>
      <w:r w:rsidR="00E0165E">
        <w:t>fr</w:t>
      </w:r>
      <w:r w:rsidR="005E7B7F">
        <w:t>a</w:t>
      </w:r>
      <w:r w:rsidR="00E0165E">
        <w:t xml:space="preserve">m til </w:t>
      </w:r>
      <w:r w:rsidR="00E4132E">
        <w:t>1. mai 2023</w:t>
      </w:r>
      <w:r w:rsidDel="00E4132E">
        <w:t xml:space="preserve"> </w:t>
      </w:r>
      <w:r>
        <w:t xml:space="preserve">ingen differensiering av basisfinansieringen etter sosioøkonomiske kjennetegn ved listeinnbyggerne, ei heller etter alder, kjønn, helse eller andre anslag for </w:t>
      </w:r>
      <w:r w:rsidR="00B33F3F">
        <w:t>behovet</w:t>
      </w:r>
      <w:r>
        <w:t xml:space="preserve"> av fastlegetjenester. De generelle overføringene til kommunene fra staten, som basisfinansieringen til næringsdrivende leger dekkes av, har imidlertid innbakt noe justering for sosioøkonomiske forhold. </w:t>
      </w:r>
      <w:r w:rsidR="00D3089B">
        <w:t>R</w:t>
      </w:r>
      <w:r w:rsidR="0000625B">
        <w:t xml:space="preserve">isikojustering </w:t>
      </w:r>
      <w:r w:rsidR="000657A4">
        <w:t>av basistilskuddet innføres fra 1.</w:t>
      </w:r>
      <w:r w:rsidR="0069710C">
        <w:t xml:space="preserve"> mai </w:t>
      </w:r>
      <w:r w:rsidR="000657A4">
        <w:t>2023. Se omtale</w:t>
      </w:r>
      <w:r w:rsidR="008A0FDA">
        <w:t xml:space="preserve"> i kapittel 5.6.4.4.</w:t>
      </w:r>
    </w:p>
    <w:p w14:paraId="5F41168E" w14:textId="77777777" w:rsidR="00D9107F" w:rsidRDefault="008A0FDA" w:rsidP="004907F4">
      <w:pPr>
        <w:jc w:val="both"/>
      </w:pPr>
      <w:r>
        <w:t xml:space="preserve">I dag </w:t>
      </w:r>
      <w:r w:rsidR="006F32C8">
        <w:t xml:space="preserve">er det heller ingen differensiering av basisfinansieringen etter </w:t>
      </w:r>
      <w:r w:rsidR="00422BD5">
        <w:t>indikatorer for kvali</w:t>
      </w:r>
      <w:r w:rsidR="4406C500">
        <w:t>t</w:t>
      </w:r>
      <w:r w:rsidR="00422BD5">
        <w:t>et</w:t>
      </w:r>
      <w:r w:rsidR="00027DCF">
        <w:t xml:space="preserve">. </w:t>
      </w:r>
      <w:r w:rsidR="00192E7A">
        <w:t xml:space="preserve">Spesialisttaksten </w:t>
      </w:r>
      <w:r w:rsidR="00027DCF">
        <w:t xml:space="preserve">kan imidlertid betraktes som </w:t>
      </w:r>
      <w:r w:rsidR="00D85415">
        <w:t xml:space="preserve">at </w:t>
      </w:r>
      <w:r w:rsidR="00181F20">
        <w:t xml:space="preserve">den aktivitetsbaserte </w:t>
      </w:r>
      <w:r w:rsidR="00D16EB1">
        <w:t xml:space="preserve">delen av </w:t>
      </w:r>
      <w:r w:rsidR="00D85415">
        <w:t xml:space="preserve">finansieringen </w:t>
      </w:r>
      <w:r w:rsidR="00017EB6">
        <w:t xml:space="preserve">kvalitetsjusteres </w:t>
      </w:r>
      <w:r w:rsidR="0001601B">
        <w:t>v</w:t>
      </w:r>
      <w:r w:rsidR="00CC349D">
        <w:t xml:space="preserve">ed </w:t>
      </w:r>
      <w:r w:rsidR="004D584A">
        <w:t>fullført spesialitet</w:t>
      </w:r>
      <w:r w:rsidR="004A5C8E">
        <w:t xml:space="preserve"> </w:t>
      </w:r>
      <w:r w:rsidR="004D584A">
        <w:t xml:space="preserve">og </w:t>
      </w:r>
      <w:r w:rsidR="00B26380">
        <w:t>etter</w:t>
      </w:r>
      <w:r w:rsidR="004A5C8E">
        <w:t xml:space="preserve">følgende kursing </w:t>
      </w:r>
      <w:r w:rsidR="0037639D">
        <w:t>for å beholde retten til spesialisttakst</w:t>
      </w:r>
      <w:r w:rsidR="00D91A19">
        <w:t>.</w:t>
      </w:r>
    </w:p>
    <w:p w14:paraId="2DC70145" w14:textId="77777777" w:rsidR="00D9107F" w:rsidRDefault="56F33994" w:rsidP="00775632">
      <w:pPr>
        <w:pStyle w:val="Overskrift3"/>
      </w:pPr>
      <w:bookmarkStart w:id="2645" w:name="_Toc126834366"/>
      <w:bookmarkStart w:id="2646" w:name="_Toc127633241"/>
      <w:bookmarkStart w:id="2647" w:name="_Toc127864527"/>
      <w:bookmarkStart w:id="2648" w:name="_Toc128238535"/>
      <w:bookmarkStart w:id="2649" w:name="_Toc128742006"/>
      <w:bookmarkStart w:id="2650" w:name="_Toc128744601"/>
      <w:bookmarkStart w:id="2651" w:name="_Toc128744820"/>
      <w:bookmarkStart w:id="2652" w:name="_Toc129630323"/>
      <w:bookmarkStart w:id="2653" w:name="_Ref130152062"/>
      <w:bookmarkStart w:id="2654" w:name="_Toc130763829"/>
      <w:bookmarkStart w:id="2655" w:name="_Toc130766724"/>
      <w:bookmarkStart w:id="2656" w:name="_Toc130932125"/>
      <w:bookmarkStart w:id="2657" w:name="_Toc130934416"/>
      <w:bookmarkStart w:id="2658" w:name="_Toc130983508"/>
      <w:bookmarkStart w:id="2659" w:name="_Toc130983857"/>
      <w:bookmarkStart w:id="2660" w:name="_Toc131062170"/>
      <w:bookmarkStart w:id="2661" w:name="_Toc131062424"/>
      <w:bookmarkStart w:id="2662" w:name="_Toc131062685"/>
      <w:bookmarkStart w:id="2663" w:name="_Toc131062938"/>
      <w:bookmarkStart w:id="2664" w:name="_Toc131063715"/>
      <w:bookmarkStart w:id="2665" w:name="_Toc131064131"/>
      <w:bookmarkStart w:id="2666" w:name="_Toc131238435"/>
      <w:bookmarkStart w:id="2667" w:name="_Toc131279466"/>
      <w:bookmarkStart w:id="2668" w:name="_Toc131286878"/>
      <w:bookmarkStart w:id="2669" w:name="_Toc131281288"/>
      <w:bookmarkStart w:id="2670" w:name="_Toc131317828"/>
      <w:bookmarkStart w:id="2671" w:name="_Toc132536991"/>
      <w:r>
        <w:t>Mer om differensiering i form av knekkpunkt</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14:paraId="7DC3727D" w14:textId="7A8DD23A" w:rsidR="009E25EB" w:rsidRDefault="009E25EB" w:rsidP="009E25EB">
      <w:pPr>
        <w:jc w:val="both"/>
      </w:pPr>
      <w:r>
        <w:t>Knekkpunkt i basistilskuddet vil i teorien kunne ha ulike insentiver i) for eksisterende næringsdrivende fastleger med lange og korte lister, ii) for kommuner med ansatte fastleger, og iii) for nye leger som ønsker å bli fastlege.</w:t>
      </w:r>
    </w:p>
    <w:p w14:paraId="7BD07BF5" w14:textId="32B6E1A5" w:rsidR="00D9107F" w:rsidRDefault="009E25EB" w:rsidP="009E25EB">
      <w:pPr>
        <w:jc w:val="both"/>
      </w:pPr>
      <w:r>
        <w:t xml:space="preserve">En økning i basistilskuddet for de første </w:t>
      </w:r>
      <w:r w:rsidR="00D9107F">
        <w:t>1 000</w:t>
      </w:r>
      <w:r>
        <w:t xml:space="preserve"> listeinnbyggerne (og uendret basistilskudd over </w:t>
      </w:r>
      <w:r w:rsidR="00D9107F">
        <w:t>1 000</w:t>
      </w:r>
      <w:r>
        <w:t>) gir insentiv til at næringsdrivende fastleger med listelengde under knekkpunktet</w:t>
      </w:r>
      <w:r w:rsidR="009635D5">
        <w:t>,</w:t>
      </w:r>
      <w:r>
        <w:t xml:space="preserve"> øker sin listelengde. Disse fastlegene får en større inntektsøkning for å øke listelengden, sammenliknet med basistilskudd uten knekkpunkt. Tilsvarende får de et høyere inntektsfall ved å redusere listelengden. Næringsdrivende fastleger med listelengde over knekkpunktet</w:t>
      </w:r>
      <w:r w:rsidR="003F4E70">
        <w:t>,</w:t>
      </w:r>
      <w:r>
        <w:t xml:space="preserve"> opplever uendret basistilskudd og dermed ingen ytterligere oppmuntring til å øke listelengden. I økonomisk teori kalles atferdsvirkningen av en slik økning i basistilskuddet en prisvridningseffekt</w:t>
      </w:r>
      <w:r w:rsidR="09AB974D">
        <w:t>,</w:t>
      </w:r>
      <w:r>
        <w:t xml:space="preserve"> og den opptrer sammen med det som kalles en inntektseffekt. Når</w:t>
      </w:r>
      <w:r w:rsidDel="00BA2E1A">
        <w:t xml:space="preserve"> </w:t>
      </w:r>
      <w:r>
        <w:t>basistilskuddet øker, øker også legens inntekt</w:t>
      </w:r>
      <w:r w:rsidR="003F4E70">
        <w:t>. E</w:t>
      </w:r>
      <w:r>
        <w:t>n høyere inntekt vil kunne medføre at legen ønsker å ta seg råd til mer fritid (på bekostning av arbeidstid). Inntektseffekten trekker derfor i retning av at legen ønsker kortere lister, eventuelt at legen reduserer arbeidstiden sin på andre måter (færre konsultasjoner per listeinnbygger).</w:t>
      </w:r>
    </w:p>
    <w:p w14:paraId="4E0C108F" w14:textId="468873D5" w:rsidR="009E25EB" w:rsidRDefault="009E25EB" w:rsidP="009E25EB">
      <w:pPr>
        <w:jc w:val="both"/>
      </w:pPr>
      <w:r>
        <w:t>Totaleffekten av en økning i basistilskuddet på listelengde</w:t>
      </w:r>
      <w:r w:rsidR="008B3CBF">
        <w:t>n</w:t>
      </w:r>
      <w:r>
        <w:t xml:space="preserve"> er i teorien uklar, fordi det er to motstridende effekter: Prisvridningseffekten tilsier et ønske om lengre liste, og inntektseffekten tilsier ønske om kortere liste. For leger med listelengde under knekkpunktet er dermed totaleffekten usikker, men</w:t>
      </w:r>
      <w:r w:rsidR="002754E7">
        <w:t>s</w:t>
      </w:r>
      <w:r>
        <w:t xml:space="preserve"> leger med listelengde større en</w:t>
      </w:r>
      <w:r w:rsidR="008F5267">
        <w:t>n</w:t>
      </w:r>
      <w:r>
        <w:t xml:space="preserve"> knekkpunktet vil ønske å redusere listelengden (siden vi har forutsatt at basistilskuddet over knekkpunktet er uendret). Empiriske studier for å avdekke hvordan endringer i basistilskuddet påvirker den totale listekapasiteten i Norge er utfordrende å gjennomføre</w:t>
      </w:r>
      <w:r w:rsidR="005A0685">
        <w:t>,</w:t>
      </w:r>
      <w:r>
        <w:t xml:space="preserve"> siden det ikke er noen åpenbar kontrollgruppe.</w:t>
      </w:r>
    </w:p>
    <w:p w14:paraId="40303AA5" w14:textId="77777777" w:rsidR="00D9107F" w:rsidRDefault="009E25EB" w:rsidP="009E25EB">
      <w:pPr>
        <w:jc w:val="both"/>
      </w:pPr>
      <w:r>
        <w:t xml:space="preserve">Basistilskuddet utgjør </w:t>
      </w:r>
      <w:r w:rsidR="006A2D0A">
        <w:t>i dag</w:t>
      </w:r>
      <w:r>
        <w:t xml:space="preserve"> en begrenset andel av samlet inntjening. Hoveddelen av merinntjening for en ny listeinnbygger vil komme fra taksthonorarene. Knekkpunkt i basistilskuddet vil dermed ha mer begrenset effekt enn dersom basistilskuddet utgjorde en </w:t>
      </w:r>
      <w:r>
        <w:lastRenderedPageBreak/>
        <w:t>større andel, gitt at differansen mellom satsene over og under knekkpunkt ville være høyere. For øvrig er det mange andre forhold enn variasjon i størrelsen på basistilskuddet som påvirker legens aktiviteter, inkludert faglige preferanser, kompetanse</w:t>
      </w:r>
      <w:r w:rsidR="005A0685">
        <w:t>,</w:t>
      </w:r>
      <w:r>
        <w:t xml:space="preserve"> normer, personlige preferanser, familiesituasjon osv.</w:t>
      </w:r>
    </w:p>
    <w:p w14:paraId="50F12B3C" w14:textId="3D769309" w:rsidR="00D9107F" w:rsidRDefault="009E25EB" w:rsidP="009E25EB">
      <w:pPr>
        <w:jc w:val="both"/>
      </w:pPr>
      <w:r>
        <w:t>Knekkpunkt har også fordelingseffekter. En ulik fordeling av basisfinansieringen mellom forskjellige grupper av fastleger innebærer at leger som tar ansvar for en ekstra pasient på en kort liste</w:t>
      </w:r>
      <w:r w:rsidR="00550905">
        <w:t>,</w:t>
      </w:r>
      <w:r>
        <w:t xml:space="preserve"> belønnes mer</w:t>
      </w:r>
      <w:r w:rsidDel="000F6A60">
        <w:t xml:space="preserve"> </w:t>
      </w:r>
      <w:r>
        <w:t>enn leger som tar ansvar for en ekstra pasient på en lang liste. Dermed gir systemet lavere kompensasjon til de</w:t>
      </w:r>
      <w:r w:rsidR="00FC0461">
        <w:t>m</w:t>
      </w:r>
      <w:r>
        <w:t xml:space="preserve"> som påtar seg et </w:t>
      </w:r>
      <w:r w:rsidR="000C1F60">
        <w:t>totalt sett</w:t>
      </w:r>
      <w:r>
        <w:t xml:space="preserve"> større ansvar enn de</w:t>
      </w:r>
      <w:r w:rsidR="00A17943">
        <w:t>m</w:t>
      </w:r>
      <w:r>
        <w:t xml:space="preserve"> som tar et mindre, noe forskere ved Universitetet i Oslo har omtalt som </w:t>
      </w:r>
      <w:r w:rsidR="00D9107F">
        <w:t>«</w:t>
      </w:r>
      <w:r>
        <w:t>omvendt overtidsbetaling</w:t>
      </w:r>
      <w:r w:rsidR="00D9107F">
        <w:t>»</w:t>
      </w:r>
      <w:r w:rsidR="64B64062">
        <w:t xml:space="preserve"> </w:t>
      </w:r>
      <w:r w:rsidR="00576E44">
        <w:fldChar w:fldCharType="begin"/>
      </w:r>
      <w:r w:rsidR="00A27571">
        <w:instrText xml:space="preserve"> ADDIN EN.CITE &lt;EndNote&gt;&lt;Cite&gt;&lt;Author&gt;Godager&lt;/Author&gt;&lt;Year&gt;2020&lt;/Year&gt;&lt;RecNum&gt;532&lt;/RecNum&gt;&lt;DisplayText&gt;(Godager et al., 2020)&lt;/DisplayText&gt;&lt;record&gt;&lt;rec-number&gt;532&lt;/rec-number&gt;&lt;foreign-keys&gt;&lt;key app="EN" db-id="95tpr2tp6r9xwoea9rb5wdsz5ds5xeddteew" timestamp="1680069511"&gt;532&lt;/key&gt;&lt;/foreign-keys&gt;&lt;ref-type name="Journal Article"&gt;17&lt;/ref-type&gt;&lt;contributors&gt;&lt;authors&gt;&lt;author&gt;Geir Godager&lt;/author&gt;&lt;author&gt;Tor Iversen&lt;/author&gt;&lt;author&gt;Øyvind Snilsberg&lt;/author&gt;&lt;/authors&gt;&lt;/contributors&gt;&lt;titles&gt;&lt;title&gt;Norge er trolig alene om å innføre omvendt overtid for fastleger&lt;/title&gt;&lt;secondary-title&gt;Dagens medisin&lt;/secondary-title&gt;&lt;/titles&gt;&lt;periodical&gt;&lt;full-title&gt;Dagens medisin&lt;/full-title&gt;&lt;/periodical&gt;&lt;number&gt;2020-07-07 &lt;/number&gt;&lt;dates&gt;&lt;year&gt;2020&lt;/year&gt;&lt;pub-dates&gt;&lt;date&gt;2020-07-07 &lt;/date&gt;&lt;/pub-dates&gt;&lt;/dates&gt;&lt;urls&gt;&lt;/urls&gt;&lt;/record&gt;&lt;/Cite&gt;&lt;/EndNote&gt;</w:instrText>
      </w:r>
      <w:r w:rsidR="00576E44">
        <w:fldChar w:fldCharType="separate"/>
      </w:r>
      <w:r w:rsidR="00856689">
        <w:rPr>
          <w:noProof/>
        </w:rPr>
        <w:t>(Godager et al., 2020)</w:t>
      </w:r>
      <w:r w:rsidR="00576E44">
        <w:fldChar w:fldCharType="end"/>
      </w:r>
      <w:r>
        <w:t xml:space="preserve">. I sykehusene tjener en lege klart mer for å jobbe den 45. timen i en uke, enn den 35., mens fastlegene altså får mindre betalt for å ta ansvar for den </w:t>
      </w:r>
      <w:r w:rsidR="00D9107F">
        <w:t>1 500</w:t>
      </w:r>
      <w:r>
        <w:t>. enn den 500. listeinnbyggeren. I hvilken grad knekkpunktet er godt egnet til å beholde erfarne fastleger, som ofte har lange lister, er derfor ikke helt klart. Det kan tenkes at andre tiltak vil kunne være bedre egnet til å beholde eksisterende fastleger i ordningen.</w:t>
      </w:r>
    </w:p>
    <w:p w14:paraId="60402F91" w14:textId="77777777" w:rsidR="00D9107F" w:rsidRDefault="009E25EB" w:rsidP="00FB310D">
      <w:pPr>
        <w:rPr>
          <w:rFonts w:eastAsia="Calibri"/>
        </w:rPr>
      </w:pPr>
      <w:r w:rsidRPr="43C83337">
        <w:rPr>
          <w:rFonts w:eastAsia="Calibri"/>
        </w:rPr>
        <w:t>For nye leger som ønsker å bli fastlege</w:t>
      </w:r>
      <w:r>
        <w:rPr>
          <w:rFonts w:eastAsia="Calibri"/>
        </w:rPr>
        <w:t>,</w:t>
      </w:r>
      <w:r w:rsidRPr="43C83337">
        <w:rPr>
          <w:rFonts w:eastAsia="Calibri"/>
        </w:rPr>
        <w:t xml:space="preserve"> er det ikke helt klart hvordan</w:t>
      </w:r>
      <w:r>
        <w:rPr>
          <w:rFonts w:eastAsia="Calibri"/>
        </w:rPr>
        <w:t>,</w:t>
      </w:r>
      <w:r w:rsidRPr="43C83337">
        <w:rPr>
          <w:rFonts w:eastAsia="Calibri"/>
        </w:rPr>
        <w:t xml:space="preserve"> eller i hvilken grad</w:t>
      </w:r>
      <w:r>
        <w:rPr>
          <w:rFonts w:eastAsia="Calibri"/>
        </w:rPr>
        <w:t>,</w:t>
      </w:r>
      <w:r w:rsidRPr="43C83337">
        <w:rPr>
          <w:rFonts w:eastAsia="Calibri"/>
        </w:rPr>
        <w:t xml:space="preserve"> endringer i basisfinansieringen vil virke. Mange yngre leger </w:t>
      </w:r>
      <w:r>
        <w:rPr>
          <w:rFonts w:eastAsia="Calibri"/>
        </w:rPr>
        <w:t>gir</w:t>
      </w:r>
      <w:r w:rsidRPr="43C83337">
        <w:rPr>
          <w:rFonts w:eastAsia="Calibri"/>
        </w:rPr>
        <w:t xml:space="preserve"> uttrykk for at de ønsker å ha ansvar for færre pasienter og jobbe mindre enn det som har vært vanlig blant eldre fastleger i Norge, og en økning i basisfinansieringen under knekkpunktet vil gi en høyere og sikrere inntekt for kortere lister. Yngre leger gir også i større grad uttrykk for at de ønsker fast</w:t>
      </w:r>
      <w:r w:rsidR="00F80FA5">
        <w:rPr>
          <w:rFonts w:eastAsia="Calibri"/>
        </w:rPr>
        <w:t xml:space="preserve"> </w:t>
      </w:r>
      <w:r w:rsidRPr="43C83337">
        <w:rPr>
          <w:rFonts w:eastAsia="Calibri"/>
        </w:rPr>
        <w:t>lønn</w:t>
      </w:r>
      <w:r w:rsidR="005A5EDD">
        <w:rPr>
          <w:rFonts w:eastAsia="Calibri"/>
        </w:rPr>
        <w:t>.</w:t>
      </w:r>
    </w:p>
    <w:p w14:paraId="1E5029AC" w14:textId="77777777" w:rsidR="00D9107F" w:rsidRDefault="003C2F45" w:rsidP="009E25EB">
      <w:pPr>
        <w:jc w:val="both"/>
      </w:pPr>
      <w:r>
        <w:t>Sett f</w:t>
      </w:r>
      <w:r w:rsidR="009E25EB">
        <w:t xml:space="preserve">ra et innbyggerperspektiv er det </w:t>
      </w:r>
      <w:r w:rsidR="00B0095D">
        <w:t xml:space="preserve">viktig </w:t>
      </w:r>
      <w:r w:rsidR="009E25EB">
        <w:t xml:space="preserve">at </w:t>
      </w:r>
      <w:r w:rsidR="00335B3C">
        <w:t>list</w:t>
      </w:r>
      <w:r w:rsidR="006C03AE">
        <w:t>en</w:t>
      </w:r>
      <w:r w:rsidR="00335B3C">
        <w:t xml:space="preserve"> de står på har tilknyttet </w:t>
      </w:r>
      <w:r w:rsidR="00C05725">
        <w:t xml:space="preserve">fastlege </w:t>
      </w:r>
      <w:r w:rsidR="009E25EB">
        <w:t xml:space="preserve">og </w:t>
      </w:r>
      <w:r w:rsidR="00C05725">
        <w:t xml:space="preserve">at de har </w:t>
      </w:r>
      <w:r w:rsidR="009E25EB">
        <w:t xml:space="preserve">mulighet til å bytte </w:t>
      </w:r>
      <w:r w:rsidR="007D4B09">
        <w:t>fast</w:t>
      </w:r>
      <w:r w:rsidR="009E25EB">
        <w:t>lege (flere åpne lister). Siden knekkpunktet i stor grad var ment å stimulere eksisterende leger til å redusere listetaket, bidrar knekkpunktet bare til bedre fastlegetilgang for innbyggerne dersom reduksjonen i listetak kompenseres med bedre kvalitet og økt rekruttering av nye leger til ordningen. Men siden nye leger har kortere lister enn de eksisterende, og fastlegenes gjennomsnittlige listelengde har gått ned hvert år siden 2005</w:t>
      </w:r>
      <w:r w:rsidR="3DDD61F5">
        <w:t xml:space="preserve"> </w:t>
      </w:r>
      <w:r w:rsidR="00576E44">
        <w:fldChar w:fldCharType="begin"/>
      </w:r>
      <w:r w:rsidR="004654FD">
        <w:instrText xml:space="preserve"> ADDIN EN.CITE &lt;EndNote&gt;&lt;Cite&gt;&lt;Author&gt;Jensen&lt;/Author&gt;&lt;Year&gt;2018&lt;/Year&gt;&lt;RecNum&gt;242&lt;/RecNum&gt;&lt;DisplayText&gt;(Jensen et al., 2018)&lt;/DisplayText&gt;&lt;record&gt;&lt;rec-number&gt;242&lt;/rec-number&gt;&lt;foreign-keys&gt;&lt;key app="EN" db-id="95tpr2tp6r9xwoea9rb5wdsz5ds5xeddteew" timestamp="1680069511"&gt;242&lt;/key&gt;&lt;/foreign-keys&gt;&lt;ref-type name="Web Page"&gt;12&lt;/ref-type&gt;&lt;contributors&gt;&lt;authors&gt;&lt;author&gt;Arne Jensen&lt;/author&gt;&lt;author&gt;Trond Ekornrud&lt;/author&gt;&lt;/authors&gt;&lt;/contributors&gt;&lt;titles&gt;&lt;title&gt;Fastlegene får stadig kortere pasientlister&lt;/title&gt;&lt;/titles&gt;&lt;number&gt;4. januar 2023&lt;/number&gt;&lt;dates&gt;&lt;year&gt;2018&lt;/year&gt;&lt;pub-dates&gt;&lt;date&gt;7. mai 2018&lt;/date&gt;&lt;/pub-dates&gt;&lt;/dates&gt;&lt;pub-location&gt;Oslo&lt;/pub-location&gt;&lt;publisher&gt;Statistisk sentralbyrå&lt;/publisher&gt;&lt;work-type&gt;nettdokument&lt;/work-type&gt;&lt;urls&gt;&lt;/urls&gt;&lt;/record&gt;&lt;/Cite&gt;&lt;/EndNote&gt;</w:instrText>
      </w:r>
      <w:r w:rsidR="00576E44">
        <w:fldChar w:fldCharType="separate"/>
      </w:r>
      <w:r w:rsidR="00856689">
        <w:rPr>
          <w:noProof/>
        </w:rPr>
        <w:t>(Jensen et al., 2018)</w:t>
      </w:r>
      <w:r w:rsidR="00576E44">
        <w:fldChar w:fldCharType="end"/>
      </w:r>
      <w:r w:rsidR="009E25EB">
        <w:t>, er det ikke klart at knekkpunktet fremmer innbyggernes tilgang til lister med fast lege.</w:t>
      </w:r>
    </w:p>
    <w:p w14:paraId="4728DEFD" w14:textId="196DA498" w:rsidR="009E25EB" w:rsidRDefault="009E25EB" w:rsidP="009E25EB">
      <w:pPr>
        <w:jc w:val="both"/>
      </w:pPr>
      <w:r>
        <w:t>Ingen av våre naboland har knekkpunkt i basis</w:t>
      </w:r>
      <w:r w:rsidR="007131B7">
        <w:t>tilskuddet</w:t>
      </w:r>
      <w:r>
        <w:t>, og det finnes ingen empiriske studier som benytter pålitelige metoder til å evaluere effekter av knekkpunkt. Det er derfor uklart om de teoretiske argumentene for og mot knekkpunkt egentlig har nevneverdig empirisk betydning.</w:t>
      </w:r>
    </w:p>
    <w:p w14:paraId="322700D2" w14:textId="53AD98C0" w:rsidR="009E25EB" w:rsidRPr="00F53177" w:rsidRDefault="56F33994" w:rsidP="00775632">
      <w:pPr>
        <w:pStyle w:val="Overskrift3"/>
      </w:pPr>
      <w:bookmarkStart w:id="2672" w:name="_Toc126834367"/>
      <w:bookmarkStart w:id="2673" w:name="_Toc127633242"/>
      <w:bookmarkStart w:id="2674" w:name="_Toc127864528"/>
      <w:bookmarkStart w:id="2675" w:name="_Toc128238536"/>
      <w:bookmarkStart w:id="2676" w:name="_Toc128742007"/>
      <w:bookmarkStart w:id="2677" w:name="_Toc128744602"/>
      <w:bookmarkStart w:id="2678" w:name="_Toc128744821"/>
      <w:bookmarkStart w:id="2679" w:name="_Toc129630324"/>
      <w:bookmarkStart w:id="2680" w:name="_Ref130151977"/>
      <w:bookmarkStart w:id="2681" w:name="_Toc130763830"/>
      <w:bookmarkStart w:id="2682" w:name="_Toc130766725"/>
      <w:bookmarkStart w:id="2683" w:name="_Toc130932126"/>
      <w:bookmarkStart w:id="2684" w:name="_Toc130934417"/>
      <w:bookmarkStart w:id="2685" w:name="_Toc130983509"/>
      <w:bookmarkStart w:id="2686" w:name="_Toc130983858"/>
      <w:bookmarkStart w:id="2687" w:name="_Toc131062171"/>
      <w:bookmarkStart w:id="2688" w:name="_Toc131062425"/>
      <w:bookmarkStart w:id="2689" w:name="_Toc131062686"/>
      <w:bookmarkStart w:id="2690" w:name="_Toc131062939"/>
      <w:bookmarkStart w:id="2691" w:name="_Toc131063716"/>
      <w:bookmarkStart w:id="2692" w:name="_Toc131064132"/>
      <w:bookmarkStart w:id="2693" w:name="_Toc131238436"/>
      <w:bookmarkStart w:id="2694" w:name="_Toc131279467"/>
      <w:bookmarkStart w:id="2695" w:name="_Toc131286879"/>
      <w:bookmarkStart w:id="2696" w:name="_Toc131281289"/>
      <w:bookmarkStart w:id="2697" w:name="_Toc131317829"/>
      <w:bookmarkStart w:id="2698" w:name="_Toc132536992"/>
      <w:r>
        <w:t>Mer om differensieringer i form av risikojustering</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1D574458" w14:textId="77777777" w:rsidR="009E25EB" w:rsidRDefault="56F33994" w:rsidP="00775632">
      <w:pPr>
        <w:pStyle w:val="Overskrift4"/>
      </w:pPr>
      <w:bookmarkStart w:id="2699" w:name="_Toc130983510"/>
      <w:bookmarkStart w:id="2700" w:name="_Toc130983859"/>
      <w:bookmarkStart w:id="2701" w:name="_Toc131063717"/>
      <w:bookmarkStart w:id="2702" w:name="_Toc131238437"/>
      <w:bookmarkStart w:id="2703" w:name="_Toc131279468"/>
      <w:bookmarkStart w:id="2704" w:name="_Toc131286880"/>
      <w:bookmarkStart w:id="2705" w:name="_Toc131281290"/>
      <w:bookmarkStart w:id="2706" w:name="_Toc131317830"/>
      <w:r>
        <w:t>Formål med risikojustering</w:t>
      </w:r>
      <w:bookmarkEnd w:id="2699"/>
      <w:bookmarkEnd w:id="2700"/>
      <w:bookmarkEnd w:id="2701"/>
      <w:bookmarkEnd w:id="2702"/>
      <w:bookmarkEnd w:id="2703"/>
      <w:bookmarkEnd w:id="2704"/>
      <w:bookmarkEnd w:id="2705"/>
      <w:bookmarkEnd w:id="2706"/>
    </w:p>
    <w:p w14:paraId="415C6945" w14:textId="77777777" w:rsidR="00D9107F" w:rsidRDefault="009E25EB" w:rsidP="009E25EB">
      <w:pPr>
        <w:jc w:val="both"/>
      </w:pPr>
      <w:r>
        <w:t xml:space="preserve">For samfunnet er det et mål at finansieringssystemet understøtter en </w:t>
      </w:r>
      <w:r w:rsidR="00A17AB5">
        <w:t>prioritering</w:t>
      </w:r>
      <w:r>
        <w:t xml:space="preserve"> av fastlegetjenester til de pasientgruppene som har størst nytte av tjenestene. Vi ønsker altså at systemet </w:t>
      </w:r>
      <w:r w:rsidR="009175BD">
        <w:t xml:space="preserve">gir kommunene mulighet til å ivareta sitt sørge-for-ansvar og </w:t>
      </w:r>
      <w:r>
        <w:t xml:space="preserve">understøtter at </w:t>
      </w:r>
      <w:r>
        <w:lastRenderedPageBreak/>
        <w:t>fastlegene gjør gode prioriteringer og yter tjenester av god kvalitet. I et system med høy grad av basisfinansiering</w:t>
      </w:r>
      <w:r w:rsidR="083461CF">
        <w:t>,</w:t>
      </w:r>
      <w:r>
        <w:t xml:space="preserve"> betyr det at fastlegen bør ha gode insentiver for å bygge opp en praksis som er tilrettelagt for å ivareta de pasientgruppene som har størst nytte av legetjenestene. Et viktig formål med risikojustering er derfor å legge til rette for økonomisk belønning av fastleger med en praksis som beholder og tiltrekker seg tyngre pasientgrupper med stor nytte av fastlegetjenesten, ofte kronisk syke med sammensatte behov</w:t>
      </w:r>
      <w:r w:rsidR="789BEE22">
        <w:t xml:space="preserve"> </w:t>
      </w:r>
      <w:r w:rsidR="00576E44">
        <w:fldChar w:fldCharType="begin"/>
      </w:r>
      <w:r w:rsidR="00856689">
        <w:instrText xml:space="preserve"> ADDIN EN.CITE &lt;EndNote&gt;&lt;Cite&gt;&lt;Author&gt;Godager&lt;/Author&gt;&lt;Year&gt;2011&lt;/Year&gt;&lt;RecNum&gt;536&lt;/RecNum&gt;&lt;DisplayText&gt;(Godager et al., 2011)&lt;/DisplayText&gt;&lt;record&gt;&lt;rec-number&gt;536&lt;/rec-number&gt;&lt;foreign-keys&gt;&lt;key app="EN" db-id="95tpr2tp6r9xwoea9rb5wdsz5ds5xeddteew" timestamp="1680069511"&gt;536&lt;/key&gt;&lt;/foreign-keys&gt;&lt;ref-type name="Report"&gt;27&lt;/ref-type&gt;&lt;contributors&gt;&lt;authors&gt;&lt;author&gt;Godager&lt;/author&gt;&lt;author&gt;Hagen &lt;/author&gt;&lt;author&gt;Iversen&lt;/author&gt;&lt;/authors&gt;&lt;/contributors&gt;&lt;titles&gt;&lt;title&gt;Notat om risikojustering av basistilskudd til fastleger&lt;/title&gt;&lt;/titles&gt;&lt;dates&gt;&lt;year&gt;2011&lt;/year&gt;&lt;/dates&gt;&lt;pub-location&gt;Oslo&lt;/pub-location&gt;&lt;publisher&gt;Avdeling for helseledelse og helseøkonomi, Institutt for helse og samfunn, Universitetet i Oslo&lt;/publisher&gt;&lt;work-type&gt;upublisert&lt;/work-type&gt;&lt;urls&gt;&lt;/urls&gt;&lt;/record&gt;&lt;/Cite&gt;&lt;/EndNote&gt;</w:instrText>
      </w:r>
      <w:r w:rsidR="00576E44">
        <w:fldChar w:fldCharType="separate"/>
      </w:r>
      <w:r w:rsidR="00856689">
        <w:rPr>
          <w:noProof/>
        </w:rPr>
        <w:t>(Godager et al., 2011)</w:t>
      </w:r>
      <w:r w:rsidR="00576E44">
        <w:fldChar w:fldCharType="end"/>
      </w:r>
      <w:r>
        <w:t xml:space="preserve">. Formålet er å stimulere til at praksisens innretning, i form av plassering, inventar, utstyr, personell, kompetanse, teknologi, osv., tilrettelegges for å styrke tilbudet til slike pasientgrupper, og ikke utelukkende å kompensere legen for å ha flere konsultasjoner med slike pasienter (det ville man lettere kunne oppnå ved å øke takstene for slike pasienter). En slik endring i innretningen kan sågar innebære at legen har </w:t>
      </w:r>
      <w:r w:rsidRPr="00D9107F">
        <w:rPr>
          <w:rStyle w:val="kursiv"/>
        </w:rPr>
        <w:t xml:space="preserve">færre </w:t>
      </w:r>
      <w:r>
        <w:t xml:space="preserve">konsultasjoner med denne pasientgruppen, eksempelvis gjennom teknologiske endringer (digitale løsninger og videokonsultasjoner) eller </w:t>
      </w:r>
      <w:r w:rsidR="009A58A0">
        <w:t>at noen oppgaver som i dag gjøres av legene selv</w:t>
      </w:r>
      <w:r w:rsidR="00C408B8">
        <w:t>,</w:t>
      </w:r>
      <w:r w:rsidR="009A58A0">
        <w:t xml:space="preserve"> kan utføres av andre yrkesgrupper</w:t>
      </w:r>
      <w:r w:rsidR="00BB3C99">
        <w:t>.</w:t>
      </w:r>
      <w:r w:rsidR="53E68A82">
        <w:t xml:space="preserve"> </w:t>
      </w:r>
      <w:r>
        <w:t>Undersøkelser av pasienttilfredshet viser at pasientgrupper som bruker tjenestene ofte, er de som er minst fornøyd med fastlegeordningen</w:t>
      </w:r>
      <w:r w:rsidR="5BE0D3FF">
        <w:t xml:space="preserve"> </w:t>
      </w:r>
      <w:r w:rsidR="00A841AD">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A841AD">
        <w:fldChar w:fldCharType="separate"/>
      </w:r>
      <w:r w:rsidR="00A841AD">
        <w:rPr>
          <w:noProof/>
        </w:rPr>
        <w:t>(EY og Vista Analyse, 2019)</w:t>
      </w:r>
      <w:r w:rsidR="00A841AD">
        <w:fldChar w:fldCharType="end"/>
      </w:r>
      <w:r>
        <w:t>, og de opplever fastlegen som mindre tilgjengelig</w:t>
      </w:r>
      <w:r w:rsidR="5BEF0E9B">
        <w:t xml:space="preserve"> </w:t>
      </w:r>
      <w:r w:rsidR="00576E44">
        <w:fldChar w:fldCharType="begin"/>
      </w:r>
      <w:r w:rsidR="004654FD">
        <w:instrText xml:space="preserve"> ADDIN EN.CITE &lt;EndNote&gt;&lt;Cite&gt;&lt;Author&gt;Iversen&lt;/Author&gt;&lt;Year&gt;2019&lt;/Year&gt;&lt;RecNum&gt;610&lt;/RecNum&gt;&lt;DisplayText&gt;(Iversen et al., 2019)&lt;/DisplayText&gt;&lt;record&gt;&lt;rec-number&gt;610&lt;/rec-number&gt;&lt;foreign-keys&gt;&lt;key app="EN" db-id="95tpr2tp6r9xwoea9rb5wdsz5ds5xeddteew" timestamp="1680069511"&gt;610&lt;/key&gt;&lt;/foreign-keys&gt;&lt;ref-type name="Report"&gt;27&lt;/ref-type&gt;&lt;contributors&gt;&lt;authors&gt;&lt;author&gt;Iversen, Hilde Karin Hestad&lt;/author&gt;&lt;author&gt;Bjertnæs, Øyvind Andresen&lt;/author&gt;&lt;author&gt;Holmboe, Olaf&lt;/author&gt;&lt;/authors&gt;&lt;/contributors&gt;&lt;titles&gt;&lt;title&gt;Pasienterfaringer med fastlegen og fastlegekontoret i 2018/19&lt;/title&gt;&lt;/titles&gt;&lt;dates&gt;&lt;year&gt;2019&lt;/year&gt;&lt;/dates&gt;&lt;pub-location&gt;Oslo&lt;/pub-location&gt;&lt;publisher&gt;Folkehelseinstituttet&lt;/publisher&gt;&lt;isbn&gt;PasOpprapport 2019:1&lt;/isbn&gt;&lt;urls&gt;&lt;/urls&gt;&lt;/record&gt;&lt;/Cite&gt;&lt;/EndNote&gt;</w:instrText>
      </w:r>
      <w:r w:rsidR="00576E44">
        <w:fldChar w:fldCharType="separate"/>
      </w:r>
      <w:r w:rsidR="00D078E3">
        <w:rPr>
          <w:noProof/>
        </w:rPr>
        <w:t>(Iversen et al., 2019)</w:t>
      </w:r>
      <w:r w:rsidR="00576E44">
        <w:fldChar w:fldCharType="end"/>
      </w:r>
      <w:r>
        <w:t>.</w:t>
      </w:r>
    </w:p>
    <w:p w14:paraId="4708C8DB" w14:textId="57CB67AB" w:rsidR="00D9107F" w:rsidRDefault="009E25EB" w:rsidP="009E25EB">
      <w:pPr>
        <w:jc w:val="both"/>
      </w:pPr>
      <w:r>
        <w:t>Tilrettelegging av praksis for pasientgrupper med særlige behov</w:t>
      </w:r>
      <w:r w:rsidR="007A5DE3">
        <w:t>,</w:t>
      </w:r>
      <w:r>
        <w:t xml:space="preserve"> kan alternativt ivaretas ved å forskriftsfeste ytterligere krav til utformingen av praksisen. I </w:t>
      </w:r>
      <w:r w:rsidR="00856A16">
        <w:t xml:space="preserve">følge lov om likestilling og forbud mot diskriminering </w:t>
      </w:r>
      <w:r w:rsidR="00D9107F">
        <w:t>§ 1</w:t>
      </w:r>
      <w:r w:rsidR="00856A16">
        <w:t>7</w:t>
      </w:r>
      <w:r>
        <w:t xml:space="preserve"> skal for eksempel en fastlegepraksis være universelt utformet</w:t>
      </w:r>
      <w:r w:rsidR="001C35AE">
        <w:t xml:space="preserve"> </w:t>
      </w:r>
      <w:r w:rsidR="00576E44">
        <w:fldChar w:fldCharType="begin"/>
      </w:r>
      <w:r w:rsidR="00D078E3">
        <w:instrText xml:space="preserve"> ADDIN EN.CITE &lt;EndNote&gt;&lt;Cite ExcludeAuth="1"&gt;&lt;Year&gt;2017&lt;/Year&gt;&lt;RecNum&gt;470&lt;/RecNum&gt;&lt;DisplayText&gt;(&lt;style face="italic"&gt;Lov om likestilling og forbud mot diskriminering (likestillings- og diskrimineringsloven)&lt;/style&gt;, 2017)&lt;/DisplayText&gt;&lt;record&gt;&lt;rec-number&gt;470&lt;/rec-number&gt;&lt;foreign-keys&gt;&lt;key app="EN" db-id="95tpr2tp6r9xwoea9rb5wdsz5ds5xeddteew" timestamp="1680069511"&gt;470&lt;/key&gt;&lt;/foreign-keys&gt;&lt;ref-type name="Legal Rule or Regulation"&gt;50&lt;/ref-type&gt;&lt;contributors&gt;&lt;/contributors&gt;&lt;titles&gt;&lt;title&gt;Lov om likestilling og forbud mot diskriminering (likestillings- og diskrimineringsloven)&lt;/title&gt;&lt;secondary-title&gt;LOV-2017-06-16-51&lt;/secondary-title&gt;&lt;/titles&gt;&lt;edition&gt;LOV-2021-06-11-77 &lt;/edition&gt;&lt;dates&gt;&lt;year&gt;2017&lt;/year&gt;&lt;/dates&gt;&lt;urls&gt;&lt;related-urls&gt;&lt;url&gt;https://lovdata.no/dokument/NL/lov/2017-06-16-51#KAPITTEL_3&lt;/url&gt;&lt;/related-urls&gt;&lt;/urls&gt;&lt;/record&gt;&lt;/Cite&gt;&lt;/EndNote&gt;</w:instrText>
      </w:r>
      <w:r w:rsidR="00576E44">
        <w:fldChar w:fldCharType="separate"/>
      </w:r>
      <w:r w:rsidR="00D078E3">
        <w:rPr>
          <w:noProof/>
        </w:rPr>
        <w:t>(</w:t>
      </w:r>
      <w:r w:rsidR="00D078E3" w:rsidRPr="00D9107F">
        <w:rPr>
          <w:rStyle w:val="kursiv"/>
        </w:rPr>
        <w:t>Lov om likestilling og forbud mot diskriminering (likestillings- og diskrimineringsloven)</w:t>
      </w:r>
      <w:r w:rsidR="00D078E3">
        <w:rPr>
          <w:noProof/>
        </w:rPr>
        <w:t>, 2017)</w:t>
      </w:r>
      <w:r w:rsidR="00576E44">
        <w:fldChar w:fldCharType="end"/>
      </w:r>
      <w:r>
        <w:t xml:space="preserve">. </w:t>
      </w:r>
      <w:r w:rsidR="33717369">
        <w:t>Ulempen</w:t>
      </w:r>
      <w:r>
        <w:t xml:space="preserve"> med slik forskriftsfesting er at den gjøres av sentrale myndigheter, og den stimulerer derfor i mindre grad enn økonomiske insentiver til at legene selv, ved å lytte til pasientene, tenker nytt om hvordan de kan tilpasse praksisen til ulike pasientgruppers behov.</w:t>
      </w:r>
    </w:p>
    <w:p w14:paraId="3D3D4F3C" w14:textId="77777777" w:rsidR="00D9107F" w:rsidRDefault="000E5873" w:rsidP="009E25EB">
      <w:pPr>
        <w:jc w:val="both"/>
      </w:pPr>
      <w:r>
        <w:t>Sett f</w:t>
      </w:r>
      <w:r w:rsidR="009E25EB">
        <w:t xml:space="preserve">ra et legeperspektiv er det også et mål at fordelingen av finansieringen fastlegene imellom sikrer alle en god og trygg inntjening, med en økonomisk kompensasjon som samsvarer med arbeidsmengden. </w:t>
      </w:r>
      <w:r w:rsidR="004E1551">
        <w:t>Intensjonen</w:t>
      </w:r>
      <w:r w:rsidR="004E1551" w:rsidDel="009175BD">
        <w:t xml:space="preserve"> </w:t>
      </w:r>
      <w:r w:rsidR="009175BD">
        <w:t>med</w:t>
      </w:r>
      <w:r w:rsidR="004E1551">
        <w:t xml:space="preserve"> r</w:t>
      </w:r>
      <w:r w:rsidR="009E25EB">
        <w:t xml:space="preserve">isikojustering </w:t>
      </w:r>
      <w:r w:rsidR="00D1408B">
        <w:t>er bl</w:t>
      </w:r>
      <w:r w:rsidR="00493679">
        <w:t xml:space="preserve">ant annet </w:t>
      </w:r>
      <w:r w:rsidR="009E25EB">
        <w:t>at leger som har</w:t>
      </w:r>
      <w:r w:rsidR="002754E7">
        <w:t>,</w:t>
      </w:r>
      <w:r w:rsidR="009E25EB">
        <w:t xml:space="preserve"> eller tiltrekker seg</w:t>
      </w:r>
      <w:r w:rsidR="002754E7">
        <w:t>,</w:t>
      </w:r>
      <w:r w:rsidR="009E25EB">
        <w:t xml:space="preserve"> </w:t>
      </w:r>
      <w:r w:rsidR="00C63638">
        <w:t xml:space="preserve">listeinnbyggere </w:t>
      </w:r>
      <w:r w:rsidR="009E25EB">
        <w:t>som er arbeidskrevende</w:t>
      </w:r>
      <w:r w:rsidR="009175BD">
        <w:t xml:space="preserve"> og kanskje ikke blir kompensert fullt ut gjennom takstsystemet, skal godtgjøres for dette, slik at de ikke</w:t>
      </w:r>
      <w:r w:rsidR="009E25EB">
        <w:t xml:space="preserve"> kommer </w:t>
      </w:r>
      <w:r w:rsidR="009175BD">
        <w:t xml:space="preserve">dårligere </w:t>
      </w:r>
      <w:r w:rsidR="009E25EB">
        <w:t xml:space="preserve">ut økonomisk enn leger som har enklere </w:t>
      </w:r>
      <w:r w:rsidR="00C63638">
        <w:t>listeinnbyggere</w:t>
      </w:r>
      <w:r w:rsidR="009E25EB">
        <w:t>, gitt samme listelengde.</w:t>
      </w:r>
    </w:p>
    <w:p w14:paraId="774F5996" w14:textId="77777777" w:rsidR="00D9107F" w:rsidRDefault="0006333C" w:rsidP="009E25EB">
      <w:pPr>
        <w:jc w:val="both"/>
      </w:pPr>
      <w:r>
        <w:t xml:space="preserve">I </w:t>
      </w:r>
      <w:r w:rsidR="7EF9ACB3">
        <w:t>for</w:t>
      </w:r>
      <w:r w:rsidR="34BD4067">
        <w:t>s</w:t>
      </w:r>
      <w:r w:rsidR="7EF9ACB3">
        <w:t>kningslitteraturen</w:t>
      </w:r>
      <w:r>
        <w:t xml:space="preserve"> knytter b</w:t>
      </w:r>
      <w:r w:rsidR="009E25EB">
        <w:t xml:space="preserve">egrepet risikojustering seg til legenes finansielle risiko som følge av at ulike leger kan få </w:t>
      </w:r>
      <w:r w:rsidR="00736DB0">
        <w:t xml:space="preserve">listeinnbyggere </w:t>
      </w:r>
      <w:r w:rsidR="009E25EB">
        <w:t>med systematisk forskjellige kjennetegn</w:t>
      </w:r>
      <w:r w:rsidR="002754E7">
        <w:t>,</w:t>
      </w:r>
      <w:r w:rsidR="009E25EB">
        <w:t xml:space="preserve"> som påvirker behovet for legetjenester. I teorien er tanken at leger med tunge lister ikke bare skal måtte redusere listelengden, og dermed basistilskuddet, for å begrense arbeidsmengden, men at de skal kunne kompenseres økonomisk for at de har et tyngre listeansvar. Denne økonomiske kompensasjonen må i så fall være av en slik størrelse at den setter legen i stand til å ansette annet personell for å avlaste </w:t>
      </w:r>
      <w:r w:rsidR="00BF764F">
        <w:t>seg</w:t>
      </w:r>
      <w:r w:rsidR="009E25EB">
        <w:t xml:space="preserve">. Risikoen for tunge lister blir mindre jo mer den aktivitetsbaserte finansiering utgjør av total finansiering, da uforutsett mye arbeid med en liste </w:t>
      </w:r>
      <w:r w:rsidR="009E25EB">
        <w:lastRenderedPageBreak/>
        <w:t>– for legen, ikke for annet personell – kompenseres økonomisk gjennom refusjonene</w:t>
      </w:r>
      <w:r w:rsidR="51B7A876">
        <w:t xml:space="preserve"> </w:t>
      </w:r>
      <w:r w:rsidR="00576E44">
        <w:fldChar w:fldCharType="begin"/>
      </w:r>
      <w:r w:rsidR="00D078E3">
        <w:instrText xml:space="preserve"> ADDIN EN.CITE &lt;EndNote&gt;&lt;Cite&gt;&lt;Author&gt;Godager&lt;/Author&gt;&lt;Year&gt;2011&lt;/Year&gt;&lt;RecNum&gt;536&lt;/RecNum&gt;&lt;DisplayText&gt;(Godager et al., 2011)&lt;/DisplayText&gt;&lt;record&gt;&lt;rec-number&gt;536&lt;/rec-number&gt;&lt;foreign-keys&gt;&lt;key app="EN" db-id="95tpr2tp6r9xwoea9rb5wdsz5ds5xeddteew" timestamp="1680069511"&gt;536&lt;/key&gt;&lt;/foreign-keys&gt;&lt;ref-type name="Report"&gt;27&lt;/ref-type&gt;&lt;contributors&gt;&lt;authors&gt;&lt;author&gt;Godager&lt;/author&gt;&lt;author&gt;Hagen &lt;/author&gt;&lt;author&gt;Iversen&lt;/author&gt;&lt;/authors&gt;&lt;/contributors&gt;&lt;titles&gt;&lt;title&gt;Notat om risikojustering av basistilskudd til fastleger&lt;/title&gt;&lt;/titles&gt;&lt;dates&gt;&lt;year&gt;2011&lt;/year&gt;&lt;/dates&gt;&lt;pub-location&gt;Oslo&lt;/pub-location&gt;&lt;publisher&gt;Avdeling for helseledelse og helseøkonomi, Institutt for helse og samfunn, Universitetet i Oslo&lt;/publisher&gt;&lt;work-type&gt;upublisert&lt;/work-type&gt;&lt;urls&gt;&lt;/urls&gt;&lt;/record&gt;&lt;/Cite&gt;&lt;/EndNote&gt;</w:instrText>
      </w:r>
      <w:r w:rsidR="00576E44">
        <w:fldChar w:fldCharType="separate"/>
      </w:r>
      <w:r w:rsidR="00576E44">
        <w:rPr>
          <w:noProof/>
        </w:rPr>
        <w:t>(Godager et al., 2011)</w:t>
      </w:r>
      <w:r w:rsidR="00576E44">
        <w:fldChar w:fldCharType="end"/>
      </w:r>
      <w:r w:rsidR="009E25EB">
        <w:t>.</w:t>
      </w:r>
    </w:p>
    <w:p w14:paraId="61545200" w14:textId="77777777" w:rsidR="00D9107F" w:rsidRDefault="00A87333" w:rsidP="001A741D">
      <w:pPr>
        <w:jc w:val="both"/>
      </w:pPr>
      <w:r>
        <w:t>R</w:t>
      </w:r>
      <w:r w:rsidR="00C04D34">
        <w:t>isikojustering</w:t>
      </w:r>
      <w:r w:rsidR="001B0020">
        <w:t xml:space="preserve"> av </w:t>
      </w:r>
      <w:r w:rsidR="00BD71A4">
        <w:t>basisfinansieringe</w:t>
      </w:r>
      <w:r w:rsidR="009541B8">
        <w:t>n</w:t>
      </w:r>
      <w:r w:rsidR="00BD71A4">
        <w:t xml:space="preserve"> er </w:t>
      </w:r>
      <w:r w:rsidR="001772B1">
        <w:t xml:space="preserve">klart mest utbredt i land </w:t>
      </w:r>
      <w:r w:rsidR="001A741D">
        <w:t xml:space="preserve">der basistilskuddet utgjør en høy andel av finansieringen (se </w:t>
      </w:r>
      <w:r w:rsidR="00EA7233">
        <w:t>kapittel</w:t>
      </w:r>
      <w:r w:rsidR="00F0594B">
        <w:t xml:space="preserve"> 5.5.1</w:t>
      </w:r>
      <w:r w:rsidR="001A741D">
        <w:t>)</w:t>
      </w:r>
      <w:r w:rsidR="004732B8">
        <w:t>.</w:t>
      </w:r>
    </w:p>
    <w:p w14:paraId="74826D8E" w14:textId="3A2CBCD0" w:rsidR="009E25EB" w:rsidRDefault="56F33994" w:rsidP="00775632">
      <w:pPr>
        <w:pStyle w:val="Overskrift4"/>
      </w:pPr>
      <w:bookmarkStart w:id="2707" w:name="_Toc130983511"/>
      <w:bookmarkStart w:id="2708" w:name="_Toc130983860"/>
      <w:bookmarkStart w:id="2709" w:name="_Toc131063718"/>
      <w:bookmarkStart w:id="2710" w:name="_Toc131238438"/>
      <w:bookmarkStart w:id="2711" w:name="_Toc131279469"/>
      <w:bookmarkStart w:id="2712" w:name="_Toc131286881"/>
      <w:bookmarkStart w:id="2713" w:name="_Toc131281291"/>
      <w:bookmarkStart w:id="2714" w:name="_Toc131317831"/>
      <w:r>
        <w:t>Hvordan risikojustere i praksis og mulige virkninger</w:t>
      </w:r>
      <w:bookmarkEnd w:id="2707"/>
      <w:bookmarkEnd w:id="2708"/>
      <w:bookmarkEnd w:id="2709"/>
      <w:bookmarkEnd w:id="2710"/>
      <w:bookmarkEnd w:id="2711"/>
      <w:bookmarkEnd w:id="2712"/>
      <w:bookmarkEnd w:id="2713"/>
      <w:bookmarkEnd w:id="2714"/>
    </w:p>
    <w:p w14:paraId="0F3A00ED" w14:textId="77777777" w:rsidR="00D9107F" w:rsidRDefault="009E25EB" w:rsidP="009E25EB">
      <w:pPr>
        <w:jc w:val="both"/>
        <w:rPr>
          <w:rFonts w:ascii="Calibri" w:eastAsia="Calibri" w:hAnsi="Calibri" w:cs="Calibri"/>
        </w:rPr>
      </w:pPr>
      <w:r w:rsidRPr="08025E4F">
        <w:rPr>
          <w:rFonts w:ascii="Calibri" w:eastAsia="Calibri" w:hAnsi="Calibri" w:cs="Calibri"/>
        </w:rPr>
        <w:t xml:space="preserve">Målet med risikojustering </w:t>
      </w:r>
      <w:r w:rsidR="00DA3869">
        <w:rPr>
          <w:rFonts w:ascii="Calibri" w:eastAsia="Calibri" w:hAnsi="Calibri" w:cs="Calibri"/>
        </w:rPr>
        <w:t>av basisti</w:t>
      </w:r>
      <w:r w:rsidR="00EC244E">
        <w:rPr>
          <w:rFonts w:ascii="Calibri" w:eastAsia="Calibri" w:hAnsi="Calibri" w:cs="Calibri"/>
        </w:rPr>
        <w:t xml:space="preserve">lskuddet </w:t>
      </w:r>
      <w:r w:rsidRPr="08025E4F">
        <w:rPr>
          <w:rFonts w:ascii="Calibri" w:eastAsia="Calibri" w:hAnsi="Calibri" w:cs="Calibri"/>
        </w:rPr>
        <w:t>er altså å gjøre det økonomisk attraktivt for fastleger å utforme sin praksis på en måte som tjener pasientgrupper med særlig stor nytte av legens tid. Man ønsker å kompensere leger med mange listeinnbyggere som har særskilte behov</w:t>
      </w:r>
      <w:r w:rsidRPr="37D7A17E">
        <w:rPr>
          <w:rFonts w:ascii="Calibri" w:eastAsia="Calibri" w:hAnsi="Calibri" w:cs="Calibri"/>
        </w:rPr>
        <w:t xml:space="preserve">. Konseptuelt er formålet med risikojustering ikke å tilrettelegge for mer tjenester til de </w:t>
      </w:r>
      <w:r w:rsidR="00C3611F">
        <w:rPr>
          <w:rFonts w:ascii="Calibri" w:eastAsia="Calibri" w:hAnsi="Calibri" w:cs="Calibri"/>
        </w:rPr>
        <w:t>listeinnbyggerne</w:t>
      </w:r>
      <w:r w:rsidR="00C3611F" w:rsidRPr="37D7A17E">
        <w:rPr>
          <w:rFonts w:ascii="Calibri" w:eastAsia="Calibri" w:hAnsi="Calibri" w:cs="Calibri"/>
        </w:rPr>
        <w:t xml:space="preserve"> </w:t>
      </w:r>
      <w:r w:rsidRPr="37D7A17E">
        <w:rPr>
          <w:rFonts w:ascii="Calibri" w:eastAsia="Calibri" w:hAnsi="Calibri" w:cs="Calibri"/>
        </w:rPr>
        <w:t>som allerede får mye, men å understøtte fastlegenes prioritering og tilrettelegging for pasientgrupper som har størst nytte av legetjenestene. Det er ikke nødvendigvis slik at de gruppene som bruker mest tjenester</w:t>
      </w:r>
      <w:r w:rsidR="00C3611F">
        <w:rPr>
          <w:rFonts w:ascii="Calibri" w:eastAsia="Calibri" w:hAnsi="Calibri" w:cs="Calibri"/>
        </w:rPr>
        <w:t>,</w:t>
      </w:r>
      <w:r w:rsidRPr="37D7A17E">
        <w:rPr>
          <w:rFonts w:ascii="Calibri" w:eastAsia="Calibri" w:hAnsi="Calibri" w:cs="Calibri"/>
        </w:rPr>
        <w:t xml:space="preserve"> overlapper helt med de</w:t>
      </w:r>
      <w:r w:rsidR="002A1C08">
        <w:rPr>
          <w:rFonts w:ascii="Calibri" w:eastAsia="Calibri" w:hAnsi="Calibri" w:cs="Calibri"/>
        </w:rPr>
        <w:t xml:space="preserve"> </w:t>
      </w:r>
      <w:r w:rsidR="00FD2D16">
        <w:rPr>
          <w:rFonts w:ascii="Calibri" w:eastAsia="Calibri" w:hAnsi="Calibri" w:cs="Calibri"/>
        </w:rPr>
        <w:t xml:space="preserve">gruppene </w:t>
      </w:r>
      <w:r w:rsidRPr="37D7A17E">
        <w:rPr>
          <w:rFonts w:ascii="Calibri" w:eastAsia="Calibri" w:hAnsi="Calibri" w:cs="Calibri"/>
        </w:rPr>
        <w:t>som samfunn</w:t>
      </w:r>
      <w:r>
        <w:rPr>
          <w:rFonts w:ascii="Calibri" w:eastAsia="Calibri" w:hAnsi="Calibri" w:cs="Calibri"/>
        </w:rPr>
        <w:t>et</w:t>
      </w:r>
      <w:r w:rsidRPr="37D7A17E">
        <w:rPr>
          <w:rFonts w:ascii="Calibri" w:eastAsia="Calibri" w:hAnsi="Calibri" w:cs="Calibri"/>
        </w:rPr>
        <w:t xml:space="preserve"> ønsker å bruke mer ressurser på</w:t>
      </w:r>
      <w:r w:rsidR="6381E61A" w:rsidRPr="37D7A17E">
        <w:rPr>
          <w:rFonts w:ascii="Calibri" w:eastAsia="Calibri" w:hAnsi="Calibri" w:cs="Calibri"/>
        </w:rPr>
        <w:t xml:space="preserve"> </w:t>
      </w:r>
      <w:r w:rsidR="00A841AD">
        <w:rPr>
          <w:rFonts w:ascii="Calibri" w:eastAsia="Calibri" w:hAnsi="Calibri" w:cs="Calibri"/>
        </w:rPr>
        <w:fldChar w:fldCharType="begin"/>
      </w:r>
      <w:r w:rsidR="00235862">
        <w:rPr>
          <w:rFonts w:ascii="Calibri" w:eastAsia="Calibri" w:hAnsi="Calibri" w:cs="Calibri"/>
        </w:rPr>
        <w:instrText xml:space="preserve"> ADDIN EN.CITE &lt;EndNote&gt;&lt;Cite&gt;&lt;Author&gt;Helse- og omsorgsdepartementet&lt;/Author&gt;&lt;Year&gt;2021&lt;/Year&gt;&lt;RecNum&gt;571&lt;/RecNum&gt;&lt;DisplayText&gt;(Helse- og omsorgsdepartementet, 2021b)&lt;/DisplayText&gt;&lt;record&gt;&lt;rec-number&gt;571&lt;/rec-number&gt;&lt;foreign-keys&gt;&lt;key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A841AD">
        <w:rPr>
          <w:rFonts w:ascii="Calibri" w:eastAsia="Calibri" w:hAnsi="Calibri" w:cs="Calibri"/>
        </w:rPr>
        <w:fldChar w:fldCharType="separate"/>
      </w:r>
      <w:r w:rsidR="00A841AD">
        <w:rPr>
          <w:rFonts w:ascii="Calibri" w:eastAsia="Calibri" w:hAnsi="Calibri" w:cs="Calibri"/>
          <w:noProof/>
        </w:rPr>
        <w:t>(Helse- og omsorgsdepartementet, 2021b)</w:t>
      </w:r>
      <w:r w:rsidR="00A841AD">
        <w:rPr>
          <w:rFonts w:ascii="Calibri" w:eastAsia="Calibri" w:hAnsi="Calibri" w:cs="Calibri"/>
        </w:rPr>
        <w:fldChar w:fldCharType="end"/>
      </w:r>
      <w:r w:rsidRPr="37D7A17E">
        <w:rPr>
          <w:rFonts w:ascii="Calibri" w:eastAsia="Calibri" w:hAnsi="Calibri" w:cs="Calibri"/>
        </w:rPr>
        <w:t>.</w:t>
      </w:r>
    </w:p>
    <w:p w14:paraId="6D5D316A" w14:textId="77777777" w:rsidR="00D9107F" w:rsidRDefault="009E25EB" w:rsidP="009E25EB">
      <w:pPr>
        <w:jc w:val="both"/>
      </w:pPr>
      <w:r w:rsidRPr="37D7A17E">
        <w:rPr>
          <w:rFonts w:ascii="Calibri" w:eastAsia="Calibri" w:hAnsi="Calibri" w:cs="Calibri"/>
        </w:rPr>
        <w:t>I praksis er det svært vanskelig eller umulig å differensiere basistilskuddet, herunder risikojuster</w:t>
      </w:r>
      <w:r>
        <w:rPr>
          <w:rFonts w:ascii="Calibri" w:eastAsia="Calibri" w:hAnsi="Calibri" w:cs="Calibri"/>
        </w:rPr>
        <w:t>e</w:t>
      </w:r>
      <w:r w:rsidRPr="37D7A17E">
        <w:rPr>
          <w:rFonts w:ascii="Calibri" w:eastAsia="Calibri" w:hAnsi="Calibri" w:cs="Calibri"/>
        </w:rPr>
        <w:t xml:space="preserve">, </w:t>
      </w:r>
      <w:r>
        <w:rPr>
          <w:rFonts w:ascii="Calibri" w:eastAsia="Calibri" w:hAnsi="Calibri" w:cs="Calibri"/>
        </w:rPr>
        <w:t xml:space="preserve">på en måte som presist sikrer økte inntekter til akkurat de </w:t>
      </w:r>
      <w:r w:rsidRPr="37D7A17E">
        <w:rPr>
          <w:rFonts w:ascii="Calibri" w:eastAsia="Calibri" w:hAnsi="Calibri" w:cs="Calibri"/>
        </w:rPr>
        <w:t>leger med enkeltpasiente</w:t>
      </w:r>
      <w:r w:rsidR="00300CDE">
        <w:rPr>
          <w:rFonts w:ascii="Calibri" w:eastAsia="Calibri" w:hAnsi="Calibri" w:cs="Calibri"/>
        </w:rPr>
        <w:t xml:space="preserve">ne </w:t>
      </w:r>
      <w:r w:rsidR="7DE9FC94">
        <w:rPr>
          <w:rFonts w:ascii="Calibri" w:eastAsia="Calibri" w:hAnsi="Calibri" w:cs="Calibri"/>
        </w:rPr>
        <w:t>samfunne</w:t>
      </w:r>
      <w:r w:rsidR="4C93146A">
        <w:rPr>
          <w:rFonts w:ascii="Calibri" w:eastAsia="Calibri" w:hAnsi="Calibri" w:cs="Calibri"/>
        </w:rPr>
        <w:t>t</w:t>
      </w:r>
      <w:r w:rsidR="0027389D">
        <w:rPr>
          <w:rFonts w:ascii="Calibri" w:eastAsia="Calibri" w:hAnsi="Calibri" w:cs="Calibri"/>
        </w:rPr>
        <w:t xml:space="preserve"> ønsker å prioritere </w:t>
      </w:r>
      <w:r w:rsidRPr="37D7A17E">
        <w:rPr>
          <w:rFonts w:ascii="Calibri" w:eastAsia="Calibri" w:hAnsi="Calibri" w:cs="Calibri"/>
        </w:rPr>
        <w:t>tjenestene</w:t>
      </w:r>
      <w:r w:rsidR="0027389D">
        <w:rPr>
          <w:rFonts w:ascii="Calibri" w:eastAsia="Calibri" w:hAnsi="Calibri" w:cs="Calibri"/>
        </w:rPr>
        <w:t xml:space="preserve"> til</w:t>
      </w:r>
      <w:r w:rsidRPr="37D7A17E">
        <w:rPr>
          <w:rFonts w:ascii="Calibri" w:eastAsia="Calibri" w:hAnsi="Calibri" w:cs="Calibri"/>
        </w:rPr>
        <w:t>. Ofte vil risikojusteringer bygge på historisk helsetjenestebruk i en eller annen forstand, og dermed tilgodese – eksplisitt eller implisitt – pasientgrupper som historisk</w:t>
      </w:r>
      <w:r w:rsidR="009A3B2F">
        <w:rPr>
          <w:rFonts w:ascii="Calibri" w:eastAsia="Calibri" w:hAnsi="Calibri" w:cs="Calibri"/>
        </w:rPr>
        <w:t>,</w:t>
      </w:r>
      <w:r w:rsidRPr="37D7A17E">
        <w:rPr>
          <w:rFonts w:ascii="Calibri" w:eastAsia="Calibri" w:hAnsi="Calibri" w:cs="Calibri"/>
        </w:rPr>
        <w:t xml:space="preserve"> har hatt et høyt helsetjenesteforbruk. Som nevnt</w:t>
      </w:r>
      <w:r>
        <w:rPr>
          <w:rFonts w:ascii="Calibri" w:eastAsia="Calibri" w:hAnsi="Calibri" w:cs="Calibri"/>
        </w:rPr>
        <w:t>,</w:t>
      </w:r>
      <w:r w:rsidRPr="37D7A17E">
        <w:rPr>
          <w:rFonts w:ascii="Calibri" w:eastAsia="Calibri" w:hAnsi="Calibri" w:cs="Calibri"/>
        </w:rPr>
        <w:t xml:space="preserve"> er det ikke nødvendigvis disse pasientene samfunnet ønsker å prioritere</w:t>
      </w:r>
      <w:r w:rsidR="6E8F7880" w:rsidRPr="37D7A17E">
        <w:rPr>
          <w:rFonts w:ascii="Calibri" w:eastAsia="Calibri" w:hAnsi="Calibri" w:cs="Calibri"/>
        </w:rPr>
        <w:t xml:space="preserve"> </w:t>
      </w:r>
      <w:r w:rsidR="00A841AD">
        <w:rPr>
          <w:rFonts w:ascii="Calibri" w:eastAsia="Calibri" w:hAnsi="Calibri" w:cs="Calibri"/>
        </w:rPr>
        <w:fldChar w:fldCharType="begin"/>
      </w:r>
      <w:r w:rsidR="00235862">
        <w:rPr>
          <w:rFonts w:ascii="Calibri" w:eastAsia="Calibri" w:hAnsi="Calibri" w:cs="Calibri"/>
        </w:rPr>
        <w:instrText xml:space="preserve"> ADDIN EN.CITE &lt;EndNote&gt;&lt;Cite&gt;&lt;Author&gt;Helse- og omsorgsdepartementet&lt;/Author&gt;&lt;Year&gt;2021&lt;/Year&gt;&lt;RecNum&gt;571&lt;/RecNum&gt;&lt;DisplayText&gt;(Helse- og omsorgsdepartementet, 2021b)&lt;/DisplayText&gt;&lt;record&gt;&lt;rec-number&gt;571&lt;/rec-number&gt;&lt;foreign-keys&gt;&lt;key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A841AD">
        <w:rPr>
          <w:rFonts w:ascii="Calibri" w:eastAsia="Calibri" w:hAnsi="Calibri" w:cs="Calibri"/>
        </w:rPr>
        <w:fldChar w:fldCharType="separate"/>
      </w:r>
      <w:r w:rsidR="00A841AD">
        <w:rPr>
          <w:rFonts w:ascii="Calibri" w:eastAsia="Calibri" w:hAnsi="Calibri" w:cs="Calibri"/>
          <w:noProof/>
        </w:rPr>
        <w:t>(Helse- og omsorgsdepartementet, 2021b)</w:t>
      </w:r>
      <w:r w:rsidR="00A841AD">
        <w:rPr>
          <w:rFonts w:ascii="Calibri" w:eastAsia="Calibri" w:hAnsi="Calibri" w:cs="Calibri"/>
        </w:rPr>
        <w:fldChar w:fldCharType="end"/>
      </w:r>
      <w:r w:rsidRPr="37D7A17E">
        <w:rPr>
          <w:rFonts w:ascii="Calibri" w:eastAsia="Calibri" w:hAnsi="Calibri" w:cs="Calibri"/>
        </w:rPr>
        <w:t xml:space="preserve">. I forlengelsen av slike og andre måleproblemer skiller </w:t>
      </w:r>
      <w:r w:rsidR="002B2D7C">
        <w:rPr>
          <w:rFonts w:ascii="Calibri" w:eastAsia="Calibri" w:hAnsi="Calibri" w:cs="Calibri"/>
        </w:rPr>
        <w:t>Godager og medarbeidere</w:t>
      </w:r>
      <w:r w:rsidR="008B4A47">
        <w:rPr>
          <w:rFonts w:ascii="Calibri" w:eastAsia="Calibri" w:hAnsi="Calibri" w:cs="Calibri"/>
        </w:rPr>
        <w:t xml:space="preserve"> </w:t>
      </w:r>
      <w:r w:rsidRPr="37D7A17E">
        <w:rPr>
          <w:rFonts w:ascii="Calibri" w:eastAsia="Calibri" w:hAnsi="Calibri" w:cs="Calibri"/>
        </w:rPr>
        <w:t>mellom legitime og illegitime justeringsfaktorer</w:t>
      </w:r>
      <w:r w:rsidR="00A7214A">
        <w:rPr>
          <w:rFonts w:ascii="Calibri" w:eastAsia="Calibri" w:hAnsi="Calibri" w:cs="Calibri"/>
        </w:rPr>
        <w:t xml:space="preserve"> </w:t>
      </w:r>
      <w:r w:rsidR="00576E44" w:rsidRPr="00FA02C5">
        <w:rPr>
          <w:rFonts w:ascii="Calibri" w:eastAsia="Calibri" w:hAnsi="Calibri" w:cs="Calibri"/>
        </w:rPr>
        <w:fldChar w:fldCharType="begin"/>
      </w:r>
      <w:r w:rsidR="00D078E3">
        <w:rPr>
          <w:rFonts w:ascii="Calibri" w:eastAsia="Calibri" w:hAnsi="Calibri" w:cs="Calibri"/>
        </w:rPr>
        <w:instrText xml:space="preserve"> ADDIN EN.CITE &lt;EndNote&gt;&lt;Cite&gt;&lt;Author&gt;Godager&lt;/Author&gt;&lt;Year&gt;2011&lt;/Year&gt;&lt;RecNum&gt;536&lt;/RecNum&gt;&lt;DisplayText&gt;(Godager et al., 2011)&lt;/DisplayText&gt;&lt;record&gt;&lt;rec-number&gt;536&lt;/rec-number&gt;&lt;foreign-keys&gt;&lt;key app="EN" db-id="95tpr2tp6r9xwoea9rb5wdsz5ds5xeddteew" timestamp="1680069511"&gt;536&lt;/key&gt;&lt;/foreign-keys&gt;&lt;ref-type name="Report"&gt;27&lt;/ref-type&gt;&lt;contributors&gt;&lt;authors&gt;&lt;author&gt;Godager&lt;/author&gt;&lt;author&gt;Hagen &lt;/author&gt;&lt;author&gt;Iversen&lt;/author&gt;&lt;/authors&gt;&lt;/contributors&gt;&lt;titles&gt;&lt;title&gt;Notat om risikojustering av basistilskudd til fastleger&lt;/title&gt;&lt;/titles&gt;&lt;dates&gt;&lt;year&gt;2011&lt;/year&gt;&lt;/dates&gt;&lt;pub-location&gt;Oslo&lt;/pub-location&gt;&lt;publisher&gt;Avdeling for helseledelse og helseøkonomi, Institutt for helse og samfunn, Universitetet i Oslo&lt;/publisher&gt;&lt;work-type&gt;upublisert&lt;/work-type&gt;&lt;urls&gt;&lt;/urls&gt;&lt;/record&gt;&lt;/Cite&gt;&lt;/EndNote&gt;</w:instrText>
      </w:r>
      <w:r w:rsidR="00576E44" w:rsidRPr="00FA02C5">
        <w:rPr>
          <w:rFonts w:ascii="Calibri" w:eastAsia="Calibri" w:hAnsi="Calibri" w:cs="Calibri"/>
        </w:rPr>
        <w:fldChar w:fldCharType="separate"/>
      </w:r>
      <w:r w:rsidR="00576E44" w:rsidRPr="00FA02C5">
        <w:rPr>
          <w:rFonts w:ascii="Calibri" w:eastAsia="Calibri" w:hAnsi="Calibri" w:cs="Calibri"/>
          <w:noProof/>
        </w:rPr>
        <w:t>(Godager et al., 2011)</w:t>
      </w:r>
      <w:r w:rsidR="00576E44" w:rsidRPr="00FA02C5">
        <w:rPr>
          <w:rFonts w:ascii="Calibri" w:eastAsia="Calibri" w:hAnsi="Calibri" w:cs="Calibri"/>
        </w:rPr>
        <w:fldChar w:fldCharType="end"/>
      </w:r>
      <w:r w:rsidRPr="37D7A17E">
        <w:rPr>
          <w:rFonts w:ascii="Calibri" w:eastAsia="Calibri" w:hAnsi="Calibri" w:cs="Calibri"/>
        </w:rPr>
        <w:t xml:space="preserve">. </w:t>
      </w:r>
      <w:r w:rsidRPr="08025E4F">
        <w:rPr>
          <w:rFonts w:ascii="Calibri" w:eastAsia="Calibri" w:hAnsi="Calibri" w:cs="Calibri"/>
        </w:rPr>
        <w:t>Blant de legitime faktorer finner vi variabler som er viktige drivere av utgifter, samtidig som de er utenfor tjenesteleverandørens direkte kontroll, for eksempel pasienters alder og kjønn. Blant illegitime faktorer finner vi variabler som er drivere av utgifter, samtidig som de er under tjenesteleverandørens direkte kontroll</w:t>
      </w:r>
      <w:r w:rsidR="00A95B4F">
        <w:rPr>
          <w:rFonts w:ascii="Calibri" w:eastAsia="Calibri" w:hAnsi="Calibri" w:cs="Calibri"/>
        </w:rPr>
        <w:t xml:space="preserve">, som </w:t>
      </w:r>
      <w:r w:rsidR="00CD7D26">
        <w:rPr>
          <w:rFonts w:ascii="Calibri" w:eastAsia="Calibri" w:hAnsi="Calibri" w:cs="Calibri"/>
        </w:rPr>
        <w:t xml:space="preserve">for eksempel </w:t>
      </w:r>
      <w:r w:rsidR="004514DD">
        <w:rPr>
          <w:rFonts w:ascii="Calibri" w:eastAsia="Calibri" w:hAnsi="Calibri" w:cs="Calibri"/>
        </w:rPr>
        <w:t xml:space="preserve">prosedyrer og </w:t>
      </w:r>
      <w:r w:rsidR="003D1124">
        <w:rPr>
          <w:rFonts w:ascii="Calibri" w:eastAsia="Calibri" w:hAnsi="Calibri" w:cs="Calibri"/>
        </w:rPr>
        <w:t>diagnoser</w:t>
      </w:r>
      <w:r w:rsidRPr="08025E4F">
        <w:rPr>
          <w:rFonts w:ascii="Calibri" w:eastAsia="Calibri" w:hAnsi="Calibri" w:cs="Calibri"/>
        </w:rPr>
        <w:t>. Dersom man legger vekt på de illegitime faktorene</w:t>
      </w:r>
      <w:r>
        <w:rPr>
          <w:rFonts w:ascii="Calibri" w:eastAsia="Calibri" w:hAnsi="Calibri" w:cs="Calibri"/>
        </w:rPr>
        <w:t>,</w:t>
      </w:r>
      <w:r w:rsidRPr="08025E4F">
        <w:rPr>
          <w:rFonts w:ascii="Calibri" w:eastAsia="Calibri" w:hAnsi="Calibri" w:cs="Calibri"/>
        </w:rPr>
        <w:t xml:space="preserve"> kan finansieringssystemets evne til å understøtte god medisinskfaglig atferd undergraves.</w:t>
      </w:r>
    </w:p>
    <w:p w14:paraId="73F01FE2" w14:textId="77777777" w:rsidR="00D9107F" w:rsidRDefault="009E25EB" w:rsidP="009E25EB">
      <w:pPr>
        <w:jc w:val="both"/>
      </w:pPr>
      <w:r>
        <w:t>I en kunnskapsoppsummering fra 2020 gjennomgås litteratur om bruk av verktøy og modeller for risikojustering</w:t>
      </w:r>
      <w:r w:rsidR="2E932CE7">
        <w:t xml:space="preserve"> </w:t>
      </w:r>
      <w:r w:rsidR="00576E44">
        <w:fldChar w:fldCharType="begin"/>
      </w:r>
      <w:r w:rsidR="00856689">
        <w:instrText xml:space="preserve"> ADDIN EN.CITE &lt;EndNote&gt;&lt;Cite&gt;&lt;Author&gt;Steinsbekk&lt;/Author&gt;&lt;Year&gt;2020&lt;/Year&gt;&lt;RecNum&gt;714&lt;/RecNum&gt;&lt;DisplayText&gt;(Steinsbekk et al., 2020)&lt;/DisplayText&gt;&lt;record&gt;&lt;rec-number&gt;714&lt;/rec-number&gt;&lt;foreign-keys&gt;&lt;key app="EN" db-id="95tpr2tp6r9xwoea9rb5wdsz5ds5xeddteew" timestamp="1680069511"&gt;714&lt;/key&gt;&lt;/foreign-keys&gt;&lt;ref-type name="Report"&gt;27&lt;/ref-type&gt;&lt;contributors&gt;&lt;authors&gt;&lt;author&gt;Steinsbekk, Aslak&lt;/author&gt;&lt;author&gt;Grimsmo, Anders&lt;/author&gt;&lt;author&gt;Kalseth, Jorid&lt;/author&gt;&lt;/authors&gt;&lt;/contributors&gt;&lt;titles&gt;&lt;title&gt;Risikojustering i finansieringsmodeller for teambasert fastlegeordning&lt;/title&gt;&lt;/titles&gt;&lt;dates&gt;&lt;year&gt;2020&lt;/year&gt;&lt;/dates&gt;&lt;publisher&gt;Institutt for samfunnsmedisin og sykepleie, Fakultet for medisin og helsevitenskap, NTNU&lt;/publisher&gt;&lt;urls&gt;&lt;/urls&gt;&lt;/record&gt;&lt;/Cite&gt;&lt;/EndNote&gt;</w:instrText>
      </w:r>
      <w:r w:rsidR="00576E44">
        <w:fldChar w:fldCharType="separate"/>
      </w:r>
      <w:r w:rsidR="00856689">
        <w:rPr>
          <w:noProof/>
        </w:rPr>
        <w:t>(Steinsbekk et al., 2020)</w:t>
      </w:r>
      <w:r w:rsidR="00576E44">
        <w:fldChar w:fldCharType="end"/>
      </w:r>
      <w:r>
        <w:t>. Forskerne påpeker at br</w:t>
      </w:r>
      <w:r w:rsidRPr="08025E4F">
        <w:t xml:space="preserve">uk av risikojustering er vanlig </w:t>
      </w:r>
      <w:r w:rsidR="004E0F33">
        <w:t xml:space="preserve">i </w:t>
      </w:r>
      <w:r w:rsidRPr="08025E4F">
        <w:t>finansieringsmodeller i helsetjenesten, og de</w:t>
      </w:r>
      <w:r>
        <w:t>r</w:t>
      </w:r>
      <w:r w:rsidRPr="08025E4F">
        <w:t xml:space="preserve"> særlig kjønn og alder inngår. Men også andre forhold inngår, og helsetilstand er vanligst å basere på diagnoser. I </w:t>
      </w:r>
      <w:r w:rsidR="00FE14AF">
        <w:t xml:space="preserve">en </w:t>
      </w:r>
      <w:r w:rsidRPr="08025E4F">
        <w:t xml:space="preserve">gjennomgang av risikojustering peker </w:t>
      </w:r>
      <w:r w:rsidR="00FE14AF">
        <w:t>forfatterne</w:t>
      </w:r>
      <w:r w:rsidRPr="08025E4F">
        <w:t xml:space="preserve"> i tillegg på den iboende konflikten mellom ønsket om å modellere variasjonen i utgifter på en best mulig måte, og ønsket om en modell som er enkel å forstå, som implementerer de ønskede insentiver, og som bidra</w:t>
      </w:r>
      <w:r>
        <w:t>r</w:t>
      </w:r>
      <w:r w:rsidRPr="08025E4F">
        <w:t xml:space="preserve"> til å gi finansieringsformelen legitimitet</w:t>
      </w:r>
      <w:r w:rsidR="0850BBCD" w:rsidRPr="08025E4F">
        <w:t xml:space="preserve"> </w:t>
      </w:r>
      <w:r w:rsidR="00576E44">
        <w:fldChar w:fldCharType="begin"/>
      </w:r>
      <w:r w:rsidR="00D078E3">
        <w:instrText xml:space="preserve"> ADDIN EN.CITE &lt;EndNote&gt;&lt;Cite&gt;&lt;Author&gt;Godager&lt;/Author&gt;&lt;Year&gt;2011&lt;/Year&gt;&lt;RecNum&gt;536&lt;/RecNum&gt;&lt;DisplayText&gt;(Godager et al., 2011)&lt;/DisplayText&gt;&lt;record&gt;&lt;rec-number&gt;536&lt;/rec-number&gt;&lt;foreign-keys&gt;&lt;key app="EN" db-id="95tpr2tp6r9xwoea9rb5wdsz5ds5xeddteew" timestamp="1680069511"&gt;536&lt;/key&gt;&lt;/foreign-keys&gt;&lt;ref-type name="Report"&gt;27&lt;/ref-type&gt;&lt;contributors&gt;&lt;authors&gt;&lt;author&gt;Godager&lt;/author&gt;&lt;author&gt;Hagen &lt;/author&gt;&lt;author&gt;Iversen&lt;/author&gt;&lt;/authors&gt;&lt;/contributors&gt;&lt;titles&gt;&lt;title&gt;Notat om risikojustering av basistilskudd til fastleger&lt;/title&gt;&lt;/titles&gt;&lt;dates&gt;&lt;year&gt;2011&lt;/year&gt;&lt;/dates&gt;&lt;pub-location&gt;Oslo&lt;/pub-location&gt;&lt;publisher&gt;Avdeling for helseledelse og helseøkonomi, Institutt for helse og samfunn, Universitetet i Oslo&lt;/publisher&gt;&lt;work-type&gt;upublisert&lt;/work-type&gt;&lt;urls&gt;&lt;/urls&gt;&lt;/record&gt;&lt;/Cite&gt;&lt;/EndNote&gt;</w:instrText>
      </w:r>
      <w:r w:rsidR="00576E44">
        <w:fldChar w:fldCharType="separate"/>
      </w:r>
      <w:r w:rsidR="00576E44">
        <w:rPr>
          <w:noProof/>
        </w:rPr>
        <w:t>(Godager et al., 2011)</w:t>
      </w:r>
      <w:r w:rsidR="00576E44">
        <w:fldChar w:fldCharType="end"/>
      </w:r>
      <w:r w:rsidRPr="08025E4F">
        <w:t>.</w:t>
      </w:r>
      <w:r>
        <w:t xml:space="preserve"> Det ser derfor ut til å være enighet i litteraturen om at det ikke er ønskelig å forsøke å lage en statistisk modell som tar ut all observerbar risiko.</w:t>
      </w:r>
    </w:p>
    <w:p w14:paraId="27AC1094" w14:textId="2B3D90FE" w:rsidR="009E25EB" w:rsidRPr="00D9107F" w:rsidRDefault="009E25EB" w:rsidP="009E25EB">
      <w:pPr>
        <w:jc w:val="both"/>
        <w:rPr>
          <w:rStyle w:val="kursiv"/>
        </w:rPr>
      </w:pPr>
      <w:r>
        <w:t>Selv med perfekt risikojustering</w:t>
      </w:r>
      <w:r w:rsidR="00667AE1">
        <w:t>,</w:t>
      </w:r>
      <w:r>
        <w:t xml:space="preserve"> vil det uansett være tilfeldige variasjoner i listeinnbygger</w:t>
      </w:r>
      <w:r w:rsidR="003E66BE">
        <w:t>e</w:t>
      </w:r>
      <w:r>
        <w:t>s behov for tjenester, og effekter av slike tilfeldigheter på fastlegens arbeidsbyrde vil være større desto kortere liste legen har.</w:t>
      </w:r>
    </w:p>
    <w:p w14:paraId="71E13E00" w14:textId="22F070E2" w:rsidR="006C17A4" w:rsidRDefault="009E25EB" w:rsidP="00FB310D">
      <w:pPr>
        <w:rPr>
          <w:rFonts w:eastAsia="Calibri"/>
        </w:rPr>
      </w:pPr>
      <w:r w:rsidRPr="37D7A17E">
        <w:rPr>
          <w:rFonts w:eastAsia="Calibri"/>
        </w:rPr>
        <w:t>Et annet spørsmål er om</w:t>
      </w:r>
      <w:r w:rsidRPr="08025E4F">
        <w:rPr>
          <w:rFonts w:eastAsia="Calibri"/>
        </w:rPr>
        <w:t xml:space="preserve"> risikojustering kan bidra til å beholde og rekruttere fastleger, og </w:t>
      </w:r>
      <w:r w:rsidRPr="37D7A17E">
        <w:rPr>
          <w:rFonts w:eastAsia="Calibri"/>
        </w:rPr>
        <w:t xml:space="preserve">hvordan risikojustering virker inn på </w:t>
      </w:r>
      <w:r w:rsidRPr="08025E4F">
        <w:rPr>
          <w:rFonts w:eastAsia="Calibri"/>
        </w:rPr>
        <w:t xml:space="preserve">fordeling </w:t>
      </w:r>
      <w:r w:rsidRPr="608C13A0">
        <w:rPr>
          <w:rFonts w:eastAsia="Calibri"/>
        </w:rPr>
        <w:t xml:space="preserve">av inntekter </w:t>
      </w:r>
      <w:r w:rsidRPr="08025E4F">
        <w:rPr>
          <w:rFonts w:eastAsia="Calibri"/>
        </w:rPr>
        <w:t>mellom leger og kommuner</w:t>
      </w:r>
      <w:r w:rsidRPr="37D7A17E">
        <w:rPr>
          <w:rFonts w:eastAsia="Calibri"/>
        </w:rPr>
        <w:t>.</w:t>
      </w:r>
      <w:r w:rsidRPr="08025E4F">
        <w:rPr>
          <w:rFonts w:eastAsia="Calibri"/>
        </w:rPr>
        <w:t xml:space="preserve"> For </w:t>
      </w:r>
      <w:r w:rsidRPr="08025E4F">
        <w:rPr>
          <w:rFonts w:eastAsia="Calibri"/>
        </w:rPr>
        <w:lastRenderedPageBreak/>
        <w:t>eksisterende fastleger</w:t>
      </w:r>
      <w:r w:rsidR="002754E7">
        <w:rPr>
          <w:rFonts w:eastAsia="Calibri"/>
        </w:rPr>
        <w:t>,</w:t>
      </w:r>
      <w:r w:rsidRPr="08025E4F">
        <w:rPr>
          <w:rFonts w:eastAsia="Calibri"/>
        </w:rPr>
        <w:t xml:space="preserve"> som har hatt den samme list</w:t>
      </w:r>
      <w:r w:rsidR="006C03AE">
        <w:rPr>
          <w:rFonts w:eastAsia="Calibri"/>
        </w:rPr>
        <w:t>en</w:t>
      </w:r>
      <w:r w:rsidRPr="08025E4F">
        <w:rPr>
          <w:rFonts w:eastAsia="Calibri"/>
        </w:rPr>
        <w:t xml:space="preserve"> i mange år, og dermed ofte har </w:t>
      </w:r>
      <w:r w:rsidR="00415F5D">
        <w:rPr>
          <w:rFonts w:eastAsia="Calibri"/>
        </w:rPr>
        <w:t>listeinnbyggere</w:t>
      </w:r>
      <w:r w:rsidR="00415F5D" w:rsidRPr="08025E4F">
        <w:rPr>
          <w:rFonts w:eastAsia="Calibri"/>
        </w:rPr>
        <w:t xml:space="preserve"> </w:t>
      </w:r>
      <w:r w:rsidRPr="08025E4F">
        <w:rPr>
          <w:rFonts w:eastAsia="Calibri"/>
        </w:rPr>
        <w:t xml:space="preserve">som er eldre fordi </w:t>
      </w:r>
      <w:r w:rsidR="00415F5D">
        <w:rPr>
          <w:rFonts w:eastAsia="Calibri"/>
        </w:rPr>
        <w:t>d</w:t>
      </w:r>
      <w:r w:rsidR="00415F5D" w:rsidRPr="08025E4F">
        <w:rPr>
          <w:rFonts w:eastAsia="Calibri"/>
        </w:rPr>
        <w:t xml:space="preserve">e </w:t>
      </w:r>
      <w:r w:rsidRPr="08025E4F">
        <w:rPr>
          <w:rFonts w:eastAsia="Calibri"/>
        </w:rPr>
        <w:t xml:space="preserve">har </w:t>
      </w:r>
      <w:r w:rsidR="00D9107F">
        <w:rPr>
          <w:rFonts w:eastAsia="Calibri"/>
        </w:rPr>
        <w:t>«</w:t>
      </w:r>
      <w:r w:rsidRPr="08025E4F">
        <w:rPr>
          <w:rFonts w:eastAsia="Calibri"/>
        </w:rPr>
        <w:t>eldet med legen</w:t>
      </w:r>
      <w:r w:rsidR="00D9107F">
        <w:rPr>
          <w:rFonts w:eastAsia="Calibri"/>
        </w:rPr>
        <w:t>»</w:t>
      </w:r>
      <w:r w:rsidRPr="08025E4F">
        <w:rPr>
          <w:rFonts w:eastAsia="Calibri"/>
        </w:rPr>
        <w:t xml:space="preserve">, vil </w:t>
      </w:r>
      <w:r w:rsidR="005A18FC">
        <w:rPr>
          <w:rFonts w:eastAsia="Calibri"/>
        </w:rPr>
        <w:t xml:space="preserve">en </w:t>
      </w:r>
      <w:r w:rsidRPr="08025E4F">
        <w:rPr>
          <w:rFonts w:eastAsia="Calibri"/>
        </w:rPr>
        <w:t xml:space="preserve">risikojustering </w:t>
      </w:r>
      <w:r w:rsidR="005A18FC">
        <w:rPr>
          <w:rFonts w:eastAsia="Calibri"/>
        </w:rPr>
        <w:t>av tilskuddet innenfor en fast totalramme,</w:t>
      </w:r>
      <w:r w:rsidRPr="08025E4F">
        <w:rPr>
          <w:rFonts w:eastAsia="Calibri"/>
        </w:rPr>
        <w:t xml:space="preserve"> kunne innebære en økning i basistilskuddet. Motsatsen er at risikojustering </w:t>
      </w:r>
      <w:r w:rsidR="005A18FC">
        <w:rPr>
          <w:rFonts w:eastAsia="Calibri"/>
        </w:rPr>
        <w:t xml:space="preserve">relativt sett </w:t>
      </w:r>
      <w:r w:rsidRPr="08025E4F">
        <w:rPr>
          <w:rFonts w:eastAsia="Calibri"/>
        </w:rPr>
        <w:t>vil kunne redusere basistilskuddet til yngre leger.</w:t>
      </w:r>
    </w:p>
    <w:p w14:paraId="4EDB5F33" w14:textId="1229B09A" w:rsidR="006C17A4" w:rsidRDefault="006C17A4" w:rsidP="00FB310D">
      <w:pPr>
        <w:rPr>
          <w:rFonts w:eastAsia="Calibri"/>
        </w:rPr>
      </w:pPr>
      <w:r>
        <w:t>Ekspertu</w:t>
      </w:r>
      <w:r w:rsidRPr="004358BE">
        <w:t>tvalget</w:t>
      </w:r>
      <w:r>
        <w:t xml:space="preserve"> erkjenner at en h</w:t>
      </w:r>
      <w:r>
        <w:rPr>
          <w:rFonts w:eastAsia="Calibri"/>
        </w:rPr>
        <w:t>øy andel basistilskudd vil kunne gi fastlegen insentiver til å yte færre eller utsatte tjenester til noen listeinnbyggere, men ut fra medisinskfaglige prioriteringer vil det fortrinnsvis være de listeinnbyggerne som trenger dem minst.</w:t>
      </w:r>
    </w:p>
    <w:p w14:paraId="60B7D0E9" w14:textId="77777777" w:rsidR="00D9107F" w:rsidRDefault="009E25EB" w:rsidP="00FB310D">
      <w:pPr>
        <w:rPr>
          <w:rFonts w:eastAsia="Calibri"/>
        </w:rPr>
      </w:pPr>
      <w:r w:rsidRPr="08025E4F">
        <w:rPr>
          <w:rFonts w:eastAsia="Calibri"/>
          <w:color w:val="000000" w:themeColor="text1"/>
        </w:rPr>
        <w:t xml:space="preserve">Mange yngre leger gir uttrykk for at de ønsker å ha ansvar for færre </w:t>
      </w:r>
      <w:r w:rsidR="00AB1F53">
        <w:rPr>
          <w:rFonts w:eastAsia="Calibri"/>
          <w:color w:val="000000" w:themeColor="text1"/>
        </w:rPr>
        <w:t>listeinnbyggere</w:t>
      </w:r>
      <w:r w:rsidR="00AB1F53" w:rsidRPr="08025E4F">
        <w:rPr>
          <w:rFonts w:eastAsia="Calibri"/>
          <w:color w:val="000000" w:themeColor="text1"/>
        </w:rPr>
        <w:t xml:space="preserve"> </w:t>
      </w:r>
      <w:r w:rsidRPr="08025E4F">
        <w:rPr>
          <w:rFonts w:eastAsia="Calibri"/>
          <w:color w:val="000000" w:themeColor="text1"/>
        </w:rPr>
        <w:t xml:space="preserve">og jobbe mindre enn det som har vært vanlig blant eldre fastleger i Norge, og risikojustering er ment å kompensere leger med tunge lister slik at de kan ha en høyere og sikrere inntekt på kortere lister som er </w:t>
      </w:r>
      <w:r>
        <w:rPr>
          <w:rFonts w:eastAsia="Calibri"/>
          <w:color w:val="000000" w:themeColor="text1"/>
        </w:rPr>
        <w:t>arbeidskrevende</w:t>
      </w:r>
      <w:r w:rsidRPr="08025E4F">
        <w:rPr>
          <w:rFonts w:eastAsia="Calibri"/>
          <w:color w:val="000000" w:themeColor="text1"/>
        </w:rPr>
        <w:t>.</w:t>
      </w:r>
    </w:p>
    <w:p w14:paraId="426C650F" w14:textId="5E042978" w:rsidR="009E25EB" w:rsidRDefault="009E25EB" w:rsidP="00FB310D">
      <w:pPr>
        <w:rPr>
          <w:rFonts w:eastAsia="Calibri"/>
        </w:rPr>
      </w:pPr>
      <w:r w:rsidRPr="27F769C7">
        <w:rPr>
          <w:rFonts w:eastAsia="Calibri"/>
          <w:color w:val="000000" w:themeColor="text1"/>
        </w:rPr>
        <w:t>For nye leger som ønsker å bli fastlege</w:t>
      </w:r>
      <w:r w:rsidR="00637D1C">
        <w:rPr>
          <w:rFonts w:eastAsia="Calibri"/>
          <w:color w:val="000000" w:themeColor="text1"/>
        </w:rPr>
        <w:t>,</w:t>
      </w:r>
      <w:r w:rsidRPr="27F769C7">
        <w:rPr>
          <w:rFonts w:eastAsia="Calibri"/>
          <w:color w:val="000000" w:themeColor="text1"/>
        </w:rPr>
        <w:t xml:space="preserve"> er det ikke helt klart hvordan</w:t>
      </w:r>
      <w:r w:rsidR="005A18FC">
        <w:rPr>
          <w:rFonts w:eastAsia="Calibri"/>
          <w:color w:val="000000" w:themeColor="text1"/>
        </w:rPr>
        <w:t>,</w:t>
      </w:r>
      <w:r w:rsidRPr="27F769C7">
        <w:rPr>
          <w:rFonts w:eastAsia="Calibri"/>
          <w:color w:val="000000" w:themeColor="text1"/>
        </w:rPr>
        <w:t xml:space="preserve"> eller i hvilken grad</w:t>
      </w:r>
      <w:r w:rsidR="005A18FC">
        <w:rPr>
          <w:rFonts w:eastAsia="Calibri"/>
          <w:color w:val="000000" w:themeColor="text1"/>
        </w:rPr>
        <w:t>,</w:t>
      </w:r>
      <w:r w:rsidRPr="27F769C7">
        <w:rPr>
          <w:rFonts w:eastAsia="Calibri"/>
          <w:color w:val="000000" w:themeColor="text1"/>
        </w:rPr>
        <w:t xml:space="preserve"> risikojustering vil påvirke insentivene deres for å ønske å kjøpe en praksis. </w:t>
      </w:r>
      <w:r w:rsidRPr="27F769C7">
        <w:rPr>
          <w:rFonts w:eastAsia="Calibri"/>
        </w:rPr>
        <w:t xml:space="preserve">En økning i basistilskuddet for </w:t>
      </w:r>
      <w:r>
        <w:rPr>
          <w:rFonts w:eastAsia="Calibri"/>
        </w:rPr>
        <w:t xml:space="preserve">arbeidskrevende </w:t>
      </w:r>
      <w:r w:rsidRPr="27F769C7">
        <w:rPr>
          <w:rFonts w:eastAsia="Calibri"/>
        </w:rPr>
        <w:t>lister vil kunne lede til økt driftsresultat for eksisterende fastleger med slike lister, og med mindre de reduserer listelengden mye</w:t>
      </w:r>
      <w:r>
        <w:rPr>
          <w:rFonts w:eastAsia="Calibri"/>
        </w:rPr>
        <w:t>,</w:t>
      </w:r>
      <w:r w:rsidRPr="27F769C7">
        <w:rPr>
          <w:rFonts w:eastAsia="Calibri"/>
        </w:rPr>
        <w:t xml:space="preserve"> </w:t>
      </w:r>
      <w:r w:rsidR="005A18FC">
        <w:rPr>
          <w:rFonts w:eastAsia="Calibri"/>
        </w:rPr>
        <w:t xml:space="preserve">eller overdragelser reguleres annerledes enn i dag, </w:t>
      </w:r>
      <w:r w:rsidRPr="27F769C7">
        <w:rPr>
          <w:rFonts w:eastAsia="Calibri"/>
        </w:rPr>
        <w:t xml:space="preserve">kan risikojusteringen øke prisen nye leger må betale for å ta over praksiser med </w:t>
      </w:r>
      <w:r>
        <w:rPr>
          <w:rFonts w:eastAsia="Calibri"/>
        </w:rPr>
        <w:t xml:space="preserve">arbeidskrevende </w:t>
      </w:r>
      <w:r w:rsidRPr="27F769C7">
        <w:rPr>
          <w:rFonts w:eastAsia="Calibri"/>
        </w:rPr>
        <w:t xml:space="preserve">lister. </w:t>
      </w:r>
      <w:r>
        <w:rPr>
          <w:rFonts w:eastAsia="Calibri"/>
        </w:rPr>
        <w:t xml:space="preserve">Videre har </w:t>
      </w:r>
      <w:r w:rsidRPr="27F769C7">
        <w:rPr>
          <w:rFonts w:eastAsia="Calibri"/>
        </w:rPr>
        <w:t xml:space="preserve">yngre leger antakelig sterkere preferanser for lavere arbeidsbelastning enn eldre, og de vil da foretrekke lette lister, </w:t>
      </w:r>
      <w:r w:rsidRPr="27F769C7">
        <w:rPr>
          <w:rFonts w:eastAsia="Calibri"/>
          <w:color w:val="000000" w:themeColor="text1"/>
        </w:rPr>
        <w:t xml:space="preserve">med mindre </w:t>
      </w:r>
      <w:r w:rsidRPr="27F769C7">
        <w:rPr>
          <w:rFonts w:eastAsia="Calibri"/>
        </w:rPr>
        <w:t xml:space="preserve">risikojusteringen utgjør en betydelig økonomisk forskjell. </w:t>
      </w:r>
      <w:r w:rsidRPr="27F769C7">
        <w:rPr>
          <w:rFonts w:eastAsia="Calibri"/>
          <w:color w:val="000000" w:themeColor="text1"/>
        </w:rPr>
        <w:t>Hvorvidt risikojustering vil fremme eller hemme rekrutteringen vil dermed avhenge av i hvilken grad risikojusteringen slår inn i økte praksispriser, nye og etablerte legers preferanser for listelengde</w:t>
      </w:r>
      <w:r w:rsidR="005A18FC">
        <w:rPr>
          <w:rFonts w:eastAsia="Calibri"/>
          <w:color w:val="000000" w:themeColor="text1"/>
        </w:rPr>
        <w:t>,</w:t>
      </w:r>
      <w:r w:rsidRPr="27F769C7">
        <w:rPr>
          <w:rFonts w:eastAsia="Calibri"/>
          <w:color w:val="000000" w:themeColor="text1"/>
        </w:rPr>
        <w:t xml:space="preserve"> og andre tiltak som for eksempel </w:t>
      </w:r>
      <w:r w:rsidRPr="27F769C7">
        <w:rPr>
          <w:rFonts w:eastAsia="Calibri"/>
        </w:rPr>
        <w:t>statlige/kommunale prisgarantier ved kjøp av praksis eller styrking av grunntilskuddet.</w:t>
      </w:r>
    </w:p>
    <w:p w14:paraId="3153E020" w14:textId="5A6A9193" w:rsidR="009E25EB" w:rsidRPr="00F53177" w:rsidRDefault="56F33994" w:rsidP="00775632">
      <w:pPr>
        <w:pStyle w:val="Overskrift4"/>
      </w:pPr>
      <w:bookmarkStart w:id="2715" w:name="_Toc126834368"/>
      <w:bookmarkStart w:id="2716" w:name="_Toc127633243"/>
      <w:bookmarkStart w:id="2717" w:name="_Toc127864529"/>
      <w:bookmarkStart w:id="2718" w:name="_Toc128238537"/>
      <w:bookmarkStart w:id="2719" w:name="_Toc128742008"/>
      <w:bookmarkStart w:id="2720" w:name="_Toc128744603"/>
      <w:bookmarkStart w:id="2721" w:name="_Toc128744822"/>
      <w:bookmarkStart w:id="2722" w:name="_Toc129630325"/>
      <w:bookmarkStart w:id="2723" w:name="_Toc130983512"/>
      <w:bookmarkStart w:id="2724" w:name="_Toc130983861"/>
      <w:bookmarkStart w:id="2725" w:name="_Toc131063719"/>
      <w:bookmarkStart w:id="2726" w:name="_Toc131238439"/>
      <w:bookmarkStart w:id="2727" w:name="_Toc131279470"/>
      <w:bookmarkStart w:id="2728" w:name="_Toc131286882"/>
      <w:bookmarkStart w:id="2729" w:name="_Toc131281292"/>
      <w:bookmarkStart w:id="2730" w:name="_Toc131317832"/>
      <w:r>
        <w:t>Empiriske evalueringer av risikojustering</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79C9F068" w14:textId="7DCFA6E5" w:rsidR="009E25EB" w:rsidRDefault="009E25EB" w:rsidP="00FB310D">
      <w:pPr>
        <w:rPr>
          <w:rFonts w:eastAsia="Calibri"/>
        </w:rPr>
      </w:pPr>
      <w:r w:rsidRPr="08025E4F">
        <w:rPr>
          <w:rFonts w:eastAsia="Calibri"/>
        </w:rPr>
        <w:t>Ekspertutvalget har ikke hatt mulighet til å innhente noen systematisk kunnskapsoversikt om erfaringer med, og resultater av</w:t>
      </w:r>
      <w:r>
        <w:rPr>
          <w:rFonts w:eastAsia="Calibri"/>
        </w:rPr>
        <w:t>,</w:t>
      </w:r>
      <w:r w:rsidRPr="08025E4F">
        <w:rPr>
          <w:rFonts w:eastAsia="Calibri"/>
        </w:rPr>
        <w:t xml:space="preserve"> risikojustering for </w:t>
      </w:r>
      <w:r w:rsidR="00472E8C">
        <w:rPr>
          <w:rFonts w:eastAsia="Calibri"/>
        </w:rPr>
        <w:t>listeinnbyggerne</w:t>
      </w:r>
      <w:r w:rsidRPr="08025E4F">
        <w:rPr>
          <w:rFonts w:eastAsia="Calibri"/>
        </w:rPr>
        <w:t>. Det er selvsagt ingen automatikk i at økt basisfinansiering for listeinnbyggere med store behov fører til at fastlegen faktisk benytter mer tid på d</w:t>
      </w:r>
      <w:r w:rsidR="00060225">
        <w:rPr>
          <w:rFonts w:eastAsia="Calibri"/>
        </w:rPr>
        <w:t>em</w:t>
      </w:r>
      <w:r>
        <w:rPr>
          <w:rFonts w:eastAsia="Calibri"/>
        </w:rPr>
        <w:t>. F</w:t>
      </w:r>
      <w:r w:rsidRPr="08025E4F">
        <w:rPr>
          <w:rFonts w:eastAsia="Calibri"/>
        </w:rPr>
        <w:t xml:space="preserve">or å oppnå det ville økte takster </w:t>
      </w:r>
      <w:r w:rsidR="002754E7">
        <w:rPr>
          <w:rFonts w:eastAsia="Calibri"/>
        </w:rPr>
        <w:t>for behandling av</w:t>
      </w:r>
      <w:r w:rsidRPr="08025E4F">
        <w:rPr>
          <w:rFonts w:eastAsia="Calibri"/>
        </w:rPr>
        <w:t xml:space="preserve"> denne gruppen være et mer nærliggende virkemiddel. Det framstår </w:t>
      </w:r>
      <w:r>
        <w:rPr>
          <w:rFonts w:eastAsia="Calibri"/>
        </w:rPr>
        <w:t xml:space="preserve">for utvalget </w:t>
      </w:r>
      <w:r w:rsidRPr="08025E4F">
        <w:rPr>
          <w:rFonts w:eastAsia="Calibri"/>
        </w:rPr>
        <w:t xml:space="preserve">som at det er begrenset med studier </w:t>
      </w:r>
      <w:r>
        <w:rPr>
          <w:rFonts w:eastAsia="Calibri"/>
        </w:rPr>
        <w:t>av</w:t>
      </w:r>
      <w:r w:rsidRPr="08025E4F">
        <w:rPr>
          <w:rFonts w:eastAsia="Calibri"/>
        </w:rPr>
        <w:t xml:space="preserve"> hvordan risikojustering påvirker tjenesteyterne og tjenestene. Dette understrekes også i en kunnskapsoppsummering fra forskere ved NTNU, som sier at de ikke har funnet empiriske studier på konsekvenser av bruk av risikojustering basert på informasjon om helsetilstand i finansieringsmodeller i primærhelsetjenesten på tjenestenes innhold, kvalitet eller effektivitet, eller utkomme for pasienten</w:t>
      </w:r>
      <w:r w:rsidR="7E554F0A" w:rsidRPr="08025E4F">
        <w:rPr>
          <w:rFonts w:eastAsia="Calibri"/>
        </w:rPr>
        <w:t xml:space="preserve"> </w:t>
      </w:r>
      <w:r w:rsidR="00576E44">
        <w:rPr>
          <w:rFonts w:eastAsia="Calibri"/>
        </w:rPr>
        <w:fldChar w:fldCharType="begin"/>
      </w:r>
      <w:r w:rsidR="00D078E3">
        <w:rPr>
          <w:rFonts w:eastAsia="Calibri"/>
        </w:rPr>
        <w:instrText xml:space="preserve"> ADDIN EN.CITE &lt;EndNote&gt;&lt;Cite&gt;&lt;Author&gt;Steinsbekk&lt;/Author&gt;&lt;Year&gt;2020&lt;/Year&gt;&lt;RecNum&gt;714&lt;/RecNum&gt;&lt;DisplayText&gt;(Steinsbekk et al., 2020)&lt;/DisplayText&gt;&lt;record&gt;&lt;rec-number&gt;714&lt;/rec-number&gt;&lt;foreign-keys&gt;&lt;key app="EN" db-id="95tpr2tp6r9xwoea9rb5wdsz5ds5xeddteew" timestamp="1680069511"&gt;714&lt;/key&gt;&lt;/foreign-keys&gt;&lt;ref-type name="Report"&gt;27&lt;/ref-type&gt;&lt;contributors&gt;&lt;authors&gt;&lt;author&gt;Steinsbekk, Aslak&lt;/author&gt;&lt;author&gt;Grimsmo, Anders&lt;/author&gt;&lt;author&gt;Kalseth, Jorid&lt;/author&gt;&lt;/authors&gt;&lt;/contributors&gt;&lt;titles&gt;&lt;title&gt;Risikojustering i finansieringsmodeller for teambasert fastlegeordning&lt;/title&gt;&lt;/titles&gt;&lt;dates&gt;&lt;year&gt;2020&lt;/year&gt;&lt;/dates&gt;&lt;publisher&gt;Institutt for samfunnsmedisin og sykepleie, Fakultet for medisin og helsevitenskap, NTNU&lt;/publisher&gt;&lt;urls&gt;&lt;/urls&gt;&lt;/record&gt;&lt;/Cite&gt;&lt;/EndNote&gt;</w:instrText>
      </w:r>
      <w:r w:rsidR="00576E44">
        <w:rPr>
          <w:rFonts w:eastAsia="Calibri"/>
        </w:rPr>
        <w:fldChar w:fldCharType="separate"/>
      </w:r>
      <w:r w:rsidR="00576E44">
        <w:rPr>
          <w:rFonts w:eastAsia="Calibri"/>
          <w:noProof/>
        </w:rPr>
        <w:t>(Steinsbekk et al., 2020)</w:t>
      </w:r>
      <w:r w:rsidR="00576E44">
        <w:rPr>
          <w:rFonts w:eastAsia="Calibri"/>
        </w:rPr>
        <w:fldChar w:fldCharType="end"/>
      </w:r>
      <w:r>
        <w:rPr>
          <w:rFonts w:eastAsia="Calibri"/>
        </w:rPr>
        <w:t>.</w:t>
      </w:r>
      <w:r w:rsidRPr="00D9107F">
        <w:rPr>
          <w:rStyle w:val="kursiv"/>
          <w:rFonts w:eastAsia="Calibri"/>
        </w:rPr>
        <w:t xml:space="preserve"> </w:t>
      </w:r>
      <w:r w:rsidRPr="08025E4F">
        <w:rPr>
          <w:rFonts w:eastAsia="Calibri"/>
        </w:rPr>
        <w:t>Et working paper som omhandler risikojustering i Sverige</w:t>
      </w:r>
      <w:r w:rsidR="0080663D">
        <w:rPr>
          <w:rFonts w:eastAsia="Calibri"/>
        </w:rPr>
        <w:t>,</w:t>
      </w:r>
      <w:r w:rsidRPr="08025E4F">
        <w:rPr>
          <w:rFonts w:eastAsia="Calibri"/>
        </w:rPr>
        <w:t xml:space="preserve"> påpeker i stor grad det samme</w:t>
      </w:r>
      <w:r w:rsidR="0080663D" w:rsidRPr="08025E4F">
        <w:rPr>
          <w:rFonts w:eastAsia="Calibri"/>
        </w:rPr>
        <w:t xml:space="preserve"> </w:t>
      </w:r>
      <w:r w:rsidR="00576E44">
        <w:rPr>
          <w:rFonts w:eastAsia="Calibri"/>
        </w:rPr>
        <w:fldChar w:fldCharType="begin"/>
      </w:r>
      <w:r w:rsidR="00694E6D">
        <w:rPr>
          <w:rFonts w:eastAsia="Calibri"/>
        </w:rPr>
        <w:instrText xml:space="preserve"> ADDIN EN.CITE &lt;EndNote&gt;&lt;Cite&gt;&lt;Author&gt;Anell&lt;/Author&gt;&lt;Year&gt;2022&lt;/Year&gt;&lt;RecNum&gt;69&lt;/RecNum&gt;&lt;DisplayText&gt;(Anell et al., 2022)&lt;/DisplayText&gt;&lt;record&gt;&lt;rec-number&gt;69&lt;/rec-number&gt;&lt;foreign-keys&gt;&lt;key app="EN" db-id="95tpr2tp6r9xwoea9rb5wdsz5ds5xeddteew" timestamp="1680069511"&gt;69&lt;/key&gt;&lt;/foreign-keys&gt;&lt;ref-type name="Report"&gt;27&lt;/ref-type&gt;&lt;contributors&gt;&lt;authors&gt;&lt;author&gt;Anell, Anders&lt;/author&gt;&lt;author&gt;Dackehag, Margareta&lt;/author&gt;&lt;author&gt;Dietrichson, Jens&lt;/author&gt;&lt;author&gt;Ellegård, Lina Maria&lt;/author&gt;&lt;author&gt;Kjellsson, Gustav&lt;/author&gt;&lt;/authors&gt;&lt;tertiary-authors&gt;&lt;author&gt;Lund University - School of Economics and Management, &lt;/author&gt;&lt;/tertiary-authors&gt;&lt;/contributors&gt;&lt;titles&gt;&lt;title&gt;Better Off by Risk Adjustment? Socioeconomic Disparities in Care Utilization in Sweden Following a Payment Reform&lt;/title&gt;&lt;/titles&gt;&lt;dates&gt;&lt;year&gt;2022&lt;/year&gt;&lt;/dates&gt;&lt;isbn&gt;Working Paper 2022:15&lt;/isbn&gt;&lt;urls&gt;&lt;/urls&gt;&lt;/record&gt;&lt;/Cite&gt;&lt;/EndNote&gt;</w:instrText>
      </w:r>
      <w:r w:rsidR="00576E44">
        <w:rPr>
          <w:rFonts w:eastAsia="Calibri"/>
        </w:rPr>
        <w:fldChar w:fldCharType="separate"/>
      </w:r>
      <w:r w:rsidR="00856689">
        <w:rPr>
          <w:rFonts w:eastAsia="Calibri"/>
          <w:noProof/>
        </w:rPr>
        <w:t>(Anell et al., 2022)</w:t>
      </w:r>
      <w:r w:rsidR="00576E44">
        <w:rPr>
          <w:rFonts w:eastAsia="Calibri"/>
        </w:rPr>
        <w:fldChar w:fldCharType="end"/>
      </w:r>
      <w:r w:rsidRPr="08025E4F">
        <w:rPr>
          <w:rFonts w:eastAsia="Calibri"/>
        </w:rPr>
        <w:t>.</w:t>
      </w:r>
    </w:p>
    <w:p w14:paraId="5318BC3E" w14:textId="2B58C5AB" w:rsidR="009E25EB" w:rsidRDefault="009E25EB" w:rsidP="00FB310D">
      <w:pPr>
        <w:rPr>
          <w:rFonts w:eastAsia="Calibri"/>
        </w:rPr>
      </w:pPr>
      <w:r w:rsidRPr="08025E4F">
        <w:rPr>
          <w:rFonts w:eastAsia="Calibri"/>
        </w:rPr>
        <w:lastRenderedPageBreak/>
        <w:t>Steinsbekk</w:t>
      </w:r>
      <w:r>
        <w:rPr>
          <w:rFonts w:eastAsia="Calibri"/>
        </w:rPr>
        <w:t>, Grimsmo og Kalseth</w:t>
      </w:r>
      <w:r w:rsidR="6C339571">
        <w:rPr>
          <w:rFonts w:eastAsia="Calibri"/>
        </w:rPr>
        <w:t xml:space="preserve"> </w:t>
      </w:r>
      <w:r w:rsidR="00CB38CA">
        <w:rPr>
          <w:rFonts w:eastAsia="Calibri"/>
        </w:rPr>
        <w:t>viser til</w:t>
      </w:r>
      <w:r w:rsidRPr="08025E4F">
        <w:rPr>
          <w:rFonts w:eastAsia="Calibri"/>
        </w:rPr>
        <w:t xml:space="preserve"> at høykostnadspasienter heller ikke nødvendigvis får optimal behandling og oppfølging</w:t>
      </w:r>
      <w:r w:rsidR="002754E7">
        <w:rPr>
          <w:rFonts w:eastAsia="Calibri"/>
        </w:rPr>
        <w:t>,</w:t>
      </w:r>
      <w:r w:rsidRPr="08025E4F">
        <w:rPr>
          <w:rFonts w:eastAsia="Calibri"/>
        </w:rPr>
        <w:t xml:space="preserve"> selv om legen får ekstra betalt for å ha slike </w:t>
      </w:r>
      <w:r w:rsidR="00E14404">
        <w:rPr>
          <w:rFonts w:eastAsia="Calibri"/>
        </w:rPr>
        <w:t>listeinnbyggere</w:t>
      </w:r>
      <w:r w:rsidRPr="08025E4F">
        <w:rPr>
          <w:rFonts w:eastAsia="Calibri"/>
        </w:rPr>
        <w:t xml:space="preserve">. Men det kan stille legene på mer likeverdige utgangspunkt for å kunne tilby likeverdige tjenester. Dette aktualiserer at risikojustering kan kompensere leger for merarbeid, og slik sett bidra til at legene opplever at basistilskuddet i større grad gjenspeiler </w:t>
      </w:r>
      <w:r>
        <w:rPr>
          <w:rFonts w:eastAsia="Calibri"/>
        </w:rPr>
        <w:t>arbeidsbyrden med list</w:t>
      </w:r>
      <w:r w:rsidR="009211E0">
        <w:rPr>
          <w:rFonts w:eastAsia="Calibri"/>
        </w:rPr>
        <w:t>en</w:t>
      </w:r>
      <w:r w:rsidRPr="08025E4F">
        <w:rPr>
          <w:rFonts w:eastAsia="Calibri"/>
        </w:rPr>
        <w:t>. Men dersom målet er å få fastlegen til å endre atferd, kan det være behov for virkemidler ut over risikojustering.</w:t>
      </w:r>
    </w:p>
    <w:p w14:paraId="690EF839" w14:textId="77777777" w:rsidR="00D9107F" w:rsidRDefault="009E25EB" w:rsidP="00FB310D">
      <w:pPr>
        <w:rPr>
          <w:rFonts w:eastAsia="Calibri"/>
        </w:rPr>
      </w:pPr>
      <w:r w:rsidRPr="08025E4F">
        <w:rPr>
          <w:rFonts w:eastAsia="Calibri"/>
        </w:rPr>
        <w:t xml:space="preserve">I Sverige har innføring av justering for sosioøkonomi i </w:t>
      </w:r>
      <w:r>
        <w:rPr>
          <w:rFonts w:eastAsia="Calibri"/>
        </w:rPr>
        <w:t>basisfinansieringen</w:t>
      </w:r>
      <w:r w:rsidRPr="08025E4F">
        <w:rPr>
          <w:rFonts w:eastAsia="Calibri"/>
        </w:rPr>
        <w:t xml:space="preserve"> gitt insentiv</w:t>
      </w:r>
      <w:r w:rsidR="00E472BD">
        <w:rPr>
          <w:rFonts w:eastAsia="Calibri"/>
        </w:rPr>
        <w:t>er</w:t>
      </w:r>
      <w:r w:rsidR="00197E14">
        <w:rPr>
          <w:rFonts w:eastAsia="Calibri"/>
        </w:rPr>
        <w:t xml:space="preserve"> </w:t>
      </w:r>
      <w:r w:rsidRPr="08025E4F">
        <w:rPr>
          <w:rFonts w:eastAsia="Calibri"/>
        </w:rPr>
        <w:t>til å etablere seg på steder med dårligere sosioøkonomiske kjennetegn</w:t>
      </w:r>
      <w:r w:rsidR="001263D6">
        <w:rPr>
          <w:rFonts w:eastAsia="Calibri"/>
        </w:rPr>
        <w:t>, og</w:t>
      </w:r>
      <w:r w:rsidR="639AFB92" w:rsidRPr="08025E4F">
        <w:rPr>
          <w:rFonts w:eastAsia="Calibri"/>
        </w:rPr>
        <w:t xml:space="preserve"> </w:t>
      </w:r>
      <w:r w:rsidR="001D4A95">
        <w:rPr>
          <w:rFonts w:eastAsia="Calibri"/>
        </w:rPr>
        <w:t>Anell og kolleger</w:t>
      </w:r>
      <w:r w:rsidR="002142EE">
        <w:rPr>
          <w:rFonts w:eastAsia="Calibri"/>
        </w:rPr>
        <w:t xml:space="preserve"> finner </w:t>
      </w:r>
      <w:r w:rsidR="00566EAD">
        <w:rPr>
          <w:rFonts w:eastAsia="Calibri"/>
        </w:rPr>
        <w:t xml:space="preserve">at </w:t>
      </w:r>
      <w:r w:rsidR="002538AA">
        <w:rPr>
          <w:rFonts w:eastAsia="Calibri"/>
        </w:rPr>
        <w:t>justeringen har medført at private vårdcentraler har etablert seg i tråd med insentivene</w:t>
      </w:r>
      <w:r w:rsidR="639AFB92" w:rsidRPr="08025E4F">
        <w:rPr>
          <w:rFonts w:eastAsia="Calibri"/>
        </w:rPr>
        <w:t xml:space="preserve"> </w:t>
      </w:r>
      <w:r w:rsidR="00576E44">
        <w:rPr>
          <w:rFonts w:eastAsia="Calibri"/>
        </w:rPr>
        <w:fldChar w:fldCharType="begin">
          <w:fldData xml:space="preserve">PEVuZE5vdGU+PENpdGU+PEF1dGhvcj5BbmVsbDwvQXV0aG9yPjxZZWFyPjIwMTg8L1llYXI+PFJl
Y051bT4xNjU8L1JlY051bT48RGlzcGxheVRleHQ+KEFuZWxsIGV0IGFsLiwgMjAxOCk8L0Rpc3Bs
YXlUZXh0PjxyZWNvcmQ+PHJlYy1udW1iZXI+MTY1PC9yZWMtbnVtYmVyPjxmb3JlaWduLWtleXM+
PGtleSBhcHA9IkVOIiBkYi1pZD0iOTV0cHIydHA2cjl4d29lYTlyYjV3ZHN6NWRzNXhlZGR0ZWV3
IiB0aW1lc3RhbXA9IjE2ODAwNjk1MTEiPjE2NTwva2V5PjwvZm9yZWlnbi1rZXlzPjxyZWYtdHlw
ZSBuYW1lPSJKb3VybmFsIEFydGljbGUiPjE3PC9yZWYtdHlwZT48Y29udHJpYnV0b3JzPjxhdXRo
b3JzPjxhdXRob3I+QW5lbGwsIEEuPC9hdXRob3I+PGF1dGhvcj5EYWNrZWhhZywgTS48L2F1dGhv
cj48YXV0aG9yPkRpZXRyaWNoc29uLCBKLjwvYXV0aG9yPjwvYXV0aG9ycz48L2NvbnRyaWJ1dG9y
cz48YXV0aC1hZGRyZXNzPkRlcGFydG1lbnQgb2YgQnVzaW5lc3MgQWRtaW5pc3RyYXRpb24sIFNj
aG9vbCBvZiBFY29ub21pY3MgYW5kIE1hbmFnZW1lbnQsIEx1bmQgVW5pdmVyc2l0eSwgQm94IDcw
ODAsIFNFLTIyMDA3LCBMdW5kLCBTd2VkZW4uJiN4RDtEZXBhcnRtZW50IG9mIEVjb25vbWljcywg
U2Nob29sIG9mIEVjb25vbWljcyBhbmQgTWFuYWdlbWVudCwgTHVuZCBVbml2ZXJzaXR5LCBCb3gg
NzA4MiwgU0UtMjIwMDcsIEx1bmQsIFN3ZWRlbi4gbWFyZ2FyZXRhLmRhY2tlaGFnQG5lay5sdS5z
ZS4mI3hEO1ZJVkUgLSBUaGUgRGFuaXNoIENlbnRlciBmb3IgU29jaWFsIFNjaWVuY2UgUmVzZWFy
Y2gsIEhlcmx1ZiBUcm9sbGVzIEdhZGUgMTEsIERLLTEwNTIsIENvcGVuaGFnZW4sIERlbm1hcmsu
PC9hdXRoLWFkZHJlc3M+PHRpdGxlcz48dGl0bGU+RG9lcyByaXNrLWFkanVzdGVkIHBheW1lbnQg
aW5mbHVlbmNlIHByaW1hcnkgY2FyZSBwcm92aWRlcnMmYXBvczsgZGVjaXNpb24gb24gd2hlcmUg
dG8gc2V0IHVwIHByYWN0aWNlcz88L3RpdGxlPjxzZWNvbmRhcnktdGl0bGU+Qk1DIEhlYWx0aCBT
ZXJ2IFJlczwvc2Vjb25kYXJ5LXRpdGxlPjwvdGl0bGVzPjxwZXJpb2RpY2FsPjxmdWxsLXRpdGxl
PkJNQyBIZWFsdGggU2VydiBSZXM8L2Z1bGwtdGl0bGU+PC9wZXJpb2RpY2FsPjxwYWdlcz4xNzk8
L3BhZ2VzPjx2b2x1bWU+MTg8L3ZvbHVtZT48bnVtYmVyPjE8L251bWJlcj48ZWRpdGlvbj4yMDE4
MDMxNDwvZWRpdGlvbj48a2V5d29yZHM+PGtleXdvcmQ+KkNhcGl0YXRpb24gRmVlPC9rZXl3b3Jk
PjxrZXl3b3JkPipEZWNpc2lvbiBNYWtpbmc8L2tleXdvcmQ+PGtleXdvcmQ+SGVhbHRoIFNlcnZp
Y2VzIEFjY2Vzc2liaWxpdHkvZWNvbm9taWNzPC9rZXl3b3JkPjxrZXl3b3JkPkhlYWx0aCBTZXJ2
aWNlcyBSZXNlYXJjaDwva2V5d29yZD48a2V5d29yZD5IdW1hbnM8L2tleXdvcmQ+PGtleXdvcmQ+
UGh5c2ljaWFucywgUHJpbWFyeSBDYXJlLypwc3ljaG9sb2d5PC9rZXl3b3JkPjxrZXl3b3JkPlBy
aW1hcnkgSGVhbHRoIENhcmUvKmVjb25vbWljczwva2V5d29yZD48a2V5d29yZD5Qcml2YXRlIFBy
YWN0aWNlLypzdGF0aXN0aWNzICZhbXA7IG51bWVyaWNhbCBkYXRhPC9rZXl3b3JkPjxrZXl3b3Jk
PlByb2Zlc3Npb25hbCBQcmFjdGljZSBMb2NhdGlvbi8qc3RhdGlzdGljcyAmYW1wOyBudW1lcmlj
YWwgZGF0YTwva2V5d29yZD48a2V5d29yZD5SaXNrIEFkanVzdG1lbnQvKm1ldGhvZHM8L2tleXdv
cmQ+PGtleXdvcmQ+U29jaW9lY29ub21pYyBGYWN0b3JzPC9rZXl3b3JkPjxrZXl3b3JkPlN3ZWRl
bjwva2V5d29yZD48a2V5d29yZD5FcXVhbCBhY2Nlc3M8L2tleXdvcmQ+PGtleXdvcmQ+RXN0YWJs
aXNobWVudDwva2V5d29yZD48a2V5d29yZD5QcmltYXJ5IGhlYWx0aCBjYXJlPC9rZXl3b3JkPjxr
ZXl3b3JkPlByaXZhdGUgcHJvdmlzaW9uPC9rZXl3b3JkPjxrZXl3b3JkPlJpc2stYWRqdXN0ZWQg
Y2FwaXRhdGlvbjwva2V5d29yZD48L2tleXdvcmRzPjxkYXRlcz48eWVhcj4yMDE4PC95ZWFyPjxw
dWItZGF0ZXM+PGRhdGU+TWFyIDE0PC9kYXRlPjwvcHViLWRhdGVzPjwvZGF0ZXM+PGlzYm4+MTQ3
Mi02OTYzPC9pc2JuPjxhY2Nlc3Npb24tbnVtPjI5NTQwMTUzPC9hY2Nlc3Npb24tbnVtPjx1cmxz
PjwvdXJscz48Y3VzdG9tMT5BVVRIT1JT4oCZIElORk9STUFUSU9OOiBOb3QgYXBwbGljYWJsZS4g
RVRISUNTIEFQUFJPVkFMIEFORCBDT05TRU5UIFRPIFBBUlRJQ0lQQVRFOiBOb3QgYXBwbGljYWJs
ZS4gQ09OU0VOVCBGT1IgUFVCTElDQVRJT046IE5vdCBhcHBsaWNhYmxlLiBDT01QRVRJTkcgSU5U
RVJFU1RTOiBUaGUgYXV0aG9ycyBkZWNsYXJlIHRoYXQgdGhleSBoYXZlIG5vIGNvbXBldGluZyBp
bnRlcmVzdHMuIFBVQkxJU0hFUuKAmVMgTk9URTogU3ByaW5nZXIgTmF0dXJlIHJlbWFpbnMgbmV1
dHJhbCB3aXRoIHJlZ2FyZCB0byBqdXJpc2RpY3Rpb25hbCBjbGFpbXMgaW4gcHVibGlzaGVkIG1h
cHMgYW5kIGluc3RpdHV0aW9uYWwgYWZmaWxpYXRpb25zLjwvY3VzdG9tMT48Y3VzdG9tMj5QTUM1
ODUzMDY3PC9jdXN0b20yPjxlbGVjdHJvbmljLXJlc291cmNlLW51bT4xMC4xMTg2L3MxMjkxMy0w
MTgtMjk4My0zPC9lbGVjdHJvbmljLXJlc291cmNlLW51bT48cmVtb3RlLWRhdGFiYXNlLXByb3Zp
ZGVyPk5MTTwvcmVtb3RlLWRhdGFiYXNlLXByb3ZpZGVyPjxsYW5ndWFnZT5lbmc8L2xhbmd1YWdl
PjwvcmVjb3JkPjwvQ2l0ZT48L0VuZE5vdGU+
</w:fldData>
        </w:fldChar>
      </w:r>
      <w:r w:rsidR="00856689">
        <w:rPr>
          <w:rFonts w:eastAsia="Calibri"/>
        </w:rPr>
        <w:instrText xml:space="preserve"> ADDIN EN.CITE </w:instrText>
      </w:r>
      <w:r w:rsidR="00856689">
        <w:rPr>
          <w:rFonts w:eastAsia="Calibri"/>
        </w:rPr>
        <w:fldChar w:fldCharType="begin">
          <w:fldData xml:space="preserve">PEVuZE5vdGU+PENpdGU+PEF1dGhvcj5BbmVsbDwvQXV0aG9yPjxZZWFyPjIwMTg8L1llYXI+PFJl
Y051bT4xNjU8L1JlY051bT48RGlzcGxheVRleHQ+KEFuZWxsIGV0IGFsLiwgMjAxOCk8L0Rpc3Bs
YXlUZXh0PjxyZWNvcmQ+PHJlYy1udW1iZXI+MTY1PC9yZWMtbnVtYmVyPjxmb3JlaWduLWtleXM+
PGtleSBhcHA9IkVOIiBkYi1pZD0iOTV0cHIydHA2cjl4d29lYTlyYjV3ZHN6NWRzNXhlZGR0ZWV3
IiB0aW1lc3RhbXA9IjE2ODAwNjk1MTEiPjE2NTwva2V5PjwvZm9yZWlnbi1rZXlzPjxyZWYtdHlw
ZSBuYW1lPSJKb3VybmFsIEFydGljbGUiPjE3PC9yZWYtdHlwZT48Y29udHJpYnV0b3JzPjxhdXRo
b3JzPjxhdXRob3I+QW5lbGwsIEEuPC9hdXRob3I+PGF1dGhvcj5EYWNrZWhhZywgTS48L2F1dGhv
cj48YXV0aG9yPkRpZXRyaWNoc29uLCBKLjwvYXV0aG9yPjwvYXV0aG9ycz48L2NvbnRyaWJ1dG9y
cz48YXV0aC1hZGRyZXNzPkRlcGFydG1lbnQgb2YgQnVzaW5lc3MgQWRtaW5pc3RyYXRpb24sIFNj
aG9vbCBvZiBFY29ub21pY3MgYW5kIE1hbmFnZW1lbnQsIEx1bmQgVW5pdmVyc2l0eSwgQm94IDcw
ODAsIFNFLTIyMDA3LCBMdW5kLCBTd2VkZW4uJiN4RDtEZXBhcnRtZW50IG9mIEVjb25vbWljcywg
U2Nob29sIG9mIEVjb25vbWljcyBhbmQgTWFuYWdlbWVudCwgTHVuZCBVbml2ZXJzaXR5LCBCb3gg
NzA4MiwgU0UtMjIwMDcsIEx1bmQsIFN3ZWRlbi4gbWFyZ2FyZXRhLmRhY2tlaGFnQG5lay5sdS5z
ZS4mI3hEO1ZJVkUgLSBUaGUgRGFuaXNoIENlbnRlciBmb3IgU29jaWFsIFNjaWVuY2UgUmVzZWFy
Y2gsIEhlcmx1ZiBUcm9sbGVzIEdhZGUgMTEsIERLLTEwNTIsIENvcGVuaGFnZW4sIERlbm1hcmsu
PC9hdXRoLWFkZHJlc3M+PHRpdGxlcz48dGl0bGU+RG9lcyByaXNrLWFkanVzdGVkIHBheW1lbnQg
aW5mbHVlbmNlIHByaW1hcnkgY2FyZSBwcm92aWRlcnMmYXBvczsgZGVjaXNpb24gb24gd2hlcmUg
dG8gc2V0IHVwIHByYWN0aWNlcz88L3RpdGxlPjxzZWNvbmRhcnktdGl0bGU+Qk1DIEhlYWx0aCBT
ZXJ2IFJlczwvc2Vjb25kYXJ5LXRpdGxlPjwvdGl0bGVzPjxwZXJpb2RpY2FsPjxmdWxsLXRpdGxl
PkJNQyBIZWFsdGggU2VydiBSZXM8L2Z1bGwtdGl0bGU+PC9wZXJpb2RpY2FsPjxwYWdlcz4xNzk8
L3BhZ2VzPjx2b2x1bWU+MTg8L3ZvbHVtZT48bnVtYmVyPjE8L251bWJlcj48ZWRpdGlvbj4yMDE4
MDMxNDwvZWRpdGlvbj48a2V5d29yZHM+PGtleXdvcmQ+KkNhcGl0YXRpb24gRmVlPC9rZXl3b3Jk
PjxrZXl3b3JkPipEZWNpc2lvbiBNYWtpbmc8L2tleXdvcmQ+PGtleXdvcmQ+SGVhbHRoIFNlcnZp
Y2VzIEFjY2Vzc2liaWxpdHkvZWNvbm9taWNzPC9rZXl3b3JkPjxrZXl3b3JkPkhlYWx0aCBTZXJ2
aWNlcyBSZXNlYXJjaDwva2V5d29yZD48a2V5d29yZD5IdW1hbnM8L2tleXdvcmQ+PGtleXdvcmQ+
UGh5c2ljaWFucywgUHJpbWFyeSBDYXJlLypwc3ljaG9sb2d5PC9rZXl3b3JkPjxrZXl3b3JkPlBy
aW1hcnkgSGVhbHRoIENhcmUvKmVjb25vbWljczwva2V5d29yZD48a2V5d29yZD5Qcml2YXRlIFBy
YWN0aWNlLypzdGF0aXN0aWNzICZhbXA7IG51bWVyaWNhbCBkYXRhPC9rZXl3b3JkPjxrZXl3b3Jk
PlByb2Zlc3Npb25hbCBQcmFjdGljZSBMb2NhdGlvbi8qc3RhdGlzdGljcyAmYW1wOyBudW1lcmlj
YWwgZGF0YTwva2V5d29yZD48a2V5d29yZD5SaXNrIEFkanVzdG1lbnQvKm1ldGhvZHM8L2tleXdv
cmQ+PGtleXdvcmQ+U29jaW9lY29ub21pYyBGYWN0b3JzPC9rZXl3b3JkPjxrZXl3b3JkPlN3ZWRl
bjwva2V5d29yZD48a2V5d29yZD5FcXVhbCBhY2Nlc3M8L2tleXdvcmQ+PGtleXdvcmQ+RXN0YWJs
aXNobWVudDwva2V5d29yZD48a2V5d29yZD5QcmltYXJ5IGhlYWx0aCBjYXJlPC9rZXl3b3JkPjxr
ZXl3b3JkPlByaXZhdGUgcHJvdmlzaW9uPC9rZXl3b3JkPjxrZXl3b3JkPlJpc2stYWRqdXN0ZWQg
Y2FwaXRhdGlvbjwva2V5d29yZD48L2tleXdvcmRzPjxkYXRlcz48eWVhcj4yMDE4PC95ZWFyPjxw
dWItZGF0ZXM+PGRhdGU+TWFyIDE0PC9kYXRlPjwvcHViLWRhdGVzPjwvZGF0ZXM+PGlzYm4+MTQ3
Mi02OTYzPC9pc2JuPjxhY2Nlc3Npb24tbnVtPjI5NTQwMTUzPC9hY2Nlc3Npb24tbnVtPjx1cmxz
PjwvdXJscz48Y3VzdG9tMT5BVVRIT1JT4oCZIElORk9STUFUSU9OOiBOb3QgYXBwbGljYWJsZS4g
RVRISUNTIEFQUFJPVkFMIEFORCBDT05TRU5UIFRPIFBBUlRJQ0lQQVRFOiBOb3QgYXBwbGljYWJs
ZS4gQ09OU0VOVCBGT1IgUFVCTElDQVRJT046IE5vdCBhcHBsaWNhYmxlLiBDT01QRVRJTkcgSU5U
RVJFU1RTOiBUaGUgYXV0aG9ycyBkZWNsYXJlIHRoYXQgdGhleSBoYXZlIG5vIGNvbXBldGluZyBp
bnRlcmVzdHMuIFBVQkxJU0hFUuKAmVMgTk9URTogU3ByaW5nZXIgTmF0dXJlIHJlbWFpbnMgbmV1
dHJhbCB3aXRoIHJlZ2FyZCB0byBqdXJpc2RpY3Rpb25hbCBjbGFpbXMgaW4gcHVibGlzaGVkIG1h
cHMgYW5kIGluc3RpdHV0aW9uYWwgYWZmaWxpYXRpb25zLjwvY3VzdG9tMT48Y3VzdG9tMj5QTUM1
ODUzMDY3PC9jdXN0b20yPjxlbGVjdHJvbmljLXJlc291cmNlLW51bT4xMC4xMTg2L3MxMjkxMy0w
MTgtMjk4My0zPC9lbGVjdHJvbmljLXJlc291cmNlLW51bT48cmVtb3RlLWRhdGFiYXNlLXByb3Zp
ZGVyPk5MTTwvcmVtb3RlLWRhdGFiYXNlLXByb3ZpZGVyPjxsYW5ndWFnZT5lbmc8L2xhbmd1YWdl
PjwvcmVjb3JkPjwvQ2l0ZT48L0VuZE5vdGU+
</w:fldData>
        </w:fldChar>
      </w:r>
      <w:r w:rsidR="00856689">
        <w:rPr>
          <w:rFonts w:eastAsia="Calibri"/>
        </w:rPr>
        <w:instrText xml:space="preserve"> ADDIN EN.CITE.DATA </w:instrText>
      </w:r>
      <w:r w:rsidR="00856689">
        <w:rPr>
          <w:rFonts w:eastAsia="Calibri"/>
        </w:rPr>
      </w:r>
      <w:r w:rsidR="00856689">
        <w:rPr>
          <w:rFonts w:eastAsia="Calibri"/>
        </w:rPr>
        <w:fldChar w:fldCharType="end"/>
      </w:r>
      <w:r w:rsidR="00576E44">
        <w:rPr>
          <w:rFonts w:eastAsia="Calibri"/>
        </w:rPr>
      </w:r>
      <w:r w:rsidR="00576E44">
        <w:rPr>
          <w:rFonts w:eastAsia="Calibri"/>
        </w:rPr>
        <w:fldChar w:fldCharType="separate"/>
      </w:r>
      <w:r w:rsidR="00856689">
        <w:rPr>
          <w:rFonts w:eastAsia="Calibri"/>
          <w:noProof/>
        </w:rPr>
        <w:t>(Anell et al., 2018)</w:t>
      </w:r>
      <w:r w:rsidR="00576E44">
        <w:rPr>
          <w:rFonts w:eastAsia="Calibri"/>
        </w:rPr>
        <w:fldChar w:fldCharType="end"/>
      </w:r>
      <w:r w:rsidRPr="08025E4F">
        <w:rPr>
          <w:rFonts w:eastAsia="Calibri"/>
        </w:rPr>
        <w:t xml:space="preserve">. Svenske forskere finner imidlertid også at risikojustering som styrker tilskuddet </w:t>
      </w:r>
      <w:r w:rsidRPr="4C58792B">
        <w:rPr>
          <w:rFonts w:eastAsia="Calibri"/>
        </w:rPr>
        <w:t>til vårdcentraler</w:t>
      </w:r>
      <w:r w:rsidRPr="08025E4F">
        <w:rPr>
          <w:rFonts w:eastAsia="Calibri"/>
        </w:rPr>
        <w:t xml:space="preserve"> i </w:t>
      </w:r>
      <w:r w:rsidRPr="4C58792B">
        <w:rPr>
          <w:rFonts w:eastAsia="Calibri"/>
        </w:rPr>
        <w:t xml:space="preserve">områder med </w:t>
      </w:r>
      <w:r w:rsidRPr="08025E4F">
        <w:rPr>
          <w:rFonts w:eastAsia="Calibri"/>
        </w:rPr>
        <w:t>lav sosioøkonomisk status</w:t>
      </w:r>
      <w:r w:rsidR="0046746D">
        <w:rPr>
          <w:rFonts w:eastAsia="Calibri"/>
        </w:rPr>
        <w:t>,</w:t>
      </w:r>
      <w:r w:rsidRPr="08025E4F">
        <w:rPr>
          <w:rFonts w:eastAsia="Calibri"/>
        </w:rPr>
        <w:t xml:space="preserve"> ikke har påvirket tilgangen til</w:t>
      </w:r>
      <w:r>
        <w:rPr>
          <w:rFonts w:eastAsia="Calibri"/>
        </w:rPr>
        <w:t>,</w:t>
      </w:r>
      <w:r w:rsidRPr="08025E4F">
        <w:rPr>
          <w:rFonts w:eastAsia="Calibri"/>
        </w:rPr>
        <w:t xml:space="preserve"> og bruken av</w:t>
      </w:r>
      <w:r>
        <w:rPr>
          <w:rFonts w:eastAsia="Calibri"/>
        </w:rPr>
        <w:t>,</w:t>
      </w:r>
      <w:r w:rsidRPr="08025E4F">
        <w:rPr>
          <w:rFonts w:eastAsia="Calibri"/>
        </w:rPr>
        <w:t xml:space="preserve"> fastlegetjenester for de samme gruppene</w:t>
      </w:r>
      <w:r w:rsidR="1D5A72B4" w:rsidRPr="08025E4F">
        <w:rPr>
          <w:rFonts w:eastAsia="Calibri"/>
        </w:rPr>
        <w:t xml:space="preserve"> </w:t>
      </w:r>
      <w:r w:rsidR="00576E44">
        <w:rPr>
          <w:rFonts w:eastAsia="Calibri"/>
        </w:rPr>
        <w:fldChar w:fldCharType="begin"/>
      </w:r>
      <w:r w:rsidR="00694E6D">
        <w:rPr>
          <w:rFonts w:eastAsia="Calibri"/>
        </w:rPr>
        <w:instrText xml:space="preserve"> ADDIN EN.CITE &lt;EndNote&gt;&lt;Cite&gt;&lt;Author&gt;Anell&lt;/Author&gt;&lt;Year&gt;2022&lt;/Year&gt;&lt;RecNum&gt;69&lt;/RecNum&gt;&lt;DisplayText&gt;(Anell et al., 2022)&lt;/DisplayText&gt;&lt;record&gt;&lt;rec-number&gt;69&lt;/rec-number&gt;&lt;foreign-keys&gt;&lt;key app="EN" db-id="95tpr2tp6r9xwoea9rb5wdsz5ds5xeddteew" timestamp="1680069511"&gt;69&lt;/key&gt;&lt;/foreign-keys&gt;&lt;ref-type name="Report"&gt;27&lt;/ref-type&gt;&lt;contributors&gt;&lt;authors&gt;&lt;author&gt;Anell, Anders&lt;/author&gt;&lt;author&gt;Dackehag, Margareta&lt;/author&gt;&lt;author&gt;Dietrichson, Jens&lt;/author&gt;&lt;author&gt;Ellegård, Lina Maria&lt;/author&gt;&lt;author&gt;Kjellsson, Gustav&lt;/author&gt;&lt;/authors&gt;&lt;tertiary-authors&gt;&lt;author&gt;Lund University - School of Economics and Management, &lt;/author&gt;&lt;/tertiary-authors&gt;&lt;/contributors&gt;&lt;titles&gt;&lt;title&gt;Better Off by Risk Adjustment? Socioeconomic Disparities in Care Utilization in Sweden Following a Payment Reform&lt;/title&gt;&lt;/titles&gt;&lt;dates&gt;&lt;year&gt;2022&lt;/year&gt;&lt;/dates&gt;&lt;isbn&gt;Working Paper 2022:15&lt;/isbn&gt;&lt;urls&gt;&lt;/urls&gt;&lt;/record&gt;&lt;/Cite&gt;&lt;/EndNote&gt;</w:instrText>
      </w:r>
      <w:r w:rsidR="00576E44">
        <w:rPr>
          <w:rFonts w:eastAsia="Calibri"/>
        </w:rPr>
        <w:fldChar w:fldCharType="separate"/>
      </w:r>
      <w:r w:rsidR="00856689">
        <w:rPr>
          <w:rFonts w:eastAsia="Calibri"/>
          <w:noProof/>
        </w:rPr>
        <w:t>(Anell et al., 2022)</w:t>
      </w:r>
      <w:r w:rsidR="00576E44">
        <w:rPr>
          <w:rFonts w:eastAsia="Calibri"/>
        </w:rPr>
        <w:fldChar w:fldCharType="end"/>
      </w:r>
      <w:r w:rsidRPr="08025E4F">
        <w:rPr>
          <w:rFonts w:eastAsia="Calibri"/>
        </w:rPr>
        <w:t>.</w:t>
      </w:r>
    </w:p>
    <w:p w14:paraId="01B825D2" w14:textId="06D65F34" w:rsidR="009E25EB" w:rsidRDefault="009E25EB" w:rsidP="00FB310D">
      <w:pPr>
        <w:rPr>
          <w:rFonts w:eastAsia="Calibri"/>
        </w:rPr>
      </w:pPr>
      <w:r w:rsidRPr="08025E4F">
        <w:rPr>
          <w:rFonts w:eastAsia="Calibri"/>
        </w:rPr>
        <w:t xml:space="preserve">I Danmark, som har et system som likner mer på det norske med høy aktivitetsbasert finansiering, har differensieringen hatt et langt mindre omfang, og effektene er ikke godt dokumentert. </w:t>
      </w:r>
      <w:r w:rsidRPr="37D7A17E">
        <w:rPr>
          <w:rFonts w:eastAsia="Calibri"/>
        </w:rPr>
        <w:t xml:space="preserve">Men det pågår flere evalueringer av en reform i 2018 som hevet basistilskuddet for praksiser med pasienter som tidligere hadde hatt høyt forbruk av helsetjenester, og for praksiser i geografiske områder med lav legedekning. Foreløpige funn </w:t>
      </w:r>
      <w:r w:rsidRPr="08025E4F">
        <w:rPr>
          <w:rFonts w:eastAsia="Calibri"/>
        </w:rPr>
        <w:t xml:space="preserve">kan tyde på at praksiser som har fått ekstra basistilskudd, ikke har </w:t>
      </w:r>
      <w:r w:rsidRPr="37D7A17E">
        <w:rPr>
          <w:rFonts w:eastAsia="Calibri"/>
        </w:rPr>
        <w:t>økt</w:t>
      </w:r>
      <w:r w:rsidRPr="08025E4F">
        <w:rPr>
          <w:rFonts w:eastAsia="Calibri"/>
        </w:rPr>
        <w:t xml:space="preserve"> aktiviteten eller antall pasienter</w:t>
      </w:r>
      <w:r w:rsidR="19627ABA" w:rsidRPr="08025E4F">
        <w:rPr>
          <w:rFonts w:eastAsia="Calibri"/>
        </w:rPr>
        <w:t xml:space="preserve"> </w:t>
      </w:r>
      <w:r w:rsidR="00A841AD">
        <w:rPr>
          <w:rFonts w:eastAsia="Calibri"/>
        </w:rPr>
        <w:fldChar w:fldCharType="begin"/>
      </w:r>
      <w:r w:rsidR="00A841AD">
        <w:rPr>
          <w:rFonts w:eastAsia="Calibri"/>
        </w:rPr>
        <w:instrText xml:space="preserve"> ADDIN EN.CITE &lt;EndNote&gt;&lt;Cite&gt;&lt;Author&gt;Olsen&lt;/Author&gt;&lt;Year&gt;2022&lt;/Year&gt;&lt;RecNum&gt;600&lt;/RecNum&gt;&lt;DisplayText&gt;(Olsen, 2022)&lt;/DisplayText&gt;&lt;record&gt;&lt;rec-number&gt;600&lt;/rec-number&gt;&lt;foreign-keys&gt;&lt;key app="EN" db-id="95tpr2tp6r9xwoea9rb5wdsz5ds5xeddteew" timestamp="1680069511"&gt;600&lt;/key&gt;&lt;/foreign-keys&gt;&lt;ref-type name="Conference Paper"&gt;47&lt;/ref-type&gt;&lt;contributors&gt;&lt;authors&gt;&lt;author&gt;Olsen, K.R&lt;/author&gt;&lt;/authors&gt;&lt;/contributors&gt;&lt;titles&gt;&lt;title&gt;Organisering og finansiering af almen praksis i Danmark&lt;/title&gt;&lt;secondary-title&gt;Helseøkonomikonferansen&lt;/secondary-title&gt;&lt;/titles&gt;&lt;dates&gt;&lt;year&gt;2022&lt;/year&gt;&lt;pub-dates&gt;&lt;date&gt;22. november 2022&lt;/date&gt;&lt;/pub-dates&gt;&lt;/dates&gt;&lt;pub-location&gt;Sundvolden Hotell&lt;/pub-location&gt;&lt;work-type&gt;Presentasjon&lt;/work-type&gt;&lt;urls&gt;&lt;/urls&gt;&lt;/record&gt;&lt;/Cite&gt;&lt;/EndNote&gt;</w:instrText>
      </w:r>
      <w:r w:rsidR="00A841AD">
        <w:rPr>
          <w:rFonts w:eastAsia="Calibri"/>
        </w:rPr>
        <w:fldChar w:fldCharType="separate"/>
      </w:r>
      <w:r w:rsidR="00A841AD">
        <w:rPr>
          <w:rFonts w:eastAsia="Calibri"/>
          <w:noProof/>
        </w:rPr>
        <w:t>(Olsen, 2022)</w:t>
      </w:r>
      <w:r w:rsidR="00A841AD">
        <w:rPr>
          <w:rFonts w:eastAsia="Calibri"/>
        </w:rPr>
        <w:fldChar w:fldCharType="end"/>
      </w:r>
      <w:r w:rsidR="00CD25E5">
        <w:rPr>
          <w:rFonts w:eastAsia="Calibri"/>
        </w:rPr>
        <w:t>.</w:t>
      </w:r>
    </w:p>
    <w:p w14:paraId="34328F05" w14:textId="77777777" w:rsidR="00D9107F" w:rsidRDefault="009E25EB" w:rsidP="00FB310D">
      <w:pPr>
        <w:rPr>
          <w:rFonts w:eastAsia="Calibri"/>
        </w:rPr>
      </w:pPr>
      <w:r w:rsidRPr="37D7A17E">
        <w:rPr>
          <w:rFonts w:eastAsia="Calibri"/>
        </w:rPr>
        <w:t>Som nevnt</w:t>
      </w:r>
      <w:r>
        <w:rPr>
          <w:rFonts w:eastAsia="Calibri"/>
        </w:rPr>
        <w:t>,</w:t>
      </w:r>
      <w:r w:rsidRPr="37D7A17E">
        <w:rPr>
          <w:rFonts w:eastAsia="Calibri"/>
        </w:rPr>
        <w:t xml:space="preserve"> er ikke hensikten med risikojustering primært å øke antall konsultasjoner rettet mot </w:t>
      </w:r>
      <w:r>
        <w:rPr>
          <w:rFonts w:eastAsia="Calibri"/>
        </w:rPr>
        <w:t>innbyggere med særskilte behov</w:t>
      </w:r>
      <w:r w:rsidRPr="37D7A17E">
        <w:rPr>
          <w:rFonts w:eastAsia="Calibri"/>
        </w:rPr>
        <w:t xml:space="preserve">, men å stimulere til at </w:t>
      </w:r>
      <w:r w:rsidR="00BB3C99">
        <w:rPr>
          <w:rFonts w:eastAsia="Calibri"/>
        </w:rPr>
        <w:t>legene</w:t>
      </w:r>
      <w:r w:rsidR="00AC2672">
        <w:rPr>
          <w:rFonts w:eastAsia="Calibri"/>
        </w:rPr>
        <w:t xml:space="preserve"> </w:t>
      </w:r>
      <w:r w:rsidR="00BB3C99">
        <w:rPr>
          <w:rFonts w:eastAsia="Calibri"/>
        </w:rPr>
        <w:t>får</w:t>
      </w:r>
      <w:r w:rsidR="00A915F6">
        <w:rPr>
          <w:rFonts w:eastAsia="Calibri"/>
        </w:rPr>
        <w:t xml:space="preserve"> større rom til å prioritere i tråd med </w:t>
      </w:r>
      <w:r w:rsidR="00BB3C99">
        <w:rPr>
          <w:rFonts w:eastAsia="Calibri"/>
        </w:rPr>
        <w:t>sitt</w:t>
      </w:r>
      <w:r w:rsidR="00A915F6">
        <w:rPr>
          <w:rFonts w:eastAsia="Calibri"/>
        </w:rPr>
        <w:t xml:space="preserve"> medisinskfaglige skjønn</w:t>
      </w:r>
      <w:r w:rsidR="00BC3615">
        <w:rPr>
          <w:rFonts w:eastAsia="Calibri"/>
        </w:rPr>
        <w:t>,</w:t>
      </w:r>
      <w:r w:rsidR="00A915F6">
        <w:rPr>
          <w:rFonts w:eastAsia="Calibri"/>
        </w:rPr>
        <w:t xml:space="preserve"> </w:t>
      </w:r>
      <w:r w:rsidR="00AC2672">
        <w:rPr>
          <w:rFonts w:eastAsia="Calibri"/>
        </w:rPr>
        <w:t xml:space="preserve">slik at </w:t>
      </w:r>
      <w:r w:rsidRPr="37D7A17E">
        <w:rPr>
          <w:rFonts w:eastAsia="Calibri"/>
        </w:rPr>
        <w:t xml:space="preserve">praksisen får en innretning som i større grad tilpasses </w:t>
      </w:r>
      <w:r w:rsidR="00F71E91">
        <w:rPr>
          <w:rFonts w:eastAsia="Calibri"/>
        </w:rPr>
        <w:t>slike innbyggergrupper</w:t>
      </w:r>
      <w:r w:rsidRPr="37D7A17E">
        <w:rPr>
          <w:rFonts w:eastAsia="Calibri"/>
        </w:rPr>
        <w:t xml:space="preserve">. </w:t>
      </w:r>
      <w:r>
        <w:rPr>
          <w:rFonts w:eastAsia="Calibri"/>
        </w:rPr>
        <w:t>De danske f</w:t>
      </w:r>
      <w:r w:rsidRPr="37D7A17E">
        <w:rPr>
          <w:rFonts w:eastAsia="Calibri"/>
        </w:rPr>
        <w:t>orskerne har foreløpig ikke lagt fram resultater om eventuelle endringer i sammensetningen av pasientpopulasjonen, og selv om totalaktiviteten ikke øker</w:t>
      </w:r>
      <w:r w:rsidR="00FF51A9">
        <w:rPr>
          <w:rFonts w:eastAsia="Calibri"/>
        </w:rPr>
        <w:t>,</w:t>
      </w:r>
      <w:r w:rsidRPr="37D7A17E">
        <w:rPr>
          <w:rFonts w:eastAsia="Calibri"/>
        </w:rPr>
        <w:t xml:space="preserve"> er det mulig at en større andel av legens aktivitet rettes mot pasientene</w:t>
      </w:r>
      <w:r>
        <w:rPr>
          <w:rFonts w:eastAsia="Calibri"/>
        </w:rPr>
        <w:t xml:space="preserve"> med særskilte behov</w:t>
      </w:r>
      <w:r w:rsidRPr="37D7A17E">
        <w:rPr>
          <w:rFonts w:eastAsia="Calibri"/>
        </w:rPr>
        <w:t>. Det er også mulig at praksisen tilrettelegges på andre måter, for eksempel gjennom reduksjoner i noen typer rutinekontroller eller gjennom medisinsk avstandsoppfølging, me</w:t>
      </w:r>
      <w:r>
        <w:rPr>
          <w:rFonts w:eastAsia="Calibri"/>
        </w:rPr>
        <w:t>n</w:t>
      </w:r>
      <w:r w:rsidRPr="37D7A17E">
        <w:rPr>
          <w:rFonts w:eastAsia="Calibri"/>
        </w:rPr>
        <w:t xml:space="preserve"> slike forhold har forskerne foreløpig ikke sett på.</w:t>
      </w:r>
    </w:p>
    <w:p w14:paraId="713D7B4A" w14:textId="77777777" w:rsidR="00D9107F" w:rsidRDefault="009E25EB" w:rsidP="00FB310D">
      <w:pPr>
        <w:rPr>
          <w:rFonts w:eastAsia="Calibri"/>
        </w:rPr>
      </w:pPr>
      <w:r w:rsidRPr="37D7A17E">
        <w:rPr>
          <w:rFonts w:eastAsia="Calibri"/>
        </w:rPr>
        <w:t>Forskernes foreløpige konklusjoner er at det</w:t>
      </w:r>
      <w:r w:rsidRPr="08025E4F">
        <w:rPr>
          <w:rFonts w:eastAsia="Calibri"/>
        </w:rPr>
        <w:t xml:space="preserve"> ekstra </w:t>
      </w:r>
      <w:r w:rsidR="00F87180">
        <w:rPr>
          <w:rFonts w:eastAsia="Calibri"/>
        </w:rPr>
        <w:t xml:space="preserve">risikojusterte </w:t>
      </w:r>
      <w:r w:rsidRPr="08025E4F">
        <w:rPr>
          <w:rFonts w:eastAsia="Calibri"/>
        </w:rPr>
        <w:t xml:space="preserve">basistilskuddet </w:t>
      </w:r>
      <w:r>
        <w:rPr>
          <w:rFonts w:eastAsia="Calibri"/>
        </w:rPr>
        <w:t xml:space="preserve">i Danmark </w:t>
      </w:r>
      <w:r w:rsidRPr="08025E4F">
        <w:rPr>
          <w:rFonts w:eastAsia="Calibri"/>
        </w:rPr>
        <w:t>har blitt tatt ut i høyere lønn eller mer fritid for legene</w:t>
      </w:r>
      <w:r w:rsidRPr="37D7A17E">
        <w:rPr>
          <w:rFonts w:eastAsia="Calibri"/>
        </w:rPr>
        <w:t>. Det</w:t>
      </w:r>
      <w:r w:rsidRPr="08025E4F">
        <w:rPr>
          <w:rFonts w:eastAsia="Calibri"/>
        </w:rPr>
        <w:t xml:space="preserve"> kan også se ut som man har fått den uønskede </w:t>
      </w:r>
      <w:r w:rsidRPr="37D7A17E">
        <w:rPr>
          <w:rFonts w:eastAsia="Calibri"/>
        </w:rPr>
        <w:t>virkning at reformen</w:t>
      </w:r>
      <w:r w:rsidRPr="08025E4F">
        <w:rPr>
          <w:rFonts w:eastAsia="Calibri"/>
        </w:rPr>
        <w:t xml:space="preserve"> stimulerer til å opprettholde solopraksiser, som man </w:t>
      </w:r>
      <w:r w:rsidRPr="37D7A17E">
        <w:rPr>
          <w:rFonts w:eastAsia="Calibri"/>
        </w:rPr>
        <w:t>gjennom flere år</w:t>
      </w:r>
      <w:r w:rsidRPr="08025E4F">
        <w:rPr>
          <w:rFonts w:eastAsia="Calibri"/>
        </w:rPr>
        <w:t xml:space="preserve"> har brukt andre virkemidler på å forsøke å trappe ned. </w:t>
      </w:r>
      <w:r w:rsidRPr="37D7A17E">
        <w:rPr>
          <w:rFonts w:eastAsia="Calibri"/>
        </w:rPr>
        <w:t>De</w:t>
      </w:r>
      <w:r w:rsidRPr="08025E4F">
        <w:rPr>
          <w:rFonts w:eastAsia="Calibri"/>
        </w:rPr>
        <w:t xml:space="preserve"> danske </w:t>
      </w:r>
      <w:r w:rsidRPr="37D7A17E">
        <w:rPr>
          <w:rFonts w:eastAsia="Calibri"/>
        </w:rPr>
        <w:t>forskernes</w:t>
      </w:r>
      <w:r w:rsidRPr="08025E4F">
        <w:rPr>
          <w:rFonts w:eastAsia="Calibri"/>
        </w:rPr>
        <w:t xml:space="preserve"> foreløpige vurdering synes å være at det kan oppstå uforutsette og uønskede </w:t>
      </w:r>
      <w:r w:rsidRPr="37D7A17E">
        <w:rPr>
          <w:rFonts w:eastAsia="Calibri"/>
        </w:rPr>
        <w:t>virkninger</w:t>
      </w:r>
      <w:r w:rsidRPr="08025E4F">
        <w:rPr>
          <w:rFonts w:eastAsia="Calibri"/>
        </w:rPr>
        <w:t xml:space="preserve"> når man forsøker å innføre risikojustering i et system der andel aktivitetsbasert finansiering er </w:t>
      </w:r>
      <w:r w:rsidRPr="37D7A17E">
        <w:rPr>
          <w:rFonts w:eastAsia="Calibri"/>
        </w:rPr>
        <w:t>høy.</w:t>
      </w:r>
      <w:r w:rsidRPr="08025E4F">
        <w:rPr>
          <w:rFonts w:eastAsia="Calibri"/>
        </w:rPr>
        <w:t xml:space="preserve"> </w:t>
      </w:r>
      <w:r>
        <w:rPr>
          <w:rFonts w:eastAsia="Calibri"/>
        </w:rPr>
        <w:t xml:space="preserve">Foreløpig foreligger det ingen utfyllende dokumentasjon eller artikler fra de danske forskerne, men </w:t>
      </w:r>
      <w:r w:rsidR="005E13D4">
        <w:rPr>
          <w:rFonts w:eastAsia="Calibri"/>
        </w:rPr>
        <w:t>ekspert</w:t>
      </w:r>
      <w:r>
        <w:rPr>
          <w:rFonts w:eastAsia="Calibri"/>
        </w:rPr>
        <w:t>utvalget ser for seg at disse studiene vil bidra med viktig kunnskap for utformingen av differensiert basisfinansiering i Norge de kommende årene.</w:t>
      </w:r>
    </w:p>
    <w:p w14:paraId="66BEDB5F" w14:textId="12A579C7" w:rsidR="00A7247E" w:rsidRDefault="797C260A" w:rsidP="00775632">
      <w:pPr>
        <w:pStyle w:val="Overskrift4"/>
      </w:pPr>
      <w:bookmarkStart w:id="2731" w:name="_Toc128742009"/>
      <w:bookmarkStart w:id="2732" w:name="_Toc128744604"/>
      <w:bookmarkStart w:id="2733" w:name="_Toc128744823"/>
      <w:bookmarkStart w:id="2734" w:name="_Ref129038696"/>
      <w:bookmarkStart w:id="2735" w:name="_Toc129630326"/>
      <w:bookmarkStart w:id="2736" w:name="_Toc130983513"/>
      <w:bookmarkStart w:id="2737" w:name="_Toc130983862"/>
      <w:bookmarkStart w:id="2738" w:name="_Toc131063720"/>
      <w:bookmarkStart w:id="2739" w:name="_Toc131238440"/>
      <w:bookmarkStart w:id="2740" w:name="_Toc131279471"/>
      <w:bookmarkStart w:id="2741" w:name="_Toc131286883"/>
      <w:bookmarkStart w:id="2742" w:name="_Toc131281293"/>
      <w:bookmarkStart w:id="2743" w:name="_Toc131317833"/>
      <w:r>
        <w:lastRenderedPageBreak/>
        <w:t xml:space="preserve">Implementering </w:t>
      </w:r>
      <w:r w:rsidR="37D5A8FE">
        <w:t>av risikojustering i Norge</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55C7243" w14:textId="28B02752" w:rsidR="00803554" w:rsidRPr="00803554" w:rsidRDefault="00803554" w:rsidP="00FB310D">
      <w:pPr>
        <w:rPr>
          <w:rFonts w:eastAsia="Calibri"/>
        </w:rPr>
      </w:pPr>
      <w:r w:rsidRPr="00803554">
        <w:rPr>
          <w:rFonts w:eastAsia="Calibri"/>
        </w:rPr>
        <w:t>I forbindelse med behandlingen av forslag til statsbudsjett for 2023 vedtok Stortinget at fastlegenes basistilskudd risikojusteres fra 1. mai 2023. Fra samme dato avvikles ordningen med knekkpunkt, og midlene til basistilskudd styrkes med 72</w:t>
      </w:r>
      <w:r w:rsidR="00D9107F" w:rsidRPr="00803554">
        <w:rPr>
          <w:rFonts w:eastAsia="Calibri"/>
        </w:rPr>
        <w:t>0</w:t>
      </w:r>
      <w:r w:rsidR="00D9107F">
        <w:rPr>
          <w:rFonts w:eastAsia="Calibri"/>
        </w:rPr>
        <w:t> mill.</w:t>
      </w:r>
      <w:r w:rsidRPr="00803554">
        <w:rPr>
          <w:rFonts w:eastAsia="Calibri"/>
        </w:rPr>
        <w:t xml:space="preserve"> kroner som helårsvirkning. Hele basistilskuddet risikojusteres.</w:t>
      </w:r>
      <w:r w:rsidR="00B628F2">
        <w:rPr>
          <w:rFonts w:eastAsia="Calibri"/>
        </w:rPr>
        <w:t xml:space="preserve"> </w:t>
      </w:r>
      <w:r w:rsidR="00C538B6">
        <w:rPr>
          <w:rFonts w:eastAsia="Calibri"/>
        </w:rPr>
        <w:t>I</w:t>
      </w:r>
      <w:r w:rsidR="00B628F2">
        <w:rPr>
          <w:rFonts w:eastAsia="Calibri"/>
        </w:rPr>
        <w:t xml:space="preserve">nnføring av </w:t>
      </w:r>
      <w:r w:rsidR="00FD55F9">
        <w:rPr>
          <w:rFonts w:eastAsia="Calibri"/>
        </w:rPr>
        <w:t xml:space="preserve">det risikojusterte </w:t>
      </w:r>
      <w:r w:rsidR="00B628F2">
        <w:rPr>
          <w:rFonts w:eastAsia="Calibri"/>
        </w:rPr>
        <w:t>basistilskudd</w:t>
      </w:r>
      <w:r w:rsidR="00FD55F9">
        <w:rPr>
          <w:rFonts w:eastAsia="Calibri"/>
        </w:rPr>
        <w:t>et</w:t>
      </w:r>
      <w:r w:rsidR="00B628F2">
        <w:rPr>
          <w:rFonts w:eastAsia="Calibri"/>
        </w:rPr>
        <w:t xml:space="preserve"> innebærer en betydelig økning av det samlede tilskuddet, </w:t>
      </w:r>
      <w:r w:rsidR="008F7DD2">
        <w:rPr>
          <w:rFonts w:eastAsia="Calibri"/>
        </w:rPr>
        <w:t xml:space="preserve">og </w:t>
      </w:r>
      <w:r w:rsidR="00B628F2">
        <w:rPr>
          <w:rFonts w:eastAsia="Calibri"/>
        </w:rPr>
        <w:t xml:space="preserve">medfører at </w:t>
      </w:r>
      <w:r w:rsidR="003B5D0A">
        <w:rPr>
          <w:rFonts w:eastAsia="Calibri"/>
        </w:rPr>
        <w:t>så å</w:t>
      </w:r>
      <w:r w:rsidR="00AA733E">
        <w:rPr>
          <w:rFonts w:eastAsia="Calibri"/>
        </w:rPr>
        <w:t xml:space="preserve"> </w:t>
      </w:r>
      <w:r w:rsidR="003B5D0A">
        <w:rPr>
          <w:rFonts w:eastAsia="Calibri"/>
        </w:rPr>
        <w:t xml:space="preserve">si alle </w:t>
      </w:r>
      <w:r w:rsidR="00B628F2">
        <w:rPr>
          <w:rFonts w:eastAsia="Calibri"/>
        </w:rPr>
        <w:t xml:space="preserve">landets fastleger vil få økt </w:t>
      </w:r>
      <w:r w:rsidR="00E96DA4">
        <w:rPr>
          <w:rFonts w:eastAsia="Calibri"/>
        </w:rPr>
        <w:t>basis</w:t>
      </w:r>
      <w:r w:rsidR="00B628F2">
        <w:rPr>
          <w:rFonts w:eastAsia="Calibri"/>
        </w:rPr>
        <w:t>tilskudd.</w:t>
      </w:r>
    </w:p>
    <w:p w14:paraId="62E73738" w14:textId="246B0BB8" w:rsidR="00D9107F" w:rsidRDefault="00803554" w:rsidP="00FB310D">
      <w:pPr>
        <w:rPr>
          <w:rFonts w:eastAsia="Calibri"/>
        </w:rPr>
      </w:pPr>
      <w:r w:rsidRPr="00803554">
        <w:rPr>
          <w:rFonts w:eastAsia="Calibri"/>
        </w:rPr>
        <w:t>Regjeringen benytte</w:t>
      </w:r>
      <w:r w:rsidR="00BC3615">
        <w:rPr>
          <w:rFonts w:eastAsia="Calibri"/>
        </w:rPr>
        <w:t>r</w:t>
      </w:r>
      <w:r w:rsidRPr="00803554">
        <w:rPr>
          <w:rFonts w:eastAsia="Calibri"/>
        </w:rPr>
        <w:t xml:space="preserve"> betegnelsen </w:t>
      </w:r>
      <w:r w:rsidRPr="00D9107F">
        <w:rPr>
          <w:rStyle w:val="kursiv"/>
          <w:rFonts w:eastAsia="Calibri"/>
        </w:rPr>
        <w:t>pasienttilpasset basistilskudd</w:t>
      </w:r>
      <w:r w:rsidRPr="00803554">
        <w:rPr>
          <w:rFonts w:eastAsia="Calibri"/>
        </w:rPr>
        <w:t xml:space="preserve">, i stedet for </w:t>
      </w:r>
      <w:r w:rsidR="00D9107F">
        <w:rPr>
          <w:rFonts w:eastAsia="Calibri"/>
        </w:rPr>
        <w:t>«</w:t>
      </w:r>
      <w:r w:rsidRPr="00803554">
        <w:rPr>
          <w:rFonts w:eastAsia="Calibri"/>
        </w:rPr>
        <w:t>risikojustering</w:t>
      </w:r>
      <w:r w:rsidR="00D9107F">
        <w:rPr>
          <w:rFonts w:eastAsia="Calibri"/>
        </w:rPr>
        <w:t>»</w:t>
      </w:r>
      <w:r w:rsidRPr="00803554">
        <w:rPr>
          <w:rFonts w:eastAsia="Calibri"/>
        </w:rPr>
        <w:t xml:space="preserve"> av basistilskuddet. Ulike kjennetegn ved listeinnbyggerne vil inngå som elementer i modell for pasienttilpasset basistilskudd som iverksettes:</w:t>
      </w:r>
    </w:p>
    <w:p w14:paraId="0D01A09E" w14:textId="190B55CC" w:rsidR="00803554" w:rsidRPr="00803554" w:rsidRDefault="00803554" w:rsidP="00775632">
      <w:pPr>
        <w:pStyle w:val="Listebombe"/>
      </w:pPr>
      <w:r w:rsidRPr="00803554">
        <w:t>Listeinnbyggernes kjønn og alder</w:t>
      </w:r>
    </w:p>
    <w:p w14:paraId="127B890B" w14:textId="16D62EE6" w:rsidR="00803554" w:rsidRPr="00803554" w:rsidRDefault="00E9213E" w:rsidP="00775632">
      <w:pPr>
        <w:pStyle w:val="Listebombe"/>
      </w:pPr>
      <w:r w:rsidRPr="00E9213E">
        <w:t>Bruk av fastlegetjenester</w:t>
      </w:r>
      <w:r w:rsidR="00803554" w:rsidRPr="00803554">
        <w:t>: Hvilket omfang av egenandeler listeinnbyggeren har utløst siste 12 måneder</w:t>
      </w:r>
    </w:p>
    <w:p w14:paraId="284534F4" w14:textId="03C1F5B3" w:rsidR="00803554" w:rsidRPr="00803554" w:rsidRDefault="00803554" w:rsidP="00775632">
      <w:pPr>
        <w:pStyle w:val="Listebombe"/>
      </w:pPr>
      <w:r w:rsidRPr="00803554">
        <w:t>Innbyggere fra de minst sentrale kommunene (sentralitetsklasse 5 og 6) utløser forhøyet sats</w:t>
      </w:r>
    </w:p>
    <w:p w14:paraId="3B095AA2" w14:textId="77777777" w:rsidR="00D9107F" w:rsidRDefault="00803554" w:rsidP="00775632">
      <w:pPr>
        <w:pStyle w:val="Listebombe"/>
      </w:pPr>
      <w:r w:rsidRPr="00803554">
        <w:t>Innbyggere fra kommuner og bydeler med lavt utdanningsnivå utløser forhøyet sats</w:t>
      </w:r>
    </w:p>
    <w:p w14:paraId="1F874D03" w14:textId="26285B56" w:rsidR="0095576B" w:rsidRDefault="00803554" w:rsidP="000552E2">
      <w:pPr>
        <w:spacing w:line="257" w:lineRule="auto"/>
        <w:rPr>
          <w:rFonts w:ascii="Calibri" w:eastAsia="Calibri" w:hAnsi="Calibri" w:cs="Calibri"/>
        </w:rPr>
      </w:pPr>
      <w:r w:rsidRPr="00803554">
        <w:rPr>
          <w:rFonts w:ascii="Calibri" w:eastAsia="Calibri" w:hAnsi="Calibri" w:cs="Calibri"/>
        </w:rPr>
        <w:t>Helsedirektoratet vil arbeide med sikte på videreutvikling av modellen.</w:t>
      </w:r>
    </w:p>
    <w:p w14:paraId="7DC86A5F" w14:textId="77777777" w:rsidR="00D9107F" w:rsidRDefault="00C61FF4" w:rsidP="00775632">
      <w:pPr>
        <w:pStyle w:val="Overskrift3"/>
      </w:pPr>
      <w:bookmarkStart w:id="2744" w:name="_Toc130763831"/>
      <w:bookmarkStart w:id="2745" w:name="_Toc130766726"/>
      <w:bookmarkStart w:id="2746" w:name="_Toc130932127"/>
      <w:bookmarkStart w:id="2747" w:name="_Toc130934418"/>
      <w:bookmarkStart w:id="2748" w:name="_Toc130983514"/>
      <w:bookmarkStart w:id="2749" w:name="_Toc130983863"/>
      <w:bookmarkStart w:id="2750" w:name="_Toc131062172"/>
      <w:bookmarkStart w:id="2751" w:name="_Toc131062426"/>
      <w:bookmarkStart w:id="2752" w:name="_Toc131062687"/>
      <w:bookmarkStart w:id="2753" w:name="_Toc131062940"/>
      <w:bookmarkStart w:id="2754" w:name="_Toc131063721"/>
      <w:bookmarkStart w:id="2755" w:name="_Toc131064133"/>
      <w:bookmarkStart w:id="2756" w:name="_Toc131238441"/>
      <w:bookmarkStart w:id="2757" w:name="_Toc131279472"/>
      <w:bookmarkStart w:id="2758" w:name="_Toc131286884"/>
      <w:bookmarkStart w:id="2759" w:name="_Toc131281294"/>
      <w:bookmarkStart w:id="2760" w:name="_Toc131317834"/>
      <w:bookmarkStart w:id="2761" w:name="_Toc132536993"/>
      <w:r>
        <w:t xml:space="preserve">Mer om differensiering </w:t>
      </w:r>
      <w:r w:rsidR="007C4377">
        <w:t xml:space="preserve">i form av </w:t>
      </w:r>
      <w:r>
        <w:t>kvalitets</w:t>
      </w:r>
      <w:r w:rsidR="00C5196F">
        <w:t>justering</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4CCBED3A" w14:textId="2C221DC0" w:rsidR="00D9107F" w:rsidRDefault="000B5047" w:rsidP="00FB310D">
      <w:r w:rsidRPr="1841BB2D">
        <w:t>Det er bred enighet om at det er viktig å stimulere til kvali</w:t>
      </w:r>
      <w:r w:rsidR="00E24CB4" w:rsidRPr="1841BB2D">
        <w:t>t</w:t>
      </w:r>
      <w:r w:rsidRPr="1841BB2D">
        <w:t>et og innovasjon i allmenlegetjenesten</w:t>
      </w:r>
      <w:r w:rsidR="00D7477A" w:rsidRPr="1841BB2D">
        <w:t xml:space="preserve">. Fastlegeforskriften </w:t>
      </w:r>
      <w:r w:rsidR="00920412" w:rsidRPr="1841BB2D">
        <w:t xml:space="preserve">påpeker at det </w:t>
      </w:r>
      <w:r w:rsidR="00D7477A" w:rsidRPr="1841BB2D">
        <w:t xml:space="preserve">skal </w:t>
      </w:r>
      <w:r w:rsidR="00D7477A" w:rsidRPr="1841BB2D">
        <w:rPr>
          <w:color w:val="333333"/>
        </w:rPr>
        <w:t>arbeides systematisk med kvalitetsforbedring og pasient- og brukersikkerhet (jf. for eksempel §</w:t>
      </w:r>
      <w:r w:rsidR="00D9107F">
        <w:rPr>
          <w:color w:val="333333"/>
        </w:rPr>
        <w:t>§ </w:t>
      </w:r>
      <w:r w:rsidR="00D9107F" w:rsidRPr="1841BB2D">
        <w:rPr>
          <w:color w:val="333333"/>
        </w:rPr>
        <w:t>7</w:t>
      </w:r>
      <w:r w:rsidR="00D7477A" w:rsidRPr="1841BB2D">
        <w:rPr>
          <w:color w:val="333333"/>
        </w:rPr>
        <w:t xml:space="preserve"> og 16)</w:t>
      </w:r>
      <w:r w:rsidR="00E110C7" w:rsidRPr="1841BB2D">
        <w:t xml:space="preserve">, </w:t>
      </w:r>
      <w:r w:rsidR="00920412" w:rsidRPr="1841BB2D">
        <w:t xml:space="preserve">og kvalitetsarbeid </w:t>
      </w:r>
      <w:r w:rsidR="00AF24B8" w:rsidRPr="1841BB2D">
        <w:t xml:space="preserve">understrekes </w:t>
      </w:r>
      <w:r w:rsidR="00B20EF6" w:rsidRPr="1841BB2D">
        <w:t xml:space="preserve">også </w:t>
      </w:r>
      <w:r w:rsidR="00AF24B8" w:rsidRPr="1841BB2D">
        <w:t xml:space="preserve">i </w:t>
      </w:r>
      <w:r w:rsidR="00E110C7" w:rsidRPr="1841BB2D">
        <w:t xml:space="preserve">tiltak 12 i </w:t>
      </w:r>
      <w:r w:rsidR="003955C3" w:rsidRPr="1841BB2D">
        <w:t>Handlingsplanen for allmennlegetjenesten</w:t>
      </w:r>
      <w:r w:rsidR="00986866">
        <w:t xml:space="preserve"> </w:t>
      </w:r>
      <w:r w:rsidR="00A841AD">
        <w:fldChar w:fldCharType="begin"/>
      </w:r>
      <w:r w:rsidR="00235862">
        <w:instrText xml:space="preserve"> ADDIN EN.CITE &lt;EndNote&gt;&lt;Cite&gt;&lt;Author&gt;Handlingsplanen&lt;/Author&gt;&lt;Year&gt;2020&lt;/Year&gt;&lt;RecNum&gt;305&lt;/RecNum&gt;&lt;DisplayText&gt;(Handlingsplanen, 2020)&lt;/DisplayText&gt;&lt;record&gt;&lt;rec-number&gt;305&lt;/rec-number&gt;&lt;foreign-keys&gt;&lt;key app="EN" db-id="95tpr2tp6r9xwoea9rb5wdsz5ds5xeddteew" timestamp="1680069511"&gt;305&lt;/key&gt;&lt;/foreign-keys&gt;&lt;ref-type name="Report"&gt;27&lt;/ref-type&gt;&lt;contributors&gt;&lt;authors&gt;&lt;author&gt;Handlingsplanen&lt;/author&gt;&lt;/authors&gt;&lt;tertiary-authors&gt;&lt;author&gt;Helse- og omsorgsdepartementet, &lt;/author&gt;&lt;/tertiary-authors&gt;&lt;/contributors&gt;&lt;titles&gt;&lt;title&gt;Handlingsplan for allmennlegetjenesten : attraktiv, kvalitetssikker og temabasert - 2020-2024&lt;/title&gt;&lt;secondary-title&gt;Handlingsplan&lt;/secondary-title&gt;&lt;/titles&gt;&lt;dates&gt;&lt;year&gt;2020&lt;/year&gt;&lt;/dates&gt;&lt;pub-location&gt;Oslo&lt;/pub-location&gt;&lt;urls&gt;&lt;/urls&gt;&lt;/record&gt;&lt;/Cite&gt;&lt;/EndNote&gt;</w:instrText>
      </w:r>
      <w:r w:rsidR="00A841AD">
        <w:fldChar w:fldCharType="separate"/>
      </w:r>
      <w:r w:rsidR="00A841AD">
        <w:rPr>
          <w:noProof/>
        </w:rPr>
        <w:t>(Handlingsplanen, 2020)</w:t>
      </w:r>
      <w:r w:rsidR="00A841AD">
        <w:fldChar w:fldCharType="end"/>
      </w:r>
      <w:r w:rsidR="00E110C7" w:rsidRPr="1841BB2D">
        <w:t xml:space="preserve">. </w:t>
      </w:r>
      <w:r w:rsidR="0084568E" w:rsidRPr="1841BB2D">
        <w:t>Et viktig formål med kvalitetsjustering av finansieringen</w:t>
      </w:r>
      <w:r w:rsidR="005B4910">
        <w:t>,</w:t>
      </w:r>
      <w:r w:rsidR="0084568E" w:rsidRPr="1841BB2D">
        <w:t xml:space="preserve"> </w:t>
      </w:r>
      <w:r w:rsidR="00B20EF6">
        <w:t>kan være</w:t>
      </w:r>
      <w:r w:rsidR="007A7FA6">
        <w:t xml:space="preserve"> </w:t>
      </w:r>
      <w:r w:rsidR="0084568E" w:rsidRPr="1841BB2D">
        <w:t>å legge til rette for økonomisk belønning av fastleger som arbeider systematisk med kvalitetsforbedring.</w:t>
      </w:r>
    </w:p>
    <w:p w14:paraId="503922F7" w14:textId="77777777" w:rsidR="00D9107F" w:rsidRDefault="00686D7E" w:rsidP="00FB310D">
      <w:r>
        <w:t xml:space="preserve">Kvalitet </w:t>
      </w:r>
      <w:r w:rsidR="005378E5">
        <w:t xml:space="preserve">har </w:t>
      </w:r>
      <w:r w:rsidR="0081749D">
        <w:t xml:space="preserve">imidlertid </w:t>
      </w:r>
      <w:r w:rsidR="005378E5">
        <w:t xml:space="preserve">mange dimensjoner og er vanskelig å måle. </w:t>
      </w:r>
      <w:r w:rsidR="00272B13">
        <w:t xml:space="preserve">Finansieringssystemet bør gi insentiver til å integrere kvalitetsarbeidet i den daglige driften. </w:t>
      </w:r>
      <w:r w:rsidR="006212C2">
        <w:t xml:space="preserve">I </w:t>
      </w:r>
      <w:r w:rsidR="00A813E6">
        <w:t>NOU 2020:</w:t>
      </w:r>
      <w:r w:rsidR="00493679">
        <w:t xml:space="preserve"> </w:t>
      </w:r>
      <w:r w:rsidR="00A813E6">
        <w:t xml:space="preserve">13 </w:t>
      </w:r>
      <w:r w:rsidR="00C64D0A">
        <w:t xml:space="preserve">opereres det med tre typer kvalitetsindikatorer. </w:t>
      </w:r>
      <w:r w:rsidR="00C64D0A" w:rsidRPr="00D9107F">
        <w:rPr>
          <w:rStyle w:val="kursiv"/>
        </w:rPr>
        <w:t>Strukturindikatorer</w:t>
      </w:r>
      <w:r w:rsidR="00C64D0A">
        <w:t xml:space="preserve"> </w:t>
      </w:r>
      <w:r w:rsidR="00E905CB">
        <w:t xml:space="preserve">kan omfatte </w:t>
      </w:r>
      <w:r w:rsidR="00D5541C">
        <w:t>personaltetthet, personalkompetanse</w:t>
      </w:r>
      <w:r w:rsidR="00951969">
        <w:t xml:space="preserve">, </w:t>
      </w:r>
      <w:r w:rsidR="00F97997">
        <w:t xml:space="preserve">ledelse, </w:t>
      </w:r>
      <w:r w:rsidR="00951969">
        <w:t xml:space="preserve">tilgjengelig utstyr e.l. </w:t>
      </w:r>
      <w:r w:rsidR="00AB79A5" w:rsidRPr="00D9107F">
        <w:rPr>
          <w:rStyle w:val="kursiv"/>
        </w:rPr>
        <w:t>Prosessindikatorer</w:t>
      </w:r>
      <w:r w:rsidR="00AB79A5">
        <w:t xml:space="preserve"> kan omfatte </w:t>
      </w:r>
      <w:r w:rsidR="00346289">
        <w:t xml:space="preserve">konkrete </w:t>
      </w:r>
      <w:r w:rsidR="00016438">
        <w:t xml:space="preserve">tiltak for å heve kvaliteten, som </w:t>
      </w:r>
      <w:r w:rsidR="004378A6">
        <w:t xml:space="preserve">deltakelse i kurs og </w:t>
      </w:r>
      <w:r w:rsidR="00A34A54">
        <w:t>pasientsikkerhets</w:t>
      </w:r>
      <w:r w:rsidR="004378A6">
        <w:t xml:space="preserve">programmer, </w:t>
      </w:r>
      <w:r w:rsidR="00A34A54">
        <w:t xml:space="preserve">internkontrollrutiner og </w:t>
      </w:r>
      <w:r w:rsidR="00346289">
        <w:t>ak</w:t>
      </w:r>
      <w:r w:rsidR="00496D95">
        <w:t>t</w:t>
      </w:r>
      <w:r w:rsidR="00346289">
        <w:t>ivite</w:t>
      </w:r>
      <w:r w:rsidR="003E77E9">
        <w:t>te</w:t>
      </w:r>
      <w:r w:rsidR="00346289">
        <w:t xml:space="preserve">r i et pasientforløp som </w:t>
      </w:r>
      <w:r w:rsidR="0043040E">
        <w:t xml:space="preserve">behandlingsplaner, legemiddelgjennomganger, </w:t>
      </w:r>
      <w:r w:rsidR="00343CE2">
        <w:t xml:space="preserve">om pasienten har </w:t>
      </w:r>
      <w:r w:rsidR="1B1D0F35">
        <w:t>mottat</w:t>
      </w:r>
      <w:r w:rsidR="052F8F25">
        <w:t>t</w:t>
      </w:r>
      <w:r w:rsidR="00343CE2">
        <w:t xml:space="preserve"> de ytelsene som </w:t>
      </w:r>
      <w:r w:rsidR="001E2B27">
        <w:t>følger av regler og retningslinjer,</w:t>
      </w:r>
      <w:r w:rsidR="001E2B27" w:rsidRPr="0058796D">
        <w:rPr>
          <w:rFonts w:ascii="Palatino Linotype" w:hAnsi="Palatino Linotype"/>
          <w:sz w:val="27"/>
          <w:szCs w:val="27"/>
          <w:shd w:val="clear" w:color="auto" w:fill="FFFFFF"/>
        </w:rPr>
        <w:t xml:space="preserve"> </w:t>
      </w:r>
      <w:r w:rsidR="001E2B27">
        <w:t xml:space="preserve">etc. </w:t>
      </w:r>
      <w:r w:rsidR="003F4A7A" w:rsidRPr="00D9107F">
        <w:rPr>
          <w:rStyle w:val="kursiv"/>
        </w:rPr>
        <w:t>Resultatindikatorer</w:t>
      </w:r>
      <w:r w:rsidR="003F4A7A">
        <w:t xml:space="preserve"> </w:t>
      </w:r>
      <w:r w:rsidR="004630EA">
        <w:t>viser resultater etter gjennomført</w:t>
      </w:r>
      <w:r w:rsidR="009F381F">
        <w:t>e</w:t>
      </w:r>
      <w:r w:rsidR="004630EA">
        <w:t xml:space="preserve"> </w:t>
      </w:r>
      <w:r w:rsidR="009F381F">
        <w:t xml:space="preserve">tjenester, og kan omfatte overlevelse, </w:t>
      </w:r>
      <w:r w:rsidR="00C57C05">
        <w:t xml:space="preserve">fysisk eller psykisk tilstand, </w:t>
      </w:r>
      <w:r w:rsidR="008C07C6">
        <w:t xml:space="preserve">funksjonsevne </w:t>
      </w:r>
      <w:r w:rsidR="008F7B32">
        <w:t xml:space="preserve">og </w:t>
      </w:r>
      <w:r w:rsidR="006F2662">
        <w:t>pasientens tilfredshet med behandlingen.</w:t>
      </w:r>
    </w:p>
    <w:p w14:paraId="419874E8" w14:textId="46589AD8" w:rsidR="003271FF" w:rsidRPr="006628EA" w:rsidRDefault="0013304B" w:rsidP="00FB310D">
      <w:pPr>
        <w:rPr>
          <w:rFonts w:eastAsiaTheme="minorEastAsia" w:cstheme="minorHAnsi"/>
        </w:rPr>
      </w:pPr>
      <w:r>
        <w:lastRenderedPageBreak/>
        <w:t>Det kan være</w:t>
      </w:r>
      <w:r w:rsidRPr="006628EA">
        <w:rPr>
          <w:rFonts w:cstheme="minorHAnsi"/>
        </w:rPr>
        <w:t xml:space="preserve"> vanskelig å måle </w:t>
      </w:r>
      <w:r w:rsidR="00EA46F6" w:rsidRPr="006628EA">
        <w:rPr>
          <w:rFonts w:cstheme="minorHAnsi"/>
        </w:rPr>
        <w:t>kvalitetsindikatore</w:t>
      </w:r>
      <w:r w:rsidRPr="006628EA">
        <w:rPr>
          <w:rFonts w:cstheme="minorHAnsi"/>
        </w:rPr>
        <w:t>ne på en tilfredsstillende måte</w:t>
      </w:r>
      <w:r w:rsidR="004257D1" w:rsidRPr="006628EA">
        <w:rPr>
          <w:rFonts w:cstheme="minorHAnsi"/>
        </w:rPr>
        <w:t xml:space="preserve">. </w:t>
      </w:r>
      <w:r w:rsidR="003A202C">
        <w:rPr>
          <w:rFonts w:cstheme="minorHAnsi"/>
        </w:rPr>
        <w:t>Eksempelvis</w:t>
      </w:r>
      <w:r w:rsidR="00CA501C">
        <w:t xml:space="preserve"> kan </w:t>
      </w:r>
      <w:r w:rsidR="003A202C">
        <w:rPr>
          <w:rFonts w:cstheme="minorHAnsi"/>
        </w:rPr>
        <w:t xml:space="preserve">pasientenes tilfredshet </w:t>
      </w:r>
      <w:r w:rsidR="00CA501C">
        <w:t xml:space="preserve">fanges gjennom brukerundersøkelser, men en </w:t>
      </w:r>
      <w:r w:rsidR="003A202C">
        <w:t>pasient</w:t>
      </w:r>
      <w:r w:rsidR="00CA501C">
        <w:t xml:space="preserve"> kan være fornøyd selv om legen ikke har ytt faglig gode </w:t>
      </w:r>
      <w:r w:rsidR="4CFC55BF">
        <w:t>tjen</w:t>
      </w:r>
      <w:r w:rsidR="4300D093">
        <w:t>e</w:t>
      </w:r>
      <w:r w:rsidR="4CFC55BF">
        <w:t>ster</w:t>
      </w:r>
      <w:r w:rsidR="00CA501C">
        <w:t xml:space="preserve">, eller misfornøyd selv </w:t>
      </w:r>
      <w:r w:rsidR="0091115D">
        <w:t xml:space="preserve">om </w:t>
      </w:r>
      <w:r w:rsidR="00CA501C">
        <w:t>legen har gjort alt som kunne og burde gjøres.</w:t>
      </w:r>
      <w:r w:rsidR="004257D1" w:rsidRPr="006628EA">
        <w:rPr>
          <w:rFonts w:cstheme="minorHAnsi"/>
        </w:rPr>
        <w:t xml:space="preserve"> </w:t>
      </w:r>
      <w:r w:rsidR="00ED6FEF" w:rsidRPr="006628EA">
        <w:rPr>
          <w:rFonts w:cstheme="minorHAnsi"/>
        </w:rPr>
        <w:t xml:space="preserve">Flere teoretiske analyser påpeker at hvorvidt </w:t>
      </w:r>
      <w:r w:rsidR="00ED6FEF" w:rsidRPr="0058796D">
        <w:rPr>
          <w:rFonts w:cstheme="minorHAnsi"/>
          <w:shd w:val="clear" w:color="auto" w:fill="FFFFFF"/>
        </w:rPr>
        <w:t xml:space="preserve">kvalitet kan måles på en god måte, hvorvidt de målbare kvalitetsindikatorene fortrenger legens tid på kvalitetselementer som er vanskeligere å måle og hvorvidt legen avveier egen inntekt mot pasientenes helse og velvære, er viktig for hvordan </w:t>
      </w:r>
      <w:r w:rsidR="0023234D" w:rsidRPr="0058796D">
        <w:rPr>
          <w:rFonts w:cstheme="minorHAnsi"/>
          <w:shd w:val="clear" w:color="auto" w:fill="FFFFFF"/>
        </w:rPr>
        <w:t xml:space="preserve">kvalitetsbasert finansiering vil virke </w:t>
      </w:r>
      <w:r w:rsidR="00E54694" w:rsidRPr="0058796D">
        <w:rPr>
          <w:rFonts w:cstheme="minorHAnsi"/>
          <w:shd w:val="clear" w:color="auto" w:fill="FFFFFF"/>
        </w:rPr>
        <w:fldChar w:fldCharType="begin"/>
      </w:r>
      <w:r w:rsidR="00D078E3">
        <w:rPr>
          <w:rFonts w:cstheme="minorHAnsi"/>
          <w:shd w:val="clear" w:color="auto" w:fill="FFFFFF"/>
        </w:rPr>
        <w:instrText xml:space="preserve"> ADDIN EN.CITE &lt;EndNote&gt;&lt;Cite&gt;&lt;Author&gt;Kaarbø&lt;/Author&gt;&lt;Year&gt;2017&lt;/Year&gt;&lt;RecNum&gt;434&lt;/RecNum&gt;&lt;DisplayText&gt;(Kaarbø, 2017)&lt;/DisplayText&gt;&lt;record&gt;&lt;rec-number&gt;434&lt;/rec-number&gt;&lt;foreign-keys&gt;&lt;key app="EN" db-id="95tpr2tp6r9xwoea9rb5wdsz5ds5xeddteew" timestamp="1680069511"&gt;434&lt;/key&gt;&lt;/foreign-keys&gt;&lt;ref-type name="Book Section"&gt;5&lt;/ref-type&gt;&lt;contributors&gt;&lt;authors&gt;&lt;author&gt;Kaarbø, O.&lt;/author&gt;&lt;/authors&gt;&lt;secondary-authors&gt;&lt;author&gt;Botten, Grete&lt;/author&gt;&lt;author&gt;Det Norske medicinske Selskab&lt;/author&gt;&lt;/secondary-authors&gt;&lt;/contributors&gt;&lt;titles&gt;&lt;title&gt;Kvalitetsbasert finansiering&lt;/title&gt;&lt;secondary-title&gt;Mangfold og engasjement i ti år : Institutt for helse og samfunn ved universitetet i Oslo 2010-2020&lt;/secondary-title&gt;&lt;/titles&gt;&lt;keywords&gt;&lt;keyword&gt;Universitetet i Oslo Institutt for helse og samfunn&lt;/keyword&gt;&lt;keyword&gt;History of Medicine&lt;/keyword&gt;&lt;keyword&gt;Norway&lt;/keyword&gt;&lt;/keywords&gt;&lt;dates&gt;&lt;year&gt;2017&lt;/year&gt;&lt;/dates&gt;&lt;pub-location&gt;Oslo&lt;/pub-location&gt;&lt;publisher&gt;Det norske medicinske Selskab&lt;/publisher&gt;&lt;isbn&gt;9788292871768&lt;/isbn&gt;&lt;urls&gt;&lt;/urls&gt;&lt;/record&gt;&lt;/Cite&gt;&lt;/EndNote&gt;</w:instrText>
      </w:r>
      <w:r w:rsidR="00E54694" w:rsidRPr="0058796D">
        <w:rPr>
          <w:rFonts w:cstheme="minorHAnsi"/>
          <w:shd w:val="clear" w:color="auto" w:fill="FFFFFF"/>
        </w:rPr>
        <w:fldChar w:fldCharType="separate"/>
      </w:r>
      <w:r w:rsidR="00E54694" w:rsidRPr="0058796D">
        <w:rPr>
          <w:noProof/>
          <w:shd w:val="clear" w:color="auto" w:fill="FFFFFF"/>
        </w:rPr>
        <w:t>(Kaarbø, 2017)</w:t>
      </w:r>
      <w:r w:rsidR="00E54694" w:rsidRPr="0058796D">
        <w:rPr>
          <w:rFonts w:cstheme="minorHAnsi"/>
          <w:shd w:val="clear" w:color="auto" w:fill="FFFFFF"/>
        </w:rPr>
        <w:fldChar w:fldCharType="end"/>
      </w:r>
      <w:r w:rsidR="5066D66B" w:rsidRPr="008F5AD8">
        <w:t>.</w:t>
      </w:r>
    </w:p>
    <w:p w14:paraId="73467C16" w14:textId="7ECD20A9" w:rsidR="00B641B2" w:rsidRDefault="00546374" w:rsidP="00FB310D">
      <w:pPr>
        <w:rPr>
          <w:rFonts w:ascii="Calibri" w:hAnsi="Calibri" w:cs="Calibri"/>
        </w:rPr>
      </w:pPr>
      <w:r w:rsidRPr="1841BB2D">
        <w:t xml:space="preserve">Enten </w:t>
      </w:r>
      <w:r w:rsidR="001775F1" w:rsidRPr="1841BB2D">
        <w:t xml:space="preserve">finansieringen tilpasses </w:t>
      </w:r>
      <w:r w:rsidR="00DF5F65" w:rsidRPr="1841BB2D">
        <w:t xml:space="preserve">kvalitetsindikatorer eller ei, </w:t>
      </w:r>
      <w:r w:rsidR="00912FEF" w:rsidRPr="1841BB2D">
        <w:t>beskrives tilgang til s</w:t>
      </w:r>
      <w:r w:rsidR="00B80555" w:rsidRPr="1841BB2D">
        <w:t>tatistikk fra praksis (</w:t>
      </w:r>
      <w:r w:rsidR="00BC3615">
        <w:t>eksempelvis</w:t>
      </w:r>
      <w:r w:rsidR="00B80555" w:rsidRPr="1841BB2D">
        <w:t xml:space="preserve"> rekvirering av</w:t>
      </w:r>
      <w:r w:rsidR="00B80555" w:rsidRPr="00B80555">
        <w:rPr>
          <w:rFonts w:ascii="Calibri" w:hAnsi="Calibri" w:cs="Calibri"/>
        </w:rPr>
        <w:t xml:space="preserve"> antibiotika) som motiverende for </w:t>
      </w:r>
      <w:r w:rsidR="00CA5EDF">
        <w:rPr>
          <w:rFonts w:ascii="Calibri" w:hAnsi="Calibri" w:cs="Calibri"/>
        </w:rPr>
        <w:t xml:space="preserve">at legene skal </w:t>
      </w:r>
      <w:r w:rsidR="00CB3D9E">
        <w:rPr>
          <w:rFonts w:ascii="Calibri" w:hAnsi="Calibri" w:cs="Calibri"/>
        </w:rPr>
        <w:t xml:space="preserve">foreta </w:t>
      </w:r>
      <w:r w:rsidR="00B80555" w:rsidRPr="00B80555">
        <w:rPr>
          <w:rFonts w:ascii="Calibri" w:hAnsi="Calibri" w:cs="Calibri"/>
        </w:rPr>
        <w:t>endring</w:t>
      </w:r>
      <w:r w:rsidR="00CB3D9E">
        <w:rPr>
          <w:rFonts w:ascii="Calibri" w:hAnsi="Calibri" w:cs="Calibri"/>
        </w:rPr>
        <w:t>er</w:t>
      </w:r>
      <w:r w:rsidR="00912FEF">
        <w:rPr>
          <w:rFonts w:ascii="Calibri" w:hAnsi="Calibri" w:cs="Calibri"/>
        </w:rPr>
        <w:t xml:space="preserve"> </w:t>
      </w:r>
      <w:r w:rsidR="00A841AD">
        <w:rPr>
          <w:rFonts w:ascii="Calibri" w:hAnsi="Calibri" w:cs="Calibri"/>
        </w:rPr>
        <w:fldChar w:fldCharType="begin"/>
      </w:r>
      <w:r w:rsidR="004654FD">
        <w:rPr>
          <w:rFonts w:ascii="Calibri" w:hAnsi="Calibri" w:cs="Calibri"/>
        </w:rPr>
        <w:instrText xml:space="preserve"> ADDIN EN.CITE &lt;EndNote&gt;&lt;Cite&gt;&lt;Author&gt;Eide&lt;/Author&gt;&lt;Year&gt;2022&lt;/Year&gt;&lt;RecNum&gt;915&lt;/RecNum&gt;&lt;DisplayText&gt;(Eide et al., 2022)&lt;/DisplayText&gt;&lt;record&gt;&lt;rec-number&gt;915&lt;/rec-number&gt;&lt;foreign-keys&gt;&lt;key app="EN" db-id="95tpr2tp6r9xwoea9rb5wdsz5ds5xeddteew" timestamp="1680154551"&gt;915&lt;/key&gt;&lt;/foreign-keys&gt;&lt;ref-type name="Journal Article"&gt;17&lt;/ref-type&gt;&lt;contributors&gt;&lt;authors&gt;&lt;author&gt;Eide, T. B.&lt;/author&gt;&lt;author&gt;Øyane, N.&lt;/author&gt;&lt;author&gt;Høye, S.&lt;/author&gt;&lt;/authors&gt;&lt;/contributors&gt;&lt;titles&gt;&lt;title&gt;Promoters and inhibitors for quality improvement work in general practice: a qualitative analysis of 2715 free-text replies.&lt;/title&gt;&lt;secondary-title&gt; BMJ Open Quality&lt;/secondary-title&gt;&lt;/titles&gt;&lt;volume&gt;11&lt;/volume&gt;&lt;number&gt;4&lt;/number&gt;&lt;dates&gt;&lt;year&gt;2022&lt;/year&gt;&lt;/dates&gt;&lt;urls&gt;&lt;/urls&gt;&lt;/record&gt;&lt;/Cite&gt;&lt;/EndNote&gt;</w:instrText>
      </w:r>
      <w:r w:rsidR="00A841AD">
        <w:rPr>
          <w:rFonts w:ascii="Calibri" w:hAnsi="Calibri" w:cs="Calibri"/>
        </w:rPr>
        <w:fldChar w:fldCharType="separate"/>
      </w:r>
      <w:r w:rsidR="00A841AD">
        <w:rPr>
          <w:rFonts w:ascii="Calibri" w:hAnsi="Calibri" w:cs="Calibri"/>
          <w:noProof/>
        </w:rPr>
        <w:t>(Eide et al., 2022)</w:t>
      </w:r>
      <w:r w:rsidR="00A841AD">
        <w:rPr>
          <w:rFonts w:ascii="Calibri" w:hAnsi="Calibri" w:cs="Calibri"/>
        </w:rPr>
        <w:fldChar w:fldCharType="end"/>
      </w:r>
      <w:r w:rsidR="007B4F62">
        <w:rPr>
          <w:rFonts w:ascii="Calibri" w:hAnsi="Calibri" w:cs="Calibri"/>
        </w:rPr>
        <w:t>.</w:t>
      </w:r>
      <w:r w:rsidR="00B80555" w:rsidRPr="00B80555">
        <w:rPr>
          <w:rFonts w:ascii="Calibri" w:hAnsi="Calibri" w:cs="Calibri"/>
        </w:rPr>
        <w:t xml:space="preserve"> Data bør være lett tilgjengelige </w:t>
      </w:r>
      <w:r w:rsidR="00D578E5">
        <w:rPr>
          <w:rFonts w:ascii="Calibri" w:hAnsi="Calibri" w:cs="Calibri"/>
        </w:rPr>
        <w:t>for legen</w:t>
      </w:r>
      <w:r w:rsidR="00E15D44">
        <w:rPr>
          <w:rFonts w:ascii="Calibri" w:hAnsi="Calibri" w:cs="Calibri"/>
        </w:rPr>
        <w:t xml:space="preserve"> og </w:t>
      </w:r>
      <w:r w:rsidR="00B80555" w:rsidRPr="00B80555">
        <w:rPr>
          <w:rFonts w:ascii="Calibri" w:hAnsi="Calibri" w:cs="Calibri"/>
        </w:rPr>
        <w:t>indikatore</w:t>
      </w:r>
      <w:r w:rsidR="00E15D44">
        <w:rPr>
          <w:rFonts w:ascii="Calibri" w:hAnsi="Calibri" w:cs="Calibri"/>
        </w:rPr>
        <w:t xml:space="preserve">ne </w:t>
      </w:r>
      <w:r w:rsidR="007C2A3D">
        <w:rPr>
          <w:rFonts w:ascii="Calibri" w:hAnsi="Calibri" w:cs="Calibri"/>
        </w:rPr>
        <w:t xml:space="preserve">må kunne følges for å </w:t>
      </w:r>
      <w:r w:rsidR="00B80555" w:rsidRPr="00B80555">
        <w:rPr>
          <w:rFonts w:ascii="Calibri" w:hAnsi="Calibri" w:cs="Calibri"/>
        </w:rPr>
        <w:t xml:space="preserve">se på </w:t>
      </w:r>
      <w:r w:rsidR="00CB3D9E">
        <w:rPr>
          <w:rFonts w:ascii="Calibri" w:hAnsi="Calibri" w:cs="Calibri"/>
        </w:rPr>
        <w:t>utvikling</w:t>
      </w:r>
      <w:r w:rsidR="00B80555" w:rsidRPr="00B80555">
        <w:rPr>
          <w:rFonts w:ascii="Calibri" w:hAnsi="Calibri" w:cs="Calibri"/>
        </w:rPr>
        <w:t xml:space="preserve"> over tid</w:t>
      </w:r>
      <w:r w:rsidR="00C3503D">
        <w:rPr>
          <w:rFonts w:ascii="Calibri" w:hAnsi="Calibri" w:cs="Calibri"/>
        </w:rPr>
        <w:t xml:space="preserve">, både innenfor egen praksis og i forhold til </w:t>
      </w:r>
      <w:r w:rsidR="000F5E10">
        <w:rPr>
          <w:rFonts w:ascii="Calibri" w:hAnsi="Calibri" w:cs="Calibri"/>
        </w:rPr>
        <w:t xml:space="preserve">andre </w:t>
      </w:r>
      <w:r w:rsidR="00CD0409">
        <w:rPr>
          <w:rFonts w:ascii="Calibri" w:hAnsi="Calibri" w:cs="Calibri"/>
        </w:rPr>
        <w:t>fastleger.</w:t>
      </w:r>
      <w:r w:rsidR="00D9107F">
        <w:rPr>
          <w:rFonts w:ascii="Calibri" w:hAnsi="Calibri" w:cs="Calibri"/>
        </w:rPr>
        <w:t xml:space="preserve"> </w:t>
      </w:r>
      <w:r w:rsidR="00B81C38">
        <w:rPr>
          <w:rFonts w:ascii="Calibri" w:hAnsi="Calibri" w:cs="Calibri"/>
        </w:rPr>
        <w:t>L</w:t>
      </w:r>
      <w:r w:rsidR="00B80555" w:rsidRPr="00B80555">
        <w:rPr>
          <w:rFonts w:ascii="Calibri" w:hAnsi="Calibri" w:cs="Calibri"/>
        </w:rPr>
        <w:t xml:space="preserve">egemiddelrelaterte skader antas å være en av de vanligste årsakene til uønskede hendelser i helsetjenesten </w:t>
      </w:r>
      <w:r w:rsidR="00A841AD">
        <w:rPr>
          <w:rFonts w:ascii="Calibri" w:hAnsi="Calibri" w:cs="Calibri"/>
        </w:rPr>
        <w:fldChar w:fldCharType="begin"/>
      </w:r>
      <w:r w:rsidR="00A841AD">
        <w:rPr>
          <w:rFonts w:ascii="Calibri" w:hAnsi="Calibri" w:cs="Calibri"/>
        </w:rPr>
        <w:instrText xml:space="preserve"> ADDIN EN.CITE &lt;EndNote&gt;&lt;Cite&gt;&lt;Author&gt;Opondo&lt;/Author&gt;&lt;Year&gt;2012&lt;/Year&gt;&lt;RecNum&gt;916&lt;/RecNum&gt;&lt;DisplayText&gt;(Opondo et al., 2012)&lt;/DisplayText&gt;&lt;record&gt;&lt;rec-number&gt;916&lt;/rec-number&gt;&lt;foreign-keys&gt;&lt;key app="EN" db-id="95tpr2tp6r9xwoea9rb5wdsz5ds5xeddteew" timestamp="1680154649"&gt;916&lt;/key&gt;&lt;/foreign-keys&gt;&lt;ref-type name="Journal Article"&gt;17&lt;/ref-type&gt;&lt;contributors&gt;&lt;authors&gt;&lt;author&gt;Opondo, D.&lt;/author&gt;&lt;author&gt;Eslami, S.&lt;/author&gt;&lt;author&gt;Visscher, S.&lt;/author&gt;&lt;author&gt;de Rooij, S. E.&lt;/author&gt;&lt;author&gt;Verheij, R.&lt;/author&gt;&lt;author&gt;Korevaar, J. C.&lt;/author&gt;&lt;author&gt;Abu-Hanna, A. &lt;/author&gt;&lt;/authors&gt;&lt;/contributors&gt;&lt;titles&gt;&lt;title&gt;Inappropriateness of medication prescriptions to elderly patients in the primary care setting: a systematic review&lt;/title&gt;&lt;secondary-title&gt;PLoS One&lt;/secondary-title&gt;&lt;/titles&gt;&lt;periodical&gt;&lt;full-title&gt;PLoS ONE&lt;/full-title&gt;&lt;/periodical&gt;&lt;volume&gt;7&lt;/volume&gt;&lt;number&gt;8&lt;/number&gt;&lt;dates&gt;&lt;year&gt;2012&lt;/year&gt;&lt;/dates&gt;&lt;urls&gt;&lt;/urls&gt;&lt;/record&gt;&lt;/Cite&gt;&lt;/EndNote&gt;</w:instrText>
      </w:r>
      <w:r w:rsidR="00A841AD">
        <w:rPr>
          <w:rFonts w:ascii="Calibri" w:hAnsi="Calibri" w:cs="Calibri"/>
        </w:rPr>
        <w:fldChar w:fldCharType="separate"/>
      </w:r>
      <w:r w:rsidR="00A841AD">
        <w:rPr>
          <w:rFonts w:ascii="Calibri" w:hAnsi="Calibri" w:cs="Calibri"/>
          <w:noProof/>
        </w:rPr>
        <w:t>(Opondo et al., 2012)</w:t>
      </w:r>
      <w:r w:rsidR="00A841AD">
        <w:rPr>
          <w:rFonts w:ascii="Calibri" w:hAnsi="Calibri" w:cs="Calibri"/>
        </w:rPr>
        <w:fldChar w:fldCharType="end"/>
      </w:r>
      <w:r w:rsidR="004F791B">
        <w:rPr>
          <w:rFonts w:ascii="Calibri" w:hAnsi="Calibri" w:cs="Calibri"/>
        </w:rPr>
        <w:t>, og v</w:t>
      </w:r>
      <w:r w:rsidR="00B80555" w:rsidRPr="00B80555">
        <w:rPr>
          <w:rFonts w:ascii="Calibri" w:hAnsi="Calibri" w:cs="Calibri"/>
        </w:rPr>
        <w:t xml:space="preserve">il kunne </w:t>
      </w:r>
      <w:r w:rsidR="00BE4761">
        <w:rPr>
          <w:rFonts w:ascii="Calibri" w:hAnsi="Calibri" w:cs="Calibri"/>
        </w:rPr>
        <w:t>være vikti</w:t>
      </w:r>
      <w:r w:rsidR="00B80555" w:rsidRPr="00B80555">
        <w:rPr>
          <w:rFonts w:ascii="Calibri" w:hAnsi="Calibri" w:cs="Calibri"/>
        </w:rPr>
        <w:t>g</w:t>
      </w:r>
      <w:r w:rsidR="00BE4761">
        <w:rPr>
          <w:rFonts w:ascii="Calibri" w:hAnsi="Calibri" w:cs="Calibri"/>
        </w:rPr>
        <w:t xml:space="preserve"> </w:t>
      </w:r>
      <w:r w:rsidR="00B80555" w:rsidRPr="00B80555">
        <w:rPr>
          <w:rFonts w:ascii="Calibri" w:hAnsi="Calibri" w:cs="Calibri"/>
        </w:rPr>
        <w:t>for kvalitetsarbeidet.</w:t>
      </w:r>
      <w:r w:rsidR="008011AA">
        <w:rPr>
          <w:rFonts w:ascii="Calibri" w:hAnsi="Calibri" w:cs="Calibri"/>
        </w:rPr>
        <w:t xml:space="preserve"> </w:t>
      </w:r>
      <w:r w:rsidR="008011AA">
        <w:t>Å belønne praksis som fremmer kvalitet og pasientsikkerhet økonomisk, kombinert med kunnskap om kvalitetsforbedring og bedre datagrunnlag fra egen praksis</w:t>
      </w:r>
      <w:r w:rsidR="00820E02">
        <w:t>,</w:t>
      </w:r>
      <w:r w:rsidR="008011AA">
        <w:t xml:space="preserve"> vil sannsynligvis bidra til forbedring.</w:t>
      </w:r>
    </w:p>
    <w:p w14:paraId="0B100925" w14:textId="7544A830" w:rsidR="000D0A2A" w:rsidRPr="000D0A2A" w:rsidRDefault="000D0A2A" w:rsidP="00FB310D">
      <w:pPr>
        <w:rPr>
          <w:rFonts w:ascii="Segoe UI" w:hAnsi="Segoe UI" w:cs="Segoe UI"/>
          <w:sz w:val="18"/>
          <w:szCs w:val="18"/>
        </w:rPr>
      </w:pPr>
      <w:r w:rsidRPr="000D0A2A">
        <w:t xml:space="preserve">Storbritannia innførte Quality Outcomes Framework (QOF) i 2005, blant annet med bakgrunn i å øke finansieringen til allmennlegetjenesten knyttet til kvalitetsindikatorer. Etter innføring av QOF ble ca. 30 </w:t>
      </w:r>
      <w:r w:rsidR="00911131">
        <w:t>prosent</w:t>
      </w:r>
      <w:r w:rsidRPr="000D0A2A">
        <w:t xml:space="preserve"> av legenes finansering knyttet til over 100 kvalitetsindikatorer. Nesten alle indikatormålene ble nådd med betydelig inntektsøkning for legene. QOF hadde tre hoved</w:t>
      </w:r>
      <w:r w:rsidR="00D66CA5">
        <w:t>målsetting</w:t>
      </w:r>
      <w:r w:rsidRPr="000D0A2A">
        <w:t>er: bedre datainnsamling, offentliggjøring av kvalitet på behandlingen og økt finansering knyttet til kvalitetsindikatorer.</w:t>
      </w:r>
    </w:p>
    <w:p w14:paraId="6BEF8E9D" w14:textId="77777777" w:rsidR="00D9107F" w:rsidRDefault="00B7122B" w:rsidP="00FB310D">
      <w:r>
        <w:t xml:space="preserve">Selv om </w:t>
      </w:r>
      <w:r w:rsidR="000D0A2A" w:rsidRPr="000D0A2A">
        <w:t>indikatormål</w:t>
      </w:r>
      <w:r w:rsidR="001542A5">
        <w:t>ene</w:t>
      </w:r>
      <w:r w:rsidR="000D0A2A" w:rsidRPr="000D0A2A">
        <w:t xml:space="preserve"> ble oppnådd</w:t>
      </w:r>
      <w:r w:rsidR="0091762C">
        <w:t>,</w:t>
      </w:r>
      <w:r w:rsidR="000D0A2A" w:rsidRPr="000D0A2A">
        <w:t xml:space="preserve"> er det </w:t>
      </w:r>
      <w:r>
        <w:t xml:space="preserve">naturligvis vanskelig å si sikkert om </w:t>
      </w:r>
      <w:r w:rsidR="000D0A2A" w:rsidRPr="000D0A2A">
        <w:t xml:space="preserve">innføring av QOF </w:t>
      </w:r>
      <w:r w:rsidR="007A6B61">
        <w:t>f</w:t>
      </w:r>
      <w:r w:rsidR="000D0A2A" w:rsidRPr="000D0A2A">
        <w:t xml:space="preserve">ørte </w:t>
      </w:r>
      <w:r w:rsidR="007A6B61">
        <w:t xml:space="preserve">til </w:t>
      </w:r>
      <w:r w:rsidR="000D0A2A" w:rsidRPr="000D0A2A">
        <w:t>økt kvalitet i behandlinge</w:t>
      </w:r>
      <w:r w:rsidR="00355AE7">
        <w:t xml:space="preserve">n </w:t>
      </w:r>
      <w:r w:rsidR="004532AE">
        <w:fldChar w:fldCharType="begin"/>
      </w:r>
      <w:r w:rsidR="00A27571">
        <w:instrText xml:space="preserve"> ADDIN EN.CITE &lt;EndNote&gt;&lt;Cite&gt;&lt;Author&gt;Guthrie&lt;/Author&gt;&lt;Year&gt;2016&lt;/Year&gt;&lt;RecNum&gt;917&lt;/RecNum&gt;&lt;DisplayText&gt;(Guthrie et al., 2016; Wilding et al., 2022)&lt;/DisplayText&gt;&lt;record&gt;&lt;rec-number&gt;917&lt;/rec-number&gt;&lt;foreign-keys&gt;&lt;key app="EN" db-id="95tpr2tp6r9xwoea9rb5wdsz5ds5xeddteew" timestamp="1680154769"&gt;917&lt;/key&gt;&lt;/foreign-keys&gt;&lt;ref-type name="Report"&gt;27&lt;/ref-type&gt;&lt;contributors&gt;&lt;authors&gt;&lt;author&gt;Guthrie, B.&lt;/author&gt;&lt;author&gt;Tang, J&lt;/author&gt;&lt;/authors&gt;&lt;/contributors&gt;&lt;titles&gt;&lt;title&gt;What did we learn from 12 years of QOF? &lt;/title&gt;&lt;/titles&gt;&lt;dates&gt;&lt;year&gt;2016&lt;/year&gt;&lt;/dates&gt;&lt;publisher&gt;Scottish school of primary care&lt;/publisher&gt;&lt;urls&gt;&lt;/urls&gt;&lt;/record&gt;&lt;/Cite&gt;&lt;Cite&gt;&lt;Author&gt;Wilding&lt;/Author&gt;&lt;Year&gt;2022&lt;/Year&gt;&lt;RecNum&gt;918&lt;/RecNum&gt;&lt;record&gt;&lt;rec-number&gt;918&lt;/rec-number&gt;&lt;foreign-keys&gt;&lt;key app="EN" db-id="95tpr2tp6r9xwoea9rb5wdsz5ds5xeddteew" timestamp="1680154855"&gt;918&lt;/key&gt;&lt;/foreign-keys&gt;&lt;ref-type name="Journal Article"&gt;17&lt;/ref-type&gt;&lt;contributors&gt;&lt;authors&gt;&lt;author&gt;Wilding, A.&lt;/author&gt;&lt;author&gt;Munford, L.&lt;/author&gt;&lt;author&gt;Guthrie, B.&lt;/author&gt;&lt;author&gt;Kontopantelis, E.&lt;/author&gt;&lt;author&gt;Sutton, M.&lt;/author&gt;&lt;/authors&gt;&lt;/contributors&gt;&lt;titles&gt;&lt;title&gt;Family doctor responses to changes in target stringency under financial incentives. &lt;/title&gt;&lt;secondary-title&gt;ournal of Health Economics&lt;/secondary-title&gt;&lt;/titles&gt;&lt;periodical&gt;&lt;full-title&gt;ournal of Health Economics&lt;/full-title&gt;&lt;/periodical&gt;&lt;volume&gt;85&lt;/volume&gt;&lt;dates&gt;&lt;year&gt;2022&lt;/year&gt;&lt;/dates&gt;&lt;urls&gt;&lt;/urls&gt;&lt;/record&gt;&lt;/Cite&gt;&lt;/EndNote&gt;</w:instrText>
      </w:r>
      <w:r w:rsidR="004532AE">
        <w:fldChar w:fldCharType="separate"/>
      </w:r>
      <w:r w:rsidR="004532AE">
        <w:rPr>
          <w:noProof/>
        </w:rPr>
        <w:t>(Guthrie et al., 2016; Wilding et al., 2022)</w:t>
      </w:r>
      <w:r w:rsidR="004532AE">
        <w:fldChar w:fldCharType="end"/>
      </w:r>
      <w:r w:rsidR="000D0A2A" w:rsidRPr="000D0A2A">
        <w:t>. Det er mulig at det ble en viss forbedring etter innføring av QOF for QOF-spesifikke sykdommer, samtidig som det ble observert en bremsing av forbedring for tilstander som ikke omfattes av QOF</w:t>
      </w:r>
      <w:r w:rsidR="00D613BC">
        <w:t xml:space="preserve"> </w:t>
      </w:r>
      <w:r w:rsidR="00A841AD">
        <w:fldChar w:fldCharType="begin"/>
      </w:r>
      <w:r w:rsidR="00A841AD">
        <w:instrText xml:space="preserve"> ADDIN EN.CITE &lt;EndNote&gt;&lt;Cite&gt;&lt;Author&gt;Doran&lt;/Author&gt;&lt;Year&gt;2011&lt;/Year&gt;&lt;RecNum&gt;919&lt;/RecNum&gt;&lt;DisplayText&gt;(Doran et al., 2011)&lt;/DisplayText&gt;&lt;record&gt;&lt;rec-number&gt;919&lt;/rec-number&gt;&lt;foreign-keys&gt;&lt;key app="EN" db-id="95tpr2tp6r9xwoea9rb5wdsz5ds5xeddteew" timestamp="1680154985"&gt;919&lt;/key&gt;&lt;/foreign-keys&gt;&lt;ref-type name="Journal Article"&gt;17&lt;/ref-type&gt;&lt;contributors&gt;&lt;authors&gt;&lt;author&gt;Doran, T.&lt;/author&gt;&lt;author&gt;Kontopantelis, E.&lt;/author&gt;&lt;author&gt;Valderas, J. M.&lt;/author&gt;&lt;author&gt;Campbell, S.&lt;/author&gt;&lt;author&gt;Roland, M.&lt;/author&gt;&lt;author&gt;Salisbury, C.&lt;/author&gt;&lt;author&gt;Reeves, D&lt;/author&gt;&lt;/authors&gt;&lt;/contributors&gt;&lt;titles&gt;&lt;title&gt;Effect of financial incentives on incentivised and non-incentivised clinical activities: longitudinal analysis of data from the UK Quality and Outcomes Framework. &lt;/title&gt;&lt;secondary-title&gt; BMJ&lt;/secondary-title&gt;&lt;/titles&gt;&lt;dates&gt;&lt;year&gt;2011&lt;/year&gt;&lt;/dates&gt;&lt;urls&gt;&lt;/urls&gt;&lt;/record&gt;&lt;/Cite&gt;&lt;/EndNote&gt;</w:instrText>
      </w:r>
      <w:r w:rsidR="00A841AD">
        <w:fldChar w:fldCharType="separate"/>
      </w:r>
      <w:r w:rsidR="00A841AD">
        <w:rPr>
          <w:noProof/>
        </w:rPr>
        <w:t>(Doran et al., 2011)</w:t>
      </w:r>
      <w:r w:rsidR="00A841AD">
        <w:fldChar w:fldCharType="end"/>
      </w:r>
      <w:r w:rsidR="00D613BC">
        <w:t>.</w:t>
      </w:r>
      <w:r w:rsidR="000D0A2A" w:rsidRPr="000D0A2A">
        <w:t xml:space="preserve"> </w:t>
      </w:r>
      <w:r w:rsidR="00BF41B3">
        <w:t>En ny studie</w:t>
      </w:r>
      <w:r w:rsidR="00F21B1D">
        <w:t xml:space="preserve"> </w:t>
      </w:r>
      <w:r w:rsidR="00D44C6B">
        <w:t xml:space="preserve">konkluderer imidlertid med at </w:t>
      </w:r>
      <w:r w:rsidR="00A20803">
        <w:t xml:space="preserve">styring av insentivene for </w:t>
      </w:r>
      <w:r w:rsidR="00D44C6B">
        <w:t xml:space="preserve">forebyggende </w:t>
      </w:r>
      <w:r w:rsidR="00A20803">
        <w:t>psyki</w:t>
      </w:r>
      <w:r w:rsidR="00497F8D">
        <w:t>s</w:t>
      </w:r>
      <w:r w:rsidR="00A20803">
        <w:t>k helsearb</w:t>
      </w:r>
      <w:r w:rsidR="00524F3B">
        <w:t>ei</w:t>
      </w:r>
      <w:r w:rsidR="00A20803">
        <w:t xml:space="preserve">d </w:t>
      </w:r>
      <w:r w:rsidR="00D44C6B">
        <w:t xml:space="preserve">i QOF </w:t>
      </w:r>
      <w:r w:rsidR="0083429D">
        <w:t>vil kunne føre til store besparelser</w:t>
      </w:r>
      <w:r w:rsidR="007E7495">
        <w:t xml:space="preserve"> </w:t>
      </w:r>
      <w:r w:rsidR="00D078E3">
        <w:fldChar w:fldCharType="begin"/>
      </w:r>
      <w:r w:rsidR="00856689">
        <w:instrText xml:space="preserve"> ADDIN EN.CITE &lt;EndNote&gt;&lt;Cite&gt;&lt;Author&gt;Ride&lt;/Author&gt;&lt;Year&gt;2022&lt;/Year&gt;&lt;RecNum&gt;920&lt;/RecNum&gt;&lt;DisplayText&gt;(Ride et al., 2022)&lt;/DisplayText&gt;&lt;record&gt;&lt;rec-number&gt;920&lt;/rec-number&gt;&lt;foreign-keys&gt;&lt;key app="EN" db-id="95tpr2tp6r9xwoea9rb5wdsz5ds5xeddteew" timestamp="1680155151"&gt;920&lt;/key&gt;&lt;/foreign-keys&gt;&lt;ref-type name="Journal Article"&gt;17&lt;/ref-type&gt;&lt;contributors&gt;&lt;authors&gt;&lt;author&gt;Ride, J.&lt;/author&gt;&lt;author&gt;Kasteridis, P.&lt;/author&gt;&lt;author&gt;Gutacker, N.&lt;/author&gt;&lt;/authors&gt;&lt;/contributors&gt;&lt;titles&gt;&lt;title&gt;Impact of prevention in primary care on costs on primary and secondary care for people with serious mental illness.&lt;/title&gt;&lt;secondary-title&gt;Health Econ&lt;/secondary-title&gt;&lt;/titles&gt;&lt;periodical&gt;&lt;full-title&gt;Health Econ&lt;/full-title&gt;&lt;/periodical&gt;&lt;dates&gt;&lt;year&gt;2022&lt;/year&gt;&lt;/dates&gt;&lt;urls&gt;&lt;/urls&gt;&lt;/record&gt;&lt;/Cite&gt;&lt;/EndNote&gt;</w:instrText>
      </w:r>
      <w:r w:rsidR="00D078E3">
        <w:fldChar w:fldCharType="separate"/>
      </w:r>
      <w:r w:rsidR="00856689">
        <w:rPr>
          <w:noProof/>
        </w:rPr>
        <w:t>(Ride et al., 2022)</w:t>
      </w:r>
      <w:r w:rsidR="00D078E3">
        <w:fldChar w:fldCharType="end"/>
      </w:r>
      <w:r w:rsidR="000B5778">
        <w:t xml:space="preserve">. </w:t>
      </w:r>
      <w:r w:rsidR="00101048">
        <w:t>En</w:t>
      </w:r>
      <w:r w:rsidR="00D5793C">
        <w:t xml:space="preserve"> oversiktsartikkel</w:t>
      </w:r>
      <w:r w:rsidR="005B1533">
        <w:t xml:space="preserve"> </w:t>
      </w:r>
      <w:r w:rsidR="00AB64A8">
        <w:t xml:space="preserve">fra 2017 </w:t>
      </w:r>
      <w:r w:rsidR="00D5793C">
        <w:t xml:space="preserve">over effekter av </w:t>
      </w:r>
      <w:r w:rsidR="00A16EB5">
        <w:t>kvalitetsbasert finansiering</w:t>
      </w:r>
      <w:r w:rsidR="00497F8D">
        <w:t>,</w:t>
      </w:r>
      <w:r w:rsidR="00A16EB5">
        <w:t xml:space="preserve"> </w:t>
      </w:r>
      <w:r w:rsidR="00D5793C">
        <w:t xml:space="preserve">viser effekt på </w:t>
      </w:r>
      <w:r w:rsidR="004064FE">
        <w:t>prosessindikatorer,</w:t>
      </w:r>
      <w:r w:rsidR="00524F3B">
        <w:t xml:space="preserve"> </w:t>
      </w:r>
      <w:r w:rsidR="00D5793C">
        <w:t xml:space="preserve">men liten eller ingen </w:t>
      </w:r>
      <w:r w:rsidR="004064FE">
        <w:t xml:space="preserve">sikker </w:t>
      </w:r>
      <w:r w:rsidR="00D5793C">
        <w:t>effekt på helsegevinster hos pasienter</w:t>
      </w:r>
      <w:r w:rsidR="00E54694">
        <w:t xml:space="preserve"> </w:t>
      </w:r>
      <w:r w:rsidR="00E54694">
        <w:fldChar w:fldCharType="begin">
          <w:fldData xml:space="preserve">PEVuZE5vdGU+PENpdGU+PEF1dGhvcj5NZW5kZWxzb248L0F1dGhvcj48WWVhcj4yMDE3PC9ZZWFy
PjxSZWNOdW0+MTg5PC9SZWNOdW0+PERpc3BsYXlUZXh0PihNZW5kZWxzb24gZXQgYWwuLCAyMDE3
KTwvRGlzcGxheVRleHQ+PHJlY29yZD48cmVjLW51bWJlcj4xODk8L3JlYy1udW1iZXI+PGZvcmVp
Z24ta2V5cz48a2V5IGFwcD0iRU4iIGRiLWlkPSI5NXRwcjJ0cDZyOXh3b2VhOXJiNXdkc3o1ZHM1
eGVkZHRlZXciIHRpbWVzdGFtcD0iMTY4MDA2OTUxMSI+MTg5PC9rZXk+PC9mb3JlaWduLWtleXM+
PHJlZi10eXBlIG5hbWU9IkpvdXJuYWwgQXJ0aWNsZSI+MTc8L3JlZi10eXBlPjxjb250cmlidXRv
cnM+PGF1dGhvcnM+PGF1dGhvcj5NZW5kZWxzb24sIEEuPC9hdXRob3I+PGF1dGhvcj5Lb25kbywg
Sy48L2F1dGhvcj48YXV0aG9yPkRhbWJlcmcsIEMuPC9hdXRob3I+PGF1dGhvcj5Mb3csIEEuPC9h
dXRob3I+PGF1dGhvcj5Nb3R1YXB1YWthLCBNLjwvYXV0aG9yPjxhdXRob3I+S2Fuc2FnYXJhLCBE
LjwvYXV0aG9yPjwvYXV0aG9ycz48L2NvbnRyaWJ1dG9ycz48YXV0aC1hZGRyZXNzPk1lbmRlbHNv
biwgQWFyb24uIEZyb20gVkEgUG9ydGxhbmQgSGVhbHRoIENhcmUgU3lzdGVtLCBhbmQgT3JlZ29u
IEhlYWx0aCAmYW1wOyBTY2llbmNlIFVuaXZlcnNpdHksIFBvcnRsYW5kLCBPcmVnb24sIGFuZCBS
QU5EIENvcnBvcmF0aW9uLCBTYW50YSBNb25pY2EsIENhbGlmb3JuaWEuJiN4RDtLb25kbywgS2Fy
bGkuIEZyb20gVkEgUG9ydGxhbmQgSGVhbHRoIENhcmUgU3lzdGVtLCBhbmQgT3JlZ29uIEhlYWx0
aCAmYW1wOyBTY2llbmNlIFVuaXZlcnNpdHksIFBvcnRsYW5kLCBPcmVnb24sIGFuZCBSQU5EIENv
cnBvcmF0aW9uLCBTYW50YSBNb25pY2EsIENhbGlmb3JuaWEuJiN4RDtEYW1iZXJnLCBDaGVyeWwu
IEZyb20gVkEgUG9ydGxhbmQgSGVhbHRoIENhcmUgU3lzdGVtLCBhbmQgT3JlZ29uIEhlYWx0aCAm
YW1wOyBTY2llbmNlIFVuaXZlcnNpdHksIFBvcnRsYW5kLCBPcmVnb24sIGFuZCBSQU5EIENvcnBv
cmF0aW9uLCBTYW50YSBNb25pY2EsIENhbGlmb3JuaWEuJiN4RDtMb3csIEFsbGlzb24uIEZyb20g
VkEgUG9ydGxhbmQgSGVhbHRoIENhcmUgU3lzdGVtLCBhbmQgT3JlZ29uIEhlYWx0aCAmYW1wOyBT
Y2llbmNlIFVuaXZlcnNpdHksIFBvcnRsYW5kLCBPcmVnb24sIGFuZCBSQU5EIENvcnBvcmF0aW9u
LCBTYW50YSBNb25pY2EsIENhbGlmb3JuaWEuJiN4RDtNb3R1YXB1YWthLCBNYWthbGFwdWEuIEZy
b20gVkEgUG9ydGxhbmQgSGVhbHRoIENhcmUgU3lzdGVtLCBhbmQgT3JlZ29uIEhlYWx0aCAmYW1w
OyBTY2llbmNlIFVuaXZlcnNpdHksIFBvcnRsYW5kLCBPcmVnb24sIGFuZCBSQU5EIENvcnBvcmF0
aW9uLCBTYW50YSBNb25pY2EsIENhbGlmb3JuaWEuJiN4RDtGcmVlbWFuLCBNaWNoZWxlLiBGcm9t
IFZBIFBvcnRsYW5kIEhlYWx0aCBDYXJlIFN5c3RlbSwgYW5kIE9yZWdvbiBIZWFsdGggJmFtcDsg
U2NpZW5jZSBVbml2ZXJzaXR5LCBQb3J0bGFuZCwgT3JlZ29uLCBhbmQgUkFORCBDb3Jwb3JhdGlv
biwgU2FudGEgTW9uaWNhLCBDYWxpZm9ybmlhLiYjeEQ7TyZhcG9zO05laWwsIE1heWEuIEZyb20g
VkEgUG9ydGxhbmQgSGVhbHRoIENhcmUgU3lzdGVtLCBhbmQgT3JlZ29uIEhlYWx0aCAmYW1wOyBT
Y2llbmNlIFVuaXZlcnNpdHksIFBvcnRsYW5kLCBPcmVnb24sIGFuZCBSQU5EIENvcnBvcmF0aW9u
LCBTYW50YSBNb25pY2EsIENhbGlmb3JuaWEuJiN4RDtSZWxldm8sIFJvc2UuIEZyb20gVkEgUG9y
dGxhbmQgSGVhbHRoIENhcmUgU3lzdGVtLCBhbmQgT3JlZ29uIEhlYWx0aCAmYW1wOyBTY2llbmNl
IFVuaXZlcnNpdHksIFBvcnRsYW5kLCBPcmVnb24sIGFuZCBSQU5EIENvcnBvcmF0aW9uLCBTYW50
YSBNb25pY2EsIENhbGlmb3JuaWEuJiN4RDtLYW5zYWdhcmEsIERldmFuLiBGcm9tIFZBIFBvcnRs
YW5kIEhlYWx0aCBDYXJlIFN5c3RlbSwgYW5kIE9yZWdvbiBIZWFsdGggJmFtcDsgU2NpZW5jZSBV
bml2ZXJzaXR5LCBQb3J0bGFuZCwgT3JlZ29uLCBhbmQgUkFORCBDb3Jwb3JhdGlvbiwgU2FudGEg
TW9uaWNhLCBDYWxpZm9ybmlhLjwvYXV0aC1hZGRyZXNzPjx0aXRsZXM+PHRpdGxlPlRoZSBFZmZl
Y3RzIG9mIFBheS1mb3ItUGVyZm9ybWFuY2UgUHJvZ3JhbXMgb24gSGVhbHRoLCBIZWFsdGggQ2Fy
ZSBVc2UsIGFuZCBQcm9jZXNzZXMgb2YgQ2FyZTogQSBTeXN0ZW1hdGljIFJldmlldzwvdGl0bGU+
PHNlY29uZGFyeS10aXRsZT5Bbm5hbHMgb2YgSW50ZXJuYWwgTWVkaWNpbmU8L3NlY29uZGFyeS10
aXRsZT48YWx0LXRpdGxlPkFubiBJbnRlcm4gTWVkPC9hbHQtdGl0bGU+PC90aXRsZXM+PGFsdC1w
ZXJpb2RpY2FsPjxmdWxsLXRpdGxlPkFubmFscyBvZiBJbnRlcm5hbCBNZWRpY2luZTwvZnVsbC10
aXRsZT48YWJici0xPkFubiBJbnRlcm4gTWVkPC9hYmJyLTE+PC9hbHQtcGVyaW9kaWNhbD48cGFn
ZXM+MzQxLTM1MzwvcGFnZXM+PHZvbHVtZT4xNjY8L3ZvbHVtZT48bnVtYmVyPjU8L251bWJlcj48
a2V5d29yZHM+PGtleXdvcmQ+KkFtYnVsYXRvcnkgQ2FyZS9zdCBbU3RhbmRhcmRzXTwva2V5d29y
ZD48a2V5d29yZD5BbWJ1bGF0b3J5IENhcmUvc24gW1N0YXRpc3RpY3MgJmFtcDsgTnVtZXJpY2Fs
IERhdGFdPC9rZXl3b3JkPjxrZXl3b3JkPipIb3NwaXRhbHMvc3QgW1N0YW5kYXJkc108L2tleXdv
cmQ+PGtleXdvcmQ+SG9zcGl0YWxzL3NuIFtTdGF0aXN0aWNzICZhbXA7IE51bWVyaWNhbCBEYXRh
XTwva2V5d29yZD48a2V5d29yZD5IdW1hbnM8L2tleXdvcmQ+PGtleXdvcmQ+Kk91dGNvbWUgYW5k
IFByb2Nlc3MgQXNzZXNzbWVudCwgSGVhbHRoIENhcmU8L2tleXdvcmQ+PGtleXdvcmQ+KlF1YWxp
dHkgb2YgSGVhbHRoIENhcmUvZWMgW0Vjb25vbWljc108L2tleXdvcmQ+PGtleXdvcmQ+KlJlaW1i
dXJzZW1lbnQsIEluY2VudGl2ZTwva2V5d29yZD48L2tleXdvcmRzPjxkYXRlcz48eWVhcj4yMDE3
PC95ZWFyPjxwdWItZGF0ZXM+PGRhdGU+TWFyIDA3PC9kYXRlPjwvcHViLWRhdGVzPjwvZGF0ZXM+
PGlzYm4+MTUzOS0zNzA0PC9pc2JuPjxhY2Nlc3Npb24tbnVtPjI4MTE0NjAwPC9hY2Nlc3Npb24t
bnVtPjx3b3JrLXR5cGU+UmV2aWV3JiN4RDtTeXN0ZW1hdGljIFJldmlldzwvd29yay10eXBlPjx1
cmxzPjxyZWxhdGVkLXVybHM+PHVybD5odHRwczovL292aWRzcC5vdmlkLmNvbS9vdmlkd2ViLmNn
aT9UPUpTJmFtcDtDU0M9WSZhbXA7TkVXUz1OJmFtcDtQQUdFPWZ1bGx0ZXh0JmFtcDtEPW1lZDE0
JmFtcDtBTj0yODExNDYwMDwvdXJsPjx1cmw+aHR0cDovL29wZW51cmwuYmlic3lzLm5vL29wZW51
cmw/b3Rvb2w9aW5vaXBobGliP3NpZD1PVklEOm1lZGxpbmUmYW1wO2lkPXBtaWQ6MjgxMTQ2MDAm
YW1wO2lkPWRvaToxMC43MzI2JTJGTTE2LTE4ODEmYW1wO2lzc249MDAwMy00ODE5JmFtcDtpc2Ju
PSZhbXA7dm9sdW1lPTE2NiZhbXA7aXNzdWU9NSZhbXA7c3BhZ2U9MzQxJmFtcDtwYWdlcz0zNDEt
MzUzJmFtcDtkYXRlPTIwMTcmYW1wO3RpdGxlPUFubmFscytvZitJbnRlcm5hbCtNZWRpY2luZSZh
bXA7YXRpdGxlPVRoZStFZmZlY3RzK29mK1BheS1mb3ItUGVyZm9ybWFuY2UrUHJvZ3JhbXMrb24r
SGVhbHRoJTJDK0hlYWx0aCtDYXJlK1VzZSUyQythbmQrUHJvY2Vzc2VzK29mK0NhcmUlM0ErQStT
eXN0ZW1hdGljK1Jldmlldy4mYW1wO2F1bGFzdD1NZW5kZWxzb24mYW1wO3BpZD0lM0NhdXRob3Il
M0VNZW5kZWxzb24rQSUzQyUyRmF1dGhvciUzRSUzQ0FOJTNFMjgxMTQ2MDAlM0MlMkZBTiUzRSUz
Q0RUJTNFSm91cm5hbCtBcnRpY2xlJTNDJTJGRFQlM0U8L3VybD48L3JlbGF0ZWQtdXJscz48L3Vy
bHM+PHJlbW90ZS1kYXRhYmFzZS1uYW1lPk1FRExJTkU8L3JlbW90ZS1kYXRhYmFzZS1uYW1lPjxy
ZW1vdGUtZGF0YWJhc2UtcHJvdmlkZXI+T3ZpZCBUZWNobm9sb2dpZXM8L3JlbW90ZS1kYXRhYmFz
ZS1wcm92aWRlcj48bGFuZ3VhZ2U+RW5nbGlzaDwvbGFuZ3VhZ2U+PC9yZWNvcmQ+PC9DaXRlPjwv
RW5kTm90ZT5=
</w:fldData>
        </w:fldChar>
      </w:r>
      <w:r w:rsidR="004654FD">
        <w:instrText xml:space="preserve"> ADDIN EN.CITE </w:instrText>
      </w:r>
      <w:r w:rsidR="004654FD">
        <w:fldChar w:fldCharType="begin">
          <w:fldData xml:space="preserve">PEVuZE5vdGU+PENpdGU+PEF1dGhvcj5NZW5kZWxzb248L0F1dGhvcj48WWVhcj4yMDE3PC9ZZWFy
PjxSZWNOdW0+MTg5PC9SZWNOdW0+PERpc3BsYXlUZXh0PihNZW5kZWxzb24gZXQgYWwuLCAyMDE3
KTwvRGlzcGxheVRleHQ+PHJlY29yZD48cmVjLW51bWJlcj4xODk8L3JlYy1udW1iZXI+PGZvcmVp
Z24ta2V5cz48a2V5IGFwcD0iRU4iIGRiLWlkPSI5NXRwcjJ0cDZyOXh3b2VhOXJiNXdkc3o1ZHM1
eGVkZHRlZXciIHRpbWVzdGFtcD0iMTY4MDA2OTUxMSI+MTg5PC9rZXk+PC9mb3JlaWduLWtleXM+
PHJlZi10eXBlIG5hbWU9IkpvdXJuYWwgQXJ0aWNsZSI+MTc8L3JlZi10eXBlPjxjb250cmlidXRv
cnM+PGF1dGhvcnM+PGF1dGhvcj5NZW5kZWxzb24sIEEuPC9hdXRob3I+PGF1dGhvcj5Lb25kbywg
Sy48L2F1dGhvcj48YXV0aG9yPkRhbWJlcmcsIEMuPC9hdXRob3I+PGF1dGhvcj5Mb3csIEEuPC9h
dXRob3I+PGF1dGhvcj5Nb3R1YXB1YWthLCBNLjwvYXV0aG9yPjxhdXRob3I+S2Fuc2FnYXJhLCBE
LjwvYXV0aG9yPjwvYXV0aG9ycz48L2NvbnRyaWJ1dG9ycz48YXV0aC1hZGRyZXNzPk1lbmRlbHNv
biwgQWFyb24uIEZyb20gVkEgUG9ydGxhbmQgSGVhbHRoIENhcmUgU3lzdGVtLCBhbmQgT3JlZ29u
IEhlYWx0aCAmYW1wOyBTY2llbmNlIFVuaXZlcnNpdHksIFBvcnRsYW5kLCBPcmVnb24sIGFuZCBS
QU5EIENvcnBvcmF0aW9uLCBTYW50YSBNb25pY2EsIENhbGlmb3JuaWEuJiN4RDtLb25kbywgS2Fy
bGkuIEZyb20gVkEgUG9ydGxhbmQgSGVhbHRoIENhcmUgU3lzdGVtLCBhbmQgT3JlZ29uIEhlYWx0
aCAmYW1wOyBTY2llbmNlIFVuaXZlcnNpdHksIFBvcnRsYW5kLCBPcmVnb24sIGFuZCBSQU5EIENv
cnBvcmF0aW9uLCBTYW50YSBNb25pY2EsIENhbGlmb3JuaWEuJiN4RDtEYW1iZXJnLCBDaGVyeWwu
IEZyb20gVkEgUG9ydGxhbmQgSGVhbHRoIENhcmUgU3lzdGVtLCBhbmQgT3JlZ29uIEhlYWx0aCAm
YW1wOyBTY2llbmNlIFVuaXZlcnNpdHksIFBvcnRsYW5kLCBPcmVnb24sIGFuZCBSQU5EIENvcnBv
cmF0aW9uLCBTYW50YSBNb25pY2EsIENhbGlmb3JuaWEuJiN4RDtMb3csIEFsbGlzb24uIEZyb20g
VkEgUG9ydGxhbmQgSGVhbHRoIENhcmUgU3lzdGVtLCBhbmQgT3JlZ29uIEhlYWx0aCAmYW1wOyBT
Y2llbmNlIFVuaXZlcnNpdHksIFBvcnRsYW5kLCBPcmVnb24sIGFuZCBSQU5EIENvcnBvcmF0aW9u
LCBTYW50YSBNb25pY2EsIENhbGlmb3JuaWEuJiN4RDtNb3R1YXB1YWthLCBNYWthbGFwdWEuIEZy
b20gVkEgUG9ydGxhbmQgSGVhbHRoIENhcmUgU3lzdGVtLCBhbmQgT3JlZ29uIEhlYWx0aCAmYW1w
OyBTY2llbmNlIFVuaXZlcnNpdHksIFBvcnRsYW5kLCBPcmVnb24sIGFuZCBSQU5EIENvcnBvcmF0
aW9uLCBTYW50YSBNb25pY2EsIENhbGlmb3JuaWEuJiN4RDtGcmVlbWFuLCBNaWNoZWxlLiBGcm9t
IFZBIFBvcnRsYW5kIEhlYWx0aCBDYXJlIFN5c3RlbSwgYW5kIE9yZWdvbiBIZWFsdGggJmFtcDsg
U2NpZW5jZSBVbml2ZXJzaXR5LCBQb3J0bGFuZCwgT3JlZ29uLCBhbmQgUkFORCBDb3Jwb3JhdGlv
biwgU2FudGEgTW9uaWNhLCBDYWxpZm9ybmlhLiYjeEQ7TyZhcG9zO05laWwsIE1heWEuIEZyb20g
VkEgUG9ydGxhbmQgSGVhbHRoIENhcmUgU3lzdGVtLCBhbmQgT3JlZ29uIEhlYWx0aCAmYW1wOyBT
Y2llbmNlIFVuaXZlcnNpdHksIFBvcnRsYW5kLCBPcmVnb24sIGFuZCBSQU5EIENvcnBvcmF0aW9u
LCBTYW50YSBNb25pY2EsIENhbGlmb3JuaWEuJiN4RDtSZWxldm8sIFJvc2UuIEZyb20gVkEgUG9y
dGxhbmQgSGVhbHRoIENhcmUgU3lzdGVtLCBhbmQgT3JlZ29uIEhlYWx0aCAmYW1wOyBTY2llbmNl
IFVuaXZlcnNpdHksIFBvcnRsYW5kLCBPcmVnb24sIGFuZCBSQU5EIENvcnBvcmF0aW9uLCBTYW50
YSBNb25pY2EsIENhbGlmb3JuaWEuJiN4RDtLYW5zYWdhcmEsIERldmFuLiBGcm9tIFZBIFBvcnRs
YW5kIEhlYWx0aCBDYXJlIFN5c3RlbSwgYW5kIE9yZWdvbiBIZWFsdGggJmFtcDsgU2NpZW5jZSBV
bml2ZXJzaXR5LCBQb3J0bGFuZCwgT3JlZ29uLCBhbmQgUkFORCBDb3Jwb3JhdGlvbiwgU2FudGEg
TW9uaWNhLCBDYWxpZm9ybmlhLjwvYXV0aC1hZGRyZXNzPjx0aXRsZXM+PHRpdGxlPlRoZSBFZmZl
Y3RzIG9mIFBheS1mb3ItUGVyZm9ybWFuY2UgUHJvZ3JhbXMgb24gSGVhbHRoLCBIZWFsdGggQ2Fy
ZSBVc2UsIGFuZCBQcm9jZXNzZXMgb2YgQ2FyZTogQSBTeXN0ZW1hdGljIFJldmlldzwvdGl0bGU+
PHNlY29uZGFyeS10aXRsZT5Bbm5hbHMgb2YgSW50ZXJuYWwgTWVkaWNpbmU8L3NlY29uZGFyeS10
aXRsZT48YWx0LXRpdGxlPkFubiBJbnRlcm4gTWVkPC9hbHQtdGl0bGU+PC90aXRsZXM+PGFsdC1w
ZXJpb2RpY2FsPjxmdWxsLXRpdGxlPkFubmFscyBvZiBJbnRlcm5hbCBNZWRpY2luZTwvZnVsbC10
aXRsZT48YWJici0xPkFubiBJbnRlcm4gTWVkPC9hYmJyLTE+PC9hbHQtcGVyaW9kaWNhbD48cGFn
ZXM+MzQxLTM1MzwvcGFnZXM+PHZvbHVtZT4xNjY8L3ZvbHVtZT48bnVtYmVyPjU8L251bWJlcj48
a2V5d29yZHM+PGtleXdvcmQ+KkFtYnVsYXRvcnkgQ2FyZS9zdCBbU3RhbmRhcmRzXTwva2V5d29y
ZD48a2V5d29yZD5BbWJ1bGF0b3J5IENhcmUvc24gW1N0YXRpc3RpY3MgJmFtcDsgTnVtZXJpY2Fs
IERhdGFdPC9rZXl3b3JkPjxrZXl3b3JkPipIb3NwaXRhbHMvc3QgW1N0YW5kYXJkc108L2tleXdv
cmQ+PGtleXdvcmQ+SG9zcGl0YWxzL3NuIFtTdGF0aXN0aWNzICZhbXA7IE51bWVyaWNhbCBEYXRh
XTwva2V5d29yZD48a2V5d29yZD5IdW1hbnM8L2tleXdvcmQ+PGtleXdvcmQ+Kk91dGNvbWUgYW5k
IFByb2Nlc3MgQXNzZXNzbWVudCwgSGVhbHRoIENhcmU8L2tleXdvcmQ+PGtleXdvcmQ+KlF1YWxp
dHkgb2YgSGVhbHRoIENhcmUvZWMgW0Vjb25vbWljc108L2tleXdvcmQ+PGtleXdvcmQ+KlJlaW1i
dXJzZW1lbnQsIEluY2VudGl2ZTwva2V5d29yZD48L2tleXdvcmRzPjxkYXRlcz48eWVhcj4yMDE3
PC95ZWFyPjxwdWItZGF0ZXM+PGRhdGU+TWFyIDA3PC9kYXRlPjwvcHViLWRhdGVzPjwvZGF0ZXM+
PGlzYm4+MTUzOS0zNzA0PC9pc2JuPjxhY2Nlc3Npb24tbnVtPjI4MTE0NjAwPC9hY2Nlc3Npb24t
bnVtPjx3b3JrLXR5cGU+UmV2aWV3JiN4RDtTeXN0ZW1hdGljIFJldmlldzwvd29yay10eXBlPjx1
cmxzPjxyZWxhdGVkLXVybHM+PHVybD5odHRwczovL292aWRzcC5vdmlkLmNvbS9vdmlkd2ViLmNn
aT9UPUpTJmFtcDtDU0M9WSZhbXA7TkVXUz1OJmFtcDtQQUdFPWZ1bGx0ZXh0JmFtcDtEPW1lZDE0
JmFtcDtBTj0yODExNDYwMDwvdXJsPjx1cmw+aHR0cDovL29wZW51cmwuYmlic3lzLm5vL29wZW51
cmw/b3Rvb2w9aW5vaXBobGliP3NpZD1PVklEOm1lZGxpbmUmYW1wO2lkPXBtaWQ6MjgxMTQ2MDAm
YW1wO2lkPWRvaToxMC43MzI2JTJGTTE2LTE4ODEmYW1wO2lzc249MDAwMy00ODE5JmFtcDtpc2Ju
PSZhbXA7dm9sdW1lPTE2NiZhbXA7aXNzdWU9NSZhbXA7c3BhZ2U9MzQxJmFtcDtwYWdlcz0zNDEt
MzUzJmFtcDtkYXRlPTIwMTcmYW1wO3RpdGxlPUFubmFscytvZitJbnRlcm5hbCtNZWRpY2luZSZh
bXA7YXRpdGxlPVRoZStFZmZlY3RzK29mK1BheS1mb3ItUGVyZm9ybWFuY2UrUHJvZ3JhbXMrb24r
SGVhbHRoJTJDK0hlYWx0aCtDYXJlK1VzZSUyQythbmQrUHJvY2Vzc2VzK29mK0NhcmUlM0ErQStT
eXN0ZW1hdGljK1Jldmlldy4mYW1wO2F1bGFzdD1NZW5kZWxzb24mYW1wO3BpZD0lM0NhdXRob3Il
M0VNZW5kZWxzb24rQSUzQyUyRmF1dGhvciUzRSUzQ0FOJTNFMjgxMTQ2MDAlM0MlMkZBTiUzRSUz
Q0RUJTNFSm91cm5hbCtBcnRpY2xlJTNDJTJGRFQlM0U8L3VybD48L3JlbGF0ZWQtdXJscz48L3Vy
bHM+PHJlbW90ZS1kYXRhYmFzZS1uYW1lPk1FRExJTkU8L3JlbW90ZS1kYXRhYmFzZS1uYW1lPjxy
ZW1vdGUtZGF0YWJhc2UtcHJvdmlkZXI+T3ZpZCBUZWNobm9sb2dpZXM8L3JlbW90ZS1kYXRhYmFz
ZS1wcm92aWRlcj48bGFuZ3VhZ2U+RW5nbGlzaDwvbGFuZ3VhZ2U+PC9yZWNvcmQ+PC9DaXRlPjwv
RW5kTm90ZT5=
</w:fldData>
        </w:fldChar>
      </w:r>
      <w:r w:rsidR="004654FD">
        <w:instrText xml:space="preserve"> ADDIN EN.CITE.DATA </w:instrText>
      </w:r>
      <w:r w:rsidR="004654FD">
        <w:fldChar w:fldCharType="end"/>
      </w:r>
      <w:r w:rsidR="00E54694">
        <w:fldChar w:fldCharType="separate"/>
      </w:r>
      <w:r w:rsidR="00E54694">
        <w:rPr>
          <w:noProof/>
        </w:rPr>
        <w:t>(Mendelson et al., 2017)</w:t>
      </w:r>
      <w:r w:rsidR="00E54694">
        <w:fldChar w:fldCharType="end"/>
      </w:r>
      <w:r w:rsidR="002E48CF">
        <w:t>.</w:t>
      </w:r>
    </w:p>
    <w:p w14:paraId="64902E02" w14:textId="3AFF370C" w:rsidR="000465CD" w:rsidRDefault="000814D8" w:rsidP="00775632">
      <w:pPr>
        <w:pStyle w:val="Overskrift4"/>
      </w:pPr>
      <w:bookmarkStart w:id="2762" w:name="_Toc130983515"/>
      <w:bookmarkStart w:id="2763" w:name="_Toc130983864"/>
      <w:bookmarkStart w:id="2764" w:name="_Toc131063722"/>
      <w:bookmarkStart w:id="2765" w:name="_Toc131238442"/>
      <w:bookmarkStart w:id="2766" w:name="_Toc131279473"/>
      <w:bookmarkStart w:id="2767" w:name="_Toc131286885"/>
      <w:bookmarkStart w:id="2768" w:name="_Toc131281295"/>
      <w:bookmarkStart w:id="2769" w:name="_Toc131317835"/>
      <w:r>
        <w:t xml:space="preserve">Flytte </w:t>
      </w:r>
      <w:r w:rsidR="009D6DE9">
        <w:t>t</w:t>
      </w:r>
      <w:r w:rsidR="000465CD">
        <w:t xml:space="preserve">illeggstakster for spesialistene </w:t>
      </w:r>
      <w:r w:rsidR="009D6DE9">
        <w:t xml:space="preserve">inn i </w:t>
      </w:r>
      <w:r w:rsidR="005F4665">
        <w:t>basistil</w:t>
      </w:r>
      <w:r w:rsidR="009D6DE9">
        <w:t>skuddet</w:t>
      </w:r>
      <w:r w:rsidR="7D0E9AF5">
        <w:t>?</w:t>
      </w:r>
      <w:bookmarkEnd w:id="2762"/>
      <w:bookmarkEnd w:id="2763"/>
      <w:bookmarkEnd w:id="2764"/>
      <w:bookmarkEnd w:id="2765"/>
      <w:bookmarkEnd w:id="2766"/>
      <w:bookmarkEnd w:id="2767"/>
      <w:bookmarkEnd w:id="2768"/>
      <w:bookmarkEnd w:id="2769"/>
    </w:p>
    <w:p w14:paraId="50AC3A53" w14:textId="77777777" w:rsidR="00D9107F" w:rsidRDefault="00587998" w:rsidP="00B6412A">
      <w:pPr>
        <w:jc w:val="both"/>
      </w:pPr>
      <w:r>
        <w:t xml:space="preserve">Spesialister i allmennmedisin </w:t>
      </w:r>
      <w:r w:rsidR="004C1E95">
        <w:t xml:space="preserve">som følger etterutdanningskravene, </w:t>
      </w:r>
      <w:r>
        <w:t>får i dag t</w:t>
      </w:r>
      <w:r w:rsidR="0006643E">
        <w:t>illeggstakst</w:t>
      </w:r>
      <w:r>
        <w:t xml:space="preserve"> som </w:t>
      </w:r>
      <w:r w:rsidR="0006643E" w:rsidRPr="00DF558B">
        <w:t xml:space="preserve">finansieres dels av folketrygden </w:t>
      </w:r>
      <w:r w:rsidR="00FD6BBD">
        <w:t xml:space="preserve">og </w:t>
      </w:r>
      <w:r w:rsidR="0006643E" w:rsidRPr="00DF558B">
        <w:t>dels av pasientene gjennom høyere egenandeler. Spesialisttillegge</w:t>
      </w:r>
      <w:r w:rsidR="00533C45">
        <w:t>ne</w:t>
      </w:r>
      <w:r w:rsidR="0006643E" w:rsidRPr="00DF558B">
        <w:t xml:space="preserve"> </w:t>
      </w:r>
      <w:r w:rsidR="00911C4F">
        <w:t xml:space="preserve">har </w:t>
      </w:r>
      <w:r w:rsidR="0006643E">
        <w:t>utgj</w:t>
      </w:r>
      <w:r w:rsidR="00911C4F">
        <w:t>ort</w:t>
      </w:r>
      <w:r w:rsidR="0006643E">
        <w:t xml:space="preserve"> en</w:t>
      </w:r>
      <w:r w:rsidR="0006643E" w:rsidRPr="00DF558B">
        <w:t xml:space="preserve"> kompensasjon for legens tids- og ressursbruk til </w:t>
      </w:r>
      <w:r w:rsidR="00943018">
        <w:t>gjennomføring av spesialistutdanning</w:t>
      </w:r>
      <w:r w:rsidR="0006643E">
        <w:t xml:space="preserve"> og etterutdanning</w:t>
      </w:r>
      <w:r w:rsidR="00FA1CF4">
        <w:t>.</w:t>
      </w:r>
      <w:r w:rsidR="00911C4F">
        <w:t xml:space="preserve"> </w:t>
      </w:r>
      <w:r w:rsidR="00DB5B61">
        <w:t>M</w:t>
      </w:r>
      <w:r w:rsidR="0006643E">
        <w:t xml:space="preserve">ed innføring av ALIS-tilskudd til alle </w:t>
      </w:r>
      <w:r w:rsidR="0006643E">
        <w:lastRenderedPageBreak/>
        <w:t xml:space="preserve">fastleger </w:t>
      </w:r>
      <w:r w:rsidR="00DB5B61">
        <w:t>under ny spesialistutdanning</w:t>
      </w:r>
      <w:r w:rsidR="00FD6BBD">
        <w:t xml:space="preserve"> i allmennmedisin</w:t>
      </w:r>
      <w:r w:rsidR="004D337F">
        <w:t>,</w:t>
      </w:r>
      <w:r w:rsidR="0006643E" w:rsidRPr="00DF558B">
        <w:t xml:space="preserve"> blir </w:t>
      </w:r>
      <w:r w:rsidR="00302CE3">
        <w:t>utdanningskostnader</w:t>
      </w:r>
      <w:r w:rsidR="0006643E" w:rsidRPr="00DF558B">
        <w:t xml:space="preserve"> i større grad kompensert underveis i spesialiseringen</w:t>
      </w:r>
      <w:r w:rsidR="0006643E">
        <w:t>.</w:t>
      </w:r>
    </w:p>
    <w:p w14:paraId="77F9344E" w14:textId="77777777" w:rsidR="00D9107F" w:rsidRDefault="00075566" w:rsidP="007D5E86">
      <w:pPr>
        <w:jc w:val="both"/>
      </w:pPr>
      <w:r w:rsidRPr="00075566">
        <w:t>For fastlønnede fastleger går ALIS-tilskuddet til kommunen</w:t>
      </w:r>
      <w:r>
        <w:t>e</w:t>
      </w:r>
      <w:r w:rsidRPr="003E550C">
        <w:t xml:space="preserve">, og </w:t>
      </w:r>
      <w:r w:rsidR="005A18FC" w:rsidRPr="00985D6D">
        <w:t>skal bidra til å dekke kommunenes merkostnader ved inngåelse av ALIS-avtale. Ordningen dekker også kommunenes utgifter til forskriftsfestet veiledning til leger som er under spesialisering i allmennmedisin, og som ikke velger å inngå en ALIS-avtale</w:t>
      </w:r>
      <w:r w:rsidRPr="00985D6D">
        <w:t>.</w:t>
      </w:r>
    </w:p>
    <w:p w14:paraId="48800139" w14:textId="7A465A0A" w:rsidR="00D77902" w:rsidRDefault="00D77902" w:rsidP="007D5E86">
      <w:pPr>
        <w:jc w:val="both"/>
      </w:pPr>
      <w:r w:rsidRPr="003635FB">
        <w:t xml:space="preserve">Tilleggstaksten er ment som en kompensasjon for </w:t>
      </w:r>
      <w:r w:rsidR="001822E4" w:rsidRPr="003635FB">
        <w:t xml:space="preserve">at </w:t>
      </w:r>
      <w:r w:rsidR="00F71D92" w:rsidRPr="003635FB">
        <w:t xml:space="preserve">spesialister i allmennmedisin skal holde seg </w:t>
      </w:r>
      <w:r w:rsidR="393351B9" w:rsidRPr="003635FB">
        <w:t>fagl</w:t>
      </w:r>
      <w:r w:rsidR="616DD1D3" w:rsidRPr="003635FB">
        <w:t>ig</w:t>
      </w:r>
      <w:r w:rsidR="00F71D92" w:rsidRPr="003635FB">
        <w:t xml:space="preserve"> oppdatert</w:t>
      </w:r>
      <w:r w:rsidR="004D3D6B" w:rsidRPr="003635FB">
        <w:t xml:space="preserve"> </w:t>
      </w:r>
      <w:r w:rsidR="00576E44" w:rsidRPr="003635FB">
        <w:rPr>
          <w:rFonts w:eastAsiaTheme="minorEastAsia"/>
        </w:rPr>
        <w:fldChar w:fldCharType="begin"/>
      </w:r>
      <w:r w:rsidR="00694E6D">
        <w:rPr>
          <w:rFonts w:eastAsiaTheme="minorEastAsia"/>
        </w:rPr>
        <w:instrText xml:space="preserve"> ADDIN EN.CITE &lt;EndNote&gt;&lt;Cite ExcludeAuth="1"&gt;&lt;Author&gt;Helse- og omsorgsdepartementet&lt;/Author&gt;&lt;Year&gt;2021&lt;/Year&gt;&lt;RecNum&gt;352&lt;/RecNum&gt;&lt;DisplayText&gt;(2021a)&lt;/DisplayText&gt;&lt;record&gt;&lt;rec-number&gt;352&lt;/rec-number&gt;&lt;foreign-keys&gt;&lt;key app="EN" db-id="95tpr2tp6r9xwoea9rb5wdsz5ds5xeddteew" timestamp="1680069511"&gt;352&lt;/key&gt;&lt;/foreign-keys&gt;&lt;ref-type name="Report"&gt;27&lt;/ref-type&gt;&lt;contributors&gt;&lt;authors&gt;&lt;author&gt;Helse- og omsorgsdepartementet,&lt;/author&gt;&lt;/authors&gt;&lt;/contributors&gt;&lt;titles&gt;&lt;title&gt;Høring - etterutdanning for spesialister i allmennmedisin (endringer i helsepersonelloven)&lt;/title&gt;&lt;/titles&gt;&lt;dates&gt;&lt;year&gt;2021&lt;/year&gt;&lt;/dates&gt;&lt;pub-location&gt;Oslo&lt;/pub-location&gt;&lt;publisher&gt;Helse- og omsorgsdepartementet&lt;/publisher&gt;&lt;work-type&gt;høring&lt;/work-type&gt;&lt;urls&gt;&lt;/urls&gt;&lt;/record&gt;&lt;/Cite&gt;&lt;/EndNote&gt;</w:instrText>
      </w:r>
      <w:r w:rsidR="00576E44" w:rsidRPr="003635FB">
        <w:rPr>
          <w:rFonts w:eastAsiaTheme="minorEastAsia"/>
        </w:rPr>
        <w:fldChar w:fldCharType="separate"/>
      </w:r>
      <w:r w:rsidR="00A841AD" w:rsidRPr="00A841AD">
        <w:rPr>
          <w:noProof/>
        </w:rPr>
        <w:t>(2021a)</w:t>
      </w:r>
      <w:r w:rsidR="00576E44" w:rsidRPr="003635FB">
        <w:rPr>
          <w:rFonts w:eastAsiaTheme="minorEastAsia"/>
        </w:rPr>
        <w:fldChar w:fldCharType="end"/>
      </w:r>
      <w:r w:rsidRPr="498DE090">
        <w:rPr>
          <w:rFonts w:eastAsiaTheme="minorEastAsia"/>
        </w:rPr>
        <w:t xml:space="preserve"> </w:t>
      </w:r>
      <w:r>
        <w:t xml:space="preserve">og et insentiv for legene til å spesialisere seg </w:t>
      </w:r>
      <w:r w:rsidR="00576E44">
        <w:fldChar w:fldCharType="begin"/>
      </w:r>
      <w:r w:rsidR="00235862">
        <w:instrText xml:space="preserve"> ADDIN EN.CITE &lt;EndNote&gt;&lt;Cite ExcludeAuth="1"&gt;&lt;Author&gt;Helse- og omsorgsdepartementet&lt;/Author&gt;&lt;Year&gt;2016&lt;/Year&gt;&lt;RecNum&gt;356&lt;/RecNum&gt;&lt;DisplayText&gt;(2016)&lt;/DisplayText&gt;&lt;record&gt;&lt;rec-number&gt;356&lt;/rec-number&gt;&lt;foreign-keys&gt;&lt;key app="EN" db-id="95tpr2tp6r9xwoea9rb5wdsz5ds5xeddteew" timestamp="1680069511"&gt;356&lt;/key&gt;&lt;/foreign-keys&gt;&lt;ref-type name="Report"&gt;27&lt;/ref-type&gt;&lt;contributors&gt;&lt;authors&gt;&lt;author&gt;Helse- og omsorgsdepartementet,&lt;/author&gt;&lt;/authors&gt;&lt;/contributors&gt;&lt;titles&gt;&lt;title&gt;Høringsnotat: Krav om at leger i den kommunale helse- og omsorgstjenesten skal være spesialist i allmennmedisin eller under spesialisering&lt;/title&gt;&lt;/titles&gt;&lt;dates&gt;&lt;year&gt;2016&lt;/year&gt;&lt;/dates&gt;&lt;pub-location&gt;Oslo&lt;/pub-location&gt;&lt;publisher&gt;Helse- og omsorgsdepartementet&lt;/publisher&gt;&lt;work-type&gt;høringsnotat&lt;/work-type&gt;&lt;urls&gt;&lt;/urls&gt;&lt;/record&gt;&lt;/Cite&gt;&lt;/EndNote&gt;</w:instrText>
      </w:r>
      <w:r w:rsidR="00576E44">
        <w:fldChar w:fldCharType="separate"/>
      </w:r>
      <w:r w:rsidR="00A841AD">
        <w:rPr>
          <w:noProof/>
        </w:rPr>
        <w:t>(2016)</w:t>
      </w:r>
      <w:r w:rsidR="00576E44">
        <w:fldChar w:fldCharType="end"/>
      </w:r>
      <w:r w:rsidR="004A3747">
        <w:t xml:space="preserve">. </w:t>
      </w:r>
      <w:r>
        <w:t xml:space="preserve">Legeforeningens utdanningsfond II ble etablert i 1983, og gir økonomisk støtte til </w:t>
      </w:r>
      <w:r w:rsidR="00FD6BBD">
        <w:t xml:space="preserve">næringsdrivende </w:t>
      </w:r>
      <w:r>
        <w:t>og kommunalt ansatte legers videre- og etterutdanning. Det gis refusjon av reise</w:t>
      </w:r>
      <w:r w:rsidR="00FD501B">
        <w:t>-</w:t>
      </w:r>
      <w:r>
        <w:t xml:space="preserve"> og oppholdsutgifter innenfor gitte satser. Kursavgifter dekkes ikke for spesialister </w:t>
      </w:r>
      <w:r w:rsidR="00576E44">
        <w:fldChar w:fldCharType="begin"/>
      </w:r>
      <w:r w:rsidR="00A841AD">
        <w:instrText xml:space="preserve"> ADDIN EN.CITE &lt;EndNote&gt;&lt;Cite ExcludeYear="1"&gt;&lt;Author&gt;Legeforening&lt;/Author&gt;&lt;RecNum&gt;999&lt;/RecNum&gt;&lt;DisplayText&gt;(Legeforening)&lt;/DisplayText&gt;&lt;record&gt;&lt;rec-number&gt;999&lt;/rec-number&gt;&lt;foreign-keys&gt;&lt;key app="EN" db-id="95tpr2tp6r9xwoea9rb5wdsz5ds5xeddteew" timestamp="1680252834"&gt;999&lt;/key&gt;&lt;/foreign-keys&gt;&lt;ref-type name="Web Page"&gt;12&lt;/ref-type&gt;&lt;contributors&gt;&lt;authors&gt;&lt;author&gt;Den Norske Legeforening&lt;/author&gt;&lt;/authors&gt;&lt;/contributors&gt;&lt;titles&gt;&lt;title&gt;Utdanningsfond II&lt;/title&gt;&lt;/titles&gt;&lt;dates&gt;&lt;/dates&gt;&lt;urls&gt;&lt;related-urls&gt;&lt;url&gt;https://www.legeforeningen.no/om-oss/fond-og-legater/utdanningsfond-ii/&lt;/url&gt;&lt;/related-urls&gt;&lt;/urls&gt;&lt;/record&gt;&lt;/Cite&gt;&lt;/EndNote&gt;</w:instrText>
      </w:r>
      <w:r w:rsidR="00576E44">
        <w:fldChar w:fldCharType="separate"/>
      </w:r>
      <w:r w:rsidR="00A841AD">
        <w:rPr>
          <w:noProof/>
        </w:rPr>
        <w:t>(Legeforening)</w:t>
      </w:r>
      <w:r w:rsidR="00576E44">
        <w:fldChar w:fldCharType="end"/>
      </w:r>
      <w:r w:rsidR="00D65627">
        <w:t xml:space="preserve"> </w:t>
      </w:r>
      <w:r w:rsidR="00A841AD">
        <w:fldChar w:fldCharType="begin"/>
      </w:r>
      <w:r w:rsidR="00A27571">
        <w:instrText xml:space="preserve"> ADDIN EN.CITE &lt;EndNote&gt;&lt;Cite&gt;&lt;Author&gt;Den norske legeforening&lt;/Author&gt;&lt;Year&gt;2018&lt;/Year&gt;&lt;RecNum&gt;849&lt;/RecNum&gt;&lt;DisplayText&gt;(Den norske legeforening, 2018b)&lt;/DisplayText&gt;&lt;record&gt;&lt;rec-number&gt;849&lt;/rec-number&gt;&lt;foreign-keys&gt;&lt;key app="EN" db-id="95tpr2tp6r9xwoea9rb5wdsz5ds5xeddteew" timestamp="1680069511"&gt;849&lt;/key&gt;&lt;/foreign-keys&gt;&lt;ref-type name="Web Page"&gt;12&lt;/ref-type&gt;&lt;contributors&gt;&lt;authors&gt;&lt;author&gt;Den norske legeforening,&lt;/author&gt;&lt;/authors&gt;&lt;/contributors&gt;&lt;titles&gt;&lt;title&gt;Utdanningsfond II&lt;/title&gt;&lt;/titles&gt;&lt;number&gt;01.02.2023&lt;/number&gt;&lt;dates&gt;&lt;year&gt;2018&lt;/year&gt;&lt;pub-dates&gt;&lt;date&gt;24.08.2018&lt;/date&gt;&lt;/pub-dates&gt;&lt;/dates&gt;&lt;pub-location&gt;Oslo&lt;/pub-location&gt;&lt;publisher&gt;Den norske legeforening&lt;/publisher&gt;&lt;work-type&gt;nettdokument&lt;/work-type&gt;&lt;urls&gt;&lt;/urls&gt;&lt;/record&gt;&lt;/Cite&gt;&lt;/EndNote&gt;</w:instrText>
      </w:r>
      <w:r w:rsidR="00A841AD">
        <w:fldChar w:fldCharType="separate"/>
      </w:r>
      <w:r w:rsidR="00A841AD">
        <w:rPr>
          <w:noProof/>
        </w:rPr>
        <w:t>(Den norske legeforening, 2018b)</w:t>
      </w:r>
      <w:r w:rsidR="00A841AD">
        <w:fldChar w:fldCharType="end"/>
      </w:r>
      <w:r w:rsidR="00A80B26">
        <w:t>.</w:t>
      </w:r>
    </w:p>
    <w:p w14:paraId="1D32E747" w14:textId="15044A1A" w:rsidR="000465CD" w:rsidRPr="00DF558B" w:rsidRDefault="000465CD" w:rsidP="00D15EB6">
      <w:pPr>
        <w:jc w:val="both"/>
      </w:pPr>
      <w:r>
        <w:t>Dagens tilleggstakster for å være spesialist og ta etterutdanning</w:t>
      </w:r>
      <w:r w:rsidR="00FD501B">
        <w:t>,</w:t>
      </w:r>
      <w:r>
        <w:t xml:space="preserve"> kan betraktes som en økonomisk stimulering til kvali</w:t>
      </w:r>
      <w:r w:rsidR="0077689C">
        <w:t>t</w:t>
      </w:r>
      <w:r>
        <w:t xml:space="preserve">et. </w:t>
      </w:r>
      <w:r w:rsidR="0077689C">
        <w:t xml:space="preserve">Siden </w:t>
      </w:r>
      <w:r w:rsidR="0059635C">
        <w:t xml:space="preserve">det er </w:t>
      </w:r>
      <w:r w:rsidR="007F69A8">
        <w:t xml:space="preserve">et </w:t>
      </w:r>
      <w:r w:rsidR="0059635C">
        <w:t>taksttillegg</w:t>
      </w:r>
      <w:r w:rsidR="007F69A8">
        <w:t>,</w:t>
      </w:r>
      <w:r w:rsidR="0059635C">
        <w:t xml:space="preserve"> </w:t>
      </w:r>
      <w:r w:rsidR="00C4040A">
        <w:t xml:space="preserve">er </w:t>
      </w:r>
      <w:r w:rsidR="009878E9">
        <w:t xml:space="preserve">den </w:t>
      </w:r>
      <w:r w:rsidRPr="00DF558B">
        <w:t xml:space="preserve">økonomiske </w:t>
      </w:r>
      <w:r>
        <w:t>uttellingen</w:t>
      </w:r>
      <w:r w:rsidRPr="00DF558B">
        <w:t xml:space="preserve"> avhengig av fastlegens </w:t>
      </w:r>
      <w:r w:rsidR="00D86749">
        <w:t>pasient</w:t>
      </w:r>
      <w:r w:rsidRPr="00DF558B">
        <w:t>aktivitet</w:t>
      </w:r>
      <w:r>
        <w:t xml:space="preserve">, og ikke </w:t>
      </w:r>
      <w:r w:rsidR="00D46322">
        <w:t xml:space="preserve">av </w:t>
      </w:r>
      <w:r>
        <w:t>systematisk kvalitetsarbeid som kurs, internkontroll, pasientsikkerhetsrutiner, osv.</w:t>
      </w:r>
      <w:r w:rsidR="00D9107F">
        <w:t xml:space="preserve"> </w:t>
      </w:r>
      <w:r w:rsidR="00FF41CF">
        <w:t>For å stimulere til mer systematisk kvalitets</w:t>
      </w:r>
      <w:r w:rsidR="004F578A">
        <w:t>- og innovasjons</w:t>
      </w:r>
      <w:r w:rsidR="00FF41CF">
        <w:t xml:space="preserve">arbeid framfor </w:t>
      </w:r>
      <w:r w:rsidR="00663FE3">
        <w:t xml:space="preserve">høy pasientaktivitet, kunne </w:t>
      </w:r>
      <w:r w:rsidR="00075EBA">
        <w:t xml:space="preserve">den økonomiske kompensasjonen for </w:t>
      </w:r>
      <w:r w:rsidR="004F578A">
        <w:t xml:space="preserve">dette </w:t>
      </w:r>
      <w:r>
        <w:t>arbeid</w:t>
      </w:r>
      <w:r w:rsidR="00075EBA">
        <w:t xml:space="preserve">et vært lagt inn </w:t>
      </w:r>
      <w:r>
        <w:t xml:space="preserve">i </w:t>
      </w:r>
      <w:r w:rsidR="4E35A361">
        <w:t>bas</w:t>
      </w:r>
      <w:r w:rsidR="4C7EB4C0">
        <w:t>i</w:t>
      </w:r>
      <w:r w:rsidR="5A148938">
        <w:t>s</w:t>
      </w:r>
      <w:r w:rsidR="4E35A361">
        <w:t xml:space="preserve">tilskuddet. </w:t>
      </w:r>
      <w:r w:rsidR="00B0716E">
        <w:t>B</w:t>
      </w:r>
      <w:r w:rsidRPr="00DF558B">
        <w:t>asistilskudd</w:t>
      </w:r>
      <w:r w:rsidR="00C03952">
        <w:t>et</w:t>
      </w:r>
      <w:r w:rsidRPr="00DF558B">
        <w:t xml:space="preserve"> </w:t>
      </w:r>
      <w:r w:rsidR="00B0716E">
        <w:t xml:space="preserve">ville </w:t>
      </w:r>
      <w:r w:rsidR="00196282">
        <w:t xml:space="preserve">da </w:t>
      </w:r>
      <w:r w:rsidR="00B0716E">
        <w:t>utgjø</w:t>
      </w:r>
      <w:r w:rsidR="006557F1">
        <w:t>r</w:t>
      </w:r>
      <w:r w:rsidR="00B0716E">
        <w:t xml:space="preserve">e en </w:t>
      </w:r>
      <w:r w:rsidRPr="00DF558B">
        <w:t xml:space="preserve">høyere andel av fastlegenes </w:t>
      </w:r>
      <w:r>
        <w:t xml:space="preserve">samlede </w:t>
      </w:r>
      <w:r w:rsidRPr="00DF558B">
        <w:t>inntjening</w:t>
      </w:r>
      <w:r>
        <w:t xml:space="preserve">. </w:t>
      </w:r>
      <w:r w:rsidRPr="00DF558B">
        <w:t>I 202</w:t>
      </w:r>
      <w:r w:rsidR="00433E80">
        <w:t>2</w:t>
      </w:r>
      <w:r w:rsidRPr="00DF558B">
        <w:t xml:space="preserve"> utgjorde taksthonorarene som spesialister kan utløse </w:t>
      </w:r>
      <w:r>
        <w:t xml:space="preserve">over </w:t>
      </w:r>
      <w:r w:rsidR="00D9107F">
        <w:t>1 mrd.</w:t>
      </w:r>
      <w:r w:rsidRPr="00DF558B">
        <w:t xml:space="preserve"> </w:t>
      </w:r>
      <w:r w:rsidR="000C2E67">
        <w:t>k</w:t>
      </w:r>
      <w:r w:rsidRPr="00DF558B">
        <w:t>roner</w:t>
      </w:r>
      <w:r w:rsidR="00433E80">
        <w:t xml:space="preserve"> (</w:t>
      </w:r>
      <w:r w:rsidR="00433E80" w:rsidRPr="000E4D02">
        <w:t>se boks</w:t>
      </w:r>
      <w:r w:rsidR="007D7FE8">
        <w:t xml:space="preserve"> 5-1</w:t>
      </w:r>
      <w:r w:rsidR="00433E80" w:rsidRPr="000E4D02">
        <w:t>)</w:t>
      </w:r>
      <w:r w:rsidRPr="00DF558B">
        <w:t xml:space="preserve">. For fastlegene som er spesialist i allmennmedisin, vil </w:t>
      </w:r>
      <w:r>
        <w:t xml:space="preserve">en flytting til basistilskuddet innebære at </w:t>
      </w:r>
      <w:r w:rsidR="00171AA6">
        <w:t>basistilskuddets</w:t>
      </w:r>
      <w:r>
        <w:t xml:space="preserve"> andel av samlet finansiering </w:t>
      </w:r>
      <w:r w:rsidR="004C2A5E">
        <w:t xml:space="preserve">vil </w:t>
      </w:r>
      <w:r w:rsidRPr="00DF558B">
        <w:t>øk</w:t>
      </w:r>
      <w:r>
        <w:t>e</w:t>
      </w:r>
      <w:r w:rsidRPr="00DF558B">
        <w:t xml:space="preserve"> med </w:t>
      </w:r>
      <w:r w:rsidR="00925862">
        <w:t>mer enn</w:t>
      </w:r>
      <w:r w:rsidRPr="00DF558B">
        <w:t xml:space="preserve"> </w:t>
      </w:r>
      <w:r>
        <w:t>10</w:t>
      </w:r>
      <w:r w:rsidRPr="00DF558B">
        <w:t xml:space="preserve"> prosentpoeng.</w:t>
      </w:r>
      <w:r w:rsidRPr="00427142">
        <w:t xml:space="preserve"> </w:t>
      </w:r>
      <w:r>
        <w:t xml:space="preserve">Hvis beløpet </w:t>
      </w:r>
      <w:r w:rsidR="00817AE5">
        <w:t>bl</w:t>
      </w:r>
      <w:r w:rsidR="001D0345">
        <w:t>i</w:t>
      </w:r>
      <w:r w:rsidR="003C335A">
        <w:t>r</w:t>
      </w:r>
      <w:r w:rsidR="00817AE5">
        <w:t xml:space="preserve"> fordelt på </w:t>
      </w:r>
      <w:r>
        <w:t>alle fastleger, både spesialister og</w:t>
      </w:r>
      <w:r w:rsidR="003C335A">
        <w:t xml:space="preserve"> </w:t>
      </w:r>
      <w:r>
        <w:t>ikke-spesialis</w:t>
      </w:r>
      <w:r w:rsidR="001D0345">
        <w:t>t</w:t>
      </w:r>
      <w:r>
        <w:t>er, vil</w:t>
      </w:r>
      <w:r w:rsidR="003C335A">
        <w:t>le</w:t>
      </w:r>
      <w:r>
        <w:t xml:space="preserve"> gjennomsnittlig a</w:t>
      </w:r>
      <w:r w:rsidRPr="00DF558B">
        <w:t xml:space="preserve">ndel </w:t>
      </w:r>
      <w:r>
        <w:t>basis</w:t>
      </w:r>
      <w:r w:rsidRPr="00DF558B">
        <w:t xml:space="preserve">tilskudd øke med om lag </w:t>
      </w:r>
      <w:r w:rsidR="002E5492">
        <w:t>9</w:t>
      </w:r>
      <w:r w:rsidRPr="00DF558B">
        <w:t xml:space="preserve"> prosentpoeng.</w:t>
      </w:r>
    </w:p>
    <w:p w14:paraId="144457C5" w14:textId="4AF0C985" w:rsidR="00D1447C" w:rsidRPr="00DF558B" w:rsidRDefault="000465CD" w:rsidP="00D15EB6">
      <w:pPr>
        <w:jc w:val="both"/>
      </w:pPr>
      <w:r>
        <w:t xml:space="preserve">Flytting av midler fra takster til </w:t>
      </w:r>
      <w:r w:rsidR="002F2EAC">
        <w:t>basis</w:t>
      </w:r>
      <w:r>
        <w:t xml:space="preserve">tilskudd vil </w:t>
      </w:r>
      <w:r w:rsidR="00E65B1C">
        <w:t xml:space="preserve">kunne </w:t>
      </w:r>
      <w:r w:rsidR="008264BC">
        <w:t>forenkl</w:t>
      </w:r>
      <w:r w:rsidR="00E65B1C">
        <w:t>e</w:t>
      </w:r>
      <w:r w:rsidR="008264BC">
        <w:t xml:space="preserve"> takstsystemet </w:t>
      </w:r>
      <w:r w:rsidR="00B56897">
        <w:t xml:space="preserve">noe </w:t>
      </w:r>
      <w:r w:rsidR="008264BC">
        <w:t xml:space="preserve">og </w:t>
      </w:r>
      <w:r w:rsidR="00E573A4">
        <w:t xml:space="preserve">egenandelen ville kunne være lik for alle fastleger. </w:t>
      </w:r>
      <w:r w:rsidR="00FB06E5">
        <w:t xml:space="preserve">En endring ville </w:t>
      </w:r>
      <w:r>
        <w:t>få konsekvenser for bl</w:t>
      </w:r>
      <w:r w:rsidR="00493679">
        <w:t xml:space="preserve">ant annet </w:t>
      </w:r>
      <w:r>
        <w:t xml:space="preserve">8.2-avtaler og vikaravtaler, og ulike praksisprofiler vil bli ulikt påvirket. </w:t>
      </w:r>
      <w:r w:rsidR="00832C60">
        <w:t>S</w:t>
      </w:r>
      <w:r>
        <w:t>amtidig</w:t>
      </w:r>
      <w:r w:rsidR="00832C60">
        <w:t xml:space="preserve"> vil </w:t>
      </w:r>
      <w:r>
        <w:t>finansieringsansvaret flyttes fra staten (folketrygden) til kommunene.</w:t>
      </w:r>
    </w:p>
    <w:p w14:paraId="1605525E" w14:textId="77777777" w:rsidR="00D9107F" w:rsidRDefault="000814D8" w:rsidP="00775632">
      <w:pPr>
        <w:pStyle w:val="Overskrift4"/>
      </w:pPr>
      <w:bookmarkStart w:id="2770" w:name="_Toc130983516"/>
      <w:bookmarkStart w:id="2771" w:name="_Toc130983865"/>
      <w:bookmarkStart w:id="2772" w:name="_Toc131063723"/>
      <w:bookmarkStart w:id="2773" w:name="_Toc131238443"/>
      <w:bookmarkStart w:id="2774" w:name="_Toc131279474"/>
      <w:bookmarkStart w:id="2775" w:name="_Toc131286886"/>
      <w:bookmarkStart w:id="2776" w:name="_Toc131281296"/>
      <w:bookmarkStart w:id="2777" w:name="_Toc131317836"/>
      <w:r>
        <w:t>Flere eksempler på kvalitetsjustering av basistilskuddet</w:t>
      </w:r>
      <w:bookmarkEnd w:id="2770"/>
      <w:bookmarkEnd w:id="2771"/>
      <w:bookmarkEnd w:id="2772"/>
      <w:bookmarkEnd w:id="2773"/>
      <w:bookmarkEnd w:id="2774"/>
      <w:bookmarkEnd w:id="2775"/>
      <w:bookmarkEnd w:id="2776"/>
      <w:bookmarkEnd w:id="2777"/>
    </w:p>
    <w:p w14:paraId="5495457A" w14:textId="77777777" w:rsidR="00D9107F" w:rsidRDefault="000814D8" w:rsidP="00D15EB6">
      <w:pPr>
        <w:jc w:val="both"/>
        <w:rPr>
          <w:color w:val="000000" w:themeColor="text1"/>
        </w:rPr>
      </w:pPr>
      <w:r w:rsidRPr="004907F4">
        <w:rPr>
          <w:color w:val="000000" w:themeColor="text1"/>
        </w:rPr>
        <w:t xml:space="preserve">Et argument mot kvalitetselementer </w:t>
      </w:r>
      <w:r w:rsidR="0014528E" w:rsidRPr="004907F4">
        <w:rPr>
          <w:color w:val="000000" w:themeColor="text1"/>
        </w:rPr>
        <w:t>i basistilskuddet</w:t>
      </w:r>
      <w:r w:rsidR="006B5F0F" w:rsidRPr="004907F4">
        <w:rPr>
          <w:color w:val="000000" w:themeColor="text1"/>
        </w:rPr>
        <w:t>,</w:t>
      </w:r>
      <w:r w:rsidR="0014528E" w:rsidRPr="004907F4">
        <w:rPr>
          <w:color w:val="000000" w:themeColor="text1"/>
        </w:rPr>
        <w:t xml:space="preserve"> </w:t>
      </w:r>
      <w:r w:rsidRPr="004907F4">
        <w:rPr>
          <w:color w:val="000000" w:themeColor="text1"/>
        </w:rPr>
        <w:t>er at fastlegene da vil prioritere kvalitet som blir belønnet</w:t>
      </w:r>
      <w:r w:rsidR="006B5F0F" w:rsidRPr="004907F4">
        <w:rPr>
          <w:color w:val="000000" w:themeColor="text1"/>
        </w:rPr>
        <w:t>,</w:t>
      </w:r>
      <w:r w:rsidRPr="004907F4">
        <w:rPr>
          <w:color w:val="000000" w:themeColor="text1"/>
        </w:rPr>
        <w:t xml:space="preserve"> på bekostning av kvalitet som ikke blir belønnet </w:t>
      </w:r>
      <w:r w:rsidR="00E54694" w:rsidRPr="004907F4">
        <w:rPr>
          <w:color w:val="000000" w:themeColor="text1"/>
        </w:rPr>
        <w:fldChar w:fldCharType="begin">
          <w:fldData xml:space="preserve">PEVuZE5vdGU+PENpdGU+PEF1dGhvcj5NZW5kZWxzb248L0F1dGhvcj48WWVhcj4yMDE3PC9ZZWFy
PjxSZWNOdW0+MTg5PC9SZWNOdW0+PERpc3BsYXlUZXh0PihNZW5kZWxzb24gZXQgYWwuLCAyMDE3
KTwvRGlzcGxheVRleHQ+PHJlY29yZD48cmVjLW51bWJlcj4xODk8L3JlYy1udW1iZXI+PGZvcmVp
Z24ta2V5cz48a2V5IGFwcD0iRU4iIGRiLWlkPSI5NXRwcjJ0cDZyOXh3b2VhOXJiNXdkc3o1ZHM1
eGVkZHRlZXciIHRpbWVzdGFtcD0iMTY4MDA2OTUxMSI+MTg5PC9rZXk+PC9mb3JlaWduLWtleXM+
PHJlZi10eXBlIG5hbWU9IkpvdXJuYWwgQXJ0aWNsZSI+MTc8L3JlZi10eXBlPjxjb250cmlidXRv
cnM+PGF1dGhvcnM+PGF1dGhvcj5NZW5kZWxzb24sIEEuPC9hdXRob3I+PGF1dGhvcj5Lb25kbywg
Sy48L2F1dGhvcj48YXV0aG9yPkRhbWJlcmcsIEMuPC9hdXRob3I+PGF1dGhvcj5Mb3csIEEuPC9h
dXRob3I+PGF1dGhvcj5Nb3R1YXB1YWthLCBNLjwvYXV0aG9yPjxhdXRob3I+S2Fuc2FnYXJhLCBE
LjwvYXV0aG9yPjwvYXV0aG9ycz48L2NvbnRyaWJ1dG9ycz48YXV0aC1hZGRyZXNzPk1lbmRlbHNv
biwgQWFyb24uIEZyb20gVkEgUG9ydGxhbmQgSGVhbHRoIENhcmUgU3lzdGVtLCBhbmQgT3JlZ29u
IEhlYWx0aCAmYW1wOyBTY2llbmNlIFVuaXZlcnNpdHksIFBvcnRsYW5kLCBPcmVnb24sIGFuZCBS
QU5EIENvcnBvcmF0aW9uLCBTYW50YSBNb25pY2EsIENhbGlmb3JuaWEuJiN4RDtLb25kbywgS2Fy
bGkuIEZyb20gVkEgUG9ydGxhbmQgSGVhbHRoIENhcmUgU3lzdGVtLCBhbmQgT3JlZ29uIEhlYWx0
aCAmYW1wOyBTY2llbmNlIFVuaXZlcnNpdHksIFBvcnRsYW5kLCBPcmVnb24sIGFuZCBSQU5EIENv
cnBvcmF0aW9uLCBTYW50YSBNb25pY2EsIENhbGlmb3JuaWEuJiN4RDtEYW1iZXJnLCBDaGVyeWwu
IEZyb20gVkEgUG9ydGxhbmQgSGVhbHRoIENhcmUgU3lzdGVtLCBhbmQgT3JlZ29uIEhlYWx0aCAm
YW1wOyBTY2llbmNlIFVuaXZlcnNpdHksIFBvcnRsYW5kLCBPcmVnb24sIGFuZCBSQU5EIENvcnBv
cmF0aW9uLCBTYW50YSBNb25pY2EsIENhbGlmb3JuaWEuJiN4RDtMb3csIEFsbGlzb24uIEZyb20g
VkEgUG9ydGxhbmQgSGVhbHRoIENhcmUgU3lzdGVtLCBhbmQgT3JlZ29uIEhlYWx0aCAmYW1wOyBT
Y2llbmNlIFVuaXZlcnNpdHksIFBvcnRsYW5kLCBPcmVnb24sIGFuZCBSQU5EIENvcnBvcmF0aW9u
LCBTYW50YSBNb25pY2EsIENhbGlmb3JuaWEuJiN4RDtNb3R1YXB1YWthLCBNYWthbGFwdWEuIEZy
b20gVkEgUG9ydGxhbmQgSGVhbHRoIENhcmUgU3lzdGVtLCBhbmQgT3JlZ29uIEhlYWx0aCAmYW1w
OyBTY2llbmNlIFVuaXZlcnNpdHksIFBvcnRsYW5kLCBPcmVnb24sIGFuZCBSQU5EIENvcnBvcmF0
aW9uLCBTYW50YSBNb25pY2EsIENhbGlmb3JuaWEuJiN4RDtGcmVlbWFuLCBNaWNoZWxlLiBGcm9t
IFZBIFBvcnRsYW5kIEhlYWx0aCBDYXJlIFN5c3RlbSwgYW5kIE9yZWdvbiBIZWFsdGggJmFtcDsg
U2NpZW5jZSBVbml2ZXJzaXR5LCBQb3J0bGFuZCwgT3JlZ29uLCBhbmQgUkFORCBDb3Jwb3JhdGlv
biwgU2FudGEgTW9uaWNhLCBDYWxpZm9ybmlhLiYjeEQ7TyZhcG9zO05laWwsIE1heWEuIEZyb20g
VkEgUG9ydGxhbmQgSGVhbHRoIENhcmUgU3lzdGVtLCBhbmQgT3JlZ29uIEhlYWx0aCAmYW1wOyBT
Y2llbmNlIFVuaXZlcnNpdHksIFBvcnRsYW5kLCBPcmVnb24sIGFuZCBSQU5EIENvcnBvcmF0aW9u
LCBTYW50YSBNb25pY2EsIENhbGlmb3JuaWEuJiN4RDtSZWxldm8sIFJvc2UuIEZyb20gVkEgUG9y
dGxhbmQgSGVhbHRoIENhcmUgU3lzdGVtLCBhbmQgT3JlZ29uIEhlYWx0aCAmYW1wOyBTY2llbmNl
IFVuaXZlcnNpdHksIFBvcnRsYW5kLCBPcmVnb24sIGFuZCBSQU5EIENvcnBvcmF0aW9uLCBTYW50
YSBNb25pY2EsIENhbGlmb3JuaWEuJiN4RDtLYW5zYWdhcmEsIERldmFuLiBGcm9tIFZBIFBvcnRs
YW5kIEhlYWx0aCBDYXJlIFN5c3RlbSwgYW5kIE9yZWdvbiBIZWFsdGggJmFtcDsgU2NpZW5jZSBV
bml2ZXJzaXR5LCBQb3J0bGFuZCwgT3JlZ29uLCBhbmQgUkFORCBDb3Jwb3JhdGlvbiwgU2FudGEg
TW9uaWNhLCBDYWxpZm9ybmlhLjwvYXV0aC1hZGRyZXNzPjx0aXRsZXM+PHRpdGxlPlRoZSBFZmZl
Y3RzIG9mIFBheS1mb3ItUGVyZm9ybWFuY2UgUHJvZ3JhbXMgb24gSGVhbHRoLCBIZWFsdGggQ2Fy
ZSBVc2UsIGFuZCBQcm9jZXNzZXMgb2YgQ2FyZTogQSBTeXN0ZW1hdGljIFJldmlldzwvdGl0bGU+
PHNlY29uZGFyeS10aXRsZT5Bbm5hbHMgb2YgSW50ZXJuYWwgTWVkaWNpbmU8L3NlY29uZGFyeS10
aXRsZT48YWx0LXRpdGxlPkFubiBJbnRlcm4gTWVkPC9hbHQtdGl0bGU+PC90aXRsZXM+PGFsdC1w
ZXJpb2RpY2FsPjxmdWxsLXRpdGxlPkFubmFscyBvZiBJbnRlcm5hbCBNZWRpY2luZTwvZnVsbC10
aXRsZT48YWJici0xPkFubiBJbnRlcm4gTWVkPC9hYmJyLTE+PC9hbHQtcGVyaW9kaWNhbD48cGFn
ZXM+MzQxLTM1MzwvcGFnZXM+PHZvbHVtZT4xNjY8L3ZvbHVtZT48bnVtYmVyPjU8L251bWJlcj48
a2V5d29yZHM+PGtleXdvcmQ+KkFtYnVsYXRvcnkgQ2FyZS9zdCBbU3RhbmRhcmRzXTwva2V5d29y
ZD48a2V5d29yZD5BbWJ1bGF0b3J5IENhcmUvc24gW1N0YXRpc3RpY3MgJmFtcDsgTnVtZXJpY2Fs
IERhdGFdPC9rZXl3b3JkPjxrZXl3b3JkPipIb3NwaXRhbHMvc3QgW1N0YW5kYXJkc108L2tleXdv
cmQ+PGtleXdvcmQ+SG9zcGl0YWxzL3NuIFtTdGF0aXN0aWNzICZhbXA7IE51bWVyaWNhbCBEYXRh
XTwva2V5d29yZD48a2V5d29yZD5IdW1hbnM8L2tleXdvcmQ+PGtleXdvcmQ+Kk91dGNvbWUgYW5k
IFByb2Nlc3MgQXNzZXNzbWVudCwgSGVhbHRoIENhcmU8L2tleXdvcmQ+PGtleXdvcmQ+KlF1YWxp
dHkgb2YgSGVhbHRoIENhcmUvZWMgW0Vjb25vbWljc108L2tleXdvcmQ+PGtleXdvcmQ+KlJlaW1i
dXJzZW1lbnQsIEluY2VudGl2ZTwva2V5d29yZD48L2tleXdvcmRzPjxkYXRlcz48eWVhcj4yMDE3
PC95ZWFyPjxwdWItZGF0ZXM+PGRhdGU+TWFyIDA3PC9kYXRlPjwvcHViLWRhdGVzPjwvZGF0ZXM+
PGlzYm4+MTUzOS0zNzA0PC9pc2JuPjxhY2Nlc3Npb24tbnVtPjI4MTE0NjAwPC9hY2Nlc3Npb24t
bnVtPjx3b3JrLXR5cGU+UmV2aWV3JiN4RDtTeXN0ZW1hdGljIFJldmlldzwvd29yay10eXBlPjx1
cmxzPjxyZWxhdGVkLXVybHM+PHVybD5odHRwczovL292aWRzcC5vdmlkLmNvbS9vdmlkd2ViLmNn
aT9UPUpTJmFtcDtDU0M9WSZhbXA7TkVXUz1OJmFtcDtQQUdFPWZ1bGx0ZXh0JmFtcDtEPW1lZDE0
JmFtcDtBTj0yODExNDYwMDwvdXJsPjx1cmw+aHR0cDovL29wZW51cmwuYmlic3lzLm5vL29wZW51
cmw/b3Rvb2w9aW5vaXBobGliP3NpZD1PVklEOm1lZGxpbmUmYW1wO2lkPXBtaWQ6MjgxMTQ2MDAm
YW1wO2lkPWRvaToxMC43MzI2JTJGTTE2LTE4ODEmYW1wO2lzc249MDAwMy00ODE5JmFtcDtpc2Ju
PSZhbXA7dm9sdW1lPTE2NiZhbXA7aXNzdWU9NSZhbXA7c3BhZ2U9MzQxJmFtcDtwYWdlcz0zNDEt
MzUzJmFtcDtkYXRlPTIwMTcmYW1wO3RpdGxlPUFubmFscytvZitJbnRlcm5hbCtNZWRpY2luZSZh
bXA7YXRpdGxlPVRoZStFZmZlY3RzK29mK1BheS1mb3ItUGVyZm9ybWFuY2UrUHJvZ3JhbXMrb24r
SGVhbHRoJTJDK0hlYWx0aCtDYXJlK1VzZSUyQythbmQrUHJvY2Vzc2VzK29mK0NhcmUlM0ErQStT
eXN0ZW1hdGljK1Jldmlldy4mYW1wO2F1bGFzdD1NZW5kZWxzb24mYW1wO3BpZD0lM0NhdXRob3Il
M0VNZW5kZWxzb24rQSUzQyUyRmF1dGhvciUzRSUzQ0FOJTNFMjgxMTQ2MDAlM0MlMkZBTiUzRSUz
Q0RUJTNFSm91cm5hbCtBcnRpY2xlJTNDJTJGRFQlM0U8L3VybD48L3JlbGF0ZWQtdXJscz48L3Vy
bHM+PHJlbW90ZS1kYXRhYmFzZS1uYW1lPk1FRExJTkU8L3JlbW90ZS1kYXRhYmFzZS1uYW1lPjxy
ZW1vdGUtZGF0YWJhc2UtcHJvdmlkZXI+T3ZpZCBUZWNobm9sb2dpZXM8L3JlbW90ZS1kYXRhYmFz
ZS1wcm92aWRlcj48bGFuZ3VhZ2U+RW5nbGlzaDwvbGFuZ3VhZ2U+PC9yZWNvcmQ+PC9DaXRlPjwv
RW5kTm90ZT5=
</w:fldData>
        </w:fldChar>
      </w:r>
      <w:r w:rsidR="004654FD">
        <w:rPr>
          <w:color w:val="000000" w:themeColor="text1"/>
        </w:rPr>
        <w:instrText xml:space="preserve"> ADDIN EN.CITE </w:instrText>
      </w:r>
      <w:r w:rsidR="004654FD">
        <w:rPr>
          <w:color w:val="000000" w:themeColor="text1"/>
        </w:rPr>
        <w:fldChar w:fldCharType="begin">
          <w:fldData xml:space="preserve">PEVuZE5vdGU+PENpdGU+PEF1dGhvcj5NZW5kZWxzb248L0F1dGhvcj48WWVhcj4yMDE3PC9ZZWFy
PjxSZWNOdW0+MTg5PC9SZWNOdW0+PERpc3BsYXlUZXh0PihNZW5kZWxzb24gZXQgYWwuLCAyMDE3
KTwvRGlzcGxheVRleHQ+PHJlY29yZD48cmVjLW51bWJlcj4xODk8L3JlYy1udW1iZXI+PGZvcmVp
Z24ta2V5cz48a2V5IGFwcD0iRU4iIGRiLWlkPSI5NXRwcjJ0cDZyOXh3b2VhOXJiNXdkc3o1ZHM1
eGVkZHRlZXciIHRpbWVzdGFtcD0iMTY4MDA2OTUxMSI+MTg5PC9rZXk+PC9mb3JlaWduLWtleXM+
PHJlZi10eXBlIG5hbWU9IkpvdXJuYWwgQXJ0aWNsZSI+MTc8L3JlZi10eXBlPjxjb250cmlidXRv
cnM+PGF1dGhvcnM+PGF1dGhvcj5NZW5kZWxzb24sIEEuPC9hdXRob3I+PGF1dGhvcj5Lb25kbywg
Sy48L2F1dGhvcj48YXV0aG9yPkRhbWJlcmcsIEMuPC9hdXRob3I+PGF1dGhvcj5Mb3csIEEuPC9h
dXRob3I+PGF1dGhvcj5Nb3R1YXB1YWthLCBNLjwvYXV0aG9yPjxhdXRob3I+S2Fuc2FnYXJhLCBE
LjwvYXV0aG9yPjwvYXV0aG9ycz48L2NvbnRyaWJ1dG9ycz48YXV0aC1hZGRyZXNzPk1lbmRlbHNv
biwgQWFyb24uIEZyb20gVkEgUG9ydGxhbmQgSGVhbHRoIENhcmUgU3lzdGVtLCBhbmQgT3JlZ29u
IEhlYWx0aCAmYW1wOyBTY2llbmNlIFVuaXZlcnNpdHksIFBvcnRsYW5kLCBPcmVnb24sIGFuZCBS
QU5EIENvcnBvcmF0aW9uLCBTYW50YSBNb25pY2EsIENhbGlmb3JuaWEuJiN4RDtLb25kbywgS2Fy
bGkuIEZyb20gVkEgUG9ydGxhbmQgSGVhbHRoIENhcmUgU3lzdGVtLCBhbmQgT3JlZ29uIEhlYWx0
aCAmYW1wOyBTY2llbmNlIFVuaXZlcnNpdHksIFBvcnRsYW5kLCBPcmVnb24sIGFuZCBSQU5EIENv
cnBvcmF0aW9uLCBTYW50YSBNb25pY2EsIENhbGlmb3JuaWEuJiN4RDtEYW1iZXJnLCBDaGVyeWwu
IEZyb20gVkEgUG9ydGxhbmQgSGVhbHRoIENhcmUgU3lzdGVtLCBhbmQgT3JlZ29uIEhlYWx0aCAm
YW1wOyBTY2llbmNlIFVuaXZlcnNpdHksIFBvcnRsYW5kLCBPcmVnb24sIGFuZCBSQU5EIENvcnBv
cmF0aW9uLCBTYW50YSBNb25pY2EsIENhbGlmb3JuaWEuJiN4RDtMb3csIEFsbGlzb24uIEZyb20g
VkEgUG9ydGxhbmQgSGVhbHRoIENhcmUgU3lzdGVtLCBhbmQgT3JlZ29uIEhlYWx0aCAmYW1wOyBT
Y2llbmNlIFVuaXZlcnNpdHksIFBvcnRsYW5kLCBPcmVnb24sIGFuZCBSQU5EIENvcnBvcmF0aW9u
LCBTYW50YSBNb25pY2EsIENhbGlmb3JuaWEuJiN4RDtNb3R1YXB1YWthLCBNYWthbGFwdWEuIEZy
b20gVkEgUG9ydGxhbmQgSGVhbHRoIENhcmUgU3lzdGVtLCBhbmQgT3JlZ29uIEhlYWx0aCAmYW1w
OyBTY2llbmNlIFVuaXZlcnNpdHksIFBvcnRsYW5kLCBPcmVnb24sIGFuZCBSQU5EIENvcnBvcmF0
aW9uLCBTYW50YSBNb25pY2EsIENhbGlmb3JuaWEuJiN4RDtGcmVlbWFuLCBNaWNoZWxlLiBGcm9t
IFZBIFBvcnRsYW5kIEhlYWx0aCBDYXJlIFN5c3RlbSwgYW5kIE9yZWdvbiBIZWFsdGggJmFtcDsg
U2NpZW5jZSBVbml2ZXJzaXR5LCBQb3J0bGFuZCwgT3JlZ29uLCBhbmQgUkFORCBDb3Jwb3JhdGlv
biwgU2FudGEgTW9uaWNhLCBDYWxpZm9ybmlhLiYjeEQ7TyZhcG9zO05laWwsIE1heWEuIEZyb20g
VkEgUG9ydGxhbmQgSGVhbHRoIENhcmUgU3lzdGVtLCBhbmQgT3JlZ29uIEhlYWx0aCAmYW1wOyBT
Y2llbmNlIFVuaXZlcnNpdHksIFBvcnRsYW5kLCBPcmVnb24sIGFuZCBSQU5EIENvcnBvcmF0aW9u
LCBTYW50YSBNb25pY2EsIENhbGlmb3JuaWEuJiN4RDtSZWxldm8sIFJvc2UuIEZyb20gVkEgUG9y
dGxhbmQgSGVhbHRoIENhcmUgU3lzdGVtLCBhbmQgT3JlZ29uIEhlYWx0aCAmYW1wOyBTY2llbmNl
IFVuaXZlcnNpdHksIFBvcnRsYW5kLCBPcmVnb24sIGFuZCBSQU5EIENvcnBvcmF0aW9uLCBTYW50
YSBNb25pY2EsIENhbGlmb3JuaWEuJiN4RDtLYW5zYWdhcmEsIERldmFuLiBGcm9tIFZBIFBvcnRs
YW5kIEhlYWx0aCBDYXJlIFN5c3RlbSwgYW5kIE9yZWdvbiBIZWFsdGggJmFtcDsgU2NpZW5jZSBV
bml2ZXJzaXR5LCBQb3J0bGFuZCwgT3JlZ29uLCBhbmQgUkFORCBDb3Jwb3JhdGlvbiwgU2FudGEg
TW9uaWNhLCBDYWxpZm9ybmlhLjwvYXV0aC1hZGRyZXNzPjx0aXRsZXM+PHRpdGxlPlRoZSBFZmZl
Y3RzIG9mIFBheS1mb3ItUGVyZm9ybWFuY2UgUHJvZ3JhbXMgb24gSGVhbHRoLCBIZWFsdGggQ2Fy
ZSBVc2UsIGFuZCBQcm9jZXNzZXMgb2YgQ2FyZTogQSBTeXN0ZW1hdGljIFJldmlldzwvdGl0bGU+
PHNlY29uZGFyeS10aXRsZT5Bbm5hbHMgb2YgSW50ZXJuYWwgTWVkaWNpbmU8L3NlY29uZGFyeS10
aXRsZT48YWx0LXRpdGxlPkFubiBJbnRlcm4gTWVkPC9hbHQtdGl0bGU+PC90aXRsZXM+PGFsdC1w
ZXJpb2RpY2FsPjxmdWxsLXRpdGxlPkFubmFscyBvZiBJbnRlcm5hbCBNZWRpY2luZTwvZnVsbC10
aXRsZT48YWJici0xPkFubiBJbnRlcm4gTWVkPC9hYmJyLTE+PC9hbHQtcGVyaW9kaWNhbD48cGFn
ZXM+MzQxLTM1MzwvcGFnZXM+PHZvbHVtZT4xNjY8L3ZvbHVtZT48bnVtYmVyPjU8L251bWJlcj48
a2V5d29yZHM+PGtleXdvcmQ+KkFtYnVsYXRvcnkgQ2FyZS9zdCBbU3RhbmRhcmRzXTwva2V5d29y
ZD48a2V5d29yZD5BbWJ1bGF0b3J5IENhcmUvc24gW1N0YXRpc3RpY3MgJmFtcDsgTnVtZXJpY2Fs
IERhdGFdPC9rZXl3b3JkPjxrZXl3b3JkPipIb3NwaXRhbHMvc3QgW1N0YW5kYXJkc108L2tleXdv
cmQ+PGtleXdvcmQ+SG9zcGl0YWxzL3NuIFtTdGF0aXN0aWNzICZhbXA7IE51bWVyaWNhbCBEYXRh
XTwva2V5d29yZD48a2V5d29yZD5IdW1hbnM8L2tleXdvcmQ+PGtleXdvcmQ+Kk91dGNvbWUgYW5k
IFByb2Nlc3MgQXNzZXNzbWVudCwgSGVhbHRoIENhcmU8L2tleXdvcmQ+PGtleXdvcmQ+KlF1YWxp
dHkgb2YgSGVhbHRoIENhcmUvZWMgW0Vjb25vbWljc108L2tleXdvcmQ+PGtleXdvcmQ+KlJlaW1i
dXJzZW1lbnQsIEluY2VudGl2ZTwva2V5d29yZD48L2tleXdvcmRzPjxkYXRlcz48eWVhcj4yMDE3
PC95ZWFyPjxwdWItZGF0ZXM+PGRhdGU+TWFyIDA3PC9kYXRlPjwvcHViLWRhdGVzPjwvZGF0ZXM+
PGlzYm4+MTUzOS0zNzA0PC9pc2JuPjxhY2Nlc3Npb24tbnVtPjI4MTE0NjAwPC9hY2Nlc3Npb24t
bnVtPjx3b3JrLXR5cGU+UmV2aWV3JiN4RDtTeXN0ZW1hdGljIFJldmlldzwvd29yay10eXBlPjx1
cmxzPjxyZWxhdGVkLXVybHM+PHVybD5odHRwczovL292aWRzcC5vdmlkLmNvbS9vdmlkd2ViLmNn
aT9UPUpTJmFtcDtDU0M9WSZhbXA7TkVXUz1OJmFtcDtQQUdFPWZ1bGx0ZXh0JmFtcDtEPW1lZDE0
JmFtcDtBTj0yODExNDYwMDwvdXJsPjx1cmw+aHR0cDovL29wZW51cmwuYmlic3lzLm5vL29wZW51
cmw/b3Rvb2w9aW5vaXBobGliP3NpZD1PVklEOm1lZGxpbmUmYW1wO2lkPXBtaWQ6MjgxMTQ2MDAm
YW1wO2lkPWRvaToxMC43MzI2JTJGTTE2LTE4ODEmYW1wO2lzc249MDAwMy00ODE5JmFtcDtpc2Ju
PSZhbXA7dm9sdW1lPTE2NiZhbXA7aXNzdWU9NSZhbXA7c3BhZ2U9MzQxJmFtcDtwYWdlcz0zNDEt
MzUzJmFtcDtkYXRlPTIwMTcmYW1wO3RpdGxlPUFubmFscytvZitJbnRlcm5hbCtNZWRpY2luZSZh
bXA7YXRpdGxlPVRoZStFZmZlY3RzK29mK1BheS1mb3ItUGVyZm9ybWFuY2UrUHJvZ3JhbXMrb24r
SGVhbHRoJTJDK0hlYWx0aCtDYXJlK1VzZSUyQythbmQrUHJvY2Vzc2VzK29mK0NhcmUlM0ErQStT
eXN0ZW1hdGljK1Jldmlldy4mYW1wO2F1bGFzdD1NZW5kZWxzb24mYW1wO3BpZD0lM0NhdXRob3Il
M0VNZW5kZWxzb24rQSUzQyUyRmF1dGhvciUzRSUzQ0FOJTNFMjgxMTQ2MDAlM0MlMkZBTiUzRSUz
Q0RUJTNFSm91cm5hbCtBcnRpY2xlJTNDJTJGRFQlM0U8L3VybD48L3JlbGF0ZWQtdXJscz48L3Vy
bHM+PHJlbW90ZS1kYXRhYmFzZS1uYW1lPk1FRExJTkU8L3JlbW90ZS1kYXRhYmFzZS1uYW1lPjxy
ZW1vdGUtZGF0YWJhc2UtcHJvdmlkZXI+T3ZpZCBUZWNobm9sb2dpZXM8L3JlbW90ZS1kYXRhYmFz
ZS1wcm92aWRlcj48bGFuZ3VhZ2U+RW5nbGlzaDwvbGFuZ3VhZ2U+PC9yZWNvcmQ+PC9DaXRlPjwv
RW5kTm90ZT5=
</w:fldData>
        </w:fldChar>
      </w:r>
      <w:r w:rsidR="004654FD">
        <w:rPr>
          <w:color w:val="000000" w:themeColor="text1"/>
        </w:rPr>
        <w:instrText xml:space="preserve"> ADDIN EN.CITE.DATA </w:instrText>
      </w:r>
      <w:r w:rsidR="004654FD">
        <w:rPr>
          <w:color w:val="000000" w:themeColor="text1"/>
        </w:rPr>
      </w:r>
      <w:r w:rsidR="004654FD">
        <w:rPr>
          <w:color w:val="000000" w:themeColor="text1"/>
        </w:rPr>
        <w:fldChar w:fldCharType="end"/>
      </w:r>
      <w:r w:rsidR="00E54694" w:rsidRPr="004907F4">
        <w:rPr>
          <w:color w:val="000000" w:themeColor="text1"/>
        </w:rPr>
      </w:r>
      <w:r w:rsidR="00E54694" w:rsidRPr="004907F4">
        <w:rPr>
          <w:color w:val="000000" w:themeColor="text1"/>
        </w:rPr>
        <w:fldChar w:fldCharType="separate"/>
      </w:r>
      <w:r w:rsidR="00E54694" w:rsidRPr="004907F4">
        <w:rPr>
          <w:noProof/>
          <w:color w:val="000000" w:themeColor="text1"/>
        </w:rPr>
        <w:t>(Mendelson et al., 2017)</w:t>
      </w:r>
      <w:r w:rsidR="00E54694" w:rsidRPr="004907F4">
        <w:rPr>
          <w:color w:val="000000" w:themeColor="text1"/>
        </w:rPr>
        <w:fldChar w:fldCharType="end"/>
      </w:r>
      <w:r w:rsidRPr="004907F4">
        <w:rPr>
          <w:color w:val="000000" w:themeColor="text1"/>
        </w:rPr>
        <w:t>. Det er derfor sentralt at kvalitetselementet kommer listeinnbyggerne samlet til gode</w:t>
      </w:r>
      <w:r w:rsidR="005A5A86" w:rsidRPr="004907F4">
        <w:rPr>
          <w:color w:val="000000" w:themeColor="text1"/>
        </w:rPr>
        <w:t xml:space="preserve">, noe som antas å være tilfellet </w:t>
      </w:r>
      <w:r w:rsidR="00A25B86" w:rsidRPr="004907F4">
        <w:rPr>
          <w:color w:val="000000" w:themeColor="text1"/>
        </w:rPr>
        <w:t xml:space="preserve">ved et tillegg for </w:t>
      </w:r>
      <w:r w:rsidR="00D70A79" w:rsidRPr="004907F4">
        <w:rPr>
          <w:color w:val="000000" w:themeColor="text1"/>
        </w:rPr>
        <w:t>å være spesialist i allmennmedisin.</w:t>
      </w:r>
    </w:p>
    <w:p w14:paraId="2C22629D" w14:textId="77777777" w:rsidR="00D9107F" w:rsidRDefault="000814D8" w:rsidP="0060698E">
      <w:pPr>
        <w:jc w:val="both"/>
        <w:rPr>
          <w:color w:val="000000" w:themeColor="text1"/>
        </w:rPr>
      </w:pPr>
      <w:r w:rsidRPr="004907F4">
        <w:rPr>
          <w:color w:val="000000" w:themeColor="text1"/>
        </w:rPr>
        <w:t xml:space="preserve">Et </w:t>
      </w:r>
      <w:r w:rsidR="006F6C6B" w:rsidRPr="004907F4">
        <w:rPr>
          <w:color w:val="000000" w:themeColor="text1"/>
        </w:rPr>
        <w:t>annet</w:t>
      </w:r>
      <w:r w:rsidRPr="004907F4">
        <w:rPr>
          <w:color w:val="000000" w:themeColor="text1"/>
        </w:rPr>
        <w:t xml:space="preserve"> eksempel </w:t>
      </w:r>
      <w:r w:rsidR="00474E1A" w:rsidRPr="004907F4">
        <w:rPr>
          <w:color w:val="000000" w:themeColor="text1"/>
        </w:rPr>
        <w:t xml:space="preserve">på kvalitetselement som kommer </w:t>
      </w:r>
      <w:r w:rsidR="00B21267" w:rsidRPr="004907F4">
        <w:rPr>
          <w:color w:val="000000" w:themeColor="text1"/>
        </w:rPr>
        <w:t xml:space="preserve">alle </w:t>
      </w:r>
      <w:r w:rsidR="00474E1A" w:rsidRPr="004907F4">
        <w:rPr>
          <w:color w:val="000000" w:themeColor="text1"/>
        </w:rPr>
        <w:t xml:space="preserve">listeinnbyggerne </w:t>
      </w:r>
      <w:r w:rsidR="008C6C2C" w:rsidRPr="004907F4">
        <w:rPr>
          <w:color w:val="000000" w:themeColor="text1"/>
        </w:rPr>
        <w:t>til gode,</w:t>
      </w:r>
      <w:r w:rsidRPr="004907F4">
        <w:rPr>
          <w:color w:val="000000" w:themeColor="text1"/>
        </w:rPr>
        <w:t xml:space="preserve"> </w:t>
      </w:r>
      <w:r w:rsidR="008C6C2C" w:rsidRPr="004907F4">
        <w:rPr>
          <w:color w:val="000000" w:themeColor="text1"/>
        </w:rPr>
        <w:t>er</w:t>
      </w:r>
      <w:r w:rsidRPr="004907F4">
        <w:rPr>
          <w:color w:val="000000" w:themeColor="text1"/>
        </w:rPr>
        <w:t xml:space="preserve"> krav til journalsystemene fastlegene bruker.</w:t>
      </w:r>
      <w:r w:rsidR="00B21267" w:rsidRPr="004907F4">
        <w:rPr>
          <w:color w:val="000000" w:themeColor="text1"/>
        </w:rPr>
        <w:t xml:space="preserve"> </w:t>
      </w:r>
      <w:r w:rsidRPr="004907F4">
        <w:rPr>
          <w:color w:val="000000" w:themeColor="text1"/>
        </w:rPr>
        <w:t>Slike krav vil samtidig legge press på journalleverandørene til å levere systemer med de egenskapene oppdragsgiver ønsker. Sentrale egenskaper kan være å skaffe til veie systematiske oversikter over sammensetningen av listeinnbyggerne</w:t>
      </w:r>
      <w:r w:rsidR="00BC3615" w:rsidRPr="004907F4">
        <w:rPr>
          <w:color w:val="000000" w:themeColor="text1"/>
        </w:rPr>
        <w:t>,</w:t>
      </w:r>
      <w:r w:rsidRPr="004907F4">
        <w:rPr>
          <w:color w:val="000000" w:themeColor="text1"/>
        </w:rPr>
        <w:t xml:space="preserve"> samt å </w:t>
      </w:r>
      <w:r w:rsidRPr="004907F4">
        <w:rPr>
          <w:color w:val="000000" w:themeColor="text1"/>
        </w:rPr>
        <w:lastRenderedPageBreak/>
        <w:t>skaffe til veie indikatorer som skal inngå i kvalitetselementet i basistilskuddet og øvrig informasjon som oppdragsgiver har behov for. Fastleger som har journalsystemer som tilfredsstiller de kravene staten setter</w:t>
      </w:r>
      <w:r w:rsidR="00BC3615" w:rsidRPr="004907F4">
        <w:rPr>
          <w:color w:val="000000" w:themeColor="text1"/>
        </w:rPr>
        <w:t>,</w:t>
      </w:r>
      <w:r w:rsidRPr="004907F4">
        <w:rPr>
          <w:color w:val="000000" w:themeColor="text1"/>
        </w:rPr>
        <w:t xml:space="preserve"> og leverer data som skal inngå i kvalitetsoppfølgingen, vil da få et tillegg i basistilskuddet i forhold til fastleger som ikke har journalsystemer som tilfredsstiller kravene. Kvalitetsoppfølgingen kan blant annet innebære tilbakemeldinger til fastlegene om </w:t>
      </w:r>
      <w:r w:rsidR="004650FD" w:rsidRPr="004907F4">
        <w:rPr>
          <w:color w:val="000000" w:themeColor="text1"/>
        </w:rPr>
        <w:t xml:space="preserve">endringer i </w:t>
      </w:r>
      <w:r w:rsidRPr="004907F4">
        <w:rPr>
          <w:color w:val="000000" w:themeColor="text1"/>
        </w:rPr>
        <w:t xml:space="preserve">deres resultater </w:t>
      </w:r>
      <w:r w:rsidR="001438A4" w:rsidRPr="004907F4">
        <w:rPr>
          <w:color w:val="000000" w:themeColor="text1"/>
        </w:rPr>
        <w:t>over tid</w:t>
      </w:r>
      <w:r w:rsidR="00BC3615" w:rsidRPr="004907F4">
        <w:rPr>
          <w:color w:val="000000" w:themeColor="text1"/>
        </w:rPr>
        <w:t>,</w:t>
      </w:r>
      <w:r w:rsidR="001438A4" w:rsidRPr="004907F4">
        <w:rPr>
          <w:color w:val="000000" w:themeColor="text1"/>
        </w:rPr>
        <w:t xml:space="preserve"> og </w:t>
      </w:r>
      <w:r w:rsidRPr="004907F4">
        <w:rPr>
          <w:color w:val="000000" w:themeColor="text1"/>
        </w:rPr>
        <w:t>sammenlignet med andre fastleger med tilsvarende lister.</w:t>
      </w:r>
    </w:p>
    <w:p w14:paraId="0046EB5E" w14:textId="77777777" w:rsidR="00D9107F" w:rsidRDefault="000814D8" w:rsidP="0060698E">
      <w:pPr>
        <w:jc w:val="both"/>
        <w:rPr>
          <w:color w:val="000000" w:themeColor="text1"/>
        </w:rPr>
      </w:pPr>
      <w:r w:rsidRPr="004907F4">
        <w:rPr>
          <w:color w:val="000000" w:themeColor="text1"/>
        </w:rPr>
        <w:t xml:space="preserve">Det vil også kunne være aktuelt å belønne å gjennomføre pasienttilfredshetsundersøkelser (uavhengig av resultat) og gjennomgang av avvikssaker i praksis. I </w:t>
      </w:r>
      <w:r w:rsidR="00873258" w:rsidRPr="00D9107F">
        <w:rPr>
          <w:rStyle w:val="kursiv"/>
        </w:rPr>
        <w:t>H</w:t>
      </w:r>
      <w:r w:rsidRPr="00D9107F">
        <w:rPr>
          <w:rStyle w:val="kursiv"/>
        </w:rPr>
        <w:t>andlingsplane</w:t>
      </w:r>
      <w:r w:rsidR="008311DE" w:rsidRPr="00D9107F">
        <w:rPr>
          <w:rStyle w:val="kursiv"/>
        </w:rPr>
        <w:t>n</w:t>
      </w:r>
      <w:r w:rsidR="00873258" w:rsidRPr="00D9107F">
        <w:rPr>
          <w:rStyle w:val="kursiv"/>
        </w:rPr>
        <w:t xml:space="preserve"> for allmennlegetjenesten </w:t>
      </w:r>
      <w:r w:rsidR="00B41D1C" w:rsidRPr="00D9107F">
        <w:rPr>
          <w:rStyle w:val="kursiv"/>
        </w:rPr>
        <w:t>2020</w:t>
      </w:r>
      <w:r w:rsidR="00BC3615" w:rsidRPr="00D9107F">
        <w:rPr>
          <w:rStyle w:val="kursiv"/>
        </w:rPr>
        <w:t>–</w:t>
      </w:r>
      <w:r w:rsidR="00B41D1C" w:rsidRPr="00D9107F">
        <w:rPr>
          <w:rStyle w:val="kursiv"/>
        </w:rPr>
        <w:t>2024</w:t>
      </w:r>
      <w:r w:rsidRPr="004907F4">
        <w:rPr>
          <w:color w:val="000000" w:themeColor="text1"/>
        </w:rPr>
        <w:t xml:space="preserve"> omtales OECD-prosjektet PaRIS</w:t>
      </w:r>
      <w:r w:rsidR="00BC3615" w:rsidRPr="004907F4">
        <w:rPr>
          <w:color w:val="000000" w:themeColor="text1"/>
        </w:rPr>
        <w:t>,</w:t>
      </w:r>
      <w:r w:rsidRPr="004907F4">
        <w:rPr>
          <w:color w:val="000000" w:themeColor="text1"/>
        </w:rPr>
        <w:t xml:space="preserve"> som utvikler et verktøy for å måle pasientopplevd kvalitet hos fastlegene. Dette vil gjøre det mulig for fastlegekontor</w:t>
      </w:r>
      <w:r w:rsidR="000B16A6" w:rsidRPr="004907F4">
        <w:rPr>
          <w:color w:val="000000" w:themeColor="text1"/>
        </w:rPr>
        <w:t>ene</w:t>
      </w:r>
      <w:r w:rsidRPr="004907F4">
        <w:rPr>
          <w:color w:val="000000" w:themeColor="text1"/>
        </w:rPr>
        <w:t xml:space="preserve"> å måle pasienterfaringer på en systematisk måte. Finansieringen vil </w:t>
      </w:r>
      <w:r w:rsidR="003B0113" w:rsidRPr="004907F4">
        <w:rPr>
          <w:color w:val="000000" w:themeColor="text1"/>
        </w:rPr>
        <w:t xml:space="preserve">i prinsippet </w:t>
      </w:r>
      <w:r w:rsidRPr="004907F4">
        <w:rPr>
          <w:color w:val="000000" w:themeColor="text1"/>
        </w:rPr>
        <w:t xml:space="preserve">også kunne avhenge av scoren på brukererfaringene, men det er </w:t>
      </w:r>
      <w:r w:rsidR="0028707A" w:rsidRPr="004907F4">
        <w:rPr>
          <w:color w:val="000000" w:themeColor="text1"/>
        </w:rPr>
        <w:t>da en fare for at dette</w:t>
      </w:r>
      <w:r w:rsidRPr="004907F4">
        <w:rPr>
          <w:color w:val="000000" w:themeColor="text1"/>
        </w:rPr>
        <w:t xml:space="preserve"> vil </w:t>
      </w:r>
      <w:r w:rsidR="0028707A" w:rsidRPr="004907F4">
        <w:rPr>
          <w:color w:val="000000" w:themeColor="text1"/>
        </w:rPr>
        <w:t>kunne slå uheldig</w:t>
      </w:r>
      <w:r w:rsidRPr="004907F4">
        <w:rPr>
          <w:color w:val="000000" w:themeColor="text1"/>
        </w:rPr>
        <w:t xml:space="preserve"> ut på andre kvalitetselementer ved praksisen.</w:t>
      </w:r>
    </w:p>
    <w:p w14:paraId="649317FE" w14:textId="3E2DDB68" w:rsidR="000814D8" w:rsidRPr="004907F4" w:rsidRDefault="000814D8" w:rsidP="0060698E">
      <w:pPr>
        <w:jc w:val="both"/>
        <w:rPr>
          <w:rFonts w:cstheme="minorHAnsi"/>
          <w:color w:val="000000" w:themeColor="text1"/>
        </w:rPr>
      </w:pPr>
      <w:r w:rsidRPr="004907F4">
        <w:rPr>
          <w:color w:val="000000" w:themeColor="text1"/>
        </w:rPr>
        <w:t>Kvalitetselementet kan generelt s</w:t>
      </w:r>
      <w:r w:rsidRPr="004907F4">
        <w:rPr>
          <w:rFonts w:cstheme="minorHAnsi"/>
          <w:color w:val="000000" w:themeColor="text1"/>
        </w:rPr>
        <w:t xml:space="preserve">timulere til </w:t>
      </w:r>
      <w:r w:rsidR="00F951A0" w:rsidRPr="004907F4">
        <w:rPr>
          <w:rFonts w:cstheme="minorHAnsi"/>
          <w:color w:val="000000" w:themeColor="text1"/>
        </w:rPr>
        <w:t xml:space="preserve">ledelse, </w:t>
      </w:r>
      <w:r w:rsidRPr="004907F4">
        <w:rPr>
          <w:rFonts w:cstheme="minorHAnsi"/>
          <w:color w:val="000000" w:themeColor="text1"/>
        </w:rPr>
        <w:t>innovasjon, forbedring og effektivisering på en måte som fastlegen har kontroll over. Utformingen av kvalitetselementet bør unngå variabler som fastlegen ikke har kontroll over</w:t>
      </w:r>
      <w:r w:rsidR="000A5E81" w:rsidRPr="004907F4">
        <w:rPr>
          <w:rFonts w:cstheme="minorHAnsi"/>
          <w:color w:val="000000" w:themeColor="text1"/>
        </w:rPr>
        <w:t>,</w:t>
      </w:r>
      <w:r w:rsidRPr="004907F4">
        <w:rPr>
          <w:rFonts w:cstheme="minorHAnsi"/>
          <w:color w:val="000000" w:themeColor="text1"/>
        </w:rPr>
        <w:t xml:space="preserve"> som for eksempel overordnede mål for helseutvikling blant listeinnbyggerne.</w:t>
      </w:r>
    </w:p>
    <w:p w14:paraId="6426EBDD" w14:textId="4F4022C0" w:rsidR="007F0653" w:rsidRPr="004907F4" w:rsidRDefault="000814D8" w:rsidP="00FB310D">
      <w:pPr>
        <w:rPr>
          <w:rFonts w:eastAsiaTheme="minorEastAsia"/>
        </w:rPr>
      </w:pPr>
      <w:r w:rsidRPr="004907F4">
        <w:t xml:space="preserve">Andre mulige elementer for kvalitetsjustering kunne inkludere </w:t>
      </w:r>
      <w:r w:rsidR="00057FBC" w:rsidRPr="004907F4">
        <w:rPr>
          <w:rFonts w:cstheme="minorHAnsi"/>
        </w:rPr>
        <w:t xml:space="preserve">diagnostisk teknologi myndighetene ønsker skal være tilgjengelig på legekontoret (ultralydapparater el.l.), </w:t>
      </w:r>
      <w:r w:rsidR="00017473" w:rsidRPr="004907F4">
        <w:t xml:space="preserve">legekontorets åpningstider, ventetider, </w:t>
      </w:r>
      <w:r w:rsidRPr="004907F4">
        <w:t>praksisopphold for medisinstudenter, veiledning av LIS1 og ALIS, samarbeid</w:t>
      </w:r>
      <w:r w:rsidR="00A406BD" w:rsidRPr="004907F4">
        <w:t>,</w:t>
      </w:r>
      <w:r w:rsidRPr="004907F4">
        <w:t xml:space="preserve"> </w:t>
      </w:r>
      <w:r w:rsidR="00CE26B1" w:rsidRPr="004907F4">
        <w:t xml:space="preserve">ledelse, </w:t>
      </w:r>
      <w:r w:rsidRPr="004907F4">
        <w:t>gruppepraksiser (i stedet for solopraksiser)</w:t>
      </w:r>
      <w:r w:rsidR="00E61A50" w:rsidRPr="004907F4">
        <w:t xml:space="preserve">, </w:t>
      </w:r>
      <w:r w:rsidR="00460FA9" w:rsidRPr="004907F4">
        <w:t>innslag av andre helse</w:t>
      </w:r>
      <w:r w:rsidR="0099063A" w:rsidRPr="004907F4">
        <w:t>profesjoner</w:t>
      </w:r>
      <w:r w:rsidR="00E61A50" w:rsidRPr="004907F4">
        <w:t>, og o</w:t>
      </w:r>
      <w:r w:rsidRPr="004907F4">
        <w:t xml:space="preserve">ppsøkende aktiviteter overfor svake etterspørrere. </w:t>
      </w:r>
      <w:r w:rsidR="00C16F84" w:rsidRPr="004907F4">
        <w:t xml:space="preserve">I Sverige </w:t>
      </w:r>
      <w:r w:rsidR="00551810" w:rsidRPr="004907F4">
        <w:t xml:space="preserve">finnes </w:t>
      </w:r>
      <w:r w:rsidR="00E47F6B" w:rsidRPr="004907F4">
        <w:t>det</w:t>
      </w:r>
      <w:r w:rsidR="00551810" w:rsidRPr="004907F4">
        <w:t xml:space="preserve"> </w:t>
      </w:r>
      <w:r w:rsidR="0035337C" w:rsidRPr="004907F4">
        <w:t xml:space="preserve">også </w:t>
      </w:r>
      <w:r w:rsidR="00EA3E0B" w:rsidRPr="004907F4">
        <w:t>en komponent</w:t>
      </w:r>
      <w:r w:rsidR="007F0653" w:rsidRPr="004907F4">
        <w:t xml:space="preserve"> som </w:t>
      </w:r>
      <w:r w:rsidR="007F0653" w:rsidRPr="004907F4">
        <w:rPr>
          <w:rFonts w:ascii="Calibri" w:eastAsia="Calibri" w:hAnsi="Calibri" w:cs="Calibri"/>
        </w:rPr>
        <w:t>belønn</w:t>
      </w:r>
      <w:r w:rsidR="00EA3E0B" w:rsidRPr="004907F4">
        <w:rPr>
          <w:rFonts w:ascii="Calibri" w:eastAsia="Calibri" w:hAnsi="Calibri" w:cs="Calibri"/>
        </w:rPr>
        <w:t>er</w:t>
      </w:r>
      <w:r w:rsidR="007F0653" w:rsidRPr="004907F4">
        <w:rPr>
          <w:rFonts w:ascii="Calibri" w:eastAsia="Calibri" w:hAnsi="Calibri" w:cs="Calibri"/>
        </w:rPr>
        <w:t xml:space="preserve"> vårdcentrale</w:t>
      </w:r>
      <w:r w:rsidR="00EA3E0B" w:rsidRPr="004907F4">
        <w:rPr>
          <w:rFonts w:ascii="Calibri" w:eastAsia="Calibri" w:hAnsi="Calibri" w:cs="Calibri"/>
        </w:rPr>
        <w:t>r</w:t>
      </w:r>
      <w:r w:rsidR="007F0653" w:rsidRPr="004907F4">
        <w:rPr>
          <w:rFonts w:ascii="Calibri" w:eastAsia="Calibri" w:hAnsi="Calibri" w:cs="Calibri"/>
        </w:rPr>
        <w:t xml:space="preserve"> </w:t>
      </w:r>
      <w:r w:rsidR="00EA3E0B" w:rsidRPr="004907F4">
        <w:rPr>
          <w:rFonts w:ascii="Calibri" w:eastAsia="Calibri" w:hAnsi="Calibri" w:cs="Calibri"/>
        </w:rPr>
        <w:t>som</w:t>
      </w:r>
      <w:r w:rsidR="007F0653" w:rsidRPr="004907F4">
        <w:rPr>
          <w:rFonts w:ascii="Calibri" w:eastAsia="Calibri" w:hAnsi="Calibri" w:cs="Calibri"/>
        </w:rPr>
        <w:t xml:space="preserve"> selv tar hånd om listeinnbyggernes behov for helsetjenester, i stedet for å sende </w:t>
      </w:r>
      <w:r w:rsidR="00045808" w:rsidRPr="004907F4">
        <w:rPr>
          <w:rFonts w:ascii="Calibri" w:eastAsia="Calibri" w:hAnsi="Calibri" w:cs="Calibri"/>
        </w:rPr>
        <w:t>dem</w:t>
      </w:r>
      <w:r w:rsidR="007F0653" w:rsidRPr="004907F4">
        <w:rPr>
          <w:rFonts w:ascii="Calibri" w:eastAsia="Calibri" w:hAnsi="Calibri" w:cs="Calibri"/>
        </w:rPr>
        <w:t xml:space="preserve"> videre til spesialisthelsetjenesten.</w:t>
      </w:r>
    </w:p>
    <w:p w14:paraId="567E8CD0" w14:textId="77777777" w:rsidR="00D9107F" w:rsidRDefault="000814D8" w:rsidP="00FB310D">
      <w:pPr>
        <w:rPr>
          <w:rFonts w:eastAsia="Calibri"/>
        </w:rPr>
      </w:pPr>
      <w:r w:rsidRPr="004907F4">
        <w:rPr>
          <w:rFonts w:eastAsia="Calibri"/>
        </w:rPr>
        <w:t xml:space="preserve">Det er imidlertid viktig å holde antallet </w:t>
      </w:r>
      <w:r w:rsidR="00F81F86" w:rsidRPr="004907F4">
        <w:rPr>
          <w:rFonts w:eastAsia="Calibri"/>
        </w:rPr>
        <w:t>kvalitetsindikatorer</w:t>
      </w:r>
      <w:r w:rsidRPr="004907F4">
        <w:rPr>
          <w:rFonts w:eastAsia="Calibri"/>
        </w:rPr>
        <w:t xml:space="preserve"> på et lavt nivå, for å sikre at en kvalitetsjustert basisfinansiering er transparent. Dersom det innføres, bør man starte med noen få indikatorer. Eksempler kunne være at kontoret har spesialist i allmenn</w:t>
      </w:r>
      <w:r w:rsidR="009E6F24" w:rsidRPr="004907F4">
        <w:rPr>
          <w:rFonts w:eastAsia="Calibri"/>
        </w:rPr>
        <w:t>m</w:t>
      </w:r>
      <w:r w:rsidRPr="004907F4">
        <w:rPr>
          <w:rFonts w:eastAsia="Calibri"/>
        </w:rPr>
        <w:t>edisin, at legene gjennomfører kurs</w:t>
      </w:r>
      <w:r w:rsidR="00BE5EE1" w:rsidRPr="004907F4">
        <w:rPr>
          <w:rFonts w:eastAsia="Calibri"/>
        </w:rPr>
        <w:t xml:space="preserve"> eller systematisk arbeid med kvalitetsforbedring</w:t>
      </w:r>
      <w:r w:rsidRPr="004907F4">
        <w:rPr>
          <w:rFonts w:eastAsia="Calibri"/>
        </w:rPr>
        <w:t>, at journalsystemet gjør det mulig å identifisere svake etterspørrere og at det gjennomføres brukererfaringsundersøkelser.</w:t>
      </w:r>
    </w:p>
    <w:p w14:paraId="6002DAEE" w14:textId="52B65A2C" w:rsidR="00D9107F" w:rsidRDefault="009D1D6E" w:rsidP="0040712A">
      <w:pPr>
        <w:pStyle w:val="tittel-ramme"/>
        <w:jc w:val="left"/>
        <w:rPr>
          <w:rStyle w:val="kursiv"/>
        </w:rPr>
      </w:pPr>
      <w:r w:rsidRPr="00D9107F">
        <w:rPr>
          <w:rStyle w:val="kursiv"/>
        </w:rPr>
        <w:lastRenderedPageBreak/>
        <w:t>Økonomisk uttelling for spesialitet i allmennmedisin</w:t>
      </w:r>
    </w:p>
    <w:tbl>
      <w:tblPr>
        <w:tblStyle w:val="StandardBoks"/>
        <w:tblW w:w="0" w:type="auto"/>
        <w:tblLook w:val="04A0" w:firstRow="1" w:lastRow="0" w:firstColumn="1" w:lastColumn="0" w:noHBand="0" w:noVBand="1"/>
      </w:tblPr>
      <w:tblGrid>
        <w:gridCol w:w="9736"/>
      </w:tblGrid>
      <w:tr w:rsidR="0040712A" w14:paraId="0F6D5140" w14:textId="77777777" w:rsidTr="0040712A">
        <w:tc>
          <w:tcPr>
            <w:tcW w:w="9736" w:type="dxa"/>
          </w:tcPr>
          <w:p w14:paraId="02DE414C" w14:textId="77777777" w:rsidR="0040712A" w:rsidRPr="0072573B" w:rsidRDefault="0040712A" w:rsidP="0040712A">
            <w:r w:rsidRPr="0072573B">
              <w:t xml:space="preserve">Leger som er spesialist i allmennmedisin, kan utløse særskilte takster. </w:t>
            </w:r>
            <w:r>
              <w:t>Takstene</w:t>
            </w:r>
            <w:r w:rsidRPr="0072573B">
              <w:t xml:space="preserve"> er mye i bruk, da de er koblet til konsultasjons- og sykebesøkstakstene. Fastlegens journalsystemer legger til takstene automatisk når legen er registrert som spesialist. Tabellen nedenfor viser bruk av hver takst, i 2022</w:t>
            </w:r>
            <w:r>
              <w:t>.</w:t>
            </w:r>
          </w:p>
          <w:p w14:paraId="237B9F68" w14:textId="77777777" w:rsidR="0040712A" w:rsidRPr="008F6763" w:rsidRDefault="0040712A" w:rsidP="00F02EA2">
            <w:pPr>
              <w:pStyle w:val="avsnitt-tittel"/>
            </w:pPr>
            <w:r w:rsidRPr="008F6763">
              <w:t>Tilleggstakster for spesialister i allmennmedisin</w:t>
            </w:r>
          </w:p>
          <w:tbl>
            <w:tblPr>
              <w:tblStyle w:val="EUTabellstil"/>
              <w:tblW w:w="5000" w:type="pct"/>
              <w:tblLook w:val="04A0" w:firstRow="1" w:lastRow="0" w:firstColumn="1" w:lastColumn="0" w:noHBand="0" w:noVBand="1"/>
            </w:tblPr>
            <w:tblGrid>
              <w:gridCol w:w="1315"/>
              <w:gridCol w:w="1487"/>
              <w:gridCol w:w="1412"/>
              <w:gridCol w:w="1556"/>
              <w:gridCol w:w="1581"/>
              <w:gridCol w:w="2035"/>
            </w:tblGrid>
            <w:tr w:rsidR="0040712A" w:rsidRPr="000257B5" w14:paraId="69B0DAFD" w14:textId="77777777" w:rsidTr="00707F97">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01" w:type="pct"/>
                  <w:tcBorders>
                    <w:bottom w:val="single" w:sz="24" w:space="0" w:color="2A3652"/>
                  </w:tcBorders>
                  <w:shd w:val="clear" w:color="auto" w:fill="A9D6B9"/>
                  <w:hideMark/>
                </w:tcPr>
                <w:p w14:paraId="589F255C" w14:textId="77777777" w:rsidR="0040712A" w:rsidRPr="0038633B" w:rsidRDefault="0040712A" w:rsidP="00F02EA2">
                  <w:pPr>
                    <w:pStyle w:val="TabellHode-kolonne"/>
                  </w:pPr>
                  <w:r w:rsidRPr="0038633B">
                    <w:t>Takst</w:t>
                  </w:r>
                </w:p>
              </w:tc>
              <w:tc>
                <w:tcPr>
                  <w:tcW w:w="792" w:type="pct"/>
                  <w:tcBorders>
                    <w:bottom w:val="single" w:sz="24" w:space="0" w:color="2A3652"/>
                  </w:tcBorders>
                  <w:shd w:val="clear" w:color="auto" w:fill="A9D6B9"/>
                  <w:hideMark/>
                </w:tcPr>
                <w:p w14:paraId="6C691D53" w14:textId="77777777" w:rsidR="0040712A" w:rsidRPr="0038633B" w:rsidRDefault="0040712A" w:rsidP="00F02EA2">
                  <w:pPr>
                    <w:pStyle w:val="TabellHode-kolonne"/>
                    <w:cnfStyle w:val="100000000000" w:firstRow="1" w:lastRow="0" w:firstColumn="0" w:lastColumn="0" w:oddVBand="0" w:evenVBand="0" w:oddHBand="0" w:evenHBand="0" w:firstRowFirstColumn="0" w:firstRowLastColumn="0" w:lastRowFirstColumn="0" w:lastRowLastColumn="0"/>
                  </w:pPr>
                  <w:r w:rsidRPr="0038633B">
                    <w:t>Leger som har utløst taksten</w:t>
                  </w:r>
                </w:p>
              </w:tc>
              <w:tc>
                <w:tcPr>
                  <w:tcW w:w="752" w:type="pct"/>
                  <w:tcBorders>
                    <w:bottom w:val="single" w:sz="24" w:space="0" w:color="2A3652"/>
                  </w:tcBorders>
                  <w:shd w:val="clear" w:color="auto" w:fill="A9D6B9"/>
                  <w:hideMark/>
                </w:tcPr>
                <w:p w14:paraId="1796F05E" w14:textId="77777777" w:rsidR="0040712A" w:rsidRPr="0038633B" w:rsidRDefault="0040712A" w:rsidP="00F02EA2">
                  <w:pPr>
                    <w:pStyle w:val="TabellHode-kolonne"/>
                    <w:cnfStyle w:val="100000000000" w:firstRow="1" w:lastRow="0" w:firstColumn="0" w:lastColumn="0" w:oddVBand="0" w:evenVBand="0" w:oddHBand="0" w:evenHBand="0" w:firstRowFirstColumn="0" w:firstRowLastColumn="0" w:lastRowFirstColumn="0" w:lastRowLastColumn="0"/>
                  </w:pPr>
                  <w:r w:rsidRPr="0038633B">
                    <w:t>Antall pasienter</w:t>
                  </w:r>
                </w:p>
              </w:tc>
              <w:tc>
                <w:tcPr>
                  <w:tcW w:w="829" w:type="pct"/>
                  <w:tcBorders>
                    <w:bottom w:val="single" w:sz="24" w:space="0" w:color="2A3652"/>
                  </w:tcBorders>
                  <w:shd w:val="clear" w:color="auto" w:fill="A9D6B9"/>
                  <w:hideMark/>
                </w:tcPr>
                <w:p w14:paraId="148FF954" w14:textId="77777777" w:rsidR="0040712A" w:rsidRPr="0038633B" w:rsidRDefault="0040712A" w:rsidP="00F02EA2">
                  <w:pPr>
                    <w:pStyle w:val="TabellHode-kolonne"/>
                    <w:cnfStyle w:val="100000000000" w:firstRow="1" w:lastRow="0" w:firstColumn="0" w:lastColumn="0" w:oddVBand="0" w:evenVBand="0" w:oddHBand="0" w:evenHBand="0" w:firstRowFirstColumn="0" w:firstRowLastColumn="0" w:lastRowFirstColumn="0" w:lastRowLastColumn="0"/>
                  </w:pPr>
                  <w:r w:rsidRPr="0038633B">
                    <w:t>Antall takster</w:t>
                  </w:r>
                </w:p>
              </w:tc>
              <w:tc>
                <w:tcPr>
                  <w:tcW w:w="842" w:type="pct"/>
                  <w:tcBorders>
                    <w:bottom w:val="single" w:sz="24" w:space="0" w:color="2A3652"/>
                  </w:tcBorders>
                  <w:shd w:val="clear" w:color="auto" w:fill="A9D6B9"/>
                  <w:hideMark/>
                </w:tcPr>
                <w:p w14:paraId="725CC150" w14:textId="77777777" w:rsidR="0040712A" w:rsidRPr="0038633B" w:rsidRDefault="0040712A" w:rsidP="00F02EA2">
                  <w:pPr>
                    <w:pStyle w:val="TabellHode-kolonne"/>
                    <w:cnfStyle w:val="100000000000" w:firstRow="1" w:lastRow="0" w:firstColumn="0" w:lastColumn="0" w:oddVBand="0" w:evenVBand="0" w:oddHBand="0" w:evenHBand="0" w:firstRowFirstColumn="0" w:firstRowLastColumn="0" w:lastRowFirstColumn="0" w:lastRowLastColumn="0"/>
                  </w:pPr>
                  <w:r w:rsidRPr="0038633B">
                    <w:t>Egenandel betalt av pasient</w:t>
                  </w:r>
                </w:p>
              </w:tc>
              <w:tc>
                <w:tcPr>
                  <w:tcW w:w="1084" w:type="pct"/>
                  <w:tcBorders>
                    <w:bottom w:val="single" w:sz="24" w:space="0" w:color="2A3652"/>
                  </w:tcBorders>
                  <w:shd w:val="clear" w:color="auto" w:fill="A9D6B9"/>
                  <w:hideMark/>
                </w:tcPr>
                <w:p w14:paraId="6B7103EF" w14:textId="77777777" w:rsidR="0040712A" w:rsidRPr="0038633B" w:rsidRDefault="0040712A" w:rsidP="00F02EA2">
                  <w:pPr>
                    <w:pStyle w:val="TabellHode-kolonne"/>
                    <w:cnfStyle w:val="100000000000" w:firstRow="1" w:lastRow="0" w:firstColumn="0" w:lastColumn="0" w:oddVBand="0" w:evenVBand="0" w:oddHBand="0" w:evenHBand="0" w:firstRowFirstColumn="0" w:firstRowLastColumn="0" w:lastRowFirstColumn="0" w:lastRowLastColumn="0"/>
                  </w:pPr>
                  <w:r w:rsidRPr="0038633B">
                    <w:t>Honorar, inkl pasientbetaling</w:t>
                  </w:r>
                </w:p>
              </w:tc>
            </w:tr>
            <w:tr w:rsidR="0040712A" w:rsidRPr="000257B5" w14:paraId="35FA9684"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tcBorders>
                    <w:top w:val="single" w:sz="24" w:space="0" w:color="2A3652"/>
                  </w:tcBorders>
                  <w:noWrap/>
                  <w:hideMark/>
                </w:tcPr>
                <w:p w14:paraId="40CDFCCB" w14:textId="77777777" w:rsidR="0040712A" w:rsidRPr="0038633B" w:rsidRDefault="0040712A" w:rsidP="00F02EA2">
                  <w:pPr>
                    <w:pStyle w:val="TabellHode-rad"/>
                  </w:pPr>
                  <w:r w:rsidRPr="0038633B">
                    <w:t>2dd</w:t>
                  </w:r>
                </w:p>
              </w:tc>
              <w:tc>
                <w:tcPr>
                  <w:tcW w:w="792" w:type="pct"/>
                  <w:tcBorders>
                    <w:top w:val="single" w:sz="24" w:space="0" w:color="2A3652"/>
                  </w:tcBorders>
                  <w:shd w:val="clear" w:color="auto" w:fill="FFFFFF" w:themeFill="background1"/>
                  <w:noWrap/>
                  <w:hideMark/>
                </w:tcPr>
                <w:p w14:paraId="3967CC44" w14:textId="1F187915"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3 698 </w:t>
                  </w:r>
                </w:p>
              </w:tc>
              <w:tc>
                <w:tcPr>
                  <w:tcW w:w="752" w:type="pct"/>
                  <w:tcBorders>
                    <w:top w:val="single" w:sz="24" w:space="0" w:color="2A3652"/>
                  </w:tcBorders>
                  <w:shd w:val="clear" w:color="auto" w:fill="FFFFFF" w:themeFill="background1"/>
                  <w:noWrap/>
                  <w:hideMark/>
                </w:tcPr>
                <w:p w14:paraId="5E142258" w14:textId="08E9CBA3"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2 774 031 </w:t>
                  </w:r>
                </w:p>
              </w:tc>
              <w:tc>
                <w:tcPr>
                  <w:tcW w:w="829" w:type="pct"/>
                  <w:tcBorders>
                    <w:top w:val="single" w:sz="24" w:space="0" w:color="2A3652"/>
                  </w:tcBorders>
                  <w:shd w:val="clear" w:color="auto" w:fill="FFFFFF" w:themeFill="background1"/>
                  <w:noWrap/>
                  <w:hideMark/>
                </w:tcPr>
                <w:p w14:paraId="45767B69" w14:textId="0C35D7C0"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9 435 656 </w:t>
                  </w:r>
                </w:p>
              </w:tc>
              <w:tc>
                <w:tcPr>
                  <w:tcW w:w="842" w:type="pct"/>
                  <w:tcBorders>
                    <w:top w:val="single" w:sz="24" w:space="0" w:color="2A3652"/>
                  </w:tcBorders>
                  <w:shd w:val="clear" w:color="auto" w:fill="FFFFFF" w:themeFill="background1"/>
                  <w:noWrap/>
                  <w:hideMark/>
                </w:tcPr>
                <w:p w14:paraId="6D694522" w14:textId="08A2A8A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275 396 836 </w:t>
                  </w:r>
                </w:p>
              </w:tc>
              <w:tc>
                <w:tcPr>
                  <w:tcW w:w="1084" w:type="pct"/>
                  <w:tcBorders>
                    <w:top w:val="single" w:sz="24" w:space="0" w:color="2A3652"/>
                  </w:tcBorders>
                  <w:shd w:val="clear" w:color="auto" w:fill="FFFFFF" w:themeFill="background1"/>
                  <w:noWrap/>
                  <w:hideMark/>
                </w:tcPr>
                <w:p w14:paraId="7A8E08F5" w14:textId="632E036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1 004 601 183 </w:t>
                  </w:r>
                </w:p>
              </w:tc>
            </w:tr>
            <w:tr w:rsidR="0040712A" w:rsidRPr="000257B5" w14:paraId="2E1AFCD4"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696D1500" w14:textId="77777777" w:rsidR="0040712A" w:rsidRPr="0038633B" w:rsidRDefault="0040712A" w:rsidP="00F02EA2">
                  <w:pPr>
                    <w:pStyle w:val="TabellHode-rad"/>
                  </w:pPr>
                  <w:r w:rsidRPr="0038633B">
                    <w:t>2cdd</w:t>
                  </w:r>
                </w:p>
              </w:tc>
              <w:tc>
                <w:tcPr>
                  <w:tcW w:w="792" w:type="pct"/>
                  <w:shd w:val="clear" w:color="auto" w:fill="FFFFFF" w:themeFill="background1"/>
                  <w:noWrap/>
                  <w:hideMark/>
                </w:tcPr>
                <w:p w14:paraId="18CB930B" w14:textId="7746AC90"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3 497 </w:t>
                  </w:r>
                </w:p>
              </w:tc>
              <w:tc>
                <w:tcPr>
                  <w:tcW w:w="752" w:type="pct"/>
                  <w:shd w:val="clear" w:color="auto" w:fill="FFFFFF" w:themeFill="background1"/>
                  <w:noWrap/>
                  <w:hideMark/>
                </w:tcPr>
                <w:p w14:paraId="54D4D201" w14:textId="6DED4D0E"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1 326 860 </w:t>
                  </w:r>
                </w:p>
              </w:tc>
              <w:tc>
                <w:tcPr>
                  <w:tcW w:w="829" w:type="pct"/>
                  <w:shd w:val="clear" w:color="auto" w:fill="FFFFFF" w:themeFill="background1"/>
                  <w:noWrap/>
                  <w:hideMark/>
                </w:tcPr>
                <w:p w14:paraId="0389555F" w14:textId="58E01B84"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3 095 326 </w:t>
                  </w:r>
                </w:p>
              </w:tc>
              <w:tc>
                <w:tcPr>
                  <w:tcW w:w="842" w:type="pct"/>
                  <w:shd w:val="clear" w:color="auto" w:fill="FFFFFF" w:themeFill="background1"/>
                  <w:noWrap/>
                  <w:hideMark/>
                </w:tcPr>
                <w:p w14:paraId="469CCB4B" w14:textId="4DAD636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w:t>
                  </w:r>
                </w:p>
              </w:tc>
              <w:tc>
                <w:tcPr>
                  <w:tcW w:w="1084" w:type="pct"/>
                  <w:shd w:val="clear" w:color="auto" w:fill="FFFFFF" w:themeFill="background1"/>
                  <w:noWrap/>
                  <w:hideMark/>
                </w:tcPr>
                <w:p w14:paraId="082FD56A" w14:textId="3FFCB8E2"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37 086 080 </w:t>
                  </w:r>
                </w:p>
              </w:tc>
            </w:tr>
            <w:tr w:rsidR="0040712A" w:rsidRPr="000257B5" w14:paraId="2D24E415"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5C622921" w14:textId="77777777" w:rsidR="0040712A" w:rsidRPr="0038633B" w:rsidRDefault="0040712A" w:rsidP="00F02EA2">
                  <w:pPr>
                    <w:pStyle w:val="TabellHode-rad"/>
                  </w:pPr>
                  <w:r w:rsidRPr="0038633B">
                    <w:t>2dk</w:t>
                  </w:r>
                </w:p>
              </w:tc>
              <w:tc>
                <w:tcPr>
                  <w:tcW w:w="792" w:type="pct"/>
                  <w:shd w:val="clear" w:color="auto" w:fill="FFFFFF" w:themeFill="background1"/>
                  <w:noWrap/>
                  <w:hideMark/>
                </w:tcPr>
                <w:p w14:paraId="3CD0C835" w14:textId="6D56F816"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2 497 </w:t>
                  </w:r>
                </w:p>
              </w:tc>
              <w:tc>
                <w:tcPr>
                  <w:tcW w:w="752" w:type="pct"/>
                  <w:shd w:val="clear" w:color="auto" w:fill="FFFFFF" w:themeFill="background1"/>
                  <w:noWrap/>
                  <w:hideMark/>
                </w:tcPr>
                <w:p w14:paraId="309D5E57" w14:textId="43B2125D"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289 125 </w:t>
                  </w:r>
                </w:p>
              </w:tc>
              <w:tc>
                <w:tcPr>
                  <w:tcW w:w="829" w:type="pct"/>
                  <w:shd w:val="clear" w:color="auto" w:fill="FFFFFF" w:themeFill="background1"/>
                  <w:noWrap/>
                  <w:hideMark/>
                </w:tcPr>
                <w:p w14:paraId="2038F537" w14:textId="288C809B"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554 098 </w:t>
                  </w:r>
                </w:p>
              </w:tc>
              <w:tc>
                <w:tcPr>
                  <w:tcW w:w="842" w:type="pct"/>
                  <w:shd w:val="clear" w:color="auto" w:fill="FFFFFF" w:themeFill="background1"/>
                  <w:noWrap/>
                  <w:hideMark/>
                </w:tcPr>
                <w:p w14:paraId="44240F01" w14:textId="0FCC781D"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5 254 496 </w:t>
                  </w:r>
                </w:p>
              </w:tc>
              <w:tc>
                <w:tcPr>
                  <w:tcW w:w="1084" w:type="pct"/>
                  <w:shd w:val="clear" w:color="auto" w:fill="FFFFFF" w:themeFill="background1"/>
                  <w:noWrap/>
                  <w:hideMark/>
                </w:tcPr>
                <w:p w14:paraId="366072E7" w14:textId="5D4D8586"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65 923 234 </w:t>
                  </w:r>
                </w:p>
              </w:tc>
            </w:tr>
            <w:tr w:rsidR="0040712A" w:rsidRPr="000257B5" w14:paraId="798780EF"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7B4EBD23" w14:textId="77777777" w:rsidR="0040712A" w:rsidRPr="0038633B" w:rsidRDefault="0040712A" w:rsidP="00F02EA2">
                  <w:pPr>
                    <w:pStyle w:val="TabellHode-rad"/>
                  </w:pPr>
                  <w:r w:rsidRPr="0038633B">
                    <w:t>11dd</w:t>
                  </w:r>
                </w:p>
              </w:tc>
              <w:tc>
                <w:tcPr>
                  <w:tcW w:w="792" w:type="pct"/>
                  <w:shd w:val="clear" w:color="auto" w:fill="FFFFFF" w:themeFill="background1"/>
                  <w:noWrap/>
                  <w:hideMark/>
                </w:tcPr>
                <w:p w14:paraId="16BADACF" w14:textId="3C7853DC"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2 844 </w:t>
                  </w:r>
                </w:p>
              </w:tc>
              <w:tc>
                <w:tcPr>
                  <w:tcW w:w="752" w:type="pct"/>
                  <w:shd w:val="clear" w:color="auto" w:fill="FFFFFF" w:themeFill="background1"/>
                  <w:noWrap/>
                  <w:hideMark/>
                </w:tcPr>
                <w:p w14:paraId="1968EAAD" w14:textId="2177526D"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17 528 </w:t>
                  </w:r>
                </w:p>
              </w:tc>
              <w:tc>
                <w:tcPr>
                  <w:tcW w:w="829" w:type="pct"/>
                  <w:shd w:val="clear" w:color="auto" w:fill="FFFFFF" w:themeFill="background1"/>
                  <w:noWrap/>
                  <w:hideMark/>
                </w:tcPr>
                <w:p w14:paraId="68FFC084" w14:textId="312E7222"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30 944 </w:t>
                  </w:r>
                </w:p>
              </w:tc>
              <w:tc>
                <w:tcPr>
                  <w:tcW w:w="842" w:type="pct"/>
                  <w:shd w:val="clear" w:color="auto" w:fill="FFFFFF" w:themeFill="background1"/>
                  <w:noWrap/>
                  <w:hideMark/>
                </w:tcPr>
                <w:p w14:paraId="368987B5" w14:textId="32289B65"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420 128 </w:t>
                  </w:r>
                </w:p>
              </w:tc>
              <w:tc>
                <w:tcPr>
                  <w:tcW w:w="1084" w:type="pct"/>
                  <w:shd w:val="clear" w:color="auto" w:fill="FFFFFF" w:themeFill="background1"/>
                  <w:noWrap/>
                  <w:hideMark/>
                </w:tcPr>
                <w:p w14:paraId="5527F8FA" w14:textId="02085434"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3 233 318 </w:t>
                  </w:r>
                </w:p>
              </w:tc>
            </w:tr>
            <w:tr w:rsidR="0040712A" w:rsidRPr="000257B5" w14:paraId="117B4B2C"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5E6A432A" w14:textId="77777777" w:rsidR="0040712A" w:rsidRPr="0038633B" w:rsidRDefault="0040712A" w:rsidP="00F02EA2">
                  <w:pPr>
                    <w:pStyle w:val="TabellHode-rad"/>
                  </w:pPr>
                  <w:r w:rsidRPr="0038633B">
                    <w:t>11dk</w:t>
                  </w:r>
                </w:p>
              </w:tc>
              <w:tc>
                <w:tcPr>
                  <w:tcW w:w="792" w:type="pct"/>
                  <w:shd w:val="clear" w:color="auto" w:fill="FFFFFF" w:themeFill="background1"/>
                  <w:noWrap/>
                  <w:hideMark/>
                </w:tcPr>
                <w:p w14:paraId="2D9F834B" w14:textId="6F36001A"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1 480 </w:t>
                  </w:r>
                </w:p>
              </w:tc>
              <w:tc>
                <w:tcPr>
                  <w:tcW w:w="752" w:type="pct"/>
                  <w:shd w:val="clear" w:color="auto" w:fill="FFFFFF" w:themeFill="background1"/>
                  <w:noWrap/>
                  <w:hideMark/>
                </w:tcPr>
                <w:p w14:paraId="5B7C9056" w14:textId="79A1F4DD"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6 795 </w:t>
                  </w:r>
                </w:p>
              </w:tc>
              <w:tc>
                <w:tcPr>
                  <w:tcW w:w="829" w:type="pct"/>
                  <w:shd w:val="clear" w:color="auto" w:fill="FFFFFF" w:themeFill="background1"/>
                  <w:noWrap/>
                  <w:hideMark/>
                </w:tcPr>
                <w:p w14:paraId="54BA2701" w14:textId="5DDD4230"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13 706 </w:t>
                  </w:r>
                </w:p>
              </w:tc>
              <w:tc>
                <w:tcPr>
                  <w:tcW w:w="842" w:type="pct"/>
                  <w:shd w:val="clear" w:color="auto" w:fill="FFFFFF" w:themeFill="background1"/>
                  <w:noWrap/>
                  <w:hideMark/>
                </w:tcPr>
                <w:p w14:paraId="0477438F" w14:textId="5ADE47A2"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169 480 </w:t>
                  </w:r>
                </w:p>
              </w:tc>
              <w:tc>
                <w:tcPr>
                  <w:tcW w:w="1084" w:type="pct"/>
                  <w:shd w:val="clear" w:color="auto" w:fill="FFFFFF" w:themeFill="background1"/>
                  <w:noWrap/>
                  <w:hideMark/>
                </w:tcPr>
                <w:p w14:paraId="6E677187" w14:textId="1492FF4C"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1 905 056 </w:t>
                  </w:r>
                </w:p>
              </w:tc>
            </w:tr>
            <w:tr w:rsidR="0040712A" w:rsidRPr="000257B5" w14:paraId="2ED66052"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41FF85AA" w14:textId="77777777" w:rsidR="0040712A" w:rsidRPr="0038633B" w:rsidRDefault="0040712A" w:rsidP="00F02EA2">
                  <w:pPr>
                    <w:pStyle w:val="TabellHode-rad"/>
                  </w:pPr>
                  <w:r w:rsidRPr="0038633B">
                    <w:t>14d</w:t>
                  </w:r>
                </w:p>
              </w:tc>
              <w:tc>
                <w:tcPr>
                  <w:tcW w:w="792" w:type="pct"/>
                  <w:shd w:val="clear" w:color="auto" w:fill="FFFFFF" w:themeFill="background1"/>
                  <w:noWrap/>
                  <w:hideMark/>
                </w:tcPr>
                <w:p w14:paraId="02B7AAD2" w14:textId="05AED5D7"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3 005 </w:t>
                  </w:r>
                </w:p>
              </w:tc>
              <w:tc>
                <w:tcPr>
                  <w:tcW w:w="752" w:type="pct"/>
                  <w:shd w:val="clear" w:color="auto" w:fill="FFFFFF" w:themeFill="background1"/>
                  <w:noWrap/>
                  <w:hideMark/>
                </w:tcPr>
                <w:p w14:paraId="5B20E885" w14:textId="553BB73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35 194 </w:t>
                  </w:r>
                </w:p>
              </w:tc>
              <w:tc>
                <w:tcPr>
                  <w:tcW w:w="829" w:type="pct"/>
                  <w:shd w:val="clear" w:color="auto" w:fill="FFFFFF" w:themeFill="background1"/>
                  <w:noWrap/>
                  <w:hideMark/>
                </w:tcPr>
                <w:p w14:paraId="188512EF" w14:textId="0C41225A"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111 402 </w:t>
                  </w:r>
                </w:p>
              </w:tc>
              <w:tc>
                <w:tcPr>
                  <w:tcW w:w="842" w:type="pct"/>
                  <w:shd w:val="clear" w:color="auto" w:fill="FFFFFF" w:themeFill="background1"/>
                  <w:noWrap/>
                  <w:hideMark/>
                </w:tcPr>
                <w:p w14:paraId="4434126C" w14:textId="664A2AC6"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w:t>
                  </w:r>
                </w:p>
              </w:tc>
              <w:tc>
                <w:tcPr>
                  <w:tcW w:w="1084" w:type="pct"/>
                  <w:shd w:val="clear" w:color="auto" w:fill="FFFFFF" w:themeFill="background1"/>
                  <w:noWrap/>
                  <w:hideMark/>
                </w:tcPr>
                <w:p w14:paraId="1CB38A89" w14:textId="6658C71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14 617 213 </w:t>
                  </w:r>
                </w:p>
              </w:tc>
            </w:tr>
            <w:tr w:rsidR="0040712A" w:rsidRPr="000257B5" w14:paraId="2190A529"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7139E641" w14:textId="77777777" w:rsidR="0040712A" w:rsidRPr="0038633B" w:rsidRDefault="0040712A" w:rsidP="00F02EA2">
                  <w:pPr>
                    <w:pStyle w:val="TabellHode-rad"/>
                  </w:pPr>
                  <w:r w:rsidRPr="0038633B">
                    <w:t>L35ad</w:t>
                  </w:r>
                </w:p>
              </w:tc>
              <w:tc>
                <w:tcPr>
                  <w:tcW w:w="792" w:type="pct"/>
                  <w:shd w:val="clear" w:color="auto" w:fill="FFFFFF" w:themeFill="background1"/>
                  <w:noWrap/>
                  <w:hideMark/>
                </w:tcPr>
                <w:p w14:paraId="55433BDB" w14:textId="1F4E5E44"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1 572 </w:t>
                  </w:r>
                </w:p>
              </w:tc>
              <w:tc>
                <w:tcPr>
                  <w:tcW w:w="752" w:type="pct"/>
                  <w:shd w:val="clear" w:color="auto" w:fill="FFFFFF" w:themeFill="background1"/>
                  <w:noWrap/>
                  <w:hideMark/>
                </w:tcPr>
                <w:p w14:paraId="0F5C1E4C" w14:textId="6EF1DA8E"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3 211 </w:t>
                  </w:r>
                </w:p>
              </w:tc>
              <w:tc>
                <w:tcPr>
                  <w:tcW w:w="829" w:type="pct"/>
                  <w:shd w:val="clear" w:color="auto" w:fill="FFFFFF" w:themeFill="background1"/>
                  <w:noWrap/>
                  <w:hideMark/>
                </w:tcPr>
                <w:p w14:paraId="5C030600" w14:textId="39CF9449"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3 486 </w:t>
                  </w:r>
                </w:p>
              </w:tc>
              <w:tc>
                <w:tcPr>
                  <w:tcW w:w="842" w:type="pct"/>
                  <w:shd w:val="clear" w:color="auto" w:fill="FFFFFF" w:themeFill="background1"/>
                  <w:noWrap/>
                  <w:hideMark/>
                </w:tcPr>
                <w:p w14:paraId="7B0A1745" w14:textId="4657E07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w:t>
                  </w:r>
                </w:p>
              </w:tc>
              <w:tc>
                <w:tcPr>
                  <w:tcW w:w="1084" w:type="pct"/>
                  <w:shd w:val="clear" w:color="auto" w:fill="FFFFFF" w:themeFill="background1"/>
                  <w:noWrap/>
                  <w:hideMark/>
                </w:tcPr>
                <w:p w14:paraId="4D2BBA23" w14:textId="76DBF029"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5 373 390 </w:t>
                  </w:r>
                </w:p>
              </w:tc>
            </w:tr>
            <w:tr w:rsidR="0040712A" w:rsidRPr="000257B5" w14:paraId="101CA3DE"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451CE492" w14:textId="77777777" w:rsidR="0040712A" w:rsidRPr="0038633B" w:rsidRDefault="0040712A" w:rsidP="00F02EA2">
                  <w:pPr>
                    <w:pStyle w:val="TabellHode-rad"/>
                  </w:pPr>
                  <w:r w:rsidRPr="0038633B">
                    <w:t>L36d</w:t>
                  </w:r>
                </w:p>
              </w:tc>
              <w:tc>
                <w:tcPr>
                  <w:tcW w:w="792" w:type="pct"/>
                  <w:shd w:val="clear" w:color="auto" w:fill="FFFFFF" w:themeFill="background1"/>
                  <w:noWrap/>
                  <w:hideMark/>
                </w:tcPr>
                <w:p w14:paraId="0079843E" w14:textId="1C832348"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3 116 </w:t>
                  </w:r>
                </w:p>
              </w:tc>
              <w:tc>
                <w:tcPr>
                  <w:tcW w:w="752" w:type="pct"/>
                  <w:shd w:val="clear" w:color="auto" w:fill="FFFFFF" w:themeFill="background1"/>
                  <w:noWrap/>
                  <w:hideMark/>
                </w:tcPr>
                <w:p w14:paraId="50D2F1C6" w14:textId="4F5A5E4A"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23 715 </w:t>
                  </w:r>
                </w:p>
              </w:tc>
              <w:tc>
                <w:tcPr>
                  <w:tcW w:w="829" w:type="pct"/>
                  <w:shd w:val="clear" w:color="auto" w:fill="FFFFFF" w:themeFill="background1"/>
                  <w:noWrap/>
                  <w:hideMark/>
                </w:tcPr>
                <w:p w14:paraId="47921C10" w14:textId="6B789A32"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50 299 </w:t>
                  </w:r>
                </w:p>
              </w:tc>
              <w:tc>
                <w:tcPr>
                  <w:tcW w:w="842" w:type="pct"/>
                  <w:shd w:val="clear" w:color="auto" w:fill="FFFFFF" w:themeFill="background1"/>
                  <w:noWrap/>
                  <w:hideMark/>
                </w:tcPr>
                <w:p w14:paraId="4B4B5CAA" w14:textId="6DB46D5C"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w:t>
                  </w:r>
                </w:p>
              </w:tc>
              <w:tc>
                <w:tcPr>
                  <w:tcW w:w="1084" w:type="pct"/>
                  <w:shd w:val="clear" w:color="auto" w:fill="FFFFFF" w:themeFill="background1"/>
                  <w:noWrap/>
                  <w:hideMark/>
                </w:tcPr>
                <w:p w14:paraId="252ED135" w14:textId="6E99576B"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38 798 278 </w:t>
                  </w:r>
                </w:p>
              </w:tc>
            </w:tr>
            <w:tr w:rsidR="0040712A" w:rsidRPr="000257B5" w14:paraId="08CCB8C3"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1493" w:type="pct"/>
                  <w:gridSpan w:val="2"/>
                  <w:noWrap/>
                  <w:hideMark/>
                </w:tcPr>
                <w:p w14:paraId="35C7254F" w14:textId="77777777" w:rsidR="0040712A" w:rsidRPr="0038633B" w:rsidRDefault="0040712A" w:rsidP="00F02EA2">
                  <w:pPr>
                    <w:pStyle w:val="TabellHode-rad"/>
                  </w:pPr>
                  <w:r w:rsidRPr="00DC6814">
                    <w:t>Øvrige tilleggstakster</w:t>
                  </w:r>
                </w:p>
              </w:tc>
              <w:tc>
                <w:tcPr>
                  <w:tcW w:w="752" w:type="pct"/>
                  <w:shd w:val="clear" w:color="auto" w:fill="FFFFFF" w:themeFill="background1"/>
                  <w:noWrap/>
                  <w:hideMark/>
                </w:tcPr>
                <w:p w14:paraId="33EF213D" w14:textId="77777777" w:rsidR="0040712A" w:rsidRPr="0038633B" w:rsidRDefault="0040712A" w:rsidP="0040712A">
                  <w:pPr>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w:t>
                  </w:r>
                </w:p>
              </w:tc>
              <w:tc>
                <w:tcPr>
                  <w:tcW w:w="829" w:type="pct"/>
                  <w:shd w:val="clear" w:color="auto" w:fill="FFFFFF" w:themeFill="background1"/>
                  <w:noWrap/>
                  <w:hideMark/>
                </w:tcPr>
                <w:p w14:paraId="77DAFD52" w14:textId="77777777" w:rsidR="0040712A" w:rsidRPr="0038633B" w:rsidRDefault="0040712A" w:rsidP="0040712A">
                  <w:pPr>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w:t>
                  </w:r>
                </w:p>
              </w:tc>
              <w:tc>
                <w:tcPr>
                  <w:tcW w:w="842" w:type="pct"/>
                  <w:shd w:val="clear" w:color="auto" w:fill="FFFFFF" w:themeFill="background1"/>
                  <w:noWrap/>
                  <w:hideMark/>
                </w:tcPr>
                <w:p w14:paraId="27351CAA" w14:textId="0298D78C"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428 440 </w:t>
                  </w:r>
                </w:p>
              </w:tc>
              <w:tc>
                <w:tcPr>
                  <w:tcW w:w="1084" w:type="pct"/>
                  <w:shd w:val="clear" w:color="auto" w:fill="FFFFFF" w:themeFill="background1"/>
                  <w:noWrap/>
                  <w:hideMark/>
                </w:tcPr>
                <w:p w14:paraId="3B99728F" w14:textId="0BBB8DE6"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3 623 120 </w:t>
                  </w:r>
                </w:p>
              </w:tc>
            </w:tr>
            <w:tr w:rsidR="0040712A" w:rsidRPr="000257B5" w14:paraId="4149EAD3" w14:textId="77777777" w:rsidTr="00707F97">
              <w:trPr>
                <w:trHeight w:val="319"/>
              </w:trPr>
              <w:tc>
                <w:tcPr>
                  <w:cnfStyle w:val="001000000000" w:firstRow="0" w:lastRow="0" w:firstColumn="1" w:lastColumn="0" w:oddVBand="0" w:evenVBand="0" w:oddHBand="0" w:evenHBand="0" w:firstRowFirstColumn="0" w:firstRowLastColumn="0" w:lastRowFirstColumn="0" w:lastRowLastColumn="0"/>
                  <w:tcW w:w="701" w:type="pct"/>
                  <w:noWrap/>
                  <w:hideMark/>
                </w:tcPr>
                <w:p w14:paraId="30D8B807" w14:textId="77777777" w:rsidR="0040712A" w:rsidRPr="0038633B" w:rsidRDefault="0040712A" w:rsidP="00F02EA2">
                  <w:pPr>
                    <w:pStyle w:val="TabellHode-rad"/>
                  </w:pPr>
                </w:p>
              </w:tc>
              <w:tc>
                <w:tcPr>
                  <w:tcW w:w="792" w:type="pct"/>
                  <w:shd w:val="clear" w:color="auto" w:fill="FFFFFF" w:themeFill="background1"/>
                  <w:noWrap/>
                  <w:hideMark/>
                </w:tcPr>
                <w:p w14:paraId="0518BE50" w14:textId="77777777" w:rsidR="0040712A" w:rsidRPr="0038633B" w:rsidRDefault="0040712A" w:rsidP="0040712A">
                  <w:pPr>
                    <w:cnfStyle w:val="000000000000" w:firstRow="0" w:lastRow="0" w:firstColumn="0" w:lastColumn="0" w:oddVBand="0" w:evenVBand="0" w:oddHBand="0" w:evenHBand="0" w:firstRowFirstColumn="0" w:firstRowLastColumn="0" w:lastRowFirstColumn="0" w:lastRowLastColumn="0"/>
                    <w:rPr>
                      <w:rFonts w:cstheme="minorHAnsi"/>
                    </w:rPr>
                  </w:pPr>
                </w:p>
              </w:tc>
              <w:tc>
                <w:tcPr>
                  <w:tcW w:w="752" w:type="pct"/>
                  <w:shd w:val="clear" w:color="auto" w:fill="FFFFFF" w:themeFill="background1"/>
                  <w:noWrap/>
                  <w:hideMark/>
                </w:tcPr>
                <w:p w14:paraId="2149A768" w14:textId="77777777" w:rsidR="0040712A" w:rsidRPr="0038633B" w:rsidRDefault="0040712A" w:rsidP="0040712A">
                  <w:pPr>
                    <w:cnfStyle w:val="000000000000" w:firstRow="0" w:lastRow="0" w:firstColumn="0" w:lastColumn="0" w:oddVBand="0" w:evenVBand="0" w:oddHBand="0" w:evenHBand="0" w:firstRowFirstColumn="0" w:firstRowLastColumn="0" w:lastRowFirstColumn="0" w:lastRowLastColumn="0"/>
                    <w:rPr>
                      <w:rFonts w:cstheme="minorHAnsi"/>
                    </w:rPr>
                  </w:pPr>
                </w:p>
              </w:tc>
              <w:tc>
                <w:tcPr>
                  <w:tcW w:w="829" w:type="pct"/>
                  <w:shd w:val="clear" w:color="auto" w:fill="FFFFFF" w:themeFill="background1"/>
                  <w:noWrap/>
                  <w:hideMark/>
                </w:tcPr>
                <w:p w14:paraId="21A7F7EE" w14:textId="77777777" w:rsidR="0040712A" w:rsidRPr="0038633B" w:rsidRDefault="0040712A" w:rsidP="0040712A">
                  <w:pPr>
                    <w:cnfStyle w:val="000000000000" w:firstRow="0" w:lastRow="0" w:firstColumn="0" w:lastColumn="0" w:oddVBand="0" w:evenVBand="0" w:oddHBand="0" w:evenHBand="0" w:firstRowFirstColumn="0" w:firstRowLastColumn="0" w:lastRowFirstColumn="0" w:lastRowLastColumn="0"/>
                    <w:rPr>
                      <w:rFonts w:cstheme="minorHAnsi"/>
                    </w:rPr>
                  </w:pPr>
                </w:p>
              </w:tc>
              <w:tc>
                <w:tcPr>
                  <w:tcW w:w="842" w:type="pct"/>
                  <w:shd w:val="clear" w:color="auto" w:fill="FFFFFF" w:themeFill="background1"/>
                  <w:noWrap/>
                  <w:hideMark/>
                </w:tcPr>
                <w:p w14:paraId="43DF3350" w14:textId="3C91C9EF"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281 669 380 </w:t>
                  </w:r>
                </w:p>
              </w:tc>
              <w:tc>
                <w:tcPr>
                  <w:tcW w:w="1084" w:type="pct"/>
                  <w:shd w:val="clear" w:color="auto" w:fill="FFFFFF" w:themeFill="background1"/>
                  <w:noWrap/>
                  <w:hideMark/>
                </w:tcPr>
                <w:p w14:paraId="64C05356" w14:textId="353F64EE" w:rsidR="0040712A" w:rsidRPr="0038633B" w:rsidRDefault="0040712A" w:rsidP="00F02EA2">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38633B">
                    <w:rPr>
                      <w:rFonts w:cstheme="minorHAnsi"/>
                    </w:rPr>
                    <w:t xml:space="preserve">1 175 160 872 </w:t>
                  </w:r>
                </w:p>
              </w:tc>
            </w:tr>
          </w:tbl>
          <w:p w14:paraId="7FA85C85" w14:textId="77777777" w:rsidR="0040712A" w:rsidRPr="0072573B" w:rsidRDefault="0040712A" w:rsidP="0040712A">
            <w:r w:rsidRPr="0072573B">
              <w:t>Samlet mottok spesialister i allmennmedisin i underkant av 1,2 mrd. kroner for tilleggstakstene i 2022. Av dette dekket pasientene ca. 280 mill. kroner gjennom pasientbetalte egenandeler.</w:t>
            </w:r>
          </w:p>
          <w:p w14:paraId="1F01497F" w14:textId="13A79554" w:rsidR="0040712A" w:rsidRDefault="0040712A" w:rsidP="0040712A">
            <w:r w:rsidRPr="0072573B">
              <w:t>3 612 leger utløste minst én tilleggstakst for spesialist i allmennmedisin i 2022. Også vikarer som er spesialister i allmennmedisin kan utløse tilleggstakstene, men fastlegene (listeinnehaverne) utløste 98 prosent av tilleggshonorarene i 2022. I gjennomsnitt utløste hver fastlege som var spesialist i allmennmedisin (inkludert fastlønte), ca. 330 000 kroner i honorar for tilleggstakster for spesialist i allmennmedisin.</w:t>
            </w:r>
          </w:p>
        </w:tc>
      </w:tr>
    </w:tbl>
    <w:p w14:paraId="2666E1D8" w14:textId="533B8880" w:rsidR="00D47BED" w:rsidRPr="00DF558B" w:rsidRDefault="009F4D64" w:rsidP="00775632">
      <w:pPr>
        <w:pStyle w:val="Overskrift3"/>
      </w:pPr>
      <w:bookmarkStart w:id="2778" w:name="_Toc130763832"/>
      <w:bookmarkStart w:id="2779" w:name="_Toc130766727"/>
      <w:bookmarkStart w:id="2780" w:name="_Toc130932128"/>
      <w:bookmarkStart w:id="2781" w:name="_Toc130934419"/>
      <w:bookmarkStart w:id="2782" w:name="_Toc130983517"/>
      <w:bookmarkStart w:id="2783" w:name="_Toc130983866"/>
      <w:bookmarkStart w:id="2784" w:name="_Toc131062173"/>
      <w:bookmarkStart w:id="2785" w:name="_Toc131062427"/>
      <w:bookmarkStart w:id="2786" w:name="_Toc131062688"/>
      <w:bookmarkStart w:id="2787" w:name="_Toc131062941"/>
      <w:bookmarkStart w:id="2788" w:name="_Toc131063724"/>
      <w:bookmarkStart w:id="2789" w:name="_Toc131064134"/>
      <w:bookmarkStart w:id="2790" w:name="_Toc131238444"/>
      <w:bookmarkStart w:id="2791" w:name="_Toc131279475"/>
      <w:bookmarkStart w:id="2792" w:name="_Toc131286887"/>
      <w:bookmarkStart w:id="2793" w:name="_Toc131281297"/>
      <w:bookmarkStart w:id="2794" w:name="_Toc131317837"/>
      <w:bookmarkStart w:id="2795" w:name="_Toc132536994"/>
      <w:r>
        <w:t>Behov for endring i finansieringen</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50CBD8D8" w14:textId="5B61E759" w:rsidR="00D9107F" w:rsidRDefault="00C743D9" w:rsidP="00300076">
      <w:pPr>
        <w:jc w:val="both"/>
      </w:pPr>
      <w:r>
        <w:t>Antall i</w:t>
      </w:r>
      <w:r w:rsidR="000F5E46">
        <w:t xml:space="preserve">nnbyggere på </w:t>
      </w:r>
      <w:r w:rsidR="00D21F95">
        <w:t>fastlege</w:t>
      </w:r>
      <w:r w:rsidR="000F5E46">
        <w:t xml:space="preserve">lister uten </w:t>
      </w:r>
      <w:r w:rsidR="0068626C">
        <w:t>fast</w:t>
      </w:r>
      <w:r w:rsidR="00BA5C3F">
        <w:t xml:space="preserve"> </w:t>
      </w:r>
      <w:r w:rsidR="000F5E46">
        <w:t xml:space="preserve">lege har økt mye </w:t>
      </w:r>
      <w:r>
        <w:t>siden 2017</w:t>
      </w:r>
      <w:r w:rsidR="00DA5FD9">
        <w:t xml:space="preserve">. </w:t>
      </w:r>
      <w:r w:rsidR="00CE5800">
        <w:t xml:space="preserve">Det totale antall ledige listeplasser er </w:t>
      </w:r>
      <w:r w:rsidR="00EF0A9C">
        <w:t xml:space="preserve">for </w:t>
      </w:r>
      <w:r w:rsidR="00CE5800">
        <w:t xml:space="preserve">lavt, og </w:t>
      </w:r>
      <w:r w:rsidR="000A6C28">
        <w:t xml:space="preserve">for mange </w:t>
      </w:r>
      <w:r w:rsidR="000F5E46">
        <w:t xml:space="preserve">innbyggere </w:t>
      </w:r>
      <w:r w:rsidR="000A6C28">
        <w:t xml:space="preserve">er det vanskelig </w:t>
      </w:r>
      <w:r w:rsidR="000F5E46">
        <w:t xml:space="preserve">å bytte fastlege. </w:t>
      </w:r>
      <w:r w:rsidR="003259D1">
        <w:t xml:space="preserve">Ekspertutvalget mener det viktigste nå er </w:t>
      </w:r>
      <w:r w:rsidR="00650DAF">
        <w:t xml:space="preserve">tiltak som </w:t>
      </w:r>
      <w:r w:rsidR="003259D1">
        <w:t>øke</w:t>
      </w:r>
      <w:r w:rsidR="00650DAF">
        <w:t>r</w:t>
      </w:r>
      <w:r w:rsidR="003259D1">
        <w:t xml:space="preserve"> </w:t>
      </w:r>
      <w:r w:rsidR="005C4C82">
        <w:t>tilgjengelige</w:t>
      </w:r>
      <w:r w:rsidR="003259D1">
        <w:t xml:space="preserve"> liste</w:t>
      </w:r>
      <w:r w:rsidR="005C4C82">
        <w:t>plasser</w:t>
      </w:r>
      <w:r w:rsidR="00774CB0">
        <w:t>.</w:t>
      </w:r>
    </w:p>
    <w:p w14:paraId="47A55502" w14:textId="46FD8FFF" w:rsidR="00D9107F" w:rsidRPr="00D9107F" w:rsidRDefault="003E3014" w:rsidP="00300076">
      <w:pPr>
        <w:jc w:val="both"/>
        <w:rPr>
          <w:rStyle w:val="kursiv"/>
          <w:lang w:val="en-US"/>
        </w:rPr>
      </w:pPr>
      <w:r>
        <w:lastRenderedPageBreak/>
        <w:t xml:space="preserve">I årene som kommer vil </w:t>
      </w:r>
      <w:r w:rsidR="00FC1F45">
        <w:t xml:space="preserve">behovene fortsette å vokse mer i </w:t>
      </w:r>
      <w:r w:rsidR="00A6563D">
        <w:t>primærhelsetjenesten enn i sykehusene</w:t>
      </w:r>
      <w:r w:rsidR="007148D1">
        <w:t xml:space="preserve"> </w:t>
      </w:r>
      <w:r w:rsidR="001F510D">
        <w:fldChar w:fldCharType="begin"/>
      </w:r>
      <w:r w:rsidR="001F510D">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1F510D">
        <w:fldChar w:fldCharType="separate"/>
      </w:r>
      <w:r w:rsidR="001F510D">
        <w:rPr>
          <w:noProof/>
        </w:rPr>
        <w:t>(Helse- og omsorgsdepartementet, 2023c)</w:t>
      </w:r>
      <w:r w:rsidR="001F510D">
        <w:fldChar w:fldCharType="end"/>
      </w:r>
      <w:r w:rsidR="00C45D1A">
        <w:t>, og dette er en del av en internasjonal utfordring</w:t>
      </w:r>
      <w:r w:rsidR="00283D10">
        <w:t xml:space="preserve">. </w:t>
      </w:r>
      <w:r w:rsidR="00B55866" w:rsidRPr="00326047">
        <w:rPr>
          <w:lang w:val="en-US"/>
        </w:rPr>
        <w:t xml:space="preserve">I sin oversiktsartikkel fra </w:t>
      </w:r>
      <w:r w:rsidR="757BE6FF" w:rsidRPr="00326047">
        <w:rPr>
          <w:lang w:val="en-US"/>
        </w:rPr>
        <w:t>S</w:t>
      </w:r>
      <w:r w:rsidR="51986B15" w:rsidRPr="00326047">
        <w:rPr>
          <w:lang w:val="en-US"/>
        </w:rPr>
        <w:t>to</w:t>
      </w:r>
      <w:r w:rsidR="2EBC265A" w:rsidRPr="00326047">
        <w:rPr>
          <w:lang w:val="en-US"/>
        </w:rPr>
        <w:t>r</w:t>
      </w:r>
      <w:r w:rsidR="51986B15" w:rsidRPr="00326047">
        <w:rPr>
          <w:lang w:val="en-US"/>
        </w:rPr>
        <w:t>britannia</w:t>
      </w:r>
      <w:r w:rsidR="00B55866" w:rsidRPr="00326047">
        <w:rPr>
          <w:lang w:val="en-US"/>
        </w:rPr>
        <w:t xml:space="preserve"> konkluderer </w:t>
      </w:r>
      <w:r w:rsidR="006E7D77" w:rsidRPr="00326047">
        <w:rPr>
          <w:lang w:val="en-US"/>
        </w:rPr>
        <w:t xml:space="preserve">Lee </w:t>
      </w:r>
      <w:r w:rsidR="00734179">
        <w:rPr>
          <w:lang w:val="en-US"/>
        </w:rPr>
        <w:t xml:space="preserve">og kolleger </w:t>
      </w:r>
      <w:r w:rsidR="00B55866" w:rsidRPr="00FE5080">
        <w:rPr>
          <w:lang w:val="en-US"/>
        </w:rPr>
        <w:t>med at</w:t>
      </w:r>
      <w:r w:rsidR="00B55866" w:rsidRPr="00D9107F">
        <w:rPr>
          <w:rStyle w:val="kursiv"/>
          <w:lang w:val="en-US"/>
        </w:rPr>
        <w:t xml:space="preserve"> </w:t>
      </w:r>
      <w:r w:rsidR="00D9107F" w:rsidRPr="00D9107F">
        <w:rPr>
          <w:rStyle w:val="kursiv"/>
          <w:lang w:val="en-US"/>
        </w:rPr>
        <w:t>«</w:t>
      </w:r>
      <w:r w:rsidR="00B55866" w:rsidRPr="00D9107F">
        <w:rPr>
          <w:rStyle w:val="kursiv"/>
          <w:lang w:val="en-US"/>
        </w:rPr>
        <w:t>the rapid ageing of the population means that a large rise in the number of doctors specialising in geriatric medicine and in general practice will be required over the next 20 years to fully meet demand</w:t>
      </w:r>
      <w:r w:rsidR="00D9107F" w:rsidRPr="00D9107F">
        <w:rPr>
          <w:rStyle w:val="kursiv"/>
          <w:lang w:val="en-US"/>
        </w:rPr>
        <w:t>»</w:t>
      </w:r>
      <w:r w:rsidR="002E58DB" w:rsidRPr="00D9107F">
        <w:rPr>
          <w:rStyle w:val="kursiv"/>
          <w:lang w:val="en-US"/>
        </w:rPr>
        <w:t xml:space="preserve"> </w:t>
      </w:r>
      <w:r w:rsidR="00A841AD" w:rsidRPr="00D9107F">
        <w:rPr>
          <w:rStyle w:val="kursiv"/>
        </w:rPr>
        <w:fldChar w:fldCharType="begin"/>
      </w:r>
      <w:r w:rsidR="004654FD" w:rsidRPr="00D9107F">
        <w:rPr>
          <w:rStyle w:val="kursiv"/>
          <w:lang w:val="en-US"/>
        </w:rPr>
        <w:instrText xml:space="preserve"> ADDIN EN.CITE &lt;EndNote&gt;&lt;Cite&gt;&lt;Author&gt;Lee&lt;/Author&gt;&lt;Year&gt;2020&lt;/Year&gt;&lt;RecNum&gt;484&lt;/RecNum&gt;&lt;DisplayText&gt;(Lee et al., 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00A841AD" w:rsidRPr="00D9107F">
        <w:rPr>
          <w:rStyle w:val="kursiv"/>
        </w:rPr>
        <w:fldChar w:fldCharType="separate"/>
      </w:r>
      <w:r w:rsidR="00A841AD" w:rsidRPr="00D9107F">
        <w:rPr>
          <w:rStyle w:val="kursiv"/>
          <w:lang w:val="en-US"/>
        </w:rPr>
        <w:t>(Lee et al., 2020)</w:t>
      </w:r>
      <w:r w:rsidR="00A841AD" w:rsidRPr="00D9107F">
        <w:rPr>
          <w:rStyle w:val="kursiv"/>
        </w:rPr>
        <w:fldChar w:fldCharType="end"/>
      </w:r>
      <w:r w:rsidR="00B55866" w:rsidRPr="00D9107F">
        <w:rPr>
          <w:rStyle w:val="kursiv"/>
          <w:lang w:val="en-US"/>
        </w:rPr>
        <w:t>.</w:t>
      </w:r>
    </w:p>
    <w:p w14:paraId="2DE9D685" w14:textId="374AB242" w:rsidR="00AF69B8" w:rsidRDefault="00EF0C5B" w:rsidP="00300076">
      <w:pPr>
        <w:jc w:val="both"/>
      </w:pPr>
      <w:r w:rsidRPr="001D3F4C">
        <w:t xml:space="preserve">For å sikre </w:t>
      </w:r>
      <w:r w:rsidR="00F302E6" w:rsidRPr="001D3F4C">
        <w:t xml:space="preserve">rekrutteringen </w:t>
      </w:r>
      <w:r w:rsidR="0094242E" w:rsidRPr="001D3F4C">
        <w:t xml:space="preserve">til fastlegeyrket </w:t>
      </w:r>
      <w:r w:rsidR="00F302E6" w:rsidRPr="001D3F4C">
        <w:t>framover</w:t>
      </w:r>
      <w:r w:rsidR="00392875" w:rsidRPr="001D3F4C">
        <w:t>,</w:t>
      </w:r>
      <w:r w:rsidR="00F302E6" w:rsidRPr="001D3F4C">
        <w:t xml:space="preserve"> </w:t>
      </w:r>
      <w:r w:rsidR="008F2EDD" w:rsidRPr="001D3F4C">
        <w:t xml:space="preserve">er det derfor </w:t>
      </w:r>
      <w:r w:rsidR="00352E62" w:rsidRPr="001D3F4C">
        <w:t xml:space="preserve">viktig </w:t>
      </w:r>
      <w:r w:rsidR="00FA2B23" w:rsidRPr="001D3F4C">
        <w:t>å legge til rette</w:t>
      </w:r>
      <w:r w:rsidR="008F2EDD" w:rsidRPr="001D3F4C">
        <w:t xml:space="preserve"> for at </w:t>
      </w:r>
      <w:r w:rsidR="00FA2B23" w:rsidRPr="001D3F4C">
        <w:t>leger velger allmennmedisin</w:t>
      </w:r>
      <w:r w:rsidR="00B144B0" w:rsidRPr="001D3F4C">
        <w:t xml:space="preserve">. </w:t>
      </w:r>
      <w:r w:rsidR="00B144B0">
        <w:t>Dette innebærer at r</w:t>
      </w:r>
      <w:r w:rsidR="002F31DA">
        <w:t>ammevilkår</w:t>
      </w:r>
      <w:r w:rsidR="00C44D7D">
        <w:t>, som inntekt, faglig utvikling og arbeidsbelastning,</w:t>
      </w:r>
      <w:r w:rsidR="00B144B0">
        <w:t xml:space="preserve"> </w:t>
      </w:r>
      <w:r w:rsidR="00904464">
        <w:t xml:space="preserve">må </w:t>
      </w:r>
      <w:r w:rsidR="00C46527">
        <w:t>være konkurransedyktig</w:t>
      </w:r>
      <w:r w:rsidR="00C44D7D">
        <w:t>e</w:t>
      </w:r>
      <w:r w:rsidR="00C46527">
        <w:t xml:space="preserve"> med </w:t>
      </w:r>
      <w:r w:rsidR="004516FB">
        <w:t>det som tilbys leger</w:t>
      </w:r>
      <w:r w:rsidR="00751865">
        <w:t xml:space="preserve"> </w:t>
      </w:r>
      <w:r w:rsidR="0094242E">
        <w:t xml:space="preserve">i </w:t>
      </w:r>
      <w:r w:rsidR="004516FB">
        <w:t>spesialisthelsetjenesten</w:t>
      </w:r>
      <w:r w:rsidR="004D2F04">
        <w:t xml:space="preserve">. </w:t>
      </w:r>
      <w:r w:rsidR="00E318A2">
        <w:t>Mange yngre leger ser ut til å ønske at arbeids</w:t>
      </w:r>
      <w:r w:rsidR="002F31DA">
        <w:t>forholdene</w:t>
      </w:r>
      <w:r w:rsidR="00E318A2">
        <w:t xml:space="preserve"> </w:t>
      </w:r>
      <w:r w:rsidR="00C052DB">
        <w:t xml:space="preserve">i fastlegeordningen </w:t>
      </w:r>
      <w:r w:rsidR="008B58D1">
        <w:t xml:space="preserve">trekkes i retning av </w:t>
      </w:r>
      <w:r w:rsidR="006F2BF3">
        <w:t>de man har ved å være fast ansatt</w:t>
      </w:r>
      <w:r w:rsidR="00D31B52">
        <w:t xml:space="preserve">, og </w:t>
      </w:r>
      <w:r w:rsidR="00373FCB">
        <w:t>tiltak i denne retning drøfter vi bla</w:t>
      </w:r>
      <w:r w:rsidR="00BC3615">
        <w:t xml:space="preserve">nt annet </w:t>
      </w:r>
      <w:r w:rsidR="00373FCB">
        <w:t xml:space="preserve">i </w:t>
      </w:r>
      <w:r w:rsidR="00373FCB" w:rsidRPr="008B38A4">
        <w:t>kapit</w:t>
      </w:r>
      <w:r w:rsidR="00331293" w:rsidRPr="008B38A4">
        <w:t>lene</w:t>
      </w:r>
      <w:r w:rsidR="00A87AA4" w:rsidRPr="008B38A4">
        <w:t xml:space="preserve"> </w:t>
      </w:r>
      <w:r w:rsidR="00DF5091" w:rsidRPr="008B38A4">
        <w:t>4.</w:t>
      </w:r>
      <w:r w:rsidR="00DF5091">
        <w:t>7</w:t>
      </w:r>
      <w:r w:rsidR="00EF6FC6">
        <w:t>.3</w:t>
      </w:r>
      <w:r w:rsidR="008B38A4">
        <w:t xml:space="preserve"> og 9.7.</w:t>
      </w:r>
      <w:r w:rsidR="00E93B88">
        <w:t>3.</w:t>
      </w:r>
    </w:p>
    <w:p w14:paraId="1F3D8A6B" w14:textId="77777777" w:rsidR="00D9107F" w:rsidRDefault="0000182A" w:rsidP="00300076">
      <w:pPr>
        <w:jc w:val="both"/>
      </w:pPr>
      <w:r>
        <w:t>Studier tyder på at</w:t>
      </w:r>
      <w:r w:rsidR="5F643F5B">
        <w:t xml:space="preserve"> </w:t>
      </w:r>
      <w:r w:rsidR="004C53AB" w:rsidRPr="00D9107F">
        <w:rPr>
          <w:rStyle w:val="kursiv"/>
        </w:rPr>
        <w:t>hva</w:t>
      </w:r>
      <w:r w:rsidR="000B2508">
        <w:t xml:space="preserve"> legen</w:t>
      </w:r>
      <w:r w:rsidR="5F643F5B">
        <w:t xml:space="preserve"> </w:t>
      </w:r>
      <w:r w:rsidR="004C53AB">
        <w:t>gjør</w:t>
      </w:r>
      <w:r w:rsidR="008928F8">
        <w:t>,</w:t>
      </w:r>
      <w:r w:rsidR="004C53AB">
        <w:t xml:space="preserve"> </w:t>
      </w:r>
      <w:r w:rsidR="00887A7E">
        <w:t xml:space="preserve">raskt </w:t>
      </w:r>
      <w:r w:rsidR="004C53AB">
        <w:t xml:space="preserve">påvirkes av </w:t>
      </w:r>
      <w:r w:rsidR="00887A7E">
        <w:t xml:space="preserve">endringer i de </w:t>
      </w:r>
      <w:r w:rsidR="004C53AB">
        <w:t>økonomiske insentive</w:t>
      </w:r>
      <w:r w:rsidR="00887A7E">
        <w:t>ne</w:t>
      </w:r>
      <w:r w:rsidR="0027566C">
        <w:t xml:space="preserve">. Men </w:t>
      </w:r>
      <w:r w:rsidR="06332280" w:rsidRPr="00D9107F">
        <w:rPr>
          <w:rStyle w:val="kursiv"/>
        </w:rPr>
        <w:t xml:space="preserve">hvor </w:t>
      </w:r>
      <w:r w:rsidR="00030040" w:rsidRPr="00D9107F">
        <w:rPr>
          <w:rStyle w:val="kursiv"/>
        </w:rPr>
        <w:t>mye</w:t>
      </w:r>
      <w:r w:rsidR="06332280">
        <w:t xml:space="preserve"> en lege jobber</w:t>
      </w:r>
      <w:r w:rsidR="00154E54">
        <w:t xml:space="preserve"> </w:t>
      </w:r>
      <w:r w:rsidR="00E06077">
        <w:t xml:space="preserve">påvirkes </w:t>
      </w:r>
      <w:r w:rsidR="00800AA5">
        <w:t xml:space="preserve">iallfall på kort sikt </w:t>
      </w:r>
      <w:r w:rsidR="00184161">
        <w:t>lite</w:t>
      </w:r>
      <w:r w:rsidR="00E06077">
        <w:t xml:space="preserve"> av endringer i</w:t>
      </w:r>
      <w:r w:rsidR="00D22E3E">
        <w:t xml:space="preserve"> inntekt, og andre forhold kan være viktigere</w:t>
      </w:r>
      <w:r w:rsidR="006828BB">
        <w:t xml:space="preserve"> </w:t>
      </w:r>
      <w:r w:rsidR="007148D1">
        <w:fldChar w:fldCharType="begin"/>
      </w:r>
      <w:r w:rsidR="004654FD">
        <w:instrText xml:space="preserve"> ADDIN EN.CITE &lt;EndNote&gt;&lt;Cite&gt;&lt;Author&gt;Lee&lt;/Author&gt;&lt;Year&gt;2020&lt;/Year&gt;&lt;RecNum&gt;484&lt;/RecNum&gt;&lt;DisplayText&gt;(Lee et al., 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007148D1">
        <w:fldChar w:fldCharType="separate"/>
      </w:r>
      <w:r w:rsidR="00856689">
        <w:rPr>
          <w:noProof/>
        </w:rPr>
        <w:t>(Lee et al., 2020)</w:t>
      </w:r>
      <w:r w:rsidR="007148D1">
        <w:fldChar w:fldCharType="end"/>
      </w:r>
      <w:r w:rsidR="006828BB" w:rsidRPr="006828BB">
        <w:t xml:space="preserve">. </w:t>
      </w:r>
      <w:r w:rsidR="00BA597E">
        <w:t>Et sentralt spørsmål framover er derfor h</w:t>
      </w:r>
      <w:r w:rsidR="001F0522">
        <w:t xml:space="preserve">vilke andre forhold </w:t>
      </w:r>
      <w:r w:rsidR="009938AF">
        <w:t>enn</w:t>
      </w:r>
      <w:r w:rsidR="001F0522">
        <w:t xml:space="preserve"> inntekt som er viktige</w:t>
      </w:r>
      <w:r w:rsidR="002B7CA5">
        <w:t>,</w:t>
      </w:r>
      <w:r w:rsidR="001F0522">
        <w:t xml:space="preserve"> </w:t>
      </w:r>
      <w:r w:rsidR="003127F3">
        <w:t xml:space="preserve">for </w:t>
      </w:r>
      <w:r w:rsidR="765F03AA">
        <w:t xml:space="preserve">hvor mye </w:t>
      </w:r>
      <w:r w:rsidR="005C4CC8">
        <w:t>allmennleger</w:t>
      </w:r>
      <w:r w:rsidR="296AE594">
        <w:t xml:space="preserve"> ønsker å jobbe</w:t>
      </w:r>
      <w:r w:rsidR="00F157B1">
        <w:t xml:space="preserve">. Selv om vi vet litt fra spørreundersøkelser, </w:t>
      </w:r>
      <w:r w:rsidR="00613161">
        <w:t xml:space="preserve">trengs </w:t>
      </w:r>
      <w:r w:rsidR="00F157B1">
        <w:t xml:space="preserve">det mer </w:t>
      </w:r>
      <w:r w:rsidR="001953C5">
        <w:t>empiris</w:t>
      </w:r>
      <w:r w:rsidR="00F85267">
        <w:t>k</w:t>
      </w:r>
      <w:r w:rsidR="001953C5">
        <w:t xml:space="preserve"> </w:t>
      </w:r>
      <w:r w:rsidR="00F157B1">
        <w:t xml:space="preserve">kunnskap </w:t>
      </w:r>
      <w:r w:rsidR="00F4469E">
        <w:t xml:space="preserve">om </w:t>
      </w:r>
      <w:r w:rsidR="00C6624C">
        <w:t>faktiske arbeids</w:t>
      </w:r>
      <w:r w:rsidR="000E30C4">
        <w:t>kraftsresponser på ulike arbeidsforhold</w:t>
      </w:r>
      <w:r w:rsidR="00DF057D">
        <w:t xml:space="preserve"> for å kunne tilrettelegge allmenlegetjenesten på en måte som </w:t>
      </w:r>
      <w:r w:rsidR="00B235A9">
        <w:t xml:space="preserve">ivaretar </w:t>
      </w:r>
      <w:r w:rsidR="772B9F59">
        <w:t>legene</w:t>
      </w:r>
      <w:r w:rsidR="0B22E073">
        <w:t>s ønsker og behov</w:t>
      </w:r>
      <w:r w:rsidR="006323FD">
        <w:t>, og styrker kommunens mulighet til å ivareta sitt ansvar</w:t>
      </w:r>
      <w:r w:rsidR="20AF2EB8">
        <w:t>.</w:t>
      </w:r>
    </w:p>
    <w:p w14:paraId="260FFDB6" w14:textId="77777777" w:rsidR="00D9107F" w:rsidRDefault="00DC7018" w:rsidP="00300076">
      <w:pPr>
        <w:jc w:val="both"/>
      </w:pPr>
      <w:r>
        <w:t>I dette kapit</w:t>
      </w:r>
      <w:r w:rsidR="00B3591E">
        <w:t>te</w:t>
      </w:r>
      <w:r>
        <w:t>let er s</w:t>
      </w:r>
      <w:r w:rsidR="00987B4F">
        <w:t>pørsmålet hvordan f</w:t>
      </w:r>
      <w:r w:rsidR="00DB0F5E">
        <w:t xml:space="preserve">inansieringsordningen </w:t>
      </w:r>
      <w:r w:rsidR="00987B4F">
        <w:t xml:space="preserve">kan </w:t>
      </w:r>
      <w:r w:rsidR="30221CC4">
        <w:t>bid</w:t>
      </w:r>
      <w:r w:rsidR="05C8F184">
        <w:t>ra</w:t>
      </w:r>
      <w:r w:rsidR="00987B4F">
        <w:t xml:space="preserve"> til å sikre rekruttering til allmennmedisin</w:t>
      </w:r>
      <w:r w:rsidR="00CD570C">
        <w:t xml:space="preserve"> i årene som kommer</w:t>
      </w:r>
      <w:r w:rsidR="00987B4F">
        <w:t xml:space="preserve">, samtidig som </w:t>
      </w:r>
      <w:r w:rsidR="00CD570C">
        <w:t xml:space="preserve">finansieringsordningen </w:t>
      </w:r>
      <w:r w:rsidR="00987B4F">
        <w:t xml:space="preserve">belønner </w:t>
      </w:r>
      <w:r w:rsidR="008362CA">
        <w:t>fastleger som</w:t>
      </w:r>
      <w:r w:rsidR="00466D77">
        <w:t xml:space="preserve"> prioriterer </w:t>
      </w:r>
      <w:r w:rsidR="00A342F8">
        <w:t>liste</w:t>
      </w:r>
      <w:r w:rsidR="00466D77">
        <w:t xml:space="preserve">innbyggere </w:t>
      </w:r>
      <w:r w:rsidR="009E77F1">
        <w:t>og aktivitete</w:t>
      </w:r>
      <w:r w:rsidR="00173DC6">
        <w:t>r</w:t>
      </w:r>
      <w:r w:rsidR="009E77F1">
        <w:t xml:space="preserve"> </w:t>
      </w:r>
      <w:r w:rsidR="00037B7A">
        <w:t xml:space="preserve">i tråd med overordnede </w:t>
      </w:r>
      <w:r w:rsidR="009378FA">
        <w:t xml:space="preserve">føringer </w:t>
      </w:r>
      <w:r w:rsidR="00037B7A">
        <w:t xml:space="preserve">og </w:t>
      </w:r>
      <w:r w:rsidR="009378FA">
        <w:t xml:space="preserve">godt </w:t>
      </w:r>
      <w:r w:rsidR="00885ACC">
        <w:t>medisinfaglig skjønn</w:t>
      </w:r>
      <w:r w:rsidR="00EC2DD5">
        <w:t xml:space="preserve">, </w:t>
      </w:r>
      <w:r w:rsidR="008362CA">
        <w:t>som</w:t>
      </w:r>
      <w:r w:rsidR="00EC2DD5">
        <w:t xml:space="preserve"> unngår medisinsk overakt</w:t>
      </w:r>
      <w:r w:rsidR="0072394B">
        <w:t>ivitet</w:t>
      </w:r>
      <w:r w:rsidR="000F5473">
        <w:t>,</w:t>
      </w:r>
      <w:r w:rsidR="00FA49AA">
        <w:t xml:space="preserve"> </w:t>
      </w:r>
      <w:r w:rsidR="008362CA">
        <w:t xml:space="preserve">som påtar seg listeansvar og </w:t>
      </w:r>
      <w:r w:rsidR="009378FA">
        <w:t xml:space="preserve">som sikrer at legene </w:t>
      </w:r>
      <w:r w:rsidR="00316F8F">
        <w:t>har en arbeidsbelastning som er bærekraftig.</w:t>
      </w:r>
    </w:p>
    <w:p w14:paraId="091F413C" w14:textId="77777777" w:rsidR="00D9107F" w:rsidRDefault="00972A07" w:rsidP="00775632">
      <w:pPr>
        <w:pStyle w:val="Overskrift3"/>
      </w:pPr>
      <w:bookmarkStart w:id="2796" w:name="_Toc130763833"/>
      <w:bookmarkStart w:id="2797" w:name="_Toc130766728"/>
      <w:bookmarkStart w:id="2798" w:name="_Toc130932129"/>
      <w:bookmarkStart w:id="2799" w:name="_Toc130934420"/>
      <w:bookmarkStart w:id="2800" w:name="_Toc130983518"/>
      <w:bookmarkStart w:id="2801" w:name="_Toc130983867"/>
      <w:bookmarkStart w:id="2802" w:name="_Toc131062174"/>
      <w:bookmarkStart w:id="2803" w:name="_Toc131062428"/>
      <w:bookmarkStart w:id="2804" w:name="_Toc131062689"/>
      <w:bookmarkStart w:id="2805" w:name="_Toc131062942"/>
      <w:bookmarkStart w:id="2806" w:name="_Toc131063725"/>
      <w:bookmarkStart w:id="2807" w:name="_Toc131064135"/>
      <w:bookmarkStart w:id="2808" w:name="_Toc131238445"/>
      <w:bookmarkStart w:id="2809" w:name="_Toc131279476"/>
      <w:bookmarkStart w:id="2810" w:name="_Toc131286888"/>
      <w:bookmarkStart w:id="2811" w:name="_Toc131281298"/>
      <w:bookmarkStart w:id="2812" w:name="_Toc131317838"/>
      <w:bookmarkStart w:id="2813" w:name="_Toc132536995"/>
      <w:r w:rsidRPr="004907F4">
        <w:t>Øke basistilskuddet</w:t>
      </w:r>
      <w:r w:rsidR="00FA7A46" w:rsidRPr="004907F4">
        <w:t>s andel av finansieringen</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67245552" w14:textId="77777777" w:rsidR="00D9107F" w:rsidRDefault="00277561" w:rsidP="00A40270">
      <w:pPr>
        <w:jc w:val="both"/>
        <w:rPr>
          <w:color w:val="000000" w:themeColor="text1"/>
        </w:rPr>
      </w:pPr>
      <w:r w:rsidRPr="004907F4">
        <w:rPr>
          <w:color w:val="000000" w:themeColor="text1"/>
        </w:rPr>
        <w:t xml:space="preserve">Før </w:t>
      </w:r>
      <w:r w:rsidR="000445B4" w:rsidRPr="004907F4">
        <w:rPr>
          <w:color w:val="000000" w:themeColor="text1"/>
        </w:rPr>
        <w:t xml:space="preserve">1. mai 2023 </w:t>
      </w:r>
      <w:r w:rsidR="00FA7A46" w:rsidRPr="004907F4">
        <w:rPr>
          <w:color w:val="000000" w:themeColor="text1"/>
        </w:rPr>
        <w:t xml:space="preserve">utgjør </w:t>
      </w:r>
      <w:r w:rsidR="005376D6" w:rsidRPr="004907F4">
        <w:rPr>
          <w:color w:val="000000" w:themeColor="text1"/>
        </w:rPr>
        <w:t xml:space="preserve">den </w:t>
      </w:r>
      <w:r w:rsidR="00FA7A46" w:rsidRPr="004907F4">
        <w:rPr>
          <w:color w:val="000000" w:themeColor="text1"/>
        </w:rPr>
        <w:t xml:space="preserve">aktivitetsbaserte </w:t>
      </w:r>
      <w:r w:rsidR="005376D6" w:rsidRPr="004907F4">
        <w:rPr>
          <w:color w:val="000000" w:themeColor="text1"/>
        </w:rPr>
        <w:t>finansieringen</w:t>
      </w:r>
      <w:r w:rsidR="00FA7A46" w:rsidRPr="004907F4">
        <w:rPr>
          <w:color w:val="000000" w:themeColor="text1"/>
        </w:rPr>
        <w:t xml:space="preserve"> </w:t>
      </w:r>
      <w:r w:rsidR="00B96FBD" w:rsidRPr="004907F4">
        <w:rPr>
          <w:color w:val="000000" w:themeColor="text1"/>
        </w:rPr>
        <w:t xml:space="preserve">rundt </w:t>
      </w:r>
      <w:r w:rsidR="00FA7A46" w:rsidRPr="004907F4">
        <w:rPr>
          <w:color w:val="000000" w:themeColor="text1"/>
        </w:rPr>
        <w:t>7</w:t>
      </w:r>
      <w:r w:rsidR="00B93462" w:rsidRPr="004907F4">
        <w:rPr>
          <w:color w:val="000000" w:themeColor="text1"/>
        </w:rPr>
        <w:t>2</w:t>
      </w:r>
      <w:r w:rsidR="00FA7A46" w:rsidRPr="004907F4">
        <w:rPr>
          <w:color w:val="000000" w:themeColor="text1"/>
        </w:rPr>
        <w:t xml:space="preserve"> prosent av praksisinntekten til næringsdrivende fastleger</w:t>
      </w:r>
      <w:r w:rsidR="00A25E24" w:rsidRPr="004907F4">
        <w:rPr>
          <w:color w:val="000000" w:themeColor="text1"/>
        </w:rPr>
        <w:t xml:space="preserve"> og anslagsvis 68 prosent etter 1. mai 2023</w:t>
      </w:r>
      <w:r w:rsidR="00FA7A46" w:rsidRPr="004907F4">
        <w:rPr>
          <w:color w:val="000000" w:themeColor="text1"/>
        </w:rPr>
        <w:t>.</w:t>
      </w:r>
      <w:r w:rsidR="00681749" w:rsidRPr="004907F4">
        <w:rPr>
          <w:color w:val="000000" w:themeColor="text1"/>
        </w:rPr>
        <w:t xml:space="preserve"> </w:t>
      </w:r>
      <w:r w:rsidR="008528F4" w:rsidRPr="004907F4">
        <w:rPr>
          <w:color w:val="000000" w:themeColor="text1"/>
        </w:rPr>
        <w:t>De</w:t>
      </w:r>
      <w:r w:rsidR="006077CF" w:rsidRPr="004907F4">
        <w:rPr>
          <w:color w:val="000000" w:themeColor="text1"/>
        </w:rPr>
        <w:t>n høye aktivitets</w:t>
      </w:r>
      <w:r w:rsidR="00D82982" w:rsidRPr="004907F4">
        <w:rPr>
          <w:color w:val="000000" w:themeColor="text1"/>
        </w:rPr>
        <w:t xml:space="preserve">finansieringen </w:t>
      </w:r>
      <w:r w:rsidR="008528F4" w:rsidRPr="004907F4">
        <w:rPr>
          <w:color w:val="000000" w:themeColor="text1"/>
        </w:rPr>
        <w:t xml:space="preserve">stimulerer </w:t>
      </w:r>
      <w:r w:rsidR="00DB4F02" w:rsidRPr="004907F4">
        <w:rPr>
          <w:color w:val="000000" w:themeColor="text1"/>
        </w:rPr>
        <w:t xml:space="preserve">fastlegene </w:t>
      </w:r>
      <w:r w:rsidR="008528F4" w:rsidRPr="004907F4">
        <w:rPr>
          <w:color w:val="000000" w:themeColor="text1"/>
        </w:rPr>
        <w:t xml:space="preserve">til </w:t>
      </w:r>
      <w:r w:rsidR="00DB4F02" w:rsidRPr="004907F4">
        <w:rPr>
          <w:color w:val="000000" w:themeColor="text1"/>
        </w:rPr>
        <w:t>å yte</w:t>
      </w:r>
      <w:r w:rsidR="008528F4" w:rsidRPr="004907F4">
        <w:rPr>
          <w:color w:val="000000" w:themeColor="text1"/>
        </w:rPr>
        <w:t xml:space="preserve"> mange aktiviteter </w:t>
      </w:r>
      <w:r w:rsidR="003F5301" w:rsidRPr="004907F4">
        <w:rPr>
          <w:color w:val="000000" w:themeColor="text1"/>
        </w:rPr>
        <w:t xml:space="preserve">til </w:t>
      </w:r>
      <w:r w:rsidR="008656D7" w:rsidRPr="004907F4">
        <w:rPr>
          <w:color w:val="000000" w:themeColor="text1"/>
        </w:rPr>
        <w:t>liste</w:t>
      </w:r>
      <w:r w:rsidR="001069E5" w:rsidRPr="004907F4">
        <w:rPr>
          <w:color w:val="000000" w:themeColor="text1"/>
        </w:rPr>
        <w:t>innbygger</w:t>
      </w:r>
      <w:r w:rsidR="000C1A34" w:rsidRPr="004907F4">
        <w:rPr>
          <w:color w:val="000000" w:themeColor="text1"/>
        </w:rPr>
        <w:t>ne</w:t>
      </w:r>
      <w:r w:rsidR="71877FB6" w:rsidRPr="004907F4">
        <w:rPr>
          <w:color w:val="000000" w:themeColor="text1"/>
        </w:rPr>
        <w:t xml:space="preserve">, </w:t>
      </w:r>
      <w:r w:rsidR="00DB4F02" w:rsidRPr="004907F4">
        <w:rPr>
          <w:color w:val="000000" w:themeColor="text1"/>
        </w:rPr>
        <w:t xml:space="preserve">og dermed </w:t>
      </w:r>
      <w:r w:rsidR="00751C15" w:rsidRPr="004907F4">
        <w:rPr>
          <w:color w:val="000000" w:themeColor="text1"/>
        </w:rPr>
        <w:t xml:space="preserve">har de fleste listeinnbyggere med fastlege hatt relativt </w:t>
      </w:r>
      <w:r w:rsidR="00DB4F02" w:rsidRPr="004907F4">
        <w:rPr>
          <w:color w:val="000000" w:themeColor="text1"/>
        </w:rPr>
        <w:t>korte ventetider</w:t>
      </w:r>
      <w:r w:rsidR="71877FB6" w:rsidRPr="004907F4">
        <w:rPr>
          <w:color w:val="000000" w:themeColor="text1"/>
        </w:rPr>
        <w:t xml:space="preserve"> og fastlegen </w:t>
      </w:r>
      <w:r w:rsidR="00751C15" w:rsidRPr="004907F4">
        <w:rPr>
          <w:color w:val="000000" w:themeColor="text1"/>
        </w:rPr>
        <w:t xml:space="preserve">har </w:t>
      </w:r>
      <w:r w:rsidR="71877FB6" w:rsidRPr="004907F4">
        <w:rPr>
          <w:color w:val="000000" w:themeColor="text1"/>
        </w:rPr>
        <w:t>utfør</w:t>
      </w:r>
      <w:r w:rsidR="002F54EF" w:rsidRPr="004907F4">
        <w:rPr>
          <w:color w:val="000000" w:themeColor="text1"/>
        </w:rPr>
        <w:t>t</w:t>
      </w:r>
      <w:r w:rsidR="71877FB6" w:rsidRPr="004907F4">
        <w:rPr>
          <w:color w:val="000000" w:themeColor="text1"/>
        </w:rPr>
        <w:t xml:space="preserve"> mange medisinske avklaringer og oppgaver i stedet for å henvise videre</w:t>
      </w:r>
      <w:r w:rsidR="52F5A4C9" w:rsidRPr="004907F4">
        <w:rPr>
          <w:color w:val="000000" w:themeColor="text1"/>
        </w:rPr>
        <w:t>.</w:t>
      </w:r>
      <w:r w:rsidR="68E7DF86" w:rsidRPr="004907F4">
        <w:rPr>
          <w:color w:val="000000" w:themeColor="text1"/>
        </w:rPr>
        <w:t xml:space="preserve"> </w:t>
      </w:r>
      <w:r w:rsidR="00C95378" w:rsidRPr="004907F4">
        <w:rPr>
          <w:color w:val="000000" w:themeColor="text1"/>
        </w:rPr>
        <w:t>Selv om datagrunnlaget er mangelful</w:t>
      </w:r>
      <w:r w:rsidR="009C12D8">
        <w:rPr>
          <w:color w:val="000000" w:themeColor="text1"/>
        </w:rPr>
        <w:t>l</w:t>
      </w:r>
      <w:r w:rsidR="00C95378" w:rsidRPr="004907F4">
        <w:rPr>
          <w:color w:val="000000" w:themeColor="text1"/>
        </w:rPr>
        <w:t>t, viser SSBs levekårsundersøkelse, som</w:t>
      </w:r>
      <w:r w:rsidR="00D9107F">
        <w:rPr>
          <w:color w:val="000000" w:themeColor="text1"/>
        </w:rPr>
        <w:t xml:space="preserve"> </w:t>
      </w:r>
      <w:r w:rsidR="00C95378" w:rsidRPr="004907F4">
        <w:rPr>
          <w:color w:val="000000" w:themeColor="text1"/>
        </w:rPr>
        <w:t>går flere tiår bakover i tid, at ventetiden til allmennlegetime har ligget relativt stabilt på 2-3 dager (median) de siste ti årene.</w:t>
      </w:r>
    </w:p>
    <w:p w14:paraId="500EF06E" w14:textId="0F16576B" w:rsidR="00B3571E" w:rsidRPr="004907F4" w:rsidRDefault="68E7DF86" w:rsidP="00FB310D">
      <w:r w:rsidRPr="004907F4">
        <w:t xml:space="preserve">Noen elementer i finansieringen </w:t>
      </w:r>
      <w:r w:rsidR="00D6061E" w:rsidRPr="004907F4">
        <w:t>øker</w:t>
      </w:r>
      <w:r w:rsidR="00F55D89" w:rsidRPr="004907F4">
        <w:t xml:space="preserve"> </w:t>
      </w:r>
      <w:r w:rsidRPr="004907F4">
        <w:t xml:space="preserve">presset mange </w:t>
      </w:r>
      <w:r w:rsidR="00F46AF4" w:rsidRPr="004907F4">
        <w:t>fast</w:t>
      </w:r>
      <w:r w:rsidRPr="004907F4">
        <w:t xml:space="preserve">leger føler for å stå til tjeneste for listeinnbyggerne hele tiden, </w:t>
      </w:r>
      <w:r w:rsidR="00EE063F" w:rsidRPr="004907F4">
        <w:t>der</w:t>
      </w:r>
      <w:r w:rsidRPr="004907F4">
        <w:t xml:space="preserve"> e-konsultasjon om kvelden er </w:t>
      </w:r>
      <w:r w:rsidR="00E84C08" w:rsidRPr="004907F4">
        <w:t xml:space="preserve">et </w:t>
      </w:r>
      <w:r w:rsidRPr="004907F4">
        <w:t>eksempe</w:t>
      </w:r>
      <w:r w:rsidR="00656EF5" w:rsidRPr="004907F4">
        <w:t>l</w:t>
      </w:r>
      <w:r w:rsidRPr="004907F4">
        <w:t>.</w:t>
      </w:r>
      <w:r w:rsidR="00D9107F">
        <w:t xml:space="preserve"> </w:t>
      </w:r>
      <w:r w:rsidR="00696C14" w:rsidRPr="004907F4">
        <w:t>I dag</w:t>
      </w:r>
      <w:r w:rsidR="00A6747A" w:rsidRPr="004907F4">
        <w:t>ens</w:t>
      </w:r>
      <w:r w:rsidR="00696C14" w:rsidRPr="004907F4">
        <w:t xml:space="preserve"> situasjon </w:t>
      </w:r>
      <w:r w:rsidR="001A641D" w:rsidRPr="004907F4">
        <w:t xml:space="preserve">mener utvalget </w:t>
      </w:r>
      <w:r w:rsidR="4C3F7A78" w:rsidRPr="004907F4">
        <w:t xml:space="preserve">at denne typen tjenester utenfor vanlig arbeidstid </w:t>
      </w:r>
      <w:r w:rsidR="009D7FD6" w:rsidRPr="004907F4">
        <w:t xml:space="preserve">må kunne </w:t>
      </w:r>
      <w:r w:rsidR="604DC4C7" w:rsidRPr="004907F4">
        <w:t>trappes ned</w:t>
      </w:r>
      <w:r w:rsidR="4C3F7A78" w:rsidRPr="004907F4">
        <w:t xml:space="preserve">, </w:t>
      </w:r>
      <w:r w:rsidR="007F17F6" w:rsidRPr="004907F4">
        <w:t xml:space="preserve">selv om det </w:t>
      </w:r>
      <w:r w:rsidR="00556CC0" w:rsidRPr="004907F4">
        <w:t xml:space="preserve">kan </w:t>
      </w:r>
      <w:r w:rsidR="7801BEBD" w:rsidRPr="004907F4">
        <w:t>føre</w:t>
      </w:r>
      <w:r w:rsidR="007F17F6" w:rsidRPr="004907F4">
        <w:t xml:space="preserve"> til </w:t>
      </w:r>
      <w:r w:rsidR="0586DFDC" w:rsidRPr="004907F4">
        <w:t>redu</w:t>
      </w:r>
      <w:r w:rsidR="5CEF3EB0" w:rsidRPr="004907F4">
        <w:t xml:space="preserve">ksjon i noen typer </w:t>
      </w:r>
      <w:r w:rsidR="7801BEBD" w:rsidRPr="004907F4">
        <w:t>aktivitet</w:t>
      </w:r>
      <w:r w:rsidR="4CFBFB4D" w:rsidRPr="004907F4">
        <w:t>er</w:t>
      </w:r>
      <w:r w:rsidR="007F17F6" w:rsidRPr="004907F4">
        <w:t xml:space="preserve"> til </w:t>
      </w:r>
      <w:r w:rsidR="00A83B5F" w:rsidRPr="004907F4">
        <w:t>listeinnbygge</w:t>
      </w:r>
      <w:r w:rsidR="35C05FD5" w:rsidRPr="004907F4">
        <w:t>r</w:t>
      </w:r>
      <w:r w:rsidR="1FC809CC" w:rsidRPr="004907F4">
        <w:t>ne</w:t>
      </w:r>
      <w:r w:rsidR="007F17F6" w:rsidRPr="004907F4">
        <w:t xml:space="preserve">. </w:t>
      </w:r>
      <w:r w:rsidR="00D06FC9" w:rsidRPr="004907F4">
        <w:t xml:space="preserve">Helt overordnet er </w:t>
      </w:r>
      <w:r w:rsidR="00D06FC9" w:rsidRPr="004907F4">
        <w:lastRenderedPageBreak/>
        <w:t xml:space="preserve">det også enighet </w:t>
      </w:r>
      <w:r w:rsidR="1E8C950A" w:rsidRPr="004907F4">
        <w:t>i</w:t>
      </w:r>
      <w:r w:rsidR="2928094A" w:rsidRPr="004907F4">
        <w:t xml:space="preserve"> </w:t>
      </w:r>
      <w:r w:rsidR="00D06FC9" w:rsidRPr="004907F4">
        <w:t>litteraturen om at medisinsk overaktivitet er et større problem enn at det ytes for få tjenester</w:t>
      </w:r>
      <w:r w:rsidR="00CE3630" w:rsidRPr="004907F4">
        <w:t xml:space="preserve"> </w:t>
      </w:r>
      <w:r w:rsidR="00D078E3" w:rsidRPr="004907F4">
        <w:rPr>
          <w:rFonts w:ascii="Calibri" w:hAnsi="Calibri" w:cs="Calibri"/>
        </w:rPr>
        <w:fldChar w:fldCharType="begin"/>
      </w:r>
      <w:r w:rsidR="00D078E3" w:rsidRPr="004907F4">
        <w:rPr>
          <w:rFonts w:ascii="Calibri" w:hAnsi="Calibri" w:cs="Calibri"/>
        </w:rPr>
        <w:instrText xml:space="preserve"> ADDIN EN.CITE &lt;EndNote&gt;&lt;Cite&gt;&lt;Author&gt;Wennberg&lt;/Author&gt;&lt;Year&gt;2011&lt;/Year&gt;&lt;RecNum&gt;913&lt;/RecNum&gt;&lt;DisplayText&gt;(Wennberg, 2011)&lt;/DisplayText&gt;&lt;record&gt;&lt;rec-number&gt;913&lt;/rec-number&gt;&lt;foreign-keys&gt;&lt;key app="EN" db-id="95tpr2tp6r9xwoea9rb5wdsz5ds5xeddteew" timestamp="1680154255"&gt;913&lt;/key&gt;&lt;/foreign-keys&gt;&lt;ref-type name="Journal Article"&gt;17&lt;/ref-type&gt;&lt;contributors&gt;&lt;authors&gt;&lt;author&gt;Wennberg, J.&lt;/author&gt;&lt;/authors&gt;&lt;/contributors&gt;&lt;titles&gt;&lt;title&gt;Time to tackle unwarranted variation in practise&lt;/title&gt;&lt;secondary-title&gt;BMJ &lt;/secondary-title&gt;&lt;/titles&gt;&lt;pages&gt;1513&lt;/pages&gt;&lt;number&gt;342&lt;/number&gt;&lt;dates&gt;&lt;year&gt;2011&lt;/year&gt;&lt;/dates&gt;&lt;urls&gt;&lt;/urls&gt;&lt;/record&gt;&lt;/Cite&gt;&lt;/EndNote&gt;</w:instrText>
      </w:r>
      <w:r w:rsidR="00D078E3" w:rsidRPr="004907F4">
        <w:rPr>
          <w:rFonts w:ascii="Calibri" w:hAnsi="Calibri" w:cs="Calibri"/>
        </w:rPr>
        <w:fldChar w:fldCharType="separate"/>
      </w:r>
      <w:r w:rsidR="00D078E3" w:rsidRPr="004907F4">
        <w:rPr>
          <w:rFonts w:ascii="Calibri" w:hAnsi="Calibri" w:cs="Calibri"/>
        </w:rPr>
        <w:t>(Wennberg, 2011)</w:t>
      </w:r>
      <w:r w:rsidR="00D078E3" w:rsidRPr="004907F4">
        <w:rPr>
          <w:rFonts w:ascii="Calibri" w:hAnsi="Calibri" w:cs="Calibri"/>
        </w:rPr>
        <w:fldChar w:fldCharType="end"/>
      </w:r>
      <w:r w:rsidR="00D06FC9" w:rsidRPr="004907F4">
        <w:t xml:space="preserve">. Det finnes ikke klare tegn på at det totale aktivitetsnivået som ytes av fastlegene i Norge er for lavt, snarere </w:t>
      </w:r>
      <w:r w:rsidR="002917AA" w:rsidRPr="004907F4">
        <w:t xml:space="preserve">tolkes ofte </w:t>
      </w:r>
      <w:r w:rsidR="00FB70F4" w:rsidRPr="004907F4">
        <w:t xml:space="preserve">den store variasjonen i </w:t>
      </w:r>
      <w:r w:rsidR="00910F80" w:rsidRPr="004907F4">
        <w:t xml:space="preserve">tjenestene </w:t>
      </w:r>
      <w:r w:rsidR="002917AA" w:rsidRPr="004907F4">
        <w:t xml:space="preserve">som </w:t>
      </w:r>
      <w:r w:rsidR="00202042" w:rsidRPr="004907F4">
        <w:t>et uttrykk for</w:t>
      </w:r>
      <w:r w:rsidR="00910F80" w:rsidRPr="004907F4">
        <w:t xml:space="preserve"> medisi</w:t>
      </w:r>
      <w:r w:rsidR="004C600F" w:rsidRPr="004907F4">
        <w:t xml:space="preserve">nsk overaktivitet </w:t>
      </w:r>
      <w:r w:rsidR="00CE3630" w:rsidRPr="004907F4">
        <w:rPr>
          <w:rFonts w:ascii="Calibri" w:hAnsi="Calibri" w:cs="Calibri"/>
        </w:rPr>
        <w:fldChar w:fldCharType="begin"/>
      </w:r>
      <w:r w:rsidR="004654FD">
        <w:rPr>
          <w:rFonts w:ascii="Calibri" w:hAnsi="Calibri" w:cs="Calibri"/>
        </w:rPr>
        <w:instrText xml:space="preserve"> ADDIN EN.CITE &lt;EndNote&gt;&lt;Cite&gt;&lt;Author&gt;Førland&lt;/Author&gt;&lt;Year&gt;2019&lt;/Year&gt;&lt;RecNum&gt;856&lt;/RecNum&gt;&lt;DisplayText&gt;(Førland et al., 2019)&lt;/DisplayText&gt;&lt;record&gt;&lt;rec-number&gt;856&lt;/rec-number&gt;&lt;foreign-keys&gt;&lt;key app="EN" db-id="95tpr2tp6r9xwoea9rb5wdsz5ds5xeddteew" timestamp="1680069511"&gt;856&lt;/key&gt;&lt;/foreign-keys&gt;&lt;ref-type name="Report"&gt;27&lt;/ref-type&gt;&lt;contributors&gt;&lt;authors&gt;&lt;author&gt;Oddvar Førland&lt;/author&gt;&lt;author&gt;Hanne Marie Rostad&lt;/author&gt;&lt;/authors&gt;&lt;tertiary-authors&gt;&lt;author&gt;Senter for omsorgsforskning,&lt;/author&gt;&lt;/tertiary-authors&gt;&lt;/contributors&gt;&lt;titles&gt;&lt;title&gt;Variasjon og uønsket variasjon i kvalitet i omsorgstjenestene : en kunnskapsoppsummering&lt;/title&gt;&lt;secondary-title&gt;Senter for omsorgsforsknings rapportserie&lt;/secondary-title&gt;&lt;/titles&gt;&lt;num-vols&gt;nr. 04/2019&lt;/num-vols&gt;&lt;dates&gt;&lt;year&gt;2019&lt;/year&gt;&lt;/dates&gt;&lt;urls&gt;&lt;/urls&gt;&lt;/record&gt;&lt;/Cite&gt;&lt;/EndNote&gt;</w:instrText>
      </w:r>
      <w:r w:rsidR="00CE3630" w:rsidRPr="004907F4">
        <w:rPr>
          <w:rFonts w:ascii="Calibri" w:hAnsi="Calibri" w:cs="Calibri"/>
        </w:rPr>
        <w:fldChar w:fldCharType="separate"/>
      </w:r>
      <w:r w:rsidR="00856689" w:rsidRPr="004907F4">
        <w:rPr>
          <w:rFonts w:ascii="Calibri" w:hAnsi="Calibri" w:cs="Calibri"/>
          <w:noProof/>
        </w:rPr>
        <w:t>(Førland et al., 2019)</w:t>
      </w:r>
      <w:r w:rsidR="00CE3630" w:rsidRPr="004907F4">
        <w:rPr>
          <w:rFonts w:ascii="Calibri" w:hAnsi="Calibri" w:cs="Calibri"/>
        </w:rPr>
        <w:fldChar w:fldCharType="end"/>
      </w:r>
      <w:r w:rsidR="00CE3630" w:rsidRPr="004907F4">
        <w:rPr>
          <w:rFonts w:ascii="Calibri" w:hAnsi="Calibri" w:cs="Calibri"/>
        </w:rPr>
        <w:t>. Det er dessuten</w:t>
      </w:r>
      <w:r w:rsidR="00D06FC9" w:rsidRPr="004907F4">
        <w:t xml:space="preserve"> enighet om at noen av fastlegens oppgaver </w:t>
      </w:r>
      <w:r w:rsidR="00BB29C3" w:rsidRPr="004907F4">
        <w:t>kan</w:t>
      </w:r>
      <w:r w:rsidR="00D06FC9" w:rsidRPr="004907F4">
        <w:t xml:space="preserve"> flyttes ut av ordningen</w:t>
      </w:r>
      <w:r w:rsidR="00CE3630" w:rsidRPr="004907F4">
        <w:t>.</w:t>
      </w:r>
      <w:r w:rsidR="00DB1375" w:rsidRPr="004907F4">
        <w:t xml:space="preserve"> Det er tegn som tyder</w:t>
      </w:r>
      <w:r w:rsidR="006E30CC" w:rsidRPr="004907F4">
        <w:t xml:space="preserve"> på </w:t>
      </w:r>
      <w:r w:rsidR="00DB1375" w:rsidRPr="004907F4">
        <w:t>at fastlegene</w:t>
      </w:r>
      <w:r w:rsidR="00F40BE1" w:rsidRPr="004907F4">
        <w:t xml:space="preserve"> </w:t>
      </w:r>
      <w:r w:rsidR="00DE5136" w:rsidRPr="004907F4">
        <w:t xml:space="preserve">– særlig i årene som kommer </w:t>
      </w:r>
      <w:r w:rsidR="002D6445" w:rsidRPr="004907F4">
        <w:t>–</w:t>
      </w:r>
      <w:r w:rsidR="00DE5136" w:rsidRPr="004907F4">
        <w:t xml:space="preserve"> </w:t>
      </w:r>
      <w:r w:rsidR="00F96B40" w:rsidRPr="004907F4">
        <w:t>bør</w:t>
      </w:r>
      <w:r w:rsidR="00F40BE1" w:rsidRPr="004907F4">
        <w:t xml:space="preserve"> bruke mer tid på pasientgrupper med st</w:t>
      </w:r>
      <w:r w:rsidR="00CF0062" w:rsidRPr="004907F4">
        <w:t>ore</w:t>
      </w:r>
      <w:r w:rsidR="00F40BE1" w:rsidRPr="004907F4">
        <w:t xml:space="preserve"> behov for legenes tjenester, og mindre tid på aktiviteter med begrenset eller ingen helseeffekt, som for eksempel </w:t>
      </w:r>
      <w:r w:rsidR="0091327E" w:rsidRPr="004907F4">
        <w:t xml:space="preserve">noen typer </w:t>
      </w:r>
      <w:r w:rsidR="00F40BE1" w:rsidRPr="004907F4">
        <w:t>attester (se kapittel</w:t>
      </w:r>
      <w:r w:rsidR="005B51CD" w:rsidRPr="004907F4">
        <w:t xml:space="preserve"> </w:t>
      </w:r>
      <w:r w:rsidR="00220E63" w:rsidRPr="004907F4">
        <w:t>7</w:t>
      </w:r>
      <w:r w:rsidR="005B51CD" w:rsidRPr="004907F4">
        <w:t>)</w:t>
      </w:r>
      <w:r w:rsidR="00D379E2" w:rsidRPr="004907F4">
        <w:t xml:space="preserve">, samt at noen oppgaver kan utføres av annet helsepersonell (se kapittel </w:t>
      </w:r>
      <w:r w:rsidR="00220E63" w:rsidRPr="004907F4">
        <w:t>6</w:t>
      </w:r>
      <w:r w:rsidR="007767EC" w:rsidRPr="004907F4">
        <w:t>)</w:t>
      </w:r>
      <w:r w:rsidR="00F40BE1" w:rsidRPr="004907F4">
        <w:t>.</w:t>
      </w:r>
      <w:r w:rsidR="002917AA" w:rsidRPr="004907F4">
        <w:t xml:space="preserve"> </w:t>
      </w:r>
      <w:r w:rsidR="00BD1F60" w:rsidRPr="004907F4">
        <w:t>En</w:t>
      </w:r>
      <w:r w:rsidR="002917AA" w:rsidRPr="004907F4">
        <w:t xml:space="preserve"> h</w:t>
      </w:r>
      <w:r w:rsidR="002917AA" w:rsidRPr="004907F4">
        <w:rPr>
          <w:rFonts w:ascii="Calibri" w:eastAsia="Calibri" w:hAnsi="Calibri" w:cs="Calibri"/>
        </w:rPr>
        <w:t xml:space="preserve">øy andel basistilskudd vil kunne gi fastlegen insentiver til å yte færre </w:t>
      </w:r>
      <w:r w:rsidR="00AC1EFC" w:rsidRPr="004907F4">
        <w:rPr>
          <w:rFonts w:ascii="Calibri" w:eastAsia="Calibri" w:hAnsi="Calibri" w:cs="Calibri"/>
        </w:rPr>
        <w:t xml:space="preserve">eller utsatte </w:t>
      </w:r>
      <w:r w:rsidR="002917AA" w:rsidRPr="004907F4">
        <w:rPr>
          <w:rFonts w:ascii="Calibri" w:eastAsia="Calibri" w:hAnsi="Calibri" w:cs="Calibri"/>
        </w:rPr>
        <w:t xml:space="preserve">tjenester til </w:t>
      </w:r>
      <w:r w:rsidR="0054734D" w:rsidRPr="004907F4">
        <w:rPr>
          <w:rFonts w:ascii="Calibri" w:eastAsia="Calibri" w:hAnsi="Calibri" w:cs="Calibri"/>
        </w:rPr>
        <w:t>noen listeinnbyggere</w:t>
      </w:r>
      <w:r w:rsidR="002917AA" w:rsidRPr="004907F4">
        <w:rPr>
          <w:rFonts w:ascii="Calibri" w:eastAsia="Calibri" w:hAnsi="Calibri" w:cs="Calibri"/>
        </w:rPr>
        <w:t xml:space="preserve">, men ut fra medisinskfaglige prioriteringer vil det fortrinnsvis være de </w:t>
      </w:r>
      <w:r w:rsidR="006426F7" w:rsidRPr="004907F4">
        <w:rPr>
          <w:rFonts w:ascii="Calibri" w:eastAsia="Calibri" w:hAnsi="Calibri" w:cs="Calibri"/>
        </w:rPr>
        <w:t>liste</w:t>
      </w:r>
      <w:r w:rsidR="002917AA" w:rsidRPr="004907F4">
        <w:rPr>
          <w:rFonts w:ascii="Calibri" w:eastAsia="Calibri" w:hAnsi="Calibri" w:cs="Calibri"/>
        </w:rPr>
        <w:t>innbyggerne som trenger dem minst.</w:t>
      </w:r>
    </w:p>
    <w:p w14:paraId="6CD3ABB4" w14:textId="77777777" w:rsidR="00D9107F" w:rsidRPr="00FB310D" w:rsidRDefault="00580CEE" w:rsidP="00FB310D">
      <w:r w:rsidRPr="00FB310D">
        <w:t xml:space="preserve">En økning av basistilskuddet </w:t>
      </w:r>
      <w:r w:rsidR="00CD27B6" w:rsidRPr="00FB310D">
        <w:t xml:space="preserve">vil </w:t>
      </w:r>
      <w:r w:rsidR="00B42532" w:rsidRPr="00FB310D">
        <w:t xml:space="preserve">gjøre det </w:t>
      </w:r>
      <w:r w:rsidR="00CB28A7" w:rsidRPr="00FB310D">
        <w:t xml:space="preserve">mindre kostbart for fastlegene </w:t>
      </w:r>
      <w:r w:rsidR="00571CBB" w:rsidRPr="00FB310D">
        <w:t xml:space="preserve">– i form av tapt </w:t>
      </w:r>
      <w:r w:rsidR="001C0297" w:rsidRPr="00FB310D">
        <w:t xml:space="preserve">takstaktivitet – å </w:t>
      </w:r>
      <w:r w:rsidR="005D107E" w:rsidRPr="00FB310D">
        <w:t xml:space="preserve">utvikle </w:t>
      </w:r>
      <w:r w:rsidR="007B3629" w:rsidRPr="00FB310D">
        <w:t xml:space="preserve">løsninger som kan ivareta innbyggere på andre måter enn ved å møte </w:t>
      </w:r>
      <w:r w:rsidR="000E325B" w:rsidRPr="00FB310D">
        <w:t xml:space="preserve">fastlegen. </w:t>
      </w:r>
      <w:r w:rsidR="002917AA" w:rsidRPr="00FB310D">
        <w:t>I</w:t>
      </w:r>
      <w:r w:rsidR="00805CB2" w:rsidRPr="00FB310D">
        <w:t xml:space="preserve"> så fall ville fastlegen kunne øke sin listelengde uten </w:t>
      </w:r>
      <w:r w:rsidR="00B76AB4" w:rsidRPr="00FB310D">
        <w:t xml:space="preserve">å </w:t>
      </w:r>
      <w:r w:rsidR="00805CB2" w:rsidRPr="00FB310D">
        <w:t>øk</w:t>
      </w:r>
      <w:r w:rsidR="00B76AB4" w:rsidRPr="00FB310D">
        <w:t>e</w:t>
      </w:r>
      <w:r w:rsidR="00805CB2" w:rsidRPr="00FB310D">
        <w:t xml:space="preserve"> arbeidsmengde</w:t>
      </w:r>
      <w:r w:rsidR="00B76AB4" w:rsidRPr="00FB310D">
        <w:t>n</w:t>
      </w:r>
      <w:r w:rsidR="0010778A" w:rsidRPr="00FB310D">
        <w:t xml:space="preserve">. </w:t>
      </w:r>
      <w:r w:rsidR="00805CB2" w:rsidRPr="00FB310D">
        <w:t>Eksempler</w:t>
      </w:r>
      <w:r w:rsidR="0010778A" w:rsidRPr="00FB310D">
        <w:t xml:space="preserve"> </w:t>
      </w:r>
      <w:r w:rsidR="00DA2CA3" w:rsidRPr="00FB310D">
        <w:t xml:space="preserve">på tiltak som </w:t>
      </w:r>
      <w:r w:rsidR="003E4ACA" w:rsidRPr="00FB310D">
        <w:t xml:space="preserve">på sikt </w:t>
      </w:r>
      <w:r w:rsidR="0010778A" w:rsidRPr="00FB310D">
        <w:t xml:space="preserve">kan </w:t>
      </w:r>
      <w:r w:rsidR="003E4ACA" w:rsidRPr="00FB310D">
        <w:t>redusere arbeidsbelastninge</w:t>
      </w:r>
      <w:r w:rsidR="006C0026" w:rsidRPr="00FB310D">
        <w:t>n</w:t>
      </w:r>
      <w:r w:rsidR="00033FE8" w:rsidRPr="00FB310D">
        <w:t>,</w:t>
      </w:r>
      <w:r w:rsidR="003E4ACA" w:rsidRPr="00FB310D">
        <w:t xml:space="preserve"> kan være </w:t>
      </w:r>
      <w:r w:rsidR="00B57DDC" w:rsidRPr="00FB310D">
        <w:t xml:space="preserve">større innslag av </w:t>
      </w:r>
      <w:r w:rsidR="00B63096" w:rsidRPr="00FB310D">
        <w:t xml:space="preserve">annet helsepersonell, </w:t>
      </w:r>
      <w:r w:rsidR="006464EC" w:rsidRPr="00FB310D">
        <w:t xml:space="preserve">utvidede muligheter til å </w:t>
      </w:r>
      <w:r w:rsidR="00402DFF" w:rsidRPr="00FB310D">
        <w:t>ansette vikar, LIS1 og ALIS</w:t>
      </w:r>
      <w:r w:rsidR="00ED31C3" w:rsidRPr="00FB310D">
        <w:t xml:space="preserve">, </w:t>
      </w:r>
      <w:r w:rsidR="0021276C" w:rsidRPr="00FB310D">
        <w:t>flytt</w:t>
      </w:r>
      <w:r w:rsidR="008D5F1D" w:rsidRPr="00FB310D">
        <w:t xml:space="preserve">ing av </w:t>
      </w:r>
      <w:r w:rsidR="0021276C" w:rsidRPr="00FB310D">
        <w:t xml:space="preserve">oppgaver ut av fastlegeordningen og </w:t>
      </w:r>
      <w:r w:rsidR="001E3653" w:rsidRPr="00FB310D">
        <w:t xml:space="preserve">nye </w:t>
      </w:r>
      <w:r w:rsidR="003D1C70" w:rsidRPr="00FB310D">
        <w:t xml:space="preserve">digitale </w:t>
      </w:r>
      <w:r w:rsidR="00623C69" w:rsidRPr="00FB310D">
        <w:t>løsninger.</w:t>
      </w:r>
    </w:p>
    <w:p w14:paraId="5FE8D018" w14:textId="1E7F8B0F" w:rsidR="0010778A" w:rsidRPr="00B76AB4" w:rsidRDefault="00EB68D3" w:rsidP="00FB310D">
      <w:r>
        <w:rPr>
          <w:shd w:val="clear" w:color="auto" w:fill="FFFFFF"/>
        </w:rPr>
        <w:t xml:space="preserve">Fastlegetjenestene i Norge har </w:t>
      </w:r>
      <w:r w:rsidR="000C7243">
        <w:rPr>
          <w:shd w:val="clear" w:color="auto" w:fill="FFFFFF"/>
        </w:rPr>
        <w:t>lavt innslag av andre helsepersonellgrupper</w:t>
      </w:r>
      <w:r w:rsidR="002D6445">
        <w:rPr>
          <w:shd w:val="clear" w:color="auto" w:fill="FFFFFF"/>
        </w:rPr>
        <w:t xml:space="preserve">, </w:t>
      </w:r>
      <w:r w:rsidR="00660FC3">
        <w:rPr>
          <w:shd w:val="clear" w:color="auto" w:fill="FFFFFF"/>
        </w:rPr>
        <w:t>sammenliknet med</w:t>
      </w:r>
      <w:r w:rsidR="008D4D71">
        <w:rPr>
          <w:shd w:val="clear" w:color="auto" w:fill="FFFFFF"/>
        </w:rPr>
        <w:t xml:space="preserve"> </w:t>
      </w:r>
      <w:r w:rsidR="00BD35EF">
        <w:rPr>
          <w:shd w:val="clear" w:color="auto" w:fill="FFFFFF"/>
        </w:rPr>
        <w:t xml:space="preserve">våre </w:t>
      </w:r>
      <w:r w:rsidR="00062271">
        <w:rPr>
          <w:shd w:val="clear" w:color="auto" w:fill="FFFFFF"/>
        </w:rPr>
        <w:t xml:space="preserve">naboland </w:t>
      </w:r>
      <w:r w:rsidR="00062271">
        <w:fldChar w:fldCharType="begin">
          <w:fldData xml:space="preserve">PEVuZE5vdGU+PENpdGU+PEF1dGhvcj5NYWllcjwvQXV0aG9yPjxZZWFyPjIwMTY8L1llYXI+PFJl
Y051bT44MDk8L1JlY051bT48RGlzcGxheVRleHQ+KE1haWVyIGV0IGFsLiwgMjAxNjsgU2t1ZGFs
IGV0IGFsLiwgMjAxOSk8L0Rpc3BsYXlUZXh0PjxyZWNvcmQ+PHJlYy1udW1iZXI+ODA5PC9yZWMt
bnVtYmVyPjxmb3JlaWduLWtleXM+PGtleSBhcHA9IkVOIiBkYi1pZD0iOTV0cHIydHA2cjl4d29l
YTlyYjV3ZHN6NWRzNXhlZGR0ZWV3IiB0aW1lc3RhbXA9IjE2ODAwNjk1MTEiPjgwOTwva2V5Pjwv
Zm9yZWlnbi1rZXlzPjxyZWYtdHlwZSBuYW1lPSJKb3VybmFsIEFydGljbGUiPjE3PC9yZWYtdHlw
ZT48Y29udHJpYnV0b3JzPjxhdXRob3JzPjxhdXRob3I+TWFpZXIsIEMuIEIuPC9hdXRob3I+PGF1
dGhvcj5BaWtlbiwgTC4gSC48L2F1dGhvcj48L2F1dGhvcnM+PC9jb250cmlidXRvcnM+PGF1dGgt
YWRkcmVzcz5NYWllciwgQ2xhdWRpYSBCLiBIYXJrbmVzcyAmYW1wOyBCLiBCcmF1biBGZWxsb3cg
aW4gSGVhbHRoY2FyZSBQb2xpY3kgYW5kIFByYWN0aWNlLCBDZW50ZXIgZm9yIEhlYWx0aCwgT3V0
Y29tZXMgYW5kIFBvbGljeSBSZXNlYXJjaCwgU2Nob29sIG9mIE51cnNpbmcsIFVuaXZlcnNpdHkg
b2YgUGVubnN5bHZhbmlhLCBDbGFpcmUgRmFnaW4gSGFsbCwgNDE4IEN1cmllIEJsdmQsIFBoaWxh
ZGVscGhpYSwgUEEgMTkxMDQtNDIxNywgVVNBIGMubWFpZXJAdHUtYmVybGluLmRlIG1haWVyY0Bu
dXJzaW5nLnVwZW5uLmVkdS4mI3hEO01haWVyLCBDbGF1ZGlhIEIuIERlcGFydG1lbnQgb2YgSGVh
bHRoY2FyZSBNYW5hZ2VtZW50LCBUZWNobmlzY2hlIFVuaXZlcnNpdGF0IEJlcmxpbiwgU3RyYXNz
ZSBkZXMgMTcuIEp1bmkgMTM1LCBCZXJsaW4gMTA2MjMsIEdlcm1hbnkuJiN4RDtBaWtlbiwgTGlu
ZGEgSC4gQ2xhaXJlIE0gRmFnaW4gUHJvZmVzc29yIGFuZCBEaXJlY3RvciwgQ2VudGVyIGZvciBI
ZWFsdGggT3V0Y29tZXMgYW5kIFBvbGljeSBSZXNlYXJjaCwgU2Nob29sIG9mIE51cnNpbmcsIFNl
bmlvciBGZWxsb3csIExlb25hcmQgRGF2aXMgSW5zdGl0dXRlIGZvciBIZWFsdGggRWNvbm9taWNz
LCBVbml2ZXJzaXR5IG9mIFBlbm5zeWx2YW5pYSwgNDE4IEN1cmllIEJsdmQsIENsYWlyZSBNLiBG
YWdpbiBIYWxsLCAzODdSLCBQaGlsYWRlbHBoaWEsIFBBIDE5MTA0LTQyMTcsIFVTQS48L2F1dGgt
YWRkcmVzcz48dGl0bGVzPjx0aXRsZT5UYXNrIHNoaWZ0aW5nIGZyb20gcGh5c2ljaWFucyB0byBu
dXJzZXMgaW4gcHJpbWFyeSBjYXJlIGluIDM5IGNvdW50cmllczogYSBjcm9zcy1jb3VudHJ5IGNv
bXBhcmF0aXZlIHN0dWR5PC90aXRsZT48c2Vjb25kYXJ5LXRpdGxlPkV1cm9wZWFuIEpvdXJuYWwg
b2YgUHVibGljIEhlYWx0aDwvc2Vjb25kYXJ5LXRpdGxlPjxhbHQtdGl0bGU+RXVyIEogUHVibGlj
IEhlYWx0aDwvYWx0LXRpdGxlPjwvdGl0bGVzPjxwZXJpb2RpY2FsPjxmdWxsLXRpdGxlPkV1cm9w
ZWFuIEpvdXJuYWwgb2YgUHVibGljIEhlYWx0aDwvZnVsbC10aXRsZT48YWJici0xPkV1ciBKIFB1
YmxpYyBIZWFsdGg8L2FiYnItMT48L3BlcmlvZGljYWw+PGFsdC1wZXJpb2RpY2FsPjxmdWxsLXRp
dGxlPkV1ciBKIFB1YmxpYyBIZWFsdGg8L2Z1bGwtdGl0bGU+PC9hbHQtcGVyaW9kaWNhbD48cGFn
ZXM+OTI3LTkzNDwvcGFnZXM+PHZvbHVtZT4yNjwvdm9sdW1lPjxudW1iZXI+NjwvbnVtYmVyPjxr
ZXl3b3Jkcz48a2V5d29yZD5BdXN0cmFsaWE8L2tleXdvcmQ+PGtleXdvcmQ+RXVyb3BlPC9rZXl3
b3JkPjxrZXl3b3JkPkhlYWx0aCBTZXJ2aWNlcyBSZXNlYXJjaDwva2V5d29yZD48a2V5d29yZD5I
dW1hbnM8L2tleXdvcmQ+PGtleXdvcmQ+TmV3IFplYWxhbmQ8L2tleXdvcmQ+PGtleXdvcmQ+Tm9y
dGggQW1lcmljYTwva2V5d29yZD48a2V5d29yZD5OdXJzZSZhcG9zO3MgUm9sZTwva2V5d29yZD48
a2V5d29yZD4qTnVyc2VzL29nIFtPcmdhbml6YXRpb24gJmFtcDsgQWRtaW5pc3RyYXRpb25dPC9r
ZXl3b3JkPjxrZXl3b3JkPlBoeXNpY2lhbiZhcG9zO3MgUm9sZTwva2V5d29yZD48a2V5d29yZD4q
UGh5c2ljaWFucy9vZyBbT3JnYW5pemF0aW9uICZhbXA7IEFkbWluaXN0cmF0aW9uXTwva2V5d29y
ZD48a2V5d29yZD4qUG9saWN5PC9rZXl3b3JkPjxrZXl3b3JkPipQcmltYXJ5IEhlYWx0aCBDYXJl
L29nIFtPcmdhbml6YXRpb24gJmFtcDsgQWRtaW5pc3RyYXRpb25dPC9rZXl3b3JkPjwva2V5d29y
ZHM+PGRhdGVzPjx5ZWFyPjIwMTY8L3llYXI+PHB1Yi1kYXRlcz48ZGF0ZT4xMjwvZGF0ZT48L3B1
Yi1kYXRlcz48L2RhdGVzPjxpc2JuPjE0NjQtMzYwWDwvaXNibj48YWNjZXNzaW9uLW51bT4yNzQ4
NTcxOTwvYWNjZXNzaW9uLW51bT48d29yay10eXBlPkNvbXBhcmF0aXZlIFN0dWR5JiN4RDtSZXNl
YXJjaCBTdXBwb3J0LCBOb24tVS5TLiBHb3YmYXBvczt0PC93b3JrLXR5cGU+PHVybHM+PHJlbGF0
ZWQtdXJscz48dXJsPmh0dHBzOi8vb3ZpZHNwLm92aWQuY29tL292aWR3ZWIuY2dpP1Q9SlMmYW1w
O0NTQz1ZJmFtcDtORVdTPU4mYW1wO1BBR0U9ZnVsbHRleHQmYW1wO0Q9bWVkMTMmYW1wO0FOPTI3
NDg1NzE5PC91cmw+PHVybD5odHRwOi8vb3BlbnVybC5iaWJzeXMubm8vb3BlbnVybD9vdG9vbD1p
bm9pcGhsaWI/c2lkPU9WSUQ6bWVkbGluZSZhbXA7aWQ9cG1pZDoyNzQ4NTcxOSZhbXA7aWQ9ZG9p
OjEwLjEwOTMlMkZldXJwdWIlMkZja3cwOTgmYW1wO2lzc249MTEwMS0xMjYyJmFtcDtpc2JuPSZh
bXA7dm9sdW1lPTI2JmFtcDtpc3N1ZT02JmFtcDtzcGFnZT05MjcmYW1wO3BhZ2VzPTkyNy05MzQm
YW1wO2RhdGU9MjAxNiZhbXA7dGl0bGU9RXVyb3BlYW4rSm91cm5hbCtvZitQdWJsaWMrSGVhbHRo
JmFtcDthdGl0bGU9VGFzaytzaGlmdGluZytmcm9tK3BoeXNpY2lhbnMrdG8rbnVyc2VzK2luK3By
aW1hcnkrY2FyZStpbiszOStjb3VudHJpZXMlM0ErYStjcm9zcy1jb3VudHJ5K2NvbXBhcmF0aXZl
K3N0dWR5LiZhbXA7YXVsYXN0PU1haWVyJmFtcDtwaWQ9JTNDYXV0aG9yJTNFTWFpZXIrQ0IlM0Ml
MkZhdXRob3IlM0UlM0NBTiUzRTI3NDg1NzE5JTNDJTJGQU4lM0UlM0NEVCUzRUNvbXBhcmF0aXZl
K1N0dWR5JTNDJTJGRFQlM0U8L3VybD48L3JlbGF0ZWQtdXJscz48L3VybHM+PHJlbW90ZS1kYXRh
YmFzZS1uYW1lPk1FRExJTkU8L3JlbW90ZS1kYXRhYmFzZS1uYW1lPjxyZW1vdGUtZGF0YWJhc2Ut
cHJvdmlkZXI+T3ZpZCBUZWNobm9sb2dpZXM8L3JlbW90ZS1kYXRhYmFzZS1wcm92aWRlcj48bGFu
Z3VhZ2U+RW5nbGlzaDwvbGFuZ3VhZ2U+PC9yZWNvcmQ+PC9DaXRlPjxDaXRlPjxBdXRob3I+U2t1
ZGFsPC9BdXRob3I+PFllYXI+MjAxOTwvWWVhcj48UmVjTnVtPjk2PC9SZWNOdW0+PHJlY29yZD48
cmVjLW51bWJlcj45NjwvcmVjLW51bWJlcj48Zm9yZWlnbi1rZXlzPjxrZXkgYXBwPSJFTiIgZGIt
aWQ9Ijk1dHByMnRwNnI5eHdvZWE5cmI1d2RzejVkczV4ZWRkdGVldyIgdGltZXN0YW1wPSIxNjgw
MDY5NTExIj45Njwva2V5PjwvZm9yZWlnbi1rZXlzPjxyZWYtdHlwZSBuYW1lPSJSZXBvcnQiPjI3
PC9yZWYtdHlwZT48Y29udHJpYnV0b3JzPjxhdXRob3JzPjxhdXRob3I+U2t1ZGFsLCBLamVyc3Rp
IEVlZzwvYXV0aG9yPjxhdXRob3I+SG9sbWJvZSwgT2xhZjwvYXV0aG9yPjxhdXRob3I+QmplcnRu
w6ZzLCDDmHl2aW5kIEFuZHJlc2VuPC9hdXRob3I+PGF1dGhvcj5UZWxsZSwgS2pldGlsIEVsaWFz
PC9hdXRob3I+PC9hdXRob3JzPjwvY29udHJpYnV0b3JzPjx0aXRsZXM+PHRpdGxlPkNvbW1vbndl
YWx0aCBGdW5kLXVuZGVyc8O4a2Vsc2VuIGJsYW50IGFsbG1lbm5sZWdlciBpIGVsbGV2ZSBsYW5k
IGkgMjAxOTogdGFiZWxscmFwcG9ydDwvdGl0bGU+PC90aXRsZXM+PGRhdGVzPjx5ZWFyPjIwMTk8
L3llYXI+PC9kYXRlcz48cHViLWxvY2F0aW9uPk9zbG88L3B1Yi1sb2NhdGlvbj48cHVibGlzaGVy
PkZvbGtlaGVsc2VpbnN0aXR1dHRldDwvcHVibGlzaGVyPjx1cmxzPjwvdXJscz48L3JlY29yZD48
L0NpdGU+PC9FbmROb3RlPn==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Y051bT44MDk8L1JlY051bT48RGlzcGxheVRleHQ+KE1haWVyIGV0IGFsLiwgMjAxNjsgU2t1ZGFs
IGV0IGFsLiwgMjAxOSk8L0Rpc3BsYXlUZXh0PjxyZWNvcmQ+PHJlYy1udW1iZXI+ODA5PC9yZWMt
bnVtYmVyPjxmb3JlaWduLWtleXM+PGtleSBhcHA9IkVOIiBkYi1pZD0iOTV0cHIydHA2cjl4d29l
YTlyYjV3ZHN6NWRzNXhlZGR0ZWV3IiB0aW1lc3RhbXA9IjE2ODAwNjk1MTEiPjgwOTwva2V5Pjwv
Zm9yZWlnbi1rZXlzPjxyZWYtdHlwZSBuYW1lPSJKb3VybmFsIEFydGljbGUiPjE3PC9yZWYtdHlw
ZT48Y29udHJpYnV0b3JzPjxhdXRob3JzPjxhdXRob3I+TWFpZXIsIEMuIEIuPC9hdXRob3I+PGF1
dGhvcj5BaWtlbiwgTC4gSC48L2F1dGhvcj48L2F1dGhvcnM+PC9jb250cmlidXRvcnM+PGF1dGgt
YWRkcmVzcz5NYWllciwgQ2xhdWRpYSBCLiBIYXJrbmVzcyAmYW1wOyBCLiBCcmF1biBGZWxsb3cg
aW4gSGVhbHRoY2FyZSBQb2xpY3kgYW5kIFByYWN0aWNlLCBDZW50ZXIgZm9yIEhlYWx0aCwgT3V0
Y29tZXMgYW5kIFBvbGljeSBSZXNlYXJjaCwgU2Nob29sIG9mIE51cnNpbmcsIFVuaXZlcnNpdHkg
b2YgUGVubnN5bHZhbmlhLCBDbGFpcmUgRmFnaW4gSGFsbCwgNDE4IEN1cmllIEJsdmQsIFBoaWxh
ZGVscGhpYSwgUEEgMTkxMDQtNDIxNywgVVNBIGMubWFpZXJAdHUtYmVybGluLmRlIG1haWVyY0Bu
dXJzaW5nLnVwZW5uLmVkdS4mI3hEO01haWVyLCBDbGF1ZGlhIEIuIERlcGFydG1lbnQgb2YgSGVh
bHRoY2FyZSBNYW5hZ2VtZW50LCBUZWNobmlzY2hlIFVuaXZlcnNpdGF0IEJlcmxpbiwgU3RyYXNz
ZSBkZXMgMTcuIEp1bmkgMTM1LCBCZXJsaW4gMTA2MjMsIEdlcm1hbnkuJiN4RDtBaWtlbiwgTGlu
ZGEgSC4gQ2xhaXJlIE0gRmFnaW4gUHJvZmVzc29yIGFuZCBEaXJlY3RvciwgQ2VudGVyIGZvciBI
ZWFsdGggT3V0Y29tZXMgYW5kIFBvbGljeSBSZXNlYXJjaCwgU2Nob29sIG9mIE51cnNpbmcsIFNl
bmlvciBGZWxsb3csIExlb25hcmQgRGF2aXMgSW5zdGl0dXRlIGZvciBIZWFsdGggRWNvbm9taWNz
LCBVbml2ZXJzaXR5IG9mIFBlbm5zeWx2YW5pYSwgNDE4IEN1cmllIEJsdmQsIENsYWlyZSBNLiBG
YWdpbiBIYWxsLCAzODdSLCBQaGlsYWRlbHBoaWEsIFBBIDE5MTA0LTQyMTcsIFVTQS48L2F1dGgt
YWRkcmVzcz48dGl0bGVzPjx0aXRsZT5UYXNrIHNoaWZ0aW5nIGZyb20gcGh5c2ljaWFucyB0byBu
dXJzZXMgaW4gcHJpbWFyeSBjYXJlIGluIDM5IGNvdW50cmllczogYSBjcm9zcy1jb3VudHJ5IGNv
bXBhcmF0aXZlIHN0dWR5PC90aXRsZT48c2Vjb25kYXJ5LXRpdGxlPkV1cm9wZWFuIEpvdXJuYWwg
b2YgUHVibGljIEhlYWx0aDwvc2Vjb25kYXJ5LXRpdGxlPjxhbHQtdGl0bGU+RXVyIEogUHVibGlj
IEhlYWx0aDwvYWx0LXRpdGxlPjwvdGl0bGVzPjxwZXJpb2RpY2FsPjxmdWxsLXRpdGxlPkV1cm9w
ZWFuIEpvdXJuYWwgb2YgUHVibGljIEhlYWx0aDwvZnVsbC10aXRsZT48YWJici0xPkV1ciBKIFB1
YmxpYyBIZWFsdGg8L2FiYnItMT48L3BlcmlvZGljYWw+PGFsdC1wZXJpb2RpY2FsPjxmdWxsLXRp
dGxlPkV1ciBKIFB1YmxpYyBIZWFsdGg8L2Z1bGwtdGl0bGU+PC9hbHQtcGVyaW9kaWNhbD48cGFn
ZXM+OTI3LTkzNDwvcGFnZXM+PHZvbHVtZT4yNjwvdm9sdW1lPjxudW1iZXI+NjwvbnVtYmVyPjxr
ZXl3b3Jkcz48a2V5d29yZD5BdXN0cmFsaWE8L2tleXdvcmQ+PGtleXdvcmQ+RXVyb3BlPC9rZXl3
b3JkPjxrZXl3b3JkPkhlYWx0aCBTZXJ2aWNlcyBSZXNlYXJjaDwva2V5d29yZD48a2V5d29yZD5I
dW1hbnM8L2tleXdvcmQ+PGtleXdvcmQ+TmV3IFplYWxhbmQ8L2tleXdvcmQ+PGtleXdvcmQ+Tm9y
dGggQW1lcmljYTwva2V5d29yZD48a2V5d29yZD5OdXJzZSZhcG9zO3MgUm9sZTwva2V5d29yZD48
a2V5d29yZD4qTnVyc2VzL29nIFtPcmdhbml6YXRpb24gJmFtcDsgQWRtaW5pc3RyYXRpb25dPC9r
ZXl3b3JkPjxrZXl3b3JkPlBoeXNpY2lhbiZhcG9zO3MgUm9sZTwva2V5d29yZD48a2V5d29yZD4q
UGh5c2ljaWFucy9vZyBbT3JnYW5pemF0aW9uICZhbXA7IEFkbWluaXN0cmF0aW9uXTwva2V5d29y
ZD48a2V5d29yZD4qUG9saWN5PC9rZXl3b3JkPjxrZXl3b3JkPipQcmltYXJ5IEhlYWx0aCBDYXJl
L29nIFtPcmdhbml6YXRpb24gJmFtcDsgQWRtaW5pc3RyYXRpb25dPC9rZXl3b3JkPjwva2V5d29y
ZHM+PGRhdGVzPjx5ZWFyPjIwMTY8L3llYXI+PHB1Yi1kYXRlcz48ZGF0ZT4xMjwvZGF0ZT48L3B1
Yi1kYXRlcz48L2RhdGVzPjxpc2JuPjE0NjQtMzYwWDwvaXNibj48YWNjZXNzaW9uLW51bT4yNzQ4
NTcxOTwvYWNjZXNzaW9uLW51bT48d29yay10eXBlPkNvbXBhcmF0aXZlIFN0dWR5JiN4RDtSZXNl
YXJjaCBTdXBwb3J0LCBOb24tVS5TLiBHb3YmYXBvczt0PC93b3JrLXR5cGU+PHVybHM+PHJlbGF0
ZWQtdXJscz48dXJsPmh0dHBzOi8vb3ZpZHNwLm92aWQuY29tL292aWR3ZWIuY2dpP1Q9SlMmYW1w
O0NTQz1ZJmFtcDtORVdTPU4mYW1wO1BBR0U9ZnVsbHRleHQmYW1wO0Q9bWVkMTMmYW1wO0FOPTI3
NDg1NzE5PC91cmw+PHVybD5odHRwOi8vb3BlbnVybC5iaWJzeXMubm8vb3BlbnVybD9vdG9vbD1p
bm9pcGhsaWI/c2lkPU9WSUQ6bWVkbGluZSZhbXA7aWQ9cG1pZDoyNzQ4NTcxOSZhbXA7aWQ9ZG9p
OjEwLjEwOTMlMkZldXJwdWIlMkZja3cwOTgmYW1wO2lzc249MTEwMS0xMjYyJmFtcDtpc2JuPSZh
bXA7dm9sdW1lPTI2JmFtcDtpc3N1ZT02JmFtcDtzcGFnZT05MjcmYW1wO3BhZ2VzPTkyNy05MzQm
YW1wO2RhdGU9MjAxNiZhbXA7dGl0bGU9RXVyb3BlYW4rSm91cm5hbCtvZitQdWJsaWMrSGVhbHRo
JmFtcDthdGl0bGU9VGFzaytzaGlmdGluZytmcm9tK3BoeXNpY2lhbnMrdG8rbnVyc2VzK2luK3By
aW1hcnkrY2FyZStpbiszOStjb3VudHJpZXMlM0ErYStjcm9zcy1jb3VudHJ5K2NvbXBhcmF0aXZl
K3N0dWR5LiZhbXA7YXVsYXN0PU1haWVyJmFtcDtwaWQ9JTNDYXV0aG9yJTNFTWFpZXIrQ0IlM0Ml
MkZhdXRob3IlM0UlM0NBTiUzRTI3NDg1NzE5JTNDJTJGQU4lM0UlM0NEVCUzRUNvbXBhcmF0aXZl
K1N0dWR5JTNDJTJGRFQlM0U8L3VybD48L3JlbGF0ZWQtdXJscz48L3VybHM+PHJlbW90ZS1kYXRh
YmFzZS1uYW1lPk1FRExJTkU8L3JlbW90ZS1kYXRhYmFzZS1uYW1lPjxyZW1vdGUtZGF0YWJhc2Ut
cHJvdmlkZXI+T3ZpZCBUZWNobm9sb2dpZXM8L3JlbW90ZS1kYXRhYmFzZS1wcm92aWRlcj48bGFu
Z3VhZ2U+RW5nbGlzaDwvbGFuZ3VhZ2U+PC9yZWNvcmQ+PC9DaXRlPjxDaXRlPjxBdXRob3I+U2t1
ZGFsPC9BdXRob3I+PFllYXI+MjAxOTwvWWVhcj48UmVjTnVtPjk2PC9SZWNOdW0+PHJlY29yZD48
cmVjLW51bWJlcj45NjwvcmVjLW51bWJlcj48Zm9yZWlnbi1rZXlzPjxrZXkgYXBwPSJFTiIgZGIt
aWQ9Ijk1dHByMnRwNnI5eHdvZWE5cmI1d2RzejVkczV4ZWRkdGVldyIgdGltZXN0YW1wPSIxNjgw
MDY5NTExIj45Njwva2V5PjwvZm9yZWlnbi1rZXlzPjxyZWYtdHlwZSBuYW1lPSJSZXBvcnQiPjI3
PC9yZWYtdHlwZT48Y29udHJpYnV0b3JzPjxhdXRob3JzPjxhdXRob3I+U2t1ZGFsLCBLamVyc3Rp
IEVlZzwvYXV0aG9yPjxhdXRob3I+SG9sbWJvZSwgT2xhZjwvYXV0aG9yPjxhdXRob3I+QmplcnRu
w6ZzLCDDmHl2aW5kIEFuZHJlc2VuPC9hdXRob3I+PGF1dGhvcj5UZWxsZSwgS2pldGlsIEVsaWFz
PC9hdXRob3I+PC9hdXRob3JzPjwvY29udHJpYnV0b3JzPjx0aXRsZXM+PHRpdGxlPkNvbW1vbndl
YWx0aCBGdW5kLXVuZGVyc8O4a2Vsc2VuIGJsYW50IGFsbG1lbm5sZWdlciBpIGVsbGV2ZSBsYW5k
IGkgMjAxOTogdGFiZWxscmFwcG9ydDwvdGl0bGU+PC90aXRsZXM+PGRhdGVzPjx5ZWFyPjIwMTk8
L3llYXI+PC9kYXRlcz48cHViLWxvY2F0aW9uPk9zbG88L3B1Yi1sb2NhdGlvbj48cHVibGlzaGVy
PkZvbGtlaGVsc2VpbnN0aXR1dHRldDwvcHVibGlzaGVyPjx1cmxzPjwvdXJscz48L3JlY29yZD48
L0NpdGU+PC9FbmROb3RlPn==
</w:fldData>
        </w:fldChar>
      </w:r>
      <w:r w:rsidR="004654FD">
        <w:instrText xml:space="preserve"> ADDIN EN.CITE.DATA </w:instrText>
      </w:r>
      <w:r w:rsidR="004654FD">
        <w:fldChar w:fldCharType="end"/>
      </w:r>
      <w:r w:rsidR="00062271">
        <w:fldChar w:fldCharType="separate"/>
      </w:r>
      <w:r w:rsidR="004654FD">
        <w:rPr>
          <w:noProof/>
        </w:rPr>
        <w:t>(Maier et al., 2016; Skudal et al., 2019)</w:t>
      </w:r>
      <w:r w:rsidR="00062271">
        <w:fldChar w:fldCharType="end"/>
      </w:r>
      <w:r w:rsidR="008D4D71">
        <w:rPr>
          <w:shd w:val="clear" w:color="auto" w:fill="FFFFFF"/>
        </w:rPr>
        <w:t xml:space="preserve">, og </w:t>
      </w:r>
      <w:r w:rsidR="003F5137">
        <w:rPr>
          <w:shd w:val="clear" w:color="auto" w:fill="FFFFFF"/>
        </w:rPr>
        <w:t>forsøk har vist</w:t>
      </w:r>
      <w:r w:rsidR="00F41D56">
        <w:rPr>
          <w:shd w:val="clear" w:color="auto" w:fill="FFFFFF"/>
        </w:rPr>
        <w:t xml:space="preserve"> at andre helsepersonellgrupper k</w:t>
      </w:r>
      <w:r w:rsidR="00BF7833">
        <w:rPr>
          <w:shd w:val="clear" w:color="auto" w:fill="FFFFFF"/>
        </w:rPr>
        <w:t>a</w:t>
      </w:r>
      <w:r w:rsidR="00F41D56">
        <w:rPr>
          <w:shd w:val="clear" w:color="auto" w:fill="FFFFFF"/>
        </w:rPr>
        <w:t xml:space="preserve">n avlaste fastlegene </w:t>
      </w:r>
      <w:r w:rsidR="00BF7833">
        <w:rPr>
          <w:shd w:val="clear" w:color="auto" w:fill="FFFFFF"/>
        </w:rPr>
        <w:t xml:space="preserve">også i Norge </w:t>
      </w:r>
      <w:r w:rsidR="00EA6B32">
        <w:rPr>
          <w:shd w:val="clear" w:color="auto" w:fill="FFFFFF"/>
        </w:rPr>
        <w:t>(</w:t>
      </w:r>
      <w:r w:rsidR="00547A41">
        <w:rPr>
          <w:shd w:val="clear" w:color="auto" w:fill="FFFFFF"/>
        </w:rPr>
        <w:t xml:space="preserve">se </w:t>
      </w:r>
      <w:r w:rsidR="00B55819">
        <w:rPr>
          <w:shd w:val="clear" w:color="auto" w:fill="FFFFFF"/>
        </w:rPr>
        <w:t>kapittel 6.2.2</w:t>
      </w:r>
      <w:r w:rsidR="00EA6B32">
        <w:rPr>
          <w:shd w:val="clear" w:color="auto" w:fill="FFFFFF"/>
        </w:rPr>
        <w:t>)</w:t>
      </w:r>
      <w:r w:rsidR="00BF7833">
        <w:rPr>
          <w:shd w:val="clear" w:color="auto" w:fill="FFFFFF"/>
        </w:rPr>
        <w:t>.</w:t>
      </w:r>
      <w:r w:rsidR="00EA6B32">
        <w:rPr>
          <w:shd w:val="clear" w:color="auto" w:fill="FFFFFF"/>
        </w:rPr>
        <w:t xml:space="preserve"> </w:t>
      </w:r>
      <w:r w:rsidR="002D4A79">
        <w:rPr>
          <w:shd w:val="clear" w:color="auto" w:fill="FFFFFF"/>
        </w:rPr>
        <w:t xml:space="preserve">Det er i dag ikke </w:t>
      </w:r>
      <w:r w:rsidR="004F4547">
        <w:rPr>
          <w:shd w:val="clear" w:color="auto" w:fill="FFFFFF"/>
        </w:rPr>
        <w:t>tillat</w:t>
      </w:r>
      <w:r w:rsidR="00D55DF3">
        <w:rPr>
          <w:shd w:val="clear" w:color="auto" w:fill="FFFFFF"/>
        </w:rPr>
        <w:t>t</w:t>
      </w:r>
      <w:r w:rsidR="004F4547">
        <w:rPr>
          <w:shd w:val="clear" w:color="auto" w:fill="FFFFFF"/>
        </w:rPr>
        <w:t xml:space="preserve"> </w:t>
      </w:r>
      <w:r w:rsidR="002D4A79">
        <w:rPr>
          <w:shd w:val="clear" w:color="auto" w:fill="FFFFFF"/>
        </w:rPr>
        <w:t xml:space="preserve">for en fastlege å </w:t>
      </w:r>
      <w:r w:rsidR="00FD3EBA">
        <w:rPr>
          <w:shd w:val="clear" w:color="auto" w:fill="FFFFFF"/>
        </w:rPr>
        <w:t xml:space="preserve">takste samtidig som en </w:t>
      </w:r>
      <w:r w:rsidR="002D4A79">
        <w:rPr>
          <w:shd w:val="clear" w:color="auto" w:fill="FFFFFF"/>
        </w:rPr>
        <w:t xml:space="preserve">vikar, </w:t>
      </w:r>
      <w:r w:rsidR="00AF794F">
        <w:rPr>
          <w:shd w:val="clear" w:color="auto" w:fill="FFFFFF"/>
        </w:rPr>
        <w:t xml:space="preserve">og </w:t>
      </w:r>
      <w:r w:rsidR="006164C2">
        <w:rPr>
          <w:shd w:val="clear" w:color="auto" w:fill="FFFFFF"/>
        </w:rPr>
        <w:t xml:space="preserve">fastlegens </w:t>
      </w:r>
      <w:r w:rsidR="00AF794F">
        <w:rPr>
          <w:shd w:val="clear" w:color="auto" w:fill="FFFFFF"/>
        </w:rPr>
        <w:t>mulighet</w:t>
      </w:r>
      <w:r w:rsidR="006164C2">
        <w:rPr>
          <w:shd w:val="clear" w:color="auto" w:fill="FFFFFF"/>
        </w:rPr>
        <w:t xml:space="preserve"> til </w:t>
      </w:r>
      <w:r w:rsidR="00AF794F">
        <w:rPr>
          <w:shd w:val="clear" w:color="auto" w:fill="FFFFFF"/>
        </w:rPr>
        <w:t xml:space="preserve">å ansette ALIS </w:t>
      </w:r>
      <w:r w:rsidR="005B1BF4">
        <w:rPr>
          <w:shd w:val="clear" w:color="auto" w:fill="FFFFFF"/>
        </w:rPr>
        <w:t xml:space="preserve">til å betjene pasientene </w:t>
      </w:r>
      <w:r w:rsidR="002C2325">
        <w:rPr>
          <w:shd w:val="clear" w:color="auto" w:fill="FFFFFF"/>
        </w:rPr>
        <w:t xml:space="preserve">på fastlegens liste </w:t>
      </w:r>
      <w:r w:rsidR="006164C2">
        <w:rPr>
          <w:shd w:val="clear" w:color="auto" w:fill="FFFFFF"/>
        </w:rPr>
        <w:t xml:space="preserve">er begrenset. </w:t>
      </w:r>
      <w:r w:rsidR="00EB79EF">
        <w:rPr>
          <w:shd w:val="clear" w:color="auto" w:fill="FFFFFF"/>
        </w:rPr>
        <w:t>Det finnes heller ingen</w:t>
      </w:r>
      <w:r w:rsidR="00180DDA" w:rsidRPr="009E4874">
        <w:rPr>
          <w:shd w:val="clear" w:color="auto" w:fill="FFFFFF"/>
        </w:rPr>
        <w:t xml:space="preserve"> </w:t>
      </w:r>
      <w:r w:rsidR="00180DDA">
        <w:rPr>
          <w:shd w:val="clear" w:color="auto" w:fill="FFFFFF"/>
        </w:rPr>
        <w:t xml:space="preserve">nasjonal </w:t>
      </w:r>
      <w:r w:rsidR="00180DDA" w:rsidRPr="009E4874">
        <w:rPr>
          <w:shd w:val="clear" w:color="auto" w:fill="FFFFFF"/>
        </w:rPr>
        <w:t>nettside, en chatte-</w:t>
      </w:r>
      <w:r w:rsidR="002D6445">
        <w:rPr>
          <w:shd w:val="clear" w:color="auto" w:fill="FFFFFF"/>
        </w:rPr>
        <w:t xml:space="preserve">, </w:t>
      </w:r>
      <w:r w:rsidR="00180DDA" w:rsidRPr="009E4874">
        <w:rPr>
          <w:shd w:val="clear" w:color="auto" w:fill="FFFFFF"/>
        </w:rPr>
        <w:t>video- eller telefo</w:t>
      </w:r>
      <w:r w:rsidR="002D6445">
        <w:rPr>
          <w:shd w:val="clear" w:color="auto" w:fill="FFFFFF"/>
        </w:rPr>
        <w:t>n</w:t>
      </w:r>
      <w:r w:rsidR="00180DDA" w:rsidRPr="009E4874">
        <w:rPr>
          <w:shd w:val="clear" w:color="auto" w:fill="FFFFFF"/>
        </w:rPr>
        <w:t xml:space="preserve">tjeneste </w:t>
      </w:r>
      <w:r w:rsidR="00BD4CCC">
        <w:rPr>
          <w:shd w:val="clear" w:color="auto" w:fill="FFFFFF"/>
        </w:rPr>
        <w:t xml:space="preserve">som kunne </w:t>
      </w:r>
      <w:r w:rsidR="00EB4AEC">
        <w:rPr>
          <w:shd w:val="clear" w:color="auto" w:fill="FFFFFF"/>
        </w:rPr>
        <w:t xml:space="preserve">avlastet fastlegene </w:t>
      </w:r>
      <w:r w:rsidR="0012108C">
        <w:rPr>
          <w:shd w:val="clear" w:color="auto" w:fill="FFFFFF"/>
        </w:rPr>
        <w:t>og legevakt</w:t>
      </w:r>
      <w:r w:rsidR="0067364A">
        <w:rPr>
          <w:shd w:val="clear" w:color="auto" w:fill="FFFFFF"/>
        </w:rPr>
        <w:t xml:space="preserve">ene </w:t>
      </w:r>
      <w:r w:rsidR="0057668C">
        <w:rPr>
          <w:shd w:val="clear" w:color="auto" w:fill="FFFFFF"/>
        </w:rPr>
        <w:t xml:space="preserve">med </w:t>
      </w:r>
      <w:r w:rsidR="00DF5D06">
        <w:rPr>
          <w:shd w:val="clear" w:color="auto" w:fill="FFFFFF"/>
        </w:rPr>
        <w:t>enkle råd</w:t>
      </w:r>
      <w:r w:rsidR="00181623">
        <w:rPr>
          <w:shd w:val="clear" w:color="auto" w:fill="FFFFFF"/>
        </w:rPr>
        <w:t>.</w:t>
      </w:r>
      <w:r w:rsidR="0010778A">
        <w:rPr>
          <w:shd w:val="clear" w:color="auto" w:fill="FFFFFF"/>
        </w:rPr>
        <w:t xml:space="preserve"> </w:t>
      </w:r>
      <w:r w:rsidR="00BD11A3" w:rsidRPr="009E4874">
        <w:rPr>
          <w:shd w:val="clear" w:color="auto" w:fill="FFFFFF"/>
        </w:rPr>
        <w:t xml:space="preserve">Med </w:t>
      </w:r>
      <w:r w:rsidR="00DF5D06">
        <w:rPr>
          <w:shd w:val="clear" w:color="auto" w:fill="FFFFFF"/>
        </w:rPr>
        <w:t xml:space="preserve">dagens </w:t>
      </w:r>
      <w:r w:rsidR="00BD11A3" w:rsidRPr="009E4874">
        <w:rPr>
          <w:shd w:val="clear" w:color="auto" w:fill="FFFFFF"/>
        </w:rPr>
        <w:t>høy</w:t>
      </w:r>
      <w:r w:rsidR="00DF5D06">
        <w:rPr>
          <w:shd w:val="clear" w:color="auto" w:fill="FFFFFF"/>
        </w:rPr>
        <w:t>e</w:t>
      </w:r>
      <w:r w:rsidR="00BD11A3" w:rsidRPr="009E4874">
        <w:rPr>
          <w:shd w:val="clear" w:color="auto" w:fill="FFFFFF"/>
        </w:rPr>
        <w:t xml:space="preserve"> aktivitetsbasert</w:t>
      </w:r>
      <w:r w:rsidR="004F6E64">
        <w:rPr>
          <w:shd w:val="clear" w:color="auto" w:fill="FFFFFF"/>
        </w:rPr>
        <w:t>e</w:t>
      </w:r>
      <w:r w:rsidR="00BD11A3" w:rsidRPr="009E4874">
        <w:rPr>
          <w:shd w:val="clear" w:color="auto" w:fill="FFFFFF"/>
        </w:rPr>
        <w:t xml:space="preserve"> finansiering er det vanskelig for </w:t>
      </w:r>
      <w:r w:rsidR="0010778A" w:rsidRPr="009E4874">
        <w:rPr>
          <w:shd w:val="clear" w:color="auto" w:fill="FFFFFF"/>
        </w:rPr>
        <w:t xml:space="preserve">fastlegene å bruke tid til å </w:t>
      </w:r>
      <w:r w:rsidR="00F26578">
        <w:rPr>
          <w:shd w:val="clear" w:color="auto" w:fill="FFFFFF"/>
        </w:rPr>
        <w:t xml:space="preserve">endre sin praksis </w:t>
      </w:r>
      <w:r w:rsidR="008E19C5">
        <w:rPr>
          <w:shd w:val="clear" w:color="auto" w:fill="FFFFFF"/>
        </w:rPr>
        <w:t xml:space="preserve">for å </w:t>
      </w:r>
      <w:r w:rsidR="0010778A" w:rsidRPr="009E4874">
        <w:rPr>
          <w:shd w:val="clear" w:color="auto" w:fill="FFFFFF"/>
        </w:rPr>
        <w:t xml:space="preserve">utvikle </w:t>
      </w:r>
      <w:r w:rsidR="00C50CF1" w:rsidRPr="009E4874">
        <w:rPr>
          <w:shd w:val="clear" w:color="auto" w:fill="FFFFFF"/>
        </w:rPr>
        <w:t xml:space="preserve">nye </w:t>
      </w:r>
      <w:r w:rsidR="008622DF">
        <w:rPr>
          <w:shd w:val="clear" w:color="auto" w:fill="FFFFFF"/>
        </w:rPr>
        <w:t>løsninger</w:t>
      </w:r>
      <w:r w:rsidR="004A3B02">
        <w:rPr>
          <w:shd w:val="clear" w:color="auto" w:fill="FFFFFF"/>
        </w:rPr>
        <w:t xml:space="preserve"> som for eksempel åpner for andre personellgrupper</w:t>
      </w:r>
      <w:r w:rsidR="0010778A" w:rsidRPr="009E4874">
        <w:rPr>
          <w:shd w:val="clear" w:color="auto" w:fill="FFFFFF"/>
        </w:rPr>
        <w:t>, for de vil da – på kort sikt – måtte forsake konsultasjoner med inntjening</w:t>
      </w:r>
      <w:r w:rsidR="00C83DD2">
        <w:rPr>
          <w:shd w:val="clear" w:color="auto" w:fill="FFFFFF"/>
        </w:rPr>
        <w:t xml:space="preserve"> for å planlegge og gjennomføre endringer</w:t>
      </w:r>
      <w:r w:rsidR="0010778A" w:rsidRPr="009E4874">
        <w:rPr>
          <w:shd w:val="clear" w:color="auto" w:fill="FFFFFF"/>
        </w:rPr>
        <w:t>.</w:t>
      </w:r>
      <w:r w:rsidR="00C37097">
        <w:rPr>
          <w:rFonts w:ascii="Segoe UI" w:hAnsi="Segoe UI" w:cs="Segoe UI"/>
          <w:sz w:val="18"/>
          <w:szCs w:val="18"/>
        </w:rPr>
        <w:t xml:space="preserve"> </w:t>
      </w:r>
      <w:r w:rsidR="00594695" w:rsidRPr="74B9AE4E">
        <w:t xml:space="preserve">Ved å øke </w:t>
      </w:r>
      <w:r w:rsidR="00184EDD" w:rsidRPr="74B9AE4E">
        <w:t xml:space="preserve">basisfinansieringen vil det bli relativt mer lønnsomt å </w:t>
      </w:r>
      <w:r w:rsidR="005A6AC1" w:rsidRPr="74B9AE4E">
        <w:t xml:space="preserve">bruke tid på </w:t>
      </w:r>
      <w:r w:rsidR="007033B5">
        <w:t>endringer i måten man driver praksisen på</w:t>
      </w:r>
      <w:r w:rsidR="002D6445">
        <w:t>,</w:t>
      </w:r>
      <w:r w:rsidR="007033B5">
        <w:t xml:space="preserve"> </w:t>
      </w:r>
      <w:r w:rsidR="00BE045A" w:rsidRPr="74B9AE4E">
        <w:t xml:space="preserve">som </w:t>
      </w:r>
      <w:r w:rsidR="007033B5">
        <w:t xml:space="preserve">kan </w:t>
      </w:r>
      <w:r w:rsidR="00BE045A" w:rsidRPr="74B9AE4E">
        <w:t>gjør</w:t>
      </w:r>
      <w:r w:rsidR="007033B5">
        <w:t>e</w:t>
      </w:r>
      <w:r w:rsidR="00BE045A" w:rsidRPr="74B9AE4E">
        <w:t xml:space="preserve"> det mulig å </w:t>
      </w:r>
      <w:r w:rsidR="00184EDD" w:rsidRPr="74B9AE4E">
        <w:t>øke listelengden</w:t>
      </w:r>
      <w:r w:rsidR="0010778A" w:rsidRPr="74B9AE4E">
        <w:t>.</w:t>
      </w:r>
      <w:r w:rsidR="00D9107F">
        <w:t xml:space="preserve"> </w:t>
      </w:r>
    </w:p>
    <w:p w14:paraId="30D37636" w14:textId="77777777" w:rsidR="00D9107F" w:rsidRDefault="00BE3D06" w:rsidP="00FB310D">
      <w:pPr>
        <w:rPr>
          <w:rFonts w:ascii="Calibri" w:eastAsia="Calibri" w:hAnsi="Calibri" w:cs="Calibri"/>
        </w:rPr>
      </w:pPr>
      <w:r w:rsidRPr="00952D3F">
        <w:rPr>
          <w:rFonts w:ascii="Calibri" w:hAnsi="Calibri" w:cs="Calibri"/>
        </w:rPr>
        <w:t xml:space="preserve">Høy grad av </w:t>
      </w:r>
      <w:r w:rsidR="00584AB1" w:rsidRPr="00952D3F">
        <w:rPr>
          <w:rFonts w:ascii="Calibri" w:hAnsi="Calibri" w:cs="Calibri"/>
        </w:rPr>
        <w:t xml:space="preserve">aktivitetsbasert finansiering </w:t>
      </w:r>
      <w:r w:rsidR="00584AB1">
        <w:t xml:space="preserve">gir </w:t>
      </w:r>
      <w:r>
        <w:t xml:space="preserve">insentiver </w:t>
      </w:r>
      <w:r w:rsidR="00584AB1">
        <w:t>til å yte</w:t>
      </w:r>
      <w:r w:rsidR="00CE3630">
        <w:t xml:space="preserve"> mange</w:t>
      </w:r>
      <w:r w:rsidR="00584AB1">
        <w:t xml:space="preserve"> tjenester nå, eller til å innrette praksis til å generere mye av de mest innbringende takstene, uten at dette nødvendigvis gir de beste tjenestene på sikt</w:t>
      </w:r>
      <w:r w:rsidR="00CE3630">
        <w:t xml:space="preserve"> eller til dem som trenger det mest</w:t>
      </w:r>
      <w:r w:rsidR="00584AB1">
        <w:t>. En viktig del av fastlegens rolle er å si nei til undersøkelser og henvisninger som er formålsløse</w:t>
      </w:r>
      <w:r w:rsidR="002D6445">
        <w:t>,</w:t>
      </w:r>
      <w:r w:rsidR="00584AB1">
        <w:t xml:space="preserve"> eller som kan påføre pasienten helseskade. </w:t>
      </w:r>
      <w:r w:rsidR="00F625AB">
        <w:rPr>
          <w:rFonts w:ascii="Calibri" w:eastAsia="Calibri" w:hAnsi="Calibri" w:cs="Calibri"/>
        </w:rPr>
        <w:t xml:space="preserve">Etterspørselen etter helsetjenester begrenses ikke av </w:t>
      </w:r>
      <w:r w:rsidR="002A3AF8">
        <w:rPr>
          <w:rFonts w:ascii="Calibri" w:eastAsia="Calibri" w:hAnsi="Calibri" w:cs="Calibri"/>
        </w:rPr>
        <w:t xml:space="preserve">at </w:t>
      </w:r>
      <w:r w:rsidR="008101F9">
        <w:rPr>
          <w:rFonts w:ascii="Calibri" w:eastAsia="Calibri" w:hAnsi="Calibri" w:cs="Calibri"/>
        </w:rPr>
        <w:t xml:space="preserve">listeinnbyggere </w:t>
      </w:r>
      <w:r w:rsidR="002A3AF8">
        <w:rPr>
          <w:rFonts w:ascii="Calibri" w:eastAsia="Calibri" w:hAnsi="Calibri" w:cs="Calibri"/>
        </w:rPr>
        <w:t>må betale de fulle kostnaden</w:t>
      </w:r>
      <w:r w:rsidR="008D14B3">
        <w:rPr>
          <w:rFonts w:ascii="Calibri" w:eastAsia="Calibri" w:hAnsi="Calibri" w:cs="Calibri"/>
        </w:rPr>
        <w:t>e</w:t>
      </w:r>
      <w:r w:rsidR="002A3AF8">
        <w:rPr>
          <w:rFonts w:ascii="Calibri" w:eastAsia="Calibri" w:hAnsi="Calibri" w:cs="Calibri"/>
        </w:rPr>
        <w:t xml:space="preserve"> </w:t>
      </w:r>
      <w:r w:rsidR="008D14B3">
        <w:rPr>
          <w:rFonts w:ascii="Calibri" w:eastAsia="Calibri" w:hAnsi="Calibri" w:cs="Calibri"/>
        </w:rPr>
        <w:t xml:space="preserve">for </w:t>
      </w:r>
      <w:r w:rsidR="002A3AF8">
        <w:rPr>
          <w:rFonts w:ascii="Calibri" w:eastAsia="Calibri" w:hAnsi="Calibri" w:cs="Calibri"/>
        </w:rPr>
        <w:t xml:space="preserve">tjenestene, </w:t>
      </w:r>
      <w:r w:rsidR="00F625AB">
        <w:rPr>
          <w:rFonts w:ascii="Calibri" w:eastAsia="Calibri" w:hAnsi="Calibri" w:cs="Calibri"/>
        </w:rPr>
        <w:t xml:space="preserve">og </w:t>
      </w:r>
      <w:r w:rsidR="004C332A">
        <w:rPr>
          <w:rFonts w:ascii="Calibri" w:eastAsia="Calibri" w:hAnsi="Calibri" w:cs="Calibri"/>
        </w:rPr>
        <w:t xml:space="preserve">mange fastleger kan oppleve </w:t>
      </w:r>
      <w:r w:rsidR="00C52B7D">
        <w:rPr>
          <w:rFonts w:ascii="Calibri" w:eastAsia="Calibri" w:hAnsi="Calibri" w:cs="Calibri"/>
        </w:rPr>
        <w:t xml:space="preserve">det </w:t>
      </w:r>
      <w:r w:rsidR="004C332A">
        <w:rPr>
          <w:rFonts w:ascii="Calibri" w:eastAsia="Calibri" w:hAnsi="Calibri" w:cs="Calibri"/>
        </w:rPr>
        <w:t xml:space="preserve">som </w:t>
      </w:r>
      <w:r w:rsidR="00C52B7D">
        <w:rPr>
          <w:rFonts w:ascii="Calibri" w:eastAsia="Calibri" w:hAnsi="Calibri" w:cs="Calibri"/>
        </w:rPr>
        <w:t xml:space="preserve">krevende </w:t>
      </w:r>
      <w:r w:rsidR="008D14B3">
        <w:rPr>
          <w:rFonts w:ascii="Calibri" w:eastAsia="Calibri" w:hAnsi="Calibri" w:cs="Calibri"/>
        </w:rPr>
        <w:t xml:space="preserve">å </w:t>
      </w:r>
      <w:r w:rsidR="004626EF">
        <w:rPr>
          <w:rFonts w:ascii="Calibri" w:eastAsia="Calibri" w:hAnsi="Calibri" w:cs="Calibri"/>
        </w:rPr>
        <w:t>gjennomføre begrensende valg.</w:t>
      </w:r>
      <w:r w:rsidR="004C332A">
        <w:rPr>
          <w:rFonts w:ascii="Calibri" w:eastAsia="Calibri" w:hAnsi="Calibri" w:cs="Calibri"/>
        </w:rPr>
        <w:t xml:space="preserve"> </w:t>
      </w:r>
      <w:r w:rsidR="00D07E28" w:rsidRPr="00952D3F">
        <w:rPr>
          <w:rFonts w:ascii="Calibri" w:eastAsia="Calibri" w:hAnsi="Calibri" w:cs="Calibri"/>
        </w:rPr>
        <w:t xml:space="preserve">En større andel basisfinansiering vil i </w:t>
      </w:r>
      <w:r w:rsidR="00A8157A" w:rsidRPr="00952D3F">
        <w:rPr>
          <w:rFonts w:ascii="Calibri" w:eastAsia="Calibri" w:hAnsi="Calibri" w:cs="Calibri"/>
        </w:rPr>
        <w:t xml:space="preserve">mindre </w:t>
      </w:r>
      <w:r w:rsidR="004E31EA" w:rsidRPr="00952D3F">
        <w:rPr>
          <w:rFonts w:ascii="Calibri" w:eastAsia="Calibri" w:hAnsi="Calibri" w:cs="Calibri"/>
        </w:rPr>
        <w:t xml:space="preserve">grad belønne leger </w:t>
      </w:r>
      <w:r w:rsidR="004D4F34" w:rsidRPr="00952D3F">
        <w:rPr>
          <w:rFonts w:ascii="Calibri" w:eastAsia="Calibri" w:hAnsi="Calibri" w:cs="Calibri"/>
        </w:rPr>
        <w:t xml:space="preserve">økonomisk </w:t>
      </w:r>
      <w:r w:rsidR="006D353D" w:rsidRPr="00952D3F">
        <w:rPr>
          <w:rFonts w:ascii="Calibri" w:eastAsia="Calibri" w:hAnsi="Calibri" w:cs="Calibri"/>
        </w:rPr>
        <w:t xml:space="preserve">for å </w:t>
      </w:r>
      <w:r w:rsidR="004D4F34" w:rsidRPr="00952D3F">
        <w:rPr>
          <w:rFonts w:ascii="Calibri" w:eastAsia="Calibri" w:hAnsi="Calibri" w:cs="Calibri"/>
        </w:rPr>
        <w:t xml:space="preserve">yte </w:t>
      </w:r>
      <w:r w:rsidR="42471214" w:rsidRPr="41707A8C">
        <w:rPr>
          <w:rFonts w:ascii="Calibri" w:eastAsia="Calibri" w:hAnsi="Calibri" w:cs="Calibri"/>
        </w:rPr>
        <w:t>tjen</w:t>
      </w:r>
      <w:r w:rsidR="7A7783DB" w:rsidRPr="41707A8C">
        <w:rPr>
          <w:rFonts w:ascii="Calibri" w:eastAsia="Calibri" w:hAnsi="Calibri" w:cs="Calibri"/>
        </w:rPr>
        <w:t>e</w:t>
      </w:r>
      <w:r w:rsidR="42471214" w:rsidRPr="41707A8C">
        <w:rPr>
          <w:rFonts w:ascii="Calibri" w:eastAsia="Calibri" w:hAnsi="Calibri" w:cs="Calibri"/>
        </w:rPr>
        <w:t>ster</w:t>
      </w:r>
      <w:r w:rsidR="004D4F34" w:rsidRPr="00952D3F">
        <w:rPr>
          <w:rFonts w:ascii="Calibri" w:eastAsia="Calibri" w:hAnsi="Calibri" w:cs="Calibri"/>
        </w:rPr>
        <w:t xml:space="preserve"> de </w:t>
      </w:r>
      <w:r w:rsidR="00124203" w:rsidRPr="00952D3F">
        <w:rPr>
          <w:rFonts w:ascii="Calibri" w:eastAsia="Calibri" w:hAnsi="Calibri" w:cs="Calibri"/>
        </w:rPr>
        <w:t>mener er unødvendige</w:t>
      </w:r>
      <w:r w:rsidR="002D6445">
        <w:rPr>
          <w:rFonts w:ascii="Calibri" w:eastAsia="Calibri" w:hAnsi="Calibri" w:cs="Calibri"/>
        </w:rPr>
        <w:t>,</w:t>
      </w:r>
      <w:r w:rsidR="00124203" w:rsidRPr="00952D3F">
        <w:rPr>
          <w:rFonts w:ascii="Calibri" w:eastAsia="Calibri" w:hAnsi="Calibri" w:cs="Calibri"/>
        </w:rPr>
        <w:t xml:space="preserve"> eller har </w:t>
      </w:r>
      <w:r w:rsidR="004D7E24" w:rsidRPr="00952D3F">
        <w:rPr>
          <w:rFonts w:ascii="Calibri" w:eastAsia="Calibri" w:hAnsi="Calibri" w:cs="Calibri"/>
        </w:rPr>
        <w:t>lav eller ingen medisinskfaglig begrunnelse.</w:t>
      </w:r>
    </w:p>
    <w:p w14:paraId="0C43A611" w14:textId="77777777" w:rsidR="00D9107F" w:rsidRDefault="00916B17" w:rsidP="00FB310D">
      <w:pPr>
        <w:rPr>
          <w:rFonts w:eastAsia="Calibri"/>
        </w:rPr>
      </w:pPr>
      <w:r>
        <w:rPr>
          <w:rFonts w:eastAsia="Calibri"/>
        </w:rPr>
        <w:lastRenderedPageBreak/>
        <w:t>Fordi basistilskuddet stimulerer til flere listeinnbyggere</w:t>
      </w:r>
      <w:r w:rsidR="00CC484D">
        <w:rPr>
          <w:rFonts w:eastAsia="Calibri"/>
        </w:rPr>
        <w:t>,</w:t>
      </w:r>
      <w:r>
        <w:rPr>
          <w:rFonts w:eastAsia="Calibri"/>
        </w:rPr>
        <w:t xml:space="preserve"> trenger </w:t>
      </w:r>
      <w:r w:rsidR="00CA3178">
        <w:rPr>
          <w:rFonts w:eastAsia="Calibri"/>
        </w:rPr>
        <w:t xml:space="preserve">det ikke </w:t>
      </w:r>
      <w:r>
        <w:rPr>
          <w:rFonts w:eastAsia="Calibri"/>
        </w:rPr>
        <w:t xml:space="preserve">å </w:t>
      </w:r>
      <w:r w:rsidR="00CC484D">
        <w:rPr>
          <w:rFonts w:eastAsia="Calibri"/>
        </w:rPr>
        <w:t>f</w:t>
      </w:r>
      <w:r>
        <w:rPr>
          <w:rFonts w:eastAsia="Calibri"/>
        </w:rPr>
        <w:t>øre</w:t>
      </w:r>
      <w:r w:rsidR="00CC484D">
        <w:rPr>
          <w:rFonts w:eastAsia="Calibri"/>
        </w:rPr>
        <w:t xml:space="preserve"> til </w:t>
      </w:r>
      <w:r>
        <w:rPr>
          <w:rFonts w:eastAsia="Calibri"/>
        </w:rPr>
        <w:t>mindre samlet aktivitet for fastlegen enn aktivitetsbasert finansiering. Sammensetningen</w:t>
      </w:r>
      <w:r w:rsidR="009E5B97">
        <w:rPr>
          <w:rFonts w:eastAsia="Calibri"/>
        </w:rPr>
        <w:t xml:space="preserve"> av aktiviteten </w:t>
      </w:r>
      <w:r>
        <w:rPr>
          <w:rFonts w:eastAsia="Calibri"/>
        </w:rPr>
        <w:t xml:space="preserve">forventes </w:t>
      </w:r>
      <w:r w:rsidR="009E5B97">
        <w:rPr>
          <w:rFonts w:eastAsia="Calibri"/>
        </w:rPr>
        <w:t>derimot å være annerledes</w:t>
      </w:r>
      <w:r w:rsidR="00571409">
        <w:rPr>
          <w:rFonts w:eastAsia="Calibri"/>
        </w:rPr>
        <w:t xml:space="preserve"> </w:t>
      </w:r>
      <w:r w:rsidR="00571409">
        <w:fldChar w:fldCharType="begin"/>
      </w:r>
      <w:r w:rsidR="004654FD">
        <w:instrText xml:space="preserve"> ADDIN EN.CITE &lt;EndNote&gt;&lt;Cite&gt;&lt;Author&gt;Lee&lt;/Author&gt;&lt;Year&gt;2020&lt;/Year&gt;&lt;RecNum&gt;484&lt;/RecNum&gt;&lt;DisplayText&gt;(Lee et al., 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00571409">
        <w:fldChar w:fldCharType="separate"/>
      </w:r>
      <w:r w:rsidR="00856689">
        <w:rPr>
          <w:noProof/>
        </w:rPr>
        <w:t>(Lee et al., 2020)</w:t>
      </w:r>
      <w:r w:rsidR="00571409">
        <w:fldChar w:fldCharType="end"/>
      </w:r>
      <w:r w:rsidR="00571409" w:rsidRPr="006828BB">
        <w:t>.</w:t>
      </w:r>
      <w:r w:rsidR="009E5B97">
        <w:rPr>
          <w:rFonts w:eastAsia="Calibri"/>
        </w:rPr>
        <w:t xml:space="preserve"> Med høyere </w:t>
      </w:r>
      <w:r w:rsidR="002917AA">
        <w:rPr>
          <w:rFonts w:eastAsia="Calibri"/>
        </w:rPr>
        <w:t xml:space="preserve">andel </w:t>
      </w:r>
      <w:r w:rsidR="009E5B97">
        <w:rPr>
          <w:rFonts w:eastAsia="Calibri"/>
        </w:rPr>
        <w:t>basis</w:t>
      </w:r>
      <w:r w:rsidR="002917AA">
        <w:rPr>
          <w:rFonts w:eastAsia="Calibri"/>
        </w:rPr>
        <w:t>tilskudd i finansieringen</w:t>
      </w:r>
      <w:r w:rsidR="000B59F1">
        <w:rPr>
          <w:rFonts w:eastAsia="Calibri"/>
        </w:rPr>
        <w:t>,</w:t>
      </w:r>
      <w:r w:rsidR="009E5B97">
        <w:rPr>
          <w:rFonts w:eastAsia="Calibri"/>
        </w:rPr>
        <w:t xml:space="preserve"> belønnes fastlegen </w:t>
      </w:r>
      <w:r w:rsidR="009E5B97" w:rsidRPr="00F21C96">
        <w:rPr>
          <w:rFonts w:eastAsia="Calibri"/>
        </w:rPr>
        <w:t>mi</w:t>
      </w:r>
      <w:r w:rsidR="7E2EE085" w:rsidRPr="00F21C96">
        <w:rPr>
          <w:rFonts w:eastAsia="Calibri"/>
        </w:rPr>
        <w:t>n</w:t>
      </w:r>
      <w:r w:rsidR="009E5B97" w:rsidRPr="00F21C96">
        <w:rPr>
          <w:rFonts w:eastAsia="Calibri"/>
        </w:rPr>
        <w:t>dre</w:t>
      </w:r>
      <w:r w:rsidR="009E5B97">
        <w:rPr>
          <w:rFonts w:eastAsia="Calibri"/>
        </w:rPr>
        <w:t xml:space="preserve"> for å yte en ekstra tjeneste til sine listeinnbyggere, men </w:t>
      </w:r>
      <w:r w:rsidR="003A2F0C">
        <w:rPr>
          <w:rFonts w:eastAsia="Calibri"/>
        </w:rPr>
        <w:t>de</w:t>
      </w:r>
      <w:r w:rsidR="009E5B97">
        <w:rPr>
          <w:rFonts w:eastAsia="Calibri"/>
        </w:rPr>
        <w:t xml:space="preserve"> belønnes mer for å øke antall listeinnbyggere. Medisinskfaglige normer for aktivitet </w:t>
      </w:r>
      <w:r w:rsidR="000173C7">
        <w:rPr>
          <w:rFonts w:eastAsia="Calibri"/>
        </w:rPr>
        <w:t xml:space="preserve">kan </w:t>
      </w:r>
      <w:r w:rsidR="009E5B97">
        <w:rPr>
          <w:rFonts w:eastAsia="Calibri"/>
        </w:rPr>
        <w:t>da i større grad påvirke om legen gjennomfører en aktivitet til overfor sine listeinnbyggere, og legen kan tilpasse listelengden slik at både inntekten og aktivitetsnivået opprettho</w:t>
      </w:r>
      <w:r w:rsidR="00751434">
        <w:rPr>
          <w:rFonts w:eastAsia="Calibri"/>
        </w:rPr>
        <w:t>ldes</w:t>
      </w:r>
      <w:r w:rsidR="009E5B97">
        <w:rPr>
          <w:rFonts w:eastAsia="Calibri"/>
        </w:rPr>
        <w:t xml:space="preserve">. </w:t>
      </w:r>
      <w:r w:rsidR="002917AA">
        <w:rPr>
          <w:rFonts w:eastAsia="Calibri"/>
        </w:rPr>
        <w:t>Høy andel b</w:t>
      </w:r>
      <w:r w:rsidR="009E5B97">
        <w:rPr>
          <w:rFonts w:eastAsia="Calibri"/>
        </w:rPr>
        <w:t>asis</w:t>
      </w:r>
      <w:r w:rsidR="002917AA">
        <w:rPr>
          <w:rFonts w:eastAsia="Calibri"/>
        </w:rPr>
        <w:t>tilskudd</w:t>
      </w:r>
      <w:r w:rsidR="009E5B97">
        <w:rPr>
          <w:rFonts w:eastAsia="Calibri"/>
        </w:rPr>
        <w:t xml:space="preserve"> kan altså gi legen insentiver til å yte færre tjenester til noen innbygge</w:t>
      </w:r>
      <w:r w:rsidR="004B3259">
        <w:rPr>
          <w:rFonts w:eastAsia="Calibri"/>
        </w:rPr>
        <w:t>r</w:t>
      </w:r>
      <w:r w:rsidR="009E5B97">
        <w:rPr>
          <w:rFonts w:eastAsia="Calibri"/>
        </w:rPr>
        <w:t>e, og ut fra medisinskfaglige prioriteringer vil det fortrinnsvis være de innbyggerne som trenger dem minst.</w:t>
      </w:r>
    </w:p>
    <w:p w14:paraId="202AEC0A" w14:textId="77777777" w:rsidR="00D9107F" w:rsidRDefault="001841C5" w:rsidP="00FB310D">
      <w:pPr>
        <w:rPr>
          <w:rFonts w:ascii="Calibri" w:eastAsia="Calibri" w:hAnsi="Calibri" w:cs="Calibri"/>
        </w:rPr>
      </w:pPr>
      <w:r>
        <w:t xml:space="preserve">Siden det ikke </w:t>
      </w:r>
      <w:r w:rsidR="00C303C5">
        <w:t xml:space="preserve">er </w:t>
      </w:r>
      <w:r>
        <w:t>klart at en vridning mot mer basis</w:t>
      </w:r>
      <w:r w:rsidR="00767FC5">
        <w:t>tilskudd</w:t>
      </w:r>
      <w:r>
        <w:t xml:space="preserve"> påvirker det totale aktivitetsnivået, er det heller ikke grunn til å forvente store endringer i de totale kostnadene i fastlegeordningen ved en slik </w:t>
      </w:r>
      <w:r w:rsidRPr="00B20C70">
        <w:t>omlegging.</w:t>
      </w:r>
      <w:r w:rsidR="007179E7">
        <w:t xml:space="preserve"> </w:t>
      </w:r>
      <w:r w:rsidR="0019659E">
        <w:t xml:space="preserve">Men </w:t>
      </w:r>
      <w:r w:rsidR="00CF78CA">
        <w:t xml:space="preserve">lavere takster (og høyere basistilskudd) er en forutsetning for </w:t>
      </w:r>
      <w:r w:rsidR="001475E5">
        <w:t xml:space="preserve">rimelig grad av kostnadskontroll </w:t>
      </w:r>
      <w:r w:rsidR="002E3E82">
        <w:t xml:space="preserve">hvis vi skal utvide muligheten for annet helsepersonell enn fastlegene </w:t>
      </w:r>
      <w:r w:rsidR="0062399F">
        <w:t xml:space="preserve">til å </w:t>
      </w:r>
      <w:r w:rsidR="00421511">
        <w:t>utløse takster</w:t>
      </w:r>
      <w:r w:rsidR="0084528D">
        <w:t xml:space="preserve">, </w:t>
      </w:r>
      <w:r w:rsidR="0084528D" w:rsidRPr="00B20C70">
        <w:rPr>
          <w:rFonts w:ascii="Calibri" w:eastAsia="Calibri" w:hAnsi="Calibri" w:cs="Calibri"/>
        </w:rPr>
        <w:t>slik</w:t>
      </w:r>
      <w:r w:rsidR="002917AA" w:rsidRPr="00B20C70">
        <w:rPr>
          <w:rFonts w:ascii="Calibri" w:eastAsia="Calibri" w:hAnsi="Calibri" w:cs="Calibri"/>
        </w:rPr>
        <w:t xml:space="preserve"> utvalget foreslår i form av delegering og profesjonsnøytrale takster (</w:t>
      </w:r>
      <w:r w:rsidR="002917AA">
        <w:rPr>
          <w:rFonts w:ascii="Calibri" w:eastAsia="Calibri" w:hAnsi="Calibri" w:cs="Calibri"/>
        </w:rPr>
        <w:t xml:space="preserve">se kapittel </w:t>
      </w:r>
      <w:r w:rsidR="001C4E94">
        <w:rPr>
          <w:rFonts w:ascii="Calibri" w:eastAsia="Calibri" w:hAnsi="Calibri" w:cs="Calibri"/>
        </w:rPr>
        <w:t>6</w:t>
      </w:r>
      <w:r w:rsidR="009F26EB">
        <w:rPr>
          <w:rFonts w:ascii="Calibri" w:eastAsia="Calibri" w:hAnsi="Calibri" w:cs="Calibri"/>
        </w:rPr>
        <w:t>.3</w:t>
      </w:r>
      <w:r w:rsidR="0062399F">
        <w:rPr>
          <w:rFonts w:ascii="Calibri" w:eastAsia="Calibri" w:hAnsi="Calibri" w:cs="Calibri"/>
        </w:rPr>
        <w:t>).</w:t>
      </w:r>
      <w:r w:rsidR="002917AA" w:rsidRPr="00B20C70">
        <w:rPr>
          <w:rFonts w:ascii="Calibri" w:eastAsia="Calibri" w:hAnsi="Calibri" w:cs="Calibri"/>
        </w:rPr>
        <w:t xml:space="preserve"> Lavere takster vil innebære at helsepersonellets marginalinntekt </w:t>
      </w:r>
      <w:r w:rsidR="00A11745">
        <w:rPr>
          <w:rFonts w:ascii="Calibri" w:eastAsia="Calibri" w:hAnsi="Calibri" w:cs="Calibri"/>
        </w:rPr>
        <w:t xml:space="preserve">for en aktivitet </w:t>
      </w:r>
      <w:r w:rsidR="002917AA" w:rsidRPr="00B20C70">
        <w:rPr>
          <w:rFonts w:ascii="Calibri" w:eastAsia="Calibri" w:hAnsi="Calibri" w:cs="Calibri"/>
        </w:rPr>
        <w:t xml:space="preserve">faller og dermed raskere blir lavere enn deres verdi av fritid. </w:t>
      </w:r>
      <w:r w:rsidR="00196F12" w:rsidRPr="00B20C70">
        <w:rPr>
          <w:rFonts w:ascii="Calibri" w:eastAsia="Calibri" w:hAnsi="Calibri" w:cs="Calibri"/>
        </w:rPr>
        <w:t>Men selv ved en betydelig reduksjon i takstene</w:t>
      </w:r>
      <w:r w:rsidR="00A9722D" w:rsidRPr="00B20C70">
        <w:rPr>
          <w:rFonts w:ascii="Calibri" w:eastAsia="Calibri" w:hAnsi="Calibri" w:cs="Calibri"/>
        </w:rPr>
        <w:t xml:space="preserve">, vil kostnadskontroll være et viktig moment </w:t>
      </w:r>
      <w:r w:rsidR="00514BA1" w:rsidRPr="00B20C70">
        <w:rPr>
          <w:rFonts w:ascii="Calibri" w:eastAsia="Calibri" w:hAnsi="Calibri" w:cs="Calibri"/>
        </w:rPr>
        <w:t>i vurderingen av å åpne opp for mer delegering og profesjonsnøytrale takster.</w:t>
      </w:r>
    </w:p>
    <w:p w14:paraId="542810F7" w14:textId="1A4690BA" w:rsidR="00423244" w:rsidRPr="00423244" w:rsidRDefault="00226A9C" w:rsidP="00FB310D">
      <w:pPr>
        <w:rPr>
          <w:rFonts w:ascii="Calibri" w:eastAsia="Calibri" w:hAnsi="Calibri" w:cs="Calibri"/>
        </w:rPr>
      </w:pPr>
      <w:r>
        <w:t xml:space="preserve">Høyere </w:t>
      </w:r>
      <w:r w:rsidR="003A33EF">
        <w:t xml:space="preserve">andel </w:t>
      </w:r>
      <w:r w:rsidR="002917AA" w:rsidRPr="009034AE">
        <w:t xml:space="preserve">basistilskudd </w:t>
      </w:r>
      <w:r w:rsidR="00CC713E" w:rsidRPr="009034AE">
        <w:t>styrke</w:t>
      </w:r>
      <w:r w:rsidR="00913708">
        <w:t>r</w:t>
      </w:r>
      <w:r w:rsidR="00CC713E" w:rsidRPr="009034AE">
        <w:t xml:space="preserve"> </w:t>
      </w:r>
      <w:r w:rsidR="002917AA" w:rsidRPr="009034AE">
        <w:t>belønningen for å ta listeansvar</w:t>
      </w:r>
      <w:r w:rsidR="00913708">
        <w:t xml:space="preserve">, men </w:t>
      </w:r>
      <w:r>
        <w:t xml:space="preserve">det </w:t>
      </w:r>
      <w:r w:rsidR="008B089B" w:rsidRPr="009034AE">
        <w:t>kan</w:t>
      </w:r>
      <w:r w:rsidR="00CC55C3" w:rsidRPr="009034AE">
        <w:t xml:space="preserve"> </w:t>
      </w:r>
      <w:r w:rsidR="002917AA">
        <w:rPr>
          <w:rFonts w:ascii="Calibri" w:eastAsia="Calibri" w:hAnsi="Calibri" w:cs="Calibri"/>
        </w:rPr>
        <w:t>føre til at del</w:t>
      </w:r>
      <w:r w:rsidR="00A276D2">
        <w:rPr>
          <w:rFonts w:ascii="Calibri" w:eastAsia="Calibri" w:hAnsi="Calibri" w:cs="Calibri"/>
        </w:rPr>
        <w:t>er</w:t>
      </w:r>
      <w:r w:rsidR="002917AA">
        <w:rPr>
          <w:rFonts w:ascii="Calibri" w:eastAsia="Calibri" w:hAnsi="Calibri" w:cs="Calibri"/>
        </w:rPr>
        <w:t xml:space="preserve"> av etterspørselen ikke blir møtt av et tilbud fra fastlegen, </w:t>
      </w:r>
      <w:r w:rsidR="00CC713E">
        <w:rPr>
          <w:rFonts w:ascii="Calibri" w:eastAsia="Calibri" w:hAnsi="Calibri" w:cs="Calibri"/>
        </w:rPr>
        <w:t xml:space="preserve">noe som kan gi </w:t>
      </w:r>
      <w:r w:rsidR="002917AA">
        <w:rPr>
          <w:rFonts w:ascii="Calibri" w:eastAsia="Calibri" w:hAnsi="Calibri" w:cs="Calibri"/>
        </w:rPr>
        <w:t>leng</w:t>
      </w:r>
      <w:r w:rsidR="00A973D1">
        <w:rPr>
          <w:rFonts w:ascii="Calibri" w:eastAsia="Calibri" w:hAnsi="Calibri" w:cs="Calibri"/>
        </w:rPr>
        <w:t>r</w:t>
      </w:r>
      <w:r w:rsidR="002917AA">
        <w:rPr>
          <w:rFonts w:ascii="Calibri" w:eastAsia="Calibri" w:hAnsi="Calibri" w:cs="Calibri"/>
        </w:rPr>
        <w:t xml:space="preserve">e ventetid for noen </w:t>
      </w:r>
      <w:r w:rsidR="00B663E9">
        <w:rPr>
          <w:rFonts w:ascii="Calibri" w:eastAsia="Calibri" w:hAnsi="Calibri" w:cs="Calibri"/>
        </w:rPr>
        <w:t>liste</w:t>
      </w:r>
      <w:r w:rsidR="002917AA">
        <w:rPr>
          <w:rFonts w:ascii="Calibri" w:eastAsia="Calibri" w:hAnsi="Calibri" w:cs="Calibri"/>
        </w:rPr>
        <w:t xml:space="preserve">innbyggere og kanskje misnøye </w:t>
      </w:r>
      <w:r w:rsidR="00F779EB">
        <w:rPr>
          <w:rFonts w:ascii="Calibri" w:eastAsia="Calibri" w:hAnsi="Calibri" w:cs="Calibri"/>
        </w:rPr>
        <w:t xml:space="preserve">i </w:t>
      </w:r>
      <w:r w:rsidR="002917AA">
        <w:rPr>
          <w:rFonts w:ascii="Calibri" w:eastAsia="Calibri" w:hAnsi="Calibri" w:cs="Calibri"/>
        </w:rPr>
        <w:t>grupper</w:t>
      </w:r>
      <w:r w:rsidR="006B6A83">
        <w:rPr>
          <w:rFonts w:ascii="Calibri" w:eastAsia="Calibri" w:hAnsi="Calibri" w:cs="Calibri"/>
        </w:rPr>
        <w:t xml:space="preserve"> som rammes</w:t>
      </w:r>
      <w:r w:rsidR="002917AA">
        <w:rPr>
          <w:rFonts w:ascii="Calibri" w:eastAsia="Calibri" w:hAnsi="Calibri" w:cs="Calibri"/>
        </w:rPr>
        <w:t xml:space="preserve">. Dette vil kunne medføre et press på fastlegene i form av flere klager og påstander om at legens </w:t>
      </w:r>
      <w:r w:rsidR="00013961">
        <w:rPr>
          <w:rFonts w:ascii="Calibri" w:eastAsia="Calibri" w:hAnsi="Calibri" w:cs="Calibri"/>
        </w:rPr>
        <w:t>prioriterin</w:t>
      </w:r>
      <w:r w:rsidR="00440CDD">
        <w:rPr>
          <w:rFonts w:ascii="Calibri" w:eastAsia="Calibri" w:hAnsi="Calibri" w:cs="Calibri"/>
        </w:rPr>
        <w:t>g</w:t>
      </w:r>
      <w:r w:rsidR="00013961">
        <w:rPr>
          <w:rFonts w:ascii="Calibri" w:eastAsia="Calibri" w:hAnsi="Calibri" w:cs="Calibri"/>
        </w:rPr>
        <w:t xml:space="preserve">er </w:t>
      </w:r>
      <w:r w:rsidR="002917AA">
        <w:rPr>
          <w:rFonts w:ascii="Calibri" w:eastAsia="Calibri" w:hAnsi="Calibri" w:cs="Calibri"/>
        </w:rPr>
        <w:t xml:space="preserve">burde vært annerledes. Det kan gi større pågang på legevakt for </w:t>
      </w:r>
      <w:r w:rsidR="002928D8">
        <w:rPr>
          <w:rFonts w:ascii="Calibri" w:eastAsia="Calibri" w:hAnsi="Calibri" w:cs="Calibri"/>
        </w:rPr>
        <w:t>henvendelser fastlegen prioriterer ned</w:t>
      </w:r>
      <w:r w:rsidR="002917AA">
        <w:rPr>
          <w:rFonts w:ascii="Calibri" w:eastAsia="Calibri" w:hAnsi="Calibri" w:cs="Calibri"/>
        </w:rPr>
        <w:t xml:space="preserve">, og et større marked for private tilbydere som </w:t>
      </w:r>
      <w:r w:rsidR="00ED25C0">
        <w:rPr>
          <w:rFonts w:ascii="Calibri" w:eastAsia="Calibri" w:hAnsi="Calibri" w:cs="Calibri"/>
        </w:rPr>
        <w:t xml:space="preserve">ikke gjør begrensende valg og </w:t>
      </w:r>
      <w:r w:rsidR="00013961">
        <w:rPr>
          <w:rFonts w:ascii="Calibri" w:eastAsia="Calibri" w:hAnsi="Calibri" w:cs="Calibri"/>
        </w:rPr>
        <w:t xml:space="preserve">yter </w:t>
      </w:r>
      <w:r w:rsidR="002917AA">
        <w:rPr>
          <w:rFonts w:ascii="Calibri" w:eastAsia="Calibri" w:hAnsi="Calibri" w:cs="Calibri"/>
        </w:rPr>
        <w:t xml:space="preserve">konsultasjoner med en gang. </w:t>
      </w:r>
      <w:r w:rsidR="009E1B93">
        <w:rPr>
          <w:rFonts w:ascii="Calibri" w:eastAsia="Calibri" w:hAnsi="Calibri" w:cs="Calibri"/>
        </w:rPr>
        <w:t xml:space="preserve">Det er også en fare for at </w:t>
      </w:r>
      <w:r w:rsidR="00C4184F">
        <w:rPr>
          <w:rFonts w:ascii="Calibri" w:eastAsia="Calibri" w:hAnsi="Calibri" w:cs="Calibri"/>
        </w:rPr>
        <w:t>fastlegene henviser mer.</w:t>
      </w:r>
      <w:r w:rsidR="003C49AD">
        <w:rPr>
          <w:rFonts w:ascii="Calibri" w:eastAsia="Calibri" w:hAnsi="Calibri" w:cs="Calibri"/>
        </w:rPr>
        <w:t xml:space="preserve"> </w:t>
      </w:r>
      <w:r w:rsidR="00547029" w:rsidRPr="009034AE">
        <w:t xml:space="preserve">På lengre sikt </w:t>
      </w:r>
      <w:r w:rsidR="00DC2D88">
        <w:t>er det grunn til å tro at slike prioriteringer blir stadig vanskeligere</w:t>
      </w:r>
      <w:r w:rsidR="001510A1" w:rsidRPr="009034AE">
        <w:t xml:space="preserve">, når befolkningen eldes og de kommunale helsetjenestene må </w:t>
      </w:r>
      <w:r w:rsidR="00F81537" w:rsidRPr="009034AE">
        <w:t xml:space="preserve">yte stadig mer av de totale helsetjenestene til befolkningen </w:t>
      </w:r>
      <w:r w:rsidR="00283F1F">
        <w:fldChar w:fldCharType="begin"/>
      </w:r>
      <w:r w:rsidR="00283F1F">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283F1F">
        <w:fldChar w:fldCharType="separate"/>
      </w:r>
      <w:r w:rsidR="00283F1F">
        <w:rPr>
          <w:noProof/>
        </w:rPr>
        <w:t>(Helse- og omsorgsdepartementet, 2023c)</w:t>
      </w:r>
      <w:r w:rsidR="00283F1F">
        <w:fldChar w:fldCharType="end"/>
      </w:r>
      <w:r w:rsidR="00D6213B">
        <w:t>.</w:t>
      </w:r>
    </w:p>
    <w:p w14:paraId="752D50F2" w14:textId="2783BF0C" w:rsidR="007A2BAF" w:rsidRDefault="001841C5" w:rsidP="00775632">
      <w:pPr>
        <w:pStyle w:val="Overskrift3"/>
      </w:pPr>
      <w:bookmarkStart w:id="2814" w:name="_Toc130763834"/>
      <w:bookmarkStart w:id="2815" w:name="_Toc130766729"/>
      <w:bookmarkStart w:id="2816" w:name="_Toc130932130"/>
      <w:bookmarkStart w:id="2817" w:name="_Toc130934421"/>
      <w:bookmarkStart w:id="2818" w:name="_Toc130983519"/>
      <w:bookmarkStart w:id="2819" w:name="_Toc130983868"/>
      <w:bookmarkStart w:id="2820" w:name="_Toc131062175"/>
      <w:bookmarkStart w:id="2821" w:name="_Toc131062429"/>
      <w:bookmarkStart w:id="2822" w:name="_Toc131062690"/>
      <w:bookmarkStart w:id="2823" w:name="_Toc131062943"/>
      <w:bookmarkStart w:id="2824" w:name="_Toc131063726"/>
      <w:bookmarkStart w:id="2825" w:name="_Toc131064136"/>
      <w:bookmarkStart w:id="2826" w:name="_Toc131238446"/>
      <w:bookmarkStart w:id="2827" w:name="_Toc131279477"/>
      <w:bookmarkStart w:id="2828" w:name="_Toc131286889"/>
      <w:bookmarkStart w:id="2829" w:name="_Toc131281299"/>
      <w:bookmarkStart w:id="2830" w:name="_Toc131317839"/>
      <w:bookmarkStart w:id="2831" w:name="_Toc132536996"/>
      <w:r>
        <w:t>Differensieringsbehovet øker når basistilskuddet øker</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1416502E" w14:textId="77777777" w:rsidR="00D9107F" w:rsidRDefault="001841C5" w:rsidP="00236383">
      <w:pPr>
        <w:jc w:val="both"/>
      </w:pPr>
      <w:r>
        <w:t>Dersom basistilskuddets andel av finansieringen øker mye fra dagens nivå på rundt 30</w:t>
      </w:r>
      <w:r w:rsidR="001D434C">
        <w:t xml:space="preserve"> prosent</w:t>
      </w:r>
      <w:r>
        <w:t>, til 50</w:t>
      </w:r>
      <w:r w:rsidR="001D434C">
        <w:t xml:space="preserve"> prosent</w:t>
      </w:r>
      <w:r>
        <w:t xml:space="preserve">, 70 </w:t>
      </w:r>
      <w:r w:rsidR="001D434C">
        <w:t>prosent</w:t>
      </w:r>
      <w:r>
        <w:t xml:space="preserve"> eller enda mer, vil behovet for differensieringer i basistilskuddet øke.</w:t>
      </w:r>
    </w:p>
    <w:p w14:paraId="4B762C1E" w14:textId="29AE0584" w:rsidR="007A2BAF" w:rsidRPr="009F4D64" w:rsidRDefault="007A2BAF" w:rsidP="007A2BAF">
      <w:pPr>
        <w:jc w:val="both"/>
      </w:pPr>
      <w:r w:rsidRPr="009F4D64">
        <w:t xml:space="preserve">De aktivitetsbaserte takstene kompenserer fastlegen for kostnader til </w:t>
      </w:r>
      <w:r w:rsidR="001D434C">
        <w:t>listeinnbyggere</w:t>
      </w:r>
      <w:r w:rsidR="001D434C" w:rsidRPr="009F4D64">
        <w:t xml:space="preserve"> </w:t>
      </w:r>
      <w:r w:rsidRPr="009F4D64">
        <w:t xml:space="preserve">som krever mange tjenester. Aktivitetsbaserte takster utgjør dermed en slags forsikring for fastlegenes økonomiske risiko tilknyttet </w:t>
      </w:r>
      <w:r w:rsidR="001D434C">
        <w:t>listeinnbyggere</w:t>
      </w:r>
      <w:r w:rsidR="001D434C" w:rsidRPr="009F4D64">
        <w:t xml:space="preserve"> </w:t>
      </w:r>
      <w:r w:rsidRPr="009F4D64">
        <w:t xml:space="preserve">med store behov. Økt basistilskudd medfører at fastlegen må bære en større økonomisk risiko for listeinnbyggere som krever mange tjenester. Grunnen er at de aktivitetsbaserte takstene nå vil være mindre enn før. Økonomisk risiko kan i noen grad kompenseres med å risikojustere basistilskuddet. Dersom </w:t>
      </w:r>
      <w:r w:rsidRPr="009F4D64">
        <w:lastRenderedPageBreak/>
        <w:t>fastlegenes listesammensetning er tilfeldig, vil variasjon i forhold til gjennomsnitt av behovet for tjenester til listeinnbyggerne bli mindre ettersom antallet listeinnbyggere øker. Korte lister vil dermed være mer utsatt for økonomisk risiko enn lange lister. Det er trolig systematikk i fastlegenes listesammensetning</w:t>
      </w:r>
      <w:r w:rsidR="00DF3B6F" w:rsidRPr="009F4D64">
        <w:t xml:space="preserve">, eksempelvis av historiske grunner eller bare ved at </w:t>
      </w:r>
      <w:r w:rsidRPr="009F4D64">
        <w:t xml:space="preserve">noen </w:t>
      </w:r>
      <w:r w:rsidR="00DF3B6F" w:rsidRPr="009F4D64">
        <w:t>typer pasienter foretrekker noen fastleger framfor</w:t>
      </w:r>
      <w:r w:rsidRPr="009F4D64">
        <w:t xml:space="preserve"> andre.</w:t>
      </w:r>
      <w:r w:rsidR="00DF3B6F" w:rsidRPr="009F4D64">
        <w:t xml:space="preserve"> Listeinnbyggerne kan eldes sammen med fastlegen, eller kvinner vil eksempelvis kunne foretrekke kvinnelige fastleger.</w:t>
      </w:r>
      <w:r w:rsidRPr="009F4D64">
        <w:t xml:space="preserve"> Denne systematikken fanges ikke nødvendigvis opp av konvensjonelle variabler for risikojustering som for eksempel alder og kjønn. En fastlege som har en stor andel listeinnbyggere med </w:t>
      </w:r>
      <w:r w:rsidR="00D07C2D" w:rsidRPr="009F4D64">
        <w:t>kompliserte</w:t>
      </w:r>
      <w:r w:rsidRPr="009F4D64">
        <w:t xml:space="preserve"> </w:t>
      </w:r>
      <w:r w:rsidR="00150B68" w:rsidRPr="009F4D64">
        <w:t>og</w:t>
      </w:r>
      <w:r w:rsidRPr="009F4D64">
        <w:t xml:space="preserve"> kronisk</w:t>
      </w:r>
      <w:r w:rsidR="00150B68" w:rsidRPr="009F4D64">
        <w:t>e</w:t>
      </w:r>
      <w:r w:rsidRPr="009F4D64">
        <w:t xml:space="preserve"> sykdom</w:t>
      </w:r>
      <w:r w:rsidR="00150B68" w:rsidRPr="009F4D64">
        <w:t>stilstander</w:t>
      </w:r>
      <w:r w:rsidRPr="009F4D64">
        <w:t>, vil ikke kompenseres for dette ved hjelp av de vanligste variablene for risikojustering. En mulighet kan være å la diagnose og indikatorer for omfang av helsetjenester inngå i formelen for risikojustering av basistilskuddet. Ulempe</w:t>
      </w:r>
      <w:r w:rsidR="00112B02">
        <w:t>r</w:t>
      </w:r>
      <w:r w:rsidRPr="009F4D64">
        <w:t xml:space="preserve"> med disse indikatorene er at de kan påvirke </w:t>
      </w:r>
      <w:r w:rsidR="00D65DB3" w:rsidRPr="009F4D64">
        <w:t xml:space="preserve">hvilke </w:t>
      </w:r>
      <w:r w:rsidRPr="009F4D64">
        <w:t xml:space="preserve">diagnoser </w:t>
      </w:r>
      <w:r w:rsidR="00D65DB3" w:rsidRPr="009F4D64">
        <w:t>fastlegen setter</w:t>
      </w:r>
      <w:r w:rsidR="002E1C61">
        <w:t xml:space="preserve"> eller at det </w:t>
      </w:r>
      <w:r w:rsidR="00E15E51">
        <w:t>gir insentiver til å be</w:t>
      </w:r>
      <w:r w:rsidR="007F61D3">
        <w:t xml:space="preserve">tjene pasienter </w:t>
      </w:r>
      <w:r w:rsidR="00EC763D">
        <w:t xml:space="preserve">som </w:t>
      </w:r>
      <w:r w:rsidR="0088249E">
        <w:t xml:space="preserve">allerede har fått en </w:t>
      </w:r>
      <w:r w:rsidR="007F61D3">
        <w:t>diagnose</w:t>
      </w:r>
      <w:r w:rsidRPr="009F4D64">
        <w:t>. For eksempel tilsvarer stor vekt på omfang av helsetjenester i risikojusteringen, en indirekte form for aktivitetsbasert finansiering. Å utvikle metodikk som gjør at risikojustering blir treffsikker og ikke oppmuntrer til uønsket praksis, er sentralt både for å hindre avgang og for å rekruttere fastleger til næringsdrift.</w:t>
      </w:r>
    </w:p>
    <w:p w14:paraId="479673C6" w14:textId="77777777" w:rsidR="00D9107F" w:rsidRDefault="00DA4AA4" w:rsidP="007A2BAF">
      <w:pPr>
        <w:jc w:val="both"/>
      </w:pPr>
      <w:r w:rsidRPr="0028706F">
        <w:rPr>
          <w:color w:val="333333"/>
        </w:rPr>
        <w:t>B</w:t>
      </w:r>
      <w:r w:rsidR="00146A13" w:rsidRPr="0028706F">
        <w:rPr>
          <w:color w:val="333333"/>
        </w:rPr>
        <w:t>oks</w:t>
      </w:r>
      <w:r w:rsidR="00E81B63" w:rsidRPr="0028706F">
        <w:rPr>
          <w:color w:val="333333"/>
        </w:rPr>
        <w:t xml:space="preserve"> </w:t>
      </w:r>
      <w:r w:rsidR="00E86EA3">
        <w:rPr>
          <w:color w:val="333333"/>
        </w:rPr>
        <w:t>5.2</w:t>
      </w:r>
      <w:r w:rsidR="00ED188F">
        <w:rPr>
          <w:color w:val="333333"/>
        </w:rPr>
        <w:t xml:space="preserve"> </w:t>
      </w:r>
      <w:r w:rsidR="00C85AEB">
        <w:rPr>
          <w:color w:val="333333"/>
        </w:rPr>
        <w:t>o</w:t>
      </w:r>
      <w:r>
        <w:rPr>
          <w:color w:val="333333"/>
        </w:rPr>
        <w:t xml:space="preserve">ppsummerer beregninger fra </w:t>
      </w:r>
      <w:r>
        <w:t xml:space="preserve">Helsedirektoratet om hvordan en endring fra en </w:t>
      </w:r>
      <w:r w:rsidR="00F62070">
        <w:t xml:space="preserve">basisfinansieringsandel </w:t>
      </w:r>
      <w:r w:rsidR="00175A64">
        <w:t xml:space="preserve">på </w:t>
      </w:r>
      <w:r w:rsidR="00DA2114">
        <w:t>rund</w:t>
      </w:r>
      <w:r w:rsidR="00BD5777">
        <w:t xml:space="preserve">t </w:t>
      </w:r>
      <w:r w:rsidR="00DA2114">
        <w:t>30</w:t>
      </w:r>
      <w:r w:rsidR="002E0B7D">
        <w:t xml:space="preserve"> prosent</w:t>
      </w:r>
      <w:r w:rsidR="00DA2114">
        <w:t xml:space="preserve"> </w:t>
      </w:r>
      <w:r w:rsidR="0033496A">
        <w:t>(</w:t>
      </w:r>
      <w:r w:rsidR="00DA2114">
        <w:t xml:space="preserve">dvs. </w:t>
      </w:r>
      <w:r w:rsidR="0033496A">
        <w:t xml:space="preserve">ordningen fra 1. mai 2023) </w:t>
      </w:r>
      <w:r>
        <w:t xml:space="preserve">til en </w:t>
      </w:r>
      <w:r w:rsidR="00175A64">
        <w:t>basisfinansierings</w:t>
      </w:r>
      <w:r w:rsidR="00DA2114">
        <w:t xml:space="preserve">andel </w:t>
      </w:r>
      <w:r w:rsidR="00175A64">
        <w:t>på hhv. 50 og 70</w:t>
      </w:r>
      <w:r w:rsidR="007F7B9B">
        <w:t xml:space="preserve"> prosent</w:t>
      </w:r>
      <w:r w:rsidR="00175A64">
        <w:t xml:space="preserve"> </w:t>
      </w:r>
      <w:r>
        <w:t>slår ut på inntekten for ulike grupper av fastleger.</w:t>
      </w:r>
    </w:p>
    <w:p w14:paraId="5F7306F3" w14:textId="77777777" w:rsidR="00D9107F" w:rsidRDefault="0089710E" w:rsidP="00EC0EC4">
      <w:pPr>
        <w:jc w:val="both"/>
      </w:pPr>
      <w:r>
        <w:rPr>
          <w:color w:val="333333"/>
        </w:rPr>
        <w:t xml:space="preserve">I </w:t>
      </w:r>
      <w:r w:rsidRPr="0038701E">
        <w:t xml:space="preserve">tillegg til differensiering av basistilskuddet etter kjennetegn ved </w:t>
      </w:r>
      <w:r w:rsidR="00C2456B">
        <w:t>listeinnbygger</w:t>
      </w:r>
      <w:r w:rsidR="00A965DA">
        <w:t>ne</w:t>
      </w:r>
      <w:r w:rsidRPr="0038701E">
        <w:t>, kan det også være fordeler ved å kunne belønne de fastlegene som jobber systematisk med kvalitetsforbedring. Dette kan gjøres ved å innføre kvalitetselementer i basistilskuddet.</w:t>
      </w:r>
      <w:r w:rsidR="007A2BAF" w:rsidRPr="0038701E">
        <w:t xml:space="preserve"> </w:t>
      </w:r>
      <w:r w:rsidR="002A6E03">
        <w:t>E</w:t>
      </w:r>
      <w:r w:rsidRPr="0038701E">
        <w:t xml:space="preserve">n slik løsning </w:t>
      </w:r>
      <w:r w:rsidR="00011AD9">
        <w:t>gjør</w:t>
      </w:r>
      <w:r w:rsidRPr="0038701E">
        <w:t xml:space="preserve"> at kvaliteten på praksisene ikke bare styres gjennom forskrifter, som setter minimumskrav, men at fastlegene også belønnes for å ha en veldrevet praksis</w:t>
      </w:r>
      <w:r w:rsidR="00371237" w:rsidRPr="0038701E">
        <w:t xml:space="preserve"> som går ut over minimumskravene</w:t>
      </w:r>
      <w:r w:rsidRPr="0038701E">
        <w:t>.</w:t>
      </w:r>
    </w:p>
    <w:p w14:paraId="27504695" w14:textId="77777777" w:rsidR="00D9107F" w:rsidRPr="008F5AD8" w:rsidRDefault="00903EE5" w:rsidP="008F5AD8">
      <w:r w:rsidRPr="008F5AD8">
        <w:t>Flere kvalitetsindikatorer i Norge er i dag allerede knyttet til fastlegers takstbruk</w:t>
      </w:r>
      <w:r w:rsidR="00CD16A7" w:rsidRPr="008F5AD8">
        <w:t xml:space="preserve">, </w:t>
      </w:r>
      <w:r w:rsidR="00A73C78" w:rsidRPr="008F5AD8">
        <w:rPr>
          <w:rFonts w:eastAsiaTheme="minorEastAsia"/>
        </w:rPr>
        <w:t>og</w:t>
      </w:r>
      <w:r w:rsidR="00CD16A7" w:rsidRPr="008F5AD8">
        <w:t xml:space="preserve"> </w:t>
      </w:r>
      <w:r w:rsidR="00637E16" w:rsidRPr="008F5AD8">
        <w:t xml:space="preserve">enten </w:t>
      </w:r>
      <w:r w:rsidR="00FD4AC6" w:rsidRPr="008F5AD8">
        <w:t xml:space="preserve">man innfører kvalitetselementer i basistilskuddet eller ikke, </w:t>
      </w:r>
      <w:r w:rsidR="00CD16A7" w:rsidRPr="008F5AD8">
        <w:t xml:space="preserve">er </w:t>
      </w:r>
      <w:r w:rsidR="00FD4AC6" w:rsidRPr="008F5AD8">
        <w:t>det</w:t>
      </w:r>
      <w:r w:rsidR="00CD16A7" w:rsidRPr="008F5AD8">
        <w:t xml:space="preserve"> uansett viktig at indikatorsett for allmennlegetjenester utvides og utvikles</w:t>
      </w:r>
      <w:r w:rsidRPr="008F5AD8">
        <w:t xml:space="preserve">. Fastlegens tjenestetilbud til beboere i </w:t>
      </w:r>
      <w:r w:rsidR="00EB4354" w:rsidRPr="008F5AD8">
        <w:t xml:space="preserve">boliger med </w:t>
      </w:r>
      <w:r w:rsidRPr="008F5AD8">
        <w:t xml:space="preserve">heldøgns </w:t>
      </w:r>
      <w:r w:rsidR="00EB4354" w:rsidRPr="008F5AD8">
        <w:t xml:space="preserve">tjenester </w:t>
      </w:r>
      <w:r w:rsidRPr="008F5AD8">
        <w:t xml:space="preserve">følges ikke i dag med egne kvalitetsindikatorer. Konsekvensen av </w:t>
      </w:r>
      <w:r w:rsidR="009F4911" w:rsidRPr="008F5AD8">
        <w:t>dårlig utbygde kvalitetsindikatorer</w:t>
      </w:r>
      <w:r w:rsidRPr="008F5AD8">
        <w:t xml:space="preserve"> er at det finnes lite innsikt i hvilken medisinsk oppfølging som gis</w:t>
      </w:r>
      <w:r w:rsidR="003D1670" w:rsidRPr="008F5AD8">
        <w:t xml:space="preserve">, og små muligheter for fastlegene </w:t>
      </w:r>
      <w:r w:rsidRPr="008F5AD8">
        <w:t xml:space="preserve">til </w:t>
      </w:r>
      <w:r w:rsidR="003D1670" w:rsidRPr="008F5AD8">
        <w:t xml:space="preserve">å følge utvikling i sin egen praksis over tid og </w:t>
      </w:r>
      <w:r w:rsidR="003D1670" w:rsidRPr="008F5AD8">
        <w:rPr>
          <w:rFonts w:eastAsiaTheme="minorEastAsia"/>
        </w:rPr>
        <w:t>sammenliknet</w:t>
      </w:r>
      <w:r w:rsidR="003D1670" w:rsidRPr="008F5AD8">
        <w:t xml:space="preserve"> med andre </w:t>
      </w:r>
      <w:r w:rsidR="004671A5" w:rsidRPr="008F5AD8">
        <w:t>fastleger</w:t>
      </w:r>
      <w:r w:rsidRPr="008F5AD8">
        <w:t>.</w:t>
      </w:r>
    </w:p>
    <w:p w14:paraId="0E0701DB" w14:textId="5ADE903C" w:rsidR="00C420D0" w:rsidRDefault="009B4F0D" w:rsidP="00775632">
      <w:pPr>
        <w:pStyle w:val="Overskrift2"/>
      </w:pPr>
      <w:bookmarkStart w:id="2832" w:name="_Toc130763835"/>
      <w:bookmarkStart w:id="2833" w:name="_Toc130766730"/>
      <w:bookmarkStart w:id="2834" w:name="_Ref130928289"/>
      <w:bookmarkStart w:id="2835" w:name="_Toc130932131"/>
      <w:bookmarkStart w:id="2836" w:name="_Toc130934422"/>
      <w:bookmarkStart w:id="2837" w:name="_Toc130983520"/>
      <w:bookmarkStart w:id="2838" w:name="_Toc130983869"/>
      <w:bookmarkStart w:id="2839" w:name="_Toc131062176"/>
      <w:bookmarkStart w:id="2840" w:name="_Toc131062430"/>
      <w:bookmarkStart w:id="2841" w:name="_Toc131062691"/>
      <w:bookmarkStart w:id="2842" w:name="_Toc131062944"/>
      <w:bookmarkStart w:id="2843" w:name="_Toc131063727"/>
      <w:bookmarkStart w:id="2844" w:name="_Toc131064137"/>
      <w:bookmarkStart w:id="2845" w:name="_Toc131238447"/>
      <w:bookmarkStart w:id="2846" w:name="_Toc131279478"/>
      <w:bookmarkStart w:id="2847" w:name="_Toc131286890"/>
      <w:bookmarkStart w:id="2848" w:name="_Toc131281300"/>
      <w:bookmarkStart w:id="2849" w:name="_Toc131317840"/>
      <w:bookmarkStart w:id="2850" w:name="_Toc132536997"/>
      <w:r>
        <w:t>Ekspertu</w:t>
      </w:r>
      <w:r w:rsidR="00C420D0">
        <w:t xml:space="preserve">tvalgets </w:t>
      </w:r>
      <w:r>
        <w:t>vurdering</w:t>
      </w:r>
      <w:r w:rsidR="00564546">
        <w:t>er</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0300F1A4" w14:textId="77777777" w:rsidR="00D9107F" w:rsidRDefault="00187134" w:rsidP="00C5494B">
      <w:pPr>
        <w:jc w:val="both"/>
      </w:pPr>
      <w:r>
        <w:t>Det pr</w:t>
      </w:r>
      <w:r w:rsidR="000E631F">
        <w:t>i</w:t>
      </w:r>
      <w:r>
        <w:t xml:space="preserve">mære målet i dagens situasjon er å </w:t>
      </w:r>
      <w:r w:rsidR="000B24AB">
        <w:t xml:space="preserve">sikre </w:t>
      </w:r>
      <w:r w:rsidR="00C91210">
        <w:t xml:space="preserve">alle </w:t>
      </w:r>
      <w:r w:rsidR="000B24AB">
        <w:t>innbygger</w:t>
      </w:r>
      <w:r>
        <w:t>n</w:t>
      </w:r>
      <w:r w:rsidR="000B24AB">
        <w:t>e en fastlege</w:t>
      </w:r>
      <w:r>
        <w:t xml:space="preserve">. </w:t>
      </w:r>
      <w:r w:rsidR="009B4F0D">
        <w:t>Ekspertu</w:t>
      </w:r>
      <w:r>
        <w:t xml:space="preserve">tvalget mener </w:t>
      </w:r>
      <w:r w:rsidR="009019E7">
        <w:t>derfor at økt kapasitet må prioriteres</w:t>
      </w:r>
      <w:r w:rsidR="00C77E01">
        <w:t>,</w:t>
      </w:r>
      <w:r w:rsidR="000E631F">
        <w:t xml:space="preserve"> </w:t>
      </w:r>
      <w:r w:rsidR="007B7442">
        <w:t xml:space="preserve">og </w:t>
      </w:r>
      <w:r w:rsidR="00C77E01">
        <w:t xml:space="preserve">at </w:t>
      </w:r>
      <w:r w:rsidR="000E631F">
        <w:t xml:space="preserve">å </w:t>
      </w:r>
      <w:r w:rsidR="00C77E01">
        <w:t xml:space="preserve">øke basistilskuddets andel av den totale </w:t>
      </w:r>
      <w:r w:rsidR="00C77E01">
        <w:lastRenderedPageBreak/>
        <w:t xml:space="preserve">finansieringen </w:t>
      </w:r>
      <w:r w:rsidR="00C15053">
        <w:t xml:space="preserve">er </w:t>
      </w:r>
      <w:r w:rsidR="00C77E01">
        <w:t xml:space="preserve">et virkemiddel for å </w:t>
      </w:r>
      <w:r w:rsidR="006828F8">
        <w:t>belønne fastlege</w:t>
      </w:r>
      <w:r w:rsidR="00912613">
        <w:t>r</w:t>
      </w:r>
      <w:r w:rsidR="006828F8">
        <w:t xml:space="preserve"> </w:t>
      </w:r>
      <w:r w:rsidR="001E75DD">
        <w:t xml:space="preserve">som </w:t>
      </w:r>
      <w:r w:rsidR="006828F8">
        <w:t>ta</w:t>
      </w:r>
      <w:r w:rsidR="001E75DD">
        <w:t>r</w:t>
      </w:r>
      <w:r w:rsidR="006828F8">
        <w:t xml:space="preserve"> større listeansvar</w:t>
      </w:r>
      <w:r w:rsidR="00C77E01">
        <w:t xml:space="preserve">. </w:t>
      </w:r>
      <w:r w:rsidR="00722ACD">
        <w:t>I tillegg kan det gis tilskudd for å rekruttere leger.</w:t>
      </w:r>
    </w:p>
    <w:p w14:paraId="49742B37" w14:textId="67F6D2C6" w:rsidR="00722ACD" w:rsidRDefault="00722ACD" w:rsidP="00775632">
      <w:pPr>
        <w:pStyle w:val="Overskrift3"/>
      </w:pPr>
      <w:bookmarkStart w:id="2851" w:name="_Toc131238448"/>
      <w:bookmarkStart w:id="2852" w:name="_Toc131281301"/>
      <w:bookmarkStart w:id="2853" w:name="_Toc131317841"/>
      <w:bookmarkStart w:id="2854" w:name="_Toc132536998"/>
      <w:bookmarkStart w:id="2855" w:name="_Toc131279479"/>
      <w:bookmarkStart w:id="2856" w:name="_Toc131286891"/>
      <w:r>
        <w:t>Rekrutteringstilskudd</w:t>
      </w:r>
      <w:bookmarkEnd w:id="2851"/>
      <w:bookmarkEnd w:id="2852"/>
      <w:bookmarkEnd w:id="2853"/>
      <w:bookmarkEnd w:id="2854"/>
    </w:p>
    <w:bookmarkEnd w:id="2855"/>
    <w:bookmarkEnd w:id="2856"/>
    <w:p w14:paraId="61B6DD4F" w14:textId="7B9EF9B1" w:rsidR="007954AB" w:rsidRPr="00775632" w:rsidRDefault="007954AB" w:rsidP="00775632">
      <w:r w:rsidRPr="00131464">
        <w:rPr>
          <w:rFonts w:eastAsia="Calibri"/>
        </w:rPr>
        <w:t xml:space="preserve">I dag må man betale for å kunne </w:t>
      </w:r>
      <w:r>
        <w:rPr>
          <w:rFonts w:eastAsia="Calibri"/>
        </w:rPr>
        <w:t>begynne</w:t>
      </w:r>
      <w:r w:rsidRPr="00131464">
        <w:rPr>
          <w:rFonts w:eastAsia="Calibri"/>
        </w:rPr>
        <w:t xml:space="preserve"> å jobbe som fastlege, med mindre man er vikar eller ansettes fast i kommunen. </w:t>
      </w:r>
      <w:bookmarkStart w:id="2857" w:name="_Hlk131080025"/>
      <w:r w:rsidRPr="00131464">
        <w:rPr>
          <w:rFonts w:eastAsia="Calibri"/>
        </w:rPr>
        <w:t>For å få flere leger</w:t>
      </w:r>
      <w:r w:rsidR="00DA1F36">
        <w:rPr>
          <w:rFonts w:eastAsia="Calibri"/>
        </w:rPr>
        <w:t xml:space="preserve"> raskt</w:t>
      </w:r>
      <w:r w:rsidRPr="00131464">
        <w:rPr>
          <w:rFonts w:eastAsia="Calibri"/>
        </w:rPr>
        <w:t xml:space="preserve"> inn i fastlegeordningen, </w:t>
      </w:r>
      <w:r>
        <w:rPr>
          <w:rFonts w:eastAsia="Calibri"/>
        </w:rPr>
        <w:t xml:space="preserve">anbefaler ekspertutvalget at det innføres </w:t>
      </w:r>
      <w:r w:rsidRPr="00775632">
        <w:t xml:space="preserve">et midlertidig rekrutteringstilskudd </w:t>
      </w:r>
      <w:r w:rsidR="005F2BCA" w:rsidRPr="00775632">
        <w:t>i størrelsesorden</w:t>
      </w:r>
      <w:r w:rsidRPr="00775632">
        <w:t xml:space="preserve"> 30</w:t>
      </w:r>
      <w:r w:rsidR="00D9107F" w:rsidRPr="00775632">
        <w:t>0 000 kroner</w:t>
      </w:r>
      <w:r w:rsidRPr="00775632">
        <w:t xml:space="preserve"> til nye fastleger, i kommuner med særlige rekrutteringsvansker. </w:t>
      </w:r>
      <w:bookmarkEnd w:id="2857"/>
      <w:r w:rsidRPr="00775632">
        <w:t xml:space="preserve">Tilskuddet kan innebære en bindingstid på eksempelvis 3 år. </w:t>
      </w:r>
      <w:r w:rsidRPr="00D60C1C">
        <w:rPr>
          <w:rFonts w:eastAsia="Calibri"/>
        </w:rPr>
        <w:t>Dersom legen slutter før det har gått 3 år, må beløpet</w:t>
      </w:r>
      <w:r>
        <w:rPr>
          <w:rFonts w:eastAsia="Calibri"/>
        </w:rPr>
        <w:t>,</w:t>
      </w:r>
      <w:r w:rsidRPr="00D60C1C">
        <w:rPr>
          <w:rFonts w:eastAsia="Calibri"/>
        </w:rPr>
        <w:t xml:space="preserve"> eller det aller meste av det, tilbakebetales til kommunen. </w:t>
      </w:r>
      <w:r w:rsidRPr="00775632">
        <w:t xml:space="preserve">Tilskuddet </w:t>
      </w:r>
      <w:r w:rsidR="008E56CB" w:rsidRPr="00775632">
        <w:t xml:space="preserve">foreslås </w:t>
      </w:r>
      <w:r w:rsidRPr="00775632">
        <w:t>utbetal</w:t>
      </w:r>
      <w:r w:rsidR="008E56CB" w:rsidRPr="00775632">
        <w:t>t</w:t>
      </w:r>
      <w:r w:rsidRPr="00775632">
        <w:t xml:space="preserve"> av kommunen, og </w:t>
      </w:r>
      <w:r w:rsidR="008E56CB" w:rsidRPr="00775632">
        <w:t xml:space="preserve">refundert </w:t>
      </w:r>
      <w:r w:rsidRPr="00775632">
        <w:t xml:space="preserve">av statsforvalteren eller Helsedirektoratet. </w:t>
      </w:r>
      <w:r w:rsidRPr="00910209">
        <w:rPr>
          <w:rFonts w:eastAsia="Calibri"/>
        </w:rPr>
        <w:t>Legen står fritt til å benytte tilskuddet, men det ville kunne gjøre det enklere å komme i gang som fastlege ved å bygge opp en egen praksis</w:t>
      </w:r>
      <w:r>
        <w:rPr>
          <w:rFonts w:eastAsia="Calibri"/>
        </w:rPr>
        <w:t>,</w:t>
      </w:r>
      <w:r w:rsidRPr="00910209">
        <w:rPr>
          <w:rFonts w:eastAsia="Calibri"/>
        </w:rPr>
        <w:t xml:space="preserve"> eller å kjøpe seg inn i en etablert praksis</w:t>
      </w:r>
      <w:r>
        <w:rPr>
          <w:rFonts w:eastAsia="Calibri"/>
        </w:rPr>
        <w:t>. Hvis kommunen på et senere tidspunkt skal løse inn praksisen, bør rekrutteringstilskuddet komme til fratrekk.</w:t>
      </w:r>
    </w:p>
    <w:p w14:paraId="3F920A0D" w14:textId="18628EE9" w:rsidR="000A7746" w:rsidRDefault="06B8D178" w:rsidP="00A003C4">
      <w:pPr>
        <w:jc w:val="both"/>
      </w:pPr>
      <w:r w:rsidRPr="00775632">
        <w:t xml:space="preserve">Ekspertutvalget legger til grunn at det i dagens situasjon kan være vanskelig å definere hvilke kommuner som har særlige rekrutteringsvansker. En mulig definisjon kan være ut fra andel innbyggere på liste uten fast lege over en periode, men dette vil innebære uheldige insentiver for noen kommuner til å begrense rekrutteringen av fastleger. </w:t>
      </w:r>
      <w:r w:rsidR="00C44D7D" w:rsidRPr="00775632">
        <w:t>E</w:t>
      </w:r>
      <w:r w:rsidR="00072C2C" w:rsidRPr="00775632">
        <w:t xml:space="preserve">t </w:t>
      </w:r>
      <w:r w:rsidR="00C44D7D" w:rsidRPr="00775632">
        <w:t>anne</w:t>
      </w:r>
      <w:r w:rsidR="00072C2C" w:rsidRPr="00775632">
        <w:t>t</w:t>
      </w:r>
      <w:r w:rsidR="00C44D7D" w:rsidRPr="00775632">
        <w:t xml:space="preserve"> mulig </w:t>
      </w:r>
      <w:r w:rsidR="00072C2C" w:rsidRPr="00775632">
        <w:t>kriterium</w:t>
      </w:r>
      <w:r w:rsidR="00C44D7D" w:rsidRPr="00775632">
        <w:t xml:space="preserve"> kan være prosentandel </w:t>
      </w:r>
      <w:r w:rsidR="00072C2C" w:rsidRPr="00775632">
        <w:t>ledige</w:t>
      </w:r>
      <w:r w:rsidR="00C44D7D" w:rsidRPr="00775632">
        <w:t xml:space="preserve"> listeplasser. </w:t>
      </w:r>
      <w:r w:rsidR="00484BB8" w:rsidRPr="00E32E2F">
        <w:rPr>
          <w:rFonts w:ascii="Calibri" w:eastAsia="Calibri" w:hAnsi="Calibri" w:cs="Calibri"/>
        </w:rPr>
        <w:t xml:space="preserve">Det bør også </w:t>
      </w:r>
      <w:r w:rsidR="00E32E2F" w:rsidRPr="00E32E2F">
        <w:rPr>
          <w:rFonts w:ascii="Calibri" w:eastAsia="Calibri" w:hAnsi="Calibri" w:cs="Calibri"/>
        </w:rPr>
        <w:t xml:space="preserve">vurderes om </w:t>
      </w:r>
      <w:r w:rsidR="00484BB8" w:rsidRPr="00E32E2F">
        <w:rPr>
          <w:rFonts w:ascii="Calibri" w:eastAsia="Calibri" w:hAnsi="Calibri" w:cs="Calibri"/>
        </w:rPr>
        <w:t xml:space="preserve">kommunen </w:t>
      </w:r>
      <w:r w:rsidR="00E32E2F" w:rsidRPr="00E32E2F">
        <w:rPr>
          <w:rFonts w:ascii="Calibri" w:eastAsia="Calibri" w:hAnsi="Calibri" w:cs="Calibri"/>
        </w:rPr>
        <w:t xml:space="preserve">skal kunne </w:t>
      </w:r>
      <w:r w:rsidR="00484BB8" w:rsidRPr="00E32E2F">
        <w:rPr>
          <w:rFonts w:ascii="Calibri" w:eastAsia="Calibri" w:hAnsi="Calibri" w:cs="Calibri"/>
        </w:rPr>
        <w:t xml:space="preserve">disponere rekrutteringstilskuddet til </w:t>
      </w:r>
      <w:r w:rsidR="00E32E2F" w:rsidRPr="00E32E2F">
        <w:rPr>
          <w:rFonts w:ascii="Calibri" w:eastAsia="Calibri" w:hAnsi="Calibri" w:cs="Calibri"/>
        </w:rPr>
        <w:t xml:space="preserve">andre </w:t>
      </w:r>
      <w:r w:rsidR="00484BB8" w:rsidRPr="00E32E2F">
        <w:rPr>
          <w:rFonts w:ascii="Calibri" w:eastAsia="Calibri" w:hAnsi="Calibri" w:cs="Calibri"/>
        </w:rPr>
        <w:t>tiltak som fremmer rekruttering av fastleger.</w:t>
      </w:r>
      <w:r w:rsidR="00E32E2F">
        <w:rPr>
          <w:rFonts w:ascii="Calibri" w:eastAsia="Calibri" w:hAnsi="Calibri" w:cs="Calibri"/>
        </w:rPr>
        <w:t xml:space="preserve"> </w:t>
      </w:r>
      <w:r w:rsidRPr="00775632">
        <w:t>Både innretningen på tilskuddet og forvaltningen av ordningen vil således kreve noe utredning før iverksetting</w:t>
      </w:r>
      <w:r w:rsidR="00CD1994" w:rsidRPr="00775632">
        <w:t>.</w:t>
      </w:r>
    </w:p>
    <w:p w14:paraId="5F9FC83A" w14:textId="27E7A9E3" w:rsidR="007954AB" w:rsidRPr="00722ACD" w:rsidRDefault="007954AB" w:rsidP="00775632">
      <w:pPr>
        <w:pStyle w:val="Overskrift3"/>
      </w:pPr>
      <w:bookmarkStart w:id="2858" w:name="_Toc131238449"/>
      <w:bookmarkStart w:id="2859" w:name="_Toc131279480"/>
      <w:bookmarkStart w:id="2860" w:name="_Toc131286892"/>
      <w:bookmarkStart w:id="2861" w:name="_Toc131281302"/>
      <w:bookmarkStart w:id="2862" w:name="_Toc131317842"/>
      <w:bookmarkStart w:id="2863" w:name="_Toc132536999"/>
      <w:r>
        <w:t xml:space="preserve">Økt andel </w:t>
      </w:r>
      <w:bookmarkEnd w:id="2858"/>
      <w:r>
        <w:t>basistil</w:t>
      </w:r>
      <w:r w:rsidR="00F7592A">
        <w:t>s</w:t>
      </w:r>
      <w:r>
        <w:t>kudd</w:t>
      </w:r>
      <w:bookmarkEnd w:id="2859"/>
      <w:bookmarkEnd w:id="2860"/>
      <w:bookmarkEnd w:id="2861"/>
      <w:bookmarkEnd w:id="2862"/>
      <w:bookmarkEnd w:id="2863"/>
    </w:p>
    <w:p w14:paraId="3E54C5A7" w14:textId="7354A8F6" w:rsidR="00C03574" w:rsidRPr="00FB310D" w:rsidRDefault="00D76261" w:rsidP="00FB310D">
      <w:pPr>
        <w:rPr>
          <w:rFonts w:eastAsia="Calibri"/>
        </w:rPr>
      </w:pPr>
      <w:r w:rsidRPr="00FB310D">
        <w:rPr>
          <w:rFonts w:eastAsia="Calibri"/>
        </w:rPr>
        <w:t xml:space="preserve">I tråd med overordnede prioriteringer for </w:t>
      </w:r>
      <w:r w:rsidR="00BC22FA" w:rsidRPr="00FB310D">
        <w:rPr>
          <w:rFonts w:eastAsia="Calibri"/>
        </w:rPr>
        <w:t>de</w:t>
      </w:r>
      <w:r w:rsidR="001019A8" w:rsidRPr="00FB310D">
        <w:rPr>
          <w:rFonts w:eastAsia="Calibri"/>
        </w:rPr>
        <w:t xml:space="preserve"> kommunale </w:t>
      </w:r>
      <w:r w:rsidR="00BC22FA" w:rsidRPr="00FB310D">
        <w:rPr>
          <w:rFonts w:eastAsia="Calibri"/>
        </w:rPr>
        <w:t>helse- og omsorgstjenestene</w:t>
      </w:r>
      <w:r w:rsidR="00B8627F" w:rsidRPr="00FB310D">
        <w:t xml:space="preserve"> </w:t>
      </w:r>
      <w:r w:rsidR="00A841AD" w:rsidRPr="00FB310D">
        <w:fldChar w:fldCharType="begin"/>
      </w:r>
      <w:r w:rsidR="00235862" w:rsidRPr="00FB310D">
        <w:instrText xml:space="preserve"> ADDIN EN.CITE &lt;EndNote&gt;&lt;Cite&gt;&lt;Author&gt;Helse- og omsorgsdepartementet&lt;/Author&gt;&lt;Year&gt;2021&lt;/Year&gt;&lt;RecNum&gt;571&lt;/RecNum&gt;&lt;DisplayText&gt;(Helse- og omsorgsdepartementet, 2021b)&lt;/DisplayText&gt;&lt;record&gt;&lt;rec-number&gt;571&lt;/rec-number&gt;&lt;foreign-keys&gt;&lt;key app="EN" db-id="95tpr2tp6r9xwoea9rb5wdsz5ds5xeddteew" timestamp="1680069511"&gt;571&lt;/key&gt;&lt;/foreign-keys&gt;&lt;ref-type name="Report"&gt;27&lt;/ref-type&gt;&lt;contributors&gt;&lt;authors&gt;&lt;author&gt;Helse- og omsorgsdepartementet, &lt;/author&gt;&lt;/authors&gt;&lt;/contributors&gt;&lt;titles&gt;&lt;title&gt;Nytte, ressurs og alvorlighet: prioritering i helse- og omsorgstjenesten&lt;/title&gt;&lt;/titles&gt;&lt;number&gt;Meld. St. 38 (2020–2021)&lt;/number&gt;&lt;dates&gt;&lt;year&gt;2021&lt;/year&gt;&lt;/dates&gt;&lt;publisher&gt;Helse- og omsorgsdepartementet&lt;/publisher&gt;&lt;urls&gt;&lt;/urls&gt;&lt;/record&gt;&lt;/Cite&gt;&lt;/EndNote&gt;</w:instrText>
      </w:r>
      <w:r w:rsidR="00A841AD" w:rsidRPr="00FB310D">
        <w:fldChar w:fldCharType="separate"/>
      </w:r>
      <w:r w:rsidR="00A841AD" w:rsidRPr="00FB310D">
        <w:t>(Helse- og omsorgsdepartementet, 2021b)</w:t>
      </w:r>
      <w:r w:rsidR="00A841AD" w:rsidRPr="00FB310D">
        <w:fldChar w:fldCharType="end"/>
      </w:r>
      <w:r w:rsidR="00491D0A" w:rsidRPr="00FB310D">
        <w:rPr>
          <w:rFonts w:eastAsia="Calibri"/>
        </w:rPr>
        <w:t xml:space="preserve">, </w:t>
      </w:r>
      <w:r w:rsidR="001019A8" w:rsidRPr="00FB310D">
        <w:rPr>
          <w:rFonts w:eastAsia="Calibri"/>
        </w:rPr>
        <w:t>er d</w:t>
      </w:r>
      <w:r w:rsidR="000E631F" w:rsidRPr="00FB310D">
        <w:rPr>
          <w:rFonts w:eastAsia="Calibri"/>
        </w:rPr>
        <w:t>et</w:t>
      </w:r>
      <w:r w:rsidR="00487204" w:rsidRPr="00FB310D">
        <w:rPr>
          <w:rFonts w:eastAsia="Calibri"/>
        </w:rPr>
        <w:t xml:space="preserve"> </w:t>
      </w:r>
      <w:r w:rsidR="000E631F" w:rsidRPr="00FB310D">
        <w:rPr>
          <w:rFonts w:eastAsia="Calibri"/>
        </w:rPr>
        <w:t xml:space="preserve">et mål å belønne leger som bruker mer tid på </w:t>
      </w:r>
      <w:r w:rsidR="000418D6" w:rsidRPr="00FB310D">
        <w:rPr>
          <w:rFonts w:eastAsia="Calibri"/>
        </w:rPr>
        <w:t>innbyggere med stort behov</w:t>
      </w:r>
      <w:r w:rsidR="000E631F" w:rsidRPr="00FB310D">
        <w:rPr>
          <w:rFonts w:eastAsia="Calibri"/>
        </w:rPr>
        <w:t>, framfor lite tid på mange innbyggere med begrense</w:t>
      </w:r>
      <w:r w:rsidR="00487204" w:rsidRPr="00FB310D">
        <w:rPr>
          <w:rFonts w:eastAsia="Calibri"/>
        </w:rPr>
        <w:t>t</w:t>
      </w:r>
      <w:r w:rsidR="000E631F" w:rsidRPr="00FB310D">
        <w:rPr>
          <w:rFonts w:eastAsia="Calibri"/>
        </w:rPr>
        <w:t xml:space="preserve"> medisinsk nytte av legens tid. </w:t>
      </w:r>
      <w:r w:rsidR="000537BC" w:rsidRPr="00FB310D">
        <w:t xml:space="preserve">Det er utvalgets forståelse at aktiv prioritering av pasienter og aktiviteter er en fundamental del av fastlegens medisinskfaglige skjønnsutøvelse, og at </w:t>
      </w:r>
      <w:r w:rsidR="00D913C8" w:rsidRPr="00FB310D">
        <w:rPr>
          <w:rFonts w:eastAsia="Calibri"/>
        </w:rPr>
        <w:t>legen</w:t>
      </w:r>
      <w:r w:rsidR="00DD73E7" w:rsidRPr="00FB310D">
        <w:rPr>
          <w:rFonts w:eastAsia="Calibri"/>
        </w:rPr>
        <w:t xml:space="preserve">s økonomiske </w:t>
      </w:r>
      <w:r w:rsidR="003555D6" w:rsidRPr="00FB310D">
        <w:rPr>
          <w:rFonts w:eastAsia="Calibri"/>
        </w:rPr>
        <w:t xml:space="preserve">gevinster av å ikke </w:t>
      </w:r>
      <w:r w:rsidR="00C03574" w:rsidRPr="00FB310D">
        <w:rPr>
          <w:rFonts w:eastAsia="Calibri"/>
        </w:rPr>
        <w:t xml:space="preserve">gjøre begrensende valg i tråd med dette skjønnet </w:t>
      </w:r>
      <w:r w:rsidR="00A44A06" w:rsidRPr="00FB310D">
        <w:rPr>
          <w:rFonts w:eastAsia="Calibri"/>
        </w:rPr>
        <w:t xml:space="preserve">bør </w:t>
      </w:r>
      <w:r w:rsidR="009226A6" w:rsidRPr="00FB310D">
        <w:rPr>
          <w:rFonts w:eastAsia="Calibri"/>
        </w:rPr>
        <w:t>reduseres</w:t>
      </w:r>
      <w:r w:rsidR="002A2333" w:rsidRPr="00FB310D">
        <w:rPr>
          <w:rFonts w:eastAsia="Calibri"/>
        </w:rPr>
        <w:t xml:space="preserve">. </w:t>
      </w:r>
      <w:r w:rsidR="002645BF" w:rsidRPr="00FB310D">
        <w:rPr>
          <w:rFonts w:eastAsia="Calibri"/>
        </w:rPr>
        <w:t xml:space="preserve">Den </w:t>
      </w:r>
      <w:r w:rsidR="0090752A" w:rsidRPr="00FB310D">
        <w:rPr>
          <w:rFonts w:eastAsia="Calibri"/>
        </w:rPr>
        <w:t xml:space="preserve">høye graden av aktivitetsbasert finansiering i dagens ordning kan også </w:t>
      </w:r>
      <w:r w:rsidR="00A02D0A" w:rsidRPr="00FB310D">
        <w:rPr>
          <w:rFonts w:eastAsia="Calibri"/>
        </w:rPr>
        <w:t>under</w:t>
      </w:r>
      <w:r w:rsidR="00DB6A2D" w:rsidRPr="00FB310D">
        <w:rPr>
          <w:rFonts w:eastAsia="Calibri"/>
        </w:rPr>
        <w:t>støtte</w:t>
      </w:r>
      <w:r w:rsidR="00A02D0A" w:rsidRPr="00FB310D">
        <w:rPr>
          <w:rFonts w:eastAsia="Calibri"/>
        </w:rPr>
        <w:t xml:space="preserve"> en forventning om at </w:t>
      </w:r>
      <w:r w:rsidR="0090752A" w:rsidRPr="00FB310D">
        <w:rPr>
          <w:rFonts w:eastAsia="Calibri"/>
        </w:rPr>
        <w:t xml:space="preserve">fastlegene </w:t>
      </w:r>
      <w:r w:rsidR="00A02D0A" w:rsidRPr="00FB310D">
        <w:rPr>
          <w:rFonts w:eastAsia="Calibri"/>
        </w:rPr>
        <w:t>skal</w:t>
      </w:r>
      <w:r w:rsidR="00807A79" w:rsidRPr="00FB310D">
        <w:rPr>
          <w:rFonts w:eastAsia="Calibri"/>
        </w:rPr>
        <w:t xml:space="preserve"> </w:t>
      </w:r>
      <w:r w:rsidR="006A1B43" w:rsidRPr="00FB310D">
        <w:rPr>
          <w:rFonts w:eastAsia="Calibri"/>
        </w:rPr>
        <w:t xml:space="preserve">være tilgjengelig for listeinnbyggerne </w:t>
      </w:r>
      <w:r w:rsidR="20197AA1" w:rsidRPr="00FB310D">
        <w:rPr>
          <w:rFonts w:eastAsia="Calibri"/>
        </w:rPr>
        <w:t>hel</w:t>
      </w:r>
      <w:r w:rsidR="0D319F50" w:rsidRPr="00FB310D">
        <w:rPr>
          <w:rFonts w:eastAsia="Calibri"/>
        </w:rPr>
        <w:t>e</w:t>
      </w:r>
      <w:r w:rsidR="006A1B43" w:rsidRPr="00FB310D">
        <w:rPr>
          <w:rFonts w:eastAsia="Calibri"/>
        </w:rPr>
        <w:t xml:space="preserve"> tiden</w:t>
      </w:r>
      <w:r w:rsidR="00E01F1B" w:rsidRPr="00FB310D">
        <w:rPr>
          <w:rFonts w:eastAsia="Calibri"/>
        </w:rPr>
        <w:t>, også ut over vanlig arbeidstid.</w:t>
      </w:r>
      <w:r w:rsidR="00504842" w:rsidRPr="00FB310D">
        <w:rPr>
          <w:rFonts w:eastAsia="Calibri"/>
        </w:rPr>
        <w:t xml:space="preserve"> </w:t>
      </w:r>
      <w:r w:rsidR="00C03574" w:rsidRPr="00FB310D">
        <w:rPr>
          <w:rFonts w:eastAsia="Calibri"/>
        </w:rPr>
        <w:t>Se for øvrig beskrivelse om portvaktfunksjon i kapittel 4</w:t>
      </w:r>
      <w:r w:rsidR="009F26EB" w:rsidRPr="00FB310D">
        <w:rPr>
          <w:rFonts w:eastAsia="Calibri"/>
        </w:rPr>
        <w:t>.6</w:t>
      </w:r>
      <w:r w:rsidR="00C03574" w:rsidRPr="00FB310D">
        <w:rPr>
          <w:rFonts w:eastAsia="Calibri"/>
        </w:rPr>
        <w:t>.</w:t>
      </w:r>
    </w:p>
    <w:p w14:paraId="3B6F690C" w14:textId="77777777" w:rsidR="00D9107F" w:rsidRDefault="000E631F" w:rsidP="00FB310D">
      <w:r>
        <w:rPr>
          <w:rFonts w:eastAsia="Calibri"/>
        </w:rPr>
        <w:t>Ekspert</w:t>
      </w:r>
      <w:r w:rsidR="000418D6">
        <w:rPr>
          <w:rFonts w:eastAsia="Calibri"/>
        </w:rPr>
        <w:t xml:space="preserve">utvalget </w:t>
      </w:r>
      <w:r>
        <w:rPr>
          <w:rFonts w:eastAsia="Calibri"/>
        </w:rPr>
        <w:t xml:space="preserve">anbefaler </w:t>
      </w:r>
      <w:r w:rsidR="000418D6">
        <w:rPr>
          <w:rFonts w:eastAsia="Calibri"/>
        </w:rPr>
        <w:t>at basis</w:t>
      </w:r>
      <w:r w:rsidR="000E2C08">
        <w:rPr>
          <w:rFonts w:eastAsia="Calibri"/>
        </w:rPr>
        <w:t>tilskuddet</w:t>
      </w:r>
      <w:r w:rsidR="000418D6">
        <w:rPr>
          <w:rFonts w:eastAsia="Calibri"/>
        </w:rPr>
        <w:t xml:space="preserve"> utgjør en større andel av den totale inntekten</w:t>
      </w:r>
      <w:r w:rsidR="00977172">
        <w:rPr>
          <w:rFonts w:eastAsia="Calibri"/>
        </w:rPr>
        <w:t xml:space="preserve"> for </w:t>
      </w:r>
      <w:r w:rsidR="00ED188F">
        <w:rPr>
          <w:rFonts w:eastAsia="Calibri"/>
        </w:rPr>
        <w:t xml:space="preserve">å </w:t>
      </w:r>
      <w:r w:rsidR="00C7650F">
        <w:rPr>
          <w:rFonts w:eastAsia="Calibri"/>
        </w:rPr>
        <w:t xml:space="preserve">styrke </w:t>
      </w:r>
      <w:r w:rsidR="003D1159">
        <w:rPr>
          <w:rFonts w:eastAsia="Calibri"/>
        </w:rPr>
        <w:t>insentivene til å ta listeansvar.</w:t>
      </w:r>
      <w:r w:rsidR="006C561F">
        <w:rPr>
          <w:rFonts w:eastAsia="Calibri"/>
        </w:rPr>
        <w:t xml:space="preserve"> </w:t>
      </w:r>
      <w:r w:rsidR="00E6785F" w:rsidRPr="009E4874">
        <w:t xml:space="preserve">En økning av basistilskuddet vil gjøre det mindre kostbart for fastlegene – i form av tapt takstaktivitet – å </w:t>
      </w:r>
      <w:r w:rsidR="00DE6431">
        <w:t xml:space="preserve">bruke tid på å </w:t>
      </w:r>
      <w:r w:rsidR="00E6785F" w:rsidRPr="009E4874">
        <w:t xml:space="preserve">utvikle løsninger som kan ivareta innbyggere på andre måter enn ved å møte fastlegen. </w:t>
      </w:r>
      <w:r w:rsidR="004232DF">
        <w:t xml:space="preserve">Sammen med en rekke </w:t>
      </w:r>
      <w:r w:rsidR="00AD7654">
        <w:t xml:space="preserve">andre </w:t>
      </w:r>
      <w:r w:rsidR="004232DF">
        <w:t>forslag fra utvalget, er meningen at</w:t>
      </w:r>
      <w:r w:rsidR="00E6785F" w:rsidRPr="48E249CA">
        <w:t xml:space="preserve"> </w:t>
      </w:r>
      <w:r w:rsidR="00E6785F" w:rsidRPr="009E4874">
        <w:rPr>
          <w:shd w:val="clear" w:color="auto" w:fill="FFFFFF"/>
        </w:rPr>
        <w:t>fastlegen</w:t>
      </w:r>
      <w:r w:rsidR="00F376BC">
        <w:rPr>
          <w:shd w:val="clear" w:color="auto" w:fill="FFFFFF"/>
        </w:rPr>
        <w:t>e</w:t>
      </w:r>
      <w:r w:rsidR="00E6785F" w:rsidRPr="48E249CA">
        <w:t xml:space="preserve"> </w:t>
      </w:r>
      <w:r w:rsidR="004232DF">
        <w:rPr>
          <w:shd w:val="clear" w:color="auto" w:fill="FFFFFF"/>
        </w:rPr>
        <w:t xml:space="preserve">skal </w:t>
      </w:r>
      <w:r w:rsidR="00E6785F" w:rsidRPr="48E249CA">
        <w:t xml:space="preserve">kunne </w:t>
      </w:r>
      <w:r w:rsidR="000E2C08">
        <w:t xml:space="preserve">velge å </w:t>
      </w:r>
      <w:r w:rsidR="00E6785F" w:rsidRPr="009E4874">
        <w:rPr>
          <w:shd w:val="clear" w:color="auto" w:fill="FFFFFF"/>
        </w:rPr>
        <w:t>øke listelengde</w:t>
      </w:r>
      <w:r w:rsidR="00F376BC">
        <w:rPr>
          <w:shd w:val="clear" w:color="auto" w:fill="FFFFFF"/>
        </w:rPr>
        <w:t>n</w:t>
      </w:r>
      <w:r w:rsidR="00E6785F" w:rsidRPr="48E249CA">
        <w:t xml:space="preserve"> uten å øke </w:t>
      </w:r>
      <w:r w:rsidR="009A3E86">
        <w:t xml:space="preserve">egen </w:t>
      </w:r>
      <w:r w:rsidR="00E6785F" w:rsidRPr="48E249CA">
        <w:t>arbeidsmengde. Eksempler på</w:t>
      </w:r>
      <w:r w:rsidR="00E6785F">
        <w:rPr>
          <w:shd w:val="clear" w:color="auto" w:fill="FFFFFF"/>
        </w:rPr>
        <w:t xml:space="preserve"> </w:t>
      </w:r>
      <w:r w:rsidR="00F376BC">
        <w:rPr>
          <w:shd w:val="clear" w:color="auto" w:fill="FFFFFF"/>
        </w:rPr>
        <w:t xml:space="preserve">slike </w:t>
      </w:r>
      <w:r w:rsidR="004232DF">
        <w:rPr>
          <w:shd w:val="clear" w:color="auto" w:fill="FFFFFF"/>
        </w:rPr>
        <w:t>andre</w:t>
      </w:r>
      <w:r w:rsidR="00E6785F" w:rsidRPr="48E249CA">
        <w:t xml:space="preserve"> tiltak </w:t>
      </w:r>
      <w:r w:rsidR="00F376BC">
        <w:rPr>
          <w:shd w:val="clear" w:color="auto" w:fill="FFFFFF"/>
        </w:rPr>
        <w:t>er</w:t>
      </w:r>
      <w:r w:rsidR="00E6785F" w:rsidRPr="48E249CA">
        <w:t xml:space="preserve"> større innslag av annet helsepersonell</w:t>
      </w:r>
      <w:r w:rsidR="00D364A1">
        <w:t xml:space="preserve"> </w:t>
      </w:r>
      <w:r w:rsidR="00687128">
        <w:rPr>
          <w:rFonts w:eastAsia="Calibri"/>
        </w:rPr>
        <w:lastRenderedPageBreak/>
        <w:t xml:space="preserve">(kapittel </w:t>
      </w:r>
      <w:r w:rsidR="00220E63">
        <w:rPr>
          <w:rFonts w:eastAsia="Calibri"/>
        </w:rPr>
        <w:t>6</w:t>
      </w:r>
      <w:r w:rsidR="00687128" w:rsidRPr="009A41AB">
        <w:rPr>
          <w:rFonts w:eastAsia="Calibri"/>
        </w:rPr>
        <w:t>),</w:t>
      </w:r>
      <w:r w:rsidR="00E6785F">
        <w:rPr>
          <w:rFonts w:eastAsia="Calibri"/>
        </w:rPr>
        <w:t xml:space="preserve"> </w:t>
      </w:r>
      <w:r w:rsidR="00E6785F" w:rsidRPr="48E249CA">
        <w:t>utvidede muligheter til å ansette vikar, LIS1 og ALIS</w:t>
      </w:r>
      <w:r w:rsidR="00D364A1">
        <w:t xml:space="preserve"> </w:t>
      </w:r>
      <w:r w:rsidR="00D364A1">
        <w:rPr>
          <w:rFonts w:eastAsia="Calibri"/>
        </w:rPr>
        <w:t>(</w:t>
      </w:r>
      <w:r w:rsidR="00454521" w:rsidRPr="00806FA0">
        <w:rPr>
          <w:rFonts w:eastAsia="Calibri"/>
        </w:rPr>
        <w:t>kapittel</w:t>
      </w:r>
      <w:r w:rsidR="00454521">
        <w:rPr>
          <w:rFonts w:eastAsia="Calibri"/>
        </w:rPr>
        <w:t xml:space="preserve"> </w:t>
      </w:r>
      <w:r w:rsidR="00D97BA4">
        <w:rPr>
          <w:rFonts w:eastAsia="Calibri"/>
        </w:rPr>
        <w:t>9</w:t>
      </w:r>
      <w:r w:rsidR="00454521">
        <w:rPr>
          <w:rFonts w:eastAsia="Calibri"/>
        </w:rPr>
        <w:t>),</w:t>
      </w:r>
      <w:r w:rsidR="00E6785F">
        <w:rPr>
          <w:rFonts w:eastAsia="Calibri"/>
        </w:rPr>
        <w:t xml:space="preserve"> </w:t>
      </w:r>
      <w:r w:rsidR="00E6785F" w:rsidRPr="48E249CA">
        <w:t xml:space="preserve">flytting av oppgaver ut av fastlegeordningen </w:t>
      </w:r>
      <w:r w:rsidR="00F22EAD">
        <w:rPr>
          <w:rFonts w:eastAsia="Calibri"/>
        </w:rPr>
        <w:t xml:space="preserve">(kapittel </w:t>
      </w:r>
      <w:r w:rsidR="00220E63">
        <w:rPr>
          <w:rFonts w:eastAsia="Calibri"/>
        </w:rPr>
        <w:t>7</w:t>
      </w:r>
      <w:r w:rsidR="00F22EAD">
        <w:rPr>
          <w:rFonts w:eastAsia="Calibri"/>
        </w:rPr>
        <w:t>)</w:t>
      </w:r>
      <w:r w:rsidR="00D364A1">
        <w:rPr>
          <w:rFonts w:eastAsia="Calibri"/>
        </w:rPr>
        <w:t xml:space="preserve"> </w:t>
      </w:r>
      <w:r w:rsidR="00E6785F" w:rsidRPr="48E249CA">
        <w:t>og nye digitale løsning</w:t>
      </w:r>
      <w:r w:rsidR="0050227A">
        <w:t>er (kapittel 10).</w:t>
      </w:r>
    </w:p>
    <w:p w14:paraId="6A3AC088" w14:textId="50432857" w:rsidR="00C27234" w:rsidRDefault="00F22EAD" w:rsidP="00FB310D">
      <w:pPr>
        <w:rPr>
          <w:rFonts w:eastAsia="Calibri"/>
        </w:rPr>
      </w:pPr>
      <w:r w:rsidRPr="00806FA0">
        <w:rPr>
          <w:rFonts w:eastAsia="Calibri"/>
        </w:rPr>
        <w:fldChar w:fldCharType="begin"/>
      </w:r>
      <w:r w:rsidRPr="00806FA0">
        <w:rPr>
          <w:rFonts w:eastAsia="Calibri"/>
        </w:rPr>
        <w:instrText xml:space="preserve"> REF _Ref130924745 \r \h </w:instrText>
      </w:r>
      <w:r w:rsidR="00806FA0">
        <w:rPr>
          <w:rFonts w:eastAsia="Calibri"/>
        </w:rPr>
        <w:instrText xml:space="preserve"> \* MERGEFORMAT </w:instrText>
      </w:r>
      <w:r w:rsidRPr="00806FA0">
        <w:rPr>
          <w:rFonts w:eastAsia="Calibri"/>
        </w:rPr>
      </w:r>
      <w:r w:rsidRPr="00806FA0">
        <w:rPr>
          <w:rFonts w:eastAsia="Calibri"/>
        </w:rPr>
        <w:fldChar w:fldCharType="end"/>
      </w:r>
      <w:r w:rsidR="0050227A">
        <w:rPr>
          <w:rFonts w:eastAsia="Calibri"/>
        </w:rPr>
        <w:t>Høyere</w:t>
      </w:r>
      <w:r w:rsidR="004D3BDC">
        <w:rPr>
          <w:rFonts w:eastAsia="Calibri"/>
        </w:rPr>
        <w:t xml:space="preserve"> andel basistilskudd og tilhørende lavere takster, </w:t>
      </w:r>
      <w:r w:rsidR="00D63481">
        <w:rPr>
          <w:rFonts w:eastAsia="Calibri"/>
        </w:rPr>
        <w:t xml:space="preserve">er antakelig nødvendig for å kunne innføre noen av tiltakene utvalget foreslår for å redusere arbeidsbelastningen på fastlegene. </w:t>
      </w:r>
      <w:r w:rsidR="001A6861">
        <w:rPr>
          <w:rFonts w:eastAsia="Calibri"/>
        </w:rPr>
        <w:t xml:space="preserve">Det </w:t>
      </w:r>
      <w:r w:rsidR="0003371B">
        <w:rPr>
          <w:rFonts w:eastAsia="Calibri"/>
        </w:rPr>
        <w:t xml:space="preserve">kan </w:t>
      </w:r>
      <w:r w:rsidR="001A6861">
        <w:rPr>
          <w:rFonts w:eastAsia="Calibri"/>
        </w:rPr>
        <w:t xml:space="preserve">gjelde </w:t>
      </w:r>
      <w:r w:rsidR="00804A74">
        <w:rPr>
          <w:rFonts w:eastAsia="Calibri"/>
        </w:rPr>
        <w:t xml:space="preserve">dersom </w:t>
      </w:r>
      <w:r w:rsidR="00865832">
        <w:rPr>
          <w:rFonts w:eastAsia="Calibri"/>
        </w:rPr>
        <w:t>fast</w:t>
      </w:r>
      <w:r w:rsidR="00804A74">
        <w:rPr>
          <w:rFonts w:eastAsia="Calibri"/>
        </w:rPr>
        <w:t xml:space="preserve">legen skal </w:t>
      </w:r>
      <w:r w:rsidR="009C006B">
        <w:rPr>
          <w:rFonts w:eastAsia="Calibri"/>
        </w:rPr>
        <w:t xml:space="preserve">få utvidede muligheter til å </w:t>
      </w:r>
      <w:r w:rsidR="000B1326">
        <w:rPr>
          <w:rFonts w:eastAsia="Calibri"/>
        </w:rPr>
        <w:t xml:space="preserve">dele arbeidet med </w:t>
      </w:r>
      <w:r w:rsidR="00804A74">
        <w:rPr>
          <w:rFonts w:eastAsia="Calibri"/>
        </w:rPr>
        <w:t>annet helsepersonell</w:t>
      </w:r>
      <w:r w:rsidR="00C073E3">
        <w:rPr>
          <w:rFonts w:eastAsia="Calibri"/>
        </w:rPr>
        <w:t xml:space="preserve"> </w:t>
      </w:r>
      <w:r w:rsidR="0051026A">
        <w:rPr>
          <w:rFonts w:eastAsia="Calibri"/>
        </w:rPr>
        <w:t xml:space="preserve">eller </w:t>
      </w:r>
      <w:r w:rsidR="00C073E3">
        <w:rPr>
          <w:rFonts w:eastAsia="Calibri"/>
        </w:rPr>
        <w:t>ansette ALIS</w:t>
      </w:r>
      <w:r w:rsidR="008F55F5">
        <w:rPr>
          <w:rFonts w:eastAsia="Calibri"/>
        </w:rPr>
        <w:t>.</w:t>
      </w:r>
      <w:r w:rsidR="007D1D7C">
        <w:rPr>
          <w:rFonts w:eastAsia="Calibri"/>
        </w:rPr>
        <w:t xml:space="preserve"> </w:t>
      </w:r>
      <w:r w:rsidR="00D54C46">
        <w:rPr>
          <w:rFonts w:eastAsia="Calibri"/>
        </w:rPr>
        <w:t xml:space="preserve">Mer basistilskudd gjør at en økning i listelengden i større grad vil gi fastlegen en sikker inntekt </w:t>
      </w:r>
      <w:r w:rsidR="008E7727">
        <w:rPr>
          <w:rFonts w:eastAsia="Calibri"/>
        </w:rPr>
        <w:t xml:space="preserve">til å </w:t>
      </w:r>
      <w:r w:rsidR="00D54C46">
        <w:rPr>
          <w:rFonts w:eastAsia="Calibri"/>
        </w:rPr>
        <w:t xml:space="preserve">finansiere annet helsepersonell. </w:t>
      </w:r>
      <w:r w:rsidR="00772416">
        <w:rPr>
          <w:rFonts w:eastAsia="Calibri"/>
        </w:rPr>
        <w:t xml:space="preserve">Lavere </w:t>
      </w:r>
      <w:r w:rsidR="00EC0840">
        <w:rPr>
          <w:rFonts w:eastAsia="Calibri"/>
        </w:rPr>
        <w:t xml:space="preserve">takster </w:t>
      </w:r>
      <w:r w:rsidR="00772416">
        <w:rPr>
          <w:rFonts w:eastAsia="Calibri"/>
        </w:rPr>
        <w:t xml:space="preserve">vil </w:t>
      </w:r>
      <w:r w:rsidR="00EC0840">
        <w:rPr>
          <w:rFonts w:eastAsia="Calibri"/>
        </w:rPr>
        <w:t>gjør</w:t>
      </w:r>
      <w:r w:rsidR="00772416">
        <w:rPr>
          <w:rFonts w:eastAsia="Calibri"/>
        </w:rPr>
        <w:t>e</w:t>
      </w:r>
      <w:r w:rsidR="00EC0840">
        <w:rPr>
          <w:rFonts w:eastAsia="Calibri"/>
        </w:rPr>
        <w:t xml:space="preserve"> det mindre attraktivt å gjennomføre </w:t>
      </w:r>
      <w:r w:rsidR="00954F4A">
        <w:rPr>
          <w:rFonts w:eastAsia="Calibri"/>
        </w:rPr>
        <w:t>enda en takstgenererende aktivitet når arbeidsdagen burde være slutt</w:t>
      </w:r>
      <w:r w:rsidR="00C007B9">
        <w:rPr>
          <w:rFonts w:eastAsia="Calibri"/>
        </w:rPr>
        <w:t xml:space="preserve">. </w:t>
      </w:r>
      <w:r w:rsidR="000A494C">
        <w:rPr>
          <w:rFonts w:eastAsia="Calibri"/>
        </w:rPr>
        <w:t xml:space="preserve">Høyere basistilskudd og lavere takster vil </w:t>
      </w:r>
      <w:r w:rsidR="003A5D8D">
        <w:rPr>
          <w:rFonts w:eastAsia="Calibri"/>
        </w:rPr>
        <w:t>dermed</w:t>
      </w:r>
      <w:r w:rsidR="000A494C">
        <w:rPr>
          <w:rFonts w:eastAsia="Calibri"/>
        </w:rPr>
        <w:t xml:space="preserve"> </w:t>
      </w:r>
      <w:r w:rsidR="00EA782F">
        <w:rPr>
          <w:rFonts w:eastAsia="Calibri"/>
        </w:rPr>
        <w:t>redusere bekymringer knyttet</w:t>
      </w:r>
      <w:r w:rsidR="00AF2E07">
        <w:rPr>
          <w:rFonts w:eastAsia="Calibri"/>
        </w:rPr>
        <w:t xml:space="preserve"> til </w:t>
      </w:r>
      <w:r w:rsidR="00EA782F">
        <w:rPr>
          <w:rFonts w:eastAsia="Calibri"/>
        </w:rPr>
        <w:t>kost</w:t>
      </w:r>
      <w:r w:rsidR="00957AEE">
        <w:rPr>
          <w:rFonts w:eastAsia="Calibri"/>
        </w:rPr>
        <w:t>na</w:t>
      </w:r>
      <w:r w:rsidR="00EA782F">
        <w:rPr>
          <w:rFonts w:eastAsia="Calibri"/>
        </w:rPr>
        <w:t>dskontroll</w:t>
      </w:r>
      <w:r w:rsidR="00AF2E07">
        <w:rPr>
          <w:rFonts w:eastAsia="Calibri"/>
        </w:rPr>
        <w:t xml:space="preserve"> </w:t>
      </w:r>
      <w:r w:rsidR="00F737D7">
        <w:rPr>
          <w:rFonts w:eastAsia="Calibri"/>
        </w:rPr>
        <w:t xml:space="preserve">ved </w:t>
      </w:r>
      <w:r w:rsidR="00C007B9">
        <w:rPr>
          <w:rFonts w:eastAsia="Calibri"/>
        </w:rPr>
        <w:t>innføring av profesjonsnøytrale takster og åpning for delegasjon</w:t>
      </w:r>
      <w:r w:rsidR="000C2728">
        <w:rPr>
          <w:rFonts w:eastAsia="Calibri"/>
        </w:rPr>
        <w:t xml:space="preserve"> (</w:t>
      </w:r>
      <w:r w:rsidR="006E3DC3">
        <w:rPr>
          <w:rFonts w:eastAsia="Calibri"/>
        </w:rPr>
        <w:t xml:space="preserve">se </w:t>
      </w:r>
      <w:r w:rsidR="00C27234">
        <w:rPr>
          <w:rFonts w:eastAsia="Calibri"/>
        </w:rPr>
        <w:t xml:space="preserve">kapittel </w:t>
      </w:r>
      <w:r w:rsidR="00AD5BD4">
        <w:rPr>
          <w:rFonts w:eastAsia="Calibri"/>
        </w:rPr>
        <w:t>6</w:t>
      </w:r>
      <w:r w:rsidR="006E3DC3">
        <w:rPr>
          <w:rFonts w:eastAsia="Calibri"/>
        </w:rPr>
        <w:t>.3</w:t>
      </w:r>
      <w:r w:rsidR="00C27234" w:rsidRPr="009A41AB">
        <w:rPr>
          <w:rFonts w:eastAsia="Calibri"/>
        </w:rPr>
        <w:t>)</w:t>
      </w:r>
      <w:r w:rsidR="00C27234">
        <w:rPr>
          <w:rFonts w:eastAsia="Calibri"/>
        </w:rPr>
        <w:t>.</w:t>
      </w:r>
    </w:p>
    <w:p w14:paraId="5DE3D6E1" w14:textId="77777777" w:rsidR="00D9107F" w:rsidRDefault="000E631F" w:rsidP="00FB310D">
      <w:pPr>
        <w:rPr>
          <w:rFonts w:eastAsia="Calibri"/>
        </w:rPr>
      </w:pPr>
      <w:r>
        <w:rPr>
          <w:rFonts w:eastAsia="Calibri"/>
        </w:rPr>
        <w:t xml:space="preserve">Medlemmene i </w:t>
      </w:r>
      <w:r w:rsidR="0029356B">
        <w:rPr>
          <w:rFonts w:eastAsia="Calibri"/>
        </w:rPr>
        <w:t>ekspert</w:t>
      </w:r>
      <w:r>
        <w:rPr>
          <w:rFonts w:eastAsia="Calibri"/>
        </w:rPr>
        <w:t xml:space="preserve">utvalget har ulike syn på hvor mye </w:t>
      </w:r>
      <w:r w:rsidR="00BD0EB8">
        <w:rPr>
          <w:rFonts w:eastAsia="Calibri"/>
        </w:rPr>
        <w:t xml:space="preserve">større andel </w:t>
      </w:r>
      <w:r>
        <w:rPr>
          <w:rFonts w:eastAsia="Calibri"/>
        </w:rPr>
        <w:t>basis</w:t>
      </w:r>
      <w:r w:rsidR="00606B6C">
        <w:rPr>
          <w:rFonts w:eastAsia="Calibri"/>
        </w:rPr>
        <w:t xml:space="preserve">tilskuddet </w:t>
      </w:r>
      <w:r w:rsidR="00BD0EB8">
        <w:rPr>
          <w:rFonts w:eastAsia="Calibri"/>
        </w:rPr>
        <w:t>bør utgjøre</w:t>
      </w:r>
      <w:r w:rsidR="00B568A1">
        <w:rPr>
          <w:rFonts w:eastAsia="Calibri"/>
        </w:rPr>
        <w:t xml:space="preserve"> av den totale finansieringen</w:t>
      </w:r>
      <w:r w:rsidR="004E611D">
        <w:rPr>
          <w:rFonts w:eastAsia="Calibri"/>
        </w:rPr>
        <w:t>.</w:t>
      </w:r>
    </w:p>
    <w:p w14:paraId="7DAAF8F5" w14:textId="77777777" w:rsidR="00D9107F" w:rsidRDefault="00E206ED" w:rsidP="00FB310D">
      <w:pPr>
        <w:rPr>
          <w:rFonts w:eastAsia="Calibri"/>
        </w:rPr>
      </w:pPr>
      <w:r>
        <w:rPr>
          <w:rFonts w:eastAsia="Calibri"/>
        </w:rPr>
        <w:t xml:space="preserve">Et </w:t>
      </w:r>
      <w:r w:rsidR="00536CD2">
        <w:rPr>
          <w:rFonts w:eastAsia="Calibri"/>
        </w:rPr>
        <w:t>fler</w:t>
      </w:r>
      <w:r w:rsidR="00C02B68">
        <w:rPr>
          <w:rFonts w:eastAsia="Calibri"/>
        </w:rPr>
        <w:t>tall</w:t>
      </w:r>
      <w:r w:rsidR="00AC45F1">
        <w:rPr>
          <w:rFonts w:eastAsia="Calibri"/>
        </w:rPr>
        <w:t xml:space="preserve"> </w:t>
      </w:r>
      <w:r w:rsidR="00D71546">
        <w:rPr>
          <w:rFonts w:eastAsia="Calibri"/>
        </w:rPr>
        <w:t xml:space="preserve">bestående av </w:t>
      </w:r>
      <w:r w:rsidR="00E006B7">
        <w:rPr>
          <w:rFonts w:eastAsia="Calibri"/>
        </w:rPr>
        <w:t>Abelsen</w:t>
      </w:r>
      <w:r w:rsidR="004B2A66">
        <w:rPr>
          <w:rFonts w:eastAsia="Calibri"/>
        </w:rPr>
        <w:t xml:space="preserve">, </w:t>
      </w:r>
      <w:r w:rsidR="00266D2D">
        <w:rPr>
          <w:rFonts w:eastAsia="Calibri"/>
        </w:rPr>
        <w:t xml:space="preserve">Grønvold, </w:t>
      </w:r>
      <w:r w:rsidR="004B2A66">
        <w:rPr>
          <w:rFonts w:eastAsia="Calibri"/>
        </w:rPr>
        <w:t xml:space="preserve">Iversen, </w:t>
      </w:r>
      <w:r w:rsidR="00266D2D">
        <w:rPr>
          <w:rFonts w:eastAsia="Calibri"/>
        </w:rPr>
        <w:t xml:space="preserve">Rashidi og </w:t>
      </w:r>
      <w:r w:rsidR="004B2A66">
        <w:rPr>
          <w:rFonts w:eastAsia="Calibri"/>
        </w:rPr>
        <w:t>T</w:t>
      </w:r>
      <w:r w:rsidR="00266D2D">
        <w:rPr>
          <w:rFonts w:eastAsia="Calibri"/>
        </w:rPr>
        <w:t>elle</w:t>
      </w:r>
      <w:r>
        <w:rPr>
          <w:rFonts w:eastAsia="Calibri"/>
        </w:rPr>
        <w:t xml:space="preserve"> foreslår</w:t>
      </w:r>
      <w:r w:rsidR="00BD0EB8">
        <w:rPr>
          <w:rFonts w:eastAsia="Calibri"/>
        </w:rPr>
        <w:t xml:space="preserve"> at basis</w:t>
      </w:r>
      <w:r w:rsidR="00D037EC">
        <w:rPr>
          <w:rFonts w:eastAsia="Calibri"/>
        </w:rPr>
        <w:t xml:space="preserve">tilskuddets </w:t>
      </w:r>
      <w:r w:rsidR="00BD0EB8">
        <w:rPr>
          <w:rFonts w:eastAsia="Calibri"/>
        </w:rPr>
        <w:t>andel økes til 50</w:t>
      </w:r>
      <w:r w:rsidR="00BF46E5">
        <w:rPr>
          <w:rFonts w:eastAsia="Calibri"/>
        </w:rPr>
        <w:t xml:space="preserve"> prosent</w:t>
      </w:r>
      <w:r w:rsidR="00C02B68">
        <w:rPr>
          <w:rFonts w:eastAsia="Calibri"/>
        </w:rPr>
        <w:t xml:space="preserve">. </w:t>
      </w:r>
      <w:r w:rsidR="00E92776">
        <w:rPr>
          <w:rFonts w:eastAsia="Calibri"/>
        </w:rPr>
        <w:t xml:space="preserve">Noen av disse medlemmene ser </w:t>
      </w:r>
      <w:r w:rsidR="00D037EC">
        <w:rPr>
          <w:rFonts w:eastAsia="Calibri"/>
        </w:rPr>
        <w:t xml:space="preserve">argumenter for at basistilskuddet </w:t>
      </w:r>
      <w:r w:rsidR="0029285D">
        <w:rPr>
          <w:rFonts w:eastAsia="Calibri"/>
        </w:rPr>
        <w:t>kunne</w:t>
      </w:r>
      <w:r w:rsidR="00D037EC">
        <w:rPr>
          <w:rFonts w:eastAsia="Calibri"/>
        </w:rPr>
        <w:t xml:space="preserve"> økes enda mer</w:t>
      </w:r>
      <w:r w:rsidR="009D3D75">
        <w:rPr>
          <w:rFonts w:eastAsia="Calibri"/>
        </w:rPr>
        <w:t xml:space="preserve">, og </w:t>
      </w:r>
      <w:r w:rsidR="007431CF">
        <w:rPr>
          <w:rFonts w:eastAsia="Calibri"/>
        </w:rPr>
        <w:t xml:space="preserve">legger vekt på at </w:t>
      </w:r>
      <w:r w:rsidR="00D92BDB">
        <w:t>m</w:t>
      </w:r>
      <w:r w:rsidR="00A83868">
        <w:t xml:space="preserve">edisinsk overaktivitet er et </w:t>
      </w:r>
      <w:r w:rsidR="002B5318">
        <w:t xml:space="preserve">anerkjent </w:t>
      </w:r>
      <w:r w:rsidR="00AA04C2">
        <w:t xml:space="preserve">problem i </w:t>
      </w:r>
      <w:r w:rsidR="00F535B7">
        <w:t>helsetjenestene</w:t>
      </w:r>
      <w:r w:rsidR="00127562">
        <w:t>,</w:t>
      </w:r>
      <w:r w:rsidR="009D3D75">
        <w:t xml:space="preserve"> som på sikt undergraver likeverdige tjenester. </w:t>
      </w:r>
      <w:r w:rsidR="004743DC">
        <w:t xml:space="preserve">Et finansieringssystem som </w:t>
      </w:r>
      <w:r w:rsidR="0A772E6E">
        <w:t>stimulere</w:t>
      </w:r>
      <w:r w:rsidR="0AEB3DBA">
        <w:t>r</w:t>
      </w:r>
      <w:r w:rsidR="00412B62">
        <w:t xml:space="preserve"> fastlegene til å ha høy aktivi</w:t>
      </w:r>
      <w:r w:rsidR="007E039A">
        <w:t>t</w:t>
      </w:r>
      <w:r w:rsidR="00412B62">
        <w:t>et</w:t>
      </w:r>
      <w:r w:rsidR="00961A6C">
        <w:t>,</w:t>
      </w:r>
      <w:r w:rsidR="004743DC">
        <w:t xml:space="preserve"> kan </w:t>
      </w:r>
      <w:r w:rsidR="006768D8">
        <w:t xml:space="preserve">gjøre det vanskeligere </w:t>
      </w:r>
      <w:r w:rsidR="009065F6">
        <w:t xml:space="preserve">å </w:t>
      </w:r>
      <w:r w:rsidR="00A04FE4">
        <w:t>foreta</w:t>
      </w:r>
      <w:r w:rsidR="00C50F4A">
        <w:t xml:space="preserve"> medisinskfaglig </w:t>
      </w:r>
      <w:r w:rsidR="00AF7351">
        <w:t xml:space="preserve">gode </w:t>
      </w:r>
      <w:r w:rsidR="00E25C92">
        <w:t>og</w:t>
      </w:r>
      <w:r w:rsidR="00262057">
        <w:t xml:space="preserve"> begrensende </w:t>
      </w:r>
      <w:r w:rsidR="009065F6">
        <w:t>valg</w:t>
      </w:r>
      <w:r w:rsidR="00127562">
        <w:t xml:space="preserve"> og prioriteringer</w:t>
      </w:r>
      <w:r w:rsidR="00454D33">
        <w:t xml:space="preserve">. </w:t>
      </w:r>
      <w:r w:rsidR="007431CF">
        <w:t>Med unntak av Danmark (</w:t>
      </w:r>
      <w:r w:rsidR="002264B9">
        <w:t xml:space="preserve">hvor </w:t>
      </w:r>
      <w:r w:rsidR="007431CF">
        <w:t xml:space="preserve">om lag 30 prosent av inntektene </w:t>
      </w:r>
      <w:r w:rsidR="002264B9">
        <w:t xml:space="preserve">kommer </w:t>
      </w:r>
      <w:r w:rsidR="007431CF">
        <w:t xml:space="preserve">fra basistilskuddet), har allmennlegene i andre </w:t>
      </w:r>
      <w:r w:rsidR="003628A6">
        <w:t>sammenlign</w:t>
      </w:r>
      <w:r w:rsidR="00D52413">
        <w:t>ba</w:t>
      </w:r>
      <w:r w:rsidR="003628A6">
        <w:t xml:space="preserve">re </w:t>
      </w:r>
      <w:r w:rsidR="007431CF">
        <w:t>land fast lønn</w:t>
      </w:r>
      <w:r w:rsidR="00127562">
        <w:t>,</w:t>
      </w:r>
      <w:r w:rsidR="007431CF">
        <w:t xml:space="preserve"> eller en langt lavere andel </w:t>
      </w:r>
      <w:r w:rsidR="40DA24D7">
        <w:t>a</w:t>
      </w:r>
      <w:r w:rsidR="49C96647">
        <w:t>ktivitetsbasert</w:t>
      </w:r>
      <w:r w:rsidR="007431CF">
        <w:t xml:space="preserve"> finansiering. I </w:t>
      </w:r>
      <w:r w:rsidR="00AD6C38">
        <w:t>Eng</w:t>
      </w:r>
      <w:r w:rsidR="00D9174F">
        <w:t>l</w:t>
      </w:r>
      <w:r w:rsidR="00AD6C38">
        <w:t>and og Nederland u</w:t>
      </w:r>
      <w:r w:rsidR="00C91769">
        <w:t>t</w:t>
      </w:r>
      <w:r w:rsidR="00AD6C38">
        <w:t xml:space="preserve">gjør basistilskuddet </w:t>
      </w:r>
      <w:r w:rsidR="000A0B0B">
        <w:t>halvparten av finansieringe</w:t>
      </w:r>
      <w:r w:rsidR="00C91769">
        <w:t>n</w:t>
      </w:r>
      <w:r w:rsidR="000A0B0B">
        <w:t>, mens de</w:t>
      </w:r>
      <w:r w:rsidR="00570313">
        <w:t>t</w:t>
      </w:r>
      <w:r w:rsidR="000A0B0B">
        <w:t xml:space="preserve"> i </w:t>
      </w:r>
      <w:r w:rsidR="007431CF">
        <w:t xml:space="preserve">Sverige </w:t>
      </w:r>
      <w:r w:rsidR="007431CF" w:rsidRPr="0EAC040E">
        <w:rPr>
          <w:rFonts w:eastAsia="Calibri"/>
        </w:rPr>
        <w:t>utgjør 60</w:t>
      </w:r>
      <w:r w:rsidR="00570313">
        <w:rPr>
          <w:rFonts w:eastAsia="Calibri"/>
        </w:rPr>
        <w:t>-</w:t>
      </w:r>
      <w:r w:rsidR="007431CF" w:rsidRPr="0EAC040E">
        <w:rPr>
          <w:rFonts w:eastAsia="Calibri"/>
        </w:rPr>
        <w:t>95 prosent</w:t>
      </w:r>
      <w:r w:rsidR="00570313">
        <w:rPr>
          <w:rFonts w:eastAsia="Calibri"/>
        </w:rPr>
        <w:t xml:space="preserve"> og i Skottland 85 prosent.</w:t>
      </w:r>
    </w:p>
    <w:p w14:paraId="48A32196" w14:textId="77777777" w:rsidR="00D9107F" w:rsidRDefault="00281C1D" w:rsidP="00FB310D">
      <w:pPr>
        <w:rPr>
          <w:rFonts w:eastAsia="Calibri"/>
        </w:rPr>
      </w:pPr>
      <w:r>
        <w:rPr>
          <w:rFonts w:eastAsia="Calibri"/>
        </w:rPr>
        <w:t>Et mindretall bestående av Sakshaug og Elvestad er mot å øke basisfinansieringens andel ut over justeringen som kommer 1. mai 2023, og begrunner dette nærmere i en særmerknad (se kapittel 5.7.5).</w:t>
      </w:r>
    </w:p>
    <w:p w14:paraId="5BEF8710" w14:textId="154B03B1" w:rsidR="0050692B" w:rsidRDefault="0050692B" w:rsidP="00F02EA2">
      <w:pPr>
        <w:pStyle w:val="tittel-ramme"/>
        <w:jc w:val="left"/>
        <w:rPr>
          <w:rStyle w:val="kursiv"/>
        </w:rPr>
      </w:pPr>
      <w:r w:rsidRPr="00D9107F">
        <w:rPr>
          <w:rStyle w:val="kursiv"/>
        </w:rPr>
        <w:t>Om fordelingseffekter av å øke basisfinansieringen på bekostning av takstene</w:t>
      </w:r>
    </w:p>
    <w:tbl>
      <w:tblPr>
        <w:tblStyle w:val="StandardBoks"/>
        <w:tblW w:w="0" w:type="auto"/>
        <w:tblLook w:val="04A0" w:firstRow="1" w:lastRow="0" w:firstColumn="1" w:lastColumn="0" w:noHBand="0" w:noVBand="1"/>
      </w:tblPr>
      <w:tblGrid>
        <w:gridCol w:w="9736"/>
      </w:tblGrid>
      <w:tr w:rsidR="00F02EA2" w14:paraId="134D01D9" w14:textId="77777777" w:rsidTr="00F02EA2">
        <w:tc>
          <w:tcPr>
            <w:tcW w:w="9736" w:type="dxa"/>
          </w:tcPr>
          <w:p w14:paraId="2136030F" w14:textId="5AAA67D5" w:rsidR="00F02EA2" w:rsidRPr="004F5C69" w:rsidRDefault="00F02EA2" w:rsidP="00F02EA2">
            <w:r w:rsidRPr="004F5C69">
              <w:t>Helsedirektoratet har beregnet hvordan en endring fra en lav andel basistilskudd til en høyere andel basistilskudd slår ut på inntekten for ulike grupper av fastleger. Inntekten til hver fastlege slik den er fra 1. mai 2023 (dvs</w:t>
            </w:r>
            <w:r>
              <w:t>.</w:t>
            </w:r>
            <w:r w:rsidRPr="004F5C69">
              <w:t xml:space="preserve"> med pasienttilpasset/risikojustering) er sammenliknet med inntekten dersom basistilskuddets andel av finansieringen ble endret fra om lag 30 prosent (som i dag) til om lag 50 prosent og 70 prosent. Det er lagt til grunn </w:t>
            </w:r>
            <w:r w:rsidRPr="004F5C69">
              <w:lastRenderedPageBreak/>
              <w:t>en tilsvarende reduksjon i takstene slik at de totale inntektene til alle fastlegene er uforandret.</w:t>
            </w:r>
          </w:p>
          <w:p w14:paraId="30201E02" w14:textId="77777777" w:rsidR="00F02EA2" w:rsidRPr="004F5C69" w:rsidRDefault="00F02EA2" w:rsidP="00F02EA2">
            <w:r w:rsidRPr="004F5C69">
              <w:t xml:space="preserve">Det er forutsatt at endringene ikke påvirker atferden til legene. I lys av litteraturen er dette neppe en rimelig forutsetning (Lee et al. </w:t>
            </w:r>
            <w:r w:rsidRPr="004F5C69">
              <w:rPr>
                <w:lang w:val="en-US"/>
              </w:rPr>
              <w:fldChar w:fldCharType="begin"/>
            </w:r>
            <w:r>
              <w:instrText xml:space="preserve"> ADDIN EN.CITE &lt;EndNote&gt;&lt;Cite ExcludeAuth="1"&gt;&lt;Author&gt;Lee&lt;/Author&gt;&lt;Year&gt;2020&lt;/Year&gt;&lt;RecNum&gt;484&lt;/RecNum&gt;&lt;DisplayText&gt;(2020)&lt;/DisplayText&gt;&lt;record&gt;&lt;rec-number&gt;484&lt;/rec-number&gt;&lt;foreign-keys&gt;&lt;key app="EN" db-id="95tpr2tp6r9xwoea9rb5wdsz5ds5xeddteew" timestamp="1680069511"&gt;484&lt;/key&gt;&lt;/foreign-keys&gt;&lt;ref-type name="Journal Article"&gt;17&lt;/ref-type&gt;&lt;contributors&gt;&lt;authors&gt;&lt;author&gt;Lee, T.&lt;/author&gt;&lt;author&gt;Propper, C.&lt;/author&gt;&lt;author&gt;Stoye, G.&lt;/author&gt;&lt;/authors&gt;&lt;/contributors&gt;&lt;titles&gt;&lt;title&gt;Medical Labour Supply and the Production of Healthcare&lt;/title&gt;&lt;secondary-title&gt;The Journal of Applied Economics&lt;/secondary-title&gt;&lt;/titles&gt;&lt;periodical&gt;&lt;full-title&gt;The Journal of Applied Economics&lt;/full-title&gt;&lt;/periodical&gt;&lt;volume&gt;40&lt;/volume&gt;&lt;number&gt;4&lt;/number&gt;&lt;dates&gt;&lt;year&gt;2020&lt;/year&gt;&lt;/dates&gt;&lt;urls&gt;&lt;/urls&gt;&lt;/record&gt;&lt;/Cite&gt;&lt;/EndNote&gt;</w:instrText>
            </w:r>
            <w:r w:rsidRPr="004F5C69">
              <w:rPr>
                <w:lang w:val="en-US"/>
              </w:rPr>
              <w:fldChar w:fldCharType="separate"/>
            </w:r>
            <w:r>
              <w:rPr>
                <w:noProof/>
              </w:rPr>
              <w:t>,</w:t>
            </w:r>
            <w:r w:rsidRPr="004F5C69">
              <w:rPr>
                <w:noProof/>
              </w:rPr>
              <w:t>2020)</w:t>
            </w:r>
            <w:r w:rsidRPr="004F5C69">
              <w:rPr>
                <w:lang w:val="en-US"/>
              </w:rPr>
              <w:fldChar w:fldCharType="end"/>
            </w:r>
            <w:r w:rsidRPr="004F5C69">
              <w:t>, men denne forutsetningen gjør det mye enklere å gjennomføre beregningene. Den gjør det også letter</w:t>
            </w:r>
            <w:r>
              <w:t>e</w:t>
            </w:r>
            <w:r w:rsidRPr="004F5C69">
              <w:t xml:space="preserve"> å gjennomskue hvordan beregningene er gjennomført, og hva slags styrker og svakheter de har.</w:t>
            </w:r>
          </w:p>
          <w:p w14:paraId="5B2BF81C" w14:textId="77777777" w:rsidR="00F02EA2" w:rsidRDefault="00F02EA2" w:rsidP="00F02EA2">
            <w:r w:rsidRPr="004F5C69">
              <w:t>Beregningene inkluderer alle fastleger i november 2022 som ikke hadde vikar den måneden. Leger i primærhelseteam (med driftstilskuddsmodellen) hadde en helt annen finansieringsmodell og det samme gjelder leger med grunntilskudd, og disse er holdt utenfor analysen. Til sammen inngikk 3 915 fastleger i utvalget. Disse fastlege</w:t>
            </w:r>
            <w:r>
              <w:t>ne</w:t>
            </w:r>
            <w:r w:rsidRPr="004F5C69">
              <w:t xml:space="preserve"> er ikke nødvendigvis </w:t>
            </w:r>
            <w:r w:rsidRPr="004F5C69">
              <w:rPr>
                <w:i/>
                <w:iCs/>
              </w:rPr>
              <w:t>helt</w:t>
            </w:r>
            <w:r w:rsidRPr="004F5C69">
              <w:t xml:space="preserve"> representative for alle fastleger, men det er såpass mange andre begrensninger og usikkerhetsmomenter knyttet til simuleringen at dette neppe bidrar mye til den samlede usikkerheten. For disse legene </w:t>
            </w:r>
            <w:r>
              <w:t>er det</w:t>
            </w:r>
            <w:r w:rsidRPr="004F5C69">
              <w:t xml:space="preserve"> beregnet hva legenes basistilskudd ville vært i november 2022, gitt styrkingen av basistilskuddet, fjerning av knekkpunkt og risikojustering (pasienttilpasset basistilskudd) som gjelder fra 1. mai 2023. Legenes takstinntekter i november er høyere enn i en gjennomsnittlig måned, bl.a. fordi det ikke er noen fridager. </w:t>
            </w:r>
          </w:p>
          <w:p w14:paraId="40DA2BA7" w14:textId="77777777" w:rsidR="00F02EA2" w:rsidRDefault="00F02EA2" w:rsidP="00F02EA2">
            <w:r w:rsidRPr="004F5C69">
              <w:t xml:space="preserve">Takstinntektene er derfor redusert slik at de tilsvarer 1/12 av totalene for hele året. Basistilskuddet utgjorde da 32 prosent av samlet finansiering for dette utvalget av leger. Dette grunnlaget </w:t>
            </w:r>
            <w:r>
              <w:t>er</w:t>
            </w:r>
            <w:r w:rsidRPr="004F5C69">
              <w:t xml:space="preserve"> brukt for å sammenlikne med hva inntekten for hver lege ville vært dersom det kom en omlegging til hhv. 50 og 70 prosent basistilskudd.</w:t>
            </w:r>
          </w:p>
          <w:p w14:paraId="0CC98B93" w14:textId="77777777" w:rsidR="00F02EA2" w:rsidRDefault="00F02EA2" w:rsidP="00F02EA2"/>
          <w:p w14:paraId="2AFC3B14" w14:textId="77777777" w:rsidR="00F02EA2" w:rsidRPr="002B74E4" w:rsidRDefault="00F02EA2" w:rsidP="00F02EA2">
            <w:pPr>
              <w:pStyle w:val="avsnitt-tittel"/>
            </w:pPr>
            <w:r w:rsidRPr="002B74E4">
              <w:t>Estimerte fordelingsvirkninger dersom basistilskuddets andel økes til 50 prosent og takstenes andel reduseres til 50 prosent</w:t>
            </w:r>
          </w:p>
          <w:tbl>
            <w:tblPr>
              <w:tblW w:w="4992" w:type="pct"/>
              <w:tblCellMar>
                <w:left w:w="70" w:type="dxa"/>
                <w:right w:w="70" w:type="dxa"/>
              </w:tblCellMar>
              <w:tblLook w:val="04A0" w:firstRow="1" w:lastRow="0" w:firstColumn="1" w:lastColumn="0" w:noHBand="0" w:noVBand="1"/>
            </w:tblPr>
            <w:tblGrid>
              <w:gridCol w:w="2281"/>
              <w:gridCol w:w="1620"/>
              <w:gridCol w:w="1093"/>
              <w:gridCol w:w="1655"/>
              <w:gridCol w:w="1619"/>
              <w:gridCol w:w="1093"/>
            </w:tblGrid>
            <w:tr w:rsidR="00F02EA2" w:rsidRPr="00763BD1" w14:paraId="60F82AA1" w14:textId="77777777" w:rsidTr="00707F97">
              <w:trPr>
                <w:trHeight w:val="300"/>
              </w:trPr>
              <w:tc>
                <w:tcPr>
                  <w:tcW w:w="1218" w:type="pct"/>
                  <w:tcBorders>
                    <w:top w:val="single" w:sz="8" w:space="0" w:color="auto"/>
                    <w:left w:val="single" w:sz="8" w:space="0" w:color="auto"/>
                    <w:bottom w:val="single" w:sz="24" w:space="0" w:color="2A3652"/>
                    <w:right w:val="single" w:sz="8" w:space="0" w:color="auto"/>
                  </w:tcBorders>
                  <w:shd w:val="clear" w:color="000000" w:fill="A9D6B9"/>
                  <w:noWrap/>
                  <w:vAlign w:val="center"/>
                  <w:hideMark/>
                </w:tcPr>
                <w:p w14:paraId="29733C58" w14:textId="77777777" w:rsidR="00F02EA2" w:rsidRPr="00E93E78" w:rsidRDefault="00F02EA2" w:rsidP="00F02EA2">
                  <w:pPr>
                    <w:pStyle w:val="TabellHode-kolonne"/>
                    <w:rPr>
                      <w:rStyle w:val="halvfet"/>
                    </w:rPr>
                  </w:pPr>
                  <w:r w:rsidRPr="00E93E78">
                    <w:rPr>
                      <w:rStyle w:val="halvfet"/>
                    </w:rPr>
                    <w:t> </w:t>
                  </w:r>
                </w:p>
              </w:tc>
              <w:tc>
                <w:tcPr>
                  <w:tcW w:w="865" w:type="pct"/>
                  <w:tcBorders>
                    <w:top w:val="single" w:sz="8" w:space="0" w:color="auto"/>
                    <w:left w:val="nil"/>
                    <w:bottom w:val="single" w:sz="24" w:space="0" w:color="2A3652"/>
                    <w:right w:val="single" w:sz="8" w:space="0" w:color="auto"/>
                  </w:tcBorders>
                  <w:shd w:val="clear" w:color="000000" w:fill="A9D6B9"/>
                  <w:noWrap/>
                  <w:vAlign w:val="center"/>
                  <w:hideMark/>
                </w:tcPr>
                <w:p w14:paraId="44DEB9C9" w14:textId="77777777" w:rsidR="00F02EA2" w:rsidRPr="00E93E78" w:rsidRDefault="00F02EA2" w:rsidP="00F02EA2">
                  <w:pPr>
                    <w:pStyle w:val="TabellHode-kolonne"/>
                    <w:rPr>
                      <w:rStyle w:val="halvfet"/>
                    </w:rPr>
                  </w:pPr>
                  <w:r w:rsidRPr="00E93E78">
                    <w:rPr>
                      <w:rStyle w:val="halvfet"/>
                    </w:rPr>
                    <w:t xml:space="preserve"> Antall leger </w:t>
                  </w:r>
                </w:p>
              </w:tc>
              <w:tc>
                <w:tcPr>
                  <w:tcW w:w="584" w:type="pct"/>
                  <w:tcBorders>
                    <w:top w:val="single" w:sz="8" w:space="0" w:color="auto"/>
                    <w:left w:val="nil"/>
                    <w:bottom w:val="single" w:sz="24" w:space="0" w:color="2A3652"/>
                    <w:right w:val="single" w:sz="8" w:space="0" w:color="auto"/>
                  </w:tcBorders>
                  <w:shd w:val="clear" w:color="000000" w:fill="A9D6B9"/>
                  <w:noWrap/>
                  <w:vAlign w:val="center"/>
                  <w:hideMark/>
                </w:tcPr>
                <w:p w14:paraId="2F8A283E" w14:textId="77777777" w:rsidR="00F02EA2" w:rsidRPr="00E93E78" w:rsidRDefault="00F02EA2" w:rsidP="00F02EA2">
                  <w:pPr>
                    <w:pStyle w:val="TabellHode-kolonne"/>
                    <w:rPr>
                      <w:rStyle w:val="halvfet"/>
                    </w:rPr>
                  </w:pPr>
                  <w:r w:rsidRPr="00E93E78">
                    <w:rPr>
                      <w:rStyle w:val="halvfet"/>
                    </w:rPr>
                    <w:t>Endring</w:t>
                  </w:r>
                </w:p>
              </w:tc>
              <w:tc>
                <w:tcPr>
                  <w:tcW w:w="884" w:type="pct"/>
                  <w:tcBorders>
                    <w:top w:val="single" w:sz="8" w:space="0" w:color="auto"/>
                    <w:left w:val="nil"/>
                    <w:bottom w:val="single" w:sz="24" w:space="0" w:color="2A3652"/>
                    <w:right w:val="single" w:sz="8" w:space="0" w:color="auto"/>
                  </w:tcBorders>
                  <w:shd w:val="clear" w:color="000000" w:fill="A9D6B9"/>
                  <w:noWrap/>
                  <w:vAlign w:val="center"/>
                  <w:hideMark/>
                </w:tcPr>
                <w:p w14:paraId="62368C4B" w14:textId="77777777" w:rsidR="00F02EA2" w:rsidRPr="00E93E78" w:rsidRDefault="00F02EA2" w:rsidP="00F02EA2">
                  <w:pPr>
                    <w:pStyle w:val="TabellHode-kolonne"/>
                    <w:rPr>
                      <w:rStyle w:val="halvfet"/>
                    </w:rPr>
                  </w:pPr>
                  <w:r w:rsidRPr="00E93E78">
                    <w:rPr>
                      <w:rStyle w:val="halvfet"/>
                    </w:rPr>
                    <w:t> </w:t>
                  </w:r>
                </w:p>
              </w:tc>
              <w:tc>
                <w:tcPr>
                  <w:tcW w:w="865" w:type="pct"/>
                  <w:tcBorders>
                    <w:top w:val="single" w:sz="8" w:space="0" w:color="auto"/>
                    <w:left w:val="nil"/>
                    <w:bottom w:val="single" w:sz="24" w:space="0" w:color="2A3652"/>
                    <w:right w:val="single" w:sz="8" w:space="0" w:color="auto"/>
                  </w:tcBorders>
                  <w:shd w:val="clear" w:color="000000" w:fill="A9D6B9"/>
                  <w:noWrap/>
                  <w:vAlign w:val="center"/>
                  <w:hideMark/>
                </w:tcPr>
                <w:p w14:paraId="61B0F4CF" w14:textId="77777777" w:rsidR="00F02EA2" w:rsidRPr="00E93E78" w:rsidRDefault="00F02EA2" w:rsidP="00F02EA2">
                  <w:pPr>
                    <w:pStyle w:val="TabellHode-kolonne"/>
                    <w:rPr>
                      <w:rStyle w:val="halvfet"/>
                    </w:rPr>
                  </w:pPr>
                  <w:r w:rsidRPr="00E93E78">
                    <w:rPr>
                      <w:rStyle w:val="halvfet"/>
                    </w:rPr>
                    <w:t xml:space="preserve"> Antall leger </w:t>
                  </w:r>
                </w:p>
              </w:tc>
              <w:tc>
                <w:tcPr>
                  <w:tcW w:w="584" w:type="pct"/>
                  <w:tcBorders>
                    <w:top w:val="single" w:sz="8" w:space="0" w:color="auto"/>
                    <w:left w:val="nil"/>
                    <w:bottom w:val="single" w:sz="24" w:space="0" w:color="2A3652"/>
                    <w:right w:val="single" w:sz="8" w:space="0" w:color="auto"/>
                  </w:tcBorders>
                  <w:shd w:val="clear" w:color="000000" w:fill="A9D6B9"/>
                  <w:noWrap/>
                  <w:vAlign w:val="center"/>
                  <w:hideMark/>
                </w:tcPr>
                <w:p w14:paraId="5CAC81B0" w14:textId="77777777" w:rsidR="00F02EA2" w:rsidRPr="00E93E78" w:rsidRDefault="00F02EA2" w:rsidP="00F02EA2">
                  <w:pPr>
                    <w:pStyle w:val="TabellHode-kolonne"/>
                    <w:rPr>
                      <w:rStyle w:val="halvfet"/>
                    </w:rPr>
                  </w:pPr>
                  <w:r w:rsidRPr="00E93E78">
                    <w:rPr>
                      <w:rStyle w:val="halvfet"/>
                    </w:rPr>
                    <w:t>Endring</w:t>
                  </w:r>
                </w:p>
              </w:tc>
            </w:tr>
            <w:tr w:rsidR="00F02EA2" w:rsidRPr="00763BD1" w14:paraId="530B755A" w14:textId="77777777" w:rsidTr="00707F97">
              <w:trPr>
                <w:trHeight w:val="300"/>
              </w:trPr>
              <w:tc>
                <w:tcPr>
                  <w:tcW w:w="1218" w:type="pct"/>
                  <w:tcBorders>
                    <w:top w:val="single" w:sz="24" w:space="0" w:color="2A3652"/>
                    <w:left w:val="single" w:sz="8" w:space="0" w:color="auto"/>
                    <w:bottom w:val="single" w:sz="8" w:space="0" w:color="auto"/>
                    <w:right w:val="single" w:sz="8" w:space="0" w:color="auto"/>
                  </w:tcBorders>
                  <w:shd w:val="clear" w:color="auto" w:fill="A9D6B9" w:themeFill="accent2"/>
                  <w:noWrap/>
                  <w:vAlign w:val="center"/>
                  <w:hideMark/>
                </w:tcPr>
                <w:p w14:paraId="2B885FB2" w14:textId="77777777" w:rsidR="00F02EA2" w:rsidRPr="00E93E78" w:rsidRDefault="00F02EA2" w:rsidP="00F02EA2">
                  <w:pPr>
                    <w:pStyle w:val="TabellHode-kolonne"/>
                    <w:rPr>
                      <w:rStyle w:val="halvfet"/>
                    </w:rPr>
                  </w:pPr>
                  <w:r w:rsidRPr="00E93E78">
                    <w:rPr>
                      <w:rStyle w:val="halvfet"/>
                    </w:rPr>
                    <w:t xml:space="preserve">Legens kjønn </w:t>
                  </w:r>
                </w:p>
              </w:tc>
              <w:tc>
                <w:tcPr>
                  <w:tcW w:w="865" w:type="pct"/>
                  <w:tcBorders>
                    <w:top w:val="single" w:sz="24" w:space="0" w:color="2A3652"/>
                    <w:left w:val="nil"/>
                    <w:bottom w:val="single" w:sz="8" w:space="0" w:color="auto"/>
                    <w:right w:val="single" w:sz="8" w:space="0" w:color="auto"/>
                  </w:tcBorders>
                  <w:shd w:val="clear" w:color="auto" w:fill="A9D6B9" w:themeFill="accent2"/>
                  <w:noWrap/>
                  <w:vAlign w:val="center"/>
                  <w:hideMark/>
                </w:tcPr>
                <w:p w14:paraId="29CBF726" w14:textId="77777777" w:rsidR="00F02EA2" w:rsidRPr="00E93E78" w:rsidRDefault="00F02EA2" w:rsidP="00F02EA2">
                  <w:pPr>
                    <w:pStyle w:val="TabellHode-kolonne"/>
                    <w:rPr>
                      <w:rStyle w:val="halvfet"/>
                    </w:rPr>
                  </w:pPr>
                  <w:r w:rsidRPr="00E93E78">
                    <w:rPr>
                      <w:rStyle w:val="halvfet"/>
                    </w:rPr>
                    <w:t> </w:t>
                  </w:r>
                </w:p>
              </w:tc>
              <w:tc>
                <w:tcPr>
                  <w:tcW w:w="584" w:type="pct"/>
                  <w:tcBorders>
                    <w:top w:val="single" w:sz="24" w:space="0" w:color="2A3652"/>
                    <w:left w:val="nil"/>
                    <w:bottom w:val="single" w:sz="8" w:space="0" w:color="auto"/>
                    <w:right w:val="single" w:sz="8" w:space="0" w:color="auto"/>
                  </w:tcBorders>
                  <w:shd w:val="clear" w:color="auto" w:fill="A9D6B9" w:themeFill="accent2"/>
                  <w:noWrap/>
                  <w:vAlign w:val="center"/>
                  <w:hideMark/>
                </w:tcPr>
                <w:p w14:paraId="10D52B39" w14:textId="77777777" w:rsidR="00F02EA2" w:rsidRPr="00E93E78" w:rsidRDefault="00F02EA2" w:rsidP="00F02EA2">
                  <w:pPr>
                    <w:pStyle w:val="TabellHode-kolonne"/>
                    <w:rPr>
                      <w:rStyle w:val="halvfet"/>
                    </w:rPr>
                  </w:pPr>
                  <w:r w:rsidRPr="00E93E78">
                    <w:rPr>
                      <w:rStyle w:val="halvfet"/>
                    </w:rPr>
                    <w:t> </w:t>
                  </w:r>
                </w:p>
              </w:tc>
              <w:tc>
                <w:tcPr>
                  <w:tcW w:w="884" w:type="pct"/>
                  <w:tcBorders>
                    <w:top w:val="single" w:sz="24" w:space="0" w:color="2A3652"/>
                    <w:left w:val="nil"/>
                    <w:bottom w:val="single" w:sz="8" w:space="0" w:color="auto"/>
                    <w:right w:val="single" w:sz="8" w:space="0" w:color="auto"/>
                  </w:tcBorders>
                  <w:shd w:val="clear" w:color="auto" w:fill="A9D6B9" w:themeFill="accent2"/>
                  <w:noWrap/>
                  <w:vAlign w:val="center"/>
                  <w:hideMark/>
                </w:tcPr>
                <w:p w14:paraId="5CE7E8F2" w14:textId="77777777" w:rsidR="00F02EA2" w:rsidRPr="00E93E78" w:rsidRDefault="00F02EA2" w:rsidP="00F02EA2">
                  <w:pPr>
                    <w:pStyle w:val="TabellHode-kolonne"/>
                    <w:rPr>
                      <w:rStyle w:val="halvfet"/>
                    </w:rPr>
                  </w:pPr>
                  <w:r w:rsidRPr="00E93E78">
                    <w:rPr>
                      <w:rStyle w:val="halvfet"/>
                    </w:rPr>
                    <w:t>Spesialist</w:t>
                  </w:r>
                </w:p>
              </w:tc>
              <w:tc>
                <w:tcPr>
                  <w:tcW w:w="865" w:type="pct"/>
                  <w:tcBorders>
                    <w:top w:val="single" w:sz="24" w:space="0" w:color="2A3652"/>
                    <w:left w:val="nil"/>
                    <w:bottom w:val="single" w:sz="8" w:space="0" w:color="auto"/>
                    <w:right w:val="single" w:sz="8" w:space="0" w:color="auto"/>
                  </w:tcBorders>
                  <w:shd w:val="clear" w:color="auto" w:fill="A9D6B9" w:themeFill="accent2"/>
                  <w:noWrap/>
                  <w:vAlign w:val="center"/>
                  <w:hideMark/>
                </w:tcPr>
                <w:p w14:paraId="47E07171" w14:textId="77777777" w:rsidR="00F02EA2" w:rsidRPr="00E93E78" w:rsidRDefault="00F02EA2" w:rsidP="00F02EA2">
                  <w:pPr>
                    <w:pStyle w:val="TabellHode-kolonne"/>
                    <w:rPr>
                      <w:rStyle w:val="halvfet"/>
                    </w:rPr>
                  </w:pPr>
                  <w:r w:rsidRPr="00E93E78">
                    <w:rPr>
                      <w:rStyle w:val="halvfet"/>
                    </w:rPr>
                    <w:t> </w:t>
                  </w:r>
                </w:p>
              </w:tc>
              <w:tc>
                <w:tcPr>
                  <w:tcW w:w="584" w:type="pct"/>
                  <w:tcBorders>
                    <w:top w:val="single" w:sz="24" w:space="0" w:color="2A3652"/>
                    <w:left w:val="nil"/>
                    <w:bottom w:val="single" w:sz="8" w:space="0" w:color="auto"/>
                    <w:right w:val="single" w:sz="8" w:space="0" w:color="auto"/>
                  </w:tcBorders>
                  <w:shd w:val="clear" w:color="auto" w:fill="A9D6B9" w:themeFill="accent2"/>
                  <w:noWrap/>
                  <w:vAlign w:val="center"/>
                  <w:hideMark/>
                </w:tcPr>
                <w:p w14:paraId="086CDA9D" w14:textId="77777777" w:rsidR="00F02EA2" w:rsidRPr="00E93E78" w:rsidRDefault="00F02EA2" w:rsidP="00F02EA2">
                  <w:pPr>
                    <w:pStyle w:val="TabellHode-kolonne"/>
                    <w:rPr>
                      <w:rStyle w:val="halvfet"/>
                    </w:rPr>
                  </w:pPr>
                  <w:r w:rsidRPr="00E93E78">
                    <w:rPr>
                      <w:rStyle w:val="halvfet"/>
                    </w:rPr>
                    <w:t> </w:t>
                  </w:r>
                </w:p>
              </w:tc>
            </w:tr>
            <w:tr w:rsidR="00F02EA2" w:rsidRPr="00763BD1" w14:paraId="6943E160"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9A1DFFF" w14:textId="77777777" w:rsidR="00F02EA2" w:rsidRPr="00763BD1" w:rsidRDefault="00F02EA2" w:rsidP="00E93E78">
                  <w:pPr>
                    <w:pStyle w:val="TabellHode-rad"/>
                  </w:pPr>
                  <w:r w:rsidRPr="00763BD1">
                    <w:t xml:space="preserve"> Kvinne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521B45D4" w14:textId="77777777" w:rsidR="00F02EA2" w:rsidRPr="00763BD1" w:rsidRDefault="00F02EA2" w:rsidP="00F02EA2">
                  <w:r w:rsidRPr="00763BD1">
                    <w:t>1 767</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B52AA28"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2D56C010" w14:textId="77777777" w:rsidR="00F02EA2" w:rsidRPr="00763BD1" w:rsidRDefault="00F02EA2" w:rsidP="00F02EA2">
                  <w:r w:rsidRPr="00763BD1">
                    <w:t>Ja</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7412DF48" w14:textId="77777777" w:rsidR="00F02EA2" w:rsidRPr="00763BD1" w:rsidRDefault="00F02EA2" w:rsidP="00F02EA2">
                  <w:r w:rsidRPr="00763BD1">
                    <w:t>2 537</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130CB336" w14:textId="77777777" w:rsidR="00F02EA2" w:rsidRPr="00763BD1" w:rsidRDefault="00F02EA2" w:rsidP="00F02EA2">
                  <w:r w:rsidRPr="00763BD1">
                    <w:t>-2 %</w:t>
                  </w:r>
                </w:p>
              </w:tc>
            </w:tr>
            <w:tr w:rsidR="00F02EA2" w:rsidRPr="00763BD1" w14:paraId="2574750F"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6C2A1A01" w14:textId="77777777" w:rsidR="00F02EA2" w:rsidRPr="00763BD1" w:rsidRDefault="00F02EA2" w:rsidP="00E93E78">
                  <w:pPr>
                    <w:pStyle w:val="TabellHode-rad"/>
                  </w:pPr>
                  <w:r w:rsidRPr="00763BD1">
                    <w:t xml:space="preserve"> Mann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6349B6A" w14:textId="77777777" w:rsidR="00F02EA2" w:rsidRPr="00763BD1" w:rsidRDefault="00F02EA2" w:rsidP="00F02EA2">
                  <w:r w:rsidRPr="00763BD1">
                    <w:t>2 149</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4B3AFF82"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3168FB70" w14:textId="77777777" w:rsidR="00F02EA2" w:rsidRPr="00763BD1" w:rsidRDefault="00F02EA2" w:rsidP="00F02EA2">
                  <w:r w:rsidRPr="00763BD1">
                    <w:t>Nei</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382D008" w14:textId="77777777" w:rsidR="00F02EA2" w:rsidRPr="00763BD1" w:rsidRDefault="00F02EA2" w:rsidP="00F02EA2">
                  <w:r w:rsidRPr="00763BD1">
                    <w:t>1 379</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6C737C4D" w14:textId="77777777" w:rsidR="00F02EA2" w:rsidRPr="00763BD1" w:rsidRDefault="00F02EA2" w:rsidP="00F02EA2">
                  <w:r w:rsidRPr="00763BD1">
                    <w:t>4 %</w:t>
                  </w:r>
                </w:p>
              </w:tc>
            </w:tr>
            <w:tr w:rsidR="00F02EA2" w:rsidRPr="00763BD1" w14:paraId="145C923E"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A9D6B9" w:themeFill="accent2"/>
                  <w:noWrap/>
                  <w:vAlign w:val="center"/>
                  <w:hideMark/>
                </w:tcPr>
                <w:p w14:paraId="7FBB8741" w14:textId="77777777" w:rsidR="00F02EA2" w:rsidRPr="00E93E78" w:rsidRDefault="00F02EA2" w:rsidP="00E93E78">
                  <w:pPr>
                    <w:pStyle w:val="TabellHode-kolonne"/>
                    <w:rPr>
                      <w:rStyle w:val="halvfet"/>
                    </w:rPr>
                  </w:pPr>
                  <w:r w:rsidRPr="00E93E78">
                    <w:rPr>
                      <w:rStyle w:val="halvfet"/>
                    </w:rPr>
                    <w:t xml:space="preserve">Legens alder </w:t>
                  </w:r>
                </w:p>
              </w:tc>
              <w:tc>
                <w:tcPr>
                  <w:tcW w:w="865" w:type="pct"/>
                  <w:tcBorders>
                    <w:top w:val="nil"/>
                    <w:left w:val="nil"/>
                    <w:bottom w:val="single" w:sz="8" w:space="0" w:color="auto"/>
                    <w:right w:val="single" w:sz="8" w:space="0" w:color="auto"/>
                  </w:tcBorders>
                  <w:shd w:val="clear" w:color="auto" w:fill="A9D6B9" w:themeFill="accent2"/>
                  <w:noWrap/>
                  <w:vAlign w:val="center"/>
                  <w:hideMark/>
                </w:tcPr>
                <w:p w14:paraId="5840BB67" w14:textId="77777777" w:rsidR="00F02EA2" w:rsidRPr="00E93E78" w:rsidRDefault="00F02EA2" w:rsidP="00E93E78">
                  <w:pPr>
                    <w:pStyle w:val="TabellHode-kolonne"/>
                    <w:rPr>
                      <w:rStyle w:val="halvfet"/>
                    </w:rPr>
                  </w:pPr>
                  <w:r w:rsidRPr="00E93E78">
                    <w:rPr>
                      <w:rStyle w:val="halvfet"/>
                    </w:rPr>
                    <w:t> </w:t>
                  </w:r>
                </w:p>
              </w:tc>
              <w:tc>
                <w:tcPr>
                  <w:tcW w:w="584" w:type="pct"/>
                  <w:tcBorders>
                    <w:top w:val="nil"/>
                    <w:left w:val="nil"/>
                    <w:bottom w:val="single" w:sz="8" w:space="0" w:color="auto"/>
                    <w:right w:val="single" w:sz="8" w:space="0" w:color="auto"/>
                  </w:tcBorders>
                  <w:shd w:val="clear" w:color="auto" w:fill="A9D6B9" w:themeFill="accent2"/>
                  <w:noWrap/>
                  <w:vAlign w:val="center"/>
                  <w:hideMark/>
                </w:tcPr>
                <w:p w14:paraId="466242BF" w14:textId="77777777" w:rsidR="00F02EA2" w:rsidRPr="00E93E78" w:rsidRDefault="00F02EA2" w:rsidP="00E93E78">
                  <w:pPr>
                    <w:pStyle w:val="TabellHode-kolonne"/>
                    <w:rPr>
                      <w:rStyle w:val="halvfet"/>
                    </w:rPr>
                  </w:pPr>
                  <w:r w:rsidRPr="00E93E78">
                    <w:rPr>
                      <w:rStyle w:val="halvfet"/>
                    </w:rPr>
                    <w:t> </w:t>
                  </w:r>
                </w:p>
              </w:tc>
              <w:tc>
                <w:tcPr>
                  <w:tcW w:w="884" w:type="pct"/>
                  <w:tcBorders>
                    <w:top w:val="nil"/>
                    <w:left w:val="nil"/>
                    <w:bottom w:val="single" w:sz="8" w:space="0" w:color="auto"/>
                    <w:right w:val="single" w:sz="8" w:space="0" w:color="auto"/>
                  </w:tcBorders>
                  <w:shd w:val="clear" w:color="auto" w:fill="A9D6B9" w:themeFill="accent2"/>
                  <w:noWrap/>
                  <w:vAlign w:val="center"/>
                  <w:hideMark/>
                </w:tcPr>
                <w:p w14:paraId="42A77B8B" w14:textId="77777777" w:rsidR="00F02EA2" w:rsidRPr="00E93E78" w:rsidRDefault="00F02EA2" w:rsidP="00E93E78">
                  <w:pPr>
                    <w:pStyle w:val="TabellHode-kolonne"/>
                    <w:rPr>
                      <w:rStyle w:val="halvfet"/>
                    </w:rPr>
                  </w:pPr>
                  <w:r w:rsidRPr="00E93E78">
                    <w:rPr>
                      <w:rStyle w:val="halvfet"/>
                    </w:rPr>
                    <w:t>Listelengde</w:t>
                  </w:r>
                </w:p>
              </w:tc>
              <w:tc>
                <w:tcPr>
                  <w:tcW w:w="865" w:type="pct"/>
                  <w:tcBorders>
                    <w:top w:val="nil"/>
                    <w:left w:val="nil"/>
                    <w:bottom w:val="single" w:sz="8" w:space="0" w:color="auto"/>
                    <w:right w:val="single" w:sz="8" w:space="0" w:color="auto"/>
                  </w:tcBorders>
                  <w:shd w:val="clear" w:color="auto" w:fill="A9D6B9" w:themeFill="accent2"/>
                  <w:noWrap/>
                  <w:vAlign w:val="center"/>
                  <w:hideMark/>
                </w:tcPr>
                <w:p w14:paraId="2E3B5B63" w14:textId="77777777" w:rsidR="00F02EA2" w:rsidRPr="00E93E78" w:rsidRDefault="00F02EA2" w:rsidP="00E93E78">
                  <w:pPr>
                    <w:pStyle w:val="TabellHode-kolonne"/>
                    <w:rPr>
                      <w:rStyle w:val="halvfet"/>
                    </w:rPr>
                  </w:pPr>
                  <w:r w:rsidRPr="00E93E78">
                    <w:rPr>
                      <w:rStyle w:val="halvfet"/>
                    </w:rPr>
                    <w:t> </w:t>
                  </w:r>
                </w:p>
              </w:tc>
              <w:tc>
                <w:tcPr>
                  <w:tcW w:w="584" w:type="pct"/>
                  <w:tcBorders>
                    <w:top w:val="nil"/>
                    <w:left w:val="nil"/>
                    <w:bottom w:val="single" w:sz="8" w:space="0" w:color="auto"/>
                    <w:right w:val="single" w:sz="8" w:space="0" w:color="auto"/>
                  </w:tcBorders>
                  <w:shd w:val="clear" w:color="auto" w:fill="A9D6B9" w:themeFill="accent2"/>
                  <w:noWrap/>
                  <w:vAlign w:val="center"/>
                  <w:hideMark/>
                </w:tcPr>
                <w:p w14:paraId="362DC147" w14:textId="77777777" w:rsidR="00F02EA2" w:rsidRPr="00E93E78" w:rsidRDefault="00F02EA2" w:rsidP="00E93E78">
                  <w:pPr>
                    <w:pStyle w:val="TabellHode-kolonne"/>
                    <w:rPr>
                      <w:rStyle w:val="halvfet"/>
                    </w:rPr>
                  </w:pPr>
                  <w:r w:rsidRPr="00E93E78">
                    <w:rPr>
                      <w:rStyle w:val="halvfet"/>
                    </w:rPr>
                    <w:t> </w:t>
                  </w:r>
                </w:p>
              </w:tc>
            </w:tr>
            <w:tr w:rsidR="00F02EA2" w:rsidRPr="00763BD1" w14:paraId="056AF30D"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3E631902" w14:textId="77777777" w:rsidR="00F02EA2" w:rsidRPr="00763BD1" w:rsidRDefault="00F02EA2" w:rsidP="00E93E78">
                  <w:pPr>
                    <w:pStyle w:val="TabellHode-rad"/>
                  </w:pPr>
                  <w:r w:rsidRPr="00763BD1">
                    <w:t xml:space="preserve"> &lt; 30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7AC33C50" w14:textId="77777777" w:rsidR="00F02EA2" w:rsidRPr="00763BD1" w:rsidRDefault="00F02EA2" w:rsidP="00F02EA2">
                  <w:r w:rsidRPr="00763BD1">
                    <w:t>67</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2EEDBA0E" w14:textId="77777777" w:rsidR="00F02EA2" w:rsidRPr="00763BD1" w:rsidRDefault="00F02EA2" w:rsidP="00F02EA2">
                  <w:r w:rsidRPr="00763BD1">
                    <w:t>6 %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710781A0" w14:textId="77777777" w:rsidR="00F02EA2" w:rsidRPr="00763BD1" w:rsidRDefault="00F02EA2" w:rsidP="00F02EA2">
                  <w:r w:rsidRPr="00763BD1">
                    <w:t xml:space="preserve"> 0-500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4804CF76" w14:textId="77777777" w:rsidR="00F02EA2" w:rsidRPr="00763BD1" w:rsidRDefault="00F02EA2" w:rsidP="00F02EA2">
                  <w:r w:rsidRPr="00763BD1">
                    <w:t>178</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B97B0EA" w14:textId="77777777" w:rsidR="00F02EA2" w:rsidRPr="00763BD1" w:rsidRDefault="00F02EA2" w:rsidP="00F02EA2">
                  <w:r w:rsidRPr="00763BD1">
                    <w:t>1 %</w:t>
                  </w:r>
                </w:p>
              </w:tc>
            </w:tr>
            <w:tr w:rsidR="00F02EA2" w:rsidRPr="00763BD1" w14:paraId="077C495A"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2FAFEE1" w14:textId="77777777" w:rsidR="00F02EA2" w:rsidRPr="00763BD1" w:rsidRDefault="00F02EA2" w:rsidP="00E93E78">
                  <w:pPr>
                    <w:pStyle w:val="TabellHode-rad"/>
                  </w:pPr>
                  <w:r w:rsidRPr="00763BD1">
                    <w:lastRenderedPageBreak/>
                    <w:t xml:space="preserve"> 30-39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210F0AE" w14:textId="77777777" w:rsidR="00F02EA2" w:rsidRPr="00763BD1" w:rsidRDefault="00F02EA2" w:rsidP="00F02EA2">
                  <w:r w:rsidRPr="00763BD1">
                    <w:t>1 071</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EEE0F42" w14:textId="77777777" w:rsidR="00F02EA2" w:rsidRPr="00763BD1" w:rsidRDefault="00F02EA2" w:rsidP="00F02EA2">
                  <w:r w:rsidRPr="00763BD1">
                    <w:t>2 %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0DCC6532" w14:textId="77777777" w:rsidR="00F02EA2" w:rsidRPr="00763BD1" w:rsidRDefault="00F02EA2" w:rsidP="00F02EA2">
                  <w:r w:rsidRPr="00763BD1">
                    <w:t xml:space="preserve"> 501-700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7552D959" w14:textId="77777777" w:rsidR="00F02EA2" w:rsidRPr="00763BD1" w:rsidRDefault="00F02EA2" w:rsidP="00F02EA2">
                  <w:r w:rsidRPr="00763BD1">
                    <w:t>434</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06690F4A" w14:textId="77777777" w:rsidR="00F02EA2" w:rsidRPr="00763BD1" w:rsidRDefault="00F02EA2" w:rsidP="00F02EA2">
                  <w:r w:rsidRPr="00763BD1">
                    <w:t>2 %</w:t>
                  </w:r>
                </w:p>
              </w:tc>
            </w:tr>
            <w:tr w:rsidR="00F02EA2" w:rsidRPr="00763BD1" w14:paraId="1023178B"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4616AF67" w14:textId="77777777" w:rsidR="00F02EA2" w:rsidRPr="00763BD1" w:rsidRDefault="00F02EA2" w:rsidP="00E93E78">
                  <w:pPr>
                    <w:pStyle w:val="TabellHode-rad"/>
                  </w:pPr>
                  <w:r w:rsidRPr="00763BD1">
                    <w:t xml:space="preserve"> 40-49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6F53D49D" w14:textId="77777777" w:rsidR="00F02EA2" w:rsidRPr="00763BD1" w:rsidRDefault="00F02EA2" w:rsidP="00F02EA2">
                  <w:r w:rsidRPr="00763BD1">
                    <w:t>1 288</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E106ED6"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577905D8" w14:textId="77777777" w:rsidR="00F02EA2" w:rsidRPr="00763BD1" w:rsidRDefault="00F02EA2" w:rsidP="00F02EA2">
                  <w:r w:rsidRPr="00763BD1">
                    <w:t xml:space="preserve"> 701-900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58E22448" w14:textId="77777777" w:rsidR="00F02EA2" w:rsidRPr="00763BD1" w:rsidRDefault="00F02EA2" w:rsidP="00F02EA2">
                  <w:r w:rsidRPr="00763BD1">
                    <w:t>730</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696BED0" w14:textId="77777777" w:rsidR="00F02EA2" w:rsidRPr="00763BD1" w:rsidRDefault="00F02EA2" w:rsidP="00F02EA2">
                  <w:r w:rsidRPr="00763BD1">
                    <w:t>1 %</w:t>
                  </w:r>
                </w:p>
              </w:tc>
            </w:tr>
            <w:tr w:rsidR="00F02EA2" w:rsidRPr="00763BD1" w14:paraId="2AD5138E"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2D4AEB37" w14:textId="77777777" w:rsidR="00F02EA2" w:rsidRPr="00763BD1" w:rsidRDefault="00F02EA2" w:rsidP="00E93E78">
                  <w:pPr>
                    <w:pStyle w:val="TabellHode-rad"/>
                  </w:pPr>
                  <w:r w:rsidRPr="00763BD1">
                    <w:t xml:space="preserve"> 50-59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E2E6DE8" w14:textId="77777777" w:rsidR="00F02EA2" w:rsidRPr="00763BD1" w:rsidRDefault="00F02EA2" w:rsidP="00F02EA2">
                  <w:r w:rsidRPr="00763BD1">
                    <w:t>811</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463B175A"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63FBA8C4" w14:textId="77777777" w:rsidR="00F02EA2" w:rsidRPr="00763BD1" w:rsidRDefault="00F02EA2" w:rsidP="00F02EA2">
                  <w:r w:rsidRPr="00763BD1">
                    <w:t xml:space="preserve"> 901-1100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48865593" w14:textId="77777777" w:rsidR="00F02EA2" w:rsidRPr="00763BD1" w:rsidRDefault="00F02EA2" w:rsidP="00F02EA2">
                  <w:r w:rsidRPr="00763BD1">
                    <w:t>1 001</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648DB13B" w14:textId="77777777" w:rsidR="00F02EA2" w:rsidRPr="00763BD1" w:rsidRDefault="00F02EA2" w:rsidP="00F02EA2">
                  <w:r w:rsidRPr="00763BD1">
                    <w:t>0 %</w:t>
                  </w:r>
                </w:p>
              </w:tc>
            </w:tr>
            <w:tr w:rsidR="00F02EA2" w:rsidRPr="00763BD1" w14:paraId="3644794F"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4B5BF05F" w14:textId="77777777" w:rsidR="00F02EA2" w:rsidRPr="00763BD1" w:rsidRDefault="00F02EA2" w:rsidP="00E93E78">
                  <w:pPr>
                    <w:pStyle w:val="TabellHode-rad"/>
                  </w:pPr>
                  <w:r w:rsidRPr="00763BD1">
                    <w:t xml:space="preserve"> 60+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12158C9" w14:textId="77777777" w:rsidR="00F02EA2" w:rsidRPr="00763BD1" w:rsidRDefault="00F02EA2" w:rsidP="00F02EA2">
                  <w:r w:rsidRPr="00763BD1">
                    <w:t>679</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1757DC8E"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20B4FCA5" w14:textId="77777777" w:rsidR="00F02EA2" w:rsidRPr="00763BD1" w:rsidRDefault="00F02EA2" w:rsidP="00F02EA2">
                  <w:r w:rsidRPr="00763BD1">
                    <w:t xml:space="preserve"> 1101-1300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5A4CFD3D" w14:textId="77777777" w:rsidR="00F02EA2" w:rsidRPr="00763BD1" w:rsidRDefault="00F02EA2" w:rsidP="00F02EA2">
                  <w:r w:rsidRPr="00763BD1">
                    <w:t>793</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569BE8F2" w14:textId="77777777" w:rsidR="00F02EA2" w:rsidRPr="00763BD1" w:rsidRDefault="00F02EA2" w:rsidP="00F02EA2">
                  <w:r w:rsidRPr="00763BD1">
                    <w:t>-1 %</w:t>
                  </w:r>
                </w:p>
              </w:tc>
            </w:tr>
            <w:tr w:rsidR="00F02EA2" w:rsidRPr="00763BD1" w14:paraId="46B010E8"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A9D6B9" w:themeFill="accent2"/>
                  <w:noWrap/>
                  <w:vAlign w:val="center"/>
                  <w:hideMark/>
                </w:tcPr>
                <w:p w14:paraId="7BEEAD07" w14:textId="77777777" w:rsidR="00F02EA2" w:rsidRPr="00E93E78" w:rsidRDefault="00F02EA2" w:rsidP="00E93E78">
                  <w:pPr>
                    <w:pStyle w:val="TabellHode-rad"/>
                    <w:rPr>
                      <w:rStyle w:val="halvfet"/>
                    </w:rPr>
                  </w:pPr>
                  <w:r w:rsidRPr="00E93E78">
                    <w:rPr>
                      <w:rStyle w:val="halvfet"/>
                    </w:rPr>
                    <w:t>Sentralitetsklasse</w:t>
                  </w:r>
                </w:p>
              </w:tc>
              <w:tc>
                <w:tcPr>
                  <w:tcW w:w="865" w:type="pct"/>
                  <w:tcBorders>
                    <w:top w:val="nil"/>
                    <w:left w:val="nil"/>
                    <w:bottom w:val="single" w:sz="8" w:space="0" w:color="auto"/>
                    <w:right w:val="single" w:sz="8" w:space="0" w:color="auto"/>
                  </w:tcBorders>
                  <w:shd w:val="clear" w:color="auto" w:fill="A9D6B9" w:themeFill="accent2"/>
                  <w:noWrap/>
                  <w:vAlign w:val="center"/>
                  <w:hideMark/>
                </w:tcPr>
                <w:p w14:paraId="0E70E3E0" w14:textId="77777777" w:rsidR="00F02EA2" w:rsidRPr="00E93E78" w:rsidRDefault="00F02EA2" w:rsidP="00F02EA2">
                  <w:pPr>
                    <w:rPr>
                      <w:rStyle w:val="halvfet"/>
                    </w:rPr>
                  </w:pPr>
                  <w:r w:rsidRPr="00E93E78">
                    <w:rPr>
                      <w:rStyle w:val="halvfet"/>
                    </w:rPr>
                    <w:t> </w:t>
                  </w:r>
                </w:p>
              </w:tc>
              <w:tc>
                <w:tcPr>
                  <w:tcW w:w="584" w:type="pct"/>
                  <w:tcBorders>
                    <w:top w:val="nil"/>
                    <w:left w:val="nil"/>
                    <w:bottom w:val="single" w:sz="8" w:space="0" w:color="auto"/>
                    <w:right w:val="single" w:sz="8" w:space="0" w:color="auto"/>
                  </w:tcBorders>
                  <w:shd w:val="clear" w:color="auto" w:fill="A9D6B9" w:themeFill="accent2"/>
                  <w:noWrap/>
                  <w:vAlign w:val="center"/>
                  <w:hideMark/>
                </w:tcPr>
                <w:p w14:paraId="1BE2C572" w14:textId="77777777" w:rsidR="00F02EA2" w:rsidRPr="00E93E78" w:rsidRDefault="00F02EA2" w:rsidP="00F02EA2">
                  <w:pPr>
                    <w:rPr>
                      <w:rStyle w:val="halvfet"/>
                    </w:rPr>
                  </w:pPr>
                  <w:r w:rsidRPr="00E93E78">
                    <w:rPr>
                      <w:rStyle w:val="halvfet"/>
                    </w:rPr>
                    <w:t>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65BD5B50" w14:textId="77777777" w:rsidR="00F02EA2" w:rsidRPr="00763BD1" w:rsidRDefault="00F02EA2" w:rsidP="00F02EA2">
                  <w:r w:rsidRPr="00763BD1">
                    <w:t xml:space="preserve"> 1301-1500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C64EF0B" w14:textId="77777777" w:rsidR="00F02EA2" w:rsidRPr="00763BD1" w:rsidRDefault="00F02EA2" w:rsidP="00F02EA2">
                  <w:r w:rsidRPr="00763BD1">
                    <w:t>473</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373350D0" w14:textId="77777777" w:rsidR="00F02EA2" w:rsidRPr="00763BD1" w:rsidRDefault="00F02EA2" w:rsidP="00F02EA2">
                  <w:r w:rsidRPr="00763BD1">
                    <w:t>-1 %</w:t>
                  </w:r>
                </w:p>
              </w:tc>
            </w:tr>
            <w:tr w:rsidR="00F02EA2" w:rsidRPr="00763BD1" w14:paraId="1003C1EF"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6B8569D9" w14:textId="77777777" w:rsidR="00F02EA2" w:rsidRPr="00763BD1" w:rsidRDefault="00F02EA2" w:rsidP="00E93E78">
                  <w:pPr>
                    <w:pStyle w:val="TabellHode-rad"/>
                  </w:pPr>
                  <w:r w:rsidRPr="00763BD1">
                    <w:t>1</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783A944D" w14:textId="77777777" w:rsidR="00F02EA2" w:rsidRPr="00763BD1" w:rsidRDefault="00F02EA2" w:rsidP="00F02EA2">
                  <w:r w:rsidRPr="00763BD1">
                    <w:t>540</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A585284"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29629E98" w14:textId="77777777" w:rsidR="00F02EA2" w:rsidRPr="00763BD1" w:rsidRDefault="00F02EA2" w:rsidP="00F02EA2">
                  <w:r w:rsidRPr="00763BD1">
                    <w:t xml:space="preserve"> 1501-1700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476B04CF" w14:textId="77777777" w:rsidR="00F02EA2" w:rsidRPr="00763BD1" w:rsidRDefault="00F02EA2" w:rsidP="00F02EA2">
                  <w:r w:rsidRPr="00763BD1">
                    <w:t>167</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6FA46000" w14:textId="77777777" w:rsidR="00F02EA2" w:rsidRPr="00763BD1" w:rsidRDefault="00F02EA2" w:rsidP="00F02EA2">
                  <w:r w:rsidRPr="00763BD1">
                    <w:t>-2 %</w:t>
                  </w:r>
                </w:p>
              </w:tc>
            </w:tr>
            <w:tr w:rsidR="00F02EA2" w:rsidRPr="00763BD1" w14:paraId="5E0B27A1"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B33B0E2" w14:textId="77777777" w:rsidR="00F02EA2" w:rsidRPr="00763BD1" w:rsidRDefault="00F02EA2" w:rsidP="00E93E78">
                  <w:pPr>
                    <w:pStyle w:val="TabellHode-rad"/>
                  </w:pPr>
                  <w:r w:rsidRPr="00763BD1">
                    <w:t>2</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0915BDC0" w14:textId="77777777" w:rsidR="00F02EA2" w:rsidRPr="00763BD1" w:rsidRDefault="00F02EA2" w:rsidP="00F02EA2">
                  <w:r w:rsidRPr="00763BD1">
                    <w:t>991</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221D14BE" w14:textId="77777777" w:rsidR="00F02EA2" w:rsidRPr="00763BD1" w:rsidRDefault="00F02EA2" w:rsidP="00F02EA2">
                  <w:r w:rsidRPr="00763BD1">
                    <w:t>0 %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50B17405" w14:textId="77777777" w:rsidR="00F02EA2" w:rsidRPr="00763BD1" w:rsidRDefault="00F02EA2" w:rsidP="00F02EA2">
                  <w:r w:rsidRPr="00763BD1">
                    <w:t xml:space="preserve"> 1701-1900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42BCCA18" w14:textId="77777777" w:rsidR="00F02EA2" w:rsidRPr="00763BD1" w:rsidRDefault="00F02EA2" w:rsidP="00F02EA2">
                  <w:r w:rsidRPr="00763BD1">
                    <w:t>71</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5FA1D23C" w14:textId="77777777" w:rsidR="00F02EA2" w:rsidRPr="00763BD1" w:rsidRDefault="00F02EA2" w:rsidP="00F02EA2">
                  <w:r w:rsidRPr="00763BD1">
                    <w:t>0 %</w:t>
                  </w:r>
                </w:p>
              </w:tc>
            </w:tr>
            <w:tr w:rsidR="00F02EA2" w:rsidRPr="00763BD1" w14:paraId="68421DFE"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6CFC318A" w14:textId="77777777" w:rsidR="00F02EA2" w:rsidRPr="00763BD1" w:rsidRDefault="00F02EA2" w:rsidP="00E93E78">
                  <w:pPr>
                    <w:pStyle w:val="TabellHode-rad"/>
                  </w:pPr>
                  <w:r w:rsidRPr="00763BD1">
                    <w:t>3</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205641C" w14:textId="77777777" w:rsidR="00F02EA2" w:rsidRPr="00763BD1" w:rsidRDefault="00F02EA2" w:rsidP="00F02EA2">
                  <w:r w:rsidRPr="00763BD1">
                    <w:t>992</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43DE4C14" w14:textId="77777777" w:rsidR="00F02EA2" w:rsidRPr="00763BD1" w:rsidRDefault="00F02EA2" w:rsidP="00F02EA2">
                  <w:r w:rsidRPr="00763BD1">
                    <w:t>-1 %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4219872A" w14:textId="77777777" w:rsidR="00F02EA2" w:rsidRPr="00763BD1" w:rsidRDefault="00F02EA2" w:rsidP="00F02EA2">
                  <w:r w:rsidRPr="00763BD1">
                    <w:t xml:space="preserve"> 1901-2500 </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68631F50" w14:textId="77777777" w:rsidR="00F02EA2" w:rsidRPr="00763BD1" w:rsidRDefault="00F02EA2" w:rsidP="00F02EA2">
                  <w:r w:rsidRPr="00763BD1">
                    <w:t>69</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3DB51DB9" w14:textId="77777777" w:rsidR="00F02EA2" w:rsidRPr="00763BD1" w:rsidRDefault="00F02EA2" w:rsidP="00F02EA2">
                  <w:r w:rsidRPr="00763BD1">
                    <w:t>0 %</w:t>
                  </w:r>
                </w:p>
              </w:tc>
            </w:tr>
            <w:tr w:rsidR="00F02EA2" w:rsidRPr="00763BD1" w14:paraId="5F9BBE64"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4B8586AB" w14:textId="77777777" w:rsidR="00F02EA2" w:rsidRPr="00763BD1" w:rsidRDefault="00F02EA2" w:rsidP="00E93E78">
                  <w:pPr>
                    <w:pStyle w:val="TabellHode-rad"/>
                  </w:pPr>
                  <w:r w:rsidRPr="00763BD1">
                    <w:t>4</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5C8C2F74" w14:textId="77777777" w:rsidR="00F02EA2" w:rsidRPr="00763BD1" w:rsidRDefault="00F02EA2" w:rsidP="00F02EA2">
                  <w:r w:rsidRPr="00763BD1">
                    <w:t>709</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09054D1C" w14:textId="77777777" w:rsidR="00F02EA2" w:rsidRPr="00763BD1" w:rsidRDefault="00F02EA2" w:rsidP="00F02EA2">
                  <w:r w:rsidRPr="00763BD1">
                    <w:t>0 %</w:t>
                  </w:r>
                </w:p>
              </w:tc>
              <w:tc>
                <w:tcPr>
                  <w:tcW w:w="884" w:type="pct"/>
                  <w:tcBorders>
                    <w:top w:val="nil"/>
                    <w:left w:val="nil"/>
                    <w:bottom w:val="single" w:sz="8" w:space="0" w:color="auto"/>
                    <w:right w:val="single" w:sz="8" w:space="0" w:color="auto"/>
                  </w:tcBorders>
                  <w:shd w:val="clear" w:color="auto" w:fill="A9D6B9" w:themeFill="accent2"/>
                  <w:noWrap/>
                  <w:vAlign w:val="center"/>
                  <w:hideMark/>
                </w:tcPr>
                <w:p w14:paraId="2B6BE817" w14:textId="77777777" w:rsidR="00F02EA2" w:rsidRPr="00E93E78" w:rsidRDefault="00F02EA2" w:rsidP="00F02EA2">
                  <w:pPr>
                    <w:rPr>
                      <w:rStyle w:val="halvfet"/>
                    </w:rPr>
                  </w:pPr>
                  <w:r w:rsidRPr="00E93E78">
                    <w:rPr>
                      <w:rStyle w:val="halvfet"/>
                    </w:rPr>
                    <w:t>Driftsform</w:t>
                  </w:r>
                </w:p>
              </w:tc>
              <w:tc>
                <w:tcPr>
                  <w:tcW w:w="865" w:type="pct"/>
                  <w:tcBorders>
                    <w:top w:val="nil"/>
                    <w:left w:val="nil"/>
                    <w:bottom w:val="single" w:sz="8" w:space="0" w:color="auto"/>
                    <w:right w:val="single" w:sz="8" w:space="0" w:color="auto"/>
                  </w:tcBorders>
                  <w:shd w:val="clear" w:color="auto" w:fill="A9D6B9" w:themeFill="accent2"/>
                  <w:noWrap/>
                  <w:vAlign w:val="center"/>
                  <w:hideMark/>
                </w:tcPr>
                <w:p w14:paraId="65B387AE" w14:textId="77777777" w:rsidR="00F02EA2" w:rsidRPr="00E93E78" w:rsidRDefault="00F02EA2" w:rsidP="00F02EA2">
                  <w:pPr>
                    <w:rPr>
                      <w:rStyle w:val="halvfet"/>
                    </w:rPr>
                  </w:pPr>
                  <w:r w:rsidRPr="00E93E78">
                    <w:rPr>
                      <w:rStyle w:val="halvfet"/>
                    </w:rPr>
                    <w:t> </w:t>
                  </w:r>
                </w:p>
              </w:tc>
              <w:tc>
                <w:tcPr>
                  <w:tcW w:w="584" w:type="pct"/>
                  <w:tcBorders>
                    <w:top w:val="nil"/>
                    <w:left w:val="nil"/>
                    <w:bottom w:val="single" w:sz="8" w:space="0" w:color="auto"/>
                    <w:right w:val="single" w:sz="8" w:space="0" w:color="auto"/>
                  </w:tcBorders>
                  <w:shd w:val="clear" w:color="auto" w:fill="A9D6B9" w:themeFill="accent2"/>
                  <w:noWrap/>
                  <w:vAlign w:val="center"/>
                  <w:hideMark/>
                </w:tcPr>
                <w:p w14:paraId="3369096F" w14:textId="77777777" w:rsidR="00F02EA2" w:rsidRPr="00E93E78" w:rsidRDefault="00F02EA2" w:rsidP="00F02EA2">
                  <w:pPr>
                    <w:rPr>
                      <w:rStyle w:val="halvfet"/>
                    </w:rPr>
                  </w:pPr>
                  <w:r w:rsidRPr="00E93E78">
                    <w:rPr>
                      <w:rStyle w:val="halvfet"/>
                    </w:rPr>
                    <w:t> </w:t>
                  </w:r>
                </w:p>
              </w:tc>
            </w:tr>
            <w:tr w:rsidR="00F02EA2" w:rsidRPr="00763BD1" w14:paraId="380EFDB2"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4E3DEB6" w14:textId="77777777" w:rsidR="00F02EA2" w:rsidRPr="00763BD1" w:rsidRDefault="00F02EA2" w:rsidP="00E93E78">
                  <w:pPr>
                    <w:pStyle w:val="TabellHode-rad"/>
                  </w:pPr>
                  <w:r w:rsidRPr="00763BD1">
                    <w:t>5</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64E3EAE5" w14:textId="77777777" w:rsidR="00F02EA2" w:rsidRPr="00763BD1" w:rsidRDefault="00F02EA2" w:rsidP="00F02EA2">
                  <w:r w:rsidRPr="00763BD1">
                    <w:t>464</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16B739EC" w14:textId="77777777" w:rsidR="00F02EA2" w:rsidRPr="00763BD1" w:rsidRDefault="00F02EA2" w:rsidP="00F02EA2">
                  <w:r w:rsidRPr="00763BD1">
                    <w:t>2 %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0E35C756" w14:textId="77777777" w:rsidR="00F02EA2" w:rsidRPr="00763BD1" w:rsidRDefault="00F02EA2" w:rsidP="00F02EA2">
                  <w:r w:rsidRPr="00763BD1">
                    <w:t>Ansatt</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402CF559" w14:textId="77777777" w:rsidR="00F02EA2" w:rsidRPr="00763BD1" w:rsidRDefault="00F02EA2" w:rsidP="00F02EA2">
                  <w:r w:rsidRPr="00763BD1">
                    <w:t>616</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17CD3FA3" w14:textId="77777777" w:rsidR="00F02EA2" w:rsidRPr="00763BD1" w:rsidRDefault="00F02EA2" w:rsidP="00F02EA2">
                  <w:r w:rsidRPr="00763BD1">
                    <w:t>8 %</w:t>
                  </w:r>
                </w:p>
              </w:tc>
            </w:tr>
            <w:tr w:rsidR="00F02EA2" w:rsidRPr="00763BD1" w14:paraId="402F79F8" w14:textId="77777777" w:rsidTr="00707F97">
              <w:trPr>
                <w:trHeight w:val="300"/>
              </w:trPr>
              <w:tc>
                <w:tcPr>
                  <w:tcW w:w="1218"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32277952" w14:textId="77777777" w:rsidR="00F02EA2" w:rsidRPr="00763BD1" w:rsidRDefault="00F02EA2" w:rsidP="00E93E78">
                  <w:pPr>
                    <w:pStyle w:val="TabellHode-rad"/>
                  </w:pPr>
                  <w:r w:rsidRPr="00763BD1">
                    <w:t>6</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2F660898" w14:textId="77777777" w:rsidR="00F02EA2" w:rsidRPr="00763BD1" w:rsidRDefault="00F02EA2" w:rsidP="00F02EA2">
                  <w:r w:rsidRPr="00763BD1">
                    <w:t>220</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786485D5" w14:textId="77777777" w:rsidR="00F02EA2" w:rsidRPr="00763BD1" w:rsidRDefault="00F02EA2" w:rsidP="00F02EA2">
                  <w:r w:rsidRPr="00763BD1">
                    <w:t>4 %</w:t>
                  </w:r>
                </w:p>
              </w:tc>
              <w:tc>
                <w:tcPr>
                  <w:tcW w:w="884" w:type="pct"/>
                  <w:tcBorders>
                    <w:top w:val="nil"/>
                    <w:left w:val="nil"/>
                    <w:bottom w:val="single" w:sz="8" w:space="0" w:color="auto"/>
                    <w:right w:val="single" w:sz="8" w:space="0" w:color="auto"/>
                  </w:tcBorders>
                  <w:shd w:val="clear" w:color="auto" w:fill="FFFFFF" w:themeFill="background1"/>
                  <w:noWrap/>
                  <w:vAlign w:val="center"/>
                  <w:hideMark/>
                </w:tcPr>
                <w:p w14:paraId="436F3BAF" w14:textId="77777777" w:rsidR="00F02EA2" w:rsidRPr="00763BD1" w:rsidRDefault="00F02EA2" w:rsidP="00F02EA2">
                  <w:r w:rsidRPr="00763BD1">
                    <w:t>Næringsdrift</w:t>
                  </w:r>
                </w:p>
              </w:tc>
              <w:tc>
                <w:tcPr>
                  <w:tcW w:w="865" w:type="pct"/>
                  <w:tcBorders>
                    <w:top w:val="nil"/>
                    <w:left w:val="nil"/>
                    <w:bottom w:val="single" w:sz="8" w:space="0" w:color="auto"/>
                    <w:right w:val="single" w:sz="8" w:space="0" w:color="auto"/>
                  </w:tcBorders>
                  <w:shd w:val="clear" w:color="auto" w:fill="FFFFFF" w:themeFill="background1"/>
                  <w:noWrap/>
                  <w:vAlign w:val="center"/>
                  <w:hideMark/>
                </w:tcPr>
                <w:p w14:paraId="1D51736E" w14:textId="77777777" w:rsidR="00F02EA2" w:rsidRPr="00763BD1" w:rsidRDefault="00F02EA2" w:rsidP="00F02EA2">
                  <w:r w:rsidRPr="00763BD1">
                    <w:t>3 300</w:t>
                  </w:r>
                </w:p>
              </w:tc>
              <w:tc>
                <w:tcPr>
                  <w:tcW w:w="584" w:type="pct"/>
                  <w:tcBorders>
                    <w:top w:val="nil"/>
                    <w:left w:val="nil"/>
                    <w:bottom w:val="single" w:sz="8" w:space="0" w:color="auto"/>
                    <w:right w:val="single" w:sz="8" w:space="0" w:color="auto"/>
                  </w:tcBorders>
                  <w:shd w:val="clear" w:color="auto" w:fill="FFFFFF" w:themeFill="background1"/>
                  <w:noWrap/>
                  <w:vAlign w:val="center"/>
                  <w:hideMark/>
                </w:tcPr>
                <w:p w14:paraId="58C6080B" w14:textId="77777777" w:rsidR="00F02EA2" w:rsidRPr="00763BD1" w:rsidRDefault="00F02EA2" w:rsidP="00F02EA2">
                  <w:r w:rsidRPr="00763BD1">
                    <w:t>-1 %</w:t>
                  </w:r>
                </w:p>
              </w:tc>
            </w:tr>
          </w:tbl>
          <w:p w14:paraId="1FF02B71" w14:textId="77777777" w:rsidR="00F02EA2" w:rsidRPr="00281C1D" w:rsidRDefault="00F02EA2" w:rsidP="00F02EA2">
            <w:r w:rsidRPr="00281C1D">
              <w:t xml:space="preserve">En omlegging vil nødvendigvis bety at leger som har en høyere andel av sin inntjening fra takster enn gjennomsnittet av alle fastleger, vil tape når taksthonorarene reduseres. </w:t>
            </w:r>
          </w:p>
          <w:p w14:paraId="5BBF43EC" w14:textId="77777777" w:rsidR="00F02EA2" w:rsidRPr="00281C1D" w:rsidRDefault="00F02EA2" w:rsidP="00F02EA2">
            <w:r w:rsidRPr="00281C1D">
              <w:t xml:space="preserve">Resultatene viser at en omlegging til 50/50-fordeling ikke fører til veldig store omfordelingseffekter for de fleste inndelinger av leger. På gruppenivå vil det være relativt små endringer i inntjening når man ser på legens kjønn, alder og listelengde. Dog vil de aller yngste legene komme noe bedre ut, og leger med lister på 1100-1700 innbyggere kommer noe dårligere ut enn leger med lengre eller kortere lister. Leger i lite sentrale kommuner vil tjene på omleggingen i denne beregningen. </w:t>
            </w:r>
          </w:p>
          <w:p w14:paraId="539DA593" w14:textId="77777777" w:rsidR="00F02EA2" w:rsidRPr="00281C1D" w:rsidRDefault="00F02EA2" w:rsidP="00F02EA2">
            <w:r w:rsidRPr="00281C1D">
              <w:t xml:space="preserve">Fastleger som ikke er spesialister i allmennmedisin vil tjene på omleggingen, mens spesialister vil tape noe. Noe av forklaringen på dette er at spesialister har høyere takstinntjening pga. tilleggstakstene de kan utløse. Denne inntjeningen vil gå ned dersom taksthonorarene reduseres. Dette må imidlertid sees i sammenheng med omtalen av tilleggstakstene ovenfor. Dersom det økonomiske tillegget for å være spesialist i allmennmedisin flyttes fra takstene til basistilskudd, vil omfordelingseffekten som framgår av tabellen ovenfor, bli annerledes. </w:t>
            </w:r>
          </w:p>
          <w:p w14:paraId="4BEA01BA" w14:textId="77777777" w:rsidR="00F02EA2" w:rsidRPr="00281C1D" w:rsidRDefault="00F02EA2" w:rsidP="00F02EA2">
            <w:r w:rsidRPr="00281C1D">
              <w:lastRenderedPageBreak/>
              <w:t>Næringsdrivende leger vil kunne oppleve en marginal nedgang i omsetning ved en slik omlegging, og fastlønte fastleger har sin arbeidsavtale med kommunen uavhengig av størrelsen på basistilskuddet. Kommunene vil kunne komme noe bedre ut ved en dreining i retning av økt basistilskudd.</w:t>
            </w:r>
          </w:p>
          <w:p w14:paraId="6B510AB8" w14:textId="77777777" w:rsidR="00F02EA2" w:rsidRPr="00281C1D" w:rsidRDefault="00F02EA2" w:rsidP="00F02EA2">
            <w:r w:rsidRPr="00281C1D">
              <w:t>En forklaring på at omfordelingseffektene av en omlegging til 50/50-fordeling er relativt begrenset, er at risikojusteringen gir mer basistilskudd til de legene som har lister som utløser mye takster per listeinnbygger. Når vi da tar utgangspunkt i basistilskudd som er risikojustert, vil utslagene ved en overgang til 50/50 bli mindre enn dersom utgangspunktet hadde vært slik basistilskuddet utmåles før 1. mai 2023.</w:t>
            </w:r>
          </w:p>
          <w:p w14:paraId="1952A9E9" w14:textId="1A43226F" w:rsidR="00F02EA2" w:rsidRDefault="00F02EA2" w:rsidP="00F02EA2">
            <w:r w:rsidRPr="00281C1D">
              <w:t>Det er også gjort beregninger av fordelingseffekter av å øke andel basistilskudd til 70 prosent. Effektene som er omtalt ovenfor, blir noe forsterket når man går til 70 prosent basistilskudd.</w:t>
            </w:r>
          </w:p>
        </w:tc>
      </w:tr>
    </w:tbl>
    <w:p w14:paraId="74EFEBFB" w14:textId="77777777" w:rsidR="00D9107F" w:rsidRDefault="003D00B1" w:rsidP="214B7AEB">
      <w:pPr>
        <w:spacing w:line="240" w:lineRule="auto"/>
        <w:jc w:val="both"/>
        <w:rPr>
          <w:rFonts w:cstheme="minorHAnsi"/>
        </w:rPr>
      </w:pPr>
      <w:r w:rsidRPr="003D00B1">
        <w:rPr>
          <w:rFonts w:cstheme="minorHAnsi"/>
          <w:noProof/>
        </w:rPr>
        <w:lastRenderedPageBreak/>
        <w:drawing>
          <wp:inline distT="0" distB="0" distL="0" distR="0" wp14:anchorId="24900AE2" wp14:editId="32327514">
            <wp:extent cx="6080760" cy="3819525"/>
            <wp:effectExtent l="0" t="0" r="0" b="0"/>
            <wp:docPr id="1366" name="Picture 1366" descr="Et bilde som inneholder tekst, anordning, måler&#10;&#10;Automatisk generert beskrivelse">
              <a:extLst xmlns:a="http://schemas.openxmlformats.org/drawingml/2006/main">
                <a:ext uri="{FF2B5EF4-FFF2-40B4-BE49-F238E27FC236}">
                  <a16:creationId xmlns:a16="http://schemas.microsoft.com/office/drawing/2014/main" id="{78031C70-0DE9-DA2B-081B-F408DD080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Et bilde som inneholder tekst, anordning, måler&#10;&#10;Automatisk generert beskrivelse">
                      <a:extLst>
                        <a:ext uri="{FF2B5EF4-FFF2-40B4-BE49-F238E27FC236}">
                          <a16:creationId xmlns:a16="http://schemas.microsoft.com/office/drawing/2014/main" id="{78031C70-0DE9-DA2B-081B-F408DD080268}"/>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t="20310" b="32784"/>
                    <a:stretch/>
                  </pic:blipFill>
                  <pic:spPr bwMode="auto">
                    <a:xfrm>
                      <a:off x="0" y="0"/>
                      <a:ext cx="6101084" cy="3832291"/>
                    </a:xfrm>
                    <a:prstGeom prst="rect">
                      <a:avLst/>
                    </a:prstGeom>
                    <a:ln>
                      <a:noFill/>
                    </a:ln>
                    <a:extLst>
                      <a:ext uri="{53640926-AAD7-44D8-BBD7-CCE9431645EC}">
                        <a14:shadowObscured xmlns:a14="http://schemas.microsoft.com/office/drawing/2010/main"/>
                      </a:ext>
                    </a:extLst>
                  </pic:spPr>
                </pic:pic>
              </a:graphicData>
            </a:graphic>
          </wp:inline>
        </w:drawing>
      </w:r>
    </w:p>
    <w:p w14:paraId="10EF08FA" w14:textId="1EAD2EFA" w:rsidR="00A36BA4" w:rsidRDefault="29351FFE" w:rsidP="00775632">
      <w:pPr>
        <w:pStyle w:val="Overskrift3"/>
      </w:pPr>
      <w:bookmarkStart w:id="2864" w:name="_Toc131238450"/>
      <w:bookmarkStart w:id="2865" w:name="_Toc131279481"/>
      <w:bookmarkStart w:id="2866" w:name="_Toc131286893"/>
      <w:bookmarkStart w:id="2867" w:name="_Toc131281303"/>
      <w:bookmarkStart w:id="2868" w:name="_Toc131317843"/>
      <w:bookmarkStart w:id="2869" w:name="_Toc132537000"/>
      <w:r>
        <w:t>Mer differensiering av basistilskuddet</w:t>
      </w:r>
      <w:bookmarkEnd w:id="2864"/>
      <w:bookmarkEnd w:id="2865"/>
      <w:bookmarkEnd w:id="2866"/>
      <w:bookmarkEnd w:id="2867"/>
      <w:bookmarkEnd w:id="2868"/>
      <w:bookmarkEnd w:id="2869"/>
    </w:p>
    <w:p w14:paraId="4B57A15F" w14:textId="77777777" w:rsidR="00D9107F" w:rsidRDefault="29351FFE" w:rsidP="002E2EF6">
      <w:pPr>
        <w:rPr>
          <w:rFonts w:eastAsia="Calibri"/>
        </w:rPr>
      </w:pPr>
      <w:r w:rsidRPr="214B7AEB">
        <w:rPr>
          <w:rFonts w:eastAsia="Calibri"/>
        </w:rPr>
        <w:t>Alle utvalgsmedlemmene er enige om at en betydelig økning i basistilskuddets andel av finansieringen, styrker argumentene for å risikojustere basistilskuddet. Dersom basisfinansieringen økes til 50 prosent eller mer, mener utvalget at det pasienttilpassede basistilskuddet som innføres 1. mai 2023</w:t>
      </w:r>
      <w:r w:rsidR="00A27D70">
        <w:rPr>
          <w:rFonts w:eastAsia="Calibri"/>
        </w:rPr>
        <w:t>,</w:t>
      </w:r>
      <w:r w:rsidRPr="214B7AEB">
        <w:rPr>
          <w:rFonts w:eastAsia="Calibri"/>
        </w:rPr>
        <w:t xml:space="preserve"> er et tilfredsstillende utgangspunkt når det først er innført, og ekspertutvalget mener det bør få virke i noen år før man vurderer å gjøre </w:t>
      </w:r>
      <w:r w:rsidRPr="214B7AEB">
        <w:rPr>
          <w:rFonts w:eastAsia="Calibri"/>
        </w:rPr>
        <w:lastRenderedPageBreak/>
        <w:t>justeringer. I denne perioden vil det være viktig å høste erfaringer som kan danne grunnlag for en videreutvikling av modellen. Det bør gjøres grundige vurderinger av hvordan inkludering av diagnoser vil kunne slå ut, der man særlig må være oppmerksom på insentiver overfor pasienter uten klare diagnoser og at det kan påvirke fastlegenes koding dersom grunnlaget er diagnostisering i fastlegekontorene. I tillegg vil det kunne påvirke fastlegenes henvisningsatferd dersom grunnlaget er diagnostisering i spesialisthelsetjenesten. Man kan også vurdere å endre den sosioøkonomiske justeringen, som fra 1. mai</w:t>
      </w:r>
      <w:r w:rsidR="00ED188F">
        <w:rPr>
          <w:rFonts w:eastAsia="Calibri"/>
        </w:rPr>
        <w:t xml:space="preserve"> 2023</w:t>
      </w:r>
      <w:r w:rsidRPr="214B7AEB">
        <w:rPr>
          <w:rFonts w:eastAsia="Calibri"/>
        </w:rPr>
        <w:t xml:space="preserve"> er felles for alle i samme kommune/bydel, til å avhenge av</w:t>
      </w:r>
      <w:r w:rsidR="00A36BA4">
        <w:rPr>
          <w:rFonts w:eastAsia="Calibri"/>
        </w:rPr>
        <w:t xml:space="preserve"> </w:t>
      </w:r>
      <w:r w:rsidR="00E052C8">
        <w:rPr>
          <w:rFonts w:eastAsia="Calibri"/>
        </w:rPr>
        <w:t>individuelle</w:t>
      </w:r>
      <w:r w:rsidRPr="214B7AEB">
        <w:rPr>
          <w:rFonts w:eastAsia="Calibri"/>
        </w:rPr>
        <w:t xml:space="preserve"> kjennetegn ved den enkelte listeinnbygger, slik tilfellet er for de andre elementene i pasienttilpasningen (alder, kjønn, utløste egenandeler).</w:t>
      </w:r>
    </w:p>
    <w:p w14:paraId="70DA2122" w14:textId="77777777" w:rsidR="00D9107F" w:rsidRPr="008F5AD8" w:rsidRDefault="29351FFE" w:rsidP="002E2EF6">
      <w:r w:rsidRPr="214B7AEB">
        <w:rPr>
          <w:rFonts w:eastAsia="Calibri"/>
        </w:rPr>
        <w:t xml:space="preserve">På lengre sikt kan det også vurderes om det pasienttilpassede basistilskuddet i tilstrekkelig grad fremmer </w:t>
      </w:r>
      <w:r w:rsidRPr="008F5AD8">
        <w:t>fastlegens tjenestetilbud til beboere i boliger med heldøgns tjenester og til flyktninger, og om utjamningstilskuddet kan avvikles ved at hensynene bak ordningen kan ivaretas gjennom distriktselementet i det pasienttilpassede basistilskuddet.</w:t>
      </w:r>
    </w:p>
    <w:p w14:paraId="638CC9DA" w14:textId="77777777" w:rsidR="00D9107F" w:rsidRDefault="29351FFE" w:rsidP="002E2EF6">
      <w:r w:rsidRPr="214B7AEB">
        <w:rPr>
          <w:rFonts w:eastAsia="Calibri"/>
        </w:rPr>
        <w:t xml:space="preserve">Ekspertutvalgets medlemmer, med unntak av Sakshaug, mener det bør vurderes å innføre kvalitetsjustering av basistilskuddet. At fastlegen er spesialist i </w:t>
      </w:r>
      <w:r w:rsidR="00800701" w:rsidRPr="214B7AEB">
        <w:rPr>
          <w:rFonts w:eastAsia="Calibri"/>
        </w:rPr>
        <w:t>allmennmedisin,</w:t>
      </w:r>
      <w:r w:rsidR="00AB0E0F">
        <w:rPr>
          <w:rFonts w:eastAsia="Calibri"/>
        </w:rPr>
        <w:t xml:space="preserve"> </w:t>
      </w:r>
      <w:r w:rsidRPr="214B7AEB">
        <w:rPr>
          <w:rFonts w:eastAsia="Calibri"/>
        </w:rPr>
        <w:t xml:space="preserve">ville være et sentralt element i en slik kvalitetsjustering. Et første skritt for å bygge opp en ordning med kvalitetsjustering av basistilskuddet, kan være å overføre honorarene som i dag knytter seg til tilleggstakst for spesialister i allmennmedisin til basisfinansieringen, på en slik måte at spesialistene omtrent beholder sin inntekt. </w:t>
      </w:r>
      <w:r>
        <w:t>Tillegg i basistilskudd til fastleger med et journalsystem som kan beskrive sammensetningen av listeinnbyggerne, samt hente ut aktivitetsdata og kvalitetsindikatorer, kan også vurderes.</w:t>
      </w:r>
    </w:p>
    <w:p w14:paraId="2F6E012A" w14:textId="7B360C8F" w:rsidR="00A53DCE" w:rsidRDefault="00674DB9" w:rsidP="002E2EF6">
      <w:pPr>
        <w:rPr>
          <w:rFonts w:cstheme="minorHAnsi"/>
        </w:rPr>
      </w:pPr>
      <w:r>
        <w:rPr>
          <w:rFonts w:eastAsia="Calibri"/>
        </w:rPr>
        <w:t>Ekspertu</w:t>
      </w:r>
      <w:r w:rsidRPr="067A7D04">
        <w:rPr>
          <w:rFonts w:eastAsia="Calibri"/>
        </w:rPr>
        <w:t>tvalget har registrert at noen leger tar til orde for en ordning med inntektskompen</w:t>
      </w:r>
      <w:r>
        <w:rPr>
          <w:rFonts w:eastAsia="Calibri"/>
        </w:rPr>
        <w:t>sa</w:t>
      </w:r>
      <w:r w:rsidRPr="067A7D04">
        <w:rPr>
          <w:rFonts w:eastAsia="Calibri"/>
        </w:rPr>
        <w:t>s</w:t>
      </w:r>
      <w:r>
        <w:rPr>
          <w:rFonts w:eastAsia="Calibri"/>
        </w:rPr>
        <w:t>jon</w:t>
      </w:r>
      <w:r w:rsidRPr="067A7D04">
        <w:rPr>
          <w:rFonts w:eastAsia="Calibri"/>
        </w:rPr>
        <w:t xml:space="preserve"> </w:t>
      </w:r>
      <w:r>
        <w:rPr>
          <w:rFonts w:eastAsia="Calibri"/>
        </w:rPr>
        <w:t xml:space="preserve">for </w:t>
      </w:r>
      <w:r w:rsidRPr="067A7D04">
        <w:rPr>
          <w:rFonts w:eastAsia="Calibri"/>
        </w:rPr>
        <w:t>næringsdrivende fastlege</w:t>
      </w:r>
      <w:r>
        <w:rPr>
          <w:rFonts w:eastAsia="Calibri"/>
        </w:rPr>
        <w:t>r</w:t>
      </w:r>
      <w:r w:rsidRPr="067A7D04">
        <w:rPr>
          <w:rFonts w:eastAsia="Calibri"/>
        </w:rPr>
        <w:t xml:space="preserve"> </w:t>
      </w:r>
      <w:r>
        <w:rPr>
          <w:rFonts w:eastAsia="Calibri"/>
        </w:rPr>
        <w:t xml:space="preserve">som </w:t>
      </w:r>
      <w:r w:rsidRPr="067A7D04">
        <w:rPr>
          <w:rFonts w:eastAsia="Calibri"/>
        </w:rPr>
        <w:t>er hjemme med sykt barn</w:t>
      </w:r>
      <w:r>
        <w:rPr>
          <w:rFonts w:eastAsia="Calibri"/>
        </w:rPr>
        <w:t>, ut over dagens ordning, der man får beholde basistilskuddet ved slikt fravær</w:t>
      </w:r>
      <w:r w:rsidRPr="067A7D04">
        <w:rPr>
          <w:rFonts w:eastAsia="Calibri"/>
        </w:rPr>
        <w:t>. Utvalget antar at dette behovet vil reduseres noe dersom basistilskuddets andel av finansieringen øker, men peker ellers på at en slik inntektskompensasjon vil kunne forhandles fr</w:t>
      </w:r>
      <w:r>
        <w:rPr>
          <w:rFonts w:eastAsia="Calibri"/>
        </w:rPr>
        <w:t>a</w:t>
      </w:r>
      <w:r w:rsidRPr="067A7D04">
        <w:rPr>
          <w:rFonts w:eastAsia="Calibri"/>
        </w:rPr>
        <w:t xml:space="preserve">m og inngå som en del av </w:t>
      </w:r>
      <w:r>
        <w:t>Sykehjelps- og pensjonsordningen for leger (</w:t>
      </w:r>
      <w:r w:rsidRPr="067A7D04">
        <w:rPr>
          <w:rFonts w:eastAsia="Calibri"/>
        </w:rPr>
        <w:t>SOP)</w:t>
      </w:r>
      <w:r w:rsidR="001C4CFF">
        <w:rPr>
          <w:rFonts w:eastAsia="Calibri"/>
        </w:rPr>
        <w:t>, se kapittel 5.4</w:t>
      </w:r>
      <w:r w:rsidRPr="067A7D04">
        <w:rPr>
          <w:rFonts w:eastAsia="Calibri"/>
        </w:rPr>
        <w:t>.</w:t>
      </w:r>
    </w:p>
    <w:p w14:paraId="3A6EB160" w14:textId="77C7695C" w:rsidR="00A53DCE" w:rsidRDefault="00A53DCE" w:rsidP="00775632">
      <w:pPr>
        <w:pStyle w:val="Overskrift3"/>
      </w:pPr>
      <w:bookmarkStart w:id="2870" w:name="_Toc131238451"/>
      <w:bookmarkStart w:id="2871" w:name="_Toc131279482"/>
      <w:bookmarkStart w:id="2872" w:name="_Toc131286894"/>
      <w:bookmarkStart w:id="2873" w:name="_Toc131281304"/>
      <w:bookmarkStart w:id="2874" w:name="_Toc131317844"/>
      <w:bookmarkStart w:id="2875" w:name="_Toc132537001"/>
      <w:r>
        <w:t>Gjenn</w:t>
      </w:r>
      <w:r w:rsidR="007B0D47">
        <w:t>o</w:t>
      </w:r>
      <w:r>
        <w:t>mgang av takstsystemet</w:t>
      </w:r>
      <w:bookmarkEnd w:id="2870"/>
      <w:bookmarkEnd w:id="2871"/>
      <w:bookmarkEnd w:id="2872"/>
      <w:bookmarkEnd w:id="2873"/>
      <w:bookmarkEnd w:id="2874"/>
      <w:bookmarkEnd w:id="2875"/>
    </w:p>
    <w:p w14:paraId="4026A80C" w14:textId="0AD1B49E" w:rsidR="00A53DCE" w:rsidRPr="00A53DCE" w:rsidRDefault="00A53DCE" w:rsidP="00742AE8">
      <w:pPr>
        <w:jc w:val="both"/>
      </w:pPr>
      <w:r>
        <w:t xml:space="preserve">Ekspertvalget har ikke hatt kapasitet til å gå systematisk gjennom alle takstene. Stønadsforskriften/Normaltariffen omfatter mange ulike takster, og kan oppleves som unødig komplisert og detaljert. Samtidig er det en økende andel </w:t>
      </w:r>
      <w:r w:rsidR="00AB0E0F">
        <w:t>fastlønnede</w:t>
      </w:r>
      <w:r>
        <w:t xml:space="preserve"> fastleger, som ikke har det samme økonomiske insentivet som de næringsdrivende legene til å registrere takster. Ekspertutvalget anbefaler at takstsystemet gjennomgås, med henblikk på en forenkling og reduksjon av antall takster. Ekspertutvalget anbefaler videre at det i den sammenheng bør vurderes om takstene kan benyttes mer aktivt for å stimulere til ønsket aktivitet og prioritering i </w:t>
      </w:r>
      <w:r>
        <w:lastRenderedPageBreak/>
        <w:t>tjenestene. I Danmark pågår det for tiden et arbeid med å gå gjennom takstene, som det i den forbindelse kan ses hen til.</w:t>
      </w:r>
    </w:p>
    <w:p w14:paraId="3FF83C45" w14:textId="27D8DDF5" w:rsidR="007C56DE" w:rsidRDefault="00FB2A1D" w:rsidP="00775632">
      <w:pPr>
        <w:pStyle w:val="Overskrift3"/>
      </w:pPr>
      <w:bookmarkStart w:id="2876" w:name="_Toc130763836"/>
      <w:bookmarkStart w:id="2877" w:name="_Toc130766731"/>
      <w:bookmarkStart w:id="2878" w:name="_Ref130928279"/>
      <w:bookmarkStart w:id="2879" w:name="_Ref130928291"/>
      <w:bookmarkStart w:id="2880" w:name="_Toc130932132"/>
      <w:bookmarkStart w:id="2881" w:name="_Toc130934423"/>
      <w:bookmarkStart w:id="2882" w:name="_Toc130983521"/>
      <w:bookmarkStart w:id="2883" w:name="_Toc130983870"/>
      <w:bookmarkStart w:id="2884" w:name="_Toc131062177"/>
      <w:bookmarkStart w:id="2885" w:name="_Toc131062431"/>
      <w:bookmarkStart w:id="2886" w:name="_Toc131062692"/>
      <w:bookmarkStart w:id="2887" w:name="_Toc131062945"/>
      <w:bookmarkStart w:id="2888" w:name="_Toc131063728"/>
      <w:bookmarkStart w:id="2889" w:name="_Toc131064138"/>
      <w:bookmarkStart w:id="2890" w:name="_Toc131238452"/>
      <w:bookmarkStart w:id="2891" w:name="_Toc131279483"/>
      <w:bookmarkStart w:id="2892" w:name="_Toc131286895"/>
      <w:bookmarkStart w:id="2893" w:name="_Toc131281305"/>
      <w:bookmarkStart w:id="2894" w:name="_Toc131317845"/>
      <w:bookmarkStart w:id="2895" w:name="_Toc132537002"/>
      <w:r>
        <w:t>Dissens</w:t>
      </w:r>
      <w:r w:rsidR="00DB3E7D">
        <w:t>er</w:t>
      </w:r>
      <w:r>
        <w:t xml:space="preserve"> </w:t>
      </w:r>
      <w:r w:rsidR="008E6FA0">
        <w:t>om basis/innsatsstyrt finansiering</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4DA048CD" w14:textId="77777777" w:rsidR="00D9107F" w:rsidRDefault="00EB07FF" w:rsidP="002E2EF6">
      <w:pPr>
        <w:rPr>
          <w:rFonts w:eastAsia="Calibri"/>
        </w:rPr>
      </w:pPr>
      <w:bookmarkStart w:id="2896" w:name="_Toc128742017"/>
      <w:bookmarkStart w:id="2897" w:name="_Toc128744612"/>
      <w:bookmarkStart w:id="2898" w:name="_Toc128744831"/>
      <w:r w:rsidRPr="000B7954">
        <w:rPr>
          <w:rFonts w:eastAsia="Calibri"/>
        </w:rPr>
        <w:t>Utvalg</w:t>
      </w:r>
      <w:r>
        <w:rPr>
          <w:rFonts w:eastAsia="Calibri"/>
        </w:rPr>
        <w:t xml:space="preserve">ets </w:t>
      </w:r>
      <w:r w:rsidRPr="000B7954">
        <w:rPr>
          <w:rFonts w:eastAsia="Calibri"/>
        </w:rPr>
        <w:t xml:space="preserve">medlem </w:t>
      </w:r>
      <w:r w:rsidRPr="0069523F">
        <w:rPr>
          <w:rFonts w:eastAsia="Calibri"/>
        </w:rPr>
        <w:t>Elvestad</w:t>
      </w:r>
      <w:r w:rsidRPr="000B7954">
        <w:rPr>
          <w:rFonts w:eastAsia="Calibri"/>
        </w:rPr>
        <w:t xml:space="preserve"> mener at det ikke er åpenbart at forholdet mellom basisfinansiering og takstfinansiering bør endres. Elvestad mener at det per i dag er ikke tilstrekkelig dokumentert at en </w:t>
      </w:r>
      <w:r w:rsidRPr="68C2EF06">
        <w:rPr>
          <w:rFonts w:eastAsia="Calibri"/>
        </w:rPr>
        <w:t xml:space="preserve">vesentlig </w:t>
      </w:r>
      <w:r w:rsidRPr="24FAAA40">
        <w:rPr>
          <w:rFonts w:eastAsia="Calibri"/>
        </w:rPr>
        <w:t>økning i</w:t>
      </w:r>
      <w:r w:rsidRPr="000B7954">
        <w:rPr>
          <w:rFonts w:eastAsia="Calibri"/>
        </w:rPr>
        <w:t xml:space="preserve"> basisfinansiering til fordel for innsatsstyrt finansiering vil gi tilstrekkelig eller bedre oppfølging til de pasienter som trenger det mest, og mener at en eventuell endring i dette først kan vurderes når man ser hvordan øvrige rammevilkår for tjenesten vurderes og utvikler seg. Fastlegetjenesten er en viktig førstelinjetjeneste og pasientenes inngangsport til de samlede helsetjenestene. Det er viktig at systemet fortsatt stimulerer til at denne delen av tjenesten har en tilstrekkelig høy kapasitet og tilgjengelighet.</w:t>
      </w:r>
    </w:p>
    <w:p w14:paraId="7BEA2F0C" w14:textId="2B288C6F" w:rsidR="00084AD9" w:rsidRPr="0069523F" w:rsidRDefault="00084AD9" w:rsidP="002E2EF6">
      <w:pPr>
        <w:rPr>
          <w:rFonts w:eastAsia="Calibri"/>
        </w:rPr>
      </w:pPr>
      <w:r w:rsidRPr="0069523F">
        <w:rPr>
          <w:rFonts w:eastAsia="Calibri"/>
        </w:rPr>
        <w:t>Utvalgets medlem Sakshaug fraråder sterkt en større endring av forholdet mellom basisfinansiering og innsatsstyrt finansiering gjennom stykkprisrefusjoner. Dette har flere grunner.</w:t>
      </w:r>
    </w:p>
    <w:p w14:paraId="621BCBEE" w14:textId="43A6DBDE" w:rsidR="00084AD9" w:rsidRPr="0069523F" w:rsidRDefault="00084AD9" w:rsidP="002E2EF6">
      <w:pPr>
        <w:rPr>
          <w:rFonts w:eastAsia="Calibri"/>
        </w:rPr>
      </w:pPr>
      <w:r w:rsidRPr="0069523F">
        <w:rPr>
          <w:rFonts w:eastAsia="Calibri"/>
        </w:rPr>
        <w:t>I fastlegeforsøket i perioden 1993–97 var basistilskuddet på ca</w:t>
      </w:r>
      <w:r w:rsidR="0069523F" w:rsidRPr="0069523F">
        <w:rPr>
          <w:rFonts w:eastAsia="Calibri"/>
        </w:rPr>
        <w:t>.</w:t>
      </w:r>
      <w:r w:rsidRPr="0069523F">
        <w:rPr>
          <w:rFonts w:eastAsia="Calibri"/>
        </w:rPr>
        <w:t xml:space="preserve"> 50</w:t>
      </w:r>
      <w:r w:rsidR="00127562" w:rsidRPr="0069523F">
        <w:rPr>
          <w:rFonts w:eastAsia="Calibri"/>
        </w:rPr>
        <w:t xml:space="preserve"> prosent</w:t>
      </w:r>
      <w:r w:rsidRPr="0069523F">
        <w:rPr>
          <w:rFonts w:eastAsia="Calibri"/>
        </w:rPr>
        <w:t xml:space="preserve">. Erfaringene fra forsøket viste </w:t>
      </w:r>
      <w:r w:rsidR="00127562" w:rsidRPr="0069523F">
        <w:rPr>
          <w:rFonts w:eastAsia="Calibri"/>
        </w:rPr>
        <w:t xml:space="preserve">at </w:t>
      </w:r>
      <w:r w:rsidRPr="0069523F">
        <w:rPr>
          <w:rFonts w:eastAsia="Calibri"/>
        </w:rPr>
        <w:t xml:space="preserve">dette ble et for sterkt </w:t>
      </w:r>
      <w:r w:rsidR="35DAF0CD" w:rsidRPr="0069523F">
        <w:rPr>
          <w:rFonts w:eastAsia="Calibri"/>
        </w:rPr>
        <w:t>in</w:t>
      </w:r>
      <w:r w:rsidR="3415B215" w:rsidRPr="0069523F">
        <w:rPr>
          <w:rFonts w:eastAsia="Calibri"/>
        </w:rPr>
        <w:t>s</w:t>
      </w:r>
      <w:r w:rsidR="35DAF0CD" w:rsidRPr="0069523F">
        <w:rPr>
          <w:rFonts w:eastAsia="Calibri"/>
        </w:rPr>
        <w:t>entiv</w:t>
      </w:r>
      <w:r w:rsidRPr="0069523F">
        <w:rPr>
          <w:rFonts w:eastAsia="Calibri"/>
        </w:rPr>
        <w:t xml:space="preserve"> til å ha lange pasientlister, og at leger med mange arbeidskrevende pasienter (spesielt kvinnelige leger) – kom dårlig ut </w:t>
      </w:r>
      <w:r w:rsidR="74BF738A" w:rsidRPr="0069523F">
        <w:rPr>
          <w:rFonts w:eastAsia="Calibri"/>
        </w:rPr>
        <w:t>med</w:t>
      </w:r>
      <w:r w:rsidRPr="0069523F">
        <w:rPr>
          <w:rFonts w:eastAsia="Calibri"/>
        </w:rPr>
        <w:t xml:space="preserve"> et så høyt basistilskudd. I dagens situasjon, hvor legene klart ønsker lavere arbeidsbelastning, vil en endring mot premiering av lange lister ha negativ effekt.</w:t>
      </w:r>
    </w:p>
    <w:p w14:paraId="74C3FC43" w14:textId="77777777" w:rsidR="00D9107F" w:rsidRDefault="00084AD9" w:rsidP="002E2EF6">
      <w:pPr>
        <w:rPr>
          <w:rFonts w:eastAsia="Calibri"/>
        </w:rPr>
      </w:pPr>
      <w:r w:rsidRPr="0069523F">
        <w:rPr>
          <w:rFonts w:eastAsia="Calibri"/>
        </w:rPr>
        <w:t>Ved en høygradig rammefinansiering er det en del uønskede forhold som inntrer, blant annet redusert aktivitet, lavere innovasjon og køer inn til fastlegen.</w:t>
      </w:r>
    </w:p>
    <w:p w14:paraId="3226E574" w14:textId="1915CF72" w:rsidR="00084AD9" w:rsidRPr="00CF7189" w:rsidRDefault="00084AD9" w:rsidP="002E2EF6">
      <w:r w:rsidRPr="0069523F">
        <w:rPr>
          <w:rFonts w:eastAsia="Calibri"/>
        </w:rPr>
        <w:t xml:space="preserve">I en finansieringsmodell med høy rammefinansiering (basistilskudd) vil legen ha få muligheter </w:t>
      </w:r>
      <w:r w:rsidR="45E3AF3B" w:rsidRPr="0069523F">
        <w:rPr>
          <w:rFonts w:eastAsia="Calibri"/>
        </w:rPr>
        <w:t>og insentiver</w:t>
      </w:r>
      <w:r w:rsidR="35DAF0CD" w:rsidRPr="0069523F">
        <w:rPr>
          <w:rFonts w:eastAsia="Calibri"/>
        </w:rPr>
        <w:t xml:space="preserve"> </w:t>
      </w:r>
      <w:r w:rsidRPr="0069523F">
        <w:rPr>
          <w:rFonts w:eastAsia="Calibri"/>
        </w:rPr>
        <w:t>til å styrke sin økonomi gjennom økt aktivitet. De tilgjengelige virkemidlene for legen, kommunen eller fastlegeselskapet blir aktivitetskutt, nedbemanning og reduksjon i tjenester. Pasienter med stort behov for legekontorets ressurser vil være mer økonomisk byrdefulle fordi økt innsats i liten eller ingen grad finansieres</w:t>
      </w:r>
      <w:r w:rsidR="00983A69" w:rsidRPr="0069523F">
        <w:rPr>
          <w:rFonts w:eastAsia="Calibri"/>
        </w:rPr>
        <w:t xml:space="preserve"> </w:t>
      </w:r>
      <w:r w:rsidR="00D078E3" w:rsidRPr="0069523F">
        <w:rPr>
          <w:rFonts w:eastAsia="Calibri"/>
        </w:rPr>
        <w:fldChar w:fldCharType="begin"/>
      </w:r>
      <w:r w:rsidR="00856689" w:rsidRPr="0069523F">
        <w:rPr>
          <w:rFonts w:eastAsia="Calibri"/>
        </w:rPr>
        <w:instrText xml:space="preserve"> ADDIN EN.CITE &lt;EndNote&gt;&lt;Cite&gt;&lt;Author&gt;Ahmed&lt;/Author&gt;&lt;Year&gt;2021&lt;/Year&gt;&lt;RecNum&gt;922&lt;/RecNum&gt;&lt;DisplayText&gt;(Ahmed et al., 2021)&lt;/DisplayText&gt;&lt;record&gt;&lt;rec-number&gt;922&lt;/rec-number&gt;&lt;foreign-keys&gt;&lt;key app="EN" db-id="95tpr2tp6r9xwoea9rb5wdsz5ds5xeddteew" timestamp="1680155361"&gt;922&lt;/key&gt;&lt;/foreign-keys&gt;&lt;ref-type name="Journal Article"&gt;17&lt;/ref-type&gt;&lt;contributors&gt;&lt;authors&gt;&lt;author&gt; Ahmed, K. &lt;/author&gt;&lt;author&gt;Hashim, S., &lt;/author&gt;&lt;author&gt;Khankhara, M. et al. &lt;/author&gt;&lt;/authors&gt;&lt;/contributors&gt;&lt;titles&gt;&lt;title&gt;What drives general practitioners in the UK to improve the quality of care? A systematic literature review. &lt;/title&gt;&lt;secondary-title&gt;BMJ Open Qual&lt;/secondary-title&gt;&lt;/titles&gt;&lt;periodical&gt;&lt;full-title&gt;BMJ Open Qual&lt;/full-title&gt;&lt;/periodical&gt;&lt;dates&gt;&lt;year&gt;2021&lt;/year&gt;&lt;/dates&gt;&lt;urls&gt;&lt;/urls&gt;&lt;/record&gt;&lt;/Cite&gt;&lt;/EndNote&gt;</w:instrText>
      </w:r>
      <w:r w:rsidR="00D078E3" w:rsidRPr="0069523F">
        <w:rPr>
          <w:rFonts w:eastAsia="Calibri"/>
        </w:rPr>
        <w:fldChar w:fldCharType="separate"/>
      </w:r>
      <w:r w:rsidR="00856689" w:rsidRPr="0069523F">
        <w:rPr>
          <w:rFonts w:eastAsia="Calibri"/>
        </w:rPr>
        <w:t>(Ahmed et al., 2021)</w:t>
      </w:r>
      <w:r w:rsidR="00D078E3" w:rsidRPr="0069523F">
        <w:rPr>
          <w:rFonts w:eastAsia="Calibri"/>
        </w:rPr>
        <w:fldChar w:fldCharType="end"/>
      </w:r>
      <w:r w:rsidRPr="0069523F">
        <w:rPr>
          <w:rFonts w:eastAsia="Calibri"/>
        </w:rPr>
        <w:t>. Høy andel av basistilskudd vil derfor ramme svake grupper, ikke styrke innsatsen mot</w:t>
      </w:r>
      <w:r w:rsidRPr="00CF7189">
        <w:t xml:space="preserve"> disse. Det forsøkes nå å kompensere for dette ved pasienttilpasset basistilskudd, men det finnes ikke data eller verktøy som kan gi høy nok presisjon for de små populasjonene som utgjør en fastlegeliste.</w:t>
      </w:r>
    </w:p>
    <w:p w14:paraId="3F28B86B" w14:textId="7A485644" w:rsidR="00D9107F" w:rsidRDefault="00084AD9" w:rsidP="002E2EF6">
      <w:r w:rsidRPr="0069523F">
        <w:rPr>
          <w:rFonts w:eastAsia="Calibri"/>
        </w:rPr>
        <w:t>Kunnskapsoppsummeringer viser at kvalitetsbasert finansiering og lav grad av innsatsstyrt finansiering ikke gir merverdi</w:t>
      </w:r>
      <w:r w:rsidR="008C38EB" w:rsidRPr="0069523F">
        <w:rPr>
          <w:rFonts w:eastAsia="Calibri"/>
        </w:rPr>
        <w:t xml:space="preserve"> </w:t>
      </w:r>
      <w:r w:rsidR="00D078E3" w:rsidRPr="0069523F">
        <w:rPr>
          <w:rFonts w:eastAsia="Calibri"/>
        </w:rPr>
        <w:fldChar w:fldCharType="begin">
          <w:fldData xml:space="preserve">PEVuZE5vdGU+PENpdGU+PEF1dGhvcj5Nb3NxdWVpcmE8L0F1dGhvcj48WWVhcj4yMDE5PC9ZZWFy
PjxSZWNOdW0+OTIzPC9SZWNOdW0+PERpc3BsYXlUZXh0PihNYXRoZXMgZXQgYWwuLCAyMDE5OyBN
b3NxdWVpcmEgZXQgYWwuLCAyMDE5OyBTY290dCBldCBhbC4sIDIwMTEpPC9EaXNwbGF5VGV4dD48
cmVjb3JkPjxyZWMtbnVtYmVyPjkyMzwvcmVjLW51bWJlcj48Zm9yZWlnbi1rZXlzPjxrZXkgYXBw
PSJFTiIgZGItaWQ9Ijk1dHByMnRwNnI5eHdvZWE5cmI1d2RzejVkczV4ZWRkdGVldyIgdGltZXN0
YW1wPSIxNjgwMTU1NDgxIj45MjM8L2tleT48L2ZvcmVpZ24ta2V5cz48cmVmLXR5cGUgbmFtZT0i
Sm91cm5hbCBBcnRpY2xlIj4xNzwvcmVmLXR5cGU+PGNvbnRyaWJ1dG9ycz48YXV0aG9ycz48YXV0
aG9yPk1vc3F1ZWlyYSwgQUcuIDwvYXV0aG9yPjxhdXRob3I+Um9zZW50aGFsLCBNLiA8L2F1dGhv
cj48YXV0aG9yPkJhcm5ldHQsIE1MLiA8L2F1dGhvcj48L2F1dGhvcnM+PC9jb250cmlidXRvcnM+
PHRpdGxlcz48dGl0bGU+VGhlIEFzc29jaWF0aW9uIEJldHdlZW4gUHJpbWFyeSBDYXJlIFBoeXNp
Y2lhbiBDb21wZW5zYXRpb24gYW5kIFBhdHRlcm5zIG9mIENhcmUgRGVsaXZlcnksIDIwMTItMjAx
NSA8L3RpdGxlPjxzZWNvbmRhcnktdGl0bGU+SW5xdWlyeTwvc2Vjb25kYXJ5LXRpdGxlPjwvdGl0
bGVzPjxwZXJpb2RpY2FsPjxmdWxsLXRpdGxlPklucXVpcnk8L2Z1bGwtdGl0bGU+PC9wZXJpb2Rp
Y2FsPjx2b2x1bWU+NTY8L3ZvbHVtZT48ZGF0ZXM+PHllYXI+MjAxOTwveWVhcj48L2RhdGVzPjx1
cmxzPjwvdXJscz48L3JlY29yZD48L0NpdGU+PENpdGU+PEF1dGhvcj5NYXRoZXM8L0F1dGhvcj48
WWVhcj4yMDE5PC9ZZWFyPjxSZWNOdW0+OTI0PC9SZWNOdW0+PHJlY29yZD48cmVjLW51bWJlcj45
MjQ8L3JlYy1udW1iZXI+PGZvcmVpZ24ta2V5cz48a2V5IGFwcD0iRU4iIGRiLWlkPSI5NXRwcjJ0
cDZyOXh3b2VhOXJiNXdkc3o1ZHM1eGVkZHRlZXciIHRpbWVzdGFtcD0iMTY4MDE1NTU2MSI+OTI0
PC9rZXk+PC9mb3JlaWduLWtleXM+PHJlZi10eXBlIG5hbWU9IkpvdXJuYWwgQXJ0aWNsZSI+MTc8
L3JlZi10eXBlPjxjb250cmlidXRvcnM+PGF1dGhvcnM+PGF1dGhvcj5NYXRoZXMsIFQuPC9hdXRo
b3I+PGF1dGhvcj5QaWVwZXIsIEQuIDwvYXV0aG9yPjxhdXRob3I+TW9yY2hlLCBKLiBldCBhbC4g
PC9hdXRob3I+PC9hdXRob3JzPjwvY29udHJpYnV0b3JzPjx0aXRsZXM+PHRpdGxlPlBheSBmb3Ig
cGVyZm9ybWFuY2UgZm9yIGhvc3BpdGFsczwvdGl0bGU+PHNlY29uZGFyeS10aXRsZT5Db2NocmFu
ZSBEYXRhYmFzZSBTeXN0IFJldjwvc2Vjb25kYXJ5LXRpdGxlPjwvdGl0bGVzPjxwZXJpb2RpY2Fs
PjxmdWxsLXRpdGxlPkNvY2hyYW5lIERhdGFiYXNlIG9mIFN5c3RlbWF0aWMgUmV2aWV3czwvZnVs
bC10aXRsZT48YWJici0xPkNvY2hyYW5lIERhdGFiYXNlIFN5c3QgUmV2PC9hYmJyLTE+PC9wZXJp
b2RpY2FsPjxwYWdlcz43PC9wYWdlcz48dm9sdW1lPjU8L3ZvbHVtZT48bnVtYmVyPjc8L251bWJl
cj48ZGF0ZXM+PHllYXI+MjAxOTwveWVhcj48L2RhdGVzPjx1cmxzPjwvdXJscz48L3JlY29yZD48
L0NpdGU+PENpdGU+PEF1dGhvcj5TY290dDwvQXV0aG9yPjxZZWFyPjIwMTE8L1llYXI+PFJlY051
bT45MjU8L1JlY051bT48cmVjb3JkPjxyZWMtbnVtYmVyPjkyNTwvcmVjLW51bWJlcj48Zm9yZWln
bi1rZXlzPjxrZXkgYXBwPSJFTiIgZGItaWQ9Ijk1dHByMnRwNnI5eHdvZWE5cmI1d2RzejVkczV4
ZWRkdGVldyIgdGltZXN0YW1wPSIxNjgwMTU1NjMyIj45MjU8L2tleT48L2ZvcmVpZ24ta2V5cz48
cmVmLXR5cGUgbmFtZT0iSm91cm5hbCBBcnRpY2xlIj4xNzwvcmVmLXR5cGU+PGNvbnRyaWJ1dG9y
cz48YXV0aG9ycz48YXV0aG9yPlNjb3R0LCBBLiA8L2F1dGhvcj48YXV0aG9yPlNpdmV5LCBQLiA8
L2F1dGhvcj48YXV0aG9yPkFpdCBPdWFrcmltLCBELiBldCBhbC4gPC9hdXRob3I+PC9hdXRob3Jz
PjwvY29udHJpYnV0b3JzPjx0aXRsZXM+PHRpdGxlPlRoZSBlZmZlY3Qgb2YgZmluYW5jaWFsIGlu
Y2VudGl2ZXMgb24gdGhlIHF1YWxpdHkgb2YgaGVhbHRoIGNhcmUgcHJvdmlkZWQgYnkgcHJpbWFy
eSBjYXJlIHBoeXNpY2lhbnM8L3RpdGxlPjxzZWNvbmRhcnktdGl0bGU+IENvY2hyYW5lIERhdGFi
YXNlIFN5c3QgUmV2PC9zZWNvbmRhcnktdGl0bGU+PC90aXRsZXM+PGRhdGVzPjx5ZWFyPjIwMTE8
L3llYXI+PC9kYXRlcz48dXJscz48L3VybHM+PC9yZWNvcmQ+PC9DaXRlPjwvRW5kTm90ZT5=
</w:fldData>
        </w:fldChar>
      </w:r>
      <w:r w:rsidR="004654FD">
        <w:rPr>
          <w:rFonts w:eastAsia="Calibri"/>
        </w:rPr>
        <w:instrText xml:space="preserve"> ADDIN EN.CITE </w:instrText>
      </w:r>
      <w:r w:rsidR="004654FD">
        <w:rPr>
          <w:rFonts w:eastAsia="Calibri"/>
        </w:rPr>
        <w:fldChar w:fldCharType="begin">
          <w:fldData xml:space="preserve">PEVuZE5vdGU+PENpdGU+PEF1dGhvcj5Nb3NxdWVpcmE8L0F1dGhvcj48WWVhcj4yMDE5PC9ZZWFy
PjxSZWNOdW0+OTIzPC9SZWNOdW0+PERpc3BsYXlUZXh0PihNYXRoZXMgZXQgYWwuLCAyMDE5OyBN
b3NxdWVpcmEgZXQgYWwuLCAyMDE5OyBTY290dCBldCBhbC4sIDIwMTEpPC9EaXNwbGF5VGV4dD48
cmVjb3JkPjxyZWMtbnVtYmVyPjkyMzwvcmVjLW51bWJlcj48Zm9yZWlnbi1rZXlzPjxrZXkgYXBw
PSJFTiIgZGItaWQ9Ijk1dHByMnRwNnI5eHdvZWE5cmI1d2RzejVkczV4ZWRkdGVldyIgdGltZXN0
YW1wPSIxNjgwMTU1NDgxIj45MjM8L2tleT48L2ZvcmVpZ24ta2V5cz48cmVmLXR5cGUgbmFtZT0i
Sm91cm5hbCBBcnRpY2xlIj4xNzwvcmVmLXR5cGU+PGNvbnRyaWJ1dG9ycz48YXV0aG9ycz48YXV0
aG9yPk1vc3F1ZWlyYSwgQUcuIDwvYXV0aG9yPjxhdXRob3I+Um9zZW50aGFsLCBNLiA8L2F1dGhv
cj48YXV0aG9yPkJhcm5ldHQsIE1MLiA8L2F1dGhvcj48L2F1dGhvcnM+PC9jb250cmlidXRvcnM+
PHRpdGxlcz48dGl0bGU+VGhlIEFzc29jaWF0aW9uIEJldHdlZW4gUHJpbWFyeSBDYXJlIFBoeXNp
Y2lhbiBDb21wZW5zYXRpb24gYW5kIFBhdHRlcm5zIG9mIENhcmUgRGVsaXZlcnksIDIwMTItMjAx
NSA8L3RpdGxlPjxzZWNvbmRhcnktdGl0bGU+SW5xdWlyeTwvc2Vjb25kYXJ5LXRpdGxlPjwvdGl0
bGVzPjxwZXJpb2RpY2FsPjxmdWxsLXRpdGxlPklucXVpcnk8L2Z1bGwtdGl0bGU+PC9wZXJpb2Rp
Y2FsPjx2b2x1bWU+NTY8L3ZvbHVtZT48ZGF0ZXM+PHllYXI+MjAxOTwveWVhcj48L2RhdGVzPjx1
cmxzPjwvdXJscz48L3JlY29yZD48L0NpdGU+PENpdGU+PEF1dGhvcj5NYXRoZXM8L0F1dGhvcj48
WWVhcj4yMDE5PC9ZZWFyPjxSZWNOdW0+OTI0PC9SZWNOdW0+PHJlY29yZD48cmVjLW51bWJlcj45
MjQ8L3JlYy1udW1iZXI+PGZvcmVpZ24ta2V5cz48a2V5IGFwcD0iRU4iIGRiLWlkPSI5NXRwcjJ0
cDZyOXh3b2VhOXJiNXdkc3o1ZHM1eGVkZHRlZXciIHRpbWVzdGFtcD0iMTY4MDE1NTU2MSI+OTI0
PC9rZXk+PC9mb3JlaWduLWtleXM+PHJlZi10eXBlIG5hbWU9IkpvdXJuYWwgQXJ0aWNsZSI+MTc8
L3JlZi10eXBlPjxjb250cmlidXRvcnM+PGF1dGhvcnM+PGF1dGhvcj5NYXRoZXMsIFQuPC9hdXRo
b3I+PGF1dGhvcj5QaWVwZXIsIEQuIDwvYXV0aG9yPjxhdXRob3I+TW9yY2hlLCBKLiBldCBhbC4g
PC9hdXRob3I+PC9hdXRob3JzPjwvY29udHJpYnV0b3JzPjx0aXRsZXM+PHRpdGxlPlBheSBmb3Ig
cGVyZm9ybWFuY2UgZm9yIGhvc3BpdGFsczwvdGl0bGU+PHNlY29uZGFyeS10aXRsZT5Db2NocmFu
ZSBEYXRhYmFzZSBTeXN0IFJldjwvc2Vjb25kYXJ5LXRpdGxlPjwvdGl0bGVzPjxwZXJpb2RpY2Fs
PjxmdWxsLXRpdGxlPkNvY2hyYW5lIERhdGFiYXNlIG9mIFN5c3RlbWF0aWMgUmV2aWV3czwvZnVs
bC10aXRsZT48YWJici0xPkNvY2hyYW5lIERhdGFiYXNlIFN5c3QgUmV2PC9hYmJyLTE+PC9wZXJp
b2RpY2FsPjxwYWdlcz43PC9wYWdlcz48dm9sdW1lPjU8L3ZvbHVtZT48bnVtYmVyPjc8L251bWJl
cj48ZGF0ZXM+PHllYXI+MjAxOTwveWVhcj48L2RhdGVzPjx1cmxzPjwvdXJscz48L3JlY29yZD48
L0NpdGU+PENpdGU+PEF1dGhvcj5TY290dDwvQXV0aG9yPjxZZWFyPjIwMTE8L1llYXI+PFJlY051
bT45MjU8L1JlY051bT48cmVjb3JkPjxyZWMtbnVtYmVyPjkyNTwvcmVjLW51bWJlcj48Zm9yZWln
bi1rZXlzPjxrZXkgYXBwPSJFTiIgZGItaWQ9Ijk1dHByMnRwNnI5eHdvZWE5cmI1d2RzejVkczV4
ZWRkdGVldyIgdGltZXN0YW1wPSIxNjgwMTU1NjMyIj45MjU8L2tleT48L2ZvcmVpZ24ta2V5cz48
cmVmLXR5cGUgbmFtZT0iSm91cm5hbCBBcnRpY2xlIj4xNzwvcmVmLXR5cGU+PGNvbnRyaWJ1dG9y
cz48YXV0aG9ycz48YXV0aG9yPlNjb3R0LCBBLiA8L2F1dGhvcj48YXV0aG9yPlNpdmV5LCBQLiA8
L2F1dGhvcj48YXV0aG9yPkFpdCBPdWFrcmltLCBELiBldCBhbC4gPC9hdXRob3I+PC9hdXRob3Jz
PjwvY29udHJpYnV0b3JzPjx0aXRsZXM+PHRpdGxlPlRoZSBlZmZlY3Qgb2YgZmluYW5jaWFsIGlu
Y2VudGl2ZXMgb24gdGhlIHF1YWxpdHkgb2YgaGVhbHRoIGNhcmUgcHJvdmlkZWQgYnkgcHJpbWFy
eSBjYXJlIHBoeXNpY2lhbnM8L3RpdGxlPjxzZWNvbmRhcnktdGl0bGU+IENvY2hyYW5lIERhdGFi
YXNlIFN5c3QgUmV2PC9zZWNvbmRhcnktdGl0bGU+PC90aXRsZXM+PGRhdGVzPjx5ZWFyPjIwMTE8
L3llYXI+PC9kYXRlcz48dXJscz48L3VybHM+PC9yZWNvcmQ+PC9DaXRlPjwvRW5kTm90ZT5=
</w:fldData>
        </w:fldChar>
      </w:r>
      <w:r w:rsidR="004654FD">
        <w:rPr>
          <w:rFonts w:eastAsia="Calibri"/>
        </w:rPr>
        <w:instrText xml:space="preserve"> ADDIN EN.CITE.DATA </w:instrText>
      </w:r>
      <w:r w:rsidR="004654FD">
        <w:rPr>
          <w:rFonts w:eastAsia="Calibri"/>
        </w:rPr>
      </w:r>
      <w:r w:rsidR="004654FD">
        <w:rPr>
          <w:rFonts w:eastAsia="Calibri"/>
        </w:rPr>
        <w:fldChar w:fldCharType="end"/>
      </w:r>
      <w:r w:rsidR="00D078E3" w:rsidRPr="0069523F">
        <w:rPr>
          <w:rFonts w:eastAsia="Calibri"/>
        </w:rPr>
      </w:r>
      <w:r w:rsidR="00D078E3" w:rsidRPr="0069523F">
        <w:rPr>
          <w:rFonts w:eastAsia="Calibri"/>
        </w:rPr>
        <w:fldChar w:fldCharType="separate"/>
      </w:r>
      <w:r w:rsidR="004654FD">
        <w:rPr>
          <w:rFonts w:eastAsia="Calibri"/>
          <w:noProof/>
        </w:rPr>
        <w:t>(Mathes et al., 2019; Mosqueira et al., 2019; Scott et al., 2011)</w:t>
      </w:r>
      <w:r w:rsidR="00D078E3" w:rsidRPr="0069523F">
        <w:rPr>
          <w:rFonts w:eastAsia="Calibri"/>
        </w:rPr>
        <w:fldChar w:fldCharType="end"/>
      </w:r>
      <w:r w:rsidRPr="0069523F">
        <w:rPr>
          <w:rFonts w:eastAsia="Calibri"/>
        </w:rPr>
        <w:t>. Det er ikke vist at man oppnår bedre kvalitet eller målretting mot svake grupper. En finansieringsmodell</w:t>
      </w:r>
      <w:r w:rsidRPr="00CF7189">
        <w:t xml:space="preserve"> med høy grad av basisfinansiering er derfor ikke tilstrekkelig balansert for fastlegeordningen. Den understøtter verken utsatte gruppers tjenestebehov</w:t>
      </w:r>
      <w:r w:rsidR="00D9107F">
        <w:t xml:space="preserve"> – </w:t>
      </w:r>
      <w:r w:rsidRPr="00CF7189">
        <w:t xml:space="preserve">eller behovet for </w:t>
      </w:r>
      <w:r w:rsidRPr="00CF7189">
        <w:lastRenderedPageBreak/>
        <w:t>god tilgjengelighet, som også ivaretar friske innbyggeres behov. Den flytter økonomisk risiko for både sykelighet og medisinsk utvikling fra staten til fastlegen – eller til kommunen/selskapet der fastlegen er ansatt. Det er derfor sannsynlig at både investeringer, aktivitet og tilgjengelighet vil avta.</w:t>
      </w:r>
    </w:p>
    <w:p w14:paraId="2C984E93" w14:textId="77777777" w:rsidR="00D9107F" w:rsidRPr="002E2EF6" w:rsidRDefault="00084AD9" w:rsidP="002E2EF6">
      <w:r w:rsidRPr="002E2EF6">
        <w:rPr>
          <w:rFonts w:eastAsia="Calibri"/>
        </w:rPr>
        <w:t>Ren aktivitetsbasert finansieri</w:t>
      </w:r>
      <w:r w:rsidRPr="002E2EF6">
        <w:t>ng, dvs</w:t>
      </w:r>
      <w:r w:rsidR="00800701" w:rsidRPr="002E2EF6">
        <w:t>.</w:t>
      </w:r>
      <w:r w:rsidRPr="002E2EF6">
        <w:t xml:space="preserve"> kun takster, har også sine svakheter, særlig knyttet til risiko for overdiagnostikk og overbehandling. Takstendringer, særlig med dagens forhandlingssystem, tar tid, og treghet i innføring og utvikling av takster kan være barrierer for innføring av nye behandlingsmetoder.</w:t>
      </w:r>
    </w:p>
    <w:p w14:paraId="1B300B34" w14:textId="1837B7F1" w:rsidR="00084AD9" w:rsidRPr="0069523F" w:rsidRDefault="00084AD9" w:rsidP="002E2EF6">
      <w:pPr>
        <w:rPr>
          <w:rFonts w:eastAsia="Calibri"/>
        </w:rPr>
      </w:pPr>
      <w:r w:rsidRPr="0069523F">
        <w:rPr>
          <w:rFonts w:eastAsia="Calibri"/>
        </w:rPr>
        <w:t>Erfaringene med fastlønn og stykkpris i norsk allmennmedisin trekker i retning av at næringsdrivende allmennleger er mer stabile over tid og har høyere aktivitet og bedre tilgjengelighet enn ansatte allmennleger</w:t>
      </w:r>
      <w:r w:rsidR="0069523F">
        <w:rPr>
          <w:rFonts w:eastAsia="Calibri"/>
        </w:rPr>
        <w:t xml:space="preserve"> </w:t>
      </w:r>
      <w:r w:rsidR="00D078E3" w:rsidRPr="0069523F">
        <w:rPr>
          <w:rFonts w:eastAsia="Calibri"/>
        </w:rPr>
        <w:fldChar w:fldCharType="begin">
          <w:fldData xml:space="preserve">PEVuZE5vdGU+PENpdGU+PEF1dGhvcj5Ob3JnZXMgZm9yc2tuaW5nc3LDpWQ8L0F1dGhvcj48WWVh
cj4yMDA2PC9ZZWFyPjxSZWNOdW0+MjEyPC9SZWNOdW0+PERpc3BsYXlUZXh0PihCcmVra2UsIDE5
ODg7IE5vcmdlcyBmb3Jza25pbmdzcsOlZCwgMjAwNjsgV2l1bSwgMTk4OCk8L0Rpc3BsYXlUZXh0
PjxyZWNvcmQ+PHJlYy1udW1iZXI+MjEyPC9yZWMtbnVtYmVyPjxmb3JlaWduLWtleXM+PGtleSBh
cHA9IkVOIiBkYi1pZD0iOTV0cHIydHA2cjl4d29lYTlyYjV3ZHN6NWRzNXhlZGR0ZWV3IiB0aW1l
c3RhbXA9IjE2ODAwNjk1MTEiPjIxMjwva2V5PjwvZm9yZWlnbi1rZXlzPjxyZWYtdHlwZSBuYW1l
PSJSZXBvcnQiPjI3PC9yZWYtdHlwZT48Y29udHJpYnV0b3JzPjxhdXRob3JzPjxhdXRob3I+Tm9y
Z2VzIGZvcnNrbmluZ3Nyw6VkLDwvYXV0aG9yPjwvYXV0aG9ycz48dGVydGlhcnktYXV0aG9ycz48
YXV0aG9yPk5vcmdlcyBmb3Jza25pbmdzcsOlZDwvYXV0aG9yPjwvdGVydGlhcnktYXV0aG9ycz48
L2NvbnRyaWJ1dG9ycz48dGl0bGVzPjx0aXRsZT5FdmFsdWVyaW5nIGF2IGZhc3RsZWdlcmVmb3Jt
ZW4gMjAwMS0yMDA1IDogU2FtbWVuZmF0bmluZyBvZyBhbmFseXNlIGF2IGV2YWx1ZXJpbmdlbnMg
ZGVscHJvc2pla3RlcjwvdGl0bGU+PC90aXRsZXM+PGRhdGVzPjx5ZWFyPjIwMDY8L3llYXI+PC9k
YXRlcz48cHViLWxvY2F0aW9uPk9zbG88L3B1Yi1sb2NhdGlvbj48dXJscz48cmVsYXRlZC11cmxz
Pjx1cmw+aHR0cHM6Ly93d3cuZm9yc2tuaW5nc3JhZGV0Lm5vL3NpdGVhc3NldHMvcHVibGlrYXNq
b25lci8xMTQ0MTQ0NTAzNDI3LnBkZjwvdXJsPjwvcmVsYXRlZC11cmxzPjwvdXJscz48L3JlY29y
ZD48L0NpdGU+PENpdGU+PEF1dGhvcj5XaXVtPC9BdXRob3I+PFllYXI+MTk4ODwvWWVhcj48UmVj
TnVtPjkyNzwvUmVjTnVtPjxyZWNvcmQ+PHJlYy1udW1iZXI+OTI3PC9yZWMtbnVtYmVyPjxmb3Jl
aWduLWtleXM+PGtleSBhcHA9IkVOIiBkYi1pZD0iOTV0cHIydHA2cjl4d29lYTlyYjV3ZHN6NWRz
NXhlZGR0ZWV3IiB0aW1lc3RhbXA9IjE2ODAxNTU4MTgiPjkyNzwva2V5PjwvZm9yZWlnbi1rZXlz
PjxyZWYtdHlwZSBuYW1lPSJKb3VybmFsIEFydGljbGUiPjE3PC9yZWYtdHlwZT48Y29udHJpYnV0
b3JzPjxhdXRob3JzPjxhdXRob3I+IFdpdW0sIFAuIDwvYXV0aG9yPjwvYXV0aG9ycz48L2NvbnRy
aWJ1dG9ycz48dGl0bGVzPjx0aXRsZT5Pc2xvLW1vZGVsbGVuLiA8L3RpdGxlPjxzZWNvbmRhcnkt
dGl0bGU+VGlkc3NrciBOb3IgTMOmZ2Vmb3Jlbjwvc2Vjb25kYXJ5LXRpdGxlPjwvdGl0bGVzPjxw
ZXJpb2RpY2FsPjxmdWxsLXRpdGxlPlRpZHNza3JpZnQgZm9yIERlbiBOb3Jza2UgTGFlZ2Vmb3Jl
bmluZzwvZnVsbC10aXRsZT48YWJici0xPlRpZHNza3IgTm9yIExhZWdlZm9yZW48L2FiYnItMT48
L3BlcmlvZGljYWw+PHBhZ2VzPjI2MDXigJM4LjwvcGFnZXM+PHZvbHVtZT4xMDg8L3ZvbHVtZT48
bnVtYmVyPjI5QjwvbnVtYmVyPjxkYXRlcz48eWVhcj4xOTg4PC95ZWFyPjwvZGF0ZXM+PHVybHM+
PC91cmxzPjwvcmVjb3JkPjwvQ2l0ZT48Q2l0ZT48QXV0aG9yPkJyZWtrZTwvQXV0aG9yPjxZZWFy
PjE5ODg8L1llYXI+PFJlY051bT45Mjg8L1JlY051bT48cmVjb3JkPjxyZWMtbnVtYmVyPjkyODwv
cmVjLW51bWJlcj48Zm9yZWlnbi1rZXlzPjxrZXkgYXBwPSJFTiIgZGItaWQ9Ijk1dHByMnRwNnI5
eHdvZWE5cmI1d2RzejVkczV4ZWRkdGVldyIgdGltZXN0YW1wPSIxNjgwMTU1ODk5Ij45Mjg8L2tl
eT48L2ZvcmVpZ24ta2V5cz48cmVmLXR5cGUgbmFtZT0iSm91cm5hbCBBcnRpY2xlIj4xNzwvcmVm
LXR5cGU+PGNvbnRyaWJ1dG9ycz48YXV0aG9ycz48YXV0aG9yPkJyZWtrZSwgRC48L2F1dGhvcj48
L2F1dGhvcnM+PC9jb250cmlidXRvcnM+PHRpdGxlcz48dGl0bGU+QWxsbWVubnByYWtzaXMgaSBv
ZmZlbnRsaWcgcmVnaS4gPC90aXRsZT48c2Vjb25kYXJ5LXRpdGxlPlRpZHNza3IgTm9yIEzDpmdl
Zm9yZW4gPC9zZWNvbmRhcnktdGl0bGU+PC90aXRsZXM+PHBhZ2VzPjI1OTjigJM2MDEuPC9wYWdl
cz48dm9sdW1lPjEwODwvdm9sdW1lPjxudW1iZXI+MjlCPC9udW1iZXI+PGRhdGVzPjx5ZWFyPjE5
ODg8L3llYXI+PC9kYXRlcz48dXJscz48L3VybHM+PC9yZWNvcmQ+PC9DaXRlPjwvRW5kTm90ZT4A
</w:fldData>
        </w:fldChar>
      </w:r>
      <w:r w:rsidR="004654FD">
        <w:rPr>
          <w:rFonts w:eastAsia="Calibri"/>
        </w:rPr>
        <w:instrText xml:space="preserve"> ADDIN EN.CITE </w:instrText>
      </w:r>
      <w:r w:rsidR="004654FD">
        <w:rPr>
          <w:rFonts w:eastAsia="Calibri"/>
        </w:rPr>
        <w:fldChar w:fldCharType="begin">
          <w:fldData xml:space="preserve">PEVuZE5vdGU+PENpdGU+PEF1dGhvcj5Ob3JnZXMgZm9yc2tuaW5nc3LDpWQ8L0F1dGhvcj48WWVh
cj4yMDA2PC9ZZWFyPjxSZWNOdW0+MjEyPC9SZWNOdW0+PERpc3BsYXlUZXh0PihCcmVra2UsIDE5
ODg7IE5vcmdlcyBmb3Jza25pbmdzcsOlZCwgMjAwNjsgV2l1bSwgMTk4OCk8L0Rpc3BsYXlUZXh0
PjxyZWNvcmQ+PHJlYy1udW1iZXI+MjEyPC9yZWMtbnVtYmVyPjxmb3JlaWduLWtleXM+PGtleSBh
cHA9IkVOIiBkYi1pZD0iOTV0cHIydHA2cjl4d29lYTlyYjV3ZHN6NWRzNXhlZGR0ZWV3IiB0aW1l
c3RhbXA9IjE2ODAwNjk1MTEiPjIxMjwva2V5PjwvZm9yZWlnbi1rZXlzPjxyZWYtdHlwZSBuYW1l
PSJSZXBvcnQiPjI3PC9yZWYtdHlwZT48Y29udHJpYnV0b3JzPjxhdXRob3JzPjxhdXRob3I+Tm9y
Z2VzIGZvcnNrbmluZ3Nyw6VkLDwvYXV0aG9yPjwvYXV0aG9ycz48dGVydGlhcnktYXV0aG9ycz48
YXV0aG9yPk5vcmdlcyBmb3Jza25pbmdzcsOlZDwvYXV0aG9yPjwvdGVydGlhcnktYXV0aG9ycz48
L2NvbnRyaWJ1dG9ycz48dGl0bGVzPjx0aXRsZT5FdmFsdWVyaW5nIGF2IGZhc3RsZWdlcmVmb3Jt
ZW4gMjAwMS0yMDA1IDogU2FtbWVuZmF0bmluZyBvZyBhbmFseXNlIGF2IGV2YWx1ZXJpbmdlbnMg
ZGVscHJvc2pla3RlcjwvdGl0bGU+PC90aXRsZXM+PGRhdGVzPjx5ZWFyPjIwMDY8L3llYXI+PC9k
YXRlcz48cHViLWxvY2F0aW9uPk9zbG88L3B1Yi1sb2NhdGlvbj48dXJscz48cmVsYXRlZC11cmxz
Pjx1cmw+aHR0cHM6Ly93d3cuZm9yc2tuaW5nc3JhZGV0Lm5vL3NpdGVhc3NldHMvcHVibGlrYXNq
b25lci8xMTQ0MTQ0NTAzNDI3LnBkZjwvdXJsPjwvcmVsYXRlZC11cmxzPjwvdXJscz48L3JlY29y
ZD48L0NpdGU+PENpdGU+PEF1dGhvcj5XaXVtPC9BdXRob3I+PFllYXI+MTk4ODwvWWVhcj48UmVj
TnVtPjkyNzwvUmVjTnVtPjxyZWNvcmQ+PHJlYy1udW1iZXI+OTI3PC9yZWMtbnVtYmVyPjxmb3Jl
aWduLWtleXM+PGtleSBhcHA9IkVOIiBkYi1pZD0iOTV0cHIydHA2cjl4d29lYTlyYjV3ZHN6NWRz
NXhlZGR0ZWV3IiB0aW1lc3RhbXA9IjE2ODAxNTU4MTgiPjkyNzwva2V5PjwvZm9yZWlnbi1rZXlz
PjxyZWYtdHlwZSBuYW1lPSJKb3VybmFsIEFydGljbGUiPjE3PC9yZWYtdHlwZT48Y29udHJpYnV0
b3JzPjxhdXRob3JzPjxhdXRob3I+IFdpdW0sIFAuIDwvYXV0aG9yPjwvYXV0aG9ycz48L2NvbnRy
aWJ1dG9ycz48dGl0bGVzPjx0aXRsZT5Pc2xvLW1vZGVsbGVuLiA8L3RpdGxlPjxzZWNvbmRhcnkt
dGl0bGU+VGlkc3NrciBOb3IgTMOmZ2Vmb3Jlbjwvc2Vjb25kYXJ5LXRpdGxlPjwvdGl0bGVzPjxw
ZXJpb2RpY2FsPjxmdWxsLXRpdGxlPlRpZHNza3JpZnQgZm9yIERlbiBOb3Jza2UgTGFlZ2Vmb3Jl
bmluZzwvZnVsbC10aXRsZT48YWJici0xPlRpZHNza3IgTm9yIExhZWdlZm9yZW48L2FiYnItMT48
L3BlcmlvZGljYWw+PHBhZ2VzPjI2MDXigJM4LjwvcGFnZXM+PHZvbHVtZT4xMDg8L3ZvbHVtZT48
bnVtYmVyPjI5QjwvbnVtYmVyPjxkYXRlcz48eWVhcj4xOTg4PC95ZWFyPjwvZGF0ZXM+PHVybHM+
PC91cmxzPjwvcmVjb3JkPjwvQ2l0ZT48Q2l0ZT48QXV0aG9yPkJyZWtrZTwvQXV0aG9yPjxZZWFy
PjE5ODg8L1llYXI+PFJlY051bT45Mjg8L1JlY051bT48cmVjb3JkPjxyZWMtbnVtYmVyPjkyODwv
cmVjLW51bWJlcj48Zm9yZWlnbi1rZXlzPjxrZXkgYXBwPSJFTiIgZGItaWQ9Ijk1dHByMnRwNnI5
eHdvZWE5cmI1d2RzejVkczV4ZWRkdGVldyIgdGltZXN0YW1wPSIxNjgwMTU1ODk5Ij45Mjg8L2tl
eT48L2ZvcmVpZ24ta2V5cz48cmVmLXR5cGUgbmFtZT0iSm91cm5hbCBBcnRpY2xlIj4xNzwvcmVm
LXR5cGU+PGNvbnRyaWJ1dG9ycz48YXV0aG9ycz48YXV0aG9yPkJyZWtrZSwgRC48L2F1dGhvcj48
L2F1dGhvcnM+PC9jb250cmlidXRvcnM+PHRpdGxlcz48dGl0bGU+QWxsbWVubnByYWtzaXMgaSBv
ZmZlbnRsaWcgcmVnaS4gPC90aXRsZT48c2Vjb25kYXJ5LXRpdGxlPlRpZHNza3IgTm9yIEzDpmdl
Zm9yZW4gPC9zZWNvbmRhcnktdGl0bGU+PC90aXRsZXM+PHBhZ2VzPjI1OTjigJM2MDEuPC9wYWdl
cz48dm9sdW1lPjEwODwvdm9sdW1lPjxudW1iZXI+MjlCPC9udW1iZXI+PGRhdGVzPjx5ZWFyPjE5
ODg8L3llYXI+PC9kYXRlcz48dXJscz48L3VybHM+PC9yZWNvcmQ+PC9DaXRlPjwvRW5kTm90ZT4A
</w:fldData>
        </w:fldChar>
      </w:r>
      <w:r w:rsidR="004654FD">
        <w:rPr>
          <w:rFonts w:eastAsia="Calibri"/>
        </w:rPr>
        <w:instrText xml:space="preserve"> ADDIN EN.CITE.DATA </w:instrText>
      </w:r>
      <w:r w:rsidR="004654FD">
        <w:rPr>
          <w:rFonts w:eastAsia="Calibri"/>
        </w:rPr>
      </w:r>
      <w:r w:rsidR="004654FD">
        <w:rPr>
          <w:rFonts w:eastAsia="Calibri"/>
        </w:rPr>
        <w:fldChar w:fldCharType="end"/>
      </w:r>
      <w:r w:rsidR="00D078E3" w:rsidRPr="0069523F">
        <w:rPr>
          <w:rFonts w:eastAsia="Calibri"/>
        </w:rPr>
      </w:r>
      <w:r w:rsidR="00D078E3" w:rsidRPr="0069523F">
        <w:rPr>
          <w:rFonts w:eastAsia="Calibri"/>
        </w:rPr>
        <w:fldChar w:fldCharType="separate"/>
      </w:r>
      <w:r w:rsidR="004654FD">
        <w:rPr>
          <w:rFonts w:eastAsia="Calibri"/>
          <w:noProof/>
        </w:rPr>
        <w:t>(Brekke, 1988; Norges forskningsråd, 2006; Wium, 1988)</w:t>
      </w:r>
      <w:r w:rsidR="00D078E3" w:rsidRPr="0069523F">
        <w:rPr>
          <w:rFonts w:eastAsia="Calibri"/>
        </w:rPr>
        <w:fldChar w:fldCharType="end"/>
      </w:r>
      <w:r w:rsidRPr="0069523F">
        <w:rPr>
          <w:rFonts w:eastAsia="Calibri"/>
        </w:rPr>
        <w:t>.</w:t>
      </w:r>
    </w:p>
    <w:p w14:paraId="1D2A77C0" w14:textId="4AC5E3E9" w:rsidR="00084AD9" w:rsidRPr="00BD677E" w:rsidRDefault="00084AD9" w:rsidP="002E2EF6">
      <w:pPr>
        <w:rPr>
          <w:shd w:val="clear" w:color="auto" w:fill="FFFFFF"/>
        </w:rPr>
      </w:pPr>
      <w:r w:rsidRPr="0069523F">
        <w:rPr>
          <w:rFonts w:eastAsia="Calibri"/>
        </w:rPr>
        <w:t>En norsk helseøkonomisk studie fra 2018</w:t>
      </w:r>
      <w:r w:rsidR="00D9107F">
        <w:rPr>
          <w:rFonts w:eastAsia="Calibri"/>
        </w:rPr>
        <w:t xml:space="preserve"> </w:t>
      </w:r>
      <w:r w:rsidRPr="0069523F">
        <w:rPr>
          <w:rFonts w:eastAsia="Calibri"/>
        </w:rPr>
        <w:t>sammenlignet både tjenesteproduksjon og pasientutkomme ved fastlønn kontra stykkprisavtale</w:t>
      </w:r>
      <w:r w:rsidR="00983A69" w:rsidRPr="0069523F">
        <w:rPr>
          <w:rFonts w:eastAsia="Calibri"/>
        </w:rPr>
        <w:t xml:space="preserve"> </w:t>
      </w:r>
      <w:r w:rsidR="00D078E3" w:rsidRPr="0069523F">
        <w:rPr>
          <w:rFonts w:eastAsia="Calibri"/>
        </w:rPr>
        <w:fldChar w:fldCharType="begin"/>
      </w:r>
      <w:r w:rsidR="004654FD">
        <w:rPr>
          <w:rFonts w:eastAsia="Calibri"/>
        </w:rPr>
        <w:instrText xml:space="preserve"> ADDIN EN.CITE &lt;EndNote&gt;&lt;Cite&gt;&lt;Author&gt;Brenne&lt;/Author&gt;&lt;Year&gt;2018&lt;/Year&gt;&lt;RecNum&gt;929&lt;/RecNum&gt;&lt;DisplayText&gt;(Brenne et al., 2018)&lt;/DisplayText&gt;&lt;record&gt;&lt;rec-number&gt;929&lt;/rec-number&gt;&lt;foreign-keys&gt;&lt;key app="EN" db-id="95tpr2tp6r9xwoea9rb5wdsz5ds5xeddteew" timestamp="1680156025"&gt;929&lt;/key&gt;&lt;/foreign-keys&gt;&lt;ref-type name="Report"&gt;27&lt;/ref-type&gt;&lt;contributors&gt;&lt;authors&gt;&lt;author&gt;Brenne, KR. &lt;/author&gt;&lt;author&gt;Holmåas, TH.&lt;/author&gt;&lt;author&gt;Monstad, K, et al. &lt;/author&gt;&lt;/authors&gt;&lt;/contributors&gt;&lt;titles&gt;&lt;title&gt;How does the type of remuneration affect physician behaviour? Fixed salary versus fee-for-service.&lt;/title&gt;&lt;/titles&gt;&lt;number&gt;Rapport nr 6/2018&lt;/number&gt;&lt;dates&gt;&lt;year&gt;2018&lt;/year&gt;&lt;/dates&gt;&lt;pub-location&gt;Bergen&lt;/pub-location&gt;&lt;publisher&gt;Konkurransetilsynet&lt;/publisher&gt;&lt;urls&gt;&lt;/urls&gt;&lt;/record&gt;&lt;/Cite&gt;&lt;/EndNote&gt;</w:instrText>
      </w:r>
      <w:r w:rsidR="00D078E3" w:rsidRPr="0069523F">
        <w:rPr>
          <w:rFonts w:eastAsia="Calibri"/>
        </w:rPr>
        <w:fldChar w:fldCharType="separate"/>
      </w:r>
      <w:r w:rsidR="00856689" w:rsidRPr="0069523F">
        <w:rPr>
          <w:rFonts w:eastAsia="Calibri"/>
          <w:noProof/>
        </w:rPr>
        <w:t>(Brenne et al., 2018)</w:t>
      </w:r>
      <w:r w:rsidR="00D078E3" w:rsidRPr="0069523F">
        <w:rPr>
          <w:rFonts w:eastAsia="Calibri"/>
        </w:rPr>
        <w:fldChar w:fldCharType="end"/>
      </w:r>
      <w:r w:rsidRPr="0069523F">
        <w:rPr>
          <w:rFonts w:eastAsia="Calibri"/>
        </w:rPr>
        <w:t xml:space="preserve">. Forskerne brukte nasjonale takstbruksdata for fastleger (Helfos KUHR-database (kontroll og utbetaling av helserefusjoner)) og Norsk pasientregister (NPR) for perioden 2009–13. For å redusere seleksjonsskjevhet og adaptasjon til fastlønn eller stykkpris undersøkte man bare data for vikarer i fastlegepraksis. Man </w:t>
      </w:r>
      <w:r>
        <w:rPr>
          <w:rFonts w:eastAsia="Calibri"/>
        </w:rPr>
        <w:t>fant at stykkpris førte til 26</w:t>
      </w:r>
      <w:r w:rsidR="00D9107F">
        <w:rPr>
          <w:rFonts w:eastAsia="Calibri"/>
        </w:rPr>
        <w:t xml:space="preserve"> </w:t>
      </w:r>
      <w:r w:rsidR="0069523F">
        <w:rPr>
          <w:rFonts w:eastAsia="Calibri"/>
        </w:rPr>
        <w:t>prosent</w:t>
      </w:r>
      <w:r w:rsidRPr="0069523F">
        <w:rPr>
          <w:rFonts w:eastAsia="Calibri"/>
        </w:rPr>
        <w:t xml:space="preserve"> flere konsultasjoner e</w:t>
      </w:r>
      <w:r>
        <w:rPr>
          <w:rFonts w:eastAsia="Calibri"/>
        </w:rPr>
        <w:t>nn fastlønn, 6,5</w:t>
      </w:r>
      <w:r w:rsidR="00D9107F">
        <w:rPr>
          <w:rFonts w:eastAsia="Calibri"/>
        </w:rPr>
        <w:t xml:space="preserve"> </w:t>
      </w:r>
      <w:r w:rsidR="0069523F">
        <w:rPr>
          <w:rFonts w:eastAsia="Calibri"/>
        </w:rPr>
        <w:t>prosent</w:t>
      </w:r>
      <w:r w:rsidRPr="0069523F">
        <w:rPr>
          <w:rFonts w:eastAsia="Calibri"/>
        </w:rPr>
        <w:t xml:space="preserve"> flere tjenester per konsultasjon og lengre konsultasjoner. Ved stykkprisrefusjon fant man også flere avtalte kontroller og flere sykmeldinger, men færre henvisninger til spesialist. Det viktigste funnet i studien var at pasienter som ble fulgt opp av en fastlegevika</w:t>
      </w:r>
      <w:r>
        <w:rPr>
          <w:rFonts w:eastAsia="Calibri"/>
        </w:rPr>
        <w:t>r på stykkprisavtale, hadde 19</w:t>
      </w:r>
      <w:r w:rsidR="00D9107F">
        <w:rPr>
          <w:rFonts w:eastAsia="Calibri"/>
        </w:rPr>
        <w:t xml:space="preserve"> </w:t>
      </w:r>
      <w:r w:rsidR="0069523F">
        <w:rPr>
          <w:rFonts w:eastAsia="Calibri"/>
        </w:rPr>
        <w:t>prosent</w:t>
      </w:r>
      <w:r w:rsidRPr="0069523F">
        <w:rPr>
          <w:rFonts w:eastAsia="Calibri"/>
        </w:rPr>
        <w:t xml:space="preserve"> lavere risiko for å bli lagt inn akutt på sykehus den første uken etter en fastlegekonsultasjon. Forfatterne antar at dette er et uttrykk for underdiagnostikk og underbehandling i en fastlønnsmodell. Det er nærli</w:t>
      </w:r>
      <w:r w:rsidRPr="00CF7189">
        <w:rPr>
          <w:shd w:val="clear" w:color="auto" w:fill="FFFFFF"/>
        </w:rPr>
        <w:t xml:space="preserve">ggende å tro at de samme </w:t>
      </w:r>
      <w:r w:rsidRPr="00BD677E">
        <w:rPr>
          <w:shd w:val="clear" w:color="auto" w:fill="FFFFFF"/>
        </w:rPr>
        <w:t>effektene vil observeres i en modell med næringsdrift og høy grad</w:t>
      </w:r>
      <w:r w:rsidR="00C4686F">
        <w:rPr>
          <w:shd w:val="clear" w:color="auto" w:fill="FFFFFF"/>
        </w:rPr>
        <w:t xml:space="preserve"> av basistilskudd</w:t>
      </w:r>
      <w:r w:rsidRPr="00BD677E">
        <w:rPr>
          <w:shd w:val="clear" w:color="auto" w:fill="FFFFFF"/>
        </w:rPr>
        <w:t>, fordi denne løsningen ikke oppmuntrer fastlegen til å løse flest mulig av pasientens problemer lokalt.</w:t>
      </w:r>
    </w:p>
    <w:p w14:paraId="481D611E" w14:textId="0E0BC209" w:rsidR="6BD79505" w:rsidRPr="002E2EF6" w:rsidRDefault="00084AD9" w:rsidP="002E2EF6">
      <w:r w:rsidRPr="002E2EF6">
        <w:rPr>
          <w:rFonts w:eastAsia="Calibri"/>
        </w:rPr>
        <w:t xml:space="preserve">Dagens takstsystem med prosedyre- og </w:t>
      </w:r>
      <w:r w:rsidR="35DAF0CD" w:rsidRPr="002E2EF6">
        <w:t>lab</w:t>
      </w:r>
      <w:r w:rsidR="03CE6A0E" w:rsidRPr="002E2EF6">
        <w:t>oratorie</w:t>
      </w:r>
      <w:r w:rsidR="35DAF0CD" w:rsidRPr="002E2EF6">
        <w:t>takster</w:t>
      </w:r>
      <w:r w:rsidRPr="002E2EF6">
        <w:t xml:space="preserve"> stimulerer til prosedyrekompetanse og undersøkelse på legekontoret og kan brukes til å understøtte faglig riktig praksis. Om takstene reduseres vil insentivene for småkirurgi, lab og andre undersøkelser svekkes, og færre vil ta seg tid til dette. Man ser allerede at enkelte leger i sentrale strøk avvikler sine laboratorier på legekontoret og henviser til andre laboratorier for prøvetakning. Det har også kommet signaler om at flere kirurgiske poliklinikker opplever </w:t>
      </w:r>
      <w:r w:rsidR="4BACAE37" w:rsidRPr="002E2EF6">
        <w:t>økt</w:t>
      </w:r>
      <w:r w:rsidR="4C1596B8" w:rsidRPr="002E2EF6">
        <w:t xml:space="preserve"> antall</w:t>
      </w:r>
      <w:r w:rsidRPr="002E2EF6">
        <w:t xml:space="preserve"> henvisninger på inngrep som fint kan gjøres i allmennpraksis (personlig meddelelse). Dersom insentivene svekkes vil en naturlig konsekvens være at fastlegene heller henviser enn å gjøre jobben selv. Dette strider mot Helsepersonellkommisjonens anbefalinger om å gjøre mer på laveste effektive omsorgsnivå.</w:t>
      </w:r>
    </w:p>
    <w:p w14:paraId="60A03429" w14:textId="6870A3EE" w:rsidR="5D55E87F" w:rsidRDefault="00084AD9" w:rsidP="002E2EF6">
      <w:r w:rsidRPr="0069523F">
        <w:rPr>
          <w:rFonts w:eastAsia="Calibri"/>
        </w:rPr>
        <w:lastRenderedPageBreak/>
        <w:t>En isolert økning i andelen basistilskudd vil gi inntektsnedgang for fastleger med korte lister. En betydelig andel av disse er unge leger som bygger liste. I denne fasen tar de ofte mange hastetime-pasien</w:t>
      </w:r>
      <w:r w:rsidRPr="2BE157A4">
        <w:t>ter for andre leger på samme kontor. Ved lavere aktivitetsbasert finansiering vil dette gi en klar skjevhet i favør av etablerte leger, og dette kan virke anti-rekrutterende. Det er også mulig at lavere innsatsstyrt komponent vil gjøre det vanskeligere å få til avtaler om kollegial fraværsdekning innad på og mellom legekontor, da det blir mindre økonomisk attraktivt å behandle andre legers pasienter. Dette vil kunne medføre høyere belastning på legevakt.</w:t>
      </w:r>
    </w:p>
    <w:p w14:paraId="18DFA29A" w14:textId="02D4E3FC" w:rsidR="5D55E87F" w:rsidRPr="00BD677E" w:rsidRDefault="00084AD9" w:rsidP="002E2EF6">
      <w:r w:rsidRPr="0069523F">
        <w:rPr>
          <w:rFonts w:eastAsia="Calibri"/>
        </w:rPr>
        <w:t xml:space="preserve">Finansiering og driftsmodell for fastleger må understøtte selve grunnmuren for åpen, uselektert primærhelsetjeneste: høy relasjonell kontinuitet og tilgjengelighet til legen innbyggeren har valgt. En tilstrekkelig finansiert næringsdriftsmodell med høy andel aktivitetsbasert finansiering gir </w:t>
      </w:r>
      <w:r w:rsidR="6AA0BB34" w:rsidRPr="0069523F">
        <w:rPr>
          <w:rFonts w:eastAsia="Calibri"/>
        </w:rPr>
        <w:t xml:space="preserve">– basert på 22 års erfaring </w:t>
      </w:r>
      <w:r w:rsidR="0069523F">
        <w:rPr>
          <w:rFonts w:eastAsia="Calibri"/>
        </w:rPr>
        <w:t>–</w:t>
      </w:r>
      <w:r w:rsidRPr="0069523F">
        <w:rPr>
          <w:rFonts w:eastAsia="Calibri"/>
        </w:rPr>
        <w:t xml:space="preserve"> best måloppnåelse, og har vært – og er </w:t>
      </w:r>
      <w:r w:rsidR="0069523F">
        <w:rPr>
          <w:rFonts w:eastAsia="Calibri"/>
        </w:rPr>
        <w:t>–</w:t>
      </w:r>
      <w:r w:rsidRPr="0069523F">
        <w:rPr>
          <w:rFonts w:eastAsia="Calibri"/>
        </w:rPr>
        <w:t xml:space="preserve"> populær blant fastlegene. Det bør derfor fortsatt være hovedmodellen. Fastlønnsmodeller bør inkludere en bonusløsning for å opprettholde tilgjengelighet og effektivitet</w:t>
      </w:r>
      <w:r w:rsidR="68697158" w:rsidRPr="2BE157A4">
        <w:rPr>
          <w:shd w:val="clear" w:color="auto" w:fill="FFFFFF"/>
        </w:rPr>
        <w:t>.</w:t>
      </w:r>
    </w:p>
    <w:p w14:paraId="5405BE07" w14:textId="77777777" w:rsidR="00D9107F" w:rsidRDefault="00084AD9" w:rsidP="002E2EF6">
      <w:pPr>
        <w:rPr>
          <w:rFonts w:eastAsia="Calibri"/>
        </w:rPr>
      </w:pPr>
      <w:r w:rsidRPr="0069523F">
        <w:rPr>
          <w:rFonts w:eastAsia="Calibri"/>
        </w:rPr>
        <w:t>Erfaringene med 50/50</w:t>
      </w:r>
      <w:r w:rsidR="36447E35" w:rsidRPr="00BD677E">
        <w:rPr>
          <w:shd w:val="clear" w:color="auto" w:fill="FFFFFF"/>
        </w:rPr>
        <w:t>-fordeling</w:t>
      </w:r>
      <w:r w:rsidR="35DAF0CD" w:rsidRPr="00BD677E">
        <w:rPr>
          <w:shd w:val="clear" w:color="auto" w:fill="FFFFFF"/>
        </w:rPr>
        <w:t xml:space="preserve"> </w:t>
      </w:r>
      <w:r w:rsidR="288508F9" w:rsidRPr="00BD677E">
        <w:rPr>
          <w:shd w:val="clear" w:color="auto" w:fill="FFFFFF"/>
        </w:rPr>
        <w:t>av basistilskudd og takster</w:t>
      </w:r>
      <w:r w:rsidRPr="00BD677E">
        <w:rPr>
          <w:shd w:val="clear" w:color="auto" w:fill="FFFFFF"/>
        </w:rPr>
        <w:t xml:space="preserve"> i fastlegeforsøket, samt de klart negative effektene av høyere basistilskudd på allmennmedisinske kjerneverdier som tilgjengelighet og kontinuitet tilsier at fordelingen mellom basis/takst bør ligge nærmere 30/70 enn 50/50. Både basistilskudd og takster trenger en kraftig økning for å få flere leger inn i ordningen. Å kun fordele annerledes innenfor rammen løser ikke fastlegekrisen, og det er ikke erfarings- eller forskningsbevis for at dette gir bedre kvalitet eller tilgjengelighet for pasientene.</w:t>
      </w:r>
    </w:p>
    <w:p w14:paraId="15F6F12A" w14:textId="13CBCF5B" w:rsidR="005304B7" w:rsidRDefault="005304B7" w:rsidP="00775632">
      <w:pPr>
        <w:pStyle w:val="Overskrift1"/>
      </w:pPr>
      <w:bookmarkStart w:id="2899" w:name="_Toc131238453"/>
      <w:bookmarkStart w:id="2900" w:name="_Toc131279484"/>
      <w:bookmarkStart w:id="2901" w:name="_Toc131286896"/>
      <w:bookmarkStart w:id="2902" w:name="_Toc131281306"/>
      <w:bookmarkStart w:id="2903" w:name="_Toc131317846"/>
      <w:bookmarkStart w:id="2904" w:name="_Toc132537003"/>
      <w:bookmarkStart w:id="2905" w:name="_Toc129630336"/>
      <w:bookmarkStart w:id="2906" w:name="_Toc130763838"/>
      <w:bookmarkStart w:id="2907" w:name="_Toc130766733"/>
      <w:bookmarkStart w:id="2908" w:name="_Ref130924603"/>
      <w:bookmarkStart w:id="2909" w:name="_Toc130932134"/>
      <w:bookmarkStart w:id="2910" w:name="_Toc130934425"/>
      <w:bookmarkStart w:id="2911" w:name="_Toc130983523"/>
      <w:bookmarkStart w:id="2912" w:name="_Toc130983872"/>
      <w:bookmarkStart w:id="2913" w:name="_Toc131062179"/>
      <w:bookmarkStart w:id="2914" w:name="_Toc131062433"/>
      <w:bookmarkStart w:id="2915" w:name="_Toc131062694"/>
      <w:bookmarkStart w:id="2916" w:name="_Toc131062947"/>
      <w:bookmarkStart w:id="2917" w:name="_Toc131063730"/>
      <w:bookmarkStart w:id="2918" w:name="_Toc131064140"/>
      <w:bookmarkEnd w:id="2896"/>
      <w:bookmarkEnd w:id="2897"/>
      <w:bookmarkEnd w:id="2898"/>
      <w:r>
        <w:t>Tverrfaglighet</w:t>
      </w:r>
      <w:bookmarkEnd w:id="2899"/>
      <w:bookmarkEnd w:id="2900"/>
      <w:bookmarkEnd w:id="2901"/>
      <w:bookmarkEnd w:id="2902"/>
      <w:bookmarkEnd w:id="2903"/>
      <w:bookmarkEnd w:id="2904"/>
    </w:p>
    <w:p w14:paraId="774C5BAD" w14:textId="2A7CD567" w:rsidR="00B80D91" w:rsidRPr="00B80D91" w:rsidRDefault="67869A37" w:rsidP="00775632">
      <w:pPr>
        <w:pStyle w:val="Overskrift2"/>
      </w:pPr>
      <w:bookmarkStart w:id="2919" w:name="_Toc131238454"/>
      <w:bookmarkStart w:id="2920" w:name="_Toc131279485"/>
      <w:bookmarkStart w:id="2921" w:name="_Toc131286897"/>
      <w:bookmarkStart w:id="2922" w:name="_Toc131281307"/>
      <w:bookmarkStart w:id="2923" w:name="_Toc131317847"/>
      <w:bookmarkStart w:id="2924" w:name="_Toc132537004"/>
      <w:r>
        <w:t>Ekspertu</w:t>
      </w:r>
      <w:r w:rsidR="49285AE8">
        <w:t>t</w:t>
      </w:r>
      <w:r>
        <w:t>valgets</w:t>
      </w:r>
      <w:r w:rsidR="00B80D91">
        <w:t xml:space="preserve"> anbefaling</w:t>
      </w:r>
      <w:bookmarkEnd w:id="2905"/>
      <w:r w:rsidR="003C4274">
        <w:t>er</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2D5908CA" w14:textId="72853818" w:rsidR="005849E5" w:rsidRPr="0069523F" w:rsidRDefault="005849E5" w:rsidP="00271041">
      <w:pPr>
        <w:jc w:val="both"/>
        <w:rPr>
          <w:color w:val="000000" w:themeColor="text1"/>
        </w:rPr>
      </w:pPr>
      <w:bookmarkStart w:id="2925" w:name="_Toc128742018"/>
      <w:bookmarkStart w:id="2926" w:name="_Toc128744613"/>
      <w:bookmarkStart w:id="2927" w:name="_Toc128744832"/>
      <w:r w:rsidRPr="0069523F">
        <w:rPr>
          <w:color w:val="000000" w:themeColor="text1"/>
        </w:rPr>
        <w:t xml:space="preserve">Ekspertutvalget mener at en allmennlegetjeneste med større bredde i det faglige tilbudet kan gi effektiv utnyttelse av ressursene. At flere helsepersonellgrupper jobber i team </w:t>
      </w:r>
      <w:r w:rsidR="001B6049" w:rsidRPr="0069523F">
        <w:rPr>
          <w:color w:val="000000" w:themeColor="text1"/>
        </w:rPr>
        <w:t>rundt</w:t>
      </w:r>
      <w:r w:rsidRPr="0069523F">
        <w:rPr>
          <w:color w:val="000000" w:themeColor="text1"/>
        </w:rPr>
        <w:t xml:space="preserve"> pasienten, kan bidra til å øke kapasiteten i fastlegetjenesten. Det kan også bedre kvaliteten i tjenesten</w:t>
      </w:r>
      <w:r w:rsidR="00127562" w:rsidRPr="0069523F">
        <w:rPr>
          <w:color w:val="000000" w:themeColor="text1"/>
        </w:rPr>
        <w:t>,</w:t>
      </w:r>
      <w:r w:rsidRPr="0069523F">
        <w:rPr>
          <w:color w:val="000000" w:themeColor="text1"/>
        </w:rPr>
        <w:t xml:space="preserve"> ved at økt tverrfaglighet i seg selv gir en merverdi. Dette gjelder både innad i fastlegekontoret, men også ved at fastlegetjenesten i større grad integreres og deler på oppgavene med annet helsepersonell i den øvrige kommunale helse- og omsorgstjenesten.</w:t>
      </w:r>
    </w:p>
    <w:p w14:paraId="69CABE9F" w14:textId="77777777" w:rsidR="00D9107F" w:rsidRDefault="6B2E9137" w:rsidP="00271041">
      <w:pPr>
        <w:jc w:val="both"/>
        <w:rPr>
          <w:color w:val="000000" w:themeColor="text1"/>
        </w:rPr>
      </w:pPr>
      <w:r w:rsidRPr="0069523F">
        <w:rPr>
          <w:color w:val="000000" w:themeColor="text1"/>
        </w:rPr>
        <w:t>F</w:t>
      </w:r>
      <w:r w:rsidR="7158B419" w:rsidRPr="0069523F">
        <w:rPr>
          <w:color w:val="000000" w:themeColor="text1"/>
        </w:rPr>
        <w:t xml:space="preserve">inansieringsordningene bør legge til rette for tverrfaglighet innenfor fastlegetjenesten. </w:t>
      </w:r>
      <w:r w:rsidR="001F4F48" w:rsidRPr="0069523F">
        <w:rPr>
          <w:color w:val="000000" w:themeColor="text1"/>
        </w:rPr>
        <w:t>Ekspertutvalget anbefaler at t</w:t>
      </w:r>
      <w:r w:rsidR="3D7C24A4" w:rsidRPr="0069523F">
        <w:rPr>
          <w:color w:val="000000" w:themeColor="text1"/>
        </w:rPr>
        <w:t>ak</w:t>
      </w:r>
      <w:r w:rsidR="4F1B4D4A" w:rsidRPr="0069523F">
        <w:rPr>
          <w:color w:val="000000" w:themeColor="text1"/>
        </w:rPr>
        <w:t>s</w:t>
      </w:r>
      <w:r w:rsidR="3D7C24A4" w:rsidRPr="0069523F">
        <w:rPr>
          <w:color w:val="000000" w:themeColor="text1"/>
        </w:rPr>
        <w:t xml:space="preserve">tsystemet bør åpne for mer delegering av oppgaver innenfor dagens </w:t>
      </w:r>
      <w:r w:rsidR="002377DD" w:rsidRPr="0069523F">
        <w:rPr>
          <w:color w:val="000000" w:themeColor="text1"/>
        </w:rPr>
        <w:t>fastlegepraksiser</w:t>
      </w:r>
      <w:r w:rsidR="0094634D" w:rsidRPr="0069523F">
        <w:rPr>
          <w:color w:val="000000" w:themeColor="text1"/>
        </w:rPr>
        <w:t>.</w:t>
      </w:r>
      <w:r w:rsidR="3D7C24A4" w:rsidRPr="0069523F">
        <w:rPr>
          <w:color w:val="000000" w:themeColor="text1"/>
        </w:rPr>
        <w:t xml:space="preserve"> </w:t>
      </w:r>
      <w:r w:rsidR="5C23EE5D" w:rsidRPr="0069523F">
        <w:rPr>
          <w:color w:val="000000" w:themeColor="text1"/>
        </w:rPr>
        <w:t xml:space="preserve">Ekspertutvalget anbefaler </w:t>
      </w:r>
      <w:r w:rsidR="00840EF3" w:rsidRPr="0069523F">
        <w:rPr>
          <w:color w:val="000000" w:themeColor="text1"/>
        </w:rPr>
        <w:t xml:space="preserve">også </w:t>
      </w:r>
      <w:r w:rsidR="5C23EE5D" w:rsidRPr="0069523F">
        <w:rPr>
          <w:color w:val="000000" w:themeColor="text1"/>
        </w:rPr>
        <w:t>innføring av profesjonsnøytrale takster for fastlegeselskap og kommunale legekontor.</w:t>
      </w:r>
    </w:p>
    <w:p w14:paraId="3AA97C99" w14:textId="57300F60" w:rsidR="00871181" w:rsidRPr="0069523F" w:rsidRDefault="3086BF5A" w:rsidP="00871181">
      <w:pPr>
        <w:jc w:val="both"/>
        <w:rPr>
          <w:color w:val="000000" w:themeColor="text1"/>
        </w:rPr>
      </w:pPr>
      <w:bookmarkStart w:id="2928" w:name="_Hlk130564781"/>
      <w:r w:rsidRPr="0069523F">
        <w:rPr>
          <w:color w:val="000000" w:themeColor="text1"/>
        </w:rPr>
        <w:lastRenderedPageBreak/>
        <w:t xml:space="preserve">Den </w:t>
      </w:r>
      <w:r w:rsidR="00F83FF8" w:rsidRPr="0069523F">
        <w:rPr>
          <w:color w:val="000000" w:themeColor="text1"/>
        </w:rPr>
        <w:t>varierende</w:t>
      </w:r>
      <w:r w:rsidRPr="0069523F">
        <w:rPr>
          <w:color w:val="000000" w:themeColor="text1"/>
        </w:rPr>
        <w:t xml:space="preserve"> ledelsesstrukturen og det individuelle utgangspunktet for dagens gruppe- og solopraksiser danner grunnlag for ekspertutvalgets anbefaling om at profesjonsnøytrale takster bør forbeholdes fastlegeselskap og kommunale fastlegekontor.</w:t>
      </w:r>
    </w:p>
    <w:p w14:paraId="131DC6B0" w14:textId="57FCA8E5" w:rsidR="00871181" w:rsidRPr="002C24AB" w:rsidRDefault="00871181" w:rsidP="00871181">
      <w:pPr>
        <w:jc w:val="both"/>
      </w:pPr>
      <w:r w:rsidRPr="0069523F">
        <w:rPr>
          <w:color w:val="000000" w:themeColor="text1"/>
        </w:rPr>
        <w:t>For å sikre at kvaliteten opprettholdes i tjenesten</w:t>
      </w:r>
      <w:r w:rsidR="00D2126B" w:rsidRPr="0069523F">
        <w:rPr>
          <w:color w:val="000000" w:themeColor="text1"/>
        </w:rPr>
        <w:t>,</w:t>
      </w:r>
      <w:r w:rsidRPr="0069523F">
        <w:rPr>
          <w:color w:val="000000" w:themeColor="text1"/>
        </w:rPr>
        <w:t xml:space="preserve"> anbefaler ekspertutvalget at det utarbeides veileder</w:t>
      </w:r>
      <w:r w:rsidR="00864354" w:rsidRPr="0069523F">
        <w:rPr>
          <w:color w:val="000000" w:themeColor="text1"/>
        </w:rPr>
        <w:t>e</w:t>
      </w:r>
      <w:r w:rsidRPr="0069523F">
        <w:rPr>
          <w:color w:val="000000" w:themeColor="text1"/>
        </w:rPr>
        <w:t xml:space="preserve"> for hvilke oppgaver andre helsepersonellgrupper på fastlegekontoret </w:t>
      </w:r>
      <w:r w:rsidR="00D54115" w:rsidRPr="0069523F">
        <w:rPr>
          <w:color w:val="000000" w:themeColor="text1"/>
        </w:rPr>
        <w:t>kan utføre</w:t>
      </w:r>
      <w:r w:rsidR="004B2190" w:rsidRPr="0069523F">
        <w:rPr>
          <w:color w:val="000000" w:themeColor="text1"/>
        </w:rPr>
        <w:t>,</w:t>
      </w:r>
      <w:r w:rsidR="00D54115" w:rsidRPr="0069523F">
        <w:rPr>
          <w:color w:val="000000" w:themeColor="text1"/>
        </w:rPr>
        <w:t xml:space="preserve"> </w:t>
      </w:r>
      <w:r w:rsidRPr="0069523F">
        <w:rPr>
          <w:color w:val="000000" w:themeColor="text1"/>
        </w:rPr>
        <w:t xml:space="preserve">innenfor rammen av forsvarlighetskravet. En veileder vil gi støtte til både fastleger og virksomhetsleder, </w:t>
      </w:r>
      <w:r w:rsidR="00D54115" w:rsidRPr="0069523F">
        <w:rPr>
          <w:color w:val="000000" w:themeColor="text1"/>
        </w:rPr>
        <w:t xml:space="preserve">og bidra til </w:t>
      </w:r>
      <w:r w:rsidRPr="0069523F">
        <w:rPr>
          <w:color w:val="000000" w:themeColor="text1"/>
        </w:rPr>
        <w:t xml:space="preserve">at det ligger gode faglige vurderinger til grunn for oppgaveløsningen. </w:t>
      </w:r>
      <w:r w:rsidR="00763784" w:rsidRPr="0069523F">
        <w:rPr>
          <w:color w:val="000000" w:themeColor="text1"/>
        </w:rPr>
        <w:t>Ekspertutvalget</w:t>
      </w:r>
      <w:r w:rsidR="008A4138" w:rsidRPr="0069523F">
        <w:rPr>
          <w:color w:val="000000" w:themeColor="text1"/>
        </w:rPr>
        <w:t xml:space="preserve"> forutsetter</w:t>
      </w:r>
      <w:r w:rsidRPr="0069523F">
        <w:rPr>
          <w:color w:val="000000" w:themeColor="text1"/>
        </w:rPr>
        <w:t xml:space="preserve"> at det </w:t>
      </w:r>
      <w:r w:rsidR="00343D9E" w:rsidRPr="0069523F">
        <w:rPr>
          <w:color w:val="000000" w:themeColor="text1"/>
        </w:rPr>
        <w:t>lokalt</w:t>
      </w:r>
      <w:r w:rsidRPr="0069523F">
        <w:rPr>
          <w:color w:val="000000" w:themeColor="text1"/>
        </w:rPr>
        <w:t xml:space="preserve"> </w:t>
      </w:r>
      <w:r w:rsidR="00D31E35" w:rsidRPr="0069523F">
        <w:rPr>
          <w:color w:val="000000" w:themeColor="text1"/>
        </w:rPr>
        <w:t>lages</w:t>
      </w:r>
      <w:r w:rsidRPr="0069523F">
        <w:rPr>
          <w:color w:val="000000" w:themeColor="text1"/>
        </w:rPr>
        <w:t xml:space="preserve"> skriftlige instrukser i form av arbeidsbeskrivelser knyttet til oppgavene</w:t>
      </w:r>
      <w:r>
        <w:t>.</w:t>
      </w:r>
    </w:p>
    <w:bookmarkEnd w:id="2928"/>
    <w:p w14:paraId="1C1DE12E" w14:textId="2F737773" w:rsidR="00871181" w:rsidRDefault="00871181" w:rsidP="009969B0">
      <w:pPr>
        <w:jc w:val="both"/>
      </w:pPr>
      <w:r>
        <w:t>Med utvidet mulighet for delegering på fastlegekontoret</w:t>
      </w:r>
      <w:r w:rsidR="00FA6AC0">
        <w:t xml:space="preserve"> og </w:t>
      </w:r>
      <w:r>
        <w:t xml:space="preserve">innføring av profesjonsnøytrale takster, vil det være nødvendig at det samtidig innføres </w:t>
      </w:r>
      <w:r w:rsidRPr="00AC6F1C">
        <w:t>tiltak for kostnadskontroll</w:t>
      </w:r>
      <w:r>
        <w:t>.</w:t>
      </w:r>
    </w:p>
    <w:p w14:paraId="6EF7EECC" w14:textId="77777777" w:rsidR="00D9107F" w:rsidRDefault="7158B419" w:rsidP="00434F37">
      <w:pPr>
        <w:jc w:val="both"/>
      </w:pPr>
      <w:r w:rsidRPr="59B80010">
        <w:t>Ekspertutvalget anbefaler at man følger med på utviklingen for å kartlegge tilsiktede og utilsiktede virkninger</w:t>
      </w:r>
      <w:r w:rsidR="004B2190">
        <w:t>,</w:t>
      </w:r>
      <w:r w:rsidR="25DFF730" w:rsidRPr="59B80010">
        <w:t xml:space="preserve"> og</w:t>
      </w:r>
      <w:r w:rsidRPr="59B80010">
        <w:t xml:space="preserve"> </w:t>
      </w:r>
      <w:r w:rsidR="6D95C34C" w:rsidRPr="59B80010">
        <w:t>for å kunne</w:t>
      </w:r>
      <w:r w:rsidRPr="59B80010">
        <w:t xml:space="preserve"> vurdere justeringer i innretningen</w:t>
      </w:r>
      <w:r w:rsidR="43B0E98D" w:rsidRPr="59B80010">
        <w:t xml:space="preserve"> på finansieringsordningen</w:t>
      </w:r>
      <w:r w:rsidRPr="59B80010">
        <w:t>.</w:t>
      </w:r>
    </w:p>
    <w:p w14:paraId="35D436AB" w14:textId="21FFD76B" w:rsidR="003A6E24" w:rsidRPr="003A6E24" w:rsidRDefault="003A6E24" w:rsidP="00775632">
      <w:pPr>
        <w:pStyle w:val="Overskrift2"/>
      </w:pPr>
      <w:bookmarkStart w:id="2929" w:name="_Ref128945200"/>
      <w:bookmarkStart w:id="2930" w:name="_Ref128945228"/>
      <w:bookmarkStart w:id="2931" w:name="_Toc129630337"/>
      <w:bookmarkStart w:id="2932" w:name="_Toc130763839"/>
      <w:bookmarkStart w:id="2933" w:name="_Toc130766734"/>
      <w:bookmarkStart w:id="2934" w:name="_Toc130932135"/>
      <w:bookmarkStart w:id="2935" w:name="_Toc130934426"/>
      <w:bookmarkStart w:id="2936" w:name="_Toc130983524"/>
      <w:bookmarkStart w:id="2937" w:name="_Toc130983873"/>
      <w:bookmarkStart w:id="2938" w:name="_Toc131062180"/>
      <w:bookmarkStart w:id="2939" w:name="_Toc131062434"/>
      <w:bookmarkStart w:id="2940" w:name="_Toc131062695"/>
      <w:bookmarkStart w:id="2941" w:name="_Toc131062948"/>
      <w:bookmarkStart w:id="2942" w:name="_Toc131063731"/>
      <w:bookmarkStart w:id="2943" w:name="_Toc131064141"/>
      <w:bookmarkStart w:id="2944" w:name="_Toc131238455"/>
      <w:bookmarkStart w:id="2945" w:name="_Toc131279486"/>
      <w:bookmarkStart w:id="2946" w:name="_Toc131286898"/>
      <w:bookmarkStart w:id="2947" w:name="_Toc131281308"/>
      <w:bookmarkStart w:id="2948" w:name="_Toc131317848"/>
      <w:bookmarkStart w:id="2949" w:name="_Toc132537005"/>
      <w:r>
        <w:t xml:space="preserve">Tverrfaglighet </w:t>
      </w:r>
      <w:r w:rsidR="00665E44">
        <w:t>på</w:t>
      </w:r>
      <w:r>
        <w:t xml:space="preserve"> fastlegekontoret</w:t>
      </w:r>
      <w:bookmarkEnd w:id="2925"/>
      <w:bookmarkEnd w:id="2926"/>
      <w:bookmarkEnd w:id="2927"/>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73C94659" w14:textId="2D0BEC67" w:rsidR="00E01E38" w:rsidRPr="0069523F" w:rsidRDefault="00554B80" w:rsidP="00271041">
      <w:pPr>
        <w:tabs>
          <w:tab w:val="num" w:pos="1440"/>
        </w:tabs>
        <w:jc w:val="both"/>
        <w:rPr>
          <w:color w:val="000000" w:themeColor="text1"/>
        </w:rPr>
      </w:pPr>
      <w:r w:rsidRPr="0069523F">
        <w:rPr>
          <w:color w:val="000000" w:themeColor="text1"/>
        </w:rPr>
        <w:t>Som en del av mandatet</w:t>
      </w:r>
      <w:r w:rsidR="003B3727" w:rsidRPr="0069523F">
        <w:rPr>
          <w:color w:val="000000" w:themeColor="text1"/>
        </w:rPr>
        <w:t>,</w:t>
      </w:r>
      <w:r w:rsidRPr="0069523F">
        <w:rPr>
          <w:color w:val="000000" w:themeColor="text1"/>
        </w:rPr>
        <w:t xml:space="preserve"> </w:t>
      </w:r>
      <w:r w:rsidR="001D1507" w:rsidRPr="0069523F">
        <w:rPr>
          <w:color w:val="000000" w:themeColor="text1"/>
        </w:rPr>
        <w:t>er</w:t>
      </w:r>
      <w:r w:rsidRPr="0069523F">
        <w:rPr>
          <w:color w:val="000000" w:themeColor="text1"/>
        </w:rPr>
        <w:t xml:space="preserve"> eksper</w:t>
      </w:r>
      <w:r w:rsidR="00907E6F" w:rsidRPr="0069523F">
        <w:rPr>
          <w:color w:val="000000" w:themeColor="text1"/>
        </w:rPr>
        <w:t>t</w:t>
      </w:r>
      <w:r w:rsidRPr="0069523F">
        <w:rPr>
          <w:color w:val="000000" w:themeColor="text1"/>
        </w:rPr>
        <w:t xml:space="preserve">utvalget </w:t>
      </w:r>
      <w:r w:rsidR="001D1507" w:rsidRPr="0069523F">
        <w:rPr>
          <w:color w:val="000000" w:themeColor="text1"/>
        </w:rPr>
        <w:t xml:space="preserve">bedt om å foreslå tiltak for å </w:t>
      </w:r>
      <w:r w:rsidRPr="0069523F">
        <w:rPr>
          <w:color w:val="000000" w:themeColor="text1"/>
        </w:rPr>
        <w:t xml:space="preserve">øke </w:t>
      </w:r>
      <w:r w:rsidRPr="0069523F">
        <w:rPr>
          <w:rFonts w:cstheme="minorHAnsi"/>
          <w:color w:val="000000" w:themeColor="text1"/>
        </w:rPr>
        <w:t>kapasiteten ved å rekruttere flere lege</w:t>
      </w:r>
      <w:r w:rsidR="00B3575D" w:rsidRPr="0069523F">
        <w:rPr>
          <w:rFonts w:cstheme="minorHAnsi"/>
          <w:color w:val="000000" w:themeColor="text1"/>
        </w:rPr>
        <w:t>r</w:t>
      </w:r>
      <w:r w:rsidRPr="0069523F">
        <w:rPr>
          <w:rFonts w:cstheme="minorHAnsi"/>
          <w:color w:val="000000" w:themeColor="text1"/>
        </w:rPr>
        <w:t>, gjennom å tilrettelegge for flere profesjoner og mer samarbeid ved allmennlegekontorene</w:t>
      </w:r>
      <w:r w:rsidR="00AE616C" w:rsidRPr="0069523F">
        <w:rPr>
          <w:rFonts w:cstheme="minorHAnsi"/>
          <w:color w:val="000000" w:themeColor="text1"/>
        </w:rPr>
        <w:t xml:space="preserve">. </w:t>
      </w:r>
      <w:bookmarkStart w:id="2950" w:name="_Hlk108443320"/>
      <w:r w:rsidR="003C6528" w:rsidRPr="0069523F">
        <w:rPr>
          <w:rFonts w:eastAsia="Calibri" w:cs="Arial"/>
          <w:color w:val="000000" w:themeColor="text1"/>
        </w:rPr>
        <w:t>Ekspert</w:t>
      </w:r>
      <w:r w:rsidR="00166FB4" w:rsidRPr="0069523F">
        <w:rPr>
          <w:rFonts w:eastAsia="Calibri" w:cs="Arial"/>
          <w:color w:val="000000" w:themeColor="text1"/>
        </w:rPr>
        <w:t>u</w:t>
      </w:r>
      <w:r w:rsidR="008F6DED" w:rsidRPr="0069523F">
        <w:rPr>
          <w:rFonts w:eastAsia="Calibri" w:cs="Arial"/>
          <w:color w:val="000000" w:themeColor="text1"/>
        </w:rPr>
        <w:t>tvalget skal også vurdere om det er oppgaver som ikke bør løses av fastlegene</w:t>
      </w:r>
      <w:r w:rsidR="00EF0C61" w:rsidRPr="0069523F">
        <w:rPr>
          <w:rFonts w:eastAsia="Calibri" w:cs="Arial"/>
          <w:color w:val="000000" w:themeColor="text1"/>
        </w:rPr>
        <w:t>. D</w:t>
      </w:r>
      <w:r w:rsidR="008F6DED" w:rsidRPr="0069523F">
        <w:rPr>
          <w:rFonts w:eastAsia="Calibri" w:cs="Arial"/>
          <w:color w:val="000000" w:themeColor="text1"/>
        </w:rPr>
        <w:t xml:space="preserve">et vil si oppgaver som kan løses av annet personell under </w:t>
      </w:r>
      <w:r w:rsidR="00274A75" w:rsidRPr="0069523F">
        <w:rPr>
          <w:rFonts w:eastAsia="Calibri" w:cs="Arial"/>
          <w:color w:val="000000" w:themeColor="text1"/>
        </w:rPr>
        <w:t xml:space="preserve">faglig </w:t>
      </w:r>
      <w:r w:rsidR="008F6DED" w:rsidRPr="0069523F">
        <w:rPr>
          <w:rFonts w:eastAsia="Calibri" w:cs="Arial"/>
          <w:color w:val="000000" w:themeColor="text1"/>
        </w:rPr>
        <w:t>ledelse av fastlegen</w:t>
      </w:r>
      <w:r w:rsidR="00F23E6A" w:rsidRPr="0069523F">
        <w:rPr>
          <w:rFonts w:eastAsia="Calibri" w:cs="Arial"/>
          <w:color w:val="000000" w:themeColor="text1"/>
        </w:rPr>
        <w:t>,</w:t>
      </w:r>
      <w:r w:rsidR="008F6DED" w:rsidRPr="0069523F">
        <w:rPr>
          <w:rFonts w:eastAsia="Calibri" w:cs="Arial"/>
          <w:color w:val="000000" w:themeColor="text1"/>
        </w:rPr>
        <w:t xml:space="preserve"> eller oppgaver som kan flyttes ut av fastlegeordningen.</w:t>
      </w:r>
      <w:bookmarkEnd w:id="2950"/>
    </w:p>
    <w:p w14:paraId="6644ACDA" w14:textId="77777777" w:rsidR="00D9107F" w:rsidRPr="00D9107F" w:rsidRDefault="375B265D" w:rsidP="00271041">
      <w:pPr>
        <w:jc w:val="both"/>
        <w:rPr>
          <w:rStyle w:val="skrift-hevet"/>
        </w:rPr>
      </w:pPr>
      <w:r w:rsidRPr="0069523F">
        <w:rPr>
          <w:color w:val="000000" w:themeColor="text1"/>
        </w:rPr>
        <w:t xml:space="preserve">Flere eldre og pasienter med større og mer komplekse behov utfordrer kompetansebehovet og arbeidsmåten i den kommunale helse- og omsorgstjenesten. For å kunne </w:t>
      </w:r>
      <w:r w:rsidR="7559885F" w:rsidRPr="0069523F">
        <w:rPr>
          <w:color w:val="000000" w:themeColor="text1"/>
        </w:rPr>
        <w:t xml:space="preserve">møte </w:t>
      </w:r>
      <w:r w:rsidR="00D66CA5" w:rsidRPr="0069523F">
        <w:rPr>
          <w:color w:val="000000" w:themeColor="text1"/>
        </w:rPr>
        <w:t>fram</w:t>
      </w:r>
      <w:r w:rsidR="7559885F" w:rsidRPr="0069523F">
        <w:rPr>
          <w:color w:val="000000" w:themeColor="text1"/>
        </w:rPr>
        <w:t>tiden</w:t>
      </w:r>
      <w:r w:rsidR="00A27698" w:rsidRPr="0069523F">
        <w:rPr>
          <w:color w:val="000000" w:themeColor="text1"/>
        </w:rPr>
        <w:t>s</w:t>
      </w:r>
      <w:r w:rsidR="7559885F" w:rsidRPr="0069523F">
        <w:rPr>
          <w:color w:val="000000" w:themeColor="text1"/>
        </w:rPr>
        <w:t xml:space="preserve"> utfordringer kan</w:t>
      </w:r>
      <w:r w:rsidR="009A148B" w:rsidRPr="0069523F">
        <w:rPr>
          <w:color w:val="000000" w:themeColor="text1"/>
        </w:rPr>
        <w:t xml:space="preserve"> </w:t>
      </w:r>
      <w:r w:rsidRPr="0069523F">
        <w:rPr>
          <w:color w:val="000000" w:themeColor="text1"/>
        </w:rPr>
        <w:t xml:space="preserve">en mer fleksibel arbeidsdeling mellom faggrupper </w:t>
      </w:r>
      <w:r>
        <w:t>og større tverrfaglig bredde være et</w:t>
      </w:r>
      <w:r w:rsidR="23C0CAA1">
        <w:t xml:space="preserve"> av flere </w:t>
      </w:r>
      <w:r>
        <w:t>virkemid</w:t>
      </w:r>
      <w:r w:rsidR="008413A9">
        <w:t>ler</w:t>
      </w:r>
      <w:r>
        <w:t xml:space="preserve">. </w:t>
      </w:r>
      <w:r w:rsidR="48BBFF9C">
        <w:t>O</w:t>
      </w:r>
      <w:r>
        <w:t xml:space="preserve">mfordeling av oppgaver mellom helsepersonell </w:t>
      </w:r>
      <w:r w:rsidR="48BBFF9C">
        <w:t xml:space="preserve">kan </w:t>
      </w:r>
      <w:r w:rsidR="4B07A80B">
        <w:t xml:space="preserve">gi </w:t>
      </w:r>
      <w:r>
        <w:t>øk</w:t>
      </w:r>
      <w:r w:rsidR="48BBFF9C">
        <w:t>t</w:t>
      </w:r>
      <w:r>
        <w:t xml:space="preserve"> fleksibilitet og effektivitet</w:t>
      </w:r>
      <w:r w:rsidR="2B71A435">
        <w:t>,</w:t>
      </w:r>
      <w:r>
        <w:t xml:space="preserve"> og en bedre samlet ressursutnyttelse</w:t>
      </w:r>
      <w:r w:rsidR="46C83D74">
        <w:t xml:space="preserve"> </w:t>
      </w:r>
      <w:r w:rsidR="00394DD1">
        <w:fldChar w:fldCharType="begin">
          <w:fldData xml:space="preserve">PEVuZE5vdGU+PENpdGU+PEF1dGhvcj5EZXZpazwvQXV0aG9yPjxZZWFyPjIwMjI8L1llYXI+PFJl
Y051bT41OTU8L1JlY051bT48RGlzcGxheVRleHQ+KERldmlrIGV0IGFsLiwgMjAyMjsgSGVsc2Vk
aXJla3RvcmF0ZXQsIDIwMTI7IE9FQ0QsIDIwMTkpPC9EaXNwbGF5VGV4dD48cmVjb3JkPjxyZWMt
bnVtYmVyPjU5NTwvcmVjLW51bWJlcj48Zm9yZWlnbi1rZXlzPjxrZXkgYXBwPSJFTiIgZGItaWQ9
Ijk1dHByMnRwNnI5eHdvZWE5cmI1d2RzejVkczV4ZWRkdGVldyIgdGltZXN0YW1wPSIxNjgwMDY5
NTExIj41OTU8L2tleT48L2ZvcmVpZ24ta2V5cz48cmVmLXR5cGUgbmFtZT0iUmVwb3J0Ij4yNzwv
cmVmLXR5cGU+PGNvbnRyaWJ1dG9ycz48YXV0aG9ycz48YXV0aG9yPkRldmlrLCBTLkEuPC9hdXRo
b3I+PGF1dGhvcj5PbHNlbiwgTS5PLjwvYXV0aG9yPjwvYXV0aG9ycz48dGVydGlhcnktYXV0aG9y
cz48YXV0aG9yPk9tc29yZ3NiaWJsaW90ZWtldDwvYXV0aG9yPjwvdGVydGlhcnktYXV0aG9ycz48
L2NvbnRyaWJ1dG9ycz48dGl0bGVzPjx0aXRsZT5PcHBnYXZlZ2xpZG5pbmcgaSBvbXNvcmdzdGpl
bmVzdGVuZSA6IGVuIGh1cnRpZ292ZXJzaWt0IG92ZXIgZm9yc2tuaW5nc2xpdHRlcmF0dXI8L3Rp
dGxlPjwvdGl0bGVzPjxudW1iZXI+T3Bwc3VtbWVyaW5nIG5yIDI5PC9udW1iZXI+PGRhdGVzPjx5
ZWFyPjIwMjI8L3llYXI+PC9kYXRlcz48cHVibGlzaGVyPlNlbnRlciBmb3Igb21zb3Jnc2ZvcnNr
bmluZzwvcHVibGlzaGVyPjx1cmxzPjwvdXJscz48L3JlY29yZD48L0NpdGU+PENpdGU+PEF1dGhv
cj5PRUNEPC9BdXRob3I+PFllYXI+MjAxOTwvWWVhcj48UmVjTnVtPjgwMzwvUmVjTnVtPjxyZWNv
cmQ+PHJlYy1udW1iZXI+ODAzPC9yZWMtbnVtYmVyPjxmb3JlaWduLWtleXM+PGtleSBhcHA9IkVO
IiBkYi1pZD0iOTV0cHIydHA2cjl4d29lYTlyYjV3ZHN6NWRzNXhlZGR0ZWV3IiB0aW1lc3RhbXA9
IjE2ODAwNjk1MTEiPjgwMzwva2V5PjwvZm9yZWlnbi1rZXlzPjxyZWYtdHlwZSBuYW1lPSJSZXBv
cnQiPjI3PC9yZWYtdHlwZT48Y29udHJpYnV0b3JzPjxhdXRob3JzPjxhdXRob3I+T0VDRDwvYXV0
aG9yPjwvYXV0aG9ycz48dGVydGlhcnktYXV0aG9ycz48YXV0aG9yPlB1YmxpY2F0aW9ucyBPZmZp
Y2Ugb2YgdGhlIEV1cm9wZWFuIFVuaW9uLCA8L2F1dGhvcj48L3RlcnRpYXJ5LWF1dGhvcnM+PC9j
b250cmlidXRvcnM+PHRpdGxlcz48dGl0bGU+VGFzayBzaGlmdGluZyBhbmQgaGVhbHRoIHN5c3Rl
bSBkZXNpZ24gOiByZXBvcnQgb2YgdGhlIEV4cGVydCBQYW5lbCBvbiBlZmZlY3RpdmUgd2F5cyBv
ZiBpbnZlc3RpbmcgaW4gSGVhbHRoIChFWFBIKTwvdGl0bGU+PC90aXRsZXM+PGRhdGVzPjx5ZWFy
PjIwMTk8L3llYXI+PC9kYXRlcz48cHViLWxvY2F0aW9uPkx1eGVtYnVyZzwvcHViLWxvY2F0aW9u
Pjx1cmxzPjxyZWxhdGVkLXVybHM+PHVybD5odHRwczovL2hlYWx0aC5lYy5ldXJvcGEuZXUvc3lz
dGVtL2ZpbGVzLzIwMTktMTEvMDIzX3Rhc2tzaGlmdGluZ19lbl8wLnBkZjwvdXJsPjwvcmVsYXRl
ZC11cmxzPjwvdXJscz48ZWxlY3Ryb25pYy1yZXNvdXJjZS1udW0+MTAuMjg3NS80Mjg3ODwvZWxl
Y3Ryb25pYy1yZXNvdXJjZS1udW0+PC9yZWNvcmQ+PC9DaXRlPjxDaXRlPjxBdXRob3I+SGVsc2Vk
aXJla3RvcmF0ZXQ8L0F1dGhvcj48WWVhcj4yMDEyPC9ZZWFyPjxSZWNOdW0+NjYyPC9SZWNOdW0+
PHJlY29yZD48cmVjLW51bWJlcj42NjI8L3JlYy1udW1iZXI+PGZvcmVpZ24ta2V5cz48a2V5IGFw
cD0iRU4iIGRiLWlkPSI5NXRwcjJ0cDZyOXh3b2VhOXJiNXdkc3o1ZHM1eGVkZHRlZXciIHRpbWVz
dGFtcD0iMTY4MDA2OTUxMSI+NjYyPC9rZXk+PC9mb3JlaWduLWtleXM+PHJlZi10eXBlIG5hbWU9
IlJlcG9ydCI+Mjc8L3JlZi10eXBlPjxjb250cmlidXRvcnM+PGF1dGhvcnM+PGF1dGhvcj5IZWxz
ZWRpcmVrdG9yYXRldDwvYXV0aG9yPjwvYXV0aG9ycz48dGVydGlhcnktYXV0aG9ycz48YXV0aG9y
PkhlbHNlZGlyZWt0b3JhdGV0PC9hdXRob3I+PC90ZXJ0aWFyeS1hdXRob3JzPjwvY29udHJpYnV0
b3JzPjx0aXRsZXM+PHRpdGxlPlByaW9yaXRlcmluZ2VyIGkgaGVsc2VzZWt0b3JlbiA6IHZlcmRp
Z3J1bm5sYWcsIHN0YXR1cyBvZyB1dGZvcmRyaW5nZXIgPC90aXRsZT48c2Vjb25kYXJ5LXRpdGxl
PlJhcHBvcnQgMjAxMjwvc2Vjb25kYXJ5LXRpdGxlPjwvdGl0bGVzPjxudW1iZXI+SVMtMTk2Nzwv
bnVtYmVyPjxkYXRlcz48eWVhcj4yMDEyPC95ZWFyPjwvZGF0ZXM+PHB1Yi1sb2NhdGlvbj5Pc2xv
PC9wdWItbG9jYXRpb24+PHVybHM+PC91cmxzPjwvcmVjb3JkPjwvQ2l0ZT48L0VuZE5vdGU+
</w:fldData>
        </w:fldChar>
      </w:r>
      <w:r w:rsidR="004654FD">
        <w:instrText xml:space="preserve"> ADDIN EN.CITE </w:instrText>
      </w:r>
      <w:r w:rsidR="004654FD">
        <w:fldChar w:fldCharType="begin">
          <w:fldData xml:space="preserve">PEVuZE5vdGU+PENpdGU+PEF1dGhvcj5EZXZpazwvQXV0aG9yPjxZZWFyPjIwMjI8L1llYXI+PFJl
Y051bT41OTU8L1JlY051bT48RGlzcGxheVRleHQ+KERldmlrIGV0IGFsLiwgMjAyMjsgSGVsc2Vk
aXJla3RvcmF0ZXQsIDIwMTI7IE9FQ0QsIDIwMTkpPC9EaXNwbGF5VGV4dD48cmVjb3JkPjxyZWMt
bnVtYmVyPjU5NTwvcmVjLW51bWJlcj48Zm9yZWlnbi1rZXlzPjxrZXkgYXBwPSJFTiIgZGItaWQ9
Ijk1dHByMnRwNnI5eHdvZWE5cmI1d2RzejVkczV4ZWRkdGVldyIgdGltZXN0YW1wPSIxNjgwMDY5
NTExIj41OTU8L2tleT48L2ZvcmVpZ24ta2V5cz48cmVmLXR5cGUgbmFtZT0iUmVwb3J0Ij4yNzwv
cmVmLXR5cGU+PGNvbnRyaWJ1dG9ycz48YXV0aG9ycz48YXV0aG9yPkRldmlrLCBTLkEuPC9hdXRo
b3I+PGF1dGhvcj5PbHNlbiwgTS5PLjwvYXV0aG9yPjwvYXV0aG9ycz48dGVydGlhcnktYXV0aG9y
cz48YXV0aG9yPk9tc29yZ3NiaWJsaW90ZWtldDwvYXV0aG9yPjwvdGVydGlhcnktYXV0aG9ycz48
L2NvbnRyaWJ1dG9ycz48dGl0bGVzPjx0aXRsZT5PcHBnYXZlZ2xpZG5pbmcgaSBvbXNvcmdzdGpl
bmVzdGVuZSA6IGVuIGh1cnRpZ292ZXJzaWt0IG92ZXIgZm9yc2tuaW5nc2xpdHRlcmF0dXI8L3Rp
dGxlPjwvdGl0bGVzPjxudW1iZXI+T3Bwc3VtbWVyaW5nIG5yIDI5PC9udW1iZXI+PGRhdGVzPjx5
ZWFyPjIwMjI8L3llYXI+PC9kYXRlcz48cHVibGlzaGVyPlNlbnRlciBmb3Igb21zb3Jnc2ZvcnNr
bmluZzwvcHVibGlzaGVyPjx1cmxzPjwvdXJscz48L3JlY29yZD48L0NpdGU+PENpdGU+PEF1dGhv
cj5PRUNEPC9BdXRob3I+PFllYXI+MjAxOTwvWWVhcj48UmVjTnVtPjgwMzwvUmVjTnVtPjxyZWNv
cmQ+PHJlYy1udW1iZXI+ODAzPC9yZWMtbnVtYmVyPjxmb3JlaWduLWtleXM+PGtleSBhcHA9IkVO
IiBkYi1pZD0iOTV0cHIydHA2cjl4d29lYTlyYjV3ZHN6NWRzNXhlZGR0ZWV3IiB0aW1lc3RhbXA9
IjE2ODAwNjk1MTEiPjgwMzwva2V5PjwvZm9yZWlnbi1rZXlzPjxyZWYtdHlwZSBuYW1lPSJSZXBv
cnQiPjI3PC9yZWYtdHlwZT48Y29udHJpYnV0b3JzPjxhdXRob3JzPjxhdXRob3I+T0VDRDwvYXV0
aG9yPjwvYXV0aG9ycz48dGVydGlhcnktYXV0aG9ycz48YXV0aG9yPlB1YmxpY2F0aW9ucyBPZmZp
Y2Ugb2YgdGhlIEV1cm9wZWFuIFVuaW9uLCA8L2F1dGhvcj48L3RlcnRpYXJ5LWF1dGhvcnM+PC9j
b250cmlidXRvcnM+PHRpdGxlcz48dGl0bGU+VGFzayBzaGlmdGluZyBhbmQgaGVhbHRoIHN5c3Rl
bSBkZXNpZ24gOiByZXBvcnQgb2YgdGhlIEV4cGVydCBQYW5lbCBvbiBlZmZlY3RpdmUgd2F5cyBv
ZiBpbnZlc3RpbmcgaW4gSGVhbHRoIChFWFBIKTwvdGl0bGU+PC90aXRsZXM+PGRhdGVzPjx5ZWFy
PjIwMTk8L3llYXI+PC9kYXRlcz48cHViLWxvY2F0aW9uPkx1eGVtYnVyZzwvcHViLWxvY2F0aW9u
Pjx1cmxzPjxyZWxhdGVkLXVybHM+PHVybD5odHRwczovL2hlYWx0aC5lYy5ldXJvcGEuZXUvc3lz
dGVtL2ZpbGVzLzIwMTktMTEvMDIzX3Rhc2tzaGlmdGluZ19lbl8wLnBkZjwvdXJsPjwvcmVsYXRl
ZC11cmxzPjwvdXJscz48ZWxlY3Ryb25pYy1yZXNvdXJjZS1udW0+MTAuMjg3NS80Mjg3ODwvZWxl
Y3Ryb25pYy1yZXNvdXJjZS1udW0+PC9yZWNvcmQ+PC9DaXRlPjxDaXRlPjxBdXRob3I+SGVsc2Vk
aXJla3RvcmF0ZXQ8L0F1dGhvcj48WWVhcj4yMDEyPC9ZZWFyPjxSZWNOdW0+NjYyPC9SZWNOdW0+
PHJlY29yZD48cmVjLW51bWJlcj42NjI8L3JlYy1udW1iZXI+PGZvcmVpZ24ta2V5cz48a2V5IGFw
cD0iRU4iIGRiLWlkPSI5NXRwcjJ0cDZyOXh3b2VhOXJiNXdkc3o1ZHM1eGVkZHRlZXciIHRpbWVz
dGFtcD0iMTY4MDA2OTUxMSI+NjYyPC9rZXk+PC9mb3JlaWduLWtleXM+PHJlZi10eXBlIG5hbWU9
IlJlcG9ydCI+Mjc8L3JlZi10eXBlPjxjb250cmlidXRvcnM+PGF1dGhvcnM+PGF1dGhvcj5IZWxz
ZWRpcmVrdG9yYXRldDwvYXV0aG9yPjwvYXV0aG9ycz48dGVydGlhcnktYXV0aG9ycz48YXV0aG9y
PkhlbHNlZGlyZWt0b3JhdGV0PC9hdXRob3I+PC90ZXJ0aWFyeS1hdXRob3JzPjwvY29udHJpYnV0
b3JzPjx0aXRsZXM+PHRpdGxlPlByaW9yaXRlcmluZ2VyIGkgaGVsc2VzZWt0b3JlbiA6IHZlcmRp
Z3J1bm5sYWcsIHN0YXR1cyBvZyB1dGZvcmRyaW5nZXIgPC90aXRsZT48c2Vjb25kYXJ5LXRpdGxl
PlJhcHBvcnQgMjAxMjwvc2Vjb25kYXJ5LXRpdGxlPjwvdGl0bGVzPjxudW1iZXI+SVMtMTk2Nzwv
bnVtYmVyPjxkYXRlcz48eWVhcj4yMDEyPC95ZWFyPjwvZGF0ZXM+PHB1Yi1sb2NhdGlvbj5Pc2xv
PC9wdWItbG9jYXRpb24+PHVybHM+PC91cmxzPjwvcmVjb3JkPjwvQ2l0ZT48L0VuZE5vdGU+
</w:fldData>
        </w:fldChar>
      </w:r>
      <w:r w:rsidR="004654FD">
        <w:instrText xml:space="preserve"> ADDIN EN.CITE.DATA </w:instrText>
      </w:r>
      <w:r w:rsidR="004654FD">
        <w:fldChar w:fldCharType="end"/>
      </w:r>
      <w:r w:rsidR="00394DD1">
        <w:fldChar w:fldCharType="separate"/>
      </w:r>
      <w:r w:rsidR="00BE43A2">
        <w:rPr>
          <w:noProof/>
        </w:rPr>
        <w:t>(Devik et al., 2022; Helsedirektoratet, 2012; OECD, 2019)</w:t>
      </w:r>
      <w:r w:rsidR="00394DD1">
        <w:fldChar w:fldCharType="end"/>
      </w:r>
      <w:r>
        <w:t>.</w:t>
      </w:r>
      <w:r w:rsidRPr="0D1EF282">
        <w:rPr>
          <w:rFonts w:eastAsia="ACaslonPro-Regular"/>
        </w:rPr>
        <w:t xml:space="preserve"> </w:t>
      </w:r>
      <w:r w:rsidR="00A25DC5">
        <w:t>P</w:t>
      </w:r>
      <w:r>
        <w:t xml:space="preserve">asienter og brukere </w:t>
      </w:r>
      <w:r w:rsidR="00A25DC5">
        <w:t xml:space="preserve">etterspør </w:t>
      </w:r>
      <w:r w:rsidR="2FC4FD07">
        <w:t xml:space="preserve">mer </w:t>
      </w:r>
      <w:r>
        <w:t>tverrfaglighet</w:t>
      </w:r>
      <w:r w:rsidR="5CC74C2D">
        <w:t>,</w:t>
      </w:r>
      <w:r>
        <w:t xml:space="preserve"> og </w:t>
      </w:r>
      <w:r w:rsidR="5CC74C2D">
        <w:t xml:space="preserve">en </w:t>
      </w:r>
      <w:r>
        <w:t>bedre integrering av fastlegen i den øvrige helse- og omsorgstjenesten</w:t>
      </w:r>
      <w:r w:rsidR="6970B17B">
        <w:t xml:space="preserve"> </w:t>
      </w:r>
      <w:r w:rsidR="00BE43A2">
        <w:fldChar w:fldCharType="begin"/>
      </w:r>
      <w:r w:rsidR="00235862">
        <w:instrText xml:space="preserve"> ADDIN EN.CITE &lt;EndNote&gt;&lt;Cite&gt;&lt;Author&gt;Helse- og omsorgsdepartementet&lt;/Author&gt;&lt;Year&gt;2015&lt;/Year&gt;&lt;RecNum&gt;278&lt;/RecNum&gt;&lt;DisplayText&gt;(Helse- og omsorgsdepartementet, 2015a)&lt;/DisplayText&gt;&lt;record&gt;&lt;rec-number&gt;278&lt;/rec-number&gt;&lt;foreign-keys&gt;&lt;key app="EN" db-id="95tpr2tp6r9xwoea9rb5wdsz5ds5xeddteew" timestamp="1680069511"&gt;278&lt;/key&gt;&lt;/foreign-keys&gt;&lt;ref-type name="Report"&gt;27&lt;/ref-type&gt;&lt;contributors&gt;&lt;authors&gt;&lt;author&gt;Helse- og omsorgsdepartementet,&lt;/author&gt;&lt;/authors&gt;&lt;/contributors&gt;&lt;titles&gt;&lt;title&gt;Meld. St. 26 (2014–2015). Fremtidens primærhelsetjeneste - nærhet og helhet&lt;/title&gt;&lt;/titles&gt;&lt;number&gt;Meld. St. 26 (2014–2015)&lt;/number&gt;&lt;keywords&gt;&lt;keyword&gt;primærhelsetjeneste&lt;/keyword&gt;&lt;keyword&gt;helsetjeneste&lt;/keyword&gt;&lt;keyword&gt;helsetjenester&lt;/keyword&gt;&lt;keyword&gt;helsevesen&lt;/keyword&gt;&lt;keyword&gt;kommunehelsetjeneste&lt;/keyword&gt;&lt;keyword&gt;tverrfaglig&lt;/keyword&gt;&lt;keyword&gt;barn&lt;/keyword&gt;&lt;keyword&gt;unge&lt;/keyword&gt;&lt;keyword&gt;ungdom&lt;/keyword&gt;&lt;keyword&gt;voksne&lt;/keyword&gt;&lt;keyword&gt;eldre&lt;/keyword&gt;&lt;keyword&gt;habilitering&lt;/keyword&gt;&lt;keyword&gt;rehabilitering&lt;/keyword&gt;&lt;keyword&gt;kompetanse&lt;/keyword&gt;&lt;keyword&gt;ledelse&lt;/keyword&gt;&lt;keyword&gt;pasientsikkerhet&lt;/keyword&gt;&lt;keyword&gt;digitale&lt;/keyword&gt;&lt;keyword&gt;psykiske&lt;/keyword&gt;&lt;keyword&gt;psykisk&lt;/keyword&gt;&lt;keyword&gt;lidelser&lt;/keyword&gt;&lt;keyword&gt;rus&lt;/keyword&gt;&lt;keyword&gt;rusmisbruk&lt;/keyword&gt;&lt;keyword&gt;kronisk&lt;/keyword&gt;&lt;keyword&gt;tannhelse&lt;/keyword&gt;&lt;keyword&gt;innvandrere&lt;/keyword&gt;&lt;keyword&gt;innsatte&lt;/keyword&gt;&lt;keyword&gt;samervold&lt;/keyword&gt;&lt;keyword&gt;seksuelle&lt;/keyword&gt;&lt;keyword&gt;overgrep&lt;/keyword&gt;&lt;/keywords&gt;&lt;dates&gt;&lt;year&gt;2015&lt;/year&gt;&lt;/dates&gt;&lt;pub-location&gt;Oslo&lt;/pub-location&gt;&lt;publisher&gt;Helse- og omsorgsdepartementet,&lt;/publisher&gt;&lt;urls&gt;&lt;/urls&gt;&lt;/record&gt;&lt;/Cite&gt;&lt;/EndNote&gt;</w:instrText>
      </w:r>
      <w:r w:rsidR="00BE43A2">
        <w:fldChar w:fldCharType="separate"/>
      </w:r>
      <w:r w:rsidR="00BE43A2">
        <w:rPr>
          <w:noProof/>
        </w:rPr>
        <w:t>(Helse- og omsorgsdepartementet, 2015a)</w:t>
      </w:r>
      <w:r w:rsidR="00BE43A2">
        <w:fldChar w:fldCharType="end"/>
      </w:r>
      <w:r>
        <w:t>.</w:t>
      </w:r>
    </w:p>
    <w:p w14:paraId="0340F694" w14:textId="73A80EF8" w:rsidR="00770B08" w:rsidRPr="009847EB" w:rsidRDefault="08132FC9" w:rsidP="00271041">
      <w:pPr>
        <w:jc w:val="both"/>
      </w:pPr>
      <w:r>
        <w:t xml:space="preserve">Å ha flere faggrupper på fastlegekontoret kan </w:t>
      </w:r>
      <w:r w:rsidR="0029544E">
        <w:t>frem</w:t>
      </w:r>
      <w:r w:rsidR="5D921EB6">
        <w:t>me</w:t>
      </w:r>
      <w:r>
        <w:t xml:space="preserve"> samarbeidet med andre kommunale </w:t>
      </w:r>
      <w:r w:rsidR="607DA8C3">
        <w:t>tjenester</w:t>
      </w:r>
      <w:r w:rsidR="39A9D23B">
        <w:t>,</w:t>
      </w:r>
      <w:r>
        <w:t xml:space="preserve"> og </w:t>
      </w:r>
      <w:r w:rsidR="4D05010A">
        <w:t xml:space="preserve">bedre </w:t>
      </w:r>
      <w:r>
        <w:t xml:space="preserve">deres tilgang til fastlegen. Forskjellige faggrupper representerer ulike kunnskapsområder, og kan bidra med fagspesifikk kompetanse og </w:t>
      </w:r>
      <w:r w:rsidR="00516699">
        <w:t xml:space="preserve">andre </w:t>
      </w:r>
      <w:r>
        <w:t xml:space="preserve">perspektiver inn i det allmennmedisinske arbeidet. Det kan være hensiktsmessig også </w:t>
      </w:r>
      <w:r w:rsidR="00665E44">
        <w:t>på</w:t>
      </w:r>
      <w:r>
        <w:t xml:space="preserve"> fastlegekontoret, i møte med </w:t>
      </w:r>
      <w:r w:rsidR="009D2E41">
        <w:t xml:space="preserve">listeinnbyggere </w:t>
      </w:r>
      <w:r>
        <w:t>med stadig mer sammensatt</w:t>
      </w:r>
      <w:r w:rsidR="652D79F0">
        <w:t>e</w:t>
      </w:r>
      <w:r>
        <w:t xml:space="preserve"> behov og flere kroniske lidelser.</w:t>
      </w:r>
    </w:p>
    <w:p w14:paraId="5223C849" w14:textId="101E4463" w:rsidR="00770B08" w:rsidRDefault="00770B08" w:rsidP="00271041">
      <w:pPr>
        <w:jc w:val="both"/>
        <w:rPr>
          <w:rFonts w:cstheme="minorHAnsi"/>
        </w:rPr>
      </w:pPr>
      <w:r>
        <w:t xml:space="preserve">Eksempler på personellgrupper som jobber på fastlegekontor er helsesekretær, bioingeniør, sykepleier og jordmor. </w:t>
      </w:r>
      <w:r w:rsidRPr="001B6C6B">
        <w:t xml:space="preserve">Disse gruppene er i dagens ordning legens medhjelpere og bidrar til å </w:t>
      </w:r>
      <w:r w:rsidRPr="001B6C6B">
        <w:lastRenderedPageBreak/>
        <w:t>avlaste fastlegene på ulike måter, og deres pasientrettede arbeid utføres etter å ha blitt overlatt bestemte oppgaver fra legen.</w:t>
      </w:r>
      <w:r>
        <w:t xml:space="preserve"> </w:t>
      </w:r>
      <w:r w:rsidR="001B4BED">
        <w:t>S</w:t>
      </w:r>
      <w:r w:rsidR="00677A7A">
        <w:t>elv om enkelte personellgrupper er representerte</w:t>
      </w:r>
      <w:r w:rsidR="001B4BED">
        <w:t xml:space="preserve">, er det i dag få faggrupper og lite omfang av tverrfaglighet </w:t>
      </w:r>
      <w:r w:rsidR="00D47273">
        <w:t>på</w:t>
      </w:r>
      <w:r w:rsidR="001B4BED">
        <w:t xml:space="preserve"> fastlegekontor</w:t>
      </w:r>
      <w:r w:rsidR="00245917">
        <w:t>et</w:t>
      </w:r>
      <w:r w:rsidR="003D374E">
        <w:t>, særlig sammenliknet med våre naboland</w:t>
      </w:r>
      <w:r w:rsidR="0038235D">
        <w:t xml:space="preserve"> </w:t>
      </w:r>
      <w:r w:rsidR="0038235D">
        <w:fldChar w:fldCharType="begin">
          <w:fldData xml:space="preserve">PEVuZE5vdGU+PENpdGU+PEF1dGhvcj5NYWllcjwvQXV0aG9yPjxZZWFyPjIwMTY8L1llYXI+PFJl
Y051bT44MDk8L1JlY051bT48RGlzcGxheVRleHQ+KE1haWVyIGV0IGFsLiwgMjAxNjsgU2t1ZGFs
IGV0IGFsLiwgMjAxOSk8L0Rpc3BsYXlUZXh0PjxyZWNvcmQ+PHJlYy1udW1iZXI+ODA5PC9yZWMt
bnVtYmVyPjxmb3JlaWduLWtleXM+PGtleSBhcHA9IkVOIiBkYi1pZD0iOTV0cHIydHA2cjl4d29l
YTlyYjV3ZHN6NWRzNXhlZGR0ZWV3IiB0aW1lc3RhbXA9IjE2ODAwNjk1MTEiPjgwOTwva2V5Pjwv
Zm9yZWlnbi1rZXlzPjxyZWYtdHlwZSBuYW1lPSJKb3VybmFsIEFydGljbGUiPjE3PC9yZWYtdHlw
ZT48Y29udHJpYnV0b3JzPjxhdXRob3JzPjxhdXRob3I+TWFpZXIsIEMuIEIuPC9hdXRob3I+PGF1
dGhvcj5BaWtlbiwgTC4gSC48L2F1dGhvcj48L2F1dGhvcnM+PC9jb250cmlidXRvcnM+PGF1dGgt
YWRkcmVzcz5NYWllciwgQ2xhdWRpYSBCLiBIYXJrbmVzcyAmYW1wOyBCLiBCcmF1biBGZWxsb3cg
aW4gSGVhbHRoY2FyZSBQb2xpY3kgYW5kIFByYWN0aWNlLCBDZW50ZXIgZm9yIEhlYWx0aCwgT3V0
Y29tZXMgYW5kIFBvbGljeSBSZXNlYXJjaCwgU2Nob29sIG9mIE51cnNpbmcsIFVuaXZlcnNpdHkg
b2YgUGVubnN5bHZhbmlhLCBDbGFpcmUgRmFnaW4gSGFsbCwgNDE4IEN1cmllIEJsdmQsIFBoaWxh
ZGVscGhpYSwgUEEgMTkxMDQtNDIxNywgVVNBIGMubWFpZXJAdHUtYmVybGluLmRlIG1haWVyY0Bu
dXJzaW5nLnVwZW5uLmVkdS4mI3hEO01haWVyLCBDbGF1ZGlhIEIuIERlcGFydG1lbnQgb2YgSGVh
bHRoY2FyZSBNYW5hZ2VtZW50LCBUZWNobmlzY2hlIFVuaXZlcnNpdGF0IEJlcmxpbiwgU3RyYXNz
ZSBkZXMgMTcuIEp1bmkgMTM1LCBCZXJsaW4gMTA2MjMsIEdlcm1hbnkuJiN4RDtBaWtlbiwgTGlu
ZGEgSC4gQ2xhaXJlIE0gRmFnaW4gUHJvZmVzc29yIGFuZCBEaXJlY3RvciwgQ2VudGVyIGZvciBI
ZWFsdGggT3V0Y29tZXMgYW5kIFBvbGljeSBSZXNlYXJjaCwgU2Nob29sIG9mIE51cnNpbmcsIFNl
bmlvciBGZWxsb3csIExlb25hcmQgRGF2aXMgSW5zdGl0dXRlIGZvciBIZWFsdGggRWNvbm9taWNz
LCBVbml2ZXJzaXR5IG9mIFBlbm5zeWx2YW5pYSwgNDE4IEN1cmllIEJsdmQsIENsYWlyZSBNLiBG
YWdpbiBIYWxsLCAzODdSLCBQaGlsYWRlbHBoaWEsIFBBIDE5MTA0LTQyMTcsIFVTQS48L2F1dGgt
YWRkcmVzcz48dGl0bGVzPjx0aXRsZT5UYXNrIHNoaWZ0aW5nIGZyb20gcGh5c2ljaWFucyB0byBu
dXJzZXMgaW4gcHJpbWFyeSBjYXJlIGluIDM5IGNvdW50cmllczogYSBjcm9zcy1jb3VudHJ5IGNv
bXBhcmF0aXZlIHN0dWR5PC90aXRsZT48c2Vjb25kYXJ5LXRpdGxlPkV1cm9wZWFuIEpvdXJuYWwg
b2YgUHVibGljIEhlYWx0aDwvc2Vjb25kYXJ5LXRpdGxlPjxhbHQtdGl0bGU+RXVyIEogUHVibGlj
IEhlYWx0aDwvYWx0LXRpdGxlPjwvdGl0bGVzPjxwZXJpb2RpY2FsPjxmdWxsLXRpdGxlPkV1cm9w
ZWFuIEpvdXJuYWwgb2YgUHVibGljIEhlYWx0aDwvZnVsbC10aXRsZT48YWJici0xPkV1ciBKIFB1
YmxpYyBIZWFsdGg8L2FiYnItMT48L3BlcmlvZGljYWw+PGFsdC1wZXJpb2RpY2FsPjxmdWxsLXRp
dGxlPkV1ciBKIFB1YmxpYyBIZWFsdGg8L2Z1bGwtdGl0bGU+PC9hbHQtcGVyaW9kaWNhbD48cGFn
ZXM+OTI3LTkzNDwvcGFnZXM+PHZvbHVtZT4yNjwvdm9sdW1lPjxudW1iZXI+NjwvbnVtYmVyPjxr
ZXl3b3Jkcz48a2V5d29yZD5BdXN0cmFsaWE8L2tleXdvcmQ+PGtleXdvcmQ+RXVyb3BlPC9rZXl3
b3JkPjxrZXl3b3JkPkhlYWx0aCBTZXJ2aWNlcyBSZXNlYXJjaDwva2V5d29yZD48a2V5d29yZD5I
dW1hbnM8L2tleXdvcmQ+PGtleXdvcmQ+TmV3IFplYWxhbmQ8L2tleXdvcmQ+PGtleXdvcmQ+Tm9y
dGggQW1lcmljYTwva2V5d29yZD48a2V5d29yZD5OdXJzZSZhcG9zO3MgUm9sZTwva2V5d29yZD48
a2V5d29yZD4qTnVyc2VzL29nIFtPcmdhbml6YXRpb24gJmFtcDsgQWRtaW5pc3RyYXRpb25dPC9r
ZXl3b3JkPjxrZXl3b3JkPlBoeXNpY2lhbiZhcG9zO3MgUm9sZTwva2V5d29yZD48a2V5d29yZD4q
UGh5c2ljaWFucy9vZyBbT3JnYW5pemF0aW9uICZhbXA7IEFkbWluaXN0cmF0aW9uXTwva2V5d29y
ZD48a2V5d29yZD4qUG9saWN5PC9rZXl3b3JkPjxrZXl3b3JkPipQcmltYXJ5IEhlYWx0aCBDYXJl
L29nIFtPcmdhbml6YXRpb24gJmFtcDsgQWRtaW5pc3RyYXRpb25dPC9rZXl3b3JkPjwva2V5d29y
ZHM+PGRhdGVzPjx5ZWFyPjIwMTY8L3llYXI+PHB1Yi1kYXRlcz48ZGF0ZT4xMjwvZGF0ZT48L3B1
Yi1kYXRlcz48L2RhdGVzPjxpc2JuPjE0NjQtMzYwWDwvaXNibj48YWNjZXNzaW9uLW51bT4yNzQ4
NTcxOTwvYWNjZXNzaW9uLW51bT48d29yay10eXBlPkNvbXBhcmF0aXZlIFN0dWR5JiN4RDtSZXNl
YXJjaCBTdXBwb3J0LCBOb24tVS5TLiBHb3YmYXBvczt0PC93b3JrLXR5cGU+PHVybHM+PHJlbGF0
ZWQtdXJscz48dXJsPmh0dHBzOi8vb3ZpZHNwLm92aWQuY29tL292aWR3ZWIuY2dpP1Q9SlMmYW1w
O0NTQz1ZJmFtcDtORVdTPU4mYW1wO1BBR0U9ZnVsbHRleHQmYW1wO0Q9bWVkMTMmYW1wO0FOPTI3
NDg1NzE5PC91cmw+PHVybD5odHRwOi8vb3BlbnVybC5iaWJzeXMubm8vb3BlbnVybD9vdG9vbD1p
bm9pcGhsaWI/c2lkPU9WSUQ6bWVkbGluZSZhbXA7aWQ9cG1pZDoyNzQ4NTcxOSZhbXA7aWQ9ZG9p
OjEwLjEwOTMlMkZldXJwdWIlMkZja3cwOTgmYW1wO2lzc249MTEwMS0xMjYyJmFtcDtpc2JuPSZh
bXA7dm9sdW1lPTI2JmFtcDtpc3N1ZT02JmFtcDtzcGFnZT05MjcmYW1wO3BhZ2VzPTkyNy05MzQm
YW1wO2RhdGU9MjAxNiZhbXA7dGl0bGU9RXVyb3BlYW4rSm91cm5hbCtvZitQdWJsaWMrSGVhbHRo
JmFtcDthdGl0bGU9VGFzaytzaGlmdGluZytmcm9tK3BoeXNpY2lhbnMrdG8rbnVyc2VzK2luK3By
aW1hcnkrY2FyZStpbiszOStjb3VudHJpZXMlM0ErYStjcm9zcy1jb3VudHJ5K2NvbXBhcmF0aXZl
K3N0dWR5LiZhbXA7YXVsYXN0PU1haWVyJmFtcDtwaWQ9JTNDYXV0aG9yJTNFTWFpZXIrQ0IlM0Ml
MkZhdXRob3IlM0UlM0NBTiUzRTI3NDg1NzE5JTNDJTJGQU4lM0UlM0NEVCUzRUNvbXBhcmF0aXZl
K1N0dWR5JTNDJTJGRFQlM0U8L3VybD48L3JlbGF0ZWQtdXJscz48L3VybHM+PHJlbW90ZS1kYXRh
YmFzZS1uYW1lPk1FRExJTkU8L3JlbW90ZS1kYXRhYmFzZS1uYW1lPjxyZW1vdGUtZGF0YWJhc2Ut
cHJvdmlkZXI+T3ZpZCBUZWNobm9sb2dpZXM8L3JlbW90ZS1kYXRhYmFzZS1wcm92aWRlcj48bGFu
Z3VhZ2U+RW5nbGlzaDwvbGFuZ3VhZ2U+PC9yZWNvcmQ+PC9DaXRlPjxDaXRlPjxBdXRob3I+U2t1
ZGFsPC9BdXRob3I+PFllYXI+MjAxOTwvWWVhcj48UmVjTnVtPjk2PC9SZWNOdW0+PHJlY29yZD48
cmVjLW51bWJlcj45NjwvcmVjLW51bWJlcj48Zm9yZWlnbi1rZXlzPjxrZXkgYXBwPSJFTiIgZGIt
aWQ9Ijk1dHByMnRwNnI5eHdvZWE5cmI1d2RzejVkczV4ZWRkdGVldyIgdGltZXN0YW1wPSIxNjgw
MDY5NTExIj45Njwva2V5PjwvZm9yZWlnbi1rZXlzPjxyZWYtdHlwZSBuYW1lPSJSZXBvcnQiPjI3
PC9yZWYtdHlwZT48Y29udHJpYnV0b3JzPjxhdXRob3JzPjxhdXRob3I+U2t1ZGFsLCBLamVyc3Rp
IEVlZzwvYXV0aG9yPjxhdXRob3I+SG9sbWJvZSwgT2xhZjwvYXV0aG9yPjxhdXRob3I+QmplcnRu
w6ZzLCDDmHl2aW5kIEFuZHJlc2VuPC9hdXRob3I+PGF1dGhvcj5UZWxsZSwgS2pldGlsIEVsaWFz
PC9hdXRob3I+PC9hdXRob3JzPjwvY29udHJpYnV0b3JzPjx0aXRsZXM+PHRpdGxlPkNvbW1vbndl
YWx0aCBGdW5kLXVuZGVyc8O4a2Vsc2VuIGJsYW50IGFsbG1lbm5sZWdlciBpIGVsbGV2ZSBsYW5k
IGkgMjAxOTogdGFiZWxscmFwcG9ydDwvdGl0bGU+PC90aXRsZXM+PGRhdGVzPjx5ZWFyPjIwMTk8
L3llYXI+PC9kYXRlcz48cHViLWxvY2F0aW9uPk9zbG88L3B1Yi1sb2NhdGlvbj48cHVibGlzaGVy
PkZvbGtlaGVsc2VpbnN0aXR1dHRldDwvcHVibGlzaGVyPjx1cmxzPjwvdXJscz48L3JlY29yZD48
L0NpdGU+PC9FbmROb3RlPn==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Y051bT44MDk8L1JlY051bT48RGlzcGxheVRleHQ+KE1haWVyIGV0IGFsLiwgMjAxNjsgU2t1ZGFs
IGV0IGFsLiwgMjAxOSk8L0Rpc3BsYXlUZXh0PjxyZWNvcmQ+PHJlYy1udW1iZXI+ODA5PC9yZWMt
bnVtYmVyPjxmb3JlaWduLWtleXM+PGtleSBhcHA9IkVOIiBkYi1pZD0iOTV0cHIydHA2cjl4d29l
YTlyYjV3ZHN6NWRzNXhlZGR0ZWV3IiB0aW1lc3RhbXA9IjE2ODAwNjk1MTEiPjgwOTwva2V5Pjwv
Zm9yZWlnbi1rZXlzPjxyZWYtdHlwZSBuYW1lPSJKb3VybmFsIEFydGljbGUiPjE3PC9yZWYtdHlw
ZT48Y29udHJpYnV0b3JzPjxhdXRob3JzPjxhdXRob3I+TWFpZXIsIEMuIEIuPC9hdXRob3I+PGF1
dGhvcj5BaWtlbiwgTC4gSC48L2F1dGhvcj48L2F1dGhvcnM+PC9jb250cmlidXRvcnM+PGF1dGgt
YWRkcmVzcz5NYWllciwgQ2xhdWRpYSBCLiBIYXJrbmVzcyAmYW1wOyBCLiBCcmF1biBGZWxsb3cg
aW4gSGVhbHRoY2FyZSBQb2xpY3kgYW5kIFByYWN0aWNlLCBDZW50ZXIgZm9yIEhlYWx0aCwgT3V0
Y29tZXMgYW5kIFBvbGljeSBSZXNlYXJjaCwgU2Nob29sIG9mIE51cnNpbmcsIFVuaXZlcnNpdHkg
b2YgUGVubnN5bHZhbmlhLCBDbGFpcmUgRmFnaW4gSGFsbCwgNDE4IEN1cmllIEJsdmQsIFBoaWxh
ZGVscGhpYSwgUEEgMTkxMDQtNDIxNywgVVNBIGMubWFpZXJAdHUtYmVybGluLmRlIG1haWVyY0Bu
dXJzaW5nLnVwZW5uLmVkdS4mI3hEO01haWVyLCBDbGF1ZGlhIEIuIERlcGFydG1lbnQgb2YgSGVh
bHRoY2FyZSBNYW5hZ2VtZW50LCBUZWNobmlzY2hlIFVuaXZlcnNpdGF0IEJlcmxpbiwgU3RyYXNz
ZSBkZXMgMTcuIEp1bmkgMTM1LCBCZXJsaW4gMTA2MjMsIEdlcm1hbnkuJiN4RDtBaWtlbiwgTGlu
ZGEgSC4gQ2xhaXJlIE0gRmFnaW4gUHJvZmVzc29yIGFuZCBEaXJlY3RvciwgQ2VudGVyIGZvciBI
ZWFsdGggT3V0Y29tZXMgYW5kIFBvbGljeSBSZXNlYXJjaCwgU2Nob29sIG9mIE51cnNpbmcsIFNl
bmlvciBGZWxsb3csIExlb25hcmQgRGF2aXMgSW5zdGl0dXRlIGZvciBIZWFsdGggRWNvbm9taWNz
LCBVbml2ZXJzaXR5IG9mIFBlbm5zeWx2YW5pYSwgNDE4IEN1cmllIEJsdmQsIENsYWlyZSBNLiBG
YWdpbiBIYWxsLCAzODdSLCBQaGlsYWRlbHBoaWEsIFBBIDE5MTA0LTQyMTcsIFVTQS48L2F1dGgt
YWRkcmVzcz48dGl0bGVzPjx0aXRsZT5UYXNrIHNoaWZ0aW5nIGZyb20gcGh5c2ljaWFucyB0byBu
dXJzZXMgaW4gcHJpbWFyeSBjYXJlIGluIDM5IGNvdW50cmllczogYSBjcm9zcy1jb3VudHJ5IGNv
bXBhcmF0aXZlIHN0dWR5PC90aXRsZT48c2Vjb25kYXJ5LXRpdGxlPkV1cm9wZWFuIEpvdXJuYWwg
b2YgUHVibGljIEhlYWx0aDwvc2Vjb25kYXJ5LXRpdGxlPjxhbHQtdGl0bGU+RXVyIEogUHVibGlj
IEhlYWx0aDwvYWx0LXRpdGxlPjwvdGl0bGVzPjxwZXJpb2RpY2FsPjxmdWxsLXRpdGxlPkV1cm9w
ZWFuIEpvdXJuYWwgb2YgUHVibGljIEhlYWx0aDwvZnVsbC10aXRsZT48YWJici0xPkV1ciBKIFB1
YmxpYyBIZWFsdGg8L2FiYnItMT48L3BlcmlvZGljYWw+PGFsdC1wZXJpb2RpY2FsPjxmdWxsLXRp
dGxlPkV1ciBKIFB1YmxpYyBIZWFsdGg8L2Z1bGwtdGl0bGU+PC9hbHQtcGVyaW9kaWNhbD48cGFn
ZXM+OTI3LTkzNDwvcGFnZXM+PHZvbHVtZT4yNjwvdm9sdW1lPjxudW1iZXI+NjwvbnVtYmVyPjxr
ZXl3b3Jkcz48a2V5d29yZD5BdXN0cmFsaWE8L2tleXdvcmQ+PGtleXdvcmQ+RXVyb3BlPC9rZXl3
b3JkPjxrZXl3b3JkPkhlYWx0aCBTZXJ2aWNlcyBSZXNlYXJjaDwva2V5d29yZD48a2V5d29yZD5I
dW1hbnM8L2tleXdvcmQ+PGtleXdvcmQ+TmV3IFplYWxhbmQ8L2tleXdvcmQ+PGtleXdvcmQ+Tm9y
dGggQW1lcmljYTwva2V5d29yZD48a2V5d29yZD5OdXJzZSZhcG9zO3MgUm9sZTwva2V5d29yZD48
a2V5d29yZD4qTnVyc2VzL29nIFtPcmdhbml6YXRpb24gJmFtcDsgQWRtaW5pc3RyYXRpb25dPC9r
ZXl3b3JkPjxrZXl3b3JkPlBoeXNpY2lhbiZhcG9zO3MgUm9sZTwva2V5d29yZD48a2V5d29yZD4q
UGh5c2ljaWFucy9vZyBbT3JnYW5pemF0aW9uICZhbXA7IEFkbWluaXN0cmF0aW9uXTwva2V5d29y
ZD48a2V5d29yZD4qUG9saWN5PC9rZXl3b3JkPjxrZXl3b3JkPipQcmltYXJ5IEhlYWx0aCBDYXJl
L29nIFtPcmdhbml6YXRpb24gJmFtcDsgQWRtaW5pc3RyYXRpb25dPC9rZXl3b3JkPjwva2V5d29y
ZHM+PGRhdGVzPjx5ZWFyPjIwMTY8L3llYXI+PHB1Yi1kYXRlcz48ZGF0ZT4xMjwvZGF0ZT48L3B1
Yi1kYXRlcz48L2RhdGVzPjxpc2JuPjE0NjQtMzYwWDwvaXNibj48YWNjZXNzaW9uLW51bT4yNzQ4
NTcxOTwvYWNjZXNzaW9uLW51bT48d29yay10eXBlPkNvbXBhcmF0aXZlIFN0dWR5JiN4RDtSZXNl
YXJjaCBTdXBwb3J0LCBOb24tVS5TLiBHb3YmYXBvczt0PC93b3JrLXR5cGU+PHVybHM+PHJlbGF0
ZWQtdXJscz48dXJsPmh0dHBzOi8vb3ZpZHNwLm92aWQuY29tL292aWR3ZWIuY2dpP1Q9SlMmYW1w
O0NTQz1ZJmFtcDtORVdTPU4mYW1wO1BBR0U9ZnVsbHRleHQmYW1wO0Q9bWVkMTMmYW1wO0FOPTI3
NDg1NzE5PC91cmw+PHVybD5odHRwOi8vb3BlbnVybC5iaWJzeXMubm8vb3BlbnVybD9vdG9vbD1p
bm9pcGhsaWI/c2lkPU9WSUQ6bWVkbGluZSZhbXA7aWQ9cG1pZDoyNzQ4NTcxOSZhbXA7aWQ9ZG9p
OjEwLjEwOTMlMkZldXJwdWIlMkZja3cwOTgmYW1wO2lzc249MTEwMS0xMjYyJmFtcDtpc2JuPSZh
bXA7dm9sdW1lPTI2JmFtcDtpc3N1ZT02JmFtcDtzcGFnZT05MjcmYW1wO3BhZ2VzPTkyNy05MzQm
YW1wO2RhdGU9MjAxNiZhbXA7dGl0bGU9RXVyb3BlYW4rSm91cm5hbCtvZitQdWJsaWMrSGVhbHRo
JmFtcDthdGl0bGU9VGFzaytzaGlmdGluZytmcm9tK3BoeXNpY2lhbnMrdG8rbnVyc2VzK2luK3By
aW1hcnkrY2FyZStpbiszOStjb3VudHJpZXMlM0ErYStjcm9zcy1jb3VudHJ5K2NvbXBhcmF0aXZl
K3N0dWR5LiZhbXA7YXVsYXN0PU1haWVyJmFtcDtwaWQ9JTNDYXV0aG9yJTNFTWFpZXIrQ0IlM0Ml
MkZhdXRob3IlM0UlM0NBTiUzRTI3NDg1NzE5JTNDJTJGQU4lM0UlM0NEVCUzRUNvbXBhcmF0aXZl
K1N0dWR5JTNDJTJGRFQlM0U8L3VybD48L3JlbGF0ZWQtdXJscz48L3VybHM+PHJlbW90ZS1kYXRh
YmFzZS1uYW1lPk1FRExJTkU8L3JlbW90ZS1kYXRhYmFzZS1uYW1lPjxyZW1vdGUtZGF0YWJhc2Ut
cHJvdmlkZXI+T3ZpZCBUZWNobm9sb2dpZXM8L3JlbW90ZS1kYXRhYmFzZS1wcm92aWRlcj48bGFu
Z3VhZ2U+RW5nbGlzaDwvbGFuZ3VhZ2U+PC9yZWNvcmQ+PC9DaXRlPjxDaXRlPjxBdXRob3I+U2t1
ZGFsPC9BdXRob3I+PFllYXI+MjAxOTwvWWVhcj48UmVjTnVtPjk2PC9SZWNOdW0+PHJlY29yZD48
cmVjLW51bWJlcj45NjwvcmVjLW51bWJlcj48Zm9yZWlnbi1rZXlzPjxrZXkgYXBwPSJFTiIgZGIt
aWQ9Ijk1dHByMnRwNnI5eHdvZWE5cmI1d2RzejVkczV4ZWRkdGVldyIgdGltZXN0YW1wPSIxNjgw
MDY5NTExIj45Njwva2V5PjwvZm9yZWlnbi1rZXlzPjxyZWYtdHlwZSBuYW1lPSJSZXBvcnQiPjI3
PC9yZWYtdHlwZT48Y29udHJpYnV0b3JzPjxhdXRob3JzPjxhdXRob3I+U2t1ZGFsLCBLamVyc3Rp
IEVlZzwvYXV0aG9yPjxhdXRob3I+SG9sbWJvZSwgT2xhZjwvYXV0aG9yPjxhdXRob3I+QmplcnRu
w6ZzLCDDmHl2aW5kIEFuZHJlc2VuPC9hdXRob3I+PGF1dGhvcj5UZWxsZSwgS2pldGlsIEVsaWFz
PC9hdXRob3I+PC9hdXRob3JzPjwvY29udHJpYnV0b3JzPjx0aXRsZXM+PHRpdGxlPkNvbW1vbndl
YWx0aCBGdW5kLXVuZGVyc8O4a2Vsc2VuIGJsYW50IGFsbG1lbm5sZWdlciBpIGVsbGV2ZSBsYW5k
IGkgMjAxOTogdGFiZWxscmFwcG9ydDwvdGl0bGU+PC90aXRsZXM+PGRhdGVzPjx5ZWFyPjIwMTk8
L3llYXI+PC9kYXRlcz48cHViLWxvY2F0aW9uPk9zbG88L3B1Yi1sb2NhdGlvbj48cHVibGlzaGVy
PkZvbGtlaGVsc2VpbnN0aXR1dHRldDwvcHVibGlzaGVyPjx1cmxzPjwvdXJscz48L3JlY29yZD48
L0NpdGU+PC9FbmROb3RlPn==
</w:fldData>
        </w:fldChar>
      </w:r>
      <w:r w:rsidR="004654FD">
        <w:instrText xml:space="preserve"> ADDIN EN.CITE.DATA </w:instrText>
      </w:r>
      <w:r w:rsidR="004654FD">
        <w:fldChar w:fldCharType="end"/>
      </w:r>
      <w:r w:rsidR="0038235D">
        <w:fldChar w:fldCharType="separate"/>
      </w:r>
      <w:r w:rsidR="004654FD">
        <w:rPr>
          <w:noProof/>
        </w:rPr>
        <w:t>(Maier et al., 2016; Skudal et al., 2019)</w:t>
      </w:r>
      <w:r w:rsidR="0038235D">
        <w:fldChar w:fldCharType="end"/>
      </w:r>
      <w:r w:rsidR="0038235D">
        <w:t>.</w:t>
      </w:r>
      <w:r w:rsidR="00677A7A">
        <w:rPr>
          <w:rFonts w:cstheme="minorHAnsi"/>
          <w:color w:val="202124"/>
          <w:shd w:val="clear" w:color="auto" w:fill="FFFFFF"/>
        </w:rPr>
        <w:t xml:space="preserve"> Det kan se ut til at måten fastlegetjenesten er organise</w:t>
      </w:r>
      <w:r w:rsidR="00245917">
        <w:rPr>
          <w:rFonts w:cstheme="minorHAnsi"/>
          <w:color w:val="202124"/>
          <w:shd w:val="clear" w:color="auto" w:fill="FFFFFF"/>
        </w:rPr>
        <w:t>r</w:t>
      </w:r>
      <w:r w:rsidR="00966810">
        <w:rPr>
          <w:rFonts w:cstheme="minorHAnsi"/>
          <w:color w:val="202124"/>
          <w:shd w:val="clear" w:color="auto" w:fill="FFFFFF"/>
        </w:rPr>
        <w:t>t</w:t>
      </w:r>
      <w:r w:rsidR="00677A7A">
        <w:rPr>
          <w:rFonts w:cstheme="minorHAnsi"/>
          <w:color w:val="202124"/>
          <w:shd w:val="clear" w:color="auto" w:fill="FFFFFF"/>
        </w:rPr>
        <w:t xml:space="preserve"> og finansier</w:t>
      </w:r>
      <w:r w:rsidR="00966810">
        <w:rPr>
          <w:rFonts w:cstheme="minorHAnsi"/>
          <w:color w:val="202124"/>
          <w:shd w:val="clear" w:color="auto" w:fill="FFFFFF"/>
        </w:rPr>
        <w:t>t på i dag</w:t>
      </w:r>
      <w:r w:rsidR="00245917">
        <w:rPr>
          <w:rFonts w:cstheme="minorHAnsi"/>
          <w:color w:val="202124"/>
          <w:shd w:val="clear" w:color="auto" w:fill="FFFFFF"/>
        </w:rPr>
        <w:t>,</w:t>
      </w:r>
      <w:r w:rsidR="00677A7A">
        <w:rPr>
          <w:rFonts w:cstheme="minorHAnsi"/>
          <w:color w:val="202124"/>
          <w:shd w:val="clear" w:color="auto" w:fill="FFFFFF"/>
        </w:rPr>
        <w:t xml:space="preserve"> </w:t>
      </w:r>
      <w:r w:rsidR="00677A7A">
        <w:t>forhindrer ny og hensiktsmessig arbeidsdeling mellom helsepersonellgrupper.</w:t>
      </w:r>
    </w:p>
    <w:p w14:paraId="340977EC" w14:textId="77777777" w:rsidR="00D9107F" w:rsidRDefault="00770B08" w:rsidP="00734131">
      <w:pPr>
        <w:autoSpaceDE w:val="0"/>
        <w:autoSpaceDN w:val="0"/>
        <w:adjustRightInd w:val="0"/>
        <w:jc w:val="both"/>
      </w:pPr>
      <w:r>
        <w:t>H</w:t>
      </w:r>
      <w:r w:rsidRPr="00C86778">
        <w:rPr>
          <w:rFonts w:cstheme="minorHAnsi"/>
        </w:rPr>
        <w:t>vordan ulike faggruppe</w:t>
      </w:r>
      <w:r w:rsidR="000E3E78">
        <w:rPr>
          <w:rFonts w:cstheme="minorHAnsi"/>
        </w:rPr>
        <w:t>r</w:t>
      </w:r>
      <w:r w:rsidRPr="00C86778">
        <w:rPr>
          <w:rFonts w:cstheme="minorHAnsi"/>
        </w:rPr>
        <w:t xml:space="preserve"> inngå</w:t>
      </w:r>
      <w:r>
        <w:rPr>
          <w:rFonts w:cstheme="minorHAnsi"/>
        </w:rPr>
        <w:t>r</w:t>
      </w:r>
      <w:r w:rsidRPr="00C86778">
        <w:rPr>
          <w:rFonts w:cstheme="minorHAnsi"/>
        </w:rPr>
        <w:t xml:space="preserve"> </w:t>
      </w:r>
      <w:r>
        <w:rPr>
          <w:rFonts w:cstheme="minorHAnsi"/>
        </w:rPr>
        <w:t xml:space="preserve">i arbeidet </w:t>
      </w:r>
      <w:r w:rsidR="00D47273">
        <w:rPr>
          <w:rFonts w:cstheme="minorHAnsi"/>
        </w:rPr>
        <w:t>på</w:t>
      </w:r>
      <w:r>
        <w:rPr>
          <w:rFonts w:cstheme="minorHAnsi"/>
        </w:rPr>
        <w:t xml:space="preserve"> fastlegekontoret </w:t>
      </w:r>
      <w:r w:rsidRPr="00C86778">
        <w:rPr>
          <w:rFonts w:cstheme="minorHAnsi"/>
        </w:rPr>
        <w:t xml:space="preserve">og samarbeidet </w:t>
      </w:r>
      <w:r>
        <w:rPr>
          <w:rFonts w:cstheme="minorHAnsi"/>
        </w:rPr>
        <w:t>mellom dem, kan organiseres på ulike måter. Grad av samarbeid</w:t>
      </w:r>
      <w:r w:rsidR="008413A9">
        <w:rPr>
          <w:rFonts w:cstheme="minorHAnsi"/>
        </w:rPr>
        <w:t>,</w:t>
      </w:r>
      <w:r>
        <w:rPr>
          <w:rFonts w:cstheme="minorHAnsi"/>
        </w:rPr>
        <w:t xml:space="preserve"> og hvordan samhandling praktiseres</w:t>
      </w:r>
      <w:r w:rsidR="008413A9">
        <w:rPr>
          <w:rFonts w:cstheme="minorHAnsi"/>
        </w:rPr>
        <w:t>,</w:t>
      </w:r>
      <w:r>
        <w:rPr>
          <w:rFonts w:cstheme="minorHAnsi"/>
        </w:rPr>
        <w:t xml:space="preserve"> kan variere. Erfaringer fra andre land viser at en rekke oppgaver kan være egnet til omfordeling fra fastlegen til andre personellgrupper. Omfordeling av oppgaver, også kalt </w:t>
      </w:r>
      <w:r w:rsidR="006C7C4E">
        <w:rPr>
          <w:rFonts w:cstheme="minorHAnsi"/>
        </w:rPr>
        <w:t>oppgavedeling</w:t>
      </w:r>
      <w:r>
        <w:rPr>
          <w:rFonts w:cstheme="minorHAnsi"/>
        </w:rPr>
        <w:t>, kan utføres med ulike grad av selvstendighet. Det er relevant å vurdere om annet helsepersonell kun skal utføre arbeidsoppgaver istedenfor fastlegen</w:t>
      </w:r>
      <w:r w:rsidR="008413A9">
        <w:rPr>
          <w:rFonts w:cstheme="minorHAnsi"/>
        </w:rPr>
        <w:t>,</w:t>
      </w:r>
      <w:r>
        <w:rPr>
          <w:rFonts w:cstheme="minorHAnsi"/>
        </w:rPr>
        <w:t xml:space="preserve"> eller i tillegg til fastlegen.</w:t>
      </w:r>
    </w:p>
    <w:p w14:paraId="4041D7BF" w14:textId="621E0096" w:rsidR="00D039C5" w:rsidRDefault="00D039C5" w:rsidP="00D039C5">
      <w:pPr>
        <w:autoSpaceDE w:val="0"/>
        <w:autoSpaceDN w:val="0"/>
        <w:adjustRightInd w:val="0"/>
        <w:jc w:val="center"/>
      </w:pPr>
      <w:r w:rsidRPr="00BA4A62">
        <w:rPr>
          <w:noProof/>
        </w:rPr>
        <w:drawing>
          <wp:inline distT="0" distB="0" distL="0" distR="0" wp14:anchorId="7656A0B5" wp14:editId="528C63D6">
            <wp:extent cx="4392047" cy="4216917"/>
            <wp:effectExtent l="0" t="0" r="0" b="0"/>
            <wp:docPr id="1371" name="Picture 1371" descr="Et bilde som inneholder tekst&#10;&#10;Automatisk generert beskrivelse">
              <a:extLst xmlns:a="http://schemas.openxmlformats.org/drawingml/2006/main">
                <a:ext uri="{FF2B5EF4-FFF2-40B4-BE49-F238E27FC236}">
                  <a16:creationId xmlns:a16="http://schemas.microsoft.com/office/drawing/2014/main" id="{B045D5EC-77FB-56F5-EA0D-C6FBF302D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tekst&#10;&#10;Automatisk generert beskrivelse">
                      <a:extLst>
                        <a:ext uri="{FF2B5EF4-FFF2-40B4-BE49-F238E27FC236}">
                          <a16:creationId xmlns:a16="http://schemas.microsoft.com/office/drawing/2014/main" id="{B045D5EC-77FB-56F5-EA0D-C6FBF302DBC9}"/>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l="15913" t="23655" r="12160" b="24189"/>
                    <a:stretch/>
                  </pic:blipFill>
                  <pic:spPr bwMode="auto">
                    <a:xfrm>
                      <a:off x="0" y="0"/>
                      <a:ext cx="4415424" cy="4239362"/>
                    </a:xfrm>
                    <a:custGeom>
                      <a:avLst/>
                      <a:gdLst/>
                      <a:ahLst/>
                      <a:cxnLst/>
                      <a:rect l="l" t="t" r="r" b="b"/>
                      <a:pathLst>
                        <a:path w="6649908" h="6856413">
                          <a:moveTo>
                            <a:pt x="0" y="0"/>
                          </a:moveTo>
                          <a:lnTo>
                            <a:pt x="6559859" y="0"/>
                          </a:lnTo>
                          <a:lnTo>
                            <a:pt x="6572145" y="79394"/>
                          </a:lnTo>
                          <a:cubicBezTo>
                            <a:pt x="6857782" y="2230562"/>
                            <a:pt x="6243159" y="4473353"/>
                            <a:pt x="6528796" y="6624522"/>
                          </a:cubicBezTo>
                          <a:lnTo>
                            <a:pt x="6564680" y="6856413"/>
                          </a:lnTo>
                          <a:lnTo>
                            <a:pt x="0" y="6856413"/>
                          </a:lnTo>
                          <a:close/>
                        </a:path>
                      </a:pathLst>
                    </a:custGeom>
                    <a:ln>
                      <a:noFill/>
                    </a:ln>
                    <a:extLst>
                      <a:ext uri="{53640926-AAD7-44D8-BBD7-CCE9431645EC}">
                        <a14:shadowObscured xmlns:a14="http://schemas.microsoft.com/office/drawing/2010/main"/>
                      </a:ext>
                    </a:extLst>
                  </pic:spPr>
                </pic:pic>
              </a:graphicData>
            </a:graphic>
          </wp:inline>
        </w:drawing>
      </w:r>
    </w:p>
    <w:p w14:paraId="457BFEAD" w14:textId="77777777" w:rsidR="00D9107F" w:rsidRDefault="375B265D" w:rsidP="00775632">
      <w:pPr>
        <w:pStyle w:val="Overskrift3"/>
      </w:pPr>
      <w:bookmarkStart w:id="2951" w:name="_Toc128742019"/>
      <w:bookmarkStart w:id="2952" w:name="_Toc128744614"/>
      <w:bookmarkStart w:id="2953" w:name="_Toc128744833"/>
      <w:bookmarkStart w:id="2954" w:name="_Toc129630338"/>
      <w:bookmarkStart w:id="2955" w:name="_Toc130763840"/>
      <w:bookmarkStart w:id="2956" w:name="_Toc130766735"/>
      <w:bookmarkStart w:id="2957" w:name="_Toc130932136"/>
      <w:bookmarkStart w:id="2958" w:name="_Toc130934427"/>
      <w:bookmarkStart w:id="2959" w:name="_Toc130983525"/>
      <w:bookmarkStart w:id="2960" w:name="_Toc130983874"/>
      <w:bookmarkStart w:id="2961" w:name="_Toc131062181"/>
      <w:bookmarkStart w:id="2962" w:name="_Toc131062435"/>
      <w:bookmarkStart w:id="2963" w:name="_Toc131062696"/>
      <w:bookmarkStart w:id="2964" w:name="_Toc131062949"/>
      <w:bookmarkStart w:id="2965" w:name="_Toc131063732"/>
      <w:bookmarkStart w:id="2966" w:name="_Toc131064142"/>
      <w:bookmarkStart w:id="2967" w:name="_Toc131238456"/>
      <w:bookmarkStart w:id="2968" w:name="_Toc131279487"/>
      <w:bookmarkStart w:id="2969" w:name="_Toc131286899"/>
      <w:bookmarkStart w:id="2970" w:name="_Toc131281309"/>
      <w:bookmarkStart w:id="2971" w:name="_Toc131317849"/>
      <w:bookmarkStart w:id="2972" w:name="_Toc132537006"/>
      <w:r>
        <w:t>Regulering av oppgaver mellom personellgrupper</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2A3309B" w14:textId="6A4A751E" w:rsidR="00770B08" w:rsidRDefault="00770B08" w:rsidP="00271041">
      <w:pPr>
        <w:jc w:val="both"/>
      </w:pPr>
      <w:r>
        <w:t>Norsk rett regulerer i liten grad hvilke grupper av helsepersonell som kan gjøre ulike oppgaver. Det er i stedet gitt en generell lov om helsepersonell (helsepersonelloven), som regulerer helsepersonellets ansvar og plikter, herunder regler om autorisasjon, lisens og reaksjoner ved brudd på lovens bestemmelser.</w:t>
      </w:r>
    </w:p>
    <w:p w14:paraId="566FF75D" w14:textId="0A43C4E2" w:rsidR="00D9107F" w:rsidRDefault="00770B08" w:rsidP="00271041">
      <w:pPr>
        <w:jc w:val="both"/>
      </w:pPr>
      <w:r>
        <w:lastRenderedPageBreak/>
        <w:t xml:space="preserve">Helsepersonelloven regulerer ikke hvilke konkrete oppgaver de enkelte helsepersonellgruppene har adgang til å utføre, og er således langt på vei profesjonsnøytral. Loven stiller i </w:t>
      </w:r>
      <w:r w:rsidR="00D9107F">
        <w:t>§ 4</w:t>
      </w:r>
      <w:r>
        <w:t xml:space="preserve"> et krav til at helsepersonell </w:t>
      </w:r>
      <w:r w:rsidRPr="00480298">
        <w:t>skal utføre sitt arbeid i samsvar med de krav til faglig forsvarlighet og omsorgsfull hjelp som kan forventes ut fra helsepersonellets kvalifikasjoner, arbeidets karakter og situasjonen for øvri</w:t>
      </w:r>
      <w:r>
        <w:t xml:space="preserve">g. </w:t>
      </w:r>
      <w:r w:rsidR="00AB3ECA">
        <w:t>F</w:t>
      </w:r>
      <w:r>
        <w:t>orsvarlighetskravet benyttes som rettesnor</w:t>
      </w:r>
      <w:r w:rsidR="009A3067">
        <w:t>,</w:t>
      </w:r>
      <w:r>
        <w:t xml:space="preserve"> for vurderingen av hvilke oppgaver helsepersonellet kan utføre.</w:t>
      </w:r>
    </w:p>
    <w:p w14:paraId="5CC824B9" w14:textId="40E61993" w:rsidR="00770B08" w:rsidRDefault="00770B08" w:rsidP="007A6D75">
      <w:pPr>
        <w:jc w:val="both"/>
      </w:pPr>
      <w:r>
        <w:t>Hva som skal til for at et helsepersonell anses å handle faglig forsvarlig, skal bedømmes ut fra det en kan forvente på bakgrunn av helsepersonellets kvalifikasjoner, arbeidets karakter og situasjonen for øvrig. K</w:t>
      </w:r>
      <w:r w:rsidR="00EC2347">
        <w:t>ravene</w:t>
      </w:r>
      <w:r>
        <w:t xml:space="preserve"> omfatter både formelle og reelle kvalifikasjoner, d</w:t>
      </w:r>
      <w:r w:rsidR="004B2190">
        <w:t>et vil si</w:t>
      </w:r>
      <w:r>
        <w:t xml:space="preserve"> helsefaglig utdanning, tilleggsutdanning og erfaring. Fag- og yrkesorganisasjoners normer og yrkesetiske regler vil også være veiledende for hvilke forventninger man kan ha til kvalifikasjoner hos de respektive helsepersonellgruppe</w:t>
      </w:r>
      <w:r w:rsidR="001408B7">
        <w:t>ne</w:t>
      </w:r>
      <w:r>
        <w:t>.</w:t>
      </w:r>
      <w:r w:rsidRPr="00480298">
        <w:t xml:space="preserve"> </w:t>
      </w:r>
      <w:r>
        <w:t xml:space="preserve">Hva den enkelte er kvalifisert til, er en objektiv vurdering, men forsvarlighetskravet tilsier at det enkelte helsepersonell </w:t>
      </w:r>
      <w:r w:rsidR="00DB2097">
        <w:t xml:space="preserve">må </w:t>
      </w:r>
      <w:r>
        <w:t>vurder</w:t>
      </w:r>
      <w:r w:rsidR="00DB2097">
        <w:t>e</w:t>
      </w:r>
      <w:r>
        <w:t xml:space="preserve"> om det har tilstrekkelige kvalifikasjoner</w:t>
      </w:r>
      <w:r w:rsidR="001408B7">
        <w:t>,</w:t>
      </w:r>
      <w:r>
        <w:t xml:space="preserve"> eller om pasienten bør henvises videre, eventuelt om spesialistkompetanse bør innhentes.</w:t>
      </w:r>
    </w:p>
    <w:p w14:paraId="0535AFD1" w14:textId="50578195" w:rsidR="00770B08" w:rsidRDefault="00845852" w:rsidP="007A6D75">
      <w:pPr>
        <w:jc w:val="both"/>
      </w:pPr>
      <w:r>
        <w:t>A</w:t>
      </w:r>
      <w:r w:rsidR="00770B08">
        <w:t xml:space="preserve">rbeidets karakter og situasjonen for øvrig må </w:t>
      </w:r>
      <w:r>
        <w:t>også</w:t>
      </w:r>
      <w:r w:rsidR="00770B08">
        <w:t xml:space="preserve"> vurderes, herunder de generelle rammebetingelsene som helsepersonellet er bundet av, hvilket utstyr og ressurser de har til rådighet</w:t>
      </w:r>
      <w:r w:rsidR="001408B7">
        <w:t>,</w:t>
      </w:r>
      <w:r w:rsidR="00770B08">
        <w:t xml:space="preserve"> og hvorvidt </w:t>
      </w:r>
      <w:r w:rsidR="00D3674F">
        <w:t xml:space="preserve">det </w:t>
      </w:r>
      <w:r w:rsidR="00770B08">
        <w:t>er nødvendig å handle raskt eller ikke.</w:t>
      </w:r>
    </w:p>
    <w:p w14:paraId="40EADDEA" w14:textId="5DFCEF4F" w:rsidR="00D9107F" w:rsidRDefault="00770B08" w:rsidP="007A6D75">
      <w:pPr>
        <w:jc w:val="both"/>
      </w:pPr>
      <w:r>
        <w:t>Forsvarlighetskravet er en individuell plikt for alt helsepersonell, og dersom man opptrer uforsvarlig, kan dette medføre reaksjoner</w:t>
      </w:r>
      <w:r w:rsidR="001408B7">
        <w:t>,</w:t>
      </w:r>
      <w:r>
        <w:t xml:space="preserve"> som faglig pålegg eller tilbakekall</w:t>
      </w:r>
      <w:r w:rsidR="001408B7">
        <w:t>ing</w:t>
      </w:r>
      <w:r>
        <w:t xml:space="preserve"> av autorisasjon/lisens/spesialistgodkjenning, jf. helsepersonelloven §</w:t>
      </w:r>
      <w:r w:rsidR="00D9107F">
        <w:t>§ 5</w:t>
      </w:r>
      <w:r>
        <w:t>6 og 57.</w:t>
      </w:r>
      <w:r w:rsidRPr="00510E6B">
        <w:t xml:space="preserve"> Virksomheter som </w:t>
      </w:r>
      <w:r>
        <w:t>yter</w:t>
      </w:r>
      <w:r w:rsidRPr="00510E6B">
        <w:t xml:space="preserve"> helse- og omsorgstjenester er </w:t>
      </w:r>
      <w:r>
        <w:t xml:space="preserve">i tillegg </w:t>
      </w:r>
      <w:r w:rsidRPr="00510E6B">
        <w:t>pålagt å organisere seg slik at helsepersonellet som jobber der</w:t>
      </w:r>
      <w:r w:rsidR="00C41042">
        <w:t>,</w:t>
      </w:r>
      <w:r w:rsidRPr="00510E6B">
        <w:t xml:space="preserve"> </w:t>
      </w:r>
      <w:r w:rsidR="009262B7">
        <w:t>er</w:t>
      </w:r>
      <w:r w:rsidRPr="00510E6B">
        <w:t xml:space="preserve"> i stand til å overholde sine lovpålagte plikter, herunder å opptre i tråd med kravene om faglig forsvarlighet, jf. helsepersonelloven </w:t>
      </w:r>
      <w:r w:rsidR="00D9107F">
        <w:t>§ </w:t>
      </w:r>
      <w:r w:rsidR="00D9107F" w:rsidRPr="00510E6B">
        <w:t>1</w:t>
      </w:r>
      <w:r w:rsidRPr="00510E6B">
        <w:t>6.</w:t>
      </w:r>
      <w:r>
        <w:t xml:space="preserve"> Både kommunen og staten ved de regionale helseforetakene er pålagt å sørge for at helse- og omsorgstjenestene som ytes i h</w:t>
      </w:r>
      <w:r w:rsidR="001408B7">
        <w:t>enholdsvis</w:t>
      </w:r>
      <w:r>
        <w:t xml:space="preserve"> kommunen og spesialisthelsetjenesten er forsvarlige, jf. helse- og omsorgstjenesteloven </w:t>
      </w:r>
      <w:r w:rsidR="00D9107F">
        <w:t>§ 4</w:t>
      </w:r>
      <w:r>
        <w:t xml:space="preserve">-1 og spesialisthelsetjenesteloven </w:t>
      </w:r>
      <w:r w:rsidR="00D9107F">
        <w:t>§ 2</w:t>
      </w:r>
      <w:r>
        <w:t>-2.</w:t>
      </w:r>
    </w:p>
    <w:p w14:paraId="57FBE7D9" w14:textId="40B90489" w:rsidR="00D9107F" w:rsidRDefault="00770B08" w:rsidP="007A6D75">
      <w:pPr>
        <w:jc w:val="both"/>
      </w:pPr>
      <w:r>
        <w:t xml:space="preserve">I situasjoner der helsepersonell samarbeider, er det </w:t>
      </w:r>
      <w:r w:rsidRPr="005A3C45">
        <w:t>legen</w:t>
      </w:r>
      <w:r>
        <w:t xml:space="preserve"> som skal</w:t>
      </w:r>
      <w:r w:rsidRPr="005A3C45">
        <w:t xml:space="preserve"> ta beslutninger i medisinske spørsmål som gjelder undersøkelse og behandling av den enkelte pasient</w:t>
      </w:r>
      <w:r>
        <w:t>, jf</w:t>
      </w:r>
      <w:r w:rsidR="006506CA">
        <w:t>.</w:t>
      </w:r>
      <w:r>
        <w:t xml:space="preserve"> helsepersonelloven </w:t>
      </w:r>
      <w:r w:rsidR="00D9107F">
        <w:t>§ 4</w:t>
      </w:r>
      <w:r>
        <w:t xml:space="preserve"> tredje ledd. </w:t>
      </w:r>
      <w:r w:rsidRPr="005A3C45">
        <w:t xml:space="preserve">Hensikten </w:t>
      </w:r>
      <w:r>
        <w:t xml:space="preserve">med bestemmelsen </w:t>
      </w:r>
      <w:r w:rsidRPr="005A3C45">
        <w:t>er at den som har de beste faglige kvalifikasjoner</w:t>
      </w:r>
      <w:r w:rsidR="006506CA">
        <w:t>,</w:t>
      </w:r>
      <w:r w:rsidRPr="005A3C45">
        <w:t xml:space="preserve"> tar beslutningen når flere personellgrupper virker sammen</w:t>
      </w:r>
      <w:r w:rsidR="004B2190">
        <w:t>,</w:t>
      </w:r>
      <w:r w:rsidRPr="005A3C45">
        <w:t xml:space="preserve"> og å hindre at helsepersonell overprøver beslutninger fattet av personell med bedre faglige forutsetninger.</w:t>
      </w:r>
      <w:r>
        <w:t xml:space="preserve"> </w:t>
      </w:r>
      <w:r w:rsidRPr="005A3C45">
        <w:t>Det vil være leger som bestemmer behandlingsregimet ved sykehusinnleggelser</w:t>
      </w:r>
      <w:r w:rsidR="004B2190">
        <w:t>,</w:t>
      </w:r>
      <w:r w:rsidRPr="005A3C45">
        <w:t xml:space="preserve"> og tar avgjørelser om operative inngrep, medikamentell behandling, bruk av anestesi, og andre undersøkelses- og behandlingsformer som krever medisinsk kyndighet. Andre tilfeller der det kan tenkes at legen bør ha et særskilt beslutningsansvar, kan være nødrettssituasjoner der flere typer helsepersonell blir stilt overfor en felles oppgave. Kravet om at legen tar beslutninger i </w:t>
      </w:r>
      <w:r w:rsidRPr="005A3C45">
        <w:lastRenderedPageBreak/>
        <w:t xml:space="preserve">medisinske spørsmål, utelukker imidlertid ikke at annet helsepersonell kan utføre diagnostikk og ta beslutninger </w:t>
      </w:r>
      <w:r w:rsidR="003325CE">
        <w:t>innenfor sine fagområder</w:t>
      </w:r>
      <w:r w:rsidRPr="005A3C45">
        <w:t>.</w:t>
      </w:r>
    </w:p>
    <w:p w14:paraId="5F207453" w14:textId="0D502DDB" w:rsidR="004B2190" w:rsidRDefault="004B2190" w:rsidP="007A6D75">
      <w:pPr>
        <w:jc w:val="both"/>
      </w:pPr>
      <w:r>
        <w:t>De fleste oppgavene som utføres i kommunehelsetjenesten gjøres uten at lege er tilstede</w:t>
      </w:r>
      <w:r w:rsidR="00C20477">
        <w:t>,</w:t>
      </w:r>
      <w:r>
        <w:t xml:space="preserve"> eller i nærheten. </w:t>
      </w:r>
      <w:r w:rsidR="00C20477">
        <w:t xml:space="preserve">Samtidig er det mange oppgaver som andre enn legene kan være faglig best kvalifisert til å utføre. Eksempelvis kan en </w:t>
      </w:r>
      <w:r w:rsidR="00C20477" w:rsidRPr="002E426C">
        <w:t xml:space="preserve">jordmor ha bedre kvalifikasjoner enn </w:t>
      </w:r>
      <w:r w:rsidR="77EA2A5A">
        <w:t>allmennlegen</w:t>
      </w:r>
      <w:r w:rsidR="00C20477" w:rsidRPr="002E426C">
        <w:t xml:space="preserve"> relatert til graviditet og fødsel, en psykiatrisk sykepleier med utdanning innen kognitiv terapi eller behandling av rusrelaterte lidelser kan ha bedre kvalifikasjoner enn legen til oppfølging og behandling av en rekke psykiske lidelser, og en fysioterapeut kan være bedre kvalifisert på muskel-skjelettområdet.</w:t>
      </w:r>
    </w:p>
    <w:p w14:paraId="1B7F86B6" w14:textId="1CCC7908" w:rsidR="00770B08" w:rsidRDefault="00770B08" w:rsidP="007A6D75">
      <w:pPr>
        <w:jc w:val="both"/>
      </w:pPr>
      <w:r>
        <w:t>I tillegg til forsvarlighetskravet, stiller lovgivningen på enkelte områder krav om at man skal inneha en spesifikk kompetanse for å utføre en oppgave. Dette gjelder eksempelvis rekvirering av legemidler, der det i hovedsak er leger som har rekvi</w:t>
      </w:r>
      <w:r w:rsidR="001408B7">
        <w:t>sisjon</w:t>
      </w:r>
      <w:r>
        <w:t>srett</w:t>
      </w:r>
      <w:r w:rsidR="009C4E03">
        <w:t xml:space="preserve">. </w:t>
      </w:r>
      <w:r w:rsidR="65431794">
        <w:t xml:space="preserve">Også </w:t>
      </w:r>
      <w:r>
        <w:t>andre grupper av helsepersonell kan rekvirere noen typer legemidler</w:t>
      </w:r>
      <w:r w:rsidR="004A772F">
        <w:t xml:space="preserve">, </w:t>
      </w:r>
      <w:r>
        <w:t xml:space="preserve">eksempelvis kan jordmor og helsesykepleier rekvirere prevensjonsmidler, og tannleger kan rekvirere nødvendige legemidler i forbindelse med tannbehandling, jf. forskrift om rekvirering og utlevering av legemidler </w:t>
      </w:r>
      <w:r w:rsidR="00D9107F">
        <w:t>§ 3</w:t>
      </w:r>
      <w:r>
        <w:t>-1 og §</w:t>
      </w:r>
      <w:r w:rsidR="00D9107F">
        <w:t>§ 7</w:t>
      </w:r>
      <w:r>
        <w:t>-1 flg.</w:t>
      </w:r>
    </w:p>
    <w:p w14:paraId="065FB16A" w14:textId="45903E0E" w:rsidR="00770B08" w:rsidRDefault="00770B08" w:rsidP="007A6D75">
      <w:pPr>
        <w:jc w:val="both"/>
      </w:pPr>
      <w:r>
        <w:t>P</w:t>
      </w:r>
      <w:r w:rsidR="000A3F8C">
        <w:t>e</w:t>
      </w:r>
      <w:r>
        <w:t xml:space="preserve">r i dag begrenser finansieringen av fastlegetjenesten bruk av annet helsepersonell. Det følger av folketrygdloven </w:t>
      </w:r>
      <w:r w:rsidR="00D9107F">
        <w:t>§ 5</w:t>
      </w:r>
      <w:r>
        <w:t xml:space="preserve">-4 at trygden yter stønad til dekning av utgifter til undersøkelse og behandling hos lege. Dette begrenser mulighetene for at andre personellgrupper skal kunne yte helsehjelp mot refusjon på et fastlegekontor, men det innebærer altså ikke at andre personellgrupper (eksempelvis sykepleiere) ikke </w:t>
      </w:r>
      <w:r w:rsidRPr="00D9107F">
        <w:rPr>
          <w:rStyle w:val="kursiv"/>
        </w:rPr>
        <w:t>kan</w:t>
      </w:r>
      <w:r>
        <w:t xml:space="preserve"> gjøre andre oppgaver – det betyr kun at </w:t>
      </w:r>
      <w:r w:rsidR="00426F0F">
        <w:t xml:space="preserve">oppgavene </w:t>
      </w:r>
      <w:r>
        <w:t>i hovedsak ikke dekkes av folketrygden.</w:t>
      </w:r>
    </w:p>
    <w:p w14:paraId="2141B69F" w14:textId="11117F9B" w:rsidR="00D9107F" w:rsidRDefault="00770B08" w:rsidP="007A6D75">
      <w:pPr>
        <w:jc w:val="both"/>
      </w:pPr>
      <w:r>
        <w:t>Om det åpnes for profesjonsnøytrale takster</w:t>
      </w:r>
      <w:r w:rsidR="00802101">
        <w:t>,</w:t>
      </w:r>
      <w:r>
        <w:t xml:space="preserve"> vil hvilke oppgaver som sykepleiere eller annet helsepersonell kan utføre selvstendig på et legekontor</w:t>
      </w:r>
      <w:r w:rsidR="00BD0A58">
        <w:t>,</w:t>
      </w:r>
      <w:r>
        <w:t xml:space="preserve"> hovedsakelig baseres på forsvarlighets</w:t>
      </w:r>
      <w:r w:rsidR="000D486B">
        <w:t>kravet</w:t>
      </w:r>
      <w:r>
        <w:t xml:space="preserve">. Det må baseres på en konkret helhetsvurdering hvorvidt det er forsvarlig at eksempelvis den enkelte sykepleier gjør en konkret oppgave. I de fleste større virksomheter i helse- og omsorgstjenesten, vil det være laget rutiner for hvilket personell som </w:t>
      </w:r>
      <w:r w:rsidR="0009473A">
        <w:t>kan utføre</w:t>
      </w:r>
      <w:r>
        <w:t xml:space="preserve"> hvilke oppgaver. Dette inngår som en sentral del av virksomhetens plikt til å </w:t>
      </w:r>
      <w:r w:rsidRPr="00510E6B">
        <w:t>etablere et internkontrollsystem og sørge for at virksomhet og tjenester planlegges, utføres og vedlikeholdes i samsvar med krav fastsatt i</w:t>
      </w:r>
      <w:r w:rsidR="00F96B9C">
        <w:t>,</w:t>
      </w:r>
      <w:r w:rsidRPr="00510E6B">
        <w:t xml:space="preserve"> eller i medhold av</w:t>
      </w:r>
      <w:r w:rsidR="00F96B9C">
        <w:t>,</w:t>
      </w:r>
      <w:r w:rsidRPr="00510E6B">
        <w:t xml:space="preserve"> lover og forskrifter</w:t>
      </w:r>
      <w:r>
        <w:t xml:space="preserve">, jf. helsetilsynsloven </w:t>
      </w:r>
      <w:r w:rsidR="00D9107F">
        <w:t>§ 5</w:t>
      </w:r>
      <w:r>
        <w:t xml:space="preserve"> og forskrift om ledelse og kvalitetsforbedring i helse- og omsorgstjenesten.</w:t>
      </w:r>
    </w:p>
    <w:p w14:paraId="4D386862" w14:textId="73978111" w:rsidR="00D9107F" w:rsidRDefault="375B265D" w:rsidP="004624C6">
      <w:pPr>
        <w:jc w:val="both"/>
      </w:pPr>
      <w:r>
        <w:t>I en fastlegepraksis der ulike grupper av helsepersonell arbeider, vil det også være et ledelsesansvar å sørge for at det finnes rutiner for hvilke oppgaver de ulike personellgruppene skal utføre, samt å ha oversikt over medarbeidernes kompetanse og behov for opplæring, jf. forskrift om ledelse og kvalitetsforbedring i helse- og omsorgstjenesten §</w:t>
      </w:r>
      <w:r w:rsidR="00D9107F">
        <w:t>§ 6</w:t>
      </w:r>
      <w:r>
        <w:t xml:space="preserve"> og 7 og</w:t>
      </w:r>
      <w:r w:rsidR="5DFF919A">
        <w:t xml:space="preserve"> Helsedirektoratets veileder til forskriften</w:t>
      </w:r>
      <w:r w:rsidR="66453E91">
        <w:t xml:space="preserve"> </w:t>
      </w:r>
      <w:r w:rsidR="00BE43A2">
        <w:fldChar w:fldCharType="begin"/>
      </w:r>
      <w:r w:rsidR="00235862">
        <w:instrText xml:space="preserve"> ADDIN EN.CITE &lt;EndNote&gt;&lt;Cite&gt;&lt;Author&gt;Helsedirektoratet&lt;/Author&gt;&lt;Year&gt;2017&lt;/Year&gt;&lt;RecNum&gt;863&lt;/RecNum&gt;&lt;DisplayText&gt;(Helsedirektoratet, 2017)&lt;/DisplayText&gt;&lt;record&gt;&lt;rec-number&gt;863&lt;/rec-number&gt;&lt;foreign-keys&gt;&lt;key app="EN" db-id="95tpr2tp6r9xwoea9rb5wdsz5ds5xeddteew" timestamp="1680069511"&gt;863&lt;/key&gt;&lt;/foreign-keys&gt;&lt;ref-type name="Web Page"&gt;12&lt;/ref-type&gt;&lt;contributors&gt;&lt;authors&gt;&lt;author&gt;Helsedirektoratet&lt;/author&gt;&lt;/authors&gt;&lt;/contributors&gt;&lt;titles&gt;&lt;title&gt;Veileder til forskrift om ledelse og kvalitetsforbedring i helse- og omsorgstjenesten&lt;/title&gt;&lt;/titles&gt;&lt;number&gt;30.01.23&lt;/number&gt;&lt;dates&gt;&lt;year&gt;2017&lt;/year&gt;&lt;pub-dates&gt;&lt;date&gt;29. oktober 2018&lt;/date&gt;&lt;/pub-dates&gt;&lt;/dates&gt;&lt;pub-location&gt;Oslo&lt;/pub-location&gt;&lt;publisher&gt;Helsedirektoratet&lt;/publisher&gt;&lt;work-type&gt;nettdokument&lt;/work-type&gt;&lt;urls&gt;&lt;/urls&gt;&lt;/record&gt;&lt;/Cite&gt;&lt;/EndNote&gt;</w:instrText>
      </w:r>
      <w:r w:rsidR="00BE43A2">
        <w:fldChar w:fldCharType="separate"/>
      </w:r>
      <w:r w:rsidR="00BE43A2">
        <w:rPr>
          <w:noProof/>
        </w:rPr>
        <w:t>(Helsedirektoratet, 2017)</w:t>
      </w:r>
      <w:r w:rsidR="00BE43A2">
        <w:fldChar w:fldCharType="end"/>
      </w:r>
      <w:r>
        <w:t>. Dette gjelder for øvrig også i en fastlegepraksis</w:t>
      </w:r>
      <w:r w:rsidR="00C20477">
        <w:t>,</w:t>
      </w:r>
      <w:r>
        <w:t xml:space="preserve"> der det eksempelvis kun er en lege og en helsesekretær som arbeider.</w:t>
      </w:r>
    </w:p>
    <w:p w14:paraId="29766153" w14:textId="34FFD28E" w:rsidR="00D9107F" w:rsidRDefault="00941F20" w:rsidP="00E93E78">
      <w:pPr>
        <w:pStyle w:val="tittel-ramme"/>
        <w:jc w:val="left"/>
        <w:rPr>
          <w:rStyle w:val="kursiv"/>
        </w:rPr>
      </w:pPr>
      <w:r w:rsidRPr="00D9107F">
        <w:rPr>
          <w:rStyle w:val="kursiv"/>
        </w:rPr>
        <w:lastRenderedPageBreak/>
        <w:t>Definisjon av sentrale begrep</w:t>
      </w:r>
    </w:p>
    <w:tbl>
      <w:tblPr>
        <w:tblStyle w:val="StandardBoks"/>
        <w:tblW w:w="0" w:type="auto"/>
        <w:tblLook w:val="04A0" w:firstRow="1" w:lastRow="0" w:firstColumn="1" w:lastColumn="0" w:noHBand="0" w:noVBand="1"/>
      </w:tblPr>
      <w:tblGrid>
        <w:gridCol w:w="9736"/>
      </w:tblGrid>
      <w:tr w:rsidR="00E93E78" w14:paraId="0FFAD36C" w14:textId="77777777" w:rsidTr="00E93E78">
        <w:tc>
          <w:tcPr>
            <w:tcW w:w="9736" w:type="dxa"/>
          </w:tcPr>
          <w:p w14:paraId="0324D8B9" w14:textId="77777777" w:rsidR="00E93E78" w:rsidRPr="00E93E78" w:rsidRDefault="00E93E78" w:rsidP="00E93E78">
            <w:pPr>
              <w:rPr>
                <w:rStyle w:val="halvfet"/>
              </w:rPr>
            </w:pPr>
            <w:r w:rsidRPr="00E93E78">
              <w:rPr>
                <w:rStyle w:val="halvfet"/>
              </w:rPr>
              <w:t xml:space="preserve">Flerfaglighet </w:t>
            </w:r>
          </w:p>
          <w:p w14:paraId="32CFF367" w14:textId="4144B01B" w:rsidR="00E93E78" w:rsidRPr="00060AA1" w:rsidRDefault="00E93E78" w:rsidP="00E93E78">
            <w:r w:rsidRPr="00060AA1">
              <w:t xml:space="preserve">kjennetegnes ved at ulike faggrupper jobber ved siden av hverandre i adskilte fagområder. De bidrar med sin særlige fagkompetanse og kunnskap, men uten at det trenger å være kontakt eller utveksling mellom de ulike fagperspektivene. </w:t>
            </w:r>
          </w:p>
          <w:p w14:paraId="13DA0729" w14:textId="77777777" w:rsidR="00E93E78" w:rsidRPr="00E93E78" w:rsidRDefault="00E93E78" w:rsidP="00E93E78">
            <w:pPr>
              <w:rPr>
                <w:rStyle w:val="halvfet"/>
              </w:rPr>
            </w:pPr>
            <w:r w:rsidRPr="00E93E78">
              <w:rPr>
                <w:rStyle w:val="halvfet"/>
              </w:rPr>
              <w:t xml:space="preserve">Tverrfaglighet </w:t>
            </w:r>
          </w:p>
          <w:p w14:paraId="6EB99307" w14:textId="4D9CCFBB" w:rsidR="00E93E78" w:rsidRPr="00060AA1" w:rsidRDefault="00E93E78" w:rsidP="00E93E78">
            <w:r w:rsidRPr="00060AA1">
              <w:t xml:space="preserve">handler om samarbeidet knyttet til en pasient på tvers av profesjoner og faggrupper. Begrepet brukes både om samarbeid på tvers av profesjoner med ulik grunnutdanning, som sykepleiere, leger og fysioterapeuter, og mellom ulike spesialiteter med samme grunnutdanning, som allmennlege, nevrolog og revmatolog (Nylenna, 2018). Tverrfaglig samarbeid er "en strukturert arbeidsform som forutsetter dialog og felles beslutningspunkter mellom personell fra ulike faggrupper". Det innebærer en avhengighet mellom de ulike faggruppenes bidrag. Andre viktige elementer ved tverrfaglig samarbeid er felles mål for alt involvert helsepersonell, informasjonsdeling, og at tjenestene/helsehjelpen er samordnet og koordinert (Oppfølging av personer med store og sammensatte behov, 2017). </w:t>
            </w:r>
          </w:p>
          <w:p w14:paraId="5A17BA0A" w14:textId="77777777" w:rsidR="00E93E78" w:rsidRPr="00E93E78" w:rsidRDefault="00E93E78" w:rsidP="00E93E78">
            <w:pPr>
              <w:rPr>
                <w:rStyle w:val="halvfet"/>
              </w:rPr>
            </w:pPr>
            <w:r w:rsidRPr="00E93E78">
              <w:rPr>
                <w:rStyle w:val="halvfet"/>
              </w:rPr>
              <w:t xml:space="preserve">Omfordeling av oppgaver </w:t>
            </w:r>
          </w:p>
          <w:p w14:paraId="604A60DD" w14:textId="07015B49" w:rsidR="00E93E78" w:rsidRPr="00060AA1" w:rsidRDefault="00E93E78" w:rsidP="00E93E78">
            <w:r w:rsidRPr="00060AA1">
              <w:t xml:space="preserve">mellom faggrupper, også kalt oppgavedeling, innebærer at arbeidsoppgaver overføres fra en helsepersonellgruppe til en annen. Formålet er ofte en mer effektiv bruk av personellressursene. </w:t>
            </w:r>
          </w:p>
          <w:p w14:paraId="4EAD65A4" w14:textId="77777777" w:rsidR="00E93E78" w:rsidRPr="00E93E78" w:rsidRDefault="00E93E78" w:rsidP="00E93E78">
            <w:pPr>
              <w:rPr>
                <w:rStyle w:val="halvfet"/>
              </w:rPr>
            </w:pPr>
            <w:r w:rsidRPr="00E93E78">
              <w:rPr>
                <w:rStyle w:val="halvfet"/>
              </w:rPr>
              <w:t xml:space="preserve">Vertikal oppgavedeling </w:t>
            </w:r>
          </w:p>
          <w:p w14:paraId="2072D8BA" w14:textId="16B23BD0" w:rsidR="00E93E78" w:rsidRPr="00060AA1" w:rsidRDefault="00E93E78" w:rsidP="00E93E78">
            <w:r w:rsidRPr="00060AA1">
              <w:t>innebærer at oppgaver utføres av lavere kvalifisert helsepersonell istedenfor av høyere kvalifisert personell som lege</w:t>
            </w:r>
            <w:r>
              <w:t>,</w:t>
            </w:r>
            <w:r w:rsidRPr="00060AA1">
              <w:t xml:space="preserve"> og står i motsetning til oppgaver som er komplementære og gjøres i tillegg til. </w:t>
            </w:r>
          </w:p>
          <w:p w14:paraId="1DAC41AB" w14:textId="77777777" w:rsidR="00E93E78" w:rsidRPr="00E93E78" w:rsidRDefault="00E93E78" w:rsidP="00E93E78">
            <w:pPr>
              <w:rPr>
                <w:rStyle w:val="halvfet"/>
              </w:rPr>
            </w:pPr>
            <w:r w:rsidRPr="00E93E78">
              <w:rPr>
                <w:rStyle w:val="halvfet"/>
              </w:rPr>
              <w:t xml:space="preserve">Horisontal oppgavedeling </w:t>
            </w:r>
          </w:p>
          <w:p w14:paraId="70F11442" w14:textId="2A9E8049" w:rsidR="00E93E78" w:rsidRPr="00060AA1" w:rsidRDefault="00E93E78" w:rsidP="00E93E78">
            <w:r w:rsidRPr="00060AA1">
              <w:t xml:space="preserve">oppstår når helsepersonell med samme utdanningsnivå og kompetanse, men med ulik fagbakgrunn, overtar oppgaver som tradisjonelt er utført av annet helsepersonell. Begrepene oppgavedeling, oppgaveforskyvning, oppgaveglidning og overføring av oppgaver benyttes ofte synonymt i litteraturen. Vi har valgt å bruke begrepet oppgavedeling. </w:t>
            </w:r>
          </w:p>
          <w:p w14:paraId="1FE237F4" w14:textId="77777777" w:rsidR="00E93E78" w:rsidRPr="00E93E78" w:rsidRDefault="00E93E78" w:rsidP="00E93E78">
            <w:pPr>
              <w:rPr>
                <w:rStyle w:val="halvfet"/>
              </w:rPr>
            </w:pPr>
            <w:r w:rsidRPr="00E93E78">
              <w:rPr>
                <w:rStyle w:val="halvfet"/>
              </w:rPr>
              <w:t>Oppgavedeling</w:t>
            </w:r>
          </w:p>
          <w:p w14:paraId="6BA32D1F" w14:textId="326D4AA5" w:rsidR="00E93E78" w:rsidRPr="00060AA1" w:rsidRDefault="00E93E78" w:rsidP="00E93E78">
            <w:r w:rsidRPr="00060AA1">
              <w:t xml:space="preserve">kan gjøres med ulik grad av selvstendighet i utførelsen. Andre personellgrupper kan arbeide på delegasjon fra fastlegen, eller de kan arbeide selvstendig. Oppgaver som </w:t>
            </w:r>
            <w:r w:rsidRPr="00060AA1">
              <w:lastRenderedPageBreak/>
              <w:t>overlates til annet personell, må skje innenfor rammene av helsepersonellovens bestemmelser.</w:t>
            </w:r>
          </w:p>
          <w:p w14:paraId="3DC24984" w14:textId="77777777" w:rsidR="00E93E78" w:rsidRPr="00E93E78" w:rsidRDefault="00E93E78" w:rsidP="00E93E78">
            <w:pPr>
              <w:rPr>
                <w:rStyle w:val="halvfet"/>
              </w:rPr>
            </w:pPr>
            <w:r w:rsidRPr="00E93E78">
              <w:rPr>
                <w:rStyle w:val="halvfet"/>
              </w:rPr>
              <w:t>Delegering</w:t>
            </w:r>
          </w:p>
          <w:p w14:paraId="19C404DA" w14:textId="25D55C9B" w:rsidR="00E93E78" w:rsidRDefault="00E93E78" w:rsidP="00E93E78">
            <w:r w:rsidRPr="00060AA1">
              <w:t xml:space="preserve">er begrenset til kun </w:t>
            </w:r>
            <w:r>
              <w:t xml:space="preserve">å </w:t>
            </w:r>
            <w:r w:rsidRPr="00060AA1">
              <w:t>omfatte oppgaver innenfor legens kompetanse- og ansvarsområde. Delegering setter derfor begrensninger for hvilke personell fastlegen kan overlate oppgaver til. Delegering kan kun skje dersom det kan legges til grunn at vedkommende legen delegerer til, har de nødvendige kvalifikasjonene til å utføre oppgaven. Ved delegering forblir legen ansvarlig for de medisinske undersøkelsene og behandlingene av pasienten som legen har overlatt til en</w:t>
            </w:r>
            <w:r>
              <w:t xml:space="preserve"> medarbeider.</w:t>
            </w:r>
          </w:p>
        </w:tc>
      </w:tr>
    </w:tbl>
    <w:p w14:paraId="2FB0B2E4" w14:textId="4D935D7D" w:rsidR="00770B08" w:rsidRDefault="375B265D" w:rsidP="00775632">
      <w:pPr>
        <w:pStyle w:val="Overskrift3"/>
      </w:pPr>
      <w:bookmarkStart w:id="2973" w:name="_Toc128742023"/>
      <w:bookmarkStart w:id="2974" w:name="_Toc128744618"/>
      <w:bookmarkStart w:id="2975" w:name="_Toc128744837"/>
      <w:bookmarkStart w:id="2976" w:name="_Toc129630341"/>
      <w:bookmarkStart w:id="2977" w:name="_Toc130763841"/>
      <w:bookmarkStart w:id="2978" w:name="_Toc130766736"/>
      <w:bookmarkStart w:id="2979" w:name="_Ref130923473"/>
      <w:bookmarkStart w:id="2980" w:name="_Toc130932137"/>
      <w:bookmarkStart w:id="2981" w:name="_Toc130934428"/>
      <w:bookmarkStart w:id="2982" w:name="_Toc130983526"/>
      <w:bookmarkStart w:id="2983" w:name="_Toc130983875"/>
      <w:bookmarkStart w:id="2984" w:name="_Toc131062182"/>
      <w:bookmarkStart w:id="2985" w:name="_Toc131062436"/>
      <w:bookmarkStart w:id="2986" w:name="_Toc131062697"/>
      <w:bookmarkStart w:id="2987" w:name="_Toc131062950"/>
      <w:bookmarkStart w:id="2988" w:name="_Toc131063733"/>
      <w:bookmarkStart w:id="2989" w:name="_Toc131064143"/>
      <w:bookmarkStart w:id="2990" w:name="_Toc131238457"/>
      <w:bookmarkStart w:id="2991" w:name="_Toc131279488"/>
      <w:bookmarkStart w:id="2992" w:name="_Toc131286900"/>
      <w:bookmarkStart w:id="2993" w:name="_Toc131281310"/>
      <w:bookmarkStart w:id="2994" w:name="_Toc131317850"/>
      <w:bookmarkStart w:id="2995" w:name="_Toc132537007"/>
      <w:r>
        <w:lastRenderedPageBreak/>
        <w:t>Teamorganisering og pilot primærhelseteam</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14:paraId="403FA2CF" w14:textId="21E5842C" w:rsidR="00CF74BE" w:rsidRDefault="00CF74BE" w:rsidP="002E2EF6">
      <w:r>
        <w:t xml:space="preserve">Spesialisthelsetjenester i sykehus kjennetegnes ved at tjenestene gis av mange ulike helsepersonellgrupper og spesialiteter. Grad av samarbeid mellom faggruppene varierer innen ulike fagområder, pasientgrupper og avdelinger. Omfordeling av oppgaver mellom faggrupper skjer også, og det er utviklet alternative arbeidsmåter for å utnytte personellressurser og fagkompetansen i andre faggrupper bedre. Eksempelvis utfører spesialsykepleiere egne sykepleierkonsultasjoner i poliklinikk med pasienter med kroniske sykdommer som diabetes og ulike revmatiske sykdommer. I andre deler av spesialisthelsetjenesten er det stor grad av tverrfaglighet og samarbeid mellom ulike faggrupper og spesialiteter, som innen spesialisert rehabilitering og tverrfaglig </w:t>
      </w:r>
      <w:r w:rsidR="0019116B">
        <w:t xml:space="preserve">spesialisert </w:t>
      </w:r>
      <w:r>
        <w:t>rusbehandling</w:t>
      </w:r>
      <w:r w:rsidR="0063649D">
        <w:t xml:space="preserve"> (TSB)</w:t>
      </w:r>
      <w:r>
        <w:t>.</w:t>
      </w:r>
    </w:p>
    <w:p w14:paraId="7D843995" w14:textId="77777777" w:rsidR="00D9107F" w:rsidRDefault="00770B08" w:rsidP="002E2EF6">
      <w:r>
        <w:t xml:space="preserve">Det er over tid ønsket en </w:t>
      </w:r>
      <w:r w:rsidR="008669D6">
        <w:t xml:space="preserve">mer </w:t>
      </w:r>
      <w:r>
        <w:t xml:space="preserve">teambasert tilnærming til primærhelsetjenesten, inkludert i allmennlegetjenesten. Stortingsmeldingen om primærhelsetjenesten i 2015 beskrev </w:t>
      </w:r>
      <w:r w:rsidRPr="005B7178">
        <w:t xml:space="preserve">teambasert organisering som nødvendig for økt tilgjengelighet, mer proaktivitet i tjenesten og </w:t>
      </w:r>
      <w:r w:rsidR="00CD4E77" w:rsidRPr="005B7178">
        <w:t xml:space="preserve">for å </w:t>
      </w:r>
      <w:r w:rsidRPr="005B7178">
        <w:t xml:space="preserve">bidra til bedre opplæring av helsepersonellet. </w:t>
      </w:r>
      <w:r w:rsidR="375B265D">
        <w:t>Meldingen foreslo primærhelseteam for å oppnå</w:t>
      </w:r>
      <w:r w:rsidR="375B265D" w:rsidRPr="3465DA2E">
        <w:t xml:space="preserve"> mer koordinerte tjenester, muliggjøre større bredde i tjenestetilbudet og bidra til riktigere arbeidsdeling mellom personellgrupper. Slik kunne man oppnå en bedre bruk av de samlede ressurser i tjenesten. For å kunne gjennomføre en slik teamorganisering understreket stortingsmeldingen behovet for større praksiser og flere personellgrupper </w:t>
      </w:r>
      <w:r w:rsidR="00D47273">
        <w:t>på</w:t>
      </w:r>
      <w:r w:rsidR="375B265D" w:rsidRPr="3465DA2E">
        <w:t xml:space="preserve"> fastlegekontoret</w:t>
      </w:r>
      <w:r w:rsidR="1C787537" w:rsidRPr="3465DA2E">
        <w:t xml:space="preserve"> </w:t>
      </w:r>
      <w:r w:rsidR="00BE43A2">
        <w:fldChar w:fldCharType="begin"/>
      </w:r>
      <w:r w:rsidR="00235862">
        <w:instrText xml:space="preserve"> ADDIN EN.CITE &lt;EndNote&gt;&lt;Cite&gt;&lt;Author&gt;Helse- og omsorgsdepartementet&lt;/Author&gt;&lt;Year&gt;2015&lt;/Year&gt;&lt;RecNum&gt;278&lt;/RecNum&gt;&lt;DisplayText&gt;(Helse- og omsorgsdepartementet, 2015a)&lt;/DisplayText&gt;&lt;record&gt;&lt;rec-number&gt;278&lt;/rec-number&gt;&lt;foreign-keys&gt;&lt;key app="EN" db-id="95tpr2tp6r9xwoea9rb5wdsz5ds5xeddteew" timestamp="1680069511"&gt;278&lt;/key&gt;&lt;/foreign-keys&gt;&lt;ref-type name="Report"&gt;27&lt;/ref-type&gt;&lt;contributors&gt;&lt;authors&gt;&lt;author&gt;Helse- og omsorgsdepartementet,&lt;/author&gt;&lt;/authors&gt;&lt;/contributors&gt;&lt;titles&gt;&lt;title&gt;Meld. St. 26 (2014–2015). Fremtidens primærhelsetjeneste - nærhet og helhet&lt;/title&gt;&lt;/titles&gt;&lt;number&gt;Meld. St. 26 (2014–2015)&lt;/number&gt;&lt;keywords&gt;&lt;keyword&gt;primærhelsetjeneste&lt;/keyword&gt;&lt;keyword&gt;helsetjeneste&lt;/keyword&gt;&lt;keyword&gt;helsetjenester&lt;/keyword&gt;&lt;keyword&gt;helsevesen&lt;/keyword&gt;&lt;keyword&gt;kommunehelsetjeneste&lt;/keyword&gt;&lt;keyword&gt;tverrfaglig&lt;/keyword&gt;&lt;keyword&gt;barn&lt;/keyword&gt;&lt;keyword&gt;unge&lt;/keyword&gt;&lt;keyword&gt;ungdom&lt;/keyword&gt;&lt;keyword&gt;voksne&lt;/keyword&gt;&lt;keyword&gt;eldre&lt;/keyword&gt;&lt;keyword&gt;habilitering&lt;/keyword&gt;&lt;keyword&gt;rehabilitering&lt;/keyword&gt;&lt;keyword&gt;kompetanse&lt;/keyword&gt;&lt;keyword&gt;ledelse&lt;/keyword&gt;&lt;keyword&gt;pasientsikkerhet&lt;/keyword&gt;&lt;keyword&gt;digitale&lt;/keyword&gt;&lt;keyword&gt;psykiske&lt;/keyword&gt;&lt;keyword&gt;psykisk&lt;/keyword&gt;&lt;keyword&gt;lidelser&lt;/keyword&gt;&lt;keyword&gt;rus&lt;/keyword&gt;&lt;keyword&gt;rusmisbruk&lt;/keyword&gt;&lt;keyword&gt;kronisk&lt;/keyword&gt;&lt;keyword&gt;tannhelse&lt;/keyword&gt;&lt;keyword&gt;innvandrere&lt;/keyword&gt;&lt;keyword&gt;innsatte&lt;/keyword&gt;&lt;keyword&gt;samervold&lt;/keyword&gt;&lt;keyword&gt;seksuelle&lt;/keyword&gt;&lt;keyword&gt;overgrep&lt;/keyword&gt;&lt;/keywords&gt;&lt;dates&gt;&lt;year&gt;2015&lt;/year&gt;&lt;/dates&gt;&lt;pub-location&gt;Oslo&lt;/pub-location&gt;&lt;publisher&gt;Helse- og omsorgsdepartementet,&lt;/publisher&gt;&lt;urls&gt;&lt;/urls&gt;&lt;/record&gt;&lt;/Cite&gt;&lt;/EndNote&gt;</w:instrText>
      </w:r>
      <w:r w:rsidR="00BE43A2">
        <w:fldChar w:fldCharType="separate"/>
      </w:r>
      <w:r w:rsidR="00BE43A2">
        <w:rPr>
          <w:noProof/>
        </w:rPr>
        <w:t>(Helse- og omsorgsdepartementet, 2015a)</w:t>
      </w:r>
      <w:r w:rsidR="00BE43A2">
        <w:fldChar w:fldCharType="end"/>
      </w:r>
      <w:r w:rsidR="375B265D" w:rsidRPr="3465DA2E">
        <w:t>.</w:t>
      </w:r>
    </w:p>
    <w:p w14:paraId="6A241B19" w14:textId="77777777" w:rsidR="00D9107F" w:rsidRDefault="00F7562C" w:rsidP="002E2EF6">
      <w:r>
        <w:t>En k</w:t>
      </w:r>
      <w:r w:rsidR="00CF74BE">
        <w:t xml:space="preserve">unnskapsoppsummering av </w:t>
      </w:r>
      <w:r w:rsidR="00F80281">
        <w:t>Melby og kolleger</w:t>
      </w:r>
      <w:r w:rsidR="00CF74BE">
        <w:t xml:space="preserve"> fra 2022 viser at det er økende interesse og testing av teambaserte og tverrfaglige modeller i primærhelsetjenesten i Norge og internasjonalt. Det er stor variasjon i hvordan fordeling av oppgaver og samarbeid praktiseres i </w:t>
      </w:r>
      <w:r w:rsidR="00CF74BE">
        <w:lastRenderedPageBreak/>
        <w:t>teamene mellom de ulike vestlige landene</w:t>
      </w:r>
      <w:r w:rsidR="56F216B7">
        <w:t xml:space="preserve"> </w:t>
      </w:r>
      <w:r w:rsidR="00394DD1">
        <w:fldChar w:fldCharType="begin"/>
      </w:r>
      <w:r w:rsidR="00A27571">
        <w:instrText xml:space="preserve"> ADDIN EN.CITE &lt;EndNote&gt;&lt;Cite&gt;&lt;Author&gt;Melby&lt;/Author&gt;&lt;Year&gt;2022&lt;/Year&gt;&lt;RecNum&gt;280&lt;/RecNum&gt;&lt;DisplayText&gt;(Melby et al., 2022)&lt;/DisplayText&gt;&lt;record&gt;&lt;rec-number&gt;280&lt;/rec-number&gt;&lt;foreign-keys&gt;&lt;key app="EN" db-id="95tpr2tp6r9xwoea9rb5wdsz5ds5xeddteew" timestamp="1680069511"&gt;280&lt;/key&gt;&lt;/foreign-keys&gt;&lt;ref-type name="Report"&gt;27&lt;/ref-type&gt;&lt;contributors&gt;&lt;authors&gt;&lt;author&gt;Line Melby&lt;/author&gt;&lt;author&gt;Mari Gunnes&lt;/author&gt;&lt;author&gt;Heidi Haukelien&lt;/author&gt;&lt;author&gt;Aud Obstfelder&lt;/author&gt;&lt;/authors&gt;&lt;tertiary-authors&gt;&lt;author&gt;SINTEF&lt;/author&gt;&lt;/tertiary-authors&gt;&lt;/contributors&gt;&lt;titles&gt;&lt;title&gt;Frigjøring av sykepleierkapasitet gjennom ny ansvars-/oppgavedeling og bruk av teknologi&lt;/title&gt;&lt;/titles&gt;&lt;number&gt;2022:00211 - Åpen&lt;/number&gt;&lt;dates&gt;&lt;year&gt;2022&lt;/year&gt;&lt;/dates&gt;&lt;pub-location&gt;Trondheim&lt;/pub-location&gt;&lt;urls&gt;&lt;/urls&gt;&lt;/record&gt;&lt;/Cite&gt;&lt;/EndNote&gt;</w:instrText>
      </w:r>
      <w:r w:rsidR="00394DD1">
        <w:fldChar w:fldCharType="separate"/>
      </w:r>
      <w:r w:rsidR="00856689">
        <w:rPr>
          <w:noProof/>
        </w:rPr>
        <w:t>(Melby et al., 2022)</w:t>
      </w:r>
      <w:r w:rsidR="00394DD1">
        <w:fldChar w:fldCharType="end"/>
      </w:r>
      <w:r w:rsidR="00CF74BE">
        <w:t xml:space="preserve">. </w:t>
      </w:r>
      <w:r w:rsidR="00CF74BE" w:rsidRPr="008702EF">
        <w:t>ACT- og FACT</w:t>
      </w:r>
      <w:r w:rsidR="008660BB">
        <w:t>-</w:t>
      </w:r>
      <w:r w:rsidR="00CF74BE" w:rsidRPr="008702EF">
        <w:t>team</w:t>
      </w:r>
      <w:r w:rsidR="00F5187A" w:rsidRPr="00D9107F">
        <w:rPr>
          <w:rStyle w:val="Fotnotereferanse"/>
        </w:rPr>
        <w:footnoteReference w:id="31"/>
      </w:r>
      <w:r w:rsidR="00CF74BE">
        <w:t xml:space="preserve"> er eksempel på en</w:t>
      </w:r>
      <w:r w:rsidR="00CF74BE" w:rsidRPr="008702EF">
        <w:t xml:space="preserve"> samhandling</w:t>
      </w:r>
      <w:r w:rsidR="00CF74BE">
        <w:t>smodell</w:t>
      </w:r>
      <w:r w:rsidR="00CF74BE" w:rsidRPr="008702EF">
        <w:t xml:space="preserve"> for spe</w:t>
      </w:r>
      <w:r w:rsidR="00CF74BE">
        <w:t>sialisthelsetjenesten og kommunen. Teamene er tverrfaglig</w:t>
      </w:r>
      <w:r w:rsidR="005F3700">
        <w:t>e</w:t>
      </w:r>
      <w:r w:rsidR="00CF74BE">
        <w:t xml:space="preserve"> og rettet mot personer med alvorlig psykisk sykdom, ofte i kombinasjon med ruslidelser, og som er svake etterspørrere av helsetjenester.</w:t>
      </w:r>
    </w:p>
    <w:p w14:paraId="0D0C3802" w14:textId="77777777" w:rsidR="00D9107F" w:rsidRDefault="00CF74BE" w:rsidP="002E2EF6">
      <w:r>
        <w:t xml:space="preserve">Det er også flere tverrfaglige og teambaserte tjenestemodeller til utprøving i kommunale helse- og omsorgstjenester, som primærhelseteam (PHT) som omtales under. </w:t>
      </w:r>
      <w:r w:rsidRPr="00C641A8">
        <w:t>Et annet eksempel er</w:t>
      </w:r>
      <w:r w:rsidRPr="00D9107F">
        <w:rPr>
          <w:rStyle w:val="halvfet"/>
        </w:rPr>
        <w:t xml:space="preserve"> </w:t>
      </w:r>
      <w:r w:rsidRPr="00F5399B">
        <w:t>Pasientsentre</w:t>
      </w:r>
      <w:r w:rsidR="00142850">
        <w:t>r</w:t>
      </w:r>
      <w:r w:rsidRPr="00F5399B">
        <w:t>t helsetjenesteteam</w:t>
      </w:r>
      <w:r w:rsidRPr="00D9107F">
        <w:rPr>
          <w:rStyle w:val="halvfet"/>
        </w:rPr>
        <w:t xml:space="preserve"> </w:t>
      </w:r>
      <w:r>
        <w:t>(PSHT), et tverrfaglig team med formål om bedre overgang fra sykehus til kommunale tjenester for eldre pasienter med kroniske sykdommer. Teamet består av lege, sykepleiere, fysioterapeuter, ergoterapeuter, farmasøyt og helsesekretær. PSHT er et samarbeid mellom UNN og Tromsø kommune, samt en rekke andre kommuner i fylket.</w:t>
      </w:r>
    </w:p>
    <w:p w14:paraId="6B1EF925" w14:textId="77777777" w:rsidR="00D9107F" w:rsidRDefault="00770B08" w:rsidP="002E2EF6">
      <w:r>
        <w:t>Primærhelseteam (PHT) har fra 2018 vært et nasjonalt forsøk med utprøving av teamorganisering med fastleger, sykepleiere og helsesekretærer og to alternative finansieringsmodeller (honorarmodellen og driftstilskuddsmodellen) ved 17 fastlegekontor i ni kommuner. Utprøvingen fordrer en mer systematisk arbeidsmetodikk og tydeligere ledelse av fastlegekontorene. Målet med forsøket er å finne ut om PHT gir et bedre tilbud til listeinnbyggerne enn den vanlige fastlegeordningen. PHT skal rettes spesielt mot brukere med kronisk sykdom, psykiske lidelser og rusavhengighet, skrøpelige eldre og brukere med utviklingshemming og funksjonsnedsettelser. Blant disse er det viktig at PHT når svake etterspørrere med behov for allmennmedisinske tjenester.</w:t>
      </w:r>
    </w:p>
    <w:p w14:paraId="2E4286F5" w14:textId="28CD6817" w:rsidR="00770B08" w:rsidRPr="00B53050" w:rsidRDefault="375B265D" w:rsidP="00775632">
      <w:pPr>
        <w:pStyle w:val="Overskrift4"/>
      </w:pPr>
      <w:bookmarkStart w:id="2996" w:name="_Toc130983527"/>
      <w:bookmarkStart w:id="2997" w:name="_Toc130983876"/>
      <w:bookmarkStart w:id="2998" w:name="_Toc131238458"/>
      <w:bookmarkStart w:id="2999" w:name="_Toc131279489"/>
      <w:bookmarkStart w:id="3000" w:name="_Toc131286901"/>
      <w:bookmarkStart w:id="3001" w:name="_Toc131281311"/>
      <w:bookmarkStart w:id="3002" w:name="_Toc131317851"/>
      <w:r>
        <w:t>Evalueringen av primærhelseteam</w:t>
      </w:r>
      <w:bookmarkEnd w:id="2996"/>
      <w:bookmarkEnd w:id="2997"/>
      <w:bookmarkEnd w:id="2998"/>
      <w:bookmarkEnd w:id="2999"/>
      <w:bookmarkEnd w:id="3000"/>
      <w:bookmarkEnd w:id="3001"/>
      <w:bookmarkEnd w:id="3002"/>
    </w:p>
    <w:p w14:paraId="56FBC0BE" w14:textId="77777777" w:rsidR="00D9107F" w:rsidRDefault="375B265D" w:rsidP="007B4967">
      <w:pPr>
        <w:jc w:val="both"/>
      </w:pPr>
      <w:r>
        <w:t>Primærhelseteam evalueres gjennom et samarbeid mellom Universitetet i Oslo, Oslo Economics og Nasjonalt senter for distriktsmedisin (</w:t>
      </w:r>
      <w:r w:rsidR="3D24AD64">
        <w:t>NSDM</w:t>
      </w:r>
      <w:r>
        <w:t>).</w:t>
      </w:r>
      <w:r w:rsidR="00426707">
        <w:t xml:space="preserve"> </w:t>
      </w:r>
      <w:r>
        <w:t>Evalueringen har fulgt forsøket over tid og datagrunnlaget består av registerdata, pasientjournaler, og spørreskjemaundersøkelser og kvalitative intervju rettet mot pasienter og pårørende, helsepersonell på fastlegekontoret og samarbeidspartnere i kommunen. Det er utarbeidet totalt fem statusrapporter, hvor den tredje og femte beskriver hvordan pasientene opplever virkningene av PHT</w:t>
      </w:r>
      <w:r w:rsidR="00B720A5">
        <w:t xml:space="preserve"> </w:t>
      </w:r>
      <w:r w:rsidR="00BE43A2">
        <w:fldChar w:fldCharType="begin"/>
      </w:r>
      <w:r w:rsidR="004654FD">
        <w:instrText xml:space="preserve"> ADDIN EN.CITE &lt;EndNote&gt;&lt;Cite&gt;&lt;Author&gt;Abelsen&lt;/Author&gt;&lt;Year&gt;2021&lt;/Year&gt;&lt;RecNum&gt;216&lt;/RecNum&gt;&lt;DisplayText&gt;(Abelsen, 2021, 2022)&lt;/DisplayText&gt;&lt;record&gt;&lt;rec-number&gt;216&lt;/rec-number&gt;&lt;foreign-keys&gt;&lt;key app="EN" db-id="95tpr2tp6r9xwoea9rb5wdsz5ds5xeddteew" timestamp="1680069511"&gt;216&lt;/key&gt;&lt;/foreign-keys&gt;&lt;ref-type name="Report"&gt;27&lt;/ref-type&gt;&lt;contributors&gt;&lt;authors&gt;&lt;author&gt;Abelsen, B. et.al.,&lt;/author&gt;&lt;/authors&gt;&lt;/contributors&gt;&lt;titles&gt;&lt;title&gt;Evaluering av forsøk med primærhelseteam og alternative finansieringsordninger: Statusrapport III, januar 2021&lt;/title&gt;&lt;/titles&gt;&lt;dates&gt;&lt;year&gt;2021&lt;/year&gt;&lt;/dates&gt;&lt;pub-location&gt;Oslo&lt;/pub-location&gt;&lt;publisher&gt;Institutt for helse og samfunn UiO, Oslo Economics og Nasjonalt senter for distriktsmedisin UiT Norges arktiske universitet,&lt;/publisher&gt;&lt;urls&gt;&lt;/urls&gt;&lt;/record&gt;&lt;/Cite&gt;&lt;Cite&gt;&lt;Author&gt;Abelsen&lt;/Author&gt;&lt;Year&gt;2022&lt;/Year&gt;&lt;RecNum&gt;217&lt;/RecNum&gt;&lt;record&gt;&lt;rec-number&gt;217&lt;/rec-number&gt;&lt;foreign-keys&gt;&lt;key app="EN" db-id="95tpr2tp6r9xwoea9rb5wdsz5ds5xeddteew" timestamp="1680069511"&gt;217&lt;/key&gt;&lt;/foreign-keys&gt;&lt;ref-type name="Report"&gt;27&lt;/ref-type&gt;&lt;contributors&gt;&lt;authors&gt;&lt;author&gt;Abelsen, B. et.al.,&lt;/author&gt;&lt;/authors&gt;&lt;tertiary-authors&gt;&lt;author&gt;Institutt for helse og samfunn UiO,&lt;/author&gt;&lt;author&gt;Oslo Economics,&lt;/author&gt;&lt;author&gt;Nasjonalt senter for distriktsmedisin UiT Norges arktiske universitet, &lt;/author&gt;&lt;/tertiary-authors&gt;&lt;/contributors&gt;&lt;titles&gt;&lt;title&gt;Evaluering av forsøk med primærhelseteam og alternative finansieringsordninger: Statusrapport V&lt;/title&gt;&lt;/titles&gt;&lt;dates&gt;&lt;year&gt;2022&lt;/year&gt;&lt;/dates&gt;&lt;pub-location&gt;Oslo&lt;/pub-location&gt;&lt;urls&gt;&lt;/urls&gt;&lt;/record&gt;&lt;/Cite&gt;&lt;/EndNote&gt;</w:instrText>
      </w:r>
      <w:r w:rsidR="00BE43A2">
        <w:fldChar w:fldCharType="separate"/>
      </w:r>
      <w:r w:rsidR="00F23621">
        <w:rPr>
          <w:noProof/>
        </w:rPr>
        <w:t>(Abelsen, 2021, 2022)</w:t>
      </w:r>
      <w:r w:rsidR="00BE43A2">
        <w:fldChar w:fldCharType="end"/>
      </w:r>
      <w:r>
        <w:t xml:space="preserve">. Den fjerde statusrapporten inneholder </w:t>
      </w:r>
      <w:r w:rsidDel="00A3460E">
        <w:t>også</w:t>
      </w:r>
      <w:r>
        <w:t xml:space="preserve"> en samfunnsøkonomisk analyse</w:t>
      </w:r>
      <w:r w:rsidR="00CA5077">
        <w:t xml:space="preserve"> </w:t>
      </w:r>
      <w:r w:rsidR="00BE43A2">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BE43A2">
        <w:fldChar w:fldCharType="separate"/>
      </w:r>
      <w:r w:rsidR="00BE43A2">
        <w:rPr>
          <w:noProof/>
        </w:rPr>
        <w:t>(Abelsen B. et al., 2022)</w:t>
      </w:r>
      <w:r w:rsidR="00BE43A2">
        <w:fldChar w:fldCharType="end"/>
      </w:r>
      <w:r>
        <w:t>.</w:t>
      </w:r>
    </w:p>
    <w:p w14:paraId="5544E5CE" w14:textId="053B8220" w:rsidR="00770B08" w:rsidRDefault="00770B08" w:rsidP="007B4967">
      <w:pPr>
        <w:jc w:val="both"/>
      </w:pPr>
      <w:r>
        <w:t>Sluttrapporten for 2018</w:t>
      </w:r>
      <w:r w:rsidR="004B2190">
        <w:t>–</w:t>
      </w:r>
      <w:r>
        <w:t>2021 fant at de ansatte på legekontorene opplevde at PHT både påvirker arbeidsmiljøet positivt og gir gevinster for pasientene</w:t>
      </w:r>
      <w:r w:rsidR="000E2883">
        <w:t xml:space="preserve"> </w:t>
      </w:r>
      <w:r w:rsidR="00BE43A2">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BE43A2">
        <w:fldChar w:fldCharType="separate"/>
      </w:r>
      <w:r w:rsidR="00BE43A2">
        <w:rPr>
          <w:noProof/>
        </w:rPr>
        <w:t>(Abelsen B. et al., 2022)</w:t>
      </w:r>
      <w:r w:rsidR="00BE43A2">
        <w:fldChar w:fldCharType="end"/>
      </w:r>
      <w:r>
        <w:t xml:space="preserve">. Majoriteten opplevde at PHT har bidratt til å styrke det sosiale og faglige fellesskapet på </w:t>
      </w:r>
      <w:r>
        <w:lastRenderedPageBreak/>
        <w:t xml:space="preserve">legekontoret. </w:t>
      </w:r>
      <w:r w:rsidR="007A4CA9">
        <w:t>Fastlegene</w:t>
      </w:r>
      <w:r>
        <w:t xml:space="preserve"> opplevde å ha mer tid til kvalitetsarbeid. Videre oppga både fastleger og sykepleiere at samarbeidet mellom dem i stor eller svært stor grad bidrar til bedre oppfølging av enkeltpasienter. Over halvparten av de ansatte mente at PHT i stor eller svært stor grad bidrar til en rekke positive effekter, blant annet bedre opplæring og oppfølging av enkeltpasienter, bedre helse og mestring blant enkeltpasienter og økt tilgjengelighet til tjenesten.</w:t>
      </w:r>
    </w:p>
    <w:p w14:paraId="4F30FD15" w14:textId="517B358D" w:rsidR="00770B08" w:rsidRDefault="000E2883" w:rsidP="007B4967">
      <w:pPr>
        <w:jc w:val="both"/>
      </w:pPr>
      <w:r>
        <w:t>A</w:t>
      </w:r>
      <w:r w:rsidR="00770B08">
        <w:t xml:space="preserve">rbeidsformen på </w:t>
      </w:r>
      <w:r w:rsidR="00AB2EC2">
        <w:t>legekontorene</w:t>
      </w:r>
      <w:r w:rsidR="00770B08">
        <w:t xml:space="preserve"> er i større grad enn før forsøket startet, dreid mot systematisk arbeid med ledelse, kommunikasjon og samarbeidsstrukturer, utarbeidelse av prosedyrer, systematisk identifisering av pasienter som egner seg for oppfølging, systematisk arbeid med kvalitetsforbedring, samarbeid med andre tjenester, arbeid med brukermedvirkning og tettere oppfølging av pasienter i målgruppene, proaktiv</w:t>
      </w:r>
      <w:r w:rsidR="00924FAD">
        <w:t>itet</w:t>
      </w:r>
      <w:r w:rsidR="00770B08">
        <w:t xml:space="preserve"> og tverrfaglig samarbeid. I tillegg til endret arbeidsform på legekontoret, påvirker PHT arbeidsformen i møte med pasientene gjennom å tilby sykepleierkonsultasjoner, gjennomføre årskontroll, utarbeide behandlingsplaner og gjennomføre hjemmebesøk. </w:t>
      </w:r>
      <w:r w:rsidR="00C24900">
        <w:t>Vurderingen så</w:t>
      </w:r>
      <w:r w:rsidR="00C31A90">
        <w:t xml:space="preserve"> langt er</w:t>
      </w:r>
      <w:r w:rsidR="00770B08">
        <w:t xml:space="preserve"> at PHT trolig kan bidra til å realisere helsegevinster som, sammen med øvrige gevinster, veier opp for kostnadene av tiltaket</w:t>
      </w:r>
      <w:r w:rsidR="00317EF0">
        <w:t>. D</w:t>
      </w:r>
      <w:r w:rsidR="00770B08">
        <w:t xml:space="preserve">et </w:t>
      </w:r>
      <w:r w:rsidR="00317EF0">
        <w:t xml:space="preserve">kan </w:t>
      </w:r>
      <w:r w:rsidR="00770B08">
        <w:t xml:space="preserve">derfor være samfunnsøkonomisk lønnsomt å innføre PHT på legekontor. En viktig forutsetning er imidlertid at legekontoret arbeider med å utvikle teamarbeidet og involverer sykepleier på en god måte i arbeidet, slik at den tverrfaglige tilnærmingen kommer både pasientene og medarbeiderne ved legekontoret til gode. </w:t>
      </w:r>
      <w:r w:rsidR="00B40258">
        <w:t>Samtidig må man</w:t>
      </w:r>
      <w:r w:rsidR="00161B2F">
        <w:t xml:space="preserve"> være oppmerksom på hvor sykepleierne </w:t>
      </w:r>
      <w:r w:rsidR="63E283B0">
        <w:t>rekrut</w:t>
      </w:r>
      <w:r w:rsidR="7B109562">
        <w:t>t</w:t>
      </w:r>
      <w:r w:rsidR="63E283B0">
        <w:t>eres</w:t>
      </w:r>
      <w:r w:rsidR="00161B2F">
        <w:t xml:space="preserve"> fra</w:t>
      </w:r>
      <w:r w:rsidR="00D67BA7">
        <w:t>, og om tiltaket medfører mer oppfølging til flere</w:t>
      </w:r>
      <w:r w:rsidR="000955E5">
        <w:t>, eller mer kostnadseffektiv oppfølging av de som også i dag mottar tjenester</w:t>
      </w:r>
      <w:r w:rsidR="00175FFB">
        <w:t xml:space="preserve">. </w:t>
      </w:r>
      <w:r w:rsidR="0060730E">
        <w:t xml:space="preserve">Det vil være samfunnsøkonomisk </w:t>
      </w:r>
      <w:r w:rsidR="00AC7DD9">
        <w:t>viktig</w:t>
      </w:r>
      <w:r w:rsidR="00F5730B">
        <w:t>ere</w:t>
      </w:r>
      <w:r w:rsidR="00AC7DD9">
        <w:t xml:space="preserve"> å redusere omfang av oppgaver for fastlegen som ikke gir helsegevinster.</w:t>
      </w:r>
    </w:p>
    <w:p w14:paraId="05954524" w14:textId="77777777" w:rsidR="00D9107F" w:rsidRDefault="375B265D" w:rsidP="00F45391">
      <w:pPr>
        <w:jc w:val="both"/>
      </w:pPr>
      <w:r>
        <w:t xml:space="preserve">Den femte statusrapporten i evalueringen beskriver </w:t>
      </w:r>
      <w:r w:rsidR="000C18DC">
        <w:t>at p</w:t>
      </w:r>
      <w:r>
        <w:t>asientene opplever større trygghet på at de ivaretas på en god måte og får en bedre oppfølging, sammenlignet med før innføringen av PHT</w:t>
      </w:r>
      <w:r w:rsidR="003B1A93">
        <w:t xml:space="preserve"> </w:t>
      </w:r>
      <w:r w:rsidR="00BE43A2">
        <w:fldChar w:fldCharType="begin"/>
      </w:r>
      <w:r w:rsidR="004654FD">
        <w:instrText xml:space="preserve"> ADDIN EN.CITE &lt;EndNote&gt;&lt;Cite&gt;&lt;Author&gt;Abelsen&lt;/Author&gt;&lt;Year&gt;2022&lt;/Year&gt;&lt;RecNum&gt;217&lt;/RecNum&gt;&lt;DisplayText&gt;(Abelsen, 2022)&lt;/DisplayText&gt;&lt;record&gt;&lt;rec-number&gt;217&lt;/rec-number&gt;&lt;foreign-keys&gt;&lt;key app="EN" db-id="95tpr2tp6r9xwoea9rb5wdsz5ds5xeddteew" timestamp="1680069511"&gt;217&lt;/key&gt;&lt;/foreign-keys&gt;&lt;ref-type name="Report"&gt;27&lt;/ref-type&gt;&lt;contributors&gt;&lt;authors&gt;&lt;author&gt;Abelsen, B. et.al.,&lt;/author&gt;&lt;/authors&gt;&lt;tertiary-authors&gt;&lt;author&gt;Institutt for helse og samfunn UiO,&lt;/author&gt;&lt;author&gt;Oslo Economics,&lt;/author&gt;&lt;author&gt;Nasjonalt senter for distriktsmedisin UiT Norges arktiske universitet, &lt;/author&gt;&lt;/tertiary-authors&gt;&lt;/contributors&gt;&lt;titles&gt;&lt;title&gt;Evaluering av forsøk med primærhelseteam og alternative finansieringsordninger: Statusrapport V&lt;/title&gt;&lt;/titles&gt;&lt;dates&gt;&lt;year&gt;2022&lt;/year&gt;&lt;/dates&gt;&lt;pub-location&gt;Oslo&lt;/pub-location&gt;&lt;urls&gt;&lt;/urls&gt;&lt;/record&gt;&lt;/Cite&gt;&lt;/EndNote&gt;</w:instrText>
      </w:r>
      <w:r w:rsidR="00BE43A2">
        <w:fldChar w:fldCharType="separate"/>
      </w:r>
      <w:r w:rsidR="00F23621">
        <w:rPr>
          <w:noProof/>
        </w:rPr>
        <w:t>(Abelsen, 2022)</w:t>
      </w:r>
      <w:r w:rsidR="00BE43A2">
        <w:fldChar w:fldCharType="end"/>
      </w:r>
      <w:r>
        <w:t>. Flesteparten er også fornøyd med tilgjengeligheten til fastlegen og sykepleier, og er tilfreds med både ulike deler av oppfølgingen gitt av fastlege og sykepleier, samt med den samlede oppfølgingen fra legekontoret. Flertallet av pasientene som mottok helsehjelp fra sykepleier, inkludert oppgaver som vanligvis gis av fastlegen, er fornøyd med hvordan oppfølgingen gjøres og ønsker å motta denne videre. .</w:t>
      </w:r>
    </w:p>
    <w:p w14:paraId="6A10E063" w14:textId="131E1EEE" w:rsidR="00770B08" w:rsidRDefault="00770B08" w:rsidP="00F45391">
      <w:pPr>
        <w:jc w:val="both"/>
      </w:pPr>
      <w:r>
        <w:t xml:space="preserve">Hovedandelen av fastlegene og sykepleierne opplevde stor eller svært stor grad av enighet om arbeidsoppgaver, arbeidsdeling og fordeling av beslutningsmyndighet. I fritekstfelt beskrev fastleger sammenhengen mellom hvordan flere fagfolk rundt pasienten medfører tverrfaglig kompetanse og diskusjon, som igjen bidrar til bedre pasientbehandling. Fastlegene vektla også hvordan hjemmebesøk utført </w:t>
      </w:r>
      <w:r w:rsidR="3E82385F">
        <w:t>a</w:t>
      </w:r>
      <w:r w:rsidR="7B96E852">
        <w:t>v</w:t>
      </w:r>
      <w:r>
        <w:t xml:space="preserve"> sykepleier bidrar til bedre forebygging og behandling, og at sykepleierens arbeidsform innebar nye og viktige måter å løse problemer på.</w:t>
      </w:r>
    </w:p>
    <w:p w14:paraId="247D187F" w14:textId="2E872EDB" w:rsidR="00770B08" w:rsidRDefault="009A59F9" w:rsidP="00257484">
      <w:pPr>
        <w:jc w:val="both"/>
      </w:pPr>
      <w:r>
        <w:t>I d</w:t>
      </w:r>
      <w:r w:rsidR="004C492B">
        <w:t xml:space="preserve">en fjerde statusrapporten </w:t>
      </w:r>
      <w:r>
        <w:t>oppgir a</w:t>
      </w:r>
      <w:r w:rsidR="004C492B">
        <w:t>nsatte</w:t>
      </w:r>
      <w:r w:rsidR="00770B08">
        <w:t xml:space="preserve"> i kommunale helse- og omsorgstjenester og tjenester for psykisk helse og rus økt tilgjengelighet til fastlegetjenesten for brukere med </w:t>
      </w:r>
      <w:r w:rsidR="00770B08">
        <w:lastRenderedPageBreak/>
        <w:t>omfattende behov, i form av raskere tilgang til fastlegen og mer omfattende tjenester enn tidligere</w:t>
      </w:r>
      <w:r w:rsidR="005E72A8">
        <w:t xml:space="preserve"> </w:t>
      </w:r>
      <w:r w:rsidR="00BE43A2">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BE43A2">
        <w:fldChar w:fldCharType="separate"/>
      </w:r>
      <w:r w:rsidR="00BE43A2">
        <w:rPr>
          <w:noProof/>
        </w:rPr>
        <w:t>(Abelsen B. et al., 2022)</w:t>
      </w:r>
      <w:r w:rsidR="00BE43A2">
        <w:fldChar w:fldCharType="end"/>
      </w:r>
      <w:r w:rsidR="00770B08">
        <w:t xml:space="preserve">. Legetjenesten tar oftere kontakt med hjemmetjenesten, som blir satt i sammenheng med at sykepleier oftere </w:t>
      </w:r>
      <w:r w:rsidR="00C62A49">
        <w:t xml:space="preserve">var </w:t>
      </w:r>
      <w:r w:rsidR="00770B08">
        <w:t xml:space="preserve">på hjemmebesøk, og brukte mer tid og var opptatt av andre forhold ved brukerne utover det rent medisinske. </w:t>
      </w:r>
      <w:r w:rsidR="008C3AB1">
        <w:t xml:space="preserve">Ansatte i de </w:t>
      </w:r>
      <w:r w:rsidR="00770B08">
        <w:t>kommunal</w:t>
      </w:r>
      <w:r w:rsidR="008C3AB1">
        <w:t>e</w:t>
      </w:r>
      <w:r w:rsidR="00770B08">
        <w:t xml:space="preserve"> </w:t>
      </w:r>
      <w:r w:rsidR="008C3AB1">
        <w:t xml:space="preserve">tjenestene </w:t>
      </w:r>
      <w:r w:rsidR="00770B08">
        <w:t>beskrev at PHT bidrar til avlastning og at de selv kan gi bedre tjenester til sine brukere. Ansatte i de kommunale tjenestene og på fastlegekontorene var enige i at fastlegetjenesten er mer tilgjengelig og at samarbeidet er tettest mellom fastlegekontoret og hjemmetjenestene.</w:t>
      </w:r>
    </w:p>
    <w:p w14:paraId="2FA5B290" w14:textId="77777777" w:rsidR="00D9107F" w:rsidRDefault="00770B08" w:rsidP="00257484">
      <w:pPr>
        <w:jc w:val="both"/>
      </w:pPr>
      <w:r>
        <w:t>Evalueringen viser at teamorganiseringen har en effekt på arbeidsbelastningen</w:t>
      </w:r>
      <w:r w:rsidR="00025D65">
        <w:t xml:space="preserve"> </w:t>
      </w:r>
      <w:r w:rsidR="00BE43A2">
        <w:fldChar w:fldCharType="begin"/>
      </w:r>
      <w:r w:rsidR="004654FD">
        <w:instrText xml:space="preserve"> ADDIN EN.CITE &lt;EndNote&gt;&lt;Cite&gt;&lt;Author&gt;Abelsen&lt;/Author&gt;&lt;Year&gt;2022&lt;/Year&gt;&lt;RecNum&gt;217&lt;/RecNum&gt;&lt;DisplayText&gt;(Abelsen, 2022)&lt;/DisplayText&gt;&lt;record&gt;&lt;rec-number&gt;217&lt;/rec-number&gt;&lt;foreign-keys&gt;&lt;key app="EN" db-id="95tpr2tp6r9xwoea9rb5wdsz5ds5xeddteew" timestamp="1680069511"&gt;217&lt;/key&gt;&lt;/foreign-keys&gt;&lt;ref-type name="Report"&gt;27&lt;/ref-type&gt;&lt;contributors&gt;&lt;authors&gt;&lt;author&gt;Abelsen, B. et.al.,&lt;/author&gt;&lt;/authors&gt;&lt;tertiary-authors&gt;&lt;author&gt;Institutt for helse og samfunn UiO,&lt;/author&gt;&lt;author&gt;Oslo Economics,&lt;/author&gt;&lt;author&gt;Nasjonalt senter for distriktsmedisin UiT Norges arktiske universitet, &lt;/author&gt;&lt;/tertiary-authors&gt;&lt;/contributors&gt;&lt;titles&gt;&lt;title&gt;Evaluering av forsøk med primærhelseteam og alternative finansieringsordninger: Statusrapport V&lt;/title&gt;&lt;/titles&gt;&lt;dates&gt;&lt;year&gt;2022&lt;/year&gt;&lt;/dates&gt;&lt;pub-location&gt;Oslo&lt;/pub-location&gt;&lt;urls&gt;&lt;/urls&gt;&lt;/record&gt;&lt;/Cite&gt;&lt;/EndNote&gt;</w:instrText>
      </w:r>
      <w:r w:rsidR="00BE43A2">
        <w:fldChar w:fldCharType="separate"/>
      </w:r>
      <w:r w:rsidR="00F23621">
        <w:rPr>
          <w:noProof/>
        </w:rPr>
        <w:t>(Abelsen, 2022)</w:t>
      </w:r>
      <w:r w:rsidR="00BE43A2">
        <w:fldChar w:fldCharType="end"/>
      </w:r>
      <w:r>
        <w:t xml:space="preserve">. Halvparten av fastlegene oppgir effekt på arbeidsbelastningen og blant disse oppgir fire av fem en reduksjon. Videre indikerer resultatene at omfordeling av oppgaver til sykepleier kan </w:t>
      </w:r>
      <w:r w:rsidR="3E82385F">
        <w:t>frigjør</w:t>
      </w:r>
      <w:r w:rsidR="0EFF944F">
        <w:t>e</w:t>
      </w:r>
      <w:r>
        <w:t xml:space="preserve"> tid for fastlegene. De fleste av fastlegene oppgav at tiden som spares på oppgavene som er overført til sykepleier</w:t>
      </w:r>
      <w:r w:rsidR="0051465B">
        <w:t>,</w:t>
      </w:r>
      <w:r>
        <w:t xml:space="preserve"> brukes i direkte pasientarbeid på legekontoret med pasient til stede, ved å ha lengre og flere konsultasjoner. Majoriteten av fastlegene, omtrent fire av fem, opplevde at teamorganisering på fastlegekontoret tilrettela for delegering av både rutinepregede og tidkrevende oppgaver til </w:t>
      </w:r>
      <w:r w:rsidR="00AB2EC2">
        <w:t>sykepleier.</w:t>
      </w:r>
    </w:p>
    <w:p w14:paraId="1D93CB8B" w14:textId="77777777" w:rsidR="00D9107F" w:rsidRDefault="00770B08" w:rsidP="00257484">
      <w:pPr>
        <w:jc w:val="both"/>
      </w:pPr>
      <w:r>
        <w:t xml:space="preserve">Videre </w:t>
      </w:r>
      <w:r w:rsidR="3E82385F">
        <w:t>fungere</w:t>
      </w:r>
      <w:r w:rsidR="2A8C6E48">
        <w:t>r</w:t>
      </w:r>
      <w:r>
        <w:t xml:space="preserve"> sykepleier som inngangsport til fastlegen og et bindeledd som gir raskere tilgang for pasienten, men også for samarbeidspartnere i øvrig helsetjeneste, som hjemmesykepleien, boliger</w:t>
      </w:r>
      <w:r w:rsidR="003E6542">
        <w:t xml:space="preserve"> med heldøgns tjenester</w:t>
      </w:r>
      <w:r>
        <w:t xml:space="preserve"> og spesialisthelsetjenesten.</w:t>
      </w:r>
    </w:p>
    <w:p w14:paraId="79417776" w14:textId="02C01289" w:rsidR="00D9107F" w:rsidRDefault="00770B08" w:rsidP="00257484">
      <w:pPr>
        <w:jc w:val="both"/>
      </w:pPr>
      <w:r>
        <w:t>Evalueringen viser at å utvikle teamarbeid og implementere nye arbeidsformer tar tid. Ved å sammenligne svarene fra spørreundersøkelsene sees en økning i andelen fastleger som svarer at de opplever enighet om oppgaver, arbeidsfordeling og fordeling av beslutningsmyndighet, fra omtrent en av fem i 2019 til en av tre i 2022</w:t>
      </w:r>
      <w:r w:rsidR="2C7F780A">
        <w:t xml:space="preserve"> </w:t>
      </w:r>
      <w:r w:rsidR="00BE43A2">
        <w:fldChar w:fldCharType="begin"/>
      </w:r>
      <w:r w:rsidR="004654FD">
        <w:instrText xml:space="preserve"> ADDIN EN.CITE &lt;EndNote&gt;&lt;Cite&gt;&lt;Author&gt;Abelsen B.&lt;/Author&gt;&lt;Year&gt;2022&lt;/Year&gt;&lt;RecNum&gt;215&lt;/RecNum&gt;&lt;DisplayText&gt;(Abelsen B. et al., 2022; Abelsen,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universitet&lt;/publisher&gt;&lt;urls&gt;&lt;/urls&gt;&lt;/record&gt;&lt;/Cite&gt;&lt;Cite&gt;&lt;Author&gt;Abelsen&lt;/Author&gt;&lt;Year&gt;2022&lt;/Year&gt;&lt;RecNum&gt;217&lt;/RecNum&gt;&lt;record&gt;&lt;rec-number&gt;217&lt;/rec-number&gt;&lt;foreign-keys&gt;&lt;key app="EN" db-id="95tpr2tp6r9xwoea9rb5wdsz5ds5xeddteew" timestamp="1680069511"&gt;217&lt;/key&gt;&lt;/foreign-keys&gt;&lt;ref-type name="Report"&gt;27&lt;/ref-type&gt;&lt;contributors&gt;&lt;authors&gt;&lt;author&gt;Abelsen, B. et.al.,&lt;/author&gt;&lt;/authors&gt;&lt;tertiary-authors&gt;&lt;author&gt;Institutt for helse og samfunn UiO,&lt;/author&gt;&lt;author&gt;Oslo Economics,&lt;/author&gt;&lt;author&gt;Nasjonalt senter for distriktsmedisin UiT Norges arktiske universitet, &lt;/author&gt;&lt;/tertiary-authors&gt;&lt;/contributors&gt;&lt;titles&gt;&lt;title&gt;Evaluering av forsøk med primærhelseteam og alternative finansieringsordninger: Statusrapport V&lt;/title&gt;&lt;/titles&gt;&lt;dates&gt;&lt;year&gt;2022&lt;/year&gt;&lt;/dates&gt;&lt;pub-location&gt;Oslo&lt;/pub-location&gt;&lt;urls&gt;&lt;/urls&gt;&lt;/record&gt;&lt;/Cite&gt;&lt;/EndNote&gt;</w:instrText>
      </w:r>
      <w:r w:rsidR="00BE43A2">
        <w:fldChar w:fldCharType="separate"/>
      </w:r>
      <w:r w:rsidR="00F23621">
        <w:rPr>
          <w:noProof/>
        </w:rPr>
        <w:t>(Abelsen B. et al., 2022; Abelsen, 2022)</w:t>
      </w:r>
      <w:r w:rsidR="00BE43A2">
        <w:fldChar w:fldCharType="end"/>
      </w:r>
      <w:r w:rsidR="7FB24ECA">
        <w:t>.</w:t>
      </w:r>
    </w:p>
    <w:p w14:paraId="5282481D" w14:textId="21D029C7" w:rsidR="00D9107F" w:rsidRDefault="005122BE" w:rsidP="00E93E78">
      <w:pPr>
        <w:pStyle w:val="tittel-ramme"/>
        <w:jc w:val="left"/>
        <w:rPr>
          <w:rStyle w:val="kursiv"/>
        </w:rPr>
      </w:pPr>
      <w:r w:rsidRPr="00D9107F">
        <w:rPr>
          <w:rStyle w:val="kursiv"/>
        </w:rPr>
        <w:t>Beboere i b</w:t>
      </w:r>
      <w:r w:rsidR="00643C1A" w:rsidRPr="00D9107F">
        <w:rPr>
          <w:rStyle w:val="kursiv"/>
        </w:rPr>
        <w:t>o</w:t>
      </w:r>
      <w:r w:rsidRPr="00D9107F">
        <w:rPr>
          <w:rStyle w:val="kursiv"/>
        </w:rPr>
        <w:t>liger med heldøgns tjenester</w:t>
      </w:r>
    </w:p>
    <w:tbl>
      <w:tblPr>
        <w:tblStyle w:val="StandardBoks"/>
        <w:tblW w:w="0" w:type="auto"/>
        <w:tblLook w:val="04A0" w:firstRow="1" w:lastRow="0" w:firstColumn="1" w:lastColumn="0" w:noHBand="0" w:noVBand="1"/>
      </w:tblPr>
      <w:tblGrid>
        <w:gridCol w:w="9736"/>
      </w:tblGrid>
      <w:tr w:rsidR="004B6771" w14:paraId="7B0F756D" w14:textId="77777777" w:rsidTr="004B6771">
        <w:tc>
          <w:tcPr>
            <w:tcW w:w="9736" w:type="dxa"/>
          </w:tcPr>
          <w:p w14:paraId="6DE237A7" w14:textId="77777777" w:rsidR="004B6771" w:rsidRPr="004B6771" w:rsidRDefault="004B6771" w:rsidP="004B6771">
            <w:r w:rsidRPr="004B6771">
              <w:t>Beboere i boliger med heldøgns tjenester er en variert og sammensatt gruppe, som omfatter eldre med somatisk sykdom og med demenslidelser, personer med rus- og psykiske problemer, personer med utviklingshemming, samt personer med annen funksjonsnedsettelse. De har ofte flere sykdommer samtidig og betydelig redusert fungering. Boligen er deres hjem, både formelt og reelt.</w:t>
            </w:r>
          </w:p>
          <w:p w14:paraId="1A7DF223" w14:textId="77777777" w:rsidR="004B6771" w:rsidRPr="004B6771" w:rsidRDefault="004B6771" w:rsidP="004B6771">
            <w:r w:rsidRPr="004B6771">
              <w:t xml:space="preserve">Disse innbyggerne har gjennomgående et stort behov for medisinsk oppfølging, samtidig som de ofte har begrenset mulighet til, på egen hånd, å koordinere sine helsetjenestebehov, og trenger praktisk bistand som for eksempel i kontakt med fastlegen. For personer med utviklingshemming er det synliggjort mangel på kompetanse i hjelpeapparatet, og at fastlegeordningen ikke fungerer godt nok for en gruppe som selv ikke oppsøker fastlegen, og som har vanskelig for å oppdage egen helsesvikt.  </w:t>
            </w:r>
          </w:p>
          <w:p w14:paraId="1C68C9B9" w14:textId="6D5051A5" w:rsidR="004B6771" w:rsidRPr="004B6771" w:rsidRDefault="004B6771" w:rsidP="004B6771">
            <w:r w:rsidRPr="004B6771">
              <w:lastRenderedPageBreak/>
              <w:t xml:space="preserve">For å forbedre allmennlegetjenesten til beboere i boliger med heldøgns omsorg, er det behov for tiltak som kan bidra til bedre kontinuitet, samhandling, informasjonsflyt og koordinering av tjenester. Dette fordrer at fastlegen har større kapasitet til å følge opp denne gruppen mer proaktivt enn det som ofte er tilfellet i dag. Erfaringene fra forsøket med primærhelseteam viser at en mer teambasert og tverrfaglig fastlegetjeneste i større grad evner å samhandle godt med kommunens helse- og omsorgstjeneste, og tilpasse disse til brukergruppens behov. </w:t>
            </w:r>
          </w:p>
        </w:tc>
      </w:tr>
    </w:tbl>
    <w:p w14:paraId="6D6E8E8D" w14:textId="5F90D683" w:rsidR="00770B08" w:rsidRPr="00B53050" w:rsidRDefault="375B265D" w:rsidP="00775632">
      <w:pPr>
        <w:pStyle w:val="Overskrift4"/>
      </w:pPr>
      <w:bookmarkStart w:id="3003" w:name="_Toc130983528"/>
      <w:bookmarkStart w:id="3004" w:name="_Toc130983877"/>
      <w:bookmarkStart w:id="3005" w:name="_Toc131238459"/>
      <w:bookmarkStart w:id="3006" w:name="_Toc131279490"/>
      <w:bookmarkStart w:id="3007" w:name="_Toc131286902"/>
      <w:bookmarkStart w:id="3008" w:name="_Toc131281312"/>
      <w:bookmarkStart w:id="3009" w:name="_Toc131317852"/>
      <w:r>
        <w:lastRenderedPageBreak/>
        <w:t xml:space="preserve">Erfaringer fra </w:t>
      </w:r>
      <w:r w:rsidR="39480C8C">
        <w:t>primærhels</w:t>
      </w:r>
      <w:r w:rsidR="3028E02F">
        <w:t>e</w:t>
      </w:r>
      <w:r w:rsidR="39480C8C">
        <w:t>team</w:t>
      </w:r>
      <w:r w:rsidR="00A9084F">
        <w:t xml:space="preserve"> i</w:t>
      </w:r>
      <w:r w:rsidR="00A56F1E">
        <w:t>nternasjonalt</w:t>
      </w:r>
      <w:bookmarkEnd w:id="3003"/>
      <w:bookmarkEnd w:id="3004"/>
      <w:bookmarkEnd w:id="3005"/>
      <w:bookmarkEnd w:id="3006"/>
      <w:bookmarkEnd w:id="3007"/>
      <w:bookmarkEnd w:id="3008"/>
      <w:bookmarkEnd w:id="3009"/>
    </w:p>
    <w:p w14:paraId="3B95C428" w14:textId="77777777" w:rsidR="00D9107F" w:rsidRDefault="375B265D" w:rsidP="005E445B">
      <w:pPr>
        <w:jc w:val="both"/>
      </w:pPr>
      <w:r>
        <w:t>Undersøkelser fra andre land har vist varierende resultater av hvordan tilsvarende organisering som PHT påvirker pasientene. Godager, Iversen og Snilsberg (2021) gir en kortfattet oppsummering av evalueringer av Patient-Centered Medical Homes (PCMH) i USA, Family Health Teams (FHT) og Family Medicine Groups (FMG) i Canada og Multidisciplinary Group Practices (MGP) i Frankrike</w:t>
      </w:r>
      <w:r w:rsidR="005E7957">
        <w:t xml:space="preserve"> </w:t>
      </w:r>
      <w:r w:rsidR="00BE43A2">
        <w:fldChar w:fldCharType="begin"/>
      </w:r>
      <w:r w:rsidR="00BE43A2">
        <w:instrText xml:space="preserve"> ADDIN EN.CITE &lt;EndNote&gt;&lt;Cite&gt;&lt;Author&gt;Godager&lt;/Author&gt;&lt;Year&gt;2021&lt;/Year&gt;&lt;RecNum&gt;68&lt;/RecNum&gt;&lt;DisplayText&gt;(Godager et al., 2021)&lt;/DisplayText&gt;&lt;record&gt;&lt;rec-number&gt;68&lt;/rec-number&gt;&lt;foreign-keys&gt;&lt;key app="EN" db-id="95tpr2tp6r9xwoea9rb5wdsz5ds5xeddteew" timestamp="1680069511"&gt;68&lt;/key&gt;&lt;/foreign-keys&gt;&lt;ref-type name="Book Section"&gt;5&lt;/ref-type&gt;&lt;contributors&gt;&lt;authors&gt;&lt;author&gt;Godager, G.&lt;/author&gt;&lt;author&gt;Iversen, T.&lt;/author&gt;&lt;author&gt;Snilsberg, Ø.&lt;/author&gt;&lt;/authors&gt;&lt;secondary-authors&gt;&lt;author&gt;Botten, Grete&lt;/author&gt;&lt;author&gt;Det Norske medicinske Selskab,&lt;/author&gt;&lt;/secondary-authors&gt;&lt;/contributors&gt;&lt;titles&gt;&lt;title&gt;Betalingsmåter for teamarbeid i primærhelsetjenesten&lt;/title&gt;&lt;secondary-title&gt;Mangfold og engasjement i 10 år: Institutt for helse og samfunn ved universitetet i Oslo 2010-2020&lt;/secondary-title&gt;&lt;/titles&gt;&lt;pages&gt;100-109&lt;/pages&gt;&lt;keywords&gt;&lt;keyword&gt;Universitetet i Oslo Institutt for helse og samfunn&lt;/keyword&gt;&lt;keyword&gt;History of Medicine&lt;/keyword&gt;&lt;keyword&gt;Norway&lt;/keyword&gt;&lt;/keywords&gt;&lt;dates&gt;&lt;year&gt;2021&lt;/year&gt;&lt;/dates&gt;&lt;pub-location&gt;Oslo&lt;/pub-location&gt;&lt;publisher&gt;Det norske medicinske Selskab&lt;/publisher&gt;&lt;isbn&gt;9788292871768&lt;/isbn&gt;&lt;urls&gt;&lt;/urls&gt;&lt;/record&gt;&lt;/Cite&gt;&lt;/EndNote&gt;</w:instrText>
      </w:r>
      <w:r w:rsidR="00BE43A2">
        <w:fldChar w:fldCharType="separate"/>
      </w:r>
      <w:r w:rsidR="00BE43A2">
        <w:rPr>
          <w:noProof/>
        </w:rPr>
        <w:t>(Godager et al., 2021)</w:t>
      </w:r>
      <w:r w:rsidR="00BE43A2">
        <w:fldChar w:fldCharType="end"/>
      </w:r>
      <w:r>
        <w:t>.</w:t>
      </w:r>
    </w:p>
    <w:p w14:paraId="54EC578F" w14:textId="77777777" w:rsidR="00D9107F" w:rsidRDefault="375B265D" w:rsidP="00C32C54">
      <w:pPr>
        <w:jc w:val="both"/>
      </w:pPr>
      <w:r>
        <w:t xml:space="preserve">Oppsummeringer av evalueringer av PCMH viser stor variasjon, og forbedringer for et fåtall av utfallene som ble undersøkt. Forfatterne etterlyste samtidig kunnskap om hva som fungerer med modellen og hva som er mindre nyttig. </w:t>
      </w:r>
      <w:r w:rsidR="000914BF">
        <w:t>I e</w:t>
      </w:r>
      <w:r>
        <w:t xml:space="preserve">valueringen </w:t>
      </w:r>
      <w:r w:rsidR="000914BF">
        <w:t>av</w:t>
      </w:r>
      <w:r>
        <w:t xml:space="preserve"> FHT</w:t>
      </w:r>
      <w:r w:rsidR="32F530DB">
        <w:t xml:space="preserve"> </w:t>
      </w:r>
      <w:r w:rsidR="03268475">
        <w:t>i Canada</w:t>
      </w:r>
      <w:r>
        <w:t xml:space="preserve"> </w:t>
      </w:r>
      <w:r w:rsidR="000914BF">
        <w:t xml:space="preserve">rapporterte pasientene </w:t>
      </w:r>
      <w:r w:rsidR="00AE2104">
        <w:t xml:space="preserve">at fastlegetjenesten </w:t>
      </w:r>
      <w:r w:rsidR="00363628">
        <w:t>var</w:t>
      </w:r>
      <w:r w:rsidR="00AE2104">
        <w:t xml:space="preserve"> betydelig mer tilgjeng</w:t>
      </w:r>
      <w:r w:rsidR="00062E70">
        <w:t>e</w:t>
      </w:r>
      <w:r w:rsidR="00AE2104">
        <w:t>lige og omfattende</w:t>
      </w:r>
      <w:r w:rsidR="00363628">
        <w:t xml:space="preserve">. </w:t>
      </w:r>
      <w:r w:rsidR="00536EF6">
        <w:t xml:space="preserve">FHT </w:t>
      </w:r>
      <w:r w:rsidR="00A306B4">
        <w:t>gav også</w:t>
      </w:r>
      <w:r>
        <w:t xml:space="preserve"> mer anbefalt behandling av diabetespasienter enn den tradisjonelle modellen, </w:t>
      </w:r>
      <w:r w:rsidR="00A306B4">
        <w:t>men</w:t>
      </w:r>
      <w:r w:rsidR="005E3FA4">
        <w:t xml:space="preserve"> </w:t>
      </w:r>
      <w:r w:rsidR="004D5077">
        <w:t xml:space="preserve">det </w:t>
      </w:r>
      <w:r w:rsidR="005E3FA4">
        <w:t>var</w:t>
      </w:r>
      <w:r>
        <w:t xml:space="preserve"> ingen forskjeller mellom modellene på helsetjenestebruk generelt. En evaluering av Quebecs FMG</w:t>
      </w:r>
      <w:r w:rsidR="057EE9B1">
        <w:t>-</w:t>
      </w:r>
      <w:r>
        <w:t xml:space="preserve">modell </w:t>
      </w:r>
      <w:r w:rsidR="00A306B4">
        <w:t>så redusert</w:t>
      </w:r>
      <w:r>
        <w:t xml:space="preserve"> bruk av og utgifter til fastlegetjenester og spesialister, men ingen effekt på legevakt og sykehusinnleggelser.</w:t>
      </w:r>
      <w:r w:rsidR="00D170E9">
        <w:t xml:space="preserve"> </w:t>
      </w:r>
      <w:r w:rsidR="00922803">
        <w:t xml:space="preserve">MGP </w:t>
      </w:r>
      <w:r w:rsidR="00816CE0">
        <w:t xml:space="preserve">i Frankrike </w:t>
      </w:r>
      <w:r w:rsidR="00922803">
        <w:t xml:space="preserve">er evaluert i en rekke rapporter og </w:t>
      </w:r>
      <w:r w:rsidR="00A861FE">
        <w:t xml:space="preserve">er assosiert med </w:t>
      </w:r>
      <w:r w:rsidR="00D02379">
        <w:t xml:space="preserve">høyere produktivitet for legene, lavere legemiddelutgifter og </w:t>
      </w:r>
      <w:r w:rsidR="00816CE0">
        <w:t>bedre kvalitet på tjenesten.</w:t>
      </w:r>
    </w:p>
    <w:p w14:paraId="0DAD5779" w14:textId="7B931728" w:rsidR="00C3579A" w:rsidRPr="00B96DF0" w:rsidRDefault="00C3579A" w:rsidP="00775632">
      <w:pPr>
        <w:pStyle w:val="Overskrift3"/>
      </w:pPr>
      <w:bookmarkStart w:id="3010" w:name="_Toc130763842"/>
      <w:bookmarkStart w:id="3011" w:name="_Toc130766737"/>
      <w:bookmarkStart w:id="3012" w:name="_Toc130932138"/>
      <w:bookmarkStart w:id="3013" w:name="_Toc130934429"/>
      <w:bookmarkStart w:id="3014" w:name="_Toc130983529"/>
      <w:bookmarkStart w:id="3015" w:name="_Toc130983878"/>
      <w:bookmarkStart w:id="3016" w:name="_Toc131062183"/>
      <w:bookmarkStart w:id="3017" w:name="_Toc131062437"/>
      <w:bookmarkStart w:id="3018" w:name="_Toc131062698"/>
      <w:bookmarkStart w:id="3019" w:name="_Toc131062951"/>
      <w:bookmarkStart w:id="3020" w:name="_Toc131063734"/>
      <w:bookmarkStart w:id="3021" w:name="_Toc131064144"/>
      <w:bookmarkStart w:id="3022" w:name="_Toc131238460"/>
      <w:bookmarkStart w:id="3023" w:name="_Toc131279491"/>
      <w:bookmarkStart w:id="3024" w:name="_Toc131286903"/>
      <w:bookmarkStart w:id="3025" w:name="_Toc131281313"/>
      <w:bookmarkStart w:id="3026" w:name="_Toc131317853"/>
      <w:bookmarkStart w:id="3027" w:name="_Toc132537008"/>
      <w:r w:rsidRPr="0083074F">
        <w:t>Tverrfaglighet i andre land</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08D0CE82" w14:textId="77777777" w:rsidR="00D9107F" w:rsidRDefault="00C3579A" w:rsidP="00C3579A">
      <w:pPr>
        <w:jc w:val="both"/>
      </w:pPr>
      <w:r w:rsidRPr="00B210AF">
        <w:t>Som tidligere omtalt</w:t>
      </w:r>
      <w:r w:rsidR="008D5EFF">
        <w:t>,</w:t>
      </w:r>
      <w:r w:rsidRPr="00B210AF">
        <w:t xml:space="preserve"> viser utviklingen at legepraksisene gradvis blir større, det er større innslag av tverrfaglige team og mer vekt på integrasjon med annet helsepersonell og andre helse</w:t>
      </w:r>
      <w:r w:rsidR="00033321">
        <w:t>-</w:t>
      </w:r>
      <w:r w:rsidRPr="00B210AF">
        <w:t xml:space="preserve"> og omsorgstjenester og sosiale tjenester. Det kan være grader av samhandling og integrasjon – fra full organisatorisk integrasjon hvor ulike grupper helsepersonell er ansatt i samme organisasjon/legekontor</w:t>
      </w:r>
      <w:r w:rsidR="00164EB6">
        <w:t>,</w:t>
      </w:r>
      <w:r w:rsidRPr="00B210AF">
        <w:t xml:space="preserve"> til at man gjennom forpliktende avtaler samarbeider om å tilby koordinerte/integrerte helsetjenester til en gitt befolkning.</w:t>
      </w:r>
    </w:p>
    <w:p w14:paraId="0121D12C" w14:textId="211E2CDE" w:rsidR="00D9107F" w:rsidRDefault="00C3579A" w:rsidP="00C3579A">
      <w:pPr>
        <w:jc w:val="both"/>
      </w:pPr>
      <w:r w:rsidRPr="009378D3">
        <w:t xml:space="preserve">I Skottland betegnes legen som </w:t>
      </w:r>
      <w:r w:rsidR="00D9107F">
        <w:t>‘</w:t>
      </w:r>
      <w:r w:rsidRPr="00D9107F">
        <w:rPr>
          <w:rStyle w:val="kursiv"/>
        </w:rPr>
        <w:t>expert medical generalist focusing on complex care</w:t>
      </w:r>
      <w:r w:rsidR="00D9107F" w:rsidRPr="00D9107F">
        <w:rPr>
          <w:rStyle w:val="kursiv"/>
        </w:rPr>
        <w:t>’</w:t>
      </w:r>
      <w:r w:rsidRPr="009378D3">
        <w:t xml:space="preserve"> som avlastes av annet helsepersonell. I England og andre land satses det på samarbeid mellom leger, praksiser og team innenfor geografiske områder.</w:t>
      </w:r>
    </w:p>
    <w:p w14:paraId="184516BB" w14:textId="77777777" w:rsidR="00D9107F" w:rsidRDefault="00C3579A" w:rsidP="00C3579A">
      <w:pPr>
        <w:jc w:val="both"/>
      </w:pPr>
      <w:r w:rsidRPr="009378D3">
        <w:t>Inklusjon av</w:t>
      </w:r>
      <w:r w:rsidR="00164EB6">
        <w:t>,</w:t>
      </w:r>
      <w:r w:rsidRPr="009378D3">
        <w:t xml:space="preserve"> og arbeidsdeling med</w:t>
      </w:r>
      <w:r w:rsidR="00164EB6">
        <w:t>,</w:t>
      </w:r>
      <w:r w:rsidRPr="009378D3">
        <w:t xml:space="preserve"> andre personellgrupper kan skje ved at personell ansettes på legekontoret</w:t>
      </w:r>
      <w:r w:rsidR="00A91268">
        <w:t>,</w:t>
      </w:r>
      <w:r w:rsidRPr="009378D3">
        <w:t xml:space="preserve"> eller er utenfor, men likevel tilgjengelig for praksisen. Hvordan organisering og </w:t>
      </w:r>
      <w:r w:rsidRPr="009378D3">
        <w:lastRenderedPageBreak/>
        <w:t xml:space="preserve">finansiering er løst varierer mellom land. Det gjør også legenes rolle og ansvar i teamarbeid. I England, Skottland og Nederland synes legen å ha en framtredende rolle. I Sverige og Finland </w:t>
      </w:r>
      <w:r w:rsidR="00BD3B55">
        <w:t xml:space="preserve">er </w:t>
      </w:r>
      <w:r w:rsidRPr="009378D3">
        <w:t>sykepleie</w:t>
      </w:r>
      <w:r w:rsidR="00223C27">
        <w:t>rs rolle</w:t>
      </w:r>
      <w:r w:rsidR="000A66A5">
        <w:t xml:space="preserve"> mer tydelig.</w:t>
      </w:r>
    </w:p>
    <w:p w14:paraId="46A40907" w14:textId="09623983" w:rsidR="00742A57" w:rsidRDefault="00742A57" w:rsidP="00C3579A">
      <w:pPr>
        <w:jc w:val="both"/>
      </w:pPr>
      <w:r>
        <w:t xml:space="preserve">Tabellen nedenfor viser bruk av annet personell </w:t>
      </w:r>
      <w:r w:rsidR="008764E0">
        <w:t>innad i legekontoret</w:t>
      </w:r>
      <w:r w:rsidR="00A8730D">
        <w:t xml:space="preserve"> eller helsesenteret.</w:t>
      </w:r>
    </w:p>
    <w:p w14:paraId="34170C5B" w14:textId="4DEA9908" w:rsidR="00C3579A" w:rsidRPr="00FF70EA" w:rsidRDefault="006641DF" w:rsidP="00775632">
      <w:pPr>
        <w:pStyle w:val="tabell-tittel"/>
        <w:rPr>
          <w:i/>
          <w:iCs/>
        </w:rPr>
      </w:pPr>
      <w:r>
        <w:t>Bruk</w:t>
      </w:r>
      <w:r w:rsidR="00C3579A" w:rsidRPr="0095468F">
        <w:t xml:space="preserve"> av </w:t>
      </w:r>
      <w:r w:rsidR="00C3579A">
        <w:t xml:space="preserve">annet personell og </w:t>
      </w:r>
      <w:r w:rsidR="00C3579A" w:rsidRPr="0095468F">
        <w:t xml:space="preserve">team </w:t>
      </w:r>
      <w:r w:rsidR="00A8730D">
        <w:t>i legekontoret eller helsesenteret</w:t>
      </w:r>
      <w:r w:rsidR="00C3579A" w:rsidRPr="0095468F">
        <w:t xml:space="preserve"> </w:t>
      </w:r>
    </w:p>
    <w:tbl>
      <w:tblPr>
        <w:tblStyle w:val="EUTabellstil"/>
        <w:tblW w:w="5000" w:type="pct"/>
        <w:tblLook w:val="04A0" w:firstRow="1" w:lastRow="0" w:firstColumn="1" w:lastColumn="0" w:noHBand="0" w:noVBand="1"/>
      </w:tblPr>
      <w:tblGrid>
        <w:gridCol w:w="1697"/>
        <w:gridCol w:w="2409"/>
        <w:gridCol w:w="2818"/>
        <w:gridCol w:w="2812"/>
      </w:tblGrid>
      <w:tr w:rsidR="007F4B6F" w:rsidRPr="00FF70EA" w14:paraId="1BE5ED1A" w14:textId="77777777" w:rsidTr="002843E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72" w:type="pct"/>
            <w:tcBorders>
              <w:bottom w:val="single" w:sz="24" w:space="0" w:color="2A3652"/>
            </w:tcBorders>
            <w:shd w:val="clear" w:color="auto" w:fill="A9D6B9"/>
          </w:tcPr>
          <w:p w14:paraId="7341DD17" w14:textId="77777777" w:rsidR="007F4B6F" w:rsidRPr="00D9107F" w:rsidRDefault="007F4B6F" w:rsidP="00D87CD3">
            <w:pPr>
              <w:pStyle w:val="TabellHode-kolonne"/>
              <w:rPr>
                <w:rStyle w:val="halvfet"/>
              </w:rPr>
            </w:pPr>
          </w:p>
        </w:tc>
        <w:tc>
          <w:tcPr>
            <w:tcW w:w="1237" w:type="pct"/>
            <w:tcBorders>
              <w:bottom w:val="single" w:sz="24" w:space="0" w:color="2A3652"/>
            </w:tcBorders>
            <w:shd w:val="clear" w:color="auto" w:fill="A9D6B9"/>
          </w:tcPr>
          <w:p w14:paraId="40CBB9FC" w14:textId="77777777" w:rsidR="007F4B6F" w:rsidRPr="00D9107F" w:rsidRDefault="007F4B6F" w:rsidP="00D87CD3">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Bruk av flere andre personellgrupper </w:t>
            </w:r>
          </w:p>
        </w:tc>
        <w:tc>
          <w:tcPr>
            <w:tcW w:w="1447" w:type="pct"/>
            <w:tcBorders>
              <w:bottom w:val="single" w:sz="24" w:space="0" w:color="2A3652"/>
            </w:tcBorders>
            <w:shd w:val="clear" w:color="auto" w:fill="A9D6B9"/>
          </w:tcPr>
          <w:p w14:paraId="62AAD17C" w14:textId="77777777" w:rsidR="007F4B6F" w:rsidRPr="00D9107F" w:rsidRDefault="007F4B6F" w:rsidP="00D87CD3">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Særskilte ordninger for oppfølging av kroniske sykdommer</w:t>
            </w:r>
          </w:p>
        </w:tc>
        <w:tc>
          <w:tcPr>
            <w:tcW w:w="1444" w:type="pct"/>
            <w:tcBorders>
              <w:bottom w:val="single" w:sz="24" w:space="0" w:color="2A3652"/>
            </w:tcBorders>
            <w:shd w:val="clear" w:color="auto" w:fill="A9D6B9"/>
          </w:tcPr>
          <w:p w14:paraId="4E337330" w14:textId="77777777" w:rsidR="007F4B6F" w:rsidRPr="00D9107F" w:rsidRDefault="007F4B6F" w:rsidP="00D87CD3">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 xml:space="preserve">Eget helsepersonell for å følge opp psykiske helseproblemer </w:t>
            </w:r>
          </w:p>
        </w:tc>
      </w:tr>
      <w:tr w:rsidR="007F4B6F" w:rsidRPr="00FF70EA" w14:paraId="79A5414F" w14:textId="77777777" w:rsidTr="002843E0">
        <w:trPr>
          <w:trHeight w:val="330"/>
        </w:trPr>
        <w:tc>
          <w:tcPr>
            <w:cnfStyle w:val="001000000000" w:firstRow="0" w:lastRow="0" w:firstColumn="1" w:lastColumn="0" w:oddVBand="0" w:evenVBand="0" w:oddHBand="0" w:evenHBand="0" w:firstRowFirstColumn="0" w:firstRowLastColumn="0" w:lastRowFirstColumn="0" w:lastRowLastColumn="0"/>
            <w:tcW w:w="872" w:type="pct"/>
            <w:tcBorders>
              <w:top w:val="single" w:sz="24" w:space="0" w:color="2A3652"/>
            </w:tcBorders>
          </w:tcPr>
          <w:p w14:paraId="5EC5CE18" w14:textId="77777777" w:rsidR="007F4B6F" w:rsidRPr="00C32C54" w:rsidRDefault="007F4B6F" w:rsidP="00D87CD3">
            <w:pPr>
              <w:pStyle w:val="TabellHode-rad"/>
            </w:pPr>
            <w:r w:rsidRPr="00C32C54">
              <w:t>Norge</w:t>
            </w:r>
          </w:p>
        </w:tc>
        <w:tc>
          <w:tcPr>
            <w:tcW w:w="1237" w:type="pct"/>
            <w:tcBorders>
              <w:top w:val="single" w:sz="24" w:space="0" w:color="2A3652"/>
            </w:tcBorders>
          </w:tcPr>
          <w:p w14:paraId="65804BC7"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I begrenset grad</w:t>
            </w:r>
          </w:p>
        </w:tc>
        <w:tc>
          <w:tcPr>
            <w:tcW w:w="1447" w:type="pct"/>
            <w:tcBorders>
              <w:top w:val="single" w:sz="24" w:space="0" w:color="2A3652"/>
            </w:tcBorders>
          </w:tcPr>
          <w:p w14:paraId="05E80210" w14:textId="56CF74F3"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I begrenset grad</w:t>
            </w:r>
          </w:p>
        </w:tc>
        <w:tc>
          <w:tcPr>
            <w:tcW w:w="1444" w:type="pct"/>
            <w:tcBorders>
              <w:top w:val="single" w:sz="24" w:space="0" w:color="2A3652"/>
            </w:tcBorders>
          </w:tcPr>
          <w:p w14:paraId="30A3E173"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Nei</w:t>
            </w:r>
          </w:p>
        </w:tc>
      </w:tr>
      <w:tr w:rsidR="007F4B6F" w:rsidRPr="00FF70EA" w14:paraId="1751A882" w14:textId="77777777" w:rsidTr="00883712">
        <w:trPr>
          <w:trHeight w:val="320"/>
        </w:trPr>
        <w:tc>
          <w:tcPr>
            <w:cnfStyle w:val="001000000000" w:firstRow="0" w:lastRow="0" w:firstColumn="1" w:lastColumn="0" w:oddVBand="0" w:evenVBand="0" w:oddHBand="0" w:evenHBand="0" w:firstRowFirstColumn="0" w:firstRowLastColumn="0" w:lastRowFirstColumn="0" w:lastRowLastColumn="0"/>
            <w:tcW w:w="872" w:type="pct"/>
          </w:tcPr>
          <w:p w14:paraId="53C7625E" w14:textId="77777777" w:rsidR="007F4B6F" w:rsidRPr="00C32C54" w:rsidRDefault="007F4B6F" w:rsidP="00D87CD3">
            <w:pPr>
              <w:pStyle w:val="TabellHode-rad"/>
            </w:pPr>
            <w:r w:rsidRPr="00C32C54">
              <w:t>Danmark</w:t>
            </w:r>
          </w:p>
        </w:tc>
        <w:tc>
          <w:tcPr>
            <w:tcW w:w="1237" w:type="pct"/>
          </w:tcPr>
          <w:p w14:paraId="231594EE"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 mest sykepleiere</w:t>
            </w:r>
          </w:p>
        </w:tc>
        <w:tc>
          <w:tcPr>
            <w:tcW w:w="1447" w:type="pct"/>
          </w:tcPr>
          <w:p w14:paraId="0DFF2DB4"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Diabetes 2, KOLS</w:t>
            </w:r>
          </w:p>
        </w:tc>
        <w:tc>
          <w:tcPr>
            <w:tcW w:w="1444" w:type="pct"/>
          </w:tcPr>
          <w:p w14:paraId="1189118F" w14:textId="525C0E2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 xml:space="preserve"> </w:t>
            </w:r>
          </w:p>
        </w:tc>
      </w:tr>
      <w:tr w:rsidR="007F4B6F" w:rsidRPr="00FF70EA" w14:paraId="77E8ECC1" w14:textId="77777777" w:rsidTr="00883712">
        <w:trPr>
          <w:trHeight w:val="330"/>
        </w:trPr>
        <w:tc>
          <w:tcPr>
            <w:cnfStyle w:val="001000000000" w:firstRow="0" w:lastRow="0" w:firstColumn="1" w:lastColumn="0" w:oddVBand="0" w:evenVBand="0" w:oddHBand="0" w:evenHBand="0" w:firstRowFirstColumn="0" w:firstRowLastColumn="0" w:lastRowFirstColumn="0" w:lastRowLastColumn="0"/>
            <w:tcW w:w="872" w:type="pct"/>
          </w:tcPr>
          <w:p w14:paraId="32BA3102" w14:textId="77777777" w:rsidR="007F4B6F" w:rsidRPr="00C32C54" w:rsidRDefault="007F4B6F" w:rsidP="00D87CD3">
            <w:pPr>
              <w:pStyle w:val="TabellHode-rad"/>
            </w:pPr>
            <w:r w:rsidRPr="00C32C54">
              <w:t>Skottland</w:t>
            </w:r>
          </w:p>
        </w:tc>
        <w:tc>
          <w:tcPr>
            <w:tcW w:w="1237" w:type="pct"/>
          </w:tcPr>
          <w:p w14:paraId="2BF6F2E5"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w:t>
            </w:r>
          </w:p>
        </w:tc>
        <w:tc>
          <w:tcPr>
            <w:tcW w:w="1447" w:type="pct"/>
          </w:tcPr>
          <w:p w14:paraId="3BD0F483" w14:textId="0889D2A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Team</w:t>
            </w:r>
            <w:r w:rsidR="00D449C5" w:rsidRPr="00C32C54">
              <w:t>/n</w:t>
            </w:r>
            <w:r w:rsidRPr="00C32C54">
              <w:t>ettverk</w:t>
            </w:r>
          </w:p>
        </w:tc>
        <w:tc>
          <w:tcPr>
            <w:tcW w:w="1444" w:type="pct"/>
          </w:tcPr>
          <w:p w14:paraId="5A411DB4"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Team/nettverk</w:t>
            </w:r>
          </w:p>
        </w:tc>
      </w:tr>
      <w:tr w:rsidR="007F4B6F" w:rsidRPr="00FF70EA" w14:paraId="390A8AA0" w14:textId="77777777" w:rsidTr="00883712">
        <w:trPr>
          <w:trHeight w:val="320"/>
        </w:trPr>
        <w:tc>
          <w:tcPr>
            <w:cnfStyle w:val="001000000000" w:firstRow="0" w:lastRow="0" w:firstColumn="1" w:lastColumn="0" w:oddVBand="0" w:evenVBand="0" w:oddHBand="0" w:evenHBand="0" w:firstRowFirstColumn="0" w:firstRowLastColumn="0" w:lastRowFirstColumn="0" w:lastRowLastColumn="0"/>
            <w:tcW w:w="872" w:type="pct"/>
          </w:tcPr>
          <w:p w14:paraId="3DCF9416" w14:textId="77777777" w:rsidR="007F4B6F" w:rsidRPr="00C32C54" w:rsidRDefault="007F4B6F" w:rsidP="00D87CD3">
            <w:pPr>
              <w:pStyle w:val="TabellHode-rad"/>
            </w:pPr>
            <w:r w:rsidRPr="00C32C54">
              <w:t>England</w:t>
            </w:r>
          </w:p>
        </w:tc>
        <w:tc>
          <w:tcPr>
            <w:tcW w:w="1237" w:type="pct"/>
          </w:tcPr>
          <w:p w14:paraId="5F70E017"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w:t>
            </w:r>
          </w:p>
        </w:tc>
        <w:tc>
          <w:tcPr>
            <w:tcW w:w="1447" w:type="pct"/>
          </w:tcPr>
          <w:p w14:paraId="0851B2DE"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Ofte egne kontrakter</w:t>
            </w:r>
          </w:p>
        </w:tc>
        <w:tc>
          <w:tcPr>
            <w:tcW w:w="1444" w:type="pct"/>
          </w:tcPr>
          <w:p w14:paraId="4147A053"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Team/nettverk</w:t>
            </w:r>
          </w:p>
        </w:tc>
      </w:tr>
      <w:tr w:rsidR="007F4B6F" w:rsidRPr="00FF70EA" w14:paraId="17F9DC5A" w14:textId="77777777" w:rsidTr="00883712">
        <w:trPr>
          <w:trHeight w:val="382"/>
        </w:trPr>
        <w:tc>
          <w:tcPr>
            <w:cnfStyle w:val="001000000000" w:firstRow="0" w:lastRow="0" w:firstColumn="1" w:lastColumn="0" w:oddVBand="0" w:evenVBand="0" w:oddHBand="0" w:evenHBand="0" w:firstRowFirstColumn="0" w:firstRowLastColumn="0" w:lastRowFirstColumn="0" w:lastRowLastColumn="0"/>
            <w:tcW w:w="872" w:type="pct"/>
          </w:tcPr>
          <w:p w14:paraId="6474E16F" w14:textId="77777777" w:rsidR="007F4B6F" w:rsidRPr="00C32C54" w:rsidRDefault="007F4B6F" w:rsidP="00D87CD3">
            <w:pPr>
              <w:pStyle w:val="TabellHode-rad"/>
            </w:pPr>
            <w:r w:rsidRPr="00C32C54">
              <w:t>Nederland</w:t>
            </w:r>
          </w:p>
        </w:tc>
        <w:tc>
          <w:tcPr>
            <w:tcW w:w="1237" w:type="pct"/>
          </w:tcPr>
          <w:p w14:paraId="72F939D6"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w:t>
            </w:r>
          </w:p>
        </w:tc>
        <w:tc>
          <w:tcPr>
            <w:tcW w:w="1447" w:type="pct"/>
          </w:tcPr>
          <w:p w14:paraId="5E2CB0C4" w14:textId="64E43F52"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rPr>
                <w:lang w:val="nb-NO"/>
              </w:rPr>
            </w:pPr>
            <w:r w:rsidRPr="00C32C54">
              <w:rPr>
                <w:lang w:val="nb-NO"/>
              </w:rPr>
              <w:t xml:space="preserve">Psykisk helse, Diabetes type 2, Astma/KOLS og </w:t>
            </w:r>
            <w:r w:rsidR="00D449C5" w:rsidRPr="00C32C54">
              <w:rPr>
                <w:lang w:val="nb-NO"/>
              </w:rPr>
              <w:t>e</w:t>
            </w:r>
            <w:r w:rsidRPr="00C32C54">
              <w:rPr>
                <w:lang w:val="nb-NO"/>
              </w:rPr>
              <w:t>ldre</w:t>
            </w:r>
          </w:p>
        </w:tc>
        <w:tc>
          <w:tcPr>
            <w:tcW w:w="1444" w:type="pct"/>
          </w:tcPr>
          <w:p w14:paraId="738629F0"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Team/nettverk</w:t>
            </w:r>
          </w:p>
        </w:tc>
      </w:tr>
      <w:tr w:rsidR="007F4B6F" w:rsidRPr="00FF70EA" w14:paraId="44C96522" w14:textId="77777777" w:rsidTr="00883712">
        <w:trPr>
          <w:trHeight w:val="320"/>
        </w:trPr>
        <w:tc>
          <w:tcPr>
            <w:cnfStyle w:val="001000000000" w:firstRow="0" w:lastRow="0" w:firstColumn="1" w:lastColumn="0" w:oddVBand="0" w:evenVBand="0" w:oddHBand="0" w:evenHBand="0" w:firstRowFirstColumn="0" w:firstRowLastColumn="0" w:lastRowFirstColumn="0" w:lastRowLastColumn="0"/>
            <w:tcW w:w="872" w:type="pct"/>
          </w:tcPr>
          <w:p w14:paraId="67872310" w14:textId="77777777" w:rsidR="007F4B6F" w:rsidRPr="00C32C54" w:rsidRDefault="007F4B6F" w:rsidP="00D87CD3">
            <w:pPr>
              <w:pStyle w:val="TabellHode-rad"/>
            </w:pPr>
            <w:r w:rsidRPr="00C32C54">
              <w:t>Sverige</w:t>
            </w:r>
          </w:p>
        </w:tc>
        <w:tc>
          <w:tcPr>
            <w:tcW w:w="1237" w:type="pct"/>
          </w:tcPr>
          <w:p w14:paraId="465909C2" w14:textId="409A165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 i helsesent</w:t>
            </w:r>
            <w:r w:rsidR="008764E0" w:rsidRPr="00C32C54">
              <w:t>e</w:t>
            </w:r>
            <w:r w:rsidRPr="00C32C54">
              <w:t>ret</w:t>
            </w:r>
          </w:p>
        </w:tc>
        <w:tc>
          <w:tcPr>
            <w:tcW w:w="1447" w:type="pct"/>
          </w:tcPr>
          <w:p w14:paraId="60D8355C"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Innbakt i helse</w:t>
            </w:r>
            <w:r w:rsidRPr="00C32C54">
              <w:softHyphen/>
              <w:t>senter</w:t>
            </w:r>
            <w:r w:rsidRPr="00C32C54">
              <w:softHyphen/>
              <w:t>modellen</w:t>
            </w:r>
          </w:p>
        </w:tc>
        <w:tc>
          <w:tcPr>
            <w:tcW w:w="1444" w:type="pct"/>
          </w:tcPr>
          <w:p w14:paraId="6183FB1D" w14:textId="7205783D"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 men ikke alle</w:t>
            </w:r>
          </w:p>
        </w:tc>
      </w:tr>
      <w:tr w:rsidR="007F4B6F" w:rsidRPr="00FF70EA" w14:paraId="098EA2FA" w14:textId="77777777" w:rsidTr="00883712">
        <w:trPr>
          <w:trHeight w:val="164"/>
        </w:trPr>
        <w:tc>
          <w:tcPr>
            <w:cnfStyle w:val="001000000000" w:firstRow="0" w:lastRow="0" w:firstColumn="1" w:lastColumn="0" w:oddVBand="0" w:evenVBand="0" w:oddHBand="0" w:evenHBand="0" w:firstRowFirstColumn="0" w:firstRowLastColumn="0" w:lastRowFirstColumn="0" w:lastRowLastColumn="0"/>
            <w:tcW w:w="872" w:type="pct"/>
          </w:tcPr>
          <w:p w14:paraId="7D3996C0" w14:textId="77777777" w:rsidR="007F4B6F" w:rsidRPr="00C32C54" w:rsidRDefault="007F4B6F" w:rsidP="00D87CD3">
            <w:pPr>
              <w:pStyle w:val="TabellHode-rad"/>
            </w:pPr>
            <w:r w:rsidRPr="00C32C54">
              <w:t>Finland</w:t>
            </w:r>
          </w:p>
        </w:tc>
        <w:tc>
          <w:tcPr>
            <w:tcW w:w="1237" w:type="pct"/>
          </w:tcPr>
          <w:p w14:paraId="255935F1" w14:textId="51EF5D9B"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Ja, i helsesent</w:t>
            </w:r>
            <w:r w:rsidR="008764E0" w:rsidRPr="00C32C54">
              <w:t>e</w:t>
            </w:r>
            <w:r w:rsidRPr="00C32C54">
              <w:t>ret</w:t>
            </w:r>
          </w:p>
        </w:tc>
        <w:tc>
          <w:tcPr>
            <w:tcW w:w="1447" w:type="pct"/>
          </w:tcPr>
          <w:p w14:paraId="6A77317E" w14:textId="77777777"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Innbakt i modellen</w:t>
            </w:r>
          </w:p>
        </w:tc>
        <w:tc>
          <w:tcPr>
            <w:tcW w:w="1444" w:type="pct"/>
          </w:tcPr>
          <w:p w14:paraId="79B2B1E5" w14:textId="6AAF3E08" w:rsidR="007F4B6F" w:rsidRPr="00C32C54" w:rsidRDefault="007F4B6F" w:rsidP="00D87CD3">
            <w:pPr>
              <w:cnfStyle w:val="000000000000" w:firstRow="0" w:lastRow="0" w:firstColumn="0" w:lastColumn="0" w:oddVBand="0" w:evenVBand="0" w:oddHBand="0" w:evenHBand="0" w:firstRowFirstColumn="0" w:firstRowLastColumn="0" w:lastRowFirstColumn="0" w:lastRowLastColumn="0"/>
            </w:pPr>
            <w:r w:rsidRPr="00C32C54">
              <w:t xml:space="preserve">Ja </w:t>
            </w:r>
          </w:p>
        </w:tc>
      </w:tr>
    </w:tbl>
    <w:p w14:paraId="33140C01" w14:textId="77777777" w:rsidR="00C3579A" w:rsidRPr="00FF70EA" w:rsidRDefault="00C3579A" w:rsidP="00775632">
      <w:pPr>
        <w:pStyle w:val="Overskrift4"/>
      </w:pPr>
      <w:bookmarkStart w:id="3028" w:name="_Toc130983530"/>
      <w:bookmarkStart w:id="3029" w:name="_Toc130983879"/>
      <w:bookmarkStart w:id="3030" w:name="_Toc131238461"/>
      <w:bookmarkStart w:id="3031" w:name="_Toc131279492"/>
      <w:bookmarkStart w:id="3032" w:name="_Toc131286904"/>
      <w:bookmarkStart w:id="3033" w:name="_Toc131281314"/>
      <w:bookmarkStart w:id="3034" w:name="_Toc131317854"/>
      <w:r w:rsidRPr="00FF70EA">
        <w:t>Finland</w:t>
      </w:r>
      <w:bookmarkEnd w:id="3028"/>
      <w:bookmarkEnd w:id="3029"/>
      <w:bookmarkEnd w:id="3030"/>
      <w:bookmarkEnd w:id="3031"/>
      <w:bookmarkEnd w:id="3032"/>
      <w:bookmarkEnd w:id="3033"/>
      <w:bookmarkEnd w:id="3034"/>
    </w:p>
    <w:p w14:paraId="025C24E5" w14:textId="77777777" w:rsidR="00D9107F" w:rsidRDefault="00C3579A" w:rsidP="00C3579A">
      <w:pPr>
        <w:jc w:val="both"/>
      </w:pPr>
      <w:r w:rsidRPr="00FF70EA">
        <w:t>E</w:t>
      </w:r>
      <w:r w:rsidR="000B4E3C">
        <w:t>t finsk</w:t>
      </w:r>
      <w:r w:rsidRPr="00FF70EA">
        <w:t xml:space="preserve"> helsesenter </w:t>
      </w:r>
      <w:r w:rsidR="00BE5A84">
        <w:t xml:space="preserve">omfatter </w:t>
      </w:r>
      <w:r w:rsidRPr="00FF70EA">
        <w:t>ulike typer tjenester og helsepersonell</w:t>
      </w:r>
      <w:r w:rsidR="00BE5A84">
        <w:t>.</w:t>
      </w:r>
      <w:r w:rsidRPr="00FF70EA">
        <w:t xml:space="preserve"> De store helsesentrene har en rekke helseprofesjoner tilgjengelig, som primærleger, sykepleiere, helsesykepleiere, psykologer, ernæringseksperter, logoped, jordmødre, sosialarbeidere, tannleger, fysioterapeuter, ergo</w:t>
      </w:r>
      <w:r w:rsidRPr="00FF70EA">
        <w:softHyphen/>
        <w:t>terapeuter</w:t>
      </w:r>
      <w:r w:rsidR="00B11B48">
        <w:t xml:space="preserve"> og</w:t>
      </w:r>
      <w:r w:rsidRPr="00FF70EA">
        <w:softHyphen/>
        <w:t xml:space="preserve"> administrativt personell. </w:t>
      </w:r>
      <w:r w:rsidRPr="009445AB">
        <w:t>Det har blitt stadig mer utbredt å arbeide etter en team-modell</w:t>
      </w:r>
      <w:r w:rsidR="00164EB6">
        <w:t>,</w:t>
      </w:r>
      <w:r w:rsidRPr="009445AB">
        <w:t xml:space="preserve"> koordinert av en sykepleier</w:t>
      </w:r>
      <w:r w:rsidR="00164EB6">
        <w:t>,</w:t>
      </w:r>
      <w:r w:rsidRPr="009445AB">
        <w:t xml:space="preserve"> for å følge opp pasienter med et sammensatt sykdomsbilde. Sykepleiere har fått en stadig viktigere rolle, spesielt knyttet til oppfølging av kroniske sykdommer</w:t>
      </w:r>
      <w:r>
        <w:t xml:space="preserve"> </w:t>
      </w:r>
      <w:r>
        <w:fldChar w:fldCharType="begin"/>
      </w:r>
      <w:r w:rsidR="004654FD">
        <w:instrText xml:space="preserve"> ADDIN EN.CITE &lt;EndNote&gt;&lt;Cite&gt;&lt;Author&gt;Keskimäki&lt;/Author&gt;&lt;Year&gt;2019&lt;/Year&gt;&lt;RecNum&gt;249&lt;/RecNum&gt;&lt;DisplayText&gt;(Keskimäki et al., 2019)&lt;/DisplayText&gt;&lt;record&gt;&lt;rec-number&gt;249&lt;/rec-number&gt;&lt;foreign-keys&gt;&lt;key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fldChar w:fldCharType="separate"/>
      </w:r>
      <w:r w:rsidR="00856689">
        <w:rPr>
          <w:noProof/>
        </w:rPr>
        <w:t>(Keskimäki et al., 2019)</w:t>
      </w:r>
      <w:r>
        <w:fldChar w:fldCharType="end"/>
      </w:r>
      <w:r w:rsidRPr="009445AB">
        <w:t>.</w:t>
      </w:r>
    </w:p>
    <w:p w14:paraId="34CEA211" w14:textId="2BA66BE1" w:rsidR="00D9107F" w:rsidRDefault="00C3579A" w:rsidP="00C3579A">
      <w:pPr>
        <w:jc w:val="both"/>
      </w:pPr>
      <w:r w:rsidRPr="00FF70EA">
        <w:rPr>
          <w:lang w:val="nb"/>
        </w:rPr>
        <w:t>Inkludert i den pågående reformen i Finland vektlegge</w:t>
      </w:r>
      <w:r w:rsidR="00AA2BB2">
        <w:rPr>
          <w:lang w:val="nb"/>
        </w:rPr>
        <w:t>s</w:t>
      </w:r>
      <w:r w:rsidRPr="00FF70EA">
        <w:rPr>
          <w:lang w:val="nb"/>
        </w:rPr>
        <w:t xml:space="preserve"> integrering av helse</w:t>
      </w:r>
      <w:r w:rsidR="00B11B48">
        <w:rPr>
          <w:lang w:val="nb"/>
        </w:rPr>
        <w:t>-</w:t>
      </w:r>
      <w:r w:rsidRPr="00FF70EA">
        <w:rPr>
          <w:lang w:val="nb"/>
        </w:rPr>
        <w:t xml:space="preserve"> og sosialtjenester, økt tilgjengelighet og bedre kontinuitet </w:t>
      </w:r>
      <w:r w:rsidR="00BE43A2">
        <w:rPr>
          <w:lang w:val="nb"/>
        </w:rPr>
        <w:fldChar w:fldCharType="begin"/>
      </w:r>
      <w:r w:rsidR="00A27571">
        <w:rPr>
          <w:lang w:val="nb"/>
        </w:rPr>
        <w:instrText xml:space="preserve"> ADDIN EN.CITE &lt;EndNote&gt;&lt;Cite ExcludeYear="1"&gt;&lt;Author&gt;Social- och hälsovårdministeriet&lt;/Author&gt;&lt;RecNum&gt;666&lt;/RecNum&gt;&lt;DisplayText&gt;(Social- och hälsovårdministeriet)&lt;/DisplayText&gt;&lt;record&gt;&lt;rec-number&gt;666&lt;/rec-number&gt;&lt;foreign-keys&gt;&lt;key app="EN" db-id="95tpr2tp6r9xwoea9rb5wdsz5ds5xeddteew" timestamp="1680069511"&gt;666&lt;/key&gt;&lt;/foreign-keys&gt;&lt;ref-type name="Web Page"&gt;12&lt;/ref-type&gt;&lt;contributors&gt;&lt;authors&gt;&lt;author&gt;Social- och hälsovårdministeriet,&lt;/author&gt;&lt;/authors&gt;&lt;/contributors&gt;&lt;titles&gt;&lt;title&gt;Programmet Framtidens social- och hälsocentral&lt;/title&gt;&lt;/titles&gt;&lt;number&gt;16. mars 2023&lt;/number&gt;&lt;dates&gt;&lt;/dates&gt;&lt;publisher&gt;Social- och hälsovårdreformen,&lt;/publisher&gt;&lt;urls&gt;&lt;related-urls&gt;&lt;url&gt;https://soteuudistus.fi/sv/programmet-framtidens-social-och-halsocentral&lt;/url&gt;&lt;/related-urls&gt;&lt;/urls&gt;&lt;/record&gt;&lt;/Cite&gt;&lt;/EndNote&gt;</w:instrText>
      </w:r>
      <w:r w:rsidR="00BE43A2">
        <w:rPr>
          <w:lang w:val="nb"/>
        </w:rPr>
        <w:fldChar w:fldCharType="separate"/>
      </w:r>
      <w:r w:rsidR="00A27571">
        <w:rPr>
          <w:noProof/>
          <w:lang w:val="nb"/>
        </w:rPr>
        <w:t>(Social- och hälsovårdministeriet)</w:t>
      </w:r>
      <w:r w:rsidR="00BE43A2">
        <w:rPr>
          <w:lang w:val="nb"/>
        </w:rPr>
        <w:fldChar w:fldCharType="end"/>
      </w:r>
      <w:r w:rsidRPr="00FF70EA">
        <w:rPr>
          <w:lang w:val="nb"/>
        </w:rPr>
        <w:t xml:space="preserve">. </w:t>
      </w:r>
      <w:r w:rsidR="00FE39D0">
        <w:t xml:space="preserve">Dette omfatter blant </w:t>
      </w:r>
      <w:r w:rsidRPr="00FF70EA">
        <w:t xml:space="preserve">annet </w:t>
      </w:r>
      <w:r w:rsidR="00D9107F">
        <w:t>«</w:t>
      </w:r>
      <w:r w:rsidRPr="00D9107F">
        <w:rPr>
          <w:rStyle w:val="kursiv"/>
        </w:rPr>
        <w:t>utveckla modeller med personliga läkare och skötare samt multiprofessionella personliga serviceteam</w:t>
      </w:r>
      <w:r w:rsidR="00D9107F">
        <w:t>»</w:t>
      </w:r>
      <w:r w:rsidRPr="00FF70EA">
        <w:t xml:space="preserve"> og utvide åpningstidene på kvelder og helger.</w:t>
      </w:r>
    </w:p>
    <w:p w14:paraId="170A4473" w14:textId="3BFDAB30" w:rsidR="00D9107F" w:rsidRDefault="00C3579A" w:rsidP="00C3579A">
      <w:pPr>
        <w:jc w:val="both"/>
      </w:pPr>
      <w:r w:rsidRPr="00FF70EA">
        <w:t xml:space="preserve">I Finland har sykepleiere begrenset rett til å forskrive </w:t>
      </w:r>
      <w:r w:rsidR="00164EB6">
        <w:t>legemidler</w:t>
      </w:r>
      <w:r w:rsidR="00B75934">
        <w:t>,</w:t>
      </w:r>
      <w:r w:rsidRPr="00FF70EA">
        <w:t xml:space="preserve"> og pasienter kan oppsøke fysioterapeuter direkte for nakke</w:t>
      </w:r>
      <w:r w:rsidR="00AC27A8">
        <w:t>-</w:t>
      </w:r>
      <w:r w:rsidRPr="00FF70EA">
        <w:t xml:space="preserve"> og skuldersmerter.</w:t>
      </w:r>
    </w:p>
    <w:p w14:paraId="5E0C0835" w14:textId="762C2812" w:rsidR="00C3579A" w:rsidRPr="00FF70EA" w:rsidRDefault="00C3579A" w:rsidP="00775632">
      <w:pPr>
        <w:pStyle w:val="Overskrift4"/>
      </w:pPr>
      <w:bookmarkStart w:id="3035" w:name="_Toc130983531"/>
      <w:bookmarkStart w:id="3036" w:name="_Toc130983880"/>
      <w:bookmarkStart w:id="3037" w:name="_Toc131238462"/>
      <w:bookmarkStart w:id="3038" w:name="_Toc131279493"/>
      <w:bookmarkStart w:id="3039" w:name="_Toc131286905"/>
      <w:bookmarkStart w:id="3040" w:name="_Toc131281315"/>
      <w:bookmarkStart w:id="3041" w:name="_Toc131317855"/>
      <w:r w:rsidRPr="00FF70EA">
        <w:lastRenderedPageBreak/>
        <w:t>Sverige</w:t>
      </w:r>
      <w:bookmarkEnd w:id="3035"/>
      <w:bookmarkEnd w:id="3036"/>
      <w:bookmarkEnd w:id="3037"/>
      <w:bookmarkEnd w:id="3038"/>
      <w:bookmarkEnd w:id="3039"/>
      <w:bookmarkEnd w:id="3040"/>
      <w:bookmarkEnd w:id="3041"/>
    </w:p>
    <w:p w14:paraId="2BCF6CE7" w14:textId="77777777" w:rsidR="00D9107F" w:rsidRDefault="00C3579A" w:rsidP="00C3579A">
      <w:pPr>
        <w:jc w:val="both"/>
      </w:pPr>
      <w:r w:rsidRPr="7BA5314F">
        <w:rPr>
          <w:color w:val="000000" w:themeColor="text1"/>
        </w:rPr>
        <w:t xml:space="preserve">På </w:t>
      </w:r>
      <w:r w:rsidRPr="2590B5A7">
        <w:rPr>
          <w:color w:val="000000" w:themeColor="text1"/>
        </w:rPr>
        <w:t>vårdcentralene</w:t>
      </w:r>
      <w:r w:rsidRPr="7BA5314F">
        <w:rPr>
          <w:color w:val="000000" w:themeColor="text1"/>
        </w:rPr>
        <w:t xml:space="preserve"> i Sverige arbeider både leger og sykepleiere, </w:t>
      </w:r>
      <w:r w:rsidR="00B72573">
        <w:rPr>
          <w:color w:val="000000" w:themeColor="text1"/>
        </w:rPr>
        <w:t>og</w:t>
      </w:r>
      <w:r w:rsidRPr="7BA5314F">
        <w:rPr>
          <w:color w:val="000000" w:themeColor="text1"/>
        </w:rPr>
        <w:t xml:space="preserve"> også psykologer, jordmødre, fysioterapeuter, ergoterapeuter, logopeder og </w:t>
      </w:r>
      <w:r w:rsidR="08DE2416" w:rsidRPr="3B9EB882">
        <w:rPr>
          <w:color w:val="000000" w:themeColor="text1"/>
        </w:rPr>
        <w:t>bio</w:t>
      </w:r>
      <w:r w:rsidR="426CA0F9" w:rsidRPr="3B9EB882">
        <w:rPr>
          <w:color w:val="000000" w:themeColor="text1"/>
        </w:rPr>
        <w:t>ingeniører.</w:t>
      </w:r>
      <w:r w:rsidRPr="7BA5314F">
        <w:rPr>
          <w:color w:val="000000" w:themeColor="text1"/>
        </w:rPr>
        <w:t xml:space="preserve"> </w:t>
      </w:r>
      <w:r w:rsidR="00A56F1E">
        <w:rPr>
          <w:color w:val="000000" w:themeColor="text1"/>
        </w:rPr>
        <w:t>M</w:t>
      </w:r>
      <w:r w:rsidR="00AD4225">
        <w:rPr>
          <w:rFonts w:ascii="Calibri" w:eastAsia="Calibri" w:hAnsi="Calibri" w:cs="Calibri"/>
          <w:color w:val="000000" w:themeColor="text1"/>
        </w:rPr>
        <w:t>ange s</w:t>
      </w:r>
      <w:r w:rsidRPr="7BA5314F">
        <w:rPr>
          <w:color w:val="000000" w:themeColor="text1"/>
        </w:rPr>
        <w:t xml:space="preserve">ykepleiere har spesialistutdanning som distriktssykepleiere innen områdene diabetes eller hjerte- og karsykdommer. </w:t>
      </w:r>
      <w:r w:rsidRPr="00FF70EA">
        <w:t xml:space="preserve">I tillegg kan noen sentre også </w:t>
      </w:r>
      <w:r>
        <w:t>ha</w:t>
      </w:r>
      <w:r w:rsidRPr="00FF70EA">
        <w:t xml:space="preserve"> spesialister i indremedisin, gynekologi, pediatri eller psykiatri i første linje. </w:t>
      </w:r>
      <w:r w:rsidRPr="7BA5314F">
        <w:rPr>
          <w:color w:val="000000" w:themeColor="text1"/>
        </w:rPr>
        <w:t>Bemanningen på sentrene vil variere mellom urbane og rurale strøk</w:t>
      </w:r>
      <w:r w:rsidRPr="56C389F9">
        <w:rPr>
          <w:color w:val="000000" w:themeColor="text1"/>
        </w:rPr>
        <w:t>.</w:t>
      </w:r>
      <w:r w:rsidRPr="7BA5314F">
        <w:rPr>
          <w:color w:val="000000" w:themeColor="text1"/>
        </w:rPr>
        <w:t xml:space="preserve"> Det som i Norge ligger til helsestasjonene vil som oftest være</w:t>
      </w:r>
      <w:r w:rsidRPr="56C389F9">
        <w:t xml:space="preserve"> integrert i </w:t>
      </w:r>
      <w:r w:rsidRPr="77BB5C5B">
        <w:t>helsesenteret.</w:t>
      </w:r>
    </w:p>
    <w:p w14:paraId="4DC94836" w14:textId="77777777" w:rsidR="00D9107F" w:rsidRDefault="00C3579A" w:rsidP="00775632">
      <w:pPr>
        <w:pStyle w:val="Overskrift4"/>
      </w:pPr>
      <w:bookmarkStart w:id="3042" w:name="_Toc130983532"/>
      <w:bookmarkStart w:id="3043" w:name="_Toc130983881"/>
      <w:bookmarkStart w:id="3044" w:name="_Toc131238463"/>
      <w:bookmarkStart w:id="3045" w:name="_Toc131279494"/>
      <w:bookmarkStart w:id="3046" w:name="_Toc131286906"/>
      <w:bookmarkStart w:id="3047" w:name="_Toc131281316"/>
      <w:bookmarkStart w:id="3048" w:name="_Toc131317856"/>
      <w:r w:rsidRPr="00FF70EA">
        <w:t>Danmark</w:t>
      </w:r>
      <w:bookmarkEnd w:id="3042"/>
      <w:bookmarkEnd w:id="3043"/>
      <w:bookmarkEnd w:id="3044"/>
      <w:bookmarkEnd w:id="3045"/>
      <w:bookmarkEnd w:id="3046"/>
      <w:bookmarkEnd w:id="3047"/>
      <w:bookmarkEnd w:id="3048"/>
    </w:p>
    <w:p w14:paraId="71D6F900" w14:textId="77777777" w:rsidR="00D9107F" w:rsidRDefault="00C3579A" w:rsidP="00C3579A">
      <w:pPr>
        <w:jc w:val="both"/>
      </w:pPr>
      <w:r w:rsidRPr="00E8586E">
        <w:t>I Danmark kan legen delegere oppgaver til annet helsepersonell på kontoret, men legen står ansvarlig.</w:t>
      </w:r>
      <w:r>
        <w:t xml:space="preserve"> Det finnes ifølge Danske Regioner foreløpig ikke god informasjon om omfang og effekt av dette</w:t>
      </w:r>
      <w:r w:rsidR="003230E4">
        <w:t>.</w:t>
      </w:r>
    </w:p>
    <w:p w14:paraId="3C4C538D" w14:textId="0E4214FC" w:rsidR="00D9107F" w:rsidRDefault="00C3579A" w:rsidP="00C3579A">
      <w:pPr>
        <w:jc w:val="both"/>
      </w:pPr>
      <w:r w:rsidRPr="00F31D74">
        <w:t xml:space="preserve">Det ble i 2022 lovfestet at det skal opprettes såkalte Sundhedsklynger omkring hvert akuttsykehus. </w:t>
      </w:r>
      <w:r w:rsidRPr="00FF70EA">
        <w:t>Sundhedsklynger er et samarbeid mellom region, kommuner og al</w:t>
      </w:r>
      <w:r w:rsidR="00AE428C">
        <w:t>l</w:t>
      </w:r>
      <w:r w:rsidRPr="00FF70EA">
        <w:t>men</w:t>
      </w:r>
      <w:r w:rsidR="00AE428C">
        <w:t>n</w:t>
      </w:r>
      <w:r w:rsidRPr="00FF70EA">
        <w:t>praksis om innsatsen på tvers av helsetjenesten</w:t>
      </w:r>
      <w:r w:rsidR="00AE428C">
        <w:t>,</w:t>
      </w:r>
      <w:r w:rsidRPr="00FF70EA">
        <w:t xml:space="preserve"> og </w:t>
      </w:r>
      <w:r w:rsidR="00AE428C">
        <w:t>de skal</w:t>
      </w:r>
      <w:r w:rsidRPr="00FF70EA">
        <w:t xml:space="preserve"> sørge for å skape sammen</w:t>
      </w:r>
      <w:r w:rsidRPr="00FF70EA">
        <w:softHyphen/>
        <w:t>heng mellom helsetjenesten og de tilgrensende sektorer. Dette omfatter både somati</w:t>
      </w:r>
      <w:r w:rsidR="00C31136">
        <w:t>sk og psykisk helse.</w:t>
      </w:r>
      <w:r w:rsidRPr="00FF70EA">
        <w:t xml:space="preserve"> Dette er et ledd i den nasjonal</w:t>
      </w:r>
      <w:r w:rsidR="00F31D74">
        <w:t>e</w:t>
      </w:r>
      <w:r w:rsidRPr="00FF70EA">
        <w:t xml:space="preserve"> sundhedsreformen for å skape </w:t>
      </w:r>
      <w:r w:rsidR="00D9107F">
        <w:t>«</w:t>
      </w:r>
      <w:r w:rsidRPr="00FF70EA">
        <w:t>omstilling til det nære sundhedsvæsen</w:t>
      </w:r>
      <w:r w:rsidR="00D9107F">
        <w:t>»</w:t>
      </w:r>
      <w:r w:rsidRPr="00FF70EA">
        <w:t>.</w:t>
      </w:r>
    </w:p>
    <w:p w14:paraId="1EA9FF53" w14:textId="77777777" w:rsidR="00D9107F" w:rsidRDefault="00C3579A" w:rsidP="00C3579A">
      <w:pPr>
        <w:jc w:val="both"/>
      </w:pPr>
      <w:r w:rsidRPr="00FF70EA">
        <w:t xml:space="preserve">Sundhedsreformen inkluderer etablering av 25 </w:t>
      </w:r>
      <w:r w:rsidR="00160BCD">
        <w:t>såkalte</w:t>
      </w:r>
      <w:r w:rsidRPr="00FF70EA">
        <w:t xml:space="preserve"> </w:t>
      </w:r>
      <w:r w:rsidRPr="00D9107F">
        <w:rPr>
          <w:rStyle w:val="kursiv"/>
        </w:rPr>
        <w:t>nærhospitaler</w:t>
      </w:r>
      <w:r w:rsidRPr="00FF70EA">
        <w:t xml:space="preserve"> fordelt over hele landet i kommende år. Nærhospitalene skal inneholde sykehusfunksjoner, som er koblet opp mot det nærmeste sykehuset med akuttfunksjon. Videre er det tenkt at det</w:t>
      </w:r>
      <w:r w:rsidR="00164EB6">
        <w:t>,</w:t>
      </w:r>
      <w:r w:rsidRPr="00FF70EA">
        <w:t xml:space="preserve"> i tillegg til allmennpraktiserende leger</w:t>
      </w:r>
      <w:r w:rsidR="00164EB6">
        <w:t>,</w:t>
      </w:r>
      <w:r w:rsidRPr="00FF70EA">
        <w:t xml:space="preserve"> skal være praktiserende spesialister, psykologer, fysioterapeuter, kiropraktorer, apoteker og andre private aktører. Nærhospitalene skal ikke ha sengeplasser. Fra før har etableringen av såkalte </w:t>
      </w:r>
      <w:r w:rsidRPr="00D9107F">
        <w:rPr>
          <w:rStyle w:val="kursiv"/>
        </w:rPr>
        <w:t>sundhedshuse</w:t>
      </w:r>
      <w:r w:rsidRPr="00FF70EA">
        <w:t xml:space="preserve"> vært en måte å styrke de kommunale tjenestene og det tverrsektorielle samarbeidet</w:t>
      </w:r>
      <w:r w:rsidR="00164EB6">
        <w:t xml:space="preserve"> på</w:t>
      </w:r>
      <w:r w:rsidRPr="00FF70EA">
        <w:t xml:space="preserve">, selv om det ikke har vært noen entydig definisjon på hva et sundhedshus er </w:t>
      </w:r>
      <w:r w:rsidR="00BE43A2">
        <w:fldChar w:fldCharType="begin"/>
      </w:r>
      <w:r w:rsidR="00694E6D">
        <w:instrText xml:space="preserve"> ADDIN EN.CITE &lt;EndNote&gt;&lt;Cite&gt;&lt;Author&gt;Sundhetsstyrelsen&lt;/Author&gt;&lt;Year&gt;2021&lt;/Year&gt;&lt;RecNum&gt;572&lt;/RecNum&gt;&lt;DisplayText&gt;(Sundhetsstyrelsen, 2021)&lt;/DisplayText&gt;&lt;record&gt;&lt;rec-number&gt;572&lt;/rec-number&gt;&lt;foreign-keys&gt;&lt;key app="EN" db-id="95tpr2tp6r9xwoea9rb5wdsz5ds5xeddteew" timestamp="1680069511"&gt;572&lt;/key&gt;&lt;/foreign-keys&gt;&lt;ref-type name="Report"&gt;27&lt;/ref-type&gt;&lt;contributors&gt;&lt;authors&gt;&lt;author&gt;Sundhetsstyrelsen&lt;/author&gt;&lt;/authors&gt;&lt;/contributors&gt;&lt;titles&gt;&lt;title&gt;Nærhospitaler - Skitse til fagligt oplæg&lt;/title&gt;&lt;/titles&gt;&lt;dates&gt;&lt;year&gt;2021&lt;/year&gt;&lt;/dates&gt;&lt;pub-location&gt;København&lt;/pub-location&gt;&lt;publisher&gt;Sundhetsstyrelsen&lt;/publisher&gt;&lt;urls&gt;&lt;/urls&gt;&lt;/record&gt;&lt;/Cite&gt;&lt;/EndNote&gt;</w:instrText>
      </w:r>
      <w:r w:rsidR="00BE43A2">
        <w:fldChar w:fldCharType="separate"/>
      </w:r>
      <w:r w:rsidR="00BE43A2">
        <w:rPr>
          <w:noProof/>
        </w:rPr>
        <w:t>(Sundhetsstyrelsen, 2021)</w:t>
      </w:r>
      <w:r w:rsidR="00BE43A2">
        <w:fldChar w:fldCharType="end"/>
      </w:r>
      <w:r w:rsidRPr="00FF70EA">
        <w:t>.</w:t>
      </w:r>
    </w:p>
    <w:p w14:paraId="72A7D587" w14:textId="572E1A0B" w:rsidR="00C3579A" w:rsidRPr="00FF70EA" w:rsidRDefault="00C3579A" w:rsidP="00775632">
      <w:pPr>
        <w:pStyle w:val="Overskrift4"/>
      </w:pPr>
      <w:bookmarkStart w:id="3049" w:name="_Toc130983533"/>
      <w:bookmarkStart w:id="3050" w:name="_Toc130983882"/>
      <w:bookmarkStart w:id="3051" w:name="_Toc131238464"/>
      <w:bookmarkStart w:id="3052" w:name="_Toc131279495"/>
      <w:bookmarkStart w:id="3053" w:name="_Toc131286907"/>
      <w:bookmarkStart w:id="3054" w:name="_Toc131281317"/>
      <w:bookmarkStart w:id="3055" w:name="_Toc131317857"/>
      <w:r w:rsidRPr="00FF70EA">
        <w:t>Nederland</w:t>
      </w:r>
      <w:bookmarkEnd w:id="3049"/>
      <w:bookmarkEnd w:id="3050"/>
      <w:bookmarkEnd w:id="3051"/>
      <w:bookmarkEnd w:id="3052"/>
      <w:bookmarkEnd w:id="3053"/>
      <w:bookmarkEnd w:id="3054"/>
      <w:bookmarkEnd w:id="3055"/>
    </w:p>
    <w:p w14:paraId="1D8C3380" w14:textId="6E5D4786" w:rsidR="00D9107F" w:rsidRDefault="00C3579A" w:rsidP="00C3579A">
      <w:pPr>
        <w:jc w:val="both"/>
      </w:pPr>
      <w:r>
        <w:t>I løpet av det siste tiåret har samarbeidet mellom praksiser økt, og beveget seg mot større team og organisatoriske nettverk. Flere andre fagområder</w:t>
      </w:r>
      <w:r w:rsidR="00164EB6">
        <w:t>,</w:t>
      </w:r>
      <w:r>
        <w:t xml:space="preserve"> som fysioterapeuter, psykologer og sykepleiere</w:t>
      </w:r>
      <w:r w:rsidR="00164EB6">
        <w:t>,</w:t>
      </w:r>
      <w:r>
        <w:t xml:space="preserve"> er inkludert. De fleste praksiser ansetter høyere utdannede </w:t>
      </w:r>
      <w:r w:rsidR="00D9107F">
        <w:t>«</w:t>
      </w:r>
      <w:r>
        <w:t>praksisstøttesykepleiere</w:t>
      </w:r>
      <w:r w:rsidR="00D9107F">
        <w:t>»</w:t>
      </w:r>
      <w:r>
        <w:t xml:space="preserve"> (</w:t>
      </w:r>
      <w:r w:rsidR="00D9107F">
        <w:t>‘</w:t>
      </w:r>
      <w:r>
        <w:t>POH</w:t>
      </w:r>
      <w:r w:rsidR="00D9107F">
        <w:t>’</w:t>
      </w:r>
      <w:r>
        <w:t>) for å følge opp bestemte grupper (psykisk helse, diabetes type 2, astma/KOLS, eldre</w:t>
      </w:r>
      <w:r w:rsidR="006B4927">
        <w:t>)</w:t>
      </w:r>
      <w:r>
        <w:t>.</w:t>
      </w:r>
    </w:p>
    <w:p w14:paraId="77A23A0B" w14:textId="77777777" w:rsidR="00D9107F" w:rsidRDefault="00C3579A" w:rsidP="00C3579A">
      <w:pPr>
        <w:jc w:val="both"/>
      </w:pPr>
      <w:r>
        <w:t xml:space="preserve">Oppfølgingen av </w:t>
      </w:r>
      <w:r w:rsidR="00CB2DA6">
        <w:t>disse</w:t>
      </w:r>
      <w:r>
        <w:t xml:space="preserve"> pasientgruppene er oppskalert </w:t>
      </w:r>
      <w:r w:rsidR="007C66D8">
        <w:t>betydelig</w:t>
      </w:r>
      <w:r>
        <w:t>. Et</w:t>
      </w:r>
      <w:r w:rsidRPr="00FF70EA">
        <w:t xml:space="preserve"> eksempel </w:t>
      </w:r>
      <w:r>
        <w:t>er</w:t>
      </w:r>
      <w:r w:rsidRPr="00FF70EA">
        <w:t xml:space="preserve"> </w:t>
      </w:r>
      <w:r>
        <w:t>diabetesomsorgen</w:t>
      </w:r>
      <w:r w:rsidR="00164EB6">
        <w:t>,</w:t>
      </w:r>
      <w:r>
        <w:t xml:space="preserve"> som i stor grad ble flyttet ut av sykehus og over til fastlegen, og hvor det i ettertid er utviklet støttefunksjoner rundt fastlegen for å redusere arbeidsbelastningen. </w:t>
      </w:r>
      <w:r w:rsidRPr="00FF70EA">
        <w:t>Milde</w:t>
      </w:r>
      <w:r w:rsidR="00A4508E">
        <w:t xml:space="preserve"> til </w:t>
      </w:r>
      <w:r w:rsidRPr="00FF70EA">
        <w:t>moderate psykiske problemer håndteres av psykologer og sykepleiere. F</w:t>
      </w:r>
      <w:r>
        <w:t>astlegen gir ikke perinatal omsorg, for eksempel fødsels- eller barselomsorg.</w:t>
      </w:r>
    </w:p>
    <w:p w14:paraId="13E07E00" w14:textId="77777777" w:rsidR="00D9107F" w:rsidRDefault="00C3579A" w:rsidP="00C3579A">
      <w:pPr>
        <w:jc w:val="both"/>
      </w:pPr>
      <w:r>
        <w:lastRenderedPageBreak/>
        <w:t>I noe mindre skala ansettes legeassistenter (ca</w:t>
      </w:r>
      <w:r w:rsidR="0039730B">
        <w:t>.</w:t>
      </w:r>
      <w:r>
        <w:t xml:space="preserve"> 130 i </w:t>
      </w:r>
      <w:r w:rsidR="00C614D7">
        <w:t>hele landet</w:t>
      </w:r>
      <w:r>
        <w:t>)</w:t>
      </w:r>
      <w:r w:rsidR="00164EB6">
        <w:t>,</w:t>
      </w:r>
      <w:r>
        <w:t xml:space="preserve"> som kan gjennomføre selvstendige pasientkonsultasjoner, men hvor fastlegen fortsatt har det overordnede ansvaret.</w:t>
      </w:r>
    </w:p>
    <w:p w14:paraId="2D9997D8" w14:textId="77777777" w:rsidR="00D9107F" w:rsidRDefault="00C3579A" w:rsidP="00C3579A">
      <w:pPr>
        <w:jc w:val="both"/>
      </w:pPr>
      <w:r w:rsidRPr="00FF70EA">
        <w:t xml:space="preserve">I Nederland har man også satset på å utvikle systemer for at innbyggerne selv kan finne god informasjon om symptomer, sykdommer og veiledende informasjon. </w:t>
      </w:r>
      <w:r w:rsidRPr="00C51039">
        <w:t xml:space="preserve">Se </w:t>
      </w:r>
      <w:r w:rsidR="00A80372" w:rsidRPr="00C51039">
        <w:t>omtale i kap</w:t>
      </w:r>
      <w:r w:rsidR="00C51039" w:rsidRPr="00C51039">
        <w:t>ittel</w:t>
      </w:r>
      <w:r w:rsidR="00A80372" w:rsidRPr="00C51039">
        <w:t xml:space="preserve"> </w:t>
      </w:r>
      <w:r w:rsidR="00D42C80" w:rsidRPr="00C51039">
        <w:t>10.4.3</w:t>
      </w:r>
      <w:r w:rsidR="00A80372" w:rsidRPr="00C51039">
        <w:t>.</w:t>
      </w:r>
    </w:p>
    <w:p w14:paraId="2A1B0297" w14:textId="264E86E4" w:rsidR="005542E2" w:rsidRPr="00FF70EA" w:rsidRDefault="005542E2" w:rsidP="00775632">
      <w:pPr>
        <w:pStyle w:val="Overskrift4"/>
      </w:pPr>
      <w:bookmarkStart w:id="3056" w:name="_Toc130983534"/>
      <w:bookmarkStart w:id="3057" w:name="_Toc130983883"/>
      <w:bookmarkStart w:id="3058" w:name="_Toc131238465"/>
      <w:bookmarkStart w:id="3059" w:name="_Toc131279496"/>
      <w:bookmarkStart w:id="3060" w:name="_Toc131286908"/>
      <w:bookmarkStart w:id="3061" w:name="_Toc131281318"/>
      <w:bookmarkStart w:id="3062" w:name="_Toc131317858"/>
      <w:r>
        <w:t>England</w:t>
      </w:r>
      <w:bookmarkEnd w:id="3056"/>
      <w:bookmarkEnd w:id="3057"/>
      <w:bookmarkEnd w:id="3058"/>
      <w:bookmarkEnd w:id="3059"/>
      <w:bookmarkEnd w:id="3060"/>
      <w:bookmarkEnd w:id="3061"/>
      <w:bookmarkEnd w:id="3062"/>
    </w:p>
    <w:p w14:paraId="236ECA2D" w14:textId="77777777" w:rsidR="00D9107F" w:rsidRDefault="00C3579A" w:rsidP="00C3579A">
      <w:pPr>
        <w:jc w:val="both"/>
      </w:pPr>
      <w:r w:rsidRPr="009F4F10">
        <w:t xml:space="preserve">I 2019 kom </w:t>
      </w:r>
      <w:r w:rsidRPr="00D9107F">
        <w:rPr>
          <w:rStyle w:val="kursiv"/>
        </w:rPr>
        <w:t>The Long Term plan for NHS</w:t>
      </w:r>
      <w:r w:rsidRPr="00F35E0E">
        <w:t xml:space="preserve"> </w:t>
      </w:r>
      <w:r>
        <w:t xml:space="preserve">med </w:t>
      </w:r>
      <w:r w:rsidRPr="00FF70EA">
        <w:t xml:space="preserve">mål </w:t>
      </w:r>
      <w:r>
        <w:t xml:space="preserve">om </w:t>
      </w:r>
      <w:r w:rsidRPr="00FF70EA">
        <w:t>å forsterke den lokale helse</w:t>
      </w:r>
      <w:r>
        <w:t>-</w:t>
      </w:r>
      <w:r w:rsidRPr="00FF70EA">
        <w:t xml:space="preserve"> og omsorgstjenesten og arbeide personorientert og proaktivt</w:t>
      </w:r>
      <w:r w:rsidR="003236EC">
        <w:t xml:space="preserve"> </w:t>
      </w:r>
      <w:r w:rsidR="00BE43A2">
        <w:fldChar w:fldCharType="begin"/>
      </w:r>
      <w:r w:rsidR="00BE43A2">
        <w:instrText xml:space="preserve"> ADDIN EN.CITE &lt;EndNote&gt;&lt;Cite ExcludeYear="1"&gt;&lt;Author&gt;NHS&lt;/Author&gt;&lt;RecNum&gt;7&lt;/RecNum&gt;&lt;DisplayText&gt;(NHS)&lt;/DisplayText&gt;&lt;record&gt;&lt;rec-number&gt;7&lt;/rec-number&gt;&lt;foreign-keys&gt;&lt;key app="EN" db-id="95tpr2tp6r9xwoea9rb5wdsz5ds5xeddteew" timestamp="1680069511"&gt;7&lt;/key&gt;&lt;/foreign-keys&gt;&lt;ref-type name="Web Page"&gt;12&lt;/ref-type&gt;&lt;contributors&gt;&lt;authors&gt;&lt;author&gt;NHS&lt;/author&gt;&lt;/authors&gt;&lt;/contributors&gt;&lt;titles&gt;&lt;title&gt;About the NHS Long Term Plan&lt;/title&gt;&lt;/titles&gt;&lt;number&gt;22. mars 2023&lt;/number&gt;&lt;dates&gt;&lt;/dates&gt;&lt;pub-location&gt;London&lt;/pub-location&gt;&lt;publisher&gt;National Health Service&lt;/publisher&gt;&lt;work-type&gt;nettdokument&lt;/work-type&gt;&lt;urls&gt;&lt;related-urls&gt;&lt;url&gt;https://www.longtermplan.nhs.uk/about/&lt;/url&gt;&lt;/related-urls&gt;&lt;/urls&gt;&lt;/record&gt;&lt;/Cite&gt;&lt;/EndNote&gt;</w:instrText>
      </w:r>
      <w:r w:rsidR="00BE43A2">
        <w:fldChar w:fldCharType="separate"/>
      </w:r>
      <w:r w:rsidR="00BE43A2">
        <w:rPr>
          <w:noProof/>
        </w:rPr>
        <w:t>(NHS)</w:t>
      </w:r>
      <w:r w:rsidR="00BE43A2">
        <w:fldChar w:fldCharType="end"/>
      </w:r>
      <w:r w:rsidRPr="00FF70EA">
        <w:t xml:space="preserve">. </w:t>
      </w:r>
      <w:r>
        <w:t>P</w:t>
      </w:r>
      <w:r w:rsidRPr="00FF70EA">
        <w:t xml:space="preserve">lanen </w:t>
      </w:r>
      <w:r>
        <w:t>reflekteres i</w:t>
      </w:r>
      <w:r w:rsidRPr="00FF70EA">
        <w:t xml:space="preserve"> den nasjonale kontrakten som alle </w:t>
      </w:r>
      <w:r>
        <w:t>allmennleger</w:t>
      </w:r>
      <w:r w:rsidRPr="00FF70EA">
        <w:t xml:space="preserve"> i den offentlige tjenesten er underlagt (GMS-contract). </w:t>
      </w:r>
      <w:r w:rsidRPr="0091142C">
        <w:t>Dette g</w:t>
      </w:r>
      <w:r>
        <w:t>j</w:t>
      </w:r>
      <w:r w:rsidRPr="0091142C">
        <w:t>elder</w:t>
      </w:r>
      <w:r>
        <w:t xml:space="preserve"> blant annet s</w:t>
      </w:r>
      <w:r w:rsidRPr="00B66451">
        <w:t xml:space="preserve">amarbeid med </w:t>
      </w:r>
      <w:r>
        <w:t xml:space="preserve">ulike </w:t>
      </w:r>
      <w:r w:rsidRPr="00B66451">
        <w:t>faggrupper</w:t>
      </w:r>
      <w:r>
        <w:t xml:space="preserve"> og </w:t>
      </w:r>
      <w:r w:rsidRPr="00B66451">
        <w:t>roller</w:t>
      </w:r>
      <w:r>
        <w:t xml:space="preserve">, og </w:t>
      </w:r>
      <w:r w:rsidRPr="0091142C">
        <w:t>deltakelse i Primary care Networks (PCN)</w:t>
      </w:r>
      <w:r w:rsidR="009A148B">
        <w:t xml:space="preserve"> </w:t>
      </w:r>
      <w:r w:rsidR="00BE43A2">
        <w:fldChar w:fldCharType="begin"/>
      </w:r>
      <w:r w:rsidR="00235862">
        <w:instrText xml:space="preserve"> ADDIN EN.CITE &lt;EndNote&gt;&lt;Cite&gt;&lt;Author&gt;NHS England&lt;/Author&gt;&lt;Year&gt;2021&lt;/Year&gt;&lt;RecNum&gt;655&lt;/RecNum&gt;&lt;DisplayText&gt;(NHS England, 2021)&lt;/DisplayText&gt;&lt;record&gt;&lt;rec-number&gt;655&lt;/rec-number&gt;&lt;foreign-keys&gt;&lt;key app="EN" db-id="95tpr2tp6r9xwoea9rb5wdsz5ds5xeddteew" timestamp="1680069511"&gt;655&lt;/key&gt;&lt;/foreign-keys&gt;&lt;ref-type name="Web Page"&gt;12&lt;/ref-type&gt;&lt;contributors&gt;&lt;authors&gt;&lt;author&gt;NHS England,&lt;/author&gt;&lt;/authors&gt;&lt;/contributors&gt;&lt;titles&gt;&lt;title&gt;Primary care networks (PCNs)&lt;/title&gt;&lt;/titles&gt;&lt;number&gt;16. mars 2023&lt;/number&gt;&lt;dates&gt;&lt;year&gt;2021&lt;/year&gt;&lt;pub-dates&gt;&lt;date&gt;17. juni 2021&lt;/date&gt;&lt;/pub-dates&gt;&lt;/dates&gt;&lt;pub-location&gt;London&lt;/pub-location&gt;&lt;publisher&gt;NHS England&lt;/publisher&gt;&lt;work-type&gt;nettdokument&lt;/work-type&gt;&lt;urls&gt;&lt;related-urls&gt;&lt;url&gt;https://www.bma.org.uk/advice-and-support/gp-practices/primary-care-networks/primary-care-networks-pcns&lt;/url&gt;&lt;/related-urls&gt;&lt;/urls&gt;&lt;/record&gt;&lt;/Cite&gt;&lt;/EndNote&gt;</w:instrText>
      </w:r>
      <w:r w:rsidR="00BE43A2">
        <w:fldChar w:fldCharType="separate"/>
      </w:r>
      <w:r w:rsidR="00235862">
        <w:rPr>
          <w:noProof/>
        </w:rPr>
        <w:t>(NHS England, 2021)</w:t>
      </w:r>
      <w:r w:rsidR="00BE43A2">
        <w:fldChar w:fldCharType="end"/>
      </w:r>
      <w:r>
        <w:t>.</w:t>
      </w:r>
    </w:p>
    <w:p w14:paraId="6F4EE61D" w14:textId="4B7F1244" w:rsidR="00C3579A" w:rsidRPr="00FF70EA" w:rsidRDefault="00C3579A" w:rsidP="00C3579A">
      <w:pPr>
        <w:jc w:val="both"/>
      </w:pPr>
      <w:r w:rsidRPr="442B7D7D">
        <w:rPr>
          <w:lang w:val="nb"/>
        </w:rPr>
        <w:t xml:space="preserve">Over 99 prosent av praksisene i England er nå en del av et Primary Care Network (PCN). </w:t>
      </w:r>
      <w:r w:rsidR="005F4D79">
        <w:rPr>
          <w:lang w:val="nb"/>
        </w:rPr>
        <w:t>Hver av d</w:t>
      </w:r>
      <w:r w:rsidRPr="442B7D7D">
        <w:rPr>
          <w:lang w:val="nb"/>
        </w:rPr>
        <w:t xml:space="preserve">isse </w:t>
      </w:r>
      <w:r w:rsidRPr="442B7D7D">
        <w:rPr>
          <w:color w:val="141414"/>
          <w:lang w:val="nb"/>
        </w:rPr>
        <w:t>dekker en befolkning på rundt 3</w:t>
      </w:r>
      <w:r w:rsidR="00D9107F" w:rsidRPr="442B7D7D">
        <w:rPr>
          <w:color w:val="141414"/>
          <w:lang w:val="nb"/>
        </w:rPr>
        <w:t>0</w:t>
      </w:r>
      <w:r w:rsidR="00D9107F">
        <w:rPr>
          <w:color w:val="141414"/>
          <w:lang w:val="nb"/>
        </w:rPr>
        <w:t> </w:t>
      </w:r>
      <w:r w:rsidR="00D9107F" w:rsidRPr="442B7D7D">
        <w:rPr>
          <w:color w:val="141414"/>
          <w:lang w:val="nb"/>
        </w:rPr>
        <w:t>000</w:t>
      </w:r>
      <w:r w:rsidRPr="442B7D7D">
        <w:rPr>
          <w:color w:val="141414"/>
          <w:lang w:val="nb"/>
        </w:rPr>
        <w:t xml:space="preserve"> til 5</w:t>
      </w:r>
      <w:r w:rsidR="00D9107F" w:rsidRPr="442B7D7D">
        <w:rPr>
          <w:color w:val="141414"/>
          <w:lang w:val="nb"/>
        </w:rPr>
        <w:t>0</w:t>
      </w:r>
      <w:r w:rsidR="00D9107F">
        <w:rPr>
          <w:color w:val="141414"/>
          <w:lang w:val="nb"/>
        </w:rPr>
        <w:t> </w:t>
      </w:r>
      <w:r w:rsidR="00D9107F" w:rsidRPr="442B7D7D">
        <w:rPr>
          <w:color w:val="141414"/>
          <w:lang w:val="nb"/>
        </w:rPr>
        <w:t>000</w:t>
      </w:r>
      <w:r w:rsidRPr="442B7D7D">
        <w:rPr>
          <w:color w:val="141414"/>
          <w:lang w:val="nb"/>
        </w:rPr>
        <w:t xml:space="preserve"> mennesker</w:t>
      </w:r>
      <w:r w:rsidR="005F4D79">
        <w:rPr>
          <w:color w:val="141414"/>
          <w:lang w:val="nb"/>
        </w:rPr>
        <w:t>,</w:t>
      </w:r>
      <w:r w:rsidRPr="442B7D7D">
        <w:rPr>
          <w:color w:val="141414"/>
          <w:lang w:val="nb"/>
        </w:rPr>
        <w:t xml:space="preserve"> hvor grupper av legepraksiser jobber sammen med NHS-lokalbaserte tjenester for å levere mer koordinert og proaktiv omsorg. Utgangspunktet er listeinnbyggerne som er tilknyttet praksisene i et område. </w:t>
      </w:r>
      <w:r w:rsidRPr="00FF70EA">
        <w:rPr>
          <w:lang w:val="nb"/>
        </w:rPr>
        <w:t xml:space="preserve">De inngår en egen kontrakt </w:t>
      </w:r>
      <w:r w:rsidR="00B01115">
        <w:rPr>
          <w:lang w:val="nb"/>
        </w:rPr>
        <w:t>–</w:t>
      </w:r>
      <w:r w:rsidRPr="00FF70EA">
        <w:rPr>
          <w:lang w:val="nb"/>
        </w:rPr>
        <w:t xml:space="preserve"> Directed</w:t>
      </w:r>
      <w:r w:rsidR="00B01115">
        <w:rPr>
          <w:lang w:val="nb"/>
        </w:rPr>
        <w:t xml:space="preserve"> </w:t>
      </w:r>
      <w:r w:rsidRPr="00FF70EA">
        <w:rPr>
          <w:lang w:val="nb"/>
        </w:rPr>
        <w:t xml:space="preserve">Enhanced Service (DES) Contract </w:t>
      </w:r>
      <w:r w:rsidR="006A4493">
        <w:rPr>
          <w:lang w:val="nb"/>
        </w:rPr>
        <w:t>–</w:t>
      </w:r>
      <w:r w:rsidRPr="00FF70EA">
        <w:rPr>
          <w:lang w:val="nb"/>
        </w:rPr>
        <w:t xml:space="preserve"> som</w:t>
      </w:r>
      <w:r w:rsidR="006A4493">
        <w:rPr>
          <w:lang w:val="nb"/>
        </w:rPr>
        <w:t xml:space="preserve"> </w:t>
      </w:r>
      <w:r w:rsidRPr="00FF70EA">
        <w:rPr>
          <w:lang w:val="nb"/>
        </w:rPr>
        <w:t>beskriver tjenestene som inngår, krav og rettigheter</w:t>
      </w:r>
      <w:r w:rsidR="00AE76A9">
        <w:rPr>
          <w:lang w:val="nb"/>
        </w:rPr>
        <w:t xml:space="preserve"> </w:t>
      </w:r>
      <w:r w:rsidR="00BE43A2">
        <w:rPr>
          <w:lang w:val="nb"/>
        </w:rPr>
        <w:fldChar w:fldCharType="begin"/>
      </w:r>
      <w:r w:rsidR="00235862">
        <w:rPr>
          <w:lang w:val="nb"/>
        </w:rPr>
        <w:instrText xml:space="preserve"> ADDIN EN.CITE &lt;EndNote&gt;&lt;Cite ExcludeYear="1"&gt;&lt;Author&gt;NHS England&lt;/Author&gt;&lt;RecNum&gt;523&lt;/RecNum&gt;&lt;DisplayText&gt;(NHS England)&lt;/DisplayText&gt;&lt;record&gt;&lt;rec-number&gt;523&lt;/rec-number&gt;&lt;foreign-keys&gt;&lt;key app="EN" db-id="95tpr2tp6r9xwoea9rb5wdsz5ds5xeddteew" timestamp="1680069511"&gt;523&lt;/key&gt;&lt;/foreign-keys&gt;&lt;ref-type name="Web Page"&gt;12&lt;/ref-type&gt;&lt;contributors&gt;&lt;authors&gt;&lt;author&gt;NHS England,&lt;/author&gt;&lt;/authors&gt;&lt;/contributors&gt;&lt;titles&gt;&lt;title&gt;Network Contract DES&lt;/title&gt;&lt;/titles&gt;&lt;number&gt;16. mars 2023&lt;/number&gt;&lt;dates&gt;&lt;/dates&gt;&lt;pub-location&gt;England&lt;/pub-location&gt;&lt;publisher&gt;NHS England&lt;/publisher&gt;&lt;work-type&gt;nettdokument&lt;/work-type&gt;&lt;urls&gt;&lt;/urls&gt;&lt;/record&gt;&lt;/Cite&gt;&lt;/EndNote&gt;</w:instrText>
      </w:r>
      <w:r w:rsidR="00BE43A2">
        <w:rPr>
          <w:lang w:val="nb"/>
        </w:rPr>
        <w:fldChar w:fldCharType="separate"/>
      </w:r>
      <w:r w:rsidR="00235862">
        <w:rPr>
          <w:noProof/>
          <w:lang w:val="nb"/>
        </w:rPr>
        <w:t>(NHS England)</w:t>
      </w:r>
      <w:r w:rsidR="00BE43A2">
        <w:rPr>
          <w:lang w:val="nb"/>
        </w:rPr>
        <w:fldChar w:fldCharType="end"/>
      </w:r>
      <w:r w:rsidRPr="00FF70EA">
        <w:rPr>
          <w:lang w:val="nb"/>
        </w:rPr>
        <w:t>. Finansieringsordning</w:t>
      </w:r>
      <w:r w:rsidR="006A4493">
        <w:rPr>
          <w:lang w:val="nb"/>
        </w:rPr>
        <w:t>en</w:t>
      </w:r>
      <w:r w:rsidRPr="00FF70EA">
        <w:rPr>
          <w:lang w:val="nb"/>
        </w:rPr>
        <w:t xml:space="preserve"> (</w:t>
      </w:r>
      <w:r w:rsidRPr="00FF70EA">
        <w:rPr>
          <w:rFonts w:ascii="Arial" w:hAnsi="Arial" w:cs="Arial"/>
          <w:color w:val="231F20"/>
          <w:sz w:val="20"/>
          <w:szCs w:val="20"/>
        </w:rPr>
        <w:t>ARRS)</w:t>
      </w:r>
      <w:r w:rsidRPr="00D9107F">
        <w:rPr>
          <w:rStyle w:val="halvfet"/>
        </w:rPr>
        <w:t xml:space="preserve"> </w:t>
      </w:r>
      <w:r w:rsidRPr="00FF70EA">
        <w:rPr>
          <w:lang w:val="nb"/>
        </w:rPr>
        <w:t>skal dekke utgiftene til ekstra personell som</w:t>
      </w:r>
      <w:r w:rsidR="00164EB6">
        <w:rPr>
          <w:lang w:val="nb"/>
        </w:rPr>
        <w:t>,</w:t>
      </w:r>
      <w:r w:rsidRPr="00FF70EA">
        <w:rPr>
          <w:lang w:val="nb"/>
        </w:rPr>
        <w:t xml:space="preserve"> sammen med allmenn</w:t>
      </w:r>
      <w:r w:rsidR="00420363">
        <w:rPr>
          <w:lang w:val="nb"/>
        </w:rPr>
        <w:t>legene</w:t>
      </w:r>
      <w:r w:rsidR="00164EB6">
        <w:rPr>
          <w:lang w:val="nb"/>
        </w:rPr>
        <w:t>,</w:t>
      </w:r>
      <w:r w:rsidRPr="00FF70EA">
        <w:rPr>
          <w:lang w:val="nb"/>
        </w:rPr>
        <w:t xml:space="preserve"> skal levere d</w:t>
      </w:r>
      <w:r w:rsidR="00033800">
        <w:rPr>
          <w:lang w:val="nb"/>
        </w:rPr>
        <w:t>i</w:t>
      </w:r>
      <w:r w:rsidRPr="00FF70EA">
        <w:rPr>
          <w:lang w:val="nb"/>
        </w:rPr>
        <w:t>sse utvidede tjenester. Det er krav til de som deltar i nettverket</w:t>
      </w:r>
      <w:r w:rsidR="00CA62E4">
        <w:rPr>
          <w:lang w:val="nb"/>
        </w:rPr>
        <w:t>,</w:t>
      </w:r>
      <w:r w:rsidRPr="00FF70EA">
        <w:rPr>
          <w:lang w:val="nb"/>
        </w:rPr>
        <w:t xml:space="preserve"> om </w:t>
      </w:r>
      <w:r w:rsidR="006A4493">
        <w:rPr>
          <w:lang w:val="nb"/>
        </w:rPr>
        <w:t xml:space="preserve">for eksempel </w:t>
      </w:r>
      <w:r w:rsidR="00D74145">
        <w:rPr>
          <w:lang w:val="nb"/>
        </w:rPr>
        <w:t>å</w:t>
      </w:r>
      <w:r w:rsidRPr="00FF70EA">
        <w:rPr>
          <w:lang w:val="nb"/>
        </w:rPr>
        <w:t xml:space="preserve"> ha dataløsninger som er sikre og i tråd med gjeldende lovgivning. Nettverkene kan også få tilleggsfinansiering gjennom en insentivordning</w:t>
      </w:r>
      <w:r w:rsidR="005C0497">
        <w:rPr>
          <w:lang w:val="nb"/>
        </w:rPr>
        <w:t xml:space="preserve"> </w:t>
      </w:r>
      <w:r w:rsidR="00BE43A2">
        <w:rPr>
          <w:lang w:val="nb"/>
        </w:rPr>
        <w:fldChar w:fldCharType="begin"/>
      </w:r>
      <w:r w:rsidR="00BE43A2">
        <w:rPr>
          <w:lang w:val="nb"/>
        </w:rPr>
        <w:instrText xml:space="preserve"> ADDIN EN.CITE &lt;EndNote&gt;&lt;Cite ExcludeYear="1"&gt;&lt;Author&gt;NHS England&lt;/Author&gt;&lt;RecNum&gt;1017&lt;/RecNum&gt;&lt;DisplayText&gt;(NHS England)&lt;/DisplayText&gt;&lt;record&gt;&lt;rec-number&gt;1017&lt;/rec-number&gt;&lt;foreign-keys&gt;&lt;key app="EN" db-id="95tpr2tp6r9xwoea9rb5wdsz5ds5xeddteew" timestamp="1681135301"&gt;1017&lt;/key&gt;&lt;/foreign-keys&gt;&lt;ref-type name="Web Page"&gt;12&lt;/ref-type&gt;&lt;contributors&gt;&lt;authors&gt;&lt;author&gt;NHS England,&lt;/author&gt;&lt;/authors&gt;&lt;/contributors&gt;&lt;titles&gt;&lt;title&gt;Investment and Impact Fund&lt;/title&gt;&lt;/titles&gt;&lt;volume&gt;20.03.2023&lt;/volume&gt;&lt;dates&gt;&lt;/dates&gt;&lt;urls&gt;&lt;related-urls&gt;&lt;url&gt;https://www.england.nhs.uk/primary-care/primary-care-networks/network-contract-des/iif/&lt;/url&gt;&lt;/related-urls&gt;&lt;/urls&gt;&lt;/record&gt;&lt;/Cite&gt;&lt;/EndNote&gt;</w:instrText>
      </w:r>
      <w:r w:rsidR="00BE43A2">
        <w:rPr>
          <w:lang w:val="nb"/>
        </w:rPr>
        <w:fldChar w:fldCharType="separate"/>
      </w:r>
      <w:r w:rsidR="00BE43A2">
        <w:rPr>
          <w:noProof/>
          <w:lang w:val="nb"/>
        </w:rPr>
        <w:t>(NHS England)</w:t>
      </w:r>
      <w:r w:rsidR="00BE43A2">
        <w:rPr>
          <w:lang w:val="nb"/>
        </w:rPr>
        <w:fldChar w:fldCharType="end"/>
      </w:r>
      <w:r w:rsidRPr="00FF70EA">
        <w:t>.</w:t>
      </w:r>
    </w:p>
    <w:p w14:paraId="2AC18D8E" w14:textId="77777777" w:rsidR="00D9107F" w:rsidRDefault="00C3579A" w:rsidP="00C3579A">
      <w:pPr>
        <w:jc w:val="both"/>
        <w:rPr>
          <w:noProof/>
        </w:rPr>
      </w:pPr>
      <w:r w:rsidRPr="00FF70EA">
        <w:rPr>
          <w:noProof/>
        </w:rPr>
        <w:t>Et PCN må bli enige med psykiske helsetjen</w:t>
      </w:r>
      <w:r>
        <w:rPr>
          <w:noProof/>
        </w:rPr>
        <w:t>e</w:t>
      </w:r>
      <w:r w:rsidRPr="00FF70EA">
        <w:rPr>
          <w:noProof/>
        </w:rPr>
        <w:t>ster</w:t>
      </w:r>
      <w:r w:rsidR="00854E3A">
        <w:rPr>
          <w:noProof/>
        </w:rPr>
        <w:t xml:space="preserve">, </w:t>
      </w:r>
      <w:r w:rsidRPr="00FF70EA">
        <w:rPr>
          <w:noProof/>
        </w:rPr>
        <w:t xml:space="preserve">apotektjenester </w:t>
      </w:r>
      <w:r w:rsidR="00854E3A">
        <w:rPr>
          <w:noProof/>
        </w:rPr>
        <w:t xml:space="preserve">og andre </w:t>
      </w:r>
      <w:r w:rsidR="00854E3A" w:rsidRPr="00FF70EA">
        <w:rPr>
          <w:noProof/>
        </w:rPr>
        <w:t>lokal</w:t>
      </w:r>
      <w:r w:rsidR="00D74145">
        <w:rPr>
          <w:noProof/>
        </w:rPr>
        <w:t>e</w:t>
      </w:r>
      <w:r w:rsidR="00854E3A" w:rsidRPr="00FF70EA">
        <w:rPr>
          <w:noProof/>
        </w:rPr>
        <w:t xml:space="preserve"> tjenester </w:t>
      </w:r>
      <w:r w:rsidR="00B37240">
        <w:rPr>
          <w:noProof/>
        </w:rPr>
        <w:t>om</w:t>
      </w:r>
      <w:r w:rsidRPr="00FF70EA">
        <w:rPr>
          <w:noProof/>
        </w:rPr>
        <w:t xml:space="preserve"> hvordan de skal samarbeide. Nettverkene må</w:t>
      </w:r>
      <w:r w:rsidR="00164EB6">
        <w:rPr>
          <w:noProof/>
        </w:rPr>
        <w:t>,</w:t>
      </w:r>
      <w:r w:rsidRPr="00FF70EA">
        <w:rPr>
          <w:noProof/>
        </w:rPr>
        <w:t xml:space="preserve"> i henhold til krav i kontrakten</w:t>
      </w:r>
      <w:r w:rsidR="00164EB6">
        <w:rPr>
          <w:noProof/>
        </w:rPr>
        <w:t>,</w:t>
      </w:r>
      <w:r w:rsidRPr="00FF70EA">
        <w:rPr>
          <w:noProof/>
        </w:rPr>
        <w:t xml:space="preserve"> ha utvidede åpningstider for å ha god tilgjengelighet.</w:t>
      </w:r>
    </w:p>
    <w:p w14:paraId="2D694816" w14:textId="0FAFFEE6" w:rsidR="00D9107F" w:rsidRDefault="00C3579A" w:rsidP="00B33F65">
      <w:pPr>
        <w:jc w:val="both"/>
      </w:pPr>
      <w:r w:rsidRPr="00B66451">
        <w:t xml:space="preserve">Sykepleiere har vært en del av allmennpraksis i mange år. Tiltakene </w:t>
      </w:r>
      <w:r w:rsidR="00F71812">
        <w:t>de</w:t>
      </w:r>
      <w:r w:rsidRPr="00B66451">
        <w:t xml:space="preserve"> siste 3-4 årene har medført en rask vekst i annet personell i tillegg til leger og sykepleiere. </w:t>
      </w:r>
      <w:r w:rsidRPr="00A96911">
        <w:t xml:space="preserve">Ordningen </w:t>
      </w:r>
      <w:r w:rsidR="00D9107F">
        <w:t>«</w:t>
      </w:r>
      <w:r w:rsidRPr="00A96911">
        <w:t>Additional Roles Reimbursement Scheme</w:t>
      </w:r>
      <w:r w:rsidRPr="00A96911">
        <w:softHyphen/>
      </w:r>
      <w:r w:rsidR="00D9107F">
        <w:t>«</w:t>
      </w:r>
      <w:r w:rsidRPr="00A96911">
        <w:t xml:space="preserve"> </w:t>
      </w:r>
      <w:r w:rsidRPr="00FF70EA">
        <w:rPr>
          <w:lang w:val="nb"/>
        </w:rPr>
        <w:t xml:space="preserve">har gitt praksiser/PCN refusjon for å sysselsette </w:t>
      </w:r>
      <w:r w:rsidR="001570F4">
        <w:rPr>
          <w:lang w:val="nb"/>
        </w:rPr>
        <w:t xml:space="preserve">andre helseprofesjoner </w:t>
      </w:r>
      <w:r w:rsidRPr="00FF70EA">
        <w:rPr>
          <w:lang w:val="nb"/>
        </w:rPr>
        <w:t>i allmennpraksis</w:t>
      </w:r>
      <w:r w:rsidRPr="502C70DA">
        <w:rPr>
          <w:lang w:val="nb"/>
        </w:rPr>
        <w:t xml:space="preserve"> </w:t>
      </w:r>
      <w:r w:rsidR="00BE43A2">
        <w:rPr>
          <w:lang w:val="nb"/>
        </w:rPr>
        <w:fldChar w:fldCharType="begin"/>
      </w:r>
      <w:r w:rsidR="00235862">
        <w:rPr>
          <w:lang w:val="nb"/>
        </w:rPr>
        <w:instrText xml:space="preserve"> ADDIN EN.CITE &lt;EndNote&gt;&lt;Cite&gt;&lt;Author&gt;NHS England&lt;/Author&gt;&lt;Year&gt;[s.a.]&lt;/Year&gt;&lt;RecNum&gt;226&lt;/RecNum&gt;&lt;DisplayText&gt;(NHS England, [s.a.])&lt;/DisplayText&gt;&lt;record&gt;&lt;rec-number&gt;226&lt;/rec-number&gt;&lt;foreign-keys&gt;&lt;key app="EN" db-id="95tpr2tp6r9xwoea9rb5wdsz5ds5xeddteew" timestamp="1680069511"&gt;226&lt;/key&gt;&lt;/foreign-keys&gt;&lt;ref-type name="Web Page"&gt;12&lt;/ref-type&gt;&lt;contributors&gt;&lt;authors&gt;&lt;author&gt;NHS England,&lt;/author&gt;&lt;/authors&gt;&lt;/contributors&gt;&lt;titles&gt;&lt;title&gt;Expanding our workforce&lt;/title&gt;&lt;/titles&gt;&lt;number&gt;22. mars 2023&lt;/number&gt;&lt;dates&gt;&lt;year&gt;[s.a.]&lt;/year&gt;&lt;/dates&gt;&lt;pub-location&gt;London&lt;/pub-location&gt;&lt;publisher&gt;National Health Service (NHS)&lt;/publisher&gt;&lt;work-type&gt;nettdokument&lt;/work-type&gt;&lt;urls&gt;&lt;related-urls&gt;&lt;url&gt;https://www.england.nhs.uk/gp/expanding-our-workforce/&lt;/url&gt;&lt;/related-urls&gt;&lt;/urls&gt;&lt;/record&gt;&lt;/Cite&gt;&lt;/EndNote&gt;</w:instrText>
      </w:r>
      <w:r w:rsidR="00BE43A2">
        <w:rPr>
          <w:lang w:val="nb"/>
        </w:rPr>
        <w:fldChar w:fldCharType="separate"/>
      </w:r>
      <w:r w:rsidR="00235862">
        <w:rPr>
          <w:noProof/>
          <w:lang w:val="nb"/>
        </w:rPr>
        <w:t>(NHS England, [s.a.])</w:t>
      </w:r>
      <w:r w:rsidR="00BE43A2">
        <w:rPr>
          <w:lang w:val="nb"/>
        </w:rPr>
        <w:fldChar w:fldCharType="end"/>
      </w:r>
      <w:r w:rsidRPr="00FF70EA">
        <w:rPr>
          <w:rFonts w:ascii="Calibri" w:hAnsi="Calibri" w:cs="Calibri"/>
        </w:rPr>
        <w:t>.</w:t>
      </w:r>
      <w:r w:rsidR="009A148B">
        <w:rPr>
          <w:rFonts w:ascii="Calibri" w:hAnsi="Calibri" w:cs="Calibri"/>
        </w:rPr>
        <w:t xml:space="preserve"> </w:t>
      </w:r>
      <w:r w:rsidR="006354D6">
        <w:t>Det</w:t>
      </w:r>
      <w:r w:rsidRPr="00FF70EA">
        <w:t xml:space="preserve"> gis ekstra finansiering</w:t>
      </w:r>
      <w:r w:rsidR="00C20339">
        <w:t xml:space="preserve"> </w:t>
      </w:r>
      <w:r w:rsidR="00A46844">
        <w:t xml:space="preserve">for </w:t>
      </w:r>
      <w:r w:rsidR="004D69E8">
        <w:t xml:space="preserve">blant annet </w:t>
      </w:r>
      <w:r w:rsidR="00A46844">
        <w:t>sysselsetting av k</w:t>
      </w:r>
      <w:r w:rsidR="00185F9C">
        <w:t>linisk farmasøyt</w:t>
      </w:r>
      <w:r w:rsidR="00B33F65">
        <w:t>, fysioterapeuter, ernæringsfysiolog, ergoterapeut, sykepleier og ulike profesjoner innen psykisk helse.</w:t>
      </w:r>
    </w:p>
    <w:p w14:paraId="6EA1BE53" w14:textId="58F5DF56" w:rsidR="00D9107F" w:rsidRDefault="00C3579A" w:rsidP="007A4514">
      <w:pPr>
        <w:jc w:val="both"/>
        <w:rPr>
          <w:noProof/>
          <w:lang w:val="nb"/>
        </w:rPr>
      </w:pPr>
      <w:r w:rsidRPr="00584EBB">
        <w:rPr>
          <w:noProof/>
          <w:lang w:val="nb"/>
        </w:rPr>
        <w:t>Etter de første årene med ny</w:t>
      </w:r>
      <w:r>
        <w:rPr>
          <w:noProof/>
          <w:lang w:val="nb"/>
        </w:rPr>
        <w:t xml:space="preserve"> </w:t>
      </w:r>
      <w:r w:rsidRPr="00584EBB">
        <w:rPr>
          <w:noProof/>
          <w:lang w:val="nb"/>
        </w:rPr>
        <w:t>finansieringordning og erfaringer med PCN manglet</w:t>
      </w:r>
      <w:r w:rsidR="006B178F">
        <w:rPr>
          <w:noProof/>
          <w:lang w:val="nb"/>
        </w:rPr>
        <w:t xml:space="preserve"> det</w:t>
      </w:r>
      <w:r>
        <w:rPr>
          <w:noProof/>
          <w:lang w:val="nb"/>
        </w:rPr>
        <w:t xml:space="preserve"> ifølge en forskningsrapport fortsatt </w:t>
      </w:r>
      <w:r w:rsidRPr="00584EBB">
        <w:rPr>
          <w:noProof/>
          <w:lang w:val="nb"/>
        </w:rPr>
        <w:t xml:space="preserve">en felles forståelse av de nye rollenes formål eller potensielle bidrag, kombinert med en generell </w:t>
      </w:r>
      <w:r w:rsidRPr="00911E0F">
        <w:rPr>
          <w:noProof/>
          <w:lang w:val="nb"/>
        </w:rPr>
        <w:t>uklarhet blant fastlegene om hva tverrfaglig arbeid vil bety for deres praksis</w:t>
      </w:r>
      <w:r w:rsidR="005C0497">
        <w:rPr>
          <w:noProof/>
          <w:lang w:val="nb"/>
        </w:rPr>
        <w:t xml:space="preserve"> </w:t>
      </w:r>
      <w:r w:rsidR="00BE43A2">
        <w:rPr>
          <w:noProof/>
          <w:lang w:val="nb"/>
        </w:rPr>
        <w:fldChar w:fldCharType="begin"/>
      </w:r>
      <w:r w:rsidR="00BE43A2">
        <w:rPr>
          <w:noProof/>
          <w:lang w:val="nb"/>
        </w:rPr>
        <w:instrText xml:space="preserve"> ADDIN EN.CITE &lt;EndNote&gt;&lt;Cite&gt;&lt;Author&gt;King&amp;apos;s Fund&lt;/Author&gt;&lt;Year&gt;2022&lt;/Year&gt;&lt;RecNum&gt;996&lt;/RecNum&gt;&lt;DisplayText&gt;(King&amp;apos;s Fund, 2022)&lt;/DisplayText&gt;&lt;record&gt;&lt;rec-number&gt;996&lt;/rec-number&gt;&lt;foreign-keys&gt;&lt;key app="EN" db-id="95tpr2tp6r9xwoea9rb5wdsz5ds5xeddteew" timestamp="1680251278"&gt;996&lt;/key&gt;&lt;/foreign-keys&gt;&lt;ref-type name="Web Page"&gt;12&lt;/ref-type&gt;&lt;contributors&gt;&lt;authors&gt;&lt;author&gt;King&amp;apos;s Fund,&lt;/author&gt;&lt;/authors&gt;&lt;/contributors&gt;&lt;titles&gt;&lt;title&gt;Integrated care systems explained. Health and Care Act 2022&lt;/title&gt;&lt;/titles&gt;&lt;dates&gt;&lt;year&gt;2022&lt;/year&gt;&lt;/dates&gt;&lt;urls&gt;&lt;related-urls&gt;&lt;url&gt;https://www.kingsfund.org.uk/topics/integrated-care&lt;/url&gt;&lt;/related-urls&gt;&lt;/urls&gt;&lt;/record&gt;&lt;/Cite&gt;&lt;/EndNote&gt;</w:instrText>
      </w:r>
      <w:r w:rsidR="00BE43A2">
        <w:rPr>
          <w:noProof/>
          <w:lang w:val="nb"/>
        </w:rPr>
        <w:fldChar w:fldCharType="separate"/>
      </w:r>
      <w:r w:rsidR="00BE43A2">
        <w:rPr>
          <w:noProof/>
          <w:lang w:val="nb"/>
        </w:rPr>
        <w:t>(King</w:t>
      </w:r>
      <w:r w:rsidR="00D9107F">
        <w:rPr>
          <w:noProof/>
          <w:lang w:val="nb"/>
        </w:rPr>
        <w:t>’</w:t>
      </w:r>
      <w:r w:rsidR="00BE43A2">
        <w:rPr>
          <w:noProof/>
          <w:lang w:val="nb"/>
        </w:rPr>
        <w:t>s Fund, 2022)</w:t>
      </w:r>
      <w:r w:rsidR="00BE43A2">
        <w:rPr>
          <w:noProof/>
          <w:lang w:val="nb"/>
        </w:rPr>
        <w:fldChar w:fldCharType="end"/>
      </w:r>
      <w:r w:rsidRPr="00911E0F">
        <w:rPr>
          <w:noProof/>
          <w:lang w:val="nb"/>
        </w:rPr>
        <w:t>.</w:t>
      </w:r>
    </w:p>
    <w:p w14:paraId="65A66EFA" w14:textId="3AFF4909" w:rsidR="00C3579A" w:rsidRPr="00FF70EA" w:rsidRDefault="00C3579A" w:rsidP="00775632">
      <w:pPr>
        <w:pStyle w:val="Overskrift4"/>
      </w:pPr>
      <w:bookmarkStart w:id="3063" w:name="_Toc130983535"/>
      <w:bookmarkStart w:id="3064" w:name="_Toc130983884"/>
      <w:bookmarkStart w:id="3065" w:name="_Toc131238466"/>
      <w:bookmarkStart w:id="3066" w:name="_Toc131279497"/>
      <w:bookmarkStart w:id="3067" w:name="_Toc131286909"/>
      <w:bookmarkStart w:id="3068" w:name="_Toc131281319"/>
      <w:bookmarkStart w:id="3069" w:name="_Toc131317859"/>
      <w:r w:rsidRPr="00FF70EA">
        <w:lastRenderedPageBreak/>
        <w:t>Skottland</w:t>
      </w:r>
      <w:bookmarkEnd w:id="3063"/>
      <w:bookmarkEnd w:id="3064"/>
      <w:bookmarkEnd w:id="3065"/>
      <w:bookmarkEnd w:id="3066"/>
      <w:bookmarkEnd w:id="3067"/>
      <w:bookmarkEnd w:id="3068"/>
      <w:bookmarkEnd w:id="3069"/>
    </w:p>
    <w:p w14:paraId="0E0996EE" w14:textId="0D5B36ED" w:rsidR="00C3579A" w:rsidRPr="00D9107F" w:rsidRDefault="00C3579A" w:rsidP="006A31B5">
      <w:pPr>
        <w:jc w:val="both"/>
        <w:rPr>
          <w:rStyle w:val="kursiv"/>
        </w:rPr>
      </w:pPr>
      <w:r w:rsidRPr="00FF70EA">
        <w:t>Skottland har</w:t>
      </w:r>
      <w:r w:rsidR="00164EB6">
        <w:t>,</w:t>
      </w:r>
      <w:r w:rsidRPr="00FF70EA">
        <w:t xml:space="preserve"> på samme måte som i England</w:t>
      </w:r>
      <w:r w:rsidR="00164EB6">
        <w:t>,</w:t>
      </w:r>
      <w:r w:rsidRPr="00FF70EA">
        <w:t xml:space="preserve"> inkludert tiltak for å nå sentrale helsepolitiske mål i den nasjonale General Medical Services-kontrakten fra 2018</w:t>
      </w:r>
      <w:r w:rsidR="000D2376">
        <w:t>.</w:t>
      </w:r>
      <w:r w:rsidRPr="00D9107F">
        <w:rPr>
          <w:rStyle w:val="Fotnotereferanse"/>
        </w:rPr>
        <w:footnoteReference w:id="32"/>
      </w:r>
    </w:p>
    <w:p w14:paraId="0074F6E4" w14:textId="775F4DE0" w:rsidR="00D9107F" w:rsidRDefault="00C3579A" w:rsidP="00C3579A">
      <w:pPr>
        <w:jc w:val="both"/>
        <w:rPr>
          <w:lang w:val="nb"/>
        </w:rPr>
      </w:pPr>
      <w:r w:rsidRPr="00FF70EA">
        <w:t xml:space="preserve">Et viktig mål er å styrke legenes rolle som </w:t>
      </w:r>
      <w:r w:rsidRPr="00D9107F">
        <w:rPr>
          <w:rStyle w:val="kursiv"/>
        </w:rPr>
        <w:t xml:space="preserve">expert medical generalist focusing on complex care. </w:t>
      </w:r>
      <w:r w:rsidRPr="00FF70EA">
        <w:t xml:space="preserve">Dette skal understøttes av tverrfaglige team i allmennpraksis. Det kan ansettes personell på legekontoret, samtidig som mange av de nye stillingene har blitt lagt direkte under de lokale </w:t>
      </w:r>
      <w:r w:rsidR="00D9107F">
        <w:t>«</w:t>
      </w:r>
      <w:r w:rsidRPr="00FF70EA">
        <w:t>Health Boards</w:t>
      </w:r>
      <w:r w:rsidR="00D9107F">
        <w:t>»</w:t>
      </w:r>
      <w:r w:rsidRPr="00FF70EA">
        <w:t>.</w:t>
      </w:r>
      <w:r w:rsidR="009115E9" w:rsidRPr="00D9107F">
        <w:rPr>
          <w:rStyle w:val="Fotnotereferanse"/>
        </w:rPr>
        <w:footnoteReference w:id="33"/>
      </w:r>
      <w:r w:rsidRPr="00FF70EA">
        <w:t xml:space="preserve"> </w:t>
      </w:r>
      <w:r>
        <w:t xml:space="preserve">Teamene </w:t>
      </w:r>
      <w:r w:rsidR="0007507E">
        <w:t>inkluderer blant annet</w:t>
      </w:r>
      <w:r>
        <w:t xml:space="preserve"> </w:t>
      </w:r>
      <w:r w:rsidR="00460B67">
        <w:t>lege</w:t>
      </w:r>
      <w:r w:rsidR="00047B8D">
        <w:t>, avansert klinisk allmennsykepleier</w:t>
      </w:r>
      <w:r w:rsidR="00660508">
        <w:t xml:space="preserve"> og fysioterapeut</w:t>
      </w:r>
      <w:r w:rsidR="00B64AC4">
        <w:t>.</w:t>
      </w:r>
      <w:r w:rsidR="00BC52EB">
        <w:t xml:space="preserve"> </w:t>
      </w:r>
      <w:r w:rsidRPr="00FF70EA">
        <w:rPr>
          <w:lang w:val="nb"/>
        </w:rPr>
        <w:t>De tverrfaglige teamene (MDT-multidiciplinary Teams) jobber for å sikre at</w:t>
      </w:r>
      <w:r w:rsidR="00D1381B">
        <w:rPr>
          <w:lang w:val="nb"/>
        </w:rPr>
        <w:t xml:space="preserve"> innbyggerne</w:t>
      </w:r>
      <w:r w:rsidRPr="00FF70EA">
        <w:rPr>
          <w:lang w:val="nb"/>
        </w:rPr>
        <w:t xml:space="preserve"> får riktig oppfølging fra riktig helsepersonell, ledet av fastlegen og støttet av praksisteamet. Formålet er mer tid til å følge opp </w:t>
      </w:r>
      <w:r w:rsidR="00C211C7">
        <w:rPr>
          <w:lang w:val="nb"/>
        </w:rPr>
        <w:t>pasienter</w:t>
      </w:r>
      <w:r w:rsidRPr="00FF70EA">
        <w:rPr>
          <w:lang w:val="nb"/>
        </w:rPr>
        <w:t xml:space="preserve"> med komplekse medisinske behov. Gjennom utvidelsen av MDT-ene og fokus på fastlegens rolle, er målet at bærekraften til allmennlegeteamene blir bedre.</w:t>
      </w:r>
    </w:p>
    <w:p w14:paraId="358A05C3" w14:textId="2988CEDE" w:rsidR="00562AAD" w:rsidRDefault="002136DC" w:rsidP="008A0D31">
      <w:pPr>
        <w:spacing w:before="240"/>
        <w:jc w:val="both"/>
      </w:pPr>
      <w:r>
        <w:rPr>
          <w:lang w:val="nb"/>
        </w:rPr>
        <w:t xml:space="preserve">I </w:t>
      </w:r>
      <w:r w:rsidR="00C3579A">
        <w:rPr>
          <w:lang w:val="nb"/>
        </w:rPr>
        <w:t>følge d</w:t>
      </w:r>
      <w:r w:rsidR="00C3579A" w:rsidRPr="005F5FA6">
        <w:rPr>
          <w:lang w:val="nb"/>
        </w:rPr>
        <w:t xml:space="preserve">e faglige myndighetene i Skottland </w:t>
      </w:r>
      <w:r w:rsidR="00C3579A">
        <w:rPr>
          <w:lang w:val="nb"/>
        </w:rPr>
        <w:t>har e</w:t>
      </w:r>
      <w:r w:rsidR="00C3579A" w:rsidRPr="00FF70EA">
        <w:rPr>
          <w:lang w:val="nb"/>
        </w:rPr>
        <w:t xml:space="preserve">ndringene i tjenestene </w:t>
      </w:r>
      <w:r w:rsidR="00C3579A">
        <w:rPr>
          <w:lang w:val="nb"/>
        </w:rPr>
        <w:t xml:space="preserve">så langt </w:t>
      </w:r>
      <w:r w:rsidR="00C3579A" w:rsidRPr="00FF70EA">
        <w:rPr>
          <w:lang w:val="nb"/>
        </w:rPr>
        <w:t>inkludert</w:t>
      </w:r>
      <w:r w:rsidR="000F4DDB">
        <w:rPr>
          <w:lang w:val="nb"/>
        </w:rPr>
        <w:t xml:space="preserve"> e</w:t>
      </w:r>
      <w:r w:rsidR="00E27FF2" w:rsidRPr="00F81081">
        <w:rPr>
          <w:iCs/>
          <w:noProof/>
        </w:rPr>
        <w:t xml:space="preserve">ndring </w:t>
      </w:r>
      <w:r w:rsidR="00AA3644" w:rsidRPr="00F81081">
        <w:rPr>
          <w:iCs/>
          <w:noProof/>
        </w:rPr>
        <w:t>i vaksinasjon</w:t>
      </w:r>
      <w:r w:rsidR="000F4DDB">
        <w:rPr>
          <w:iCs/>
          <w:noProof/>
        </w:rPr>
        <w:t>stilbud</w:t>
      </w:r>
      <w:r w:rsidR="00AD36AD">
        <w:rPr>
          <w:iCs/>
          <w:noProof/>
        </w:rPr>
        <w:t>, mer effektiv medikamentell be</w:t>
      </w:r>
      <w:r w:rsidR="00D738E7">
        <w:rPr>
          <w:iCs/>
          <w:noProof/>
        </w:rPr>
        <w:t>h</w:t>
      </w:r>
      <w:r w:rsidR="00AD36AD">
        <w:rPr>
          <w:iCs/>
          <w:noProof/>
        </w:rPr>
        <w:t>andling og gjennomgang av medisinliste</w:t>
      </w:r>
      <w:r w:rsidR="00063A6D">
        <w:rPr>
          <w:iCs/>
          <w:noProof/>
        </w:rPr>
        <w:t>, sykepleiertjenester for bl</w:t>
      </w:r>
      <w:r w:rsidR="00AE69CE" w:rsidRPr="00F81081">
        <w:rPr>
          <w:iCs/>
          <w:noProof/>
        </w:rPr>
        <w:t>ant annet sårbehandling og kroniske sykdommer</w:t>
      </w:r>
      <w:r w:rsidR="00063A6D">
        <w:rPr>
          <w:iCs/>
          <w:noProof/>
        </w:rPr>
        <w:t xml:space="preserve">, mer </w:t>
      </w:r>
      <w:r w:rsidR="00F03B72" w:rsidRPr="00F81081">
        <w:rPr>
          <w:iCs/>
          <w:noProof/>
        </w:rPr>
        <w:t>akutte omsorgstjenester</w:t>
      </w:r>
      <w:r w:rsidR="00063A6D">
        <w:rPr>
          <w:iCs/>
          <w:noProof/>
        </w:rPr>
        <w:t xml:space="preserve"> med </w:t>
      </w:r>
      <w:r w:rsidR="00F03B72" w:rsidRPr="00F81081">
        <w:rPr>
          <w:iCs/>
          <w:noProof/>
        </w:rPr>
        <w:t>støtte fra avansert sykepleier (ANP) i</w:t>
      </w:r>
      <w:r w:rsidR="00F41DAB">
        <w:rPr>
          <w:iCs/>
          <w:noProof/>
        </w:rPr>
        <w:t xml:space="preserve"> forbindelse med</w:t>
      </w:r>
      <w:r w:rsidR="00F03B72" w:rsidRPr="00F81081">
        <w:rPr>
          <w:iCs/>
          <w:noProof/>
        </w:rPr>
        <w:t xml:space="preserve"> dagbehandling, hjemmebesøk, omsorgsboliger</w:t>
      </w:r>
      <w:r w:rsidR="00063A6D">
        <w:rPr>
          <w:iCs/>
          <w:noProof/>
        </w:rPr>
        <w:t xml:space="preserve"> og u</w:t>
      </w:r>
      <w:r w:rsidR="00F81081" w:rsidRPr="00F81081">
        <w:rPr>
          <w:iCs/>
          <w:noProof/>
        </w:rPr>
        <w:t>tvidelse av fysioterapitjenester og kommunale psykiske helsetjenester</w:t>
      </w:r>
      <w:r w:rsidR="005956C8">
        <w:rPr>
          <w:iCs/>
          <w:noProof/>
        </w:rPr>
        <w:t xml:space="preserve"> </w:t>
      </w:r>
      <w:r w:rsidR="00BE43A2">
        <w:rPr>
          <w:iCs/>
          <w:noProof/>
        </w:rPr>
        <w:fldChar w:fldCharType="begin"/>
      </w:r>
      <w:r w:rsidR="00235862">
        <w:rPr>
          <w:iCs/>
          <w:noProof/>
        </w:rPr>
        <w:instrText xml:space="preserve"> ADDIN EN.CITE &lt;EndNote&gt;&lt;Cite&gt;&lt;Author&gt;NHS Scotland&lt;/Author&gt;&lt;Year&gt;2022&lt;/Year&gt;&lt;RecNum&gt;525&lt;/RecNum&gt;&lt;DisplayText&gt;(NHS Scotland, 2022a, 2022b)&lt;/DisplayText&gt;&lt;record&gt;&lt;rec-number&gt;525&lt;/rec-number&gt;&lt;foreign-keys&gt;&lt;key app="EN" db-id="95tpr2tp6r9xwoea9rb5wdsz5ds5xeddteew" timestamp="1680069511"&gt;525&lt;/key&gt;&lt;/foreign-keys&gt;&lt;ref-type name="Web Page"&gt;12&lt;/ref-type&gt;&lt;contributors&gt;&lt;authors&gt;&lt;author&gt;NHS Scotland,&lt;/author&gt;&lt;/authors&gt;&lt;/contributors&gt;&lt;titles&gt;&lt;title&gt;NHS Recovery Plan: annual progress update&lt;/title&gt;&lt;/titles&gt;&lt;number&gt;16. mars 2023&lt;/number&gt;&lt;dates&gt;&lt;year&gt;2022&lt;/year&gt;&lt;pub-dates&gt;&lt;date&gt;4. october 2022&lt;/date&gt;&lt;/pub-dates&gt;&lt;/dates&gt;&lt;publisher&gt;Scottish Government&lt;/publisher&gt;&lt;urls&gt;&lt;/urls&gt;&lt;/record&gt;&lt;/Cite&gt;&lt;Cite&gt;&lt;Author&gt;NHS Scotland&lt;/Author&gt;&lt;Year&gt;2022&lt;/Year&gt;&lt;RecNum&gt;688&lt;/RecNum&gt;&lt;record&gt;&lt;rec-number&gt;688&lt;/rec-number&gt;&lt;foreign-keys&gt;&lt;key app="EN" db-id="95tpr2tp6r9xwoea9rb5wdsz5ds5xeddteew" timestamp="1680069511"&gt;688&lt;/key&gt;&lt;/foreign-keys&gt;&lt;ref-type name="Report"&gt;27&lt;/ref-type&gt;&lt;contributors&gt;&lt;authors&gt;&lt;author&gt;NHS Scotland,&lt;/author&gt;&lt;/authors&gt;&lt;tertiary-authors&gt;&lt;author&gt;The Scottish Government,&lt;/author&gt;&lt;/tertiary-authors&gt;&lt;/contributors&gt;&lt;titles&gt;&lt;title&gt;Realistic Medicine: A Fair and Sustainable Future - Chief Medical Officer for Scotland Annual Report 2021-2022&lt;/title&gt;&lt;/titles&gt;&lt;dates&gt;&lt;year&gt;2022&lt;/year&gt;&lt;/dates&gt;&lt;pub-location&gt;Edinburgh&lt;/pub-location&gt;&lt;publisher&gt;NHS Scotland&lt;/publisher&gt;&lt;urls&gt;&lt;/urls&gt;&lt;/record&gt;&lt;/Cite&gt;&lt;/EndNote&gt;</w:instrText>
      </w:r>
      <w:r w:rsidR="00BE43A2">
        <w:rPr>
          <w:iCs/>
          <w:noProof/>
        </w:rPr>
        <w:fldChar w:fldCharType="separate"/>
      </w:r>
      <w:r w:rsidR="00235862">
        <w:rPr>
          <w:iCs/>
          <w:noProof/>
        </w:rPr>
        <w:t>(NHS Scotland, 2022a, 2022b)</w:t>
      </w:r>
      <w:r w:rsidR="00BE43A2">
        <w:rPr>
          <w:iCs/>
          <w:noProof/>
        </w:rPr>
        <w:fldChar w:fldCharType="end"/>
      </w:r>
      <w:r w:rsidR="00823B4F">
        <w:rPr>
          <w:iCs/>
          <w:noProof/>
        </w:rPr>
        <w:t>.</w:t>
      </w:r>
    </w:p>
    <w:p w14:paraId="2D390886" w14:textId="575AF093" w:rsidR="00D9107F" w:rsidRDefault="00C3579A" w:rsidP="00531992">
      <w:pPr>
        <w:spacing w:after="0"/>
        <w:jc w:val="both"/>
      </w:pPr>
      <w:r w:rsidRPr="00FF70EA">
        <w:t>Fra 2018 til 2021 økte antall personell knyttet til tverrfaglige primærhelseteam i Skottland</w:t>
      </w:r>
      <w:r>
        <w:t>,</w:t>
      </w:r>
      <w:r w:rsidRPr="00FF70EA">
        <w:t xml:space="preserve"> fra 0,3 M</w:t>
      </w:r>
      <w:r w:rsidR="00283650">
        <w:t>D</w:t>
      </w:r>
      <w:r w:rsidRPr="00FF70EA">
        <w:t xml:space="preserve">T-stillinger per praksis (heltid) i 2018 til 2,69 i mars 2021. </w:t>
      </w:r>
      <w:r w:rsidRPr="00310439">
        <w:t xml:space="preserve">Det er også etablert kvalitetsklynger, såkalte </w:t>
      </w:r>
      <w:r w:rsidR="00D9107F">
        <w:t>«</w:t>
      </w:r>
      <w:r w:rsidRPr="00310439">
        <w:t>GP clusters</w:t>
      </w:r>
      <w:r w:rsidR="00D9107F">
        <w:t>»</w:t>
      </w:r>
      <w:r w:rsidRPr="00310439">
        <w:t>. Hver av de 147 klyngene med legesamarbeid har en kvalitetsleder og hver praksis/legekontor har en kvalitetsleder.</w:t>
      </w:r>
    </w:p>
    <w:p w14:paraId="429E9037" w14:textId="22302CF2" w:rsidR="0074384C" w:rsidRPr="002702BB" w:rsidRDefault="00C3579A" w:rsidP="0031772A">
      <w:pPr>
        <w:spacing w:before="240" w:after="0"/>
        <w:jc w:val="both"/>
        <w:rPr>
          <w:lang w:val="nb"/>
        </w:rPr>
      </w:pPr>
      <w:r>
        <w:t>Foreløpig er</w:t>
      </w:r>
      <w:r w:rsidR="00FF55EC">
        <w:t xml:space="preserve"> det</w:t>
      </w:r>
      <w:r>
        <w:t xml:space="preserve"> ikke </w:t>
      </w:r>
      <w:r w:rsidR="00562AAD">
        <w:t xml:space="preserve">gjennomført </w:t>
      </w:r>
      <w:r>
        <w:t>evalueringe</w:t>
      </w:r>
      <w:r w:rsidR="00A31B8A">
        <w:t>r</w:t>
      </w:r>
      <w:r>
        <w:t xml:space="preserve"> av transformasjonen i primærhelsetjenesten i Skottland</w:t>
      </w:r>
      <w:r w:rsidR="001133EB">
        <w:t>. E</w:t>
      </w:r>
      <w:r>
        <w:t xml:space="preserve">n kvalitativ </w:t>
      </w:r>
      <w:r w:rsidR="001133EB">
        <w:t>studie</w:t>
      </w:r>
      <w:r>
        <w:t xml:space="preserve"> hvor ledere i tjenesten og kvalitetsledere i kvalitetsklyngene var intervjuet</w:t>
      </w:r>
      <w:r w:rsidR="00E311B2">
        <w:t>,</w:t>
      </w:r>
      <w:r w:rsidR="001133EB">
        <w:t xml:space="preserve"> viser </w:t>
      </w:r>
      <w:r w:rsidR="00EB5DB3">
        <w:t>m</w:t>
      </w:r>
      <w:r>
        <w:t>anglende p</w:t>
      </w:r>
      <w:r w:rsidRPr="00026895">
        <w:t>rogresjon</w:t>
      </w:r>
      <w:r>
        <w:t xml:space="preserve"> </w:t>
      </w:r>
      <w:r w:rsidR="00EB5DB3">
        <w:t xml:space="preserve">som </w:t>
      </w:r>
      <w:r w:rsidRPr="00026895">
        <w:t xml:space="preserve">delvis </w:t>
      </w:r>
      <w:r w:rsidR="00EB5DB3">
        <w:t>skyldes</w:t>
      </w:r>
      <w:r w:rsidR="00EB5DB3" w:rsidRPr="00026895">
        <w:t xml:space="preserve"> </w:t>
      </w:r>
      <w:r w:rsidRPr="00026895">
        <w:t xml:space="preserve">pandemien </w:t>
      </w:r>
      <w:bookmarkStart w:id="3070" w:name="_Hlk130485963"/>
      <w:r>
        <w:fldChar w:fldCharType="begin"/>
      </w:r>
      <w:r w:rsidR="004654FD">
        <w:instrText xml:space="preserve"> ADDIN EN.CITE &lt;EndNote&gt;&lt;Cite&gt;&lt;Author&gt;Donaghy&lt;/Author&gt;&lt;Year&gt;2023&lt;/Year&gt;&lt;RecNum&gt;656&lt;/RecNum&gt;&lt;DisplayText&gt;(Donaghy et al., 2023)&lt;/DisplayText&gt;&lt;record&gt;&lt;rec-number&gt;656&lt;/rec-number&gt;&lt;foreign-keys&gt;&lt;key app="EN" db-id="95tpr2tp6r9xwoea9rb5wdsz5ds5xeddteew" timestamp="1680069511"&gt;656&lt;/key&gt;&lt;/foreign-keys&gt;&lt;ref-type name="Journal Article"&gt;17&lt;/ref-type&gt;&lt;contributors&gt;&lt;authors&gt;&lt;author&gt;Donaghy, Eddie&lt;/author&gt;&lt;author&gt;Huang, Huayi&lt;/author&gt;&lt;author&gt;Henderson, David&lt;/author&gt;&lt;author&gt;Wang, Harry H. X.&lt;/author&gt;&lt;author&gt;Guthrie, Bruce&lt;/author&gt;&lt;author&gt;Thompson, Andrew&lt;/author&gt;&lt;author&gt;Mercer, Stewart W.&lt;/author&gt;&lt;/authors&gt;&lt;/contributors&gt;&lt;titles&gt;&lt;title&gt;Primary care transformation in Scotland: qualitative evaluation of the views of national senior stakeholders and cluster quality leads&lt;/title&gt;&lt;secondary-title&gt;British Journal of General Practice&lt;/secondary-title&gt;&lt;/titles&gt;&lt;pages&gt;e231&lt;/pages&gt;&lt;volume&gt;73&lt;/volume&gt;&lt;number&gt;728&lt;/number&gt;&lt;dates&gt;&lt;year&gt;2023&lt;/year&gt;&lt;/dates&gt;&lt;urls&gt;&lt;/urls&gt;&lt;/record&gt;&lt;/Cite&gt;&lt;/EndNote&gt;</w:instrText>
      </w:r>
      <w:r>
        <w:fldChar w:fldCharType="separate"/>
      </w:r>
      <w:r>
        <w:rPr>
          <w:noProof/>
        </w:rPr>
        <w:t>(Donaghy et al., 2023)</w:t>
      </w:r>
      <w:r>
        <w:fldChar w:fldCharType="end"/>
      </w:r>
      <w:bookmarkEnd w:id="3070"/>
      <w:r w:rsidRPr="00026895">
        <w:t xml:space="preserve">. </w:t>
      </w:r>
      <w:r w:rsidR="00BD2228">
        <w:t>Videre</w:t>
      </w:r>
      <w:r>
        <w:t xml:space="preserve"> </w:t>
      </w:r>
      <w:r w:rsidRPr="00E24CDF">
        <w:rPr>
          <w:lang w:val="nb"/>
        </w:rPr>
        <w:t xml:space="preserve">opplevde </w:t>
      </w:r>
      <w:r>
        <w:rPr>
          <w:lang w:val="nb"/>
        </w:rPr>
        <w:t xml:space="preserve">ikke </w:t>
      </w:r>
      <w:r w:rsidR="00BD2228">
        <w:rPr>
          <w:lang w:val="nb"/>
        </w:rPr>
        <w:t xml:space="preserve">fastlegene </w:t>
      </w:r>
      <w:r w:rsidR="00D145F9">
        <w:rPr>
          <w:lang w:val="nb"/>
        </w:rPr>
        <w:t xml:space="preserve">noen betydelig reduksjon i </w:t>
      </w:r>
      <w:r>
        <w:rPr>
          <w:lang w:val="nb"/>
        </w:rPr>
        <w:t>arbeids</w:t>
      </w:r>
      <w:r>
        <w:rPr>
          <w:lang w:val="nb"/>
        </w:rPr>
        <w:softHyphen/>
        <w:t>belastningen</w:t>
      </w:r>
      <w:r w:rsidRPr="00E24CDF">
        <w:rPr>
          <w:lang w:val="nb"/>
        </w:rPr>
        <w:t xml:space="preserve">, og heller ikke at omsorgen for pasienter med sammensatte behov var blitt bedre. Mangel på tid og dårlig utviklede relasjoner </w:t>
      </w:r>
      <w:r w:rsidR="00864109">
        <w:rPr>
          <w:lang w:val="nb"/>
        </w:rPr>
        <w:t>ble pekt på som</w:t>
      </w:r>
      <w:r w:rsidR="00530C47">
        <w:rPr>
          <w:lang w:val="nb"/>
        </w:rPr>
        <w:t xml:space="preserve"> </w:t>
      </w:r>
      <w:r w:rsidRPr="00E24CDF">
        <w:rPr>
          <w:lang w:val="nb"/>
        </w:rPr>
        <w:t xml:space="preserve">barrierer, </w:t>
      </w:r>
      <w:r>
        <w:rPr>
          <w:lang w:val="nb"/>
        </w:rPr>
        <w:t xml:space="preserve">i tillegg </w:t>
      </w:r>
      <w:r w:rsidR="00864109">
        <w:rPr>
          <w:lang w:val="nb"/>
        </w:rPr>
        <w:t>til</w:t>
      </w:r>
      <w:r>
        <w:rPr>
          <w:lang w:val="nb"/>
        </w:rPr>
        <w:t xml:space="preserve"> </w:t>
      </w:r>
      <w:r w:rsidRPr="00E24CDF">
        <w:rPr>
          <w:lang w:val="nb"/>
        </w:rPr>
        <w:t xml:space="preserve">mangel på relevante </w:t>
      </w:r>
      <w:r>
        <w:rPr>
          <w:lang w:val="nb"/>
        </w:rPr>
        <w:t>data fra tjen</w:t>
      </w:r>
      <w:r w:rsidR="00531992">
        <w:rPr>
          <w:lang w:val="nb"/>
        </w:rPr>
        <w:t>e</w:t>
      </w:r>
      <w:r>
        <w:rPr>
          <w:lang w:val="nb"/>
        </w:rPr>
        <w:t xml:space="preserve">stene, og at det var behov for ekstra </w:t>
      </w:r>
      <w:r w:rsidRPr="00E24CDF">
        <w:rPr>
          <w:lang w:val="nb"/>
        </w:rPr>
        <w:t>støtte</w:t>
      </w:r>
      <w:r w:rsidR="007575E4">
        <w:rPr>
          <w:lang w:val="nb"/>
        </w:rPr>
        <w:t xml:space="preserve"> </w:t>
      </w:r>
      <w:r w:rsidRPr="00E24CDF">
        <w:rPr>
          <w:lang w:val="nb"/>
        </w:rPr>
        <w:t>(inkludert veiledning, administrasjon</w:t>
      </w:r>
      <w:r w:rsidR="00A50437">
        <w:rPr>
          <w:lang w:val="nb"/>
        </w:rPr>
        <w:t xml:space="preserve"> og</w:t>
      </w:r>
      <w:r w:rsidRPr="00E24CDF">
        <w:rPr>
          <w:lang w:val="nb"/>
        </w:rPr>
        <w:t xml:space="preserve"> opplæring</w:t>
      </w:r>
      <w:r w:rsidR="0019645E">
        <w:rPr>
          <w:lang w:val="nb"/>
        </w:rPr>
        <w:t>).</w:t>
      </w:r>
    </w:p>
    <w:p w14:paraId="5ED11D9F" w14:textId="7E3A1459" w:rsidR="00770B08" w:rsidRDefault="375B265D" w:rsidP="00775632">
      <w:pPr>
        <w:pStyle w:val="Overskrift3"/>
      </w:pPr>
      <w:bookmarkStart w:id="3071" w:name="_Toc128742024"/>
      <w:bookmarkStart w:id="3072" w:name="_Toc128744619"/>
      <w:bookmarkStart w:id="3073" w:name="_Toc128744838"/>
      <w:bookmarkStart w:id="3074" w:name="_Toc129630342"/>
      <w:bookmarkStart w:id="3075" w:name="_Toc130763843"/>
      <w:bookmarkStart w:id="3076" w:name="_Toc130766738"/>
      <w:bookmarkStart w:id="3077" w:name="_Toc130932139"/>
      <w:bookmarkStart w:id="3078" w:name="_Toc130934430"/>
      <w:bookmarkStart w:id="3079" w:name="_Toc130983536"/>
      <w:bookmarkStart w:id="3080" w:name="_Toc130983885"/>
      <w:bookmarkStart w:id="3081" w:name="_Toc131062184"/>
      <w:bookmarkStart w:id="3082" w:name="_Toc131062438"/>
      <w:bookmarkStart w:id="3083" w:name="_Toc131062699"/>
      <w:bookmarkStart w:id="3084" w:name="_Toc131062952"/>
      <w:bookmarkStart w:id="3085" w:name="_Toc131063735"/>
      <w:bookmarkStart w:id="3086" w:name="_Toc131064145"/>
      <w:bookmarkStart w:id="3087" w:name="_Toc131238467"/>
      <w:bookmarkStart w:id="3088" w:name="_Toc131279498"/>
      <w:bookmarkStart w:id="3089" w:name="_Toc131286910"/>
      <w:bookmarkStart w:id="3090" w:name="_Toc131281320"/>
      <w:bookmarkStart w:id="3091" w:name="_Toc131317860"/>
      <w:bookmarkStart w:id="3092" w:name="_Toc132537009"/>
      <w:r>
        <w:lastRenderedPageBreak/>
        <w:t xml:space="preserve">Kunnskapsgrunnlag </w:t>
      </w:r>
      <w:r w:rsidR="00C96CEA">
        <w:t xml:space="preserve">om </w:t>
      </w:r>
      <w:bookmarkEnd w:id="3071"/>
      <w:bookmarkEnd w:id="3072"/>
      <w:bookmarkEnd w:id="3073"/>
      <w:bookmarkEnd w:id="3074"/>
      <w:r w:rsidR="00411334">
        <w:t>o</w:t>
      </w:r>
      <w:r>
        <w:t>ppgave</w:t>
      </w:r>
      <w:r w:rsidR="3E2A4A41">
        <w:t>deling</w:t>
      </w:r>
      <w:r w:rsidR="00D772EF">
        <w:t xml:space="preserve"> i primærhelsetjenesten</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6A225BB4" w14:textId="77777777" w:rsidR="00D9107F" w:rsidRDefault="1DD2BF86" w:rsidP="002263C2">
      <w:pPr>
        <w:jc w:val="both"/>
      </w:pPr>
      <w:r>
        <w:t>Oppgavedeling</w:t>
      </w:r>
      <w:r w:rsidR="375B265D">
        <w:t xml:space="preserve"> er ansett som en nyttig tilnærming ved knapphet på helsepersonell, og strategien </w:t>
      </w:r>
      <w:r w:rsidR="007220CF">
        <w:t>er</w:t>
      </w:r>
      <w:r w:rsidR="375B265D">
        <w:t xml:space="preserve"> benyttet innen en rekke sykdomsgrupper og både lav- og høyinntekstland, for å øke tilgang, effektivitet og kvalitet på helsetjenesten</w:t>
      </w:r>
      <w:r w:rsidR="2BF3FBBF">
        <w:t xml:space="preserve"> </w:t>
      </w:r>
      <w:r w:rsidR="00BE43A2">
        <w:fldChar w:fldCharType="begin"/>
      </w:r>
      <w:r w:rsidR="00A27571">
        <w:instrText xml:space="preserve"> ADDIN EN.CITE &lt;EndNote&gt;&lt;Cite&gt;&lt;Author&gt;WHO&lt;/Author&gt;&lt;Year&gt;2007&lt;/Year&gt;&lt;RecNum&gt;814&lt;/RecNum&gt;&lt;DisplayText&gt;(WHO, 2007)&lt;/DisplayText&gt;&lt;record&gt;&lt;rec-number&gt;814&lt;/rec-number&gt;&lt;foreign-keys&gt;&lt;key app="EN" db-id="95tpr2tp6r9xwoea9rb5wdsz5ds5xeddteew" timestamp="1680069511"&gt;814&lt;/key&gt;&lt;/foreign-keys&gt;&lt;ref-type name="Report"&gt;27&lt;/ref-type&gt;&lt;contributors&gt;&lt;authors&gt;&lt;author&gt;WHO&lt;/author&gt;&lt;/authors&gt;&lt;/contributors&gt;&lt;titles&gt;&lt;title&gt;Task shifting: rational redistribution of tasks among health workforce teams&lt;/title&gt;&lt;secondary-title&gt;Global Recommendations and Guidelines&lt;/secondary-title&gt;&lt;/titles&gt;&lt;dates&gt;&lt;year&gt;2007&lt;/year&gt;&lt;/dates&gt;&lt;pub-location&gt;Genève&lt;/pub-location&gt;&lt;publisher&gt;World Health Organization&lt;/publisher&gt;&lt;urls&gt;&lt;/urls&gt;&lt;/record&gt;&lt;/Cite&gt;&lt;/EndNote&gt;</w:instrText>
      </w:r>
      <w:r w:rsidR="00BE43A2">
        <w:fldChar w:fldCharType="separate"/>
      </w:r>
      <w:r w:rsidR="00BE43A2">
        <w:rPr>
          <w:noProof/>
        </w:rPr>
        <w:t>(WHO, 2007)</w:t>
      </w:r>
      <w:r w:rsidR="00BE43A2">
        <w:fldChar w:fldCharType="end"/>
      </w:r>
      <w:r w:rsidR="00DB4236">
        <w:t>.</w:t>
      </w:r>
      <w:r w:rsidR="375B265D">
        <w:t xml:space="preserve"> I norsk kontekst pekes det på at flere, eldre, og sykere pasienter og nye oppgaver til den kommunale helse- og omsorgstjenesten har økt </w:t>
      </w:r>
      <w:r w:rsidR="00800A37">
        <w:t>og vil øke</w:t>
      </w:r>
      <w:r w:rsidR="375B265D">
        <w:t xml:space="preserve"> behovet for oppgave</w:t>
      </w:r>
      <w:r w:rsidR="00800A37">
        <w:t>deling</w:t>
      </w:r>
      <w:r w:rsidR="375B265D">
        <w:t xml:space="preserve"> i primærhelsetjenesten</w:t>
      </w:r>
      <w:r w:rsidR="0E1DF713" w:rsidRPr="5CBE253E">
        <w:t xml:space="preserve"> </w:t>
      </w:r>
      <w:r w:rsidR="00394DD1">
        <w:fldChar w:fldCharType="begin"/>
      </w:r>
      <w:r w:rsidR="00A27571">
        <w:instrText xml:space="preserve"> ADDIN EN.CITE &lt;EndNote&gt;&lt;Cite&gt;&lt;Author&gt;Melby&lt;/Author&gt;&lt;Year&gt;2022&lt;/Year&gt;&lt;RecNum&gt;280&lt;/RecNum&gt;&lt;DisplayText&gt;(Melby et al., 2022)&lt;/DisplayText&gt;&lt;record&gt;&lt;rec-number&gt;280&lt;/rec-number&gt;&lt;foreign-keys&gt;&lt;key app="EN" db-id="95tpr2tp6r9xwoea9rb5wdsz5ds5xeddteew" timestamp="1680069511"&gt;280&lt;/key&gt;&lt;/foreign-keys&gt;&lt;ref-type name="Report"&gt;27&lt;/ref-type&gt;&lt;contributors&gt;&lt;authors&gt;&lt;author&gt;Line Melby&lt;/author&gt;&lt;author&gt;Mari Gunnes&lt;/author&gt;&lt;author&gt;Heidi Haukelien&lt;/author&gt;&lt;author&gt;Aud Obstfelder&lt;/author&gt;&lt;/authors&gt;&lt;tertiary-authors&gt;&lt;author&gt;SINTEF&lt;/author&gt;&lt;/tertiary-authors&gt;&lt;/contributors&gt;&lt;titles&gt;&lt;title&gt;Frigjøring av sykepleierkapasitet gjennom ny ansvars-/oppgavedeling og bruk av teknologi&lt;/title&gt;&lt;/titles&gt;&lt;number&gt;2022:00211 - Åpen&lt;/number&gt;&lt;dates&gt;&lt;year&gt;2022&lt;/year&gt;&lt;/dates&gt;&lt;pub-location&gt;Trondheim&lt;/pub-location&gt;&lt;urls&gt;&lt;/urls&gt;&lt;/record&gt;&lt;/Cite&gt;&lt;/EndNote&gt;</w:instrText>
      </w:r>
      <w:r w:rsidR="00394DD1">
        <w:fldChar w:fldCharType="separate"/>
      </w:r>
      <w:r w:rsidR="00394DD1">
        <w:rPr>
          <w:noProof/>
        </w:rPr>
        <w:t>(Melby et al., 2022)</w:t>
      </w:r>
      <w:r w:rsidR="00394DD1">
        <w:fldChar w:fldCharType="end"/>
      </w:r>
      <w:r w:rsidR="375B265D">
        <w:t>.</w:t>
      </w:r>
    </w:p>
    <w:p w14:paraId="7BAFA231" w14:textId="77777777" w:rsidR="00D9107F" w:rsidRDefault="375B265D" w:rsidP="0087359E">
      <w:pPr>
        <w:jc w:val="both"/>
      </w:pPr>
      <w:r>
        <w:t xml:space="preserve">Omfanget av vertikal </w:t>
      </w:r>
      <w:r w:rsidR="1DD2BF86">
        <w:t>oppgavedeling</w:t>
      </w:r>
      <w:r>
        <w:t xml:space="preserve"> i primærhelsetjenesten varierer </w:t>
      </w:r>
      <w:r w:rsidR="00086BAA">
        <w:t>mye</w:t>
      </w:r>
      <w:r>
        <w:t xml:space="preserve"> mellom vestlige land. Det er også stor variasjon i om</w:t>
      </w:r>
      <w:r w:rsidR="008C3141">
        <w:t>,</w:t>
      </w:r>
      <w:r>
        <w:t xml:space="preserve"> og i hvilken grad</w:t>
      </w:r>
      <w:r w:rsidR="008C3141">
        <w:t>,</w:t>
      </w:r>
      <w:r>
        <w:t xml:space="preserve"> landene har gjennomført tilhørende utdanningsreformer</w:t>
      </w:r>
      <w:r w:rsidR="00240ECB">
        <w:t>,</w:t>
      </w:r>
      <w:r>
        <w:t xml:space="preserve"> og foretatt lovreguleringer som tilrettelegger for utvidelse av ansvar og oppgaver for annet helsepersonell. En litteraturgjennomgang fra 2016 viste at sykepleiere i Finland, Irland, Nederland og Storbritannia utfører en rekke oppgaver som tidligere kun ble utført av leger, mens omfordeling av oppgaver fra lege til sykepleier skjer i noe omfang i land som Sverige, Danmark, Belgia og Spania, og i liten grad i Norge</w:t>
      </w:r>
      <w:r w:rsidR="001A5744">
        <w:t xml:space="preserve"> og</w:t>
      </w:r>
      <w:r>
        <w:t xml:space="preserve"> Tyskland </w:t>
      </w:r>
      <w:r w:rsidR="00394DD1">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EN.CITE.DATA </w:instrText>
      </w:r>
      <w:r w:rsidR="004654FD">
        <w:fldChar w:fldCharType="end"/>
      </w:r>
      <w:r w:rsidR="00394DD1">
        <w:fldChar w:fldCharType="separate"/>
      </w:r>
      <w:r w:rsidR="004654FD">
        <w:rPr>
          <w:noProof/>
        </w:rPr>
        <w:t>(Maier et al., 2016)</w:t>
      </w:r>
      <w:r w:rsidR="00394DD1">
        <w:fldChar w:fldCharType="end"/>
      </w:r>
      <w:r>
        <w:t>.</w:t>
      </w:r>
    </w:p>
    <w:p w14:paraId="681EE105" w14:textId="77777777" w:rsidR="00D9107F" w:rsidRDefault="1DD2BF86" w:rsidP="00775632">
      <w:pPr>
        <w:pStyle w:val="Overskrift4"/>
      </w:pPr>
      <w:bookmarkStart w:id="3093" w:name="_Toc130983537"/>
      <w:bookmarkStart w:id="3094" w:name="_Toc130983886"/>
      <w:bookmarkStart w:id="3095" w:name="_Toc131238468"/>
      <w:bookmarkStart w:id="3096" w:name="_Toc131279499"/>
      <w:bookmarkStart w:id="3097" w:name="_Toc131286911"/>
      <w:bookmarkStart w:id="3098" w:name="_Toc131281321"/>
      <w:bookmarkStart w:id="3099" w:name="_Toc131317861"/>
      <w:r>
        <w:t>Oppgavedeling</w:t>
      </w:r>
      <w:r w:rsidR="375B265D">
        <w:t>: hvilke helseprofesjoner og hvilke oppgaver</w:t>
      </w:r>
      <w:bookmarkEnd w:id="3093"/>
      <w:bookmarkEnd w:id="3094"/>
      <w:bookmarkEnd w:id="3095"/>
      <w:bookmarkEnd w:id="3096"/>
      <w:bookmarkEnd w:id="3097"/>
      <w:bookmarkEnd w:id="3098"/>
      <w:bookmarkEnd w:id="3099"/>
    </w:p>
    <w:p w14:paraId="623059C9" w14:textId="77777777" w:rsidR="00D9107F" w:rsidRDefault="1DD2BF86" w:rsidP="00D9772E">
      <w:pPr>
        <w:jc w:val="both"/>
      </w:pPr>
      <w:r>
        <w:t>Oppgavedeling</w:t>
      </w:r>
      <w:r w:rsidR="375B265D">
        <w:t xml:space="preserve"> beskrives hovedsakelig i den internasjonale litteraturen som vertikal oppgaveforskyvning</w:t>
      </w:r>
      <w:r w:rsidR="00E773B7">
        <w:t>,</w:t>
      </w:r>
      <w:r w:rsidR="375B265D">
        <w:t xml:space="preserve"> fra lege til sykepleier med spesialisering. Tilsvarende er sykepleier den helseprofesjonen som oftest overtar arbeidsoppgaver fra legen i primærhelsetjenesten. I en ny paraplyoversikt om </w:t>
      </w:r>
      <w:r>
        <w:t>oppgavedeling</w:t>
      </w:r>
      <w:r w:rsidR="375B265D">
        <w:t xml:space="preserve"> i primærhelsetjenesten omhandler majoriteten av kunnskapsoppsummeringene sykepleiere, en st</w:t>
      </w:r>
      <w:r w:rsidR="0078029B">
        <w:t>or</w:t>
      </w:r>
      <w:r w:rsidR="375B265D">
        <w:t xml:space="preserve"> andel omfatter farmasøyter, mens et lite antall inkluderer andre helsepersonellgrupper</w:t>
      </w:r>
      <w:r w:rsidR="0078029B">
        <w:t>,</w:t>
      </w:r>
      <w:r w:rsidR="375B265D">
        <w:t xml:space="preserve"> som jordmødre. For sykepleiere omfatter overførte oppgaver oppfølging av pasienter med akutte og kroniske tilstander, som diabetes, hypertensjon, smertetilstander og sår, forebyggende og helsefremmende arbeid, og forskrivning av medikamenter ved bruk av algoritmer. Flere studier beskr</w:t>
      </w:r>
      <w:r w:rsidR="00605118">
        <w:t>iver</w:t>
      </w:r>
      <w:r w:rsidR="375B265D">
        <w:t xml:space="preserve"> at sykepleier utførte oppfølging og monitorering ved bruk av kliniske retningslinjer og validerte verktøy</w:t>
      </w:r>
      <w:r w:rsidR="4C48154A">
        <w:t xml:space="preserve"> </w:t>
      </w:r>
      <w:r w:rsidR="00394DD1">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 </w:instrText>
      </w:r>
      <w:r w:rsidR="004654FD">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EN.CITE.DATA </w:instrText>
      </w:r>
      <w:r w:rsidR="004654FD">
        <w:fldChar w:fldCharType="end"/>
      </w:r>
      <w:r w:rsidR="00394DD1">
        <w:fldChar w:fldCharType="separate"/>
      </w:r>
      <w:r w:rsidR="004654FD">
        <w:rPr>
          <w:noProof/>
        </w:rPr>
        <w:t>(Leong et al., 2021)</w:t>
      </w:r>
      <w:r w:rsidR="00394DD1">
        <w:fldChar w:fldCharType="end"/>
      </w:r>
      <w:r w:rsidR="375B265D">
        <w:t>.</w:t>
      </w:r>
    </w:p>
    <w:p w14:paraId="0B2DC3A2" w14:textId="77777777" w:rsidR="00D9107F" w:rsidRDefault="375B265D" w:rsidP="00D9772E">
      <w:pPr>
        <w:jc w:val="both"/>
      </w:pPr>
      <w:r>
        <w:t>Senter for omsorgsforskning oppsummerte i 2021 en rekke medisinskfaglige oppgaver delegert fra lege til sykepleier i land i Europa, USA og Canada</w:t>
      </w:r>
      <w:r w:rsidR="7BECDE22">
        <w:t>. F</w:t>
      </w:r>
      <w:r>
        <w:t xml:space="preserve">aktisk overføring av oppgaver </w:t>
      </w:r>
      <w:r w:rsidR="7BECDE22">
        <w:t xml:space="preserve">varierer </w:t>
      </w:r>
      <w:r>
        <w:t>likevel mye, også der oppgavene er formelt overført</w:t>
      </w:r>
      <w:r w:rsidR="300CEF95">
        <w:t xml:space="preserve"> </w:t>
      </w:r>
      <w:r w:rsidR="00394DD1">
        <w:fldChar w:fldCharType="begin"/>
      </w:r>
      <w:r w:rsidR="004654FD">
        <w:instrText xml:space="preserve"> ADDIN EN.CITE &lt;EndNote&gt;&lt;Cite&gt;&lt;Author&gt;Devik&lt;/Author&gt;&lt;Year&gt;2022&lt;/Year&gt;&lt;RecNum&gt;595&lt;/RecNum&gt;&lt;DisplayText&gt;(Devik et al., 2022)&lt;/DisplayText&gt;&lt;record&gt;&lt;rec-number&gt;595&lt;/rec-number&gt;&lt;foreign-keys&gt;&lt;key app="EN" db-id="95tpr2tp6r9xwoea9rb5wdsz5ds5xeddteew" timestamp="1680069511"&gt;595&lt;/key&gt;&lt;/foreign-keys&gt;&lt;ref-type name="Report"&gt;27&lt;/ref-type&gt;&lt;contributors&gt;&lt;authors&gt;&lt;author&gt;Devik, S.A.&lt;/author&gt;&lt;author&gt;Olsen, M.O.&lt;/author&gt;&lt;/authors&gt;&lt;tertiary-authors&gt;&lt;author&gt;Omsorgsbiblioteket&lt;/author&gt;&lt;/tertiary-authors&gt;&lt;/contributors&gt;&lt;titles&gt;&lt;title&gt;Oppgaveglidning i omsorgstjenestene : en hurtigoversikt over forskningslitteratur&lt;/title&gt;&lt;/titles&gt;&lt;number&gt;Oppsummering nr 29&lt;/number&gt;&lt;dates&gt;&lt;year&gt;2022&lt;/year&gt;&lt;/dates&gt;&lt;publisher&gt;Senter for omsorgsforskning&lt;/publisher&gt;&lt;urls&gt;&lt;/urls&gt;&lt;/record&gt;&lt;/Cite&gt;&lt;/EndNote&gt;</w:instrText>
      </w:r>
      <w:r w:rsidR="00394DD1">
        <w:fldChar w:fldCharType="separate"/>
      </w:r>
      <w:r w:rsidR="00856689">
        <w:rPr>
          <w:noProof/>
        </w:rPr>
        <w:t>(Devik et al., 2022)</w:t>
      </w:r>
      <w:r w:rsidR="00394DD1">
        <w:fldChar w:fldCharType="end"/>
      </w:r>
      <w:r>
        <w:t>.</w:t>
      </w:r>
    </w:p>
    <w:p w14:paraId="00AEDF05" w14:textId="77777777" w:rsidR="00D9107F" w:rsidRDefault="375B265D" w:rsidP="00D9772E">
      <w:pPr>
        <w:jc w:val="both"/>
      </w:pPr>
      <w:r>
        <w:t xml:space="preserve">I Norge skjer </w:t>
      </w:r>
      <w:r w:rsidR="1DD2BF86">
        <w:t>oppgavedeling</w:t>
      </w:r>
      <w:r>
        <w:t xml:space="preserve"> i et visst omfang, men hovedsakelig uformelt, og etterfølges sjelden av evaluering eller rapportering, i henhold til en ny kunnskapsoppsummering av </w:t>
      </w:r>
      <w:r w:rsidR="001C434C">
        <w:t xml:space="preserve">Melby og kolleger </w:t>
      </w:r>
      <w:r w:rsidR="00394DD1">
        <w:fldChar w:fldCharType="begin"/>
      </w:r>
      <w:r w:rsidR="00A27571">
        <w:instrText xml:space="preserve"> ADDIN EN.CITE &lt;EndNote&gt;&lt;Cite&gt;&lt;Author&gt;Melby&lt;/Author&gt;&lt;Year&gt;2022&lt;/Year&gt;&lt;RecNum&gt;280&lt;/RecNum&gt;&lt;DisplayText&gt;(Melby et al., 2022)&lt;/DisplayText&gt;&lt;record&gt;&lt;rec-number&gt;280&lt;/rec-number&gt;&lt;foreign-keys&gt;&lt;key app="EN" db-id="95tpr2tp6r9xwoea9rb5wdsz5ds5xeddteew" timestamp="1680069511"&gt;280&lt;/key&gt;&lt;/foreign-keys&gt;&lt;ref-type name="Report"&gt;27&lt;/ref-type&gt;&lt;contributors&gt;&lt;authors&gt;&lt;author&gt;Line Melby&lt;/author&gt;&lt;author&gt;Mari Gunnes&lt;/author&gt;&lt;author&gt;Heidi Haukelien&lt;/author&gt;&lt;author&gt;Aud Obstfelder&lt;/author&gt;&lt;/authors&gt;&lt;tertiary-authors&gt;&lt;author&gt;SINTEF&lt;/author&gt;&lt;/tertiary-authors&gt;&lt;/contributors&gt;&lt;titles&gt;&lt;title&gt;Frigjøring av sykepleierkapasitet gjennom ny ansvars-/oppgavedeling og bruk av teknologi&lt;/title&gt;&lt;/titles&gt;&lt;number&gt;2022:00211 - Åpen&lt;/number&gt;&lt;dates&gt;&lt;year&gt;2022&lt;/year&gt;&lt;/dates&gt;&lt;pub-location&gt;Trondheim&lt;/pub-location&gt;&lt;urls&gt;&lt;/urls&gt;&lt;/record&gt;&lt;/Cite&gt;&lt;/EndNote&gt;</w:instrText>
      </w:r>
      <w:r w:rsidR="00394DD1">
        <w:fldChar w:fldCharType="separate"/>
      </w:r>
      <w:r w:rsidR="00394DD1">
        <w:rPr>
          <w:noProof/>
        </w:rPr>
        <w:t>(Melby et al., 2022)</w:t>
      </w:r>
      <w:r w:rsidR="00394DD1">
        <w:fldChar w:fldCharType="end"/>
      </w:r>
      <w:r>
        <w:t xml:space="preserve">. Det finnes ikke nasjonale standarder på </w:t>
      </w:r>
      <w:r w:rsidR="1DD2BF86">
        <w:t>oppgavedeling</w:t>
      </w:r>
      <w:r>
        <w:t xml:space="preserve"> eller kompetansesammensetning. Det er heller ikke systematisk</w:t>
      </w:r>
      <w:r w:rsidR="00BB209E">
        <w:t>e</w:t>
      </w:r>
      <w:r>
        <w:t xml:space="preserve"> utprøvinger av alternative måter å delegere eller omfordele oppgaver på, men flere enkeltprosjekter i sykehjem og hjemmetjenester </w:t>
      </w:r>
      <w:r w:rsidR="002D4C31">
        <w:t>er gjennomført</w:t>
      </w:r>
      <w:r>
        <w:t>.</w:t>
      </w:r>
    </w:p>
    <w:p w14:paraId="73E2E292" w14:textId="77777777" w:rsidR="00D9107F" w:rsidRDefault="375B265D" w:rsidP="00D9772E">
      <w:pPr>
        <w:jc w:val="both"/>
      </w:pPr>
      <w:r>
        <w:t xml:space="preserve">Forskrivning av medikamenter av sykepleier er økende internasjonalt, </w:t>
      </w:r>
      <w:r w:rsidR="780E4E2D">
        <w:t>men</w:t>
      </w:r>
      <w:r>
        <w:t xml:space="preserve"> varierer betydelig mellom landene</w:t>
      </w:r>
      <w:r w:rsidR="0088E601">
        <w:t xml:space="preserve"> </w:t>
      </w:r>
      <w:r w:rsidR="00394DD1">
        <w:fldChar w:fldCharType="begin">
          <w:fldData xml:space="preserve">PEVuZE5vdGU+PENpdGU+PEF1dGhvcj5NYWllcjwvQXV0aG9yPjxZZWFyPjIwMTk8L1llYXI+PFJl
Y051bT41NDc8L1JlY051bT48RGlzcGxheVRleHQ+KE1haWVyLCAyMDE5KTwvRGlzcGxheVRleHQ+
PHJlY29yZD48cmVjLW51bWJlcj41NDc8L3JlYy1udW1iZXI+PGZvcmVpZ24ta2V5cz48a2V5IGFw
cD0iRU4iIGRiLWlkPSI5NXRwcjJ0cDZyOXh3b2VhOXJiNXdkc3o1ZHM1eGVkZHRlZXciIHRpbWVz
dGFtcD0iMTY4MDA2OTUxMSI+NTQ3PC9rZXk+PC9mb3JlaWduLWtleXM+PHJlZi10eXBlIG5hbWU9
IkpvdXJuYWwgQXJ0aWNsZSI+MTc8L3JlZi10eXBlPjxjb250cmlidXRvcnM+PGF1dGhvcnM+PGF1
dGhvcj5NYWllciwgQy4gQi48L2F1dGhvcj48L2F1dGhvcnM+PC9jb250cmlidXRvcnM+PGF1dGgt
YWRkcmVzcz5EZXBhcnRtZW50IG9mIEhlYWx0aGNhcmUgTWFuYWdlbWVudCwgVGVjaG5pc2NoZSBV
bml2ZXJzaXTDpHQgQmVybGluLCBIIDgwLCBTdHJhw59lIGRlcyAxNy4gSnVuaSAxMzUsIDEwNjIz
LCBCZXJsaW4sIEdlcm1hbnkuIGMubWFpZXJAdHUtYmVybGluLmRlLiYjeEQ7Q2VudGVyIGZvciBI
ZWFsdGggT3V0Y29tZXMgYW5kIFBvbGljeSBSZXNlYXJjaCwgVW5pdmVyc2l0eSBvZiBQZW5uc3ls
dmFuaWEgU2Nob29sIG9mIE51cnNpbmcsIENsYWlyZSBGYWdpbiBIYWxsLCA0MTggQ3VyaWUgQmx2
ZCwgUGhpbGFkZWxwaGlhLCBQQSwgMTkxMDQsIFVuaXRlZCBTdGF0ZXMgb2YgQW1lcmljYS4gYy5t
YWllckB0dS1iZXJsaW4uZGUuPC9hdXRoLWFkZHJlc3M+PHRpdGxlcz48dGl0bGU+TnVyc2UgcHJl
c2NyaWJpbmcgb2YgbWVkaWNpbmVzIGluIDEzIEV1cm9wZWFuIGNvdW50cmllczwvdGl0bGU+PHNl
Y29uZGFyeS10aXRsZT5IdW0gUmVzb3VyIEhlYWx0aDwvc2Vjb25kYXJ5LXRpdGxlPjwvdGl0bGVz
PjxwZXJpb2RpY2FsPjxmdWxsLXRpdGxlPkh1bSBSZXNvdXIgSGVhbHRoPC9mdWxsLXRpdGxlPjwv
cGVyaW9kaWNhbD48cGFnZXM+OTU8L3BhZ2VzPjx2b2x1bWU+MTc8L3ZvbHVtZT48bnVtYmVyPjE8
L251bWJlcj48ZWRpdGlvbj4yMDE5MTIwOTwvZWRpdGlvbj48a2V5d29yZHM+PGtleXdvcmQ+RHJ1
ZyBQcmVzY3JpcHRpb25zLypzdGF0aXN0aWNzICZhbXA7IG51bWVyaWNhbCBkYXRhPC9rZXl3b3Jk
PjxrZXl3b3JkPkV1cm9wZTwva2V5d29yZD48a2V5d29yZD5IdW1hbnM8L2tleXdvcmQ+PGtleXdv
cmQ+TnVyc2UgUHJhY3RpdGlvbmVycy9sZWdpc2xhdGlvbiAmYW1wOyBqdXJpc3BydWRlbmNlL3N0
YXRpc3RpY3MgJmFtcDsgbnVtZXJpY2FsIGRhdGE8L2tleXdvcmQ+PGtleXdvcmQ+Kk51cnNlJmFw
b3M7cyBSb2xlPC9rZXl3b3JkPjxrZXl3b3JkPk51cnNlcy9sZWdpc2xhdGlvbiAmYW1wOyBqdXJp
c3BydWRlbmNlLypzdGF0aXN0aWNzICZhbXA7IG51bWVyaWNhbCBkYXRhPC9rZXl3b3JkPjxrZXl3
b3JkPkFkdmFuY2VkIHByYWN0aWNlIG51cnNpbmcgKEFQTik8L2tleXdvcmQ+PGtleXdvcmQ+SGVh
bHRoIHByb2Zlc3Npb25hbHM8L2tleXdvcmQ+PGtleXdvcmQ+TGF3czwva2V5d29yZD48a2V5d29y
ZD5NZWRpY2F0aW9uczwva2V5d29yZD48a2V5d29yZD5OdXJzZXM8L2tleXdvcmQ+PGtleXdvcmQ+
UHJlc2NyaWJpbmc8L2tleXdvcmQ+PGtleXdvcmQ+UmVmb3Jtczwva2V5d29yZD48a2V5d29yZD5T
Y29wZSBvZiBwcmFjdGljZTwva2V5d29yZD48a2V5d29yZD5UYXNrIHNoaWZ0aW5nPC9rZXl3b3Jk
Pjwva2V5d29yZHM+PGRhdGVzPjx5ZWFyPjIwMTk8L3llYXI+PHB1Yi1kYXRlcz48ZGF0ZT5EZWMg
OTwvZGF0ZT48L3B1Yi1kYXRlcz48L2RhdGVzPjxpc2JuPjE0NzgtNDQ5MTwvaXNibj48YWNjZXNz
aW9uLW51bT4zMTgxNTYyMjwvYWNjZXNzaW9uLW51bT48dXJscz48L3VybHM+PGN1c3RvbTE+VGhl
IGF1dGhvciBkZWNsYXJlcyB0aGF0IHNoZSBoYXMgbm8gY29tcGV0aW5nIGludGVyZXN0cy48L2N1
c3RvbTE+PGN1c3RvbTI+UE1DNjkwMjU5MTwvY3VzdG9tMj48cmVtb3RlLWRhdGFiYXNlLXByb3Zp
ZGVyPk5MTTwvcmVtb3RlLWRhdGFiYXNlLXByb3ZpZGVyPjxsYW5ndWFnZT5lbmc8L2xhbmd1YWdl
PjwvcmVjb3JkPjwvQ2l0ZT48L0VuZE5vdGU+AG==
</w:fldData>
        </w:fldChar>
      </w:r>
      <w:r w:rsidR="004654FD">
        <w:instrText xml:space="preserve"> ADDIN EN.CITE </w:instrText>
      </w:r>
      <w:r w:rsidR="004654FD">
        <w:fldChar w:fldCharType="begin">
          <w:fldData xml:space="preserve">PEVuZE5vdGU+PENpdGU+PEF1dGhvcj5NYWllcjwvQXV0aG9yPjxZZWFyPjIwMTk8L1llYXI+PFJl
Y051bT41NDc8L1JlY051bT48RGlzcGxheVRleHQ+KE1haWVyLCAyMDE5KTwvRGlzcGxheVRleHQ+
PHJlY29yZD48cmVjLW51bWJlcj41NDc8L3JlYy1udW1iZXI+PGZvcmVpZ24ta2V5cz48a2V5IGFw
cD0iRU4iIGRiLWlkPSI5NXRwcjJ0cDZyOXh3b2VhOXJiNXdkc3o1ZHM1eGVkZHRlZXciIHRpbWVz
dGFtcD0iMTY4MDA2OTUxMSI+NTQ3PC9rZXk+PC9mb3JlaWduLWtleXM+PHJlZi10eXBlIG5hbWU9
IkpvdXJuYWwgQXJ0aWNsZSI+MTc8L3JlZi10eXBlPjxjb250cmlidXRvcnM+PGF1dGhvcnM+PGF1
dGhvcj5NYWllciwgQy4gQi48L2F1dGhvcj48L2F1dGhvcnM+PC9jb250cmlidXRvcnM+PGF1dGgt
YWRkcmVzcz5EZXBhcnRtZW50IG9mIEhlYWx0aGNhcmUgTWFuYWdlbWVudCwgVGVjaG5pc2NoZSBV
bml2ZXJzaXTDpHQgQmVybGluLCBIIDgwLCBTdHJhw59lIGRlcyAxNy4gSnVuaSAxMzUsIDEwNjIz
LCBCZXJsaW4sIEdlcm1hbnkuIGMubWFpZXJAdHUtYmVybGluLmRlLiYjeEQ7Q2VudGVyIGZvciBI
ZWFsdGggT3V0Y29tZXMgYW5kIFBvbGljeSBSZXNlYXJjaCwgVW5pdmVyc2l0eSBvZiBQZW5uc3ls
dmFuaWEgU2Nob29sIG9mIE51cnNpbmcsIENsYWlyZSBGYWdpbiBIYWxsLCA0MTggQ3VyaWUgQmx2
ZCwgUGhpbGFkZWxwaGlhLCBQQSwgMTkxMDQsIFVuaXRlZCBTdGF0ZXMgb2YgQW1lcmljYS4gYy5t
YWllckB0dS1iZXJsaW4uZGUuPC9hdXRoLWFkZHJlc3M+PHRpdGxlcz48dGl0bGU+TnVyc2UgcHJl
c2NyaWJpbmcgb2YgbWVkaWNpbmVzIGluIDEzIEV1cm9wZWFuIGNvdW50cmllczwvdGl0bGU+PHNl
Y29uZGFyeS10aXRsZT5IdW0gUmVzb3VyIEhlYWx0aDwvc2Vjb25kYXJ5LXRpdGxlPjwvdGl0bGVz
PjxwZXJpb2RpY2FsPjxmdWxsLXRpdGxlPkh1bSBSZXNvdXIgSGVhbHRoPC9mdWxsLXRpdGxlPjwv
cGVyaW9kaWNhbD48cGFnZXM+OTU8L3BhZ2VzPjx2b2x1bWU+MTc8L3ZvbHVtZT48bnVtYmVyPjE8
L251bWJlcj48ZWRpdGlvbj4yMDE5MTIwOTwvZWRpdGlvbj48a2V5d29yZHM+PGtleXdvcmQ+RHJ1
ZyBQcmVzY3JpcHRpb25zLypzdGF0aXN0aWNzICZhbXA7IG51bWVyaWNhbCBkYXRhPC9rZXl3b3Jk
PjxrZXl3b3JkPkV1cm9wZTwva2V5d29yZD48a2V5d29yZD5IdW1hbnM8L2tleXdvcmQ+PGtleXdv
cmQ+TnVyc2UgUHJhY3RpdGlvbmVycy9sZWdpc2xhdGlvbiAmYW1wOyBqdXJpc3BydWRlbmNlL3N0
YXRpc3RpY3MgJmFtcDsgbnVtZXJpY2FsIGRhdGE8L2tleXdvcmQ+PGtleXdvcmQ+Kk51cnNlJmFw
b3M7cyBSb2xlPC9rZXl3b3JkPjxrZXl3b3JkPk51cnNlcy9sZWdpc2xhdGlvbiAmYW1wOyBqdXJp
c3BydWRlbmNlLypzdGF0aXN0aWNzICZhbXA7IG51bWVyaWNhbCBkYXRhPC9rZXl3b3JkPjxrZXl3
b3JkPkFkdmFuY2VkIHByYWN0aWNlIG51cnNpbmcgKEFQTik8L2tleXdvcmQ+PGtleXdvcmQ+SGVh
bHRoIHByb2Zlc3Npb25hbHM8L2tleXdvcmQ+PGtleXdvcmQ+TGF3czwva2V5d29yZD48a2V5d29y
ZD5NZWRpY2F0aW9uczwva2V5d29yZD48a2V5d29yZD5OdXJzZXM8L2tleXdvcmQ+PGtleXdvcmQ+
UHJlc2NyaWJpbmc8L2tleXdvcmQ+PGtleXdvcmQ+UmVmb3Jtczwva2V5d29yZD48a2V5d29yZD5T
Y29wZSBvZiBwcmFjdGljZTwva2V5d29yZD48a2V5d29yZD5UYXNrIHNoaWZ0aW5nPC9rZXl3b3Jk
Pjwva2V5d29yZHM+PGRhdGVzPjx5ZWFyPjIwMTk8L3llYXI+PHB1Yi1kYXRlcz48ZGF0ZT5EZWMg
OTwvZGF0ZT48L3B1Yi1kYXRlcz48L2RhdGVzPjxpc2JuPjE0NzgtNDQ5MTwvaXNibj48YWNjZXNz
aW9uLW51bT4zMTgxNTYyMjwvYWNjZXNzaW9uLW51bT48dXJscz48L3VybHM+PGN1c3RvbTE+VGhl
IGF1dGhvciBkZWNsYXJlcyB0aGF0IHNoZSBoYXMgbm8gY29tcGV0aW5nIGludGVyZXN0cy48L2N1
c3RvbTE+PGN1c3RvbTI+UE1DNjkwMjU5MTwvY3VzdG9tMj48cmVtb3RlLWRhdGFiYXNlLXByb3Zp
ZGVyPk5MTTwvcmVtb3RlLWRhdGFiYXNlLXByb3ZpZGVyPjxsYW5ndWFnZT5lbmc8L2xhbmd1YWdl
PjwvcmVjb3JkPjwvQ2l0ZT48L0VuZE5vdGU+AG==
</w:fldData>
        </w:fldChar>
      </w:r>
      <w:r w:rsidR="004654FD">
        <w:instrText xml:space="preserve"> ADDIN EN.CITE.DATA </w:instrText>
      </w:r>
      <w:r w:rsidR="004654FD">
        <w:fldChar w:fldCharType="end"/>
      </w:r>
      <w:r w:rsidR="00394DD1">
        <w:fldChar w:fldCharType="separate"/>
      </w:r>
      <w:r w:rsidR="00394DD1">
        <w:rPr>
          <w:noProof/>
        </w:rPr>
        <w:t>(Maier, 2019)</w:t>
      </w:r>
      <w:r w:rsidR="00394DD1">
        <w:fldChar w:fldCharType="end"/>
      </w:r>
      <w:r>
        <w:t>.</w:t>
      </w:r>
      <w:r w:rsidR="00BB209E">
        <w:t xml:space="preserve"> </w:t>
      </w:r>
      <w:r w:rsidRPr="2F137E42">
        <w:t xml:space="preserve">I Australia, Canada, Nederland, New Zealand og USA har høyt </w:t>
      </w:r>
      <w:r w:rsidRPr="2F137E42">
        <w:lastRenderedPageBreak/>
        <w:t>spesialiserte sykepleiere (nurse practi</w:t>
      </w:r>
      <w:r w:rsidR="00055C34">
        <w:t>t</w:t>
      </w:r>
      <w:r w:rsidRPr="2F137E42">
        <w:t>ioners) full</w:t>
      </w:r>
      <w:r w:rsidR="0078029B">
        <w:t>,</w:t>
      </w:r>
      <w:r w:rsidRPr="2F137E42">
        <w:t xml:space="preserve"> eller nærmest full</w:t>
      </w:r>
      <w:r w:rsidR="0078029B">
        <w:t>,</w:t>
      </w:r>
      <w:r w:rsidRPr="2F137E42">
        <w:t xml:space="preserve"> forskrivningsrett. I Sverige, Danmark og Finland gis en begrenset forskrivningsrett til alle sykepleiere som gjennomfører tilleggsutdanning/kursing og møter gitte krav </w:t>
      </w:r>
      <w:r w:rsidR="00BE43A2">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EN.CITE.DATA </w:instrText>
      </w:r>
      <w:r w:rsidR="004654FD">
        <w:fldChar w:fldCharType="end"/>
      </w:r>
      <w:r w:rsidR="00BE43A2">
        <w:fldChar w:fldCharType="separate"/>
      </w:r>
      <w:r w:rsidR="00BE43A2">
        <w:rPr>
          <w:noProof/>
        </w:rPr>
        <w:t>(Maier et al., 2016)</w:t>
      </w:r>
      <w:r w:rsidR="00BE43A2">
        <w:fldChar w:fldCharType="end"/>
      </w:r>
      <w:r w:rsidRPr="2F137E42">
        <w:t>.</w:t>
      </w:r>
      <w:r w:rsidR="1120B415">
        <w:t xml:space="preserve"> I Norge har jordmor og helsesykepleier forskrivningsrett til preve</w:t>
      </w:r>
      <w:r w:rsidR="455C99CC">
        <w:t>nsjonsmidler.</w:t>
      </w:r>
    </w:p>
    <w:p w14:paraId="46F13EB1" w14:textId="4FAE7C49" w:rsidR="00770B08" w:rsidRDefault="375B265D" w:rsidP="00775632">
      <w:pPr>
        <w:pStyle w:val="Overskrift4"/>
      </w:pPr>
      <w:bookmarkStart w:id="3100" w:name="_Toc130983538"/>
      <w:bookmarkStart w:id="3101" w:name="_Toc130983887"/>
      <w:bookmarkStart w:id="3102" w:name="_Toc131238469"/>
      <w:bookmarkStart w:id="3103" w:name="_Toc131279500"/>
      <w:bookmarkStart w:id="3104" w:name="_Toc131286912"/>
      <w:bookmarkStart w:id="3105" w:name="_Toc131281322"/>
      <w:bookmarkStart w:id="3106" w:name="_Toc131317862"/>
      <w:r>
        <w:t xml:space="preserve">Virkning av </w:t>
      </w:r>
      <w:r w:rsidR="1DD2BF86">
        <w:t>oppgavedeling</w:t>
      </w:r>
      <w:r>
        <w:t xml:space="preserve"> på kliniske utfallsmål, kvalitet og kost-nytte</w:t>
      </w:r>
      <w:bookmarkEnd w:id="3100"/>
      <w:bookmarkEnd w:id="3101"/>
      <w:bookmarkEnd w:id="3102"/>
      <w:bookmarkEnd w:id="3103"/>
      <w:bookmarkEnd w:id="3104"/>
      <w:bookmarkEnd w:id="3105"/>
      <w:bookmarkEnd w:id="3106"/>
    </w:p>
    <w:p w14:paraId="2FFEE88A" w14:textId="05218E7F" w:rsidR="00770B08" w:rsidRDefault="001C434C" w:rsidP="00E96C39">
      <w:pPr>
        <w:jc w:val="both"/>
      </w:pPr>
      <w:r>
        <w:t>L</w:t>
      </w:r>
      <w:r w:rsidR="375B265D">
        <w:t>itteraturgjennomgang</w:t>
      </w:r>
      <w:r>
        <w:t>en av Melby og kolleger</w:t>
      </w:r>
      <w:r w:rsidR="375B265D">
        <w:t xml:space="preserve"> fra 2022 oppsummerer de mest sentrale systematiske kunnskapsoversiktene om vertikal </w:t>
      </w:r>
      <w:r w:rsidR="1DD2BF86">
        <w:t>oppgavedeling</w:t>
      </w:r>
      <w:r w:rsidR="375B265D">
        <w:t xml:space="preserve"> fra lege til sykepleier i primærhelsetjenesten. </w:t>
      </w:r>
      <w:r w:rsidR="000C7580">
        <w:t>Internasjonalt</w:t>
      </w:r>
      <w:r w:rsidR="375B265D">
        <w:t xml:space="preserve"> er </w:t>
      </w:r>
      <w:r w:rsidR="000C7580">
        <w:t>det</w:t>
      </w:r>
      <w:r w:rsidR="375B265D">
        <w:t xml:space="preserve"> kraftig økning i bruk av avanserte kliniske sykepleiere og spesialiserte sykepleiere</w:t>
      </w:r>
      <w:r w:rsidR="00784C3F">
        <w:t>,</w:t>
      </w:r>
      <w:r w:rsidR="375B265D">
        <w:t xml:space="preserve"> og overordnet indikerer gjennomgangen at disse gir behandling og oppfølging av god kvalitet, sammenlignet med oppfølging gitt av leger i primærhelsetjenesten. Det ser ut til at sykepleiere gir flere helserelaterte råd og at pasienter som møter dem oppgir litt bedre pasienttilfredshet, sammenlignet med leger</w:t>
      </w:r>
      <w:r w:rsidR="7F09CF9B">
        <w:t xml:space="preserve"> </w:t>
      </w:r>
      <w:r w:rsidR="00394DD1">
        <w:fldChar w:fldCharType="begin"/>
      </w:r>
      <w:r w:rsidR="00A27571">
        <w:instrText xml:space="preserve"> ADDIN EN.CITE &lt;EndNote&gt;&lt;Cite&gt;&lt;Author&gt;Melby&lt;/Author&gt;&lt;Year&gt;2022&lt;/Year&gt;&lt;RecNum&gt;280&lt;/RecNum&gt;&lt;DisplayText&gt;(Melby et al., 2022)&lt;/DisplayText&gt;&lt;record&gt;&lt;rec-number&gt;280&lt;/rec-number&gt;&lt;foreign-keys&gt;&lt;key app="EN" db-id="95tpr2tp6r9xwoea9rb5wdsz5ds5xeddteew" timestamp="1680069511"&gt;280&lt;/key&gt;&lt;/foreign-keys&gt;&lt;ref-type name="Report"&gt;27&lt;/ref-type&gt;&lt;contributors&gt;&lt;authors&gt;&lt;author&gt;Line Melby&lt;/author&gt;&lt;author&gt;Mari Gunnes&lt;/author&gt;&lt;author&gt;Heidi Haukelien&lt;/author&gt;&lt;author&gt;Aud Obstfelder&lt;/author&gt;&lt;/authors&gt;&lt;tertiary-authors&gt;&lt;author&gt;SINTEF&lt;/author&gt;&lt;/tertiary-authors&gt;&lt;/contributors&gt;&lt;titles&gt;&lt;title&gt;Frigjøring av sykepleierkapasitet gjennom ny ansvars-/oppgavedeling og bruk av teknologi&lt;/title&gt;&lt;/titles&gt;&lt;number&gt;2022:00211 - Åpen&lt;/number&gt;&lt;dates&gt;&lt;year&gt;2022&lt;/year&gt;&lt;/dates&gt;&lt;pub-location&gt;Trondheim&lt;/pub-location&gt;&lt;urls&gt;&lt;/urls&gt;&lt;/record&gt;&lt;/Cite&gt;&lt;/EndNote&gt;</w:instrText>
      </w:r>
      <w:r w:rsidR="00394DD1">
        <w:fldChar w:fldCharType="separate"/>
      </w:r>
      <w:r w:rsidR="00394DD1">
        <w:rPr>
          <w:noProof/>
        </w:rPr>
        <w:t>(Melby et al., 2022)</w:t>
      </w:r>
      <w:r w:rsidR="00394DD1">
        <w:fldChar w:fldCharType="end"/>
      </w:r>
      <w:r w:rsidR="375B265D">
        <w:t>.</w:t>
      </w:r>
      <w:r w:rsidR="00D9107F" w:rsidRPr="00D9107F">
        <w:rPr>
          <w:rStyle w:val="skrift-hevet"/>
        </w:rPr>
        <w:t xml:space="preserve"> </w:t>
      </w:r>
      <w:r w:rsidR="56B3FEE5">
        <w:t xml:space="preserve">En paraplyoversikt fra 2021 basert på 21 kunnskapsoversikter indikerer at oppgavedeling fra lege til sykepleier medfører bedre tilgang </w:t>
      </w:r>
      <w:r w:rsidR="03B922CE">
        <w:t xml:space="preserve">for pasienter </w:t>
      </w:r>
      <w:r w:rsidR="56B3FEE5">
        <w:t>til primærhelsetjenesten</w:t>
      </w:r>
      <w:r w:rsidR="3CE9E29D">
        <w:t xml:space="preserve"> </w:t>
      </w:r>
      <w:r w:rsidR="00394DD1">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 </w:instrText>
      </w:r>
      <w:r w:rsidR="004654FD">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EN.CITE.DATA </w:instrText>
      </w:r>
      <w:r w:rsidR="004654FD">
        <w:fldChar w:fldCharType="end"/>
      </w:r>
      <w:r w:rsidR="00394DD1">
        <w:fldChar w:fldCharType="separate"/>
      </w:r>
      <w:r w:rsidR="00394DD1">
        <w:rPr>
          <w:noProof/>
        </w:rPr>
        <w:t>(Leong et al., 2021)</w:t>
      </w:r>
      <w:r w:rsidR="00394DD1">
        <w:fldChar w:fldCharType="end"/>
      </w:r>
      <w:r w:rsidR="73668506">
        <w:t>.</w:t>
      </w:r>
    </w:p>
    <w:p w14:paraId="0393F8D7" w14:textId="761FAC61" w:rsidR="00A66D27" w:rsidRDefault="64FD5215" w:rsidP="00E96C39">
      <w:pPr>
        <w:jc w:val="both"/>
      </w:pPr>
      <w:r>
        <w:t xml:space="preserve">Undersøkelser og evalueringer </w:t>
      </w:r>
      <w:r w:rsidR="008D254A">
        <w:t>har sett</w:t>
      </w:r>
      <w:r>
        <w:t xml:space="preserve"> på et begrenset antall områder og kun få helsepersonellgrupper, primært sykepleiere og farmasøyter. </w:t>
      </w:r>
      <w:r w:rsidR="00D65628">
        <w:t>E</w:t>
      </w:r>
      <w:r w:rsidR="00AB352F">
        <w:t xml:space="preserve">n oppsummering av 44 kunnskapsoversikter om oppgavedeling av OECD </w:t>
      </w:r>
      <w:r w:rsidR="00A63600">
        <w:t>viser</w:t>
      </w:r>
      <w:r w:rsidR="00AB352F">
        <w:t xml:space="preserve"> at kunnskapsgrunnlaget fortsatt er mangelfullt, særlig knyttet til multisyke og komplekse pasienter. Oppsummeringen understreker også sammenhengen mellom positive helseutfall og effekt på helsetjenesten med etablerering av veldefinerte og protokolldrevne behandlings- og oppfølgingsforløp</w:t>
      </w:r>
      <w:r w:rsidR="78EB2D1F">
        <w:t xml:space="preserve"> </w:t>
      </w:r>
      <w:r w:rsidR="00BE43A2">
        <w:fldChar w:fldCharType="begin"/>
      </w:r>
      <w:r w:rsidR="00BE43A2">
        <w:instrText xml:space="preserve"> ADDIN EN.CITE &lt;EndNote&gt;&lt;Cite&gt;&lt;Author&gt;OECD&lt;/Author&gt;&lt;Year&gt;2019&lt;/Year&gt;&lt;RecNum&gt;803&lt;/RecNum&gt;&lt;DisplayText&gt;(OECD, 2019)&lt;/DisplayText&gt;&lt;record&gt;&lt;rec-number&gt;803&lt;/rec-number&gt;&lt;foreign-keys&gt;&lt;key app="EN" db-id="95tpr2tp6r9xwoea9rb5wdsz5ds5xeddteew" timestamp="1680069511"&gt;803&lt;/key&gt;&lt;/foreign-keys&gt;&lt;ref-type name="Report"&gt;27&lt;/ref-type&gt;&lt;contributors&gt;&lt;authors&gt;&lt;author&gt;OECD&lt;/author&gt;&lt;/authors&gt;&lt;tertiary-authors&gt;&lt;author&gt;Publications Office of the European Union, &lt;/author&gt;&lt;/tertiary-authors&gt;&lt;/contributors&gt;&lt;titles&gt;&lt;title&gt;Task shifting and health system design : report of the Expert Panel on effective ways of investing in Health (EXPH)&lt;/title&gt;&lt;/titles&gt;&lt;dates&gt;&lt;year&gt;2019&lt;/year&gt;&lt;/dates&gt;&lt;pub-location&gt;Luxemburg&lt;/pub-location&gt;&lt;urls&gt;&lt;related-urls&gt;&lt;url&gt;https://health.ec.europa.eu/system/files/2019-11/023_taskshifting_en_0.pdf&lt;/url&gt;&lt;/related-urls&gt;&lt;/urls&gt;&lt;electronic-resource-num&gt;10.2875/42878&lt;/electronic-resource-num&gt;&lt;/record&gt;&lt;/Cite&gt;&lt;/EndNote&gt;</w:instrText>
      </w:r>
      <w:r w:rsidR="00BE43A2">
        <w:fldChar w:fldCharType="separate"/>
      </w:r>
      <w:r w:rsidR="00BE43A2">
        <w:rPr>
          <w:noProof/>
        </w:rPr>
        <w:t>(OECD, 2019)</w:t>
      </w:r>
      <w:r w:rsidR="00BE43A2">
        <w:fldChar w:fldCharType="end"/>
      </w:r>
      <w:r w:rsidR="6E45FDCD">
        <w:t>.</w:t>
      </w:r>
      <w:r w:rsidR="00FC5FEB">
        <w:t xml:space="preserve"> </w:t>
      </w:r>
      <w:r w:rsidR="00483F06">
        <w:t>Tilsvarende</w:t>
      </w:r>
      <w:r>
        <w:t xml:space="preserve"> påpeker SINTEF i sin kunnskapsoppsummering at det for et bredt spekter av pasientgrupper og helseproblemer ikke er tilstrekkelig kunnskapsgrunnlag for å konkludere at overføring av oppgaver fra lege til sykepleier er </w:t>
      </w:r>
      <w:r w:rsidR="00CC4197">
        <w:t xml:space="preserve">like god </w:t>
      </w:r>
      <w:r w:rsidR="00394DD1">
        <w:fldChar w:fldCharType="begin"/>
      </w:r>
      <w:r w:rsidR="00A27571">
        <w:instrText xml:space="preserve"> ADDIN EN.CITE &lt;EndNote&gt;&lt;Cite&gt;&lt;Author&gt;Melby&lt;/Author&gt;&lt;Year&gt;2022&lt;/Year&gt;&lt;RecNum&gt;280&lt;/RecNum&gt;&lt;DisplayText&gt;(Melby et al., 2022)&lt;/DisplayText&gt;&lt;record&gt;&lt;rec-number&gt;280&lt;/rec-number&gt;&lt;foreign-keys&gt;&lt;key app="EN" db-id="95tpr2tp6r9xwoea9rb5wdsz5ds5xeddteew" timestamp="1680069511"&gt;280&lt;/key&gt;&lt;/foreign-keys&gt;&lt;ref-type name="Report"&gt;27&lt;/ref-type&gt;&lt;contributors&gt;&lt;authors&gt;&lt;author&gt;Line Melby&lt;/author&gt;&lt;author&gt;Mari Gunnes&lt;/author&gt;&lt;author&gt;Heidi Haukelien&lt;/author&gt;&lt;author&gt;Aud Obstfelder&lt;/author&gt;&lt;/authors&gt;&lt;tertiary-authors&gt;&lt;author&gt;SINTEF&lt;/author&gt;&lt;/tertiary-authors&gt;&lt;/contributors&gt;&lt;titles&gt;&lt;title&gt;Frigjøring av sykepleierkapasitet gjennom ny ansvars-/oppgavedeling og bruk av teknologi&lt;/title&gt;&lt;/titles&gt;&lt;number&gt;2022:00211 - Åpen&lt;/number&gt;&lt;dates&gt;&lt;year&gt;2022&lt;/year&gt;&lt;/dates&gt;&lt;pub-location&gt;Trondheim&lt;/pub-location&gt;&lt;urls&gt;&lt;/urls&gt;&lt;/record&gt;&lt;/Cite&gt;&lt;/EndNote&gt;</w:instrText>
      </w:r>
      <w:r w:rsidR="00394DD1">
        <w:fldChar w:fldCharType="separate"/>
      </w:r>
      <w:r w:rsidR="00394DD1">
        <w:rPr>
          <w:noProof/>
        </w:rPr>
        <w:t>(Melby et al., 2022)</w:t>
      </w:r>
      <w:r w:rsidR="00394DD1">
        <w:fldChar w:fldCharType="end"/>
      </w:r>
      <w:r w:rsidR="63483437">
        <w:t>.</w:t>
      </w:r>
      <w:r>
        <w:t xml:space="preserve"> </w:t>
      </w:r>
      <w:r w:rsidR="00435690">
        <w:t>Motsatt</w:t>
      </w:r>
      <w:r w:rsidR="00577E23">
        <w:t xml:space="preserve"> er det i</w:t>
      </w:r>
      <w:r w:rsidR="00483F06">
        <w:t xml:space="preserve">ngen av </w:t>
      </w:r>
      <w:r w:rsidR="00FD139C">
        <w:t xml:space="preserve">kunnskapsoppsummeringene </w:t>
      </w:r>
      <w:r w:rsidR="00577E23">
        <w:t xml:space="preserve">som </w:t>
      </w:r>
      <w:r w:rsidR="00FD139C">
        <w:t xml:space="preserve">påpeker </w:t>
      </w:r>
      <w:r w:rsidR="00450B70">
        <w:t xml:space="preserve">at </w:t>
      </w:r>
      <w:r w:rsidR="00577E23">
        <w:t xml:space="preserve">utførelsen </w:t>
      </w:r>
      <w:r w:rsidR="00A72F8F">
        <w:t>av</w:t>
      </w:r>
      <w:r w:rsidR="00577E23">
        <w:t xml:space="preserve"> oppgavene </w:t>
      </w:r>
      <w:r w:rsidR="00A72F8F">
        <w:t>va</w:t>
      </w:r>
      <w:r w:rsidR="00577E23">
        <w:t>r</w:t>
      </w:r>
      <w:r>
        <w:t xml:space="preserve"> </w:t>
      </w:r>
      <w:r w:rsidR="0000739A">
        <w:t xml:space="preserve">dårligere </w:t>
      </w:r>
      <w:r w:rsidR="00A72F8F">
        <w:t xml:space="preserve">når </w:t>
      </w:r>
      <w:r w:rsidR="001B48E4">
        <w:t xml:space="preserve">de ble </w:t>
      </w:r>
      <w:r w:rsidR="00435690">
        <w:t>overført til annet personell.</w:t>
      </w:r>
    </w:p>
    <w:p w14:paraId="013B27E3" w14:textId="16E253E3" w:rsidR="00435690" w:rsidRDefault="00435690" w:rsidP="00E96C39">
      <w:pPr>
        <w:jc w:val="both"/>
      </w:pPr>
      <w:r>
        <w:t>For at oppgave</w:t>
      </w:r>
      <w:r w:rsidR="001B48E4">
        <w:t>deling</w:t>
      </w:r>
      <w:r>
        <w:t xml:space="preserve"> kan gjøres mellom personell</w:t>
      </w:r>
      <w:r w:rsidR="00262EB9">
        <w:t>,</w:t>
      </w:r>
      <w:r>
        <w:t xml:space="preserve"> er systematisk organisering med tydelig og </w:t>
      </w:r>
      <w:r w:rsidR="00262EB9">
        <w:t>trygge</w:t>
      </w:r>
      <w:r>
        <w:t xml:space="preserve"> beslutningsprosesser om hvilke oppgaver som overføres</w:t>
      </w:r>
      <w:r w:rsidR="00262EB9">
        <w:t>,</w:t>
      </w:r>
      <w:r>
        <w:t xml:space="preserve"> pekt på som en forutsetning. Grundig trening og kvalitetskontroll er også nødvendig</w:t>
      </w:r>
      <w:r w:rsidR="15D6FA7F">
        <w:t xml:space="preserve"> </w:t>
      </w:r>
      <w:r w:rsidR="00BE43A2">
        <w:fldChar w:fldCharType="begin"/>
      </w:r>
      <w:r w:rsidR="00A27571">
        <w:instrText xml:space="preserve"> ADDIN EN.CITE &lt;EndNote&gt;&lt;Cite ExcludeYear="1"&gt;&lt;Author&gt;Knardahl&lt;/Author&gt;&lt;RecNum&gt;594&lt;/RecNum&gt;&lt;DisplayText&gt;(Knardahl)&lt;/DisplayText&gt;&lt;record&gt;&lt;rec-number&gt;594&lt;/rec-number&gt;&lt;foreign-keys&gt;&lt;key app="EN" db-id="95tpr2tp6r9xwoea9rb5wdsz5ds5xeddteew" timestamp="1680069511"&gt;594&lt;/key&gt;&lt;/foreign-keys&gt;&lt;ref-type name="Newspaper Article"&gt;23&lt;/ref-type&gt;&lt;contributors&gt;&lt;authors&gt;&lt;author&gt;Knardahl, S.&lt;/author&gt;&lt;/authors&gt;&lt;/contributors&gt;&lt;titles&gt;&lt;title&gt;Oppgaveglidning forutsetter systematisk organisering&lt;/title&gt;&lt;secondary-title&gt;Dagens Medisin&lt;/secondary-title&gt;&lt;/titles&gt;&lt;periodical&gt;&lt;full-title&gt;Dagens medisin&lt;/full-title&gt;&lt;/periodical&gt;&lt;dates&gt;&lt;pub-dates&gt;&lt;date&gt;12. oktober 2022&lt;/date&gt;&lt;/pub-dates&gt;&lt;/dates&gt;&lt;work-type&gt;kronikk&lt;/work-type&gt;&lt;urls&gt;&lt;/urls&gt;&lt;/record&gt;&lt;/Cite&gt;&lt;/EndNote&gt;</w:instrText>
      </w:r>
      <w:r w:rsidR="00BE43A2">
        <w:fldChar w:fldCharType="separate"/>
      </w:r>
      <w:r w:rsidR="00BE43A2">
        <w:rPr>
          <w:noProof/>
        </w:rPr>
        <w:t>(Knardahl)</w:t>
      </w:r>
      <w:r w:rsidR="00BE43A2">
        <w:fldChar w:fldCharType="end"/>
      </w:r>
      <w:r>
        <w:t>. Tilsvarende viste en kvalitativ studie blant norske fastleger at manglende strukturert planlegging i forkant av oppgavedeling mellom spesialistkolleger</w:t>
      </w:r>
      <w:r w:rsidR="009B28AD">
        <w:t>,</w:t>
      </w:r>
      <w:r>
        <w:t xml:space="preserve"> medførte uønsk</w:t>
      </w:r>
      <w:r w:rsidR="009B28AD">
        <w:t>ed</w:t>
      </w:r>
      <w:r>
        <w:t>e hendelser og truet pasientsikkerheten</w:t>
      </w:r>
      <w:r w:rsidR="491B2CDD">
        <w:t xml:space="preserve"> </w:t>
      </w:r>
      <w:r w:rsidR="00394DD1">
        <w:fldChar w:fldCharType="begin">
          <w:fldData xml:space="preserve">PEVuZE5vdGU+PENpdGU+PEF1dGhvcj5NYWx0ZXJ1ZDwvQXV0aG9yPjxZZWFyPjIwMjA8L1llYXI+
PFJlY051bT4zMzY8L1JlY051bT48RGlzcGxheVRleHQ+KE1hbHRlcnVkIGV0IGFsLiwgMjAyMCk8
L0Rpc3BsYXlUZXh0PjxyZWNvcmQ+PHJlYy1udW1iZXI+MzM2PC9yZWMtbnVtYmVyPjxmb3JlaWdu
LWtleXM+PGtleSBhcHA9IkVOIiBkYi1pZD0iOTV0cHIydHA2cjl4d29lYTlyYjV3ZHN6NWRzNXhl
ZGR0ZWV3IiB0aW1lc3RhbXA9IjE2ODAwNjk1MTEiPjMzNjwva2V5PjwvZm9yZWlnbi1rZXlzPjxy
ZWYtdHlwZSBuYW1lPSJKb3VybmFsIEFydGljbGUiPjE3PC9yZWYtdHlwZT48Y29udHJpYnV0b3Jz
PjxhdXRob3JzPjxhdXRob3I+TWFsdGVydWQsIEsuPC9hdXRob3I+PGF1dGhvcj5BYW1sYW5kLCBB
LjwvYXV0aG9yPjxhdXRob3I+Rm9zc2UsIEEuPC9hdXRob3I+PC9hdXRob3JzPjwvY29udHJpYnV0
b3JzPjxhdXRoLWFkZHJlc3M+UmVzZWFyY2ggVW5pdCBmb3IgR2VuZXJhbCBQcmFjdGljZSwgTk9S
Q0UgTm9yd2VnaWFuIFJlc2VhcmNoIENlbnRyZSwgQmVyZ2VuLCBOb3J3YXkuJiN4RDtEZXBhcnRt
ZW50IG9mIEdsb2JhbCBQdWJsaWMgSGVhbHRoIGFuZCBQcmltYXJ5IENhcmUsIFVuaXZlcnNpdHkg
b2YgQmVyZ2VuLCBCZXJnZW4sIE5vcndheS4mI3hEO1RoZSBSZXNlYXJjaCBVbml0IGFuZCBTZWN0
aW9uIG9mIEdlbmVyYWwgUHJhY3RpY2UsIERlcGFydG1lbnQgb2YgUHVibGljIEhlYWx0aCwgVW5p
dmVyc2l0eSBvZiBDb3BlbmhhZ2VuLCBDb3BlbmhhZ2VuLCBEZW5tYXJrLiYjeEQ7SGVhbHRoLCBD
YXJlIGFuZCBTb2NpYWwgU2VydmljZXMsIENvdW50eSBHb3Zlcm5vciBvZiBBZ2RlciwgQXJlbmRh
bCwgTm9yd2F5LiYjeEQ7TmF0aW9uYWwgQ2VudHJlIG9mIFJ1cmFsIE1lZGljaW5lLCBEZXBhcnRt
ZW50IG9mIENvbW11bml0eSBNZWRpY2luZSwgRmFjdWx0eSBvZiBIZWFsdGggU2NpZW5jZXMsIFVu
aXZlcnNpdHkgb2YgVHJvbXPDuCwgVHJvbXPDuCwgTm9yd2F5LjwvYXV0aC1hZGRyZXNzPjx0aXRs
ZXM+PHRpdGxlPkhvdyBjYW4gdGFzayBzaGlmdGluZyBwdXQgcGF0aWVudCBzYWZldHkgYXQgcmlz
az8gQSBxdWFsaXRhdGl2ZSBzdHVkeSBvZiBleHBlcmllbmNlcyBhbW9uZyBnZW5lcmFsIHByYWN0
aXRpb25lcnMgaW4gTm9yd2F5PC90aXRsZT48c2Vjb25kYXJ5LXRpdGxlPlNjYW5kIEogUHJpbSBI
ZWFsdGggQ2FyZTwvc2Vjb25kYXJ5LXRpdGxlPjwvdGl0bGVzPjxwZXJpb2RpY2FsPjxmdWxsLXRp
dGxlPlNjYW5kIEogUHJpbSBIZWFsdGggQ2FyZTwvZnVsbC10aXRsZT48L3BlcmlvZGljYWw+PHBh
Z2VzPjI0LTMyPC9wYWdlcz48dm9sdW1lPjM4PC92b2x1bWU+PG51bWJlcj4xPC9udW1iZXI+PGVk
aXRpb24+MjAyMDAxMjM8L2VkaXRpb24+PGtleXdvcmRzPjxrZXl3b3JkPkFkdWx0PC9rZXl3b3Jk
PjxrZXl3b3JkPipBdHRpdHVkZSBvZiBIZWFsdGggUGVyc29ubmVsPC9rZXl3b3JkPjxrZXl3b3Jk
PkNsaW5pY2FsIENvbXBldGVuY2U8L2tleXdvcmQ+PGtleXdvcmQ+RmVtYWxlPC9rZXl3b3JkPjxr
ZXl3b3JkPkdlbmVyYWwgUHJhY3RpdGlvbmVycy8qcHN5Y2hvbG9neTwva2V5d29yZD48a2V5d29y
ZD5IdW1hbnM8L2tleXdvcmQ+PGtleXdvcmQ+TWFsZTwva2V5d29yZD48a2V5d29yZD5NZWRpY2Fs
IE92ZXJ1c2U8L2tleXdvcmQ+PGtleXdvcmQ+TWlkZGxlIEFnZWQ8L2tleXdvcmQ+PGtleXdvcmQ+
Tm9yd2F5PC9rZXl3b3JkPjxrZXl3b3JkPipQYXRpZW50IFNhZmV0eTwva2V5d29yZD48a2V5d29y
ZD5RdWFsaXRhdGl2ZSBSZXNlYXJjaDwva2V5d29yZD48a2V5d29yZD5SZXRyb3NwZWN0aXZlIFN0
dWRpZXM8L2tleXdvcmQ+PGtleXdvcmQ+Umlzazwva2V5d29yZD48a2V5d29yZD5HZW5lcmFsIHBy
YWN0aWNlPC9rZXl3b3JkPjxrZXl3b3JkPmFkdmVyc2UgZXZlbnRzPC9rZXl3b3JkPjxrZXl3b3Jk
PnBhdGllbnQgc2FmZXR5PC9rZXl3b3JkPjxrZXl3b3JkPnF1YWxpdGF0aXZlIG1ldGhvZDwva2V5
d29yZD48a2V5d29yZD50YXNrIHNoaWZ0aW5nPC9rZXl3b3JkPjwva2V5d29yZHM+PGRhdGVzPjx5
ZWFyPjIwMjA8L3llYXI+PHB1Yi1kYXRlcz48ZGF0ZT5NYXI8L2RhdGU+PC9wdWItZGF0ZXM+PC9k
YXRlcz48aXNibj4wMjgxLTM0MzIgKFByaW50KSYjeEQ7MDI4MS0zNDMyPC9pc2JuPjxhY2Nlc3Np
b24tbnVtPjMxOTY5MDMzPC9hY2Nlc3Npb24tbnVtPjx1cmxzPjwvdXJscz48Y3VzdG9tMj5QTUM3
MDU0OTIwPC9jdXN0b20yPjxyZW1vdGUtZGF0YWJhc2UtcHJvdmlkZXI+TkxNPC9yZW1vdGUtZGF0
YWJhc2UtcHJvdmlkZXI+PGxhbmd1YWdlPmVuZzwvbGFuZ3VhZ2U+PC9yZWNvcmQ+PC9DaXRlPjwv
RW5kTm90ZT4A
</w:fldData>
        </w:fldChar>
      </w:r>
      <w:r w:rsidR="004654FD">
        <w:instrText xml:space="preserve"> ADDIN EN.CITE </w:instrText>
      </w:r>
      <w:r w:rsidR="004654FD">
        <w:fldChar w:fldCharType="begin">
          <w:fldData xml:space="preserve">PEVuZE5vdGU+PENpdGU+PEF1dGhvcj5NYWx0ZXJ1ZDwvQXV0aG9yPjxZZWFyPjIwMjA8L1llYXI+
PFJlY051bT4zMzY8L1JlY051bT48RGlzcGxheVRleHQ+KE1hbHRlcnVkIGV0IGFsLiwgMjAyMCk8
L0Rpc3BsYXlUZXh0PjxyZWNvcmQ+PHJlYy1udW1iZXI+MzM2PC9yZWMtbnVtYmVyPjxmb3JlaWdu
LWtleXM+PGtleSBhcHA9IkVOIiBkYi1pZD0iOTV0cHIydHA2cjl4d29lYTlyYjV3ZHN6NWRzNXhl
ZGR0ZWV3IiB0aW1lc3RhbXA9IjE2ODAwNjk1MTEiPjMzNjwva2V5PjwvZm9yZWlnbi1rZXlzPjxy
ZWYtdHlwZSBuYW1lPSJKb3VybmFsIEFydGljbGUiPjE3PC9yZWYtdHlwZT48Y29udHJpYnV0b3Jz
PjxhdXRob3JzPjxhdXRob3I+TWFsdGVydWQsIEsuPC9hdXRob3I+PGF1dGhvcj5BYW1sYW5kLCBB
LjwvYXV0aG9yPjxhdXRob3I+Rm9zc2UsIEEuPC9hdXRob3I+PC9hdXRob3JzPjwvY29udHJpYnV0
b3JzPjxhdXRoLWFkZHJlc3M+UmVzZWFyY2ggVW5pdCBmb3IgR2VuZXJhbCBQcmFjdGljZSwgTk9S
Q0UgTm9yd2VnaWFuIFJlc2VhcmNoIENlbnRyZSwgQmVyZ2VuLCBOb3J3YXkuJiN4RDtEZXBhcnRt
ZW50IG9mIEdsb2JhbCBQdWJsaWMgSGVhbHRoIGFuZCBQcmltYXJ5IENhcmUsIFVuaXZlcnNpdHkg
b2YgQmVyZ2VuLCBCZXJnZW4sIE5vcndheS4mI3hEO1RoZSBSZXNlYXJjaCBVbml0IGFuZCBTZWN0
aW9uIG9mIEdlbmVyYWwgUHJhY3RpY2UsIERlcGFydG1lbnQgb2YgUHVibGljIEhlYWx0aCwgVW5p
dmVyc2l0eSBvZiBDb3BlbmhhZ2VuLCBDb3BlbmhhZ2VuLCBEZW5tYXJrLiYjeEQ7SGVhbHRoLCBD
YXJlIGFuZCBTb2NpYWwgU2VydmljZXMsIENvdW50eSBHb3Zlcm5vciBvZiBBZ2RlciwgQXJlbmRh
bCwgTm9yd2F5LiYjeEQ7TmF0aW9uYWwgQ2VudHJlIG9mIFJ1cmFsIE1lZGljaW5lLCBEZXBhcnRt
ZW50IG9mIENvbW11bml0eSBNZWRpY2luZSwgRmFjdWx0eSBvZiBIZWFsdGggU2NpZW5jZXMsIFVu
aXZlcnNpdHkgb2YgVHJvbXPDuCwgVHJvbXPDuCwgTm9yd2F5LjwvYXV0aC1hZGRyZXNzPjx0aXRs
ZXM+PHRpdGxlPkhvdyBjYW4gdGFzayBzaGlmdGluZyBwdXQgcGF0aWVudCBzYWZldHkgYXQgcmlz
az8gQSBxdWFsaXRhdGl2ZSBzdHVkeSBvZiBleHBlcmllbmNlcyBhbW9uZyBnZW5lcmFsIHByYWN0
aXRpb25lcnMgaW4gTm9yd2F5PC90aXRsZT48c2Vjb25kYXJ5LXRpdGxlPlNjYW5kIEogUHJpbSBI
ZWFsdGggQ2FyZTwvc2Vjb25kYXJ5LXRpdGxlPjwvdGl0bGVzPjxwZXJpb2RpY2FsPjxmdWxsLXRp
dGxlPlNjYW5kIEogUHJpbSBIZWFsdGggQ2FyZTwvZnVsbC10aXRsZT48L3BlcmlvZGljYWw+PHBh
Z2VzPjI0LTMyPC9wYWdlcz48dm9sdW1lPjM4PC92b2x1bWU+PG51bWJlcj4xPC9udW1iZXI+PGVk
aXRpb24+MjAyMDAxMjM8L2VkaXRpb24+PGtleXdvcmRzPjxrZXl3b3JkPkFkdWx0PC9rZXl3b3Jk
PjxrZXl3b3JkPipBdHRpdHVkZSBvZiBIZWFsdGggUGVyc29ubmVsPC9rZXl3b3JkPjxrZXl3b3Jk
PkNsaW5pY2FsIENvbXBldGVuY2U8L2tleXdvcmQ+PGtleXdvcmQ+RmVtYWxlPC9rZXl3b3JkPjxr
ZXl3b3JkPkdlbmVyYWwgUHJhY3RpdGlvbmVycy8qcHN5Y2hvbG9neTwva2V5d29yZD48a2V5d29y
ZD5IdW1hbnM8L2tleXdvcmQ+PGtleXdvcmQ+TWFsZTwva2V5d29yZD48a2V5d29yZD5NZWRpY2Fs
IE92ZXJ1c2U8L2tleXdvcmQ+PGtleXdvcmQ+TWlkZGxlIEFnZWQ8L2tleXdvcmQ+PGtleXdvcmQ+
Tm9yd2F5PC9rZXl3b3JkPjxrZXl3b3JkPipQYXRpZW50IFNhZmV0eTwva2V5d29yZD48a2V5d29y
ZD5RdWFsaXRhdGl2ZSBSZXNlYXJjaDwva2V5d29yZD48a2V5d29yZD5SZXRyb3NwZWN0aXZlIFN0
dWRpZXM8L2tleXdvcmQ+PGtleXdvcmQ+Umlzazwva2V5d29yZD48a2V5d29yZD5HZW5lcmFsIHBy
YWN0aWNlPC9rZXl3b3JkPjxrZXl3b3JkPmFkdmVyc2UgZXZlbnRzPC9rZXl3b3JkPjxrZXl3b3Jk
PnBhdGllbnQgc2FmZXR5PC9rZXl3b3JkPjxrZXl3b3JkPnF1YWxpdGF0aXZlIG1ldGhvZDwva2V5
d29yZD48a2V5d29yZD50YXNrIHNoaWZ0aW5nPC9rZXl3b3JkPjwva2V5d29yZHM+PGRhdGVzPjx5
ZWFyPjIwMjA8L3llYXI+PHB1Yi1kYXRlcz48ZGF0ZT5NYXI8L2RhdGU+PC9wdWItZGF0ZXM+PC9k
YXRlcz48aXNibj4wMjgxLTM0MzIgKFByaW50KSYjeEQ7MDI4MS0zNDMyPC9pc2JuPjxhY2Nlc3Np
b24tbnVtPjMxOTY5MDMzPC9hY2Nlc3Npb24tbnVtPjx1cmxzPjwvdXJscz48Y3VzdG9tMj5QTUM3
MDU0OTIwPC9jdXN0b20yPjxyZW1vdGUtZGF0YWJhc2UtcHJvdmlkZXI+TkxNPC9yZW1vdGUtZGF0
YWJhc2UtcHJvdmlkZXI+PGxhbmd1YWdlPmVuZzwvbGFuZ3VhZ2U+PC9yZWNvcmQ+PC9DaXRlPjwv
RW5kTm90ZT4A
</w:fldData>
        </w:fldChar>
      </w:r>
      <w:r w:rsidR="004654FD">
        <w:instrText xml:space="preserve"> ADDIN EN.CITE.DATA </w:instrText>
      </w:r>
      <w:r w:rsidR="004654FD">
        <w:fldChar w:fldCharType="end"/>
      </w:r>
      <w:r w:rsidR="00394DD1">
        <w:fldChar w:fldCharType="separate"/>
      </w:r>
      <w:r w:rsidR="004654FD">
        <w:rPr>
          <w:noProof/>
        </w:rPr>
        <w:t>(Malterud et al., 2020)</w:t>
      </w:r>
      <w:r w:rsidR="00394DD1">
        <w:fldChar w:fldCharType="end"/>
      </w:r>
      <w:r w:rsidR="01B2ED65">
        <w:t>.</w:t>
      </w:r>
    </w:p>
    <w:p w14:paraId="048038F8" w14:textId="77777777" w:rsidR="00D9107F" w:rsidRDefault="375B265D" w:rsidP="00E96C39">
      <w:pPr>
        <w:jc w:val="both"/>
      </w:pPr>
      <w:r>
        <w:t xml:space="preserve">En senere systematisk oversikt av økonomiske evalueringer av </w:t>
      </w:r>
      <w:r w:rsidR="1DD2BF86">
        <w:t>oppgavedeling</w:t>
      </w:r>
      <w:r>
        <w:t xml:space="preserve"> fra lege til ulike helseprofesjoner</w:t>
      </w:r>
      <w:r w:rsidR="004E73CB">
        <w:t>,</w:t>
      </w:r>
      <w:r>
        <w:t xml:space="preserve"> viste at dokumentasjonen av kostnadsbesparende virkninger er begrenset og med lav kvalitet. </w:t>
      </w:r>
      <w:r w:rsidR="4FBE6F95">
        <w:t>Innsparinger ved lavere lønn for sykepleiere ser ut til å utjevnes ved lengre konsultasjonstid</w:t>
      </w:r>
      <w:r w:rsidR="37A367C7">
        <w:t xml:space="preserve"> </w:t>
      </w:r>
      <w:r w:rsidR="00394DD1">
        <w:fldChar w:fldCharType="begin">
          <w:fldData xml:space="preserve">PEVuZE5vdGU+PENpdGU+PEF1dGhvcj5BbnRob255PC9BdXRob3I+PFllYXI+MjAxOTwvWWVhcj48
UmVjTnVtPjI4ODwvUmVjTnVtPjxEaXNwbGF5VGV4dD4oQW50aG9ueSBldCBhbC4sIDIwMTkpPC9E
aXNwbGF5VGV4dD48cmVjb3JkPjxyZWMtbnVtYmVyPjI4ODwvcmVjLW51bWJlcj48Zm9yZWlnbi1r
ZXlzPjxrZXkgYXBwPSJFTiIgZGItaWQ9Ijk1dHByMnRwNnI5eHdvZWE5cmI1d2RzejVkczV4ZWRk
dGVldyIgdGltZXN0YW1wPSIxNjgwMDY5NTExIj4yODg8L2tleT48L2ZvcmVpZ24ta2V5cz48cmVm
LXR5cGUgbmFtZT0iSm91cm5hbCBBcnRpY2xlIj4xNzwvcmVmLXR5cGU+PGNvbnRyaWJ1dG9ycz48
YXV0aG9ycz48YXV0aG9yPkFudGhvbnksIEIuIEYuPC9hdXRob3I+PGF1dGhvcj5TdXJnZXksIEEu
PC9hdXRob3I+PGF1dGhvcj5IaXNjb2NrLCBKLjwvYXV0aG9yPjxhdXRob3I+V2lsbGlhbXMsIE4u
IEguPC9hdXRob3I+PGF1dGhvcj5DaGFybGVzLCBKLiBNLjwvYXV0aG9yPjwvYXV0aG9ycz48L2Nv
bnRyaWJ1dG9ycz48YXV0aC1hZGRyZXNzPkFudGhvbnksIEJldGhhbnkgRi4gU2Nob29sIG9mIEhl
YWx0aGNhcmUgU2NpZW5jZXMuJiN4RDtTdXJnZXksIEFsdW4uIE5vcnRoIFdhbGVzIENlbnRyZSBm
b3IgUHJpbWFyeSBDYXJlIFJlc2VhcmNoLiYjeEQ7SGlzY29jaywgSnVsaWEuIE5vcnRoIFdhbGVz
IENlbnRyZSBmb3IgUHJpbWFyeSBDYXJlIFJlc2VhcmNoLiYjeEQ7V2lsbGlhbXMsIE5lZnluIEgu
IERlcGFydG1lbnQgb2YgSGVhbHRoIFNlcnZpY2VzIFJlc2VhcmNoLCBJbnN0aXR1dGUgb2YgUHN5
Y2hvbG9neSwgSGVhbHRoIGFuZCBTb2NpZXR5LCBVbml2ZXJzaXR5IG9mIExpdmVycG9vbCwgTGl2
ZXJwb29sLiYjeEQ7Q2hhcmxlcywgSm9hbm5hIE0uIENlbnRyZSBmb3IgSGVhbHRoIEVjb25vbWlj
cyBhbmQgTWVkaWNpbmVzIEV2YWx1YXRpb24sIEJhbmdvciBVbml2ZXJzaXR5LCBCYW5nb3IuPC9h
dXRoLWFkZHJlc3M+PHRpdGxlcz48dGl0bGU+R2VuZXJhbCBtZWRpY2FsIHNlcnZpY2VzIGJ5IG5v
bi1tZWRpY2FsIGhlYWx0aCBwcm9mZXNzaW9uYWxzOiBhIHN5c3RlbWF0aWMgcXVhbnRpdGF0aXZl
IHJldmlldyBvZiBlY29ub21pYyBldmFsdWF0aW9ucyBpbiBwcmltYXJ5IGNhcmU8L3RpdGxlPjxz
ZWNvbmRhcnktdGl0bGU+QnJpdGlzaCBKb3VybmFsIG9mIEdlbmVyYWwgUHJhY3RpY2U8L3NlY29u
ZGFyeS10aXRsZT48YWx0LXRpdGxlPkJyIEogR2VuIFByYWN0PC9hbHQtdGl0bGU+PC90aXRsZXM+
PGFsdC1wZXJpb2RpY2FsPjxmdWxsLXRpdGxlPkJyIEogR2VuIFByYWN0PC9mdWxsLXRpdGxlPjwv
YWx0LXBlcmlvZGljYWw+PHBhZ2VzPmUzMDQtZTMxMzwvcGFnZXM+PHZvbHVtZT42OTwvdm9sdW1l
PjxudW1iZXI+NjgyPC9udW1iZXI+PGtleXdvcmRzPjxrZXl3b3JkPipBbGxpZWQgSGVhbHRoIFBl
cnNvbm5lbDwva2V5d29yZD48a2V5d29yZD5Db3N0LUJlbmVmaXQgQW5hbHlzaXM8L2tleXdvcmQ+
PGtleXdvcmQ+KkdlbmVyYWwgUHJhY3RpdGlvbmVyczwva2V5d29yZD48a2V5d29yZD5IdW1hbnM8
L2tleXdvcmQ+PGtleXdvcmQ+Kk51cnNlIFByYWN0aXRpb25lcnM8L2tleXdvcmQ+PGtleXdvcmQ+
KlBoYXJtYWNpc3RzPC9rZXl3b3JkPjxrZXl3b3JkPlByaW1hcnkgSGVhbHRoIENhcmUvZWMgW0Vj
b25vbWljc108L2tleXdvcmQ+PGtleXdvcmQ+UHJpbWFyeSBIZWFsdGggQ2FyZS9vZyBbT3JnYW5p
emF0aW9uICZhbXA7IEFkbWluaXN0cmF0aW9uXTwva2V5d29yZD48a2V5d29yZD4qUHJpbWFyeSBI
ZWFsdGggQ2FyZTwva2V5d29yZD48a2V5d29yZD5Qcm9mZXNzaW9uYWwgUm9sZTwva2V5d29yZD48
L2tleXdvcmRzPjxkYXRlcz48eWVhcj4yMDE5PC95ZWFyPjxwdWItZGF0ZXM+PGRhdGU+TWF5PC9k
YXRlPjwvcHViLWRhdGVzPjwvZGF0ZXM+PGlzYm4+MTQ3OC01MjQyPC9pc2JuPjxhY2Nlc3Npb24t
bnVtPjMxMDE1MjIzPC9hY2Nlc3Npb24tbnVtPjxsYWJlbD4xMC4zMzk5L2JqZ3AxOVg3MDI0MjU8
L2xhYmVsPjx3b3JrLXR5cGU+U3lzdGVtYXRpYyBSZXZpZXc8L3dvcmstdHlwZT48dXJscz48cmVs
YXRlZC11cmxzPjx1cmw+aHR0cHM6Ly9vdmlkc3Aub3ZpZC5jb20vb3ZpZHdlYi5jZ2k/VD1KUyZh
bXA7Q1NDPVkmYW1wO05FV1M9TiZhbXA7UEFHRT1mdWxsdGV4dCZhbXA7RD1tZWQxNiZhbXA7QU49
MzEwMTUyMjM8L3VybD48dXJsPmh0dHA6Ly9vcGVudXJsLmJpYnN5cy5uby9vcGVudXJsP290b29s
PWlub2lwaGxpYj9zaWQ9T1ZJRDptZWRsaW5lJmFtcDtpZD1wbWlkOjMxMDE1MjIzJmFtcDtpZD1k
b2k6MTAuMzM5OSUyRmJqZ3AxOVg3MDI0MjUmYW1wO2lzc249MDk2MC0xNjQzJmFtcDtpc2JuPSZh
bXA7dm9sdW1lPTY5JmFtcDtpc3N1ZT02ODImYW1wO3NwYWdlPWUzMDQmYW1wO3BhZ2VzPWUzMDQt
ZTMxMyZhbXA7ZGF0ZT0yMDE5JmFtcDt0aXRsZT1Ccml0aXNoK0pvdXJuYWwrb2YrR2VuZXJhbCtQ
cmFjdGljZSZhbXA7YXRpdGxlPUdlbmVyYWwrbWVkaWNhbCtzZXJ2aWNlcytieStub24tbWVkaWNh
bCtoZWFsdGgrcHJvZmVzc2lvbmFscyUzQSthK3N5c3RlbWF0aWMrcXVhbnRpdGF0aXZlK3Jldmll
dytvZitlY29ub21pYytldmFsdWF0aW9ucytpbitwcmltYXJ5K2NhcmUuJmFtcDthdWxhc3Q9QW50
aG9ueSZhbXA7cGlkPSUzQ2F1dGhvciUzRUFudGhvbnkrQkYlM0MlMkZhdXRob3IlM0UlM0NBTiUz
RTMxMDE1MjIzJTNDJTJGQU4lM0UlM0NEVCUzRUpvdXJuYWwrQXJ0aWNsZSUzQyUyRkRUJTNFPC91
cmw+PC9yZWxhdGVkLXVybHM+PC91cmxzPjxlbGVjdHJvbmljLXJlc291cmNlLW51bT4xMC4zMzk5
L2JqZ3AxOVg3MDI0MjU8L2VsZWN0cm9uaWMtcmVzb3VyY2UtbnVtPjxyZW1vdGUtZGF0YWJhc2Ut
bmFtZT5PcHBnYXZlZ2xpZG5pbmc8L3JlbW90ZS1kYXRhYmFzZS1uYW1lPjxyZW1vdGUtZGF0YWJh
c2UtcHJvdmlkZXI+T3ZpZCBUZWNobm9sb2dpZXM8L3JlbW90ZS1kYXRhYmFzZS1wcm92aWRlcj48
bGFuZ3VhZ2U+RW5nbGlzaDwvbGFuZ3VhZ2U+PC9yZWNvcmQ+PC9DaXRlPjwvRW5kTm90ZT4A
</w:fldData>
        </w:fldChar>
      </w:r>
      <w:r w:rsidR="004654FD">
        <w:instrText xml:space="preserve"> ADDIN EN.CITE </w:instrText>
      </w:r>
      <w:r w:rsidR="004654FD">
        <w:fldChar w:fldCharType="begin">
          <w:fldData xml:space="preserve">PEVuZE5vdGU+PENpdGU+PEF1dGhvcj5BbnRob255PC9BdXRob3I+PFllYXI+MjAxOTwvWWVhcj48
UmVjTnVtPjI4ODwvUmVjTnVtPjxEaXNwbGF5VGV4dD4oQW50aG9ueSBldCBhbC4sIDIwMTkpPC9E
aXNwbGF5VGV4dD48cmVjb3JkPjxyZWMtbnVtYmVyPjI4ODwvcmVjLW51bWJlcj48Zm9yZWlnbi1r
ZXlzPjxrZXkgYXBwPSJFTiIgZGItaWQ9Ijk1dHByMnRwNnI5eHdvZWE5cmI1d2RzejVkczV4ZWRk
dGVldyIgdGltZXN0YW1wPSIxNjgwMDY5NTExIj4yODg8L2tleT48L2ZvcmVpZ24ta2V5cz48cmVm
LXR5cGUgbmFtZT0iSm91cm5hbCBBcnRpY2xlIj4xNzwvcmVmLXR5cGU+PGNvbnRyaWJ1dG9ycz48
YXV0aG9ycz48YXV0aG9yPkFudGhvbnksIEIuIEYuPC9hdXRob3I+PGF1dGhvcj5TdXJnZXksIEEu
PC9hdXRob3I+PGF1dGhvcj5IaXNjb2NrLCBKLjwvYXV0aG9yPjxhdXRob3I+V2lsbGlhbXMsIE4u
IEguPC9hdXRob3I+PGF1dGhvcj5DaGFybGVzLCBKLiBNLjwvYXV0aG9yPjwvYXV0aG9ycz48L2Nv
bnRyaWJ1dG9ycz48YXV0aC1hZGRyZXNzPkFudGhvbnksIEJldGhhbnkgRi4gU2Nob29sIG9mIEhl
YWx0aGNhcmUgU2NpZW5jZXMuJiN4RDtTdXJnZXksIEFsdW4uIE5vcnRoIFdhbGVzIENlbnRyZSBm
b3IgUHJpbWFyeSBDYXJlIFJlc2VhcmNoLiYjeEQ7SGlzY29jaywgSnVsaWEuIE5vcnRoIFdhbGVz
IENlbnRyZSBmb3IgUHJpbWFyeSBDYXJlIFJlc2VhcmNoLiYjeEQ7V2lsbGlhbXMsIE5lZnluIEgu
IERlcGFydG1lbnQgb2YgSGVhbHRoIFNlcnZpY2VzIFJlc2VhcmNoLCBJbnN0aXR1dGUgb2YgUHN5
Y2hvbG9neSwgSGVhbHRoIGFuZCBTb2NpZXR5LCBVbml2ZXJzaXR5IG9mIExpdmVycG9vbCwgTGl2
ZXJwb29sLiYjeEQ7Q2hhcmxlcywgSm9hbm5hIE0uIENlbnRyZSBmb3IgSGVhbHRoIEVjb25vbWlj
cyBhbmQgTWVkaWNpbmVzIEV2YWx1YXRpb24sIEJhbmdvciBVbml2ZXJzaXR5LCBCYW5nb3IuPC9h
dXRoLWFkZHJlc3M+PHRpdGxlcz48dGl0bGU+R2VuZXJhbCBtZWRpY2FsIHNlcnZpY2VzIGJ5IG5v
bi1tZWRpY2FsIGhlYWx0aCBwcm9mZXNzaW9uYWxzOiBhIHN5c3RlbWF0aWMgcXVhbnRpdGF0aXZl
IHJldmlldyBvZiBlY29ub21pYyBldmFsdWF0aW9ucyBpbiBwcmltYXJ5IGNhcmU8L3RpdGxlPjxz
ZWNvbmRhcnktdGl0bGU+QnJpdGlzaCBKb3VybmFsIG9mIEdlbmVyYWwgUHJhY3RpY2U8L3NlY29u
ZGFyeS10aXRsZT48YWx0LXRpdGxlPkJyIEogR2VuIFByYWN0PC9hbHQtdGl0bGU+PC90aXRsZXM+
PGFsdC1wZXJpb2RpY2FsPjxmdWxsLXRpdGxlPkJyIEogR2VuIFByYWN0PC9mdWxsLXRpdGxlPjwv
YWx0LXBlcmlvZGljYWw+PHBhZ2VzPmUzMDQtZTMxMzwvcGFnZXM+PHZvbHVtZT42OTwvdm9sdW1l
PjxudW1iZXI+NjgyPC9udW1iZXI+PGtleXdvcmRzPjxrZXl3b3JkPipBbGxpZWQgSGVhbHRoIFBl
cnNvbm5lbDwva2V5d29yZD48a2V5d29yZD5Db3N0LUJlbmVmaXQgQW5hbHlzaXM8L2tleXdvcmQ+
PGtleXdvcmQ+KkdlbmVyYWwgUHJhY3RpdGlvbmVyczwva2V5d29yZD48a2V5d29yZD5IdW1hbnM8
L2tleXdvcmQ+PGtleXdvcmQ+Kk51cnNlIFByYWN0aXRpb25lcnM8L2tleXdvcmQ+PGtleXdvcmQ+
KlBoYXJtYWNpc3RzPC9rZXl3b3JkPjxrZXl3b3JkPlByaW1hcnkgSGVhbHRoIENhcmUvZWMgW0Vj
b25vbWljc108L2tleXdvcmQ+PGtleXdvcmQ+UHJpbWFyeSBIZWFsdGggQ2FyZS9vZyBbT3JnYW5p
emF0aW9uICZhbXA7IEFkbWluaXN0cmF0aW9uXTwva2V5d29yZD48a2V5d29yZD4qUHJpbWFyeSBI
ZWFsdGggQ2FyZTwva2V5d29yZD48a2V5d29yZD5Qcm9mZXNzaW9uYWwgUm9sZTwva2V5d29yZD48
L2tleXdvcmRzPjxkYXRlcz48eWVhcj4yMDE5PC95ZWFyPjxwdWItZGF0ZXM+PGRhdGU+TWF5PC9k
YXRlPjwvcHViLWRhdGVzPjwvZGF0ZXM+PGlzYm4+MTQ3OC01MjQyPC9pc2JuPjxhY2Nlc3Npb24t
bnVtPjMxMDE1MjIzPC9hY2Nlc3Npb24tbnVtPjxsYWJlbD4xMC4zMzk5L2JqZ3AxOVg3MDI0MjU8
L2xhYmVsPjx3b3JrLXR5cGU+U3lzdGVtYXRpYyBSZXZpZXc8L3dvcmstdHlwZT48dXJscz48cmVs
YXRlZC11cmxzPjx1cmw+aHR0cHM6Ly9vdmlkc3Aub3ZpZC5jb20vb3ZpZHdlYi5jZ2k/VD1KUyZh
bXA7Q1NDPVkmYW1wO05FV1M9TiZhbXA7UEFHRT1mdWxsdGV4dCZhbXA7RD1tZWQxNiZhbXA7QU49
MzEwMTUyMjM8L3VybD48dXJsPmh0dHA6Ly9vcGVudXJsLmJpYnN5cy5uby9vcGVudXJsP290b29s
PWlub2lwaGxpYj9zaWQ9T1ZJRDptZWRsaW5lJmFtcDtpZD1wbWlkOjMxMDE1MjIzJmFtcDtpZD1k
b2k6MTAuMzM5OSUyRmJqZ3AxOVg3MDI0MjUmYW1wO2lzc249MDk2MC0xNjQzJmFtcDtpc2JuPSZh
bXA7dm9sdW1lPTY5JmFtcDtpc3N1ZT02ODImYW1wO3NwYWdlPWUzMDQmYW1wO3BhZ2VzPWUzMDQt
ZTMxMyZhbXA7ZGF0ZT0yMDE5JmFtcDt0aXRsZT1Ccml0aXNoK0pvdXJuYWwrb2YrR2VuZXJhbCtQ
cmFjdGljZSZhbXA7YXRpdGxlPUdlbmVyYWwrbWVkaWNhbCtzZXJ2aWNlcytieStub24tbWVkaWNh
bCtoZWFsdGgrcHJvZmVzc2lvbmFscyUzQSthK3N5c3RlbWF0aWMrcXVhbnRpdGF0aXZlK3Jldmll
dytvZitlY29ub21pYytldmFsdWF0aW9ucytpbitwcmltYXJ5K2NhcmUuJmFtcDthdWxhc3Q9QW50
aG9ueSZhbXA7cGlkPSUzQ2F1dGhvciUzRUFudGhvbnkrQkYlM0MlMkZhdXRob3IlM0UlM0NBTiUz
RTMxMDE1MjIzJTNDJTJGQU4lM0UlM0NEVCUzRUpvdXJuYWwrQXJ0aWNsZSUzQyUyRkRUJTNFPC91
cmw+PC9yZWxhdGVkLXVybHM+PC91cmxzPjxlbGVjdHJvbmljLXJlc291cmNlLW51bT4xMC4zMzk5
L2JqZ3AxOVg3MDI0MjU8L2VsZWN0cm9uaWMtcmVzb3VyY2UtbnVtPjxyZW1vdGUtZGF0YWJhc2Ut
bmFtZT5PcHBnYXZlZ2xpZG5pbmc8L3JlbW90ZS1kYXRhYmFzZS1uYW1lPjxyZW1vdGUtZGF0YWJh
c2UtcHJvdmlkZXI+T3ZpZCBUZWNobm9sb2dpZXM8L3JlbW90ZS1kYXRhYmFzZS1wcm92aWRlcj48
bGFuZ3VhZ2U+RW5nbGlzaDwvbGFuZ3VhZ2U+PC9yZWNvcmQ+PC9DaXRlPjwvRW5kTm90ZT4A
</w:fldData>
        </w:fldChar>
      </w:r>
      <w:r w:rsidR="004654FD">
        <w:instrText xml:space="preserve"> ADDIN EN.CITE.DATA </w:instrText>
      </w:r>
      <w:r w:rsidR="004654FD">
        <w:fldChar w:fldCharType="end"/>
      </w:r>
      <w:r w:rsidR="00394DD1">
        <w:fldChar w:fldCharType="separate"/>
      </w:r>
      <w:r w:rsidR="004654FD">
        <w:rPr>
          <w:noProof/>
        </w:rPr>
        <w:t>(Anthony et al., 2019)</w:t>
      </w:r>
      <w:r w:rsidR="00394DD1">
        <w:fldChar w:fldCharType="end"/>
      </w:r>
      <w:r w:rsidR="1174775B">
        <w:t>.</w:t>
      </w:r>
    </w:p>
    <w:p w14:paraId="724D4D54" w14:textId="1EC19BBC" w:rsidR="00FB16BE" w:rsidRDefault="16CF38E5" w:rsidP="00E96C39">
      <w:pPr>
        <w:jc w:val="both"/>
      </w:pPr>
      <w:r>
        <w:lastRenderedPageBreak/>
        <w:t>I Helsepersonellkommisjonenes rapport løftes riktig oppgavedeling som en sentral strategi for å oppnå en bærekraftig bemanning i helse- og omsorgssektoren</w:t>
      </w:r>
      <w:r w:rsidR="00BB5BD6">
        <w:t>,</w:t>
      </w:r>
      <w:r>
        <w:t xml:space="preserve"> samtidig som det er avgjørende for god samhandling i tjenesten. Kommisjonen viser også til stor oppslutning om prinsippet om riktig oppgavedeling i majoriteten av innspillene som ble mottatt i arbeidet.</w:t>
      </w:r>
      <w:r w:rsidR="58D6E141">
        <w:t xml:space="preserve"> Rapporten </w:t>
      </w:r>
      <w:r w:rsidR="4BA2FAE7">
        <w:t>viser også</w:t>
      </w:r>
      <w:r w:rsidR="12AC1389">
        <w:t xml:space="preserve"> til</w:t>
      </w:r>
      <w:r w:rsidR="4BA2FAE7">
        <w:t xml:space="preserve"> stort potensiale for å </w:t>
      </w:r>
      <w:r w:rsidR="3B19C447">
        <w:t>arbeide mer strukturert med oppgavedeling</w:t>
      </w:r>
      <w:r w:rsidR="13594265">
        <w:t>, og</w:t>
      </w:r>
      <w:r w:rsidR="51F1D8D2">
        <w:t xml:space="preserve"> gjennom det bidra til </w:t>
      </w:r>
      <w:r w:rsidR="003771F6">
        <w:t xml:space="preserve">å </w:t>
      </w:r>
      <w:r w:rsidR="6AB2F216">
        <w:t>opprettholde kvalitet</w:t>
      </w:r>
      <w:r w:rsidR="4D5B0F40">
        <w:t xml:space="preserve"> og større effektivitet</w:t>
      </w:r>
      <w:r w:rsidR="6AB2F216">
        <w:t xml:space="preserve"> i tjenesten</w:t>
      </w:r>
      <w:r w:rsidR="22E3DDC3">
        <w:t xml:space="preserve"> </w:t>
      </w:r>
      <w:r w:rsidR="009D5E7C">
        <w:fldChar w:fldCharType="begin"/>
      </w:r>
      <w:r w:rsidR="009D5E7C">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9D5E7C">
        <w:fldChar w:fldCharType="separate"/>
      </w:r>
      <w:r w:rsidR="009D5E7C">
        <w:rPr>
          <w:noProof/>
        </w:rPr>
        <w:t>(Helse- og omsorgsdepartementet, 2023c)</w:t>
      </w:r>
      <w:r w:rsidR="009D5E7C">
        <w:fldChar w:fldCharType="end"/>
      </w:r>
      <w:r w:rsidR="6A032089">
        <w:t>.</w:t>
      </w:r>
    </w:p>
    <w:p w14:paraId="5A23B577" w14:textId="77777777" w:rsidR="00D9107F" w:rsidRDefault="375B265D" w:rsidP="00775632">
      <w:pPr>
        <w:pStyle w:val="Overskrift4"/>
      </w:pPr>
      <w:bookmarkStart w:id="3107" w:name="_Toc130983539"/>
      <w:bookmarkStart w:id="3108" w:name="_Toc130983888"/>
      <w:bookmarkStart w:id="3109" w:name="_Toc131238470"/>
      <w:bookmarkStart w:id="3110" w:name="_Toc131279501"/>
      <w:bookmarkStart w:id="3111" w:name="_Toc131286913"/>
      <w:bookmarkStart w:id="3112" w:name="_Toc131281323"/>
      <w:bookmarkStart w:id="3113" w:name="_Toc131317863"/>
      <w:r>
        <w:t xml:space="preserve">Barrierer for </w:t>
      </w:r>
      <w:r w:rsidR="1DD2BF86">
        <w:t>oppgavedeling</w:t>
      </w:r>
      <w:bookmarkEnd w:id="3107"/>
      <w:bookmarkEnd w:id="3108"/>
      <w:bookmarkEnd w:id="3109"/>
      <w:bookmarkEnd w:id="3110"/>
      <w:bookmarkEnd w:id="3111"/>
      <w:bookmarkEnd w:id="3112"/>
      <w:bookmarkEnd w:id="3113"/>
    </w:p>
    <w:p w14:paraId="30FE9288" w14:textId="77777777" w:rsidR="00D9107F" w:rsidRDefault="008A4BF6" w:rsidP="003774DB">
      <w:pPr>
        <w:jc w:val="both"/>
      </w:pPr>
      <w:r>
        <w:t xml:space="preserve">En OECD-rapport </w:t>
      </w:r>
      <w:r w:rsidR="00C7481B">
        <w:t>om</w:t>
      </w:r>
      <w:r>
        <w:t xml:space="preserve"> oppgavedeling </w:t>
      </w:r>
      <w:r w:rsidR="005E2B48">
        <w:t xml:space="preserve">fra lege til sykepleier i </w:t>
      </w:r>
      <w:r w:rsidR="00CB06FC">
        <w:t>39 lan</w:t>
      </w:r>
      <w:r w:rsidR="00DC0AC0">
        <w:t>d</w:t>
      </w:r>
      <w:r w:rsidR="001C56EC">
        <w:t>,</w:t>
      </w:r>
      <w:r>
        <w:t xml:space="preserve"> </w:t>
      </w:r>
      <w:r w:rsidR="00633473">
        <w:t>viser at b</w:t>
      </w:r>
      <w:r w:rsidR="375B265D">
        <w:t xml:space="preserve">arrierer for </w:t>
      </w:r>
      <w:r w:rsidR="1DD2BF86">
        <w:t>oppgavedeling</w:t>
      </w:r>
      <w:r w:rsidR="375B265D">
        <w:t xml:space="preserve"> </w:t>
      </w:r>
      <w:r w:rsidR="0016702F">
        <w:t>i primærhelsetjenesten</w:t>
      </w:r>
      <w:r w:rsidR="375B265D">
        <w:t xml:space="preserve"> består av en rekke faktorer relatert til blant annet organisering, tilgang på helsepersonell samt juridiske, politiske, finansielle og kulturelle faktorer</w:t>
      </w:r>
      <w:r w:rsidR="009C6AFF">
        <w:t xml:space="preserve"> </w:t>
      </w:r>
      <w:r w:rsidR="00BE43A2">
        <w:fldChar w:fldCharType="begin"/>
      </w:r>
      <w:r w:rsidR="00BE43A2">
        <w:instrText xml:space="preserve"> ADDIN EN.CITE &lt;EndNote&gt;&lt;Cite ExcludeYear="1"&gt;&lt;Author&gt;Maier&lt;/Author&gt;&lt;RecNum&gt;1018&lt;/RecNum&gt;&lt;DisplayText&gt;(Maier et al.)&lt;/DisplayText&gt;&lt;record&gt;&lt;rec-number&gt;1018&lt;/rec-number&gt;&lt;foreign-keys&gt;&lt;key app="EN" db-id="95tpr2tp6r9xwoea9rb5wdsz5ds5xeddteew" timestamp="1681136372"&gt;1018&lt;/key&gt;&lt;/foreign-keys&gt;&lt;ref-type name="Report"&gt;27&lt;/ref-type&gt;&lt;contributors&gt;&lt;authors&gt;&lt;author&gt;Maier, C. B.&lt;/author&gt;&lt;author&gt;Aiken, L. H.&lt;/author&gt;&lt;author&gt;Busse, R.&lt;/author&gt;&lt;/authors&gt;&lt;tertiary-authors&gt;&lt;author&gt;OECD &lt;/author&gt;&lt;/tertiary-authors&gt;&lt;/contributors&gt;&lt;titles&gt;&lt;title&gt;Nurses in advanced roles in primary care: Policy levers for implementation&lt;/title&gt;&lt;secondary-title&gt;OECD Health working papers no. 98&lt;/secondary-title&gt;&lt;/titles&gt;&lt;dates&gt;&lt;/dates&gt;&lt;urls&gt;&lt;/urls&gt;&lt;/record&gt;&lt;/Cite&gt;&lt;/EndNote&gt;</w:instrText>
      </w:r>
      <w:r w:rsidR="00BE43A2">
        <w:fldChar w:fldCharType="separate"/>
      </w:r>
      <w:r w:rsidR="00BE43A2">
        <w:rPr>
          <w:noProof/>
        </w:rPr>
        <w:t>(Maier et al.)</w:t>
      </w:r>
      <w:r w:rsidR="00BE43A2">
        <w:fldChar w:fldCharType="end"/>
      </w:r>
      <w:r w:rsidR="1174775B">
        <w:t>.</w:t>
      </w:r>
      <w:r w:rsidR="375B265D">
        <w:t xml:space="preserve"> For å gjennomføre </w:t>
      </w:r>
      <w:r w:rsidR="1DD2BF86">
        <w:t>oppgavedeling</w:t>
      </w:r>
      <w:r w:rsidR="375B265D">
        <w:t xml:space="preserve"> pekes det på at det er nødvendig med politiske endringer i styring og regulering av profesjoner, og endringer i finansiering og betaling av tjenesten. Støtte i organisasjonen for omfordeling av oppgaver til andre helseprofesjoner</w:t>
      </w:r>
      <w:r w:rsidR="00671AD0">
        <w:t>,</w:t>
      </w:r>
      <w:r w:rsidR="375B265D">
        <w:t xml:space="preserve"> er også sentralt for at oppgaveforskyvning implementeres </w:t>
      </w:r>
      <w:r w:rsidR="00394DD1">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EN.CITE.DATA </w:instrText>
      </w:r>
      <w:r w:rsidR="004654FD">
        <w:fldChar w:fldCharType="end"/>
      </w:r>
      <w:r w:rsidR="00394DD1">
        <w:fldChar w:fldCharType="separate"/>
      </w:r>
      <w:r w:rsidR="004654FD">
        <w:rPr>
          <w:noProof/>
        </w:rPr>
        <w:t>(Maier et al., 2016)</w:t>
      </w:r>
      <w:r w:rsidR="00394DD1">
        <w:fldChar w:fldCharType="end"/>
      </w:r>
      <w:r w:rsidR="1174775B">
        <w:t>.</w:t>
      </w:r>
    </w:p>
    <w:p w14:paraId="19A89A99" w14:textId="2DEDADD8" w:rsidR="00770B08" w:rsidRDefault="375B265D" w:rsidP="003774DB">
      <w:pPr>
        <w:jc w:val="both"/>
      </w:pPr>
      <w:r>
        <w:t>En systematisk kunnskapsoversikt fra 2019 om barrierer og fremmere for omfordeling av oppgaver fra lege til sykepleier</w:t>
      </w:r>
      <w:r w:rsidR="0002777F">
        <w:t>,</w:t>
      </w:r>
      <w:r>
        <w:t xml:space="preserve"> inkluderte 66 kvalitative studier fra 25 land</w:t>
      </w:r>
      <w:r w:rsidR="72717A06">
        <w:t xml:space="preserve"> </w:t>
      </w:r>
      <w:r w:rsidR="00FC180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 </w:instrText>
      </w:r>
      <w:r w:rsidR="004654F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EN.CITE.DATA </w:instrText>
      </w:r>
      <w:r w:rsidR="004654FD">
        <w:fldChar w:fldCharType="end"/>
      </w:r>
      <w:r w:rsidR="00FC180D">
        <w:fldChar w:fldCharType="separate"/>
      </w:r>
      <w:r w:rsidR="00FC180D">
        <w:rPr>
          <w:noProof/>
        </w:rPr>
        <w:t>(Karimi-Shahanjarini et al., 2019)</w:t>
      </w:r>
      <w:r w:rsidR="00FC180D">
        <w:fldChar w:fldCharType="end"/>
      </w:r>
      <w:r w:rsidR="1174775B">
        <w:t>.</w:t>
      </w:r>
      <w:r w:rsidR="00D9107F" w:rsidRPr="00D9107F">
        <w:rPr>
          <w:rStyle w:val="skrift-hevet"/>
        </w:rPr>
        <w:t xml:space="preserve"> </w:t>
      </w:r>
      <w:r>
        <w:t>I mange av studiene oppgav pasientene at de var ukjent med sykepleierens rolle og forskjellen mellom sykepleie- og legeledet</w:t>
      </w:r>
      <w:r w:rsidR="00EF634C">
        <w:t>e</w:t>
      </w:r>
      <w:r>
        <w:t xml:space="preserve"> </w:t>
      </w:r>
      <w:r w:rsidR="00EF634C">
        <w:t>tjenester</w:t>
      </w:r>
      <w:r>
        <w:t xml:space="preserve">. De hadde ulike syn på hvilke oppgaver sykepleier kunne utføre, og foretrakk lege når oppgavene var av medisinsk karakter, mens sykepleier kunne utføre forebyggende arbeid og oppfølging. Dette var på linje med funnene i </w:t>
      </w:r>
      <w:r w:rsidR="00B227C3">
        <w:t xml:space="preserve">en </w:t>
      </w:r>
      <w:r>
        <w:t>paraplyoversikt</w:t>
      </w:r>
      <w:r w:rsidR="00281886">
        <w:t>,</w:t>
      </w:r>
      <w:r>
        <w:t xml:space="preserve"> der pasientene foretr</w:t>
      </w:r>
      <w:r w:rsidR="006F3C0E">
        <w:t>a</w:t>
      </w:r>
      <w:r>
        <w:t>kk leger som utøvere av mer kompleks, medisinsk behandling, men at de generelt hadde tillit til annet helsepersonell ved utføring av rutinemessig klinisk arbeid</w:t>
      </w:r>
      <w:r w:rsidR="10A0862A">
        <w:t xml:space="preserve"> </w:t>
      </w:r>
      <w:r w:rsidR="00FC180D">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 </w:instrText>
      </w:r>
      <w:r w:rsidR="004654FD">
        <w:fldChar w:fldCharType="begin">
          <w:fldData xml:space="preserve">PEVuZE5vdGU+PENpdGU+PEF1dGhvcj5MZW9uZzwvQXV0aG9yPjxZZWFyPjIwMjE8L1llYXI+PFJl
Y051bT44MTA8L1JlY051bT48RGlzcGxheVRleHQ+KExlb25nIGV0IGFsLiwgMjAyMSk8L0Rpc3Bs
YXlUZXh0PjxyZWNvcmQ+PHJlYy1udW1iZXI+ODEwPC9yZWMtbnVtYmVyPjxmb3JlaWduLWtleXM+
PGtleSBhcHA9IkVOIiBkYi1pZD0iOTV0cHIydHA2cjl4d29lYTlyYjV3ZHN6NWRzNXhlZGR0ZWV3
IiB0aW1lc3RhbXA9IjE2ODAwNjk1MTEiPjgxMDwva2V5PjwvZm9yZWlnbi1rZXlzPjxyZWYtdHlw
ZSBuYW1lPSJKb3VybmFsIEFydGljbGUiPjE3PC9yZWYtdHlwZT48Y29udHJpYnV0b3JzPjxhdXRo
b3JzPjxhdXRob3I+TGVvbmcsIFMuIEwuPC9hdXRob3I+PGF1dGhvcj5UZW9oLCBTLiBMLjwvYXV0
aG9yPjxhdXRob3I+RnVuLCBXLiBILjwvYXV0aG9yPjxhdXRob3I+TGVlLCBTLiBXLiBILjwvYXV0
aG9yPjwvYXV0aG9ycz48L2NvbnRyaWJ1dG9ycz48YXV0aC1hZGRyZXNzPkxlb25nLCBTaWV3IExp
YW4uIEZhY3VsdHkgb2YgUGhhcm1hY3ksIEN5YmVyamF5YSBVbml2ZXJzaXR5IENvbGxlZ2Ugb2Yg
TWVkaWNhbCBTY2llbmNlcywgU2VsYW5nb3IsIE1hbGF5c2lhLiYjeEQ7VGVvaCwgU2lldyBMaS4g
U2Nob29sIG9mIFBoYXJtYWN5LCBNb25hc2ggVW5pdmVyc2l0eSBNYWxheXNpYSwgU2VsYW5nb3Is
IE1hbGF5c2lhLiYjeEQ7RnVuLCBXZW5nIEhvbmcuIFNjaG9vbCBvZiBQaGFybWFjeSwgTW9uYXNo
IFVuaXZlcnNpdHkgTWFsYXlzaWEsIFNlbGFuZ29yLCBNYWxheXNpYS4mI3hEO0Z1biwgV2VuZyBI
b25nLiBJbnN0aXR1dGUgZm9yIEhlYWx0aCBTeXN0ZW1zIFJlc2VhcmNoLCBOYXRpb25hbCBJbnN0
aXR1dGVzIG9mIEhlYWx0aCwgU2hhaCBBbGFtLCBNYWxheXNpYS4mI3hEO0xlZSwgU2hhdW4gV2Vu
IEh1ZXkuIFNjaG9vbCBvZiBQaGFybWFjeSwgTW9uYXNoIFVuaXZlcnNpdHkgTWFsYXlzaWEsIFNl
bGFuZ29yLCBNYWxheXNpYS4mI3hEO0xlZSwgU2hhdW4gV2VuIEh1ZXkuIEFzaWFuIENlbnRyZSBm
b3IgRXZpZGVuY2UgU3ludGhlc2lzIGluIFBvcHVsYXRpb24sIEltcGxlbWVudGF0aW9uIGFuZCBD
bGluaWNhbCBPdXRjb21lcyAoUElDTykgSGVhbHRoIGFuZCBXZWxsLWJlaW5nIENsdXN0ZXIsIEds
b2JhbCBBc2lhIGluIHRoZSAyMXN0IENlbnR1cnkgKEdBMjEpIHBsYXRmb3JtLCBNb25hc2ggVW5p
dmVyc2l0eSwgQmFuZGFyIFN1bndheSwgTWFsYXlzaWEuJiN4RDtMZWUsIFNoYXVuIFdlbiBIdWV5
LiBGYWN1bHR5IG9mIEhlYWx0aCAmYW1wOyBNZWRpY2FsIFNjaWVuY2VzLCBTY2hvb2wgb2YgUGhh
cm1hY3ksIFRheWxvciZhcG9zO3MgVW5pdmVyc2l0eSwgU2VsYW5nb3IsIE1hbGF5c2lhLjwvYXV0
aC1hZGRyZXNzPjx0aXRsZXM+PHRpdGxlPlRhc2sgc2hpZnRpbmcgaW4gcHJpbWFyeSBjYXJlIHRv
IHRhY2tsZSBoZWFsdGhjYXJlIHdvcmtlciBzaG9ydGFnZXM6IEFuIHVtYnJlbGxhIHJldmlldzwv
dGl0bGU+PHNlY29uZGFyeS10aXRsZT5FdXJvcGVhbiBKb3VybmFsIG9mIEdlbmVyYWwgUHJhY3Rp
Y2U8L3NlY29uZGFyeS10aXRsZT48YWx0LXRpdGxlPkV1ciBKIEdlbiBQcmFjdDwvYWx0LXRpdGxl
PjwvdGl0bGVzPjxwZXJpb2RpY2FsPjxmdWxsLXRpdGxlPkV1cm9wZWFuIEpvdXJuYWwgb2YgR2Vu
ZXJhbCBQcmFjdGljZTwvZnVsbC10aXRsZT48YWJici0xPkV1ciBKIEdlbiBQcmFjdDwvYWJici0x
PjwvcGVyaW9kaWNhbD48YWx0LXBlcmlvZGljYWw+PGZ1bGwtdGl0bGU+RXVyb3BlYW4gSm91cm5h
bCBvZiBHZW5lcmFsIFByYWN0aWNlPC9mdWxsLXRpdGxlPjxhYmJyLTE+RXVyIEogR2VuIFByYWN0
PC9hYmJyLTE+PC9hbHQtcGVyaW9kaWNhbD48cGFnZXM+MTk4LTIxMDwvcGFnZXM+PHZvbHVtZT4y
Nzwvdm9sdW1lPjxudW1iZXI+MTwvbnVtYmVyPjxrZXl3b3Jkcz48a2V5d29yZD5EZWxpdmVyeSBv
ZiBIZWFsdGggQ2FyZTwva2V5d29yZD48a2V5d29yZD5EcnVnIFByZXNjcmlwdGlvbnM8L2tleXdv
cmQ+PGtleXdvcmQ+KkhlYWx0aCBQZXJzb25uZWw8L2tleXdvcmQ+PGtleXdvcmQ+SHVtYW5zPC9r
ZXl3b3JkPjxrZXl3b3JkPlBoYXJtYWNpc3RzPC9rZXl3b3JkPjxrZXl3b3JkPipQcmltYXJ5IEhl
YWx0aCBDYXJlPC9rZXl3b3JkPjwva2V5d29yZHM+PGRhdGVzPjx5ZWFyPjIwMjE8L3llYXI+PHB1
Yi1kYXRlcz48ZGF0ZT5EZWM8L2RhdGU+PC9wdWItZGF0ZXM+PC9kYXRlcz48aXNibj4xNzUxLTE0
MDI8L2lzYm4+PGFjY2Vzc2lvbi1udW0+MzQzMzQwOTU8L2FjY2Vzc2lvbi1udW0+PGxhYmVsPjEw
LjEwODAvMTM4MTQ3ODguMjAyMS4xOTU0NjE2PC9sYWJlbD48d29yay10eXBlPlJldmlldzwvd29y
ay10eXBlPjx1cmxzPjxyZWxhdGVkLXVybHM+PHVybD5odHRwczovL292aWRzcC5vdmlkLmNvbS9v
dmlkd2ViLmNnaT9UPUpTJmFtcDtDU0M9WSZhbXA7TkVXUz1OJmFtcDtQQUdFPWZ1bGx0ZXh0JmFt
cDtEPW1lZDE5JmFtcDtBTj0zNDMzNDA5NTwvdXJsPjx1cmw+aHR0cDovL29wZW51cmwuYmlic3lz
Lm5vL29wZW51cmw/b3Rvb2w9aW5vaXBobGliP3NpZD1PVklEOm1lZGxpbmUmYW1wO2lkPXBtaWQ6
MzQzMzQwOTUmYW1wO2lkPWRvaToxMC4xMDgwJTJGMTM4MTQ3ODguMjAyMS4xOTU0NjE2JmFtcDtp
c3NuPTEzODEtNDc4OCZhbXA7aXNibj0mYW1wO3ZvbHVtZT0yNyZhbXA7aXNzdWU9MSZhbXA7c3Bh
Z2U9MTk4JmFtcDtwYWdlcz0xOTgtMjEwJmFtcDtkYXRlPTIwMjEmYW1wO3RpdGxlPUV1cm9wZWFu
K0pvdXJuYWwrb2YrR2VuZXJhbCtQcmFjdGljZSZhbXA7YXRpdGxlPVRhc2src2hpZnRpbmcraW4r
cHJpbWFyeStjYXJlK3RvK3RhY2tsZStoZWFsdGhjYXJlK3dvcmtlcitzaG9ydGFnZXMlM0ErQW4r
dW1icmVsbGErcmV2aWV3LiZhbXA7YXVsYXN0PUxlb25nJmFtcDtwaWQ9JTNDYXV0aG9yJTNFTGVv
bmcrU0wlM0MlMkZhdXRob3IlM0UlM0NBTiUzRTM0MzM0MDk1JTNDJTJGQU4lM0UlM0NEVCUzRUpv
dXJuYWwrQXJ0aWNsZSUzQyUyRkRUJTNFPC91cmw+PC9yZWxhdGVkLXVybHM+PC91cmxzPjxyZW1v
dGUtZGF0YWJhc2UtbmFtZT5PcHBnYXZlZ2xpZG5pbmc8L3JlbW90ZS1kYXRhYmFzZS1uYW1lPjxy
ZW1vdGUtZGF0YWJhc2UtcHJvdmlkZXI+T3ZpZCBUZWNobm9sb2dpZXM8L3JlbW90ZS1kYXRhYmFz
ZS1wcm92aWRlcj48bGFuZ3VhZ2U+RW5nbGlzaDwvbGFuZ3VhZ2U+PC9yZWNvcmQ+PC9DaXRlPjwv
RW5kTm90ZT5=
</w:fldData>
        </w:fldChar>
      </w:r>
      <w:r w:rsidR="004654FD">
        <w:instrText xml:space="preserve"> ADDIN EN.CITE.DATA </w:instrText>
      </w:r>
      <w:r w:rsidR="004654FD">
        <w:fldChar w:fldCharType="end"/>
      </w:r>
      <w:r w:rsidR="00FC180D">
        <w:fldChar w:fldCharType="separate"/>
      </w:r>
      <w:r w:rsidR="00FC180D">
        <w:rPr>
          <w:noProof/>
        </w:rPr>
        <w:t>(Leong et al., 2021)</w:t>
      </w:r>
      <w:r w:rsidR="00FC180D">
        <w:fldChar w:fldCharType="end"/>
      </w:r>
      <w:r w:rsidR="1174775B">
        <w:t>.</w:t>
      </w:r>
      <w:r>
        <w:t xml:space="preserve"> Funnene viser viktigheten av at alle involverte i helsetjenesten, også pasientene, blir gjort kjent med endringer i oppgavefordelingen.</w:t>
      </w:r>
    </w:p>
    <w:p w14:paraId="743FA377" w14:textId="2E659E40" w:rsidR="00770B08" w:rsidRDefault="375B265D" w:rsidP="003774DB">
      <w:pPr>
        <w:jc w:val="both"/>
      </w:pPr>
      <w:r>
        <w:t xml:space="preserve">Overordnet oppfattet pasienter at sykepleier var mer tilgjengelig enn lege. Tilsvarende vurderte både sykepleiere og leger at </w:t>
      </w:r>
      <w:r w:rsidR="1DD2BF86">
        <w:t>oppgavedeling</w:t>
      </w:r>
      <w:r>
        <w:t xml:space="preserve"> fremmet tilgjengeligheten for pasienter og at det kunne øke kvaliteten og kontinuiteten i tjenesten. Viktige fremmere for oppgave</w:t>
      </w:r>
      <w:r w:rsidR="1DD2BF86">
        <w:t>deling</w:t>
      </w:r>
      <w:r>
        <w:t xml:space="preserve"> var tilgang til ressurser som tilstrekkelig personell, utstyr, gode henvisningssystemer, erfarne ledere, klare roller og tilstrekkelig opplæring og supervisjon</w:t>
      </w:r>
      <w:r w:rsidR="0FA4CB0D">
        <w:t xml:space="preserve"> </w:t>
      </w:r>
      <w:r w:rsidR="00FC180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 </w:instrText>
      </w:r>
      <w:r w:rsidR="004654F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EN.CITE.DATA </w:instrText>
      </w:r>
      <w:r w:rsidR="004654FD">
        <w:fldChar w:fldCharType="end"/>
      </w:r>
      <w:r w:rsidR="00FC180D">
        <w:fldChar w:fldCharType="separate"/>
      </w:r>
      <w:r w:rsidR="00FC180D">
        <w:rPr>
          <w:noProof/>
        </w:rPr>
        <w:t>(Karimi-Shahanjarini et al., 2019)</w:t>
      </w:r>
      <w:r w:rsidR="00FC180D">
        <w:fldChar w:fldCharType="end"/>
      </w:r>
      <w:r w:rsidR="1174775B">
        <w:t>.</w:t>
      </w:r>
    </w:p>
    <w:p w14:paraId="486EFBCC" w14:textId="114D07C9" w:rsidR="00770B08" w:rsidRDefault="375B265D" w:rsidP="003774DB">
      <w:pPr>
        <w:jc w:val="both"/>
      </w:pPr>
      <w:r>
        <w:t>En annen viktig faktor i hvorvidt oppgaveglidning skjer, er om relasjonen mellom lege og annet helsepersonell er hierarkisk eller basert på samarbeid mellom jevnbyrdige</w:t>
      </w:r>
      <w:r w:rsidR="492219A2">
        <w:t xml:space="preserve"> </w:t>
      </w:r>
      <w:r w:rsidR="00BE43A2">
        <w:fldChar w:fldCharType="begin"/>
      </w:r>
      <w:r w:rsidR="00BE43A2">
        <w:instrText xml:space="preserve"> ADDIN EN.CITE &lt;EndNote&gt;&lt;Cite&gt;&lt;Author&gt;OECD&lt;/Author&gt;&lt;Year&gt;2019&lt;/Year&gt;&lt;RecNum&gt;803&lt;/RecNum&gt;&lt;DisplayText&gt;(OECD, 2019)&lt;/DisplayText&gt;&lt;record&gt;&lt;rec-number&gt;803&lt;/rec-number&gt;&lt;foreign-keys&gt;&lt;key app="EN" db-id="95tpr2tp6r9xwoea9rb5wdsz5ds5xeddteew" timestamp="1680069511"&gt;803&lt;/key&gt;&lt;/foreign-keys&gt;&lt;ref-type name="Report"&gt;27&lt;/ref-type&gt;&lt;contributors&gt;&lt;authors&gt;&lt;author&gt;OECD&lt;/author&gt;&lt;/authors&gt;&lt;tertiary-authors&gt;&lt;author&gt;Publications Office of the European Union, &lt;/author&gt;&lt;/tertiary-authors&gt;&lt;/contributors&gt;&lt;titles&gt;&lt;title&gt;Task shifting and health system design : report of the Expert Panel on effective ways of investing in Health (EXPH)&lt;/title&gt;&lt;/titles&gt;&lt;dates&gt;&lt;year&gt;2019&lt;/year&gt;&lt;/dates&gt;&lt;pub-location&gt;Luxemburg&lt;/pub-location&gt;&lt;urls&gt;&lt;related-urls&gt;&lt;url&gt;https://health.ec.europa.eu/system/files/2019-11/023_taskshifting_en_0.pdf&lt;/url&gt;&lt;/related-urls&gt;&lt;/urls&gt;&lt;electronic-resource-num&gt;10.2875/42878&lt;/electronic-resource-num&gt;&lt;/record&gt;&lt;/Cite&gt;&lt;/EndNote&gt;</w:instrText>
      </w:r>
      <w:r w:rsidR="00BE43A2">
        <w:fldChar w:fldCharType="separate"/>
      </w:r>
      <w:r w:rsidR="00BE43A2">
        <w:rPr>
          <w:noProof/>
        </w:rPr>
        <w:t>(OECD, 2019)</w:t>
      </w:r>
      <w:r w:rsidR="00BE43A2">
        <w:fldChar w:fldCharType="end"/>
      </w:r>
      <w:r w:rsidR="1174775B">
        <w:t>.</w:t>
      </w:r>
      <w:r>
        <w:t xml:space="preserve"> Tilsvarende er personlig kontakt og effektiv kommunikasjon mellom lege og sykepleier, og tydelig definering og grenser for legens og sykepleiers nye roller</w:t>
      </w:r>
      <w:r w:rsidR="00983152">
        <w:t>,</w:t>
      </w:r>
      <w:r>
        <w:t xml:space="preserve"> sentralt for at oppgaveglidning implementeres </w:t>
      </w:r>
      <w:r w:rsidR="00FC180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 </w:instrText>
      </w:r>
      <w:r w:rsidR="004654FD">
        <w:fldChar w:fldCharType="begin">
          <w:fldData xml:space="preserve">PEVuZE5vdGU+PENpdGU+PEF1dGhvcj5LYXJpbWktU2hhaGFuamFyaW5pPC9BdXRob3I+PFllYXI+
MjAxOTwvWWVhcj48UmVjTnVtPjU4PC9SZWNOdW0+PERpc3BsYXlUZXh0PihLYXJpbWktU2hhaGFu
amFyaW5pIGV0IGFsLiwgMjAxOSk8L0Rpc3BsYXlUZXh0PjxyZWNvcmQ+PHJlYy1udW1iZXI+NTg8
L3JlYy1udW1iZXI+PGZvcmVpZ24ta2V5cz48a2V5IGFwcD0iRU4iIGRiLWlkPSI5NXRwcjJ0cDZy
OXh3b2VhOXJiNXdkc3o1ZHM1eGVkZHRlZXciIHRpbWVzdGFtcD0iMTY4MDA2OTUxMSI+NTg8L2tl
eT48L2ZvcmVpZ24ta2V5cz48cmVmLXR5cGUgbmFtZT0iSm91cm5hbCBBcnRpY2xlIj4xNzwvcmVm
LXR5cGU+PGNvbnRyaWJ1dG9ycz48YXV0aG9ycz48YXV0aG9yPkthcmltaS1TaGFoYW5qYXJpbmks
IEEuPC9hdXRob3I+PGF1dGhvcj5TaGFraWJhemFkZWgsIEUuPC9hdXRob3I+PGF1dGhvcj5SYXNo
aWRpYW4sIEEuPC9hdXRob3I+PGF1dGhvcj5IYWppbWlyaSwgSy48L2F1dGhvcj48YXV0aG9yPkds
ZW50b24sIEMuPC9hdXRob3I+PGF1dGhvcj5Db2x2aW4sIEMuIEouPC9hdXRob3I+PC9hdXRob3Jz
PjwvY29udHJpYnV0b3JzPjxhdXRoLWFkZHJlc3M+S2FyaW1pLVNoYWhhbmphcmluaSwgQWtyYW0u
IERlcGFydG1lbnQgb2YgUHVibGljIEhlYWx0aCwgSGFtYWRhbiBVbml2ZXJzaXR5IG9mIE1lZGlj
YWwgU2NpZW5jZXMsIE1haGRlaWVoIEF2ZS4gSGFtYWRhbiwgSXJhbiwgSGFtYWRhbiwgSGFtYWRh
biwgSXJhbi48L2F1dGgtYWRkcmVzcz48dGl0bGVzPjx0aXRsZT5CYXJyaWVycyBhbmQgZmFjaWxp
dGF0b3JzIHRvIHRoZSBpbXBsZW1lbnRhdGlvbiBvZiBkb2N0b3ItbnVyc2Ugc3Vic3RpdHV0aW9u
IHN0cmF0ZWdpZXMgaW4gcHJpbWFyeSBjYXJlOiBhIHF1YWxpdGF0aXZlIGV2aWRlbmNlIHN5bnRo
ZXNpczwvdGl0bGU+PHNlY29uZGFyeS10aXRsZT5Db2NocmFuZSBEYXRhYmFzZSBvZiBTeXN0ZW1h
dGljIFJldmlld3M8L3NlY29uZGFyeS10aXRsZT48YWx0LXRpdGxlPkNvY2hyYW5lIERhdGFiYXNl
IFN5c3QgUmV2PC9hbHQtdGl0bGU+PC90aXRsZXM+PGFsdC1wZXJpb2RpY2FsPjxmdWxsLXRpdGxl
PkNvY2hyYW5lIERhdGFiYXNlIG9mIFN5c3RlbWF0aWMgUmV2aWV3czwvZnVsbC10aXRsZT48YWJi
ci0xPkNvY2hyYW5lIERhdGFiYXNlIFN5c3QgUmV2PC9hYmJyLTE+PC9hbHQtcGVyaW9kaWNhbD48
cGFnZXM+Q0QwMTA0MTI8L3BhZ2VzPjx2b2x1bWU+NDwvdm9sdW1lPjxrZXl3b3Jkcz48a2V5d29y
ZD4qSGVhbHRoIFNlcnZpY2VzIE5lZWRzIGFuZCBEZW1hbmQ8L2tleXdvcmQ+PGtleXdvcmQ+SHVt
YW5zPC9rZXl3b3JkPjxrZXl3b3JkPk51cnNlIFByYWN0aXRpb25lcnM8L2tleXdvcmQ+PGtleXdv
cmQ+TnVyc2VzPC9rZXl3b3JkPjxrZXl3b3JkPipQZXJzb25uZWwgRGVsZWdhdGlvbjwva2V5d29y
ZD48a2V5d29yZD5QcmltYXJ5IEhlYWx0aCBDYXJlL29nIFtPcmdhbml6YXRpb24gJmFtcDsgQWRt
aW5pc3RyYXRpb25dPC9rZXl3b3JkPjxrZXl3b3JkPipQcmltYXJ5IEhlYWx0aCBDYXJlL3N0IFtT
dGFuZGFyZHNdPC9rZXl3b3JkPjxrZXl3b3JkPipRdWFsaXRhdGl2ZSBSZXNlYXJjaDwva2V5d29y
ZD48a2V5d29yZD4qUXVhbGl0eSBvZiBIZWFsdGggQ2FyZTwva2V5d29yZD48L2tleXdvcmRzPjxk
YXRlcz48eWVhcj4yMDE5PC95ZWFyPjxwdWItZGF0ZXM+PGRhdGU+MDQgMTU8L2RhdGU+PC9wdWIt
ZGF0ZXM+PC9kYXRlcz48aXNibj4xNDY5LTQ5M1g8L2lzYm4+PGFjY2Vzc2lvbi1udW0+MzA5ODI5
NTA8L2FjY2Vzc2lvbi1udW0+PGxhYmVsPjEwLjEwMDIvMTQ2NTE4NTguQ0QwMTA0MTIucHViMjwv
bGFiZWw+PHdvcmstdHlwZT5NZXRhLUFuYWx5c2lzJiN4RDtSZXNlYXJjaCBTdXBwb3J0LCBOb24t
VS5TLiBHb3YmYXBvczt0JiN4RDtTeXN0ZW1hdGljIFJldmlldzwvd29yay10eXBlPjx1cmxzPjxy
ZWxhdGVkLXVybHM+PHVybD5odHRwczovL292aWRzcC5vdmlkLmNvbS9vdmlkd2ViLmNnaT9UPUpT
JmFtcDtDU0M9WSZhbXA7TkVXUz1OJmFtcDtQQUdFPWZ1bGx0ZXh0JmFtcDtEPW1lZDE2JmFtcDtB
Tj0zMDk4Mjk1MDwvdXJsPjx1cmw+aHR0cDovL29wZW51cmwuYmlic3lzLm5vL29wZW51cmw/b3Rv
b2w9aW5vaXBobGliP3NpZD1PVklEOm1lZGxpbmUmYW1wO2lkPXBtaWQ6MzA5ODI5NTAmYW1wO2lk
PWRvaToxMC4xMDAyJTJGMTQ2NTE4NTguQ0QwMTA0MTIucHViMiZhbXA7aXNzbj0xMzYxLTYxMzcm
YW1wO2lzYm49JmFtcDt2b2x1bWU9NCZhbXA7aXNzdWU9NCZhbXA7c3BhZ2U9Q0QwMTA0MTImYW1w
O3BhZ2VzPUNEMDEwNDEyJmFtcDtkYXRlPTIwMTkmYW1wO3RpdGxlPUNvY2hyYW5lK0RhdGFiYXNl
K29mK1N5c3RlbWF0aWMrUmV2aWV3cyZhbXA7YXRpdGxlPUJhcnJpZXJzK2FuZCtmYWNpbGl0YXRv
cnMrdG8rdGhlK2ltcGxlbWVudGF0aW9uK29mK2RvY3Rvci1udXJzZStzdWJzdGl0dXRpb24rc3Ry
YXRlZ2llcytpbitwcmltYXJ5K2NhcmUlM0ErYStxdWFsaXRhdGl2ZStldmlkZW5jZStzeW50aGVz
aXMuJmFtcDthdWxhc3Q9S2FyaW1pLVNoYWhhbmphcmluaSZhbXA7cGlkPSUzQ2F1dGhvciUzRUth
cmltaS1TaGFoYW5qYXJpbmkrQSUzQyUyRmF1dGhvciUzRSUzQ0FOJTNFMzA5ODI5NTAlM0MlMkZB
TiUzRSUzQ0RUJTNFSm91cm5hbCtBcnRpY2xlJTNDJTJGRFQlM0U8L3VybD48L3JlbGF0ZWQtdXJs
cz48L3VybHM+PHJlbW90ZS1kYXRhYmFzZS1uYW1lPk9wcGdhdmVnbGlkbmluZzwvcmVtb3RlLWRh
dGFiYXNlLW5hbWU+PHJlbW90ZS1kYXRhYmFzZS1wcm92aWRlcj5PdmlkIFRlY2hub2xvZ2llczwv
cmVtb3RlLWRhdGFiYXNlLXByb3ZpZGVyPjxsYW5ndWFnZT5FbmdsaXNoPC9sYW5ndWFnZT48L3Jl
Y29yZD48L0NpdGU+PC9FbmROb3RlPn==
</w:fldData>
        </w:fldChar>
      </w:r>
      <w:r w:rsidR="004654FD">
        <w:instrText xml:space="preserve"> ADDIN EN.CITE.DATA </w:instrText>
      </w:r>
      <w:r w:rsidR="004654FD">
        <w:fldChar w:fldCharType="end"/>
      </w:r>
      <w:r w:rsidR="00FC180D">
        <w:fldChar w:fldCharType="separate"/>
      </w:r>
      <w:r w:rsidR="00FC180D">
        <w:rPr>
          <w:noProof/>
        </w:rPr>
        <w:t>(Karimi-Shahanjarini et al., 2019)</w:t>
      </w:r>
      <w:r w:rsidR="00FC180D">
        <w:fldChar w:fldCharType="end"/>
      </w:r>
      <w:r w:rsidR="1174775B">
        <w:t>.</w:t>
      </w:r>
    </w:p>
    <w:p w14:paraId="3A3C8E97" w14:textId="77777777" w:rsidR="00D9107F" w:rsidRDefault="375B265D" w:rsidP="00A221E1">
      <w:pPr>
        <w:jc w:val="both"/>
      </w:pPr>
      <w:r>
        <w:t xml:space="preserve">Finansieringen av tjenesten påvirker om og i hvilken grad flerfaglig praksis benyttes i primærhelsetjenesten. I land med hovedsakelig solopraksiser og aktivitetsbasert finansiering er </w:t>
      </w:r>
      <w:r>
        <w:lastRenderedPageBreak/>
        <w:t xml:space="preserve">det mindre sannsynlig at det ansettes annet helsepersonell som utfører spesialiserte oppgaver, enn i land med </w:t>
      </w:r>
      <w:r w:rsidR="0D2D9F3F">
        <w:t>teambaserte</w:t>
      </w:r>
      <w:r w:rsidR="03BB74A9">
        <w:t xml:space="preserve"> </w:t>
      </w:r>
      <w:r>
        <w:t>gruppepraksiser og blandede finansieringsmodeller. Det pekes på at betaling for spesialiserte oppgaver av annet helsepersonell og nivået på betalingen er sentralt for at dette blir en integrert del av primærhelsetjenesten</w:t>
      </w:r>
      <w:r w:rsidR="66B8D2D4">
        <w:t xml:space="preserve"> </w:t>
      </w:r>
      <w:r w:rsidR="00FC180D">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 </w:instrText>
      </w:r>
      <w:r w:rsidR="004654FD">
        <w:fldChar w:fldCharType="begin">
          <w:fldData xml:space="preserve">PEVuZE5vdGU+PENpdGU+PEF1dGhvcj5NYWllcjwvQXV0aG9yPjxZZWFyPjIwMTY8L1llYXI+PFJl
Y051bT44MDk8L1JlY051bT48RGlzcGxheVRleHQ+KE1haWVyIGV0IGFsLiwgMjAxNik8L0Rpc3Bs
YXlUZXh0PjxyZWNvcmQ+PHJlYy1udW1iZXI+ODA5PC9yZWMtbnVtYmVyPjxmb3JlaWduLWtleXM+
PGtleSBhcHA9IkVOIiBkYi1pZD0iOTV0cHIydHA2cjl4d29lYTlyYjV3ZHN6NWRzNXhlZGR0ZWV3
IiB0aW1lc3RhbXA9IjE2ODAwNjk1MTEiPjgwOTwva2V5PjwvZm9yZWlnbi1rZXlzPjxyZWYtdHlw
ZSBuYW1lPSJKb3VybmFsIEFydGljbGUiPjE3PC9yZWYtdHlwZT48Y29udHJpYnV0b3JzPjxhdXRo
b3JzPjxhdXRob3I+TWFpZXIsIEMuIEIuPC9hdXRob3I+PGF1dGhvcj5BaWtlbiwgTC4gSC48L2F1
dGhvcj48L2F1dGhvcnM+PC9jb250cmlidXRvcnM+PGF1dGgtYWRkcmVzcz5NYWllciwgQ2xhdWRp
YSBCLiBIYXJrbmVzcyAmYW1wOyBCLiBCcmF1biBGZWxsb3cgaW4gSGVhbHRoY2FyZSBQb2xpY3kg
YW5kIFByYWN0aWNlLCBDZW50ZXIgZm9yIEhlYWx0aCwgT3V0Y29tZXMgYW5kIFBvbGljeSBSZXNl
YXJjaCwgU2Nob29sIG9mIE51cnNpbmcsIFVuaXZlcnNpdHkgb2YgUGVubnN5bHZhbmlhLCBDbGFp
cmUgRmFnaW4gSGFsbCwgNDE4IEN1cmllIEJsdmQsIFBoaWxhZGVscGhpYSwgUEEgMTkxMDQtNDIx
NywgVVNBIGMubWFpZXJAdHUtYmVybGluLmRlIG1haWVyY0BudXJzaW5nLnVwZW5uLmVkdS4mI3hE
O01haWVyLCBDbGF1ZGlhIEIuIERlcGFydG1lbnQgb2YgSGVhbHRoY2FyZSBNYW5hZ2VtZW50LCBU
ZWNobmlzY2hlIFVuaXZlcnNpdGF0IEJlcmxpbiwgU3RyYXNzZSBkZXMgMTcuIEp1bmkgMTM1LCBC
ZXJsaW4gMTA2MjMsIEdlcm1hbnkuJiN4RDtBaWtlbiwgTGluZGEgSC4gQ2xhaXJlIE0gRmFnaW4g
UHJvZmVzc29yIGFuZCBEaXJlY3RvciwgQ2VudGVyIGZvciBIZWFsdGggT3V0Y29tZXMgYW5kIFBv
bGljeSBSZXNlYXJjaCwgU2Nob29sIG9mIE51cnNpbmcsIFNlbmlvciBGZWxsb3csIExlb25hcmQg
RGF2aXMgSW5zdGl0dXRlIGZvciBIZWFsdGggRWNvbm9taWNzLCBVbml2ZXJzaXR5IG9mIFBlbm5z
eWx2YW5pYSwgNDE4IEN1cmllIEJsdmQsIENsYWlyZSBNLiBGYWdpbiBIYWxsLCAzODdSLCBQaGls
YWRlbHBoaWEsIFBBIDE5MTA0LTQyMTcsIFVTQS48L2F1dGgtYWRkcmVzcz48dGl0bGVzPjx0aXRs
ZT5UYXNrIHNoaWZ0aW5nIGZyb20gcGh5c2ljaWFucyB0byBudXJzZXMgaW4gcHJpbWFyeSBjYXJl
IGluIDM5IGNvdW50cmllczogYSBjcm9zcy1jb3VudHJ5IGNvbXBhcmF0aXZlIHN0dWR5PC90aXRs
ZT48c2Vjb25kYXJ5LXRpdGxlPkV1cm9wZWFuIEpvdXJuYWwgb2YgUHVibGljIEhlYWx0aDwvc2Vj
b25kYXJ5LXRpdGxlPjxhbHQtdGl0bGU+RXVyIEogUHVibGljIEhlYWx0aDwvYWx0LXRpdGxlPjwv
dGl0bGVzPjxwZXJpb2RpY2FsPjxmdWxsLXRpdGxlPkV1cm9wZWFuIEpvdXJuYWwgb2YgUHVibGlj
IEhlYWx0aDwvZnVsbC10aXRsZT48YWJici0xPkV1ciBKIFB1YmxpYyBIZWFsdGg8L2FiYnItMT48
L3BlcmlvZGljYWw+PGFsdC1wZXJpb2RpY2FsPjxmdWxsLXRpdGxlPkV1ciBKIFB1YmxpYyBIZWFs
dGg8L2Z1bGwtdGl0bGU+PC9hbHQtcGVyaW9kaWNhbD48cGFnZXM+OTI3LTkzNDwvcGFnZXM+PHZv
bHVtZT4yNjwvdm9sdW1lPjxudW1iZXI+NjwvbnVtYmVyPjxrZXl3b3Jkcz48a2V5d29yZD5BdXN0
cmFsaWE8L2tleXdvcmQ+PGtleXdvcmQ+RXVyb3BlPC9rZXl3b3JkPjxrZXl3b3JkPkhlYWx0aCBT
ZXJ2aWNlcyBSZXNlYXJjaDwva2V5d29yZD48a2V5d29yZD5IdW1hbnM8L2tleXdvcmQ+PGtleXdv
cmQ+TmV3IFplYWxhbmQ8L2tleXdvcmQ+PGtleXdvcmQ+Tm9ydGggQW1lcmljYTwva2V5d29yZD48
a2V5d29yZD5OdXJzZSZhcG9zO3MgUm9sZTwva2V5d29yZD48a2V5d29yZD4qTnVyc2VzL29nIFtP
cmdhbml6YXRpb24gJmFtcDsgQWRtaW5pc3RyYXRpb25dPC9rZXl3b3JkPjxrZXl3b3JkPlBoeXNp
Y2lhbiZhcG9zO3MgUm9sZTwva2V5d29yZD48a2V5d29yZD4qUGh5c2ljaWFucy9vZyBbT3JnYW5p
emF0aW9uICZhbXA7IEFkbWluaXN0cmF0aW9uXTwva2V5d29yZD48a2V5d29yZD4qUG9saWN5PC9r
ZXl3b3JkPjxrZXl3b3JkPipQcmltYXJ5IEhlYWx0aCBDYXJlL29nIFtPcmdhbml6YXRpb24gJmFt
cDsgQWRtaW5pc3RyYXRpb25dPC9rZXl3b3JkPjwva2V5d29yZHM+PGRhdGVzPjx5ZWFyPjIwMTY8
L3llYXI+PHB1Yi1kYXRlcz48ZGF0ZT4xMjwvZGF0ZT48L3B1Yi1kYXRlcz48L2RhdGVzPjxpc2Ju
PjE0NjQtMzYwWDwvaXNibj48YWNjZXNzaW9uLW51bT4yNzQ4NTcxOTwvYWNjZXNzaW9uLW51bT48
d29yay10eXBlPkNvbXBhcmF0aXZlIFN0dWR5JiN4RDtSZXNlYXJjaCBTdXBwb3J0LCBOb24tVS5T
LiBHb3YmYXBvczt0PC93b3JrLXR5cGU+PHVybHM+PHJlbGF0ZWQtdXJscz48dXJsPmh0dHBzOi8v
b3ZpZHNwLm92aWQuY29tL292aWR3ZWIuY2dpP1Q9SlMmYW1wO0NTQz1ZJmFtcDtORVdTPU4mYW1w
O1BBR0U9ZnVsbHRleHQmYW1wO0Q9bWVkMTMmYW1wO0FOPTI3NDg1NzE5PC91cmw+PHVybD5odHRw
Oi8vb3BlbnVybC5iaWJzeXMubm8vb3BlbnVybD9vdG9vbD1pbm9pcGhsaWI/c2lkPU9WSUQ6bWVk
bGluZSZhbXA7aWQ9cG1pZDoyNzQ4NTcxOSZhbXA7aWQ9ZG9pOjEwLjEwOTMlMkZldXJwdWIlMkZj
a3cwOTgmYW1wO2lzc249MTEwMS0xMjYyJmFtcDtpc2JuPSZhbXA7dm9sdW1lPTI2JmFtcDtpc3N1
ZT02JmFtcDtzcGFnZT05MjcmYW1wO3BhZ2VzPTkyNy05MzQmYW1wO2RhdGU9MjAxNiZhbXA7dGl0
bGU9RXVyb3BlYW4rSm91cm5hbCtvZitQdWJsaWMrSGVhbHRoJmFtcDthdGl0bGU9VGFzaytzaGlm
dGluZytmcm9tK3BoeXNpY2lhbnMrdG8rbnVyc2VzK2luK3ByaW1hcnkrY2FyZStpbiszOStjb3Vu
dHJpZXMlM0ErYStjcm9zcy1jb3VudHJ5K2NvbXBhcmF0aXZlK3N0dWR5LiZhbXA7YXVsYXN0PU1h
aWVyJmFtcDtwaWQ9JTNDYXV0aG9yJTNFTWFpZXIrQ0IlM0MlMkZhdXRob3IlM0UlM0NBTiUzRTI3
NDg1NzE5JTNDJTJGQU4lM0UlM0NEVCUzRUNvbXBhcmF0aXZlK1N0dWR5JTNDJTJGRFQlM0U8L3Vy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EN.CITE.DATA </w:instrText>
      </w:r>
      <w:r w:rsidR="004654FD">
        <w:fldChar w:fldCharType="end"/>
      </w:r>
      <w:r w:rsidR="00FC180D">
        <w:fldChar w:fldCharType="separate"/>
      </w:r>
      <w:r w:rsidR="004654FD">
        <w:rPr>
          <w:noProof/>
        </w:rPr>
        <w:t>(Maier et al., 2016)</w:t>
      </w:r>
      <w:r w:rsidR="00FC180D">
        <w:fldChar w:fldCharType="end"/>
      </w:r>
      <w:r w:rsidR="1174775B">
        <w:t>.</w:t>
      </w:r>
    </w:p>
    <w:p w14:paraId="61115D2C" w14:textId="31483596" w:rsidR="00D9107F" w:rsidRDefault="375B265D" w:rsidP="00A221E1">
      <w:pPr>
        <w:jc w:val="both"/>
      </w:pPr>
      <w:r>
        <w:t>Finansiering er også en sentral årsak til forskjeller mellom europeiske land i omfang av oppgave</w:t>
      </w:r>
      <w:r w:rsidR="00A37BFC">
        <w:t>deling</w:t>
      </w:r>
      <w:r>
        <w:t>. Det er særlig vanskelig å flytte oppgaver fra legen til annet personell når det innebærer tap av inntekt for legen, ved aktivitetsbasert finansering</w:t>
      </w:r>
      <w:r w:rsidR="1144F488">
        <w:t xml:space="preserve"> </w:t>
      </w:r>
      <w:r w:rsidR="00BE43A2">
        <w:fldChar w:fldCharType="begin"/>
      </w:r>
      <w:r w:rsidR="00BE43A2">
        <w:instrText xml:space="preserve"> ADDIN EN.CITE &lt;EndNote&gt;&lt;Cite&gt;&lt;Author&gt;OECD&lt;/Author&gt;&lt;Year&gt;2019&lt;/Year&gt;&lt;RecNum&gt;803&lt;/RecNum&gt;&lt;DisplayText&gt;(OECD, 2019)&lt;/DisplayText&gt;&lt;record&gt;&lt;rec-number&gt;803&lt;/rec-number&gt;&lt;foreign-keys&gt;&lt;key app="EN" db-id="95tpr2tp6r9xwoea9rb5wdsz5ds5xeddteew" timestamp="1680069511"&gt;803&lt;/key&gt;&lt;/foreign-keys&gt;&lt;ref-type name="Report"&gt;27&lt;/ref-type&gt;&lt;contributors&gt;&lt;authors&gt;&lt;author&gt;OECD&lt;/author&gt;&lt;/authors&gt;&lt;tertiary-authors&gt;&lt;author&gt;Publications Office of the European Union, &lt;/author&gt;&lt;/tertiary-authors&gt;&lt;/contributors&gt;&lt;titles&gt;&lt;title&gt;Task shifting and health system design : report of the Expert Panel on effective ways of investing in Health (EXPH)&lt;/title&gt;&lt;/titles&gt;&lt;dates&gt;&lt;year&gt;2019&lt;/year&gt;&lt;/dates&gt;&lt;pub-location&gt;Luxemburg&lt;/pub-location&gt;&lt;urls&gt;&lt;related-urls&gt;&lt;url&gt;https://health.ec.europa.eu/system/files/2019-11/023_taskshifting_en_0.pdf&lt;/url&gt;&lt;/related-urls&gt;&lt;/urls&gt;&lt;electronic-resource-num&gt;10.2875/42878&lt;/electronic-resource-num&gt;&lt;/record&gt;&lt;/Cite&gt;&lt;/EndNote&gt;</w:instrText>
      </w:r>
      <w:r w:rsidR="00BE43A2">
        <w:fldChar w:fldCharType="separate"/>
      </w:r>
      <w:r w:rsidR="00BE43A2">
        <w:rPr>
          <w:noProof/>
        </w:rPr>
        <w:t>(OECD, 2019)</w:t>
      </w:r>
      <w:r w:rsidR="00BE43A2">
        <w:fldChar w:fldCharType="end"/>
      </w:r>
      <w:r w:rsidR="1174775B">
        <w:t>.</w:t>
      </w:r>
      <w:r>
        <w:t xml:space="preserve"> Finansiering av tverrfaglighet belyses ytterligere i kapittel 6.</w:t>
      </w:r>
      <w:r w:rsidR="00845373">
        <w:t>3</w:t>
      </w:r>
      <w:r>
        <w:t>.</w:t>
      </w:r>
    </w:p>
    <w:p w14:paraId="3EDF5568" w14:textId="4A8B6793" w:rsidR="00770B08" w:rsidRPr="00164DEC" w:rsidRDefault="375B265D" w:rsidP="00775632">
      <w:pPr>
        <w:pStyle w:val="Overskrift3"/>
      </w:pPr>
      <w:bookmarkStart w:id="3114" w:name="_Toc130763844"/>
      <w:bookmarkStart w:id="3115" w:name="_Toc130766739"/>
      <w:bookmarkStart w:id="3116" w:name="_Toc130932140"/>
      <w:bookmarkStart w:id="3117" w:name="_Toc130934431"/>
      <w:bookmarkStart w:id="3118" w:name="_Toc130983540"/>
      <w:bookmarkStart w:id="3119" w:name="_Toc130983889"/>
      <w:bookmarkStart w:id="3120" w:name="_Toc131062185"/>
      <w:bookmarkStart w:id="3121" w:name="_Toc131062439"/>
      <w:bookmarkStart w:id="3122" w:name="_Toc131062700"/>
      <w:bookmarkStart w:id="3123" w:name="_Toc131062953"/>
      <w:bookmarkStart w:id="3124" w:name="_Toc131063736"/>
      <w:bookmarkStart w:id="3125" w:name="_Toc131064146"/>
      <w:bookmarkStart w:id="3126" w:name="_Toc131238471"/>
      <w:bookmarkStart w:id="3127" w:name="_Toc131279502"/>
      <w:bookmarkStart w:id="3128" w:name="_Toc131286914"/>
      <w:bookmarkStart w:id="3129" w:name="_Toc131281324"/>
      <w:bookmarkStart w:id="3130" w:name="_Toc131317864"/>
      <w:bookmarkStart w:id="3131" w:name="_Toc132537010"/>
      <w:r>
        <w:t>Grad av selvstendighet: Medhjelper eller mer selvstendig arbeid</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18DC5FAF" w14:textId="30B57036" w:rsidR="00770B08" w:rsidRDefault="00770B08" w:rsidP="00E07140">
      <w:pPr>
        <w:jc w:val="both"/>
      </w:pPr>
      <w:r>
        <w:t xml:space="preserve">Ved samarbeid mellom </w:t>
      </w:r>
      <w:r w:rsidR="00B05AFC">
        <w:t>helsepersonell</w:t>
      </w:r>
      <w:r w:rsidR="004772EA">
        <w:t>,</w:t>
      </w:r>
      <w:r>
        <w:t xml:space="preserve"> er legen medisinsk ansvarlig og skal være den som tar endelig</w:t>
      </w:r>
      <w:r w:rsidR="00D74CD4">
        <w:t>e</w:t>
      </w:r>
      <w:r>
        <w:t xml:space="preserve"> beslutninger om pleie og behandling, jf. </w:t>
      </w:r>
      <w:r w:rsidR="00257519">
        <w:t>h</w:t>
      </w:r>
      <w:r>
        <w:t xml:space="preserve">elsepersonelloven </w:t>
      </w:r>
      <w:r w:rsidR="00D9107F">
        <w:t>§ 4</w:t>
      </w:r>
      <w:r>
        <w:t>. Legens lederrolle og kravet om at legen tar beslutning i medisinske spørsmål</w:t>
      </w:r>
      <w:r w:rsidR="004772EA">
        <w:t>,</w:t>
      </w:r>
      <w:r>
        <w:t xml:space="preserve"> er likevel ingen hindring for at annet personell kan </w:t>
      </w:r>
      <w:r w:rsidRPr="005A3C45">
        <w:t>utføre diagnostikk og ta beslutninger.</w:t>
      </w:r>
      <w:r>
        <w:t xml:space="preserve"> Det kan være ulik grad av selvstendighet i hvordan andre faggrupper utfører oppgaver, inkludert oppgaver som overføres fra legen.</w:t>
      </w:r>
    </w:p>
    <w:p w14:paraId="184F5375" w14:textId="72582145" w:rsidR="00D9107F" w:rsidRDefault="00770B08" w:rsidP="00E07140">
      <w:pPr>
        <w:jc w:val="both"/>
        <w:rPr>
          <w:rFonts w:cstheme="minorHAnsi"/>
        </w:rPr>
      </w:pPr>
      <w:r>
        <w:t xml:space="preserve">I dagens ordning fungerer annet helsepersonell på fastlegekontorene som legens medhjelpere og utfører direkte pasientarbeid på delegasjon fra legen. </w:t>
      </w:r>
      <w:r>
        <w:rPr>
          <w:rFonts w:cstheme="minorHAnsi"/>
        </w:rPr>
        <w:t xml:space="preserve">I henhold til medhjelperbestemmelsen </w:t>
      </w:r>
      <w:r w:rsidR="00595D9B">
        <w:rPr>
          <w:rFonts w:cstheme="minorHAnsi"/>
        </w:rPr>
        <w:t xml:space="preserve">i helsepersonelloven </w:t>
      </w:r>
      <w:r w:rsidR="00D9107F">
        <w:rPr>
          <w:rFonts w:cstheme="minorHAnsi"/>
        </w:rPr>
        <w:t>§ 5</w:t>
      </w:r>
      <w:r w:rsidR="00595D9B">
        <w:rPr>
          <w:rFonts w:cstheme="minorHAnsi"/>
        </w:rPr>
        <w:t xml:space="preserve"> </w:t>
      </w:r>
      <w:r>
        <w:rPr>
          <w:rFonts w:cstheme="minorHAnsi"/>
        </w:rPr>
        <w:t>gjøres de pasientrettede oppgavene under kontroll og tilsyn av fastlegen, som er ansvarlig for tjenesten som ytes.</w:t>
      </w:r>
    </w:p>
    <w:p w14:paraId="593F60BC" w14:textId="4C83756B" w:rsidR="00770B08" w:rsidRDefault="00770B08" w:rsidP="00E07140">
      <w:pPr>
        <w:jc w:val="both"/>
        <w:rPr>
          <w:rFonts w:cstheme="minorHAnsi"/>
        </w:rPr>
      </w:pPr>
      <w:r>
        <w:rPr>
          <w:rFonts w:cstheme="minorHAnsi"/>
        </w:rPr>
        <w:t>Dette skiller seg fra oppgavefordelingen mellom lege og annet helsepersonell i sykehus</w:t>
      </w:r>
      <w:r w:rsidR="00B27320">
        <w:rPr>
          <w:rFonts w:cstheme="minorHAnsi"/>
        </w:rPr>
        <w:t xml:space="preserve"> og i den øvrige kommunehelsetjenesten</w:t>
      </w:r>
      <w:r>
        <w:rPr>
          <w:rFonts w:cstheme="minorHAnsi"/>
        </w:rPr>
        <w:t>, hvor den enkelte ansatte og faggruppe jobber mer selvstendig. Oppgavefordelingen er lederstyrt, og det er vanlig at det er utarbeidet rutiner for hvilke personell som kan gjøre hvilke oppgaver. Dette ansvaret inngår som en del av virksomhetens plikt til å etablere internkontrollsystem, og sikre forsvarlig drift</w:t>
      </w:r>
      <w:r>
        <w:t xml:space="preserve">, jf. spesialisthelsetjenesteloven </w:t>
      </w:r>
      <w:r w:rsidR="00D9107F">
        <w:t>§ 2</w:t>
      </w:r>
      <w:r>
        <w:t xml:space="preserve">-1a og </w:t>
      </w:r>
      <w:r w:rsidR="00D9107F">
        <w:t>§ 2</w:t>
      </w:r>
      <w:r>
        <w:t>-2, samt forskrift om ledelse og kvalitetsforbedring i helse- og omsorgstjenesten.</w:t>
      </w:r>
    </w:p>
    <w:p w14:paraId="0473B4E3" w14:textId="77777777" w:rsidR="00D9107F" w:rsidRDefault="00770B08" w:rsidP="00F36CFD">
      <w:pPr>
        <w:jc w:val="both"/>
        <w:rPr>
          <w:rFonts w:cstheme="minorHAnsi"/>
        </w:rPr>
      </w:pPr>
      <w:r>
        <w:rPr>
          <w:rFonts w:cstheme="minorHAnsi"/>
        </w:rPr>
        <w:t xml:space="preserve">Ulikhet i oppgavefordelingen mellom lege og annet personell i fastlegeordningen og øvrig helse- og omsorgstjeneste, og hvordan oppgavefordelingen gjøres, er også knyttet til ulikheter i finansieringen av tjenesten. I fastlegeordningen fungerer takstsystemet som begrensning for hvem som utfører oppgaver. I poliklinisk virksomhet i spesialisthelsetjenesten er </w:t>
      </w:r>
      <w:r w:rsidR="007653FD">
        <w:rPr>
          <w:rFonts w:cstheme="minorHAnsi"/>
        </w:rPr>
        <w:t>finansieringen</w:t>
      </w:r>
      <w:r>
        <w:rPr>
          <w:rFonts w:cstheme="minorHAnsi"/>
        </w:rPr>
        <w:t xml:space="preserve"> profesjonsnøytral og oppgaverettet. Lovverket, ved helsepersonelloven, beskriver i liten grad hvilke faggrupper som kan utføre hvilke oppgaver</w:t>
      </w:r>
      <w:r w:rsidR="00782914">
        <w:rPr>
          <w:rFonts w:cstheme="minorHAnsi"/>
        </w:rPr>
        <w:t>.</w:t>
      </w:r>
      <w:r>
        <w:rPr>
          <w:rFonts w:cstheme="minorHAnsi"/>
        </w:rPr>
        <w:t xml:space="preserve"> I stedet omtales forsvarlige tjenester som et ledelsesansvar, i tillegg til at det enkelte helsepersonell har et personlig ansvar for å sørge for at vedkommende utfører sitt arbeid på en forsvarlig måte. Dette ansvaret er også grunnlaget for utførelse av oppgaver i spesialisthelsetjenesten og andre deler av den kommunale helse- og omsorgstjenesten.</w:t>
      </w:r>
    </w:p>
    <w:p w14:paraId="20F01FA6" w14:textId="77777777" w:rsidR="00D9107F" w:rsidRDefault="00770B08" w:rsidP="00802275">
      <w:pPr>
        <w:jc w:val="both"/>
      </w:pPr>
      <w:r w:rsidRPr="0947EA56">
        <w:lastRenderedPageBreak/>
        <w:t>Om begrensningen av hvem som utfører oppgaver fjernes eller justeres i takstsystemet,</w:t>
      </w:r>
      <w:r>
        <w:t xml:space="preserve"> vil hvilke oppgaver som sykepleiere</w:t>
      </w:r>
      <w:r w:rsidR="00A953B0">
        <w:t xml:space="preserve"> </w:t>
      </w:r>
      <w:r>
        <w:t>eller annet helsepersonell kan utføre selvstendig</w:t>
      </w:r>
      <w:r w:rsidR="00646B25">
        <w:t>,</w:t>
      </w:r>
      <w:r>
        <w:t xml:space="preserve"> hovedsakelig baseres på en forsvarlighetsvurdering. Denne vurderingen er et ledelsesansvar og inngår i ansvaret som virksomhetsansvarlig. På fastlegekontoret er det p</w:t>
      </w:r>
      <w:r w:rsidR="00646B25">
        <w:t>e</w:t>
      </w:r>
      <w:r>
        <w:t>r i dag den enkelte fastlege som er virksomhetsansvarlig.</w:t>
      </w:r>
      <w:r w:rsidRPr="00090C1C">
        <w:t xml:space="preserve"> </w:t>
      </w:r>
      <w:r>
        <w:t>Om fastlegekontoret var organisert som et f</w:t>
      </w:r>
      <w:r w:rsidR="00F72130">
        <w:t>astlege</w:t>
      </w:r>
      <w:r>
        <w:t>selskap,</w:t>
      </w:r>
      <w:r w:rsidR="00EA450B">
        <w:t xml:space="preserve"> eller dersom kommunen drifter fastlegekontoret</w:t>
      </w:r>
      <w:r>
        <w:t>, vil ansvaret for forsvarlig drift, inkludert forsvarlighetsvurdering knyttet til oppgavefordeling</w:t>
      </w:r>
      <w:r w:rsidR="0091225D">
        <w:t>,</w:t>
      </w:r>
      <w:r>
        <w:t xml:space="preserve"> være løftet opp fra den enkelte lege til virksomhetsleder.</w:t>
      </w:r>
      <w:r w:rsidR="00D170FA">
        <w:t xml:space="preserve"> </w:t>
      </w:r>
      <w:r w:rsidR="375B265D" w:rsidRPr="498DE090">
        <w:t xml:space="preserve">Hvordan fastlegekontoret organiseres, vil </w:t>
      </w:r>
      <w:r w:rsidR="0091225D">
        <w:t xml:space="preserve">dermed </w:t>
      </w:r>
      <w:r w:rsidR="375B265D" w:rsidRPr="498DE090">
        <w:t>kunne ha påvirkning på oppgavefordeling og grad av selvstendighet i utførelsen.</w:t>
      </w:r>
    </w:p>
    <w:p w14:paraId="5DD70DC8" w14:textId="65EF1B1D" w:rsidR="00770B08" w:rsidRPr="00F31655" w:rsidRDefault="375B265D" w:rsidP="00775632">
      <w:pPr>
        <w:pStyle w:val="Overskrift4"/>
      </w:pPr>
      <w:bookmarkStart w:id="3132" w:name="_Toc130983541"/>
      <w:bookmarkStart w:id="3133" w:name="_Toc130983890"/>
      <w:bookmarkStart w:id="3134" w:name="_Toc131238472"/>
      <w:bookmarkStart w:id="3135" w:name="_Toc131279503"/>
      <w:bookmarkStart w:id="3136" w:name="_Toc131286915"/>
      <w:bookmarkStart w:id="3137" w:name="_Toc131281325"/>
      <w:bookmarkStart w:id="3138" w:name="_Toc131317865"/>
      <w:r>
        <w:t>Oppgavedeling ved fastlegekontorene for å gi økt kapasitet</w:t>
      </w:r>
      <w:bookmarkEnd w:id="3132"/>
      <w:bookmarkEnd w:id="3133"/>
      <w:bookmarkEnd w:id="3134"/>
      <w:bookmarkEnd w:id="3135"/>
      <w:bookmarkEnd w:id="3136"/>
      <w:bookmarkEnd w:id="3137"/>
      <w:bookmarkEnd w:id="3138"/>
    </w:p>
    <w:p w14:paraId="1F671BDA" w14:textId="77777777" w:rsidR="00D9107F" w:rsidRDefault="00770B08" w:rsidP="00275639">
      <w:pPr>
        <w:jc w:val="both"/>
      </w:pPr>
      <w:r>
        <w:t xml:space="preserve">For at annet helsepersonell skal bidra til at kapasiteten øker, innebærer det at fastlegen </w:t>
      </w:r>
      <w:r w:rsidR="190AEEF3">
        <w:t>må</w:t>
      </w:r>
      <w:r w:rsidR="3E82385F">
        <w:t xml:space="preserve"> </w:t>
      </w:r>
      <w:r>
        <w:t>få frigjort tid til å gjøre andre oppgaver. Det kan gjøres ved at det overføres oppgaver fra legen til annet personell.</w:t>
      </w:r>
    </w:p>
    <w:p w14:paraId="2B9447BD" w14:textId="5C96C742" w:rsidR="004B1A70" w:rsidRDefault="00770B08" w:rsidP="00275639">
      <w:pPr>
        <w:jc w:val="both"/>
      </w:pPr>
      <w:r>
        <w:t>I forsøket med primærhelseteam</w:t>
      </w:r>
      <w:r w:rsidR="003512C2">
        <w:t>,</w:t>
      </w:r>
      <w:r>
        <w:t xml:space="preserve"> opplevde to av fem fastleger redusert arbeidsbelastning, mens for halvparten av fastlegene har det ikke endret arbeidsomfanget. Begrenset effekt på opplevd arbeidsbelastning kan henge sammen med at omfang av oppgaver sykepleier utfører i stedet for fastlegen</w:t>
      </w:r>
      <w:r w:rsidR="00893867">
        <w:t>,</w:t>
      </w:r>
      <w:r>
        <w:t xml:space="preserve"> er begrenset</w:t>
      </w:r>
      <w:r w:rsidR="0033131C">
        <w:t xml:space="preserve">. </w:t>
      </w:r>
      <w:r>
        <w:t xml:space="preserve">Det kan også henge sammen med at fastlegen nå gjør oppgaver som ikke ble gjort før sykepleieren ble ansatt. Det er følgelig et potensiale for ytterligere avlasting av fastlegen om flere typer oppgaver eller et større volum av oppgaver overføres til annet personell, som sykepleier eller andre. </w:t>
      </w:r>
      <w:r w:rsidR="004D3A02">
        <w:t xml:space="preserve">For eksempel kan det tenkes at legen kan opprettholde en lengre </w:t>
      </w:r>
      <w:r w:rsidR="00C25E13">
        <w:t>pasient</w:t>
      </w:r>
      <w:r w:rsidR="004D3A02">
        <w:t xml:space="preserve">liste </w:t>
      </w:r>
      <w:r w:rsidR="003B1F19">
        <w:t>med en sykepleier i teamet enn uten</w:t>
      </w:r>
      <w:r w:rsidR="004D3A02">
        <w:t>.</w:t>
      </w:r>
    </w:p>
    <w:p w14:paraId="2208D634" w14:textId="77777777" w:rsidR="00D9107F" w:rsidRDefault="00CA11B6" w:rsidP="00275639">
      <w:pPr>
        <w:jc w:val="both"/>
      </w:pPr>
      <w:r>
        <w:t xml:space="preserve">Delegering av oppgaver har ikke vært noe hovedmål med PHT-forsøket, hvor økt kvalitet </w:t>
      </w:r>
      <w:r w:rsidR="00063F0E">
        <w:t xml:space="preserve">for spesifikke målgrupper </w:t>
      </w:r>
      <w:r>
        <w:t xml:space="preserve">har vært mer vektlagt. </w:t>
      </w:r>
      <w:r w:rsidR="00770B08">
        <w:t>Når man vurdere</w:t>
      </w:r>
      <w:r w:rsidR="00E651CF">
        <w:t>r</w:t>
      </w:r>
      <w:r w:rsidR="00770B08">
        <w:t xml:space="preserve"> effekt av PHT på legens arbeidsomfang</w:t>
      </w:r>
      <w:r w:rsidR="00E60C77">
        <w:t>,</w:t>
      </w:r>
      <w:r w:rsidR="00770B08">
        <w:t xml:space="preserve"> må det tas hensyn til en betydelig investering ved oppstart/innføring av nye roller og nye arbeidsmåter, som oppgavefordeling fra lege til annet personell. Det er liten erfaring i fastlegeordningen med teamorganisering og oppgavedeling, inkludert med flerfaglighet. Det kan tenkes at fastlegene vil oppleve mer effekt på arbeidsbelastning over tid når roller og arbeidsformer er tilstrekkelig innarbeidet.</w:t>
      </w:r>
    </w:p>
    <w:p w14:paraId="41294C37" w14:textId="51A42AC0" w:rsidR="00770B08" w:rsidRDefault="00770B08" w:rsidP="00275639">
      <w:pPr>
        <w:jc w:val="both"/>
      </w:pPr>
      <w:r>
        <w:t>Helsepersonellets grad av selvstendighet ved utførelse av oppgaver vil også ha innvirkning på avlastning for legen.</w:t>
      </w:r>
      <w:r w:rsidRPr="002E4B4C">
        <w:t xml:space="preserve"> </w:t>
      </w:r>
      <w:r>
        <w:t>Mindre grad av selvstendighet</w:t>
      </w:r>
      <w:r w:rsidR="004171B7">
        <w:t>,</w:t>
      </w:r>
      <w:r>
        <w:t xml:space="preserve"> gir mindre avlastning. Per i dag har andre faggrupper, på grunn av utformingen av takstsystemet, kun anledning til å være </w:t>
      </w:r>
      <w:r w:rsidR="419BA747">
        <w:t xml:space="preserve">fastlegens </w:t>
      </w:r>
      <w:r>
        <w:t>medhjelper, som innebærer at den enkelte lege må tilse pasiente</w:t>
      </w:r>
      <w:r w:rsidR="1C6EDE98">
        <w:t>n</w:t>
      </w:r>
      <w:r>
        <w:t xml:space="preserve"> for at arbeidet skal kunne utløse konsultasjonstakst. Dette gjelder også for prosedyrer som legens medhjelper kunne utført selvstendig. Det er grunn til å tro at det i dag skjer en del tilpasninger på det enkelte fastlegekontor, for at fastlegen skal kunne utløse takst for konsultasjon, selv om arbeidet i all hovedsak utføres av legens medhjelper. Det medfører avbrudd i fastlegens arbeid gjennom </w:t>
      </w:r>
      <w:r>
        <w:lastRenderedPageBreak/>
        <w:t xml:space="preserve">dagen, slik at tidsbesparelsen ved delegering blir mindre. Tilpasningene kan også tolkes til at rammene for dagens finansieringsordning og avtaleverk ikke i tilstrekkelig grad er tilpasset dagens </w:t>
      </w:r>
      <w:r w:rsidR="00C25E13">
        <w:t>praksis.</w:t>
      </w:r>
    </w:p>
    <w:p w14:paraId="6634480D" w14:textId="77777777" w:rsidR="00D9107F" w:rsidRDefault="00770B08" w:rsidP="00275639">
      <w:pPr>
        <w:jc w:val="both"/>
      </w:pPr>
      <w:r>
        <w:t>Ulike type oppgaver som er egnet for delegering</w:t>
      </w:r>
      <w:r w:rsidR="008B68F6">
        <w:t>,</w:t>
      </w:r>
      <w:r>
        <w:t xml:space="preserve"> kan ha ulikt potensiale for å avlaste fastlegen. Det kan være oppgaver som er særlig hyppige og med et visst volum, og oppgaver som er tidkrevende for fastlegen. Det kan også være oppgaver rettet mot spesifikke pasientgrupper, f</w:t>
      </w:r>
      <w:r w:rsidR="00B27320">
        <w:t>or eksempel</w:t>
      </w:r>
      <w:r>
        <w:t xml:space="preserve"> pasienter med kroniske lidelser som krever regelmessig oppfølging.</w:t>
      </w:r>
    </w:p>
    <w:p w14:paraId="33385BE4" w14:textId="77777777" w:rsidR="00D9107F" w:rsidRDefault="00770B08" w:rsidP="009A0535">
      <w:pPr>
        <w:jc w:val="both"/>
      </w:pPr>
      <w:r>
        <w:t>Hvordan oppgaver fordeles fra fastlegen til annet personell</w:t>
      </w:r>
      <w:r w:rsidR="002C0392">
        <w:t>,</w:t>
      </w:r>
      <w:r>
        <w:t xml:space="preserve"> kan også ha innvirkning på om man oppnår avlastning. Evalueringen av forsøk med PHT viste at ad-hoc delegering av arbeidsoppgaver til sykepleier kun genererer et begrenset volum med arbeidsoppgaver og derfor ikke bidro til å redusere arbeidsbelastningen. Det kan derfor være nærliggende å tro at strukturert arbeidsdeling, med klare rutiner og beskrivelser av hvem som utfører hvilke oppgaver kan gi grunnlag for mer avlastning over tid.</w:t>
      </w:r>
      <w:r w:rsidR="27A7986E">
        <w:t xml:space="preserve"> </w:t>
      </w:r>
      <w:r>
        <w:t xml:space="preserve">Den store investering i tid og ressurser for å implementere teamorganisering og </w:t>
      </w:r>
      <w:r w:rsidR="00A2401C">
        <w:t>oppgavedeling</w:t>
      </w:r>
      <w:r>
        <w:t xml:space="preserve"> og oppfølgingen for å lede arbeidet, kan tenkes å være for krevende i forhold til den begrensede effekten som sees i evalueringen av PHT.</w:t>
      </w:r>
    </w:p>
    <w:p w14:paraId="291F8863" w14:textId="77777777" w:rsidR="00D9107F" w:rsidRDefault="00770B08" w:rsidP="00772023">
      <w:pPr>
        <w:jc w:val="both"/>
      </w:pPr>
      <w:r>
        <w:t>For å oppnå tilstrekkelig effekt på legens opplevde arbeidsbelastning</w:t>
      </w:r>
      <w:r w:rsidR="00A01FB1">
        <w:t>,</w:t>
      </w:r>
      <w:r>
        <w:t xml:space="preserve"> ser det ut for at det må være et større oppgavevolum. En viss praksisstørrelse med flere fastleger er nok også nødvendig, samt at det må være klar lederstruktur og dedikerte lederressurser. For mindre befolkningsrike kommuner i distriktene kan tilstrekkelig størrelse på legekontoret være vanskelig oppnå. </w:t>
      </w:r>
      <w:r w:rsidR="00D927A4" w:rsidRPr="00D927A4">
        <w:t xml:space="preserve">I </w:t>
      </w:r>
      <w:r w:rsidR="00D927A4">
        <w:t>slike</w:t>
      </w:r>
      <w:r w:rsidR="00D927A4" w:rsidRPr="00D927A4">
        <w:t xml:space="preserve"> kommuner kan det kanskje være hensiktsmessig å se hele den kommunale legevirksomheten mer i sammenheng og tenke teamorganisering</w:t>
      </w:r>
      <w:r w:rsidR="00D927A4">
        <w:t xml:space="preserve"> i hele </w:t>
      </w:r>
      <w:r w:rsidR="000C60BF">
        <w:t>tjenesten</w:t>
      </w:r>
      <w:r w:rsidR="00D927A4" w:rsidRPr="00D927A4">
        <w:t xml:space="preserve">, i stedet </w:t>
      </w:r>
      <w:r w:rsidR="000C60BF">
        <w:t xml:space="preserve">for kun </w:t>
      </w:r>
      <w:r w:rsidR="00D927A4" w:rsidRPr="00D927A4">
        <w:t>rundt fastlegevirksomheten.</w:t>
      </w:r>
      <w:r w:rsidR="0091225D">
        <w:t xml:space="preserve"> </w:t>
      </w:r>
      <w:r w:rsidR="0091225D" w:rsidRPr="00476E54">
        <w:t>Dette kan også være aktuell tenkning i større kommuner, da en mer helhetlig organisering kan åpne for etablering av eksempelvis sykepleierpoliklinikker med flere ansatte.</w:t>
      </w:r>
    </w:p>
    <w:p w14:paraId="35A0C71C" w14:textId="1429F819" w:rsidR="00772023" w:rsidRDefault="00770B08" w:rsidP="00772023">
      <w:pPr>
        <w:jc w:val="both"/>
      </w:pPr>
      <w:r>
        <w:t>Legene som deltok i PHT opplevde bedret arbeidstilfredshet. Den samlede trivsel økte, og de rapporterte også bedret sosialt og faglig fellesskap. Resultatene gir indikasjon på at tverrfaglighet og teamarbeid kan gi robusthet i forhold til arbeidsbelastning. Andre positive effekter som helsepersonell trekker fram, er bedre kvalitet i fastlegetjenestene som ytes. Fastlegene har også i større grad tid til å holde seg faglig oppdatert og jobbe systematisk med kvalitetsarbeid i vanlig arbeidstid, sammenlignet med fastleger som ikke deltar i forsøket. Pasientene rapporterer om økt trygghet.</w:t>
      </w:r>
    </w:p>
    <w:p w14:paraId="169AEB53" w14:textId="77777777" w:rsidR="00D9107F" w:rsidRDefault="375B265D" w:rsidP="00775632">
      <w:pPr>
        <w:pStyle w:val="Overskrift4"/>
      </w:pPr>
      <w:bookmarkStart w:id="3139" w:name="_Toc130983542"/>
      <w:bookmarkStart w:id="3140" w:name="_Toc130983891"/>
      <w:bookmarkStart w:id="3141" w:name="_Toc131238473"/>
      <w:bookmarkStart w:id="3142" w:name="_Toc131279504"/>
      <w:bookmarkStart w:id="3143" w:name="_Toc131286916"/>
      <w:bookmarkStart w:id="3144" w:name="_Toc131281326"/>
      <w:bookmarkStart w:id="3145" w:name="_Toc131317866"/>
      <w:r>
        <w:t>Oppgaver som kan løses av andre enn fastlegen</w:t>
      </w:r>
      <w:bookmarkEnd w:id="3139"/>
      <w:bookmarkEnd w:id="3140"/>
      <w:bookmarkEnd w:id="3141"/>
      <w:bookmarkEnd w:id="3142"/>
      <w:bookmarkEnd w:id="3143"/>
      <w:bookmarkEnd w:id="3144"/>
      <w:bookmarkEnd w:id="3145"/>
    </w:p>
    <w:p w14:paraId="24FB90BF" w14:textId="77777777" w:rsidR="00D9107F" w:rsidRDefault="00770B08" w:rsidP="00454111">
      <w:pPr>
        <w:jc w:val="both"/>
      </w:pPr>
      <w:r>
        <w:t xml:space="preserve">Det er i hovedsak forsvarlighetskravet som setter grenser for hvilke oppgaver de ulike gruppene av helsepersonell kan gjøre. Det må gjøres konkret vurdering av om det enkelte helsepersonell har kompetanse til å utføre den spesifikke oppgaven. Ettersom forsvarlighetskravet både tar opp i seg utdanning, etterutdanning og erfaring, vil det kunne være ulikt hvilke oppgaver en </w:t>
      </w:r>
      <w:r>
        <w:lastRenderedPageBreak/>
        <w:t>nyutdannet sykepleier kan gjøre og hvilke oppgaver en erfaren, etterutdannet sykepleier kan gjøre. På enkelte områder stiller også lovgivningen krav om spesifikk kompetanse til å utføre en oppgave, som rekvirering av legemidler.</w:t>
      </w:r>
    </w:p>
    <w:p w14:paraId="4F6CFBBB" w14:textId="77777777" w:rsidR="00D9107F" w:rsidRDefault="00770B08" w:rsidP="00454111">
      <w:pPr>
        <w:jc w:val="both"/>
      </w:pPr>
      <w:r>
        <w:t>For å vurdere hvilke faggrupper som kan være aktuelle i et fastlegekontor</w:t>
      </w:r>
      <w:r w:rsidR="00FA7AD4">
        <w:t>,</w:t>
      </w:r>
      <w:r>
        <w:t xml:space="preserve"> er det hensiktsmessig å vurdere hvilken kompetanse som er mest relevant i møte med listeinnbyggernes behov. Utviklingen er at befolkningen lever lengre, er eldre og har mer komplekse og sammensatt tilstander og behov. Samtidig er det ønsket at eldre skal bo hjemme lengre, med støtte fra hjemmesykepleie og digitale hjelpemidler. Andre store pasientgrupper er personer med psykiske lidelser og muskel- og skjelettlidelser.</w:t>
      </w:r>
    </w:p>
    <w:p w14:paraId="06EFA9B5" w14:textId="61ECAB1A" w:rsidR="00770B08" w:rsidRDefault="00770B08" w:rsidP="00B67C30">
      <w:pPr>
        <w:spacing w:line="276" w:lineRule="auto"/>
        <w:jc w:val="both"/>
      </w:pPr>
      <w:r>
        <w:t xml:space="preserve">Eksempler på helseprofesjoner som kan være relevant på fastlegekontoret, utover helsesekretær, er </w:t>
      </w:r>
      <w:r w:rsidR="00645236">
        <w:t xml:space="preserve">blant annet </w:t>
      </w:r>
      <w:r>
        <w:t>sykepleier, psykolog og fysioterapeut. Hvordan ulike faggrupper skal være del av legekontoret</w:t>
      </w:r>
      <w:r w:rsidR="003F28E6">
        <w:t>,</w:t>
      </w:r>
      <w:r>
        <w:t xml:space="preserve"> kan organiseres på ulike måter. Faggrupper kan inngå direkte som personell i kontoret, som delte stillinger mellom fastlegetjenesten og andre kommunale helse- og omsorgstjenester, eller en tjeneste som betjener flere fastlegekontor, eventuelt også i kombinasjon med andre kommunale tjenester.</w:t>
      </w:r>
    </w:p>
    <w:p w14:paraId="21FA8839" w14:textId="77777777" w:rsidR="00D9107F" w:rsidRDefault="00770B08" w:rsidP="00B67C30">
      <w:pPr>
        <w:spacing w:line="276" w:lineRule="auto"/>
        <w:jc w:val="both"/>
      </w:pPr>
      <w:r>
        <w:t>Man kan også tenke seg samlokalisering med andre tjenester</w:t>
      </w:r>
      <w:r w:rsidR="00AC5AD2">
        <w:t>,</w:t>
      </w:r>
      <w:r>
        <w:t xml:space="preserve"> som helsestasjon eller hjemmetjenesten, hvor personell kan ha enkel tilgang </w:t>
      </w:r>
      <w:r w:rsidR="00AC5AD2">
        <w:t>til</w:t>
      </w:r>
      <w:r>
        <w:t xml:space="preserve"> hverandre på tvers av tjenester</w:t>
      </w:r>
      <w:r w:rsidR="00C50AFE">
        <w:t>, som de ofte har i mindre kommuner</w:t>
      </w:r>
      <w:r>
        <w:t>. Det kan tilrettelegge</w:t>
      </w:r>
      <w:r w:rsidR="00784DAF">
        <w:t>s</w:t>
      </w:r>
      <w:r>
        <w:t xml:space="preserve"> for møtepunkter, som samarbeidsmøter</w:t>
      </w:r>
      <w:r w:rsidR="00784DAF">
        <w:t xml:space="preserve"> og</w:t>
      </w:r>
      <w:r>
        <w:t xml:space="preserve"> fagseminarer.</w:t>
      </w:r>
      <w:r w:rsidR="00784DAF">
        <w:t xml:space="preserve"> </w:t>
      </w:r>
      <w:r w:rsidR="00B63F2A">
        <w:t xml:space="preserve">Eksempler på oppgaver som </w:t>
      </w:r>
      <w:r w:rsidR="00D75ED3">
        <w:t xml:space="preserve">sykepleier </w:t>
      </w:r>
      <w:r w:rsidR="00B5780B">
        <w:t>utfører i PHT</w:t>
      </w:r>
      <w:r w:rsidR="00411FC3">
        <w:t>,</w:t>
      </w:r>
      <w:r w:rsidR="00B5780B">
        <w:t xml:space="preserve"> </w:t>
      </w:r>
      <w:r w:rsidR="00922CFF">
        <w:t>er</w:t>
      </w:r>
      <w:r w:rsidR="00B71489">
        <w:t xml:space="preserve"> oppfølgingssamtaler, kontroll av pasienter med kroniske sykdommer og funksjonshemminger, oppfølging av komplekse pasienter, kartlegging av hjemmesituasjon, sårbehandling, </w:t>
      </w:r>
      <w:r w:rsidR="00A6536A">
        <w:t>h</w:t>
      </w:r>
      <w:r w:rsidR="00B71489">
        <w:t>jemmebesøk</w:t>
      </w:r>
      <w:r w:rsidR="00A6536A">
        <w:t>, i</w:t>
      </w:r>
      <w:r w:rsidR="00B71489">
        <w:t>nstruksjon i egenbehandling og bygging av selvhjelpsnettverk i grupper</w:t>
      </w:r>
      <w:r w:rsidR="0045299D">
        <w:t>.</w:t>
      </w:r>
      <w:r w:rsidR="00A7159B">
        <w:t xml:space="preserve"> </w:t>
      </w:r>
      <w:r>
        <w:t>Noen av eksemplene kan også være relevante for omfordeling til andre kommunale helse- og omsorgstjenester.</w:t>
      </w:r>
    </w:p>
    <w:p w14:paraId="208D5D28" w14:textId="2302155E" w:rsidR="00DE0100" w:rsidRPr="00410B88" w:rsidRDefault="00DE0100" w:rsidP="00A7159B">
      <w:pPr>
        <w:spacing w:line="276" w:lineRule="auto"/>
        <w:jc w:val="both"/>
      </w:pPr>
      <w:r>
        <w:t xml:space="preserve">Rollen avansert klinisk sykepleier ble utviklet i USA og Canada fra </w:t>
      </w:r>
      <w:r w:rsidR="00EB6EF9">
        <w:t xml:space="preserve">sent på </w:t>
      </w:r>
      <w:r w:rsidR="00032440">
        <w:t>19</w:t>
      </w:r>
      <w:r w:rsidR="00393491">
        <w:t>60</w:t>
      </w:r>
      <w:r w:rsidR="0006703B">
        <w:t>-</w:t>
      </w:r>
      <w:r w:rsidR="00393491">
        <w:t>tallet</w:t>
      </w:r>
      <w:r w:rsidR="0006703B">
        <w:t xml:space="preserve"> og begynnelsen av </w:t>
      </w:r>
      <w:r w:rsidR="00032440">
        <w:t>19</w:t>
      </w:r>
      <w:r w:rsidR="0006703B">
        <w:t>70-tallet</w:t>
      </w:r>
      <w:r>
        <w:t>, etterfulgt av Storbritannia og andre høyinntek</w:t>
      </w:r>
      <w:r w:rsidR="00032440">
        <w:t>ts</w:t>
      </w:r>
      <w:r>
        <w:t>land de siste tiårene</w:t>
      </w:r>
      <w:r w:rsidR="73FE598E">
        <w:t xml:space="preserve"> </w:t>
      </w:r>
      <w:r w:rsidR="00FC180D">
        <w:fldChar w:fldCharType="begin"/>
      </w:r>
      <w:r w:rsidR="004654FD">
        <w:instrText xml:space="preserve"> ADDIN EN.CITE &lt;EndNote&gt;&lt;Cite&gt;&lt;Author&gt;Laurant&lt;/Author&gt;&lt;Year&gt;2018&lt;/Year&gt;&lt;RecNum&gt;559&lt;/RecNum&gt;&lt;DisplayText&gt;(Laurant et al., 2018)&lt;/DisplayText&gt;&lt;record&gt;&lt;rec-number&gt;559&lt;/rec-number&gt;&lt;foreign-keys&gt;&lt;key app="EN" db-id="95tpr2tp6r9xwoea9rb5wdsz5ds5xeddteew" timestamp="1680069511"&gt;559&lt;/key&gt;&lt;/foreign-keys&gt;&lt;ref-type name="Journal Article"&gt;17&lt;/ref-type&gt;&lt;contributors&gt;&lt;authors&gt;&lt;author&gt;Laurant, Miranda&lt;/author&gt;&lt;author&gt;van der Biezen, Mieke&lt;/author&gt;&lt;author&gt;Wijers, Nancy&lt;/author&gt;&lt;author&gt;Watananirun, Kanokwaroon&lt;/author&gt;&lt;author&gt;Kontopantelis, Evangelos&lt;/author&gt;&lt;author&gt;van Vught, Anneke J. A. H.&lt;/author&gt;&lt;/authors&gt;&lt;/contributors&gt;&lt;titles&gt;&lt;title&gt;Nurses as substitutes for doctors in primary care&lt;/title&gt;&lt;secondary-title&gt;Cochrane Database of Systematic Reviews&lt;/secondary-title&gt;&lt;/titles&gt;&lt;pages&gt;CD001271&lt;/pages&gt;&lt;volume&gt;7&lt;/volume&gt;&lt;dates&gt;&lt;year&gt;2018&lt;/year&gt;&lt;pub-dates&gt;&lt;date&gt;2018&lt;/date&gt;&lt;/pub-dates&gt;&lt;/dates&gt;&lt;isbn&gt;1465-1858&lt;/isbn&gt;&lt;label&gt;10.1002/14651858.CD001271.pub3&lt;/label&gt;&lt;urls&gt;&lt;related-urls&gt;&lt;url&gt;http://www.epistemonikos.org/documents/a8c8215be5308296b7d854eaa7c1abc66abc2e4e&lt;/url&gt;&lt;/related-urls&gt;&lt;/urls&gt;&lt;remote-database-name&gt;Oppgaveglidning&lt;/remote-database-name&gt;&lt;language&gt;English&lt;/language&gt;&lt;/record&gt;&lt;/Cite&gt;&lt;/EndNote&gt;</w:instrText>
      </w:r>
      <w:r w:rsidR="00FC180D">
        <w:fldChar w:fldCharType="separate"/>
      </w:r>
      <w:r w:rsidR="00FC180D">
        <w:rPr>
          <w:noProof/>
        </w:rPr>
        <w:t>(Laurant et al., 2018)</w:t>
      </w:r>
      <w:r w:rsidR="00FC180D">
        <w:fldChar w:fldCharType="end"/>
      </w:r>
      <w:r w:rsidR="3B60BA57">
        <w:t>.</w:t>
      </w:r>
      <w:r>
        <w:t xml:space="preserve"> I Norge er dette en ny rolle innen sykepleie. Internasjonalt brukes begrepene</w:t>
      </w:r>
      <w:r w:rsidRPr="00410B88">
        <w:t xml:space="preserve"> advanced practice nurse</w:t>
      </w:r>
      <w:r>
        <w:t xml:space="preserve"> (APN)</w:t>
      </w:r>
      <w:r w:rsidRPr="00410B88">
        <w:t xml:space="preserve">, med underkategoriene </w:t>
      </w:r>
      <w:r>
        <w:t>nurse practitioner (NP)</w:t>
      </w:r>
      <w:r w:rsidRPr="00410B88">
        <w:t xml:space="preserve"> og clinical nurse spesialist (CNS)</w:t>
      </w:r>
      <w:r>
        <w:t>. Innhold i begrepene og tilknyttede roller, reguleringer og videreutdanning varierer mellom land. Avansert kliniske sykepleiere benyttes innen de fleste kliniske spesialiteter</w:t>
      </w:r>
      <w:r w:rsidR="78089621">
        <w:t xml:space="preserve"> </w:t>
      </w:r>
      <w:r w:rsidR="00FC180D">
        <w:fldChar w:fldCharType="begin">
          <w:fldData xml:space="preserve">PEVuZE5vdGU+PENpdGU+PEF1dGhvcj5TY2hvYmVyPC9BdXRob3I+PFllYXI+MjAyMDwvWWVhcj48
UmVjTnVtPjMwMjwvUmVjTnVtPjxEaXNwbGF5VGV4dD4oQ29vcGVyIGV0IGFsLiwgMjAxOTsgU2No
b2JlciBldCBhbC4sIDIwMjApPC9EaXNwbGF5VGV4dD48cmVjb3JkPjxyZWMtbnVtYmVyPjMwMjwv
cmVjLW51bWJlcj48Zm9yZWlnbi1rZXlzPjxrZXkgYXBwPSJFTiIgZGItaWQ9Ijk1dHByMnRwNnI5
eHdvZWE5cmI1d2RzejVkczV4ZWRkdGVldyIgdGltZXN0YW1wPSIxNjgwMDY5NTExIj4zMDI8L2tl
eT48L2ZvcmVpZ24ta2V5cz48cmVmLXR5cGUgbmFtZT0iUmVwb3J0Ij4yNzwvcmVmLXR5cGU+PGNv
bnRyaWJ1dG9ycz48YXV0aG9ycz48YXV0aG9yPk1hZHJlYW4gU2Nob2JlcjwvYXV0aG9yPjxhdXRo
b3I+RGFuaWVsYSBMZWh3YWxkdDwvYXV0aG9yPjxhdXRob3I+TWVsYW5pZSBSb2dlcnM8L2F1dGhv
cj48YXV0aG9yPk1hcnkgU3RlaW5rZTwvYXV0aG9yPjxhdXRob3I+U3VlIFR1cmFsZTwvYXV0aG9y
PjxhdXRob3I+RGF2aWQgU3Rld2FydDwvYXV0aG9yPjwvYXV0aG9ycz48dGVydGlhcnktYXV0aG9y
cz48YXV0aG9yPkludGVybmF0aW9uYWwgY291bmNpbCBvZiBudXJzZXMsPC9hdXRob3I+PC90ZXJ0
aWFyeS1hdXRob3JzPjwvY29udHJpYnV0b3JzPjx0aXRsZXM+PHRpdGxlPkd1aWRlbGluZXMgb24g
YWR2YW5jZWQgcHJhY3RpY2UgbnVyc2luZzwvdGl0bGU+PC90aXRsZXM+PGRhdGVzPjx5ZWFyPjIw
MjA8L3llYXI+PC9kYXRlcz48cHViLWxvY2F0aW9uPkdlbsOodmU8L3B1Yi1sb2NhdGlvbj48dXJs
cz48L3VybHM+PC9yZWNvcmQ+PC9DaXRlPjxDaXRlPjxBdXRob3I+Q29vcGVyPC9BdXRob3I+PFll
YXI+MjAxOTwvWWVhcj48UmVjTnVtPjc0NjwvUmVjTnVtPjxyZWNvcmQ+PHJlYy1udW1iZXI+NzQ2
PC9yZWMtbnVtYmVyPjxmb3JlaWduLWtleXM+PGtleSBhcHA9IkVOIiBkYi1pZD0iOTV0cHIydHA2
cjl4d29lYTlyYjV3ZHN6NWRzNXhlZGR0ZWV3IiB0aW1lc3RhbXA9IjE2ODAwNjk1MTEiPjc0Njwv
a2V5PjwvZm9yZWlnbi1rZXlzPjxyZWYtdHlwZSBuYW1lPSJKb3VybmFsIEFydGljbGUiPjE3PC9y
ZWYtdHlwZT48Y29udHJpYnV0b3JzPjxhdXRob3JzPjxhdXRob3I+Q29vcGVyLCBNLiBBLjwvYXV0
aG9yPjxhdXRob3I+TWNEb3dlbGwsIEouPC9hdXRob3I+PGF1dGhvcj5SYWVzaWRlLCBMLjwvYXV0
aG9yPjxhdXRob3I+QW5wLUNucyBHcm91cDwvYXV0aG9yPjwvYXV0aG9ycz48L2NvbnRyaWJ1dG9y
cz48YXV0aC1hZGRyZXNzPkNvb3BlciwgTWFyayBBLiBDb25zdWx0YW50IE51cnNlLUFkdmFuY2Vk
IFByYWN0aWNlLCBOSFMgR3JlYXRlciBHbGFzZ293IGFuZCBDbHlkZSwgYW5kIEhvbm9yYXJ5IFNl
bmlvciBDbGluaWNhbCBMZWN0dXJlciwgVW5pdmVyc2l0eSBvZiBHbGFzZ293LiYjeEQ7TWNEb3dl
bGwsIEpvYW4uIEhvbm9yYXJ5IFNlbmlvciBSZXNlYXJjaCBGZWxsb3csIFVuaXZlcnNpdHkgb2Yg
R2xhc2dvdy4mI3hEO1JhZXNpZGUsIExhdmluaWEuIEFkdmFuY2VkIE5lb25hdGFsIE51cnNlIFBy
YWN0aXRpb25lciwgTkhTIEdyZWF0ZXIgR2xhc2dvdyBhbmQgQ2x5ZGUuPC9hdXRoLWFkZHJlc3M+
PHRpdGxlcz48dGl0bGU+VGhlIHNpbWlsYXJpdGllcyBhbmQgZGlmZmVyZW5jZXMgYmV0d2VlbiBh
ZHZhbmNlZCBudXJzZSBwcmFjdGl0aW9uZXJzIGFuZCBjbGluaWNhbCBudXJzZSBzcGVjaWFsaXN0
czwvdGl0bGU+PHNlY29uZGFyeS10aXRsZT5Ccml0aXNoIEpvdXJuYWwgb2YgTnVyc2luZzwvc2Vj
b25kYXJ5LXRpdGxlPjxhbHQtdGl0bGU+QnIgSiBOdXJzPC9hbHQtdGl0bGU+PC90aXRsZXM+PGFs
dC1wZXJpb2RpY2FsPjxmdWxsLXRpdGxlPkJyaXRpc2ggSm91cm5hbCBvZiBOdXJzaW5nPC9mdWxs
LXRpdGxlPjxhYmJyLTE+QnIgSiBOdXJzPC9hYmJyLTE+PC9hbHQtcGVyaW9kaWNhbD48cGFnZXM+
MTMwOC0xMzE0PC9wYWdlcz48dm9sdW1lPjI4PC92b2x1bWU+PG51bWJlcj4yMDwvbnVtYmVyPjxr
ZXl3b3Jkcz48a2V5d29yZD4qQWR2YW5jZWQgUHJhY3RpY2UgTnVyc2luZzwva2V5d29yZD48a2V5
d29yZD5IdW1hbnM8L2tleXdvcmQ+PGtleXdvcmQ+Kk51cnNlIENsaW5pY2lhbnM8L2tleXdvcmQ+
PGtleXdvcmQ+Kk51cnNlIFByYWN0aXRpb25lcnM8L2tleXdvcmQ+PGtleXdvcmQ+Kk51cnNlJmFw
b3M7cyBSb2xlPC9rZXl3b3JkPjwva2V5d29yZHM+PGRhdGVzPjx5ZWFyPjIwMTk8L3llYXI+PHB1
Yi1kYXRlcz48ZGF0ZT5Ob3YgMTQ8L2RhdGU+PC9wdWItZGF0ZXM+PC9kYXRlcz48aXNibj4wOTY2
LTA0NjE8L2lzYm4+PGFjY2Vzc2lvbi1udW0+MzE3MTQ4MTc8L2FjY2Vzc2lvbi1udW0+PGxhYmVs
PjEwLjEyOTY4L2Jqb24uMjAxOS4yOC4yMC4xMzA4PC9sYWJlbD48d29yay10eXBlPlJldmlldzwv
d29yay10eXBlPjx1cmxzPjxyZWxhdGVkLXVybHM+PHVybD5odHRwczovL292aWRzcC5vdmlkLmNv
bS9vdmlkd2ViLmNnaT9UPUpTJmFtcDtDU0M9WSZhbXA7TkVXUz1OJmFtcDtQQUdFPWZ1bGx0ZXh0
JmFtcDtEPW1lZDE2JmFtcDtBTj0zMTcxNDgxNzwvdXJsPjx1cmw+aHR0cDovL29wZW51cmwuYmli
c3lzLm5vL29wZW51cmw/b3Rvb2w9aW5vaXBobGliP3NpZD1PVklEOm1lZGxpbmUmYW1wO2lkPXBt
aWQ6MzE3MTQ4MTcmYW1wO2lkPWRvaToxMC4xMjk2OCUyRmJqb24uMjAxOS4yOC4yMC4xMzA4JmFt
cDtpc3NuPTA5NjYtMDQ2MSZhbXA7aXNibj0mYW1wO3ZvbHVtZT0yOCZhbXA7aXNzdWU9MjAmYW1w
O3NwYWdlPTEzMDgmYW1wO3BhZ2VzPTEzMDgtMTMxNCZhbXA7ZGF0ZT0yMDE5JmFtcDt0aXRsZT1C
cml0aXNoK0pvdXJuYWwrb2YrTnVyc2luZyZhbXA7YXRpdGxlPVRoZStzaW1pbGFyaXRpZXMrYW5k
K2RpZmZlcmVuY2VzK2JldHdlZW4rYWR2YW5jZWQrbnVyc2UrcHJhY3RpdGlvbmVycythbmQrY2xp
bmljYWwrbnVyc2Urc3BlY2lhbGlzdHMuJmFtcDthdWxhc3Q9Q29vcGVyJmFtcDtwaWQ9JTNDYXV0
aG9yJTNFQ29vcGVyK01BJTNDJTJGYXV0aG9yJTNFJTNDQU4lM0UzMTcxNDgxNyUzQyUyRkFOJTNF
JTNDRFQlM0VKb3VybmFsK0FydGljbGUlM0MlMkZEVCUzRTwvdXJsPjwvcmVsYXRlZC11cmxzPjwv
dXJscz48ZWxlY3Ryb25pYy1yZXNvdXJjZS1udW0+MTAuMTI5NjgvYmpvbi4yMDE5LjI4LjIwLjEz
MDg8L2VsZWN0cm9uaWMtcmVzb3VyY2UtbnVtPjxyZW1vdGUtZGF0YWJhc2UtbmFtZT5PcHBnYXZl
Z2xpZG5pbmc8L3JlbW90ZS1kYXRhYmFzZS1uYW1lPjxyZW1vdGUtZGF0YWJhc2UtcHJvdmlkZXI+
T3ZpZCBUZWNobm9sb2dpZXM8L3JlbW90ZS1kYXRhYmFzZS1wcm92aWRlcj48bGFuZ3VhZ2U+RW5n
bGlzaDwvbGFuZ3VhZ2U+PC9yZWNvcmQ+PC9DaXRlPjwvRW5kTm90ZT4A
</w:fldData>
        </w:fldChar>
      </w:r>
      <w:r w:rsidR="004654FD">
        <w:instrText xml:space="preserve"> ADDIN EN.CITE </w:instrText>
      </w:r>
      <w:r w:rsidR="004654FD">
        <w:fldChar w:fldCharType="begin">
          <w:fldData xml:space="preserve">PEVuZE5vdGU+PENpdGU+PEF1dGhvcj5TY2hvYmVyPC9BdXRob3I+PFllYXI+MjAyMDwvWWVhcj48
UmVjTnVtPjMwMjwvUmVjTnVtPjxEaXNwbGF5VGV4dD4oQ29vcGVyIGV0IGFsLiwgMjAxOTsgU2No
b2JlciBldCBhbC4sIDIwMjApPC9EaXNwbGF5VGV4dD48cmVjb3JkPjxyZWMtbnVtYmVyPjMwMjwv
cmVjLW51bWJlcj48Zm9yZWlnbi1rZXlzPjxrZXkgYXBwPSJFTiIgZGItaWQ9Ijk1dHByMnRwNnI5
eHdvZWE5cmI1d2RzejVkczV4ZWRkdGVldyIgdGltZXN0YW1wPSIxNjgwMDY5NTExIj4zMDI8L2tl
eT48L2ZvcmVpZ24ta2V5cz48cmVmLXR5cGUgbmFtZT0iUmVwb3J0Ij4yNzwvcmVmLXR5cGU+PGNv
bnRyaWJ1dG9ycz48YXV0aG9ycz48YXV0aG9yPk1hZHJlYW4gU2Nob2JlcjwvYXV0aG9yPjxhdXRo
b3I+RGFuaWVsYSBMZWh3YWxkdDwvYXV0aG9yPjxhdXRob3I+TWVsYW5pZSBSb2dlcnM8L2F1dGhv
cj48YXV0aG9yPk1hcnkgU3RlaW5rZTwvYXV0aG9yPjxhdXRob3I+U3VlIFR1cmFsZTwvYXV0aG9y
PjxhdXRob3I+RGF2aWQgU3Rld2FydDwvYXV0aG9yPjwvYXV0aG9ycz48dGVydGlhcnktYXV0aG9y
cz48YXV0aG9yPkludGVybmF0aW9uYWwgY291bmNpbCBvZiBudXJzZXMsPC9hdXRob3I+PC90ZXJ0
aWFyeS1hdXRob3JzPjwvY29udHJpYnV0b3JzPjx0aXRsZXM+PHRpdGxlPkd1aWRlbGluZXMgb24g
YWR2YW5jZWQgcHJhY3RpY2UgbnVyc2luZzwvdGl0bGU+PC90aXRsZXM+PGRhdGVzPjx5ZWFyPjIw
MjA8L3llYXI+PC9kYXRlcz48cHViLWxvY2F0aW9uPkdlbsOodmU8L3B1Yi1sb2NhdGlvbj48dXJs
cz48L3VybHM+PC9yZWNvcmQ+PC9DaXRlPjxDaXRlPjxBdXRob3I+Q29vcGVyPC9BdXRob3I+PFll
YXI+MjAxOTwvWWVhcj48UmVjTnVtPjc0NjwvUmVjTnVtPjxyZWNvcmQ+PHJlYy1udW1iZXI+NzQ2
PC9yZWMtbnVtYmVyPjxmb3JlaWduLWtleXM+PGtleSBhcHA9IkVOIiBkYi1pZD0iOTV0cHIydHA2
cjl4d29lYTlyYjV3ZHN6NWRzNXhlZGR0ZWV3IiB0aW1lc3RhbXA9IjE2ODAwNjk1MTEiPjc0Njwv
a2V5PjwvZm9yZWlnbi1rZXlzPjxyZWYtdHlwZSBuYW1lPSJKb3VybmFsIEFydGljbGUiPjE3PC9y
ZWYtdHlwZT48Y29udHJpYnV0b3JzPjxhdXRob3JzPjxhdXRob3I+Q29vcGVyLCBNLiBBLjwvYXV0
aG9yPjxhdXRob3I+TWNEb3dlbGwsIEouPC9hdXRob3I+PGF1dGhvcj5SYWVzaWRlLCBMLjwvYXV0
aG9yPjxhdXRob3I+QW5wLUNucyBHcm91cDwvYXV0aG9yPjwvYXV0aG9ycz48L2NvbnRyaWJ1dG9y
cz48YXV0aC1hZGRyZXNzPkNvb3BlciwgTWFyayBBLiBDb25zdWx0YW50IE51cnNlLUFkdmFuY2Vk
IFByYWN0aWNlLCBOSFMgR3JlYXRlciBHbGFzZ293IGFuZCBDbHlkZSwgYW5kIEhvbm9yYXJ5IFNl
bmlvciBDbGluaWNhbCBMZWN0dXJlciwgVW5pdmVyc2l0eSBvZiBHbGFzZ293LiYjeEQ7TWNEb3dl
bGwsIEpvYW4uIEhvbm9yYXJ5IFNlbmlvciBSZXNlYXJjaCBGZWxsb3csIFVuaXZlcnNpdHkgb2Yg
R2xhc2dvdy4mI3hEO1JhZXNpZGUsIExhdmluaWEuIEFkdmFuY2VkIE5lb25hdGFsIE51cnNlIFBy
YWN0aXRpb25lciwgTkhTIEdyZWF0ZXIgR2xhc2dvdyBhbmQgQ2x5ZGUuPC9hdXRoLWFkZHJlc3M+
PHRpdGxlcz48dGl0bGU+VGhlIHNpbWlsYXJpdGllcyBhbmQgZGlmZmVyZW5jZXMgYmV0d2VlbiBh
ZHZhbmNlZCBudXJzZSBwcmFjdGl0aW9uZXJzIGFuZCBjbGluaWNhbCBudXJzZSBzcGVjaWFsaXN0
czwvdGl0bGU+PHNlY29uZGFyeS10aXRsZT5Ccml0aXNoIEpvdXJuYWwgb2YgTnVyc2luZzwvc2Vj
b25kYXJ5LXRpdGxlPjxhbHQtdGl0bGU+QnIgSiBOdXJzPC9hbHQtdGl0bGU+PC90aXRsZXM+PGFs
dC1wZXJpb2RpY2FsPjxmdWxsLXRpdGxlPkJyaXRpc2ggSm91cm5hbCBvZiBOdXJzaW5nPC9mdWxs
LXRpdGxlPjxhYmJyLTE+QnIgSiBOdXJzPC9hYmJyLTE+PC9hbHQtcGVyaW9kaWNhbD48cGFnZXM+
MTMwOC0xMzE0PC9wYWdlcz48dm9sdW1lPjI4PC92b2x1bWU+PG51bWJlcj4yMDwvbnVtYmVyPjxr
ZXl3b3Jkcz48a2V5d29yZD4qQWR2YW5jZWQgUHJhY3RpY2UgTnVyc2luZzwva2V5d29yZD48a2V5
d29yZD5IdW1hbnM8L2tleXdvcmQ+PGtleXdvcmQ+Kk51cnNlIENsaW5pY2lhbnM8L2tleXdvcmQ+
PGtleXdvcmQ+Kk51cnNlIFByYWN0aXRpb25lcnM8L2tleXdvcmQ+PGtleXdvcmQ+Kk51cnNlJmFw
b3M7cyBSb2xlPC9rZXl3b3JkPjwva2V5d29yZHM+PGRhdGVzPjx5ZWFyPjIwMTk8L3llYXI+PHB1
Yi1kYXRlcz48ZGF0ZT5Ob3YgMTQ8L2RhdGU+PC9wdWItZGF0ZXM+PC9kYXRlcz48aXNibj4wOTY2
LTA0NjE8L2lzYm4+PGFjY2Vzc2lvbi1udW0+MzE3MTQ4MTc8L2FjY2Vzc2lvbi1udW0+PGxhYmVs
PjEwLjEyOTY4L2Jqb24uMjAxOS4yOC4yMC4xMzA4PC9sYWJlbD48d29yay10eXBlPlJldmlldzwv
d29yay10eXBlPjx1cmxzPjxyZWxhdGVkLXVybHM+PHVybD5odHRwczovL292aWRzcC5vdmlkLmNv
bS9vdmlkd2ViLmNnaT9UPUpTJmFtcDtDU0M9WSZhbXA7TkVXUz1OJmFtcDtQQUdFPWZ1bGx0ZXh0
JmFtcDtEPW1lZDE2JmFtcDtBTj0zMTcxNDgxNzwvdXJsPjx1cmw+aHR0cDovL29wZW51cmwuYmli
c3lzLm5vL29wZW51cmw/b3Rvb2w9aW5vaXBobGliP3NpZD1PVklEOm1lZGxpbmUmYW1wO2lkPXBt
aWQ6MzE3MTQ4MTcmYW1wO2lkPWRvaToxMC4xMjk2OCUyRmJqb24uMjAxOS4yOC4yMC4xMzA4JmFt
cDtpc3NuPTA5NjYtMDQ2MSZhbXA7aXNibj0mYW1wO3ZvbHVtZT0yOCZhbXA7aXNzdWU9MjAmYW1w
O3NwYWdlPTEzMDgmYW1wO3BhZ2VzPTEzMDgtMTMxNCZhbXA7ZGF0ZT0yMDE5JmFtcDt0aXRsZT1C
cml0aXNoK0pvdXJuYWwrb2YrTnVyc2luZyZhbXA7YXRpdGxlPVRoZStzaW1pbGFyaXRpZXMrYW5k
K2RpZmZlcmVuY2VzK2JldHdlZW4rYWR2YW5jZWQrbnVyc2UrcHJhY3RpdGlvbmVycythbmQrY2xp
bmljYWwrbnVyc2Urc3BlY2lhbGlzdHMuJmFtcDthdWxhc3Q9Q29vcGVyJmFtcDtwaWQ9JTNDYXV0
aG9yJTNFQ29vcGVyK01BJTNDJTJGYXV0aG9yJTNFJTNDQU4lM0UzMTcxNDgxNyUzQyUyRkFOJTNF
JTNDRFQlM0VKb3VybmFsK0FydGljbGUlM0MlMkZEVCUzRTwvdXJsPjwvcmVsYXRlZC11cmxzPjwv
dXJscz48ZWxlY3Ryb25pYy1yZXNvdXJjZS1udW0+MTAuMTI5NjgvYmpvbi4yMDE5LjI4LjIwLjEz
MDg8L2VsZWN0cm9uaWMtcmVzb3VyY2UtbnVtPjxyZW1vdGUtZGF0YWJhc2UtbmFtZT5PcHBnYXZl
Z2xpZG5pbmc8L3JlbW90ZS1kYXRhYmFzZS1uYW1lPjxyZW1vdGUtZGF0YWJhc2UtcHJvdmlkZXI+
T3ZpZCBUZWNobm9sb2dpZXM8L3JlbW90ZS1kYXRhYmFzZS1wcm92aWRlcj48bGFuZ3VhZ2U+RW5n
bGlzaDwvbGFuZ3VhZ2U+PC9yZWNvcmQ+PC9DaXRlPjwvRW5kTm90ZT4A
</w:fldData>
        </w:fldChar>
      </w:r>
      <w:r w:rsidR="004654FD">
        <w:instrText xml:space="preserve"> ADDIN EN.CITE.DATA </w:instrText>
      </w:r>
      <w:r w:rsidR="004654FD">
        <w:fldChar w:fldCharType="end"/>
      </w:r>
      <w:r w:rsidR="00FC180D">
        <w:fldChar w:fldCharType="separate"/>
      </w:r>
      <w:r w:rsidR="004654FD">
        <w:rPr>
          <w:noProof/>
        </w:rPr>
        <w:t>(Cooper et al., 2019; Schober et al., 2020)</w:t>
      </w:r>
      <w:r w:rsidR="00FC180D">
        <w:fldChar w:fldCharType="end"/>
      </w:r>
      <w:r w:rsidR="00FC180D">
        <w:t xml:space="preserve"> </w:t>
      </w:r>
      <w:r w:rsidR="3B60BA57">
        <w:t>.</w:t>
      </w:r>
    </w:p>
    <w:p w14:paraId="382FC750" w14:textId="77777777" w:rsidR="00D9107F" w:rsidRDefault="00DE0100" w:rsidP="00A7159B">
      <w:pPr>
        <w:jc w:val="both"/>
      </w:pPr>
      <w:r>
        <w:t>I Norge er avansert klinisk allmennsykepleie (AKS) en sykepleierolle som er særlig rettet mot helse- og omsorgstjenester i kommunene. Utdanningen vektlegger pasienter med kroniske sykdommer og pasienter med flere og sammensatte tilstander</w:t>
      </w:r>
      <w:r w:rsidR="55A54997">
        <w:t xml:space="preserve"> </w:t>
      </w:r>
      <w:r w:rsidR="00FC180D">
        <w:fldChar w:fldCharType="begin"/>
      </w:r>
      <w:r w:rsidR="00D078E3">
        <w:instrText xml:space="preserve"> ADDIN EN.CITE &lt;EndNote&gt;&lt;Cite&gt;&lt;Author&gt;Kunnskapsdepartementet&lt;/Author&gt;&lt;Year&gt;2020&lt;/Year&gt;&lt;RecNum&gt;260&lt;/RecNum&gt;&lt;DisplayText&gt;(Kunnskapsdepartementet, 2020)&lt;/DisplayText&gt;&lt;record&gt;&lt;rec-number&gt;260&lt;/rec-number&gt;&lt;foreign-keys&gt;&lt;key app="EN" db-id="95tpr2tp6r9xwoea9rb5wdsz5ds5xeddteew" timestamp="1680069511"&gt;260&lt;/key&gt;&lt;/foreign-keys&gt;&lt;ref-type name="Legal Rule or Regulation"&gt;50&lt;/ref-type&gt;&lt;contributors&gt;&lt;authors&gt;&lt;author&gt;Kunnskapsdepartementet&lt;/author&gt;&lt;/authors&gt;&lt;/contributors&gt;&lt;titles&gt;&lt;title&gt;Forskrift om nasjonal retningslinje for masterutdanning i avansert klinisk allmennsykepleie&lt;/title&gt;&lt;secondary-title&gt;FOR-2020-01-03-45&lt;/secondary-title&gt;&lt;/titles&gt;&lt;dates&gt;&lt;year&gt;2020&lt;/year&gt;&lt;/dates&gt;&lt;urls&gt;&lt;related-urls&gt;&lt;url&gt;https://lovdata.no/dokument/SF/forskrift/2020-01-03-45&lt;/url&gt;&lt;/related-urls&gt;&lt;/urls&gt;&lt;/record&gt;&lt;/Cite&gt;&lt;/EndNote&gt;</w:instrText>
      </w:r>
      <w:r w:rsidR="00FC180D">
        <w:fldChar w:fldCharType="separate"/>
      </w:r>
      <w:r w:rsidR="00FC180D">
        <w:rPr>
          <w:noProof/>
        </w:rPr>
        <w:t>(Kunnskapsdepartementet, 2020)</w:t>
      </w:r>
      <w:r w:rsidR="00FC180D">
        <w:fldChar w:fldCharType="end"/>
      </w:r>
      <w:r w:rsidR="3B60BA57">
        <w:t>.</w:t>
      </w:r>
      <w:r>
        <w:t xml:space="preserve"> En AKS kan være med på å tilgjengeliggjøre helsetjenester for pasientgruppen de arbeide</w:t>
      </w:r>
      <w:r w:rsidR="00AC5AD2">
        <w:t>r</w:t>
      </w:r>
      <w:r>
        <w:t xml:space="preserve"> med, som ofte er multisyke, skrøpelige og geriatriske pasienter. AKS har ikke rettigheter som forskrivningsrett, selv om dette er vanlig for APN internasjonalt. I tråd med utviklingen internasjonalt har forskere og sentrale miljø i Norge argumenter</w:t>
      </w:r>
      <w:r w:rsidR="00EE0E1C">
        <w:t>t</w:t>
      </w:r>
      <w:r>
        <w:t xml:space="preserve"> for at utvidelse av rettigheter </w:t>
      </w:r>
      <w:r>
        <w:lastRenderedPageBreak/>
        <w:t>også bør gjøres her. Det vises også til utprøvinger av nye sykepleier</w:t>
      </w:r>
      <w:r w:rsidR="00AC5AD2">
        <w:t>r</w:t>
      </w:r>
      <w:r>
        <w:t>oller og innovative tjenestemodeller i flere kommuner, samt forslag til hvordan utvidede rettigheter kan gjennomføres praktisk</w:t>
      </w:r>
      <w:r w:rsidR="7A344753">
        <w:t xml:space="preserve"> </w:t>
      </w:r>
      <w:r w:rsidR="00FC180D">
        <w:fldChar w:fldCharType="begin"/>
      </w:r>
      <w:r w:rsidR="00856689">
        <w:instrText xml:space="preserve"> ADDIN EN.CITE &lt;EndNote&gt;&lt;Cite&gt;&lt;Author&gt;Pedersen&lt;/Author&gt;&lt;Year&gt;2022&lt;/Year&gt;&lt;RecNum&gt;734&lt;/RecNum&gt;&lt;DisplayText&gt;(Pedersen et al., 2022)&lt;/DisplayText&gt;&lt;record&gt;&lt;rec-number&gt;734&lt;/rec-number&gt;&lt;foreign-keys&gt;&lt;key app="EN" db-id="95tpr2tp6r9xwoea9rb5wdsz5ds5xeddteew" timestamp="1680069511"&gt;734&lt;/key&gt;&lt;/foreign-keys&gt;&lt;ref-type name="Journal Article"&gt;17&lt;/ref-type&gt;&lt;contributors&gt;&lt;authors&gt;&lt;author&gt;Jan-Eilert Pedersen&lt;/author&gt;&lt;author&gt;Karin Toeneiet&lt;/author&gt;&lt;author&gt;Ingrid Smeland&lt;/author&gt;&lt;author&gt;Une Marit Tangen&lt;/author&gt;&lt;/authors&gt;&lt;/contributors&gt;&lt;titles&gt;&lt;title&gt;Samspill mellom AKS og lege – best for pasientene&lt;/title&gt;&lt;secondary-title&gt;Dagens medisin&lt;/secondary-title&gt;&lt;/titles&gt;&lt;periodical&gt;&lt;full-title&gt;Dagens medisin&lt;/full-title&gt;&lt;/periodical&gt;&lt;number&gt;12&lt;/number&gt;&lt;num-vols&gt;Kronikk- og debattseksjonen&lt;/num-vols&gt;&lt;dates&gt;&lt;year&gt;2022&lt;/year&gt;&lt;/dates&gt;&lt;urls&gt;&lt;related-urls&gt;&lt;url&gt;https://www.dagensmedisin.no/debatt-og-kronikk/samspill-mellom-aks-og-lege-best-for-pasientene/279498&lt;/url&gt;&lt;/related-urls&gt;&lt;/urls&gt;&lt;/record&gt;&lt;/Cite&gt;&lt;/EndNote&gt;</w:instrText>
      </w:r>
      <w:r w:rsidR="00FC180D">
        <w:fldChar w:fldCharType="separate"/>
      </w:r>
      <w:r w:rsidR="00856689">
        <w:rPr>
          <w:noProof/>
        </w:rPr>
        <w:t>(Pedersen et al., 2022)</w:t>
      </w:r>
      <w:r w:rsidR="00FC180D">
        <w:fldChar w:fldCharType="end"/>
      </w:r>
      <w:r w:rsidR="3B60BA57">
        <w:t>.</w:t>
      </w:r>
    </w:p>
    <w:p w14:paraId="419688BE" w14:textId="2348BAB7" w:rsidR="004A70A8" w:rsidRDefault="004A70A8" w:rsidP="00A7159B">
      <w:pPr>
        <w:jc w:val="both"/>
      </w:pPr>
      <w:r>
        <w:t>Det kan også være relevant å se på i hvilken grad andre faggrupper kan bidra til mer tverrfaglighet i og rundt fastlegekontoret.</w:t>
      </w:r>
      <w:r w:rsidR="009C0C32">
        <w:t xml:space="preserve"> </w:t>
      </w:r>
      <w:r>
        <w:t>Blant annet innenfor psykisk helse og muskel-</w:t>
      </w:r>
      <w:r w:rsidR="006A756B">
        <w:t xml:space="preserve"> og s</w:t>
      </w:r>
      <w:r>
        <w:t>kjelettlidelser, som begge utgjør en stor del av kontaktene med fastlegen.</w:t>
      </w:r>
    </w:p>
    <w:p w14:paraId="7CD80A13" w14:textId="63C6651D" w:rsidR="00D9107F" w:rsidRDefault="004A70A8" w:rsidP="008F5AD8">
      <w:r w:rsidRPr="10AEED8E">
        <w:rPr>
          <w:rFonts w:eastAsia="Calibri"/>
        </w:rPr>
        <w:t xml:space="preserve">Tall fra </w:t>
      </w:r>
      <w:r w:rsidR="001B7A9D">
        <w:rPr>
          <w:rFonts w:eastAsia="Calibri"/>
        </w:rPr>
        <w:t>Kommunalt pasient- og brukerregister (</w:t>
      </w:r>
      <w:r w:rsidRPr="10AEED8E">
        <w:rPr>
          <w:rFonts w:eastAsia="Calibri"/>
        </w:rPr>
        <w:t>KPR</w:t>
      </w:r>
      <w:r w:rsidR="001B7A9D">
        <w:rPr>
          <w:rFonts w:eastAsia="Calibri"/>
        </w:rPr>
        <w:t>)</w:t>
      </w:r>
      <w:r w:rsidRPr="10AEED8E">
        <w:rPr>
          <w:rFonts w:eastAsia="Calibri"/>
        </w:rPr>
        <w:t xml:space="preserve"> </w:t>
      </w:r>
      <w:r w:rsidR="00DB4AA3">
        <w:rPr>
          <w:rFonts w:eastAsia="Calibri"/>
        </w:rPr>
        <w:t xml:space="preserve">viser </w:t>
      </w:r>
      <w:r w:rsidRPr="10AEED8E">
        <w:rPr>
          <w:rFonts w:eastAsia="Calibri"/>
        </w:rPr>
        <w:t xml:space="preserve">at fastlegene bruker over </w:t>
      </w:r>
      <w:r w:rsidR="00AC5AD2">
        <w:rPr>
          <w:rFonts w:eastAsia="Calibri"/>
        </w:rPr>
        <w:t>fem</w:t>
      </w:r>
      <w:r w:rsidRPr="10AEED8E">
        <w:rPr>
          <w:rFonts w:eastAsia="Calibri"/>
        </w:rPr>
        <w:t xml:space="preserve"> </w:t>
      </w:r>
      <w:r w:rsidR="00DB4AA3">
        <w:rPr>
          <w:rFonts w:eastAsia="Calibri"/>
        </w:rPr>
        <w:t>prosent</w:t>
      </w:r>
      <w:r w:rsidR="00DB4AA3" w:rsidRPr="10AEED8E">
        <w:rPr>
          <w:rFonts w:eastAsia="Calibri"/>
        </w:rPr>
        <w:t xml:space="preserve"> </w:t>
      </w:r>
      <w:r w:rsidRPr="10AEED8E">
        <w:rPr>
          <w:rFonts w:eastAsia="Calibri"/>
        </w:rPr>
        <w:t>av sin tid på samtaleterapi. Hos fastlegene var det i 2021 i overkant av 3</w:t>
      </w:r>
      <w:r w:rsidR="00D9107F" w:rsidRPr="10AEED8E">
        <w:rPr>
          <w:rFonts w:eastAsia="Calibri"/>
        </w:rPr>
        <w:t>4</w:t>
      </w:r>
      <w:r w:rsidR="00D9107F">
        <w:rPr>
          <w:rFonts w:eastAsia="Calibri"/>
        </w:rPr>
        <w:t> </w:t>
      </w:r>
      <w:r w:rsidR="00D9107F" w:rsidRPr="10AEED8E">
        <w:rPr>
          <w:rFonts w:eastAsia="Calibri"/>
        </w:rPr>
        <w:t>000</w:t>
      </w:r>
      <w:r w:rsidRPr="10AEED8E">
        <w:rPr>
          <w:rFonts w:eastAsia="Calibri"/>
        </w:rPr>
        <w:t xml:space="preserve"> </w:t>
      </w:r>
      <w:r>
        <w:rPr>
          <w:rFonts w:eastAsia="Calibri"/>
        </w:rPr>
        <w:t>personer</w:t>
      </w:r>
      <w:r w:rsidRPr="10AEED8E">
        <w:rPr>
          <w:rFonts w:eastAsia="Calibri"/>
        </w:rPr>
        <w:t xml:space="preserve"> under 20 år med en registrert kontakt med psykisk lidelse, uten kontakt i spesialisthelsetjenesten </w:t>
      </w:r>
      <w:r w:rsidRPr="00EF46F6">
        <w:rPr>
          <w:rFonts w:eastAsia="Calibri"/>
        </w:rPr>
        <w:t>samme år</w:t>
      </w:r>
      <w:r w:rsidR="7D1D4AB9" w:rsidRPr="620471D8">
        <w:rPr>
          <w:rFonts w:eastAsia="Calibri"/>
        </w:rPr>
        <w:t xml:space="preserve"> </w:t>
      </w:r>
      <w:r w:rsidR="00BE43A2">
        <w:rPr>
          <w:rFonts w:eastAsia="Calibri"/>
        </w:rPr>
        <w:fldChar w:fldCharType="begin"/>
      </w:r>
      <w:r w:rsidR="00235862">
        <w:rPr>
          <w:rFonts w:eastAsia="Calibri"/>
        </w:rPr>
        <w:instrText xml:space="preserve"> ADDIN EN.CITE &lt;EndNote&gt;&lt;Cite&gt;&lt;Author&gt;Helse- og omsorgsdepartementet&lt;/Author&gt;&lt;Year&gt;s.a.&lt;/Year&gt;&lt;RecNum&gt;568&lt;/RecNum&gt;&lt;DisplayText&gt;(Helse- og omsorgsdepartementet, s.a.)&lt;/DisplayText&gt;&lt;record&gt;&lt;rec-number&gt;568&lt;/rec-number&gt;&lt;foreign-keys&gt;&lt;key app="EN" db-id="95tpr2tp6r9xwoea9rb5wdsz5ds5xeddteew" timestamp="1680069511"&gt;568&lt;/key&gt;&lt;/foreign-keys&gt;&lt;ref-type name="Report"&gt;27&lt;/ref-type&gt;&lt;contributors&gt;&lt;authors&gt;&lt;author&gt;Helse- og omsorgsdepartementet,&lt;/author&gt;&lt;/authors&gt;&lt;tertiary-authors&gt;&lt;author&gt;Helse- og omsorgsdepartementet&lt;/author&gt;&lt;/tertiary-authors&gt;&lt;/contributors&gt;&lt;titles&gt;&lt;title&gt;Ny modell for framskrivninger i psykisk helsevern og tverrfaglig spesialisert rusbehandling&lt;/title&gt;&lt;/titles&gt;&lt;dates&gt;&lt;year&gt;s.a.&lt;/year&gt;&lt;/dates&gt;&lt;urls&gt;&lt;/urls&gt;&lt;/record&gt;&lt;/Cite&gt;&lt;/EndNote&gt;</w:instrText>
      </w:r>
      <w:r w:rsidR="00BE43A2">
        <w:rPr>
          <w:rFonts w:eastAsia="Calibri"/>
        </w:rPr>
        <w:fldChar w:fldCharType="separate"/>
      </w:r>
      <w:r w:rsidR="00BE43A2">
        <w:rPr>
          <w:rFonts w:eastAsia="Calibri"/>
          <w:noProof/>
        </w:rPr>
        <w:t>(Helse- og omsorgsdepartementet, s.a.)</w:t>
      </w:r>
      <w:r w:rsidR="00BE43A2">
        <w:rPr>
          <w:rFonts w:eastAsia="Calibri"/>
        </w:rPr>
        <w:fldChar w:fldCharType="end"/>
      </w:r>
      <w:r w:rsidR="6DD1B27A" w:rsidRPr="620471D8">
        <w:rPr>
          <w:rFonts w:eastAsia="Calibri"/>
        </w:rPr>
        <w:t>.</w:t>
      </w:r>
      <w:r w:rsidR="009A148B">
        <w:t xml:space="preserve"> </w:t>
      </w:r>
      <w:r w:rsidR="6DD1B27A" w:rsidRPr="620471D8">
        <w:t>Sa</w:t>
      </w:r>
      <w:r w:rsidR="6DD1B27A" w:rsidRPr="620471D8">
        <w:rPr>
          <w:rFonts w:eastAsia="Calibri"/>
        </w:rPr>
        <w:t>mtidig</w:t>
      </w:r>
      <w:r w:rsidRPr="10AEED8E">
        <w:rPr>
          <w:rFonts w:eastAsia="Calibri"/>
        </w:rPr>
        <w:t xml:space="preserve"> viser</w:t>
      </w:r>
      <w:r>
        <w:rPr>
          <w:rFonts w:eastAsia="Calibri"/>
        </w:rPr>
        <w:t xml:space="preserve"> </w:t>
      </w:r>
      <w:r w:rsidRPr="10AEED8E">
        <w:rPr>
          <w:rFonts w:eastAsia="Calibri"/>
        </w:rPr>
        <w:t xml:space="preserve">forskning at fastlegene ikke </w:t>
      </w:r>
      <w:r>
        <w:rPr>
          <w:rFonts w:eastAsia="Calibri"/>
        </w:rPr>
        <w:t xml:space="preserve">alltid </w:t>
      </w:r>
      <w:r w:rsidRPr="10AEED8E">
        <w:rPr>
          <w:rFonts w:eastAsia="Calibri"/>
        </w:rPr>
        <w:t>har tid nok til å fange opp sine pasienters psykiske problemer og lidelser</w:t>
      </w:r>
      <w:r w:rsidR="11E991D3" w:rsidRPr="620471D8">
        <w:rPr>
          <w:rFonts w:eastAsia="Calibri"/>
        </w:rPr>
        <w:t xml:space="preserve"> </w:t>
      </w:r>
      <w:r w:rsidR="00FC180D">
        <w:rPr>
          <w:rFonts w:eastAsia="Calibri"/>
        </w:rPr>
        <w:fldChar w:fldCharType="begin"/>
      </w:r>
      <w:r w:rsidR="004654FD">
        <w:rPr>
          <w:rFonts w:eastAsia="Calibri"/>
        </w:rPr>
        <w:instrText xml:space="preserve"> ADDIN EN.CITE &lt;EndNote&gt;&lt;Cite&gt;&lt;Author&gt;Skoglund&lt;/Author&gt;&lt;Year&gt;2019&lt;/Year&gt;&lt;RecNum&gt;243&lt;/RecNum&gt;&lt;DisplayText&gt;(Skoglund et al., 2019)&lt;/DisplayText&gt;&lt;record&gt;&lt;rec-number&gt;243&lt;/rec-number&gt;&lt;foreign-keys&gt;&lt;key app="EN" db-id="95tpr2tp6r9xwoea9rb5wdsz5ds5xeddteew" timestamp="1680069511"&gt;243&lt;/key&gt;&lt;/foreign-keys&gt;&lt;ref-type name="Web Page"&gt;12&lt;/ref-type&gt;&lt;contributors&gt;&lt;authors&gt;&lt;author&gt;Unni Skoglund&lt;/author&gt;&lt;author&gt;Lisbeth Nilsen&lt;/author&gt;&lt;author&gt;Ragnhild Krogvig Karlsen&lt;/author&gt;&lt;/authors&gt;&lt;/contributors&gt;&lt;titles&gt;&lt;title&gt;Fastlegene har knapt med tid til pasienter som sliter psykisk&lt;/title&gt;&lt;/titles&gt;&lt;number&gt;20.03.23&lt;/number&gt;&lt;dates&gt;&lt;year&gt;2019&lt;/year&gt;&lt;pub-dates&gt;&lt;date&gt;08. desember 2019&lt;/date&gt;&lt;/pub-dates&gt;&lt;/dates&gt;&lt;pub-location&gt;Trondheim&lt;/pub-location&gt;&lt;publisher&gt;Nasjonalt kompetansesenter for psykisk helsearbeid&lt;/publisher&gt;&lt;work-type&gt;nettpublikasjon&lt;/work-type&gt;&lt;urls&gt;&lt;/urls&gt;&lt;/record&gt;&lt;/Cite&gt;&lt;/EndNote&gt;</w:instrText>
      </w:r>
      <w:r w:rsidR="00FC180D">
        <w:rPr>
          <w:rFonts w:eastAsia="Calibri"/>
        </w:rPr>
        <w:fldChar w:fldCharType="separate"/>
      </w:r>
      <w:r w:rsidR="00856689">
        <w:rPr>
          <w:rFonts w:eastAsia="Calibri"/>
          <w:noProof/>
        </w:rPr>
        <w:t>(Skoglund et al., 2019)</w:t>
      </w:r>
      <w:r w:rsidR="00FC180D">
        <w:rPr>
          <w:rFonts w:eastAsia="Calibri"/>
        </w:rPr>
        <w:fldChar w:fldCharType="end"/>
      </w:r>
      <w:r w:rsidR="6DD1B27A" w:rsidRPr="620471D8">
        <w:t>.</w:t>
      </w:r>
    </w:p>
    <w:p w14:paraId="51C6BA41" w14:textId="1BFE10D2" w:rsidR="004A70A8" w:rsidRPr="00D17CC8" w:rsidRDefault="004A70A8" w:rsidP="008F5AD8">
      <w:pPr>
        <w:rPr>
          <w:rFonts w:eastAsia="Calibri"/>
          <w:i/>
          <w:noProof/>
        </w:rPr>
      </w:pPr>
      <w:r w:rsidRPr="10AEED8E">
        <w:rPr>
          <w:rFonts w:eastAsia="Calibri"/>
        </w:rPr>
        <w:t>Helse- og omsorgstjenesteloven krever at kommunehelsetjenesten har psykologkompetanse tilgjengelig for tjenester til hele befolkningen</w:t>
      </w:r>
      <w:r w:rsidR="31302DBA" w:rsidRPr="620471D8">
        <w:rPr>
          <w:rFonts w:eastAsia="Calibri"/>
        </w:rPr>
        <w:t xml:space="preserve"> </w:t>
      </w:r>
      <w:r w:rsidR="00823D9C">
        <w:rPr>
          <w:rFonts w:eastAsia="Calibri"/>
        </w:rPr>
        <w:fldChar w:fldCharType="begin"/>
      </w:r>
      <w:r w:rsidR="00A27571">
        <w:rPr>
          <w:rFonts w:eastAsia="Calibri"/>
        </w:rPr>
        <w:instrText xml:space="preserve"> ADDIN EN.CITE &lt;EndNote&gt;&lt;Cite ExcludeAuth="1"&gt;&lt;Year&gt;2017&lt;/Year&gt;&lt;RecNum&gt;464&lt;/RecNum&gt;&lt;DisplayText&gt;(&lt;style face="italic"&gt;Lov om endringer i helselovgivningen (overføring av det offentlige tannhelsetjenesteansvaret, lovfesting av kompetansekrav m.m.)&lt;/style&gt;, 2017)&lt;/DisplayText&gt;&lt;record&gt;&lt;rec-number&gt;464&lt;/rec-number&gt;&lt;foreign-keys&gt;&lt;key app="EN" db-id="95tpr2tp6r9xwoea9rb5wdsz5ds5xeddteew" timestamp="1680069511"&gt;464&lt;/key&gt;&lt;/foreign-keys&gt;&lt;ref-type name="Report"&gt;27&lt;/ref-type&gt;&lt;contributors&gt;&lt;/contributors&gt;&lt;titles&gt;&lt;title&gt;Lov om endringer i helselovgivningen (overføring av det offentlige tannhelsetjenesteansvaret, lovfesting av kompetansekrav m.m.)&lt;/title&gt;&lt;/titles&gt;&lt;number&gt;Prop. 71 L (2016 –2017): Proposisjon til Stortinget (forslag til lovvedtak)&lt;/number&gt;&lt;dates&gt;&lt;year&gt;2017&lt;/year&gt;&lt;/dates&gt;&lt;publisher&gt;Helse- og omsorgsdepartement,&lt;/publisher&gt;&lt;urls&gt;&lt;related-urls&gt;&lt;url&gt;https://www.regjeringen.no/contentassets/658a620ad1bc494ba81d2abba423aa41/no/pdfs/prp201620170071000dddpdfs.pdf&lt;/url&gt;&lt;/related-urls&gt;&lt;/urls&gt;&lt;/record&gt;&lt;/Cite&gt;&lt;/EndNote&gt;</w:instrText>
      </w:r>
      <w:r w:rsidR="00823D9C">
        <w:rPr>
          <w:rFonts w:eastAsia="Calibri"/>
        </w:rPr>
        <w:fldChar w:fldCharType="separate"/>
      </w:r>
      <w:r w:rsidR="00A27571" w:rsidRPr="00A27571">
        <w:rPr>
          <w:rFonts w:eastAsia="Calibri"/>
          <w:noProof/>
        </w:rPr>
        <w:t>(</w:t>
      </w:r>
      <w:r w:rsidR="00A27571" w:rsidRPr="00A27571">
        <w:rPr>
          <w:rFonts w:eastAsia="Calibri"/>
          <w:i/>
          <w:noProof/>
        </w:rPr>
        <w:t>Lov om endringer i helselovgivningen (overføring av det offentlige tannhelsetjenesteansvaret, lovfesting av kompetansekrav m.m.)</w:t>
      </w:r>
      <w:r w:rsidR="00A27571" w:rsidRPr="00A27571">
        <w:rPr>
          <w:rFonts w:eastAsia="Calibri"/>
          <w:noProof/>
        </w:rPr>
        <w:t>, 2017)</w:t>
      </w:r>
      <w:r w:rsidR="00823D9C">
        <w:rPr>
          <w:rFonts w:eastAsia="Calibri"/>
        </w:rPr>
        <w:fldChar w:fldCharType="end"/>
      </w:r>
      <w:r w:rsidR="0020719C">
        <w:rPr>
          <w:rFonts w:eastAsia="Calibri"/>
        </w:rPr>
        <w:t>.</w:t>
      </w:r>
      <w:r w:rsidRPr="10AEED8E">
        <w:rPr>
          <w:rFonts w:eastAsia="Calibri"/>
        </w:rPr>
        <w:t xml:space="preserve"> </w:t>
      </w:r>
      <w:r w:rsidRPr="00EC5337">
        <w:t>Psykolog</w:t>
      </w:r>
      <w:r>
        <w:t xml:space="preserve">er </w:t>
      </w:r>
      <w:r w:rsidRPr="00EC5337">
        <w:t>kan ha et selvstendig utrednings- og behandlingsansvar av psykiske lidelser</w:t>
      </w:r>
      <w:r w:rsidRPr="10AEED8E">
        <w:rPr>
          <w:rFonts w:eastAsia="Calibri"/>
        </w:rPr>
        <w:t>.</w:t>
      </w:r>
      <w:r>
        <w:rPr>
          <w:rFonts w:eastAsia="Calibri"/>
        </w:rPr>
        <w:t xml:space="preserve"> </w:t>
      </w:r>
      <w:r>
        <w:t>E</w:t>
      </w:r>
      <w:r w:rsidRPr="00A94EA7">
        <w:t xml:space="preserve">n sterkere tilknytning til fastlegekontorene </w:t>
      </w:r>
      <w:r>
        <w:t xml:space="preserve">kan tenkes å </w:t>
      </w:r>
      <w:r w:rsidRPr="00A94EA7">
        <w:t>skape større forutsigbarhet for brukerne</w:t>
      </w:r>
      <w:r>
        <w:t>,</w:t>
      </w:r>
      <w:r w:rsidRPr="00A94EA7">
        <w:t xml:space="preserve"> og gi bedre muligheter for tverrfaglighet og samarbeid</w:t>
      </w:r>
      <w:r>
        <w:t>.</w:t>
      </w:r>
    </w:p>
    <w:p w14:paraId="4FE43C55" w14:textId="10B881ED" w:rsidR="004A70A8" w:rsidRDefault="004A70A8" w:rsidP="00D17CC8">
      <w:pPr>
        <w:spacing w:before="240"/>
        <w:jc w:val="both"/>
      </w:pPr>
      <w:r w:rsidRPr="00455BE1">
        <w:t>Muskel- og skjelettlidelser koster samfunnet store summer hvert år</w:t>
      </w:r>
      <w:r w:rsidR="00AC5AD2">
        <w:t>,</w:t>
      </w:r>
      <w:r w:rsidRPr="00455BE1">
        <w:t xml:space="preserve"> i form av behandlingsutgifter, sykepenger, uføretrygd og andre trygdeytelser</w:t>
      </w:r>
      <w:r w:rsidR="43E3A11E">
        <w:t xml:space="preserve"> </w:t>
      </w:r>
      <w:r w:rsidR="00823D9C">
        <w:fldChar w:fldCharType="begin"/>
      </w:r>
      <w:r w:rsidR="004654FD">
        <w:instrText xml:space="preserve"> ADDIN EN.CITE &lt;EndNote&gt;&lt;Cite&gt;&lt;Author&gt;Skogli&lt;/Author&gt;&lt;Year&gt;2019&lt;/Year&gt;&lt;RecNum&gt;505&lt;/RecNum&gt;&lt;DisplayText&gt;(Skogli et al., 2019)&lt;/DisplayText&gt;&lt;record&gt;&lt;rec-number&gt;505&lt;/rec-number&gt;&lt;foreign-keys&gt;&lt;key app="EN" db-id="95tpr2tp6r9xwoea9rb5wdsz5ds5xeddteew" timestamp="1680069511"&gt;505&lt;/key&gt;&lt;/foreign-keys&gt;&lt;ref-type name="Report"&gt;27&lt;/ref-type&gt;&lt;contributors&gt;&lt;authors&gt;&lt;author&gt;Skogli, E.,&lt;/author&gt;&lt;author&gt;Theie, M. G.,&lt;/author&gt;&lt;author&gt;Stokke, O. L.,&lt;/author&gt;&lt;author&gt;Lind, L. H.&lt;/author&gt;&lt;/authors&gt;&lt;/contributors&gt;&lt;titles&gt;&lt;title&gt;Muskel- og skjelettsykdom i Norge: Rammer flest - koster mest. Vurdering av tiltak for å redusere samfunnskostnadene&lt;/title&gt;&lt;secondary-title&gt;Menon-publikasjon&lt;/secondary-title&gt;&lt;/titles&gt;&lt;number&gt;31/2019&lt;/number&gt;&lt;dates&gt;&lt;year&gt;2019&lt;/year&gt;&lt;/dates&gt;&lt;pub-location&gt;Oslo&lt;/pub-location&gt;&lt;publisher&gt;Menon Economics&lt;/publisher&gt;&lt;urls&gt;&lt;/urls&gt;&lt;/record&gt;&lt;/Cite&gt;&lt;/EndNote&gt;</w:instrText>
      </w:r>
      <w:r w:rsidR="00823D9C">
        <w:fldChar w:fldCharType="separate"/>
      </w:r>
      <w:r w:rsidR="00856689">
        <w:rPr>
          <w:noProof/>
        </w:rPr>
        <w:t>(Skogli et al., 2019)</w:t>
      </w:r>
      <w:r w:rsidR="00823D9C">
        <w:fldChar w:fldCharType="end"/>
      </w:r>
      <w:r w:rsidR="6DD1B27A" w:rsidRPr="00455BE1">
        <w:t>.</w:t>
      </w:r>
      <w:r w:rsidR="6DD1B27A">
        <w:t xml:space="preserve"> </w:t>
      </w:r>
      <w:r w:rsidR="00D47740" w:rsidRPr="2CB535F8">
        <w:t>Omtrent 20 prosent av fastlegenes konsultasjoner er knyttet til muskel-</w:t>
      </w:r>
      <w:r w:rsidR="00C55B98">
        <w:t xml:space="preserve"> og </w:t>
      </w:r>
      <w:r w:rsidR="00D47740" w:rsidRPr="2CB535F8">
        <w:t>skjelettdiagnoser.</w:t>
      </w:r>
    </w:p>
    <w:p w14:paraId="420DEEF5" w14:textId="77777777" w:rsidR="00D9107F" w:rsidRDefault="004A70A8" w:rsidP="00567D91">
      <w:pPr>
        <w:jc w:val="both"/>
      </w:pPr>
      <w:r w:rsidRPr="2CB535F8">
        <w:t xml:space="preserve">Manuellterapi er en klinisk mastergradsutdanning </w:t>
      </w:r>
      <w:r w:rsidR="00AC5AD2" w:rsidRPr="000A4EE7">
        <w:t>for fysioterapeuter,</w:t>
      </w:r>
      <w:r w:rsidR="00AC5AD2">
        <w:t xml:space="preserve"> </w:t>
      </w:r>
      <w:r w:rsidRPr="2CB535F8">
        <w:t xml:space="preserve">med lignende fullmakter som legenes på sitt kompetanseområde etter autorisasjon. </w:t>
      </w:r>
      <w:r w:rsidR="00F13127">
        <w:t>Manuellterapeuter</w:t>
      </w:r>
      <w:r w:rsidRPr="2CB535F8">
        <w:t xml:space="preserve"> kan undersøke, utrede og behandle pasienter. De kan også sykmelde, henvise til sykehus/spesialist, radiologi og fysioterapi. Mange manuellterapeuter har tatt videreutdanning innen muskel- og skjelettultralyd og ultralydveiledet injeksjonsbehandling.</w:t>
      </w:r>
    </w:p>
    <w:p w14:paraId="0DBBCF16" w14:textId="77777777" w:rsidR="00D9107F" w:rsidRDefault="004A70A8" w:rsidP="00567D91">
      <w:pPr>
        <w:jc w:val="both"/>
      </w:pPr>
      <w:r>
        <w:t>Flere av landets ortopediske avdelinger bruker fysioterapeute</w:t>
      </w:r>
      <w:r w:rsidR="002E3358">
        <w:t>r</w:t>
      </w:r>
      <w:r>
        <w:t xml:space="preserve"> ved poliklinikkene</w:t>
      </w:r>
      <w:r w:rsidR="32BDEA2B">
        <w:t xml:space="preserve"> </w:t>
      </w:r>
      <w:r w:rsidR="00823D9C">
        <w:fldChar w:fldCharType="begin">
          <w:fldData xml:space="preserve">PEVuZE5vdGU+PENpdGU+PEF1dGhvcj5Nw6VyZGFsZW48L0F1dGhvcj48WWVhcj4yMDIxPC9ZZWFy
PjxSZWNOdW0+Njc2PC9SZWNOdW0+PERpc3BsYXlUZXh0PihBc2t2aWssIDIwMTg7IE3DpXJkYWxl
biwgMjAyMTsgUsO4bm5pbmcsIDIwMTUpPC9EaXNwbGF5VGV4dD48cmVjb3JkPjxyZWMtbnVtYmVy
PjY3NjwvcmVjLW51bWJlcj48Zm9yZWlnbi1rZXlzPjxrZXkgYXBwPSJFTiIgZGItaWQ9ImEyeHpz
ZHdldTA5cnB0ZTU1cjB4NWZ4bXBmdHNmMHdydGF6ciIgdGltZXN0YW1wPSIxNjgwMDY5Mjc1Ij42
NzY8L2tleT48L2ZvcmVpZ24ta2V5cz48cmVmLXR5cGUgbmFtZT0iSm91cm5hbCBBcnRpY2xlIj4x
NzwvcmVmLXR5cGU+PGNvbnRyaWJ1dG9ycz48YXV0aG9ycz48YXV0aG9yPklyZW5lIE3DpXJkYWxl
bjwvYXV0aG9yPjwvYXV0aG9ycz48L2NvbnRyaWJ1dG9ycz48dGl0bGVzPjx0aXRsZT5GeXNpb3Rl
cmFwZXV0ZW5lIGhhciBvdmVydGF0dCBtZXIgZW5uIDEwMDAga29uc3VsdGFzam9uZXIgZnJhIG9y
dG9wZWRlbmUgaSBUcm9tc8O4PC90aXRsZT48c2Vjb25kYXJ5LXRpdGxlPkZ5c2lvdGVyYXBldXRl
bjwvc2Vjb25kYXJ5LXRpdGxlPjwvdGl0bGVzPjxwZXJpb2RpY2FsPjxmdWxsLXRpdGxlPkZ5c2lv
dGVyYXBldXRlbjwvZnVsbC10aXRsZT48L3BlcmlvZGljYWw+PGRhdGVzPjx5ZWFyPjIwMjE8L3ll
YXI+PHB1Yi1kYXRlcz48ZGF0ZT4gMjEuIGRlc2VtYmVyIDIwMjEgPC9kYXRlPjwvcHViLWRhdGVz
PjwvZGF0ZXM+PHVybHM+PHJlbGF0ZWQtdXJscz48dXJsPmh0dHBzOi8vd3d3LmZ5c2lvdGVyYXBl
dXRlbi5uby9meXNpb3RlcmFwZXV0LWZ5c2lvdGVyYXBldXRlci1meXNpb3RlcmFwaS9meXNpb3Rl
cmFwZXV0ZW5lLWhhci1vdmVydGF0dC1tZXItZW5uLTEwMDAta29uc3VsdGFzam9uZXItZnJhLW9y
dG9wZWRlbmUtaS10cm9tc28vMTM5MDEzPC91cmw+PC9yZWxhdGVkLXVybHM+PC91cmxzPjwvcmVj
b3JkPjwvQ2l0ZT48Q2l0ZT48QXV0aG9yPkFza3ZpazwvQXV0aG9yPjxZZWFyPjIwMTg8L1llYXI+
PFJlY051bT41OTY8L1JlY051bT48cmVjb3JkPjxyZWMtbnVtYmVyPjU5NjwvcmVjLW51bWJlcj48
Zm9yZWlnbi1rZXlzPjxrZXkgYXBwPSJFTiIgZGItaWQ9Ijk1dHByMnRwNnI5eHdvZWE5cmI1d2Rz
ejVkczV4ZWRkdGVldyIgdGltZXN0YW1wPSIxNjgwMDY5NTExIj41OTY8L2tleT48L2ZvcmVpZ24t
a2V5cz48cmVmLXR5cGUgbmFtZT0iV2ViIFBhZ2UiPjEyPC9yZWYtdHlwZT48Y29udHJpYnV0b3Jz
PjxhdXRob3JzPjxhdXRob3I+QXNrdmlrLCBLLjwvYXV0aG9yPjwvYXV0aG9ycz48L2NvbnRyaWJ1
dG9ycz48dGl0bGVzPjx0aXRsZT5PcHBnYXZlciBmbHl0dGVzIGZyYSBraXJ1cmdlciB0aWwgZnlz
aW90ZXJhcGV1dGVyPC90aXRsZT48L3RpdGxlcz48bnVtYmVyPjIwLiBtYXJzIDIwMjM8L251bWJl
cj48ZGF0ZXM+PHllYXI+MjAxODwveWVhcj48cHViLWRhdGVzPjxkYXRlPjE4LiBhcHJpbCAyMDE4
PC9kYXRlPjwvcHViLWRhdGVzPjwvZGF0ZXM+PHB1Yi1sb2NhdGlvbj5Pc2xvPC9wdWItbG9jYXRp
b24+PHB1Ymxpc2hlcj5GeXNpb3RlcmFwZXV0ZW48L3B1Ymxpc2hlcj48d29yay10eXBlPm5ldHRw
dWJsaWthc2pvbjwvd29yay10eXBlPjx1cmxzPjwvdXJscz48L3JlY29yZD48L0NpdGU+PENpdGU+
PEF1dGhvcj5Sw7hubmluZzwvQXV0aG9yPjxZZWFyPjIwMTU8L1llYXI+PFJlY051bT4xMzI8L1Jl
Y051bT48cmVjb3JkPjxyZWMtbnVtYmVyPjEzMjwvcmVjLW51bWJlcj48Zm9yZWlnbi1rZXlzPjxr
ZXkgYXBwPSJFTiIgZGItaWQ9Ijk1dHByMnRwNnI5eHdvZWE5cmI1d2RzejVkczV4ZWRkdGVldyIg
dGltZXN0YW1wPSIxNjgwMDY5NTExIj4xMzI8L2tleT48L2ZvcmVpZ24ta2V5cz48cmVmLXR5cGUg
bmFtZT0iSm91cm5hbCBBcnRpY2xlIj4xNzwvcmVmLXR5cGU+PGNvbnRyaWJ1dG9ycz48YXV0aG9y
cz48YXV0aG9yPkFubmUgS3Jpc3RpYW5zZW4gUsO4bm5pbmc8L2F1dGhvcj48L2F1dGhvcnM+PC9j
b250cmlidXRvcnM+PHRpdGxlcz48dGl0bGU+RGV0IGdpa2sgYnJhIGFuZHJlIGdhbmdlbjwvdGl0
bGU+PHNlY29uZGFyeS10aXRsZT5GeXNpb3RlcmFwZXV0ZW48L3NlY29uZGFyeS10aXRsZT48L3Rp
dGxlcz48cGVyaW9kaWNhbD48ZnVsbC10aXRsZT5GeXNpb3RlcmFwZXV0ZW48L2Z1bGwtdGl0bGU+
PC9wZXJpb2RpY2FsPjxwYWdlcz4zOC0zOTwvcGFnZXM+PHZvbHVtZT44Mjwvdm9sdW1lPjxudW1i
ZXI+ODwvbnVtYmVyPjxkYXRlcz48eWVhcj4yMDE1PC95ZWFyPjwvZGF0ZXM+PHVybHM+PHJlbGF0
ZWQtdXJscz48dXJsPmh0dHBzOi8vd3d3LmZ5c2lvdGVyYXBldXRlbi5uby9maWxlcy9hcmNoaXZl
LzYzMTEvNzA5MDMvdmVyc2lvbi8xL2ZpbGUvUmVwb3J0YXNqZV8wODE1LnBkZjwvdXJsPjwvcmVs
YXRlZC11cmxzPjwvdXJscz48L3JlY29yZD48L0NpdGU+PC9FbmROb3RlPgB=
</w:fldData>
        </w:fldChar>
      </w:r>
      <w:r w:rsidR="004654FD">
        <w:instrText xml:space="preserve"> ADDIN EN.CITE </w:instrText>
      </w:r>
      <w:r w:rsidR="004654FD">
        <w:fldChar w:fldCharType="begin">
          <w:fldData xml:space="preserve">PEVuZE5vdGU+PENpdGU+PEF1dGhvcj5Nw6VyZGFsZW48L0F1dGhvcj48WWVhcj4yMDIxPC9ZZWFy
PjxSZWNOdW0+Njc2PC9SZWNOdW0+PERpc3BsYXlUZXh0PihBc2t2aWssIDIwMTg7IE3DpXJkYWxl
biwgMjAyMTsgUsO4bm5pbmcsIDIwMTUpPC9EaXNwbGF5VGV4dD48cmVjb3JkPjxyZWMtbnVtYmVy
PjY3NjwvcmVjLW51bWJlcj48Zm9yZWlnbi1rZXlzPjxrZXkgYXBwPSJFTiIgZGItaWQ9ImEyeHpz
ZHdldTA5cnB0ZTU1cjB4NWZ4bXBmdHNmMHdydGF6ciIgdGltZXN0YW1wPSIxNjgwMDY5Mjc1Ij42
NzY8L2tleT48L2ZvcmVpZ24ta2V5cz48cmVmLXR5cGUgbmFtZT0iSm91cm5hbCBBcnRpY2xlIj4x
NzwvcmVmLXR5cGU+PGNvbnRyaWJ1dG9ycz48YXV0aG9ycz48YXV0aG9yPklyZW5lIE3DpXJkYWxl
bjwvYXV0aG9yPjwvYXV0aG9ycz48L2NvbnRyaWJ1dG9ycz48dGl0bGVzPjx0aXRsZT5GeXNpb3Rl
cmFwZXV0ZW5lIGhhciBvdmVydGF0dCBtZXIgZW5uIDEwMDAga29uc3VsdGFzam9uZXIgZnJhIG9y
dG9wZWRlbmUgaSBUcm9tc8O4PC90aXRsZT48c2Vjb25kYXJ5LXRpdGxlPkZ5c2lvdGVyYXBldXRl
bjwvc2Vjb25kYXJ5LXRpdGxlPjwvdGl0bGVzPjxwZXJpb2RpY2FsPjxmdWxsLXRpdGxlPkZ5c2lv
dGVyYXBldXRlbjwvZnVsbC10aXRsZT48L3BlcmlvZGljYWw+PGRhdGVzPjx5ZWFyPjIwMjE8L3ll
YXI+PHB1Yi1kYXRlcz48ZGF0ZT4gMjEuIGRlc2VtYmVyIDIwMjEgPC9kYXRlPjwvcHViLWRhdGVz
PjwvZGF0ZXM+PHVybHM+PHJlbGF0ZWQtdXJscz48dXJsPmh0dHBzOi8vd3d3LmZ5c2lvdGVyYXBl
dXRlbi5uby9meXNpb3RlcmFwZXV0LWZ5c2lvdGVyYXBldXRlci1meXNpb3RlcmFwaS9meXNpb3Rl
cmFwZXV0ZW5lLWhhci1vdmVydGF0dC1tZXItZW5uLTEwMDAta29uc3VsdGFzam9uZXItZnJhLW9y
dG9wZWRlbmUtaS10cm9tc28vMTM5MDEzPC91cmw+PC9yZWxhdGVkLXVybHM+PC91cmxzPjwvcmVj
b3JkPjwvQ2l0ZT48Q2l0ZT48QXV0aG9yPkFza3ZpazwvQXV0aG9yPjxZZWFyPjIwMTg8L1llYXI+
PFJlY051bT41OTY8L1JlY051bT48cmVjb3JkPjxyZWMtbnVtYmVyPjU5NjwvcmVjLW51bWJlcj48
Zm9yZWlnbi1rZXlzPjxrZXkgYXBwPSJFTiIgZGItaWQ9Ijk1dHByMnRwNnI5eHdvZWE5cmI1d2Rz
ejVkczV4ZWRkdGVldyIgdGltZXN0YW1wPSIxNjgwMDY5NTExIj41OTY8L2tleT48L2ZvcmVpZ24t
a2V5cz48cmVmLXR5cGUgbmFtZT0iV2ViIFBhZ2UiPjEyPC9yZWYtdHlwZT48Y29udHJpYnV0b3Jz
PjxhdXRob3JzPjxhdXRob3I+QXNrdmlrLCBLLjwvYXV0aG9yPjwvYXV0aG9ycz48L2NvbnRyaWJ1
dG9ycz48dGl0bGVzPjx0aXRsZT5PcHBnYXZlciBmbHl0dGVzIGZyYSBraXJ1cmdlciB0aWwgZnlz
aW90ZXJhcGV1dGVyPC90aXRsZT48L3RpdGxlcz48bnVtYmVyPjIwLiBtYXJzIDIwMjM8L251bWJl
cj48ZGF0ZXM+PHllYXI+MjAxODwveWVhcj48cHViLWRhdGVzPjxkYXRlPjE4LiBhcHJpbCAyMDE4
PC9kYXRlPjwvcHViLWRhdGVzPjwvZGF0ZXM+PHB1Yi1sb2NhdGlvbj5Pc2xvPC9wdWItbG9jYXRp
b24+PHB1Ymxpc2hlcj5GeXNpb3RlcmFwZXV0ZW48L3B1Ymxpc2hlcj48d29yay10eXBlPm5ldHRw
dWJsaWthc2pvbjwvd29yay10eXBlPjx1cmxzPjwvdXJscz48L3JlY29yZD48L0NpdGU+PENpdGU+
PEF1dGhvcj5Sw7hubmluZzwvQXV0aG9yPjxZZWFyPjIwMTU8L1llYXI+PFJlY051bT4xMzI8L1Jl
Y051bT48cmVjb3JkPjxyZWMtbnVtYmVyPjEzMjwvcmVjLW51bWJlcj48Zm9yZWlnbi1rZXlzPjxr
ZXkgYXBwPSJFTiIgZGItaWQ9Ijk1dHByMnRwNnI5eHdvZWE5cmI1d2RzejVkczV4ZWRkdGVldyIg
dGltZXN0YW1wPSIxNjgwMDY5NTExIj4xMzI8L2tleT48L2ZvcmVpZ24ta2V5cz48cmVmLXR5cGUg
bmFtZT0iSm91cm5hbCBBcnRpY2xlIj4xNzwvcmVmLXR5cGU+PGNvbnRyaWJ1dG9ycz48YXV0aG9y
cz48YXV0aG9yPkFubmUgS3Jpc3RpYW5zZW4gUsO4bm5pbmc8L2F1dGhvcj48L2F1dGhvcnM+PC9j
b250cmlidXRvcnM+PHRpdGxlcz48dGl0bGU+RGV0IGdpa2sgYnJhIGFuZHJlIGdhbmdlbjwvdGl0
bGU+PHNlY29uZGFyeS10aXRsZT5GeXNpb3RlcmFwZXV0ZW48L3NlY29uZGFyeS10aXRsZT48L3Rp
dGxlcz48cGVyaW9kaWNhbD48ZnVsbC10aXRsZT5GeXNpb3RlcmFwZXV0ZW48L2Z1bGwtdGl0bGU+
PC9wZXJpb2RpY2FsPjxwYWdlcz4zOC0zOTwvcGFnZXM+PHZvbHVtZT44Mjwvdm9sdW1lPjxudW1i
ZXI+ODwvbnVtYmVyPjxkYXRlcz48eWVhcj4yMDE1PC95ZWFyPjwvZGF0ZXM+PHVybHM+PHJlbGF0
ZWQtdXJscz48dXJsPmh0dHBzOi8vd3d3LmZ5c2lvdGVyYXBldXRlbi5uby9maWxlcy9hcmNoaXZl
LzYzMTEvNzA5MDMvdmVyc2lvbi8xL2ZpbGUvUmVwb3J0YXNqZV8wODE1LnBkZjwvdXJsPjwvcmVs
YXRlZC11cmxzPjwvdXJscz48L3JlY29yZD48L0NpdGU+PC9FbmROb3RlPgB=
</w:fldData>
        </w:fldChar>
      </w:r>
      <w:r w:rsidR="004654FD">
        <w:instrText xml:space="preserve"> ADDIN EN.CITE.DATA </w:instrText>
      </w:r>
      <w:r w:rsidR="004654FD">
        <w:fldChar w:fldCharType="end"/>
      </w:r>
      <w:r w:rsidR="00823D9C">
        <w:fldChar w:fldCharType="separate"/>
      </w:r>
      <w:r w:rsidR="00823D9C">
        <w:rPr>
          <w:noProof/>
        </w:rPr>
        <w:t>(Askvik, 2018; Mårdalen, 2021; Rønning, 2015)</w:t>
      </w:r>
      <w:r w:rsidR="00823D9C">
        <w:fldChar w:fldCharType="end"/>
      </w:r>
      <w:r w:rsidR="6DD1B27A">
        <w:t>.</w:t>
      </w:r>
      <w:r>
        <w:t xml:space="preserve"> Det er også erfaringer med å benytte fysioterapeuter ved skadepoliklinikker/legevakter </w:t>
      </w:r>
      <w:r w:rsidR="00823D9C">
        <w:fldChar w:fldCharType="begin"/>
      </w:r>
      <w:r w:rsidR="004654FD">
        <w:instrText xml:space="preserve"> ADDIN EN.CITE &lt;EndNote&gt;&lt;Cite&gt;&lt;Author&gt;Høstmark&lt;/Author&gt;&lt;Year&gt;2020&lt;/Year&gt;&lt;RecNum&gt;735&lt;/RecNum&gt;&lt;DisplayText&gt;(Høstmark, 2020)&lt;/DisplayText&gt;&lt;record&gt;&lt;rec-number&gt;735&lt;/rec-number&gt;&lt;foreign-keys&gt;&lt;key app="EN" db-id="95tpr2tp6r9xwoea9rb5wdsz5ds5xeddteew" timestamp="1680069511"&gt;735&lt;/key&gt;&lt;/foreign-keys&gt;&lt;ref-type name="Web Page"&gt;12&lt;/ref-type&gt;&lt;contributors&gt;&lt;authors&gt;&lt;author&gt;Cecilie Bakken Høstmark&lt;/author&gt;&lt;/authors&gt;&lt;/contributors&gt;&lt;titles&gt;&lt;title&gt;Satte inn fysioterapeut på akuttmottaket&lt;/title&gt;&lt;/titles&gt;&lt;number&gt;20. mars 2023&lt;/number&gt;&lt;dates&gt;&lt;year&gt;2020&lt;/year&gt;&lt;pub-dates&gt;&lt;date&gt;06. januar 2020&lt;/date&gt;&lt;/pub-dates&gt;&lt;/dates&gt;&lt;publisher&gt;Fysioterapeuten&lt;/publisher&gt;&lt;work-type&gt;nettpublikasjon&lt;/work-type&gt;&lt;urls&gt;&lt;/urls&gt;&lt;/record&gt;&lt;/Cite&gt;&lt;/EndNote&gt;</w:instrText>
      </w:r>
      <w:r w:rsidR="00823D9C">
        <w:fldChar w:fldCharType="separate"/>
      </w:r>
      <w:r w:rsidR="00823D9C">
        <w:rPr>
          <w:noProof/>
        </w:rPr>
        <w:t>(Høstmark, 2020)</w:t>
      </w:r>
      <w:r w:rsidR="00823D9C">
        <w:fldChar w:fldCharType="end"/>
      </w:r>
      <w:r w:rsidR="6DD1B27A">
        <w:t>.</w:t>
      </w:r>
      <w:r>
        <w:t xml:space="preserve"> </w:t>
      </w:r>
      <w:r w:rsidRPr="2CB535F8">
        <w:t>Det er grunn til å tro at manuell</w:t>
      </w:r>
      <w:r>
        <w:t>- og fysioterapeut</w:t>
      </w:r>
      <w:r w:rsidRPr="2CB535F8">
        <w:t xml:space="preserve">ene i </w:t>
      </w:r>
      <w:r w:rsidR="00365DD8">
        <w:t>flere</w:t>
      </w:r>
      <w:r w:rsidRPr="2CB535F8">
        <w:t xml:space="preserve"> tilfeller selvstendig kan utrede og behandle </w:t>
      </w:r>
      <w:r w:rsidR="00C55B98">
        <w:t>mange pasienter med muskel- og skjelettplager</w:t>
      </w:r>
      <w:r w:rsidRPr="2CB535F8">
        <w:t>.</w:t>
      </w:r>
    </w:p>
    <w:p w14:paraId="316A1342" w14:textId="77777777" w:rsidR="00D9107F" w:rsidRDefault="002266C4" w:rsidP="00567D91">
      <w:pPr>
        <w:jc w:val="both"/>
      </w:pPr>
      <w:r>
        <w:t>E</w:t>
      </w:r>
      <w:r w:rsidR="00770B08">
        <w:t xml:space="preserve">rgoterapeuter kan være relevante faggrupper med tanke på </w:t>
      </w:r>
      <w:r>
        <w:t xml:space="preserve">tilrettelegging og </w:t>
      </w:r>
      <w:r w:rsidR="00770B08">
        <w:t>å bevare boevne og funksjon blant eldre</w:t>
      </w:r>
      <w:r>
        <w:t xml:space="preserve">. </w:t>
      </w:r>
      <w:r w:rsidR="00770B08">
        <w:t xml:space="preserve">I en ung populasjon med overvekt av kvinner kan det tenkes at helsesykepleier eller jordmor kan bidra til både å avlaste fastlegen og gi et godt tverrfaglig tilbud </w:t>
      </w:r>
      <w:r w:rsidR="00770B08">
        <w:lastRenderedPageBreak/>
        <w:t>til pasienter. En populasjon med høy andel diabetes vil kunne ha nytte av ernæringsfysiolog og diabetessykepleier.</w:t>
      </w:r>
    </w:p>
    <w:p w14:paraId="19D88E1A" w14:textId="77777777" w:rsidR="00D9107F" w:rsidRDefault="00770B08" w:rsidP="00567D91">
      <w:pPr>
        <w:jc w:val="both"/>
      </w:pPr>
      <w:r>
        <w:t>Disse eksemplene illustrerer at ulik sammensetning av listeinnbyggere kan genere</w:t>
      </w:r>
      <w:r w:rsidR="00791B61">
        <w:t>re</w:t>
      </w:r>
      <w:r>
        <w:t xml:space="preserve"> ulike behov for tverrfaglighet i et fastlegekontor</w:t>
      </w:r>
      <w:r w:rsidR="00AC5AD2">
        <w:t xml:space="preserve"> eller en populasjon</w:t>
      </w:r>
      <w:r>
        <w:t>. I tillegg kan fastlegenes egen kompetanse og interessefelt tenkes å være styrende for engasjementet og behovet for å knytte til seg andre helsepersonellgrupper.</w:t>
      </w:r>
    </w:p>
    <w:p w14:paraId="088D3868" w14:textId="77777777" w:rsidR="00D9107F" w:rsidRDefault="00770B08" w:rsidP="00567D91">
      <w:pPr>
        <w:jc w:val="both"/>
      </w:pPr>
      <w:r w:rsidRPr="30F2E675">
        <w:t xml:space="preserve">Administrative oppgaver er oppgaver og aktiviteter som er en del av den daglige driften i en virksomhet. Oppgaver som </w:t>
      </w:r>
      <w:r w:rsidR="00AC5AD2">
        <w:t>kan være</w:t>
      </w:r>
      <w:r w:rsidRPr="30F2E675">
        <w:t xml:space="preserve"> aktuelle å ta ut av fastlegetjenesten</w:t>
      </w:r>
      <w:r w:rsidR="00F6436A" w:rsidRPr="30F2E675">
        <w:t>,</w:t>
      </w:r>
      <w:r w:rsidRPr="30F2E675">
        <w:t xml:space="preserve"> er oppgaver som ikke vanligvis håndteres av helsesekretær, men som tilfaller fastlegen. Eksempler på oppgaver kan være</w:t>
      </w:r>
      <w:r w:rsidR="00B7290B" w:rsidRPr="30F2E675">
        <w:t xml:space="preserve"> </w:t>
      </w:r>
      <w:r w:rsidR="00031914" w:rsidRPr="30F2E675">
        <w:t xml:space="preserve">større </w:t>
      </w:r>
      <w:r w:rsidR="00B7290B" w:rsidRPr="30F2E675">
        <w:t>innkjøp</w:t>
      </w:r>
      <w:r w:rsidR="007E4E22" w:rsidRPr="30F2E675">
        <w:t xml:space="preserve"> og</w:t>
      </w:r>
      <w:r w:rsidR="00412FA0" w:rsidRPr="30F2E675">
        <w:t xml:space="preserve"> </w:t>
      </w:r>
      <w:r w:rsidR="00F96F80" w:rsidRPr="30F2E675">
        <w:t xml:space="preserve">vedlikehold av </w:t>
      </w:r>
      <w:r w:rsidR="0097268F" w:rsidRPr="30F2E675">
        <w:t>IT-</w:t>
      </w:r>
      <w:r w:rsidR="00F96F80" w:rsidRPr="30F2E675">
        <w:t>systemer</w:t>
      </w:r>
      <w:r w:rsidR="002F6F4D" w:rsidRPr="30F2E675">
        <w:t>, økonomi og regnskap, HR og logistikk.</w:t>
      </w:r>
    </w:p>
    <w:p w14:paraId="231371A4" w14:textId="23D04900" w:rsidR="00901B41" w:rsidRDefault="375B265D" w:rsidP="000A4EE7">
      <w:pPr>
        <w:jc w:val="both"/>
      </w:pPr>
      <w:r>
        <w:t>Hvilke oppgaver leger kan overføre til annet personell</w:t>
      </w:r>
      <w:r w:rsidR="00AC5AD2">
        <w:t>,</w:t>
      </w:r>
      <w:r>
        <w:t xml:space="preserve"> og hvordan disse oppgavene identifiseres, </w:t>
      </w:r>
      <w:r w:rsidR="00AC5AD2">
        <w:t>må avklares nærmere</w:t>
      </w:r>
      <w:r>
        <w:t xml:space="preserve">. Eksempelvis kan legen gjøre fortløpende identifisering av arbeidsoppgaver som </w:t>
      </w:r>
      <w:r w:rsidR="008803A2">
        <w:t>hen</w:t>
      </w:r>
      <w:r>
        <w:t xml:space="preserve"> finner hensiktsmessig, basert på helsepersonellets spesifikke kompetanse og ut fra ulike problemstillinger. Identifisering av oppgaver kan også gjøres av sykepleier selv</w:t>
      </w:r>
      <w:r w:rsidR="00AC5AD2">
        <w:t>,</w:t>
      </w:r>
      <w:r>
        <w:t xml:space="preserve"> eller av eksterne samarbeidende tjenester, som hjemmesykepleie. Dette kan støttes av at helsesekretær delegerer innkomne henvendelser til annet personell, som sykepleier, enten basert på definert algoritme eller faglig skjønn. Systematisk delegering av oppgaver kan gjøres, for eksempel knyttet til spesifikke pasientgrupper, ved bruk av maler som beskriver oppfølging og behandling. Malen kan også spesifisere hvilke oppgaver som skal gjøres, hvilke faggruppe</w:t>
      </w:r>
      <w:r w:rsidR="000D1B1C">
        <w:t>r</w:t>
      </w:r>
      <w:r>
        <w:t xml:space="preserve"> som skal gjøre oppgavene, og til hvilke tidspunkt</w:t>
      </w:r>
      <w:r w:rsidR="00885C6E">
        <w:t xml:space="preserve"> </w:t>
      </w:r>
      <w:r w:rsidR="00BE43A2">
        <w:fldChar w:fldCharType="begin"/>
      </w:r>
      <w:r w:rsidR="00694E6D">
        <w:instrText xml:space="preserve"> ADDIN EN.CITE &lt;EndNote&gt;&lt;Cite&gt;&lt;Author&gt;Abelsen B.&lt;/Author&gt;&lt;Year&gt;2019&lt;/Year&gt;&lt;RecNum&gt;220&lt;/RecNum&gt;&lt;DisplayText&gt;(Abelsen B. et al., 2019)&lt;/DisplayText&gt;&lt;record&gt;&lt;rec-number&gt;220&lt;/rec-number&gt;&lt;foreign-keys&gt;&lt;key app="EN" db-id="95tpr2tp6r9xwoea9rb5wdsz5ds5xeddteew" timestamp="1680069511"&gt;220&lt;/key&gt;&lt;/foreign-keys&gt;&lt;ref-type name="Report"&gt;27&lt;/ref-type&gt;&lt;contributors&gt;&lt;authors&gt;&lt;author&gt;Abelsen B., &lt;/author&gt;&lt;author&gt;Gaski M., &lt;/author&gt;&lt;author&gt;Godager G., &lt;/author&gt;&lt;author&gt;Iversen T., &lt;/author&gt;&lt;author&gt;Løyland HI.,&lt;/author&gt;&lt;author&gt;Pedersen K., &lt;/author&gt;&lt;author&gt;Snilsberg Ø., &lt;/author&gt;&lt;author&gt;Sten-Gahmberg S., &lt;/author&gt;&lt;author&gt;Sæther EM&lt;/author&gt;&lt;/authors&gt;&lt;/contributors&gt;&lt;titles&gt;&lt;title&gt;Evaluering av pilotprosjekt med primærhelseteam og alternative finansieringsordninger: statusrapport II, 2. desember 2019&lt;/title&gt;&lt;/titles&gt;&lt;dates&gt;&lt;year&gt;2019&lt;/year&gt;&lt;/dates&gt;&lt;publisher&gt;Institutt for helse og samfunn UiO, Oslo Economics og Nasjonalt senter for distriktsmedisin UiT Norges arktiske universitet&lt;/publisher&gt;&lt;urls&gt;&lt;/urls&gt;&lt;/record&gt;&lt;/Cite&gt;&lt;/EndNote&gt;</w:instrText>
      </w:r>
      <w:r w:rsidR="00BE43A2">
        <w:fldChar w:fldCharType="separate"/>
      </w:r>
      <w:r w:rsidR="00BE43A2">
        <w:rPr>
          <w:noProof/>
        </w:rPr>
        <w:t>(Abelsen B. et al., 2019)</w:t>
      </w:r>
      <w:r w:rsidR="00BE43A2">
        <w:fldChar w:fldCharType="end"/>
      </w:r>
      <w:r>
        <w:t>.</w:t>
      </w:r>
    </w:p>
    <w:p w14:paraId="0899DFA7" w14:textId="77777777" w:rsidR="00770B08" w:rsidRDefault="375B265D" w:rsidP="00775632">
      <w:pPr>
        <w:pStyle w:val="Overskrift4"/>
      </w:pPr>
      <w:bookmarkStart w:id="3146" w:name="_Toc130983543"/>
      <w:bookmarkStart w:id="3147" w:name="_Toc130983892"/>
      <w:bookmarkStart w:id="3148" w:name="_Toc131238474"/>
      <w:bookmarkStart w:id="3149" w:name="_Toc131279505"/>
      <w:bookmarkStart w:id="3150" w:name="_Toc131286917"/>
      <w:bookmarkStart w:id="3151" w:name="_Toc131281327"/>
      <w:bookmarkStart w:id="3152" w:name="_Toc131317867"/>
      <w:r>
        <w:t>Ledelse av fastlegekontoret og tilhørende plikter</w:t>
      </w:r>
      <w:bookmarkEnd w:id="3146"/>
      <w:bookmarkEnd w:id="3147"/>
      <w:bookmarkEnd w:id="3148"/>
      <w:bookmarkEnd w:id="3149"/>
      <w:bookmarkEnd w:id="3150"/>
      <w:bookmarkEnd w:id="3151"/>
      <w:bookmarkEnd w:id="3152"/>
    </w:p>
    <w:p w14:paraId="66278CC5" w14:textId="77777777" w:rsidR="00D9107F" w:rsidRDefault="00E16D87" w:rsidP="00B3386C">
      <w:pPr>
        <w:jc w:val="both"/>
      </w:pPr>
      <w:r>
        <w:t>Innføring av flere personellgrupper og oppgaveoverføring gir behov for en mer omfattende ledelse enn mange av dagens fastlegekontor har. Det kan også generere behov for å innføre et ekstra ledernivå, som det kan være ulike meninger om blant fastleger.</w:t>
      </w:r>
    </w:p>
    <w:p w14:paraId="22F7A8EF" w14:textId="77777777" w:rsidR="00D9107F" w:rsidRDefault="00770B08" w:rsidP="00B3386C">
      <w:pPr>
        <w:jc w:val="both"/>
      </w:pPr>
      <w:r>
        <w:t xml:space="preserve">Ledelse er nødvendig for å kunne gjennomføre forsvarlighetsvurderinger knyttet til overføring av oppgaver fra lege til annet personell, og vurdering av det enkelte personells kompetanse og egnethet til å utføre oppgaven. Individuelle fastlegeavtaler </w:t>
      </w:r>
      <w:r w:rsidR="00B42432">
        <w:t>skaper</w:t>
      </w:r>
      <w:r w:rsidR="003367E4">
        <w:t xml:space="preserve"> ikke </w:t>
      </w:r>
      <w:r w:rsidR="00E32B4F">
        <w:t>tilsvarende</w:t>
      </w:r>
      <w:r w:rsidR="003367E4">
        <w:t xml:space="preserve"> behov for samlet</w:t>
      </w:r>
      <w:r>
        <w:t xml:space="preserve"> ledelse på fastlegekontoret fordi den enkelte lege er ansvarlig for sine tjenester.</w:t>
      </w:r>
    </w:p>
    <w:p w14:paraId="252E6A6A" w14:textId="4655EFCB" w:rsidR="00770B08" w:rsidRDefault="00770B08" w:rsidP="000A4EE7">
      <w:pPr>
        <w:jc w:val="both"/>
      </w:pPr>
      <w:r>
        <w:t>Manglende ledelse på fastlegekontor hvor flere faggrupper samarbeider</w:t>
      </w:r>
      <w:r w:rsidR="000A205D">
        <w:t>,</w:t>
      </w:r>
      <w:r>
        <w:t xml:space="preserve"> </w:t>
      </w:r>
      <w:r w:rsidR="002D5DE7">
        <w:t xml:space="preserve">kan </w:t>
      </w:r>
      <w:r>
        <w:t>medføre at virksomhetens plikt til internkontroll ikke ivaretas. Det er også et ledelsesansvar at det er rutiner for hvilke oppgaver ulike faggrupper kan utføre og å ha oversikt over medarbeidernes kompetanse og eventuelle opplæringsbehov, jf. forskrift om ledelse og kvalitetsforbedring i helse- og omsorgstjenesten §</w:t>
      </w:r>
      <w:r w:rsidR="00D9107F">
        <w:t>§ 6</w:t>
      </w:r>
      <w:r>
        <w:t xml:space="preserve"> og 7.</w:t>
      </w:r>
    </w:p>
    <w:p w14:paraId="00B51B49" w14:textId="77777777" w:rsidR="00770B08" w:rsidRDefault="375B265D" w:rsidP="00775632">
      <w:pPr>
        <w:pStyle w:val="Overskrift4"/>
      </w:pPr>
      <w:bookmarkStart w:id="3153" w:name="_Toc130983544"/>
      <w:bookmarkStart w:id="3154" w:name="_Toc130983893"/>
      <w:bookmarkStart w:id="3155" w:name="_Toc131238475"/>
      <w:bookmarkStart w:id="3156" w:name="_Toc131279506"/>
      <w:bookmarkStart w:id="3157" w:name="_Toc131286918"/>
      <w:bookmarkStart w:id="3158" w:name="_Toc131281328"/>
      <w:bookmarkStart w:id="3159" w:name="_Toc131317868"/>
      <w:r>
        <w:lastRenderedPageBreak/>
        <w:t>Økt tilgjengelighet i øvrig kommunal helse- og omsorgstjeneste</w:t>
      </w:r>
      <w:bookmarkEnd w:id="3153"/>
      <w:bookmarkEnd w:id="3154"/>
      <w:bookmarkEnd w:id="3155"/>
      <w:bookmarkEnd w:id="3156"/>
      <w:bookmarkEnd w:id="3157"/>
      <w:bookmarkEnd w:id="3158"/>
      <w:bookmarkEnd w:id="3159"/>
    </w:p>
    <w:p w14:paraId="3EE46A87" w14:textId="7603A9A9" w:rsidR="00770B08" w:rsidRPr="00D06E4F" w:rsidRDefault="375B265D" w:rsidP="001406E7">
      <w:pPr>
        <w:jc w:val="both"/>
      </w:pPr>
      <w:r w:rsidRPr="3465DA2E">
        <w:t xml:space="preserve">Innføring av flere helsepersonellgrupper og økt samarbeid på fastlegekontoret kan også ha virkninger utover fastlegeordningen. </w:t>
      </w:r>
      <w:r>
        <w:t>Eksempelvis kan sykepleier på fastlegekontoret være en kompetansebro mellom hjemmesykepleien og fastlegetjenesten.</w:t>
      </w:r>
      <w:r w:rsidR="00D9107F" w:rsidRPr="00D9107F">
        <w:rPr>
          <w:rStyle w:val="skrift-hevet"/>
        </w:rPr>
        <w:t xml:space="preserve"> </w:t>
      </w:r>
      <w:r w:rsidRPr="3465DA2E">
        <w:t>Slik kan a</w:t>
      </w:r>
      <w:r>
        <w:t>llmennlegetjenesten gjøres mer tilgjengelig for pasienter i hjemmetjenesten uten å belaste fastlegeordningen mer enn nødvendig, som beskrevet i evalueringen av PHT</w:t>
      </w:r>
      <w:r w:rsidR="1CC6822F">
        <w:t>.</w:t>
      </w:r>
      <w:r w:rsidR="00D77A41">
        <w:t xml:space="preserve"> </w:t>
      </w:r>
      <w:r>
        <w:t>I tillegg oppgir hjemmetjenesten at de lettere får oppfølging av de med langvarige og sammensatte behov av fastlegene</w:t>
      </w:r>
      <w:r w:rsidR="230384CC">
        <w:t xml:space="preserve"> </w:t>
      </w:r>
      <w:r w:rsidR="00A76FDB">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A76FDB">
        <w:fldChar w:fldCharType="separate"/>
      </w:r>
      <w:r w:rsidR="00A76FDB">
        <w:rPr>
          <w:noProof/>
        </w:rPr>
        <w:t>(Abelsen B. et al., 2022)</w:t>
      </w:r>
      <w:r w:rsidR="00A76FDB">
        <w:fldChar w:fldCharType="end"/>
      </w:r>
      <w:r w:rsidR="006B5020">
        <w:t>.</w:t>
      </w:r>
      <w:r>
        <w:t xml:space="preserve"> Samlet kan dette skape trygghet og mulighet til å håndtere mer i regi av hjemmetjenesten enn tidligere, og slik avlaste fastlegetjenesten.</w:t>
      </w:r>
    </w:p>
    <w:p w14:paraId="53CDEC01" w14:textId="77777777" w:rsidR="00D9107F" w:rsidRDefault="375B265D" w:rsidP="000A4EE7">
      <w:pPr>
        <w:spacing w:after="0" w:line="300" w:lineRule="atLeast"/>
        <w:jc w:val="both"/>
      </w:pPr>
      <w:r w:rsidRPr="3465DA2E">
        <w:t>Erfaringene fra forsøket med</w:t>
      </w:r>
      <w:r w:rsidRPr="3465DA2E" w:rsidDel="00D77A41">
        <w:t xml:space="preserve"> </w:t>
      </w:r>
      <w:r w:rsidR="00D77A41">
        <w:t>PHT</w:t>
      </w:r>
      <w:r w:rsidRPr="3465DA2E">
        <w:t xml:space="preserve"> viser at teammodellen og økt tverrfaglighet på fastlegekontoret kan gi økt tilgjengelighet for samarbeidende tjenester i kommunen, som hjemmetjenesten. Ansatte på fastlegekontoret og i andre helse- og omsorgstjenester har samme oppfatning om dette. Ansatte i hjemmetjenesten opplevde også at fastlegetjenesten var mer proaktiv og tok mer kontakt med dem på eget initiativ</w:t>
      </w:r>
      <w:r w:rsidR="006B5020">
        <w:t xml:space="preserve"> </w:t>
      </w:r>
      <w:r w:rsidR="00BE43A2">
        <w:fldChar w:fldCharType="begin"/>
      </w:r>
      <w:r w:rsidR="004654FD">
        <w:instrText xml:space="preserve"> ADDIN EN.CITE &lt;EndNote&gt;&lt;Cite&gt;&lt;Author&gt;Abelsen&lt;/Author&gt;&lt;Year&gt;2022&lt;/Year&gt;&lt;RecNum&gt;217&lt;/RecNum&gt;&lt;DisplayText&gt;(Abelsen, 2022)&lt;/DisplayText&gt;&lt;record&gt;&lt;rec-number&gt;217&lt;/rec-number&gt;&lt;foreign-keys&gt;&lt;key app="EN" db-id="95tpr2tp6r9xwoea9rb5wdsz5ds5xeddteew" timestamp="1680069511"&gt;217&lt;/key&gt;&lt;/foreign-keys&gt;&lt;ref-type name="Report"&gt;27&lt;/ref-type&gt;&lt;contributors&gt;&lt;authors&gt;&lt;author&gt;Abelsen, B. et.al.,&lt;/author&gt;&lt;/authors&gt;&lt;tertiary-authors&gt;&lt;author&gt;Institutt for helse og samfunn UiO,&lt;/author&gt;&lt;author&gt;Oslo Economics,&lt;/author&gt;&lt;author&gt;Nasjonalt senter for distriktsmedisin UiT Norges arktiske universitet, &lt;/author&gt;&lt;/tertiary-authors&gt;&lt;/contributors&gt;&lt;titles&gt;&lt;title&gt;Evaluering av forsøk med primærhelseteam og alternative finansieringsordninger: Statusrapport V&lt;/title&gt;&lt;/titles&gt;&lt;dates&gt;&lt;year&gt;2022&lt;/year&gt;&lt;/dates&gt;&lt;pub-location&gt;Oslo&lt;/pub-location&gt;&lt;urls&gt;&lt;/urls&gt;&lt;/record&gt;&lt;/Cite&gt;&lt;/EndNote&gt;</w:instrText>
      </w:r>
      <w:r w:rsidR="00BE43A2">
        <w:fldChar w:fldCharType="separate"/>
      </w:r>
      <w:r w:rsidR="00F23621">
        <w:rPr>
          <w:noProof/>
        </w:rPr>
        <w:t>(Abelsen, 2022)</w:t>
      </w:r>
      <w:r w:rsidR="00BE43A2">
        <w:fldChar w:fldCharType="end"/>
      </w:r>
      <w:r w:rsidRPr="3465DA2E">
        <w:t>.</w:t>
      </w:r>
    </w:p>
    <w:p w14:paraId="53B017E1" w14:textId="1218930C" w:rsidR="00770B08" w:rsidRDefault="375B265D" w:rsidP="00775632">
      <w:pPr>
        <w:pStyle w:val="Overskrift4"/>
      </w:pPr>
      <w:bookmarkStart w:id="3160" w:name="_Toc130983545"/>
      <w:bookmarkStart w:id="3161" w:name="_Toc130983894"/>
      <w:bookmarkStart w:id="3162" w:name="_Toc131238476"/>
      <w:bookmarkStart w:id="3163" w:name="_Toc131279507"/>
      <w:bookmarkStart w:id="3164" w:name="_Toc131286919"/>
      <w:bookmarkStart w:id="3165" w:name="_Toc131281329"/>
      <w:bookmarkStart w:id="3166" w:name="_Toc131317869"/>
      <w:r>
        <w:t>Flytte annet helsepersonell fra andre kommunale helse- og omsorgstjenester</w:t>
      </w:r>
      <w:bookmarkEnd w:id="3160"/>
      <w:bookmarkEnd w:id="3161"/>
      <w:bookmarkEnd w:id="3162"/>
      <w:bookmarkEnd w:id="3163"/>
      <w:bookmarkEnd w:id="3164"/>
      <w:bookmarkEnd w:id="3165"/>
      <w:bookmarkEnd w:id="3166"/>
    </w:p>
    <w:p w14:paraId="5C18E705" w14:textId="77777777" w:rsidR="00D9107F" w:rsidRDefault="375B265D" w:rsidP="00DF3C31">
      <w:pPr>
        <w:jc w:val="both"/>
      </w:pPr>
      <w:r>
        <w:t>Det er allerede press på annet personell, som sykepleiere og helsefagarbeidere</w:t>
      </w:r>
      <w:r w:rsidR="00984839">
        <w:t>,</w:t>
      </w:r>
      <w:r>
        <w:t xml:space="preserve"> i den kommunale helse- og omsorgstjenesten, og dette er forventet å øke i årene framover</w:t>
      </w:r>
      <w:r w:rsidR="0390D8FB">
        <w:t xml:space="preserve"> </w:t>
      </w:r>
      <w:r w:rsidR="00A76FDB">
        <w:fldChar w:fldCharType="begin"/>
      </w:r>
      <w:r w:rsidR="004654FD">
        <w:instrText xml:space="preserve"> ADDIN EN.CITE &lt;EndNote&gt;&lt;Cite&gt;&lt;Author&gt;Hjemås&lt;/Author&gt;&lt;Year&gt;2019&lt;/Year&gt;&lt;RecNum&gt;46&lt;/RecNum&gt;&lt;DisplayText&gt;(Hjemås et al., 2019)&lt;/DisplayText&gt;&lt;record&gt;&lt;rec-number&gt;46&lt;/rec-number&gt;&lt;foreign-keys&gt;&lt;key app="EN" db-id="95tpr2tp6r9xwoea9rb5wdsz5ds5xeddteew" timestamp="1680069511"&gt;46&lt;/key&gt;&lt;/foreign-keys&gt;&lt;ref-type name="Report"&gt;27&lt;/ref-type&gt;&lt;contributors&gt;&lt;authors&gt;&lt;author&gt;Geir Hjemås&lt;/author&gt;&lt;author&gt;Jia Zhiyang&lt;/author&gt;&lt;author&gt;Tom Kornstad&lt;/author&gt;&lt;author&gt;Nils Martin Stølen&lt;/author&gt;&lt;/authors&gt;&lt;tertiary-authors&gt;&lt;author&gt;Statistisk sentralbyrå,&lt;/author&gt;&lt;/tertiary-authors&gt;&lt;/contributors&gt;&lt;titles&gt;&lt;title&gt;Arbeidsmarkedet for helsepersonell fram mot 2035&lt;/title&gt;&lt;secondary-title&gt;Rapporter&lt;/secondary-title&gt;&lt;/titles&gt;&lt;dates&gt;&lt;year&gt;2019&lt;/year&gt;&lt;/dates&gt;&lt;pub-location&gt;Oslo&lt;/pub-location&gt;&lt;isbn&gt;2019/11&lt;/isbn&gt;&lt;urls&gt;&lt;/urls&gt;&lt;/record&gt;&lt;/Cite&gt;&lt;/EndNote&gt;</w:instrText>
      </w:r>
      <w:r w:rsidR="00A76FDB">
        <w:fldChar w:fldCharType="separate"/>
      </w:r>
      <w:r w:rsidR="00D078E3">
        <w:rPr>
          <w:noProof/>
        </w:rPr>
        <w:t>(Hjemås et al., 2019)</w:t>
      </w:r>
      <w:r w:rsidR="00A76FDB">
        <w:fldChar w:fldCharType="end"/>
      </w:r>
      <w:r w:rsidR="00637147">
        <w:t>.</w:t>
      </w:r>
      <w:r>
        <w:t xml:space="preserve"> Det er derfor rimelig å vurdere om økt bruk av annet personell i fastlegekontorene kan forverre forholdene i kommunene.</w:t>
      </w:r>
    </w:p>
    <w:p w14:paraId="614B552F" w14:textId="2E06F605" w:rsidR="00DF3C31" w:rsidRDefault="00DF3C31" w:rsidP="00DA56A4">
      <w:pPr>
        <w:jc w:val="both"/>
      </w:pPr>
      <w:r w:rsidRPr="67D825E7">
        <w:t>En stor utfordring er å beholde helsepersonell som sykepleiere</w:t>
      </w:r>
      <w:r w:rsidR="375B265D">
        <w:t xml:space="preserve"> og </w:t>
      </w:r>
      <w:r w:rsidRPr="67D825E7">
        <w:t xml:space="preserve">helsefagarbeidere i pasientnært arbeid i kommunen over mange år. For sykepleiere er frafallet fra klinisk arbeid størst i de første årene etter endt </w:t>
      </w:r>
      <w:r>
        <w:t>utdann</w:t>
      </w:r>
      <w:r w:rsidR="5DE14F4E">
        <w:t>ing</w:t>
      </w:r>
      <w:r>
        <w:t>.</w:t>
      </w:r>
      <w:r w:rsidRPr="67D825E7">
        <w:t xml:space="preserve"> </w:t>
      </w:r>
      <w:r>
        <w:t>Mulighet for å arbeide på fastlegekontor kan tenkes å være s</w:t>
      </w:r>
      <w:r w:rsidRPr="67D825E7">
        <w:t>tabiliserende for sykepleiere. Det kan tilby en alternativ karrierevei for annet helsepersonell</w:t>
      </w:r>
      <w:r w:rsidR="00984839">
        <w:t>,</w:t>
      </w:r>
      <w:r w:rsidRPr="67D825E7">
        <w:t xml:space="preserve"> hvor muligheten for karriereutvikling er begrenset. </w:t>
      </w:r>
      <w:r>
        <w:t>Helsepersonellet kan også fungere som en kompetansebro mellom fastlegekontoret</w:t>
      </w:r>
      <w:r w:rsidR="375B265D">
        <w:t xml:space="preserve"> og </w:t>
      </w:r>
      <w:r>
        <w:t>øvrige tjenester.</w:t>
      </w:r>
      <w:r w:rsidR="2E0D04FA">
        <w:t xml:space="preserve"> </w:t>
      </w:r>
      <w:r>
        <w:t xml:space="preserve">For kommunen og brukerne kan </w:t>
      </w:r>
      <w:r w:rsidR="375B265D">
        <w:t xml:space="preserve">det </w:t>
      </w:r>
      <w:r>
        <w:t>bidra til bedre tjenester</w:t>
      </w:r>
      <w:r w:rsidRPr="67D825E7">
        <w:t xml:space="preserve"> gjennom økt tilgjengelighet til fastlegetjenesten</w:t>
      </w:r>
      <w:r>
        <w:t xml:space="preserve"> og </w:t>
      </w:r>
      <w:r w:rsidRPr="67D825E7">
        <w:t>mer samarbeid på tvers</w:t>
      </w:r>
      <w:r>
        <w:t xml:space="preserve"> av tjenester.</w:t>
      </w:r>
    </w:p>
    <w:p w14:paraId="25910275" w14:textId="29D52852" w:rsidR="00770B08" w:rsidRDefault="375B265D" w:rsidP="00DA56A4">
      <w:pPr>
        <w:jc w:val="both"/>
      </w:pPr>
      <w:r>
        <w:t xml:space="preserve">I legevaktpilotene i Molde-regionen og Sogn og Fjordane er det benyttet en forskyvning av personell fra kommunal </w:t>
      </w:r>
      <w:r w:rsidR="63F2398A">
        <w:t xml:space="preserve">helse- og </w:t>
      </w:r>
      <w:r>
        <w:t>omsorgstjeneste til legevakt, som utfordrer sykepleiekapasiteten i flere av kommunene. For at ressursfordelingen skal være bærekraftig må legevaktoppgavene for sykepleier integreres i annen eksisterende drift. Samtidig har kommunene blitt nødt til å se på den totale sykepleieressursen de har tilgjengelig, på tvers av de ulike helse- og omsorgstjenestene. Det har bidratt til bedre utnyttelse av sykepleieressursen for kommunene, samlet sett</w:t>
      </w:r>
      <w:r w:rsidR="00157B30">
        <w:t xml:space="preserve"> </w:t>
      </w:r>
      <w:r w:rsidR="00D078E3">
        <w:fldChar w:fldCharType="begin"/>
      </w:r>
      <w:r w:rsidR="004654FD">
        <w:instrText xml:space="preserve"> ADDIN EN.CITE &lt;EndNote&gt;&lt;Cite&gt;&lt;Author&gt;Albrektsen&lt;/Author&gt;&lt;Year&gt;2022&lt;/Year&gt;&lt;RecNum&gt;449&lt;/RecNum&gt;&lt;DisplayText&gt;(Albrektsen,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legevakt,&lt;/publisher&gt;&lt;urls&gt;&lt;/urls&gt;&lt;/record&gt;&lt;/Cite&gt;&lt;/EndNote&gt;</w:instrText>
      </w:r>
      <w:r w:rsidR="00D078E3">
        <w:fldChar w:fldCharType="separate"/>
      </w:r>
      <w:r w:rsidR="00D078E3">
        <w:rPr>
          <w:noProof/>
        </w:rPr>
        <w:t>(Albrektsen, 2022)</w:t>
      </w:r>
      <w:r w:rsidR="00D078E3">
        <w:fldChar w:fldCharType="end"/>
      </w:r>
      <w:r>
        <w:t>.</w:t>
      </w:r>
    </w:p>
    <w:p w14:paraId="02045928" w14:textId="7D41513E" w:rsidR="00770B08" w:rsidRPr="007E501E" w:rsidRDefault="00770B08" w:rsidP="00DA56A4">
      <w:pPr>
        <w:jc w:val="both"/>
      </w:pPr>
      <w:r w:rsidRPr="620471D8">
        <w:t>Erfaringene fra legevaktpilotene med delt arbeid</w:t>
      </w:r>
      <w:r w:rsidR="00157B30">
        <w:t>,</w:t>
      </w:r>
      <w:r w:rsidRPr="620471D8">
        <w:t xml:space="preserve"> </w:t>
      </w:r>
      <w:r w:rsidR="00265621">
        <w:t>er</w:t>
      </w:r>
      <w:r w:rsidRPr="620471D8">
        <w:t xml:space="preserve"> at det v</w:t>
      </w:r>
      <w:r w:rsidR="002F3F03">
        <w:t>irker</w:t>
      </w:r>
      <w:r w:rsidRPr="620471D8">
        <w:t xml:space="preserve"> rekrutterende for unge sykepleiere. Det gir en alternativ karrierevei, samt at samarbeid med andre deler av tjenesten, som ambulanse, er faglig interessant. De erfarne sykepleierne opplevde oppgavene som faglig </w:t>
      </w:r>
      <w:r w:rsidRPr="620471D8">
        <w:lastRenderedPageBreak/>
        <w:t>spennende</w:t>
      </w:r>
      <w:r w:rsidR="00984839">
        <w:t>,</w:t>
      </w:r>
      <w:r w:rsidRPr="620471D8">
        <w:t xml:space="preserve"> og verdsatte kompetansehevende tiltak og økt fokus på undervisning og trening</w:t>
      </w:r>
      <w:r w:rsidR="00B73DBA">
        <w:t xml:space="preserve"> </w:t>
      </w:r>
      <w:r w:rsidR="00BE43A2">
        <w:fldChar w:fldCharType="begin"/>
      </w:r>
      <w:r w:rsidR="004654FD">
        <w:instrText xml:space="preserve"> ADDIN EN.CITE &lt;EndNote&gt;&lt;Cite&gt;&lt;Author&gt;Albrektsen&lt;/Author&gt;&lt;Year&gt;2022&lt;/Year&gt;&lt;RecNum&gt;449&lt;/RecNum&gt;&lt;DisplayText&gt;(Albrektsen,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legevakt,&lt;/publisher&gt;&lt;urls&gt;&lt;/urls&gt;&lt;/record&gt;&lt;/Cite&gt;&lt;/EndNote&gt;</w:instrText>
      </w:r>
      <w:r w:rsidR="00BE43A2">
        <w:fldChar w:fldCharType="separate"/>
      </w:r>
      <w:r w:rsidR="00BE43A2">
        <w:rPr>
          <w:noProof/>
        </w:rPr>
        <w:t>(Albrektsen, 2022)</w:t>
      </w:r>
      <w:r w:rsidR="00BE43A2">
        <w:fldChar w:fldCharType="end"/>
      </w:r>
      <w:r w:rsidRPr="620471D8">
        <w:t>.</w:t>
      </w:r>
    </w:p>
    <w:p w14:paraId="018E340F" w14:textId="77777777" w:rsidR="00D9107F" w:rsidRDefault="00770B08" w:rsidP="00DA56A4">
      <w:pPr>
        <w:jc w:val="both"/>
      </w:pPr>
      <w:r>
        <w:t>Delte stillinger mellom andre tjenester</w:t>
      </w:r>
      <w:r w:rsidR="00984839">
        <w:t>,</w:t>
      </w:r>
      <w:r>
        <w:t xml:space="preserve"> som hjemmesykepleie og fastlegekontor</w:t>
      </w:r>
      <w:r w:rsidR="00984839">
        <w:t>,</w:t>
      </w:r>
      <w:r>
        <w:t xml:space="preserve"> kan være en mulighet</w:t>
      </w:r>
      <w:r w:rsidR="00DA5B11">
        <w:t>, og kan være særlig aktuelt i kommunale fastlegekontor</w:t>
      </w:r>
      <w:r>
        <w:t>.</w:t>
      </w:r>
      <w:r w:rsidRPr="00D9107F">
        <w:rPr>
          <w:rStyle w:val="kursiv"/>
        </w:rPr>
        <w:t xml:space="preserve"> </w:t>
      </w:r>
      <w:r w:rsidR="00DA5B11">
        <w:t>I fastlegekontor med næringsdrift</w:t>
      </w:r>
      <w:r>
        <w:t xml:space="preserve"> k</w:t>
      </w:r>
      <w:r w:rsidRPr="00822A0E">
        <w:t>an s</w:t>
      </w:r>
      <w:r>
        <w:t>ykepleie</w:t>
      </w:r>
      <w:r w:rsidRPr="00822A0E">
        <w:t>r</w:t>
      </w:r>
      <w:r w:rsidR="00146DC1">
        <w:t>r</w:t>
      </w:r>
      <w:r w:rsidRPr="00822A0E">
        <w:t xml:space="preserve">essursen være ansatt i </w:t>
      </w:r>
      <w:r w:rsidRPr="00C97044">
        <w:t>kommunen</w:t>
      </w:r>
      <w:r>
        <w:t>, heller enn</w:t>
      </w:r>
      <w:r w:rsidRPr="00822A0E">
        <w:t xml:space="preserve"> på fastlegekontoret</w:t>
      </w:r>
      <w:r w:rsidR="00984839">
        <w:t>,</w:t>
      </w:r>
      <w:r w:rsidRPr="00822A0E">
        <w:t xml:space="preserve"> og slik inngå i øvrig eksisterende drift</w:t>
      </w:r>
      <w:r>
        <w:t>. Det kan gi kommunen nødvendig fleksibilitet i bemanning av de ulike tjenestene.</w:t>
      </w:r>
      <w:r w:rsidR="000D4EB7">
        <w:t xml:space="preserve"> </w:t>
      </w:r>
      <w:r w:rsidR="007D05EC">
        <w:t>De</w:t>
      </w:r>
      <w:r w:rsidR="001E0F3A">
        <w:t>lt</w:t>
      </w:r>
      <w:r w:rsidR="00BF634C">
        <w:t>e</w:t>
      </w:r>
      <w:r w:rsidR="001E0F3A">
        <w:t xml:space="preserve"> stillinger</w:t>
      </w:r>
      <w:r w:rsidR="007D05EC">
        <w:t xml:space="preserve"> kan også</w:t>
      </w:r>
      <w:r w:rsidR="001E0F3A">
        <w:t xml:space="preserve"> </w:t>
      </w:r>
      <w:r w:rsidR="00203433">
        <w:t xml:space="preserve">være faglig stimulerende og </w:t>
      </w:r>
      <w:r w:rsidR="001E0F3A">
        <w:t xml:space="preserve">gi </w:t>
      </w:r>
      <w:r w:rsidR="007D05EC">
        <w:t>avlastning fra krevende arbeidsforhold, som i sykehjem</w:t>
      </w:r>
      <w:r w:rsidR="008650FD">
        <w:t xml:space="preserve">, </w:t>
      </w:r>
      <w:r w:rsidR="001E0F3A">
        <w:t>s</w:t>
      </w:r>
      <w:r w:rsidR="007F2071">
        <w:t xml:space="preserve">om igjen kan </w:t>
      </w:r>
      <w:r w:rsidR="00F36CC3">
        <w:t xml:space="preserve">bidra til </w:t>
      </w:r>
      <w:r w:rsidR="001135EB">
        <w:t xml:space="preserve">at sykepleiere og annet helsepersonell blir </w:t>
      </w:r>
      <w:r w:rsidR="00BB2E1F">
        <w:t xml:space="preserve">værende </w:t>
      </w:r>
      <w:r w:rsidR="00136E35">
        <w:t>i</w:t>
      </w:r>
      <w:r w:rsidR="00BB2E1F">
        <w:t xml:space="preserve"> kommunal</w:t>
      </w:r>
      <w:r w:rsidR="00CD3239">
        <w:t>e</w:t>
      </w:r>
      <w:r w:rsidR="00BB2E1F">
        <w:t xml:space="preserve"> helse- og omsorgstjenester. </w:t>
      </w:r>
      <w:r w:rsidR="003D69C7">
        <w:t>Imidlertid</w:t>
      </w:r>
      <w:r w:rsidR="00457E55">
        <w:t xml:space="preserve"> </w:t>
      </w:r>
      <w:r w:rsidR="0001609C">
        <w:t xml:space="preserve">forutsetter </w:t>
      </w:r>
      <w:r w:rsidR="00457E55">
        <w:t xml:space="preserve">slike stillinger at kommunen </w:t>
      </w:r>
      <w:r w:rsidR="00F25A4A">
        <w:t xml:space="preserve">ser sine </w:t>
      </w:r>
      <w:r w:rsidR="00BE2480">
        <w:t>helse</w:t>
      </w:r>
      <w:r w:rsidR="00F25A4A">
        <w:t xml:space="preserve">personellressurser og </w:t>
      </w:r>
      <w:r w:rsidR="00760B50">
        <w:t>helse- og omsorgstjenester samlet, for å kunne hente ut ge</w:t>
      </w:r>
      <w:r w:rsidR="000016D9">
        <w:t xml:space="preserve">vinster i form av </w:t>
      </w:r>
      <w:r w:rsidR="00E736A9">
        <w:t xml:space="preserve">effektiv og god bruk av </w:t>
      </w:r>
      <w:r w:rsidR="0038713E">
        <w:t>personel</w:t>
      </w:r>
      <w:r w:rsidR="00CA46C0">
        <w:t>l</w:t>
      </w:r>
      <w:r w:rsidR="0038713E">
        <w:t xml:space="preserve"> og kvalitet.</w:t>
      </w:r>
    </w:p>
    <w:p w14:paraId="0F6C2FE0" w14:textId="4263966A" w:rsidR="00D9107F" w:rsidRDefault="00F643AF" w:rsidP="00C62402">
      <w:pPr>
        <w:jc w:val="both"/>
        <w:rPr>
          <w:color w:val="000000" w:themeColor="text1"/>
        </w:rPr>
      </w:pPr>
      <w:r>
        <w:t xml:space="preserve">Rekruttering av nye sykepleiere til fastlegekontoret kan komme fra andre sektorer utenfor helsetjenesten, men også fra spesialisthelsetjenesten og øvrig kommunal helse- og omsorgstjeneste. Det er vanskelig å forutse </w:t>
      </w:r>
      <w:r w:rsidR="005E75BF" w:rsidRPr="00B75007">
        <w:rPr>
          <w:color w:val="000000" w:themeColor="text1"/>
        </w:rPr>
        <w:t>de samlede effektene</w:t>
      </w:r>
      <w:r w:rsidRPr="00B75007">
        <w:rPr>
          <w:color w:val="000000" w:themeColor="text1"/>
        </w:rPr>
        <w:t xml:space="preserve"> av dette.</w:t>
      </w:r>
      <w:r w:rsidR="00C50AFE" w:rsidRPr="00B75007">
        <w:rPr>
          <w:color w:val="000000" w:themeColor="text1"/>
        </w:rPr>
        <w:t xml:space="preserve"> Kommunene har ansvaret for </w:t>
      </w:r>
      <w:r w:rsidR="00B02444">
        <w:rPr>
          <w:color w:val="000000" w:themeColor="text1"/>
        </w:rPr>
        <w:t xml:space="preserve">hele </w:t>
      </w:r>
      <w:r w:rsidR="00C50AFE" w:rsidRPr="00B75007">
        <w:rPr>
          <w:color w:val="000000" w:themeColor="text1"/>
        </w:rPr>
        <w:t xml:space="preserve">primærhelsetjenesten og må </w:t>
      </w:r>
      <w:r w:rsidR="00052218">
        <w:rPr>
          <w:color w:val="000000" w:themeColor="text1"/>
        </w:rPr>
        <w:t>lage planer for</w:t>
      </w:r>
      <w:r w:rsidR="00C50AFE" w:rsidRPr="00B75007">
        <w:rPr>
          <w:color w:val="000000" w:themeColor="text1"/>
        </w:rPr>
        <w:t xml:space="preserve"> å forvalte </w:t>
      </w:r>
      <w:r w:rsidR="00C62402">
        <w:rPr>
          <w:color w:val="000000" w:themeColor="text1"/>
        </w:rPr>
        <w:t>personell</w:t>
      </w:r>
      <w:r w:rsidR="00C50AFE" w:rsidRPr="00B75007">
        <w:rPr>
          <w:color w:val="000000" w:themeColor="text1"/>
        </w:rPr>
        <w:t>ressurse</w:t>
      </w:r>
      <w:r w:rsidR="0055211E">
        <w:rPr>
          <w:color w:val="000000" w:themeColor="text1"/>
        </w:rPr>
        <w:t>ne</w:t>
      </w:r>
      <w:r w:rsidR="00C50AFE" w:rsidRPr="00B75007">
        <w:rPr>
          <w:color w:val="000000" w:themeColor="text1"/>
        </w:rPr>
        <w:t xml:space="preserve"> på en </w:t>
      </w:r>
      <w:r w:rsidR="005213F5">
        <w:rPr>
          <w:color w:val="000000" w:themeColor="text1"/>
        </w:rPr>
        <w:t xml:space="preserve">samlet sett </w:t>
      </w:r>
      <w:r w:rsidR="00C50AFE" w:rsidRPr="00B75007">
        <w:rPr>
          <w:color w:val="000000" w:themeColor="text1"/>
        </w:rPr>
        <w:t>bærekraftig måte.</w:t>
      </w:r>
    </w:p>
    <w:p w14:paraId="16AEC2E9" w14:textId="40D03ACA" w:rsidR="001956FF" w:rsidRDefault="001956FF" w:rsidP="00775632">
      <w:pPr>
        <w:pStyle w:val="Overskrift2"/>
      </w:pPr>
      <w:bookmarkStart w:id="3167" w:name="_Toc122655238"/>
      <w:bookmarkStart w:id="3168" w:name="_Toc126305342"/>
      <w:bookmarkStart w:id="3169" w:name="_Toc126817069"/>
      <w:bookmarkStart w:id="3170" w:name="_Toc127633250"/>
      <w:bookmarkStart w:id="3171" w:name="_Toc127864536"/>
      <w:bookmarkStart w:id="3172" w:name="_Toc128238544"/>
      <w:bookmarkStart w:id="3173" w:name="_Toc128742026"/>
      <w:bookmarkStart w:id="3174" w:name="_Toc128744621"/>
      <w:bookmarkStart w:id="3175" w:name="_Toc128744840"/>
      <w:bookmarkStart w:id="3176" w:name="_Toc129630344"/>
      <w:bookmarkStart w:id="3177" w:name="_Toc130763845"/>
      <w:bookmarkStart w:id="3178" w:name="_Toc130766740"/>
      <w:bookmarkStart w:id="3179" w:name="_Toc130932141"/>
      <w:bookmarkStart w:id="3180" w:name="_Toc130934432"/>
      <w:bookmarkStart w:id="3181" w:name="_Toc130983546"/>
      <w:bookmarkStart w:id="3182" w:name="_Toc130983895"/>
      <w:bookmarkStart w:id="3183" w:name="_Toc131062186"/>
      <w:bookmarkStart w:id="3184" w:name="_Toc131062440"/>
      <w:bookmarkStart w:id="3185" w:name="_Toc131062701"/>
      <w:bookmarkStart w:id="3186" w:name="_Toc131062954"/>
      <w:bookmarkStart w:id="3187" w:name="_Toc131063737"/>
      <w:bookmarkStart w:id="3188" w:name="_Toc131064147"/>
      <w:bookmarkStart w:id="3189" w:name="_Toc131238477"/>
      <w:bookmarkStart w:id="3190" w:name="_Toc131279508"/>
      <w:bookmarkStart w:id="3191" w:name="_Toc131286920"/>
      <w:bookmarkStart w:id="3192" w:name="_Toc131281330"/>
      <w:bookmarkStart w:id="3193" w:name="_Toc131317870"/>
      <w:bookmarkStart w:id="3194" w:name="_Toc132537011"/>
      <w:r>
        <w:t>Finansiering av tverrfaglighet</w:t>
      </w:r>
      <w:r w:rsidR="00E36823">
        <w:t xml:space="preserve"> og</w:t>
      </w:r>
      <w:r>
        <w:t xml:space="preserve"> profesjonsnøytrale takster</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20AF3E83" w14:textId="1586CA0E" w:rsidR="001956FF" w:rsidRDefault="001956FF" w:rsidP="000A0C38">
      <w:pPr>
        <w:jc w:val="both"/>
      </w:pPr>
      <w:r>
        <w:t xml:space="preserve">Som beskrevet i </w:t>
      </w:r>
      <w:r w:rsidR="002C2054">
        <w:t>kapittel 6.2</w:t>
      </w:r>
      <w:r>
        <w:t xml:space="preserve">, er det et mål at personellgrupper ut over lege i fastlegekontor ikke bare skal avlaste fastlegene, men også gi pasientene tilgang til bedre og mer tverrfaglige tjenester. Finansieringen bør understøtte dette, og en god arbeidsdeling mellom personellgrupper. Når det gjelder vurderinger av hva som kan være hensiktsmessig oppgavedeling, henvises til </w:t>
      </w:r>
      <w:r w:rsidR="002C2054">
        <w:t>kapittel 6.2</w:t>
      </w:r>
      <w:r>
        <w:t>.</w:t>
      </w:r>
    </w:p>
    <w:p w14:paraId="5595442D" w14:textId="704BBDCF" w:rsidR="008A6E7F" w:rsidRDefault="001956FF" w:rsidP="00894607">
      <w:pPr>
        <w:jc w:val="both"/>
      </w:pPr>
      <w:r>
        <w:t xml:space="preserve">I dette avsnittet beskrives </w:t>
      </w:r>
      <w:r w:rsidR="00F55141">
        <w:t xml:space="preserve">finansielle </w:t>
      </w:r>
      <w:r w:rsidRPr="0044504F">
        <w:rPr>
          <w:rFonts w:cstheme="minorHAnsi"/>
        </w:rPr>
        <w:t xml:space="preserve">barrierer mot tverrfaglighet som finnes i </w:t>
      </w:r>
      <w:r w:rsidR="00065E36" w:rsidRPr="0044504F">
        <w:rPr>
          <w:rFonts w:cstheme="minorHAnsi"/>
        </w:rPr>
        <w:t>dagens fastlegeordning</w:t>
      </w:r>
      <w:r>
        <w:rPr>
          <w:rFonts w:cstheme="minorHAnsi"/>
        </w:rPr>
        <w:t>, og h</w:t>
      </w:r>
      <w:r w:rsidRPr="00F93B6D">
        <w:rPr>
          <w:rFonts w:cstheme="minorHAnsi"/>
        </w:rPr>
        <w:t>vilke finansieringsløsninger som kan være aktuelle for å legge bedre til rette for tverrfaglighet i fastlegepraksis</w:t>
      </w:r>
      <w:r>
        <w:rPr>
          <w:rFonts w:cstheme="minorHAnsi"/>
        </w:rPr>
        <w:t xml:space="preserve">. </w:t>
      </w:r>
      <w:r w:rsidRPr="001F78A3">
        <w:rPr>
          <w:rFonts w:cstheme="minorHAnsi"/>
        </w:rPr>
        <w:t xml:space="preserve">Løsningene </w:t>
      </w:r>
      <w:r w:rsidR="006E1653">
        <w:rPr>
          <w:rFonts w:cstheme="minorHAnsi"/>
        </w:rPr>
        <w:t xml:space="preserve">vurderes </w:t>
      </w:r>
      <w:r w:rsidR="000E0AE4">
        <w:rPr>
          <w:rFonts w:cstheme="minorHAnsi"/>
        </w:rPr>
        <w:t>også</w:t>
      </w:r>
      <w:r w:rsidRPr="001F78A3">
        <w:rPr>
          <w:rFonts w:cstheme="minorHAnsi"/>
        </w:rPr>
        <w:t xml:space="preserve"> opp mot eventuell ny organisering av gruppepraksiser, i form av fastlege</w:t>
      </w:r>
      <w:r w:rsidR="00C9237B">
        <w:rPr>
          <w:rFonts w:cstheme="minorHAnsi"/>
        </w:rPr>
        <w:t>selskap</w:t>
      </w:r>
      <w:r w:rsidR="000B00D9">
        <w:rPr>
          <w:rFonts w:cstheme="minorHAnsi"/>
        </w:rPr>
        <w:t xml:space="preserve"> og kommunalt eide legekontor med tilsvarende organisering</w:t>
      </w:r>
      <w:r>
        <w:rPr>
          <w:rFonts w:cstheme="minorHAnsi"/>
        </w:rPr>
        <w:t xml:space="preserve">, se omtale i </w:t>
      </w:r>
      <w:r w:rsidR="002C2054">
        <w:rPr>
          <w:rFonts w:cstheme="minorHAnsi"/>
        </w:rPr>
        <w:t xml:space="preserve">kapittel </w:t>
      </w:r>
      <w:r w:rsidR="00522D9F">
        <w:rPr>
          <w:rFonts w:cstheme="minorHAnsi"/>
        </w:rPr>
        <w:t>4.7</w:t>
      </w:r>
      <w:r w:rsidR="00E336D8">
        <w:t>.</w:t>
      </w:r>
    </w:p>
    <w:p w14:paraId="25E052F1" w14:textId="77777777" w:rsidR="00D9107F" w:rsidRDefault="6B131262" w:rsidP="00775632">
      <w:pPr>
        <w:pStyle w:val="Overskrift3"/>
      </w:pPr>
      <w:bookmarkStart w:id="3195" w:name="_Toc125440520"/>
      <w:bookmarkStart w:id="3196" w:name="_Toc126305343"/>
      <w:bookmarkStart w:id="3197" w:name="_Toc126817070"/>
      <w:bookmarkStart w:id="3198" w:name="_Toc127633251"/>
      <w:bookmarkStart w:id="3199" w:name="_Toc127864537"/>
      <w:bookmarkStart w:id="3200" w:name="_Toc128238545"/>
      <w:bookmarkStart w:id="3201" w:name="_Ref128337246"/>
      <w:bookmarkStart w:id="3202" w:name="_Toc128742027"/>
      <w:bookmarkStart w:id="3203" w:name="_Toc128744622"/>
      <w:bookmarkStart w:id="3204" w:name="_Toc128744841"/>
      <w:bookmarkStart w:id="3205" w:name="_Ref128947083"/>
      <w:bookmarkStart w:id="3206" w:name="_Toc129630345"/>
      <w:bookmarkStart w:id="3207" w:name="_Toc130763846"/>
      <w:bookmarkStart w:id="3208" w:name="_Toc130766741"/>
      <w:bookmarkStart w:id="3209" w:name="_Ref130918529"/>
      <w:bookmarkStart w:id="3210" w:name="_Toc130932142"/>
      <w:bookmarkStart w:id="3211" w:name="_Toc130934433"/>
      <w:bookmarkStart w:id="3212" w:name="_Toc130983547"/>
      <w:bookmarkStart w:id="3213" w:name="_Toc130983896"/>
      <w:bookmarkStart w:id="3214" w:name="_Toc131062187"/>
      <w:bookmarkStart w:id="3215" w:name="_Toc131062441"/>
      <w:bookmarkStart w:id="3216" w:name="_Toc131062702"/>
      <w:bookmarkStart w:id="3217" w:name="_Toc131062955"/>
      <w:bookmarkStart w:id="3218" w:name="_Toc131063738"/>
      <w:bookmarkStart w:id="3219" w:name="_Toc131064148"/>
      <w:bookmarkStart w:id="3220" w:name="_Toc131238478"/>
      <w:bookmarkStart w:id="3221" w:name="_Toc131279509"/>
      <w:bookmarkStart w:id="3222" w:name="_Toc131286921"/>
      <w:bookmarkStart w:id="3223" w:name="_Toc131281331"/>
      <w:bookmarkStart w:id="3224" w:name="_Toc131317871"/>
      <w:bookmarkStart w:id="3225" w:name="_Toc132537012"/>
      <w:r>
        <w:t>Finansielle barrierer i dagens ordning</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14:paraId="25D350C8" w14:textId="476FC4DE" w:rsidR="001956FF" w:rsidRPr="00A47647" w:rsidRDefault="00A910A3" w:rsidP="000A0C38">
      <w:pPr>
        <w:jc w:val="both"/>
        <w:rPr>
          <w:rFonts w:cstheme="minorHAnsi"/>
        </w:rPr>
      </w:pPr>
      <w:r>
        <w:rPr>
          <w:rFonts w:cstheme="minorHAnsi"/>
        </w:rPr>
        <w:t>Dagens f</w:t>
      </w:r>
      <w:r w:rsidR="001956FF">
        <w:rPr>
          <w:rFonts w:cstheme="minorHAnsi"/>
        </w:rPr>
        <w:t>inansiering av fastlegeordningen er en barriere for bruk av annet personell på fastlegekontoret. Dagens takster (</w:t>
      </w:r>
      <w:r w:rsidR="00530F8F">
        <w:rPr>
          <w:rFonts w:cstheme="minorHAnsi"/>
        </w:rPr>
        <w:t xml:space="preserve">i </w:t>
      </w:r>
      <w:r w:rsidR="001956FF">
        <w:rPr>
          <w:rFonts w:cstheme="minorHAnsi"/>
        </w:rPr>
        <w:t>Stønadsforskriften/Normaltariffen) er for leger, og det er kun leger som kan utløse takstene på selvstendig grunnlag. Det er fastsatt i kapittel 5 i folketrygdloven hvilke personellgrupper som kan motta refusjoner fra folketrygden. Dersom andre personellgrupper (for eksempel sykepleiere) skal kunne utløse refusjon, kreves lovendring. Et unntak er primærhelseteam, der sykepleiere i en tidsavgrenset forsøksperiode kan utløse takster selvstendig.</w:t>
      </w:r>
    </w:p>
    <w:p w14:paraId="437CE193" w14:textId="77777777" w:rsidR="00D9107F" w:rsidRDefault="001956FF" w:rsidP="00CF569A">
      <w:pPr>
        <w:jc w:val="both"/>
      </w:pPr>
      <w:r w:rsidRPr="57EDAA96">
        <w:lastRenderedPageBreak/>
        <w:t>Bruk av annet personell som ikke kan utløse takster</w:t>
      </w:r>
      <w:r w:rsidR="00632291">
        <w:t>,</w:t>
      </w:r>
      <w:r w:rsidRPr="57EDAA96">
        <w:t xml:space="preserve"> vil gi redusert </w:t>
      </w:r>
      <w:r w:rsidR="00D70AF4">
        <w:t>driftsresultat</w:t>
      </w:r>
      <w:r w:rsidRPr="57EDAA96">
        <w:t xml:space="preserve"> for fastlegekontoret. Takstsystemet stimulerer til at fastlegene gjør </w:t>
      </w:r>
      <w:r w:rsidR="006F15B8">
        <w:t xml:space="preserve">hele eller deler av </w:t>
      </w:r>
      <w:r w:rsidRPr="57EDAA96">
        <w:t xml:space="preserve">oppgavene selv, heller enn å overlate oppgaver til annet personell. Samtidig kan det være situasjoner der </w:t>
      </w:r>
      <w:r>
        <w:t>legen får utført mer aktivitet som gir takstinntekter</w:t>
      </w:r>
      <w:r w:rsidR="003100DC">
        <w:t>,</w:t>
      </w:r>
      <w:r>
        <w:t xml:space="preserve"> </w:t>
      </w:r>
      <w:r w:rsidR="007F6613">
        <w:t>fordi</w:t>
      </w:r>
      <w:r>
        <w:t xml:space="preserve"> annet personell øker legens produktivitet. Dette kan være positivt, men d</w:t>
      </w:r>
      <w:r w:rsidRPr="57EDAA96">
        <w:t xml:space="preserve">et kan også være en utfordring at enkelte fastleger praktiserer regelverket i en gråsone, </w:t>
      </w:r>
      <w:r w:rsidR="00C1631D" w:rsidRPr="57EDAA96">
        <w:t xml:space="preserve">for eksempel </w:t>
      </w:r>
      <w:r w:rsidRPr="57EDAA96">
        <w:t xml:space="preserve">der legen kommer innom en kort periode </w:t>
      </w:r>
      <w:r w:rsidR="00532133">
        <w:t>i forbindelse med</w:t>
      </w:r>
      <w:r w:rsidR="00532133" w:rsidRPr="57EDAA96">
        <w:t xml:space="preserve"> </w:t>
      </w:r>
      <w:r w:rsidRPr="57EDAA96">
        <w:t xml:space="preserve">hjelpepersonellets pasientkontakt, for dermed å kunne utløse konsultasjonstakst. </w:t>
      </w:r>
      <w:r w:rsidR="00DE48B3">
        <w:t>Som hovedregel</w:t>
      </w:r>
      <w:r w:rsidR="00180905">
        <w:t>,</w:t>
      </w:r>
      <w:r w:rsidRPr="57EDAA96">
        <w:t xml:space="preserve"> honorerer </w:t>
      </w:r>
      <w:r w:rsidR="00707D94">
        <w:t xml:space="preserve">takstene </w:t>
      </w:r>
      <w:r w:rsidRPr="57EDAA96">
        <w:t xml:space="preserve">ikke </w:t>
      </w:r>
      <w:r w:rsidRPr="00A96D39">
        <w:t>felles konsultasjoner mellom pasient, lege og annet personell.</w:t>
      </w:r>
      <w:r>
        <w:t xml:space="preserve"> </w:t>
      </w:r>
      <w:r w:rsidRPr="57EDAA96">
        <w:t>Med dagens finansieringsordning er det i liten grad økonomisk grunnlag for å ansette personell ut over de som allerede finnes i fastlegekontorene.</w:t>
      </w:r>
    </w:p>
    <w:p w14:paraId="3769EF9D" w14:textId="736117D7" w:rsidR="001956FF" w:rsidRPr="00A47647" w:rsidRDefault="6B131262" w:rsidP="00CF569A">
      <w:pPr>
        <w:jc w:val="both"/>
      </w:pPr>
      <w:r w:rsidRPr="5D38468D">
        <w:t>Høy andel aktivitetsbasert finansiering medvirker til at legene har finansielle insentiver til å utføre det arbeidet som utløser takster. Dagens takster er innrettet mot pasientrettede aktiviteter</w:t>
      </w:r>
      <w:r w:rsidR="001956FF" w:rsidRPr="5D38468D">
        <w:t>,</w:t>
      </w:r>
      <w:r w:rsidRPr="5D38468D">
        <w:t xml:space="preserve"> og folketrygden finansierer ikke tid medgått til teamarbeid internt </w:t>
      </w:r>
      <w:r w:rsidR="00B94C60">
        <w:t>på</w:t>
      </w:r>
      <w:r w:rsidRPr="5D38468D">
        <w:t xml:space="preserve"> fastlegekontoret. Manglende insentiv til å bruke tid på utvikling av det tverrfaglige teamet, har vist seg som en utfordring i forsøket med primærhelseteam</w:t>
      </w:r>
      <w:r w:rsidR="4B644902">
        <w:t xml:space="preserve"> </w:t>
      </w:r>
      <w:r w:rsidR="00A76FDB">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A76FDB">
        <w:fldChar w:fldCharType="separate"/>
      </w:r>
      <w:r w:rsidR="00A76FDB">
        <w:rPr>
          <w:noProof/>
        </w:rPr>
        <w:t>(Abelsen B. et al., 2022)</w:t>
      </w:r>
      <w:r w:rsidR="00A76FDB">
        <w:fldChar w:fldCharType="end"/>
      </w:r>
      <w:r w:rsidR="002871B1">
        <w:t>.</w:t>
      </w:r>
      <w:r w:rsidRPr="5D38468D">
        <w:t xml:space="preserve"> Folketrygden finansierer </w:t>
      </w:r>
      <w:r w:rsidR="00D9107F">
        <w:t>«</w:t>
      </w:r>
      <w:r w:rsidRPr="5D38468D">
        <w:t>sykdom, skade og lyte</w:t>
      </w:r>
      <w:r w:rsidR="00D9107F">
        <w:t>»</w:t>
      </w:r>
      <w:r w:rsidRPr="5D38468D">
        <w:t xml:space="preserve">, og det er </w:t>
      </w:r>
      <w:r w:rsidR="7834B468" w:rsidRPr="5D38468D">
        <w:t>også</w:t>
      </w:r>
      <w:r w:rsidR="78E457E2" w:rsidRPr="5D38468D">
        <w:t xml:space="preserve"> </w:t>
      </w:r>
      <w:r w:rsidRPr="5D38468D">
        <w:t>begrensninger på finansiering til for eksempel forebygg</w:t>
      </w:r>
      <w:r w:rsidR="16AFB2D6" w:rsidRPr="5D38468D">
        <w:t>ende pasientarbeid utover rent individrettet, medisinsk forebygging.</w:t>
      </w:r>
    </w:p>
    <w:p w14:paraId="761A3718" w14:textId="7C069535" w:rsidR="001956FF" w:rsidRDefault="001956FF" w:rsidP="00CF569A">
      <w:pPr>
        <w:jc w:val="both"/>
        <w:rPr>
          <w:rFonts w:cstheme="minorHAnsi"/>
        </w:rPr>
      </w:pPr>
      <w:r>
        <w:rPr>
          <w:rFonts w:cstheme="minorHAnsi"/>
        </w:rPr>
        <w:t>Per i dag er refusjonsretten personlig. Det er kun fastlege som kan inngå oppgjørsavtale med Helfo for aktivitet i et fastlegekontor. Unntak er at kommune</w:t>
      </w:r>
      <w:r w:rsidR="001B313E">
        <w:rPr>
          <w:rFonts w:cstheme="minorHAnsi"/>
        </w:rPr>
        <w:t>n</w:t>
      </w:r>
      <w:r>
        <w:rPr>
          <w:rFonts w:cstheme="minorHAnsi"/>
        </w:rPr>
        <w:t xml:space="preserve"> kan inngå oppgjørsavtale når fastlegen er ansatt i kommunen. Virksomheter – for eksempel et næringsdrivende fastlegekontor – kan ikke inngå oppgjørsavtale og motta refusjoner fra folketrygden/Helfo. Se omtale om organisering av fastlegevirksomhet i </w:t>
      </w:r>
      <w:r w:rsidR="00FC16B3">
        <w:rPr>
          <w:rFonts w:cstheme="minorHAnsi"/>
        </w:rPr>
        <w:t>kapittel 4</w:t>
      </w:r>
      <w:r w:rsidR="00731445">
        <w:rPr>
          <w:rFonts w:cstheme="minorHAnsi"/>
        </w:rPr>
        <w:t>.2</w:t>
      </w:r>
      <w:r>
        <w:rPr>
          <w:rFonts w:cstheme="minorHAnsi"/>
        </w:rPr>
        <w:t>.</w:t>
      </w:r>
    </w:p>
    <w:p w14:paraId="02A77120" w14:textId="58B41CC0" w:rsidR="001956FF" w:rsidRDefault="6B131262" w:rsidP="00CF569A">
      <w:pPr>
        <w:jc w:val="both"/>
      </w:pPr>
      <w:r w:rsidRPr="5D38468D">
        <w:t xml:space="preserve">I fastlegekontor med næringsdrift etter hovedmodellen, er det i liten grad ansatt annet personell enn helsesekretærer, mens det er mer utbredt med annet personell i små </w:t>
      </w:r>
      <w:r w:rsidR="78322EA1">
        <w:t xml:space="preserve">og </w:t>
      </w:r>
      <w:r w:rsidR="60CDFED6">
        <w:t xml:space="preserve">mindre </w:t>
      </w:r>
      <w:r w:rsidR="747718FC">
        <w:t>sentrale</w:t>
      </w:r>
      <w:r w:rsidRPr="5D38468D">
        <w:t xml:space="preserve"> kommuner. Antagelig følger dette av at finansieringsmodellen i liten grad oppmuntrer til å ansette annet personell</w:t>
      </w:r>
      <w:r w:rsidR="0093387B">
        <w:t>. D</w:t>
      </w:r>
      <w:r w:rsidRPr="5D38468D">
        <w:t>et koster for mye, slik normaltariffen er utformet i dag. Der kommunene dekker hele eller deler av kostnaden ved å ansette annet personell ved legekontorene, er slike løsninger mer utbredte</w:t>
      </w:r>
      <w:r w:rsidR="15031DCE">
        <w:t xml:space="preserve"> </w:t>
      </w:r>
      <w:r w:rsidR="00BE43A2">
        <w:fldChar w:fldCharType="begin"/>
      </w:r>
      <w:r w:rsidR="00A27571">
        <w:instrText xml:space="preserve"> ADDIN EN.CITE &lt;EndNote&gt;&lt;Cite&gt;&lt;Author&gt;Helse Nord&lt;/Author&gt;&lt;Year&gt;2019&lt;/Year&gt;&lt;RecNum&gt;245&lt;/RecNum&gt;&lt;DisplayText&gt;(Helse Nord, 2019)&lt;/DisplayText&gt;&lt;record&gt;&lt;rec-number&gt;245&lt;/rec-number&gt;&lt;foreign-keys&gt;&lt;key app="EN" db-id="95tpr2tp6r9xwoea9rb5wdsz5ds5xeddteew" timestamp="1680069511"&gt;245&lt;/key&gt;&lt;/foreign-keys&gt;&lt;ref-type name="Report"&gt;27&lt;/ref-type&gt;&lt;contributors&gt;&lt;authors&gt;&lt;author&gt;Helse Nord,&lt;/author&gt;&lt;/authors&gt;&lt;/contributors&gt;&lt;titles&gt;&lt;title&gt;Fastlegetjenesten i Nord-Norge: Status, utfordringer og forslag til tiltak&lt;/title&gt;&lt;/titles&gt;&lt;dates&gt;&lt;year&gt;2019&lt;/year&gt;&lt;/dates&gt;&lt;pub-location&gt;Bodø&lt;/pub-location&gt;&lt;publisher&gt;Helse Nord&lt;/publisher&gt;&lt;urls&gt;&lt;/urls&gt;&lt;/record&gt;&lt;/Cite&gt;&lt;/EndNote&gt;</w:instrText>
      </w:r>
      <w:r w:rsidR="00BE43A2">
        <w:fldChar w:fldCharType="separate"/>
      </w:r>
      <w:r w:rsidR="00BE43A2">
        <w:rPr>
          <w:noProof/>
        </w:rPr>
        <w:t>(Helse Nord, 2019)</w:t>
      </w:r>
      <w:r w:rsidR="00BE43A2">
        <w:fldChar w:fldCharType="end"/>
      </w:r>
      <w:r w:rsidR="002871B1">
        <w:t>.</w:t>
      </w:r>
    </w:p>
    <w:p w14:paraId="40701F90" w14:textId="11BD6BAF" w:rsidR="001956FF" w:rsidRDefault="6B131262" w:rsidP="00CF569A">
      <w:pPr>
        <w:jc w:val="both"/>
      </w:pPr>
      <w:r w:rsidRPr="32E8DA27">
        <w:t>Sykepleieres pensjonsrettigheter kan være en barriere</w:t>
      </w:r>
      <w:r w:rsidR="07F7AAAD">
        <w:t xml:space="preserve"> for økt tverrfaglighet i fastlegekontor</w:t>
      </w:r>
      <w:r w:rsidR="7592ADB1" w:rsidRPr="32E8DA27">
        <w:t>.</w:t>
      </w:r>
      <w:r w:rsidRPr="32E8DA27">
        <w:t xml:space="preserve"> Sykepleierpensjonsloven </w:t>
      </w:r>
      <w:r w:rsidR="00D9107F">
        <w:t>§ </w:t>
      </w:r>
      <w:r w:rsidR="00D9107F" w:rsidRPr="32E8DA27">
        <w:t>1</w:t>
      </w:r>
      <w:r w:rsidRPr="32E8DA27">
        <w:t>, 2. ledd slår fast at offentlig godkjente sykepleiere ansatt i stilling knyttet til helse- og omsorgstjenesten i henhold til helse- og omsorgstjenesteloven skal være medlemmer i pensjonsordningen for sykepleiere. Herunder omfattes blant annet ansatte hos allmennpraktiserende lege med fastlegeavtale</w:t>
      </w:r>
      <w:r w:rsidR="166C3ED6" w:rsidRPr="32E8DA27">
        <w:t xml:space="preserve"> </w:t>
      </w:r>
      <w:r w:rsidR="00B51F56">
        <w:fldChar w:fldCharType="begin"/>
      </w:r>
      <w:r w:rsidR="00D078E3">
        <w:instrText xml:space="preserve"> ADDIN EN.CITE &lt;EndNote&gt;&lt;Cite ExcludeAuth="1"&gt;&lt;Year&gt;1962&lt;/Year&gt;&lt;RecNum&gt;472&lt;/RecNum&gt;&lt;DisplayText&gt;(&lt;style face="italic"&gt;Lov om pensjonsordning for sykepleiere [sykepleierpensjonsloven]&lt;/style&gt;, 1962)&lt;/DisplayText&gt;&lt;record&gt;&lt;rec-number&gt;472&lt;/rec-number&gt;&lt;foreign-keys&gt;&lt;key app="EN" db-id="95tpr2tp6r9xwoea9rb5wdsz5ds5xeddteew" timestamp="1680069511"&gt;472&lt;/key&gt;&lt;/foreign-keys&gt;&lt;ref-type name="Legal Rule or Regulation"&gt;50&lt;/ref-type&gt;&lt;contributors&gt;&lt;secondary-authors&gt;&lt;author&gt;Arbeids- og inkluderingsdepartementet,&lt;/author&gt;&lt;/secondary-authors&gt;&lt;/contributors&gt;&lt;titles&gt;&lt;title&gt;Lov om pensjonsordning for sykepleiere [sykepleierpensjonsloven]&lt;/title&gt;&lt;secondary-title&gt;LOV-1962-06-22-12&lt;/secondary-title&gt;&lt;/titles&gt;&lt;edition&gt;LOV-2022-12-20-100 &lt;/edition&gt;&lt;dates&gt;&lt;year&gt;1962&lt;/year&gt;&lt;/dates&gt;&lt;urls&gt;&lt;related-urls&gt;&lt;url&gt;https://lovdata.no/dokument/NL/lov/1962-06-22-12?q=sykepleierpensjonsloven&lt;/url&gt;&lt;/related-urls&gt;&lt;/urls&gt;&lt;/record&gt;&lt;/Cite&gt;&lt;/EndNote&gt;</w:instrText>
      </w:r>
      <w:r w:rsidR="00B51F56">
        <w:fldChar w:fldCharType="separate"/>
      </w:r>
      <w:r w:rsidR="00B51F56">
        <w:rPr>
          <w:noProof/>
        </w:rPr>
        <w:t>(</w:t>
      </w:r>
      <w:r w:rsidR="00B51F56" w:rsidRPr="00D9107F">
        <w:rPr>
          <w:rStyle w:val="kursiv"/>
        </w:rPr>
        <w:t>Lov om pensjonsordning for sykepleiere [sykepleierpensjonsloven]</w:t>
      </w:r>
      <w:r w:rsidR="00B51F56">
        <w:rPr>
          <w:noProof/>
        </w:rPr>
        <w:t>, 1962)</w:t>
      </w:r>
      <w:r w:rsidR="00B51F56">
        <w:fldChar w:fldCharType="end"/>
      </w:r>
      <w:r w:rsidR="6E6C0FFE" w:rsidRPr="32E8DA27">
        <w:t>.</w:t>
      </w:r>
      <w:r w:rsidR="005A73A0">
        <w:t xml:space="preserve"> </w:t>
      </w:r>
      <w:r w:rsidRPr="00935F03">
        <w:t xml:space="preserve">Medlemskapet er pliktig, </w:t>
      </w:r>
      <w:r w:rsidR="008A0094">
        <w:t xml:space="preserve">og </w:t>
      </w:r>
      <w:r>
        <w:t>det kan ikke fravikes</w:t>
      </w:r>
      <w:r w:rsidRPr="00935F03">
        <w:t xml:space="preserve">. Også der sykepleier ansettes </w:t>
      </w:r>
      <w:r w:rsidR="11A4130D">
        <w:t>for</w:t>
      </w:r>
      <w:r w:rsidRPr="00935F03">
        <w:t xml:space="preserve"> helsesekretær</w:t>
      </w:r>
      <w:r w:rsidR="11A4130D">
        <w:t>oppgaver</w:t>
      </w:r>
      <w:r w:rsidR="24D89E7E">
        <w:t>,</w:t>
      </w:r>
      <w:r w:rsidRPr="00935F03">
        <w:t xml:space="preserve"> vil loven gjelde for den ansatte</w:t>
      </w:r>
      <w:r w:rsidR="6B696F16">
        <w:t xml:space="preserve"> </w:t>
      </w:r>
      <w:r w:rsidR="00BE43A2">
        <w:fldChar w:fldCharType="begin"/>
      </w:r>
      <w:r w:rsidR="00A27571">
        <w:instrText xml:space="preserve"> ADDIN EN.CITE &lt;EndNote&gt;&lt;Cite&gt;&lt;Author&gt;Den Norske Legeforening&lt;/Author&gt;&lt;Year&gt;2015&lt;/Year&gt;&lt;RecNum&gt;861&lt;/RecNum&gt;&lt;DisplayText&gt;(Den Norske Legeforening, 2015)&lt;/DisplayText&gt;&lt;record&gt;&lt;rec-number&gt;861&lt;/rec-number&gt;&lt;foreign-keys&gt;&lt;key app="EN" db-id="95tpr2tp6r9xwoea9rb5wdsz5ds5xeddteew" timestamp="1680069511"&gt;861&lt;/key&gt;&lt;/foreign-keys&gt;&lt;ref-type name="Report"&gt;27&lt;/ref-type&gt;&lt;contributors&gt;&lt;authors&gt;&lt;author&gt;Den Norske Legeforening,&lt;/author&gt;&lt;/authors&gt;&lt;tertiary-authors&gt;&lt;author&gt;Den norske legeforening,&lt;/author&gt;&lt;/tertiary-authors&gt;&lt;/contributors&gt;&lt;titles&gt;&lt;title&gt;Veileder for næringsdrivende leger&lt;/title&gt;&lt;/titles&gt;&lt;dates&gt;&lt;year&gt;2015&lt;/year&gt;&lt;/dates&gt;&lt;urls&gt;&lt;/urls&gt;&lt;/record&gt;&lt;/Cite&gt;&lt;/EndNote&gt;</w:instrText>
      </w:r>
      <w:r w:rsidR="00BE43A2">
        <w:fldChar w:fldCharType="separate"/>
      </w:r>
      <w:r w:rsidR="00BE43A2">
        <w:rPr>
          <w:noProof/>
        </w:rPr>
        <w:t>(Den Norske Legeforening, 2015)</w:t>
      </w:r>
      <w:r w:rsidR="00BE43A2">
        <w:fldChar w:fldCharType="end"/>
      </w:r>
      <w:r w:rsidR="002871B1">
        <w:t>.</w:t>
      </w:r>
    </w:p>
    <w:p w14:paraId="2877AF6E" w14:textId="6FD8BCC4" w:rsidR="001956FF" w:rsidRDefault="00255282" w:rsidP="00CF569A">
      <w:pPr>
        <w:jc w:val="both"/>
      </w:pPr>
      <w:r>
        <w:lastRenderedPageBreak/>
        <w:t xml:space="preserve">Pensjonsordningen er ytelsesbasert. </w:t>
      </w:r>
      <w:r w:rsidR="6B131262" w:rsidRPr="3465DA2E">
        <w:t>Sykepleierforbundet opplyser på sine nettsider at arbeidsgiver betaler om lag 20 prosent av sykepleiers lønn i premie til sykepleierpensjonsordningen</w:t>
      </w:r>
      <w:r w:rsidR="205AEAEF" w:rsidRPr="3465DA2E">
        <w:t xml:space="preserve"> </w:t>
      </w:r>
      <w:r w:rsidR="00BE43A2">
        <w:fldChar w:fldCharType="begin"/>
      </w:r>
      <w:r w:rsidR="00BE43A2">
        <w:instrText xml:space="preserve"> ADDIN EN.CITE &lt;EndNote&gt;&lt;Cite ExcludeYear="1"&gt;&lt;Author&gt;Norsk sykepleierforbund&lt;/Author&gt;&lt;RecNum&gt;619&lt;/RecNum&gt;&lt;DisplayText&gt;(Norsk sykepleierforbund)&lt;/DisplayText&gt;&lt;record&gt;&lt;rec-number&gt;619&lt;/rec-number&gt;&lt;foreign-keys&gt;&lt;key app="EN" db-id="95tpr2tp6r9xwoea9rb5wdsz5ds5xeddteew" timestamp="1680069511"&gt;619&lt;/key&gt;&lt;/foreign-keys&gt;&lt;ref-type name="Web Page"&gt;12&lt;/ref-type&gt;&lt;contributors&gt;&lt;authors&gt;&lt;author&gt;Norsk sykepleierforbund,&lt;/author&gt;&lt;/authors&gt;&lt;/contributors&gt;&lt;titles&gt;&lt;title&gt;Pensjon&lt;/title&gt;&lt;/titles&gt;&lt;number&gt;4. februar 2023&lt;/number&gt;&lt;dates&gt;&lt;/dates&gt;&lt;pub-location&gt;Oslo&lt;/pub-location&gt;&lt;publisher&gt;Norsk sykepleierforbund,&lt;/publisher&gt;&lt;work-type&gt;nettdokument&lt;/work-type&gt;&lt;urls&gt;&lt;related-urls&gt;&lt;url&gt;https://www.nsf.no/arbeidsvilkar/pensjon&lt;/url&gt;&lt;/related-urls&gt;&lt;/urls&gt;&lt;/record&gt;&lt;/Cite&gt;&lt;/EndNote&gt;</w:instrText>
      </w:r>
      <w:r w:rsidR="00BE43A2">
        <w:fldChar w:fldCharType="separate"/>
      </w:r>
      <w:r w:rsidR="00BE43A2">
        <w:rPr>
          <w:noProof/>
        </w:rPr>
        <w:t>(Norsk sykepleierforbund)</w:t>
      </w:r>
      <w:r w:rsidR="00BE43A2">
        <w:fldChar w:fldCharType="end"/>
      </w:r>
      <w:r w:rsidR="6E6C0FFE" w:rsidRPr="3465DA2E">
        <w:t>.</w:t>
      </w:r>
    </w:p>
    <w:p w14:paraId="2E33F4B3" w14:textId="6FC2D216" w:rsidR="001956FF" w:rsidRPr="00F14B59" w:rsidRDefault="00A41437" w:rsidP="00385D02">
      <w:pPr>
        <w:jc w:val="both"/>
      </w:pPr>
      <w:r>
        <w:t>Som h</w:t>
      </w:r>
      <w:r w:rsidR="6B77D62E" w:rsidRPr="34F2909E">
        <w:t>ovedregel</w:t>
      </w:r>
      <w:r w:rsidR="00A064B8">
        <w:t>,</w:t>
      </w:r>
      <w:r>
        <w:t xml:space="preserve"> skal</w:t>
      </w:r>
      <w:r w:rsidR="6B77D62E" w:rsidRPr="34F2909E">
        <w:t xml:space="preserve"> pensjonsordningen være lik for alle ansatte</w:t>
      </w:r>
      <w:r w:rsidR="00344BD7">
        <w:t xml:space="preserve"> i en virksomhet</w:t>
      </w:r>
      <w:r w:rsidR="3062852D">
        <w:t xml:space="preserve"> </w:t>
      </w:r>
      <w:r w:rsidR="00BE43A2">
        <w:fldChar w:fldCharType="begin"/>
      </w:r>
      <w:r w:rsidR="00A27571">
        <w:instrText xml:space="preserve"> ADDIN EN.CITE &lt;EndNote&gt;&lt;Cite ExcludeYear="1"&gt;&lt;Author&gt;NHO&lt;/Author&gt;&lt;RecNum&gt;827&lt;/RecNum&gt;&lt;DisplayText&gt;(NHO)&lt;/DisplayText&gt;&lt;record&gt;&lt;rec-number&gt;827&lt;/rec-number&gt;&lt;foreign-keys&gt;&lt;key app="EN" db-id="95tpr2tp6r9xwoea9rb5wdsz5ds5xeddteew" timestamp="1680069511"&gt;827&lt;/key&gt;&lt;/foreign-keys&gt;&lt;ref-type name="Web Page"&gt;12&lt;/ref-type&gt;&lt;contributors&gt;&lt;authors&gt;&lt;author&gt;NHO&lt;/author&gt;&lt;/authors&gt;&lt;/contributors&gt;&lt;titles&gt;&lt;title&gt;Tjenestepensjon – privat sektor&lt;/title&gt;&lt;/titles&gt;&lt;number&gt;26. februar 2023&lt;/number&gt;&lt;dates&gt;&lt;/dates&gt;&lt;pub-location&gt;Oslo&lt;/pub-location&gt;&lt;publisher&gt;Næringslivets Hovedorganisasjon&lt;/publisher&gt;&lt;work-type&gt;nettdokument&lt;/work-type&gt;&lt;urls&gt;&lt;/urls&gt;&lt;/record&gt;&lt;/Cite&gt;&lt;/EndNote&gt;</w:instrText>
      </w:r>
      <w:r w:rsidR="00BE43A2">
        <w:fldChar w:fldCharType="separate"/>
      </w:r>
      <w:r w:rsidR="00BE43A2">
        <w:rPr>
          <w:noProof/>
        </w:rPr>
        <w:t>(NHO)</w:t>
      </w:r>
      <w:r w:rsidR="00BE43A2">
        <w:fldChar w:fldCharType="end"/>
      </w:r>
      <w:r w:rsidR="18569E07" w:rsidRPr="34F2909E">
        <w:t>.</w:t>
      </w:r>
      <w:r w:rsidR="6B77D62E" w:rsidRPr="34F2909E">
        <w:t xml:space="preserve"> Men </w:t>
      </w:r>
      <w:r>
        <w:t>h</w:t>
      </w:r>
      <w:r w:rsidR="6B131262">
        <w:t>elsesekretære</w:t>
      </w:r>
      <w:r w:rsidR="00482461">
        <w:t>r</w:t>
      </w:r>
      <w:r w:rsidR="6B131262">
        <w:t xml:space="preserve"> som er ansatt i samme virksomhet</w:t>
      </w:r>
      <w:r w:rsidR="5814B10F">
        <w:t>,</w:t>
      </w:r>
      <w:r w:rsidR="6B131262">
        <w:t xml:space="preserve"> </w:t>
      </w:r>
      <w:r w:rsidR="30CBE669">
        <w:t xml:space="preserve">får ikke </w:t>
      </w:r>
      <w:r w:rsidR="68358581">
        <w:t xml:space="preserve">automatisk </w:t>
      </w:r>
      <w:r w:rsidR="6B131262">
        <w:t>rett på samme pensjonsordning</w:t>
      </w:r>
      <w:r w:rsidR="134BF73F">
        <w:t xml:space="preserve"> som sykepleier</w:t>
      </w:r>
      <w:r w:rsidR="5EA06848">
        <w:t>ne</w:t>
      </w:r>
      <w:r w:rsidR="6B131262">
        <w:t>. Helsesekretær vil være underlagt ordning med o</w:t>
      </w:r>
      <w:r w:rsidR="6B131262" w:rsidRPr="6C3D6357">
        <w:t>bligatorisk tjenestepensjon</w:t>
      </w:r>
      <w:r w:rsidR="56EF52BB" w:rsidRPr="6C3D6357">
        <w:t xml:space="preserve"> </w:t>
      </w:r>
      <w:r w:rsidR="00BE43A2">
        <w:fldChar w:fldCharType="begin"/>
      </w:r>
      <w:r w:rsidR="004654FD">
        <w:instrText xml:space="preserve"> ADDIN EN.CITE &lt;EndNote&gt;&lt;Cite ExcludeYear="1"&gt;&lt;Author&gt;Skatteetaten&lt;/Author&gt;&lt;RecNum&gt;346&lt;/RecNum&gt;&lt;DisplayText&gt;(Skatteetaten)&lt;/DisplayText&gt;&lt;record&gt;&lt;rec-number&gt;346&lt;/rec-number&gt;&lt;foreign-keys&gt;&lt;key app="EN" db-id="95tpr2tp6r9xwoea9rb5wdsz5ds5xeddteew" timestamp="1680069511"&gt;346&lt;/key&gt;&lt;/foreign-keys&gt;&lt;ref-type name="Web Page"&gt;12&lt;/ref-type&gt;&lt;contributors&gt;&lt;authors&gt;&lt;author&gt;Skatteetaten&lt;/author&gt;&lt;/authors&gt;&lt;/contributors&gt;&lt;titles&gt;&lt;title&gt;Hva er obligatorisk tjenestepensjon (OTP)?&lt;/title&gt;&lt;/titles&gt;&lt;number&gt;5. februar 2023&lt;/number&gt;&lt;dates&gt;&lt;/dates&gt;&lt;pub-location&gt;Oslo&lt;/pub-location&gt;&lt;publisher&gt;Næringslivets Hovedorganisasjon,&lt;/publisher&gt;&lt;work-type&gt;nettdokument&lt;/work-type&gt;&lt;urls&gt;&lt;/urls&gt;&lt;/record&gt;&lt;/Cite&gt;&lt;/EndNote&gt;</w:instrText>
      </w:r>
      <w:r w:rsidR="00BE43A2">
        <w:fldChar w:fldCharType="separate"/>
      </w:r>
      <w:r w:rsidR="00BE43A2">
        <w:rPr>
          <w:noProof/>
        </w:rPr>
        <w:t>(Skatteetaten)</w:t>
      </w:r>
      <w:r w:rsidR="00BE43A2">
        <w:fldChar w:fldCharType="end"/>
      </w:r>
      <w:r w:rsidR="6E6C0FFE" w:rsidRPr="6C3D6357">
        <w:t>.</w:t>
      </w:r>
      <w:r w:rsidR="6B131262" w:rsidRPr="6C3D6357">
        <w:t xml:space="preserve"> Storebrand oppgir på sine nettsider at </w:t>
      </w:r>
      <w:r w:rsidR="006F0D27">
        <w:t xml:space="preserve">i </w:t>
      </w:r>
      <w:r w:rsidR="6B131262">
        <w:t xml:space="preserve">gjennomsnitt </w:t>
      </w:r>
      <w:r w:rsidR="00665A41">
        <w:t>spare</w:t>
      </w:r>
      <w:r w:rsidR="004525A8">
        <w:t xml:space="preserve">r virksomheter </w:t>
      </w:r>
      <w:r w:rsidR="6B131262" w:rsidRPr="6C3D6357">
        <w:t xml:space="preserve">innenfor helsetjenester </w:t>
      </w:r>
      <w:r w:rsidR="00B157D0">
        <w:t>fem</w:t>
      </w:r>
      <w:r w:rsidR="6B131262" w:rsidRPr="6C3D6357">
        <w:t xml:space="preserve"> prosent</w:t>
      </w:r>
      <w:r w:rsidR="009527E1">
        <w:t xml:space="preserve"> av de ans</w:t>
      </w:r>
      <w:r w:rsidR="007669AE">
        <w:t xml:space="preserve">attes lønn </w:t>
      </w:r>
      <w:r w:rsidR="005A2A10">
        <w:t xml:space="preserve">i premie </w:t>
      </w:r>
      <w:r w:rsidR="007669AE">
        <w:t>til pensjon</w:t>
      </w:r>
      <w:r w:rsidR="32A1C4CB" w:rsidRPr="6C3D6357">
        <w:t xml:space="preserve"> </w:t>
      </w:r>
      <w:r w:rsidR="00B51F56">
        <w:fldChar w:fldCharType="begin"/>
      </w:r>
      <w:r w:rsidR="00A27571">
        <w:instrText xml:space="preserve"> ADDIN EN.CITE &lt;EndNote&gt;&lt;Cite&gt;&lt;Author&gt;Stakkestad&lt;/Author&gt;&lt;Year&gt;2018&lt;/Year&gt;&lt;RecNum&gt;798&lt;/RecNum&gt;&lt;DisplayText&gt;(Stakkestad et al., 2018)&lt;/DisplayText&gt;&lt;record&gt;&lt;rec-number&gt;798&lt;/rec-number&gt;&lt;foreign-keys&gt;&lt;key app="EN" db-id="95tpr2tp6r9xwoea9rb5wdsz5ds5xeddteew" timestamp="1680069511"&gt;798&lt;/key&gt;&lt;/foreign-keys&gt;&lt;ref-type name="Web Page"&gt;12&lt;/ref-type&gt;&lt;contributors&gt;&lt;authors&gt;&lt;author&gt;Ingrid Stakkestad &lt;/author&gt;&lt;author&gt;Kalle Bartholin Nielsen&lt;/author&gt;&lt;/authors&gt;&lt;/contributors&gt;&lt;titles&gt;&lt;title&gt;Så mye er vanlig å spare til pensjon i bransjen din&lt;/title&gt;&lt;/titles&gt;&lt;number&gt;5. februar 2023&lt;/number&gt;&lt;dates&gt;&lt;year&gt;2018&lt;/year&gt;&lt;pub-dates&gt;&lt;date&gt;09.02.2023&lt;/date&gt;&lt;/pub-dates&gt;&lt;/dates&gt;&lt;pub-location&gt;Oslo&lt;/pub-location&gt;&lt;publisher&gt;Storebrand&lt;/publisher&gt;&lt;work-type&gt;nettdokument&lt;/work-type&gt;&lt;urls&gt;&lt;/urls&gt;&lt;/record&gt;&lt;/Cite&gt;&lt;/EndNote&gt;</w:instrText>
      </w:r>
      <w:r w:rsidR="00B51F56">
        <w:fldChar w:fldCharType="separate"/>
      </w:r>
      <w:r w:rsidR="00856689">
        <w:rPr>
          <w:noProof/>
        </w:rPr>
        <w:t>(Stakkestad et al., 2018)</w:t>
      </w:r>
      <w:r w:rsidR="00B51F56">
        <w:fldChar w:fldCharType="end"/>
      </w:r>
      <w:r w:rsidR="6E6C0FFE" w:rsidRPr="6C3D6357">
        <w:t>.</w:t>
      </w:r>
    </w:p>
    <w:p w14:paraId="1A3F470E" w14:textId="659F58C2" w:rsidR="001956FF" w:rsidRDefault="6B131262" w:rsidP="00775632">
      <w:pPr>
        <w:pStyle w:val="Overskrift3"/>
      </w:pPr>
      <w:bookmarkStart w:id="3226" w:name="_Toc125440521"/>
      <w:bookmarkStart w:id="3227" w:name="_Toc126305344"/>
      <w:bookmarkStart w:id="3228" w:name="_Toc126817071"/>
      <w:bookmarkStart w:id="3229" w:name="_Toc127633252"/>
      <w:bookmarkStart w:id="3230" w:name="_Toc127864538"/>
      <w:bookmarkStart w:id="3231" w:name="_Toc128238546"/>
      <w:bookmarkStart w:id="3232" w:name="_Toc128742028"/>
      <w:bookmarkStart w:id="3233" w:name="_Toc128744623"/>
      <w:bookmarkStart w:id="3234" w:name="_Toc128744842"/>
      <w:bookmarkStart w:id="3235" w:name="_Toc129630346"/>
      <w:bookmarkStart w:id="3236" w:name="_Toc130763847"/>
      <w:bookmarkStart w:id="3237" w:name="_Toc130766742"/>
      <w:bookmarkStart w:id="3238" w:name="_Toc130932143"/>
      <w:bookmarkStart w:id="3239" w:name="_Toc130934434"/>
      <w:bookmarkStart w:id="3240" w:name="_Toc130983548"/>
      <w:bookmarkStart w:id="3241" w:name="_Toc130983897"/>
      <w:bookmarkStart w:id="3242" w:name="_Toc131062188"/>
      <w:bookmarkStart w:id="3243" w:name="_Toc131062442"/>
      <w:bookmarkStart w:id="3244" w:name="_Toc131062703"/>
      <w:bookmarkStart w:id="3245" w:name="_Toc131062956"/>
      <w:bookmarkStart w:id="3246" w:name="_Toc131063739"/>
      <w:bookmarkStart w:id="3247" w:name="_Toc131064149"/>
      <w:bookmarkStart w:id="3248" w:name="_Toc131238479"/>
      <w:bookmarkStart w:id="3249" w:name="_Toc131279510"/>
      <w:bookmarkStart w:id="3250" w:name="_Toc131286922"/>
      <w:bookmarkStart w:id="3251" w:name="_Toc131281332"/>
      <w:bookmarkStart w:id="3252" w:name="_Toc131317872"/>
      <w:bookmarkStart w:id="3253" w:name="_Toc132537013"/>
      <w:r>
        <w:t>Finansiering av tverrfaglighet – ulike løsninger</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p>
    <w:p w14:paraId="0895A5A7" w14:textId="001015C4" w:rsidR="001956FF" w:rsidRDefault="001956FF" w:rsidP="0011111D">
      <w:pPr>
        <w:jc w:val="both"/>
      </w:pPr>
      <w:r>
        <w:t xml:space="preserve">I </w:t>
      </w:r>
      <w:r w:rsidR="001C662F">
        <w:t>kapittel 6.</w:t>
      </w:r>
      <w:r w:rsidR="009D575E">
        <w:t>2</w:t>
      </w:r>
      <w:r>
        <w:t xml:space="preserve"> er oppgave</w:t>
      </w:r>
      <w:r w:rsidR="00C055D9">
        <w:t>deling</w:t>
      </w:r>
      <w:r>
        <w:t xml:space="preserve"> og tverrfaglighet i fastlegepraksiser omtalt. Tverrfaglighet innenfor fastlegetjenesten kan organiseres på ulike måter. Andre personellgrupper kan arbeide på delegasjon fra fastlegen, eller de kan arbeide selvstendig under faglig ledelse av fastlege. Hvilke personellgrupper som skal inngå i fastlegekontor, intern organisering av virksomheten og de ulike personellgruppenes grad av selvstendighet i arbeidet</w:t>
      </w:r>
      <w:r w:rsidR="00A4340C">
        <w:t>,</w:t>
      </w:r>
      <w:r>
        <w:t xml:space="preserve"> kan ha betydning for utforming av </w:t>
      </w:r>
      <w:r w:rsidR="000E6FA2">
        <w:t xml:space="preserve">finansiering og </w:t>
      </w:r>
      <w:r>
        <w:t xml:space="preserve">takster. Dersom tverrfaglighet skal understøttes gjennom </w:t>
      </w:r>
      <w:r w:rsidRPr="00E662CB">
        <w:t>takster,</w:t>
      </w:r>
      <w:r>
        <w:t xml:space="preserve"> kan det være ulike løsninger:</w:t>
      </w:r>
    </w:p>
    <w:p w14:paraId="7000A8AB" w14:textId="77777777" w:rsidR="001956FF" w:rsidRPr="00564034" w:rsidRDefault="001956FF" w:rsidP="00775632">
      <w:pPr>
        <w:pStyle w:val="Nummerertliste"/>
        <w:numPr>
          <w:ilvl w:val="0"/>
          <w:numId w:val="44"/>
        </w:numPr>
      </w:pPr>
      <w:r w:rsidRPr="00564034">
        <w:t xml:space="preserve">Fastleger kan </w:t>
      </w:r>
      <w:r>
        <w:t xml:space="preserve">i økt grad </w:t>
      </w:r>
      <w:r w:rsidRPr="00564034">
        <w:t>utløse takster når annet personell utfører oppgaver som legens medhjelper</w:t>
      </w:r>
      <w:r>
        <w:t xml:space="preserve"> (delegering)</w:t>
      </w:r>
    </w:p>
    <w:p w14:paraId="6453A061" w14:textId="6FD30742" w:rsidR="001956FF" w:rsidRPr="00564034" w:rsidRDefault="001956FF" w:rsidP="00775632">
      <w:pPr>
        <w:pStyle w:val="Nummerertliste"/>
        <w:numPr>
          <w:ilvl w:val="0"/>
          <w:numId w:val="44"/>
        </w:numPr>
      </w:pPr>
      <w:r w:rsidRPr="00564034">
        <w:t xml:space="preserve">Det kan etableres egne takster </w:t>
      </w:r>
      <w:r>
        <w:t xml:space="preserve">som andre </w:t>
      </w:r>
      <w:r w:rsidRPr="00564034">
        <w:t>personellgrupper</w:t>
      </w:r>
      <w:r>
        <w:t xml:space="preserve"> kan utløse selvstendig</w:t>
      </w:r>
      <w:r w:rsidRPr="00564034">
        <w:t>, f</w:t>
      </w:r>
      <w:r w:rsidR="00984839">
        <w:t>or eksempel</w:t>
      </w:r>
      <w:r w:rsidRPr="00564034">
        <w:t xml:space="preserve"> etter modell av</w:t>
      </w:r>
      <w:r>
        <w:t xml:space="preserve"> forsøk med</w:t>
      </w:r>
      <w:r w:rsidRPr="00564034">
        <w:t xml:space="preserve"> primærhelseteam</w:t>
      </w:r>
    </w:p>
    <w:p w14:paraId="4019A05D" w14:textId="77777777" w:rsidR="00D9107F" w:rsidRDefault="001956FF" w:rsidP="00775632">
      <w:pPr>
        <w:pStyle w:val="Nummerertliste"/>
        <w:numPr>
          <w:ilvl w:val="0"/>
          <w:numId w:val="44"/>
        </w:numPr>
      </w:pPr>
      <w:r w:rsidRPr="00564034">
        <w:t xml:space="preserve">Det kan opprettes profesjonsnøytrale takster som kan utløses </w:t>
      </w:r>
      <w:r>
        <w:t xml:space="preserve">selvstendig </w:t>
      </w:r>
      <w:r w:rsidRPr="00564034">
        <w:t>av det personellet som utfører oppgaven</w:t>
      </w:r>
    </w:p>
    <w:p w14:paraId="3428ECFD" w14:textId="77777777" w:rsidR="00D9107F" w:rsidRDefault="001956FF" w:rsidP="00E1743E">
      <w:pPr>
        <w:jc w:val="both"/>
      </w:pPr>
      <w:r>
        <w:t>Løsningene skiller seg fra hverandre langs to dimensjoner; hvorvidt annet personell kan utløse takstene selvstendig, og betaling for hver tjeneste:</w:t>
      </w:r>
    </w:p>
    <w:p w14:paraId="26E3AC88" w14:textId="1AB64139" w:rsidR="000A024A" w:rsidRDefault="006641DF" w:rsidP="00775632">
      <w:pPr>
        <w:pStyle w:val="tabell-tittel"/>
      </w:pPr>
      <w:r>
        <w:t>Løsninger</w:t>
      </w:r>
      <w:r w:rsidR="00B03B1E">
        <w:t xml:space="preserve"> for finansiering av tverrfaglighet</w:t>
      </w:r>
    </w:p>
    <w:tbl>
      <w:tblPr>
        <w:tblStyle w:val="0Ekspertutvalgettabellstil1"/>
        <w:tblW w:w="5000" w:type="pct"/>
        <w:tblLook w:val="04A0" w:firstRow="1" w:lastRow="0" w:firstColumn="1" w:lastColumn="0" w:noHBand="0" w:noVBand="1"/>
      </w:tblPr>
      <w:tblGrid>
        <w:gridCol w:w="3556"/>
        <w:gridCol w:w="3427"/>
        <w:gridCol w:w="2753"/>
      </w:tblGrid>
      <w:tr w:rsidR="00580FB7" w:rsidRPr="002843E0" w14:paraId="59AF9AF5" w14:textId="77777777" w:rsidTr="002843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6" w:type="pct"/>
            <w:tcBorders>
              <w:bottom w:val="single" w:sz="24" w:space="0" w:color="2A3652"/>
            </w:tcBorders>
            <w:shd w:val="clear" w:color="auto" w:fill="A9D6B9"/>
            <w:noWrap/>
            <w:hideMark/>
          </w:tcPr>
          <w:p w14:paraId="71ED428C" w14:textId="6ADC6934" w:rsidR="001956FF" w:rsidRPr="00D9107F" w:rsidRDefault="00D9107F" w:rsidP="00D87CD3">
            <w:pPr>
              <w:pStyle w:val="TabellHode-kolonne"/>
              <w:rPr>
                <w:rStyle w:val="halvfet"/>
              </w:rPr>
            </w:pPr>
            <w:r w:rsidRPr="00D9107F">
              <w:rPr>
                <w:rStyle w:val="halvfet"/>
              </w:rPr>
              <w:t xml:space="preserve"> </w:t>
            </w:r>
          </w:p>
        </w:tc>
        <w:tc>
          <w:tcPr>
            <w:tcW w:w="3174" w:type="pct"/>
            <w:gridSpan w:val="2"/>
            <w:tcBorders>
              <w:bottom w:val="single" w:sz="24" w:space="0" w:color="2A3652"/>
            </w:tcBorders>
            <w:shd w:val="clear" w:color="auto" w:fill="A9D6B9"/>
            <w:noWrap/>
            <w:hideMark/>
          </w:tcPr>
          <w:p w14:paraId="361EE122" w14:textId="571EDF0A" w:rsidR="001956FF" w:rsidRPr="00D9107F" w:rsidRDefault="001956FF" w:rsidP="00D87CD3">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Grad av selvstendighet for annet personell</w:t>
            </w:r>
          </w:p>
        </w:tc>
      </w:tr>
      <w:tr w:rsidR="001956FF" w:rsidRPr="007B7A2E" w14:paraId="213BE713" w14:textId="77777777" w:rsidTr="000F1D07">
        <w:trPr>
          <w:trHeight w:val="401"/>
        </w:trPr>
        <w:tc>
          <w:tcPr>
            <w:cnfStyle w:val="001000000000" w:firstRow="0" w:lastRow="0" w:firstColumn="1" w:lastColumn="0" w:oddVBand="0" w:evenVBand="0" w:oddHBand="0" w:evenHBand="0" w:firstRowFirstColumn="0" w:firstRowLastColumn="0" w:lastRowFirstColumn="0" w:lastRowLastColumn="0"/>
            <w:tcW w:w="1826" w:type="pct"/>
            <w:tcBorders>
              <w:top w:val="single" w:sz="24" w:space="0" w:color="2A3652"/>
            </w:tcBorders>
            <w:noWrap/>
            <w:hideMark/>
          </w:tcPr>
          <w:p w14:paraId="40D89F64" w14:textId="7A267628" w:rsidR="001956FF" w:rsidRPr="003C68F7" w:rsidRDefault="00D9107F" w:rsidP="00D87CD3">
            <w:pPr>
              <w:pStyle w:val="TabellHode-kolonne"/>
              <w:rPr>
                <w:rFonts w:cstheme="minorHAnsi"/>
                <w:color w:val="2A3652"/>
                <w:sz w:val="20"/>
              </w:rPr>
            </w:pPr>
            <w:r>
              <w:rPr>
                <w:rFonts w:cstheme="minorHAnsi"/>
                <w:color w:val="2A3652"/>
                <w:sz w:val="20"/>
              </w:rPr>
              <w:t xml:space="preserve"> </w:t>
            </w:r>
          </w:p>
        </w:tc>
        <w:tc>
          <w:tcPr>
            <w:tcW w:w="1760" w:type="pct"/>
            <w:tcBorders>
              <w:top w:val="single" w:sz="24" w:space="0" w:color="2A3652"/>
            </w:tcBorders>
            <w:hideMark/>
          </w:tcPr>
          <w:p w14:paraId="516798DE" w14:textId="77777777" w:rsidR="001956FF" w:rsidRPr="00D9107F" w:rsidRDefault="001956FF" w:rsidP="00D87CD3">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D9107F">
              <w:rPr>
                <w:rStyle w:val="halvfet"/>
              </w:rPr>
              <w:t>Utløser takster selvstendig</w:t>
            </w:r>
          </w:p>
        </w:tc>
        <w:tc>
          <w:tcPr>
            <w:tcW w:w="1414" w:type="pct"/>
            <w:tcBorders>
              <w:top w:val="single" w:sz="24" w:space="0" w:color="2A3652"/>
            </w:tcBorders>
            <w:hideMark/>
          </w:tcPr>
          <w:p w14:paraId="0E6058D0" w14:textId="51738088" w:rsidR="001956FF" w:rsidRPr="00D9107F" w:rsidRDefault="001956FF" w:rsidP="00D87CD3">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D9107F">
              <w:rPr>
                <w:rStyle w:val="halvfet"/>
              </w:rPr>
              <w:t>Delegering</w:t>
            </w:r>
          </w:p>
        </w:tc>
      </w:tr>
      <w:tr w:rsidR="001956FF" w:rsidRPr="007B7A2E" w14:paraId="3667ECFA" w14:textId="77777777" w:rsidTr="005A2DE9">
        <w:trPr>
          <w:trHeight w:val="600"/>
        </w:trPr>
        <w:tc>
          <w:tcPr>
            <w:cnfStyle w:val="001000000000" w:firstRow="0" w:lastRow="0" w:firstColumn="1" w:lastColumn="0" w:oddVBand="0" w:evenVBand="0" w:oddHBand="0" w:evenHBand="0" w:firstRowFirstColumn="0" w:firstRowLastColumn="0" w:lastRowFirstColumn="0" w:lastRowLastColumn="0"/>
            <w:tcW w:w="1826" w:type="pct"/>
            <w:noWrap/>
            <w:hideMark/>
          </w:tcPr>
          <w:p w14:paraId="121C90A2" w14:textId="305BC5AA" w:rsidR="001956FF" w:rsidRPr="003C68F7" w:rsidRDefault="001956FF" w:rsidP="00D87CD3">
            <w:pPr>
              <w:pStyle w:val="TabellHode-rad"/>
            </w:pPr>
            <w:r w:rsidRPr="003C68F7">
              <w:t>Lik</w:t>
            </w:r>
            <w:r w:rsidR="000E6FA2" w:rsidRPr="003C68F7">
              <w:t xml:space="preserve"> betaling</w:t>
            </w:r>
            <w:r w:rsidRPr="003C68F7">
              <w:t xml:space="preserve"> for ulike personellgrupper</w:t>
            </w:r>
          </w:p>
        </w:tc>
        <w:tc>
          <w:tcPr>
            <w:tcW w:w="1760" w:type="pct"/>
            <w:hideMark/>
          </w:tcPr>
          <w:p w14:paraId="6CE54A53" w14:textId="77777777" w:rsidR="001956FF" w:rsidRPr="003C68F7" w:rsidRDefault="001956FF" w:rsidP="00D87CD3">
            <w:pPr>
              <w:cnfStyle w:val="000000000000" w:firstRow="0" w:lastRow="0" w:firstColumn="0" w:lastColumn="0" w:oddVBand="0" w:evenVBand="0" w:oddHBand="0" w:evenHBand="0" w:firstRowFirstColumn="0" w:firstRowLastColumn="0" w:lastRowFirstColumn="0" w:lastRowLastColumn="0"/>
              <w:rPr>
                <w:rFonts w:cstheme="minorHAnsi"/>
                <w:color w:val="2A3652"/>
                <w:sz w:val="20"/>
              </w:rPr>
            </w:pPr>
            <w:r w:rsidRPr="003C68F7">
              <w:rPr>
                <w:rFonts w:cstheme="minorHAnsi"/>
                <w:color w:val="2A3652"/>
                <w:sz w:val="20"/>
              </w:rPr>
              <w:t>Profesjonsnøytrale takster</w:t>
            </w:r>
          </w:p>
        </w:tc>
        <w:tc>
          <w:tcPr>
            <w:tcW w:w="1414" w:type="pct"/>
            <w:hideMark/>
          </w:tcPr>
          <w:p w14:paraId="33614A30" w14:textId="77777777" w:rsidR="001956FF" w:rsidRPr="003C68F7" w:rsidRDefault="001956FF" w:rsidP="00D87CD3">
            <w:pPr>
              <w:cnfStyle w:val="000000000000" w:firstRow="0" w:lastRow="0" w:firstColumn="0" w:lastColumn="0" w:oddVBand="0" w:evenVBand="0" w:oddHBand="0" w:evenHBand="0" w:firstRowFirstColumn="0" w:firstRowLastColumn="0" w:lastRowFirstColumn="0" w:lastRowLastColumn="0"/>
              <w:rPr>
                <w:rFonts w:cstheme="minorHAnsi"/>
                <w:color w:val="2A3652"/>
                <w:sz w:val="20"/>
              </w:rPr>
            </w:pPr>
            <w:r w:rsidRPr="003C68F7">
              <w:rPr>
                <w:rFonts w:cstheme="minorHAnsi"/>
                <w:color w:val="2A3652"/>
                <w:sz w:val="20"/>
              </w:rPr>
              <w:t>Utløser takster på delegasjon fra lege</w:t>
            </w:r>
          </w:p>
        </w:tc>
      </w:tr>
      <w:tr w:rsidR="001956FF" w:rsidRPr="007B7A2E" w14:paraId="35813930" w14:textId="77777777" w:rsidTr="005A2DE9">
        <w:trPr>
          <w:trHeight w:val="600"/>
        </w:trPr>
        <w:tc>
          <w:tcPr>
            <w:cnfStyle w:val="001000000000" w:firstRow="0" w:lastRow="0" w:firstColumn="1" w:lastColumn="0" w:oddVBand="0" w:evenVBand="0" w:oddHBand="0" w:evenHBand="0" w:firstRowFirstColumn="0" w:firstRowLastColumn="0" w:lastRowFirstColumn="0" w:lastRowLastColumn="0"/>
            <w:tcW w:w="1826" w:type="pct"/>
            <w:noWrap/>
            <w:hideMark/>
          </w:tcPr>
          <w:p w14:paraId="4BFB0EFB" w14:textId="4FB79B5A" w:rsidR="001956FF" w:rsidRPr="003C68F7" w:rsidRDefault="001956FF" w:rsidP="00D87CD3">
            <w:pPr>
              <w:pStyle w:val="TabellHode-rad"/>
            </w:pPr>
            <w:r w:rsidRPr="003C68F7">
              <w:t xml:space="preserve">Ulik </w:t>
            </w:r>
            <w:r w:rsidR="000E6FA2" w:rsidRPr="003C68F7">
              <w:t>betaling</w:t>
            </w:r>
            <w:r w:rsidRPr="003C68F7">
              <w:t xml:space="preserve"> for ulike personellgrupper</w:t>
            </w:r>
          </w:p>
        </w:tc>
        <w:tc>
          <w:tcPr>
            <w:tcW w:w="1760" w:type="pct"/>
            <w:hideMark/>
          </w:tcPr>
          <w:p w14:paraId="797A9D0E" w14:textId="77777777" w:rsidR="001956FF" w:rsidRPr="003C68F7" w:rsidRDefault="001956FF" w:rsidP="00D87CD3">
            <w:pPr>
              <w:cnfStyle w:val="000000000000" w:firstRow="0" w:lastRow="0" w:firstColumn="0" w:lastColumn="0" w:oddVBand="0" w:evenVBand="0" w:oddHBand="0" w:evenHBand="0" w:firstRowFirstColumn="0" w:firstRowLastColumn="0" w:lastRowFirstColumn="0" w:lastRowLastColumn="0"/>
              <w:rPr>
                <w:rFonts w:cstheme="minorHAnsi"/>
                <w:color w:val="2A3652"/>
                <w:sz w:val="20"/>
              </w:rPr>
            </w:pPr>
            <w:r w:rsidRPr="003C68F7">
              <w:rPr>
                <w:rFonts w:cstheme="minorHAnsi"/>
                <w:color w:val="2A3652"/>
                <w:sz w:val="20"/>
              </w:rPr>
              <w:t>Egne takster for hver personellgruppe</w:t>
            </w:r>
          </w:p>
        </w:tc>
        <w:tc>
          <w:tcPr>
            <w:tcW w:w="1414" w:type="pct"/>
            <w:hideMark/>
          </w:tcPr>
          <w:p w14:paraId="6FE8152C" w14:textId="19591287" w:rsidR="001956FF" w:rsidRPr="003C68F7" w:rsidRDefault="00D9107F" w:rsidP="00D87CD3">
            <w:pPr>
              <w:cnfStyle w:val="000000000000" w:firstRow="0" w:lastRow="0" w:firstColumn="0" w:lastColumn="0" w:oddVBand="0" w:evenVBand="0" w:oddHBand="0" w:evenHBand="0" w:firstRowFirstColumn="0" w:firstRowLastColumn="0" w:lastRowFirstColumn="0" w:lastRowLastColumn="0"/>
              <w:rPr>
                <w:rFonts w:cstheme="minorHAnsi"/>
                <w:color w:val="2A3652"/>
                <w:sz w:val="20"/>
              </w:rPr>
            </w:pPr>
            <w:r>
              <w:rPr>
                <w:rFonts w:cstheme="minorHAnsi"/>
                <w:color w:val="2A3652"/>
                <w:sz w:val="20"/>
              </w:rPr>
              <w:t xml:space="preserve"> </w:t>
            </w:r>
          </w:p>
        </w:tc>
      </w:tr>
    </w:tbl>
    <w:p w14:paraId="2737436E" w14:textId="34E7F114" w:rsidR="001956FF" w:rsidRDefault="001956FF" w:rsidP="00A66A8B">
      <w:pPr>
        <w:jc w:val="both"/>
      </w:pPr>
      <w:r>
        <w:t xml:space="preserve">Løsningene </w:t>
      </w:r>
      <w:r w:rsidR="00EC1E54">
        <w:t xml:space="preserve">for finansiering av tverrfaglighet </w:t>
      </w:r>
      <w:r>
        <w:t>er ikke gjensidig utelukkende. Innenfor en finansieringsmodell vil det være aktuelt å kombinere flere av løsningene.</w:t>
      </w:r>
      <w:r w:rsidR="00A66A8B">
        <w:t xml:space="preserve"> </w:t>
      </w:r>
      <w:r>
        <w:t xml:space="preserve">Videre må </w:t>
      </w:r>
      <w:r>
        <w:lastRenderedPageBreak/>
        <w:t>finansieringsløsninger sees i sammenheng med gruppeavtaler og fastlege</w:t>
      </w:r>
      <w:r w:rsidR="00C9237B">
        <w:t>selskap</w:t>
      </w:r>
      <w:r>
        <w:t xml:space="preserve">, se </w:t>
      </w:r>
      <w:r w:rsidR="00B93980">
        <w:t xml:space="preserve">kapittel </w:t>
      </w:r>
      <w:r>
        <w:t>4.</w:t>
      </w:r>
      <w:r w:rsidR="00FB4302">
        <w:t>7</w:t>
      </w:r>
      <w:r>
        <w:t>. Eksempelvis kan det vurderes om løsninger med delegering vil være mest aktuelt for fastlegekontor slik de er organisert i dag</w:t>
      </w:r>
      <w:r w:rsidR="00984839">
        <w:t>,</w:t>
      </w:r>
      <w:r>
        <w:t xml:space="preserve"> </w:t>
      </w:r>
      <w:r w:rsidR="00984839">
        <w:t>mens</w:t>
      </w:r>
      <w:r>
        <w:t xml:space="preserve"> profesjonsnøytrale takster kan være mer egnet for fastlege</w:t>
      </w:r>
      <w:r w:rsidR="00C9237B">
        <w:t>selskap</w:t>
      </w:r>
      <w:r w:rsidR="00E94B2D">
        <w:t xml:space="preserve"> og kommunale legekontor</w:t>
      </w:r>
      <w:r w:rsidR="003F4A2E">
        <w:t xml:space="preserve"> med tilsvarende organisering</w:t>
      </w:r>
      <w:r>
        <w:t>.</w:t>
      </w:r>
    </w:p>
    <w:p w14:paraId="613DFDCF" w14:textId="7FD241EA" w:rsidR="001956FF" w:rsidRDefault="001956FF" w:rsidP="00385D02">
      <w:pPr>
        <w:jc w:val="both"/>
      </w:pPr>
      <w:r w:rsidRPr="4E08232A">
        <w:t xml:space="preserve">Nedenfor beskrives de tre </w:t>
      </w:r>
      <w:r w:rsidR="003F5192">
        <w:t>oven</w:t>
      </w:r>
      <w:r w:rsidRPr="4E08232A">
        <w:t xml:space="preserve">nevnte </w:t>
      </w:r>
      <w:r>
        <w:t>finansierings</w:t>
      </w:r>
      <w:r w:rsidRPr="4E08232A">
        <w:t>løsningene.</w:t>
      </w:r>
      <w:r>
        <w:t xml:space="preserve"> Løsningene skal understøtte god helsehjelp, og ulike måter å levere tjenestene på. Beskrivelsene tar utgangspunkt i fastlegepraksiser med næringsdrift. Men løsningene kan også benyttes av kommunale legekontor, med kommunalt ansatte fastleger og </w:t>
      </w:r>
      <w:r w:rsidR="00A81A20">
        <w:t xml:space="preserve">annet </w:t>
      </w:r>
      <w:r>
        <w:t>personell.</w:t>
      </w:r>
    </w:p>
    <w:p w14:paraId="223EE0D7" w14:textId="0F7DF03A" w:rsidR="001956FF" w:rsidRDefault="6B131262" w:rsidP="00775632">
      <w:pPr>
        <w:pStyle w:val="Overskrift3"/>
      </w:pPr>
      <w:bookmarkStart w:id="3254" w:name="_Toc122655240"/>
      <w:bookmarkStart w:id="3255" w:name="_Toc125372522"/>
      <w:bookmarkStart w:id="3256" w:name="_Toc125440522"/>
      <w:bookmarkStart w:id="3257" w:name="_Toc126305345"/>
      <w:bookmarkStart w:id="3258" w:name="_Toc126817072"/>
      <w:bookmarkStart w:id="3259" w:name="_Toc127633253"/>
      <w:bookmarkStart w:id="3260" w:name="_Toc127864539"/>
      <w:bookmarkStart w:id="3261" w:name="_Toc128238547"/>
      <w:bookmarkStart w:id="3262" w:name="_Toc128742029"/>
      <w:bookmarkStart w:id="3263" w:name="_Toc128744624"/>
      <w:bookmarkStart w:id="3264" w:name="_Toc128744843"/>
      <w:bookmarkStart w:id="3265" w:name="_Toc129630347"/>
      <w:bookmarkStart w:id="3266" w:name="_Toc130763848"/>
      <w:bookmarkStart w:id="3267" w:name="_Toc130766743"/>
      <w:bookmarkStart w:id="3268" w:name="_Toc130932144"/>
      <w:bookmarkStart w:id="3269" w:name="_Toc130934435"/>
      <w:bookmarkStart w:id="3270" w:name="_Toc130983549"/>
      <w:bookmarkStart w:id="3271" w:name="_Toc130983898"/>
      <w:bookmarkStart w:id="3272" w:name="_Toc131062189"/>
      <w:bookmarkStart w:id="3273" w:name="_Toc131062443"/>
      <w:bookmarkStart w:id="3274" w:name="_Toc131062704"/>
      <w:bookmarkStart w:id="3275" w:name="_Toc131062957"/>
      <w:bookmarkStart w:id="3276" w:name="_Toc131063740"/>
      <w:bookmarkStart w:id="3277" w:name="_Toc131064150"/>
      <w:bookmarkStart w:id="3278" w:name="_Toc131238480"/>
      <w:bookmarkStart w:id="3279" w:name="_Toc131279511"/>
      <w:bookmarkStart w:id="3280" w:name="_Toc131286923"/>
      <w:bookmarkStart w:id="3281" w:name="_Toc131281333"/>
      <w:bookmarkStart w:id="3282" w:name="_Toc131317873"/>
      <w:bookmarkStart w:id="3283" w:name="_Toc132537014"/>
      <w:r>
        <w:t>Annet personell som fastlegens medhjelper</w:t>
      </w:r>
      <w:bookmarkEnd w:id="3254"/>
      <w:r>
        <w:t xml:space="preserve"> (delegering)</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61446E7F" w14:textId="5D83AF26" w:rsidR="001956FF" w:rsidRDefault="001956FF" w:rsidP="00131E4B">
      <w:pPr>
        <w:jc w:val="both"/>
      </w:pPr>
      <w:r>
        <w:t xml:space="preserve">Delegering omhandler at legen overlater til medhjelpere faglige oppgaver som legen kan utløse takster for. </w:t>
      </w:r>
      <w:r w:rsidR="00582087">
        <w:t xml:space="preserve">Delegering </w:t>
      </w:r>
      <w:r w:rsidRPr="0024743A">
        <w:t>må skje innenfor rammene av helsepersonellovens bestemmelser</w:t>
      </w:r>
      <w:r w:rsidR="00275695">
        <w:t xml:space="preserve">, og </w:t>
      </w:r>
      <w:r w:rsidRPr="0024743A">
        <w:t xml:space="preserve">er begrenset til å omfatte kompetanse og ansvar </w:t>
      </w:r>
      <w:r>
        <w:t>legen</w:t>
      </w:r>
      <w:r w:rsidRPr="0024743A">
        <w:t xml:space="preserve"> selv har. Dette setter </w:t>
      </w:r>
      <w:r>
        <w:t>begrensninger</w:t>
      </w:r>
      <w:r w:rsidRPr="0024743A">
        <w:t xml:space="preserve"> for hvilke</w:t>
      </w:r>
      <w:r w:rsidR="00275695">
        <w:t>t</w:t>
      </w:r>
      <w:r w:rsidRPr="0024743A">
        <w:t xml:space="preserve"> personell fastlegen </w:t>
      </w:r>
      <w:r w:rsidR="008B4926">
        <w:t>naturlig</w:t>
      </w:r>
      <w:r w:rsidRPr="0024743A">
        <w:t xml:space="preserve"> </w:t>
      </w:r>
      <w:r w:rsidR="00F279C8">
        <w:t xml:space="preserve">kan </w:t>
      </w:r>
      <w:r w:rsidR="00275695">
        <w:t xml:space="preserve">delegere </w:t>
      </w:r>
      <w:r w:rsidRPr="0024743A">
        <w:t>oppgaver</w:t>
      </w:r>
      <w:r w:rsidR="00275695">
        <w:t xml:space="preserve"> til, og hvilke oppgaver som </w:t>
      </w:r>
      <w:r w:rsidR="003F5192">
        <w:t>legen</w:t>
      </w:r>
      <w:r w:rsidR="00275695">
        <w:t xml:space="preserve"> kan delegere</w:t>
      </w:r>
      <w:r w:rsidRPr="0024743A">
        <w:t xml:space="preserve">. </w:t>
      </w:r>
      <w:r w:rsidR="005A704B">
        <w:t>A</w:t>
      </w:r>
      <w:r>
        <w:rPr>
          <w:rFonts w:ascii="Calibri" w:hAnsi="Calibri" w:cs="Calibri"/>
        </w:rPr>
        <w:t>nnet personell</w:t>
      </w:r>
      <w:r w:rsidR="005A704B">
        <w:rPr>
          <w:rFonts w:ascii="Calibri" w:hAnsi="Calibri" w:cs="Calibri"/>
        </w:rPr>
        <w:t xml:space="preserve"> må ha</w:t>
      </w:r>
      <w:r w:rsidRPr="001936F3">
        <w:t xml:space="preserve"> nødvendige kvalifikasjone</w:t>
      </w:r>
      <w:r w:rsidR="005A704B">
        <w:t>r</w:t>
      </w:r>
      <w:r w:rsidRPr="001936F3">
        <w:t xml:space="preserve"> til å utføre oppgaven</w:t>
      </w:r>
      <w:r w:rsidR="00F41F5B">
        <w:t>, men le</w:t>
      </w:r>
      <w:r w:rsidRPr="0024743A">
        <w:t>gen er ansvarlig for de medisinske undersøkelsene og behandlingen av pasienten.</w:t>
      </w:r>
      <w:r>
        <w:t xml:space="preserve"> </w:t>
      </w:r>
      <w:r w:rsidR="004E3D7C">
        <w:t xml:space="preserve">I dagens ordning </w:t>
      </w:r>
      <w:r w:rsidRPr="0024743A">
        <w:t>er</w:t>
      </w:r>
      <w:r w:rsidR="004E3D7C">
        <w:t xml:space="preserve"> det</w:t>
      </w:r>
      <w:r w:rsidRPr="0024743A">
        <w:t xml:space="preserve"> </w:t>
      </w:r>
      <w:r>
        <w:t>i tillegg</w:t>
      </w:r>
      <w:r w:rsidRPr="0024743A">
        <w:t xml:space="preserve"> legen som har rett til refusjon, og som krever og får utbetalt refusjon fra Helfo.</w:t>
      </w:r>
    </w:p>
    <w:p w14:paraId="194FE88A" w14:textId="77777777" w:rsidR="001956FF" w:rsidRPr="00931DC6" w:rsidRDefault="6B131262" w:rsidP="00775632">
      <w:pPr>
        <w:pStyle w:val="Overskrift4"/>
      </w:pPr>
      <w:bookmarkStart w:id="3284" w:name="_Toc130983550"/>
      <w:bookmarkStart w:id="3285" w:name="_Toc130983899"/>
      <w:bookmarkStart w:id="3286" w:name="_Toc131238481"/>
      <w:bookmarkStart w:id="3287" w:name="_Toc131279512"/>
      <w:bookmarkStart w:id="3288" w:name="_Toc131286924"/>
      <w:bookmarkStart w:id="3289" w:name="_Toc131281334"/>
      <w:bookmarkStart w:id="3290" w:name="_Toc131317874"/>
      <w:r>
        <w:t>Legetakster som kan utløses av legens medhjelpere</w:t>
      </w:r>
      <w:bookmarkEnd w:id="3284"/>
      <w:bookmarkEnd w:id="3285"/>
      <w:bookmarkEnd w:id="3286"/>
      <w:bookmarkEnd w:id="3287"/>
      <w:bookmarkEnd w:id="3288"/>
      <w:bookmarkEnd w:id="3289"/>
      <w:bookmarkEnd w:id="3290"/>
    </w:p>
    <w:p w14:paraId="2998A6EA" w14:textId="7CC184F5" w:rsidR="001956FF" w:rsidRDefault="001956FF" w:rsidP="00131E4B">
      <w:pPr>
        <w:jc w:val="both"/>
      </w:pPr>
      <w:r w:rsidRPr="00931DC6">
        <w:t xml:space="preserve">Dagens takster åpner i noen grad for at hjelpepersonell kan utføre prosedyrer som utløser </w:t>
      </w:r>
      <w:r>
        <w:t>lege</w:t>
      </w:r>
      <w:r w:rsidRPr="00931DC6">
        <w:t xml:space="preserve">takst. Enkle pasientkontakter via telefon, e-post eller oppmøte kan utløse takst selv om pasienten ikke møter legen. </w:t>
      </w:r>
      <w:r>
        <w:t>P</w:t>
      </w:r>
      <w:r w:rsidRPr="00931DC6">
        <w:t>rosedyrer kan utføres av hjelpepersonell, men dette må alltid være under legens tilsyn og ansvar. Eksempler på oppgaver som utløser takst</w:t>
      </w:r>
      <w:r w:rsidR="00984839">
        <w:t>,</w:t>
      </w:r>
      <w:r w:rsidRPr="00931DC6">
        <w:t xml:space="preserve"> og som kan utføres av hjelpepersonell, er prøvetaking</w:t>
      </w:r>
      <w:r>
        <w:t xml:space="preserve">, sårstell, EKG, spirometri, </w:t>
      </w:r>
      <w:r w:rsidR="4FACE76F">
        <w:t xml:space="preserve">24-timers </w:t>
      </w:r>
      <w:r>
        <w:t>blodtrykksmåling etc</w:t>
      </w:r>
      <w:r w:rsidRPr="00931DC6">
        <w:t>.</w:t>
      </w:r>
      <w:r w:rsidR="00E24E56">
        <w:t xml:space="preserve"> </w:t>
      </w:r>
      <w:r w:rsidR="00E24E56" w:rsidRPr="00931DC6">
        <w:t>Konsultasjoner og sykebesøk forutsetter alltid at legen selv utfører disse</w:t>
      </w:r>
      <w:r w:rsidR="00984839">
        <w:t>,</w:t>
      </w:r>
      <w:r w:rsidR="00E24E56" w:rsidRPr="00931DC6">
        <w:t xml:space="preserve"> og kan ikke delegeres.</w:t>
      </w:r>
    </w:p>
    <w:p w14:paraId="60481BFF" w14:textId="7D77F53C" w:rsidR="001956FF" w:rsidRDefault="6B131262" w:rsidP="00131E4B">
      <w:pPr>
        <w:jc w:val="both"/>
      </w:pPr>
      <w:r>
        <w:t>Med dagens takster er det ikke grunn til å forvente økt bruk av annet personell. Det er begrensede muligheter for å finansiere annet personell gjennom takster, og det er lite sannsynlig at legekontor vil ansette andre yrkesgrupper med dagens takster som finansieringskilde. Samtidig viser erfaring fra forsøket med primærhelseteam at legene i noen grad kan øke sine takstinntekter når det tas inn sykepleier i praksisen. Eksempelvis kan sykepleier utføre en del av oppgavene som må utføres</w:t>
      </w:r>
      <w:r w:rsidR="37A0E8B2">
        <w:t>,</w:t>
      </w:r>
      <w:r>
        <w:t xml:space="preserve"> for at fastlegen skal kunne utløse takst for årskontroll diabetes. Omfanget av dette er ikke estimert i evalueringen</w:t>
      </w:r>
      <w:r w:rsidR="00D63242">
        <w:t xml:space="preserve"> </w:t>
      </w:r>
      <w:r w:rsidR="00D078E3">
        <w:fldChar w:fldCharType="begin"/>
      </w:r>
      <w:r w:rsidR="00694E6D">
        <w:instrText xml:space="preserve"> ADDIN EN.CITE &lt;EndNote&gt;&lt;Cite&gt;&lt;Author&gt;Abelsen B.&lt;/Author&gt;&lt;Year&gt;2019&lt;/Year&gt;&lt;RecNum&gt;220&lt;/RecNum&gt;&lt;DisplayText&gt;(Abelsen B. et al., 2019)&lt;/DisplayText&gt;&lt;record&gt;&lt;rec-number&gt;220&lt;/rec-number&gt;&lt;foreign-keys&gt;&lt;key app="EN" db-id="95tpr2tp6r9xwoea9rb5wdsz5ds5xeddteew" timestamp="1680069511"&gt;220&lt;/key&gt;&lt;/foreign-keys&gt;&lt;ref-type name="Report"&gt;27&lt;/ref-type&gt;&lt;contributors&gt;&lt;authors&gt;&lt;author&gt;Abelsen B., &lt;/author&gt;&lt;author&gt;Gaski M., &lt;/author&gt;&lt;author&gt;Godager G., &lt;/author&gt;&lt;author&gt;Iversen T., &lt;/author&gt;&lt;author&gt;Løyland HI.,&lt;/author&gt;&lt;author&gt;Pedersen K., &lt;/author&gt;&lt;author&gt;Snilsberg Ø., &lt;/author&gt;&lt;author&gt;Sten-Gahmberg S., &lt;/author&gt;&lt;author&gt;Sæther EM&lt;/author&gt;&lt;/authors&gt;&lt;/contributors&gt;&lt;titles&gt;&lt;title&gt;Evaluering av pilotprosjekt med primærhelseteam og alternative finansieringsordninger: statusrapport II, 2. desember 2019&lt;/title&gt;&lt;/titles&gt;&lt;dates&gt;&lt;year&gt;2019&lt;/year&gt;&lt;/dates&gt;&lt;publisher&gt;Institutt for helse og samfunn UiO, Oslo Economics og Nasjonalt senter for distriktsmedisin UiT Norges arktiske universitet&lt;/publisher&gt;&lt;urls&gt;&lt;/urls&gt;&lt;/record&gt;&lt;/Cite&gt;&lt;/EndNote&gt;</w:instrText>
      </w:r>
      <w:r w:rsidR="00D078E3">
        <w:fldChar w:fldCharType="separate"/>
      </w:r>
      <w:r w:rsidR="00BE43A2">
        <w:rPr>
          <w:noProof/>
        </w:rPr>
        <w:t>(Abelsen B. et al., 2019)</w:t>
      </w:r>
      <w:r w:rsidR="00D078E3">
        <w:fldChar w:fldCharType="end"/>
      </w:r>
      <w:r>
        <w:t>.</w:t>
      </w:r>
    </w:p>
    <w:p w14:paraId="4967004B" w14:textId="296C9A11" w:rsidR="001956FF" w:rsidRPr="000230B8" w:rsidRDefault="6B131262" w:rsidP="00775632">
      <w:pPr>
        <w:pStyle w:val="Overskrift4"/>
      </w:pPr>
      <w:bookmarkStart w:id="3291" w:name="_Toc130983551"/>
      <w:bookmarkStart w:id="3292" w:name="_Toc130983900"/>
      <w:bookmarkStart w:id="3293" w:name="_Toc131238482"/>
      <w:bookmarkStart w:id="3294" w:name="_Toc131279513"/>
      <w:bookmarkStart w:id="3295" w:name="_Toc131286925"/>
      <w:bookmarkStart w:id="3296" w:name="_Toc131281335"/>
      <w:bookmarkStart w:id="3297" w:name="_Toc131317875"/>
      <w:r>
        <w:t xml:space="preserve">Danmark: </w:t>
      </w:r>
      <w:r w:rsidR="00947F29">
        <w:t>D</w:t>
      </w:r>
      <w:r>
        <w:t>elegering til medhjelpere</w:t>
      </w:r>
      <w:bookmarkEnd w:id="3291"/>
      <w:bookmarkEnd w:id="3292"/>
      <w:bookmarkEnd w:id="3293"/>
      <w:bookmarkEnd w:id="3294"/>
      <w:bookmarkEnd w:id="3295"/>
      <w:bookmarkEnd w:id="3296"/>
      <w:bookmarkEnd w:id="3297"/>
    </w:p>
    <w:p w14:paraId="19C5963C" w14:textId="77777777" w:rsidR="00D9107F" w:rsidRPr="00D9107F" w:rsidRDefault="6B131262" w:rsidP="00D42F81">
      <w:pPr>
        <w:jc w:val="both"/>
        <w:rPr>
          <w:rStyle w:val="skrift-hevet"/>
        </w:rPr>
      </w:pPr>
      <w:r>
        <w:t>Lovgivningen i Danmark gir relativt frie rammer, og i utgangspunktet står de danske legene fritt til at hjelpepersonell kan gjennomføre konsultasjoner og behandlinger, så lenge det er på delegasjon fra legen</w:t>
      </w:r>
      <w:r w:rsidR="7EAD9EBA">
        <w:t xml:space="preserve"> </w:t>
      </w:r>
      <w:r w:rsidR="00D078E3">
        <w:fldChar w:fldCharType="begin"/>
      </w:r>
      <w:r w:rsidR="004654FD">
        <w:instrText xml:space="preserve"> ADDIN EN.CITE &lt;EndNote&gt;&lt;Cite&gt;&lt;Author&gt;Indenrigs- og Sundhedsministeriet&lt;/Author&gt;&lt;Year&gt;2009&lt;/Year&gt;&lt;RecNum&gt;62&lt;/RecNum&gt;&lt;DisplayText&gt;(Indenrigs- og Sundhedsministeriet, 2009)&lt;/DisplayText&gt;&lt;record&gt;&lt;rec-number&gt;62&lt;/rec-number&gt;&lt;foreign-keys&gt;&lt;key app="EN" db-id="95tpr2tp6r9xwoea9rb5wdsz5ds5xeddteew" timestamp="1680069511"&gt;62&lt;/key&gt;&lt;/foreign-keys&gt;&lt;ref-type name="Legal Rule or Regulation"&gt;50&lt;/ref-type&gt;&lt;contributors&gt;&lt;authors&gt;&lt;author&gt;Indenrigs- og Sundhedsministeriet, &lt;/author&gt;&lt;/authors&gt;&lt;/contributors&gt;&lt;titles&gt;&lt;title&gt;Bekendtgørelse om autoriserede sundhedspersoners benyttelse af medhjælp (delegation af forbeholdt sundhedsfaglig virksomhed)&lt;/title&gt;&lt;secondary-title&gt;BEK nr 1219 af 11/12/2009&lt;/secondary-title&gt;&lt;/titles&gt;&lt;section&gt;BK001044&lt;/section&gt;&lt;dates&gt;&lt;year&gt;2009&lt;/year&gt;&lt;/dates&gt;&lt;publisher&gt;Indenrigs- og Sunhedsministeriet&lt;/publisher&gt;&lt;urls&gt;&lt;related-urls&gt;&lt;url&gt;https://www.retsinformation.dk/eli/lta/2009/1219&lt;/url&gt;&lt;/related-urls&gt;&lt;/urls&gt;&lt;/record&gt;&lt;/Cite&gt;&lt;/EndNote&gt;</w:instrText>
      </w:r>
      <w:r w:rsidR="00D078E3">
        <w:fldChar w:fldCharType="separate"/>
      </w:r>
      <w:r w:rsidR="00D078E3">
        <w:rPr>
          <w:noProof/>
        </w:rPr>
        <w:t>(Indenrigs- og Sundhedsministeriet, 2009)</w:t>
      </w:r>
      <w:r w:rsidR="00D078E3">
        <w:fldChar w:fldCharType="end"/>
      </w:r>
      <w:r w:rsidR="008C03A4">
        <w:t>.</w:t>
      </w:r>
      <w:r>
        <w:t xml:space="preserve"> Danske Regioner og </w:t>
      </w:r>
      <w:r>
        <w:lastRenderedPageBreak/>
        <w:t xml:space="preserve">Praktiserende lægers </w:t>
      </w:r>
      <w:r w:rsidR="00C15701">
        <w:t>organisasjon</w:t>
      </w:r>
      <w:r>
        <w:t xml:space="preserve"> har utarbeidet en veileder til finansieringsregelverket. </w:t>
      </w:r>
      <w:r w:rsidRPr="00CC12C2">
        <w:t xml:space="preserve">Denne omtaler </w:t>
      </w:r>
      <w:r w:rsidR="001956FF" w:rsidRPr="00CC12C2">
        <w:t>delegering av oppgaver</w:t>
      </w:r>
      <w:r w:rsidR="00E44B5D" w:rsidRPr="00CC12C2">
        <w:t xml:space="preserve"> til blant annet å </w:t>
      </w:r>
      <w:r w:rsidR="00DC6A84" w:rsidRPr="00CC12C2">
        <w:t xml:space="preserve">kunne </w:t>
      </w:r>
      <w:r w:rsidR="00E44B5D" w:rsidRPr="00CC12C2">
        <w:t xml:space="preserve">omfatte </w:t>
      </w:r>
      <w:r w:rsidR="00DC6A84" w:rsidRPr="00CC12C2">
        <w:t>konsultasjoner, telefonkonsultasjoner, videokonsultasjoner, e-konsultasjoner og sykebesø</w:t>
      </w:r>
      <w:r w:rsidR="00084BEE" w:rsidRPr="00CC12C2">
        <w:t>k</w:t>
      </w:r>
      <w:r w:rsidR="000B412F">
        <w:t>, e</w:t>
      </w:r>
      <w:r w:rsidR="00A966D2" w:rsidRPr="00CC12C2">
        <w:t xml:space="preserve">ksempelvis til gjennomføring </w:t>
      </w:r>
      <w:r w:rsidR="00C8270B" w:rsidRPr="00CC12C2">
        <w:t>av</w:t>
      </w:r>
      <w:r w:rsidR="00DA4B34" w:rsidRPr="00CC12C2">
        <w:t xml:space="preserve"> blodtryk</w:t>
      </w:r>
      <w:r w:rsidR="00C8270B" w:rsidRPr="00CC12C2">
        <w:t>k</w:t>
      </w:r>
      <w:r w:rsidR="00DA4B34" w:rsidRPr="00CC12C2">
        <w:t>småling, sårbehandling, va</w:t>
      </w:r>
      <w:r w:rsidR="00C8270B" w:rsidRPr="00CC12C2">
        <w:t>ksinering</w:t>
      </w:r>
      <w:r w:rsidR="00DA4B34" w:rsidRPr="00CC12C2">
        <w:t>, vortebehandling og diabeteskontro</w:t>
      </w:r>
      <w:r w:rsidR="00C8270B" w:rsidRPr="00CC12C2">
        <w:t>l</w:t>
      </w:r>
      <w:r w:rsidR="00DA4B34" w:rsidRPr="00CC12C2">
        <w:t>l</w:t>
      </w:r>
      <w:r w:rsidR="001956FF">
        <w:t xml:space="preserve"> </w:t>
      </w:r>
      <w:r w:rsidR="00BE43A2">
        <w:fldChar w:fldCharType="begin"/>
      </w:r>
      <w:r w:rsidR="004654FD">
        <w:instrText xml:space="preserve"> ADDIN EN.CITE &lt;EndNote&gt;&lt;Cite&gt;&lt;Author&gt;Regionernes Lønnings- og Takstnævn og Praktiserende lægers organisation&lt;/Author&gt;&lt;Year&gt;2022&lt;/Year&gt;&lt;RecNum&gt;865&lt;/RecNum&gt;&lt;DisplayText&gt;(Regionernes Lønnings- og Takstnævn og Praktiserende lægers organisation, 2022)&lt;/DisplayText&gt;&lt;record&gt;&lt;rec-number&gt;865&lt;/rec-number&gt;&lt;foreign-keys&gt;&lt;key app="EN" db-id="95tpr2tp6r9xwoea9rb5wdsz5ds5xeddteew" timestamp="1680069511"&gt;865&lt;/key&gt;&lt;/foreign-keys&gt;&lt;ref-type name="Report"&gt;27&lt;/ref-type&gt;&lt;contributors&gt;&lt;authors&gt;&lt;author&gt;Regionernes Lønnings- og Takstnævn og Praktiserende lægers organisation,&lt;/author&gt;&lt;/authors&gt;&lt;/contributors&gt;&lt;titles&gt;&lt;title&gt;Vejledning i anvendelse af overenskomstens ydelser: Udarbejdet af RLTN og PLO i henhold til § 69 i Overenskomst om almen praksis (2022)&lt;/title&gt;&lt;/titles&gt;&lt;dates&gt;&lt;year&gt;2022&lt;/year&gt;&lt;/dates&gt;&lt;pub-location&gt;København&lt;/pub-location&gt;&lt;publisher&gt;Regionernes Lønnings- og Takstnævn og Praktiserende lægers organisation&lt;/publisher&gt;&lt;urls&gt;&lt;/urls&gt;&lt;access-date&gt;7. februar 2023&lt;/access-date&gt;&lt;/record&gt;&lt;/Cite&gt;&lt;/EndNote&gt;</w:instrText>
      </w:r>
      <w:r w:rsidR="00BE43A2">
        <w:fldChar w:fldCharType="separate"/>
      </w:r>
      <w:r w:rsidR="004654FD">
        <w:rPr>
          <w:noProof/>
        </w:rPr>
        <w:t>(Regionernes Lønnings- og Takstnævn og Praktiserende lægers organisation, 2022)</w:t>
      </w:r>
      <w:r w:rsidR="00BE43A2">
        <w:fldChar w:fldCharType="end"/>
      </w:r>
      <w:r w:rsidR="00136348">
        <w:t>.</w:t>
      </w:r>
    </w:p>
    <w:p w14:paraId="31E621CC" w14:textId="4C212BAD" w:rsidR="001956FF" w:rsidRDefault="6B131262" w:rsidP="00D42F81">
      <w:pPr>
        <w:jc w:val="both"/>
      </w:pPr>
      <w:r w:rsidRPr="00CC12C2">
        <w:t xml:space="preserve">I henhold til avtaleverket mellom fastlegene og regionene er enkelte tjenester forbeholdt fastlegen. </w:t>
      </w:r>
      <w:r w:rsidRPr="5D38468D">
        <w:t xml:space="preserve">Det gjelder blant annet erklæringer/attester, utskriving av resept, </w:t>
      </w:r>
      <w:r w:rsidR="004A8EDC">
        <w:t xml:space="preserve">og å </w:t>
      </w:r>
      <w:r w:rsidRPr="5D38468D">
        <w:t xml:space="preserve">gjøre vedtak om tvangsbehandling knyttet til somatiske og psykiatriske pasienter. Annet personell kan heller ikke utføre helsesjekk av personer i særlige botilbud eller samtaleterapi. </w:t>
      </w:r>
      <w:r>
        <w:t>Selv om det er enkelte begrensninger på muligheter til delegering, gir finansieringsregelverket i Danmark betydelig større muligheter for delegering sammenliknet med Norge.</w:t>
      </w:r>
    </w:p>
    <w:p w14:paraId="44B8D90F" w14:textId="77777777" w:rsidR="00D9107F" w:rsidRDefault="6B131262" w:rsidP="00D42F81">
      <w:pPr>
        <w:jc w:val="both"/>
      </w:pPr>
      <w:r>
        <w:t>Veilederen slår fast at d</w:t>
      </w:r>
      <w:r w:rsidRPr="5D38468D">
        <w:t>et skal foreligge skriftlig</w:t>
      </w:r>
      <w:r>
        <w:t>e</w:t>
      </w:r>
      <w:r w:rsidRPr="5D38468D">
        <w:t xml:space="preserve"> instrukser i form av arbeidsbeskrivelser knyttet til oppgavene.</w:t>
      </w:r>
      <w:r>
        <w:t xml:space="preserve"> Personalets selvstendige utførelse av behandlingsoppgaver skal skje etter anmodning fra legen, under legens ansvar og under supervisjon av legen</w:t>
      </w:r>
      <w:r w:rsidR="00E84C64">
        <w:t xml:space="preserve"> </w:t>
      </w:r>
      <w:r w:rsidR="00BE43A2">
        <w:fldChar w:fldCharType="begin"/>
      </w:r>
      <w:r w:rsidR="004654FD">
        <w:instrText xml:space="preserve"> ADDIN EN.CITE &lt;EndNote&gt;&lt;Cite&gt;&lt;Author&gt;Regionernes Lønnings- og Takstnævn og Praktiserende lægers organisation&lt;/Author&gt;&lt;Year&gt;2022&lt;/Year&gt;&lt;RecNum&gt;865&lt;/RecNum&gt;&lt;DisplayText&gt;(Regionernes Lønnings- og Takstnævn og Praktiserende lægers organisation, 2022)&lt;/DisplayText&gt;&lt;record&gt;&lt;rec-number&gt;865&lt;/rec-number&gt;&lt;foreign-keys&gt;&lt;key app="EN" db-id="95tpr2tp6r9xwoea9rb5wdsz5ds5xeddteew" timestamp="1680069511"&gt;865&lt;/key&gt;&lt;/foreign-keys&gt;&lt;ref-type name="Report"&gt;27&lt;/ref-type&gt;&lt;contributors&gt;&lt;authors&gt;&lt;author&gt;Regionernes Lønnings- og Takstnævn og Praktiserende lægers organisation,&lt;/author&gt;&lt;/authors&gt;&lt;/contributors&gt;&lt;titles&gt;&lt;title&gt;Vejledning i anvendelse af overenskomstens ydelser: Udarbejdet af RLTN og PLO i henhold til § 69 i Overenskomst om almen praksis (2022)&lt;/title&gt;&lt;/titles&gt;&lt;dates&gt;&lt;year&gt;2022&lt;/year&gt;&lt;/dates&gt;&lt;pub-location&gt;København&lt;/pub-location&gt;&lt;publisher&gt;Regionernes Lønnings- og Takstnævn og Praktiserende lægers organisation&lt;/publisher&gt;&lt;urls&gt;&lt;/urls&gt;&lt;access-date&gt;7. februar 2023&lt;/access-date&gt;&lt;/record&gt;&lt;/Cite&gt;&lt;/EndNote&gt;</w:instrText>
      </w:r>
      <w:r w:rsidR="00BE43A2">
        <w:fldChar w:fldCharType="separate"/>
      </w:r>
      <w:r w:rsidR="004654FD">
        <w:rPr>
          <w:noProof/>
        </w:rPr>
        <w:t>(Regionernes Lønnings- og Takstnævn og Praktiserende lægers organisation, 2022)</w:t>
      </w:r>
      <w:r w:rsidR="00BE43A2">
        <w:fldChar w:fldCharType="end"/>
      </w:r>
      <w:r w:rsidR="00FA2633">
        <w:t>.</w:t>
      </w:r>
      <w:r w:rsidR="50899D36">
        <w:t xml:space="preserve"> </w:t>
      </w:r>
      <w:r w:rsidR="00F7396B">
        <w:t>I Danmark arbeider leger under spesialisering i fastlegekontor, uten egen liste.</w:t>
      </w:r>
    </w:p>
    <w:p w14:paraId="02BB11E3" w14:textId="77777777" w:rsidR="00D9107F" w:rsidRDefault="6B131262" w:rsidP="00D42F81">
      <w:pPr>
        <w:jc w:val="both"/>
      </w:pPr>
      <w:r w:rsidRPr="0005557E">
        <w:t xml:space="preserve">Det finnes ikke oversikter over </w:t>
      </w:r>
      <w:r>
        <w:t xml:space="preserve">omfang av </w:t>
      </w:r>
      <w:r w:rsidRPr="0005557E">
        <w:t>oppgave</w:t>
      </w:r>
      <w:r>
        <w:t>overføring</w:t>
      </w:r>
      <w:r w:rsidRPr="0005557E">
        <w:t xml:space="preserve"> mellom leger og annet person</w:t>
      </w:r>
      <w:r>
        <w:t>ell</w:t>
      </w:r>
      <w:r w:rsidRPr="0005557E">
        <w:t xml:space="preserve"> på legekontorene</w:t>
      </w:r>
      <w:r>
        <w:t xml:space="preserve"> i Danmark</w:t>
      </w:r>
      <w:r w:rsidRPr="0005557E">
        <w:t>.</w:t>
      </w:r>
      <w:r>
        <w:t xml:space="preserve"> Danske Regioner peker imidlertid på at d</w:t>
      </w:r>
      <w:r w:rsidRPr="00EA4E2E">
        <w:t>et</w:t>
      </w:r>
      <w:r w:rsidRPr="001956FF">
        <w:t xml:space="preserve"> trolig er stor variasjon mellom klinikker, </w:t>
      </w:r>
      <w:r w:rsidR="0AFFC216" w:rsidRPr="001956FF">
        <w:t xml:space="preserve">i </w:t>
      </w:r>
      <w:r w:rsidRPr="001956FF">
        <w:t>hvor stor andel av pasientkontaktene som utføres av annet personell.</w:t>
      </w:r>
      <w:r w:rsidRPr="00EA4E2E">
        <w:t xml:space="preserve"> </w:t>
      </w:r>
      <w:r w:rsidRPr="0005557E">
        <w:t>Det er igangsatt et analysearbeid med spørreskjema og intervjuer som skal se på graden av deleg</w:t>
      </w:r>
      <w:r>
        <w:t>ering</w:t>
      </w:r>
      <w:r w:rsidRPr="0005557E">
        <w:t xml:space="preserve"> på tvers av praksistyper og mellom by og land</w:t>
      </w:r>
      <w:r>
        <w:t>.</w:t>
      </w:r>
      <w:r w:rsidR="001956FF" w:rsidRPr="00D9107F">
        <w:rPr>
          <w:rStyle w:val="Fotnotereferanse"/>
        </w:rPr>
        <w:footnoteReference w:id="34"/>
      </w:r>
    </w:p>
    <w:p w14:paraId="56A77DEA" w14:textId="77777777" w:rsidR="00D9107F" w:rsidRDefault="6B131262" w:rsidP="00D42F81">
      <w:pPr>
        <w:jc w:val="both"/>
      </w:pPr>
      <w:r>
        <w:t xml:space="preserve">Praktiserende lægers </w:t>
      </w:r>
      <w:r w:rsidR="00C15701">
        <w:t>organisasjon</w:t>
      </w:r>
      <w:r>
        <w:t xml:space="preserve"> (PLO) peker på at det i flere år har vært en målsetting fra PLO, Danske Regioner og flere regjeringer, at allmennlegetjenesten kan utvide omfanget av annet personell. </w:t>
      </w:r>
      <w:r w:rsidR="15D24924">
        <w:t>Dette gjelder</w:t>
      </w:r>
      <w:r>
        <w:t xml:space="preserve"> også </w:t>
      </w:r>
      <w:r w:rsidR="0DA9DD73">
        <w:t xml:space="preserve">personellets </w:t>
      </w:r>
      <w:r>
        <w:t>videreutdanning, slik at</w:t>
      </w:r>
      <w:r w:rsidR="78E457E2">
        <w:t xml:space="preserve"> </w:t>
      </w:r>
      <w:r w:rsidR="60DB0F98">
        <w:t>de</w:t>
      </w:r>
      <w:r w:rsidR="009A148B">
        <w:t xml:space="preserve"> </w:t>
      </w:r>
      <w:r>
        <w:t>kan medvirke til blant annet en styrket innsats for pasienter med kroniske sykdommer og mer komplekse forløp</w:t>
      </w:r>
      <w:r w:rsidR="00BE6821">
        <w:t xml:space="preserve"> </w:t>
      </w:r>
      <w:r w:rsidR="00BE43A2">
        <w:fldChar w:fldCharType="begin"/>
      </w:r>
      <w:r w:rsidR="00BE43A2">
        <w:instrText xml:space="preserve"> ADDIN EN.CITE &lt;EndNote&gt;&lt;Cite&gt;&lt;Author&gt;Praktiserende lægers organisation&lt;/Author&gt;&lt;Year&gt;2022&lt;/Year&gt;&lt;RecNum&gt;874&lt;/RecNum&gt;&lt;DisplayText&gt;(Praktiserende lægers organisation, 2022)&lt;/DisplayText&gt;&lt;record&gt;&lt;rec-number&gt;874&lt;/rec-number&gt;&lt;foreign-keys&gt;&lt;key app="EN" db-id="95tpr2tp6r9xwoea9rb5wdsz5ds5xeddteew" timestamp="1680069511"&gt;874&lt;/key&gt;&lt;/foreign-keys&gt;&lt;ref-type name="Report"&gt;27&lt;/ref-type&gt;&lt;contributors&gt;&lt;authors&gt;&lt;author&gt;Praktiserende lægers organisation,&lt;/author&gt;&lt;/authors&gt;&lt;/contributors&gt;&lt;titles&gt;&lt;title&gt;Vokseværk i almen praksis – flere ansatte flugter med ambitionerne om et større nært sundhedsvæsen&lt;/title&gt;&lt;secondary-title&gt;PLO analyse&lt;/secondary-title&gt;&lt;/titles&gt;&lt;dates&gt;&lt;year&gt;2022&lt;/year&gt;&lt;/dates&gt;&lt;pub-location&gt;København&lt;/pub-location&gt;&lt;publisher&gt;Praktiserende lægers organisation&lt;/publisher&gt;&lt;urls&gt;&lt;related-urls&gt;&lt;url&gt;https://www.laeger.dk/media/rplizqb0/plo-analyse-personale-011222.pdf&lt;/url&gt;&lt;/related-urls&gt;&lt;/urls&gt;&lt;access-date&gt;7. februar 2023&lt;/access-date&gt;&lt;/record&gt;&lt;/Cite&gt;&lt;/EndNote&gt;</w:instrText>
      </w:r>
      <w:r w:rsidR="00BE43A2">
        <w:fldChar w:fldCharType="separate"/>
      </w:r>
      <w:r w:rsidR="00BE43A2">
        <w:rPr>
          <w:noProof/>
        </w:rPr>
        <w:t>(Praktiserende lægers organisation, 2022)</w:t>
      </w:r>
      <w:r w:rsidR="00BE43A2">
        <w:fldChar w:fldCharType="end"/>
      </w:r>
      <w:r>
        <w:t>.</w:t>
      </w:r>
    </w:p>
    <w:p w14:paraId="31E22EF3" w14:textId="5DA9D043" w:rsidR="001956FF" w:rsidRPr="0044365D" w:rsidRDefault="6B131262" w:rsidP="00D42F81">
      <w:pPr>
        <w:jc w:val="both"/>
      </w:pPr>
      <w:r>
        <w:t>PLO viser</w:t>
      </w:r>
      <w:r w:rsidR="78E457E2">
        <w:t xml:space="preserve"> </w:t>
      </w:r>
      <w:r w:rsidR="00CE5B53">
        <w:t>i en analyse</w:t>
      </w:r>
      <w:r>
        <w:t xml:space="preserve"> at det har skjedd en markant stigning i antall ansatte i allmennpraksis. I 2022 var det 19 prosent flere årsverk sammenliknet med fire år tidligere, og utviklingen har skutt fart de siste årene</w:t>
      </w:r>
      <w:r w:rsidR="001E1362">
        <w:t>,</w:t>
      </w:r>
      <w:r>
        <w:t xml:space="preserve"> med en økning på 358 ekstra årsverk fra 2021 til 2022. </w:t>
      </w:r>
      <w:r w:rsidR="008C4CCB">
        <w:t>A</w:t>
      </w:r>
      <w:r w:rsidR="001956FF">
        <w:t>ntall</w:t>
      </w:r>
      <w:r>
        <w:t xml:space="preserve"> årsverk for </w:t>
      </w:r>
      <w:r>
        <w:lastRenderedPageBreak/>
        <w:t>annet personell har økt mer enn antall leger de siste årene</w:t>
      </w:r>
      <w:r w:rsidR="4D9B27E1">
        <w:t xml:space="preserve"> </w:t>
      </w:r>
      <w:r w:rsidR="00BE43A2">
        <w:fldChar w:fldCharType="begin"/>
      </w:r>
      <w:r w:rsidR="00BE43A2">
        <w:instrText xml:space="preserve"> ADDIN EN.CITE &lt;EndNote&gt;&lt;Cite&gt;&lt;Author&gt;Praktiserende lægers organisation&lt;/Author&gt;&lt;Year&gt;2022&lt;/Year&gt;&lt;RecNum&gt;874&lt;/RecNum&gt;&lt;DisplayText&gt;(Praktiserende lægers organisation, 2022)&lt;/DisplayText&gt;&lt;record&gt;&lt;rec-number&gt;874&lt;/rec-number&gt;&lt;foreign-keys&gt;&lt;key app="EN" db-id="95tpr2tp6r9xwoea9rb5wdsz5ds5xeddteew" timestamp="1680069511"&gt;874&lt;/key&gt;&lt;/foreign-keys&gt;&lt;ref-type name="Report"&gt;27&lt;/ref-type&gt;&lt;contributors&gt;&lt;authors&gt;&lt;author&gt;Praktiserende lægers organisation,&lt;/author&gt;&lt;/authors&gt;&lt;/contributors&gt;&lt;titles&gt;&lt;title&gt;Vokseværk i almen praksis – flere ansatte flugter med ambitionerne om et større nært sundhedsvæsen&lt;/title&gt;&lt;secondary-title&gt;PLO analyse&lt;/secondary-title&gt;&lt;/titles&gt;&lt;dates&gt;&lt;year&gt;2022&lt;/year&gt;&lt;/dates&gt;&lt;pub-location&gt;København&lt;/pub-location&gt;&lt;publisher&gt;Praktiserende lægers organisation&lt;/publisher&gt;&lt;urls&gt;&lt;related-urls&gt;&lt;url&gt;https://www.laeger.dk/media/rplizqb0/plo-analyse-personale-011222.pdf&lt;/url&gt;&lt;/related-urls&gt;&lt;/urls&gt;&lt;access-date&gt;7. februar 2023&lt;/access-date&gt;&lt;/record&gt;&lt;/Cite&gt;&lt;/EndNote&gt;</w:instrText>
      </w:r>
      <w:r w:rsidR="00BE43A2">
        <w:fldChar w:fldCharType="separate"/>
      </w:r>
      <w:r w:rsidR="00BE43A2">
        <w:rPr>
          <w:noProof/>
        </w:rPr>
        <w:t>(Praktiserende lægers organisation, 2022)</w:t>
      </w:r>
      <w:r w:rsidR="00BE43A2">
        <w:fldChar w:fldCharType="end"/>
      </w:r>
      <w:r w:rsidR="000F774B">
        <w:t>.</w:t>
      </w:r>
    </w:p>
    <w:p w14:paraId="4D2FE4B0" w14:textId="000CEE68" w:rsidR="001956FF" w:rsidRDefault="6B131262" w:rsidP="001E7F1E">
      <w:pPr>
        <w:jc w:val="both"/>
      </w:pPr>
      <w:r>
        <w:t>Ut over legene, er sykepleiere den klart største personellgruppe ansatt i allmennpraksis, og det er mer enn tre ganger så mange sykepleierårsverk som legesekretærårsverk</w:t>
      </w:r>
      <w:r w:rsidR="29F4B1F0">
        <w:t xml:space="preserve"> </w:t>
      </w:r>
      <w:r w:rsidR="00BE43A2">
        <w:fldChar w:fldCharType="begin"/>
      </w:r>
      <w:r w:rsidR="00BE43A2">
        <w:instrText xml:space="preserve"> ADDIN EN.CITE &lt;EndNote&gt;&lt;Cite&gt;&lt;Author&gt;Praktiserende lægers organisation&lt;/Author&gt;&lt;Year&gt;2022&lt;/Year&gt;&lt;RecNum&gt;874&lt;/RecNum&gt;&lt;DisplayText&gt;(Praktiserende lægers organisation, 2022)&lt;/DisplayText&gt;&lt;record&gt;&lt;rec-number&gt;874&lt;/rec-number&gt;&lt;foreign-keys&gt;&lt;key app="EN" db-id="95tpr2tp6r9xwoea9rb5wdsz5ds5xeddteew" timestamp="1680069511"&gt;874&lt;/key&gt;&lt;/foreign-keys&gt;&lt;ref-type name="Report"&gt;27&lt;/ref-type&gt;&lt;contributors&gt;&lt;authors&gt;&lt;author&gt;Praktiserende lægers organisation,&lt;/author&gt;&lt;/authors&gt;&lt;/contributors&gt;&lt;titles&gt;&lt;title&gt;Vokseværk i almen praksis – flere ansatte flugter med ambitionerne om et større nært sundhedsvæsen&lt;/title&gt;&lt;secondary-title&gt;PLO analyse&lt;/secondary-title&gt;&lt;/titles&gt;&lt;dates&gt;&lt;year&gt;2022&lt;/year&gt;&lt;/dates&gt;&lt;pub-location&gt;København&lt;/pub-location&gt;&lt;publisher&gt;Praktiserende lægers organisation&lt;/publisher&gt;&lt;urls&gt;&lt;related-urls&gt;&lt;url&gt;https://www.laeger.dk/media/rplizqb0/plo-analyse-personale-011222.pdf&lt;/url&gt;&lt;/related-urls&gt;&lt;/urls&gt;&lt;access-date&gt;7. februar 2023&lt;/access-date&gt;&lt;/record&gt;&lt;/Cite&gt;&lt;/EndNote&gt;</w:instrText>
      </w:r>
      <w:r w:rsidR="00BE43A2">
        <w:fldChar w:fldCharType="separate"/>
      </w:r>
      <w:r w:rsidR="00BE43A2">
        <w:rPr>
          <w:noProof/>
        </w:rPr>
        <w:t>(Praktiserende lægers organisation, 2022)</w:t>
      </w:r>
      <w:r w:rsidR="00BE43A2">
        <w:fldChar w:fldCharType="end"/>
      </w:r>
      <w:r w:rsidR="00B0620F">
        <w:t>.</w:t>
      </w:r>
      <w:r>
        <w:t xml:space="preserve"> Det er langt flere sykepleiere i fastlegekontor i Danmark enn i Norge. Dette gjenspeiler trolig at finansieringen legger til rette for at sykepleier kan utføre flere oppgaver innenfor allmennpraksis i Danmark enn i Norge. </w:t>
      </w:r>
      <w:r w:rsidR="003839DD">
        <w:t>Det er nærliggende å tro at grad av tverrfaglighet</w:t>
      </w:r>
      <w:r w:rsidR="003D2418">
        <w:t xml:space="preserve"> er noe av årsaken til at danske leger kan </w:t>
      </w:r>
      <w:r w:rsidR="00CA640E">
        <w:t xml:space="preserve">håndtere flere listeinnbyggere på sine lister </w:t>
      </w:r>
      <w:r w:rsidR="0029696B">
        <w:t xml:space="preserve">enn </w:t>
      </w:r>
      <w:r w:rsidR="008B62C3">
        <w:t>leger i Norge.</w:t>
      </w:r>
      <w:r w:rsidR="001956FF">
        <w:t xml:space="preserve"> </w:t>
      </w:r>
      <w:r w:rsidR="00A14737">
        <w:t xml:space="preserve">I Norge er gjennomsnittlig listelengde i overkant av 1000 innbyggere, i Danmark </w:t>
      </w:r>
      <w:r w:rsidR="006477B8">
        <w:t xml:space="preserve">har </w:t>
      </w:r>
      <w:r w:rsidR="001672F4">
        <w:t>fastlegene i gjennomsnitt 1600-1700 innbyggere på sin liste.</w:t>
      </w:r>
    </w:p>
    <w:p w14:paraId="0D439030" w14:textId="77777777" w:rsidR="00D9107F" w:rsidRDefault="6B131262" w:rsidP="001E7F1E">
      <w:pPr>
        <w:jc w:val="both"/>
      </w:pPr>
      <w:r>
        <w:t>En annen faktor bak økningen i annet personell kan være at det er gitt ekstraordinære midler til oppbygging av ekstra kapasitet, særlig ekstra person</w:t>
      </w:r>
      <w:r w:rsidR="4747C1F8">
        <w:t>ell</w:t>
      </w:r>
      <w:r>
        <w:t>, til en styrket innsats for pasienter med kroniske sykdommer. Midlene ble utbetalt over basistilskuddet. PLO skriver i en analyse fra 2020 at veksten i annet personell var vesentlig høyere enn de midlene som er tilført</w:t>
      </w:r>
      <w:r w:rsidR="00EC5FC0">
        <w:t xml:space="preserve"> </w:t>
      </w:r>
      <w:r w:rsidR="00BE43A2">
        <w:fldChar w:fldCharType="begin"/>
      </w:r>
      <w:r w:rsidR="00BE43A2">
        <w:instrText xml:space="preserve"> ADDIN EN.CITE &lt;EndNote&gt;&lt;Cite&gt;&lt;Author&gt;Praktiserende lægers organisation&lt;/Author&gt;&lt;Year&gt;2020&lt;/Year&gt;&lt;RecNum&gt;493&lt;/RecNum&gt;&lt;DisplayText&gt;(Praktiserende lægers organisation, 2020)&lt;/DisplayText&gt;&lt;record&gt;&lt;rec-number&gt;493&lt;/rec-number&gt;&lt;foreign-keys&gt;&lt;key app="EN" db-id="95tpr2tp6r9xwoea9rb5wdsz5ds5xeddteew" timestamp="1680069511"&gt;493&lt;/key&gt;&lt;/foreign-keys&gt;&lt;ref-type name="Report"&gt;27&lt;/ref-type&gt;&lt;contributors&gt;&lt;authors&gt;&lt;author&gt;Praktiserende lægers organisation,&lt;/author&gt;&lt;/authors&gt;&lt;/contributors&gt;&lt;titles&gt;&lt;title&gt;Mere personale hos de praktiserende læger &lt;/title&gt;&lt;secondary-title&gt;PLO analyse&lt;/secondary-title&gt;&lt;/titles&gt;&lt;dates&gt;&lt;year&gt;2020&lt;/year&gt;&lt;/dates&gt;&lt;pub-location&gt;København&lt;/pub-location&gt;&lt;publisher&gt;Praktiserende lægers organisation,&lt;/publisher&gt;&lt;urls&gt;&lt;related-urls&gt;&lt;url&gt;https://www.laeger.dk/media/ybeopar2/plo_analyse_-_mere_personale_hos_de_praktiserende_laeger.pdf&lt;/url&gt;&lt;/related-urls&gt;&lt;/urls&gt;&lt;/record&gt;&lt;/Cite&gt;&lt;/EndNote&gt;</w:instrText>
      </w:r>
      <w:r w:rsidR="00BE43A2">
        <w:fldChar w:fldCharType="separate"/>
      </w:r>
      <w:r w:rsidR="00BE43A2">
        <w:rPr>
          <w:noProof/>
        </w:rPr>
        <w:t>(Praktiserende lægers organisation, 2020)</w:t>
      </w:r>
      <w:r w:rsidR="00BE43A2">
        <w:fldChar w:fldCharType="end"/>
      </w:r>
      <w:r>
        <w:t>.</w:t>
      </w:r>
    </w:p>
    <w:p w14:paraId="20308B99" w14:textId="77777777" w:rsidR="00D9107F" w:rsidRDefault="001956FF" w:rsidP="001E7F1E">
      <w:pPr>
        <w:tabs>
          <w:tab w:val="center" w:pos="3043"/>
        </w:tabs>
        <w:jc w:val="both"/>
        <w:rPr>
          <w:rFonts w:cstheme="minorHAnsi"/>
        </w:rPr>
      </w:pPr>
      <w:r>
        <w:rPr>
          <w:rFonts w:cstheme="minorHAnsi"/>
        </w:rPr>
        <w:t xml:space="preserve">Det er </w:t>
      </w:r>
      <w:r w:rsidR="003E6E39">
        <w:rPr>
          <w:rFonts w:cstheme="minorHAnsi"/>
        </w:rPr>
        <w:t xml:space="preserve">i Danmark </w:t>
      </w:r>
      <w:r>
        <w:rPr>
          <w:rFonts w:cstheme="minorHAnsi"/>
        </w:rPr>
        <w:t>lagt inn enkelte ordninger som begrenser delegering og kostnader. Ut over krav til forsvarlighet i helselovgivningen, er det lagt inn begrensninger i overenskomsten mellom Danske Regioner og PLO.</w:t>
      </w:r>
    </w:p>
    <w:p w14:paraId="09222901" w14:textId="73FF3210" w:rsidR="001956FF" w:rsidRDefault="001956FF" w:rsidP="001E7F1E">
      <w:pPr>
        <w:tabs>
          <w:tab w:val="center" w:pos="3043"/>
        </w:tabs>
        <w:jc w:val="both"/>
      </w:pPr>
      <w:r w:rsidRPr="1841BB2D">
        <w:t>Honorar for konsultasjon avkortes ikke</w:t>
      </w:r>
      <w:r w:rsidR="001E1362">
        <w:t>,</w:t>
      </w:r>
      <w:r w:rsidRPr="1841BB2D">
        <w:t xml:space="preserve"> selv om den er utført av annet helsepersonell. Det gis imidlertid kun honorar for én konsultasjon samme dag, selv om pasienten har vært hos flere typer helsepersonell. En ulempe med en slik bestemmelse er at det kan gi praksisen insentiv til å be pasienten komme tilbake neste dag, eller senere.</w:t>
      </w:r>
      <w:r w:rsidR="00D418D9" w:rsidRPr="1841BB2D">
        <w:t xml:space="preserve"> </w:t>
      </w:r>
      <w:r w:rsidR="6B131262">
        <w:t>Opprinnelig ble begrensninger lagt inn for å motvirke for mye delegering, og bidra til kostnadskontroll. Dagens situasjon er at det er mangel på leger, og myndighetene ønsker at det ansettes mer av annet personell.</w:t>
      </w:r>
      <w:r w:rsidRPr="00D9107F">
        <w:rPr>
          <w:rStyle w:val="Fotnotereferanse"/>
        </w:rPr>
        <w:footnoteReference w:id="35"/>
      </w:r>
    </w:p>
    <w:p w14:paraId="25F72DBD" w14:textId="14AC1054" w:rsidR="00150D87" w:rsidRPr="00D32406" w:rsidRDefault="001956FF" w:rsidP="001E7F1E">
      <w:pPr>
        <w:jc w:val="both"/>
      </w:pPr>
      <w:r>
        <w:t xml:space="preserve">Danmark har en ordning med </w:t>
      </w:r>
      <w:r w:rsidR="00D9107F">
        <w:t>«</w:t>
      </w:r>
      <w:r>
        <w:t>høyestegrænse</w:t>
      </w:r>
      <w:r w:rsidR="00D9107F">
        <w:t>»</w:t>
      </w:r>
      <w:r>
        <w:t xml:space="preserve">, som setter et tak for hvor mye refusjoner en lege kan motta i løpet av en tidsperiode. Dette begrenser også bruk av annet personell. </w:t>
      </w:r>
      <w:r w:rsidR="00BF192D">
        <w:t>I tillegg</w:t>
      </w:r>
      <w:r>
        <w:t xml:space="preserve"> er det begrensning på omfang av telefonkonsultasjoner. </w:t>
      </w:r>
      <w:r w:rsidR="6E67259A" w:rsidRPr="00B251E9">
        <w:t xml:space="preserve">Videre </w:t>
      </w:r>
      <w:r w:rsidR="7EB4758F" w:rsidRPr="00B251E9">
        <w:t xml:space="preserve">er det i </w:t>
      </w:r>
      <w:r w:rsidR="6E67259A" w:rsidRPr="00B251E9">
        <w:t xml:space="preserve">Danmark </w:t>
      </w:r>
      <w:r w:rsidR="7EB4758F" w:rsidRPr="00B251E9">
        <w:t xml:space="preserve">avtalt </w:t>
      </w:r>
      <w:r w:rsidR="6E67259A" w:rsidRPr="00B251E9">
        <w:t xml:space="preserve">et årlig </w:t>
      </w:r>
      <w:r w:rsidR="00D9107F">
        <w:t>«</w:t>
      </w:r>
      <w:r w:rsidR="6E67259A" w:rsidRPr="00B251E9">
        <w:t>økonomiloft</w:t>
      </w:r>
      <w:r w:rsidR="00D9107F">
        <w:t>»</w:t>
      </w:r>
      <w:r w:rsidR="6E67259A" w:rsidRPr="00B251E9">
        <w:t>.</w:t>
      </w:r>
      <w:r w:rsidR="7EB4758F" w:rsidRPr="00B251E9">
        <w:t xml:space="preserve"> </w:t>
      </w:r>
      <w:r w:rsidR="6E67259A" w:rsidRPr="00DD032B">
        <w:t xml:space="preserve">Hvis </w:t>
      </w:r>
      <w:r w:rsidR="050329A6" w:rsidRPr="00DD032B">
        <w:t xml:space="preserve">fastlegene </w:t>
      </w:r>
      <w:r w:rsidR="6E67259A" w:rsidRPr="00DD032B">
        <w:t xml:space="preserve">kollektivt overskrider </w:t>
      </w:r>
      <w:r w:rsidR="1AD29345">
        <w:t xml:space="preserve">det avtalte </w:t>
      </w:r>
      <w:r w:rsidR="6E67259A" w:rsidRPr="00DD032B">
        <w:t xml:space="preserve">økonomiloftet i </w:t>
      </w:r>
      <w:r w:rsidR="0A6DE23F" w:rsidRPr="00DD032B">
        <w:t xml:space="preserve">løpet av </w:t>
      </w:r>
      <w:r w:rsidR="6E67259A" w:rsidRPr="00DD032B">
        <w:t>et år, blir l</w:t>
      </w:r>
      <w:r w:rsidR="65B6B454" w:rsidRPr="00DD032B">
        <w:t>e</w:t>
      </w:r>
      <w:r w:rsidR="6E67259A" w:rsidRPr="00DD032B">
        <w:t xml:space="preserve">genes honorarer kollektivt </w:t>
      </w:r>
      <w:r w:rsidR="65B6B454" w:rsidRPr="00DD032B">
        <w:t>redus</w:t>
      </w:r>
      <w:r w:rsidR="65B6B454">
        <w:t>ert</w:t>
      </w:r>
      <w:r w:rsidR="6E67259A" w:rsidRPr="00DD032B">
        <w:t xml:space="preserve"> det </w:t>
      </w:r>
      <w:r w:rsidR="34CADD9E">
        <w:t>på</w:t>
      </w:r>
      <w:r w:rsidR="6E67259A" w:rsidRPr="00DD032B">
        <w:t xml:space="preserve">følgende år. </w:t>
      </w:r>
      <w:r w:rsidR="6E67259A" w:rsidRPr="002F5622">
        <w:t>Det rammer alle l</w:t>
      </w:r>
      <w:r w:rsidR="55D16D43" w:rsidRPr="002F5622">
        <w:t>e</w:t>
      </w:r>
      <w:r w:rsidR="6E67259A" w:rsidRPr="002F5622">
        <w:t>ger, ua</w:t>
      </w:r>
      <w:r w:rsidR="1BBAF1BC" w:rsidRPr="002F5622">
        <w:t xml:space="preserve">vhengig </w:t>
      </w:r>
      <w:r w:rsidR="1BBAF1BC">
        <w:lastRenderedPageBreak/>
        <w:t xml:space="preserve">av </w:t>
      </w:r>
      <w:r w:rsidR="6E67259A" w:rsidRPr="002F5622">
        <w:t>hvordan den enkelte l</w:t>
      </w:r>
      <w:r w:rsidR="603E1581">
        <w:t>e</w:t>
      </w:r>
      <w:r w:rsidR="6E67259A" w:rsidRPr="002F5622">
        <w:t>ge har</w:t>
      </w:r>
      <w:r w:rsidR="0845DF8C">
        <w:t xml:space="preserve"> </w:t>
      </w:r>
      <w:r w:rsidR="6F56BB71">
        <w:t>handlet</w:t>
      </w:r>
      <w:r w:rsidR="6E67259A" w:rsidRPr="002F5622">
        <w:t>.</w:t>
      </w:r>
      <w:r w:rsidR="66471C80">
        <w:t xml:space="preserve"> </w:t>
      </w:r>
      <w:r w:rsidR="05BF5FFC">
        <w:t xml:space="preserve">Fastlegene </w:t>
      </w:r>
      <w:r w:rsidR="6E67259A" w:rsidRPr="00D32406">
        <w:t>har ikke overskredet økonomiloftet siden 2013</w:t>
      </w:r>
      <w:r w:rsidR="67E2F401" w:rsidRPr="00D32406">
        <w:t>.</w:t>
      </w:r>
      <w:r w:rsidR="00D32406" w:rsidRPr="00D9107F">
        <w:rPr>
          <w:rStyle w:val="Fotnotereferanse"/>
        </w:rPr>
        <w:footnoteReference w:id="36"/>
      </w:r>
    </w:p>
    <w:p w14:paraId="4F48D56E" w14:textId="683064C6" w:rsidR="001956FF" w:rsidRDefault="001956FF" w:rsidP="001E7F1E">
      <w:pPr>
        <w:jc w:val="both"/>
      </w:pPr>
      <w:r>
        <w:t>Det gjennomføres ikke systematiske kontroller av bruk av annet personell, men enkelte leger kontrolleres ut fra risikovurdering.</w:t>
      </w:r>
    </w:p>
    <w:p w14:paraId="3830CB42" w14:textId="15C01799" w:rsidR="001956FF" w:rsidRDefault="6B131262" w:rsidP="00775632">
      <w:pPr>
        <w:pStyle w:val="Overskrift4"/>
      </w:pPr>
      <w:bookmarkStart w:id="3298" w:name="_Toc130983552"/>
      <w:bookmarkStart w:id="3299" w:name="_Toc130983901"/>
      <w:bookmarkStart w:id="3300" w:name="_Toc131238483"/>
      <w:bookmarkStart w:id="3301" w:name="_Toc131279514"/>
      <w:bookmarkStart w:id="3302" w:name="_Toc131286926"/>
      <w:bookmarkStart w:id="3303" w:name="_Toc131281336"/>
      <w:bookmarkStart w:id="3304" w:name="_Toc131317876"/>
      <w:r>
        <w:t>Muligheter for økt bruk av delegering i fastlegeordningen i Norge</w:t>
      </w:r>
      <w:bookmarkEnd w:id="3298"/>
      <w:bookmarkEnd w:id="3299"/>
      <w:bookmarkEnd w:id="3300"/>
      <w:bookmarkEnd w:id="3301"/>
      <w:bookmarkEnd w:id="3302"/>
      <w:bookmarkEnd w:id="3303"/>
      <w:bookmarkEnd w:id="3304"/>
    </w:p>
    <w:p w14:paraId="130A2C78" w14:textId="77777777" w:rsidR="00D9107F" w:rsidRDefault="001956FF" w:rsidP="007951B2">
      <w:pPr>
        <w:jc w:val="both"/>
      </w:pPr>
      <w:r>
        <w:t>I dag kan fastlege</w:t>
      </w:r>
      <w:r w:rsidR="00F35F34">
        <w:t>r</w:t>
      </w:r>
      <w:r>
        <w:t xml:space="preserve"> </w:t>
      </w:r>
      <w:r w:rsidR="00BA2997">
        <w:t xml:space="preserve">i Norge </w:t>
      </w:r>
      <w:r>
        <w:t xml:space="preserve">delegere enkle pasientkontakter til hjelpepersonell, og dette skjer i betydelig omfang. </w:t>
      </w:r>
      <w:r w:rsidR="005D5C25">
        <w:t>Betalingen</w:t>
      </w:r>
      <w:r>
        <w:t xml:space="preserve"> for enkle pasientkontakter er imidlertid relativt lav, noe som gjør at det er begrenset økonomisk grunnlag i takstene til å ansette mer hjelpepersonell.</w:t>
      </w:r>
    </w:p>
    <w:p w14:paraId="4D59E6B2" w14:textId="77777777" w:rsidR="00D9107F" w:rsidRDefault="005D5C25" w:rsidP="00EA4A3C">
      <w:pPr>
        <w:jc w:val="both"/>
      </w:pPr>
      <w:r>
        <w:t>Betalingen</w:t>
      </w:r>
      <w:r w:rsidR="001956FF">
        <w:t xml:space="preserve"> for konsultasjoner er betydelig høyere enn for enkle pasientkontakter. En åpning for at hjelpepersonell kan utføre konsultasjoner og utløse takster for legekonsultasjoner, ville derfor øke inntjeningen fra hjelpepersonell. </w:t>
      </w:r>
      <w:r w:rsidR="007450F1">
        <w:t xml:space="preserve">Hjelpepersonell – for eksempel sykepleier </w:t>
      </w:r>
      <w:r w:rsidR="00C86BA4">
        <w:t xml:space="preserve">– </w:t>
      </w:r>
      <w:r w:rsidR="007450F1">
        <w:t>vil</w:t>
      </w:r>
      <w:r w:rsidR="00C86BA4">
        <w:t xml:space="preserve"> da</w:t>
      </w:r>
      <w:r w:rsidR="007450F1">
        <w:t xml:space="preserve"> utføre oppgave</w:t>
      </w:r>
      <w:r w:rsidR="00B44769">
        <w:t>ne på delegasjon fra legen, og legen sender inn oppgjørskrav for arbeidet.</w:t>
      </w:r>
      <w:r w:rsidR="001956FF">
        <w:t xml:space="preserve"> Det økonomiske grunnlaget for å ansette hjelpepersonell i fastlegekontor vil øke, noe som vil kunne avlaste fastlegene.</w:t>
      </w:r>
    </w:p>
    <w:p w14:paraId="49497CF6" w14:textId="0858AFB8" w:rsidR="001956FF" w:rsidRPr="007C4355" w:rsidRDefault="001956FF" w:rsidP="007951B2">
      <w:pPr>
        <w:jc w:val="both"/>
        <w:rPr>
          <w:rFonts w:cstheme="minorHAnsi"/>
        </w:rPr>
      </w:pPr>
      <w:r>
        <w:t>D</w:t>
      </w:r>
      <w:r w:rsidRPr="00A96D39">
        <w:t>et kan åpne</w:t>
      </w:r>
      <w:r>
        <w:t>s opp</w:t>
      </w:r>
      <w:r w:rsidRPr="00A96D39">
        <w:t xml:space="preserve"> for at andre personellgrupper i større grad kan utløse takster for fastlegen når personellet utfører likeverdige tjenester</w:t>
      </w:r>
      <w:r>
        <w:t xml:space="preserve">. </w:t>
      </w:r>
      <w:r w:rsidRPr="00A96D39">
        <w:t xml:space="preserve">Eksempler på </w:t>
      </w:r>
      <w:r>
        <w:t xml:space="preserve">mulige </w:t>
      </w:r>
      <w:r w:rsidRPr="00A96D39">
        <w:t>oppgaver der annet personell</w:t>
      </w:r>
      <w:r>
        <w:t xml:space="preserve"> vil kunne</w:t>
      </w:r>
      <w:r w:rsidRPr="00A96D39">
        <w:t xml:space="preserve"> bistå og avlaste fastlegen</w:t>
      </w:r>
      <w:r w:rsidR="009F1FC5">
        <w:t>,</w:t>
      </w:r>
      <w:r>
        <w:t xml:space="preserve"> kan være å</w:t>
      </w:r>
      <w:r w:rsidRPr="43B6006F">
        <w:t xml:space="preserve">rlige kontroller av enkelte pasientgrupper, </w:t>
      </w:r>
      <w:r>
        <w:t>s</w:t>
      </w:r>
      <w:r w:rsidRPr="00975320">
        <w:rPr>
          <w:rFonts w:cstheme="minorHAnsi"/>
        </w:rPr>
        <w:t xml:space="preserve">trukturert oppfølging for å endre levevaner, </w:t>
      </w:r>
      <w:r>
        <w:rPr>
          <w:rFonts w:cstheme="minorHAnsi"/>
        </w:rPr>
        <w:t>eller s</w:t>
      </w:r>
      <w:r w:rsidRPr="00975320">
        <w:rPr>
          <w:rFonts w:cstheme="minorHAnsi"/>
        </w:rPr>
        <w:t>trukturert oppfølging for læring og mestring for pasienter som har alvorlig sykdom eller funksjonssvikt</w:t>
      </w:r>
      <w:r w:rsidR="00D959FB">
        <w:rPr>
          <w:rFonts w:cstheme="minorHAnsi"/>
        </w:rPr>
        <w:t xml:space="preserve"> (</w:t>
      </w:r>
      <w:r w:rsidR="0046644C">
        <w:rPr>
          <w:rFonts w:cstheme="minorHAnsi"/>
        </w:rPr>
        <w:t>i</w:t>
      </w:r>
      <w:r w:rsidRPr="00975320">
        <w:rPr>
          <w:rFonts w:cstheme="minorHAnsi"/>
        </w:rPr>
        <w:t>ndividuelt eller i gruppe</w:t>
      </w:r>
      <w:r w:rsidR="0046644C">
        <w:rPr>
          <w:rFonts w:cstheme="minorHAnsi"/>
        </w:rPr>
        <w:t>)</w:t>
      </w:r>
      <w:r w:rsidRPr="00975320">
        <w:rPr>
          <w:rFonts w:cstheme="minorHAnsi"/>
        </w:rPr>
        <w:t xml:space="preserve">. </w:t>
      </w:r>
      <w:r>
        <w:rPr>
          <w:rFonts w:cstheme="minorHAnsi"/>
        </w:rPr>
        <w:t xml:space="preserve">Dersom man åpner for at slike tjenester kan utløse konsultasjonstakst, vil potensialet for å avlaste fastlegene eller utvide det samlede omfanget av tjenester øke. Dette vil være å gå i retning av de danske løsningene. </w:t>
      </w:r>
      <w:r w:rsidR="00960D50">
        <w:rPr>
          <w:rFonts w:cstheme="minorHAnsi"/>
        </w:rPr>
        <w:t>I Danmark</w:t>
      </w:r>
      <w:r>
        <w:rPr>
          <w:rFonts w:cstheme="minorHAnsi"/>
        </w:rPr>
        <w:t xml:space="preserve"> er det i mindre grad </w:t>
      </w:r>
      <w:r w:rsidRPr="00D9107F">
        <w:rPr>
          <w:rStyle w:val="kursiv"/>
        </w:rPr>
        <w:t>finansieringsregelverket</w:t>
      </w:r>
      <w:r>
        <w:rPr>
          <w:rFonts w:cstheme="minorHAnsi"/>
        </w:rPr>
        <w:t xml:space="preserve"> som setter begrensninger.</w:t>
      </w:r>
      <w:r w:rsidR="00960D50">
        <w:rPr>
          <w:rFonts w:cstheme="minorHAnsi"/>
        </w:rPr>
        <w:t xml:space="preserve"> </w:t>
      </w:r>
      <w:r w:rsidR="00C06109" w:rsidRPr="00C06109">
        <w:rPr>
          <w:rFonts w:cstheme="minorHAnsi"/>
        </w:rPr>
        <w:t xml:space="preserve">Mer </w:t>
      </w:r>
      <w:r w:rsidR="00C06109">
        <w:rPr>
          <w:rFonts w:cstheme="minorHAnsi"/>
        </w:rPr>
        <w:t>o</w:t>
      </w:r>
      <w:r w:rsidR="00C06109" w:rsidRPr="00C06109">
        <w:rPr>
          <w:rFonts w:cstheme="minorHAnsi"/>
        </w:rPr>
        <w:t>mfattende delegering</w:t>
      </w:r>
      <w:r w:rsidR="00C06109">
        <w:rPr>
          <w:rFonts w:cstheme="minorHAnsi"/>
        </w:rPr>
        <w:t xml:space="preserve"> kan være aktuelt også i Norge.</w:t>
      </w:r>
    </w:p>
    <w:p w14:paraId="234BB2CD" w14:textId="73E4C926" w:rsidR="001956FF" w:rsidRDefault="00C06109" w:rsidP="003D3CC5">
      <w:pPr>
        <w:jc w:val="both"/>
        <w:rPr>
          <w:rFonts w:cstheme="minorHAnsi"/>
        </w:rPr>
      </w:pPr>
      <w:r w:rsidRPr="00C06109">
        <w:rPr>
          <w:rFonts w:cstheme="minorHAnsi"/>
        </w:rPr>
        <w:t xml:space="preserve">Det bør også vurderes om flere oppgaver kan delegeres til helsesekretær. Dette er en personellgruppe som allerede finnes i de aller fleste legekontor. Økt grad av delegering vil dermed kunne ha rask effekt. </w:t>
      </w:r>
      <w:r w:rsidR="0098456F" w:rsidRPr="00774F13">
        <w:rPr>
          <w:rFonts w:cstheme="minorHAnsi"/>
        </w:rPr>
        <w:t xml:space="preserve">Samtidig vil utdanningen av helsesekretærer kunne utvikles og tilpasses, i tråd med definerte behov. </w:t>
      </w:r>
      <w:r w:rsidR="00416048">
        <w:rPr>
          <w:rFonts w:cstheme="minorHAnsi"/>
        </w:rPr>
        <w:t xml:space="preserve">Faglige </w:t>
      </w:r>
      <w:r w:rsidR="00BC51C3">
        <w:rPr>
          <w:rFonts w:cstheme="minorHAnsi"/>
        </w:rPr>
        <w:t xml:space="preserve">vurderinger </w:t>
      </w:r>
      <w:r w:rsidR="008779CE">
        <w:rPr>
          <w:rFonts w:cstheme="minorHAnsi"/>
        </w:rPr>
        <w:t xml:space="preserve">må ligge til grunn </w:t>
      </w:r>
      <w:r w:rsidR="00BC51C3">
        <w:rPr>
          <w:rFonts w:cstheme="minorHAnsi"/>
        </w:rPr>
        <w:t>for delegering</w:t>
      </w:r>
      <w:r w:rsidR="00824551">
        <w:rPr>
          <w:rFonts w:cstheme="minorHAnsi"/>
        </w:rPr>
        <w:t xml:space="preserve"> av oppgaver. </w:t>
      </w:r>
      <w:r w:rsidR="00693356">
        <w:rPr>
          <w:rFonts w:cstheme="minorHAnsi"/>
        </w:rPr>
        <w:t>H</w:t>
      </w:r>
      <w:r w:rsidR="005241EB">
        <w:rPr>
          <w:rFonts w:cstheme="minorHAnsi"/>
        </w:rPr>
        <w:t xml:space="preserve">elsesekretærer </w:t>
      </w:r>
      <w:r w:rsidR="00693356">
        <w:rPr>
          <w:rFonts w:cstheme="minorHAnsi"/>
        </w:rPr>
        <w:t>utfører</w:t>
      </w:r>
      <w:r w:rsidR="005241EB">
        <w:rPr>
          <w:rFonts w:cstheme="minorHAnsi"/>
        </w:rPr>
        <w:t xml:space="preserve"> allerede i dag oppgaver på et fastlegekontor som de</w:t>
      </w:r>
      <w:r w:rsidR="002D3F93">
        <w:rPr>
          <w:rFonts w:cstheme="minorHAnsi"/>
        </w:rPr>
        <w:t xml:space="preserve"> ut fra sin kompetanse kan gjøre</w:t>
      </w:r>
      <w:r w:rsidR="0041491C">
        <w:rPr>
          <w:rFonts w:cstheme="minorHAnsi"/>
        </w:rPr>
        <w:t xml:space="preserve"> innenfor rammen av forsva</w:t>
      </w:r>
      <w:r w:rsidR="00604FA9">
        <w:rPr>
          <w:rFonts w:cstheme="minorHAnsi"/>
        </w:rPr>
        <w:t>r</w:t>
      </w:r>
      <w:r w:rsidR="0041491C">
        <w:rPr>
          <w:rFonts w:cstheme="minorHAnsi"/>
        </w:rPr>
        <w:t>lighetskravet</w:t>
      </w:r>
      <w:r w:rsidR="002D3F93">
        <w:rPr>
          <w:rFonts w:cstheme="minorHAnsi"/>
        </w:rPr>
        <w:t xml:space="preserve">. </w:t>
      </w:r>
      <w:r w:rsidR="003F5C7E">
        <w:rPr>
          <w:rFonts w:cstheme="minorHAnsi"/>
        </w:rPr>
        <w:t xml:space="preserve">Videre vil </w:t>
      </w:r>
      <w:r w:rsidR="00866F15">
        <w:rPr>
          <w:rFonts w:cstheme="minorHAnsi"/>
        </w:rPr>
        <w:t xml:space="preserve">en gevinst </w:t>
      </w:r>
      <w:r w:rsidRPr="00C06109">
        <w:rPr>
          <w:rFonts w:cstheme="minorHAnsi"/>
        </w:rPr>
        <w:t xml:space="preserve">med finansiering </w:t>
      </w:r>
      <w:r w:rsidR="00AF5319">
        <w:rPr>
          <w:rFonts w:cstheme="minorHAnsi"/>
        </w:rPr>
        <w:t>av tverrfaglighet</w:t>
      </w:r>
      <w:r w:rsidRPr="00C06109">
        <w:rPr>
          <w:rFonts w:cstheme="minorHAnsi"/>
        </w:rPr>
        <w:t xml:space="preserve"> være å stimulere til ansettelse av personell som ikke er på legekontorene per i dag.</w:t>
      </w:r>
    </w:p>
    <w:p w14:paraId="09188DC8" w14:textId="77777777" w:rsidR="00D9107F" w:rsidRDefault="6B131262" w:rsidP="00775632">
      <w:pPr>
        <w:pStyle w:val="Overskrift3"/>
      </w:pPr>
      <w:bookmarkStart w:id="3305" w:name="_Toc132537015"/>
      <w:bookmarkStart w:id="3306" w:name="_Toc125440523"/>
      <w:bookmarkStart w:id="3307" w:name="_Toc126305346"/>
      <w:bookmarkStart w:id="3308" w:name="_Toc126817073"/>
      <w:bookmarkStart w:id="3309" w:name="_Toc127633254"/>
      <w:bookmarkStart w:id="3310" w:name="_Toc127864540"/>
      <w:bookmarkStart w:id="3311" w:name="_Toc128238548"/>
      <w:bookmarkStart w:id="3312" w:name="_Toc128742030"/>
      <w:bookmarkStart w:id="3313" w:name="_Toc128744625"/>
      <w:bookmarkStart w:id="3314" w:name="_Toc128744844"/>
      <w:bookmarkStart w:id="3315" w:name="_Toc129630348"/>
      <w:bookmarkStart w:id="3316" w:name="_Toc130763849"/>
      <w:bookmarkStart w:id="3317" w:name="_Toc130766744"/>
      <w:bookmarkStart w:id="3318" w:name="_Toc130932145"/>
      <w:bookmarkStart w:id="3319" w:name="_Toc130934436"/>
      <w:bookmarkStart w:id="3320" w:name="_Toc130983553"/>
      <w:bookmarkStart w:id="3321" w:name="_Toc130983902"/>
      <w:bookmarkStart w:id="3322" w:name="_Toc131062190"/>
      <w:bookmarkStart w:id="3323" w:name="_Toc131062444"/>
      <w:bookmarkStart w:id="3324" w:name="_Toc131062705"/>
      <w:bookmarkStart w:id="3325" w:name="_Toc131062958"/>
      <w:bookmarkStart w:id="3326" w:name="_Toc131063741"/>
      <w:bookmarkStart w:id="3327" w:name="_Toc131064151"/>
      <w:bookmarkStart w:id="3328" w:name="_Toc131238484"/>
      <w:bookmarkStart w:id="3329" w:name="_Toc131279515"/>
      <w:bookmarkStart w:id="3330" w:name="_Toc131286927"/>
      <w:bookmarkStart w:id="3331" w:name="_Toc131281337"/>
      <w:bookmarkStart w:id="3332" w:name="_Toc131317877"/>
      <w:r>
        <w:lastRenderedPageBreak/>
        <w:t>Egne takster for annet personell</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52BD5C6E" w14:textId="0CF40961" w:rsidR="001956FF" w:rsidRDefault="001956FF" w:rsidP="003B5616">
      <w:pPr>
        <w:jc w:val="both"/>
        <w:rPr>
          <w:rFonts w:cstheme="minorHAnsi"/>
        </w:rPr>
      </w:pPr>
      <w:r>
        <w:rPr>
          <w:rFonts w:cstheme="minorHAnsi"/>
        </w:rPr>
        <w:t xml:space="preserve">Et alternativ til at legen delegerer oppgaver til hjelpepersonell, er at andre profesjoner arbeider selvstendig i fastlegepraksis under fastlegens </w:t>
      </w:r>
      <w:r w:rsidR="00167273">
        <w:rPr>
          <w:rFonts w:cstheme="minorHAnsi"/>
        </w:rPr>
        <w:t xml:space="preserve">eller en annen virksomhetsleders </w:t>
      </w:r>
      <w:r>
        <w:rPr>
          <w:rFonts w:cstheme="minorHAnsi"/>
        </w:rPr>
        <w:t>ledelse. For å understøtte en slik organisering, vil det være behov for endringer i finansieringsordningene og takstene.</w:t>
      </w:r>
      <w:r w:rsidR="00EB1C9B">
        <w:rPr>
          <w:rFonts w:cstheme="minorHAnsi"/>
        </w:rPr>
        <w:t xml:space="preserve"> </w:t>
      </w:r>
      <w:r w:rsidR="006C3F02">
        <w:rPr>
          <w:rFonts w:cstheme="minorHAnsi"/>
        </w:rPr>
        <w:t xml:space="preserve">Én løsning kan være at </w:t>
      </w:r>
      <w:r w:rsidR="00F97819">
        <w:rPr>
          <w:rFonts w:cstheme="minorHAnsi"/>
        </w:rPr>
        <w:t xml:space="preserve">det opprettes </w:t>
      </w:r>
      <w:r w:rsidR="00053D20">
        <w:rPr>
          <w:rFonts w:cstheme="minorHAnsi"/>
        </w:rPr>
        <w:t>profesjonsnøytrale takster. Dette omtales senere. Først beskrives det å opprette</w:t>
      </w:r>
      <w:r w:rsidR="0012121E">
        <w:rPr>
          <w:rFonts w:cstheme="minorHAnsi"/>
        </w:rPr>
        <w:t xml:space="preserve"> egne takster for </w:t>
      </w:r>
      <w:r w:rsidR="00F60E5E">
        <w:rPr>
          <w:rFonts w:cstheme="minorHAnsi"/>
        </w:rPr>
        <w:t>ulike personellgrupper</w:t>
      </w:r>
      <w:r w:rsidR="00840CB5">
        <w:rPr>
          <w:rFonts w:cstheme="minorHAnsi"/>
        </w:rPr>
        <w:t>. Her er forsøk med primærhelseteam et eksempel.</w:t>
      </w:r>
    </w:p>
    <w:p w14:paraId="46A818F4" w14:textId="77777777" w:rsidR="00D9107F" w:rsidRDefault="6B131262" w:rsidP="00775632">
      <w:pPr>
        <w:pStyle w:val="Overskrift4"/>
      </w:pPr>
      <w:bookmarkStart w:id="3333" w:name="_Toc125440524"/>
      <w:bookmarkStart w:id="3334" w:name="_Toc130983554"/>
      <w:bookmarkStart w:id="3335" w:name="_Toc130983903"/>
      <w:bookmarkStart w:id="3336" w:name="_Toc131238485"/>
      <w:bookmarkStart w:id="3337" w:name="_Toc131279516"/>
      <w:bookmarkStart w:id="3338" w:name="_Toc131286928"/>
      <w:bookmarkStart w:id="3339" w:name="_Toc131281338"/>
      <w:bookmarkStart w:id="3340" w:name="_Toc131317878"/>
      <w:r>
        <w:t>Primærhelseteam – takster for sykepleiere</w:t>
      </w:r>
      <w:bookmarkEnd w:id="3333"/>
      <w:bookmarkEnd w:id="3334"/>
      <w:bookmarkEnd w:id="3335"/>
      <w:bookmarkEnd w:id="3336"/>
      <w:bookmarkEnd w:id="3337"/>
      <w:bookmarkEnd w:id="3338"/>
      <w:bookmarkEnd w:id="3339"/>
      <w:bookmarkEnd w:id="3340"/>
    </w:p>
    <w:p w14:paraId="3A40C228" w14:textId="0E03E656" w:rsidR="001956FF" w:rsidRDefault="6B131262" w:rsidP="00E96795">
      <w:pPr>
        <w:jc w:val="both"/>
      </w:pPr>
      <w:r>
        <w:t>Innenfor forsøk med primærhelseteam (2018</w:t>
      </w:r>
      <w:r w:rsidR="0098456F">
        <w:t>–</w:t>
      </w:r>
      <w:r>
        <w:t>2023) foregår utprøving av nye måter å finansiere tverrfaglighet og teamarbeid</w:t>
      </w:r>
      <w:r w:rsidR="00A561DD">
        <w:t xml:space="preserve"> på</w:t>
      </w:r>
      <w:r>
        <w:t>. I forsøket</w:t>
      </w:r>
      <w:r w:rsidRPr="003C1D7C">
        <w:t xml:space="preserve"> </w:t>
      </w:r>
      <w:r>
        <w:t xml:space="preserve">kan </w:t>
      </w:r>
      <w:r w:rsidRPr="003C1D7C">
        <w:t xml:space="preserve">sykepleier </w:t>
      </w:r>
      <w:r>
        <w:t xml:space="preserve">på fastlegekontoret </w:t>
      </w:r>
      <w:r w:rsidRPr="003C1D7C">
        <w:t xml:space="preserve">utløse takster på selvstendig grunnlag. Fastlege med listeansvar har fortsatt det medisinske ansvaret for pasienten. </w:t>
      </w:r>
      <w:r>
        <w:t>Forsøket prøver ut to ulike finansieringsmodeller – honorarmodellen og driftstilskuddsmodellen. I driftstilskuddsmodellen utgjør listeinnbyggertilskudd en høy andel av samlet finansiering, mens honorarmodellen er en utvidelse av finansieringsmodellen for fastlegeordningen. Felles for de to modellene er at det er opprettet egne takster for sykepleiere, som innholdsmessig tilsvarer eksisterende fastlegetakster</w:t>
      </w:r>
      <w:r w:rsidR="2965CBC8">
        <w:t xml:space="preserve"> </w:t>
      </w:r>
      <w:r w:rsidR="00D078E3">
        <w:fldChar w:fldCharType="begin"/>
      </w:r>
      <w:r w:rsidR="00694E6D">
        <w:instrText xml:space="preserve"> ADDIN EN.CITE &lt;EndNote&gt;&lt;Cite&gt;&lt;Author&gt;Abelsen B.&lt;/Author&gt;&lt;Year&gt;2019&lt;/Year&gt;&lt;RecNum&gt;220&lt;/RecNum&gt;&lt;DisplayText&gt;(Abelsen B. et al., 2019)&lt;/DisplayText&gt;&lt;record&gt;&lt;rec-number&gt;220&lt;/rec-number&gt;&lt;foreign-keys&gt;&lt;key app="EN" db-id="95tpr2tp6r9xwoea9rb5wdsz5ds5xeddteew" timestamp="1680069511"&gt;220&lt;/key&gt;&lt;/foreign-keys&gt;&lt;ref-type name="Report"&gt;27&lt;/ref-type&gt;&lt;contributors&gt;&lt;authors&gt;&lt;author&gt;Abelsen B., &lt;/author&gt;&lt;author&gt;Gaski M., &lt;/author&gt;&lt;author&gt;Godager G., &lt;/author&gt;&lt;author&gt;Iversen T., &lt;/author&gt;&lt;author&gt;Løyland HI.,&lt;/author&gt;&lt;author&gt;Pedersen K., &lt;/author&gt;&lt;author&gt;Snilsberg Ø., &lt;/author&gt;&lt;author&gt;Sten-Gahmberg S., &lt;/author&gt;&lt;author&gt;Sæther EM&lt;/author&gt;&lt;/authors&gt;&lt;/contributors&gt;&lt;titles&gt;&lt;title&gt;Evaluering av pilotprosjekt med primærhelseteam og alternative finansieringsordninger: statusrapport II, 2. desember 2019&lt;/title&gt;&lt;/titles&gt;&lt;dates&gt;&lt;year&gt;2019&lt;/year&gt;&lt;/dates&gt;&lt;publisher&gt;Institutt for helse og samfunn UiO, Oslo Economics og Nasjonalt senter for distriktsmedisin UiT Norges arktiske universitet&lt;/publisher&gt;&lt;urls&gt;&lt;/urls&gt;&lt;/record&gt;&lt;/Cite&gt;&lt;/EndNote&gt;</w:instrText>
      </w:r>
      <w:r w:rsidR="00D078E3">
        <w:fldChar w:fldCharType="separate"/>
      </w:r>
      <w:r w:rsidR="00BE43A2">
        <w:rPr>
          <w:noProof/>
        </w:rPr>
        <w:t>(Abelsen B. et al., 2019)</w:t>
      </w:r>
      <w:r w:rsidR="00D078E3">
        <w:fldChar w:fldCharType="end"/>
      </w:r>
      <w:r w:rsidR="00556463">
        <w:t>.</w:t>
      </w:r>
    </w:p>
    <w:p w14:paraId="4F0E4882" w14:textId="77777777" w:rsidR="00D9107F" w:rsidRDefault="001956FF" w:rsidP="00E96795">
      <w:pPr>
        <w:jc w:val="both"/>
      </w:pPr>
      <w:r w:rsidRPr="003C1D7C">
        <w:t>Takster for sykepleiere er utformet med bakgrunn i sykepleiernes kompetanse og en vurdering av hvilke oppgaver innenfor fastlegeforskriftens rammer som det er forsvarlig at sykepleier kan utføre uten involvering av lege.</w:t>
      </w:r>
    </w:p>
    <w:p w14:paraId="089CC699" w14:textId="39D22CD2" w:rsidR="001956FF" w:rsidRDefault="001956FF" w:rsidP="00435074">
      <w:pPr>
        <w:jc w:val="both"/>
      </w:pPr>
      <w:r>
        <w:t>Innenfor forsøket med primærhelseteam</w:t>
      </w:r>
      <w:r w:rsidR="00807C22">
        <w:t>,</w:t>
      </w:r>
      <w:r>
        <w:t xml:space="preserve"> er sykepleier ansatt i praksisen eller i kommunen. M</w:t>
      </w:r>
      <w:r w:rsidRPr="003C1D7C">
        <w:t>ed en teamorganisering med fastlege som teamleder</w:t>
      </w:r>
      <w:r>
        <w:t>,</w:t>
      </w:r>
      <w:r w:rsidRPr="003C1D7C">
        <w:t xml:space="preserve"> er det leder av fastlegekontoret (</w:t>
      </w:r>
      <w:r>
        <w:t>d</w:t>
      </w:r>
      <w:r w:rsidR="00A561DD">
        <w:t>et vil si</w:t>
      </w:r>
      <w:r>
        <w:t xml:space="preserve"> </w:t>
      </w:r>
      <w:r w:rsidRPr="003C1D7C">
        <w:t>en av fastlegene) som sender refusjonskrav til Helfo</w:t>
      </w:r>
      <w:r>
        <w:t xml:space="preserve"> for sykepleiere</w:t>
      </w:r>
      <w:r w:rsidR="00A561DD">
        <w:t>n</w:t>
      </w:r>
      <w:r>
        <w:t>s takster,</w:t>
      </w:r>
      <w:r w:rsidRPr="003C1D7C">
        <w:t xml:space="preserve"> og ikke </w:t>
      </w:r>
      <w:r>
        <w:t>sykepleier</w:t>
      </w:r>
      <w:r w:rsidR="18917F93">
        <w:t>en selv</w:t>
      </w:r>
      <w:r>
        <w:t>.</w:t>
      </w:r>
      <w:r w:rsidRPr="003C1D7C">
        <w:t xml:space="preserve"> Inntekten tilfaller fastlegekontoret </w:t>
      </w:r>
      <w:r>
        <w:t>eller kommunen</w:t>
      </w:r>
      <w:r w:rsidR="00A561DD">
        <w:t>,</w:t>
      </w:r>
      <w:r>
        <w:t xml:space="preserve"> </w:t>
      </w:r>
      <w:r w:rsidRPr="003C1D7C">
        <w:t>og ikke den enkelte fastlege som har listeinnbyggeransvaret for pasienten</w:t>
      </w:r>
      <w:r w:rsidR="36593917">
        <w:t xml:space="preserve"> sykepleier møter</w:t>
      </w:r>
      <w:r>
        <w:t>.</w:t>
      </w:r>
    </w:p>
    <w:p w14:paraId="6024CE3C" w14:textId="77777777" w:rsidR="00D9107F" w:rsidRPr="00D9107F" w:rsidRDefault="6B131262" w:rsidP="00435074">
      <w:pPr>
        <w:jc w:val="both"/>
        <w:rPr>
          <w:rStyle w:val="skrift-hevet"/>
        </w:rPr>
      </w:pPr>
      <w:r>
        <w:t>Evalueringen av forsøket finner bl</w:t>
      </w:r>
      <w:r w:rsidR="005D06A2">
        <w:t>ant annet</w:t>
      </w:r>
      <w:r>
        <w:t xml:space="preserve"> at det innenfor honorarmodellen er krevende for praksisene å nå opp til målsettingen om 50 prosent takstfinansiering av sykepleierkostnaden, og at </w:t>
      </w:r>
      <w:r w:rsidRPr="5D38468D">
        <w:t>driftstilskuddsmodellen legger bedre til rette for teamarbeid der pasienten ikke er til stede, i og med at tilskuddsandelen er høy</w:t>
      </w:r>
      <w:r w:rsidR="799B50CA">
        <w:t xml:space="preserve"> </w:t>
      </w:r>
      <w:r w:rsidR="00B51F56">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B51F56">
        <w:fldChar w:fldCharType="separate"/>
      </w:r>
      <w:r w:rsidR="00B51F56">
        <w:rPr>
          <w:noProof/>
        </w:rPr>
        <w:t>(Abelsen B. et al., 2022)</w:t>
      </w:r>
      <w:r w:rsidR="00B51F56">
        <w:fldChar w:fldCharType="end"/>
      </w:r>
      <w:r w:rsidR="00EC5FC0">
        <w:t>.</w:t>
      </w:r>
      <w:bookmarkStart w:id="3341" w:name="_Ref129899422"/>
      <w:bookmarkStart w:id="3342" w:name="_Toc130983555"/>
      <w:bookmarkStart w:id="3343" w:name="_Toc130983904"/>
      <w:bookmarkStart w:id="3344" w:name="_Toc131238486"/>
      <w:bookmarkStart w:id="3345" w:name="_Toc131279517"/>
      <w:bookmarkStart w:id="3346" w:name="_Toc131286929"/>
      <w:bookmarkStart w:id="3347" w:name="_Toc131281339"/>
      <w:bookmarkStart w:id="3348" w:name="_Toc131317879"/>
    </w:p>
    <w:p w14:paraId="18BC3BFD" w14:textId="7F08AF22" w:rsidR="00D9107F" w:rsidRDefault="6B131262" w:rsidP="00775632">
      <w:pPr>
        <w:pStyle w:val="Overskrift4"/>
      </w:pPr>
      <w:r>
        <w:t>Utforming av takster for personell som kan utløse takster selvstendig</w:t>
      </w:r>
      <w:bookmarkEnd w:id="3341"/>
      <w:bookmarkEnd w:id="3342"/>
      <w:bookmarkEnd w:id="3343"/>
      <w:bookmarkEnd w:id="3344"/>
      <w:bookmarkEnd w:id="3345"/>
      <w:bookmarkEnd w:id="3346"/>
      <w:bookmarkEnd w:id="3347"/>
      <w:bookmarkEnd w:id="3348"/>
    </w:p>
    <w:p w14:paraId="028C91D9" w14:textId="7200835B" w:rsidR="001956FF" w:rsidRDefault="001956FF" w:rsidP="00435074">
      <w:pPr>
        <w:jc w:val="both"/>
      </w:pPr>
      <w:r>
        <w:t>Dersom flere personellgrupper skal arbeide i fastlegekontor/fastlege</w:t>
      </w:r>
      <w:r w:rsidR="00C9237B">
        <w:t>selskap</w:t>
      </w:r>
      <w:r>
        <w:t xml:space="preserve">, må det vurderes om man skal lage nytt takstsett for hver personellgruppe. </w:t>
      </w:r>
      <w:r w:rsidRPr="00F84F11">
        <w:t>Takste</w:t>
      </w:r>
      <w:r>
        <w:t>r</w:t>
      </w:r>
      <w:r w:rsidRPr="00F84F11">
        <w:t xml:space="preserve"> skal understøtte god faglig praksis og de arbeidsoppgavene behandlerne utfører. </w:t>
      </w:r>
      <w:r>
        <w:t>For eksempel vil p</w:t>
      </w:r>
      <w:r w:rsidRPr="00F84F11">
        <w:t xml:space="preserve">sykolog </w:t>
      </w:r>
      <w:r>
        <w:t xml:space="preserve">og fysioterapeut </w:t>
      </w:r>
      <w:r w:rsidRPr="00F84F11">
        <w:t>utføre andre oppgaver enn sykepleier</w:t>
      </w:r>
      <w:r>
        <w:t xml:space="preserve"> og lege</w:t>
      </w:r>
      <w:r w:rsidRPr="00F84F11">
        <w:t xml:space="preserve">, noe som kan peke i retning av egne takster. På den annen side er </w:t>
      </w:r>
      <w:r>
        <w:t xml:space="preserve">sykepleiers oppfølgingstakster </w:t>
      </w:r>
      <w:r w:rsidR="000F3040">
        <w:t xml:space="preserve">innenfor forsøket med </w:t>
      </w:r>
      <w:r w:rsidR="000F3040">
        <w:lastRenderedPageBreak/>
        <w:t>primærhelseteam</w:t>
      </w:r>
      <w:r>
        <w:t xml:space="preserve"> og leges konsultasjonstakster relativt bredt definert, noe som kan legge til rette for at andre personellgrupper i fastlegepraksis kan benytte noen av de samme takstene.</w:t>
      </w:r>
    </w:p>
    <w:p w14:paraId="65C3E47B" w14:textId="77777777" w:rsidR="001956FF" w:rsidRDefault="001956FF" w:rsidP="00435074">
      <w:pPr>
        <w:jc w:val="both"/>
      </w:pPr>
      <w:r>
        <w:t xml:space="preserve">Dersom dagens detaljerte takster skal videreføres, kan </w:t>
      </w:r>
      <w:r w:rsidRPr="00F84F11">
        <w:t>det være behov for å konkretisere</w:t>
      </w:r>
      <w:r>
        <w:t xml:space="preserve"> de ulike personellgruppenes </w:t>
      </w:r>
      <w:r w:rsidRPr="00F84F11">
        <w:t>arbeidsoppgaver. Dette for å kunne innrette takstene på en hensiktsmessig måte.</w:t>
      </w:r>
      <w:r>
        <w:t xml:space="preserve"> Dersom en forenkler takstene, vil takstene være bredere innholdsmessig, og flere av takstene kan benyttes av flere personellgrupper. Da går man i retning av profesjonsnøytrale takster, se omtale nedenfor.</w:t>
      </w:r>
    </w:p>
    <w:p w14:paraId="40D9751B" w14:textId="012E73C3" w:rsidR="001956FF" w:rsidRPr="00A47647" w:rsidRDefault="001956FF" w:rsidP="00EC5FC0">
      <w:pPr>
        <w:jc w:val="both"/>
        <w:rPr>
          <w:rFonts w:cstheme="minorHAnsi"/>
        </w:rPr>
      </w:pPr>
      <w:r>
        <w:t>En helt annen løsning enn profesjonsnøytrale takster</w:t>
      </w:r>
      <w:r w:rsidR="001E4615">
        <w:t>,</w:t>
      </w:r>
      <w:r>
        <w:t xml:space="preserve"> kan være at ulike personellgrupper i et fastlegekontor bruker de takstene som er utformet for deres virksomhet </w:t>
      </w:r>
      <w:r w:rsidRPr="00D9107F">
        <w:rPr>
          <w:rStyle w:val="kursiv"/>
        </w:rPr>
        <w:t>utenfor</w:t>
      </w:r>
      <w:r>
        <w:t xml:space="preserve"> fastlegekontoret. </w:t>
      </w:r>
      <w:r w:rsidR="1FA17972">
        <w:t xml:space="preserve">Eksempelvis kan </w:t>
      </w:r>
      <w:r>
        <w:t xml:space="preserve">fysioterapeuter med kommunal driftsavtale benytte takstene for næringsdrivende fysioterapeuter med driftsavtale. For personellgrupper som har egne takster, kunne det være en like god løsning å etablere et tett samarbeid mellom fastlegekontor og fysioterapeut, </w:t>
      </w:r>
      <w:r w:rsidR="05986ED8">
        <w:t>f</w:t>
      </w:r>
      <w:r w:rsidR="26A95BBA">
        <w:t>or eksempel</w:t>
      </w:r>
      <w:r>
        <w:t xml:space="preserve"> ved at tjenestene samlokaliseres, eller at avtalefysioterapeuter etter avtale med kommunen har en fast dag ved legekontoret.</w:t>
      </w:r>
    </w:p>
    <w:p w14:paraId="716E7435" w14:textId="5982C793" w:rsidR="001956FF" w:rsidRDefault="6B131262" w:rsidP="00775632">
      <w:pPr>
        <w:pStyle w:val="Overskrift3"/>
      </w:pPr>
      <w:bookmarkStart w:id="3349" w:name="_Toc125440525"/>
      <w:bookmarkStart w:id="3350" w:name="_Toc126305347"/>
      <w:bookmarkStart w:id="3351" w:name="_Toc126817074"/>
      <w:bookmarkStart w:id="3352" w:name="_Toc127633255"/>
      <w:bookmarkStart w:id="3353" w:name="_Toc127864541"/>
      <w:bookmarkStart w:id="3354" w:name="_Toc128238549"/>
      <w:bookmarkStart w:id="3355" w:name="_Toc128742031"/>
      <w:bookmarkStart w:id="3356" w:name="_Toc128744626"/>
      <w:bookmarkStart w:id="3357" w:name="_Toc128744845"/>
      <w:bookmarkStart w:id="3358" w:name="_Toc129630349"/>
      <w:bookmarkStart w:id="3359" w:name="_Toc130763850"/>
      <w:bookmarkStart w:id="3360" w:name="_Toc130766745"/>
      <w:bookmarkStart w:id="3361" w:name="_Toc130932146"/>
      <w:bookmarkStart w:id="3362" w:name="_Toc130934437"/>
      <w:bookmarkStart w:id="3363" w:name="_Toc130983556"/>
      <w:bookmarkStart w:id="3364" w:name="_Toc130983905"/>
      <w:bookmarkStart w:id="3365" w:name="_Toc131062191"/>
      <w:bookmarkStart w:id="3366" w:name="_Toc131062445"/>
      <w:bookmarkStart w:id="3367" w:name="_Toc131062706"/>
      <w:bookmarkStart w:id="3368" w:name="_Toc131062959"/>
      <w:bookmarkStart w:id="3369" w:name="_Toc131063742"/>
      <w:bookmarkStart w:id="3370" w:name="_Toc131064152"/>
      <w:bookmarkStart w:id="3371" w:name="_Toc131238487"/>
      <w:bookmarkStart w:id="3372" w:name="_Toc131279518"/>
      <w:bookmarkStart w:id="3373" w:name="_Toc131286930"/>
      <w:bookmarkStart w:id="3374" w:name="_Toc131281340"/>
      <w:bookmarkStart w:id="3375" w:name="_Toc131317880"/>
      <w:bookmarkStart w:id="3376" w:name="_Toc132537016"/>
      <w:r>
        <w:t>Profesjonsnøytral finansiering</w:t>
      </w:r>
      <w:bookmarkEnd w:id="3349"/>
      <w:bookmarkEnd w:id="3350"/>
      <w:r>
        <w:t xml:space="preserve"> i sykehus</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14:paraId="67F805B4" w14:textId="77777777" w:rsidR="00D9107F" w:rsidRDefault="6B131262" w:rsidP="00673737">
      <w:pPr>
        <w:jc w:val="both"/>
      </w:pPr>
      <w:r>
        <w:t>F</w:t>
      </w:r>
      <w:r w:rsidRPr="00CA5232">
        <w:t xml:space="preserve">inansieringsordninger </w:t>
      </w:r>
      <w:r>
        <w:t xml:space="preserve">skal understøtte kvalitativt gode tjenester, men samtidig slik at tjenestene ytes kostnadseffektivt. Finansieringen bør </w:t>
      </w:r>
      <w:r w:rsidRPr="00CA5232">
        <w:t xml:space="preserve">understøtte en rasjonell </w:t>
      </w:r>
      <w:r>
        <w:t xml:space="preserve">og faglig forsvarlig </w:t>
      </w:r>
      <w:r w:rsidRPr="00CA5232">
        <w:t>arbeidsdeling mellom personellgrupper</w:t>
      </w:r>
      <w:r>
        <w:t xml:space="preserve">. Profesjonsnøytrale takster innebærer </w:t>
      </w:r>
      <w:r w:rsidRPr="00CA5232">
        <w:t xml:space="preserve">at </w:t>
      </w:r>
      <w:r>
        <w:t xml:space="preserve">en </w:t>
      </w:r>
      <w:r w:rsidRPr="00CA5232">
        <w:t>prosedyre eller aktivitet betales likt uavhengig av hvilken profesjon som utfører den</w:t>
      </w:r>
      <w:r w:rsidR="00656665">
        <w:t xml:space="preserve"> </w:t>
      </w:r>
      <w:r w:rsidR="00BE43A2">
        <w:fldChar w:fldCharType="begin"/>
      </w:r>
      <w:r w:rsidR="00A27571">
        <w:instrText xml:space="preserve"> ADDIN EN.CITE &lt;EndNote&gt;&lt;Cite&gt;&lt;Author&gt;Helse Nord&lt;/Author&gt;&lt;Year&gt;2019&lt;/Year&gt;&lt;RecNum&gt;245&lt;/RecNum&gt;&lt;DisplayText&gt;(Helse Nord, 2019)&lt;/DisplayText&gt;&lt;record&gt;&lt;rec-number&gt;245&lt;/rec-number&gt;&lt;foreign-keys&gt;&lt;key app="EN" db-id="95tpr2tp6r9xwoea9rb5wdsz5ds5xeddteew" timestamp="1680069511"&gt;245&lt;/key&gt;&lt;/foreign-keys&gt;&lt;ref-type name="Report"&gt;27&lt;/ref-type&gt;&lt;contributors&gt;&lt;authors&gt;&lt;author&gt;Helse Nord,&lt;/author&gt;&lt;/authors&gt;&lt;/contributors&gt;&lt;titles&gt;&lt;title&gt;Fastlegetjenesten i Nord-Norge: Status, utfordringer og forslag til tiltak&lt;/title&gt;&lt;/titles&gt;&lt;dates&gt;&lt;year&gt;2019&lt;/year&gt;&lt;/dates&gt;&lt;pub-location&gt;Bodø&lt;/pub-location&gt;&lt;publisher&gt;Helse Nord&lt;/publisher&gt;&lt;urls&gt;&lt;/urls&gt;&lt;/record&gt;&lt;/Cite&gt;&lt;/EndNote&gt;</w:instrText>
      </w:r>
      <w:r w:rsidR="00BE43A2">
        <w:fldChar w:fldCharType="separate"/>
      </w:r>
      <w:r w:rsidR="00BE43A2">
        <w:rPr>
          <w:noProof/>
        </w:rPr>
        <w:t>(Helse Nord, 2019)</w:t>
      </w:r>
      <w:r w:rsidR="00BE43A2">
        <w:fldChar w:fldCharType="end"/>
      </w:r>
      <w:r w:rsidRPr="00CA5232">
        <w:t>.</w:t>
      </w:r>
      <w:r w:rsidR="10B4044C">
        <w:t xml:space="preserve"> </w:t>
      </w:r>
      <w:r>
        <w:t>Profesjonsnøytral finansiering benyttes i sykehussektoren. Der fastsettes den aktivitetsbaserte finansieringen (innsatsstyrt finansiering, ISF) som hovedregel ut fra hvilke tjenester som ytes og hvilke diagnoser som behandles, ikke hvilket personell som yter tjenestene.</w:t>
      </w:r>
    </w:p>
    <w:p w14:paraId="32EE917F" w14:textId="08560B31" w:rsidR="001956FF" w:rsidRDefault="6B131262" w:rsidP="00775632">
      <w:pPr>
        <w:pStyle w:val="Overskrift4"/>
      </w:pPr>
      <w:bookmarkStart w:id="3377" w:name="_Toc130983557"/>
      <w:bookmarkStart w:id="3378" w:name="_Toc130983906"/>
      <w:bookmarkStart w:id="3379" w:name="_Toc131238488"/>
      <w:bookmarkStart w:id="3380" w:name="_Toc131279519"/>
      <w:bookmarkStart w:id="3381" w:name="_Toc131286931"/>
      <w:bookmarkStart w:id="3382" w:name="_Toc131281341"/>
      <w:bookmarkStart w:id="3383" w:name="_Toc131317881"/>
      <w:r>
        <w:t>ISF og profesjonsnøytralitet i finansiering av sykehus</w:t>
      </w:r>
      <w:bookmarkEnd w:id="3377"/>
      <w:bookmarkEnd w:id="3378"/>
      <w:bookmarkEnd w:id="3379"/>
      <w:bookmarkEnd w:id="3380"/>
      <w:bookmarkEnd w:id="3381"/>
      <w:bookmarkEnd w:id="3382"/>
      <w:bookmarkEnd w:id="3383"/>
    </w:p>
    <w:p w14:paraId="5DEE9522" w14:textId="77777777" w:rsidR="00D9107F" w:rsidRDefault="6B131262" w:rsidP="008D5127">
      <w:pPr>
        <w:jc w:val="both"/>
      </w:pPr>
      <w:r w:rsidRPr="007F07DE">
        <w:t>Innsatsstyrt finansiering (ISF) ble innført for somatisk spesialisthelsetjeneste</w:t>
      </w:r>
      <w:r>
        <w:t xml:space="preserve"> i</w:t>
      </w:r>
      <w:r w:rsidRPr="007F07DE">
        <w:t xml:space="preserve"> 1997</w:t>
      </w:r>
      <w:r w:rsidR="00EE7400">
        <w:t xml:space="preserve"> </w:t>
      </w:r>
      <w:r w:rsidR="00BE43A2">
        <w:fldChar w:fldCharType="begin"/>
      </w:r>
      <w:r w:rsidR="00235862">
        <w:instrText xml:space="preserve"> ADDIN EN.CITE &lt;EndNote&gt;&lt;Cite&gt;&lt;Author&gt;Helsedirektoratet&lt;/Author&gt;&lt;Year&gt;2023&lt;/Year&gt;&lt;RecNum&gt;696&lt;/RecNum&gt;&lt;DisplayText&gt;(Helsedirektoratet, 2023g)&lt;/DisplayText&gt;&lt;record&gt;&lt;rec-number&gt;696&lt;/rec-number&gt;&lt;foreign-keys&gt;&lt;key app="EN" db-id="95tpr2tp6r9xwoea9rb5wdsz5ds5xeddteew" timestamp="1680069511"&gt;696&lt;/key&gt;&lt;/foreign-keys&gt;&lt;ref-type name="Report"&gt;27&lt;/ref-type&gt;&lt;contributors&gt;&lt;authors&gt;&lt;author&gt;Helsedirektoratet&lt;/author&gt;&lt;/authors&gt;&lt;tertiary-authors&gt;&lt;author&gt;Helsedirektoratet&lt;/author&gt;&lt;/tertiary-authors&gt;&lt;/contributors&gt;&lt;titles&gt;&lt;title&gt;Regelverk for innsatsstyrt finansiering 2023 (ISF-regelverket)&lt;/title&gt;&lt;/titles&gt;&lt;dates&gt;&lt;year&gt;2023&lt;/year&gt;&lt;/dates&gt;&lt;pub-location&gt;Oslo&lt;/pub-location&gt;&lt;urls&gt;&lt;/urls&gt;&lt;/record&gt;&lt;/Cite&gt;&lt;/EndNote&gt;</w:instrText>
      </w:r>
      <w:r w:rsidR="00BE43A2">
        <w:fldChar w:fldCharType="separate"/>
      </w:r>
      <w:r w:rsidR="00BE43A2">
        <w:rPr>
          <w:noProof/>
        </w:rPr>
        <w:t>(Helsedirektoratet, 2023g)</w:t>
      </w:r>
      <w:r w:rsidR="00BE43A2">
        <w:fldChar w:fldCharType="end"/>
      </w:r>
      <w:r w:rsidR="001D3985">
        <w:t xml:space="preserve">. </w:t>
      </w:r>
      <w:r w:rsidRPr="007F07DE">
        <w:t>Fra 2017 ble ordningen utvidet til også å omfatte ISF for polikliniske tjenester innenfor psykisk helsevern og tverrfaglig spesialisert behandling av rusmiddelavhengige</w:t>
      </w:r>
      <w:r>
        <w:t xml:space="preserve"> (TSB)</w:t>
      </w:r>
      <w:r w:rsidRPr="007F07DE">
        <w:t>. ISF er en aktivitetsbasert bevilgning til de regionale helseforetak</w:t>
      </w:r>
      <w:r w:rsidR="00217251">
        <w:t>ene</w:t>
      </w:r>
      <w:r w:rsidRPr="007F07DE">
        <w:t xml:space="preserve"> gjennom statsbudsjettet. For 2023 er aktivitetsbasert bevilgning for somatisk spesialisthelsetjeneste om lag 40 prosent og basisbevilgning om lag 60 prosent. For polikliniske tjenester innenfor psykisk helsevern og TSB er ISF-andelen lavere.</w:t>
      </w:r>
    </w:p>
    <w:p w14:paraId="2D3489CE" w14:textId="77777777" w:rsidR="00D9107F" w:rsidRDefault="001956FF" w:rsidP="008D5127">
      <w:pPr>
        <w:jc w:val="both"/>
      </w:pPr>
      <w:r w:rsidRPr="007F07DE">
        <w:t>Gjennom innsatsstyrt finansiering gjøres deler av budsjettet til de regionale helseforetakene avhengig av hvor mange og hva slags pasienter som får behandling. Pasientbehandlingen som skjer i spesialisthelsetjenesten rapporteres til Norsk pasientregister</w:t>
      </w:r>
      <w:r>
        <w:t xml:space="preserve"> (NPR)</w:t>
      </w:r>
      <w:r w:rsidRPr="007F07DE">
        <w:t xml:space="preserve">. </w:t>
      </w:r>
      <w:r w:rsidR="00674419">
        <w:t xml:space="preserve">Dette er grunnlagsdataene for ISF. </w:t>
      </w:r>
      <w:r w:rsidRPr="007F07DE">
        <w:t xml:space="preserve">Den medisinske kodingen dokumenterer den helsehjelpen pasienten </w:t>
      </w:r>
      <w:r w:rsidRPr="007F07DE">
        <w:lastRenderedPageBreak/>
        <w:t>mottar. RHF-ene skal sikre at kodingen er faglig korrekt og ikke benyttes for å øke inntjeningen i strid med god faglig praksis og hensiktsmessig organisering.</w:t>
      </w:r>
    </w:p>
    <w:p w14:paraId="74FC902E" w14:textId="77777777" w:rsidR="00D9107F" w:rsidRDefault="001956FF" w:rsidP="008D5127">
      <w:pPr>
        <w:jc w:val="both"/>
      </w:pPr>
      <w:r w:rsidRPr="007F07DE">
        <w:t>Utbetalingene gjennom ISF-ordningen baseres på aktivitet rapportert til NPR.</w:t>
      </w:r>
      <w:r>
        <w:t xml:space="preserve"> </w:t>
      </w:r>
      <w:r w:rsidRPr="007F07DE">
        <w:t xml:space="preserve">Til grunn for beregning av ISF-refusjon ligger et system for klassifisering av ulike pasientbehandlinger basert på tilstand (diagnoser) og tiltak (prosedyrer). </w:t>
      </w:r>
      <w:r w:rsidR="00531E97">
        <w:t>Pasient</w:t>
      </w:r>
      <w:r w:rsidR="00E762A0">
        <w:t>b</w:t>
      </w:r>
      <w:r w:rsidR="00287EAA">
        <w:t>ehandlingen</w:t>
      </w:r>
      <w:r w:rsidR="00E762A0">
        <w:t>e</w:t>
      </w:r>
      <w:r w:rsidR="00287EAA">
        <w:t xml:space="preserve"> klassifiseres til DRG (DiagnoseRelaterteGrupper), STG (SærTjenesteGrupper) og TFG (TjenesteForløpGrupper). </w:t>
      </w:r>
      <w:r w:rsidRPr="007F07DE">
        <w:t>Pasientgruppene kostnadsberegnes ut fra kostnadsinformasjon som årlig innhentes fra sykehus. Sammen med rapporterte aktivitetsdata</w:t>
      </w:r>
      <w:r w:rsidR="00AE4FD5">
        <w:t>,</w:t>
      </w:r>
      <w:r w:rsidRPr="007F07DE">
        <w:t xml:space="preserve"> benyttes kostnadsinformasjonen til å fastsette refusjonen knyttet til de ulike gruppene.</w:t>
      </w:r>
    </w:p>
    <w:p w14:paraId="7D275902" w14:textId="539778A7" w:rsidR="001956FF" w:rsidRDefault="001956FF" w:rsidP="008D5127">
      <w:pPr>
        <w:jc w:val="both"/>
      </w:pPr>
      <w:r w:rsidRPr="007F07DE">
        <w:t xml:space="preserve">ISF skal understøtte ønsket faglig utvikling i spesialisthelsetjenesten, og legge til rette for kostnadseffektiv behandling. </w:t>
      </w:r>
      <w:r>
        <w:t xml:space="preserve">Tidligere ble poliklinisk virksomhet i sykehus finansiert gjennom folketrygden, og takstene var avgrenset til visse personellgrupper. Finansieringen er senere overført til ISF-ordningen. </w:t>
      </w:r>
      <w:r w:rsidRPr="007F07DE">
        <w:t>De seneste årene har det vært lagt vekt på at ordningen gjøres mer nøytral med tanke på hvilke personellgrupper som utfører behandling, hvor behandlingen finner sted, og hvordan pasientforløpene organiseres.</w:t>
      </w:r>
      <w:r>
        <w:t xml:space="preserve"> </w:t>
      </w:r>
      <w:r w:rsidRPr="007F07DE">
        <w:t>Dette skal bl</w:t>
      </w:r>
      <w:r w:rsidR="00150AB1">
        <w:t>ant annet</w:t>
      </w:r>
      <w:r w:rsidRPr="007F07DE">
        <w:t xml:space="preserve"> bidra til mer effektiv utnyttelse av personellressurser i sykehus. Det er viktig at finansieringen ikke er til hinder for god organisering av tilbudet til pasientene.</w:t>
      </w:r>
    </w:p>
    <w:p w14:paraId="1A98AAB5" w14:textId="4D0E769B" w:rsidR="001956FF" w:rsidRDefault="001956FF" w:rsidP="008D5127">
      <w:pPr>
        <w:jc w:val="both"/>
      </w:pPr>
      <w:r>
        <w:t>Det har vært en bevisst utvikling i retning av profesjonsnøytralitet innenfor ISF. Det er virksomheten som skal vurdere hvilket personell som skal benyttes. ISF-regelverket er i all hovedsak personell- og profesjonsnøytralt.</w:t>
      </w:r>
    </w:p>
    <w:p w14:paraId="6DD99022" w14:textId="34C06B7B" w:rsidR="001956FF" w:rsidRDefault="001956FF" w:rsidP="008D5127">
      <w:pPr>
        <w:jc w:val="both"/>
      </w:pPr>
      <w:r>
        <w:t xml:space="preserve">Det er også </w:t>
      </w:r>
      <w:r w:rsidRPr="00D9107F">
        <w:rPr>
          <w:rStyle w:val="kursiv"/>
        </w:rPr>
        <w:t>likhetstrekk</w:t>
      </w:r>
      <w:r>
        <w:t xml:space="preserve"> mellom ISF og dagens takstfinansiering av fastleger. Aktivitet utført av to personell samme dag (for eksempel lege og sykepleier, eller to leger), utløser én samlet finansiering (DRG) i sykehus. Dersom to leger behandler pasienten samme dag for to ulike problemstillinger, utløses to finansieringer. Dette har likhetstrekk med takstfinansiering av fastleger. ISF har finansiering av samhandling og møter om spesifikke pasienter, og møter med pårørende. </w:t>
      </w:r>
      <w:r w:rsidR="00075AB0">
        <w:t>M</w:t>
      </w:r>
      <w:r>
        <w:t>øter og internt samarbeid som ikke omhandler enkeltpasienter, utløser ikke ISF-refusjon. Også dette er parallelt med regelverket for fastleger.</w:t>
      </w:r>
    </w:p>
    <w:p w14:paraId="6C2826C8" w14:textId="051D360D" w:rsidR="001956FF" w:rsidRDefault="001956FF" w:rsidP="00167273">
      <w:pPr>
        <w:jc w:val="both"/>
      </w:pPr>
      <w:r>
        <w:t xml:space="preserve">En forskjell er at ISF er utformet for finansiering av et </w:t>
      </w:r>
      <w:r w:rsidR="00F34C7E">
        <w:t>overordnet</w:t>
      </w:r>
      <w:r>
        <w:t xml:space="preserve"> nivå (</w:t>
      </w:r>
      <w:r w:rsidR="000278D9">
        <w:t xml:space="preserve">sørge for-ansvaret på </w:t>
      </w:r>
      <w:r>
        <w:t>helseregion</w:t>
      </w:r>
      <w:r w:rsidR="000278D9">
        <w:t>nivå</w:t>
      </w:r>
      <w:r>
        <w:t xml:space="preserve">), mens innenfor fastlegeordningen er hver enkelt fastlege mottaker av finansieringen. </w:t>
      </w:r>
      <w:r w:rsidR="00B93F6F">
        <w:t>Sykehusutvalget (NOU</w:t>
      </w:r>
      <w:r w:rsidR="00025404">
        <w:t xml:space="preserve"> </w:t>
      </w:r>
      <w:r w:rsidR="00B93F6F">
        <w:t>2023</w:t>
      </w:r>
      <w:r w:rsidR="00025404">
        <w:t>:</w:t>
      </w:r>
      <w:r w:rsidR="00150AB1">
        <w:t xml:space="preserve"> </w:t>
      </w:r>
      <w:r w:rsidR="00025404">
        <w:t>8</w:t>
      </w:r>
      <w:r w:rsidR="00B93F6F">
        <w:t>) foreslår å redusere den innsatsstyrte finansieringens andel av overføringene til sykehusene</w:t>
      </w:r>
      <w:r w:rsidR="00936407">
        <w:t xml:space="preserve"> </w:t>
      </w:r>
      <w:r w:rsidR="00BE43A2">
        <w:fldChar w:fldCharType="begin"/>
      </w:r>
      <w:r w:rsidR="00022138">
        <w:instrText xml:space="preserve"> ADDIN EN.CITE &lt;EndNote&gt;&lt;Cite&gt;&lt;Author&gt;Helse- og omsorgsdepartementet&lt;/Author&gt;&lt;Year&gt;2023&lt;/Year&gt;&lt;RecNum&gt;932&lt;/RecNum&gt;&lt;DisplayText&gt;(Helse- og omsorgsdepartementet, 2023b)&lt;/DisplayText&gt;&lt;record&gt;&lt;rec-number&gt;932&lt;/rec-number&gt;&lt;foreign-keys&gt;&lt;key app="EN" db-id="95tpr2tp6r9xwoea9rb5wdsz5ds5xeddteew" timestamp="1680157483"&gt;932&lt;/key&gt;&lt;/foreign-keys&gt;&lt;ref-type name="Report"&gt;27&lt;/ref-type&gt;&lt;contributors&gt;&lt;authors&gt;&lt;author&gt;Helse- og omsorgsdepartementet,&lt;/author&gt;&lt;/authors&gt;&lt;/contributors&gt;&lt;titles&gt;&lt;title&gt;NOU 2023:8. Fellesskapets sykehus. Styring, finansiering, samhandling og ledelse&lt;/title&gt;&lt;/titles&gt;&lt;dates&gt;&lt;year&gt;2023&lt;/year&gt;&lt;/dates&gt;&lt;publisher&gt;Helse- og omsorgsdepartementet,&lt;/publisher&gt;&lt;urls&gt;&lt;/urls&gt;&lt;/record&gt;&lt;/Cite&gt;&lt;/EndNote&gt;</w:instrText>
      </w:r>
      <w:r w:rsidR="00BE43A2">
        <w:fldChar w:fldCharType="separate"/>
      </w:r>
      <w:r w:rsidR="00022138">
        <w:rPr>
          <w:noProof/>
        </w:rPr>
        <w:t>(Helse- og omsorgsdepartementet, 2023b)</w:t>
      </w:r>
      <w:r w:rsidR="00BE43A2">
        <w:fldChar w:fldCharType="end"/>
      </w:r>
      <w:r w:rsidR="009872CB">
        <w:t>.</w:t>
      </w:r>
    </w:p>
    <w:p w14:paraId="5B64AFB4" w14:textId="64B86D0A" w:rsidR="001956FF" w:rsidRDefault="6B131262" w:rsidP="00775632">
      <w:pPr>
        <w:pStyle w:val="Overskrift3"/>
      </w:pPr>
      <w:bookmarkStart w:id="3384" w:name="_Toc126817075"/>
      <w:bookmarkStart w:id="3385" w:name="_Toc127633256"/>
      <w:bookmarkStart w:id="3386" w:name="_Toc127864542"/>
      <w:bookmarkStart w:id="3387" w:name="_Toc128238550"/>
      <w:bookmarkStart w:id="3388" w:name="_Toc128742032"/>
      <w:bookmarkStart w:id="3389" w:name="_Toc128744627"/>
      <w:bookmarkStart w:id="3390" w:name="_Toc128744846"/>
      <w:bookmarkStart w:id="3391" w:name="_Toc129630350"/>
      <w:bookmarkStart w:id="3392" w:name="_Toc130763851"/>
      <w:bookmarkStart w:id="3393" w:name="_Toc130766746"/>
      <w:bookmarkStart w:id="3394" w:name="_Ref130902065"/>
      <w:bookmarkStart w:id="3395" w:name="_Toc130932147"/>
      <w:bookmarkStart w:id="3396" w:name="_Toc130934438"/>
      <w:bookmarkStart w:id="3397" w:name="_Toc130983558"/>
      <w:bookmarkStart w:id="3398" w:name="_Toc130983907"/>
      <w:bookmarkStart w:id="3399" w:name="_Toc131062192"/>
      <w:bookmarkStart w:id="3400" w:name="_Toc131062446"/>
      <w:bookmarkStart w:id="3401" w:name="_Toc131062707"/>
      <w:bookmarkStart w:id="3402" w:name="_Toc131062960"/>
      <w:bookmarkStart w:id="3403" w:name="_Toc131063743"/>
      <w:bookmarkStart w:id="3404" w:name="_Toc131064153"/>
      <w:bookmarkStart w:id="3405" w:name="_Toc131238489"/>
      <w:bookmarkStart w:id="3406" w:name="_Toc131279520"/>
      <w:bookmarkStart w:id="3407" w:name="_Toc131286932"/>
      <w:bookmarkStart w:id="3408" w:name="_Toc131281342"/>
      <w:bookmarkStart w:id="3409" w:name="_Toc131317882"/>
      <w:bookmarkStart w:id="3410" w:name="_Toc132537017"/>
      <w:r>
        <w:lastRenderedPageBreak/>
        <w:t>Profesjonsnøytral finansiering i fastlegeordningen</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40B57FB5" w14:textId="0DA1C63F" w:rsidR="001956FF" w:rsidRDefault="78922DC4" w:rsidP="00775632">
      <w:pPr>
        <w:pStyle w:val="Overskrift4"/>
      </w:pPr>
      <w:bookmarkStart w:id="3411" w:name="_Toc130983559"/>
      <w:bookmarkStart w:id="3412" w:name="_Toc130983908"/>
      <w:bookmarkStart w:id="3413" w:name="_Toc131238490"/>
      <w:bookmarkStart w:id="3414" w:name="_Toc131279521"/>
      <w:bookmarkStart w:id="3415" w:name="_Toc131286933"/>
      <w:bookmarkStart w:id="3416" w:name="_Toc131281343"/>
      <w:bookmarkStart w:id="3417" w:name="_Toc131317883"/>
      <w:r>
        <w:t>P</w:t>
      </w:r>
      <w:r w:rsidR="6B131262">
        <w:t>rofesjonsnøytral finansiering og behov for ledelse av fastlegevirksomhet</w:t>
      </w:r>
      <w:bookmarkEnd w:id="3411"/>
      <w:bookmarkEnd w:id="3412"/>
      <w:bookmarkEnd w:id="3413"/>
      <w:bookmarkEnd w:id="3414"/>
      <w:bookmarkEnd w:id="3415"/>
      <w:bookmarkEnd w:id="3416"/>
      <w:bookmarkEnd w:id="3417"/>
    </w:p>
    <w:p w14:paraId="26EFDA8C" w14:textId="77777777" w:rsidR="00D9107F" w:rsidRDefault="00B7659E" w:rsidP="0078644D">
      <w:pPr>
        <w:jc w:val="both"/>
      </w:pPr>
      <w:r>
        <w:t xml:space="preserve">Med profesjonsnøytral finansiering er det ikke finansieringsregelverket som definerer hvilken personellgruppe som utløser finansiering. </w:t>
      </w:r>
      <w:r w:rsidR="001956FF">
        <w:t xml:space="preserve">Profesjonsnøytrale takster legger til rette for at virksomheten i større grad kan velge hvilke personellgrupper som skal yte tjenestene, og innrette praksisen mot pasientenes behov. Dette vil samtidig legge et ansvar på </w:t>
      </w:r>
      <w:r w:rsidR="0FEE4D44">
        <w:t>virksomheten</w:t>
      </w:r>
      <w:r w:rsidR="627BA4BB">
        <w:t xml:space="preserve"> </w:t>
      </w:r>
      <w:r w:rsidR="5ED01788">
        <w:t>f</w:t>
      </w:r>
      <w:r w:rsidR="42AC46D8">
        <w:t>or</w:t>
      </w:r>
      <w:r w:rsidR="6E2DCC83">
        <w:t xml:space="preserve"> </w:t>
      </w:r>
      <w:r w:rsidR="001956FF">
        <w:t xml:space="preserve">å </w:t>
      </w:r>
      <w:r w:rsidR="00D878DD">
        <w:t xml:space="preserve">definere hvilket personell som skal utføre oppgaven, og å </w:t>
      </w:r>
      <w:r w:rsidR="001956FF">
        <w:t>sikre forsvarlige tjenester ved å vurdere om kompetansen er tilstrekkelig og sørge for nødvendig opplæring. Eventuell innføring av profesjonsnøytrale takster bør sees i sammenheng med gruppeavtaler.</w:t>
      </w:r>
    </w:p>
    <w:p w14:paraId="4345AB37" w14:textId="77777777" w:rsidR="00D9107F" w:rsidRDefault="001956FF" w:rsidP="0078644D">
      <w:pPr>
        <w:jc w:val="both"/>
      </w:pPr>
      <w:r>
        <w:t>Gruppeavtaler og fastlege</w:t>
      </w:r>
      <w:r w:rsidR="008B05CC">
        <w:t>selskap</w:t>
      </w:r>
      <w:r>
        <w:t xml:space="preserve"> er beskrevet i </w:t>
      </w:r>
      <w:r w:rsidR="00034549">
        <w:t>kapittel 4.7</w:t>
      </w:r>
      <w:r>
        <w:t>. I en gruppeavtale inngår fastlege</w:t>
      </w:r>
      <w:r w:rsidR="008B05CC">
        <w:t>selskapet</w:t>
      </w:r>
      <w:r>
        <w:t xml:space="preserve"> </w:t>
      </w:r>
      <w:r w:rsidR="004F1153">
        <w:t xml:space="preserve">eller </w:t>
      </w:r>
      <w:r w:rsidR="00E0026C">
        <w:t>kommunalt legekontor med tilsvarende organisering</w:t>
      </w:r>
      <w:r w:rsidR="0035635C">
        <w:t xml:space="preserve"> </w:t>
      </w:r>
      <w:r>
        <w:t>fastlegeavtale med kommunen, og fastlege</w:t>
      </w:r>
      <w:r w:rsidR="0049387A">
        <w:t>selskapet</w:t>
      </w:r>
      <w:r>
        <w:t xml:space="preserve"> får et samlet ansvar for å sørge for fastlegetjenester til innbyggerne tilknyttet </w:t>
      </w:r>
      <w:r w:rsidR="00AB5B5C">
        <w:t>selskapet</w:t>
      </w:r>
      <w:r>
        <w:t>. Fastlege</w:t>
      </w:r>
      <w:r w:rsidR="0049387A">
        <w:t>selskapet</w:t>
      </w:r>
      <w:r>
        <w:t xml:space="preserve"> </w:t>
      </w:r>
      <w:r w:rsidR="00BD7691">
        <w:t>eller</w:t>
      </w:r>
      <w:r w:rsidR="00782F10">
        <w:t xml:space="preserve"> </w:t>
      </w:r>
      <w:r w:rsidR="00BD7691">
        <w:t>kommunalt lege</w:t>
      </w:r>
      <w:r w:rsidR="00395265">
        <w:t>kontor</w:t>
      </w:r>
      <w:r>
        <w:t xml:space="preserve"> må ha en leder, som er ansvarlig overfor kommunen på vegne av </w:t>
      </w:r>
      <w:r w:rsidR="0049387A">
        <w:t>selskapet</w:t>
      </w:r>
      <w:r w:rsidR="00150AB1">
        <w:t>,</w:t>
      </w:r>
      <w:r>
        <w:t xml:space="preserve"> for personellet som arbeider der, og for tjenestene som leveres</w:t>
      </w:r>
      <w:r w:rsidR="00150AB1">
        <w:t>,</w:t>
      </w:r>
      <w:r w:rsidR="00B56ACD">
        <w:t xml:space="preserve"> liksom en leder på et sykehus eller et sykehjem</w:t>
      </w:r>
      <w:r>
        <w:t>.</w:t>
      </w:r>
    </w:p>
    <w:p w14:paraId="68CD4C7C" w14:textId="77777777" w:rsidR="00D9107F" w:rsidRDefault="001956FF" w:rsidP="0078644D">
      <w:pPr>
        <w:jc w:val="both"/>
      </w:pPr>
      <w:r>
        <w:t>Fastlege</w:t>
      </w:r>
      <w:r w:rsidR="0049387A">
        <w:t>selskapet</w:t>
      </w:r>
      <w:r>
        <w:t xml:space="preserve"> </w:t>
      </w:r>
      <w:r w:rsidR="00A566E1">
        <w:t xml:space="preserve">eller kommunalt legekontor </w:t>
      </w:r>
      <w:r>
        <w:t>kan ansette leger og annet personell. Det vil være opp til ledelsen å fordele oppgave</w:t>
      </w:r>
      <w:r w:rsidR="00F86A7E">
        <w:t>r</w:t>
      </w:r>
      <w:r>
        <w:t xml:space="preserve"> blant legene og annet personell som er tilknyttet </w:t>
      </w:r>
      <w:r w:rsidR="0049387A">
        <w:t>selskapet</w:t>
      </w:r>
      <w:r>
        <w:t>. Fastlege</w:t>
      </w:r>
      <w:r w:rsidR="0049387A">
        <w:t>selskapet</w:t>
      </w:r>
      <w:r>
        <w:t xml:space="preserve"> kan ha direkteoppgjørsavtale med Helfo, og være ansvarlig for virksomhetens refusjonskrav.</w:t>
      </w:r>
    </w:p>
    <w:p w14:paraId="3287669B" w14:textId="77777777" w:rsidR="00D9107F" w:rsidRDefault="001956FF" w:rsidP="00167273">
      <w:pPr>
        <w:jc w:val="both"/>
      </w:pPr>
      <w:r>
        <w:t>Flerfaglige praksiser i kombinasjon med profesjonsnøytral finansiering stiller krav til ledelse av virksomheten. Ledelsen må ivareta oppgavefordeling innad i virksomheten. Dette er argumenter for at organisering i gruppeavtaler/fastlege</w:t>
      </w:r>
      <w:r w:rsidR="0049387A">
        <w:t>selskap</w:t>
      </w:r>
      <w:r>
        <w:t xml:space="preserve"> vil kunne være egnet for å benytte profesjonsnøytrale takster. Det kan vurderes å sette som forutsetning for bruk av profesjonsnøytrale takster at det er en praksis med gruppeavtale (fastlege</w:t>
      </w:r>
      <w:r w:rsidR="0049387A">
        <w:t>selskap</w:t>
      </w:r>
      <w:r w:rsidR="003D0877">
        <w:t xml:space="preserve"> eller kommunalt legekontor</w:t>
      </w:r>
      <w:r>
        <w:t>), med en definert ledelse av virksomheten.</w:t>
      </w:r>
    </w:p>
    <w:p w14:paraId="39460ACB" w14:textId="26FC2796" w:rsidR="001956FF" w:rsidRDefault="6B131262" w:rsidP="00775632">
      <w:pPr>
        <w:pStyle w:val="Overskrift4"/>
      </w:pPr>
      <w:bookmarkStart w:id="3418" w:name="_Toc130983560"/>
      <w:bookmarkStart w:id="3419" w:name="_Toc130983909"/>
      <w:bookmarkStart w:id="3420" w:name="_Toc131238491"/>
      <w:bookmarkStart w:id="3421" w:name="_Toc131279522"/>
      <w:bookmarkStart w:id="3422" w:name="_Toc131286934"/>
      <w:bookmarkStart w:id="3423" w:name="_Toc131281344"/>
      <w:bookmarkStart w:id="3424" w:name="_Toc131317884"/>
      <w:r>
        <w:t>Utforming av profesjonsnøytrale takster</w:t>
      </w:r>
      <w:bookmarkEnd w:id="3418"/>
      <w:bookmarkEnd w:id="3419"/>
      <w:bookmarkEnd w:id="3420"/>
      <w:bookmarkEnd w:id="3421"/>
      <w:bookmarkEnd w:id="3422"/>
      <w:bookmarkEnd w:id="3423"/>
      <w:bookmarkEnd w:id="3424"/>
    </w:p>
    <w:p w14:paraId="4F18D920" w14:textId="50F89FAE" w:rsidR="001956FF" w:rsidRPr="00D9107F" w:rsidRDefault="001956FF" w:rsidP="00535AAA">
      <w:pPr>
        <w:jc w:val="both"/>
        <w:rPr>
          <w:rStyle w:val="halvfet"/>
        </w:rPr>
      </w:pPr>
      <w:r>
        <w:t xml:space="preserve">Ulike personellgrupper har ulik kompetanse og utfører ulike oppgaver overfor pasientene. Dersom man har et detaljert takstsystem – som i dag – vil ikke alle personellgrupper kunne utløse alle de samme takstene. Enkelte takster vil måtte være forbeholdt gitte personellgrupper. En mulig løsning for profesjonsnøytrale takster er at man utformer et takstsystem med langt færre takster, </w:t>
      </w:r>
      <w:r w:rsidR="00650558">
        <w:t xml:space="preserve">som er </w:t>
      </w:r>
      <w:r>
        <w:t xml:space="preserve">bredere definert. Da vil takstene kunne benyttes av flere personellgrupper. En betydelig ulempe med en slik løsning er at man vil få mindre </w:t>
      </w:r>
      <w:r w:rsidR="008B02C0">
        <w:t>registerdata</w:t>
      </w:r>
      <w:r>
        <w:t xml:space="preserve"> om aktiviteten i fastlegekontorene.</w:t>
      </w:r>
    </w:p>
    <w:p w14:paraId="61F68984" w14:textId="4123F811" w:rsidR="00D9107F" w:rsidRDefault="001956FF" w:rsidP="00167273">
      <w:pPr>
        <w:jc w:val="both"/>
      </w:pPr>
      <w:r>
        <w:t xml:space="preserve">En annen og mer nærliggende løsning kan være at </w:t>
      </w:r>
      <w:r w:rsidRPr="00D9107F">
        <w:rPr>
          <w:rStyle w:val="kursiv"/>
        </w:rPr>
        <w:t>enkelte</w:t>
      </w:r>
      <w:r>
        <w:t xml:space="preserve"> takster er felles for alle eller flere av personellgruppene, eller at man definerer hvilke takster som </w:t>
      </w:r>
      <w:r w:rsidRPr="00D9107F">
        <w:rPr>
          <w:rStyle w:val="kursiv"/>
        </w:rPr>
        <w:t>ikke</w:t>
      </w:r>
      <w:r>
        <w:t xml:space="preserve"> er profesjonsnøytrale. Forsøk </w:t>
      </w:r>
      <w:r>
        <w:lastRenderedPageBreak/>
        <w:t>med primærhelseteam har takster for lege og sykepleier som i realiteten er relativt like. Sykepleiertakstene er innholdsmessig lik legetakstene. For de vanligste takstene er det også en samordning av taksthonorarer og egenandeler. Sykepleiernes mest brukte takst (</w:t>
      </w:r>
      <w:r w:rsidR="00D9107F">
        <w:t>«</w:t>
      </w:r>
      <w:r>
        <w:t>oppfølging hos sykepleier</w:t>
      </w:r>
      <w:r w:rsidR="00D9107F">
        <w:t>»</w:t>
      </w:r>
      <w:r>
        <w:t xml:space="preserve">) har samme </w:t>
      </w:r>
      <w:r w:rsidR="00252DD8">
        <w:t>betaling</w:t>
      </w:r>
      <w:r>
        <w:t xml:space="preserve"> og egenandel som legenes grunntakst for konsultasjon. Takstene for sykepleieroppfølging og legekonsultasjon i forsøket med primærhelseteam kunne </w:t>
      </w:r>
      <w:r w:rsidR="00DE40BF">
        <w:t xml:space="preserve">derfor </w:t>
      </w:r>
      <w:r>
        <w:t>vært utformet som profesjonsnøytrale takster.</w:t>
      </w:r>
    </w:p>
    <w:p w14:paraId="42B07A65" w14:textId="1518580C" w:rsidR="001956FF" w:rsidRDefault="008B02C0" w:rsidP="00775632">
      <w:pPr>
        <w:pStyle w:val="Overskrift4"/>
      </w:pPr>
      <w:bookmarkStart w:id="3425" w:name="_Ref129899202"/>
      <w:bookmarkStart w:id="3426" w:name="_Toc130983561"/>
      <w:bookmarkStart w:id="3427" w:name="_Toc130983910"/>
      <w:bookmarkStart w:id="3428" w:name="_Toc131238492"/>
      <w:bookmarkStart w:id="3429" w:name="_Toc131279523"/>
      <w:bookmarkStart w:id="3430" w:name="_Toc131286935"/>
      <w:bookmarkStart w:id="3431" w:name="_Toc131281345"/>
      <w:bookmarkStart w:id="3432" w:name="_Toc131317885"/>
      <w:r>
        <w:t xml:space="preserve">Betaling </w:t>
      </w:r>
      <w:r w:rsidR="6B131262">
        <w:t>for profesjonsnøytrale takster</w:t>
      </w:r>
      <w:bookmarkEnd w:id="3425"/>
      <w:bookmarkEnd w:id="3426"/>
      <w:bookmarkEnd w:id="3427"/>
      <w:bookmarkEnd w:id="3428"/>
      <w:bookmarkEnd w:id="3429"/>
      <w:bookmarkEnd w:id="3430"/>
      <w:bookmarkEnd w:id="3431"/>
      <w:bookmarkEnd w:id="3432"/>
    </w:p>
    <w:p w14:paraId="07545BF2" w14:textId="37111778" w:rsidR="001956FF" w:rsidRDefault="009B09F2" w:rsidP="001040B3">
      <w:pPr>
        <w:jc w:val="both"/>
      </w:pPr>
      <w:r>
        <w:t xml:space="preserve">I tillegg til å </w:t>
      </w:r>
      <w:r w:rsidR="001956FF">
        <w:t xml:space="preserve">vurdere hvilke av takstene som bør være profesjonsnøytrale, </w:t>
      </w:r>
      <w:r w:rsidR="00E2704F">
        <w:t>må det vurderes</w:t>
      </w:r>
      <w:r w:rsidR="001956FF">
        <w:t xml:space="preserve"> om alle personellgrupper skal utløse samme </w:t>
      </w:r>
      <w:r w:rsidR="00FB7CFD">
        <w:t>betaling</w:t>
      </w:r>
      <w:r w:rsidR="001956FF">
        <w:t xml:space="preserve">. En betydelig del av dagens takster er i realiteten </w:t>
      </w:r>
      <w:r w:rsidR="00FB7CFD">
        <w:t>betaling for</w:t>
      </w:r>
      <w:r w:rsidR="001956FF">
        <w:t xml:space="preserve"> tid. Det gjelder sykepleier i primærhelseteam og fastlege, og ikke minst avtalepsykologer og fysioterapeuter med driftsavtale. </w:t>
      </w:r>
      <w:r w:rsidR="00496002">
        <w:t>Tidskostnadene</w:t>
      </w:r>
      <w:r w:rsidR="001956FF">
        <w:t xml:space="preserve"> for de ulike personellgruppene er ulik. Innenfor primærhelseteam har man valgt å ha lik </w:t>
      </w:r>
      <w:r w:rsidR="00FB7CFD">
        <w:t>betaling</w:t>
      </w:r>
      <w:r w:rsidR="001956FF">
        <w:t xml:space="preserve"> for </w:t>
      </w:r>
      <w:r w:rsidR="00D9107F">
        <w:t>«</w:t>
      </w:r>
      <w:r w:rsidR="001956FF">
        <w:t>sykepleieroppfølging</w:t>
      </w:r>
      <w:r w:rsidR="00D9107F">
        <w:t>»</w:t>
      </w:r>
      <w:r w:rsidR="00B20C61">
        <w:t xml:space="preserve"> og konsultasjon med lege som ikke er spesialist i allmennmedisin</w:t>
      </w:r>
      <w:r w:rsidR="001956FF">
        <w:t>, men ulik</w:t>
      </w:r>
      <w:r w:rsidR="00E12B7B">
        <w:t>e</w:t>
      </w:r>
      <w:r w:rsidR="001956FF">
        <w:t xml:space="preserve"> tidstakster for sykepleier</w:t>
      </w:r>
      <w:r w:rsidR="006322F1">
        <w:t xml:space="preserve"> og </w:t>
      </w:r>
      <w:r w:rsidR="001956FF">
        <w:t xml:space="preserve">lege. </w:t>
      </w:r>
      <w:r w:rsidR="00C03EA3">
        <w:t>I den grad</w:t>
      </w:r>
      <w:r w:rsidR="001956FF">
        <w:t xml:space="preserve"> konsultasjonstakstene bare delvis er profesjonsnøytrale</w:t>
      </w:r>
      <w:r w:rsidR="00C03EA3">
        <w:t>, vil</w:t>
      </w:r>
      <w:r w:rsidR="001956FF">
        <w:t xml:space="preserve"> det redusere tjenesteyters insentiv til å </w:t>
      </w:r>
      <w:r w:rsidR="000B6206">
        <w:t xml:space="preserve">fokusere på å </w:t>
      </w:r>
      <w:r w:rsidR="001956FF">
        <w:t xml:space="preserve">levere </w:t>
      </w:r>
      <w:r w:rsidR="000B6206">
        <w:t xml:space="preserve">gode </w:t>
      </w:r>
      <w:r w:rsidR="001956FF">
        <w:t xml:space="preserve">tjenester </w:t>
      </w:r>
      <w:r w:rsidR="006662E1">
        <w:t>i stedet for på hvem som leverer dem</w:t>
      </w:r>
      <w:r w:rsidR="001956FF">
        <w:t>.</w:t>
      </w:r>
    </w:p>
    <w:p w14:paraId="28161EF9" w14:textId="77777777" w:rsidR="00D9107F" w:rsidRDefault="00E80EAC" w:rsidP="001040B3">
      <w:pPr>
        <w:jc w:val="both"/>
      </w:pPr>
      <w:r>
        <w:t xml:space="preserve">Dersom tjenestene leveres av personell som har lavere </w:t>
      </w:r>
      <w:r w:rsidR="000F01A3">
        <w:t>time</w:t>
      </w:r>
      <w:r>
        <w:t xml:space="preserve">kostnad enn lege, vil </w:t>
      </w:r>
      <w:r w:rsidRPr="00F627E0">
        <w:t>virksomheten</w:t>
      </w:r>
      <w:r>
        <w:t xml:space="preserve"> få </w:t>
      </w:r>
      <w:r w:rsidR="000F01A3">
        <w:t xml:space="preserve">en </w:t>
      </w:r>
      <w:r>
        <w:t>gevinst</w:t>
      </w:r>
      <w:r w:rsidR="000F01A3">
        <w:t xml:space="preserve"> dersom </w:t>
      </w:r>
      <w:r w:rsidR="00D63D30">
        <w:t>personellet ikke bruker så mye lengre tid enn legen at totalkostnaden blir den samme</w:t>
      </w:r>
      <w:r>
        <w:t xml:space="preserve">. Dersom </w:t>
      </w:r>
      <w:r w:rsidR="003B5AB9">
        <w:t xml:space="preserve">satsen </w:t>
      </w:r>
      <w:r w:rsidR="009B553B">
        <w:t>er den samme for alle helsepersonell</w:t>
      </w:r>
      <w:r w:rsidR="00912419">
        <w:t>grupper</w:t>
      </w:r>
      <w:r>
        <w:t xml:space="preserve">, vil </w:t>
      </w:r>
      <w:r w:rsidR="00912419">
        <w:t xml:space="preserve">virksomheten ha </w:t>
      </w:r>
      <w:r w:rsidR="00B9217B">
        <w:t xml:space="preserve">insentiver til å velge personellgrupper </w:t>
      </w:r>
      <w:r w:rsidR="00163F50">
        <w:t xml:space="preserve">som leverer tilfredsstillende kvalitet til lavest mulig kostnad. Dette vil være gunstig for både </w:t>
      </w:r>
      <w:r w:rsidR="00B77ABE">
        <w:t>virksomhet</w:t>
      </w:r>
      <w:r w:rsidR="009B77FB">
        <w:t>e</w:t>
      </w:r>
      <w:r w:rsidR="00B77ABE">
        <w:t>n og samfunnet.</w:t>
      </w:r>
    </w:p>
    <w:p w14:paraId="2FB4A816" w14:textId="3F75DFC3" w:rsidR="001956FF" w:rsidRDefault="001956FF" w:rsidP="001040B3">
      <w:pPr>
        <w:jc w:val="both"/>
      </w:pPr>
      <w:r>
        <w:t xml:space="preserve">Med </w:t>
      </w:r>
      <w:r w:rsidR="00263DAF">
        <w:t>kombinasjonen av</w:t>
      </w:r>
      <w:r>
        <w:t xml:space="preserve"> profesjonsnøytrale taksthonorarer og ulik kostnad for ulike personellgrupper, kan det være en risiko for at inntjeningen </w:t>
      </w:r>
      <w:r w:rsidR="0075004E">
        <w:t>fra den enkelte takst</w:t>
      </w:r>
      <w:r>
        <w:t xml:space="preserve"> </w:t>
      </w:r>
      <w:r w:rsidR="00F76890">
        <w:t xml:space="preserve">blir </w:t>
      </w:r>
      <w:r w:rsidR="00365FCB">
        <w:t>så</w:t>
      </w:r>
      <w:r w:rsidR="00F76890">
        <w:t xml:space="preserve"> </w:t>
      </w:r>
      <w:r w:rsidR="00E04A13">
        <w:t>høy</w:t>
      </w:r>
      <w:r w:rsidR="00AE0F7E">
        <w:t xml:space="preserve"> at tjenestevolumet blir </w:t>
      </w:r>
      <w:r w:rsidR="008305D2">
        <w:t>for høyt</w:t>
      </w:r>
      <w:r>
        <w:t xml:space="preserve">. </w:t>
      </w:r>
      <w:r w:rsidR="004A39CB">
        <w:t>Denne risikoen blir mindre ved at aktivitetsbaserte takster bare</w:t>
      </w:r>
      <w:r>
        <w:t xml:space="preserve"> er en </w:t>
      </w:r>
      <w:r w:rsidR="004A39CB">
        <w:t>del av inntektsgrunnlaget for legekontoret.</w:t>
      </w:r>
      <w:r>
        <w:t xml:space="preserve"> Lavere andel aktivitetsbasert finansiering, </w:t>
      </w:r>
      <w:r w:rsidR="00DA1A81">
        <w:t xml:space="preserve">slik </w:t>
      </w:r>
      <w:r w:rsidR="00E23AF8">
        <w:t xml:space="preserve">flertallet i utvalget </w:t>
      </w:r>
      <w:r w:rsidR="00EA15BE">
        <w:t>anbefaler</w:t>
      </w:r>
      <w:r w:rsidR="00DA1A81">
        <w:t xml:space="preserve"> i kapittel </w:t>
      </w:r>
      <w:r w:rsidR="00EE0D48">
        <w:t>5.7</w:t>
      </w:r>
      <w:r w:rsidR="00DA1A81">
        <w:t xml:space="preserve">, </w:t>
      </w:r>
      <w:r>
        <w:t xml:space="preserve">og dermed lavere </w:t>
      </w:r>
      <w:r w:rsidR="00136D3C">
        <w:t>betaling</w:t>
      </w:r>
      <w:r>
        <w:t xml:space="preserve"> per </w:t>
      </w:r>
      <w:r w:rsidR="00291517">
        <w:t>takst</w:t>
      </w:r>
      <w:r>
        <w:t>, vil redusere denne risikoen.</w:t>
      </w:r>
    </w:p>
    <w:p w14:paraId="1A1A52F0" w14:textId="77777777" w:rsidR="00D9107F" w:rsidRDefault="001956FF" w:rsidP="00E24FE3">
      <w:pPr>
        <w:jc w:val="both"/>
        <w:rPr>
          <w:color w:val="000000" w:themeColor="text1"/>
        </w:rPr>
      </w:pPr>
      <w:r w:rsidRPr="00F84F11">
        <w:t>Egenandeler bidrar både til finansiering av tjenestene og til å begrense overforbruk av helsetjenester.</w:t>
      </w:r>
      <w:r>
        <w:t xml:space="preserve"> Enkelhet for pasientene og likeverdighet i tjenester er argumenter for like egenandeler</w:t>
      </w:r>
      <w:r w:rsidR="00E67145">
        <w:t xml:space="preserve"> på tvers av personellgrupper</w:t>
      </w:r>
      <w:r>
        <w:t xml:space="preserve">. </w:t>
      </w:r>
      <w:r w:rsidR="61F1B6D8">
        <w:t>S</w:t>
      </w:r>
      <w:r>
        <w:t xml:space="preserve">iden egenandelen utgjør hoveddelen av </w:t>
      </w:r>
      <w:r w:rsidR="00FA3155">
        <w:t>bet</w:t>
      </w:r>
      <w:r w:rsidR="00572B48">
        <w:t>a</w:t>
      </w:r>
      <w:r w:rsidR="00FA3155">
        <w:t>lingen</w:t>
      </w:r>
      <w:r>
        <w:t xml:space="preserve"> for konsultasjoner, er det samtidig et argument for at grunntakster for konsultasjon og oppfølging kan være felles profesjonsnøytrale </w:t>
      </w:r>
      <w:r w:rsidRPr="00EA15BE">
        <w:rPr>
          <w:color w:val="000000" w:themeColor="text1"/>
        </w:rPr>
        <w:t xml:space="preserve">takster. </w:t>
      </w:r>
      <w:r w:rsidR="00471C1D">
        <w:rPr>
          <w:color w:val="000000" w:themeColor="text1"/>
        </w:rPr>
        <w:t>Likevel kan</w:t>
      </w:r>
      <w:r w:rsidR="005213F5" w:rsidRPr="00EA15BE">
        <w:rPr>
          <w:color w:val="000000" w:themeColor="text1"/>
        </w:rPr>
        <w:t xml:space="preserve"> etablering av tverrfaglig team på legekontoret </w:t>
      </w:r>
      <w:r w:rsidR="003D54C6">
        <w:rPr>
          <w:color w:val="000000" w:themeColor="text1"/>
        </w:rPr>
        <w:t xml:space="preserve">få </w:t>
      </w:r>
      <w:r w:rsidR="003D54C6" w:rsidRPr="4BCADF09">
        <w:rPr>
          <w:color w:val="000000" w:themeColor="text1"/>
        </w:rPr>
        <w:t>øko</w:t>
      </w:r>
      <w:r w:rsidR="23586DA7" w:rsidRPr="4BCADF09">
        <w:rPr>
          <w:color w:val="000000" w:themeColor="text1"/>
        </w:rPr>
        <w:t>no</w:t>
      </w:r>
      <w:r w:rsidR="003D54C6" w:rsidRPr="4BCADF09">
        <w:rPr>
          <w:color w:val="000000" w:themeColor="text1"/>
        </w:rPr>
        <w:t>miske konsekve</w:t>
      </w:r>
      <w:r w:rsidR="2444CD99" w:rsidRPr="4BCADF09">
        <w:rPr>
          <w:color w:val="000000" w:themeColor="text1"/>
        </w:rPr>
        <w:t>ns</w:t>
      </w:r>
      <w:r w:rsidR="003D54C6" w:rsidRPr="4BCADF09">
        <w:rPr>
          <w:color w:val="000000" w:themeColor="text1"/>
        </w:rPr>
        <w:t>er</w:t>
      </w:r>
      <w:r w:rsidR="003D54C6">
        <w:rPr>
          <w:color w:val="000000" w:themeColor="text1"/>
        </w:rPr>
        <w:t xml:space="preserve"> for noen pasienter</w:t>
      </w:r>
      <w:r w:rsidR="00FF364E">
        <w:rPr>
          <w:color w:val="000000" w:themeColor="text1"/>
        </w:rPr>
        <w:t xml:space="preserve">, </w:t>
      </w:r>
      <w:r w:rsidR="005213F5" w:rsidRPr="00EA15BE">
        <w:rPr>
          <w:color w:val="000000" w:themeColor="text1"/>
        </w:rPr>
        <w:t xml:space="preserve">eksempelvis </w:t>
      </w:r>
      <w:r w:rsidR="00FF364E">
        <w:rPr>
          <w:color w:val="000000" w:themeColor="text1"/>
        </w:rPr>
        <w:t xml:space="preserve">vil </w:t>
      </w:r>
      <w:r w:rsidR="005213F5" w:rsidRPr="00EA15BE">
        <w:rPr>
          <w:color w:val="000000" w:themeColor="text1"/>
        </w:rPr>
        <w:t xml:space="preserve">en pasient </w:t>
      </w:r>
      <w:r w:rsidR="00FF364E">
        <w:rPr>
          <w:color w:val="000000" w:themeColor="text1"/>
        </w:rPr>
        <w:t xml:space="preserve">som </w:t>
      </w:r>
      <w:r w:rsidR="005213F5" w:rsidRPr="00EA15BE">
        <w:rPr>
          <w:color w:val="000000" w:themeColor="text1"/>
        </w:rPr>
        <w:t>får oppfølging av en psykiatrisk sykepleier utenfor fastlegekontoret</w:t>
      </w:r>
      <w:r w:rsidR="005A4D20">
        <w:rPr>
          <w:color w:val="000000" w:themeColor="text1"/>
        </w:rPr>
        <w:t xml:space="preserve"> ikke </w:t>
      </w:r>
      <w:r w:rsidR="00900A2B">
        <w:rPr>
          <w:color w:val="000000" w:themeColor="text1"/>
        </w:rPr>
        <w:t>måtte betale egenandel</w:t>
      </w:r>
      <w:r w:rsidR="006128F5">
        <w:rPr>
          <w:color w:val="000000" w:themeColor="text1"/>
        </w:rPr>
        <w:t xml:space="preserve"> </w:t>
      </w:r>
      <w:r w:rsidR="00900A2B">
        <w:rPr>
          <w:color w:val="000000" w:themeColor="text1"/>
        </w:rPr>
        <w:t>mens s</w:t>
      </w:r>
      <w:r w:rsidR="005213F5" w:rsidRPr="00EA15BE">
        <w:rPr>
          <w:color w:val="000000" w:themeColor="text1"/>
        </w:rPr>
        <w:t xml:space="preserve">amme tjeneste fra en sykepleier på legekontoret medfører at pasienten må betale </w:t>
      </w:r>
      <w:r w:rsidR="005213F5" w:rsidRPr="00EA15BE">
        <w:rPr>
          <w:color w:val="000000" w:themeColor="text1"/>
        </w:rPr>
        <w:lastRenderedPageBreak/>
        <w:t>egenandel</w:t>
      </w:r>
      <w:r w:rsidR="00A67BD7">
        <w:rPr>
          <w:color w:val="000000" w:themeColor="text1"/>
        </w:rPr>
        <w:t xml:space="preserve"> inntil man når </w:t>
      </w:r>
      <w:r w:rsidR="00A67BD7" w:rsidRPr="4BCADF09">
        <w:rPr>
          <w:color w:val="000000" w:themeColor="text1"/>
        </w:rPr>
        <w:t>egenandel</w:t>
      </w:r>
      <w:r w:rsidR="12BF5D68" w:rsidRPr="4BCADF09">
        <w:rPr>
          <w:color w:val="000000" w:themeColor="text1"/>
        </w:rPr>
        <w:t>s</w:t>
      </w:r>
      <w:r w:rsidR="00A67BD7" w:rsidRPr="4BCADF09">
        <w:rPr>
          <w:color w:val="000000" w:themeColor="text1"/>
        </w:rPr>
        <w:t>taket</w:t>
      </w:r>
      <w:r w:rsidR="005213F5" w:rsidRPr="4BCADF09">
        <w:rPr>
          <w:color w:val="000000" w:themeColor="text1"/>
        </w:rPr>
        <w:t>.</w:t>
      </w:r>
      <w:r w:rsidR="005213F5" w:rsidRPr="00EA15BE">
        <w:rPr>
          <w:color w:val="000000" w:themeColor="text1"/>
        </w:rPr>
        <w:t xml:space="preserve"> Dette vil også gjelde for andre tjenester, blant annet sårbehandling.</w:t>
      </w:r>
    </w:p>
    <w:p w14:paraId="1805512B" w14:textId="73AEF5D8" w:rsidR="001956FF" w:rsidRDefault="6B131262" w:rsidP="00775632">
      <w:pPr>
        <w:pStyle w:val="Overskrift3"/>
      </w:pPr>
      <w:bookmarkStart w:id="3433" w:name="_Toc126305348"/>
      <w:bookmarkStart w:id="3434" w:name="_Toc126817076"/>
      <w:bookmarkStart w:id="3435" w:name="_Toc127633257"/>
      <w:bookmarkStart w:id="3436" w:name="_Toc127864543"/>
      <w:bookmarkStart w:id="3437" w:name="_Toc128238551"/>
      <w:bookmarkStart w:id="3438" w:name="_Toc128742033"/>
      <w:bookmarkStart w:id="3439" w:name="_Toc128744628"/>
      <w:bookmarkStart w:id="3440" w:name="_Toc128744847"/>
      <w:bookmarkStart w:id="3441" w:name="_Toc129630351"/>
      <w:bookmarkStart w:id="3442" w:name="_Ref130692970"/>
      <w:bookmarkStart w:id="3443" w:name="_Toc130763852"/>
      <w:bookmarkStart w:id="3444" w:name="_Toc130766747"/>
      <w:bookmarkStart w:id="3445" w:name="_Toc130932148"/>
      <w:bookmarkStart w:id="3446" w:name="_Toc130934439"/>
      <w:bookmarkStart w:id="3447" w:name="_Toc130983562"/>
      <w:bookmarkStart w:id="3448" w:name="_Toc130983911"/>
      <w:bookmarkStart w:id="3449" w:name="_Toc131062193"/>
      <w:bookmarkStart w:id="3450" w:name="_Toc131062447"/>
      <w:bookmarkStart w:id="3451" w:name="_Toc131062708"/>
      <w:bookmarkStart w:id="3452" w:name="_Toc131062961"/>
      <w:bookmarkStart w:id="3453" w:name="_Toc131063744"/>
      <w:bookmarkStart w:id="3454" w:name="_Toc131064154"/>
      <w:bookmarkStart w:id="3455" w:name="_Toc131238493"/>
      <w:bookmarkStart w:id="3456" w:name="_Toc131279524"/>
      <w:bookmarkStart w:id="3457" w:name="_Toc131286936"/>
      <w:bookmarkStart w:id="3458" w:name="_Toc131281346"/>
      <w:bookmarkStart w:id="3459" w:name="_Toc131317886"/>
      <w:bookmarkStart w:id="3460" w:name="_Toc132537018"/>
      <w:r>
        <w:t>Kostnadskontroll</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1F078F40" w14:textId="6DFBCF78" w:rsidR="001956FF" w:rsidRDefault="001956FF" w:rsidP="002B4A4C">
      <w:pPr>
        <w:jc w:val="both"/>
      </w:pPr>
      <w:r>
        <w:t xml:space="preserve">Dersom det innføres profesjonsnøytrale takster eller det åpnes for mer delegering, vil det ligge insentiv for tjenesteyter til å levere tjenestene med personell som har lavere kostnader enn lege. </w:t>
      </w:r>
      <w:r w:rsidR="00412D7A">
        <w:t>Slik oppgavedeling</w:t>
      </w:r>
      <w:r>
        <w:t xml:space="preserve"> vil også være en av målsettingene med tverrfaglighet</w:t>
      </w:r>
      <w:r w:rsidR="00AE75AE">
        <w:t>, delegering</w:t>
      </w:r>
      <w:r>
        <w:t xml:space="preserve"> og profesjonsnøytrale takster. </w:t>
      </w:r>
      <w:r w:rsidR="00D92A1F">
        <w:t xml:space="preserve">Samtidig skal de økonomiske insentivene ikke trekke i retning av at </w:t>
      </w:r>
      <w:r w:rsidR="00886EA0">
        <w:t>det leveres for mange tjenester eller at de</w:t>
      </w:r>
      <w:r w:rsidR="00D92A1F">
        <w:t xml:space="preserve"> lever</w:t>
      </w:r>
      <w:r w:rsidR="003E3850">
        <w:t>e</w:t>
      </w:r>
      <w:r w:rsidR="00D92A1F">
        <w:t>s på et for lav</w:t>
      </w:r>
      <w:r w:rsidR="00BC675C">
        <w:t>t kompetansenivå.</w:t>
      </w:r>
    </w:p>
    <w:p w14:paraId="39B5F406" w14:textId="77777777" w:rsidR="00D9107F" w:rsidRDefault="001956FF" w:rsidP="002B4A4C">
      <w:pPr>
        <w:jc w:val="both"/>
      </w:pPr>
      <w:r>
        <w:t xml:space="preserve">En viktig side ved finansieringssystemer er kostnadskontroll. Det må ligge begrensninger i systemet, slik at det offentlige har kontroll på kostnadene. Innretningen på dagens takstsystem </w:t>
      </w:r>
      <w:r w:rsidR="00B616EB">
        <w:t xml:space="preserve">sikrer at det kun er </w:t>
      </w:r>
      <w:r>
        <w:t>fastlege</w:t>
      </w:r>
      <w:r w:rsidR="0004308B">
        <w:t xml:space="preserve">ne som kan utløse konsultasjonstakster. </w:t>
      </w:r>
      <w:r w:rsidR="00D71B1A">
        <w:t>Dette innebærer kostnadskontroll</w:t>
      </w:r>
      <w:r w:rsidR="00150AB1">
        <w:t>,</w:t>
      </w:r>
      <w:r w:rsidR="00D71B1A">
        <w:t xml:space="preserve"> d</w:t>
      </w:r>
      <w:r>
        <w:t xml:space="preserve">a det vil være </w:t>
      </w:r>
      <w:r w:rsidR="00914345">
        <w:t xml:space="preserve">grenser for </w:t>
      </w:r>
      <w:r>
        <w:t>hvor mye aktivitet en fastlege kan utføre selv, og hvor mye som vil være mulig å delegere</w:t>
      </w:r>
      <w:r w:rsidR="00C20E72">
        <w:t xml:space="preserve"> under dagens regelverk</w:t>
      </w:r>
      <w:r>
        <w:t>.</w:t>
      </w:r>
    </w:p>
    <w:p w14:paraId="2C4C0BD6" w14:textId="317D947B" w:rsidR="005213F5" w:rsidRDefault="001956FF" w:rsidP="0060532E">
      <w:pPr>
        <w:jc w:val="both"/>
      </w:pPr>
      <w:r>
        <w:t xml:space="preserve">Profesjonsnøytrale takster og </w:t>
      </w:r>
      <w:r w:rsidR="00C20E72">
        <w:t xml:space="preserve">utvidet </w:t>
      </w:r>
      <w:r>
        <w:t>delegering vil legge til rette for bruk av annet og flere personellgrupper på fastlegekontoret. Dette vil kunne øke aktiviteten, og det vil være vanskeligere å forutsi omfanget av dette, og derav også kostnaden</w:t>
      </w:r>
      <w:r w:rsidR="002535A9">
        <w:t>e for samfunnet</w:t>
      </w:r>
      <w:r w:rsidR="00912234">
        <w:t xml:space="preserve"> (</w:t>
      </w:r>
      <w:r w:rsidR="00666D39">
        <w:t>se omtale i kapittel 6.3.10</w:t>
      </w:r>
      <w:r w:rsidR="00912234">
        <w:t>)</w:t>
      </w:r>
      <w:r>
        <w:t xml:space="preserve">. I mange tilfeller vil økt aktivitet være ønsket. Det kan øke tilgjengeligheten til tjenesten og det kan bidra til flere tjenester til pasientgrupper som per i dag ikke mottar </w:t>
      </w:r>
      <w:r w:rsidR="3A4E50FE">
        <w:t>d</w:t>
      </w:r>
      <w:r w:rsidR="732A661E">
        <w:t>isse</w:t>
      </w:r>
      <w:r>
        <w:t xml:space="preserve"> i tilstrekkelig grad. På samme tid vil det kunne gi overaktivitet, </w:t>
      </w:r>
      <w:r w:rsidR="00DD03B4">
        <w:t>dersom</w:t>
      </w:r>
      <w:r>
        <w:t xml:space="preserve"> det er tilbudet av tjenester og ikke pasientens behov som blir styrende for aktivitetsnivået.</w:t>
      </w:r>
    </w:p>
    <w:p w14:paraId="270C0DD7" w14:textId="77777777" w:rsidR="00D9107F" w:rsidRDefault="001956FF" w:rsidP="0060532E">
      <w:pPr>
        <w:jc w:val="both"/>
      </w:pPr>
      <w:r>
        <w:t>For å gi det offentlige kontroll på kostnadene til takstrefusjoner, vil flere faktorer kunne bidra til å sette noen rammer for aktivitetsnivået på fastlegekontoret. Krav til kompetanse, og til å yte gode og forsvarlige helsetjenester</w:t>
      </w:r>
      <w:r w:rsidR="00DB19C8">
        <w:t>,</w:t>
      </w:r>
      <w:r>
        <w:t xml:space="preserve"> vil begrense</w:t>
      </w:r>
      <w:r w:rsidR="00315025">
        <w:t xml:space="preserve"> </w:t>
      </w:r>
      <w:r>
        <w:t>hvilke personell som kan utføre ulike oppgaver. I tillegg kan det være behov for å sette andre grenser for overføring av oppgaver til andre personellgrupper</w:t>
      </w:r>
      <w:r w:rsidR="005D7587">
        <w:t xml:space="preserve"> enn fastlegen</w:t>
      </w:r>
      <w:r>
        <w:t>. En slik grense kan være at det innføres b</w:t>
      </w:r>
      <w:r w:rsidRPr="62226C5B">
        <w:t>estemmelser om maks</w:t>
      </w:r>
      <w:r w:rsidR="00892534">
        <w:t>imalt</w:t>
      </w:r>
      <w:r w:rsidRPr="62226C5B">
        <w:t xml:space="preserve"> antall personell i virksomheten. </w:t>
      </w:r>
      <w:r>
        <w:t xml:space="preserve">I forsøket med primærhelseteam er det satt rammer for størrelsen på sykepleierressursen </w:t>
      </w:r>
      <w:r w:rsidR="3A4E50FE">
        <w:t>relativ</w:t>
      </w:r>
      <w:r w:rsidR="573239BF">
        <w:t>t</w:t>
      </w:r>
      <w:r>
        <w:t xml:space="preserve"> til </w:t>
      </w:r>
      <w:r w:rsidR="3A4E50FE">
        <w:t>fastlegen</w:t>
      </w:r>
      <w:r w:rsidR="43161480">
        <w:t>e</w:t>
      </w:r>
      <w:r w:rsidR="3A4E50FE">
        <w:t>.</w:t>
      </w:r>
      <w:r>
        <w:t xml:space="preserve"> En veiledende norm er én sykepleier per </w:t>
      </w:r>
      <w:r w:rsidR="00AE504F">
        <w:t>tre</w:t>
      </w:r>
      <w:r>
        <w:t xml:space="preserve"> fastleger. Tilsvarende norm vil også kunne settes for flere helsepersonellgrupper. </w:t>
      </w:r>
      <w:r w:rsidRPr="62226C5B">
        <w:t xml:space="preserve">Danmark </w:t>
      </w:r>
      <w:r w:rsidR="36F73597">
        <w:t>har</w:t>
      </w:r>
      <w:r w:rsidR="3A4E50FE">
        <w:t xml:space="preserve"> </w:t>
      </w:r>
      <w:r w:rsidRPr="62226C5B">
        <w:t>en begrensning knyttet til antall leger under spesialisering per legespesialist. En begrensning knyttet til antall personell på fastlegekontoret vil begrense kostnadene, men samtidig vil det redusere fleksibiliteten til å yte kostnadseffektive tjenester.</w:t>
      </w:r>
    </w:p>
    <w:p w14:paraId="4E3F3ECA" w14:textId="145F4CA5" w:rsidR="001956FF" w:rsidRDefault="001956FF" w:rsidP="0060532E">
      <w:pPr>
        <w:jc w:val="both"/>
        <w:rPr>
          <w:rFonts w:cstheme="minorHAnsi"/>
        </w:rPr>
      </w:pPr>
      <w:r>
        <w:rPr>
          <w:rFonts w:cstheme="minorHAnsi"/>
        </w:rPr>
        <w:t xml:space="preserve">Andre begrensninger på aktivitetsnivået og kostnader kan knyttes til antall innbyggere fastlegekontoret kan yte tjenester til. En slik begrensning vil være tilnærmet lik dagens ordning ved at fastlegens listetak avtales med kommunen, og vil kunne gjelde for legekontorets samlede listetak. Det vil også være mulig å sette en fast grense for hvor mye av legekontorets samlede </w:t>
      </w:r>
      <w:r>
        <w:rPr>
          <w:rFonts w:cstheme="minorHAnsi"/>
        </w:rPr>
        <w:lastRenderedPageBreak/>
        <w:t>omsetning som kan være knyttet til aktivitetsbasert finansiering gjennom takster. Hvilket nivå som er rimelig, må i så fall utredes videre. Se også beskrivelse av Danmark</w:t>
      </w:r>
      <w:r w:rsidRPr="004E5E2F">
        <w:t xml:space="preserve"> </w:t>
      </w:r>
      <w:r w:rsidR="004E5E2F">
        <w:t>i kapittel 6.3.</w:t>
      </w:r>
      <w:r w:rsidR="006036AC">
        <w:t>3.2</w:t>
      </w:r>
      <w:r>
        <w:rPr>
          <w:rFonts w:cstheme="minorHAnsi"/>
        </w:rPr>
        <w:t>.</w:t>
      </w:r>
    </w:p>
    <w:p w14:paraId="694B586F" w14:textId="77777777" w:rsidR="00D9107F" w:rsidRDefault="001956FF" w:rsidP="0060532E">
      <w:pPr>
        <w:jc w:val="both"/>
        <w:rPr>
          <w:rFonts w:cstheme="minorHAnsi"/>
        </w:rPr>
      </w:pPr>
      <w:r>
        <w:rPr>
          <w:rFonts w:cstheme="minorHAnsi"/>
        </w:rPr>
        <w:t xml:space="preserve">Det kan også settes begrensninger for eksempel på </w:t>
      </w:r>
      <w:r w:rsidR="7B61C795" w:rsidRPr="12759D2A">
        <w:t>ett</w:t>
      </w:r>
      <w:r w:rsidR="3A4E50FE" w:rsidRPr="12759D2A">
        <w:t xml:space="preserve"> konsultasjon</w:t>
      </w:r>
      <w:r w:rsidR="2A053C56" w:rsidRPr="12759D2A">
        <w:t>shonorar</w:t>
      </w:r>
      <w:r>
        <w:rPr>
          <w:rFonts w:cstheme="minorHAnsi"/>
        </w:rPr>
        <w:t xml:space="preserve"> </w:t>
      </w:r>
      <w:r w:rsidR="3A4E50FE" w:rsidRPr="516A88E3">
        <w:t>p</w:t>
      </w:r>
      <w:r w:rsidRPr="516A88E3">
        <w:t>er</w:t>
      </w:r>
      <w:r>
        <w:rPr>
          <w:rFonts w:cstheme="minorHAnsi"/>
        </w:rPr>
        <w:t xml:space="preserve"> pasient per dag, også dersom konsultasjonen gjennomføres hos to ulike behandlere. Danmark har en slik begrensning </w:t>
      </w:r>
      <w:r w:rsidR="00150AB1">
        <w:rPr>
          <w:rFonts w:cstheme="minorHAnsi"/>
        </w:rPr>
        <w:t>ved</w:t>
      </w:r>
      <w:r>
        <w:rPr>
          <w:rFonts w:cstheme="minorHAnsi"/>
        </w:rPr>
        <w:t xml:space="preserve"> delegering av oppgaver. </w:t>
      </w:r>
      <w:r w:rsidR="001B2FB2">
        <w:rPr>
          <w:rFonts w:cstheme="minorHAnsi"/>
        </w:rPr>
        <w:t xml:space="preserve">En annen begrensning kunne være at </w:t>
      </w:r>
      <w:r w:rsidR="00A86C20">
        <w:rPr>
          <w:rFonts w:cstheme="minorHAnsi"/>
        </w:rPr>
        <w:t xml:space="preserve">alt </w:t>
      </w:r>
      <w:r w:rsidR="001B2FB2">
        <w:rPr>
          <w:rFonts w:cstheme="minorHAnsi"/>
        </w:rPr>
        <w:t xml:space="preserve">annet personell på kontoret ikke skal kunne takste </w:t>
      </w:r>
      <w:r w:rsidR="00A86C20">
        <w:rPr>
          <w:rFonts w:cstheme="minorHAnsi"/>
        </w:rPr>
        <w:t xml:space="preserve">for mer enn </w:t>
      </w:r>
      <w:r w:rsidR="00052178">
        <w:rPr>
          <w:rFonts w:cstheme="minorHAnsi"/>
        </w:rPr>
        <w:t xml:space="preserve">en </w:t>
      </w:r>
      <w:r w:rsidR="00150AB1">
        <w:rPr>
          <w:rFonts w:cstheme="minorHAnsi"/>
        </w:rPr>
        <w:t xml:space="preserve">gitt </w:t>
      </w:r>
      <w:r w:rsidR="00052178">
        <w:rPr>
          <w:rFonts w:cstheme="minorHAnsi"/>
        </w:rPr>
        <w:t xml:space="preserve">prosentandel av hva </w:t>
      </w:r>
      <w:r w:rsidR="00A0138B">
        <w:rPr>
          <w:rFonts w:cstheme="minorHAnsi"/>
        </w:rPr>
        <w:t>alle fast</w:t>
      </w:r>
      <w:r w:rsidR="00052178">
        <w:rPr>
          <w:rFonts w:cstheme="minorHAnsi"/>
        </w:rPr>
        <w:t xml:space="preserve">legene </w:t>
      </w:r>
      <w:r w:rsidR="00A0138B">
        <w:rPr>
          <w:rFonts w:cstheme="minorHAnsi"/>
        </w:rPr>
        <w:t xml:space="preserve">på kontoret </w:t>
      </w:r>
      <w:r w:rsidR="00052178">
        <w:rPr>
          <w:rFonts w:cstheme="minorHAnsi"/>
        </w:rPr>
        <w:t>takster for</w:t>
      </w:r>
      <w:r w:rsidR="00A0138B">
        <w:rPr>
          <w:rFonts w:cstheme="minorHAnsi"/>
        </w:rPr>
        <w:t xml:space="preserve"> i løpet av en </w:t>
      </w:r>
      <w:r w:rsidR="00C20C4E">
        <w:rPr>
          <w:rFonts w:cstheme="minorHAnsi"/>
        </w:rPr>
        <w:t>tidsperiode</w:t>
      </w:r>
      <w:r w:rsidR="00A86C20">
        <w:rPr>
          <w:rFonts w:cstheme="minorHAnsi"/>
        </w:rPr>
        <w:t>.</w:t>
      </w:r>
    </w:p>
    <w:p w14:paraId="4AE3AED3" w14:textId="77777777" w:rsidR="00D9107F" w:rsidRDefault="001956FF" w:rsidP="0060532E">
      <w:pPr>
        <w:jc w:val="both"/>
      </w:pPr>
      <w:r w:rsidRPr="05DCDD01">
        <w:t>I tillegg vil kontroller i oppgjørssystemet, og etterkontroller fra Helfo</w:t>
      </w:r>
      <w:r w:rsidR="00150AB1">
        <w:t>,</w:t>
      </w:r>
      <w:r w:rsidRPr="05DCDD01">
        <w:t xml:space="preserve"> kunne bidra til riktig takstbruk og kostnadskontroll. I dag benyttes i stor grad takstene for å følge med på </w:t>
      </w:r>
      <w:r>
        <w:t xml:space="preserve">og kontrollere legenes </w:t>
      </w:r>
      <w:r w:rsidR="00CB6F21">
        <w:t>takstbruk</w:t>
      </w:r>
      <w:r>
        <w:t xml:space="preserve">. Profesjonsnøytrale takster vil medføre behov for andre kontrollmekanismer, </w:t>
      </w:r>
      <w:r w:rsidR="00A85022">
        <w:t xml:space="preserve">og </w:t>
      </w:r>
      <w:r w:rsidR="00FC0C02">
        <w:t xml:space="preserve">det må være </w:t>
      </w:r>
      <w:r w:rsidR="00A85022">
        <w:t>system</w:t>
      </w:r>
      <w:r w:rsidR="009D6EA3">
        <w:t>er</w:t>
      </w:r>
      <w:r w:rsidR="00FC0C02">
        <w:t xml:space="preserve"> som</w:t>
      </w:r>
      <w:r w:rsidR="00A85022">
        <w:t xml:space="preserve"> sikre</w:t>
      </w:r>
      <w:r w:rsidR="00FC0C02">
        <w:t>r</w:t>
      </w:r>
      <w:r w:rsidR="00A85022">
        <w:t xml:space="preserve"> at </w:t>
      </w:r>
      <w:r>
        <w:t xml:space="preserve">takstbruken </w:t>
      </w:r>
      <w:r w:rsidR="00A85022">
        <w:t>kan knyttes til</w:t>
      </w:r>
      <w:r>
        <w:t xml:space="preserve"> hvem som har </w:t>
      </w:r>
      <w:r w:rsidR="009B2C7D">
        <w:t>utløst taksten</w:t>
      </w:r>
      <w:r w:rsidR="00A115C2">
        <w:t xml:space="preserve"> ved å ut</w:t>
      </w:r>
      <w:r>
        <w:t>før</w:t>
      </w:r>
      <w:r w:rsidR="00A115C2">
        <w:t>e</w:t>
      </w:r>
      <w:r>
        <w:t xml:space="preserve"> oppgaven.</w:t>
      </w:r>
    </w:p>
    <w:p w14:paraId="6B169128" w14:textId="0A8C7EA8" w:rsidR="001956FF" w:rsidRDefault="6B131262" w:rsidP="0060532E">
      <w:pPr>
        <w:jc w:val="both"/>
      </w:pPr>
      <w:r>
        <w:t xml:space="preserve">Det at inntektene går direkte til enkeltleger kan øke risikoen for overforbruk av takster. </w:t>
      </w:r>
      <w:r w:rsidR="105B5D69">
        <w:t xml:space="preserve">Insentiver til tilpasninger til finansieringssystemene er spesielt sterke der tilpasningene gir direkte effekt på legenes egne inntekter. </w:t>
      </w:r>
      <w:r w:rsidR="3B2B0E6C">
        <w:t>N</w:t>
      </w:r>
      <w:r w:rsidR="105B5D69">
        <w:t xml:space="preserve">år man observerer </w:t>
      </w:r>
      <w:r w:rsidR="2E20BB5F">
        <w:t>opp-koding</w:t>
      </w:r>
      <w:r w:rsidR="105B5D69">
        <w:t xml:space="preserve"> av kliniske data for å påvirke betaling til sykehus </w:t>
      </w:r>
      <w:r w:rsidR="001D3985">
        <w:fldChar w:fldCharType="begin">
          <w:fldData xml:space="preserve">PEVuZE5vdGU+PENpdGU+PEF1dGhvcj5CYXJyb3M8L0F1dGhvcj48WWVhcj4yMDE3PC9ZZWFyPjxS
ZWNOdW0+ODQzPC9SZWNOdW0+PERpc3BsYXlUZXh0PihCYXJyb3MgZXQgYWwuLCAyMDE3KTwvRGlz
cGxheVRleHQ+PHJlY29yZD48cmVjLW51bWJlcj44NDM8L3JlYy1udW1iZXI+PGZvcmVpZ24ta2V5
cz48a2V5IGFwcD0iRU4iIGRiLWlkPSI5NXRwcjJ0cDZyOXh3b2VhOXJiNXdkc3o1ZHM1eGVkZHRl
ZXciIHRpbWVzdGFtcD0iMTY4MDA2OTUxMSI+ODQzPC9rZXk+PC9mb3JlaWduLWtleXM+PHJlZi10
eXBlIG5hbWU9IkpvdXJuYWwgQXJ0aWNsZSI+MTc8L3JlZi10eXBlPjxjb250cmlidXRvcnM+PGF1
dGhvcnM+PGF1dGhvcj5CYXJyb3MsIFAuPC9hdXRob3I+PGF1dGhvcj5CcmF1biwgRy48L2F1dGhv
cj48L2F1dGhvcnM+PC9jb250cmlidXRvcnM+PGF1dGgtYWRkcmVzcz5CYXJyb3MsIFBlZHJvLiBO
b3ZhIFNjaG9vbCBvZiBCdXNpbmVzcyBhbmQgRWNvbm9taWNzLCBMaXNib24sIFBvcnR1Z2FsLiYj
eEQ7QnJhdW4sIEdpc2VsZS4gRGVwYXJ0bWVudCBvZiBFY29ub21pY3MsIFVuaXZlcnNpZGFkZSBG
ZWRlcmFsIGRlIFBlbG90YXMsIFBlbG90YXMsIEJyYXppbC48L2F1dGgtYWRkcmVzcz48dGl0bGVz
Pjx0aXRsZT5VcGNvZGluZyBpbiBhIE5hdGlvbmFsIEhlYWx0aCBTZXJ2aWNlOiB0aGUgZXZpZGVu
Y2UgZnJvbSBQb3J0dWdhbDwvdGl0bGU+PHNlY29uZGFyeS10aXRsZT5IZWFsdGggRWNvbm9taWNz
PC9zZWNvbmRhcnktdGl0bGU+PGFsdC10aXRsZT5IZWFsdGggRWNvbjwvYWx0LXRpdGxlPjwvdGl0
bGVzPjxwZXJpb2RpY2FsPjxmdWxsLXRpdGxlPkhlYWx0aCBFY29ub21pY3M8L2Z1bGwtdGl0bGU+
PGFiYnItMT5IZWFsdGggRWNvbjwvYWJici0xPjwvcGVyaW9kaWNhbD48YWx0LXBlcmlvZGljYWw+
PGZ1bGwtdGl0bGU+SGVhbHRoIEVjb248L2Z1bGwtdGl0bGU+PC9hbHQtcGVyaW9kaWNhbD48cGFn
ZXM+NjAwLTYxODwvcGFnZXM+PHZvbHVtZT4yNjwvdm9sdW1lPjxudW1iZXI+NTwvbnVtYmVyPjxr
ZXl3b3Jkcz48a2V5d29yZD5CdWRnZXRzPC9rZXl3b3JkPjxrZXl3b3JkPkNsaW5pY2FsIENvZGlu
Zy9tdCBbTWV0aG9kc108L2tleXdvcmQ+PGtleXdvcmQ+RGlhZ25vc2lzLVJlbGF0ZWQgR3JvdXBz
L2VjIFtFY29ub21pY3NdPC9rZXl3b3JkPjxrZXl3b3JkPkRpYWdub3Npcy1SZWxhdGVkIEdyb3Vw
cy9zbiBbU3RhdGlzdGljcyAmYW1wOyBOdW1lcmljYWwgRGF0YV08L2tleXdvcmQ+PGtleXdvcmQ+
RmVtYWxlPC9rZXl3b3JkPjxrZXl3b3JkPkhvc3BpdGFscywgUHVibGljL2VjIFtFY29ub21pY3Nd
PC9rZXl3b3JkPjxrZXl3b3JkPkhvc3BpdGFscywgUHVibGljL3NuIFtTdGF0aXN0aWNzICZhbXA7
IE51bWVyaWNhbCBEYXRhXTwva2V5d29yZD48a2V5d29yZD5IdW1hbnM8L2tleXdvcmQ+PGtleXdv
cmQ+TWFsZTwva2V5d29yZD48a2V5d29yZD5NaWRkbGUgQWdlZDwva2V5d29yZD48a2V5d29yZD5N
b2RlbHMsIFN0YXRpc3RpY2FsPC9rZXl3b3JkPjxrZXl3b3JkPk5hdGlvbmFsIEhlYWx0aCBQcm9n
cmFtcy9lYyBbRWNvbm9taWNzXTwva2V5d29yZD48a2V5d29yZD4qTmF0aW9uYWwgSGVhbHRoIFBy
b2dyYW1zL3NuIFtTdGF0aXN0aWNzICZhbXA7IE51bWVyaWNhbCBEYXRhXTwva2V5d29yZD48a2V5
d29yZD5Qb3J0dWdhbDwva2V5d29yZD48a2V5d29yZD5SZWltYnVyc2VtZW50IE1lY2hhbmlzbXM8
L2tleXdvcmQ+PC9rZXl3b3Jkcz48ZGF0ZXM+PHllYXI+MjAxNzwveWVhcj48cHViLWRhdGVzPjxk
YXRlPjA1PC9kYXRlPjwvcHViLWRhdGVzPjwvZGF0ZXM+PGlzYm4+MTA5OS0xMDUwPC9pc2JuPjxh
Y2Nlc3Npb24tbnVtPjI2OTg4NjM0PC9hY2Nlc3Npb24tbnVtPjx1cmxzPjwvdXJscz48cmVtb3Rl
LWRhdGFiYXNlLW5hbWU+TUVETElORTwvcmVtb3RlLWRhdGFiYXNlLW5hbWU+PHJlbW90ZS1kYXRh
YmFzZS1wcm92aWRlcj5PdmlkIFRlY2hub2xvZ2llczwvcmVtb3RlLWRhdGFiYXNlLXByb3ZpZGVy
PjxsYW5ndWFnZT5FbmdsaXNoPC9sYW5ndWFnZT48L3JlY29yZD48L0NpdGU+PC9FbmROb3RlPn==
</w:fldData>
        </w:fldChar>
      </w:r>
      <w:r w:rsidR="004654FD">
        <w:instrText xml:space="preserve"> ADDIN EN.CITE </w:instrText>
      </w:r>
      <w:r w:rsidR="004654FD">
        <w:fldChar w:fldCharType="begin">
          <w:fldData xml:space="preserve">PEVuZE5vdGU+PENpdGU+PEF1dGhvcj5CYXJyb3M8L0F1dGhvcj48WWVhcj4yMDE3PC9ZZWFyPjxS
ZWNOdW0+ODQzPC9SZWNOdW0+PERpc3BsYXlUZXh0PihCYXJyb3MgZXQgYWwuLCAyMDE3KTwvRGlz
cGxheVRleHQ+PHJlY29yZD48cmVjLW51bWJlcj44NDM8L3JlYy1udW1iZXI+PGZvcmVpZ24ta2V5
cz48a2V5IGFwcD0iRU4iIGRiLWlkPSI5NXRwcjJ0cDZyOXh3b2VhOXJiNXdkc3o1ZHM1eGVkZHRl
ZXciIHRpbWVzdGFtcD0iMTY4MDA2OTUxMSI+ODQzPC9rZXk+PC9mb3JlaWduLWtleXM+PHJlZi10
eXBlIG5hbWU9IkpvdXJuYWwgQXJ0aWNsZSI+MTc8L3JlZi10eXBlPjxjb250cmlidXRvcnM+PGF1
dGhvcnM+PGF1dGhvcj5CYXJyb3MsIFAuPC9hdXRob3I+PGF1dGhvcj5CcmF1biwgRy48L2F1dGhv
cj48L2F1dGhvcnM+PC9jb250cmlidXRvcnM+PGF1dGgtYWRkcmVzcz5CYXJyb3MsIFBlZHJvLiBO
b3ZhIFNjaG9vbCBvZiBCdXNpbmVzcyBhbmQgRWNvbm9taWNzLCBMaXNib24sIFBvcnR1Z2FsLiYj
eEQ7QnJhdW4sIEdpc2VsZS4gRGVwYXJ0bWVudCBvZiBFY29ub21pY3MsIFVuaXZlcnNpZGFkZSBG
ZWRlcmFsIGRlIFBlbG90YXMsIFBlbG90YXMsIEJyYXppbC48L2F1dGgtYWRkcmVzcz48dGl0bGVz
Pjx0aXRsZT5VcGNvZGluZyBpbiBhIE5hdGlvbmFsIEhlYWx0aCBTZXJ2aWNlOiB0aGUgZXZpZGVu
Y2UgZnJvbSBQb3J0dWdhbDwvdGl0bGU+PHNlY29uZGFyeS10aXRsZT5IZWFsdGggRWNvbm9taWNz
PC9zZWNvbmRhcnktdGl0bGU+PGFsdC10aXRsZT5IZWFsdGggRWNvbjwvYWx0LXRpdGxlPjwvdGl0
bGVzPjxwZXJpb2RpY2FsPjxmdWxsLXRpdGxlPkhlYWx0aCBFY29ub21pY3M8L2Z1bGwtdGl0bGU+
PGFiYnItMT5IZWFsdGggRWNvbjwvYWJici0xPjwvcGVyaW9kaWNhbD48YWx0LXBlcmlvZGljYWw+
PGZ1bGwtdGl0bGU+SGVhbHRoIEVjb248L2Z1bGwtdGl0bGU+PC9hbHQtcGVyaW9kaWNhbD48cGFn
ZXM+NjAwLTYxODwvcGFnZXM+PHZvbHVtZT4yNjwvdm9sdW1lPjxudW1iZXI+NTwvbnVtYmVyPjxr
ZXl3b3Jkcz48a2V5d29yZD5CdWRnZXRzPC9rZXl3b3JkPjxrZXl3b3JkPkNsaW5pY2FsIENvZGlu
Zy9tdCBbTWV0aG9kc108L2tleXdvcmQ+PGtleXdvcmQ+RGlhZ25vc2lzLVJlbGF0ZWQgR3JvdXBz
L2VjIFtFY29ub21pY3NdPC9rZXl3b3JkPjxrZXl3b3JkPkRpYWdub3Npcy1SZWxhdGVkIEdyb3Vw
cy9zbiBbU3RhdGlzdGljcyAmYW1wOyBOdW1lcmljYWwgRGF0YV08L2tleXdvcmQ+PGtleXdvcmQ+
RmVtYWxlPC9rZXl3b3JkPjxrZXl3b3JkPkhvc3BpdGFscywgUHVibGljL2VjIFtFY29ub21pY3Nd
PC9rZXl3b3JkPjxrZXl3b3JkPkhvc3BpdGFscywgUHVibGljL3NuIFtTdGF0aXN0aWNzICZhbXA7
IE51bWVyaWNhbCBEYXRhXTwva2V5d29yZD48a2V5d29yZD5IdW1hbnM8L2tleXdvcmQ+PGtleXdv
cmQ+TWFsZTwva2V5d29yZD48a2V5d29yZD5NaWRkbGUgQWdlZDwva2V5d29yZD48a2V5d29yZD5N
b2RlbHMsIFN0YXRpc3RpY2FsPC9rZXl3b3JkPjxrZXl3b3JkPk5hdGlvbmFsIEhlYWx0aCBQcm9n
cmFtcy9lYyBbRWNvbm9taWNzXTwva2V5d29yZD48a2V5d29yZD4qTmF0aW9uYWwgSGVhbHRoIFBy
b2dyYW1zL3NuIFtTdGF0aXN0aWNzICZhbXA7IE51bWVyaWNhbCBEYXRhXTwva2V5d29yZD48a2V5
d29yZD5Qb3J0dWdhbDwva2V5d29yZD48a2V5d29yZD5SZWltYnVyc2VtZW50IE1lY2hhbmlzbXM8
L2tleXdvcmQ+PC9rZXl3b3Jkcz48ZGF0ZXM+PHllYXI+MjAxNzwveWVhcj48cHViLWRhdGVzPjxk
YXRlPjA1PC9kYXRlPjwvcHViLWRhdGVzPjwvZGF0ZXM+PGlzYm4+MTA5OS0xMDUwPC9pc2JuPjxh
Y2Nlc3Npb24tbnVtPjI2OTg4NjM0PC9hY2Nlc3Npb24tbnVtPjx1cmxzPjwvdXJscz48cmVtb3Rl
LWRhdGFiYXNlLW5hbWU+TUVETElORTwvcmVtb3RlLWRhdGFiYXNlLW5hbWU+PHJlbW90ZS1kYXRh
YmFzZS1wcm92aWRlcj5PdmlkIFRlY2hub2xvZ2llczwvcmVtb3RlLWRhdGFiYXNlLXByb3ZpZGVy
PjxsYW5ndWFnZT5FbmdsaXNoPC9sYW5ndWFnZT48L3JlY29yZD48L0NpdGU+PC9FbmROb3RlPn==
</w:fldData>
        </w:fldChar>
      </w:r>
      <w:r w:rsidR="004654FD">
        <w:instrText xml:space="preserve"> ADDIN EN.CITE.DATA </w:instrText>
      </w:r>
      <w:r w:rsidR="004654FD">
        <w:fldChar w:fldCharType="end"/>
      </w:r>
      <w:r w:rsidR="001D3985">
        <w:fldChar w:fldCharType="separate"/>
      </w:r>
      <w:r w:rsidR="004654FD">
        <w:rPr>
          <w:noProof/>
        </w:rPr>
        <w:t>(Barros et al., 2017)</w:t>
      </w:r>
      <w:r w:rsidR="001D3985">
        <w:fldChar w:fldCharType="end"/>
      </w:r>
      <w:r w:rsidR="105B5D69">
        <w:t xml:space="preserve"> hvor inntektene til personellet </w:t>
      </w:r>
      <w:r w:rsidR="105B5D69" w:rsidRPr="00D9107F">
        <w:rPr>
          <w:rStyle w:val="kursiv"/>
        </w:rPr>
        <w:t>ikke</w:t>
      </w:r>
      <w:r w:rsidR="105B5D69">
        <w:t xml:space="preserve"> er direkte påvirket, så er det naturlig å anta at insentivene er sterkere i fastlegepraksis</w:t>
      </w:r>
      <w:r w:rsidR="2ED919F1">
        <w:t>, der inntektene går direkte til enkeltleger</w:t>
      </w:r>
      <w:r w:rsidR="105B5D69">
        <w:t xml:space="preserve">. </w:t>
      </w:r>
      <w:r w:rsidR="00263551">
        <w:t>D</w:t>
      </w:r>
      <w:r w:rsidR="6E6C0FFE">
        <w:t>et</w:t>
      </w:r>
      <w:r>
        <w:t xml:space="preserve"> kan være et argument for at profesjonsnøytrale takster </w:t>
      </w:r>
      <w:r w:rsidR="6704464B">
        <w:t>og eventuelt utvidet mulighet for delegering</w:t>
      </w:r>
      <w:r w:rsidR="005D31D8">
        <w:t>,</w:t>
      </w:r>
      <w:r>
        <w:t xml:space="preserve"> gjøres til en ordning som kun kan benyttes av fastlegevirksomheter med gruppeavtale (fastlege</w:t>
      </w:r>
      <w:r w:rsidR="08EC304F">
        <w:t>selskap</w:t>
      </w:r>
      <w:r w:rsidR="00603154">
        <w:t xml:space="preserve"> og kommunale </w:t>
      </w:r>
      <w:r w:rsidR="002269B3">
        <w:t>fastlegekontor</w:t>
      </w:r>
      <w:r w:rsidR="00D924FE">
        <w:t>).</w:t>
      </w:r>
    </w:p>
    <w:p w14:paraId="5BCB9AE0" w14:textId="1E20CDC1" w:rsidR="001956FF" w:rsidRDefault="0016793B" w:rsidP="00192844">
      <w:pPr>
        <w:jc w:val="both"/>
      </w:pPr>
      <w:r>
        <w:t>R</w:t>
      </w:r>
      <w:r w:rsidR="003D5827">
        <w:t xml:space="preserve">isiko for overforbruk </w:t>
      </w:r>
      <w:r w:rsidR="00FC5A11">
        <w:t>av takster</w:t>
      </w:r>
      <w:r w:rsidR="003D5827">
        <w:t xml:space="preserve"> </w:t>
      </w:r>
      <w:r w:rsidR="005A7273">
        <w:t>vil</w:t>
      </w:r>
      <w:r w:rsidR="003D5827">
        <w:t xml:space="preserve"> </w:t>
      </w:r>
      <w:r w:rsidR="00CE28E6">
        <w:t xml:space="preserve">også </w:t>
      </w:r>
      <w:r w:rsidR="005A7273">
        <w:t>v</w:t>
      </w:r>
      <w:r w:rsidR="00B432D5">
        <w:t>æ</w:t>
      </w:r>
      <w:r w:rsidR="005A7273">
        <w:t>re</w:t>
      </w:r>
      <w:r w:rsidR="00276547">
        <w:t xml:space="preserve"> </w:t>
      </w:r>
      <w:r w:rsidR="005C401A">
        <w:t>påvirket</w:t>
      </w:r>
      <w:r w:rsidR="00276547">
        <w:t xml:space="preserve"> av</w:t>
      </w:r>
      <w:r w:rsidR="005C401A">
        <w:t xml:space="preserve"> </w:t>
      </w:r>
      <w:r w:rsidR="00030955">
        <w:t xml:space="preserve">hvor stor andel </w:t>
      </w:r>
      <w:r w:rsidR="00487B6F">
        <w:t>takstene utgjør av samlet finansiering.</w:t>
      </w:r>
      <w:r w:rsidR="005C401A">
        <w:t xml:space="preserve"> </w:t>
      </w:r>
      <w:r w:rsidR="00492D8A">
        <w:t xml:space="preserve">Jo </w:t>
      </w:r>
      <w:r w:rsidR="009E1BB3">
        <w:t>mindre</w:t>
      </w:r>
      <w:r w:rsidR="00492D8A">
        <w:t xml:space="preserve"> andel </w:t>
      </w:r>
      <w:r w:rsidR="00A023AA">
        <w:t>takstene</w:t>
      </w:r>
      <w:r w:rsidR="00492D8A">
        <w:t xml:space="preserve"> utgjør, jo mindre er sjansen for at takst</w:t>
      </w:r>
      <w:r w:rsidR="00932642">
        <w:t>honoraret</w:t>
      </w:r>
      <w:r w:rsidR="00492D8A">
        <w:t xml:space="preserve"> er større enn kostnad</w:t>
      </w:r>
      <w:r w:rsidR="00932642">
        <w:t>en</w:t>
      </w:r>
      <w:r w:rsidR="00733785">
        <w:t xml:space="preserve"> for å yte tjenesten, </w:t>
      </w:r>
      <w:r w:rsidR="009460EF">
        <w:t xml:space="preserve">noe som reduserer risiko for </w:t>
      </w:r>
      <w:r w:rsidR="0029538C">
        <w:t>overforbruk av takster</w:t>
      </w:r>
      <w:r w:rsidR="00A23632">
        <w:t>.</w:t>
      </w:r>
      <w:r w:rsidR="0019413D">
        <w:t xml:space="preserve"> </w:t>
      </w:r>
      <w:r w:rsidR="63865223">
        <w:t>H</w:t>
      </w:r>
      <w:r w:rsidR="0019413D">
        <w:t>vis honorare</w:t>
      </w:r>
      <w:r w:rsidR="00E16EC9">
        <w:t>t</w:t>
      </w:r>
      <w:r w:rsidR="0019413D">
        <w:t xml:space="preserve"> per takst er lavere, vil de økonomiske kon</w:t>
      </w:r>
      <w:r w:rsidR="00964EE2">
        <w:t>s</w:t>
      </w:r>
      <w:r w:rsidR="00E16EC9">
        <w:t>ekvensene av et eventuelt overforbruk av takster være mindre.</w:t>
      </w:r>
      <w:r w:rsidR="00141D05">
        <w:t xml:space="preserve"> </w:t>
      </w:r>
      <w:r w:rsidR="00141D05" w:rsidRPr="00141D05">
        <w:t>Nederland har profesjonsnøytrale takster i allmennpraksis</w:t>
      </w:r>
      <w:r w:rsidR="001B5519">
        <w:t>, m</w:t>
      </w:r>
      <w:r w:rsidR="00141D05" w:rsidRPr="00141D05">
        <w:t>en der utgjør takstene kun om lag 20</w:t>
      </w:r>
      <w:r w:rsidR="00045597">
        <w:t xml:space="preserve"> prosent</w:t>
      </w:r>
      <w:r w:rsidR="00141D05" w:rsidRPr="00141D05">
        <w:t xml:space="preserve"> av samlet finansiering.</w:t>
      </w:r>
    </w:p>
    <w:p w14:paraId="4A062CCF" w14:textId="77777777" w:rsidR="00D9107F" w:rsidRDefault="6B131262" w:rsidP="00775632">
      <w:pPr>
        <w:pStyle w:val="Overskrift3"/>
      </w:pPr>
      <w:bookmarkStart w:id="3461" w:name="_Toc122655243"/>
      <w:bookmarkStart w:id="3462" w:name="_Toc125372525"/>
      <w:bookmarkStart w:id="3463" w:name="_Toc125440526"/>
      <w:bookmarkStart w:id="3464" w:name="_Toc126305349"/>
      <w:bookmarkStart w:id="3465" w:name="_Toc126817077"/>
      <w:bookmarkStart w:id="3466" w:name="_Toc127633258"/>
      <w:bookmarkStart w:id="3467" w:name="_Toc127864544"/>
      <w:bookmarkStart w:id="3468" w:name="_Toc128238552"/>
      <w:bookmarkStart w:id="3469" w:name="_Toc128742034"/>
      <w:bookmarkStart w:id="3470" w:name="_Toc128744629"/>
      <w:bookmarkStart w:id="3471" w:name="_Toc128744848"/>
      <w:bookmarkStart w:id="3472" w:name="_Toc129630352"/>
      <w:bookmarkStart w:id="3473" w:name="_Toc130763853"/>
      <w:bookmarkStart w:id="3474" w:name="_Toc130766748"/>
      <w:bookmarkStart w:id="3475" w:name="_Toc130932149"/>
      <w:bookmarkStart w:id="3476" w:name="_Toc130934440"/>
      <w:bookmarkStart w:id="3477" w:name="_Toc130983563"/>
      <w:bookmarkStart w:id="3478" w:name="_Toc130983912"/>
      <w:bookmarkStart w:id="3479" w:name="_Toc131062194"/>
      <w:bookmarkStart w:id="3480" w:name="_Toc131062448"/>
      <w:bookmarkStart w:id="3481" w:name="_Toc131062709"/>
      <w:bookmarkStart w:id="3482" w:name="_Toc131062962"/>
      <w:bookmarkStart w:id="3483" w:name="_Toc131063745"/>
      <w:bookmarkStart w:id="3484" w:name="_Toc131064155"/>
      <w:bookmarkStart w:id="3485" w:name="_Toc131238494"/>
      <w:bookmarkStart w:id="3486" w:name="_Toc131279525"/>
      <w:bookmarkStart w:id="3487" w:name="_Toc131286937"/>
      <w:bookmarkStart w:id="3488" w:name="_Toc131281347"/>
      <w:bookmarkStart w:id="3489" w:name="_Toc131317887"/>
      <w:bookmarkStart w:id="3490" w:name="_Toc132537019"/>
      <w:r>
        <w:t>Nærmere om økonomiske konsekvenser</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14:paraId="27EEDDD4" w14:textId="1BB6AC8C" w:rsidR="001956FF" w:rsidRDefault="001956FF" w:rsidP="002853BA">
      <w:pPr>
        <w:jc w:val="both"/>
      </w:pPr>
      <w:r>
        <w:t xml:space="preserve">Dersom annet personell </w:t>
      </w:r>
      <w:r w:rsidRPr="00D9107F">
        <w:rPr>
          <w:rStyle w:val="kursiv"/>
        </w:rPr>
        <w:t>avlaster</w:t>
      </w:r>
      <w:r>
        <w:t xml:space="preserve"> fastlege, betyr det at annet personell utfører arbeid </w:t>
      </w:r>
      <w:r w:rsidRPr="00D9107F">
        <w:rPr>
          <w:rStyle w:val="kursiv"/>
        </w:rPr>
        <w:t xml:space="preserve">i stedet for </w:t>
      </w:r>
      <w:r>
        <w:t xml:space="preserve">fastlegen. Avhengig av hvordan takstene utformes, vil det offentliges utgifter i et slikt tilfelle enten være uendret eller bli redusert. Dersom fastlegen derimot utfører sine oppgaver som tidligere, og annet personell utfører oppgaver som kommer </w:t>
      </w:r>
      <w:r w:rsidRPr="00D9107F">
        <w:rPr>
          <w:rStyle w:val="kursiv"/>
        </w:rPr>
        <w:t xml:space="preserve">i tillegg til </w:t>
      </w:r>
      <w:r>
        <w:t xml:space="preserve">fastlegens oppgaver, vil det offentliges </w:t>
      </w:r>
      <w:r w:rsidR="000121F3">
        <w:t xml:space="preserve">refusjoner til </w:t>
      </w:r>
      <w:r>
        <w:t>legene</w:t>
      </w:r>
      <w:r w:rsidR="000121F3">
        <w:t xml:space="preserve"> </w:t>
      </w:r>
      <w:r>
        <w:t>øke. Da vil samtidig samlet omfang av tjenester øke, og pasientenes tilgang til fastlegetjenester vil øke.</w:t>
      </w:r>
      <w:r w:rsidR="004309AC">
        <w:t xml:space="preserve"> Dette beskrives nærmere i kapittel 6.3.10.</w:t>
      </w:r>
    </w:p>
    <w:p w14:paraId="7D2AEEC9" w14:textId="77777777" w:rsidR="00D9107F" w:rsidRDefault="2A31D32A" w:rsidP="002853BA">
      <w:pPr>
        <w:jc w:val="both"/>
      </w:pPr>
      <w:r>
        <w:t xml:space="preserve">I forsøket </w:t>
      </w:r>
      <w:r w:rsidR="26BE1864" w:rsidRPr="00554D6D">
        <w:t>med primærhelseteam</w:t>
      </w:r>
      <w:r w:rsidR="727101C4" w:rsidRPr="00383E05">
        <w:t xml:space="preserve"> er det ikke en eksplisitt målset</w:t>
      </w:r>
      <w:r w:rsidR="6740B24E">
        <w:t>t</w:t>
      </w:r>
      <w:r w:rsidR="727101C4" w:rsidRPr="00383E05">
        <w:t>ing at sykepleier skal avlaste fastlegen</w:t>
      </w:r>
      <w:r w:rsidR="357BD631" w:rsidRPr="00B47F28">
        <w:t>.</w:t>
      </w:r>
      <w:r w:rsidR="6151C148" w:rsidRPr="00CF510A">
        <w:t xml:space="preserve"> </w:t>
      </w:r>
      <w:r w:rsidR="31654306">
        <w:t>Økt kvalitet har vært mer vektlagt.</w:t>
      </w:r>
      <w:r w:rsidR="76FD6C3A">
        <w:t xml:space="preserve"> </w:t>
      </w:r>
      <w:r w:rsidR="6151C148" w:rsidRPr="00CF510A">
        <w:t xml:space="preserve">Sykepleier skal utfylle fastlegens arbeid overfor </w:t>
      </w:r>
      <w:r w:rsidR="6151C148" w:rsidRPr="00CF510A">
        <w:lastRenderedPageBreak/>
        <w:t>bestemte pasientgrupper.</w:t>
      </w:r>
      <w:r w:rsidR="499EF2A1">
        <w:t xml:space="preserve"> </w:t>
      </w:r>
      <w:r w:rsidR="6B131262">
        <w:t>Evalueringen av forsøket med primærhelseteam viser at sykepleier både utfører oppgaver i stedet for at fastlegen gjør dem selv</w:t>
      </w:r>
      <w:r w:rsidR="00150AB1">
        <w:t>,</w:t>
      </w:r>
      <w:r w:rsidR="6B131262">
        <w:t xml:space="preserve"> og oppgaver som kommer i tillegg til fastlegens oppgaver. Forsøket og evalueringen gir ikke klare svar på i hvor stor grad sykepleier overtar oppgaver fra fastlegene. Evalueringen peker på at i den grad sykepleier utfører oppgaver i stedet for fastlege, vil oppgavene utføres på en billigere måte</w:t>
      </w:r>
      <w:r w:rsidR="594A7357">
        <w:t xml:space="preserve"> </w:t>
      </w:r>
      <w:r w:rsidR="001D3985">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1D3985">
        <w:fldChar w:fldCharType="separate"/>
      </w:r>
      <w:r w:rsidR="001D3985">
        <w:rPr>
          <w:noProof/>
        </w:rPr>
        <w:t>(Abelsen B. et al., 2022)</w:t>
      </w:r>
      <w:r w:rsidR="001D3985">
        <w:fldChar w:fldCharType="end"/>
      </w:r>
      <w:r w:rsidR="00D100F7">
        <w:t>.</w:t>
      </w:r>
      <w:r w:rsidR="6B131262">
        <w:t xml:space="preserve"> Gitt at </w:t>
      </w:r>
      <w:r w:rsidR="000C4579">
        <w:t>oppgavene</w:t>
      </w:r>
      <w:r w:rsidR="6B131262">
        <w:t xml:space="preserve"> løses til like god kvalitet, bidrar oppgaveoverføringen til en effektivitetsforbedring for samfunnet. </w:t>
      </w:r>
      <w:r w:rsidR="00C36968">
        <w:t>D</w:t>
      </w:r>
      <w:r w:rsidR="6B131262">
        <w:t xml:space="preserve">ersom sykepleier overtar oppgaver som finansieres gjennom legetakster (delegering), vil </w:t>
      </w:r>
      <w:r w:rsidR="6C4AA2FC">
        <w:t>k</w:t>
      </w:r>
      <w:r w:rsidR="6B131262">
        <w:t xml:space="preserve">ostnaden for staten </w:t>
      </w:r>
      <w:r w:rsidR="337229B0">
        <w:t>være uendret</w:t>
      </w:r>
      <w:r w:rsidR="6B131262">
        <w:t xml:space="preserve">, og det skjer en omfordeling fra staten til legen. Det kan likevel bli en samfunnsøkonomisk forbedring hvis arbeidsdelingen bidrar til en bedre </w:t>
      </w:r>
      <w:r w:rsidR="00C37D97">
        <w:t xml:space="preserve">og </w:t>
      </w:r>
      <w:r w:rsidR="005618C5">
        <w:t xml:space="preserve">mer </w:t>
      </w:r>
      <w:r w:rsidR="00C37D97">
        <w:t xml:space="preserve">effektiv </w:t>
      </w:r>
      <w:r w:rsidR="6B131262">
        <w:t>fordeling av oppgaver på ulike personellgrupper.</w:t>
      </w:r>
    </w:p>
    <w:p w14:paraId="7B2F124C" w14:textId="69F1D2A5" w:rsidR="002D2443" w:rsidRPr="00D9107F" w:rsidRDefault="003762DD" w:rsidP="002D2443">
      <w:pPr>
        <w:jc w:val="both"/>
        <w:rPr>
          <w:rStyle w:val="halvfet"/>
        </w:rPr>
      </w:pPr>
      <w:r>
        <w:t xml:space="preserve">Samtidig </w:t>
      </w:r>
      <w:r w:rsidR="00332313">
        <w:t>kan</w:t>
      </w:r>
      <w:r w:rsidR="001956FF">
        <w:t xml:space="preserve"> flere profesjoner og mer personell inn i fastlegekontorene</w:t>
      </w:r>
      <w:r w:rsidR="00BB7FCF">
        <w:t xml:space="preserve"> </w:t>
      </w:r>
      <w:r w:rsidR="001956FF">
        <w:t xml:space="preserve">medføre kostnader </w:t>
      </w:r>
      <w:r>
        <w:t>til ledelse</w:t>
      </w:r>
      <w:r w:rsidR="00C92217">
        <w:t>, og til</w:t>
      </w:r>
      <w:r w:rsidR="001956FF">
        <w:t xml:space="preserve"> utvidelse eller ombygging av kontor for å ha plass til det nye personellet. </w:t>
      </w:r>
      <w:r w:rsidR="00DB1306">
        <w:t>I</w:t>
      </w:r>
      <w:r w:rsidR="00CD3DB2">
        <w:t xml:space="preserve"> </w:t>
      </w:r>
      <w:r w:rsidR="00683D70">
        <w:t xml:space="preserve">avsnittet om </w:t>
      </w:r>
      <w:r w:rsidR="009F6839">
        <w:t xml:space="preserve">gruppeavtaler og fastlegeselskap, omtales </w:t>
      </w:r>
      <w:r w:rsidR="008F1735">
        <w:t>konsekvenser for drift av legekontor, k</w:t>
      </w:r>
      <w:r w:rsidR="00664985">
        <w:t>ostnader til ledelse</w:t>
      </w:r>
      <w:r w:rsidR="008F1735">
        <w:t xml:space="preserve"> og </w:t>
      </w:r>
      <w:r w:rsidR="003578E1">
        <w:t xml:space="preserve">mulig økonomisk risiko knyttet til gruppeavtaler. </w:t>
      </w:r>
      <w:r w:rsidR="00557531">
        <w:t xml:space="preserve">Se </w:t>
      </w:r>
      <w:r w:rsidR="00AD7453">
        <w:t>kapittel</w:t>
      </w:r>
      <w:r w:rsidR="00A85F87">
        <w:t xml:space="preserve"> 4.7.3.7.</w:t>
      </w:r>
    </w:p>
    <w:p w14:paraId="3C643C9C" w14:textId="6B698454" w:rsidR="001956FF" w:rsidRDefault="41348210" w:rsidP="00775632">
      <w:pPr>
        <w:pStyle w:val="Overskrift3"/>
      </w:pPr>
      <w:bookmarkStart w:id="3491" w:name="_Toc122655244"/>
      <w:bookmarkStart w:id="3492" w:name="_Toc125372526"/>
      <w:bookmarkStart w:id="3493" w:name="_Toc125440527"/>
      <w:bookmarkStart w:id="3494" w:name="_Toc126305350"/>
      <w:bookmarkStart w:id="3495" w:name="_Toc126817078"/>
      <w:bookmarkStart w:id="3496" w:name="_Toc127633259"/>
      <w:bookmarkStart w:id="3497" w:name="_Toc127864545"/>
      <w:bookmarkStart w:id="3498" w:name="_Toc128238553"/>
      <w:bookmarkStart w:id="3499" w:name="_Toc128742035"/>
      <w:bookmarkStart w:id="3500" w:name="_Toc128744630"/>
      <w:bookmarkStart w:id="3501" w:name="_Toc128744849"/>
      <w:bookmarkStart w:id="3502" w:name="_Toc129630353"/>
      <w:bookmarkStart w:id="3503" w:name="_Toc130763854"/>
      <w:bookmarkStart w:id="3504" w:name="_Toc130766749"/>
      <w:bookmarkStart w:id="3505" w:name="_Toc130932150"/>
      <w:bookmarkStart w:id="3506" w:name="_Toc130934441"/>
      <w:bookmarkStart w:id="3507" w:name="_Toc130983564"/>
      <w:bookmarkStart w:id="3508" w:name="_Toc130983913"/>
      <w:bookmarkStart w:id="3509" w:name="_Toc131062195"/>
      <w:bookmarkStart w:id="3510" w:name="_Toc131062449"/>
      <w:bookmarkStart w:id="3511" w:name="_Toc131062710"/>
      <w:bookmarkStart w:id="3512" w:name="_Toc131062963"/>
      <w:bookmarkStart w:id="3513" w:name="_Toc131063746"/>
      <w:bookmarkStart w:id="3514" w:name="_Toc131064156"/>
      <w:bookmarkStart w:id="3515" w:name="_Toc131238495"/>
      <w:bookmarkStart w:id="3516" w:name="_Toc131279526"/>
      <w:bookmarkStart w:id="3517" w:name="_Toc131286938"/>
      <w:bookmarkStart w:id="3518" w:name="_Toc131281348"/>
      <w:bookmarkStart w:id="3519" w:name="_Toc131317888"/>
      <w:bookmarkStart w:id="3520" w:name="_Toc132537020"/>
      <w:r>
        <w:t>F</w:t>
      </w:r>
      <w:r w:rsidR="6B131262">
        <w:t>inansiering av tverrfaglighet</w:t>
      </w:r>
      <w:bookmarkEnd w:id="3491"/>
      <w:bookmarkEnd w:id="3492"/>
      <w:bookmarkEnd w:id="3493"/>
      <w:bookmarkEnd w:id="3494"/>
      <w:bookmarkEnd w:id="3495"/>
      <w:bookmarkEnd w:id="3496"/>
      <w:bookmarkEnd w:id="3497"/>
      <w:bookmarkEnd w:id="3498"/>
      <w:r>
        <w:t xml:space="preserve"> gjennom tilskudd</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14:paraId="6AE13C29" w14:textId="77777777" w:rsidR="00D9107F" w:rsidRDefault="001C3329" w:rsidP="002853BA">
      <w:pPr>
        <w:jc w:val="both"/>
      </w:pPr>
      <w:r>
        <w:t xml:space="preserve">I tillegg til </w:t>
      </w:r>
      <w:r w:rsidR="008D7294" w:rsidRPr="008D7294">
        <w:t>takster</w:t>
      </w:r>
      <w:r w:rsidR="0023793E">
        <w:t xml:space="preserve"> </w:t>
      </w:r>
      <w:r w:rsidR="001956FF">
        <w:t xml:space="preserve">må </w:t>
      </w:r>
      <w:r w:rsidR="0023793E">
        <w:t>det</w:t>
      </w:r>
      <w:r w:rsidR="001956FF">
        <w:t xml:space="preserve"> vurderes om det skal gis ekstra tilskudd til finansiering av annet personell, ut over dagens basistilskudd til fastlegene. </w:t>
      </w:r>
      <w:r w:rsidR="001500F0">
        <w:t>Behov for tilskudd som tilleggsfinansiering av annet personell ut over takster/aktivitetsbasert finansiering, avhenger bl</w:t>
      </w:r>
      <w:r w:rsidR="00150AB1">
        <w:t>ant annet</w:t>
      </w:r>
      <w:r w:rsidR="001500F0">
        <w:t xml:space="preserve"> av hvilken rolle annet personell er tiltenkt i fastlegepraksisen.</w:t>
      </w:r>
      <w:r w:rsidR="008D7294">
        <w:t xml:space="preserve"> Tilskudd kan utgjøre deler av samlet finansiering av annet personell, eller personellet kan fullfinansieres gjennom tilskudd.</w:t>
      </w:r>
    </w:p>
    <w:p w14:paraId="660055BF" w14:textId="731795F8" w:rsidR="00D10C84" w:rsidRDefault="79C15933" w:rsidP="00775632">
      <w:pPr>
        <w:pStyle w:val="Overskrift4"/>
      </w:pPr>
      <w:bookmarkStart w:id="3521" w:name="_Ref130685102"/>
      <w:bookmarkStart w:id="3522" w:name="_Toc130983565"/>
      <w:bookmarkStart w:id="3523" w:name="_Toc130983914"/>
      <w:bookmarkStart w:id="3524" w:name="_Toc131238496"/>
      <w:bookmarkStart w:id="3525" w:name="_Toc131279527"/>
      <w:bookmarkStart w:id="3526" w:name="_Toc131286939"/>
      <w:bookmarkStart w:id="3527" w:name="_Toc131281349"/>
      <w:bookmarkStart w:id="3528" w:name="_Toc131317889"/>
      <w:r>
        <w:t>Tverr</w:t>
      </w:r>
      <w:r w:rsidR="7BFC2B9A">
        <w:t xml:space="preserve">faglighet </w:t>
      </w:r>
      <w:r w:rsidR="7BFC2B9A" w:rsidRPr="498DE090">
        <w:rPr>
          <w:u w:val="single"/>
        </w:rPr>
        <w:t>uten</w:t>
      </w:r>
      <w:r w:rsidR="7BFC2B9A">
        <w:t xml:space="preserve"> bruk av tilskudd</w:t>
      </w:r>
      <w:bookmarkEnd w:id="3521"/>
      <w:bookmarkEnd w:id="3522"/>
      <w:bookmarkEnd w:id="3523"/>
      <w:bookmarkEnd w:id="3524"/>
      <w:bookmarkEnd w:id="3525"/>
      <w:bookmarkEnd w:id="3526"/>
      <w:bookmarkEnd w:id="3527"/>
      <w:bookmarkEnd w:id="3528"/>
    </w:p>
    <w:p w14:paraId="42912960" w14:textId="77777777" w:rsidR="00D9107F" w:rsidRDefault="00210119" w:rsidP="002853BA">
      <w:pPr>
        <w:jc w:val="both"/>
      </w:pPr>
      <w:r>
        <w:t>Som beskrevet i omtalen av barrierer (</w:t>
      </w:r>
      <w:r w:rsidR="00BA77F2">
        <w:t>i kapittel 6.3.1</w:t>
      </w:r>
      <w:r w:rsidR="0093108F">
        <w:t>),</w:t>
      </w:r>
      <w:r>
        <w:t xml:space="preserve"> er </w:t>
      </w:r>
      <w:r w:rsidR="00382439">
        <w:t xml:space="preserve">det </w:t>
      </w:r>
      <w:r>
        <w:t xml:space="preserve">i dag slik at legen vil </w:t>
      </w:r>
      <w:r w:rsidR="00427105">
        <w:t>få redusert inntekt ved</w:t>
      </w:r>
      <w:r>
        <w:t xml:space="preserve"> å overlate oppgaver til annet personell, hvis personellet ikke kan utløse takster. </w:t>
      </w:r>
      <w:r w:rsidR="001956FF">
        <w:t xml:space="preserve">Dersom målsettingen er å avlaste fastlegen ved bruk av </w:t>
      </w:r>
      <w:r w:rsidR="004361B0">
        <w:t xml:space="preserve">annet </w:t>
      </w:r>
      <w:r w:rsidR="001956FF">
        <w:t>personell</w:t>
      </w:r>
      <w:r w:rsidR="005F3446">
        <w:t>,</w:t>
      </w:r>
      <w:r w:rsidR="001956FF">
        <w:t xml:space="preserve"> og at man åpner for at personellet kan utløse </w:t>
      </w:r>
      <w:r w:rsidR="000F5EB8">
        <w:t xml:space="preserve">legens </w:t>
      </w:r>
      <w:r w:rsidR="001956FF">
        <w:t xml:space="preserve">konsultasjonstakster, </w:t>
      </w:r>
      <w:r w:rsidR="00795E79">
        <w:t xml:space="preserve">vil utstrakt bruk av </w:t>
      </w:r>
      <w:r w:rsidR="001956FF">
        <w:t>hjelpepersonell</w:t>
      </w:r>
      <w:r w:rsidR="00795E79">
        <w:t xml:space="preserve"> fordre</w:t>
      </w:r>
      <w:r w:rsidR="001956FF">
        <w:t xml:space="preserve"> at </w:t>
      </w:r>
      <w:r w:rsidR="00795E79">
        <w:t>de</w:t>
      </w:r>
      <w:r w:rsidR="001956FF">
        <w:t xml:space="preserve"> er selvfinansierende gjennom takstene. En slik løsning vil likne på Danmarks finansiering av </w:t>
      </w:r>
      <w:r w:rsidR="001C1D81">
        <w:t xml:space="preserve">legens hjelpepersonell innenfor </w:t>
      </w:r>
      <w:r w:rsidR="001956FF">
        <w:t>fastlegetjenesten</w:t>
      </w:r>
      <w:r w:rsidR="00C40F6E">
        <w:t xml:space="preserve">, der annet personell både </w:t>
      </w:r>
      <w:r w:rsidR="7B5FD382">
        <w:t>utløser</w:t>
      </w:r>
      <w:r w:rsidR="00C40F6E">
        <w:t xml:space="preserve"> takster og </w:t>
      </w:r>
      <w:r w:rsidR="00A4049C">
        <w:t xml:space="preserve">gjør det mulig å </w:t>
      </w:r>
      <w:r w:rsidR="00C40F6E">
        <w:t>øk</w:t>
      </w:r>
      <w:r w:rsidR="00A4049C">
        <w:t>e</w:t>
      </w:r>
      <w:r w:rsidR="00C40F6E">
        <w:t xml:space="preserve"> listelengde</w:t>
      </w:r>
      <w:r w:rsidR="00A4049C">
        <w:t xml:space="preserve">n </w:t>
      </w:r>
      <w:r w:rsidR="78E0AC91">
        <w:t>og derav</w:t>
      </w:r>
      <w:r w:rsidR="00A4049C">
        <w:t xml:space="preserve"> basistilskuddet</w:t>
      </w:r>
      <w:r w:rsidR="001956FF">
        <w:t xml:space="preserve">. </w:t>
      </w:r>
      <w:r w:rsidR="00894E90">
        <w:t xml:space="preserve">Noen av legens oppgaver overtas av annet personell, som har lavere personell-/timekostnad enn lege. Dersom betalingen for tjenestene videreføres, </w:t>
      </w:r>
      <w:r w:rsidR="001001F8">
        <w:t>kan</w:t>
      </w:r>
      <w:r w:rsidR="00894E90">
        <w:t xml:space="preserve"> det være mulig at legekontoret kan finansiere annet personell uten at det ytes tilskudd ut over dagens basistilskudd.</w:t>
      </w:r>
    </w:p>
    <w:p w14:paraId="72F8EE21" w14:textId="2193EA53" w:rsidR="006943D1" w:rsidRPr="00957B81" w:rsidRDefault="00D32767" w:rsidP="00F04F09">
      <w:pPr>
        <w:jc w:val="both"/>
      </w:pPr>
      <w:r>
        <w:t xml:space="preserve">Dersom formålet </w:t>
      </w:r>
      <w:r w:rsidR="005649FD">
        <w:t>primært er å avlaste fastlegene for oppgaver</w:t>
      </w:r>
      <w:r w:rsidR="009202CC">
        <w:t xml:space="preserve">, </w:t>
      </w:r>
      <w:r w:rsidR="006A7C12">
        <w:t>ved</w:t>
      </w:r>
      <w:r w:rsidR="009202CC">
        <w:t xml:space="preserve"> å overlate oppgaver</w:t>
      </w:r>
      <w:r w:rsidR="00820D84">
        <w:t xml:space="preserve"> til annet personell</w:t>
      </w:r>
      <w:r w:rsidR="006A7C12">
        <w:t xml:space="preserve">, kan </w:t>
      </w:r>
      <w:r w:rsidR="004A3FCC">
        <w:t>m</w:t>
      </w:r>
      <w:r w:rsidR="001500F0">
        <w:t xml:space="preserve">an åpne for økt grad av delegering, profesjonsnøytrale takster eller egne </w:t>
      </w:r>
      <w:r w:rsidR="00BB14FF">
        <w:t>selvstendige</w:t>
      </w:r>
      <w:r w:rsidR="0066390F">
        <w:t xml:space="preserve"> </w:t>
      </w:r>
      <w:r w:rsidR="001500F0">
        <w:t>takster uten å gi tilskudd</w:t>
      </w:r>
      <w:r w:rsidR="00345BE7">
        <w:t xml:space="preserve"> som tilleggsfinansiering</w:t>
      </w:r>
      <w:r w:rsidR="00FC093B">
        <w:t xml:space="preserve">. </w:t>
      </w:r>
      <w:r w:rsidR="00132EB9">
        <w:t xml:space="preserve">Dette </w:t>
      </w:r>
      <w:r w:rsidR="00640EBA">
        <w:t xml:space="preserve">vil i noen grad </w:t>
      </w:r>
      <w:r w:rsidR="00132EB9">
        <w:t xml:space="preserve">forutsette at </w:t>
      </w:r>
      <w:r w:rsidR="00DB3B2F">
        <w:t xml:space="preserve">legen </w:t>
      </w:r>
      <w:r w:rsidR="000C5524">
        <w:t xml:space="preserve">ønsker å gå ned i inntekt for å </w:t>
      </w:r>
      <w:r w:rsidR="00F84CEA">
        <w:t>kunne jobbe mindre</w:t>
      </w:r>
      <w:r w:rsidR="000C5524">
        <w:t xml:space="preserve">, eller at </w:t>
      </w:r>
      <w:r w:rsidR="00132EB9">
        <w:t>listen blir større</w:t>
      </w:r>
      <w:r w:rsidR="00A84564">
        <w:t xml:space="preserve"> slik at basistilskuddet </w:t>
      </w:r>
      <w:r w:rsidR="08865F7D">
        <w:t xml:space="preserve">og grunnlaget for </w:t>
      </w:r>
      <w:r w:rsidR="00457488">
        <w:t>aktiv</w:t>
      </w:r>
      <w:r w:rsidR="10FA7E0C">
        <w:t>it</w:t>
      </w:r>
      <w:r w:rsidR="00457488">
        <w:t>etsbasert</w:t>
      </w:r>
      <w:r w:rsidR="08865F7D">
        <w:t xml:space="preserve"> finansiering</w:t>
      </w:r>
      <w:r w:rsidR="00A84564">
        <w:t xml:space="preserve"> øker.</w:t>
      </w:r>
      <w:r w:rsidR="00132EB9">
        <w:t xml:space="preserve"> </w:t>
      </w:r>
      <w:r w:rsidR="00FC093B">
        <w:t>Tiltaket vil</w:t>
      </w:r>
      <w:r w:rsidR="0070480F">
        <w:t xml:space="preserve"> </w:t>
      </w:r>
      <w:r w:rsidR="00D039ED">
        <w:t xml:space="preserve">ha positiv </w:t>
      </w:r>
      <w:r w:rsidR="00EE1DA6">
        <w:t>effekt</w:t>
      </w:r>
      <w:r w:rsidR="002711A4">
        <w:t xml:space="preserve"> </w:t>
      </w:r>
      <w:r w:rsidR="002711A4">
        <w:lastRenderedPageBreak/>
        <w:t>for legekontor som allerede har ansatt annet personell</w:t>
      </w:r>
      <w:r w:rsidR="00D039ED">
        <w:t xml:space="preserve">. Erfaringer fra Danmark tyder på at </w:t>
      </w:r>
      <w:r w:rsidR="00841D1F">
        <w:t xml:space="preserve">også legekontor </w:t>
      </w:r>
      <w:r w:rsidR="001001F8">
        <w:t>i Norge</w:t>
      </w:r>
      <w:r w:rsidR="00841D1F">
        <w:t xml:space="preserve"> med næringsdrift etter hovedmodellen </w:t>
      </w:r>
      <w:r w:rsidR="001A00E3">
        <w:t xml:space="preserve">i noen grad </w:t>
      </w:r>
      <w:r w:rsidR="00841D1F">
        <w:t xml:space="preserve">vil </w:t>
      </w:r>
      <w:r w:rsidR="00EF6355">
        <w:t xml:space="preserve">kunne </w:t>
      </w:r>
      <w:r w:rsidR="000D306F">
        <w:t xml:space="preserve">ansette </w:t>
      </w:r>
      <w:r w:rsidR="00461E95">
        <w:t>sykepleier eller</w:t>
      </w:r>
      <w:r w:rsidR="000D306F">
        <w:t xml:space="preserve"> </w:t>
      </w:r>
      <w:r w:rsidR="00497C49">
        <w:t>annet personell</w:t>
      </w:r>
      <w:r w:rsidR="00461E95">
        <w:t xml:space="preserve"> dersom takstene åpnes mer for delegering eller selvstendig taksting</w:t>
      </w:r>
      <w:r w:rsidR="001500F0">
        <w:t>.</w:t>
      </w:r>
      <w:r w:rsidR="004F1219">
        <w:t xml:space="preserve"> </w:t>
      </w:r>
      <w:r w:rsidR="009C798C">
        <w:t>Som nevnt</w:t>
      </w:r>
      <w:r w:rsidR="00AB4C3B">
        <w:t>,</w:t>
      </w:r>
      <w:r w:rsidR="009C798C">
        <w:t xml:space="preserve"> har imid</w:t>
      </w:r>
      <w:r w:rsidR="00965188">
        <w:t>l</w:t>
      </w:r>
      <w:r w:rsidR="009C798C">
        <w:t>e</w:t>
      </w:r>
      <w:r w:rsidR="00965188">
        <w:t>r</w:t>
      </w:r>
      <w:r w:rsidR="009C798C">
        <w:t xml:space="preserve">tid Danmark i en periode utbetalt ekstra midler </w:t>
      </w:r>
      <w:r w:rsidR="00F70BCE">
        <w:t>ut</w:t>
      </w:r>
      <w:r w:rsidR="009C798C">
        <w:t>over basistilskuddet for å stimulere ytterliger</w:t>
      </w:r>
      <w:r w:rsidR="00DE0B98">
        <w:t>e</w:t>
      </w:r>
      <w:r w:rsidR="009C798C">
        <w:t xml:space="preserve"> til ansettelse av </w:t>
      </w:r>
      <w:r w:rsidR="00785E7F">
        <w:t xml:space="preserve">annet </w:t>
      </w:r>
      <w:r w:rsidR="009C798C">
        <w:t>personell.</w:t>
      </w:r>
    </w:p>
    <w:p w14:paraId="4E3A6106" w14:textId="7E3C6B25" w:rsidR="000D4F3F" w:rsidRDefault="010D72BF" w:rsidP="00775632">
      <w:pPr>
        <w:pStyle w:val="Overskrift4"/>
      </w:pPr>
      <w:bookmarkStart w:id="3529" w:name="_Toc130983566"/>
      <w:bookmarkStart w:id="3530" w:name="_Toc130983915"/>
      <w:bookmarkStart w:id="3531" w:name="_Toc131238497"/>
      <w:bookmarkStart w:id="3532" w:name="_Toc131279528"/>
      <w:bookmarkStart w:id="3533" w:name="_Toc131286940"/>
      <w:bookmarkStart w:id="3534" w:name="_Toc131281350"/>
      <w:bookmarkStart w:id="3535" w:name="_Toc131317890"/>
      <w:r>
        <w:t>Tverr</w:t>
      </w:r>
      <w:r w:rsidR="102736F0">
        <w:t xml:space="preserve">faglighet </w:t>
      </w:r>
      <w:r w:rsidR="29D2520B" w:rsidRPr="498DE090">
        <w:rPr>
          <w:u w:val="single"/>
        </w:rPr>
        <w:t>med</w:t>
      </w:r>
      <w:r w:rsidR="102736F0">
        <w:t xml:space="preserve"> bruk av tilskudd</w:t>
      </w:r>
      <w:bookmarkEnd w:id="3529"/>
      <w:bookmarkEnd w:id="3530"/>
      <w:bookmarkEnd w:id="3531"/>
      <w:bookmarkEnd w:id="3532"/>
      <w:bookmarkEnd w:id="3533"/>
      <w:bookmarkEnd w:id="3534"/>
      <w:bookmarkEnd w:id="3535"/>
    </w:p>
    <w:p w14:paraId="0472A3D2" w14:textId="77777777" w:rsidR="00D9107F" w:rsidRDefault="004E166F" w:rsidP="005222A7">
      <w:pPr>
        <w:jc w:val="both"/>
      </w:pPr>
      <w:r>
        <w:t>Fastlegene har en del</w:t>
      </w:r>
      <w:r w:rsidR="000439C0">
        <w:t xml:space="preserve"> av sin </w:t>
      </w:r>
      <w:r>
        <w:t xml:space="preserve">finansiering gjennom </w:t>
      </w:r>
      <w:r w:rsidR="0025360F">
        <w:t>basis</w:t>
      </w:r>
      <w:r>
        <w:t xml:space="preserve">tilskudd. </w:t>
      </w:r>
      <w:r w:rsidR="001956FF">
        <w:t xml:space="preserve">Dersom annet personell skal være en faglig utvidelse av tjenestetilbudet </w:t>
      </w:r>
      <w:r w:rsidR="00B94C60">
        <w:t>på</w:t>
      </w:r>
      <w:r w:rsidR="001956FF">
        <w:t xml:space="preserve"> fastlegekontoret og komme i tillegg til fastlegens aktivitet, </w:t>
      </w:r>
      <w:r w:rsidR="00F60E8F">
        <w:t>må</w:t>
      </w:r>
      <w:r w:rsidR="001956FF">
        <w:t xml:space="preserve"> det </w:t>
      </w:r>
      <w:r w:rsidR="00F60E8F">
        <w:t>vurderes om det er</w:t>
      </w:r>
      <w:r w:rsidR="001956FF">
        <w:t xml:space="preserve"> nødvendig å supplere takstfinansieringen med en form for tilskudd. I forsøket med primærhelseteam </w:t>
      </w:r>
      <w:r w:rsidR="00524B76" w:rsidRPr="00524B76">
        <w:t>er sykepleiers aktivitet de</w:t>
      </w:r>
      <w:r w:rsidR="00C1772E">
        <w:t>ls</w:t>
      </w:r>
      <w:r w:rsidR="00524B76" w:rsidRPr="00524B76">
        <w:t xml:space="preserve"> i stedet for, og dels i tillegg til</w:t>
      </w:r>
      <w:r w:rsidR="00785E7F">
        <w:t>,</w:t>
      </w:r>
      <w:r w:rsidR="00524B76" w:rsidRPr="00524B76">
        <w:t xml:space="preserve"> fastlegens tidligere aktivitet</w:t>
      </w:r>
      <w:r w:rsidR="00824A65">
        <w:t>.</w:t>
      </w:r>
      <w:r w:rsidR="00115102">
        <w:t xml:space="preserve"> </w:t>
      </w:r>
      <w:r w:rsidR="00AF67FE">
        <w:t>S</w:t>
      </w:r>
      <w:r w:rsidR="001956FF">
        <w:t xml:space="preserve">ykepleier finansieres </w:t>
      </w:r>
      <w:r w:rsidR="00D74C27">
        <w:t>dels</w:t>
      </w:r>
      <w:r w:rsidR="001956FF">
        <w:t xml:space="preserve"> gjennom tilskudd som </w:t>
      </w:r>
      <w:r w:rsidR="00597B63">
        <w:t xml:space="preserve">er ment å </w:t>
      </w:r>
      <w:r w:rsidR="001956FF">
        <w:t xml:space="preserve">dekke 50 prosent av sykepleierkostnaden. De resterende 50 prosent av kostnaden skal finansieres gjennom sykepleiertakster. </w:t>
      </w:r>
      <w:r w:rsidR="00D92165">
        <w:t>I</w:t>
      </w:r>
      <w:r w:rsidR="00983D2A">
        <w:t xml:space="preserve"> forsøket har det vist seg å være krevende for </w:t>
      </w:r>
      <w:r w:rsidR="00740CC3">
        <w:t xml:space="preserve">mange av </w:t>
      </w:r>
      <w:r w:rsidR="00237738">
        <w:t xml:space="preserve">forsøkskontorene å nå opp til </w:t>
      </w:r>
      <w:r w:rsidR="006158A7">
        <w:t>50 prosent takstfinansiering av sykepleier.</w:t>
      </w:r>
    </w:p>
    <w:p w14:paraId="4701DE97" w14:textId="77777777" w:rsidR="00D9107F" w:rsidRDefault="006412B3" w:rsidP="005222A7">
      <w:pPr>
        <w:jc w:val="both"/>
      </w:pPr>
      <w:r>
        <w:t>Eval</w:t>
      </w:r>
      <w:r w:rsidR="00FE5179">
        <w:t>uer</w:t>
      </w:r>
      <w:r w:rsidR="0046683D" w:rsidRPr="0046683D">
        <w:t>ingen av forsøket</w:t>
      </w:r>
      <w:r w:rsidR="009560A9" w:rsidRPr="009560A9">
        <w:t xml:space="preserve"> </w:t>
      </w:r>
      <w:r w:rsidR="003E7CD6">
        <w:t xml:space="preserve">med primærhelseteam </w:t>
      </w:r>
      <w:r w:rsidR="009A0BF7">
        <w:t>s</w:t>
      </w:r>
      <w:r w:rsidR="009560A9" w:rsidRPr="009560A9">
        <w:t xml:space="preserve">er ikke konkret på </w:t>
      </w:r>
      <w:r w:rsidR="00D629B9">
        <w:t>omfanget</w:t>
      </w:r>
      <w:r w:rsidR="009560A9" w:rsidRPr="009560A9">
        <w:t xml:space="preserve">, men en betydelig andel av </w:t>
      </w:r>
      <w:r w:rsidR="00C57216">
        <w:t xml:space="preserve">sykepleiers </w:t>
      </w:r>
      <w:r w:rsidR="009560A9" w:rsidRPr="009560A9">
        <w:t>aktivitet kommer i tillegg til</w:t>
      </w:r>
      <w:r w:rsidR="00D629B9">
        <w:t xml:space="preserve"> </w:t>
      </w:r>
      <w:r w:rsidR="00401E3A">
        <w:t>fastlegens opprinnelige aktivitet</w:t>
      </w:r>
      <w:r w:rsidR="00C85F7E" w:rsidRPr="00C85F7E">
        <w:t>.</w:t>
      </w:r>
      <w:r w:rsidR="00FC3863" w:rsidRPr="00FC3863">
        <w:t xml:space="preserve"> Innenfor forsøket med primærhelseteam</w:t>
      </w:r>
      <w:r w:rsidR="009B37EB">
        <w:t>,</w:t>
      </w:r>
      <w:r w:rsidR="00D503AB" w:rsidRPr="00D503AB">
        <w:t xml:space="preserve"> </w:t>
      </w:r>
      <w:r w:rsidR="007B1CF7">
        <w:t xml:space="preserve">er det </w:t>
      </w:r>
      <w:r w:rsidR="00D503AB" w:rsidRPr="00D503AB">
        <w:t xml:space="preserve">stor variasjon mellom legekontor, både </w:t>
      </w:r>
      <w:r w:rsidR="00F62075">
        <w:t>i</w:t>
      </w:r>
      <w:r w:rsidR="00D503AB" w:rsidRPr="00D503AB">
        <w:t xml:space="preserve"> hvordan sykepleier benytte</w:t>
      </w:r>
      <w:r w:rsidR="00517ACE">
        <w:t>s</w:t>
      </w:r>
      <w:r w:rsidR="00D503AB" w:rsidRPr="00D503AB">
        <w:t xml:space="preserve">, </w:t>
      </w:r>
      <w:r w:rsidR="005F0F74">
        <w:t>hvilke oppgaver sykepleier utfører</w:t>
      </w:r>
      <w:r w:rsidR="00D503AB" w:rsidRPr="00D503AB">
        <w:t>, og hvor mye tak</w:t>
      </w:r>
      <w:r w:rsidR="00266A53">
        <w:t>s</w:t>
      </w:r>
      <w:r w:rsidR="00D503AB" w:rsidRPr="00D503AB">
        <w:t>ter sykepleier generere</w:t>
      </w:r>
      <w:r w:rsidR="00267951">
        <w:t>r.</w:t>
      </w:r>
    </w:p>
    <w:p w14:paraId="42FF08BD" w14:textId="3D0369E2" w:rsidR="003A323C" w:rsidRDefault="00921B5B" w:rsidP="005222A7">
      <w:pPr>
        <w:jc w:val="both"/>
      </w:pPr>
      <w:r>
        <w:t xml:space="preserve">Dersom andel aktivitetsbasert finansiering </w:t>
      </w:r>
      <w:r w:rsidR="00634ED9">
        <w:t>av fastlegene reduseres</w:t>
      </w:r>
      <w:r w:rsidR="00242477">
        <w:t xml:space="preserve">, </w:t>
      </w:r>
      <w:r w:rsidR="00634ED9">
        <w:t xml:space="preserve">for eksempel </w:t>
      </w:r>
      <w:r w:rsidR="008B4080">
        <w:t>fra dagens ca</w:t>
      </w:r>
      <w:r w:rsidR="00681ECC">
        <w:t>.</w:t>
      </w:r>
      <w:r w:rsidR="008B4080">
        <w:t xml:space="preserve"> 70 prosent til 50 prosent</w:t>
      </w:r>
      <w:r w:rsidR="00D914E8" w:rsidRPr="001C2F65">
        <w:t xml:space="preserve">, slik </w:t>
      </w:r>
      <w:r w:rsidR="00476DB4" w:rsidRPr="001C2F65">
        <w:t>et flertall i</w:t>
      </w:r>
      <w:r w:rsidR="447F85C9" w:rsidRPr="001C2F65">
        <w:t xml:space="preserve"> </w:t>
      </w:r>
      <w:r w:rsidR="00D914E8" w:rsidRPr="001C2F65">
        <w:t xml:space="preserve">ekspertutvalget foreslår i </w:t>
      </w:r>
      <w:r w:rsidR="00D914E8" w:rsidRPr="00813781">
        <w:t>kapittel</w:t>
      </w:r>
      <w:r w:rsidR="00C57216" w:rsidRPr="00813781">
        <w:t xml:space="preserve"> 5</w:t>
      </w:r>
      <w:r w:rsidR="002C0740" w:rsidRPr="002C0740">
        <w:t>.</w:t>
      </w:r>
      <w:r w:rsidR="002C0740">
        <w:t>7</w:t>
      </w:r>
      <w:r w:rsidR="00681CC5">
        <w:t xml:space="preserve">, </w:t>
      </w:r>
      <w:r w:rsidR="00D914E8">
        <w:t xml:space="preserve">vil </w:t>
      </w:r>
      <w:r w:rsidR="00397446">
        <w:t xml:space="preserve">taksthonorarene bli redusert. Det </w:t>
      </w:r>
      <w:r w:rsidR="00B530DF">
        <w:t xml:space="preserve">vil </w:t>
      </w:r>
      <w:r w:rsidR="00EC1CF6">
        <w:t xml:space="preserve">endre </w:t>
      </w:r>
      <w:r w:rsidR="000C22CF">
        <w:t>mulighet</w:t>
      </w:r>
      <w:r w:rsidR="00EC1CF6">
        <w:t>en</w:t>
      </w:r>
      <w:r w:rsidR="00A85604">
        <w:t xml:space="preserve"> for å finansiere</w:t>
      </w:r>
      <w:r w:rsidR="00432B48">
        <w:t xml:space="preserve"> aktivitet utført av</w:t>
      </w:r>
      <w:r w:rsidR="00A85604">
        <w:t xml:space="preserve"> annet personell</w:t>
      </w:r>
      <w:r w:rsidR="003A323C">
        <w:t xml:space="preserve">. Dersom aktivitet som annet personell utfører skjer </w:t>
      </w:r>
      <w:r w:rsidR="003A323C" w:rsidRPr="00D9107F">
        <w:rPr>
          <w:rStyle w:val="kursiv"/>
        </w:rPr>
        <w:t>i stedet for</w:t>
      </w:r>
      <w:r w:rsidR="003A323C">
        <w:t xml:space="preserve"> at fastlegen utfører den, vil det fortsatt være økonomisk gunstig at personell med lavere kostnader enn legen, utfører aktiviteten. </w:t>
      </w:r>
      <w:r w:rsidR="003A323C" w:rsidRPr="003F6281">
        <w:t xml:space="preserve">Samlet </w:t>
      </w:r>
      <w:r w:rsidR="00D32A43" w:rsidRPr="003F6281">
        <w:t xml:space="preserve">aktivitet </w:t>
      </w:r>
      <w:r w:rsidR="000411E7" w:rsidRPr="003F6281">
        <w:t>i praksisen</w:t>
      </w:r>
      <w:r w:rsidR="00D32A43" w:rsidRPr="003F6281">
        <w:t xml:space="preserve"> vil være uendret, og </w:t>
      </w:r>
      <w:r w:rsidR="003840FE" w:rsidRPr="003F6281">
        <w:t xml:space="preserve">samlet </w:t>
      </w:r>
      <w:r w:rsidR="003A323C" w:rsidRPr="003F6281">
        <w:t>finansiering vil være uendret.</w:t>
      </w:r>
      <w:r w:rsidR="000A465F" w:rsidRPr="003F6281">
        <w:t xml:space="preserve"> </w:t>
      </w:r>
      <w:r w:rsidR="009C5FDF" w:rsidRPr="003F6281">
        <w:t>Fastlegen vil da kunne betjene listen med kortere arbeidstid samtidig som fastlegens inntekt blir redusert. Å ansette annet personell kan dermed være gunstig for fastleger som ønsker å redusere arbeidstid</w:t>
      </w:r>
      <w:r w:rsidR="00EE3A84">
        <w:t>en</w:t>
      </w:r>
      <w:r w:rsidR="009C5FDF" w:rsidRPr="003F6281">
        <w:t>.</w:t>
      </w:r>
    </w:p>
    <w:p w14:paraId="7D450CB0" w14:textId="77777777" w:rsidR="00D9107F" w:rsidRDefault="00727B4F" w:rsidP="002A5070">
      <w:pPr>
        <w:jc w:val="both"/>
      </w:pPr>
      <w:r>
        <w:t xml:space="preserve">Dersom </w:t>
      </w:r>
      <w:r w:rsidR="008F7BB5">
        <w:t xml:space="preserve">aktiviteten til annet personell </w:t>
      </w:r>
      <w:r w:rsidR="0072457F">
        <w:t xml:space="preserve">kommer </w:t>
      </w:r>
      <w:r w:rsidRPr="00D9107F">
        <w:rPr>
          <w:rStyle w:val="kursiv"/>
        </w:rPr>
        <w:t>i tillegg til</w:t>
      </w:r>
      <w:r>
        <w:t xml:space="preserve"> dagens aktivitet utført av fastlegene</w:t>
      </w:r>
      <w:r w:rsidR="00864E2B">
        <w:t xml:space="preserve">, vil mulighetene for å finansiere denne </w:t>
      </w:r>
      <w:r w:rsidR="00701EF8">
        <w:t xml:space="preserve">aktiviteten kun </w:t>
      </w:r>
      <w:r w:rsidR="00367576">
        <w:t>gjennom takster bli redusert</w:t>
      </w:r>
      <w:r w:rsidR="00701EF8">
        <w:t xml:space="preserve">. </w:t>
      </w:r>
      <w:r w:rsidR="00765003">
        <w:t>Samlet aktivitet vil øke</w:t>
      </w:r>
      <w:r w:rsidR="000E3183">
        <w:t xml:space="preserve">, men </w:t>
      </w:r>
      <w:r w:rsidR="005102C4">
        <w:t xml:space="preserve">taksthonorarene </w:t>
      </w:r>
      <w:r w:rsidR="00600CA1">
        <w:t xml:space="preserve">vil </w:t>
      </w:r>
      <w:r w:rsidR="001D69C6">
        <w:t>ved en 50/50-fordeling mellom basistilskudd og takster</w:t>
      </w:r>
      <w:r w:rsidR="0000741E">
        <w:t>,</w:t>
      </w:r>
      <w:r w:rsidR="001D69C6">
        <w:t xml:space="preserve"> </w:t>
      </w:r>
      <w:r w:rsidR="00600CA1">
        <w:t>være</w:t>
      </w:r>
      <w:r w:rsidR="005102C4">
        <w:t xml:space="preserve"> redusert sammenliknet med i dag, og </w:t>
      </w:r>
      <w:r w:rsidR="004C5113">
        <w:t xml:space="preserve">takstene vil dermed utgjøre et svakere grunnlag for å finansiere aktivitet ut over dagens aktivitet. </w:t>
      </w:r>
      <w:r w:rsidR="00BA1015">
        <w:t xml:space="preserve">Til gjengjeld vil inntektene </w:t>
      </w:r>
      <w:r w:rsidR="007A769C">
        <w:t>gjennom basistilskuddet ha økt.</w:t>
      </w:r>
    </w:p>
    <w:p w14:paraId="26239A40" w14:textId="2DC51861" w:rsidR="001956FF" w:rsidRDefault="6B131262" w:rsidP="00775632">
      <w:pPr>
        <w:pStyle w:val="Overskrift4"/>
      </w:pPr>
      <w:bookmarkStart w:id="3536" w:name="_Toc130983567"/>
      <w:bookmarkStart w:id="3537" w:name="_Toc130983916"/>
      <w:bookmarkStart w:id="3538" w:name="_Toc131238498"/>
      <w:bookmarkStart w:id="3539" w:name="_Toc131279529"/>
      <w:bookmarkStart w:id="3540" w:name="_Toc131286941"/>
      <w:bookmarkStart w:id="3541" w:name="_Toc131281351"/>
      <w:bookmarkStart w:id="3542" w:name="_Toc131317891"/>
      <w:r>
        <w:lastRenderedPageBreak/>
        <w:t>Fullfinansiering gjennom tilskudd</w:t>
      </w:r>
      <w:bookmarkEnd w:id="3536"/>
      <w:bookmarkEnd w:id="3537"/>
      <w:bookmarkEnd w:id="3538"/>
      <w:bookmarkEnd w:id="3539"/>
      <w:bookmarkEnd w:id="3540"/>
      <w:bookmarkEnd w:id="3541"/>
      <w:bookmarkEnd w:id="3542"/>
    </w:p>
    <w:p w14:paraId="3EE13F0D" w14:textId="70F1C0E3" w:rsidR="001956FF" w:rsidRDefault="288606DD" w:rsidP="005222A7">
      <w:pPr>
        <w:jc w:val="both"/>
      </w:pPr>
      <w:r>
        <w:t xml:space="preserve">Ovenfor har vi lagt til grunn at </w:t>
      </w:r>
      <w:r w:rsidR="78DECA0F" w:rsidRPr="00016BF3">
        <w:t>alt personell skal benytte en form for aktivitetsbasert finansiering.</w:t>
      </w:r>
      <w:r w:rsidR="2D04DABE" w:rsidRPr="006913ED">
        <w:t xml:space="preserve"> Det kan også være en mulighet at annet personell fullfinansieres gjennom tilskudd.</w:t>
      </w:r>
      <w:r w:rsidR="58E1084C" w:rsidRPr="00476B7E">
        <w:t xml:space="preserve"> Personellet vil da være ansatt i virksomheten eller i kommunen uten noen aktivitetsbasert finansiering.</w:t>
      </w:r>
      <w:r w:rsidR="73E56836">
        <w:t xml:space="preserve"> </w:t>
      </w:r>
      <w:r w:rsidR="6B131262">
        <w:t xml:space="preserve">I forsøket med primærhelseteam </w:t>
      </w:r>
      <w:r w:rsidR="7C62AB04">
        <w:t>er noen få psykologer</w:t>
      </w:r>
      <w:r w:rsidR="331F9461">
        <w:t xml:space="preserve"> finansiert slik. P</w:t>
      </w:r>
      <w:r w:rsidR="6B131262">
        <w:t>sykolog</w:t>
      </w:r>
      <w:r w:rsidR="123F2D28">
        <w:t>en</w:t>
      </w:r>
      <w:r w:rsidR="08C7CEC1">
        <w:t>e i forsøket</w:t>
      </w:r>
      <w:r w:rsidR="19464890">
        <w:t xml:space="preserve"> kan</w:t>
      </w:r>
      <w:r w:rsidR="6B131262">
        <w:t xml:space="preserve"> verken utløse takster eller egenandeler, og psykolog finansieres derfor utelukkende gjennom tilskudd.</w:t>
      </w:r>
      <w:r w:rsidR="001956FF" w:rsidRPr="00D9107F">
        <w:rPr>
          <w:rStyle w:val="Fotnotereferanse"/>
        </w:rPr>
        <w:footnoteReference w:id="37"/>
      </w:r>
    </w:p>
    <w:p w14:paraId="49CF5F86" w14:textId="7427A17F" w:rsidR="001956FF" w:rsidRDefault="001956FF" w:rsidP="005222A7">
      <w:pPr>
        <w:jc w:val="both"/>
      </w:pPr>
      <w:r w:rsidRPr="00E90733">
        <w:t xml:space="preserve">Det er </w:t>
      </w:r>
      <w:r w:rsidR="00BD3764">
        <w:t>enkelte</w:t>
      </w:r>
      <w:r w:rsidRPr="00E90733">
        <w:t xml:space="preserve"> ulemper med finansiering utelukkende med tilskudd.</w:t>
      </w:r>
      <w:r>
        <w:t xml:space="preserve"> Man vil da ikke ha insentivene til aktivitet som ligger i </w:t>
      </w:r>
      <w:r w:rsidR="00DC2859">
        <w:t xml:space="preserve">både den </w:t>
      </w:r>
      <w:r>
        <w:t>aktivitetsbasert</w:t>
      </w:r>
      <w:r w:rsidR="00DC2859">
        <w:t>e</w:t>
      </w:r>
      <w:r>
        <w:t xml:space="preserve"> finansiering</w:t>
      </w:r>
      <w:r w:rsidR="00D946EA">
        <w:t>en</w:t>
      </w:r>
      <w:r w:rsidR="00DC2859">
        <w:t xml:space="preserve"> og i basistilskuddet (via utvidet liste)</w:t>
      </w:r>
      <w:r>
        <w:t>.</w:t>
      </w:r>
      <w:r w:rsidRPr="00E90733">
        <w:t xml:space="preserve"> Et annet argument for delfinansiering gjennom takster, er at </w:t>
      </w:r>
      <w:r>
        <w:t>takster gir</w:t>
      </w:r>
      <w:r w:rsidRPr="00E90733">
        <w:t xml:space="preserve"> statistikk og bedre oversikt over</w:t>
      </w:r>
      <w:r>
        <w:t xml:space="preserve"> de ulike personellgruppenes</w:t>
      </w:r>
      <w:r w:rsidRPr="00E90733">
        <w:t xml:space="preserve"> aktivitet.</w:t>
      </w:r>
    </w:p>
    <w:p w14:paraId="33907185" w14:textId="18E39275" w:rsidR="001956FF" w:rsidRDefault="001956FF" w:rsidP="005222A7">
      <w:pPr>
        <w:jc w:val="both"/>
      </w:pPr>
      <w:r>
        <w:t>Man kan også tenke seg en modell med fastlønnstilskudd</w:t>
      </w:r>
      <w:r w:rsidR="000F32D0">
        <w:t>. For</w:t>
      </w:r>
      <w:r>
        <w:t xml:space="preserve"> fastlønte fysioterapeuter</w:t>
      </w:r>
      <w:r w:rsidR="00AD2730">
        <w:t xml:space="preserve"> var</w:t>
      </w:r>
      <w:r w:rsidR="000F32D0">
        <w:t xml:space="preserve"> det</w:t>
      </w:r>
      <w:r w:rsidR="00AD2730">
        <w:t xml:space="preserve"> </w:t>
      </w:r>
      <w:r w:rsidR="00D72D5E">
        <w:t>tidligere</w:t>
      </w:r>
      <w:r w:rsidR="00EC5725">
        <w:t xml:space="preserve"> en ordning uten </w:t>
      </w:r>
      <w:r w:rsidR="00670B95">
        <w:t xml:space="preserve">takster eller annen </w:t>
      </w:r>
      <w:r w:rsidR="00EC5725">
        <w:t>aktivitetsbasert finansiering</w:t>
      </w:r>
      <w:r w:rsidR="00670B95">
        <w:t>.</w:t>
      </w:r>
      <w:r w:rsidR="00756C84">
        <w:t xml:space="preserve"> </w:t>
      </w:r>
      <w:r w:rsidR="00606147">
        <w:t xml:space="preserve">Ordningen </w:t>
      </w:r>
      <w:r w:rsidR="006B375D">
        <w:t>med fastlønnstilskudd til fysioterapeuter</w:t>
      </w:r>
      <w:r w:rsidR="00606147">
        <w:t xml:space="preserve"> er nå endret, slik at </w:t>
      </w:r>
      <w:r w:rsidR="00C80B7D">
        <w:t>pasientene betaler egenandeler. M</w:t>
      </w:r>
      <w:r w:rsidR="005F3446">
        <w:t>ed andre ord</w:t>
      </w:r>
      <w:r w:rsidR="003F46FC">
        <w:t xml:space="preserve"> er det</w:t>
      </w:r>
      <w:r w:rsidR="00C80B7D">
        <w:t xml:space="preserve"> innslag av aktivitetsbasert finansiering</w:t>
      </w:r>
      <w:r w:rsidR="00547A91">
        <w:t xml:space="preserve"> også i denne ordningen</w:t>
      </w:r>
      <w:r>
        <w:t>.</w:t>
      </w:r>
    </w:p>
    <w:p w14:paraId="4B48F63A" w14:textId="33F26034" w:rsidR="008C1D22" w:rsidRDefault="001001F8" w:rsidP="00167273">
      <w:pPr>
        <w:jc w:val="both"/>
      </w:pPr>
      <w:r w:rsidRPr="001001F8">
        <w:t>I den videre vurderingen legges det til grunn at det ikke er aktuelt med en ren tilskuddsfinansiering av annet personell.</w:t>
      </w:r>
    </w:p>
    <w:p w14:paraId="65742EE9" w14:textId="6ECD8456" w:rsidR="008C1D22" w:rsidRDefault="00F72349" w:rsidP="00775632">
      <w:pPr>
        <w:pStyle w:val="Overskrift3"/>
      </w:pPr>
      <w:bookmarkStart w:id="3543" w:name="_Ref130593415"/>
      <w:bookmarkStart w:id="3544" w:name="_Toc130763855"/>
      <w:bookmarkStart w:id="3545" w:name="_Toc130766750"/>
      <w:bookmarkStart w:id="3546" w:name="_Toc130932151"/>
      <w:bookmarkStart w:id="3547" w:name="_Toc130934442"/>
      <w:bookmarkStart w:id="3548" w:name="_Toc130983568"/>
      <w:bookmarkStart w:id="3549" w:name="_Toc130983917"/>
      <w:bookmarkStart w:id="3550" w:name="_Toc131062196"/>
      <w:bookmarkStart w:id="3551" w:name="_Toc131062450"/>
      <w:bookmarkStart w:id="3552" w:name="_Toc131062711"/>
      <w:bookmarkStart w:id="3553" w:name="_Toc131062964"/>
      <w:bookmarkStart w:id="3554" w:name="_Toc131063747"/>
      <w:bookmarkStart w:id="3555" w:name="_Toc131064157"/>
      <w:bookmarkStart w:id="3556" w:name="_Toc131238499"/>
      <w:bookmarkStart w:id="3557" w:name="_Toc131281352"/>
      <w:bookmarkStart w:id="3558" w:name="_Toc131317892"/>
      <w:bookmarkStart w:id="3559" w:name="_Toc132537021"/>
      <w:bookmarkStart w:id="3560" w:name="_Toc131279530"/>
      <w:bookmarkStart w:id="3561" w:name="_Toc131286942"/>
      <w:r>
        <w:t>Insentiver</w:t>
      </w:r>
      <w:r w:rsidR="00EF2839">
        <w:t xml:space="preserve"> og</w:t>
      </w:r>
      <w:r>
        <w:t xml:space="preserve"> k</w:t>
      </w:r>
      <w:r w:rsidR="00633B5C">
        <w:t xml:space="preserve">ostnader </w:t>
      </w:r>
      <w:r w:rsidR="004011C0">
        <w:t>ved</w:t>
      </w:r>
      <w:r w:rsidR="00633B5C">
        <w:t xml:space="preserve"> tverrfaglighet</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bookmarkEnd w:id="3560"/>
    <w:bookmarkEnd w:id="3561"/>
    <w:p w14:paraId="2ED9EEC6" w14:textId="7D8F22FD" w:rsidR="00BB1CBE" w:rsidRDefault="006234D7" w:rsidP="00BE203D">
      <w:pPr>
        <w:jc w:val="both"/>
      </w:pPr>
      <w:r>
        <w:t xml:space="preserve">I dette avsnittet </w:t>
      </w:r>
      <w:r w:rsidR="00BB1CBE">
        <w:t>vise</w:t>
      </w:r>
      <w:r w:rsidR="00F24569">
        <w:t>s</w:t>
      </w:r>
      <w:r w:rsidR="00BB1CBE">
        <w:t xml:space="preserve"> eksemp</w:t>
      </w:r>
      <w:r w:rsidR="00D17AE6">
        <w:t>ler</w:t>
      </w:r>
      <w:r w:rsidR="00BB1CBE">
        <w:t xml:space="preserve"> på </w:t>
      </w:r>
      <w:r w:rsidR="00090A90">
        <w:t xml:space="preserve">økonomiske konsekvenser </w:t>
      </w:r>
      <w:r w:rsidR="007B48D3">
        <w:t xml:space="preserve">og </w:t>
      </w:r>
      <w:r w:rsidR="00B655C4">
        <w:t>mulige insentivvirkninger</w:t>
      </w:r>
      <w:r w:rsidR="00CB2BF8">
        <w:t xml:space="preserve"> </w:t>
      </w:r>
      <w:r w:rsidR="00090A90">
        <w:t xml:space="preserve">for fastlegene av å ansette annet personell. </w:t>
      </w:r>
      <w:r w:rsidR="00001BEF">
        <w:t>Eksemplene viser</w:t>
      </w:r>
      <w:r w:rsidR="00BB1CBE">
        <w:t xml:space="preserve"> at ansettelse av annet personell kan være økonomisk lønnsomt for en fastlegevirksomhet.</w:t>
      </w:r>
    </w:p>
    <w:p w14:paraId="00D67011" w14:textId="77777777" w:rsidR="00D9107F" w:rsidRDefault="00284C3E" w:rsidP="00BE203D">
      <w:pPr>
        <w:jc w:val="both"/>
      </w:pPr>
      <w:r>
        <w:t xml:space="preserve">Det </w:t>
      </w:r>
      <w:r w:rsidR="00BA019F">
        <w:t xml:space="preserve">gjøres </w:t>
      </w:r>
      <w:r>
        <w:t xml:space="preserve">også </w:t>
      </w:r>
      <w:r w:rsidR="00BA019F">
        <w:t>beregninger av kostnader for det offentlige som følge av økt grad av tverrfaglighet i fastlegevirksomheter.</w:t>
      </w:r>
    </w:p>
    <w:p w14:paraId="3B03B7C2" w14:textId="77777777" w:rsidR="00D9107F" w:rsidRDefault="00BB1CBE" w:rsidP="00BE203D">
      <w:pPr>
        <w:jc w:val="both"/>
      </w:pPr>
      <w:r>
        <w:t>Vi har ovenfor skilt mellom ulike former for takstfinansiering</w:t>
      </w:r>
      <w:r w:rsidR="005F3446">
        <w:t>;</w:t>
      </w:r>
      <w:r>
        <w:t xml:space="preserve"> delegering, profesjonsnøytrale takster og egne takster for annet personell. Kostnadsmessig trenger ikke disse løsningene å skille </w:t>
      </w:r>
      <w:r w:rsidR="00731D3A">
        <w:t xml:space="preserve">seg </w:t>
      </w:r>
      <w:r>
        <w:t>mye</w:t>
      </w:r>
      <w:r w:rsidR="00731D3A">
        <w:t xml:space="preserve"> fra hverandre</w:t>
      </w:r>
      <w:r>
        <w:t xml:space="preserve">. I beregningene nedenfor har vi derfor ikke skilt mellom </w:t>
      </w:r>
      <w:r w:rsidR="00447A91">
        <w:t>de tre alternativene</w:t>
      </w:r>
      <w:r>
        <w:t>.</w:t>
      </w:r>
    </w:p>
    <w:p w14:paraId="76888D08" w14:textId="3D95E875" w:rsidR="00987F8E" w:rsidRPr="00633B5C" w:rsidRDefault="002526A4" w:rsidP="00167273">
      <w:pPr>
        <w:jc w:val="both"/>
      </w:pPr>
      <w:r>
        <w:t xml:space="preserve">Det vil være nødvendig </w:t>
      </w:r>
      <w:r w:rsidR="00106321">
        <w:t xml:space="preserve">å utrede </w:t>
      </w:r>
      <w:r w:rsidR="00AA4F80" w:rsidRPr="00633B5C">
        <w:t xml:space="preserve">kostnader </w:t>
      </w:r>
      <w:r w:rsidR="00AA4F80">
        <w:t>nærmere.</w:t>
      </w:r>
    </w:p>
    <w:p w14:paraId="41B0C533" w14:textId="0F2999B4" w:rsidR="00BB1CBE" w:rsidRDefault="009B28D8" w:rsidP="00775632">
      <w:pPr>
        <w:pStyle w:val="Overskrift4"/>
      </w:pPr>
      <w:bookmarkStart w:id="3562" w:name="_Toc131238500"/>
      <w:bookmarkStart w:id="3563" w:name="_Toc131279531"/>
      <w:bookmarkStart w:id="3564" w:name="_Toc131286943"/>
      <w:bookmarkStart w:id="3565" w:name="_Toc131281353"/>
      <w:bookmarkStart w:id="3566" w:name="_Toc131317893"/>
      <w:r w:rsidRPr="006C06FE">
        <w:lastRenderedPageBreak/>
        <w:t>Kostnad</w:t>
      </w:r>
      <w:r w:rsidR="009A51AC" w:rsidRPr="006C06FE">
        <w:t>selementer</w:t>
      </w:r>
      <w:bookmarkEnd w:id="3562"/>
      <w:bookmarkEnd w:id="3563"/>
      <w:bookmarkEnd w:id="3564"/>
      <w:bookmarkEnd w:id="3565"/>
      <w:bookmarkEnd w:id="3566"/>
    </w:p>
    <w:p w14:paraId="4D141A9C" w14:textId="77777777" w:rsidR="00D9107F" w:rsidRDefault="00BB1CBE" w:rsidP="00BE203D">
      <w:pPr>
        <w:jc w:val="both"/>
      </w:pPr>
      <w:r>
        <w:t xml:space="preserve">Det </w:t>
      </w:r>
      <w:r w:rsidR="00254EA2">
        <w:t xml:space="preserve">vil være </w:t>
      </w:r>
      <w:r w:rsidR="00AD45B5">
        <w:t>flere</w:t>
      </w:r>
      <w:r w:rsidR="00C61993">
        <w:t xml:space="preserve"> forhold </w:t>
      </w:r>
      <w:r>
        <w:t xml:space="preserve">som vil påvirke kostnadene </w:t>
      </w:r>
      <w:r w:rsidR="00CF16F4">
        <w:t>ved</w:t>
      </w:r>
      <w:r>
        <w:t xml:space="preserve"> å ta </w:t>
      </w:r>
      <w:r w:rsidR="009803E8">
        <w:t xml:space="preserve">inn </w:t>
      </w:r>
      <w:r>
        <w:t>annet personell i fastlegevirksomheter:</w:t>
      </w:r>
    </w:p>
    <w:p w14:paraId="7A6CF6E8" w14:textId="18AD57F5" w:rsidR="00BB1CBE" w:rsidRPr="00BB1CBE" w:rsidRDefault="001657C7" w:rsidP="00775632">
      <w:pPr>
        <w:pStyle w:val="Listebombe"/>
      </w:pPr>
      <w:r>
        <w:t>O</w:t>
      </w:r>
      <w:r w:rsidR="00BB1CBE" w:rsidRPr="5E5C1795">
        <w:t xml:space="preserve">mfang </w:t>
      </w:r>
      <w:r w:rsidR="005F3446">
        <w:t>og sammensetning</w:t>
      </w:r>
      <w:r w:rsidR="00BB1CBE" w:rsidRPr="5E5C1795">
        <w:t xml:space="preserve"> av annet personell</w:t>
      </w:r>
      <w:r w:rsidR="004F1E85">
        <w:t>:</w:t>
      </w:r>
      <w:r w:rsidR="00BB1CBE" w:rsidRPr="5E5C1795">
        <w:t xml:space="preserve"> </w:t>
      </w:r>
      <w:r w:rsidR="00CB0A32">
        <w:t>h</w:t>
      </w:r>
      <w:r w:rsidR="00BB1CBE" w:rsidRPr="5E5C1795">
        <w:t>vor mange, og hvilke personellgrupper</w:t>
      </w:r>
    </w:p>
    <w:p w14:paraId="19EE4E9E" w14:textId="77777777" w:rsidR="00D9107F" w:rsidRDefault="00CD13B1" w:rsidP="00775632">
      <w:pPr>
        <w:pStyle w:val="Listebombe"/>
      </w:pPr>
      <w:r>
        <w:t>K</w:t>
      </w:r>
      <w:r w:rsidR="00BB1CBE" w:rsidRPr="5E5C1795">
        <w:t xml:space="preserve">ostnadene per </w:t>
      </w:r>
      <w:r w:rsidR="00D240D3">
        <w:t xml:space="preserve">årsverk for </w:t>
      </w:r>
      <w:r w:rsidR="00BB1CBE" w:rsidRPr="5E5C1795">
        <w:t>annet personell</w:t>
      </w:r>
      <w:r w:rsidR="00CB0A32">
        <w:t>:</w:t>
      </w:r>
      <w:r w:rsidR="00BB1CBE" w:rsidRPr="5E5C1795">
        <w:t xml:space="preserve"> lønn og andre kostnader</w:t>
      </w:r>
    </w:p>
    <w:p w14:paraId="2AF3E0DE" w14:textId="174DACE3" w:rsidR="00BB1CBE" w:rsidRPr="00BB1CBE" w:rsidRDefault="00BB1CBE" w:rsidP="00775632">
      <w:pPr>
        <w:pStyle w:val="Listebombe"/>
      </w:pPr>
      <w:r w:rsidRPr="5E5C1795">
        <w:t>Kommer deres arbeid i stedet for, eller i tillegg til</w:t>
      </w:r>
      <w:r w:rsidR="005F3446">
        <w:t>,</w:t>
      </w:r>
      <w:r w:rsidRPr="5E5C1795">
        <w:t xml:space="preserve"> fastlegens arbeid</w:t>
      </w:r>
    </w:p>
    <w:p w14:paraId="69067738" w14:textId="43096A9B" w:rsidR="00BB1CBE" w:rsidRPr="00BB1CBE" w:rsidRDefault="00BB1CBE" w:rsidP="00775632">
      <w:pPr>
        <w:pStyle w:val="Listebombe"/>
      </w:pPr>
      <w:r w:rsidRPr="5E5C1795">
        <w:t xml:space="preserve">Hvilken </w:t>
      </w:r>
      <w:r w:rsidR="005F3446">
        <w:t>finansering</w:t>
      </w:r>
      <w:r w:rsidRPr="5E5C1795">
        <w:t xml:space="preserve"> skal </w:t>
      </w:r>
      <w:r w:rsidR="000A1146">
        <w:t>personellet</w:t>
      </w:r>
      <w:r w:rsidRPr="5E5C1795">
        <w:t xml:space="preserve"> utløse</w:t>
      </w:r>
    </w:p>
    <w:p w14:paraId="38187FA1" w14:textId="36A1316F" w:rsidR="00BB1CBE" w:rsidRPr="00BB1CBE" w:rsidRDefault="00BB1CBE" w:rsidP="00775632">
      <w:pPr>
        <w:pStyle w:val="Listebombe2"/>
      </w:pPr>
      <w:r w:rsidRPr="5E5C1795">
        <w:t>Skal de utløse samme betaling for aktivitet som fastlegen</w:t>
      </w:r>
    </w:p>
    <w:p w14:paraId="1EE506A0" w14:textId="36A1316F" w:rsidR="00BB1CBE" w:rsidRPr="00BB1CBE" w:rsidRDefault="00BB1CBE" w:rsidP="00775632">
      <w:pPr>
        <w:pStyle w:val="Listebombe2"/>
      </w:pPr>
      <w:r w:rsidRPr="5E5C1795">
        <w:t>Skal det gis tilskudd ut over dagens basistilskudd</w:t>
      </w:r>
    </w:p>
    <w:p w14:paraId="1277DFA8" w14:textId="49C63946" w:rsidR="003D6D44" w:rsidRDefault="00C76933" w:rsidP="00BE203D">
      <w:pPr>
        <w:jc w:val="both"/>
      </w:pPr>
      <w:r>
        <w:t xml:space="preserve">I </w:t>
      </w:r>
      <w:r w:rsidR="003677CA">
        <w:t xml:space="preserve">beregningene nedenfor, har vi </w:t>
      </w:r>
      <w:r w:rsidR="00A2168C">
        <w:t>lagt til grunn</w:t>
      </w:r>
      <w:r w:rsidR="00401CD2">
        <w:t xml:space="preserve"> kostna</w:t>
      </w:r>
      <w:r w:rsidR="007114FA">
        <w:t>der for</w:t>
      </w:r>
      <w:r w:rsidR="0070607A">
        <w:t xml:space="preserve"> </w:t>
      </w:r>
      <w:r w:rsidR="000F46DF">
        <w:t>sykepleier</w:t>
      </w:r>
      <w:r w:rsidR="007114FA">
        <w:t>årsverk</w:t>
      </w:r>
      <w:r w:rsidR="00AA0761">
        <w:t xml:space="preserve">. </w:t>
      </w:r>
      <w:r w:rsidR="00604D56">
        <w:t>Innenfor forsøket med primærhelseteam</w:t>
      </w:r>
      <w:r w:rsidR="00081466">
        <w:t xml:space="preserve"> benyttet man i 2022</w:t>
      </w:r>
      <w:r w:rsidR="00893080">
        <w:t xml:space="preserve"> en årsverkskostnad på </w:t>
      </w:r>
      <w:r w:rsidR="00300511">
        <w:t>96</w:t>
      </w:r>
      <w:r w:rsidR="00D9107F">
        <w:t>5 000 kroner</w:t>
      </w:r>
      <w:r w:rsidR="00300511">
        <w:t xml:space="preserve">. </w:t>
      </w:r>
      <w:r w:rsidR="00F12868">
        <w:t xml:space="preserve">Inntjeningen for virksomhetene </w:t>
      </w:r>
      <w:r w:rsidR="00F649D6">
        <w:t xml:space="preserve">bør ligge over </w:t>
      </w:r>
      <w:r w:rsidR="00910799">
        <w:t>årsverkskostnad</w:t>
      </w:r>
      <w:r w:rsidR="001E7E1A">
        <w:t>en</w:t>
      </w:r>
      <w:r w:rsidR="00910799">
        <w:t>.</w:t>
      </w:r>
      <w:r w:rsidR="00674873">
        <w:t xml:space="preserve"> </w:t>
      </w:r>
      <w:r w:rsidR="00F50E2B">
        <w:t xml:space="preserve">I våre beregninger bruker vi </w:t>
      </w:r>
      <w:r w:rsidR="00D9107F">
        <w:t>1 mill.</w:t>
      </w:r>
      <w:r w:rsidR="00F50E2B">
        <w:t xml:space="preserve"> kroner som årsverkskostnad</w:t>
      </w:r>
      <w:r w:rsidR="00814FFD">
        <w:t xml:space="preserve"> for annet personell</w:t>
      </w:r>
      <w:r w:rsidR="00F50E2B">
        <w:t>.</w:t>
      </w:r>
      <w:r w:rsidR="00547D0F">
        <w:t xml:space="preserve"> </w:t>
      </w:r>
      <w:r w:rsidR="00324AE5">
        <w:t xml:space="preserve">Pasientene vil betale </w:t>
      </w:r>
      <w:r w:rsidR="00EF4086">
        <w:t>en del av kostnaden, i form av egenandeler.</w:t>
      </w:r>
    </w:p>
    <w:p w14:paraId="70ADB6FC" w14:textId="0B9DD55C" w:rsidR="00025E01" w:rsidRDefault="003E49B4" w:rsidP="00BE203D">
      <w:pPr>
        <w:jc w:val="both"/>
      </w:pPr>
      <w:r>
        <w:t xml:space="preserve">Videre legger vi </w:t>
      </w:r>
      <w:r w:rsidR="000477C8">
        <w:t xml:space="preserve">i beregningene </w:t>
      </w:r>
      <w:r>
        <w:t>til grunn</w:t>
      </w:r>
      <w:r w:rsidR="0076683C">
        <w:t xml:space="preserve"> at annet personell vil utløse samme betaling</w:t>
      </w:r>
      <w:r w:rsidR="00230AF6">
        <w:t xml:space="preserve"> per aktivitet som lege</w:t>
      </w:r>
      <w:r w:rsidR="00923EA3">
        <w:t>n. Dette vil være gjeldende for de to alternativene som vi har beskrevet som mest aktuelle; delegering og profesjonsnøytrale takster.</w:t>
      </w:r>
    </w:p>
    <w:p w14:paraId="13D87DAA" w14:textId="13390C74" w:rsidR="00A2445B" w:rsidRDefault="00A2445B" w:rsidP="00775632">
      <w:pPr>
        <w:pStyle w:val="Overskrift4"/>
      </w:pPr>
      <w:bookmarkStart w:id="3567" w:name="_Toc131238501"/>
      <w:bookmarkStart w:id="3568" w:name="_Toc131279532"/>
      <w:bookmarkStart w:id="3569" w:name="_Toc131286944"/>
      <w:bookmarkStart w:id="3570" w:name="_Toc131281354"/>
      <w:bookmarkStart w:id="3571" w:name="_Toc131317894"/>
      <w:r>
        <w:t>Innledende om det offentliges kostnader</w:t>
      </w:r>
      <w:bookmarkEnd w:id="3567"/>
      <w:bookmarkEnd w:id="3568"/>
      <w:bookmarkEnd w:id="3569"/>
      <w:bookmarkEnd w:id="3570"/>
      <w:bookmarkEnd w:id="3571"/>
    </w:p>
    <w:p w14:paraId="5DEE832C" w14:textId="77777777" w:rsidR="00D9107F" w:rsidRDefault="00F02883" w:rsidP="00BE203D">
      <w:pPr>
        <w:jc w:val="both"/>
      </w:pPr>
      <w:r>
        <w:t xml:space="preserve">Som </w:t>
      </w:r>
      <w:r w:rsidR="009F06AD">
        <w:t>beskrevet</w:t>
      </w:r>
      <w:r w:rsidR="00B56E13">
        <w:t xml:space="preserve"> i </w:t>
      </w:r>
      <w:r w:rsidR="00AE1CBD">
        <w:t>kapittel 6.3.9.1</w:t>
      </w:r>
      <w:r w:rsidR="007E2536" w:rsidRPr="00AE1CBD">
        <w:t>,</w:t>
      </w:r>
      <w:r w:rsidR="007E2536">
        <w:t xml:space="preserve"> kan man anta at d</w:t>
      </w:r>
      <w:r>
        <w:t>ersom aktiviteten som annet personell utfører</w:t>
      </w:r>
      <w:r w:rsidR="00F85D86">
        <w:t>,</w:t>
      </w:r>
      <w:r w:rsidR="003B732E">
        <w:t xml:space="preserve"> i sin helhet</w:t>
      </w:r>
      <w:r>
        <w:t xml:space="preserve"> kommer til erstatning for fastlegens nåværende aktivitet, vil ikke det offentliges kostnader øke. Det gis ikke</w:t>
      </w:r>
      <w:r w:rsidR="005A650C">
        <w:t xml:space="preserve"> </w:t>
      </w:r>
      <w:r>
        <w:t>økt tilskudd, og takstene som annet personell ut</w:t>
      </w:r>
      <w:r w:rsidR="00A17481">
        <w:t>løser</w:t>
      </w:r>
      <w:r>
        <w:t>, vil gjenspeiles i en tilsvarende reduksjon i fastlegens bruk av takster.</w:t>
      </w:r>
    </w:p>
    <w:p w14:paraId="68FE2CD0" w14:textId="77777777" w:rsidR="00D9107F" w:rsidRDefault="00F02883" w:rsidP="00BE203D">
      <w:pPr>
        <w:jc w:val="both"/>
      </w:pPr>
      <w:r>
        <w:t xml:space="preserve">Det andre ytterpunktet vil være at </w:t>
      </w:r>
      <w:r w:rsidR="00F85D86">
        <w:t xml:space="preserve">aktiviteten som </w:t>
      </w:r>
      <w:r>
        <w:t xml:space="preserve">annet personell </w:t>
      </w:r>
      <w:r w:rsidR="00F85D86">
        <w:t>utfører</w:t>
      </w:r>
      <w:r w:rsidR="000E7B65">
        <w:t>,</w:t>
      </w:r>
      <w:r>
        <w:t xml:space="preserve"> i sin helhet kommer </w:t>
      </w:r>
      <w:r w:rsidRPr="00D9107F">
        <w:rPr>
          <w:rStyle w:val="kursiv"/>
        </w:rPr>
        <w:t>i tillegg til</w:t>
      </w:r>
      <w:r>
        <w:t xml:space="preserve"> fastlegens nåværende aktivitet. Da vil hele kostnaden for det nye personellet være en merkostnad, dels for det offentlige </w:t>
      </w:r>
      <w:r w:rsidR="003B52AA">
        <w:t xml:space="preserve">og </w:t>
      </w:r>
      <w:r>
        <w:t>dels for pasientene i form av egenandeler.</w:t>
      </w:r>
    </w:p>
    <w:p w14:paraId="6F5A21C4" w14:textId="77777777" w:rsidR="00D9107F" w:rsidRDefault="00077717" w:rsidP="00BE203D">
      <w:pPr>
        <w:jc w:val="both"/>
      </w:pPr>
      <w:r>
        <w:t>D</w:t>
      </w:r>
      <w:r w:rsidR="007D71B9">
        <w:t xml:space="preserve">et faktiske </w:t>
      </w:r>
      <w:r w:rsidR="00196E02">
        <w:t xml:space="preserve">utfallet vil </w:t>
      </w:r>
      <w:r>
        <w:t xml:space="preserve">trolig </w:t>
      </w:r>
      <w:r w:rsidR="00196E02">
        <w:t xml:space="preserve">ligge et sted mellom disse ytterpunktene. </w:t>
      </w:r>
      <w:r w:rsidR="00B63328">
        <w:t>D</w:t>
      </w:r>
      <w:r w:rsidR="40FF672F">
        <w:t>et</w:t>
      </w:r>
      <w:r w:rsidR="00196E02">
        <w:t xml:space="preserve"> er et mål at annet personell ikke bare skal erstatte legens aktivitet, men i hvert fall delvis skal komme i tillegg til dagens fastlegeaktivitet.</w:t>
      </w:r>
      <w:r w:rsidR="00F771D0">
        <w:t xml:space="preserve"> </w:t>
      </w:r>
      <w:r w:rsidR="00A372E3">
        <w:t xml:space="preserve">Det er vanskelig å forutsi </w:t>
      </w:r>
      <w:r w:rsidR="00196E02">
        <w:t xml:space="preserve">i hvilken grad </w:t>
      </w:r>
      <w:r w:rsidR="002B51B0">
        <w:t xml:space="preserve">det nye personellets </w:t>
      </w:r>
      <w:r w:rsidR="00196E02">
        <w:t>aktivitet kommer i tillegg til fastlegens tidligere aktivitet</w:t>
      </w:r>
      <w:r w:rsidR="00137E26">
        <w:t xml:space="preserve">, </w:t>
      </w:r>
      <w:r w:rsidR="00196E02">
        <w:t>og det er begrenset med erfaringer</w:t>
      </w:r>
      <w:r w:rsidR="2B68C54C">
        <w:t xml:space="preserve"> om dette</w:t>
      </w:r>
      <w:r w:rsidR="40FF672F">
        <w:t>.</w:t>
      </w:r>
      <w:r w:rsidR="00196E02">
        <w:t xml:space="preserve"> I forsøket med primærhelseteam</w:t>
      </w:r>
      <w:r w:rsidR="1A178196">
        <w:t xml:space="preserve"> </w:t>
      </w:r>
      <w:r w:rsidR="00196E02">
        <w:t>var det ikke en målsetting at sykepleier skulle avlaste fastlegen. Evalueringen peker likevel på at sykepleier i noen grad har avlastet fastlegen</w:t>
      </w:r>
      <w:r w:rsidR="53555F7A">
        <w:t xml:space="preserve">, </w:t>
      </w:r>
      <w:r w:rsidR="56ED7734">
        <w:t>m</w:t>
      </w:r>
      <w:r w:rsidR="00196E02">
        <w:t>en omfanget av dette er ikke tallfestet.</w:t>
      </w:r>
    </w:p>
    <w:p w14:paraId="0B408164" w14:textId="15816CE2" w:rsidR="00196E02" w:rsidRDefault="00196E02" w:rsidP="00BE203D">
      <w:pPr>
        <w:jc w:val="both"/>
      </w:pPr>
      <w:r>
        <w:t xml:space="preserve">I forbindelse med innføring av ordningen med </w:t>
      </w:r>
      <w:r w:rsidR="40FF672F">
        <w:t>introduksjonslege</w:t>
      </w:r>
      <w:r w:rsidR="0BCB083D">
        <w:t>stillinger</w:t>
      </w:r>
      <w:r>
        <w:t xml:space="preserve">, ble det gjort kostnadsanslag. Det ble anslått at </w:t>
      </w:r>
      <w:r w:rsidR="00297437">
        <w:t xml:space="preserve">kostnadene </w:t>
      </w:r>
      <w:r>
        <w:t>ville øke med 0,</w:t>
      </w:r>
      <w:r w:rsidR="00D9107F">
        <w:t>5 mill.</w:t>
      </w:r>
      <w:r>
        <w:t xml:space="preserve"> kroner per introduksjonslege</w:t>
      </w:r>
      <w:r w:rsidR="00807BB1">
        <w:t xml:space="preserve"> </w:t>
      </w:r>
      <w:r w:rsidR="00D078E3">
        <w:fldChar w:fldCharType="begin"/>
      </w:r>
      <w:r w:rsidR="00235862">
        <w:instrText xml:space="preserve"> ADDIN EN.CITE &lt;EndNote&gt;&lt;Cite&gt;&lt;Author&gt;Helse- og omsorgsdepartementet&lt;/Author&gt;&lt;Year&gt;2020&lt;/Year&gt;&lt;RecNum&gt;1000&lt;/RecNum&gt;&lt;DisplayText&gt;(Helse- og omsorgsdepartementet, 2020a)&lt;/DisplayText&gt;&lt;record&gt;&lt;rec-number&gt;1000&lt;/rec-number&gt;&lt;foreign-keys&gt;&lt;key app="EN" db-id="95tpr2tp6r9xwoea9rb5wdsz5ds5xeddteew" timestamp="1680254122"&gt;1000&lt;/key&gt;&lt;/foreign-keys&gt;&lt;ref-type name="Report"&gt;27&lt;/ref-type&gt;&lt;contributors&gt;&lt;authors&gt;&lt;author&gt;Helse- og omsorgsdepartementet,&lt;/author&gt;&lt;/authors&gt;&lt;/contributors&gt;&lt;titles&gt;&lt;title&gt;Høringsnotat om innføring av introduksjonsavtaler. &lt;/title&gt;&lt;/titles&gt;&lt;dates&gt;&lt;year&gt;2020&lt;/year&gt;&lt;/dates&gt;&lt;publisher&gt;Helse- og omsorgsdepartementet,&lt;/publisher&gt;&lt;urls&gt;&lt;/urls&gt;&lt;/record&gt;&lt;/Cite&gt;&lt;/EndNote&gt;</w:instrText>
      </w:r>
      <w:r w:rsidR="00D078E3">
        <w:fldChar w:fldCharType="separate"/>
      </w:r>
      <w:r w:rsidR="00CE2F35">
        <w:rPr>
          <w:noProof/>
        </w:rPr>
        <w:t>(Helse- og omsorgsdepartementet, 2020a)</w:t>
      </w:r>
      <w:r w:rsidR="00D078E3">
        <w:fldChar w:fldCharType="end"/>
      </w:r>
      <w:r>
        <w:t xml:space="preserve">. Det ble lagt til grunn at </w:t>
      </w:r>
      <w:r>
        <w:lastRenderedPageBreak/>
        <w:t xml:space="preserve">introduksjonslegens aktivitet dels ville komme i tillegg til, og dels i stedet for listeinnehavernes aktivitet. Det ble pekt på at det var stor usikkerhet. Siden ordningen er ny og </w:t>
      </w:r>
      <w:r w:rsidR="00932DD5">
        <w:t xml:space="preserve">foreløpig </w:t>
      </w:r>
      <w:r>
        <w:t xml:space="preserve">har lite omfang, er det ikke mulig å slå fast hvilken virkning </w:t>
      </w:r>
      <w:r w:rsidR="00144EE1">
        <w:t>en ekstra lege i praksisen</w:t>
      </w:r>
      <w:r w:rsidR="00E24EBB">
        <w:t xml:space="preserve"> (</w:t>
      </w:r>
      <w:r>
        <w:t>introduksjonslege</w:t>
      </w:r>
      <w:r w:rsidR="00852A9D">
        <w:t>)</w:t>
      </w:r>
      <w:r>
        <w:t xml:space="preserve"> har hatt i legekontorene de arbeider i.</w:t>
      </w:r>
    </w:p>
    <w:p w14:paraId="57A836F6" w14:textId="77777777" w:rsidR="00D9107F" w:rsidRDefault="00196E02" w:rsidP="00BE203D">
      <w:pPr>
        <w:jc w:val="both"/>
      </w:pPr>
      <w:r>
        <w:t xml:space="preserve">Kanskje vil ansettelse av annet personell være spesielt aktuelt for leger som ønsker avlastning. </w:t>
      </w:r>
      <w:r w:rsidR="00AE7AA3">
        <w:t>Det vil i</w:t>
      </w:r>
      <w:r w:rsidR="00AA307A">
        <w:t xml:space="preserve"> tilfelle </w:t>
      </w:r>
      <w:r w:rsidR="001273F2">
        <w:t xml:space="preserve">bidra til at </w:t>
      </w:r>
      <w:r w:rsidR="00603705">
        <w:t>kostnad</w:t>
      </w:r>
      <w:r w:rsidR="005170BB">
        <w:t>søkningen</w:t>
      </w:r>
      <w:r w:rsidR="00603705">
        <w:t xml:space="preserve"> </w:t>
      </w:r>
      <w:r w:rsidR="00BB3EF0">
        <w:t>i form av økte takstut</w:t>
      </w:r>
      <w:r w:rsidR="00090364">
        <w:t xml:space="preserve">gifter </w:t>
      </w:r>
      <w:r w:rsidR="00C0181D">
        <w:t>blir begrenset.</w:t>
      </w:r>
    </w:p>
    <w:p w14:paraId="2DB9BBD6" w14:textId="77777777" w:rsidR="00D9107F" w:rsidRDefault="00BB1CBE" w:rsidP="00BE203D">
      <w:pPr>
        <w:jc w:val="both"/>
      </w:pPr>
      <w:r>
        <w:t xml:space="preserve">Det er rimelig å anta at det vil forekomme en form for seleksjon. </w:t>
      </w:r>
      <w:r w:rsidR="00236599">
        <w:t xml:space="preserve">Siden det </w:t>
      </w:r>
      <w:r>
        <w:t>vil være en økonomisk risiko knyttet til å ansette annet personell</w:t>
      </w:r>
      <w:r w:rsidR="00236599">
        <w:t>, vil det</w:t>
      </w:r>
      <w:r>
        <w:t xml:space="preserve"> trolig være virksomheter av en viss størrelse som vil være interessert i å ansette annet personell.</w:t>
      </w:r>
    </w:p>
    <w:p w14:paraId="0C0B9B47" w14:textId="6B516C6F" w:rsidR="00D9107F" w:rsidRDefault="00BB1CBE" w:rsidP="00BE203D">
      <w:pPr>
        <w:jc w:val="both"/>
      </w:pPr>
      <w:r>
        <w:t xml:space="preserve">Innenfor forsøket med </w:t>
      </w:r>
      <w:r w:rsidR="00FA3ED3">
        <w:t>primærhelseteam</w:t>
      </w:r>
      <w:r>
        <w:t xml:space="preserve"> har man hatt en ordning med inntektsgaranti. Erfaringen i forsøket er at det er krevende å gjøre tilstrekkelig presise økonomiske beregninger, og å forvalte en ordning med garanti mot økonomisk tap.</w:t>
      </w:r>
      <w:r w:rsidR="00A61528">
        <w:t xml:space="preserve"> Det</w:t>
      </w:r>
      <w:r w:rsidR="00D45C84">
        <w:t xml:space="preserve"> kan være </w:t>
      </w:r>
      <w:r w:rsidR="00BF78CC">
        <w:t xml:space="preserve">naturlig å tilby </w:t>
      </w:r>
      <w:r w:rsidR="002E0673">
        <w:t xml:space="preserve">sikring mot økonomisk tap når </w:t>
      </w:r>
      <w:r w:rsidR="00F44FF2">
        <w:t xml:space="preserve">fastlegekontor inviteres til </w:t>
      </w:r>
      <w:r w:rsidR="00777143">
        <w:t>å delta i et forsøk</w:t>
      </w:r>
      <w:r w:rsidR="57C5874D">
        <w:t>,</w:t>
      </w:r>
      <w:r w:rsidR="00777143">
        <w:t xml:space="preserve"> </w:t>
      </w:r>
      <w:r w:rsidR="17666CE4">
        <w:t>m</w:t>
      </w:r>
      <w:r w:rsidR="00DE40A8">
        <w:t>en det</w:t>
      </w:r>
      <w:r w:rsidR="00A61528">
        <w:t xml:space="preserve"> </w:t>
      </w:r>
      <w:r w:rsidR="00D66CA5">
        <w:t>fram</w:t>
      </w:r>
      <w:r w:rsidR="002F094D">
        <w:t>står</w:t>
      </w:r>
      <w:r w:rsidR="00C65B2B">
        <w:t xml:space="preserve"> ikke som hensiktsmessig </w:t>
      </w:r>
      <w:r w:rsidR="00F2241B">
        <w:t xml:space="preserve">og realistisk </w:t>
      </w:r>
      <w:r w:rsidR="00C65B2B">
        <w:t xml:space="preserve">å </w:t>
      </w:r>
      <w:r w:rsidR="00945261">
        <w:t xml:space="preserve">forvalte </w:t>
      </w:r>
      <w:r w:rsidR="006B043C">
        <w:t xml:space="preserve">en slik ordning </w:t>
      </w:r>
      <w:r w:rsidR="007527E9">
        <w:t>nas</w:t>
      </w:r>
      <w:r w:rsidR="007C6290">
        <w:t>jonalt.</w:t>
      </w:r>
    </w:p>
    <w:p w14:paraId="713983EE" w14:textId="398ADCD6" w:rsidR="00F56F93" w:rsidRDefault="00C565EA" w:rsidP="00C71AC3">
      <w:pPr>
        <w:pStyle w:val="tittel-ramme"/>
        <w:jc w:val="left"/>
        <w:rPr>
          <w:rStyle w:val="kursiv"/>
        </w:rPr>
      </w:pPr>
      <w:r w:rsidRPr="00D9107F">
        <w:rPr>
          <w:rStyle w:val="kursiv"/>
        </w:rPr>
        <w:t>Økonomiske</w:t>
      </w:r>
      <w:r w:rsidR="004146BF" w:rsidRPr="00D9107F">
        <w:rPr>
          <w:rStyle w:val="kursiv"/>
        </w:rPr>
        <w:t xml:space="preserve"> konsekvenser når annet personell erstatter fastlegen</w:t>
      </w:r>
    </w:p>
    <w:p w14:paraId="1F46CF7E" w14:textId="77777777" w:rsidR="00C71AC3" w:rsidRPr="00C71AC3" w:rsidRDefault="00C71AC3" w:rsidP="00C71AC3"/>
    <w:tbl>
      <w:tblPr>
        <w:tblStyle w:val="StandardBoks"/>
        <w:tblW w:w="0" w:type="auto"/>
        <w:tblLook w:val="04A0" w:firstRow="1" w:lastRow="0" w:firstColumn="1" w:lastColumn="0" w:noHBand="0" w:noVBand="1"/>
      </w:tblPr>
      <w:tblGrid>
        <w:gridCol w:w="9736"/>
      </w:tblGrid>
      <w:tr w:rsidR="00C71AC3" w14:paraId="4B9AA98E" w14:textId="77777777" w:rsidTr="00C71AC3">
        <w:tc>
          <w:tcPr>
            <w:tcW w:w="9736" w:type="dxa"/>
          </w:tcPr>
          <w:p w14:paraId="5E73A3DB" w14:textId="77777777" w:rsidR="00C71AC3" w:rsidRPr="00C71AC3" w:rsidRDefault="00C71AC3" w:rsidP="00C71AC3">
            <w:pPr>
              <w:pStyle w:val="avsnitt-tittel"/>
            </w:pPr>
            <w:r w:rsidRPr="00C71AC3">
              <w:lastRenderedPageBreak/>
              <w:t>Økonomiske konsekvenser for fastleger av å ansette annet personell som erstatter noe av legens aktivitet</w:t>
            </w:r>
          </w:p>
          <w:p w14:paraId="1561F55B" w14:textId="77777777" w:rsidR="00C71AC3" w:rsidRPr="00C71AC3" w:rsidRDefault="00C71AC3" w:rsidP="00C71AC3">
            <w:r w:rsidRPr="00C71AC3">
              <w:t>Nedenfor vises eksempler på beregninger av kostnader og inntjening for fastleger, ved ansettelse av annet personell. Eksemplene viser situasjoner der sykepleiers aktivitet i sin helhet kommer i stedet for, og erstatter legens aktivitet. Betalingen for en gitt aktivitet er den samme for sykepleier som for lege.</w:t>
            </w:r>
          </w:p>
          <w:p w14:paraId="6A0E7401" w14:textId="77777777" w:rsidR="00C71AC3" w:rsidRPr="00C71AC3" w:rsidRDefault="00C71AC3" w:rsidP="00C71AC3">
            <w:r w:rsidRPr="00C71AC3">
              <w:t>Tabellen nedenfor inneholder forutsetningene som er lagt til grunn i beregningene. Det understrekes at dette kun er eksempler, for å vise insentiver og mulige kostnader. Vi gjør det ved hjelp av en simulering:</w:t>
            </w:r>
          </w:p>
          <w:tbl>
            <w:tblPr>
              <w:tblStyle w:val="EUTabellstil"/>
              <w:tblW w:w="5000" w:type="pct"/>
              <w:tblLook w:val="04A0" w:firstRow="1" w:lastRow="0" w:firstColumn="1" w:lastColumn="0" w:noHBand="0" w:noVBand="1"/>
            </w:tblPr>
            <w:tblGrid>
              <w:gridCol w:w="7912"/>
              <w:gridCol w:w="1474"/>
            </w:tblGrid>
            <w:tr w:rsidR="00C71AC3" w:rsidRPr="00C71AC3" w14:paraId="140A0655" w14:textId="77777777" w:rsidTr="00707F97">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4215" w:type="pct"/>
                  <w:tcBorders>
                    <w:bottom w:val="single" w:sz="18" w:space="0" w:color="2A3652"/>
                  </w:tcBorders>
                  <w:shd w:val="clear" w:color="auto" w:fill="A9D6B9"/>
                  <w:noWrap/>
                </w:tcPr>
                <w:p w14:paraId="4785434C" w14:textId="77777777" w:rsidR="00C71AC3" w:rsidRPr="00C71AC3" w:rsidRDefault="00C71AC3" w:rsidP="00C71AC3">
                  <w:pPr>
                    <w:pStyle w:val="TabellHode-kolonne"/>
                  </w:pPr>
                  <w:r w:rsidRPr="00C71AC3">
                    <w:t>Forutsetninger som er lagt til grunn for beregningen</w:t>
                  </w:r>
                </w:p>
              </w:tc>
              <w:tc>
                <w:tcPr>
                  <w:tcW w:w="785" w:type="pct"/>
                  <w:tcBorders>
                    <w:bottom w:val="single" w:sz="18" w:space="0" w:color="2A3652"/>
                  </w:tcBorders>
                  <w:shd w:val="clear" w:color="auto" w:fill="A9D6B9"/>
                  <w:noWrap/>
                </w:tcPr>
                <w:p w14:paraId="5E739AE4" w14:textId="77777777" w:rsidR="00C71AC3" w:rsidRPr="00C71AC3" w:rsidRDefault="00C71AC3" w:rsidP="00C71AC3">
                  <w:pPr>
                    <w:pStyle w:val="TabellHode-kolonne"/>
                    <w:cnfStyle w:val="100000000000" w:firstRow="1" w:lastRow="0" w:firstColumn="0" w:lastColumn="0" w:oddVBand="0" w:evenVBand="0" w:oddHBand="0" w:evenHBand="0" w:firstRowFirstColumn="0" w:firstRowLastColumn="0" w:lastRowFirstColumn="0" w:lastRowLastColumn="0"/>
                  </w:pPr>
                </w:p>
              </w:tc>
            </w:tr>
            <w:tr w:rsidR="00C71AC3" w:rsidRPr="00C71AC3" w14:paraId="07531F52"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tcBorders>
                    <w:top w:val="single" w:sz="18" w:space="0" w:color="2A3652"/>
                  </w:tcBorders>
                  <w:noWrap/>
                  <w:hideMark/>
                </w:tcPr>
                <w:p w14:paraId="5FA194C3" w14:textId="77777777" w:rsidR="00C71AC3" w:rsidRPr="00C71AC3" w:rsidRDefault="00C71AC3" w:rsidP="00C71AC3">
                  <w:pPr>
                    <w:pStyle w:val="TabellHode-rad"/>
                  </w:pPr>
                  <w:r w:rsidRPr="00C71AC3">
                    <w:t xml:space="preserve">Listeinnbyggere </w:t>
                  </w:r>
                </w:p>
              </w:tc>
              <w:tc>
                <w:tcPr>
                  <w:tcW w:w="785" w:type="pct"/>
                  <w:tcBorders>
                    <w:top w:val="single" w:sz="18" w:space="0" w:color="2A3652"/>
                  </w:tcBorders>
                  <w:shd w:val="clear" w:color="auto" w:fill="FFFFFF" w:themeFill="background1"/>
                  <w:noWrap/>
                  <w:hideMark/>
                </w:tcPr>
                <w:p w14:paraId="54D4EB48"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w:t>
                  </w:r>
                </w:p>
              </w:tc>
            </w:tr>
            <w:tr w:rsidR="00C71AC3" w:rsidRPr="00C71AC3" w14:paraId="1FFEEF3B"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1AE5516D" w14:textId="77777777" w:rsidR="00C71AC3" w:rsidRPr="00C71AC3" w:rsidRDefault="00C71AC3" w:rsidP="00C71AC3">
                  <w:pPr>
                    <w:pStyle w:val="TabellHode-rad"/>
                  </w:pPr>
                  <w:r w:rsidRPr="00C71AC3">
                    <w:t>Basistilskudd per listeinnbygger</w:t>
                  </w:r>
                </w:p>
              </w:tc>
              <w:tc>
                <w:tcPr>
                  <w:tcW w:w="785" w:type="pct"/>
                  <w:shd w:val="clear" w:color="auto" w:fill="FFFFFF" w:themeFill="background1"/>
                  <w:noWrap/>
                  <w:hideMark/>
                </w:tcPr>
                <w:p w14:paraId="6A7184C2"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w:t>
                  </w:r>
                </w:p>
              </w:tc>
            </w:tr>
            <w:tr w:rsidR="00C71AC3" w:rsidRPr="00C71AC3" w14:paraId="547C3D88"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122C5B5D" w14:textId="77777777" w:rsidR="00C71AC3" w:rsidRPr="00C71AC3" w:rsidRDefault="00C71AC3" w:rsidP="00C71AC3">
                  <w:pPr>
                    <w:pStyle w:val="TabellHode-rad"/>
                  </w:pPr>
                  <w:r w:rsidRPr="00C71AC3">
                    <w:t>Basistilskudd sykepleier (hvis aktuelt)</w:t>
                  </w:r>
                </w:p>
              </w:tc>
              <w:tc>
                <w:tcPr>
                  <w:tcW w:w="785" w:type="pct"/>
                  <w:shd w:val="clear" w:color="auto" w:fill="FFFFFF" w:themeFill="background1"/>
                  <w:noWrap/>
                  <w:hideMark/>
                </w:tcPr>
                <w:p w14:paraId="4AB9C9B7"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100</w:t>
                  </w:r>
                </w:p>
              </w:tc>
            </w:tr>
            <w:tr w:rsidR="00C71AC3" w:rsidRPr="00C71AC3" w14:paraId="252F1EE5"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3D517242" w14:textId="77777777" w:rsidR="00C71AC3" w:rsidRPr="00C71AC3" w:rsidRDefault="00C71AC3" w:rsidP="00C71AC3">
                  <w:pPr>
                    <w:pStyle w:val="TabellHode-rad"/>
                  </w:pPr>
                  <w:r w:rsidRPr="00C71AC3">
                    <w:t>Honorar per konsultasjon</w:t>
                  </w:r>
                </w:p>
              </w:tc>
              <w:tc>
                <w:tcPr>
                  <w:tcW w:w="785" w:type="pct"/>
                  <w:shd w:val="clear" w:color="auto" w:fill="FFFFFF" w:themeFill="background1"/>
                  <w:noWrap/>
                  <w:hideMark/>
                </w:tcPr>
                <w:p w14:paraId="78991E5F"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333,33</w:t>
                  </w:r>
                </w:p>
              </w:tc>
            </w:tr>
            <w:tr w:rsidR="00C71AC3" w:rsidRPr="00C71AC3" w14:paraId="6BD8E6D5"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1BC0FEC0" w14:textId="77777777" w:rsidR="00C71AC3" w:rsidRPr="00C71AC3" w:rsidRDefault="00C71AC3" w:rsidP="00C71AC3">
                  <w:pPr>
                    <w:pStyle w:val="TabellHode-rad"/>
                  </w:pPr>
                  <w:r w:rsidRPr="00C71AC3">
                    <w:t>Antall konsultasjoner per listeinnbygger per år</w:t>
                  </w:r>
                </w:p>
              </w:tc>
              <w:tc>
                <w:tcPr>
                  <w:tcW w:w="785" w:type="pct"/>
                  <w:shd w:val="clear" w:color="auto" w:fill="FFFFFF" w:themeFill="background1"/>
                  <w:noWrap/>
                  <w:hideMark/>
                </w:tcPr>
                <w:p w14:paraId="55F9D122"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3</w:t>
                  </w:r>
                </w:p>
              </w:tc>
            </w:tr>
            <w:tr w:rsidR="00C71AC3" w:rsidRPr="00C71AC3" w14:paraId="7192D450"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7B1C5F47" w14:textId="77777777" w:rsidR="00C71AC3" w:rsidRPr="00C71AC3" w:rsidRDefault="00C71AC3" w:rsidP="00C71AC3">
                  <w:pPr>
                    <w:pStyle w:val="TabellHode-rad"/>
                  </w:pPr>
                  <w:r w:rsidRPr="00C71AC3">
                    <w:t>Antall arbeidsdager per år</w:t>
                  </w:r>
                </w:p>
              </w:tc>
              <w:tc>
                <w:tcPr>
                  <w:tcW w:w="785" w:type="pct"/>
                  <w:shd w:val="clear" w:color="auto" w:fill="FFFFFF" w:themeFill="background1"/>
                  <w:noWrap/>
                  <w:hideMark/>
                </w:tcPr>
                <w:p w14:paraId="0A802833"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230</w:t>
                  </w:r>
                </w:p>
              </w:tc>
            </w:tr>
            <w:tr w:rsidR="00C71AC3" w:rsidRPr="00C71AC3" w14:paraId="776443BA"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28E7EC36" w14:textId="77777777" w:rsidR="00C71AC3" w:rsidRPr="00C71AC3" w:rsidRDefault="00C71AC3" w:rsidP="00C71AC3">
                  <w:pPr>
                    <w:pStyle w:val="TabellHode-rad"/>
                  </w:pPr>
                  <w:r w:rsidRPr="00C71AC3">
                    <w:t>Antall konsultasjoner per lege per dag</w:t>
                  </w:r>
                </w:p>
              </w:tc>
              <w:tc>
                <w:tcPr>
                  <w:tcW w:w="785" w:type="pct"/>
                  <w:shd w:val="clear" w:color="auto" w:fill="FFFFFF" w:themeFill="background1"/>
                  <w:noWrap/>
                  <w:hideMark/>
                </w:tcPr>
                <w:p w14:paraId="645DA3DD"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13</w:t>
                  </w:r>
                </w:p>
              </w:tc>
            </w:tr>
            <w:tr w:rsidR="00C71AC3" w:rsidRPr="00C71AC3" w14:paraId="52502EDB"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5C872CBB" w14:textId="77777777" w:rsidR="00C71AC3" w:rsidRPr="00C71AC3" w:rsidRDefault="00C71AC3" w:rsidP="00C71AC3">
                  <w:pPr>
                    <w:pStyle w:val="TabellHode-rad"/>
                  </w:pPr>
                  <w:r w:rsidRPr="00C71AC3">
                    <w:t>Sykepleier avlaster antall konsultasjoner per listeinnbygger per år</w:t>
                  </w:r>
                </w:p>
              </w:tc>
              <w:tc>
                <w:tcPr>
                  <w:tcW w:w="785" w:type="pct"/>
                  <w:shd w:val="clear" w:color="auto" w:fill="FFFFFF" w:themeFill="background1"/>
                  <w:noWrap/>
                  <w:hideMark/>
                </w:tcPr>
                <w:p w14:paraId="48CBED02"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0,5</w:t>
                  </w:r>
                </w:p>
              </w:tc>
            </w:tr>
            <w:tr w:rsidR="00C71AC3" w:rsidRPr="00C71AC3" w14:paraId="7470E436"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69226C2F" w14:textId="77777777" w:rsidR="00C71AC3" w:rsidRPr="00C71AC3" w:rsidRDefault="00C71AC3" w:rsidP="00C71AC3">
                  <w:pPr>
                    <w:pStyle w:val="TabellHode-rad"/>
                  </w:pPr>
                  <w:r w:rsidRPr="00C71AC3">
                    <w:t>Antall konsultasjoner per sykepleier per dag</w:t>
                  </w:r>
                </w:p>
              </w:tc>
              <w:tc>
                <w:tcPr>
                  <w:tcW w:w="785" w:type="pct"/>
                  <w:shd w:val="clear" w:color="auto" w:fill="FFFFFF" w:themeFill="background1"/>
                  <w:noWrap/>
                  <w:hideMark/>
                </w:tcPr>
                <w:p w14:paraId="689D451A"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8</w:t>
                  </w:r>
                </w:p>
              </w:tc>
            </w:tr>
            <w:tr w:rsidR="00C71AC3" w:rsidRPr="00C71AC3" w14:paraId="4490AAF6"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29EFEFCB" w14:textId="77777777" w:rsidR="00C71AC3" w:rsidRPr="00C71AC3" w:rsidRDefault="00C71AC3" w:rsidP="00C71AC3">
                  <w:pPr>
                    <w:pStyle w:val="TabellHode-rad"/>
                  </w:pPr>
                  <w:r w:rsidRPr="00C71AC3">
                    <w:t>Antall sykepleierkonsultasjoner per sykepleierårsverk</w:t>
                  </w:r>
                </w:p>
              </w:tc>
              <w:tc>
                <w:tcPr>
                  <w:tcW w:w="785" w:type="pct"/>
                  <w:shd w:val="clear" w:color="auto" w:fill="FFFFFF" w:themeFill="background1"/>
                  <w:noWrap/>
                  <w:hideMark/>
                </w:tcPr>
                <w:p w14:paraId="74CF021B"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1 840</w:t>
                  </w:r>
                </w:p>
              </w:tc>
            </w:tr>
            <w:tr w:rsidR="00C71AC3" w:rsidRPr="00C71AC3" w14:paraId="561C2C64"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7CFB8198" w14:textId="77777777" w:rsidR="00C71AC3" w:rsidRPr="00C71AC3" w:rsidRDefault="00C71AC3" w:rsidP="00C71AC3">
                  <w:pPr>
                    <w:pStyle w:val="TabellHode-rad"/>
                  </w:pPr>
                  <w:r w:rsidRPr="00C71AC3">
                    <w:t>Antall sykepleierdager per fastlegeliste med 1000 innbyggere</w:t>
                  </w:r>
                </w:p>
              </w:tc>
              <w:tc>
                <w:tcPr>
                  <w:tcW w:w="785" w:type="pct"/>
                  <w:shd w:val="clear" w:color="auto" w:fill="FFFFFF" w:themeFill="background1"/>
                  <w:noWrap/>
                  <w:hideMark/>
                </w:tcPr>
                <w:p w14:paraId="57A7A971"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63</w:t>
                  </w:r>
                </w:p>
              </w:tc>
            </w:tr>
            <w:tr w:rsidR="00C71AC3" w:rsidRPr="00C71AC3" w14:paraId="4989FCFF"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11DFD817" w14:textId="77777777" w:rsidR="00C71AC3" w:rsidRPr="00C71AC3" w:rsidRDefault="00C71AC3" w:rsidP="00C71AC3">
                  <w:pPr>
                    <w:pStyle w:val="TabellHode-rad"/>
                  </w:pPr>
                  <w:r w:rsidRPr="00C71AC3">
                    <w:t>Årsverkskostnad sykepleier</w:t>
                  </w:r>
                </w:p>
              </w:tc>
              <w:tc>
                <w:tcPr>
                  <w:tcW w:w="785" w:type="pct"/>
                  <w:shd w:val="clear" w:color="auto" w:fill="FFFFFF" w:themeFill="background1"/>
                  <w:noWrap/>
                  <w:hideMark/>
                </w:tcPr>
                <w:p w14:paraId="5371A313"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1 000 000</w:t>
                  </w:r>
                </w:p>
              </w:tc>
            </w:tr>
            <w:tr w:rsidR="00C71AC3" w:rsidRPr="00C71AC3" w14:paraId="63B1C06C"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4215" w:type="pct"/>
                  <w:noWrap/>
                  <w:hideMark/>
                </w:tcPr>
                <w:p w14:paraId="4DBBAE75" w14:textId="77777777" w:rsidR="00C71AC3" w:rsidRPr="00C71AC3" w:rsidRDefault="00C71AC3" w:rsidP="00C71AC3">
                  <w:pPr>
                    <w:pStyle w:val="TabellHode-rad"/>
                  </w:pPr>
                  <w:r w:rsidRPr="00C71AC3">
                    <w:t>Sykepleierkostnad per lege med 1 000 listeinnbyggere</w:t>
                  </w:r>
                </w:p>
              </w:tc>
              <w:tc>
                <w:tcPr>
                  <w:tcW w:w="785" w:type="pct"/>
                  <w:shd w:val="clear" w:color="auto" w:fill="FFFFFF" w:themeFill="background1"/>
                  <w:noWrap/>
                  <w:hideMark/>
                </w:tcPr>
                <w:p w14:paraId="3420A6F4"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271 739</w:t>
                  </w:r>
                </w:p>
              </w:tc>
            </w:tr>
          </w:tbl>
          <w:p w14:paraId="057E0CDD" w14:textId="77777777" w:rsidR="00C71AC3" w:rsidRPr="00C71AC3" w:rsidRDefault="00C71AC3" w:rsidP="00C71AC3">
            <w:r w:rsidRPr="00C71AC3">
              <w:t>Det legges til grunn i beregningene at sykepleier eller annet personell tar 0,5 konsultasjoner per listeinnbygger per år. Det tilsvarer 27 prosent stilling på en liste med 1 000 listeinnbyggere, som igjen utgjør 63 arbeidsdager per år. Antall sykepleierdager er avhengig av listelengde. Hvis listelengden øker fra 1 000 til 1 200, øker antall sykepleierdager fra 63 til 75 per år. Det legges til grunn at sykepleiere og annet personell ansettes i fulle stillinger. Prosentangivelsene gjelder kun behovet knyttet til denne ene listen.</w:t>
            </w:r>
          </w:p>
          <w:p w14:paraId="4FC0237F" w14:textId="77777777" w:rsidR="00C71AC3" w:rsidRPr="00C71AC3" w:rsidRDefault="00C71AC3" w:rsidP="00C71AC3">
            <w:r w:rsidRPr="00C71AC3">
              <w:t xml:space="preserve">I eksemplet har sykepleier betydelig færre konsultasjoner per dag (8) enn legen (13). Beregningene er gjort med utgangspunkt i en situasjon der andel basisfinansiering er økt til </w:t>
            </w:r>
            <w:r w:rsidRPr="00C71AC3">
              <w:lastRenderedPageBreak/>
              <w:t>50 prosent av samlet finansiering, som er i tråd med anbefaling fra flertallet av ekspertutvalget (se kapittel 5.7). Effektene som vises, vil imidlertid være de samme selv om basistilskuddet utgjør en annen andel av samlet finansiering.</w:t>
            </w:r>
          </w:p>
          <w:p w14:paraId="454FC6F5" w14:textId="77777777" w:rsidR="00C71AC3" w:rsidRPr="00C71AC3" w:rsidRDefault="00C71AC3" w:rsidP="00C71AC3">
            <w:r w:rsidRPr="00C71AC3">
              <w:t>Dette er et eksempel på inntjeningen for en næringsdrivende fastlege, uten sykepleier, gitt grunnlaget ovenfor med listelengde 1 000:</w:t>
            </w:r>
          </w:p>
          <w:p w14:paraId="20908CA2" w14:textId="77777777" w:rsidR="00C71AC3" w:rsidRPr="00C71AC3" w:rsidRDefault="00C71AC3" w:rsidP="00C71AC3">
            <w:r w:rsidRPr="00C71AC3">
              <w:t>Eksempel på inntjening for næringsdrivende fastlege uten sykepleier, 1 000 listeinnbyggere</w:t>
            </w:r>
          </w:p>
          <w:tbl>
            <w:tblPr>
              <w:tblStyle w:val="0Ekspertutvalgettabellstil1"/>
              <w:tblW w:w="5000" w:type="pct"/>
              <w:tblLook w:val="04A0" w:firstRow="1" w:lastRow="0" w:firstColumn="1" w:lastColumn="0" w:noHBand="0" w:noVBand="1"/>
            </w:tblPr>
            <w:tblGrid>
              <w:gridCol w:w="5969"/>
              <w:gridCol w:w="3417"/>
            </w:tblGrid>
            <w:tr w:rsidR="00C71AC3" w:rsidRPr="00C71AC3" w14:paraId="23EF90F0" w14:textId="77777777" w:rsidTr="00707F9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80" w:type="pct"/>
                  <w:tcBorders>
                    <w:bottom w:val="single" w:sz="18" w:space="0" w:color="2A3652"/>
                  </w:tcBorders>
                  <w:shd w:val="clear" w:color="auto" w:fill="A9D6B9"/>
                  <w:noWrap/>
                </w:tcPr>
                <w:p w14:paraId="32B1B85A" w14:textId="6CFC5B05" w:rsidR="00C71AC3" w:rsidRPr="00C71AC3" w:rsidRDefault="00C71AC3" w:rsidP="00C71AC3">
                  <w:pPr>
                    <w:pStyle w:val="TabellHode-kolonne"/>
                  </w:pPr>
                  <w:r w:rsidRPr="00C71AC3">
                    <w:t>Forutsetninger</w:t>
                  </w:r>
                </w:p>
              </w:tc>
              <w:tc>
                <w:tcPr>
                  <w:tcW w:w="1820" w:type="pct"/>
                  <w:tcBorders>
                    <w:bottom w:val="single" w:sz="18" w:space="0" w:color="2A3652"/>
                  </w:tcBorders>
                  <w:shd w:val="clear" w:color="auto" w:fill="A9D6B9"/>
                  <w:noWrap/>
                </w:tcPr>
                <w:p w14:paraId="66FA1B20" w14:textId="77777777" w:rsidR="00C71AC3" w:rsidRPr="00C71AC3" w:rsidRDefault="00C71AC3" w:rsidP="00C71AC3">
                  <w:pPr>
                    <w:pStyle w:val="TabellHode-kolonne"/>
                    <w:cnfStyle w:val="100000000000" w:firstRow="1" w:lastRow="0" w:firstColumn="0" w:lastColumn="0" w:oddVBand="0" w:evenVBand="0" w:oddHBand="0" w:evenHBand="0" w:firstRowFirstColumn="0" w:firstRowLastColumn="0" w:lastRowFirstColumn="0" w:lastRowLastColumn="0"/>
                  </w:pPr>
                </w:p>
              </w:tc>
            </w:tr>
            <w:tr w:rsidR="00C71AC3" w:rsidRPr="00C71AC3" w14:paraId="143386FB" w14:textId="77777777" w:rsidTr="00707F97">
              <w:trPr>
                <w:trHeight w:val="296"/>
              </w:trPr>
              <w:tc>
                <w:tcPr>
                  <w:cnfStyle w:val="001000000000" w:firstRow="0" w:lastRow="0" w:firstColumn="1" w:lastColumn="0" w:oddVBand="0" w:evenVBand="0" w:oddHBand="0" w:evenHBand="0" w:firstRowFirstColumn="0" w:firstRowLastColumn="0" w:lastRowFirstColumn="0" w:lastRowLastColumn="0"/>
                  <w:tcW w:w="3180" w:type="pct"/>
                  <w:tcBorders>
                    <w:top w:val="single" w:sz="18" w:space="0" w:color="2A3652"/>
                  </w:tcBorders>
                  <w:shd w:val="clear" w:color="auto" w:fill="FFFFFF" w:themeFill="background1"/>
                  <w:noWrap/>
                  <w:hideMark/>
                </w:tcPr>
                <w:p w14:paraId="389819C2" w14:textId="77777777" w:rsidR="00C71AC3" w:rsidRPr="00C71AC3" w:rsidRDefault="00C71AC3" w:rsidP="00C71AC3">
                  <w:pPr>
                    <w:pStyle w:val="TabellHode-rad"/>
                  </w:pPr>
                  <w:r w:rsidRPr="00C71AC3">
                    <w:t>Basisinntekt</w:t>
                  </w:r>
                </w:p>
              </w:tc>
              <w:tc>
                <w:tcPr>
                  <w:tcW w:w="1820" w:type="pct"/>
                  <w:tcBorders>
                    <w:top w:val="single" w:sz="18" w:space="0" w:color="2A3652"/>
                  </w:tcBorders>
                  <w:shd w:val="clear" w:color="auto" w:fill="FFFFFF" w:themeFill="background1"/>
                  <w:noWrap/>
                  <w:hideMark/>
                </w:tcPr>
                <w:p w14:paraId="3E2107C3"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1 000 000</w:t>
                  </w:r>
                </w:p>
              </w:tc>
            </w:tr>
            <w:tr w:rsidR="00C71AC3" w:rsidRPr="00C71AC3" w14:paraId="4576528F" w14:textId="77777777" w:rsidTr="00707F97">
              <w:trPr>
                <w:trHeight w:val="296"/>
              </w:trPr>
              <w:tc>
                <w:tcPr>
                  <w:cnfStyle w:val="001000000000" w:firstRow="0" w:lastRow="0" w:firstColumn="1" w:lastColumn="0" w:oddVBand="0" w:evenVBand="0" w:oddHBand="0" w:evenHBand="0" w:firstRowFirstColumn="0" w:firstRowLastColumn="0" w:lastRowFirstColumn="0" w:lastRowLastColumn="0"/>
                  <w:tcW w:w="3180" w:type="pct"/>
                  <w:shd w:val="clear" w:color="auto" w:fill="FFFFFF" w:themeFill="background1"/>
                  <w:noWrap/>
                  <w:hideMark/>
                </w:tcPr>
                <w:p w14:paraId="17CDF512" w14:textId="77777777" w:rsidR="00C71AC3" w:rsidRPr="00C71AC3" w:rsidRDefault="00C71AC3" w:rsidP="00C71AC3">
                  <w:pPr>
                    <w:pStyle w:val="TabellHode-rad"/>
                  </w:pPr>
                  <w:r w:rsidRPr="00C71AC3">
                    <w:t>Aktivitetsinntekt</w:t>
                  </w:r>
                </w:p>
              </w:tc>
              <w:tc>
                <w:tcPr>
                  <w:tcW w:w="1820" w:type="pct"/>
                  <w:shd w:val="clear" w:color="auto" w:fill="FFFFFF" w:themeFill="background1"/>
                  <w:noWrap/>
                  <w:hideMark/>
                </w:tcPr>
                <w:p w14:paraId="533F7B9F"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1 000 000</w:t>
                  </w:r>
                </w:p>
              </w:tc>
            </w:tr>
            <w:tr w:rsidR="00C71AC3" w:rsidRPr="00C71AC3" w14:paraId="7AD15F6F" w14:textId="77777777" w:rsidTr="00707F97">
              <w:trPr>
                <w:trHeight w:val="296"/>
              </w:trPr>
              <w:tc>
                <w:tcPr>
                  <w:cnfStyle w:val="001000000000" w:firstRow="0" w:lastRow="0" w:firstColumn="1" w:lastColumn="0" w:oddVBand="0" w:evenVBand="0" w:oddHBand="0" w:evenHBand="0" w:firstRowFirstColumn="0" w:firstRowLastColumn="0" w:lastRowFirstColumn="0" w:lastRowLastColumn="0"/>
                  <w:tcW w:w="3180" w:type="pct"/>
                  <w:shd w:val="clear" w:color="auto" w:fill="FFFFFF" w:themeFill="background1"/>
                  <w:noWrap/>
                  <w:hideMark/>
                </w:tcPr>
                <w:p w14:paraId="674A22F2" w14:textId="77777777" w:rsidR="00C71AC3" w:rsidRPr="00C71AC3" w:rsidRDefault="00C71AC3" w:rsidP="00C71AC3">
                  <w:pPr>
                    <w:pStyle w:val="TabellHode-rad"/>
                  </w:pPr>
                  <w:r w:rsidRPr="00C71AC3">
                    <w:t>Omsetning</w:t>
                  </w:r>
                </w:p>
              </w:tc>
              <w:tc>
                <w:tcPr>
                  <w:tcW w:w="1820" w:type="pct"/>
                  <w:shd w:val="clear" w:color="auto" w:fill="FFFFFF" w:themeFill="background1"/>
                  <w:noWrap/>
                  <w:hideMark/>
                </w:tcPr>
                <w:p w14:paraId="222B8671"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2 000 000</w:t>
                  </w:r>
                </w:p>
              </w:tc>
            </w:tr>
          </w:tbl>
          <w:p w14:paraId="3D15C230" w14:textId="77777777" w:rsidR="00C71AC3" w:rsidRPr="00C71AC3" w:rsidRDefault="00C71AC3" w:rsidP="00C71AC3">
            <w:r w:rsidRPr="00C71AC3">
              <w:t>Dersom fastlegen ansetter en sykepleier i 27 prosent stilling (tilsvarer 63 arbeidsdager i tabellen over) og fortsetter med uendret listelengde, vil legens inntjening og kostnader bli slik:</w:t>
            </w:r>
          </w:p>
          <w:tbl>
            <w:tblPr>
              <w:tblStyle w:val="0Ekspertutvalgettabellstil1"/>
              <w:tblW w:w="0" w:type="auto"/>
              <w:jc w:val="center"/>
              <w:tblLook w:val="04A0" w:firstRow="1" w:lastRow="0" w:firstColumn="1" w:lastColumn="0" w:noHBand="0" w:noVBand="1"/>
            </w:tblPr>
            <w:tblGrid>
              <w:gridCol w:w="7107"/>
              <w:gridCol w:w="2059"/>
            </w:tblGrid>
            <w:tr w:rsidR="00C71AC3" w:rsidRPr="00C71AC3" w14:paraId="15D2F893" w14:textId="77777777" w:rsidTr="00707F97">
              <w:trPr>
                <w:cnfStyle w:val="100000000000" w:firstRow="1" w:lastRow="0" w:firstColumn="0" w:lastColumn="0" w:oddVBand="0" w:evenVBand="0" w:oddHBand="0" w:evenHBand="0" w:firstRowFirstColumn="0" w:firstRowLastColumn="0" w:lastRowFirstColumn="0" w:lastRowLastColumn="0"/>
                <w:trHeight w:val="1153"/>
                <w:jc w:val="center"/>
              </w:trPr>
              <w:tc>
                <w:tcPr>
                  <w:cnfStyle w:val="001000000000" w:firstRow="0" w:lastRow="0" w:firstColumn="1" w:lastColumn="0" w:oddVBand="0" w:evenVBand="0" w:oddHBand="0" w:evenHBand="0" w:firstRowFirstColumn="0" w:firstRowLastColumn="0" w:lastRowFirstColumn="0" w:lastRowLastColumn="0"/>
                  <w:tcW w:w="7107" w:type="dxa"/>
                  <w:tcBorders>
                    <w:bottom w:val="single" w:sz="18" w:space="0" w:color="2A3652"/>
                  </w:tcBorders>
                  <w:shd w:val="clear" w:color="auto" w:fill="A9D6B9"/>
                  <w:noWrap/>
                </w:tcPr>
                <w:p w14:paraId="06C77E76" w14:textId="08D2AE69" w:rsidR="00C71AC3" w:rsidRPr="00C71AC3" w:rsidRDefault="00C71AC3" w:rsidP="00C71AC3">
                  <w:pPr>
                    <w:pStyle w:val="TabellHode-kolonne"/>
                  </w:pPr>
                  <w:r w:rsidRPr="00C71AC3">
                    <w:t>Eksempel på inntjening for næringsdrivende fastlege med sykepleier, 1 000 listeinnbyggere. Sykepleiers aktivitet i stedet for fastlegens opprinnelige aktivitet</w:t>
                  </w:r>
                </w:p>
              </w:tc>
              <w:tc>
                <w:tcPr>
                  <w:tcW w:w="2059" w:type="dxa"/>
                  <w:tcBorders>
                    <w:bottom w:val="single" w:sz="18" w:space="0" w:color="2A3652"/>
                  </w:tcBorders>
                  <w:shd w:val="clear" w:color="auto" w:fill="A9D6B9"/>
                  <w:noWrap/>
                </w:tcPr>
                <w:p w14:paraId="2E4B323C" w14:textId="77777777" w:rsidR="00C71AC3" w:rsidRPr="00C71AC3" w:rsidRDefault="00C71AC3" w:rsidP="00C71AC3">
                  <w:pPr>
                    <w:pStyle w:val="TabellHode-kolonne"/>
                    <w:cnfStyle w:val="100000000000" w:firstRow="1" w:lastRow="0" w:firstColumn="0" w:lastColumn="0" w:oddVBand="0" w:evenVBand="0" w:oddHBand="0" w:evenHBand="0" w:firstRowFirstColumn="0" w:firstRowLastColumn="0" w:lastRowFirstColumn="0" w:lastRowLastColumn="0"/>
                  </w:pPr>
                </w:p>
              </w:tc>
            </w:tr>
            <w:tr w:rsidR="00C71AC3" w:rsidRPr="00C71AC3" w14:paraId="0ADAB341"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tcBorders>
                    <w:top w:val="single" w:sz="18" w:space="0" w:color="2A3652"/>
                  </w:tcBorders>
                  <w:shd w:val="clear" w:color="auto" w:fill="FFFFFF" w:themeFill="background1"/>
                  <w:noWrap/>
                  <w:hideMark/>
                </w:tcPr>
                <w:p w14:paraId="5996CB89" w14:textId="77777777" w:rsidR="00C71AC3" w:rsidRPr="00C71AC3" w:rsidRDefault="00C71AC3" w:rsidP="00C71AC3">
                  <w:pPr>
                    <w:pStyle w:val="TabellHode-rad"/>
                  </w:pPr>
                  <w:r w:rsidRPr="00C71AC3">
                    <w:t>Basisinntekt</w:t>
                  </w:r>
                </w:p>
              </w:tc>
              <w:tc>
                <w:tcPr>
                  <w:tcW w:w="2059" w:type="dxa"/>
                  <w:tcBorders>
                    <w:top w:val="single" w:sz="18" w:space="0" w:color="2A3652"/>
                  </w:tcBorders>
                  <w:shd w:val="clear" w:color="auto" w:fill="FFFFFF" w:themeFill="background1"/>
                  <w:noWrap/>
                  <w:hideMark/>
                </w:tcPr>
                <w:p w14:paraId="090B2016"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1 000 000</w:t>
                  </w:r>
                </w:p>
              </w:tc>
            </w:tr>
            <w:tr w:rsidR="00C71AC3" w:rsidRPr="00C71AC3" w14:paraId="4FA2CE7A"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031B6E21" w14:textId="77777777" w:rsidR="00C71AC3" w:rsidRPr="00C71AC3" w:rsidRDefault="00C71AC3" w:rsidP="00C71AC3">
                  <w:pPr>
                    <w:pStyle w:val="TabellHode-rad"/>
                  </w:pPr>
                  <w:r w:rsidRPr="00C71AC3">
                    <w:t>Aktivitetsinntekt fra lege</w:t>
                  </w:r>
                </w:p>
              </w:tc>
              <w:tc>
                <w:tcPr>
                  <w:tcW w:w="2059" w:type="dxa"/>
                  <w:shd w:val="clear" w:color="auto" w:fill="FFFFFF" w:themeFill="background1"/>
                  <w:noWrap/>
                  <w:hideMark/>
                </w:tcPr>
                <w:p w14:paraId="4E5C8D3A"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833 333</w:t>
                  </w:r>
                </w:p>
              </w:tc>
            </w:tr>
            <w:tr w:rsidR="00C71AC3" w:rsidRPr="00C71AC3" w14:paraId="01ED402E"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33D7F816" w14:textId="77777777" w:rsidR="00C71AC3" w:rsidRPr="00C71AC3" w:rsidRDefault="00C71AC3" w:rsidP="00C71AC3">
                  <w:pPr>
                    <w:pStyle w:val="TabellHode-rad"/>
                  </w:pPr>
                  <w:r w:rsidRPr="00C71AC3">
                    <w:t>Aktivitetsinntekt fra sykepleier</w:t>
                  </w:r>
                </w:p>
              </w:tc>
              <w:tc>
                <w:tcPr>
                  <w:tcW w:w="2059" w:type="dxa"/>
                  <w:shd w:val="clear" w:color="auto" w:fill="FFFFFF" w:themeFill="background1"/>
                  <w:noWrap/>
                  <w:hideMark/>
                </w:tcPr>
                <w:p w14:paraId="7F552EB1"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166 667</w:t>
                  </w:r>
                </w:p>
              </w:tc>
            </w:tr>
            <w:tr w:rsidR="00C71AC3" w:rsidRPr="00C71AC3" w14:paraId="4302A30D"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05C3CC34" w14:textId="77777777" w:rsidR="00C71AC3" w:rsidRPr="00C71AC3" w:rsidRDefault="00C71AC3" w:rsidP="00C71AC3">
                  <w:pPr>
                    <w:pStyle w:val="TabellHode-rad"/>
                  </w:pPr>
                  <w:r w:rsidRPr="00C71AC3">
                    <w:t>- Sykepleierkostnad</w:t>
                  </w:r>
                </w:p>
              </w:tc>
              <w:tc>
                <w:tcPr>
                  <w:tcW w:w="2059" w:type="dxa"/>
                  <w:shd w:val="clear" w:color="auto" w:fill="FFFFFF" w:themeFill="background1"/>
                  <w:noWrap/>
                  <w:hideMark/>
                </w:tcPr>
                <w:p w14:paraId="437D8FCE"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-271 739</w:t>
                  </w:r>
                </w:p>
              </w:tc>
            </w:tr>
            <w:tr w:rsidR="00C71AC3" w:rsidRPr="00C71AC3" w14:paraId="61E4C4ED"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5735F061" w14:textId="77777777" w:rsidR="00C71AC3" w:rsidRPr="00C71AC3" w:rsidRDefault="00C71AC3" w:rsidP="00C71AC3">
                  <w:pPr>
                    <w:pStyle w:val="TabellHode-rad"/>
                  </w:pPr>
                  <w:r w:rsidRPr="00C71AC3">
                    <w:t>Omsetning</w:t>
                  </w:r>
                </w:p>
              </w:tc>
              <w:tc>
                <w:tcPr>
                  <w:tcW w:w="2059" w:type="dxa"/>
                  <w:shd w:val="clear" w:color="auto" w:fill="FFFFFF" w:themeFill="background1"/>
                  <w:noWrap/>
                  <w:hideMark/>
                </w:tcPr>
                <w:p w14:paraId="4B539E17"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1 728 261</w:t>
                  </w:r>
                </w:p>
              </w:tc>
            </w:tr>
            <w:tr w:rsidR="00C71AC3" w:rsidRPr="00C71AC3" w14:paraId="5A981944"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20639982" w14:textId="77777777" w:rsidR="00C71AC3" w:rsidRPr="00C71AC3" w:rsidRDefault="00C71AC3" w:rsidP="00C71AC3">
                  <w:pPr>
                    <w:pStyle w:val="TabellHode-rad"/>
                  </w:pPr>
                  <w:r w:rsidRPr="00C71AC3">
                    <w:t>Redusert omsetning i prosent</w:t>
                  </w:r>
                </w:p>
              </w:tc>
              <w:tc>
                <w:tcPr>
                  <w:tcW w:w="2059" w:type="dxa"/>
                  <w:shd w:val="clear" w:color="auto" w:fill="FFFFFF" w:themeFill="background1"/>
                  <w:noWrap/>
                  <w:hideMark/>
                </w:tcPr>
                <w:p w14:paraId="2804C8CD"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14 %</w:t>
                  </w:r>
                </w:p>
              </w:tc>
            </w:tr>
            <w:tr w:rsidR="00C71AC3" w:rsidRPr="00C71AC3" w14:paraId="2A2EB5BF"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180E39C5" w14:textId="77777777" w:rsidR="00C71AC3" w:rsidRPr="00C71AC3" w:rsidRDefault="00C71AC3" w:rsidP="00C71AC3">
                  <w:pPr>
                    <w:pStyle w:val="TabellHode-rad"/>
                  </w:pPr>
                  <w:r w:rsidRPr="00C71AC3">
                    <w:t>Redusert arbeidstid fastlege, antall dager per år</w:t>
                  </w:r>
                </w:p>
              </w:tc>
              <w:tc>
                <w:tcPr>
                  <w:tcW w:w="2059" w:type="dxa"/>
                  <w:shd w:val="clear" w:color="auto" w:fill="FFFFFF" w:themeFill="background1"/>
                  <w:noWrap/>
                  <w:hideMark/>
                </w:tcPr>
                <w:p w14:paraId="74CAFBE7"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38</w:t>
                  </w:r>
                </w:p>
              </w:tc>
            </w:tr>
            <w:tr w:rsidR="00C71AC3" w:rsidRPr="00C71AC3" w14:paraId="27291FD6"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7107" w:type="dxa"/>
                  <w:shd w:val="clear" w:color="auto" w:fill="FFFFFF" w:themeFill="background1"/>
                  <w:noWrap/>
                  <w:hideMark/>
                </w:tcPr>
                <w:p w14:paraId="5CFF185B" w14:textId="77777777" w:rsidR="00C71AC3" w:rsidRPr="00C71AC3" w:rsidRDefault="00C71AC3" w:rsidP="00C71AC3">
                  <w:pPr>
                    <w:pStyle w:val="TabellHode-rad"/>
                  </w:pPr>
                  <w:r w:rsidRPr="00C71AC3">
                    <w:t>Redusert arbeidstid fastlege i prosent</w:t>
                  </w:r>
                </w:p>
              </w:tc>
              <w:tc>
                <w:tcPr>
                  <w:tcW w:w="2059" w:type="dxa"/>
                  <w:shd w:val="clear" w:color="auto" w:fill="FFFFFF" w:themeFill="background1"/>
                  <w:noWrap/>
                  <w:hideMark/>
                </w:tcPr>
                <w:p w14:paraId="41564F33"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17 %</w:t>
                  </w:r>
                </w:p>
              </w:tc>
            </w:tr>
          </w:tbl>
          <w:p w14:paraId="5D63EB43" w14:textId="77777777" w:rsidR="00C71AC3" w:rsidRPr="00C71AC3" w:rsidRDefault="00C71AC3" w:rsidP="00C71AC3">
            <w:r w:rsidRPr="00C71AC3">
              <w:t>Siden listelengden er uendret, og hele sykepleierens aktivitet er til erstatning for legens aktivitet, vil legen arbeide mindre og av den grunn gå ned i inntekt. Legen arbeider 17 prosent mindre, men vil bare gå 14 prosent ned i inntekt. Legen arbeider mindre og går ned i inntekt, men ville gått mer ned i inntekt uten sykepleier, dvs. kun ved reduksjon i eget arbeid.</w:t>
            </w:r>
          </w:p>
          <w:p w14:paraId="5D455310" w14:textId="77777777" w:rsidR="00C71AC3" w:rsidRPr="00C71AC3" w:rsidRDefault="00C71AC3" w:rsidP="00C71AC3">
            <w:r w:rsidRPr="00C71AC3">
              <w:t>Legen kan i stedet opprettholde sin arbeidstid, og øke sin listelengde. I eksempelet under har fastlegen økt sin liste fra 1 000 til 1 200. I eksempelet under har legen økt sin liste fra 1 000 til 1 200. Legen har dermed økt sitt basistilskudd, og holdt sin egen arbeidstid konstant:</w:t>
            </w:r>
          </w:p>
          <w:tbl>
            <w:tblPr>
              <w:tblStyle w:val="0Ekspertutvalgettabellstil1"/>
              <w:tblW w:w="0" w:type="auto"/>
              <w:jc w:val="center"/>
              <w:tblLook w:val="04A0" w:firstRow="1" w:lastRow="0" w:firstColumn="1" w:lastColumn="0" w:noHBand="0" w:noVBand="1"/>
            </w:tblPr>
            <w:tblGrid>
              <w:gridCol w:w="6929"/>
              <w:gridCol w:w="2237"/>
            </w:tblGrid>
            <w:tr w:rsidR="00C71AC3" w:rsidRPr="00C71AC3" w14:paraId="071FE67D" w14:textId="77777777" w:rsidTr="00707F9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929" w:type="dxa"/>
                  <w:tcBorders>
                    <w:bottom w:val="single" w:sz="18" w:space="0" w:color="2A3652"/>
                  </w:tcBorders>
                  <w:shd w:val="clear" w:color="auto" w:fill="A9D6B9"/>
                  <w:noWrap/>
                </w:tcPr>
                <w:p w14:paraId="479071F7" w14:textId="77777777" w:rsidR="00C71AC3" w:rsidRPr="00C71AC3" w:rsidRDefault="00C71AC3" w:rsidP="00FF3E7E">
                  <w:pPr>
                    <w:pStyle w:val="TabellHode-kolonne"/>
                  </w:pPr>
                  <w:r w:rsidRPr="00C71AC3">
                    <w:lastRenderedPageBreak/>
                    <w:t>Eksempel på inntjening for næringsdrivende fastlege med sykepleier, 1 200 listeinnbyggere. Sykepleiers aktivitet i stedet for fastlegens opprinnelige aktivitet</w:t>
                  </w:r>
                </w:p>
              </w:tc>
              <w:tc>
                <w:tcPr>
                  <w:tcW w:w="2237" w:type="dxa"/>
                  <w:tcBorders>
                    <w:bottom w:val="single" w:sz="18" w:space="0" w:color="2A3652"/>
                  </w:tcBorders>
                  <w:shd w:val="clear" w:color="auto" w:fill="A9D6B9"/>
                  <w:noWrap/>
                </w:tcPr>
                <w:p w14:paraId="0B70F2D1" w14:textId="77777777" w:rsidR="00C71AC3" w:rsidRPr="00C71AC3" w:rsidRDefault="00C71AC3" w:rsidP="00FF3E7E">
                  <w:pPr>
                    <w:pStyle w:val="TabellHode-kolonne"/>
                    <w:cnfStyle w:val="100000000000" w:firstRow="1" w:lastRow="0" w:firstColumn="0" w:lastColumn="0" w:oddVBand="0" w:evenVBand="0" w:oddHBand="0" w:evenHBand="0" w:firstRowFirstColumn="0" w:firstRowLastColumn="0" w:lastRowFirstColumn="0" w:lastRowLastColumn="0"/>
                  </w:pPr>
                </w:p>
              </w:tc>
            </w:tr>
            <w:tr w:rsidR="00C71AC3" w:rsidRPr="00C71AC3" w14:paraId="0A4118A3"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tcBorders>
                    <w:top w:val="single" w:sz="18" w:space="0" w:color="2A3652"/>
                  </w:tcBorders>
                  <w:shd w:val="clear" w:color="auto" w:fill="FFFFFF" w:themeFill="background1"/>
                  <w:noWrap/>
                  <w:hideMark/>
                </w:tcPr>
                <w:p w14:paraId="6DDA037A" w14:textId="77777777" w:rsidR="00C71AC3" w:rsidRPr="00C71AC3" w:rsidRDefault="00C71AC3" w:rsidP="00FF3E7E">
                  <w:pPr>
                    <w:pStyle w:val="TabellHode-rad"/>
                  </w:pPr>
                  <w:r w:rsidRPr="00C71AC3">
                    <w:t>Økning i listelengde</w:t>
                  </w:r>
                </w:p>
              </w:tc>
              <w:tc>
                <w:tcPr>
                  <w:tcW w:w="2237" w:type="dxa"/>
                  <w:tcBorders>
                    <w:top w:val="single" w:sz="18" w:space="0" w:color="2A3652"/>
                  </w:tcBorders>
                  <w:shd w:val="clear" w:color="auto" w:fill="FFFFFF" w:themeFill="background1"/>
                  <w:noWrap/>
                  <w:hideMark/>
                </w:tcPr>
                <w:p w14:paraId="5FC456C1"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200</w:t>
                  </w:r>
                </w:p>
              </w:tc>
            </w:tr>
            <w:tr w:rsidR="00C71AC3" w:rsidRPr="00C71AC3" w14:paraId="14EB6768"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7E5AD59D" w14:textId="77777777" w:rsidR="00C71AC3" w:rsidRPr="00C71AC3" w:rsidRDefault="00C71AC3" w:rsidP="00FF3E7E">
                  <w:pPr>
                    <w:pStyle w:val="TabellHode-rad"/>
                  </w:pPr>
                  <w:r w:rsidRPr="00C71AC3">
                    <w:t>Ny listelengde</w:t>
                  </w:r>
                </w:p>
              </w:tc>
              <w:tc>
                <w:tcPr>
                  <w:tcW w:w="2237" w:type="dxa"/>
                  <w:shd w:val="clear" w:color="auto" w:fill="FFFFFF" w:themeFill="background1"/>
                  <w:noWrap/>
                  <w:hideMark/>
                </w:tcPr>
                <w:p w14:paraId="7DC1F546"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1 200</w:t>
                  </w:r>
                </w:p>
              </w:tc>
            </w:tr>
            <w:tr w:rsidR="00C71AC3" w:rsidRPr="00C71AC3" w14:paraId="21188FCD"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25EAC6B1" w14:textId="77777777" w:rsidR="00C71AC3" w:rsidRPr="00C71AC3" w:rsidRDefault="00C71AC3" w:rsidP="00FF3E7E">
                  <w:pPr>
                    <w:pStyle w:val="TabellHode-rad"/>
                  </w:pPr>
                  <w:r w:rsidRPr="00C71AC3">
                    <w:t>Antall sykepleierdager på denne listen</w:t>
                  </w:r>
                </w:p>
              </w:tc>
              <w:tc>
                <w:tcPr>
                  <w:tcW w:w="2237" w:type="dxa"/>
                  <w:shd w:val="clear" w:color="auto" w:fill="FFFFFF" w:themeFill="background1"/>
                  <w:noWrap/>
                  <w:hideMark/>
                </w:tcPr>
                <w:p w14:paraId="3AD539D6"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75</w:t>
                  </w:r>
                </w:p>
              </w:tc>
            </w:tr>
            <w:tr w:rsidR="00C71AC3" w:rsidRPr="00C71AC3" w14:paraId="2D259918"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465162C5" w14:textId="77777777" w:rsidR="00C71AC3" w:rsidRPr="00C71AC3" w:rsidRDefault="00C71AC3" w:rsidP="00FF3E7E">
                  <w:pPr>
                    <w:pStyle w:val="TabellHode-rad"/>
                  </w:pPr>
                  <w:r w:rsidRPr="00C71AC3">
                    <w:t>Basisinntekt uten sykepleier basistilskudd</w:t>
                  </w:r>
                </w:p>
              </w:tc>
              <w:tc>
                <w:tcPr>
                  <w:tcW w:w="2237" w:type="dxa"/>
                  <w:shd w:val="clear" w:color="auto" w:fill="FFFFFF" w:themeFill="background1"/>
                  <w:noWrap/>
                  <w:hideMark/>
                </w:tcPr>
                <w:p w14:paraId="3B46FB5B"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1 200 000</w:t>
                  </w:r>
                </w:p>
              </w:tc>
            </w:tr>
            <w:tr w:rsidR="00C71AC3" w:rsidRPr="00C71AC3" w14:paraId="60F4A432"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166EE8B1" w14:textId="77777777" w:rsidR="00C71AC3" w:rsidRPr="00C71AC3" w:rsidRDefault="00C71AC3" w:rsidP="00FF3E7E">
                  <w:pPr>
                    <w:pStyle w:val="TabellHode-rad"/>
                  </w:pPr>
                  <w:r w:rsidRPr="00C71AC3">
                    <w:t>Aktivitetsinntekt fra lege</w:t>
                  </w:r>
                </w:p>
              </w:tc>
              <w:tc>
                <w:tcPr>
                  <w:tcW w:w="2237" w:type="dxa"/>
                  <w:shd w:val="clear" w:color="auto" w:fill="FFFFFF" w:themeFill="background1"/>
                  <w:noWrap/>
                  <w:hideMark/>
                </w:tcPr>
                <w:p w14:paraId="37E17FE7"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1 000 000</w:t>
                  </w:r>
                </w:p>
              </w:tc>
            </w:tr>
            <w:tr w:rsidR="00C71AC3" w:rsidRPr="00C71AC3" w14:paraId="19514AF1"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244C05DB" w14:textId="77777777" w:rsidR="00C71AC3" w:rsidRPr="00C71AC3" w:rsidRDefault="00C71AC3" w:rsidP="00FF3E7E">
                  <w:pPr>
                    <w:pStyle w:val="TabellHode-rad"/>
                  </w:pPr>
                  <w:r w:rsidRPr="00C71AC3">
                    <w:t>Aktivitetsinntekt fra sykepleier</w:t>
                  </w:r>
                </w:p>
              </w:tc>
              <w:tc>
                <w:tcPr>
                  <w:tcW w:w="2237" w:type="dxa"/>
                  <w:shd w:val="clear" w:color="auto" w:fill="FFFFFF" w:themeFill="background1"/>
                  <w:noWrap/>
                  <w:hideMark/>
                </w:tcPr>
                <w:p w14:paraId="1389676C"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200 000</w:t>
                  </w:r>
                </w:p>
              </w:tc>
            </w:tr>
            <w:tr w:rsidR="00C71AC3" w:rsidRPr="00C71AC3" w14:paraId="747458A6"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5EB4B593" w14:textId="77777777" w:rsidR="00C71AC3" w:rsidRPr="00C71AC3" w:rsidRDefault="00C71AC3" w:rsidP="00FF3E7E">
                  <w:pPr>
                    <w:pStyle w:val="TabellHode-rad"/>
                  </w:pPr>
                  <w:r w:rsidRPr="00C71AC3">
                    <w:t>- Sykepleierkostnad</w:t>
                  </w:r>
                </w:p>
              </w:tc>
              <w:tc>
                <w:tcPr>
                  <w:tcW w:w="2237" w:type="dxa"/>
                  <w:shd w:val="clear" w:color="auto" w:fill="FFFFFF" w:themeFill="background1"/>
                  <w:noWrap/>
                  <w:hideMark/>
                </w:tcPr>
                <w:p w14:paraId="55A6A0D1"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-326 087</w:t>
                  </w:r>
                </w:p>
              </w:tc>
            </w:tr>
            <w:tr w:rsidR="00C71AC3" w:rsidRPr="00C71AC3" w14:paraId="517B790B"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2E79D9A2" w14:textId="77777777" w:rsidR="00C71AC3" w:rsidRPr="00C71AC3" w:rsidRDefault="00C71AC3" w:rsidP="00FF3E7E">
                  <w:pPr>
                    <w:pStyle w:val="TabellHode-rad"/>
                  </w:pPr>
                  <w:r w:rsidRPr="00C71AC3">
                    <w:t>Omsetning</w:t>
                  </w:r>
                </w:p>
              </w:tc>
              <w:tc>
                <w:tcPr>
                  <w:tcW w:w="2237" w:type="dxa"/>
                  <w:shd w:val="clear" w:color="auto" w:fill="FFFFFF" w:themeFill="background1"/>
                  <w:noWrap/>
                  <w:hideMark/>
                </w:tcPr>
                <w:p w14:paraId="139EE31D"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2 073 913</w:t>
                  </w:r>
                </w:p>
              </w:tc>
            </w:tr>
            <w:tr w:rsidR="00C71AC3" w:rsidRPr="00C71AC3" w14:paraId="54C477B1" w14:textId="77777777" w:rsidTr="00707F97">
              <w:trPr>
                <w:trHeight w:val="288"/>
                <w:jc w:val="center"/>
              </w:trPr>
              <w:tc>
                <w:tcPr>
                  <w:cnfStyle w:val="001000000000" w:firstRow="0" w:lastRow="0" w:firstColumn="1" w:lastColumn="0" w:oddVBand="0" w:evenVBand="0" w:oddHBand="0" w:evenHBand="0" w:firstRowFirstColumn="0" w:firstRowLastColumn="0" w:lastRowFirstColumn="0" w:lastRowLastColumn="0"/>
                  <w:tcW w:w="6929" w:type="dxa"/>
                  <w:shd w:val="clear" w:color="auto" w:fill="FFFFFF" w:themeFill="background1"/>
                  <w:noWrap/>
                  <w:hideMark/>
                </w:tcPr>
                <w:p w14:paraId="08DF8CF7" w14:textId="77777777" w:rsidR="00C71AC3" w:rsidRPr="00C71AC3" w:rsidRDefault="00C71AC3" w:rsidP="00FF3E7E">
                  <w:pPr>
                    <w:pStyle w:val="TabellHode-rad"/>
                  </w:pPr>
                  <w:r w:rsidRPr="00C71AC3">
                    <w:t>Inntektsøkning</w:t>
                  </w:r>
                </w:p>
              </w:tc>
              <w:tc>
                <w:tcPr>
                  <w:tcW w:w="2237" w:type="dxa"/>
                  <w:shd w:val="clear" w:color="auto" w:fill="FFFFFF" w:themeFill="background1"/>
                  <w:noWrap/>
                  <w:hideMark/>
                </w:tcPr>
                <w:p w14:paraId="032F9DC6" w14:textId="77777777" w:rsidR="00C71AC3" w:rsidRPr="00C71AC3" w:rsidRDefault="00C71AC3" w:rsidP="00FF3E7E">
                  <w:pPr>
                    <w:jc w:val="right"/>
                    <w:cnfStyle w:val="000000000000" w:firstRow="0" w:lastRow="0" w:firstColumn="0" w:lastColumn="0" w:oddVBand="0" w:evenVBand="0" w:oddHBand="0" w:evenHBand="0" w:firstRowFirstColumn="0" w:firstRowLastColumn="0" w:lastRowFirstColumn="0" w:lastRowLastColumn="0"/>
                  </w:pPr>
                  <w:r w:rsidRPr="00C71AC3">
                    <w:t>73 913</w:t>
                  </w:r>
                </w:p>
              </w:tc>
            </w:tr>
          </w:tbl>
          <w:p w14:paraId="32D3C73B" w14:textId="77777777" w:rsidR="00C71AC3" w:rsidRPr="00C71AC3" w:rsidRDefault="00C71AC3" w:rsidP="00C71AC3">
            <w:r w:rsidRPr="00C71AC3">
              <w:t>Eksemplene har som utgangspunkt at sykepleiers arbeid skjer i stedet for at legen utfører oppgavene. De viser at det kan være økonomisk gunstig for fastlege å ansette sykepleier, både dersom legen ønsker å arbeide mindre, og dersom legen ønsker å arbeide like mye, men øke listelengden. Dette kan bidra til at fastlegevirksomheter vil oppleve det som attraktivt å ansette annet personell.</w:t>
            </w:r>
          </w:p>
          <w:p w14:paraId="018EE74C" w14:textId="77777777" w:rsidR="00C71AC3" w:rsidRPr="00C71AC3" w:rsidRDefault="00C71AC3" w:rsidP="00C71AC3">
            <w:r w:rsidRPr="00C71AC3">
              <w:t>Det er ikke gitt at det økonomiske utfallet blir positivt for legen. Det vil avhenge av flere faktorer, blant annet sykepleierens produktivitet, og legens tidsbruk til å følge opp sykepleieren. Lav produktivitet vil primært være en utfordring for de som skal ansette (fastlegevirksomheter og kommuner). Hvis annet personell ikke er tilstrekkelig produktive (eller mer presist; ikke utløser tilstrekkelig inntjening fra takster), vil det ikke være attraktivt for virksomhetene å ansette annet personell. Som vist i eksemplene, er det imidlertid lagt til grunn i beregningene at sykepleier har betydelig færre konsultasjoner per dag enn legen. Slik sett er det i beregningene tatt høyde for lavere produktivitet.</w:t>
            </w:r>
          </w:p>
          <w:p w14:paraId="624BFF50" w14:textId="77777777" w:rsidR="00C71AC3" w:rsidRPr="00C71AC3" w:rsidRDefault="00C71AC3" w:rsidP="00C71AC3">
            <w:r w:rsidRPr="00C71AC3">
              <w:t>På den annen side kan legens produktivitet øke, dersom det ansettes annet personell. Annet personell vil kunne gjøre forberedelser til undersøkelser som legen ellers ville utført selv. Legens inntjening vil dermed kunne øke. Dette har i noen grad vært en erfaring i forsøket med primærhelseteam.</w:t>
            </w:r>
          </w:p>
          <w:p w14:paraId="188E7C74" w14:textId="77777777" w:rsidR="00C71AC3" w:rsidRPr="00C71AC3" w:rsidRDefault="00C71AC3" w:rsidP="00C71AC3">
            <w:r w:rsidRPr="00C71AC3">
              <w:t>I eksemplene ovenfor har legen økt sin listelengde med 20 prosent. Det bemerkes at det i dag ikke er tilstrekkelig mange innbyggere til at alle fastleger kan øke sin liste med 20 prosent. Samtidig er det grunn til å anta at ikke alle fastleger vil ønske å ta inn annet personell, og øke listelengden.</w:t>
            </w:r>
          </w:p>
          <w:p w14:paraId="2D492BA9" w14:textId="77777777" w:rsidR="00C71AC3" w:rsidRPr="00C71AC3" w:rsidRDefault="00C71AC3" w:rsidP="00FF3E7E">
            <w:pPr>
              <w:pStyle w:val="avsnitt-undertittel"/>
            </w:pPr>
            <w:r w:rsidRPr="00C71AC3">
              <w:lastRenderedPageBreak/>
              <w:t xml:space="preserve">Kostnader for det offentlige ved uendret samlet aktivitet </w:t>
            </w:r>
          </w:p>
          <w:p w14:paraId="17F92204" w14:textId="524B5CB9" w:rsidR="00C71AC3" w:rsidRPr="00C71AC3" w:rsidRDefault="00C71AC3" w:rsidP="00FF3E7E">
            <w:r w:rsidRPr="00C71AC3">
              <w:t>I beregningene ovenfor er det lagt til grunn at hele sykepleierens aktivitet skjer i stedet for legens aktivitet, samt at sykepleierens aktivitet betales av det offentlige med de samme beløpene som legen. For det offentlige vil kostnaden da bli den samme som tidligere, gitt uendret listelengde og uendret samlet aktivitet. Dersom legen velger å utvide listen, vil kostnadene for dette for det offentlige være det samme som om en annen fastlege ivaretok pasientene. Den eventuelle økonomiske gevinsten vil tilfalle legen.</w:t>
            </w:r>
          </w:p>
        </w:tc>
      </w:tr>
    </w:tbl>
    <w:p w14:paraId="5A3E4C1B" w14:textId="099B1294" w:rsidR="004146BF" w:rsidRDefault="004146BF" w:rsidP="00FF3E7E">
      <w:pPr>
        <w:pStyle w:val="tittel-ramme"/>
        <w:jc w:val="left"/>
      </w:pPr>
      <w:r w:rsidRPr="00D9107F">
        <w:rPr>
          <w:rStyle w:val="kursiv"/>
        </w:rPr>
        <w:lastRenderedPageBreak/>
        <w:t xml:space="preserve">Økonomiske konsekvenser når annet </w:t>
      </w:r>
      <w:r w:rsidR="008B22E3" w:rsidRPr="00D9107F">
        <w:rPr>
          <w:rStyle w:val="kursiv"/>
        </w:rPr>
        <w:t>personell</w:t>
      </w:r>
      <w:r w:rsidR="00E55EFA" w:rsidRPr="00D9107F">
        <w:rPr>
          <w:rStyle w:val="kursiv"/>
        </w:rPr>
        <w:t xml:space="preserve"> </w:t>
      </w:r>
      <w:r w:rsidR="008B22E3" w:rsidRPr="00D9107F">
        <w:rPr>
          <w:rStyle w:val="kursiv"/>
        </w:rPr>
        <w:t>kommer</w:t>
      </w:r>
      <w:r w:rsidRPr="00D9107F">
        <w:rPr>
          <w:rStyle w:val="kursiv"/>
        </w:rPr>
        <w:t xml:space="preserve"> i tillegg til fastlegen</w:t>
      </w:r>
    </w:p>
    <w:tbl>
      <w:tblPr>
        <w:tblStyle w:val="StandardBoks"/>
        <w:tblW w:w="0" w:type="auto"/>
        <w:tblLook w:val="04A0" w:firstRow="1" w:lastRow="0" w:firstColumn="1" w:lastColumn="0" w:noHBand="0" w:noVBand="1"/>
      </w:tblPr>
      <w:tblGrid>
        <w:gridCol w:w="9736"/>
      </w:tblGrid>
      <w:tr w:rsidR="00FF3E7E" w14:paraId="051BEC26" w14:textId="77777777" w:rsidTr="00FF3E7E">
        <w:tc>
          <w:tcPr>
            <w:tcW w:w="9736" w:type="dxa"/>
          </w:tcPr>
          <w:p w14:paraId="4D385E74" w14:textId="77777777" w:rsidR="00FF3E7E" w:rsidRPr="00FF3E7E" w:rsidRDefault="00FF3E7E" w:rsidP="00FF3E7E">
            <w:pPr>
              <w:pStyle w:val="avsnitt-undertittel"/>
            </w:pPr>
            <w:r w:rsidRPr="00FF3E7E">
              <w:lastRenderedPageBreak/>
              <w:t>Økonomiske konsekvenser for fastleger dersom annet personell kommer i tillegg til fastlegens tidligere aktivitet</w:t>
            </w:r>
          </w:p>
          <w:p w14:paraId="068C67E7" w14:textId="77777777" w:rsidR="00FF3E7E" w:rsidRPr="00FF3E7E" w:rsidRDefault="00FF3E7E" w:rsidP="00FF3E7E">
            <w:r w:rsidRPr="00FF3E7E">
              <w:t>Det som er beskrevet ovenfor, er en situasjon der sykepleier erstatter lege. Aktivitet per listeinnbygger er uendret, det er kun en endring i hvilket personell som leverer noen av tjenestene. Vi har lagt til grunn at arbeidet som annet personell utfører i stedet for fastlegen, ikke skal utløse tilskuddsfinansiering ut over fastlegens vanlige basistilskudd. En slik situasjon blir tilsvarende som om fastlegen tar inn en vikar. Da vil vikarens aktivitet være en erstatning for listeinnehaverens aktivitet, og det utløses ikke økt basistilskudd.</w:t>
            </w:r>
          </w:p>
          <w:p w14:paraId="537AC1A3" w14:textId="77777777" w:rsidR="00FF3E7E" w:rsidRPr="00FF3E7E" w:rsidRDefault="00FF3E7E" w:rsidP="00FF3E7E">
            <w:r w:rsidRPr="00FF3E7E">
              <w:t>Situasjonen blir annerledes dersom annet personell ikke bare skal erstatte, men i hvert fall delvis yter tverrfaglige tjenester ut over det som er i fastlegekontorene i dag. Dersom vi benytter de samme forutsetningene som i eksemplene ovenfor, får vi følgende resultat om sykepleiers aktivitet kommer i tillegg til legens opprinnelige aktivitet:</w:t>
            </w:r>
          </w:p>
          <w:tbl>
            <w:tblPr>
              <w:tblStyle w:val="0Ekspertutvalgettabellstil1"/>
              <w:tblW w:w="0" w:type="auto"/>
              <w:tblLook w:val="04A0" w:firstRow="1" w:lastRow="0" w:firstColumn="1" w:lastColumn="0" w:noHBand="0" w:noVBand="1"/>
            </w:tblPr>
            <w:tblGrid>
              <w:gridCol w:w="7225"/>
              <w:gridCol w:w="2054"/>
            </w:tblGrid>
            <w:tr w:rsidR="00FF3E7E" w:rsidRPr="00FF3E7E" w14:paraId="45F2D5F6" w14:textId="77777777" w:rsidTr="00707F9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25" w:type="dxa"/>
                  <w:tcBorders>
                    <w:bottom w:val="single" w:sz="18" w:space="0" w:color="2A3652"/>
                  </w:tcBorders>
                  <w:shd w:val="clear" w:color="auto" w:fill="A9D6B9"/>
                  <w:noWrap/>
                </w:tcPr>
                <w:p w14:paraId="27637750" w14:textId="77777777" w:rsidR="00FF3E7E" w:rsidRPr="00FF3E7E" w:rsidRDefault="00FF3E7E" w:rsidP="00FF3E7E">
                  <w:pPr>
                    <w:pStyle w:val="TabellHode-kolonne"/>
                  </w:pPr>
                  <w:r w:rsidRPr="00FF3E7E">
                    <w:t xml:space="preserve">Eksempel på inntjening for næringsdrivende fastlege med sykepleier, 1 000 listeinnbyggere. Sykepleiers aktivitet i tillegg til fastlegens opprinnelige aktivitet. </w:t>
                  </w:r>
                </w:p>
                <w:p w14:paraId="44DEBFC4" w14:textId="77777777" w:rsidR="00FF3E7E" w:rsidRPr="00FF3E7E" w:rsidRDefault="00FF3E7E" w:rsidP="00FF3E7E">
                  <w:pPr>
                    <w:pStyle w:val="TabellHode-kolonne"/>
                  </w:pPr>
                  <w:r w:rsidRPr="00FF3E7E">
                    <w:t>Uten forhøyet basistilskudd</w:t>
                  </w:r>
                </w:p>
              </w:tc>
              <w:tc>
                <w:tcPr>
                  <w:tcW w:w="2054" w:type="dxa"/>
                  <w:tcBorders>
                    <w:bottom w:val="single" w:sz="18" w:space="0" w:color="2A3652"/>
                  </w:tcBorders>
                  <w:shd w:val="clear" w:color="auto" w:fill="A9D6B9"/>
                  <w:noWrap/>
                </w:tcPr>
                <w:p w14:paraId="306FA3FC" w14:textId="77777777" w:rsidR="00FF3E7E" w:rsidRPr="00FF3E7E" w:rsidRDefault="00FF3E7E" w:rsidP="00FF3E7E">
                  <w:pPr>
                    <w:pStyle w:val="TabellHode-kolonne"/>
                    <w:cnfStyle w:val="100000000000" w:firstRow="1" w:lastRow="0" w:firstColumn="0" w:lastColumn="0" w:oddVBand="0" w:evenVBand="0" w:oddHBand="0" w:evenHBand="0" w:firstRowFirstColumn="0" w:firstRowLastColumn="0" w:lastRowFirstColumn="0" w:lastRowLastColumn="0"/>
                  </w:pPr>
                </w:p>
              </w:tc>
            </w:tr>
            <w:tr w:rsidR="00FF3E7E" w:rsidRPr="00FF3E7E" w14:paraId="60B44DCA"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tcBorders>
                    <w:top w:val="single" w:sz="18" w:space="0" w:color="2A3652"/>
                  </w:tcBorders>
                  <w:shd w:val="clear" w:color="auto" w:fill="FFFFFF" w:themeFill="background1"/>
                  <w:noWrap/>
                  <w:hideMark/>
                </w:tcPr>
                <w:p w14:paraId="100708ED" w14:textId="77777777" w:rsidR="00FF3E7E" w:rsidRPr="00FF3E7E" w:rsidRDefault="00FF3E7E" w:rsidP="00FF3E7E">
                  <w:pPr>
                    <w:pStyle w:val="TabellHode-rad"/>
                  </w:pPr>
                  <w:r w:rsidRPr="00FF3E7E">
                    <w:t>Basisinntekt uten sykepleier basistilskudd</w:t>
                  </w:r>
                </w:p>
              </w:tc>
              <w:tc>
                <w:tcPr>
                  <w:tcW w:w="2054" w:type="dxa"/>
                  <w:tcBorders>
                    <w:top w:val="single" w:sz="18" w:space="0" w:color="2A3652"/>
                  </w:tcBorders>
                  <w:shd w:val="clear" w:color="auto" w:fill="FFFFFF" w:themeFill="background1"/>
                  <w:noWrap/>
                </w:tcPr>
                <w:p w14:paraId="78EE154E"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0F83630D"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noWrap/>
                  <w:hideMark/>
                </w:tcPr>
                <w:p w14:paraId="0019335A" w14:textId="77777777" w:rsidR="00FF3E7E" w:rsidRPr="00FF3E7E" w:rsidRDefault="00FF3E7E" w:rsidP="00FF3E7E">
                  <w:pPr>
                    <w:pStyle w:val="TabellHode-rad"/>
                  </w:pPr>
                  <w:r w:rsidRPr="00FF3E7E">
                    <w:t>Aktivitetsinntekt fra lege</w:t>
                  </w:r>
                </w:p>
              </w:tc>
              <w:tc>
                <w:tcPr>
                  <w:tcW w:w="2054" w:type="dxa"/>
                  <w:shd w:val="clear" w:color="auto" w:fill="FFFFFF" w:themeFill="background1"/>
                  <w:noWrap/>
                </w:tcPr>
                <w:p w14:paraId="61D3A590"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18C92202"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noWrap/>
                  <w:hideMark/>
                </w:tcPr>
                <w:p w14:paraId="3E7BB3C1" w14:textId="77777777" w:rsidR="00FF3E7E" w:rsidRPr="00FF3E7E" w:rsidRDefault="00FF3E7E" w:rsidP="00FF3E7E">
                  <w:pPr>
                    <w:pStyle w:val="TabellHode-rad"/>
                  </w:pPr>
                  <w:r w:rsidRPr="00FF3E7E">
                    <w:t>Aktivitetsinntekt fra sykepleier</w:t>
                  </w:r>
                </w:p>
              </w:tc>
              <w:tc>
                <w:tcPr>
                  <w:tcW w:w="2054" w:type="dxa"/>
                  <w:shd w:val="clear" w:color="auto" w:fill="FFFFFF" w:themeFill="background1"/>
                  <w:noWrap/>
                </w:tcPr>
                <w:p w14:paraId="2AABB846"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166 667</w:t>
                  </w:r>
                </w:p>
              </w:tc>
            </w:tr>
            <w:tr w:rsidR="00FF3E7E" w:rsidRPr="00FF3E7E" w14:paraId="69249C0E"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noWrap/>
                  <w:hideMark/>
                </w:tcPr>
                <w:p w14:paraId="772A72A0" w14:textId="77777777" w:rsidR="00FF3E7E" w:rsidRPr="00FF3E7E" w:rsidRDefault="00FF3E7E" w:rsidP="00FF3E7E">
                  <w:pPr>
                    <w:pStyle w:val="TabellHode-rad"/>
                  </w:pPr>
                  <w:r w:rsidRPr="00FF3E7E">
                    <w:t>- Sykepleierkostnad</w:t>
                  </w:r>
                </w:p>
              </w:tc>
              <w:tc>
                <w:tcPr>
                  <w:tcW w:w="2054" w:type="dxa"/>
                  <w:shd w:val="clear" w:color="auto" w:fill="FFFFFF" w:themeFill="background1"/>
                  <w:noWrap/>
                </w:tcPr>
                <w:p w14:paraId="327C6467"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-271 739</w:t>
                  </w:r>
                </w:p>
              </w:tc>
            </w:tr>
            <w:tr w:rsidR="00FF3E7E" w:rsidRPr="00FF3E7E" w14:paraId="7F60DAA4"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noWrap/>
                  <w:hideMark/>
                </w:tcPr>
                <w:p w14:paraId="3C83C0B8" w14:textId="77777777" w:rsidR="00FF3E7E" w:rsidRPr="00FF3E7E" w:rsidRDefault="00FF3E7E" w:rsidP="00FF3E7E">
                  <w:pPr>
                    <w:pStyle w:val="TabellHode-rad"/>
                  </w:pPr>
                  <w:r w:rsidRPr="00FF3E7E">
                    <w:t>Omsetning</w:t>
                  </w:r>
                </w:p>
              </w:tc>
              <w:tc>
                <w:tcPr>
                  <w:tcW w:w="2054" w:type="dxa"/>
                  <w:shd w:val="clear" w:color="auto" w:fill="FFFFFF" w:themeFill="background1"/>
                  <w:noWrap/>
                </w:tcPr>
                <w:p w14:paraId="25852172"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1 894 928</w:t>
                  </w:r>
                </w:p>
              </w:tc>
            </w:tr>
            <w:tr w:rsidR="00FF3E7E" w:rsidRPr="00FF3E7E" w14:paraId="4A2CE117"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noWrap/>
                  <w:hideMark/>
                </w:tcPr>
                <w:p w14:paraId="41B0C9AD" w14:textId="77777777" w:rsidR="00FF3E7E" w:rsidRPr="00FF3E7E" w:rsidRDefault="00FF3E7E" w:rsidP="00FF3E7E">
                  <w:pPr>
                    <w:pStyle w:val="TabellHode-rad"/>
                  </w:pPr>
                  <w:r w:rsidRPr="00FF3E7E">
                    <w:t>Inntektsendring</w:t>
                  </w:r>
                </w:p>
              </w:tc>
              <w:tc>
                <w:tcPr>
                  <w:tcW w:w="2054" w:type="dxa"/>
                  <w:shd w:val="clear" w:color="auto" w:fill="FFFFFF" w:themeFill="background1"/>
                  <w:noWrap/>
                </w:tcPr>
                <w:p w14:paraId="3635D4AE"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-105 072</w:t>
                  </w:r>
                </w:p>
              </w:tc>
            </w:tr>
          </w:tbl>
          <w:p w14:paraId="1A314E5F" w14:textId="77777777" w:rsidR="00FF3E7E" w:rsidRPr="00FF3E7E" w:rsidRDefault="00FF3E7E" w:rsidP="00FF3E7E">
            <w:r w:rsidRPr="00FF3E7E">
              <w:t xml:space="preserve">Basistilskudd og legens takstinntekter er uendret. Men for legen påløper en kostnad </w:t>
            </w:r>
            <w:r w:rsidRPr="00FF3E7E">
              <w:br/>
              <w:t>for ansettelse av sykepleier, som ikke dekkes gjennom sykepleiers takstinntekter.</w:t>
            </w:r>
          </w:p>
          <w:p w14:paraId="70985DAA" w14:textId="77777777" w:rsidR="00FF3E7E" w:rsidRPr="00FF3E7E" w:rsidRDefault="00FF3E7E" w:rsidP="00FF3E7E">
            <w:r w:rsidRPr="00FF3E7E">
              <w:t>Gitt at annet personells aktivitet medfører økt samlet aktivitet innenfor en uendret listelengde, kan det være en mulighet å utløse en form for økt tilskudd til den aktuelle praksisen. Fastlegen har i dag tilskuddsfinansiering av sin aktivitet.</w:t>
            </w:r>
          </w:p>
          <w:p w14:paraId="204E23B8" w14:textId="77777777" w:rsidR="00FF3E7E" w:rsidRPr="00FF3E7E" w:rsidRDefault="00FF3E7E" w:rsidP="00FF3E7E">
            <w:r w:rsidRPr="00FF3E7E">
              <w:t>Eksempelet under viser beregninger for tilleggsfinansiering i form av tilskudd ved ansettelse av sykepleier. Tilskudd vil redusere legens økonomiske risiko knyttet til å ansette personell. En erfaring i forsøket med primærhelseteam er at det er krevende for sykepleier å generere takstinntekter tilsvarende 50 prosent av sykepleierkostnaden. I forsøket har imidlertid sykepleier lavere betaling enn lege for flere av takstene.</w:t>
            </w:r>
          </w:p>
          <w:p w14:paraId="70BCFF1D" w14:textId="77777777" w:rsidR="00FF3E7E" w:rsidRPr="00FF3E7E" w:rsidRDefault="00FF3E7E" w:rsidP="00FF3E7E">
            <w:r w:rsidRPr="00FF3E7E">
              <w:t>I eksempelet nedenfor er basistilskuddet per listeinnbygger styrket med 100 kroner som følge av at det er ansatt annet personell, og at denne aktiviteten kommer i tillegg til legens opprinnelige aktivitet. Basistilskuddet er her forhøyet til 1100 kroner per listeinnbygger.</w:t>
            </w:r>
          </w:p>
          <w:tbl>
            <w:tblPr>
              <w:tblStyle w:val="0Ekspertutvalgettabellstil1"/>
              <w:tblW w:w="0" w:type="auto"/>
              <w:tblLook w:val="04A0" w:firstRow="1" w:lastRow="0" w:firstColumn="1" w:lastColumn="0" w:noHBand="0" w:noVBand="1"/>
            </w:tblPr>
            <w:tblGrid>
              <w:gridCol w:w="7239"/>
              <w:gridCol w:w="2040"/>
            </w:tblGrid>
            <w:tr w:rsidR="00FF3E7E" w:rsidRPr="00FF3E7E" w14:paraId="50E1FF19" w14:textId="77777777" w:rsidTr="00707F9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39" w:type="dxa"/>
                  <w:tcBorders>
                    <w:bottom w:val="single" w:sz="18" w:space="0" w:color="2A3652"/>
                  </w:tcBorders>
                  <w:shd w:val="clear" w:color="auto" w:fill="A9D6B9"/>
                  <w:noWrap/>
                </w:tcPr>
                <w:p w14:paraId="56459814" w14:textId="491F06D5" w:rsidR="00FF3E7E" w:rsidRPr="00FF3E7E" w:rsidRDefault="00FF3E7E" w:rsidP="00FF3E7E">
                  <w:pPr>
                    <w:pStyle w:val="TabellHode-kolonne"/>
                  </w:pPr>
                  <w:r w:rsidRPr="00FF3E7E">
                    <w:lastRenderedPageBreak/>
                    <w:t>Eksempel på inntjening for næringsdrivende fastlege med sykepleier, 1 000 listeinnbyggere. Sykepleiers aktivitet i tillegg til fastlegens opprinnelige aktivitet.</w:t>
                  </w:r>
                  <w:r w:rsidRPr="00FF3E7E">
                    <w:br/>
                    <w:t xml:space="preserve"> Med forhøyet basistilskudd.</w:t>
                  </w:r>
                </w:p>
              </w:tc>
              <w:tc>
                <w:tcPr>
                  <w:tcW w:w="2040" w:type="dxa"/>
                  <w:tcBorders>
                    <w:bottom w:val="single" w:sz="18" w:space="0" w:color="2A3652"/>
                  </w:tcBorders>
                  <w:shd w:val="clear" w:color="auto" w:fill="A9D6B9"/>
                  <w:noWrap/>
                </w:tcPr>
                <w:p w14:paraId="46E817B3" w14:textId="77777777" w:rsidR="00FF3E7E" w:rsidRPr="00FF3E7E" w:rsidRDefault="00FF3E7E" w:rsidP="00FF3E7E">
                  <w:pPr>
                    <w:pStyle w:val="TabellHode-kolonne"/>
                    <w:cnfStyle w:val="100000000000" w:firstRow="1" w:lastRow="0" w:firstColumn="0" w:lastColumn="0" w:oddVBand="0" w:evenVBand="0" w:oddHBand="0" w:evenHBand="0" w:firstRowFirstColumn="0" w:firstRowLastColumn="0" w:lastRowFirstColumn="0" w:lastRowLastColumn="0"/>
                  </w:pPr>
                </w:p>
              </w:tc>
            </w:tr>
            <w:tr w:rsidR="00FF3E7E" w:rsidRPr="00FF3E7E" w14:paraId="62D62B36"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tcBorders>
                    <w:top w:val="single" w:sz="18" w:space="0" w:color="2A3652"/>
                  </w:tcBorders>
                  <w:shd w:val="clear" w:color="auto" w:fill="FFFFFF" w:themeFill="background1"/>
                  <w:noWrap/>
                  <w:hideMark/>
                </w:tcPr>
                <w:p w14:paraId="09045075" w14:textId="77777777" w:rsidR="00FF3E7E" w:rsidRPr="00FF3E7E" w:rsidRDefault="00FF3E7E" w:rsidP="00FF3E7E">
                  <w:pPr>
                    <w:pStyle w:val="TabellHode-rad"/>
                  </w:pPr>
                  <w:r w:rsidRPr="00FF3E7E">
                    <w:t>Basisinntekt med sykepleier basistilskudd</w:t>
                  </w:r>
                </w:p>
              </w:tc>
              <w:tc>
                <w:tcPr>
                  <w:tcW w:w="2040" w:type="dxa"/>
                  <w:tcBorders>
                    <w:top w:val="single" w:sz="18" w:space="0" w:color="2A3652"/>
                  </w:tcBorders>
                  <w:shd w:val="clear" w:color="auto" w:fill="FFFFFF" w:themeFill="background1"/>
                  <w:noWrap/>
                  <w:hideMark/>
                </w:tcPr>
                <w:p w14:paraId="058F3AFA"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1 100 000</w:t>
                  </w:r>
                </w:p>
              </w:tc>
            </w:tr>
            <w:tr w:rsidR="00FF3E7E" w:rsidRPr="00FF3E7E" w14:paraId="76245ADA"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shd w:val="clear" w:color="auto" w:fill="FFFFFF" w:themeFill="background1"/>
                  <w:noWrap/>
                  <w:hideMark/>
                </w:tcPr>
                <w:p w14:paraId="4D449EC4" w14:textId="77777777" w:rsidR="00FF3E7E" w:rsidRPr="00FF3E7E" w:rsidRDefault="00FF3E7E" w:rsidP="00FF3E7E">
                  <w:pPr>
                    <w:pStyle w:val="TabellHode-rad"/>
                  </w:pPr>
                  <w:r w:rsidRPr="00FF3E7E">
                    <w:t>Aktivitetsinntekt fra lege</w:t>
                  </w:r>
                </w:p>
              </w:tc>
              <w:tc>
                <w:tcPr>
                  <w:tcW w:w="2040" w:type="dxa"/>
                  <w:shd w:val="clear" w:color="auto" w:fill="FFFFFF" w:themeFill="background1"/>
                  <w:noWrap/>
                  <w:hideMark/>
                </w:tcPr>
                <w:p w14:paraId="5C8BB179"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28C06866"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shd w:val="clear" w:color="auto" w:fill="FFFFFF" w:themeFill="background1"/>
                  <w:noWrap/>
                  <w:hideMark/>
                </w:tcPr>
                <w:p w14:paraId="6BBE4C9D" w14:textId="77777777" w:rsidR="00FF3E7E" w:rsidRPr="00FF3E7E" w:rsidRDefault="00FF3E7E" w:rsidP="00FF3E7E">
                  <w:pPr>
                    <w:pStyle w:val="TabellHode-rad"/>
                  </w:pPr>
                  <w:r w:rsidRPr="00FF3E7E">
                    <w:t>Aktivitetsinntekt fra sykepleier</w:t>
                  </w:r>
                </w:p>
              </w:tc>
              <w:tc>
                <w:tcPr>
                  <w:tcW w:w="2040" w:type="dxa"/>
                  <w:shd w:val="clear" w:color="auto" w:fill="FFFFFF" w:themeFill="background1"/>
                  <w:noWrap/>
                  <w:hideMark/>
                </w:tcPr>
                <w:p w14:paraId="7E8E00C4"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166 667</w:t>
                  </w:r>
                </w:p>
              </w:tc>
            </w:tr>
            <w:tr w:rsidR="00FF3E7E" w:rsidRPr="00FF3E7E" w14:paraId="693C5B00"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shd w:val="clear" w:color="auto" w:fill="FFFFFF" w:themeFill="background1"/>
                  <w:noWrap/>
                  <w:hideMark/>
                </w:tcPr>
                <w:p w14:paraId="7871DB01" w14:textId="77777777" w:rsidR="00FF3E7E" w:rsidRPr="00FF3E7E" w:rsidRDefault="00FF3E7E" w:rsidP="00FF3E7E">
                  <w:pPr>
                    <w:pStyle w:val="TabellHode-rad"/>
                  </w:pPr>
                  <w:r w:rsidRPr="00FF3E7E">
                    <w:t>- Sykepleierkostnad</w:t>
                  </w:r>
                </w:p>
              </w:tc>
              <w:tc>
                <w:tcPr>
                  <w:tcW w:w="2040" w:type="dxa"/>
                  <w:shd w:val="clear" w:color="auto" w:fill="FFFFFF" w:themeFill="background1"/>
                  <w:noWrap/>
                  <w:hideMark/>
                </w:tcPr>
                <w:p w14:paraId="42EBC048"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-271 739</w:t>
                  </w:r>
                </w:p>
              </w:tc>
            </w:tr>
            <w:tr w:rsidR="00FF3E7E" w:rsidRPr="00FF3E7E" w14:paraId="65E1CF3F"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shd w:val="clear" w:color="auto" w:fill="FFFFFF" w:themeFill="background1"/>
                  <w:noWrap/>
                  <w:hideMark/>
                </w:tcPr>
                <w:p w14:paraId="4B7C0ED4" w14:textId="77777777" w:rsidR="00FF3E7E" w:rsidRPr="00FF3E7E" w:rsidRDefault="00FF3E7E" w:rsidP="00FF3E7E">
                  <w:pPr>
                    <w:pStyle w:val="TabellHode-rad"/>
                  </w:pPr>
                  <w:r w:rsidRPr="00FF3E7E">
                    <w:t>Omsetning</w:t>
                  </w:r>
                </w:p>
              </w:tc>
              <w:tc>
                <w:tcPr>
                  <w:tcW w:w="2040" w:type="dxa"/>
                  <w:shd w:val="clear" w:color="auto" w:fill="FFFFFF" w:themeFill="background1"/>
                  <w:noWrap/>
                  <w:hideMark/>
                </w:tcPr>
                <w:p w14:paraId="7151B035"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1 994 928</w:t>
                  </w:r>
                </w:p>
              </w:tc>
            </w:tr>
            <w:tr w:rsidR="00FF3E7E" w:rsidRPr="00FF3E7E" w14:paraId="79B8E99C"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239" w:type="dxa"/>
                  <w:shd w:val="clear" w:color="auto" w:fill="FFFFFF" w:themeFill="background1"/>
                  <w:noWrap/>
                  <w:hideMark/>
                </w:tcPr>
                <w:p w14:paraId="22D8969B" w14:textId="77777777" w:rsidR="00FF3E7E" w:rsidRPr="00FF3E7E" w:rsidRDefault="00FF3E7E" w:rsidP="00FF3E7E">
                  <w:pPr>
                    <w:pStyle w:val="TabellHode-rad"/>
                  </w:pPr>
                  <w:r w:rsidRPr="00FF3E7E">
                    <w:t>Inntektsendring</w:t>
                  </w:r>
                </w:p>
              </w:tc>
              <w:tc>
                <w:tcPr>
                  <w:tcW w:w="2040" w:type="dxa"/>
                  <w:shd w:val="clear" w:color="auto" w:fill="FFFFFF" w:themeFill="background1"/>
                  <w:noWrap/>
                  <w:hideMark/>
                </w:tcPr>
                <w:p w14:paraId="6A166F4E"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-5 072</w:t>
                  </w:r>
                </w:p>
              </w:tc>
            </w:tr>
          </w:tbl>
          <w:p w14:paraId="4A80180E" w14:textId="77777777" w:rsidR="00FF3E7E" w:rsidRPr="00FF3E7E" w:rsidRDefault="00FF3E7E" w:rsidP="00FF3E7E">
            <w:r w:rsidRPr="00FF3E7E">
              <w:t>I dette eksempelet er listelengden uendret og fastlegen har opprettholdt sin aktivitet, slik at sykepleiers aktivitet, som fortsatt er 0,5 konsultasjoner per listeinnbygger per år, i sin helhet kommer i tillegg til fastlegens opprinnelige aktivitet. Også i dette eksempelet kommer legen ut med en inntektsnedgang.</w:t>
            </w:r>
          </w:p>
          <w:p w14:paraId="2F27B724" w14:textId="77777777" w:rsidR="00FF3E7E" w:rsidRPr="00FF3E7E" w:rsidRDefault="00FF3E7E" w:rsidP="00FF3E7E">
            <w:r w:rsidRPr="00FF3E7E">
              <w:t>Om sykepleieren skal yte tjenester i tillegg til de fastlegen allerede yter, vil fastlegen betale sykepleierkostnaden og få inntektene fra de profesjonsnøytrale takstene. I regneeksempelet er ekstra kostnad for fastlegen større enn ekstra inntekt til fastlegen, slik at fastlegen ikke har noen økonomisk oppmuntring til å engasjere sykepleieren i å yte tilleggstjenester.</w:t>
            </w:r>
          </w:p>
          <w:p w14:paraId="21A9A2B1" w14:textId="77777777" w:rsidR="00FF3E7E" w:rsidRPr="00FF3E7E" w:rsidRDefault="00FF3E7E" w:rsidP="00FF3E7E">
            <w:pPr>
              <w:pStyle w:val="avsnitt-undertittel"/>
            </w:pPr>
            <w:r w:rsidRPr="00FF3E7E">
              <w:t>Kostnader for det offentlige ved økt samlet aktivitet</w:t>
            </w:r>
          </w:p>
          <w:p w14:paraId="03D32623" w14:textId="77777777" w:rsidR="00FF3E7E" w:rsidRPr="00FF3E7E" w:rsidRDefault="00FF3E7E" w:rsidP="00FF3E7E">
            <w:r w:rsidRPr="00FF3E7E">
              <w:t>I de eksempelvise beregningene ovenfor er det lagt til grunn at hele sykepleierens aktivitet kommer i tillegg til legens opprinnelige aktivitet. Det betyr at samlet betaling for aktivitet (takstene) øker.</w:t>
            </w:r>
          </w:p>
          <w:p w14:paraId="566ACB47" w14:textId="77777777" w:rsidR="00FF3E7E" w:rsidRPr="00FF3E7E" w:rsidRDefault="00FF3E7E" w:rsidP="00FF3E7E">
            <w:r w:rsidRPr="00FF3E7E">
              <w:t>Gitt eksemplet uten forhøyet basistilskudd (vist i det første eksemplet), vil kostnadene for det offentlige kunne illustreres slik:</w:t>
            </w:r>
          </w:p>
          <w:tbl>
            <w:tblPr>
              <w:tblStyle w:val="0Ekspertutvalgettabellstil1"/>
              <w:tblW w:w="0" w:type="auto"/>
              <w:tblLook w:val="04A0" w:firstRow="1" w:lastRow="0" w:firstColumn="1" w:lastColumn="0" w:noHBand="0" w:noVBand="1"/>
            </w:tblPr>
            <w:tblGrid>
              <w:gridCol w:w="7329"/>
              <w:gridCol w:w="1837"/>
            </w:tblGrid>
            <w:tr w:rsidR="00FF3E7E" w:rsidRPr="00FF3E7E" w14:paraId="2C6B7051" w14:textId="77777777" w:rsidTr="00707F97">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7329" w:type="dxa"/>
                  <w:tcBorders>
                    <w:bottom w:val="single" w:sz="18" w:space="0" w:color="2A3652"/>
                  </w:tcBorders>
                  <w:shd w:val="clear" w:color="auto" w:fill="A9D6B9"/>
                  <w:noWrap/>
                  <w:hideMark/>
                </w:tcPr>
                <w:p w14:paraId="5A055655" w14:textId="77777777" w:rsidR="00FF3E7E" w:rsidRPr="00FF3E7E" w:rsidRDefault="00FF3E7E" w:rsidP="00FF3E7E">
                  <w:pPr>
                    <w:pStyle w:val="TabellHode-kolonne"/>
                  </w:pPr>
                  <w:r w:rsidRPr="00FF3E7E">
                    <w:t>Eksempel på kostnader for det offentlige for næringsdrivende fastlege med sykepleier, 1 000 listeinnbyggere. Sykepleiers aktivitet i tillegg til fastlegens opprinnelige aktivitet</w:t>
                  </w:r>
                </w:p>
                <w:p w14:paraId="19CDD82B" w14:textId="14241243" w:rsidR="00FF3E7E" w:rsidRPr="00FF3E7E" w:rsidRDefault="00FF3E7E" w:rsidP="00FF3E7E">
                  <w:pPr>
                    <w:pStyle w:val="TabellHode-kolonne"/>
                  </w:pPr>
                  <w:r w:rsidRPr="00FF3E7E">
                    <w:t>Uten forhøyet basistilskudd</w:t>
                  </w:r>
                </w:p>
              </w:tc>
              <w:tc>
                <w:tcPr>
                  <w:tcW w:w="1837" w:type="dxa"/>
                  <w:tcBorders>
                    <w:bottom w:val="single" w:sz="18" w:space="0" w:color="2A3652"/>
                  </w:tcBorders>
                  <w:shd w:val="clear" w:color="auto" w:fill="A9D6B9"/>
                  <w:noWrap/>
                  <w:hideMark/>
                </w:tcPr>
                <w:p w14:paraId="08EAA292" w14:textId="77777777" w:rsidR="00FF3E7E" w:rsidRPr="00FF3E7E" w:rsidRDefault="00FF3E7E" w:rsidP="00FF3E7E">
                  <w:pPr>
                    <w:pStyle w:val="TabellHode-kolonne"/>
                    <w:cnfStyle w:val="100000000000" w:firstRow="1" w:lastRow="0" w:firstColumn="0" w:lastColumn="0" w:oddVBand="0" w:evenVBand="0" w:oddHBand="0" w:evenHBand="0" w:firstRowFirstColumn="0" w:firstRowLastColumn="0" w:lastRowFirstColumn="0" w:lastRowLastColumn="0"/>
                  </w:pPr>
                </w:p>
              </w:tc>
            </w:tr>
            <w:tr w:rsidR="00FF3E7E" w:rsidRPr="00FF3E7E" w14:paraId="3891090C"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tcBorders>
                    <w:top w:val="single" w:sz="18" w:space="0" w:color="2A3652"/>
                  </w:tcBorders>
                  <w:shd w:val="clear" w:color="auto" w:fill="FFFFFF" w:themeFill="background1"/>
                  <w:noWrap/>
                  <w:hideMark/>
                </w:tcPr>
                <w:p w14:paraId="30C08C86" w14:textId="77777777" w:rsidR="00FF3E7E" w:rsidRPr="00FF3E7E" w:rsidRDefault="00FF3E7E" w:rsidP="00FF3E7E">
                  <w:pPr>
                    <w:pStyle w:val="TabellHode-rad"/>
                  </w:pPr>
                  <w:r w:rsidRPr="00FF3E7E">
                    <w:t>Basistilskudd, uten sykepleiertilskudd</w:t>
                  </w:r>
                </w:p>
              </w:tc>
              <w:tc>
                <w:tcPr>
                  <w:tcW w:w="1837" w:type="dxa"/>
                  <w:tcBorders>
                    <w:top w:val="single" w:sz="18" w:space="0" w:color="2A3652"/>
                  </w:tcBorders>
                  <w:shd w:val="clear" w:color="auto" w:fill="FFFFFF" w:themeFill="background1"/>
                  <w:noWrap/>
                  <w:hideMark/>
                </w:tcPr>
                <w:p w14:paraId="65DBB3E3"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70A216D7"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2F14D552" w14:textId="77777777" w:rsidR="00FF3E7E" w:rsidRPr="00FF3E7E" w:rsidRDefault="00FF3E7E" w:rsidP="00FF3E7E">
                  <w:pPr>
                    <w:pStyle w:val="TabellHode-rad"/>
                  </w:pPr>
                  <w:r w:rsidRPr="00FF3E7E">
                    <w:t>Takstkostnader lege</w:t>
                  </w:r>
                </w:p>
              </w:tc>
              <w:tc>
                <w:tcPr>
                  <w:tcW w:w="1837" w:type="dxa"/>
                  <w:shd w:val="clear" w:color="auto" w:fill="FFFFFF" w:themeFill="background1"/>
                  <w:noWrap/>
                  <w:hideMark/>
                </w:tcPr>
                <w:p w14:paraId="4D487AF6"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0B78D68B"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15533064" w14:textId="77777777" w:rsidR="00FF3E7E" w:rsidRPr="00FF3E7E" w:rsidRDefault="00FF3E7E" w:rsidP="00FF3E7E">
                  <w:pPr>
                    <w:pStyle w:val="TabellHode-rad"/>
                  </w:pPr>
                  <w:r w:rsidRPr="00FF3E7E">
                    <w:t>Takstkostnader sykepleier</w:t>
                  </w:r>
                </w:p>
              </w:tc>
              <w:tc>
                <w:tcPr>
                  <w:tcW w:w="1837" w:type="dxa"/>
                  <w:shd w:val="clear" w:color="auto" w:fill="FFFFFF" w:themeFill="background1"/>
                  <w:noWrap/>
                  <w:hideMark/>
                </w:tcPr>
                <w:p w14:paraId="33743097"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166 667</w:t>
                  </w:r>
                </w:p>
              </w:tc>
            </w:tr>
            <w:tr w:rsidR="00FF3E7E" w:rsidRPr="00FF3E7E" w14:paraId="586A9A88"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35CB4320" w14:textId="77777777" w:rsidR="00FF3E7E" w:rsidRPr="00FF3E7E" w:rsidRDefault="00FF3E7E" w:rsidP="00FF3E7E">
                  <w:pPr>
                    <w:pStyle w:val="TabellHode-rad"/>
                  </w:pPr>
                  <w:r w:rsidRPr="00FF3E7E">
                    <w:t>Kostnad for det offentlige (og pasientene)</w:t>
                  </w:r>
                </w:p>
              </w:tc>
              <w:tc>
                <w:tcPr>
                  <w:tcW w:w="1837" w:type="dxa"/>
                  <w:shd w:val="clear" w:color="auto" w:fill="FFFFFF" w:themeFill="background1"/>
                  <w:noWrap/>
                  <w:hideMark/>
                </w:tcPr>
                <w:p w14:paraId="51DAF80B"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2 166 667</w:t>
                  </w:r>
                </w:p>
              </w:tc>
            </w:tr>
            <w:tr w:rsidR="00FF3E7E" w:rsidRPr="00FF3E7E" w14:paraId="7AFEAA13"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0CB739C3" w14:textId="77777777" w:rsidR="00FF3E7E" w:rsidRPr="00FF3E7E" w:rsidRDefault="00FF3E7E" w:rsidP="00FF3E7E">
                  <w:pPr>
                    <w:pStyle w:val="TabellHode-rad"/>
                  </w:pPr>
                  <w:r w:rsidRPr="00FF3E7E">
                    <w:t>Opprinnelig kostnad for det offentlige</w:t>
                  </w:r>
                </w:p>
              </w:tc>
              <w:tc>
                <w:tcPr>
                  <w:tcW w:w="1837" w:type="dxa"/>
                  <w:shd w:val="clear" w:color="auto" w:fill="FFFFFF" w:themeFill="background1"/>
                  <w:noWrap/>
                  <w:hideMark/>
                </w:tcPr>
                <w:p w14:paraId="6C2FA5F5"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2 000 000</w:t>
                  </w:r>
                </w:p>
              </w:tc>
            </w:tr>
            <w:tr w:rsidR="00FF3E7E" w:rsidRPr="00FF3E7E" w14:paraId="22B5A194"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16CFA7B2" w14:textId="77777777" w:rsidR="00FF3E7E" w:rsidRPr="00FF3E7E" w:rsidRDefault="00FF3E7E" w:rsidP="00FF3E7E">
                  <w:pPr>
                    <w:pStyle w:val="TabellHode-rad"/>
                  </w:pPr>
                  <w:r w:rsidRPr="00FF3E7E">
                    <w:t>Merkostnad for det offentlige (1000 listeinnbyggere)</w:t>
                  </w:r>
                </w:p>
              </w:tc>
              <w:tc>
                <w:tcPr>
                  <w:tcW w:w="1837" w:type="dxa"/>
                  <w:shd w:val="clear" w:color="auto" w:fill="FFFFFF" w:themeFill="background1"/>
                  <w:noWrap/>
                  <w:hideMark/>
                </w:tcPr>
                <w:p w14:paraId="376116D4"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166 667</w:t>
                  </w:r>
                </w:p>
              </w:tc>
            </w:tr>
            <w:tr w:rsidR="00FF3E7E" w:rsidRPr="00FF3E7E" w14:paraId="428D20A7" w14:textId="77777777" w:rsidTr="00707F97">
              <w:trPr>
                <w:trHeight w:val="359"/>
              </w:trPr>
              <w:tc>
                <w:tcPr>
                  <w:cnfStyle w:val="001000000000" w:firstRow="0" w:lastRow="0" w:firstColumn="1" w:lastColumn="0" w:oddVBand="0" w:evenVBand="0" w:oddHBand="0" w:evenHBand="0" w:firstRowFirstColumn="0" w:firstRowLastColumn="0" w:lastRowFirstColumn="0" w:lastRowLastColumn="0"/>
                  <w:tcW w:w="7329" w:type="dxa"/>
                  <w:shd w:val="clear" w:color="auto" w:fill="FFFFFF" w:themeFill="background1"/>
                  <w:noWrap/>
                  <w:hideMark/>
                </w:tcPr>
                <w:p w14:paraId="2D046716" w14:textId="77777777" w:rsidR="00FF3E7E" w:rsidRPr="00FF3E7E" w:rsidRDefault="00FF3E7E" w:rsidP="00FF3E7E">
                  <w:pPr>
                    <w:pStyle w:val="TabellHode-rad"/>
                  </w:pPr>
                  <w:r w:rsidRPr="00FF3E7E">
                    <w:lastRenderedPageBreak/>
                    <w:t>Merkostnad for det offentlige per listeinnbygger</w:t>
                  </w:r>
                </w:p>
              </w:tc>
              <w:tc>
                <w:tcPr>
                  <w:tcW w:w="1837" w:type="dxa"/>
                  <w:shd w:val="clear" w:color="auto" w:fill="FFFFFF" w:themeFill="background1"/>
                  <w:noWrap/>
                  <w:hideMark/>
                </w:tcPr>
                <w:p w14:paraId="1CF372F0" w14:textId="393EA3B0"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166,67</w:t>
                  </w:r>
                </w:p>
              </w:tc>
            </w:tr>
          </w:tbl>
          <w:p w14:paraId="67B376DB" w14:textId="2E37C46F" w:rsidR="00FF3E7E" w:rsidRPr="00FF3E7E" w:rsidRDefault="00FF3E7E" w:rsidP="00FF3E7E">
            <w:r w:rsidRPr="00FF3E7E">
              <w:t>Listelengden er 1 000. Kostnaden for det offentlige før annet personell ble ansatt hos legen var 2 mill. kroner. Merkostnaden for det offentlige blir 167 kroner per listeinnbygger per år, som følge av at listeinnbyggerne får mer tjenester fra det aktuelle fastlegekontoret. Noe av merkostnadene dekkes gjennom egenandeler som pasientene betaler.</w:t>
            </w:r>
          </w:p>
          <w:p w14:paraId="37992E87" w14:textId="77777777" w:rsidR="00FF3E7E" w:rsidRPr="00FF3E7E" w:rsidRDefault="00FF3E7E" w:rsidP="00FF3E7E">
            <w:r w:rsidRPr="00FF3E7E">
              <w:t>Gitt eksempelet med ekstra basistilskudd på 100 kroner per listeinnbygger, blir kostnadene som følger:</w:t>
            </w:r>
          </w:p>
          <w:tbl>
            <w:tblPr>
              <w:tblStyle w:val="0Ekspertutvalgettabellstil1"/>
              <w:tblW w:w="0" w:type="auto"/>
              <w:tblLook w:val="04A0" w:firstRow="1" w:lastRow="0" w:firstColumn="1" w:lastColumn="0" w:noHBand="0" w:noVBand="1"/>
            </w:tblPr>
            <w:tblGrid>
              <w:gridCol w:w="6416"/>
              <w:gridCol w:w="2750"/>
            </w:tblGrid>
            <w:tr w:rsidR="00FF3E7E" w:rsidRPr="00FF3E7E" w14:paraId="14D27059" w14:textId="77777777" w:rsidTr="00707F97">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6416" w:type="dxa"/>
                  <w:tcBorders>
                    <w:bottom w:val="single" w:sz="18" w:space="0" w:color="2A3652"/>
                  </w:tcBorders>
                  <w:shd w:val="clear" w:color="auto" w:fill="A9D6B9"/>
                  <w:noWrap/>
                  <w:hideMark/>
                </w:tcPr>
                <w:p w14:paraId="0A9ABF7F" w14:textId="77777777" w:rsidR="00FF3E7E" w:rsidRPr="00FF3E7E" w:rsidRDefault="00FF3E7E" w:rsidP="00FF3E7E">
                  <w:pPr>
                    <w:pStyle w:val="TabellHode-kolonne"/>
                  </w:pPr>
                  <w:r w:rsidRPr="00FF3E7E">
                    <w:t xml:space="preserve">Eksempel på kostnader for det offentlige for næringsdrivende fastlege med sykepleier, 1 000 listeinnbyggere. Sykepleiers aktivitet i tillegg til fastlegens opprinnelige aktivitet. </w:t>
                  </w:r>
                </w:p>
                <w:p w14:paraId="54AA2345" w14:textId="038EF0E3" w:rsidR="00FF3E7E" w:rsidRPr="00FF3E7E" w:rsidRDefault="00FF3E7E" w:rsidP="00FF3E7E">
                  <w:pPr>
                    <w:pStyle w:val="TabellHode-kolonne"/>
                  </w:pPr>
                  <w:r w:rsidRPr="00FF3E7E">
                    <w:t>Med forhøyet basistilskudd.</w:t>
                  </w:r>
                </w:p>
              </w:tc>
              <w:tc>
                <w:tcPr>
                  <w:tcW w:w="2750" w:type="dxa"/>
                  <w:tcBorders>
                    <w:bottom w:val="single" w:sz="18" w:space="0" w:color="2A3652"/>
                  </w:tcBorders>
                  <w:shd w:val="clear" w:color="auto" w:fill="A9D6B9"/>
                  <w:noWrap/>
                  <w:hideMark/>
                </w:tcPr>
                <w:p w14:paraId="1E17DEFE" w14:textId="77777777" w:rsidR="00FF3E7E" w:rsidRPr="00FF3E7E" w:rsidRDefault="00FF3E7E" w:rsidP="00FF3E7E">
                  <w:pPr>
                    <w:pStyle w:val="TabellHode-kolonne"/>
                    <w:cnfStyle w:val="100000000000" w:firstRow="1" w:lastRow="0" w:firstColumn="0" w:lastColumn="0" w:oddVBand="0" w:evenVBand="0" w:oddHBand="0" w:evenHBand="0" w:firstRowFirstColumn="0" w:firstRowLastColumn="0" w:lastRowFirstColumn="0" w:lastRowLastColumn="0"/>
                  </w:pPr>
                </w:p>
              </w:tc>
            </w:tr>
            <w:tr w:rsidR="00FF3E7E" w:rsidRPr="00FF3E7E" w14:paraId="6C62DE31"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tcBorders>
                    <w:top w:val="single" w:sz="18" w:space="0" w:color="2A3652"/>
                  </w:tcBorders>
                  <w:shd w:val="clear" w:color="auto" w:fill="FFFFFF" w:themeFill="background1"/>
                  <w:noWrap/>
                  <w:hideMark/>
                </w:tcPr>
                <w:p w14:paraId="682CB10A" w14:textId="77777777" w:rsidR="00FF3E7E" w:rsidRPr="00FF3E7E" w:rsidRDefault="00FF3E7E" w:rsidP="00FF3E7E">
                  <w:pPr>
                    <w:pStyle w:val="TabellHode-rad"/>
                  </w:pPr>
                  <w:r w:rsidRPr="00FF3E7E">
                    <w:t>Basistilskudd, med sykepleiertilskudd</w:t>
                  </w:r>
                </w:p>
              </w:tc>
              <w:tc>
                <w:tcPr>
                  <w:tcW w:w="2750" w:type="dxa"/>
                  <w:tcBorders>
                    <w:top w:val="single" w:sz="18" w:space="0" w:color="2A3652"/>
                  </w:tcBorders>
                  <w:shd w:val="clear" w:color="auto" w:fill="FFFFFF" w:themeFill="background1"/>
                  <w:noWrap/>
                  <w:hideMark/>
                </w:tcPr>
                <w:p w14:paraId="1590BB01"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1 100 000</w:t>
                  </w:r>
                </w:p>
              </w:tc>
            </w:tr>
            <w:tr w:rsidR="00FF3E7E" w:rsidRPr="00FF3E7E" w14:paraId="6A304975"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27F2ECEC" w14:textId="77777777" w:rsidR="00FF3E7E" w:rsidRPr="00FF3E7E" w:rsidRDefault="00FF3E7E" w:rsidP="00FF3E7E">
                  <w:pPr>
                    <w:pStyle w:val="TabellHode-rad"/>
                  </w:pPr>
                  <w:r w:rsidRPr="00FF3E7E">
                    <w:t>Takstkostnader lege</w:t>
                  </w:r>
                </w:p>
              </w:tc>
              <w:tc>
                <w:tcPr>
                  <w:tcW w:w="2750" w:type="dxa"/>
                  <w:shd w:val="clear" w:color="auto" w:fill="FFFFFF" w:themeFill="background1"/>
                  <w:noWrap/>
                  <w:hideMark/>
                </w:tcPr>
                <w:p w14:paraId="2D77DB99"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1 000 000</w:t>
                  </w:r>
                </w:p>
              </w:tc>
            </w:tr>
            <w:tr w:rsidR="00FF3E7E" w:rsidRPr="00FF3E7E" w14:paraId="3D1518A2"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597EF547" w14:textId="77777777" w:rsidR="00FF3E7E" w:rsidRPr="00FF3E7E" w:rsidRDefault="00FF3E7E" w:rsidP="00FF3E7E">
                  <w:pPr>
                    <w:pStyle w:val="TabellHode-rad"/>
                  </w:pPr>
                  <w:r w:rsidRPr="00FF3E7E">
                    <w:t>Takstkostnader sykepleier</w:t>
                  </w:r>
                </w:p>
              </w:tc>
              <w:tc>
                <w:tcPr>
                  <w:tcW w:w="2750" w:type="dxa"/>
                  <w:shd w:val="clear" w:color="auto" w:fill="FFFFFF" w:themeFill="background1"/>
                  <w:noWrap/>
                  <w:hideMark/>
                </w:tcPr>
                <w:p w14:paraId="76949495"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166 667</w:t>
                  </w:r>
                </w:p>
              </w:tc>
            </w:tr>
            <w:tr w:rsidR="00FF3E7E" w:rsidRPr="00FF3E7E" w14:paraId="081FC81E"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6D5EC61B" w14:textId="77777777" w:rsidR="00FF3E7E" w:rsidRPr="00FF3E7E" w:rsidRDefault="00FF3E7E" w:rsidP="00FF3E7E">
                  <w:pPr>
                    <w:pStyle w:val="TabellHode-rad"/>
                  </w:pPr>
                  <w:r w:rsidRPr="00FF3E7E">
                    <w:t>Kostnad for det offentlige (og pasientene)</w:t>
                  </w:r>
                </w:p>
              </w:tc>
              <w:tc>
                <w:tcPr>
                  <w:tcW w:w="2750" w:type="dxa"/>
                  <w:shd w:val="clear" w:color="auto" w:fill="FFFFFF" w:themeFill="background1"/>
                  <w:noWrap/>
                  <w:hideMark/>
                </w:tcPr>
                <w:p w14:paraId="67E2F00B"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2 266 667</w:t>
                  </w:r>
                </w:p>
              </w:tc>
            </w:tr>
            <w:tr w:rsidR="00FF3E7E" w:rsidRPr="00FF3E7E" w14:paraId="62225C79"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464CCC83" w14:textId="77777777" w:rsidR="00FF3E7E" w:rsidRPr="00FF3E7E" w:rsidRDefault="00FF3E7E" w:rsidP="00FF3E7E">
                  <w:pPr>
                    <w:pStyle w:val="TabellHode-rad"/>
                  </w:pPr>
                  <w:r w:rsidRPr="00FF3E7E">
                    <w:t>Opprinnelig kostnad for det offentlige</w:t>
                  </w:r>
                </w:p>
              </w:tc>
              <w:tc>
                <w:tcPr>
                  <w:tcW w:w="2750" w:type="dxa"/>
                  <w:shd w:val="clear" w:color="auto" w:fill="FFFFFF" w:themeFill="background1"/>
                  <w:noWrap/>
                  <w:hideMark/>
                </w:tcPr>
                <w:p w14:paraId="0B4E9E7A"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2 000 000</w:t>
                  </w:r>
                </w:p>
              </w:tc>
            </w:tr>
            <w:tr w:rsidR="00FF3E7E" w:rsidRPr="00FF3E7E" w14:paraId="5E3A4630"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5B4289F6" w14:textId="77777777" w:rsidR="00FF3E7E" w:rsidRPr="00FF3E7E" w:rsidRDefault="00FF3E7E" w:rsidP="00FF3E7E">
                  <w:pPr>
                    <w:pStyle w:val="TabellHode-rad"/>
                  </w:pPr>
                  <w:r w:rsidRPr="00FF3E7E">
                    <w:t>Merkostnad for det offentlige (1000 listeinnbyggere)</w:t>
                  </w:r>
                </w:p>
              </w:tc>
              <w:tc>
                <w:tcPr>
                  <w:tcW w:w="2750" w:type="dxa"/>
                  <w:shd w:val="clear" w:color="auto" w:fill="FFFFFF" w:themeFill="background1"/>
                  <w:noWrap/>
                  <w:hideMark/>
                </w:tcPr>
                <w:p w14:paraId="22B393D0" w14:textId="77777777"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266 667</w:t>
                  </w:r>
                </w:p>
              </w:tc>
            </w:tr>
            <w:tr w:rsidR="00FF3E7E" w:rsidRPr="00FF3E7E" w14:paraId="6CDF0A46"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6416" w:type="dxa"/>
                  <w:shd w:val="clear" w:color="auto" w:fill="FFFFFF" w:themeFill="background1"/>
                  <w:noWrap/>
                  <w:hideMark/>
                </w:tcPr>
                <w:p w14:paraId="7CA37F0B" w14:textId="77777777" w:rsidR="00FF3E7E" w:rsidRPr="00FF3E7E" w:rsidRDefault="00FF3E7E" w:rsidP="00FF3E7E">
                  <w:pPr>
                    <w:pStyle w:val="TabellHode-rad"/>
                  </w:pPr>
                  <w:r w:rsidRPr="00FF3E7E">
                    <w:t>Merkostnad for det offentlige per listeinnbygger</w:t>
                  </w:r>
                </w:p>
              </w:tc>
              <w:tc>
                <w:tcPr>
                  <w:tcW w:w="2750" w:type="dxa"/>
                  <w:shd w:val="clear" w:color="auto" w:fill="FFFFFF" w:themeFill="background1"/>
                  <w:noWrap/>
                  <w:hideMark/>
                </w:tcPr>
                <w:p w14:paraId="274DC082" w14:textId="3D1DBF3F" w:rsidR="00FF3E7E" w:rsidRPr="00FF3E7E" w:rsidRDefault="00FF3E7E" w:rsidP="00FF3E7E">
                  <w:pPr>
                    <w:jc w:val="right"/>
                    <w:cnfStyle w:val="000000000000" w:firstRow="0" w:lastRow="0" w:firstColumn="0" w:lastColumn="0" w:oddVBand="0" w:evenVBand="0" w:oddHBand="0" w:evenHBand="0" w:firstRowFirstColumn="0" w:firstRowLastColumn="0" w:lastRowFirstColumn="0" w:lastRowLastColumn="0"/>
                  </w:pPr>
                  <w:r w:rsidRPr="00FF3E7E">
                    <w:t>266,67</w:t>
                  </w:r>
                </w:p>
              </w:tc>
            </w:tr>
          </w:tbl>
          <w:p w14:paraId="011105E6" w14:textId="5C83AEE2" w:rsidR="00FF3E7E" w:rsidRPr="00FF3E7E" w:rsidRDefault="00FF3E7E" w:rsidP="00FF3E7E">
            <w:r w:rsidRPr="00FF3E7E">
              <w:t>Merkostnaden har økt til 267 kroner per listeinnbygger, som følge av at det i tillegg til aktivitetsvekst, er lagt inn et økt basistilskudd.</w:t>
            </w:r>
          </w:p>
        </w:tc>
      </w:tr>
    </w:tbl>
    <w:p w14:paraId="62BE4676" w14:textId="161D2F86" w:rsidR="00994BE9" w:rsidRDefault="00994BE9" w:rsidP="00775632">
      <w:pPr>
        <w:pStyle w:val="Overskrift4"/>
      </w:pPr>
      <w:bookmarkStart w:id="3572" w:name="_Toc131238505"/>
      <w:bookmarkStart w:id="3573" w:name="_Toc131279536"/>
      <w:bookmarkStart w:id="3574" w:name="_Toc131286948"/>
      <w:bookmarkStart w:id="3575" w:name="_Toc131281358"/>
      <w:bookmarkStart w:id="3576" w:name="_Toc131317898"/>
      <w:r>
        <w:lastRenderedPageBreak/>
        <w:t>Andre momenter om kostnader</w:t>
      </w:r>
      <w:bookmarkEnd w:id="3572"/>
      <w:bookmarkEnd w:id="3573"/>
      <w:bookmarkEnd w:id="3574"/>
      <w:bookmarkEnd w:id="3575"/>
      <w:bookmarkEnd w:id="3576"/>
    </w:p>
    <w:p w14:paraId="0512F51B" w14:textId="23C3E0FC" w:rsidR="000445E7" w:rsidRDefault="006B1DFC" w:rsidP="00BE203D">
      <w:pPr>
        <w:jc w:val="both"/>
      </w:pPr>
      <w:r>
        <w:t xml:space="preserve">Hvis det skal gis et tilskudd for sykepleier, må det </w:t>
      </w:r>
      <w:r w:rsidR="003518C8">
        <w:t>gjøres nærmere vurderinger når det gjelder eventuell størrelse og utforming av tilskudd</w:t>
      </w:r>
      <w:r w:rsidR="00F12D33">
        <w:t>et</w:t>
      </w:r>
      <w:r w:rsidR="003518C8">
        <w:t xml:space="preserve">. </w:t>
      </w:r>
      <w:r w:rsidR="00F50F08">
        <w:t>V</w:t>
      </w:r>
      <w:r w:rsidR="003518C8">
        <w:t>i har tidligere begrunnet at aktivitet som annet personell utfører</w:t>
      </w:r>
      <w:r w:rsidR="00D62FDC">
        <w:t>,</w:t>
      </w:r>
      <w:r w:rsidR="003518C8">
        <w:t xml:space="preserve"> som kommer til erstatning for legens aktivitet, ikke bør utløse </w:t>
      </w:r>
      <w:r w:rsidR="00494F6D">
        <w:t>ekstra tilskudd for personellet.</w:t>
      </w:r>
      <w:r w:rsidR="00107440">
        <w:t xml:space="preserve"> </w:t>
      </w:r>
      <w:r w:rsidR="00AD35CA">
        <w:t>Som beskrevet ovenfor</w:t>
      </w:r>
      <w:r w:rsidR="001359C4">
        <w:t>,</w:t>
      </w:r>
      <w:r w:rsidR="00AD35CA">
        <w:t xml:space="preserve"> kan det vurdere</w:t>
      </w:r>
      <w:r w:rsidR="004717BE">
        <w:t>s</w:t>
      </w:r>
      <w:r w:rsidR="00AD35CA">
        <w:t xml:space="preserve"> om </w:t>
      </w:r>
      <w:r w:rsidR="00494F6D">
        <w:t xml:space="preserve">aktivitet som kommer i tillegg til </w:t>
      </w:r>
      <w:r w:rsidR="00847B2D">
        <w:t xml:space="preserve">legens aktivitet, </w:t>
      </w:r>
      <w:r w:rsidR="00DD5456">
        <w:t>bør understøttes med finansiering ut over takstinntektene</w:t>
      </w:r>
      <w:r w:rsidR="007B5D22">
        <w:t>, i form av et tilskudd.</w:t>
      </w:r>
      <w:r w:rsidR="008C3983">
        <w:t xml:space="preserve"> Imidlertid vil de</w:t>
      </w:r>
      <w:r w:rsidR="00494F6D">
        <w:t xml:space="preserve">t være vanskelig å vurdere hvor stor andel </w:t>
      </w:r>
      <w:r w:rsidR="00DD5456">
        <w:t>av aktiviteten til annet personell som vil komme i tillegg til</w:t>
      </w:r>
      <w:r w:rsidR="00D62FDC">
        <w:t xml:space="preserve"> legens</w:t>
      </w:r>
      <w:r w:rsidR="00DD5456">
        <w:t>.</w:t>
      </w:r>
      <w:r w:rsidR="00847B2D">
        <w:t xml:space="preserve"> </w:t>
      </w:r>
      <w:r w:rsidR="007075DA">
        <w:t xml:space="preserve">Dersom det innføres en ordning med tilskudd til fastlegevirksomheter som ansetter annet personell, vil det være svært vanskelig å skille mellom hvorvidt annet personell avlaster fastlegen, eller kommer i tillegg til fastlegen. Det vil derfor være vanskelig å si at legevirksomheter der annet personell </w:t>
      </w:r>
      <w:r w:rsidR="007075DA" w:rsidRPr="00D9107F">
        <w:rPr>
          <w:rStyle w:val="kursiv"/>
        </w:rPr>
        <w:t>avlaster</w:t>
      </w:r>
      <w:r w:rsidR="007075DA">
        <w:t xml:space="preserve"> fastlegene, ikke skal få tilskudd. </w:t>
      </w:r>
      <w:r w:rsidR="00E769C4">
        <w:t xml:space="preserve">Hvis det skal innføres en ordning med tilskudd, </w:t>
      </w:r>
      <w:r w:rsidR="002500D4">
        <w:t xml:space="preserve">må det </w:t>
      </w:r>
      <w:r w:rsidR="00DD5456">
        <w:t xml:space="preserve">også vurderes hvordan et eventuelt tilskudd skal utmåles. </w:t>
      </w:r>
      <w:r w:rsidR="00494F6D">
        <w:t xml:space="preserve">Innenfor forsøket med PHT, gis tilskudd for sykepleier som et fast kronebeløp per årsverk. </w:t>
      </w:r>
      <w:r w:rsidR="000445E7">
        <w:t>Det kan imid</w:t>
      </w:r>
      <w:r w:rsidR="005F68F9">
        <w:t>lertid</w:t>
      </w:r>
      <w:r w:rsidR="000445E7">
        <w:t xml:space="preserve"> </w:t>
      </w:r>
      <w:r w:rsidR="00526B4C">
        <w:t>gi</w:t>
      </w:r>
      <w:r w:rsidR="000445E7">
        <w:t xml:space="preserve"> bedre insentiver å knytte beløpet til </w:t>
      </w:r>
      <w:r w:rsidR="00DD5456">
        <w:t xml:space="preserve">antall </w:t>
      </w:r>
      <w:r w:rsidR="00DD5456">
        <w:lastRenderedPageBreak/>
        <w:t>innbyggere på list</w:t>
      </w:r>
      <w:r w:rsidR="00506047">
        <w:t xml:space="preserve">en eller listene i en </w:t>
      </w:r>
      <w:r w:rsidR="00D93F13">
        <w:t>fast</w:t>
      </w:r>
      <w:r w:rsidR="00506047">
        <w:t xml:space="preserve">legevirksomhet. Å legge det inn i basistilskuddet per innbygger – slik som i eksempelet ovenfor – vil </w:t>
      </w:r>
      <w:r w:rsidR="000445E7">
        <w:t>gi insentiv til å øke listelengden.</w:t>
      </w:r>
      <w:r w:rsidR="00C5187A">
        <w:t xml:space="preserve"> Basistilskudd vil </w:t>
      </w:r>
      <w:r w:rsidR="00E9390B">
        <w:t>imidlertid</w:t>
      </w:r>
      <w:r w:rsidR="00C5187A">
        <w:t xml:space="preserve"> ikke oppmuntre </w:t>
      </w:r>
      <w:r w:rsidR="00FD77B7">
        <w:t>til å yte tjenester som kommer i tillegg til fastlegens.</w:t>
      </w:r>
    </w:p>
    <w:p w14:paraId="7AD7A651" w14:textId="3422E6B7" w:rsidR="000445E7" w:rsidRDefault="00053C7D" w:rsidP="00BE203D">
      <w:pPr>
        <w:jc w:val="both"/>
      </w:pPr>
      <w:r>
        <w:t xml:space="preserve">På den annen side </w:t>
      </w:r>
      <w:r w:rsidR="00506047">
        <w:t>bør det være</w:t>
      </w:r>
      <w:r>
        <w:t xml:space="preserve"> insentiv til å øke omfanget av annet personell. I eksempelet ovenfor utløses et ekstra basistilskudd for alle innbyggerne på list</w:t>
      </w:r>
      <w:r w:rsidR="003E62D0">
        <w:t>en</w:t>
      </w:r>
      <w:r>
        <w:t xml:space="preserve">/listene. Man </w:t>
      </w:r>
      <w:r w:rsidR="00D71457">
        <w:t xml:space="preserve">bør da ha mekanismer og insentiver som gjør at et legekontor </w:t>
      </w:r>
      <w:r w:rsidR="00C76F05">
        <w:t xml:space="preserve">bare </w:t>
      </w:r>
      <w:r w:rsidR="00D71457">
        <w:t>velger å øke omfanget av annet personell til et</w:t>
      </w:r>
      <w:r w:rsidR="007976E1">
        <w:t xml:space="preserve"> nivå der nytten for samfunnet forblir høyere enn kostnadene.</w:t>
      </w:r>
    </w:p>
    <w:p w14:paraId="020E6257" w14:textId="77777777" w:rsidR="00C952B5" w:rsidRDefault="00DB0BF6" w:rsidP="00DB0BF6">
      <w:pPr>
        <w:jc w:val="both"/>
      </w:pPr>
      <w:r>
        <w:t xml:space="preserve">En mulig merkostnad for det offentlige kan være for annet personell som arbeider i fastlegekontor allerede i dag. Dersom disse utløser ny finansiering (i form av takster og eventuelt tilskudd), vil kostnadene for det offentlige øke, uten at aktiviteten øker. Dette vil i tilfelle innebære en inntektsoverføring til fastlegekontor, </w:t>
      </w:r>
      <w:r w:rsidR="001D03F8">
        <w:t>uten at</w:t>
      </w:r>
      <w:r w:rsidR="00CE7AC4">
        <w:t xml:space="preserve"> legen </w:t>
      </w:r>
      <w:r w:rsidR="000A6022">
        <w:t xml:space="preserve">får mindre arbeidsbyrde </w:t>
      </w:r>
      <w:r w:rsidR="00CE7AC4">
        <w:t>og uten at</w:t>
      </w:r>
      <w:r w:rsidR="001D03F8">
        <w:t xml:space="preserve"> legekontoret har økt sin aktivitet</w:t>
      </w:r>
      <w:r>
        <w:t>.</w:t>
      </w:r>
    </w:p>
    <w:p w14:paraId="2E6D6C7F" w14:textId="48521704" w:rsidR="00D9107F" w:rsidRDefault="001E6B83" w:rsidP="00DB0BF6">
      <w:pPr>
        <w:jc w:val="both"/>
      </w:pPr>
      <w:r w:rsidRPr="001E6B83">
        <w:t xml:space="preserve">Det kan for eksempel gjelde for helsesekretær som allerede er ansatt på legekontoret. </w:t>
      </w:r>
      <w:r w:rsidR="003D1D6B">
        <w:t xml:space="preserve">Dersom </w:t>
      </w:r>
      <w:r w:rsidRPr="001E6B83">
        <w:t xml:space="preserve">helsesekretæren yter 0,5 konsultasjoner til hver av </w:t>
      </w:r>
      <w:r w:rsidR="00E41B14">
        <w:t xml:space="preserve">de </w:t>
      </w:r>
      <w:r w:rsidR="00D9107F" w:rsidRPr="001E6B83">
        <w:t>1</w:t>
      </w:r>
      <w:r w:rsidR="00D9107F">
        <w:t> </w:t>
      </w:r>
      <w:r w:rsidR="00D9107F" w:rsidRPr="001E6B83">
        <w:t>000</w:t>
      </w:r>
      <w:r w:rsidRPr="001E6B83">
        <w:t xml:space="preserve"> listeinnbyggerne</w:t>
      </w:r>
      <w:r w:rsidR="00D86DEE">
        <w:t xml:space="preserve">, vil </w:t>
      </w:r>
      <w:r w:rsidRPr="001E6B83">
        <w:t>de</w:t>
      </w:r>
      <w:r w:rsidR="00DD3BF8">
        <w:t xml:space="preserve"> økte </w:t>
      </w:r>
      <w:r w:rsidRPr="001E6B83">
        <w:t>kostnadene</w:t>
      </w:r>
      <w:r w:rsidR="00DD3BF8">
        <w:t xml:space="preserve"> for </w:t>
      </w:r>
      <w:r w:rsidR="00452309">
        <w:t>det offentlige</w:t>
      </w:r>
      <w:r w:rsidRPr="001E6B83">
        <w:t xml:space="preserve"> bli 16</w:t>
      </w:r>
      <w:r w:rsidR="00D9107F" w:rsidRPr="001E6B83">
        <w:t>6</w:t>
      </w:r>
      <w:r w:rsidR="00D9107F">
        <w:t> 667 kroner</w:t>
      </w:r>
      <w:r w:rsidRPr="001E6B83">
        <w:t xml:space="preserve"> per år (med takster som i regneeksempelet over)</w:t>
      </w:r>
      <w:r w:rsidR="00677DB7">
        <w:t xml:space="preserve"> uten at </w:t>
      </w:r>
      <w:r w:rsidRPr="001E6B83">
        <w:t xml:space="preserve">helsesekretæren yter </w:t>
      </w:r>
      <w:r w:rsidR="00551999">
        <w:t>tjenester</w:t>
      </w:r>
      <w:r w:rsidRPr="001E6B83">
        <w:t xml:space="preserve"> ut</w:t>
      </w:r>
      <w:r w:rsidR="00F1239E">
        <w:t xml:space="preserve"> </w:t>
      </w:r>
      <w:r w:rsidRPr="001E6B83">
        <w:t>over hva helsesekretæren gjør i dag.</w:t>
      </w:r>
      <w:r w:rsidR="00551999">
        <w:t xml:space="preserve"> </w:t>
      </w:r>
      <w:r w:rsidR="006319D8">
        <w:t xml:space="preserve">På den annen side kan det argumenteres med at </w:t>
      </w:r>
      <w:r w:rsidR="00EC7770">
        <w:t xml:space="preserve">det å åpne for økt grad av delegering kan medvirke til at legen ansetter mer personell, </w:t>
      </w:r>
      <w:r w:rsidR="00AA0975">
        <w:t xml:space="preserve">noe </w:t>
      </w:r>
      <w:r w:rsidR="00EC7770">
        <w:t xml:space="preserve">som </w:t>
      </w:r>
      <w:r w:rsidR="00AA0975">
        <w:t xml:space="preserve">på sikt </w:t>
      </w:r>
      <w:r w:rsidR="00EC7770">
        <w:t>kan avlaste legen.</w:t>
      </w:r>
    </w:p>
    <w:p w14:paraId="7D15C810" w14:textId="77777777" w:rsidR="00D9107F" w:rsidRDefault="007075DA" w:rsidP="007075DA">
      <w:pPr>
        <w:jc w:val="both"/>
      </w:pPr>
      <w:r>
        <w:t xml:space="preserve">Det er vanskelig å anslå hva </w:t>
      </w:r>
      <w:r w:rsidR="0095084B">
        <w:t xml:space="preserve">samlede </w:t>
      </w:r>
      <w:r>
        <w:t>merkostnade</w:t>
      </w:r>
      <w:r w:rsidR="00D743E4">
        <w:t>r</w:t>
      </w:r>
      <w:r>
        <w:t xml:space="preserve"> for økt grad av tverrfaglighet vil bli. Og det må gjøres beregninger ut over hva det har vært anledning til for ekspertutvalget.</w:t>
      </w:r>
    </w:p>
    <w:p w14:paraId="6F7A242B" w14:textId="36E7FE5B" w:rsidR="007075DA" w:rsidRDefault="007075DA" w:rsidP="007075DA">
      <w:pPr>
        <w:jc w:val="both"/>
      </w:pPr>
      <w:r>
        <w:t xml:space="preserve">Det må iverksettes tiltak for kostnadskontroll, se omtale i </w:t>
      </w:r>
      <w:r w:rsidR="00D930D5">
        <w:t>kapittel 6.3.7</w:t>
      </w:r>
      <w:r>
        <w:t xml:space="preserve"> </w:t>
      </w:r>
      <w:r w:rsidRPr="00D930D5">
        <w:t>og</w:t>
      </w:r>
      <w:r>
        <w:t xml:space="preserve"> </w:t>
      </w:r>
      <w:r w:rsidR="00047BEE">
        <w:t>6.4.4</w:t>
      </w:r>
      <w:r w:rsidRPr="00D930D5">
        <w:t>.</w:t>
      </w:r>
      <w:r>
        <w:t xml:space="preserve"> I tillegg vil det være behov for å følge med på tiltaket og vurdere om det skal gjøres endringer i finansieringsordningene.</w:t>
      </w:r>
    </w:p>
    <w:p w14:paraId="181F92B6" w14:textId="2588CC5C" w:rsidR="00D9107F" w:rsidRDefault="007075DA" w:rsidP="007075DA">
      <w:pPr>
        <w:jc w:val="both"/>
      </w:pPr>
      <w:r w:rsidRPr="007D40B0">
        <w:t xml:space="preserve">Dersom </w:t>
      </w:r>
      <w:r w:rsidR="000C074D">
        <w:t>annet personell</w:t>
      </w:r>
      <w:r w:rsidRPr="007D40B0">
        <w:t xml:space="preserve"> overtar arbeid for fastlegene, vil dette kunne bidra til at legene utvider sin listelengde</w:t>
      </w:r>
      <w:r w:rsidR="002257CA">
        <w:t>, og at samlet listekapasitet kan øke</w:t>
      </w:r>
      <w:r w:rsidRPr="007D40B0">
        <w:t xml:space="preserve">. Hvis det kommer inn </w:t>
      </w:r>
      <w:r w:rsidR="002257CA">
        <w:t>5</w:t>
      </w:r>
      <w:r w:rsidRPr="007D40B0">
        <w:t xml:space="preserve">00 </w:t>
      </w:r>
      <w:r w:rsidR="002257CA">
        <w:t>årsverk</w:t>
      </w:r>
      <w:r w:rsidRPr="007D40B0">
        <w:t xml:space="preserve"> </w:t>
      </w:r>
      <w:r w:rsidR="006E5199">
        <w:t xml:space="preserve">med annet personell </w:t>
      </w:r>
      <w:r w:rsidRPr="007D40B0">
        <w:t xml:space="preserve">og </w:t>
      </w:r>
      <w:r w:rsidR="002257CA">
        <w:t xml:space="preserve">hver </w:t>
      </w:r>
      <w:r w:rsidRPr="007D40B0">
        <w:t xml:space="preserve">overtar </w:t>
      </w:r>
      <w:r w:rsidR="002257CA">
        <w:t xml:space="preserve">8 konsultasjoner fra </w:t>
      </w:r>
      <w:r w:rsidRPr="007D40B0">
        <w:t>fastlegene</w:t>
      </w:r>
      <w:r w:rsidR="002257CA">
        <w:t xml:space="preserve"> per dag</w:t>
      </w:r>
      <w:r w:rsidRPr="007D40B0">
        <w:t xml:space="preserve"> </w:t>
      </w:r>
      <w:r>
        <w:t>(</w:t>
      </w:r>
      <w:r w:rsidR="006402D2">
        <w:t xml:space="preserve">noe som er i tråd med </w:t>
      </w:r>
      <w:r w:rsidR="008D4F11">
        <w:t>forutsetningene</w:t>
      </w:r>
      <w:r w:rsidR="006402D2">
        <w:t xml:space="preserve"> som ligger til grunn for </w:t>
      </w:r>
      <w:r w:rsidR="00F83385">
        <w:t>eksemplene</w:t>
      </w:r>
      <w:r w:rsidR="006402D2">
        <w:t xml:space="preserve"> ovenfor</w:t>
      </w:r>
      <w:r>
        <w:t>)</w:t>
      </w:r>
      <w:r w:rsidRPr="007D40B0">
        <w:t>, innebærer det en kapasitetsøkning i fastlegeordningen</w:t>
      </w:r>
      <w:r w:rsidR="006402D2">
        <w:t xml:space="preserve"> på om lag 30</w:t>
      </w:r>
      <w:r w:rsidR="00D9107F">
        <w:t>0 000</w:t>
      </w:r>
      <w:r w:rsidR="006402D2">
        <w:t xml:space="preserve"> listeplasser</w:t>
      </w:r>
      <w:r>
        <w:t>.</w:t>
      </w:r>
    </w:p>
    <w:p w14:paraId="69A695EB" w14:textId="233D8BE2" w:rsidR="00D708EF" w:rsidRDefault="00D708EF" w:rsidP="00FF3E7E">
      <w:pPr>
        <w:pStyle w:val="tittel-ramme"/>
        <w:jc w:val="left"/>
      </w:pPr>
      <w:r w:rsidRPr="00D9107F">
        <w:rPr>
          <w:rStyle w:val="kursiv"/>
        </w:rPr>
        <w:t>Samlede økonomiske konsekvenser for det offentlige, ulike modeller</w:t>
      </w:r>
    </w:p>
    <w:tbl>
      <w:tblPr>
        <w:tblStyle w:val="StandardBoks"/>
        <w:tblW w:w="0" w:type="auto"/>
        <w:tblLook w:val="04A0" w:firstRow="1" w:lastRow="0" w:firstColumn="1" w:lastColumn="0" w:noHBand="0" w:noVBand="1"/>
      </w:tblPr>
      <w:tblGrid>
        <w:gridCol w:w="9736"/>
      </w:tblGrid>
      <w:tr w:rsidR="00E30AE6" w14:paraId="69D1AAA2" w14:textId="77777777" w:rsidTr="00E30AE6">
        <w:tc>
          <w:tcPr>
            <w:tcW w:w="9736" w:type="dxa"/>
          </w:tcPr>
          <w:p w14:paraId="6B82A20B" w14:textId="77777777" w:rsidR="00E30AE6" w:rsidRPr="00E30AE6" w:rsidRDefault="00E30AE6" w:rsidP="00E30AE6">
            <w:r w:rsidRPr="00E30AE6">
              <w:t>Samlede økonomiske konsekvenser for det offentlige, ulike modeller</w:t>
            </w:r>
          </w:p>
          <w:p w14:paraId="0D8F6753" w14:textId="77777777" w:rsidR="00E30AE6" w:rsidRPr="00E30AE6" w:rsidRDefault="00E30AE6" w:rsidP="00E30AE6">
            <w:r w:rsidRPr="00E30AE6">
              <w:t xml:space="preserve">Det er ovenfor omtalt elementer som vil påvirke legenes og det offentliges kostnader i forbindelse med tverrfaglighet. Og det ligger noen forutsetninger til grunn for </w:t>
            </w:r>
            <w:r w:rsidRPr="00E30AE6">
              <w:lastRenderedPageBreak/>
              <w:t>beregningene, blant annet årsverkskostnad for annet personell, og antall konsultasjoner per dag. Videre har beregningene som utgangspunkt at annet personell utløser samme betaling for sin aktivitet, som fastlegen.</w:t>
            </w:r>
          </w:p>
          <w:p w14:paraId="517BA136" w14:textId="76D6B656" w:rsidR="00E30AE6" w:rsidRPr="00E30AE6" w:rsidRDefault="00E30AE6" w:rsidP="00E30AE6">
            <w:r w:rsidRPr="00E30AE6">
              <w:t>Nedenfor er alle merkostnader omtalt som merkostnader for det offentlige. Når det gjelder tilskudd, vil dette være riktig. Når det gjelder aktivitet, vil pasientene betale for noen av disse kostnadene, gjennom egenandeler. Det vil imidlertid være det offentlige som dekker det meste av den ekstra aktiviteten.</w:t>
            </w:r>
          </w:p>
          <w:p w14:paraId="0EE46817" w14:textId="261DF323" w:rsidR="00E30AE6" w:rsidRPr="00E30AE6" w:rsidRDefault="00E30AE6" w:rsidP="00E30AE6">
            <w:r w:rsidRPr="00E30AE6">
              <w:t>Beregningene er gjort ut fra en 50/50-fordeling mellom basistilskudd og takster. Og i eksemplene med tilskudd utløser alle listeinnbyggere et forhøyet basistilskudd dersom fastlegen har ansatt annet personell.</w:t>
            </w:r>
          </w:p>
          <w:p w14:paraId="6B79FB2B" w14:textId="77777777" w:rsidR="00E30AE6" w:rsidRPr="00E30AE6" w:rsidRDefault="00E30AE6" w:rsidP="00E30AE6">
            <w:r w:rsidRPr="00E30AE6">
              <w:t>Som beskrevet, vil samlede kostnader for det offentlige være uendret dersom legen ansetter annet personell som avlaster fastlegen. Det samme gjelder dersom legen velger å utvide sin liste, når annet personell ansettes.</w:t>
            </w:r>
          </w:p>
          <w:p w14:paraId="41A57F08" w14:textId="77777777" w:rsidR="00E30AE6" w:rsidRPr="00E30AE6" w:rsidRDefault="00E30AE6" w:rsidP="00E30AE6">
            <w:r w:rsidRPr="00E30AE6">
              <w:t>Dersom aktiviteten til annet personell kommer i tillegg til fastlegens opprinnelige aktivitet, vil samlet aktivitet i praksisen øke. Siden aktiviteten øker, vil kostnadene for det offentlige øke med takstene som annet personell utløser. I eksempelet kommer altså all aktivitet fra annet personell i tillegg til legens. Legen fortsetter sin aktivitet uendret. Samlet omfang av tjenester til innbyggerne på listen vil dermed øke.</w:t>
            </w:r>
          </w:p>
          <w:p w14:paraId="05072AA7" w14:textId="77777777" w:rsidR="00E30AE6" w:rsidRPr="00E30AE6" w:rsidRDefault="00E30AE6" w:rsidP="00E30AE6">
            <w:r w:rsidRPr="00E30AE6">
              <w:t>Dersom det i tillegg gis et forhøyet basistilskudd (100 kroner per listeinnbygger) når det ansettes annet personell, vil kostnadene øke ytterligere.</w:t>
            </w:r>
          </w:p>
          <w:p w14:paraId="2685EC47" w14:textId="77777777" w:rsidR="00E30AE6" w:rsidRPr="00E30AE6" w:rsidRDefault="00E30AE6" w:rsidP="00E30AE6">
            <w:r w:rsidRPr="00E30AE6">
              <w:t>Følgende tabell sammenfatter kostnader per listeinnbygger som er tilknyttet en liste der det er ansatt annet personell: Kostnad per listeinnbygger</w:t>
            </w:r>
          </w:p>
          <w:tbl>
            <w:tblPr>
              <w:tblW w:w="5000" w:type="pct"/>
              <w:tblCellMar>
                <w:left w:w="70" w:type="dxa"/>
                <w:right w:w="70" w:type="dxa"/>
              </w:tblCellMar>
              <w:tblLook w:val="04A0" w:firstRow="1" w:lastRow="0" w:firstColumn="1" w:lastColumn="0" w:noHBand="0" w:noVBand="1"/>
            </w:tblPr>
            <w:tblGrid>
              <w:gridCol w:w="3639"/>
              <w:gridCol w:w="2641"/>
              <w:gridCol w:w="3096"/>
            </w:tblGrid>
            <w:tr w:rsidR="00E30AE6" w:rsidRPr="00E30AE6" w14:paraId="54562799" w14:textId="77777777" w:rsidTr="00707F97">
              <w:trPr>
                <w:trHeight w:val="300"/>
              </w:trPr>
              <w:tc>
                <w:tcPr>
                  <w:tcW w:w="2300" w:type="pct"/>
                  <w:tcBorders>
                    <w:top w:val="single" w:sz="8" w:space="0" w:color="auto"/>
                    <w:left w:val="single" w:sz="8" w:space="0" w:color="auto"/>
                    <w:bottom w:val="single" w:sz="12" w:space="0" w:color="2A3652"/>
                    <w:right w:val="single" w:sz="8" w:space="0" w:color="auto"/>
                  </w:tcBorders>
                  <w:shd w:val="clear" w:color="000000" w:fill="A9D6B9"/>
                  <w:vAlign w:val="center"/>
                  <w:hideMark/>
                </w:tcPr>
                <w:p w14:paraId="7AC6149D" w14:textId="77777777" w:rsidR="00E30AE6" w:rsidRPr="00E30AE6" w:rsidRDefault="00E30AE6" w:rsidP="00E30AE6">
                  <w:pPr>
                    <w:pStyle w:val="TabellHode-kolonne"/>
                    <w:rPr>
                      <w:rStyle w:val="halvfet"/>
                    </w:rPr>
                  </w:pPr>
                  <w:r w:rsidRPr="00E30AE6">
                    <w:rPr>
                      <w:rStyle w:val="halvfet"/>
                    </w:rPr>
                    <w:t> </w:t>
                  </w:r>
                </w:p>
              </w:tc>
              <w:tc>
                <w:tcPr>
                  <w:tcW w:w="1285" w:type="pct"/>
                  <w:tcBorders>
                    <w:top w:val="single" w:sz="8" w:space="0" w:color="auto"/>
                    <w:left w:val="nil"/>
                    <w:bottom w:val="single" w:sz="12" w:space="0" w:color="2A3652"/>
                    <w:right w:val="single" w:sz="8" w:space="0" w:color="auto"/>
                  </w:tcBorders>
                  <w:shd w:val="clear" w:color="000000" w:fill="A9D6B9"/>
                  <w:vAlign w:val="center"/>
                  <w:hideMark/>
                </w:tcPr>
                <w:p w14:paraId="1C11CD6A" w14:textId="77777777" w:rsidR="00E30AE6" w:rsidRPr="00E30AE6" w:rsidRDefault="00E30AE6" w:rsidP="00E30AE6">
                  <w:pPr>
                    <w:pStyle w:val="TabellHode-kolonne"/>
                    <w:rPr>
                      <w:rStyle w:val="halvfet"/>
                    </w:rPr>
                  </w:pPr>
                  <w:r w:rsidRPr="00E30AE6">
                    <w:rPr>
                      <w:rStyle w:val="halvfet"/>
                    </w:rPr>
                    <w:t> </w:t>
                  </w:r>
                </w:p>
              </w:tc>
              <w:tc>
                <w:tcPr>
                  <w:tcW w:w="1415" w:type="pct"/>
                  <w:tcBorders>
                    <w:top w:val="single" w:sz="8" w:space="0" w:color="auto"/>
                    <w:left w:val="nil"/>
                    <w:bottom w:val="single" w:sz="8" w:space="0" w:color="000000"/>
                    <w:right w:val="single" w:sz="8" w:space="0" w:color="auto"/>
                  </w:tcBorders>
                  <w:shd w:val="clear" w:color="000000" w:fill="A9D6B9"/>
                  <w:noWrap/>
                  <w:vAlign w:val="center"/>
                  <w:hideMark/>
                </w:tcPr>
                <w:p w14:paraId="72021114" w14:textId="77777777" w:rsidR="00E30AE6" w:rsidRPr="00E30AE6" w:rsidRDefault="00E30AE6" w:rsidP="00E30AE6">
                  <w:pPr>
                    <w:pStyle w:val="TabellHode-kolonne"/>
                    <w:rPr>
                      <w:rStyle w:val="halvfet"/>
                    </w:rPr>
                  </w:pPr>
                  <w:r w:rsidRPr="00E30AE6">
                    <w:rPr>
                      <w:rStyle w:val="halvfet"/>
                    </w:rPr>
                    <w:t>Kostnad per listeinnbygger</w:t>
                  </w:r>
                </w:p>
              </w:tc>
            </w:tr>
            <w:tr w:rsidR="00E30AE6" w:rsidRPr="00E30AE6" w14:paraId="0954D617" w14:textId="77777777" w:rsidTr="00707F97">
              <w:trPr>
                <w:trHeight w:val="312"/>
              </w:trPr>
              <w:tc>
                <w:tcPr>
                  <w:tcW w:w="230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39F1D3" w14:textId="77777777" w:rsidR="00E30AE6" w:rsidRPr="00E30AE6" w:rsidRDefault="00E30AE6" w:rsidP="00E30AE6">
                  <w:pPr>
                    <w:pStyle w:val="TabellHode-rad"/>
                  </w:pPr>
                  <w:r w:rsidRPr="00E30AE6">
                    <w:t>Annet personell erstatter fastlegen</w:t>
                  </w:r>
                </w:p>
              </w:tc>
              <w:tc>
                <w:tcPr>
                  <w:tcW w:w="1285" w:type="pct"/>
                  <w:tcBorders>
                    <w:top w:val="nil"/>
                    <w:left w:val="nil"/>
                    <w:bottom w:val="single" w:sz="8" w:space="0" w:color="auto"/>
                    <w:right w:val="single" w:sz="8" w:space="0" w:color="auto"/>
                  </w:tcBorders>
                  <w:shd w:val="clear" w:color="000000" w:fill="FFFFFF"/>
                  <w:noWrap/>
                  <w:vAlign w:val="center"/>
                  <w:hideMark/>
                </w:tcPr>
                <w:p w14:paraId="31FEEBF1" w14:textId="77777777" w:rsidR="00E30AE6" w:rsidRPr="00E30AE6" w:rsidRDefault="00E30AE6" w:rsidP="00E30AE6">
                  <w:r w:rsidRPr="00E30AE6">
                    <w:t>Ikke ekstra basistilskudd</w:t>
                  </w:r>
                </w:p>
              </w:tc>
              <w:tc>
                <w:tcPr>
                  <w:tcW w:w="1415" w:type="pct"/>
                  <w:tcBorders>
                    <w:top w:val="nil"/>
                    <w:left w:val="nil"/>
                    <w:bottom w:val="single" w:sz="8" w:space="0" w:color="auto"/>
                    <w:right w:val="single" w:sz="8" w:space="0" w:color="auto"/>
                  </w:tcBorders>
                  <w:shd w:val="clear" w:color="000000" w:fill="FFFFFF"/>
                  <w:noWrap/>
                  <w:vAlign w:val="center"/>
                  <w:hideMark/>
                </w:tcPr>
                <w:p w14:paraId="1BAE508C" w14:textId="77777777" w:rsidR="00E30AE6" w:rsidRPr="00E30AE6" w:rsidRDefault="00E30AE6" w:rsidP="00E30AE6">
                  <w:pPr>
                    <w:jc w:val="right"/>
                  </w:pPr>
                  <w:r w:rsidRPr="00E30AE6">
                    <w:t>kr 0</w:t>
                  </w:r>
                </w:p>
              </w:tc>
            </w:tr>
            <w:tr w:rsidR="00E30AE6" w:rsidRPr="00E30AE6" w14:paraId="1202FCF5" w14:textId="77777777" w:rsidTr="00707F97">
              <w:trPr>
                <w:trHeight w:val="300"/>
              </w:trPr>
              <w:tc>
                <w:tcPr>
                  <w:tcW w:w="2300" w:type="pct"/>
                  <w:vMerge/>
                  <w:tcBorders>
                    <w:top w:val="nil"/>
                    <w:left w:val="single" w:sz="8" w:space="0" w:color="auto"/>
                    <w:bottom w:val="single" w:sz="8" w:space="0" w:color="000000"/>
                    <w:right w:val="single" w:sz="8" w:space="0" w:color="auto"/>
                  </w:tcBorders>
                  <w:vAlign w:val="center"/>
                  <w:hideMark/>
                </w:tcPr>
                <w:p w14:paraId="16A5F1EC" w14:textId="77777777" w:rsidR="00E30AE6" w:rsidRPr="00E30AE6" w:rsidRDefault="00E30AE6" w:rsidP="00E30AE6"/>
              </w:tc>
              <w:tc>
                <w:tcPr>
                  <w:tcW w:w="1285" w:type="pct"/>
                  <w:tcBorders>
                    <w:top w:val="nil"/>
                    <w:left w:val="nil"/>
                    <w:bottom w:val="single" w:sz="8" w:space="0" w:color="auto"/>
                    <w:right w:val="single" w:sz="8" w:space="0" w:color="auto"/>
                  </w:tcBorders>
                  <w:shd w:val="clear" w:color="000000" w:fill="FFFFFF"/>
                  <w:noWrap/>
                  <w:vAlign w:val="center"/>
                  <w:hideMark/>
                </w:tcPr>
                <w:p w14:paraId="773E9BBC" w14:textId="77777777" w:rsidR="00E30AE6" w:rsidRPr="00E30AE6" w:rsidRDefault="00E30AE6" w:rsidP="00E30AE6">
                  <w:r w:rsidRPr="00E30AE6">
                    <w:t>Ekstra basistilskudd</w:t>
                  </w:r>
                </w:p>
              </w:tc>
              <w:tc>
                <w:tcPr>
                  <w:tcW w:w="1415" w:type="pct"/>
                  <w:tcBorders>
                    <w:top w:val="nil"/>
                    <w:left w:val="nil"/>
                    <w:bottom w:val="single" w:sz="8" w:space="0" w:color="auto"/>
                    <w:right w:val="single" w:sz="8" w:space="0" w:color="auto"/>
                  </w:tcBorders>
                  <w:shd w:val="clear" w:color="000000" w:fill="FFFFFF"/>
                  <w:noWrap/>
                  <w:vAlign w:val="center"/>
                  <w:hideMark/>
                </w:tcPr>
                <w:p w14:paraId="37E9738F" w14:textId="77777777" w:rsidR="00E30AE6" w:rsidRPr="00E30AE6" w:rsidRDefault="00E30AE6" w:rsidP="00E30AE6">
                  <w:pPr>
                    <w:jc w:val="right"/>
                  </w:pPr>
                  <w:r w:rsidRPr="00E30AE6">
                    <w:t>kr 100</w:t>
                  </w:r>
                </w:p>
              </w:tc>
            </w:tr>
            <w:tr w:rsidR="00E30AE6" w:rsidRPr="00E30AE6" w14:paraId="147E6DCB" w14:textId="77777777" w:rsidTr="00707F97">
              <w:trPr>
                <w:trHeight w:val="300"/>
              </w:trPr>
              <w:tc>
                <w:tcPr>
                  <w:tcW w:w="230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AF0BD6" w14:textId="77777777" w:rsidR="00E30AE6" w:rsidRPr="00E30AE6" w:rsidRDefault="00E30AE6" w:rsidP="00E30AE6">
                  <w:pPr>
                    <w:pStyle w:val="TabellHode-rad"/>
                  </w:pPr>
                  <w:r w:rsidRPr="00E30AE6">
                    <w:t>Annet personell kommer i tillegg til fastlegen</w:t>
                  </w:r>
                </w:p>
              </w:tc>
              <w:tc>
                <w:tcPr>
                  <w:tcW w:w="1285" w:type="pct"/>
                  <w:tcBorders>
                    <w:top w:val="nil"/>
                    <w:left w:val="nil"/>
                    <w:bottom w:val="single" w:sz="8" w:space="0" w:color="auto"/>
                    <w:right w:val="single" w:sz="8" w:space="0" w:color="auto"/>
                  </w:tcBorders>
                  <w:shd w:val="clear" w:color="000000" w:fill="FFFFFF"/>
                  <w:noWrap/>
                  <w:vAlign w:val="center"/>
                  <w:hideMark/>
                </w:tcPr>
                <w:p w14:paraId="3165D980" w14:textId="77777777" w:rsidR="00E30AE6" w:rsidRPr="00E30AE6" w:rsidRDefault="00E30AE6" w:rsidP="00E30AE6">
                  <w:r w:rsidRPr="00E30AE6">
                    <w:t>Ikke ekstra basistilskudd</w:t>
                  </w:r>
                </w:p>
              </w:tc>
              <w:tc>
                <w:tcPr>
                  <w:tcW w:w="1415" w:type="pct"/>
                  <w:tcBorders>
                    <w:top w:val="nil"/>
                    <w:left w:val="nil"/>
                    <w:bottom w:val="single" w:sz="8" w:space="0" w:color="auto"/>
                    <w:right w:val="single" w:sz="8" w:space="0" w:color="auto"/>
                  </w:tcBorders>
                  <w:shd w:val="clear" w:color="000000" w:fill="FFFFFF"/>
                  <w:noWrap/>
                  <w:vAlign w:val="center"/>
                  <w:hideMark/>
                </w:tcPr>
                <w:p w14:paraId="2B55C54A" w14:textId="77777777" w:rsidR="00E30AE6" w:rsidRPr="00E30AE6" w:rsidRDefault="00E30AE6" w:rsidP="00E30AE6">
                  <w:pPr>
                    <w:jc w:val="right"/>
                  </w:pPr>
                  <w:r w:rsidRPr="00E30AE6">
                    <w:t>kr 166,67</w:t>
                  </w:r>
                </w:p>
              </w:tc>
            </w:tr>
            <w:tr w:rsidR="00E30AE6" w:rsidRPr="00E30AE6" w14:paraId="4A4DDD94" w14:textId="77777777" w:rsidTr="00707F97">
              <w:trPr>
                <w:trHeight w:val="300"/>
              </w:trPr>
              <w:tc>
                <w:tcPr>
                  <w:tcW w:w="2300" w:type="pct"/>
                  <w:vMerge/>
                  <w:tcBorders>
                    <w:top w:val="nil"/>
                    <w:left w:val="single" w:sz="8" w:space="0" w:color="auto"/>
                    <w:bottom w:val="single" w:sz="8" w:space="0" w:color="000000"/>
                    <w:right w:val="single" w:sz="8" w:space="0" w:color="auto"/>
                  </w:tcBorders>
                  <w:vAlign w:val="center"/>
                  <w:hideMark/>
                </w:tcPr>
                <w:p w14:paraId="5146CA47" w14:textId="77777777" w:rsidR="00E30AE6" w:rsidRPr="00E30AE6" w:rsidRDefault="00E30AE6" w:rsidP="00E30AE6"/>
              </w:tc>
              <w:tc>
                <w:tcPr>
                  <w:tcW w:w="1285" w:type="pct"/>
                  <w:tcBorders>
                    <w:top w:val="nil"/>
                    <w:left w:val="nil"/>
                    <w:bottom w:val="single" w:sz="8" w:space="0" w:color="auto"/>
                    <w:right w:val="single" w:sz="8" w:space="0" w:color="auto"/>
                  </w:tcBorders>
                  <w:shd w:val="clear" w:color="000000" w:fill="FFFFFF"/>
                  <w:noWrap/>
                  <w:vAlign w:val="center"/>
                  <w:hideMark/>
                </w:tcPr>
                <w:p w14:paraId="23CAF537" w14:textId="77777777" w:rsidR="00E30AE6" w:rsidRPr="00E30AE6" w:rsidRDefault="00E30AE6" w:rsidP="00E30AE6">
                  <w:r w:rsidRPr="00E30AE6">
                    <w:t>Ekstra basistilskudd</w:t>
                  </w:r>
                </w:p>
              </w:tc>
              <w:tc>
                <w:tcPr>
                  <w:tcW w:w="1415" w:type="pct"/>
                  <w:tcBorders>
                    <w:top w:val="nil"/>
                    <w:left w:val="nil"/>
                    <w:bottom w:val="single" w:sz="8" w:space="0" w:color="auto"/>
                    <w:right w:val="single" w:sz="8" w:space="0" w:color="auto"/>
                  </w:tcBorders>
                  <w:shd w:val="clear" w:color="000000" w:fill="FFFFFF"/>
                  <w:noWrap/>
                  <w:vAlign w:val="center"/>
                  <w:hideMark/>
                </w:tcPr>
                <w:p w14:paraId="3C2DF647" w14:textId="77777777" w:rsidR="00E30AE6" w:rsidRPr="00E30AE6" w:rsidRDefault="00E30AE6" w:rsidP="00E30AE6">
                  <w:pPr>
                    <w:jc w:val="right"/>
                  </w:pPr>
                  <w:r w:rsidRPr="00E30AE6">
                    <w:t>kr 266,67</w:t>
                  </w:r>
                </w:p>
              </w:tc>
            </w:tr>
          </w:tbl>
          <w:p w14:paraId="63215A39" w14:textId="77777777" w:rsidR="00E30AE6" w:rsidRPr="00E30AE6" w:rsidRDefault="00E30AE6" w:rsidP="00E30AE6">
            <w:r w:rsidRPr="00E30AE6">
              <w:t xml:space="preserve">Det er vanskelig å anslå hvor mange leger som vil ansette annet personell. Og det er vanskelig å anslå effekten av annet personell på samlet omfang av tjenester. Antakelig vil muligheten til å delegere konsultasjoner eller bruke profesjonsnøytrale takster, innebære </w:t>
            </w:r>
            <w:r w:rsidRPr="00E30AE6">
              <w:lastRenderedPageBreak/>
              <w:t xml:space="preserve">at annet personell utfører aktivitet i stedet for fastlegen, men også i tillegg til det fastlegen ville hatt uten slik finansieringsmulighet. </w:t>
            </w:r>
          </w:p>
          <w:p w14:paraId="118F3B0A" w14:textId="77777777" w:rsidR="00E30AE6" w:rsidRPr="00E30AE6" w:rsidRDefault="00E30AE6" w:rsidP="00E30AE6">
            <w:r w:rsidRPr="00E30AE6">
              <w:t>Dermed bør det tas høyde for at de totale kostnadene for samfunnet vil kunne øke, og også kapasiteten i fastlegeordningen.</w:t>
            </w:r>
          </w:p>
          <w:p w14:paraId="3ED8AB8D" w14:textId="77777777" w:rsidR="00E30AE6" w:rsidRPr="00E30AE6" w:rsidRDefault="00E30AE6" w:rsidP="00E30AE6">
            <w:r w:rsidRPr="00E30AE6">
              <w:t>I tabellen nedenfor er det benyttet kostnadsanslag per listeinnbygger fra eksemplene ovenfor. Totalkostnadene vil avhenge av hvor mange innbyggere som står på en fastlegeliste som omfattes av tverrfaglighet:</w:t>
            </w:r>
          </w:p>
          <w:p w14:paraId="5BB1BFB2" w14:textId="7DDCCD9A" w:rsidR="00E30AE6" w:rsidRPr="00E30AE6" w:rsidRDefault="00E30AE6" w:rsidP="00E30AE6">
            <w:r w:rsidRPr="00E30AE6">
              <w:t>Eksempel på samlede merkostnader for det offentlige for fastlege med sykepleier,</w:t>
            </w:r>
            <w:r>
              <w:t xml:space="preserve"> </w:t>
            </w:r>
            <w:r w:rsidRPr="00E30AE6">
              <w:t>per listeinnbygger. Ulike modeller.</w:t>
            </w:r>
          </w:p>
          <w:tbl>
            <w:tblPr>
              <w:tblStyle w:val="0Ekspertutvalgettabellstil1"/>
              <w:tblW w:w="9185" w:type="dxa"/>
              <w:tblLook w:val="04A0" w:firstRow="1" w:lastRow="0" w:firstColumn="1" w:lastColumn="0" w:noHBand="0" w:noVBand="1"/>
            </w:tblPr>
            <w:tblGrid>
              <w:gridCol w:w="1099"/>
              <w:gridCol w:w="1430"/>
              <w:gridCol w:w="1222"/>
              <w:gridCol w:w="1343"/>
              <w:gridCol w:w="1269"/>
              <w:gridCol w:w="1496"/>
              <w:gridCol w:w="1334"/>
            </w:tblGrid>
            <w:tr w:rsidR="00E30AE6" w:rsidRPr="00E30AE6" w14:paraId="57733A03" w14:textId="77777777" w:rsidTr="00707F9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9" w:type="dxa"/>
                  <w:shd w:val="clear" w:color="auto" w:fill="A9D6B9"/>
                  <w:noWrap/>
                  <w:hideMark/>
                </w:tcPr>
                <w:p w14:paraId="4D13EC0D" w14:textId="77777777" w:rsidR="00E30AE6" w:rsidRPr="00E30AE6" w:rsidRDefault="00E30AE6" w:rsidP="00E30AE6">
                  <w:pPr>
                    <w:pStyle w:val="TabellHode-kolonne"/>
                    <w:rPr>
                      <w:rStyle w:val="halvfet"/>
                    </w:rPr>
                  </w:pPr>
                  <w:r w:rsidRPr="00E30AE6">
                    <w:rPr>
                      <w:rStyle w:val="halvfet"/>
                    </w:rPr>
                    <w:t> </w:t>
                  </w:r>
                </w:p>
              </w:tc>
              <w:tc>
                <w:tcPr>
                  <w:tcW w:w="1430" w:type="dxa"/>
                  <w:shd w:val="clear" w:color="auto" w:fill="A9D6B9"/>
                  <w:noWrap/>
                  <w:hideMark/>
                </w:tcPr>
                <w:p w14:paraId="10538724" w14:textId="77777777" w:rsidR="00E30AE6" w:rsidRPr="00E30AE6" w:rsidRDefault="00E30AE6" w:rsidP="00E30AE6">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E30AE6">
                    <w:rPr>
                      <w:rStyle w:val="halvfet"/>
                    </w:rPr>
                    <w:t> </w:t>
                  </w:r>
                </w:p>
              </w:tc>
              <w:tc>
                <w:tcPr>
                  <w:tcW w:w="6656" w:type="dxa"/>
                  <w:gridSpan w:val="5"/>
                  <w:shd w:val="clear" w:color="auto" w:fill="A9D6B9"/>
                  <w:noWrap/>
                  <w:hideMark/>
                </w:tcPr>
                <w:p w14:paraId="6F743070" w14:textId="77777777" w:rsidR="00E30AE6" w:rsidRPr="00E30AE6" w:rsidRDefault="00E30AE6" w:rsidP="00E30AE6">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E30AE6">
                    <w:rPr>
                      <w:rStyle w:val="halvfet"/>
                    </w:rPr>
                    <w:t>Antall innbyggere som omfattes av tverrfaglighet i fastlegeordningen</w:t>
                  </w:r>
                </w:p>
              </w:tc>
            </w:tr>
            <w:tr w:rsidR="00E30AE6" w:rsidRPr="00E30AE6" w14:paraId="0CC6D07D" w14:textId="77777777" w:rsidTr="00707F97">
              <w:trPr>
                <w:trHeight w:val="260"/>
              </w:trPr>
              <w:tc>
                <w:tcPr>
                  <w:cnfStyle w:val="001000000000" w:firstRow="0" w:lastRow="0" w:firstColumn="1" w:lastColumn="0" w:oddVBand="0" w:evenVBand="0" w:oddHBand="0" w:evenHBand="0" w:firstRowFirstColumn="0" w:firstRowLastColumn="0" w:lastRowFirstColumn="0" w:lastRowLastColumn="0"/>
                  <w:tcW w:w="1099" w:type="dxa"/>
                  <w:tcBorders>
                    <w:bottom w:val="single" w:sz="18" w:space="0" w:color="2A3652"/>
                  </w:tcBorders>
                  <w:shd w:val="clear" w:color="auto" w:fill="A9D6B9"/>
                  <w:noWrap/>
                  <w:hideMark/>
                </w:tcPr>
                <w:p w14:paraId="7A8572B5" w14:textId="77777777" w:rsidR="00E30AE6" w:rsidRPr="00E30AE6" w:rsidRDefault="00E30AE6" w:rsidP="00E30AE6">
                  <w:pPr>
                    <w:pStyle w:val="TabellHode-kolonne"/>
                    <w:rPr>
                      <w:rStyle w:val="halvfet"/>
                    </w:rPr>
                  </w:pPr>
                </w:p>
              </w:tc>
              <w:tc>
                <w:tcPr>
                  <w:tcW w:w="1430" w:type="dxa"/>
                  <w:tcBorders>
                    <w:bottom w:val="single" w:sz="18" w:space="0" w:color="2A3652"/>
                  </w:tcBorders>
                  <w:shd w:val="clear" w:color="auto" w:fill="A9D6B9"/>
                  <w:noWrap/>
                  <w:hideMark/>
                </w:tcPr>
                <w:p w14:paraId="6C8E7FFD"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p>
              </w:tc>
              <w:tc>
                <w:tcPr>
                  <w:tcW w:w="1212" w:type="dxa"/>
                  <w:tcBorders>
                    <w:bottom w:val="single" w:sz="18" w:space="0" w:color="2A3652"/>
                  </w:tcBorders>
                  <w:shd w:val="clear" w:color="auto" w:fill="A9D6B9"/>
                  <w:noWrap/>
                  <w:hideMark/>
                </w:tcPr>
                <w:p w14:paraId="31D0FF07"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1 mill. innbyggere</w:t>
                  </w:r>
                </w:p>
              </w:tc>
              <w:tc>
                <w:tcPr>
                  <w:tcW w:w="1343" w:type="dxa"/>
                  <w:tcBorders>
                    <w:bottom w:val="single" w:sz="18" w:space="0" w:color="2A3652"/>
                  </w:tcBorders>
                  <w:shd w:val="clear" w:color="auto" w:fill="A9D6B9"/>
                  <w:noWrap/>
                  <w:hideMark/>
                </w:tcPr>
                <w:p w14:paraId="39D47B99"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2 millioner innbyggere</w:t>
                  </w:r>
                </w:p>
              </w:tc>
              <w:tc>
                <w:tcPr>
                  <w:tcW w:w="1269" w:type="dxa"/>
                  <w:tcBorders>
                    <w:bottom w:val="single" w:sz="18" w:space="0" w:color="2A3652"/>
                  </w:tcBorders>
                  <w:shd w:val="clear" w:color="auto" w:fill="A9D6B9"/>
                  <w:noWrap/>
                  <w:hideMark/>
                </w:tcPr>
                <w:p w14:paraId="27965E12"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3 millioner</w:t>
                  </w:r>
                </w:p>
                <w:p w14:paraId="4EA3A8F0"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innbyggere</w:t>
                  </w:r>
                </w:p>
              </w:tc>
              <w:tc>
                <w:tcPr>
                  <w:tcW w:w="1496" w:type="dxa"/>
                  <w:tcBorders>
                    <w:bottom w:val="single" w:sz="18" w:space="0" w:color="2A3652"/>
                  </w:tcBorders>
                  <w:shd w:val="clear" w:color="auto" w:fill="A9D6B9"/>
                  <w:noWrap/>
                  <w:hideMark/>
                </w:tcPr>
                <w:p w14:paraId="7794D534"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4 millioner</w:t>
                  </w:r>
                </w:p>
                <w:p w14:paraId="23C419D0"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innbyggere</w:t>
                  </w:r>
                </w:p>
              </w:tc>
              <w:tc>
                <w:tcPr>
                  <w:tcW w:w="1334" w:type="dxa"/>
                  <w:tcBorders>
                    <w:bottom w:val="single" w:sz="18" w:space="0" w:color="2A3652"/>
                  </w:tcBorders>
                  <w:shd w:val="clear" w:color="auto" w:fill="A9D6B9"/>
                  <w:noWrap/>
                  <w:hideMark/>
                </w:tcPr>
                <w:p w14:paraId="351F0606"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5 millioner</w:t>
                  </w:r>
                </w:p>
                <w:p w14:paraId="0236D645" w14:textId="77777777" w:rsidR="00E30AE6" w:rsidRPr="00E30AE6" w:rsidRDefault="00E30AE6" w:rsidP="00E30AE6">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E30AE6">
                    <w:rPr>
                      <w:rStyle w:val="halvfet"/>
                    </w:rPr>
                    <w:t>innbyggere</w:t>
                  </w:r>
                </w:p>
              </w:tc>
            </w:tr>
            <w:tr w:rsidR="00E30AE6" w:rsidRPr="00E30AE6" w14:paraId="2367D0CC" w14:textId="77777777" w:rsidTr="00707F97">
              <w:trPr>
                <w:trHeight w:val="260"/>
              </w:trPr>
              <w:tc>
                <w:tcPr>
                  <w:cnfStyle w:val="001000000000" w:firstRow="0" w:lastRow="0" w:firstColumn="1" w:lastColumn="0" w:oddVBand="0" w:evenVBand="0" w:oddHBand="0" w:evenHBand="0" w:firstRowFirstColumn="0" w:firstRowLastColumn="0" w:lastRowFirstColumn="0" w:lastRowLastColumn="0"/>
                  <w:tcW w:w="1099" w:type="dxa"/>
                  <w:vMerge w:val="restart"/>
                  <w:tcBorders>
                    <w:top w:val="single" w:sz="18" w:space="0" w:color="2A3652"/>
                  </w:tcBorders>
                  <w:shd w:val="clear" w:color="auto" w:fill="FFFFFF" w:themeFill="background1"/>
                  <w:hideMark/>
                </w:tcPr>
                <w:p w14:paraId="42390076" w14:textId="77777777" w:rsidR="00E30AE6" w:rsidRPr="00E30AE6" w:rsidRDefault="00E30AE6" w:rsidP="00E30AE6">
                  <w:pPr>
                    <w:pStyle w:val="TabellHode-rad"/>
                  </w:pPr>
                  <w:r w:rsidRPr="00E30AE6">
                    <w:t>Annet personell erstatter fastlegen</w:t>
                  </w:r>
                </w:p>
              </w:tc>
              <w:tc>
                <w:tcPr>
                  <w:tcW w:w="1430" w:type="dxa"/>
                  <w:tcBorders>
                    <w:top w:val="single" w:sz="18" w:space="0" w:color="2A3652"/>
                  </w:tcBorders>
                  <w:shd w:val="clear" w:color="auto" w:fill="FFFFFF" w:themeFill="background1"/>
                  <w:noWrap/>
                  <w:hideMark/>
                </w:tcPr>
                <w:p w14:paraId="1FD3906B"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Ikke ekstra basistilskudd</w:t>
                  </w:r>
                </w:p>
              </w:tc>
              <w:tc>
                <w:tcPr>
                  <w:tcW w:w="1212" w:type="dxa"/>
                  <w:tcBorders>
                    <w:top w:val="single" w:sz="18" w:space="0" w:color="2A3652"/>
                  </w:tcBorders>
                  <w:shd w:val="clear" w:color="auto" w:fill="FFFFFF" w:themeFill="background1"/>
                  <w:noWrap/>
                  <w:vAlign w:val="center"/>
                </w:tcPr>
                <w:p w14:paraId="12581019"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w:t>
                  </w:r>
                </w:p>
              </w:tc>
              <w:tc>
                <w:tcPr>
                  <w:tcW w:w="1343" w:type="dxa"/>
                  <w:tcBorders>
                    <w:top w:val="single" w:sz="18" w:space="0" w:color="2A3652"/>
                  </w:tcBorders>
                  <w:shd w:val="clear" w:color="auto" w:fill="FFFFFF" w:themeFill="background1"/>
                  <w:noWrap/>
                  <w:vAlign w:val="center"/>
                </w:tcPr>
                <w:p w14:paraId="576E3D89"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w:t>
                  </w:r>
                </w:p>
              </w:tc>
              <w:tc>
                <w:tcPr>
                  <w:tcW w:w="1269" w:type="dxa"/>
                  <w:tcBorders>
                    <w:top w:val="single" w:sz="18" w:space="0" w:color="2A3652"/>
                  </w:tcBorders>
                  <w:shd w:val="clear" w:color="auto" w:fill="FFFFFF" w:themeFill="background1"/>
                  <w:noWrap/>
                  <w:vAlign w:val="center"/>
                </w:tcPr>
                <w:p w14:paraId="3B3BA249"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w:t>
                  </w:r>
                </w:p>
              </w:tc>
              <w:tc>
                <w:tcPr>
                  <w:tcW w:w="1496" w:type="dxa"/>
                  <w:tcBorders>
                    <w:top w:val="single" w:sz="18" w:space="0" w:color="2A3652"/>
                  </w:tcBorders>
                  <w:shd w:val="clear" w:color="auto" w:fill="FFFFFF" w:themeFill="background1"/>
                  <w:noWrap/>
                  <w:vAlign w:val="center"/>
                </w:tcPr>
                <w:p w14:paraId="79CDAB79"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w:t>
                  </w:r>
                </w:p>
              </w:tc>
              <w:tc>
                <w:tcPr>
                  <w:tcW w:w="1334" w:type="dxa"/>
                  <w:tcBorders>
                    <w:top w:val="single" w:sz="18" w:space="0" w:color="2A3652"/>
                  </w:tcBorders>
                  <w:shd w:val="clear" w:color="auto" w:fill="FFFFFF" w:themeFill="background1"/>
                  <w:noWrap/>
                  <w:vAlign w:val="center"/>
                </w:tcPr>
                <w:p w14:paraId="623842CE"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w:t>
                  </w:r>
                </w:p>
              </w:tc>
            </w:tr>
            <w:tr w:rsidR="00E30AE6" w:rsidRPr="00E30AE6" w14:paraId="0409F5F5" w14:textId="77777777" w:rsidTr="00707F97">
              <w:trPr>
                <w:trHeight w:val="260"/>
              </w:trPr>
              <w:tc>
                <w:tcPr>
                  <w:cnfStyle w:val="001000000000" w:firstRow="0" w:lastRow="0" w:firstColumn="1" w:lastColumn="0" w:oddVBand="0" w:evenVBand="0" w:oddHBand="0" w:evenHBand="0" w:firstRowFirstColumn="0" w:firstRowLastColumn="0" w:lastRowFirstColumn="0" w:lastRowLastColumn="0"/>
                  <w:tcW w:w="1099" w:type="dxa"/>
                  <w:vMerge/>
                  <w:shd w:val="clear" w:color="auto" w:fill="FFFFFF" w:themeFill="background1"/>
                  <w:hideMark/>
                </w:tcPr>
                <w:p w14:paraId="60C1F487" w14:textId="77777777" w:rsidR="00E30AE6" w:rsidRPr="00E30AE6" w:rsidRDefault="00E30AE6" w:rsidP="00E30AE6"/>
              </w:tc>
              <w:tc>
                <w:tcPr>
                  <w:tcW w:w="1430" w:type="dxa"/>
                  <w:shd w:val="clear" w:color="auto" w:fill="FFFFFF" w:themeFill="background1"/>
                  <w:noWrap/>
                  <w:hideMark/>
                </w:tcPr>
                <w:p w14:paraId="0BCED7C2"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Ekstra basistilskudd i kr.</w:t>
                  </w:r>
                </w:p>
              </w:tc>
              <w:tc>
                <w:tcPr>
                  <w:tcW w:w="1212" w:type="dxa"/>
                  <w:shd w:val="clear" w:color="auto" w:fill="FFFFFF" w:themeFill="background1"/>
                  <w:noWrap/>
                  <w:hideMark/>
                </w:tcPr>
                <w:p w14:paraId="1937D27E"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100 mill.</w:t>
                  </w:r>
                </w:p>
              </w:tc>
              <w:tc>
                <w:tcPr>
                  <w:tcW w:w="1343" w:type="dxa"/>
                  <w:shd w:val="clear" w:color="auto" w:fill="FFFFFF" w:themeFill="background1"/>
                  <w:noWrap/>
                  <w:hideMark/>
                </w:tcPr>
                <w:p w14:paraId="0D92FB47"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200 mill.</w:t>
                  </w:r>
                </w:p>
              </w:tc>
              <w:tc>
                <w:tcPr>
                  <w:tcW w:w="1269" w:type="dxa"/>
                  <w:shd w:val="clear" w:color="auto" w:fill="FFFFFF" w:themeFill="background1"/>
                  <w:noWrap/>
                  <w:hideMark/>
                </w:tcPr>
                <w:p w14:paraId="5ABE7B8D"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300 mill.</w:t>
                  </w:r>
                </w:p>
              </w:tc>
              <w:tc>
                <w:tcPr>
                  <w:tcW w:w="1496" w:type="dxa"/>
                  <w:shd w:val="clear" w:color="auto" w:fill="FFFFFF" w:themeFill="background1"/>
                  <w:noWrap/>
                  <w:hideMark/>
                </w:tcPr>
                <w:p w14:paraId="5896C93B"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400 mill. </w:t>
                  </w:r>
                </w:p>
              </w:tc>
              <w:tc>
                <w:tcPr>
                  <w:tcW w:w="1334" w:type="dxa"/>
                  <w:shd w:val="clear" w:color="auto" w:fill="FFFFFF" w:themeFill="background1"/>
                  <w:noWrap/>
                  <w:hideMark/>
                </w:tcPr>
                <w:p w14:paraId="2BB2C3B0"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500 mill.</w:t>
                  </w:r>
                </w:p>
              </w:tc>
            </w:tr>
            <w:tr w:rsidR="00E30AE6" w:rsidRPr="00E30AE6" w14:paraId="52CCDE1A" w14:textId="77777777" w:rsidTr="00707F97">
              <w:trPr>
                <w:trHeight w:val="260"/>
              </w:trPr>
              <w:tc>
                <w:tcPr>
                  <w:cnfStyle w:val="001000000000" w:firstRow="0" w:lastRow="0" w:firstColumn="1" w:lastColumn="0" w:oddVBand="0" w:evenVBand="0" w:oddHBand="0" w:evenHBand="0" w:firstRowFirstColumn="0" w:firstRowLastColumn="0" w:lastRowFirstColumn="0" w:lastRowLastColumn="0"/>
                  <w:tcW w:w="1099" w:type="dxa"/>
                  <w:vMerge w:val="restart"/>
                  <w:shd w:val="clear" w:color="auto" w:fill="FFFFFF" w:themeFill="background1"/>
                  <w:hideMark/>
                </w:tcPr>
                <w:p w14:paraId="0D2D6244" w14:textId="77777777" w:rsidR="00E30AE6" w:rsidRPr="00E30AE6" w:rsidRDefault="00E30AE6" w:rsidP="00E30AE6">
                  <w:pPr>
                    <w:pStyle w:val="TabellHode-rad"/>
                  </w:pPr>
                  <w:r w:rsidRPr="00E30AE6">
                    <w:t>Annet personell kommer i tillegg til fastlegen</w:t>
                  </w:r>
                </w:p>
              </w:tc>
              <w:tc>
                <w:tcPr>
                  <w:tcW w:w="1430" w:type="dxa"/>
                  <w:shd w:val="clear" w:color="auto" w:fill="FFFFFF" w:themeFill="background1"/>
                  <w:noWrap/>
                  <w:hideMark/>
                </w:tcPr>
                <w:p w14:paraId="211F8F44"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Ikke ekstra basistilskudd i kr.</w:t>
                  </w:r>
                </w:p>
              </w:tc>
              <w:tc>
                <w:tcPr>
                  <w:tcW w:w="1212" w:type="dxa"/>
                  <w:shd w:val="clear" w:color="auto" w:fill="FFFFFF" w:themeFill="background1"/>
                  <w:noWrap/>
                  <w:vAlign w:val="bottom"/>
                  <w:hideMark/>
                </w:tcPr>
                <w:p w14:paraId="52C7DEE5"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166 mill. </w:t>
                  </w:r>
                </w:p>
              </w:tc>
              <w:tc>
                <w:tcPr>
                  <w:tcW w:w="1343" w:type="dxa"/>
                  <w:shd w:val="clear" w:color="auto" w:fill="FFFFFF" w:themeFill="background1"/>
                  <w:noWrap/>
                  <w:vAlign w:val="bottom"/>
                  <w:hideMark/>
                </w:tcPr>
                <w:p w14:paraId="58BEE410"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333 mill. </w:t>
                  </w:r>
                </w:p>
              </w:tc>
              <w:tc>
                <w:tcPr>
                  <w:tcW w:w="1269" w:type="dxa"/>
                  <w:shd w:val="clear" w:color="auto" w:fill="FFFFFF" w:themeFill="background1"/>
                  <w:noWrap/>
                  <w:vAlign w:val="bottom"/>
                  <w:hideMark/>
                </w:tcPr>
                <w:p w14:paraId="2E4010BB"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500 mill.</w:t>
                  </w:r>
                </w:p>
              </w:tc>
              <w:tc>
                <w:tcPr>
                  <w:tcW w:w="1496" w:type="dxa"/>
                  <w:shd w:val="clear" w:color="auto" w:fill="FFFFFF" w:themeFill="background1"/>
                  <w:noWrap/>
                  <w:vAlign w:val="bottom"/>
                  <w:hideMark/>
                </w:tcPr>
                <w:p w14:paraId="6ACEA462"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666 mill.</w:t>
                  </w:r>
                </w:p>
              </w:tc>
              <w:tc>
                <w:tcPr>
                  <w:tcW w:w="1334" w:type="dxa"/>
                  <w:shd w:val="clear" w:color="auto" w:fill="FFFFFF" w:themeFill="background1"/>
                  <w:noWrap/>
                  <w:vAlign w:val="bottom"/>
                  <w:hideMark/>
                </w:tcPr>
                <w:p w14:paraId="14852443"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83 3mill.  </w:t>
                  </w:r>
                </w:p>
              </w:tc>
            </w:tr>
            <w:tr w:rsidR="00E30AE6" w:rsidRPr="00E30AE6" w14:paraId="2E122795" w14:textId="77777777" w:rsidTr="00707F97">
              <w:trPr>
                <w:trHeight w:val="260"/>
              </w:trPr>
              <w:tc>
                <w:tcPr>
                  <w:cnfStyle w:val="001000000000" w:firstRow="0" w:lastRow="0" w:firstColumn="1" w:lastColumn="0" w:oddVBand="0" w:evenVBand="0" w:oddHBand="0" w:evenHBand="0" w:firstRowFirstColumn="0" w:firstRowLastColumn="0" w:lastRowFirstColumn="0" w:lastRowLastColumn="0"/>
                  <w:tcW w:w="1099" w:type="dxa"/>
                  <w:vMerge/>
                  <w:shd w:val="clear" w:color="auto" w:fill="FFFFFF" w:themeFill="background1"/>
                  <w:hideMark/>
                </w:tcPr>
                <w:p w14:paraId="18717B64" w14:textId="77777777" w:rsidR="00E30AE6" w:rsidRPr="00E30AE6" w:rsidRDefault="00E30AE6" w:rsidP="00E30AE6"/>
              </w:tc>
              <w:tc>
                <w:tcPr>
                  <w:tcW w:w="1430" w:type="dxa"/>
                  <w:shd w:val="clear" w:color="auto" w:fill="FFFFFF" w:themeFill="background1"/>
                  <w:noWrap/>
                  <w:hideMark/>
                </w:tcPr>
                <w:p w14:paraId="54976D0A"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Ekstra basistilskudd i kr.</w:t>
                  </w:r>
                </w:p>
              </w:tc>
              <w:tc>
                <w:tcPr>
                  <w:tcW w:w="1212" w:type="dxa"/>
                  <w:shd w:val="clear" w:color="auto" w:fill="FFFFFF" w:themeFill="background1"/>
                  <w:noWrap/>
                  <w:vAlign w:val="bottom"/>
                  <w:hideMark/>
                </w:tcPr>
                <w:p w14:paraId="503EFDEF"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266 mill. </w:t>
                  </w:r>
                </w:p>
              </w:tc>
              <w:tc>
                <w:tcPr>
                  <w:tcW w:w="1343" w:type="dxa"/>
                  <w:shd w:val="clear" w:color="auto" w:fill="FFFFFF" w:themeFill="background1"/>
                  <w:noWrap/>
                  <w:vAlign w:val="bottom"/>
                  <w:hideMark/>
                </w:tcPr>
                <w:p w14:paraId="1BA0A9D8"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533 mill. </w:t>
                  </w:r>
                </w:p>
              </w:tc>
              <w:tc>
                <w:tcPr>
                  <w:tcW w:w="1269" w:type="dxa"/>
                  <w:shd w:val="clear" w:color="auto" w:fill="FFFFFF" w:themeFill="background1"/>
                  <w:noWrap/>
                  <w:vAlign w:val="bottom"/>
                  <w:hideMark/>
                </w:tcPr>
                <w:p w14:paraId="7DA08C25"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800 mill. </w:t>
                  </w:r>
                </w:p>
              </w:tc>
              <w:tc>
                <w:tcPr>
                  <w:tcW w:w="1496" w:type="dxa"/>
                  <w:shd w:val="clear" w:color="auto" w:fill="FFFFFF" w:themeFill="background1"/>
                  <w:noWrap/>
                  <w:vAlign w:val="bottom"/>
                  <w:hideMark/>
                </w:tcPr>
                <w:p w14:paraId="132D6EFD"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1 066 mill. </w:t>
                  </w:r>
                </w:p>
              </w:tc>
              <w:tc>
                <w:tcPr>
                  <w:tcW w:w="1334" w:type="dxa"/>
                  <w:shd w:val="clear" w:color="auto" w:fill="FFFFFF" w:themeFill="background1"/>
                  <w:noWrap/>
                  <w:vAlign w:val="bottom"/>
                  <w:hideMark/>
                </w:tcPr>
                <w:p w14:paraId="5107AA03" w14:textId="77777777" w:rsidR="00E30AE6" w:rsidRPr="00E30AE6" w:rsidRDefault="00E30AE6" w:rsidP="00E30AE6">
                  <w:pPr>
                    <w:cnfStyle w:val="000000000000" w:firstRow="0" w:lastRow="0" w:firstColumn="0" w:lastColumn="0" w:oddVBand="0" w:evenVBand="0" w:oddHBand="0" w:evenHBand="0" w:firstRowFirstColumn="0" w:firstRowLastColumn="0" w:lastRowFirstColumn="0" w:lastRowLastColumn="0"/>
                  </w:pPr>
                  <w:r w:rsidRPr="00E30AE6">
                    <w:t xml:space="preserve"> 1 333 mill. </w:t>
                  </w:r>
                </w:p>
              </w:tc>
            </w:tr>
          </w:tbl>
          <w:p w14:paraId="3B20866C" w14:textId="77777777" w:rsidR="00E30AE6" w:rsidRPr="00E30AE6" w:rsidRDefault="00E30AE6" w:rsidP="00E30AE6"/>
        </w:tc>
      </w:tr>
    </w:tbl>
    <w:p w14:paraId="71ACBA31" w14:textId="55A3BF30" w:rsidR="008C2D3F" w:rsidRDefault="008C2D3F" w:rsidP="00E30AE6">
      <w:pPr>
        <w:pStyle w:val="tittel-ramme"/>
        <w:jc w:val="left"/>
        <w:rPr>
          <w:rStyle w:val="kursiv"/>
        </w:rPr>
      </w:pPr>
      <w:r w:rsidRPr="00D9107F">
        <w:rPr>
          <w:rStyle w:val="kursiv"/>
        </w:rPr>
        <w:lastRenderedPageBreak/>
        <w:t>Behov for annet personell</w:t>
      </w:r>
    </w:p>
    <w:tbl>
      <w:tblPr>
        <w:tblStyle w:val="StandardBoks"/>
        <w:tblW w:w="0" w:type="auto"/>
        <w:tblLook w:val="04A0" w:firstRow="1" w:lastRow="0" w:firstColumn="1" w:lastColumn="0" w:noHBand="0" w:noVBand="1"/>
      </w:tblPr>
      <w:tblGrid>
        <w:gridCol w:w="9736"/>
      </w:tblGrid>
      <w:tr w:rsidR="00E30AE6" w14:paraId="2999A8BD" w14:textId="77777777" w:rsidTr="00E30AE6">
        <w:tc>
          <w:tcPr>
            <w:tcW w:w="9736" w:type="dxa"/>
          </w:tcPr>
          <w:p w14:paraId="2F75D58B" w14:textId="77777777" w:rsidR="00E30AE6" w:rsidRPr="00E30AE6" w:rsidRDefault="00E30AE6" w:rsidP="00E30AE6">
            <w:pPr>
              <w:pStyle w:val="avsnitt-undertittel"/>
            </w:pPr>
            <w:r w:rsidRPr="00E30AE6">
              <w:t>Behov for annet personell</w:t>
            </w:r>
          </w:p>
          <w:p w14:paraId="568DF45C" w14:textId="06EA615C" w:rsidR="00E30AE6" w:rsidRPr="00E30AE6" w:rsidRDefault="00E30AE6" w:rsidP="00E30AE6">
            <w:r w:rsidRPr="00E30AE6">
              <w:t>Det er i eksemplene lagt til grunn at et årsverk med annet personell skal gjennomføre</w:t>
            </w:r>
            <w:r w:rsidRPr="00E30AE6">
              <w:br/>
              <w:t xml:space="preserve"> 8 konsultasjoner per dag, i gjennomsnitt 0,5 konsultasjoner per listeinnbygger per år, og at en gjennomsnittlig fastlegeliste (med 1 000 innbyggere) har behov for en 27 prosent stillingsressurs. Gitt dette eksempelet betyr det at et årsverk med annet personell, er normert til ca. 3 700 listeinnbyggere. Avhengig av hvor stor andel av legene som ansetter annet personell, og dermed hvor mange innbyggere som får tilgang til annet personell, kan man anslå følgende behov for årsverk:</w:t>
            </w:r>
          </w:p>
          <w:p w14:paraId="1EE45679" w14:textId="77777777" w:rsidR="00E30AE6" w:rsidRPr="00E30AE6" w:rsidRDefault="00E30AE6" w:rsidP="00E30AE6">
            <w:r w:rsidRPr="00E30AE6">
              <w:t>Eksempel på behov for årsverk annet personell</w:t>
            </w:r>
          </w:p>
          <w:tbl>
            <w:tblPr>
              <w:tblStyle w:val="0Ekspertutvalgettabellstil1"/>
              <w:tblW w:w="5000" w:type="pct"/>
              <w:tblLook w:val="04A0" w:firstRow="1" w:lastRow="0" w:firstColumn="1" w:lastColumn="0" w:noHBand="0" w:noVBand="1"/>
            </w:tblPr>
            <w:tblGrid>
              <w:gridCol w:w="5671"/>
              <w:gridCol w:w="3715"/>
            </w:tblGrid>
            <w:tr w:rsidR="00E30AE6" w:rsidRPr="00E30AE6" w14:paraId="460B9112" w14:textId="77777777" w:rsidTr="00707F9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1" w:type="pct"/>
                  <w:tcBorders>
                    <w:bottom w:val="single" w:sz="18" w:space="0" w:color="2A3652"/>
                  </w:tcBorders>
                  <w:shd w:val="clear" w:color="auto" w:fill="A9D6B9"/>
                  <w:noWrap/>
                  <w:hideMark/>
                </w:tcPr>
                <w:p w14:paraId="38D62CC2" w14:textId="77777777" w:rsidR="00E30AE6" w:rsidRPr="00E30AE6" w:rsidRDefault="00E30AE6" w:rsidP="00E30AE6">
                  <w:pPr>
                    <w:pStyle w:val="TabellHode-kolonne"/>
                    <w:rPr>
                      <w:rStyle w:val="halvfet"/>
                    </w:rPr>
                  </w:pPr>
                  <w:r w:rsidRPr="00E30AE6">
                    <w:rPr>
                      <w:rStyle w:val="halvfet"/>
                    </w:rPr>
                    <w:t>Antall listeinnbyggere med tilgang til annet personell</w:t>
                  </w:r>
                </w:p>
              </w:tc>
              <w:tc>
                <w:tcPr>
                  <w:tcW w:w="1979" w:type="pct"/>
                  <w:tcBorders>
                    <w:bottom w:val="single" w:sz="18" w:space="0" w:color="2A3652"/>
                  </w:tcBorders>
                  <w:shd w:val="clear" w:color="auto" w:fill="A9D6B9"/>
                  <w:noWrap/>
                  <w:hideMark/>
                </w:tcPr>
                <w:p w14:paraId="0B7FEF4A" w14:textId="77777777" w:rsidR="00E30AE6" w:rsidRPr="00E30AE6" w:rsidRDefault="00E30AE6" w:rsidP="00E30AE6">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E30AE6">
                    <w:rPr>
                      <w:rStyle w:val="halvfet"/>
                    </w:rPr>
                    <w:t>Estimerte årsverk annet personell</w:t>
                  </w:r>
                </w:p>
              </w:tc>
            </w:tr>
            <w:tr w:rsidR="00E30AE6" w:rsidRPr="00E30AE6" w14:paraId="2D47CD25" w14:textId="77777777" w:rsidTr="00707F97">
              <w:trPr>
                <w:trHeight w:val="360"/>
              </w:trPr>
              <w:tc>
                <w:tcPr>
                  <w:cnfStyle w:val="001000000000" w:firstRow="0" w:lastRow="0" w:firstColumn="1" w:lastColumn="0" w:oddVBand="0" w:evenVBand="0" w:oddHBand="0" w:evenHBand="0" w:firstRowFirstColumn="0" w:firstRowLastColumn="0" w:lastRowFirstColumn="0" w:lastRowLastColumn="0"/>
                  <w:tcW w:w="3021" w:type="pct"/>
                  <w:tcBorders>
                    <w:top w:val="single" w:sz="18" w:space="0" w:color="2A3652"/>
                  </w:tcBorders>
                  <w:shd w:val="clear" w:color="auto" w:fill="FFFFFF" w:themeFill="background1"/>
                  <w:noWrap/>
                  <w:hideMark/>
                </w:tcPr>
                <w:p w14:paraId="44C9394E" w14:textId="77777777" w:rsidR="00E30AE6" w:rsidRPr="00E30AE6" w:rsidRDefault="00E30AE6" w:rsidP="00E30AE6">
                  <w:pPr>
                    <w:pStyle w:val="TabellHode-rad"/>
                  </w:pPr>
                  <w:r w:rsidRPr="00E30AE6">
                    <w:t>1 million</w:t>
                  </w:r>
                </w:p>
              </w:tc>
              <w:tc>
                <w:tcPr>
                  <w:tcW w:w="1979" w:type="pct"/>
                  <w:tcBorders>
                    <w:top w:val="single" w:sz="18" w:space="0" w:color="2A3652"/>
                  </w:tcBorders>
                  <w:shd w:val="clear" w:color="auto" w:fill="FFFFFF" w:themeFill="background1"/>
                  <w:noWrap/>
                  <w:hideMark/>
                </w:tcPr>
                <w:p w14:paraId="76A83009" w14:textId="77777777" w:rsidR="00E30AE6" w:rsidRPr="00E30AE6" w:rsidRDefault="00E30AE6" w:rsidP="00E30AE6">
                  <w:pPr>
                    <w:jc w:val="right"/>
                    <w:cnfStyle w:val="000000000000" w:firstRow="0" w:lastRow="0" w:firstColumn="0" w:lastColumn="0" w:oddVBand="0" w:evenVBand="0" w:oddHBand="0" w:evenHBand="0" w:firstRowFirstColumn="0" w:firstRowLastColumn="0" w:lastRowFirstColumn="0" w:lastRowLastColumn="0"/>
                  </w:pPr>
                  <w:r w:rsidRPr="00E30AE6">
                    <w:t>270</w:t>
                  </w:r>
                </w:p>
              </w:tc>
            </w:tr>
            <w:tr w:rsidR="00E30AE6" w:rsidRPr="00E30AE6" w14:paraId="2A510CE7"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3021" w:type="pct"/>
                  <w:shd w:val="clear" w:color="auto" w:fill="FFFFFF" w:themeFill="background1"/>
                  <w:noWrap/>
                  <w:hideMark/>
                </w:tcPr>
                <w:p w14:paraId="3695D24B" w14:textId="77777777" w:rsidR="00E30AE6" w:rsidRPr="00E30AE6" w:rsidRDefault="00E30AE6" w:rsidP="00E30AE6">
                  <w:pPr>
                    <w:pStyle w:val="TabellHode-rad"/>
                  </w:pPr>
                  <w:r w:rsidRPr="00E30AE6">
                    <w:t>2 millioner</w:t>
                  </w:r>
                </w:p>
              </w:tc>
              <w:tc>
                <w:tcPr>
                  <w:tcW w:w="1979" w:type="pct"/>
                  <w:shd w:val="clear" w:color="auto" w:fill="FFFFFF" w:themeFill="background1"/>
                  <w:noWrap/>
                  <w:hideMark/>
                </w:tcPr>
                <w:p w14:paraId="2CB15686" w14:textId="77777777" w:rsidR="00E30AE6" w:rsidRPr="00E30AE6" w:rsidRDefault="00E30AE6" w:rsidP="00E30AE6">
                  <w:pPr>
                    <w:jc w:val="right"/>
                    <w:cnfStyle w:val="000000000000" w:firstRow="0" w:lastRow="0" w:firstColumn="0" w:lastColumn="0" w:oddVBand="0" w:evenVBand="0" w:oddHBand="0" w:evenHBand="0" w:firstRowFirstColumn="0" w:firstRowLastColumn="0" w:lastRowFirstColumn="0" w:lastRowLastColumn="0"/>
                  </w:pPr>
                  <w:r w:rsidRPr="00E30AE6">
                    <w:t>540</w:t>
                  </w:r>
                </w:p>
              </w:tc>
            </w:tr>
            <w:tr w:rsidR="00E30AE6" w:rsidRPr="00E30AE6" w14:paraId="125DCCA3"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3021" w:type="pct"/>
                  <w:shd w:val="clear" w:color="auto" w:fill="FFFFFF" w:themeFill="background1"/>
                  <w:noWrap/>
                  <w:hideMark/>
                </w:tcPr>
                <w:p w14:paraId="0268B291" w14:textId="77777777" w:rsidR="00E30AE6" w:rsidRPr="00E30AE6" w:rsidRDefault="00E30AE6" w:rsidP="00E30AE6">
                  <w:pPr>
                    <w:pStyle w:val="TabellHode-rad"/>
                  </w:pPr>
                  <w:r w:rsidRPr="00E30AE6">
                    <w:t>3 millioner</w:t>
                  </w:r>
                </w:p>
              </w:tc>
              <w:tc>
                <w:tcPr>
                  <w:tcW w:w="1979" w:type="pct"/>
                  <w:shd w:val="clear" w:color="auto" w:fill="FFFFFF" w:themeFill="background1"/>
                  <w:noWrap/>
                  <w:hideMark/>
                </w:tcPr>
                <w:p w14:paraId="05972472" w14:textId="77777777" w:rsidR="00E30AE6" w:rsidRPr="00E30AE6" w:rsidRDefault="00E30AE6" w:rsidP="00E30AE6">
                  <w:pPr>
                    <w:jc w:val="right"/>
                    <w:cnfStyle w:val="000000000000" w:firstRow="0" w:lastRow="0" w:firstColumn="0" w:lastColumn="0" w:oddVBand="0" w:evenVBand="0" w:oddHBand="0" w:evenHBand="0" w:firstRowFirstColumn="0" w:firstRowLastColumn="0" w:lastRowFirstColumn="0" w:lastRowLastColumn="0"/>
                  </w:pPr>
                  <w:r w:rsidRPr="00E30AE6">
                    <w:t>810</w:t>
                  </w:r>
                </w:p>
              </w:tc>
            </w:tr>
            <w:tr w:rsidR="00E30AE6" w:rsidRPr="00E30AE6" w14:paraId="2B793B3C"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3021" w:type="pct"/>
                  <w:shd w:val="clear" w:color="auto" w:fill="FFFFFF" w:themeFill="background1"/>
                  <w:noWrap/>
                  <w:hideMark/>
                </w:tcPr>
                <w:p w14:paraId="33803B8F" w14:textId="77777777" w:rsidR="00E30AE6" w:rsidRPr="00E30AE6" w:rsidRDefault="00E30AE6" w:rsidP="00E30AE6">
                  <w:pPr>
                    <w:pStyle w:val="TabellHode-rad"/>
                  </w:pPr>
                  <w:r w:rsidRPr="00E30AE6">
                    <w:t>4 millioner</w:t>
                  </w:r>
                </w:p>
              </w:tc>
              <w:tc>
                <w:tcPr>
                  <w:tcW w:w="1979" w:type="pct"/>
                  <w:shd w:val="clear" w:color="auto" w:fill="FFFFFF" w:themeFill="background1"/>
                  <w:noWrap/>
                  <w:hideMark/>
                </w:tcPr>
                <w:p w14:paraId="5979A9F0" w14:textId="77777777" w:rsidR="00E30AE6" w:rsidRPr="00E30AE6" w:rsidRDefault="00E30AE6" w:rsidP="00E30AE6">
                  <w:pPr>
                    <w:jc w:val="right"/>
                    <w:cnfStyle w:val="000000000000" w:firstRow="0" w:lastRow="0" w:firstColumn="0" w:lastColumn="0" w:oddVBand="0" w:evenVBand="0" w:oddHBand="0" w:evenHBand="0" w:firstRowFirstColumn="0" w:firstRowLastColumn="0" w:lastRowFirstColumn="0" w:lastRowLastColumn="0"/>
                  </w:pPr>
                  <w:r w:rsidRPr="00E30AE6">
                    <w:t>1080</w:t>
                  </w:r>
                </w:p>
              </w:tc>
            </w:tr>
            <w:tr w:rsidR="00E30AE6" w:rsidRPr="00E30AE6" w14:paraId="19E0BCC7" w14:textId="77777777" w:rsidTr="00707F97">
              <w:trPr>
                <w:trHeight w:val="288"/>
              </w:trPr>
              <w:tc>
                <w:tcPr>
                  <w:cnfStyle w:val="001000000000" w:firstRow="0" w:lastRow="0" w:firstColumn="1" w:lastColumn="0" w:oddVBand="0" w:evenVBand="0" w:oddHBand="0" w:evenHBand="0" w:firstRowFirstColumn="0" w:firstRowLastColumn="0" w:lastRowFirstColumn="0" w:lastRowLastColumn="0"/>
                  <w:tcW w:w="3021" w:type="pct"/>
                  <w:shd w:val="clear" w:color="auto" w:fill="FFFFFF" w:themeFill="background1"/>
                  <w:noWrap/>
                  <w:hideMark/>
                </w:tcPr>
                <w:p w14:paraId="64E24343" w14:textId="77777777" w:rsidR="00E30AE6" w:rsidRPr="00E30AE6" w:rsidRDefault="00E30AE6" w:rsidP="00E30AE6">
                  <w:pPr>
                    <w:pStyle w:val="TabellHode-rad"/>
                  </w:pPr>
                  <w:r w:rsidRPr="00E30AE6">
                    <w:t>5 millioner</w:t>
                  </w:r>
                </w:p>
              </w:tc>
              <w:tc>
                <w:tcPr>
                  <w:tcW w:w="1979" w:type="pct"/>
                  <w:shd w:val="clear" w:color="auto" w:fill="FFFFFF" w:themeFill="background1"/>
                  <w:noWrap/>
                  <w:hideMark/>
                </w:tcPr>
                <w:p w14:paraId="573B52B5" w14:textId="77777777" w:rsidR="00E30AE6" w:rsidRPr="00E30AE6" w:rsidRDefault="00E30AE6" w:rsidP="00E30AE6">
                  <w:pPr>
                    <w:jc w:val="right"/>
                    <w:cnfStyle w:val="000000000000" w:firstRow="0" w:lastRow="0" w:firstColumn="0" w:lastColumn="0" w:oddVBand="0" w:evenVBand="0" w:oddHBand="0" w:evenHBand="0" w:firstRowFirstColumn="0" w:firstRowLastColumn="0" w:lastRowFirstColumn="0" w:lastRowLastColumn="0"/>
                  </w:pPr>
                  <w:r w:rsidRPr="00E30AE6">
                    <w:t>1350</w:t>
                  </w:r>
                </w:p>
              </w:tc>
            </w:tr>
          </w:tbl>
          <w:p w14:paraId="73875375" w14:textId="77777777" w:rsidR="00E30AE6" w:rsidRPr="00E30AE6" w:rsidRDefault="00E30AE6" w:rsidP="00E30AE6"/>
        </w:tc>
      </w:tr>
    </w:tbl>
    <w:p w14:paraId="7AA0F7DF" w14:textId="36A1316F" w:rsidR="00BB1CBE" w:rsidRPr="008C1CC2" w:rsidRDefault="00BB1CBE" w:rsidP="00775632">
      <w:pPr>
        <w:pStyle w:val="Overskrift4"/>
      </w:pPr>
      <w:bookmarkStart w:id="3577" w:name="_Toc130983571"/>
      <w:bookmarkStart w:id="3578" w:name="_Toc130983920"/>
      <w:bookmarkStart w:id="3579" w:name="_Toc131238507"/>
      <w:bookmarkStart w:id="3580" w:name="_Toc131279538"/>
      <w:bookmarkStart w:id="3581" w:name="_Toc131286950"/>
      <w:bookmarkStart w:id="3582" w:name="_Toc131281360"/>
      <w:bookmarkStart w:id="3583" w:name="_Toc131317900"/>
      <w:r w:rsidRPr="008C1CC2">
        <w:t>Kommuneøkonomi</w:t>
      </w:r>
      <w:bookmarkEnd w:id="3577"/>
      <w:bookmarkEnd w:id="3578"/>
      <w:bookmarkEnd w:id="3579"/>
      <w:bookmarkEnd w:id="3580"/>
      <w:bookmarkEnd w:id="3581"/>
      <w:bookmarkEnd w:id="3582"/>
      <w:bookmarkEnd w:id="3583"/>
    </w:p>
    <w:p w14:paraId="3D62EBFE" w14:textId="77777777" w:rsidR="00D9107F" w:rsidRDefault="0070717E" w:rsidP="00BE203D">
      <w:pPr>
        <w:jc w:val="both"/>
      </w:pPr>
      <w:r>
        <w:t xml:space="preserve">Dersom </w:t>
      </w:r>
      <w:r w:rsidR="00BB1CBE">
        <w:t>ansettelse av annet personell skal utløse tilskudd</w:t>
      </w:r>
      <w:r>
        <w:t xml:space="preserve">, </w:t>
      </w:r>
      <w:r w:rsidR="00092205">
        <w:t xml:space="preserve">må det </w:t>
      </w:r>
      <w:r w:rsidR="00803BE2">
        <w:t xml:space="preserve">konkretiseres hvordan tilskuddet skal utmåles. Det må også </w:t>
      </w:r>
      <w:r w:rsidR="00092205">
        <w:t xml:space="preserve">vurderes om </w:t>
      </w:r>
      <w:r w:rsidR="006576AD">
        <w:t>t</w:t>
      </w:r>
      <w:r w:rsidR="00BB1CBE">
        <w:t>ilskudd</w:t>
      </w:r>
      <w:r w:rsidR="00092205">
        <w:t>et skal</w:t>
      </w:r>
      <w:r w:rsidR="00BB1CBE">
        <w:t xml:space="preserve"> utbetales fra kommunen.</w:t>
      </w:r>
    </w:p>
    <w:p w14:paraId="17E36CD3" w14:textId="77777777" w:rsidR="00D9107F" w:rsidRDefault="00AE322A" w:rsidP="00BE203D">
      <w:pPr>
        <w:jc w:val="both"/>
      </w:pPr>
      <w:r>
        <w:t xml:space="preserve">Dersom kommunene skal utbetale </w:t>
      </w:r>
      <w:r w:rsidR="00BB1CBE">
        <w:t xml:space="preserve">tilskudd </w:t>
      </w:r>
      <w:r w:rsidR="00A83F28">
        <w:t>for</w:t>
      </w:r>
      <w:r w:rsidR="00BB1CBE">
        <w:t xml:space="preserve"> annet personell</w:t>
      </w:r>
      <w:r>
        <w:t>, må</w:t>
      </w:r>
      <w:r w:rsidR="005F5BC3">
        <w:t xml:space="preserve"> det vurderes hvordan</w:t>
      </w:r>
      <w:r>
        <w:t xml:space="preserve"> </w:t>
      </w:r>
      <w:r w:rsidR="00864FB8">
        <w:t>de</w:t>
      </w:r>
      <w:r w:rsidR="00BB1CBE">
        <w:t xml:space="preserve"> </w:t>
      </w:r>
      <w:r w:rsidR="005F5BC3">
        <w:t xml:space="preserve">skal </w:t>
      </w:r>
      <w:r w:rsidR="00BB1CBE">
        <w:t>tilføres midler. Gitt at kommunene skal utbetale tilskudd, vil økonomien i ordningen ikke være kostnadsnøytral</w:t>
      </w:r>
      <w:r w:rsidR="00864FB8">
        <w:t xml:space="preserve"> for kommunene</w:t>
      </w:r>
      <w:r w:rsidR="00BB1CBE">
        <w:t>. Jo mer annet personell som ansettes i fastlegevirksomhetene i kommunen, jo høyere blir utgiftene for kommunen.</w:t>
      </w:r>
      <w:r w:rsidR="001F279E">
        <w:t xml:space="preserve"> </w:t>
      </w:r>
      <w:r w:rsidR="00E04A38">
        <w:t>Det vil være staten v</w:t>
      </w:r>
      <w:r w:rsidR="00857069">
        <w:t xml:space="preserve">ed </w:t>
      </w:r>
      <w:r w:rsidR="00E04A38">
        <w:t xml:space="preserve">Helfo som </w:t>
      </w:r>
      <w:r w:rsidR="005F5BC3">
        <w:t xml:space="preserve">gjennom takstsystemet </w:t>
      </w:r>
      <w:r w:rsidR="00E04A38">
        <w:t xml:space="preserve">vil finansiere </w:t>
      </w:r>
      <w:r w:rsidR="005F5BC3">
        <w:t xml:space="preserve">eventuell </w:t>
      </w:r>
      <w:r w:rsidR="00E04A38">
        <w:t>økt aktivitet.</w:t>
      </w:r>
    </w:p>
    <w:p w14:paraId="4147DF4D" w14:textId="170437F5" w:rsidR="001956FF" w:rsidRDefault="00673094" w:rsidP="00775632">
      <w:pPr>
        <w:pStyle w:val="Overskrift2"/>
      </w:pPr>
      <w:bookmarkStart w:id="3584" w:name="_Toc126817079"/>
      <w:bookmarkStart w:id="3585" w:name="_Toc127633260"/>
      <w:bookmarkStart w:id="3586" w:name="_Toc127864546"/>
      <w:bookmarkStart w:id="3587" w:name="_Toc128238554"/>
      <w:bookmarkStart w:id="3588" w:name="_Toc128742036"/>
      <w:bookmarkStart w:id="3589" w:name="_Toc128744631"/>
      <w:bookmarkStart w:id="3590" w:name="_Toc128744850"/>
      <w:bookmarkStart w:id="3591" w:name="_Toc129630354"/>
      <w:bookmarkStart w:id="3592" w:name="_Toc130763856"/>
      <w:bookmarkStart w:id="3593" w:name="_Toc130766751"/>
      <w:bookmarkStart w:id="3594" w:name="_Ref130924428"/>
      <w:bookmarkStart w:id="3595" w:name="_Toc130932152"/>
      <w:bookmarkStart w:id="3596" w:name="_Toc130934443"/>
      <w:bookmarkStart w:id="3597" w:name="_Toc130983572"/>
      <w:bookmarkStart w:id="3598" w:name="_Toc130983921"/>
      <w:bookmarkStart w:id="3599" w:name="_Toc131062197"/>
      <w:bookmarkStart w:id="3600" w:name="_Toc131062451"/>
      <w:bookmarkStart w:id="3601" w:name="_Toc131062712"/>
      <w:bookmarkStart w:id="3602" w:name="_Toc131062965"/>
      <w:bookmarkStart w:id="3603" w:name="_Toc131063748"/>
      <w:bookmarkStart w:id="3604" w:name="_Toc131064158"/>
      <w:bookmarkStart w:id="3605" w:name="_Toc131238508"/>
      <w:bookmarkStart w:id="3606" w:name="_Toc131279539"/>
      <w:bookmarkStart w:id="3607" w:name="_Toc131286951"/>
      <w:bookmarkStart w:id="3608" w:name="_Toc131281361"/>
      <w:bookmarkStart w:id="3609" w:name="_Toc131317901"/>
      <w:bookmarkStart w:id="3610" w:name="_Toc132537022"/>
      <w:r>
        <w:t>Ekspertu</w:t>
      </w:r>
      <w:r w:rsidR="00FF2996">
        <w:t>tvalgets</w:t>
      </w:r>
      <w:r w:rsidR="001956FF">
        <w:t xml:space="preserve"> </w:t>
      </w:r>
      <w:bookmarkEnd w:id="3584"/>
      <w:bookmarkEnd w:id="3585"/>
      <w:bookmarkEnd w:id="3586"/>
      <w:bookmarkEnd w:id="3587"/>
      <w:bookmarkEnd w:id="3588"/>
      <w:bookmarkEnd w:id="3589"/>
      <w:bookmarkEnd w:id="3590"/>
      <w:r w:rsidR="00A03F17">
        <w:t>vurdering</w:t>
      </w:r>
      <w:r w:rsidR="00C47C24">
        <w:t>er</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14:paraId="25CCFE68" w14:textId="77777777" w:rsidR="00D9107F" w:rsidRDefault="009F1424" w:rsidP="00BE203D">
      <w:pPr>
        <w:jc w:val="both"/>
      </w:pPr>
      <w:r>
        <w:t>Helsepersonellkommisjone</w:t>
      </w:r>
      <w:r w:rsidR="00676614">
        <w:t>n peker på behovet for omstilling i tjenesten</w:t>
      </w:r>
      <w:r w:rsidR="003F513C">
        <w:t xml:space="preserve"> som gjør</w:t>
      </w:r>
      <w:r w:rsidR="007B6BC9">
        <w:t xml:space="preserve"> at helsepersonell i </w:t>
      </w:r>
      <w:r w:rsidR="00D66CA5">
        <w:t>fram</w:t>
      </w:r>
      <w:r w:rsidR="007B6BC9">
        <w:t>tiden skal klare å</w:t>
      </w:r>
      <w:r w:rsidR="009D6E06">
        <w:t xml:space="preserve"> </w:t>
      </w:r>
      <w:r w:rsidR="007B6BC9">
        <w:t xml:space="preserve">ta hånd om flere pasienter og brukere </w:t>
      </w:r>
      <w:r w:rsidR="009D6E06">
        <w:t>enn i dag.</w:t>
      </w:r>
      <w:r w:rsidR="007B6BC9">
        <w:t xml:space="preserve"> </w:t>
      </w:r>
      <w:r w:rsidR="002555E9">
        <w:t>En viktig del av denne omstilling</w:t>
      </w:r>
      <w:r w:rsidR="00575F7D">
        <w:t>en</w:t>
      </w:r>
      <w:r w:rsidR="002555E9">
        <w:t xml:space="preserve"> </w:t>
      </w:r>
      <w:r w:rsidR="00F8515B">
        <w:t xml:space="preserve">innebærer </w:t>
      </w:r>
      <w:r w:rsidR="00D60984">
        <w:t xml:space="preserve">å </w:t>
      </w:r>
      <w:r w:rsidR="00851541" w:rsidRPr="00851541">
        <w:t>bruk</w:t>
      </w:r>
      <w:r w:rsidR="00851541">
        <w:t>e</w:t>
      </w:r>
      <w:r w:rsidR="00885A9F" w:rsidRPr="005D133B">
        <w:t xml:space="preserve"> tilgjengelig kompetanse gjennom god oppgavedeling </w:t>
      </w:r>
      <w:r w:rsidR="00C40E4B">
        <w:t xml:space="preserve">og </w:t>
      </w:r>
      <w:r w:rsidR="00885A9F" w:rsidRPr="005D133B">
        <w:t>bygge nedenfra</w:t>
      </w:r>
      <w:r w:rsidR="00723FDE">
        <w:t xml:space="preserve"> </w:t>
      </w:r>
      <w:r w:rsidR="00B247FD">
        <w:fldChar w:fldCharType="begin"/>
      </w:r>
      <w:r w:rsidR="00B247FD">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B247FD">
        <w:fldChar w:fldCharType="separate"/>
      </w:r>
      <w:r w:rsidR="00B247FD">
        <w:rPr>
          <w:noProof/>
        </w:rPr>
        <w:t>(Helse- og omsorgsdepartementet, 2023c)</w:t>
      </w:r>
      <w:r w:rsidR="00B247FD">
        <w:fldChar w:fldCharType="end"/>
      </w:r>
      <w:r w:rsidR="00C40E4B">
        <w:t xml:space="preserve">. </w:t>
      </w:r>
      <w:r w:rsidR="00851F48">
        <w:t>Overført til fastlegetjenesten</w:t>
      </w:r>
      <w:r w:rsidR="002B0C86">
        <w:t>,</w:t>
      </w:r>
      <w:r w:rsidR="00E825E5">
        <w:t xml:space="preserve"> </w:t>
      </w:r>
      <w:r w:rsidR="00CA3FEA">
        <w:t xml:space="preserve">vil dette innebære </w:t>
      </w:r>
      <w:r w:rsidR="0038606D">
        <w:t xml:space="preserve">å </w:t>
      </w:r>
      <w:r w:rsidR="00851C6C">
        <w:t>ta i bruk virkemidler</w:t>
      </w:r>
      <w:r w:rsidR="00184A2B">
        <w:t xml:space="preserve"> </w:t>
      </w:r>
      <w:r w:rsidR="00463AB0">
        <w:t xml:space="preserve">som gjør </w:t>
      </w:r>
      <w:r w:rsidR="00F82564">
        <w:t xml:space="preserve">at </w:t>
      </w:r>
      <w:r w:rsidR="001013DF">
        <w:t xml:space="preserve">hver fastlege </w:t>
      </w:r>
      <w:r w:rsidR="00F82564">
        <w:t xml:space="preserve">kan </w:t>
      </w:r>
      <w:r w:rsidR="0049E9B1">
        <w:t xml:space="preserve">ivareta </w:t>
      </w:r>
      <w:r w:rsidR="6A26CE55">
        <w:t>flere</w:t>
      </w:r>
      <w:r w:rsidR="000D4F15">
        <w:t xml:space="preserve"> innbyggere på sin liste</w:t>
      </w:r>
      <w:r w:rsidR="00053118">
        <w:t xml:space="preserve">, for eksempel ved </w:t>
      </w:r>
      <w:r w:rsidR="00873E54">
        <w:t xml:space="preserve">at andre helsepersonellgrupper </w:t>
      </w:r>
      <w:r w:rsidR="00505990">
        <w:t>kan</w:t>
      </w:r>
      <w:r w:rsidR="00BA6C68">
        <w:t xml:space="preserve"> overta en del av oppgavene </w:t>
      </w:r>
      <w:r w:rsidR="00527C1E">
        <w:t xml:space="preserve">til </w:t>
      </w:r>
      <w:r w:rsidR="00BA6C68">
        <w:t>fastlegen.</w:t>
      </w:r>
    </w:p>
    <w:p w14:paraId="1694D8D2" w14:textId="5FB7B5F9" w:rsidR="00B65ECC" w:rsidRDefault="00FA50D6" w:rsidP="00BE203D">
      <w:pPr>
        <w:jc w:val="both"/>
      </w:pPr>
      <w:r>
        <w:lastRenderedPageBreak/>
        <w:t>Ekspertutvalget</w:t>
      </w:r>
      <w:r w:rsidR="002276E2">
        <w:t xml:space="preserve"> mener at en</w:t>
      </w:r>
      <w:r w:rsidR="00B65ECC" w:rsidRPr="002D6649">
        <w:t xml:space="preserve"> allmennlegetjeneste med en større bredde i det faglige tilbudet</w:t>
      </w:r>
      <w:r w:rsidR="00505990">
        <w:t>,</w:t>
      </w:r>
      <w:r w:rsidR="00B65ECC" w:rsidRPr="002D6649">
        <w:t xml:space="preserve"> hvor flere helsepersonellgrupper jobber i team </w:t>
      </w:r>
      <w:r w:rsidR="008E05BA">
        <w:t>rundt</w:t>
      </w:r>
      <w:r w:rsidR="00B65ECC" w:rsidRPr="002D6649">
        <w:t xml:space="preserve"> pasienten</w:t>
      </w:r>
      <w:r w:rsidR="00505990">
        <w:t>,</w:t>
      </w:r>
      <w:r w:rsidR="00B65ECC" w:rsidRPr="002D6649">
        <w:t xml:space="preserve"> </w:t>
      </w:r>
      <w:r w:rsidR="00B65ECC">
        <w:t>kan gi</w:t>
      </w:r>
      <w:r w:rsidR="00B65ECC" w:rsidRPr="002D6649">
        <w:t xml:space="preserve"> effektiv utnyttelse av </w:t>
      </w:r>
      <w:r w:rsidR="004A2B5C">
        <w:t>re</w:t>
      </w:r>
      <w:r w:rsidR="00B65ECC" w:rsidRPr="002D6649">
        <w:t>ssursene</w:t>
      </w:r>
      <w:r w:rsidR="00A24EE0">
        <w:t>. Det kan</w:t>
      </w:r>
      <w:r w:rsidR="0092699B">
        <w:t xml:space="preserve"> også </w:t>
      </w:r>
      <w:r w:rsidR="00A24EE0">
        <w:t>bedre</w:t>
      </w:r>
      <w:r w:rsidR="0092699B">
        <w:t xml:space="preserve"> </w:t>
      </w:r>
      <w:r w:rsidR="00F86AF0">
        <w:t>kvaliteten i tjenesten ved at økt tverrfaglighet i seg selv gir en merverdi</w:t>
      </w:r>
      <w:r w:rsidR="00B65ECC" w:rsidRPr="002D6649">
        <w:t xml:space="preserve">. </w:t>
      </w:r>
      <w:r w:rsidR="007672F7">
        <w:t xml:space="preserve">Annet helsepersonell </w:t>
      </w:r>
      <w:r w:rsidR="0098036C">
        <w:t>har en annen kompetanse</w:t>
      </w:r>
      <w:r w:rsidR="007672F7">
        <w:t xml:space="preserve"> </w:t>
      </w:r>
      <w:r w:rsidR="00EC19EE">
        <w:t>enn legen</w:t>
      </w:r>
      <w:r w:rsidR="00FE35EC">
        <w:t>,</w:t>
      </w:r>
      <w:r w:rsidR="00EC19EE">
        <w:t xml:space="preserve"> </w:t>
      </w:r>
      <w:r w:rsidR="005C0555">
        <w:t>og kan bidra med</w:t>
      </w:r>
      <w:r w:rsidR="003B3A29">
        <w:t xml:space="preserve"> </w:t>
      </w:r>
      <w:r w:rsidR="006D4F42">
        <w:t xml:space="preserve">komplementær kunnskap </w:t>
      </w:r>
      <w:r w:rsidR="00D80DDF">
        <w:t xml:space="preserve">som </w:t>
      </w:r>
      <w:r w:rsidR="008D3CC8">
        <w:t xml:space="preserve">kommer listeinnbyggerne til gode. </w:t>
      </w:r>
      <w:r w:rsidR="00D40949">
        <w:t>Dette gjelder både i</w:t>
      </w:r>
      <w:r w:rsidR="002276E2">
        <w:t>nnad</w:t>
      </w:r>
      <w:r w:rsidR="00D40949">
        <w:t xml:space="preserve"> i fastlegekontoret, men også ved at</w:t>
      </w:r>
      <w:r w:rsidR="008D5226">
        <w:t xml:space="preserve"> fastlegetjenesten i større grad integreres</w:t>
      </w:r>
      <w:r w:rsidR="00230AF8">
        <w:t>,</w:t>
      </w:r>
      <w:r w:rsidR="008D5226">
        <w:t xml:space="preserve"> og </w:t>
      </w:r>
      <w:r w:rsidR="000E04E6">
        <w:t xml:space="preserve">deler på oppgavene med </w:t>
      </w:r>
      <w:r w:rsidR="00506CD5">
        <w:t>annet helsepersonell i den øvrige kommunale helse- og omsorgstjenesten</w:t>
      </w:r>
      <w:r>
        <w:t>.</w:t>
      </w:r>
      <w:r w:rsidR="00F52AC8">
        <w:t xml:space="preserve"> </w:t>
      </w:r>
      <w:r w:rsidR="00BC38BB">
        <w:t>Tverrfaglighet i fastlegekontor kan også bidra til å avlaste spesialisthelsetjenesten.</w:t>
      </w:r>
    </w:p>
    <w:p w14:paraId="42C4E160" w14:textId="772F5D66" w:rsidR="000C1657" w:rsidRDefault="004E4571" w:rsidP="00254BA7">
      <w:pPr>
        <w:jc w:val="both"/>
      </w:pPr>
      <w:r>
        <w:t xml:space="preserve">En omstilling </w:t>
      </w:r>
      <w:r w:rsidR="00C42FC1">
        <w:t>i fastlegetjenesten</w:t>
      </w:r>
      <w:r w:rsidR="00E047CC">
        <w:t xml:space="preserve">, hvor annet helsepersonell </w:t>
      </w:r>
      <w:r w:rsidR="00B25B40">
        <w:t xml:space="preserve">avlaster fastlegen, </w:t>
      </w:r>
      <w:r w:rsidR="00D05C88">
        <w:t xml:space="preserve">kan bidra til å øke kapasiteten </w:t>
      </w:r>
      <w:r w:rsidR="00574420">
        <w:t>i fastlegeordningen</w:t>
      </w:r>
      <w:r w:rsidR="00823493">
        <w:t xml:space="preserve">. </w:t>
      </w:r>
      <w:r w:rsidR="00F33DD9">
        <w:t>Kapasiteten</w:t>
      </w:r>
      <w:r w:rsidR="00823493">
        <w:t xml:space="preserve"> kan øke </w:t>
      </w:r>
      <w:r w:rsidR="00D82F30">
        <w:t>når</w:t>
      </w:r>
      <w:r w:rsidR="00823493">
        <w:t xml:space="preserve"> arbeidsmengden fordeles på </w:t>
      </w:r>
      <w:r w:rsidR="00BB7A11">
        <w:t>flere</w:t>
      </w:r>
      <w:r w:rsidR="00823493">
        <w:t>.</w:t>
      </w:r>
      <w:r w:rsidR="00911EA4">
        <w:t xml:space="preserve"> </w:t>
      </w:r>
      <w:r w:rsidR="002B2555">
        <w:t xml:space="preserve">Annet personell som </w:t>
      </w:r>
      <w:r w:rsidR="000F0716">
        <w:t xml:space="preserve">overtar oppgaver knyttet til drift og administrasjon av fastlegekontoret, vil også kunne bidra til </w:t>
      </w:r>
      <w:r w:rsidR="00C46D96">
        <w:t>at legene kan bruke mer tid på pasientrettet arbeid</w:t>
      </w:r>
      <w:r w:rsidR="001C23FD">
        <w:t>. Samtidig er det flere andre forhold som vil påvirke hvor store lister hver fastlege kan betjene, som for eksempel legevaktbelastning og avgrensning av oppgaver som legges til fastlegene.</w:t>
      </w:r>
    </w:p>
    <w:p w14:paraId="4400BE37" w14:textId="2DD88293" w:rsidR="00AD2B35" w:rsidRDefault="00AD2B35" w:rsidP="00254BA7">
      <w:pPr>
        <w:jc w:val="both"/>
      </w:pPr>
      <w:r w:rsidRPr="00AD2B35">
        <w:t xml:space="preserve">Ekspertutvalget mener at annet personell i større grad enn i dag kan avlaste fastlegen og utføre oppgaver </w:t>
      </w:r>
      <w:r w:rsidRPr="00D9107F">
        <w:rPr>
          <w:rStyle w:val="kursiv"/>
        </w:rPr>
        <w:t>i stedet for</w:t>
      </w:r>
      <w:r w:rsidRPr="00AD2B35">
        <w:t xml:space="preserve"> fastlegen.</w:t>
      </w:r>
      <w:r w:rsidR="003D667E">
        <w:t xml:space="preserve"> A</w:t>
      </w:r>
      <w:r w:rsidRPr="00AD2B35">
        <w:t xml:space="preserve">ndre helsepersonellgrupper vil </w:t>
      </w:r>
      <w:r w:rsidR="00727E5C">
        <w:t xml:space="preserve">samtidig </w:t>
      </w:r>
      <w:r w:rsidRPr="00AD2B35">
        <w:t xml:space="preserve">være en faglig og kapasitetsmessig utvidelse, og komme </w:t>
      </w:r>
      <w:r w:rsidRPr="00D9107F">
        <w:rPr>
          <w:rStyle w:val="kursiv"/>
        </w:rPr>
        <w:t>i tillegg til</w:t>
      </w:r>
      <w:r w:rsidRPr="00AD2B35">
        <w:t xml:space="preserve"> </w:t>
      </w:r>
      <w:r w:rsidR="00A752FB">
        <w:t>d</w:t>
      </w:r>
      <w:r w:rsidRPr="00AD2B35">
        <w:t>agens tjenester i fastlegekontor.</w:t>
      </w:r>
      <w:r w:rsidR="009755ED">
        <w:t xml:space="preserve"> Det</w:t>
      </w:r>
      <w:r w:rsidR="009755ED" w:rsidRPr="009755ED">
        <w:t xml:space="preserve"> vil føre til at samlet omfang av helsepersonell innenfor fastlegeordningen vil øke</w:t>
      </w:r>
      <w:r w:rsidR="00785014">
        <w:t>.</w:t>
      </w:r>
      <w:r w:rsidR="009755ED" w:rsidRPr="009755ED">
        <w:t xml:space="preserve"> </w:t>
      </w:r>
      <w:r w:rsidR="00C5686D">
        <w:t>Helsepersonellkommisjonen peker på at det vil være e</w:t>
      </w:r>
      <w:r w:rsidR="005B2A20">
        <w:t>t økende behov for helsepersonell i årene framover, og at det særlig vil bli mangel på sykepleiere</w:t>
      </w:r>
      <w:r w:rsidR="00CB2F20">
        <w:t xml:space="preserve"> </w:t>
      </w:r>
      <w:r w:rsidR="00FF791E">
        <w:fldChar w:fldCharType="begin"/>
      </w:r>
      <w:r w:rsidR="00FF791E">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FF791E">
        <w:fldChar w:fldCharType="separate"/>
      </w:r>
      <w:r w:rsidR="00FF791E">
        <w:rPr>
          <w:noProof/>
        </w:rPr>
        <w:t>(Helse- og omsorgsdepartementet, 2023c)</w:t>
      </w:r>
      <w:r w:rsidR="00FF791E">
        <w:fldChar w:fldCharType="end"/>
      </w:r>
      <w:r w:rsidR="005B2A20">
        <w:t xml:space="preserve">. </w:t>
      </w:r>
      <w:r w:rsidR="00594678">
        <w:t xml:space="preserve">I følge en </w:t>
      </w:r>
      <w:r w:rsidR="000E6C80">
        <w:t xml:space="preserve">tidligere </w:t>
      </w:r>
      <w:r w:rsidR="00594678">
        <w:t xml:space="preserve">kartlegging fra SSB </w:t>
      </w:r>
      <w:r w:rsidR="00594678" w:rsidRPr="00594678">
        <w:t>jobber 1 av 5 sykepleiere ikke i helsetjenesten</w:t>
      </w:r>
      <w:r w:rsidR="000E6C80">
        <w:t xml:space="preserve"> t</w:t>
      </w:r>
      <w:r w:rsidR="00594678" w:rsidRPr="00594678">
        <w:t>i år etter fullført utdanning</w:t>
      </w:r>
      <w:r w:rsidR="0546AFF5" w:rsidRPr="00594678">
        <w:t xml:space="preserve"> </w:t>
      </w:r>
      <w:r w:rsidR="008E4D3F">
        <w:fldChar w:fldCharType="begin"/>
      </w:r>
      <w:r w:rsidR="008E4D3F">
        <w:instrText xml:space="preserve"> ADDIN EN.CITE &lt;EndNote&gt;&lt;Cite&gt;&lt;Author&gt;SSB&lt;/Author&gt;&lt;Year&gt;2017&lt;/Year&gt;&lt;RecNum&gt;943&lt;/RecNum&gt;&lt;DisplayText&gt;(SSB, 2017)&lt;/DisplayText&gt;&lt;record&gt;&lt;rec-number&gt;943&lt;/rec-number&gt;&lt;foreign-keys&gt;&lt;key app="EN" db-id="95tpr2tp6r9xwoea9rb5wdsz5ds5xeddteew" timestamp="1680221198"&gt;943&lt;/key&gt;&lt;/foreign-keys&gt;&lt;ref-type name="Web Page"&gt;12&lt;/ref-type&gt;&lt;contributors&gt;&lt;authors&gt;&lt;author&gt;SSB&lt;/author&gt;&lt;/authors&gt;&lt;/contributors&gt;&lt;titles&gt;&lt;title&gt;1 av 5 nyutdanna sykepleiere jobber ikke i helsetjenesten  &lt;/title&gt;&lt;/titles&gt;&lt;volume&gt; 30.03.23&lt;/volume&gt;&lt;dates&gt;&lt;year&gt;2017&lt;/year&gt;&lt;/dates&gt;&lt;urls&gt;&lt;/urls&gt;&lt;/record&gt;&lt;/Cite&gt;&lt;/EndNote&gt;</w:instrText>
      </w:r>
      <w:r w:rsidR="008E4D3F">
        <w:fldChar w:fldCharType="separate"/>
      </w:r>
      <w:r w:rsidR="008E4D3F">
        <w:rPr>
          <w:noProof/>
        </w:rPr>
        <w:t>(SSB, 2017)</w:t>
      </w:r>
      <w:r w:rsidR="008E4D3F">
        <w:fldChar w:fldCharType="end"/>
      </w:r>
      <w:r w:rsidR="000E6C80">
        <w:t xml:space="preserve">. </w:t>
      </w:r>
      <w:r w:rsidR="00001012">
        <w:t>En kartlegging i forbindelse med e</w:t>
      </w:r>
      <w:r w:rsidR="000F5839">
        <w:t>v</w:t>
      </w:r>
      <w:r w:rsidR="00001012">
        <w:t xml:space="preserve">alueringen av forsøket med primærhelseteam, viser at 50 prosent av </w:t>
      </w:r>
      <w:r w:rsidR="00704AD5">
        <w:t xml:space="preserve">alle </w:t>
      </w:r>
      <w:r w:rsidR="00001012">
        <w:t xml:space="preserve">kommunale legekontor og 16 prosent av </w:t>
      </w:r>
      <w:r w:rsidR="00704AD5">
        <w:t xml:space="preserve">alle </w:t>
      </w:r>
      <w:r w:rsidR="000F5839">
        <w:t xml:space="preserve">privat eide legekontor </w:t>
      </w:r>
      <w:r w:rsidR="00653C5C">
        <w:t xml:space="preserve">allerede </w:t>
      </w:r>
      <w:r w:rsidR="000F5839">
        <w:t>ha</w:t>
      </w:r>
      <w:r w:rsidR="00653C5C">
        <w:t>r</w:t>
      </w:r>
      <w:r w:rsidR="000F5839">
        <w:t xml:space="preserve"> sykepleier(e) ansatt</w:t>
      </w:r>
      <w:r w:rsidR="00306BD6">
        <w:t xml:space="preserve"> </w:t>
      </w:r>
      <w:r w:rsidR="00BE43A2">
        <w:fldChar w:fldCharType="begin"/>
      </w:r>
      <w:r w:rsidR="004654FD">
        <w:instrText xml:space="preserve"> ADDIN EN.CITE &lt;EndNote&gt;&lt;Cite&gt;&lt;Author&gt;Abelsen B.&lt;/Author&gt;&lt;Year&gt;2022&lt;/Year&gt;&lt;RecNum&gt;215&lt;/RecNum&gt;&lt;DisplayText&gt;(Abelsen B. et al., 2022)&lt;/DisplayText&gt;&lt;record&gt;&lt;rec-number&gt;215&lt;/rec-number&gt;&lt;foreign-keys&gt;&lt;key app="EN" db-id="95tpr2tp6r9xwoea9rb5wdsz5ds5xeddteew" timestamp="1680069511"&gt;215&lt;/key&gt;&lt;/foreign-keys&gt;&lt;ref-type name="Report"&gt;27&lt;/ref-type&gt;&lt;contributors&gt;&lt;authors&gt;&lt;author&gt;Abelsen B., &lt;/author&gt;&lt;author&gt;Gaski M., &lt;/author&gt;&lt;author&gt;Godager G., &lt;/author&gt;&lt;author&gt;Iversen T., &lt;/author&gt;&lt;author&gt;Løyland HI., &lt;/author&gt;&lt;author&gt;Sæther EM&lt;/author&gt;&lt;/authors&gt;&lt;/contributors&gt;&lt;titles&gt;&lt;title&gt;Evaluering av forsøk med primærhelseteam og alternative finansieringsordninger: Sluttrapport for 2018-2021 (Statusrapport IV)&lt;/title&gt;&lt;/titles&gt;&lt;dates&gt;&lt;year&gt;2022&lt;/year&gt;&lt;/dates&gt;&lt;publisher&gt;Institutt for helse og samfunn UiO, Oslo Economics og Nasjonalt senter for distriktsmedisin UiT Norges arktiske universitet&lt;/publisher&gt;&lt;urls&gt;&lt;/urls&gt;&lt;/record&gt;&lt;/Cite&gt;&lt;/EndNote&gt;</w:instrText>
      </w:r>
      <w:r w:rsidR="00BE43A2">
        <w:fldChar w:fldCharType="separate"/>
      </w:r>
      <w:r w:rsidR="00BE43A2">
        <w:rPr>
          <w:noProof/>
        </w:rPr>
        <w:t>(Abelsen B. et al., 2022)</w:t>
      </w:r>
      <w:r w:rsidR="00BE43A2">
        <w:fldChar w:fldCharType="end"/>
      </w:r>
      <w:r w:rsidR="000F5839">
        <w:t xml:space="preserve">. </w:t>
      </w:r>
      <w:r w:rsidR="00534D7D">
        <w:t xml:space="preserve">Rekruttering av </w:t>
      </w:r>
      <w:r w:rsidR="00653C5C">
        <w:t>nye</w:t>
      </w:r>
      <w:r w:rsidR="00B87624">
        <w:t xml:space="preserve"> </w:t>
      </w:r>
      <w:r w:rsidR="00534D7D">
        <w:t xml:space="preserve">sykepleiere til fastlegekontoret kan komme fra andre sektorer utenfor helsetjenesten, men også fra spesialisthelsetjenesten og øvrig kommunal helse- og omsorgstjeneste. </w:t>
      </w:r>
      <w:r w:rsidR="005414DB">
        <w:t xml:space="preserve">Det er vanskelig å forutse effekten av dette, og bruk i fastlegekontor må </w:t>
      </w:r>
      <w:r w:rsidR="00BB745B" w:rsidRPr="009755ED">
        <w:t>veies opp mot alternativ bruk av personellet.</w:t>
      </w:r>
    </w:p>
    <w:p w14:paraId="2F47E1AB" w14:textId="77777777" w:rsidR="00D9107F" w:rsidRDefault="005849E5" w:rsidP="00775632">
      <w:pPr>
        <w:pStyle w:val="Overskrift3"/>
      </w:pPr>
      <w:bookmarkStart w:id="3611" w:name="_Toc130763857"/>
      <w:bookmarkStart w:id="3612" w:name="_Toc130766752"/>
      <w:bookmarkStart w:id="3613" w:name="_Toc130932153"/>
      <w:bookmarkStart w:id="3614" w:name="_Toc130934444"/>
      <w:bookmarkStart w:id="3615" w:name="_Toc130983573"/>
      <w:bookmarkStart w:id="3616" w:name="_Toc130983922"/>
      <w:bookmarkStart w:id="3617" w:name="_Toc131062198"/>
      <w:bookmarkStart w:id="3618" w:name="_Toc131062452"/>
      <w:bookmarkStart w:id="3619" w:name="_Toc131062713"/>
      <w:bookmarkStart w:id="3620" w:name="_Toc131062966"/>
      <w:bookmarkStart w:id="3621" w:name="_Toc131063749"/>
      <w:bookmarkStart w:id="3622" w:name="_Toc131064159"/>
      <w:bookmarkStart w:id="3623" w:name="_Toc131238509"/>
      <w:bookmarkStart w:id="3624" w:name="_Toc131279540"/>
      <w:bookmarkStart w:id="3625" w:name="_Toc131286952"/>
      <w:bookmarkStart w:id="3626" w:name="_Toc131281362"/>
      <w:bookmarkStart w:id="3627" w:name="_Toc131317902"/>
      <w:bookmarkStart w:id="3628" w:name="_Toc132537023"/>
      <w:r>
        <w:t>Økt tverrfaglighet</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390282D7" w14:textId="77777777" w:rsidR="00D9107F" w:rsidRDefault="007D7E1D" w:rsidP="003B2C5E">
      <w:pPr>
        <w:jc w:val="both"/>
      </w:pPr>
      <w:r>
        <w:t xml:space="preserve">Sammenlignet med andre land er det i dag </w:t>
      </w:r>
      <w:r w:rsidR="00601028">
        <w:t>få</w:t>
      </w:r>
      <w:r>
        <w:t xml:space="preserve"> </w:t>
      </w:r>
      <w:r w:rsidR="00392575">
        <w:t xml:space="preserve">andre faggrupper utover helsesekretær </w:t>
      </w:r>
      <w:r w:rsidR="00684939">
        <w:t>på</w:t>
      </w:r>
      <w:r>
        <w:t xml:space="preserve"> fastlegekontorene i Norge</w:t>
      </w:r>
      <w:r w:rsidR="00684939">
        <w:t>, og oppgave</w:t>
      </w:r>
      <w:r w:rsidR="006E7FE7">
        <w:t xml:space="preserve">deling </w:t>
      </w:r>
      <w:r w:rsidR="00601028">
        <w:t>skjer i liten grad</w:t>
      </w:r>
      <w:r w:rsidR="003A2434">
        <w:t>.</w:t>
      </w:r>
      <w:r w:rsidR="009D683F">
        <w:t xml:space="preserve"> </w:t>
      </w:r>
      <w:r w:rsidR="00A971DE">
        <w:t>Årsakene til at Norge er ett av de landene som i minst grad har</w:t>
      </w:r>
      <w:r w:rsidR="008A603F">
        <w:t xml:space="preserve"> utviklet fastlegetjenesten</w:t>
      </w:r>
      <w:r w:rsidR="00A749A8">
        <w:t xml:space="preserve"> på dette feltet</w:t>
      </w:r>
      <w:r w:rsidR="0061656B">
        <w:t>,</w:t>
      </w:r>
      <w:r w:rsidR="00A749A8">
        <w:t xml:space="preserve"> vurderes å være flere</w:t>
      </w:r>
      <w:r w:rsidR="009B2A38">
        <w:t>.</w:t>
      </w:r>
    </w:p>
    <w:p w14:paraId="4430E9CC" w14:textId="77777777" w:rsidR="00D9107F" w:rsidRDefault="00323132" w:rsidP="003B2C5E">
      <w:pPr>
        <w:jc w:val="both"/>
      </w:pPr>
      <w:r>
        <w:t xml:space="preserve">Høy andel aktivitetsbasert finansiering </w:t>
      </w:r>
      <w:r w:rsidR="00174175">
        <w:t xml:space="preserve">som bare legen kan utløse, </w:t>
      </w:r>
      <w:r>
        <w:t xml:space="preserve">gjør det mindre </w:t>
      </w:r>
      <w:r w:rsidR="00E3550B">
        <w:t xml:space="preserve">gunstig å </w:t>
      </w:r>
      <w:r>
        <w:t xml:space="preserve">ansette annet helsepersonell. Finansieringen av fastlegetjenesten og </w:t>
      </w:r>
      <w:r w:rsidRPr="008E50CA">
        <w:rPr>
          <w:rFonts w:cstheme="minorHAnsi"/>
        </w:rPr>
        <w:t>takstsystemet</w:t>
      </w:r>
      <w:r>
        <w:rPr>
          <w:rFonts w:cstheme="minorHAnsi"/>
        </w:rPr>
        <w:t xml:space="preserve"> slik det fungerer i dag utgjør en barriere,</w:t>
      </w:r>
      <w:r w:rsidRPr="008E50CA">
        <w:rPr>
          <w:rFonts w:cstheme="minorHAnsi"/>
        </w:rPr>
        <w:t xml:space="preserve"> </w:t>
      </w:r>
      <w:r w:rsidR="00E57786">
        <w:rPr>
          <w:rFonts w:cstheme="minorHAnsi"/>
        </w:rPr>
        <w:t xml:space="preserve">fordi </w:t>
      </w:r>
      <w:r w:rsidRPr="008E50CA">
        <w:rPr>
          <w:rFonts w:cstheme="minorHAnsi"/>
        </w:rPr>
        <w:t xml:space="preserve">det kun er legen som takster og </w:t>
      </w:r>
      <w:r>
        <w:rPr>
          <w:rFonts w:cstheme="minorHAnsi"/>
        </w:rPr>
        <w:t xml:space="preserve">har </w:t>
      </w:r>
      <w:r w:rsidRPr="008E50CA">
        <w:rPr>
          <w:rFonts w:cstheme="minorHAnsi"/>
        </w:rPr>
        <w:t>rett på refusjon.</w:t>
      </w:r>
      <w:r>
        <w:t xml:space="preserve"> Det er særlig vanskelig å flytte oppgaver fra fastlegen til annet personell når det innebærer tap av </w:t>
      </w:r>
      <w:r>
        <w:lastRenderedPageBreak/>
        <w:t>inntekt for legen. Det er således manglende støtte i finansieringen i dagens ordning til å belønne andre helsepersonellgruppers aktivitet.</w:t>
      </w:r>
    </w:p>
    <w:p w14:paraId="38418C70" w14:textId="30623FA8" w:rsidR="00323132" w:rsidRDefault="006E6E20" w:rsidP="003B2C5E">
      <w:pPr>
        <w:jc w:val="both"/>
      </w:pPr>
      <w:r>
        <w:t>Ø</w:t>
      </w:r>
      <w:r w:rsidR="00323132">
        <w:t>kte driftskostnader</w:t>
      </w:r>
      <w:r w:rsidR="003612E5">
        <w:t xml:space="preserve"> er også en</w:t>
      </w:r>
      <w:r w:rsidR="00323132">
        <w:t xml:space="preserve"> barriere for å utvide praksisen med flere faggrupper. Hovedandelen av fastlegene er organisert i små fastlegekontor, og har begrenset mulighet til å håndtere økte driftsutgifter som ikke </w:t>
      </w:r>
      <w:r w:rsidR="00D752BC">
        <w:t xml:space="preserve">raskt </w:t>
      </w:r>
      <w:r w:rsidR="008959F6">
        <w:t xml:space="preserve">gir økte </w:t>
      </w:r>
      <w:r w:rsidR="00323132">
        <w:t>inntekt</w:t>
      </w:r>
      <w:r w:rsidR="008959F6">
        <w:t>er</w:t>
      </w:r>
      <w:r w:rsidR="00323132">
        <w:t xml:space="preserve">. Ansettelse av mer personell vil for mange fastlegekontor bety behov for større lokaler som igjen medfører økte driftsutgifter. </w:t>
      </w:r>
      <w:r w:rsidR="00C66BDA">
        <w:t>Disse m</w:t>
      </w:r>
      <w:r w:rsidR="00323132">
        <w:t xml:space="preserve">erutgiftene dekkes ikke </w:t>
      </w:r>
      <w:r w:rsidR="00C04E2C">
        <w:t xml:space="preserve">nødvendigvis </w:t>
      </w:r>
      <w:r w:rsidR="00F33EAD">
        <w:t xml:space="preserve">i </w:t>
      </w:r>
      <w:r w:rsidR="00323132">
        <w:t>dagens ordning.</w:t>
      </w:r>
    </w:p>
    <w:p w14:paraId="67006612" w14:textId="77777777" w:rsidR="00D9107F" w:rsidRDefault="00323132" w:rsidP="00D17F7F">
      <w:pPr>
        <w:jc w:val="both"/>
      </w:pPr>
      <w:r>
        <w:t xml:space="preserve">Organiseringen i små og mindre </w:t>
      </w:r>
      <w:r w:rsidR="2132EDC7">
        <w:t>gruppe</w:t>
      </w:r>
      <w:r w:rsidR="1E3F96C7">
        <w:t>p</w:t>
      </w:r>
      <w:r w:rsidR="2132EDC7">
        <w:t>raksiser</w:t>
      </w:r>
      <w:r>
        <w:t xml:space="preserve"> setter også begrensninger for å ansette mer personell og </w:t>
      </w:r>
      <w:r w:rsidR="002A5F17">
        <w:t>flere faggrupper</w:t>
      </w:r>
      <w:r>
        <w:t>. Små gruppepraksiser vil ha lite volum til å fylle stillinger utover helsesekretær. Det å ha annet helsepersonell i flere mindre stillingsstørrelser på fastlegekontoret, kan tenkes å gjøre samarbeid og arbeid med å få teamet til å fungere vanskeligere</w:t>
      </w:r>
      <w:r w:rsidR="00C278C8">
        <w:t xml:space="preserve"> </w:t>
      </w:r>
      <w:r>
        <w:t xml:space="preserve">enn om alle stort sett jobber sammen hele tiden. </w:t>
      </w:r>
      <w:r w:rsidR="007C3314">
        <w:t xml:space="preserve">Men </w:t>
      </w:r>
      <w:r>
        <w:t xml:space="preserve">stillinger med annet personell </w:t>
      </w:r>
      <w:r w:rsidR="007C3314">
        <w:t xml:space="preserve">kan også </w:t>
      </w:r>
      <w:r>
        <w:t>deles mellom fastlegekontor, eller mellom fastlegekontor og øvrig kommunal helse- og omsorgstjeneste. Helsepersonellgrupper som arbeider hos flere</w:t>
      </w:r>
      <w:r w:rsidR="00575658">
        <w:t>,</w:t>
      </w:r>
      <w:r>
        <w:t xml:space="preserve"> kan </w:t>
      </w:r>
      <w:r w:rsidR="004B6D88">
        <w:t>på den måten</w:t>
      </w:r>
      <w:r>
        <w:t xml:space="preserve"> fremme samarbeid mellom ulike kontor og ulike deler av tjenesten.</w:t>
      </w:r>
    </w:p>
    <w:p w14:paraId="071B1F64" w14:textId="77777777" w:rsidR="00D9107F" w:rsidRDefault="00323132" w:rsidP="00D17F7F">
      <w:pPr>
        <w:jc w:val="both"/>
        <w:rPr>
          <w:rFonts w:cstheme="minorHAnsi"/>
        </w:rPr>
      </w:pPr>
      <w:r>
        <w:rPr>
          <w:rFonts w:cstheme="minorHAnsi"/>
        </w:rPr>
        <w:t>Mange fastlegekontor mangler en fast ledelsesstruktur, og lederansvaret håndteres ved at det gå</w:t>
      </w:r>
      <w:r w:rsidR="001817E1">
        <w:rPr>
          <w:rFonts w:cstheme="minorHAnsi"/>
        </w:rPr>
        <w:t>r</w:t>
      </w:r>
      <w:r>
        <w:rPr>
          <w:rFonts w:cstheme="minorHAnsi"/>
        </w:rPr>
        <w:t xml:space="preserve"> på omgang mellom fastlegene, eller ansvaret kan være delt etter ulike funksjoner og fordelt mellom flere. Forsøket med primærhelseteam viser at praksisendring og å etablere teamarbeid tar tid. En etablert ledelsesstruktur og lederrolle er også sentralt for å implementere teamarbeid og omfordele oppgaver fra fastlegen til annet personell. </w:t>
      </w:r>
      <w:r w:rsidR="003E55FE">
        <w:rPr>
          <w:rFonts w:cstheme="minorHAnsi"/>
        </w:rPr>
        <w:t>Videre kan m</w:t>
      </w:r>
      <w:r w:rsidRPr="00E13C6B">
        <w:rPr>
          <w:rFonts w:cstheme="minorHAnsi"/>
        </w:rPr>
        <w:t>anglende erfaring</w:t>
      </w:r>
      <w:r w:rsidRPr="00E13C6B" w:rsidDel="007426B4">
        <w:rPr>
          <w:rFonts w:cstheme="minorHAnsi"/>
        </w:rPr>
        <w:t xml:space="preserve"> </w:t>
      </w:r>
      <w:r w:rsidR="007426B4">
        <w:rPr>
          <w:rFonts w:cstheme="minorHAnsi"/>
        </w:rPr>
        <w:t>fra</w:t>
      </w:r>
      <w:r w:rsidRPr="00E13C6B">
        <w:rPr>
          <w:rFonts w:cstheme="minorHAnsi"/>
        </w:rPr>
        <w:t xml:space="preserve"> </w:t>
      </w:r>
      <w:r>
        <w:rPr>
          <w:rFonts w:cstheme="minorHAnsi"/>
        </w:rPr>
        <w:t xml:space="preserve">samarbeid med andre personellgrupper og </w:t>
      </w:r>
      <w:r w:rsidRPr="00E13C6B">
        <w:rPr>
          <w:rFonts w:cstheme="minorHAnsi"/>
        </w:rPr>
        <w:t xml:space="preserve">tverrfaglighet </w:t>
      </w:r>
      <w:r w:rsidR="00B94C60">
        <w:rPr>
          <w:rFonts w:cstheme="minorHAnsi"/>
        </w:rPr>
        <w:t>på</w:t>
      </w:r>
      <w:r w:rsidRPr="00E13C6B">
        <w:rPr>
          <w:rFonts w:cstheme="minorHAnsi"/>
        </w:rPr>
        <w:t xml:space="preserve"> fastleg</w:t>
      </w:r>
      <w:r>
        <w:rPr>
          <w:rFonts w:cstheme="minorHAnsi"/>
        </w:rPr>
        <w:t xml:space="preserve">ekontoret, samt </w:t>
      </w:r>
      <w:r w:rsidRPr="00E13C6B">
        <w:rPr>
          <w:rFonts w:cstheme="minorHAnsi"/>
        </w:rPr>
        <w:t xml:space="preserve">kunnskap om annet helsepersonell og </w:t>
      </w:r>
      <w:r>
        <w:rPr>
          <w:rFonts w:cstheme="minorHAnsi"/>
        </w:rPr>
        <w:t xml:space="preserve">de ulike faggruppenes </w:t>
      </w:r>
      <w:r w:rsidRPr="00E13C6B">
        <w:rPr>
          <w:rFonts w:cstheme="minorHAnsi"/>
        </w:rPr>
        <w:t>kompetanse</w:t>
      </w:r>
      <w:r>
        <w:rPr>
          <w:rFonts w:cstheme="minorHAnsi"/>
        </w:rPr>
        <w:t>, også være en hindring.</w:t>
      </w:r>
    </w:p>
    <w:p w14:paraId="4C654EDE" w14:textId="77777777" w:rsidR="00D9107F" w:rsidRDefault="008D5892" w:rsidP="00D17F7F">
      <w:pPr>
        <w:jc w:val="both"/>
      </w:pPr>
      <w:r>
        <w:t>Å</w:t>
      </w:r>
      <w:r w:rsidR="0002289F">
        <w:t xml:space="preserve"> ta ned </w:t>
      </w:r>
      <w:r w:rsidR="00123914">
        <w:t xml:space="preserve">slike </w:t>
      </w:r>
      <w:r w:rsidR="0002289F">
        <w:t xml:space="preserve">barrierer </w:t>
      </w:r>
      <w:r w:rsidR="00123914">
        <w:t>er viktig for å</w:t>
      </w:r>
      <w:r w:rsidR="003E55FE">
        <w:t xml:space="preserve"> </w:t>
      </w:r>
      <w:r>
        <w:t>legge</w:t>
      </w:r>
      <w:r w:rsidR="003E55FE">
        <w:t xml:space="preserve"> </w:t>
      </w:r>
      <w:r>
        <w:t xml:space="preserve">til rette for flere profesjoner </w:t>
      </w:r>
      <w:r w:rsidR="00AD62DF">
        <w:t xml:space="preserve">og økt samarbeid </w:t>
      </w:r>
      <w:r w:rsidR="000E1B23">
        <w:t>på</w:t>
      </w:r>
      <w:r w:rsidR="00AD62DF">
        <w:t xml:space="preserve"> fastlegekontoret.</w:t>
      </w:r>
      <w:r w:rsidR="002A0F1E">
        <w:t xml:space="preserve"> </w:t>
      </w:r>
      <w:r w:rsidR="00D17F7F">
        <w:t xml:space="preserve">En økt </w:t>
      </w:r>
      <w:r w:rsidR="002A0F1E">
        <w:t>mulighet</w:t>
      </w:r>
      <w:r w:rsidR="00D74441">
        <w:t xml:space="preserve"> </w:t>
      </w:r>
      <w:r w:rsidR="00D17F7F">
        <w:t xml:space="preserve">for </w:t>
      </w:r>
      <w:r w:rsidR="00D74441">
        <w:t>flere faggrupper</w:t>
      </w:r>
      <w:r w:rsidR="002F6F1E">
        <w:t>,</w:t>
      </w:r>
      <w:r w:rsidR="00D74441">
        <w:t xml:space="preserve"> gir de legekontorene som har ønske </w:t>
      </w:r>
      <w:r w:rsidR="00074771">
        <w:t xml:space="preserve">om og </w:t>
      </w:r>
      <w:r w:rsidR="00D74441">
        <w:t xml:space="preserve">ser </w:t>
      </w:r>
      <w:r w:rsidR="00074771">
        <w:t xml:space="preserve">potensialet </w:t>
      </w:r>
      <w:r w:rsidR="00AA11B3">
        <w:t>i</w:t>
      </w:r>
      <w:r w:rsidR="00074771">
        <w:t xml:space="preserve"> slik</w:t>
      </w:r>
      <w:r w:rsidR="007B2719">
        <w:t>e</w:t>
      </w:r>
      <w:r w:rsidR="00074771">
        <w:t xml:space="preserve"> samarbeidsformer</w:t>
      </w:r>
      <w:r w:rsidR="000733ED">
        <w:t>,</w:t>
      </w:r>
      <w:r w:rsidR="00D74441">
        <w:t xml:space="preserve"> </w:t>
      </w:r>
      <w:r w:rsidR="00AA11B3">
        <w:t>anledning til å prøve det ut.</w:t>
      </w:r>
      <w:r w:rsidR="009021C9">
        <w:t xml:space="preserve"> Det gir også mulighe</w:t>
      </w:r>
      <w:r w:rsidR="008B2F4D">
        <w:t>tsrom</w:t>
      </w:r>
      <w:r w:rsidR="009021C9">
        <w:t xml:space="preserve"> til </w:t>
      </w:r>
      <w:r w:rsidR="008B2F4D">
        <w:t>å</w:t>
      </w:r>
      <w:r w:rsidR="00E55E46">
        <w:t xml:space="preserve"> utvikle nye måter å jobbe og løse oppgaver på</w:t>
      </w:r>
      <w:r w:rsidR="00733493">
        <w:t xml:space="preserve"> med lokalt tilpassede løsninger.</w:t>
      </w:r>
    </w:p>
    <w:p w14:paraId="6213A584" w14:textId="368FF98C" w:rsidR="00877C05" w:rsidRDefault="008E7A72" w:rsidP="00D17F7F">
      <w:pPr>
        <w:jc w:val="both"/>
      </w:pPr>
      <w:r>
        <w:t>Erfaringene fra</w:t>
      </w:r>
      <w:r w:rsidR="00DD615E">
        <w:t xml:space="preserve"> </w:t>
      </w:r>
      <w:r w:rsidR="00A752FB">
        <w:t xml:space="preserve">forsøket med </w:t>
      </w:r>
      <w:r w:rsidR="00DD615E">
        <w:t>primærhelseteam</w:t>
      </w:r>
      <w:r w:rsidR="00A752FB">
        <w:t xml:space="preserve"> (PHT)</w:t>
      </w:r>
      <w:r w:rsidR="00DD615E">
        <w:t xml:space="preserve"> </w:t>
      </w:r>
      <w:r w:rsidR="00B462CD">
        <w:t>viser at bruk a</w:t>
      </w:r>
      <w:r w:rsidR="009E70B1">
        <w:t>v flere faggrupper og teamarbeid har</w:t>
      </w:r>
      <w:r w:rsidR="00D71C38">
        <w:t xml:space="preserve"> drei</w:t>
      </w:r>
      <w:r w:rsidR="00A16731">
        <w:t>et</w:t>
      </w:r>
      <w:r w:rsidR="00D71C38">
        <w:t xml:space="preserve"> </w:t>
      </w:r>
      <w:r w:rsidR="00216995">
        <w:t>fastlege</w:t>
      </w:r>
      <w:r w:rsidR="00D71C38">
        <w:t xml:space="preserve">tjenesten mot grupper som trenger den mest. </w:t>
      </w:r>
      <w:r w:rsidR="00DD615E">
        <w:t xml:space="preserve">Utfordringene løses på andre måter enn før. Pasientene får bedre oppfølging i form av konsultasjoner, årskontroller og hjemmebesøk. </w:t>
      </w:r>
      <w:r w:rsidR="00877C05">
        <w:rPr>
          <w:rFonts w:cstheme="minorHAnsi"/>
        </w:rPr>
        <w:t>O</w:t>
      </w:r>
      <w:r w:rsidR="00877C05">
        <w:t xml:space="preserve">pplevelsen blant helsepersonellet </w:t>
      </w:r>
      <w:r w:rsidR="00564196">
        <w:t>e</w:t>
      </w:r>
      <w:r w:rsidR="00877C05">
        <w:t xml:space="preserve">r nokså entydig om at den systematiske oppfølgingen av målgruppene som PHT gir rom for, gir økt kvalitet. Evalueringene viser også at pasientene er </w:t>
      </w:r>
      <w:r w:rsidR="00AA36F1">
        <w:t>fornøyde</w:t>
      </w:r>
      <w:r w:rsidR="00877C05">
        <w:t xml:space="preserve"> og opplever at de blir bedre ivaretatt. Det at PHT oppleves å gi nytte i primærhelsetjenesten</w:t>
      </w:r>
      <w:r w:rsidR="007773BF">
        <w:t>,</w:t>
      </w:r>
      <w:r w:rsidR="00877C05">
        <w:t xml:space="preserve"> hvor mer og mer av tjenestene skal gis</w:t>
      </w:r>
      <w:r w:rsidR="006E5F0B">
        <w:t xml:space="preserve"> </w:t>
      </w:r>
      <w:r w:rsidR="00532AC7">
        <w:t xml:space="preserve">i tiden </w:t>
      </w:r>
      <w:r w:rsidR="00877C05">
        <w:t>framover, anser ekspertutvalget som sentralt. Det er klare indikasjoner på at legekontorene med PHT samhandler bedre med hjemmetjenesten enn legekontor uten denne ressursen.</w:t>
      </w:r>
    </w:p>
    <w:p w14:paraId="6CCEA9AE" w14:textId="734C3810" w:rsidR="005F73B0" w:rsidRDefault="005F73B0" w:rsidP="0042167F">
      <w:pPr>
        <w:jc w:val="both"/>
      </w:pPr>
      <w:r>
        <w:lastRenderedPageBreak/>
        <w:t xml:space="preserve">Unge leger etterspør </w:t>
      </w:r>
      <w:r w:rsidR="00767A74">
        <w:t xml:space="preserve">større fagmiljø. Blant leger som </w:t>
      </w:r>
      <w:r w:rsidR="002E5F41">
        <w:t xml:space="preserve">har vurdert å bli allmennlege, </w:t>
      </w:r>
      <w:r w:rsidR="003F18E7">
        <w:t>er</w:t>
      </w:r>
      <w:r w:rsidR="00E60667">
        <w:t xml:space="preserve"> l</w:t>
      </w:r>
      <w:r w:rsidR="00E60667" w:rsidRPr="000F10FD">
        <w:t xml:space="preserve">ite faglig miljø, lite faglig nettverk, </w:t>
      </w:r>
      <w:r w:rsidR="00E60667">
        <w:t xml:space="preserve">og </w:t>
      </w:r>
      <w:r w:rsidR="00E60667" w:rsidRPr="000F10FD">
        <w:t>lite samarbeid m</w:t>
      </w:r>
      <w:r w:rsidR="00A667A1">
        <w:t>ed</w:t>
      </w:r>
      <w:r w:rsidR="00E60667" w:rsidRPr="000F10FD">
        <w:t xml:space="preserve"> andre kolleger</w:t>
      </w:r>
      <w:r w:rsidR="00E60667">
        <w:t xml:space="preserve"> blant hovedårsakene </w:t>
      </w:r>
      <w:r w:rsidR="006B4E57">
        <w:t>til at de v</w:t>
      </w:r>
      <w:r w:rsidR="00991C9B">
        <w:t>elger</w:t>
      </w:r>
      <w:r w:rsidR="006B4E57">
        <w:t xml:space="preserve"> bort allmennmedisin</w:t>
      </w:r>
      <w:r w:rsidR="00E60667" w:rsidRPr="000F10FD">
        <w:t xml:space="preserve">. Mangel på tverrfaglig </w:t>
      </w:r>
      <w:r w:rsidR="004E6EF9">
        <w:t xml:space="preserve">team trekkes også fram. </w:t>
      </w:r>
      <w:r w:rsidR="00665432">
        <w:t>En større</w:t>
      </w:r>
      <w:r w:rsidR="1E174AA0">
        <w:t xml:space="preserve"> </w:t>
      </w:r>
      <w:r w:rsidR="2DFD6395">
        <w:t>andel</w:t>
      </w:r>
      <w:r w:rsidR="004E6EF9">
        <w:t xml:space="preserve"> kvinne</w:t>
      </w:r>
      <w:r w:rsidR="00AD6E09">
        <w:t>lige leger</w:t>
      </w:r>
      <w:r w:rsidR="004E6EF9">
        <w:t xml:space="preserve"> </w:t>
      </w:r>
      <w:r w:rsidR="00562B62">
        <w:t xml:space="preserve">(46 prosent) </w:t>
      </w:r>
      <w:r w:rsidR="004E6EF9">
        <w:t>enn m</w:t>
      </w:r>
      <w:r w:rsidR="00AD6E09">
        <w:t>annlige</w:t>
      </w:r>
      <w:r w:rsidR="004E6EF9">
        <w:t xml:space="preserve"> </w:t>
      </w:r>
      <w:r w:rsidR="00562B62">
        <w:t xml:space="preserve">(32 prosent) </w:t>
      </w:r>
      <w:r w:rsidR="0087011F">
        <w:t>oppgir at de har vurdert</w:t>
      </w:r>
      <w:r w:rsidR="007A69E8">
        <w:t xml:space="preserve">, men </w:t>
      </w:r>
      <w:r w:rsidR="00E4455E">
        <w:t>valg</w:t>
      </w:r>
      <w:r w:rsidR="007B423B">
        <w:t>t</w:t>
      </w:r>
      <w:r w:rsidR="00E4455E">
        <w:t xml:space="preserve"> bort allmenn</w:t>
      </w:r>
      <w:r w:rsidR="007A69E8">
        <w:t>praksis</w:t>
      </w:r>
      <w:r w:rsidR="06216103">
        <w:t xml:space="preserve"> </w:t>
      </w:r>
      <w:r w:rsidR="001D3985">
        <w:fldChar w:fldCharType="begin"/>
      </w:r>
      <w:r w:rsidR="004654FD">
        <w:instrText xml:space="preserve"> ADDIN EN.CITE &lt;EndNote&gt;&lt;Cite&gt;&lt;Author&gt;Birkeli&lt;/Author&gt;&lt;Year&gt;2020&lt;/Year&gt;&lt;RecNum&gt;349&lt;/RecNum&gt;&lt;DisplayText&gt;(Birkeli et al., 2020)&lt;/DisplayText&gt;&lt;record&gt;&lt;rec-number&gt;349&lt;/rec-number&gt;&lt;foreign-keys&gt;&lt;key app="EN" db-id="95tpr2tp6r9xwoea9rb5wdsz5ds5xeddteew" timestamp="1680069511"&gt;349&lt;/key&gt;&lt;/foreign-keys&gt;&lt;ref-type name="Journal Article"&gt;17&lt;/ref-type&gt;&lt;contributors&gt;&lt;authors&gt;&lt;author&gt;Birkeli, Cecilie Normann&lt;/author&gt;&lt;author&gt;Rosta, Judith&lt;/author&gt;&lt;author&gt;Aasland, Olaf Gjerløw&lt;/author&gt;&lt;author&gt;Rø, Karin Isaksson&lt;/author&gt;&lt;/authors&gt;&lt;/contributors&gt;&lt;titles&gt;&lt;title&gt;Hvorfor velger leger seg bort fra allmennmedisin?&lt;/title&gt;&lt;secondary-title&gt;Tidsskrift for den Norske Lægeforening&lt;/secondary-title&gt;&lt;/titles&gt;&lt;dates&gt;&lt;year&gt;2020&lt;/year&gt;&lt;/dates&gt;&lt;isbn&gt;0029-2001&lt;/isbn&gt;&lt;urls&gt;&lt;/urls&gt;&lt;/record&gt;&lt;/Cite&gt;&lt;/EndNote&gt;</w:instrText>
      </w:r>
      <w:r w:rsidR="001D3985">
        <w:fldChar w:fldCharType="separate"/>
      </w:r>
      <w:r w:rsidR="001D3985">
        <w:rPr>
          <w:noProof/>
        </w:rPr>
        <w:t>(Birkeli et al., 2020)</w:t>
      </w:r>
      <w:r w:rsidR="001D3985">
        <w:fldChar w:fldCharType="end"/>
      </w:r>
      <w:r w:rsidR="00DA1E23">
        <w:t>.</w:t>
      </w:r>
      <w:r w:rsidR="004B253F">
        <w:t xml:space="preserve"> </w:t>
      </w:r>
      <w:r w:rsidR="00613368">
        <w:t xml:space="preserve">Med tanke på at andelen kvinnelige medisinstudenter er på over 70 </w:t>
      </w:r>
      <w:r w:rsidR="00204A03">
        <w:t>prosent</w:t>
      </w:r>
      <w:r w:rsidR="00621E8F">
        <w:t>,</w:t>
      </w:r>
      <w:r w:rsidR="00613368">
        <w:t xml:space="preserve"> </w:t>
      </w:r>
      <w:r w:rsidR="00A12589">
        <w:t xml:space="preserve">har dette påvirkning på </w:t>
      </w:r>
      <w:r w:rsidR="00D66CA5">
        <w:t>fram</w:t>
      </w:r>
      <w:r w:rsidR="00FB0C67">
        <w:t>tidig rekruttering til fastlegeyrket. Å</w:t>
      </w:r>
      <w:r w:rsidR="00625CF0">
        <w:t xml:space="preserve"> </w:t>
      </w:r>
      <w:r w:rsidR="008C006C">
        <w:t>åpne</w:t>
      </w:r>
      <w:r w:rsidR="00625CF0">
        <w:t xml:space="preserve"> for </w:t>
      </w:r>
      <w:r w:rsidR="004C7C20">
        <w:t>arbeidsformer</w:t>
      </w:r>
      <w:r w:rsidR="008C006C">
        <w:t xml:space="preserve"> som tilrettelegger for</w:t>
      </w:r>
      <w:r w:rsidR="003A56D2">
        <w:t xml:space="preserve"> styrket fagmiljø og</w:t>
      </w:r>
      <w:r w:rsidR="008C006C">
        <w:t xml:space="preserve"> større grad av </w:t>
      </w:r>
      <w:r w:rsidR="003A56D2">
        <w:t xml:space="preserve">samarbeid mellom kolleger og rundt </w:t>
      </w:r>
      <w:r w:rsidR="00CD40A9">
        <w:t>listeinnbyggere</w:t>
      </w:r>
      <w:r w:rsidR="00B92959">
        <w:t>,</w:t>
      </w:r>
      <w:r w:rsidR="003A56D2">
        <w:t xml:space="preserve"> </w:t>
      </w:r>
      <w:r w:rsidR="3957DD4D">
        <w:t>kan</w:t>
      </w:r>
      <w:r w:rsidR="007F3D91">
        <w:t xml:space="preserve"> etter ekspertutvalgets vurdering </w:t>
      </w:r>
      <w:r w:rsidR="459849BB">
        <w:t xml:space="preserve">virke </w:t>
      </w:r>
      <w:r w:rsidR="007F3D91">
        <w:t xml:space="preserve">rekrutterende for </w:t>
      </w:r>
      <w:r w:rsidR="002A7FC3">
        <w:t>unge leger.</w:t>
      </w:r>
    </w:p>
    <w:p w14:paraId="230295A8" w14:textId="618BA7B6" w:rsidR="00D64A9B" w:rsidRDefault="008128FC" w:rsidP="00775632">
      <w:pPr>
        <w:pStyle w:val="Overskrift3"/>
      </w:pPr>
      <w:bookmarkStart w:id="3629" w:name="_Toc130763858"/>
      <w:bookmarkStart w:id="3630" w:name="_Toc130766753"/>
      <w:bookmarkStart w:id="3631" w:name="_Toc130932154"/>
      <w:bookmarkStart w:id="3632" w:name="_Toc130934445"/>
      <w:bookmarkStart w:id="3633" w:name="_Toc130983574"/>
      <w:bookmarkStart w:id="3634" w:name="_Toc130983923"/>
      <w:bookmarkStart w:id="3635" w:name="_Toc131062199"/>
      <w:bookmarkStart w:id="3636" w:name="_Toc131062453"/>
      <w:bookmarkStart w:id="3637" w:name="_Toc131062714"/>
      <w:bookmarkStart w:id="3638" w:name="_Toc131062967"/>
      <w:bookmarkStart w:id="3639" w:name="_Toc131063750"/>
      <w:bookmarkStart w:id="3640" w:name="_Toc131064160"/>
      <w:bookmarkStart w:id="3641" w:name="_Toc131238510"/>
      <w:bookmarkStart w:id="3642" w:name="_Toc131279541"/>
      <w:bookmarkStart w:id="3643" w:name="_Toc131286953"/>
      <w:bookmarkStart w:id="3644" w:name="_Toc131281363"/>
      <w:bookmarkStart w:id="3645" w:name="_Toc131317903"/>
      <w:bookmarkStart w:id="3646" w:name="_Toc132537024"/>
      <w:r>
        <w:t xml:space="preserve">Endring </w:t>
      </w:r>
      <w:r w:rsidR="00905DE3">
        <w:t>i finansieringsordningene</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4D4C1BDF" w14:textId="77777777" w:rsidR="00D9107F" w:rsidRDefault="00E72E37" w:rsidP="004B72DA">
      <w:pPr>
        <w:jc w:val="both"/>
      </w:pPr>
      <w:r w:rsidRPr="00E72E37">
        <w:t>Et sentralt mål med finansieringen</w:t>
      </w:r>
      <w:r w:rsidR="00A974AE" w:rsidRPr="00E72E37">
        <w:t xml:space="preserve"> må være å bidra til at </w:t>
      </w:r>
      <w:r w:rsidR="00914487">
        <w:t>listeinnbyggere</w:t>
      </w:r>
      <w:r w:rsidR="00914487" w:rsidRPr="00E72E37">
        <w:t xml:space="preserve"> </w:t>
      </w:r>
      <w:r w:rsidR="00A974AE" w:rsidRPr="00E72E37">
        <w:t xml:space="preserve">får </w:t>
      </w:r>
      <w:r w:rsidR="00410747">
        <w:t xml:space="preserve">tilgang til </w:t>
      </w:r>
      <w:r w:rsidR="00A974AE" w:rsidRPr="00E72E37">
        <w:t>den riktige kompetansen</w:t>
      </w:r>
      <w:r w:rsidR="00EA3739">
        <w:t xml:space="preserve"> når </w:t>
      </w:r>
      <w:r w:rsidR="00914487">
        <w:t xml:space="preserve">de </w:t>
      </w:r>
      <w:r w:rsidR="00EA3739">
        <w:t>trenger det</w:t>
      </w:r>
      <w:r w:rsidR="00A974AE" w:rsidRPr="00E72E37">
        <w:t xml:space="preserve">. </w:t>
      </w:r>
      <w:r w:rsidR="008B62AC">
        <w:t>Videre skal f</w:t>
      </w:r>
      <w:r w:rsidR="001956FF">
        <w:t>inansiering</w:t>
      </w:r>
      <w:r w:rsidR="008B62AC">
        <w:t>en</w:t>
      </w:r>
      <w:r w:rsidR="001956FF">
        <w:t xml:space="preserve"> understøtte gode </w:t>
      </w:r>
      <w:r w:rsidR="00B77689">
        <w:t xml:space="preserve">og kostnadseffektive </w:t>
      </w:r>
      <w:r w:rsidR="001956FF">
        <w:t>helsetjenester</w:t>
      </w:r>
      <w:r w:rsidR="00B77689">
        <w:t>,</w:t>
      </w:r>
      <w:r w:rsidR="001956FF">
        <w:t xml:space="preserve"> og riktig oppgavedeling. </w:t>
      </w:r>
      <w:r w:rsidR="004B72DA">
        <w:t xml:space="preserve">For å </w:t>
      </w:r>
      <w:r w:rsidR="00382730">
        <w:t>bidra til</w:t>
      </w:r>
      <w:r w:rsidR="004B72DA" w:rsidRPr="00C66E6F">
        <w:t xml:space="preserve"> dette </w:t>
      </w:r>
      <w:r w:rsidR="004B72DA">
        <w:t>bør</w:t>
      </w:r>
      <w:r w:rsidR="004B72DA" w:rsidRPr="00C66E6F">
        <w:t xml:space="preserve"> finansieringen legge bedre til rette for </w:t>
      </w:r>
      <w:r w:rsidR="004B72DA">
        <w:t>flere personellgrupper</w:t>
      </w:r>
      <w:r w:rsidR="004B72DA" w:rsidRPr="00C66E6F">
        <w:t>.</w:t>
      </w:r>
    </w:p>
    <w:p w14:paraId="7D4E5B32" w14:textId="658F80C6" w:rsidR="001956FF" w:rsidRDefault="00297915" w:rsidP="001C2642">
      <w:pPr>
        <w:jc w:val="both"/>
      </w:pPr>
      <w:r>
        <w:t>Ekspertu</w:t>
      </w:r>
      <w:r w:rsidR="005E729F">
        <w:t>tvalget</w:t>
      </w:r>
      <w:r w:rsidR="001956FF">
        <w:t xml:space="preserve"> har fokusert på tre mulige løsninger for å finansiere tverrfaglighet innenfor fastlegeordningen</w:t>
      </w:r>
      <w:r w:rsidR="00BE7FCB">
        <w:t>. Disse utgjør å</w:t>
      </w:r>
      <w:r w:rsidR="001956FF">
        <w:t xml:space="preserve"> </w:t>
      </w:r>
      <w:r w:rsidR="007E703B">
        <w:t xml:space="preserve">utvide muligheten </w:t>
      </w:r>
      <w:r w:rsidR="00745FDD">
        <w:t xml:space="preserve">til å </w:t>
      </w:r>
      <w:r w:rsidR="001956FF">
        <w:t>deleger</w:t>
      </w:r>
      <w:r w:rsidR="00095E67">
        <w:t>e</w:t>
      </w:r>
      <w:r w:rsidR="001956FF">
        <w:t xml:space="preserve"> oppgaver fra lege til annet personell, å innføre profesjonsnøytrale takster, </w:t>
      </w:r>
      <w:r w:rsidR="00357FDB">
        <w:t>og</w:t>
      </w:r>
      <w:r w:rsidR="001956FF">
        <w:t xml:space="preserve"> å innføre </w:t>
      </w:r>
      <w:r w:rsidR="00A234A4">
        <w:t xml:space="preserve">egne </w:t>
      </w:r>
      <w:r w:rsidR="001956FF">
        <w:t xml:space="preserve">takster for ulike personellgrupper. </w:t>
      </w:r>
      <w:r w:rsidR="00A27C04">
        <w:t>For de to sistnevnte alternativene vil personellet utløse takster selvstendig</w:t>
      </w:r>
      <w:r w:rsidR="0064078E">
        <w:t>, mer uavhengig av legen</w:t>
      </w:r>
      <w:r w:rsidR="0014767F">
        <w:t>,</w:t>
      </w:r>
      <w:r w:rsidR="0064078E">
        <w:t xml:space="preserve"> enn ved delegering</w:t>
      </w:r>
      <w:r w:rsidR="00A27C04">
        <w:t>.</w:t>
      </w:r>
    </w:p>
    <w:p w14:paraId="60E68B4B" w14:textId="77777777" w:rsidR="00D9107F" w:rsidRDefault="00DE07BF" w:rsidP="001C2642">
      <w:pPr>
        <w:jc w:val="both"/>
      </w:pPr>
      <w:r>
        <w:t>Ekspertutvalget mener egne takster for andre personellgrupper framstår som å gi begrenset merverdi</w:t>
      </w:r>
      <w:r w:rsidR="00AF5F1A">
        <w:t>,</w:t>
      </w:r>
      <w:r>
        <w:t xml:space="preserve"> ut over hva man kan oppnå gjennom de to andre løsningene.</w:t>
      </w:r>
      <w:r w:rsidR="001C51BC">
        <w:t xml:space="preserve"> </w:t>
      </w:r>
      <w:r w:rsidR="00AF5F1A">
        <w:t>Ekspertu</w:t>
      </w:r>
      <w:r w:rsidR="001C51BC">
        <w:t xml:space="preserve">tvalget mener derfor </w:t>
      </w:r>
      <w:r w:rsidR="005746AD">
        <w:t>delegering og profesjonsnøytrale takster er de mest aktuelle alternativene.</w:t>
      </w:r>
    </w:p>
    <w:p w14:paraId="61015C4B" w14:textId="7BD62215" w:rsidR="001956FF" w:rsidRDefault="001956FF" w:rsidP="004A76B6">
      <w:pPr>
        <w:jc w:val="both"/>
      </w:pPr>
      <w:r>
        <w:t xml:space="preserve">Organisering og finansiering av allmennlegetjenesten i Danmark har betydelige likhetstrekk med fastlegeordningen i Norge. </w:t>
      </w:r>
      <w:r w:rsidR="00531EC9">
        <w:t>Ekspertu</w:t>
      </w:r>
      <w:r w:rsidR="009519F6">
        <w:t xml:space="preserve">tvalget mener enkelte av </w:t>
      </w:r>
      <w:r w:rsidR="00A2578B">
        <w:t xml:space="preserve">løsningene i Danmark kan være aktuelle </w:t>
      </w:r>
      <w:r>
        <w:t>for Norge. Erfaringene i Danmark med høyere grad av delegering</w:t>
      </w:r>
      <w:r w:rsidR="005E101E">
        <w:t xml:space="preserve"> fra lege</w:t>
      </w:r>
      <w:r w:rsidR="00804333">
        <w:t xml:space="preserve"> til annet personell</w:t>
      </w:r>
      <w:r>
        <w:t xml:space="preserve">, framstår som </w:t>
      </w:r>
      <w:r w:rsidR="000655D5">
        <w:t>relevant</w:t>
      </w:r>
      <w:r>
        <w:t xml:space="preserve"> for Norge. </w:t>
      </w:r>
      <w:r w:rsidR="00694A9F">
        <w:t xml:space="preserve">I </w:t>
      </w:r>
      <w:r>
        <w:t xml:space="preserve">Danmark </w:t>
      </w:r>
      <w:r w:rsidR="00694A9F">
        <w:t>ivaretar hver</w:t>
      </w:r>
      <w:r>
        <w:t xml:space="preserve"> fastlege</w:t>
      </w:r>
      <w:r w:rsidR="00694A9F">
        <w:t xml:space="preserve"> </w:t>
      </w:r>
      <w:r>
        <w:t>1600-1700 innbyggere</w:t>
      </w:r>
      <w:r w:rsidR="00437E70">
        <w:t>. L</w:t>
      </w:r>
      <w:r w:rsidR="00BA2938">
        <w:t>e</w:t>
      </w:r>
      <w:r w:rsidR="00437E70">
        <w:t xml:space="preserve">gene har </w:t>
      </w:r>
      <w:r w:rsidR="005D291D">
        <w:t>altså</w:t>
      </w:r>
      <w:r w:rsidR="00437E70">
        <w:t xml:space="preserve"> betydelig lengre lister enn i Norge</w:t>
      </w:r>
      <w:r w:rsidR="001674F2">
        <w:t xml:space="preserve">. </w:t>
      </w:r>
      <w:r w:rsidR="00922E91">
        <w:t xml:space="preserve">Leger under spesialisering </w:t>
      </w:r>
      <w:r w:rsidR="00E35AF3">
        <w:t>jobber på andre legers liste i Danmar</w:t>
      </w:r>
      <w:r w:rsidR="00CC17E9">
        <w:t xml:space="preserve">k. </w:t>
      </w:r>
      <w:r w:rsidR="00035C6E">
        <w:t>I tillegg</w:t>
      </w:r>
      <w:r w:rsidR="00E10B6B">
        <w:t xml:space="preserve"> </w:t>
      </w:r>
      <w:r w:rsidR="00E62AEC">
        <w:t>til</w:t>
      </w:r>
      <w:r w:rsidR="00E10B6B">
        <w:t xml:space="preserve"> å håndtere </w:t>
      </w:r>
      <w:r w:rsidR="00A27A38">
        <w:t>en</w:t>
      </w:r>
      <w:r w:rsidR="00A12960">
        <w:t xml:space="preserve"> lang liste</w:t>
      </w:r>
      <w:r w:rsidR="004C5341">
        <w:t>,</w:t>
      </w:r>
      <w:r w:rsidR="00E10B6B">
        <w:t xml:space="preserve"> har</w:t>
      </w:r>
      <w:r>
        <w:t xml:space="preserve"> Danmark en større bredde i annet personell i fastlegekontorene og antall</w:t>
      </w:r>
      <w:r w:rsidR="00E065E8">
        <w:t>et</w:t>
      </w:r>
      <w:r>
        <w:t xml:space="preserve"> annet personell er høyere. </w:t>
      </w:r>
      <w:r w:rsidR="000542A6" w:rsidRPr="000542A6">
        <w:t xml:space="preserve">Særlig er det langt flere sykepleiere i fastlegekontorene i Danmark, sammenlignet med Norge. </w:t>
      </w:r>
      <w:r>
        <w:t xml:space="preserve">Det framstår som at mulighetene </w:t>
      </w:r>
      <w:r w:rsidR="001A60CD">
        <w:t xml:space="preserve">for fastlegen </w:t>
      </w:r>
      <w:r>
        <w:t>til å delegere oppgaver</w:t>
      </w:r>
      <w:r w:rsidR="002C6CDC">
        <w:t>,</w:t>
      </w:r>
      <w:r>
        <w:t xml:space="preserve"> har bidratt til denne situasjonen. Å utvide fastlegenes adgang til delegering</w:t>
      </w:r>
      <w:r w:rsidR="007E4174">
        <w:t>,</w:t>
      </w:r>
      <w:r>
        <w:t xml:space="preserve"> vil være et virkemiddel for å finansiere de tjenestene som fastlegene leverer i dag, og vil bidra til å avlaste fastlegene</w:t>
      </w:r>
      <w:r w:rsidR="00E71A9D">
        <w:t>.</w:t>
      </w:r>
    </w:p>
    <w:p w14:paraId="082F7563" w14:textId="77777777" w:rsidR="00D9107F" w:rsidRDefault="00AC03FB" w:rsidP="004A76B6">
      <w:pPr>
        <w:jc w:val="both"/>
      </w:pPr>
      <w:r w:rsidRPr="00AC03FB">
        <w:t>Delegering har noen begrensninger.</w:t>
      </w:r>
      <w:r w:rsidR="000D17B8">
        <w:t xml:space="preserve"> D</w:t>
      </w:r>
      <w:r w:rsidRPr="00AC03FB">
        <w:t xml:space="preserve">e innebærer at det kun </w:t>
      </w:r>
      <w:r w:rsidR="00B93EFA">
        <w:t>er</w:t>
      </w:r>
      <w:r w:rsidRPr="00AC03FB">
        <w:t xml:space="preserve"> legeoppgaver som kan </w:t>
      </w:r>
      <w:r w:rsidR="007A400E">
        <w:t>delegeres</w:t>
      </w:r>
      <w:r w:rsidRPr="00AC03FB">
        <w:t>, fordi det er legetakster som skal benyttes.</w:t>
      </w:r>
      <w:r w:rsidR="000D17B8">
        <w:t xml:space="preserve"> </w:t>
      </w:r>
      <w:r w:rsidR="007C1127">
        <w:t xml:space="preserve">Delegering </w:t>
      </w:r>
      <w:r w:rsidR="00A33001">
        <w:t xml:space="preserve">vil således </w:t>
      </w:r>
      <w:r w:rsidR="0075756E">
        <w:t xml:space="preserve">kunne benyttes </w:t>
      </w:r>
      <w:r w:rsidR="00847DFF">
        <w:t xml:space="preserve">slik </w:t>
      </w:r>
      <w:r w:rsidR="0075756E">
        <w:t xml:space="preserve">at flere oppgaver kan løses av </w:t>
      </w:r>
      <w:r w:rsidR="00AE5FA7">
        <w:t xml:space="preserve">annet helsepersonell som </w:t>
      </w:r>
      <w:r w:rsidR="0075756E">
        <w:t>sykepleier</w:t>
      </w:r>
      <w:r w:rsidR="002B41B5">
        <w:t>e</w:t>
      </w:r>
      <w:r w:rsidR="0075756E">
        <w:t xml:space="preserve">, og eventuelt </w:t>
      </w:r>
      <w:r w:rsidR="0075756E">
        <w:lastRenderedPageBreak/>
        <w:t>helsesekretær</w:t>
      </w:r>
      <w:r w:rsidR="00091B77">
        <w:t>er</w:t>
      </w:r>
      <w:r w:rsidR="0075756E">
        <w:t>. Oppgaver som fastlegen ikke gjør i dag</w:t>
      </w:r>
      <w:r w:rsidR="00EB74B7">
        <w:t>, vil ikke kunne delegeres. Det vil ikke være mulig å dele</w:t>
      </w:r>
      <w:r w:rsidR="001B218A">
        <w:t>gere</w:t>
      </w:r>
      <w:r w:rsidR="00EB74B7">
        <w:t xml:space="preserve"> oppgaver</w:t>
      </w:r>
      <w:r w:rsidR="000F0F49">
        <w:t xml:space="preserve"> </w:t>
      </w:r>
      <w:r w:rsidR="001B218A">
        <w:t>som går ut</w:t>
      </w:r>
      <w:r w:rsidR="004A044D">
        <w:t xml:space="preserve"> </w:t>
      </w:r>
      <w:r w:rsidR="001B218A">
        <w:t xml:space="preserve">over legens </w:t>
      </w:r>
      <w:r w:rsidR="009503B8">
        <w:t xml:space="preserve">eget </w:t>
      </w:r>
      <w:r w:rsidR="001B218A">
        <w:t>kompetansenivå</w:t>
      </w:r>
      <w:r w:rsidR="009503B8">
        <w:t>,</w:t>
      </w:r>
      <w:r w:rsidR="00EB74B7">
        <w:t xml:space="preserve"> </w:t>
      </w:r>
      <w:r w:rsidR="001B218A">
        <w:t xml:space="preserve">eksempelvis </w:t>
      </w:r>
      <w:r w:rsidR="00EB74B7">
        <w:t>til fysioterapeuter</w:t>
      </w:r>
      <w:r w:rsidR="00BB7861">
        <w:t xml:space="preserve"> og </w:t>
      </w:r>
      <w:r w:rsidR="00EB74B7">
        <w:t>psykologer</w:t>
      </w:r>
      <w:r w:rsidR="001B218A">
        <w:t xml:space="preserve">. </w:t>
      </w:r>
      <w:r w:rsidR="00810A66">
        <w:t xml:space="preserve">Delegering vil være begrensende for </w:t>
      </w:r>
      <w:r w:rsidR="00781332">
        <w:t>bredden i ulike</w:t>
      </w:r>
      <w:r w:rsidR="00810A66">
        <w:t xml:space="preserve"> helsepersonellgrupper</w:t>
      </w:r>
      <w:r w:rsidR="00781332">
        <w:t xml:space="preserve"> på fastlegekontoret.</w:t>
      </w:r>
    </w:p>
    <w:p w14:paraId="4D32160C" w14:textId="77777777" w:rsidR="00D9107F" w:rsidRDefault="000D17B8" w:rsidP="004A76B6">
      <w:pPr>
        <w:jc w:val="both"/>
      </w:pPr>
      <w:r w:rsidRPr="000D17B8">
        <w:t xml:space="preserve">Et alternativ er profesjonsnøytrale takster. Da vil man kunne finansiere tjenester utover </w:t>
      </w:r>
      <w:r w:rsidR="00A36291">
        <w:t>d</w:t>
      </w:r>
      <w:r w:rsidRPr="000D17B8">
        <w:t>agens legetjenester, og andre personellgrupper vil kunne utløse takstene selvstendig.</w:t>
      </w:r>
      <w:r>
        <w:t xml:space="preserve"> </w:t>
      </w:r>
      <w:r w:rsidR="001956FF">
        <w:t xml:space="preserve">Profesjonsnøytral finansiering innebærer en bevegelse fra at finansieringsregelverket </w:t>
      </w:r>
      <w:r w:rsidR="001E0D07">
        <w:t xml:space="preserve">hvor </w:t>
      </w:r>
      <w:r w:rsidR="001956FF">
        <w:t xml:space="preserve">takstene definerer hvilke personellgrupper som kan utføre tjenestene, til at finansieringen blir nøytral når det gjelder hvem som leverer </w:t>
      </w:r>
      <w:r w:rsidR="0096173F">
        <w:t>dem</w:t>
      </w:r>
      <w:r w:rsidR="001956FF">
        <w:t xml:space="preserve">. Dette har vært en ønsket utvikling innenfor sykehussektoren og </w:t>
      </w:r>
      <w:r w:rsidR="00543BEB">
        <w:t>i øvrig helse- og omsorgs</w:t>
      </w:r>
      <w:r w:rsidR="007265AF">
        <w:t>tjeneste</w:t>
      </w:r>
      <w:r w:rsidR="003274A2">
        <w:t>.</w:t>
      </w:r>
      <w:r w:rsidR="001956FF">
        <w:t xml:space="preserve"> </w:t>
      </w:r>
      <w:r w:rsidR="00EC0F24">
        <w:t>A</w:t>
      </w:r>
      <w:r w:rsidR="001956FF">
        <w:t xml:space="preserve">nnet regelverk og andre virkemidler </w:t>
      </w:r>
      <w:r w:rsidR="00A36291">
        <w:t>enn finansieringen</w:t>
      </w:r>
      <w:r w:rsidR="001E0D07">
        <w:t>,</w:t>
      </w:r>
      <w:r w:rsidR="001956FF">
        <w:t xml:space="preserve"> ivaretar kravene om forsvarlige og kvalitativt gode tjenester.</w:t>
      </w:r>
    </w:p>
    <w:p w14:paraId="4D58EFB6" w14:textId="1FB711C9" w:rsidR="001956FF" w:rsidRDefault="003A4D68" w:rsidP="00326171">
      <w:pPr>
        <w:jc w:val="both"/>
      </w:pPr>
      <w:r>
        <w:t>Ekspertutvalget</w:t>
      </w:r>
      <w:r w:rsidR="001F7FB0">
        <w:t xml:space="preserve"> </w:t>
      </w:r>
      <w:r w:rsidR="005F221C">
        <w:t>anbefaler</w:t>
      </w:r>
      <w:r w:rsidR="001F7FB0">
        <w:t xml:space="preserve"> en utvikling </w:t>
      </w:r>
      <w:r w:rsidR="00FA6B73">
        <w:t>mot større grad av profesjonsnøytral</w:t>
      </w:r>
      <w:r w:rsidR="00833B51">
        <w:t xml:space="preserve"> finansiering</w:t>
      </w:r>
      <w:r w:rsidR="00EA4560">
        <w:t xml:space="preserve">. </w:t>
      </w:r>
      <w:r w:rsidR="001956FF">
        <w:t xml:space="preserve">Med profesjonsnøytral finansiering gis tjenesteyterne frihet til å velge hvilket personell som skal levere tjenestene. Samtidig flyttes mer av ansvaret for disse valgene ut til tjenesteyterne. </w:t>
      </w:r>
      <w:r w:rsidR="00307159">
        <w:t>Ekspertutvalget mener d</w:t>
      </w:r>
      <w:r w:rsidR="001956FF">
        <w:t xml:space="preserve">ette forutsetter </w:t>
      </w:r>
      <w:r w:rsidR="00075616">
        <w:t xml:space="preserve">et tydelig ansvar og </w:t>
      </w:r>
      <w:r w:rsidR="001956FF">
        <w:t>en tydelig definert ledelse av virksomhetene som skal levere tjenestene. Bruk av profesjonsnøytrale takster kan knyttes til ny organisering av fastlegevirksomhet, i form av fastlege</w:t>
      </w:r>
      <w:r w:rsidR="0049387A">
        <w:t>selskap</w:t>
      </w:r>
      <w:r w:rsidR="007811B9">
        <w:t xml:space="preserve"> eller kommunal</w:t>
      </w:r>
      <w:r w:rsidR="00B52B75">
        <w:t>e</w:t>
      </w:r>
      <w:r w:rsidR="00B12D1C">
        <w:t xml:space="preserve"> fastlegekontor</w:t>
      </w:r>
      <w:r w:rsidR="001956FF">
        <w:t xml:space="preserve">. En slik avgrensning kan </w:t>
      </w:r>
      <w:r w:rsidR="00CF26CD">
        <w:t>også</w:t>
      </w:r>
      <w:r w:rsidR="001956FF">
        <w:t xml:space="preserve"> være et insentiv for å få </w:t>
      </w:r>
      <w:r w:rsidR="0009348E">
        <w:t>solo- eller gruppepraksiser</w:t>
      </w:r>
      <w:r w:rsidR="001956FF">
        <w:t xml:space="preserve"> til å gå over til fastlege</w:t>
      </w:r>
      <w:r w:rsidR="0049387A">
        <w:t>selskap</w:t>
      </w:r>
      <w:r w:rsidR="001956FF">
        <w:t>.</w:t>
      </w:r>
    </w:p>
    <w:p w14:paraId="1F426BAE" w14:textId="77777777" w:rsidR="00D9107F" w:rsidRDefault="00247098" w:rsidP="002967AD">
      <w:pPr>
        <w:jc w:val="both"/>
      </w:pPr>
      <w:r>
        <w:t>Med profesjonsnøytrale takster</w:t>
      </w:r>
      <w:r w:rsidR="007A758F">
        <w:t xml:space="preserve"> vil betalingen </w:t>
      </w:r>
      <w:r w:rsidR="008754B3">
        <w:t>(honoraret)</w:t>
      </w:r>
      <w:r w:rsidR="003D17FA">
        <w:t xml:space="preserve"> </w:t>
      </w:r>
      <w:r w:rsidR="00707F7A">
        <w:t xml:space="preserve">for aktiviteten </w:t>
      </w:r>
      <w:r w:rsidR="003D17FA">
        <w:t xml:space="preserve">i utgangspunktet være lik uavhengig av </w:t>
      </w:r>
      <w:r w:rsidR="00336E92">
        <w:t xml:space="preserve">hvilken personellgruppe som </w:t>
      </w:r>
      <w:r w:rsidR="0028123C">
        <w:t>utløser taksten</w:t>
      </w:r>
      <w:r w:rsidR="00603888">
        <w:t xml:space="preserve"> ved å utføre aktiviteten</w:t>
      </w:r>
      <w:r w:rsidR="0028123C">
        <w:t>.</w:t>
      </w:r>
      <w:r>
        <w:t xml:space="preserve"> </w:t>
      </w:r>
      <w:r w:rsidR="001956FF">
        <w:t>Det må vurderes om enkelte eller alle takster skal være profesjonsnøytral</w:t>
      </w:r>
      <w:r w:rsidR="006D3F1A">
        <w:t>e, og h</w:t>
      </w:r>
      <w:r w:rsidR="003C1A93">
        <w:t xml:space="preserve">vilke takster det er behov for </w:t>
      </w:r>
      <w:r w:rsidR="00DE132B">
        <w:t>hvis</w:t>
      </w:r>
      <w:r w:rsidR="003C1A93">
        <w:t xml:space="preserve"> nye personell</w:t>
      </w:r>
      <w:r w:rsidR="003C2265">
        <w:t xml:space="preserve">grupper skal </w:t>
      </w:r>
      <w:r w:rsidR="00FB51EB">
        <w:t>inkluderes</w:t>
      </w:r>
      <w:r w:rsidR="00024CC1">
        <w:t>.</w:t>
      </w:r>
      <w:r w:rsidR="00052D31">
        <w:t xml:space="preserve"> </w:t>
      </w:r>
      <w:r w:rsidR="004830AB">
        <w:t xml:space="preserve">Profesjonsnøytrale takster </w:t>
      </w:r>
      <w:r w:rsidR="00DB5FFC">
        <w:t xml:space="preserve">kan utløses selvstendig av annet personell, og </w:t>
      </w:r>
      <w:r w:rsidR="004830AB">
        <w:t>vil samtidig innebære en større grad av selvstendighet i arbeidet for personellgruppene, sammenliknet med delegering.</w:t>
      </w:r>
    </w:p>
    <w:p w14:paraId="266F3873" w14:textId="77777777" w:rsidR="00D9107F" w:rsidRDefault="00B12B75" w:rsidP="002967AD">
      <w:pPr>
        <w:jc w:val="both"/>
      </w:pPr>
      <w:r>
        <w:t xml:space="preserve">Ekspertutvalget </w:t>
      </w:r>
      <w:r w:rsidR="00F345D1">
        <w:t>anbefaler at</w:t>
      </w:r>
      <w:r w:rsidR="00001C20">
        <w:t xml:space="preserve"> f</w:t>
      </w:r>
      <w:r w:rsidR="001956FF">
        <w:t>astlege</w:t>
      </w:r>
      <w:r w:rsidR="0049387A">
        <w:t>selskap</w:t>
      </w:r>
      <w:r w:rsidR="001956FF">
        <w:t xml:space="preserve"> </w:t>
      </w:r>
      <w:r w:rsidR="00001C20">
        <w:t>med en klart definert ledelse</w:t>
      </w:r>
      <w:r w:rsidR="00F345D1">
        <w:t xml:space="preserve"> eller et kommunalt fastlegekontor med tilsvarende organisering</w:t>
      </w:r>
      <w:r w:rsidR="00001C20">
        <w:t>,</w:t>
      </w:r>
      <w:r w:rsidR="001956FF">
        <w:t xml:space="preserve"> </w:t>
      </w:r>
      <w:r w:rsidR="00B11FA2">
        <w:t xml:space="preserve">bør kunne </w:t>
      </w:r>
      <w:r w:rsidR="007E7233">
        <w:t>bruke</w:t>
      </w:r>
      <w:r w:rsidR="001956FF">
        <w:t xml:space="preserve"> profesjonsnøytrale takster. Delegering </w:t>
      </w:r>
      <w:r w:rsidR="00F345D1">
        <w:t xml:space="preserve">anbefales avgrenset </w:t>
      </w:r>
      <w:r w:rsidR="006E0CA6">
        <w:t xml:space="preserve">til </w:t>
      </w:r>
      <w:r w:rsidR="001956FF">
        <w:t>ordinære fastlegekontor</w:t>
      </w:r>
      <w:r w:rsidR="006E0CA6">
        <w:t xml:space="preserve"> innenfor dagens ordning med gruppepraksis og solopraksis</w:t>
      </w:r>
      <w:r w:rsidR="001956FF">
        <w:t>.</w:t>
      </w:r>
    </w:p>
    <w:p w14:paraId="7DAD1A23" w14:textId="77777777" w:rsidR="00D9107F" w:rsidRDefault="008A142B" w:rsidP="008A142B">
      <w:pPr>
        <w:jc w:val="both"/>
      </w:pPr>
      <w:r>
        <w:t>Det bør f</w:t>
      </w:r>
      <w:r w:rsidRPr="37560CA4">
        <w:t>ølge</w:t>
      </w:r>
      <w:r>
        <w:t>s</w:t>
      </w:r>
      <w:r w:rsidRPr="37560CA4">
        <w:t xml:space="preserve"> med på </w:t>
      </w:r>
      <w:r>
        <w:t>endringer som økt tverrfaglighet i fastlegetjenesten vil skape</w:t>
      </w:r>
      <w:r w:rsidRPr="37560CA4">
        <w:t xml:space="preserve">, for </w:t>
      </w:r>
      <w:r>
        <w:t>å kartlegge tilsiktede og utilsiktede virkninger,</w:t>
      </w:r>
      <w:r w:rsidRPr="37560CA4">
        <w:t xml:space="preserve"> </w:t>
      </w:r>
      <w:r>
        <w:t>med sikte på</w:t>
      </w:r>
      <w:r w:rsidRPr="37560CA4">
        <w:t xml:space="preserve"> </w:t>
      </w:r>
      <w:r>
        <w:t>å vurdere justeringer i innretningen.</w:t>
      </w:r>
    </w:p>
    <w:p w14:paraId="5B1BC372" w14:textId="13D56C6C" w:rsidR="004B3747" w:rsidRDefault="004B3747" w:rsidP="00775632">
      <w:pPr>
        <w:pStyle w:val="Overskrift3"/>
      </w:pPr>
      <w:bookmarkStart w:id="3647" w:name="_Toc130763859"/>
      <w:bookmarkStart w:id="3648" w:name="_Toc130766754"/>
      <w:bookmarkStart w:id="3649" w:name="_Toc130932155"/>
      <w:bookmarkStart w:id="3650" w:name="_Toc130934446"/>
      <w:bookmarkStart w:id="3651" w:name="_Toc130983575"/>
      <w:bookmarkStart w:id="3652" w:name="_Toc130983924"/>
      <w:bookmarkStart w:id="3653" w:name="_Toc131062200"/>
      <w:bookmarkStart w:id="3654" w:name="_Toc131062454"/>
      <w:bookmarkStart w:id="3655" w:name="_Toc131062715"/>
      <w:bookmarkStart w:id="3656" w:name="_Toc131062968"/>
      <w:bookmarkStart w:id="3657" w:name="_Toc131063751"/>
      <w:bookmarkStart w:id="3658" w:name="_Toc131064161"/>
      <w:bookmarkStart w:id="3659" w:name="_Toc131238511"/>
      <w:bookmarkStart w:id="3660" w:name="_Toc131279542"/>
      <w:bookmarkStart w:id="3661" w:name="_Toc131286954"/>
      <w:bookmarkStart w:id="3662" w:name="_Toc131281364"/>
      <w:bookmarkStart w:id="3663" w:name="_Toc131317904"/>
      <w:bookmarkStart w:id="3664" w:name="_Toc132537025"/>
      <w:r>
        <w:t xml:space="preserve">Behov for ledelse og </w:t>
      </w:r>
      <w:r w:rsidR="00B74EA5">
        <w:t xml:space="preserve">støtte i </w:t>
      </w:r>
      <w:r w:rsidR="00970F1C">
        <w:t>faglige vurderinger</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38B72F0C" w14:textId="77777777" w:rsidR="00D9107F" w:rsidRDefault="00AF7540" w:rsidP="00AF7540">
      <w:pPr>
        <w:jc w:val="both"/>
      </w:pPr>
      <w:r w:rsidRPr="0947EA56">
        <w:t>Om begrensningen av hvem som utfører oppgaver fjernes eller justeres i takstsystemet,</w:t>
      </w:r>
      <w:r>
        <w:t xml:space="preserve"> vil hvilke oppgaver annet helsepersonell kan utføre hovedsakelig baseres på en forsvarlighetsvurdering. </w:t>
      </w:r>
      <w:r w:rsidR="00F80EFC">
        <w:t xml:space="preserve">Det kan være en risiko for at </w:t>
      </w:r>
      <w:r w:rsidR="00C15DC6" w:rsidRPr="00D9107F">
        <w:rPr>
          <w:rStyle w:val="kursiv"/>
        </w:rPr>
        <w:t>for</w:t>
      </w:r>
      <w:r w:rsidR="00C15DC6">
        <w:t xml:space="preserve"> mye oppgaver overlates til annet personell.</w:t>
      </w:r>
      <w:r w:rsidR="00F80EFC">
        <w:t xml:space="preserve"> </w:t>
      </w:r>
      <w:r w:rsidR="005F3970" w:rsidRPr="00AC6F1C">
        <w:t xml:space="preserve">Det vil </w:t>
      </w:r>
      <w:r>
        <w:t xml:space="preserve">etter </w:t>
      </w:r>
      <w:r>
        <w:lastRenderedPageBreak/>
        <w:t xml:space="preserve">ekspertutvalgets vurdering </w:t>
      </w:r>
      <w:r w:rsidR="005F3970" w:rsidRPr="00AC6F1C">
        <w:t>være behov for å iverksette tiltak for å sikre at kvaliteten i tjenestene opprettholdes.</w:t>
      </w:r>
    </w:p>
    <w:p w14:paraId="370ADFBF" w14:textId="13354FAF" w:rsidR="00AF7540" w:rsidRDefault="00AF7540" w:rsidP="00AF7540">
      <w:pPr>
        <w:jc w:val="both"/>
      </w:pPr>
      <w:r>
        <w:rPr>
          <w:rFonts w:cstheme="minorHAnsi"/>
        </w:rPr>
        <w:t xml:space="preserve">Når </w:t>
      </w:r>
      <w:r w:rsidR="0027053C">
        <w:rPr>
          <w:rFonts w:cstheme="minorHAnsi"/>
        </w:rPr>
        <w:t>flere</w:t>
      </w:r>
      <w:r>
        <w:rPr>
          <w:rFonts w:cstheme="minorHAnsi"/>
        </w:rPr>
        <w:t xml:space="preserve"> faggruppe</w:t>
      </w:r>
      <w:r w:rsidR="0027053C">
        <w:rPr>
          <w:rFonts w:cstheme="minorHAnsi"/>
        </w:rPr>
        <w:t>r</w:t>
      </w:r>
      <w:r>
        <w:rPr>
          <w:rFonts w:cstheme="minorHAnsi"/>
        </w:rPr>
        <w:t xml:space="preserve"> jobber selvstendig, vil det være behov for at oppgavedelingen er lederstyrt. Dette ansvaret inngår som en del av virksomhetens plikt til å etablere internkontrollsystem, og sikre forsvarlig drift</w:t>
      </w:r>
      <w:r>
        <w:t xml:space="preserve">, jf. spesialisthelsetjenesteloven </w:t>
      </w:r>
      <w:r w:rsidR="00D9107F">
        <w:t>§ 2</w:t>
      </w:r>
      <w:r>
        <w:t xml:space="preserve">-1a og </w:t>
      </w:r>
      <w:r w:rsidR="00D9107F">
        <w:t>§ 2</w:t>
      </w:r>
      <w:r>
        <w:t>-2, samt forskrift om ledelse og kvalitetsforbedring i helse- og omsorgstjenesten. Ledelse inngår i ansvaret som virksomhetsansvarlig. På fastlegekontoret er det i dag den enkelte fastlege som er virksomhetsansvarlig.</w:t>
      </w:r>
      <w:r w:rsidRPr="00090C1C">
        <w:t xml:space="preserve"> </w:t>
      </w:r>
      <w:r>
        <w:t xml:space="preserve">Om fastlegekontoret var organisert som et fastlegeselskap, ville ansvaret </w:t>
      </w:r>
      <w:r w:rsidR="000449DC">
        <w:t xml:space="preserve">kunne </w:t>
      </w:r>
      <w:r>
        <w:t>løfte</w:t>
      </w:r>
      <w:r w:rsidR="000449DC">
        <w:t>s</w:t>
      </w:r>
      <w:r>
        <w:t xml:space="preserve"> opp fra den enkelte lege til virksomhetsleder. </w:t>
      </w:r>
      <w:r w:rsidR="00DA1E52">
        <w:t>For et kommunalt drevet fastlegekontor vil virksomhetsansvaret ligge hos kommunen.</w:t>
      </w:r>
    </w:p>
    <w:p w14:paraId="3736843E" w14:textId="2C1A319B" w:rsidR="00AF7540" w:rsidRDefault="00AF7540" w:rsidP="00AF7540">
      <w:pPr>
        <w:jc w:val="both"/>
      </w:pPr>
      <w:r>
        <w:t xml:space="preserve">Den </w:t>
      </w:r>
      <w:r w:rsidR="00563134">
        <w:t>vari</w:t>
      </w:r>
      <w:r w:rsidR="00A05E66">
        <w:t>erende</w:t>
      </w:r>
      <w:r>
        <w:t xml:space="preserve"> ledelsesstrukturen og det individuelle utgangspunktet for dagens gruppe- og solopraksiser danner grunnlag for ekspertutvalgets anbefaling om at profesjonsnøytrale takster bør forbeholdes fastlegeselskap og kommunale fastlegekontor.</w:t>
      </w:r>
    </w:p>
    <w:p w14:paraId="6EAC3813" w14:textId="77777777" w:rsidR="00D9107F" w:rsidRDefault="00AF7540" w:rsidP="00AF7540">
      <w:pPr>
        <w:jc w:val="both"/>
      </w:pPr>
      <w:r>
        <w:t xml:space="preserve">Ved delegering vil fastlegen være personlig </w:t>
      </w:r>
      <w:r w:rsidR="00CA353C">
        <w:t xml:space="preserve">medisinskfaglig </w:t>
      </w:r>
      <w:r>
        <w:t>ansvarlig for oppgaver som delegeres</w:t>
      </w:r>
      <w:r w:rsidR="00372AE9">
        <w:t xml:space="preserve"> </w:t>
      </w:r>
      <w:r w:rsidR="00CA353C">
        <w:t xml:space="preserve">og utføres av </w:t>
      </w:r>
      <w:r w:rsidR="00372AE9">
        <w:t>annet helsepersonell</w:t>
      </w:r>
      <w:r>
        <w:t>. Det personlige ansvaret ved delegering passer etter utvalgets vurdering med det individuelle utgangspunktet for dagens gruppe- og solopraksis.</w:t>
      </w:r>
    </w:p>
    <w:p w14:paraId="10B5A3D5" w14:textId="66949F32" w:rsidR="00EA2084" w:rsidRDefault="00AF7540" w:rsidP="006A03AF">
      <w:pPr>
        <w:jc w:val="both"/>
      </w:pPr>
      <w:r>
        <w:t>For å sikre at kvaliteten opprettholdes i tjenesten</w:t>
      </w:r>
      <w:r w:rsidR="00563134">
        <w:t>,</w:t>
      </w:r>
      <w:r>
        <w:t xml:space="preserve"> anbefaler ekspertutvalget at det utarbeides en </w:t>
      </w:r>
      <w:r w:rsidR="00DB224A">
        <w:t xml:space="preserve">nasjonal </w:t>
      </w:r>
      <w:r>
        <w:t xml:space="preserve">veileder for hvilke oppgaver andre helsepersonellgrupper på fastlegekontoret </w:t>
      </w:r>
      <w:r w:rsidR="001A537A">
        <w:t xml:space="preserve">kan utføre </w:t>
      </w:r>
      <w:r>
        <w:t xml:space="preserve">innenfor rammen av forsvarlighetskravet. </w:t>
      </w:r>
      <w:r w:rsidR="00AF259B">
        <w:t xml:space="preserve">En veileder vil </w:t>
      </w:r>
      <w:r w:rsidR="000654D7">
        <w:t xml:space="preserve">gi støtte til både fastleger og virksomhetsleder, </w:t>
      </w:r>
      <w:r w:rsidR="00857B48">
        <w:t xml:space="preserve">og bidra til </w:t>
      </w:r>
      <w:r w:rsidR="000654D7">
        <w:t>at det ligger gode faglige vurderinger til grunn for oppgave</w:t>
      </w:r>
      <w:r w:rsidR="001A53A1">
        <w:t xml:space="preserve">løsningen. </w:t>
      </w:r>
      <w:r>
        <w:t xml:space="preserve">Det vil også på det enkelte fastlegekontor og fastlegeselskap være behov for at det </w:t>
      </w:r>
      <w:r w:rsidRPr="5D38468D">
        <w:t>foreligge</w:t>
      </w:r>
      <w:r>
        <w:t>r</w:t>
      </w:r>
      <w:r w:rsidRPr="5D38468D">
        <w:t xml:space="preserve"> skriftlig</w:t>
      </w:r>
      <w:r>
        <w:t>e</w:t>
      </w:r>
      <w:r w:rsidRPr="5D38468D">
        <w:t xml:space="preserve"> instrukser i form av arbeidsbeskrivelser knyttet til oppgavene</w:t>
      </w:r>
      <w:r>
        <w:t>.</w:t>
      </w:r>
    </w:p>
    <w:p w14:paraId="56E3955A" w14:textId="0B260557" w:rsidR="00970F1C" w:rsidRDefault="00E50569" w:rsidP="00775632">
      <w:pPr>
        <w:pStyle w:val="Overskrift3"/>
      </w:pPr>
      <w:bookmarkStart w:id="3665" w:name="_Ref130692961"/>
      <w:bookmarkStart w:id="3666" w:name="_Toc130763860"/>
      <w:bookmarkStart w:id="3667" w:name="_Toc130766755"/>
      <w:bookmarkStart w:id="3668" w:name="_Toc130932156"/>
      <w:bookmarkStart w:id="3669" w:name="_Toc130934447"/>
      <w:bookmarkStart w:id="3670" w:name="_Toc130983576"/>
      <w:bookmarkStart w:id="3671" w:name="_Toc130983925"/>
      <w:bookmarkStart w:id="3672" w:name="_Toc131062201"/>
      <w:bookmarkStart w:id="3673" w:name="_Toc131062455"/>
      <w:bookmarkStart w:id="3674" w:name="_Toc131062716"/>
      <w:bookmarkStart w:id="3675" w:name="_Toc131062969"/>
      <w:bookmarkStart w:id="3676" w:name="_Toc131063752"/>
      <w:bookmarkStart w:id="3677" w:name="_Toc131064162"/>
      <w:bookmarkStart w:id="3678" w:name="_Toc131238512"/>
      <w:bookmarkStart w:id="3679" w:name="_Toc131279543"/>
      <w:bookmarkStart w:id="3680" w:name="_Toc131286955"/>
      <w:bookmarkStart w:id="3681" w:name="_Toc131281365"/>
      <w:bookmarkStart w:id="3682" w:name="_Toc131317905"/>
      <w:bookmarkStart w:id="3683" w:name="_Toc132537026"/>
      <w:r>
        <w:t>Kostnader og k</w:t>
      </w:r>
      <w:r w:rsidR="00970F1C">
        <w:t>ost</w:t>
      </w:r>
      <w:r w:rsidR="00BC0132">
        <w:t>na</w:t>
      </w:r>
      <w:r w:rsidR="00970F1C">
        <w:t>dskontroll</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6AFEFC9F" w14:textId="77777777" w:rsidR="007C02A7" w:rsidRDefault="007C02A7" w:rsidP="006A03AF">
      <w:pPr>
        <w:jc w:val="both"/>
      </w:pPr>
      <w:r>
        <w:t>Ekspertutvalget mener økt grad av tverrfaglighet vil ha positive effekter. Andre personellgrupper skal både bidra til å avlaste fastlegen, og yte tverrfaglige tjenester ut over det som er i fastlegekontorene i dag. En slik utvidelse av virksomheten vil medføre kostnader.</w:t>
      </w:r>
    </w:p>
    <w:p w14:paraId="185CFB64" w14:textId="77777777" w:rsidR="00D9107F" w:rsidRDefault="00E217A1" w:rsidP="004162E3">
      <w:pPr>
        <w:jc w:val="both"/>
      </w:pPr>
      <w:r w:rsidRPr="00E217A1">
        <w:t>Merkostnadene vil avhenge av flere forhold</w:t>
      </w:r>
      <w:r w:rsidR="005402C5">
        <w:t xml:space="preserve">, </w:t>
      </w:r>
      <w:r w:rsidR="009D4858">
        <w:t>bl</w:t>
      </w:r>
      <w:r w:rsidR="007F1DEE">
        <w:t>ant annet</w:t>
      </w:r>
      <w:r w:rsidR="004011FE">
        <w:t xml:space="preserve"> hv</w:t>
      </w:r>
      <w:r w:rsidR="00D36C4A" w:rsidRPr="00D36C4A">
        <w:t>ilke personellgrupper</w:t>
      </w:r>
      <w:r w:rsidR="00064AA3" w:rsidRPr="00064AA3">
        <w:t xml:space="preserve"> </w:t>
      </w:r>
      <w:r w:rsidR="00412556">
        <w:t xml:space="preserve">som </w:t>
      </w:r>
      <w:r w:rsidR="00064AA3" w:rsidRPr="00064AA3">
        <w:t>skal inn i fastlegevirksomhetene og h</w:t>
      </w:r>
      <w:r w:rsidR="00064AA3" w:rsidRPr="00F6433E">
        <w:t>vor mange.</w:t>
      </w:r>
      <w:r w:rsidR="00F6433E" w:rsidRPr="00F6433E">
        <w:t xml:space="preserve"> Et viktig spørsmål for kostnadene</w:t>
      </w:r>
      <w:r w:rsidR="00C93B0D">
        <w:t>,</w:t>
      </w:r>
      <w:r w:rsidR="00F6433E" w:rsidRPr="00F6433E">
        <w:t xml:space="preserve"> er i hvilken grad aktiviteten</w:t>
      </w:r>
      <w:r w:rsidR="006D05A3" w:rsidRPr="006D05A3">
        <w:t xml:space="preserve"> til annet personell kommer i tillegg til eller i stedet for fastlegenes nåværende aktivitet.</w:t>
      </w:r>
      <w:r w:rsidR="0041775A" w:rsidRPr="0041775A">
        <w:t xml:space="preserve"> Utvidelse av samle</w:t>
      </w:r>
      <w:r w:rsidR="00372F65">
        <w:t>t</w:t>
      </w:r>
      <w:r w:rsidR="0041775A" w:rsidRPr="0041775A">
        <w:t xml:space="preserve"> aktivitet vil gi økte utgifter </w:t>
      </w:r>
      <w:r w:rsidR="004928A3">
        <w:t>gjennom</w:t>
      </w:r>
      <w:r w:rsidR="0041775A" w:rsidRPr="0041775A">
        <w:t xml:space="preserve"> takster.</w:t>
      </w:r>
    </w:p>
    <w:p w14:paraId="2D6CDB92" w14:textId="5FF014DB" w:rsidR="00CB54D6" w:rsidRDefault="00584302" w:rsidP="00715471">
      <w:pPr>
        <w:jc w:val="both"/>
      </w:pPr>
      <w:r w:rsidRPr="00584302">
        <w:t>Det er vanskelig å estimere forventede merkostnader.</w:t>
      </w:r>
      <w:r w:rsidR="001D3250">
        <w:t xml:space="preserve"> </w:t>
      </w:r>
      <w:r w:rsidR="00CB54D6">
        <w:t>Kostnadene som her er beregnet</w:t>
      </w:r>
      <w:r w:rsidR="0090731F">
        <w:t>,</w:t>
      </w:r>
      <w:r w:rsidR="00CB54D6">
        <w:t xml:space="preserve"> vil ikke inntreffe umiddelbart. Virksomhetene vil trenge tid for å vurdere om de vil ansette personell, deretter legge til rette og </w:t>
      </w:r>
      <w:r w:rsidR="000019E0">
        <w:t>gjennomføre</w:t>
      </w:r>
      <w:r w:rsidR="00CB54D6">
        <w:t xml:space="preserve"> ansette</w:t>
      </w:r>
      <w:r w:rsidR="000019E0">
        <w:t>lsesprosesser</w:t>
      </w:r>
      <w:r w:rsidR="00032BDA">
        <w:t xml:space="preserve">, og så utvikle </w:t>
      </w:r>
      <w:r w:rsidR="00D25C87">
        <w:t>det tverrfaglige a</w:t>
      </w:r>
      <w:r w:rsidR="00032BDA">
        <w:t>rbeidet</w:t>
      </w:r>
      <w:r w:rsidR="00CB54D6">
        <w:t xml:space="preserve">. Dette gir myndighetene anledning til å følge med, evaluere og justere kursen </w:t>
      </w:r>
      <w:r w:rsidR="00CB54D6">
        <w:lastRenderedPageBreak/>
        <w:t>underveis. Samtidig må virksomhetene ha sikkerhet om stabilitet i finansieringen, slik at de kan ansette personell.</w:t>
      </w:r>
    </w:p>
    <w:p w14:paraId="1AA70078" w14:textId="77777777" w:rsidR="00D9107F" w:rsidRDefault="00E923E3" w:rsidP="00657076">
      <w:pPr>
        <w:jc w:val="both"/>
      </w:pPr>
      <w:r>
        <w:t>Med i</w:t>
      </w:r>
      <w:r w:rsidR="00593E6E">
        <w:t xml:space="preserve">nnføring av profesjonsnøytrale takster og utvidet mulighet for delegering på fastlegekontoret, vil det være nødvendig </w:t>
      </w:r>
      <w:r>
        <w:t>at det innføres</w:t>
      </w:r>
      <w:r w:rsidR="00593E6E">
        <w:t xml:space="preserve"> </w:t>
      </w:r>
      <w:r w:rsidR="00970F1C" w:rsidRPr="00AC6F1C">
        <w:t>tiltak for kostnadskontroll</w:t>
      </w:r>
      <w:r w:rsidR="000D53BE">
        <w:t>.</w:t>
      </w:r>
      <w:r w:rsidR="009C21B3">
        <w:t xml:space="preserve"> </w:t>
      </w:r>
      <w:r w:rsidR="000D53BE">
        <w:t>Danmar</w:t>
      </w:r>
      <w:r w:rsidR="00D017E9">
        <w:t>k</w:t>
      </w:r>
      <w:r w:rsidR="000D53BE">
        <w:t xml:space="preserve"> har en ordning </w:t>
      </w:r>
      <w:r w:rsidR="00CF5023">
        <w:t xml:space="preserve">hvor det er begrenset hvor mye refusjoner en lege kan motta i løpet av en tidsperiode. Det vil også være mulig å sette begrensninger </w:t>
      </w:r>
      <w:r w:rsidR="003406DB">
        <w:t>på</w:t>
      </w:r>
      <w:r w:rsidR="00CF5023">
        <w:t xml:space="preserve"> </w:t>
      </w:r>
      <w:r w:rsidR="00B336DC">
        <w:t>antall annet personell</w:t>
      </w:r>
      <w:r w:rsidR="007C02A7">
        <w:t xml:space="preserve">, </w:t>
      </w:r>
      <w:r w:rsidR="007F45C0">
        <w:t xml:space="preserve">antall konsultasjoner eller </w:t>
      </w:r>
      <w:r w:rsidR="007C02A7">
        <w:t>hvor mye disse kan takste</w:t>
      </w:r>
      <w:r w:rsidR="00F03791">
        <w:t xml:space="preserve">. Økt andel basisfinansiering </w:t>
      </w:r>
      <w:r w:rsidR="00456830">
        <w:t xml:space="preserve">med tilhørende lavere takster </w:t>
      </w:r>
      <w:r w:rsidR="00142560" w:rsidRPr="005444A2">
        <w:t xml:space="preserve">(jf. anbefalinger </w:t>
      </w:r>
      <w:r w:rsidR="00E23AF8">
        <w:t>fra flertallet i utvalget</w:t>
      </w:r>
      <w:r w:rsidR="00142560" w:rsidRPr="005444A2">
        <w:t xml:space="preserve"> i kapittel </w:t>
      </w:r>
      <w:r w:rsidR="005444A2" w:rsidRPr="005444A2">
        <w:t>5.7</w:t>
      </w:r>
      <w:r w:rsidR="00142560" w:rsidRPr="005444A2">
        <w:t>)</w:t>
      </w:r>
      <w:r w:rsidR="00142560">
        <w:t xml:space="preserve"> </w:t>
      </w:r>
      <w:r w:rsidR="00F03791">
        <w:t xml:space="preserve">vil også </w:t>
      </w:r>
      <w:r w:rsidR="004C0C12">
        <w:t xml:space="preserve">redusere </w:t>
      </w:r>
      <w:r w:rsidR="005A489B">
        <w:t>insentivene</w:t>
      </w:r>
      <w:r w:rsidR="004C0C12">
        <w:t xml:space="preserve"> for overforbruk, og </w:t>
      </w:r>
      <w:r w:rsidR="000D66CD">
        <w:t>dermed være viktig for</w:t>
      </w:r>
      <w:r w:rsidR="004C0C12">
        <w:t xml:space="preserve"> kostnadskontroll.</w:t>
      </w:r>
      <w:r w:rsidR="00173693">
        <w:t xml:space="preserve"> </w:t>
      </w:r>
      <w:r w:rsidR="00D25C87">
        <w:t>Ekspertu</w:t>
      </w:r>
      <w:r w:rsidR="009B01C6">
        <w:t>tvalgets illu</w:t>
      </w:r>
      <w:r w:rsidR="003F2DAA">
        <w:t>s</w:t>
      </w:r>
      <w:r w:rsidR="009B01C6">
        <w:t xml:space="preserve">trerende beregninger </w:t>
      </w:r>
      <w:r w:rsidR="00775D36">
        <w:t>kan tyde på noen grad av selvdisiplinerende</w:t>
      </w:r>
      <w:r w:rsidR="009B01C6">
        <w:t xml:space="preserve"> </w:t>
      </w:r>
      <w:r w:rsidR="003F2DAA">
        <w:t xml:space="preserve">insentiver, ved at </w:t>
      </w:r>
      <w:r w:rsidR="009B01C6">
        <w:t>lønnsomhet</w:t>
      </w:r>
      <w:r w:rsidR="003F2DAA">
        <w:t>en er</w:t>
      </w:r>
      <w:r w:rsidR="009B01C6">
        <w:t xml:space="preserve"> begrenset for en fastlege </w:t>
      </w:r>
      <w:r w:rsidR="003F2DAA">
        <w:t>av</w:t>
      </w:r>
      <w:r w:rsidR="009B01C6">
        <w:t xml:space="preserve"> å ansette </w:t>
      </w:r>
      <w:r w:rsidR="00775D36">
        <w:t xml:space="preserve">annet personell dersom det ikke gjøres enten for å ta over fastlegens oppgaver eller for at fastlegen skal kunne utvide </w:t>
      </w:r>
      <w:r w:rsidR="3464C24B" w:rsidRPr="604E8040">
        <w:t>listelengd</w:t>
      </w:r>
      <w:r w:rsidR="057E8B35" w:rsidRPr="604E8040">
        <w:t>en</w:t>
      </w:r>
      <w:r w:rsidR="3464C24B" w:rsidRPr="604E8040">
        <w:t>.</w:t>
      </w:r>
      <w:r w:rsidR="00775D36">
        <w:t xml:space="preserve"> </w:t>
      </w:r>
      <w:r w:rsidR="005A209F">
        <w:t>Ekspertutvalget anbefaler at tiltak for kost</w:t>
      </w:r>
      <w:r w:rsidR="00173693">
        <w:t>n</w:t>
      </w:r>
      <w:r w:rsidR="005A209F">
        <w:t>adskontroll utredes videre.</w:t>
      </w:r>
    </w:p>
    <w:p w14:paraId="04213954" w14:textId="0CDE8D95" w:rsidR="00BB468E" w:rsidRDefault="00BB468E" w:rsidP="00775632">
      <w:pPr>
        <w:pStyle w:val="Overskrift1"/>
      </w:pPr>
      <w:bookmarkStart w:id="3684" w:name="_Toc131238513"/>
      <w:bookmarkStart w:id="3685" w:name="_Toc131279544"/>
      <w:bookmarkStart w:id="3686" w:name="_Toc131286956"/>
      <w:bookmarkStart w:id="3687" w:name="_Toc131281366"/>
      <w:bookmarkStart w:id="3688" w:name="_Toc131317906"/>
      <w:bookmarkStart w:id="3689" w:name="_Toc132537027"/>
      <w:r>
        <w:t>Fastlegers arbeid med attester</w:t>
      </w:r>
      <w:bookmarkEnd w:id="3684"/>
      <w:bookmarkEnd w:id="3685"/>
      <w:bookmarkEnd w:id="3686"/>
      <w:bookmarkEnd w:id="3687"/>
      <w:bookmarkEnd w:id="3688"/>
      <w:bookmarkEnd w:id="3689"/>
    </w:p>
    <w:p w14:paraId="09A0EE96" w14:textId="77777777" w:rsidR="00133A8D" w:rsidRDefault="00133A8D" w:rsidP="00775632">
      <w:pPr>
        <w:pStyle w:val="Overskrift2"/>
      </w:pPr>
      <w:bookmarkStart w:id="3690" w:name="_Toc129630356"/>
      <w:bookmarkStart w:id="3691" w:name="_Toc130763862"/>
      <w:bookmarkStart w:id="3692" w:name="_Toc130766757"/>
      <w:bookmarkStart w:id="3693" w:name="_Toc130932158"/>
      <w:bookmarkStart w:id="3694" w:name="_Toc130934449"/>
      <w:bookmarkStart w:id="3695" w:name="_Toc130983578"/>
      <w:bookmarkStart w:id="3696" w:name="_Toc130983927"/>
      <w:bookmarkStart w:id="3697" w:name="_Toc131062203"/>
      <w:bookmarkStart w:id="3698" w:name="_Toc131062457"/>
      <w:bookmarkStart w:id="3699" w:name="_Toc131062718"/>
      <w:bookmarkStart w:id="3700" w:name="_Toc131062971"/>
      <w:bookmarkStart w:id="3701" w:name="_Toc131063754"/>
      <w:bookmarkStart w:id="3702" w:name="_Toc131064164"/>
      <w:bookmarkStart w:id="3703" w:name="_Toc131238514"/>
      <w:bookmarkStart w:id="3704" w:name="_Toc131279545"/>
      <w:bookmarkStart w:id="3705" w:name="_Toc131286957"/>
      <w:bookmarkStart w:id="3706" w:name="_Toc131281367"/>
      <w:bookmarkStart w:id="3707" w:name="_Toc131317907"/>
      <w:bookmarkStart w:id="3708" w:name="_Toc132537028"/>
      <w:r>
        <w:t>Ekspertutvalgets anbefaling</w:t>
      </w:r>
      <w:bookmarkEnd w:id="3690"/>
      <w:r w:rsidR="003C4274">
        <w:t>er</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2E952EE3" w14:textId="77777777" w:rsidR="00D9107F" w:rsidRDefault="6E8BCFFB" w:rsidP="002E2EF6">
      <w:pPr>
        <w:rPr>
          <w:rFonts w:eastAsia="Calibri"/>
        </w:rPr>
      </w:pPr>
      <w:r>
        <w:t xml:space="preserve">Ekspertutvalget </w:t>
      </w:r>
      <w:r w:rsidR="00FB4822">
        <w:t>anbefaler</w:t>
      </w:r>
      <w:r>
        <w:t xml:space="preserve"> at </w:t>
      </w:r>
      <w:r w:rsidR="00FB4822">
        <w:t>det lovfestes</w:t>
      </w:r>
      <w:r w:rsidR="00FB4822" w:rsidRPr="00133A8D">
        <w:t xml:space="preserve"> at </w:t>
      </w:r>
      <w:r w:rsidR="00FB4822">
        <w:t xml:space="preserve">arbeidstaker må bruke opp </w:t>
      </w:r>
      <w:r w:rsidR="00FB4822" w:rsidRPr="00133A8D">
        <w:t>egenmelding</w:t>
      </w:r>
      <w:r w:rsidR="00FB4822">
        <w:t>sdagene</w:t>
      </w:r>
      <w:r>
        <w:t xml:space="preserve"> </w:t>
      </w:r>
      <w:r w:rsidRPr="00133A8D">
        <w:t xml:space="preserve">før </w:t>
      </w:r>
      <w:r>
        <w:t>sykmelding</w:t>
      </w:r>
      <w:r w:rsidR="00FB4822">
        <w:t xml:space="preserve"> kan benyttes.</w:t>
      </w:r>
      <w:r>
        <w:t xml:space="preserve"> </w:t>
      </w:r>
      <w:r w:rsidRPr="742D5150">
        <w:rPr>
          <w:rFonts w:eastAsia="Calibri"/>
        </w:rPr>
        <w:t xml:space="preserve">Videre mener utvalget at antall sammenhengende egenmeldingsdager bør økes tilsvarende arbeidsgiverperioden. </w:t>
      </w:r>
      <w:r w:rsidR="00716FA3">
        <w:rPr>
          <w:rFonts w:eastAsia="Calibri"/>
        </w:rPr>
        <w:t>A</w:t>
      </w:r>
      <w:r w:rsidR="00716FA3" w:rsidRPr="742D5150">
        <w:rPr>
          <w:rFonts w:eastAsia="Calibri"/>
        </w:rPr>
        <w:t>rbeidsgiver</w:t>
      </w:r>
      <w:r w:rsidRPr="742D5150">
        <w:rPr>
          <w:rFonts w:eastAsia="Calibri"/>
        </w:rPr>
        <w:t xml:space="preserve"> bør kunne kreve legeattest i denne perioden, men skal da også finansiere denne.</w:t>
      </w:r>
    </w:p>
    <w:p w14:paraId="755BA656" w14:textId="77777777" w:rsidR="00D9107F" w:rsidRDefault="6E8BCFFB" w:rsidP="002E2EF6">
      <w:pPr>
        <w:rPr>
          <w:rFonts w:eastAsia="Calibri"/>
        </w:rPr>
      </w:pPr>
      <w:r w:rsidRPr="742D5150">
        <w:rPr>
          <w:rFonts w:eastAsia="Calibri"/>
        </w:rPr>
        <w:t>Ekspertutvalget anbefaler å forskriftsfeste hvilke attester fastlegene plikter å skrive. Attester som ikke er forskriftsfestet, skal ikke fastlegene bruke tid på.</w:t>
      </w:r>
    </w:p>
    <w:p w14:paraId="72D4BE81" w14:textId="77777777" w:rsidR="00D9107F" w:rsidRDefault="6E8BCFFB" w:rsidP="002E2EF6">
      <w:pPr>
        <w:rPr>
          <w:rFonts w:eastAsia="Calibri"/>
        </w:rPr>
      </w:pPr>
      <w:r w:rsidRPr="742D5150">
        <w:rPr>
          <w:rFonts w:eastAsia="Calibri"/>
        </w:rPr>
        <w:t>Henvisninger for privat helseforsikring bør ikke finansieres, verken direkte eller indirekte, med offentlige midler, og ekspertutvalget mener at fastlegene ikke skal gjøre denne jobben for forsikringsselskapene.</w:t>
      </w:r>
    </w:p>
    <w:p w14:paraId="468A2FFF" w14:textId="58092B73" w:rsidR="6E8BCFFB" w:rsidRDefault="6E8BCFFB" w:rsidP="002E2EF6">
      <w:r w:rsidRPr="742D5150">
        <w:rPr>
          <w:rFonts w:eastAsia="Calibri"/>
        </w:rPr>
        <w:t>Ekspertutvalget mener det må være forsikringsbransjens ansvar å sørge for nødvendige undersøkelser og dokumentasjon for tegning av privat helseforsikring.</w:t>
      </w:r>
    </w:p>
    <w:p w14:paraId="3C5F9CA5" w14:textId="77777777" w:rsidR="00D9107F" w:rsidRDefault="5039BEC5" w:rsidP="002E2EF6">
      <w:r w:rsidRPr="7E20CD4C">
        <w:rPr>
          <w:rFonts w:eastAsia="Calibri"/>
        </w:rPr>
        <w:t>Det foreligger i</w:t>
      </w:r>
      <w:r w:rsidR="00716524">
        <w:rPr>
          <w:rFonts w:eastAsia="Calibri"/>
        </w:rPr>
        <w:t>ngen</w:t>
      </w:r>
      <w:r w:rsidRPr="7E20CD4C">
        <w:rPr>
          <w:rFonts w:eastAsia="Calibri"/>
        </w:rPr>
        <w:t xml:space="preserve"> medisinske grunner som tilsier at fastlegenes tid skal brukes på å attestere </w:t>
      </w:r>
      <w:r w:rsidR="005A3C2D" w:rsidRPr="7E20CD4C">
        <w:rPr>
          <w:rFonts w:eastAsia="Calibri"/>
        </w:rPr>
        <w:t xml:space="preserve">fravær </w:t>
      </w:r>
      <w:r w:rsidRPr="7E20CD4C">
        <w:rPr>
          <w:rFonts w:eastAsia="Calibri"/>
        </w:rPr>
        <w:t>i</w:t>
      </w:r>
      <w:r w:rsidR="005A3C2D" w:rsidRPr="7E20CD4C">
        <w:rPr>
          <w:rFonts w:eastAsia="Calibri"/>
        </w:rPr>
        <w:t xml:space="preserve"> videregående skole</w:t>
      </w:r>
      <w:r w:rsidRPr="7E20CD4C">
        <w:rPr>
          <w:rFonts w:eastAsia="Calibri"/>
        </w:rPr>
        <w:t>.</w:t>
      </w:r>
      <w:r w:rsidR="005A3C2D" w:rsidRPr="7E20CD4C">
        <w:rPr>
          <w:rFonts w:eastAsia="Calibri"/>
        </w:rPr>
        <w:t xml:space="preserve"> </w:t>
      </w:r>
      <w:r w:rsidR="0033466C" w:rsidRPr="7E20CD4C">
        <w:rPr>
          <w:rFonts w:eastAsia="Calibri"/>
        </w:rPr>
        <w:t xml:space="preserve">Det </w:t>
      </w:r>
      <w:r w:rsidR="0033466C">
        <w:t xml:space="preserve">samme gjelder for </w:t>
      </w:r>
      <w:r w:rsidR="007B0F77">
        <w:t xml:space="preserve">fravær fra </w:t>
      </w:r>
      <w:r w:rsidR="0033466C">
        <w:t xml:space="preserve">ungdomsskole og </w:t>
      </w:r>
      <w:r w:rsidR="007B0F77">
        <w:t>studier.</w:t>
      </w:r>
      <w:r w:rsidR="6E8BCFFB" w:rsidRPr="7E20CD4C">
        <w:rPr>
          <w:rFonts w:eastAsia="Calibri"/>
        </w:rPr>
        <w:t xml:space="preserve"> Det </w:t>
      </w:r>
      <w:r w:rsidRPr="7E20CD4C">
        <w:rPr>
          <w:rFonts w:eastAsia="Calibri"/>
        </w:rPr>
        <w:t>er på høy tid at dette håndteres i utdanningssektoren.</w:t>
      </w:r>
    </w:p>
    <w:p w14:paraId="56AE3AD2" w14:textId="669D51FF" w:rsidR="006B7C1F" w:rsidRPr="005C2255" w:rsidRDefault="00CB3BC9" w:rsidP="00775632">
      <w:pPr>
        <w:pStyle w:val="Overskrift2"/>
      </w:pPr>
      <w:bookmarkStart w:id="3709" w:name="_Toc129800015"/>
      <w:bookmarkStart w:id="3710" w:name="_Toc129800251"/>
      <w:bookmarkStart w:id="3711" w:name="_Toc129800019"/>
      <w:bookmarkStart w:id="3712" w:name="_Toc129800255"/>
      <w:bookmarkStart w:id="3713" w:name="_Toc129800020"/>
      <w:bookmarkStart w:id="3714" w:name="_Toc129800256"/>
      <w:bookmarkStart w:id="3715" w:name="_Toc130763863"/>
      <w:bookmarkStart w:id="3716" w:name="_Toc130766758"/>
      <w:bookmarkStart w:id="3717" w:name="_Toc130932159"/>
      <w:bookmarkStart w:id="3718" w:name="_Toc130934450"/>
      <w:bookmarkStart w:id="3719" w:name="_Toc130983579"/>
      <w:bookmarkStart w:id="3720" w:name="_Toc130983928"/>
      <w:bookmarkStart w:id="3721" w:name="_Toc131062204"/>
      <w:bookmarkStart w:id="3722" w:name="_Toc131062458"/>
      <w:bookmarkStart w:id="3723" w:name="_Toc131062719"/>
      <w:bookmarkStart w:id="3724" w:name="_Toc131062972"/>
      <w:bookmarkStart w:id="3725" w:name="_Toc131063755"/>
      <w:bookmarkStart w:id="3726" w:name="_Toc131064165"/>
      <w:bookmarkStart w:id="3727" w:name="_Toc131238515"/>
      <w:bookmarkStart w:id="3728" w:name="_Toc131279546"/>
      <w:bookmarkStart w:id="3729" w:name="_Toc131286958"/>
      <w:bookmarkStart w:id="3730" w:name="_Toc131281368"/>
      <w:bookmarkStart w:id="3731" w:name="_Toc131317908"/>
      <w:bookmarkStart w:id="3732" w:name="_Toc132537029"/>
      <w:bookmarkEnd w:id="3709"/>
      <w:bookmarkEnd w:id="3710"/>
      <w:bookmarkEnd w:id="3711"/>
      <w:bookmarkEnd w:id="3712"/>
      <w:bookmarkEnd w:id="3713"/>
      <w:bookmarkEnd w:id="3714"/>
      <w:r>
        <w:t>F</w:t>
      </w:r>
      <w:r w:rsidR="006B7C1F" w:rsidRPr="005C2255">
        <w:t>astlege</w:t>
      </w:r>
      <w:r w:rsidR="006B7C1F">
        <w:t>n</w:t>
      </w:r>
      <w:r w:rsidR="006B7C1F" w:rsidRPr="005C2255">
        <w:t>s plikt til å utstede attester</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3401B39D" w14:textId="77777777" w:rsidR="00D9107F" w:rsidRDefault="00B22138" w:rsidP="006B0AE5">
      <w:pPr>
        <w:jc w:val="both"/>
        <w:rPr>
          <w:color w:val="000000" w:themeColor="text1"/>
        </w:rPr>
      </w:pPr>
      <w:r w:rsidRPr="0069523F">
        <w:rPr>
          <w:rFonts w:eastAsiaTheme="minorEastAsia"/>
          <w:color w:val="000000" w:themeColor="text1"/>
        </w:rPr>
        <w:t>Fastlegene utsteder i overkant av 3,</w:t>
      </w:r>
      <w:r w:rsidRPr="0069523F" w:rsidDel="4EC16B6C">
        <w:rPr>
          <w:rFonts w:eastAsiaTheme="minorEastAsia"/>
          <w:color w:val="000000" w:themeColor="text1"/>
        </w:rPr>
        <w:t>8</w:t>
      </w:r>
      <w:r w:rsidRPr="0069523F">
        <w:rPr>
          <w:rFonts w:eastAsiaTheme="minorEastAsia"/>
          <w:color w:val="000000" w:themeColor="text1"/>
        </w:rPr>
        <w:t xml:space="preserve"> millioner sykmeldinger i løpet av et år. Andre eksempler er </w:t>
      </w:r>
      <w:r w:rsidRPr="0069523F">
        <w:rPr>
          <w:color w:val="000000" w:themeColor="text1"/>
        </w:rPr>
        <w:t>attester for fravær ved videregående skole og attester og henvisninger knyttet til private helseforsikringer. Antallet attester som skrives ut av fastlegene har økt over tid.</w:t>
      </w:r>
    </w:p>
    <w:p w14:paraId="7F6721F6" w14:textId="0F0CC663" w:rsidR="00D9107F" w:rsidRPr="00D9107F" w:rsidRDefault="00B22138" w:rsidP="006B0AE5">
      <w:pPr>
        <w:jc w:val="both"/>
        <w:rPr>
          <w:rStyle w:val="kursiv"/>
        </w:rPr>
      </w:pPr>
      <w:r w:rsidRPr="0069523F">
        <w:rPr>
          <w:color w:val="000000" w:themeColor="text1"/>
        </w:rPr>
        <w:lastRenderedPageBreak/>
        <w:t>P</w:t>
      </w:r>
      <w:r w:rsidR="006B7C1F" w:rsidRPr="0069523F">
        <w:rPr>
          <w:color w:val="000000" w:themeColor="text1"/>
        </w:rPr>
        <w:t>likt</w:t>
      </w:r>
      <w:r w:rsidRPr="0069523F">
        <w:rPr>
          <w:color w:val="000000" w:themeColor="text1"/>
        </w:rPr>
        <w:t>en</w:t>
      </w:r>
      <w:r w:rsidR="006B7C1F" w:rsidRPr="0069523F">
        <w:rPr>
          <w:color w:val="000000" w:themeColor="text1"/>
        </w:rPr>
        <w:t xml:space="preserve"> til å utstede attester følger av fastlegeforskriftens </w:t>
      </w:r>
      <w:r w:rsidR="00D9107F">
        <w:rPr>
          <w:color w:val="000000" w:themeColor="text1"/>
        </w:rPr>
        <w:t>§ </w:t>
      </w:r>
      <w:r w:rsidR="00D9107F" w:rsidRPr="0069523F">
        <w:rPr>
          <w:color w:val="000000" w:themeColor="text1"/>
        </w:rPr>
        <w:t>1</w:t>
      </w:r>
      <w:r w:rsidR="006B7C1F" w:rsidRPr="0069523F">
        <w:rPr>
          <w:color w:val="000000" w:themeColor="text1"/>
        </w:rPr>
        <w:t xml:space="preserve">0. I departementets merknader til forskriften heter det at en </w:t>
      </w:r>
      <w:r w:rsidR="00D9107F" w:rsidRPr="00D9107F">
        <w:rPr>
          <w:rStyle w:val="kursiv"/>
        </w:rPr>
        <w:t>«</w:t>
      </w:r>
      <w:r w:rsidR="006B7C1F" w:rsidRPr="00D9107F">
        <w:rPr>
          <w:rStyle w:val="kursiv"/>
        </w:rPr>
        <w:t>naturlig del av de allmennlegetjenestene fastlegen skal tilby sine listeinnbyggere er å skrive helseattester som er påkrevd i lov eller forskrift, og å gi opplysninger som er nødvendige for listeinnbyggeren ved søknad om helse- og omsorgstjenester, trygdeytelser og sosiale tjenester i arbeids- og velferdsforvaltningen. Som eksempel nevnes helseopplysninger i forbindelse med en sykmelding</w:t>
      </w:r>
      <w:r w:rsidR="00D9107F" w:rsidRPr="00D9107F">
        <w:rPr>
          <w:rStyle w:val="kursiv"/>
        </w:rPr>
        <w:t>»</w:t>
      </w:r>
      <w:r w:rsidR="00592DD4" w:rsidRPr="00D9107F">
        <w:rPr>
          <w:rStyle w:val="kursiv"/>
        </w:rPr>
        <w:t>.</w:t>
      </w:r>
    </w:p>
    <w:p w14:paraId="71774A7D" w14:textId="22A1C2E2" w:rsidR="00D9107F" w:rsidRPr="00D9107F" w:rsidRDefault="00592DD4" w:rsidP="006B0AE5">
      <w:pPr>
        <w:jc w:val="both"/>
        <w:rPr>
          <w:rStyle w:val="skrift-hevet"/>
        </w:rPr>
      </w:pPr>
      <w:r w:rsidRPr="0069523F">
        <w:rPr>
          <w:color w:val="000000" w:themeColor="text1"/>
        </w:rPr>
        <w:t xml:space="preserve">Å utstede sykmelding er spesifikt nevnt i merknadene til fastlegeforskriftens </w:t>
      </w:r>
      <w:r w:rsidR="00D9107F">
        <w:rPr>
          <w:color w:val="000000" w:themeColor="text1"/>
        </w:rPr>
        <w:t>§ </w:t>
      </w:r>
      <w:r w:rsidR="00D9107F" w:rsidRPr="0069523F">
        <w:rPr>
          <w:color w:val="000000" w:themeColor="text1"/>
        </w:rPr>
        <w:t>2</w:t>
      </w:r>
      <w:r w:rsidRPr="0069523F">
        <w:rPr>
          <w:color w:val="000000" w:themeColor="text1"/>
        </w:rPr>
        <w:t xml:space="preserve">6. Lov om folketrygd og tilhørende forskrifter og </w:t>
      </w:r>
      <w:r>
        <w:t xml:space="preserve">rundskriv regulerer sykmeldingsarbeidet. Alle leger har rett til å </w:t>
      </w:r>
      <w:r w:rsidR="0069523F">
        <w:t>syk</w:t>
      </w:r>
      <w:r>
        <w:t xml:space="preserve">melde, eller attestere </w:t>
      </w:r>
      <w:r w:rsidR="00D9107F">
        <w:t>«</w:t>
      </w:r>
      <w:r>
        <w:t>arbeidsuførhet ved sykdom</w:t>
      </w:r>
      <w:r w:rsidR="00D9107F">
        <w:t>»</w:t>
      </w:r>
      <w:r>
        <w:t>. Medisinstudenter med midlertidig lisens har ikke rett til å sykmelde.</w:t>
      </w:r>
      <w:bookmarkStart w:id="3733" w:name="_Toc132537030"/>
    </w:p>
    <w:p w14:paraId="18E58660" w14:textId="08719526" w:rsidR="00D9107F" w:rsidRDefault="005B14F0" w:rsidP="00775632">
      <w:pPr>
        <w:pStyle w:val="Overskrift2"/>
      </w:pPr>
      <w:r>
        <w:t xml:space="preserve">Tidligere utredninger </w:t>
      </w:r>
      <w:r w:rsidR="00337F98">
        <w:t>om attester og erklæringer</w:t>
      </w:r>
      <w:bookmarkEnd w:id="3733"/>
    </w:p>
    <w:p w14:paraId="77A3B64D" w14:textId="4253836B" w:rsidR="006116A5" w:rsidRPr="00422D49" w:rsidRDefault="00E42D47" w:rsidP="006B0AE5">
      <w:pPr>
        <w:jc w:val="both"/>
      </w:pPr>
      <w:r>
        <w:t>D</w:t>
      </w:r>
      <w:r w:rsidR="00137B56">
        <w:t>et er de</w:t>
      </w:r>
      <w:r>
        <w:t xml:space="preserve"> siste årene lagt ned betydelig arbeid i </w:t>
      </w:r>
      <w:r w:rsidR="00137B56">
        <w:t>å gjennomgå</w:t>
      </w:r>
      <w:r>
        <w:t xml:space="preserve"> ulike attester og erklæringer som fastleger utsteder</w:t>
      </w:r>
      <w:r w:rsidR="00EA21CB">
        <w:t>,</w:t>
      </w:r>
      <w:r w:rsidR="00256FCD">
        <w:t xml:space="preserve"> med in</w:t>
      </w:r>
      <w:r>
        <w:t xml:space="preserve">tensjonen </w:t>
      </w:r>
      <w:r w:rsidR="00256FCD">
        <w:t>om</w:t>
      </w:r>
      <w:r>
        <w:t xml:space="preserve"> fjerne eller forenkle og avlaste fastlegene fra unødig og administrativt arbeid</w:t>
      </w:r>
      <w:r w:rsidR="00F15F28">
        <w:t>.</w:t>
      </w:r>
      <w:r w:rsidR="006116A5" w:rsidRPr="006116A5">
        <w:t xml:space="preserve"> </w:t>
      </w:r>
      <w:r w:rsidR="006116A5">
        <w:t>Ekspertutvalget har i sitt arbeid med fastlegers attester og erklæringer lagt til grunn og bygget videre på dette arbeidet.</w:t>
      </w:r>
    </w:p>
    <w:p w14:paraId="7622624B" w14:textId="77777777" w:rsidR="00D9107F" w:rsidRDefault="00F15F28" w:rsidP="006B0AE5">
      <w:pPr>
        <w:jc w:val="both"/>
      </w:pPr>
      <w:r>
        <w:t xml:space="preserve">EY og Vista Analyse pekte i sin evaluering av fastlegeordningen fra 2019 på at </w:t>
      </w:r>
      <w:r w:rsidR="00596FB0">
        <w:t xml:space="preserve">økte </w:t>
      </w:r>
      <w:r>
        <w:t xml:space="preserve">dokumentasjonskrav </w:t>
      </w:r>
      <w:r w:rsidR="00BC640F">
        <w:t>er</w:t>
      </w:r>
      <w:r>
        <w:t xml:space="preserve"> </w:t>
      </w:r>
      <w:r w:rsidR="00596FB0">
        <w:t xml:space="preserve">en </w:t>
      </w:r>
      <w:r>
        <w:t xml:space="preserve">årsak til stor arbeidsbelastning, </w:t>
      </w:r>
      <w:r w:rsidR="00596FB0">
        <w:t>og at dette arbeidet tar</w:t>
      </w:r>
      <w:r>
        <w:t xml:space="preserve"> av fastlegen</w:t>
      </w:r>
      <w:r w:rsidR="00596FB0">
        <w:t>s tid med pasienter</w:t>
      </w:r>
      <w:r w:rsidR="002D6D28">
        <w:t xml:space="preserve"> </w:t>
      </w:r>
      <w:r w:rsidR="00FD2027">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FD2027">
        <w:fldChar w:fldCharType="separate"/>
      </w:r>
      <w:r w:rsidR="00FD2027">
        <w:rPr>
          <w:noProof/>
        </w:rPr>
        <w:t>(EY og Vista Analyse, 2019)</w:t>
      </w:r>
      <w:r w:rsidR="00FD2027">
        <w:fldChar w:fldCharType="end"/>
      </w:r>
      <w:r w:rsidR="00596FB0">
        <w:t>.</w:t>
      </w:r>
      <w:r>
        <w:t xml:space="preserve"> Evalueringen viser til at det </w:t>
      </w:r>
      <w:r w:rsidR="006116A5">
        <w:t>nærmest er uavgrenset</w:t>
      </w:r>
      <w:r>
        <w:t xml:space="preserve"> hva fastlegene </w:t>
      </w:r>
      <w:r w:rsidR="006116A5">
        <w:t>bes om å</w:t>
      </w:r>
      <w:r>
        <w:t xml:space="preserve"> attestere og dokumentere</w:t>
      </w:r>
      <w:r w:rsidR="001839B6">
        <w:t xml:space="preserve">. Videre </w:t>
      </w:r>
      <w:r>
        <w:t>at attestene er omfattende og tidkrevende</w:t>
      </w:r>
      <w:r w:rsidR="001839B6">
        <w:t>, og at</w:t>
      </w:r>
      <w:r>
        <w:t xml:space="preserve"> fastlege</w:t>
      </w:r>
      <w:r w:rsidR="001839B6">
        <w:t>ne selv ofte ikke ser den samfunnsmessige nytten i attestene.</w:t>
      </w:r>
    </w:p>
    <w:p w14:paraId="499313B8" w14:textId="77777777" w:rsidR="00D9107F" w:rsidRDefault="00C451DA" w:rsidP="006B0AE5">
      <w:pPr>
        <w:jc w:val="both"/>
      </w:pPr>
      <w:r w:rsidRPr="6199081A">
        <w:t xml:space="preserve">Helsedirektoratet har på oppdrag fra Helse- og omsorgsdepartementet </w:t>
      </w:r>
      <w:r>
        <w:t xml:space="preserve">de siste årene </w:t>
      </w:r>
      <w:r w:rsidRPr="6199081A">
        <w:t xml:space="preserve">gjennomgått og levert </w:t>
      </w:r>
      <w:r w:rsidR="00BF73D2">
        <w:t xml:space="preserve">to </w:t>
      </w:r>
      <w:r>
        <w:t xml:space="preserve">oppdrag med </w:t>
      </w:r>
      <w:r w:rsidRPr="6199081A">
        <w:t xml:space="preserve">anbefalinger </w:t>
      </w:r>
      <w:r>
        <w:t xml:space="preserve">om </w:t>
      </w:r>
      <w:r w:rsidRPr="6199081A">
        <w:t>legers administrative oppgaver og attester utenfor NAV</w:t>
      </w:r>
      <w:r w:rsidR="00280A5F">
        <w:t>-</w:t>
      </w:r>
      <w:r w:rsidRPr="6199081A">
        <w:t xml:space="preserve">området. </w:t>
      </w:r>
      <w:r w:rsidR="00BF73D2">
        <w:t xml:space="preserve">Både </w:t>
      </w:r>
      <w:r w:rsidRPr="6199081A">
        <w:t xml:space="preserve">KS og Legeforeningen har </w:t>
      </w:r>
      <w:r>
        <w:t xml:space="preserve">i begge tilfellene </w:t>
      </w:r>
      <w:r w:rsidRPr="6199081A">
        <w:t>vært involvert</w:t>
      </w:r>
      <w:r>
        <w:t xml:space="preserve"> i arbeidet.</w:t>
      </w:r>
    </w:p>
    <w:p w14:paraId="3DD1B2AF" w14:textId="43E8EF1A" w:rsidR="007B478D" w:rsidRDefault="00C451DA" w:rsidP="006B0AE5">
      <w:pPr>
        <w:jc w:val="both"/>
      </w:pPr>
      <w:r w:rsidRPr="3B601119">
        <w:t xml:space="preserve">I rapporten </w:t>
      </w:r>
      <w:r w:rsidR="00D9107F">
        <w:t>«</w:t>
      </w:r>
      <w:r w:rsidRPr="00D9107F">
        <w:rPr>
          <w:rStyle w:val="kursiv"/>
        </w:rPr>
        <w:t>Ikke-kliniske oppgaver fastleger bør slutte å gjøre</w:t>
      </w:r>
      <w:r w:rsidR="00D9107F">
        <w:t>»</w:t>
      </w:r>
      <w:r w:rsidRPr="3B601119">
        <w:t xml:space="preserve"> </w:t>
      </w:r>
      <w:r>
        <w:t xml:space="preserve">fra </w:t>
      </w:r>
      <w:r w:rsidRPr="3B601119">
        <w:t>2019 peke</w:t>
      </w:r>
      <w:r>
        <w:t xml:space="preserve">r det partssammensatte utvalget på </w:t>
      </w:r>
      <w:r w:rsidRPr="3B601119">
        <w:t>at</w:t>
      </w:r>
      <w:r>
        <w:t xml:space="preserve"> </w:t>
      </w:r>
      <w:r w:rsidR="008F20D7">
        <w:t xml:space="preserve">fastlegen </w:t>
      </w:r>
      <w:r w:rsidR="001C206E">
        <w:t>utsteder en rekke attester- og legeerklæringer på forespørsel fra pasienten</w:t>
      </w:r>
      <w:r w:rsidR="008F20D7">
        <w:t>e</w:t>
      </w:r>
      <w:r w:rsidR="001C206E">
        <w:t xml:space="preserve"> selv</w:t>
      </w:r>
      <w:r w:rsidR="008F20D7">
        <w:t>, og at d</w:t>
      </w:r>
      <w:r w:rsidR="001C206E">
        <w:t xml:space="preserve">isse attestene i sum </w:t>
      </w:r>
      <w:r w:rsidR="00625ADC">
        <w:t xml:space="preserve">er </w:t>
      </w:r>
      <w:r w:rsidR="001C206E">
        <w:t>omfattende</w:t>
      </w:r>
      <w:r w:rsidR="00E41CAD">
        <w:t xml:space="preserve"> </w:t>
      </w:r>
      <w:r w:rsidR="00FD2027">
        <w:fldChar w:fldCharType="begin"/>
      </w:r>
      <w:r w:rsidR="00FD2027">
        <w:instrText xml:space="preserve"> ADDIN EN.CITE &lt;EndNote&gt;&lt;Cite&gt;&lt;Author&gt;Helsedirektoratet&lt;/Author&gt;&lt;Year&gt;2019&lt;/Year&gt;&lt;RecNum&gt;321&lt;/RecNum&gt;&lt;DisplayText&gt;(Helsedirektoratet, 2019a)&lt;/DisplayText&gt;&lt;record&gt;&lt;rec-number&gt;321&lt;/rec-number&gt;&lt;foreign-keys&gt;&lt;key app="EN" db-id="95tpr2tp6r9xwoea9rb5wdsz5ds5xeddteew" timestamp="1680069511"&gt;321&lt;/key&gt;&lt;/foreign-keys&gt;&lt;ref-type name="Report"&gt;27&lt;/ref-type&gt;&lt;contributors&gt;&lt;authors&gt;&lt;author&gt;Helsedirektoratet&lt;/author&gt;&lt;/authors&gt;&lt;tertiary-authors&gt;&lt;author&gt;Helsedirektoratet&lt;/author&gt;&lt;/tertiary-authors&gt;&lt;/contributors&gt;&lt;titles&gt;&lt;title&gt;Helsedirektoratets besvarelse av oppdrag fra Helse- og omsorgsdepartementet, Partssammensatt arbeidsgruppe: Ikke-kliniske oppgaver fastlegen bør slutte å gjøre: 12.11.2019&lt;/title&gt;&lt;/titles&gt;&lt;dates&gt;&lt;year&gt;2019&lt;/year&gt;&lt;/dates&gt;&lt;work-type&gt;upublisert&lt;/work-type&gt;&lt;urls&gt;&lt;/urls&gt;&lt;/record&gt;&lt;/Cite&gt;&lt;/EndNote&gt;</w:instrText>
      </w:r>
      <w:r w:rsidR="00FD2027">
        <w:fldChar w:fldCharType="separate"/>
      </w:r>
      <w:r w:rsidR="00FD2027">
        <w:rPr>
          <w:noProof/>
        </w:rPr>
        <w:t>(Helsedirektoratet, 2019a)</w:t>
      </w:r>
      <w:r w:rsidR="00FD2027">
        <w:fldChar w:fldCharType="end"/>
      </w:r>
      <w:r w:rsidR="00217AD0">
        <w:t>. At det ikke finnes noen</w:t>
      </w:r>
      <w:r w:rsidR="001C206E">
        <w:t xml:space="preserve"> regulering av hvilke aktører som kan kreve at pasienten skal </w:t>
      </w:r>
      <w:r w:rsidR="0069523F">
        <w:t>fra</w:t>
      </w:r>
      <w:r w:rsidR="00716FA3">
        <w:t xml:space="preserve">mlegge legeattest, bidrar til økt arbeidspress på fastlegene. Rapporten peker på at det ikke bør være </w:t>
      </w:r>
      <w:r w:rsidR="00716FA3" w:rsidRPr="00DA3B1B">
        <w:t xml:space="preserve">fritt </w:t>
      </w:r>
      <w:r w:rsidR="0069523F">
        <w:t>fra</w:t>
      </w:r>
      <w:r w:rsidR="00716FA3" w:rsidRPr="00DA3B1B">
        <w:t>m</w:t>
      </w:r>
      <w:r w:rsidR="00DA3B1B" w:rsidRPr="00DA3B1B">
        <w:t xml:space="preserve"> for ulike aktører </w:t>
      </w:r>
      <w:r w:rsidR="003D52C7">
        <w:t>å</w:t>
      </w:r>
      <w:r w:rsidR="00DA3B1B" w:rsidRPr="00DA3B1B">
        <w:t xml:space="preserve"> stille krav </w:t>
      </w:r>
      <w:r w:rsidR="003D52C7">
        <w:t xml:space="preserve">om </w:t>
      </w:r>
      <w:r w:rsidR="00DA3B1B" w:rsidRPr="00DA3B1B">
        <w:t>legeattest som dokumentasjon</w:t>
      </w:r>
      <w:r w:rsidR="003D52C7">
        <w:t xml:space="preserve">, og at det </w:t>
      </w:r>
      <w:r w:rsidR="00DA3B1B" w:rsidRPr="00DA3B1B">
        <w:t xml:space="preserve">bør være en terskel for at disse attestene skal havne </w:t>
      </w:r>
      <w:r w:rsidR="00D376EA">
        <w:t>hos</w:t>
      </w:r>
      <w:r w:rsidR="00DA3B1B" w:rsidRPr="00DA3B1B">
        <w:t xml:space="preserve"> fastlegen. </w:t>
      </w:r>
      <w:r w:rsidR="005E29B9">
        <w:t xml:space="preserve">Det </w:t>
      </w:r>
      <w:r w:rsidR="00210B0D">
        <w:t>peke</w:t>
      </w:r>
      <w:r w:rsidR="005E29B9">
        <w:t>s</w:t>
      </w:r>
      <w:r w:rsidR="00210B0D">
        <w:t xml:space="preserve"> på at </w:t>
      </w:r>
      <w:r w:rsidR="00DA3B1B" w:rsidRPr="00DA3B1B">
        <w:t xml:space="preserve">legeattest </w:t>
      </w:r>
      <w:r w:rsidR="00210B0D">
        <w:t xml:space="preserve">i flere tilfeller </w:t>
      </w:r>
      <w:r w:rsidR="00DA3B1B" w:rsidRPr="00DA3B1B">
        <w:t>bør kunne erstattes av egenerklæring fra pasienten</w:t>
      </w:r>
      <w:r w:rsidR="00210B0D">
        <w:t xml:space="preserve">, og at det bør </w:t>
      </w:r>
      <w:r w:rsidR="005E29B9">
        <w:t>vurderes om</w:t>
      </w:r>
      <w:r w:rsidR="00DA3B1B" w:rsidRPr="00DA3B1B">
        <w:t xml:space="preserve"> annet helsepersonell med kjennskap til pasientens helsemessige tilstand og funksjonsnivå, etter delegasjon fra fastlege</w:t>
      </w:r>
      <w:r w:rsidR="005E29B9">
        <w:t>n</w:t>
      </w:r>
      <w:r w:rsidR="00DA3B1B" w:rsidRPr="00DA3B1B">
        <w:t>, kan utstede helseattester og erklæringer.</w:t>
      </w:r>
    </w:p>
    <w:p w14:paraId="7FA70F02" w14:textId="77777777" w:rsidR="00D9107F" w:rsidRDefault="006972A9" w:rsidP="006B0AE5">
      <w:pPr>
        <w:jc w:val="both"/>
      </w:pPr>
      <w:r>
        <w:lastRenderedPageBreak/>
        <w:t xml:space="preserve">Stadig </w:t>
      </w:r>
      <w:r w:rsidR="00F40E03" w:rsidRPr="000A17E5">
        <w:t>flere tegner privat helseforsikring</w:t>
      </w:r>
      <w:r w:rsidRPr="000A17E5">
        <w:t xml:space="preserve">, og det </w:t>
      </w:r>
      <w:r w:rsidR="00F40E03" w:rsidRPr="000A17E5">
        <w:t xml:space="preserve">gir grunn til å tro at krav om legeerklæring til forsikringsselskap vil fortsette å øke. </w:t>
      </w:r>
      <w:r w:rsidR="00CC22D2" w:rsidRPr="0085529D">
        <w:t>Det foreligger en avtale mellom Den norske legeforening og Finans Norge om utlevering av helseinformasjon til bank og forsikringsselskap</w:t>
      </w:r>
      <w:r w:rsidR="0056272C">
        <w:t>. A</w:t>
      </w:r>
      <w:r w:rsidR="00CC22D2" w:rsidRPr="0085529D">
        <w:t>vtalen regulerer også honorering for dette.</w:t>
      </w:r>
      <w:r w:rsidR="0056272C">
        <w:t xml:space="preserve"> </w:t>
      </w:r>
      <w:r w:rsidR="000143C0" w:rsidRPr="000A17E5">
        <w:t xml:space="preserve">Den partssammensatte arbeidsgruppen </w:t>
      </w:r>
      <w:r w:rsidR="00A62B0F">
        <w:t>mener</w:t>
      </w:r>
      <w:r w:rsidR="000143C0">
        <w:t xml:space="preserve"> </w:t>
      </w:r>
      <w:r w:rsidR="000143C0" w:rsidRPr="000A17E5">
        <w:t>l</w:t>
      </w:r>
      <w:r w:rsidR="00F40E03" w:rsidRPr="000A17E5">
        <w:t xml:space="preserve">egeerklæring til forsikringsselskap ikke </w:t>
      </w:r>
      <w:r w:rsidR="00A62B0F">
        <w:t>kan</w:t>
      </w:r>
      <w:r w:rsidR="00F40E03" w:rsidDel="00A62B0F">
        <w:t xml:space="preserve"> </w:t>
      </w:r>
      <w:r w:rsidR="00F40E03" w:rsidRPr="000A17E5">
        <w:t>regne</w:t>
      </w:r>
      <w:r w:rsidR="00A62B0F">
        <w:t>s</w:t>
      </w:r>
      <w:r w:rsidR="00F40E03" w:rsidRPr="000A17E5">
        <w:t xml:space="preserve"> som </w:t>
      </w:r>
      <w:r w:rsidR="00A62B0F">
        <w:t xml:space="preserve">en av </w:t>
      </w:r>
      <w:r w:rsidR="00F40E03" w:rsidRPr="000A17E5">
        <w:t xml:space="preserve">fastlegens kjerneoppgaver, men må sees på som </w:t>
      </w:r>
      <w:r w:rsidR="00A62B0F">
        <w:t xml:space="preserve">en </w:t>
      </w:r>
      <w:r w:rsidR="00F40E03" w:rsidRPr="000A17E5">
        <w:t>tilleggsoppgave</w:t>
      </w:r>
      <w:r w:rsidR="00A62B0F">
        <w:t xml:space="preserve"> </w:t>
      </w:r>
      <w:r w:rsidR="00F40E03" w:rsidRPr="000A17E5">
        <w:t>som den selvstendig næringsdrivende fastlegen tar på seg utover sine plikter som fastlege.</w:t>
      </w:r>
      <w:r w:rsidR="00F40E03">
        <w:t xml:space="preserve"> </w:t>
      </w:r>
      <w:r w:rsidR="00D66528">
        <w:t>A</w:t>
      </w:r>
      <w:r w:rsidR="00F40E03" w:rsidRPr="000A17E5">
        <w:t xml:space="preserve">rbeidsgruppen </w:t>
      </w:r>
      <w:r w:rsidR="00F40E03">
        <w:t xml:space="preserve">mener </w:t>
      </w:r>
      <w:r w:rsidR="001E713F">
        <w:t>at</w:t>
      </w:r>
      <w:r w:rsidR="00F40E03">
        <w:t xml:space="preserve"> </w:t>
      </w:r>
      <w:r w:rsidR="00F40E03" w:rsidRPr="000A17E5">
        <w:t>fastlegens arbeidsoppgaver relatert til pasienters tegning av private helseforsikringer</w:t>
      </w:r>
      <w:r w:rsidR="00CB0D5B">
        <w:t>,</w:t>
      </w:r>
      <w:r w:rsidR="001E713F">
        <w:t xml:space="preserve"> </w:t>
      </w:r>
      <w:r w:rsidR="00611863">
        <w:t>og ulike modeller for innhenting av denne type informasjon</w:t>
      </w:r>
      <w:r w:rsidR="00CB0D5B">
        <w:t>,</w:t>
      </w:r>
      <w:r w:rsidR="00611863">
        <w:t xml:space="preserve"> </w:t>
      </w:r>
      <w:r w:rsidR="001E713F">
        <w:t>bør vurderes</w:t>
      </w:r>
      <w:r w:rsidR="00611863">
        <w:t>.</w:t>
      </w:r>
    </w:p>
    <w:p w14:paraId="2B486B3D" w14:textId="77777777" w:rsidR="00D9107F" w:rsidRDefault="00716FA3" w:rsidP="006B0AE5">
      <w:pPr>
        <w:jc w:val="both"/>
      </w:pPr>
      <w:r>
        <w:t xml:space="preserve">Rapporten </w:t>
      </w:r>
      <w:r w:rsidR="0069523F">
        <w:t>fra</w:t>
      </w:r>
      <w:r>
        <w:t>mhever</w:t>
      </w:r>
      <w:r w:rsidR="00C35ECD" w:rsidDel="00C35ECD">
        <w:t xml:space="preserve"> </w:t>
      </w:r>
      <w:r w:rsidR="00621644">
        <w:t>videre</w:t>
      </w:r>
      <w:r w:rsidR="00C35ECD" w:rsidDel="00C35ECD">
        <w:t xml:space="preserve"> </w:t>
      </w:r>
      <w:r w:rsidR="00C35ECD">
        <w:t>at f</w:t>
      </w:r>
      <w:r w:rsidR="00C35ECD" w:rsidRPr="009564EA">
        <w:t>astlegens oppgave</w:t>
      </w:r>
      <w:r w:rsidR="00C35ECD">
        <w:t>r</w:t>
      </w:r>
      <w:r w:rsidR="00C35ECD" w:rsidRPr="009564EA">
        <w:t xml:space="preserve"> </w:t>
      </w:r>
      <w:r w:rsidR="00C35ECD">
        <w:t>knyttet til pasienttransport</w:t>
      </w:r>
      <w:r w:rsidR="00C35ECD" w:rsidRPr="009564EA">
        <w:t xml:space="preserve"> bør avgrenses</w:t>
      </w:r>
      <w:r w:rsidR="00C35ECD">
        <w:t>, og at krav</w:t>
      </w:r>
      <w:r w:rsidR="00C35ECD" w:rsidRPr="009564EA">
        <w:t xml:space="preserve"> om legeerklæring for å attestere fravær som skyldes helsegrunner</w:t>
      </w:r>
      <w:r w:rsidR="00C35ECD">
        <w:t xml:space="preserve"> i videregående</w:t>
      </w:r>
      <w:r w:rsidR="00C35ECD" w:rsidRPr="009564EA">
        <w:t xml:space="preserve"> </w:t>
      </w:r>
      <w:r w:rsidR="00280A5F">
        <w:t>skole</w:t>
      </w:r>
      <w:r w:rsidR="00C35ECD" w:rsidRPr="009564EA">
        <w:t xml:space="preserve"> </w:t>
      </w:r>
      <w:r w:rsidR="00A50150">
        <w:t>bør</w:t>
      </w:r>
      <w:r w:rsidR="00C35ECD" w:rsidRPr="009564EA">
        <w:t xml:space="preserve"> avvikles</w:t>
      </w:r>
      <w:r w:rsidR="00C35ECD">
        <w:t xml:space="preserve">. </w:t>
      </w:r>
      <w:r w:rsidR="00C35ECD" w:rsidRPr="009564EA">
        <w:t xml:space="preserve">Helsefellesskapene </w:t>
      </w:r>
      <w:r w:rsidR="00C35ECD">
        <w:t xml:space="preserve">trekkes fram </w:t>
      </w:r>
      <w:r w:rsidR="00C35ECD" w:rsidRPr="009564EA">
        <w:t xml:space="preserve">som arena </w:t>
      </w:r>
      <w:r w:rsidR="00C35ECD">
        <w:t>for</w:t>
      </w:r>
      <w:r w:rsidR="00C35ECD" w:rsidRPr="009564EA">
        <w:t xml:space="preserve"> å forbedre samarbeidet mellom spesialist -og primærhelsetjenesten.</w:t>
      </w:r>
    </w:p>
    <w:p w14:paraId="7BE14E75" w14:textId="569AA132" w:rsidR="00D9107F" w:rsidRDefault="00C451DA" w:rsidP="006B0AE5">
      <w:pPr>
        <w:jc w:val="both"/>
      </w:pPr>
      <w:r w:rsidRPr="49FB7C1B">
        <w:t xml:space="preserve">I rapporten </w:t>
      </w:r>
      <w:r w:rsidR="00D9107F">
        <w:t>«</w:t>
      </w:r>
      <w:r w:rsidRPr="00D9107F">
        <w:rPr>
          <w:rStyle w:val="kursiv"/>
        </w:rPr>
        <w:t>Fastlegers arbeid med attester og erklæringer utenfor NAV-området</w:t>
      </w:r>
      <w:r w:rsidR="00D9107F" w:rsidRPr="00D9107F">
        <w:rPr>
          <w:rStyle w:val="kursiv"/>
        </w:rPr>
        <w:t>»</w:t>
      </w:r>
      <w:r w:rsidRPr="00D9107F">
        <w:rPr>
          <w:rStyle w:val="kursiv"/>
        </w:rPr>
        <w:t xml:space="preserve"> </w:t>
      </w:r>
      <w:r w:rsidRPr="00974D79">
        <w:t xml:space="preserve">levert </w:t>
      </w:r>
      <w:r>
        <w:t>i</w:t>
      </w:r>
      <w:r w:rsidRPr="49FB7C1B">
        <w:t xml:space="preserve"> 2022, anbefales hovedtiltak</w:t>
      </w:r>
      <w:r>
        <w:t xml:space="preserve"> for å redusere fastlegenes arbeidsbelastning med attester</w:t>
      </w:r>
      <w:r w:rsidR="00D03B1A">
        <w:t xml:space="preserve"> </w:t>
      </w:r>
      <w:r w:rsidR="00FD2027">
        <w:fldChar w:fldCharType="begin"/>
      </w:r>
      <w:r w:rsidR="00235862">
        <w:instrText xml:space="preserve"> ADDIN EN.CITE &lt;EndNote&gt;&lt;Cite&gt;&lt;Author&gt;NAV og Helsedirektoratet&lt;/Author&gt;&lt;Year&gt;2021&lt;/Year&gt;&lt;RecNum&gt;686&lt;/RecNum&gt;&lt;DisplayText&gt;(NAV og Helsedirektoratet, 2021)&lt;/DisplayText&gt;&lt;record&gt;&lt;rec-number&gt;686&lt;/rec-number&gt;&lt;foreign-keys&gt;&lt;key app="EN" db-id="95tpr2tp6r9xwoea9rb5wdsz5ds5xeddteew" timestamp="1680069511"&gt;686&lt;/key&gt;&lt;/foreign-keys&gt;&lt;ref-type name="Report"&gt;27&lt;/ref-type&gt;&lt;contributors&gt;&lt;authors&gt;&lt;author&gt;NAV og Helsedirektoratet,&lt;/author&gt;&lt;/authors&gt;&lt;/contributors&gt;&lt;titles&gt;&lt;title&gt;Rapport om informasjonsutveksling mellom NAV og fastleger: en gjennomgang av attester og erklæring som fastleger utsteder for Arbeids og velferdsetaten&lt;/title&gt;&lt;/titles&gt;&lt;dates&gt;&lt;year&gt;2021&lt;/year&gt;&lt;pub-dates&gt;&lt;date&gt;Publisert 19. oktober 2021&lt;/date&gt;&lt;/pub-dates&gt;&lt;/dates&gt;&lt;pub-location&gt;OSLO&lt;/pub-location&gt;&lt;publisher&gt;NAV og Helsedirektoratet&lt;/publisher&gt;&lt;urls&gt;&lt;/urls&gt;&lt;access-date&gt;05.01.23&lt;/access-date&gt;&lt;/record&gt;&lt;/Cite&gt;&lt;/EndNote&gt;</w:instrText>
      </w:r>
      <w:r w:rsidR="00FD2027">
        <w:fldChar w:fldCharType="separate"/>
      </w:r>
      <w:r w:rsidR="00022138">
        <w:rPr>
          <w:noProof/>
        </w:rPr>
        <w:t>(NAV og Helsedirektoratet, 2021)</w:t>
      </w:r>
      <w:r w:rsidR="00FD2027">
        <w:fldChar w:fldCharType="end"/>
      </w:r>
      <w:r>
        <w:t xml:space="preserve">. </w:t>
      </w:r>
      <w:r w:rsidRPr="0112AD34">
        <w:t>Det foreslås en ny bestemmelse i fastlegeforskriften som tydelig avgrenser fastlegers oppgaver med attester, erklæringer o.l. til de som er regulert i lov eller forskrift, og det pekes på at s</w:t>
      </w:r>
      <w:r w:rsidRPr="49FB7C1B">
        <w:t xml:space="preserve">taten bør koordinere </w:t>
      </w:r>
      <w:r>
        <w:t xml:space="preserve">og samordne </w:t>
      </w:r>
      <w:r w:rsidRPr="49FB7C1B">
        <w:t>reguleringen av krav som stilles til fastleger om å utstede attester og erklæringer</w:t>
      </w:r>
      <w:r>
        <w:t xml:space="preserve">. Videre understrekes </w:t>
      </w:r>
      <w:r w:rsidR="00280A5F">
        <w:t>det</w:t>
      </w:r>
      <w:r>
        <w:t xml:space="preserve"> at </w:t>
      </w:r>
      <w:r w:rsidRPr="0112AD34">
        <w:t xml:space="preserve">det ikke finnes enkle løsninger, og at det er behov for både kritisk gjennomgang, kulturendring og bedre samhandling. </w:t>
      </w:r>
      <w:r w:rsidRPr="0F0C895B">
        <w:t>Overordnet anbefales det en mer tillitsbasert tilnærming</w:t>
      </w:r>
      <w:r>
        <w:t>.</w:t>
      </w:r>
      <w:r w:rsidRPr="0F0C895B">
        <w:t xml:space="preserve"> </w:t>
      </w:r>
      <w:r w:rsidRPr="0112AD34">
        <w:t>Nytenking, digitalisering og gjenbruk av informasjon trekkes fram som avgjørende for å lykkes</w:t>
      </w:r>
      <w:r w:rsidR="00691E69">
        <w:t>.</w:t>
      </w:r>
    </w:p>
    <w:p w14:paraId="469B9D94" w14:textId="77777777" w:rsidR="00D9107F" w:rsidRDefault="007111AB" w:rsidP="006B0AE5">
      <w:pPr>
        <w:jc w:val="both"/>
      </w:pPr>
      <w:r w:rsidRPr="007111AB">
        <w:t>Arbeids- og velferdsdirektoratet</w:t>
      </w:r>
      <w:r w:rsidRPr="007111AB" w:rsidDel="007111AB">
        <w:t xml:space="preserve"> </w:t>
      </w:r>
      <w:r w:rsidRPr="007111AB">
        <w:t>fikk i</w:t>
      </w:r>
      <w:r w:rsidRPr="007111AB" w:rsidDel="007111AB">
        <w:t xml:space="preserve"> </w:t>
      </w:r>
      <w:r w:rsidRPr="007111AB">
        <w:t xml:space="preserve">2020 i oppdrag å gjennomgå attester og erklæringer som leger utsteder for NAV. </w:t>
      </w:r>
      <w:r w:rsidRPr="006C5F56">
        <w:t xml:space="preserve">Rapporten </w:t>
      </w:r>
      <w:r w:rsidRPr="00D9107F">
        <w:rPr>
          <w:rStyle w:val="kursiv"/>
        </w:rPr>
        <w:t xml:space="preserve">Informasjonsutveksling mellom nav og fastleger </w:t>
      </w:r>
      <w:r w:rsidR="00A267D3">
        <w:t xml:space="preserve">som ble utarbeidet i samarbeid med Helsedirektoratet, </w:t>
      </w:r>
      <w:r w:rsidR="00614985">
        <w:t xml:space="preserve">og hvor også </w:t>
      </w:r>
      <w:r w:rsidR="00A267D3">
        <w:t>Legeforeni</w:t>
      </w:r>
      <w:r w:rsidR="00614985">
        <w:t xml:space="preserve">ngen var involvert, ble </w:t>
      </w:r>
      <w:r w:rsidRPr="006C5F56">
        <w:t>publisert i mai 2021</w:t>
      </w:r>
      <w:r w:rsidR="0073307A">
        <w:t xml:space="preserve"> </w:t>
      </w:r>
      <w:r w:rsidR="00FD2027">
        <w:fldChar w:fldCharType="begin"/>
      </w:r>
      <w:r w:rsidR="00235862">
        <w:instrText xml:space="preserve"> ADDIN EN.CITE &lt;EndNote&gt;&lt;Cite&gt;&lt;Author&gt;NAV og Helsedirektoratet&lt;/Author&gt;&lt;Year&gt;2021&lt;/Year&gt;&lt;RecNum&gt;686&lt;/RecNum&gt;&lt;DisplayText&gt;(NAV og Helsedirektoratet, 2021)&lt;/DisplayText&gt;&lt;record&gt;&lt;rec-number&gt;686&lt;/rec-number&gt;&lt;foreign-keys&gt;&lt;key app="EN" db-id="95tpr2tp6r9xwoea9rb5wdsz5ds5xeddteew" timestamp="1680069511"&gt;686&lt;/key&gt;&lt;/foreign-keys&gt;&lt;ref-type name="Report"&gt;27&lt;/ref-type&gt;&lt;contributors&gt;&lt;authors&gt;&lt;author&gt;NAV og Helsedirektoratet,&lt;/author&gt;&lt;/authors&gt;&lt;/contributors&gt;&lt;titles&gt;&lt;title&gt;Rapport om informasjonsutveksling mellom NAV og fastleger: en gjennomgang av attester og erklæring som fastleger utsteder for Arbeids og velferdsetaten&lt;/title&gt;&lt;/titles&gt;&lt;dates&gt;&lt;year&gt;2021&lt;/year&gt;&lt;pub-dates&gt;&lt;date&gt;Publisert 19. oktober 2021&lt;/date&gt;&lt;/pub-dates&gt;&lt;/dates&gt;&lt;pub-location&gt;OSLO&lt;/pub-location&gt;&lt;publisher&gt;NAV og Helsedirektoratet&lt;/publisher&gt;&lt;urls&gt;&lt;/urls&gt;&lt;access-date&gt;05.01.23&lt;/access-date&gt;&lt;/record&gt;&lt;/Cite&gt;&lt;/EndNote&gt;</w:instrText>
      </w:r>
      <w:r w:rsidR="00FD2027">
        <w:fldChar w:fldCharType="separate"/>
      </w:r>
      <w:r w:rsidR="00022138">
        <w:rPr>
          <w:noProof/>
        </w:rPr>
        <w:t>(NAV og Helsedirektoratet, 2021)</w:t>
      </w:r>
      <w:r w:rsidR="00FD2027">
        <w:fldChar w:fldCharType="end"/>
      </w:r>
      <w:r w:rsidR="00614985">
        <w:t>. Den</w:t>
      </w:r>
      <w:r w:rsidRPr="006C5F56">
        <w:t xml:space="preserve"> peker på hovedutfordringer knyttet til dagens samhandling og bruk av skjema, og </w:t>
      </w:r>
      <w:r w:rsidR="00BF73D2" w:rsidRPr="007111AB">
        <w:t xml:space="preserve">gir anbefalinger for å bedre informasjonsflyten og å ta ned </w:t>
      </w:r>
      <w:r w:rsidR="00614985">
        <w:t xml:space="preserve">fastlegenes </w:t>
      </w:r>
      <w:r w:rsidR="00BF73D2" w:rsidRPr="007111AB">
        <w:t>arbeidsbelastning</w:t>
      </w:r>
      <w:r w:rsidR="00614985">
        <w:t xml:space="preserve"> </w:t>
      </w:r>
      <w:r w:rsidR="00BF73D2" w:rsidRPr="007111AB">
        <w:t>på kort og lengre sikt</w:t>
      </w:r>
      <w:r w:rsidR="00614985">
        <w:t>.</w:t>
      </w:r>
    </w:p>
    <w:p w14:paraId="58687211" w14:textId="0D8BC89B" w:rsidR="00D9107F" w:rsidRDefault="007111AB" w:rsidP="006B0AE5">
      <w:pPr>
        <w:jc w:val="both"/>
      </w:pPr>
      <w:r>
        <w:t>P</w:t>
      </w:r>
      <w:r w:rsidRPr="006C5F56">
        <w:t>otensialet for spart arbeidstid gjennom forenkling av informasjonsutveksling</w:t>
      </w:r>
      <w:r>
        <w:t>en</w:t>
      </w:r>
      <w:r w:rsidRPr="006C5F56">
        <w:t xml:space="preserve"> mellom fastlegene og NAV </w:t>
      </w:r>
      <w:r w:rsidR="00A267D3">
        <w:t xml:space="preserve">beskrives som stort. </w:t>
      </w:r>
      <w:r w:rsidR="00340AE1">
        <w:t>D</w:t>
      </w:r>
      <w:r w:rsidR="00545110">
        <w:t xml:space="preserve">et </w:t>
      </w:r>
      <w:r w:rsidR="004C76FE">
        <w:t>viktigste forbedringsområdet ligger i hvordan</w:t>
      </w:r>
      <w:r w:rsidR="001F3FD4">
        <w:t xml:space="preserve"> </w:t>
      </w:r>
      <w:r w:rsidR="004C76FE">
        <w:t xml:space="preserve">informasjonsinnhentingen </w:t>
      </w:r>
      <w:r w:rsidR="001F3FD4">
        <w:t xml:space="preserve">skjer </w:t>
      </w:r>
      <w:r w:rsidR="00545110">
        <w:t>og</w:t>
      </w:r>
      <w:r w:rsidR="001F3FD4">
        <w:t xml:space="preserve"> i selve </w:t>
      </w:r>
      <w:r w:rsidR="004C76FE">
        <w:t>prosessen for dialog og samhandling. Forbedringene gjelder både det å digitalisere løsningene, men også endringer i samhandlingsformen som forventes å skape mer effektivitet og høyere kvalitet. S</w:t>
      </w:r>
      <w:r w:rsidR="000D6A5F">
        <w:t>kjema for s</w:t>
      </w:r>
      <w:r w:rsidR="004C76FE">
        <w:t xml:space="preserve">ykmeldingen og </w:t>
      </w:r>
      <w:r w:rsidR="000D6A5F">
        <w:t>skjema for l</w:t>
      </w:r>
      <w:r w:rsidR="004C76FE">
        <w:t>egeerklæring ved arbeidsuførhet</w:t>
      </w:r>
      <w:r w:rsidR="000D6A5F">
        <w:t xml:space="preserve"> </w:t>
      </w:r>
      <w:r w:rsidR="004C76FE">
        <w:t>er de som benyttes mest</w:t>
      </w:r>
      <w:r w:rsidR="00835F96">
        <w:t xml:space="preserve">. Disse to skjemaene </w:t>
      </w:r>
      <w:r w:rsidR="004C76FE">
        <w:t>representerer om lag 94</w:t>
      </w:r>
      <w:r w:rsidR="4ADC1742">
        <w:t xml:space="preserve"> prosent</w:t>
      </w:r>
      <w:r w:rsidR="004C76FE">
        <w:t xml:space="preserve"> av den mengden skjemaer med helseopplysninger fastlegene sender til NAV. </w:t>
      </w:r>
      <w:r w:rsidR="00545110">
        <w:t xml:space="preserve">For å </w:t>
      </w:r>
      <w:r w:rsidR="004C76FE">
        <w:t xml:space="preserve">redusere tidsbruken hos fastlegene på området, er det nærliggende å fokusere på endringer i disse to skjemaene. Samtidig skiller de seg fra de andre skjemaene ved at de er </w:t>
      </w:r>
      <w:r w:rsidR="004C76FE">
        <w:lastRenderedPageBreak/>
        <w:t>implementert direkte i fastlegenes elektroniske pasientjournalsystemer (EPJ</w:t>
      </w:r>
      <w:r w:rsidR="4AEFD73F">
        <w:t>-</w:t>
      </w:r>
      <w:r w:rsidR="004C76FE">
        <w:t>systemer) og endringer medfører</w:t>
      </w:r>
      <w:r w:rsidR="00455105">
        <w:t xml:space="preserve"> </w:t>
      </w:r>
      <w:r w:rsidR="009969A3">
        <w:t>involvering av EPJ leverandørene</w:t>
      </w:r>
      <w:r w:rsidR="004C76FE">
        <w:t>.</w:t>
      </w:r>
    </w:p>
    <w:p w14:paraId="443D6D10" w14:textId="4D733942" w:rsidR="00C451DA" w:rsidRDefault="00C451DA" w:rsidP="00775632">
      <w:pPr>
        <w:pStyle w:val="Overskrift2"/>
      </w:pPr>
      <w:bookmarkStart w:id="3734" w:name="_Toc130763865"/>
      <w:bookmarkStart w:id="3735" w:name="_Toc130766760"/>
      <w:bookmarkStart w:id="3736" w:name="_Toc130932161"/>
      <w:bookmarkStart w:id="3737" w:name="_Toc130934452"/>
      <w:bookmarkStart w:id="3738" w:name="_Toc130983581"/>
      <w:bookmarkStart w:id="3739" w:name="_Toc130983930"/>
      <w:bookmarkStart w:id="3740" w:name="_Toc131062206"/>
      <w:bookmarkStart w:id="3741" w:name="_Toc131062460"/>
      <w:bookmarkStart w:id="3742" w:name="_Toc131062721"/>
      <w:bookmarkStart w:id="3743" w:name="_Toc131062974"/>
      <w:bookmarkStart w:id="3744" w:name="_Toc131063757"/>
      <w:bookmarkStart w:id="3745" w:name="_Toc131064167"/>
      <w:bookmarkStart w:id="3746" w:name="_Toc131238517"/>
      <w:bookmarkStart w:id="3747" w:name="_Toc131279548"/>
      <w:bookmarkStart w:id="3748" w:name="_Toc131286960"/>
      <w:bookmarkStart w:id="3749" w:name="_Toc131281370"/>
      <w:bookmarkStart w:id="3750" w:name="_Toc131317910"/>
      <w:bookmarkStart w:id="3751" w:name="_Toc132537031"/>
      <w:r>
        <w:t>Sykmelding og samhandling med NAV</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1E249152" w14:textId="77777777" w:rsidR="00D9107F" w:rsidRDefault="006B7C1F" w:rsidP="00775632">
      <w:pPr>
        <w:pStyle w:val="Overskrift3"/>
      </w:pPr>
      <w:bookmarkStart w:id="3752" w:name="_Toc130763866"/>
      <w:bookmarkStart w:id="3753" w:name="_Toc130766761"/>
      <w:bookmarkStart w:id="3754" w:name="_Toc130932162"/>
      <w:bookmarkStart w:id="3755" w:name="_Toc130934453"/>
      <w:bookmarkStart w:id="3756" w:name="_Toc130983582"/>
      <w:bookmarkStart w:id="3757" w:name="_Toc130983931"/>
      <w:bookmarkStart w:id="3758" w:name="_Toc131062207"/>
      <w:bookmarkStart w:id="3759" w:name="_Toc131062461"/>
      <w:bookmarkStart w:id="3760" w:name="_Toc131062722"/>
      <w:bookmarkStart w:id="3761" w:name="_Toc131062975"/>
      <w:bookmarkStart w:id="3762" w:name="_Toc131063758"/>
      <w:bookmarkStart w:id="3763" w:name="_Toc131064168"/>
      <w:bookmarkStart w:id="3764" w:name="_Toc131238518"/>
      <w:bookmarkStart w:id="3765" w:name="_Toc131279549"/>
      <w:bookmarkStart w:id="3766" w:name="_Toc131286961"/>
      <w:bookmarkStart w:id="3767" w:name="_Toc131281371"/>
      <w:bookmarkStart w:id="3768" w:name="_Toc131317911"/>
      <w:bookmarkStart w:id="3769" w:name="_Toc132537032"/>
      <w:bookmarkStart w:id="3770" w:name="_Toc129630359"/>
      <w:r>
        <w:t>Fastlegen</w:t>
      </w:r>
      <w:r w:rsidR="00A479DC">
        <w:t>s rolle i sykmeldingsarbeidet</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14:paraId="0594F52D" w14:textId="77777777" w:rsidR="00D9107F" w:rsidRDefault="54F20C0D" w:rsidP="006B0AE5">
      <w:pPr>
        <w:jc w:val="both"/>
      </w:pPr>
      <w:r>
        <w:t xml:space="preserve">Fastlegen har en viktig rolle som portvokter </w:t>
      </w:r>
      <w:r w:rsidR="00592DD4">
        <w:t xml:space="preserve">for ytelser fra </w:t>
      </w:r>
      <w:r>
        <w:t xml:space="preserve">NAV og forvalter sykmeldingsordningen for samfunnet. </w:t>
      </w:r>
      <w:r w:rsidR="009105B9">
        <w:t>Sykemeldingsskjema</w:t>
      </w:r>
      <w:r>
        <w:t xml:space="preserve"> og skjema for legeerklæring ved uførhet utgjør til sammen ca. 9</w:t>
      </w:r>
      <w:r w:rsidR="007D6894">
        <w:t>4</w:t>
      </w:r>
      <w:r>
        <w:t xml:space="preserve"> prosent av attestene fastlegene sender til NAV</w:t>
      </w:r>
      <w:r w:rsidR="0464F30C" w:rsidRPr="00D9107F">
        <w:rPr>
          <w:rStyle w:val="kursiv"/>
        </w:rPr>
        <w:t xml:space="preserve"> </w:t>
      </w:r>
      <w:r w:rsidR="00FD2027" w:rsidRPr="00D9107F">
        <w:rPr>
          <w:rStyle w:val="kursiv"/>
        </w:rPr>
        <w:fldChar w:fldCharType="begin"/>
      </w:r>
      <w:r w:rsidR="00235862" w:rsidRPr="00D9107F">
        <w:rPr>
          <w:rStyle w:val="kursiv"/>
        </w:rPr>
        <w:instrText xml:space="preserve"> ADDIN EN.CITE &lt;EndNote&gt;&lt;Cite&gt;&lt;Author&gt;NAV og Helsedirektoratet&lt;/Author&gt;&lt;Year&gt;2021&lt;/Year&gt;&lt;RecNum&gt;686&lt;/RecNum&gt;&lt;DisplayText&gt;(NAV og Helsedirektoratet, 2021)&lt;/DisplayText&gt;&lt;record&gt;&lt;rec-number&gt;686&lt;/rec-number&gt;&lt;foreign-keys&gt;&lt;key app="EN" db-id="95tpr2tp6r9xwoea9rb5wdsz5ds5xeddteew" timestamp="1680069511"&gt;686&lt;/key&gt;&lt;/foreign-keys&gt;&lt;ref-type name="Report"&gt;27&lt;/ref-type&gt;&lt;contributors&gt;&lt;authors&gt;&lt;author&gt;NAV og Helsedirektoratet,&lt;/author&gt;&lt;/authors&gt;&lt;/contributors&gt;&lt;titles&gt;&lt;title&gt;Rapport om informasjonsutveksling mellom NAV og fastleger: en gjennomgang av attester og erklæring som fastleger utsteder for Arbeids og velferdsetaten&lt;/title&gt;&lt;/titles&gt;&lt;dates&gt;&lt;year&gt;2021&lt;/year&gt;&lt;pub-dates&gt;&lt;date&gt;Publisert 19. oktober 2021&lt;/date&gt;&lt;/pub-dates&gt;&lt;/dates&gt;&lt;pub-location&gt;OSLO&lt;/pub-location&gt;&lt;publisher&gt;NAV og Helsedirektoratet&lt;/publisher&gt;&lt;urls&gt;&lt;/urls&gt;&lt;access-date&gt;05.01.23&lt;/access-date&gt;&lt;/record&gt;&lt;/Cite&gt;&lt;/EndNote&gt;</w:instrText>
      </w:r>
      <w:r w:rsidR="00FD2027" w:rsidRPr="00D9107F">
        <w:rPr>
          <w:rStyle w:val="kursiv"/>
        </w:rPr>
        <w:fldChar w:fldCharType="separate"/>
      </w:r>
      <w:r w:rsidR="00022138" w:rsidRPr="00D9107F">
        <w:rPr>
          <w:rStyle w:val="kursiv"/>
        </w:rPr>
        <w:t>(NAV og Helsedirektoratet, 2021)</w:t>
      </w:r>
      <w:r w:rsidR="00FD2027" w:rsidRPr="00D9107F">
        <w:rPr>
          <w:rStyle w:val="kursiv"/>
        </w:rPr>
        <w:fldChar w:fldCharType="end"/>
      </w:r>
      <w:r w:rsidR="00860C49" w:rsidRPr="00D9107F">
        <w:rPr>
          <w:rStyle w:val="kursiv"/>
        </w:rPr>
        <w:t>.</w:t>
      </w:r>
    </w:p>
    <w:p w14:paraId="6A06E883" w14:textId="7BE7C59C" w:rsidR="00AB640F" w:rsidRPr="00E643E4" w:rsidRDefault="00975733" w:rsidP="006B0AE5">
      <w:pPr>
        <w:jc w:val="both"/>
        <w:rPr>
          <w:rFonts w:ascii="Calibri" w:eastAsia="Calibri" w:hAnsi="Calibri" w:cs="Calibri"/>
          <w:color w:val="000000" w:themeColor="text1"/>
        </w:rPr>
      </w:pPr>
      <w:r>
        <w:t>Folketrygdloven</w:t>
      </w:r>
      <w:r w:rsidR="00AB640F">
        <w:t xml:space="preserve"> krever at lege har undersøkt pasienten personlig for å utstede sykmelding, noe som nesten alltid vil kreve en konsultasjon.</w:t>
      </w:r>
      <w:r w:rsidR="00AB640F" w:rsidRPr="00460893">
        <w:rPr>
          <w:color w:val="FF0000"/>
        </w:rPr>
        <w:t xml:space="preserve"> </w:t>
      </w:r>
      <w:r w:rsidR="00AB640F">
        <w:t>Dette utløser vanligvis både konsultasjonstakst</w:t>
      </w:r>
      <w:r w:rsidR="00273EBD">
        <w:t xml:space="preserve">, </w:t>
      </w:r>
      <w:r w:rsidR="00AB640F">
        <w:t xml:space="preserve">sykmeldingstakst </w:t>
      </w:r>
      <w:r w:rsidR="00E55C77">
        <w:t xml:space="preserve">(L1) </w:t>
      </w:r>
      <w:r w:rsidR="005024A9" w:rsidDel="00273EBD">
        <w:t>og</w:t>
      </w:r>
      <w:r w:rsidR="005024A9">
        <w:t xml:space="preserve"> supplerende </w:t>
      </w:r>
      <w:r w:rsidR="00BA75FA">
        <w:t>takster knyttet til samhandlingen med NAV</w:t>
      </w:r>
      <w:r w:rsidR="00273EBD" w:rsidRPr="00D9107F">
        <w:rPr>
          <w:rStyle w:val="Fotnotereferanse"/>
        </w:rPr>
        <w:footnoteReference w:id="38"/>
      </w:r>
      <w:r w:rsidR="00AB640F">
        <w:t xml:space="preserve"> </w:t>
      </w:r>
      <w:r w:rsidR="54F20C0D">
        <w:t xml:space="preserve">Normalt godtas ikke sykmelding per telefon, e-konsultasjon eller video, men under pandemien </w:t>
      </w:r>
      <w:r w:rsidR="00342D0A">
        <w:t xml:space="preserve">har det </w:t>
      </w:r>
      <w:r w:rsidR="54F20C0D">
        <w:t>vært unntak for dette.</w:t>
      </w:r>
      <w:r w:rsidR="00AB640F" w:rsidRPr="00D9107F">
        <w:rPr>
          <w:rStyle w:val="Fotnotereferanse"/>
        </w:rPr>
        <w:footnoteReference w:id="39"/>
      </w:r>
      <w:r w:rsidR="54F20C0D">
        <w:t xml:space="preserve"> </w:t>
      </w:r>
      <w:r w:rsidR="54F20C0D" w:rsidRPr="00B668E5">
        <w:rPr>
          <w:rFonts w:eastAsiaTheme="minorEastAsia"/>
          <w:color w:val="333333"/>
        </w:rPr>
        <w:t>I Prop 42L (2022</w:t>
      </w:r>
      <w:r w:rsidR="00E643E4">
        <w:rPr>
          <w:rFonts w:eastAsiaTheme="minorEastAsia"/>
          <w:color w:val="333333"/>
        </w:rPr>
        <w:t>–</w:t>
      </w:r>
      <w:r w:rsidR="54F20C0D" w:rsidRPr="00B668E5">
        <w:rPr>
          <w:rFonts w:eastAsiaTheme="minorEastAsia"/>
          <w:color w:val="333333"/>
        </w:rPr>
        <w:t>2023) foreslår</w:t>
      </w:r>
      <w:r w:rsidR="54F20C0D" w:rsidRPr="498DE090">
        <w:rPr>
          <w:rFonts w:eastAsiaTheme="minorEastAsia"/>
        </w:rPr>
        <w:t xml:space="preserve"> </w:t>
      </w:r>
      <w:r w:rsidR="54F20C0D" w:rsidRPr="00E643E4">
        <w:rPr>
          <w:rFonts w:eastAsiaTheme="minorEastAsia"/>
          <w:color w:val="000000" w:themeColor="text1"/>
        </w:rPr>
        <w:t xml:space="preserve">Arbeids- og inkluderingsdepartementet </w:t>
      </w:r>
      <w:r w:rsidR="00716FA3" w:rsidRPr="00E643E4">
        <w:rPr>
          <w:rFonts w:eastAsiaTheme="minorEastAsia"/>
          <w:color w:val="000000" w:themeColor="text1"/>
        </w:rPr>
        <w:t>endring i folketrygdloven slik at leger kan gi sykmelding etter e-konsultasjon i tilfeller hvor pasienten og dennes diagnose er kjent for legen.</w:t>
      </w:r>
      <w:r w:rsidR="54F20C0D" w:rsidRPr="00E643E4">
        <w:rPr>
          <w:rFonts w:eastAsiaTheme="minorEastAsia"/>
          <w:color w:val="000000" w:themeColor="text1"/>
        </w:rPr>
        <w:t xml:space="preserve"> </w:t>
      </w:r>
      <w:r w:rsidR="03659A98" w:rsidRPr="00E643E4">
        <w:rPr>
          <w:rFonts w:eastAsiaTheme="minorEastAsia"/>
          <w:color w:val="000000" w:themeColor="text1"/>
        </w:rPr>
        <w:t>Dette f</w:t>
      </w:r>
      <w:r w:rsidR="5ED40108" w:rsidRPr="00E643E4">
        <w:rPr>
          <w:rFonts w:eastAsiaTheme="minorEastAsia"/>
          <w:color w:val="000000" w:themeColor="text1"/>
        </w:rPr>
        <w:t>oruts</w:t>
      </w:r>
      <w:r w:rsidR="03659A98" w:rsidRPr="00E643E4">
        <w:rPr>
          <w:rFonts w:eastAsiaTheme="minorEastAsia"/>
          <w:color w:val="000000" w:themeColor="text1"/>
        </w:rPr>
        <w:t>e</w:t>
      </w:r>
      <w:r w:rsidR="5ED40108" w:rsidRPr="00E643E4">
        <w:rPr>
          <w:rFonts w:eastAsiaTheme="minorEastAsia"/>
          <w:color w:val="000000" w:themeColor="text1"/>
        </w:rPr>
        <w:t>tt</w:t>
      </w:r>
      <w:r w:rsidR="03659A98" w:rsidRPr="00E643E4">
        <w:rPr>
          <w:rFonts w:eastAsiaTheme="minorEastAsia"/>
          <w:color w:val="000000" w:themeColor="text1"/>
        </w:rPr>
        <w:t>er</w:t>
      </w:r>
      <w:r w:rsidR="54F20C0D" w:rsidRPr="00E643E4">
        <w:rPr>
          <w:rFonts w:eastAsiaTheme="minorEastAsia"/>
          <w:color w:val="000000" w:themeColor="text1"/>
        </w:rPr>
        <w:t xml:space="preserve"> at legen vurderer e-konsultasjon som forsvarlig og at pasientens arbeidsevne kan vurderes uten fysisk undersøkelse.</w:t>
      </w:r>
    </w:p>
    <w:p w14:paraId="7895E8CE" w14:textId="77777777" w:rsidR="00D9107F" w:rsidRDefault="00716FA3" w:rsidP="006B0AE5">
      <w:pPr>
        <w:jc w:val="both"/>
      </w:pPr>
      <w:r w:rsidRPr="00E643E4">
        <w:rPr>
          <w:color w:val="000000" w:themeColor="text1"/>
        </w:rPr>
        <w:t xml:space="preserve">For å ha rett på sykepenger og senere </w:t>
      </w:r>
      <w:r w:rsidRPr="00E643E4">
        <w:rPr>
          <w:rFonts w:eastAsiaTheme="minorEastAsia"/>
          <w:color w:val="000000" w:themeColor="text1"/>
        </w:rPr>
        <w:t>arbeidsavklaringspenger</w:t>
      </w:r>
      <w:r w:rsidRPr="00E643E4">
        <w:rPr>
          <w:color w:val="000000" w:themeColor="text1"/>
        </w:rPr>
        <w:t xml:space="preserve"> eller uføretrygd, er det et krav at det foreligger en diagnose som reduserer arbeidsevnen</w:t>
      </w:r>
      <w:r>
        <w:t xml:space="preserve">. For fastlegen kan det være tidkrevende og faglig vanskelig å gjøre en grundig funksjonsvurdering, spesielt i situasjoner der det er få objektive funn knyttet til pasientens plager. Da vil funksjonsvurderingen måtte baseres på pasientens egen </w:t>
      </w:r>
      <w:r w:rsidR="0069523F">
        <w:t>fram</w:t>
      </w:r>
      <w:r>
        <w:t>stilling.</w:t>
      </w:r>
      <w:r w:rsidR="00AB640F">
        <w:t xml:space="preserve"> </w:t>
      </w:r>
      <w:r w:rsidR="00EF19E0">
        <w:t>Ved tvil kan legens rolle</w:t>
      </w:r>
      <w:r w:rsidR="54F20C0D" w:rsidDel="00EF19E0">
        <w:t xml:space="preserve"> </w:t>
      </w:r>
      <w:r w:rsidR="54F20C0D">
        <w:t>som forvalter av samfunnets midler</w:t>
      </w:r>
      <w:r w:rsidR="003B081F">
        <w:t>,</w:t>
      </w:r>
      <w:r w:rsidR="54F20C0D">
        <w:t xml:space="preserve"> og </w:t>
      </w:r>
      <w:r w:rsidR="007C6352">
        <w:t xml:space="preserve">som </w:t>
      </w:r>
      <w:r w:rsidR="54F20C0D">
        <w:t xml:space="preserve">listeinnbyggerens lege og medmenneske, </w:t>
      </w:r>
      <w:r w:rsidR="00EF19E0">
        <w:t xml:space="preserve">tenkes å </w:t>
      </w:r>
      <w:r w:rsidR="54F20C0D">
        <w:t>komme</w:t>
      </w:r>
      <w:r w:rsidR="00EF19E0">
        <w:t xml:space="preserve"> </w:t>
      </w:r>
      <w:r w:rsidR="54F20C0D">
        <w:t>i konflikt</w:t>
      </w:r>
      <w:r w:rsidR="521BFF1A">
        <w:t xml:space="preserve"> </w:t>
      </w:r>
      <w:r w:rsidR="001C59FC">
        <w:fldChar w:fldCharType="begin">
          <w:fldData xml:space="preserve">PEVuZE5vdGU+PENpdGU+PEF1dGhvcj5CcmVpdm9sZDwvQXV0aG9yPjxZZWFyPjIwMjI8L1llYXI+
PFJlY051bT4xMDQ8L1JlY051bT48RGlzcGxheVRleHQ+KEJyZWl2b2xkIGV0IGFsLiwgMjAyMik8
L0Rpc3BsYXlUZXh0PjxyZWNvcmQ+PHJlYy1udW1iZXI+MTA0PC9yZWMtbnVtYmVyPjxmb3JlaWdu
LWtleXM+PGtleSBhcHA9IkVOIiBkYi1pZD0iOTV0cHIydHA2cjl4d29lYTlyYjV3ZHN6NWRzNXhl
ZGR0ZWV3IiB0aW1lc3RhbXA9IjE2ODAwNjk1MTEiPjEwNDwva2V5PjwvZm9yZWlnbi1rZXlzPjxy
ZWYtdHlwZSBuYW1lPSJKb3VybmFsIEFydGljbGUiPjE3PC9yZWYtdHlwZT48Y29udHJpYnV0b3Jz
PjxhdXRob3JzPjxhdXRob3I+QnJlaXZvbGQsIEouPC9hdXRob3I+PGF1dGhvcj5SbywgSy4gSS48
L2F1dGhvcj48YXV0aG9yPkhqb3JsZWlmc3NvbiwgUy48L2F1dGhvcj48L2F1dGhvcnM+PC9jb250
cmlidXRvcnM+PGF1dGgtYWRkcmVzcz5CcmVpdm9sZCwgSm9yZ2VuLiBEZXBhcnRtZW50IG9mIEds
b2JhbCBQdWJsaWMgSGVhbHRoIGFuZCBQcmltYXJ5IENhcmUsIFVuaXZlcnNpdHkgb2YgQmVyZ2Vu
LCBCZXJnZW4sIE5vcndheS4mI3hEO1JvLCBLYXJpbiBJc2Frc3Nvbi4gSW5zdGl0dXRlIGZvciBz
dHVkaWVzIG9mIHRoZSBNZWRpY2FsIFByb2Zlc3Npb24sIFRoZSBOb3J3ZWdpYW4gTWVkaWNhbCBB
c3NvY2lhdGlvbiwgT3NsbywgTm9yd2F5LiYjeEQ7SGpvcmxlaWZzc29uLCBTdGVmYW4uIERlcGFy
dG1lbnQgb2YgR2xvYmFsIFB1YmxpYyBIZWFsdGggYW5kIFByaW1hcnkgQ2FyZSwgVW5pdmVyc2l0
eSBvZiBCZXJnZW4sIEJlcmdlbiwgTm9yd2F5LiYjeEQ7SGpvcmxlaWZzc29uLCBTdGVmYW4uIFJl
c2VhcmNoIFVuaXQgZm9yIEdlbmVyYWwgUHJhY3RpY2UgTk9SQ0UsIEJlcmdlbiwgTm9yd2F5Ljwv
YXV0aC1hZGRyZXNzPjx0aXRsZXM+PHRpdGxlPkNvbmRpdGlvbnMgZm9yIGdhdGVrZWVwaW5nIHdo
ZW4gR1BzIGNvbnNpZGVyIHBhdGllbnQgcmVxdWVzdHMgdW5yZWFzb25hYmxlOiBhIGZvY3VzIGdy
b3VwIHN0dWR5PC90aXRsZT48c2Vjb25kYXJ5LXRpdGxlPkZhbWlseSBQcmFjdGljZTwvc2Vjb25k
YXJ5LXRpdGxlPjxhbHQtdGl0bGU+RmFtIFByYWN0PC9hbHQtdGl0bGU+PC90aXRsZXM+PHBlcmlv
ZGljYWw+PGZ1bGwtdGl0bGU+RmFtaWx5IFByYWN0aWNlPC9mdWxsLXRpdGxlPjxhYmJyLTE+RmFt
IFByYWN0PC9hYmJyLTE+PC9wZXJpb2RpY2FsPjxhbHQtcGVyaW9kaWNhbD48ZnVsbC10aXRsZT5G
YW1pbHkgUHJhY3RpY2U8L2Z1bGwtdGl0bGU+PGFiYnItMT5GYW0gUHJhY3Q8L2FiYnItMT48L2Fs
dC1wZXJpb2RpY2FsPjxwYWdlcz4xMjUtMTI5PC9wYWdlcz48dm9sdW1lPjM5PC92b2x1bWU+PG51
bWJlcj4xPC9udW1iZXI+PGtleXdvcmRzPjxrZXl3b3JkPkF0dGl0dWRlIG9mIEhlYWx0aCBQZXJz
b25uZWw8L2tleXdvcmQ+PGtleXdvcmQ+Rm9jdXMgR3JvdXBzPC9rZXl3b3JkPjxrZXl3b3JkPipH
YXRla2VlcGluZzwva2V5d29yZD48a2V5d29yZD4qR2VuZXJhbCBQcmFjdGl0aW9uZXJzPC9rZXl3
b3JkPjxrZXl3b3JkPkh1bWFuczwva2V5d29yZD48a2V5d29yZD5QaHlzaWNpYW4tUGF0aWVudCBS
ZWxhdGlvbnM8L2tleXdvcmQ+PGtleXdvcmQ+UXVhbGl0YXRpdmUgUmVzZWFyY2g8L2tleXdvcmQ+
PGtleXdvcmQ+UmVmZXJyYWwgYW5kIENvbnN1bHRhdGlvbjwva2V5d29yZD48L2tleXdvcmRzPjxk
YXRlcz48eWVhcj4yMDIyPC95ZWFyPjxwdWItZGF0ZXM+PGRhdGU+MDEgMTk8L2RhdGU+PC9wdWIt
ZGF0ZXM+PC9kYXRlcz48aXNibj4xNDYwLTIyMjk8L2lzYm4+PGFjY2Vzc2lvbi1udW0+MzQxNzM2
NTQ8L2FjY2Vzc2lvbi1udW0+PHdvcmstdHlwZT5SZXNlYXJjaCBTdXBwb3J0LCBOb24tVS5TLiBH
b3YmYXBvczt0PC93b3JrLXR5cGU+PHVybHM+PC91cmxzPjxyZW1vdGUtZGF0YWJhc2UtbmFtZT5N
RURMSU5FPC9yZW1vdGUtZGF0YWJhc2UtbmFtZT48cmVtb3RlLWRhdGFiYXNlLXByb3ZpZGVyPk92
aWQgVGVjaG5vbG9naWVzPC9yZW1vdGUtZGF0YWJhc2UtcHJvdmlkZXI+PGxhbmd1YWdlPkVuZ2xp
c2g8L2xhbmd1YWdlPjwvcmVjb3JkPjwvQ2l0ZT48L0VuZE5vdGU+AG==
</w:fldData>
        </w:fldChar>
      </w:r>
      <w:r w:rsidR="004654FD">
        <w:instrText xml:space="preserve"> ADDIN EN.CITE </w:instrText>
      </w:r>
      <w:r w:rsidR="004654FD">
        <w:fldChar w:fldCharType="begin">
          <w:fldData xml:space="preserve">PEVuZE5vdGU+PENpdGU+PEF1dGhvcj5CcmVpdm9sZDwvQXV0aG9yPjxZZWFyPjIwMjI8L1llYXI+
PFJlY051bT4xMDQ8L1JlY051bT48RGlzcGxheVRleHQ+KEJyZWl2b2xkIGV0IGFsLiwgMjAyMik8
L0Rpc3BsYXlUZXh0PjxyZWNvcmQ+PHJlYy1udW1iZXI+MTA0PC9yZWMtbnVtYmVyPjxmb3JlaWdu
LWtleXM+PGtleSBhcHA9IkVOIiBkYi1pZD0iOTV0cHIydHA2cjl4d29lYTlyYjV3ZHN6NWRzNXhl
ZGR0ZWV3IiB0aW1lc3RhbXA9IjE2ODAwNjk1MTEiPjEwNDwva2V5PjwvZm9yZWlnbi1rZXlzPjxy
ZWYtdHlwZSBuYW1lPSJKb3VybmFsIEFydGljbGUiPjE3PC9yZWYtdHlwZT48Y29udHJpYnV0b3Jz
PjxhdXRob3JzPjxhdXRob3I+QnJlaXZvbGQsIEouPC9hdXRob3I+PGF1dGhvcj5SbywgSy4gSS48
L2F1dGhvcj48YXV0aG9yPkhqb3JsZWlmc3NvbiwgUy48L2F1dGhvcj48L2F1dGhvcnM+PC9jb250
cmlidXRvcnM+PGF1dGgtYWRkcmVzcz5CcmVpdm9sZCwgSm9yZ2VuLiBEZXBhcnRtZW50IG9mIEds
b2JhbCBQdWJsaWMgSGVhbHRoIGFuZCBQcmltYXJ5IENhcmUsIFVuaXZlcnNpdHkgb2YgQmVyZ2Vu
LCBCZXJnZW4sIE5vcndheS4mI3hEO1JvLCBLYXJpbiBJc2Frc3Nvbi4gSW5zdGl0dXRlIGZvciBz
dHVkaWVzIG9mIHRoZSBNZWRpY2FsIFByb2Zlc3Npb24sIFRoZSBOb3J3ZWdpYW4gTWVkaWNhbCBB
c3NvY2lhdGlvbiwgT3NsbywgTm9yd2F5LiYjeEQ7SGpvcmxlaWZzc29uLCBTdGVmYW4uIERlcGFy
dG1lbnQgb2YgR2xvYmFsIFB1YmxpYyBIZWFsdGggYW5kIFByaW1hcnkgQ2FyZSwgVW5pdmVyc2l0
eSBvZiBCZXJnZW4sIEJlcmdlbiwgTm9yd2F5LiYjeEQ7SGpvcmxlaWZzc29uLCBTdGVmYW4uIFJl
c2VhcmNoIFVuaXQgZm9yIEdlbmVyYWwgUHJhY3RpY2UgTk9SQ0UsIEJlcmdlbiwgTm9yd2F5Ljwv
YXV0aC1hZGRyZXNzPjx0aXRsZXM+PHRpdGxlPkNvbmRpdGlvbnMgZm9yIGdhdGVrZWVwaW5nIHdo
ZW4gR1BzIGNvbnNpZGVyIHBhdGllbnQgcmVxdWVzdHMgdW5yZWFzb25hYmxlOiBhIGZvY3VzIGdy
b3VwIHN0dWR5PC90aXRsZT48c2Vjb25kYXJ5LXRpdGxlPkZhbWlseSBQcmFjdGljZTwvc2Vjb25k
YXJ5LXRpdGxlPjxhbHQtdGl0bGU+RmFtIFByYWN0PC9hbHQtdGl0bGU+PC90aXRsZXM+PHBlcmlv
ZGljYWw+PGZ1bGwtdGl0bGU+RmFtaWx5IFByYWN0aWNlPC9mdWxsLXRpdGxlPjxhYmJyLTE+RmFt
IFByYWN0PC9hYmJyLTE+PC9wZXJpb2RpY2FsPjxhbHQtcGVyaW9kaWNhbD48ZnVsbC10aXRsZT5G
YW1pbHkgUHJhY3RpY2U8L2Z1bGwtdGl0bGU+PGFiYnItMT5GYW0gUHJhY3Q8L2FiYnItMT48L2Fs
dC1wZXJpb2RpY2FsPjxwYWdlcz4xMjUtMTI5PC9wYWdlcz48dm9sdW1lPjM5PC92b2x1bWU+PG51
bWJlcj4xPC9udW1iZXI+PGtleXdvcmRzPjxrZXl3b3JkPkF0dGl0dWRlIG9mIEhlYWx0aCBQZXJz
b25uZWw8L2tleXdvcmQ+PGtleXdvcmQ+Rm9jdXMgR3JvdXBzPC9rZXl3b3JkPjxrZXl3b3JkPipH
YXRla2VlcGluZzwva2V5d29yZD48a2V5d29yZD4qR2VuZXJhbCBQcmFjdGl0aW9uZXJzPC9rZXl3
b3JkPjxrZXl3b3JkPkh1bWFuczwva2V5d29yZD48a2V5d29yZD5QaHlzaWNpYW4tUGF0aWVudCBS
ZWxhdGlvbnM8L2tleXdvcmQ+PGtleXdvcmQ+UXVhbGl0YXRpdmUgUmVzZWFyY2g8L2tleXdvcmQ+
PGtleXdvcmQ+UmVmZXJyYWwgYW5kIENvbnN1bHRhdGlvbjwva2V5d29yZD48L2tleXdvcmRzPjxk
YXRlcz48eWVhcj4yMDIyPC95ZWFyPjxwdWItZGF0ZXM+PGRhdGU+MDEgMTk8L2RhdGU+PC9wdWIt
ZGF0ZXM+PC9kYXRlcz48aXNibj4xNDYwLTIyMjk8L2lzYm4+PGFjY2Vzc2lvbi1udW0+MzQxNzM2
NTQ8L2FjY2Vzc2lvbi1udW0+PHdvcmstdHlwZT5SZXNlYXJjaCBTdXBwb3J0LCBOb24tVS5TLiBH
b3YmYXBvczt0PC93b3JrLXR5cGU+PHVybHM+PC91cmxzPjxyZW1vdGUtZGF0YWJhc2UtbmFtZT5N
RURMSU5FPC9yZW1vdGUtZGF0YWJhc2UtbmFtZT48cmVtb3RlLWRhdGFiYXNlLXByb3ZpZGVyPk92
aWQgVGVjaG5vbG9naWVzPC9yZW1vdGUtZGF0YWJhc2UtcHJvdmlkZXI+PGxhbmd1YWdlPkVuZ2xp
c2g8L2xhbmd1YWdlPjwvcmVjb3JkPjwvQ2l0ZT48L0VuZE5vdGU+AG==
</w:fldData>
        </w:fldChar>
      </w:r>
      <w:r w:rsidR="004654FD">
        <w:instrText xml:space="preserve"> ADDIN EN.CITE.DATA </w:instrText>
      </w:r>
      <w:r w:rsidR="004654FD">
        <w:fldChar w:fldCharType="end"/>
      </w:r>
      <w:r w:rsidR="001C59FC">
        <w:fldChar w:fldCharType="separate"/>
      </w:r>
      <w:r w:rsidR="004654FD">
        <w:rPr>
          <w:noProof/>
        </w:rPr>
        <w:t>(Breivold et al., 2022)</w:t>
      </w:r>
      <w:r w:rsidR="001C59FC">
        <w:fldChar w:fldCharType="end"/>
      </w:r>
      <w:r w:rsidR="54D3B5DB">
        <w:t xml:space="preserve"> </w:t>
      </w:r>
      <w:r w:rsidR="001C59FC">
        <w:fldChar w:fldCharType="begin"/>
      </w:r>
      <w:r w:rsidR="00D078E3">
        <w:instrText xml:space="preserve"> ADDIN EN.CITE &lt;EndNote&gt;&lt;Cite&gt;&lt;Author&gt;Fugelli&lt;/Author&gt;&lt;Year&gt;2001&lt;/Year&gt;&lt;RecNum&gt;824&lt;/RecNum&gt;&lt;DisplayText&gt;(Fugelli, 2001)&lt;/DisplayText&gt;&lt;record&gt;&lt;rec-number&gt;824&lt;/rec-number&gt;&lt;foreign-keys&gt;&lt;key app="EN" db-id="95tpr2tp6r9xwoea9rb5wdsz5ds5xeddteew" timestamp="1680069511"&gt;824&lt;/key&gt;&lt;/foreign-keys&gt;&lt;ref-type name="Journal Article"&gt;17&lt;/ref-type&gt;&lt;contributors&gt;&lt;authors&gt;&lt;author&gt;Per Fugelli&lt;/author&gt;&lt;/authors&gt;&lt;/contributors&gt;&lt;titles&gt;&lt;title&gt;Tillit&lt;/title&gt;&lt;secondary-title&gt;Tidsskriftet Den norske legeforening&lt;/secondary-title&gt;&lt;/titles&gt;&lt;pages&gt;3621-3624&lt;/pages&gt;&lt;volume&gt;121&lt;/volume&gt;&lt;number&gt;30&lt;/number&gt;&lt;dates&gt;&lt;year&gt;2001&lt;/year&gt;&lt;/dates&gt;&lt;urls&gt;&lt;related-urls&gt;&lt;url&gt;https://tidsskriftet.no/sites/default/files/pdf2001--3621-4.pdf&lt;/url&gt;&lt;/related-urls&gt;&lt;/urls&gt;&lt;custom7&gt;3621-4&lt;/custom7&gt;&lt;/record&gt;&lt;/Cite&gt;&lt;/EndNote&gt;</w:instrText>
      </w:r>
      <w:r w:rsidR="001C59FC">
        <w:fldChar w:fldCharType="separate"/>
      </w:r>
      <w:r w:rsidR="001C59FC">
        <w:rPr>
          <w:noProof/>
        </w:rPr>
        <w:t>(Fugelli, 2001)</w:t>
      </w:r>
      <w:r w:rsidR="001C59FC">
        <w:fldChar w:fldCharType="end"/>
      </w:r>
      <w:r w:rsidR="00860C49">
        <w:t>.</w:t>
      </w:r>
    </w:p>
    <w:p w14:paraId="6F303B15" w14:textId="0CBFA560" w:rsidR="00D9107F" w:rsidRDefault="00476173" w:rsidP="006B0AE5">
      <w:pPr>
        <w:jc w:val="both"/>
      </w:pPr>
      <w:r>
        <w:lastRenderedPageBreak/>
        <w:t xml:space="preserve">Sykmelding og legeerklæringer til NAV er et område som ligger i utkanten av medisinens kjerneverdier, </w:t>
      </w:r>
      <w:r w:rsidR="001C59FC">
        <w:fldChar w:fldCharType="begin"/>
      </w:r>
      <w:r w:rsidR="00D078E3">
        <w:instrText xml:space="preserve"> ADDIN EN.CITE &lt;EndNote&gt;&lt;Cite ExcludeYear="1"&gt;&lt;Author&gt;Løberg&lt;/Author&gt;&lt;RecNum&gt;386&lt;/RecNum&gt;&lt;DisplayText&gt;(Løberg)&lt;/DisplayText&gt;&lt;record&gt;&lt;rec-number&gt;386&lt;/rec-number&gt;&lt;foreign-keys&gt;&lt;key app="EN" db-id="95tpr2tp6r9xwoea9rb5wdsz5ds5xeddteew" timestamp="1680069511"&gt;386&lt;/key&gt;&lt;/foreign-keys&gt;&lt;ref-type name="Personal Communication"&gt;26&lt;/ref-type&gt;&lt;contributors&gt;&lt;authors&gt;&lt;author&gt;Løberg, M.&lt;/author&gt;&lt;/authors&gt;&lt;secondary-authors&gt;&lt;author&gt;Marius Tyssvang&lt;/author&gt;&lt;/secondary-authors&gt;&lt;/contributors&gt;&lt;titles&gt;&lt;title&gt;Info om pensum&lt;/title&gt;&lt;/titles&gt;&lt;dates&gt;&lt;pub-dates&gt;&lt;date&gt;08.02.2023&lt;/date&gt;&lt;/pub-dates&gt;&lt;/dates&gt;&lt;work-type&gt;E-post&lt;/work-type&gt;&lt;urls&gt;&lt;/urls&gt;&lt;/record&gt;&lt;/Cite&gt;&lt;/EndNote&gt;</w:instrText>
      </w:r>
      <w:r w:rsidR="001C59FC">
        <w:fldChar w:fldCharType="separate"/>
      </w:r>
      <w:r w:rsidR="001C59FC">
        <w:rPr>
          <w:noProof/>
        </w:rPr>
        <w:t>(Løberg)</w:t>
      </w:r>
      <w:r w:rsidR="001C59FC">
        <w:fldChar w:fldCharType="end"/>
      </w:r>
      <w:r w:rsidR="00813783">
        <w:t>,</w:t>
      </w:r>
      <w:r w:rsidR="00D9107F" w:rsidRPr="00D9107F">
        <w:rPr>
          <w:rStyle w:val="skrift-hevet"/>
        </w:rPr>
        <w:t xml:space="preserve"> </w:t>
      </w:r>
      <w:r w:rsidR="00D078E3">
        <w:fldChar w:fldCharType="begin"/>
      </w:r>
      <w:r w:rsidR="00D078E3">
        <w:instrText xml:space="preserve"> ADDIN EN.CITE &lt;EndNote&gt;&lt;Cite&gt;&lt;Author&gt;NidarosFondet&lt;/Author&gt;&lt;Year&gt;2022&lt;/Year&gt;&lt;RecNum&gt;1001&lt;/RecNum&gt;&lt;DisplayText&gt;(NidarosFondet, 2022)&lt;/DisplayText&gt;&lt;record&gt;&lt;rec-number&gt;1001&lt;/rec-number&gt;&lt;foreign-keys&gt;&lt;key app="EN" db-id="95tpr2tp6r9xwoea9rb5wdsz5ds5xeddteew" timestamp="1680254455"&gt;1001&lt;/key&gt;&lt;/foreign-keys&gt;&lt;ref-type name="Web Page"&gt;12&lt;/ref-type&gt;&lt;contributors&gt;&lt;authors&gt;&lt;author&gt;NidarosFondet&lt;/author&gt;&lt;/authors&gt;&lt;/contributors&gt;&lt;titles&gt;&lt;title&gt;Grunnkurs B&lt;/title&gt;&lt;/titles&gt;&lt;dates&gt;&lt;year&gt;2022&lt;/year&gt;&lt;/dates&gt;&lt;urls&gt;&lt;related-urls&gt;&lt;url&gt;https://www.nidarosfondet.no/kurs/grunnkurs-b-sep22/&lt;/url&gt;&lt;/related-urls&gt;&lt;/urls&gt;&lt;/record&gt;&lt;/Cite&gt;&lt;/EndNote&gt;</w:instrText>
      </w:r>
      <w:r w:rsidR="00D078E3">
        <w:fldChar w:fldCharType="separate"/>
      </w:r>
      <w:r w:rsidR="00D078E3">
        <w:rPr>
          <w:noProof/>
        </w:rPr>
        <w:t>(NidarosFondet, 2022)</w:t>
      </w:r>
      <w:r w:rsidR="00D078E3">
        <w:fldChar w:fldCharType="end"/>
      </w:r>
      <w:r w:rsidRPr="00657CCE">
        <w:t xml:space="preserve"> </w:t>
      </w:r>
      <w:r w:rsidRPr="00B668E5">
        <w:t xml:space="preserve">og </w:t>
      </w:r>
      <w:r>
        <w:t xml:space="preserve">fagfeltet </w:t>
      </w:r>
      <w:r w:rsidRPr="00476173">
        <w:t>har begrenset</w:t>
      </w:r>
      <w:r w:rsidRPr="1841BB2D">
        <w:t xml:space="preserve"> fokus</w:t>
      </w:r>
      <w:r>
        <w:t xml:space="preserve"> i medisinstudiet og i spesialistutdanningen for allmennmedisin.</w:t>
      </w:r>
    </w:p>
    <w:p w14:paraId="7037B68E" w14:textId="2A1127CA" w:rsidR="00C43EB9" w:rsidRPr="00FA6852" w:rsidRDefault="13B5FF20" w:rsidP="00775632">
      <w:pPr>
        <w:pStyle w:val="Overskrift3"/>
      </w:pPr>
      <w:bookmarkStart w:id="3771" w:name="_Toc129630360"/>
      <w:bookmarkStart w:id="3772" w:name="_Toc130763867"/>
      <w:bookmarkStart w:id="3773" w:name="_Toc130766762"/>
      <w:bookmarkStart w:id="3774" w:name="_Toc130932163"/>
      <w:bookmarkStart w:id="3775" w:name="_Toc130934454"/>
      <w:bookmarkStart w:id="3776" w:name="_Toc130983583"/>
      <w:bookmarkStart w:id="3777" w:name="_Toc130983932"/>
      <w:bookmarkStart w:id="3778" w:name="_Toc131062208"/>
      <w:bookmarkStart w:id="3779" w:name="_Toc131062462"/>
      <w:bookmarkStart w:id="3780" w:name="_Toc131062723"/>
      <w:bookmarkStart w:id="3781" w:name="_Toc131062976"/>
      <w:bookmarkStart w:id="3782" w:name="_Toc131063759"/>
      <w:bookmarkStart w:id="3783" w:name="_Toc131064169"/>
      <w:bookmarkStart w:id="3784" w:name="_Toc131238519"/>
      <w:bookmarkStart w:id="3785" w:name="_Toc131279550"/>
      <w:bookmarkStart w:id="3786" w:name="_Toc131286962"/>
      <w:bookmarkStart w:id="3787" w:name="_Toc131281372"/>
      <w:bookmarkStart w:id="3788" w:name="_Toc131317912"/>
      <w:bookmarkStart w:id="3789" w:name="_Toc132537033"/>
      <w:r>
        <w:t xml:space="preserve">Om </w:t>
      </w:r>
      <w:r w:rsidR="28A7D0E6">
        <w:t xml:space="preserve">bruk av </w:t>
      </w:r>
      <w:r>
        <w:t>egenmelding</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2463474B" w14:textId="32BE0D3A" w:rsidR="00337F94" w:rsidRPr="00D9107F" w:rsidRDefault="00712036" w:rsidP="00792DB6">
      <w:pPr>
        <w:jc w:val="both"/>
        <w:rPr>
          <w:rStyle w:val="kursiv"/>
          <w:rFonts w:eastAsia="Calibri"/>
        </w:rPr>
      </w:pPr>
      <w:r>
        <w:rPr>
          <w:rFonts w:eastAsiaTheme="minorEastAsia"/>
          <w:color w:val="333333"/>
        </w:rPr>
        <w:t xml:space="preserve">Regelverket rundt </w:t>
      </w:r>
      <w:r w:rsidR="00FF00A0">
        <w:rPr>
          <w:rFonts w:eastAsiaTheme="minorEastAsia"/>
          <w:color w:val="333333"/>
        </w:rPr>
        <w:t xml:space="preserve">sykepenger og </w:t>
      </w:r>
      <w:r w:rsidR="00EB72D8">
        <w:rPr>
          <w:rFonts w:eastAsiaTheme="minorEastAsia"/>
          <w:color w:val="333333"/>
        </w:rPr>
        <w:t xml:space="preserve">egenmelding </w:t>
      </w:r>
      <w:r w:rsidR="00CB7DC3">
        <w:rPr>
          <w:rFonts w:eastAsiaTheme="minorEastAsia"/>
          <w:color w:val="333333"/>
        </w:rPr>
        <w:t xml:space="preserve">i Norge </w:t>
      </w:r>
      <w:r w:rsidR="00EB72D8">
        <w:rPr>
          <w:rFonts w:eastAsiaTheme="minorEastAsia"/>
          <w:color w:val="333333"/>
        </w:rPr>
        <w:t>reguler</w:t>
      </w:r>
      <w:r w:rsidR="00CB7DC3">
        <w:rPr>
          <w:rFonts w:eastAsiaTheme="minorEastAsia"/>
          <w:color w:val="333333"/>
        </w:rPr>
        <w:t xml:space="preserve">es </w:t>
      </w:r>
      <w:r w:rsidR="003248C5">
        <w:rPr>
          <w:rFonts w:eastAsiaTheme="minorEastAsia"/>
          <w:color w:val="333333"/>
        </w:rPr>
        <w:t xml:space="preserve">av </w:t>
      </w:r>
      <w:r w:rsidR="00975733">
        <w:rPr>
          <w:rFonts w:eastAsiaTheme="minorEastAsia"/>
          <w:color w:val="333333"/>
        </w:rPr>
        <w:t>folketrygdloven</w:t>
      </w:r>
      <w:r w:rsidR="00CB7DC3">
        <w:rPr>
          <w:rFonts w:eastAsiaTheme="minorEastAsia"/>
          <w:color w:val="333333"/>
        </w:rPr>
        <w:t xml:space="preserve"> </w:t>
      </w:r>
      <w:r w:rsidR="00D152F4">
        <w:rPr>
          <w:rFonts w:eastAsiaTheme="minorEastAsia"/>
          <w:color w:val="333333"/>
        </w:rPr>
        <w:t>kapittel 8</w:t>
      </w:r>
      <w:r w:rsidR="7AB3976B" w:rsidRPr="620471D8">
        <w:rPr>
          <w:rFonts w:eastAsiaTheme="minorEastAsia"/>
          <w:color w:val="333333"/>
        </w:rPr>
        <w:t xml:space="preserve"> </w:t>
      </w:r>
      <w:r w:rsidR="001C59FC">
        <w:rPr>
          <w:rFonts w:eastAsiaTheme="minorEastAsia"/>
          <w:color w:val="333333"/>
        </w:rPr>
        <w:fldChar w:fldCharType="begin"/>
      </w:r>
      <w:r w:rsidR="00D078E3">
        <w:rPr>
          <w:rFonts w:eastAsiaTheme="minorEastAsia"/>
          <w:color w:val="333333"/>
        </w:rPr>
        <w:instrText xml:space="preserve"> ADDIN EN.CITE &lt;EndNote&gt;&lt;Cite ExcludeAuth="1"&gt;&lt;Year&gt;1997&lt;/Year&gt;&lt;RecNum&gt;465&lt;/RecNum&gt;&lt;DisplayText&gt;(&lt;style face="italic"&gt;Lov om folketrygd (folketrygdloven)&lt;/style&gt;, 1997)&lt;/DisplayText&gt;&lt;record&gt;&lt;rec-number&gt;465&lt;/rec-number&gt;&lt;foreign-keys&gt;&lt;key app="EN" db-id="95tpr2tp6r9xwoea9rb5wdsz5ds5xeddteew" timestamp="1680069511"&gt;465&lt;/key&gt;&lt;/foreign-keys&gt;&lt;ref-type name="Legal Rule or Regulation"&gt;50&lt;/ref-type&gt;&lt;contributors&gt;&lt;/contributors&gt;&lt;titles&gt;&lt;title&gt;Lov om folketrygd (folketrygdloven)&lt;/title&gt;&lt;/titles&gt;&lt;volume&gt;LOV-1997-02-28-19&lt;/volume&gt;&lt;edition&gt;LOV-2022-12-20-104 &lt;/edition&gt;&lt;dates&gt;&lt;year&gt;1997&lt;/year&gt;&lt;/dates&gt;&lt;urls&gt;&lt;related-urls&gt;&lt;url&gt;https://lovdata.no/dokument/NL/lov/1997-02-28-19?q=folketrygd&lt;/url&gt;&lt;/related-urls&gt;&lt;/urls&gt;&lt;/record&gt;&lt;/Cite&gt;&lt;/EndNote&gt;</w:instrText>
      </w:r>
      <w:r w:rsidR="001C59FC">
        <w:rPr>
          <w:rFonts w:eastAsiaTheme="minorEastAsia"/>
          <w:color w:val="333333"/>
        </w:rPr>
        <w:fldChar w:fldCharType="separate"/>
      </w:r>
      <w:r w:rsidR="001C59FC">
        <w:rPr>
          <w:rFonts w:eastAsiaTheme="minorEastAsia"/>
          <w:noProof/>
          <w:color w:val="333333"/>
        </w:rPr>
        <w:t>(</w:t>
      </w:r>
      <w:r w:rsidR="001C59FC" w:rsidRPr="00D9107F">
        <w:rPr>
          <w:rStyle w:val="kursiv"/>
          <w:rFonts w:eastAsiaTheme="minorEastAsia"/>
        </w:rPr>
        <w:t>Lov om folketrygd (folketrygdloven)</w:t>
      </w:r>
      <w:r w:rsidR="001C59FC">
        <w:rPr>
          <w:rFonts w:eastAsiaTheme="minorEastAsia"/>
          <w:noProof/>
          <w:color w:val="333333"/>
        </w:rPr>
        <w:t>, 1997)</w:t>
      </w:r>
      <w:r w:rsidR="001C59FC">
        <w:rPr>
          <w:rFonts w:eastAsiaTheme="minorEastAsia"/>
          <w:color w:val="333333"/>
        </w:rPr>
        <w:fldChar w:fldCharType="end"/>
      </w:r>
      <w:r w:rsidR="0080408A">
        <w:rPr>
          <w:rFonts w:eastAsiaTheme="minorEastAsia"/>
          <w:color w:val="333333"/>
        </w:rPr>
        <w:t>.</w:t>
      </w:r>
      <w:r w:rsidR="00E21C17">
        <w:rPr>
          <w:rFonts w:eastAsiaTheme="minorEastAsia"/>
          <w:color w:val="333333"/>
        </w:rPr>
        <w:t xml:space="preserve"> </w:t>
      </w:r>
      <w:r w:rsidR="13B5FF20" w:rsidRPr="498DE090">
        <w:rPr>
          <w:rFonts w:eastAsiaTheme="minorEastAsia"/>
          <w:color w:val="333333"/>
        </w:rPr>
        <w:t xml:space="preserve">Arbeidstakere har rett til å bruke egenmelding de tre første dagene av en sykefraværsperiode, og gjenta dette </w:t>
      </w:r>
      <w:r w:rsidR="13B5FF20">
        <w:t>inntil fire ganger per år</w:t>
      </w:r>
      <w:r w:rsidR="2917F817">
        <w:t xml:space="preserve"> </w:t>
      </w:r>
      <w:r w:rsidR="00FD2027">
        <w:fldChar w:fldCharType="begin"/>
      </w:r>
      <w:r w:rsidR="00FD2027">
        <w:instrText xml:space="preserve"> ADDIN EN.CITE &lt;EndNote&gt;&lt;Cite&gt;&lt;Author&gt;NAV&lt;/Author&gt;&lt;Year&gt;2023&lt;/Year&gt;&lt;RecNum&gt;193&lt;/RecNum&gt;&lt;DisplayText&gt;(NAV, 2023a)&lt;/DisplayText&gt;&lt;record&gt;&lt;rec-number&gt;193&lt;/rec-number&gt;&lt;foreign-keys&gt;&lt;key app="EN" db-id="95tpr2tp6r9xwoea9rb5wdsz5ds5xeddteew" timestamp="1680069511"&gt;193&lt;/key&gt;&lt;/foreign-keys&gt;&lt;ref-type name="Web Page"&gt;12&lt;/ref-type&gt;&lt;contributors&gt;&lt;authors&gt;&lt;author&gt;NAV&lt;/author&gt;&lt;/authors&gt;&lt;/contributors&gt;&lt;titles&gt;&lt;title&gt;Egenmelding&lt;/title&gt;&lt;/titles&gt;&lt;number&gt;10.01.23&lt;/number&gt;&lt;dates&gt;&lt;year&gt;2023&lt;/year&gt;&lt;pub-dates&gt;&lt;date&gt;1.02.2023&lt;/date&gt;&lt;/pub-dates&gt;&lt;/dates&gt;&lt;pub-location&gt;Oslo&lt;/pub-location&gt;&lt;publisher&gt;NAV&lt;/publisher&gt;&lt;urls&gt;&lt;related-urls&gt;&lt;url&gt;https://www.nav.no/egenmelding&lt;/url&gt;&lt;/related-urls&gt;&lt;/urls&gt;&lt;/record&gt;&lt;/Cite&gt;&lt;/EndNote&gt;</w:instrText>
      </w:r>
      <w:r w:rsidR="00FD2027">
        <w:fldChar w:fldCharType="separate"/>
      </w:r>
      <w:r w:rsidR="00FD2027">
        <w:rPr>
          <w:noProof/>
        </w:rPr>
        <w:t>(NAV, 2023a)</w:t>
      </w:r>
      <w:r w:rsidR="00FD2027">
        <w:fldChar w:fldCharType="end"/>
      </w:r>
      <w:r w:rsidR="13B5FF20">
        <w:t xml:space="preserve">. Arbeidstakere hos arbeidsgivere som har valgt å følge avtalen for inkluderende arbeidsliv (IA avtalen), har opp til 24 dagers egenmelding fordelt på fire perioder i løpet av et år </w:t>
      </w:r>
      <w:r w:rsidR="00FD2027">
        <w:fldChar w:fldCharType="begin"/>
      </w:r>
      <w:r w:rsidR="00A27571">
        <w:instrText xml:space="preserve"> ADDIN EN.CITE &lt;EndNote&gt;&lt;Cite&gt;&lt;Author&gt;NHO&lt;/Author&gt;&lt;Year&gt;[s.a.]&lt;/Year&gt;&lt;RecNum&gt;852&lt;/RecNum&gt;&lt;DisplayText&gt;(NHO, [s.a.])&lt;/DisplayText&gt;&lt;record&gt;&lt;rec-number&gt;852&lt;/rec-number&gt;&lt;foreign-keys&gt;&lt;key app="EN" db-id="95tpr2tp6r9xwoea9rb5wdsz5ds5xeddteew" timestamp="1680069511"&gt;852&lt;/key&gt;&lt;/foreign-keys&gt;&lt;ref-type name="Web Page"&gt;12&lt;/ref-type&gt;&lt;contributors&gt;&lt;authors&gt;&lt;author&gt;NHO&lt;/author&gt;&lt;/authors&gt;&lt;/contributors&gt;&lt;titles&gt;&lt;title&gt;Utvidet egenmelding : plikt til å drøfte ordningen med tillitsvalgte&lt;/title&gt;&lt;/titles&gt;&lt;dates&gt;&lt;year&gt;[s.a.]&lt;/year&gt;&lt;/dates&gt;&lt;pub-location&gt;Oslo&lt;/pub-location&gt;&lt;publisher&gt;NHO&lt;/publisher&gt;&lt;urls&gt;&lt;/urls&gt;&lt;/record&gt;&lt;/Cite&gt;&lt;/EndNote&gt;</w:instrText>
      </w:r>
      <w:r w:rsidR="00FD2027">
        <w:fldChar w:fldCharType="separate"/>
      </w:r>
      <w:r w:rsidR="00FD2027">
        <w:rPr>
          <w:noProof/>
        </w:rPr>
        <w:t>(NHO, [s.a.])</w:t>
      </w:r>
      <w:r w:rsidR="00FD2027">
        <w:fldChar w:fldCharType="end"/>
      </w:r>
      <w:r w:rsidR="00D9107F" w:rsidRPr="00D9107F">
        <w:rPr>
          <w:rStyle w:val="skrift-hevet"/>
        </w:rPr>
        <w:t xml:space="preserve">. </w:t>
      </w:r>
      <w:r w:rsidR="0087066D">
        <w:t>Re</w:t>
      </w:r>
      <w:r w:rsidR="0087066D" w:rsidRPr="0020372B">
        <w:rPr>
          <w:rFonts w:eastAsiaTheme="minorEastAsia"/>
        </w:rPr>
        <w:t xml:space="preserve">gelverket definerer unntak til retten om egenmelding, blant annet i tilfeller hvor arbeidstaker er delvis </w:t>
      </w:r>
      <w:r w:rsidR="0087066D" w:rsidRPr="0020372B">
        <w:rPr>
          <w:rFonts w:eastAsia="Segoe UI"/>
        </w:rPr>
        <w:t>sykmeldt eller nettopp har startet i ny jobb.</w:t>
      </w:r>
      <w:r w:rsidR="00716FA3" w:rsidRPr="00D9107F">
        <w:rPr>
          <w:rStyle w:val="kursiv"/>
          <w:rFonts w:eastAsia="Calibri"/>
        </w:rPr>
        <w:t>er</w:t>
      </w:r>
    </w:p>
    <w:p w14:paraId="38AC712C" w14:textId="0C5DF1A7" w:rsidR="00D9107F" w:rsidRDefault="00442453" w:rsidP="00E30AE6">
      <w:pPr>
        <w:pStyle w:val="tittel-ramme"/>
        <w:jc w:val="left"/>
        <w:rPr>
          <w:rStyle w:val="kursiv"/>
        </w:rPr>
      </w:pPr>
      <w:bookmarkStart w:id="3790" w:name="_Toc128238560"/>
      <w:bookmarkStart w:id="3791" w:name="_Toc128742042"/>
      <w:bookmarkStart w:id="3792" w:name="_Toc128744637"/>
      <w:bookmarkStart w:id="3793" w:name="_Toc128744856"/>
      <w:bookmarkStart w:id="3794" w:name="_Toc129630361"/>
      <w:bookmarkStart w:id="3795" w:name="_Toc130763868"/>
      <w:bookmarkStart w:id="3796" w:name="_Toc130766763"/>
      <w:bookmarkStart w:id="3797" w:name="_Toc130932164"/>
      <w:bookmarkStart w:id="3798" w:name="_Toc130934455"/>
      <w:bookmarkStart w:id="3799" w:name="_Toc130983584"/>
      <w:bookmarkStart w:id="3800" w:name="_Toc130983933"/>
      <w:bookmarkStart w:id="3801" w:name="_Toc131062209"/>
      <w:bookmarkStart w:id="3802" w:name="_Toc131062463"/>
      <w:bookmarkStart w:id="3803" w:name="_Toc131062724"/>
      <w:bookmarkStart w:id="3804" w:name="_Toc131062977"/>
      <w:bookmarkStart w:id="3805" w:name="_Toc131063760"/>
      <w:bookmarkStart w:id="3806" w:name="_Toc131064170"/>
      <w:bookmarkStart w:id="3807" w:name="_Toc131238520"/>
      <w:bookmarkStart w:id="3808" w:name="_Toc131279551"/>
      <w:bookmarkStart w:id="3809" w:name="_Toc131286963"/>
      <w:bookmarkStart w:id="3810" w:name="_Toc131281373"/>
      <w:bookmarkStart w:id="3811" w:name="_Toc131317913"/>
      <w:r w:rsidRPr="00D9107F">
        <w:rPr>
          <w:rStyle w:val="kursiv"/>
        </w:rPr>
        <w:t>Utprøving av utvidet egenmelding</w:t>
      </w:r>
    </w:p>
    <w:tbl>
      <w:tblPr>
        <w:tblStyle w:val="StandardBoks"/>
        <w:tblW w:w="0" w:type="auto"/>
        <w:tblLook w:val="04A0" w:firstRow="1" w:lastRow="0" w:firstColumn="1" w:lastColumn="0" w:noHBand="0" w:noVBand="1"/>
      </w:tblPr>
      <w:tblGrid>
        <w:gridCol w:w="9736"/>
      </w:tblGrid>
      <w:tr w:rsidR="00E30AE6" w14:paraId="6B53EF3A" w14:textId="77777777" w:rsidTr="00E30AE6">
        <w:tc>
          <w:tcPr>
            <w:tcW w:w="9736" w:type="dxa"/>
          </w:tcPr>
          <w:p w14:paraId="0B0C431A" w14:textId="6294D77A" w:rsidR="00E30AE6" w:rsidRPr="00210DD3" w:rsidRDefault="00E30AE6" w:rsidP="00E30AE6">
            <w:pPr>
              <w:rPr>
                <w:rFonts w:eastAsia="Calibri"/>
              </w:rPr>
            </w:pPr>
            <w:r w:rsidRPr="00210DD3">
              <w:rPr>
                <w:rFonts w:eastAsia="Calibri"/>
              </w:rPr>
              <w:t xml:space="preserve">I forsøksprosjektet </w:t>
            </w:r>
            <w:r w:rsidRPr="00210DD3">
              <w:rPr>
                <w:rFonts w:eastAsia="Calibri"/>
                <w:i/>
              </w:rPr>
              <w:t>Egenmelding 365</w:t>
            </w:r>
            <w:r w:rsidRPr="00210DD3">
              <w:rPr>
                <w:rFonts w:eastAsia="Calibri"/>
              </w:rPr>
              <w:t xml:space="preserve"> som pågikk fra våren 2013 til sommeren 2016 deltok tolv virksomheter i et forsøk hvor ansatte kunne bruke egenmelding ved sykdom i inntil 365 dager*</w:t>
            </w:r>
            <w:r w:rsidRPr="00210DD3">
              <w:rPr>
                <w:rFonts w:eastAsia="Calibri"/>
                <w:sz w:val="24"/>
                <w:szCs w:val="24"/>
              </w:rPr>
              <w:t xml:space="preserve"> </w:t>
            </w:r>
            <w:r w:rsidRPr="00210DD3">
              <w:rPr>
                <w:rFonts w:eastAsia="Calibri"/>
              </w:rPr>
              <w:t>Det var altså ikke nødvendig å bruke legemeldt fravær innenfor det som normalt ville tilsvare sykmeldingsperioden.</w:t>
            </w:r>
          </w:p>
          <w:p w14:paraId="7076EF18" w14:textId="77777777" w:rsidR="00E30AE6" w:rsidRPr="00210DD3" w:rsidRDefault="00E30AE6" w:rsidP="00E30AE6">
            <w:pPr>
              <w:rPr>
                <w:rFonts w:eastAsia="Calibri"/>
              </w:rPr>
            </w:pPr>
            <w:r w:rsidRPr="00210DD3">
              <w:rPr>
                <w:rFonts w:eastAsia="Calibri"/>
              </w:rPr>
              <w:t>Evalueringen viser at ordningen syntes å ha liten effekt på det samlede sykefraværet, men det graderte fraværet økte mens omfanget av 100 prosent sykefravær gikk ned. Ordningen påvirket sykefraværsoppfølgingen ved</w:t>
            </w:r>
            <w:r w:rsidRPr="00210DD3" w:rsidDel="00812E47">
              <w:rPr>
                <w:rFonts w:eastAsia="Calibri"/>
              </w:rPr>
              <w:t xml:space="preserve"> </w:t>
            </w:r>
            <w:r w:rsidRPr="00210DD3">
              <w:rPr>
                <w:rFonts w:eastAsia="Calibri"/>
              </w:rPr>
              <w:t>at dialogen med arbeidsgiver ble tettere og</w:t>
            </w:r>
            <w:r w:rsidRPr="00210DD3" w:rsidDel="00812E47">
              <w:rPr>
                <w:rFonts w:eastAsia="Calibri"/>
              </w:rPr>
              <w:t xml:space="preserve"> </w:t>
            </w:r>
            <w:r w:rsidRPr="00210DD3">
              <w:rPr>
                <w:rFonts w:eastAsia="Calibri"/>
              </w:rPr>
              <w:t>at det ble lagt mer vekt på tilrettelegging og gradering av sykefravær. De hypotetiske besparelsene i frigjorte helsepersonellresurser ble for 2016 beregnet til 192 millioner kroner på landsbasis. Det angis en del usikkerheter ved effektene, men den viktigste faktoren for å få ned sykefraværet synes å være grad av engasjement og sykefraværsoppfølging fra arbeidsgiver.</w:t>
            </w:r>
          </w:p>
          <w:p w14:paraId="4B7890B3" w14:textId="6F01790D" w:rsidR="00E30AE6" w:rsidRPr="00E30AE6" w:rsidRDefault="00E30AE6" w:rsidP="00E30AE6">
            <w:pPr>
              <w:rPr>
                <w:rStyle w:val="kursiv"/>
                <w:i w:val="0"/>
                <w:caps/>
                <w:sz w:val="28"/>
                <w:szCs w:val="28"/>
              </w:rPr>
            </w:pPr>
            <w:r w:rsidRPr="00210DD3">
              <w:rPr>
                <w:rFonts w:eastAsia="Calibri"/>
              </w:rPr>
              <w:t>En grunn til at ordningen med økt antall egenmeldingsdager ikke ble videreført, var at ansatte og arbeidsgivere i stor grad var fornøyd med eksisterende sykmeldingssystem, og at Norge har en kultur for at fravær skal legitimeres.</w:t>
            </w:r>
          </w:p>
        </w:tc>
      </w:tr>
    </w:tbl>
    <w:p w14:paraId="2FAC83B2" w14:textId="61709FB9" w:rsidR="00643200" w:rsidRDefault="38138AB5" w:rsidP="00775632">
      <w:pPr>
        <w:pStyle w:val="Overskrift3"/>
      </w:pPr>
      <w:bookmarkStart w:id="3812" w:name="_Toc132537034"/>
      <w:r>
        <w:t>Legens rolle i s</w:t>
      </w:r>
      <w:r w:rsidR="6041C585">
        <w:t>ykmelding</w:t>
      </w:r>
      <w:r w:rsidR="5BF975D8">
        <w:t>sarbeidet</w:t>
      </w:r>
      <w:r w:rsidR="6041C585">
        <w:t xml:space="preserve"> i andre land</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7C238B4A" w14:textId="77777777" w:rsidR="00D9107F" w:rsidRDefault="2EE77CD6" w:rsidP="00AF1170">
      <w:pPr>
        <w:rPr>
          <w:rFonts w:eastAsia="Calibri"/>
        </w:rPr>
      </w:pPr>
      <w:r w:rsidRPr="0E5718B2">
        <w:rPr>
          <w:rFonts w:eastAsia="Calibri"/>
        </w:rPr>
        <w:t xml:space="preserve">I Sverige </w:t>
      </w:r>
      <w:r w:rsidR="6E61E83E">
        <w:rPr>
          <w:rFonts w:eastAsia="Calibri"/>
        </w:rPr>
        <w:t>har arbeidstaker</w:t>
      </w:r>
      <w:r w:rsidRPr="0E5718B2">
        <w:rPr>
          <w:rFonts w:eastAsia="Calibri"/>
        </w:rPr>
        <w:t xml:space="preserve"> </w:t>
      </w:r>
      <w:r w:rsidR="00506EAB">
        <w:rPr>
          <w:rFonts w:eastAsia="Calibri"/>
        </w:rPr>
        <w:t xml:space="preserve">syv </w:t>
      </w:r>
      <w:r w:rsidRPr="0E5718B2">
        <w:rPr>
          <w:rFonts w:eastAsia="Calibri"/>
        </w:rPr>
        <w:t xml:space="preserve">egenmeldingsdager, </w:t>
      </w:r>
      <w:r w:rsidR="6E61E83E">
        <w:rPr>
          <w:rFonts w:eastAsia="Calibri"/>
        </w:rPr>
        <w:t>men</w:t>
      </w:r>
      <w:r w:rsidR="00492DED">
        <w:rPr>
          <w:rFonts w:eastAsia="Calibri"/>
        </w:rPr>
        <w:t>s</w:t>
      </w:r>
      <w:r w:rsidR="6E61E83E">
        <w:rPr>
          <w:rFonts w:eastAsia="Calibri"/>
        </w:rPr>
        <w:t xml:space="preserve"> </w:t>
      </w:r>
      <w:r w:rsidRPr="0E5718B2">
        <w:rPr>
          <w:rFonts w:eastAsia="Calibri"/>
        </w:rPr>
        <w:t>f</w:t>
      </w:r>
      <w:r w:rsidRPr="362B73C0">
        <w:rPr>
          <w:rFonts w:eastAsia="Calibri"/>
        </w:rPr>
        <w:t>ørste sykefraværsdag er en ubetalt karensdag</w:t>
      </w:r>
      <w:r w:rsidRPr="0E5718B2">
        <w:rPr>
          <w:rFonts w:eastAsia="Calibri"/>
        </w:rPr>
        <w:t>.</w:t>
      </w:r>
      <w:r w:rsidR="00865CB5">
        <w:rPr>
          <w:rFonts w:eastAsia="Calibri"/>
        </w:rPr>
        <w:t xml:space="preserve"> </w:t>
      </w:r>
      <w:r w:rsidR="00716FA3">
        <w:rPr>
          <w:rFonts w:eastAsia="Calibri"/>
        </w:rPr>
        <w:t xml:space="preserve">Arbeidsgiver </w:t>
      </w:r>
      <w:r w:rsidR="00716FA3" w:rsidRPr="0E5718B2">
        <w:rPr>
          <w:rFonts w:eastAsia="Calibri"/>
        </w:rPr>
        <w:t>utbetaler</w:t>
      </w:r>
      <w:r w:rsidR="00DE5492" w:rsidRPr="0E5718B2">
        <w:rPr>
          <w:rFonts w:eastAsia="Calibri"/>
        </w:rPr>
        <w:t xml:space="preserve"> sykepenger de første 14 dagene av </w:t>
      </w:r>
      <w:r w:rsidR="00DE5492">
        <w:rPr>
          <w:rFonts w:eastAsia="Calibri"/>
        </w:rPr>
        <w:t>sykmelding</w:t>
      </w:r>
      <w:r w:rsidR="00DE5492" w:rsidRPr="0E5718B2">
        <w:rPr>
          <w:rFonts w:eastAsia="Calibri"/>
        </w:rPr>
        <w:t>sperioden</w:t>
      </w:r>
      <w:r w:rsidR="00865CB5">
        <w:rPr>
          <w:rFonts w:eastAsia="Calibri"/>
        </w:rPr>
        <w:t xml:space="preserve">, og har </w:t>
      </w:r>
      <w:r w:rsidRPr="0E5718B2">
        <w:rPr>
          <w:rFonts w:eastAsia="Calibri"/>
        </w:rPr>
        <w:t xml:space="preserve">en sentral rolle for å tilbakeføre </w:t>
      </w:r>
      <w:r w:rsidR="00865CB5">
        <w:rPr>
          <w:rFonts w:eastAsia="Calibri"/>
        </w:rPr>
        <w:t xml:space="preserve">arbeidstaker </w:t>
      </w:r>
      <w:r w:rsidRPr="0E5718B2">
        <w:rPr>
          <w:rFonts w:eastAsia="Calibri"/>
        </w:rPr>
        <w:t>til arbeid</w:t>
      </w:r>
      <w:r w:rsidR="0048623D">
        <w:rPr>
          <w:rFonts w:eastAsia="Calibri"/>
        </w:rPr>
        <w:t xml:space="preserve"> </w:t>
      </w:r>
      <w:r w:rsidR="00FD2027">
        <w:rPr>
          <w:rFonts w:eastAsia="Calibri"/>
        </w:rPr>
        <w:fldChar w:fldCharType="begin"/>
      </w:r>
      <w:r w:rsidR="00FD2027">
        <w:rPr>
          <w:rFonts w:eastAsia="Calibri"/>
        </w:rPr>
        <w:instrText xml:space="preserve"> ADDIN EN.CITE &lt;EndNote&gt;&lt;Cite&gt;&lt;Author&gt;Försäkringskassan&lt;/Author&gt;&lt;Year&gt;2023&lt;/Year&gt;&lt;RecNum&gt;749&lt;/RecNum&gt;&lt;DisplayText&gt;(Försäkringskassan, 2023)&lt;/DisplayText&gt;&lt;record&gt;&lt;rec-number&gt;749&lt;/rec-number&gt;&lt;foreign-keys&gt;&lt;key app="EN" db-id="95tpr2tp6r9xwoea9rb5wdsz5ds5xeddteew" timestamp="1680069511"&gt;749&lt;/key&gt;&lt;/foreign-keys&gt;&lt;ref-type name="Web Page"&gt;12&lt;/ref-type&gt;&lt;contributors&gt;&lt;authors&gt;&lt;author&gt;Försäkringskassan&lt;/author&gt;&lt;/authors&gt;&lt;/contributors&gt;&lt;titles&gt;&lt;title&gt;Sjukpenning för anställda&lt;/title&gt;&lt;/titles&gt;&lt;number&gt;04.01.23&lt;/number&gt;&lt;dates&gt;&lt;year&gt;2023&lt;/year&gt;&lt;pub-dates&gt;&lt;date&gt;1. februar 2023&lt;/date&gt;&lt;/pub-dates&gt;&lt;/dates&gt;&lt;publisher&gt;Försäkringskassan&lt;/publisher&gt;&lt;work-type&gt;nettdokument&lt;/work-type&gt;&lt;urls&gt;&lt;related-urls&gt;&lt;url&gt;https://www.forsakringskassan.se/privatperson/sjuk/anstalld/sjukpenning-for-anstallda&lt;/url&gt;&lt;/related-urls&gt;&lt;/urls&gt;&lt;/record&gt;&lt;/Cite&gt;&lt;/EndNote&gt;</w:instrText>
      </w:r>
      <w:r w:rsidR="00FD2027">
        <w:rPr>
          <w:rFonts w:eastAsia="Calibri"/>
        </w:rPr>
        <w:fldChar w:fldCharType="separate"/>
      </w:r>
      <w:r w:rsidR="00FD2027">
        <w:rPr>
          <w:rFonts w:eastAsia="Calibri"/>
          <w:noProof/>
        </w:rPr>
        <w:t>(Försäkringskassan, 2023)</w:t>
      </w:r>
      <w:r w:rsidR="00FD2027">
        <w:rPr>
          <w:rFonts w:eastAsia="Calibri"/>
        </w:rPr>
        <w:fldChar w:fldCharType="end"/>
      </w:r>
      <w:r w:rsidRPr="0E5718B2">
        <w:rPr>
          <w:rFonts w:eastAsia="Calibri"/>
        </w:rPr>
        <w:t xml:space="preserve">. Etter den første legeattesten er </w:t>
      </w:r>
      <w:r w:rsidR="49EAFAE7">
        <w:rPr>
          <w:rFonts w:eastAsia="Calibri"/>
        </w:rPr>
        <w:t>sykmelding</w:t>
      </w:r>
      <w:r w:rsidRPr="0E5718B2">
        <w:rPr>
          <w:rFonts w:eastAsia="Calibri"/>
        </w:rPr>
        <w:t xml:space="preserve"> en sak mellom arbeidsgiver, innbygger, Försäkringskassan og allmennlege</w:t>
      </w:r>
      <w:r w:rsidR="0870B8FC">
        <w:rPr>
          <w:rFonts w:eastAsia="Calibri"/>
        </w:rPr>
        <w:t>n</w:t>
      </w:r>
      <w:r w:rsidRPr="0E5718B2">
        <w:rPr>
          <w:rFonts w:eastAsia="Calibri"/>
        </w:rPr>
        <w:t xml:space="preserve"> som skriver sykeattest i hele </w:t>
      </w:r>
      <w:r w:rsidR="49EAFAE7">
        <w:rPr>
          <w:rFonts w:eastAsia="Calibri"/>
        </w:rPr>
        <w:t>sykmelding</w:t>
      </w:r>
      <w:r w:rsidRPr="0E5718B2">
        <w:rPr>
          <w:rFonts w:eastAsia="Calibri"/>
        </w:rPr>
        <w:t xml:space="preserve">sperioden. Normalt skal en ansatt </w:t>
      </w:r>
      <w:r w:rsidRPr="0E5718B2">
        <w:rPr>
          <w:rFonts w:eastAsia="Calibri"/>
        </w:rPr>
        <w:lastRenderedPageBreak/>
        <w:t xml:space="preserve">rehabiliteres til arbeid innen 180 dager. </w:t>
      </w:r>
      <w:r w:rsidR="00AE14B2">
        <w:rPr>
          <w:rFonts w:eastAsia="Calibri"/>
        </w:rPr>
        <w:t>Ved behov</w:t>
      </w:r>
      <w:r w:rsidR="00216C08">
        <w:rPr>
          <w:rFonts w:eastAsia="Calibri"/>
        </w:rPr>
        <w:t xml:space="preserve"> </w:t>
      </w:r>
      <w:r w:rsidR="00AE14B2">
        <w:rPr>
          <w:rFonts w:eastAsia="Calibri"/>
        </w:rPr>
        <w:t>kan</w:t>
      </w:r>
      <w:r w:rsidRPr="0E5718B2">
        <w:rPr>
          <w:rFonts w:eastAsia="Calibri"/>
        </w:rPr>
        <w:t xml:space="preserve"> </w:t>
      </w:r>
      <w:r w:rsidR="007C7C9C">
        <w:rPr>
          <w:rFonts w:eastAsia="Calibri"/>
        </w:rPr>
        <w:t xml:space="preserve">det </w:t>
      </w:r>
      <w:r w:rsidRPr="0E5718B2">
        <w:rPr>
          <w:rFonts w:eastAsia="Calibri"/>
        </w:rPr>
        <w:t>søke</w:t>
      </w:r>
      <w:r w:rsidR="007C7C9C">
        <w:rPr>
          <w:rFonts w:eastAsia="Calibri"/>
        </w:rPr>
        <w:t>s</w:t>
      </w:r>
      <w:r w:rsidRPr="0E5718B2">
        <w:rPr>
          <w:rFonts w:eastAsia="Calibri"/>
        </w:rPr>
        <w:t xml:space="preserve"> om forlengelse av sykepenger, </w:t>
      </w:r>
      <w:r>
        <w:rPr>
          <w:rFonts w:eastAsia="Calibri"/>
        </w:rPr>
        <w:t>som</w:t>
      </w:r>
      <w:r w:rsidRPr="0E5718B2">
        <w:rPr>
          <w:rFonts w:eastAsia="Calibri"/>
        </w:rPr>
        <w:t xml:space="preserve"> normalt utgjør 75</w:t>
      </w:r>
      <w:r w:rsidR="7A9AC135">
        <w:rPr>
          <w:rFonts w:eastAsia="Calibri"/>
        </w:rPr>
        <w:t xml:space="preserve"> prosent</w:t>
      </w:r>
      <w:r w:rsidRPr="0E5718B2">
        <w:rPr>
          <w:rFonts w:eastAsia="Calibri"/>
        </w:rPr>
        <w:t xml:space="preserve"> av lønn</w:t>
      </w:r>
      <w:r w:rsidR="167F5E40">
        <w:rPr>
          <w:rFonts w:eastAsia="Calibri"/>
        </w:rPr>
        <w:t>en</w:t>
      </w:r>
      <w:r w:rsidRPr="0E5718B2">
        <w:rPr>
          <w:rFonts w:eastAsia="Calibri"/>
        </w:rPr>
        <w:t>.</w:t>
      </w:r>
    </w:p>
    <w:p w14:paraId="70DB7A7F" w14:textId="77777777" w:rsidR="00D9107F" w:rsidRDefault="2EE77CD6" w:rsidP="00AF1170">
      <w:pPr>
        <w:rPr>
          <w:rFonts w:eastAsia="Calibri"/>
        </w:rPr>
      </w:pPr>
      <w:r w:rsidRPr="0E5718B2">
        <w:rPr>
          <w:rFonts w:eastAsia="Calibri"/>
        </w:rPr>
        <w:t xml:space="preserve">I Danmark </w:t>
      </w:r>
      <w:r w:rsidR="5A0B75D4">
        <w:rPr>
          <w:rFonts w:eastAsia="Calibri"/>
        </w:rPr>
        <w:t xml:space="preserve">meldes sykefravær direkte til </w:t>
      </w:r>
      <w:r w:rsidRPr="0E5718B2">
        <w:rPr>
          <w:rFonts w:eastAsia="Calibri"/>
        </w:rPr>
        <w:t xml:space="preserve">arbeidsgiver </w:t>
      </w:r>
      <w:r w:rsidR="5A0B75D4">
        <w:rPr>
          <w:rFonts w:eastAsia="Calibri"/>
        </w:rPr>
        <w:t xml:space="preserve">som </w:t>
      </w:r>
      <w:r w:rsidRPr="0E5718B2">
        <w:rPr>
          <w:rFonts w:eastAsia="Calibri"/>
        </w:rPr>
        <w:t xml:space="preserve">normalt </w:t>
      </w:r>
      <w:r w:rsidR="5A0B75D4">
        <w:rPr>
          <w:rFonts w:eastAsia="Calibri"/>
        </w:rPr>
        <w:t xml:space="preserve">betaler </w:t>
      </w:r>
      <w:r w:rsidRPr="0E5718B2">
        <w:rPr>
          <w:rFonts w:eastAsia="Calibri"/>
        </w:rPr>
        <w:t>sykepenger de første 30 dagene</w:t>
      </w:r>
      <w:r w:rsidR="2AAA5AEF">
        <w:rPr>
          <w:rFonts w:eastAsia="Calibri"/>
        </w:rPr>
        <w:t xml:space="preserve">. </w:t>
      </w:r>
      <w:r w:rsidR="00AB0E74" w:rsidRPr="0E5718B2">
        <w:rPr>
          <w:rFonts w:eastAsia="Calibri"/>
        </w:rPr>
        <w:t xml:space="preserve">Danmark </w:t>
      </w:r>
      <w:r w:rsidR="00AB0E74">
        <w:rPr>
          <w:rFonts w:eastAsia="Calibri"/>
        </w:rPr>
        <w:t xml:space="preserve">har ikke karensdag, men har en </w:t>
      </w:r>
      <w:r w:rsidR="00AB0E74" w:rsidRPr="0E5718B2">
        <w:rPr>
          <w:rFonts w:eastAsia="Calibri"/>
        </w:rPr>
        <w:t>relativt lav sykepengesats</w:t>
      </w:r>
      <w:r w:rsidR="00812E47">
        <w:rPr>
          <w:rFonts w:eastAsia="Calibri"/>
        </w:rPr>
        <w:t>.</w:t>
      </w:r>
      <w:r w:rsidR="00AB0E74" w:rsidRPr="0E5718B2">
        <w:rPr>
          <w:rFonts w:eastAsia="Calibri"/>
        </w:rPr>
        <w:t xml:space="preserve"> </w:t>
      </w:r>
      <w:r w:rsidR="00AB0E74">
        <w:rPr>
          <w:rFonts w:eastAsia="Calibri"/>
        </w:rPr>
        <w:t>T</w:t>
      </w:r>
      <w:r w:rsidR="00AB0E74" w:rsidRPr="0E5718B2">
        <w:rPr>
          <w:rFonts w:eastAsia="Calibri"/>
        </w:rPr>
        <w:t>o av tre dansker har imidlertid kollektivavtaler som gir rett til full lønn</w:t>
      </w:r>
      <w:r w:rsidR="00AB0E74">
        <w:rPr>
          <w:rFonts w:eastAsia="Calibri"/>
        </w:rPr>
        <w:t xml:space="preserve"> ved sykmelding. </w:t>
      </w:r>
      <w:r w:rsidR="5A0B75D4">
        <w:rPr>
          <w:rFonts w:eastAsia="Calibri"/>
        </w:rPr>
        <w:t>D</w:t>
      </w:r>
      <w:r w:rsidRPr="0E5718B2">
        <w:rPr>
          <w:rFonts w:eastAsia="Calibri"/>
        </w:rPr>
        <w:t xml:space="preserve">et </w:t>
      </w:r>
      <w:r w:rsidR="5A0B75D4">
        <w:rPr>
          <w:rFonts w:eastAsia="Calibri"/>
        </w:rPr>
        <w:t xml:space="preserve">er </w:t>
      </w:r>
      <w:r w:rsidRPr="0E5718B2">
        <w:rPr>
          <w:rFonts w:eastAsia="Calibri"/>
        </w:rPr>
        <w:t>ikke noen definert egenmeldingsperiode</w:t>
      </w:r>
      <w:r w:rsidR="5A0B75D4">
        <w:rPr>
          <w:rFonts w:eastAsia="Calibri"/>
        </w:rPr>
        <w:t xml:space="preserve"> i Danmark</w:t>
      </w:r>
      <w:r w:rsidR="3D7FDACF">
        <w:rPr>
          <w:rFonts w:eastAsia="Calibri"/>
        </w:rPr>
        <w:t xml:space="preserve">, men arbeidsgiver kan når som helst kreve legeattest og i så fall må attesten betales </w:t>
      </w:r>
      <w:r w:rsidR="5EA15735">
        <w:rPr>
          <w:rFonts w:eastAsia="Calibri"/>
        </w:rPr>
        <w:t xml:space="preserve">av </w:t>
      </w:r>
      <w:r w:rsidR="3D7FDACF">
        <w:rPr>
          <w:rFonts w:eastAsia="Calibri"/>
        </w:rPr>
        <w:t>arbeidsgiver</w:t>
      </w:r>
      <w:r w:rsidR="00231423">
        <w:rPr>
          <w:rFonts w:eastAsia="Calibri"/>
        </w:rPr>
        <w:t xml:space="preserve"> </w:t>
      </w:r>
      <w:r w:rsidR="00FD2027">
        <w:rPr>
          <w:rFonts w:eastAsia="Calibri"/>
        </w:rPr>
        <w:fldChar w:fldCharType="begin"/>
      </w:r>
      <w:r w:rsidR="00FD2027">
        <w:rPr>
          <w:rFonts w:eastAsia="Calibri"/>
        </w:rPr>
        <w:instrText xml:space="preserve"> ADDIN EN.CITE &lt;EndNote&gt;&lt;Cite&gt;&lt;Author&gt;Sundet.dk&lt;/Author&gt;&lt;Year&gt;[s.a.]&lt;/Year&gt;&lt;RecNum&gt;476&lt;/RecNum&gt;&lt;DisplayText&gt;(Sundet.dk, [s.a.])&lt;/DisplayText&gt;&lt;record&gt;&lt;rec-number&gt;476&lt;/rec-number&gt;&lt;foreign-keys&gt;&lt;key app="EN" db-id="95tpr2tp6r9xwoea9rb5wdsz5ds5xeddteew" timestamp="1680069511"&gt;476&lt;/key&gt;&lt;/foreign-keys&gt;&lt;ref-type name="Web Page"&gt;12&lt;/ref-type&gt;&lt;contributors&gt;&lt;authors&gt;&lt;author&gt;Sundet.dk&lt;/author&gt;&lt;/authors&gt;&lt;/contributors&gt;&lt;titles&gt;&lt;title&gt;Lægeattest ved sygefravær&lt;/title&gt;&lt;/titles&gt;&lt;number&gt;24.02.2023&lt;/number&gt;&lt;dates&gt;&lt;year&gt;[s.a.]&lt;/year&gt;&lt;/dates&gt;&lt;pub-location&gt;Brande&lt;/pub-location&gt;&lt;publisher&gt;Lægerne Brande&lt;/publisher&gt;&lt;work-type&gt;nettdokument&lt;/work-type&gt;&lt;urls&gt;&lt;related-urls&gt;&lt;url&gt;https://laegerne-brande.dk/laegeattest-ved-sygefravaer/&lt;/url&gt;&lt;/related-urls&gt;&lt;/urls&gt;&lt;/record&gt;&lt;/Cite&gt;&lt;/EndNote&gt;</w:instrText>
      </w:r>
      <w:r w:rsidR="00FD2027">
        <w:rPr>
          <w:rFonts w:eastAsia="Calibri"/>
        </w:rPr>
        <w:fldChar w:fldCharType="separate"/>
      </w:r>
      <w:r w:rsidR="00FD2027">
        <w:rPr>
          <w:rFonts w:eastAsia="Calibri"/>
          <w:noProof/>
        </w:rPr>
        <w:t>(Sundet.dk, [s.a.])</w:t>
      </w:r>
      <w:r w:rsidR="00FD2027">
        <w:rPr>
          <w:rFonts w:eastAsia="Calibri"/>
        </w:rPr>
        <w:fldChar w:fldCharType="end"/>
      </w:r>
      <w:r w:rsidR="1798D183">
        <w:rPr>
          <w:rFonts w:eastAsia="Calibri"/>
        </w:rPr>
        <w:t>.</w:t>
      </w:r>
      <w:r w:rsidR="41DAA0F1">
        <w:rPr>
          <w:rFonts w:eastAsia="Calibri"/>
        </w:rPr>
        <w:t xml:space="preserve"> </w:t>
      </w:r>
      <w:r w:rsidR="5DFD5C2A">
        <w:rPr>
          <w:rFonts w:eastAsia="Calibri"/>
        </w:rPr>
        <w:t>Ved</w:t>
      </w:r>
      <w:r w:rsidRPr="0E5718B2">
        <w:rPr>
          <w:rFonts w:eastAsia="Calibri"/>
        </w:rPr>
        <w:t xml:space="preserve"> lengre fravær </w:t>
      </w:r>
      <w:r w:rsidR="5DFD5C2A">
        <w:rPr>
          <w:rFonts w:eastAsia="Calibri"/>
        </w:rPr>
        <w:t xml:space="preserve">kan </w:t>
      </w:r>
      <w:r w:rsidR="433F9ED1">
        <w:rPr>
          <w:rFonts w:eastAsia="Calibri"/>
        </w:rPr>
        <w:t>arbeidsgiver og</w:t>
      </w:r>
      <w:r w:rsidRPr="0E5718B2">
        <w:rPr>
          <w:rFonts w:eastAsia="Calibri"/>
        </w:rPr>
        <w:t xml:space="preserve"> arbeidstaker </w:t>
      </w:r>
      <w:r w:rsidR="433F9ED1">
        <w:rPr>
          <w:rFonts w:eastAsia="Calibri"/>
        </w:rPr>
        <w:t>inngå</w:t>
      </w:r>
      <w:r w:rsidRPr="0E5718B2">
        <w:rPr>
          <w:rFonts w:eastAsia="Calibri"/>
        </w:rPr>
        <w:t xml:space="preserve"> en mulighetserklæring </w:t>
      </w:r>
      <w:r w:rsidR="5EA15735">
        <w:rPr>
          <w:rFonts w:eastAsia="Calibri"/>
        </w:rPr>
        <w:t xml:space="preserve">som </w:t>
      </w:r>
      <w:r w:rsidR="5DFD5C2A">
        <w:rPr>
          <w:rFonts w:eastAsia="Calibri"/>
        </w:rPr>
        <w:t>beskrive</w:t>
      </w:r>
      <w:r w:rsidR="5EA15735">
        <w:rPr>
          <w:rFonts w:eastAsia="Calibri"/>
        </w:rPr>
        <w:t>r</w:t>
      </w:r>
      <w:r w:rsidR="5DFD5C2A">
        <w:rPr>
          <w:rFonts w:eastAsia="Calibri"/>
        </w:rPr>
        <w:t xml:space="preserve"> tiltak for at arbeidstaker skal kunne stå i jobb. </w:t>
      </w:r>
      <w:r w:rsidR="433F9ED1">
        <w:rPr>
          <w:rFonts w:eastAsia="Calibri"/>
        </w:rPr>
        <w:t xml:space="preserve">I denne prosessen </w:t>
      </w:r>
      <w:r w:rsidRPr="0E5718B2">
        <w:rPr>
          <w:rFonts w:eastAsia="Calibri"/>
        </w:rPr>
        <w:t>bidrar fastlege med uttalelse</w:t>
      </w:r>
      <w:r w:rsidR="433F9ED1">
        <w:rPr>
          <w:rFonts w:eastAsia="Calibri"/>
        </w:rPr>
        <w:t>, og dette finansieres av a</w:t>
      </w:r>
      <w:r w:rsidRPr="0E5718B2">
        <w:rPr>
          <w:rFonts w:eastAsia="Calibri"/>
        </w:rPr>
        <w:t>rbeidsgiver</w:t>
      </w:r>
      <w:r w:rsidR="433F9ED1">
        <w:rPr>
          <w:rFonts w:eastAsia="Calibri"/>
        </w:rPr>
        <w:t>.</w:t>
      </w:r>
      <w:r w:rsidRPr="0E5718B2">
        <w:rPr>
          <w:rFonts w:eastAsia="Calibri"/>
        </w:rPr>
        <w:t xml:space="preserve"> Hvis en person ikke har rett på sykepenger fra arbeidsgiver, kan det søkes kommunen om sykepenger. Arbeidsgiver kan </w:t>
      </w:r>
      <w:r w:rsidR="4578B031">
        <w:rPr>
          <w:rFonts w:eastAsia="Calibri"/>
        </w:rPr>
        <w:t xml:space="preserve">også </w:t>
      </w:r>
      <w:r w:rsidRPr="0E5718B2">
        <w:rPr>
          <w:rFonts w:eastAsia="Calibri"/>
        </w:rPr>
        <w:t xml:space="preserve">søke </w:t>
      </w:r>
      <w:r w:rsidR="015C2ECE">
        <w:rPr>
          <w:rFonts w:eastAsia="Calibri"/>
        </w:rPr>
        <w:t>k</w:t>
      </w:r>
      <w:r w:rsidR="4B33A4B8">
        <w:rPr>
          <w:rFonts w:eastAsia="Calibri"/>
        </w:rPr>
        <w:t>ommunen om refusjon</w:t>
      </w:r>
      <w:r w:rsidRPr="0E5718B2">
        <w:rPr>
          <w:rFonts w:eastAsia="Calibri"/>
        </w:rPr>
        <w:t xml:space="preserve"> for </w:t>
      </w:r>
      <w:r w:rsidR="4B33A4B8">
        <w:rPr>
          <w:rFonts w:eastAsia="Calibri"/>
        </w:rPr>
        <w:t xml:space="preserve">utlagte </w:t>
      </w:r>
      <w:r w:rsidRPr="0E5718B2">
        <w:rPr>
          <w:rFonts w:eastAsia="Calibri"/>
        </w:rPr>
        <w:t>sykepenger</w:t>
      </w:r>
      <w:r w:rsidR="4881AEAC" w:rsidRPr="498DE090">
        <w:rPr>
          <w:rFonts w:eastAsia="Calibri"/>
        </w:rPr>
        <w:t xml:space="preserve"> </w:t>
      </w:r>
      <w:r w:rsidR="00FD2027">
        <w:rPr>
          <w:rFonts w:eastAsia="Calibri"/>
        </w:rPr>
        <w:fldChar w:fldCharType="begin"/>
      </w:r>
      <w:r w:rsidR="00FD2027">
        <w:rPr>
          <w:rFonts w:eastAsia="Calibri"/>
        </w:rPr>
        <w:instrText xml:space="preserve"> ADDIN EN.CITE &lt;EndNote&gt;&lt;Cite&gt;&lt;Author&gt;Styrelsen for Arbejdsmarked og Rekruttering&lt;/Author&gt;&lt;Year&gt;s.a.&lt;/Year&gt;&lt;RecNum&gt;779&lt;/RecNum&gt;&lt;DisplayText&gt;(Styrelsen for Arbejdsmarked og Rekruttering, s.a.)&lt;/DisplayText&gt;&lt;record&gt;&lt;rec-number&gt;779&lt;/rec-number&gt;&lt;foreign-keys&gt;&lt;key app="EN" db-id="95tpr2tp6r9xwoea9rb5wdsz5ds5xeddteew" timestamp="1680069511"&gt;779&lt;/key&gt;&lt;/foreign-keys&gt;&lt;ref-type name="Web Page"&gt;12&lt;/ref-type&gt;&lt;contributors&gt;&lt;authors&gt;&lt;author&gt;Styrelsen for Arbejdsmarked og Rekruttering, &lt;/author&gt;&lt;/authors&gt;&lt;/contributors&gt;&lt;titles&gt;&lt;title&gt;Sygedagpenge, hvis du er lønmodtager&lt;/title&gt;&lt;/titles&gt;&lt;number&gt;04.01.23&lt;/number&gt;&lt;dates&gt;&lt;year&gt;s.a.&lt;/year&gt;&lt;/dates&gt;&lt;publisher&gt;borger.dk&lt;/publisher&gt;&lt;work-type&gt;nettdokument&lt;/work-type&gt;&lt;urls&gt;&lt;related-urls&gt;&lt;url&gt;https://www.borger.dk/arbejde-dagpenge-ferie/Dagpenge-kontanthjaelp-og-sygedagpenge/Sygedagpenge/Sygedagpenge-hvis-du-er-loenmodtager&lt;/url&gt;&lt;/related-urls&gt;&lt;/urls&gt;&lt;/record&gt;&lt;/Cite&gt;&lt;/EndNote&gt;</w:instrText>
      </w:r>
      <w:r w:rsidR="00FD2027">
        <w:rPr>
          <w:rFonts w:eastAsia="Calibri"/>
        </w:rPr>
        <w:fldChar w:fldCharType="separate"/>
      </w:r>
      <w:r w:rsidR="00FD2027">
        <w:rPr>
          <w:rFonts w:eastAsia="Calibri"/>
          <w:noProof/>
        </w:rPr>
        <w:t>(Styrelsen for Arbejdsmarked og Rekruttering, s.a.)</w:t>
      </w:r>
      <w:r w:rsidR="00FD2027">
        <w:rPr>
          <w:rFonts w:eastAsia="Calibri"/>
        </w:rPr>
        <w:fldChar w:fldCharType="end"/>
      </w:r>
      <w:r w:rsidR="4B33A4B8">
        <w:rPr>
          <w:rFonts w:eastAsia="Calibri"/>
        </w:rPr>
        <w:t>.</w:t>
      </w:r>
      <w:r w:rsidRPr="0E5718B2">
        <w:rPr>
          <w:rFonts w:eastAsia="Calibri"/>
        </w:rPr>
        <w:t xml:space="preserve"> Innbygger</w:t>
      </w:r>
      <w:r w:rsidR="4B33A4B8">
        <w:rPr>
          <w:rFonts w:eastAsia="Calibri"/>
        </w:rPr>
        <w:t>e</w:t>
      </w:r>
      <w:r w:rsidRPr="0E5718B2">
        <w:rPr>
          <w:rFonts w:eastAsia="Calibri"/>
        </w:rPr>
        <w:t xml:space="preserve"> kan maksimalt få sykepenger </w:t>
      </w:r>
      <w:r>
        <w:rPr>
          <w:rFonts w:eastAsia="Calibri"/>
        </w:rPr>
        <w:t xml:space="preserve">i </w:t>
      </w:r>
      <w:r w:rsidRPr="0E5718B2">
        <w:rPr>
          <w:rFonts w:eastAsia="Calibri"/>
        </w:rPr>
        <w:t xml:space="preserve">22 uker innenfor en 9-måneders periode. </w:t>
      </w:r>
      <w:r w:rsidR="423DAACB">
        <w:rPr>
          <w:rFonts w:eastAsia="Calibri"/>
        </w:rPr>
        <w:t>Perioden</w:t>
      </w:r>
      <w:r w:rsidRPr="0E5718B2">
        <w:rPr>
          <w:rFonts w:eastAsia="Calibri"/>
        </w:rPr>
        <w:t xml:space="preserve"> kan forlenge</w:t>
      </w:r>
      <w:r>
        <w:rPr>
          <w:rFonts w:eastAsia="Calibri"/>
        </w:rPr>
        <w:t>s</w:t>
      </w:r>
      <w:r w:rsidRPr="0E5718B2">
        <w:rPr>
          <w:rFonts w:eastAsia="Calibri"/>
        </w:rPr>
        <w:t xml:space="preserve"> etter vurdering fra kommunen, </w:t>
      </w:r>
      <w:r w:rsidR="423DAACB">
        <w:rPr>
          <w:rFonts w:eastAsia="Calibri"/>
        </w:rPr>
        <w:t xml:space="preserve">da er </w:t>
      </w:r>
      <w:r w:rsidRPr="0E5718B2">
        <w:rPr>
          <w:rFonts w:eastAsia="Calibri"/>
        </w:rPr>
        <w:t>legeattest nødvendig</w:t>
      </w:r>
      <w:r w:rsidR="00B534D9">
        <w:rPr>
          <w:rFonts w:eastAsia="Calibri"/>
        </w:rPr>
        <w:t xml:space="preserve"> </w:t>
      </w:r>
      <w:r w:rsidR="00FD2027">
        <w:rPr>
          <w:rFonts w:eastAsia="Calibri"/>
        </w:rPr>
        <w:fldChar w:fldCharType="begin"/>
      </w:r>
      <w:r w:rsidR="00FD2027">
        <w:rPr>
          <w:rFonts w:eastAsia="Calibri"/>
        </w:rPr>
        <w:instrText xml:space="preserve"> ADDIN EN.CITE &lt;EndNote&gt;&lt;Cite&gt;&lt;Author&gt;Styrelsen for Arbejdsmarked og Rekruttering&lt;/Author&gt;&lt;Year&gt;s.a.&lt;/Year&gt;&lt;RecNum&gt;779&lt;/RecNum&gt;&lt;DisplayText&gt;(Styrelsen for Arbejdsmarked og Rekruttering, s.a.)&lt;/DisplayText&gt;&lt;record&gt;&lt;rec-number&gt;779&lt;/rec-number&gt;&lt;foreign-keys&gt;&lt;key app="EN" db-id="95tpr2tp6r9xwoea9rb5wdsz5ds5xeddteew" timestamp="1680069511"&gt;779&lt;/key&gt;&lt;/foreign-keys&gt;&lt;ref-type name="Web Page"&gt;12&lt;/ref-type&gt;&lt;contributors&gt;&lt;authors&gt;&lt;author&gt;Styrelsen for Arbejdsmarked og Rekruttering, &lt;/author&gt;&lt;/authors&gt;&lt;/contributors&gt;&lt;titles&gt;&lt;title&gt;Sygedagpenge, hvis du er lønmodtager&lt;/title&gt;&lt;/titles&gt;&lt;number&gt;04.01.23&lt;/number&gt;&lt;dates&gt;&lt;year&gt;s.a.&lt;/year&gt;&lt;/dates&gt;&lt;publisher&gt;borger.dk&lt;/publisher&gt;&lt;work-type&gt;nettdokument&lt;/work-type&gt;&lt;urls&gt;&lt;related-urls&gt;&lt;url&gt;https://www.borger.dk/arbejde-dagpenge-ferie/Dagpenge-kontanthjaelp-og-sygedagpenge/Sygedagpenge/Sygedagpenge-hvis-du-er-loenmodtager&lt;/url&gt;&lt;/related-urls&gt;&lt;/urls&gt;&lt;/record&gt;&lt;/Cite&gt;&lt;/EndNote&gt;</w:instrText>
      </w:r>
      <w:r w:rsidR="00FD2027">
        <w:rPr>
          <w:rFonts w:eastAsia="Calibri"/>
        </w:rPr>
        <w:fldChar w:fldCharType="separate"/>
      </w:r>
      <w:r w:rsidR="00FD2027">
        <w:rPr>
          <w:rFonts w:eastAsia="Calibri"/>
          <w:noProof/>
        </w:rPr>
        <w:t>(Styrelsen for Arbejdsmarked og Rekruttering, s.a.)</w:t>
      </w:r>
      <w:r w:rsidR="00FD2027">
        <w:rPr>
          <w:rFonts w:eastAsia="Calibri"/>
        </w:rPr>
        <w:fldChar w:fldCharType="end"/>
      </w:r>
      <w:r w:rsidR="53B25101">
        <w:rPr>
          <w:rFonts w:eastAsia="Calibri"/>
        </w:rPr>
        <w:t xml:space="preserve">. </w:t>
      </w:r>
      <w:r w:rsidRPr="0E5718B2">
        <w:rPr>
          <w:rFonts w:eastAsia="Calibri"/>
        </w:rPr>
        <w:t xml:space="preserve">Dersom borgeren ikke blir frisk innen utløpet av </w:t>
      </w:r>
      <w:r w:rsidR="49EAFAE7">
        <w:rPr>
          <w:rFonts w:eastAsia="Calibri"/>
        </w:rPr>
        <w:t>sykmelding</w:t>
      </w:r>
      <w:r w:rsidRPr="0E5718B2">
        <w:rPr>
          <w:rFonts w:eastAsia="Calibri"/>
        </w:rPr>
        <w:t>sperioden</w:t>
      </w:r>
      <w:r w:rsidR="3D7FDACF">
        <w:rPr>
          <w:rFonts w:eastAsia="Calibri"/>
        </w:rPr>
        <w:t>,</w:t>
      </w:r>
      <w:r w:rsidRPr="0E5718B2">
        <w:rPr>
          <w:rFonts w:eastAsia="Calibri"/>
        </w:rPr>
        <w:t xml:space="preserve"> går </w:t>
      </w:r>
      <w:r w:rsidR="3D7FDACF">
        <w:rPr>
          <w:rFonts w:eastAsia="Calibri"/>
        </w:rPr>
        <w:t>vedkommende</w:t>
      </w:r>
      <w:r w:rsidRPr="0E5718B2">
        <w:rPr>
          <w:rFonts w:eastAsia="Calibri"/>
        </w:rPr>
        <w:t xml:space="preserve"> over på et job</w:t>
      </w:r>
      <w:r w:rsidR="59319BB2">
        <w:rPr>
          <w:rFonts w:eastAsia="Calibri"/>
        </w:rPr>
        <w:t>bavklarings</w:t>
      </w:r>
      <w:r w:rsidRPr="0E5718B2">
        <w:rPr>
          <w:rFonts w:eastAsia="Calibri"/>
        </w:rPr>
        <w:t xml:space="preserve">forløp i regi </w:t>
      </w:r>
      <w:r w:rsidR="1545A952">
        <w:rPr>
          <w:rFonts w:eastAsia="Calibri"/>
        </w:rPr>
        <w:t xml:space="preserve">av </w:t>
      </w:r>
      <w:r w:rsidRPr="0E5718B2">
        <w:rPr>
          <w:rFonts w:eastAsia="Calibri"/>
        </w:rPr>
        <w:t>kommunen</w:t>
      </w:r>
      <w:r w:rsidR="5C96D1A7">
        <w:rPr>
          <w:rFonts w:eastAsia="Calibri"/>
        </w:rPr>
        <w:t>, og hvor</w:t>
      </w:r>
      <w:r w:rsidR="3D7FDACF">
        <w:rPr>
          <w:rFonts w:eastAsia="Calibri"/>
        </w:rPr>
        <w:t xml:space="preserve"> legen deltar</w:t>
      </w:r>
      <w:r w:rsidR="00B534D9">
        <w:rPr>
          <w:rFonts w:eastAsia="Calibri"/>
        </w:rPr>
        <w:t xml:space="preserve"> </w:t>
      </w:r>
      <w:r w:rsidR="00FD2027">
        <w:rPr>
          <w:rFonts w:eastAsia="Calibri"/>
        </w:rPr>
        <w:fldChar w:fldCharType="begin"/>
      </w:r>
      <w:r w:rsidR="00FD2027">
        <w:rPr>
          <w:rFonts w:eastAsia="Calibri"/>
        </w:rPr>
        <w:instrText xml:space="preserve"> ADDIN EN.CITE &lt;EndNote&gt;&lt;Cite&gt;&lt;Author&gt;Styrelsen for Arbejdsmarked og Rekruttering&lt;/Author&gt;&lt;Year&gt;s.a.&lt;/Year&gt;&lt;RecNum&gt;779&lt;/RecNum&gt;&lt;DisplayText&gt;(Styrelsen for Arbejdsmarked og Rekruttering, s.a.)&lt;/DisplayText&gt;&lt;record&gt;&lt;rec-number&gt;779&lt;/rec-number&gt;&lt;foreign-keys&gt;&lt;key app="EN" db-id="95tpr2tp6r9xwoea9rb5wdsz5ds5xeddteew" timestamp="1680069511"&gt;779&lt;/key&gt;&lt;/foreign-keys&gt;&lt;ref-type name="Web Page"&gt;12&lt;/ref-type&gt;&lt;contributors&gt;&lt;authors&gt;&lt;author&gt;Styrelsen for Arbejdsmarked og Rekruttering, &lt;/author&gt;&lt;/authors&gt;&lt;/contributors&gt;&lt;titles&gt;&lt;title&gt;Sygedagpenge, hvis du er lønmodtager&lt;/title&gt;&lt;/titles&gt;&lt;number&gt;04.01.23&lt;/number&gt;&lt;dates&gt;&lt;year&gt;s.a.&lt;/year&gt;&lt;/dates&gt;&lt;publisher&gt;borger.dk&lt;/publisher&gt;&lt;work-type&gt;nettdokument&lt;/work-type&gt;&lt;urls&gt;&lt;related-urls&gt;&lt;url&gt;https://www.borger.dk/arbejde-dagpenge-ferie/Dagpenge-kontanthjaelp-og-sygedagpenge/Sygedagpenge/Sygedagpenge-hvis-du-er-loenmodtager&lt;/url&gt;&lt;/related-urls&gt;&lt;/urls&gt;&lt;/record&gt;&lt;/Cite&gt;&lt;/EndNote&gt;</w:instrText>
      </w:r>
      <w:r w:rsidR="00FD2027">
        <w:rPr>
          <w:rFonts w:eastAsia="Calibri"/>
        </w:rPr>
        <w:fldChar w:fldCharType="separate"/>
      </w:r>
      <w:r w:rsidR="00FD2027">
        <w:rPr>
          <w:rFonts w:eastAsia="Calibri"/>
          <w:noProof/>
        </w:rPr>
        <w:t>(Styrelsen for Arbejdsmarked og Rekruttering, s.a.)</w:t>
      </w:r>
      <w:r w:rsidR="00FD2027">
        <w:rPr>
          <w:rFonts w:eastAsia="Calibri"/>
        </w:rPr>
        <w:fldChar w:fldCharType="end"/>
      </w:r>
      <w:r w:rsidRPr="0E5718B2">
        <w:rPr>
          <w:rFonts w:eastAsia="Calibri"/>
        </w:rPr>
        <w:t>.</w:t>
      </w:r>
    </w:p>
    <w:p w14:paraId="72F2A634" w14:textId="7AA396C2" w:rsidR="00F81AF7" w:rsidRDefault="7E892E07" w:rsidP="00AF1170">
      <w:pPr>
        <w:rPr>
          <w:rFonts w:eastAsia="Calibri"/>
        </w:rPr>
      </w:pPr>
      <w:r w:rsidRPr="0E5718B2">
        <w:rPr>
          <w:rFonts w:eastAsia="Calibri"/>
        </w:rPr>
        <w:t xml:space="preserve">I Nederland </w:t>
      </w:r>
      <w:r w:rsidR="00845099">
        <w:rPr>
          <w:rFonts w:eastAsia="Calibri"/>
        </w:rPr>
        <w:t xml:space="preserve">er det gjennomført en helsereform </w:t>
      </w:r>
      <w:r w:rsidR="005E1B58">
        <w:rPr>
          <w:rFonts w:eastAsia="Calibri"/>
        </w:rPr>
        <w:t xml:space="preserve">hvor </w:t>
      </w:r>
      <w:r w:rsidRPr="0E5718B2">
        <w:rPr>
          <w:rFonts w:eastAsia="Calibri"/>
        </w:rPr>
        <w:t xml:space="preserve">bedriftshelsetjenesten </w:t>
      </w:r>
      <w:r>
        <w:rPr>
          <w:rFonts w:eastAsia="Calibri"/>
        </w:rPr>
        <w:t xml:space="preserve">fikk ansvar for </w:t>
      </w:r>
      <w:r w:rsidR="49EAFAE7">
        <w:rPr>
          <w:rFonts w:eastAsia="Calibri"/>
        </w:rPr>
        <w:t>sykmelding</w:t>
      </w:r>
      <w:r w:rsidRPr="0E5718B2">
        <w:rPr>
          <w:rFonts w:eastAsia="Calibri"/>
        </w:rPr>
        <w:t xml:space="preserve"> og arbeidsgiver fikk en tydeligere rolle i sykeoppfølgingsarbeidet</w:t>
      </w:r>
      <w:r>
        <w:rPr>
          <w:rFonts w:eastAsia="Calibri"/>
        </w:rPr>
        <w:t xml:space="preserve">. </w:t>
      </w:r>
      <w:r w:rsidR="00F66A43">
        <w:rPr>
          <w:rFonts w:eastAsia="Calibri"/>
        </w:rPr>
        <w:t xml:space="preserve">Etter dette </w:t>
      </w:r>
      <w:r w:rsidR="00D33953">
        <w:rPr>
          <w:rFonts w:eastAsia="Calibri"/>
        </w:rPr>
        <w:t xml:space="preserve">ble </w:t>
      </w:r>
      <w:r w:rsidR="00F66A43">
        <w:rPr>
          <w:rFonts w:eastAsia="Calibri"/>
        </w:rPr>
        <w:t>det observert en endring</w:t>
      </w:r>
      <w:r w:rsidR="00D33953">
        <w:rPr>
          <w:rFonts w:eastAsia="Calibri"/>
        </w:rPr>
        <w:t>er</w:t>
      </w:r>
      <w:r w:rsidR="00F66A43">
        <w:rPr>
          <w:rFonts w:eastAsia="Calibri"/>
        </w:rPr>
        <w:t xml:space="preserve"> </w:t>
      </w:r>
      <w:r w:rsidR="00D543A7">
        <w:rPr>
          <w:rFonts w:eastAsia="Calibri"/>
        </w:rPr>
        <w:t xml:space="preserve">hvor </w:t>
      </w:r>
      <w:r>
        <w:rPr>
          <w:rFonts w:eastAsia="Calibri"/>
        </w:rPr>
        <w:t>flere</w:t>
      </w:r>
      <w:r w:rsidRPr="0E5718B2">
        <w:rPr>
          <w:rFonts w:eastAsia="Calibri"/>
        </w:rPr>
        <w:t xml:space="preserve"> </w:t>
      </w:r>
      <w:r w:rsidR="00D543A7">
        <w:rPr>
          <w:rFonts w:eastAsia="Calibri"/>
        </w:rPr>
        <w:t xml:space="preserve">gikk </w:t>
      </w:r>
      <w:r w:rsidRPr="0E5718B2">
        <w:rPr>
          <w:rFonts w:eastAsia="Calibri"/>
        </w:rPr>
        <w:t>over i arbeidsledighet</w:t>
      </w:r>
      <w:r w:rsidR="00D470E8">
        <w:rPr>
          <w:rFonts w:eastAsia="Calibri"/>
        </w:rPr>
        <w:t xml:space="preserve"> og </w:t>
      </w:r>
      <w:r w:rsidRPr="0E5718B2">
        <w:rPr>
          <w:rFonts w:eastAsia="Calibri"/>
        </w:rPr>
        <w:t>færre ble sykmeldt</w:t>
      </w:r>
      <w:r w:rsidR="00D470E8">
        <w:rPr>
          <w:rFonts w:eastAsia="Calibri"/>
        </w:rPr>
        <w:t xml:space="preserve"> mens </w:t>
      </w:r>
      <w:r w:rsidRPr="0E5718B2">
        <w:rPr>
          <w:rFonts w:eastAsia="Calibri"/>
        </w:rPr>
        <w:t>andelen yrkesaktive hold</w:t>
      </w:r>
      <w:r w:rsidR="00D470E8">
        <w:rPr>
          <w:rFonts w:eastAsia="Calibri"/>
        </w:rPr>
        <w:t xml:space="preserve">t </w:t>
      </w:r>
      <w:r w:rsidRPr="0E5718B2">
        <w:rPr>
          <w:rFonts w:eastAsia="Calibri"/>
        </w:rPr>
        <w:t xml:space="preserve">seg stabil </w:t>
      </w:r>
      <w:r w:rsidR="001B3E5F">
        <w:rPr>
          <w:rFonts w:eastAsia="Calibri"/>
        </w:rPr>
        <w:fldChar w:fldCharType="begin"/>
      </w:r>
      <w:r w:rsidR="004654FD">
        <w:rPr>
          <w:rFonts w:eastAsia="Calibri"/>
        </w:rPr>
        <w:instrText xml:space="preserve"> ADDIN EN.CITE &lt;EndNote&gt;&lt;Cite&gt;&lt;Author&gt;Lien&lt;/Author&gt;&lt;Year&gt;2019&lt;/Year&gt;&lt;RecNum&gt;533&lt;/RecNum&gt;&lt;DisplayText&gt;(Lien, 2019)&lt;/DisplayText&gt;&lt;record&gt;&lt;rec-number&gt;533&lt;/rec-number&gt;&lt;foreign-keys&gt;&lt;key app="EN" db-id="95tpr2tp6r9xwoea9rb5wdsz5ds5xeddteew" timestamp="1680069511"&gt;533&lt;/key&gt;&lt;/foreign-keys&gt;&lt;ref-type name="Web Page"&gt;12&lt;/ref-type&gt;&lt;contributors&gt;&lt;authors&gt;&lt;author&gt;Håvard Lien&lt;/author&gt;&lt;/authors&gt;&lt;/contributors&gt;&lt;titles&gt;&lt;title&gt;Norges sykefravær passerte Sveriges og Nederlands etter lovendringer&lt;/title&gt;&lt;/titles&gt;&lt;number&gt;04.01.23&lt;/number&gt;&lt;dates&gt;&lt;year&gt;2019&lt;/year&gt;&lt;pub-dates&gt;&lt;date&gt;25. februar 2019&lt;/date&gt;&lt;/pub-dates&gt;&lt;/dates&gt;&lt;pub-location&gt;Oslo&lt;/pub-location&gt;&lt;publisher&gt;Statistisk sentralbyrå&lt;/publisher&gt;&lt;work-type&gt;nettdokument&lt;/work-type&gt;&lt;urls&gt;&lt;/urls&gt;&lt;/record&gt;&lt;/Cite&gt;&lt;/EndNote&gt;</w:instrText>
      </w:r>
      <w:r w:rsidR="001B3E5F">
        <w:rPr>
          <w:rFonts w:eastAsia="Calibri"/>
        </w:rPr>
        <w:fldChar w:fldCharType="separate"/>
      </w:r>
      <w:r w:rsidR="001B3E5F">
        <w:rPr>
          <w:rFonts w:eastAsia="Calibri"/>
          <w:noProof/>
        </w:rPr>
        <w:t>(Lien, 2019)</w:t>
      </w:r>
      <w:r w:rsidR="001B3E5F">
        <w:rPr>
          <w:rFonts w:eastAsia="Calibri"/>
        </w:rPr>
        <w:fldChar w:fldCharType="end"/>
      </w:r>
      <w:r w:rsidR="00922BDB">
        <w:rPr>
          <w:rFonts w:eastAsia="Calibri"/>
        </w:rPr>
        <w:t>.</w:t>
      </w:r>
    </w:p>
    <w:p w14:paraId="43012B70" w14:textId="77777777" w:rsidR="007118F4" w:rsidRPr="00FA6852" w:rsidRDefault="294F8F4D" w:rsidP="00775632">
      <w:pPr>
        <w:pStyle w:val="Overskrift3"/>
      </w:pPr>
      <w:bookmarkStart w:id="3813" w:name="_Toc129787569"/>
      <w:bookmarkStart w:id="3814" w:name="_Toc129799648"/>
      <w:bookmarkStart w:id="3815" w:name="_Toc129800026"/>
      <w:bookmarkStart w:id="3816" w:name="_Toc129800262"/>
      <w:bookmarkStart w:id="3817" w:name="_Toc127955824"/>
      <w:bookmarkStart w:id="3818" w:name="_Toc127956031"/>
      <w:bookmarkStart w:id="3819" w:name="_Toc127962079"/>
      <w:bookmarkStart w:id="3820" w:name="_Toc127962289"/>
      <w:bookmarkStart w:id="3821" w:name="_Toc127962499"/>
      <w:bookmarkStart w:id="3822" w:name="_Toc127962708"/>
      <w:bookmarkStart w:id="3823" w:name="_Toc128238562"/>
      <w:bookmarkStart w:id="3824" w:name="_Toc128742044"/>
      <w:bookmarkStart w:id="3825" w:name="_Toc128744639"/>
      <w:bookmarkStart w:id="3826" w:name="_Toc128744858"/>
      <w:bookmarkStart w:id="3827" w:name="_Toc129630363"/>
      <w:bookmarkStart w:id="3828" w:name="_Toc130763869"/>
      <w:bookmarkStart w:id="3829" w:name="_Toc130766764"/>
      <w:bookmarkStart w:id="3830" w:name="_Toc130932165"/>
      <w:bookmarkStart w:id="3831" w:name="_Toc130934456"/>
      <w:bookmarkStart w:id="3832" w:name="_Toc130983585"/>
      <w:bookmarkStart w:id="3833" w:name="_Toc130983934"/>
      <w:bookmarkStart w:id="3834" w:name="_Toc131062210"/>
      <w:bookmarkStart w:id="3835" w:name="_Toc131062464"/>
      <w:bookmarkStart w:id="3836" w:name="_Toc131062725"/>
      <w:bookmarkStart w:id="3837" w:name="_Toc131062978"/>
      <w:bookmarkStart w:id="3838" w:name="_Toc131063761"/>
      <w:bookmarkStart w:id="3839" w:name="_Toc131064171"/>
      <w:bookmarkStart w:id="3840" w:name="_Toc131238521"/>
      <w:bookmarkStart w:id="3841" w:name="_Toc131279552"/>
      <w:bookmarkStart w:id="3842" w:name="_Toc131286964"/>
      <w:bookmarkStart w:id="3843" w:name="_Toc131281374"/>
      <w:bookmarkStart w:id="3844" w:name="_Toc131317914"/>
      <w:bookmarkStart w:id="3845" w:name="_Toc132537035"/>
      <w:bookmarkEnd w:id="3813"/>
      <w:bookmarkEnd w:id="3814"/>
      <w:bookmarkEnd w:id="3815"/>
      <w:bookmarkEnd w:id="3816"/>
      <w:bookmarkEnd w:id="3817"/>
      <w:bookmarkEnd w:id="3818"/>
      <w:bookmarkEnd w:id="3819"/>
      <w:bookmarkEnd w:id="3820"/>
      <w:bookmarkEnd w:id="3821"/>
      <w:bookmarkEnd w:id="3822"/>
      <w:r>
        <w:t>Økt o</w:t>
      </w:r>
      <w:bookmarkStart w:id="3846" w:name="_Toc127962080"/>
      <w:bookmarkStart w:id="3847" w:name="_Toc127962290"/>
      <w:bookmarkStart w:id="3848" w:name="_Toc127962500"/>
      <w:bookmarkStart w:id="3849" w:name="_Toc127962709"/>
      <w:bookmarkStart w:id="3850" w:name="_Toc127962918"/>
      <w:bookmarkStart w:id="3851" w:name="_Toc127962081"/>
      <w:bookmarkStart w:id="3852" w:name="_Toc127962291"/>
      <w:bookmarkStart w:id="3853" w:name="_Toc127962501"/>
      <w:bookmarkStart w:id="3854" w:name="_Toc127962710"/>
      <w:bookmarkStart w:id="3855" w:name="_Toc127962919"/>
      <w:bookmarkStart w:id="3856" w:name="_Toc127962082"/>
      <w:bookmarkStart w:id="3857" w:name="_Toc127962292"/>
      <w:bookmarkStart w:id="3858" w:name="_Toc127962502"/>
      <w:bookmarkStart w:id="3859" w:name="_Toc127962711"/>
      <w:bookmarkStart w:id="3860" w:name="_Toc127962920"/>
      <w:bookmarkStart w:id="3861" w:name="_Toc127962083"/>
      <w:bookmarkStart w:id="3862" w:name="_Toc127962293"/>
      <w:bookmarkStart w:id="3863" w:name="_Toc127962503"/>
      <w:bookmarkStart w:id="3864" w:name="_Toc127962712"/>
      <w:bookmarkStart w:id="3865" w:name="_Toc127962921"/>
      <w:bookmarkStart w:id="3866" w:name="_Toc127962084"/>
      <w:bookmarkStart w:id="3867" w:name="_Toc127962294"/>
      <w:bookmarkStart w:id="3868" w:name="_Toc127962504"/>
      <w:bookmarkStart w:id="3869" w:name="_Toc127962713"/>
      <w:bookmarkStart w:id="3870" w:name="_Toc127962922"/>
      <w:bookmarkStart w:id="3871" w:name="_Toc127962085"/>
      <w:bookmarkStart w:id="3872" w:name="_Toc127962295"/>
      <w:bookmarkStart w:id="3873" w:name="_Toc127962505"/>
      <w:bookmarkStart w:id="3874" w:name="_Toc127962714"/>
      <w:bookmarkStart w:id="3875" w:name="_Toc127962923"/>
      <w:bookmarkStart w:id="3876" w:name="_Toc127962086"/>
      <w:bookmarkStart w:id="3877" w:name="_Toc127962296"/>
      <w:bookmarkStart w:id="3878" w:name="_Toc127962506"/>
      <w:bookmarkStart w:id="3879" w:name="_Toc127962715"/>
      <w:bookmarkStart w:id="3880" w:name="_Toc127962924"/>
      <w:bookmarkStart w:id="3881" w:name="_Toc127962087"/>
      <w:bookmarkStart w:id="3882" w:name="_Toc127962297"/>
      <w:bookmarkStart w:id="3883" w:name="_Toc127962507"/>
      <w:bookmarkStart w:id="3884" w:name="_Toc127962716"/>
      <w:bookmarkStart w:id="3885" w:name="_Toc127962925"/>
      <w:bookmarkStart w:id="3886" w:name="_Toc127962088"/>
      <w:bookmarkStart w:id="3887" w:name="_Toc127962298"/>
      <w:bookmarkStart w:id="3888" w:name="_Toc127962508"/>
      <w:bookmarkStart w:id="3889" w:name="_Toc127962717"/>
      <w:bookmarkStart w:id="3890" w:name="_Toc127962926"/>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sidR="7C33E2AB">
        <w:t>mf</w:t>
      </w:r>
      <w:r w:rsidR="54092AAC">
        <w:t>ang</w:t>
      </w:r>
      <w:r w:rsidR="7C33E2AB">
        <w:t xml:space="preserve"> </w:t>
      </w:r>
      <w:r w:rsidR="00472F38">
        <w:t xml:space="preserve">og tidsbruk </w:t>
      </w:r>
      <w:r w:rsidR="00E96715">
        <w:t xml:space="preserve">ved </w:t>
      </w:r>
      <w:bookmarkEnd w:id="3823"/>
      <w:bookmarkEnd w:id="3824"/>
      <w:bookmarkEnd w:id="3825"/>
      <w:bookmarkEnd w:id="3826"/>
      <w:bookmarkEnd w:id="3827"/>
      <w:r w:rsidR="00E96715">
        <w:t>sykmeldingsarbeid</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62740BCC" w14:textId="654D51FB" w:rsidR="00D9107F" w:rsidRDefault="001D356D" w:rsidP="006B0AE5">
      <w:pPr>
        <w:jc w:val="both"/>
      </w:pPr>
      <w:r w:rsidRPr="00A749F8">
        <w:t xml:space="preserve">NAV publiserte </w:t>
      </w:r>
      <w:r>
        <w:t xml:space="preserve">i februar 2017 </w:t>
      </w:r>
      <w:r w:rsidRPr="00A749F8">
        <w:t xml:space="preserve">en studie som viser at dersom sykmelding varer over 9 måneder vil ca. 33 prosent av de sykmeldte fortsatt være utenfor arbeidslivet etter 2,5 år. Studien </w:t>
      </w:r>
      <w:r>
        <w:t>inkluderte</w:t>
      </w:r>
      <w:r w:rsidRPr="00A749F8">
        <w:t xml:space="preserve"> 16</w:t>
      </w:r>
      <w:r w:rsidR="00D9107F" w:rsidRPr="00A749F8">
        <w:t>0</w:t>
      </w:r>
      <w:r w:rsidR="00D9107F">
        <w:t> </w:t>
      </w:r>
      <w:r w:rsidR="00D9107F" w:rsidRPr="00A749F8">
        <w:t>000</w:t>
      </w:r>
      <w:r w:rsidRPr="00A749F8">
        <w:t xml:space="preserve"> personer som hadde vært sykmeldt i 9 måneder, og hvor de vanligste diagnosene var smerter i muskler, skjelett og psykiske lidelser.</w:t>
      </w:r>
    </w:p>
    <w:p w14:paraId="3532D291" w14:textId="77777777" w:rsidR="00D9107F" w:rsidRDefault="00512C9F" w:rsidP="006B0AE5">
      <w:pPr>
        <w:jc w:val="both"/>
      </w:pPr>
      <w:bookmarkStart w:id="3891" w:name="_Toc132133912"/>
      <w:r w:rsidRPr="00D9107F">
        <w:rPr>
          <w:rStyle w:val="kursiv"/>
          <w:rFonts w:eastAsiaTheme="minorEastAsia"/>
        </w:rPr>
        <w:t>Sykefraværet er høyest i helse- og omsorgssektoren og byggenæringen, hvor de vanligste årsakene er smerter i muskel- og skjelettsystemet (35 prosent) samt psykiske lidelser (22 prosent). Kvinner hadde i 2021 det høyeste sykefraværet på 6,8 prosent, mens menn hadde et fravær på 3,8 prosent. Om lag 20 prosent av kjønnsforskjellen</w:t>
      </w:r>
      <w:bookmarkEnd w:id="3891"/>
      <w:r>
        <w:t xml:space="preserve"> kan tilskrives svangerskapsrelatert fravær. </w:t>
      </w:r>
      <w:r w:rsidR="00EA392D">
        <w:t>Ifølge NAV utgjorde sykefraværet omtrent</w:t>
      </w:r>
      <w:r w:rsidR="00EA392D" w:rsidRPr="00A21567">
        <w:t xml:space="preserve"> 29,</w:t>
      </w:r>
      <w:r w:rsidR="00EA392D">
        <w:t xml:space="preserve">4 </w:t>
      </w:r>
      <w:r w:rsidR="00EA392D" w:rsidRPr="00A21567">
        <w:t>millioner</w:t>
      </w:r>
      <w:r w:rsidR="00EA392D">
        <w:t xml:space="preserve"> tapte arbeidsdager i 2021</w:t>
      </w:r>
      <w:r w:rsidR="00922BDB">
        <w:t xml:space="preserve"> </w:t>
      </w:r>
      <w:r w:rsidR="00FD2027">
        <w:fldChar w:fldCharType="begin"/>
      </w:r>
      <w:r w:rsidR="004654FD">
        <w:instrText xml:space="preserve"> ADDIN EN.CITE &lt;EndNote&gt;&lt;Cite&gt;&lt;Author&gt;NAV&lt;/Author&gt;&lt;Year&gt;2022&lt;/Year&gt;&lt;RecNum&gt;783&lt;/RecNum&gt;&lt;DisplayText&gt;(NAV, 2022)&lt;/DisplayText&gt;&lt;record&gt;&lt;rec-number&gt;783&lt;/rec-number&gt;&lt;foreign-keys&gt;&lt;key app="EN" db-id="95tpr2tp6r9xwoea9rb5wdsz5ds5xeddteew" timestamp="1680069511"&gt;783&lt;/key&gt;&lt;/foreign-keys&gt;&lt;ref-type name="Web Page"&gt;12&lt;/ref-type&gt;&lt;contributors&gt;&lt;authors&gt;&lt;author&gt;NAV&lt;/author&gt;&lt;/authors&gt;&lt;/contributors&gt;&lt;titles&gt;&lt;title&gt;Sykefraværsstatistikk - Årsstatistikk : statistikk for året 2021&lt;/title&gt;&lt;/titles&gt;&lt;number&gt;05.01.23&lt;/number&gt;&lt;dates&gt;&lt;year&gt;2022&lt;/year&gt;&lt;pub-dates&gt;&lt;date&gt;20.09.2022&lt;/date&gt;&lt;/pub-dates&gt;&lt;/dates&gt;&lt;pub-location&gt;Oslo&lt;/pub-location&gt;&lt;publisher&gt;Nav&lt;/publisher&gt;&lt;work-type&gt;nettdokument&lt;/work-type&gt;&lt;urls&gt;&lt;/urls&gt;&lt;/record&gt;&lt;/Cite&gt;&lt;/EndNote&gt;</w:instrText>
      </w:r>
      <w:r w:rsidR="00FD2027">
        <w:fldChar w:fldCharType="separate"/>
      </w:r>
      <w:r w:rsidR="00FD2027">
        <w:rPr>
          <w:noProof/>
        </w:rPr>
        <w:t>(NAV, 2022)</w:t>
      </w:r>
      <w:r w:rsidR="00FD2027">
        <w:fldChar w:fldCharType="end"/>
      </w:r>
      <w:r w:rsidR="00EA392D">
        <w:t>.</w:t>
      </w:r>
    </w:p>
    <w:p w14:paraId="6F3EBA09" w14:textId="446015D8" w:rsidR="00451660" w:rsidRDefault="00451660" w:rsidP="006B0AE5">
      <w:pPr>
        <w:jc w:val="both"/>
      </w:pPr>
      <w:r>
        <w:lastRenderedPageBreak/>
        <w:t>Andelen sykmeldinger utløst av e-konsultasjon hos fastleger lå i 2022 på i underkant av 50 prosent. Resterende sykmeldinger ble utløst ved takst for fysisk konsultasjon.</w:t>
      </w:r>
      <w:r w:rsidRPr="00D9107F">
        <w:rPr>
          <w:rStyle w:val="Fotnotereferanse"/>
        </w:rPr>
        <w:footnoteReference w:id="40"/>
      </w:r>
    </w:p>
    <w:p w14:paraId="280EE61D" w14:textId="77777777" w:rsidR="00D9107F" w:rsidRDefault="7638A9E5" w:rsidP="006B0AE5">
      <w:pPr>
        <w:jc w:val="both"/>
      </w:pPr>
      <w:r w:rsidRPr="498DE090">
        <w:rPr>
          <w:rFonts w:eastAsiaTheme="minorEastAsia"/>
        </w:rPr>
        <w:t>Figur</w:t>
      </w:r>
      <w:r w:rsidR="6CF239DA" w:rsidRPr="498DE090">
        <w:rPr>
          <w:rFonts w:eastAsiaTheme="minorEastAsia"/>
        </w:rPr>
        <w:t xml:space="preserve">ene </w:t>
      </w:r>
      <w:r w:rsidRPr="498DE090">
        <w:rPr>
          <w:rFonts w:eastAsiaTheme="minorEastAsia"/>
        </w:rPr>
        <w:t xml:space="preserve">7.1 </w:t>
      </w:r>
      <w:r w:rsidR="6CF239DA" w:rsidRPr="498DE090">
        <w:rPr>
          <w:rFonts w:eastAsiaTheme="minorEastAsia"/>
        </w:rPr>
        <w:t xml:space="preserve">og 7.2 </w:t>
      </w:r>
      <w:r w:rsidRPr="498DE090">
        <w:rPr>
          <w:rFonts w:eastAsiaTheme="minorEastAsia"/>
          <w:color w:val="333333"/>
        </w:rPr>
        <w:t>viser antall sykmeldingsrelaterte takster utløst av fastleger</w:t>
      </w:r>
      <w:r w:rsidR="00436EA9">
        <w:rPr>
          <w:rFonts w:eastAsiaTheme="minorEastAsia"/>
          <w:color w:val="333333"/>
        </w:rPr>
        <w:t xml:space="preserve"> for </w:t>
      </w:r>
      <w:r w:rsidR="6BC4DA08">
        <w:t>perioden fra 2006 til 202</w:t>
      </w:r>
      <w:r w:rsidR="2F3F1D49">
        <w:t>2</w:t>
      </w:r>
      <w:r w:rsidR="00436EA9">
        <w:t>.</w:t>
      </w:r>
      <w:r w:rsidR="6BC4DA08">
        <w:t xml:space="preserve"> </w:t>
      </w:r>
      <w:r w:rsidR="00436EA9">
        <w:t>A</w:t>
      </w:r>
      <w:r w:rsidR="6BC4DA08">
        <w:t xml:space="preserve">ntallet </w:t>
      </w:r>
      <w:r w:rsidR="00C33FC7">
        <w:t xml:space="preserve">sykmeldinger </w:t>
      </w:r>
      <w:r w:rsidR="0092586C">
        <w:t xml:space="preserve">har økt jevnt siden 2014, </w:t>
      </w:r>
      <w:r w:rsidR="00093EEA">
        <w:t xml:space="preserve">og antall takster for enkel dialog med NAV (L8) </w:t>
      </w:r>
      <w:r w:rsidR="00093EEA" w:rsidRPr="00A21567">
        <w:t xml:space="preserve">har økt </w:t>
      </w:r>
      <w:r w:rsidR="00B9391A">
        <w:t>i samme periode</w:t>
      </w:r>
      <w:r w:rsidR="0053027A">
        <w:t>.</w:t>
      </w:r>
      <w:r w:rsidR="00093EEA">
        <w:t xml:space="preserve"> </w:t>
      </w:r>
      <w:r w:rsidR="00CF0EAD">
        <w:t xml:space="preserve">Økningen i </w:t>
      </w:r>
      <w:r w:rsidR="002D5DDA">
        <w:t xml:space="preserve">L8 og i </w:t>
      </w:r>
      <w:r w:rsidR="00CF0EAD">
        <w:t xml:space="preserve">L4, </w:t>
      </w:r>
      <w:r w:rsidR="001D7FFC">
        <w:t xml:space="preserve">som er </w:t>
      </w:r>
      <w:r w:rsidR="00CF0EAD">
        <w:t>utfyllende informasjon ved langvarig sykmelding</w:t>
      </w:r>
      <w:r w:rsidR="001D7FFC">
        <w:t>,</w:t>
      </w:r>
      <w:r w:rsidR="00CF0EAD">
        <w:t xml:space="preserve"> </w:t>
      </w:r>
      <w:r w:rsidR="002D5DDA">
        <w:t xml:space="preserve">kan </w:t>
      </w:r>
      <w:r w:rsidR="00351EA3">
        <w:t xml:space="preserve">antas å </w:t>
      </w:r>
      <w:r w:rsidR="002D5DDA">
        <w:t>ha sammenheng</w:t>
      </w:r>
      <w:r w:rsidR="00351EA3">
        <w:t xml:space="preserve"> med overgang til elektronisk sykmelding </w:t>
      </w:r>
      <w:r w:rsidR="002D5DDA">
        <w:t>i</w:t>
      </w:r>
      <w:r w:rsidR="00351EA3">
        <w:t xml:space="preserve"> 2018.</w:t>
      </w:r>
      <w:r w:rsidR="00093EEA">
        <w:t xml:space="preserve"> </w:t>
      </w:r>
      <w:r w:rsidR="00392F4D">
        <w:t xml:space="preserve">Samtidig har </w:t>
      </w:r>
      <w:r w:rsidR="00C33FC7">
        <w:t xml:space="preserve">antallet </w:t>
      </w:r>
      <w:r w:rsidR="6BC4DA08">
        <w:t>omfattende legeerklæringer som følge av søknad om AAP og uføretrygd (L40)</w:t>
      </w:r>
      <w:r w:rsidR="00EC3F9E">
        <w:t>,</w:t>
      </w:r>
      <w:r w:rsidR="6BC4DA08">
        <w:t xml:space="preserve"> </w:t>
      </w:r>
      <w:r w:rsidR="00716FA3">
        <w:t>gått noe ned.</w:t>
      </w:r>
    </w:p>
    <w:p w14:paraId="712C9B80" w14:textId="34CC98CE" w:rsidR="007F6A56" w:rsidRDefault="008C557B" w:rsidP="00AF1170">
      <w:pPr>
        <w:pStyle w:val="avsnitt-tittel"/>
      </w:pPr>
      <w:r>
        <w:t xml:space="preserve">Figur </w:t>
      </w:r>
      <w:r w:rsidR="00BF0F72">
        <w:t>7-1</w:t>
      </w:r>
      <w:r>
        <w:t>:</w:t>
      </w:r>
      <w:r w:rsidR="00716FA3" w:rsidRPr="00DA10BD">
        <w:t xml:space="preserve"> Antall</w:t>
      </w:r>
      <w:r w:rsidR="00716FA3" w:rsidRPr="003E511A">
        <w:t xml:space="preserve"> sykmeldingsrelaterte takster utløst av fastleger</w:t>
      </w:r>
      <w:r w:rsidR="00716FA3" w:rsidRPr="00DA10BD">
        <w:t>, 2006</w:t>
      </w:r>
      <w:r w:rsidR="00716FA3">
        <w:t>–</w:t>
      </w:r>
      <w:r w:rsidR="00716FA3" w:rsidRPr="00DA10BD">
        <w:t>2022</w:t>
      </w:r>
    </w:p>
    <w:p w14:paraId="37D2B039" w14:textId="50C5C562" w:rsidR="00716FA3" w:rsidRDefault="00DB3B6A" w:rsidP="00AF1170">
      <w:r>
        <w:rPr>
          <w:noProof/>
        </w:rPr>
        <w:drawing>
          <wp:inline distT="0" distB="0" distL="0" distR="0" wp14:anchorId="27C5FAC2" wp14:editId="6DF7A6C5">
            <wp:extent cx="6120765" cy="2475230"/>
            <wp:effectExtent l="0" t="0" r="0" b="127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475230"/>
                    </a:xfrm>
                    <a:prstGeom prst="rect">
                      <a:avLst/>
                    </a:prstGeom>
                    <a:noFill/>
                  </pic:spPr>
                </pic:pic>
              </a:graphicData>
            </a:graphic>
          </wp:inline>
        </w:drawing>
      </w:r>
    </w:p>
    <w:p w14:paraId="2A9A6608" w14:textId="632FB511" w:rsidR="008C557B" w:rsidRPr="00CE06F0" w:rsidRDefault="008C557B" w:rsidP="00C33652">
      <w:pPr>
        <w:pStyle w:val="Petit"/>
        <w:rPr>
          <w:rStyle w:val="kursiv"/>
        </w:rPr>
      </w:pPr>
      <w:bookmarkStart w:id="3892" w:name="_Toc132133913"/>
      <w:r w:rsidRPr="00CE06F0">
        <w:rPr>
          <w:rStyle w:val="kursiv"/>
        </w:rPr>
        <w:t>Kilde</w:t>
      </w:r>
      <w:r w:rsidR="00292A99" w:rsidRPr="00CE06F0">
        <w:rPr>
          <w:rStyle w:val="kursiv"/>
        </w:rPr>
        <w:t>:</w:t>
      </w:r>
      <w:r w:rsidRPr="00CE06F0">
        <w:rPr>
          <w:rStyle w:val="kursiv"/>
        </w:rPr>
        <w:t xml:space="preserve"> KUHR</w:t>
      </w:r>
      <w:bookmarkEnd w:id="3892"/>
    </w:p>
    <w:p w14:paraId="0689EB20" w14:textId="77777777" w:rsidR="00D9107F" w:rsidRDefault="009E015D" w:rsidP="00AF1170">
      <w:pPr>
        <w:pStyle w:val="avsnitt-tittel"/>
      </w:pPr>
      <w:r w:rsidRPr="00DA10BD">
        <w:lastRenderedPageBreak/>
        <w:t xml:space="preserve">Figur </w:t>
      </w:r>
      <w:r w:rsidR="00686EF1">
        <w:t>7-2</w:t>
      </w:r>
      <w:r w:rsidR="00E217B4">
        <w:t xml:space="preserve">: </w:t>
      </w:r>
      <w:r w:rsidR="00716FA3">
        <w:t>Antall s</w:t>
      </w:r>
      <w:r w:rsidR="00716FA3" w:rsidRPr="003E511A">
        <w:t>ykmelding</w:t>
      </w:r>
      <w:r w:rsidR="00716FA3">
        <w:t>s</w:t>
      </w:r>
      <w:r w:rsidR="00716FA3" w:rsidRPr="003E511A">
        <w:t>relaterte takster utløst av fastleger</w:t>
      </w:r>
      <w:r w:rsidR="00716FA3">
        <w:t xml:space="preserve"> (ekskl. L1)</w:t>
      </w:r>
      <w:r w:rsidR="00716FA3" w:rsidRPr="00DA10BD">
        <w:t>, 2006</w:t>
      </w:r>
      <w:r w:rsidR="00716FA3">
        <w:t>–</w:t>
      </w:r>
      <w:r w:rsidR="00716FA3" w:rsidRPr="00DA10BD">
        <w:t>2022</w:t>
      </w:r>
    </w:p>
    <w:p w14:paraId="4B0D9F38" w14:textId="22180130" w:rsidR="00716FA3" w:rsidRDefault="00DB3B6A" w:rsidP="00716FA3">
      <w:pPr>
        <w:jc w:val="both"/>
      </w:pPr>
      <w:r>
        <w:rPr>
          <w:noProof/>
        </w:rPr>
        <w:drawing>
          <wp:inline distT="0" distB="0" distL="0" distR="0" wp14:anchorId="3DBC5CBB" wp14:editId="77FF8ED9">
            <wp:extent cx="6120765" cy="2639695"/>
            <wp:effectExtent l="0" t="0" r="0" b="825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2639695"/>
                    </a:xfrm>
                    <a:prstGeom prst="rect">
                      <a:avLst/>
                    </a:prstGeom>
                    <a:noFill/>
                  </pic:spPr>
                </pic:pic>
              </a:graphicData>
            </a:graphic>
          </wp:inline>
        </w:drawing>
      </w:r>
    </w:p>
    <w:p w14:paraId="6E13ABCC" w14:textId="6CB0E678" w:rsidR="00D9107F" w:rsidRPr="00CE06F0" w:rsidRDefault="00292A99" w:rsidP="00F04079">
      <w:pPr>
        <w:pStyle w:val="Petit"/>
        <w:rPr>
          <w:rStyle w:val="kursiv"/>
        </w:rPr>
      </w:pPr>
      <w:bookmarkStart w:id="3893" w:name="_Toc132133914"/>
      <w:r w:rsidRPr="00CE06F0">
        <w:rPr>
          <w:rStyle w:val="kursiv"/>
        </w:rPr>
        <w:t>Merknad</w:t>
      </w:r>
      <w:r w:rsidR="00EA2D6F" w:rsidRPr="00CE06F0">
        <w:rPr>
          <w:rStyle w:val="kursiv"/>
        </w:rPr>
        <w:t xml:space="preserve">: L1 </w:t>
      </w:r>
      <w:r w:rsidR="00724C3F" w:rsidRPr="00CE06F0">
        <w:rPr>
          <w:rStyle w:val="kursiv"/>
        </w:rPr>
        <w:t xml:space="preserve">er </w:t>
      </w:r>
      <w:r w:rsidR="00EA2D6F" w:rsidRPr="00CE06F0">
        <w:rPr>
          <w:rStyle w:val="kursiv"/>
        </w:rPr>
        <w:t>Sykmeldingsattest, L35 er Dialogmøte, L4 Utfyllende informasjon i langvarig sykmelding, L40 Legeerklæring ved AAP/uføresøknad og L8 er taksten for Enkel dialog med NAV</w:t>
      </w:r>
      <w:r w:rsidRPr="00CE06F0">
        <w:rPr>
          <w:rStyle w:val="kursiv"/>
        </w:rPr>
        <w:t>. Kilde: KUHR</w:t>
      </w:r>
      <w:r w:rsidR="00FB5C1E" w:rsidRPr="00CE06F0">
        <w:rPr>
          <w:rStyle w:val="kursiv"/>
        </w:rPr>
        <w:t>.</w:t>
      </w:r>
      <w:bookmarkEnd w:id="3893"/>
    </w:p>
    <w:p w14:paraId="748652A4" w14:textId="1AF13B31" w:rsidR="00D9107F" w:rsidRDefault="00716FA3" w:rsidP="00F04079">
      <w:r>
        <w:t xml:space="preserve">Også analyser ekspertutvalget har innhentet fra FHI, illustrerer utviklingen i takstbruk og understøtter endringene i bruken av takstene </w:t>
      </w:r>
      <w:r w:rsidR="00D9107F">
        <w:t>‘</w:t>
      </w:r>
      <w:r>
        <w:t>L8 Enkel dialog med NAV</w:t>
      </w:r>
      <w:r w:rsidR="00D9107F">
        <w:t>’</w:t>
      </w:r>
      <w:r>
        <w:t xml:space="preserve"> og </w:t>
      </w:r>
      <w:r w:rsidR="00D9107F">
        <w:t>‘</w:t>
      </w:r>
      <w:r>
        <w:t>L40 U</w:t>
      </w:r>
      <w:r w:rsidRPr="00090914">
        <w:t>tfylling av legeerklæring ved arbeidsuførhet</w:t>
      </w:r>
      <w:r w:rsidR="00D9107F">
        <w:t>’</w:t>
      </w:r>
      <w:r>
        <w:t xml:space="preserve">. </w:t>
      </w:r>
      <w:r w:rsidRPr="00090914">
        <w:t xml:space="preserve">De ulike sykmeldingsrelaterte takstene har litt ulik </w:t>
      </w:r>
      <w:r>
        <w:t>bruks</w:t>
      </w:r>
      <w:r w:rsidRPr="00090914">
        <w:t xml:space="preserve">trend over år, men felles er at næringsdrivende fastleger </w:t>
      </w:r>
      <w:r>
        <w:t>utløser flere sykmeldingstakster per listeinnbygger enn fast ansatte leger.</w:t>
      </w:r>
    </w:p>
    <w:p w14:paraId="07AD123D" w14:textId="03B2918C" w:rsidR="00716FA3" w:rsidRDefault="002A0FE5" w:rsidP="00AF1170">
      <w:pPr>
        <w:pStyle w:val="avsnitt-tittel"/>
      </w:pPr>
      <w:r w:rsidRPr="00DA10BD">
        <w:lastRenderedPageBreak/>
        <w:t xml:space="preserve">Figur </w:t>
      </w:r>
      <w:r w:rsidR="006D4B0E">
        <w:t>7-3</w:t>
      </w:r>
      <w:r w:rsidR="00F2185E">
        <w:t>:</w:t>
      </w:r>
      <w:r w:rsidR="00716FA3" w:rsidRPr="00DA10BD">
        <w:t xml:space="preserve"> </w:t>
      </w:r>
      <w:r w:rsidR="00716FA3">
        <w:t>A</w:t>
      </w:r>
      <w:r w:rsidR="00716FA3" w:rsidRPr="00090914">
        <w:t>ndel takster per liste</w:t>
      </w:r>
      <w:r w:rsidR="00716FA3">
        <w:t>innbygger</w:t>
      </w:r>
      <w:r w:rsidR="00716FA3" w:rsidRPr="00090914">
        <w:t xml:space="preserve"> i arbeidsfør alder etter finansieringsmodell over år</w:t>
      </w:r>
    </w:p>
    <w:p w14:paraId="6002C63B" w14:textId="77777777" w:rsidR="00D9107F" w:rsidRDefault="00716FA3" w:rsidP="00F04079">
      <w:r>
        <w:rPr>
          <w:noProof/>
        </w:rPr>
        <w:drawing>
          <wp:inline distT="0" distB="0" distL="0" distR="0" wp14:anchorId="77F95730" wp14:editId="77296C4A">
            <wp:extent cx="6119495" cy="3376056"/>
            <wp:effectExtent l="38100" t="38100" r="33655" b="34290"/>
            <wp:docPr id="1350" name="Picture 1350"/>
            <wp:cNvGraphicFramePr/>
            <a:graphic xmlns:a="http://schemas.openxmlformats.org/drawingml/2006/main">
              <a:graphicData uri="http://schemas.openxmlformats.org/drawingml/2006/picture">
                <pic:pic xmlns:pic="http://schemas.openxmlformats.org/drawingml/2006/picture">
                  <pic:nvPicPr>
                    <pic:cNvPr id="66" name="Picture" descr="utkast_fl_rapport_files/figure-docx/unnamed-chunk-14-1.png"/>
                    <pic:cNvPicPr>
                      <a:picLocks noChangeAspect="1" noChangeArrowheads="1"/>
                    </pic:cNvPicPr>
                  </pic:nvPicPr>
                  <pic:blipFill>
                    <a:blip r:embed="rId74"/>
                    <a:stretch>
                      <a:fillRect/>
                    </a:stretch>
                  </pic:blipFill>
                  <pic:spPr bwMode="auto">
                    <a:xfrm>
                      <a:off x="0" y="0"/>
                      <a:ext cx="6125555" cy="3379399"/>
                    </a:xfrm>
                    <a:prstGeom prst="rect">
                      <a:avLst/>
                    </a:prstGeom>
                    <a:noFill/>
                    <a:ln w="38100">
                      <a:solidFill>
                        <a:srgbClr val="A9D6B9"/>
                      </a:solidFill>
                      <a:headEnd/>
                      <a:tailEnd/>
                    </a:ln>
                  </pic:spPr>
                </pic:pic>
              </a:graphicData>
            </a:graphic>
          </wp:inline>
        </w:drawing>
      </w:r>
    </w:p>
    <w:p w14:paraId="69A76D58" w14:textId="601D52EA" w:rsidR="007865AC" w:rsidRPr="00CE06F0" w:rsidRDefault="00FB5C1E" w:rsidP="00F04079">
      <w:pPr>
        <w:pStyle w:val="Petit"/>
        <w:rPr>
          <w:rStyle w:val="kursiv"/>
        </w:rPr>
      </w:pPr>
      <w:bookmarkStart w:id="3894" w:name="_Toc132133915"/>
      <w:r w:rsidRPr="00CE06F0">
        <w:rPr>
          <w:rStyle w:val="kursiv"/>
        </w:rPr>
        <w:t>Kilde: KUHR og FLO.</w:t>
      </w:r>
      <w:bookmarkEnd w:id="3894"/>
    </w:p>
    <w:p w14:paraId="0D6044BF" w14:textId="77777777" w:rsidR="00D9107F" w:rsidRDefault="00C91FDD" w:rsidP="006B0AE5">
      <w:pPr>
        <w:jc w:val="both"/>
        <w:rPr>
          <w:rFonts w:ascii="Calibri" w:eastAsia="Calibri" w:hAnsi="Calibri" w:cs="Calibri"/>
          <w:color w:val="222222"/>
          <w:sz w:val="20"/>
          <w:szCs w:val="20"/>
        </w:rPr>
      </w:pPr>
      <w:r>
        <w:t>F</w:t>
      </w:r>
      <w:r w:rsidR="007865AC">
        <w:t xml:space="preserve">HI har </w:t>
      </w:r>
      <w:r w:rsidR="00C63E69">
        <w:t xml:space="preserve">også </w:t>
      </w:r>
      <w:r w:rsidR="005E194A">
        <w:t xml:space="preserve">sett på </w:t>
      </w:r>
      <w:r w:rsidR="007865AC" w:rsidRPr="00090914">
        <w:t>utvikling i konsultasjonstid for sykmeldingskonsultasjoner</w:t>
      </w:r>
      <w:r w:rsidR="007865AC">
        <w:t xml:space="preserve">, </w:t>
      </w:r>
      <w:r w:rsidR="00D47831">
        <w:t>(</w:t>
      </w:r>
      <w:r w:rsidR="00C63E69">
        <w:t xml:space="preserve">jf </w:t>
      </w:r>
      <w:r w:rsidR="007865AC" w:rsidRPr="001A2F9B">
        <w:t>kap</w:t>
      </w:r>
      <w:r w:rsidR="00BF5804" w:rsidRPr="001A2F9B">
        <w:t>.</w:t>
      </w:r>
      <w:r w:rsidR="007865AC" w:rsidRPr="001A2F9B">
        <w:t xml:space="preserve"> 2 Utfordringsbildet avsnitt 2.3.</w:t>
      </w:r>
      <w:r w:rsidR="00E119DB">
        <w:t>4</w:t>
      </w:r>
      <w:r w:rsidR="007865AC" w:rsidRPr="001A2F9B">
        <w:t>.</w:t>
      </w:r>
      <w:r w:rsidR="00E119DB">
        <w:t>3</w:t>
      </w:r>
      <w:r w:rsidR="00BF5804">
        <w:t>)</w:t>
      </w:r>
      <w:r w:rsidR="00E643E4">
        <w:t>.</w:t>
      </w:r>
      <w:r w:rsidR="007865AC">
        <w:t xml:space="preserve"> Tiden brukt på </w:t>
      </w:r>
      <w:r w:rsidR="007865AC" w:rsidRPr="00090914">
        <w:t xml:space="preserve">konsultasjoner </w:t>
      </w:r>
      <w:r w:rsidR="000A48B7">
        <w:t>hvor</w:t>
      </w:r>
      <w:r w:rsidR="007865AC">
        <w:t xml:space="preserve"> </w:t>
      </w:r>
      <w:r w:rsidR="007865AC" w:rsidRPr="00090914">
        <w:t xml:space="preserve">takst L1 </w:t>
      </w:r>
      <w:r w:rsidR="007865AC">
        <w:t>og</w:t>
      </w:r>
      <w:r w:rsidR="007865AC" w:rsidRPr="00090914">
        <w:t xml:space="preserve"> L4 </w:t>
      </w:r>
      <w:r w:rsidR="000A48B7">
        <w:t xml:space="preserve">utløses </w:t>
      </w:r>
      <w:r w:rsidR="007865AC" w:rsidRPr="00090914">
        <w:t>ser ut til å ha vært relativ stabil</w:t>
      </w:r>
      <w:r w:rsidR="007865AC">
        <w:t xml:space="preserve"> over tid</w:t>
      </w:r>
      <w:r w:rsidR="007865AC" w:rsidRPr="00090914">
        <w:t>, og skiller seg ikke ve</w:t>
      </w:r>
      <w:r w:rsidR="007865AC">
        <w:t xml:space="preserve">sentlig </w:t>
      </w:r>
      <w:r w:rsidR="007865AC" w:rsidRPr="00090914">
        <w:t>fra utvikling</w:t>
      </w:r>
      <w:r w:rsidR="00FD058E">
        <w:t>en</w:t>
      </w:r>
      <w:r w:rsidR="007865AC" w:rsidRPr="00090914">
        <w:t xml:space="preserve"> i konsultasjonstid generelt</w:t>
      </w:r>
      <w:r w:rsidR="00A94127">
        <w:t xml:space="preserve"> (dvs. utvi</w:t>
      </w:r>
      <w:r w:rsidR="00FD058E">
        <w:t>k</w:t>
      </w:r>
      <w:r w:rsidR="00A94127">
        <w:t xml:space="preserve">lingen i </w:t>
      </w:r>
      <w:r w:rsidR="00A94127" w:rsidRPr="00775632">
        <w:t>alle 2ad-konsultasjoner, uavhengig om L-takst er utløst eller ikke)</w:t>
      </w:r>
      <w:r w:rsidR="007865AC" w:rsidRPr="00090914" w:rsidDel="00336700">
        <w:t>.</w:t>
      </w:r>
      <w:r w:rsidR="007865AC">
        <w:t xml:space="preserve"> </w:t>
      </w:r>
      <w:r w:rsidR="005161B5" w:rsidRPr="00460893">
        <w:t xml:space="preserve">Median varighet per konsultasjon </w:t>
      </w:r>
      <w:r w:rsidR="00FD058E">
        <w:t xml:space="preserve">er </w:t>
      </w:r>
      <w:r w:rsidR="0011548B" w:rsidRPr="00460893">
        <w:t xml:space="preserve">beregnet til mellom </w:t>
      </w:r>
      <w:r w:rsidR="005161B5" w:rsidRPr="00460893">
        <w:t>14 og 18 minutter</w:t>
      </w:r>
      <w:r w:rsidR="003A6BD5">
        <w:t>, mens</w:t>
      </w:r>
      <w:r w:rsidR="002F386D" w:rsidRPr="00460893">
        <w:t xml:space="preserve"> gjennomsnittlig varighet for </w:t>
      </w:r>
      <w:r w:rsidR="0011548B" w:rsidRPr="00460893">
        <w:t xml:space="preserve">e-konsultasjoner </w:t>
      </w:r>
      <w:r w:rsidR="000A48B7">
        <w:t xml:space="preserve">hvor takst L1 og L4 </w:t>
      </w:r>
      <w:r w:rsidR="00FD058E">
        <w:t xml:space="preserve">er </w:t>
      </w:r>
      <w:r w:rsidR="000A48B7">
        <w:t>utløs</w:t>
      </w:r>
      <w:r w:rsidR="00FD058E">
        <w:t xml:space="preserve">t er beregnet </w:t>
      </w:r>
      <w:r w:rsidR="00E87B80" w:rsidRPr="00460893">
        <w:t>9 minutter.</w:t>
      </w:r>
    </w:p>
    <w:p w14:paraId="066C06F6" w14:textId="22926D62" w:rsidR="003B2F0A" w:rsidRDefault="003B2F0A" w:rsidP="00AF1170">
      <w:pPr>
        <w:pStyle w:val="avsnitt-tittel"/>
      </w:pPr>
      <w:r w:rsidRPr="00DA10BD">
        <w:lastRenderedPageBreak/>
        <w:t xml:space="preserve">Figur </w:t>
      </w:r>
      <w:r w:rsidR="00BF0F72">
        <w:t>7-4</w:t>
      </w:r>
      <w:r w:rsidR="00F2185E">
        <w:t>:</w:t>
      </w:r>
      <w:r w:rsidRPr="00DA10BD">
        <w:t xml:space="preserve"> </w:t>
      </w:r>
      <w:r w:rsidR="00B4019C" w:rsidRPr="00B4019C">
        <w:t>Utvikling i median konsultasjonstid (2AD og 2AE) fordelt på fysiske konsultasjoner og e-konsultasjoner</w:t>
      </w:r>
      <w:r w:rsidR="00710B38">
        <w:t xml:space="preserve"> </w:t>
      </w:r>
      <w:r w:rsidR="00C23084">
        <w:t xml:space="preserve">a) </w:t>
      </w:r>
      <w:r w:rsidR="00710B38">
        <w:t xml:space="preserve">og </w:t>
      </w:r>
      <w:r w:rsidR="00710B38" w:rsidRPr="00B4019C">
        <w:t>for sykmelding (L1 og L4)</w:t>
      </w:r>
      <w:r w:rsidR="00C23084">
        <w:t xml:space="preserve"> b)</w:t>
      </w:r>
    </w:p>
    <w:p w14:paraId="7953C489" w14:textId="54F3F911" w:rsidR="00AD2C6D" w:rsidRDefault="00716FA3" w:rsidP="00F04079">
      <w:r>
        <w:rPr>
          <w:noProof/>
        </w:rPr>
        <w:drawing>
          <wp:inline distT="0" distB="0" distL="0" distR="0" wp14:anchorId="1E91260E" wp14:editId="2C940FAB">
            <wp:extent cx="6118860" cy="2942606"/>
            <wp:effectExtent l="38100" t="38100" r="34290" b="29210"/>
            <wp:docPr id="52" name="Picture 52"/>
            <wp:cNvGraphicFramePr/>
            <a:graphic xmlns:a="http://schemas.openxmlformats.org/drawingml/2006/main">
              <a:graphicData uri="http://schemas.openxmlformats.org/drawingml/2006/picture">
                <pic:pic xmlns:pic="http://schemas.openxmlformats.org/drawingml/2006/picture">
                  <pic:nvPicPr>
                    <pic:cNvPr id="53" name="Picture" descr="utkast_fl_rapport_files/figure-docx/unnamed-chunk-10-1.png"/>
                    <pic:cNvPicPr>
                      <a:picLocks noChangeAspect="1" noChangeArrowheads="1"/>
                    </pic:cNvPicPr>
                  </pic:nvPicPr>
                  <pic:blipFill>
                    <a:blip r:embed="rId75"/>
                    <a:stretch>
                      <a:fillRect/>
                    </a:stretch>
                  </pic:blipFill>
                  <pic:spPr bwMode="auto">
                    <a:xfrm>
                      <a:off x="0" y="0"/>
                      <a:ext cx="6128398" cy="2947193"/>
                    </a:xfrm>
                    <a:prstGeom prst="rect">
                      <a:avLst/>
                    </a:prstGeom>
                    <a:noFill/>
                    <a:ln w="38100">
                      <a:solidFill>
                        <a:schemeClr val="accent2"/>
                      </a:solidFill>
                      <a:headEnd/>
                      <a:tailEnd/>
                    </a:ln>
                  </pic:spPr>
                </pic:pic>
              </a:graphicData>
            </a:graphic>
          </wp:inline>
        </w:drawing>
      </w:r>
    </w:p>
    <w:p w14:paraId="469AB972" w14:textId="59867304" w:rsidR="00396CC4" w:rsidRPr="00CE06F0" w:rsidRDefault="00396CC4" w:rsidP="00F04079">
      <w:pPr>
        <w:pStyle w:val="Petit"/>
        <w:rPr>
          <w:rStyle w:val="kursiv"/>
        </w:rPr>
      </w:pPr>
      <w:r w:rsidRPr="00CE06F0">
        <w:rPr>
          <w:rStyle w:val="kursiv"/>
        </w:rPr>
        <w:t>Kilde: KUHR og FLO</w:t>
      </w:r>
    </w:p>
    <w:p w14:paraId="5022502A" w14:textId="162FA826" w:rsidR="00DB0C3B" w:rsidRDefault="00302C4F" w:rsidP="008F5AD8">
      <w:pPr>
        <w:rPr>
          <w:noProof/>
        </w:rPr>
      </w:pPr>
      <w:r>
        <w:rPr>
          <w:noProof/>
        </w:rPr>
        <w:drawing>
          <wp:inline distT="0" distB="0" distL="0" distR="0" wp14:anchorId="3D527A52" wp14:editId="5C11AE13">
            <wp:extent cx="6119495" cy="3334492"/>
            <wp:effectExtent l="38100" t="38100" r="33655" b="37465"/>
            <wp:docPr id="1348" name="Picture 1348"/>
            <wp:cNvGraphicFramePr/>
            <a:graphic xmlns:a="http://schemas.openxmlformats.org/drawingml/2006/main">
              <a:graphicData uri="http://schemas.openxmlformats.org/drawingml/2006/picture">
                <pic:pic xmlns:pic="http://schemas.openxmlformats.org/drawingml/2006/picture">
                  <pic:nvPicPr>
                    <pic:cNvPr id="63" name="Picture" descr="utkast_fl_rapport_files/figure-docx/unnamed-chunk-13-1.png"/>
                    <pic:cNvPicPr>
                      <a:picLocks noChangeAspect="1" noChangeArrowheads="1"/>
                    </pic:cNvPicPr>
                  </pic:nvPicPr>
                  <pic:blipFill>
                    <a:blip r:embed="rId76"/>
                    <a:stretch>
                      <a:fillRect/>
                    </a:stretch>
                  </pic:blipFill>
                  <pic:spPr bwMode="auto">
                    <a:xfrm>
                      <a:off x="0" y="0"/>
                      <a:ext cx="6120857" cy="3335234"/>
                    </a:xfrm>
                    <a:prstGeom prst="rect">
                      <a:avLst/>
                    </a:prstGeom>
                    <a:noFill/>
                    <a:ln w="38100">
                      <a:solidFill>
                        <a:schemeClr val="accent2"/>
                      </a:solidFill>
                      <a:headEnd/>
                      <a:tailEnd/>
                    </a:ln>
                  </pic:spPr>
                </pic:pic>
              </a:graphicData>
            </a:graphic>
          </wp:inline>
        </w:drawing>
      </w:r>
    </w:p>
    <w:p w14:paraId="1DA7AC50" w14:textId="77777777" w:rsidR="00AD2C6D" w:rsidRPr="00CE06F0" w:rsidRDefault="00AD2C6D" w:rsidP="008F5AD8">
      <w:pPr>
        <w:pStyle w:val="Petit"/>
        <w:rPr>
          <w:rStyle w:val="kursiv"/>
        </w:rPr>
      </w:pPr>
      <w:r w:rsidRPr="00CE06F0">
        <w:rPr>
          <w:rStyle w:val="kursiv"/>
        </w:rPr>
        <w:t>Kilde: KUHR og FLO</w:t>
      </w:r>
    </w:p>
    <w:p w14:paraId="691DA9DA" w14:textId="35214C88" w:rsidR="00D9107F" w:rsidRDefault="001325D1" w:rsidP="006B0AE5">
      <w:pPr>
        <w:jc w:val="both"/>
      </w:pPr>
      <w:r w:rsidRPr="000C4928">
        <w:t xml:space="preserve">Basert på refusjonstall fra Helfo skrev fastlegene ut ca. 3,87 millioner </w:t>
      </w:r>
      <w:r w:rsidR="0074048E" w:rsidRPr="000C4928">
        <w:t>sykmelding</w:t>
      </w:r>
      <w:r w:rsidR="0074048E">
        <w:t>er</w:t>
      </w:r>
      <w:r w:rsidRPr="000C4928">
        <w:t xml:space="preserve"> i 2022 </w:t>
      </w:r>
      <w:r w:rsidR="001B3E5F">
        <w:fldChar w:fldCharType="begin"/>
      </w:r>
      <w:r w:rsidR="001F5F05">
        <w:instrText xml:space="preserve"> ADDIN EN.CITE &lt;EndNote&gt;&lt;Cite&gt;&lt;Author&gt;Helsedirektoratet&lt;/Author&gt;&lt;Year&gt;[s.a.]&lt;/Year&gt;&lt;RecNum&gt;325&lt;/RecNum&gt;&lt;DisplayText&gt;(Helsedirektoratet, [s.a.]-b)&lt;/DisplayText&gt;&lt;record&gt;&lt;rec-number&gt;325&lt;/rec-number&gt;&lt;foreign-keys&gt;&lt;key app="EN" db-id="95tpr2tp6r9xwoea9rb5wdsz5ds5xeddteew" timestamp="1680069511"&gt;325&lt;/key&gt;&lt;/foreign-keys&gt;&lt;ref-type name="Web Page"&gt;12&lt;/ref-type&gt;&lt;contributors&gt;&lt;authors&gt;&lt;author&gt;Helsedirektoratet&lt;/author&gt;&lt;/authors&gt;&lt;/contributors&gt;&lt;titles&gt;&lt;title&gt;Helserefusjonsdata&lt;/title&gt;&lt;/titles&gt;&lt;dates&gt;&lt;year&gt;[s.a.]&lt;/year&gt;&lt;/dates&gt;&lt;pub-location&gt;Oslo&lt;/pub-location&gt;&lt;publisher&gt;Helsedirektoratet&lt;/publisher&gt;&lt;work-type&gt;nettdokument&lt;/work-type&gt;&lt;urls&gt;&lt;related-urls&gt;&lt;url&gt;https://opne-data.helserefusjon.no/&lt;/url&gt;&lt;/related-urls&gt;&lt;/urls&gt;&lt;/record&gt;&lt;/Cite&gt;&lt;/EndNote&gt;</w:instrText>
      </w:r>
      <w:r w:rsidR="001B3E5F">
        <w:fldChar w:fldCharType="separate"/>
      </w:r>
      <w:r w:rsidR="001F5F05">
        <w:rPr>
          <w:noProof/>
        </w:rPr>
        <w:t>(Helsedirektoratet, [s.a.]-b)</w:t>
      </w:r>
      <w:r w:rsidR="001B3E5F">
        <w:fldChar w:fldCharType="end"/>
      </w:r>
      <w:r w:rsidRPr="000C4928">
        <w:t>. Dette tilsvarer en økning på over en million sykmeldinger sammenliknet med 2006.</w:t>
      </w:r>
      <w:r>
        <w:t xml:space="preserve"> </w:t>
      </w:r>
      <w:r w:rsidR="7E0FA619">
        <w:t>T</w:t>
      </w:r>
      <w:r w:rsidR="78FD9F96" w:rsidRPr="00700B70">
        <w:t xml:space="preserve">otalt </w:t>
      </w:r>
      <w:r w:rsidR="7E0FA619">
        <w:t xml:space="preserve">antall </w:t>
      </w:r>
      <w:r w:rsidR="78FD9F96" w:rsidRPr="00700B70">
        <w:t>registre</w:t>
      </w:r>
      <w:r w:rsidR="7E0FA619">
        <w:t>r</w:t>
      </w:r>
      <w:r w:rsidR="00BB607C">
        <w:t>t</w:t>
      </w:r>
      <w:r w:rsidR="7E0FA619">
        <w:t xml:space="preserve">e </w:t>
      </w:r>
      <w:r w:rsidR="0567F4BE">
        <w:t>fastlege</w:t>
      </w:r>
      <w:r w:rsidR="7E0FA619">
        <w:t>konsultasjoner</w:t>
      </w:r>
      <w:r w:rsidR="4AFA8445" w:rsidRPr="00700B70">
        <w:t xml:space="preserve"> gjennom Helfo </w:t>
      </w:r>
      <w:r w:rsidR="054DE4F0">
        <w:t>var</w:t>
      </w:r>
      <w:r w:rsidR="00BB607C">
        <w:t xml:space="preserve"> i </w:t>
      </w:r>
      <w:r w:rsidR="00BB607C">
        <w:lastRenderedPageBreak/>
        <w:t>2022</w:t>
      </w:r>
      <w:r w:rsidR="78FD9F96" w:rsidRPr="00700B70" w:rsidDel="00BB607C">
        <w:t xml:space="preserve"> </w:t>
      </w:r>
      <w:r w:rsidR="006274CA">
        <w:t xml:space="preserve">ca. </w:t>
      </w:r>
      <w:r w:rsidR="4AFA8445" w:rsidRPr="00700B70">
        <w:t>16,</w:t>
      </w:r>
      <w:r w:rsidR="64486ED9" w:rsidRPr="00700B70">
        <w:t>9</w:t>
      </w:r>
      <w:r w:rsidR="4AFA8445" w:rsidRPr="00700B70">
        <w:t xml:space="preserve"> </w:t>
      </w:r>
      <w:r w:rsidR="5DC615A0" w:rsidRPr="00700B70">
        <w:t>mill</w:t>
      </w:r>
      <w:r w:rsidR="06A109F1" w:rsidRPr="00700B70">
        <w:t>ioner</w:t>
      </w:r>
      <w:r w:rsidR="0567F4BE">
        <w:t xml:space="preserve">. </w:t>
      </w:r>
      <w:r w:rsidR="007313AA">
        <w:t>S</w:t>
      </w:r>
      <w:r w:rsidR="78FD9F96" w:rsidRPr="00700B70">
        <w:t>ykmelding</w:t>
      </w:r>
      <w:r w:rsidR="2988F615">
        <w:t>stakst</w:t>
      </w:r>
      <w:r w:rsidR="78FD9F96" w:rsidRPr="00700B70">
        <w:t xml:space="preserve"> </w:t>
      </w:r>
      <w:r w:rsidR="007313AA">
        <w:t>ble</w:t>
      </w:r>
      <w:r w:rsidR="00060977">
        <w:t xml:space="preserve">, basert på dette, </w:t>
      </w:r>
      <w:r w:rsidR="007313AA">
        <w:t xml:space="preserve">benyttet ved </w:t>
      </w:r>
      <w:r w:rsidR="4AFA8445" w:rsidRPr="00700B70">
        <w:t>i overkant av 20 prosent av konsultasjonene.</w:t>
      </w:r>
      <w:r w:rsidR="76F06F9B" w:rsidRPr="00D9107F">
        <w:rPr>
          <w:rStyle w:val="Fotnotereferanse"/>
        </w:rPr>
        <w:footnoteReference w:id="41"/>
      </w:r>
      <w:r w:rsidR="00D9107F" w:rsidRPr="00D9107F">
        <w:rPr>
          <w:rStyle w:val="skrift-hevet"/>
        </w:rPr>
        <w:t xml:space="preserve"> </w:t>
      </w:r>
      <w:r w:rsidR="68A1E9ED" w:rsidRPr="00700B70">
        <w:t>Selv om talle</w:t>
      </w:r>
      <w:r w:rsidR="00EB2381">
        <w:t>ne</w:t>
      </w:r>
      <w:r w:rsidR="007313AA">
        <w:t xml:space="preserve"> er omtrentlig og </w:t>
      </w:r>
      <w:r w:rsidR="68A1E9ED" w:rsidRPr="00700B70">
        <w:t>beheftet med usikkerhet, viser de</w:t>
      </w:r>
      <w:r w:rsidR="007313AA">
        <w:t>tte</w:t>
      </w:r>
      <w:r w:rsidR="68A1E9ED" w:rsidRPr="00700B70">
        <w:t xml:space="preserve"> at fastlegens tidsbruk knyttet til arbeid med sykeattester utgjør en betydelig del av legens arbeidshverdag.</w:t>
      </w:r>
    </w:p>
    <w:p w14:paraId="089E44F9" w14:textId="5E7BC996" w:rsidR="00E00458" w:rsidRPr="00D9107F" w:rsidRDefault="00D31636" w:rsidP="00E30AE6">
      <w:pPr>
        <w:pStyle w:val="tittel-ramme"/>
        <w:jc w:val="left"/>
        <w:rPr>
          <w:rStyle w:val="kursiv"/>
        </w:rPr>
      </w:pPr>
      <w:r w:rsidRPr="00D9107F">
        <w:rPr>
          <w:rStyle w:val="kursiv"/>
        </w:rPr>
        <w:t>Mulige kostnader og tidsbruk ved kortidsfravær</w:t>
      </w:r>
    </w:p>
    <w:tbl>
      <w:tblPr>
        <w:tblStyle w:val="StandardBoks"/>
        <w:tblW w:w="0" w:type="auto"/>
        <w:tblLook w:val="04A0" w:firstRow="1" w:lastRow="0" w:firstColumn="1" w:lastColumn="0" w:noHBand="0" w:noVBand="1"/>
      </w:tblPr>
      <w:tblGrid>
        <w:gridCol w:w="9736"/>
      </w:tblGrid>
      <w:tr w:rsidR="00E30AE6" w14:paraId="44718E61" w14:textId="77777777" w:rsidTr="00E30AE6">
        <w:tc>
          <w:tcPr>
            <w:tcW w:w="9736" w:type="dxa"/>
          </w:tcPr>
          <w:p w14:paraId="0E51C737" w14:textId="231D72A9" w:rsidR="00E30AE6" w:rsidRPr="007F6A56" w:rsidRDefault="00E30AE6" w:rsidP="00E30AE6">
            <w:pPr>
              <w:rPr>
                <w:rFonts w:eastAsia="Calibri"/>
              </w:rPr>
            </w:pPr>
            <w:r w:rsidRPr="007F6A56">
              <w:rPr>
                <w:rFonts w:eastAsia="Calibri"/>
              </w:rPr>
              <w:t>Tall fra NAV viser at drøyt 60 prosent av det legemeldte fraværet har en varighet på under 16 dager. Gitt at antall sykmeldinger i 2022, skrives det ut rundt 2,3 millioner sykmeldinger for korttidsfravær per år.</w:t>
            </w:r>
          </w:p>
          <w:p w14:paraId="256F1CDE" w14:textId="77777777" w:rsidR="00E30AE6" w:rsidRPr="007F6A56" w:rsidRDefault="00E30AE6" w:rsidP="00E30AE6">
            <w:pPr>
              <w:rPr>
                <w:rFonts w:eastAsia="Calibri"/>
              </w:rPr>
            </w:pPr>
            <w:r w:rsidRPr="007F6A56">
              <w:rPr>
                <w:rFonts w:eastAsia="Calibri"/>
              </w:rPr>
              <w:t>Hvor mye av korttidsfraværet som skyldes tilstander hvor pasienten har helsemessig nytte av konsultasjon med fastlegen, er usikkert. Dersom vi antar at ca. halvparten av konsultasjonene er relatert til selvhelbredende tilstander som ikke krever liten diagnostikk og behandling av lege, vil det utgjøre omtrent 1,2 millioner konsultasjoner per år.</w:t>
            </w:r>
          </w:p>
          <w:p w14:paraId="1EF9203A" w14:textId="77777777" w:rsidR="00E30AE6" w:rsidRPr="007F6A56" w:rsidRDefault="00E30AE6" w:rsidP="00E30AE6">
            <w:pPr>
              <w:rPr>
                <w:rFonts w:eastAsia="Calibri"/>
              </w:rPr>
            </w:pPr>
            <w:r w:rsidRPr="007F6A56">
              <w:rPr>
                <w:rFonts w:eastAsia="Calibri"/>
              </w:rPr>
              <w:t xml:space="preserve">Ifølge undersøkelser gjort av FHI, har fastlegene mellom 15 og 16 konsultasjoner (median) per arbeidsdag. (se Utfordringsbildet, </w:t>
            </w:r>
            <w:r w:rsidRPr="007F6A56">
              <w:rPr>
                <w:rFonts w:eastAsia="Calibri"/>
                <w:bCs/>
              </w:rPr>
              <w:t xml:space="preserve">avsnitt </w:t>
            </w:r>
            <w:r w:rsidRPr="007F6A56">
              <w:rPr>
                <w:rFonts w:eastAsia="Calibri"/>
              </w:rPr>
              <w:t>2.3.4</w:t>
            </w:r>
            <w:r w:rsidRPr="007F6A56">
              <w:rPr>
                <w:rFonts w:eastAsia="Calibri"/>
                <w:bCs/>
              </w:rPr>
              <w:t>.3</w:t>
            </w:r>
            <w:r w:rsidRPr="007F6A56">
              <w:rPr>
                <w:rFonts w:eastAsia="Calibri"/>
              </w:rPr>
              <w:t>) Om vi antar at en fastlege i snitt har ca</w:t>
            </w:r>
            <w:r w:rsidRPr="007F6A56">
              <w:rPr>
                <w:rFonts w:eastAsia="Calibri"/>
                <w:bCs/>
              </w:rPr>
              <w:t>.</w:t>
            </w:r>
            <w:r w:rsidRPr="007F6A56">
              <w:rPr>
                <w:rFonts w:eastAsia="Calibri"/>
              </w:rPr>
              <w:t xml:space="preserve"> 16 konsultasjoner hver dag vil 1,2 millioner </w:t>
            </w:r>
            <w:r w:rsidRPr="007F6A56">
              <w:rPr>
                <w:rFonts w:eastAsia="Calibri"/>
                <w:bCs/>
              </w:rPr>
              <w:t>sykmeldingskonsultasjoner</w:t>
            </w:r>
            <w:r w:rsidRPr="007F6A56">
              <w:rPr>
                <w:rFonts w:eastAsia="Calibri"/>
              </w:rPr>
              <w:t xml:space="preserve"> utgjøre i overkant av 300 årsverk.</w:t>
            </w:r>
          </w:p>
          <w:p w14:paraId="5104E928" w14:textId="3BC47C8F" w:rsidR="00E30AE6" w:rsidRPr="00E30AE6" w:rsidRDefault="00E30AE6" w:rsidP="00E30AE6">
            <w:pPr>
              <w:rPr>
                <w:caps/>
              </w:rPr>
            </w:pPr>
            <w:r w:rsidRPr="007F6A56">
              <w:rPr>
                <w:rFonts w:eastAsia="Calibri"/>
              </w:rPr>
              <w:t>Et forsiktig anslag for gjennomsnittlig tidsbruk per konsultasjon er 12 minutter. (Jf. FHI's beregning av gjennomsnittlig konsultasjonstid på 14</w:t>
            </w:r>
            <w:r w:rsidRPr="007F6A56">
              <w:rPr>
                <w:rFonts w:eastAsia="Calibri"/>
                <w:bCs/>
              </w:rPr>
              <w:t>-</w:t>
            </w:r>
            <w:r w:rsidRPr="007F6A56">
              <w:rPr>
                <w:rFonts w:eastAsia="Calibri"/>
              </w:rPr>
              <w:t>18 minutter for fysisk konsultasjon og 9 minutter for e-konsultasjon). Gitt dette, og forutsetningene over, vil sykmeldingsarbeid for selvhelbredende tilstander utgjøre</w:t>
            </w:r>
            <w:r w:rsidRPr="007F6A56">
              <w:rPr>
                <w:rFonts w:eastAsia="Calibri"/>
                <w:bCs/>
              </w:rPr>
              <w:t>omtrent 240 000 arbeidstimer, eller over 130 fastlegeårsverk.</w:t>
            </w:r>
          </w:p>
        </w:tc>
      </w:tr>
    </w:tbl>
    <w:p w14:paraId="46663343" w14:textId="235A8766" w:rsidR="00D9107F" w:rsidRDefault="00F66AE4" w:rsidP="00337F98">
      <w:pPr>
        <w:jc w:val="both"/>
        <w:rPr>
          <w:rFonts w:ascii="Calibri" w:eastAsia="Calibri" w:hAnsi="Calibri" w:cs="Calibri"/>
          <w:color w:val="222222"/>
          <w:sz w:val="20"/>
          <w:szCs w:val="20"/>
        </w:rPr>
      </w:pPr>
      <w:r>
        <w:t>Fastlegene bruker også tid på arbeid med attester for arbeidsavklaring og uføretrygd. Ved utgangen av september 2022 mottok 13</w:t>
      </w:r>
      <w:r w:rsidR="00D9107F">
        <w:t>7 400</w:t>
      </w:r>
      <w:r>
        <w:t xml:space="preserve"> personer AAP og det var registrert 36</w:t>
      </w:r>
      <w:r w:rsidR="00D9107F">
        <w:t>2 500</w:t>
      </w:r>
      <w:r>
        <w:t xml:space="preserve"> mottakere av uføretrygd</w:t>
      </w:r>
      <w:r w:rsidR="598918F0">
        <w:t xml:space="preserve"> </w:t>
      </w:r>
      <w:r w:rsidR="00FD2027">
        <w:fldChar w:fldCharType="begin"/>
      </w:r>
      <w:r w:rsidR="00A27571">
        <w:instrText xml:space="preserve"> ADDIN EN.CITE &lt;EndNote&gt;&lt;Cite&gt;&lt;Author&gt;NAV&lt;/Author&gt;&lt;Year&gt;2023&lt;/Year&gt;&lt;RecNum&gt;251&lt;/RecNum&gt;&lt;DisplayText&gt;(NAV, 2023b)&lt;/DisplayText&gt;&lt;record&gt;&lt;rec-number&gt;251&lt;/rec-number&gt;&lt;foreign-keys&gt;&lt;key app="EN" db-id="95tpr2tp6r9xwoea9rb5wdsz5ds5xeddteew" timestamp="1680069511"&gt;251&lt;/key&gt;&lt;/foreign-keys&gt;&lt;ref-type name="Web Page"&gt;12&lt;/ref-type&gt;&lt;contributors&gt;&lt;authors&gt;&lt;author&gt;NAV&lt;/author&gt;&lt;/authors&gt;&lt;/contributors&gt;&lt;titles&gt;&lt;title&gt;Flere uføretrygdede i 2022&lt;/title&gt;&lt;/titles&gt;&lt;number&gt;21.03.23&lt;/number&gt;&lt;dates&gt;&lt;year&gt;2023&lt;/year&gt;&lt;pub-dates&gt;&lt;date&gt;10. februar 2023&lt;/date&gt;&lt;/pub-dates&gt;&lt;/dates&gt;&lt;publisher&gt;NAV&lt;/publisher&gt;&lt;work-type&gt;nettdokument&lt;/work-type&gt;&lt;urls&gt;&lt;/urls&gt;&lt;/record&gt;&lt;/Cite&gt;&lt;/EndNote&gt;</w:instrText>
      </w:r>
      <w:r w:rsidR="00FD2027">
        <w:fldChar w:fldCharType="separate"/>
      </w:r>
      <w:r w:rsidR="00FD2027">
        <w:rPr>
          <w:noProof/>
        </w:rPr>
        <w:t>(NAV, 2023b)</w:t>
      </w:r>
      <w:r w:rsidR="00FD2027">
        <w:fldChar w:fldCharType="end"/>
      </w:r>
      <w:r w:rsidR="06F8BCA2">
        <w:t>.</w:t>
      </w:r>
      <w:r>
        <w:t xml:space="preserve"> Antallet uføretrygdede utgjør 10,4 prosent av befolkningen i alderen 18 til 67 år. Basert på et omfang på i overkant av 12</w:t>
      </w:r>
      <w:r w:rsidR="00D9107F">
        <w:t>0 000</w:t>
      </w:r>
      <w:r>
        <w:t xml:space="preserve"> attester på dette området per år, og med et anslått tidsbruk på 40 minutter per attest, kan samlet arbeidsmengde for ett år estimeres til ca. 40-50 fastlegeårsverk</w:t>
      </w:r>
      <w:r w:rsidR="00D41438">
        <w:t>.</w:t>
      </w:r>
      <w:r w:rsidRPr="00D9107F">
        <w:rPr>
          <w:rStyle w:val="Fotnotereferanse"/>
          <w:rFonts w:eastAsia="Calibri"/>
        </w:rPr>
        <w:footnoteReference w:id="42"/>
      </w:r>
    </w:p>
    <w:p w14:paraId="6DB2E5D0" w14:textId="320A0B74" w:rsidR="00903A52" w:rsidRDefault="008C4460" w:rsidP="00775632">
      <w:pPr>
        <w:pStyle w:val="Overskrift2"/>
      </w:pPr>
      <w:bookmarkStart w:id="3895" w:name="_Toc130763870"/>
      <w:bookmarkStart w:id="3896" w:name="_Toc130766765"/>
      <w:bookmarkStart w:id="3897" w:name="_Toc130932166"/>
      <w:bookmarkStart w:id="3898" w:name="_Toc130934457"/>
      <w:bookmarkStart w:id="3899" w:name="_Toc130983586"/>
      <w:bookmarkStart w:id="3900" w:name="_Toc130983935"/>
      <w:bookmarkStart w:id="3901" w:name="_Toc131062211"/>
      <w:bookmarkStart w:id="3902" w:name="_Toc131062465"/>
      <w:bookmarkStart w:id="3903" w:name="_Toc131062726"/>
      <w:bookmarkStart w:id="3904" w:name="_Toc131062979"/>
      <w:bookmarkStart w:id="3905" w:name="_Toc131063762"/>
      <w:bookmarkStart w:id="3906" w:name="_Toc131064172"/>
      <w:bookmarkStart w:id="3907" w:name="_Toc131238522"/>
      <w:bookmarkStart w:id="3908" w:name="_Toc131279553"/>
      <w:bookmarkStart w:id="3909" w:name="_Toc131286965"/>
      <w:bookmarkStart w:id="3910" w:name="_Toc131281375"/>
      <w:bookmarkStart w:id="3911" w:name="_Toc131317915"/>
      <w:bookmarkStart w:id="3912" w:name="_Toc132537036"/>
      <w:r>
        <w:lastRenderedPageBreak/>
        <w:t>B</w:t>
      </w:r>
      <w:r w:rsidR="00437B37">
        <w:t xml:space="preserve">idrar </w:t>
      </w:r>
      <w:r w:rsidR="001D0C16">
        <w:t xml:space="preserve">fastlegene til å redusere </w:t>
      </w:r>
      <w:r w:rsidR="00903A52">
        <w:t>korttidsfraværet?</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03275919" w14:textId="79F1F316" w:rsidR="00423608" w:rsidRDefault="00903A52" w:rsidP="006B0AE5">
      <w:pPr>
        <w:jc w:val="both"/>
      </w:pPr>
      <w:r>
        <w:t xml:space="preserve">Det kan stilles spørsmål ved om </w:t>
      </w:r>
      <w:r w:rsidR="000A777D">
        <w:t>bruk av fastlegen</w:t>
      </w:r>
      <w:r w:rsidR="00042846">
        <w:t>e</w:t>
      </w:r>
      <w:r w:rsidR="000A777D">
        <w:t xml:space="preserve">s tid </w:t>
      </w:r>
      <w:r w:rsidR="00E778D4">
        <w:t xml:space="preserve">til </w:t>
      </w:r>
      <w:r>
        <w:t>sykmelding bidrar til at pasientene blir friskere og får bedre arbeidsevne</w:t>
      </w:r>
      <w:r w:rsidR="00FE337B">
        <w:t>.</w:t>
      </w:r>
      <w:r w:rsidR="00F329E4">
        <w:t xml:space="preserve"> </w:t>
      </w:r>
      <w:r w:rsidR="00C2116D">
        <w:t>Vi vet at m</w:t>
      </w:r>
      <w:r>
        <w:t xml:space="preserve">ange </w:t>
      </w:r>
      <w:r w:rsidR="005C2D1C">
        <w:t xml:space="preserve">ufarlige og </w:t>
      </w:r>
      <w:r w:rsidR="00E80680">
        <w:t xml:space="preserve">ukompliserte </w:t>
      </w:r>
      <w:r>
        <w:t>tilstander</w:t>
      </w:r>
      <w:r w:rsidR="00C2116D">
        <w:t xml:space="preserve"> </w:t>
      </w:r>
      <w:r w:rsidR="00D750E1">
        <w:t xml:space="preserve">ofte </w:t>
      </w:r>
      <w:r>
        <w:t>går over av seg selv i</w:t>
      </w:r>
      <w:r w:rsidR="00F329E4">
        <w:t xml:space="preserve"> løpet av </w:t>
      </w:r>
      <w:r w:rsidR="00D750E1">
        <w:t>kort tid.</w:t>
      </w:r>
    </w:p>
    <w:p w14:paraId="5BE335D8" w14:textId="77777777" w:rsidR="00D9107F" w:rsidRDefault="004C5B4E" w:rsidP="006B0AE5">
      <w:pPr>
        <w:jc w:val="both"/>
      </w:pPr>
      <w:r>
        <w:t>Undersøkelser kan tyde på at pasienter som oppsøker fastlege for sykmelding av korttidsfravær, ikke alltid har helsemessig nytte av konsultasjon med legen, og at dette kan bidra til økt sykdomsfokus og unødvendig utredning. Helseundersøkelser av friske mennesker for å lete etter sykdom eller risikofaktorer, kan generere diagnoser og kostnader uten å bedre helsen</w:t>
      </w:r>
      <w:r w:rsidR="003005E1">
        <w:t xml:space="preserve"> </w:t>
      </w:r>
      <w:r w:rsidR="00FD2027">
        <w:fldChar w:fldCharType="begin"/>
      </w:r>
      <w:r w:rsidR="00694E6D">
        <w:instrText xml:space="preserve"> ADDIN EN.CITE &lt;EndNote&gt;&lt;Cite&gt;&lt;Author&gt;Den Norske Legeforening&lt;/Author&gt;&lt;Year&gt;2021&lt;/Year&gt;&lt;RecNum&gt;842&lt;/RecNum&gt;&lt;DisplayText&gt;(Den Norske Legeforening, 2021)&lt;/DisplayText&gt;&lt;record&gt;&lt;rec-number&gt;842&lt;/rec-number&gt;&lt;foreign-keys&gt;&lt;key app="EN" db-id="95tpr2tp6r9xwoea9rb5wdsz5ds5xeddteew" timestamp="1680069511"&gt;842&lt;/key&gt;&lt;/foreign-keys&gt;&lt;ref-type name="Web Page"&gt;12&lt;/ref-type&gt;&lt;contributors&gt;&lt;authors&gt;&lt;author&gt;Den Norske Legeforening,&lt;/author&gt;&lt;/authors&gt;&lt;/contributors&gt;&lt;titles&gt;&lt;title&gt;Unngå å oppfordre friske mennesker til regelmessig helseundersøkelse uten symptomer eller kjent risikotilstand&lt;/title&gt;&lt;/titles&gt;&lt;number&gt;11.03.2023&lt;/number&gt;&lt;dates&gt;&lt;year&gt;2021&lt;/year&gt;&lt;pub-dates&gt;&lt;date&gt;14.05.2021&lt;/date&gt;&lt;/pub-dates&gt;&lt;/dates&gt;&lt;pub-location&gt;Oslo&lt;/pub-location&gt;&lt;publisher&gt;Norsk forening for allmennmedisin&lt;/publisher&gt;&lt;work-type&gt;nettdokument&lt;/work-type&gt;&lt;urls&gt;&lt;/urls&gt;&lt;/record&gt;&lt;/Cite&gt;&lt;/EndNote&gt;</w:instrText>
      </w:r>
      <w:r w:rsidR="00FD2027">
        <w:fldChar w:fldCharType="separate"/>
      </w:r>
      <w:r w:rsidR="00FD2027">
        <w:rPr>
          <w:noProof/>
        </w:rPr>
        <w:t>(Den Norske Legeforening, 2021)</w:t>
      </w:r>
      <w:r w:rsidR="00FD2027">
        <w:fldChar w:fldCharType="end"/>
      </w:r>
      <w:r>
        <w:t>.</w:t>
      </w:r>
    </w:p>
    <w:p w14:paraId="4E0091DD" w14:textId="29D14224" w:rsidR="004C5B4E" w:rsidRDefault="004C5B4E" w:rsidP="006B0AE5">
      <w:pPr>
        <w:jc w:val="both"/>
      </w:pPr>
      <w:r>
        <w:t xml:space="preserve">En undersøkelse som studerte tre ulike behandlingsregimer ved akutte ryggsmerter, fant at de som ikke ble sykmeldt hadde størst bedring </w:t>
      </w:r>
      <w:r w:rsidR="001B3E5F">
        <w:fldChar w:fldCharType="begin">
          <w:fldData xml:space="preserve">PEVuZE5vdGU+PENpdGU+PEF1dGhvcj5NYWxtaXZhYXJhPC9BdXRob3I+PFllYXI+MTk5NTwvWWVh
cj48UmVjTnVtPjgzNDwvUmVjTnVtPjxEaXNwbGF5VGV4dD4oTWFsbWl2YWFyYSBldCBhbC4sIDE5
OTUpPC9EaXNwbGF5VGV4dD48cmVjb3JkPjxyZWMtbnVtYmVyPjgzNDwvcmVjLW51bWJlcj48Zm9y
ZWlnbi1rZXlzPjxrZXkgYXBwPSJFTiIgZGItaWQ9Ijk1dHByMnRwNnI5eHdvZWE5cmI1d2RzejVk
czV4ZWRkdGVldyIgdGltZXN0YW1wPSIxNjgwMDY5NTExIj44MzQ8L2tleT48L2ZvcmVpZ24ta2V5
cz48cmVmLXR5cGUgbmFtZT0iSm91cm5hbCBBcnRpY2xlIj4xNzwvcmVmLXR5cGU+PGNvbnRyaWJ1
dG9ycz48YXV0aG9ycz48YXV0aG9yPk1hbG1pdmFhcmEsIEEuPC9hdXRob3I+PGF1dGhvcj5IYWtr
aW5lbiwgVS48L2F1dGhvcj48YXV0aG9yPkFybywgVC48L2F1dGhvcj48YXV0aG9yPkhlaW5yaWNo
cywgTS4gTC48L2F1dGhvcj48YXV0aG9yPktvc2tlbm5pZW1pLCBMLjwvYXV0aG9yPjxhdXRob3I+
S3Vvc21hLCBFLjwvYXV0aG9yPjxhdXRob3I+TGFwcGksIFMuPC9hdXRob3I+PGF1dGhvcj5QYWxv
aGVpbW8sIFIuPC9hdXRob3I+PGF1dGhvcj5TZXJ2bywgQy48L2F1dGhvcj48YXV0aG9yPlZhYXJh
bmVuLCBWLjwvYXV0aG9yPjxhdXRob3I+ZXQgYWwuLDwvYXV0aG9yPjwvYXV0aG9ycz48L2NvbnRy
aWJ1dG9ycz48YXV0aC1hZGRyZXNzPk1hbG1pdmFhcmEsIEEuIERlcGFydG1lbnQgb2YgT2NjdXBh
dGlvbmFsIE1lZGljaW5lLCBGaW5uaXNoIEluc3RpdHV0ZSBvZiBPY2N1cGF0aW9uYWwgSGVhbHRo
LCBIZWxzaW5raS48L2F1dGgtYWRkcmVzcz48dGl0bGVzPjx0aXRsZT5UaGUgdHJlYXRtZW50IG9m
IGFjdXRlIGxvdyBiYWNrIHBhaW4tLWJlZCByZXN0LCBleGVyY2lzZXMsIG9yIG9yZGluYXJ5IGFj
dGl2aXR5PzwvdGl0bGU+PHNlY29uZGFyeS10aXRsZT5OZXcgRW5nbGFuZCBKb3VybmFsIG9mIE1l
ZGljaW5lPC9zZWNvbmRhcnktdGl0bGU+PGFsdC10aXRsZT5OIEVuZ2wgSiBNZWQ8L2FsdC10aXRs
ZT48L3RpdGxlcz48cGVyaW9kaWNhbD48ZnVsbC10aXRsZT5OZXcgRW5nbGFuZCBKb3VybmFsIG9m
IE1lZGljaW5lPC9mdWxsLXRpdGxlPjxhYmJyLTE+TiBFbmdsIEogTWVkPC9hYmJyLTE+PC9wZXJp
b2RpY2FsPjxhbHQtcGVyaW9kaWNhbD48ZnVsbC10aXRsZT5OZXcgRW5nbGFuZCBKb3VybmFsIG9m
IE1lZGljaW5lPC9mdWxsLXRpdGxlPjxhYmJyLTE+TiBFbmdsIEogTWVkPC9hYmJyLTE+PC9hbHQt
cGVyaW9kaWNhbD48cGFnZXM+MzUxLTU8L3BhZ2VzPjx2b2x1bWU+MzMyPC92b2x1bWU+PG51bWJl
cj42PC9udW1iZXI+PGtleXdvcmRzPjxrZXl3b3JkPipBY3Rpdml0aWVzIG9mIERhaWx5IExpdmlu
Zzwva2V5d29yZD48a2V5d29yZD5BY3V0ZSBEaXNlYXNlPC9rZXl3b3JkPjxrZXl3b3JkPkFkdWx0
PC9rZXl3b3JkPjxrZXl3b3JkPkJlZCBSZXN0L2VjIFtFY29ub21pY3NdPC9rZXl3b3JkPjxrZXl3
b3JkPipCZWQgUmVzdDwva2V5d29yZD48a2V5d29yZD5FeGVyY2lzZSBUaGVyYXB5L2VjIFtFY29u
b21pY3NdPC9rZXl3b3JkPjxrZXl3b3JkPipFeGVyY2lzZSBUaGVyYXB5PC9rZXl3b3JkPjxrZXl3
b3JkPkZlbWFsZTwva2V5d29yZD48a2V5d29yZD5Gb2xsb3ctVXAgU3R1ZGllczwva2V5d29yZD48
a2V5d29yZD5IZWFsdGggQ2FyZSBDb3N0czwva2V5d29yZD48a2V5d29yZD5IdW1hbnM8L2tleXdv
cmQ+PGtleXdvcmQ+TG93IEJhY2sgUGFpbi9lYyBbRWNvbm9taWNzXTwva2V5d29yZD48a2V5d29y
ZD4qTG93IEJhY2sgUGFpbi90aCBbVGhlcmFweV08L2tleXdvcmQ+PGtleXdvcmQ+TWFsZTwva2V5
d29yZD48a2V5d29yZD5QYXRpZW50IENvbXBsaWFuY2U8L2tleXdvcmQ+PGtleXdvcmQ+VHJlYXRt
ZW50IE91dGNvbWU8L2tleXdvcmQ+PC9rZXl3b3Jkcz48ZGF0ZXM+PHllYXI+MTk5NTwveWVhcj48
cHViLWRhdGVzPjxkYXRlPkZlYiAwOTwvZGF0ZT48L3B1Yi1kYXRlcz48L2RhdGVzPjxpc2JuPjAw
MjgtNDc5MzwvaXNibj48YWNjZXNzaW9uLW51bT43ODIzOTk2PC9hY2Nlc3Npb24tbnVtPjx3b3Jr
LXR5cGU+Q2xpbmljYWwgVHJpYWwmI3hEO1JhbmRvbWl6ZWQgQ29udHJvbGxlZCBUcmlhbDwvd29y
ay10eXBlPjx1cmxzPjxyZWxhdGVkLXVybHM+PHVybD5odHRwczovL292aWRzcC5vdmlkLmNvbS9v
dmlkd2ViLmNnaT9UPUpTJmFtcDtDU0M9WSZhbXA7TkVXUz1OJmFtcDtQQUdFPWZ1bGx0ZXh0JmFt
cDtEPW1lZDMmYW1wO0FOPTc4MjM5OTY8L3VybD48dXJsPmh0dHA6Ly9vcGVudXJsLmJpYnN5cy5u
by9vcGVudXJsP290b29sPWlub2lwaGxpYj9zaWQ9T1ZJRDptZWRsaW5lJmFtcDtpZD1wbWlkOjc4
MjM5OTYmYW1wO2lkPWRvaToxMC4xMDU2JTJGTkVKTTE5OTUwMjA5MzMyMDYwMiZhbXA7aXNzbj0w
MDI4LTQ3OTMmYW1wO2lzYm49JmFtcDt2b2x1bWU9MzMyJmFtcDtpc3N1ZT02JmFtcDtzcGFnZT0z
NTEmYW1wO3BhZ2VzPTM1MS01JmFtcDtkYXRlPTE5OTUmYW1wO3RpdGxlPU5ldytFbmdsYW5kK0pv
dXJuYWwrb2YrTWVkaWNpbmUmYW1wO2F0aXRsZT1UaGUrdHJlYXRtZW50K29mK2FjdXRlK2xvdyti
YWNrK3BhaW4tLWJlZCtyZXN0JTJDK2V4ZXJjaXNlcyUyQytvcitvcmRpbmFyeSthY3Rpdml0eSUz
Ri4mYW1wO2F1bGFzdD1NYWxtaXZhYXJhJmFtcDtwaWQ9JTNDYXV0aG9yJTNFTWFsbWl2YWFyYStB
JTNDJTJGYXV0aG9yJTNFJTNDQU4lM0U3ODIzOTk2JTNDJTJGQU4lM0UlM0NEVCUzRUNsaW5pY2Fs
K1RyaWFsJTNDJTJGRFQlM0U8L3VybD48L3JlbGF0ZWQtdXJscz48L3VybHM+PHJlbW90ZS1kYXRh
YmFzZS1uYW1lPk1FRExJTkU8L3JlbW90ZS1kYXRhYmFzZS1uYW1lPjxyZW1vdGUtZGF0YWJhc2Ut
cHJvdmlkZXI+T3ZpZCBUZWNobm9sb2dpZXM8L3JlbW90ZS1kYXRhYmFzZS1wcm92aWRlcj48bGFu
Z3VhZ2U+RW5nbGlzaDwvbGFuZ3VhZ2U+PC9yZWNvcmQ+PC9DaXRlPjwvRW5kTm90ZT4A
</w:fldData>
        </w:fldChar>
      </w:r>
      <w:r w:rsidR="00D078E3">
        <w:instrText xml:space="preserve"> ADDIN EN.CITE </w:instrText>
      </w:r>
      <w:r w:rsidR="00D078E3">
        <w:fldChar w:fldCharType="begin">
          <w:fldData xml:space="preserve">PEVuZE5vdGU+PENpdGU+PEF1dGhvcj5NYWxtaXZhYXJhPC9BdXRob3I+PFllYXI+MTk5NTwvWWVh
cj48UmVjTnVtPjgzNDwvUmVjTnVtPjxEaXNwbGF5VGV4dD4oTWFsbWl2YWFyYSBldCBhbC4sIDE5
OTUpPC9EaXNwbGF5VGV4dD48cmVjb3JkPjxyZWMtbnVtYmVyPjgzNDwvcmVjLW51bWJlcj48Zm9y
ZWlnbi1rZXlzPjxrZXkgYXBwPSJFTiIgZGItaWQ9Ijk1dHByMnRwNnI5eHdvZWE5cmI1d2RzejVk
czV4ZWRkdGVldyIgdGltZXN0YW1wPSIxNjgwMDY5NTExIj44MzQ8L2tleT48L2ZvcmVpZ24ta2V5
cz48cmVmLXR5cGUgbmFtZT0iSm91cm5hbCBBcnRpY2xlIj4xNzwvcmVmLXR5cGU+PGNvbnRyaWJ1
dG9ycz48YXV0aG9ycz48YXV0aG9yPk1hbG1pdmFhcmEsIEEuPC9hdXRob3I+PGF1dGhvcj5IYWtr
aW5lbiwgVS48L2F1dGhvcj48YXV0aG9yPkFybywgVC48L2F1dGhvcj48YXV0aG9yPkhlaW5yaWNo
cywgTS4gTC48L2F1dGhvcj48YXV0aG9yPktvc2tlbm5pZW1pLCBMLjwvYXV0aG9yPjxhdXRob3I+
S3Vvc21hLCBFLjwvYXV0aG9yPjxhdXRob3I+TGFwcGksIFMuPC9hdXRob3I+PGF1dGhvcj5QYWxv
aGVpbW8sIFIuPC9hdXRob3I+PGF1dGhvcj5TZXJ2bywgQy48L2F1dGhvcj48YXV0aG9yPlZhYXJh
bmVuLCBWLjwvYXV0aG9yPjxhdXRob3I+ZXQgYWwuLDwvYXV0aG9yPjwvYXV0aG9ycz48L2NvbnRy
aWJ1dG9ycz48YXV0aC1hZGRyZXNzPk1hbG1pdmFhcmEsIEEuIERlcGFydG1lbnQgb2YgT2NjdXBh
dGlvbmFsIE1lZGljaW5lLCBGaW5uaXNoIEluc3RpdHV0ZSBvZiBPY2N1cGF0aW9uYWwgSGVhbHRo
LCBIZWxzaW5raS48L2F1dGgtYWRkcmVzcz48dGl0bGVzPjx0aXRsZT5UaGUgdHJlYXRtZW50IG9m
IGFjdXRlIGxvdyBiYWNrIHBhaW4tLWJlZCByZXN0LCBleGVyY2lzZXMsIG9yIG9yZGluYXJ5IGFj
dGl2aXR5PzwvdGl0bGU+PHNlY29uZGFyeS10aXRsZT5OZXcgRW5nbGFuZCBKb3VybmFsIG9mIE1l
ZGljaW5lPC9zZWNvbmRhcnktdGl0bGU+PGFsdC10aXRsZT5OIEVuZ2wgSiBNZWQ8L2FsdC10aXRs
ZT48L3RpdGxlcz48cGVyaW9kaWNhbD48ZnVsbC10aXRsZT5OZXcgRW5nbGFuZCBKb3VybmFsIG9m
IE1lZGljaW5lPC9mdWxsLXRpdGxlPjxhYmJyLTE+TiBFbmdsIEogTWVkPC9hYmJyLTE+PC9wZXJp
b2RpY2FsPjxhbHQtcGVyaW9kaWNhbD48ZnVsbC10aXRsZT5OZXcgRW5nbGFuZCBKb3VybmFsIG9m
IE1lZGljaW5lPC9mdWxsLXRpdGxlPjxhYmJyLTE+TiBFbmdsIEogTWVkPC9hYmJyLTE+PC9hbHQt
cGVyaW9kaWNhbD48cGFnZXM+MzUxLTU8L3BhZ2VzPjx2b2x1bWU+MzMyPC92b2x1bWU+PG51bWJl
cj42PC9udW1iZXI+PGtleXdvcmRzPjxrZXl3b3JkPipBY3Rpdml0aWVzIG9mIERhaWx5IExpdmlu
Zzwva2V5d29yZD48a2V5d29yZD5BY3V0ZSBEaXNlYXNlPC9rZXl3b3JkPjxrZXl3b3JkPkFkdWx0
PC9rZXl3b3JkPjxrZXl3b3JkPkJlZCBSZXN0L2VjIFtFY29ub21pY3NdPC9rZXl3b3JkPjxrZXl3
b3JkPipCZWQgUmVzdDwva2V5d29yZD48a2V5d29yZD5FeGVyY2lzZSBUaGVyYXB5L2VjIFtFY29u
b21pY3NdPC9rZXl3b3JkPjxrZXl3b3JkPipFeGVyY2lzZSBUaGVyYXB5PC9rZXl3b3JkPjxrZXl3
b3JkPkZlbWFsZTwva2V5d29yZD48a2V5d29yZD5Gb2xsb3ctVXAgU3R1ZGllczwva2V5d29yZD48
a2V5d29yZD5IZWFsdGggQ2FyZSBDb3N0czwva2V5d29yZD48a2V5d29yZD5IdW1hbnM8L2tleXdv
cmQ+PGtleXdvcmQ+TG93IEJhY2sgUGFpbi9lYyBbRWNvbm9taWNzXTwva2V5d29yZD48a2V5d29y
ZD4qTG93IEJhY2sgUGFpbi90aCBbVGhlcmFweV08L2tleXdvcmQ+PGtleXdvcmQ+TWFsZTwva2V5
d29yZD48a2V5d29yZD5QYXRpZW50IENvbXBsaWFuY2U8L2tleXdvcmQ+PGtleXdvcmQ+VHJlYXRt
ZW50IE91dGNvbWU8L2tleXdvcmQ+PC9rZXl3b3Jkcz48ZGF0ZXM+PHllYXI+MTk5NTwveWVhcj48
cHViLWRhdGVzPjxkYXRlPkZlYiAwOTwvZGF0ZT48L3B1Yi1kYXRlcz48L2RhdGVzPjxpc2JuPjAw
MjgtNDc5MzwvaXNibj48YWNjZXNzaW9uLW51bT43ODIzOTk2PC9hY2Nlc3Npb24tbnVtPjx3b3Jr
LXR5cGU+Q2xpbmljYWwgVHJpYWwmI3hEO1JhbmRvbWl6ZWQgQ29udHJvbGxlZCBUcmlhbDwvd29y
ay10eXBlPjx1cmxzPjxyZWxhdGVkLXVybHM+PHVybD5odHRwczovL292aWRzcC5vdmlkLmNvbS9v
dmlkd2ViLmNnaT9UPUpTJmFtcDtDU0M9WSZhbXA7TkVXUz1OJmFtcDtQQUdFPWZ1bGx0ZXh0JmFt
cDtEPW1lZDMmYW1wO0FOPTc4MjM5OTY8L3VybD48dXJsPmh0dHA6Ly9vcGVudXJsLmJpYnN5cy5u
by9vcGVudXJsP290b29sPWlub2lwaGxpYj9zaWQ9T1ZJRDptZWRsaW5lJmFtcDtpZD1wbWlkOjc4
MjM5OTYmYW1wO2lkPWRvaToxMC4xMDU2JTJGTkVKTTE5OTUwMjA5MzMyMDYwMiZhbXA7aXNzbj0w
MDI4LTQ3OTMmYW1wO2lzYm49JmFtcDt2b2x1bWU9MzMyJmFtcDtpc3N1ZT02JmFtcDtzcGFnZT0z
NTEmYW1wO3BhZ2VzPTM1MS01JmFtcDtkYXRlPTE5OTUmYW1wO3RpdGxlPU5ldytFbmdsYW5kK0pv
dXJuYWwrb2YrTWVkaWNpbmUmYW1wO2F0aXRsZT1UaGUrdHJlYXRtZW50K29mK2FjdXRlK2xvdyti
YWNrK3BhaW4tLWJlZCtyZXN0JTJDK2V4ZXJjaXNlcyUyQytvcitvcmRpbmFyeSthY3Rpdml0eSUz
Ri4mYW1wO2F1bGFzdD1NYWxtaXZhYXJhJmFtcDtwaWQ9JTNDYXV0aG9yJTNFTWFsbWl2YWFyYStB
JTNDJTJGYXV0aG9yJTNFJTNDQU4lM0U3ODIzOTk2JTNDJTJGQU4lM0UlM0NEVCUzRUNsaW5pY2Fs
K1RyaWFsJTNDJTJGRFQlM0U8L3VybD48L3JlbGF0ZWQtdXJscz48L3VybHM+PHJlbW90ZS1kYXRh
YmFzZS1uYW1lPk1FRExJTkU8L3JlbW90ZS1kYXRhYmFzZS1uYW1lPjxyZW1vdGUtZGF0YWJhc2Ut
cHJvdmlkZXI+T3ZpZCBUZWNobm9sb2dpZXM8L3JlbW90ZS1kYXRhYmFzZS1wcm92aWRlcj48bGFu
Z3VhZ2U+RW5nbGlzaDwvbGFuZ3VhZ2U+PC9yZWNvcmQ+PC9DaXRlPjwvRW5kTm90ZT4A
</w:fldData>
        </w:fldChar>
      </w:r>
      <w:r w:rsidR="00D078E3">
        <w:instrText xml:space="preserve"> ADDIN EN.CITE.DATA </w:instrText>
      </w:r>
      <w:r w:rsidR="00D078E3">
        <w:fldChar w:fldCharType="end"/>
      </w:r>
      <w:r w:rsidR="001B3E5F">
        <w:fldChar w:fldCharType="separate"/>
      </w:r>
      <w:r w:rsidR="001B3E5F">
        <w:rPr>
          <w:noProof/>
        </w:rPr>
        <w:t>(Malmivaara et al., 1995)</w:t>
      </w:r>
      <w:r w:rsidR="001B3E5F">
        <w:fldChar w:fldCharType="end"/>
      </w:r>
      <w:r>
        <w:t xml:space="preserve">. For elever ved videregående skole som måtte oppsøke lege for fraværsattest, fant FHI i en undersøkelse fra 2017 en utilsiktet økning i medikamentforskrivning </w:t>
      </w:r>
      <w:r w:rsidR="001B3E5F">
        <w:fldChar w:fldCharType="begin"/>
      </w:r>
      <w:r w:rsidR="00D078E3">
        <w:instrText xml:space="preserve"> ADDIN EN.CITE &lt;EndNote&gt;&lt;Cite&gt;&lt;Author&gt;Bakken&lt;/Author&gt;&lt;Year&gt;2017&lt;/Year&gt;&lt;RecNum&gt;443&lt;/RecNum&gt;&lt;DisplayText&gt;(Bakken et al., 2017)&lt;/DisplayText&gt;&lt;record&gt;&lt;rec-number&gt;443&lt;/rec-number&gt;&lt;foreign-keys&gt;&lt;key app="EN" db-id="95tpr2tp6r9xwoea9rb5wdsz5ds5xeddteew" timestamp="1680069511"&gt;443&lt;/key&gt;&lt;/foreign-keys&gt;&lt;ref-type name="Journal Article"&gt;17&lt;/ref-type&gt;&lt;contributors&gt;&lt;authors&gt;&lt;author&gt;Bakken, Inger Johanne&lt;/author&gt;&lt;author&gt;Wensaas, Knut-Arne&lt;/author&gt;&lt;author&gt;Furu, Kari&lt;/author&gt;&lt;author&gt;Grøneng, Gry Marysol&lt;/author&gt;&lt;author&gt;Stoltenberg, Camilla&lt;/author&gt;&lt;author&gt;Øverland, Simon&lt;/author&gt;&lt;author&gt;Håberg, Siri Eldevik&lt;/author&gt;&lt;/authors&gt;&lt;/contributors&gt;&lt;titles&gt;&lt;title&gt;Legesøkning og legemiddeluttak etter innføring av nye fraværsregler&lt;/title&gt;&lt;secondary-title&gt;Tidsskrift for den Norske Lægeforening&lt;/secondary-title&gt;&lt;/titles&gt;&lt;dates&gt;&lt;year&gt;2017&lt;/year&gt;&lt;/dates&gt;&lt;isbn&gt;0029-2001&lt;/isbn&gt;&lt;urls&gt;&lt;/urls&gt;&lt;electronic-resource-num&gt;10.4045/tidsskr.17.0427&lt;/electronic-resource-num&gt;&lt;/record&gt;&lt;/Cite&gt;&lt;/EndNote&gt;</w:instrText>
      </w:r>
      <w:r w:rsidR="001B3E5F">
        <w:fldChar w:fldCharType="separate"/>
      </w:r>
      <w:r w:rsidR="001B3E5F">
        <w:rPr>
          <w:noProof/>
        </w:rPr>
        <w:t>(Bakken et al., 2017)</w:t>
      </w:r>
      <w:r w:rsidR="001B3E5F">
        <w:fldChar w:fldCharType="end"/>
      </w:r>
      <w:r w:rsidR="00E643E4">
        <w:t>.</w:t>
      </w:r>
      <w:r>
        <w:t xml:space="preserve"> Pasienter med kortvarige infeksjonssykdommer kan også bringe smitte inn på fastlegekontoret, med</w:t>
      </w:r>
      <w:r w:rsidR="0002152B">
        <w:t xml:space="preserve"> </w:t>
      </w:r>
      <w:r>
        <w:t>risiko for smitte til sårbare pasienter med underliggende eller kronisk sykdom.</w:t>
      </w:r>
    </w:p>
    <w:p w14:paraId="06E8BC48" w14:textId="76EAF2EC" w:rsidR="00510005" w:rsidRDefault="00903A52" w:rsidP="006B0AE5">
      <w:pPr>
        <w:jc w:val="both"/>
        <w:rPr>
          <w:rFonts w:ascii="Calibri" w:eastAsia="Calibri" w:hAnsi="Calibri" w:cs="Calibri"/>
        </w:rPr>
      </w:pPr>
      <w:r>
        <w:t xml:space="preserve">Motivasjon er tett knyttet til mestringstro og gjennomføringsevne på en arbeidsplass. Dette sammen med sosial støtte på arbeidsplassen er viktige faktorer for å komme tilbake i jobb etter sykefravær. Dersom disse faktorene er på plass, er sykefraværet generelt kortere </w:t>
      </w:r>
      <w:r w:rsidR="001B3E5F">
        <w:fldChar w:fldCharType="begin"/>
      </w:r>
      <w:r w:rsidR="004654FD">
        <w:instrText xml:space="preserve"> ADDIN EN.CITE &lt;EndNote&gt;&lt;Cite&gt;&lt;Author&gt;Bostjancic&lt;/Author&gt;&lt;Year&gt;2020&lt;/Year&gt;&lt;RecNum&gt;706&lt;/RecNum&gt;&lt;DisplayText&gt;(Bostjancic et al., 2020)&lt;/DisplayText&gt;&lt;record&gt;&lt;rec-number&gt;706&lt;/rec-number&gt;&lt;foreign-keys&gt;&lt;key app="EN" db-id="95tpr2tp6r9xwoea9rb5wdsz5ds5xeddteew" timestamp="1680069511"&gt;706&lt;/key&gt;&lt;/foreign-keys&gt;&lt;ref-type name="Journal Article"&gt;17&lt;/ref-type&gt;&lt;contributors&gt;&lt;authors&gt;&lt;author&gt;Bostjancic, E.,&lt;/author&gt;&lt;author&gt;Galic, K.&lt;/author&gt;&lt;/authors&gt;&lt;/contributors&gt;&lt;auth-address&gt;Bostjancic, Eva. Department of Psychology, Faculty of Arts, University of Ljubljana, Ljubljana, Slovenia.&amp;#xD;Galic, Kaja. Department of Psychology, Faculty of Arts, University of Ljubljana, Ljubljana, Slovenia.&lt;/auth-address&gt;&lt;titles&gt;&lt;title&gt;Returning to Work After Sick Leave - The Role of Work Demands and Resources, Self-Efficacy, and Social Support&lt;/title&gt;&lt;secondary-title&gt;Frontiers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661&lt;/pages&gt;&lt;volume&gt;11&lt;/volume&gt;&lt;dates&gt;&lt;year&gt;2020&lt;/year&gt;&lt;/dates&gt;&lt;isbn&gt;1664-1078&lt;/isbn&gt;&lt;accession-num&gt;32373021&lt;/accession-num&gt;&lt;urls&gt;&lt;/urls&gt;&lt;remote-database-name&gt;MEDLINE&lt;/remote-database-name&gt;&lt;remote-database-provider&gt;Ovid Technologies&lt;/remote-database-provider&gt;&lt;language&gt;English&lt;/language&gt;&lt;/record&gt;&lt;/Cite&gt;&lt;/EndNote&gt;</w:instrText>
      </w:r>
      <w:r w:rsidR="001B3E5F">
        <w:fldChar w:fldCharType="separate"/>
      </w:r>
      <w:r w:rsidR="004654FD">
        <w:rPr>
          <w:noProof/>
        </w:rPr>
        <w:t>(Bostjancic et al., 2020)</w:t>
      </w:r>
      <w:r w:rsidR="001B3E5F">
        <w:fldChar w:fldCharType="end"/>
      </w:r>
      <w:r w:rsidR="008D4815">
        <w:t>.</w:t>
      </w:r>
      <w:r>
        <w:t xml:space="preserve"> </w:t>
      </w:r>
      <w:r w:rsidR="00510005">
        <w:rPr>
          <w:rFonts w:ascii="Calibri" w:eastAsia="Calibri" w:hAnsi="Calibri" w:cs="Calibri"/>
        </w:rPr>
        <w:t>Flere studier peker på betydningen av at den</w:t>
      </w:r>
      <w:r w:rsidR="00510005" w:rsidRPr="1EBA9E78">
        <w:rPr>
          <w:rFonts w:ascii="Calibri" w:eastAsia="Calibri" w:hAnsi="Calibri" w:cs="Calibri"/>
        </w:rPr>
        <w:t xml:space="preserve"> ansatte har kontroll over egen arbeidssituasjon </w:t>
      </w:r>
      <w:r w:rsidR="00510005">
        <w:rPr>
          <w:rFonts w:ascii="Calibri" w:eastAsia="Calibri" w:hAnsi="Calibri" w:cs="Calibri"/>
        </w:rPr>
        <w:t xml:space="preserve">som </w:t>
      </w:r>
      <w:r w:rsidR="00510005" w:rsidRPr="1EBA9E78">
        <w:rPr>
          <w:rFonts w:ascii="Calibri" w:eastAsia="Calibri" w:hAnsi="Calibri" w:cs="Calibri"/>
        </w:rPr>
        <w:t xml:space="preserve">viktig for </w:t>
      </w:r>
      <w:r w:rsidR="00510005">
        <w:rPr>
          <w:rFonts w:ascii="Calibri" w:eastAsia="Calibri" w:hAnsi="Calibri" w:cs="Calibri"/>
        </w:rPr>
        <w:t xml:space="preserve">et lavt </w:t>
      </w:r>
      <w:r w:rsidR="00510005" w:rsidRPr="1EBA9E78">
        <w:rPr>
          <w:rFonts w:ascii="Calibri" w:eastAsia="Calibri" w:hAnsi="Calibri" w:cs="Calibri"/>
        </w:rPr>
        <w:t xml:space="preserve">sykefravær </w:t>
      </w:r>
      <w:r w:rsidR="001B3E5F">
        <w:rPr>
          <w:rFonts w:ascii="Calibri" w:eastAsia="Calibri" w:hAnsi="Calibri" w:cs="Calibri"/>
        </w:rPr>
        <w:fldChar w:fldCharType="begin"/>
      </w:r>
      <w:r w:rsidR="004654FD">
        <w:rPr>
          <w:rFonts w:ascii="Calibri" w:eastAsia="Calibri" w:hAnsi="Calibri" w:cs="Calibri"/>
        </w:rPr>
        <w:instrText xml:space="preserve"> ADDIN EN.CITE &lt;EndNote&gt;&lt;Cite&gt;&lt;Author&gt;Jakobsen&lt;/Author&gt;&lt;Year&gt;2016&lt;/Year&gt;&lt;RecNum&gt;284&lt;/RecNum&gt;&lt;DisplayText&gt;(Jakobsen, 2016)&lt;/DisplayText&gt;&lt;record&gt;&lt;rec-number&gt;284&lt;/rec-number&gt;&lt;foreign-keys&gt;&lt;key app="EN" db-id="95tpr2tp6r9xwoea9rb5wdsz5ds5xeddteew" timestamp="1680069511"&gt;284&lt;/key&gt;&lt;/foreign-keys&gt;&lt;ref-type name="Web Page"&gt;12&lt;/ref-type&gt;&lt;contributors&gt;&lt;authors&gt;&lt;author&gt;Siw Ellen Jakobsen&lt;/author&gt;&lt;/authors&gt;&lt;/contributors&gt;&lt;titles&gt;&lt;title&gt;Færre sykemeldinger når ansatte har kontroll over egen arbeidsdag&lt;/title&gt;&lt;/titles&gt;&lt;number&gt;04.01.23&lt;/number&gt;&lt;dates&gt;&lt;year&gt;2016&lt;/year&gt;&lt;pub-dates&gt;&lt;date&gt;15. september 2016&lt;/date&gt;&lt;/pub-dates&gt;&lt;/dates&gt;&lt;pub-location&gt;Oslo&lt;/pub-location&gt;&lt;publisher&gt;forskning.no&lt;/publisher&gt;&lt;work-type&gt;nettdokument&lt;/work-type&gt;&lt;urls&gt;&lt;/urls&gt;&lt;/record&gt;&lt;/Cite&gt;&lt;/EndNote&gt;</w:instrText>
      </w:r>
      <w:r w:rsidR="001B3E5F">
        <w:rPr>
          <w:rFonts w:ascii="Calibri" w:eastAsia="Calibri" w:hAnsi="Calibri" w:cs="Calibri"/>
        </w:rPr>
        <w:fldChar w:fldCharType="separate"/>
      </w:r>
      <w:r w:rsidR="00856689">
        <w:rPr>
          <w:rFonts w:ascii="Calibri" w:eastAsia="Calibri" w:hAnsi="Calibri" w:cs="Calibri"/>
          <w:noProof/>
        </w:rPr>
        <w:t>(Jakobsen, 2016)</w:t>
      </w:r>
      <w:r w:rsidR="001B3E5F">
        <w:rPr>
          <w:rFonts w:ascii="Calibri" w:eastAsia="Calibri" w:hAnsi="Calibri" w:cs="Calibri"/>
        </w:rPr>
        <w:fldChar w:fldCharType="end"/>
      </w:r>
      <w:r w:rsidR="008D4815">
        <w:rPr>
          <w:rFonts w:ascii="Calibri" w:eastAsia="Calibri" w:hAnsi="Calibri" w:cs="Calibri"/>
        </w:rPr>
        <w:t>.</w:t>
      </w:r>
    </w:p>
    <w:p w14:paraId="4B60EB04" w14:textId="77777777" w:rsidR="00D9107F" w:rsidRPr="00D9107F" w:rsidRDefault="00903A52" w:rsidP="006B0AE5">
      <w:pPr>
        <w:jc w:val="both"/>
        <w:rPr>
          <w:rStyle w:val="skrift-hevet"/>
        </w:rPr>
      </w:pPr>
      <w:r>
        <w:t xml:space="preserve">I en studie fra Frischsenteret observeres det ikke </w:t>
      </w:r>
      <w:r w:rsidRPr="1EBA9E78">
        <w:t xml:space="preserve">klare tendenser til </w:t>
      </w:r>
      <w:r>
        <w:t>endring i sykefraværet</w:t>
      </w:r>
      <w:r w:rsidRPr="1EBA9E78">
        <w:t xml:space="preserve"> </w:t>
      </w:r>
      <w:r>
        <w:t xml:space="preserve">ved bytte av fastlege </w:t>
      </w:r>
      <w:r w:rsidR="001B3E5F">
        <w:fldChar w:fldCharType="begin">
          <w:fldData xml:space="preserve">PEVuZE5vdGU+PENpdGU+PEF1dGhvcj5BbXVuZHNlbjwvQXV0aG9yPjxZZWFyPjIwMTU8L1llYXI+
PFJlY051bT4yMzk8L1JlY051bT48RGlzcGxheVRleHQ+KEFtdW5kc2VuLCAyMDE1OyBNYXJrdXNz
ZW4gZXQgYWwuLCAyMDE4KTwvRGlzcGxheVRleHQ+PHJlY29yZD48cmVjLW51bWJlcj4yMzk8L3Jl
Yy1udW1iZXI+PGZvcmVpZ24ta2V5cz48a2V5IGFwcD0iRU4iIGRiLWlkPSI5NXRwcjJ0cDZyOXh3
b2VhOXJiNXdkc3o1ZHM1eGVkZHRlZXciIHRpbWVzdGFtcD0iMTY4MDA2OTUxMSI+MjM5PC9rZXk+
PC9mb3JlaWduLWtleXM+PHJlZi10eXBlIG5hbWU9IldlYiBQYWdlIj4xMjwvcmVmLXR5cGU+PGNv
bnRyaWJ1dG9ycz48YXV0aG9ycz48YXV0aG9yPkLDpXJkIEFtdW5kc2VuPC9hdXRob3I+PC9hdXRo
b3JzPjwvY29udHJpYnV0b3JzPjx0aXRsZXM+PHRpdGxlPkZhc3RsZWdlbiBww6V2aXJrZXIgc3lr
ZWZyYXbDpnI8L3RpdGxlPjwvdGl0bGVzPjxudW1iZXI+MDguMTIuMjM8L251bWJlcj48ZGF0ZXM+
PHllYXI+MjAxNTwveWVhcj48cHViLWRhdGVzPjxkYXRlPjAzLjA4LjIwMTU8L2RhdGU+PC9wdWIt
ZGF0ZXM+PC9kYXRlcz48cHViLWxvY2F0aW9uPk9zbG88L3B1Yi1sb2NhdGlvbj48cHVibGlzaGVy
PmZvcnNrbmluZy5ubzwvcHVibGlzaGVyPjx3b3JrLXR5cGU+bmV0dGRva3VtZW50PC93b3JrLXR5
cGU+PHVybHM+PHJlbGF0ZWQtdXJscz48dXJsPmh0dHBzOi8vZm9yc2tuaW5nLm5vL2hlbHNldGpl
bmVzdGVyLW5vcmdlcy1mb3Jza25pbmdzcmFkLXBhcnRuZXIvZmFzdGxlZ2VuLXBhdmlya2VyLXN5
a2VmcmF2YWVyLzQ4MDMzMDwvdXJsPjwvcmVsYXRlZC11cmxzPjwvdXJscz48L3JlY29yZD48L0Np
dGU+PENpdGU+PEF1dGhvcj5NYXJrdXNzZW48L0F1dGhvcj48WWVhcj4yMDE4PC9ZZWFyPjxSZWNO
dW0+ODE8L1JlY051bT48cmVjb3JkPjxyZWMtbnVtYmVyPjgxPC9yZWMtbnVtYmVyPjxmb3JlaWdu
LWtleXM+PGtleSBhcHA9IkVOIiBkYi1pZD0iOTV0cHIydHA2cjl4d29lYTlyYjV3ZHN6NWRzNXhl
ZGR0ZWV3IiB0aW1lc3RhbXA9IjE2ODAwNjk1MTEiPjgxPC9rZXk+PC9mb3JlaWduLWtleXM+PHJl
Zi10eXBlIG5hbWU9IkpvdXJuYWwgQXJ0aWNsZSI+MTc8L3JlZi10eXBlPjxjb250cmlidXRvcnM+
PGF1dGhvcnM+PGF1dGhvcj5NYXJrdXNzZW4sIFMuLCA8L2F1dGhvcj48YXV0aG9yPlLDuGVkLCBL
Liw8L2F1dGhvcj48YXV0aG9yPlNjaHJlaW5lciwgUi4gQy48L2F1dGhvcj48L2F1dGhvcnM+PC9j
b250cmlidXRvcnM+PHRpdGxlcz48dGl0bGU+Q2FuIGNvbXB1bHNvcnkgZGlhbG9ndWVzIG51ZGdl
IHNpY2stbGlzdGVkIHdvcmtlcnMgYmFjayB0byB3b3JrPzwvdGl0bGU+PHNlY29uZGFyeS10aXRs
ZT5UaGUgRWNvbm9taWMgSm91cm5hbDwvc2Vjb25kYXJ5LXRpdGxlPjwvdGl0bGVzPjxwZXJpb2Rp
Y2FsPjxmdWxsLXRpdGxlPlRoZSBFY29ub21pYyBKb3VybmFsPC9mdWxsLXRpdGxlPjwvcGVyaW9k
aWNhbD48cGFnZXM+MTI3Ni0xMzAzPC9wYWdlcz48dm9sdW1lPjEyODwvdm9sdW1lPjxudW1iZXI+
NjEwPC9udW1iZXI+PGRhdGVzPjx5ZWFyPjIwMTg8L3llYXI+PC9kYXRlcz48dXJscz48cmVsYXRl
ZC11cmxzPjx1cmw+aHR0cHM6Ly93YXRlcm1hcmsuc2lsdmVyY2hhaXIuY29tL2VqMTI3Ni5wZGY/
dG9rZW49QVFFQ0FIaTIwOEJFNDlPb2FuOWtraFdfRXJjeTdEbTNaTF85Q2YzcWZLQWM0ODV5c2dB
QUF2QXdnZ0xzQmdrcWhraUc5dzBCQndhZ2dnTGRNSUlDMlFJQkFEQ0NBdElHQ1NxR1NJYjNEUUVI
QVRBZUJnbGdoa2dCWlFNRUFTNHdFUVFNZ2g0MUVvOS15cUY3S2Exd0FnRVFnSUlDbzc1bE5oSFZM
d203VnA1TFRrcHZ0ZU1ORkdYSDVXYWh1QVpZbGJkY2ZNVmgyUkVDSnd5Unh5cUxVdDJDNFB2b1dX
UDJ6ZzU2ZTdqUVhwOWlXVTJ0UFdGQVRvS3ZVTXhTRGNFYV9zNkYwUjRRZ1dlaWktQ3k4T2xESGp6
Z2ZYMzl5SnJhR0F3QlBUM3B6Umo1MVJDbGVPVmM4Um9PZGNpblBtS24tUWdPRFVmZmEzMHBqci1L
dm5SM2pBaFBUa29FRlVGNlhUN1hBUmpkWUpDLVRvNHJjZ1Z2X1BoZGhHTTNYYThybTBNQmp4Nzdh
LWFIZzlsYUltOUV0Tmp1UnUtU0NmM05uZFNqUnJDR3RncFRUR0tkN05VUms5aDYwRC13M0xVYTBf
UzAwRmV2NTk5eGtoWGFJbWRubmMydnRQQ21TWGk3Y0ZfSE41Y21yejNfcTkzdHJlQmJTZWV2RXp4
MDVFR1J5UVJ6c25BRUppWEhYcWxQdjNvdTJwUWF5eXpYQm5zd0x2c2pzMnN3bVhPbFFYNzdRLWgx
aFN3ZmJaTld6RDh4aUU2aTNQQldnakdxeE9DUFdka19aR0VqdnBZQWFjcVlFZFN3cHYyZmhfT2FZ
RjFSVzg4Sk0wTzFJWUJIajd3c1Z5UnRUaVh4a2FVb1Rlalh2YmZpWE5IVmpROGktUi1EMjh2a0tD
VEdoY0paeTJuQThKbnllNG1iU3JCeG9kMjdZUmlraFJMd2JHQ0hZN1VnbEV3aHdQSXpYTkdtREFR
MDlsOXE3cGtJbXREMzRfdGQ5ZGZSOGlCT1FPb0sxeTg3Mkl3NE5nbWZaRUZ0djJSeFNXdGc3Z2g2
dXlRWnJLSjY5d1RIcTJBeVNWM1pUMmxidng5TGZia21ubWNJeExfdmgtOTkybHdPOFdwVHN2OF9o
TmdrdHBnZmMxbGc4aW9VbTc3Yi1VQmF1MldXNUlMUzdzNU9NdUMyS2xPcWpsVXVXb3V3NzJicFpk
VEMwS1ZhM1lrd1hjTkR5WTQxQUJuWnhzTGRFSGVxNHZuQ2dPUEgtcXFGakplNDRoV3JGWFVwTVpt
c1AzMGFXUFhMc0U1TmFkZWYxN3N3d0l0bElsS0U4ZHJ4MlllVFljV1J2T2V5eVZyS3IwdmExV0dw
eWdNNmtHakFia2o0eHUwbm1Fend2bzVobjA0QXlmZnk1bnl0UUE8L3VybD48L3JlbGF0ZWQtdXJs
cz48L3VybHM+PC9yZWNvcmQ+PC9DaXRlPjwvRW5kTm90ZT4A
</w:fldData>
        </w:fldChar>
      </w:r>
      <w:r w:rsidR="004654FD">
        <w:instrText xml:space="preserve"> ADDIN EN.CITE </w:instrText>
      </w:r>
      <w:r w:rsidR="004654FD">
        <w:fldChar w:fldCharType="begin">
          <w:fldData xml:space="preserve">PEVuZE5vdGU+PENpdGU+PEF1dGhvcj5BbXVuZHNlbjwvQXV0aG9yPjxZZWFyPjIwMTU8L1llYXI+
PFJlY051bT4yMzk8L1JlY051bT48RGlzcGxheVRleHQ+KEFtdW5kc2VuLCAyMDE1OyBNYXJrdXNz
ZW4gZXQgYWwuLCAyMDE4KTwvRGlzcGxheVRleHQ+PHJlY29yZD48cmVjLW51bWJlcj4yMzk8L3Jl
Yy1udW1iZXI+PGZvcmVpZ24ta2V5cz48a2V5IGFwcD0iRU4iIGRiLWlkPSI5NXRwcjJ0cDZyOXh3
b2VhOXJiNXdkc3o1ZHM1eGVkZHRlZXciIHRpbWVzdGFtcD0iMTY4MDA2OTUxMSI+MjM5PC9rZXk+
PC9mb3JlaWduLWtleXM+PHJlZi10eXBlIG5hbWU9IldlYiBQYWdlIj4xMjwvcmVmLXR5cGU+PGNv
bnRyaWJ1dG9ycz48YXV0aG9ycz48YXV0aG9yPkLDpXJkIEFtdW5kc2VuPC9hdXRob3I+PC9hdXRo
b3JzPjwvY29udHJpYnV0b3JzPjx0aXRsZXM+PHRpdGxlPkZhc3RsZWdlbiBww6V2aXJrZXIgc3lr
ZWZyYXbDpnI8L3RpdGxlPjwvdGl0bGVzPjxudW1iZXI+MDguMTIuMjM8L251bWJlcj48ZGF0ZXM+
PHllYXI+MjAxNTwveWVhcj48cHViLWRhdGVzPjxkYXRlPjAzLjA4LjIwMTU8L2RhdGU+PC9wdWIt
ZGF0ZXM+PC9kYXRlcz48cHViLWxvY2F0aW9uPk9zbG88L3B1Yi1sb2NhdGlvbj48cHVibGlzaGVy
PmZvcnNrbmluZy5ubzwvcHVibGlzaGVyPjx3b3JrLXR5cGU+bmV0dGRva3VtZW50PC93b3JrLXR5
cGU+PHVybHM+PHJlbGF0ZWQtdXJscz48dXJsPmh0dHBzOi8vZm9yc2tuaW5nLm5vL2hlbHNldGpl
bmVzdGVyLW5vcmdlcy1mb3Jza25pbmdzcmFkLXBhcnRuZXIvZmFzdGxlZ2VuLXBhdmlya2VyLXN5
a2VmcmF2YWVyLzQ4MDMzMDwvdXJsPjwvcmVsYXRlZC11cmxzPjwvdXJscz48L3JlY29yZD48L0Np
dGU+PENpdGU+PEF1dGhvcj5NYXJrdXNzZW48L0F1dGhvcj48WWVhcj4yMDE4PC9ZZWFyPjxSZWNO
dW0+ODE8L1JlY051bT48cmVjb3JkPjxyZWMtbnVtYmVyPjgxPC9yZWMtbnVtYmVyPjxmb3JlaWdu
LWtleXM+PGtleSBhcHA9IkVOIiBkYi1pZD0iOTV0cHIydHA2cjl4d29lYTlyYjV3ZHN6NWRzNXhl
ZGR0ZWV3IiB0aW1lc3RhbXA9IjE2ODAwNjk1MTEiPjgxPC9rZXk+PC9mb3JlaWduLWtleXM+PHJl
Zi10eXBlIG5hbWU9IkpvdXJuYWwgQXJ0aWNsZSI+MTc8L3JlZi10eXBlPjxjb250cmlidXRvcnM+
PGF1dGhvcnM+PGF1dGhvcj5NYXJrdXNzZW4sIFMuLCA8L2F1dGhvcj48YXV0aG9yPlLDuGVkLCBL
Liw8L2F1dGhvcj48YXV0aG9yPlNjaHJlaW5lciwgUi4gQy48L2F1dGhvcj48L2F1dGhvcnM+PC9j
b250cmlidXRvcnM+PHRpdGxlcz48dGl0bGU+Q2FuIGNvbXB1bHNvcnkgZGlhbG9ndWVzIG51ZGdl
IHNpY2stbGlzdGVkIHdvcmtlcnMgYmFjayB0byB3b3JrPzwvdGl0bGU+PHNlY29uZGFyeS10aXRs
ZT5UaGUgRWNvbm9taWMgSm91cm5hbDwvc2Vjb25kYXJ5LXRpdGxlPjwvdGl0bGVzPjxwZXJpb2Rp
Y2FsPjxmdWxsLXRpdGxlPlRoZSBFY29ub21pYyBKb3VybmFsPC9mdWxsLXRpdGxlPjwvcGVyaW9k
aWNhbD48cGFnZXM+MTI3Ni0xMzAzPC9wYWdlcz48dm9sdW1lPjEyODwvdm9sdW1lPjxudW1iZXI+
NjEwPC9udW1iZXI+PGRhdGVzPjx5ZWFyPjIwMTg8L3llYXI+PC9kYXRlcz48dXJscz48cmVsYXRl
ZC11cmxzPjx1cmw+aHR0cHM6Ly93YXRlcm1hcmsuc2lsdmVyY2hhaXIuY29tL2VqMTI3Ni5wZGY/
dG9rZW49QVFFQ0FIaTIwOEJFNDlPb2FuOWtraFdfRXJjeTdEbTNaTF85Q2YzcWZLQWM0ODV5c2dB
QUF2QXdnZ0xzQmdrcWhraUc5dzBCQndhZ2dnTGRNSUlDMlFJQkFEQ0NBdElHQ1NxR1NJYjNEUUVI
QVRBZUJnbGdoa2dCWlFNRUFTNHdFUVFNZ2g0MUVvOS15cUY3S2Exd0FnRVFnSUlDbzc1bE5oSFZM
d203VnA1TFRrcHZ0ZU1ORkdYSDVXYWh1QVpZbGJkY2ZNVmgyUkVDSnd5Unh5cUxVdDJDNFB2b1dX
UDJ6ZzU2ZTdqUVhwOWlXVTJ0UFdGQVRvS3ZVTXhTRGNFYV9zNkYwUjRRZ1dlaWktQ3k4T2xESGp6
Z2ZYMzl5SnJhR0F3QlBUM3B6Umo1MVJDbGVPVmM4Um9PZGNpblBtS24tUWdPRFVmZmEzMHBqci1L
dm5SM2pBaFBUa29FRlVGNlhUN1hBUmpkWUpDLVRvNHJjZ1Z2X1BoZGhHTTNYYThybTBNQmp4Nzdh
LWFIZzlsYUltOUV0Tmp1UnUtU0NmM05uZFNqUnJDR3RncFRUR0tkN05VUms5aDYwRC13M0xVYTBf
UzAwRmV2NTk5eGtoWGFJbWRubmMydnRQQ21TWGk3Y0ZfSE41Y21yejNfcTkzdHJlQmJTZWV2RXp4
MDVFR1J5UVJ6c25BRUppWEhYcWxQdjNvdTJwUWF5eXpYQm5zd0x2c2pzMnN3bVhPbFFYNzdRLWgx
aFN3ZmJaTld6RDh4aUU2aTNQQldnakdxeE9DUFdka19aR0VqdnBZQWFjcVlFZFN3cHYyZmhfT2FZ
RjFSVzg4Sk0wTzFJWUJIajd3c1Z5UnRUaVh4a2FVb1Rlalh2YmZpWE5IVmpROGktUi1EMjh2a0tD
VEdoY0paeTJuQThKbnllNG1iU3JCeG9kMjdZUmlraFJMd2JHQ0hZN1VnbEV3aHdQSXpYTkdtREFR
MDlsOXE3cGtJbXREMzRfdGQ5ZGZSOGlCT1FPb0sxeTg3Mkl3NE5nbWZaRUZ0djJSeFNXdGc3Z2g2
dXlRWnJLSjY5d1RIcTJBeVNWM1pUMmxidng5TGZia21ubWNJeExfdmgtOTkybHdPOFdwVHN2OF9o
TmdrdHBnZmMxbGc4aW9VbTc3Yi1VQmF1MldXNUlMUzdzNU9NdUMyS2xPcWpsVXVXb3V3NzJicFpk
VEMwS1ZhM1lrd1hjTkR5WTQxQUJuWnhzTGRFSGVxNHZuQ2dPUEgtcXFGakplNDRoV3JGWFVwTVpt
c1AzMGFXUFhMc0U1TmFkZWYxN3N3d0l0bElsS0U4ZHJ4MlllVFljV1J2T2V5eVZyS3IwdmExV0dw
eWdNNmtHakFia2o0eHUwbm1Fend2bzVobjA0QXlmZnk1bnl0UUE8L3VybD48L3JlbGF0ZWQtdXJs
cz48L3VybHM+PC9yZWNvcmQ+PC9DaXRlPjwvRW5kTm90ZT4A
</w:fldData>
        </w:fldChar>
      </w:r>
      <w:r w:rsidR="004654FD">
        <w:instrText xml:space="preserve"> ADDIN EN.CITE.DATA </w:instrText>
      </w:r>
      <w:r w:rsidR="004654FD">
        <w:fldChar w:fldCharType="end"/>
      </w:r>
      <w:r w:rsidR="001B3E5F">
        <w:fldChar w:fldCharType="separate"/>
      </w:r>
      <w:r w:rsidR="00FD2027">
        <w:rPr>
          <w:noProof/>
        </w:rPr>
        <w:t>(Amundsen, 2015; Markussen et al., 2018)</w:t>
      </w:r>
      <w:r w:rsidR="001B3E5F">
        <w:fldChar w:fldCharType="end"/>
      </w:r>
      <w:r>
        <w:t>. Dialogen</w:t>
      </w:r>
      <w:r w:rsidRPr="00976E55">
        <w:t xml:space="preserve"> mellom arbeidsgiver, NAV og fastlege har effekt </w:t>
      </w:r>
      <w:r>
        <w:t xml:space="preserve">på </w:t>
      </w:r>
      <w:r w:rsidRPr="00976E55">
        <w:t xml:space="preserve">for å få en </w:t>
      </w:r>
      <w:r w:rsidR="0069523F">
        <w:t>sykmeld</w:t>
      </w:r>
      <w:r w:rsidRPr="00976E55">
        <w:t>t raskere tilbake til arbeid.</w:t>
      </w:r>
      <w:r>
        <w:rPr>
          <w:rFonts w:eastAsia="Calibri" w:cs="Calibri"/>
        </w:rPr>
        <w:t xml:space="preserve"> </w:t>
      </w:r>
      <w:r w:rsidRPr="00976E55">
        <w:t>En</w:t>
      </w:r>
      <w:r>
        <w:t xml:space="preserve"> annen</w:t>
      </w:r>
      <w:r w:rsidR="008D4815">
        <w:t xml:space="preserve"> </w:t>
      </w:r>
      <w:r w:rsidRPr="00976E55">
        <w:t xml:space="preserve">studie </w:t>
      </w:r>
      <w:r>
        <w:t>tyder på</w:t>
      </w:r>
      <w:r w:rsidR="008D4815">
        <w:rPr>
          <w:rFonts w:ascii="Arial" w:hAnsi="Arial" w:cs="Arial"/>
        </w:rPr>
        <w:t xml:space="preserve"> </w:t>
      </w:r>
      <w:r>
        <w:t xml:space="preserve">at fastleger på steder </w:t>
      </w:r>
      <w:r w:rsidR="00AF64B4">
        <w:t xml:space="preserve">hvor det er </w:t>
      </w:r>
      <w:r>
        <w:t xml:space="preserve">konkurranse om pasientene er mer </w:t>
      </w:r>
      <w:r w:rsidRPr="00976E55">
        <w:t>ettergivende</w:t>
      </w:r>
      <w:r>
        <w:t xml:space="preserve"> enn andre når det gjelder å utstede sykmeldinger</w:t>
      </w:r>
      <w:r w:rsidR="002A57B3">
        <w:t xml:space="preserve"> enn andre</w:t>
      </w:r>
      <w:r>
        <w:t>. F</w:t>
      </w:r>
      <w:r w:rsidR="005D5CE1">
        <w:t xml:space="preserve">lere studier fastslår også at </w:t>
      </w:r>
      <w:r>
        <w:t xml:space="preserve">sykmeldingspraksis hos næringsdrivende fastleger </w:t>
      </w:r>
      <w:r w:rsidR="005D5CE1">
        <w:t xml:space="preserve">er </w:t>
      </w:r>
      <w:r>
        <w:t xml:space="preserve">ca. fire prosent høyere enn for kommunalt ansatte fastleger </w:t>
      </w:r>
      <w:r w:rsidR="001B3E5F">
        <w:fldChar w:fldCharType="begin"/>
      </w:r>
      <w:r w:rsidR="004654FD">
        <w:instrText xml:space="preserve"> ADDIN EN.CITE &lt;EndNote&gt;&lt;Cite&gt;&lt;Author&gt;Markussen&lt;/Author&gt;&lt;Year&gt;2017&lt;/Year&gt;&lt;RecNum&gt;480&lt;/RecNum&gt;&lt;DisplayText&gt;(Hoff et al., 2023; Markussen et al., 2017)&lt;/DisplayText&gt;&lt;record&gt;&lt;rec-number&gt;480&lt;/rec-number&gt;&lt;foreign-keys&gt;&lt;key app="EN" db-id="95tpr2tp6r9xwoea9rb5wdsz5ds5xeddteew" timestamp="1680069511"&gt;480&lt;/key&gt;&lt;/foreign-keys&gt;&lt;ref-type name="Journal Article"&gt;17&lt;/ref-type&gt;&lt;contributors&gt;&lt;authors&gt;&lt;author&gt;Markussen, Simen&lt;/author&gt;&lt;author&gt;Røed, Knut&lt;/author&gt;&lt;/authors&gt;&lt;/contributors&gt;&lt;titles&gt;&lt;title&gt;The market for paid sick leave&lt;/title&gt;&lt;secondary-title&gt;Journal of Health Economics&lt;/secondary-title&gt;&lt;/titles&gt;&lt;periodical&gt;&lt;full-title&gt;Journal of Health Economics&lt;/full-title&gt;&lt;/periodical&gt;&lt;pages&gt;244-261&lt;/pages&gt;&lt;volume&gt;55&lt;/volume&gt;&lt;keywords&gt;&lt;keyword&gt;Absenteeism&lt;/keyword&gt;&lt;keyword&gt;Gatekeeping&lt;/keyword&gt;&lt;keyword&gt;Competition&lt;/keyword&gt;&lt;keyword&gt;Role-conflicts&lt;/keyword&gt;&lt;/keywords&gt;&lt;dates&gt;&lt;year&gt;2017&lt;/year&gt;&lt;pub-dates&gt;&lt;date&gt;2017/09/01/&lt;/date&gt;&lt;/pub-dates&gt;&lt;/dates&gt;&lt;isbn&gt;0167-6296&lt;/isbn&gt;&lt;urls&gt;&lt;related-urls&gt;&lt;url&gt;https://www.sciencedirect.com/science/article/pii/S0167629616300893&lt;/url&gt;&lt;/related-urls&gt;&lt;/urls&gt;&lt;/record&gt;&lt;/Cite&gt;&lt;Cite&gt;&lt;Author&gt;Hoff&lt;/Author&gt;&lt;Year&gt;2023&lt;/Year&gt;&lt;RecNum&gt;898&lt;/RecNum&gt;&lt;record&gt;&lt;rec-number&gt;898&lt;/rec-number&gt;&lt;foreign-keys&gt;&lt;key app="EN" db-id="95tpr2tp6r9xwoea9rb5wdsz5ds5xeddteew" timestamp="1680121421"&gt;898&lt;/key&gt;&lt;/foreign-keys&gt;&lt;ref-type name="Report"&gt;27&lt;/ref-type&gt;&lt;contributors&gt;&lt;authors&gt;&lt;author&gt;Hoff, E.&lt;/author&gt;&lt;author&gt;Kraft, K.&lt;/author&gt;&lt;author&gt;Østby, K.&lt;/author&gt;&lt;author&gt;Mykletun, A.&lt;/author&gt;&lt;/authors&gt;&lt;/contributors&gt;&lt;titles&gt;&lt;title&gt;Arbeidsmengde, konsultasjonstid og utilsiktede effekterav takstsystemet. Notat om fastlegeordningen&lt;/title&gt;&lt;/titles&gt;&lt;dates&gt;&lt;year&gt;2023&lt;/year&gt;&lt;/dates&gt;&lt;pub-location&gt;Oslo&lt;/pub-location&gt;&lt;publisher&gt;Folkehelseinstituttet &lt;/publisher&gt;&lt;urls&gt;&lt;/urls&gt;&lt;/record&gt;&lt;/Cite&gt;&lt;/EndNote&gt;</w:instrText>
      </w:r>
      <w:r w:rsidR="001B3E5F">
        <w:fldChar w:fldCharType="separate"/>
      </w:r>
      <w:r w:rsidR="00856689">
        <w:rPr>
          <w:noProof/>
        </w:rPr>
        <w:t>(Hoff et al., 2023; Markussen et al., 2017)</w:t>
      </w:r>
      <w:r w:rsidR="001B3E5F">
        <w:fldChar w:fldCharType="end"/>
      </w:r>
      <w:r>
        <w:t>.</w:t>
      </w:r>
      <w:bookmarkStart w:id="3913" w:name="_Toc129787573"/>
      <w:bookmarkStart w:id="3914" w:name="_Toc129799652"/>
      <w:bookmarkStart w:id="3915" w:name="_Toc129800030"/>
      <w:bookmarkStart w:id="3916" w:name="_Toc129800266"/>
      <w:bookmarkStart w:id="3917" w:name="_Toc129787574"/>
      <w:bookmarkStart w:id="3918" w:name="_Toc129799653"/>
      <w:bookmarkStart w:id="3919" w:name="_Toc129800031"/>
      <w:bookmarkStart w:id="3920" w:name="_Toc129800267"/>
      <w:bookmarkStart w:id="3921" w:name="_Toc127972598"/>
      <w:bookmarkStart w:id="3922" w:name="_Toc127972603"/>
      <w:bookmarkStart w:id="3923" w:name="_Toc128032190"/>
      <w:bookmarkStart w:id="3924" w:name="_Toc128032398"/>
      <w:bookmarkStart w:id="3925" w:name="_Toc128032195"/>
      <w:bookmarkStart w:id="3926" w:name="_Toc128032403"/>
      <w:bookmarkStart w:id="3927" w:name="_Toc129787583"/>
      <w:bookmarkStart w:id="3928" w:name="_Toc129799662"/>
      <w:bookmarkStart w:id="3929" w:name="_Toc129800040"/>
      <w:bookmarkStart w:id="3930" w:name="_Toc129800276"/>
      <w:bookmarkStart w:id="3931" w:name="_Toc129676981"/>
      <w:bookmarkStart w:id="3932" w:name="_Toc129787589"/>
      <w:bookmarkStart w:id="3933" w:name="_Toc129799668"/>
      <w:bookmarkStart w:id="3934" w:name="_Toc129800046"/>
      <w:bookmarkStart w:id="3935" w:name="_Toc129800282"/>
      <w:bookmarkStart w:id="3936" w:name="_Toc129787592"/>
      <w:bookmarkStart w:id="3937" w:name="_Toc129799670"/>
      <w:bookmarkStart w:id="3938" w:name="_Toc129800048"/>
      <w:bookmarkStart w:id="3939" w:name="_Toc129800284"/>
      <w:bookmarkStart w:id="3940" w:name="_Toc130763871"/>
      <w:bookmarkStart w:id="3941" w:name="_Toc130766766"/>
      <w:bookmarkStart w:id="3942" w:name="_Toc130932167"/>
      <w:bookmarkStart w:id="3943" w:name="_Toc130934458"/>
      <w:bookmarkStart w:id="3944" w:name="_Toc130983587"/>
      <w:bookmarkStart w:id="3945" w:name="_Toc130983936"/>
      <w:bookmarkStart w:id="3946" w:name="_Toc131062212"/>
      <w:bookmarkStart w:id="3947" w:name="_Toc131062466"/>
      <w:bookmarkStart w:id="3948" w:name="_Toc131062727"/>
      <w:bookmarkStart w:id="3949" w:name="_Toc131062980"/>
      <w:bookmarkStart w:id="3950" w:name="_Toc131063763"/>
      <w:bookmarkStart w:id="3951" w:name="_Toc131064173"/>
      <w:bookmarkStart w:id="3952" w:name="_Toc131238523"/>
      <w:bookmarkStart w:id="3953" w:name="_Toc131279554"/>
      <w:bookmarkStart w:id="3954" w:name="_Toc131286966"/>
      <w:bookmarkStart w:id="3955" w:name="_Toc131281376"/>
      <w:bookmarkStart w:id="3956" w:name="_Toc131317916"/>
      <w:bookmarkStart w:id="3957" w:name="_Toc132537037"/>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7244A336" w14:textId="6024CA20" w:rsidR="00180523" w:rsidRDefault="00180523" w:rsidP="00775632">
      <w:pPr>
        <w:pStyle w:val="Overskrift2"/>
      </w:pPr>
      <w:r>
        <w:t>Ekspertutvalgets vurderinger</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14:paraId="4E3643E1" w14:textId="3B77DBCB" w:rsidR="001B6A66" w:rsidRDefault="00E8319B" w:rsidP="006B0AE5">
      <w:pPr>
        <w:jc w:val="both"/>
      </w:pPr>
      <w:r>
        <w:t xml:space="preserve">Sykmeldinger inngikk i om lag 20 prosent av alle fastlegekonsultasjoner i 2022, og </w:t>
      </w:r>
      <w:r w:rsidR="00662948">
        <w:t>våre</w:t>
      </w:r>
      <w:r>
        <w:t xml:space="preserve"> beregninger tyder på at </w:t>
      </w:r>
      <w:r w:rsidR="005A435D">
        <w:t xml:space="preserve">legemeldt </w:t>
      </w:r>
      <w:r>
        <w:t>attestering av korttids</w:t>
      </w:r>
      <w:r w:rsidR="005A435D">
        <w:t xml:space="preserve"> sykefravær</w:t>
      </w:r>
      <w:r>
        <w:t xml:space="preserve"> </w:t>
      </w:r>
      <w:r w:rsidR="005A435D">
        <w:t xml:space="preserve">utgjør en </w:t>
      </w:r>
      <w:r>
        <w:t>betydelig</w:t>
      </w:r>
      <w:r w:rsidR="005A435D">
        <w:t xml:space="preserve"> </w:t>
      </w:r>
      <w:r>
        <w:t>del</w:t>
      </w:r>
      <w:r w:rsidR="005A435D">
        <w:t xml:space="preserve"> </w:t>
      </w:r>
      <w:r>
        <w:t xml:space="preserve">av fastlegenes </w:t>
      </w:r>
      <w:r w:rsidR="005A435D">
        <w:t xml:space="preserve">totale </w:t>
      </w:r>
      <w:r>
        <w:t xml:space="preserve">arbeidstid. </w:t>
      </w:r>
      <w:r w:rsidR="001B6A66">
        <w:t xml:space="preserve">Ekspertutvalget mener potensialet for å </w:t>
      </w:r>
      <w:r w:rsidR="008107EC">
        <w:t>frigjør</w:t>
      </w:r>
      <w:r w:rsidR="00E3495B">
        <w:t>e</w:t>
      </w:r>
      <w:r w:rsidR="008107EC">
        <w:t xml:space="preserve"> </w:t>
      </w:r>
      <w:r w:rsidR="001B6A66">
        <w:t xml:space="preserve">fastlegekapasitet </w:t>
      </w:r>
      <w:r w:rsidR="00E1462B">
        <w:t xml:space="preserve">fra </w:t>
      </w:r>
      <w:r w:rsidR="003A5C1B">
        <w:t xml:space="preserve">pasienter med </w:t>
      </w:r>
      <w:r w:rsidR="00E3495B">
        <w:t xml:space="preserve">ufarlige og kortvarige tilstander </w:t>
      </w:r>
      <w:r w:rsidR="001B6A66">
        <w:t>til pasientgrupper med større behov</w:t>
      </w:r>
      <w:r w:rsidR="00BD6B36">
        <w:t>,</w:t>
      </w:r>
      <w:r w:rsidR="001B6A66">
        <w:t xml:space="preserve"> er betydelig</w:t>
      </w:r>
      <w:r w:rsidR="003A3052">
        <w:t>. For å realisere dett</w:t>
      </w:r>
      <w:r w:rsidR="005A435D">
        <w:t>e</w:t>
      </w:r>
      <w:r w:rsidR="003A3052">
        <w:t xml:space="preserve"> er det viktig at fastlegene </w:t>
      </w:r>
      <w:r w:rsidR="0069523F">
        <w:t>fram</w:t>
      </w:r>
      <w:r w:rsidR="00716FA3">
        <w:t>over</w:t>
      </w:r>
      <w:r w:rsidR="003A3052">
        <w:t xml:space="preserve"> bruker mindre tid på arbeid med attester og erklæringer som ikke </w:t>
      </w:r>
      <w:r w:rsidR="005A435D">
        <w:t xml:space="preserve">gir </w:t>
      </w:r>
      <w:r w:rsidR="003A3052">
        <w:t>helsemessig</w:t>
      </w:r>
      <w:r w:rsidR="005A435D">
        <w:t xml:space="preserve"> </w:t>
      </w:r>
      <w:r w:rsidR="003A3052">
        <w:t>gevinst for innbyggerne.</w:t>
      </w:r>
    </w:p>
    <w:p w14:paraId="24DFBD75" w14:textId="77777777" w:rsidR="00D9107F" w:rsidRDefault="00EB3A93" w:rsidP="006B0AE5">
      <w:pPr>
        <w:jc w:val="both"/>
      </w:pPr>
      <w:r>
        <w:lastRenderedPageBreak/>
        <w:t>Ekspertutvalget</w:t>
      </w:r>
      <w:r w:rsidR="0047036D">
        <w:t xml:space="preserve"> anbefaler</w:t>
      </w:r>
      <w:r w:rsidR="00991F1B">
        <w:t xml:space="preserve"> </w:t>
      </w:r>
      <w:r w:rsidR="00565947">
        <w:t>at det lovfestes</w:t>
      </w:r>
      <w:r w:rsidR="0047036D" w:rsidRPr="00133A8D">
        <w:t xml:space="preserve"> at </w:t>
      </w:r>
      <w:r w:rsidR="00991F1B">
        <w:t xml:space="preserve">arbeidstaker må bruke opp </w:t>
      </w:r>
      <w:r w:rsidR="0047036D" w:rsidRPr="00133A8D">
        <w:t>egenmelding</w:t>
      </w:r>
      <w:r w:rsidR="00991F1B">
        <w:t>s</w:t>
      </w:r>
      <w:r w:rsidR="005A435D">
        <w:t xml:space="preserve">dagene </w:t>
      </w:r>
      <w:r w:rsidR="0047036D" w:rsidRPr="00133A8D">
        <w:t xml:space="preserve">før </w:t>
      </w:r>
      <w:r w:rsidR="005A435D">
        <w:t>sykmelding</w:t>
      </w:r>
      <w:r w:rsidR="00055F3B">
        <w:t xml:space="preserve"> </w:t>
      </w:r>
      <w:r w:rsidR="00837A66">
        <w:t xml:space="preserve">kan benyttes. </w:t>
      </w:r>
      <w:r>
        <w:t>Det vil hvile et ansvar for oppfølging av dette</w:t>
      </w:r>
      <w:r w:rsidR="00C248D9">
        <w:t xml:space="preserve"> forholdet</w:t>
      </w:r>
      <w:r>
        <w:t xml:space="preserve"> på arbeidsgiver.</w:t>
      </w:r>
      <w:r w:rsidR="00AA6E1F">
        <w:t xml:space="preserve"> E</w:t>
      </w:r>
      <w:r w:rsidR="006E3738">
        <w:t xml:space="preserve">kspertutvalget </w:t>
      </w:r>
      <w:r w:rsidR="0078477A">
        <w:t xml:space="preserve">mener videre </w:t>
      </w:r>
      <w:r w:rsidR="006E3738">
        <w:t xml:space="preserve">at egenmeldingsperioden </w:t>
      </w:r>
      <w:r w:rsidR="00970491">
        <w:t xml:space="preserve">bør </w:t>
      </w:r>
      <w:r w:rsidR="006E3738">
        <w:t xml:space="preserve">utvides til å </w:t>
      </w:r>
      <w:r w:rsidR="001F7B7E">
        <w:t xml:space="preserve">omfatte hele </w:t>
      </w:r>
      <w:r w:rsidR="00C248D9">
        <w:t>arbeidsgiverperioden, altså</w:t>
      </w:r>
      <w:r w:rsidR="00002E7D">
        <w:t xml:space="preserve"> </w:t>
      </w:r>
      <w:r w:rsidR="001F7B7E">
        <w:t>de første 16 kalenderdagene</w:t>
      </w:r>
      <w:r w:rsidR="00002E7D">
        <w:t xml:space="preserve"> av fraværet</w:t>
      </w:r>
      <w:r w:rsidR="001F7B7E">
        <w:t>.</w:t>
      </w:r>
      <w:r w:rsidR="00036398">
        <w:t xml:space="preserve"> A</w:t>
      </w:r>
      <w:r w:rsidR="006E3738">
        <w:t xml:space="preserve">rbeidsgiver bør ha mulighet til å kreve </w:t>
      </w:r>
      <w:r w:rsidR="006E3738" w:rsidDel="00DF0C54">
        <w:t>lege</w:t>
      </w:r>
      <w:r w:rsidR="006E3738">
        <w:t xml:space="preserve">attest i </w:t>
      </w:r>
      <w:r w:rsidR="00C248D9">
        <w:t xml:space="preserve">denne </w:t>
      </w:r>
      <w:r w:rsidR="003B5D4F">
        <w:t>perioden</w:t>
      </w:r>
      <w:r w:rsidR="006E3738">
        <w:t xml:space="preserve">, men bør </w:t>
      </w:r>
      <w:r w:rsidR="003B5D4F">
        <w:t xml:space="preserve">da </w:t>
      </w:r>
      <w:r w:rsidR="006E3738">
        <w:t>pålegges å betale for de</w:t>
      </w:r>
      <w:r w:rsidR="003B5D4F">
        <w:t>nne.</w:t>
      </w:r>
    </w:p>
    <w:p w14:paraId="5B31F597" w14:textId="00CF1EDD" w:rsidR="002C570D" w:rsidRDefault="0021360B" w:rsidP="006B0AE5">
      <w:pPr>
        <w:jc w:val="both"/>
      </w:pPr>
      <w:r>
        <w:t>Ekspertutvalget anerkjenner at sykmeldingsordningen, slik den fungerer i Norge i dag,</w:t>
      </w:r>
      <w:r w:rsidDel="00722B19">
        <w:t xml:space="preserve"> </w:t>
      </w:r>
      <w:r>
        <w:t xml:space="preserve">gir en trygghet for arbeidstaker og bidrar til legitimering av sykefravær overfor arbeidsgiver. </w:t>
      </w:r>
      <w:r w:rsidR="008A439D">
        <w:t>Innbyggere som har behov for medisinsk hjelp</w:t>
      </w:r>
      <w:r w:rsidR="00AD3C27">
        <w:t>,</w:t>
      </w:r>
      <w:r w:rsidR="008A439D">
        <w:t xml:space="preserve"> skal selvsagt oppsøke lege</w:t>
      </w:r>
      <w:r w:rsidR="00556ABE">
        <w:t>, m</w:t>
      </w:r>
      <w:r w:rsidR="003C4442">
        <w:t>en også pasienter med ufarlige</w:t>
      </w:r>
      <w:r w:rsidR="00CF4C8B">
        <w:t>,</w:t>
      </w:r>
      <w:r w:rsidR="003C4442">
        <w:t xml:space="preserve"> kortvarige </w:t>
      </w:r>
      <w:r w:rsidR="00CF4C8B">
        <w:t xml:space="preserve">og selvhelbredende </w:t>
      </w:r>
      <w:r w:rsidR="003C4442">
        <w:t xml:space="preserve">tilstander kontakter fastlegen </w:t>
      </w:r>
      <w:r w:rsidR="00A258A8">
        <w:t>på grunn av behov</w:t>
      </w:r>
      <w:r w:rsidR="002B62A6">
        <w:t>et</w:t>
      </w:r>
      <w:r w:rsidR="00A258A8">
        <w:t xml:space="preserve"> for </w:t>
      </w:r>
      <w:r w:rsidR="003C4442">
        <w:t xml:space="preserve">sykmelding. Sykmelding for ukompliserte tilstander som pasienten ellers </w:t>
      </w:r>
      <w:r w:rsidR="007E3061">
        <w:t xml:space="preserve">ikke </w:t>
      </w:r>
      <w:r w:rsidR="003C4442">
        <w:t xml:space="preserve">ville søkt legehjelp for, legger beslag på </w:t>
      </w:r>
      <w:r w:rsidR="00A615A4">
        <w:t xml:space="preserve">legens </w:t>
      </w:r>
      <w:r w:rsidR="003C4442">
        <w:t xml:space="preserve">tid som kunne vært brukt på pasienter med større behov for </w:t>
      </w:r>
      <w:r w:rsidR="001E2CA8">
        <w:t>diagnostik</w:t>
      </w:r>
      <w:r w:rsidR="000874DD">
        <w:t>k</w:t>
      </w:r>
      <w:r w:rsidR="00B87567">
        <w:t xml:space="preserve"> og</w:t>
      </w:r>
      <w:r w:rsidR="001E2CA8">
        <w:t xml:space="preserve"> behandling.</w:t>
      </w:r>
      <w:r w:rsidR="003C4442">
        <w:t xml:space="preserve"> </w:t>
      </w:r>
      <w:r w:rsidR="001C04CC" w:rsidRPr="00460893">
        <w:t>Det er grunn til å tro at en stor del av tiden fastlegen bruker på konsultasjoner knyttet til attester for korttidsfravær</w:t>
      </w:r>
      <w:r w:rsidR="007A24BC">
        <w:t>,</w:t>
      </w:r>
      <w:r w:rsidR="001C04CC" w:rsidRPr="00460893">
        <w:t xml:space="preserve"> har liten eller ingen innflytelse på pasientens helse eller arbeidsevne</w:t>
      </w:r>
      <w:r w:rsidR="002C570D">
        <w:t xml:space="preserve">, og i verste fall </w:t>
      </w:r>
      <w:r w:rsidR="00E643E4">
        <w:t xml:space="preserve">kan </w:t>
      </w:r>
      <w:r w:rsidR="002C570D">
        <w:t>øke risikoen for overbehandling og unødvendig medikamentbruk.</w:t>
      </w:r>
    </w:p>
    <w:p w14:paraId="1A8B472C" w14:textId="77777777" w:rsidR="00D9107F" w:rsidRDefault="002C570D" w:rsidP="006B0AE5">
      <w:pPr>
        <w:jc w:val="both"/>
      </w:pPr>
      <w:r>
        <w:t>Ekspertutvalget anbefaler ingen endringer i fastlegens rolle som medisinsk ekspert i saker som omhandler lengre sykefravær, arbeidsavklaringspenger og uføretrygd. Dette er saker som er relatert til langvarige tilstander</w:t>
      </w:r>
      <w:r w:rsidR="00537495">
        <w:t xml:space="preserve"> </w:t>
      </w:r>
      <w:r>
        <w:t xml:space="preserve">som ofte krever </w:t>
      </w:r>
      <w:r w:rsidR="00B20C1A">
        <w:t xml:space="preserve">utredning og </w:t>
      </w:r>
      <w:r>
        <w:t>oppfølging av lege. Ekspertutvalgets vurdering e</w:t>
      </w:r>
      <w:r w:rsidR="0075338D">
        <w:t>r</w:t>
      </w:r>
      <w:r>
        <w:t xml:space="preserve"> at fastlegen har en viktig medisinskfaglig rolle for å </w:t>
      </w:r>
      <w:r w:rsidR="00716FA3">
        <w:t>fremme</w:t>
      </w:r>
      <w:r>
        <w:t xml:space="preserve"> arbeidstakers funksjonsevne og tilbakeføring til arbeidslivet i disse tilfellene.</w:t>
      </w:r>
    </w:p>
    <w:p w14:paraId="76C2A817" w14:textId="77777777" w:rsidR="00D9107F" w:rsidRDefault="003D65CD" w:rsidP="006B0AE5">
      <w:pPr>
        <w:jc w:val="both"/>
      </w:pPr>
      <w:r>
        <w:t xml:space="preserve">Ekspertutvalget vurderer at en mulig positiv effekt ved økt bruk av egenmeldinger framfor sykmeldinger for legitimering av vanlig korttidsfravær, kan være at dialogen mellom </w:t>
      </w:r>
      <w:r w:rsidR="00716FA3">
        <w:t>arbeidstaker og leder om tilbakeføring til arbeidslivet forsterkes.</w:t>
      </w:r>
      <w:r>
        <w:t xml:space="preserve"> Et mer tillitsbasert system for korttidsfravær vil </w:t>
      </w:r>
      <w:r w:rsidR="00354F99">
        <w:t xml:space="preserve">imidlertid </w:t>
      </w:r>
      <w:r>
        <w:t>kunne bidra til høyere sykefravær. Dersom ekspertutvalgets anbefaling følges</w:t>
      </w:r>
      <w:r w:rsidR="002B4D72">
        <w:t>,</w:t>
      </w:r>
      <w:r>
        <w:t xml:space="preserve"> bør effektene på sykefravær, arbeidstakerrettigheter og fastlegenes tidsbruk følges nøye. En gradvis innføring i landets kommuner, vil gi mulighet for å høste erfaringer</w:t>
      </w:r>
      <w:r w:rsidR="00AA7163">
        <w:t xml:space="preserve"> </w:t>
      </w:r>
      <w:r>
        <w:t>og at justeringer i regelverket kan gjøres underveis.</w:t>
      </w:r>
    </w:p>
    <w:p w14:paraId="2C8CA137" w14:textId="77777777" w:rsidR="00D9107F" w:rsidRDefault="00372F13" w:rsidP="00E643E4">
      <w:pPr>
        <w:jc w:val="both"/>
      </w:pPr>
      <w:r>
        <w:t>De siste årene er det lagt ned et betydelig arbeid i gjennomgang av ulike attester og erklæringer som fastleger utsteder. Intensjonen har vært å fjerne eller forenkle og avlaste fastlegene fra unødig og administrativt arbeid.</w:t>
      </w:r>
      <w:r w:rsidDel="00165752">
        <w:t xml:space="preserve"> </w:t>
      </w:r>
      <w:r>
        <w:t>E</w:t>
      </w:r>
      <w:r w:rsidRPr="00133A8D">
        <w:t xml:space="preserve">kspertutvalget </w:t>
      </w:r>
      <w:r>
        <w:t xml:space="preserve">støtter </w:t>
      </w:r>
      <w:r w:rsidRPr="00133A8D">
        <w:t xml:space="preserve">vurderingene </w:t>
      </w:r>
      <w:r>
        <w:t>og anbefalingene i tidligere utredninger fra NAV og Helsedirektoratet.</w:t>
      </w:r>
    </w:p>
    <w:p w14:paraId="7FE029F3" w14:textId="77777777" w:rsidR="00D9107F" w:rsidRDefault="00271D47" w:rsidP="006B0AE5">
      <w:pPr>
        <w:jc w:val="both"/>
      </w:pPr>
      <w:r>
        <w:t xml:space="preserve">Ekspertutvalget mener det bør være et mål at fastlegen ikke skriver attester med mindre det er direkte knyttet til bedring av pasientens helse. Generelt bør tillitsbaserte systemer for innhenting av helseopplysninger og egenerklæringer benyttes i større grad. Ekspertutvalget anbefaler å tydeliggjøre gjennom forskrift hvilke attester fastlegene er pliktige til å skrive. </w:t>
      </w:r>
      <w:r w:rsidRPr="00DD7ADD">
        <w:t>Attester som ikke er forskriftsfestet, bør ikke fastlegen bruke tid på.</w:t>
      </w:r>
      <w:r>
        <w:t xml:space="preserve"> </w:t>
      </w:r>
      <w:r w:rsidR="00A334CB">
        <w:t xml:space="preserve">Attester som </w:t>
      </w:r>
      <w:r w:rsidR="004F2A0C">
        <w:t>bekrefter</w:t>
      </w:r>
      <w:r w:rsidR="00A334CB">
        <w:t xml:space="preserve"> kroniske tilstander</w:t>
      </w:r>
      <w:r w:rsidR="004F2A0C">
        <w:t>,</w:t>
      </w:r>
      <w:r w:rsidR="00A334CB">
        <w:t xml:space="preserve"> </w:t>
      </w:r>
      <w:r w:rsidR="00A334CB">
        <w:lastRenderedPageBreak/>
        <w:t>eksempelvis blindhet, genetiske sykdommer og varige funksjonshemminger bør ikke behøves repetert.</w:t>
      </w:r>
    </w:p>
    <w:p w14:paraId="4C1CE9FD" w14:textId="77777777" w:rsidR="00D9107F" w:rsidRDefault="00EE7B27" w:rsidP="006B0AE5">
      <w:pPr>
        <w:jc w:val="both"/>
      </w:pPr>
      <w:r>
        <w:t>Ekspertutvalget mener t</w:t>
      </w:r>
      <w:r w:rsidR="00495936" w:rsidRPr="006C5F56">
        <w:t xml:space="preserve">iltak og samarbeid for </w:t>
      </w:r>
      <w:r w:rsidR="00495936">
        <w:t xml:space="preserve">utvikling og </w:t>
      </w:r>
      <w:r w:rsidR="00495936" w:rsidRPr="00C96CC0">
        <w:t xml:space="preserve">digitalisering </w:t>
      </w:r>
      <w:r w:rsidR="00495936">
        <w:t xml:space="preserve">i </w:t>
      </w:r>
      <w:r w:rsidR="00495936" w:rsidRPr="00C96CC0">
        <w:t xml:space="preserve">fastlegenes elektroniske pasientjournalsystemer må fortsette og </w:t>
      </w:r>
      <w:r w:rsidR="00D410F7">
        <w:t xml:space="preserve">at </w:t>
      </w:r>
      <w:r w:rsidR="00F20425">
        <w:t>arbeidet</w:t>
      </w:r>
      <w:r w:rsidR="00D410F7">
        <w:t xml:space="preserve"> </w:t>
      </w:r>
      <w:r w:rsidR="00495936">
        <w:t xml:space="preserve">bør </w:t>
      </w:r>
      <w:r w:rsidR="00495936" w:rsidRPr="00C96CC0">
        <w:t>gis høy prioritet</w:t>
      </w:r>
      <w:r w:rsidR="00D410F7">
        <w:t xml:space="preserve">. </w:t>
      </w:r>
      <w:r w:rsidR="00FF198B">
        <w:t xml:space="preserve">Mer effektive samhandlingsløsninger er </w:t>
      </w:r>
      <w:r w:rsidR="00495936">
        <w:t xml:space="preserve">viktig </w:t>
      </w:r>
      <w:r w:rsidR="00495936" w:rsidRPr="00C96CC0">
        <w:t xml:space="preserve">både </w:t>
      </w:r>
      <w:r w:rsidR="00E643E4">
        <w:t>for</w:t>
      </w:r>
      <w:r w:rsidR="00495936" w:rsidRPr="00C96CC0">
        <w:t xml:space="preserve"> sykmeldingsarbeid og annet attestarbeid.</w:t>
      </w:r>
    </w:p>
    <w:p w14:paraId="760B0D84" w14:textId="77777777" w:rsidR="00D9107F" w:rsidRDefault="00271D47" w:rsidP="00E643E4">
      <w:pPr>
        <w:jc w:val="both"/>
      </w:pPr>
      <w:r>
        <w:t xml:space="preserve">Arbeid med legeattester knyttet til tegning av </w:t>
      </w:r>
      <w:r w:rsidR="002C6430">
        <w:t>privat helse</w:t>
      </w:r>
      <w:r>
        <w:t xml:space="preserve">forsikring bør fjernes som oppgave fra fastlegene, og vurderes erstattet av en mer tillitsbasert tilnærming. </w:t>
      </w:r>
      <w:r w:rsidR="00C96409" w:rsidRPr="00E643E4">
        <w:t>Det er forsikringsbransjens ansvar å inngå avtale med leger som kan utføre undersøkelsene og utstede dokumentasjonen</w:t>
      </w:r>
      <w:r w:rsidR="002E4543" w:rsidRPr="00E643E4">
        <w:t>,</w:t>
      </w:r>
      <w:r w:rsidR="00C96409" w:rsidRPr="00E643E4">
        <w:t xml:space="preserve"> som trengs for å tegne helseforsikring.</w:t>
      </w:r>
      <w:r w:rsidR="00DE0D0E" w:rsidRPr="00E643E4">
        <w:t xml:space="preserve"> </w:t>
      </w:r>
      <w:r>
        <w:t xml:space="preserve">Ekspertutvalget ser at en mulig effekt av at private aktører selv skal </w:t>
      </w:r>
      <w:r w:rsidR="1BB34B0B">
        <w:t>organisere</w:t>
      </w:r>
      <w:r>
        <w:t xml:space="preserve"> dette kan være at forsikring blir dyrere</w:t>
      </w:r>
      <w:r w:rsidR="00B20D0C">
        <w:t xml:space="preserve"> for</w:t>
      </w:r>
      <w:r w:rsidR="002E4543">
        <w:t xml:space="preserve"> </w:t>
      </w:r>
      <w:r w:rsidR="002A2B94">
        <w:t>pasientene</w:t>
      </w:r>
      <w:r>
        <w:t xml:space="preserve">. </w:t>
      </w:r>
      <w:r w:rsidR="006F0D51">
        <w:t>E</w:t>
      </w:r>
      <w:r w:rsidR="00D24DA5">
        <w:t>kspertutvalget</w:t>
      </w:r>
      <w:r>
        <w:t xml:space="preserve"> mener slike kostnader må sees på som en del av private forsikringer. Kostn</w:t>
      </w:r>
      <w:r w:rsidR="00D23866">
        <w:t>a</w:t>
      </w:r>
      <w:r>
        <w:t>dene bør i sin helhet dekkes av bedrifter og innbyggere som vil, og har evne til å</w:t>
      </w:r>
      <w:r w:rsidR="00E643E4">
        <w:t>,</w:t>
      </w:r>
      <w:r>
        <w:t xml:space="preserve"> kjøpe slike tjenester. </w:t>
      </w:r>
      <w:r w:rsidR="00D14452">
        <w:t>Tilgang til private aktører er ikke lik over hele landet</w:t>
      </w:r>
      <w:r w:rsidR="00DE6634">
        <w:t xml:space="preserve">. Både </w:t>
      </w:r>
      <w:r w:rsidR="00D14452">
        <w:t>reisevei</w:t>
      </w:r>
      <w:r w:rsidR="006B0CA9">
        <w:t xml:space="preserve"> og </w:t>
      </w:r>
      <w:r w:rsidR="00DE6634">
        <w:t xml:space="preserve">innbyggernes betalingsevne </w:t>
      </w:r>
      <w:r w:rsidR="00264659">
        <w:t>kan</w:t>
      </w:r>
      <w:r w:rsidR="00DE6634">
        <w:t xml:space="preserve"> derfor </w:t>
      </w:r>
      <w:r w:rsidR="00264659">
        <w:t>gi et skille i hvem som kan benytte private aktører og ikke.</w:t>
      </w:r>
    </w:p>
    <w:p w14:paraId="5C34213F" w14:textId="77777777" w:rsidR="00D9107F" w:rsidRDefault="00FA5BD8" w:rsidP="00E643E4">
      <w:pPr>
        <w:jc w:val="both"/>
      </w:pPr>
      <w:r>
        <w:t xml:space="preserve">Ekspertutvalget </w:t>
      </w:r>
      <w:r w:rsidR="00A26CBD">
        <w:t>mener det er viktig å sikre god ivaretagelse av pasienter og trygg håndtering av helseopplysninger.</w:t>
      </w:r>
      <w:r>
        <w:t xml:space="preserve"> </w:t>
      </w:r>
      <w:r w:rsidR="003D10AF">
        <w:t xml:space="preserve">Fastlegen er den som har en samlet oversikt over pasientens helsetilstand, og </w:t>
      </w:r>
      <w:r w:rsidR="00AD20FA">
        <w:t>som</w:t>
      </w:r>
      <w:r w:rsidR="003D10AF">
        <w:t xml:space="preserve"> kan gjøre </w:t>
      </w:r>
      <w:r w:rsidR="00DE5A29">
        <w:t>undersøkelser for forsikringsselskap</w:t>
      </w:r>
      <w:r w:rsidR="00A21DC1">
        <w:t xml:space="preserve"> </w:t>
      </w:r>
      <w:r w:rsidR="003D10AF">
        <w:t xml:space="preserve">uten unødig spredning av journalinformasjon. Dette er viktige momenter å ta med </w:t>
      </w:r>
      <w:r w:rsidR="00AD20FA">
        <w:t>når</w:t>
      </w:r>
      <w:r w:rsidR="003D10AF">
        <w:t xml:space="preserve"> </w:t>
      </w:r>
      <w:r w:rsidR="001B7EB5">
        <w:t>andre enn fastlegen skal utføre denne jobben</w:t>
      </w:r>
      <w:r w:rsidR="001931B6">
        <w:t xml:space="preserve">. </w:t>
      </w:r>
      <w:r w:rsidR="00404BAE">
        <w:t>Dersom forsikringsselskapene i stedet ber sine kunder om å skaffe journalutskrift fra fastlegen</w:t>
      </w:r>
      <w:r w:rsidR="006D722C">
        <w:t>, vil</w:t>
      </w:r>
      <w:r w:rsidR="00A8286A">
        <w:t xml:space="preserve"> </w:t>
      </w:r>
      <w:r w:rsidR="00AF2312">
        <w:t xml:space="preserve">en slik praksis </w:t>
      </w:r>
      <w:r w:rsidR="00BB42F5">
        <w:t>resultere i at</w:t>
      </w:r>
      <w:r w:rsidR="00AF2312">
        <w:t xml:space="preserve"> langt flere helseopplysninger </w:t>
      </w:r>
      <w:r w:rsidR="009F660B">
        <w:t xml:space="preserve">enn det som vanligvis inngår i en legeattest </w:t>
      </w:r>
      <w:r w:rsidR="00AD235E">
        <w:t>om pasienten</w:t>
      </w:r>
      <w:r w:rsidR="00B77B6B">
        <w:t>,</w:t>
      </w:r>
      <w:r w:rsidR="00AD235E">
        <w:t xml:space="preserve"> </w:t>
      </w:r>
      <w:r w:rsidR="00C80AD1">
        <w:t>utleveres</w:t>
      </w:r>
      <w:r w:rsidR="002354C0">
        <w:t xml:space="preserve">. </w:t>
      </w:r>
      <w:r w:rsidR="005E7617">
        <w:t>Pasienten har imidlertid selv eierskap til sin journal og sine hels</w:t>
      </w:r>
      <w:r w:rsidR="009352B3">
        <w:t>e</w:t>
      </w:r>
      <w:r w:rsidR="005E7617">
        <w:t>opplysninger, og kan velge å utlevere disse</w:t>
      </w:r>
      <w:r w:rsidR="00BD2C69">
        <w:t xml:space="preserve"> </w:t>
      </w:r>
      <w:r w:rsidR="001810F7">
        <w:t xml:space="preserve">til </w:t>
      </w:r>
      <w:r w:rsidR="003F3689">
        <w:t xml:space="preserve">forsikringsselskapet for </w:t>
      </w:r>
      <w:r w:rsidR="00D3539E">
        <w:t xml:space="preserve">å få tegnet forsikring. </w:t>
      </w:r>
      <w:r w:rsidR="00D1146E">
        <w:t xml:space="preserve">Ekspertutvalgets vurdering </w:t>
      </w:r>
      <w:r w:rsidR="002612D6">
        <w:t xml:space="preserve">er at det bør </w:t>
      </w:r>
      <w:r w:rsidR="00DF0EAC">
        <w:t xml:space="preserve">være en sak mellom pasienten </w:t>
      </w:r>
      <w:r w:rsidR="0034400D">
        <w:t xml:space="preserve">og forsikringsselskapets lege, </w:t>
      </w:r>
      <w:r w:rsidR="00EE6A5B">
        <w:t xml:space="preserve">hvilke </w:t>
      </w:r>
      <w:r w:rsidR="00171F58">
        <w:t>helse</w:t>
      </w:r>
      <w:r w:rsidR="00EE6A5B">
        <w:t xml:space="preserve">opplysninger </w:t>
      </w:r>
      <w:r w:rsidR="00FC3E62">
        <w:t xml:space="preserve">som </w:t>
      </w:r>
      <w:r w:rsidR="004D1654">
        <w:t xml:space="preserve">utleveres. </w:t>
      </w:r>
      <w:r w:rsidR="00682061">
        <w:t xml:space="preserve">Pasienten bør imidlertid få informasjon om at det ikke bør utleveres flere helseopplysninger enn det som er nødvendig. </w:t>
      </w:r>
      <w:r w:rsidR="004D1654">
        <w:t>En mer tillitsbasert tilnærming</w:t>
      </w:r>
      <w:r w:rsidR="0006752A">
        <w:t xml:space="preserve"> fra forsikringsselskapets side</w:t>
      </w:r>
      <w:r w:rsidR="004D1654">
        <w:t xml:space="preserve">, vil redusere behovet for </w:t>
      </w:r>
      <w:r w:rsidR="003C48F0">
        <w:t>utlevering av journal</w:t>
      </w:r>
      <w:r w:rsidR="00C51CF1">
        <w:t>.</w:t>
      </w:r>
    </w:p>
    <w:p w14:paraId="453471F4" w14:textId="77777777" w:rsidR="00D9107F" w:rsidRDefault="00271D47" w:rsidP="00E643E4">
      <w:pPr>
        <w:jc w:val="both"/>
      </w:pPr>
      <w:r>
        <w:t>Fastlegens rolle som portvokter for spesialisthelsetjenesten utfordres gjennom private helseforsikringer. Løsningen</w:t>
      </w:r>
      <w:r w:rsidR="00E643E4">
        <w:t>,</w:t>
      </w:r>
      <w:r>
        <w:t xml:space="preserve"> slik den fungerer i dag, hvor pasienten bestiller konsultasjon hos fastlege for å få henvisning til det private, er i realiteten en offentlig subsidiering av private helsetjenester. Fastlegers bruk av tid på private helseforsikringer bidrar også til en skjevfordeling til fordel for ressurssterke pasienter, og tar tid fra andre viktige kliniske oppgaver. Ekspertutvalget mener denne type henvisninger ikke bør utføres av fastlegen. Dersom fastlegen opplever en situasjon der bruk av helseforsikring ved henvisning er det beste for pasientens helse</w:t>
      </w:r>
      <w:r w:rsidR="00086D51">
        <w:t>,</w:t>
      </w:r>
      <w:r>
        <w:t xml:space="preserve"> har ekspertutvalget tillit til at fastlegen bruker godt </w:t>
      </w:r>
      <w:r w:rsidR="00A10815">
        <w:t xml:space="preserve">faglig </w:t>
      </w:r>
      <w:r>
        <w:t>skjønn.</w:t>
      </w:r>
    </w:p>
    <w:p w14:paraId="0DFD6CAC" w14:textId="706F600E" w:rsidR="001B3E45" w:rsidRDefault="006733B2" w:rsidP="00E643E4">
      <w:pPr>
        <w:jc w:val="both"/>
      </w:pPr>
      <w:bookmarkStart w:id="3958" w:name="_Ref130924734"/>
      <w:r>
        <w:lastRenderedPageBreak/>
        <w:t xml:space="preserve">Ekspertutvalget kan ikke se at det foreligger medisinskfaglige grunner til at </w:t>
      </w:r>
      <w:r w:rsidR="00D32615">
        <w:t xml:space="preserve">elever </w:t>
      </w:r>
      <w:r w:rsidR="00E643E4">
        <w:t>i</w:t>
      </w:r>
      <w:r w:rsidR="00D32615">
        <w:t xml:space="preserve"> </w:t>
      </w:r>
      <w:r>
        <w:t xml:space="preserve">videregående </w:t>
      </w:r>
      <w:r w:rsidR="00E643E4">
        <w:t>opplæring</w:t>
      </w:r>
      <w:r>
        <w:t xml:space="preserve"> skal oppsøke fastlegen </w:t>
      </w:r>
      <w:r w:rsidR="001900C0">
        <w:t xml:space="preserve">for å få attestert fravær </w:t>
      </w:r>
      <w:r>
        <w:t xml:space="preserve">med kortvarige tilstander som går over av seg selv. </w:t>
      </w:r>
      <w:r w:rsidRPr="00133A8D">
        <w:t>Studier tyder sågar på at slike unødige konsultasjoner kan føre til overforbruk av medisiner.</w:t>
      </w:r>
      <w:r>
        <w:t xml:space="preserve"> </w:t>
      </w:r>
      <w:r w:rsidR="00271D47">
        <w:t>L</w:t>
      </w:r>
      <w:r w:rsidR="00271D47" w:rsidRPr="75790B22">
        <w:t xml:space="preserve">egebesøkene forbundet med </w:t>
      </w:r>
      <w:r w:rsidR="00271D47">
        <w:t xml:space="preserve">slike </w:t>
      </w:r>
      <w:r w:rsidR="00271D47" w:rsidRPr="75790B22">
        <w:t xml:space="preserve">attester </w:t>
      </w:r>
      <w:r w:rsidR="00271D47">
        <w:t xml:space="preserve">viser </w:t>
      </w:r>
      <w:r w:rsidR="00271D47" w:rsidRPr="75790B22">
        <w:t xml:space="preserve">en økning i legemiddelforskrivning </w:t>
      </w:r>
      <w:r w:rsidR="00271D47">
        <w:t xml:space="preserve">for den aktuelle </w:t>
      </w:r>
      <w:r w:rsidR="00271D47" w:rsidRPr="75790B22">
        <w:t>aldersgruppen på</w:t>
      </w:r>
      <w:r w:rsidR="00271D47">
        <w:t xml:space="preserve"> åtte prosent. </w:t>
      </w:r>
      <w:r w:rsidR="76EB0B0B">
        <w:t>Man så en økning i legebesøk for aldersgruppen på 30</w:t>
      </w:r>
      <w:r w:rsidR="004B370C">
        <w:t xml:space="preserve"> prosent</w:t>
      </w:r>
      <w:r w:rsidR="76EB0B0B">
        <w:t xml:space="preserve"> da fraværsreglene ble innført, dette utgjorde mer enn 4</w:t>
      </w:r>
      <w:r w:rsidR="00D9107F">
        <w:t>0 000</w:t>
      </w:r>
      <w:r w:rsidR="76EB0B0B">
        <w:t xml:space="preserve"> legek</w:t>
      </w:r>
      <w:r w:rsidR="4A9DA9FD">
        <w:t>onsultasjoner på årsbasis</w:t>
      </w:r>
      <w:r w:rsidR="76EB0B0B">
        <w:t xml:space="preserve"> </w:t>
      </w:r>
      <w:r w:rsidR="001B3E5F">
        <w:fldChar w:fldCharType="begin"/>
      </w:r>
      <w:r w:rsidR="00D078E3">
        <w:instrText xml:space="preserve"> ADDIN EN.CITE &lt;EndNote&gt;&lt;Cite&gt;&lt;Author&gt;Bakken&lt;/Author&gt;&lt;Year&gt;2017&lt;/Year&gt;&lt;RecNum&gt;443&lt;/RecNum&gt;&lt;DisplayText&gt;(Bakken et al., 2017)&lt;/DisplayText&gt;&lt;record&gt;&lt;rec-number&gt;443&lt;/rec-number&gt;&lt;foreign-keys&gt;&lt;key app="EN" db-id="95tpr2tp6r9xwoea9rb5wdsz5ds5xeddteew" timestamp="1680069511"&gt;443&lt;/key&gt;&lt;/foreign-keys&gt;&lt;ref-type name="Journal Article"&gt;17&lt;/ref-type&gt;&lt;contributors&gt;&lt;authors&gt;&lt;author&gt;Bakken, Inger Johanne&lt;/author&gt;&lt;author&gt;Wensaas, Knut-Arne&lt;/author&gt;&lt;author&gt;Furu, Kari&lt;/author&gt;&lt;author&gt;Grøneng, Gry Marysol&lt;/author&gt;&lt;author&gt;Stoltenberg, Camilla&lt;/author&gt;&lt;author&gt;Øverland, Simon&lt;/author&gt;&lt;author&gt;Håberg, Siri Eldevik&lt;/author&gt;&lt;/authors&gt;&lt;/contributors&gt;&lt;titles&gt;&lt;title&gt;Legesøkning og legemiddeluttak etter innføring av nye fraværsregler&lt;/title&gt;&lt;secondary-title&gt;Tidsskrift for den Norske Lægeforening&lt;/secondary-title&gt;&lt;/titles&gt;&lt;dates&gt;&lt;year&gt;2017&lt;/year&gt;&lt;/dates&gt;&lt;isbn&gt;0029-2001&lt;/isbn&gt;&lt;urls&gt;&lt;/urls&gt;&lt;electronic-resource-num&gt;10.4045/tidsskr.17.0427&lt;/electronic-resource-num&gt;&lt;/record&gt;&lt;/Cite&gt;&lt;/EndNote&gt;</w:instrText>
      </w:r>
      <w:r w:rsidR="001B3E5F">
        <w:fldChar w:fldCharType="separate"/>
      </w:r>
      <w:r w:rsidR="001B3E5F">
        <w:rPr>
          <w:noProof/>
        </w:rPr>
        <w:t>(Bakken et al., 2017)</w:t>
      </w:r>
      <w:r w:rsidR="001B3E5F">
        <w:fldChar w:fldCharType="end"/>
      </w:r>
      <w:r w:rsidR="00CF1245">
        <w:t>.</w:t>
      </w:r>
      <w:r w:rsidR="00271D47">
        <w:t xml:space="preserve"> </w:t>
      </w:r>
      <w:r w:rsidR="00C471C9" w:rsidRPr="53DDF72A">
        <w:t>At fastleger skal skrive attester ved korttidsfravær for elever på videregående skole</w:t>
      </w:r>
      <w:r w:rsidR="00C471C9">
        <w:t>,</w:t>
      </w:r>
      <w:r w:rsidR="00C471C9" w:rsidRPr="53DDF72A">
        <w:t xml:space="preserve"> anse</w:t>
      </w:r>
      <w:r w:rsidR="00C471C9">
        <w:t>s som</w:t>
      </w:r>
      <w:r w:rsidR="00C471C9" w:rsidRPr="53DDF72A">
        <w:t xml:space="preserve"> uh</w:t>
      </w:r>
      <w:r w:rsidR="00C471C9" w:rsidRPr="04EBFB42">
        <w:t>ensiktsmessig</w:t>
      </w:r>
      <w:r w:rsidR="00C471C9">
        <w:t>.</w:t>
      </w:r>
      <w:r w:rsidR="00C471C9" w:rsidRPr="75790B22">
        <w:t xml:space="preserve"> </w:t>
      </w:r>
      <w:r w:rsidR="00271D47" w:rsidRPr="00133A8D">
        <w:t xml:space="preserve">Ekspertutvalget </w:t>
      </w:r>
      <w:r w:rsidR="00827805">
        <w:t>anbefaler at</w:t>
      </w:r>
      <w:r w:rsidR="00827805" w:rsidRPr="00133A8D">
        <w:t xml:space="preserve"> </w:t>
      </w:r>
      <w:r w:rsidR="00271D47" w:rsidRPr="00133A8D">
        <w:t xml:space="preserve">fravær fra videregående </w:t>
      </w:r>
      <w:r w:rsidR="00E643E4">
        <w:t>opplæring</w:t>
      </w:r>
      <w:r w:rsidR="00271D47" w:rsidRPr="00133A8D">
        <w:t xml:space="preserve"> bør håndteres i utdanningssektoren</w:t>
      </w:r>
      <w:r w:rsidR="00E94CBF">
        <w:t xml:space="preserve">. </w:t>
      </w:r>
      <w:r w:rsidR="00CD48DE">
        <w:t>A</w:t>
      </w:r>
      <w:r w:rsidR="00D467CC">
        <w:t xml:space="preserve">nbefalingen gleder også </w:t>
      </w:r>
      <w:r w:rsidR="00BD3DE3">
        <w:t>for</w:t>
      </w:r>
      <w:r w:rsidR="00D41080">
        <w:t xml:space="preserve"> fravær </w:t>
      </w:r>
      <w:r w:rsidR="00CD48DE">
        <w:t>fra</w:t>
      </w:r>
      <w:r w:rsidR="00D41080">
        <w:t xml:space="preserve"> </w:t>
      </w:r>
      <w:r w:rsidR="00CD48DE">
        <w:t>ungdomsskole</w:t>
      </w:r>
      <w:r w:rsidR="00CC37D0">
        <w:t xml:space="preserve"> og </w:t>
      </w:r>
      <w:r w:rsidR="00D94422">
        <w:t xml:space="preserve">universiteter og </w:t>
      </w:r>
      <w:r w:rsidR="00D219F6">
        <w:t>høg</w:t>
      </w:r>
      <w:r w:rsidR="00D94422">
        <w:t>skoler</w:t>
      </w:r>
      <w:r w:rsidR="00504213">
        <w:t>.</w:t>
      </w:r>
      <w:bookmarkEnd w:id="3958"/>
    </w:p>
    <w:p w14:paraId="29A14AC8" w14:textId="1F6E5823" w:rsidR="00926857" w:rsidRDefault="000C0A1D" w:rsidP="00A95007">
      <w:pPr>
        <w:spacing w:before="240"/>
        <w:jc w:val="both"/>
      </w:pPr>
      <w:r>
        <w:rPr>
          <w:noProof/>
        </w:rPr>
        <w:drawing>
          <wp:inline distT="0" distB="0" distL="0" distR="0" wp14:anchorId="486F6797" wp14:editId="20D7AFAD">
            <wp:extent cx="5549760" cy="4357592"/>
            <wp:effectExtent l="0" t="0" r="0" b="0"/>
            <wp:docPr id="1908704945" name="Picture 1908704945"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4945" name="Bilde 1908704945" descr="Et bilde som inneholder logo&#10;&#10;Automatisk generert beskrivelse"/>
                    <pic:cNvPicPr/>
                  </pic:nvPicPr>
                  <pic:blipFill rotWithShape="1">
                    <a:blip r:embed="rId77" cstate="print">
                      <a:extLst>
                        <a:ext uri="{28A0092B-C50C-407E-A947-70E740481C1C}">
                          <a14:useLocalDpi xmlns:a14="http://schemas.microsoft.com/office/drawing/2010/main" val="0"/>
                        </a:ext>
                      </a:extLst>
                    </a:blip>
                    <a:srcRect l="9263" t="26348" r="10025" b="24070"/>
                    <a:stretch/>
                  </pic:blipFill>
                  <pic:spPr bwMode="auto">
                    <a:xfrm>
                      <a:off x="0" y="0"/>
                      <a:ext cx="5569056" cy="4372743"/>
                    </a:xfrm>
                    <a:prstGeom prst="rect">
                      <a:avLst/>
                    </a:prstGeom>
                    <a:ln>
                      <a:noFill/>
                    </a:ln>
                    <a:extLst>
                      <a:ext uri="{53640926-AAD7-44D8-BBD7-CCE9431645EC}">
                        <a14:shadowObscured xmlns:a14="http://schemas.microsoft.com/office/drawing/2010/main"/>
                      </a:ext>
                    </a:extLst>
                  </pic:spPr>
                </pic:pic>
              </a:graphicData>
            </a:graphic>
          </wp:inline>
        </w:drawing>
      </w:r>
      <w:bookmarkStart w:id="3959" w:name="_Toc131238524"/>
      <w:bookmarkStart w:id="3960" w:name="_Toc131279555"/>
      <w:bookmarkStart w:id="3961" w:name="_Toc131286967"/>
      <w:bookmarkStart w:id="3962" w:name="_Toc131281377"/>
      <w:bookmarkStart w:id="3963" w:name="_Toc131317917"/>
    </w:p>
    <w:p w14:paraId="567927B9" w14:textId="50EA5775" w:rsidR="007D601B" w:rsidRDefault="007D601B" w:rsidP="00775632">
      <w:pPr>
        <w:pStyle w:val="Overskrift1"/>
      </w:pPr>
      <w:bookmarkStart w:id="3964" w:name="_Toc132537038"/>
      <w:r>
        <w:t>Legevakt</w:t>
      </w:r>
      <w:bookmarkEnd w:id="3959"/>
      <w:bookmarkEnd w:id="3960"/>
      <w:bookmarkEnd w:id="3961"/>
      <w:bookmarkEnd w:id="3962"/>
      <w:bookmarkEnd w:id="3963"/>
      <w:bookmarkEnd w:id="3964"/>
      <w:r w:rsidRPr="00A85F33">
        <w:t xml:space="preserve"> </w:t>
      </w:r>
    </w:p>
    <w:p w14:paraId="7F5FF0D6" w14:textId="4ACE35F6" w:rsidR="00133A8D" w:rsidRDefault="00133A8D" w:rsidP="00775632">
      <w:pPr>
        <w:pStyle w:val="Overskrift2"/>
      </w:pPr>
      <w:bookmarkStart w:id="3965" w:name="_Toc129630389"/>
      <w:bookmarkStart w:id="3966" w:name="_Toc130763898"/>
      <w:bookmarkStart w:id="3967" w:name="_Toc130766793"/>
      <w:bookmarkStart w:id="3968" w:name="_Toc130932191"/>
      <w:bookmarkStart w:id="3969" w:name="_Toc130934482"/>
      <w:bookmarkStart w:id="3970" w:name="_Toc130983614"/>
      <w:bookmarkStart w:id="3971" w:name="_Toc130983963"/>
      <w:bookmarkStart w:id="3972" w:name="_Toc131062233"/>
      <w:bookmarkStart w:id="3973" w:name="_Toc131062487"/>
      <w:bookmarkStart w:id="3974" w:name="_Toc131062748"/>
      <w:bookmarkStart w:id="3975" w:name="_Toc131063001"/>
      <w:bookmarkStart w:id="3976" w:name="_Toc131063784"/>
      <w:bookmarkStart w:id="3977" w:name="_Toc131064195"/>
      <w:bookmarkStart w:id="3978" w:name="_Toc131238525"/>
      <w:bookmarkStart w:id="3979" w:name="_Toc131279556"/>
      <w:bookmarkStart w:id="3980" w:name="_Toc131286968"/>
      <w:bookmarkStart w:id="3981" w:name="_Toc131281378"/>
      <w:bookmarkStart w:id="3982" w:name="_Toc131317918"/>
      <w:bookmarkStart w:id="3983" w:name="_Toc132537039"/>
      <w:r>
        <w:t>Ekspertutvalgets anbefaling</w:t>
      </w:r>
      <w:bookmarkEnd w:id="3965"/>
      <w:r w:rsidR="003C4274">
        <w:t>er</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765560F4" w14:textId="77777777" w:rsidR="00D9107F" w:rsidRDefault="008D782A" w:rsidP="008D782A">
      <w:bookmarkStart w:id="3984" w:name="_Hlk130469042"/>
      <w:r>
        <w:t>Den manglende arbeidstidsinnrammingen for legevaktarbeid gir uforutsigbarhet og potensielt stor arbeidsbelastning for fastleger som deltar i legevakt. E</w:t>
      </w:r>
      <w:r w:rsidR="000154CB">
        <w:t>ksp</w:t>
      </w:r>
      <w:r w:rsidR="00FF0AC3">
        <w:t>ertutvalget anbefaler at det etableres rammer for hvor mye legevaktarbeid fastleger kan pålegges.</w:t>
      </w:r>
    </w:p>
    <w:p w14:paraId="660CDBF2" w14:textId="77777777" w:rsidR="00D9107F" w:rsidRDefault="000C2CAC" w:rsidP="000C2CAC">
      <w:r w:rsidRPr="009E488A">
        <w:lastRenderedPageBreak/>
        <w:t>Ekspertutvalget vurderer at det er hensiktsmessig å åpne opp for at legevakt i større grad betjenes av andre leger enn fastle</w:t>
      </w:r>
      <w:r w:rsidR="00C01347">
        <w:t xml:space="preserve">ger. </w:t>
      </w:r>
      <w:r w:rsidR="00FF0AC3">
        <w:t xml:space="preserve">Ekspertutvalget anbefaler </w:t>
      </w:r>
      <w:r w:rsidR="00BC18C4">
        <w:t xml:space="preserve">tilrettelegging for </w:t>
      </w:r>
      <w:r w:rsidR="00FF0AC3">
        <w:t>økt bruk</w:t>
      </w:r>
      <w:r w:rsidR="00FF0AC3" w:rsidRPr="0A95ACAA">
        <w:t xml:space="preserve"> av </w:t>
      </w:r>
      <w:r w:rsidR="00FF0AC3">
        <w:t xml:space="preserve">andre </w:t>
      </w:r>
      <w:r w:rsidR="00FF0AC3" w:rsidRPr="0A95ACAA">
        <w:t>lege</w:t>
      </w:r>
      <w:r w:rsidR="00FF0AC3">
        <w:t>r</w:t>
      </w:r>
      <w:r w:rsidR="00FF0AC3" w:rsidRPr="0A95ACAA">
        <w:t xml:space="preserve"> </w:t>
      </w:r>
      <w:r w:rsidR="00862C77">
        <w:t>enn fastleger</w:t>
      </w:r>
      <w:r w:rsidR="00FF0AC3">
        <w:t>, for å bidra til redusert arbeidstid i legevakt for fastleger og</w:t>
      </w:r>
      <w:r w:rsidR="00FF0AC3" w:rsidRPr="00E81C9C">
        <w:t xml:space="preserve"> </w:t>
      </w:r>
      <w:r w:rsidR="00432233">
        <w:t>økt</w:t>
      </w:r>
      <w:r w:rsidR="00FF0AC3" w:rsidRPr="00E81C9C">
        <w:t xml:space="preserve"> rekruttering </w:t>
      </w:r>
      <w:r w:rsidR="00FF0AC3">
        <w:t>t</w:t>
      </w:r>
      <w:r w:rsidR="00FF0AC3" w:rsidRPr="00E81C9C">
        <w:t>i</w:t>
      </w:r>
      <w:r w:rsidR="00FF0AC3">
        <w:t>l</w:t>
      </w:r>
      <w:r w:rsidR="00FF0AC3" w:rsidRPr="00E81C9C">
        <w:t xml:space="preserve"> fastlegeordningen</w:t>
      </w:r>
      <w:r w:rsidR="00FF0AC3">
        <w:t>.</w:t>
      </w:r>
    </w:p>
    <w:bookmarkEnd w:id="3984"/>
    <w:p w14:paraId="5678C504" w14:textId="447560BC" w:rsidR="00FF0AC3" w:rsidRDefault="00FF0AC3" w:rsidP="006B0AE5">
      <w:pPr>
        <w:jc w:val="both"/>
      </w:pPr>
      <w:r>
        <w:t xml:space="preserve">Ekspertutvalget anbefaler at gjennomført LIS1 eller tilsvarende er tilstrekkelig for å jobbe selvstendig i legevakt. </w:t>
      </w:r>
      <w:r w:rsidR="00404F83">
        <w:t xml:space="preserve">Endringen medfører at </w:t>
      </w:r>
      <w:r w:rsidR="00432233">
        <w:t>de særlige kompetansekravene og</w:t>
      </w:r>
      <w:r w:rsidR="00404F83">
        <w:t xml:space="preserve"> bakvaktkravet </w:t>
      </w:r>
      <w:r w:rsidR="00432233">
        <w:t>for legevaktarbeid</w:t>
      </w:r>
      <w:r w:rsidR="004D6002">
        <w:t xml:space="preserve"> </w:t>
      </w:r>
      <w:r w:rsidR="004A7347">
        <w:t>bortfaller</w:t>
      </w:r>
      <w:r w:rsidR="00432233">
        <w:t>.</w:t>
      </w:r>
      <w:r w:rsidR="009814C7">
        <w:t xml:space="preserve"> </w:t>
      </w:r>
      <w:r w:rsidR="00E86BD8">
        <w:t>Det bør sikres medisinsk faglig støtte for lege i vakt, og god opplæring i lokale rutiner og samtrening med akuttmedisinsk team i kommunen, samt ambulansetjenesten. Kommunen må, i henhold til krav om forsvarlighet, gjøre vurderinger av hvilke leger som er kvalifisert til å jobbe i legevakt.</w:t>
      </w:r>
    </w:p>
    <w:p w14:paraId="722B1CB7" w14:textId="2FCFD3D8" w:rsidR="00FF0AC3" w:rsidRDefault="00FF0AC3" w:rsidP="006B0AE5">
      <w:pPr>
        <w:jc w:val="both"/>
        <w:rPr>
          <w:rFonts w:cstheme="minorHAnsi"/>
        </w:rPr>
      </w:pPr>
      <w:r>
        <w:t xml:space="preserve">Ekspertutvalget anbefaler </w:t>
      </w:r>
      <w:r>
        <w:rPr>
          <w:rFonts w:cstheme="minorHAnsi"/>
        </w:rPr>
        <w:t>sentralisering av</w:t>
      </w:r>
      <w:r w:rsidRPr="00D631AD">
        <w:rPr>
          <w:rFonts w:cstheme="minorHAnsi"/>
        </w:rPr>
        <w:t xml:space="preserve"> legevaktsentraler, </w:t>
      </w:r>
      <w:r w:rsidR="00160312">
        <w:rPr>
          <w:rFonts w:cstheme="minorHAnsi"/>
        </w:rPr>
        <w:t>tilrettelagt for videokonsultasjon</w:t>
      </w:r>
      <w:r w:rsidR="00160312">
        <w:t xml:space="preserve"> </w:t>
      </w:r>
      <w:r>
        <w:t>med</w:t>
      </w:r>
      <w:r w:rsidRPr="00D631AD">
        <w:rPr>
          <w:rFonts w:cstheme="minorHAnsi"/>
        </w:rPr>
        <w:t xml:space="preserve"> forsterket bemanning</w:t>
      </w:r>
      <w:r>
        <w:rPr>
          <w:rFonts w:cstheme="minorHAnsi"/>
        </w:rPr>
        <w:t xml:space="preserve"> </w:t>
      </w:r>
      <w:r w:rsidRPr="00D631AD">
        <w:rPr>
          <w:rFonts w:cstheme="minorHAnsi"/>
        </w:rPr>
        <w:t>og</w:t>
      </w:r>
      <w:r>
        <w:rPr>
          <w:rFonts w:cstheme="minorHAnsi"/>
        </w:rPr>
        <w:t xml:space="preserve"> </w:t>
      </w:r>
      <w:r w:rsidRPr="00D631AD">
        <w:rPr>
          <w:rFonts w:cstheme="minorHAnsi"/>
        </w:rPr>
        <w:t>fast tilstedeværende lege</w:t>
      </w:r>
      <w:r>
        <w:rPr>
          <w:rFonts w:cstheme="minorHAnsi"/>
        </w:rPr>
        <w:t xml:space="preserve">. </w:t>
      </w:r>
      <w:r w:rsidR="00205B11" w:rsidRPr="49F9B91A">
        <w:t>Ekspertutvalget mener at grad av sen</w:t>
      </w:r>
      <w:r w:rsidR="00205B11">
        <w:t>t</w:t>
      </w:r>
      <w:r w:rsidR="00205B11" w:rsidRPr="49F9B91A">
        <w:t>ralisering må vurderes etter geografiske forhold, befolkningsmønster og andre lokale/regionale hensyn</w:t>
      </w:r>
      <w:r w:rsidR="00205B11">
        <w:t>.</w:t>
      </w:r>
    </w:p>
    <w:p w14:paraId="7AF998C1" w14:textId="136BE4A3" w:rsidR="00FF0AC3" w:rsidRDefault="002368BD" w:rsidP="006B0AE5">
      <w:pPr>
        <w:jc w:val="both"/>
      </w:pPr>
      <w:r w:rsidRPr="49F9B91A">
        <w:t xml:space="preserve">For å avlaste allmennleger for legevaktarbeid og sikre lokalt akuttilbud i distriktene, </w:t>
      </w:r>
      <w:r w:rsidR="00413261">
        <w:t>anbefaler e</w:t>
      </w:r>
      <w:r w:rsidR="00FF0AC3" w:rsidRPr="49F9B91A">
        <w:t>kspertutvalget at det opprettes desentraliserte akuttilbud, med støtte fra forsterke</w:t>
      </w:r>
      <w:r w:rsidR="00862C77">
        <w:t>d</w:t>
      </w:r>
      <w:r w:rsidR="00FF0AC3" w:rsidRPr="49F9B91A">
        <w:t>e legevaktsentraler</w:t>
      </w:r>
      <w:r w:rsidR="00862C77">
        <w:t>,</w:t>
      </w:r>
      <w:r w:rsidR="00FF0AC3" w:rsidRPr="49F9B91A">
        <w:t xml:space="preserve"> som er bemannet med lege og tilrettelagt for videokonsultasjon</w:t>
      </w:r>
      <w:r w:rsidR="009165BC">
        <w:t>.</w:t>
      </w:r>
      <w:r w:rsidR="00FF0AC3" w:rsidRPr="49F9B91A">
        <w:t xml:space="preserve"> </w:t>
      </w:r>
      <w:r w:rsidR="00FF0AC3">
        <w:t>Samtidig anbefaler ekspertutvalget at det t</w:t>
      </w:r>
      <w:r w:rsidR="00FF0AC3" w:rsidRPr="6947CFDB">
        <w:t>ilrettelegges for bruk av videokonsultasjon ved alle legevaktsentraler og legevakter.</w:t>
      </w:r>
    </w:p>
    <w:p w14:paraId="7C847403" w14:textId="77777777" w:rsidR="00D9107F" w:rsidRDefault="00FF0AC3" w:rsidP="006B0AE5">
      <w:pPr>
        <w:jc w:val="both"/>
        <w:rPr>
          <w:rFonts w:cstheme="minorHAnsi"/>
        </w:rPr>
      </w:pPr>
      <w:r>
        <w:t>Ekspertutvalget anbefaler g</w:t>
      </w:r>
      <w:r w:rsidRPr="00D631AD">
        <w:rPr>
          <w:rFonts w:cstheme="minorHAnsi"/>
        </w:rPr>
        <w:t xml:space="preserve">jennomgang og evaluering av triageringsverktøy i legevaktsentral og legevakt, </w:t>
      </w:r>
      <w:r>
        <w:rPr>
          <w:rFonts w:cstheme="minorHAnsi"/>
        </w:rPr>
        <w:t xml:space="preserve">og </w:t>
      </w:r>
      <w:r w:rsidRPr="00D631AD">
        <w:rPr>
          <w:rFonts w:cstheme="minorHAnsi"/>
        </w:rPr>
        <w:t>ved behov utvikle</w:t>
      </w:r>
      <w:r w:rsidR="00397CE3">
        <w:rPr>
          <w:rFonts w:cstheme="minorHAnsi"/>
        </w:rPr>
        <w:t xml:space="preserve">, </w:t>
      </w:r>
      <w:r w:rsidRPr="00D631AD">
        <w:rPr>
          <w:rFonts w:cstheme="minorHAnsi"/>
        </w:rPr>
        <w:t>videreutvikle og teste et egnet verktøy.</w:t>
      </w:r>
    </w:p>
    <w:p w14:paraId="08A15F22" w14:textId="77777777" w:rsidR="00D9107F" w:rsidRDefault="008A3728" w:rsidP="006B0AE5">
      <w:pPr>
        <w:jc w:val="both"/>
        <w:rPr>
          <w:rFonts w:cstheme="minorHAnsi"/>
        </w:rPr>
      </w:pPr>
      <w:r w:rsidRPr="00001ECF">
        <w:t>Ekspertutvalget mener at det er stort potensiale for bruk av personell på tvers av tjenester</w:t>
      </w:r>
      <w:r>
        <w:rPr>
          <w:rFonts w:cstheme="minorHAnsi"/>
        </w:rPr>
        <w:t xml:space="preserve">. </w:t>
      </w:r>
      <w:r w:rsidR="00FF0AC3">
        <w:rPr>
          <w:rFonts w:cstheme="minorHAnsi"/>
        </w:rPr>
        <w:t xml:space="preserve">Ekspertutvalget anbefaler at </w:t>
      </w:r>
      <w:r w:rsidR="00C92BB9">
        <w:rPr>
          <w:rFonts w:cstheme="minorHAnsi"/>
        </w:rPr>
        <w:t>lege</w:t>
      </w:r>
      <w:r w:rsidR="00FF0AC3">
        <w:rPr>
          <w:rFonts w:cstheme="minorHAnsi"/>
        </w:rPr>
        <w:t xml:space="preserve"> i legevakt ikke </w:t>
      </w:r>
      <w:r w:rsidR="00C92BB9">
        <w:rPr>
          <w:rFonts w:cstheme="minorHAnsi"/>
        </w:rPr>
        <w:t xml:space="preserve">skal </w:t>
      </w:r>
      <w:r w:rsidR="00862C77">
        <w:rPr>
          <w:rFonts w:cstheme="minorHAnsi"/>
        </w:rPr>
        <w:t>måtte</w:t>
      </w:r>
      <w:r w:rsidR="00FF0AC3">
        <w:rPr>
          <w:rFonts w:cstheme="minorHAnsi"/>
        </w:rPr>
        <w:t xml:space="preserve"> </w:t>
      </w:r>
      <w:r w:rsidR="00862C77">
        <w:rPr>
          <w:rFonts w:cstheme="minorHAnsi"/>
        </w:rPr>
        <w:t xml:space="preserve">være </w:t>
      </w:r>
      <w:r w:rsidR="00FF0AC3">
        <w:rPr>
          <w:rFonts w:cstheme="minorHAnsi"/>
        </w:rPr>
        <w:t>alene</w:t>
      </w:r>
      <w:r w:rsidR="00862C77">
        <w:rPr>
          <w:rFonts w:cstheme="minorHAnsi"/>
        </w:rPr>
        <w:t xml:space="preserve"> i aktiv vakt</w:t>
      </w:r>
      <w:r w:rsidR="00FF0AC3">
        <w:rPr>
          <w:rFonts w:cstheme="minorHAnsi"/>
        </w:rPr>
        <w:t xml:space="preserve">, men </w:t>
      </w:r>
      <w:r w:rsidR="00877274">
        <w:rPr>
          <w:rFonts w:cstheme="minorHAnsi"/>
        </w:rPr>
        <w:t>ha</w:t>
      </w:r>
      <w:r w:rsidR="00FF0AC3">
        <w:rPr>
          <w:rFonts w:cstheme="minorHAnsi"/>
        </w:rPr>
        <w:t xml:space="preserve"> tilgang </w:t>
      </w:r>
      <w:r w:rsidR="002C6F85">
        <w:rPr>
          <w:rFonts w:cstheme="minorHAnsi"/>
        </w:rPr>
        <w:t>til</w:t>
      </w:r>
      <w:r w:rsidR="00FF0AC3">
        <w:rPr>
          <w:rFonts w:cstheme="minorHAnsi"/>
        </w:rPr>
        <w:t xml:space="preserve"> annet personell</w:t>
      </w:r>
      <w:r w:rsidR="00877274">
        <w:rPr>
          <w:rFonts w:cstheme="minorHAnsi"/>
        </w:rPr>
        <w:t xml:space="preserve"> ved behov</w:t>
      </w:r>
      <w:r w:rsidR="00FF0AC3">
        <w:rPr>
          <w:rFonts w:cstheme="minorHAnsi"/>
        </w:rPr>
        <w:t>.</w:t>
      </w:r>
    </w:p>
    <w:p w14:paraId="6073915D" w14:textId="77777777" w:rsidR="00D9107F" w:rsidRDefault="00E77729" w:rsidP="00E77729">
      <w:bookmarkStart w:id="3985" w:name="_Hlk130493750"/>
      <w:r>
        <w:t xml:space="preserve">Ekspertutvalget mener at overføring av legevakt til helseforetak i store byer kan være hensiktsmessig, av hensyn til rekruttering og stabilisering av fastlegeordningen i disse områdene. </w:t>
      </w:r>
      <w:r w:rsidR="00FF0AC3">
        <w:t>Ekspertutvalget foreslår utprøving av d</w:t>
      </w:r>
      <w:r w:rsidR="00FF0AC3" w:rsidRPr="01C76224">
        <w:t>rift</w:t>
      </w:r>
      <w:r w:rsidR="00FF0AC3" w:rsidRPr="721B4544">
        <w:t xml:space="preserve"> av legevakt i helseforetakene på natt</w:t>
      </w:r>
      <w:r w:rsidR="0024499A">
        <w:t>,</w:t>
      </w:r>
      <w:r w:rsidR="00FF0AC3" w:rsidRPr="721B4544">
        <w:t xml:space="preserve"> der samlokalisering eller nær plassering allerede foreligger.</w:t>
      </w:r>
    </w:p>
    <w:p w14:paraId="402FC65D" w14:textId="77777777" w:rsidR="00D9107F" w:rsidRDefault="00FF0AC3" w:rsidP="006B0AE5">
      <w:pPr>
        <w:jc w:val="both"/>
      </w:pPr>
      <w:bookmarkStart w:id="3986" w:name="_Hlk130483266"/>
      <w:bookmarkEnd w:id="3985"/>
      <w:r>
        <w:t>Ekspertutvalget anbefaler statlig tilskudd/finansiering av samarbeidsordninger mellom forvaltningsnivå</w:t>
      </w:r>
      <w:r w:rsidR="0024499A">
        <w:t>ene</w:t>
      </w:r>
      <w:r>
        <w:t xml:space="preserve"> i den prehospitale kjede, for å fremme bedre ressursutnyttelse lokalt.</w:t>
      </w:r>
      <w:bookmarkEnd w:id="3986"/>
    </w:p>
    <w:p w14:paraId="54886E39" w14:textId="77777777" w:rsidR="00D9107F" w:rsidRDefault="00790840" w:rsidP="00790840">
      <w:pPr>
        <w:spacing w:line="252" w:lineRule="auto"/>
        <w:jc w:val="both"/>
      </w:pPr>
      <w:bookmarkStart w:id="3987" w:name="_Hlk130487220"/>
      <w:r>
        <w:t>Ekspertutvalget vurderer at fastlønn</w:t>
      </w:r>
      <w:r w:rsidRPr="00D9107F">
        <w:rPr>
          <w:rStyle w:val="kursiv"/>
        </w:rPr>
        <w:t xml:space="preserve"> </w:t>
      </w:r>
      <w:r w:rsidRPr="00A00AA6">
        <w:t>i</w:t>
      </w:r>
      <w:r w:rsidRPr="00D9107F">
        <w:rPr>
          <w:rStyle w:val="kursiv"/>
        </w:rPr>
        <w:t xml:space="preserve"> </w:t>
      </w:r>
      <w:r w:rsidRPr="00DB4F44">
        <w:t>legevakt</w:t>
      </w:r>
      <w:r>
        <w:t xml:space="preserve"> er et nyttig grep for å redusere arbeidsmengden, ved at portvaktfunksjonene inn til legevakt styrkes. Ekspertutvalget mener også at fastlønn vil kunne styrke rekrutteringen til legevakt, ved å gi bedre kompensasjon og forutsigbar lønn for leger i vakt. </w:t>
      </w:r>
      <w:r w:rsidRPr="00084654">
        <w:rPr>
          <w:rFonts w:cstheme="minorHAnsi"/>
        </w:rPr>
        <w:t xml:space="preserve">Ekspertutvalget anbefaler </w:t>
      </w:r>
      <w:r>
        <w:rPr>
          <w:rFonts w:cstheme="minorHAnsi"/>
        </w:rPr>
        <w:t xml:space="preserve">mer </w:t>
      </w:r>
      <w:r w:rsidRPr="00084654">
        <w:rPr>
          <w:rFonts w:cstheme="minorHAnsi"/>
        </w:rPr>
        <w:t>bruk av fastlønn for alt legevaktarbeid</w:t>
      </w:r>
      <w:r>
        <w:t xml:space="preserve">. </w:t>
      </w:r>
      <w:r w:rsidRPr="6F0483CE">
        <w:t>For beredskap vises det til lignende avlønningsavtaler i øvrige deler av kommunen og helsevesenet.</w:t>
      </w:r>
    </w:p>
    <w:bookmarkEnd w:id="3987"/>
    <w:p w14:paraId="14F73E12" w14:textId="03D9C5DD" w:rsidR="00C5625B" w:rsidRPr="00C5625B" w:rsidRDefault="00C5625B" w:rsidP="00C33652">
      <w:r w:rsidRPr="00C5625B">
        <w:lastRenderedPageBreak/>
        <w:t>Ekspertutvalget anbefaler at kostnadsnøkkelen for primærhelsetjenester i inntektssystemet for kommunene blir justert for å ta hensyn til smådriftsulemper i drift av legevakt</w:t>
      </w:r>
      <w:r>
        <w:t>.</w:t>
      </w:r>
    </w:p>
    <w:p w14:paraId="5FFDF63C" w14:textId="77777777" w:rsidR="00D9107F" w:rsidRDefault="00593EAD" w:rsidP="006B0AE5">
      <w:pPr>
        <w:jc w:val="both"/>
      </w:pPr>
      <w:bookmarkStart w:id="3988" w:name="_Hlk130493344"/>
      <w:r>
        <w:rPr>
          <w:rFonts w:cstheme="minorHAnsi"/>
        </w:rPr>
        <w:t>Interkommunal legevakt kan være hensiktsmessig for å redusere vaktbelastningen for fastlegene. Systemet for finansiering av legevakt bør derfor oppmuntre kommunene til å etablere interkommunal legevakt når det er hensiktsmessig</w:t>
      </w:r>
      <w:r w:rsidRPr="49F9B91A">
        <w:t>.</w:t>
      </w:r>
      <w:r w:rsidR="008A05A4">
        <w:t xml:space="preserve"> </w:t>
      </w:r>
      <w:r w:rsidR="00FF0AC3">
        <w:t>Ekspertu</w:t>
      </w:r>
      <w:r w:rsidR="00FF0AC3" w:rsidRPr="49F9B91A">
        <w:t>tvalget</w:t>
      </w:r>
      <w:r w:rsidR="004B64E4" w:rsidRPr="49F9B91A">
        <w:t xml:space="preserve"> anbefaler at </w:t>
      </w:r>
      <w:r w:rsidR="00FF0AC3">
        <w:t>finansieringssystemet</w:t>
      </w:r>
      <w:r w:rsidR="004B64E4" w:rsidRPr="49F9B91A">
        <w:t xml:space="preserve"> for legevakt gjennomgås</w:t>
      </w:r>
      <w:r w:rsidR="696EFB55" w:rsidRPr="1EA0E332">
        <w:t>,</w:t>
      </w:r>
      <w:r w:rsidR="004B64E4" w:rsidRPr="49F9B91A">
        <w:t xml:space="preserve"> for å fjerne hindringer for etablering av interkommunal legevakt.</w:t>
      </w:r>
      <w:bookmarkEnd w:id="3988"/>
    </w:p>
    <w:p w14:paraId="52630E13" w14:textId="095D6BD1" w:rsidR="00AD382C" w:rsidRDefault="00AD382C" w:rsidP="00775632">
      <w:pPr>
        <w:pStyle w:val="Overskrift2"/>
      </w:pPr>
      <w:bookmarkStart w:id="3989" w:name="_Toc130932192"/>
      <w:bookmarkStart w:id="3990" w:name="_Toc130934483"/>
      <w:bookmarkStart w:id="3991" w:name="_Toc130983615"/>
      <w:bookmarkStart w:id="3992" w:name="_Toc130983964"/>
      <w:bookmarkStart w:id="3993" w:name="_Toc131062234"/>
      <w:bookmarkStart w:id="3994" w:name="_Toc131062488"/>
      <w:bookmarkStart w:id="3995" w:name="_Toc131062749"/>
      <w:bookmarkStart w:id="3996" w:name="_Toc131063002"/>
      <w:bookmarkStart w:id="3997" w:name="_Toc131063785"/>
      <w:bookmarkStart w:id="3998" w:name="_Toc131064196"/>
      <w:bookmarkStart w:id="3999" w:name="_Toc131238526"/>
      <w:bookmarkStart w:id="4000" w:name="_Toc131279557"/>
      <w:bookmarkStart w:id="4001" w:name="_Toc131286969"/>
      <w:bookmarkStart w:id="4002" w:name="_Toc131281379"/>
      <w:bookmarkStart w:id="4003" w:name="_Toc131317919"/>
      <w:bookmarkStart w:id="4004" w:name="_Toc132537040"/>
      <w:r>
        <w:t>Innledende om legevakt</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6B28CD74" w14:textId="77777777" w:rsidR="00D9107F" w:rsidRDefault="00021E21" w:rsidP="00BC0007">
      <w:pPr>
        <w:jc w:val="both"/>
      </w:pPr>
      <w:r>
        <w:t>Når det oppstår sykdom og behov for helsehjelp</w:t>
      </w:r>
      <w:r w:rsidR="008B6555">
        <w:t xml:space="preserve"> i </w:t>
      </w:r>
      <w:r>
        <w:t>akutte situasjoner har innbyggerne behov for rask og god hjelp av kvalifisert helsepersonell. I slike situasjoner er legevakten ofte innbyggernes første møte med helsetjenesten.</w:t>
      </w:r>
    </w:p>
    <w:p w14:paraId="60123AF8" w14:textId="6CF76D4B" w:rsidR="00CA575F" w:rsidRDefault="00CA575F" w:rsidP="00BC0007">
      <w:pPr>
        <w:jc w:val="both"/>
      </w:pPr>
      <w:r>
        <w:t>Legevakt bemannes i stor grad av fastleger</w:t>
      </w:r>
      <w:r w:rsidR="00862C77">
        <w:t>,</w:t>
      </w:r>
      <w:r>
        <w:t xml:space="preserve"> og arbeidet utføres i tillegg til legenes fastlegearbeid og andre allmennlegeoppgaver. Legevakttjenesten inngår som en del av allmennlegetjenesten i kommuner, og legevakt- og fastlegetjenestene påvirker hverandre derfor gjensidig. Stadig flere kommuner opplever at rekrutterings- og stabilitetsutfordringene i fastlegeordningen forplanter seg til legevakttjenesten. Økende arbeidspress på legevakt på grunn av få fastleger i vaktlegekorpset kan igjen påvirke rekruttering til </w:t>
      </w:r>
      <w:r w:rsidR="004A2C93">
        <w:t xml:space="preserve">fastlegetjenesten </w:t>
      </w:r>
      <w:r>
        <w:t>negativt.</w:t>
      </w:r>
    </w:p>
    <w:p w14:paraId="2D06113C" w14:textId="27428837" w:rsidR="00D9107F" w:rsidRDefault="00731EAE" w:rsidP="00BC0007">
      <w:pPr>
        <w:jc w:val="both"/>
      </w:pPr>
      <w:r>
        <w:t xml:space="preserve">Mandatet ber ekspertutvalget utrede endringer som </w:t>
      </w:r>
      <w:r w:rsidR="00D9107F">
        <w:t>«</w:t>
      </w:r>
      <w:r>
        <w:t>blant annet legger til rette for redusert arbeidstid i legevakt for allmennleger i legevakt.</w:t>
      </w:r>
      <w:r w:rsidR="00D9107F">
        <w:t>»</w:t>
      </w:r>
      <w:r>
        <w:t xml:space="preserve"> Arbeidsbelastning på legevakt avhenger av flere faktorer enn </w:t>
      </w:r>
      <w:r w:rsidR="004F457E">
        <w:t xml:space="preserve">kun </w:t>
      </w:r>
      <w:r>
        <w:t>arbeidstid. Tilstrekkelig kompetanse hos legen</w:t>
      </w:r>
      <w:r w:rsidR="005F22A1">
        <w:t>, tilgang på</w:t>
      </w:r>
      <w:r>
        <w:t xml:space="preserve"> annet legevaktpersonell, god organisering i kommunen og et velfungerende samarbeid med resten av den akuttmedisinske kjeden er forhold som påvirker arbeidsbelastningen for den enkelte lege, i tillegg til reell arbeidsmengde og arbeidstid.</w:t>
      </w:r>
    </w:p>
    <w:p w14:paraId="31016D66" w14:textId="77777777" w:rsidR="00D9107F" w:rsidRDefault="00B94D05" w:rsidP="00775632">
      <w:pPr>
        <w:pStyle w:val="Overskrift3"/>
      </w:pPr>
      <w:bookmarkStart w:id="4005" w:name="_Toc131279558"/>
      <w:bookmarkStart w:id="4006" w:name="_Toc131286970"/>
      <w:bookmarkStart w:id="4007" w:name="_Toc131281380"/>
      <w:bookmarkStart w:id="4008" w:name="_Toc131317920"/>
      <w:bookmarkStart w:id="4009" w:name="_Toc132537041"/>
      <w:bookmarkStart w:id="4010" w:name="_Toc127633293"/>
      <w:bookmarkStart w:id="4011" w:name="_Toc127864578"/>
      <w:bookmarkStart w:id="4012" w:name="_Toc128238591"/>
      <w:bookmarkStart w:id="4013" w:name="_Toc128467421"/>
      <w:bookmarkStart w:id="4014" w:name="_Toc128744668"/>
      <w:bookmarkStart w:id="4015" w:name="_Toc128744887"/>
      <w:bookmarkStart w:id="4016" w:name="_Toc129630390"/>
      <w:bookmarkStart w:id="4017" w:name="_Toc130763899"/>
      <w:bookmarkStart w:id="4018" w:name="_Toc130766794"/>
      <w:bookmarkStart w:id="4019" w:name="_Toc130932193"/>
      <w:bookmarkStart w:id="4020" w:name="_Toc130934484"/>
      <w:bookmarkStart w:id="4021" w:name="_Toc130983616"/>
      <w:bookmarkStart w:id="4022" w:name="_Toc130983965"/>
      <w:bookmarkStart w:id="4023" w:name="_Toc131062235"/>
      <w:bookmarkStart w:id="4024" w:name="_Toc131062489"/>
      <w:bookmarkStart w:id="4025" w:name="_Toc131062750"/>
      <w:bookmarkStart w:id="4026" w:name="_Toc131063003"/>
      <w:bookmarkStart w:id="4027" w:name="_Toc131063786"/>
      <w:bookmarkStart w:id="4028" w:name="_Toc131064197"/>
      <w:bookmarkStart w:id="4029" w:name="_Toc131238527"/>
      <w:r>
        <w:t>Kommunens ansvar</w:t>
      </w:r>
      <w:bookmarkEnd w:id="4005"/>
      <w:bookmarkEnd w:id="4006"/>
      <w:bookmarkEnd w:id="4007"/>
      <w:bookmarkEnd w:id="4008"/>
      <w:bookmarkEnd w:id="4009"/>
    </w:p>
    <w:p w14:paraId="7C197137" w14:textId="5668D221" w:rsidR="00D9107F" w:rsidRDefault="00B94D05" w:rsidP="00AF1170">
      <w:r>
        <w:t xml:space="preserve">Kommunen skal sørge for at alle som oppholder seg i kommunen, tilbys nødvendige helse- og omsorgstjenester, og for å oppfylle dette ansvaret, skal kommunene blant annet tilby hjelp ved ulykker og andre akutte situasjoner, herunder legevakt, jf. helse- og omsorgstjenesteloven </w:t>
      </w:r>
      <w:r w:rsidR="00D9107F">
        <w:t>§ 3</w:t>
      </w:r>
      <w:r>
        <w:t xml:space="preserve">-1, jf. </w:t>
      </w:r>
      <w:r w:rsidR="00D9107F">
        <w:t>§ 3</w:t>
      </w:r>
      <w:r>
        <w:t>-2 br. 3 bokstav a.</w:t>
      </w:r>
    </w:p>
    <w:p w14:paraId="3933940E" w14:textId="100DAEE3" w:rsidR="00B94D05" w:rsidRDefault="00B94D05" w:rsidP="00AF1170">
      <w:r>
        <w:t>Akuttmedisinforskriften</w:t>
      </w:r>
      <w:r w:rsidR="00F80DB1">
        <w:t xml:space="preserve"> </w:t>
      </w:r>
      <w:r w:rsidR="00CE2F35">
        <w:fldChar w:fldCharType="begin"/>
      </w:r>
      <w:r w:rsidR="00CE2F35">
        <w:instrText xml:space="preserve"> ADDIN EN.CITE &lt;EndNote&gt;&lt;Cite ExcludeAuth="1"&gt;&lt;Year&gt;2015&lt;/Year&gt;&lt;RecNum&gt;1008&lt;/RecNum&gt;&lt;DisplayText&gt;(&lt;style face="italic"&gt;Forskrift om krav til og organisering av kommunal legevaktordning, ambulansetjeneste, medisinsk nødmeldetjeneste mv. (akuttmedisinforskriften) &lt;/style&gt;2015)&lt;/DisplayText&gt;&lt;record&gt;&lt;rec-number&gt;1008&lt;/rec-number&gt;&lt;foreign-keys&gt;&lt;key app="EN" db-id="95tpr2tp6r9xwoea9rb5wdsz5ds5xeddteew" timestamp="1681109052"&gt;1008&lt;/key&gt;&lt;/foreign-keys&gt;&lt;ref-type name="Legal Rule or Regulation"&gt;50&lt;/ref-type&gt;&lt;contributors&gt;&lt;/contributors&gt;&lt;titles&gt;&lt;title&gt;Forskrift om krav til og organisering av kommunal legevaktordning, ambulansetjeneste, medisinsk nødmeldetjeneste mv. (akuttmedisinforskriften) &lt;/title&gt;&lt;secondary-title&gt;FOR-2015-03-20-231.&lt;/secondary-title&gt;&lt;/titles&gt;&lt;edition&gt;FOR-2022-10-28-1817&lt;/edition&gt;&lt;dates&gt;&lt;year&gt;2015&lt;/year&gt;&lt;/dates&gt;&lt;urls&gt;&lt;related-urls&gt;&lt;url&gt;https://lovdata.no/forskrift/2015-03-20-231 &lt;/url&gt;&lt;/related-urls&gt;&lt;/urls&gt;&lt;/record&gt;&lt;/Cite&gt;&lt;/EndNote&gt;</w:instrText>
      </w:r>
      <w:r w:rsidR="00CE2F35">
        <w:fldChar w:fldCharType="separate"/>
      </w:r>
      <w:r w:rsidR="00CE2F35">
        <w:rPr>
          <w:noProof/>
        </w:rPr>
        <w:t>(</w:t>
      </w:r>
      <w:r w:rsidR="00CE2F35" w:rsidRPr="00D9107F">
        <w:rPr>
          <w:rStyle w:val="kursiv"/>
        </w:rPr>
        <w:t xml:space="preserve">Forskrift om krav til og organisering av kommunal legevaktordning, ambulansetjeneste, medisinsk nødmeldetjeneste mv. (akuttmedisinforskriften) </w:t>
      </w:r>
      <w:r w:rsidR="00CE2F35">
        <w:rPr>
          <w:noProof/>
        </w:rPr>
        <w:t>2015)</w:t>
      </w:r>
      <w:r w:rsidR="00CE2F35">
        <w:fldChar w:fldCharType="end"/>
      </w:r>
      <w:r>
        <w:t xml:space="preserve"> presiserer kommunens ansvar for kommunal legevaktordning i </w:t>
      </w:r>
      <w:r w:rsidR="00D9107F">
        <w:t>§ 6</w:t>
      </w:r>
      <w:r>
        <w:t>:</w:t>
      </w:r>
    </w:p>
    <w:p w14:paraId="0AC3AAF1" w14:textId="77777777" w:rsidR="00B94D05" w:rsidRPr="00D9107F" w:rsidRDefault="00B94D05" w:rsidP="00AF1170">
      <w:pPr>
        <w:rPr>
          <w:rStyle w:val="kursiv"/>
        </w:rPr>
      </w:pPr>
      <w:r w:rsidRPr="00D9107F">
        <w:rPr>
          <w:rStyle w:val="kursiv"/>
        </w:rPr>
        <w:t>Kommunen skal tilby legevaktordning som sikrer befolkningens behov for øyeblikkelig hjelp, og må sørge for at minst en lege er tilgjengelig for legevakt hele døgnet. Legevaktordningen skal blant annet</w:t>
      </w:r>
    </w:p>
    <w:p w14:paraId="0F818877" w14:textId="77777777" w:rsidR="00B94D05" w:rsidRPr="00D9107F" w:rsidRDefault="00B94D05" w:rsidP="00775632">
      <w:pPr>
        <w:pStyle w:val="alfaliste"/>
        <w:numPr>
          <w:ilvl w:val="0"/>
          <w:numId w:val="45"/>
        </w:numPr>
        <w:rPr>
          <w:rStyle w:val="kursiv"/>
        </w:rPr>
      </w:pPr>
      <w:r w:rsidRPr="00D9107F">
        <w:rPr>
          <w:rStyle w:val="kursiv"/>
        </w:rPr>
        <w:t>vurdere, gi råd og veilede ved henvendelser om øyeblikkelig hjelp</w:t>
      </w:r>
    </w:p>
    <w:p w14:paraId="775CF772" w14:textId="77777777" w:rsidR="00B94D05" w:rsidRPr="00D9107F" w:rsidRDefault="00B94D05" w:rsidP="00775632">
      <w:pPr>
        <w:pStyle w:val="alfaliste"/>
        <w:numPr>
          <w:ilvl w:val="0"/>
          <w:numId w:val="45"/>
        </w:numPr>
        <w:rPr>
          <w:rStyle w:val="kursiv"/>
        </w:rPr>
      </w:pPr>
      <w:r w:rsidRPr="00D9107F">
        <w:rPr>
          <w:rStyle w:val="kursiv"/>
        </w:rPr>
        <w:lastRenderedPageBreak/>
        <w:t>diagnostisere og behandle akutte medisinske tilstander ved legekonsultasjoner og sykebesøk og ved behov henvise til andre tjenester i kommunen, blant annet fastlege, og eventuelt spesialisthelsetjeneste og</w:t>
      </w:r>
    </w:p>
    <w:p w14:paraId="448DD5C9" w14:textId="77777777" w:rsidR="00B94D05" w:rsidRPr="00D9107F" w:rsidRDefault="00B94D05" w:rsidP="00775632">
      <w:pPr>
        <w:pStyle w:val="alfaliste"/>
        <w:numPr>
          <w:ilvl w:val="0"/>
          <w:numId w:val="45"/>
        </w:numPr>
        <w:rPr>
          <w:rStyle w:val="kursiv"/>
        </w:rPr>
      </w:pPr>
      <w:r w:rsidRPr="00D9107F">
        <w:rPr>
          <w:rStyle w:val="kursiv"/>
        </w:rPr>
        <w:t>yte hjelp ved ulykker og andre akutte situasjoner, blant annet rykke ut umiddelbart når det er nødvendig.</w:t>
      </w:r>
    </w:p>
    <w:p w14:paraId="104F6626" w14:textId="2FAD6274" w:rsidR="00B94D05" w:rsidRPr="00740ECD" w:rsidRDefault="008D0265" w:rsidP="00194D80">
      <w:pPr>
        <w:jc w:val="both"/>
      </w:pPr>
      <w:r w:rsidRPr="00A55ADC">
        <w:rPr>
          <w:shd w:val="clear" w:color="auto" w:fill="FFFFFF"/>
        </w:rPr>
        <w:t xml:space="preserve">I utgangspunktet står kommunene fritt i hvordan de organiserer legevakt så lenge de oppfyller kravene i lov og forskrift. </w:t>
      </w:r>
      <w:r w:rsidR="00B94D05" w:rsidRPr="00A55ADC">
        <w:t>Kommunal legevaktordning består av legevaktsentral, ett fast/nasjonalt legevaktnummer</w:t>
      </w:r>
      <w:r w:rsidR="00862C77" w:rsidRPr="00A55ADC">
        <w:t xml:space="preserve"> (11</w:t>
      </w:r>
      <w:r w:rsidR="00D9107F" w:rsidRPr="00A55ADC">
        <w:t>6</w:t>
      </w:r>
      <w:r w:rsidR="00D9107F">
        <w:t> </w:t>
      </w:r>
      <w:r w:rsidR="00D9107F" w:rsidRPr="00A55ADC">
        <w:t>117</w:t>
      </w:r>
      <w:r w:rsidR="00862C77" w:rsidRPr="00A55ADC">
        <w:t>)</w:t>
      </w:r>
      <w:r w:rsidR="00B94D05" w:rsidRPr="00A55ADC">
        <w:t xml:space="preserve"> og lege(r) i vaktberedskap </w:t>
      </w:r>
      <w:r w:rsidR="00B94D05" w:rsidRPr="00A55ADC">
        <w:fldChar w:fldCharType="begin"/>
      </w:r>
      <w:r w:rsidR="00235862">
        <w:instrText xml:space="preserve"> ADDIN EN.CITE &lt;EndNote&gt;&lt;Cite ExcludeAuth="1"&gt;&lt;Author&gt;Helse- og omsorgsdepartementet&lt;/Author&gt;&lt;Year&gt;2015&lt;/Year&gt;&lt;RecNum&gt;728&lt;/RecNum&gt;&lt;DisplayText&gt;(2015c)&lt;/DisplayText&gt;&lt;record&gt;&lt;rec-number&gt;728&lt;/rec-number&gt;&lt;foreign-keys&gt;&lt;key app="EN" db-id="95tpr2tp6r9xwoea9rb5wdsz5ds5xeddteew" timestamp="1680069511"&gt;728&lt;/key&gt;&lt;/foreign-keys&gt;&lt;ref-type name="Report"&gt;27&lt;/ref-type&gt;&lt;contributors&gt;&lt;authors&gt;&lt;author&gt;Helse- og omsorgsdepartementet,&lt;/author&gt;&lt;/authors&gt;&lt;/contributors&gt;&lt;titles&gt;&lt;title&gt;Rundskriv I-5/15: Akuttmedisinforskriften (med merknader til enkelte bestemmelser)&lt;/title&gt;&lt;/titles&gt;&lt;dates&gt;&lt;year&gt;2015&lt;/year&gt;&lt;/dates&gt;&lt;pub-location&gt;Oslo&lt;/pub-location&gt;&lt;publisher&gt;Helse- og omsorgsdepartementet&lt;/publisher&gt;&lt;urls&gt;&lt;/urls&gt;&lt;/record&gt;&lt;/Cite&gt;&lt;/EndNote&gt;</w:instrText>
      </w:r>
      <w:r w:rsidR="00B94D05" w:rsidRPr="00A55ADC">
        <w:fldChar w:fldCharType="separate"/>
      </w:r>
      <w:r w:rsidR="00CE2F35" w:rsidRPr="00A55ADC">
        <w:rPr>
          <w:noProof/>
        </w:rPr>
        <w:t>(2015c)</w:t>
      </w:r>
      <w:r w:rsidR="00B94D05" w:rsidRPr="00A55ADC">
        <w:fldChar w:fldCharType="end"/>
      </w:r>
      <w:r w:rsidR="00B94D05" w:rsidRPr="00A55ADC">
        <w:t>.</w:t>
      </w:r>
    </w:p>
    <w:p w14:paraId="18038236" w14:textId="77777777" w:rsidR="00D9107F" w:rsidRPr="00D9107F" w:rsidRDefault="00B94D05" w:rsidP="00194D80">
      <w:pPr>
        <w:jc w:val="both"/>
        <w:rPr>
          <w:rStyle w:val="skrift-hevet"/>
        </w:rPr>
      </w:pPr>
      <w:r w:rsidRPr="00CE27A5">
        <w:t xml:space="preserve">Det følger av fastlegeforskriften </w:t>
      </w:r>
      <w:r w:rsidR="00D9107F">
        <w:t>§ </w:t>
      </w:r>
      <w:r w:rsidR="00D9107F" w:rsidRPr="00CE27A5">
        <w:t>1</w:t>
      </w:r>
      <w:r w:rsidRPr="00CE27A5">
        <w:t>3 første ledd at fastlegen plikter å delta i a) kommunal eller interkommunal legevakt utenfor ordinær åpningstid og b) kommunens organiserte øyeblikkelig hjelp-tjeneste i kontortid, herunder tilgjengelighet i helseradionettet/nødnettet og ivaretakelse av utrykningsplikten.</w:t>
      </w:r>
      <w:r>
        <w:t xml:space="preserve"> Fastlegen har en plikt, men ikke en rett, til å delta i legevakt. Det vil være opp til kommunen å </w:t>
      </w:r>
      <w:r w:rsidR="00A55ADC">
        <w:t>vurdere om fastlegen skal delta</w:t>
      </w:r>
      <w:r>
        <w:t>.</w:t>
      </w:r>
    </w:p>
    <w:p w14:paraId="4844F056" w14:textId="59A719C6" w:rsidR="00D9107F" w:rsidRDefault="00B94D05" w:rsidP="00194D80">
      <w:pPr>
        <w:spacing w:line="252" w:lineRule="auto"/>
        <w:jc w:val="both"/>
        <w:rPr>
          <w:color w:val="00B050"/>
        </w:rPr>
      </w:pPr>
      <w:r>
        <w:t>K</w:t>
      </w:r>
      <w:r w:rsidRPr="00622CD0">
        <w:t>ommunen kan frita fastlegen fra å delta i kommunal eller interkommunal legevakt utenfor ordinær åpningstid</w:t>
      </w:r>
      <w:r w:rsidR="00862C77">
        <w:t>,</w:t>
      </w:r>
      <w:r w:rsidRPr="00622CD0">
        <w:t xml:space="preserve"> når legen av helsemessige eller vektige sosiale grunner ber om det</w:t>
      </w:r>
      <w:r>
        <w:t xml:space="preserve">, jf. fastlegeforskriften </w:t>
      </w:r>
      <w:r w:rsidR="00D9107F">
        <w:t>§ 1</w:t>
      </w:r>
      <w:r>
        <w:t>3 tredje ledd</w:t>
      </w:r>
      <w:r w:rsidDel="00F533FC">
        <w:t>.</w:t>
      </w:r>
      <w:r w:rsidR="00F533FC">
        <w:rPr>
          <w:color w:val="00B050"/>
        </w:rPr>
        <w:t xml:space="preserve"> </w:t>
      </w:r>
      <w:r w:rsidR="00F533FC" w:rsidRPr="00BB415D">
        <w:rPr>
          <w:color w:val="000000" w:themeColor="text1"/>
        </w:rPr>
        <w:t>Fastlegen har rett til fritak fra legevaktdeltakelse når legen er over 60 år, er gravid i de tre siste måneder av svangerskapet eller når graviditeten er til hinder for deltakelse, eller</w:t>
      </w:r>
      <w:r w:rsidR="00D9107F">
        <w:rPr>
          <w:color w:val="000000" w:themeColor="text1"/>
        </w:rPr>
        <w:t xml:space="preserve"> </w:t>
      </w:r>
      <w:r w:rsidR="00F533FC" w:rsidRPr="00BB415D">
        <w:rPr>
          <w:color w:val="000000" w:themeColor="text1"/>
        </w:rPr>
        <w:t>ammer barn som er under ett år</w:t>
      </w:r>
      <w:r w:rsidRPr="00BB415D">
        <w:rPr>
          <w:color w:val="000000" w:themeColor="text1"/>
        </w:rPr>
        <w:t>.</w:t>
      </w:r>
    </w:p>
    <w:p w14:paraId="22640B72" w14:textId="77777777" w:rsidR="00D9107F" w:rsidRDefault="00D501F0" w:rsidP="00775632">
      <w:pPr>
        <w:pStyle w:val="Overskrift2"/>
      </w:pPr>
      <w:bookmarkStart w:id="4030" w:name="_Toc131279559"/>
      <w:bookmarkStart w:id="4031" w:name="_Toc131286971"/>
      <w:bookmarkStart w:id="4032" w:name="_Toc131281381"/>
      <w:bookmarkStart w:id="4033" w:name="_Toc131317921"/>
      <w:bookmarkStart w:id="4034" w:name="_Toc132537042"/>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r>
        <w:t>Lokale forskjeller i legevakt</w:t>
      </w:r>
      <w:bookmarkEnd w:id="4030"/>
      <w:bookmarkEnd w:id="4031"/>
      <w:bookmarkEnd w:id="4032"/>
      <w:bookmarkEnd w:id="4033"/>
      <w:bookmarkEnd w:id="4034"/>
    </w:p>
    <w:p w14:paraId="5267C668" w14:textId="5DBC7868" w:rsidR="00CA575F" w:rsidRDefault="09A51149" w:rsidP="00775632">
      <w:pPr>
        <w:pStyle w:val="Overskrift3"/>
      </w:pPr>
      <w:bookmarkStart w:id="4035" w:name="_Toc128467422"/>
      <w:bookmarkStart w:id="4036" w:name="_Toc128744670"/>
      <w:bookmarkStart w:id="4037" w:name="_Toc128744889"/>
      <w:bookmarkStart w:id="4038" w:name="_Toc129630392"/>
      <w:bookmarkStart w:id="4039" w:name="_Toc130763901"/>
      <w:bookmarkStart w:id="4040" w:name="_Toc130766796"/>
      <w:bookmarkStart w:id="4041" w:name="_Toc130932195"/>
      <w:bookmarkStart w:id="4042" w:name="_Toc130934486"/>
      <w:bookmarkStart w:id="4043" w:name="_Toc130983618"/>
      <w:bookmarkStart w:id="4044" w:name="_Toc130983967"/>
      <w:bookmarkStart w:id="4045" w:name="_Toc131062237"/>
      <w:bookmarkStart w:id="4046" w:name="_Toc131062491"/>
      <w:bookmarkStart w:id="4047" w:name="_Toc131062752"/>
      <w:bookmarkStart w:id="4048" w:name="_Toc131063005"/>
      <w:bookmarkStart w:id="4049" w:name="_Toc131063788"/>
      <w:bookmarkStart w:id="4050" w:name="_Toc131064199"/>
      <w:bookmarkStart w:id="4051" w:name="_Toc131238529"/>
      <w:bookmarkStart w:id="4052" w:name="_Toc131279560"/>
      <w:bookmarkStart w:id="4053" w:name="_Toc131286972"/>
      <w:bookmarkStart w:id="4054" w:name="_Toc131281382"/>
      <w:bookmarkStart w:id="4055" w:name="_Toc131317922"/>
      <w:bookmarkStart w:id="4056" w:name="_Toc132537043"/>
      <w:r>
        <w:t>Organisering</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77EC9268" w14:textId="77777777" w:rsidR="00D9107F" w:rsidRDefault="00F67BA0" w:rsidP="00F67BA0">
      <w:r>
        <w:t>Kartlegginger av legevakt de siste årene viser stor variasjon mellom kommunene på en rekke områder, ofte</w:t>
      </w:r>
      <w:r w:rsidRPr="00597649">
        <w:t xml:space="preserve"> </w:t>
      </w:r>
      <w:r>
        <w:t xml:space="preserve">etter kommunenes befolkningsstørrelse og sentralitet </w:t>
      </w:r>
      <w:r>
        <w:fldChar w:fldCharType="begin"/>
      </w:r>
      <w:r>
        <w:instrText xml:space="preserve"> ADDIN EN.CITE &lt;EndNote&gt;&lt;Cite&gt;&lt;Author&gt;Ekornrud&lt;/Author&gt;&lt;Year&gt;2023&lt;/Year&gt;&lt;RecNum&gt;451&lt;/RecNum&gt;&lt;DisplayText&gt;(Ekornrud et al., 2023; Ekspertgruppe legevakt, 2021)&lt;/DisplayText&gt;&lt;record&gt;&lt;rec-number&gt;451&lt;/rec-number&gt;&lt;foreign-keys&gt;&lt;key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sentralbyrå&lt;/publisher&gt;&lt;urls&gt;&lt;/urls&gt;&lt;/record&gt;&lt;/Cite&gt;&lt;Cite&gt;&lt;Author&gt;Ekspertgruppe legevakt&lt;/Author&gt;&lt;Year&gt;2021&lt;/Year&gt;&lt;RecNum&gt;419&lt;/RecNum&gt;&lt;record&gt;&lt;rec-number&gt;419&lt;/rec-number&gt;&lt;foreign-keys&gt;&lt;key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fldChar w:fldCharType="separate"/>
      </w:r>
      <w:r>
        <w:rPr>
          <w:noProof/>
        </w:rPr>
        <w:t>(Ekornrud et al., 2023; Ekspertgruppe legevakt, 2021)</w:t>
      </w:r>
      <w:r>
        <w:fldChar w:fldCharType="end"/>
      </w:r>
      <w:r>
        <w:t>. O</w:t>
      </w:r>
      <w:r w:rsidR="00D501F0">
        <w:t>rganiseringen av legevakt er ulik</w:t>
      </w:r>
      <w:r w:rsidR="004B1C3E">
        <w:t xml:space="preserve"> mellom kommunene, men</w:t>
      </w:r>
      <w:r w:rsidR="6B0DCD84">
        <w:t xml:space="preserve"> kan også variere innad i den enkelte kommune gjennom døgnet og uken, mellom å ha kommunal legevakt på noen tidspunkt og inngå i interkommunalt </w:t>
      </w:r>
      <w:r w:rsidR="6B0DCD84" w:rsidRPr="00A55ADC">
        <w:t>samarbeid til andre tidspunkt. Det medfører også at antallet kommuner som inngår i interkommunalt samarbeid varierer. Det har over tid vært reduksjon i antall legevakter</w:t>
      </w:r>
      <w:r w:rsidR="2DF62A4B" w:rsidRPr="00A55ADC">
        <w:t xml:space="preserve"> </w:t>
      </w:r>
      <w:r w:rsidR="00540F95" w:rsidRPr="00A55ADC">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540F95" w:rsidRPr="00A55ADC">
        <w:fldChar w:fldCharType="separate"/>
      </w:r>
      <w:r w:rsidR="00856689" w:rsidRPr="00A55ADC">
        <w:rPr>
          <w:noProof/>
        </w:rPr>
        <w:t>(Allertsen et al., 2021)</w:t>
      </w:r>
      <w:r w:rsidR="00540F95" w:rsidRPr="00A55ADC">
        <w:fldChar w:fldCharType="end"/>
      </w:r>
      <w:r w:rsidR="00815784" w:rsidRPr="00A55ADC">
        <w:t>.</w:t>
      </w:r>
    </w:p>
    <w:p w14:paraId="37A40E0C" w14:textId="0365EAC7" w:rsidR="00731EAE" w:rsidRPr="00A55ADC" w:rsidRDefault="3F62C1A2" w:rsidP="00C908E2">
      <w:pPr>
        <w:jc w:val="both"/>
        <w:rPr>
          <w:shd w:val="clear" w:color="auto" w:fill="FFFFFF"/>
        </w:rPr>
      </w:pPr>
      <w:r w:rsidRPr="00A55ADC">
        <w:rPr>
          <w:shd w:val="clear" w:color="auto" w:fill="FFFFFF"/>
        </w:rPr>
        <w:t>Våren 2022 var landets 356 kommuner oppdelt i 168 legevaktdistrikt, hvorav 85 er en-kommune legevakter og 83 er interkommunale legevakter</w:t>
      </w:r>
      <w:r w:rsidR="02D3C3A7" w:rsidRPr="00A55ADC">
        <w:t xml:space="preserve"> </w:t>
      </w:r>
      <w:r w:rsidR="00540F95" w:rsidRPr="00A55ADC">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540F95" w:rsidRPr="00A55ADC">
        <w:fldChar w:fldCharType="separate"/>
      </w:r>
      <w:r w:rsidR="00856689" w:rsidRPr="00A55ADC">
        <w:rPr>
          <w:noProof/>
        </w:rPr>
        <w:t>(Allertsen et al., 2021)</w:t>
      </w:r>
      <w:r w:rsidR="00540F95" w:rsidRPr="00A55ADC">
        <w:fldChar w:fldCharType="end"/>
      </w:r>
      <w:r w:rsidR="00815784" w:rsidRPr="00A55ADC">
        <w:t>.</w:t>
      </w:r>
    </w:p>
    <w:p w14:paraId="2BBBAF76" w14:textId="68EC863D" w:rsidR="00CA575F" w:rsidRDefault="6B0DCD84" w:rsidP="00C908E2">
      <w:pPr>
        <w:jc w:val="both"/>
      </w:pPr>
      <w:r>
        <w:t>139 kommuner har egen kommunal legevakt hele eller deler av døgnet</w:t>
      </w:r>
      <w:r w:rsidR="00862C77">
        <w:t>,</w:t>
      </w:r>
      <w:r>
        <w:t xml:space="preserve"> uten samarbeid med andre kommuner. Av disse har 53 kun egen kommunal daglegevakt, mens de øvrige 86 kommunene har legevakt også til andre tider av døgnet og uken, utover daglegevakt. 284 av 365 kommuner inngår i en form for interkommunalt samarbeid </w:t>
      </w:r>
      <w:r w:rsidR="09A51149">
        <w:t>hele</w:t>
      </w:r>
      <w:r>
        <w:t xml:space="preserve"> eller deler av tiden. 75 kommuner er vertskommuner for interkommunale legevakter. </w:t>
      </w:r>
      <w:r w:rsidRPr="00A55ADC">
        <w:t>Vertskommuner ligger hovedsakelig i relativt sentrale kommuner</w:t>
      </w:r>
      <w:r w:rsidR="536BD3EC" w:rsidRPr="00A55ADC">
        <w:t xml:space="preserve"> </w:t>
      </w:r>
      <w:r w:rsidR="00540F95" w:rsidRPr="00A55ADC">
        <w:fldChar w:fldCharType="begin"/>
      </w:r>
      <w:r w:rsidR="00694E6D" w:rsidRPr="00A55ADC">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540F95" w:rsidRPr="00A55ADC">
        <w:fldChar w:fldCharType="separate"/>
      </w:r>
      <w:r w:rsidR="00CE2F35" w:rsidRPr="00A55ADC">
        <w:rPr>
          <w:noProof/>
        </w:rPr>
        <w:t>(Ekornrud et al., 2023)</w:t>
      </w:r>
      <w:r w:rsidR="00540F95" w:rsidRPr="00A55ADC">
        <w:fldChar w:fldCharType="end"/>
      </w:r>
      <w:r w:rsidR="00815784" w:rsidRPr="00A55ADC">
        <w:t>.</w:t>
      </w:r>
    </w:p>
    <w:p w14:paraId="5A47182F" w14:textId="20184B04" w:rsidR="00CA575F" w:rsidRDefault="09A51149" w:rsidP="00C908E2">
      <w:pPr>
        <w:jc w:val="both"/>
      </w:pPr>
      <w:r w:rsidRPr="00A55ADC">
        <w:rPr>
          <w:shd w:val="clear" w:color="auto" w:fill="FFFFFF"/>
        </w:rPr>
        <w:lastRenderedPageBreak/>
        <w:t>Det er også stor variasjon mellom legevaktene i størrelse på geografisk område og antall innbyggere legevaktene dekker. Nær halvparten av</w:t>
      </w:r>
      <w:r>
        <w:t xml:space="preserve"> legevaktene (</w:t>
      </w:r>
      <w:r w:rsidR="73252F49">
        <w:t>77</w:t>
      </w:r>
      <w:r w:rsidR="07CC4C51">
        <w:t>)</w:t>
      </w:r>
      <w:r>
        <w:t xml:space="preserve"> dekker mindre enn 1</w:t>
      </w:r>
      <w:r w:rsidR="00D9107F">
        <w:t>0 000</w:t>
      </w:r>
      <w:r>
        <w:t xml:space="preserve"> innbyggere, med et gjennomsnitt på </w:t>
      </w:r>
      <w:r w:rsidR="00D9107F">
        <w:t>4 000</w:t>
      </w:r>
      <w:r>
        <w:t xml:space="preserve"> innbyggere. </w:t>
      </w:r>
      <w:r w:rsidRPr="00A55ADC">
        <w:t xml:space="preserve">43 av disse er i helseregion </w:t>
      </w:r>
      <w:r w:rsidR="0F6CB8F2" w:rsidRPr="00A55ADC">
        <w:t>nord</w:t>
      </w:r>
      <w:r w:rsidR="660D5FE2" w:rsidRPr="00A55ADC">
        <w:t xml:space="preserve"> </w:t>
      </w:r>
      <w:r w:rsidR="00540F95" w:rsidRPr="00A55ADC">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540F95" w:rsidRPr="00A55ADC">
        <w:fldChar w:fldCharType="separate"/>
      </w:r>
      <w:r w:rsidR="00856689" w:rsidRPr="00A55ADC">
        <w:rPr>
          <w:noProof/>
        </w:rPr>
        <w:t>(Allertsen et al., 2021)</w:t>
      </w:r>
      <w:r w:rsidR="00540F95" w:rsidRPr="00A55ADC">
        <w:fldChar w:fldCharType="end"/>
      </w:r>
      <w:r w:rsidR="00815784" w:rsidRPr="00A55ADC">
        <w:t>.</w:t>
      </w:r>
    </w:p>
    <w:p w14:paraId="7477A680" w14:textId="744E671C" w:rsidR="00CA575F" w:rsidRDefault="6B0DCD84" w:rsidP="00C908E2">
      <w:pPr>
        <w:jc w:val="both"/>
      </w:pPr>
      <w:r w:rsidRPr="00A55ADC">
        <w:t>Siden organiseringen av legevakt kan variere gjennom døgnet og uken</w:t>
      </w:r>
      <w:r w:rsidR="0051271A" w:rsidRPr="00A55ADC">
        <w:t>,</w:t>
      </w:r>
      <w:r w:rsidRPr="00A55ADC">
        <w:t xml:space="preserve"> vil også lokalisering av legevakt kunne variere. En av fem legevakter er samlokalisert med </w:t>
      </w:r>
      <w:r w:rsidR="00862C77" w:rsidRPr="00A55ADC">
        <w:t>k</w:t>
      </w:r>
      <w:r w:rsidRPr="00A55ADC">
        <w:t>ommunal akutt døgnenhet (KAD), mens en av 10 har lokale sammen med ambulansestasjon. 28 legevakter (16</w:t>
      </w:r>
      <w:r w:rsidR="09A51149" w:rsidRPr="00A55ADC" w:rsidDel="007B2517">
        <w:t xml:space="preserve"> </w:t>
      </w:r>
      <w:r w:rsidR="007B2517" w:rsidRPr="00A55ADC">
        <w:t>prosent</w:t>
      </w:r>
      <w:r w:rsidR="007B2517">
        <w:t>)</w:t>
      </w:r>
      <w:r w:rsidR="09A51149">
        <w:t xml:space="preserve"> </w:t>
      </w:r>
      <w:r w:rsidR="3F51EA39">
        <w:t>er</w:t>
      </w:r>
      <w:r>
        <w:t xml:space="preserve"> samlokalisert med sykehus, og fem legevakter har felles akuttmottak med sykehuset per 2021</w:t>
      </w:r>
      <w:r w:rsidR="6E326631">
        <w:t xml:space="preserve"> </w:t>
      </w:r>
      <w:r w:rsidR="00801EE2">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801EE2">
        <w:fldChar w:fldCharType="separate"/>
      </w:r>
      <w:r w:rsidR="00801EE2">
        <w:rPr>
          <w:noProof/>
        </w:rPr>
        <w:t>(Ekspertgruppe legevakt, 2021)</w:t>
      </w:r>
      <w:r w:rsidR="00801EE2">
        <w:fldChar w:fldCharType="end"/>
      </w:r>
      <w:r w:rsidR="00815784">
        <w:t>.</w:t>
      </w:r>
      <w:r>
        <w:t xml:space="preserve"> SSBs kartlegging samme år viser at av </w:t>
      </w:r>
      <w:r w:rsidR="21FEBE5C">
        <w:t xml:space="preserve">de </w:t>
      </w:r>
      <w:r w:rsidR="09A51149">
        <w:t>75 vertskommune</w:t>
      </w:r>
      <w:r w:rsidR="3AE3A1E5">
        <w:t>ne</w:t>
      </w:r>
      <w:r>
        <w:t xml:space="preserve"> for interkommunal legevakt har tre av 10 legevaktslokale i tilknytning til sykehus</w:t>
      </w:r>
      <w:r w:rsidR="4A1C54CB">
        <w:t xml:space="preserve"> </w:t>
      </w:r>
      <w:r w:rsidR="00540F95">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540F95">
        <w:fldChar w:fldCharType="separate"/>
      </w:r>
      <w:r w:rsidR="00540F95">
        <w:rPr>
          <w:noProof/>
        </w:rPr>
        <w:t>(Ekornrud et al., 2023)</w:t>
      </w:r>
      <w:r w:rsidR="00540F95">
        <w:fldChar w:fldCharType="end"/>
      </w:r>
      <w:r w:rsidR="00815784">
        <w:t>.</w:t>
      </w:r>
      <w:r>
        <w:t xml:space="preserve"> Mer enn en av tre legevaktstasjoner har over en times kjøretid til nærmeste sykehus med akuttfunksjon</w:t>
      </w:r>
      <w:r w:rsidR="2CE70CC4">
        <w:t xml:space="preserve"> </w:t>
      </w:r>
      <w:r w:rsidR="00801EE2">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801EE2">
        <w:fldChar w:fldCharType="separate"/>
      </w:r>
      <w:r w:rsidR="00801EE2">
        <w:rPr>
          <w:noProof/>
        </w:rPr>
        <w:t>(Ekspertgruppe legevakt, 2021)</w:t>
      </w:r>
      <w:r w:rsidR="00801EE2">
        <w:fldChar w:fldCharType="end"/>
      </w:r>
      <w:r w:rsidR="00815784">
        <w:t>.</w:t>
      </w:r>
    </w:p>
    <w:p w14:paraId="5E6274C1" w14:textId="300F43FC" w:rsidR="00731EAE" w:rsidRDefault="3F62C1A2" w:rsidP="00C908E2">
      <w:pPr>
        <w:jc w:val="both"/>
      </w:pPr>
      <w:r>
        <w:t>Den kommunale medisinske nødmeldetjenesten ivaretas av legevaktsentraler som tar imot og håndterer telefonhenvendelser fra innbyggere i en eller flere kommuner. P</w:t>
      </w:r>
      <w:r w:rsidR="00A800DA">
        <w:t>e</w:t>
      </w:r>
      <w:r>
        <w:t>r januar 2022 var det 94 legevaktsentraler og disse dekker alle kommuner i Norge</w:t>
      </w:r>
      <w:r w:rsidR="00815784">
        <w:t>.</w:t>
      </w:r>
      <w:r>
        <w:t xml:space="preserve"> 45 av legevaktsentralene er i </w:t>
      </w:r>
      <w:r w:rsidR="2A912F72">
        <w:t>helse</w:t>
      </w:r>
      <w:r w:rsidR="0F6CB8F2">
        <w:t>region</w:t>
      </w:r>
      <w:r w:rsidR="2A912F72">
        <w:t xml:space="preserve"> </w:t>
      </w:r>
      <w:r w:rsidR="0F6CB8F2">
        <w:t>S</w:t>
      </w:r>
      <w:r w:rsidR="2A912F72">
        <w:t>ør</w:t>
      </w:r>
      <w:r>
        <w:t xml:space="preserve">-øst, mens det er 20 i Vest, 19 i Nord og 11 </w:t>
      </w:r>
      <w:r w:rsidR="2A912F72">
        <w:t>i Midt.</w:t>
      </w:r>
      <w:r>
        <w:t xml:space="preserve"> </w:t>
      </w:r>
      <w:r w:rsidR="00535963">
        <w:t>Fire</w:t>
      </w:r>
      <w:r>
        <w:t xml:space="preserve"> av </w:t>
      </w:r>
      <w:r w:rsidR="00535963">
        <w:t>fem</w:t>
      </w:r>
      <w:r>
        <w:t xml:space="preserve"> legevaktsentraler er samlokalisert med legevaktlokaler, mens de øvrige er plassert sammen med akuttmottak/sykehus, AMK eller plassert i et eget bygg eller ved et helse- og omsorgssenter</w:t>
      </w:r>
      <w:r w:rsidR="252FB5A0">
        <w:t xml:space="preserve"> </w:t>
      </w:r>
      <w:r w:rsidR="00540F95">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540F95">
        <w:fldChar w:fldCharType="separate"/>
      </w:r>
      <w:r w:rsidR="00856689">
        <w:rPr>
          <w:noProof/>
        </w:rPr>
        <w:t>(Allertsen et al., 2021)</w:t>
      </w:r>
      <w:r w:rsidR="00540F95">
        <w:fldChar w:fldCharType="end"/>
      </w:r>
      <w:r w:rsidR="00815784">
        <w:t>.</w:t>
      </w:r>
    </w:p>
    <w:p w14:paraId="0225F5DF" w14:textId="1376D1A8" w:rsidR="00731EAE" w:rsidRDefault="3F62C1A2" w:rsidP="00C908E2">
      <w:pPr>
        <w:jc w:val="both"/>
        <w:rPr>
          <w:rFonts w:cstheme="minorHAnsi"/>
          <w:color w:val="212121"/>
          <w:shd w:val="clear" w:color="auto" w:fill="FFFFFF"/>
        </w:rPr>
      </w:pPr>
      <w:r>
        <w:t>Legevaktsentralen betjenes av operatører som</w:t>
      </w:r>
      <w:r w:rsidRPr="6024ED02">
        <w:rPr>
          <w:color w:val="212121"/>
          <w:shd w:val="clear" w:color="auto" w:fill="FFFFFF"/>
        </w:rPr>
        <w:t xml:space="preserve"> kartlegger og vurderer pasientens helsetilstand, fastsetter hastegrad, gir veiledning og medisinske råd og iverksetter </w:t>
      </w:r>
      <w:r w:rsidR="086F02CE" w:rsidRPr="6024ED02">
        <w:rPr>
          <w:color w:val="212121"/>
          <w:shd w:val="clear" w:color="auto" w:fill="FFFFFF"/>
        </w:rPr>
        <w:t xml:space="preserve">andre </w:t>
      </w:r>
      <w:r w:rsidRPr="6024ED02">
        <w:rPr>
          <w:color w:val="212121"/>
          <w:shd w:val="clear" w:color="auto" w:fill="FFFFFF"/>
        </w:rPr>
        <w:t>nødvendige tiltak.</w:t>
      </w:r>
      <w:r>
        <w:rPr>
          <w:rFonts w:ascii="Work Sans" w:hAnsi="Work Sans"/>
          <w:color w:val="212121"/>
          <w:shd w:val="clear" w:color="auto" w:fill="FFFFFF"/>
        </w:rPr>
        <w:t xml:space="preserve"> </w:t>
      </w:r>
      <w:r w:rsidRPr="6024ED02">
        <w:rPr>
          <w:color w:val="212121"/>
          <w:shd w:val="clear" w:color="auto" w:fill="FFFFFF"/>
        </w:rPr>
        <w:t>En viktig funksjon ved legevaktsentralen er å styre ressursene etter behov og hastegrad</w:t>
      </w:r>
      <w:r w:rsidR="0C0EBC34" w:rsidRPr="5302F47D">
        <w:rPr>
          <w:color w:val="212121"/>
        </w:rPr>
        <w:t xml:space="preserve"> </w:t>
      </w:r>
      <w:r w:rsidR="00540F95">
        <w:rPr>
          <w:color w:val="212121"/>
        </w:rPr>
        <w:fldChar w:fldCharType="begin"/>
      </w:r>
      <w:r w:rsidR="00235862">
        <w:rPr>
          <w:color w:val="212121"/>
        </w:rPr>
        <w:instrText xml:space="preserve"> ADDIN EN.CITE &lt;EndNote&gt;&lt;Cite&gt;&lt;Author&gt;Helsedirektoratet&lt;/Author&gt;&lt;Year&gt;2020&lt;/Year&gt;&lt;RecNum&gt;514&lt;/RecNum&gt;&lt;DisplayText&gt;(Helsedirektoratet, 2020c)&lt;/DisplayText&gt;&lt;record&gt;&lt;rec-number&gt;514&lt;/rec-number&gt;&lt;foreign-keys&gt;&lt;key app="EN" db-id="95tpr2tp6r9xwoea9rb5wdsz5ds5xeddteew" timestamp="1680069511"&gt;514&lt;/key&gt;&lt;/foreign-keys&gt;&lt;ref-type name="Web Page"&gt;12&lt;/ref-type&gt;&lt;contributors&gt;&lt;authors&gt;&lt;author&gt;Helsedirektoratet&lt;/author&gt;&lt;/authors&gt;&lt;/contributors&gt;&lt;titles&gt;&lt;title&gt;Nasjonal veileder for legevakt og legevaktsentral&lt;/title&gt;&lt;/titles&gt;&lt;number&gt;13.02.2023&lt;/number&gt;&lt;dates&gt;&lt;year&gt;2020&lt;/year&gt;&lt;pub-dates&gt;&lt;date&gt;28.02.2020&lt;/date&gt;&lt;/pub-dates&gt;&lt;/dates&gt;&lt;pub-location&gt;Oslo&lt;/pub-location&gt;&lt;publisher&gt;Helsedirektoratet&lt;/publisher&gt;&lt;work-type&gt;nettdokument&lt;/work-type&gt;&lt;urls&gt;&lt;/urls&gt;&lt;/record&gt;&lt;/Cite&gt;&lt;/EndNote&gt;</w:instrText>
      </w:r>
      <w:r w:rsidR="00540F95">
        <w:rPr>
          <w:color w:val="212121"/>
        </w:rPr>
        <w:fldChar w:fldCharType="separate"/>
      </w:r>
      <w:r w:rsidR="001F5F05">
        <w:rPr>
          <w:noProof/>
          <w:color w:val="212121"/>
        </w:rPr>
        <w:t>(Helsedirektoratet, 2020c)</w:t>
      </w:r>
      <w:r w:rsidR="00540F95">
        <w:rPr>
          <w:color w:val="212121"/>
        </w:rPr>
        <w:fldChar w:fldCharType="end"/>
      </w:r>
      <w:r w:rsidR="00815784">
        <w:rPr>
          <w:color w:val="212121"/>
        </w:rPr>
        <w:t>.</w:t>
      </w:r>
      <w:r w:rsidR="6B0DCD84">
        <w:rPr>
          <w:color w:val="212121"/>
          <w:shd w:val="clear" w:color="auto" w:fill="FFFFFF"/>
        </w:rPr>
        <w:t xml:space="preserve"> </w:t>
      </w:r>
      <w:r w:rsidR="6B0DCD84">
        <w:t xml:space="preserve">I 2020 oppgav 90 </w:t>
      </w:r>
      <w:r w:rsidR="002844B2">
        <w:t>prosent</w:t>
      </w:r>
      <w:r w:rsidR="6B0DCD84">
        <w:t xml:space="preserve"> av </w:t>
      </w:r>
      <w:r w:rsidR="7F6B39BE">
        <w:t>legevaktsentralene</w:t>
      </w:r>
      <w:r w:rsidR="6B0DCD84">
        <w:t xml:space="preserve"> at de har rutine for å sette hastegrad for de pasientene som blir bedt om å møte på legevakt for konsultasjon</w:t>
      </w:r>
      <w:r w:rsidR="6CC220A4">
        <w:t xml:space="preserve"> </w:t>
      </w:r>
      <w:r w:rsidR="00540F95">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540F95">
        <w:fldChar w:fldCharType="separate"/>
      </w:r>
      <w:r w:rsidR="00856689">
        <w:rPr>
          <w:noProof/>
        </w:rPr>
        <w:t>(Allertsen et al., 2021)</w:t>
      </w:r>
      <w:r w:rsidR="00540F95">
        <w:fldChar w:fldCharType="end"/>
      </w:r>
      <w:r w:rsidR="00815784">
        <w:t>.</w:t>
      </w:r>
    </w:p>
    <w:p w14:paraId="6ED15405" w14:textId="5C5CF2CD" w:rsidR="00D9107F" w:rsidRDefault="3F62C1A2" w:rsidP="00C908E2">
      <w:pPr>
        <w:jc w:val="both"/>
      </w:pPr>
      <w:r>
        <w:t xml:space="preserve">Ifølge akuttmedisinforskriften </w:t>
      </w:r>
      <w:r w:rsidR="00D9107F">
        <w:t>§ 1</w:t>
      </w:r>
      <w:r>
        <w:t xml:space="preserve">3 bokstav d er kravet til svartid at 80 </w:t>
      </w:r>
      <w:r w:rsidR="002844B2">
        <w:t xml:space="preserve">prosent </w:t>
      </w:r>
      <w:r>
        <w:t>av alle henvendelser normalt skal besvares innen to minutter. Hensikten med krav til svartid</w:t>
      </w:r>
      <w:r w:rsidR="002844B2">
        <w:t>,</w:t>
      </w:r>
      <w:r>
        <w:t xml:space="preserve"> er å sikre god kvalitet og service i </w:t>
      </w:r>
      <w:r w:rsidR="7F6B39BE">
        <w:t>legevaktsentralene</w:t>
      </w:r>
      <w:r>
        <w:t xml:space="preserve"> og at befolkningen skal være trygge på at de får hjelp </w:t>
      </w:r>
      <w:r w:rsidR="633A1868">
        <w:t xml:space="preserve">i </w:t>
      </w:r>
      <w:r>
        <w:t>akutte situasjoner</w:t>
      </w:r>
      <w:r w:rsidR="229FB8A1">
        <w:t xml:space="preserve"> </w:t>
      </w:r>
      <w:r w:rsidR="00540F95">
        <w:fldChar w:fldCharType="begin"/>
      </w:r>
      <w:r w:rsidR="00235862">
        <w:instrText xml:space="preserve"> ADDIN EN.CITE &lt;EndNote&gt;&lt;Cite&gt;&lt;Author&gt;Helsedirektoratet&lt;/Author&gt;&lt;Year&gt;2020&lt;/Year&gt;&lt;RecNum&gt;514&lt;/RecNum&gt;&lt;DisplayText&gt;(Helsedirektoratet, 2020c)&lt;/DisplayText&gt;&lt;record&gt;&lt;rec-number&gt;514&lt;/rec-number&gt;&lt;foreign-keys&gt;&lt;key app="EN" db-id="95tpr2tp6r9xwoea9rb5wdsz5ds5xeddteew" timestamp="1680069511"&gt;514&lt;/key&gt;&lt;/foreign-keys&gt;&lt;ref-type name="Web Page"&gt;12&lt;/ref-type&gt;&lt;contributors&gt;&lt;authors&gt;&lt;author&gt;Helsedirektoratet&lt;/author&gt;&lt;/authors&gt;&lt;/contributors&gt;&lt;titles&gt;&lt;title&gt;Nasjonal veileder for legevakt og legevaktsentral&lt;/title&gt;&lt;/titles&gt;&lt;number&gt;13.02.2023&lt;/number&gt;&lt;dates&gt;&lt;year&gt;2020&lt;/year&gt;&lt;pub-dates&gt;&lt;date&gt;28.02.2020&lt;/date&gt;&lt;/pub-dates&gt;&lt;/dates&gt;&lt;pub-location&gt;Oslo&lt;/pub-location&gt;&lt;publisher&gt;Helsedirektoratet&lt;/publisher&gt;&lt;work-type&gt;nettdokument&lt;/work-type&gt;&lt;urls&gt;&lt;/urls&gt;&lt;/record&gt;&lt;/Cite&gt;&lt;/EndNote&gt;</w:instrText>
      </w:r>
      <w:r w:rsidR="00540F95">
        <w:fldChar w:fldCharType="separate"/>
      </w:r>
      <w:r w:rsidR="001F5F05">
        <w:rPr>
          <w:noProof/>
        </w:rPr>
        <w:t>(Helsedirektoratet, 2020c)</w:t>
      </w:r>
      <w:r w:rsidR="00540F95">
        <w:fldChar w:fldCharType="end"/>
      </w:r>
      <w:r w:rsidR="00815784">
        <w:t>.</w:t>
      </w:r>
    </w:p>
    <w:p w14:paraId="2CD085A5" w14:textId="49B98FE0" w:rsidR="00C84B1A" w:rsidRDefault="2A5F7A4A" w:rsidP="00775632">
      <w:pPr>
        <w:pStyle w:val="Overskrift3"/>
      </w:pPr>
      <w:bookmarkStart w:id="4057" w:name="_Toc127633295"/>
      <w:bookmarkStart w:id="4058" w:name="_Toc127864580"/>
      <w:bookmarkStart w:id="4059" w:name="_Toc128238593"/>
      <w:bookmarkStart w:id="4060" w:name="_Toc128467423"/>
      <w:bookmarkStart w:id="4061" w:name="_Toc128744671"/>
      <w:bookmarkStart w:id="4062" w:name="_Toc128744890"/>
      <w:bookmarkStart w:id="4063" w:name="_Toc129630393"/>
      <w:bookmarkStart w:id="4064" w:name="_Toc130763902"/>
      <w:bookmarkStart w:id="4065" w:name="_Toc130766797"/>
      <w:bookmarkStart w:id="4066" w:name="_Toc130932196"/>
      <w:bookmarkStart w:id="4067" w:name="_Toc130934487"/>
      <w:bookmarkStart w:id="4068" w:name="_Toc130983620"/>
      <w:bookmarkStart w:id="4069" w:name="_Toc130983969"/>
      <w:bookmarkStart w:id="4070" w:name="_Toc131062238"/>
      <w:bookmarkStart w:id="4071" w:name="_Toc131062492"/>
      <w:bookmarkStart w:id="4072" w:name="_Toc131062753"/>
      <w:bookmarkStart w:id="4073" w:name="_Toc131063006"/>
      <w:bookmarkStart w:id="4074" w:name="_Toc131063789"/>
      <w:bookmarkStart w:id="4075" w:name="_Toc131064200"/>
      <w:bookmarkStart w:id="4076" w:name="_Toc131238530"/>
      <w:bookmarkStart w:id="4077" w:name="_Toc131279561"/>
      <w:bookmarkStart w:id="4078" w:name="_Toc131286973"/>
      <w:bookmarkStart w:id="4079" w:name="_Toc131281383"/>
      <w:bookmarkStart w:id="4080" w:name="_Toc131317923"/>
      <w:bookmarkStart w:id="4081" w:name="_Toc132537044"/>
      <w:r>
        <w:t>Bemanning i legevakt</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14:paraId="3FD36606" w14:textId="437D4894" w:rsidR="00395D8E" w:rsidRDefault="00980A58" w:rsidP="00C908E2">
      <w:pPr>
        <w:jc w:val="both"/>
      </w:pPr>
      <w:r>
        <w:t>Norske</w:t>
      </w:r>
      <w:r w:rsidR="747DD9A0">
        <w:t xml:space="preserve"> kommuner</w:t>
      </w:r>
      <w:r>
        <w:t xml:space="preserve"> bemanner sine legevakter med flere grupper leger.</w:t>
      </w:r>
      <w:r w:rsidR="668F0BFD">
        <w:t xml:space="preserve"> 92 </w:t>
      </w:r>
      <w:r>
        <w:t>prosen av legevaktene</w:t>
      </w:r>
      <w:r w:rsidR="747DD9A0">
        <w:t xml:space="preserve"> bruker egne fastleger</w:t>
      </w:r>
      <w:r w:rsidR="668F0BFD">
        <w:t>, 67 prosent bruker andre leger</w:t>
      </w:r>
      <w:r w:rsidR="73E53B96">
        <w:t xml:space="preserve"> </w:t>
      </w:r>
      <w:r>
        <w:t>i tillegg til fastlegene</w:t>
      </w:r>
      <w:r w:rsidR="00862C77">
        <w:t>,</w:t>
      </w:r>
      <w:r>
        <w:t xml:space="preserve"> og 24 prosent har leger fast ansatt </w:t>
      </w:r>
      <w:r w:rsidR="00862C77">
        <w:t>på</w:t>
      </w:r>
      <w:r>
        <w:t xml:space="preserve"> legevakten </w:t>
      </w:r>
      <w:r w:rsidR="00540F95">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540F95">
        <w:fldChar w:fldCharType="separate"/>
      </w:r>
      <w:r w:rsidR="00540F95">
        <w:rPr>
          <w:noProof/>
        </w:rPr>
        <w:t>(Ekornrud et al., 2023)</w:t>
      </w:r>
      <w:r w:rsidR="00540F95">
        <w:fldChar w:fldCharType="end"/>
      </w:r>
      <w:r w:rsidR="00815784">
        <w:t>.</w:t>
      </w:r>
      <w:r w:rsidR="00442161" w:rsidRPr="00442161">
        <w:t xml:space="preserve"> </w:t>
      </w:r>
      <w:r w:rsidR="00442161">
        <w:t xml:space="preserve">I de mest sentrale kommunene er det vanlig å ha fast ansatte leger eller leger fra vikarbyrå på legevakt, i tillegg til fastleger, mens de mest usentrale kommunene i mindre grad benytter seg av slike leger på legevakt </w:t>
      </w:r>
      <w:r w:rsidR="004032F0">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4032F0">
        <w:fldChar w:fldCharType="separate"/>
      </w:r>
      <w:r w:rsidR="004032F0">
        <w:rPr>
          <w:noProof/>
        </w:rPr>
        <w:t>(Ekspertgruppe legevakt, 2021)</w:t>
      </w:r>
      <w:r w:rsidR="004032F0">
        <w:fldChar w:fldCharType="end"/>
      </w:r>
      <w:r w:rsidR="00442161">
        <w:t>.</w:t>
      </w:r>
    </w:p>
    <w:p w14:paraId="303F6789" w14:textId="4A4DA744" w:rsidR="00CC7C35" w:rsidRDefault="45C7C5D7" w:rsidP="00C908E2">
      <w:pPr>
        <w:jc w:val="both"/>
      </w:pPr>
      <w:r>
        <w:lastRenderedPageBreak/>
        <w:t>Fastleger utfører majoriteten av konsultasjoner og sykebesøk i legevakt, men en betydelig andel utføres av andre leger</w:t>
      </w:r>
      <w:r w:rsidR="00862C77">
        <w:t>,</w:t>
      </w:r>
      <w:r>
        <w:t xml:space="preserve"> som heltidsansatte vaktleger, LIS1, nyutdannede leger, sykehusleger og stipendiater</w:t>
      </w:r>
      <w:r w:rsidR="78505CEA">
        <w:t xml:space="preserve">. </w:t>
      </w:r>
      <w:r w:rsidR="6B0DCD84">
        <w:t>Fastlegene utførte 58 prosent av alle konsultasjoner og sykebesøk i regi av legevakt i 2021</w:t>
      </w:r>
      <w:r w:rsidR="0FE90C5B">
        <w:t xml:space="preserve"> </w:t>
      </w:r>
      <w:r w:rsidR="00540F95">
        <w:fldChar w:fldCharType="begin"/>
      </w:r>
      <w:r w:rsidR="004654FD">
        <w:instrText xml:space="preserve"> ADDIN EN.CITE &lt;EndNote&gt;&lt;Cite&gt;&lt;Author&gt;Sandvik&lt;/Author&gt;&lt;Year&gt;2022&lt;/Year&gt;&lt;RecNum&gt;895&lt;/RecNum&gt;&lt;DisplayText&gt;(Sandvik et al., 2022; Skyrud et al., 2023)&lt;/DisplayText&gt;&lt;record&gt;&lt;rec-number&gt;895&lt;/rec-number&gt;&lt;foreign-keys&gt;&lt;key app="EN" db-id="95tpr2tp6r9xwoea9rb5wdsz5ds5xeddteew" timestamp="1680069511"&gt;895&lt;/key&gt;&lt;/foreign-keys&gt;&lt;ref-type name="Report"&gt;27&lt;/ref-type&gt;&lt;contributors&gt;&lt;authors&gt;&lt;author&gt;Sandvik, H.,&lt;/author&gt;&lt;author&gt;Hunskår, S.,&lt;/author&gt;&lt;author&gt;Blinkenberg, J.&lt;/author&gt;&lt;/authors&gt;&lt;/contributors&gt;&lt;titles&gt;&lt;title&gt;Årsstatistikk for legevakt 2021&lt;/title&gt;&lt;/titles&gt;&lt;number&gt;Rapport nr. 1-2022&lt;/number&gt;&lt;dates&gt;&lt;year&gt;2022&lt;/year&gt;&lt;/dates&gt;&lt;pub-location&gt;Bergen&lt;/pub-location&gt;&lt;publisher&gt;Nasjonalt kompetansesenter for legevaktmedisin, NORCE Norgwegian Research Centre&lt;/publisher&gt;&lt;urls&gt;&lt;/urls&gt;&lt;/record&gt;&lt;/Cite&gt;&lt;Cite&gt;&lt;Author&gt;Skyrud&lt;/Author&gt;&lt;Year&gt;2023&lt;/Year&gt;&lt;RecNum&gt;901&lt;/RecNum&gt;&lt;record&gt;&lt;rec-number&gt;901&lt;/rec-number&gt;&lt;foreign-keys&gt;&lt;key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rsidR="00540F95">
        <w:fldChar w:fldCharType="separate"/>
      </w:r>
      <w:r w:rsidR="00856689">
        <w:rPr>
          <w:noProof/>
        </w:rPr>
        <w:t>(Sandvik et al., 2022; Skyrud et al., 2023)</w:t>
      </w:r>
      <w:r w:rsidR="00540F95">
        <w:fldChar w:fldCharType="end"/>
      </w:r>
      <w:r w:rsidR="00A82CDF">
        <w:t>,</w:t>
      </w:r>
      <w:r w:rsidR="0029413D">
        <w:t xml:space="preserve"> </w:t>
      </w:r>
      <w:r w:rsidR="6B0DCD84">
        <w:t xml:space="preserve">en økning fra 54 </w:t>
      </w:r>
      <w:r w:rsidR="00103593">
        <w:t xml:space="preserve">prosent </w:t>
      </w:r>
      <w:r w:rsidR="6B0DCD84">
        <w:t>i 2019</w:t>
      </w:r>
      <w:r w:rsidR="3E0B426E">
        <w:t xml:space="preserve"> </w:t>
      </w:r>
      <w:r w:rsidR="0070270E">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70270E">
        <w:fldChar w:fldCharType="separate"/>
      </w:r>
      <w:r w:rsidR="0070270E">
        <w:rPr>
          <w:noProof/>
        </w:rPr>
        <w:t>(Ekspertgruppe legevakt, 2021)</w:t>
      </w:r>
      <w:r w:rsidR="0070270E">
        <w:fldChar w:fldCharType="end"/>
      </w:r>
      <w:r w:rsidR="00A82CDF">
        <w:t>.</w:t>
      </w:r>
    </w:p>
    <w:p w14:paraId="061C1FDD" w14:textId="77777777" w:rsidR="00D9107F" w:rsidRDefault="00954C4C" w:rsidP="00C908E2">
      <w:pPr>
        <w:jc w:val="both"/>
      </w:pPr>
      <w:r>
        <w:t>To</w:t>
      </w:r>
      <w:r w:rsidR="00DF49F5" w:rsidRPr="01CDC4FD">
        <w:t xml:space="preserve"> av </w:t>
      </w:r>
      <w:r>
        <w:t>tre</w:t>
      </w:r>
      <w:r w:rsidR="00DF49F5" w:rsidRPr="01CDC4FD">
        <w:t xml:space="preserve"> legevakter har kun èn lege på vakt til alle døgnets tider</w:t>
      </w:r>
      <w:r w:rsidR="00DF49F5">
        <w:t xml:space="preserve"> </w:t>
      </w:r>
      <w:r w:rsidR="00DF49F5">
        <w:fldChar w:fldCharType="begin"/>
      </w:r>
      <w:r w:rsidR="00A27571">
        <w:instrText xml:space="preserve"> ADDIN EN.CITE &lt;EndNote&gt;&lt;Cite&gt;&lt;Author&gt;Morken&lt;/Author&gt;&lt;Year&gt;2019&lt;/Year&gt;&lt;RecNum&gt;445&lt;/RecNum&gt;&lt;DisplayText&gt;(Morken et al., 2019)&lt;/DisplayText&gt;&lt;record&gt;&lt;rec-number&gt;445&lt;/rec-number&gt;&lt;foreign-keys&gt;&lt;key app="EN" db-id="95tpr2tp6r9xwoea9rb5wdsz5ds5xeddteew" timestamp="1680069511"&gt;445&lt;/key&gt;&lt;/foreign-keys&gt;&lt;ref-type name="Report"&gt;27&lt;/ref-type&gt;&lt;contributors&gt;&lt;authors&gt;&lt;author&gt;Morken, T.,&lt;/author&gt;&lt;author&gt;Solberg, L. R.,&lt;/author&gt;&lt;author&gt;Allertsen, M.&lt;/author&gt;&lt;/authors&gt;&lt;/contributors&gt;&lt;titles&gt;&lt;title&gt;Legevaktorganisering i Norge. Rapport fra Nasjonalt legevaktregister 2018&lt;/title&gt;&lt;/titles&gt;&lt;number&gt;Rapport nr. 4-2019&lt;/number&gt;&lt;dates&gt;&lt;year&gt;2019&lt;/year&gt;&lt;/dates&gt;&lt;pub-location&gt;Bergen&lt;/pub-location&gt;&lt;publisher&gt;Nasjonalt kompetansesenter for legevaktmedisin, NORCE Norwegian Research Centre&lt;/publisher&gt;&lt;urls&gt;&lt;/urls&gt;&lt;/record&gt;&lt;/Cite&gt;&lt;/EndNote&gt;</w:instrText>
      </w:r>
      <w:r w:rsidR="00DF49F5">
        <w:fldChar w:fldCharType="separate"/>
      </w:r>
      <w:r w:rsidR="00856689">
        <w:rPr>
          <w:noProof/>
        </w:rPr>
        <w:t>(Morken et al., 2019)</w:t>
      </w:r>
      <w:r w:rsidR="00DF49F5">
        <w:fldChar w:fldCharType="end"/>
      </w:r>
      <w:r w:rsidR="00DF49F5">
        <w:t>.</w:t>
      </w:r>
      <w:r w:rsidR="00DF49F5" w:rsidRPr="01CDC4FD">
        <w:t xml:space="preserve"> Samtidig </w:t>
      </w:r>
      <w:r w:rsidR="00DF49F5">
        <w:t>har</w:t>
      </w:r>
      <w:r w:rsidR="00DF49F5" w:rsidRPr="01CDC4FD">
        <w:t xml:space="preserve"> </w:t>
      </w:r>
      <w:r w:rsidR="00602F7A">
        <w:t>en</w:t>
      </w:r>
      <w:r w:rsidR="00DF49F5" w:rsidRPr="01CDC4FD">
        <w:t xml:space="preserve"> av </w:t>
      </w:r>
      <w:r w:rsidR="00602F7A">
        <w:t>tre</w:t>
      </w:r>
      <w:r w:rsidR="00DF49F5" w:rsidRPr="01CDC4FD">
        <w:t xml:space="preserve"> legevakter </w:t>
      </w:r>
      <w:r w:rsidR="00DF49F5">
        <w:t xml:space="preserve">ikke </w:t>
      </w:r>
      <w:r w:rsidR="00DF49F5" w:rsidRPr="01CDC4FD">
        <w:t xml:space="preserve">sykepleier eller annet helsepersonell </w:t>
      </w:r>
      <w:r w:rsidR="00DF49F5">
        <w:t xml:space="preserve">på legevakten </w:t>
      </w:r>
      <w:r w:rsidR="00DF49F5">
        <w:fldChar w:fldCharType="begin"/>
      </w:r>
      <w:r w:rsidR="004942AA">
        <w:instrText xml:space="preserve"> ADDIN EN.CITE &lt;EndNote&gt;&lt;Cite&gt;&lt;Author&gt;Allertsen&lt;/Author&gt;&lt;Year&gt;2022&lt;/Year&gt;&lt;RecNum&gt;447&lt;/RecNum&gt;&lt;DisplayText&gt;(Allertsen et al., 2022)&lt;/DisplayText&gt;&lt;record&gt;&lt;rec-number&gt;447&lt;/rec-number&gt;&lt;foreign-keys&gt;&lt;key app="EN" db-id="95tpr2tp6r9xwoea9rb5wdsz5ds5xeddteew" timestamp="1680069511"&gt;447&lt;/key&gt;&lt;/foreign-keys&gt;&lt;ref-type name="Report"&gt;27&lt;/ref-type&gt;&lt;contributors&gt;&lt;authors&gt;&lt;author&gt;Allertsen, M.,&lt;/author&gt;&lt;author&gt;Morken, T.&lt;/author&gt;&lt;/authors&gt;&lt;/contributors&gt;&lt;titles&gt;&lt;title&gt;Legevaktorganisering i Norge. Rapport fra Nasjonalt legevaktregister 2022&lt;/title&gt;&lt;secondary-title&gt;Rapport&lt;/secondary-title&gt;&lt;/titles&gt;&lt;number&gt;4-2022&lt;/number&gt;&lt;dates&gt;&lt;year&gt;2022&lt;/year&gt;&lt;/dates&gt;&lt;pub-location&gt;Bergen&lt;/pub-location&gt;&lt;publisher&gt;Nasjonalt kompetansesenter for legevaktmedisin, NORCE Norwegian Research Centre&lt;/publisher&gt;&lt;urls&gt;&lt;/urls&gt;&lt;/record&gt;&lt;/Cite&gt;&lt;/EndNote&gt;</w:instrText>
      </w:r>
      <w:r w:rsidR="00DF49F5">
        <w:fldChar w:fldCharType="separate"/>
      </w:r>
      <w:r w:rsidR="00856689">
        <w:rPr>
          <w:noProof/>
        </w:rPr>
        <w:t>(Allertsen et al., 2022)</w:t>
      </w:r>
      <w:r w:rsidR="00DF49F5">
        <w:fldChar w:fldCharType="end"/>
      </w:r>
      <w:r w:rsidR="00DF49F5">
        <w:t>.</w:t>
      </w:r>
      <w:r w:rsidR="00DF49F5" w:rsidRPr="01CDC4FD">
        <w:t xml:space="preserve"> </w:t>
      </w:r>
      <w:r w:rsidR="00DF49F5">
        <w:t xml:space="preserve">Dette gjelder også på kveldstid, mens på natt har 40 </w:t>
      </w:r>
      <w:r w:rsidR="004A08C6">
        <w:t>prosent</w:t>
      </w:r>
      <w:r w:rsidR="00DF49F5">
        <w:t xml:space="preserve"> av</w:t>
      </w:r>
      <w:r w:rsidR="00DF49F5" w:rsidRPr="01CDC4FD">
        <w:t xml:space="preserve"> legevakte</w:t>
      </w:r>
      <w:r w:rsidR="00DF49F5">
        <w:t>ne</w:t>
      </w:r>
      <w:r w:rsidR="00DF49F5" w:rsidRPr="01CDC4FD">
        <w:t xml:space="preserve"> ikke annet helsepersonell </w:t>
      </w:r>
      <w:r w:rsidR="00DF49F5">
        <w:t xml:space="preserve">enn legen, </w:t>
      </w:r>
      <w:r w:rsidR="00DF49F5" w:rsidRPr="01CDC4FD">
        <w:t>på vakt.</w:t>
      </w:r>
    </w:p>
    <w:p w14:paraId="78450914" w14:textId="77777777" w:rsidR="00D9107F" w:rsidRDefault="00A800DA" w:rsidP="00C908E2">
      <w:pPr>
        <w:jc w:val="both"/>
      </w:pPr>
      <w:r>
        <w:t xml:space="preserve">Per 2021 bemanner </w:t>
      </w:r>
      <w:r w:rsidR="1049C5AD">
        <w:t xml:space="preserve">42 prosent av kommunene </w:t>
      </w:r>
      <w:r w:rsidR="291BF88F">
        <w:t xml:space="preserve">i tillegg </w:t>
      </w:r>
      <w:r w:rsidR="1049C5AD">
        <w:t>legevakt med sykepleier</w:t>
      </w:r>
      <w:r w:rsidR="003E457F">
        <w:t>,</w:t>
      </w:r>
      <w:r w:rsidR="1049C5AD">
        <w:t xml:space="preserve"> og </w:t>
      </w:r>
      <w:r w:rsidR="3D98B470">
        <w:t>25 prosent med annet helsepersonell</w:t>
      </w:r>
      <w:r w:rsidR="43E217E6">
        <w:t>.</w:t>
      </w:r>
      <w:r w:rsidR="177AD665">
        <w:t xml:space="preserve"> </w:t>
      </w:r>
      <w:r w:rsidR="009D0686">
        <w:t xml:space="preserve">Andelen sykepleiere og annet personell varierer etter kommunestørrelse, </w:t>
      </w:r>
      <w:r w:rsidR="486B800D">
        <w:t>og</w:t>
      </w:r>
      <w:r w:rsidR="46529993">
        <w:t xml:space="preserve"> f</w:t>
      </w:r>
      <w:r w:rsidR="2B690876">
        <w:t>orekomsten</w:t>
      </w:r>
      <w:r w:rsidR="1F5AD457">
        <w:t xml:space="preserve"> er størst i de mest folkerike kommunene</w:t>
      </w:r>
      <w:r w:rsidR="08AF54C0">
        <w:t xml:space="preserve"> og </w:t>
      </w:r>
      <w:r w:rsidR="055A9667">
        <w:t xml:space="preserve">andelen er fallende med </w:t>
      </w:r>
      <w:r w:rsidR="2D819534">
        <w:t>fallende in</w:t>
      </w:r>
      <w:r w:rsidR="263EFDEB">
        <w:t>nbyggertall</w:t>
      </w:r>
      <w:r w:rsidR="009D0686">
        <w:t>.</w:t>
      </w:r>
      <w:r w:rsidR="39F85B2C">
        <w:t xml:space="preserve"> </w:t>
      </w:r>
      <w:r w:rsidR="00540F95">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540F95">
        <w:fldChar w:fldCharType="separate"/>
      </w:r>
      <w:r w:rsidR="00540F95">
        <w:rPr>
          <w:noProof/>
        </w:rPr>
        <w:t>(Ekornrud et al., 2023)</w:t>
      </w:r>
      <w:r w:rsidR="00540F95">
        <w:fldChar w:fldCharType="end"/>
      </w:r>
      <w:r w:rsidR="00A82CDF">
        <w:t>.</w:t>
      </w:r>
      <w:r w:rsidR="009D0686">
        <w:t xml:space="preserve"> Tilsvarende er andelen kommuner som ikke har sykepleier fast til stede på legevakten størst blant kommunene som ikke deltar i interkommunal ordning </w:t>
      </w:r>
      <w:r w:rsidR="009D0686">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9D0686">
        <w:fldChar w:fldCharType="separate"/>
      </w:r>
      <w:r w:rsidR="00CE2F35">
        <w:rPr>
          <w:noProof/>
        </w:rPr>
        <w:t>(Ekspertgruppe legevakt, 2021)</w:t>
      </w:r>
      <w:r w:rsidR="009D0686">
        <w:fldChar w:fldCharType="end"/>
      </w:r>
      <w:r w:rsidR="009D0686">
        <w:t>.</w:t>
      </w:r>
    </w:p>
    <w:p w14:paraId="5C70B41A" w14:textId="7FFF17E8" w:rsidR="00C145DE" w:rsidRDefault="00C145DE" w:rsidP="00775632">
      <w:pPr>
        <w:pStyle w:val="Overskrift3"/>
      </w:pPr>
      <w:bookmarkStart w:id="4082" w:name="_Toc130763903"/>
      <w:bookmarkStart w:id="4083" w:name="_Toc130766798"/>
      <w:bookmarkStart w:id="4084" w:name="_Toc130932197"/>
      <w:bookmarkStart w:id="4085" w:name="_Toc130934488"/>
      <w:bookmarkStart w:id="4086" w:name="_Toc130983621"/>
      <w:bookmarkStart w:id="4087" w:name="_Toc130983970"/>
      <w:bookmarkStart w:id="4088" w:name="_Toc131062239"/>
      <w:bookmarkStart w:id="4089" w:name="_Toc131062493"/>
      <w:bookmarkStart w:id="4090" w:name="_Toc131062754"/>
      <w:bookmarkStart w:id="4091" w:name="_Toc131063007"/>
      <w:bookmarkStart w:id="4092" w:name="_Toc131063790"/>
      <w:bookmarkStart w:id="4093" w:name="_Toc131064201"/>
      <w:bookmarkStart w:id="4094" w:name="_Toc131238531"/>
      <w:bookmarkStart w:id="4095" w:name="_Toc131279562"/>
      <w:bookmarkStart w:id="4096" w:name="_Toc131286974"/>
      <w:bookmarkStart w:id="4097" w:name="_Toc131281384"/>
      <w:bookmarkStart w:id="4098" w:name="_Toc131317924"/>
      <w:bookmarkStart w:id="4099" w:name="_Toc132537045"/>
      <w:r>
        <w:t>Pasienter i legevakt</w:t>
      </w:r>
      <w:r w:rsidR="00603B67">
        <w:t xml:space="preserve"> og triagering</w:t>
      </w:r>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1C6DD8CA" w14:textId="6EFE3379" w:rsidR="007509C0" w:rsidRPr="008F5AD8" w:rsidRDefault="00E73173" w:rsidP="00C908E2">
      <w:pPr>
        <w:jc w:val="both"/>
      </w:pPr>
      <w:r>
        <w:t>Majoriteten av pasientkontakter er vanlige konsultasjoner (65 prosent), etterfulgt av telefonkontakter (31 prosent), sykebesøk (3 prosent) og utrykninger (0,1 prosent).</w:t>
      </w:r>
      <w:r w:rsidR="3394E04F">
        <w:t xml:space="preserve"> </w:t>
      </w:r>
      <w:r w:rsidR="007509C0" w:rsidRPr="498DE090">
        <w:t>De fleste legevaktkontakter på hverdager finner sted på kveld og natt, og hoveddelen mellom kl 16 og 20. I helgene er det flest legevaktkontakter på dagtid fram til kl 20</w:t>
      </w:r>
      <w:r w:rsidR="007509C0">
        <w:t xml:space="preserve"> </w:t>
      </w:r>
      <w:r w:rsidR="003C133F">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3C133F">
        <w:fldChar w:fldCharType="separate"/>
      </w:r>
      <w:r w:rsidR="003C133F">
        <w:rPr>
          <w:noProof/>
        </w:rPr>
        <w:t>(Ekspertgruppe legevakt, 2021)</w:t>
      </w:r>
      <w:r w:rsidR="003C133F">
        <w:fldChar w:fldCharType="end"/>
      </w:r>
      <w:r w:rsidR="007509C0">
        <w:t>.</w:t>
      </w:r>
      <w:r w:rsidR="007509C0" w:rsidRPr="498DE090">
        <w:t xml:space="preserve"> Hovedandelen av pasientkontakter i legevakt ha</w:t>
      </w:r>
      <w:r w:rsidR="00C75141">
        <w:t>ndle</w:t>
      </w:r>
      <w:r w:rsidR="007509C0" w:rsidRPr="498DE090">
        <w:t xml:space="preserve">r </w:t>
      </w:r>
      <w:r w:rsidR="00656D94">
        <w:t>om</w:t>
      </w:r>
      <w:r w:rsidR="007509C0" w:rsidRPr="498DE090">
        <w:t xml:space="preserve"> ikke-akutte tilstander, med laveste hastegrad (grønn)</w:t>
      </w:r>
      <w:r w:rsidR="007509C0">
        <w:t xml:space="preserve"> </w:t>
      </w:r>
      <w:r w:rsidR="007509C0">
        <w:fldChar w:fldCharType="begin"/>
      </w:r>
      <w:r w:rsidR="00A27571">
        <w:instrText xml:space="preserve"> ADDIN EN.CITE &lt;EndNote&gt;&lt;Cite&gt;&lt;Author&gt;Eikeland&lt;/Author&gt;&lt;Year&gt;2020&lt;/Year&gt;&lt;RecNum&gt;854&lt;/RecNum&gt;&lt;DisplayText&gt;(Eikeland et al., 2020)&lt;/DisplayText&gt;&lt;record&gt;&lt;rec-number&gt;854&lt;/rec-number&gt;&lt;foreign-keys&gt;&lt;key app="EN" db-id="95tpr2tp6r9xwoea9rb5wdsz5ds5xeddteew" timestamp="1680069511"&gt;854&lt;/key&gt;&lt;/foreign-keys&gt;&lt;ref-type name="Report"&gt;27&lt;/ref-type&gt;&lt;contributors&gt;&lt;authors&gt;&lt;author&gt;Eikeland, O.J.,&lt;/author&gt;&lt;author&gt;Fotland, S. L. S.,&lt;/author&gt;&lt;author&gt;Raknes, G.&lt;/author&gt;&lt;/authors&gt;&lt;/contributors&gt;&lt;titles&gt;&lt;title&gt;Vakttårnprosjektet - Epidemiologiske data frå legevakt. Samlerapport for 2019&lt;/title&gt;&lt;secondary-title&gt;Rapport&lt;/secondary-title&gt;&lt;/titles&gt;&lt;number&gt;2-2020&lt;/number&gt;&lt;dates&gt;&lt;year&gt;2020&lt;/year&gt;&lt;/dates&gt;&lt;pub-location&gt;Bergen&lt;/pub-location&gt;&lt;publisher&gt;Nasjonalt kompetansesenter for legevaktmedisin, NORCE Norwegian Research Centre&lt;/publisher&gt;&lt;urls&gt;&lt;/urls&gt;&lt;/record&gt;&lt;/Cite&gt;&lt;/EndNote&gt;</w:instrText>
      </w:r>
      <w:r w:rsidR="007509C0">
        <w:fldChar w:fldCharType="separate"/>
      </w:r>
      <w:r w:rsidR="00856689">
        <w:rPr>
          <w:noProof/>
        </w:rPr>
        <w:t>(Eikeland et al., 2020)</w:t>
      </w:r>
      <w:r w:rsidR="007509C0">
        <w:fldChar w:fldCharType="end"/>
      </w:r>
      <w:r w:rsidR="007509C0" w:rsidRPr="008F5AD8">
        <w:t>.</w:t>
      </w:r>
    </w:p>
    <w:p w14:paraId="7735C5F7" w14:textId="2FE33839" w:rsidR="009D0686" w:rsidRPr="000A635C" w:rsidRDefault="009D0686" w:rsidP="00C908E2">
      <w:pPr>
        <w:jc w:val="both"/>
      </w:pPr>
      <w:r>
        <w:rPr>
          <w:bCs/>
        </w:rPr>
        <w:t xml:space="preserve">Små legevaktdistrikt har flere konsultasjoner per 1000 innbyggere </w:t>
      </w:r>
      <w:r>
        <w:t>enn</w:t>
      </w:r>
      <w:r>
        <w:rPr>
          <w:bCs/>
        </w:rPr>
        <w:t xml:space="preserve"> større legevaktdistrikt. De minste kommunene har også større andel telefonkontakter, sykebesøk og utrykninger både kveld og natt enn de store legevaktdistriktene. I de mindre legevaktdistriktene brukes tidstakster i en større andel av konsultasjonene enn i større distrikt. En større andel av konsultasjonene i små legevaktdistrikt har to eller flere tidstakster sammenlignet med store distrikt for alle diagnosekoder, som et uttrykk for at konsultasjonene tar lengre tid </w:t>
      </w:r>
      <w:r>
        <w:rPr>
          <w:bCs/>
        </w:rPr>
        <w:fldChar w:fldCharType="begin"/>
      </w:r>
      <w:r w:rsidR="00235862">
        <w:rPr>
          <w:bCs/>
        </w:rPr>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Pr>
          <w:bCs/>
        </w:rPr>
        <w:fldChar w:fldCharType="separate"/>
      </w:r>
      <w:r w:rsidR="00CE2F35">
        <w:rPr>
          <w:bCs/>
          <w:noProof/>
        </w:rPr>
        <w:t>(Ekspertgruppe legevakt, 2021)</w:t>
      </w:r>
      <w:r>
        <w:rPr>
          <w:bCs/>
        </w:rPr>
        <w:fldChar w:fldCharType="end"/>
      </w:r>
      <w:r>
        <w:rPr>
          <w:bCs/>
        </w:rPr>
        <w:t>.</w:t>
      </w:r>
    </w:p>
    <w:p w14:paraId="753E285B" w14:textId="53DD882D" w:rsidR="007509C0" w:rsidRPr="00980A58" w:rsidRDefault="00204351" w:rsidP="00C908E2">
      <w:pPr>
        <w:jc w:val="both"/>
      </w:pPr>
      <w:r>
        <w:rPr>
          <w:bCs/>
        </w:rPr>
        <w:t>Yngre og eldre innbyggere kontakter legevakt oftere enn øvrige innbyggere, og kvinner noe oftere enn menn.</w:t>
      </w:r>
      <w:r w:rsidR="000207D3">
        <w:rPr>
          <w:bCs/>
        </w:rPr>
        <w:t xml:space="preserve"> </w:t>
      </w:r>
      <w:r w:rsidR="007509C0">
        <w:rPr>
          <w:bCs/>
        </w:rPr>
        <w:t xml:space="preserve">Psykiske lidelser utgjør totalt 5 </w:t>
      </w:r>
      <w:r w:rsidR="005362CC">
        <w:rPr>
          <w:bCs/>
        </w:rPr>
        <w:t xml:space="preserve">prosent </w:t>
      </w:r>
      <w:r w:rsidR="007509C0">
        <w:rPr>
          <w:bCs/>
        </w:rPr>
        <w:t xml:space="preserve">av alle kontakter på legevakt. En større andel av disse konsultasjoner utføres på natt sammenlignet med kveld, </w:t>
      </w:r>
      <w:r w:rsidR="000207D3">
        <w:rPr>
          <w:bCs/>
        </w:rPr>
        <w:t>enn for</w:t>
      </w:r>
      <w:r w:rsidR="007509C0">
        <w:rPr>
          <w:bCs/>
        </w:rPr>
        <w:t xml:space="preserve"> øvrige diagnoser </w:t>
      </w:r>
      <w:r w:rsidR="007509C0">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7509C0">
        <w:fldChar w:fldCharType="separate"/>
      </w:r>
      <w:r w:rsidR="0041791A">
        <w:rPr>
          <w:noProof/>
        </w:rPr>
        <w:t>(Ekspertgruppe legevakt, 2021)</w:t>
      </w:r>
      <w:r w:rsidR="007509C0">
        <w:fldChar w:fldCharType="end"/>
      </w:r>
      <w:r w:rsidR="007509C0">
        <w:t>,</w:t>
      </w:r>
      <w:r w:rsidR="007509C0">
        <w:rPr>
          <w:bCs/>
        </w:rPr>
        <w:t xml:space="preserve"> og legevaktleger oppgir at disse konsultasjonene er tidkrevende og utfordrende å håndtere. </w:t>
      </w:r>
      <w:r w:rsidR="009D0686">
        <w:rPr>
          <w:bCs/>
        </w:rPr>
        <w:t xml:space="preserve">Mindre kommuner har oftere oppmøte på legevakt </w:t>
      </w:r>
      <w:r w:rsidR="009D0686" w:rsidRPr="163DDB37">
        <w:rPr>
          <w:color w:val="333333"/>
        </w:rPr>
        <w:t>kveld eller na</w:t>
      </w:r>
      <w:r w:rsidR="009D0686">
        <w:rPr>
          <w:color w:val="333333"/>
        </w:rPr>
        <w:t>tt av</w:t>
      </w:r>
      <w:r w:rsidR="007509C0" w:rsidRPr="163DDB37">
        <w:rPr>
          <w:color w:val="333333"/>
        </w:rPr>
        <w:t xml:space="preserve"> hyppige brukere (</w:t>
      </w:r>
      <w:r w:rsidR="00654FCE">
        <w:rPr>
          <w:color w:val="333333"/>
        </w:rPr>
        <w:t>de med mer enn</w:t>
      </w:r>
      <w:r w:rsidR="007509C0" w:rsidRPr="163DDB37">
        <w:rPr>
          <w:color w:val="333333"/>
        </w:rPr>
        <w:t xml:space="preserve"> </w:t>
      </w:r>
      <w:r w:rsidR="003E457F">
        <w:rPr>
          <w:color w:val="333333"/>
        </w:rPr>
        <w:t>fem</w:t>
      </w:r>
      <w:r w:rsidR="007509C0" w:rsidRPr="163DDB37">
        <w:rPr>
          <w:color w:val="333333"/>
        </w:rPr>
        <w:t xml:space="preserve"> konsultasjoner/sykebesøk p</w:t>
      </w:r>
      <w:r w:rsidR="00654FCE">
        <w:rPr>
          <w:color w:val="333333"/>
        </w:rPr>
        <w:t>e</w:t>
      </w:r>
      <w:r w:rsidR="007509C0" w:rsidRPr="163DDB37">
        <w:rPr>
          <w:color w:val="333333"/>
        </w:rPr>
        <w:t xml:space="preserve">r år). </w:t>
      </w:r>
      <w:r w:rsidR="009D0686" w:rsidRPr="163DDB37">
        <w:rPr>
          <w:color w:val="333333"/>
        </w:rPr>
        <w:t>Disse fikk også hyppigere sykebesøk og lengre konsultasjoner</w:t>
      </w:r>
      <w:r w:rsidR="009D0686">
        <w:rPr>
          <w:color w:val="333333"/>
        </w:rPr>
        <w:t xml:space="preserve"> </w:t>
      </w:r>
      <w:r w:rsidR="009D0686">
        <w:rPr>
          <w:color w:val="333333"/>
        </w:rPr>
        <w:fldChar w:fldCharType="begin">
          <w:fldData xml:space="preserve">PEVuZE5vdGU+PENpdGU+PEF1dGhvcj5TYW5kdmlrPC9BdXRob3I+PFllYXI+MjAxODwvWWVhcj48
UmVjTnVtPjI3OTwvUmVjTnVtPjxEaXNwbGF5VGV4dD4oU2FuZHZpayBldCBhbC4sIDIwMTgpPC9E
aXNwbGF5VGV4dD48cmVjb3JkPjxyZWMtbnVtYmVyPjI3OTwvcmVjLW51bWJlcj48Zm9yZWlnbi1r
ZXlzPjxrZXkgYXBwPSJFTiIgZGItaWQ9Ijk1dHByMnRwNnI5eHdvZWE5cmI1d2RzejVkczV4ZWRk
dGVldyIgdGltZXN0YW1wPSIxNjgwMDY5NTExIj4yNzk8L2tleT48L2ZvcmVpZ24ta2V5cz48cmVm
LXR5cGUgbmFtZT0iSm91cm5hbCBBcnRpY2xlIj4xNzwvcmVmLXR5cGU+PGNvbnRyaWJ1dG9ycz48
YXV0aG9ycz48YXV0aG9yPlNhbmR2aWssIEguPC9hdXRob3I+PGF1dGhvcj5IdW5za2FhciwgUy48
L2F1dGhvcj48L2F1dGhvcnM+PC9jb250cmlidXRvcnM+PGF1dGgtYWRkcmVzcz5TYW5kdmlrLCBI
b2duZS4gTmF0aW9uYWwgQ2VudHJlIGZvciBFbWVyZ2VuY3kgUHJpbWFyeSBIZWFsdGggQ2FyZSwg
VW5pIFJlc2VhcmNoIEhlYWx0aCwgS2FsZmFydmVpZW4gMzEsIDUwMTgsIEJlcmdlbiwgTm9yd2F5
LiBob2duZS5zYW5kdmlrQHVpYi5uby4mI3hEO0h1bnNrYWFyLCBTdGVpbmFyLiBOYXRpb25hbCBD
ZW50cmUgZm9yIEVtZXJnZW5jeSBQcmltYXJ5IEhlYWx0aCBDYXJlLCBVbmkgUmVzZWFyY2ggSGVh
bHRoLCBLYWxmYXJ2ZWllbiAzMSwgNTAxOCwgQmVyZ2VuLCBOb3J3YXkuJiN4RDtIdW5za2Fhciwg
U3RlaW5hci4gRGVwYXJ0bWVudCBvZiBHbG9iYWwgUHVibGljIEhlYWx0aCBhbmQgUHJpbWFyeSBD
YXJlLCBVbml2ZXJzaXR5IG9mIEJlcmdlbiwgS2FsZmFydmVpZW4gMzEsIDUwMTgsIEJlcmdlbiwg
Tm9yd2F5LjwvYXV0aC1hZGRyZXNzPjx0aXRsZXM+PHRpdGxlPkZyZXF1ZW50IGF0dGVuZGVycyBh
dCBwcmltYXJ5IGNhcmUgb3V0LW9mLWhvdXJzIHNlcnZpY2VzOiBhIHJlZ2lzdHJ5LWJhc2VkIG9i
c2VydmF0aW9uYWwgc3R1ZHkgaW4gTm9yd2F5PC90aXRsZT48c2Vjb25kYXJ5LXRpdGxlPkJNQyBI
ZWFsdGggU2VydmljZXMgUmVzZWFyY2g8L3NlY29uZGFyeS10aXRsZT48YWx0LXRpdGxlPkJNQyBI
ZWFsdGggU2VydiBSZXM8L2FsdC10aXRsZT48L3RpdGxlcz48YWx0LXBlcmlvZGljYWw+PGZ1bGwt
dGl0bGU+Qk1DIEhlYWx0aCBTZXJ2IFJlczwvZnVsbC10aXRsZT48L2FsdC1wZXJpb2RpY2FsPjxw
YWdlcz40OTI8L3BhZ2VzPjx2b2x1bWU+MTg8L3ZvbHVtZT48bnVtYmVyPjE8L251bWJlcj48a2V5
d29yZHM+PGtleXdvcmQ+QWRvbGVzY2VudDwva2V5d29yZD48a2V5d29yZD5BZHVsdDwva2V5d29y
ZD48a2V5d29yZD5BZnRlci1Ib3VycyBDYXJlPC9rZXl3b3JkPjxrZXl3b3JkPkFnZWQ8L2tleXdv
cmQ+PGtleXdvcmQ+Q2hpbGQ8L2tleXdvcmQ+PGtleXdvcmQ+Q2hpbGQsIFByZXNjaG9vbDwva2V5
d29yZD48a2V5d29yZD5DaHJvbmljIERpc2Vhc2UvZXAgW0VwaWRlbWlvbG9neV08L2tleXdvcmQ+
PGtleXdvcmQ+Q29ob3J0IFN0dWRpZXM8L2tleXdvcmQ+PGtleXdvcmQ+RGlhYmV0ZXMgTWVsbGl0
dXMvZXAgW0VwaWRlbWlvbG9neV08L2tleXdvcmQ+PGtleXdvcmQ+RmVtYWxlPC9rZXl3b3JkPjxr
ZXl3b3JkPkhvdXNlIENhbGxzPC9rZXl3b3JkPjxrZXl3b3JkPkh1bWFuczwva2V5d29yZD48a2V5
d29yZD5JbmZhbnQ8L2tleXdvcmQ+PGtleXdvcmQ+TWFsZTwva2V5d29yZD48a2V5d29yZD5NZW50
YWwgRGlzb3JkZXJzL2VwIFtFcGlkZW1pb2xvZ3ldPC9rZXl3b3JkPjxrZXl3b3JkPk1pZGRsZSBB
Z2VkPC9rZXl3b3JkPjxrZXl3b3JkPk5lb3BsYXNtcy9lcCBbRXBpZGVtaW9sb2d5XTwva2V5d29y
ZD48a2V5d29yZD5Ob3J3YXkvZXAgW0VwaWRlbWlvbG9neV08L2tleXdvcmQ+PGtleXdvcmQ+T2Rk
cyBSYXRpbzwva2V5d29yZD48a2V5d29yZD4qUHJpbWFyeSBIZWFsdGggQ2FyZS9zbiBbU3RhdGlz
dGljcyAmYW1wOyBOdW1lcmljYWwgRGF0YV08L2tleXdvcmQ+PGtleXdvcmQ+UmVnaXN0cmllczwv
a2V5d29yZD48L2tleXdvcmRzPjxkYXRlcz48eWVhcj4yMDE4PC95ZWFyPjxwdWItZGF0ZXM+PGRh
dGU+MDYgMjU8L2RhdGU+PC9wdWItZGF0ZXM+PC9kYXRlcz48aXNibj40NzItNjk2MzwvaXNibj48
YWNjZXNzaW9uLW51bT4yOTk0MDkzNDwvYWNjZXNzaW9uLW51bT48d29yay10eXBlPk9ic2VydmF0
aW9uYWwgU3R1ZHk8L3dvcmstdHlwZT48dXJscz48cmVsYXRlZC11cmxzPjx1cmw+aHR0cHM6Ly9v
dmlkc3Aub3ZpZC5jb20vb3ZpZHdlYi5jZ2k/VD1KUyZhbXA7Q1NDPVkmYW1wO05FV1M9TiZhbXA7
UEFHRT1mdWxsdGV4dCZhbXA7RD1tZWQxNSZhbXA7QU49Mjk5NDA5MzQ8L3VybD48dXJsPmh0dHA6
Ly9vcGVudXJsLmJpYnN5cy5uby9vcGVudXJsP290b29sPWlub2lwaGxpYj9zaWQ9T1ZJRDptZWRs
aW5lJmFtcDtpZD1wbWlkOjI5OTQwOTM0JmFtcDtpZD1kb2k6MTAuMTE4NiUyRnMxMjkxMy0wMTgt
MzMxMC04JmFtcDtpc3NuPTE0NzItNjk2MyZhbXA7aXNibj0mYW1wO3ZvbHVtZT0xOCZhbXA7aXNz
dWU9MSZhbXA7c3BhZ2U9NDkyJmFtcDtwYWdlcz00OTImYW1wO2RhdGU9MjAxOCZhbXA7dGl0bGU9
Qk1DK0hlYWx0aCtTZXJ2aWNlcytSZXNlYXJjaCZhbXA7YXRpdGxlPUZyZXF1ZW50K2F0dGVuZGVy
cythdCtwcmltYXJ5K2NhcmUrb3V0LW9mLWhvdXJzK3NlcnZpY2VzJTNBK2ErcmVnaXN0cnktYmFz
ZWQrb2JzZXJ2YXRpb25hbCtzdHVkeStpbitOb3J3YXkuJmFtcDthdWxhc3Q9U2FuZHZpayZhbXA7
cGlkPSUzQ2F1dGhvciUzRVNhbmR2aWsrSCUzQyUyRmF1dGhvciUzRSUzQ0FOJTNFMjk5NDA5MzQl
M0MlMkZBTiUzRSUzQ0RUJTNFSm91cm5hbCtBcnRpY2xlJTNDJTJGRFQlM0U8L3VybD48L3JlbGF0
ZWQtdXJscz48L3VybHM+PHJlbW90ZS1kYXRhYmFzZS1uYW1lPk1FRExJTkU8L3JlbW90ZS1kYXRh
YmFzZS1uYW1lPjxyZW1vdGUtZGF0YWJhc2UtcHJvdmlkZXI+T3ZpZCBUZWNobm9sb2dpZXM8L3Jl
bW90ZS1kYXRhYmFzZS1wcm92aWRlcj48bGFuZ3VhZ2U+RW5nbGlzaDwvbGFuZ3VhZ2U+PC9yZWNv
cmQ+PC9DaXRlPjwvRW5kTm90ZT4A
</w:fldData>
        </w:fldChar>
      </w:r>
      <w:r w:rsidR="004654FD">
        <w:rPr>
          <w:color w:val="333333"/>
        </w:rPr>
        <w:instrText xml:space="preserve"> ADDIN EN.CITE </w:instrText>
      </w:r>
      <w:r w:rsidR="004654FD">
        <w:rPr>
          <w:color w:val="333333"/>
        </w:rPr>
        <w:fldChar w:fldCharType="begin">
          <w:fldData xml:space="preserve">PEVuZE5vdGU+PENpdGU+PEF1dGhvcj5TYW5kdmlrPC9BdXRob3I+PFllYXI+MjAxODwvWWVhcj48
UmVjTnVtPjI3OTwvUmVjTnVtPjxEaXNwbGF5VGV4dD4oU2FuZHZpayBldCBhbC4sIDIwMTgpPC9E
aXNwbGF5VGV4dD48cmVjb3JkPjxyZWMtbnVtYmVyPjI3OTwvcmVjLW51bWJlcj48Zm9yZWlnbi1r
ZXlzPjxrZXkgYXBwPSJFTiIgZGItaWQ9Ijk1dHByMnRwNnI5eHdvZWE5cmI1d2RzejVkczV4ZWRk
dGVldyIgdGltZXN0YW1wPSIxNjgwMDY5NTExIj4yNzk8L2tleT48L2ZvcmVpZ24ta2V5cz48cmVm
LXR5cGUgbmFtZT0iSm91cm5hbCBBcnRpY2xlIj4xNzwvcmVmLXR5cGU+PGNvbnRyaWJ1dG9ycz48
YXV0aG9ycz48YXV0aG9yPlNhbmR2aWssIEguPC9hdXRob3I+PGF1dGhvcj5IdW5za2FhciwgUy48
L2F1dGhvcj48L2F1dGhvcnM+PC9jb250cmlidXRvcnM+PGF1dGgtYWRkcmVzcz5TYW5kdmlrLCBI
b2duZS4gTmF0aW9uYWwgQ2VudHJlIGZvciBFbWVyZ2VuY3kgUHJpbWFyeSBIZWFsdGggQ2FyZSwg
VW5pIFJlc2VhcmNoIEhlYWx0aCwgS2FsZmFydmVpZW4gMzEsIDUwMTgsIEJlcmdlbiwgTm9yd2F5
LiBob2duZS5zYW5kdmlrQHVpYi5uby4mI3hEO0h1bnNrYWFyLCBTdGVpbmFyLiBOYXRpb25hbCBD
ZW50cmUgZm9yIEVtZXJnZW5jeSBQcmltYXJ5IEhlYWx0aCBDYXJlLCBVbmkgUmVzZWFyY2ggSGVh
bHRoLCBLYWxmYXJ2ZWllbiAzMSwgNTAxOCwgQmVyZ2VuLCBOb3J3YXkuJiN4RDtIdW5za2Fhciwg
U3RlaW5hci4gRGVwYXJ0bWVudCBvZiBHbG9iYWwgUHVibGljIEhlYWx0aCBhbmQgUHJpbWFyeSBD
YXJlLCBVbml2ZXJzaXR5IG9mIEJlcmdlbiwgS2FsZmFydmVpZW4gMzEsIDUwMTgsIEJlcmdlbiwg
Tm9yd2F5LjwvYXV0aC1hZGRyZXNzPjx0aXRsZXM+PHRpdGxlPkZyZXF1ZW50IGF0dGVuZGVycyBh
dCBwcmltYXJ5IGNhcmUgb3V0LW9mLWhvdXJzIHNlcnZpY2VzOiBhIHJlZ2lzdHJ5LWJhc2VkIG9i
c2VydmF0aW9uYWwgc3R1ZHkgaW4gTm9yd2F5PC90aXRsZT48c2Vjb25kYXJ5LXRpdGxlPkJNQyBI
ZWFsdGggU2VydmljZXMgUmVzZWFyY2g8L3NlY29uZGFyeS10aXRsZT48YWx0LXRpdGxlPkJNQyBI
ZWFsdGggU2VydiBSZXM8L2FsdC10aXRsZT48L3RpdGxlcz48YWx0LXBlcmlvZGljYWw+PGZ1bGwt
dGl0bGU+Qk1DIEhlYWx0aCBTZXJ2IFJlczwvZnVsbC10aXRsZT48L2FsdC1wZXJpb2RpY2FsPjxw
YWdlcz40OTI8L3BhZ2VzPjx2b2x1bWU+MTg8L3ZvbHVtZT48bnVtYmVyPjE8L251bWJlcj48a2V5
d29yZHM+PGtleXdvcmQ+QWRvbGVzY2VudDwva2V5d29yZD48a2V5d29yZD5BZHVsdDwva2V5d29y
ZD48a2V5d29yZD5BZnRlci1Ib3VycyBDYXJlPC9rZXl3b3JkPjxrZXl3b3JkPkFnZWQ8L2tleXdv
cmQ+PGtleXdvcmQ+Q2hpbGQ8L2tleXdvcmQ+PGtleXdvcmQ+Q2hpbGQsIFByZXNjaG9vbDwva2V5
d29yZD48a2V5d29yZD5DaHJvbmljIERpc2Vhc2UvZXAgW0VwaWRlbWlvbG9neV08L2tleXdvcmQ+
PGtleXdvcmQ+Q29ob3J0IFN0dWRpZXM8L2tleXdvcmQ+PGtleXdvcmQ+RGlhYmV0ZXMgTWVsbGl0
dXMvZXAgW0VwaWRlbWlvbG9neV08L2tleXdvcmQ+PGtleXdvcmQ+RmVtYWxlPC9rZXl3b3JkPjxr
ZXl3b3JkPkhvdXNlIENhbGxzPC9rZXl3b3JkPjxrZXl3b3JkPkh1bWFuczwva2V5d29yZD48a2V5
d29yZD5JbmZhbnQ8L2tleXdvcmQ+PGtleXdvcmQ+TWFsZTwva2V5d29yZD48a2V5d29yZD5NZW50
YWwgRGlzb3JkZXJzL2VwIFtFcGlkZW1pb2xvZ3ldPC9rZXl3b3JkPjxrZXl3b3JkPk1pZGRsZSBB
Z2VkPC9rZXl3b3JkPjxrZXl3b3JkPk5lb3BsYXNtcy9lcCBbRXBpZGVtaW9sb2d5XTwva2V5d29y
ZD48a2V5d29yZD5Ob3J3YXkvZXAgW0VwaWRlbWlvbG9neV08L2tleXdvcmQ+PGtleXdvcmQ+T2Rk
cyBSYXRpbzwva2V5d29yZD48a2V5d29yZD4qUHJpbWFyeSBIZWFsdGggQ2FyZS9zbiBbU3RhdGlz
dGljcyAmYW1wOyBOdW1lcmljYWwgRGF0YV08L2tleXdvcmQ+PGtleXdvcmQ+UmVnaXN0cmllczwv
a2V5d29yZD48L2tleXdvcmRzPjxkYXRlcz48eWVhcj4yMDE4PC95ZWFyPjxwdWItZGF0ZXM+PGRh
dGU+MDYgMjU8L2RhdGU+PC9wdWItZGF0ZXM+PC9kYXRlcz48aXNibj40NzItNjk2MzwvaXNibj48
YWNjZXNzaW9uLW51bT4yOTk0MDkzNDwvYWNjZXNzaW9uLW51bT48d29yay10eXBlPk9ic2VydmF0
aW9uYWwgU3R1ZHk8L3dvcmstdHlwZT48dXJscz48cmVsYXRlZC11cmxzPjx1cmw+aHR0cHM6Ly9v
dmlkc3Aub3ZpZC5jb20vb3ZpZHdlYi5jZ2k/VD1KUyZhbXA7Q1NDPVkmYW1wO05FV1M9TiZhbXA7
UEFHRT1mdWxsdGV4dCZhbXA7RD1tZWQxNSZhbXA7QU49Mjk5NDA5MzQ8L3VybD48dXJsPmh0dHA6
Ly9vcGVudXJsLmJpYnN5cy5uby9vcGVudXJsP290b29sPWlub2lwaGxpYj9zaWQ9T1ZJRDptZWRs
aW5lJmFtcDtpZD1wbWlkOjI5OTQwOTM0JmFtcDtpZD1kb2k6MTAuMTE4NiUyRnMxMjkxMy0wMTgt
MzMxMC04JmFtcDtpc3NuPTE0NzItNjk2MyZhbXA7aXNibj0mYW1wO3ZvbHVtZT0xOCZhbXA7aXNz
dWU9MSZhbXA7c3BhZ2U9NDkyJmFtcDtwYWdlcz00OTImYW1wO2RhdGU9MjAxOCZhbXA7dGl0bGU9
Qk1DK0hlYWx0aCtTZXJ2aWNlcytSZXNlYXJjaCZhbXA7YXRpdGxlPUZyZXF1ZW50K2F0dGVuZGVy
cythdCtwcmltYXJ5K2NhcmUrb3V0LW9mLWhvdXJzK3NlcnZpY2VzJTNBK2ErcmVnaXN0cnktYmFz
ZWQrb2JzZXJ2YXRpb25hbCtzdHVkeStpbitOb3J3YXkuJmFtcDthdWxhc3Q9U2FuZHZpayZhbXA7
cGlkPSUzQ2F1dGhvciUzRVNhbmR2aWsrSCUzQyUyRmF1dGhvciUzRSUzQ0FOJTNFMjk5NDA5MzQl
M0MlMkZBTiUzRSUzQ0RUJTNFSm91cm5hbCtBcnRpY2xlJTNDJTJGRFQlM0U8L3VybD48L3JlbGF0
ZWQtdXJscz48L3VybHM+PHJlbW90ZS1kYXRhYmFzZS1uYW1lPk1FRExJTkU8L3JlbW90ZS1kYXRh
YmFzZS1uYW1lPjxyZW1vdGUtZGF0YWJhc2UtcHJvdmlkZXI+T3ZpZCBUZWNobm9sb2dpZXM8L3Jl
bW90ZS1kYXRhYmFzZS1wcm92aWRlcj48bGFuZ3VhZ2U+RW5nbGlzaDwvbGFuZ3VhZ2U+PC9yZWNv
cmQ+PC9DaXRlPjwvRW5kTm90ZT4A
</w:fldData>
        </w:fldChar>
      </w:r>
      <w:r w:rsidR="004654FD">
        <w:rPr>
          <w:color w:val="333333"/>
        </w:rPr>
        <w:instrText xml:space="preserve"> ADDIN EN.CITE.DATA </w:instrText>
      </w:r>
      <w:r w:rsidR="004654FD">
        <w:rPr>
          <w:color w:val="333333"/>
        </w:rPr>
      </w:r>
      <w:r w:rsidR="004654FD">
        <w:rPr>
          <w:color w:val="333333"/>
        </w:rPr>
        <w:fldChar w:fldCharType="end"/>
      </w:r>
      <w:r w:rsidR="009D0686">
        <w:rPr>
          <w:color w:val="333333"/>
        </w:rPr>
      </w:r>
      <w:r w:rsidR="009D0686">
        <w:rPr>
          <w:color w:val="333333"/>
        </w:rPr>
        <w:fldChar w:fldCharType="separate"/>
      </w:r>
      <w:r w:rsidR="004654FD">
        <w:rPr>
          <w:noProof/>
          <w:color w:val="333333"/>
        </w:rPr>
        <w:t>(Sandvik et al., 2018)</w:t>
      </w:r>
      <w:r w:rsidR="009D0686">
        <w:rPr>
          <w:color w:val="333333"/>
        </w:rPr>
        <w:fldChar w:fldCharType="end"/>
      </w:r>
      <w:r w:rsidR="009D0686" w:rsidRPr="163DDB37">
        <w:rPr>
          <w:color w:val="333333"/>
        </w:rPr>
        <w:t>.</w:t>
      </w:r>
    </w:p>
    <w:p w14:paraId="40683F21" w14:textId="7CEDA7DC" w:rsidR="00603B67" w:rsidRPr="00603B67" w:rsidRDefault="00603B67" w:rsidP="00C908E2">
      <w:pPr>
        <w:jc w:val="both"/>
      </w:pPr>
      <w:r>
        <w:lastRenderedPageBreak/>
        <w:t>Tre av fem legevakter benyttet standardiserte triageringsverktøy ved oppmøte til legevakt i 2022. En av fem legevakter oppga at triagering ikke var aktuelt</w:t>
      </w:r>
      <w:r w:rsidR="003E457F">
        <w:t>,</w:t>
      </w:r>
      <w:r>
        <w:t xml:space="preserve"> fordi legevakten sjelden eller aldri opplevde samtidighetskonflikt</w:t>
      </w:r>
      <w:r w:rsidRPr="34DF3332">
        <w:t xml:space="preserve"> </w:t>
      </w:r>
      <w:r>
        <w:fldChar w:fldCharType="begin"/>
      </w:r>
      <w:r w:rsidR="004942AA">
        <w:instrText xml:space="preserve"> ADDIN EN.CITE &lt;EndNote&gt;&lt;Cite&gt;&lt;Author&gt;Allertsen&lt;/Author&gt;&lt;Year&gt;2022&lt;/Year&gt;&lt;RecNum&gt;447&lt;/RecNum&gt;&lt;DisplayText&gt;(Allertsen et al., 2022)&lt;/DisplayText&gt;&lt;record&gt;&lt;rec-number&gt;447&lt;/rec-number&gt;&lt;foreign-keys&gt;&lt;key app="EN" db-id="95tpr2tp6r9xwoea9rb5wdsz5ds5xeddteew" timestamp="1680069511"&gt;447&lt;/key&gt;&lt;/foreign-keys&gt;&lt;ref-type name="Report"&gt;27&lt;/ref-type&gt;&lt;contributors&gt;&lt;authors&gt;&lt;author&gt;Allertsen, M.,&lt;/author&gt;&lt;author&gt;Morken, T.&lt;/author&gt;&lt;/authors&gt;&lt;/contributors&gt;&lt;titles&gt;&lt;title&gt;Legevaktorganisering i Norge. Rapport fra Nasjonalt legevaktregister 2022&lt;/title&gt;&lt;secondary-title&gt;Rapport&lt;/secondary-title&gt;&lt;/titles&gt;&lt;number&gt;4-2022&lt;/number&gt;&lt;dates&gt;&lt;year&gt;2022&lt;/year&gt;&lt;/dates&gt;&lt;pub-location&gt;Bergen&lt;/pub-location&gt;&lt;publisher&gt;Nasjonalt kompetansesenter for legevaktmedisin, NORCE Norwegian Research Centre&lt;/publisher&gt;&lt;urls&gt;&lt;/urls&gt;&lt;/record&gt;&lt;/Cite&gt;&lt;/EndNote&gt;</w:instrText>
      </w:r>
      <w:r>
        <w:fldChar w:fldCharType="separate"/>
      </w:r>
      <w:r w:rsidR="00856689">
        <w:rPr>
          <w:noProof/>
        </w:rPr>
        <w:t>(Allertsen et al., 2022)</w:t>
      </w:r>
      <w:r>
        <w:fldChar w:fldCharType="end"/>
      </w:r>
      <w:r>
        <w:t xml:space="preserve">. </w:t>
      </w:r>
      <w:r w:rsidR="00E2103A">
        <w:t>Legevakt og legevaktsentral bør ha system for prioritering og triagering av pasienter ved samtidighetskonflikt, i henhold til Nasjonal veil</w:t>
      </w:r>
      <w:r w:rsidR="00654FCE">
        <w:t>e</w:t>
      </w:r>
      <w:r w:rsidR="00E2103A">
        <w:t>der for legevakt og legevaktsentral</w:t>
      </w:r>
      <w:r w:rsidR="00E2103A" w:rsidRPr="34DF3332">
        <w:t xml:space="preserve"> </w:t>
      </w:r>
      <w:r w:rsidR="00E2103A">
        <w:fldChar w:fldCharType="begin"/>
      </w:r>
      <w:r w:rsidR="00235862">
        <w:instrText xml:space="preserve"> ADDIN EN.CITE &lt;EndNote&gt;&lt;Cite&gt;&lt;Author&gt;Helsedirektoratet&lt;/Author&gt;&lt;Year&gt;2020&lt;/Year&gt;&lt;RecNum&gt;514&lt;/RecNum&gt;&lt;DisplayText&gt;(Helsedirektoratet, 2020c)&lt;/DisplayText&gt;&lt;record&gt;&lt;rec-number&gt;514&lt;/rec-number&gt;&lt;foreign-keys&gt;&lt;key app="EN" db-id="95tpr2tp6r9xwoea9rb5wdsz5ds5xeddteew" timestamp="1680069511"&gt;514&lt;/key&gt;&lt;/foreign-keys&gt;&lt;ref-type name="Web Page"&gt;12&lt;/ref-type&gt;&lt;contributors&gt;&lt;authors&gt;&lt;author&gt;Helsedirektoratet&lt;/author&gt;&lt;/authors&gt;&lt;/contributors&gt;&lt;titles&gt;&lt;title&gt;Nasjonal veileder for legevakt og legevaktsentral&lt;/title&gt;&lt;/titles&gt;&lt;number&gt;13.02.2023&lt;/number&gt;&lt;dates&gt;&lt;year&gt;2020&lt;/year&gt;&lt;pub-dates&gt;&lt;date&gt;28.02.2020&lt;/date&gt;&lt;/pub-dates&gt;&lt;/dates&gt;&lt;pub-location&gt;Oslo&lt;/pub-location&gt;&lt;publisher&gt;Helsedirektoratet&lt;/publisher&gt;&lt;work-type&gt;nettdokument&lt;/work-type&gt;&lt;urls&gt;&lt;/urls&gt;&lt;/record&gt;&lt;/Cite&gt;&lt;/EndNote&gt;</w:instrText>
      </w:r>
      <w:r w:rsidR="00E2103A">
        <w:fldChar w:fldCharType="separate"/>
      </w:r>
      <w:r w:rsidR="001F5F05">
        <w:rPr>
          <w:noProof/>
        </w:rPr>
        <w:t>(Helsedirektoratet, 2020c)</w:t>
      </w:r>
      <w:r w:rsidR="00E2103A">
        <w:fldChar w:fldCharType="end"/>
      </w:r>
      <w:r w:rsidR="00E2103A">
        <w:t>.</w:t>
      </w:r>
    </w:p>
    <w:p w14:paraId="359B7522" w14:textId="562FEF6E" w:rsidR="00C145DE" w:rsidRPr="007509C0" w:rsidRDefault="009D0686" w:rsidP="00775632">
      <w:pPr>
        <w:pStyle w:val="Overskrift3"/>
      </w:pPr>
      <w:bookmarkStart w:id="4100" w:name="_Toc131279563"/>
      <w:bookmarkStart w:id="4101" w:name="_Toc131286975"/>
      <w:bookmarkStart w:id="4102" w:name="_Toc131281385"/>
      <w:bookmarkStart w:id="4103" w:name="_Toc131317925"/>
      <w:bookmarkStart w:id="4104" w:name="_Toc132537046"/>
      <w:r>
        <w:t>Kompetansekrav til lege i legevakt</w:t>
      </w:r>
      <w:bookmarkEnd w:id="4100"/>
      <w:bookmarkEnd w:id="4101"/>
      <w:bookmarkEnd w:id="4102"/>
      <w:bookmarkEnd w:id="4103"/>
      <w:bookmarkEnd w:id="4104"/>
    </w:p>
    <w:p w14:paraId="4C6FD9FE" w14:textId="601F3A2B" w:rsidR="00C7497C" w:rsidRDefault="2E8AF08C" w:rsidP="00AF1170">
      <w:r>
        <w:t xml:space="preserve">Akuttmedisinforskriften </w:t>
      </w:r>
      <w:r w:rsidR="00D9107F">
        <w:t>§ 7</w:t>
      </w:r>
      <w:r>
        <w:t xml:space="preserve"> stiller kompetansekrav til leger som skal ha legevakt i den kommunale legevaktordningen. </w:t>
      </w:r>
      <w:r w:rsidRPr="0059657B">
        <w:t>Kompetansekravene til lege som kan ha legevakt alene, uten kvalifisert bakvakt, består av krav til grunnkompetanse (spesialist i allmennmedisin eller godkjenning som allmennlege), inkludert relevant praksis og kurs i akuttmedisin og vold- og overgrepshåndtering</w:t>
      </w:r>
      <w:r w:rsidR="52A0A0FD" w:rsidRPr="7F5E7FD6">
        <w:t xml:space="preserve"> </w:t>
      </w:r>
      <w:r w:rsidR="00540F95">
        <w:fldChar w:fldCharType="begin"/>
      </w:r>
      <w:r w:rsidR="00235862">
        <w:instrText xml:space="preserve"> ADDIN EN.CITE &lt;EndNote&gt;&lt;Cite ExcludeAuth="1"&gt;&lt;Author&gt;Helse- og omsorgsdepartementet&lt;/Author&gt;&lt;Year&gt;2015&lt;/Year&gt;&lt;RecNum&gt;728&lt;/RecNum&gt;&lt;DisplayText&gt;(2015c)&lt;/DisplayText&gt;&lt;record&gt;&lt;rec-number&gt;728&lt;/rec-number&gt;&lt;foreign-keys&gt;&lt;key app="EN" db-id="95tpr2tp6r9xwoea9rb5wdsz5ds5xeddteew" timestamp="1680069511"&gt;728&lt;/key&gt;&lt;/foreign-keys&gt;&lt;ref-type name="Report"&gt;27&lt;/ref-type&gt;&lt;contributors&gt;&lt;authors&gt;&lt;author&gt;Helse- og omsorgsdepartementet,&lt;/author&gt;&lt;/authors&gt;&lt;/contributors&gt;&lt;titles&gt;&lt;title&gt;Rundskriv I-5/15: Akuttmedisinforskriften (med merknader til enkelte bestemmelser)&lt;/title&gt;&lt;/titles&gt;&lt;dates&gt;&lt;year&gt;2015&lt;/year&gt;&lt;/dates&gt;&lt;pub-location&gt;Oslo&lt;/pub-location&gt;&lt;publisher&gt;Helse- og omsorgsdepartementet&lt;/publisher&gt;&lt;urls&gt;&lt;/urls&gt;&lt;/record&gt;&lt;/Cite&gt;&lt;/EndNote&gt;</w:instrText>
      </w:r>
      <w:r w:rsidR="00540F95">
        <w:fldChar w:fldCharType="separate"/>
      </w:r>
      <w:r w:rsidR="00CE2F35">
        <w:rPr>
          <w:noProof/>
        </w:rPr>
        <w:t>(2015c)</w:t>
      </w:r>
      <w:r w:rsidR="00540F95">
        <w:fldChar w:fldCharType="end"/>
      </w:r>
      <w:r w:rsidR="00EA5761">
        <w:t>.</w:t>
      </w:r>
      <w:r w:rsidR="00C7497C" w:rsidRPr="00D9107F">
        <w:rPr>
          <w:rStyle w:val="Fotnotereferanse"/>
        </w:rPr>
        <w:footnoteReference w:id="43"/>
      </w:r>
      <w:r>
        <w:t xml:space="preserve"> Legevaktmedisin er primært allmennmedisin, og bør i hovedsak utøves av kvalifisert allmennlege/fastlege, samtidig som legevakt er en beredskapstjeneste og krever spesifikk kompetanse utover generell grunnkompetanse. </w:t>
      </w:r>
      <w:r w:rsidR="1F99AB3E">
        <w:t xml:space="preserve">Kompetansekravene </w:t>
      </w:r>
      <w:r w:rsidR="07F176D1" w:rsidRPr="498DE090">
        <w:t>til leger som skal ha legevakt</w:t>
      </w:r>
      <w:r w:rsidR="0E4FB31E" w:rsidRPr="498DE090">
        <w:t>,</w:t>
      </w:r>
      <w:r w:rsidRPr="498DE090">
        <w:t xml:space="preserve"> </w:t>
      </w:r>
      <w:r>
        <w:t>gjelder i tillegg til kravene som stilles i kompetanseforskriften, og er i utgangspunktet strengere</w:t>
      </w:r>
      <w:r w:rsidR="00565B05">
        <w:t xml:space="preserve"> </w:t>
      </w:r>
      <w:r w:rsidR="00565B05">
        <w:fldChar w:fldCharType="begin"/>
      </w:r>
      <w:r w:rsidR="00D078E3">
        <w:instrText xml:space="preserve"> ADDIN EN.CITE &lt;EndNote&gt;&lt;Cite ExcludeAuth="1"&gt;&lt;Year&gt;2017&lt;/Year&gt;&lt;RecNum&gt;257&lt;/RecNum&gt;&lt;DisplayText&gt;(&lt;style face="italic"&gt;Forskrift om kompetansekrav for leger i den kommunale helse- og omsorgstjenesten&lt;/style&gt;, 2017)&lt;/DisplayText&gt;&lt;record&gt;&lt;rec-number&gt;257&lt;/rec-number&gt;&lt;foreign-keys&gt;&lt;key app="EN" db-id="95tpr2tp6r9xwoea9rb5wdsz5ds5xeddteew" timestamp="1680069511"&gt;257&lt;/key&gt;&lt;/foreign-keys&gt;&lt;ref-type name="Legal Rule or Regulation"&gt;50&lt;/ref-type&gt;&lt;contributors&gt;&lt;/contributors&gt;&lt;titles&gt;&lt;title&gt;Forskrift om kompetansekrav for leger i den kommunale helse- og omsorgstjenesten&lt;/title&gt;&lt;secondary-title&gt;FOR-2017-02-17-192&lt;/secondary-title&gt;&lt;/titles&gt;&lt;edition&gt; FOR-2022-10-28-1816&lt;/edition&gt;&lt;dates&gt;&lt;year&gt;2017&lt;/year&gt;&lt;/dates&gt;&lt;urls&gt;&lt;related-urls&gt;&lt;url&gt;https://lovdata.no/dokument/LTI/forskrift/2017-02-17-192&lt;/url&gt;&lt;/related-urls&gt;&lt;/urls&gt;&lt;/record&gt;&lt;/Cite&gt;&lt;/EndNote&gt;</w:instrText>
      </w:r>
      <w:r w:rsidR="00565B05">
        <w:fldChar w:fldCharType="separate"/>
      </w:r>
      <w:r w:rsidR="00565B05">
        <w:rPr>
          <w:noProof/>
        </w:rPr>
        <w:t>(</w:t>
      </w:r>
      <w:r w:rsidR="00565B05" w:rsidRPr="00D9107F">
        <w:rPr>
          <w:rStyle w:val="kursiv"/>
        </w:rPr>
        <w:t>Forskrift om kompetansekrav for leger i den kommunale helse- og omsorgstjenesten</w:t>
      </w:r>
      <w:r w:rsidR="00565B05">
        <w:rPr>
          <w:noProof/>
        </w:rPr>
        <w:t>, 2017)</w:t>
      </w:r>
      <w:r w:rsidR="00565B05">
        <w:fldChar w:fldCharType="end"/>
      </w:r>
      <w:r>
        <w:t>.</w:t>
      </w:r>
    </w:p>
    <w:p w14:paraId="4BE2609D" w14:textId="1B788135" w:rsidR="00D9107F" w:rsidRDefault="2E8AF08C" w:rsidP="00AF1170">
      <w:bookmarkStart w:id="4105" w:name="_Toc128744673"/>
      <w:bookmarkStart w:id="4106" w:name="_Toc128744892"/>
      <w:r>
        <w:t xml:space="preserve">Vaktleger som ikke oppfyller </w:t>
      </w:r>
      <w:r w:rsidR="13FE1BD4">
        <w:t>kompetanse</w:t>
      </w:r>
      <w:r w:rsidR="1F99AB3E">
        <w:t>kravene</w:t>
      </w:r>
      <w:r w:rsidR="13FE1BD4">
        <w:t>,</w:t>
      </w:r>
      <w:r>
        <w:t xml:space="preserve"> må ha kvalifisert bakvakt, d</w:t>
      </w:r>
      <w:r w:rsidR="003E457F">
        <w:t>et vil si</w:t>
      </w:r>
      <w:r>
        <w:t xml:space="preserve"> lege i bakhånd med kvalifikasjoner tilsvarende de kompetansekrav som stilles</w:t>
      </w:r>
      <w:r w:rsidR="0039264C">
        <w:t>.</w:t>
      </w:r>
      <w:r w:rsidR="00673DEA">
        <w:t xml:space="preserve"> Kravet om bakvakt</w:t>
      </w:r>
      <w:r w:rsidR="00F479E4">
        <w:t xml:space="preserve"> følger av akuttmedisinforskriften </w:t>
      </w:r>
      <w:r w:rsidR="00D9107F">
        <w:t>§ 7</w:t>
      </w:r>
      <w:r w:rsidR="00F479E4">
        <w:t xml:space="preserve"> andre ledd</w:t>
      </w:r>
      <w:r w:rsidR="00673DEA">
        <w:t>.</w:t>
      </w:r>
      <w:r w:rsidR="00F479E4">
        <w:t xml:space="preserve"> </w:t>
      </w:r>
      <w:r w:rsidR="00F479E4" w:rsidRPr="0059657B">
        <w:t>Den enkelte kommune eller den enkelte legevaktordning må vurdere om bakvakten ved behov skal kunne være tilgjengelig for til stede-veiledning av lege i vakt som ikke oppfyller kompetansekravene</w:t>
      </w:r>
      <w:r w:rsidR="00F479E4">
        <w:t xml:space="preserve">. Kommuner kan samarbeide om bakvaktordning </w:t>
      </w:r>
      <w:r w:rsidR="00A7131E">
        <w:t xml:space="preserve">for </w:t>
      </w:r>
      <w:r w:rsidR="00F479E4">
        <w:t>et større område.</w:t>
      </w:r>
    </w:p>
    <w:p w14:paraId="3054845B" w14:textId="1FC119DC" w:rsidR="00F479E4" w:rsidRDefault="00F479E4" w:rsidP="00AF1170">
      <w:pPr>
        <w:rPr>
          <w:rFonts w:eastAsia="Calibri"/>
        </w:rPr>
      </w:pPr>
      <w:r w:rsidRPr="7E580239">
        <w:t xml:space="preserve">Bakvaktordningen har sin bakgrunn i forsvarlighetshensyn, jf. </w:t>
      </w:r>
      <w:r w:rsidR="00FC22CC">
        <w:t>h</w:t>
      </w:r>
      <w:r w:rsidRPr="7E580239">
        <w:t xml:space="preserve">else- og omsorgstjenesteloven </w:t>
      </w:r>
      <w:r w:rsidR="00D9107F">
        <w:t>§ </w:t>
      </w:r>
      <w:r w:rsidR="00D9107F" w:rsidRPr="7E580239">
        <w:t>4</w:t>
      </w:r>
      <w:r w:rsidRPr="7E580239">
        <w:t xml:space="preserve">-1 og helsepersonelloven </w:t>
      </w:r>
      <w:r w:rsidR="00D9107F">
        <w:t>§ </w:t>
      </w:r>
      <w:r w:rsidR="00D9107F" w:rsidRPr="7E580239">
        <w:t>4</w:t>
      </w:r>
      <w:r w:rsidRPr="7E580239">
        <w:t>. Legevaktsdistriktene blir større, flere oppgaver utføres i kommunene i tråd med samhandlingsreformens intensjoner</w:t>
      </w:r>
      <w:r w:rsidR="003E457F">
        <w:t>,</w:t>
      </w:r>
      <w:r w:rsidRPr="7E580239">
        <w:t xml:space="preserve"> og kompleksiteten av de medisinske problemstillingene øker også i legevaktsarbeidet. Legevakt er videre en beredskapstjeneste</w:t>
      </w:r>
      <w:r w:rsidR="003E457F">
        <w:t>,</w:t>
      </w:r>
      <w:r w:rsidRPr="7E580239">
        <w:t xml:space="preserve"> og preges tidvis av situasjoner med akutte problemstillinger, hvor raske avgjørelser er nødvendig. I mange situasjoner vil legen ofte måtte treffe beslutninger alene. I situasjoner der lege i vakt ikke har tilstrekkelig kompetanse</w:t>
      </w:r>
      <w:r w:rsidR="002D0652">
        <w:t>,</w:t>
      </w:r>
      <w:r w:rsidRPr="7E580239">
        <w:t xml:space="preserve"> vil det derfor</w:t>
      </w:r>
      <w:r w:rsidR="003E457F">
        <w:t>,</w:t>
      </w:r>
      <w:r w:rsidRPr="7E580239">
        <w:t xml:space="preserve"> av forsvarlighetshensyn</w:t>
      </w:r>
      <w:r w:rsidR="003E457F">
        <w:t>,</w:t>
      </w:r>
      <w:r w:rsidRPr="7E580239">
        <w:t xml:space="preserve"> være nødvendig med en bakvakt</w:t>
      </w:r>
      <w:r w:rsidR="003E457F">
        <w:t xml:space="preserve"> </w:t>
      </w:r>
      <w:r w:rsidRPr="7E580239">
        <w:t>som kan konsulteres. Utover det strenge hensynet til forsvarlighet</w:t>
      </w:r>
      <w:r w:rsidR="00897D81">
        <w:t>,</w:t>
      </w:r>
      <w:r w:rsidRPr="7E580239">
        <w:t xml:space="preserve"> vil en erfaren bakvaktlege kunne bidra med god støtte til en </w:t>
      </w:r>
      <w:r w:rsidRPr="7E580239">
        <w:lastRenderedPageBreak/>
        <w:t>mindre erfaren lege når det gjelder pasientvurdering, og dermed også kunne bidra til å forhindre unødvendige innleggelser i sykehus.</w:t>
      </w:r>
    </w:p>
    <w:p w14:paraId="3173D7DF" w14:textId="4EFC9518" w:rsidR="00D9107F" w:rsidRDefault="00A25DD0" w:rsidP="00AF1170">
      <w:r>
        <w:t xml:space="preserve">Med grunnlag i rekrutteringsutfordringer, kan kommunen gi unntak fra kompetansekravene for leger som har oppnådd læringsmålene i spesialistutdanningens første del (LIS1) eller tilsvarende, jf. akuttmedisinforskriften </w:t>
      </w:r>
      <w:r w:rsidR="00D9107F">
        <w:t>§ 7</w:t>
      </w:r>
      <w:r>
        <w:t xml:space="preserve"> tredje ledd. Slike unntak kan bare gis til og med 31. desember 2023, og </w:t>
      </w:r>
      <w:r w:rsidR="003E457F">
        <w:t>s</w:t>
      </w:r>
      <w:r>
        <w:t>tatsforvalteren skal orienteres om unntakene.</w:t>
      </w:r>
    </w:p>
    <w:p w14:paraId="2AE3EEB8" w14:textId="46A134D0" w:rsidR="00CA575F" w:rsidRPr="007D601B" w:rsidRDefault="09A51149" w:rsidP="00775632">
      <w:pPr>
        <w:pStyle w:val="Overskrift3"/>
        <w:rPr>
          <w:rStyle w:val="Hyperkobling"/>
          <w:color w:val="2A3652"/>
          <w:u w:val="none"/>
        </w:rPr>
      </w:pPr>
      <w:bookmarkStart w:id="4107" w:name="_Toc129630395"/>
      <w:bookmarkStart w:id="4108" w:name="_Toc130763905"/>
      <w:bookmarkStart w:id="4109" w:name="_Toc130766800"/>
      <w:bookmarkStart w:id="4110" w:name="_Toc130932199"/>
      <w:bookmarkStart w:id="4111" w:name="_Toc130934490"/>
      <w:bookmarkStart w:id="4112" w:name="_Toc130983623"/>
      <w:bookmarkStart w:id="4113" w:name="_Toc130983972"/>
      <w:bookmarkStart w:id="4114" w:name="_Toc131062240"/>
      <w:bookmarkStart w:id="4115" w:name="_Toc131062494"/>
      <w:bookmarkStart w:id="4116" w:name="_Toc131062755"/>
      <w:bookmarkStart w:id="4117" w:name="_Toc131063008"/>
      <w:bookmarkStart w:id="4118" w:name="_Toc131063791"/>
      <w:bookmarkStart w:id="4119" w:name="_Toc131064202"/>
      <w:bookmarkStart w:id="4120" w:name="_Toc131238532"/>
      <w:bookmarkStart w:id="4121" w:name="_Toc131279564"/>
      <w:bookmarkStart w:id="4122" w:name="_Toc131286976"/>
      <w:bookmarkStart w:id="4123" w:name="_Toc131281386"/>
      <w:bookmarkStart w:id="4124" w:name="_Toc131317926"/>
      <w:bookmarkStart w:id="4125" w:name="_Toc132537047"/>
      <w:r w:rsidRPr="000F5839">
        <w:rPr>
          <w:rStyle w:val="Hyperkobling"/>
          <w:color w:val="2A3652"/>
          <w:u w:val="none"/>
        </w:rPr>
        <w:t>Legevakt</w:t>
      </w:r>
      <w:r w:rsidRPr="007D601B">
        <w:rPr>
          <w:rStyle w:val="Hyperkobling"/>
          <w:color w:val="2A3652"/>
          <w:u w:val="none"/>
        </w:rPr>
        <w:t xml:space="preserve"> i andre land</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6B4356E4" w14:textId="77777777" w:rsidR="00D9107F" w:rsidRDefault="00D06888" w:rsidP="00C908E2">
      <w:pPr>
        <w:jc w:val="both"/>
      </w:pPr>
      <w:r w:rsidRPr="00270EDF">
        <w:t>I alle de nordiske landene er legevakttjenesten avhengig av allmennleger som bidrar i vaktarbeidet</w:t>
      </w:r>
      <w:r w:rsidR="0073121D">
        <w:t>,</w:t>
      </w:r>
      <w:r w:rsidRPr="00270EDF">
        <w:t xml:space="preserve"> i tillegg til sitt ordinære arbeid på dagtid</w:t>
      </w:r>
      <w:r w:rsidR="00CE729D">
        <w:t xml:space="preserve"> </w:t>
      </w:r>
      <w:r w:rsidR="00996C9A">
        <w:fldChar w:fldCharType="begin"/>
      </w:r>
      <w:r w:rsidR="004654FD">
        <w:instrText xml:space="preserve"> ADDIN EN.CITE &lt;EndNote&gt;&lt;Cite&gt;&lt;Author&gt;Eide&lt;/Author&gt;&lt;Year&gt;2020&lt;/Year&gt;&lt;RecNum&gt;971&lt;/RecNum&gt;&lt;DisplayText&gt;(Eide, 2020)&lt;/DisplayText&gt;&lt;record&gt;&lt;rec-number&gt;971&lt;/rec-number&gt;&lt;foreign-keys&gt;&lt;key app="EN" db-id="95tpr2tp6r9xwoea9rb5wdsz5ds5xeddteew" timestamp="1680225709"&gt;971&lt;/key&gt;&lt;/foreign-keys&gt;&lt;ref-type name="Journal Article"&gt;17&lt;/ref-type&gt;&lt;contributors&gt;&lt;authors&gt;&lt;author&gt;Eide, T. B.&lt;/author&gt;&lt;/authors&gt;&lt;/contributors&gt;&lt;titles&gt;&lt;title&gt;Legevakt i Norden før og nå&lt;/title&gt;&lt;secondary-title&gt;Michael &lt;/secondary-title&gt;&lt;/titles&gt;&lt;pages&gt;588–601&lt;/pages&gt;&lt;number&gt;17&lt;/number&gt;&lt;dates&gt;&lt;year&gt;2020&lt;/year&gt;&lt;/dates&gt;&lt;publisher&gt;Det Norske medicinske Selskab,&lt;/publisher&gt;&lt;urls&gt;&lt;related-urls&gt;&lt;url&gt;https://www.michaeljournal.no/article/2020/09/Legevakt-i-Norden-for-og-na&lt;/url&gt;&lt;/related-urls&gt;&lt;/urls&gt;&lt;/record&gt;&lt;/Cite&gt;&lt;/EndNote&gt;</w:instrText>
      </w:r>
      <w:r w:rsidR="00996C9A">
        <w:fldChar w:fldCharType="separate"/>
      </w:r>
      <w:r w:rsidR="00996C9A">
        <w:rPr>
          <w:noProof/>
        </w:rPr>
        <w:t>(Eide, 2020)</w:t>
      </w:r>
      <w:r w:rsidR="00996C9A">
        <w:fldChar w:fldCharType="end"/>
      </w:r>
      <w:r w:rsidRPr="00270EDF">
        <w:t>. Det varierer i hvilken grad leger er pliktige til å delta i legevaktstjeneste. I distriktene er det f</w:t>
      </w:r>
      <w:r w:rsidRPr="00270EDF">
        <w:rPr>
          <w:rFonts w:hint="eastAsia"/>
        </w:rPr>
        <w:t>æ</w:t>
      </w:r>
      <w:r w:rsidRPr="00270EDF">
        <w:t xml:space="preserve">rre leger til </w:t>
      </w:r>
      <w:r w:rsidRPr="00270EDF">
        <w:rPr>
          <w:rFonts w:hint="eastAsia"/>
        </w:rPr>
        <w:t>å</w:t>
      </w:r>
      <w:r w:rsidRPr="00270EDF">
        <w:t xml:space="preserve"> dele p</w:t>
      </w:r>
      <w:r w:rsidRPr="00270EDF">
        <w:rPr>
          <w:rFonts w:hint="eastAsia"/>
        </w:rPr>
        <w:t>å</w:t>
      </w:r>
      <w:r w:rsidRPr="00270EDF">
        <w:t xml:space="preserve"> vaktarbeidet</w:t>
      </w:r>
      <w:r w:rsidR="003E457F">
        <w:t>,</w:t>
      </w:r>
      <w:r w:rsidRPr="00270EDF">
        <w:t xml:space="preserve"> og dermed en h</w:t>
      </w:r>
      <w:r w:rsidRPr="00270EDF">
        <w:rPr>
          <w:rFonts w:hint="eastAsia"/>
        </w:rPr>
        <w:t>ø</w:t>
      </w:r>
      <w:r w:rsidRPr="00270EDF">
        <w:t xml:space="preserve">yere arbeidsbelastning på legevakt. I store deler av Norden bidrar lange avstander og værforhold til problemer med </w:t>
      </w:r>
      <w:r w:rsidRPr="00270EDF">
        <w:rPr>
          <w:rFonts w:hint="eastAsia"/>
        </w:rPr>
        <w:t>å</w:t>
      </w:r>
      <w:r w:rsidRPr="00270EDF">
        <w:t xml:space="preserve"> sikre god tilgang til legevakttjenester for hele befolkningen. Dette gjelder særlig distriktene i nordlige deler av Sverige og Finland. Men også i de andre landene vi ser på her</w:t>
      </w:r>
      <w:r w:rsidR="003B59ED">
        <w:t>,</w:t>
      </w:r>
      <w:r w:rsidRPr="00270EDF">
        <w:t xml:space="preserve"> er dette relevante problemstillinger </w:t>
      </w:r>
      <w:r w:rsidR="003E457F">
        <w:t>–</w:t>
      </w:r>
      <w:r w:rsidR="00CA7D9D">
        <w:t xml:space="preserve"> </w:t>
      </w:r>
      <w:r w:rsidRPr="00270EDF">
        <w:t>spesielt i Skottland.</w:t>
      </w:r>
    </w:p>
    <w:p w14:paraId="274F757E" w14:textId="100D5A06" w:rsidR="00D06888" w:rsidRPr="002B4B95" w:rsidRDefault="00D06888" w:rsidP="00775632">
      <w:pPr>
        <w:pStyle w:val="Overskrift4"/>
      </w:pPr>
      <w:bookmarkStart w:id="4126" w:name="_Toc131238533"/>
      <w:bookmarkStart w:id="4127" w:name="_Toc131279565"/>
      <w:bookmarkStart w:id="4128" w:name="_Toc131286977"/>
      <w:bookmarkStart w:id="4129" w:name="_Toc131281387"/>
      <w:bookmarkStart w:id="4130" w:name="_Toc131317927"/>
      <w:r w:rsidRPr="00DF2E3D">
        <w:t>Danmark</w:t>
      </w:r>
      <w:bookmarkEnd w:id="4126"/>
      <w:bookmarkEnd w:id="4127"/>
      <w:bookmarkEnd w:id="4128"/>
      <w:bookmarkEnd w:id="4129"/>
      <w:bookmarkEnd w:id="4130"/>
    </w:p>
    <w:p w14:paraId="161B650E" w14:textId="77777777" w:rsidR="00D9107F" w:rsidRDefault="00D06888" w:rsidP="008B1914">
      <w:pPr>
        <w:jc w:val="both"/>
        <w:rPr>
          <w:rFonts w:cstheme="minorHAnsi"/>
          <w:noProof/>
        </w:rPr>
      </w:pPr>
      <w:r w:rsidRPr="002141E2">
        <w:rPr>
          <w:rFonts w:cstheme="minorHAnsi"/>
          <w:noProof/>
        </w:rPr>
        <w:t xml:space="preserve">En omfattende helsereform i Danmark i 1992 ga fylkene, og senere regionene, medansvar for organiseringen av legevakttjenester. </w:t>
      </w:r>
      <w:r>
        <w:rPr>
          <w:rFonts w:cstheme="minorHAnsi"/>
          <w:noProof/>
        </w:rPr>
        <w:t>Det ble satt</w:t>
      </w:r>
      <w:r w:rsidRPr="002141E2">
        <w:rPr>
          <w:rFonts w:cstheme="minorHAnsi"/>
          <w:noProof/>
        </w:rPr>
        <w:t xml:space="preserve"> </w:t>
      </w:r>
      <w:r>
        <w:rPr>
          <w:rFonts w:cstheme="minorHAnsi"/>
          <w:noProof/>
        </w:rPr>
        <w:t xml:space="preserve">en </w:t>
      </w:r>
      <w:r w:rsidRPr="002141E2">
        <w:rPr>
          <w:rFonts w:cstheme="minorHAnsi" w:hint="eastAsia"/>
          <w:noProof/>
        </w:rPr>
        <w:t>ø</w:t>
      </w:r>
      <w:r w:rsidRPr="002141E2">
        <w:rPr>
          <w:rFonts w:cstheme="minorHAnsi"/>
          <w:noProof/>
        </w:rPr>
        <w:t xml:space="preserve">vre grense for frekvens og varighet av vaktarbeid, og kun godkjente spesialister i allmennmedisin </w:t>
      </w:r>
      <w:r>
        <w:rPr>
          <w:rFonts w:cstheme="minorHAnsi"/>
          <w:noProof/>
        </w:rPr>
        <w:t>kunne</w:t>
      </w:r>
      <w:r w:rsidRPr="002141E2">
        <w:rPr>
          <w:rFonts w:cstheme="minorHAnsi"/>
          <w:noProof/>
        </w:rPr>
        <w:t xml:space="preserve"> utf</w:t>
      </w:r>
      <w:r w:rsidRPr="002141E2">
        <w:rPr>
          <w:rFonts w:cstheme="minorHAnsi" w:hint="eastAsia"/>
          <w:noProof/>
        </w:rPr>
        <w:t>ø</w:t>
      </w:r>
      <w:r w:rsidRPr="002141E2">
        <w:rPr>
          <w:rFonts w:cstheme="minorHAnsi"/>
          <w:noProof/>
        </w:rPr>
        <w:t xml:space="preserve">re telefontriagering. </w:t>
      </w:r>
      <w:r>
        <w:rPr>
          <w:rFonts w:cstheme="minorHAnsi"/>
          <w:noProof/>
        </w:rPr>
        <w:t xml:space="preserve">Det </w:t>
      </w:r>
      <w:r w:rsidRPr="5071EFBD">
        <w:rPr>
          <w:noProof/>
        </w:rPr>
        <w:t>ført</w:t>
      </w:r>
      <w:r w:rsidR="2DAB2CEA" w:rsidRPr="5071EFBD">
        <w:rPr>
          <w:noProof/>
        </w:rPr>
        <w:t>e</w:t>
      </w:r>
      <w:r>
        <w:rPr>
          <w:rFonts w:cstheme="minorHAnsi"/>
          <w:noProof/>
        </w:rPr>
        <w:t xml:space="preserve"> til r</w:t>
      </w:r>
      <w:r w:rsidRPr="00956C27">
        <w:rPr>
          <w:rFonts w:cstheme="minorHAnsi"/>
          <w:noProof/>
        </w:rPr>
        <w:t>edusert vaktbelastning</w:t>
      </w:r>
      <w:r>
        <w:rPr>
          <w:rFonts w:cstheme="minorHAnsi"/>
          <w:noProof/>
        </w:rPr>
        <w:t>, samtidig som andelen allmennleger som ikke deltok i legevakt</w:t>
      </w:r>
      <w:r w:rsidR="00CA7D9D">
        <w:rPr>
          <w:rFonts w:cstheme="minorHAnsi"/>
          <w:noProof/>
        </w:rPr>
        <w:t>,</w:t>
      </w:r>
      <w:r>
        <w:rPr>
          <w:rFonts w:cstheme="minorHAnsi"/>
          <w:noProof/>
        </w:rPr>
        <w:t xml:space="preserve"> økte til </w:t>
      </w:r>
      <w:r w:rsidRPr="00956C27">
        <w:rPr>
          <w:rFonts w:cstheme="minorHAnsi"/>
          <w:noProof/>
        </w:rPr>
        <w:t xml:space="preserve">36 </w:t>
      </w:r>
      <w:r>
        <w:rPr>
          <w:rFonts w:cstheme="minorHAnsi"/>
          <w:noProof/>
        </w:rPr>
        <w:t>prosent</w:t>
      </w:r>
      <w:r w:rsidRPr="00956C27">
        <w:rPr>
          <w:rFonts w:cstheme="minorHAnsi"/>
          <w:noProof/>
        </w:rPr>
        <w:t>.</w:t>
      </w:r>
      <w:r>
        <w:rPr>
          <w:rFonts w:cstheme="minorHAnsi"/>
          <w:noProof/>
        </w:rPr>
        <w:t xml:space="preserve"> </w:t>
      </w:r>
      <w:r w:rsidR="00101A7B">
        <w:rPr>
          <w:rFonts w:cstheme="minorHAnsi"/>
        </w:rPr>
        <w:t>K</w:t>
      </w:r>
      <w:r w:rsidRPr="00956C27">
        <w:rPr>
          <w:rFonts w:cstheme="minorHAnsi"/>
        </w:rPr>
        <w:t>ontakttyper</w:t>
      </w:r>
      <w:r w:rsidR="00101A7B">
        <w:rPr>
          <w:rFonts w:cstheme="minorHAnsi"/>
        </w:rPr>
        <w:t xml:space="preserve"> endret seg også</w:t>
      </w:r>
      <w:r w:rsidR="00DF0ECF">
        <w:rPr>
          <w:rFonts w:cstheme="minorHAnsi"/>
        </w:rPr>
        <w:t xml:space="preserve">, </w:t>
      </w:r>
      <w:r w:rsidR="00AE3CC4">
        <w:rPr>
          <w:rFonts w:cstheme="minorHAnsi"/>
        </w:rPr>
        <w:t>og</w:t>
      </w:r>
      <w:r w:rsidR="00DF0ECF">
        <w:rPr>
          <w:rFonts w:cstheme="minorHAnsi"/>
        </w:rPr>
        <w:t xml:space="preserve"> a</w:t>
      </w:r>
      <w:r w:rsidRPr="00956C27">
        <w:rPr>
          <w:rFonts w:cstheme="minorHAnsi"/>
        </w:rPr>
        <w:t xml:space="preserve">ndelen </w:t>
      </w:r>
      <w:r w:rsidRPr="00956C27">
        <w:rPr>
          <w:rFonts w:cstheme="minorHAnsi"/>
          <w:noProof/>
        </w:rPr>
        <w:t>hjemmebes</w:t>
      </w:r>
      <w:r w:rsidRPr="00956C27">
        <w:rPr>
          <w:rFonts w:cstheme="minorHAnsi" w:hint="eastAsia"/>
          <w:noProof/>
        </w:rPr>
        <w:t>ø</w:t>
      </w:r>
      <w:r w:rsidRPr="00956C27">
        <w:rPr>
          <w:rFonts w:cstheme="minorHAnsi"/>
          <w:noProof/>
        </w:rPr>
        <w:t xml:space="preserve">k </w:t>
      </w:r>
      <w:r w:rsidR="00AE3CC4">
        <w:rPr>
          <w:rFonts w:cstheme="minorHAnsi"/>
        </w:rPr>
        <w:t xml:space="preserve">ble nærmest </w:t>
      </w:r>
      <w:r>
        <w:rPr>
          <w:rFonts w:cstheme="minorHAnsi"/>
          <w:noProof/>
        </w:rPr>
        <w:t>halv</w:t>
      </w:r>
      <w:r w:rsidR="006C14F6">
        <w:rPr>
          <w:rFonts w:cstheme="minorHAnsi"/>
          <w:noProof/>
        </w:rPr>
        <w:t>ert</w:t>
      </w:r>
      <w:r w:rsidRPr="00956C27">
        <w:rPr>
          <w:rFonts w:cstheme="minorHAnsi"/>
          <w:noProof/>
        </w:rPr>
        <w:t xml:space="preserve"> til 18 </w:t>
      </w:r>
      <w:r>
        <w:rPr>
          <w:rFonts w:cstheme="minorHAnsi"/>
          <w:noProof/>
        </w:rPr>
        <w:t>prosent</w:t>
      </w:r>
      <w:r w:rsidRPr="00956C27">
        <w:rPr>
          <w:rFonts w:cstheme="minorHAnsi"/>
          <w:noProof/>
        </w:rPr>
        <w:t xml:space="preserve">, mens </w:t>
      </w:r>
      <w:r>
        <w:rPr>
          <w:rFonts w:cstheme="minorHAnsi"/>
          <w:noProof/>
        </w:rPr>
        <w:t xml:space="preserve">andelen telefonkonsultasjoner </w:t>
      </w:r>
      <w:r w:rsidR="21EDFB6B" w:rsidRPr="5071EFBD">
        <w:rPr>
          <w:noProof/>
        </w:rPr>
        <w:t>økt</w:t>
      </w:r>
      <w:r w:rsidR="01BC7522" w:rsidRPr="5071EFBD">
        <w:rPr>
          <w:noProof/>
        </w:rPr>
        <w:t>e</w:t>
      </w:r>
      <w:r w:rsidRPr="00956C27">
        <w:rPr>
          <w:rFonts w:cstheme="minorHAnsi"/>
          <w:noProof/>
        </w:rPr>
        <w:t xml:space="preserve"> til 60</w:t>
      </w:r>
      <w:r>
        <w:rPr>
          <w:rFonts w:cstheme="minorHAnsi"/>
          <w:noProof/>
        </w:rPr>
        <w:t xml:space="preserve"> prosent</w:t>
      </w:r>
      <w:r w:rsidRPr="00956C27">
        <w:rPr>
          <w:rFonts w:cstheme="minorHAnsi"/>
          <w:noProof/>
        </w:rPr>
        <w:t xml:space="preserve">. </w:t>
      </w:r>
      <w:r>
        <w:rPr>
          <w:rFonts w:cstheme="minorHAnsi"/>
          <w:noProof/>
        </w:rPr>
        <w:t xml:space="preserve">De siste årene har </w:t>
      </w:r>
      <w:r w:rsidR="00CA7D9D">
        <w:rPr>
          <w:rFonts w:cstheme="minorHAnsi"/>
          <w:noProof/>
        </w:rPr>
        <w:t xml:space="preserve">det </w:t>
      </w:r>
      <w:r>
        <w:rPr>
          <w:rFonts w:cstheme="minorHAnsi"/>
          <w:noProof/>
        </w:rPr>
        <w:t>vært økende problemer med</w:t>
      </w:r>
      <w:r w:rsidRPr="00956C27">
        <w:rPr>
          <w:rFonts w:cstheme="minorHAnsi"/>
          <w:noProof/>
        </w:rPr>
        <w:t xml:space="preserve"> </w:t>
      </w:r>
      <w:r w:rsidRPr="00956C27">
        <w:rPr>
          <w:rFonts w:cstheme="minorHAnsi" w:hint="eastAsia"/>
          <w:noProof/>
        </w:rPr>
        <w:t>å</w:t>
      </w:r>
      <w:r w:rsidRPr="00956C27">
        <w:rPr>
          <w:rFonts w:cstheme="minorHAnsi"/>
          <w:noProof/>
        </w:rPr>
        <w:t xml:space="preserve"> rekruttere nok allmennleger til </w:t>
      </w:r>
      <w:r>
        <w:rPr>
          <w:rFonts w:cstheme="minorHAnsi"/>
          <w:noProof/>
        </w:rPr>
        <w:t>vaktordningen</w:t>
      </w:r>
      <w:r w:rsidRPr="00956C27">
        <w:rPr>
          <w:rFonts w:cstheme="minorHAnsi"/>
          <w:noProof/>
        </w:rPr>
        <w:t>.</w:t>
      </w:r>
    </w:p>
    <w:p w14:paraId="1575A59A" w14:textId="77777777" w:rsidR="00D9107F" w:rsidRDefault="00D06888" w:rsidP="008B1914">
      <w:pPr>
        <w:jc w:val="both"/>
        <w:rPr>
          <w:rFonts w:cstheme="minorHAnsi"/>
        </w:rPr>
      </w:pPr>
      <w:r w:rsidRPr="003317F9">
        <w:rPr>
          <w:rFonts w:eastAsia="Calibri" w:cstheme="minorHAnsi"/>
        </w:rPr>
        <w:t>L</w:t>
      </w:r>
      <w:r w:rsidRPr="003317F9">
        <w:rPr>
          <w:rFonts w:cstheme="minorHAnsi"/>
        </w:rPr>
        <w:t>egevakttjenestene i Danmark er regionene</w:t>
      </w:r>
      <w:r>
        <w:rPr>
          <w:rFonts w:cstheme="minorHAnsi"/>
        </w:rPr>
        <w:t>s ansvar</w:t>
      </w:r>
      <w:r w:rsidRPr="003317F9">
        <w:rPr>
          <w:rFonts w:cstheme="minorHAnsi"/>
        </w:rPr>
        <w:t>. I Region Hovedstaden drives legevakten av regionen selv. I Region Sjælland overt</w:t>
      </w:r>
      <w:r>
        <w:rPr>
          <w:rFonts w:cstheme="minorHAnsi"/>
        </w:rPr>
        <w:t>ok</w:t>
      </w:r>
      <w:r w:rsidRPr="003317F9">
        <w:rPr>
          <w:rFonts w:cstheme="minorHAnsi"/>
        </w:rPr>
        <w:t xml:space="preserve"> </w:t>
      </w:r>
      <w:r>
        <w:rPr>
          <w:rFonts w:cstheme="minorHAnsi"/>
        </w:rPr>
        <w:t xml:space="preserve">regionen </w:t>
      </w:r>
      <w:r w:rsidRPr="003317F9">
        <w:rPr>
          <w:rFonts w:cstheme="minorHAnsi"/>
        </w:rPr>
        <w:t>oppgaven i oktober 2022. I de tre andre regionene drives lege</w:t>
      </w:r>
      <w:r w:rsidR="000D6FBB">
        <w:rPr>
          <w:rFonts w:cstheme="minorHAnsi"/>
        </w:rPr>
        <w:t>vakt</w:t>
      </w:r>
      <w:r w:rsidRPr="003317F9">
        <w:rPr>
          <w:rFonts w:cstheme="minorHAnsi"/>
        </w:rPr>
        <w:t>tjenesten av allmennlegene via lokalavdelinger av Allmennlegeorganisasjonen (PLO), innenfor</w:t>
      </w:r>
      <w:r w:rsidRPr="00A96D2E">
        <w:rPr>
          <w:rFonts w:cstheme="minorHAnsi"/>
        </w:rPr>
        <w:t xml:space="preserve"> rammen av avtaler med den enkelte region (Danske regioner). Det er relativt store forskjeller mellom regionene når det gjelder fastlegenes deltakelse i legevakt. </w:t>
      </w:r>
      <w:r w:rsidR="00D011DE">
        <w:rPr>
          <w:rFonts w:cstheme="minorHAnsi"/>
        </w:rPr>
        <w:t>I</w:t>
      </w:r>
      <w:r w:rsidRPr="00FE5B50">
        <w:rPr>
          <w:rFonts w:cstheme="minorHAnsi"/>
        </w:rPr>
        <w:t xml:space="preserve"> 2016 </w:t>
      </w:r>
      <w:r w:rsidR="0086375E" w:rsidRPr="00FE5B50">
        <w:rPr>
          <w:rFonts w:cstheme="minorHAnsi"/>
        </w:rPr>
        <w:t>deltok 84 prosent av legene</w:t>
      </w:r>
      <w:r w:rsidRPr="00FE5B50">
        <w:rPr>
          <w:rFonts w:cstheme="minorHAnsi"/>
        </w:rPr>
        <w:t xml:space="preserve"> i </w:t>
      </w:r>
      <w:r w:rsidR="00D7264D">
        <w:rPr>
          <w:rFonts w:cstheme="minorHAnsi"/>
        </w:rPr>
        <w:t>R</w:t>
      </w:r>
      <w:r w:rsidRPr="00FE5B50">
        <w:rPr>
          <w:rFonts w:cstheme="minorHAnsi"/>
        </w:rPr>
        <w:t>egion Midt</w:t>
      </w:r>
      <w:r w:rsidR="00994C77">
        <w:rPr>
          <w:rFonts w:cstheme="minorHAnsi"/>
        </w:rPr>
        <w:t>-J</w:t>
      </w:r>
      <w:r w:rsidRPr="00FE5B50">
        <w:rPr>
          <w:rFonts w:cstheme="minorHAnsi"/>
        </w:rPr>
        <w:t>ylland</w:t>
      </w:r>
      <w:r w:rsidR="0086375E">
        <w:rPr>
          <w:rFonts w:cstheme="minorHAnsi"/>
        </w:rPr>
        <w:t>,</w:t>
      </w:r>
      <w:r w:rsidRPr="00FE5B50">
        <w:rPr>
          <w:rFonts w:cstheme="minorHAnsi"/>
        </w:rPr>
        <w:t xml:space="preserve"> </w:t>
      </w:r>
      <w:r w:rsidR="0086375E">
        <w:rPr>
          <w:rFonts w:cstheme="minorHAnsi"/>
        </w:rPr>
        <w:t>mot</w:t>
      </w:r>
      <w:r w:rsidRPr="00FE5B50">
        <w:rPr>
          <w:rFonts w:cstheme="minorHAnsi"/>
        </w:rPr>
        <w:t xml:space="preserve"> </w:t>
      </w:r>
      <w:r w:rsidR="0086375E">
        <w:rPr>
          <w:rFonts w:cstheme="minorHAnsi"/>
        </w:rPr>
        <w:t xml:space="preserve">62 prosent </w:t>
      </w:r>
      <w:r w:rsidRPr="00FE5B50">
        <w:rPr>
          <w:rFonts w:cstheme="minorHAnsi"/>
        </w:rPr>
        <w:t>i Region Sjælland.</w:t>
      </w:r>
    </w:p>
    <w:p w14:paraId="195C704D" w14:textId="77777777" w:rsidR="00D9107F" w:rsidRDefault="00D06888" w:rsidP="008B1914">
      <w:pPr>
        <w:jc w:val="both"/>
      </w:pPr>
      <w:r w:rsidRPr="1F0AE74F">
        <w:t>Allmennlegene har ansvar for å levere legevakttjenester og inngår derfor tariffavtaler med regionene om legevaktsarbeid. Den enkelte fastlege har fleksibilitet m</w:t>
      </w:r>
      <w:r w:rsidR="003E457F">
        <w:t>ed hensyn til</w:t>
      </w:r>
      <w:r w:rsidRPr="1F0AE74F">
        <w:t xml:space="preserve"> omfang av legevaktsarbeidet. De får høyere betalt for legevakt enn for vanlig legearbeid. </w:t>
      </w:r>
      <w:r w:rsidR="003A2BF5" w:rsidRPr="1F0AE74F">
        <w:t>D</w:t>
      </w:r>
      <w:r w:rsidRPr="1F0AE74F">
        <w:t xml:space="preserve">et </w:t>
      </w:r>
      <w:r w:rsidR="003A2BF5" w:rsidRPr="1F0AE74F">
        <w:t>er</w:t>
      </w:r>
      <w:r w:rsidRPr="1F0AE74F">
        <w:t xml:space="preserve"> i Danmark vanlig at vaktlegene er selvstendig næringsdrivende, selv om det i økende grad tilbys fast lønn på nattevakt.</w:t>
      </w:r>
    </w:p>
    <w:p w14:paraId="159159EB" w14:textId="5D5ECFF2" w:rsidR="00D06888" w:rsidRDefault="00D06888" w:rsidP="008B1914">
      <w:pPr>
        <w:jc w:val="both"/>
        <w:rPr>
          <w:rFonts w:eastAsiaTheme="minorEastAsia" w:cstheme="minorHAnsi"/>
        </w:rPr>
      </w:pPr>
      <w:r w:rsidRPr="00FE5B50">
        <w:rPr>
          <w:rFonts w:eastAsiaTheme="minorEastAsia" w:cstheme="minorHAnsi"/>
        </w:rPr>
        <w:lastRenderedPageBreak/>
        <w:t xml:space="preserve">Det er store forskjeller i bruk av sykepleiere </w:t>
      </w:r>
      <w:r w:rsidR="00F85F87">
        <w:rPr>
          <w:rFonts w:eastAsiaTheme="minorEastAsia" w:cstheme="minorHAnsi"/>
        </w:rPr>
        <w:t>og</w:t>
      </w:r>
      <w:r w:rsidR="00F85F87" w:rsidRPr="00FE5B50">
        <w:rPr>
          <w:rFonts w:eastAsiaTheme="minorEastAsia" w:cstheme="minorHAnsi"/>
        </w:rPr>
        <w:t xml:space="preserve"> </w:t>
      </w:r>
      <w:r w:rsidRPr="00FE5B50">
        <w:rPr>
          <w:rFonts w:eastAsiaTheme="minorEastAsia" w:cstheme="minorHAnsi"/>
        </w:rPr>
        <w:t>annet helsepersonell i legevakt i de fem regionene. Region Midt-Jylland</w:t>
      </w:r>
      <w:r w:rsidRPr="00F87179">
        <w:rPr>
          <w:rFonts w:eastAsiaTheme="minorEastAsia" w:cstheme="minorHAnsi"/>
        </w:rPr>
        <w:t xml:space="preserve"> bruker sykepleiere </w:t>
      </w:r>
      <w:r w:rsidR="00084DF2">
        <w:rPr>
          <w:rFonts w:eastAsiaTheme="minorEastAsia" w:cstheme="minorHAnsi"/>
        </w:rPr>
        <w:t>mest</w:t>
      </w:r>
      <w:r w:rsidRPr="00F87179">
        <w:rPr>
          <w:rFonts w:eastAsiaTheme="minorEastAsia" w:cstheme="minorHAnsi"/>
        </w:rPr>
        <w:t xml:space="preserve">, </w:t>
      </w:r>
      <w:r w:rsidR="00084DF2">
        <w:rPr>
          <w:rFonts w:eastAsiaTheme="minorEastAsia" w:cstheme="minorHAnsi"/>
        </w:rPr>
        <w:t>som</w:t>
      </w:r>
      <w:r w:rsidRPr="00F87179">
        <w:rPr>
          <w:rFonts w:eastAsiaTheme="minorEastAsia" w:cstheme="minorHAnsi"/>
        </w:rPr>
        <w:t xml:space="preserve"> dekker 22 prosent av det totale uketimetallet for </w:t>
      </w:r>
      <w:r w:rsidR="009601E2">
        <w:rPr>
          <w:rFonts w:eastAsiaTheme="minorEastAsia" w:cstheme="minorHAnsi"/>
        </w:rPr>
        <w:t>alt</w:t>
      </w:r>
      <w:r w:rsidRPr="00F87179">
        <w:rPr>
          <w:rFonts w:eastAsiaTheme="minorEastAsia" w:cstheme="minorHAnsi"/>
        </w:rPr>
        <w:t xml:space="preserve"> personell. I Hovedstadsregionen ut</w:t>
      </w:r>
      <w:r w:rsidR="00961C62">
        <w:rPr>
          <w:rFonts w:eastAsiaTheme="minorEastAsia" w:cstheme="minorHAnsi"/>
        </w:rPr>
        <w:t>fører</w:t>
      </w:r>
      <w:r w:rsidRPr="00F87179">
        <w:rPr>
          <w:rFonts w:eastAsiaTheme="minorEastAsia" w:cstheme="minorHAnsi"/>
        </w:rPr>
        <w:t xml:space="preserve"> sykepleiernes </w:t>
      </w:r>
      <w:r w:rsidR="00961C62">
        <w:rPr>
          <w:rFonts w:eastAsiaTheme="minorEastAsia" w:cstheme="minorHAnsi"/>
        </w:rPr>
        <w:t>majoriteten</w:t>
      </w:r>
      <w:r w:rsidRPr="00F87179">
        <w:rPr>
          <w:rFonts w:eastAsiaTheme="minorEastAsia" w:cstheme="minorHAnsi"/>
        </w:rPr>
        <w:t xml:space="preserve"> av telefonkontakt og hjemmebesøk. Region Sjælland bruker kun leger i legevakt.</w:t>
      </w:r>
    </w:p>
    <w:p w14:paraId="0433471E" w14:textId="5ED0A147" w:rsidR="00D06888" w:rsidRPr="00F87179" w:rsidRDefault="00D06888" w:rsidP="008B1914">
      <w:pPr>
        <w:spacing w:line="276" w:lineRule="auto"/>
        <w:ind w:left="10" w:hanging="10"/>
        <w:jc w:val="both"/>
        <w:rPr>
          <w:rFonts w:cstheme="minorHAnsi"/>
        </w:rPr>
      </w:pPr>
      <w:r w:rsidRPr="009D518A">
        <w:rPr>
          <w:rFonts w:cstheme="minorHAnsi"/>
        </w:rPr>
        <w:t>I Danmark er det et felles legevaktnummer innen hver helseregion</w:t>
      </w:r>
      <w:r w:rsidR="003E457F">
        <w:rPr>
          <w:rFonts w:cstheme="minorHAnsi"/>
        </w:rPr>
        <w:t>,</w:t>
      </w:r>
      <w:r>
        <w:rPr>
          <w:rFonts w:cstheme="minorHAnsi"/>
        </w:rPr>
        <w:t xml:space="preserve"> hvor</w:t>
      </w:r>
      <w:r w:rsidRPr="00A96D2E">
        <w:rPr>
          <w:rFonts w:cstheme="minorHAnsi"/>
        </w:rPr>
        <w:t xml:space="preserve"> spes</w:t>
      </w:r>
      <w:r w:rsidRPr="00F87179">
        <w:rPr>
          <w:rFonts w:cstheme="minorHAnsi"/>
        </w:rPr>
        <w:t>ialist i allmennmedisin</w:t>
      </w:r>
      <w:r>
        <w:rPr>
          <w:rFonts w:cstheme="minorHAnsi"/>
        </w:rPr>
        <w:t xml:space="preserve"> </w:t>
      </w:r>
      <w:r w:rsidRPr="00F87179">
        <w:rPr>
          <w:rFonts w:cstheme="minorHAnsi"/>
        </w:rPr>
        <w:t>triagerer henvendelsene til hjemmebesøk eller legevakt. Det varierer ut fra lokale forhold hvor mange og hvilke typer konsultasjonssteder regionene har etablert, bl</w:t>
      </w:r>
      <w:r w:rsidR="003E457F">
        <w:rPr>
          <w:rFonts w:cstheme="minorHAnsi"/>
        </w:rPr>
        <w:t>ant annet</w:t>
      </w:r>
      <w:r w:rsidRPr="00F87179">
        <w:rPr>
          <w:rFonts w:cstheme="minorHAnsi"/>
        </w:rPr>
        <w:t xml:space="preserve"> basert på aktivitetsomfang, kompetanse og åpningstider.</w:t>
      </w:r>
      <w:r w:rsidRPr="00FE5B50">
        <w:t xml:space="preserve"> </w:t>
      </w:r>
      <w:r w:rsidRPr="00FE5B50">
        <w:rPr>
          <w:rFonts w:cstheme="minorHAnsi"/>
        </w:rPr>
        <w:t>Danmark har også felles elektronisk pasientjournal i hver helseregion, men disse er ikke tilgjengelige for allmennlegene på dagtid.</w:t>
      </w:r>
      <w:r w:rsidR="00717785" w:rsidRPr="00D9107F">
        <w:rPr>
          <w:rStyle w:val="Fotnotereferanse"/>
        </w:rPr>
        <w:footnoteReference w:id="44"/>
      </w:r>
    </w:p>
    <w:p w14:paraId="3E3C0CF6" w14:textId="77777777" w:rsidR="00D06888" w:rsidRPr="004C43CA" w:rsidRDefault="00D06888" w:rsidP="00775632">
      <w:pPr>
        <w:pStyle w:val="Overskrift4"/>
      </w:pPr>
      <w:bookmarkStart w:id="4131" w:name="_Toc131238534"/>
      <w:bookmarkStart w:id="4132" w:name="_Toc131279566"/>
      <w:bookmarkStart w:id="4133" w:name="_Toc131286978"/>
      <w:bookmarkStart w:id="4134" w:name="_Toc131281388"/>
      <w:bookmarkStart w:id="4135" w:name="_Toc131317928"/>
      <w:r w:rsidRPr="001F24D8">
        <w:t>Sverige</w:t>
      </w:r>
      <w:bookmarkEnd w:id="4131"/>
      <w:bookmarkEnd w:id="4132"/>
      <w:bookmarkEnd w:id="4133"/>
      <w:bookmarkEnd w:id="4134"/>
      <w:bookmarkEnd w:id="4135"/>
    </w:p>
    <w:p w14:paraId="45B99561" w14:textId="77777777" w:rsidR="00D9107F" w:rsidRDefault="00D06888" w:rsidP="00A2678A">
      <w:pPr>
        <w:spacing w:line="276" w:lineRule="auto"/>
        <w:ind w:left="10" w:hanging="10"/>
        <w:jc w:val="both"/>
        <w:rPr>
          <w:rFonts w:cstheme="minorHAnsi"/>
        </w:rPr>
      </w:pPr>
      <w:r w:rsidRPr="0006695B">
        <w:rPr>
          <w:rFonts w:cstheme="minorHAnsi"/>
        </w:rPr>
        <w:t>I Sverige har regionene ansvaret for legevakt, men de</w:t>
      </w:r>
      <w:r>
        <w:rPr>
          <w:rFonts w:cstheme="minorHAnsi"/>
        </w:rPr>
        <w:t>t er</w:t>
      </w:r>
      <w:r w:rsidRPr="0006695B">
        <w:rPr>
          <w:rFonts w:cstheme="minorHAnsi"/>
        </w:rPr>
        <w:t xml:space="preserve"> ikke et system som tilsvarer den norske legevaktordningen. Organiseringen av helsehjelp utenom ordinær åpningstid varierer mellom regionene. Alle regioner har en form for vaktvirksomhet i grunnoppdraget til </w:t>
      </w:r>
      <w:r>
        <w:rPr>
          <w:rFonts w:cstheme="minorHAnsi"/>
        </w:rPr>
        <w:t>helsesentre/</w:t>
      </w:r>
      <w:r w:rsidR="00A07445">
        <w:rPr>
          <w:rFonts w:cstheme="minorHAnsi"/>
        </w:rPr>
        <w:t>vårdcentral</w:t>
      </w:r>
      <w:r w:rsidRPr="0006695B">
        <w:rPr>
          <w:rFonts w:cstheme="minorHAnsi"/>
        </w:rPr>
        <w:t>e</w:t>
      </w:r>
      <w:r>
        <w:rPr>
          <w:rFonts w:cstheme="minorHAnsi"/>
        </w:rPr>
        <w:t>r</w:t>
      </w:r>
      <w:r w:rsidRPr="0006695B">
        <w:rPr>
          <w:rFonts w:cstheme="minorHAnsi"/>
        </w:rPr>
        <w:t xml:space="preserve">, og dette skjer ofte i samarbeid mellom kommuner eller </w:t>
      </w:r>
      <w:r w:rsidR="00A07445">
        <w:rPr>
          <w:rFonts w:cstheme="minorHAnsi"/>
        </w:rPr>
        <w:t>vårdcentral</w:t>
      </w:r>
      <w:r w:rsidRPr="0006695B">
        <w:rPr>
          <w:rFonts w:cstheme="minorHAnsi"/>
        </w:rPr>
        <w:t xml:space="preserve">er. </w:t>
      </w:r>
      <w:r>
        <w:rPr>
          <w:rFonts w:cstheme="minorHAnsi"/>
        </w:rPr>
        <w:t xml:space="preserve">Private aktører brukes også. </w:t>
      </w:r>
      <w:r w:rsidRPr="0006695B">
        <w:rPr>
          <w:rFonts w:cstheme="minorHAnsi"/>
        </w:rPr>
        <w:t>Leger i allmennsjukvården er pålagt legevakt gjennom en nasjonal avtale. I de større byene er det mer vanlig med fast ansatte legevaktsleger.</w:t>
      </w:r>
    </w:p>
    <w:p w14:paraId="7052119C" w14:textId="77777777" w:rsidR="00D9107F" w:rsidRDefault="00D06888" w:rsidP="00A2678A">
      <w:pPr>
        <w:spacing w:line="276" w:lineRule="auto"/>
        <w:ind w:left="10" w:hanging="10"/>
        <w:jc w:val="both"/>
        <w:rPr>
          <w:rFonts w:cstheme="minorHAnsi"/>
        </w:rPr>
      </w:pPr>
      <w:r>
        <w:rPr>
          <w:rFonts w:cstheme="minorHAnsi"/>
        </w:rPr>
        <w:t>D</w:t>
      </w:r>
      <w:r w:rsidRPr="00D70B98">
        <w:rPr>
          <w:rFonts w:cstheme="minorHAnsi"/>
        </w:rPr>
        <w:t>e fleste allmennleger</w:t>
      </w:r>
      <w:r>
        <w:rPr>
          <w:rFonts w:cstheme="minorHAnsi"/>
        </w:rPr>
        <w:t xml:space="preserve"> er</w:t>
      </w:r>
      <w:r w:rsidRPr="00D70B98">
        <w:rPr>
          <w:rFonts w:cstheme="minorHAnsi"/>
        </w:rPr>
        <w:t xml:space="preserve"> fast ansatt i vårdcentrale</w:t>
      </w:r>
      <w:r>
        <w:rPr>
          <w:rFonts w:cstheme="minorHAnsi"/>
        </w:rPr>
        <w:t>r</w:t>
      </w:r>
      <w:r w:rsidR="003E457F">
        <w:rPr>
          <w:rFonts w:cstheme="minorHAnsi"/>
        </w:rPr>
        <w:t>,</w:t>
      </w:r>
      <w:r w:rsidRPr="00D70B98">
        <w:rPr>
          <w:rFonts w:cstheme="minorHAnsi"/>
        </w:rPr>
        <w:t xml:space="preserve"> som også</w:t>
      </w:r>
      <w:r>
        <w:rPr>
          <w:rFonts w:cstheme="minorHAnsi"/>
        </w:rPr>
        <w:t xml:space="preserve"> delvis</w:t>
      </w:r>
      <w:r w:rsidRPr="00D70B98">
        <w:rPr>
          <w:rFonts w:cstheme="minorHAnsi"/>
        </w:rPr>
        <w:t xml:space="preserve"> tilbyr legevakttjenester på ettermiddags- og kveldstid, med vesentlige regionale forskjeller innad i </w:t>
      </w:r>
      <w:r>
        <w:rPr>
          <w:rFonts w:cstheme="minorHAnsi"/>
        </w:rPr>
        <w:t xml:space="preserve">landet. </w:t>
      </w:r>
      <w:bookmarkStart w:id="4136" w:name="_Hlk105604185"/>
      <w:r w:rsidR="00A07445">
        <w:rPr>
          <w:rFonts w:cstheme="minorHAnsi"/>
        </w:rPr>
        <w:t>Vårdcentral</w:t>
      </w:r>
      <w:r w:rsidRPr="001F125D">
        <w:rPr>
          <w:rFonts w:cstheme="minorHAnsi"/>
        </w:rPr>
        <w:t xml:space="preserve">er i spredtbygde strøk er oftere åpne på kvelder og helger, dette gjelder også private </w:t>
      </w:r>
      <w:r w:rsidR="00A07445">
        <w:rPr>
          <w:rFonts w:cstheme="minorHAnsi"/>
        </w:rPr>
        <w:t>vårdcentral</w:t>
      </w:r>
      <w:r w:rsidRPr="001F125D">
        <w:rPr>
          <w:rFonts w:cstheme="minorHAnsi"/>
        </w:rPr>
        <w:t xml:space="preserve">er </w:t>
      </w:r>
      <w:bookmarkEnd w:id="4136"/>
      <w:r w:rsidRPr="001F125D">
        <w:rPr>
          <w:rFonts w:cstheme="minorHAnsi"/>
        </w:rPr>
        <w:t>(Helse- og omsorgsanalyse 2020).</w:t>
      </w:r>
      <w:r>
        <w:rPr>
          <w:rFonts w:cstheme="minorHAnsi"/>
        </w:rPr>
        <w:t xml:space="preserve"> </w:t>
      </w:r>
      <w:r w:rsidRPr="00D70B98">
        <w:rPr>
          <w:rFonts w:cstheme="minorHAnsi"/>
        </w:rPr>
        <w:t>Sykehusenes akuttmottak spiller en viktig rolle i legevakttjenestene på nattestid.</w:t>
      </w:r>
    </w:p>
    <w:p w14:paraId="50D8BC32" w14:textId="77777777" w:rsidR="00D9107F" w:rsidRDefault="00D06888" w:rsidP="00A2678A">
      <w:pPr>
        <w:jc w:val="both"/>
      </w:pPr>
      <w:r w:rsidRPr="00D73031">
        <w:t xml:space="preserve">Sverige har et nasjonalt telefonnummer </w:t>
      </w:r>
      <w:r w:rsidRPr="00610F52">
        <w:t xml:space="preserve">(1177) </w:t>
      </w:r>
      <w:r w:rsidRPr="00D73031">
        <w:t xml:space="preserve">og webside som </w:t>
      </w:r>
      <w:r>
        <w:t>veileder innbyggerne om</w:t>
      </w:r>
      <w:r w:rsidRPr="00D73031">
        <w:t xml:space="preserve"> helsetjenestene og gjør telefontriagering </w:t>
      </w:r>
      <w:r>
        <w:t>av</w:t>
      </w:r>
      <w:r w:rsidRPr="00D73031">
        <w:t xml:space="preserve"> henvendelser utenom kontortid. Dette har redusert antall henvendelser til legevakttjenestene. </w:t>
      </w:r>
      <w:r>
        <w:t>D</w:t>
      </w:r>
      <w:r w:rsidRPr="00BA0D9D">
        <w:t xml:space="preserve">et nasjonale nummeret ruter </w:t>
      </w:r>
      <w:r>
        <w:t>innringer til si</w:t>
      </w:r>
      <w:r w:rsidRPr="00BA0D9D">
        <w:t>n lokale region</w:t>
      </w:r>
      <w:r>
        <w:t>.</w:t>
      </w:r>
      <w:r w:rsidR="00B65EF8" w:rsidRPr="00D9107F">
        <w:rPr>
          <w:rStyle w:val="Fotnotereferanse"/>
        </w:rPr>
        <w:footnoteReference w:id="45"/>
      </w:r>
    </w:p>
    <w:p w14:paraId="50EEC6D3" w14:textId="177A7B4B" w:rsidR="00D06888" w:rsidRPr="0019120E" w:rsidRDefault="00D06888" w:rsidP="00775632">
      <w:pPr>
        <w:pStyle w:val="Overskrift4"/>
      </w:pPr>
      <w:bookmarkStart w:id="4137" w:name="_Toc131238535"/>
      <w:bookmarkStart w:id="4138" w:name="_Toc131279567"/>
      <w:bookmarkStart w:id="4139" w:name="_Toc131286979"/>
      <w:bookmarkStart w:id="4140" w:name="_Toc131281389"/>
      <w:bookmarkStart w:id="4141" w:name="_Toc131317929"/>
      <w:r w:rsidRPr="0019120E">
        <w:t>Finland</w:t>
      </w:r>
      <w:bookmarkEnd w:id="4137"/>
      <w:bookmarkEnd w:id="4138"/>
      <w:bookmarkEnd w:id="4139"/>
      <w:bookmarkEnd w:id="4140"/>
      <w:bookmarkEnd w:id="4141"/>
    </w:p>
    <w:p w14:paraId="734E6F08" w14:textId="49AD10A7" w:rsidR="00D06888" w:rsidRDefault="00D06888" w:rsidP="00A2678A">
      <w:pPr>
        <w:jc w:val="both"/>
      </w:pPr>
      <w:r>
        <w:t xml:space="preserve">I Finland tilbyr alle helsesentre legevakt i kontortiden, enten av fastlege eller sykepleier. Tidligere ble legevakttjeneste tilbudt både i primærhelsesentre og sykehus, men siden 2013 har ansvaret for de fleste legevakter blitt overført til sykehusklinikker. </w:t>
      </w:r>
      <w:r w:rsidR="00376901">
        <w:t>Allmennlegevakt</w:t>
      </w:r>
      <w:r>
        <w:t xml:space="preserve"> foregår i samme lokaler</w:t>
      </w:r>
      <w:r w:rsidR="00376901">
        <w:t xml:space="preserve"> som akuttmottakene i sykehus</w:t>
      </w:r>
      <w:r>
        <w:t>, og gjør spesialistkonsultasjoner mer tilgjengelige</w:t>
      </w:r>
      <w:r w:rsidR="0022774E">
        <w:t xml:space="preserve"> </w:t>
      </w:r>
      <w:r w:rsidR="00996C9A">
        <w:lastRenderedPageBreak/>
        <w:fldChar w:fldCharType="begin"/>
      </w:r>
      <w:r w:rsidR="004654FD">
        <w:instrText xml:space="preserve"> ADDIN EN.CITE &lt;EndNote&gt;&lt;Cite&gt;&lt;Author&gt;Keskimäki&lt;/Author&gt;&lt;Year&gt;2019&lt;/Year&gt;&lt;RecNum&gt;249&lt;/RecNum&gt;&lt;DisplayText&gt;(Keskimäki et al., 2019)&lt;/DisplayText&gt;&lt;record&gt;&lt;rec-number&gt;249&lt;/rec-number&gt;&lt;foreign-keys&gt;&lt;key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rsidR="00996C9A">
        <w:fldChar w:fldCharType="separate"/>
      </w:r>
      <w:r w:rsidR="00856689">
        <w:rPr>
          <w:noProof/>
        </w:rPr>
        <w:t>(Keskimäki et al., 2019)</w:t>
      </w:r>
      <w:r w:rsidR="00996C9A">
        <w:fldChar w:fldCharType="end"/>
      </w:r>
      <w:r>
        <w:t>. Denne foretrukne modellen er fastsatt i lov</w:t>
      </w:r>
      <w:r w:rsidR="006663C8">
        <w:t xml:space="preserve"> </w:t>
      </w:r>
      <w:r w:rsidR="00996C9A">
        <w:fldChar w:fldCharType="begin"/>
      </w:r>
      <w:r w:rsidR="00996C9A">
        <w:instrText xml:space="preserve"> ADDIN EN.CITE &lt;EndNote&gt;&lt;Cite ExcludeYear="1"&gt;&lt;Author&gt;Finlex&lt;/Author&gt;&lt;RecNum&gt;973&lt;/RecNum&gt;&lt;DisplayText&gt;(Finlex)&lt;/DisplayText&gt;&lt;record&gt;&lt;rec-number&gt;973&lt;/rec-number&gt;&lt;foreign-keys&gt;&lt;key app="EN" db-id="95tpr2tp6r9xwoea9rb5wdsz5ds5xeddteew" timestamp="1680226048"&gt;973&lt;/key&gt;&lt;/foreign-keys&gt;&lt;ref-type name="Web Page"&gt;12&lt;/ref-type&gt;&lt;contributors&gt;&lt;authors&gt;&lt;author&gt;Finlex&lt;/author&gt;&lt;/authors&gt;&lt;/contributors&gt;&lt;titles&gt;&lt;title&gt;Statsrådets förordning om grunderna för brådskande vård och förutsättningarna för jour inom olika medicinska verksamhetsområden&lt;/title&gt;&lt;/titles&gt;&lt;dates&gt;&lt;/dates&gt;&lt;urls&gt;&lt;related-urls&gt;&lt;url&gt;https://www.finlex.fi/sv/laki/alkup/2017/20170583&lt;/url&gt;&lt;/related-urls&gt;&lt;/urls&gt;&lt;/record&gt;&lt;/Cite&gt;&lt;/EndNote&gt;</w:instrText>
      </w:r>
      <w:r w:rsidR="00996C9A">
        <w:fldChar w:fldCharType="separate"/>
      </w:r>
      <w:r w:rsidR="00996C9A">
        <w:rPr>
          <w:noProof/>
        </w:rPr>
        <w:t>(Finlex)</w:t>
      </w:r>
      <w:r w:rsidR="00996C9A">
        <w:fldChar w:fldCharType="end"/>
      </w:r>
      <w:r w:rsidR="006663C8">
        <w:t>.</w:t>
      </w:r>
      <w:r>
        <w:t xml:space="preserve"> Primærhelsesentre tilbyr i tillegg timeavtaler på kveldstid for ikke-akutt helsehjelp.</w:t>
      </w:r>
    </w:p>
    <w:p w14:paraId="12BEB5E5" w14:textId="77777777" w:rsidR="00D9107F" w:rsidRDefault="00D06888" w:rsidP="00A2678A">
      <w:pPr>
        <w:jc w:val="both"/>
        <w:rPr>
          <w:lang w:val="nb"/>
        </w:rPr>
      </w:pPr>
      <w:r w:rsidRPr="00FE4C77">
        <w:rPr>
          <w:lang w:val="nb"/>
        </w:rPr>
        <w:t>Det er frivillig å delta i legevakt</w:t>
      </w:r>
      <w:r>
        <w:rPr>
          <w:lang w:val="nb"/>
        </w:rPr>
        <w:t>sarbeid for allmennpraktikere som arbeider i helsesentrene</w:t>
      </w:r>
      <w:r w:rsidRPr="00FE4C77">
        <w:rPr>
          <w:lang w:val="nb"/>
        </w:rPr>
        <w:t>, men fastlegene oppfordres til å delta</w:t>
      </w:r>
      <w:r>
        <w:rPr>
          <w:lang w:val="nb"/>
        </w:rPr>
        <w:t xml:space="preserve">, </w:t>
      </w:r>
      <w:r w:rsidRPr="00FE4C77">
        <w:rPr>
          <w:lang w:val="nb"/>
        </w:rPr>
        <w:t>og</w:t>
      </w:r>
      <w:r>
        <w:rPr>
          <w:lang w:val="nb"/>
        </w:rPr>
        <w:t>så for</w:t>
      </w:r>
      <w:r w:rsidRPr="00FE4C77">
        <w:rPr>
          <w:lang w:val="nb"/>
        </w:rPr>
        <w:t xml:space="preserve"> opprettholde faglig </w:t>
      </w:r>
      <w:r>
        <w:rPr>
          <w:lang w:val="nb"/>
        </w:rPr>
        <w:t>kompetanse på akuttmedisin. Legevakttjenesten har stor turnover i bemanning</w:t>
      </w:r>
      <w:r w:rsidR="004A5C24">
        <w:rPr>
          <w:lang w:val="nb"/>
        </w:rPr>
        <w:t>.</w:t>
      </w:r>
      <w:r>
        <w:rPr>
          <w:lang w:val="nb"/>
        </w:rPr>
        <w:t xml:space="preserve"> </w:t>
      </w:r>
      <w:r w:rsidR="004A5C24">
        <w:rPr>
          <w:lang w:val="nb"/>
        </w:rPr>
        <w:t>Legene er</w:t>
      </w:r>
      <w:r>
        <w:rPr>
          <w:lang w:val="nb"/>
        </w:rPr>
        <w:t xml:space="preserve"> ofte nyutdannede, utenlandske eller i forskerstillinger og lignende. Noen sykehusklinikker har fast ansatte leger som jobber i mindre stillinger.</w:t>
      </w:r>
      <w:r w:rsidRPr="00FE4C77">
        <w:rPr>
          <w:lang w:val="nb"/>
        </w:rPr>
        <w:t xml:space="preserve"> </w:t>
      </w:r>
      <w:r>
        <w:rPr>
          <w:lang w:val="nb"/>
        </w:rPr>
        <w:t>Vaktene er på ca</w:t>
      </w:r>
      <w:r w:rsidR="003E457F">
        <w:rPr>
          <w:lang w:val="nb"/>
        </w:rPr>
        <w:t>.</w:t>
      </w:r>
      <w:r w:rsidRPr="00FE4C77">
        <w:rPr>
          <w:lang w:val="nb"/>
        </w:rPr>
        <w:t xml:space="preserve"> 8-10 timer og</w:t>
      </w:r>
      <w:r>
        <w:rPr>
          <w:lang w:val="nb"/>
        </w:rPr>
        <w:t xml:space="preserve"> </w:t>
      </w:r>
      <w:r w:rsidRPr="00FE4C77">
        <w:rPr>
          <w:lang w:val="nb"/>
        </w:rPr>
        <w:t>lege</w:t>
      </w:r>
      <w:r>
        <w:rPr>
          <w:lang w:val="nb"/>
        </w:rPr>
        <w:t>ne</w:t>
      </w:r>
      <w:r w:rsidRPr="00FE4C77">
        <w:rPr>
          <w:lang w:val="nb"/>
        </w:rPr>
        <w:t xml:space="preserve"> får ekstra lønn </w:t>
      </w:r>
      <w:r>
        <w:rPr>
          <w:lang w:val="nb"/>
        </w:rPr>
        <w:t>for dette arbeidet.</w:t>
      </w:r>
    </w:p>
    <w:p w14:paraId="03ABC8BF" w14:textId="7D5575D1" w:rsidR="00D9107F" w:rsidRDefault="00D06888" w:rsidP="00A2678A">
      <w:pPr>
        <w:jc w:val="both"/>
        <w:rPr>
          <w:lang w:val="nb"/>
        </w:rPr>
      </w:pPr>
      <w:r>
        <w:t>I Finland brukes som i Norge</w:t>
      </w:r>
      <w:r w:rsidR="003E2398">
        <w:t>,</w:t>
      </w:r>
      <w:r>
        <w:t xml:space="preserve"> 11</w:t>
      </w:r>
      <w:r w:rsidR="00D9107F">
        <w:t>6 117</w:t>
      </w:r>
      <w:r>
        <w:t xml:space="preserve"> som nummer til legevakten. Man rutes (fra 2021) da til en regional tjenestelokasjon. </w:t>
      </w:r>
      <w:r>
        <w:rPr>
          <w:lang w:val="nb"/>
        </w:rPr>
        <w:t>Her treffer man</w:t>
      </w:r>
      <w:r w:rsidR="003E457F">
        <w:rPr>
          <w:lang w:val="nb"/>
        </w:rPr>
        <w:t>,</w:t>
      </w:r>
      <w:r>
        <w:rPr>
          <w:lang w:val="nb"/>
        </w:rPr>
        <w:t xml:space="preserve"> som regel</w:t>
      </w:r>
      <w:r w:rsidR="003E2398">
        <w:rPr>
          <w:lang w:val="nb"/>
        </w:rPr>
        <w:t>,</w:t>
      </w:r>
      <w:r>
        <w:rPr>
          <w:lang w:val="nb"/>
        </w:rPr>
        <w:t xml:space="preserve"> en </w:t>
      </w:r>
      <w:r w:rsidRPr="004B5E3F">
        <w:rPr>
          <w:lang w:val="nb"/>
        </w:rPr>
        <w:t>sykepleier som vurderer behovet for øyeblikkelig hjelp</w:t>
      </w:r>
      <w:r w:rsidR="003E457F">
        <w:rPr>
          <w:lang w:val="nb"/>
        </w:rPr>
        <w:t>,</w:t>
      </w:r>
      <w:r w:rsidRPr="004B5E3F">
        <w:rPr>
          <w:lang w:val="nb"/>
        </w:rPr>
        <w:t xml:space="preserve"> basert på </w:t>
      </w:r>
      <w:r w:rsidR="00A3524A">
        <w:rPr>
          <w:lang w:val="nb"/>
        </w:rPr>
        <w:t>pasientens</w:t>
      </w:r>
      <w:r w:rsidRPr="004B5E3F">
        <w:rPr>
          <w:lang w:val="nb"/>
        </w:rPr>
        <w:t xml:space="preserve"> skade eller symptom</w:t>
      </w:r>
      <w:r w:rsidR="00C43B19">
        <w:rPr>
          <w:lang w:val="nb"/>
        </w:rPr>
        <w:t xml:space="preserve"> </w:t>
      </w:r>
      <w:r w:rsidR="00996C9A">
        <w:rPr>
          <w:lang w:val="nb"/>
        </w:rPr>
        <w:fldChar w:fldCharType="begin"/>
      </w:r>
      <w:r w:rsidR="004654FD">
        <w:rPr>
          <w:lang w:val="nb"/>
        </w:rPr>
        <w:instrText xml:space="preserve"> ADDIN EN.CITE &lt;EndNote&gt;&lt;Cite&gt;&lt;Author&gt;Keskimäki&lt;/Author&gt;&lt;Year&gt;2019&lt;/Year&gt;&lt;RecNum&gt;249&lt;/RecNum&gt;&lt;DisplayText&gt;(Keskimäki et al., 2019)&lt;/DisplayText&gt;&lt;record&gt;&lt;rec-number&gt;249&lt;/rec-number&gt;&lt;foreign-keys&gt;&lt;key app="EN" db-id="95tpr2tp6r9xwoea9rb5wdsz5ds5xeddteew" timestamp="1680069511"&gt;249&lt;/key&gt;&lt;/foreign-keys&gt;&lt;ref-type name="Report"&gt;27&lt;/ref-type&gt;&lt;contributors&gt;&lt;authors&gt;&lt;author&gt;Keskimäki, I.,&lt;/author&gt;&lt;author&gt;Tynkkynen, L-k.,&lt;/author&gt;&lt;author&gt;Reissell, E.,&lt;/author&gt;&lt;author&gt;Koivusalo, M.,&lt;/author&gt;&lt;author&gt;Syrjä, V.,&lt;/author&gt;&lt;author&gt;Karanikolos, M.&lt;/author&gt;&lt;/authors&gt;&lt;/contributors&gt;&lt;titles&gt;&lt;title&gt;Finland: Health system review&lt;/title&gt;&lt;secondary-title&gt;Health Systems in Transition&lt;/secondary-title&gt;&lt;/titles&gt;&lt;num-vols&gt;2-2019&lt;/num-vols&gt;&lt;dates&gt;&lt;year&gt;2019&lt;/year&gt;&lt;/dates&gt;&lt;pub-location&gt;Geneve&lt;/pub-location&gt;&lt;publisher&gt;World Health Organization (WHO)&lt;/publisher&gt;&lt;urls&gt;&lt;/urls&gt;&lt;/record&gt;&lt;/Cite&gt;&lt;/EndNote&gt;</w:instrText>
      </w:r>
      <w:r w:rsidR="00996C9A">
        <w:rPr>
          <w:lang w:val="nb"/>
        </w:rPr>
        <w:fldChar w:fldCharType="separate"/>
      </w:r>
      <w:r w:rsidR="00856689">
        <w:rPr>
          <w:noProof/>
          <w:lang w:val="nb"/>
        </w:rPr>
        <w:t>(Keskimäki et al., 2019)</w:t>
      </w:r>
      <w:r w:rsidR="00996C9A">
        <w:rPr>
          <w:lang w:val="nb"/>
        </w:rPr>
        <w:fldChar w:fldCharType="end"/>
      </w:r>
      <w:r w:rsidRPr="004B5E3F">
        <w:rPr>
          <w:lang w:val="nb"/>
        </w:rPr>
        <w:t>.</w:t>
      </w:r>
    </w:p>
    <w:p w14:paraId="309D632D" w14:textId="3954C239" w:rsidR="00D06888" w:rsidRPr="004C43CA" w:rsidRDefault="00D06888" w:rsidP="00775632">
      <w:pPr>
        <w:pStyle w:val="Overskrift4"/>
      </w:pPr>
      <w:bookmarkStart w:id="4142" w:name="_Toc131238536"/>
      <w:bookmarkStart w:id="4143" w:name="_Toc131279568"/>
      <w:bookmarkStart w:id="4144" w:name="_Toc131286980"/>
      <w:bookmarkStart w:id="4145" w:name="_Toc131281390"/>
      <w:bookmarkStart w:id="4146" w:name="_Toc131317930"/>
      <w:r w:rsidRPr="00DE5059">
        <w:t>England</w:t>
      </w:r>
      <w:bookmarkEnd w:id="4142"/>
      <w:bookmarkEnd w:id="4143"/>
      <w:bookmarkEnd w:id="4144"/>
      <w:bookmarkEnd w:id="4145"/>
      <w:bookmarkEnd w:id="4146"/>
    </w:p>
    <w:p w14:paraId="0FBA7DDC" w14:textId="344795CE" w:rsidR="00D9107F" w:rsidRDefault="00D06888" w:rsidP="004A3755">
      <w:pPr>
        <w:jc w:val="both"/>
        <w:rPr>
          <w:noProof/>
          <w:lang w:val="nb"/>
        </w:rPr>
      </w:pPr>
      <w:r>
        <w:rPr>
          <w:noProof/>
          <w:lang w:val="nb"/>
        </w:rPr>
        <w:t>Historisk var GP</w:t>
      </w:r>
      <w:r w:rsidR="00D9107F">
        <w:rPr>
          <w:noProof/>
          <w:lang w:val="nb"/>
        </w:rPr>
        <w:t>’</w:t>
      </w:r>
      <w:r>
        <w:rPr>
          <w:noProof/>
          <w:lang w:val="nb"/>
        </w:rPr>
        <w:t>s ansvarlige for legevakttstjenestene, men fra 2004 kunne offentlig helsemyndigheter kjøpe legevakttjenester gjennom kontrakter med GP-nettverk eller tilbydere fra privat sektor</w:t>
      </w:r>
      <w:r w:rsidR="000E39D5">
        <w:rPr>
          <w:noProof/>
          <w:lang w:val="nb"/>
        </w:rPr>
        <w:t xml:space="preserve"> </w:t>
      </w:r>
      <w:r w:rsidR="00996C9A">
        <w:rPr>
          <w:noProof/>
          <w:lang w:val="nb"/>
        </w:rPr>
        <w:fldChar w:fldCharType="begin"/>
      </w:r>
      <w:r w:rsidR="00996C9A">
        <w:rPr>
          <w:noProof/>
          <w:lang w:val="nb"/>
        </w:rPr>
        <w:instrText xml:space="preserve"> ADDIN EN.CITE &lt;EndNote&gt;&lt;Cite&gt;&lt;Author&gt;Anderson&lt;/Author&gt;&lt;Year&gt;2022&lt;/Year&gt;&lt;RecNum&gt;974&lt;/RecNum&gt;&lt;DisplayText&gt;(Anderson et al., 2022)&lt;/DisplayText&gt;&lt;record&gt;&lt;rec-number&gt;974&lt;/rec-number&gt;&lt;foreign-keys&gt;&lt;key app="EN" db-id="95tpr2tp6r9xwoea9rb5wdsz5ds5xeddteew" timestamp="1680226204"&gt;974&lt;/key&gt;&lt;/foreign-keys&gt;&lt;ref-type name="Report"&gt;27&lt;/ref-type&gt;&lt;contributors&gt;&lt;authors&gt;&lt;author&gt;Anderson, M.&lt;/author&gt;&lt;author&gt;Pitchforth, E.&lt;/author&gt;&lt;author&gt;Edwards, N. et al. &lt;/author&gt;&lt;/authors&gt;&lt;/contributors&gt;&lt;titles&gt;&lt;title&gt;United Kingdom: health system review. &lt;/title&gt;&lt;/titles&gt;&lt;dates&gt;&lt;year&gt;2022&lt;/year&gt;&lt;/dates&gt;&lt;publisher&gt;World Health Organization. Regional Office for Europe&lt;/publisher&gt;&lt;urls&gt;&lt;related-urls&gt;&lt;url&gt;https://apps.who.int/iris/handle/10665/354075&lt;/url&gt;&lt;/related-urls&gt;&lt;/urls&gt;&lt;/record&gt;&lt;/Cite&gt;&lt;/EndNote&gt;</w:instrText>
      </w:r>
      <w:r w:rsidR="00996C9A">
        <w:rPr>
          <w:noProof/>
          <w:lang w:val="nb"/>
        </w:rPr>
        <w:fldChar w:fldCharType="separate"/>
      </w:r>
      <w:r w:rsidR="00996C9A">
        <w:rPr>
          <w:noProof/>
          <w:lang w:val="nb"/>
        </w:rPr>
        <w:t>(Anderson et al., 2022)</w:t>
      </w:r>
      <w:r w:rsidR="00996C9A">
        <w:rPr>
          <w:noProof/>
          <w:lang w:val="nb"/>
        </w:rPr>
        <w:fldChar w:fldCharType="end"/>
      </w:r>
      <w:r>
        <w:rPr>
          <w:noProof/>
          <w:lang w:val="nb"/>
        </w:rPr>
        <w:t>. Tjenesten består av en telefontjeneste (NHS 111)</w:t>
      </w:r>
      <w:r w:rsidR="007F6F43" w:rsidRPr="007F6F43">
        <w:rPr>
          <w:noProof/>
          <w:lang w:val="nb"/>
        </w:rPr>
        <w:t xml:space="preserve"> </w:t>
      </w:r>
      <w:r w:rsidR="007F6F43">
        <w:rPr>
          <w:noProof/>
          <w:lang w:val="nb"/>
        </w:rPr>
        <w:t xml:space="preserve">med rådgiving og triage, telefonkonsultasjoner og direkte konsultasjoner </w:t>
      </w:r>
      <w:r w:rsidR="00D078E3">
        <w:rPr>
          <w:noProof/>
          <w:lang w:val="nb"/>
        </w:rPr>
        <w:fldChar w:fldCharType="begin"/>
      </w:r>
      <w:r w:rsidR="00D078E3">
        <w:rPr>
          <w:noProof/>
          <w:lang w:val="nb"/>
        </w:rPr>
        <w:instrText xml:space="preserve"> ADDIN EN.CITE &lt;EndNote&gt;&lt;Cite ExcludeYear="1"&gt;&lt;Author&gt;NHS&lt;/Author&gt;&lt;RecNum&gt;975&lt;/RecNum&gt;&lt;DisplayText&gt;(NHS)&lt;/DisplayText&gt;&lt;record&gt;&lt;rec-number&gt;975&lt;/rec-number&gt;&lt;foreign-keys&gt;&lt;key app="EN" db-id="95tpr2tp6r9xwoea9rb5wdsz5ds5xeddteew" timestamp="1680226308"&gt;975&lt;/key&gt;&lt;/foreign-keys&gt;&lt;ref-type name="Web Page"&gt;12&lt;/ref-type&gt;&lt;contributors&gt;&lt;authors&gt;&lt;author&gt;NHS&lt;/author&gt;&lt;/authors&gt;&lt;/contributors&gt;&lt;titles&gt;&lt;title&gt;Should I Ring 111 or 999?&lt;/title&gt;&lt;/titles&gt;&lt;dates&gt;&lt;/dates&gt;&lt;urls&gt;&lt;related-urls&gt;&lt;url&gt;https://nhsgp.net/should-i-ring-111-or-999/&lt;/url&gt;&lt;/related-urls&gt;&lt;/urls&gt;&lt;/record&gt;&lt;/Cite&gt;&lt;/EndNote&gt;</w:instrText>
      </w:r>
      <w:r w:rsidR="00D078E3">
        <w:rPr>
          <w:noProof/>
          <w:lang w:val="nb"/>
        </w:rPr>
        <w:fldChar w:fldCharType="separate"/>
      </w:r>
      <w:r w:rsidR="00D078E3">
        <w:rPr>
          <w:noProof/>
          <w:lang w:val="nb"/>
        </w:rPr>
        <w:t>(NHS)</w:t>
      </w:r>
      <w:r w:rsidR="00D078E3">
        <w:rPr>
          <w:noProof/>
          <w:lang w:val="nb"/>
        </w:rPr>
        <w:fldChar w:fldCharType="end"/>
      </w:r>
      <w:r w:rsidR="007F6F43">
        <w:rPr>
          <w:noProof/>
          <w:lang w:val="nb"/>
        </w:rPr>
        <w:t>.</w:t>
      </w:r>
    </w:p>
    <w:p w14:paraId="0F2323B3" w14:textId="77777777" w:rsidR="00D9107F" w:rsidRDefault="00D06888" w:rsidP="004A3755">
      <w:pPr>
        <w:jc w:val="both"/>
        <w:rPr>
          <w:noProof/>
          <w:lang w:val="nb"/>
        </w:rPr>
      </w:pPr>
      <w:r>
        <w:rPr>
          <w:noProof/>
          <w:lang w:val="nb"/>
        </w:rPr>
        <w:t>Legep</w:t>
      </w:r>
      <w:r w:rsidRPr="00532F3A">
        <w:rPr>
          <w:noProof/>
          <w:lang w:val="nb"/>
        </w:rPr>
        <w:t>raksis</w:t>
      </w:r>
      <w:r>
        <w:rPr>
          <w:noProof/>
          <w:lang w:val="nb"/>
        </w:rPr>
        <w:t>ene</w:t>
      </w:r>
      <w:r w:rsidRPr="00532F3A">
        <w:rPr>
          <w:noProof/>
          <w:lang w:val="nb"/>
        </w:rPr>
        <w:t xml:space="preserve"> i d</w:t>
      </w:r>
      <w:r>
        <w:rPr>
          <w:noProof/>
          <w:lang w:val="nb"/>
        </w:rPr>
        <w:t>et</w:t>
      </w:r>
      <w:r w:rsidRPr="00532F3A">
        <w:rPr>
          <w:noProof/>
          <w:lang w:val="nb"/>
        </w:rPr>
        <w:t xml:space="preserve"> </w:t>
      </w:r>
      <w:r>
        <w:rPr>
          <w:noProof/>
          <w:lang w:val="nb"/>
        </w:rPr>
        <w:t>enkelte geografiske opptaksområde</w:t>
      </w:r>
      <w:r w:rsidRPr="00532F3A">
        <w:rPr>
          <w:noProof/>
          <w:lang w:val="nb"/>
        </w:rPr>
        <w:t xml:space="preserve"> tilby</w:t>
      </w:r>
      <w:r>
        <w:rPr>
          <w:noProof/>
          <w:lang w:val="nb"/>
        </w:rPr>
        <w:t>r ofte</w:t>
      </w:r>
      <w:r w:rsidRPr="00532F3A">
        <w:rPr>
          <w:noProof/>
          <w:lang w:val="nb"/>
        </w:rPr>
        <w:t xml:space="preserve"> tjenester utenom </w:t>
      </w:r>
      <w:r>
        <w:rPr>
          <w:noProof/>
          <w:lang w:val="nb"/>
        </w:rPr>
        <w:t xml:space="preserve">vanlig </w:t>
      </w:r>
      <w:r w:rsidRPr="00532F3A">
        <w:rPr>
          <w:noProof/>
          <w:lang w:val="nb"/>
        </w:rPr>
        <w:t>åpningstid</w:t>
      </w:r>
      <w:r>
        <w:rPr>
          <w:noProof/>
          <w:lang w:val="nb"/>
        </w:rPr>
        <w:t xml:space="preserve">, men en legepraksis kan også </w:t>
      </w:r>
      <w:r w:rsidRPr="00532F3A">
        <w:rPr>
          <w:noProof/>
          <w:lang w:val="nb"/>
        </w:rPr>
        <w:t xml:space="preserve">velge </w:t>
      </w:r>
      <w:r>
        <w:rPr>
          <w:noProof/>
          <w:lang w:val="nb"/>
        </w:rPr>
        <w:t xml:space="preserve">å ikke ha legevakt som en del av sine </w:t>
      </w:r>
      <w:r w:rsidR="0AE2824F">
        <w:rPr>
          <w:noProof/>
          <w:lang w:val="nb"/>
        </w:rPr>
        <w:t>kjernetjen</w:t>
      </w:r>
      <w:r w:rsidR="72FAE9FA">
        <w:rPr>
          <w:noProof/>
          <w:lang w:val="nb"/>
        </w:rPr>
        <w:t>e</w:t>
      </w:r>
      <w:r w:rsidR="0AE2824F">
        <w:rPr>
          <w:noProof/>
          <w:lang w:val="nb"/>
        </w:rPr>
        <w:t>ster.</w:t>
      </w:r>
      <w:r>
        <w:rPr>
          <w:noProof/>
          <w:lang w:val="nb"/>
        </w:rPr>
        <w:t xml:space="preserve"> Dette bestemmes gjennom avtaleinngåelse mellom legepraksisen og helsemyndighetene.</w:t>
      </w:r>
    </w:p>
    <w:p w14:paraId="49E3D779" w14:textId="75852FF4" w:rsidR="00D9107F" w:rsidRDefault="00D9107F" w:rsidP="004A3755">
      <w:pPr>
        <w:jc w:val="both"/>
        <w:rPr>
          <w:noProof/>
          <w:lang w:val="nb"/>
        </w:rPr>
      </w:pPr>
      <w:r>
        <w:rPr>
          <w:noProof/>
          <w:lang w:val="nb"/>
        </w:rPr>
        <w:t>«</w:t>
      </w:r>
      <w:r w:rsidR="00D06888">
        <w:rPr>
          <w:noProof/>
        </w:rPr>
        <w:t>Urgent treatment centres</w:t>
      </w:r>
      <w:r>
        <w:rPr>
          <w:noProof/>
        </w:rPr>
        <w:t>»</w:t>
      </w:r>
      <w:r w:rsidR="00D06888">
        <w:rPr>
          <w:noProof/>
        </w:rPr>
        <w:t>(UTC)</w:t>
      </w:r>
      <w:r w:rsidR="002045C0">
        <w:t xml:space="preserve"> </w:t>
      </w:r>
      <w:r w:rsidR="00D06888">
        <w:rPr>
          <w:noProof/>
        </w:rPr>
        <w:t xml:space="preserve">tilbyr akutt helsehjelp utenom ordinær arbeidstid og er ofte GP-ledet, eventuelt </w:t>
      </w:r>
      <w:r w:rsidR="00C74418">
        <w:rPr>
          <w:noProof/>
        </w:rPr>
        <w:t xml:space="preserve">ledet </w:t>
      </w:r>
      <w:r w:rsidR="00D06888">
        <w:rPr>
          <w:noProof/>
        </w:rPr>
        <w:t>av kompetent paramedi</w:t>
      </w:r>
      <w:r w:rsidR="00155EB6">
        <w:rPr>
          <w:noProof/>
        </w:rPr>
        <w:t>siner</w:t>
      </w:r>
      <w:r w:rsidR="00D06888">
        <w:rPr>
          <w:noProof/>
        </w:rPr>
        <w:t xml:space="preserve"> eller spesialsykepleier. </w:t>
      </w:r>
      <w:r w:rsidR="00D06888">
        <w:rPr>
          <w:noProof/>
          <w:lang w:val="nb"/>
        </w:rPr>
        <w:t>På steder hvor UTC er samlokalisert med akuttmottak</w:t>
      </w:r>
      <w:r w:rsidR="00117C54">
        <w:rPr>
          <w:noProof/>
          <w:lang w:val="nb"/>
        </w:rPr>
        <w:t>,</w:t>
      </w:r>
      <w:r w:rsidR="00D06888">
        <w:rPr>
          <w:noProof/>
          <w:lang w:val="nb"/>
        </w:rPr>
        <w:t xml:space="preserve"> kan pasientene styres til riktig plass også ved direkte ankomst</w:t>
      </w:r>
      <w:r w:rsidR="00E37E98">
        <w:rPr>
          <w:noProof/>
          <w:lang w:val="nb"/>
        </w:rPr>
        <w:t xml:space="preserve"> </w:t>
      </w:r>
      <w:r w:rsidR="00996C9A">
        <w:rPr>
          <w:noProof/>
          <w:lang w:val="nb"/>
        </w:rPr>
        <w:fldChar w:fldCharType="begin"/>
      </w:r>
      <w:r w:rsidR="004654FD">
        <w:rPr>
          <w:noProof/>
          <w:lang w:val="nb"/>
        </w:rPr>
        <w:instrText xml:space="preserve"> ADDIN EN.CITE &lt;EndNote&gt;&lt;Cite ExcludeYear="1"&gt;&lt;Author&gt;NHS England&lt;/Author&gt;&lt;RecNum&gt;976&lt;/RecNum&gt;&lt;DisplayText&gt;(NHS England)&lt;/DisplayText&gt;&lt;record&gt;&lt;rec-number&gt;976&lt;/rec-number&gt;&lt;foreign-keys&gt;&lt;key app="EN" db-id="95tpr2tp6r9xwoea9rb5wdsz5ds5xeddteew" timestamp="1680226426"&gt;976&lt;/key&gt;&lt;/foreign-keys&gt;&lt;ref-type name="Web Page"&gt;12&lt;/ref-type&gt;&lt;contributors&gt;&lt;authors&gt;&lt;author&gt;NHS England,&lt;/author&gt;&lt;/authors&gt;&lt;/contributors&gt;&lt;titles&gt;&lt;title&gt;When to visit an urgent treatment centre walk in or minor injury unit&lt;/title&gt;&lt;/titles&gt;&lt;dates&gt;&lt;/dates&gt;&lt;urls&gt;&lt;related-urls&gt;&lt;url&gt;https://www.nhs.uk/nhs-services/urgent-and-emergency-care-services/when-to-visit-an-urgent-treatment-centre-walk-in-or-minor-injury-unit/&lt;/url&gt;&lt;/related-urls&gt;&lt;/urls&gt;&lt;/record&gt;&lt;/Cite&gt;&lt;/EndNote&gt;</w:instrText>
      </w:r>
      <w:r w:rsidR="00996C9A">
        <w:rPr>
          <w:noProof/>
          <w:lang w:val="nb"/>
        </w:rPr>
        <w:fldChar w:fldCharType="separate"/>
      </w:r>
      <w:r w:rsidR="00235862">
        <w:rPr>
          <w:noProof/>
          <w:lang w:val="nb"/>
        </w:rPr>
        <w:t>(NHS England)</w:t>
      </w:r>
      <w:r w:rsidR="00996C9A">
        <w:rPr>
          <w:noProof/>
          <w:lang w:val="nb"/>
        </w:rPr>
        <w:fldChar w:fldCharType="end"/>
      </w:r>
      <w:r w:rsidR="00D06888">
        <w:rPr>
          <w:noProof/>
          <w:lang w:val="nb"/>
        </w:rPr>
        <w:t>.</w:t>
      </w:r>
    </w:p>
    <w:p w14:paraId="30534D09" w14:textId="4E9CD760" w:rsidR="00D9107F" w:rsidRDefault="00D06888" w:rsidP="004A3755">
      <w:pPr>
        <w:jc w:val="both"/>
        <w:rPr>
          <w:noProof/>
          <w:lang w:val="nb"/>
        </w:rPr>
      </w:pPr>
      <w:r w:rsidRPr="00D75F0B">
        <w:rPr>
          <w:noProof/>
          <w:lang w:val="nb"/>
        </w:rPr>
        <w:t>Andre typer</w:t>
      </w:r>
      <w:r>
        <w:rPr>
          <w:noProof/>
          <w:lang w:val="nb"/>
        </w:rPr>
        <w:t xml:space="preserve"> enheter som</w:t>
      </w:r>
      <w:r w:rsidRPr="00D75F0B">
        <w:rPr>
          <w:noProof/>
          <w:lang w:val="nb"/>
        </w:rPr>
        <w:t xml:space="preserve"> </w:t>
      </w:r>
      <w:r w:rsidR="00D9107F">
        <w:rPr>
          <w:noProof/>
          <w:lang w:val="nb"/>
        </w:rPr>
        <w:t>«</w:t>
      </w:r>
      <w:r>
        <w:rPr>
          <w:noProof/>
          <w:lang w:val="nb"/>
        </w:rPr>
        <w:t>minor injuries units</w:t>
      </w:r>
      <w:r w:rsidR="00D9107F">
        <w:rPr>
          <w:noProof/>
          <w:lang w:val="nb"/>
        </w:rPr>
        <w:t>»</w:t>
      </w:r>
      <w:r>
        <w:rPr>
          <w:noProof/>
          <w:lang w:val="nb"/>
        </w:rPr>
        <w:t xml:space="preserve"> og</w:t>
      </w:r>
      <w:r w:rsidRPr="00D75F0B">
        <w:rPr>
          <w:noProof/>
          <w:lang w:val="nb"/>
        </w:rPr>
        <w:t xml:space="preserve"> </w:t>
      </w:r>
      <w:r w:rsidR="00D9107F">
        <w:rPr>
          <w:noProof/>
          <w:lang w:val="nb"/>
        </w:rPr>
        <w:t>«</w:t>
      </w:r>
      <w:r w:rsidRPr="00D75F0B">
        <w:rPr>
          <w:noProof/>
          <w:lang w:val="nb"/>
        </w:rPr>
        <w:t>walk-in-</w:t>
      </w:r>
      <w:r w:rsidR="6FACAEAC" w:rsidRPr="2BA5845C">
        <w:rPr>
          <w:noProof/>
          <w:lang w:val="nb"/>
        </w:rPr>
        <w:t>c</w:t>
      </w:r>
      <w:r w:rsidR="6E1A9842" w:rsidRPr="2BA5845C">
        <w:rPr>
          <w:noProof/>
          <w:lang w:val="nb"/>
        </w:rPr>
        <w:t>entre</w:t>
      </w:r>
      <w:r w:rsidR="00D9107F">
        <w:rPr>
          <w:noProof/>
          <w:lang w:val="nb"/>
        </w:rPr>
        <w:t>»</w:t>
      </w:r>
      <w:r>
        <w:rPr>
          <w:noProof/>
          <w:lang w:val="nb"/>
        </w:rPr>
        <w:t>,</w:t>
      </w:r>
      <w:r w:rsidRPr="00D75F0B">
        <w:rPr>
          <w:noProof/>
          <w:lang w:val="nb"/>
        </w:rPr>
        <w:t xml:space="preserve"> </w:t>
      </w:r>
      <w:r>
        <w:rPr>
          <w:noProof/>
          <w:lang w:val="nb"/>
        </w:rPr>
        <w:t xml:space="preserve">er delvis overlappende med UTC når det gjelder </w:t>
      </w:r>
      <w:r w:rsidR="5ED88797" w:rsidRPr="176713AE">
        <w:rPr>
          <w:noProof/>
          <w:lang w:val="nb"/>
        </w:rPr>
        <w:t>tjenester.</w:t>
      </w:r>
      <w:r>
        <w:rPr>
          <w:noProof/>
          <w:lang w:val="nb"/>
        </w:rPr>
        <w:t xml:space="preserve"> Minor injuries units behandler lettere skader, men ikke sykdommer. Sentrene </w:t>
      </w:r>
      <w:r w:rsidRPr="00240AE6">
        <w:rPr>
          <w:noProof/>
          <w:lang w:val="nb"/>
        </w:rPr>
        <w:t>er plassert enten innenfor eller i nærheten av akuttmottak</w:t>
      </w:r>
      <w:r>
        <w:rPr>
          <w:noProof/>
          <w:lang w:val="nb"/>
        </w:rPr>
        <w:t xml:space="preserve"> og er primært åpne på dagtid.</w:t>
      </w:r>
      <w:r w:rsidRPr="00240AE6">
        <w:rPr>
          <w:noProof/>
          <w:lang w:val="nb"/>
        </w:rPr>
        <w:t xml:space="preserve"> De er </w:t>
      </w:r>
      <w:r>
        <w:rPr>
          <w:noProof/>
          <w:lang w:val="nb"/>
        </w:rPr>
        <w:t>ofte bemannet med</w:t>
      </w:r>
      <w:r w:rsidRPr="00240AE6">
        <w:rPr>
          <w:noProof/>
          <w:lang w:val="nb"/>
        </w:rPr>
        <w:t xml:space="preserve"> </w:t>
      </w:r>
      <w:r w:rsidR="00D9107F">
        <w:rPr>
          <w:noProof/>
          <w:lang w:val="nb"/>
        </w:rPr>
        <w:t>«</w:t>
      </w:r>
      <w:r>
        <w:rPr>
          <w:noProof/>
          <w:lang w:val="nb"/>
        </w:rPr>
        <w:t>advanced nurse practitioners</w:t>
      </w:r>
      <w:r w:rsidR="00D9107F">
        <w:rPr>
          <w:noProof/>
          <w:lang w:val="nb"/>
        </w:rPr>
        <w:t>»</w:t>
      </w:r>
      <w:r w:rsidRPr="00240AE6">
        <w:rPr>
          <w:noProof/>
          <w:lang w:val="nb"/>
        </w:rPr>
        <w:t>, sykepleiere som selvstendig kan diagnostisere og behandle pasienter</w:t>
      </w:r>
      <w:r>
        <w:rPr>
          <w:noProof/>
          <w:lang w:val="nb"/>
        </w:rPr>
        <w:t>.</w:t>
      </w:r>
    </w:p>
    <w:p w14:paraId="6B37CBF1" w14:textId="116D9464" w:rsidR="00D9107F" w:rsidRDefault="00D06888" w:rsidP="004A3755">
      <w:pPr>
        <w:jc w:val="both"/>
        <w:rPr>
          <w:noProof/>
          <w:lang w:val="nb"/>
        </w:rPr>
      </w:pPr>
      <w:r>
        <w:rPr>
          <w:noProof/>
          <w:lang w:val="nb"/>
        </w:rPr>
        <w:t>For å øke tilgjengeligheten til allmennlegetjenester utenfor kontortid</w:t>
      </w:r>
      <w:r w:rsidR="009910FE">
        <w:rPr>
          <w:noProof/>
          <w:lang w:val="nb"/>
        </w:rPr>
        <w:t>,</w:t>
      </w:r>
      <w:r>
        <w:rPr>
          <w:noProof/>
          <w:lang w:val="nb"/>
        </w:rPr>
        <w:t xml:space="preserve"> ble </w:t>
      </w:r>
      <w:r w:rsidRPr="00532F3A">
        <w:rPr>
          <w:noProof/>
          <w:lang w:val="nb"/>
        </w:rPr>
        <w:t>modelle</w:t>
      </w:r>
      <w:r>
        <w:rPr>
          <w:noProof/>
          <w:lang w:val="nb"/>
        </w:rPr>
        <w:t>n</w:t>
      </w:r>
      <w:r w:rsidRPr="00532F3A">
        <w:rPr>
          <w:noProof/>
          <w:lang w:val="nb"/>
        </w:rPr>
        <w:t xml:space="preserve"> </w:t>
      </w:r>
      <w:r w:rsidR="00D9107F">
        <w:rPr>
          <w:noProof/>
          <w:lang w:val="nb"/>
        </w:rPr>
        <w:t>«</w:t>
      </w:r>
      <w:r w:rsidRPr="00532F3A">
        <w:rPr>
          <w:noProof/>
          <w:lang w:val="nb"/>
        </w:rPr>
        <w:t>Enhanced Access</w:t>
      </w:r>
      <w:r w:rsidR="00D9107F">
        <w:rPr>
          <w:noProof/>
          <w:lang w:val="nb"/>
        </w:rPr>
        <w:t>»</w:t>
      </w:r>
      <w:r w:rsidRPr="00532F3A">
        <w:rPr>
          <w:noProof/>
          <w:lang w:val="nb"/>
        </w:rPr>
        <w:t xml:space="preserve"> introdusert </w:t>
      </w:r>
      <w:r>
        <w:rPr>
          <w:noProof/>
          <w:lang w:val="nb"/>
        </w:rPr>
        <w:t>av NHS England (National Health Service ) i 2022</w:t>
      </w:r>
      <w:r w:rsidR="006A234F">
        <w:rPr>
          <w:noProof/>
          <w:lang w:val="nb"/>
        </w:rPr>
        <w:t xml:space="preserve"> </w:t>
      </w:r>
      <w:r w:rsidR="00D078E3">
        <w:rPr>
          <w:noProof/>
          <w:lang w:val="nb"/>
        </w:rPr>
        <w:fldChar w:fldCharType="begin"/>
      </w:r>
      <w:r w:rsidR="004654FD">
        <w:rPr>
          <w:noProof/>
          <w:lang w:val="nb"/>
        </w:rPr>
        <w:instrText xml:space="preserve"> ADDIN EN.CITE &lt;EndNote&gt;&lt;Cite ExcludeYear="1"&gt;&lt;Author&gt;NHS England&lt;/Author&gt;&lt;RecNum&gt;977&lt;/RecNum&gt;&lt;DisplayText&gt;(NHS England)&lt;/DisplayText&gt;&lt;record&gt;&lt;rec-number&gt;977&lt;/rec-number&gt;&lt;foreign-keys&gt;&lt;key app="EN" db-id="95tpr2tp6r9xwoea9rb5wdsz5ds5xeddteew" timestamp="1680226678"&gt;977&lt;/key&gt;&lt;/foreign-keys&gt;&lt;ref-type name="Web Page"&gt;12&lt;/ref-type&gt;&lt;contributors&gt;&lt;authors&gt;&lt;author&gt;NHS England,&lt;/author&gt;&lt;/authors&gt;&lt;/contributors&gt;&lt;titles&gt;&lt;title&gt;Letter templet&lt;/title&gt;&lt;/titles&gt;&lt;dates&gt;&lt;/dates&gt;&lt;urls&gt;&lt;related-urls&gt;&lt;url&gt;https://www.google.com/search?q=Letter+template+(england.nhs.uk)&amp;amp;rlz=1C1GCEB_enNO927NO928&amp;amp;oq=Letter+template+(england.nhs.uk)&amp;amp;aqs=chrome.0.69i59.756j0j7&amp;amp;sourceid=chrome&amp;amp;ie=UTF-8&lt;/url&gt;&lt;/related-urls&gt;&lt;/urls&gt;&lt;/record&gt;&lt;/Cite&gt;&lt;/EndNote&gt;</w:instrText>
      </w:r>
      <w:r w:rsidR="00D078E3">
        <w:rPr>
          <w:noProof/>
          <w:lang w:val="nb"/>
        </w:rPr>
        <w:fldChar w:fldCharType="separate"/>
      </w:r>
      <w:r w:rsidR="00235862">
        <w:rPr>
          <w:noProof/>
          <w:lang w:val="nb"/>
        </w:rPr>
        <w:t>(NHS England)</w:t>
      </w:r>
      <w:r w:rsidR="00D078E3">
        <w:rPr>
          <w:noProof/>
          <w:lang w:val="nb"/>
        </w:rPr>
        <w:fldChar w:fldCharType="end"/>
      </w:r>
      <w:r>
        <w:rPr>
          <w:noProof/>
          <w:lang w:val="nb"/>
        </w:rPr>
        <w:t>, og tilbyr time</w:t>
      </w:r>
      <w:r w:rsidR="004C7B13">
        <w:rPr>
          <w:noProof/>
          <w:lang w:val="nb"/>
        </w:rPr>
        <w:t>bestilling</w:t>
      </w:r>
      <w:r>
        <w:rPr>
          <w:noProof/>
          <w:lang w:val="nb"/>
        </w:rPr>
        <w:t xml:space="preserve"> utenfor kontortid hos allmennlegetjenesten. Tjenesten gis av </w:t>
      </w:r>
      <w:r w:rsidRPr="00532F3A">
        <w:rPr>
          <w:noProof/>
          <w:lang w:val="nb"/>
        </w:rPr>
        <w:t>Primary Care Networks (PCNs</w:t>
      </w:r>
      <w:r>
        <w:rPr>
          <w:noProof/>
          <w:lang w:val="nb"/>
        </w:rPr>
        <w:t>), og medfører ikke utvidet åpningstid for den enkelte allmennpraksisen.</w:t>
      </w:r>
    </w:p>
    <w:p w14:paraId="6663736A" w14:textId="77777777" w:rsidR="00D9107F" w:rsidRDefault="00D06888" w:rsidP="00775632">
      <w:pPr>
        <w:pStyle w:val="Overskrift4"/>
      </w:pPr>
      <w:bookmarkStart w:id="4147" w:name="_Toc131238537"/>
      <w:bookmarkStart w:id="4148" w:name="_Toc131279569"/>
      <w:bookmarkStart w:id="4149" w:name="_Toc131286981"/>
      <w:bookmarkStart w:id="4150" w:name="_Toc131281391"/>
      <w:bookmarkStart w:id="4151" w:name="_Toc131317931"/>
      <w:r w:rsidRPr="00146D81">
        <w:lastRenderedPageBreak/>
        <w:t>Skottland</w:t>
      </w:r>
      <w:bookmarkEnd w:id="4147"/>
      <w:bookmarkEnd w:id="4148"/>
      <w:bookmarkEnd w:id="4149"/>
      <w:bookmarkEnd w:id="4150"/>
      <w:bookmarkEnd w:id="4151"/>
    </w:p>
    <w:p w14:paraId="74C29137" w14:textId="18628566" w:rsidR="00D06888" w:rsidRDefault="00D06888" w:rsidP="004A3755">
      <w:pPr>
        <w:jc w:val="both"/>
        <w:textAlignment w:val="center"/>
        <w:rPr>
          <w:lang w:val="nb" w:eastAsia="en-GB"/>
        </w:rPr>
      </w:pPr>
      <w:r w:rsidRPr="00650871">
        <w:rPr>
          <w:lang w:val="nb" w:eastAsia="en-GB"/>
        </w:rPr>
        <w:t xml:space="preserve">Tilgang til primærmedisinske tjenester utenfor normal åpningstid er en grunnleggende del </w:t>
      </w:r>
      <w:r>
        <w:rPr>
          <w:lang w:val="nb" w:eastAsia="en-GB"/>
        </w:rPr>
        <w:t>av allmennlegetjenesten</w:t>
      </w:r>
      <w:r w:rsidRPr="00650871">
        <w:rPr>
          <w:lang w:val="nb" w:eastAsia="en-GB"/>
        </w:rPr>
        <w:t xml:space="preserve"> i Skottland. </w:t>
      </w:r>
      <w:r w:rsidRPr="00715357">
        <w:rPr>
          <w:lang w:val="nb" w:eastAsia="en-GB"/>
        </w:rPr>
        <w:t>Dagens legevaktstjeneste ble etablert over hele Skottland</w:t>
      </w:r>
      <w:r w:rsidR="003E457F">
        <w:rPr>
          <w:lang w:val="nb" w:eastAsia="en-GB"/>
        </w:rPr>
        <w:t>,</w:t>
      </w:r>
      <w:r w:rsidRPr="00715357">
        <w:rPr>
          <w:lang w:val="nb" w:eastAsia="en-GB"/>
        </w:rPr>
        <w:t xml:space="preserve"> etter endringer i fastlegeavtalen i 2004. Ytterligere endringer kom i 2018-avtalen, som fjernet gjenværende plikt for fastleger</w:t>
      </w:r>
      <w:r>
        <w:rPr>
          <w:lang w:val="nb" w:eastAsia="en-GB"/>
        </w:rPr>
        <w:t>/GP</w:t>
      </w:r>
      <w:r w:rsidR="00D9107F">
        <w:rPr>
          <w:lang w:val="nb" w:eastAsia="en-GB"/>
        </w:rPr>
        <w:t>’</w:t>
      </w:r>
      <w:r>
        <w:rPr>
          <w:lang w:val="nb" w:eastAsia="en-GB"/>
        </w:rPr>
        <w:t>s</w:t>
      </w:r>
      <w:r w:rsidRPr="00715357">
        <w:rPr>
          <w:lang w:val="nb" w:eastAsia="en-GB"/>
        </w:rPr>
        <w:t xml:space="preserve"> til kontraktsmessig å yte legevakttjenester</w:t>
      </w:r>
      <w:r w:rsidR="00F34D8A">
        <w:rPr>
          <w:lang w:val="nb" w:eastAsia="en-GB"/>
        </w:rPr>
        <w:t xml:space="preserve"> </w:t>
      </w:r>
      <w:r w:rsidR="00591D11">
        <w:rPr>
          <w:lang w:val="nb" w:eastAsia="en-GB"/>
        </w:rPr>
        <w:fldChar w:fldCharType="begin"/>
      </w:r>
      <w:r w:rsidR="004654FD">
        <w:rPr>
          <w:lang w:val="nb" w:eastAsia="en-GB"/>
        </w:rPr>
        <w:instrText xml:space="preserve"> ADDIN EN.CITE &lt;EndNote&gt;&lt;Cite&gt;&lt;Author&gt;The Scottish Government&lt;/Author&gt;&lt;Year&gt;2018&lt;/Year&gt;&lt;RecNum&gt;978&lt;/RecNum&gt;&lt;DisplayText&gt;(The Scottish Government, 2018)&lt;/DisplayText&gt;&lt;record&gt;&lt;rec-number&gt;978&lt;/rec-number&gt;&lt;foreign-keys&gt;&lt;key app="EN" db-id="95tpr2tp6r9xwoea9rb5wdsz5ds5xeddteew" timestamp="1680226842"&gt;978&lt;/key&gt;&lt;/foreign-keys&gt;&lt;ref-type name="Journal Article"&gt;17&lt;/ref-type&gt;&lt;contributors&gt;&lt;authors&gt;&lt;author&gt;The Scottish Government,&lt;/author&gt;&lt;/authors&gt;&lt;/contributors&gt;&lt;titles&gt;&lt;title&gt;GMS contract &lt;/title&gt;&lt;/titles&gt;&lt;dates&gt;&lt;year&gt;2018&lt;/year&gt;&lt;/dates&gt;&lt;urls&gt;&lt;related-urls&gt;&lt;url&gt;https://www.gov.scot/publications/gms-contract-scotland/&lt;/url&gt;&lt;/related-urls&gt;&lt;/urls&gt;&lt;/record&gt;&lt;/Cite&gt;&lt;/EndNote&gt;</w:instrText>
      </w:r>
      <w:r w:rsidR="00591D11">
        <w:rPr>
          <w:lang w:val="nb" w:eastAsia="en-GB"/>
        </w:rPr>
        <w:fldChar w:fldCharType="separate"/>
      </w:r>
      <w:r w:rsidR="00591D11">
        <w:rPr>
          <w:noProof/>
          <w:lang w:val="nb" w:eastAsia="en-GB"/>
        </w:rPr>
        <w:t>(The Scottish Government, 2018)</w:t>
      </w:r>
      <w:r w:rsidR="00591D11">
        <w:rPr>
          <w:lang w:val="nb" w:eastAsia="en-GB"/>
        </w:rPr>
        <w:fldChar w:fldCharType="end"/>
      </w:r>
      <w:r w:rsidRPr="00715357">
        <w:rPr>
          <w:lang w:val="nb" w:eastAsia="en-GB"/>
        </w:rPr>
        <w:t xml:space="preserve">. Dette har </w:t>
      </w:r>
      <w:r>
        <w:rPr>
          <w:lang w:val="nb" w:eastAsia="en-GB"/>
        </w:rPr>
        <w:t>ført til</w:t>
      </w:r>
      <w:r w:rsidRPr="00715357">
        <w:rPr>
          <w:lang w:val="nb" w:eastAsia="en-GB"/>
        </w:rPr>
        <w:t xml:space="preserve"> bemanningsproblemer</w:t>
      </w:r>
      <w:r>
        <w:rPr>
          <w:lang w:val="nb" w:eastAsia="en-GB"/>
        </w:rPr>
        <w:t xml:space="preserve"> ved legevakttjenesten</w:t>
      </w:r>
      <w:r w:rsidRPr="00D9107F">
        <w:rPr>
          <w:rStyle w:val="Fotnotereferanse"/>
        </w:rPr>
        <w:footnoteReference w:id="46"/>
      </w:r>
      <w:r w:rsidRPr="00715357">
        <w:rPr>
          <w:lang w:val="nb" w:eastAsia="en-GB"/>
        </w:rPr>
        <w:t xml:space="preserve">. </w:t>
      </w:r>
      <w:r w:rsidR="00B9289C">
        <w:rPr>
          <w:lang w:val="nb" w:eastAsia="en-GB"/>
        </w:rPr>
        <w:t>På bakgrunn av dette ble pilotprosjektet</w:t>
      </w:r>
      <w:r w:rsidR="00B9289C" w:rsidRPr="001267BA">
        <w:rPr>
          <w:lang w:eastAsia="en-GB"/>
        </w:rPr>
        <w:t xml:space="preserve"> </w:t>
      </w:r>
      <w:r w:rsidR="00D9107F">
        <w:rPr>
          <w:lang w:eastAsia="en-GB"/>
        </w:rPr>
        <w:t>‘</w:t>
      </w:r>
      <w:r w:rsidR="00B9289C" w:rsidRPr="00D9107F">
        <w:rPr>
          <w:rStyle w:val="kursiv"/>
        </w:rPr>
        <w:t>Expanding the out of hours (OOH) workforce</w:t>
      </w:r>
      <w:r w:rsidR="00D9107F" w:rsidRPr="00D9107F">
        <w:rPr>
          <w:rStyle w:val="kursiv"/>
        </w:rPr>
        <w:t>’</w:t>
      </w:r>
      <w:r w:rsidR="00B9289C" w:rsidRPr="00D9107F">
        <w:rPr>
          <w:rStyle w:val="kursiv"/>
        </w:rPr>
        <w:t xml:space="preserve"> </w:t>
      </w:r>
      <w:r w:rsidR="00B9289C" w:rsidRPr="00F9276A">
        <w:rPr>
          <w:lang w:eastAsia="en-GB"/>
        </w:rPr>
        <w:t xml:space="preserve">startet </w:t>
      </w:r>
      <w:r w:rsidR="00B9289C">
        <w:rPr>
          <w:lang w:eastAsia="en-GB"/>
        </w:rPr>
        <w:t>(</w:t>
      </w:r>
      <w:r w:rsidR="00B9289C" w:rsidRPr="00F9276A">
        <w:rPr>
          <w:lang w:eastAsia="en-GB"/>
        </w:rPr>
        <w:t>før pandemien kom</w:t>
      </w:r>
      <w:r w:rsidR="00B9289C">
        <w:rPr>
          <w:lang w:eastAsia="en-GB"/>
        </w:rPr>
        <w:t>)</w:t>
      </w:r>
      <w:r w:rsidR="00B9289C" w:rsidRPr="00F9276A">
        <w:rPr>
          <w:lang w:eastAsia="en-GB"/>
        </w:rPr>
        <w:t xml:space="preserve">. Målet har vært å </w:t>
      </w:r>
      <w:r w:rsidR="00B9289C" w:rsidRPr="000A2780">
        <w:rPr>
          <w:lang w:eastAsia="en-GB"/>
        </w:rPr>
        <w:t>utvide legevaktstyrken</w:t>
      </w:r>
      <w:r w:rsidR="00B9289C">
        <w:rPr>
          <w:lang w:eastAsia="en-GB"/>
        </w:rPr>
        <w:t>,</w:t>
      </w:r>
      <w:r w:rsidR="00B9289C" w:rsidRPr="000A2780">
        <w:rPr>
          <w:lang w:eastAsia="en-GB"/>
        </w:rPr>
        <w:t xml:space="preserve"> og spesielt oppmuntre yngre fastleger</w:t>
      </w:r>
      <w:r w:rsidR="00B9289C" w:rsidRPr="001267BA">
        <w:rPr>
          <w:lang w:eastAsia="en-GB"/>
        </w:rPr>
        <w:t xml:space="preserve"> til å se dette som en del av fastlegearbeidet. Tiltaket inkluderer bruk av 3. års ALIS</w:t>
      </w:r>
      <w:r w:rsidR="003E457F">
        <w:rPr>
          <w:lang w:eastAsia="en-GB"/>
        </w:rPr>
        <w:t>,</w:t>
      </w:r>
      <w:r w:rsidR="00B9289C" w:rsidRPr="001267BA">
        <w:rPr>
          <w:lang w:eastAsia="en-GB"/>
        </w:rPr>
        <w:t xml:space="preserve"> som kan ta betalte vakter når de har fullført sin avtalte 72 timers opplæring i legevakts</w:t>
      </w:r>
      <w:r w:rsidR="00B9289C" w:rsidRPr="001267BA">
        <w:rPr>
          <w:lang w:eastAsia="en-GB"/>
        </w:rPr>
        <w:softHyphen/>
        <w:t>arbeid. Ordningen har hatt stor betydning for å kunne opprettholde full drift ved legevakten i en del områder.</w:t>
      </w:r>
      <w:r w:rsidR="00D9107F">
        <w:rPr>
          <w:lang w:eastAsia="en-GB"/>
        </w:rPr>
        <w:t xml:space="preserve"> </w:t>
      </w:r>
    </w:p>
    <w:p w14:paraId="5796A62C" w14:textId="7755419B" w:rsidR="00D9107F" w:rsidRDefault="00D06888" w:rsidP="004A3755">
      <w:pPr>
        <w:jc w:val="both"/>
        <w:textAlignment w:val="center"/>
        <w:rPr>
          <w:lang w:val="nb" w:eastAsia="en-GB"/>
        </w:rPr>
      </w:pPr>
      <w:r>
        <w:rPr>
          <w:lang w:val="nb" w:eastAsia="en-GB"/>
        </w:rPr>
        <w:t>Ved behov for akutt helsehjelp</w:t>
      </w:r>
      <w:r w:rsidR="00E45B75">
        <w:rPr>
          <w:lang w:val="nb" w:eastAsia="en-GB"/>
        </w:rPr>
        <w:t>,</w:t>
      </w:r>
      <w:r w:rsidRPr="00EC7D06">
        <w:rPr>
          <w:lang w:val="nb" w:eastAsia="en-GB"/>
        </w:rPr>
        <w:t xml:space="preserve"> </w:t>
      </w:r>
      <w:r>
        <w:rPr>
          <w:lang w:val="nb" w:eastAsia="en-GB"/>
        </w:rPr>
        <w:t>skal</w:t>
      </w:r>
      <w:r w:rsidDel="00E45B75">
        <w:rPr>
          <w:lang w:val="nb" w:eastAsia="en-GB"/>
        </w:rPr>
        <w:t xml:space="preserve"> </w:t>
      </w:r>
      <w:r w:rsidR="00E45B75">
        <w:rPr>
          <w:lang w:val="nb" w:eastAsia="en-GB"/>
        </w:rPr>
        <w:t>innbyggerne</w:t>
      </w:r>
      <w:r>
        <w:rPr>
          <w:lang w:val="nb" w:eastAsia="en-GB"/>
        </w:rPr>
        <w:t xml:space="preserve"> kontakte</w:t>
      </w:r>
      <w:r w:rsidRPr="00EC7D06">
        <w:rPr>
          <w:lang w:val="nb" w:eastAsia="en-GB"/>
        </w:rPr>
        <w:t xml:space="preserve"> NHS 24 -111, </w:t>
      </w:r>
      <w:r>
        <w:rPr>
          <w:lang w:val="nb" w:eastAsia="en-GB"/>
        </w:rPr>
        <w:t xml:space="preserve">som </w:t>
      </w:r>
      <w:r w:rsidRPr="0094280A">
        <w:rPr>
          <w:lang w:val="nb" w:eastAsia="en-GB"/>
        </w:rPr>
        <w:t>gir råd om egenomsorg, henviser pasienten til nærmeste tjeneste/helsepersonell eller til et digitalt senter for en klinisk vurdering.</w:t>
      </w:r>
      <w:r w:rsidR="00E45B75">
        <w:rPr>
          <w:lang w:val="nb" w:eastAsia="en-GB"/>
        </w:rPr>
        <w:t xml:space="preserve"> </w:t>
      </w:r>
      <w:r w:rsidR="00D9107F">
        <w:rPr>
          <w:lang w:val="nb" w:eastAsia="en-GB"/>
        </w:rPr>
        <w:t>«</w:t>
      </w:r>
      <w:r w:rsidRPr="00957391">
        <w:rPr>
          <w:noProof/>
          <w:lang w:eastAsia="en-GB"/>
        </w:rPr>
        <w:t>Flow Navigation Centre</w:t>
      </w:r>
      <w:r w:rsidR="00D9107F">
        <w:rPr>
          <w:noProof/>
          <w:lang w:eastAsia="en-GB"/>
        </w:rPr>
        <w:t>»</w:t>
      </w:r>
      <w:r w:rsidRPr="00957391">
        <w:rPr>
          <w:noProof/>
          <w:lang w:eastAsia="en-GB"/>
        </w:rPr>
        <w:t xml:space="preserve"> </w:t>
      </w:r>
      <w:r>
        <w:rPr>
          <w:noProof/>
          <w:lang w:eastAsia="en-GB"/>
        </w:rPr>
        <w:t>gjør</w:t>
      </w:r>
      <w:r w:rsidRPr="00957391">
        <w:rPr>
          <w:noProof/>
          <w:lang w:eastAsia="en-GB"/>
        </w:rPr>
        <w:t xml:space="preserve"> klinisk triage og virtuelle vurderinger </w:t>
      </w:r>
      <w:r>
        <w:rPr>
          <w:noProof/>
          <w:lang w:eastAsia="en-GB"/>
        </w:rPr>
        <w:t xml:space="preserve">med </w:t>
      </w:r>
      <w:r w:rsidRPr="00957391">
        <w:rPr>
          <w:noProof/>
          <w:lang w:eastAsia="en-GB"/>
        </w:rPr>
        <w:t>telefon</w:t>
      </w:r>
      <w:r w:rsidRPr="00CC7F78">
        <w:rPr>
          <w:lang w:val="nb" w:eastAsia="en-GB"/>
        </w:rPr>
        <w:t>- eller videokonsultasjon</w:t>
      </w:r>
      <w:r>
        <w:rPr>
          <w:noProof/>
          <w:lang w:eastAsia="en-GB"/>
        </w:rPr>
        <w:t xml:space="preserve"> og</w:t>
      </w:r>
      <w:r w:rsidRPr="00957391">
        <w:rPr>
          <w:noProof/>
          <w:lang w:eastAsia="en-GB"/>
        </w:rPr>
        <w:t xml:space="preserve"> tilgang til </w:t>
      </w:r>
      <w:r w:rsidR="00D9107F">
        <w:rPr>
          <w:noProof/>
          <w:lang w:eastAsia="en-GB"/>
        </w:rPr>
        <w:t>«</w:t>
      </w:r>
      <w:r w:rsidRPr="00957391">
        <w:rPr>
          <w:noProof/>
          <w:lang w:eastAsia="en-GB"/>
        </w:rPr>
        <w:t>senior clinical decitionmaker</w:t>
      </w:r>
      <w:r w:rsidR="00D9107F">
        <w:rPr>
          <w:noProof/>
          <w:lang w:eastAsia="en-GB"/>
        </w:rPr>
        <w:t>»</w:t>
      </w:r>
      <w:r>
        <w:rPr>
          <w:noProof/>
          <w:lang w:eastAsia="en-GB"/>
        </w:rPr>
        <w:t>, som reduserer behovet for konsultasjon ved legevakt</w:t>
      </w:r>
      <w:r w:rsidRPr="00957391">
        <w:rPr>
          <w:noProof/>
          <w:lang w:eastAsia="en-GB"/>
        </w:rPr>
        <w:t>. Det gjennomføres telefon</w:t>
      </w:r>
      <w:r w:rsidRPr="00CC7F78">
        <w:rPr>
          <w:lang w:val="nb" w:eastAsia="en-GB"/>
        </w:rPr>
        <w:t xml:space="preserve">- eller videokonsultasjon når det er mulig, </w:t>
      </w:r>
      <w:r>
        <w:rPr>
          <w:lang w:val="nb" w:eastAsia="en-GB"/>
        </w:rPr>
        <w:t>noe som reduserer</w:t>
      </w:r>
      <w:r w:rsidRPr="00CC7F78">
        <w:rPr>
          <w:lang w:val="nb" w:eastAsia="en-GB"/>
        </w:rPr>
        <w:t xml:space="preserve"> behovet for å dra på legevakten</w:t>
      </w:r>
      <w:r>
        <w:rPr>
          <w:lang w:val="nb" w:eastAsia="en-GB"/>
        </w:rPr>
        <w:t xml:space="preserve">. Den nasjonal videokonsultasjonstjeneste </w:t>
      </w:r>
      <w:r w:rsidR="00D9107F">
        <w:rPr>
          <w:lang w:val="nb" w:eastAsia="en-GB"/>
        </w:rPr>
        <w:t>«</w:t>
      </w:r>
      <w:r>
        <w:rPr>
          <w:lang w:val="nb" w:eastAsia="en-GB"/>
        </w:rPr>
        <w:t>Near Me</w:t>
      </w:r>
      <w:r w:rsidR="00D9107F">
        <w:rPr>
          <w:lang w:val="nb" w:eastAsia="en-GB"/>
        </w:rPr>
        <w:t>»</w:t>
      </w:r>
      <w:r>
        <w:rPr>
          <w:lang w:val="nb" w:eastAsia="en-GB"/>
        </w:rPr>
        <w:t xml:space="preserve"> brukes av hele helse</w:t>
      </w:r>
      <w:r w:rsidR="009B5C9F">
        <w:rPr>
          <w:lang w:val="nb" w:eastAsia="en-GB"/>
        </w:rPr>
        <w:t>-</w:t>
      </w:r>
      <w:r>
        <w:rPr>
          <w:lang w:val="nb" w:eastAsia="en-GB"/>
        </w:rPr>
        <w:t xml:space="preserve"> og omsogstjenesten</w:t>
      </w:r>
      <w:r w:rsidR="004A3755">
        <w:rPr>
          <w:lang w:val="nb" w:eastAsia="en-GB"/>
        </w:rPr>
        <w:t xml:space="preserve"> </w:t>
      </w:r>
      <w:r w:rsidR="00D078E3">
        <w:rPr>
          <w:lang w:val="nb" w:eastAsia="en-GB"/>
        </w:rPr>
        <w:fldChar w:fldCharType="begin"/>
      </w:r>
      <w:r w:rsidR="00235862">
        <w:rPr>
          <w:lang w:val="nb" w:eastAsia="en-GB"/>
        </w:rPr>
        <w:instrText xml:space="preserve"> ADDIN EN.CITE &lt;EndNote&gt;&lt;Cite ExcludeYear="1"&gt;&lt;Author&gt;NHS Scotland&lt;/Author&gt;&lt;RecNum&gt;979&lt;/RecNum&gt;&lt;DisplayText&gt;(NHS Scotland)&lt;/DisplayText&gt;&lt;record&gt;&lt;rec-number&gt;979&lt;/rec-number&gt;&lt;foreign-keys&gt;&lt;key app="EN" db-id="95tpr2tp6r9xwoea9rb5wdsz5ds5xeddteew" timestamp="1680226960"&gt;979&lt;/key&gt;&lt;/foreign-keys&gt;&lt;ref-type name="Web Page"&gt;12&lt;/ref-type&gt;&lt;contributors&gt;&lt;authors&gt;&lt;author&gt;NHS Scotland,&lt;/author&gt;&lt;/authors&gt;&lt;/contributors&gt;&lt;titles&gt;&lt;title&gt;Near me&lt;/title&gt;&lt;/titles&gt;&lt;dates&gt;&lt;/dates&gt;&lt;urls&gt;&lt;related-urls&gt;&lt;url&gt;https://www.nearme.scot/&lt;/url&gt;&lt;/related-urls&gt;&lt;/urls&gt;&lt;/record&gt;&lt;/Cite&gt;&lt;/EndNote&gt;</w:instrText>
      </w:r>
      <w:r w:rsidR="00D078E3">
        <w:rPr>
          <w:lang w:val="nb" w:eastAsia="en-GB"/>
        </w:rPr>
        <w:fldChar w:fldCharType="separate"/>
      </w:r>
      <w:r w:rsidR="00235862">
        <w:rPr>
          <w:noProof/>
          <w:lang w:val="nb" w:eastAsia="en-GB"/>
        </w:rPr>
        <w:t>(NHS Scotland)</w:t>
      </w:r>
      <w:r w:rsidR="00D078E3">
        <w:rPr>
          <w:lang w:val="nb" w:eastAsia="en-GB"/>
        </w:rPr>
        <w:fldChar w:fldCharType="end"/>
      </w:r>
      <w:r>
        <w:rPr>
          <w:lang w:val="nb" w:eastAsia="en-GB"/>
        </w:rPr>
        <w:t>.</w:t>
      </w:r>
    </w:p>
    <w:p w14:paraId="4A93816D" w14:textId="104F91BC" w:rsidR="00FD7402" w:rsidRPr="004C43CA" w:rsidRDefault="00FD7402" w:rsidP="00775632">
      <w:pPr>
        <w:pStyle w:val="Overskrift4"/>
        <w:rPr>
          <w:lang w:val="nb" w:eastAsia="en-GB"/>
        </w:rPr>
      </w:pPr>
      <w:bookmarkStart w:id="4152" w:name="_Toc131238538"/>
      <w:bookmarkStart w:id="4153" w:name="_Toc131279570"/>
      <w:bookmarkStart w:id="4154" w:name="_Toc131286982"/>
      <w:bookmarkStart w:id="4155" w:name="_Toc131281392"/>
      <w:bookmarkStart w:id="4156" w:name="_Toc131317932"/>
      <w:r w:rsidRPr="00963F93">
        <w:rPr>
          <w:lang w:val="nb"/>
        </w:rPr>
        <w:t>Nederland</w:t>
      </w:r>
      <w:bookmarkEnd w:id="4152"/>
      <w:bookmarkEnd w:id="4153"/>
      <w:bookmarkEnd w:id="4154"/>
      <w:bookmarkEnd w:id="4155"/>
      <w:bookmarkEnd w:id="4156"/>
    </w:p>
    <w:p w14:paraId="3ED16EFA" w14:textId="0D3ABCE5" w:rsidR="00FD7402" w:rsidRPr="00D469EF" w:rsidRDefault="0093616B" w:rsidP="00D469EF">
      <w:pPr>
        <w:jc w:val="both"/>
        <w:textAlignment w:val="center"/>
        <w:rPr>
          <w:lang w:eastAsia="en-GB"/>
        </w:rPr>
      </w:pPr>
      <w:r>
        <w:rPr>
          <w:rFonts w:ascii="Calibri" w:hAnsi="Calibri" w:cs="Calibri"/>
        </w:rPr>
        <w:t>L</w:t>
      </w:r>
      <w:r w:rsidR="00FD7402" w:rsidRPr="00FD7402">
        <w:rPr>
          <w:rFonts w:ascii="Calibri" w:hAnsi="Calibri" w:cs="Calibri"/>
        </w:rPr>
        <w:t>egevaktstjenestene i Nederland bestå</w:t>
      </w:r>
      <w:r>
        <w:rPr>
          <w:rFonts w:ascii="Calibri" w:hAnsi="Calibri" w:cs="Calibri"/>
        </w:rPr>
        <w:t>r</w:t>
      </w:r>
      <w:r w:rsidR="00FD7402" w:rsidRPr="00FD7402">
        <w:rPr>
          <w:rFonts w:ascii="Calibri" w:hAnsi="Calibri" w:cs="Calibri"/>
        </w:rPr>
        <w:t xml:space="preserve"> av store allmennlegekooperativer (GPC) der 50–250 fastleger </w:t>
      </w:r>
      <w:r w:rsidR="007B1A7E">
        <w:rPr>
          <w:rFonts w:ascii="Calibri" w:hAnsi="Calibri" w:cs="Calibri"/>
        </w:rPr>
        <w:t>dekker</w:t>
      </w:r>
      <w:r w:rsidR="00FD7402" w:rsidRPr="00FD7402">
        <w:rPr>
          <w:rFonts w:ascii="Calibri" w:hAnsi="Calibri" w:cs="Calibri"/>
        </w:rPr>
        <w:t xml:space="preserve"> </w:t>
      </w:r>
      <w:r w:rsidR="00FD7402" w:rsidRPr="00D469EF">
        <w:rPr>
          <w:lang w:eastAsia="en-GB"/>
        </w:rPr>
        <w:t xml:space="preserve">en befolkning </w:t>
      </w:r>
      <w:r w:rsidR="007B1A7E" w:rsidRPr="00D469EF">
        <w:rPr>
          <w:lang w:eastAsia="en-GB"/>
        </w:rPr>
        <w:t>på</w:t>
      </w:r>
      <w:r w:rsidR="00FD7402" w:rsidRPr="00D469EF">
        <w:rPr>
          <w:lang w:eastAsia="en-GB"/>
        </w:rPr>
        <w:t xml:space="preserve"> 10</w:t>
      </w:r>
      <w:r w:rsidR="00D9107F" w:rsidRPr="00D469EF">
        <w:rPr>
          <w:lang w:eastAsia="en-GB"/>
        </w:rPr>
        <w:t>0</w:t>
      </w:r>
      <w:r w:rsidR="00D9107F">
        <w:rPr>
          <w:lang w:eastAsia="en-GB"/>
        </w:rPr>
        <w:t> </w:t>
      </w:r>
      <w:r w:rsidR="00D9107F" w:rsidRPr="00D469EF">
        <w:rPr>
          <w:lang w:eastAsia="en-GB"/>
        </w:rPr>
        <w:t>000</w:t>
      </w:r>
      <w:r w:rsidR="00FD7402" w:rsidRPr="00D469EF">
        <w:rPr>
          <w:lang w:eastAsia="en-GB"/>
        </w:rPr>
        <w:t>–50</w:t>
      </w:r>
      <w:r w:rsidR="00D9107F" w:rsidRPr="00D469EF">
        <w:rPr>
          <w:lang w:eastAsia="en-GB"/>
        </w:rPr>
        <w:t>0</w:t>
      </w:r>
      <w:r w:rsidR="00D9107F">
        <w:rPr>
          <w:lang w:eastAsia="en-GB"/>
        </w:rPr>
        <w:t> </w:t>
      </w:r>
      <w:r w:rsidR="00D9107F" w:rsidRPr="00D469EF">
        <w:rPr>
          <w:lang w:eastAsia="en-GB"/>
        </w:rPr>
        <w:t>000</w:t>
      </w:r>
      <w:r w:rsidR="00FD7402" w:rsidRPr="00D469EF">
        <w:rPr>
          <w:lang w:eastAsia="en-GB"/>
        </w:rPr>
        <w:t xml:space="preserve"> innbyggere. Det er en legevakt i alle regioner, som dekker legetjeneste på kveld og natt (inkludert hjemmebesøk). Vaktene roteres mellom fastlegene.</w:t>
      </w:r>
      <w:r w:rsidR="00D9107F">
        <w:rPr>
          <w:lang w:eastAsia="en-GB"/>
        </w:rPr>
        <w:t xml:space="preserve"> </w:t>
      </w:r>
    </w:p>
    <w:p w14:paraId="3E486517" w14:textId="77777777" w:rsidR="00D9107F" w:rsidRDefault="00FD7402" w:rsidP="005F202C">
      <w:pPr>
        <w:jc w:val="both"/>
        <w:textAlignment w:val="center"/>
        <w:rPr>
          <w:lang w:eastAsia="en-GB"/>
        </w:rPr>
      </w:pPr>
      <w:r w:rsidRPr="00D469EF">
        <w:rPr>
          <w:lang w:eastAsia="en-GB"/>
        </w:rPr>
        <w:t>Tidligere (fram til 2023) har det bare vært praksispartnere som</w:t>
      </w:r>
      <w:r w:rsidR="003E457F" w:rsidRPr="00D469EF">
        <w:rPr>
          <w:lang w:eastAsia="en-GB"/>
        </w:rPr>
        <w:t>,</w:t>
      </w:r>
      <w:r w:rsidRPr="00D469EF">
        <w:rPr>
          <w:lang w:eastAsia="en-GB"/>
        </w:rPr>
        <w:t xml:space="preserve"> gjennom avtalene</w:t>
      </w:r>
      <w:r w:rsidR="003E457F" w:rsidRPr="00D469EF">
        <w:rPr>
          <w:lang w:eastAsia="en-GB"/>
        </w:rPr>
        <w:t>,</w:t>
      </w:r>
      <w:r w:rsidRPr="00D469EF">
        <w:rPr>
          <w:lang w:eastAsia="en-GB"/>
        </w:rPr>
        <w:t xml:space="preserve"> har vært pålagt å delta i</w:t>
      </w:r>
      <w:r w:rsidRPr="00FD7402">
        <w:rPr>
          <w:rFonts w:ascii="Calibri" w:hAnsi="Calibri" w:cs="Calibri"/>
        </w:rPr>
        <w:t xml:space="preserve"> </w:t>
      </w:r>
      <w:r w:rsidRPr="00D469EF">
        <w:rPr>
          <w:lang w:eastAsia="en-GB"/>
        </w:rPr>
        <w:t>legevakt. Dette er nå endret</w:t>
      </w:r>
      <w:r w:rsidR="003E457F" w:rsidRPr="00D469EF">
        <w:rPr>
          <w:lang w:eastAsia="en-GB"/>
        </w:rPr>
        <w:t>,</w:t>
      </w:r>
      <w:r w:rsidRPr="00D469EF">
        <w:rPr>
          <w:lang w:eastAsia="en-GB"/>
        </w:rPr>
        <w:t xml:space="preserve"> med bakgrunn i at stadig flere leger som arbeider i allmennpraksis ikke er partnere, men ansatt på legekontoret.</w:t>
      </w:r>
    </w:p>
    <w:p w14:paraId="3131841A" w14:textId="34DC5389" w:rsidR="007B1A7E" w:rsidRPr="00D469EF" w:rsidRDefault="0093616B" w:rsidP="005F202C">
      <w:pPr>
        <w:jc w:val="both"/>
        <w:textAlignment w:val="center"/>
        <w:rPr>
          <w:lang w:eastAsia="en-GB"/>
        </w:rPr>
      </w:pPr>
      <w:r w:rsidRPr="00D469EF">
        <w:rPr>
          <w:lang w:eastAsia="en-GB"/>
        </w:rPr>
        <w:t>Ved behov for akutte</w:t>
      </w:r>
      <w:r w:rsidR="00FD7402" w:rsidRPr="00D469EF">
        <w:rPr>
          <w:lang w:eastAsia="en-GB"/>
        </w:rPr>
        <w:t xml:space="preserve"> tjenester</w:t>
      </w:r>
      <w:r w:rsidRPr="00D469EF">
        <w:rPr>
          <w:lang w:eastAsia="en-GB"/>
        </w:rPr>
        <w:t xml:space="preserve"> </w:t>
      </w:r>
      <w:r w:rsidR="007B1A7E" w:rsidRPr="00D469EF">
        <w:rPr>
          <w:lang w:eastAsia="en-GB"/>
        </w:rPr>
        <w:t>tar innbyggerne</w:t>
      </w:r>
      <w:r w:rsidR="00FD7402" w:rsidRPr="00D469EF">
        <w:rPr>
          <w:lang w:eastAsia="en-GB"/>
        </w:rPr>
        <w:t xml:space="preserve"> først kontakt via telefon, og blir triagert av trente fagfolk for å få riktig hjelp</w:t>
      </w:r>
      <w:r w:rsidR="007B1A7E" w:rsidRPr="00D469EF">
        <w:rPr>
          <w:lang w:eastAsia="en-GB"/>
        </w:rPr>
        <w:t>, inkludert</w:t>
      </w:r>
      <w:r w:rsidR="00FD7402" w:rsidRPr="00D469EF">
        <w:rPr>
          <w:lang w:eastAsia="en-GB"/>
        </w:rPr>
        <w:t xml:space="preserve"> å gi pasientene råd på telefonen. Det er regionale numre til legevakten.</w:t>
      </w:r>
      <w:r w:rsidR="00D9107F">
        <w:rPr>
          <w:lang w:eastAsia="en-GB"/>
        </w:rPr>
        <w:t xml:space="preserve"> </w:t>
      </w:r>
    </w:p>
    <w:p w14:paraId="0EE9E1C3" w14:textId="402ED420" w:rsidR="00D9107F" w:rsidRDefault="00FD7402" w:rsidP="00AF1170">
      <w:r w:rsidRPr="00D469EF">
        <w:rPr>
          <w:lang w:eastAsia="en-GB"/>
        </w:rPr>
        <w:t>Omtrent</w:t>
      </w:r>
      <w:r w:rsidRPr="00FD7402">
        <w:t xml:space="preserve"> 65 prosent av legevaktene er samlokalisert med sykehusenes akuttmottak (Emergency department) og mange andre er lokalisert nærme et </w:t>
      </w:r>
      <w:r w:rsidR="00C83246" w:rsidRPr="00FD7402">
        <w:t>sykehus.</w:t>
      </w:r>
      <w:r w:rsidRPr="00FD7402">
        <w:t xml:space="preserve"> I tillegg til </w:t>
      </w:r>
      <w:r w:rsidRPr="00FD7402">
        <w:lastRenderedPageBreak/>
        <w:t xml:space="preserve">allmennleger arbeider sykepleiere på legevakten, noen ganger </w:t>
      </w:r>
      <w:r w:rsidR="00D9107F">
        <w:t>«</w:t>
      </w:r>
      <w:r w:rsidRPr="00FD7402">
        <w:t>nurse practioners</w:t>
      </w:r>
      <w:r w:rsidR="00D9107F">
        <w:t>»</w:t>
      </w:r>
      <w:r w:rsidRPr="00FD7402">
        <w:t xml:space="preserve"> eller </w:t>
      </w:r>
      <w:r w:rsidR="00D9107F">
        <w:t>«</w:t>
      </w:r>
      <w:r w:rsidRPr="00FD7402">
        <w:t>physician assistants</w:t>
      </w:r>
      <w:r w:rsidR="00D9107F">
        <w:t>»</w:t>
      </w:r>
      <w:r w:rsidRPr="00FD7402">
        <w:t xml:space="preserve"> som utfører bestemte oppgaver. Betalingen til legene er timesbasert. Pasienten betaler ikke egenandel for konsultasjon.</w:t>
      </w:r>
      <w:r w:rsidR="00EF4D70" w:rsidRPr="00D9107F">
        <w:rPr>
          <w:rStyle w:val="Fotnotereferanse"/>
        </w:rPr>
        <w:footnoteReference w:id="47"/>
      </w:r>
    </w:p>
    <w:p w14:paraId="720B3DB2" w14:textId="7A5AF805" w:rsidR="00731EAE" w:rsidRDefault="00731EAE" w:rsidP="00775632">
      <w:pPr>
        <w:pStyle w:val="Overskrift3"/>
      </w:pPr>
      <w:bookmarkStart w:id="4157" w:name="_Toc127633298"/>
      <w:bookmarkStart w:id="4158" w:name="_Toc127864583"/>
      <w:bookmarkStart w:id="4159" w:name="_Toc128238596"/>
      <w:bookmarkStart w:id="4160" w:name="_Toc128467426"/>
      <w:bookmarkStart w:id="4161" w:name="_Toc128744674"/>
      <w:bookmarkStart w:id="4162" w:name="_Toc128744893"/>
      <w:bookmarkStart w:id="4163" w:name="_Toc129630396"/>
      <w:bookmarkStart w:id="4164" w:name="_Toc130763906"/>
      <w:bookmarkStart w:id="4165" w:name="_Toc130766801"/>
      <w:bookmarkStart w:id="4166" w:name="_Toc130932200"/>
      <w:bookmarkStart w:id="4167" w:name="_Toc130934491"/>
      <w:bookmarkStart w:id="4168" w:name="_Toc130983624"/>
      <w:bookmarkStart w:id="4169" w:name="_Toc130983973"/>
      <w:bookmarkStart w:id="4170" w:name="_Toc131062241"/>
      <w:bookmarkStart w:id="4171" w:name="_Toc131062495"/>
      <w:bookmarkStart w:id="4172" w:name="_Toc131062756"/>
      <w:bookmarkStart w:id="4173" w:name="_Toc131063009"/>
      <w:bookmarkStart w:id="4174" w:name="_Toc131063792"/>
      <w:bookmarkStart w:id="4175" w:name="_Toc131064203"/>
      <w:bookmarkStart w:id="4176" w:name="_Toc131238539"/>
      <w:bookmarkStart w:id="4177" w:name="_Toc131279571"/>
      <w:bookmarkStart w:id="4178" w:name="_Toc131286983"/>
      <w:bookmarkStart w:id="4179" w:name="_Toc131281393"/>
      <w:bookmarkStart w:id="4180" w:name="_Toc131317933"/>
      <w:bookmarkStart w:id="4181" w:name="_Toc132537048"/>
      <w:r>
        <w:t>Beskrivelse av utprøving</w:t>
      </w:r>
      <w:r w:rsidR="00443049">
        <w:t>er</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r w:rsidR="00347B46">
        <w:t xml:space="preserve"> og utredninger</w:t>
      </w:r>
      <w:bookmarkEnd w:id="4176"/>
      <w:bookmarkEnd w:id="4177"/>
      <w:bookmarkEnd w:id="4178"/>
      <w:bookmarkEnd w:id="4179"/>
      <w:bookmarkEnd w:id="4180"/>
      <w:bookmarkEnd w:id="4181"/>
    </w:p>
    <w:p w14:paraId="344AD26C" w14:textId="4037BB66" w:rsidR="00731EAE" w:rsidRDefault="2A912F72" w:rsidP="00775632">
      <w:pPr>
        <w:pStyle w:val="Overskrift4"/>
      </w:pPr>
      <w:bookmarkStart w:id="4182" w:name="_Toc127633299"/>
      <w:bookmarkStart w:id="4183" w:name="_Toc127864584"/>
      <w:bookmarkStart w:id="4184" w:name="_Toc128238597"/>
      <w:bookmarkStart w:id="4185" w:name="_Toc128467427"/>
      <w:bookmarkStart w:id="4186" w:name="_Toc128744675"/>
      <w:bookmarkStart w:id="4187" w:name="_Toc128744894"/>
      <w:bookmarkStart w:id="4188" w:name="_Toc129630397"/>
      <w:bookmarkStart w:id="4189" w:name="_Toc130763907"/>
      <w:bookmarkStart w:id="4190" w:name="_Toc130766802"/>
      <w:bookmarkStart w:id="4191" w:name="_Toc130932201"/>
      <w:bookmarkStart w:id="4192" w:name="_Toc130934492"/>
      <w:bookmarkStart w:id="4193" w:name="_Toc130983625"/>
      <w:bookmarkStart w:id="4194" w:name="_Toc130983974"/>
      <w:bookmarkStart w:id="4195" w:name="_Toc131062242"/>
      <w:bookmarkStart w:id="4196" w:name="_Toc131062496"/>
      <w:bookmarkStart w:id="4197" w:name="_Toc131062757"/>
      <w:bookmarkStart w:id="4198" w:name="_Toc131063010"/>
      <w:bookmarkStart w:id="4199" w:name="_Toc131063793"/>
      <w:bookmarkStart w:id="4200" w:name="_Toc131064204"/>
      <w:bookmarkStart w:id="4201" w:name="_Toc131238540"/>
      <w:bookmarkStart w:id="4202" w:name="_Toc131279572"/>
      <w:bookmarkStart w:id="4203" w:name="_Toc131286984"/>
      <w:bookmarkStart w:id="4204" w:name="_Toc131281394"/>
      <w:bookmarkStart w:id="4205" w:name="_Toc131317934"/>
      <w:r>
        <w:t>Pilot legevakt</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0C20821A" w14:textId="77777777" w:rsidR="00D9107F" w:rsidRDefault="00731EAE" w:rsidP="005F202C">
      <w:pPr>
        <w:spacing w:line="252" w:lineRule="auto"/>
        <w:jc w:val="both"/>
        <w:rPr>
          <w:rFonts w:eastAsiaTheme="minorEastAsia"/>
          <w:color w:val="000000" w:themeColor="text1"/>
        </w:rPr>
      </w:pPr>
      <w:r>
        <w:rPr>
          <w:rFonts w:eastAsiaTheme="minorEastAsia"/>
          <w:color w:val="000000" w:themeColor="text1"/>
        </w:rPr>
        <w:t xml:space="preserve">En ny </w:t>
      </w:r>
      <w:r w:rsidR="0063229D">
        <w:rPr>
          <w:rFonts w:eastAsiaTheme="minorEastAsia"/>
          <w:color w:val="000000" w:themeColor="text1"/>
        </w:rPr>
        <w:t>legevakt</w:t>
      </w:r>
      <w:r>
        <w:rPr>
          <w:rFonts w:eastAsiaTheme="minorEastAsia"/>
          <w:color w:val="000000" w:themeColor="text1"/>
        </w:rPr>
        <w:t xml:space="preserve">organisering i </w:t>
      </w:r>
      <w:r w:rsidR="00E927F9">
        <w:rPr>
          <w:rFonts w:eastAsiaTheme="minorEastAsia"/>
          <w:color w:val="000000" w:themeColor="text1"/>
        </w:rPr>
        <w:t>s</w:t>
      </w:r>
      <w:r w:rsidR="00406838">
        <w:rPr>
          <w:rFonts w:eastAsiaTheme="minorEastAsia"/>
          <w:color w:val="000000" w:themeColor="text1"/>
        </w:rPr>
        <w:t>predtbebygde</w:t>
      </w:r>
      <w:r>
        <w:rPr>
          <w:rFonts w:eastAsiaTheme="minorEastAsia"/>
          <w:color w:val="000000" w:themeColor="text1"/>
        </w:rPr>
        <w:t xml:space="preserve"> områder har vært pilotert </w:t>
      </w:r>
      <w:r w:rsidR="003C048F">
        <w:rPr>
          <w:rFonts w:eastAsiaTheme="minorEastAsia"/>
          <w:color w:val="000000" w:themeColor="text1"/>
        </w:rPr>
        <w:t xml:space="preserve">i to legevaktdistrikter </w:t>
      </w:r>
      <w:r w:rsidR="000F0F67">
        <w:rPr>
          <w:rFonts w:eastAsiaTheme="minorEastAsia"/>
          <w:color w:val="000000" w:themeColor="text1"/>
        </w:rPr>
        <w:t xml:space="preserve">i perioden </w:t>
      </w:r>
      <w:r>
        <w:rPr>
          <w:rFonts w:eastAsiaTheme="minorEastAsia"/>
          <w:color w:val="000000" w:themeColor="text1"/>
        </w:rPr>
        <w:t>2018</w:t>
      </w:r>
      <w:r w:rsidR="003E457F">
        <w:rPr>
          <w:rFonts w:eastAsiaTheme="minorEastAsia"/>
          <w:color w:val="000000" w:themeColor="text1"/>
        </w:rPr>
        <w:t>–</w:t>
      </w:r>
      <w:r>
        <w:rPr>
          <w:rFonts w:eastAsiaTheme="minorEastAsia"/>
          <w:color w:val="000000" w:themeColor="text1"/>
        </w:rPr>
        <w:t>2022. Overordnet målsetting er å sikre en bærekraftig og forsvarlig lokal akuttmedisinsk beredskap i kommunene</w:t>
      </w:r>
      <w:r w:rsidR="003E457F">
        <w:rPr>
          <w:rFonts w:eastAsiaTheme="minorEastAsia"/>
          <w:color w:val="000000" w:themeColor="text1"/>
        </w:rPr>
        <w:t>,</w:t>
      </w:r>
      <w:r>
        <w:rPr>
          <w:rFonts w:eastAsiaTheme="minorEastAsia"/>
          <w:color w:val="000000" w:themeColor="text1"/>
        </w:rPr>
        <w:t xml:space="preserve"> gjennom bedre tilgjengelig tilbud til legevaktpasienter i små og mellomstore kommuner, styrke akuttberedskapen, utnytte samlede vaktressurser bedre, styrke rekruttering av fastleger i kommunen og ta i bruk digitale løsninger for å understøtte diagnostikk og behandling.</w:t>
      </w:r>
    </w:p>
    <w:p w14:paraId="6B59FD0E" w14:textId="20DDF44F" w:rsidR="00D9107F" w:rsidRDefault="00731EAE" w:rsidP="005F202C">
      <w:pPr>
        <w:spacing w:line="252" w:lineRule="auto"/>
        <w:jc w:val="both"/>
        <w:rPr>
          <w:rFonts w:eastAsiaTheme="minorEastAsia"/>
          <w:color w:val="000000" w:themeColor="text1"/>
        </w:rPr>
      </w:pPr>
      <w:r>
        <w:rPr>
          <w:rFonts w:eastAsiaTheme="minorEastAsia"/>
          <w:color w:val="000000" w:themeColor="text1"/>
        </w:rPr>
        <w:t xml:space="preserve">Det er etablert legevaktsatellitter i </w:t>
      </w:r>
      <w:r w:rsidR="003E457F">
        <w:rPr>
          <w:rFonts w:eastAsiaTheme="minorEastAsia"/>
          <w:color w:val="000000" w:themeColor="text1"/>
        </w:rPr>
        <w:t>fem</w:t>
      </w:r>
      <w:r>
        <w:rPr>
          <w:rFonts w:eastAsiaTheme="minorEastAsia"/>
          <w:color w:val="000000" w:themeColor="text1"/>
        </w:rPr>
        <w:t xml:space="preserve"> kommuner i Ytre Sogn og Sunnfjord</w:t>
      </w:r>
      <w:r w:rsidR="003E457F">
        <w:rPr>
          <w:rFonts w:eastAsiaTheme="minorEastAsia"/>
          <w:color w:val="000000" w:themeColor="text1"/>
        </w:rPr>
        <w:t>,</w:t>
      </w:r>
      <w:r>
        <w:rPr>
          <w:rFonts w:eastAsiaTheme="minorEastAsia"/>
          <w:color w:val="000000" w:themeColor="text1"/>
        </w:rPr>
        <w:t xml:space="preserve"> med sentral </w:t>
      </w:r>
      <w:r w:rsidR="0046348A">
        <w:rPr>
          <w:rFonts w:eastAsiaTheme="minorEastAsia"/>
          <w:color w:val="000000" w:themeColor="text1"/>
        </w:rPr>
        <w:t xml:space="preserve">i </w:t>
      </w:r>
      <w:r>
        <w:rPr>
          <w:rFonts w:eastAsiaTheme="minorEastAsia"/>
          <w:color w:val="000000" w:themeColor="text1"/>
        </w:rPr>
        <w:t xml:space="preserve">Sunnfjord og Ytre Sogn interkommunale legevakt i Førde. Legevaktdistriktet omfatter </w:t>
      </w:r>
      <w:r w:rsidR="00EA56E7">
        <w:rPr>
          <w:rFonts w:eastAsiaTheme="minorEastAsia"/>
          <w:color w:val="000000" w:themeColor="text1"/>
        </w:rPr>
        <w:t xml:space="preserve">drøyt </w:t>
      </w:r>
      <w:r>
        <w:rPr>
          <w:rFonts w:eastAsiaTheme="minorEastAsia"/>
          <w:color w:val="000000" w:themeColor="text1"/>
        </w:rPr>
        <w:t>1</w:t>
      </w:r>
      <w:r w:rsidR="00D9107F">
        <w:rPr>
          <w:rFonts w:eastAsiaTheme="minorEastAsia"/>
          <w:color w:val="000000" w:themeColor="text1"/>
        </w:rPr>
        <w:t>3 000</w:t>
      </w:r>
      <w:r>
        <w:rPr>
          <w:rFonts w:eastAsiaTheme="minorEastAsia"/>
          <w:color w:val="000000" w:themeColor="text1"/>
        </w:rPr>
        <w:t xml:space="preserve"> innbyggere. I Romsdalsregionen er det </w:t>
      </w:r>
      <w:r w:rsidR="003E457F">
        <w:rPr>
          <w:rFonts w:eastAsiaTheme="minorEastAsia"/>
          <w:color w:val="000000" w:themeColor="text1"/>
        </w:rPr>
        <w:t>fem</w:t>
      </w:r>
      <w:r>
        <w:rPr>
          <w:rFonts w:eastAsiaTheme="minorEastAsia"/>
          <w:color w:val="000000" w:themeColor="text1"/>
        </w:rPr>
        <w:t xml:space="preserve"> satellittkommuner</w:t>
      </w:r>
      <w:r w:rsidR="003E457F">
        <w:rPr>
          <w:rFonts w:eastAsiaTheme="minorEastAsia"/>
          <w:color w:val="000000" w:themeColor="text1"/>
        </w:rPr>
        <w:t>,</w:t>
      </w:r>
      <w:r>
        <w:rPr>
          <w:rFonts w:eastAsiaTheme="minorEastAsia"/>
          <w:color w:val="000000" w:themeColor="text1"/>
        </w:rPr>
        <w:t xml:space="preserve"> med legevaktsentral i Molde Interkommunale legevakt. Innbyggere i satellittkommunene </w:t>
      </w:r>
      <w:r w:rsidR="00E940E9">
        <w:rPr>
          <w:rFonts w:eastAsiaTheme="minorEastAsia"/>
          <w:color w:val="000000" w:themeColor="text1"/>
        </w:rPr>
        <w:t xml:space="preserve">i </w:t>
      </w:r>
      <w:r>
        <w:rPr>
          <w:rFonts w:eastAsiaTheme="minorEastAsia"/>
          <w:color w:val="000000" w:themeColor="text1"/>
        </w:rPr>
        <w:t>Romsdalsregionen utgjør 2</w:t>
      </w:r>
      <w:r w:rsidR="00D9107F">
        <w:rPr>
          <w:rFonts w:eastAsiaTheme="minorEastAsia"/>
          <w:color w:val="000000" w:themeColor="text1"/>
        </w:rPr>
        <w:t>0 000</w:t>
      </w:r>
      <w:r>
        <w:rPr>
          <w:rFonts w:eastAsiaTheme="minorEastAsia"/>
          <w:color w:val="000000" w:themeColor="text1"/>
        </w:rPr>
        <w:t>. Satellittene er stort sett lokalisert på sykehjem</w:t>
      </w:r>
      <w:r w:rsidR="003E457F">
        <w:rPr>
          <w:rFonts w:eastAsiaTheme="minorEastAsia"/>
          <w:color w:val="000000" w:themeColor="text1"/>
        </w:rPr>
        <w:t>,</w:t>
      </w:r>
      <w:r>
        <w:rPr>
          <w:rFonts w:eastAsiaTheme="minorEastAsia"/>
          <w:color w:val="000000" w:themeColor="text1"/>
        </w:rPr>
        <w:t xml:space="preserve"> og bemannet med sykepleiere. Pasientflyten i piloten skjer ved triagering av henvendelser til legevaktsentralen. Pasientene får tildelt time på </w:t>
      </w:r>
      <w:r w:rsidR="00AD05C6">
        <w:rPr>
          <w:rFonts w:eastAsiaTheme="minorEastAsia"/>
          <w:color w:val="000000" w:themeColor="text1"/>
        </w:rPr>
        <w:t>legevakt</w:t>
      </w:r>
      <w:r>
        <w:rPr>
          <w:rFonts w:eastAsiaTheme="minorEastAsia"/>
          <w:color w:val="000000" w:themeColor="text1"/>
        </w:rPr>
        <w:t>satellitten med sykepleier, som kan gjøre undersøkelse og behandling</w:t>
      </w:r>
      <w:r w:rsidR="003E457F">
        <w:rPr>
          <w:rFonts w:eastAsiaTheme="minorEastAsia"/>
          <w:color w:val="000000" w:themeColor="text1"/>
        </w:rPr>
        <w:t>,</w:t>
      </w:r>
      <w:r>
        <w:rPr>
          <w:rFonts w:eastAsiaTheme="minorEastAsia"/>
          <w:color w:val="000000" w:themeColor="text1"/>
        </w:rPr>
        <w:t xml:space="preserve"> og ved behov koble opp videokonferanse med lege på legevaktsentralene i den interkommunale legevakten.</w:t>
      </w:r>
    </w:p>
    <w:p w14:paraId="5742D980" w14:textId="562BDA13" w:rsidR="00CA575F" w:rsidRDefault="00CA575F" w:rsidP="005F202C">
      <w:pPr>
        <w:spacing w:line="252" w:lineRule="auto"/>
        <w:jc w:val="both"/>
        <w:rPr>
          <w:rFonts w:eastAsiaTheme="minorEastAsia"/>
          <w:color w:val="000000" w:themeColor="text1"/>
        </w:rPr>
      </w:pPr>
      <w:r>
        <w:rPr>
          <w:rFonts w:eastAsiaTheme="minorEastAsia"/>
          <w:color w:val="000000" w:themeColor="text1"/>
        </w:rPr>
        <w:t xml:space="preserve">Samarbeidet med aktørene i den akuttmedisinske kjede og primærhelsetjenesten er bedret. </w:t>
      </w:r>
      <w:r w:rsidR="00075DE4">
        <w:rPr>
          <w:rFonts w:eastAsiaTheme="minorEastAsia"/>
          <w:color w:val="000000" w:themeColor="text1"/>
        </w:rPr>
        <w:t xml:space="preserve">Både </w:t>
      </w:r>
      <w:r>
        <w:rPr>
          <w:rFonts w:eastAsiaTheme="minorEastAsia"/>
          <w:color w:val="000000" w:themeColor="text1"/>
        </w:rPr>
        <w:t xml:space="preserve">Romsdalsregionen </w:t>
      </w:r>
      <w:r w:rsidR="00B91A29">
        <w:rPr>
          <w:rFonts w:eastAsiaTheme="minorEastAsia"/>
          <w:color w:val="000000" w:themeColor="text1"/>
        </w:rPr>
        <w:t>og</w:t>
      </w:r>
      <w:r>
        <w:rPr>
          <w:rFonts w:eastAsiaTheme="minorEastAsia"/>
          <w:color w:val="000000" w:themeColor="text1"/>
        </w:rPr>
        <w:t xml:space="preserve"> kommunene i Ytre Sogn og Sunnfjord har </w:t>
      </w:r>
      <w:r w:rsidR="00075DE4">
        <w:rPr>
          <w:rFonts w:eastAsiaTheme="minorEastAsia"/>
          <w:color w:val="000000" w:themeColor="text1"/>
        </w:rPr>
        <w:t xml:space="preserve">valgt å </w:t>
      </w:r>
      <w:r>
        <w:rPr>
          <w:rFonts w:eastAsiaTheme="minorEastAsia"/>
          <w:color w:val="000000" w:themeColor="text1"/>
        </w:rPr>
        <w:t>s</w:t>
      </w:r>
      <w:r w:rsidR="00075DE4">
        <w:rPr>
          <w:rFonts w:eastAsiaTheme="minorEastAsia"/>
          <w:color w:val="000000" w:themeColor="text1"/>
        </w:rPr>
        <w:t>e</w:t>
      </w:r>
      <w:r>
        <w:rPr>
          <w:rFonts w:eastAsiaTheme="minorEastAsia"/>
          <w:color w:val="000000" w:themeColor="text1"/>
        </w:rPr>
        <w:t>tt</w:t>
      </w:r>
      <w:r w:rsidR="00075DE4">
        <w:rPr>
          <w:rFonts w:eastAsiaTheme="minorEastAsia"/>
          <w:color w:val="000000" w:themeColor="text1"/>
        </w:rPr>
        <w:t>e</w:t>
      </w:r>
      <w:r>
        <w:rPr>
          <w:rFonts w:eastAsiaTheme="minorEastAsia"/>
          <w:color w:val="000000" w:themeColor="text1"/>
        </w:rPr>
        <w:t xml:space="preserve"> pilotmodellen i ordinær drift.</w:t>
      </w:r>
    </w:p>
    <w:p w14:paraId="254B35A4" w14:textId="77777777" w:rsidR="00D9107F" w:rsidRDefault="09A51149" w:rsidP="005F202C">
      <w:pPr>
        <w:spacing w:line="252" w:lineRule="auto"/>
        <w:jc w:val="both"/>
        <w:rPr>
          <w:rFonts w:eastAsiaTheme="minorEastAsia"/>
          <w:color w:val="000000" w:themeColor="text1"/>
        </w:rPr>
      </w:pPr>
      <w:r w:rsidRPr="498DE090">
        <w:rPr>
          <w:rFonts w:eastAsiaTheme="minorEastAsia"/>
          <w:color w:val="000000" w:themeColor="text1"/>
        </w:rPr>
        <w:t>De</w:t>
      </w:r>
      <w:r w:rsidR="04548EF4" w:rsidRPr="498DE090">
        <w:rPr>
          <w:rFonts w:eastAsiaTheme="minorEastAsia"/>
          <w:color w:val="000000" w:themeColor="text1"/>
        </w:rPr>
        <w:t xml:space="preserve">t er utført </w:t>
      </w:r>
      <w:r w:rsidR="3496AFD9" w:rsidRPr="498DE090">
        <w:rPr>
          <w:rFonts w:eastAsiaTheme="minorEastAsia"/>
          <w:color w:val="000000" w:themeColor="text1"/>
        </w:rPr>
        <w:t xml:space="preserve">tre evalueringer av ordningen, to </w:t>
      </w:r>
      <w:r w:rsidR="2844DAE7" w:rsidRPr="498DE090">
        <w:rPr>
          <w:rFonts w:eastAsiaTheme="minorEastAsia"/>
          <w:color w:val="000000" w:themeColor="text1"/>
        </w:rPr>
        <w:t xml:space="preserve">lokale og </w:t>
      </w:r>
      <w:r w:rsidR="67247331" w:rsidRPr="498DE090">
        <w:rPr>
          <w:rFonts w:eastAsiaTheme="minorEastAsia"/>
          <w:color w:val="000000" w:themeColor="text1"/>
        </w:rPr>
        <w:t xml:space="preserve">en av </w:t>
      </w:r>
      <w:r w:rsidR="41BB0DAF" w:rsidRPr="498DE090">
        <w:rPr>
          <w:rFonts w:eastAsiaTheme="minorEastAsia"/>
          <w:color w:val="000000" w:themeColor="text1"/>
        </w:rPr>
        <w:t>Nasjonalt kompetansesenter for legevaktmedisin (</w:t>
      </w:r>
      <w:r w:rsidR="67247331" w:rsidRPr="498DE090">
        <w:rPr>
          <w:rFonts w:eastAsiaTheme="minorEastAsia"/>
          <w:color w:val="000000" w:themeColor="text1"/>
        </w:rPr>
        <w:t>NKLM</w:t>
      </w:r>
      <w:r w:rsidR="41BB0DAF" w:rsidRPr="498DE090">
        <w:rPr>
          <w:rFonts w:eastAsiaTheme="minorEastAsia"/>
          <w:color w:val="000000" w:themeColor="text1"/>
        </w:rPr>
        <w:t>)</w:t>
      </w:r>
      <w:r w:rsidR="18D367CA" w:rsidRPr="498DE090">
        <w:rPr>
          <w:rFonts w:eastAsiaTheme="minorEastAsia"/>
          <w:color w:val="000000" w:themeColor="text1"/>
        </w:rPr>
        <w:t xml:space="preserve"> </w:t>
      </w:r>
      <w:r w:rsidR="004A2A54">
        <w:rPr>
          <w:rFonts w:eastAsiaTheme="minorEastAsia"/>
          <w:color w:val="000000" w:themeColor="text1"/>
        </w:rPr>
        <w:fldChar w:fldCharType="begin"/>
      </w:r>
      <w:r w:rsidR="004654FD">
        <w:rPr>
          <w:rFonts w:eastAsiaTheme="minorEastAsia"/>
          <w:color w:val="000000" w:themeColor="text1"/>
        </w:rPr>
        <w:instrText xml:space="preserve"> ADDIN EN.CITE &lt;EndNote&gt;&lt;Cite&gt;&lt;Author&gt;Albrektsen&lt;/Author&gt;&lt;Year&gt;2022&lt;/Year&gt;&lt;RecNum&gt;449&lt;/RecNum&gt;&lt;DisplayText&gt;(Albrektsen, 2022; Molde interkommunale legevakt, 2022; Zakariassen,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legevakt,&lt;/publisher&gt;&lt;urls&gt;&lt;/urls&gt;&lt;/record&gt;&lt;/Cite&gt;&lt;Cite&gt;&lt;Author&gt;Zakariassen&lt;/Author&gt;&lt;Year&gt;2022&lt;/Year&gt;&lt;RecNum&gt;632&lt;/RecNum&gt;&lt;record&gt;&lt;rec-number&gt;632&lt;/rec-number&gt;&lt;foreign-keys&gt;&lt;key app="EN" db-id="95tpr2tp6r9xwoea9rb5wdsz5ds5xeddteew" timestamp="1680069511"&gt;632&lt;/key&gt;&lt;/foreign-keys&gt;&lt;ref-type name="Report"&gt;27&lt;/ref-type&gt;&lt;contributors&gt;&lt;authors&gt;&lt;author&gt;Zakariassen, E.&lt;/author&gt;&lt;/authors&gt;&lt;/contributors&gt;&lt;titles&gt;&lt;title&gt;Pilot legevakt. Evalueringsrapport fra Nasjonalt kompetansesenter for legevaktmedisin&lt;/title&gt;&lt;/titles&gt;&lt;number&gt;5-2022&lt;/number&gt;&lt;dates&gt;&lt;year&gt;2022&lt;/year&gt;&lt;/dates&gt;&lt;pub-location&gt;Bergen&lt;/pub-location&gt;&lt;publisher&gt;Nasjonalt kompetansesenter for legevaktmedisin, NORCE Norwegian Research Centre&lt;/publisher&gt;&lt;urls&gt;&lt;/urls&gt;&lt;/record&gt;&lt;/Cite&gt;&lt;Cite&gt;&lt;Author&gt;Molde interkommunale legevakt&lt;/Author&gt;&lt;Year&gt;2022&lt;/Year&gt;&lt;RecNum&gt;448&lt;/RecNum&gt;&lt;record&gt;&lt;rec-number&gt;448&lt;/rec-number&gt;&lt;foreign-keys&gt;&lt;key app="EN" db-id="95tpr2tp6r9xwoea9rb5wdsz5ds5xeddteew" timestamp="1680069511"&gt;448&lt;/key&gt;&lt;/foreign-keys&gt;&lt;ref-type name="Report"&gt;27&lt;/ref-type&gt;&lt;contributors&gt;&lt;authors&gt;&lt;author&gt;Molde interkommunale legevakt,&lt;/author&gt;&lt;/authors&gt;&lt;/contributors&gt;&lt;titles&gt;&lt;title&gt;Legevaktpilot 2018-2022. Molde interkommunale legevakt. Sluttrapport&lt;/title&gt;&lt;/titles&gt;&lt;dates&gt;&lt;year&gt;2022&lt;/year&gt;&lt;/dates&gt;&lt;pub-location&gt;Molde&lt;/pub-location&gt;&lt;urls&gt;&lt;related-urls&gt;&lt;url&gt;https://www.molde.kommune.no/helse-og-omsorg/akutt-helsehjelp/kontakt-legevakten/&lt;/url&gt;&lt;/related-urls&gt;&lt;/urls&gt;&lt;/record&gt;&lt;/Cite&gt;&lt;/EndNote&gt;</w:instrText>
      </w:r>
      <w:r w:rsidR="004A2A54">
        <w:rPr>
          <w:rFonts w:eastAsiaTheme="minorEastAsia"/>
          <w:color w:val="000000" w:themeColor="text1"/>
        </w:rPr>
        <w:fldChar w:fldCharType="separate"/>
      </w:r>
      <w:r w:rsidR="00591D11">
        <w:rPr>
          <w:rFonts w:eastAsiaTheme="minorEastAsia"/>
          <w:noProof/>
          <w:color w:val="000000" w:themeColor="text1"/>
        </w:rPr>
        <w:t>(Albrektsen, 2022; Molde interkommunale legevakt, 2022; Zakariassen, 2022)</w:t>
      </w:r>
      <w:r w:rsidR="004A2A54">
        <w:rPr>
          <w:rFonts w:eastAsiaTheme="minorEastAsia"/>
          <w:color w:val="000000" w:themeColor="text1"/>
        </w:rPr>
        <w:fldChar w:fldCharType="end"/>
      </w:r>
      <w:r w:rsidR="00A44435">
        <w:t xml:space="preserve">. </w:t>
      </w:r>
      <w:r w:rsidR="67247331" w:rsidRPr="498DE090">
        <w:rPr>
          <w:rFonts w:eastAsiaTheme="minorEastAsia"/>
          <w:color w:val="000000" w:themeColor="text1"/>
        </w:rPr>
        <w:t xml:space="preserve">I tillegg </w:t>
      </w:r>
      <w:r w:rsidR="00A44435">
        <w:rPr>
          <w:rFonts w:eastAsiaTheme="minorEastAsia"/>
          <w:color w:val="000000" w:themeColor="text1"/>
        </w:rPr>
        <w:t>har</w:t>
      </w:r>
      <w:r w:rsidR="67247331" w:rsidRPr="498DE090">
        <w:rPr>
          <w:rFonts w:eastAsiaTheme="minorEastAsia"/>
          <w:color w:val="000000" w:themeColor="text1"/>
        </w:rPr>
        <w:t xml:space="preserve"> Helsedirektoratet </w:t>
      </w:r>
      <w:r w:rsidR="00A44435">
        <w:rPr>
          <w:rFonts w:eastAsiaTheme="minorEastAsia"/>
          <w:color w:val="000000" w:themeColor="text1"/>
        </w:rPr>
        <w:t xml:space="preserve">utarbeidet </w:t>
      </w:r>
      <w:r w:rsidR="67247331" w:rsidRPr="498DE090">
        <w:rPr>
          <w:rFonts w:eastAsiaTheme="minorEastAsia"/>
          <w:color w:val="000000" w:themeColor="text1"/>
        </w:rPr>
        <w:t xml:space="preserve">en egen evaluering </w:t>
      </w:r>
      <w:r w:rsidR="00591D11">
        <w:rPr>
          <w:rFonts w:eastAsiaTheme="minorEastAsia"/>
          <w:color w:val="000000" w:themeColor="text1"/>
        </w:rPr>
        <w:fldChar w:fldCharType="begin"/>
      </w:r>
      <w:r w:rsidR="00235862">
        <w:rPr>
          <w:rFonts w:eastAsiaTheme="minorEastAsia"/>
          <w:color w:val="000000" w:themeColor="text1"/>
        </w:rPr>
        <w:instrText xml:space="preserve"> ADDIN EN.CITE &lt;EndNote&gt;&lt;Cite&gt;&lt;Author&gt;Helsedirektoratet&lt;/Author&gt;&lt;Year&gt;2023&lt;/Year&gt;&lt;RecNum&gt;1005&lt;/RecNum&gt;&lt;DisplayText&gt;(Helsedirektoratet, 2023f)&lt;/DisplayText&gt;&lt;record&gt;&lt;rec-number&gt;1005&lt;/rec-number&gt;&lt;foreign-keys&gt;&lt;key app="EN" db-id="95tpr2tp6r9xwoea9rb5wdsz5ds5xeddteew" timestamp="1680261773"&gt;1005&lt;/key&gt;&lt;/foreign-keys&gt;&lt;ref-type name="Report"&gt;27&lt;/ref-type&gt;&lt;contributors&gt;&lt;authors&gt;&lt;author&gt;Helsedirektoratet&lt;/author&gt;&lt;/authors&gt;&lt;/contributors&gt;&lt;titles&gt;&lt;title&gt;Pilot legevakt - oppsummering og anbefaling av prosjektet [nettdokument].&lt;/title&gt;&lt;/titles&gt;&lt;dates&gt;&lt;year&gt;2023&lt;/year&gt;&lt;/dates&gt;&lt;publisher&gt;Helsedirektoratet&lt;/publisher&gt;&lt;urls&gt;&lt;/urls&gt;&lt;/record&gt;&lt;/Cite&gt;&lt;/EndNote&gt;</w:instrText>
      </w:r>
      <w:r w:rsidR="00591D11">
        <w:rPr>
          <w:rFonts w:eastAsiaTheme="minorEastAsia"/>
          <w:color w:val="000000" w:themeColor="text1"/>
        </w:rPr>
        <w:fldChar w:fldCharType="separate"/>
      </w:r>
      <w:r w:rsidR="00C32115">
        <w:rPr>
          <w:rFonts w:eastAsiaTheme="minorEastAsia"/>
          <w:noProof/>
          <w:color w:val="000000" w:themeColor="text1"/>
        </w:rPr>
        <w:t>(Helsedirektoratet, 2023f)</w:t>
      </w:r>
      <w:r w:rsidR="00591D11">
        <w:rPr>
          <w:rFonts w:eastAsiaTheme="minorEastAsia"/>
          <w:color w:val="000000" w:themeColor="text1"/>
        </w:rPr>
        <w:fldChar w:fldCharType="end"/>
      </w:r>
      <w:r w:rsidR="67247331" w:rsidRPr="498DE090">
        <w:rPr>
          <w:rFonts w:eastAsiaTheme="minorEastAsia"/>
          <w:color w:val="000000" w:themeColor="text1"/>
        </w:rPr>
        <w:t xml:space="preserve">. </w:t>
      </w:r>
      <w:r w:rsidR="5EBDA0BA" w:rsidRPr="498DE090">
        <w:rPr>
          <w:rFonts w:eastAsiaTheme="minorEastAsia"/>
          <w:color w:val="000000" w:themeColor="text1"/>
        </w:rPr>
        <w:t xml:space="preserve">De </w:t>
      </w:r>
      <w:r w:rsidRPr="498DE090">
        <w:rPr>
          <w:rFonts w:eastAsiaTheme="minorEastAsia"/>
          <w:color w:val="000000" w:themeColor="text1"/>
        </w:rPr>
        <w:t>lokale</w:t>
      </w:r>
      <w:r w:rsidRPr="00D9107F">
        <w:rPr>
          <w:rStyle w:val="kursiv"/>
        </w:rPr>
        <w:t xml:space="preserve"> </w:t>
      </w:r>
      <w:r w:rsidRPr="498DE090">
        <w:rPr>
          <w:rFonts w:eastAsiaTheme="minorEastAsia"/>
          <w:color w:val="000000" w:themeColor="text1"/>
        </w:rPr>
        <w:t>evalueringene som er uført av pilotene</w:t>
      </w:r>
      <w:r w:rsidR="5EBDA0BA" w:rsidRPr="498DE090">
        <w:rPr>
          <w:rFonts w:eastAsiaTheme="minorEastAsia"/>
          <w:color w:val="000000" w:themeColor="text1"/>
        </w:rPr>
        <w:t>,</w:t>
      </w:r>
      <w:r w:rsidRPr="498DE090">
        <w:rPr>
          <w:rFonts w:eastAsiaTheme="minorEastAsia"/>
          <w:color w:val="000000" w:themeColor="text1"/>
        </w:rPr>
        <w:t xml:space="preserve"> viser samlet sett at pasientene, legene og kommunene er fornøyd. Rammen for konsultasjonene er gode nok. Modellen har gitt redusert vaktbelastning og forutsigbar turnus for leger. Sykepleierne på satellittene har fått økt kompetanse</w:t>
      </w:r>
      <w:r w:rsidR="0028536B">
        <w:rPr>
          <w:rFonts w:eastAsiaTheme="minorEastAsia"/>
          <w:color w:val="000000" w:themeColor="text1"/>
        </w:rPr>
        <w:t>,</w:t>
      </w:r>
      <w:r w:rsidRPr="498DE090">
        <w:rPr>
          <w:rFonts w:eastAsiaTheme="minorEastAsia"/>
          <w:color w:val="000000" w:themeColor="text1"/>
        </w:rPr>
        <w:t xml:space="preserve"> og opplever at arbeidshverdagen en mer faglig interessant.</w:t>
      </w:r>
    </w:p>
    <w:p w14:paraId="5BBE36D2" w14:textId="77777777" w:rsidR="00D9107F" w:rsidRDefault="09A51149" w:rsidP="006B0AE5">
      <w:pPr>
        <w:spacing w:line="252" w:lineRule="auto"/>
        <w:jc w:val="both"/>
      </w:pPr>
      <w:r w:rsidRPr="498DE090">
        <w:rPr>
          <w:rFonts w:eastAsiaTheme="minorEastAsia"/>
          <w:color w:val="000000" w:themeColor="text1"/>
        </w:rPr>
        <w:t>I tillegg til videokonsultasjon på satellitt</w:t>
      </w:r>
      <w:r w:rsidR="00744850">
        <w:rPr>
          <w:rFonts w:eastAsiaTheme="minorEastAsia"/>
          <w:color w:val="000000" w:themeColor="text1"/>
        </w:rPr>
        <w:t>,</w:t>
      </w:r>
      <w:r w:rsidRPr="498DE090">
        <w:rPr>
          <w:rFonts w:eastAsiaTheme="minorEastAsia"/>
          <w:color w:val="000000" w:themeColor="text1"/>
        </w:rPr>
        <w:t xml:space="preserve"> har flere tiltak blitt iverksatt. Det brukes video med hjemmetjenesten, i syning av lik ved forventet dødsfall</w:t>
      </w:r>
      <w:r w:rsidR="0028536B">
        <w:rPr>
          <w:rFonts w:eastAsiaTheme="minorEastAsia"/>
          <w:color w:val="000000" w:themeColor="text1"/>
        </w:rPr>
        <w:t>,</w:t>
      </w:r>
      <w:r w:rsidRPr="498DE090">
        <w:rPr>
          <w:rFonts w:eastAsiaTheme="minorEastAsia"/>
          <w:color w:val="000000" w:themeColor="text1"/>
        </w:rPr>
        <w:t xml:space="preserve"> og i samarbeidet med ambulansetjenesten. I en av kommunene rykker sykepleier ut på røde responser.</w:t>
      </w:r>
      <w:r w:rsidR="41BB0DAF" w:rsidRPr="498DE090">
        <w:rPr>
          <w:rFonts w:eastAsiaTheme="minorEastAsia"/>
          <w:color w:val="000000" w:themeColor="text1"/>
        </w:rPr>
        <w:t xml:space="preserve"> I sin evaluering </w:t>
      </w:r>
      <w:r w:rsidR="3C6CCC0E" w:rsidRPr="498DE090">
        <w:rPr>
          <w:rFonts w:eastAsiaTheme="minorEastAsia"/>
          <w:color w:val="000000" w:themeColor="text1"/>
        </w:rPr>
        <w:lastRenderedPageBreak/>
        <w:t>trekker</w:t>
      </w:r>
      <w:r w:rsidR="41BB0DAF" w:rsidRPr="498DE090">
        <w:rPr>
          <w:rFonts w:eastAsiaTheme="minorEastAsia"/>
          <w:color w:val="000000" w:themeColor="text1"/>
        </w:rPr>
        <w:t xml:space="preserve"> NKLM</w:t>
      </w:r>
      <w:r w:rsidR="3C6CCC0E" w:rsidRPr="498DE090">
        <w:rPr>
          <w:rFonts w:eastAsiaTheme="minorEastAsia"/>
          <w:color w:val="000000" w:themeColor="text1"/>
        </w:rPr>
        <w:t xml:space="preserve"> fram høye kostnader ved ordningen</w:t>
      </w:r>
      <w:r w:rsidR="0028536B">
        <w:rPr>
          <w:rFonts w:eastAsiaTheme="minorEastAsia"/>
          <w:color w:val="000000" w:themeColor="text1"/>
        </w:rPr>
        <w:t>,</w:t>
      </w:r>
      <w:r w:rsidR="3C6CCC0E" w:rsidRPr="498DE090">
        <w:rPr>
          <w:rFonts w:eastAsiaTheme="minorEastAsia"/>
          <w:color w:val="000000" w:themeColor="text1"/>
        </w:rPr>
        <w:t xml:space="preserve"> og </w:t>
      </w:r>
      <w:r w:rsidR="17C567F0" w:rsidRPr="498DE090">
        <w:rPr>
          <w:rFonts w:eastAsiaTheme="minorEastAsia"/>
          <w:color w:val="000000" w:themeColor="text1"/>
        </w:rPr>
        <w:t>et b</w:t>
      </w:r>
      <w:r w:rsidRPr="4882005F">
        <w:t>etydelig fall i sykebesøk og utrykninger i Molde-regionen</w:t>
      </w:r>
      <w:r w:rsidR="0028536B">
        <w:t>,</w:t>
      </w:r>
      <w:r w:rsidRPr="4882005F">
        <w:t xml:space="preserve"> som </w:t>
      </w:r>
      <w:r w:rsidR="17C567F0" w:rsidRPr="4882005F">
        <w:t>negative følger av f</w:t>
      </w:r>
      <w:r w:rsidR="61E3D8E0" w:rsidRPr="4882005F">
        <w:t xml:space="preserve">orsøket. </w:t>
      </w:r>
      <w:r w:rsidRPr="4882005F">
        <w:t>Helsedirektoratets</w:t>
      </w:r>
      <w:r w:rsidR="4384433E" w:rsidRPr="4882005F">
        <w:t xml:space="preserve"> </w:t>
      </w:r>
      <w:r w:rsidR="61E3D8E0" w:rsidRPr="4882005F">
        <w:t xml:space="preserve">vurdering </w:t>
      </w:r>
      <w:r w:rsidR="4384433E" w:rsidRPr="4882005F">
        <w:t>er at erfaringene</w:t>
      </w:r>
      <w:r w:rsidRPr="4882005F">
        <w:t xml:space="preserve"> so</w:t>
      </w:r>
      <w:r>
        <w:t>m er gjort i pilot</w:t>
      </w:r>
      <w:r w:rsidR="4384433E">
        <w:t>ene</w:t>
      </w:r>
      <w:r w:rsidR="24A37EE3">
        <w:t>,</w:t>
      </w:r>
      <w:r>
        <w:t xml:space="preserve"> viser at konsultasjonsformen er god nok, med tilfredsstillende kvalitet</w:t>
      </w:r>
      <w:r w:rsidR="0028536B">
        <w:t>,</w:t>
      </w:r>
      <w:r>
        <w:t xml:space="preserve"> og at pasienter blir henvist til riktig nivå for videre vurdering og behandling</w:t>
      </w:r>
      <w:r w:rsidR="0049319A">
        <w:t xml:space="preserve"> </w:t>
      </w:r>
      <w:r w:rsidR="00EF59B6">
        <w:fldChar w:fldCharType="begin"/>
      </w:r>
      <w:r w:rsidR="00235862">
        <w:instrText xml:space="preserve"> ADDIN EN.CITE &lt;EndNote&gt;&lt;Cite&gt;&lt;Author&gt;Helsedirektoratet&lt;/Author&gt;&lt;Year&gt;2023&lt;/Year&gt;&lt;RecNum&gt;1005&lt;/RecNum&gt;&lt;DisplayText&gt;(Helsedirektoratet, 2023f)&lt;/DisplayText&gt;&lt;record&gt;&lt;rec-number&gt;1005&lt;/rec-number&gt;&lt;foreign-keys&gt;&lt;key app="EN" db-id="95tpr2tp6r9xwoea9rb5wdsz5ds5xeddteew" timestamp="1680261773"&gt;1005&lt;/key&gt;&lt;/foreign-keys&gt;&lt;ref-type name="Report"&gt;27&lt;/ref-type&gt;&lt;contributors&gt;&lt;authors&gt;&lt;author&gt;Helsedirektoratet&lt;/author&gt;&lt;/authors&gt;&lt;/contributors&gt;&lt;titles&gt;&lt;title&gt;Pilot legevakt - oppsummering og anbefaling av prosjektet [nettdokument].&lt;/title&gt;&lt;/titles&gt;&lt;dates&gt;&lt;year&gt;2023&lt;/year&gt;&lt;/dates&gt;&lt;publisher&gt;Helsedirektoratet&lt;/publisher&gt;&lt;urls&gt;&lt;/urls&gt;&lt;/record&gt;&lt;/Cite&gt;&lt;/EndNote&gt;</w:instrText>
      </w:r>
      <w:r w:rsidR="00EF59B6">
        <w:fldChar w:fldCharType="separate"/>
      </w:r>
      <w:r w:rsidR="00C32115">
        <w:rPr>
          <w:noProof/>
        </w:rPr>
        <w:t>(Helsedirektoratet, 2023f)</w:t>
      </w:r>
      <w:r w:rsidR="00EF59B6">
        <w:fldChar w:fldCharType="end"/>
      </w:r>
      <w:r>
        <w:t xml:space="preserve">. </w:t>
      </w:r>
      <w:r w:rsidR="4E3EDBB5">
        <w:t>Samtlige e</w:t>
      </w:r>
      <w:r>
        <w:t>valueringe</w:t>
      </w:r>
      <w:r w:rsidR="4E3EDBB5">
        <w:t>r</w:t>
      </w:r>
      <w:r>
        <w:t xml:space="preserve"> som er utført</w:t>
      </w:r>
      <w:r w:rsidR="1D8201E9">
        <w:t>,</w:t>
      </w:r>
      <w:r>
        <w:t xml:space="preserve"> er samstemte om dette.</w:t>
      </w:r>
    </w:p>
    <w:p w14:paraId="518CBA01" w14:textId="5155983D" w:rsidR="00731EAE" w:rsidRDefault="2A912F72" w:rsidP="00775632">
      <w:pPr>
        <w:pStyle w:val="Overskrift4"/>
      </w:pPr>
      <w:bookmarkStart w:id="4206" w:name="_Toc125440588"/>
      <w:bookmarkStart w:id="4207" w:name="_Toc127633300"/>
      <w:bookmarkStart w:id="4208" w:name="_Toc127864585"/>
      <w:bookmarkStart w:id="4209" w:name="_Toc128238598"/>
      <w:bookmarkStart w:id="4210" w:name="_Toc128467428"/>
      <w:bookmarkStart w:id="4211" w:name="_Toc128744676"/>
      <w:bookmarkStart w:id="4212" w:name="_Toc128744895"/>
      <w:bookmarkStart w:id="4213" w:name="_Toc129630398"/>
      <w:bookmarkStart w:id="4214" w:name="_Toc130763908"/>
      <w:bookmarkStart w:id="4215" w:name="_Toc130766803"/>
      <w:bookmarkStart w:id="4216" w:name="_Toc130932202"/>
      <w:bookmarkStart w:id="4217" w:name="_Toc130934493"/>
      <w:bookmarkStart w:id="4218" w:name="_Toc130983626"/>
      <w:bookmarkStart w:id="4219" w:name="_Toc130983975"/>
      <w:bookmarkStart w:id="4220" w:name="_Toc131062243"/>
      <w:bookmarkStart w:id="4221" w:name="_Toc131062497"/>
      <w:bookmarkStart w:id="4222" w:name="_Toc131062758"/>
      <w:bookmarkStart w:id="4223" w:name="_Toc131063011"/>
      <w:bookmarkStart w:id="4224" w:name="_Toc131063794"/>
      <w:bookmarkStart w:id="4225" w:name="_Toc131064205"/>
      <w:bookmarkStart w:id="4226" w:name="_Toc131238541"/>
      <w:bookmarkStart w:id="4227" w:name="_Toc131279573"/>
      <w:bookmarkStart w:id="4228" w:name="_Toc131286985"/>
      <w:bookmarkStart w:id="4229" w:name="_Toc131281395"/>
      <w:bookmarkStart w:id="4230" w:name="_Toc131317935"/>
      <w:r>
        <w:t>Rørosmodellen</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1EC88B16" w14:textId="4A058B2B" w:rsidR="00731EAE" w:rsidRDefault="00731EAE" w:rsidP="006D77ED">
      <w:pPr>
        <w:spacing w:line="252" w:lineRule="auto"/>
        <w:jc w:val="both"/>
        <w:rPr>
          <w:rFonts w:eastAsiaTheme="minorEastAsia"/>
          <w:color w:val="000000" w:themeColor="text1"/>
        </w:rPr>
      </w:pPr>
      <w:r>
        <w:rPr>
          <w:rFonts w:eastAsiaTheme="minorEastAsia"/>
          <w:color w:val="000000" w:themeColor="text1"/>
        </w:rPr>
        <w:t>På Røros har det blitt gjennomført et samarbeidsprosjekt mellom kommunen og spesialisthelsetjenesten</w:t>
      </w:r>
      <w:r w:rsidR="0028536B">
        <w:rPr>
          <w:rFonts w:eastAsiaTheme="minorEastAsia"/>
          <w:color w:val="000000" w:themeColor="text1"/>
        </w:rPr>
        <w:t>,</w:t>
      </w:r>
      <w:r>
        <w:rPr>
          <w:rFonts w:eastAsiaTheme="minorEastAsia"/>
          <w:color w:val="000000" w:themeColor="text1"/>
        </w:rPr>
        <w:t xml:space="preserve"> som ble avsluttet våren 2022 med </w:t>
      </w:r>
      <w:r w:rsidR="00EF5BAF">
        <w:rPr>
          <w:rFonts w:eastAsiaTheme="minorEastAsia"/>
          <w:color w:val="000000" w:themeColor="text1"/>
        </w:rPr>
        <w:t xml:space="preserve">en </w:t>
      </w:r>
      <w:r>
        <w:rPr>
          <w:rFonts w:eastAsiaTheme="minorEastAsia"/>
          <w:color w:val="000000" w:themeColor="text1"/>
        </w:rPr>
        <w:t>erfaringskonferanse. Det prøves ut nye arbeidsprosesser og nye måter å samarbeide på. I dette prosjektet deles en ambulanseressurs mellom helseforetaket og kommunen, hvor ambulansepersonellet yter kommunale helsetjenester når de ikke er opptatt med ambulanseoppdrag. Disse kommunale tjenestene kan være sykebesøk, planlagte samtaler, blodprøvetaking mm.</w:t>
      </w:r>
    </w:p>
    <w:p w14:paraId="0E8C92DA" w14:textId="711D7533" w:rsidR="00731EAE" w:rsidRDefault="3F62C1A2" w:rsidP="006D77ED">
      <w:pPr>
        <w:spacing w:line="252" w:lineRule="auto"/>
        <w:jc w:val="both"/>
        <w:rPr>
          <w:rFonts w:eastAsiaTheme="minorEastAsia"/>
        </w:rPr>
      </w:pPr>
      <w:r w:rsidRPr="498DE090">
        <w:rPr>
          <w:rFonts w:eastAsiaTheme="minorEastAsia"/>
          <w:color w:val="000000" w:themeColor="text1"/>
        </w:rPr>
        <w:t>Tilbakemeldingene er at modellen oppleves nyttig for både fastleger og legevaktsleger. Ambulanseberedskapen har</w:t>
      </w:r>
      <w:r w:rsidR="0028536B">
        <w:rPr>
          <w:rFonts w:eastAsiaTheme="minorEastAsia"/>
          <w:color w:val="000000" w:themeColor="text1"/>
        </w:rPr>
        <w:t>,</w:t>
      </w:r>
      <w:r w:rsidRPr="498DE090">
        <w:rPr>
          <w:rFonts w:eastAsiaTheme="minorEastAsia"/>
          <w:color w:val="000000" w:themeColor="text1"/>
        </w:rPr>
        <w:t xml:space="preserve"> ifølge evalueringen</w:t>
      </w:r>
      <w:r w:rsidR="0028536B">
        <w:rPr>
          <w:rFonts w:eastAsiaTheme="minorEastAsia"/>
          <w:color w:val="000000" w:themeColor="text1"/>
        </w:rPr>
        <w:t>,</w:t>
      </w:r>
      <w:r w:rsidRPr="498DE090">
        <w:rPr>
          <w:rFonts w:eastAsiaTheme="minorEastAsia"/>
          <w:color w:val="000000" w:themeColor="text1"/>
        </w:rPr>
        <w:t xml:space="preserve"> ikke blitt dårligere. Modellen bidrar videre til et utstrakt samarbeid mellom legevakt og ambulansetjenesten</w:t>
      </w:r>
      <w:r w:rsidR="0028536B">
        <w:rPr>
          <w:rFonts w:eastAsiaTheme="minorEastAsia"/>
          <w:color w:val="000000" w:themeColor="text1"/>
        </w:rPr>
        <w:t>,</w:t>
      </w:r>
      <w:r w:rsidRPr="498DE090">
        <w:rPr>
          <w:rFonts w:eastAsiaTheme="minorEastAsia"/>
          <w:color w:val="000000" w:themeColor="text1"/>
        </w:rPr>
        <w:t xml:space="preserve"> som er nyttig også i det øvrige arbeidet. Tjenesten finansieres av </w:t>
      </w:r>
      <w:r w:rsidR="00385D86">
        <w:rPr>
          <w:rFonts w:eastAsiaTheme="minorEastAsia"/>
          <w:color w:val="000000" w:themeColor="text1"/>
        </w:rPr>
        <w:t>h</w:t>
      </w:r>
      <w:r w:rsidR="00385D86" w:rsidRPr="498DE090">
        <w:rPr>
          <w:rFonts w:eastAsiaTheme="minorEastAsia"/>
          <w:color w:val="000000" w:themeColor="text1"/>
        </w:rPr>
        <w:t>elseforetaket</w:t>
      </w:r>
      <w:r w:rsidRPr="498DE090">
        <w:rPr>
          <w:rFonts w:eastAsiaTheme="minorEastAsia"/>
          <w:color w:val="000000" w:themeColor="text1"/>
        </w:rPr>
        <w:t xml:space="preserve">, men medfører lite ekstrautgifter, kun de timene som de kommunale aktørene bruker til planlegging og møteaktivitet. For kommunen har prosjektet vært lønnsomt, også siden </w:t>
      </w:r>
      <w:r w:rsidR="12C9008A" w:rsidRPr="498DE090">
        <w:rPr>
          <w:rFonts w:eastAsiaTheme="minorEastAsia"/>
          <w:color w:val="000000" w:themeColor="text1"/>
        </w:rPr>
        <w:t>ambulansemedarbeider</w:t>
      </w:r>
      <w:r w:rsidRPr="498DE090">
        <w:rPr>
          <w:rFonts w:eastAsiaTheme="minorEastAsia"/>
          <w:color w:val="000000" w:themeColor="text1"/>
        </w:rPr>
        <w:t xml:space="preserve"> utfører oppgaver som er </w:t>
      </w:r>
      <w:r w:rsidR="6B0DCD84" w:rsidRPr="498DE090">
        <w:rPr>
          <w:rFonts w:eastAsiaTheme="minorEastAsia"/>
          <w:color w:val="000000" w:themeColor="text1"/>
        </w:rPr>
        <w:t>kommunens ansvar.</w:t>
      </w:r>
      <w:r w:rsidRPr="498DE090">
        <w:rPr>
          <w:rFonts w:eastAsiaTheme="minorEastAsia"/>
          <w:color w:val="000000" w:themeColor="text1"/>
        </w:rPr>
        <w:t xml:space="preserve"> Helseforetaket har dekket alle utgifter </w:t>
      </w:r>
      <w:r w:rsidR="00F80432">
        <w:rPr>
          <w:rFonts w:eastAsiaTheme="minorEastAsia"/>
          <w:color w:val="000000" w:themeColor="text1"/>
        </w:rPr>
        <w:t>for ambulanseressursen</w:t>
      </w:r>
      <w:r w:rsidR="764EE681" w:rsidRPr="498DE090">
        <w:rPr>
          <w:rFonts w:eastAsiaTheme="minorEastAsia"/>
          <w:color w:val="000000" w:themeColor="text1"/>
        </w:rPr>
        <w:t xml:space="preserve"> </w:t>
      </w:r>
      <w:r w:rsidR="00540F95">
        <w:rPr>
          <w:rFonts w:eastAsiaTheme="minorEastAsia"/>
          <w:color w:val="000000" w:themeColor="text1"/>
        </w:rPr>
        <w:fldChar w:fldCharType="begin"/>
      </w:r>
      <w:r w:rsidR="00A27571">
        <w:rPr>
          <w:rFonts w:eastAsiaTheme="minorEastAsia"/>
          <w:color w:val="000000" w:themeColor="text1"/>
        </w:rPr>
        <w:instrText xml:space="preserve"> ADDIN EN.CITE &lt;EndNote&gt;&lt;Cite&gt;&lt;Author&gt;Gjøsund&lt;/Author&gt;&lt;Year&gt;2020&lt;/Year&gt;&lt;RecNum&gt;431&lt;/RecNum&gt;&lt;DisplayText&gt;(Gjøsund et al., 2020)&lt;/DisplayText&gt;&lt;record&gt;&lt;rec-number&gt;431&lt;/rec-number&gt;&lt;foreign-keys&gt;&lt;key app="EN" db-id="95tpr2tp6r9xwoea9rb5wdsz5ds5xeddteew" timestamp="1680069511"&gt;431&lt;/key&gt;&lt;/foreign-keys&gt;&lt;ref-type name="Report"&gt;27&lt;/ref-type&gt;&lt;contributors&gt;&lt;authors&gt;&lt;author&gt;Gjøsund, G.,&lt;/author&gt;&lt;author&gt;Tilset, H. D.&lt;/author&gt;&lt;/authors&gt;&lt;/contributors&gt;&lt;titles&gt;&lt;title&gt;Kvalitativ evaluering av Rørosprosjektet - en mobil integrert helsetjeneste&lt;/title&gt;&lt;/titles&gt;&lt;dates&gt;&lt;year&gt;2020&lt;/year&gt;&lt;/dates&gt;&lt;pub-location&gt;Trondheim&lt;/pub-location&gt;&lt;publisher&gt;NTNU Samfunnsforskning&lt;/publisher&gt;&lt;urls&gt;&lt;/urls&gt;&lt;/record&gt;&lt;/Cite&gt;&lt;/EndNote&gt;</w:instrText>
      </w:r>
      <w:r w:rsidR="00540F95">
        <w:rPr>
          <w:rFonts w:eastAsiaTheme="minorEastAsia"/>
          <w:color w:val="000000" w:themeColor="text1"/>
        </w:rPr>
        <w:fldChar w:fldCharType="separate"/>
      </w:r>
      <w:r w:rsidR="00856689">
        <w:rPr>
          <w:rFonts w:eastAsiaTheme="minorEastAsia"/>
          <w:noProof/>
          <w:color w:val="000000" w:themeColor="text1"/>
        </w:rPr>
        <w:t>(Gjøsund et al., 2020)</w:t>
      </w:r>
      <w:r w:rsidR="00540F95">
        <w:rPr>
          <w:rFonts w:eastAsiaTheme="minorEastAsia"/>
          <w:color w:val="000000" w:themeColor="text1"/>
        </w:rPr>
        <w:fldChar w:fldCharType="end"/>
      </w:r>
      <w:r w:rsidR="00A82CDF">
        <w:rPr>
          <w:rFonts w:eastAsiaTheme="minorEastAsia"/>
          <w:color w:val="000000" w:themeColor="text1"/>
        </w:rPr>
        <w:t>.</w:t>
      </w:r>
    </w:p>
    <w:p w14:paraId="41EA7017" w14:textId="3F68C417" w:rsidR="00731EAE" w:rsidRDefault="2A912F72" w:rsidP="00775632">
      <w:pPr>
        <w:pStyle w:val="Overskrift4"/>
        <w:rPr>
          <w:rFonts w:eastAsiaTheme="majorEastAsia"/>
        </w:rPr>
      </w:pPr>
      <w:bookmarkStart w:id="4231" w:name="_Toc125440589"/>
      <w:bookmarkStart w:id="4232" w:name="_Toc127633301"/>
      <w:bookmarkStart w:id="4233" w:name="_Toc127864586"/>
      <w:bookmarkStart w:id="4234" w:name="_Toc128238599"/>
      <w:bookmarkStart w:id="4235" w:name="_Toc128467429"/>
      <w:bookmarkStart w:id="4236" w:name="_Toc128744677"/>
      <w:bookmarkStart w:id="4237" w:name="_Toc128744896"/>
      <w:bookmarkStart w:id="4238" w:name="_Toc129630399"/>
      <w:bookmarkStart w:id="4239" w:name="_Toc130763909"/>
      <w:bookmarkStart w:id="4240" w:name="_Toc130766804"/>
      <w:bookmarkStart w:id="4241" w:name="_Toc130932203"/>
      <w:bookmarkStart w:id="4242" w:name="_Toc130934494"/>
      <w:bookmarkStart w:id="4243" w:name="_Toc130983627"/>
      <w:bookmarkStart w:id="4244" w:name="_Toc130983976"/>
      <w:bookmarkStart w:id="4245" w:name="_Toc131062244"/>
      <w:bookmarkStart w:id="4246" w:name="_Toc131062498"/>
      <w:bookmarkStart w:id="4247" w:name="_Toc131062759"/>
      <w:bookmarkStart w:id="4248" w:name="_Toc131063012"/>
      <w:bookmarkStart w:id="4249" w:name="_Toc131063795"/>
      <w:bookmarkStart w:id="4250" w:name="_Toc131064206"/>
      <w:bookmarkStart w:id="4251" w:name="_Toc131238542"/>
      <w:bookmarkStart w:id="4252" w:name="_Toc131279574"/>
      <w:bookmarkStart w:id="4253" w:name="_Toc131286986"/>
      <w:bookmarkStart w:id="4254" w:name="_Toc131281396"/>
      <w:bookmarkStart w:id="4255" w:name="_Toc131317936"/>
      <w:r>
        <w:t>Akuttkjeden Telemark</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59DAF35A" w14:textId="168066F2" w:rsidR="00731EAE" w:rsidRDefault="00731EAE" w:rsidP="006D77ED">
      <w:pPr>
        <w:jc w:val="both"/>
        <w:rPr>
          <w:rFonts w:eastAsiaTheme="minorEastAsia" w:cstheme="minorHAnsi"/>
          <w:color w:val="000000" w:themeColor="text1"/>
        </w:rPr>
      </w:pPr>
      <w:r>
        <w:rPr>
          <w:rFonts w:eastAsiaTheme="minorEastAsia" w:cstheme="minorHAnsi"/>
          <w:color w:val="000000" w:themeColor="text1"/>
        </w:rPr>
        <w:t>Akuttkjedeprosjektet ble gjennomført i perioden 2016</w:t>
      </w:r>
      <w:r w:rsidR="0028536B">
        <w:rPr>
          <w:rFonts w:eastAsiaTheme="minorEastAsia" w:cstheme="minorHAnsi"/>
          <w:color w:val="000000" w:themeColor="text1"/>
        </w:rPr>
        <w:t>–</w:t>
      </w:r>
      <w:r>
        <w:rPr>
          <w:rFonts w:eastAsiaTheme="minorEastAsia" w:cstheme="minorHAnsi"/>
          <w:color w:val="000000" w:themeColor="text1"/>
        </w:rPr>
        <w:t>2020</w:t>
      </w:r>
      <w:r w:rsidR="0028536B">
        <w:rPr>
          <w:rFonts w:eastAsiaTheme="minorEastAsia" w:cstheme="minorHAnsi"/>
          <w:color w:val="000000" w:themeColor="text1"/>
        </w:rPr>
        <w:t>,</w:t>
      </w:r>
      <w:r>
        <w:rPr>
          <w:rFonts w:eastAsiaTheme="minorEastAsia" w:cstheme="minorHAnsi"/>
          <w:color w:val="000000" w:themeColor="text1"/>
        </w:rPr>
        <w:t xml:space="preserve"> og var et samhandlingsprosjekt mellom Sykehuset Telemark og kommunene. Målet var å styrke den akutte helsetjenesten</w:t>
      </w:r>
      <w:r w:rsidR="0028536B">
        <w:rPr>
          <w:rFonts w:eastAsiaTheme="minorEastAsia" w:cstheme="minorHAnsi"/>
          <w:color w:val="000000" w:themeColor="text1"/>
        </w:rPr>
        <w:t>,</w:t>
      </w:r>
      <w:r>
        <w:rPr>
          <w:rFonts w:eastAsiaTheme="minorEastAsia" w:cstheme="minorHAnsi"/>
          <w:color w:val="000000" w:themeColor="text1"/>
        </w:rPr>
        <w:t xml:space="preserve"> og ambisjonen var å skape Norges beste akuttkjede. I prosjektet er akuttkjeden definert fra et akutt symptom oppstår til pasienten er inne på rett behandlingssted.</w:t>
      </w:r>
    </w:p>
    <w:p w14:paraId="14F1A201" w14:textId="77777777" w:rsidR="00D9107F" w:rsidRDefault="00731EAE" w:rsidP="006D77ED">
      <w:pPr>
        <w:jc w:val="both"/>
        <w:rPr>
          <w:rFonts w:eastAsiaTheme="minorEastAsia" w:cstheme="minorHAnsi"/>
          <w:color w:val="000000" w:themeColor="text1"/>
        </w:rPr>
      </w:pPr>
      <w:r>
        <w:rPr>
          <w:rFonts w:eastAsiaTheme="minorEastAsia" w:cstheme="minorHAnsi"/>
          <w:color w:val="000000" w:themeColor="text1"/>
        </w:rPr>
        <w:t>Prosjektet har bestått av deltakere fra alle aktørene i akuttkjeden. Ambulansetjenesten, AMK, akuttmottak, legevakt, fastleger og kommunal hjemmetjeneste har vært representert.</w:t>
      </w:r>
    </w:p>
    <w:p w14:paraId="5DCEAB08" w14:textId="4BE46B35" w:rsidR="00731EAE" w:rsidRDefault="00731EAE" w:rsidP="006D77ED">
      <w:pPr>
        <w:jc w:val="both"/>
        <w:rPr>
          <w:rFonts w:eastAsiaTheme="minorEastAsia" w:cstheme="minorHAnsi"/>
          <w:color w:val="000000" w:themeColor="text1"/>
        </w:rPr>
      </w:pPr>
      <w:r>
        <w:rPr>
          <w:rFonts w:eastAsiaTheme="minorEastAsia" w:cstheme="minorHAnsi"/>
          <w:color w:val="000000" w:themeColor="text1"/>
        </w:rPr>
        <w:t>Sentralt i prosjektet har vært å etablere et felles virkelighetsbilde</w:t>
      </w:r>
      <w:r w:rsidR="0028536B">
        <w:rPr>
          <w:rFonts w:eastAsiaTheme="minorEastAsia" w:cstheme="minorHAnsi"/>
          <w:color w:val="000000" w:themeColor="text1"/>
        </w:rPr>
        <w:t>,</w:t>
      </w:r>
      <w:r>
        <w:rPr>
          <w:rFonts w:eastAsiaTheme="minorEastAsia" w:cstheme="minorHAnsi"/>
          <w:color w:val="000000" w:themeColor="text1"/>
        </w:rPr>
        <w:t xml:space="preserve"> og mål for alle aktørene i akuttkjeden. </w:t>
      </w:r>
      <w:r w:rsidR="00CA575F">
        <w:rPr>
          <w:rFonts w:eastAsiaTheme="minorEastAsia" w:cstheme="minorHAnsi"/>
          <w:color w:val="000000" w:themeColor="text1"/>
        </w:rPr>
        <w:t>Det er gjennomført flere tiltak</w:t>
      </w:r>
      <w:r w:rsidR="0028536B">
        <w:rPr>
          <w:rFonts w:eastAsiaTheme="minorEastAsia" w:cstheme="minorHAnsi"/>
          <w:color w:val="000000" w:themeColor="text1"/>
        </w:rPr>
        <w:t>,</w:t>
      </w:r>
      <w:r w:rsidR="00CA575F">
        <w:rPr>
          <w:rFonts w:eastAsiaTheme="minorEastAsia" w:cstheme="minorHAnsi"/>
          <w:color w:val="000000" w:themeColor="text1"/>
        </w:rPr>
        <w:t xml:space="preserve"> og utviklet en rekke beslutnings- og støtteverktøy, som f</w:t>
      </w:r>
      <w:r w:rsidR="00CA575F" w:rsidRPr="00B7494E">
        <w:rPr>
          <w:rFonts w:cstheme="minorHAnsi"/>
          <w:color w:val="000000" w:themeColor="text1"/>
        </w:rPr>
        <w:t>lytskjema for definerte pasientforlø</w:t>
      </w:r>
      <w:r w:rsidR="00CA575F">
        <w:rPr>
          <w:rFonts w:cstheme="minorHAnsi"/>
          <w:color w:val="000000" w:themeColor="text1"/>
        </w:rPr>
        <w:t>p, o</w:t>
      </w:r>
      <w:r w:rsidR="00CA575F" w:rsidRPr="00B7494E">
        <w:rPr>
          <w:rFonts w:cstheme="minorHAnsi"/>
          <w:color w:val="000000" w:themeColor="text1"/>
        </w:rPr>
        <w:t>bservasjonsskjema som følger pasienten gjennom hele forløpet</w:t>
      </w:r>
      <w:r w:rsidR="00CA575F">
        <w:rPr>
          <w:rFonts w:cstheme="minorHAnsi"/>
          <w:color w:val="000000" w:themeColor="text1"/>
        </w:rPr>
        <w:t>, tiltakskort og egen app for alle aktører i kjeden.</w:t>
      </w:r>
    </w:p>
    <w:p w14:paraId="5C8440A6" w14:textId="69060EAD" w:rsidR="00CA575F" w:rsidRDefault="6B0DCD84" w:rsidP="006D77ED">
      <w:pPr>
        <w:jc w:val="both"/>
        <w:rPr>
          <w:rFonts w:eastAsiaTheme="minorEastAsia"/>
          <w:color w:val="000000" w:themeColor="text1"/>
        </w:rPr>
      </w:pPr>
      <w:r w:rsidRPr="498DE090">
        <w:rPr>
          <w:rFonts w:eastAsiaTheme="minorEastAsia"/>
          <w:color w:val="000000" w:themeColor="text1"/>
        </w:rPr>
        <w:t xml:space="preserve">Prosjektet rapporterer at arbeidet har styrket kvaliteten og pasientsikkerheten i den akutte helsetjenesten, og det har bidratt til å sikre pasientene rett behandling på rett </w:t>
      </w:r>
      <w:r w:rsidR="00C83246" w:rsidRPr="498DE090">
        <w:rPr>
          <w:rFonts w:eastAsiaTheme="minorEastAsia"/>
          <w:color w:val="000000" w:themeColor="text1"/>
        </w:rPr>
        <w:t>nivå.</w:t>
      </w:r>
      <w:r w:rsidRPr="007C2438">
        <w:rPr>
          <w:rFonts w:eastAsiaTheme="minorEastAsia"/>
          <w:color w:val="000000" w:themeColor="text1"/>
        </w:rPr>
        <w:t xml:space="preserve"> Samhandlingen</w:t>
      </w:r>
      <w:r w:rsidRPr="498DE090">
        <w:rPr>
          <w:rFonts w:eastAsiaTheme="minorEastAsia"/>
          <w:color w:val="000000" w:themeColor="text1"/>
        </w:rPr>
        <w:t xml:space="preserve"> og tilliten mellom sykehuset og kommunene har også blitt styrket</w:t>
      </w:r>
      <w:r w:rsidR="00127827">
        <w:rPr>
          <w:rFonts w:eastAsiaTheme="minorEastAsia"/>
          <w:color w:val="000000" w:themeColor="text1"/>
        </w:rPr>
        <w:t xml:space="preserve"> </w:t>
      </w:r>
      <w:r w:rsidR="00774009">
        <w:rPr>
          <w:rFonts w:eastAsiaTheme="minorEastAsia"/>
          <w:color w:val="000000" w:themeColor="text1"/>
        </w:rPr>
        <w:fldChar w:fldCharType="begin"/>
      </w:r>
      <w:r w:rsidR="00774009">
        <w:rPr>
          <w:rFonts w:eastAsiaTheme="minorEastAsia"/>
          <w:color w:val="000000" w:themeColor="text1"/>
        </w:rPr>
        <w:instrText xml:space="preserve"> ADDIN EN.CITE &lt;EndNote&gt;&lt;Cite&gt;&lt;Author&gt;Sykehuset Telemark&lt;/Author&gt;&lt;Year&gt;2020&lt;/Year&gt;&lt;RecNum&gt;1031&lt;/RecNum&gt;&lt;DisplayText&gt;(Sykehuset Telemark, 2020)&lt;/DisplayText&gt;&lt;record&gt;&lt;rec-number&gt;1031&lt;/rec-number&gt;&lt;foreign-keys&gt;&lt;key app="EN" db-id="95tpr2tp6r9xwoea9rb5wdsz5ds5xeddteew" timestamp="1681249334"&gt;1031&lt;/key&gt;&lt;/foreign-keys&gt;&lt;ref-type name="Report"&gt;27&lt;/ref-type&gt;&lt;contributors&gt;&lt;authors&gt;&lt;author&gt;Sykehuset Telemark,&lt;/author&gt;&lt;/authors&gt;&lt;/contributors&gt;&lt;titles&gt;&lt;title&gt;Akuttkjeden Telemark. Akuttkjedeprosjektet 2016-2020. Sluttrapport.&lt;/title&gt;&lt;/titles&gt;&lt;dates&gt;&lt;year&gt;2020&lt;/year&gt;&lt;/dates&gt;&lt;pub-location&gt;Skien&lt;/pub-location&gt;&lt;publisher&gt;Sykehuset Telemark&lt;/publisher&gt;&lt;urls&gt;&lt;/urls&gt;&lt;/record&gt;&lt;/Cite&gt;&lt;/EndNote&gt;</w:instrText>
      </w:r>
      <w:r w:rsidR="00774009">
        <w:rPr>
          <w:rFonts w:eastAsiaTheme="minorEastAsia"/>
          <w:color w:val="000000" w:themeColor="text1"/>
        </w:rPr>
        <w:fldChar w:fldCharType="separate"/>
      </w:r>
      <w:r w:rsidR="00774009">
        <w:rPr>
          <w:rFonts w:eastAsiaTheme="minorEastAsia"/>
          <w:noProof/>
          <w:color w:val="000000" w:themeColor="text1"/>
        </w:rPr>
        <w:t>(Sykehuset Telemark, 2020)</w:t>
      </w:r>
      <w:r w:rsidR="00774009">
        <w:rPr>
          <w:rFonts w:eastAsiaTheme="minorEastAsia"/>
          <w:color w:val="000000" w:themeColor="text1"/>
        </w:rPr>
        <w:fldChar w:fldCharType="end"/>
      </w:r>
      <w:r w:rsidRPr="498DE090">
        <w:rPr>
          <w:rFonts w:eastAsiaTheme="minorEastAsia"/>
          <w:color w:val="000000" w:themeColor="text1"/>
        </w:rPr>
        <w:t>.</w:t>
      </w:r>
    </w:p>
    <w:p w14:paraId="1B255056" w14:textId="0C00A2AB" w:rsidR="00731EAE" w:rsidRPr="00443049" w:rsidRDefault="2A912F72" w:rsidP="00775632">
      <w:pPr>
        <w:pStyle w:val="Overskrift4"/>
        <w:rPr>
          <w:rStyle w:val="Overskrift3Tegn"/>
          <w:b w:val="0"/>
          <w:color w:val="2A3652"/>
          <w:szCs w:val="28"/>
        </w:rPr>
      </w:pPr>
      <w:bookmarkStart w:id="4256" w:name="_Toc125440586"/>
      <w:bookmarkStart w:id="4257" w:name="_Toc127633302"/>
      <w:bookmarkStart w:id="4258" w:name="_Toc127864587"/>
      <w:bookmarkStart w:id="4259" w:name="_Toc128238600"/>
      <w:bookmarkStart w:id="4260" w:name="_Toc128467430"/>
      <w:bookmarkStart w:id="4261" w:name="_Toc128744678"/>
      <w:bookmarkStart w:id="4262" w:name="_Toc128744897"/>
      <w:bookmarkStart w:id="4263" w:name="_Ref129430769"/>
      <w:bookmarkStart w:id="4264" w:name="_Toc129630400"/>
      <w:bookmarkStart w:id="4265" w:name="_Toc130763910"/>
      <w:bookmarkStart w:id="4266" w:name="_Toc130766805"/>
      <w:bookmarkStart w:id="4267" w:name="_Toc130932204"/>
      <w:bookmarkStart w:id="4268" w:name="_Toc130934495"/>
      <w:bookmarkStart w:id="4269" w:name="_Toc130983628"/>
      <w:bookmarkStart w:id="4270" w:name="_Toc130983977"/>
      <w:bookmarkStart w:id="4271" w:name="_Toc131062245"/>
      <w:bookmarkStart w:id="4272" w:name="_Toc131062499"/>
      <w:bookmarkStart w:id="4273" w:name="_Toc131062760"/>
      <w:bookmarkStart w:id="4274" w:name="_Toc131063013"/>
      <w:bookmarkStart w:id="4275" w:name="_Toc131063796"/>
      <w:bookmarkStart w:id="4276" w:name="_Toc131064207"/>
      <w:bookmarkStart w:id="4277" w:name="_Toc131238543"/>
      <w:bookmarkStart w:id="4278" w:name="_Toc131279575"/>
      <w:bookmarkStart w:id="4279" w:name="_Toc131281765"/>
      <w:bookmarkStart w:id="4280" w:name="_Toc131281767"/>
      <w:bookmarkStart w:id="4281" w:name="_Toc131286987"/>
      <w:bookmarkStart w:id="4282" w:name="_Toc131281397"/>
      <w:bookmarkStart w:id="4283" w:name="_Toc131317937"/>
      <w:r w:rsidRPr="00443049">
        <w:rPr>
          <w:rStyle w:val="Overskrift3Tegn"/>
          <w:b w:val="0"/>
          <w:color w:val="2A3652"/>
          <w:szCs w:val="28"/>
        </w:rPr>
        <w:lastRenderedPageBreak/>
        <w:t>Tilskudd</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0C5A2588" w14:textId="22C0D7F5" w:rsidR="00D9107F" w:rsidRDefault="3F62C1A2" w:rsidP="005C71F0">
      <w:pPr>
        <w:jc w:val="both"/>
        <w:rPr>
          <w:rFonts w:eastAsiaTheme="minorEastAsia" w:cstheme="minorHAnsi"/>
          <w:color w:val="000000" w:themeColor="text1"/>
        </w:rPr>
      </w:pPr>
      <w:bookmarkStart w:id="4284" w:name="_Ref129430607"/>
      <w:r w:rsidRPr="00A55ADC">
        <w:rPr>
          <w:rFonts w:eastAsiaTheme="minorEastAsia" w:cstheme="minorHAnsi"/>
          <w:color w:val="000000" w:themeColor="text1"/>
        </w:rPr>
        <w:t xml:space="preserve">Regjeringen vedtok et tilskudd på 50 millioner kroner for 2022, som skulle bidra til å </w:t>
      </w:r>
      <w:r w:rsidR="00D9107F">
        <w:rPr>
          <w:rFonts w:eastAsiaTheme="minorEastAsia" w:cstheme="minorHAnsi"/>
          <w:color w:val="000000" w:themeColor="text1"/>
        </w:rPr>
        <w:t>«</w:t>
      </w:r>
      <w:r w:rsidRPr="00A55ADC">
        <w:rPr>
          <w:rFonts w:eastAsiaTheme="minorEastAsia" w:cstheme="minorHAnsi"/>
          <w:color w:val="000000" w:themeColor="text1"/>
        </w:rPr>
        <w:t>styrke legevakttjenesten og redusere vaktbelastningen i distriktskommuner</w:t>
      </w:r>
      <w:r w:rsidR="00D9107F">
        <w:rPr>
          <w:rFonts w:eastAsiaTheme="minorEastAsia" w:cstheme="minorHAnsi"/>
          <w:color w:val="000000" w:themeColor="text1"/>
        </w:rPr>
        <w:t>»</w:t>
      </w:r>
      <w:r w:rsidR="732724D9" w:rsidRPr="00A55ADC">
        <w:rPr>
          <w:rFonts w:eastAsiaTheme="minorEastAsia" w:cstheme="minorHAnsi"/>
          <w:color w:val="000000" w:themeColor="text1"/>
        </w:rPr>
        <w:t xml:space="preserve"> </w:t>
      </w:r>
      <w:r w:rsidR="00540F95" w:rsidRPr="00A55ADC">
        <w:rPr>
          <w:rFonts w:eastAsiaTheme="minorEastAsia" w:cstheme="minorHAnsi"/>
          <w:color w:val="000000" w:themeColor="text1"/>
        </w:rPr>
        <w:fldChar w:fldCharType="begin"/>
      </w:r>
      <w:r w:rsidR="00235862">
        <w:rPr>
          <w:rFonts w:eastAsiaTheme="minorEastAsia" w:cstheme="minorHAnsi"/>
          <w:color w:val="000000" w:themeColor="text1"/>
        </w:rPr>
        <w:instrText xml:space="preserve"> ADDIN EN.CITE &lt;EndNote&gt;&lt;Cite ExcludeYear="1"&gt;&lt;Author&gt;Tømmerbakke&lt;/Author&gt;&lt;RecNum&gt;3&lt;/RecNum&gt;&lt;DisplayText&gt;(Tømmerbakke)&lt;/DisplayText&gt;&lt;record&gt;&lt;rec-number&gt;3&lt;/rec-number&gt;&lt;foreign-keys&gt;&lt;key app="EN" db-id="95tpr2tp6r9xwoea9rb5wdsz5ds5xeddteew" timestamp="1680069511"&gt;3&lt;/key&gt;&lt;/foreign-keys&gt;&lt;ref-type name="Web Page"&gt;12&lt;/ref-type&gt;&lt;contributors&gt;&lt;authors&gt;&lt;author&gt;Tømmerbakke, S. G.&lt;/author&gt;&lt;/authors&gt;&lt;/contributors&gt;&lt;titles&gt;&lt;title&gt;37 kommuner får 50 millioner til legevakt&lt;/title&gt;&lt;/titles&gt;&lt;number&gt;10.03.2023&lt;/number&gt;&lt;dates&gt;&lt;pub-dates&gt;&lt;date&gt;24.06.2022&lt;/date&gt;&lt;/pub-dates&gt;&lt;/dates&gt;&lt;pub-location&gt;Oslo&lt;/pub-location&gt;&lt;publisher&gt;Dagens medisin&lt;/publisher&gt;&lt;work-type&gt;nettartikkel&lt;/work-type&gt;&lt;urls&gt;&lt;/urls&gt;&lt;/record&gt;&lt;/Cite&gt;&lt;/EndNote&gt;</w:instrText>
      </w:r>
      <w:r w:rsidR="00540F95" w:rsidRPr="00A55ADC">
        <w:rPr>
          <w:rFonts w:eastAsiaTheme="minorEastAsia" w:cstheme="minorHAnsi"/>
          <w:color w:val="000000" w:themeColor="text1"/>
        </w:rPr>
        <w:fldChar w:fldCharType="separate"/>
      </w:r>
      <w:r w:rsidR="00540F95" w:rsidRPr="00A55ADC">
        <w:rPr>
          <w:rFonts w:eastAsiaTheme="minorEastAsia" w:cstheme="minorHAnsi"/>
          <w:noProof/>
          <w:color w:val="000000" w:themeColor="text1"/>
        </w:rPr>
        <w:t>(Tømmerbakke)</w:t>
      </w:r>
      <w:r w:rsidR="00540F95" w:rsidRPr="00A55ADC">
        <w:rPr>
          <w:rFonts w:eastAsiaTheme="minorEastAsia" w:cstheme="minorHAnsi"/>
          <w:color w:val="000000" w:themeColor="text1"/>
        </w:rPr>
        <w:fldChar w:fldCharType="end"/>
      </w:r>
      <w:r w:rsidR="00A82CDF" w:rsidRPr="00A55ADC">
        <w:rPr>
          <w:rFonts w:eastAsiaTheme="minorEastAsia" w:cstheme="minorHAnsi"/>
          <w:color w:val="000000" w:themeColor="text1"/>
        </w:rPr>
        <w:t>.</w:t>
      </w:r>
      <w:r w:rsidRPr="00A55ADC">
        <w:rPr>
          <w:rFonts w:eastAsiaTheme="minorEastAsia" w:cstheme="minorHAnsi"/>
          <w:color w:val="000000" w:themeColor="text1"/>
        </w:rPr>
        <w:t xml:space="preserve"> Helsedirektoratet utarbeidet kriterier for tilskuddet våren 2022, samtidig som det ble utarbeidet et dokument med tips og idéer til kommunene over mulige tiltak. Arbeidet med kriteriene ble utført i samarbeid med FHI og miljøet rundt Ekspertgruppe Legevakt. Helsedirektoratet fikk videre innspill fra NKLM, NSDM og Norsk Legevaktforum i arbeidet, og kriteriene var på høring hos Legeforeningen og KS.</w:t>
      </w:r>
      <w:bookmarkEnd w:id="4284"/>
    </w:p>
    <w:p w14:paraId="4E809695" w14:textId="22437F6D" w:rsidR="00731EAE" w:rsidRPr="00A55ADC" w:rsidRDefault="00731EAE" w:rsidP="005C71F0">
      <w:pPr>
        <w:jc w:val="both"/>
        <w:rPr>
          <w:rFonts w:eastAsiaTheme="minorEastAsia" w:cstheme="minorHAnsi"/>
        </w:rPr>
      </w:pPr>
      <w:r w:rsidRPr="00A55ADC">
        <w:rPr>
          <w:rFonts w:eastAsiaTheme="minorEastAsia" w:cstheme="minorHAnsi"/>
          <w:color w:val="000000" w:themeColor="text1"/>
        </w:rPr>
        <w:t>Formålet med tilskuddet</w:t>
      </w:r>
      <w:r w:rsidR="00FD52B3" w:rsidRPr="00A55ADC">
        <w:rPr>
          <w:rFonts w:eastAsiaTheme="minorEastAsia" w:cstheme="minorHAnsi"/>
          <w:color w:val="000000" w:themeColor="text1"/>
        </w:rPr>
        <w:t>,</w:t>
      </w:r>
      <w:r w:rsidRPr="00A55ADC">
        <w:rPr>
          <w:rFonts w:eastAsiaTheme="minorEastAsia" w:cstheme="minorHAnsi"/>
          <w:color w:val="000000" w:themeColor="text1"/>
        </w:rPr>
        <w:t xml:space="preserve"> var å bedre rekrutteringen og redusere vaktbelastningen i legevaktordningen i de minst </w:t>
      </w:r>
      <w:r w:rsidR="006145A4" w:rsidRPr="00A55ADC">
        <w:rPr>
          <w:rFonts w:eastAsiaTheme="minorEastAsia" w:cstheme="minorHAnsi"/>
          <w:color w:val="000000" w:themeColor="text1"/>
        </w:rPr>
        <w:t>folkerik</w:t>
      </w:r>
      <w:r w:rsidR="001961CB" w:rsidRPr="00A55ADC">
        <w:rPr>
          <w:rFonts w:eastAsiaTheme="minorEastAsia" w:cstheme="minorHAnsi"/>
          <w:color w:val="000000" w:themeColor="text1"/>
        </w:rPr>
        <w:t>e</w:t>
      </w:r>
      <w:r w:rsidR="006145A4" w:rsidRPr="00A55ADC">
        <w:rPr>
          <w:rFonts w:eastAsiaTheme="minorEastAsia" w:cstheme="minorHAnsi"/>
          <w:color w:val="000000" w:themeColor="text1"/>
        </w:rPr>
        <w:t xml:space="preserve"> og minst sentrale</w:t>
      </w:r>
      <w:r w:rsidRPr="00A55ADC">
        <w:rPr>
          <w:rFonts w:eastAsiaTheme="minorEastAsia" w:cstheme="minorHAnsi"/>
          <w:color w:val="000000" w:themeColor="text1"/>
        </w:rPr>
        <w:t xml:space="preserve"> kommunene</w:t>
      </w:r>
      <w:r w:rsidRPr="00A55ADC">
        <w:rPr>
          <w:rFonts w:eastAsiaTheme="minorEastAsia" w:cstheme="minorHAnsi"/>
        </w:rPr>
        <w:t xml:space="preserve">. </w:t>
      </w:r>
      <w:r w:rsidR="00CA575F" w:rsidRPr="00A55ADC">
        <w:rPr>
          <w:rFonts w:eastAsiaTheme="minorEastAsia" w:cstheme="minorHAnsi"/>
        </w:rPr>
        <w:t xml:space="preserve">Sentralitetsklasse 6 og </w:t>
      </w:r>
      <w:r w:rsidR="00FD52B3" w:rsidRPr="00A55ADC">
        <w:rPr>
          <w:rFonts w:eastAsiaTheme="minorEastAsia" w:cstheme="minorHAnsi"/>
        </w:rPr>
        <w:t>under</w:t>
      </w:r>
      <w:r w:rsidR="00CA575F" w:rsidRPr="00A55ADC">
        <w:rPr>
          <w:rFonts w:eastAsiaTheme="minorEastAsia" w:cstheme="minorHAnsi"/>
        </w:rPr>
        <w:t xml:space="preserve"> </w:t>
      </w:r>
      <w:r w:rsidR="00D9107F" w:rsidRPr="00A55ADC">
        <w:rPr>
          <w:rFonts w:eastAsiaTheme="minorEastAsia" w:cstheme="minorHAnsi"/>
        </w:rPr>
        <w:t>5</w:t>
      </w:r>
      <w:r w:rsidR="00D9107F">
        <w:rPr>
          <w:rFonts w:eastAsiaTheme="minorEastAsia" w:cstheme="minorHAnsi"/>
        </w:rPr>
        <w:t> </w:t>
      </w:r>
      <w:r w:rsidR="00D9107F" w:rsidRPr="00A55ADC">
        <w:rPr>
          <w:rFonts w:eastAsiaTheme="minorEastAsia" w:cstheme="minorHAnsi"/>
        </w:rPr>
        <w:t>000</w:t>
      </w:r>
      <w:r w:rsidR="00CA575F" w:rsidRPr="00A55ADC">
        <w:rPr>
          <w:rFonts w:eastAsiaTheme="minorEastAsia" w:cstheme="minorHAnsi"/>
        </w:rPr>
        <w:t xml:space="preserve"> </w:t>
      </w:r>
      <w:r w:rsidR="00FD52B3" w:rsidRPr="00A55ADC">
        <w:rPr>
          <w:rFonts w:eastAsiaTheme="minorEastAsia" w:cstheme="minorHAnsi"/>
        </w:rPr>
        <w:t>innbyggere</w:t>
      </w:r>
      <w:r w:rsidR="00CA575F" w:rsidRPr="00A55ADC">
        <w:rPr>
          <w:rFonts w:eastAsiaTheme="minorEastAsia" w:cstheme="minorHAnsi"/>
        </w:rPr>
        <w:t xml:space="preserve"> var de kommunevariablene som i Ekspertgruppens grunnlagsdata var </w:t>
      </w:r>
      <w:r w:rsidR="009A14CA" w:rsidRPr="00A55ADC">
        <w:rPr>
          <w:rFonts w:eastAsiaTheme="minorEastAsia" w:cstheme="minorHAnsi"/>
        </w:rPr>
        <w:t>sterkest</w:t>
      </w:r>
      <w:r w:rsidR="00CA575F" w:rsidRPr="00A55ADC">
        <w:rPr>
          <w:rFonts w:eastAsiaTheme="minorEastAsia" w:cstheme="minorHAnsi"/>
        </w:rPr>
        <w:t xml:space="preserve"> korrelert med å ha </w:t>
      </w:r>
      <w:r w:rsidR="00FD52B3" w:rsidRPr="00A55ADC">
        <w:rPr>
          <w:rFonts w:eastAsiaTheme="minorEastAsia" w:cstheme="minorHAnsi"/>
        </w:rPr>
        <w:t xml:space="preserve">tre </w:t>
      </w:r>
      <w:r w:rsidR="00CA575F" w:rsidRPr="00A55ADC">
        <w:rPr>
          <w:rFonts w:eastAsiaTheme="minorEastAsia" w:cstheme="minorHAnsi"/>
        </w:rPr>
        <w:t>eller færre leger i legevaktordningen, og som ligger til grunn for å kunne søke tilskudd</w:t>
      </w:r>
      <w:r w:rsidR="00C67B54" w:rsidRPr="00A55ADC">
        <w:rPr>
          <w:rFonts w:eastAsiaTheme="minorEastAsia" w:cstheme="minorHAnsi"/>
        </w:rPr>
        <w:t>.</w:t>
      </w:r>
    </w:p>
    <w:p w14:paraId="3834F871" w14:textId="63D1922B" w:rsidR="00D9107F" w:rsidRDefault="00CA575F" w:rsidP="005C71F0">
      <w:pPr>
        <w:jc w:val="both"/>
        <w:rPr>
          <w:rFonts w:eastAsiaTheme="minorEastAsia" w:cstheme="minorHAnsi"/>
        </w:rPr>
      </w:pPr>
      <w:r w:rsidRPr="00A55ADC">
        <w:rPr>
          <w:rFonts w:eastAsiaTheme="minorEastAsia" w:cstheme="minorHAnsi"/>
        </w:rPr>
        <w:t xml:space="preserve">Det ble satt et tak på tilskuddsbeløp på </w:t>
      </w:r>
      <w:r w:rsidR="00D9107F" w:rsidRPr="00A55ADC">
        <w:rPr>
          <w:rFonts w:eastAsiaTheme="minorEastAsia" w:cstheme="minorHAnsi"/>
        </w:rPr>
        <w:t>1</w:t>
      </w:r>
      <w:r w:rsidR="00D9107F">
        <w:rPr>
          <w:rFonts w:eastAsiaTheme="minorEastAsia" w:cstheme="minorHAnsi"/>
        </w:rPr>
        <w:t> </w:t>
      </w:r>
      <w:r w:rsidR="00D9107F" w:rsidRPr="00A55ADC">
        <w:rPr>
          <w:rFonts w:eastAsiaTheme="minorEastAsia" w:cstheme="minorHAnsi"/>
        </w:rPr>
        <w:t>500</w:t>
      </w:r>
      <w:r w:rsidR="00D9107F">
        <w:rPr>
          <w:rFonts w:eastAsiaTheme="minorEastAsia" w:cstheme="minorHAnsi"/>
        </w:rPr>
        <w:t> </w:t>
      </w:r>
      <w:r w:rsidR="00D9107F" w:rsidRPr="00A55ADC">
        <w:rPr>
          <w:rFonts w:eastAsiaTheme="minorEastAsia" w:cstheme="minorHAnsi"/>
        </w:rPr>
        <w:t>000</w:t>
      </w:r>
      <w:r w:rsidR="00D9107F">
        <w:rPr>
          <w:rFonts w:eastAsiaTheme="minorEastAsia" w:cstheme="minorHAnsi"/>
        </w:rPr>
        <w:t> kroner</w:t>
      </w:r>
      <w:r w:rsidRPr="00A55ADC">
        <w:rPr>
          <w:rFonts w:eastAsiaTheme="minorEastAsia" w:cstheme="minorHAnsi"/>
        </w:rPr>
        <w:t xml:space="preserve"> per kommune, og de 50 millionene ble til slutt fordelt på 40 kommuner.</w:t>
      </w:r>
    </w:p>
    <w:p w14:paraId="2A1EF475" w14:textId="795E782B" w:rsidR="00CA575F" w:rsidRPr="00606F5E" w:rsidRDefault="6B0DCD84" w:rsidP="005C71F0">
      <w:pPr>
        <w:jc w:val="both"/>
        <w:rPr>
          <w:rFonts w:eastAsiaTheme="minorEastAsia" w:cstheme="minorHAnsi"/>
          <w:color w:val="212121"/>
        </w:rPr>
      </w:pPr>
      <w:r w:rsidRPr="00A55ADC">
        <w:rPr>
          <w:rFonts w:eastAsiaTheme="minorEastAsia"/>
        </w:rPr>
        <w:t>Så lenge formålet med tilskuddsordningen ble oppfylt</w:t>
      </w:r>
      <w:r w:rsidR="58B6B1AC" w:rsidRPr="00A55ADC">
        <w:rPr>
          <w:rFonts w:eastAsiaTheme="minorEastAsia"/>
        </w:rPr>
        <w:t>,</w:t>
      </w:r>
      <w:r w:rsidRPr="00A55ADC">
        <w:rPr>
          <w:rFonts w:eastAsiaTheme="minorEastAsia"/>
        </w:rPr>
        <w:t xml:space="preserve"> har kommunene stått relativt fritt til </w:t>
      </w:r>
      <w:r w:rsidR="07F7958A" w:rsidRPr="00A55ADC">
        <w:rPr>
          <w:rFonts w:eastAsiaTheme="minorEastAsia"/>
        </w:rPr>
        <w:t>å bes</w:t>
      </w:r>
      <w:r w:rsidR="2FBB8F50" w:rsidRPr="00A55ADC">
        <w:rPr>
          <w:rFonts w:eastAsiaTheme="minorEastAsia"/>
        </w:rPr>
        <w:t>t</w:t>
      </w:r>
      <w:r w:rsidR="07F7958A" w:rsidRPr="00A55ADC">
        <w:rPr>
          <w:rFonts w:eastAsiaTheme="minorEastAsia"/>
        </w:rPr>
        <w:t xml:space="preserve">emme </w:t>
      </w:r>
      <w:r w:rsidRPr="00A55ADC">
        <w:rPr>
          <w:rFonts w:eastAsiaTheme="minorEastAsia"/>
        </w:rPr>
        <w:t xml:space="preserve">hvilke tiltak tilskuddsmidlene skal brukes til. Dette omfatter blant annet </w:t>
      </w:r>
      <w:r w:rsidRPr="5A353FDD">
        <w:rPr>
          <w:rFonts w:eastAsia="Calibri"/>
        </w:rPr>
        <w:t>rekruttering av leger og sykepleiere til legevakt for å kunne fordele den totale arbeidsbelastningen, utprøving av ulike turnusmodeller og vaktordninger for å bedre vaktbelastningen i legevakt, kurs og samtrening av personell på legevakt og ambulansetjenesten for å øke kompetansen hos de ansatte, anskaffelse av legevaktbil</w:t>
      </w:r>
      <w:r w:rsidR="0028536B">
        <w:rPr>
          <w:rFonts w:eastAsia="Calibri"/>
        </w:rPr>
        <w:t>,</w:t>
      </w:r>
      <w:r w:rsidRPr="5A353FDD">
        <w:rPr>
          <w:rFonts w:eastAsia="Calibri"/>
        </w:rPr>
        <w:t xml:space="preserve"> og oppgradering av utstyret på legevakten. </w:t>
      </w:r>
      <w:r w:rsidRPr="00606F5E">
        <w:t xml:space="preserve">I besvarelse av oppdrag i tildelingsbrev har Helsedirektoratet anbefalt at </w:t>
      </w:r>
      <w:r w:rsidR="09A51149" w:rsidRPr="00606F5E">
        <w:t>tilskudd</w:t>
      </w:r>
      <w:r w:rsidR="1C60C4CC">
        <w:t>et</w:t>
      </w:r>
      <w:r w:rsidRPr="00606F5E">
        <w:t xml:space="preserve"> bør videreføres</w:t>
      </w:r>
      <w:r w:rsidR="690DFBEA">
        <w:t xml:space="preserve"> </w:t>
      </w:r>
      <w:r w:rsidR="00540F95">
        <w:fldChar w:fldCharType="begin"/>
      </w:r>
      <w:r w:rsidR="00235862">
        <w:instrText xml:space="preserve"> ADDIN EN.CITE &lt;EndNote&gt;&lt;Cite&gt;&lt;Author&gt;Helsedirektoratet&lt;/Author&gt;&lt;Year&gt;2023&lt;/Year&gt;&lt;RecNum&gt;64&lt;/RecNum&gt;&lt;DisplayText&gt;(Helsedirektoratet, 2023b)&lt;/DisplayText&gt;&lt;record&gt;&lt;rec-number&gt;64&lt;/rec-number&gt;&lt;foreign-keys&gt;&lt;key app="EN" db-id="95tpr2tp6r9xwoea9rb5wdsz5ds5xeddteew" timestamp="1680069511"&gt;64&lt;/key&gt;&lt;/foreign-keys&gt;&lt;ref-type name="Report"&gt;27&lt;/ref-type&gt;&lt;contributors&gt;&lt;authors&gt;&lt;author&gt;Helsedirektoratet&lt;/author&gt;&lt;/authors&gt;&lt;/contributors&gt;&lt;titles&gt;&lt;title&gt;Besvarelse av oppdrag i tildelingsbrev, TB2022-22. Vurdere endringer i regulering og finansiering av legevakttjenesten for å skape bærekraftige løsninger&lt;/title&gt;&lt;/titles&gt;&lt;dates&gt;&lt;year&gt;2023&lt;/year&gt;&lt;/dates&gt;&lt;pub-location&gt;Oslo&lt;/pub-location&gt;&lt;publisher&gt;Helse- og omsorgsdepartementet&lt;/publisher&gt;&lt;urls&gt;&lt;/urls&gt;&lt;/record&gt;&lt;/Cite&gt;&lt;/EndNote&gt;</w:instrText>
      </w:r>
      <w:r w:rsidR="00540F95">
        <w:fldChar w:fldCharType="separate"/>
      </w:r>
      <w:r w:rsidR="00D078E3">
        <w:rPr>
          <w:noProof/>
        </w:rPr>
        <w:t>(Helsedirektoratet, 2023b)</w:t>
      </w:r>
      <w:r w:rsidR="00540F95">
        <w:fldChar w:fldCharType="end"/>
      </w:r>
      <w:r w:rsidR="00A82CDF">
        <w:t>.</w:t>
      </w:r>
    </w:p>
    <w:p w14:paraId="6DCE2A69" w14:textId="77777777" w:rsidR="00731EAE" w:rsidRDefault="00731EAE" w:rsidP="00775632">
      <w:pPr>
        <w:pStyle w:val="Overskrift4"/>
      </w:pPr>
      <w:bookmarkStart w:id="4285" w:name="_Toc127633303"/>
      <w:bookmarkStart w:id="4286" w:name="_Toc127864588"/>
      <w:bookmarkStart w:id="4287" w:name="_Toc128238601"/>
      <w:bookmarkStart w:id="4288" w:name="_Toc128467431"/>
      <w:bookmarkStart w:id="4289" w:name="_Toc128744679"/>
      <w:bookmarkStart w:id="4290" w:name="_Toc128744898"/>
      <w:bookmarkStart w:id="4291" w:name="_Toc129630401"/>
      <w:bookmarkStart w:id="4292" w:name="_Toc130763911"/>
      <w:bookmarkStart w:id="4293" w:name="_Toc130766806"/>
      <w:bookmarkStart w:id="4294" w:name="_Toc130932205"/>
      <w:bookmarkStart w:id="4295" w:name="_Toc130934496"/>
      <w:bookmarkStart w:id="4296" w:name="_Toc130983629"/>
      <w:bookmarkStart w:id="4297" w:name="_Toc130983978"/>
      <w:bookmarkStart w:id="4298" w:name="_Toc131062246"/>
      <w:bookmarkStart w:id="4299" w:name="_Toc131062500"/>
      <w:bookmarkStart w:id="4300" w:name="_Toc131062761"/>
      <w:bookmarkStart w:id="4301" w:name="_Toc131063014"/>
      <w:bookmarkStart w:id="4302" w:name="_Toc131063797"/>
      <w:bookmarkStart w:id="4303" w:name="_Toc131064208"/>
      <w:bookmarkStart w:id="4304" w:name="_Toc131238544"/>
      <w:bookmarkStart w:id="4305" w:name="_Toc131279576"/>
      <w:bookmarkStart w:id="4306" w:name="_Toc131286988"/>
      <w:bookmarkStart w:id="4307" w:name="_Toc131281398"/>
      <w:bookmarkStart w:id="4308" w:name="_Toc131317938"/>
      <w:r>
        <w:t>Nylige utredninger og oppdrag for å bedre situasjonen i legevakt</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2359F3C8" w14:textId="77777777" w:rsidR="00D9107F" w:rsidRDefault="007F17F1" w:rsidP="005C71F0">
      <w:pPr>
        <w:jc w:val="both"/>
      </w:pPr>
      <w:r>
        <w:t xml:space="preserve">Partssammensatt arbeidsgruppe legevakt </w:t>
      </w:r>
      <w:r w:rsidR="00D315EE">
        <w:t xml:space="preserve">er et </w:t>
      </w:r>
      <w:r w:rsidR="40353ECE">
        <w:t>samarbeid</w:t>
      </w:r>
      <w:r w:rsidR="00D315EE">
        <w:t xml:space="preserve"> mellom KS, Oslo kommune, Legeforeningen og staten om utfordringene innen legevaktområdet. </w:t>
      </w:r>
      <w:r w:rsidR="00B05EE4">
        <w:t>O</w:t>
      </w:r>
      <w:r w:rsidR="00D315EE">
        <w:t>ppdrag</w:t>
      </w:r>
      <w:r w:rsidR="00B05EE4">
        <w:t>et</w:t>
      </w:r>
      <w:r w:rsidR="00D315EE">
        <w:t xml:space="preserve"> </w:t>
      </w:r>
      <w:r w:rsidR="006A72CD">
        <w:t xml:space="preserve">er å vurdere hvordan belastningen for allmennleger blir håndterbar, samtidig som det sikres en god legevakttjeneste i hele landet. </w:t>
      </w:r>
      <w:r w:rsidR="00B05EE4">
        <w:t>Ar</w:t>
      </w:r>
      <w:r w:rsidR="00A76E30">
        <w:t>b</w:t>
      </w:r>
      <w:r w:rsidR="00B05EE4">
        <w:t xml:space="preserve">eidsgruppen har levert to besvarelser, </w:t>
      </w:r>
      <w:r w:rsidR="00A76E30">
        <w:t xml:space="preserve">en del-besvarelse </w:t>
      </w:r>
      <w:r w:rsidR="00B05EE4">
        <w:t xml:space="preserve">våren 2022 og </w:t>
      </w:r>
      <w:r w:rsidR="00A76E30">
        <w:t>en hovedbesvarelse</w:t>
      </w:r>
      <w:r w:rsidR="00B05EE4">
        <w:t xml:space="preserve"> vinteren 2023.</w:t>
      </w:r>
    </w:p>
    <w:p w14:paraId="1C91457A" w14:textId="632BD367" w:rsidR="00731EAE" w:rsidRDefault="00A76E30" w:rsidP="005C71F0">
      <w:pPr>
        <w:jc w:val="both"/>
      </w:pPr>
      <w:r>
        <w:t>I hovedbesvarelsen vurdere</w:t>
      </w:r>
      <w:r w:rsidR="003D0373">
        <w:t>r</w:t>
      </w:r>
      <w:r>
        <w:t xml:space="preserve"> arbeidsgruppen </w:t>
      </w:r>
      <w:r w:rsidR="003D0373">
        <w:t>blant annet</w:t>
      </w:r>
      <w:r>
        <w:t xml:space="preserve"> løsninger som tilrettelegger for redusert arbeidstid i legevakt for allmennleger, oppgave</w:t>
      </w:r>
      <w:r w:rsidR="0028536B">
        <w:t>-</w:t>
      </w:r>
      <w:r>
        <w:t xml:space="preserve"> og ansvarsfordeling</w:t>
      </w:r>
      <w:r w:rsidR="003D0373">
        <w:t>, tiltak for å redusere belastning når legen er på vakt</w:t>
      </w:r>
      <w:r>
        <w:t xml:space="preserve"> </w:t>
      </w:r>
      <w:r w:rsidR="00DF3701">
        <w:t>og hvordan finansieringsordningen for legevakt kan understøtte oppdragets øvrige punkter</w:t>
      </w:r>
      <w:r w:rsidR="006843FD">
        <w:t xml:space="preserve"> </w:t>
      </w:r>
      <w:r w:rsidR="00865AA0">
        <w:fldChar w:fldCharType="begin"/>
      </w:r>
      <w:r w:rsidR="00235862">
        <w:instrText xml:space="preserve"> ADDIN EN.CITE &lt;EndNote&gt;&lt;Cite&gt;&lt;Author&gt;Helsedirektoratet&lt;/Author&gt;&lt;Year&gt;2023&lt;/Year&gt;&lt;RecNum&gt;609&lt;/RecNum&gt;&lt;DisplayText&gt;(Helsedirektoratet, 2023e)&lt;/DisplayText&gt;&lt;record&gt;&lt;rec-number&gt;609&lt;/rec-number&gt;&lt;foreign-keys&gt;&lt;key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rsidR="00865AA0">
        <w:fldChar w:fldCharType="separate"/>
      </w:r>
      <w:r w:rsidR="00C32115">
        <w:rPr>
          <w:noProof/>
        </w:rPr>
        <w:t>(Helsedirektoratet, 2023e)</w:t>
      </w:r>
      <w:r w:rsidR="00865AA0">
        <w:fldChar w:fldCharType="end"/>
      </w:r>
      <w:r w:rsidR="00DF3701">
        <w:t>.</w:t>
      </w:r>
    </w:p>
    <w:p w14:paraId="3241806B" w14:textId="77777777" w:rsidR="00D9107F" w:rsidRDefault="00DF3701" w:rsidP="005C71F0">
      <w:pPr>
        <w:jc w:val="both"/>
      </w:pPr>
      <w:r>
        <w:t xml:space="preserve">Helsedirektoratet </w:t>
      </w:r>
      <w:r w:rsidR="002C495B">
        <w:t>har vurdert endringer i regulering og finansiering av legevakttjenesten</w:t>
      </w:r>
      <w:r w:rsidR="0028536B">
        <w:t>,</w:t>
      </w:r>
      <w:r w:rsidR="002C495B">
        <w:t xml:space="preserve"> for å skape bærekraftige løsninger</w:t>
      </w:r>
      <w:r w:rsidR="0032174C">
        <w:t>.</w:t>
      </w:r>
      <w:r w:rsidR="00FE5FE7">
        <w:t xml:space="preserve"> </w:t>
      </w:r>
      <w:r w:rsidR="00594628">
        <w:t xml:space="preserve">Vurderingen </w:t>
      </w:r>
      <w:r w:rsidR="00FE5FE7">
        <w:t>ble levert vinteren 2023.</w:t>
      </w:r>
      <w:r w:rsidR="0032174C">
        <w:t xml:space="preserve"> </w:t>
      </w:r>
      <w:r w:rsidR="00DE08C1">
        <w:t xml:space="preserve">Det </w:t>
      </w:r>
      <w:r w:rsidR="009E6126">
        <w:t>er</w:t>
      </w:r>
      <w:r w:rsidR="007C6F44">
        <w:t xml:space="preserve"> </w:t>
      </w:r>
      <w:r w:rsidR="00452D40">
        <w:t xml:space="preserve">blant annet </w:t>
      </w:r>
      <w:r w:rsidR="00F74055">
        <w:t xml:space="preserve">utredet </w:t>
      </w:r>
      <w:r w:rsidR="00452D40">
        <w:lastRenderedPageBreak/>
        <w:t xml:space="preserve">kompetansekrav for leger, </w:t>
      </w:r>
      <w:r w:rsidR="005F4213">
        <w:t>tiltak for økt trygghet i vakt,</w:t>
      </w:r>
      <w:r w:rsidR="00452D40">
        <w:t xml:space="preserve"> rammefinansiering uten bruk av takster, </w:t>
      </w:r>
      <w:r w:rsidR="005F4213">
        <w:t xml:space="preserve">og </w:t>
      </w:r>
      <w:r w:rsidR="00452D40">
        <w:t>fastlønn</w:t>
      </w:r>
      <w:r w:rsidR="00F74055">
        <w:t xml:space="preserve"> i </w:t>
      </w:r>
      <w:r w:rsidR="00452D40">
        <w:t>legevakt</w:t>
      </w:r>
      <w:r w:rsidR="0051347F">
        <w:t xml:space="preserve"> </w:t>
      </w:r>
      <w:r w:rsidR="00865AA0">
        <w:fldChar w:fldCharType="begin"/>
      </w:r>
      <w:r w:rsidR="004654FD">
        <w:instrText xml:space="preserve"> ADDIN EN.CITE &lt;EndNote&gt;&lt;Cite&gt;&lt;Author&gt;Helsedirektoratet&lt;/Author&gt;&lt;Year&gt;2022&lt;/Year&gt;&lt;RecNum&gt;587&lt;/RecNum&gt;&lt;DisplayText&gt;(Helsedirektoratet, 2022k)&lt;/DisplayText&gt;&lt;record&gt;&lt;rec-number&gt;587&lt;/rec-number&gt;&lt;foreign-keys&gt;&lt;key app="EN" db-id="95tpr2tp6r9xwoea9rb5wdsz5ds5xeddteew" timestamp="1680069511"&gt;587&lt;/key&gt;&lt;/foreign-keys&gt;&lt;ref-type name="Report"&gt;27&lt;/ref-type&gt;&lt;contributors&gt;&lt;authors&gt;&lt;author&gt;Helsedirektoratet&lt;/author&gt;&lt;/authors&gt;&lt;/contributors&gt;&lt;titles&gt;&lt;title&gt;Vurdere endringer i regulering og finansiering av legevakttjenesten for å skape bærekraftige løsninger. Besvarelse tildelingsbrev TB2022-22&lt;/title&gt;&lt;/titles&gt;&lt;dates&gt;&lt;year&gt;2022&lt;/year&gt;&lt;/dates&gt;&lt;pub-location&gt;Oslo&lt;/pub-location&gt;&lt;publisher&gt;Helsedirektoratet&lt;/publisher&gt;&lt;urls&gt;&lt;/urls&gt;&lt;/record&gt;&lt;/Cite&gt;&lt;/EndNote&gt;</w:instrText>
      </w:r>
      <w:r w:rsidR="00865AA0">
        <w:fldChar w:fldCharType="separate"/>
      </w:r>
      <w:r w:rsidR="004654FD">
        <w:rPr>
          <w:noProof/>
        </w:rPr>
        <w:t>(Helsedirektoratet, 2022k)</w:t>
      </w:r>
      <w:r w:rsidR="00865AA0">
        <w:fldChar w:fldCharType="end"/>
      </w:r>
      <w:r w:rsidR="00594628">
        <w:t>.</w:t>
      </w:r>
    </w:p>
    <w:p w14:paraId="0CD91D7D" w14:textId="651B7E19" w:rsidR="00DB17D6" w:rsidRPr="008904EA" w:rsidRDefault="00B66649" w:rsidP="008904EA">
      <w:pPr>
        <w:pStyle w:val="tittel-ramme"/>
        <w:jc w:val="left"/>
        <w:rPr>
          <w:rStyle w:val="kursiv"/>
        </w:rPr>
      </w:pPr>
      <w:r w:rsidRPr="008904EA">
        <w:rPr>
          <w:rStyle w:val="kursiv"/>
        </w:rPr>
        <w:t>Erfaringer fra legevaktstiltak i kommuner</w:t>
      </w:r>
    </w:p>
    <w:tbl>
      <w:tblPr>
        <w:tblStyle w:val="StandardBoks"/>
        <w:tblW w:w="0" w:type="auto"/>
        <w:tblLook w:val="04A0" w:firstRow="1" w:lastRow="0" w:firstColumn="1" w:lastColumn="0" w:noHBand="0" w:noVBand="1"/>
      </w:tblPr>
      <w:tblGrid>
        <w:gridCol w:w="9736"/>
      </w:tblGrid>
      <w:tr w:rsidR="008904EA" w14:paraId="4AC56515" w14:textId="77777777" w:rsidTr="008904EA">
        <w:tc>
          <w:tcPr>
            <w:tcW w:w="9736" w:type="dxa"/>
          </w:tcPr>
          <w:p w14:paraId="3A567FE6" w14:textId="77777777" w:rsidR="008904EA" w:rsidRPr="00F33170" w:rsidRDefault="008904EA" w:rsidP="008904EA">
            <w:r w:rsidRPr="00F33170">
              <w:t>I mange deler av landet har det vært rekrutteringsutfordringer i legevakttjenesten over mange år, og det har over tid vært endring av både legevaktstruktur (færre og større legevaktdistrikter) og organisering av de enkelte legevaktdistriktene.</w:t>
            </w:r>
          </w:p>
          <w:p w14:paraId="23757AFD" w14:textId="77777777" w:rsidR="008904EA" w:rsidRPr="00F33170" w:rsidRDefault="008904EA" w:rsidP="008904EA">
            <w:r w:rsidRPr="00F33170">
              <w:t>For å sikre rekruttering til både interkommunale legevaktdistrikt og særlig mindre legevaktdistrikt har mange kommuner tatt i bruk ulike turnusordninger og gjort andre grep for å tiltrekke seg leger. “Nordsjøturnus” har blitt en samlebetegnelse på ulike ordninger hvor leger veksler mellom korte, intensive perioder med arbeid og lengre friperioder.</w:t>
            </w:r>
          </w:p>
          <w:p w14:paraId="6CFC0CFB" w14:textId="183B0F11" w:rsidR="008904EA" w:rsidRPr="00CD76E1" w:rsidRDefault="008904EA" w:rsidP="008904EA">
            <w:r w:rsidRPr="00F33170">
              <w:t>Et annet grep som har vært mye diskutert og utprøvd flere steder er innføring av fastlønn på legevakt. Under følger to eksempler på kommuner som har ulike former for nordsjøturnus (Luster og Lyngen) og én kommune som har innført fastlønn på legevakt (Stor-Elvdal).</w:t>
            </w:r>
          </w:p>
          <w:p w14:paraId="5379E07F" w14:textId="4772FF9A" w:rsidR="008904EA" w:rsidRPr="00F33170" w:rsidRDefault="008904EA" w:rsidP="008904EA">
            <w:pPr>
              <w:pStyle w:val="avsnitt-undertittel"/>
            </w:pPr>
            <w:r w:rsidRPr="00F33170">
              <w:t>Lyngen kommune</w:t>
            </w:r>
          </w:p>
          <w:p w14:paraId="05A64C2B" w14:textId="77777777" w:rsidR="008904EA" w:rsidRPr="00F33170" w:rsidRDefault="008904EA" w:rsidP="008904EA">
            <w:pPr>
              <w:rPr>
                <w:rFonts w:eastAsiaTheme="minorEastAsia"/>
              </w:rPr>
            </w:pPr>
            <w:r w:rsidRPr="00F33170">
              <w:rPr>
                <w:rFonts w:eastAsiaTheme="minorEastAsia"/>
              </w:rPr>
              <w:t>Lyngen kommune har 2800 innbyggere, og har lange avstander innad i kommunen og 90 minutters reisevei til Tromsø. Hyppige legevakter skapte utfordringer med å rekruttere fastleger. Samtidig ønsket Lyngen å beholde legevakten i egen kommune, for å unngå lange avstander og utrygghet for befolkningen. Kommunen valgte å innføre ny struktur for legevakt, og utformet en nordsjøturnus for vaktleger. Turnusen omfatter tre leger, inkludert 40 prosent kommunalt tilsyn på sykehjem i ordinær arbeidstid. Legene jobber to uker på, fire uker av, og har en egen jobbturnus i arbeidsperioden. Nordsjøturnus-legene dekker hverandre ved ferie og fravær.</w:t>
            </w:r>
          </w:p>
          <w:p w14:paraId="57C4D3E7" w14:textId="77777777" w:rsidR="008904EA" w:rsidRPr="00F33170" w:rsidRDefault="008904EA" w:rsidP="008904EA">
            <w:pPr>
              <w:rPr>
                <w:rFonts w:eastAsiaTheme="minorEastAsia"/>
              </w:rPr>
            </w:pPr>
            <w:r w:rsidRPr="00F33170">
              <w:rPr>
                <w:rFonts w:eastAsiaTheme="minorEastAsia"/>
              </w:rPr>
              <w:t>Ordningen avlaster fastlegene og gir en stabil legevaktsordning med faste vaktleger som kjenner pasientene. Den sikrer kontinuitet og kompetanse i distriktet og er en populær ordning, både blant fastleger og leger i nordsjøturnusen. Kommunen oppgir at det er en økonomisk gunstig ordning for dem, sammenlignet med bruk av kostbare vikarbyrå.</w:t>
            </w:r>
          </w:p>
          <w:p w14:paraId="35022D4B" w14:textId="77777777" w:rsidR="008904EA" w:rsidRPr="00F33170" w:rsidRDefault="008904EA" w:rsidP="008904EA">
            <w:pPr>
              <w:rPr>
                <w:rFonts w:eastAsiaTheme="minorEastAsia"/>
              </w:rPr>
            </w:pPr>
            <w:r w:rsidRPr="00F33170">
              <w:rPr>
                <w:rFonts w:eastAsiaTheme="minorEastAsia"/>
              </w:rPr>
              <w:t>Kommunen trekker fram noen utfordringer og forutsetninger, som sårbarhet ved sykdom hos nordsjøturnuslegene og godt samarbeid mellom fastleger og legene i nordsjøturnus om felles praksis. Det er også noe begrenset mulighet for oppfølging av pasienter for legene i nordsjøturnus, og fastlegene får mindre erfaring med akutte tilstander og trening i akutte hendelser.</w:t>
            </w:r>
          </w:p>
          <w:p w14:paraId="78FA2CB9" w14:textId="77777777" w:rsidR="008904EA" w:rsidRPr="00F33170" w:rsidRDefault="008904EA" w:rsidP="008904EA">
            <w:pPr>
              <w:pStyle w:val="avsnitt-undertittel"/>
            </w:pPr>
            <w:r w:rsidRPr="00F33170">
              <w:rPr>
                <w:rFonts w:eastAsia="Arial"/>
              </w:rPr>
              <w:lastRenderedPageBreak/>
              <w:t>S</w:t>
            </w:r>
            <w:r w:rsidRPr="00F33170">
              <w:t>tor-Elvdal kommune</w:t>
            </w:r>
          </w:p>
          <w:p w14:paraId="3092AEAB" w14:textId="77777777" w:rsidR="008904EA" w:rsidRPr="00F33170" w:rsidRDefault="008904EA" w:rsidP="008904EA">
            <w:pPr>
              <w:rPr>
                <w:rFonts w:eastAsiaTheme="minorEastAsia"/>
              </w:rPr>
            </w:pPr>
            <w:r w:rsidRPr="00F33170">
              <w:rPr>
                <w:rFonts w:eastAsiaTheme="minorEastAsia"/>
              </w:rPr>
              <w:t>Stor-Elvdal kommune har 2 400 innbyggere og egen legevakt. Av geografiske årsaker, er det utfordrende å inngå i interkommunalt legevaktsamarbeid. På grunn av store utfordringer med bemanning av legevakt har kommunen brukt kostbar vikarstafett, med lite kontinuitet i legetjenesten. Stor-Elvdal besluttet å bemanne opp fastlegetjenesten og legevakt, fra tre leger og en LIS 1-lege, til seks leger og en LIS1-lege, hvorav én kommunelege. Allmennlegetjenesten er organisert med arbeidsplan for alle legene i 100 prosent stilling inkludert legevakt, som ubundet og bundet arbeidstid. Arbeidsplanen gir forutsigbarhet og kontinuitet, og har gitt en akseptabel vaktbelastning. Alle allmennlegestillingene i kommunen er nå besatt av erfarne spesialister i allmennmedisin.</w:t>
            </w:r>
          </w:p>
          <w:p w14:paraId="18F00390" w14:textId="386AC247" w:rsidR="008904EA" w:rsidRPr="008904EA" w:rsidRDefault="008904EA" w:rsidP="008904EA">
            <w:pPr>
              <w:rPr>
                <w:caps/>
              </w:rPr>
            </w:pPr>
            <w:r w:rsidRPr="00F33170">
              <w:rPr>
                <w:rFonts w:eastAsiaTheme="minorEastAsia"/>
              </w:rPr>
              <w:t>Foreløpige tilbakemeldinger fra befolkning og leger er meget positive. Det er for tidlig å si noe sikkert om økonomien i ordningen, men utgiftene til allmennlegetjenesten virker ikke å være høyere enn tidligere år, og forutsigbarheten er langt bedre.</w:t>
            </w:r>
          </w:p>
        </w:tc>
      </w:tr>
    </w:tbl>
    <w:p w14:paraId="47FE5B8E" w14:textId="77777777" w:rsidR="00D9107F" w:rsidRDefault="00B66EE1" w:rsidP="00775632">
      <w:pPr>
        <w:pStyle w:val="Overskrift2"/>
      </w:pPr>
      <w:bookmarkStart w:id="4309" w:name="_Toc130932207"/>
      <w:bookmarkStart w:id="4310" w:name="_Toc130934498"/>
      <w:bookmarkStart w:id="4311" w:name="_Toc130983631"/>
      <w:bookmarkStart w:id="4312" w:name="_Toc130983980"/>
      <w:bookmarkStart w:id="4313" w:name="_Toc131062248"/>
      <w:bookmarkStart w:id="4314" w:name="_Toc131062502"/>
      <w:bookmarkStart w:id="4315" w:name="_Toc131062763"/>
      <w:bookmarkStart w:id="4316" w:name="_Toc131063016"/>
      <w:bookmarkStart w:id="4317" w:name="_Toc131063799"/>
      <w:bookmarkStart w:id="4318" w:name="_Toc131064210"/>
      <w:bookmarkStart w:id="4319" w:name="_Toc131238546"/>
      <w:bookmarkStart w:id="4320" w:name="_Toc125980970"/>
      <w:bookmarkStart w:id="4321" w:name="_Toc127633308"/>
      <w:bookmarkStart w:id="4322" w:name="_Toc127864593"/>
      <w:bookmarkStart w:id="4323" w:name="_Toc128238607"/>
      <w:bookmarkStart w:id="4324" w:name="_Toc128467437"/>
      <w:bookmarkStart w:id="4325" w:name="_Toc128744681"/>
      <w:bookmarkStart w:id="4326" w:name="_Toc128744900"/>
      <w:bookmarkStart w:id="4327" w:name="_Toc129630403"/>
      <w:bookmarkStart w:id="4328" w:name="_Toc130763913"/>
      <w:bookmarkStart w:id="4329" w:name="_Toc130766808"/>
      <w:bookmarkStart w:id="4330" w:name="_Toc132537049"/>
      <w:bookmarkStart w:id="4331" w:name="_Toc131279578"/>
      <w:bookmarkStart w:id="4332" w:name="_Toc131286990"/>
      <w:bookmarkStart w:id="4333" w:name="_Toc131281400"/>
      <w:bookmarkStart w:id="4334" w:name="_Toc131317940"/>
      <w:r w:rsidRPr="00526AAF">
        <w:lastRenderedPageBreak/>
        <w:t>Hovedutfordringer legevakt</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p>
    <w:p w14:paraId="5ECF5DC4" w14:textId="4CE9FF92" w:rsidR="00FB4EA8" w:rsidRPr="003E1CBE" w:rsidRDefault="49BBE660" w:rsidP="005C71F0">
      <w:pPr>
        <w:jc w:val="both"/>
      </w:pPr>
      <w:r>
        <w:t>U</w:t>
      </w:r>
      <w:r w:rsidR="09A51149">
        <w:t xml:space="preserve">tfordringer med å rekruttere og beholde fastleger </w:t>
      </w:r>
      <w:r>
        <w:t xml:space="preserve">har </w:t>
      </w:r>
      <w:r w:rsidR="09A51149" w:rsidRPr="01CDC4FD">
        <w:t>direkte påvirkning på bemanning av legevakt og vaktbelastning for legene</w:t>
      </w:r>
      <w:r w:rsidR="09A51149">
        <w:t>.</w:t>
      </w:r>
      <w:r w:rsidR="09A51149" w:rsidRPr="01CDC4FD">
        <w:t xml:space="preserve"> </w:t>
      </w:r>
      <w:r w:rsidR="1533ACC4">
        <w:t>Kartleggingen utført at</w:t>
      </w:r>
      <w:r w:rsidR="09A51149" w:rsidRPr="01CDC4FD">
        <w:t xml:space="preserve"> ekspertgruppe legevakt </w:t>
      </w:r>
      <w:r w:rsidR="09A51149">
        <w:t>viste hvordan fastlegeordningen og status i legevaktordningen påvirker hverandre gjensidig</w:t>
      </w:r>
      <w:r w:rsidR="009A0123">
        <w:t>,</w:t>
      </w:r>
      <w:r w:rsidR="09A51149">
        <w:t xml:space="preserve"> siden fastlegene er stammen i legevakttjenesten i de aller fleste kommuner. Fastlegene er viktige i legevaktordningen</w:t>
      </w:r>
      <w:r w:rsidR="009A0123">
        <w:t>,</w:t>
      </w:r>
      <w:r w:rsidR="09A51149">
        <w:t xml:space="preserve"> i </w:t>
      </w:r>
      <w:r w:rsidR="299A989C">
        <w:t xml:space="preserve">både </w:t>
      </w:r>
      <w:r w:rsidR="2C5D8BD5">
        <w:t>folkerike og mindre folkerike</w:t>
      </w:r>
      <w:r w:rsidR="09A51149">
        <w:t xml:space="preserve"> kommune</w:t>
      </w:r>
      <w:r w:rsidR="009A0123">
        <w:t>r</w:t>
      </w:r>
      <w:r w:rsidR="001E4839">
        <w:t xml:space="preserve"> </w:t>
      </w:r>
      <w:r w:rsidR="00EF59B6">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EF59B6">
        <w:fldChar w:fldCharType="separate"/>
      </w:r>
      <w:r w:rsidR="00CE2F35">
        <w:rPr>
          <w:noProof/>
        </w:rPr>
        <w:t>(Ekspertgruppe legevakt, 2021)</w:t>
      </w:r>
      <w:r w:rsidR="00EF59B6">
        <w:fldChar w:fldCharType="end"/>
      </w:r>
      <w:r w:rsidR="00A82CDF">
        <w:t>.</w:t>
      </w:r>
    </w:p>
    <w:p w14:paraId="6178C781" w14:textId="1C121EA0" w:rsidR="00CA575F" w:rsidRDefault="5A95D1FA" w:rsidP="005C71F0">
      <w:pPr>
        <w:jc w:val="both"/>
      </w:pPr>
      <w:r>
        <w:t xml:space="preserve">Utfordringer </w:t>
      </w:r>
      <w:r w:rsidR="622B5B68">
        <w:t xml:space="preserve">med å rekruttere og beholde </w:t>
      </w:r>
      <w:r w:rsidR="1B064563">
        <w:t xml:space="preserve">fastleger </w:t>
      </w:r>
      <w:r w:rsidR="50C3E68D">
        <w:t>i distriktene</w:t>
      </w:r>
      <w:r w:rsidR="053CBA4D">
        <w:t>, samt</w:t>
      </w:r>
      <w:r w:rsidR="3F1A8AB9">
        <w:t xml:space="preserve"> å </w:t>
      </w:r>
      <w:r w:rsidR="0751FC65">
        <w:t xml:space="preserve">ha </w:t>
      </w:r>
      <w:r w:rsidR="1B064563">
        <w:t xml:space="preserve">en </w:t>
      </w:r>
      <w:r w:rsidR="0751FC65">
        <w:t xml:space="preserve">stabil og </w:t>
      </w:r>
      <w:r w:rsidR="008C5DD4">
        <w:t xml:space="preserve">robust </w:t>
      </w:r>
      <w:r w:rsidR="0751FC65">
        <w:t>legevaktbemanning</w:t>
      </w:r>
      <w:r w:rsidR="009A0123">
        <w:t>,</w:t>
      </w:r>
      <w:r w:rsidR="0751FC65">
        <w:t xml:space="preserve"> har</w:t>
      </w:r>
      <w:r w:rsidR="1B064563">
        <w:t xml:space="preserve"> vært kjent over tid.</w:t>
      </w:r>
      <w:r w:rsidR="0751FC65">
        <w:t xml:space="preserve"> </w:t>
      </w:r>
      <w:r w:rsidR="6B0DCD84">
        <w:t>De senere årene melder stadig flere folkerike kommuner at rekrutteringsutfordringer i fastlegetjenesten forplanter seg til legevakt. Legeløse lister, høy arbeidsbelastning og manglende kapasitet til å følge opp egen praksis pekes på som årsaker til at flere fastleger ikke kan eller ønsker å delta i legevakt. Det gir færre leger i vaktordningen og høyere vaktbelastning på gjenværende leger</w:t>
      </w:r>
      <w:r w:rsidR="007F1CD5">
        <w:t xml:space="preserve"> </w:t>
      </w:r>
      <w:r w:rsidR="00EF59B6">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EF59B6">
        <w:fldChar w:fldCharType="separate"/>
      </w:r>
      <w:r w:rsidR="00CE2F35">
        <w:rPr>
          <w:noProof/>
        </w:rPr>
        <w:t>(Ekspertgruppe legevakt, 2021)</w:t>
      </w:r>
      <w:r w:rsidR="00EF59B6">
        <w:fldChar w:fldCharType="end"/>
      </w:r>
      <w:r w:rsidR="6B0DCD84">
        <w:t>.</w:t>
      </w:r>
    </w:p>
    <w:p w14:paraId="3D338CED" w14:textId="77777777" w:rsidR="00D9107F" w:rsidRDefault="6B0DCD84" w:rsidP="005C71F0">
      <w:pPr>
        <w:jc w:val="both"/>
      </w:pPr>
      <w:r>
        <w:t>Problemer med rekruttering til fastlegestillinger medfører at færre fastleger er tilgjengelige i legevaktordningen</w:t>
      </w:r>
      <w:r w:rsidR="09A51149">
        <w:t>.</w:t>
      </w:r>
      <w:r>
        <w:t xml:space="preserve"> Antall leger i vaktordningen er også relatert til fastlegens alder. Fastleger har rett til fritak fra legevaktarbeid etter fylte 60 år. Fritaket er krevende for kommuner med stor andel fastleger over 60 år, og er særlig sårbart for</w:t>
      </w:r>
      <w:r w:rsidDel="00BF3B3B">
        <w:t xml:space="preserve"> </w:t>
      </w:r>
      <w:r w:rsidR="00BF3B3B">
        <w:t>mindre folkerike</w:t>
      </w:r>
      <w:r>
        <w:t xml:space="preserve"> kommuner med få leger i legevaktordningen</w:t>
      </w:r>
      <w:r w:rsidR="00EA5761">
        <w:t xml:space="preserve"> </w:t>
      </w:r>
      <w:r w:rsidR="00EF59B6">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EF59B6">
        <w:fldChar w:fldCharType="separate"/>
      </w:r>
      <w:r w:rsidR="00CE2F35">
        <w:rPr>
          <w:noProof/>
        </w:rPr>
        <w:t>(EY og Vista Analyse, 2019)</w:t>
      </w:r>
      <w:r w:rsidR="00EF59B6">
        <w:fldChar w:fldCharType="end"/>
      </w:r>
      <w:r w:rsidRPr="008F5AD8">
        <w:t>.</w:t>
      </w:r>
      <w:r>
        <w:t xml:space="preserve"> </w:t>
      </w:r>
      <w:r w:rsidR="00092211">
        <w:t>I en kartlegging av SSB i 2021 oppgav totalt 37 prosent av kommunene utfordringer med å bemanne legevaktstillinger</w:t>
      </w:r>
      <w:r w:rsidR="00E21005">
        <w:t xml:space="preserve">, </w:t>
      </w:r>
      <w:r w:rsidR="00D377AB">
        <w:t xml:space="preserve">og </w:t>
      </w:r>
      <w:r w:rsidR="003744BC">
        <w:t>vanligst var utfordringer knyttet til</w:t>
      </w:r>
      <w:r w:rsidR="00D377AB">
        <w:t xml:space="preserve"> fastleger, men også fast ansatte legevaktsleger, andre leger og sykepleier</w:t>
      </w:r>
      <w:r w:rsidR="00CC6C6B">
        <w:t xml:space="preserve">e </w:t>
      </w:r>
      <w:r w:rsidR="00D078E3">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D078E3">
        <w:fldChar w:fldCharType="separate"/>
      </w:r>
      <w:r w:rsidR="00D078E3">
        <w:rPr>
          <w:noProof/>
        </w:rPr>
        <w:t>(Ekornrud et al., 2023)</w:t>
      </w:r>
      <w:r w:rsidR="00D078E3">
        <w:fldChar w:fldCharType="end"/>
      </w:r>
      <w:r w:rsidR="00D377AB">
        <w:t>.</w:t>
      </w:r>
    </w:p>
    <w:p w14:paraId="35EBEDC7" w14:textId="040B366C" w:rsidR="004C7C67" w:rsidRDefault="00464BF3" w:rsidP="005C71F0">
      <w:pPr>
        <w:jc w:val="both"/>
      </w:pPr>
      <w:r>
        <w:lastRenderedPageBreak/>
        <w:t>K</w:t>
      </w:r>
      <w:r w:rsidR="004C7C67">
        <w:t>ommunens rammer for å tilby legevakttjenester er knyttet til en rekke faktorer</w:t>
      </w:r>
      <w:r w:rsidR="00CC6C6B">
        <w:t>,</w:t>
      </w:r>
      <w:r w:rsidR="004C7C67">
        <w:t xml:space="preserve"> som kommunens størrelse og sentralitet, geografiske forhold, befolkningsgrunnlag og boset</w:t>
      </w:r>
      <w:r w:rsidR="00CC6C6B">
        <w:t>t</w:t>
      </w:r>
      <w:r w:rsidR="004C7C67">
        <w:t xml:space="preserve">ingsmønster, økonomi og antall leger i vaktordningen. </w:t>
      </w:r>
      <w:r w:rsidR="00D501F0">
        <w:t>Det</w:t>
      </w:r>
      <w:r w:rsidR="00CC6C6B">
        <w:t>te</w:t>
      </w:r>
      <w:r w:rsidR="00D501F0">
        <w:t xml:space="preserve"> gir seg utt</w:t>
      </w:r>
      <w:r w:rsidR="009420D7">
        <w:t>ry</w:t>
      </w:r>
      <w:r w:rsidR="00D501F0">
        <w:t>kk i store forskjeller i hvordan legevakt organiseres, størrelse på legevaktdistriktene</w:t>
      </w:r>
      <w:r w:rsidR="00CC6C6B">
        <w:t>,</w:t>
      </w:r>
      <w:r w:rsidR="00D501F0">
        <w:t xml:space="preserve"> og antall leger og hvilke leger som inngår i vaktordningen, på tvers av landet. </w:t>
      </w:r>
      <w:r w:rsidR="004C7C67">
        <w:t>Det er følgelig også stor variasjon i utfordringsbildet mellom kommunene.</w:t>
      </w:r>
    </w:p>
    <w:p w14:paraId="40A2308B" w14:textId="59933E20" w:rsidR="004C7C67" w:rsidRDefault="004C7C67" w:rsidP="005C71F0">
      <w:pPr>
        <w:jc w:val="both"/>
      </w:pPr>
      <w:r>
        <w:t>Utfordringene som beskrives i dette kapit</w:t>
      </w:r>
      <w:r w:rsidR="00B3591E">
        <w:t>te</w:t>
      </w:r>
      <w:r>
        <w:t>let er ikke uttømmende</w:t>
      </w:r>
      <w:r w:rsidR="00CC6C6B">
        <w:t>,</w:t>
      </w:r>
      <w:r>
        <w:t xml:space="preserve"> men omhandler i hovedsak de aspektene som utvalget vurderer er relevante for mandatet. Det vil i stor grad vises til tidligere utredninger i beskrivelse</w:t>
      </w:r>
      <w:r w:rsidR="00CC6C6B">
        <w:t>n</w:t>
      </w:r>
      <w:r>
        <w:t>.</w:t>
      </w:r>
    </w:p>
    <w:p w14:paraId="65065724" w14:textId="48951268" w:rsidR="001B1DA2" w:rsidRDefault="001B1DA2" w:rsidP="00775632">
      <w:pPr>
        <w:pStyle w:val="Overskrift3"/>
      </w:pPr>
      <w:bookmarkStart w:id="4335" w:name="_Toc130763915"/>
      <w:bookmarkStart w:id="4336" w:name="_Toc130766810"/>
      <w:bookmarkStart w:id="4337" w:name="_Toc130932209"/>
      <w:bookmarkStart w:id="4338" w:name="_Toc130934500"/>
      <w:bookmarkStart w:id="4339" w:name="_Toc130983633"/>
      <w:bookmarkStart w:id="4340" w:name="_Toc130983982"/>
      <w:bookmarkStart w:id="4341" w:name="_Toc131062250"/>
      <w:bookmarkStart w:id="4342" w:name="_Toc131062504"/>
      <w:bookmarkStart w:id="4343" w:name="_Toc131062765"/>
      <w:bookmarkStart w:id="4344" w:name="_Toc131063018"/>
      <w:bookmarkStart w:id="4345" w:name="_Toc131063801"/>
      <w:bookmarkStart w:id="4346" w:name="_Toc131064212"/>
      <w:bookmarkStart w:id="4347" w:name="_Toc131279579"/>
      <w:bookmarkStart w:id="4348" w:name="_Toc131286991"/>
      <w:bookmarkStart w:id="4349" w:name="_Toc131281401"/>
      <w:bookmarkStart w:id="4350" w:name="_Toc131317941"/>
      <w:bookmarkStart w:id="4351" w:name="_Toc132537050"/>
      <w:r>
        <w:t>Størst vaktbelastning og sårbar vaktordning i distrikt</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3F49F08C" w14:textId="6B3A2B89" w:rsidR="001B1DA2" w:rsidRDefault="001B1DA2" w:rsidP="005C71F0">
      <w:pPr>
        <w:jc w:val="both"/>
      </w:pPr>
      <w:r>
        <w:t xml:space="preserve">Fastleger bidrar til legevaktarbeid i over 90 </w:t>
      </w:r>
      <w:r w:rsidR="00CC6C6B">
        <w:t>prosent</w:t>
      </w:r>
      <w:r>
        <w:t xml:space="preserve"> av kommunene</w:t>
      </w:r>
      <w:r w:rsidR="00CC6C6B">
        <w:t>,</w:t>
      </w:r>
      <w:r>
        <w:t xml:space="preserve"> uavhengig av sentralitet, men vaktbelastning for legene skiller seg vesentlig mellom befolkningsmessig små og store kommuner. I de minste kommunene har 70 </w:t>
      </w:r>
      <w:r w:rsidR="00CC6C6B">
        <w:t xml:space="preserve">prosent </w:t>
      </w:r>
      <w:r>
        <w:t xml:space="preserve">eller mer av fastlegene legevakt. I </w:t>
      </w:r>
      <w:r w:rsidR="00907B17">
        <w:t>de befolkningsrike</w:t>
      </w:r>
      <w:r>
        <w:t xml:space="preserve"> kommunene har cirka en tredjedel av fastlegene legevakt, mens to tredjedeler ikke har legevakt, enten på grunn av fritak eller fordi de gir bort vaktene til andre leger </w:t>
      </w:r>
      <w:r w:rsidR="003C34CB">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3C34CB">
        <w:fldChar w:fldCharType="separate"/>
      </w:r>
      <w:r w:rsidR="00CE2F35">
        <w:rPr>
          <w:noProof/>
        </w:rPr>
        <w:t>(Ekspertgruppe legevakt, 2021)</w:t>
      </w:r>
      <w:r w:rsidR="003C34CB">
        <w:fldChar w:fldCharType="end"/>
      </w:r>
      <w:r>
        <w:t>.</w:t>
      </w:r>
    </w:p>
    <w:p w14:paraId="35EA65F4" w14:textId="77777777" w:rsidR="00D9107F" w:rsidRDefault="001B1DA2" w:rsidP="005C71F0">
      <w:pPr>
        <w:jc w:val="both"/>
      </w:pPr>
      <w:r>
        <w:t>Fastleger i mindre legevaktdistrikt har flere timer legevakt og hyppigere helgevakt enn fastleger i større distrikt, og andelen som har nattevakt er betydelig større.</w:t>
      </w:r>
      <w:r w:rsidR="00F163A3">
        <w:t xml:space="preserve"> Det er også i disse distriktene legene oftest har legevakt alene</w:t>
      </w:r>
      <w:r w:rsidR="00CC6C6B">
        <w:t>,</w:t>
      </w:r>
      <w:r w:rsidR="00F163A3">
        <w:t xml:space="preserve"> uten annet personell tilgjengelig.</w:t>
      </w:r>
      <w:r>
        <w:t xml:space="preserve"> Mens nesten alle fastleger som har legevakt i små legevaktdistrikt har nattevakt, gjelder det bare noe over halvparten i de største distriktene. </w:t>
      </w:r>
      <w:r w:rsidRPr="007E373F">
        <w:t>Fastleger over 60 år i mindre legevaktdistrikt har i snitt mange flere vakter enn kollegaene i større legevaktdistrikt, hvor gjennomsnittet er tilnærmet null vakter</w:t>
      </w:r>
      <w:r>
        <w:t xml:space="preserve"> </w:t>
      </w:r>
      <w:r w:rsidR="003C34CB">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3C34CB">
        <w:fldChar w:fldCharType="separate"/>
      </w:r>
      <w:r w:rsidR="00CE2F35">
        <w:rPr>
          <w:noProof/>
        </w:rPr>
        <w:t>(Ekspertgruppe legevakt, 2021)</w:t>
      </w:r>
      <w:r w:rsidR="003C34CB">
        <w:fldChar w:fldCharType="end"/>
      </w:r>
      <w:r>
        <w:t>.</w:t>
      </w:r>
    </w:p>
    <w:p w14:paraId="6CE15869" w14:textId="7DB222B5" w:rsidR="001E0AA3" w:rsidRDefault="004C0F6E" w:rsidP="005C71F0">
      <w:pPr>
        <w:jc w:val="both"/>
      </w:pPr>
      <w:r>
        <w:t xml:space="preserve">Det er en relativ stabil </w:t>
      </w:r>
      <w:r w:rsidR="009420D7">
        <w:t>utvikling</w:t>
      </w:r>
      <w:r>
        <w:t xml:space="preserve"> </w:t>
      </w:r>
      <w:r w:rsidR="00447F8C">
        <w:t xml:space="preserve">i andelen fastleger som </w:t>
      </w:r>
      <w:r w:rsidR="00623B06">
        <w:t>har</w:t>
      </w:r>
      <w:r w:rsidR="00447F8C">
        <w:t xml:space="preserve"> legevakt i perioden 2010 til 2021</w:t>
      </w:r>
      <w:r w:rsidR="00623B06">
        <w:t>, med en liten tendens til</w:t>
      </w:r>
      <w:r w:rsidR="004E352E">
        <w:t xml:space="preserve"> </w:t>
      </w:r>
      <w:r w:rsidR="00623B06">
        <w:t xml:space="preserve">nedgang </w:t>
      </w:r>
      <w:r w:rsidR="004E352E">
        <w:t>i andelen fastleger</w:t>
      </w:r>
      <w:r w:rsidR="00D52226">
        <w:t xml:space="preserve"> som har mer enn 50 legevakter per år i de minst folkerike kommunene (&lt; 3000 innbyggere)</w:t>
      </w:r>
      <w:r w:rsidR="009B35E4">
        <w:t xml:space="preserve"> (</w:t>
      </w:r>
      <w:r w:rsidR="006E6074">
        <w:t>figur 2-35,</w:t>
      </w:r>
      <w:r w:rsidR="001B46E4">
        <w:t xml:space="preserve"> kapittel 2.3.7</w:t>
      </w:r>
      <w:r w:rsidR="009B35E4">
        <w:t xml:space="preserve">.) </w:t>
      </w:r>
      <w:r w:rsidR="00E724A3">
        <w:fldChar w:fldCharType="begin"/>
      </w:r>
      <w:r w:rsidR="00856689">
        <w:instrText xml:space="preserve"> ADDIN EN.CITE &lt;EndNote&gt;&lt;Cite&gt;&lt;Author&gt;Skyrud&lt;/Author&gt;&lt;Year&gt;2023&lt;/Year&gt;&lt;RecNum&gt;901&lt;/RecNum&gt;&lt;DisplayText&gt;(Skyrud et al., 2023)&lt;/DisplayText&gt;&lt;record&gt;&lt;rec-number&gt;901&lt;/rec-number&gt;&lt;foreign-keys&gt;&lt;key app="EN" db-id="95tpr2tp6r9xwoea9rb5wdsz5ds5xeddteew" timestamp="1680121690"&gt;901&lt;/key&gt;&lt;/foreign-keys&gt;&lt;ref-type name="Report"&gt;27&lt;/ref-type&gt;&lt;contributors&gt;&lt;authors&gt;&lt;author&gt;Skyrud, K.D.&lt;/author&gt;&lt;author&gt;Rotevatn, T.&lt;/author&gt;&lt;/authors&gt;&lt;/contributors&gt;&lt;titles&gt;&lt;title&gt;Utvikling i fastlegenes arbeidsmendge og situasjon over tid.&lt;/title&gt;&lt;/titles&gt;&lt;dates&gt;&lt;year&gt;2023&lt;/year&gt;&lt;/dates&gt;&lt;pub-location&gt;Oslo&lt;/pub-location&gt;&lt;publisher&gt;Folkehelseinstituttet&lt;/publisher&gt;&lt;urls&gt;&lt;/urls&gt;&lt;/record&gt;&lt;/Cite&gt;&lt;/EndNote&gt;</w:instrText>
      </w:r>
      <w:r w:rsidR="00E724A3">
        <w:fldChar w:fldCharType="separate"/>
      </w:r>
      <w:r w:rsidR="00856689">
        <w:rPr>
          <w:noProof/>
        </w:rPr>
        <w:t>(Skyrud et al., 2023)</w:t>
      </w:r>
      <w:r w:rsidR="00E724A3">
        <w:fldChar w:fldCharType="end"/>
      </w:r>
      <w:r w:rsidR="004C28E6">
        <w:t>.</w:t>
      </w:r>
    </w:p>
    <w:p w14:paraId="4D19B08D" w14:textId="1E395BC3" w:rsidR="00E66330" w:rsidRDefault="00966B58" w:rsidP="005C71F0">
      <w:pPr>
        <w:jc w:val="both"/>
      </w:pPr>
      <w:r>
        <w:t>Legevakt i distrikt preges av stor grad av beredskap. Det innebærer at lege i vakt må rykke ut ved ulykker og andre alvorlige hendelser</w:t>
      </w:r>
      <w:r w:rsidR="00CC6C6B">
        <w:t>,</w:t>
      </w:r>
      <w:r>
        <w:t xml:space="preserve"> og risikere å stå alene med pasienter i akutte situasjoner før annet personell</w:t>
      </w:r>
      <w:r w:rsidR="00CC6C6B">
        <w:t>,</w:t>
      </w:r>
      <w:r>
        <w:t xml:space="preserve"> som ambulanse</w:t>
      </w:r>
      <w:r w:rsidR="00CC6C6B">
        <w:t>,</w:t>
      </w:r>
      <w:r>
        <w:t xml:space="preserve"> ankommer. Samtidig gjør lang vei til sykehus situasjonen ytterligere sårbar. </w:t>
      </w:r>
      <w:r w:rsidR="00916F92">
        <w:t xml:space="preserve">Slike situasjoner </w:t>
      </w:r>
      <w:r w:rsidR="00ED36D0">
        <w:t>beskrives som tyngende</w:t>
      </w:r>
      <w:r w:rsidR="00E66330">
        <w:t xml:space="preserve"> </w:t>
      </w:r>
      <w:r w:rsidR="00CC6C6B">
        <w:t>for</w:t>
      </w:r>
      <w:r w:rsidR="00E66330">
        <w:t xml:space="preserve"> både fastleger og kommunale ledere i små distriktskommuner </w:t>
      </w:r>
      <w:r w:rsidR="003C34CB">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3C34CB">
        <w:fldChar w:fldCharType="separate"/>
      </w:r>
      <w:r w:rsidR="00CE2F35">
        <w:rPr>
          <w:noProof/>
        </w:rPr>
        <w:t>(EY og Vista Analyse, 2019)</w:t>
      </w:r>
      <w:r w:rsidR="003C34CB">
        <w:fldChar w:fldCharType="end"/>
      </w:r>
      <w:r w:rsidR="00E66330">
        <w:t>.</w:t>
      </w:r>
    </w:p>
    <w:p w14:paraId="0EEAD5FE" w14:textId="32AF942B" w:rsidR="001B1DA2" w:rsidRDefault="001B1DA2" w:rsidP="005C71F0">
      <w:pPr>
        <w:jc w:val="both"/>
      </w:pPr>
      <w:r w:rsidRPr="00A55ADC">
        <w:t>Belastningen av vakt kan oppleves større ved tilstedeværelsesplikt. I utgangspunktet er det kun legevaktdistrikt i vaktklasse 4 som har tilstedeværelsesplikt på legevakt. Imidlertid praktiserer omtrent hver femte kommune tilstedeværelsesplikt ved beredskapsvakt</w:t>
      </w:r>
      <w:r w:rsidR="00CC6C6B" w:rsidRPr="00A55ADC">
        <w:t>,</w:t>
      </w:r>
      <w:r w:rsidRPr="00A55ADC">
        <w:t xml:space="preserve"> grunnet lang reisevei fra vaktlegens hjem til legevakt.</w:t>
      </w:r>
      <w:r w:rsidR="00CC6C6B" w:rsidRPr="00A55ADC">
        <w:t xml:space="preserve"> </w:t>
      </w:r>
      <w:r>
        <w:t xml:space="preserve">Kompetansekravet i akuttmedisinforskriften har også bidratt til </w:t>
      </w:r>
      <w:r>
        <w:lastRenderedPageBreak/>
        <w:t xml:space="preserve">økt vaktbelastning for vaktkompetente leger, særlig i </w:t>
      </w:r>
      <w:r w:rsidR="000634D0">
        <w:t xml:space="preserve">befolkningsmessig </w:t>
      </w:r>
      <w:r>
        <w:t xml:space="preserve">små kommuner </w:t>
      </w:r>
      <w:r w:rsidR="003C34CB">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3C34CB">
        <w:fldChar w:fldCharType="separate"/>
      </w:r>
      <w:r w:rsidR="00CE2F35">
        <w:rPr>
          <w:noProof/>
        </w:rPr>
        <w:t>(EY og Vista Analyse, 2019)</w:t>
      </w:r>
      <w:r w:rsidR="003C34CB">
        <w:fldChar w:fldCharType="end"/>
      </w:r>
      <w:r>
        <w:t xml:space="preserve">. Her har spesialister i allmennmedisin i snitt mer enn dobbelt så mange legevakter per år, sammenlignet med større </w:t>
      </w:r>
      <w:r w:rsidR="009420D7">
        <w:t>kommuner.</w:t>
      </w:r>
      <w:r w:rsidR="001767EB" w:rsidRPr="00A55ADC">
        <w:t xml:space="preserve"> </w:t>
      </w:r>
      <w:r>
        <w:t xml:space="preserve">Det er </w:t>
      </w:r>
      <w:r w:rsidR="001767EB">
        <w:t xml:space="preserve">også </w:t>
      </w:r>
      <w:r>
        <w:t xml:space="preserve">en større andel små kommuner med sårbar vaktordning. Andelen kommuner med tre leger eller færre i legevaktordningen på fast basis er økende med fallende antall innbyggere. </w:t>
      </w:r>
      <w:r w:rsidRPr="003F2B49">
        <w:t xml:space="preserve">En av fire av kommunene med </w:t>
      </w:r>
      <w:r>
        <w:t>under</w:t>
      </w:r>
      <w:r w:rsidRPr="003F2B49">
        <w:t xml:space="preserve"> </w:t>
      </w:r>
      <w:r w:rsidR="00D9107F" w:rsidRPr="003F2B49">
        <w:t>5</w:t>
      </w:r>
      <w:r w:rsidR="00D9107F">
        <w:t> </w:t>
      </w:r>
      <w:r w:rsidR="00D9107F" w:rsidRPr="003F2B49">
        <w:t>000</w:t>
      </w:r>
      <w:r w:rsidRPr="003F2B49">
        <w:t xml:space="preserve"> innbyggere ha</w:t>
      </w:r>
      <w:r>
        <w:t>dde</w:t>
      </w:r>
      <w:r w:rsidRPr="003F2B49">
        <w:t xml:space="preserve"> hatt tre eller færre leger i vaktordningen på fast basis i løpet av det siste året</w:t>
      </w:r>
      <w:r>
        <w:t xml:space="preserve">, utenom ordinær arbeidstid </w:t>
      </w:r>
      <w:r>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fldChar w:fldCharType="separate"/>
      </w:r>
      <w:r w:rsidR="00CE2F35">
        <w:rPr>
          <w:noProof/>
        </w:rPr>
        <w:t>(Ekspertgruppe legevakt, 2021)</w:t>
      </w:r>
      <w:r>
        <w:fldChar w:fldCharType="end"/>
      </w:r>
      <w:r>
        <w:t>.</w:t>
      </w:r>
    </w:p>
    <w:p w14:paraId="68D82D80" w14:textId="77777777" w:rsidR="00CA575F" w:rsidRPr="001429EB" w:rsidRDefault="09A51149" w:rsidP="00775632">
      <w:pPr>
        <w:pStyle w:val="Overskrift3"/>
      </w:pPr>
      <w:bookmarkStart w:id="4352" w:name="_Toc128126710"/>
      <w:bookmarkStart w:id="4353" w:name="_Toc128744683"/>
      <w:bookmarkStart w:id="4354" w:name="_Toc128744902"/>
      <w:bookmarkStart w:id="4355" w:name="_Toc129630405"/>
      <w:bookmarkStart w:id="4356" w:name="_Toc130763916"/>
      <w:bookmarkStart w:id="4357" w:name="_Toc130766811"/>
      <w:bookmarkStart w:id="4358" w:name="_Toc130932210"/>
      <w:bookmarkStart w:id="4359" w:name="_Toc130934501"/>
      <w:bookmarkStart w:id="4360" w:name="_Toc130983634"/>
      <w:bookmarkStart w:id="4361" w:name="_Toc130983983"/>
      <w:bookmarkStart w:id="4362" w:name="_Toc131062251"/>
      <w:bookmarkStart w:id="4363" w:name="_Toc131062505"/>
      <w:bookmarkStart w:id="4364" w:name="_Toc131062766"/>
      <w:bookmarkStart w:id="4365" w:name="_Toc131063019"/>
      <w:bookmarkStart w:id="4366" w:name="_Toc131063802"/>
      <w:bookmarkStart w:id="4367" w:name="_Toc131064213"/>
      <w:bookmarkStart w:id="4368" w:name="_Toc131279580"/>
      <w:bookmarkStart w:id="4369" w:name="_Toc131286992"/>
      <w:bookmarkStart w:id="4370" w:name="_Toc131281402"/>
      <w:bookmarkStart w:id="4371" w:name="_Toc131317942"/>
      <w:bookmarkStart w:id="4372" w:name="_Toc132537051"/>
      <w:bookmarkStart w:id="4373" w:name="_Toc125980972"/>
      <w:bookmarkStart w:id="4374" w:name="_Toc127633310"/>
      <w:bookmarkStart w:id="4375" w:name="_Toc127864595"/>
      <w:bookmarkStart w:id="4376" w:name="_Toc128238609"/>
      <w:bookmarkStart w:id="4377" w:name="_Toc128467439"/>
      <w:r>
        <w:t>Rekrutteringseffekten av legevaktsarbeid på fastlegetjenesten</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547C7F4A" w14:textId="7EBCCACF" w:rsidR="00787C2F" w:rsidRDefault="00787C2F" w:rsidP="003B4C18">
      <w:pPr>
        <w:jc w:val="both"/>
      </w:pPr>
      <w:r>
        <w:t>Fastlegenes deltakelse i legevakt bidrar til at kompetansen og trening i å håndtere akutte tilstander vedlikeholdes, både hos den enkelte lege og i allmennlegetjenesten. I tillegg er legevaktarbeid givende for mange, og ansees som en del av allmennmedisinen.</w:t>
      </w:r>
    </w:p>
    <w:p w14:paraId="48566742" w14:textId="4AFC912E" w:rsidR="00CA575F" w:rsidRDefault="00CA575F" w:rsidP="003B4C18">
      <w:pPr>
        <w:jc w:val="both"/>
      </w:pPr>
      <w:r>
        <w:t>Fastlegen plikt</w:t>
      </w:r>
      <w:r w:rsidR="003C76FD">
        <w:t>er</w:t>
      </w:r>
      <w:r>
        <w:t xml:space="preserve"> å delta i legevakt, jf. </w:t>
      </w:r>
      <w:r w:rsidR="003C76FD">
        <w:t>f</w:t>
      </w:r>
      <w:r>
        <w:t xml:space="preserve">astlegeforskriften </w:t>
      </w:r>
      <w:r w:rsidR="00D9107F">
        <w:t>§ 1</w:t>
      </w:r>
      <w:r>
        <w:t xml:space="preserve">3. Legevaktsarbeidet kommer i tillegg til legens fastlegepraksis. Utover dette kan kommunen pålegge fastleger i fulltidspraksis inntil 7,5 timers arbeid i andre allmennlegeoppgaver. </w:t>
      </w:r>
      <w:r w:rsidR="00651241">
        <w:t xml:space="preserve">Samtidig gir </w:t>
      </w:r>
      <w:r w:rsidR="00651241" w:rsidRPr="00651241">
        <w:rPr>
          <w:color w:val="000000" w:themeColor="text1"/>
        </w:rPr>
        <w:t xml:space="preserve">det å ha en deltidsstilling for utførelse av andre allmennlegeoppgaver fastlegen rett til reduksjon i listelengde, jf. ASA 4310 pkt. 12.1. </w:t>
      </w:r>
      <w:r>
        <w:t xml:space="preserve">Dette innebærer </w:t>
      </w:r>
      <w:r w:rsidR="00CC6C6B">
        <w:t xml:space="preserve">likevel </w:t>
      </w:r>
      <w:r>
        <w:t>at fastlegens arbeid kan medføre arbeidstid langt utover en normal full stilling. Det er rimelig å anta at uforutsigbarhet i arbeidstid og omfanget av pålagte oppgaver kan påvirke legers ønske om å arbeide i fastlegeordningen, og slik bidra til en negativ rekrutteringseffekt.</w:t>
      </w:r>
    </w:p>
    <w:p w14:paraId="64A61A37" w14:textId="2818A7A8" w:rsidR="00B10FC5" w:rsidRDefault="00B10FC5" w:rsidP="003B4C18">
      <w:pPr>
        <w:jc w:val="both"/>
      </w:pPr>
      <w:r>
        <w:t xml:space="preserve">Utrygghet på vakt er en </w:t>
      </w:r>
      <w:r w:rsidR="009420D7">
        <w:t>utfordring</w:t>
      </w:r>
      <w:r>
        <w:t xml:space="preserve"> ved mange legevakter, og ble pekt på som en de-rekrutterende faktor allerede i 2015</w:t>
      </w:r>
      <w:r w:rsidR="00CC6C6B">
        <w:t>,</w:t>
      </w:r>
      <w:r>
        <w:t xml:space="preserve"> av Akuttutvalget </w:t>
      </w:r>
      <w:r w:rsidR="00EF59B6">
        <w:fldChar w:fldCharType="begin"/>
      </w:r>
      <w:r w:rsidR="00CE2F35">
        <w:instrText xml:space="preserve"> ADDIN EN.CITE &lt;EndNote&gt;&lt;Cite&gt;&lt;Author&gt;Helse- og omsorgsdepartementet&lt;/Author&gt;&lt;Year&gt;2015&lt;/Year&gt;&lt;RecNum&gt;285&lt;/RecNum&gt;&lt;DisplayText&gt;(Helse- og omsorgsdepartementet, 2015b)&lt;/DisplayText&gt;&lt;record&gt;&lt;rec-number&gt;285&lt;/rec-number&gt;&lt;foreign-keys&gt;&lt;key app="EN" db-id="95tpr2tp6r9xwoea9rb5wdsz5ds5xeddteew" timestamp="1680069511"&gt;285&lt;/key&gt;&lt;/foreign-keys&gt;&lt;ref-type name="Report"&gt;27&lt;/ref-type&gt;&lt;contributors&gt;&lt;authors&gt;&lt;author&gt;Helse- og omsorgsdepartementet,&lt;/author&gt;&lt;/authors&gt;&lt;/contributors&gt;&lt;titles&gt;&lt;title&gt;NOU 2015:17. Først og fremst. Et helhetlig system for håndtering av akutte sykdommer og skader utenfor sykehus&lt;/title&gt;&lt;/titles&gt;&lt;dates&gt;&lt;year&gt;2015&lt;/year&gt;&lt;/dates&gt;&lt;pub-location&gt;Oslo&lt;/pub-location&gt;&lt;publisher&gt;Helse- og omsorgsdepartementet,&lt;/publisher&gt;&lt;urls&gt;&lt;/urls&gt;&lt;/record&gt;&lt;/Cite&gt;&lt;/EndNote&gt;</w:instrText>
      </w:r>
      <w:r w:rsidR="00EF59B6">
        <w:fldChar w:fldCharType="separate"/>
      </w:r>
      <w:r w:rsidR="00CE2F35">
        <w:rPr>
          <w:noProof/>
        </w:rPr>
        <w:t>(Helse- og omsorgsdepartementet, 2015b)</w:t>
      </w:r>
      <w:r w:rsidR="00EF59B6">
        <w:fldChar w:fldCharType="end"/>
      </w:r>
      <w:r>
        <w:t>. I de fleste legevakt</w:t>
      </w:r>
      <w:r w:rsidR="00CC6C6B">
        <w:t>er</w:t>
      </w:r>
      <w:r>
        <w:t xml:space="preserve"> er det kun én lege på vakt, og ofte uten annet personell til stede som kan bistå. Samtidig melder legevakter om forekomst av vold og trusler </w:t>
      </w:r>
      <w:r w:rsidR="00EF59B6">
        <w:fldChar w:fldCharType="begin">
          <w:fldData xml:space="preserve">PEVuZE5vdGU+PENpdGU+PEF1dGhvcj5Nb3JrZW48L0F1dGhvcj48WWVhcj4yMDE5PC9ZZWFyPjxS
ZWNOdW0+NDQ1PC9SZWNOdW0+PERpc3BsYXlUZXh0PihKb2EgZXQgYWwuLCAyMDEyOyBNb3JrZW4g
ZXQgYWwuLCAyMDE5KTwvRGlzcGxheVRleHQ+PHJlY29yZD48cmVjLW51bWJlcj40NDU8L3JlYy1u
dW1iZXI+PGZvcmVpZ24ta2V5cz48a2V5IGFwcD0iRU4iIGRiLWlkPSI5NXRwcjJ0cDZyOXh3b2Vh
OXJiNXdkc3o1ZHM1eGVkZHRlZXciIHRpbWVzdGFtcD0iMTY4MDA2OTUxMSI+NDQ1PC9rZXk+PC9m
b3JlaWduLWtleXM+PHJlZi10eXBlIG5hbWU9IlJlcG9ydCI+Mjc8L3JlZi10eXBlPjxjb250cmli
dXRvcnM+PGF1dGhvcnM+PGF1dGhvcj5Nb3JrZW4sIFQuLDwvYXV0aG9yPjxhdXRob3I+U29sYmVy
ZywgTC4gUi4sPC9hdXRob3I+PGF1dGhvcj5BbGxlcnRzZW4sIE0uPC9hdXRob3I+PC9hdXRob3Jz
PjwvY29udHJpYnV0b3JzPjx0aXRsZXM+PHRpdGxlPkxlZ2V2YWt0b3JnYW5pc2VyaW5nIGkgTm9y
Z2UuIFJhcHBvcnQgZnJhIE5hc2pvbmFsdCBsZWdldmFrdHJlZ2lzdGVyIDIwMTg8L3RpdGxlPjwv
dGl0bGVzPjxudW1iZXI+UmFwcG9ydCBuci4gNC0yMDE5PC9udW1iZXI+PGRhdGVzPjx5ZWFyPjIw
MTk8L3llYXI+PC9kYXRlcz48cHViLWxvY2F0aW9uPkJlcmdlbjwvcHViLWxvY2F0aW9uPjxwdWJs
aXNoZXI+TmFzam9uYWx0IGtvbXBldGFuc2VzZW50ZXIgZm9yIGxlZ2V2YWt0bWVkaXNpbiwgTk9S
Q0UgTm9yd2VnaWFuIFJlc2VhcmNoIENlbnRyZTwvcHVibGlzaGVyPjx1cmxzPjwvdXJscz48L3Jl
Y29yZD48L0NpdGU+PENpdGU+PEF1dGhvcj5Kb2E8L0F1dGhvcj48WWVhcj4yMDEyPC9ZZWFyPjxS
ZWNOdW0+ODczPC9SZWNOdW0+PHJlY29yZD48cmVjLW51bWJlcj44NzM8L3JlYy1udW1iZXI+PGZv
cmVpZ24ta2V5cz48a2V5IGFwcD0iRU4iIGRiLWlkPSI5NXRwcjJ0cDZyOXh3b2VhOXJiNXdkc3o1
ZHM1eGVkZHRlZXciIHRpbWVzdGFtcD0iMTY4MDA2OTUxMSI+ODczPC9rZXk+PC9mb3JlaWduLWtl
eXM+PHJlZi10eXBlIG5hbWU9IkpvdXJuYWwgQXJ0aWNsZSI+MTc8L3JlZi10eXBlPjxjb250cmli
dXRvcnM+PGF1dGhvcnM+PGF1dGhvcj5Kb2EsIFQuIFMuPC9hdXRob3I+PGF1dGhvcj5Nb3JrZW4s
IFQuPC9hdXRob3I+PC9hdXRob3JzPjwvY29udHJpYnV0b3JzPjxhdXRoLWFkZHJlc3M+Sm9hLCBU
b3JpbGwgU2tpYmVsaS4gU2FuZG5lcyBsZWdldmFrdCwgU2FuZG5lcywgTm9yd2F5LjwvYXV0aC1h
ZGRyZXNzPjx0aXRsZXM+PHRpdGxlPlZpb2xlbmNlIHRvd2FyZHMgcGVyc29ubmVsIGluIG91dC1v
Zi1ob3VycyBwcmltYXJ5IGNhcmU6IGEgY3Jvc3Mtc2VjdGlvbmFsIHN0dWR5PC90aXRsZT48c2Vj
b25kYXJ5LXRpdGxlPlNjYW5kaW5hdmlhbiBKb3VybmFsIG9mIFByaW1hcnkgSGVhbHRoIENhcmU8
L3NlY29uZGFyeS10aXRsZT48YWx0LXRpdGxlPlNjYW5kIEogUHJpbSBIZWFsdGggQ2FyZTwvYWx0
LXRpdGxlPjwvdGl0bGVzPjxwZXJpb2RpY2FsPjxmdWxsLXRpdGxlPlNjYW5kaW5hdmlhbiBKb3Vy
bmFsIG9mIFByaW1hcnkgSGVhbHRoIENhcmU8L2Z1bGwtdGl0bGU+PGFiYnItMT5TY2FuZCBKIFBy
aW0gSGVhbHRoIENhcmU8L2FiYnItMT48L3BlcmlvZGljYWw+PGFsdC1wZXJpb2RpY2FsPjxmdWxs
LXRpdGxlPlNjYW5kIEogUHJpbSBIZWFsdGggQ2FyZTwvZnVsbC10aXRsZT48L2FsdC1wZXJpb2Rp
Y2FsPjxwYWdlcz41NS02MDwvcGFnZXM+PHZvbHVtZT4zMDwvdm9sdW1lPjxudW1iZXI+MTwvbnVt
YmVyPjxrZXl3b3Jkcz48a2V5d29yZD5BZHVsdDwva2V5d29yZD48a2V5d29yZD4qQWZ0ZXItSG91
cnMgQ2FyZS9zbiBbU3RhdGlzdGljcyAmYW1wOyBOdW1lcmljYWwgRGF0YV08L2tleXdvcmQ+PGtl
eXdvcmQ+QWdlZDwva2V5d29yZD48a2V5d29yZD5Dcm9zcy1TZWN0aW9uYWwgU3R1ZGllczwva2V5
d29yZD48a2V5d29yZD5GZW1hbGU8L2tleXdvcmQ+PGtleXdvcmQ+SHVtYW5zPC9rZXl3b3JkPjxr
ZXl3b3JkPk1hbGU8L2tleXdvcmQ+PGtleXdvcmQ+TWlkZGxlIEFnZWQ8L2tleXdvcmQ+PGtleXdv
cmQ+Tm9yd2F5L2VwIFtFcGlkZW1pb2xvZ3ldPC9rZXl3b3JkPjxrZXl3b3JkPipPY2N1cGF0aW9u
YWwgRXhwb3N1cmUvc24gW1N0YXRpc3RpY3MgJmFtcDsgTnVtZXJpY2FsIERhdGFdPC9rZXl3b3Jk
PjxrZXl3b3JkPipQaHlzaWNpYW5zLCBQcmltYXJ5IENhcmU8L2tleXdvcmQ+PGtleXdvcmQ+UHJl
dmFsZW5jZTwva2V5d29yZD48a2V5d29yZD4qUHJpbWFyeSBDYXJlIE51cnNpbmc8L2tleXdvcmQ+
PGtleXdvcmQ+KlByb2Zlc3Npb25hbC1QYXRpZW50IFJlbGF0aW9uczwva2V5d29yZD48a2V5d29y
ZD5SaXNrIEZhY3RvcnM8L2tleXdvcmQ+PGtleXdvcmQ+KlZpb2xlbmNlL3NuIFtTdGF0aXN0aWNz
ICZhbXA7IE51bWVyaWNhbCBEYXRhXTwva2V5d29yZD48a2V5d29yZD5Zb3VuZyBBZHVsdDwva2V5
d29yZD48L2tleXdvcmRzPjxkYXRlcz48eWVhcj4yMDEyPC95ZWFyPjxwdWItZGF0ZXM+PGRhdGU+
TWFyPC9kYXRlPjwvcHViLWRhdGVzPjwvZGF0ZXM+PGlzYm4+MTUwMi03NzI0PC9pc2JuPjxhY2Nl
c3Npb24tbnVtPjIyMzQ4NTE0PC9hY2Nlc3Npb24tbnVtPjx3b3JrLXR5cGU+UmVzZWFyY2ggU3Vw
cG9ydCwgTm9uLVUuUy4gR292JmFwb3M7dDwvd29yay10eXBlPjx1cmxzPjxyZWxhdGVkLXVybHM+
PHVybD5odHRwczovL292aWRzcC5vdmlkLmNvbS9vdmlkd2ViLmNnaT9UPUpTJmFtcDtDU0M9WSZh
bXA7TkVXUz1OJmFtcDtQQUdFPWZ1bGx0ZXh0JmFtcDtEPW1lZDkmYW1wO0FOPTIyMzQ4NTE0PC91
cmw+PHVybD5odHRwOi8vb3BlbnVybC5iaWJzeXMubm8vb3BlbnVybD9vdG9vbD1pbm9pcGhsaWI/
c2lkPU9WSUQ6bWVkbGluZSZhbXA7aWQ9cG1pZDoyMjM0ODUxNCZhbXA7aWQ9ZG9pOjEwLjMxMDkl
MkYwMjgxMzQzMi4yMDEyLjY1MTU3MCZhbXA7aXNzbj0wMjgxLTM0MzImYW1wO2lzYm49JmFtcDt2
b2x1bWU9MzAmYW1wO2lzc3VlPTEmYW1wO3NwYWdlPTU1JmFtcDtwYWdlcz01NS02MCZhbXA7ZGF0
ZT0yMDEyJmFtcDt0aXRsZT1TY2FuZGluYXZpYW4rSm91cm5hbCtvZitQcmltYXJ5K0hlYWx0aCtD
YXJlJmFtcDthdGl0bGU9VmlvbGVuY2UrdG93YXJkcytwZXJzb25uZWwraW4rb3V0LW9mLWhvdXJz
K3ByaW1hcnkrY2FyZSUzQSthK2Nyb3NzLXNlY3Rpb25hbCtzdHVkeS4mYW1wO2F1bGFzdD1Kb2Em
YW1wO3BpZD0lM0NhdXRob3IlM0VKb2ErVFMlM0MlMkZhdXRob3IlM0UlM0NBTiUzRTIyMzQ4NTE0
JTNDJTJGQU4lM0UlM0NEVCUzRUpvdXJuYWwrQXJ0aWNsZSUzQyUyRkRUJTNFPC91cmw+PC9yZWxh
dGVkLXVybHM+PC91cmxzPjxyZW1vdGUtZGF0YWJhc2UtbmFtZT5NRURMSU5FPC9yZW1vdGUtZGF0
YWJhc2UtbmFtZT48cmVtb3RlLWRhdGFiYXNlLXByb3ZpZGVyPk92aWQgVGVjaG5vbG9naWVzPC9y
ZW1vdGUtZGF0YWJhc2UtcHJvdmlkZXI+PGxhbmd1YWdlPkVuZ2xpc2g8L2xhbmd1YWdlPjwvcmVj
b3JkPjwvQ2l0ZT48L0VuZE5vdGU+
</w:fldData>
        </w:fldChar>
      </w:r>
      <w:r w:rsidR="004654FD">
        <w:instrText xml:space="preserve"> ADDIN EN.CITE </w:instrText>
      </w:r>
      <w:r w:rsidR="004654FD">
        <w:fldChar w:fldCharType="begin">
          <w:fldData xml:space="preserve">PEVuZE5vdGU+PENpdGU+PEF1dGhvcj5Nb3JrZW48L0F1dGhvcj48WWVhcj4yMDE5PC9ZZWFyPjxS
ZWNOdW0+NDQ1PC9SZWNOdW0+PERpc3BsYXlUZXh0PihKb2EgZXQgYWwuLCAyMDEyOyBNb3JrZW4g
ZXQgYWwuLCAyMDE5KTwvRGlzcGxheVRleHQ+PHJlY29yZD48cmVjLW51bWJlcj40NDU8L3JlYy1u
dW1iZXI+PGZvcmVpZ24ta2V5cz48a2V5IGFwcD0iRU4iIGRiLWlkPSI5NXRwcjJ0cDZyOXh3b2Vh
OXJiNXdkc3o1ZHM1eGVkZHRlZXciIHRpbWVzdGFtcD0iMTY4MDA2OTUxMSI+NDQ1PC9rZXk+PC9m
b3JlaWduLWtleXM+PHJlZi10eXBlIG5hbWU9IlJlcG9ydCI+Mjc8L3JlZi10eXBlPjxjb250cmli
dXRvcnM+PGF1dGhvcnM+PGF1dGhvcj5Nb3JrZW4sIFQuLDwvYXV0aG9yPjxhdXRob3I+U29sYmVy
ZywgTC4gUi4sPC9hdXRob3I+PGF1dGhvcj5BbGxlcnRzZW4sIE0uPC9hdXRob3I+PC9hdXRob3Jz
PjwvY29udHJpYnV0b3JzPjx0aXRsZXM+PHRpdGxlPkxlZ2V2YWt0b3JnYW5pc2VyaW5nIGkgTm9y
Z2UuIFJhcHBvcnQgZnJhIE5hc2pvbmFsdCBsZWdldmFrdHJlZ2lzdGVyIDIwMTg8L3RpdGxlPjwv
dGl0bGVzPjxudW1iZXI+UmFwcG9ydCBuci4gNC0yMDE5PC9udW1iZXI+PGRhdGVzPjx5ZWFyPjIw
MTk8L3llYXI+PC9kYXRlcz48cHViLWxvY2F0aW9uPkJlcmdlbjwvcHViLWxvY2F0aW9uPjxwdWJs
aXNoZXI+TmFzam9uYWx0IGtvbXBldGFuc2VzZW50ZXIgZm9yIGxlZ2V2YWt0bWVkaXNpbiwgTk9S
Q0UgTm9yd2VnaWFuIFJlc2VhcmNoIENlbnRyZTwvcHVibGlzaGVyPjx1cmxzPjwvdXJscz48L3Jl
Y29yZD48L0NpdGU+PENpdGU+PEF1dGhvcj5Kb2E8L0F1dGhvcj48WWVhcj4yMDEyPC9ZZWFyPjxS
ZWNOdW0+ODczPC9SZWNOdW0+PHJlY29yZD48cmVjLW51bWJlcj44NzM8L3JlYy1udW1iZXI+PGZv
cmVpZ24ta2V5cz48a2V5IGFwcD0iRU4iIGRiLWlkPSI5NXRwcjJ0cDZyOXh3b2VhOXJiNXdkc3o1
ZHM1eGVkZHRlZXciIHRpbWVzdGFtcD0iMTY4MDA2OTUxMSI+ODczPC9rZXk+PC9mb3JlaWduLWtl
eXM+PHJlZi10eXBlIG5hbWU9IkpvdXJuYWwgQXJ0aWNsZSI+MTc8L3JlZi10eXBlPjxjb250cmli
dXRvcnM+PGF1dGhvcnM+PGF1dGhvcj5Kb2EsIFQuIFMuPC9hdXRob3I+PGF1dGhvcj5Nb3JrZW4s
IFQuPC9hdXRob3I+PC9hdXRob3JzPjwvY29udHJpYnV0b3JzPjxhdXRoLWFkZHJlc3M+Sm9hLCBU
b3JpbGwgU2tpYmVsaS4gU2FuZG5lcyBsZWdldmFrdCwgU2FuZG5lcywgTm9yd2F5LjwvYXV0aC1h
ZGRyZXNzPjx0aXRsZXM+PHRpdGxlPlZpb2xlbmNlIHRvd2FyZHMgcGVyc29ubmVsIGluIG91dC1v
Zi1ob3VycyBwcmltYXJ5IGNhcmU6IGEgY3Jvc3Mtc2VjdGlvbmFsIHN0dWR5PC90aXRsZT48c2Vj
b25kYXJ5LXRpdGxlPlNjYW5kaW5hdmlhbiBKb3VybmFsIG9mIFByaW1hcnkgSGVhbHRoIENhcmU8
L3NlY29uZGFyeS10aXRsZT48YWx0LXRpdGxlPlNjYW5kIEogUHJpbSBIZWFsdGggQ2FyZTwvYWx0
LXRpdGxlPjwvdGl0bGVzPjxwZXJpb2RpY2FsPjxmdWxsLXRpdGxlPlNjYW5kaW5hdmlhbiBKb3Vy
bmFsIG9mIFByaW1hcnkgSGVhbHRoIENhcmU8L2Z1bGwtdGl0bGU+PGFiYnItMT5TY2FuZCBKIFBy
aW0gSGVhbHRoIENhcmU8L2FiYnItMT48L3BlcmlvZGljYWw+PGFsdC1wZXJpb2RpY2FsPjxmdWxs
LXRpdGxlPlNjYW5kIEogUHJpbSBIZWFsdGggQ2FyZTwvZnVsbC10aXRsZT48L2FsdC1wZXJpb2Rp
Y2FsPjxwYWdlcz41NS02MDwvcGFnZXM+PHZvbHVtZT4zMDwvdm9sdW1lPjxudW1iZXI+MTwvbnVt
YmVyPjxrZXl3b3Jkcz48a2V5d29yZD5BZHVsdDwva2V5d29yZD48a2V5d29yZD4qQWZ0ZXItSG91
cnMgQ2FyZS9zbiBbU3RhdGlzdGljcyAmYW1wOyBOdW1lcmljYWwgRGF0YV08L2tleXdvcmQ+PGtl
eXdvcmQ+QWdlZDwva2V5d29yZD48a2V5d29yZD5Dcm9zcy1TZWN0aW9uYWwgU3R1ZGllczwva2V5
d29yZD48a2V5d29yZD5GZW1hbGU8L2tleXdvcmQ+PGtleXdvcmQ+SHVtYW5zPC9rZXl3b3JkPjxr
ZXl3b3JkPk1hbGU8L2tleXdvcmQ+PGtleXdvcmQ+TWlkZGxlIEFnZWQ8L2tleXdvcmQ+PGtleXdv
cmQ+Tm9yd2F5L2VwIFtFcGlkZW1pb2xvZ3ldPC9rZXl3b3JkPjxrZXl3b3JkPipPY2N1cGF0aW9u
YWwgRXhwb3N1cmUvc24gW1N0YXRpc3RpY3MgJmFtcDsgTnVtZXJpY2FsIERhdGFdPC9rZXl3b3Jk
PjxrZXl3b3JkPipQaHlzaWNpYW5zLCBQcmltYXJ5IENhcmU8L2tleXdvcmQ+PGtleXdvcmQ+UHJl
dmFsZW5jZTwva2V5d29yZD48a2V5d29yZD4qUHJpbWFyeSBDYXJlIE51cnNpbmc8L2tleXdvcmQ+
PGtleXdvcmQ+KlByb2Zlc3Npb25hbC1QYXRpZW50IFJlbGF0aW9uczwva2V5d29yZD48a2V5d29y
ZD5SaXNrIEZhY3RvcnM8L2tleXdvcmQ+PGtleXdvcmQ+KlZpb2xlbmNlL3NuIFtTdGF0aXN0aWNz
ICZhbXA7IE51bWVyaWNhbCBEYXRhXTwva2V5d29yZD48a2V5d29yZD5Zb3VuZyBBZHVsdDwva2V5
d29yZD48L2tleXdvcmRzPjxkYXRlcz48eWVhcj4yMDEyPC95ZWFyPjxwdWItZGF0ZXM+PGRhdGU+
TWFyPC9kYXRlPjwvcHViLWRhdGVzPjwvZGF0ZXM+PGlzYm4+MTUwMi03NzI0PC9pc2JuPjxhY2Nl
c3Npb24tbnVtPjIyMzQ4NTE0PC9hY2Nlc3Npb24tbnVtPjx3b3JrLXR5cGU+UmVzZWFyY2ggU3Vw
cG9ydCwgTm9uLVUuUy4gR292JmFwb3M7dDwvd29yay10eXBlPjx1cmxzPjxyZWxhdGVkLXVybHM+
PHVybD5odHRwczovL292aWRzcC5vdmlkLmNvbS9vdmlkd2ViLmNnaT9UPUpTJmFtcDtDU0M9WSZh
bXA7TkVXUz1OJmFtcDtQQUdFPWZ1bGx0ZXh0JmFtcDtEPW1lZDkmYW1wO0FOPTIyMzQ4NTE0PC91
cmw+PHVybD5odHRwOi8vb3BlbnVybC5iaWJzeXMubm8vb3BlbnVybD9vdG9vbD1pbm9pcGhsaWI/
c2lkPU9WSUQ6bWVkbGluZSZhbXA7aWQ9cG1pZDoyMjM0ODUxNCZhbXA7aWQ9ZG9pOjEwLjMxMDkl
MkYwMjgxMzQzMi4yMDEyLjY1MTU3MCZhbXA7aXNzbj0wMjgxLTM0MzImYW1wO2lzYm49JmFtcDt2
b2x1bWU9MzAmYW1wO2lzc3VlPTEmYW1wO3NwYWdlPTU1JmFtcDtwYWdlcz01NS02MCZhbXA7ZGF0
ZT0yMDEyJmFtcDt0aXRsZT1TY2FuZGluYXZpYW4rSm91cm5hbCtvZitQcmltYXJ5K0hlYWx0aCtD
YXJlJmFtcDthdGl0bGU9VmlvbGVuY2UrdG93YXJkcytwZXJzb25uZWwraW4rb3V0LW9mLWhvdXJz
K3ByaW1hcnkrY2FyZSUzQSthK2Nyb3NzLXNlY3Rpb25hbCtzdHVkeS4mYW1wO2F1bGFzdD1Kb2Em
YW1wO3BpZD0lM0NhdXRob3IlM0VKb2ErVFMlM0MlMkZhdXRob3IlM0UlM0NBTiUzRTIyMzQ4NTE0
JTNDJTJGQU4lM0UlM0NEVCUzRUpvdXJuYWwrQXJ0aWNsZSUzQyUyRkRUJTNFPC91cmw+PC9yZWxh
dGVkLXVybHM+PC91cmxzPjxyZW1vdGUtZGF0YWJhc2UtbmFtZT5NRURMSU5FPC9yZW1vdGUtZGF0
YWJhc2UtbmFtZT48cmVtb3RlLWRhdGFiYXNlLXByb3ZpZGVyPk92aWQgVGVjaG5vbG9naWVzPC9y
ZW1vdGUtZGF0YWJhc2UtcHJvdmlkZXI+PGxhbmd1YWdlPkVuZ2xpc2g8L2xhbmd1YWdlPjwvcmVj
b3JkPjwvQ2l0ZT48L0VuZE5vdGU+
</w:fldData>
        </w:fldChar>
      </w:r>
      <w:r w:rsidR="004654FD">
        <w:instrText xml:space="preserve"> ADDIN EN.CITE.DATA </w:instrText>
      </w:r>
      <w:r w:rsidR="004654FD">
        <w:fldChar w:fldCharType="end"/>
      </w:r>
      <w:r w:rsidR="00EF59B6">
        <w:fldChar w:fldCharType="separate"/>
      </w:r>
      <w:r w:rsidR="004654FD">
        <w:rPr>
          <w:noProof/>
        </w:rPr>
        <w:t>(Joa et al., 2012; Morken et al., 2019)</w:t>
      </w:r>
      <w:r w:rsidR="00EF59B6">
        <w:fldChar w:fldCharType="end"/>
      </w:r>
      <w:r>
        <w:t xml:space="preserve">. Utrygghet og belastningen ved å være alene på vakt blir også pekt på i rapport fra ekspertgruppe legevakt og i besvarelse del 2 fra partssammensatt arbeidsgruppe legevakt våren 2023 </w:t>
      </w:r>
      <w:r w:rsidR="00EF59B6">
        <w:fldChar w:fldCharType="begin"/>
      </w:r>
      <w:r w:rsidR="004654FD">
        <w:instrText xml:space="preserve"> ADDIN EN.CITE &lt;EndNote&gt;&lt;Cite&gt;&lt;Author&gt;Helsedirektoratet&lt;/Author&gt;&lt;Year&gt;2022&lt;/Year&gt;&lt;RecNum&gt;587&lt;/RecNum&gt;&lt;DisplayText&gt;(Helsedirektoratet, 2022k, 2023e)&lt;/DisplayText&gt;&lt;record&gt;&lt;rec-number&gt;587&lt;/rec-number&gt;&lt;foreign-keys&gt;&lt;key app="EN" db-id="95tpr2tp6r9xwoea9rb5wdsz5ds5xeddteew" timestamp="1680069511"&gt;587&lt;/key&gt;&lt;/foreign-keys&gt;&lt;ref-type name="Report"&gt;27&lt;/ref-type&gt;&lt;contributors&gt;&lt;authors&gt;&lt;author&gt;Helsedirektoratet&lt;/author&gt;&lt;/authors&gt;&lt;/contributors&gt;&lt;titles&gt;&lt;title&gt;Vurdere endringer i regulering og finansiering av legevakttjenesten for å skape bærekraftige løsninger. Besvarelse tildelingsbrev TB2022-22&lt;/title&gt;&lt;/titles&gt;&lt;dates&gt;&lt;year&gt;2022&lt;/year&gt;&lt;/dates&gt;&lt;pub-location&gt;Oslo&lt;/pub-location&gt;&lt;publisher&gt;Helsedirektoratet&lt;/publisher&gt;&lt;urls&gt;&lt;/urls&gt;&lt;/record&gt;&lt;/Cite&gt;&lt;Cite&gt;&lt;Author&gt;Helsedirektoratet&lt;/Author&gt;&lt;Year&gt;2023&lt;/Year&gt;&lt;RecNum&gt;609&lt;/RecNum&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rsidR="00EF59B6">
        <w:fldChar w:fldCharType="separate"/>
      </w:r>
      <w:r w:rsidR="004654FD">
        <w:rPr>
          <w:noProof/>
        </w:rPr>
        <w:t>(Helsedirektoratet, 2022k, 2023e)</w:t>
      </w:r>
      <w:r w:rsidR="00EF59B6">
        <w:fldChar w:fldCharType="end"/>
      </w:r>
      <w:r>
        <w:t>.</w:t>
      </w:r>
    </w:p>
    <w:p w14:paraId="741AAEC8" w14:textId="02971DC8" w:rsidR="005E4CC3" w:rsidRDefault="00684638" w:rsidP="003B4C18">
      <w:pPr>
        <w:jc w:val="both"/>
      </w:pPr>
      <w:r>
        <w:t xml:space="preserve">Utrygghet i vakt handler også om manglende medisinskfaglig støtte. </w:t>
      </w:r>
      <w:r w:rsidR="008E759E">
        <w:t>Legevakt uten faglig støtte er belastende for mange, særlig for unge leger og leger som sjeldnere har legevakt. Det er sannsynlig at nær tilgjengelig medisinsk faglig støtte</w:t>
      </w:r>
      <w:r w:rsidR="005F383F">
        <w:t>,</w:t>
      </w:r>
      <w:r w:rsidR="008E759E">
        <w:t xml:space="preserve"> og lav terskel for å konferere med erfarne kolleger</w:t>
      </w:r>
      <w:r w:rsidR="005F383F">
        <w:t>,</w:t>
      </w:r>
      <w:r w:rsidR="008E759E">
        <w:t xml:space="preserve"> bidrar til å redusere belastningen ved å ha legevakt, særlig i distrikt hvor lege i vakt sjelden har støttepersonell tilgjengelig utenfor normal arbeidstid. Motsatt kan fravær av organisert tilgjengelighet til legekollega gjøre det mer krevende å rekruttere og beholde leger i vaktordningen.</w:t>
      </w:r>
      <w:r w:rsidR="008E759E" w:rsidRPr="00046D3A">
        <w:t xml:space="preserve"> </w:t>
      </w:r>
      <w:r w:rsidR="005F383F">
        <w:t xml:space="preserve">Samtidig vil mange leger i legevakt støtte seg på kollegaer i </w:t>
      </w:r>
      <w:r w:rsidR="009420D7">
        <w:t>spesialisthelsetjenesten</w:t>
      </w:r>
      <w:r w:rsidR="005F383F">
        <w:t xml:space="preserve">, ved konferering om konkrete tilfeller. </w:t>
      </w:r>
      <w:r w:rsidR="008E759E">
        <w:t>Manglende faglig støtte ser ut til å ha en destabiliserende og antirekrutterende effekt, og leger peker på lite faglig miljø og nettverk som hovedårsaker til at de har valgt bort allmennmedisin</w:t>
      </w:r>
      <w:r w:rsidR="00EF7899">
        <w:t xml:space="preserve"> </w:t>
      </w:r>
      <w:r w:rsidR="00952FDB">
        <w:fldChar w:fldCharType="begin"/>
      </w:r>
      <w:r w:rsidR="004654FD">
        <w:instrText xml:space="preserve"> ADDIN EN.CITE &lt;EndNote&gt;&lt;Cite&gt;&lt;Author&gt;Birkeli&lt;/Author&gt;&lt;Year&gt;2020&lt;/Year&gt;&lt;RecNum&gt;349&lt;/RecNum&gt;&lt;DisplayText&gt;(Birkeli et al., 2020)&lt;/DisplayText&gt;&lt;record&gt;&lt;rec-number&gt;349&lt;/rec-number&gt;&lt;foreign-keys&gt;&lt;key app="EN" db-id="95tpr2tp6r9xwoea9rb5wdsz5ds5xeddteew" timestamp="1680069511"&gt;349&lt;/key&gt;&lt;/foreign-keys&gt;&lt;ref-type name="Journal Article"&gt;17&lt;/ref-type&gt;&lt;contributors&gt;&lt;authors&gt;&lt;author&gt;Birkeli, Cecilie Normann&lt;/author&gt;&lt;author&gt;Rosta, Judith&lt;/author&gt;&lt;author&gt;Aasland, Olaf Gjerløw&lt;/author&gt;&lt;author&gt;Rø, Karin Isaksson&lt;/author&gt;&lt;/authors&gt;&lt;/contributors&gt;&lt;titles&gt;&lt;title&gt;Hvorfor velger leger seg bort fra allmennmedisin?&lt;/title&gt;&lt;secondary-title&gt;Tidsskrift for den Norske Lægeforening&lt;/secondary-title&gt;&lt;/titles&gt;&lt;dates&gt;&lt;year&gt;2020&lt;/year&gt;&lt;/dates&gt;&lt;isbn&gt;0029-2001&lt;/isbn&gt;&lt;urls&gt;&lt;/urls&gt;&lt;/record&gt;&lt;/Cite&gt;&lt;/EndNote&gt;</w:instrText>
      </w:r>
      <w:r w:rsidR="00952FDB">
        <w:fldChar w:fldCharType="separate"/>
      </w:r>
      <w:r w:rsidR="00952FDB">
        <w:rPr>
          <w:noProof/>
        </w:rPr>
        <w:t>(Birkeli et al., 2020)</w:t>
      </w:r>
      <w:r w:rsidR="00952FDB">
        <w:fldChar w:fldCharType="end"/>
      </w:r>
      <w:r w:rsidR="008E759E">
        <w:t>.</w:t>
      </w:r>
    </w:p>
    <w:p w14:paraId="0A52BE6F" w14:textId="77777777" w:rsidR="00D9107F" w:rsidRDefault="6B0DCD84" w:rsidP="003B4C18">
      <w:pPr>
        <w:jc w:val="both"/>
      </w:pPr>
      <w:r>
        <w:lastRenderedPageBreak/>
        <w:t>En utredning av fastlegeordningen i Tromsø beskriver hvordan høy vaktbelastning i legevakt bidrar til utfordringer med å beholde og rekruttere leger i fastlegetjenesten. Høy arbeidsbelastning over tid</w:t>
      </w:r>
      <w:r w:rsidR="005F383F">
        <w:t>,</w:t>
      </w:r>
      <w:r>
        <w:t xml:space="preserve"> og utfordringer med å ivareta egen praksis, har ført til at fastlegene ikke har kapasitet til å delta i legevakt. Kombinert med flere vakante fastlegehjemler gir det færre fastleger i legevaktkorpset, som igjen øker vaktbelastningen for de gjenværende legene. Kommunen påpeker at om det ikke settes inn tiltak, vil det medføre ytterligere rekrutteringssvikt i fastlegeordningen</w:t>
      </w:r>
      <w:r w:rsidR="005F383F">
        <w:t>,</w:t>
      </w:r>
      <w:r>
        <w:t xml:space="preserve"> og flere fastlegelister uten fast lege</w:t>
      </w:r>
      <w:r w:rsidR="0040585E">
        <w:t xml:space="preserve"> </w:t>
      </w:r>
      <w:r w:rsidR="00952FDB">
        <w:fldChar w:fldCharType="begin"/>
      </w:r>
      <w:r w:rsidR="004654FD">
        <w:instrText xml:space="preserve"> ADDIN EN.CITE &lt;EndNote&gt;&lt;Cite&gt;&lt;Author&gt;Tromsø kommune&lt;/Author&gt;&lt;Year&gt;2020&lt;/Year&gt;&lt;RecNum&gt;1009&lt;/RecNum&gt;&lt;DisplayText&gt;(Tromsø kommune, 2020)&lt;/DisplayText&gt;&lt;record&gt;&lt;rec-number&gt;1009&lt;/rec-number&gt;&lt;foreign-keys&gt;&lt;key app="EN" db-id="95tpr2tp6r9xwoea9rb5wdsz5ds5xeddteew" timestamp="1681115523"&gt;1009&lt;/key&gt;&lt;/foreign-keys&gt;&lt;ref-type name="Report"&gt;27&lt;/ref-type&gt;&lt;contributors&gt;&lt;authors&gt;&lt;author&gt;Tromsø kommune,&lt;/author&gt;&lt;/authors&gt;&lt;/contributors&gt;&lt;titles&gt;&lt;title&gt;Utredning av fastlegeordningen i Tromsø&lt;/title&gt;&lt;/titles&gt;&lt;dates&gt;&lt;year&gt;2020&lt;/year&gt;&lt;/dates&gt;&lt;pub-location&gt;Tromsø&lt;/pub-location&gt;&lt;publisher&gt;Tromsø kommune&lt;/publisher&gt;&lt;urls&gt;&lt;/urls&gt;&lt;/record&gt;&lt;/Cite&gt;&lt;/EndNote&gt;</w:instrText>
      </w:r>
      <w:r w:rsidR="00952FDB">
        <w:fldChar w:fldCharType="separate"/>
      </w:r>
      <w:r w:rsidR="0081505B">
        <w:rPr>
          <w:noProof/>
        </w:rPr>
        <w:t>(Tromsø kommune, 2020)</w:t>
      </w:r>
      <w:r w:rsidR="00952FDB">
        <w:fldChar w:fldCharType="end"/>
      </w:r>
      <w:r>
        <w:t>.</w:t>
      </w:r>
    </w:p>
    <w:p w14:paraId="17E2A067" w14:textId="1DCB6570" w:rsidR="00CA575F" w:rsidRDefault="6B0DCD84" w:rsidP="003B4C18">
      <w:pPr>
        <w:jc w:val="both"/>
      </w:pPr>
      <w:r>
        <w:t>Motsatt beskriver kommuner</w:t>
      </w:r>
      <w:r w:rsidR="008F5874">
        <w:t xml:space="preserve"> i distrikt</w:t>
      </w:r>
      <w:r>
        <w:t xml:space="preserve"> hvordan bedret vaktbelastning i legevakt har bidratt til økt rekruttering og stabilisering i fastlegeordningen, etter mange år med store rekrutteringsproblemer til både legekontor og legevakt. Opprettelse av interkommunal legevakt har gitt en vaktordning hvor legene kjenner seg trygge</w:t>
      </w:r>
      <w:r w:rsidR="00787C2F">
        <w:t>,</w:t>
      </w:r>
      <w:r>
        <w:t xml:space="preserve"> og </w:t>
      </w:r>
      <w:r w:rsidR="007C5429">
        <w:t xml:space="preserve">har </w:t>
      </w:r>
      <w:r>
        <w:t>en akseptabel vaktmengde. Kommune</w:t>
      </w:r>
      <w:r w:rsidR="00155A49">
        <w:t>r</w:t>
      </w:r>
      <w:r>
        <w:t xml:space="preserve"> som inngår i den interkommunale ordningen, erfarer at det er enklere å beholde fastlegene i området</w:t>
      </w:r>
      <w:r w:rsidR="00D04933">
        <w:t xml:space="preserve"> </w:t>
      </w:r>
      <w:r w:rsidR="00D04933">
        <w:fldChar w:fldCharType="begin"/>
      </w:r>
      <w:r w:rsidR="004654FD">
        <w:instrText xml:space="preserve"> ADDIN EN.CITE &lt;EndNote&gt;&lt;Cite&gt;&lt;Author&gt;Albrektsen&lt;/Author&gt;&lt;Year&gt;2022&lt;/Year&gt;&lt;RecNum&gt;449&lt;/RecNum&gt;&lt;DisplayText&gt;(Albrektsen,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legevakt,&lt;/publisher&gt;&lt;urls&gt;&lt;/urls&gt;&lt;/record&gt;&lt;/Cite&gt;&lt;/EndNote&gt;</w:instrText>
      </w:r>
      <w:r w:rsidR="00D04933">
        <w:fldChar w:fldCharType="separate"/>
      </w:r>
      <w:r w:rsidR="00D04933">
        <w:rPr>
          <w:noProof/>
        </w:rPr>
        <w:t>(Albrektsen, 2022)</w:t>
      </w:r>
      <w:r w:rsidR="00D04933">
        <w:fldChar w:fldCharType="end"/>
      </w:r>
      <w:r>
        <w:t>.</w:t>
      </w:r>
      <w:r w:rsidR="00AD3E35">
        <w:t xml:space="preserve"> </w:t>
      </w:r>
      <w:r>
        <w:t>Ytterligere et eksempel er Nordkapp kommune.</w:t>
      </w:r>
      <w:r w:rsidRPr="00750F29">
        <w:t xml:space="preserve"> </w:t>
      </w:r>
      <w:r>
        <w:t>På grunn av store avstander er ikke interkommunal legevakt aktuelt. Men k</w:t>
      </w:r>
      <w:r>
        <w:rPr>
          <w:color w:val="000000"/>
        </w:rPr>
        <w:t xml:space="preserve">ommunen har i mange år hatt stabile fastleger. Seks fastleger betjener </w:t>
      </w:r>
      <w:r w:rsidR="00D9107F">
        <w:rPr>
          <w:color w:val="000000"/>
        </w:rPr>
        <w:t>3 000</w:t>
      </w:r>
      <w:r>
        <w:rPr>
          <w:color w:val="000000"/>
        </w:rPr>
        <w:t xml:space="preserve"> innbyggere. Dette innebærer en relativ overtallighet av leger, en tjeneste uten vikarbehov ved fastlegenes fravær</w:t>
      </w:r>
      <w:r w:rsidR="00787C2F">
        <w:rPr>
          <w:color w:val="000000"/>
        </w:rPr>
        <w:t>,</w:t>
      </w:r>
      <w:r>
        <w:rPr>
          <w:color w:val="000000"/>
        </w:rPr>
        <w:t xml:space="preserve"> og en vaktbelastning som er akseptabel for fastlegene. </w:t>
      </w:r>
      <w:r w:rsidR="00A615A4">
        <w:rPr>
          <w:color w:val="000000"/>
        </w:rPr>
        <w:t xml:space="preserve">Det frigjør </w:t>
      </w:r>
      <w:r>
        <w:rPr>
          <w:color w:val="000000"/>
        </w:rPr>
        <w:t>tid til andre oppgaver</w:t>
      </w:r>
      <w:r w:rsidR="00787C2F">
        <w:rPr>
          <w:color w:val="000000"/>
        </w:rPr>
        <w:t>,</w:t>
      </w:r>
      <w:r>
        <w:rPr>
          <w:color w:val="000000"/>
        </w:rPr>
        <w:t xml:space="preserve"> som</w:t>
      </w:r>
      <w:r w:rsidDel="00B616D7">
        <w:rPr>
          <w:color w:val="000000"/>
        </w:rPr>
        <w:t xml:space="preserve"> </w:t>
      </w:r>
      <w:r w:rsidR="00B616D7" w:rsidRPr="0F75CD46">
        <w:rPr>
          <w:color w:val="000000" w:themeColor="text1"/>
        </w:rPr>
        <w:t>komm</w:t>
      </w:r>
      <w:r w:rsidR="00787C2F">
        <w:rPr>
          <w:color w:val="000000" w:themeColor="text1"/>
        </w:rPr>
        <w:t>unalt</w:t>
      </w:r>
      <w:r w:rsidRPr="0F75CD46">
        <w:rPr>
          <w:color w:val="000000" w:themeColor="text1"/>
        </w:rPr>
        <w:t xml:space="preserve"> </w:t>
      </w:r>
      <w:r>
        <w:rPr>
          <w:color w:val="000000"/>
        </w:rPr>
        <w:t>samarbeid og tjenesteutvikling, ekstern samhandling og annen virksomhet</w:t>
      </w:r>
      <w:r w:rsidR="26A65C2D" w:rsidRPr="3CA60CDE">
        <w:rPr>
          <w:color w:val="000000" w:themeColor="text1"/>
        </w:rPr>
        <w:t xml:space="preserve"> </w:t>
      </w:r>
      <w:r w:rsidR="00952FDB">
        <w:rPr>
          <w:color w:val="000000" w:themeColor="text1"/>
        </w:rPr>
        <w:fldChar w:fldCharType="begin"/>
      </w:r>
      <w:r w:rsidR="00A27571">
        <w:rPr>
          <w:color w:val="000000" w:themeColor="text1"/>
        </w:rPr>
        <w:instrText xml:space="preserve"> ADDIN EN.CITE &lt;EndNote&gt;&lt;Cite&gt;&lt;Author&gt;Helse Nord&lt;/Author&gt;&lt;Year&gt;2019&lt;/Year&gt;&lt;RecNum&gt;245&lt;/RecNum&gt;&lt;DisplayText&gt;(Helse Nord, 2019)&lt;/DisplayText&gt;&lt;record&gt;&lt;rec-number&gt;245&lt;/rec-number&gt;&lt;foreign-keys&gt;&lt;key app="EN" db-id="95tpr2tp6r9xwoea9rb5wdsz5ds5xeddteew" timestamp="1680069511"&gt;245&lt;/key&gt;&lt;/foreign-keys&gt;&lt;ref-type name="Report"&gt;27&lt;/ref-type&gt;&lt;contributors&gt;&lt;authors&gt;&lt;author&gt;Helse Nord,&lt;/author&gt;&lt;/authors&gt;&lt;/contributors&gt;&lt;titles&gt;&lt;title&gt;Fastlegetjenesten i Nord-Norge: Status, utfordringer og forslag til tiltak&lt;/title&gt;&lt;/titles&gt;&lt;dates&gt;&lt;year&gt;2019&lt;/year&gt;&lt;/dates&gt;&lt;pub-location&gt;Bodø&lt;/pub-location&gt;&lt;publisher&gt;Helse Nord&lt;/publisher&gt;&lt;urls&gt;&lt;/urls&gt;&lt;/record&gt;&lt;/Cite&gt;&lt;/EndNote&gt;</w:instrText>
      </w:r>
      <w:r w:rsidR="00952FDB">
        <w:rPr>
          <w:color w:val="000000" w:themeColor="text1"/>
        </w:rPr>
        <w:fldChar w:fldCharType="separate"/>
      </w:r>
      <w:r w:rsidR="00952FDB">
        <w:rPr>
          <w:noProof/>
          <w:color w:val="000000" w:themeColor="text1"/>
        </w:rPr>
        <w:t>(Helse Nord, 2019)</w:t>
      </w:r>
      <w:r w:rsidR="00952FDB">
        <w:rPr>
          <w:color w:val="000000" w:themeColor="text1"/>
        </w:rPr>
        <w:fldChar w:fldCharType="end"/>
      </w:r>
      <w:r w:rsidR="00CB43FC">
        <w:rPr>
          <w:color w:val="000000" w:themeColor="text1"/>
        </w:rPr>
        <w:t>.</w:t>
      </w:r>
      <w:bookmarkEnd w:id="4373"/>
      <w:bookmarkEnd w:id="4374"/>
      <w:bookmarkEnd w:id="4375"/>
      <w:bookmarkEnd w:id="4376"/>
    </w:p>
    <w:p w14:paraId="76345B33" w14:textId="4330B7CD" w:rsidR="00034591" w:rsidRDefault="01D15E8E" w:rsidP="00775632">
      <w:pPr>
        <w:pStyle w:val="Overskrift3"/>
      </w:pPr>
      <w:bookmarkStart w:id="4378" w:name="_Toc125980974"/>
      <w:bookmarkStart w:id="4379" w:name="_Toc127633312"/>
      <w:bookmarkStart w:id="4380" w:name="_Toc127864597"/>
      <w:bookmarkStart w:id="4381" w:name="_Toc128238611"/>
      <w:bookmarkStart w:id="4382" w:name="_Toc128467441"/>
      <w:bookmarkStart w:id="4383" w:name="_Toc128744685"/>
      <w:bookmarkStart w:id="4384" w:name="_Toc128744904"/>
      <w:bookmarkStart w:id="4385" w:name="_Toc129630407"/>
      <w:bookmarkStart w:id="4386" w:name="_Toc130763917"/>
      <w:bookmarkStart w:id="4387" w:name="_Toc130766812"/>
      <w:bookmarkStart w:id="4388" w:name="_Toc130932211"/>
      <w:bookmarkStart w:id="4389" w:name="_Toc130934502"/>
      <w:bookmarkStart w:id="4390" w:name="_Toc130983635"/>
      <w:bookmarkStart w:id="4391" w:name="_Toc130983984"/>
      <w:bookmarkStart w:id="4392" w:name="_Toc131062252"/>
      <w:bookmarkStart w:id="4393" w:name="_Toc131062506"/>
      <w:bookmarkStart w:id="4394" w:name="_Toc131062767"/>
      <w:bookmarkStart w:id="4395" w:name="_Toc131063020"/>
      <w:bookmarkStart w:id="4396" w:name="_Toc131063803"/>
      <w:bookmarkStart w:id="4397" w:name="_Toc131064214"/>
      <w:bookmarkStart w:id="4398" w:name="_Toc131279581"/>
      <w:bookmarkStart w:id="4399" w:name="_Toc131286993"/>
      <w:bookmarkStart w:id="4400" w:name="_Toc131281403"/>
      <w:bookmarkStart w:id="4401" w:name="_Toc131317943"/>
      <w:bookmarkStart w:id="4402" w:name="_Toc132537052"/>
      <w:bookmarkEnd w:id="4377"/>
      <w:r>
        <w:t>Tiltak for å øke kvalitet i legevakttjenesten har gitt utfordringer</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762C7952" w14:textId="43B123DC" w:rsidR="00490E25" w:rsidRDefault="00490E25" w:rsidP="003B4C18">
      <w:pPr>
        <w:jc w:val="both"/>
      </w:pPr>
      <w:r>
        <w:t xml:space="preserve">Brukernes erfaringer med helsetjenesten er et viktig mål for å vurdere kvalitet i tjenesten. Brukererfaring ved legevakt er i liten grad beskrevet i litteraturen, med unntak av en brukererfaringsundersøkelse fra 2010/2011. Pasientene oppgav positive erfaringer på en rekke områder, inkludert forståelighet ved telefonkontakt og kommunikasjon med lege på vakt. </w:t>
      </w:r>
      <w:r w:rsidRPr="0112AD34">
        <w:t>Pasientene rapporterte om dårligere erfaringer med tilgjengelighet og organisering. Spesielt var det ventetid på venterommet og manglende informasjon om ventetid som ble trukket fram av svarene</w:t>
      </w:r>
      <w:r w:rsidR="00027492">
        <w:t xml:space="preserve"> </w:t>
      </w:r>
      <w:r>
        <w:fldChar w:fldCharType="begin"/>
      </w:r>
      <w:r w:rsidR="00856689">
        <w:instrText xml:space="preserve"> ADDIN EN.CITE &lt;EndNote&gt;&lt;Cite&gt;&lt;Author&gt;Danielsen&lt;/Author&gt;&lt;Year&gt;2012&lt;/Year&gt;&lt;RecNum&gt;78&lt;/RecNum&gt;&lt;DisplayText&gt;(Danielsen et al., 2012)&lt;/DisplayText&gt;&lt;record&gt;&lt;rec-number&gt;78&lt;/rec-number&gt;&lt;foreign-keys&gt;&lt;key app="EN" db-id="95tpr2tp6r9xwoea9rb5wdsz5ds5xeddteew" timestamp="1680069511"&gt;78&lt;/key&gt;&lt;/foreign-keys&gt;&lt;ref-type name="Journal Article"&gt;17&lt;/ref-type&gt;&lt;contributors&gt;&lt;authors&gt;&lt;author&gt;Danielsen, K.,&lt;/author&gt;&lt;author&gt;Holmboe, O.,&lt;/author&gt;&lt;author&gt;Hansen, S. L.,&lt;/author&gt;&lt;author&gt;Førland, O.,&lt;/author&gt;&lt;author&gt;Bjertnæs, Ø. A.&lt;/author&gt;&lt;/authors&gt;&lt;/contributors&gt;&lt;titles&gt;&lt;title&gt;Brukererfaringer med norske legevakter: resultater fra en spørreskjemaundersøkelse ved Vakttårn-legevaktene. Hovedresultater&lt;/title&gt;&lt;secondary-title&gt;PasOpp-rapport&lt;/secondary-title&gt;&lt;/titles&gt;&lt;number&gt;1-2012&lt;/number&gt;&lt;dates&gt;&lt;year&gt;2012&lt;/year&gt;&lt;/dates&gt;&lt;pub-location&gt;Oslo&lt;/pub-location&gt;&lt;publisher&gt;Nasjonalt kunnskapssenter for helsetjenesten&lt;/publisher&gt;&lt;urls&gt;&lt;related-urls&gt;&lt;url&gt;https://www.fhi.no/contentassets/c3f97a96212848bebde43a3d6fca0d35/pasopp_2012-01_vakttaarn_hovedresultater.pdf&lt;/url&gt;&lt;/related-urls&gt;&lt;/urls&gt;&lt;/record&gt;&lt;/Cite&gt;&lt;/EndNote&gt;</w:instrText>
      </w:r>
      <w:r>
        <w:fldChar w:fldCharType="separate"/>
      </w:r>
      <w:r w:rsidR="00856689">
        <w:rPr>
          <w:noProof/>
        </w:rPr>
        <w:t>(Danielsen et al., 2012)</w:t>
      </w:r>
      <w:r>
        <w:fldChar w:fldCharType="end"/>
      </w:r>
      <w:r w:rsidRPr="0112AD34">
        <w:t>.</w:t>
      </w:r>
    </w:p>
    <w:p w14:paraId="519BA9FD" w14:textId="706C8DF9" w:rsidR="00034591" w:rsidRDefault="24A9C638" w:rsidP="003B4C18">
      <w:pPr>
        <w:jc w:val="both"/>
      </w:pPr>
      <w:r w:rsidRPr="6024ED02">
        <w:t>Det er gjort flere tiltak over de siste årene for å øke den faglige kvaliteten i legevakt og den øvrige akuttmedisinske tjenesten, som større legevaktdistrikt og større ambulansestasjoner. Samtidig er det gjennomført sentralisering av sykehusfunksjoner og funksjonsfordeling av spesialiserte akuttilbud mellom sykehus</w:t>
      </w:r>
      <w:r w:rsidR="388296AF">
        <w:t xml:space="preserve"> </w:t>
      </w:r>
      <w:r w:rsidR="007E35C7">
        <w:fldChar w:fldCharType="begin"/>
      </w:r>
      <w:r w:rsidR="00CE2F35">
        <w:instrText xml:space="preserve"> ADDIN EN.CITE &lt;EndNote&gt;&lt;Cite&gt;&lt;Author&gt;Helse- og omsorgsdepartementet&lt;/Author&gt;&lt;Year&gt;2015&lt;/Year&gt;&lt;RecNum&gt;285&lt;/RecNum&gt;&lt;DisplayText&gt;(Helse- og omsorgsdepartementet, 2015b)&lt;/DisplayText&gt;&lt;record&gt;&lt;rec-number&gt;285&lt;/rec-number&gt;&lt;foreign-keys&gt;&lt;key app="EN" db-id="95tpr2tp6r9xwoea9rb5wdsz5ds5xeddteew" timestamp="1680069511"&gt;285&lt;/key&gt;&lt;/foreign-keys&gt;&lt;ref-type name="Report"&gt;27&lt;/ref-type&gt;&lt;contributors&gt;&lt;authors&gt;&lt;author&gt;Helse- og omsorgsdepartementet,&lt;/author&gt;&lt;/authors&gt;&lt;/contributors&gt;&lt;titles&gt;&lt;title&gt;NOU 2015:17. Først og fremst. Et helhetlig system for håndtering av akutte sykdommer og skader utenfor sykehus&lt;/title&gt;&lt;/titles&gt;&lt;dates&gt;&lt;year&gt;2015&lt;/year&gt;&lt;/dates&gt;&lt;pub-location&gt;Oslo&lt;/pub-location&gt;&lt;publisher&gt;Helse- og omsorgsdepartementet,&lt;/publisher&gt;&lt;urls&gt;&lt;/urls&gt;&lt;/record&gt;&lt;/Cite&gt;&lt;/EndNote&gt;</w:instrText>
      </w:r>
      <w:r w:rsidR="007E35C7">
        <w:fldChar w:fldCharType="separate"/>
      </w:r>
      <w:r w:rsidR="00CE2F35">
        <w:rPr>
          <w:noProof/>
        </w:rPr>
        <w:t>(Helse- og omsorgsdepartementet, 2015b)</w:t>
      </w:r>
      <w:r w:rsidR="007E35C7">
        <w:fldChar w:fldCharType="end"/>
      </w:r>
      <w:r w:rsidR="00CB43FC">
        <w:t>.</w:t>
      </w:r>
    </w:p>
    <w:p w14:paraId="08A13378" w14:textId="28E1DBA5" w:rsidR="006F6F38" w:rsidRDefault="001D3966" w:rsidP="003B4C18">
      <w:pPr>
        <w:jc w:val="both"/>
      </w:pPr>
      <w:r>
        <w:t>Dette er også v</w:t>
      </w:r>
      <w:r w:rsidR="006F6F38">
        <w:t xml:space="preserve">iktige tiltak for å redusere vaktbelastning, få mer stabile vaktordninger, og </w:t>
      </w:r>
      <w:r>
        <w:t>rekruttere</w:t>
      </w:r>
      <w:r w:rsidR="00136CD4">
        <w:t xml:space="preserve"> og beholde legene som allerede er i </w:t>
      </w:r>
      <w:r>
        <w:t>fastlege</w:t>
      </w:r>
      <w:r w:rsidR="00136CD4">
        <w:t>tjenesten.</w:t>
      </w:r>
      <w:r w:rsidR="00667D6C">
        <w:t xml:space="preserve"> </w:t>
      </w:r>
      <w:r>
        <w:t>Samtidig har m</w:t>
      </w:r>
      <w:r w:rsidR="00667D6C">
        <w:t>ange</w:t>
      </w:r>
      <w:r>
        <w:t xml:space="preserve"> innbyggere</w:t>
      </w:r>
      <w:r w:rsidR="00667D6C">
        <w:t xml:space="preserve"> mistet sitt </w:t>
      </w:r>
      <w:r w:rsidR="0068487C">
        <w:t xml:space="preserve">lokale akuttilbud og </w:t>
      </w:r>
      <w:r w:rsidR="00D5494E">
        <w:t>fått</w:t>
      </w:r>
      <w:r w:rsidR="00667D6C">
        <w:t xml:space="preserve"> lengre reisetid </w:t>
      </w:r>
      <w:r>
        <w:t>til legevakt</w:t>
      </w:r>
      <w:r w:rsidR="00667D6C">
        <w:t xml:space="preserve">. </w:t>
      </w:r>
      <w:r w:rsidR="001C3E7B">
        <w:t>L</w:t>
      </w:r>
      <w:r w:rsidR="0068487C">
        <w:t>engre avstand</w:t>
      </w:r>
      <w:r w:rsidR="001C3E7B">
        <w:t xml:space="preserve">er har også </w:t>
      </w:r>
      <w:r w:rsidR="00466F58">
        <w:t>økt utrykningstiden</w:t>
      </w:r>
      <w:r w:rsidR="00D55FE8">
        <w:t>,</w:t>
      </w:r>
      <w:r w:rsidR="00466F58">
        <w:t xml:space="preserve"> og </w:t>
      </w:r>
      <w:r w:rsidR="001C3E7B">
        <w:t>medført</w:t>
      </w:r>
      <w:r w:rsidR="0068487C">
        <w:t xml:space="preserve"> </w:t>
      </w:r>
      <w:r w:rsidR="001C3E7B">
        <w:t>at områder med</w:t>
      </w:r>
      <w:r w:rsidR="0068487C">
        <w:t xml:space="preserve"> beredskapsvakt </w:t>
      </w:r>
      <w:r w:rsidR="001C3E7B">
        <w:t xml:space="preserve">må praktisere </w:t>
      </w:r>
      <w:r w:rsidR="0068487C">
        <w:t>tilstedeværelsesplikt</w:t>
      </w:r>
      <w:r w:rsidR="001C3E7B">
        <w:t xml:space="preserve"> for lege i vakt</w:t>
      </w:r>
      <w:r w:rsidR="0068487C">
        <w:t>.</w:t>
      </w:r>
    </w:p>
    <w:p w14:paraId="5BD52F7E" w14:textId="15001520" w:rsidR="00034591" w:rsidRPr="003A447B" w:rsidRDefault="3F62C1A2" w:rsidP="003B4C18">
      <w:pPr>
        <w:jc w:val="both"/>
      </w:pPr>
      <w:r>
        <w:lastRenderedPageBreak/>
        <w:t>Et viktig</w:t>
      </w:r>
      <w:r w:rsidR="112D6A1A">
        <w:t xml:space="preserve"> kompetansehevende tiltak i tjenesten er innføringen av kompetansekrav for leger i legevakt. Kravene ble innført etter en erkjennelse av utfordringer med både rekruttering, varierende kvalitet og ulikhet i tilbudet, blant annet i en utredning fra Legeforeningen</w:t>
      </w:r>
      <w:r w:rsidR="4838037B">
        <w:t xml:space="preserve"> </w:t>
      </w:r>
      <w:r w:rsidR="00E40468">
        <w:fldChar w:fldCharType="begin"/>
      </w:r>
      <w:r w:rsidR="00E40468">
        <w:instrText xml:space="preserve"> ADDIN EN.CITE &lt;EndNote&gt;&lt;Cite&gt;&lt;Author&gt;Rian Johannessen&lt;/Author&gt;&lt;Year&gt;2015&lt;/Year&gt;&lt;RecNum&gt;444&lt;/RecNum&gt;&lt;DisplayText&gt;(Rian Johannessen, 2015)&lt;/DisplayText&gt;&lt;record&gt;&lt;rec-number&gt;444&lt;/rec-number&gt;&lt;foreign-keys&gt;&lt;key app="EN" db-id="95tpr2tp6r9xwoea9rb5wdsz5ds5xeddteew" timestamp="1680069511"&gt;444&lt;/key&gt;&lt;/foreign-keys&gt;&lt;ref-type name="Journal Article"&gt;17&lt;/ref-type&gt;&lt;contributors&gt;&lt;authors&gt;&lt;author&gt;Rian Johannessen, C.&lt;/author&gt;&lt;/authors&gt;&lt;/contributors&gt;&lt;titles&gt;&lt;title&gt;Legevakten - helsetjenestens svakest ledd?&lt;/title&gt;&lt;secondary-title&gt;Tidsskriftet Den norske legeforening&lt;/secondary-title&gt;&lt;/titles&gt;&lt;pages&gt;1612-1614&lt;/pages&gt;&lt;volume&gt;135&lt;/volume&gt;&lt;number&gt;17&lt;/number&gt;&lt;dates&gt;&lt;year&gt;2015&lt;/year&gt;&lt;/dates&gt;&lt;urls&gt;&lt;related-urls&gt;&lt;url&gt;https://tidsskriftet.no/sites/default/files/pdf2015--1612-3.pdf&lt;/url&gt;&lt;/related-urls&gt;&lt;/urls&gt;&lt;/record&gt;&lt;/Cite&gt;&lt;/EndNote&gt;</w:instrText>
      </w:r>
      <w:r w:rsidR="00E40468">
        <w:fldChar w:fldCharType="separate"/>
      </w:r>
      <w:r w:rsidR="00E40468">
        <w:rPr>
          <w:noProof/>
        </w:rPr>
        <w:t>(Rian Johannessen, 2015)</w:t>
      </w:r>
      <w:r w:rsidR="00E40468">
        <w:fldChar w:fldCharType="end"/>
      </w:r>
      <w:r w:rsidR="0764E3B9">
        <w:t>.</w:t>
      </w:r>
      <w:r w:rsidR="112D6A1A">
        <w:t xml:space="preserve"> Det har vært krevende for mange</w:t>
      </w:r>
      <w:r w:rsidR="5BDFFE2C">
        <w:t xml:space="preserve"> kommuner</w:t>
      </w:r>
      <w:r w:rsidR="112D6A1A">
        <w:t>, særlig</w:t>
      </w:r>
      <w:r w:rsidR="204D455D">
        <w:t xml:space="preserve"> </w:t>
      </w:r>
      <w:r w:rsidR="3768E3E1">
        <w:t>de</w:t>
      </w:r>
      <w:r w:rsidR="112D6A1A">
        <w:t xml:space="preserve"> små, å innfri kompetansekravet og dette har forsterket kommunenes problemer med å bemanne legevakt. Dette merkes spesielt for de kommunene som allerede har problemer med å rekruttere fastleger som oppfyller kompetansekravet</w:t>
      </w:r>
      <w:r w:rsidR="2C1C4BBD">
        <w:t xml:space="preserve"> </w:t>
      </w:r>
      <w:r w:rsidR="00CE2F35">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CE2F35">
        <w:fldChar w:fldCharType="separate"/>
      </w:r>
      <w:r w:rsidR="00CE2F35">
        <w:rPr>
          <w:noProof/>
        </w:rPr>
        <w:t>(EY og Vista Analyse, 2019)</w:t>
      </w:r>
      <w:r w:rsidR="00CE2F35">
        <w:fldChar w:fldCharType="end"/>
      </w:r>
      <w:r w:rsidR="00CB43FC">
        <w:t>.</w:t>
      </w:r>
    </w:p>
    <w:p w14:paraId="3B6A909D" w14:textId="77777777" w:rsidR="00D9107F" w:rsidRDefault="00CA575F" w:rsidP="003B4C18">
      <w:pPr>
        <w:jc w:val="both"/>
      </w:pPr>
      <w:r>
        <w:t>Å fastsette hensiktsmessige kompetansekrav, som sikrer tilstrekkelig kompetanse i tjenesten og trygghet for uerfarne leger, men som samtidig gir kommunene nødvendig fleksibilitet til å bemanne legevaktordningen</w:t>
      </w:r>
      <w:r w:rsidR="00D55FE8">
        <w:t>,</w:t>
      </w:r>
      <w:r>
        <w:t xml:space="preserve"> er en utfordring for nasjonale helsemyndigheter.</w:t>
      </w:r>
    </w:p>
    <w:p w14:paraId="1F13A4E5" w14:textId="1ABEB2A5" w:rsidR="00D9107F" w:rsidRDefault="00CA575F" w:rsidP="003B4C18">
      <w:pPr>
        <w:jc w:val="both"/>
        <w:rPr>
          <w:shd w:val="clear" w:color="auto" w:fill="FFFFFF"/>
        </w:rPr>
      </w:pPr>
      <w:r>
        <w:t xml:space="preserve">Legevaktsentralene skal </w:t>
      </w:r>
      <w:r w:rsidR="00D9107F">
        <w:t>«</w:t>
      </w:r>
      <w:r>
        <w:rPr>
          <w:shd w:val="clear" w:color="auto" w:fill="FFFFFF"/>
        </w:rPr>
        <w:t>bemannes med personell med relevant helsefaglig utdanning på bachelornivå, nødvendig klinisk praksis og gjennomført tilleggsopplæring for arbeid som operatør</w:t>
      </w:r>
      <w:r w:rsidR="00D9107F">
        <w:rPr>
          <w:shd w:val="clear" w:color="auto" w:fill="FFFFFF"/>
        </w:rPr>
        <w:t>»</w:t>
      </w:r>
      <w:r>
        <w:rPr>
          <w:shd w:val="clear" w:color="auto" w:fill="FFFFFF"/>
        </w:rPr>
        <w:t>, jf akuttmedisinforskriften</w:t>
      </w:r>
      <w:r w:rsidR="00DF2B65">
        <w:rPr>
          <w:shd w:val="clear" w:color="auto" w:fill="FFFFFF"/>
        </w:rPr>
        <w:t xml:space="preserve"> </w:t>
      </w:r>
      <w:r w:rsidR="00D9107F">
        <w:rPr>
          <w:shd w:val="clear" w:color="auto" w:fill="FFFFFF"/>
        </w:rPr>
        <w:t>§ 1</w:t>
      </w:r>
      <w:r w:rsidR="00A77D54">
        <w:rPr>
          <w:shd w:val="clear" w:color="auto" w:fill="FFFFFF"/>
        </w:rPr>
        <w:t>3 bokstav f</w:t>
      </w:r>
      <w:r>
        <w:rPr>
          <w:shd w:val="clear" w:color="auto" w:fill="FFFFFF"/>
        </w:rPr>
        <w:t>. Det foreligger ingen nasjonal norm over hva som er nødvendig klinisk praksis eller tilstrekkelig tilleggsopplæring som operatører</w:t>
      </w:r>
      <w:r w:rsidR="00D55FE8">
        <w:rPr>
          <w:shd w:val="clear" w:color="auto" w:fill="FFFFFF"/>
        </w:rPr>
        <w:t>. K</w:t>
      </w:r>
      <w:r>
        <w:rPr>
          <w:shd w:val="clear" w:color="auto" w:fill="FFFFFF"/>
        </w:rPr>
        <w:t>ompetansen deres er ikke systematisk kartlagt, og det må forventes å være ulikheter i tjenesten.</w:t>
      </w:r>
    </w:p>
    <w:p w14:paraId="58FE9805" w14:textId="023AA68A" w:rsidR="009C7C96" w:rsidRDefault="009C7C96" w:rsidP="00775632">
      <w:pPr>
        <w:pStyle w:val="Overskrift3"/>
      </w:pPr>
      <w:bookmarkStart w:id="4403" w:name="_Toc130763918"/>
      <w:bookmarkStart w:id="4404" w:name="_Toc130766813"/>
      <w:bookmarkStart w:id="4405" w:name="_Toc130932212"/>
      <w:bookmarkStart w:id="4406" w:name="_Toc130934503"/>
      <w:bookmarkStart w:id="4407" w:name="_Toc130983636"/>
      <w:bookmarkStart w:id="4408" w:name="_Toc130983985"/>
      <w:bookmarkStart w:id="4409" w:name="_Toc131062253"/>
      <w:bookmarkStart w:id="4410" w:name="_Toc131062507"/>
      <w:bookmarkStart w:id="4411" w:name="_Toc131062768"/>
      <w:bookmarkStart w:id="4412" w:name="_Toc131063021"/>
      <w:bookmarkStart w:id="4413" w:name="_Toc131063804"/>
      <w:bookmarkStart w:id="4414" w:name="_Toc131064215"/>
      <w:bookmarkStart w:id="4415" w:name="_Toc131279582"/>
      <w:bookmarkStart w:id="4416" w:name="_Toc131286994"/>
      <w:bookmarkStart w:id="4417" w:name="_Toc131281404"/>
      <w:bookmarkStart w:id="4418" w:name="_Toc131317944"/>
      <w:bookmarkStart w:id="4419" w:name="_Toc132537053"/>
      <w:bookmarkStart w:id="4420" w:name="_Toc125980975"/>
      <w:bookmarkStart w:id="4421" w:name="_Toc127633313"/>
      <w:bookmarkStart w:id="4422" w:name="_Toc127864598"/>
      <w:bookmarkStart w:id="4423" w:name="_Toc128238612"/>
      <w:bookmarkStart w:id="4424" w:name="_Toc128467442"/>
      <w:bookmarkStart w:id="4425" w:name="_Toc128744686"/>
      <w:bookmarkStart w:id="4426" w:name="_Toc128744905"/>
      <w:bookmarkStart w:id="4427" w:name="_Toc129630408"/>
      <w:r>
        <w:t>Utfordringer for samhandling med øvrig akuttmedisinske kjede</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14:paraId="3A1AE1B1" w14:textId="581901EF" w:rsidR="009C7C96" w:rsidRDefault="009C7C96" w:rsidP="003B4C18">
      <w:pPr>
        <w:jc w:val="both"/>
        <w:rPr>
          <w:rFonts w:cstheme="minorHAnsi"/>
        </w:rPr>
      </w:pPr>
      <w:r>
        <w:t>Ansvaret for å håndtere akuttmedisinske tilstander i kommunene er i akuttmedisinforskriften delt mellom kommunen og helseforetaket. Virksomhetene skal sikre hensiktsmessig og koordinert innsats i tjenestene</w:t>
      </w:r>
      <w:r w:rsidR="00D55FE8">
        <w:t>,</w:t>
      </w:r>
      <w:r>
        <w:t xml:space="preserve"> og at disse er samordnet med øvrige nødetater, samt</w:t>
      </w:r>
      <w:r>
        <w:rPr>
          <w:rFonts w:cstheme="minorHAnsi"/>
        </w:rPr>
        <w:t xml:space="preserve"> at de ansatte får nødvendig opplæring og trening i å utføre egne arbeidsoppgaver.</w:t>
      </w:r>
    </w:p>
    <w:p w14:paraId="34511007" w14:textId="6A0F2E85" w:rsidR="009C7C96" w:rsidRDefault="009C7C96" w:rsidP="003B4C18">
      <w:pPr>
        <w:jc w:val="both"/>
      </w:pPr>
      <w:r w:rsidRPr="6024ED02">
        <w:t>Virksomhetene skal også sikre trening i samhandling og samarbeid med øvrige ledd i den akuttmedisinske kjeden, men dette har vist seg vanskelig å oppnå. Omtrent en av 10 leger som har hatt legevakt i løpet av det siste året</w:t>
      </w:r>
      <w:r w:rsidR="00D55FE8">
        <w:t>,</w:t>
      </w:r>
      <w:r w:rsidRPr="6024ED02">
        <w:t xml:space="preserve"> og i underkant av hver femte sykepleier</w:t>
      </w:r>
      <w:r w:rsidR="00D55FE8">
        <w:t>,</w:t>
      </w:r>
      <w:r w:rsidRPr="6024ED02">
        <w:t xml:space="preserve"> deltok i samtrening med ambulansepersonell i 2021</w:t>
      </w:r>
      <w:r>
        <w:t xml:space="preserve"> </w:t>
      </w:r>
      <w:r>
        <w:fldChar w:fldCharType="begin"/>
      </w:r>
      <w:r w:rsidR="004942AA">
        <w:instrText xml:space="preserve"> ADDIN EN.CITE &lt;EndNote&gt;&lt;Cite&gt;&lt;Author&gt;Allertsen&lt;/Author&gt;&lt;Year&gt;2022&lt;/Year&gt;&lt;RecNum&gt;447&lt;/RecNum&gt;&lt;DisplayText&gt;(Allertsen et al., 2022)&lt;/DisplayText&gt;&lt;record&gt;&lt;rec-number&gt;447&lt;/rec-number&gt;&lt;foreign-keys&gt;&lt;key app="EN" db-id="95tpr2tp6r9xwoea9rb5wdsz5ds5xeddteew" timestamp="1680069511"&gt;447&lt;/key&gt;&lt;/foreign-keys&gt;&lt;ref-type name="Report"&gt;27&lt;/ref-type&gt;&lt;contributors&gt;&lt;authors&gt;&lt;author&gt;Allertsen, M.,&lt;/author&gt;&lt;author&gt;Morken, T.&lt;/author&gt;&lt;/authors&gt;&lt;/contributors&gt;&lt;titles&gt;&lt;title&gt;Legevaktorganisering i Norge. Rapport fra Nasjonalt legevaktregister 2022&lt;/title&gt;&lt;secondary-title&gt;Rapport&lt;/secondary-title&gt;&lt;/titles&gt;&lt;number&gt;4-2022&lt;/number&gt;&lt;dates&gt;&lt;year&gt;2022&lt;/year&gt;&lt;/dates&gt;&lt;pub-location&gt;Bergen&lt;/pub-location&gt;&lt;publisher&gt;Nasjonalt kompetansesenter for legevaktmedisin, NORCE Norwegian Research Centre&lt;/publisher&gt;&lt;urls&gt;&lt;/urls&gt;&lt;/record&gt;&lt;/Cite&gt;&lt;/EndNote&gt;</w:instrText>
      </w:r>
      <w:r>
        <w:fldChar w:fldCharType="separate"/>
      </w:r>
      <w:r w:rsidR="00856689">
        <w:rPr>
          <w:noProof/>
        </w:rPr>
        <w:t>(Allertsen et al., 2022)</w:t>
      </w:r>
      <w:r>
        <w:fldChar w:fldCharType="end"/>
      </w:r>
      <w:r>
        <w:t>.</w:t>
      </w:r>
      <w:r w:rsidRPr="6024ED02">
        <w:t xml:space="preserve"> Hovedformålet med samtrening er å bedre pasientsikkerheten og trygge helsepersonellet.</w:t>
      </w:r>
      <w:r w:rsidR="005C4D81">
        <w:t xml:space="preserve"> </w:t>
      </w:r>
      <w:r w:rsidRPr="6024ED02">
        <w:t>Slik trening mellom de lokale ressursene skaper en læringsarena og kvalitetsforbedringsarena</w:t>
      </w:r>
      <w:r w:rsidR="005C4D81">
        <w:t>,</w:t>
      </w:r>
      <w:r w:rsidRPr="6024ED02">
        <w:t xml:space="preserve"> som opprettholdes av aktørene selv</w:t>
      </w:r>
      <w:r>
        <w:t xml:space="preserve"> </w:t>
      </w:r>
      <w:r>
        <w:fldChar w:fldCharType="begin"/>
      </w:r>
      <w:r w:rsidR="004654FD">
        <w:instrText xml:space="preserve"> ADDIN EN.CITE &lt;EndNote&gt;&lt;Cite&gt;&lt;Author&gt;Brandstorp&lt;/Author&gt;&lt;Year&gt;2017&lt;/Year&gt;&lt;RecNum&gt;832&lt;/RecNum&gt;&lt;DisplayText&gt;(Brandstorp, 2017)&lt;/DisplayText&gt;&lt;record&gt;&lt;rec-number&gt;832&lt;/rec-number&gt;&lt;foreign-keys&gt;&lt;key app="EN" db-id="95tpr2tp6r9xwoea9rb5wdsz5ds5xeddteew" timestamp="1680069511"&gt;832&lt;/key&gt;&lt;/foreign-keys&gt;&lt;ref-type name="Thesis"&gt;32&lt;/ref-type&gt;&lt;contributors&gt;&lt;authors&gt;&lt;author&gt;Brandstorp, H.&lt;/author&gt;&lt;/authors&gt;&lt;/contributors&gt;&lt;titles&gt;&lt;title&gt;Training interactions in local teams: Using critical participatory action research to explore context based learning&lt;/title&gt;&lt;/titles&gt;&lt;number&gt;ISM skriftserie; 175&lt;/number&gt;&lt;dates&gt;&lt;year&gt;2017&lt;/year&gt;&lt;/dates&gt;&lt;pub-location&gt;Tromsø&lt;/pub-location&gt;&lt;publisher&gt;Norges arktiske universitet, UiT&lt;/publisher&gt;&lt;work-type&gt;doktorgrad&lt;/work-type&gt;&lt;urls&gt;&lt;/urls&gt;&lt;/record&gt;&lt;/Cite&gt;&lt;/EndNote&gt;</w:instrText>
      </w:r>
      <w:r>
        <w:fldChar w:fldCharType="separate"/>
      </w:r>
      <w:r>
        <w:rPr>
          <w:noProof/>
        </w:rPr>
        <w:t>(Brandstorp, 2017)</w:t>
      </w:r>
      <w:r>
        <w:fldChar w:fldCharType="end"/>
      </w:r>
      <w:r>
        <w:t>.</w:t>
      </w:r>
    </w:p>
    <w:p w14:paraId="74F20D92" w14:textId="31199C01" w:rsidR="009C7C96" w:rsidRDefault="009C7C96" w:rsidP="003B4C18">
      <w:pPr>
        <w:jc w:val="both"/>
      </w:pPr>
      <w:r>
        <w:t>Styringen og finansieringen av de to forvaltningsnivåene er atskilt</w:t>
      </w:r>
      <w:r w:rsidR="005C4D81">
        <w:t>,</w:t>
      </w:r>
      <w:r>
        <w:t xml:space="preserve"> og gir i utgangspunktet få insentiver </w:t>
      </w:r>
      <w:r w:rsidR="005C4D81">
        <w:t>til</w:t>
      </w:r>
      <w:r>
        <w:t xml:space="preserve"> å samordne tjenestene. Beslutningsprosessene i kommuner og i helseforetakene styres av egne målset</w:t>
      </w:r>
      <w:r w:rsidR="005C4D81">
        <w:t>t</w:t>
      </w:r>
      <w:r>
        <w:t xml:space="preserve">inger, som kan medføre at ingen av partene er ansvarlige for helheten. Det er også en særlig utfordring at helseforetakene og kommunene sentraliserer tjenestene på samme tid, og uten at det gjøres en samlet vurdering av total kapasitet i den prehositale tjenesten og geografisk plassering av legevaktstasjoner, ambulansestasjoner og akuttmottak </w:t>
      </w:r>
      <w:r w:rsidR="00E40468">
        <w:fldChar w:fldCharType="begin"/>
      </w:r>
      <w:r w:rsidR="00E40468">
        <w:instrText xml:space="preserve"> ADDIN EN.CITE &lt;EndNote&gt;&lt;Cite&gt;&lt;Author&gt;Helse- og omsorgsdepartementet&lt;/Author&gt;&lt;Year&gt;2015&lt;/Year&gt;&lt;RecNum&gt;285&lt;/RecNum&gt;&lt;DisplayText&gt;(Helse- og omsorgsdepartementet, 2015b)&lt;/DisplayText&gt;&lt;record&gt;&lt;rec-number&gt;285&lt;/rec-number&gt;&lt;foreign-keys&gt;&lt;key app="EN" db-id="95tpr2tp6r9xwoea9rb5wdsz5ds5xeddteew" timestamp="1680069511"&gt;285&lt;/key&gt;&lt;/foreign-keys&gt;&lt;ref-type name="Report"&gt;27&lt;/ref-type&gt;&lt;contributors&gt;&lt;authors&gt;&lt;author&gt;Helse- og omsorgsdepartementet,&lt;/author&gt;&lt;/authors&gt;&lt;/contributors&gt;&lt;titles&gt;&lt;title&gt;NOU 2015:17. Først og fremst. Et helhetlig system for håndtering av akutte sykdommer og skader utenfor sykehus&lt;/title&gt;&lt;/titles&gt;&lt;dates&gt;&lt;year&gt;2015&lt;/year&gt;&lt;/dates&gt;&lt;pub-location&gt;Oslo&lt;/pub-location&gt;&lt;publisher&gt;Helse- og omsorgsdepartementet,&lt;/publisher&gt;&lt;urls&gt;&lt;/urls&gt;&lt;/record&gt;&lt;/Cite&gt;&lt;/EndNote&gt;</w:instrText>
      </w:r>
      <w:r w:rsidR="00E40468">
        <w:fldChar w:fldCharType="separate"/>
      </w:r>
      <w:r w:rsidR="00E40468">
        <w:rPr>
          <w:noProof/>
        </w:rPr>
        <w:t>(Helse- og omsorgsdepartementet, 2015b)</w:t>
      </w:r>
      <w:r w:rsidR="00E40468">
        <w:fldChar w:fldCharType="end"/>
      </w:r>
      <w:r>
        <w:t xml:space="preserve">. Selv om det er en uttalt målsetting at pasientene skal håndteres på </w:t>
      </w:r>
      <w:r w:rsidR="005C4D81">
        <w:t xml:space="preserve">beste </w:t>
      </w:r>
      <w:r>
        <w:t>effektive omsorgsnivå</w:t>
      </w:r>
      <w:r w:rsidR="005C4D81">
        <w:t>,</w:t>
      </w:r>
      <w:r>
        <w:t xml:space="preserve"> og at primærhelsetjenesten skal være den primære </w:t>
      </w:r>
      <w:r>
        <w:lastRenderedPageBreak/>
        <w:t>akuttmedisinske ressursen i kommunene, er finansieringsordningene i dag innrettet slik at de delvis drar tjenestene i motsatt retning.</w:t>
      </w:r>
    </w:p>
    <w:p w14:paraId="3CFE8AFF" w14:textId="77777777" w:rsidR="00D9107F" w:rsidRDefault="009C7C96" w:rsidP="003B4C18">
      <w:pPr>
        <w:jc w:val="both"/>
      </w:pPr>
      <w:r>
        <w:t>Ambulansetjenesten er rammefinansiert</w:t>
      </w:r>
      <w:r w:rsidR="005C4D81">
        <w:t>,</w:t>
      </w:r>
      <w:r>
        <w:t xml:space="preserve"> og helseforetakene </w:t>
      </w:r>
      <w:r w:rsidR="005C4D81">
        <w:t xml:space="preserve">får </w:t>
      </w:r>
      <w:r>
        <w:t>kun økonomisk gevinst ved at pasientene fraktes til</w:t>
      </w:r>
      <w:r w:rsidR="005C4D81">
        <w:t>,</w:t>
      </w:r>
      <w:r>
        <w:t xml:space="preserve"> og ivaretas i</w:t>
      </w:r>
      <w:r w:rsidR="005C4D81">
        <w:t>,</w:t>
      </w:r>
      <w:r>
        <w:t xml:space="preserve"> akuttmottak/sykehus, i motsetning til at de blir værende hjemme eller </w:t>
      </w:r>
      <w:r w:rsidR="005C4D81">
        <w:t xml:space="preserve">blir </w:t>
      </w:r>
      <w:r>
        <w:t>håndtert i en kommunal institusjon. Kommunen/legen får heller ikke økonomisk ut</w:t>
      </w:r>
      <w:r w:rsidR="005C4D81">
        <w:t>telling</w:t>
      </w:r>
      <w:r>
        <w:t xml:space="preserve"> ved at pasienter blir igjen hjemme, men primært ved at det blir gjennomført en legekonsultasjon, noe som oftest innebærer at den aktuelle pasienten må fraktes til legevakten. Pasienter, og særlig eldre, som fraktes ut av hjemmet for undersøkelse på kveld og natt, har større sannsynlighet for å bli værende i institusjon natten over</w:t>
      </w:r>
      <w:r w:rsidR="005C4D81">
        <w:t xml:space="preserve">, med tilhørende helsemessig </w:t>
      </w:r>
      <w:r w:rsidR="00A06DC1">
        <w:t>belastning</w:t>
      </w:r>
      <w:r w:rsidR="005C4D81">
        <w:t xml:space="preserve"> og kostnader for kommunen.</w:t>
      </w:r>
    </w:p>
    <w:p w14:paraId="294B8AA9" w14:textId="4FA9B7D7" w:rsidR="00034591" w:rsidRDefault="01D15E8E" w:rsidP="00775632">
      <w:pPr>
        <w:pStyle w:val="Overskrift3"/>
      </w:pPr>
      <w:bookmarkStart w:id="4428" w:name="_Toc130763919"/>
      <w:bookmarkStart w:id="4429" w:name="_Toc130766814"/>
      <w:bookmarkStart w:id="4430" w:name="_Toc130932213"/>
      <w:bookmarkStart w:id="4431" w:name="_Toc130934504"/>
      <w:bookmarkStart w:id="4432" w:name="_Toc130983637"/>
      <w:bookmarkStart w:id="4433" w:name="_Toc130983986"/>
      <w:bookmarkStart w:id="4434" w:name="_Toc131062254"/>
      <w:bookmarkStart w:id="4435" w:name="_Toc131062508"/>
      <w:bookmarkStart w:id="4436" w:name="_Toc131062769"/>
      <w:bookmarkStart w:id="4437" w:name="_Toc131063022"/>
      <w:bookmarkStart w:id="4438" w:name="_Toc131063805"/>
      <w:bookmarkStart w:id="4439" w:name="_Toc131064216"/>
      <w:bookmarkStart w:id="4440" w:name="_Toc131279583"/>
      <w:bookmarkStart w:id="4441" w:name="_Toc131286995"/>
      <w:bookmarkStart w:id="4442" w:name="_Toc131281405"/>
      <w:bookmarkStart w:id="4443" w:name="_Toc131317945"/>
      <w:bookmarkStart w:id="4444" w:name="_Toc132537054"/>
      <w:r>
        <w:t>Kommunens ansvar</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331C2718" w14:textId="77777777" w:rsidR="00D9107F" w:rsidRDefault="24A9C638" w:rsidP="003B4C18">
      <w:pPr>
        <w:jc w:val="both"/>
      </w:pPr>
      <w:r>
        <w:t xml:space="preserve">Kommunen er pliktig til å tilby legevakt, inkludert å administrere og organisere tjenesten, og er ansvarlig for ledelsen av legevakt. </w:t>
      </w:r>
      <w:r w:rsidRPr="00A55ADC">
        <w:t>Dedikerte årsverk til ledelse på legevakt er begrenset</w:t>
      </w:r>
      <w:r w:rsidR="005C4D81" w:rsidRPr="00A55ADC">
        <w:t>,</w:t>
      </w:r>
      <w:r w:rsidRPr="00A55ADC">
        <w:t xml:space="preserve"> og varierer stort, fra ingen årsverk til flere. </w:t>
      </w:r>
      <w:r w:rsidR="6B0DCD84" w:rsidRPr="00A55ADC">
        <w:t xml:space="preserve">En av fem legevakter har 10 </w:t>
      </w:r>
      <w:r w:rsidR="00372296" w:rsidRPr="00A55ADC">
        <w:t>prosent</w:t>
      </w:r>
      <w:r w:rsidRPr="00A55ADC">
        <w:t xml:space="preserve"> </w:t>
      </w:r>
      <w:r w:rsidR="32091026" w:rsidRPr="00A55ADC">
        <w:t xml:space="preserve">stilling </w:t>
      </w:r>
      <w:r w:rsidRPr="00A55ADC">
        <w:t xml:space="preserve">eller mindre </w:t>
      </w:r>
      <w:r w:rsidR="3F62C1A2" w:rsidRPr="00A55ADC">
        <w:t>til ledelse og administrasjon</w:t>
      </w:r>
      <w:r w:rsidR="014BE985" w:rsidRPr="00A55ADC">
        <w:t xml:space="preserve"> </w:t>
      </w:r>
      <w:r w:rsidR="00540F95" w:rsidRPr="00A55ADC">
        <w:fldChar w:fldCharType="begin"/>
      </w:r>
      <w:r w:rsidR="00A27571">
        <w:instrText xml:space="preserve"> ADDIN EN.CITE &lt;EndNote&gt;&lt;Cite&gt;&lt;Author&gt;Morken&lt;/Author&gt;&lt;Year&gt;2019&lt;/Year&gt;&lt;RecNum&gt;445&lt;/RecNum&gt;&lt;DisplayText&gt;(Morken et al., 2019)&lt;/DisplayText&gt;&lt;record&gt;&lt;rec-number&gt;445&lt;/rec-number&gt;&lt;foreign-keys&gt;&lt;key app="EN" db-id="95tpr2tp6r9xwoea9rb5wdsz5ds5xeddteew" timestamp="1680069511"&gt;445&lt;/key&gt;&lt;/foreign-keys&gt;&lt;ref-type name="Report"&gt;27&lt;/ref-type&gt;&lt;contributors&gt;&lt;authors&gt;&lt;author&gt;Morken, T.,&lt;/author&gt;&lt;author&gt;Solberg, L. R.,&lt;/author&gt;&lt;author&gt;Allertsen, M.&lt;/author&gt;&lt;/authors&gt;&lt;/contributors&gt;&lt;titles&gt;&lt;title&gt;Legevaktorganisering i Norge. Rapport fra Nasjonalt legevaktregister 2018&lt;/title&gt;&lt;/titles&gt;&lt;number&gt;Rapport nr. 4-2019&lt;/number&gt;&lt;dates&gt;&lt;year&gt;2019&lt;/year&gt;&lt;/dates&gt;&lt;pub-location&gt;Bergen&lt;/pub-location&gt;&lt;publisher&gt;Nasjonalt kompetansesenter for legevaktmedisin, NORCE Norwegian Research Centre&lt;/publisher&gt;&lt;urls&gt;&lt;/urls&gt;&lt;/record&gt;&lt;/Cite&gt;&lt;/EndNote&gt;</w:instrText>
      </w:r>
      <w:r w:rsidR="00540F95" w:rsidRPr="00A55ADC">
        <w:fldChar w:fldCharType="separate"/>
      </w:r>
      <w:r w:rsidR="00540F95" w:rsidRPr="00A55ADC">
        <w:rPr>
          <w:noProof/>
        </w:rPr>
        <w:t>(Morken et al., 2019)</w:t>
      </w:r>
      <w:r w:rsidR="00540F95" w:rsidRPr="00A55ADC">
        <w:fldChar w:fldCharType="end"/>
      </w:r>
      <w:r w:rsidR="00CB43FC" w:rsidRPr="00A55ADC">
        <w:t>.</w:t>
      </w:r>
    </w:p>
    <w:p w14:paraId="616F2554" w14:textId="77777777" w:rsidR="00D9107F" w:rsidRDefault="2A912F72" w:rsidP="003B4C18">
      <w:pPr>
        <w:jc w:val="both"/>
      </w:pPr>
      <w:r>
        <w:t>I flere</w:t>
      </w:r>
      <w:r w:rsidDel="00372296">
        <w:t xml:space="preserve"> </w:t>
      </w:r>
      <w:r w:rsidR="00372296">
        <w:t>mindre folkerike</w:t>
      </w:r>
      <w:r>
        <w:t xml:space="preserve"> og usentrale kommuner er det krevende å få til en bærekraftig legevaktordning</w:t>
      </w:r>
      <w:r w:rsidR="005C4D81">
        <w:t>,</w:t>
      </w:r>
      <w:r>
        <w:t xml:space="preserve"> og</w:t>
      </w:r>
      <w:r w:rsidR="00F21CD6">
        <w:t xml:space="preserve"> </w:t>
      </w:r>
      <w:r w:rsidR="00FB4E03">
        <w:t xml:space="preserve">dermed er </w:t>
      </w:r>
      <w:r w:rsidR="00F21CD6">
        <w:t>det vanskelig for kommunene å oppfylle sitt sørge-for-ansvar</w:t>
      </w:r>
      <w:r w:rsidR="0097616F">
        <w:t xml:space="preserve">. Stadig </w:t>
      </w:r>
      <w:r w:rsidDel="009A3F70">
        <w:t>f</w:t>
      </w:r>
      <w:r>
        <w:t>lere kommuner har måtte sette inn kompense</w:t>
      </w:r>
      <w:r w:rsidR="411B946B">
        <w:t>re</w:t>
      </w:r>
      <w:r>
        <w:t>nde tiltak</w:t>
      </w:r>
      <w:r w:rsidR="005C4D81">
        <w:t>,</w:t>
      </w:r>
      <w:r>
        <w:t xml:space="preserve"> som å ansette relativt mange fastleger og redusere lengden på fastlegelister</w:t>
      </w:r>
      <w:r w:rsidR="67705A9F">
        <w:t xml:space="preserve"> </w:t>
      </w:r>
      <w:r w:rsidR="00FB4E03">
        <w:t xml:space="preserve">for </w:t>
      </w:r>
      <w:r w:rsidR="000A2290">
        <w:t>å bemanne legevakt og med en</w:t>
      </w:r>
      <w:r w:rsidR="003C5C34">
        <w:t xml:space="preserve"> </w:t>
      </w:r>
      <w:r w:rsidR="00A06DC1">
        <w:t>akseptabel</w:t>
      </w:r>
      <w:r w:rsidR="003C5C34">
        <w:t xml:space="preserve"> </w:t>
      </w:r>
      <w:r w:rsidR="00B148E8">
        <w:t xml:space="preserve">vaktbelastning </w:t>
      </w:r>
      <w:r w:rsidR="00D2354E">
        <w:fldChar w:fldCharType="begin"/>
      </w:r>
      <w:r w:rsidR="00F23621">
        <w:instrText xml:space="preserve"> ADDIN EN.CITE &lt;EndNote&gt;&lt;Cite&gt;&lt;Author&gt;Abelsen&lt;/Author&gt;&lt;Year&gt;2017&lt;/Year&gt;&lt;RecNum&gt;588&lt;/RecNum&gt;&lt;DisplayText&gt;(Abelsen et al., 2017a)&lt;/DisplayText&gt;&lt;record&gt;&lt;rec-number&gt;588&lt;/rec-number&gt;&lt;foreign-keys&gt;&lt;key app="EN" db-id="95tpr2tp6r9xwoea9rb5wdsz5ds5xeddteew" timestamp="1680069511"&gt;588&lt;/key&gt;&lt;/foreign-keys&gt;&lt;ref-type name="Report"&gt;27&lt;/ref-type&gt;&lt;contributors&gt;&lt;authors&gt;&lt;author&gt;Abelsen, B.,&lt;/author&gt;&lt;author&gt;Brandstorp, H.&lt;/author&gt;&lt;/authors&gt;&lt;/contributors&gt;&lt;titles&gt;&lt;title&gt;Oppfyller kommunene kompetansekrav i akuttmedisinforskriften? Krav til leger i vakt og trening i samhandling&lt;/title&gt;&lt;/titles&gt;&lt;dates&gt;&lt;year&gt;2017&lt;/year&gt;&lt;/dates&gt;&lt;publisher&gt;Nasjonalt senter for distriktsmedisin og UiT Norges arktiske universitet&lt;/publisher&gt;&lt;urls&gt;&lt;/urls&gt;&lt;/record&gt;&lt;/Cite&gt;&lt;/EndNote&gt;</w:instrText>
      </w:r>
      <w:r w:rsidR="00D2354E">
        <w:fldChar w:fldCharType="separate"/>
      </w:r>
      <w:r w:rsidR="00F23621">
        <w:rPr>
          <w:noProof/>
        </w:rPr>
        <w:t>(Abelsen et al., 2017a)</w:t>
      </w:r>
      <w:r w:rsidR="00D2354E">
        <w:fldChar w:fldCharType="end"/>
      </w:r>
      <w:r w:rsidR="00515CC8">
        <w:t>.</w:t>
      </w:r>
      <w:r w:rsidR="00F85AE7">
        <w:t xml:space="preserve"> </w:t>
      </w:r>
      <w:r w:rsidR="00864AC3">
        <w:t>O</w:t>
      </w:r>
      <w:r w:rsidR="008D20CA">
        <w:t xml:space="preserve">gså </w:t>
      </w:r>
      <w:r w:rsidR="006009AB">
        <w:t xml:space="preserve">befolkningsrike og sentrale kommuner, som Tromsø, </w:t>
      </w:r>
      <w:r w:rsidR="00B84177">
        <w:t xml:space="preserve">oppgir at </w:t>
      </w:r>
      <w:r w:rsidR="00864AC3">
        <w:t xml:space="preserve">det </w:t>
      </w:r>
      <w:r w:rsidR="00272CDA">
        <w:t>gjøre</w:t>
      </w:r>
      <w:r w:rsidR="0013408E">
        <w:t>s</w:t>
      </w:r>
      <w:r w:rsidR="00F51B07">
        <w:t xml:space="preserve"> </w:t>
      </w:r>
      <w:r w:rsidR="00272CDA">
        <w:t>en rekke tiltak for å</w:t>
      </w:r>
      <w:r w:rsidR="002458FC">
        <w:t xml:space="preserve"> </w:t>
      </w:r>
      <w:r w:rsidR="0013408E">
        <w:t xml:space="preserve">få en fungerende vaktordning og </w:t>
      </w:r>
      <w:r w:rsidR="006D2BE6">
        <w:t>legevakttilbud til</w:t>
      </w:r>
      <w:r w:rsidR="007E27DE">
        <w:t xml:space="preserve"> innbyggerne</w:t>
      </w:r>
      <w:r w:rsidR="006D2BE6">
        <w:t>.</w:t>
      </w:r>
    </w:p>
    <w:p w14:paraId="263B9A9E" w14:textId="5A148CEC" w:rsidR="00CA575F" w:rsidRDefault="09A51149" w:rsidP="00775632">
      <w:pPr>
        <w:pStyle w:val="Overskrift3"/>
      </w:pPr>
      <w:bookmarkStart w:id="4445" w:name="_Toc128744689"/>
      <w:bookmarkStart w:id="4446" w:name="_Toc128744908"/>
      <w:bookmarkStart w:id="4447" w:name="_Toc129630411"/>
      <w:bookmarkStart w:id="4448" w:name="_Toc130763920"/>
      <w:bookmarkStart w:id="4449" w:name="_Toc130766815"/>
      <w:bookmarkStart w:id="4450" w:name="_Toc130932214"/>
      <w:bookmarkStart w:id="4451" w:name="_Toc130934505"/>
      <w:bookmarkStart w:id="4452" w:name="_Toc130983638"/>
      <w:bookmarkStart w:id="4453" w:name="_Toc130983987"/>
      <w:bookmarkStart w:id="4454" w:name="_Toc131062255"/>
      <w:bookmarkStart w:id="4455" w:name="_Toc131062509"/>
      <w:bookmarkStart w:id="4456" w:name="_Toc131062770"/>
      <w:bookmarkStart w:id="4457" w:name="_Toc131063023"/>
      <w:bookmarkStart w:id="4458" w:name="_Toc131063806"/>
      <w:bookmarkStart w:id="4459" w:name="_Toc131064217"/>
      <w:bookmarkStart w:id="4460" w:name="_Toc131279584"/>
      <w:bookmarkStart w:id="4461" w:name="_Toc131286996"/>
      <w:bookmarkStart w:id="4462" w:name="_Toc131281406"/>
      <w:bookmarkStart w:id="4463" w:name="_Toc131317946"/>
      <w:bookmarkStart w:id="4464" w:name="_Toc132537055"/>
      <w:bookmarkStart w:id="4465" w:name="_Toc118897704"/>
      <w:bookmarkStart w:id="4466" w:name="_Toc118991076"/>
      <w:bookmarkStart w:id="4467" w:name="_Toc125980978"/>
      <w:bookmarkStart w:id="4468" w:name="_Toc127633316"/>
      <w:bookmarkStart w:id="4469" w:name="_Toc127864601"/>
      <w:bookmarkStart w:id="4470" w:name="_Toc128238615"/>
      <w:bookmarkStart w:id="4471" w:name="_Toc128467445"/>
      <w:r>
        <w:t xml:space="preserve">Avlønning </w:t>
      </w:r>
      <w:r w:rsidR="06D5542B">
        <w:t xml:space="preserve">for </w:t>
      </w:r>
      <w:r>
        <w:t>legevakt og kommunenes kostnader til legevakt</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685B7A60" w14:textId="77777777" w:rsidR="00D9107F" w:rsidRDefault="00CA575F" w:rsidP="003B4C18">
      <w:pPr>
        <w:jc w:val="both"/>
      </w:pPr>
      <w:r>
        <w:t>Avlønning for leger i legevakt er tariffregulert i SFS 2305. Størrelsen på beredskapstillegget legen mottar følger av vaktklassen den enkelte kommune er i, fra 1 til 4, etter beregnet gjennomsnittlig antall minutter aktivt arbeid per time. For kommuner i vaktklasse 4, med estimert mer enn 45 minutters aktivt arbeid per time, har lege i vakt tilstedeplikt og mottar ikke beredskapstillegg.</w:t>
      </w:r>
    </w:p>
    <w:p w14:paraId="4CA124D3" w14:textId="7FF8016C" w:rsidR="00CA575F" w:rsidRDefault="6B0DCD84" w:rsidP="003B4C18">
      <w:pPr>
        <w:jc w:val="both"/>
      </w:pPr>
      <w:r>
        <w:t>Ifølge partene er den vanligste avlønningen av legevaktleger i dag at legene beholder refusjoner, pasientenes egenbetaling og beredskapstillegg fra kommunene</w:t>
      </w:r>
      <w:r w:rsidR="2A171FE6">
        <w:t xml:space="preserve"> </w:t>
      </w:r>
      <w:r w:rsidR="00D2354E">
        <w:fldChar w:fldCharType="begin"/>
      </w:r>
      <w:r w:rsidR="00235862">
        <w:instrText xml:space="preserve"> ADDIN EN.CITE &lt;EndNote&gt;&lt;Cite&gt;&lt;Author&gt;Helsedirektoratet&lt;/Author&gt;&lt;Year&gt;2023&lt;/Year&gt;&lt;RecNum&gt;609&lt;/RecNum&gt;&lt;DisplayText&gt;(Helsedirektoratet, 2023e)&lt;/DisplayText&gt;&lt;record&gt;&lt;rec-number&gt;609&lt;/rec-number&gt;&lt;foreign-keys&gt;&lt;key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rsidR="00D2354E">
        <w:fldChar w:fldCharType="separate"/>
      </w:r>
      <w:r w:rsidR="00C32115">
        <w:rPr>
          <w:noProof/>
        </w:rPr>
        <w:t>(Helsedirektoratet, 2023e)</w:t>
      </w:r>
      <w:r w:rsidR="00D2354E">
        <w:fldChar w:fldCharType="end"/>
      </w:r>
      <w:r w:rsidR="00515CC8">
        <w:t>.</w:t>
      </w:r>
      <w:r>
        <w:t xml:space="preserve"> Avlønning med beredskapstillegg og takster gir uforutsigbar og varierende inntekt</w:t>
      </w:r>
      <w:r w:rsidR="57BC0E29">
        <w:t xml:space="preserve"> </w:t>
      </w:r>
      <w:r w:rsidR="00D2354E">
        <w:fldChar w:fldCharType="begin"/>
      </w:r>
      <w:r w:rsidR="00A27571">
        <w:instrText xml:space="preserve"> ADDIN EN.CITE &lt;EndNote&gt;&lt;Cite&gt;&lt;Author&gt;Godager&lt;/Author&gt;&lt;Year&gt;2015&lt;/Year&gt;&lt;RecNum&gt;246&lt;/RecNum&gt;&lt;DisplayText&gt;(Godager et al., 2015b)&lt;/DisplayText&gt;&lt;record&gt;&lt;rec-number&gt;246&lt;/rec-number&gt;&lt;foreign-keys&gt;&lt;key app="EN" db-id="95tpr2tp6r9xwoea9rb5wdsz5ds5xeddteew" timestamp="1680069511"&gt;246&lt;/key&gt;&lt;/foreign-keys&gt;&lt;ref-type name="Report"&gt;27&lt;/ref-type&gt;&lt;contributors&gt;&lt;authors&gt;&lt;author&gt;Godager, G.,&lt;/author&gt;&lt;author&gt;Iversen, T.,&lt;/author&gt;&lt;author&gt;Morken, T.,&lt;/author&gt;&lt;author&gt;Hunskår, S.&lt;/author&gt;&lt;/authors&gt;&lt;/contributors&gt;&lt;titles&gt;&lt;title&gt;Fastlønn ved legevaktarbeid &lt;/title&gt;&lt;secondary-title&gt;Rapport&lt;/secondary-title&gt;&lt;/titles&gt;&lt;number&gt;4-2015&lt;/number&gt;&lt;dates&gt;&lt;year&gt;2015&lt;/year&gt;&lt;/dates&gt;&lt;pub-location&gt;Bergen&lt;/pub-location&gt;&lt;publisher&gt;Nasjonalt kompetansesenter for legevaktmedisin&lt;/publisher&gt;&lt;urls&gt;&lt;/urls&gt;&lt;/record&gt;&lt;/Cite&gt;&lt;/EndNote&gt;</w:instrText>
      </w:r>
      <w:r w:rsidR="00D2354E">
        <w:fldChar w:fldCharType="separate"/>
      </w:r>
      <w:r w:rsidR="00856689">
        <w:rPr>
          <w:noProof/>
        </w:rPr>
        <w:t>(Godager et al., 2015b)</w:t>
      </w:r>
      <w:r w:rsidR="00D2354E">
        <w:fldChar w:fldCharType="end"/>
      </w:r>
      <w:r w:rsidR="00515CC8">
        <w:t>,</w:t>
      </w:r>
      <w:r>
        <w:t xml:space="preserve"> og inntjeningen kompenserer heller ikke legen fullt ut for å være tilgjengelig for utrykning</w:t>
      </w:r>
      <w:r w:rsidR="09A51149">
        <w:t xml:space="preserve"> </w:t>
      </w:r>
      <w:r w:rsidR="5DD8A840">
        <w:t>eller</w:t>
      </w:r>
      <w:r>
        <w:t xml:space="preserve"> sykebesøk.</w:t>
      </w:r>
    </w:p>
    <w:p w14:paraId="03B090E8" w14:textId="010D70E1" w:rsidR="00D9107F" w:rsidRDefault="00CA575F" w:rsidP="003B4C18">
      <w:pPr>
        <w:jc w:val="both"/>
      </w:pPr>
      <w:r>
        <w:t>Takstsystemet slår ulikt ut for kommunene</w:t>
      </w:r>
      <w:r w:rsidR="005C4D81">
        <w:t>,</w:t>
      </w:r>
      <w:r>
        <w:t xml:space="preserve"> etter mengde aktivitet. I store by-kommuner finansieres legevakt i all hovedsak gjennom takster, mens beredskapsordninger i kommuner med lavt innbyggertall og i distrikt </w:t>
      </w:r>
      <w:r w:rsidR="004D585D">
        <w:t>f</w:t>
      </w:r>
      <w:r w:rsidR="008D737C">
        <w:t>inansieres direkte av kommunene</w:t>
      </w:r>
      <w:r w:rsidR="005C4D81">
        <w:t>,</w:t>
      </w:r>
      <w:r w:rsidR="008D737C">
        <w:t xml:space="preserve"> gjennom </w:t>
      </w:r>
      <w:r w:rsidR="008D737C">
        <w:lastRenderedPageBreak/>
        <w:t>rammetilskuddet</w:t>
      </w:r>
      <w:r w:rsidR="00097339">
        <w:t>.</w:t>
      </w:r>
      <w:r>
        <w:t xml:space="preserve"> Legevakt er betydelig mer kostbart i distriktskommuner med få innbyggere. I henhold til SSBs kartlegging av kostnader for kommuner med egen legevakt hele døgnet</w:t>
      </w:r>
      <w:r w:rsidR="004C5E08">
        <w:t>,</w:t>
      </w:r>
      <w:r>
        <w:t xml:space="preserve"> er kostnad per innbygger mer enn seksdoblet for kommuner med færre enn </w:t>
      </w:r>
      <w:r w:rsidR="00D9107F">
        <w:t>2 000</w:t>
      </w:r>
      <w:r>
        <w:t xml:space="preserve"> innbyggere, sammenlignet med kommuner med 2</w:t>
      </w:r>
      <w:r w:rsidR="00D9107F">
        <w:t>0 000</w:t>
      </w:r>
      <w:r>
        <w:t xml:space="preserve"> eller flere innbyggere (tabell </w:t>
      </w:r>
      <w:r w:rsidR="00D94C07">
        <w:t>8-1</w:t>
      </w:r>
      <w:r>
        <w:t>).</w:t>
      </w:r>
    </w:p>
    <w:p w14:paraId="6F1AE1E8" w14:textId="2291FE61" w:rsidR="00772A2C" w:rsidRDefault="00064EEB" w:rsidP="00775632">
      <w:pPr>
        <w:pStyle w:val="tabell-tittel"/>
      </w:pPr>
      <w:r>
        <w:t>N</w:t>
      </w:r>
      <w:r w:rsidR="00772A2C">
        <w:t>etto driftsutgifter per innbygger (i kr)</w:t>
      </w:r>
      <w:r>
        <w:t xml:space="preserve"> i kommuner med egen kommunal legevakt (Del A) 2021</w:t>
      </w:r>
    </w:p>
    <w:tbl>
      <w:tblPr>
        <w:tblW w:w="5000" w:type="pct"/>
        <w:tblCellMar>
          <w:left w:w="70" w:type="dxa"/>
          <w:right w:w="70" w:type="dxa"/>
        </w:tblCellMar>
        <w:tblLook w:val="04A0" w:firstRow="1" w:lastRow="0" w:firstColumn="1" w:lastColumn="0" w:noHBand="0" w:noVBand="1"/>
      </w:tblPr>
      <w:tblGrid>
        <w:gridCol w:w="5008"/>
        <w:gridCol w:w="2076"/>
        <w:gridCol w:w="2652"/>
      </w:tblGrid>
      <w:tr w:rsidR="00772A2C" w:rsidRPr="00EE56BD" w14:paraId="36F7A23D" w14:textId="77777777" w:rsidTr="00772A2C">
        <w:trPr>
          <w:trHeight w:val="1103"/>
        </w:trPr>
        <w:tc>
          <w:tcPr>
            <w:tcW w:w="2572" w:type="pct"/>
            <w:tcBorders>
              <w:top w:val="single" w:sz="4" w:space="0" w:color="auto"/>
              <w:left w:val="single" w:sz="4" w:space="0" w:color="auto"/>
              <w:bottom w:val="single" w:sz="24" w:space="0" w:color="2A3652"/>
              <w:right w:val="single" w:sz="4" w:space="0" w:color="auto"/>
            </w:tcBorders>
            <w:shd w:val="clear" w:color="auto" w:fill="A9D6B9" w:themeFill="accent2"/>
            <w:vAlign w:val="bottom"/>
            <w:hideMark/>
          </w:tcPr>
          <w:p w14:paraId="3378A523" w14:textId="4CA9A44C" w:rsidR="00772A2C" w:rsidRPr="00D9107F" w:rsidRDefault="00772A2C" w:rsidP="00D87CD3">
            <w:pPr>
              <w:pStyle w:val="TabellHode-kolonne"/>
              <w:rPr>
                <w:rStyle w:val="halvfet"/>
              </w:rPr>
            </w:pPr>
            <w:r w:rsidRPr="00D9107F">
              <w:rPr>
                <w:rStyle w:val="halvfet"/>
              </w:rPr>
              <w:t>Antall innbyggere i kommunen</w:t>
            </w:r>
          </w:p>
        </w:tc>
        <w:tc>
          <w:tcPr>
            <w:tcW w:w="1066" w:type="pct"/>
            <w:tcBorders>
              <w:top w:val="single" w:sz="4" w:space="0" w:color="auto"/>
              <w:left w:val="nil"/>
              <w:bottom w:val="single" w:sz="24" w:space="0" w:color="2A3652"/>
              <w:right w:val="single" w:sz="4" w:space="0" w:color="auto"/>
            </w:tcBorders>
            <w:shd w:val="clear" w:color="auto" w:fill="A9D6B9" w:themeFill="accent2"/>
            <w:vAlign w:val="bottom"/>
            <w:hideMark/>
          </w:tcPr>
          <w:p w14:paraId="3663FF5D" w14:textId="77777777" w:rsidR="00772A2C" w:rsidRPr="00D9107F" w:rsidRDefault="00772A2C" w:rsidP="00E41D13">
            <w:pPr>
              <w:pStyle w:val="TabellHode-kolonne"/>
              <w:jc w:val="right"/>
              <w:rPr>
                <w:rStyle w:val="halvfet"/>
              </w:rPr>
            </w:pPr>
            <w:r w:rsidRPr="00D9107F">
              <w:rPr>
                <w:rStyle w:val="halvfet"/>
              </w:rPr>
              <w:t>Antall kommuner</w:t>
            </w:r>
          </w:p>
        </w:tc>
        <w:tc>
          <w:tcPr>
            <w:tcW w:w="1362" w:type="pct"/>
            <w:tcBorders>
              <w:top w:val="single" w:sz="4" w:space="0" w:color="auto"/>
              <w:left w:val="nil"/>
              <w:bottom w:val="single" w:sz="24" w:space="0" w:color="2A3652"/>
              <w:right w:val="single" w:sz="4" w:space="0" w:color="auto"/>
            </w:tcBorders>
            <w:shd w:val="clear" w:color="auto" w:fill="A9D6B9" w:themeFill="accent2"/>
            <w:vAlign w:val="bottom"/>
            <w:hideMark/>
          </w:tcPr>
          <w:p w14:paraId="35486FD9" w14:textId="77777777" w:rsidR="00772A2C" w:rsidRPr="00D9107F" w:rsidRDefault="00772A2C" w:rsidP="00E41D13">
            <w:pPr>
              <w:pStyle w:val="TabellHode-kolonne"/>
              <w:jc w:val="right"/>
              <w:rPr>
                <w:rStyle w:val="halvfet"/>
              </w:rPr>
            </w:pPr>
            <w:r w:rsidRPr="00D9107F">
              <w:rPr>
                <w:rStyle w:val="halvfet"/>
              </w:rPr>
              <w:t>Netto driftsutgifter til legevakt per innbygger i kr.</w:t>
            </w:r>
          </w:p>
        </w:tc>
      </w:tr>
      <w:tr w:rsidR="00772A2C" w:rsidRPr="00772A2C" w14:paraId="7F1B421A" w14:textId="77777777" w:rsidTr="00772A2C">
        <w:trPr>
          <w:trHeight w:val="300"/>
        </w:trPr>
        <w:tc>
          <w:tcPr>
            <w:tcW w:w="2572" w:type="pct"/>
            <w:tcBorders>
              <w:top w:val="single" w:sz="24" w:space="0" w:color="2A3652"/>
              <w:left w:val="single" w:sz="4" w:space="0" w:color="auto"/>
              <w:bottom w:val="single" w:sz="4" w:space="0" w:color="auto"/>
              <w:right w:val="single" w:sz="4" w:space="0" w:color="auto"/>
            </w:tcBorders>
            <w:shd w:val="clear" w:color="auto" w:fill="auto"/>
            <w:noWrap/>
            <w:vAlign w:val="bottom"/>
            <w:hideMark/>
          </w:tcPr>
          <w:p w14:paraId="5517BFCC" w14:textId="77777777" w:rsidR="00772A2C" w:rsidRPr="00772A2C" w:rsidRDefault="00772A2C" w:rsidP="00D87CD3">
            <w:pPr>
              <w:pStyle w:val="TabellHode-rad"/>
            </w:pPr>
            <w:r w:rsidRPr="00772A2C">
              <w:t>Totalt</w:t>
            </w:r>
          </w:p>
        </w:tc>
        <w:tc>
          <w:tcPr>
            <w:tcW w:w="1066" w:type="pct"/>
            <w:tcBorders>
              <w:top w:val="single" w:sz="24" w:space="0" w:color="2A3652"/>
              <w:left w:val="nil"/>
              <w:bottom w:val="single" w:sz="4" w:space="0" w:color="auto"/>
              <w:right w:val="single" w:sz="4" w:space="0" w:color="auto"/>
            </w:tcBorders>
            <w:shd w:val="clear" w:color="auto" w:fill="auto"/>
            <w:noWrap/>
            <w:vAlign w:val="bottom"/>
            <w:hideMark/>
          </w:tcPr>
          <w:p w14:paraId="0B25D373"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44</w:t>
            </w:r>
          </w:p>
        </w:tc>
        <w:tc>
          <w:tcPr>
            <w:tcW w:w="1362" w:type="pct"/>
            <w:tcBorders>
              <w:top w:val="single" w:sz="24" w:space="0" w:color="2A3652"/>
              <w:left w:val="nil"/>
              <w:bottom w:val="single" w:sz="4" w:space="0" w:color="auto"/>
              <w:right w:val="single" w:sz="4" w:space="0" w:color="auto"/>
            </w:tcBorders>
            <w:shd w:val="clear" w:color="auto" w:fill="auto"/>
            <w:noWrap/>
            <w:vAlign w:val="bottom"/>
            <w:hideMark/>
          </w:tcPr>
          <w:p w14:paraId="452D8A31"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1409</w:t>
            </w:r>
          </w:p>
        </w:tc>
      </w:tr>
      <w:tr w:rsidR="00772A2C" w:rsidRPr="00772A2C" w14:paraId="7BC5B73D" w14:textId="77777777" w:rsidTr="00772A2C">
        <w:trPr>
          <w:trHeight w:val="300"/>
        </w:trPr>
        <w:tc>
          <w:tcPr>
            <w:tcW w:w="2572" w:type="pct"/>
            <w:tcBorders>
              <w:top w:val="nil"/>
              <w:left w:val="single" w:sz="4" w:space="0" w:color="auto"/>
              <w:bottom w:val="single" w:sz="4" w:space="0" w:color="auto"/>
              <w:right w:val="single" w:sz="4" w:space="0" w:color="auto"/>
            </w:tcBorders>
            <w:shd w:val="clear" w:color="auto" w:fill="auto"/>
            <w:noWrap/>
            <w:vAlign w:val="bottom"/>
            <w:hideMark/>
          </w:tcPr>
          <w:p w14:paraId="53C3EA83" w14:textId="77777777" w:rsidR="00772A2C" w:rsidRPr="00772A2C" w:rsidRDefault="00772A2C" w:rsidP="00D87CD3">
            <w:pPr>
              <w:pStyle w:val="TabellHode-rad"/>
            </w:pPr>
            <w:r w:rsidRPr="00772A2C">
              <w:t>Under 2000 innbyggere</w:t>
            </w:r>
          </w:p>
        </w:tc>
        <w:tc>
          <w:tcPr>
            <w:tcW w:w="1066" w:type="pct"/>
            <w:tcBorders>
              <w:top w:val="nil"/>
              <w:left w:val="nil"/>
              <w:bottom w:val="single" w:sz="4" w:space="0" w:color="auto"/>
              <w:right w:val="single" w:sz="4" w:space="0" w:color="auto"/>
            </w:tcBorders>
            <w:shd w:val="clear" w:color="auto" w:fill="auto"/>
            <w:noWrap/>
            <w:vAlign w:val="bottom"/>
            <w:hideMark/>
          </w:tcPr>
          <w:p w14:paraId="1E08823A"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12</w:t>
            </w:r>
          </w:p>
        </w:tc>
        <w:tc>
          <w:tcPr>
            <w:tcW w:w="1362" w:type="pct"/>
            <w:tcBorders>
              <w:top w:val="nil"/>
              <w:left w:val="nil"/>
              <w:bottom w:val="single" w:sz="4" w:space="0" w:color="auto"/>
              <w:right w:val="single" w:sz="4" w:space="0" w:color="auto"/>
            </w:tcBorders>
            <w:shd w:val="clear" w:color="auto" w:fill="auto"/>
            <w:noWrap/>
            <w:vAlign w:val="bottom"/>
            <w:hideMark/>
          </w:tcPr>
          <w:p w14:paraId="4778AE5B"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3206</w:t>
            </w:r>
          </w:p>
        </w:tc>
      </w:tr>
      <w:tr w:rsidR="00772A2C" w:rsidRPr="00772A2C" w14:paraId="17E991D2" w14:textId="77777777" w:rsidTr="00772A2C">
        <w:trPr>
          <w:trHeight w:val="300"/>
        </w:trPr>
        <w:tc>
          <w:tcPr>
            <w:tcW w:w="2572" w:type="pct"/>
            <w:tcBorders>
              <w:top w:val="nil"/>
              <w:left w:val="single" w:sz="4" w:space="0" w:color="auto"/>
              <w:bottom w:val="single" w:sz="4" w:space="0" w:color="auto"/>
              <w:right w:val="single" w:sz="4" w:space="0" w:color="auto"/>
            </w:tcBorders>
            <w:shd w:val="clear" w:color="auto" w:fill="auto"/>
            <w:noWrap/>
            <w:vAlign w:val="bottom"/>
            <w:hideMark/>
          </w:tcPr>
          <w:p w14:paraId="6B13ABB9" w14:textId="509391E6" w:rsidR="00772A2C" w:rsidRPr="00772A2C" w:rsidRDefault="00772A2C" w:rsidP="00D87CD3">
            <w:pPr>
              <w:pStyle w:val="TabellHode-rad"/>
            </w:pPr>
            <w:r w:rsidRPr="00772A2C">
              <w:t>2000</w:t>
            </w:r>
            <w:r w:rsidR="00D9107F">
              <w:t>–</w:t>
            </w:r>
            <w:r w:rsidRPr="00772A2C">
              <w:t>4999 innbyggere</w:t>
            </w:r>
          </w:p>
        </w:tc>
        <w:tc>
          <w:tcPr>
            <w:tcW w:w="1066" w:type="pct"/>
            <w:tcBorders>
              <w:top w:val="nil"/>
              <w:left w:val="nil"/>
              <w:bottom w:val="single" w:sz="4" w:space="0" w:color="auto"/>
              <w:right w:val="single" w:sz="4" w:space="0" w:color="auto"/>
            </w:tcBorders>
            <w:shd w:val="clear" w:color="auto" w:fill="auto"/>
            <w:noWrap/>
            <w:vAlign w:val="bottom"/>
            <w:hideMark/>
          </w:tcPr>
          <w:p w14:paraId="6CAFCF1E"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10</w:t>
            </w:r>
          </w:p>
        </w:tc>
        <w:tc>
          <w:tcPr>
            <w:tcW w:w="1362" w:type="pct"/>
            <w:tcBorders>
              <w:top w:val="nil"/>
              <w:left w:val="nil"/>
              <w:bottom w:val="single" w:sz="4" w:space="0" w:color="auto"/>
              <w:right w:val="single" w:sz="4" w:space="0" w:color="auto"/>
            </w:tcBorders>
            <w:shd w:val="clear" w:color="auto" w:fill="auto"/>
            <w:noWrap/>
            <w:vAlign w:val="bottom"/>
            <w:hideMark/>
          </w:tcPr>
          <w:p w14:paraId="2FA995EE"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1044</w:t>
            </w:r>
          </w:p>
        </w:tc>
      </w:tr>
      <w:tr w:rsidR="00772A2C" w:rsidRPr="00772A2C" w14:paraId="745E6191" w14:textId="77777777" w:rsidTr="00772A2C">
        <w:trPr>
          <w:trHeight w:val="300"/>
        </w:trPr>
        <w:tc>
          <w:tcPr>
            <w:tcW w:w="2572" w:type="pct"/>
            <w:tcBorders>
              <w:top w:val="nil"/>
              <w:left w:val="single" w:sz="4" w:space="0" w:color="auto"/>
              <w:bottom w:val="single" w:sz="4" w:space="0" w:color="auto"/>
              <w:right w:val="single" w:sz="4" w:space="0" w:color="auto"/>
            </w:tcBorders>
            <w:shd w:val="clear" w:color="auto" w:fill="auto"/>
            <w:noWrap/>
            <w:vAlign w:val="bottom"/>
            <w:hideMark/>
          </w:tcPr>
          <w:p w14:paraId="768BEE44" w14:textId="3D6A6E74" w:rsidR="00772A2C" w:rsidRPr="00772A2C" w:rsidRDefault="00772A2C" w:rsidP="00D87CD3">
            <w:pPr>
              <w:pStyle w:val="TabellHode-rad"/>
            </w:pPr>
            <w:r w:rsidRPr="00772A2C">
              <w:t>5000</w:t>
            </w:r>
            <w:r w:rsidR="00E41D13">
              <w:t>–</w:t>
            </w:r>
            <w:r w:rsidRPr="00772A2C">
              <w:t>19999 innbyggere</w:t>
            </w:r>
          </w:p>
        </w:tc>
        <w:tc>
          <w:tcPr>
            <w:tcW w:w="1066" w:type="pct"/>
            <w:tcBorders>
              <w:top w:val="nil"/>
              <w:left w:val="nil"/>
              <w:bottom w:val="single" w:sz="4" w:space="0" w:color="auto"/>
              <w:right w:val="single" w:sz="4" w:space="0" w:color="auto"/>
            </w:tcBorders>
            <w:shd w:val="clear" w:color="auto" w:fill="auto"/>
            <w:noWrap/>
            <w:vAlign w:val="bottom"/>
            <w:hideMark/>
          </w:tcPr>
          <w:p w14:paraId="7140A3C1"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12</w:t>
            </w:r>
          </w:p>
        </w:tc>
        <w:tc>
          <w:tcPr>
            <w:tcW w:w="1362" w:type="pct"/>
            <w:tcBorders>
              <w:top w:val="nil"/>
              <w:left w:val="nil"/>
              <w:bottom w:val="single" w:sz="4" w:space="0" w:color="auto"/>
              <w:right w:val="single" w:sz="4" w:space="0" w:color="auto"/>
            </w:tcBorders>
            <w:shd w:val="clear" w:color="auto" w:fill="auto"/>
            <w:noWrap/>
            <w:vAlign w:val="bottom"/>
            <w:hideMark/>
          </w:tcPr>
          <w:p w14:paraId="57D72975"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684</w:t>
            </w:r>
          </w:p>
        </w:tc>
      </w:tr>
      <w:tr w:rsidR="00772A2C" w:rsidRPr="00772A2C" w14:paraId="76E768B0" w14:textId="77777777" w:rsidTr="00772A2C">
        <w:trPr>
          <w:trHeight w:val="300"/>
        </w:trPr>
        <w:tc>
          <w:tcPr>
            <w:tcW w:w="2572" w:type="pct"/>
            <w:tcBorders>
              <w:top w:val="nil"/>
              <w:left w:val="single" w:sz="4" w:space="0" w:color="auto"/>
              <w:bottom w:val="single" w:sz="4" w:space="0" w:color="auto"/>
              <w:right w:val="single" w:sz="4" w:space="0" w:color="auto"/>
            </w:tcBorders>
            <w:shd w:val="clear" w:color="auto" w:fill="auto"/>
            <w:noWrap/>
            <w:vAlign w:val="bottom"/>
            <w:hideMark/>
          </w:tcPr>
          <w:p w14:paraId="63D1DF60" w14:textId="77777777" w:rsidR="00772A2C" w:rsidRPr="00772A2C" w:rsidRDefault="00772A2C" w:rsidP="00D87CD3">
            <w:pPr>
              <w:pStyle w:val="TabellHode-rad"/>
            </w:pPr>
            <w:r w:rsidRPr="00772A2C">
              <w:t>20000 eller flere innbyggere</w:t>
            </w:r>
          </w:p>
        </w:tc>
        <w:tc>
          <w:tcPr>
            <w:tcW w:w="1066" w:type="pct"/>
            <w:tcBorders>
              <w:top w:val="nil"/>
              <w:left w:val="nil"/>
              <w:bottom w:val="single" w:sz="4" w:space="0" w:color="auto"/>
              <w:right w:val="single" w:sz="4" w:space="0" w:color="auto"/>
            </w:tcBorders>
            <w:shd w:val="clear" w:color="auto" w:fill="auto"/>
            <w:noWrap/>
            <w:vAlign w:val="bottom"/>
            <w:hideMark/>
          </w:tcPr>
          <w:p w14:paraId="05734EB4"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10</w:t>
            </w:r>
          </w:p>
        </w:tc>
        <w:tc>
          <w:tcPr>
            <w:tcW w:w="1362" w:type="pct"/>
            <w:tcBorders>
              <w:top w:val="nil"/>
              <w:left w:val="nil"/>
              <w:bottom w:val="single" w:sz="4" w:space="0" w:color="auto"/>
              <w:right w:val="single" w:sz="4" w:space="0" w:color="auto"/>
            </w:tcBorders>
            <w:shd w:val="clear" w:color="auto" w:fill="auto"/>
            <w:noWrap/>
            <w:vAlign w:val="bottom"/>
            <w:hideMark/>
          </w:tcPr>
          <w:p w14:paraId="339F074A" w14:textId="77777777" w:rsidR="00772A2C" w:rsidRPr="00772A2C" w:rsidRDefault="00772A2C" w:rsidP="00E41D13">
            <w:pPr>
              <w:jc w:val="right"/>
              <w:rPr>
                <w:rFonts w:ascii="Calibri" w:hAnsi="Calibri" w:cs="Calibri"/>
                <w:color w:val="2A3652"/>
              </w:rPr>
            </w:pPr>
            <w:r w:rsidRPr="00772A2C">
              <w:rPr>
                <w:rFonts w:ascii="Calibri" w:hAnsi="Calibri" w:cs="Calibri"/>
                <w:color w:val="2A3652"/>
              </w:rPr>
              <w:t>490</w:t>
            </w:r>
          </w:p>
        </w:tc>
      </w:tr>
    </w:tbl>
    <w:p w14:paraId="37C0E69D" w14:textId="65C645F0" w:rsidR="00D9107F" w:rsidRPr="00CE06F0" w:rsidRDefault="00772A2C" w:rsidP="004F1500">
      <w:pPr>
        <w:pStyle w:val="Petit"/>
        <w:rPr>
          <w:rStyle w:val="kursiv"/>
        </w:rPr>
      </w:pPr>
      <w:r w:rsidRPr="00CE06F0">
        <w:rPr>
          <w:rStyle w:val="kursiv"/>
        </w:rPr>
        <w:t xml:space="preserve">Merknad: </w:t>
      </w:r>
      <w:r w:rsidR="00BE315C" w:rsidRPr="00CE06F0">
        <w:rPr>
          <w:rStyle w:val="kursiv"/>
        </w:rPr>
        <w:t>H</w:t>
      </w:r>
      <w:r w:rsidR="00852A5E" w:rsidRPr="00CE06F0">
        <w:rPr>
          <w:rStyle w:val="kursiv"/>
        </w:rPr>
        <w:t>ele døgnet</w:t>
      </w:r>
      <w:r w:rsidR="00313954" w:rsidRPr="00CE06F0">
        <w:rPr>
          <w:rStyle w:val="kursiv"/>
        </w:rPr>
        <w:t>, etter</w:t>
      </w:r>
      <w:r w:rsidR="001801C7" w:rsidRPr="00CE06F0">
        <w:rPr>
          <w:rStyle w:val="kursiv"/>
        </w:rPr>
        <w:t xml:space="preserve"> kommunestørrelse, uvektet gjennomsnitt</w:t>
      </w:r>
      <w:r w:rsidR="00AD5A17" w:rsidRPr="00CE06F0">
        <w:rPr>
          <w:rStyle w:val="kursiv"/>
        </w:rPr>
        <w:t>. Kil</w:t>
      </w:r>
      <w:r w:rsidR="00B94EFC" w:rsidRPr="00CE06F0">
        <w:rPr>
          <w:rStyle w:val="kursiv"/>
        </w:rPr>
        <w:t>d</w:t>
      </w:r>
      <w:r w:rsidR="00AD5A17" w:rsidRPr="00CE06F0">
        <w:rPr>
          <w:rStyle w:val="kursiv"/>
        </w:rPr>
        <w:t>e:</w:t>
      </w:r>
      <w:r w:rsidR="00313954" w:rsidRPr="00CE06F0">
        <w:rPr>
          <w:rStyle w:val="kursiv"/>
        </w:rPr>
        <w:t xml:space="preserve"> </w:t>
      </w:r>
      <w:r w:rsidR="00CA575F" w:rsidRPr="00CE06F0">
        <w:rPr>
          <w:rStyle w:val="kursiv"/>
        </w:rPr>
        <w:t>Tabell</w:t>
      </w:r>
      <w:r w:rsidRPr="00CE06F0">
        <w:rPr>
          <w:rStyle w:val="kursiv"/>
        </w:rPr>
        <w:t xml:space="preserve"> hentet fra </w:t>
      </w:r>
      <w:r w:rsidR="000C107F" w:rsidRPr="00CE06F0">
        <w:rPr>
          <w:rStyle w:val="kursiv"/>
        </w:rPr>
        <w:t>Ekornrud et.al.</w:t>
      </w:r>
      <w:r w:rsidRPr="00CE06F0">
        <w:rPr>
          <w:rStyle w:val="kursiv"/>
        </w:rPr>
        <w:t xml:space="preserve"> Legevaktstjenesten i norske kommuner i 2021, s 78.</w:t>
      </w:r>
    </w:p>
    <w:p w14:paraId="635B5FD1" w14:textId="59B8ACAA" w:rsidR="00D9107F" w:rsidRDefault="00CA575F" w:rsidP="003B4C18">
      <w:pPr>
        <w:jc w:val="both"/>
      </w:pPr>
      <w:r>
        <w:t xml:space="preserve">Tilsvarende kartlegging av vertskommuner for interkommunal legevakt viser at vertskommuner med mindre enn </w:t>
      </w:r>
      <w:r w:rsidR="00D9107F">
        <w:t>5 000</w:t>
      </w:r>
      <w:r>
        <w:t xml:space="preserve"> innbyggere har mer enn tre ganger så store driftsutgifter per innbygger som vertskommuner med mer enn 5</w:t>
      </w:r>
      <w:r w:rsidR="00D9107F">
        <w:t>0 000</w:t>
      </w:r>
      <w:r>
        <w:t xml:space="preserve"> innbyggere. Forskjellene etter kommunestørrelse er noe mindre for deltakerkommunene i interkommunal legevakt (</w:t>
      </w:r>
      <w:r w:rsidR="00531FF3">
        <w:t>se t</w:t>
      </w:r>
      <w:r>
        <w:t>abell</w:t>
      </w:r>
      <w:r w:rsidR="00531FF3">
        <w:t xml:space="preserve"> 6.3 og</w:t>
      </w:r>
      <w:r>
        <w:t xml:space="preserve"> 6.4</w:t>
      </w:r>
      <w:r w:rsidR="00622C77">
        <w:t xml:space="preserve"> i </w:t>
      </w:r>
      <w:r w:rsidR="00312E71">
        <w:t>Ekornrud et al., 2023</w:t>
      </w:r>
      <w:r>
        <w:t xml:space="preserve">). Mange kommuner har ikke levert kostnadstall av tilfredsstillende kvalitet og er ikke inkludert i tabellene. Statistisk </w:t>
      </w:r>
      <w:r w:rsidR="005C4D81">
        <w:t>s</w:t>
      </w:r>
      <w:r>
        <w:t>entralbyrås kartlegging viser at kommunene mangler kunnskap om kostnadene til legevakt.</w:t>
      </w:r>
    </w:p>
    <w:p w14:paraId="185009A0" w14:textId="227E53A3" w:rsidR="00CA575F" w:rsidRDefault="00521C69" w:rsidP="00775632">
      <w:pPr>
        <w:pStyle w:val="Overskrift2"/>
      </w:pPr>
      <w:bookmarkStart w:id="4472" w:name="_Toc128126709"/>
      <w:bookmarkStart w:id="4473" w:name="_Toc128744691"/>
      <w:bookmarkStart w:id="4474" w:name="_Toc128744910"/>
      <w:bookmarkStart w:id="4475" w:name="_Toc129630413"/>
      <w:bookmarkStart w:id="4476" w:name="_Toc130763922"/>
      <w:bookmarkStart w:id="4477" w:name="_Toc130766817"/>
      <w:bookmarkStart w:id="4478" w:name="_Toc130932216"/>
      <w:bookmarkStart w:id="4479" w:name="_Toc130934507"/>
      <w:bookmarkStart w:id="4480" w:name="_Toc130983640"/>
      <w:bookmarkStart w:id="4481" w:name="_Toc130983989"/>
      <w:bookmarkStart w:id="4482" w:name="_Toc131062257"/>
      <w:bookmarkStart w:id="4483" w:name="_Toc131062511"/>
      <w:bookmarkStart w:id="4484" w:name="_Toc131062772"/>
      <w:bookmarkStart w:id="4485" w:name="_Toc131063025"/>
      <w:bookmarkStart w:id="4486" w:name="_Toc131063808"/>
      <w:bookmarkStart w:id="4487" w:name="_Toc131064219"/>
      <w:bookmarkStart w:id="4488" w:name="_Toc131238547"/>
      <w:bookmarkStart w:id="4489" w:name="_Toc131279585"/>
      <w:bookmarkStart w:id="4490" w:name="_Toc131286997"/>
      <w:bookmarkStart w:id="4491" w:name="_Toc131281407"/>
      <w:bookmarkStart w:id="4492" w:name="_Toc131317947"/>
      <w:bookmarkStart w:id="4493" w:name="_Toc132537056"/>
      <w:bookmarkEnd w:id="4465"/>
      <w:bookmarkEnd w:id="4466"/>
      <w:bookmarkEnd w:id="4467"/>
      <w:bookmarkEnd w:id="4468"/>
      <w:bookmarkEnd w:id="4469"/>
      <w:bookmarkEnd w:id="4470"/>
      <w:bookmarkEnd w:id="4471"/>
      <w:r>
        <w:t>Ekspertu</w:t>
      </w:r>
      <w:r w:rsidR="00CA575F">
        <w:t xml:space="preserve">tvalgets </w:t>
      </w:r>
      <w:bookmarkEnd w:id="4472"/>
      <w:r w:rsidR="00CA575F">
        <w:t>vurderinger</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73F58435" w14:textId="0696949D" w:rsidR="00A3054B" w:rsidRPr="00A55ADC" w:rsidRDefault="00A3054B" w:rsidP="003B4C18">
      <w:pPr>
        <w:jc w:val="both"/>
      </w:pPr>
      <w:r w:rsidRPr="00A55ADC">
        <w:t>Ekspertutvalget er bedt om å foreslå endringer i legevakt</w:t>
      </w:r>
      <w:r w:rsidR="005C4D81" w:rsidRPr="00A55ADC">
        <w:t>,</w:t>
      </w:r>
      <w:r w:rsidRPr="00A55ADC">
        <w:t xml:space="preserve"> for å blant annet å legge til rette for redusert arbeidstid i legevakt for allmennleger, først og fremst på natt. Av hensynet til å rekruttere nye leger og beholde leger som allerede er i fastlegeordningen, bør redusert arbeidstid også ses i sammenheng med å redusere belastningen ved å ha legevakt</w:t>
      </w:r>
      <w:r w:rsidR="005C4D81" w:rsidRPr="00A55ADC">
        <w:t>,</w:t>
      </w:r>
      <w:r w:rsidRPr="00A55ADC">
        <w:t xml:space="preserve"> og å tilrettelegge for faglig og sikkerhetsmessig trygghet i vakt. Det legges til grunn at anbefalingene må sikre innbyggerne tilgjengelige og likeverdige tjenester der de bor.</w:t>
      </w:r>
    </w:p>
    <w:p w14:paraId="34E90D26" w14:textId="54D510D5" w:rsidR="00731EAE" w:rsidRPr="00A55ADC" w:rsidRDefault="00A3054B" w:rsidP="003B4C18">
      <w:pPr>
        <w:jc w:val="both"/>
      </w:pPr>
      <w:r w:rsidRPr="00A55ADC">
        <w:lastRenderedPageBreak/>
        <w:t>Legevakttjenesten er ulikt organisert</w:t>
      </w:r>
      <w:r w:rsidR="005C4D81" w:rsidRPr="00A55ADC">
        <w:t>,</w:t>
      </w:r>
      <w:r w:rsidRPr="00A55ADC">
        <w:t xml:space="preserve"> og har ulike betingelser</w:t>
      </w:r>
      <w:r w:rsidR="005C4D81" w:rsidRPr="00A55ADC">
        <w:t>,</w:t>
      </w:r>
      <w:r w:rsidRPr="00A55ADC">
        <w:t xml:space="preserve"> på tvers av landet. Utfordringene er også forskjellige i spredtbygde distriktskommuner og mer folkerike kommuner i sentrale områder. Hvordan legevakttjenesten kan utvikle seg framover</w:t>
      </w:r>
      <w:r w:rsidR="00731EAE" w:rsidRPr="00A55ADC">
        <w:t xml:space="preserve"> er avhengig av en rekke faktorer, som tilgang på helsepersonell, endringer i bosetningsmønster, alderssammensetning og sykelighet i befolkningen, teknologisk utvikling og overordnede helsepolitisk føringer. Likeverdige helsetjenester i hele landet</w:t>
      </w:r>
      <w:r w:rsidR="00445873" w:rsidRPr="00A55ADC">
        <w:t xml:space="preserve"> </w:t>
      </w:r>
      <w:r w:rsidR="00A21A2C" w:rsidRPr="00A55ADC">
        <w:t xml:space="preserve">vil </w:t>
      </w:r>
      <w:r w:rsidRPr="00A55ADC">
        <w:t xml:space="preserve">derfor </w:t>
      </w:r>
      <w:r w:rsidR="00C60773" w:rsidRPr="00A55ADC">
        <w:t>kunne</w:t>
      </w:r>
      <w:r w:rsidR="00445873" w:rsidRPr="00A55ADC">
        <w:t xml:space="preserve"> </w:t>
      </w:r>
      <w:r w:rsidR="00C60773" w:rsidRPr="00A55ADC">
        <w:t>innebære ulike</w:t>
      </w:r>
      <w:r w:rsidR="00731EAE" w:rsidRPr="00A55ADC">
        <w:t xml:space="preserve"> lokale </w:t>
      </w:r>
      <w:r w:rsidR="00C60773" w:rsidRPr="00A55ADC">
        <w:t>løsninger</w:t>
      </w:r>
      <w:r w:rsidR="00880051" w:rsidRPr="00A55ADC">
        <w:t xml:space="preserve">. </w:t>
      </w:r>
      <w:r w:rsidR="006A0C1F" w:rsidRPr="00A55ADC">
        <w:t>Ekspertutvalgets anbefalinger vil gjenspeile dette.</w:t>
      </w:r>
    </w:p>
    <w:p w14:paraId="6BAA4B76" w14:textId="7051788F" w:rsidR="00CA575F" w:rsidRDefault="00731EAE" w:rsidP="003B4C18">
      <w:pPr>
        <w:jc w:val="both"/>
      </w:pPr>
      <w:r>
        <w:t>Legevakt utgjør førstelinjen i håndteringen av øyeblikkelig hjelp og akutte hendelser i kommunene</w:t>
      </w:r>
      <w:r w:rsidR="7C5C118D">
        <w:t>,</w:t>
      </w:r>
      <w:r>
        <w:t xml:space="preserve"> og en grunnleggende funksjon med tjenesten er beredskap. Dette er særlig viktig i distrikt, med </w:t>
      </w:r>
      <w:r w:rsidR="00EC699F">
        <w:t xml:space="preserve">store </w:t>
      </w:r>
      <w:r>
        <w:t xml:space="preserve">avstander og </w:t>
      </w:r>
      <w:r w:rsidR="00EC699F">
        <w:t xml:space="preserve">lang </w:t>
      </w:r>
      <w:r>
        <w:t>reisevei. Den akuttmedisinske kjeden, der legevakt inngår, er en helt nødvendig beredskapstjeneste og det er derfor viktig at utviklingen av kjeden sees som en helhet.</w:t>
      </w:r>
    </w:p>
    <w:p w14:paraId="431B61F9" w14:textId="77777777" w:rsidR="00D9107F" w:rsidRDefault="00A3054B" w:rsidP="003B4C18">
      <w:pPr>
        <w:jc w:val="both"/>
      </w:pPr>
      <w:bookmarkStart w:id="4494" w:name="_Toc129596281"/>
      <w:r w:rsidRPr="00A55ADC">
        <w:t xml:space="preserve">For å oppnå redusert arbeidstid </w:t>
      </w:r>
      <w:r w:rsidR="00EC699F" w:rsidRPr="00A55ADC">
        <w:t xml:space="preserve">for fastleger </w:t>
      </w:r>
      <w:r w:rsidRPr="00A55ADC">
        <w:t>i legevakt</w:t>
      </w:r>
      <w:r w:rsidR="00EC699F" w:rsidRPr="00A55ADC">
        <w:t>,</w:t>
      </w:r>
      <w:r w:rsidRPr="00A55ADC">
        <w:t xml:space="preserve"> er ekspertutvalget bedt om å vurdere ulike virkemidler, som teknologi, annet personell og samarbeid mellom den kommunale helse- og omsorgstjenesten og spesialisthelsetjenesten.</w:t>
      </w:r>
    </w:p>
    <w:p w14:paraId="3F1D9C96" w14:textId="22481A08" w:rsidR="00B175BE" w:rsidRDefault="005320DB" w:rsidP="00775632">
      <w:pPr>
        <w:pStyle w:val="Overskrift3"/>
      </w:pPr>
      <w:bookmarkStart w:id="4495" w:name="_Toc130763923"/>
      <w:bookmarkStart w:id="4496" w:name="_Toc130766818"/>
      <w:bookmarkStart w:id="4497" w:name="_Toc130932217"/>
      <w:bookmarkStart w:id="4498" w:name="_Toc130934508"/>
      <w:bookmarkStart w:id="4499" w:name="_Toc130983641"/>
      <w:bookmarkStart w:id="4500" w:name="_Toc130983990"/>
      <w:bookmarkStart w:id="4501" w:name="_Toc131062258"/>
      <w:bookmarkStart w:id="4502" w:name="_Toc131062512"/>
      <w:bookmarkStart w:id="4503" w:name="_Toc131062773"/>
      <w:bookmarkStart w:id="4504" w:name="_Toc131063026"/>
      <w:bookmarkStart w:id="4505" w:name="_Toc131063809"/>
      <w:bookmarkStart w:id="4506" w:name="_Toc131064220"/>
      <w:bookmarkStart w:id="4507" w:name="_Toc131238548"/>
      <w:bookmarkStart w:id="4508" w:name="_Toc131279586"/>
      <w:bookmarkStart w:id="4509" w:name="_Toc131286998"/>
      <w:bookmarkStart w:id="4510" w:name="_Toc131281408"/>
      <w:bookmarkStart w:id="4511" w:name="_Toc131317948"/>
      <w:bookmarkStart w:id="4512" w:name="_Toc132537057"/>
      <w:r>
        <w:t xml:space="preserve">Fastlegenes arbeidstid i </w:t>
      </w:r>
      <w:r w:rsidR="00B175BE">
        <w:t>legevakt</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14:paraId="285DD8AA" w14:textId="77777777" w:rsidR="00AD4606" w:rsidRDefault="00AD4606" w:rsidP="00207D5B">
      <w:pPr>
        <w:jc w:val="both"/>
      </w:pPr>
      <w:r w:rsidRPr="00301FA0">
        <w:t>Det er store lokale forskjeller i</w:t>
      </w:r>
      <w:r>
        <w:t xml:space="preserve"> fastlegenes vaktbelastning i legevakt, størrelse på vaktlaget, avstander i legevaktdistriktene og nærhet til andre tjenester. Forskjellene er spesielt store mellom distriktskommuner med lave folketall og sentrale og befolkningsrike kommuner, og gir behov for ulike tiltak i distrikt og i sentrale strøk.</w:t>
      </w:r>
    </w:p>
    <w:p w14:paraId="34E03DD3" w14:textId="77777777" w:rsidR="00D9107F" w:rsidRDefault="00AD4606" w:rsidP="00207D5B">
      <w:pPr>
        <w:jc w:val="both"/>
      </w:pPr>
      <w:r>
        <w:t>Målset</w:t>
      </w:r>
      <w:r w:rsidR="005C4D81">
        <w:t>t</w:t>
      </w:r>
      <w:r>
        <w:t>ingen om å ta ned</w:t>
      </w:r>
      <w:r w:rsidDel="007E2C89">
        <w:t xml:space="preserve"> </w:t>
      </w:r>
      <w:r w:rsidR="007E2C89">
        <w:t>fastlegers</w:t>
      </w:r>
      <w:r>
        <w:t xml:space="preserve"> arbeidstid i legevakt er knyttet til stor vaktbelastning for leger i distriktskommuner, utfordringer med å ha tilstrekkelig antall leger, og stabilitet i vaktordningen. Legevakt er ansett som en allmennmedisinsk disiplin</w:t>
      </w:r>
      <w:r w:rsidR="005C4D81">
        <w:t>,</w:t>
      </w:r>
      <w:r>
        <w:t xml:space="preserve"> og har tradisjonelt vært bemannet med fastleger. Samtidig er det mer enn 40 prosent av landets fastleger som ikke jobber legevakt. De resterende fastlegene kan sies å ta en uforholdsmessig stor belastning for å ivareta legevakttjenesten, i særlig grad i distriktene.</w:t>
      </w:r>
    </w:p>
    <w:p w14:paraId="462490D2" w14:textId="0C8A68B9" w:rsidR="00AD4606" w:rsidRDefault="00AD4606" w:rsidP="00207D5B">
      <w:pPr>
        <w:jc w:val="both"/>
      </w:pPr>
      <w:r>
        <w:t>Ekspertutvalget mener det er behov for en levelig arbeidstidsordning for fastleger i distriktene</w:t>
      </w:r>
      <w:r w:rsidR="005C4D81">
        <w:t>,</w:t>
      </w:r>
      <w:r>
        <w:t xml:space="preserve"> og at det må kunne skapes rom for avlastning for fastlegene som inngår i legevaktordningen. Slik forholdene er for mange fastleger i disse områdene</w:t>
      </w:r>
      <w:r w:rsidR="007E2C89">
        <w:t>,</w:t>
      </w:r>
      <w:r>
        <w:t xml:space="preserve"> bidrar høy legevaktbelastning til å destabilisere og forverre rekrutteringsutfordringene til fastlegeordningen. </w:t>
      </w:r>
      <w:r w:rsidRPr="00DB3474">
        <w:t>Ekspertutvalget mener at</w:t>
      </w:r>
      <w:r>
        <w:t xml:space="preserve"> fastlegenes deltakelse i</w:t>
      </w:r>
      <w:r w:rsidRPr="00DB3474">
        <w:t xml:space="preserve"> legevakt bør løses på en annen måte enn i dag, hvor legevakt kommer i tillegg til fastlegens arbeid på fastlegekontoret</w:t>
      </w:r>
      <w:r w:rsidRPr="009E488A">
        <w:t>. Det vil blant annet medføre at man må tenke annerledes om hvem som jobber i legevakt.</w:t>
      </w:r>
    </w:p>
    <w:p w14:paraId="03D4A1C2" w14:textId="2F3247D7" w:rsidR="00AD4606" w:rsidRDefault="00AD4606" w:rsidP="00207D5B">
      <w:pPr>
        <w:jc w:val="both"/>
      </w:pPr>
      <w:r w:rsidRPr="009E488A">
        <w:t xml:space="preserve">Ekspertutvalget vurderer at det er hensiktsmessig å åpne opp for at legevakt i større grad betjenes av andre leger enn fastlegene, av hensynet til å rekruttere inn nye leger og beholde </w:t>
      </w:r>
      <w:r w:rsidRPr="009E488A">
        <w:lastRenderedPageBreak/>
        <w:t>leger som allerede er i fastlegeordningen.</w:t>
      </w:r>
      <w:r>
        <w:t xml:space="preserve"> Erfaring fra en rekke kommuner viser at det mulig å ivareta en god beredskaps- og legevakttjeneste ved at legevakten bemannes av andre leger enn fastleger. </w:t>
      </w:r>
      <w:r w:rsidRPr="00A44928">
        <w:t xml:space="preserve">Samtidig kan </w:t>
      </w:r>
      <w:r>
        <w:t xml:space="preserve">det </w:t>
      </w:r>
      <w:r w:rsidRPr="00A44928">
        <w:t>forstås som en svekkelse av legevaktarbeid som allmennmedisinsk disiplin. Det allmennmedisinske faget kan ivaretas ved å bygge opp sterke fagmiljø</w:t>
      </w:r>
      <w:r>
        <w:t>er</w:t>
      </w:r>
      <w:r w:rsidR="005C4D81">
        <w:t>,</w:t>
      </w:r>
      <w:r w:rsidRPr="00A44928">
        <w:t xml:space="preserve"> gjennom </w:t>
      </w:r>
      <w:r>
        <w:t>at kommunene</w:t>
      </w:r>
      <w:r w:rsidRPr="00A44928">
        <w:t xml:space="preserve"> ansette</w:t>
      </w:r>
      <w:r>
        <w:t>r</w:t>
      </w:r>
      <w:r w:rsidRPr="00A44928">
        <w:t xml:space="preserve"> flere </w:t>
      </w:r>
      <w:r>
        <w:t>fast ansatte</w:t>
      </w:r>
      <w:r w:rsidRPr="00A44928">
        <w:t xml:space="preserve"> legevaktleger, som etter kompetanseforskriften må være spesialist i allmennmedisin eller under spesialisering</w:t>
      </w:r>
      <w:r>
        <w:t>.</w:t>
      </w:r>
    </w:p>
    <w:p w14:paraId="2B0D5DEA" w14:textId="40C2948D" w:rsidR="00AD4606" w:rsidRDefault="00AD4606" w:rsidP="00775632">
      <w:pPr>
        <w:pStyle w:val="Overskrift4"/>
      </w:pPr>
      <w:bookmarkStart w:id="4513" w:name="_Toc130983642"/>
      <w:bookmarkStart w:id="4514" w:name="_Toc130983991"/>
      <w:bookmarkStart w:id="4515" w:name="_Toc131238549"/>
      <w:bookmarkStart w:id="4516" w:name="_Toc131279587"/>
      <w:bookmarkStart w:id="4517" w:name="_Toc131286999"/>
      <w:bookmarkStart w:id="4518" w:name="_Toc131281409"/>
      <w:bookmarkStart w:id="4519" w:name="_Toc131317949"/>
      <w:r>
        <w:t>Rammer for fastlegenes arbeidstid i legevakt</w:t>
      </w:r>
      <w:bookmarkEnd w:id="4513"/>
      <w:bookmarkEnd w:id="4514"/>
      <w:bookmarkEnd w:id="4515"/>
      <w:bookmarkEnd w:id="4516"/>
      <w:bookmarkEnd w:id="4517"/>
      <w:bookmarkEnd w:id="4518"/>
      <w:bookmarkEnd w:id="4519"/>
    </w:p>
    <w:p w14:paraId="09A12934" w14:textId="27E855BA" w:rsidR="000B454C" w:rsidRDefault="000B454C" w:rsidP="00207D5B">
      <w:pPr>
        <w:jc w:val="both"/>
      </w:pPr>
      <w:r>
        <w:t xml:space="preserve">For </w:t>
      </w:r>
      <w:r w:rsidR="00D74536">
        <w:t>mange</w:t>
      </w:r>
      <w:r>
        <w:t xml:space="preserve"> kommuner, særlig i distrikt, vil det være naturlig at fastlegene er hovedstammen i legevaktordningen også i fr</w:t>
      </w:r>
      <w:r w:rsidR="005C4D81">
        <w:t>a</w:t>
      </w:r>
      <w:r>
        <w:t xml:space="preserve">mtiden. Det er nødvendig at arbeidstid i legevakt får rammer som gir levelige forhold for fastlegene. Andre leger i </w:t>
      </w:r>
      <w:r w:rsidR="61827673">
        <w:t>n</w:t>
      </w:r>
      <w:r>
        <w:t xml:space="preserve">ordsjø-turnuser i hele eller deler av året, vil kunne redusere vakthyppighet gjennom året og/eller gi verdifull avlastning for kommunens leger i ferier, helger og ved fravær. Et ytterligere grep kan være at det settes noen rammer for hvor mye arbeidstid fastlegene </w:t>
      </w:r>
      <w:r w:rsidR="005B5B43">
        <w:t>kan pålegges</w:t>
      </w:r>
      <w:r>
        <w:t xml:space="preserve"> i legevakt</w:t>
      </w:r>
      <w:r w:rsidR="005B5B43">
        <w:t>,</w:t>
      </w:r>
      <w:r>
        <w:t xml:space="preserve"> utover arbeidet på fastlegekontoret.</w:t>
      </w:r>
    </w:p>
    <w:p w14:paraId="21485941" w14:textId="4E9641F5" w:rsidR="00AD4606" w:rsidRDefault="00AD4606" w:rsidP="00207D5B">
      <w:pPr>
        <w:jc w:val="both"/>
      </w:pPr>
      <w:r>
        <w:t xml:space="preserve">I dag kan kommunen pålegge fastleger i fulltidspraksis å delta inntil 7,5 timer per uke i andre allmennlegeoppgaver i kommunen, for eksempel i </w:t>
      </w:r>
      <w:r w:rsidR="000B454C">
        <w:t>helsestasjon</w:t>
      </w:r>
      <w:r>
        <w:t xml:space="preserve">- og skolehelsetjenesten, og sykehjem, jf. fastlegeforskriften </w:t>
      </w:r>
      <w:r w:rsidR="00D9107F">
        <w:t>§ 1</w:t>
      </w:r>
      <w:r>
        <w:t>2. Deltakelse i legevakt utenfor ordinær åpningstid kommer i tillegg til andre allmennlegeoppgaver, og innebærer at fastlegens arbeidstid langt kan overgå en full stilling.</w:t>
      </w:r>
    </w:p>
    <w:p w14:paraId="6F94DDC4" w14:textId="28F128CA" w:rsidR="00AD4606" w:rsidRDefault="00AD4606" w:rsidP="00207D5B">
      <w:pPr>
        <w:jc w:val="both"/>
      </w:pPr>
      <w:r>
        <w:t>De nåværende rammene og den manglende arbeidstidsinnrammingen for legevaktarbeid gir uforutsigbarhet og potensielt stor arbeidsbelastning for fastleger som deltar i legevakt. Det kan også pålegge den enkelte lege et stort ansvar for å opprettholde en døgnkontinuerlig legevakt, særlig i mindre legevaktdistrikt med få leger i ordningen. Situasjonen kan forsterke utfordringene med rekruttering til</w:t>
      </w:r>
      <w:r w:rsidR="005B5B43">
        <w:t>,</w:t>
      </w:r>
      <w:r>
        <w:t xml:space="preserve"> og stabilisering av</w:t>
      </w:r>
      <w:r w:rsidR="005B5B43">
        <w:t>,</w:t>
      </w:r>
      <w:r>
        <w:t xml:space="preserve"> fastlegeordningen, som igjen kan bidra til enda høyere vaktbelastning. Behovet for en forsvarlig arbeidstidsordning for fastlegene støttes av partene i trepartssamarbeidet </w:t>
      </w:r>
      <w:r>
        <w:fldChar w:fldCharType="begin"/>
      </w:r>
      <w:r w:rsidR="00235862">
        <w:instrText xml:space="preserve"> ADDIN EN.CITE &lt;EndNote&gt;&lt;Cite&gt;&lt;Author&gt;Helsedirektoratet&lt;/Author&gt;&lt;Year&gt;2023&lt;/Year&gt;&lt;RecNum&gt;609&lt;/RecNum&gt;&lt;DisplayText&gt;(Helsedirektoratet, 2023e)&lt;/DisplayText&gt;&lt;record&gt;&lt;rec-number&gt;609&lt;/rec-number&gt;&lt;foreign-keys&gt;&lt;key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fldChar w:fldCharType="separate"/>
      </w:r>
      <w:r w:rsidR="00C32115">
        <w:rPr>
          <w:noProof/>
        </w:rPr>
        <w:t>(Helsedirektoratet, 2023e)</w:t>
      </w:r>
      <w:r>
        <w:fldChar w:fldCharType="end"/>
      </w:r>
      <w:r>
        <w:t xml:space="preserve">. Tilsvarende har Helsedirektoratet nylig levert anbefaling om at legevaktarbeid på sikt bør inngå i fastlegens allmennlegeoppgaver </w:t>
      </w:r>
      <w:r w:rsidR="007055F3">
        <w:fldChar w:fldCharType="begin"/>
      </w:r>
      <w:r w:rsidR="00235862">
        <w:instrText xml:space="preserve"> ADDIN EN.CITE &lt;EndNote&gt;&lt;Cite&gt;&lt;Author&gt;Helsedirektoratet&lt;/Author&gt;&lt;Year&gt;2023&lt;/Year&gt;&lt;RecNum&gt;64&lt;/RecNum&gt;&lt;DisplayText&gt;(Helsedirektoratet, 2023b)&lt;/DisplayText&gt;&lt;record&gt;&lt;rec-number&gt;64&lt;/rec-number&gt;&lt;foreign-keys&gt;&lt;key app="EN" db-id="95tpr2tp6r9xwoea9rb5wdsz5ds5xeddteew" timestamp="1680069511"&gt;64&lt;/key&gt;&lt;/foreign-keys&gt;&lt;ref-type name="Report"&gt;27&lt;/ref-type&gt;&lt;contributors&gt;&lt;authors&gt;&lt;author&gt;Helsedirektoratet&lt;/author&gt;&lt;/authors&gt;&lt;/contributors&gt;&lt;titles&gt;&lt;title&gt;Besvarelse av oppdrag i tildelingsbrev, TB2022-22. Vurdere endringer i regulering og finansiering av legevakttjenesten for å skape bærekraftige løsninger&lt;/title&gt;&lt;/titles&gt;&lt;dates&gt;&lt;year&gt;2023&lt;/year&gt;&lt;/dates&gt;&lt;pub-location&gt;Oslo&lt;/pub-location&gt;&lt;publisher&gt;Helse- og omsorgsdepartementet&lt;/publisher&gt;&lt;urls&gt;&lt;/urls&gt;&lt;/record&gt;&lt;/Cite&gt;&lt;/EndNote&gt;</w:instrText>
      </w:r>
      <w:r w:rsidR="007055F3">
        <w:fldChar w:fldCharType="separate"/>
      </w:r>
      <w:r w:rsidR="007055F3">
        <w:rPr>
          <w:noProof/>
        </w:rPr>
        <w:t>(Helsedirektoratet, 2023b)</w:t>
      </w:r>
      <w:r w:rsidR="007055F3">
        <w:fldChar w:fldCharType="end"/>
      </w:r>
      <w:r>
        <w:t>.</w:t>
      </w:r>
    </w:p>
    <w:p w14:paraId="27E293F0" w14:textId="77777777" w:rsidR="00D9107F" w:rsidRDefault="000B454C" w:rsidP="00207D5B">
      <w:pPr>
        <w:jc w:val="both"/>
      </w:pPr>
      <w:r>
        <w:t xml:space="preserve">Ekspertutvalget mener at det er behov for </w:t>
      </w:r>
      <w:r w:rsidR="005B5B43">
        <w:t xml:space="preserve">å sette </w:t>
      </w:r>
      <w:r>
        <w:t xml:space="preserve">en begrensing i antall arbeidstimer fastlegene kan pålegges i legevakt. Om fastlegens legevaktarbeid skal være innenfor en ramme på et mindre antall arbeidstimer, vil det </w:t>
      </w:r>
      <w:r w:rsidR="005B5B43">
        <w:t xml:space="preserve">medføre </w:t>
      </w:r>
      <w:r>
        <w:t xml:space="preserve">behov for flere leger. Erfaring har vist at </w:t>
      </w:r>
      <w:r w:rsidR="62CCA82F">
        <w:t>n</w:t>
      </w:r>
      <w:r>
        <w:t xml:space="preserve">ordsjøturnus i legevakt kan bidra til å stabilisere både legevakt- og fastlegetjenesten. En økning i utgifter knyttet til tilsvarende ordninger kan tenkes å gi gevinster i form av en mer stabil fastlegeordning. Det er derfor ikke gitt at kommunens totale kostnader til </w:t>
      </w:r>
      <w:r w:rsidR="005B5B43">
        <w:t>allmenn</w:t>
      </w:r>
      <w:r>
        <w:t>legetjenesten vil øke.</w:t>
      </w:r>
      <w:r w:rsidR="008A3B5D">
        <w:t xml:space="preserve"> </w:t>
      </w:r>
      <w:r>
        <w:t>En ramme for omfang av legevaktarbeid kan også bidra til en omstilling</w:t>
      </w:r>
      <w:r w:rsidR="005B5B43">
        <w:t>,</w:t>
      </w:r>
      <w:r>
        <w:t xml:space="preserve"> hvor kommunene må vurdere andre tiltak og øvrige anbefalinger som kan ta ned arbeidsbelastningen.</w:t>
      </w:r>
    </w:p>
    <w:p w14:paraId="6C1D9597" w14:textId="19B09F79" w:rsidR="00B175BE" w:rsidRPr="00E81C9C" w:rsidRDefault="00B175BE" w:rsidP="00775632">
      <w:pPr>
        <w:pStyle w:val="Overskrift4"/>
      </w:pPr>
      <w:bookmarkStart w:id="4520" w:name="_Toc130983643"/>
      <w:bookmarkStart w:id="4521" w:name="_Toc130983992"/>
      <w:bookmarkStart w:id="4522" w:name="_Toc131238550"/>
      <w:bookmarkStart w:id="4523" w:name="_Toc131279588"/>
      <w:bookmarkStart w:id="4524" w:name="_Toc131287000"/>
      <w:bookmarkStart w:id="4525" w:name="_Toc131281410"/>
      <w:bookmarkStart w:id="4526" w:name="_Toc131317950"/>
      <w:r>
        <w:lastRenderedPageBreak/>
        <w:t>Andre leger enn fastlege i legevakt</w:t>
      </w:r>
      <w:bookmarkEnd w:id="4520"/>
      <w:bookmarkEnd w:id="4521"/>
      <w:bookmarkEnd w:id="4522"/>
      <w:bookmarkEnd w:id="4523"/>
      <w:bookmarkEnd w:id="4524"/>
      <w:bookmarkEnd w:id="4525"/>
      <w:bookmarkEnd w:id="4526"/>
    </w:p>
    <w:p w14:paraId="7E985D95" w14:textId="77777777" w:rsidR="00D9107F" w:rsidRDefault="002C7399" w:rsidP="00B01E72">
      <w:pPr>
        <w:jc w:val="both"/>
      </w:pPr>
      <w:r>
        <w:t>De fleste</w:t>
      </w:r>
      <w:r w:rsidR="00B175BE">
        <w:t xml:space="preserve"> av landets legevakter</w:t>
      </w:r>
      <w:r>
        <w:t xml:space="preserve"> har leger som ikke er fastleger ansatt eller tilknyttet legevakten</w:t>
      </w:r>
      <w:r w:rsidR="00B175BE" w:rsidRPr="66E5426F">
        <w:t xml:space="preserve"> </w:t>
      </w:r>
      <w:r w:rsidR="00B175BE">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B175BE">
        <w:fldChar w:fldCharType="separate"/>
      </w:r>
      <w:r w:rsidR="00B175BE">
        <w:rPr>
          <w:noProof/>
        </w:rPr>
        <w:t>(Ekornrud et al., 2023)</w:t>
      </w:r>
      <w:r w:rsidR="00B175BE">
        <w:fldChar w:fldCharType="end"/>
      </w:r>
      <w:r w:rsidR="00571F45">
        <w:t>. Andre kvalifiserte leger kan tilføres ordningen i form av faste vikarer, i hele eller deler av året, eller egne ansatte legevaktleger, i hele eller deler av vakttiden, eller ved bruk av delte stillinger.</w:t>
      </w:r>
    </w:p>
    <w:p w14:paraId="7B54F02D" w14:textId="77777777" w:rsidR="00D9107F" w:rsidRDefault="00B175BE" w:rsidP="00B01E72">
      <w:pPr>
        <w:jc w:val="both"/>
      </w:pPr>
      <w:r>
        <w:t xml:space="preserve">Å ta i bruk andre leger til legevakt gjøres i en rekke kommuner, som beskrevet i </w:t>
      </w:r>
      <w:r w:rsidR="00C370DA">
        <w:t>boks 8.1.</w:t>
      </w:r>
      <w:r>
        <w:t xml:space="preserve"> Ansettelse av faste leger i ulike bemanningsløsninger som </w:t>
      </w:r>
      <w:r w:rsidR="115D1282" w:rsidRPr="700DF671">
        <w:t>n</w:t>
      </w:r>
      <w:r w:rsidR="5D3C3B49" w:rsidRPr="700DF671">
        <w:t>ordsjø</w:t>
      </w:r>
      <w:r w:rsidR="407B848B" w:rsidRPr="700DF671">
        <w:t>turnus</w:t>
      </w:r>
      <w:r>
        <w:t xml:space="preserve"> har bidratt til en mer stabil vaktordning og økt kapasitet, som har gitt bærekraftige legejobber for de stedlige legene. Erfaringene som er gjort, viser at ansettelse av andre leger i legevakt er gjennomførbart og egnet, også i mindre befolkningsrike kommuner i distrikt. Ved at det ansettes faste leger i legevaktordningen</w:t>
      </w:r>
      <w:r w:rsidR="00571F45">
        <w:t>,</w:t>
      </w:r>
      <w:r>
        <w:t xml:space="preserve"> vil legene opparbeide seg kunnskap om lokale forhold og kommunens innbyggere, og bidra til kontinuitet for innbyggerne. Ordningen er også mindre kostbar for kommunene sammenlignet med bruk av kommersielle vikarbyrå. Innspill fra kommuner til utvalgets arbeid belyser krevende forhold med bruk av vikarbyrå</w:t>
      </w:r>
      <w:r w:rsidR="005B5B43">
        <w:t>,</w:t>
      </w:r>
      <w:r>
        <w:t xml:space="preserve"> som økende utgifter og at leger sier opp kontrakter om ikke høye krav til lønn og andre goder innfris.</w:t>
      </w:r>
      <w:r w:rsidRPr="004D0A57">
        <w:t xml:space="preserve"> </w:t>
      </w:r>
      <w:r>
        <w:t xml:space="preserve">Etter ekspertutvalgets vurdering vil </w:t>
      </w:r>
      <w:r w:rsidR="00571F45">
        <w:t>bemanningsløsninger som faste leger i legevakt</w:t>
      </w:r>
      <w:r>
        <w:t xml:space="preserve"> bidra til en stabil legevaktordning</w:t>
      </w:r>
      <w:r w:rsidR="005B5B43">
        <w:t>,</w:t>
      </w:r>
      <w:r>
        <w:t xml:space="preserve"> med kontinuitet for innbyggerne.</w:t>
      </w:r>
    </w:p>
    <w:p w14:paraId="799C11F7" w14:textId="77777777" w:rsidR="00D9107F" w:rsidRDefault="00571F45" w:rsidP="00B01E72">
      <w:pPr>
        <w:jc w:val="both"/>
      </w:pPr>
      <w:r>
        <w:t>Fast ansettelse</w:t>
      </w:r>
      <w:r w:rsidR="00B175BE">
        <w:t xml:space="preserve"> av egne legevaktleger </w:t>
      </w:r>
      <w:r w:rsidR="516A494D">
        <w:t>vil</w:t>
      </w:r>
      <w:r w:rsidR="00B175BE">
        <w:t xml:space="preserve"> </w:t>
      </w:r>
      <w:r>
        <w:t>også være</w:t>
      </w:r>
      <w:r w:rsidR="00B175BE">
        <w:t xml:space="preserve"> på linje med hvordan legevakt drives i de største byene, som Allmennlegevakten i Oslo. </w:t>
      </w:r>
      <w:r w:rsidR="00373F47">
        <w:t>M</w:t>
      </w:r>
      <w:r w:rsidR="00F332F2">
        <w:t xml:space="preserve">er folkerike kommuner bruker fastleger mindre </w:t>
      </w:r>
      <w:r w:rsidR="00373F47">
        <w:t xml:space="preserve">til </w:t>
      </w:r>
      <w:r w:rsidR="00F332F2">
        <w:t xml:space="preserve">alle tidspunkt på døgnet enn </w:t>
      </w:r>
      <w:r w:rsidR="00485E96">
        <w:t>de minder folkerike kommunene</w:t>
      </w:r>
      <w:r w:rsidR="00F332F2">
        <w:t xml:space="preserve">. Dette er </w:t>
      </w:r>
      <w:r w:rsidR="3B68045B">
        <w:t>san</w:t>
      </w:r>
      <w:r w:rsidR="4B2ED12C">
        <w:t>n</w:t>
      </w:r>
      <w:r w:rsidR="3B68045B">
        <w:t>synligvis</w:t>
      </w:r>
      <w:r w:rsidR="00F332F2">
        <w:t xml:space="preserve"> fordi andelen fast ansatte legevaktsleger er større i disse områdene</w:t>
      </w:r>
      <w:r w:rsidR="00167219">
        <w:t>, og d</w:t>
      </w:r>
      <w:r w:rsidR="009E0311">
        <w:t>isse</w:t>
      </w:r>
      <w:r w:rsidR="00373F47">
        <w:t xml:space="preserve"> legene </w:t>
      </w:r>
      <w:r w:rsidR="00167219">
        <w:t>bidrar</w:t>
      </w:r>
      <w:r w:rsidR="00373F47">
        <w:t xml:space="preserve"> til å avlaste fastlegene med vakter</w:t>
      </w:r>
      <w:r w:rsidR="007055F3">
        <w:t xml:space="preserve"> </w:t>
      </w:r>
      <w:r w:rsidR="00D078E3">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rsidR="00D078E3">
        <w:fldChar w:fldCharType="separate"/>
      </w:r>
      <w:r w:rsidR="00D078E3">
        <w:rPr>
          <w:noProof/>
        </w:rPr>
        <w:t>(Ekornrud et al., 2023)</w:t>
      </w:r>
      <w:r w:rsidR="00D078E3">
        <w:fldChar w:fldCharType="end"/>
      </w:r>
      <w:r w:rsidR="00373F47">
        <w:t>.</w:t>
      </w:r>
    </w:p>
    <w:p w14:paraId="47EFA833" w14:textId="048EE962" w:rsidR="00B175BE" w:rsidRDefault="00B175BE" w:rsidP="00B01E72">
      <w:pPr>
        <w:jc w:val="both"/>
      </w:pPr>
      <w:r>
        <w:t>Det kan også være relevant med delte stillinger for leger, mellom legevakt og sykehus/akuttmottak, kommunale allmennleger eller undervisning</w:t>
      </w:r>
      <w:r w:rsidR="004B6E81">
        <w:t>s-</w:t>
      </w:r>
      <w:r>
        <w:t>/forskningsstillinger. At legevaktene tar i bruk leger med andre spesialiteter og ansettelsesforhold i andre deler av helsetjenesten, kan også bidra til gjensidig kompetanseheving og økt kunnskap om helsetjenesten for øvrig. Dette vil være i tråd med Helsepersonellkommisjonens anbefaling, om at helsepersonell i økende grad bør jobbe på tvers av tjenester. En slik fleksibilitet vil bidra til at kapasiteten lettere kan økes ved behov, for eksempel i en beredskapssituasjon. Det er også hensiktsmessig å tilrettelegge for at både fastleger og andre leger som har interesse for legevaktmedisin, kan jobbe i legevakt.</w:t>
      </w:r>
    </w:p>
    <w:p w14:paraId="4A88424B" w14:textId="77777777" w:rsidR="00D9107F" w:rsidRDefault="00B175BE" w:rsidP="00B01E72">
      <w:pPr>
        <w:jc w:val="both"/>
      </w:pPr>
      <w:r>
        <w:t xml:space="preserve">Ut over kompetansekrav i kompetanseforskriften, forutsetter bruk av andre leger og egne legevaktleger at legene har gjennomført opplæring og kjenner rutiner og drift, og har hatt tilstrekkelig antall vakter med veiledning før de går selvstendig i legevakt. Ekspertutvalget mener at </w:t>
      </w:r>
      <w:r w:rsidR="004B6E81">
        <w:t xml:space="preserve">det </w:t>
      </w:r>
      <w:r>
        <w:t xml:space="preserve">ved bruk av vikarer, samt bemanningsordninger som </w:t>
      </w:r>
      <w:r w:rsidR="09BBA3DB">
        <w:t>n</w:t>
      </w:r>
      <w:r>
        <w:t xml:space="preserve">ordsjøturnuser, i størst mulig grad </w:t>
      </w:r>
      <w:r w:rsidR="003A02B8">
        <w:t xml:space="preserve">bør </w:t>
      </w:r>
      <w:r>
        <w:t>benyttes faste vikarer.</w:t>
      </w:r>
    </w:p>
    <w:p w14:paraId="63F5B362" w14:textId="77777777" w:rsidR="00D9107F" w:rsidRDefault="00B175BE" w:rsidP="003106E4">
      <w:pPr>
        <w:jc w:val="both"/>
      </w:pPr>
      <w:r>
        <w:lastRenderedPageBreak/>
        <w:t>Et alternativ til å benytte andre leger enn fastleger</w:t>
      </w:r>
      <w:r w:rsidR="004B6E81">
        <w:t>,</w:t>
      </w:r>
      <w:r>
        <w:t xml:space="preserve"> og samtidig redusere </w:t>
      </w:r>
      <w:r w:rsidR="00571F45">
        <w:t>legevaktarbeid</w:t>
      </w:r>
      <w:r>
        <w:t xml:space="preserve"> for den enkelte allmennlege, er å bemanne opp kommunens leger. Flere kommuner har valgt å bedre legedekningen</w:t>
      </w:r>
      <w:r w:rsidR="004B6E81">
        <w:t>,</w:t>
      </w:r>
      <w:r>
        <w:t xml:space="preserve"> og slik bidratt til å redusere vaktbelastningen i legevakt. En økning i antall leger kan innebære en betydelig merutgift for kommunen. Erfaringer fra kommuner har vist at dette allikevel kan gjennomføres kostnadseffektivt. Ved å ta hensyn til kostnader for vikarbruk i sine totale kostnader for legevakt er det eksempler på kommuner som har håndtert en betydelig oppbemanning, fra tre til fem-seks faste leger i intervallturnus, innenfor samme kostnadsramme</w:t>
      </w:r>
      <w:r w:rsidR="00571F45">
        <w:t xml:space="preserve"> (</w:t>
      </w:r>
      <w:r w:rsidR="00571F45" w:rsidRPr="000E63C8">
        <w:t xml:space="preserve">se </w:t>
      </w:r>
      <w:r w:rsidR="003745E2">
        <w:t>boks 8.1)</w:t>
      </w:r>
      <w:r w:rsidR="00571F45">
        <w:t>.</w:t>
      </w:r>
    </w:p>
    <w:p w14:paraId="7C452586" w14:textId="77777777" w:rsidR="00D9107F" w:rsidRDefault="00B15334" w:rsidP="003106E4">
      <w:pPr>
        <w:jc w:val="both"/>
      </w:pPr>
      <w:r>
        <w:t>For</w:t>
      </w:r>
      <w:r w:rsidR="00581451">
        <w:t xml:space="preserve"> å bidra til redusert arbeidstid i legevakt for fastleger, og</w:t>
      </w:r>
      <w:r w:rsidR="00581451" w:rsidRPr="00E81C9C">
        <w:t xml:space="preserve"> rekruttering </w:t>
      </w:r>
      <w:r w:rsidR="00581451">
        <w:t>t</w:t>
      </w:r>
      <w:r w:rsidR="00581451" w:rsidRPr="00E81C9C">
        <w:t>i</w:t>
      </w:r>
      <w:r w:rsidR="00581451">
        <w:t>l</w:t>
      </w:r>
      <w:r w:rsidR="00581451" w:rsidRPr="00E81C9C">
        <w:t xml:space="preserve"> fastlegeordningen</w:t>
      </w:r>
      <w:r>
        <w:t>, a</w:t>
      </w:r>
      <w:r w:rsidR="00230218">
        <w:t>nbefaler e</w:t>
      </w:r>
      <w:r w:rsidR="00581451">
        <w:t>kspertutvalget økt bruk</w:t>
      </w:r>
      <w:r w:rsidR="00581451" w:rsidRPr="0A95ACAA">
        <w:t xml:space="preserve"> av </w:t>
      </w:r>
      <w:r w:rsidR="00581451">
        <w:t xml:space="preserve">andre </w:t>
      </w:r>
      <w:r w:rsidR="00581451" w:rsidRPr="0A95ACAA">
        <w:t>lege</w:t>
      </w:r>
      <w:r w:rsidR="00581451">
        <w:t>r</w:t>
      </w:r>
      <w:r w:rsidR="00581451" w:rsidRPr="0A95ACAA">
        <w:t xml:space="preserve"> </w:t>
      </w:r>
      <w:r w:rsidR="004B6E81">
        <w:t xml:space="preserve">enn fastleger </w:t>
      </w:r>
      <w:r w:rsidR="00581451" w:rsidRPr="0A95ACAA">
        <w:t>i legevakt</w:t>
      </w:r>
      <w:r w:rsidR="00230218">
        <w:t xml:space="preserve">. </w:t>
      </w:r>
      <w:r w:rsidR="0032143D" w:rsidRPr="000E63C8">
        <w:t>Det</w:t>
      </w:r>
      <w:r w:rsidR="0032143D" w:rsidRPr="001277F2">
        <w:t xml:space="preserve"> vises også til drøftingen av</w:t>
      </w:r>
      <w:r w:rsidR="00390BE0" w:rsidRPr="001277F2">
        <w:t xml:space="preserve"> oppmykning av</w:t>
      </w:r>
      <w:r w:rsidR="00875FE4" w:rsidRPr="001277F2">
        <w:t xml:space="preserve"> kravet til stillingsprosent </w:t>
      </w:r>
      <w:r w:rsidR="00390BE0" w:rsidRPr="001277F2">
        <w:t>i to års uselektert praksis</w:t>
      </w:r>
      <w:r w:rsidR="00BC1782" w:rsidRPr="001277F2">
        <w:t xml:space="preserve"> i </w:t>
      </w:r>
      <w:r w:rsidR="00BC1782" w:rsidRPr="000E63C8">
        <w:t xml:space="preserve">kapittel </w:t>
      </w:r>
      <w:r w:rsidR="00D150E5">
        <w:t>9.</w:t>
      </w:r>
      <w:r w:rsidR="002C2985">
        <w:t>7</w:t>
      </w:r>
      <w:r w:rsidR="00EB11F6">
        <w:t>.2.2</w:t>
      </w:r>
      <w:r w:rsidR="00D150E5">
        <w:t xml:space="preserve">. </w:t>
      </w:r>
      <w:r w:rsidR="00BC1782" w:rsidRPr="001277F2">
        <w:t xml:space="preserve">Anbefalingen vil åpne for at turnusordningen tilsvarende </w:t>
      </w:r>
      <w:r w:rsidR="00476551" w:rsidRPr="001277F2">
        <w:t>nordsjøturnus vil være tellende for</w:t>
      </w:r>
      <w:r w:rsidR="00BC1782" w:rsidRPr="001277F2">
        <w:t xml:space="preserve"> leger </w:t>
      </w:r>
      <w:r w:rsidR="00352D38">
        <w:t>under</w:t>
      </w:r>
      <w:r w:rsidR="00BC1782" w:rsidRPr="001277F2">
        <w:t xml:space="preserve"> spesialisering </w:t>
      </w:r>
      <w:r w:rsidR="00352D38">
        <w:t>i</w:t>
      </w:r>
      <w:r w:rsidR="00BC1782" w:rsidRPr="001277F2">
        <w:t xml:space="preserve"> allmennmedisin</w:t>
      </w:r>
      <w:r w:rsidR="00476551" w:rsidRPr="001277F2">
        <w:t>. Det vil bidra til økt tilgang til leger i legevakt.</w:t>
      </w:r>
    </w:p>
    <w:p w14:paraId="1FD57BD5" w14:textId="63EFA977" w:rsidR="00B175BE" w:rsidRPr="005D4B60" w:rsidRDefault="00B175BE" w:rsidP="00775632">
      <w:pPr>
        <w:pStyle w:val="Overskrift3"/>
      </w:pPr>
      <w:bookmarkStart w:id="4527" w:name="_Toc130763924"/>
      <w:bookmarkStart w:id="4528" w:name="_Toc130766819"/>
      <w:bookmarkStart w:id="4529" w:name="_Toc130932218"/>
      <w:bookmarkStart w:id="4530" w:name="_Toc130934509"/>
      <w:bookmarkStart w:id="4531" w:name="_Toc130983644"/>
      <w:bookmarkStart w:id="4532" w:name="_Toc130983993"/>
      <w:bookmarkStart w:id="4533" w:name="_Toc131062259"/>
      <w:bookmarkStart w:id="4534" w:name="_Toc131062513"/>
      <w:bookmarkStart w:id="4535" w:name="_Toc131062774"/>
      <w:bookmarkStart w:id="4536" w:name="_Toc131063027"/>
      <w:bookmarkStart w:id="4537" w:name="_Toc131063810"/>
      <w:bookmarkStart w:id="4538" w:name="_Toc131064221"/>
      <w:bookmarkStart w:id="4539" w:name="_Toc131238551"/>
      <w:bookmarkStart w:id="4540" w:name="_Toc131279589"/>
      <w:bookmarkStart w:id="4541" w:name="_Toc131287001"/>
      <w:bookmarkStart w:id="4542" w:name="_Toc131281411"/>
      <w:bookmarkStart w:id="4543" w:name="_Toc131317951"/>
      <w:bookmarkStart w:id="4544" w:name="_Toc132537058"/>
      <w:r>
        <w:t>Kompetansekrav til lege i vakt i akuttmedisinforskriften</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34978D1D" w14:textId="2D07799B" w:rsidR="002C6CE1" w:rsidRDefault="002C6CE1" w:rsidP="00150C1A">
      <w:pPr>
        <w:jc w:val="both"/>
      </w:pPr>
      <w:r>
        <w:t>Det er sentralt å spørre seg om krav til bakvakt for leger uten selvstendig vaktkompetanse er hensiktsmessig og bidrar til målset</w:t>
      </w:r>
      <w:r w:rsidR="004B6E81">
        <w:t>t</w:t>
      </w:r>
      <w:r>
        <w:t xml:space="preserve">ingen om å sikre innbyggerne gode og tilgjengelige legevakttjenester. Bakvaktkravet har </w:t>
      </w:r>
      <w:r w:rsidR="69D598F4">
        <w:t>økt</w:t>
      </w:r>
      <w:r w:rsidR="2420913A">
        <w:t xml:space="preserve"> </w:t>
      </w:r>
      <w:r w:rsidR="69D598F4">
        <w:t>vaktbelastningen</w:t>
      </w:r>
      <w:r>
        <w:t xml:space="preserve"> for vaktkompetente leger, spesielt i distriktskommuner hvor fastlegene allerede har mye legevakt. Dette vurderes av mange som destabiliserende og forsterker rekrutteringsutfordringene, særlig i distrikt med 4-delt vaktturnus eller oftere. Få leger i vaktlaget gjør også ordningen ustabil og sårbar for fravær. Det forsterker kommunenes utfordringer med å bemanne legevakt, rekruttere leger inn i fastlegeordningen og </w:t>
      </w:r>
      <w:r w:rsidRPr="003F114E">
        <w:rPr>
          <w:color w:val="000000" w:themeColor="text1"/>
        </w:rPr>
        <w:t>gi fastlegene</w:t>
      </w:r>
      <w:r w:rsidR="007B50E8" w:rsidRPr="003F114E">
        <w:rPr>
          <w:color w:val="000000" w:themeColor="text1"/>
        </w:rPr>
        <w:t xml:space="preserve"> </w:t>
      </w:r>
      <w:r w:rsidR="007B50E8" w:rsidRPr="003F114E">
        <w:rPr>
          <w:iCs/>
          <w:color w:val="000000" w:themeColor="text1"/>
        </w:rPr>
        <w:t>en akseptabel arbeidsbelastning</w:t>
      </w:r>
      <w:r w:rsidRPr="003F114E">
        <w:rPr>
          <w:color w:val="000000" w:themeColor="text1"/>
        </w:rPr>
        <w:t>.</w:t>
      </w:r>
      <w:r w:rsidR="007B50E8">
        <w:rPr>
          <w:color w:val="000000" w:themeColor="text1"/>
        </w:rPr>
        <w:t xml:space="preserve"> </w:t>
      </w:r>
      <w:r w:rsidRPr="003F114E">
        <w:rPr>
          <w:color w:val="000000" w:themeColor="text1"/>
        </w:rPr>
        <w:t xml:space="preserve">Det </w:t>
      </w:r>
      <w:r>
        <w:t>er delte meninger</w:t>
      </w:r>
      <w:r w:rsidDel="004B6E81">
        <w:t xml:space="preserve"> </w:t>
      </w:r>
      <w:r w:rsidR="004B6E81">
        <w:t>i</w:t>
      </w:r>
      <w:r>
        <w:t xml:space="preserve"> sentrale miljø om hensiktsmessigheten av kompetansekravet</w:t>
      </w:r>
      <w:r w:rsidRPr="00533FA7">
        <w:t xml:space="preserve"> </w:t>
      </w:r>
      <w:r w:rsidR="00B175BE">
        <w:fldChar w:fldCharType="begin"/>
      </w:r>
      <w:r w:rsidR="00F23621">
        <w:instrText xml:space="preserve"> ADDIN EN.CITE &lt;EndNote&gt;&lt;Cite&gt;&lt;Author&gt;Helsedirektoratet&lt;/Author&gt;&lt;Year&gt;2023&lt;/Year&gt;&lt;RecNum&gt;64&lt;/RecNum&gt;&lt;DisplayText&gt;(Abelsen et al., 2017a; Helsedirektoratet, 2023b)&lt;/DisplayText&gt;&lt;record&gt;&lt;rec-number&gt;64&lt;/rec-number&gt;&lt;foreign-keys&gt;&lt;key app="EN" db-id="95tpr2tp6r9xwoea9rb5wdsz5ds5xeddteew" timestamp="1680069511"&gt;64&lt;/key&gt;&lt;/foreign-keys&gt;&lt;ref-type name="Report"&gt;27&lt;/ref-type&gt;&lt;contributors&gt;&lt;authors&gt;&lt;author&gt;Helsedirektoratet&lt;/author&gt;&lt;/authors&gt;&lt;/contributors&gt;&lt;titles&gt;&lt;title&gt;Besvarelse av oppdrag i tildelingsbrev, TB2022-22. Vurdere endringer i regulering og finansiering av legevakttjenesten for å skape bærekraftige løsninger&lt;/title&gt;&lt;/titles&gt;&lt;dates&gt;&lt;year&gt;2023&lt;/year&gt;&lt;/dates&gt;&lt;pub-location&gt;Oslo&lt;/pub-location&gt;&lt;publisher&gt;Helse- og omsorgsdepartementet&lt;/publisher&gt;&lt;urls&gt;&lt;/urls&gt;&lt;/record&gt;&lt;/Cite&gt;&lt;Cite&gt;&lt;Author&gt;Abelsen&lt;/Author&gt;&lt;Year&gt;2017&lt;/Year&gt;&lt;RecNum&gt;588&lt;/RecNum&gt;&lt;record&gt;&lt;rec-number&gt;588&lt;/rec-number&gt;&lt;foreign-keys&gt;&lt;key app="EN" db-id="95tpr2tp6r9xwoea9rb5wdsz5ds5xeddteew" timestamp="1680069511"&gt;588&lt;/key&gt;&lt;/foreign-keys&gt;&lt;ref-type name="Report"&gt;27&lt;/ref-type&gt;&lt;contributors&gt;&lt;authors&gt;&lt;author&gt;Abelsen, B.,&lt;/author&gt;&lt;author&gt;Brandstorp, H.&lt;/author&gt;&lt;/authors&gt;&lt;/contributors&gt;&lt;titles&gt;&lt;title&gt;Oppfyller kommunene kompetansekrav i akuttmedisinforskriften? Krav til leger i vakt og trening i samhandling&lt;/title&gt;&lt;/titles&gt;&lt;dates&gt;&lt;year&gt;2017&lt;/year&gt;&lt;/dates&gt;&lt;publisher&gt;Nasjonalt senter for distriktsmedisin og UiT Norges arktiske universitet&lt;/publisher&gt;&lt;urls&gt;&lt;/urls&gt;&lt;/record&gt;&lt;/Cite&gt;&lt;/EndNote&gt;</w:instrText>
      </w:r>
      <w:r w:rsidR="00B175BE">
        <w:fldChar w:fldCharType="separate"/>
      </w:r>
      <w:r w:rsidR="00F23621">
        <w:rPr>
          <w:noProof/>
        </w:rPr>
        <w:t>(Abelsen et al., 2017a; Helsedirektoratet, 2023b)</w:t>
      </w:r>
      <w:r w:rsidR="00B175BE">
        <w:fldChar w:fldCharType="end"/>
      </w:r>
      <w:r>
        <w:t>.</w:t>
      </w:r>
    </w:p>
    <w:p w14:paraId="350D7378" w14:textId="77777777" w:rsidR="002C6CE1" w:rsidRDefault="002C6CE1" w:rsidP="00150C1A">
      <w:pPr>
        <w:jc w:val="both"/>
      </w:pPr>
      <w:r>
        <w:t>Å fjerne kravet til bakvakt vil gi en betydelig reduksjon i beredskapsvakt for vaktkompetente leger i befolkningsmessig små kommuner i distriktene.</w:t>
      </w:r>
    </w:p>
    <w:p w14:paraId="08482D19" w14:textId="06459B2C" w:rsidR="00B175BE" w:rsidRDefault="00B175BE" w:rsidP="00150C1A">
      <w:pPr>
        <w:jc w:val="both"/>
      </w:pPr>
      <w:r>
        <w:t>Helsedirektoratet har nylig utredet kompetansekravet til lege i legevakt</w:t>
      </w:r>
      <w:r w:rsidR="004B6E81">
        <w:t>,</w:t>
      </w:r>
      <w:r>
        <w:t xml:space="preserve"> og peker på mulige ulemper ved å fjerne krav til bakvakt. I legevakt må det gjøres medisinskfaglige vurderinger på kortere tid og med mer usikkerhet enn </w:t>
      </w:r>
      <w:r w:rsidR="002C6CE1">
        <w:t xml:space="preserve">i </w:t>
      </w:r>
      <w:r>
        <w:t>øvrig allmennmedisinsk arbeid, tidvis under krevende forhold. Det kan tenkes at fjerning av bakvakt kan medføre redusert kvalitet på vurderingene. Andre ulemper er redusert trygghet for unge og uerfarne leger</w:t>
      </w:r>
      <w:r w:rsidR="004B6E81">
        <w:t>,</w:t>
      </w:r>
      <w:r>
        <w:t xml:space="preserve"> og manglende lokal kunnskap blant nyansatte og vikarer.</w:t>
      </w:r>
    </w:p>
    <w:p w14:paraId="1966F99C" w14:textId="77777777" w:rsidR="00D9107F" w:rsidRDefault="00B175BE" w:rsidP="00150C1A">
      <w:pPr>
        <w:jc w:val="both"/>
      </w:pPr>
      <w:r>
        <w:t>Manglende faglig støtte ser ut til å ha en destabiliserende og antirekrutterende effekt. Bortfall av bakvaktkravet vil fjerne organisert kollegial medisinsk faglig støtte og kjennskap til lokale forhold for unge leger. Imidlertid kan lokal kompetanse dekkes av annet personell i legevakt</w:t>
      </w:r>
      <w:r w:rsidR="004B6E81">
        <w:t>,</w:t>
      </w:r>
      <w:r>
        <w:t xml:space="preserve"> eller tilgjengelig personell i andre kommunale helse- og omsorgstjenester, og mange vaktleger bruker allikevel spesialisthelsetjenesten for medisinskfaglig rådgivning. Ekspertutvalget mener </w:t>
      </w:r>
      <w:r>
        <w:lastRenderedPageBreak/>
        <w:t>at sentralisert legevaktsentral med tilstedeværende lege også vil gi enkel tilgang til konferering og nødvendig faglig støtte til lege i vakt.</w:t>
      </w:r>
    </w:p>
    <w:p w14:paraId="11B75E43" w14:textId="77777777" w:rsidR="00D9107F" w:rsidRDefault="00B175BE" w:rsidP="00150C1A">
      <w:pPr>
        <w:jc w:val="both"/>
      </w:pPr>
      <w:r>
        <w:t xml:space="preserve">Kompetanse i legevakt skal også ivaretas i kravet til trening i samhandling i tjenesten, men dette kravet oppfylles i begrenset grad </w:t>
      </w:r>
      <w:r>
        <w:fldChar w:fldCharType="begin"/>
      </w:r>
      <w:r w:rsidR="004942AA">
        <w:instrText xml:space="preserve"> ADDIN EN.CITE &lt;EndNote&gt;&lt;Cite&gt;&lt;Author&gt;Allertsen&lt;/Author&gt;&lt;Year&gt;2022&lt;/Year&gt;&lt;RecNum&gt;447&lt;/RecNum&gt;&lt;DisplayText&gt;(Allertsen et al., 2022)&lt;/DisplayText&gt;&lt;record&gt;&lt;rec-number&gt;447&lt;/rec-number&gt;&lt;foreign-keys&gt;&lt;key app="EN" db-id="95tpr2tp6r9xwoea9rb5wdsz5ds5xeddteew" timestamp="1680069511"&gt;447&lt;/key&gt;&lt;/foreign-keys&gt;&lt;ref-type name="Report"&gt;27&lt;/ref-type&gt;&lt;contributors&gt;&lt;authors&gt;&lt;author&gt;Allertsen, M.,&lt;/author&gt;&lt;author&gt;Morken, T.&lt;/author&gt;&lt;/authors&gt;&lt;/contributors&gt;&lt;titles&gt;&lt;title&gt;Legevaktorganisering i Norge. Rapport fra Nasjonalt legevaktregister 2022&lt;/title&gt;&lt;secondary-title&gt;Rapport&lt;/secondary-title&gt;&lt;/titles&gt;&lt;number&gt;4-2022&lt;/number&gt;&lt;dates&gt;&lt;year&gt;2022&lt;/year&gt;&lt;/dates&gt;&lt;pub-location&gt;Bergen&lt;/pub-location&gt;&lt;publisher&gt;Nasjonalt kompetansesenter for legevaktmedisin, NORCE Norwegian Research Centre&lt;/publisher&gt;&lt;urls&gt;&lt;/urls&gt;&lt;/record&gt;&lt;/Cite&gt;&lt;/EndNote&gt;</w:instrText>
      </w:r>
      <w:r>
        <w:fldChar w:fldCharType="separate"/>
      </w:r>
      <w:r w:rsidR="00856689">
        <w:rPr>
          <w:noProof/>
        </w:rPr>
        <w:t>(Allertsen et al., 2022)</w:t>
      </w:r>
      <w:r>
        <w:fldChar w:fldCharType="end"/>
      </w:r>
      <w:r>
        <w:t xml:space="preserve">. Samtrening utenfor sykehus er kompetanse- og kvalitetshevende, og forskning på trening i akuttmedisinske team viser at det bidrar til bedre samhandling og læringskultur lokalt </w:t>
      </w:r>
      <w:r>
        <w:fldChar w:fldCharType="begin">
          <w:fldData xml:space="preserve">PEVuZE5vdGU+PENpdGU+PEF1dGhvcj5CcmFuZHN0b3JwPC9BdXRob3I+PFllYXI+MjAxNjwvWWVh
cj48UmVjTnVtPjY1MjwvUmVjTnVtPjxEaXNwbGF5VGV4dD4oQnJhbmRzdG9ycCBldCBhbC4sIDIw
MTYpPC9EaXNwbGF5VGV4dD48cmVjb3JkPjxyZWMtbnVtYmVyPjY1MjwvcmVjLW51bWJlcj48Zm9y
ZWlnbi1rZXlzPjxrZXkgYXBwPSJFTiIgZGItaWQ9Ijk1dHByMnRwNnI5eHdvZWE5cmI1d2RzejVk
czV4ZWRkdGVldyIgdGltZXN0YW1wPSIxNjgwMDY5NTExIj42NTI8L2tleT48L2ZvcmVpZ24ta2V5
cz48cmVmLXR5cGUgbmFtZT0iSm91cm5hbCBBcnRpY2xlIj4xNzwvcmVmLXR5cGU+PGNvbnRyaWJ1
dG9ycz48YXV0aG9ycz48YXV0aG9yPkJyYW5kc3RvcnAsIEguPC9hdXRob3I+PGF1dGhvcj5IYWx2
b3JzZW4sIFAuIEEuPC9hdXRob3I+PGF1dGhvcj5TdGVydWQsIEIuPC9hdXRob3I+PGF1dGhvcj5I
YXVnbGFuZCwgQi48L2F1dGhvcj48YXV0aG9yPktpcmtlbmdlbiwgQS4gTC48L2F1dGhvcj48L2F1
dGhvcnM+PC9jb250cmlidXRvcnM+PGF1dGgtYWRkcmVzcz5CcmFuZHN0b3JwLCBIZWxlbi4gYSBO
YXRpb25hbCBDZW50cmUgb2YgUnVyYWwgTWVkaWNpbmUsIERlcGFydG1lbnQgb2YgQ29tbXVuaXR5
IE1lZGljaW5lLCBGYWN1bHR5IG9mIEhlYWx0aCBTY2llbmNlcywgVW5pdmVyc2l0eSBvZiBUcm9t
c28sIE5vcndheSA7JiN4RDtIYWx2b3JzZW4sIFBlZGVyIEEuIGIgRGVwYXJ0bWVudCBvZiBDb21t
dW5pdHkgTWVkaWNpbmUsIEZhY3VsdHkgb2YgSGVhbHRoIFNjaWVuY2VzLCBVbml2ZXJzaXR5IG9m
IFRyb21zbywgTm9yd2F5IDsmI3hEO1N0ZXJ1ZCwgQmlyZ2l0dGUuIGMgQW5hZXN0aGVzaWEgRGVw
YXJ0bWVudCwgT3N0Zm9sZCBIb3NwaXRhbCBUcnVzdCwgR3JhbHVtLCBOb3J3YXkgOyYjeEQ7SGF1
Z2xhbmQsIEJqb3JndW4uIGQgRGl2aXNpb24gb2YgRW1lcmdlbmN5IE1lZGljYWwgU2VydmljZXMs
IFVuaXZlcnNpdHkgSG9zcGl0YWwgb2YgTm9ydGggTm9yd2F5LCBUcm9tc28sIE5vcndheSA7JiN4
RDtLaXJrZW5nZW4sIEFubmEgTHVpc2UuIGIgRGVwYXJ0bWVudCBvZiBDb21tdW5pdHkgTWVkaWNp
bmUsIEZhY3VsdHkgb2YgSGVhbHRoIFNjaWVuY2VzLCBVbml2ZXJzaXR5IG9mIFRyb21zbywgTm9y
d2F5IDsmI3hEO0tpcmtlbmdlbiwgQW5uYSBMdWlzZS4gZSBHZW5lcmFsIFByYWN0aWNlIFJlc2Vh
cmNoIFVuaXQsIERlcGFydG1lbnQgb2YgUHVibGljIEhlYWx0aCBhbmQgR2VuZXJhbCBQcmFjdGlj
ZSwgTm9yd2VnaWFuIFVuaXZlcnNpdHkgb2YgU2NpZW5jZSBhbmQgVGVjaG5vbG9neSAoTlROVSks
IFRyb25kaGVpbSwgTm9yd2F5LjwvYXV0aC1hZGRyZXNzPjx0aXRsZXM+PHRpdGxlPlByaW1hcnkg
Y2FyZSBlbWVyZ2VuY3kgdGVhbSB0cmFpbmluZyBpbiBzaXR1IG1lYW5zIGxlYXJuaW5nIGluIHJl
YWwgY29udGV4dDwvdGl0bGU+PHNlY29uZGFyeS10aXRsZT5TY2FuZGluYXZpYW4gSm91cm5hbCBv
ZiBQcmltYXJ5IEhlYWx0aCBDYXJlPC9zZWNvbmRhcnktdGl0bGU+PGFsdC10aXRsZT5TY2FuZCBK
IFByaW0gSGVhbHRoIENhcmU8L2FsdC10aXRsZT48L3RpdGxlcz48cGVyaW9kaWNhbD48ZnVsbC10
aXRsZT5TY2FuZGluYXZpYW4gSm91cm5hbCBvZiBQcmltYXJ5IEhlYWx0aCBDYXJlPC9mdWxsLXRp
dGxlPjxhYmJyLTE+U2NhbmQgSiBQcmltIEhlYWx0aCBDYXJlPC9hYmJyLTE+PC9wZXJpb2RpY2Fs
PjxhbHQtcGVyaW9kaWNhbD48ZnVsbC10aXRsZT5TY2FuZCBKIFByaW0gSGVhbHRoIENhcmU8L2Z1
bGwtdGl0bGU+PC9hbHQtcGVyaW9kaWNhbD48cGFnZXM+Mjk1LTMwMzwvcGFnZXM+PHZvbHVtZT4z
NDwvdm9sdW1lPjxudW1iZXI+MzwvbnVtYmVyPjxrZXl3b3Jkcz48a2V5d29yZD5BbGxpZWQgSGVh
bHRoIFBlcnNvbm5lbDwva2V5d29yZD48a2V5d29yZD4qQXR0aXR1ZGUgb2YgSGVhbHRoIFBlcnNv
bm5lbDwva2V5d29yZD48a2V5d29yZD5DbGluaWNhbCBDb21wZXRlbmNlPC9rZXl3b3JkPjxrZXl3
b3JkPipFZHVjYXRpb24sIE1lZGljYWwvbXQgW01ldGhvZHNdPC9rZXl3b3JkPjxrZXl3b3JkPkVt
ZXJnZW5jeSBNZWRpY2FsIFNlcnZpY2VzPC9rZXl3b3JkPjxrZXl3b3JkPipFbWVyZ2VuY3kgTWVk
aWNpbmUvZWQgW0VkdWNhdGlvbl08L2tleXdvcmQ+PGtleXdvcmQ+Rm9jdXMgR3JvdXBzPC9rZXl3
b3JkPjxrZXl3b3JkPkh1bWFuczwva2V5d29yZD48a2V5d29yZD5JbnRlcnByb2Zlc3Npb25hbCBS
ZWxhdGlvbnM8L2tleXdvcmQ+PGtleXdvcmQ+TGVhcm5pbmc8L2tleXdvcmQ+PGtleXdvcmQ+Tm9y
d2F5PC9rZXl3b3JkPjxrZXl3b3JkPk51cnNlczwva2V5d29yZD48a2V5d29yZD5QaHlzaWNpYW5z
PC9rZXl3b3JkPjxrZXl3b3JkPlByaW1hcnkgSGVhbHRoIENhcmU8L2tleXdvcmQ+PGtleXdvcmQ+
UnVyYWwgUG9wdWxhdGlvbjwva2V5d29yZD48L2tleXdvcmRzPjxkYXRlcz48eWVhcj4yMDE2PC95
ZWFyPjxwdWItZGF0ZXM+PGRhdGU+U2VwPC9kYXRlPjwvcHViLWRhdGVzPjwvZGF0ZXM+PGlzYm4+
MTUwMi03NzI0PC9pc2JuPjxhY2Nlc3Npb24tbnVtPjI3NDQyMjY4PC9hY2Nlc3Npb24tbnVtPjx1
cmxzPjwvdXJscz48cmVtb3RlLWRhdGFiYXNlLW5hbWU+TUVETElORTwvcmVtb3RlLWRhdGFiYXNl
LW5hbWU+PHJlbW90ZS1kYXRhYmFzZS1wcm92aWRlcj5PdmlkIFRlY2hub2xvZ2llczwvcmVtb3Rl
LWRhdGFiYXNlLXByb3ZpZGVyPjxsYW5ndWFnZT5FbmdsaXNoPC9sYW5ndWFnZT48L3JlY29yZD48
L0NpdGU+PC9FbmROb3RlPn==
</w:fldData>
        </w:fldChar>
      </w:r>
      <w:r w:rsidR="004654FD">
        <w:instrText xml:space="preserve"> ADDIN EN.CITE </w:instrText>
      </w:r>
      <w:r w:rsidR="004654FD">
        <w:fldChar w:fldCharType="begin">
          <w:fldData xml:space="preserve">PEVuZE5vdGU+PENpdGU+PEF1dGhvcj5CcmFuZHN0b3JwPC9BdXRob3I+PFllYXI+MjAxNjwvWWVh
cj48UmVjTnVtPjY1MjwvUmVjTnVtPjxEaXNwbGF5VGV4dD4oQnJhbmRzdG9ycCBldCBhbC4sIDIw
MTYpPC9EaXNwbGF5VGV4dD48cmVjb3JkPjxyZWMtbnVtYmVyPjY1MjwvcmVjLW51bWJlcj48Zm9y
ZWlnbi1rZXlzPjxrZXkgYXBwPSJFTiIgZGItaWQ9Ijk1dHByMnRwNnI5eHdvZWE5cmI1d2RzejVk
czV4ZWRkdGVldyIgdGltZXN0YW1wPSIxNjgwMDY5NTExIj42NTI8L2tleT48L2ZvcmVpZ24ta2V5
cz48cmVmLXR5cGUgbmFtZT0iSm91cm5hbCBBcnRpY2xlIj4xNzwvcmVmLXR5cGU+PGNvbnRyaWJ1
dG9ycz48YXV0aG9ycz48YXV0aG9yPkJyYW5kc3RvcnAsIEguPC9hdXRob3I+PGF1dGhvcj5IYWx2
b3JzZW4sIFAuIEEuPC9hdXRob3I+PGF1dGhvcj5TdGVydWQsIEIuPC9hdXRob3I+PGF1dGhvcj5I
YXVnbGFuZCwgQi48L2F1dGhvcj48YXV0aG9yPktpcmtlbmdlbiwgQS4gTC48L2F1dGhvcj48L2F1
dGhvcnM+PC9jb250cmlidXRvcnM+PGF1dGgtYWRkcmVzcz5CcmFuZHN0b3JwLCBIZWxlbi4gYSBO
YXRpb25hbCBDZW50cmUgb2YgUnVyYWwgTWVkaWNpbmUsIERlcGFydG1lbnQgb2YgQ29tbXVuaXR5
IE1lZGljaW5lLCBGYWN1bHR5IG9mIEhlYWx0aCBTY2llbmNlcywgVW5pdmVyc2l0eSBvZiBUcm9t
c28sIE5vcndheSA7JiN4RDtIYWx2b3JzZW4sIFBlZGVyIEEuIGIgRGVwYXJ0bWVudCBvZiBDb21t
dW5pdHkgTWVkaWNpbmUsIEZhY3VsdHkgb2YgSGVhbHRoIFNjaWVuY2VzLCBVbml2ZXJzaXR5IG9m
IFRyb21zbywgTm9yd2F5IDsmI3hEO1N0ZXJ1ZCwgQmlyZ2l0dGUuIGMgQW5hZXN0aGVzaWEgRGVw
YXJ0bWVudCwgT3N0Zm9sZCBIb3NwaXRhbCBUcnVzdCwgR3JhbHVtLCBOb3J3YXkgOyYjeEQ7SGF1
Z2xhbmQsIEJqb3JndW4uIGQgRGl2aXNpb24gb2YgRW1lcmdlbmN5IE1lZGljYWwgU2VydmljZXMs
IFVuaXZlcnNpdHkgSG9zcGl0YWwgb2YgTm9ydGggTm9yd2F5LCBUcm9tc28sIE5vcndheSA7JiN4
RDtLaXJrZW5nZW4sIEFubmEgTHVpc2UuIGIgRGVwYXJ0bWVudCBvZiBDb21tdW5pdHkgTWVkaWNp
bmUsIEZhY3VsdHkgb2YgSGVhbHRoIFNjaWVuY2VzLCBVbml2ZXJzaXR5IG9mIFRyb21zbywgTm9y
d2F5IDsmI3hEO0tpcmtlbmdlbiwgQW5uYSBMdWlzZS4gZSBHZW5lcmFsIFByYWN0aWNlIFJlc2Vh
cmNoIFVuaXQsIERlcGFydG1lbnQgb2YgUHVibGljIEhlYWx0aCBhbmQgR2VuZXJhbCBQcmFjdGlj
ZSwgTm9yd2VnaWFuIFVuaXZlcnNpdHkgb2YgU2NpZW5jZSBhbmQgVGVjaG5vbG9neSAoTlROVSks
IFRyb25kaGVpbSwgTm9yd2F5LjwvYXV0aC1hZGRyZXNzPjx0aXRsZXM+PHRpdGxlPlByaW1hcnkg
Y2FyZSBlbWVyZ2VuY3kgdGVhbSB0cmFpbmluZyBpbiBzaXR1IG1lYW5zIGxlYXJuaW5nIGluIHJl
YWwgY29udGV4dDwvdGl0bGU+PHNlY29uZGFyeS10aXRsZT5TY2FuZGluYXZpYW4gSm91cm5hbCBv
ZiBQcmltYXJ5IEhlYWx0aCBDYXJlPC9zZWNvbmRhcnktdGl0bGU+PGFsdC10aXRsZT5TY2FuZCBK
IFByaW0gSGVhbHRoIENhcmU8L2FsdC10aXRsZT48L3RpdGxlcz48cGVyaW9kaWNhbD48ZnVsbC10
aXRsZT5TY2FuZGluYXZpYW4gSm91cm5hbCBvZiBQcmltYXJ5IEhlYWx0aCBDYXJlPC9mdWxsLXRp
dGxlPjxhYmJyLTE+U2NhbmQgSiBQcmltIEhlYWx0aCBDYXJlPC9hYmJyLTE+PC9wZXJpb2RpY2Fs
PjxhbHQtcGVyaW9kaWNhbD48ZnVsbC10aXRsZT5TY2FuZCBKIFByaW0gSGVhbHRoIENhcmU8L2Z1
bGwtdGl0bGU+PC9hbHQtcGVyaW9kaWNhbD48cGFnZXM+Mjk1LTMwMzwvcGFnZXM+PHZvbHVtZT4z
NDwvdm9sdW1lPjxudW1iZXI+MzwvbnVtYmVyPjxrZXl3b3Jkcz48a2V5d29yZD5BbGxpZWQgSGVh
bHRoIFBlcnNvbm5lbDwva2V5d29yZD48a2V5d29yZD4qQXR0aXR1ZGUgb2YgSGVhbHRoIFBlcnNv
bm5lbDwva2V5d29yZD48a2V5d29yZD5DbGluaWNhbCBDb21wZXRlbmNlPC9rZXl3b3JkPjxrZXl3
b3JkPipFZHVjYXRpb24sIE1lZGljYWwvbXQgW01ldGhvZHNdPC9rZXl3b3JkPjxrZXl3b3JkPkVt
ZXJnZW5jeSBNZWRpY2FsIFNlcnZpY2VzPC9rZXl3b3JkPjxrZXl3b3JkPipFbWVyZ2VuY3kgTWVk
aWNpbmUvZWQgW0VkdWNhdGlvbl08L2tleXdvcmQ+PGtleXdvcmQ+Rm9jdXMgR3JvdXBzPC9rZXl3
b3JkPjxrZXl3b3JkPkh1bWFuczwva2V5d29yZD48a2V5d29yZD5JbnRlcnByb2Zlc3Npb25hbCBS
ZWxhdGlvbnM8L2tleXdvcmQ+PGtleXdvcmQ+TGVhcm5pbmc8L2tleXdvcmQ+PGtleXdvcmQ+Tm9y
d2F5PC9rZXl3b3JkPjxrZXl3b3JkPk51cnNlczwva2V5d29yZD48a2V5d29yZD5QaHlzaWNpYW5z
PC9rZXl3b3JkPjxrZXl3b3JkPlByaW1hcnkgSGVhbHRoIENhcmU8L2tleXdvcmQ+PGtleXdvcmQ+
UnVyYWwgUG9wdWxhdGlvbjwva2V5d29yZD48L2tleXdvcmRzPjxkYXRlcz48eWVhcj4yMDE2PC95
ZWFyPjxwdWItZGF0ZXM+PGRhdGU+U2VwPC9kYXRlPjwvcHViLWRhdGVzPjwvZGF0ZXM+PGlzYm4+
MTUwMi03NzI0PC9pc2JuPjxhY2Nlc3Npb24tbnVtPjI3NDQyMjY4PC9hY2Nlc3Npb24tbnVtPjx1
cmxzPjwvdXJscz48cmVtb3RlLWRhdGFiYXNlLW5hbWU+TUVETElORTwvcmVtb3RlLWRhdGFiYXNl
LW5hbWU+PHJlbW90ZS1kYXRhYmFzZS1wcm92aWRlcj5PdmlkIFRlY2hub2xvZ2llczwvcmVtb3Rl
LWRhdGFiYXNlLXByb3ZpZGVyPjxsYW5ndWFnZT5FbmdsaXNoPC9sYW5ndWFnZT48L3JlY29yZD48
L0NpdGU+PC9FbmROb3RlPn==
</w:fldData>
        </w:fldChar>
      </w:r>
      <w:r w:rsidR="004654FD">
        <w:instrText xml:space="preserve"> ADDIN EN.CITE.DATA </w:instrText>
      </w:r>
      <w:r w:rsidR="004654FD">
        <w:fldChar w:fldCharType="end"/>
      </w:r>
      <w:r>
        <w:fldChar w:fldCharType="separate"/>
      </w:r>
      <w:r w:rsidR="004654FD">
        <w:rPr>
          <w:noProof/>
        </w:rPr>
        <w:t>(Brandstorp et al., 2016)</w:t>
      </w:r>
      <w:r>
        <w:fldChar w:fldCharType="end"/>
      </w:r>
      <w:r>
        <w:t>. Ekspertutvalget understreker behovet for at kommuner og helseforetak oppfyller kravet til trening i samhandling og slik styrker kompetanse og kvalitet i legevakttjenesten.</w:t>
      </w:r>
    </w:p>
    <w:p w14:paraId="3E5773ED" w14:textId="1E828F12" w:rsidR="002C6CE1" w:rsidRDefault="002C6CE1" w:rsidP="00150C1A">
      <w:pPr>
        <w:jc w:val="both"/>
      </w:pPr>
      <w:r>
        <w:t>Ekspertutvalget er av den oppfatning at krav til bakvakt for leger uten selvstendig vaktkompetanse har en betydelig anti-rekrutterende og destabiliserende effekt på fastlegeordningen, og forsterker kommunenes utfordringer med å sikre et forsvarlig legevakttilbud til innbyggerne. Det vil totalt sett være mer gunstig for kvaliteten i tjeneste</w:t>
      </w:r>
      <w:r w:rsidR="004B6E81">
        <w:t>n</w:t>
      </w:r>
      <w:r>
        <w:t xml:space="preserve"> at det gjennomføres kompetansebyggende tiltak med dokumentert effekt, som samtrening. Videre mener ekspertutvalget at detaljeringsgraden i akuttmedisinforskriftens kompetansekrav ikke er i samsvar med andre deler av helsetjenesten.</w:t>
      </w:r>
    </w:p>
    <w:p w14:paraId="40BE595C" w14:textId="0275E913" w:rsidR="00D9107F" w:rsidRDefault="00B175BE" w:rsidP="006B0AE5">
      <w:pPr>
        <w:jc w:val="both"/>
      </w:pPr>
      <w:r>
        <w:t xml:space="preserve">Ekspertutvalget anbefaler at </w:t>
      </w:r>
      <w:r w:rsidR="009D48D2">
        <w:t xml:space="preserve">gjennomført LIS1 eller tilsvarende er tilstrekkelig for å jobbe selvstendig i legevakt. </w:t>
      </w:r>
      <w:r>
        <w:t xml:space="preserve">Ekspertutvalget anbefaler </w:t>
      </w:r>
      <w:r w:rsidR="004B3FD3">
        <w:t xml:space="preserve">derfor </w:t>
      </w:r>
      <w:r>
        <w:t xml:space="preserve">at de nåværende kravene til grunnkompetanse og relevant praksis i akuttmedisinforskriften </w:t>
      </w:r>
      <w:r w:rsidR="00D9107F">
        <w:t>§ 7</w:t>
      </w:r>
      <w:r>
        <w:t xml:space="preserve"> første ledd fjernes. </w:t>
      </w:r>
      <w:r w:rsidRPr="00FB033C">
        <w:t xml:space="preserve">Dette vil også medføre at bakvaktkravet i </w:t>
      </w:r>
      <w:r w:rsidR="00D9107F">
        <w:t>§ </w:t>
      </w:r>
      <w:r w:rsidR="00D9107F" w:rsidRPr="00FB033C">
        <w:t>7</w:t>
      </w:r>
      <w:r w:rsidRPr="00FB033C">
        <w:t xml:space="preserve"> andre ledd vil fjernes, som vil redusere vaktbelastningen til fastlegene. Fjerning av kompetansekravene vil medføre at det er kompetanseforskriftens regler som er gjeldende for leger som skal jobbe i legevakt. Leger som ikke er spesialister eller under spesialisering i allmennmedisin, eksempelvis leger som har gjennomført LIS1, kan da jobbe selvstendig legevakt såfremt de er ansatt i vikariater, arbeider i legevakt utenom sitt ordinære arbeid, eller har en annen godkjent spesialistutdanning, jf. kompetanseforskriften </w:t>
      </w:r>
      <w:r w:rsidR="00D9107F">
        <w:t>§ </w:t>
      </w:r>
      <w:r w:rsidR="00D9107F" w:rsidRPr="00FB033C">
        <w:t>4</w:t>
      </w:r>
      <w:r w:rsidRPr="00FB033C">
        <w:t xml:space="preserve"> bokstav a, b og c.</w:t>
      </w:r>
    </w:p>
    <w:p w14:paraId="2E4F7ACB" w14:textId="77777777" w:rsidR="00D9107F" w:rsidRDefault="00B175BE" w:rsidP="006B0AE5">
      <w:pPr>
        <w:jc w:val="both"/>
      </w:pPr>
      <w:r>
        <w:t xml:space="preserve">Krav om gjennomført kurs i akuttmedisin og volds- og overgrepshåndtering bør beholdes. </w:t>
      </w:r>
      <w:r w:rsidRPr="00FB033C">
        <w:t xml:space="preserve">Kurs i akuttmedisin inngår allerede i LIS1, slik at dette kurset først og fremst vil være aktuelt for leger som ikke har gjennomført LIS1, eksempelvis fordi de har spesialistgodkjenning etter utdanning i utlandet eller har gjennomført turnustjeneste etter gammel ordning. </w:t>
      </w:r>
      <w:r>
        <w:t xml:space="preserve">Anbefalingen er i tråd med ekspertutvalgets anbefaling for bruk av legevikarer i fastlegeordningen. Dette er også på linje med Helsedirektoratets anbefaling </w:t>
      </w:r>
      <w:r w:rsidR="004B1434">
        <w:fldChar w:fldCharType="begin"/>
      </w:r>
      <w:r w:rsidR="00235862">
        <w:instrText xml:space="preserve"> ADDIN EN.CITE &lt;EndNote&gt;&lt;Cite&gt;&lt;Author&gt;Helsedirektoratet&lt;/Author&gt;&lt;Year&gt;2023&lt;/Year&gt;&lt;RecNum&gt;64&lt;/RecNum&gt;&lt;DisplayText&gt;(Helsedirektoratet, 2023b)&lt;/DisplayText&gt;&lt;record&gt;&lt;rec-number&gt;64&lt;/rec-number&gt;&lt;foreign-keys&gt;&lt;key app="EN" db-id="95tpr2tp6r9xwoea9rb5wdsz5ds5xeddteew" timestamp="1680069511"&gt;64&lt;/key&gt;&lt;/foreign-keys&gt;&lt;ref-type name="Report"&gt;27&lt;/ref-type&gt;&lt;contributors&gt;&lt;authors&gt;&lt;author&gt;Helsedirektoratet&lt;/author&gt;&lt;/authors&gt;&lt;/contributors&gt;&lt;titles&gt;&lt;title&gt;Besvarelse av oppdrag i tildelingsbrev, TB2022-22. Vurdere endringer i regulering og finansiering av legevakttjenesten for å skape bærekraftige løsninger&lt;/title&gt;&lt;/titles&gt;&lt;dates&gt;&lt;year&gt;2023&lt;/year&gt;&lt;/dates&gt;&lt;pub-location&gt;Oslo&lt;/pub-location&gt;&lt;publisher&gt;Helse- og omsorgsdepartementet&lt;/publisher&gt;&lt;urls&gt;&lt;/urls&gt;&lt;/record&gt;&lt;/Cite&gt;&lt;/EndNote&gt;</w:instrText>
      </w:r>
      <w:r w:rsidR="004B1434">
        <w:fldChar w:fldCharType="separate"/>
      </w:r>
      <w:r w:rsidR="004B1434">
        <w:rPr>
          <w:noProof/>
        </w:rPr>
        <w:t>(Helsedirektoratet, 2023b)</w:t>
      </w:r>
      <w:r w:rsidR="004B1434">
        <w:fldChar w:fldCharType="end"/>
      </w:r>
      <w:r>
        <w:t>.</w:t>
      </w:r>
    </w:p>
    <w:p w14:paraId="48A3ED0D" w14:textId="2F4583D1" w:rsidR="00B175BE" w:rsidRDefault="00B175BE" w:rsidP="006B0AE5">
      <w:pPr>
        <w:jc w:val="both"/>
      </w:pPr>
      <w:r w:rsidRPr="00FB033C">
        <w:t xml:space="preserve">Vikariater i kompetanseforskriften </w:t>
      </w:r>
      <w:r w:rsidR="00D9107F">
        <w:t>§ </w:t>
      </w:r>
      <w:r w:rsidR="00D9107F" w:rsidRPr="00FB033C">
        <w:t>4</w:t>
      </w:r>
      <w:r w:rsidRPr="00FB033C">
        <w:t xml:space="preserve"> bokstav</w:t>
      </w:r>
      <w:r>
        <w:t xml:space="preserve"> a</w:t>
      </w:r>
      <w:r w:rsidRPr="00FB033C">
        <w:t xml:space="preserve"> er avgrenset slik at </w:t>
      </w:r>
      <w:r>
        <w:t>unntaket</w:t>
      </w:r>
      <w:r w:rsidRPr="00FB033C">
        <w:t xml:space="preserve"> kun gjelder vikariater av inntil </w:t>
      </w:r>
      <w:r w:rsidR="004B6E81">
        <w:t>ett</w:t>
      </w:r>
      <w:r w:rsidRPr="00FB033C">
        <w:t xml:space="preserve"> års varighet. Ekspertutvalget anbefaler å fjerne begrensningen om </w:t>
      </w:r>
      <w:r w:rsidR="004B6E81">
        <w:t>ett</w:t>
      </w:r>
      <w:r w:rsidRPr="00FB033C">
        <w:t xml:space="preserve"> år, slik at leger i vikariater </w:t>
      </w:r>
      <w:r>
        <w:t xml:space="preserve">i legevakt </w:t>
      </w:r>
      <w:r w:rsidRPr="00FB033C">
        <w:t>er unntatt fra kompetansekravene</w:t>
      </w:r>
      <w:r>
        <w:t xml:space="preserve"> om å være </w:t>
      </w:r>
      <w:r w:rsidRPr="00FB033C">
        <w:t>spesialist eller under spesialisering i allmennmedisin, uavhengig av lengden på vikariatet</w:t>
      </w:r>
      <w:r>
        <w:t>.</w:t>
      </w:r>
      <w:r w:rsidR="0020350D" w:rsidRPr="0020350D">
        <w:t xml:space="preserve"> </w:t>
      </w:r>
      <w:r w:rsidR="0020350D">
        <w:t>Det vises i den sammenheng til drøft</w:t>
      </w:r>
      <w:r w:rsidR="004B6E81">
        <w:t>ingen</w:t>
      </w:r>
      <w:r w:rsidR="0020350D">
        <w:t xml:space="preserve"> i kapittel </w:t>
      </w:r>
      <w:r w:rsidR="000641F0">
        <w:t>9.7.1.2.</w:t>
      </w:r>
    </w:p>
    <w:p w14:paraId="53C9D71A" w14:textId="68181B0E" w:rsidR="00B175BE" w:rsidRDefault="00B175BE" w:rsidP="006B0AE5">
      <w:pPr>
        <w:jc w:val="both"/>
      </w:pPr>
      <w:r>
        <w:lastRenderedPageBreak/>
        <w:t>Det bør imidlertid sikres medisinsk faglig støtte for lege i vakt, og god opplæring i lokale rutiner og samtrening med akuttmedisinsk team i kommunen, samt ambulansetjenesten. Kommunen må</w:t>
      </w:r>
      <w:r w:rsidR="004B6E81">
        <w:t>,</w:t>
      </w:r>
      <w:r>
        <w:t xml:space="preserve"> i henhold til krav om forsvarlighet</w:t>
      </w:r>
      <w:r w:rsidR="004B6E81">
        <w:t>,</w:t>
      </w:r>
      <w:r>
        <w:t xml:space="preserve"> gjøre vurderinger av hvilke leger som er kvalifisert til å jobbe i legevakt.</w:t>
      </w:r>
    </w:p>
    <w:p w14:paraId="678060B7" w14:textId="77777777" w:rsidR="00D9107F" w:rsidRDefault="0022435F" w:rsidP="00775632">
      <w:pPr>
        <w:pStyle w:val="Overskrift3"/>
      </w:pPr>
      <w:bookmarkStart w:id="4545" w:name="_Toc130763925"/>
      <w:bookmarkStart w:id="4546" w:name="_Toc130766820"/>
      <w:bookmarkStart w:id="4547" w:name="_Toc130932219"/>
      <w:bookmarkStart w:id="4548" w:name="_Toc130934510"/>
      <w:bookmarkStart w:id="4549" w:name="_Toc130983645"/>
      <w:bookmarkStart w:id="4550" w:name="_Toc130983994"/>
      <w:bookmarkStart w:id="4551" w:name="_Toc131062260"/>
      <w:bookmarkStart w:id="4552" w:name="_Toc131062514"/>
      <w:bookmarkStart w:id="4553" w:name="_Toc131062775"/>
      <w:bookmarkStart w:id="4554" w:name="_Toc131063028"/>
      <w:bookmarkStart w:id="4555" w:name="_Toc131063811"/>
      <w:bookmarkStart w:id="4556" w:name="_Toc131064222"/>
      <w:bookmarkStart w:id="4557" w:name="_Toc131238552"/>
      <w:bookmarkStart w:id="4558" w:name="_Toc131279590"/>
      <w:bookmarkStart w:id="4559" w:name="_Toc131287002"/>
      <w:bookmarkStart w:id="4560" w:name="_Toc131281412"/>
      <w:bookmarkStart w:id="4561" w:name="_Toc131317952"/>
      <w:bookmarkStart w:id="4562" w:name="_Toc132537059"/>
      <w:r>
        <w:t>Sentralisering av legeressurser, og bruk av teknologi og annet personell</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494"/>
    </w:p>
    <w:p w14:paraId="7243DD38" w14:textId="1BE6275A" w:rsidR="0022435F" w:rsidRDefault="0022435F" w:rsidP="00F25006">
      <w:pPr>
        <w:jc w:val="both"/>
      </w:pPr>
      <w:r>
        <w:t>Stor vaktbelastning for fastleger ved mindre legevakter har vært en viktig årsak til utviklingen mot færre og større legevaktdistrikt. Kommuner gir tilbakemelding om at omlegging til større legevakter har gitt en vaktordning med akseptabel vaktmengde og der legene kjenner seg trygge. Dette har gjort det lettere å beholde legene i distriktet, og slik hatt stabiliserende effekt på fastlegeordningen lokalt</w:t>
      </w:r>
      <w:r w:rsidR="00515CC8" w:rsidRPr="00515CC8">
        <w:t xml:space="preserve"> </w:t>
      </w:r>
      <w:r w:rsidR="00F46B4A">
        <w:fldChar w:fldCharType="begin"/>
      </w:r>
      <w:r w:rsidR="004654FD">
        <w:instrText xml:space="preserve"> ADDIN EN.CITE &lt;EndNote&gt;&lt;Cite&gt;&lt;Author&gt;Albrektsen&lt;/Author&gt;&lt;Year&gt;2022&lt;/Year&gt;&lt;RecNum&gt;449&lt;/RecNum&gt;&lt;DisplayText&gt;(Albrektsen, 2022; Molde interkommunale legevakt,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legevakt,&lt;/publisher&gt;&lt;urls&gt;&lt;/urls&gt;&lt;/record&gt;&lt;/Cite&gt;&lt;Cite&gt;&lt;Author&gt;Molde interkommunale legevakt&lt;/Author&gt;&lt;Year&gt;2022&lt;/Year&gt;&lt;RecNum&gt;448&lt;/RecNum&gt;&lt;record&gt;&lt;rec-number&gt;448&lt;/rec-number&gt;&lt;foreign-keys&gt;&lt;key app="EN" db-id="95tpr2tp6r9xwoea9rb5wdsz5ds5xeddteew" timestamp="1680069511"&gt;448&lt;/key&gt;&lt;/foreign-keys&gt;&lt;ref-type name="Report"&gt;27&lt;/ref-type&gt;&lt;contributors&gt;&lt;authors&gt;&lt;author&gt;Molde interkommunale legevakt,&lt;/author&gt;&lt;/authors&gt;&lt;/contributors&gt;&lt;titles&gt;&lt;title&gt;Legevaktpilot 2018-2022. Molde interkommunale legevakt. Sluttrapport&lt;/title&gt;&lt;/titles&gt;&lt;dates&gt;&lt;year&gt;2022&lt;/year&gt;&lt;/dates&gt;&lt;pub-location&gt;Molde&lt;/pub-location&gt;&lt;urls&gt;&lt;related-urls&gt;&lt;url&gt;https://www.molde.kommune.no/helse-og-omsorg/akutt-helsehjelp/kontakt-legevakten/&lt;/url&gt;&lt;/related-urls&gt;&lt;/urls&gt;&lt;/record&gt;&lt;/Cite&gt;&lt;/EndNote&gt;</w:instrText>
      </w:r>
      <w:r w:rsidR="00F46B4A">
        <w:fldChar w:fldCharType="separate"/>
      </w:r>
      <w:r w:rsidR="00F46B4A">
        <w:rPr>
          <w:noProof/>
        </w:rPr>
        <w:t>(Albrektsen, 2022; Molde interkommunale legevakt, 2022)</w:t>
      </w:r>
      <w:r w:rsidR="00F46B4A">
        <w:fldChar w:fldCharType="end"/>
      </w:r>
      <w:r>
        <w:t>.</w:t>
      </w:r>
    </w:p>
    <w:p w14:paraId="308A94BF" w14:textId="732184B1" w:rsidR="0022435F" w:rsidRDefault="0022435F" w:rsidP="00F25006">
      <w:pPr>
        <w:jc w:val="both"/>
      </w:pPr>
      <w:r>
        <w:t>Samtidig fører omleggingen til en sentralisering av legevakttjenesten og gir lengre reisevei for innbyggerne. For ekspertutvalget er det en målset</w:t>
      </w:r>
      <w:r w:rsidR="004B6E81">
        <w:t>t</w:t>
      </w:r>
      <w:r>
        <w:t>ing at hensynet til innbyggerne og behovet for et lokalt akutt helsetilbud hensyntas ved innføring av tiltak for å redusere allmennlegens arbeidstid i legevakt.</w:t>
      </w:r>
    </w:p>
    <w:p w14:paraId="1F1A3A55" w14:textId="77777777" w:rsidR="00D9107F" w:rsidRDefault="0022435F" w:rsidP="00F25006">
      <w:pPr>
        <w:jc w:val="both"/>
      </w:pPr>
      <w:r>
        <w:t>Bruk av teknologi gjør det mulig å levere helsetjenester på nye måter</w:t>
      </w:r>
      <w:r w:rsidR="004B6E81">
        <w:t>,</w:t>
      </w:r>
      <w:r>
        <w:t xml:space="preserve"> og kan tilrettelegge for at tjenestene gis nært der pasienten bor</w:t>
      </w:r>
      <w:r w:rsidR="000B1543">
        <w:t xml:space="preserve"> </w:t>
      </w:r>
      <w:r w:rsidR="006473D9">
        <w:fldChar w:fldCharType="begin"/>
      </w:r>
      <w:r w:rsidR="006473D9">
        <w:instrText xml:space="preserve"> ADDIN EN.CITE &lt;EndNote&gt;&lt;Cite&gt;&lt;Author&gt;Sykehuset Innlandet&lt;/Author&gt;&lt;Year&gt;2021&lt;/Year&gt;&lt;RecNum&gt;1010&lt;/RecNum&gt;&lt;DisplayText&gt;(Sykehuset Innlandet, 2021)&lt;/DisplayText&gt;&lt;record&gt;&lt;rec-number&gt;1010&lt;/rec-number&gt;&lt;foreign-keys&gt;&lt;key app="EN" db-id="95tpr2tp6r9xwoea9rb5wdsz5ds5xeddteew" timestamp="1681117179"&gt;1010&lt;/key&gt;&lt;/foreign-keys&gt;&lt;ref-type name="Report"&gt;27&lt;/ref-type&gt;&lt;contributors&gt;&lt;authors&gt;&lt;author&gt;Sykehuset Innlandet,&lt;/author&gt;&lt;/authors&gt;&lt;/contributors&gt;&lt;titles&gt;&lt;title&gt;Sluttrapport for prosjektet &amp;quot;Digital samhandling i pasientforløp&amp;quot;. Optimalisering av pasientforløp og prehospital beslutningsstøtte.&lt;/title&gt;&lt;/titles&gt;&lt;dates&gt;&lt;year&gt;2021&lt;/year&gt;&lt;/dates&gt;&lt;pub-location&gt;Brumunddal&lt;/pub-location&gt;&lt;publisher&gt;Sykehuset Innlandet&lt;/publisher&gt;&lt;urls&gt;&lt;/urls&gt;&lt;/record&gt;&lt;/Cite&gt;&lt;/EndNote&gt;</w:instrText>
      </w:r>
      <w:r w:rsidR="006473D9">
        <w:fldChar w:fldCharType="separate"/>
      </w:r>
      <w:r w:rsidR="006473D9">
        <w:rPr>
          <w:noProof/>
        </w:rPr>
        <w:t>(Sykehuset Innlandet, 2021)</w:t>
      </w:r>
      <w:r w:rsidR="006473D9">
        <w:fldChar w:fldCharType="end"/>
      </w:r>
      <w:r>
        <w:t>. Bruk av video i konsultasjon i legevakt og på fastlegekontoret er innført de siste årene</w:t>
      </w:r>
      <w:r w:rsidR="004B6E81">
        <w:t>,</w:t>
      </w:r>
      <w:r>
        <w:t xml:space="preserve"> og fikk en kraftig økning under pandemien</w:t>
      </w:r>
      <w:r w:rsidR="0046332B">
        <w:t xml:space="preserve"> </w:t>
      </w:r>
      <w:r w:rsidR="006473D9">
        <w:fldChar w:fldCharType="begin"/>
      </w:r>
      <w:r w:rsidR="00235862">
        <w:instrText xml:space="preserve"> ADDIN EN.CITE &lt;EndNote&gt;&lt;Cite&gt;&lt;Author&gt;Helsedirektoratet &amp;amp; Direktoratet for e-helse&lt;/Author&gt;&lt;Year&gt;2018&lt;/Year&gt;&lt;RecNum&gt;171&lt;/RecNum&gt;&lt;DisplayText&gt;(Helsedirektoratet &amp;amp; Direktoratet for e-helse, 2018)&lt;/DisplayText&gt;&lt;record&gt;&lt;rec-number&gt;171&lt;/rec-number&gt;&lt;foreign-keys&gt;&lt;key app="EN" db-id="95tpr2tp6r9xwoea9rb5wdsz5ds5xeddteew" timestamp="1680069511"&gt;171&lt;/key&gt;&lt;/foreign-keys&gt;&lt;ref-type name="Report"&gt;27&lt;/ref-type&gt;&lt;contributors&gt;&lt;authors&gt;&lt;author&gt;Helsedirektoratet &amp;amp; Direktoratet for e-helse,&lt;/author&gt;&lt;/authors&gt;&lt;/contributors&gt;&lt;titles&gt;&lt;title&gt;E-konsultasjon hos fastlege og legevakt&lt;/title&gt;&lt;secondary-title&gt;Rapport&lt;/secondary-title&gt;&lt;/titles&gt;&lt;number&gt;IS-2801&lt;/number&gt;&lt;dates&gt;&lt;year&gt;2018&lt;/year&gt;&lt;/dates&gt;&lt;pub-location&gt;Oslo&lt;/pub-location&gt;&lt;publisher&gt;Helsedirektoratet og Direktoratet for e-helse&lt;/publisher&gt;&lt;urls&gt;&lt;/urls&gt;&lt;/record&gt;&lt;/Cite&gt;&lt;/EndNote&gt;</w:instrText>
      </w:r>
      <w:r w:rsidR="006473D9">
        <w:fldChar w:fldCharType="separate"/>
      </w:r>
      <w:r w:rsidR="006473D9">
        <w:rPr>
          <w:noProof/>
        </w:rPr>
        <w:t>(Helsedirektoratet &amp; Direktoratet for e-helse, 2018)</w:t>
      </w:r>
      <w:r w:rsidR="006473D9">
        <w:fldChar w:fldCharType="end"/>
      </w:r>
      <w:r>
        <w:t>.</w:t>
      </w:r>
      <w:r w:rsidR="049C8764">
        <w:t xml:space="preserve"> </w:t>
      </w:r>
      <w:r>
        <w:t>I legevakt og legevaktsentral gir video en rekke nye bruksområder og åpner for nye arbeidsmåter, som kan bidra til bedre ressursbruk, oppgavedeling mellom personell, samt gjøre det mulig at legen ikke er fysisk på legevakt.</w:t>
      </w:r>
    </w:p>
    <w:p w14:paraId="4ACBB2ED" w14:textId="77777777" w:rsidR="00D9107F" w:rsidRDefault="0022435F" w:rsidP="00F25006">
      <w:pPr>
        <w:jc w:val="both"/>
      </w:pPr>
      <w:r>
        <w:t>Pilotprosjekter viser at teknologi kan bidra til bedre samarbeid mellom kommunen, legevakt, og spesialisthelsetjenesten, og gi kompetanseoverføring mellom tjenestenivåene. Dette kan igjen gi bedre pasientbehandling og fordeling av oppgaver, i tillegg til at det gir kortere reisevei for pasientene</w:t>
      </w:r>
      <w:r w:rsidR="00D2354E">
        <w:t xml:space="preserve"> </w:t>
      </w:r>
      <w:r w:rsidR="009155E3">
        <w:fldChar w:fldCharType="begin"/>
      </w:r>
      <w:r w:rsidR="009155E3">
        <w:instrText xml:space="preserve"> ADDIN EN.CITE &lt;EndNote&gt;&lt;Cite&gt;&lt;Author&gt;Sykehuset Innlandet&lt;/Author&gt;&lt;Year&gt;2021&lt;/Year&gt;&lt;RecNum&gt;1010&lt;/RecNum&gt;&lt;DisplayText&gt;(Sykehuset Innlandet, 2021)&lt;/DisplayText&gt;&lt;record&gt;&lt;rec-number&gt;1010&lt;/rec-number&gt;&lt;foreign-keys&gt;&lt;key app="EN" db-id="95tpr2tp6r9xwoea9rb5wdsz5ds5xeddteew" timestamp="1681117179"&gt;1010&lt;/key&gt;&lt;/foreign-keys&gt;&lt;ref-type name="Report"&gt;27&lt;/ref-type&gt;&lt;contributors&gt;&lt;authors&gt;&lt;author&gt;Sykehuset Innlandet,&lt;/author&gt;&lt;/authors&gt;&lt;/contributors&gt;&lt;titles&gt;&lt;title&gt;Sluttrapport for prosjektet &amp;quot;Digital samhandling i pasientforløp&amp;quot;. Optimalisering av pasientforløp og prehospital beslutningsstøtte.&lt;/title&gt;&lt;/titles&gt;&lt;dates&gt;&lt;year&gt;2021&lt;/year&gt;&lt;/dates&gt;&lt;pub-location&gt;Brumunddal&lt;/pub-location&gt;&lt;publisher&gt;Sykehuset Innlandet&lt;/publisher&gt;&lt;urls&gt;&lt;/urls&gt;&lt;/record&gt;&lt;/Cite&gt;&lt;/EndNote&gt;</w:instrText>
      </w:r>
      <w:r w:rsidR="009155E3">
        <w:fldChar w:fldCharType="separate"/>
      </w:r>
      <w:r w:rsidR="009155E3">
        <w:rPr>
          <w:noProof/>
        </w:rPr>
        <w:t>(Sykehuset Innlandet, 2021)</w:t>
      </w:r>
      <w:r w:rsidR="009155E3">
        <w:fldChar w:fldCharType="end"/>
      </w:r>
      <w:r>
        <w:t>. Det kan også ha potensiale for bedre samhandling og koordinering mellom tjenestene som kan gi bedre ressursutnyttelse og redusere arbeidsmengde for personell, inkludert lege.</w:t>
      </w:r>
    </w:p>
    <w:p w14:paraId="77304C37" w14:textId="4C3C9277" w:rsidR="0022435F" w:rsidRDefault="0022435F" w:rsidP="00F25006">
      <w:pPr>
        <w:jc w:val="both"/>
      </w:pPr>
      <w:r>
        <w:t>Videre gir IKT-systemer som snakker bedre sammen, muligheter for økt informasjonsdeling mellom behandlingsnivåer.</w:t>
      </w:r>
    </w:p>
    <w:p w14:paraId="1A90918E" w14:textId="591CD006" w:rsidR="0022435F" w:rsidRDefault="0022435F" w:rsidP="00775632">
      <w:pPr>
        <w:pStyle w:val="Overskrift4"/>
      </w:pPr>
      <w:bookmarkStart w:id="4563" w:name="_Toc129596282"/>
      <w:bookmarkStart w:id="4564" w:name="_Toc130983646"/>
      <w:bookmarkStart w:id="4565" w:name="_Toc130983995"/>
      <w:bookmarkStart w:id="4566" w:name="_Toc131062261"/>
      <w:bookmarkStart w:id="4567" w:name="_Toc131062515"/>
      <w:bookmarkStart w:id="4568" w:name="_Toc131062776"/>
      <w:bookmarkStart w:id="4569" w:name="_Toc131063029"/>
      <w:bookmarkStart w:id="4570" w:name="_Toc131063812"/>
      <w:bookmarkStart w:id="4571" w:name="_Toc131064223"/>
      <w:bookmarkStart w:id="4572" w:name="_Toc131238553"/>
      <w:bookmarkStart w:id="4573" w:name="_Toc131279591"/>
      <w:bookmarkStart w:id="4574" w:name="_Toc131287003"/>
      <w:bookmarkStart w:id="4575" w:name="_Toc131281413"/>
      <w:bookmarkStart w:id="4576" w:name="_Toc131317953"/>
      <w:r>
        <w:t>Større legevaktsentraler</w:t>
      </w:r>
      <w:bookmarkEnd w:id="4563"/>
      <w:r>
        <w:t xml:space="preserve"> tilrettelagt for videokommunikasjon</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14:paraId="234E0B14" w14:textId="4C3BF913" w:rsidR="00363438" w:rsidRDefault="00363438" w:rsidP="00B1357C">
      <w:pPr>
        <w:jc w:val="both"/>
      </w:pPr>
      <w:r>
        <w:t>Sentralisering av legevaktsentraler (LVS) og oppbygging av større og mer tilgjengelig kompetanse kan være et tiltak for å redusere arbeidstid for allmennlege i legevakt. Det forutsettes da forsterkede legevaktsentraler med flere og godt kvalifiserte ansatte, og med kompetente og erfarne leger til stede, samt tilrettelegg</w:t>
      </w:r>
      <w:r w:rsidR="004B6E81">
        <w:t>ing</w:t>
      </w:r>
      <w:r>
        <w:t xml:space="preserve"> for video i alle sentraler. Formålet med bruk av video er å styrke beslutningsgrunnlaget og å øke effektiviteten og riktig sortering</w:t>
      </w:r>
      <w:r w:rsidR="004B6E81">
        <w:t>,</w:t>
      </w:r>
      <w:r>
        <w:t xml:space="preserve"> slik at pasienten </w:t>
      </w:r>
      <w:r>
        <w:lastRenderedPageBreak/>
        <w:t xml:space="preserve">kommer raskere til vurdering og behandling </w:t>
      </w:r>
      <w:r w:rsidR="00D2354E">
        <w:fldChar w:fldCharType="begin"/>
      </w:r>
      <w:r w:rsidR="004654FD">
        <w:instrText xml:space="preserve"> ADDIN EN.CITE &lt;EndNote&gt;&lt;Cite&gt;&lt;Author&gt;Kramer-Johansen&lt;/Author&gt;&lt;Year&gt;2020&lt;/Year&gt;&lt;RecNum&gt;222&lt;/RecNum&gt;&lt;DisplayText&gt;(Kramer-Johansen et al., 2020)&lt;/DisplayText&gt;&lt;record&gt;&lt;rec-number&gt;222&lt;/rec-number&gt;&lt;foreign-keys&gt;&lt;key app="EN" db-id="95tpr2tp6r9xwoea9rb5wdsz5ds5xeddteew" timestamp="1680069511"&gt;222&lt;/key&gt;&lt;/foreign-keys&gt;&lt;ref-type name="Report"&gt;27&lt;/ref-type&gt;&lt;contributors&gt;&lt;authors&gt;&lt;author&gt;Kramer-Johansen, J.,&lt;/author&gt;&lt;author&gt;Brattebø, G.,&lt;/author&gt;&lt;author&gt;Zakariassen, E.,&lt;/author&gt;&lt;author&gt;Riddervold, I.,&lt;/author&gt;&lt;author&gt;Hjortdahl, M.,&lt;/author&gt;&lt;author&gt;Jamtli, B.&lt;/author&gt;&lt;/authors&gt;&lt;/contributors&gt;&lt;titles&gt;&lt;title&gt;Evalueringsrapport for pilotprosjekt om bruk av video i medisinsk nødmeldetjeneste (AMK og LVS). Sluttrapport fra Arbeidsgruppe for følgeforskning og evaluering.&lt;/title&gt;&lt;/titles&gt;&lt;dates&gt;&lt;year&gt;2020&lt;/year&gt;&lt;/dates&gt;&lt;pub-location&gt;Oslo&lt;/pub-location&gt;&lt;publisher&gt;NAKOS, Prehospital akuttmedisin&lt;/publisher&gt;&lt;urls&gt;&lt;/urls&gt;&lt;/record&gt;&lt;/Cite&gt;&lt;/EndNote&gt;</w:instrText>
      </w:r>
      <w:r w:rsidR="00D2354E">
        <w:fldChar w:fldCharType="separate"/>
      </w:r>
      <w:r w:rsidR="00D2354E">
        <w:rPr>
          <w:noProof/>
        </w:rPr>
        <w:t>(Kramer-Johansen et al., 2020)</w:t>
      </w:r>
      <w:r w:rsidR="00D2354E">
        <w:fldChar w:fldCharType="end"/>
      </w:r>
      <w:r>
        <w:t xml:space="preserve">. Sentraliserte legevaktsentraler med </w:t>
      </w:r>
      <w:r w:rsidR="006044C0">
        <w:t xml:space="preserve">tilstedeværende lege og </w:t>
      </w:r>
      <w:r>
        <w:t xml:space="preserve">mulighet for videokommunikasjon kan tenkes å bidra til redusert arbeidstid for allmennleger på tre måter; ved å gi medisinskfaglig støtte til personell i vakt, støtte til legevaktsatellitt i distrikt, og triagering av pasienter. Siste punkt omtales i kapittel </w:t>
      </w:r>
      <w:r w:rsidR="00C8451C">
        <w:t>8.5</w:t>
      </w:r>
      <w:r w:rsidR="00B1357C">
        <w:t>.5.1</w:t>
      </w:r>
      <w:r w:rsidRPr="002619AE">
        <w:t>.</w:t>
      </w:r>
    </w:p>
    <w:p w14:paraId="134B3AFA" w14:textId="77777777" w:rsidR="00D9107F" w:rsidRDefault="00CA575F" w:rsidP="00B1357C">
      <w:pPr>
        <w:jc w:val="both"/>
      </w:pPr>
      <w:r>
        <w:t>Større legevaktsentraler med tilstedeværelse av leger</w:t>
      </w:r>
      <w:r w:rsidR="007040A2">
        <w:t>,</w:t>
      </w:r>
      <w:r>
        <w:t xml:space="preserve"> vil gi en sentralisering av legeressurser og kompetanse med gode muligheter til å gi veiledning ut til leger i vakt</w:t>
      </w:r>
      <w:r w:rsidR="004B6E81">
        <w:t>,</w:t>
      </w:r>
      <w:r>
        <w:t xml:space="preserve"> og kan fungere som en sentralisert bakvakt og medisinskfaglig rådgiver. Det vil slik gi en ramme for et desentralisert akuttmedisinske tilbud. En slik organisering vil også kunne bidra til mindre belastning på lege i legevakt. Lege på LVS kan ved videokommunikasjon gi beslutningsstøtte til annet helsepersonell i legevakt</w:t>
      </w:r>
      <w:r w:rsidR="004B6E81">
        <w:t>,</w:t>
      </w:r>
      <w:r>
        <w:t xml:space="preserve"> slik at videre håndtering og behandling av pasient kan iverksettes, og på den måten direkte avlaste legevaktlege. Det vil også redusere behovet for bakvaktkompetanse lokalt, og slik redusere belastningen på erfarne og vaktkompetente leger</w:t>
      </w:r>
      <w:r w:rsidR="00363438">
        <w:t>.</w:t>
      </w:r>
      <w:r>
        <w:t xml:space="preserve"> Dette vil kunne ha en særlig effekt i mindre folkerike kommuner i distrikt, hvor allmennlegene har størst vaktbelastning og hvor det er færre leger i vaktlaget.</w:t>
      </w:r>
    </w:p>
    <w:p w14:paraId="63D7A822" w14:textId="77777777" w:rsidR="00D9107F" w:rsidRDefault="007037FC" w:rsidP="00B1357C">
      <w:pPr>
        <w:jc w:val="both"/>
      </w:pPr>
      <w:r>
        <w:t>Videre kan lege i LVS delta på medtitt</w:t>
      </w:r>
      <w:r w:rsidRPr="00D9107F">
        <w:rPr>
          <w:rStyle w:val="Fotnotereferanse"/>
        </w:rPr>
        <w:footnoteReference w:id="48"/>
      </w:r>
      <w:r>
        <w:t xml:space="preserve"> under utrykking. Medtitt vil gi en forsterket faglig støtte, som kan være særlig relevant for nyutdannede og mindre rutinerte leger.</w:t>
      </w:r>
    </w:p>
    <w:p w14:paraId="6B644B8C" w14:textId="48223853" w:rsidR="007C36F2" w:rsidRDefault="007C36F2" w:rsidP="00B1357C">
      <w:pPr>
        <w:jc w:val="both"/>
      </w:pPr>
      <w:r>
        <w:t xml:space="preserve">Ekspertutvalget mener at sentraliserte og </w:t>
      </w:r>
      <w:r w:rsidR="00363438">
        <w:t>legebemannet</w:t>
      </w:r>
      <w:r>
        <w:t xml:space="preserve"> LVS med videokommunikasjon kan bidra til god kvalitet på tjenesten, bidra til raske avklaringer og gi en samlet god utnyttelse av personellressursene i kommunal del av </w:t>
      </w:r>
      <w:r w:rsidR="00F24494">
        <w:t xml:space="preserve">den </w:t>
      </w:r>
      <w:r>
        <w:t>akuttmedisinsk</w:t>
      </w:r>
      <w:r w:rsidR="00F24494">
        <w:t>e</w:t>
      </w:r>
      <w:r>
        <w:t xml:space="preserve"> </w:t>
      </w:r>
      <w:r w:rsidR="005A6D3A">
        <w:t>kjeden</w:t>
      </w:r>
      <w:r>
        <w:t>, samt i øvrig kommunal omsorgstjeneste.</w:t>
      </w:r>
    </w:p>
    <w:p w14:paraId="11CB2E57" w14:textId="77777777" w:rsidR="00D9107F" w:rsidRDefault="008C0DB2" w:rsidP="00B1357C">
      <w:pPr>
        <w:jc w:val="both"/>
      </w:pPr>
      <w:r>
        <w:t xml:space="preserve">Etter ekspertutvalgets vurdering </w:t>
      </w:r>
      <w:r w:rsidR="751B95D5">
        <w:t>har</w:t>
      </w:r>
      <w:r>
        <w:t xml:space="preserve"> en sentralisering av legevaktsentral isolert sett en begrenset virkning på </w:t>
      </w:r>
      <w:r w:rsidR="00A93875">
        <w:t>arbeidstid for lege</w:t>
      </w:r>
      <w:r w:rsidR="00C71E09">
        <w:t>, men</w:t>
      </w:r>
      <w:r w:rsidR="0022435F">
        <w:t xml:space="preserve"> kombin</w:t>
      </w:r>
      <w:r w:rsidR="00506911">
        <w:t>ert</w:t>
      </w:r>
      <w:r w:rsidR="0022435F">
        <w:t xml:space="preserve"> med legevakt-satellitt</w:t>
      </w:r>
      <w:r w:rsidR="00506911">
        <w:t>,</w:t>
      </w:r>
      <w:r w:rsidR="0022435F">
        <w:t xml:space="preserve"> bruk av annet personell og videokommunikasjon kan </w:t>
      </w:r>
      <w:r w:rsidR="000070CC">
        <w:t xml:space="preserve">det </w:t>
      </w:r>
      <w:r w:rsidR="0022435F">
        <w:t>bidra til å redusere vaktbelastning på natt. Det kan også bidra til å frita fastlegen fra fysisk tilstedeværelse i de omtrent 50 kommunene som på grunn av lange avstander har tilstedeplikt for leger i beredskapsvakt. Samtidig gir det et lokalt akuttmedisinsk tilbud i distriktene med kort reisevei for innbyggerne.</w:t>
      </w:r>
    </w:p>
    <w:p w14:paraId="13D1BD53" w14:textId="77777777" w:rsidR="00D9107F" w:rsidRDefault="0022435F" w:rsidP="002623FA">
      <w:pPr>
        <w:jc w:val="both"/>
      </w:pPr>
      <w:r>
        <w:t xml:space="preserve">Ulemper ved å ha </w:t>
      </w:r>
      <w:r w:rsidR="00FB541F">
        <w:t>færre</w:t>
      </w:r>
      <w:r>
        <w:t xml:space="preserve"> legevaktsentraler kan være flere. </w:t>
      </w:r>
      <w:r w:rsidR="00CA575F">
        <w:t xml:space="preserve">Lokalkunnskap om befolkningsgrunnlag, geografiske forhold, inkludert vær- og føreforhold gjennom året, og samarbeidende tjenester, kan ha innvirkning på vurderingene og beslutningene operatør i LVS gjør. Dette er argumenter for at nedslagsfeltet til den enkelte legevaktsentral ikke bør være for </w:t>
      </w:r>
      <w:r w:rsidR="00CA575F">
        <w:lastRenderedPageBreak/>
        <w:t>stort. Det er likevel slik at vi må forvente at kjennskap til lokale forhold vil kunne opparbeides blant operatørene over tid.</w:t>
      </w:r>
    </w:p>
    <w:p w14:paraId="1D1BC6B8" w14:textId="77777777" w:rsidR="00D9107F" w:rsidRDefault="00CA575F" w:rsidP="002623FA">
      <w:pPr>
        <w:jc w:val="both"/>
      </w:pPr>
      <w:r>
        <w:t>I 2020 var fire av fem LVS samlokalisert med legevakten (Allertsen og Morken, 2020). Færre LVS reduserer muligheten for samlokalisering med legevakt, og tilhørende redusert mulighet lokalt for fleksibel og god utnyttelse av utstyr og personellressursene, spesielt for lege. Det kan igjen påvirke muligheten til å ha forsterket legevakt for enkelte legevakter. Samtidig vil en stor LVS med flere kompetente og erfarne leger og god triagering kunne redusere antall henvendelser til legevakt. Dessuten krever døgn- eller nattkontinuerlig turnus mange ansatte for å gå rundt, noe som kan være vanskelig i mindre LVS.</w:t>
      </w:r>
    </w:p>
    <w:p w14:paraId="0A687076" w14:textId="77777777" w:rsidR="00D9107F" w:rsidRDefault="00CA575F" w:rsidP="002623FA">
      <w:pPr>
        <w:jc w:val="both"/>
      </w:pPr>
      <w:r>
        <w:t xml:space="preserve">Det kan tenkes at sentraler som skal betjene en betydelig større andel av befolkningen, vil få endringer i henvendelsesrate. Det er krav til to minutters svartid for 80 </w:t>
      </w:r>
      <w:r w:rsidR="00893CEF">
        <w:t>prosent</w:t>
      </w:r>
      <w:r>
        <w:t xml:space="preserve"> </w:t>
      </w:r>
      <w:r w:rsidR="004B6E81">
        <w:t xml:space="preserve">av </w:t>
      </w:r>
      <w:r>
        <w:t>henvendelsene til LVS. Utvikling i svartid må følges med på. Om det legges til flere funksjoner for LVS, som større grad av faglig støtte av lege i legevaktens vurdering og beslutning om håndtering av pasient, kan dette påvirke henvendelsesmønster og pågang. Økt kompetanse og tilstrekkelig bemanning vil være viktige tiltak for å håndtere en økning i henvendelser.</w:t>
      </w:r>
    </w:p>
    <w:p w14:paraId="459F0BE8" w14:textId="4DA33D03" w:rsidR="00CA575F" w:rsidRDefault="00CA575F" w:rsidP="002623FA">
      <w:pPr>
        <w:jc w:val="both"/>
      </w:pPr>
      <w:r>
        <w:t>I dag er det 94 LVS</w:t>
      </w:r>
      <w:r w:rsidR="00C06CF3">
        <w:t>,</w:t>
      </w:r>
      <w:r>
        <w:t xml:space="preserve"> mens det er 16 akuttmedisinske kommunikasjonssentraler (AMK). En mulighet vil være å redusere antallet legevaktsentraler noe eller å redusere til et tilsvarende antall som AMK. Det kan vurderes om det ville være hensiktsmessig for LVS å ha en tilsvarende geografisk plassering. En eventuell samlokalisering tilrettelegger for bedre samhandling i den akuttmedisinske kjeden, </w:t>
      </w:r>
      <w:r w:rsidR="00363438">
        <w:t>jevnlig</w:t>
      </w:r>
      <w:r>
        <w:t xml:space="preserve"> samtrening og felles kompetansebygging. Det kan også tenkes at det kan åpne for mer fleksibel bruk av personell og nye arbeidsmåter. </w:t>
      </w:r>
      <w:r w:rsidR="00363438">
        <w:t>Antall</w:t>
      </w:r>
      <w:r>
        <w:t xml:space="preserve"> og plassering av AMK-sentralene er gjort ut fra hensynet til å ha en likeverdig og forsvarlig tjeneste og tilgjengelighet for pasient, samt avstand til </w:t>
      </w:r>
      <w:r w:rsidR="00363438">
        <w:t>sykehus</w:t>
      </w:r>
      <w:r>
        <w:t>.</w:t>
      </w:r>
    </w:p>
    <w:p w14:paraId="5167A8B9" w14:textId="77777777" w:rsidR="00D9107F" w:rsidRDefault="00A910AE" w:rsidP="002623FA">
      <w:pPr>
        <w:jc w:val="both"/>
      </w:pPr>
      <w:r>
        <w:t xml:space="preserve">Ekspertutvalget anbefaler </w:t>
      </w:r>
      <w:r w:rsidRPr="49F9B91A">
        <w:t xml:space="preserve">sentralisering av legevaktsentraler, </w:t>
      </w:r>
      <w:r>
        <w:t>for å legge til rette for</w:t>
      </w:r>
      <w:r w:rsidRPr="49F9B91A">
        <w:t xml:space="preserve"> forsterket bemanning</w:t>
      </w:r>
      <w:r w:rsidR="0026011B">
        <w:t>,</w:t>
      </w:r>
      <w:r w:rsidRPr="49F9B91A">
        <w:t xml:space="preserve"> mulighet for videokonsultasjon og fast tilstedeværende lege. Ekspertutvalget mener at grad av sen</w:t>
      </w:r>
      <w:r>
        <w:t>t</w:t>
      </w:r>
      <w:r w:rsidRPr="49F9B91A">
        <w:t>ralisering må vurderes etter geografiske forhold, befolkningsmønster og andre lokale/regionale hensyn</w:t>
      </w:r>
      <w:r>
        <w:t>.</w:t>
      </w:r>
    </w:p>
    <w:p w14:paraId="2AA9BB98" w14:textId="63AF2692" w:rsidR="00D9107F" w:rsidRDefault="009E5671" w:rsidP="009E5671">
      <w:pPr>
        <w:jc w:val="center"/>
      </w:pPr>
      <w:r>
        <w:rPr>
          <w:noProof/>
        </w:rPr>
        <w:lastRenderedPageBreak/>
        <w:drawing>
          <wp:inline distT="0" distB="0" distL="0" distR="0" wp14:anchorId="682E4986" wp14:editId="2E5839C5">
            <wp:extent cx="4602343" cy="4073236"/>
            <wp:effectExtent l="0" t="0" r="0" b="0"/>
            <wp:docPr id="1908704944" name="Picture 1908704944" descr="Et bilde som inneholder tekst,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4944" name="Bilde 1908704944" descr="Et bilde som inneholder tekst, vektorgrafikk&#10;&#10;Automatisk generert beskrivelse"/>
                    <pic:cNvPicPr/>
                  </pic:nvPicPr>
                  <pic:blipFill rotWithShape="1">
                    <a:blip r:embed="rId78" cstate="print">
                      <a:extLst>
                        <a:ext uri="{28A0092B-C50C-407E-A947-70E740481C1C}">
                          <a14:useLocalDpi xmlns:a14="http://schemas.microsoft.com/office/drawing/2010/main" val="0"/>
                        </a:ext>
                      </a:extLst>
                    </a:blip>
                    <a:srcRect l="9483" t="23386" r="9363" b="22670"/>
                    <a:stretch/>
                  </pic:blipFill>
                  <pic:spPr bwMode="auto">
                    <a:xfrm>
                      <a:off x="0" y="0"/>
                      <a:ext cx="4621785" cy="4090443"/>
                    </a:xfrm>
                    <a:prstGeom prst="rect">
                      <a:avLst/>
                    </a:prstGeom>
                    <a:ln>
                      <a:noFill/>
                    </a:ln>
                    <a:extLst>
                      <a:ext uri="{53640926-AAD7-44D8-BBD7-CCE9431645EC}">
                        <a14:shadowObscured xmlns:a14="http://schemas.microsoft.com/office/drawing/2010/main"/>
                      </a:ext>
                    </a:extLst>
                  </pic:spPr>
                </pic:pic>
              </a:graphicData>
            </a:graphic>
          </wp:inline>
        </w:drawing>
      </w:r>
    </w:p>
    <w:p w14:paraId="47F1EE11" w14:textId="77777777" w:rsidR="00D9107F" w:rsidRPr="004F1500" w:rsidRDefault="0022435F" w:rsidP="00775632">
      <w:pPr>
        <w:pStyle w:val="Overskrift4"/>
      </w:pPr>
      <w:bookmarkStart w:id="4577" w:name="_Toc130983647"/>
      <w:bookmarkStart w:id="4578" w:name="_Toc130983996"/>
      <w:bookmarkStart w:id="4579" w:name="_Toc131238554"/>
      <w:bookmarkStart w:id="4580" w:name="_Toc131279592"/>
      <w:bookmarkStart w:id="4581" w:name="_Toc131287004"/>
      <w:bookmarkStart w:id="4582" w:name="_Toc131281414"/>
      <w:bookmarkStart w:id="4583" w:name="_Toc131317954"/>
      <w:r w:rsidRPr="004F1500">
        <w:t>Bruk av video</w:t>
      </w:r>
      <w:r w:rsidR="00F02A2E" w:rsidRPr="004F1500">
        <w:t xml:space="preserve"> i </w:t>
      </w:r>
      <w:r w:rsidRPr="004F1500">
        <w:t xml:space="preserve">kommunikasjon på </w:t>
      </w:r>
      <w:r w:rsidR="00F02A2E" w:rsidRPr="004F1500">
        <w:t xml:space="preserve">legevakt og </w:t>
      </w:r>
      <w:r w:rsidRPr="004F1500">
        <w:t>legevaktsentral</w:t>
      </w:r>
      <w:bookmarkEnd w:id="4577"/>
      <w:bookmarkEnd w:id="4578"/>
      <w:bookmarkEnd w:id="4579"/>
      <w:bookmarkEnd w:id="4580"/>
      <w:bookmarkEnd w:id="4581"/>
      <w:bookmarkEnd w:id="4582"/>
      <w:bookmarkEnd w:id="4583"/>
    </w:p>
    <w:p w14:paraId="70DEF7F9" w14:textId="77777777" w:rsidR="00D9107F" w:rsidRPr="00D9107F" w:rsidRDefault="6B0DCD84" w:rsidP="002623FA">
      <w:pPr>
        <w:jc w:val="both"/>
        <w:rPr>
          <w:rStyle w:val="skrift-hevet"/>
        </w:rPr>
      </w:pPr>
      <w:r>
        <w:t xml:space="preserve">I underkant av halvparten av legevaktene brukte video til pasientkonsultasjoner i 2020. Majoriteten av disse tok i bruk video i forbindelse med pandemien, i mars samme år eller senere. Legevaktene som bruker video oppgir gode erfaringer ved lang reisevei for pasienten, ved første vurdering av pasienten og utvalgte problemstillinger. Utfordringer ved bruk av video var ustabile bilder, ikke oppdatert teknisk utstyr og vanskelighet med å få leger som sjelden har legevakt, til å bruke videokonsultasjon </w:t>
      </w:r>
      <w:r w:rsidR="00D2354E">
        <w:fldChar w:fldCharType="begin"/>
      </w:r>
      <w:r w:rsidR="004942AA">
        <w:instrText xml:space="preserve"> ADDIN EN.CITE &lt;EndNote&gt;&lt;Cite&gt;&lt;Author&gt;Allertsen&lt;/Author&gt;&lt;Year&gt;2021&lt;/Year&gt;&lt;RecNum&gt;446&lt;/RecNum&gt;&lt;DisplayText&gt;(Allertsen et al., 2021)&lt;/DisplayText&gt;&lt;record&gt;&lt;rec-number&gt;446&lt;/rec-number&gt;&lt;foreign-keys&gt;&lt;key app="EN" db-id="95tpr2tp6r9xwoea9rb5wdsz5ds5xeddteew" timestamp="1680069511"&gt;446&lt;/key&gt;&lt;/foreign-keys&gt;&lt;ref-type name="Report"&gt;27&lt;/ref-type&gt;&lt;contributors&gt;&lt;authors&gt;&lt;author&gt;Allertsen, M.,&lt;/author&gt;&lt;author&gt;Morken, T.&lt;/author&gt;&lt;/authors&gt;&lt;/contributors&gt;&lt;titles&gt;&lt;title&gt;Legevaktorganisering i Norge. Rapport fra Nasjonalt legevaktregister 2020&lt;/title&gt;&lt;secondary-title&gt;Rapport&lt;/secondary-title&gt;&lt;/titles&gt;&lt;number&gt;3-2021&lt;/number&gt;&lt;dates&gt;&lt;year&gt;2021&lt;/year&gt;&lt;/dates&gt;&lt;pub-location&gt;Bergen&lt;/pub-location&gt;&lt;publisher&gt;Nasjonalt kompetansesenter for legevaktmedisin, NORCE Norwegian Research&lt;/publisher&gt;&lt;urls&gt;&lt;/urls&gt;&lt;/record&gt;&lt;/Cite&gt;&lt;/EndNote&gt;</w:instrText>
      </w:r>
      <w:r w:rsidR="00D2354E">
        <w:fldChar w:fldCharType="separate"/>
      </w:r>
      <w:r w:rsidR="00856689">
        <w:rPr>
          <w:noProof/>
        </w:rPr>
        <w:t>(Allertsen et al., 2021)</w:t>
      </w:r>
      <w:r w:rsidR="00D2354E">
        <w:fldChar w:fldCharType="end"/>
      </w:r>
      <w:r w:rsidR="00533FA7">
        <w:t>.</w:t>
      </w:r>
    </w:p>
    <w:p w14:paraId="2D04B44D" w14:textId="77777777" w:rsidR="00D9107F" w:rsidRPr="00D9107F" w:rsidRDefault="6B0DCD84" w:rsidP="002623FA">
      <w:pPr>
        <w:jc w:val="both"/>
        <w:rPr>
          <w:rStyle w:val="skrift-hevet"/>
        </w:rPr>
      </w:pPr>
      <w:r>
        <w:t xml:space="preserve">Det er sentralt at teknisk utstyr har god kvalitet, er brukervennlig og personalet må få tilstrekkelig opplæring til å beherske utstyret. Bruk av etablert teknologi og løsninger, for eksempel via </w:t>
      </w:r>
      <w:r w:rsidR="3106AD3C">
        <w:t xml:space="preserve">Norsk </w:t>
      </w:r>
      <w:r w:rsidR="30DDB9B0">
        <w:t>h</w:t>
      </w:r>
      <w:r w:rsidR="3106AD3C">
        <w:t>elsenett (</w:t>
      </w:r>
      <w:r>
        <w:t>NHN</w:t>
      </w:r>
      <w:r w:rsidR="3106AD3C">
        <w:t>)</w:t>
      </w:r>
      <w:r w:rsidR="27105BF1">
        <w:t>,</w:t>
      </w:r>
      <w:r>
        <w:t xml:space="preserve"> vil bidra til stabile løsninger. Den kliniske undersøkelsen og blikk er redusert ved bruk av video. </w:t>
      </w:r>
      <w:r w:rsidR="00E834AE">
        <w:t>Kompenserende tiltak er å vurdere kompetansebehov for ansatte, utarbeide tilpassede verktøy som sjekklister, retningslinjer og rutiner, teknisk kompetanseheving i bruk av videokommunikasjonsutstyr, og risikovurdering på systemnivå for aktuell pasientgruppe</w:t>
      </w:r>
      <w:r>
        <w:t xml:space="preserve"> </w:t>
      </w:r>
      <w:r w:rsidR="00D2354E">
        <w:fldChar w:fldCharType="begin"/>
      </w:r>
      <w:r w:rsidR="00A27571">
        <w:instrText xml:space="preserve"> ADDIN EN.CITE &lt;EndNote&gt;&lt;Cite&gt;&lt;Author&gt;Arentz-Hansen&lt;/Author&gt;&lt;Year&gt;2020&lt;/Year&gt;&lt;RecNum&gt;332&lt;/RecNum&gt;&lt;DisplayText&gt;(Arentz-Hansen et al., 2020)&lt;/DisplayText&gt;&lt;record&gt;&lt;rec-number&gt;332&lt;/rec-number&gt;&lt;foreign-keys&gt;&lt;key app="EN" db-id="95tpr2tp6r9xwoea9rb5wdsz5ds5xeddteew" timestamp="1680069511"&gt;332&lt;/key&gt;&lt;/foreign-keys&gt;&lt;ref-type name="Report"&gt;27&lt;/ref-type&gt;&lt;contributors&gt;&lt;authors&gt;&lt;author&gt;Arentz-Hansen, H.,&lt;/author&gt;&lt;author&gt;Giske, L.,&lt;/author&gt;&lt;author&gt;Nilsen,E.,&lt;/author&gt;&lt;author&gt;Jor, S.&lt;/author&gt;&lt;/authors&gt;&lt;/contributors&gt;&lt;titles&gt;&lt;title&gt;Hjemmebasert spesialisthelsetjeneste. Medisinsk avstandsoppfølging - videokonsultasjon (sanntid)&lt;/title&gt;&lt;secondary-title&gt;Rapport&lt;/secondary-title&gt;&lt;/titles&gt;&lt;dates&gt;&lt;year&gt;2020&lt;/year&gt;&lt;/dates&gt;&lt;pub-location&gt;Oslo&lt;/pub-location&gt;&lt;publisher&gt;Folkehelseinstituttet&lt;/publisher&gt;&lt;urls&gt;&lt;/urls&gt;&lt;/record&gt;&lt;/Cite&gt;&lt;/EndNote&gt;</w:instrText>
      </w:r>
      <w:r w:rsidR="00D2354E">
        <w:fldChar w:fldCharType="separate"/>
      </w:r>
      <w:r w:rsidR="00856689">
        <w:rPr>
          <w:noProof/>
        </w:rPr>
        <w:t>(Arentz-Hansen et al., 2020)</w:t>
      </w:r>
      <w:r w:rsidR="00D2354E">
        <w:fldChar w:fldCharType="end"/>
      </w:r>
      <w:r w:rsidR="00533FA7">
        <w:t>.</w:t>
      </w:r>
    </w:p>
    <w:p w14:paraId="43183215" w14:textId="2885BA8D" w:rsidR="00D9107F" w:rsidRDefault="00841A43" w:rsidP="002623FA">
      <w:pPr>
        <w:jc w:val="both"/>
        <w:rPr>
          <w:rFonts w:eastAsiaTheme="minorEastAsia"/>
          <w:color w:val="000000" w:themeColor="text1"/>
        </w:rPr>
      </w:pPr>
      <w:r>
        <w:t xml:space="preserve">Videokonsultasjon i kombinasjon med legevakt-satellitt og bruk av annet personell kan bidra til å frita fastlegen fra fysisk tilstedeværelse og kan redusere vaktbelastning på natt. Samtidig gir det et lokalt akuttmedisinsk tilbud i distriktene med kort reisevei for innbyggerne. </w:t>
      </w:r>
      <w:r w:rsidR="0064214A">
        <w:t>Evalueringene som er gjort</w:t>
      </w:r>
      <w:r w:rsidR="00907D3A">
        <w:t>,</w:t>
      </w:r>
      <w:r w:rsidR="0064214A">
        <w:t xml:space="preserve"> viser at konsultasjonsformen er god nok, med tilfredsstillende kvalitet og at </w:t>
      </w:r>
      <w:r w:rsidR="0064214A">
        <w:lastRenderedPageBreak/>
        <w:t xml:space="preserve">pasienter blir henvist til riktig nivå for videre vurdering og behandling. Videre er </w:t>
      </w:r>
      <w:r w:rsidR="0064214A">
        <w:rPr>
          <w:rFonts w:eastAsiaTheme="minorEastAsia"/>
          <w:color w:val="000000" w:themeColor="text1"/>
        </w:rPr>
        <w:t>pasientene, legene og kommunene fornøyd.</w:t>
      </w:r>
    </w:p>
    <w:p w14:paraId="26252FA0" w14:textId="77777777" w:rsidR="00D9107F" w:rsidRDefault="00702575" w:rsidP="00F75E69">
      <w:pPr>
        <w:jc w:val="both"/>
      </w:pPr>
      <w:r>
        <w:t>Organiseringen</w:t>
      </w:r>
      <w:r w:rsidR="00841A43">
        <w:t xml:space="preserve"> forutsetter samtidig forsterkede legevakter og/eller legevaktsentraler som er bemannet med kompetent lege og tilrettelagt for å gi medisinskfaglig beslutningstøtte til annet helsepersonell på satellitt. </w:t>
      </w:r>
      <w:r w:rsidR="00CA575F">
        <w:t>Dette åpner opp for en rekke bruksområder og utvidelse av tjenestetilbudet, som bruk av video ved hjemmebesøk av sykepleier eller i hjemmetjenesten.</w:t>
      </w:r>
    </w:p>
    <w:p w14:paraId="64F94B8D" w14:textId="12461876" w:rsidR="00CA575F" w:rsidRDefault="00CA575F" w:rsidP="00F75E69">
      <w:pPr>
        <w:jc w:val="both"/>
      </w:pPr>
      <w:r>
        <w:t xml:space="preserve">Om pasienter i den kommunale helse- og omsorgstjenesten har behov for akutt helsehjelp utenom ordinær åpningstid, er det legevakt som skal kontaktes. </w:t>
      </w:r>
      <w:r w:rsidR="00E834AE">
        <w:t>Videokonsultasjon hvor legen kan se pasienten kan gjøre legens vurdering av pasientens tilstand og eventuelt behandling og tiltak enklere. Videokonsultasjon kan også gjøre at legen unngår å rykke ut, og slik avlastes</w:t>
      </w:r>
      <w:r>
        <w:t>.</w:t>
      </w:r>
    </w:p>
    <w:p w14:paraId="2A5DD167" w14:textId="77777777" w:rsidR="00E834AE" w:rsidRDefault="00E834AE" w:rsidP="00F75E69">
      <w:pPr>
        <w:jc w:val="both"/>
      </w:pPr>
      <w:r>
        <w:t>Ekspertutvalget mener at bruk av video i legevakt kan være et godt hjelpemiddel. Samtidig er det viktig at systemet for øvrig hensyntar slik bruk. Finansiering av vurdering på video var mulig under pandemien, men taksten (2af) ble fjernet 01.07.22. Det er derfor ikke mulig for næringsdrivende legevaktlege å få betalt for å gjennomføre slik vurdering, da ingen andre takster dekker dette arbeidet. For å støtte opp om slike løsninger videre må finansieringen tilpasses.</w:t>
      </w:r>
    </w:p>
    <w:p w14:paraId="6C373249" w14:textId="7DFBABE0" w:rsidR="00E834AE" w:rsidRDefault="00E834AE" w:rsidP="00F75E69">
      <w:pPr>
        <w:jc w:val="both"/>
      </w:pPr>
      <w:r>
        <w:t>Ustabile videoløsninger og dårlig dekning kan være en utfordring ved en slik løsning.</w:t>
      </w:r>
      <w:r w:rsidRPr="00C60A0A">
        <w:t xml:space="preserve"> </w:t>
      </w:r>
      <w:r>
        <w:t>Det kan også øke utgifter til vedlikehold av kompetanse, utstyr og prosedyrer, og bruk av video og annet teknisk utstyr vil gi ressursbruk innen IT- og IKT. Enkle tekniske løsninger og opplæring av personalet i omsorgstjenestene må ivaretas. For å sikre god og sikker bruk av videokonsultasjon slik at den kan gi tilstrekkelig beslutningsgrunnlag for legevaktlege, må den inngå som en rutine i tjenesten</w:t>
      </w:r>
      <w:r w:rsidRPr="00533FA7">
        <w:t xml:space="preserve"> </w:t>
      </w:r>
      <w:r w:rsidR="00533FA7">
        <w:fldChar w:fldCharType="begin"/>
      </w:r>
      <w:r w:rsidR="004654FD">
        <w:instrText xml:space="preserve"> ADDIN EN.CITE &lt;EndNote&gt;&lt;Cite&gt;&lt;Author&gt;Albrektsen&lt;/Author&gt;&lt;Year&gt;2022&lt;/Year&gt;&lt;RecNum&gt;449&lt;/RecNum&gt;&lt;DisplayText&gt;(Albrektsen, 2022)&lt;/DisplayText&gt;&lt;record&gt;&lt;rec-number&gt;449&lt;/rec-number&gt;&lt;foreign-keys&gt;&lt;key app="EN" db-id="95tpr2tp6r9xwoea9rb5wdsz5ds5xeddteew" timestamp="1680069511"&gt;449&lt;/key&gt;&lt;/foreign-keys&gt;&lt;ref-type name="Report"&gt;27&lt;/ref-type&gt;&lt;contributors&gt;&lt;authors&gt;&lt;author&gt;Albrektsen, G.E.A.&lt;/author&gt;&lt;/authors&gt;&lt;/contributors&gt;&lt;titles&gt;&lt;title&gt;Legevaktpiloten Sogn og Fjordane. Sluttrapport&lt;/title&gt;&lt;/titles&gt;&lt;dates&gt;&lt;year&gt;2022&lt;/year&gt;&lt;/dates&gt;&lt;publisher&gt;Sunnfjord og Ytre Sogn legevakt,&lt;/publisher&gt;&lt;urls&gt;&lt;/urls&gt;&lt;/record&gt;&lt;/Cite&gt;&lt;/EndNote&gt;</w:instrText>
      </w:r>
      <w:r w:rsidR="00533FA7">
        <w:fldChar w:fldCharType="separate"/>
      </w:r>
      <w:r w:rsidR="00533FA7">
        <w:rPr>
          <w:noProof/>
        </w:rPr>
        <w:t>(Albrektsen, 2022)</w:t>
      </w:r>
      <w:r w:rsidR="00533FA7">
        <w:fldChar w:fldCharType="end"/>
      </w:r>
      <w:r>
        <w:t>. Rutinene bør også omfatte avklaringer av praktiske sider ved journalføring og beslutningsansvar som ivaretar kravene i helselovgivningen.</w:t>
      </w:r>
    </w:p>
    <w:p w14:paraId="632EACEA" w14:textId="77777777" w:rsidR="00D9107F" w:rsidRDefault="00E834AE" w:rsidP="00F75E69">
      <w:pPr>
        <w:jc w:val="both"/>
      </w:pPr>
      <w:r>
        <w:t xml:space="preserve">Videokonsultasjon gir økt tilgjengelighet, som kan gi bekymring for overforbruk. Videre kan det være bekymring for brukerkompetansen i deler av befolkningen og at økt innføring av videokonsultasjoner kan gi redusert tilgang for enkelte grupper med lave digitale ferdigheter. Risikoen for både overforbruk og lav brukerkompetanse reduseres om det er helsepersonell i begge ender av kameraet. Ekspertutvalget mener at det er behov for følgeforskning og videre innovasjon på området, og viser til videre omtale i </w:t>
      </w:r>
      <w:r w:rsidRPr="00294351">
        <w:t>kap</w:t>
      </w:r>
      <w:r w:rsidR="00294351">
        <w:t>ittel</w:t>
      </w:r>
      <w:r w:rsidRPr="00294351">
        <w:t xml:space="preserve"> </w:t>
      </w:r>
      <w:r w:rsidR="008E5760">
        <w:t>10</w:t>
      </w:r>
      <w:r w:rsidRPr="00294351">
        <w:t xml:space="preserve"> Innovasjon og ledelse.</w:t>
      </w:r>
    </w:p>
    <w:p w14:paraId="0BBC7D71" w14:textId="7BA0CEE9" w:rsidR="004B1424" w:rsidRDefault="006C13AA" w:rsidP="00F75E69">
      <w:pPr>
        <w:jc w:val="both"/>
        <w:rPr>
          <w:rFonts w:cstheme="minorHAnsi"/>
        </w:rPr>
      </w:pPr>
      <w:r>
        <w:rPr>
          <w:rFonts w:cstheme="minorHAnsi"/>
        </w:rPr>
        <w:t xml:space="preserve">Ekspertutvalget vurderer at bruk av teknologi, som videokonsultasjoner og desentralisert akuttilbud, åpner for nye arbeidsformer og ytterligere muligheter for interkommunalt samarbeid. </w:t>
      </w:r>
      <w:r w:rsidR="007017AC">
        <w:rPr>
          <w:rFonts w:cstheme="minorHAnsi"/>
        </w:rPr>
        <w:t xml:space="preserve">For </w:t>
      </w:r>
      <w:r w:rsidR="00131AC5">
        <w:rPr>
          <w:rFonts w:cstheme="minorHAnsi"/>
        </w:rPr>
        <w:t>k</w:t>
      </w:r>
      <w:r>
        <w:rPr>
          <w:rFonts w:cstheme="minorHAnsi"/>
        </w:rPr>
        <w:t>ommuner som ikke har kunnet inngå i interkommunalt samarbeid grunnet geografisk plassering og avstander</w:t>
      </w:r>
      <w:r w:rsidR="00E57B7E">
        <w:rPr>
          <w:rFonts w:cstheme="minorHAnsi"/>
        </w:rPr>
        <w:t xml:space="preserve"> kan det være</w:t>
      </w:r>
      <w:r w:rsidR="00131AC5">
        <w:rPr>
          <w:rFonts w:cstheme="minorHAnsi"/>
        </w:rPr>
        <w:t>hensiktsmessig</w:t>
      </w:r>
      <w:r w:rsidR="00C06CF3">
        <w:rPr>
          <w:rFonts w:cstheme="minorHAnsi"/>
        </w:rPr>
        <w:t xml:space="preserve"> </w:t>
      </w:r>
      <w:r w:rsidR="00131AC5">
        <w:rPr>
          <w:rFonts w:cstheme="minorHAnsi"/>
        </w:rPr>
        <w:t xml:space="preserve">å </w:t>
      </w:r>
      <w:r>
        <w:rPr>
          <w:rFonts w:cstheme="minorHAnsi"/>
        </w:rPr>
        <w:t>vurder</w:t>
      </w:r>
      <w:r w:rsidR="00197101">
        <w:rPr>
          <w:rFonts w:cstheme="minorHAnsi"/>
        </w:rPr>
        <w:t>e</w:t>
      </w:r>
      <w:r>
        <w:rPr>
          <w:rFonts w:cstheme="minorHAnsi"/>
        </w:rPr>
        <w:t xml:space="preserve"> om </w:t>
      </w:r>
      <w:r w:rsidR="00131AC5">
        <w:rPr>
          <w:rFonts w:cstheme="minorHAnsi"/>
        </w:rPr>
        <w:t>ny teknologi</w:t>
      </w:r>
      <w:r w:rsidR="00C06CF3">
        <w:rPr>
          <w:rFonts w:cstheme="minorHAnsi"/>
        </w:rPr>
        <w:t xml:space="preserve"> </w:t>
      </w:r>
      <w:r w:rsidR="00131AC5">
        <w:rPr>
          <w:rFonts w:cstheme="minorHAnsi"/>
        </w:rPr>
        <w:t xml:space="preserve">kan </w:t>
      </w:r>
      <w:r w:rsidR="00851885">
        <w:rPr>
          <w:rFonts w:cstheme="minorHAnsi"/>
        </w:rPr>
        <w:t>tilrettelegge for</w:t>
      </w:r>
      <w:r w:rsidR="00C06CF3">
        <w:rPr>
          <w:rFonts w:cstheme="minorHAnsi"/>
        </w:rPr>
        <w:t xml:space="preserve"> </w:t>
      </w:r>
      <w:r>
        <w:rPr>
          <w:rFonts w:cstheme="minorHAnsi"/>
        </w:rPr>
        <w:t>samarbeid.</w:t>
      </w:r>
    </w:p>
    <w:p w14:paraId="4139CDF4" w14:textId="77777777" w:rsidR="00793F7A" w:rsidRPr="00EA7E64" w:rsidRDefault="00793F7A" w:rsidP="00F75E69">
      <w:pPr>
        <w:jc w:val="both"/>
      </w:pPr>
      <w:r w:rsidRPr="49F9B91A">
        <w:lastRenderedPageBreak/>
        <w:t>For å avlaste allmennleger for legevaktarbeid og sikre lokalt akuttilbud i distriktene, anbefaler ekspertutvalget at det opprettes desentraliserte akuttilbud, med støtte fra forsterkete legevaktsentraler som er bemannet med lege og tilrettelagt for videokonsultasjon</w:t>
      </w:r>
      <w:r>
        <w:t>.</w:t>
      </w:r>
    </w:p>
    <w:p w14:paraId="4B6FA060" w14:textId="07D1444E" w:rsidR="00E65F40" w:rsidRDefault="00793F7A" w:rsidP="00F75E69">
      <w:pPr>
        <w:jc w:val="both"/>
      </w:pPr>
      <w:r>
        <w:t>Ekspertutvalget anbefaler at det t</w:t>
      </w:r>
      <w:r w:rsidRPr="00780CC9">
        <w:rPr>
          <w:rFonts w:cstheme="minorHAnsi"/>
        </w:rPr>
        <w:t>ilrettelegge</w:t>
      </w:r>
      <w:r>
        <w:rPr>
          <w:rFonts w:cstheme="minorHAnsi"/>
        </w:rPr>
        <w:t>s</w:t>
      </w:r>
      <w:r w:rsidRPr="00780CC9">
        <w:rPr>
          <w:rFonts w:cstheme="minorHAnsi"/>
        </w:rPr>
        <w:t xml:space="preserve"> for bruk av videokonsultasjon ved alle legevaktsentraler og legevakter. </w:t>
      </w:r>
      <w:r>
        <w:rPr>
          <w:rFonts w:cstheme="minorHAnsi"/>
        </w:rPr>
        <w:t>Samtidig må det s</w:t>
      </w:r>
      <w:r w:rsidRPr="00780CC9">
        <w:rPr>
          <w:rFonts w:cstheme="minorHAnsi"/>
        </w:rPr>
        <w:t>ikre</w:t>
      </w:r>
      <w:r>
        <w:rPr>
          <w:rFonts w:cstheme="minorHAnsi"/>
        </w:rPr>
        <w:t>s</w:t>
      </w:r>
      <w:r w:rsidRPr="00780CC9">
        <w:rPr>
          <w:rFonts w:cstheme="minorHAnsi"/>
        </w:rPr>
        <w:t xml:space="preserve"> god opplæring og brukervennlig og funksjonelt digitalt og øvrig teknisk utstyr</w:t>
      </w:r>
      <w:r>
        <w:rPr>
          <w:rFonts w:cstheme="minorHAnsi"/>
        </w:rPr>
        <w:t>.</w:t>
      </w:r>
    </w:p>
    <w:p w14:paraId="3A3A33AC" w14:textId="7FACEF51" w:rsidR="0022435F" w:rsidRDefault="0022435F" w:rsidP="00775632">
      <w:pPr>
        <w:pStyle w:val="Overskrift4"/>
      </w:pPr>
      <w:bookmarkStart w:id="4584" w:name="_Toc129596284"/>
      <w:bookmarkStart w:id="4585" w:name="_Toc130983648"/>
      <w:bookmarkStart w:id="4586" w:name="_Toc130983997"/>
      <w:bookmarkStart w:id="4587" w:name="_Toc131238555"/>
      <w:bookmarkStart w:id="4588" w:name="_Toc131279593"/>
      <w:bookmarkStart w:id="4589" w:name="_Toc131287005"/>
      <w:bookmarkStart w:id="4590" w:name="_Toc131281415"/>
      <w:bookmarkStart w:id="4591" w:name="_Toc131317955"/>
      <w:r>
        <w:t>Bruk av annet personell enn lege i legevakt</w:t>
      </w:r>
      <w:bookmarkEnd w:id="4584"/>
      <w:bookmarkEnd w:id="4585"/>
      <w:bookmarkEnd w:id="4586"/>
      <w:bookmarkEnd w:id="4587"/>
      <w:bookmarkEnd w:id="4588"/>
      <w:bookmarkEnd w:id="4589"/>
      <w:bookmarkEnd w:id="4590"/>
      <w:bookmarkEnd w:id="4591"/>
    </w:p>
    <w:p w14:paraId="48140707" w14:textId="77777777" w:rsidR="006D4DE7" w:rsidRPr="009C0AA9" w:rsidRDefault="006D4DE7" w:rsidP="00735DDA">
      <w:pPr>
        <w:jc w:val="both"/>
      </w:pPr>
      <w:r>
        <w:t>Bruk av annet helsepersonell i legevakt kan tenkes å avlaste legens arbeidstid, som ved legevaktsatellitt beskrevet over. Samtidig har 40 prosent av legevaktene ikke annet helsepersonell enn lege på natt, og dette gjelder i større grad mindre befolkningsrike og usentrale kommuner.</w:t>
      </w:r>
    </w:p>
    <w:p w14:paraId="43AA0535" w14:textId="77777777" w:rsidR="00D9107F" w:rsidRDefault="006D4DE7" w:rsidP="00735DDA">
      <w:pPr>
        <w:jc w:val="both"/>
      </w:pPr>
      <w:r>
        <w:t>Den kommunale helse- og omsorgstjenesten har en rekke virksomheter og mange ansatte, og hvor flere har døgnkontinuerlige tjenester og bemanning. Dette gir potensiale for en bedre, samlet utnyttelse av personell og utstyr i tjenesten, inkludert i legevakt.</w:t>
      </w:r>
    </w:p>
    <w:p w14:paraId="68E396E8" w14:textId="77777777" w:rsidR="00D9107F" w:rsidRDefault="006D4DE7" w:rsidP="008F5AD8">
      <w:r w:rsidRPr="00001ECF">
        <w:t>Helsepersonell fra annen kommune</w:t>
      </w:r>
      <w:r>
        <w:t>s</w:t>
      </w:r>
      <w:r w:rsidRPr="00001ECF">
        <w:t xml:space="preserve"> helse- og omsorgstjeneste kan brukes strukturert ved at helsepersonell tar vakter i legevakt, enten sammen med lege eller selvstendig. Slike delte stillinger vil også kunne gi synergieffekter for øvrig</w:t>
      </w:r>
      <w:r>
        <w:t>e</w:t>
      </w:r>
      <w:r w:rsidRPr="00001ECF">
        <w:t xml:space="preserve"> kommunale tjenester</w:t>
      </w:r>
      <w:r w:rsidR="00C06CF3">
        <w:t>,</w:t>
      </w:r>
      <w:r w:rsidRPr="00001ECF">
        <w:t xml:space="preserve"> i form av mer enhetlige helsetjenester, bedre utnyttelse av personellressursene, bedre samhandling og økt kompetanse om akutte tilstander i andre deler av tjenesten.</w:t>
      </w:r>
    </w:p>
    <w:p w14:paraId="0DBE3B41" w14:textId="6C969BCA" w:rsidR="006D4DE7" w:rsidRDefault="006D4DE7" w:rsidP="00735DDA">
      <w:pPr>
        <w:jc w:val="both"/>
      </w:pPr>
      <w:r>
        <w:t>S</w:t>
      </w:r>
      <w:r w:rsidRPr="00001ECF">
        <w:t>amlokalisering av legevakt med andre kommunale helsetjenester, som KAD</w:t>
      </w:r>
      <w:r>
        <w:t>,</w:t>
      </w:r>
      <w:r w:rsidRPr="00001ECF">
        <w:t xml:space="preserve"> sykehjem eller hjemmetjenester, tilrettelegge</w:t>
      </w:r>
      <w:r>
        <w:t>r</w:t>
      </w:r>
      <w:r w:rsidRPr="00001ECF">
        <w:t xml:space="preserve"> for mer fleksibel bruk av personell. Til eksempel kan ansatte i sykehjem bistå lege eller annet personell i legevakt ved behov. Fleksibel bruk av personell kan være særlig aktuelt på natt, hvor mange tjenester har lav aktivitet, men hvor det allikevel er påkrevd med tilstedeværende personell. Flere steder er det allerede etablerte ordninger for dette. Annet helsepersonell fra annen døgnbemannet helsetjeneste i kommunen kan også bistå legevakt i utrykninger. Det vil også kunne vært aktuelt å inngå samarbeid med andre døgnbemannede tjenester i kommunen</w:t>
      </w:r>
      <w:r w:rsidR="00C06CF3">
        <w:t>,</w:t>
      </w:r>
      <w:r w:rsidRPr="00001ECF">
        <w:t xml:space="preserve"> for at annet personell kan være tilgjengelig for lege ved behov</w:t>
      </w:r>
      <w:r>
        <w:t>, som brann, ambulanse eller vektere.</w:t>
      </w:r>
    </w:p>
    <w:p w14:paraId="219AC585" w14:textId="419EA4BE" w:rsidR="00192BAC" w:rsidRPr="009F1909" w:rsidRDefault="006D4DE7" w:rsidP="00735DDA">
      <w:pPr>
        <w:jc w:val="both"/>
      </w:pPr>
      <w:r w:rsidRPr="009F1909">
        <w:t xml:space="preserve">En større grad av samlokalisering med øvrig helse- og omsorgstjeneste kan </w:t>
      </w:r>
      <w:r>
        <w:t>videre</w:t>
      </w:r>
      <w:r w:rsidRPr="009F1909">
        <w:t xml:space="preserve"> tilrettelegge for</w:t>
      </w:r>
      <w:r w:rsidRPr="00001ECF">
        <w:t xml:space="preserve"> </w:t>
      </w:r>
      <w:r>
        <w:t xml:space="preserve">at annet personell kan være tilgjengelig for </w:t>
      </w:r>
      <w:r w:rsidRPr="00001ECF">
        <w:t>lege ved behov, enten av medisinskfaglige eller sikkerhetsmessige årsaker.</w:t>
      </w:r>
      <w:r>
        <w:t xml:space="preserve"> </w:t>
      </w:r>
      <w:r w:rsidR="00BA3C4B">
        <w:t xml:space="preserve">Til tross for utfordringer med utrygghet i vakt, jobber </w:t>
      </w:r>
      <w:r w:rsidR="005A6D3A">
        <w:t>fremdeles</w:t>
      </w:r>
      <w:r w:rsidR="00BA3C4B">
        <w:t xml:space="preserve"> mange leger alene i vakt</w:t>
      </w:r>
      <w:r w:rsidR="004F2BDF">
        <w:t xml:space="preserve">, uten annet personell </w:t>
      </w:r>
      <w:r w:rsidRPr="00001ECF">
        <w:t>til stede.</w:t>
      </w:r>
      <w:r w:rsidR="00E24AEC">
        <w:t xml:space="preserve"> Av hensyn til </w:t>
      </w:r>
      <w:r w:rsidRPr="00001ECF">
        <w:t>negativ</w:t>
      </w:r>
      <w:r w:rsidR="00CC6789">
        <w:t xml:space="preserve"> virkning på</w:t>
      </w:r>
      <w:r w:rsidRPr="00001ECF">
        <w:t xml:space="preserve"> rekrutter</w:t>
      </w:r>
      <w:r w:rsidR="00FE6ACA">
        <w:t>ing</w:t>
      </w:r>
      <w:r w:rsidR="001259FA">
        <w:t xml:space="preserve"> og </w:t>
      </w:r>
      <w:r w:rsidR="00FE6ACA">
        <w:t xml:space="preserve">å </w:t>
      </w:r>
      <w:r w:rsidR="001259FA">
        <w:t>beholde fastleger</w:t>
      </w:r>
      <w:r w:rsidR="00E24AEC">
        <w:t>, er ekspertutvalget av den oppfatning at det må vurderes tiltak for at lege og annet</w:t>
      </w:r>
      <w:r w:rsidR="00731EAE">
        <w:t xml:space="preserve"> helsepersonell </w:t>
      </w:r>
      <w:r w:rsidR="002D5AA1">
        <w:t>som hovedreg</w:t>
      </w:r>
      <w:r w:rsidR="00EF7AB1">
        <w:t>el</w:t>
      </w:r>
      <w:r w:rsidR="002D5AA1">
        <w:t xml:space="preserve"> </w:t>
      </w:r>
      <w:r w:rsidR="00E24AEC">
        <w:t xml:space="preserve">ikke jobber alene </w:t>
      </w:r>
      <w:r w:rsidR="00C06CF3">
        <w:t>i aktiv</w:t>
      </w:r>
      <w:r w:rsidR="00E24AEC">
        <w:t xml:space="preserve"> vakt, verken på legevaktkontoret eller ved utrykning.</w:t>
      </w:r>
      <w:r w:rsidR="00452C80">
        <w:t xml:space="preserve"> Dette er </w:t>
      </w:r>
      <w:r w:rsidR="00BB66D7">
        <w:t xml:space="preserve">på linje med </w:t>
      </w:r>
      <w:r w:rsidR="002A262F">
        <w:t xml:space="preserve">nye </w:t>
      </w:r>
      <w:r w:rsidR="00BB66D7">
        <w:t>an</w:t>
      </w:r>
      <w:r w:rsidR="002A262F">
        <w:t xml:space="preserve">befalinger gitt fra </w:t>
      </w:r>
      <w:r w:rsidR="002A262F">
        <w:lastRenderedPageBreak/>
        <w:t>Helsedirektoratet og partssammensatt arbeidsgruppe</w:t>
      </w:r>
      <w:r w:rsidR="00F361B7">
        <w:t xml:space="preserve">, samt </w:t>
      </w:r>
      <w:r w:rsidR="00192BAC">
        <w:rPr>
          <w:rFonts w:ascii="Calibri" w:hAnsi="Calibri" w:cs="Calibri"/>
          <w:color w:val="000000"/>
        </w:rPr>
        <w:t>Helsedirektoratets veileder for legevakt og legevaktsentral</w:t>
      </w:r>
      <w:r w:rsidR="00192BAC" w:rsidRPr="5EC840A4">
        <w:rPr>
          <w:rFonts w:ascii="Calibri" w:hAnsi="Calibri" w:cs="Calibri"/>
          <w:color w:val="000000" w:themeColor="text1"/>
        </w:rPr>
        <w:t xml:space="preserve"> </w:t>
      </w:r>
      <w:r w:rsidR="001F2003">
        <w:rPr>
          <w:rFonts w:ascii="Calibri" w:hAnsi="Calibri" w:cs="Calibri"/>
          <w:color w:val="000000" w:themeColor="text1"/>
        </w:rPr>
        <w:fldChar w:fldCharType="begin"/>
      </w:r>
      <w:r w:rsidR="00235862">
        <w:rPr>
          <w:rFonts w:ascii="Calibri" w:hAnsi="Calibri" w:cs="Calibri"/>
          <w:color w:val="000000" w:themeColor="text1"/>
        </w:rPr>
        <w:instrText xml:space="preserve"> ADDIN EN.CITE &lt;EndNote&gt;&lt;Cite&gt;&lt;Author&gt;Helsedirektoratet&lt;/Author&gt;&lt;Year&gt;2020&lt;/Year&gt;&lt;RecNum&gt;514&lt;/RecNum&gt;&lt;DisplayText&gt;(Helsedirektoratet, 2020c)&lt;/DisplayText&gt;&lt;record&gt;&lt;rec-number&gt;514&lt;/rec-number&gt;&lt;foreign-keys&gt;&lt;key app="EN" db-id="95tpr2tp6r9xwoea9rb5wdsz5ds5xeddteew" timestamp="1680069511"&gt;514&lt;/key&gt;&lt;/foreign-keys&gt;&lt;ref-type name="Web Page"&gt;12&lt;/ref-type&gt;&lt;contributors&gt;&lt;authors&gt;&lt;author&gt;Helsedirektoratet&lt;/author&gt;&lt;/authors&gt;&lt;/contributors&gt;&lt;titles&gt;&lt;title&gt;Nasjonal veileder for legevakt og legevaktsentral&lt;/title&gt;&lt;/titles&gt;&lt;number&gt;13.02.2023&lt;/number&gt;&lt;dates&gt;&lt;year&gt;2020&lt;/year&gt;&lt;pub-dates&gt;&lt;date&gt;28.02.2020&lt;/date&gt;&lt;/pub-dates&gt;&lt;/dates&gt;&lt;pub-location&gt;Oslo&lt;/pub-location&gt;&lt;publisher&gt;Helsedirektoratet&lt;/publisher&gt;&lt;work-type&gt;nettdokument&lt;/work-type&gt;&lt;urls&gt;&lt;/urls&gt;&lt;/record&gt;&lt;/Cite&gt;&lt;/EndNote&gt;</w:instrText>
      </w:r>
      <w:r w:rsidR="001F2003">
        <w:rPr>
          <w:rFonts w:ascii="Calibri" w:hAnsi="Calibri" w:cs="Calibri"/>
          <w:color w:val="000000" w:themeColor="text1"/>
        </w:rPr>
        <w:fldChar w:fldCharType="separate"/>
      </w:r>
      <w:r w:rsidR="001F5F05">
        <w:rPr>
          <w:rFonts w:ascii="Calibri" w:hAnsi="Calibri" w:cs="Calibri"/>
          <w:noProof/>
          <w:color w:val="000000" w:themeColor="text1"/>
        </w:rPr>
        <w:t>(Helsedirektoratet, 2020c)</w:t>
      </w:r>
      <w:r w:rsidR="001F2003">
        <w:rPr>
          <w:rFonts w:ascii="Calibri" w:hAnsi="Calibri" w:cs="Calibri"/>
          <w:color w:val="000000" w:themeColor="text1"/>
        </w:rPr>
        <w:fldChar w:fldCharType="end"/>
      </w:r>
      <w:r w:rsidR="00533FA7">
        <w:rPr>
          <w:rFonts w:ascii="Calibri" w:hAnsi="Calibri" w:cs="Calibri"/>
          <w:color w:val="000000" w:themeColor="text1"/>
        </w:rPr>
        <w:t>.</w:t>
      </w:r>
    </w:p>
    <w:p w14:paraId="59AD86FF" w14:textId="77777777" w:rsidR="00D9107F" w:rsidRDefault="006D4DE7" w:rsidP="00735DDA">
      <w:pPr>
        <w:jc w:val="both"/>
      </w:pPr>
      <w:r>
        <w:t>Selv ved samlokalisering og samarbeidsavtaler med andre døgnkontinuerlige tjenester</w:t>
      </w:r>
      <w:r w:rsidRPr="00001ECF">
        <w:t xml:space="preserve"> </w:t>
      </w:r>
      <w:r>
        <w:t>kan det</w:t>
      </w:r>
      <w:r w:rsidRPr="00001ECF">
        <w:t xml:space="preserve"> være krevende fo</w:t>
      </w:r>
      <w:r>
        <w:t>r</w:t>
      </w:r>
      <w:r w:rsidRPr="00001ECF">
        <w:t xml:space="preserve"> kommuner å sørge for at personell i legevakt aldri er alene ved konsultasjon i vaktlokalet, ved utrykning og hjemmebesøk. Det er også relevant å spørre hva som skiller arbeidet på legevakt fra andre tjenester, som hjemmesykepleie, vektere og andre som jobber alene under forhold som kan være uforutsigbare. </w:t>
      </w:r>
      <w:r w:rsidR="00FE6ACA">
        <w:t>B</w:t>
      </w:r>
      <w:r w:rsidRPr="00FE6ACA">
        <w:t xml:space="preserve">emanning </w:t>
      </w:r>
      <w:r w:rsidR="00FE6ACA">
        <w:t>av legevakt</w:t>
      </w:r>
      <w:r>
        <w:t xml:space="preserve"> </w:t>
      </w:r>
      <w:r w:rsidRPr="00FE6ACA">
        <w:t xml:space="preserve">med sykepleier eller annet helsepersonell </w:t>
      </w:r>
      <w:r w:rsidR="00D734D6">
        <w:t>og desentraliserte akuttilbud</w:t>
      </w:r>
      <w:r w:rsidRPr="00FE6ACA">
        <w:t xml:space="preserve"> kan </w:t>
      </w:r>
      <w:r w:rsidR="006A5DAC">
        <w:t>også</w:t>
      </w:r>
      <w:r w:rsidRPr="00FE6ACA">
        <w:t xml:space="preserve"> gi fordyrende drift for kommunene.</w:t>
      </w:r>
    </w:p>
    <w:p w14:paraId="14C16BBF" w14:textId="77777777" w:rsidR="00D9107F" w:rsidRDefault="006D4DE7" w:rsidP="00735DDA">
      <w:pPr>
        <w:jc w:val="both"/>
      </w:pPr>
      <w:r w:rsidRPr="00001ECF">
        <w:t>Ekspertutvalget mener at det er stort potensiale for bruk av personell på tvers av tjenester. Det forutsetter i midlertidig god opplæring og jevnlig praksis i aktuell tjeneste for å gi personellet tilstrekkelig trygghet. Dette krever ledelsesforankring, og behov for å se på de samlede personellressursene i den kommunale helse- og omsorgstjenesten</w:t>
      </w:r>
      <w:r w:rsidR="00C06CF3">
        <w:t xml:space="preserve"> under ett</w:t>
      </w:r>
      <w:r w:rsidRPr="00001ECF">
        <w:t xml:space="preserve">. Ekspertutvalget mener også at samlokalisering mellom legevakt/legevaktssatelitt og andre kommunale helse- og omsorgstjenester bør være førende for plassering av tjenestetilbud, for å </w:t>
      </w:r>
      <w:r w:rsidR="00D66CA5">
        <w:t>fram</w:t>
      </w:r>
      <w:r w:rsidRPr="00001ECF">
        <w:t>me god utnyttelse av personellressurser.</w:t>
      </w:r>
    </w:p>
    <w:p w14:paraId="55F854A0" w14:textId="7120DCBE" w:rsidR="00CA575F" w:rsidRDefault="00FA0E52" w:rsidP="00735DDA">
      <w:pPr>
        <w:jc w:val="both"/>
      </w:pPr>
      <w:r w:rsidRPr="24F387FE">
        <w:t>Ekspertutvalget</w:t>
      </w:r>
      <w:r>
        <w:t xml:space="preserve"> </w:t>
      </w:r>
      <w:r w:rsidRPr="24F387FE">
        <w:t xml:space="preserve">anbefaler </w:t>
      </w:r>
      <w:r w:rsidR="0043648F" w:rsidRPr="24F387FE">
        <w:t xml:space="preserve">at </w:t>
      </w:r>
      <w:r w:rsidR="00334AF7">
        <w:t>lege</w:t>
      </w:r>
      <w:r w:rsidR="0043648F" w:rsidRPr="24F387FE">
        <w:t xml:space="preserve"> i legevakt </w:t>
      </w:r>
      <w:r w:rsidRPr="24F387FE">
        <w:t xml:space="preserve">som hovedregel ikke </w:t>
      </w:r>
      <w:r w:rsidR="00C06CF3">
        <w:t>skal måtte</w:t>
      </w:r>
      <w:r w:rsidR="00AF0E0D" w:rsidRPr="24F387FE">
        <w:t xml:space="preserve"> </w:t>
      </w:r>
      <w:r w:rsidR="00C06CF3">
        <w:t>være</w:t>
      </w:r>
      <w:r w:rsidR="00AF0E0D" w:rsidRPr="24F387FE">
        <w:t xml:space="preserve"> alene</w:t>
      </w:r>
      <w:r w:rsidR="00C06CF3">
        <w:t xml:space="preserve"> i</w:t>
      </w:r>
      <w:r w:rsidR="00AF0E0D" w:rsidRPr="24F387FE">
        <w:t xml:space="preserve"> aktiv vakt, og at </w:t>
      </w:r>
      <w:r w:rsidR="00AF0E0D">
        <w:rPr>
          <w:color w:val="000000" w:themeColor="text1"/>
        </w:rPr>
        <w:t>k</w:t>
      </w:r>
      <w:r w:rsidR="00AF0E0D" w:rsidRPr="00941914">
        <w:rPr>
          <w:color w:val="000000" w:themeColor="text1"/>
        </w:rPr>
        <w:t>ommunene bør vurdere hvordan annet personell kan bistå ansatte på lege</w:t>
      </w:r>
      <w:r w:rsidR="00AF0E0D">
        <w:rPr>
          <w:color w:val="000000" w:themeColor="text1"/>
        </w:rPr>
        <w:t>vakt når det er behov for det.</w:t>
      </w:r>
    </w:p>
    <w:p w14:paraId="0BA295A5" w14:textId="77777777" w:rsidR="00D9107F" w:rsidRDefault="0022435F" w:rsidP="00775632">
      <w:pPr>
        <w:pStyle w:val="Overskrift3"/>
      </w:pPr>
      <w:bookmarkStart w:id="4592" w:name="_Toc129596285"/>
      <w:bookmarkStart w:id="4593" w:name="_Toc130763926"/>
      <w:bookmarkStart w:id="4594" w:name="_Toc130766821"/>
      <w:bookmarkStart w:id="4595" w:name="_Toc130932220"/>
      <w:bookmarkStart w:id="4596" w:name="_Toc130934511"/>
      <w:bookmarkStart w:id="4597" w:name="_Toc130983649"/>
      <w:bookmarkStart w:id="4598" w:name="_Toc130983998"/>
      <w:bookmarkStart w:id="4599" w:name="_Toc131062262"/>
      <w:bookmarkStart w:id="4600" w:name="_Toc131062516"/>
      <w:bookmarkStart w:id="4601" w:name="_Toc131062777"/>
      <w:bookmarkStart w:id="4602" w:name="_Toc131063030"/>
      <w:bookmarkStart w:id="4603" w:name="_Toc131063813"/>
      <w:bookmarkStart w:id="4604" w:name="_Toc131064224"/>
      <w:bookmarkStart w:id="4605" w:name="_Toc131238556"/>
      <w:bookmarkStart w:id="4606" w:name="_Toc131279594"/>
      <w:bookmarkStart w:id="4607" w:name="_Toc131287006"/>
      <w:bookmarkStart w:id="4608" w:name="_Toc131281416"/>
      <w:bookmarkStart w:id="4609" w:name="_Toc131317956"/>
      <w:bookmarkStart w:id="4610" w:name="_Toc132537060"/>
      <w:r>
        <w:t>Deling av personell og samhandling i den akuttmedisinske kjede</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10CBD0A7" w14:textId="5B4F48A4" w:rsidR="00E57D0B" w:rsidRDefault="00E57D0B" w:rsidP="00735DDA">
      <w:pPr>
        <w:jc w:val="both"/>
        <w:rPr>
          <w:rFonts w:eastAsiaTheme="minorEastAsia"/>
          <w:color w:val="000000" w:themeColor="text1"/>
        </w:rPr>
      </w:pPr>
      <w:r>
        <w:t>Ekspertutvalget mener at d</w:t>
      </w:r>
      <w:r w:rsidRPr="53BE6DC9">
        <w:t>et er nødvendig å forstå den akuttmedisinske kjeden i sammenheng</w:t>
      </w:r>
      <w:r>
        <w:t>. Det er også nødvendig med mer samarbeid på tvers av forvaltningsnivåene i prehospital tjeneste</w:t>
      </w:r>
      <w:r w:rsidR="00C06CF3">
        <w:t>,</w:t>
      </w:r>
      <w:r>
        <w:t xml:space="preserve"> for å løse oppdraget om beredskap, på linje med Akuttutvalgets utredning i 2015</w:t>
      </w:r>
      <w:r w:rsidRPr="53BE6DC9">
        <w:t>.</w:t>
      </w:r>
      <w:r>
        <w:t xml:space="preserve"> Utredningen pekte på at kommuner og helseforetak bør utvikle en felles arena for planlegging av ressursbruk, dimensjonering og lokalisering i tjenestene</w:t>
      </w:r>
      <w:r w:rsidR="4E557AC1">
        <w:t xml:space="preserve"> </w:t>
      </w:r>
      <w:r w:rsidR="009155E3">
        <w:fldChar w:fldCharType="begin"/>
      </w:r>
      <w:r w:rsidR="009155E3">
        <w:instrText xml:space="preserve"> ADDIN EN.CITE &lt;EndNote&gt;&lt;Cite&gt;&lt;Author&gt;Helse- og omsorgsdepartementet&lt;/Author&gt;&lt;Year&gt;2015&lt;/Year&gt;&lt;RecNum&gt;285&lt;/RecNum&gt;&lt;DisplayText&gt;(Helse- og omsorgsdepartementet, 2015b)&lt;/DisplayText&gt;&lt;record&gt;&lt;rec-number&gt;285&lt;/rec-number&gt;&lt;foreign-keys&gt;&lt;key app="EN" db-id="95tpr2tp6r9xwoea9rb5wdsz5ds5xeddteew" timestamp="1680069511"&gt;285&lt;/key&gt;&lt;/foreign-keys&gt;&lt;ref-type name="Report"&gt;27&lt;/ref-type&gt;&lt;contributors&gt;&lt;authors&gt;&lt;author&gt;Helse- og omsorgsdepartementet,&lt;/author&gt;&lt;/authors&gt;&lt;/contributors&gt;&lt;titles&gt;&lt;title&gt;NOU 2015:17. Først og fremst. Et helhetlig system for håndtering av akutte sykdommer og skader utenfor sykehus&lt;/title&gt;&lt;/titles&gt;&lt;dates&gt;&lt;year&gt;2015&lt;/year&gt;&lt;/dates&gt;&lt;pub-location&gt;Oslo&lt;/pub-location&gt;&lt;publisher&gt;Helse- og omsorgsdepartementet,&lt;/publisher&gt;&lt;urls&gt;&lt;/urls&gt;&lt;/record&gt;&lt;/Cite&gt;&lt;/EndNote&gt;</w:instrText>
      </w:r>
      <w:r w:rsidR="009155E3">
        <w:fldChar w:fldCharType="separate"/>
      </w:r>
      <w:r w:rsidR="009155E3">
        <w:rPr>
          <w:noProof/>
        </w:rPr>
        <w:t>(Helse- og omsorgsdepartementet, 2015b)</w:t>
      </w:r>
      <w:r w:rsidR="009155E3">
        <w:fldChar w:fldCharType="end"/>
      </w:r>
      <w:r w:rsidR="00A02431">
        <w:t>.</w:t>
      </w:r>
    </w:p>
    <w:p w14:paraId="0186B816" w14:textId="6AF51D3D" w:rsidR="0022435F" w:rsidRDefault="0022435F" w:rsidP="00735DDA">
      <w:pPr>
        <w:jc w:val="both"/>
        <w:rPr>
          <w:rFonts w:eastAsiaTheme="minorEastAsia"/>
          <w:color w:val="000000" w:themeColor="text1"/>
        </w:rPr>
      </w:pPr>
      <w:r w:rsidRPr="5A353FDD">
        <w:rPr>
          <w:rFonts w:eastAsiaTheme="minorEastAsia"/>
          <w:color w:val="000000" w:themeColor="text1"/>
        </w:rPr>
        <w:t>Det er potensiale for å utnytte personellressursene i beredskapstjenester i andre deler av den akuttmedisinske kjede, og dette er særlig aktuelt for ambulansetjenesten. En stor andel av ambulansetjenesten består av beredskap og mange steder utgjør aktiv tid på oppdrag mindre enn 10 prosent av arbeidstiden</w:t>
      </w:r>
      <w:r w:rsidR="2748DD6B" w:rsidRPr="754E5B01">
        <w:rPr>
          <w:rFonts w:eastAsiaTheme="minorEastAsia"/>
          <w:color w:val="000000" w:themeColor="text1"/>
        </w:rPr>
        <w:t xml:space="preserve"> </w:t>
      </w:r>
      <w:r w:rsidR="001F2003">
        <w:rPr>
          <w:rFonts w:eastAsiaTheme="minorEastAsia"/>
          <w:color w:val="000000" w:themeColor="text1"/>
        </w:rPr>
        <w:fldChar w:fldCharType="begin"/>
      </w:r>
      <w:r w:rsidR="00A27571">
        <w:rPr>
          <w:rFonts w:eastAsiaTheme="minorEastAsia"/>
          <w:color w:val="000000" w:themeColor="text1"/>
        </w:rPr>
        <w:instrText xml:space="preserve"> ADDIN EN.CITE &lt;EndNote&gt;&lt;Cite&gt;&lt;Author&gt;Gjøsund&lt;/Author&gt;&lt;Year&gt;2020&lt;/Year&gt;&lt;RecNum&gt;431&lt;/RecNum&gt;&lt;DisplayText&gt;(Gjøsund et al., 2020)&lt;/DisplayText&gt;&lt;record&gt;&lt;rec-number&gt;431&lt;/rec-number&gt;&lt;foreign-keys&gt;&lt;key app="EN" db-id="95tpr2tp6r9xwoea9rb5wdsz5ds5xeddteew" timestamp="1680069511"&gt;431&lt;/key&gt;&lt;/foreign-keys&gt;&lt;ref-type name="Report"&gt;27&lt;/ref-type&gt;&lt;contributors&gt;&lt;authors&gt;&lt;author&gt;Gjøsund, G.,&lt;/author&gt;&lt;author&gt;Tilset, H. D.&lt;/author&gt;&lt;/authors&gt;&lt;/contributors&gt;&lt;titles&gt;&lt;title&gt;Kvalitativ evaluering av Rørosprosjektet - en mobil integrert helsetjeneste&lt;/title&gt;&lt;/titles&gt;&lt;dates&gt;&lt;year&gt;2020&lt;/year&gt;&lt;/dates&gt;&lt;pub-location&gt;Trondheim&lt;/pub-location&gt;&lt;publisher&gt;NTNU Samfunnsforskning&lt;/publisher&gt;&lt;urls&gt;&lt;/urls&gt;&lt;/record&gt;&lt;/Cite&gt;&lt;/EndNote&gt;</w:instrText>
      </w:r>
      <w:r w:rsidR="001F2003">
        <w:rPr>
          <w:rFonts w:eastAsiaTheme="minorEastAsia"/>
          <w:color w:val="000000" w:themeColor="text1"/>
        </w:rPr>
        <w:fldChar w:fldCharType="separate"/>
      </w:r>
      <w:r w:rsidR="00856689">
        <w:rPr>
          <w:rFonts w:eastAsiaTheme="minorEastAsia"/>
          <w:noProof/>
          <w:color w:val="000000" w:themeColor="text1"/>
        </w:rPr>
        <w:t>(Gjøsund et al., 2020)</w:t>
      </w:r>
      <w:r w:rsidR="001F2003">
        <w:rPr>
          <w:rFonts w:eastAsiaTheme="minorEastAsia"/>
          <w:color w:val="000000" w:themeColor="text1"/>
        </w:rPr>
        <w:fldChar w:fldCharType="end"/>
      </w:r>
      <w:r w:rsidR="00A02431">
        <w:rPr>
          <w:rFonts w:eastAsiaTheme="minorEastAsia"/>
          <w:color w:val="000000" w:themeColor="text1"/>
        </w:rPr>
        <w:t>.</w:t>
      </w:r>
      <w:r w:rsidRPr="5A353FDD">
        <w:rPr>
          <w:rFonts w:eastAsiaTheme="minorEastAsia"/>
          <w:color w:val="000000" w:themeColor="text1"/>
        </w:rPr>
        <w:t xml:space="preserve"> Ambulansemedarbeidere kan bidra inn i arbeid på legevakten og ved utrykning, som beskrevet i Rørosprosjektet.</w:t>
      </w:r>
    </w:p>
    <w:p w14:paraId="7421B95A" w14:textId="5A655545" w:rsidR="008064E4" w:rsidRDefault="000B7424" w:rsidP="00735DDA">
      <w:pPr>
        <w:jc w:val="both"/>
        <w:rPr>
          <w:rFonts w:eastAsiaTheme="minorEastAsia"/>
          <w:color w:val="000000" w:themeColor="text1"/>
        </w:rPr>
      </w:pPr>
      <w:r>
        <w:rPr>
          <w:rFonts w:eastAsiaTheme="minorEastAsia"/>
          <w:color w:val="000000" w:themeColor="text1"/>
        </w:rPr>
        <w:t>S</w:t>
      </w:r>
      <w:r w:rsidR="007255A8">
        <w:rPr>
          <w:rFonts w:eastAsiaTheme="minorEastAsia"/>
          <w:color w:val="000000" w:themeColor="text1"/>
        </w:rPr>
        <w:t xml:space="preserve">amarbeid </w:t>
      </w:r>
      <w:r w:rsidR="00477D68">
        <w:rPr>
          <w:rFonts w:eastAsiaTheme="minorEastAsia"/>
          <w:color w:val="000000" w:themeColor="text1"/>
        </w:rPr>
        <w:t>og tilstedeværelse</w:t>
      </w:r>
      <w:r w:rsidR="00210F2B">
        <w:rPr>
          <w:rFonts w:eastAsiaTheme="minorEastAsia"/>
          <w:color w:val="000000" w:themeColor="text1"/>
        </w:rPr>
        <w:t xml:space="preserve"> av</w:t>
      </w:r>
      <w:r>
        <w:rPr>
          <w:rFonts w:eastAsiaTheme="minorEastAsia"/>
          <w:color w:val="000000" w:themeColor="text1"/>
        </w:rPr>
        <w:t xml:space="preserve"> ambulansemedarbeidere </w:t>
      </w:r>
      <w:r w:rsidR="007255A8">
        <w:rPr>
          <w:rFonts w:eastAsiaTheme="minorEastAsia"/>
          <w:color w:val="000000" w:themeColor="text1"/>
        </w:rPr>
        <w:t>kan slik</w:t>
      </w:r>
      <w:r>
        <w:rPr>
          <w:rFonts w:eastAsiaTheme="minorEastAsia"/>
          <w:color w:val="000000" w:themeColor="text1"/>
        </w:rPr>
        <w:t xml:space="preserve"> </w:t>
      </w:r>
      <w:r w:rsidR="00977B35">
        <w:rPr>
          <w:rFonts w:eastAsiaTheme="minorEastAsia"/>
          <w:color w:val="000000" w:themeColor="text1"/>
        </w:rPr>
        <w:t>direkte avlaste lege på vakt</w:t>
      </w:r>
      <w:r w:rsidR="004D5901">
        <w:rPr>
          <w:rFonts w:eastAsiaTheme="minorEastAsia"/>
          <w:color w:val="000000" w:themeColor="text1"/>
        </w:rPr>
        <w:t>.</w:t>
      </w:r>
      <w:r w:rsidR="00AF3BCE">
        <w:rPr>
          <w:rFonts w:eastAsiaTheme="minorEastAsia"/>
          <w:color w:val="000000" w:themeColor="text1"/>
        </w:rPr>
        <w:t xml:space="preserve"> </w:t>
      </w:r>
      <w:r w:rsidR="008064E4">
        <w:rPr>
          <w:rFonts w:eastAsiaTheme="minorEastAsia"/>
          <w:color w:val="000000" w:themeColor="text1"/>
        </w:rPr>
        <w:t xml:space="preserve">Ambulansemedarbeiders kompetanseheving kan føre til raskere vurdering og bedre håndtering i utrykninger hvor lege ikke er til stede Det kan også </w:t>
      </w:r>
      <w:r w:rsidR="006D557B">
        <w:rPr>
          <w:rFonts w:eastAsiaTheme="minorEastAsia"/>
          <w:color w:val="000000" w:themeColor="text1"/>
        </w:rPr>
        <w:t xml:space="preserve">gi økt trygghet og sikkerhet for lege i akuttmedisinske situasjoner. For uerfarne leger og leger som sjelden har legevakt, kan kompetansehevingen i akuttmedisin gi økt trygghet og mindre stress, og bidra til å redusere </w:t>
      </w:r>
      <w:r w:rsidR="006D557B">
        <w:rPr>
          <w:rFonts w:eastAsiaTheme="minorEastAsia"/>
          <w:color w:val="000000" w:themeColor="text1"/>
        </w:rPr>
        <w:lastRenderedPageBreak/>
        <w:t>belastningen ved å ha vakt. I tillegg slipper lege å rykke ut alene store deler av døgnet. Alternativt kan annet personell rykke ut med ambulansemedarbeider i stedet for lege. Ekspertutvalget vurderer at slike ordninger også kan ha en stabiliserende virkning for fastlegeordningen, spesielt i mindre sentrale strøk hvor lege vanligvis er alene på vakt, uten annet personell tilgjengelig.</w:t>
      </w:r>
    </w:p>
    <w:p w14:paraId="5D741A8E" w14:textId="77777777" w:rsidR="00D9107F" w:rsidRDefault="006D557B" w:rsidP="00735DDA">
      <w:pPr>
        <w:jc w:val="both"/>
      </w:pPr>
      <w:r>
        <w:t xml:space="preserve">Etter hva ekspertutvalget erfarer, bør det ikke </w:t>
      </w:r>
      <w:r w:rsidRPr="00EF702C">
        <w:rPr>
          <w:rFonts w:cstheme="minorHAnsi"/>
        </w:rPr>
        <w:t xml:space="preserve">være noen hindringer for å gjennomføre liknende </w:t>
      </w:r>
      <w:r>
        <w:rPr>
          <w:rFonts w:cstheme="minorHAnsi"/>
        </w:rPr>
        <w:t>samarbeid mellom ambulansetjenesten og kommuner</w:t>
      </w:r>
      <w:r w:rsidRPr="00EF702C">
        <w:rPr>
          <w:rFonts w:cstheme="minorHAnsi"/>
        </w:rPr>
        <w:t xml:space="preserve"> </w:t>
      </w:r>
      <w:r>
        <w:rPr>
          <w:rFonts w:cstheme="minorHAnsi"/>
        </w:rPr>
        <w:t>som i Rørosprosjektet,</w:t>
      </w:r>
      <w:r w:rsidRPr="00EF702C">
        <w:rPr>
          <w:rFonts w:cstheme="minorHAnsi"/>
        </w:rPr>
        <w:t xml:space="preserve"> </w:t>
      </w:r>
      <w:r>
        <w:rPr>
          <w:rFonts w:cstheme="minorHAnsi"/>
        </w:rPr>
        <w:t xml:space="preserve">også </w:t>
      </w:r>
      <w:r w:rsidRPr="00EF702C">
        <w:rPr>
          <w:rFonts w:cstheme="minorHAnsi"/>
        </w:rPr>
        <w:t>andre steder.</w:t>
      </w:r>
      <w:r>
        <w:rPr>
          <w:rFonts w:cstheme="minorHAnsi"/>
        </w:rPr>
        <w:t xml:space="preserve"> Det er ingen barrierer i lovverket for en slik ordning og samarbeidet kan utføres innenfor dagens avtaler og rammer. Imidlertid er ulike finansieringsordninger for legevakt og ambulanse en sentral barriere for samarbeid. Tett samhandling og etablert samarbeid mellom kommunen og helseforetaket har bidratt til håndtering av finansieringen og gjennomføring av ordningen. Ved at helseforetaket har overført midlene som tidligere ble brukt til en ambulanseressurs, har det ikke medført ekstra kostnader for noen av de involverte. Flere steder i landet er tilsvarende oppgavedeling og deling av personellressurser aktuelt. Helsedirektoratet ønsker å fronte modellen for at andre kommuner som ønsker det, kan ta den i bruk. Deres vurdering er at modellen er interessant over hele landet. </w:t>
      </w:r>
      <w:r w:rsidRPr="5E64DA93">
        <w:t>Ekspertutvalget anbefaler at Helsedirektoratet sørger for spredning av informasjon om lokale forsøksordninger med gode erfaringer.</w:t>
      </w:r>
    </w:p>
    <w:p w14:paraId="08F0DE2A" w14:textId="77777777" w:rsidR="00D9107F" w:rsidRDefault="0022435F" w:rsidP="00735DDA">
      <w:pPr>
        <w:jc w:val="both"/>
      </w:pPr>
      <w:r>
        <w:rPr>
          <w:rFonts w:cstheme="minorHAnsi"/>
        </w:rPr>
        <w:t xml:space="preserve">For at legeressursene skal </w:t>
      </w:r>
      <w:r w:rsidR="006D557B">
        <w:rPr>
          <w:rFonts w:cstheme="minorHAnsi"/>
        </w:rPr>
        <w:t>benyttes</w:t>
      </w:r>
      <w:r>
        <w:rPr>
          <w:rFonts w:cstheme="minorHAnsi"/>
        </w:rPr>
        <w:t xml:space="preserve"> effektivt og brukes der de har mest nytte</w:t>
      </w:r>
      <w:r w:rsidR="006D557B">
        <w:rPr>
          <w:rFonts w:cstheme="minorHAnsi"/>
        </w:rPr>
        <w:t>,</w:t>
      </w:r>
      <w:r>
        <w:rPr>
          <w:rFonts w:cstheme="minorHAnsi"/>
        </w:rPr>
        <w:t xml:space="preserve"> </w:t>
      </w:r>
      <w:r w:rsidR="00B61471">
        <w:rPr>
          <w:rFonts w:cstheme="minorHAnsi"/>
        </w:rPr>
        <w:t>mener ekspertutvalget</w:t>
      </w:r>
      <w:r>
        <w:rPr>
          <w:rFonts w:cstheme="minorHAnsi"/>
        </w:rPr>
        <w:t xml:space="preserve"> det </w:t>
      </w:r>
      <w:r w:rsidR="003B771F">
        <w:rPr>
          <w:rFonts w:cstheme="minorHAnsi"/>
        </w:rPr>
        <w:t>er</w:t>
      </w:r>
      <w:r>
        <w:rPr>
          <w:rFonts w:cstheme="minorHAnsi"/>
        </w:rPr>
        <w:t xml:space="preserve"> behov for en s</w:t>
      </w:r>
      <w:r w:rsidRPr="00182FDF">
        <w:rPr>
          <w:rFonts w:cstheme="minorHAnsi"/>
        </w:rPr>
        <w:t>amordning av legetjeneste</w:t>
      </w:r>
      <w:r>
        <w:rPr>
          <w:rFonts w:cstheme="minorHAnsi"/>
        </w:rPr>
        <w:t>ne</w:t>
      </w:r>
      <w:r w:rsidRPr="00182FDF">
        <w:rPr>
          <w:rFonts w:cstheme="minorHAnsi"/>
        </w:rPr>
        <w:t xml:space="preserve"> i den akuttmedisinske kjeden</w:t>
      </w:r>
      <w:r>
        <w:rPr>
          <w:rFonts w:cstheme="minorHAnsi"/>
        </w:rPr>
        <w:t>.</w:t>
      </w:r>
      <w:r w:rsidRPr="00182FDF">
        <w:rPr>
          <w:rFonts w:cstheme="minorHAnsi"/>
        </w:rPr>
        <w:t xml:space="preserve"> </w:t>
      </w:r>
      <w:r>
        <w:rPr>
          <w:rFonts w:cstheme="minorHAnsi"/>
        </w:rPr>
        <w:t>Dette er svært krevende i nåværende situasjon</w:t>
      </w:r>
      <w:r w:rsidR="00C06CF3">
        <w:rPr>
          <w:rFonts w:cstheme="minorHAnsi"/>
        </w:rPr>
        <w:t>,</w:t>
      </w:r>
      <w:r>
        <w:rPr>
          <w:rFonts w:cstheme="minorHAnsi"/>
        </w:rPr>
        <w:t xml:space="preserve"> med to forvaltningsnivå og finansieringsordninger.</w:t>
      </w:r>
      <w:r w:rsidR="006D557B">
        <w:rPr>
          <w:rFonts w:cstheme="minorHAnsi"/>
        </w:rPr>
        <w:t xml:space="preserve"> Dette kan tale for</w:t>
      </w:r>
      <w:r>
        <w:t xml:space="preserve"> å samle den a</w:t>
      </w:r>
      <w:r w:rsidRPr="53BE6DC9">
        <w:t>kuttmedisinske kjeden på et</w:t>
      </w:r>
      <w:r>
        <w:t>t</w:t>
      </w:r>
      <w:r w:rsidRPr="53BE6DC9">
        <w:t xml:space="preserve"> forvaltningsnivå, </w:t>
      </w:r>
      <w:r>
        <w:t>med</w:t>
      </w:r>
      <w:r w:rsidRPr="53BE6DC9">
        <w:t xml:space="preserve"> en samlet offentlig finansiering.</w:t>
      </w:r>
      <w:r>
        <w:t xml:space="preserve"> </w:t>
      </w:r>
      <w:r w:rsidR="006D557B">
        <w:t>Det</w:t>
      </w:r>
      <w:r w:rsidR="00BE2119">
        <w:t xml:space="preserve"> er på linje med Helsepersonellkommisjonens forslag</w:t>
      </w:r>
      <w:r w:rsidR="005933AE">
        <w:t xml:space="preserve"> om å utrede </w:t>
      </w:r>
      <w:r w:rsidR="00F47D9F">
        <w:t>ett forvaltningsnivå for hele helse- og omsorgstjenesten</w:t>
      </w:r>
      <w:r w:rsidR="00BE2119">
        <w:t>.</w:t>
      </w:r>
    </w:p>
    <w:p w14:paraId="4F3128E8" w14:textId="4A2BAF4C" w:rsidR="0022435F" w:rsidRDefault="0022435F" w:rsidP="00735DDA">
      <w:pPr>
        <w:jc w:val="both"/>
      </w:pPr>
      <w:r>
        <w:t xml:space="preserve">En mulig løsning for å skape ett nivå for den akuttmedisinske tjenesten, kan være rammefinansiering av en samlet akuttmedisinsk kjede utenfor sykehus, inkludert legevakt, legevaktsentral, AMK og ambulansetjenesten. Det vil kunne gi en samlet ivaretagelse av og løsning for beredskap, felles insentiver for bruk av teknologi, og strukturer for vaktbelastning. </w:t>
      </w:r>
      <w:r>
        <w:rPr>
          <w:rFonts w:cstheme="minorHAnsi"/>
        </w:rPr>
        <w:t>Det vil også kunne gi en samordning av legetjenester i hele den akuttmedisinske kjeden.</w:t>
      </w:r>
    </w:p>
    <w:p w14:paraId="3DEFD029" w14:textId="77777777" w:rsidR="00D9107F" w:rsidRDefault="006D557B" w:rsidP="00735DDA">
      <w:pPr>
        <w:jc w:val="both"/>
      </w:pPr>
      <w:r>
        <w:t xml:space="preserve">Etter ekspertutvalgets syn, er det behov for å utrede alternativ organisering. Det ligger utenfor ekspertutvalgets mandat og rammer å utrede dette, og </w:t>
      </w:r>
      <w:r w:rsidR="00C06CF3">
        <w:t xml:space="preserve">utvalget </w:t>
      </w:r>
      <w:r>
        <w:t>viser derfor til stortingsmeldingen om prehospitale tjenester som er varslet å komme i 2024.</w:t>
      </w:r>
    </w:p>
    <w:p w14:paraId="63AA96BB" w14:textId="1B87A5C9" w:rsidR="0022435F" w:rsidRPr="008A1E8D" w:rsidRDefault="008F27D7" w:rsidP="008A1E8D">
      <w:r w:rsidRPr="008A1E8D">
        <w:t>Ekspertutvalget anbefaler statlig tilskudd/finansiering av samarbeidsordninger mellom forvaltningsnivåene i den prehospitale kjede</w:t>
      </w:r>
      <w:r w:rsidR="00C06CF3" w:rsidRPr="008A1E8D">
        <w:t>n</w:t>
      </w:r>
      <w:r w:rsidRPr="008A1E8D">
        <w:t>, for å fremme bedre ressursutnyttelse lokalt og tiltak for å stabilisere fastlegeordningen.</w:t>
      </w:r>
    </w:p>
    <w:p w14:paraId="1EAE0292" w14:textId="77777777" w:rsidR="0022435F" w:rsidRDefault="0022435F" w:rsidP="00775632">
      <w:pPr>
        <w:pStyle w:val="Overskrift3"/>
      </w:pPr>
      <w:bookmarkStart w:id="4611" w:name="_Toc130763927"/>
      <w:bookmarkStart w:id="4612" w:name="_Toc130766822"/>
      <w:bookmarkStart w:id="4613" w:name="_Toc130932221"/>
      <w:bookmarkStart w:id="4614" w:name="_Toc130934512"/>
      <w:bookmarkStart w:id="4615" w:name="_Toc130983650"/>
      <w:bookmarkStart w:id="4616" w:name="_Toc130983999"/>
      <w:bookmarkStart w:id="4617" w:name="_Toc131062263"/>
      <w:bookmarkStart w:id="4618" w:name="_Toc131062517"/>
      <w:bookmarkStart w:id="4619" w:name="_Toc131062778"/>
      <w:bookmarkStart w:id="4620" w:name="_Toc131063031"/>
      <w:bookmarkStart w:id="4621" w:name="_Toc131063814"/>
      <w:bookmarkStart w:id="4622" w:name="_Toc131064225"/>
      <w:bookmarkStart w:id="4623" w:name="_Toc131238557"/>
      <w:bookmarkStart w:id="4624" w:name="_Toc131279595"/>
      <w:bookmarkStart w:id="4625" w:name="_Toc131287007"/>
      <w:bookmarkStart w:id="4626" w:name="_Toc131281417"/>
      <w:bookmarkStart w:id="4627" w:name="_Toc131317957"/>
      <w:bookmarkStart w:id="4628" w:name="_Toc132537061"/>
      <w:r>
        <w:lastRenderedPageBreak/>
        <w:t>Reduksjon av pasienthenvendelser til legevakt</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14A56C0A" w14:textId="081EF7EB" w:rsidR="0022435F" w:rsidRPr="008A1E8D" w:rsidRDefault="0022435F" w:rsidP="00775632">
      <w:pPr>
        <w:pStyle w:val="Overskrift4"/>
      </w:pPr>
      <w:bookmarkStart w:id="4629" w:name="_Toc130983651"/>
      <w:bookmarkStart w:id="4630" w:name="_Toc130984000"/>
      <w:bookmarkStart w:id="4631" w:name="_Toc131238558"/>
      <w:bookmarkStart w:id="4632" w:name="_Toc131279596"/>
      <w:bookmarkStart w:id="4633" w:name="_Toc131287008"/>
      <w:bookmarkStart w:id="4634" w:name="_Toc131281418"/>
      <w:bookmarkStart w:id="4635" w:name="_Toc131317958"/>
      <w:r w:rsidRPr="008A1E8D">
        <w:t>Triage</w:t>
      </w:r>
      <w:r w:rsidR="003D3FC2" w:rsidRPr="008A1E8D">
        <w:t>ring</w:t>
      </w:r>
      <w:r w:rsidRPr="008A1E8D">
        <w:t xml:space="preserve"> i legevaktsentral og siling av kontakter til legevakt</w:t>
      </w:r>
      <w:bookmarkEnd w:id="4629"/>
      <w:bookmarkEnd w:id="4630"/>
      <w:bookmarkEnd w:id="4631"/>
      <w:bookmarkEnd w:id="4632"/>
      <w:bookmarkEnd w:id="4633"/>
      <w:bookmarkEnd w:id="4634"/>
      <w:bookmarkEnd w:id="4635"/>
    </w:p>
    <w:p w14:paraId="1DA6B61D" w14:textId="77777777" w:rsidR="00D9107F" w:rsidRDefault="00407E44" w:rsidP="00FB3696">
      <w:pPr>
        <w:jc w:val="both"/>
      </w:pPr>
      <w:r>
        <w:t>Allmennlegens arbeidstid i legevakt kan reduseres</w:t>
      </w:r>
      <w:r w:rsidR="00C06CF3">
        <w:t>,</w:t>
      </w:r>
      <w:r>
        <w:t xml:space="preserve"> om antallet pasienter til legevakt og behov for vurdering av lokal legevaktlege er mindre. Triagering i LVS er et sentralt verktøy for å justere belastningen på legevakt. Alle henvendelser til legevaktsentral triageres, hvor operatør </w:t>
      </w:r>
      <w:r w:rsidR="003116C1">
        <w:t>vurderer hastegrad</w:t>
      </w:r>
      <w:r>
        <w:t xml:space="preserve"> og prioriterer, inkludert vurderer behov for tilsyn av legevaktlege. Antall pasienter og oppmøte i legevakt kan begrenses ved at pasienter som vurderes til ikke å ha behov for akutt helsehjelp, ikke får tilbud om fysisk konsultasjon på legevakt.</w:t>
      </w:r>
    </w:p>
    <w:p w14:paraId="6A9D2BC9" w14:textId="34117AF4" w:rsidR="00407E44" w:rsidRPr="00614A03" w:rsidRDefault="00407E44" w:rsidP="00FB3696">
      <w:pPr>
        <w:jc w:val="both"/>
      </w:pPr>
      <w:r>
        <w:t>Det kan vurderes om LVS bør henvise færre pasienter ved lav hastegrad til vurdering på legevakt, sett i lys av at</w:t>
      </w:r>
      <w:r w:rsidRPr="5A353FDD">
        <w:t xml:space="preserve"> majoriteten av pasientkontaktene i legevakt er ikke-akutte tilstander</w:t>
      </w:r>
      <w:r>
        <w:t xml:space="preserve"> </w:t>
      </w:r>
      <w:r w:rsidR="001F2003">
        <w:fldChar w:fldCharType="begin"/>
      </w:r>
      <w:r w:rsidR="00A27571">
        <w:instrText xml:space="preserve"> ADDIN EN.CITE &lt;EndNote&gt;&lt;Cite&gt;&lt;Author&gt;Eikeland&lt;/Author&gt;&lt;Year&gt;2020&lt;/Year&gt;&lt;RecNum&gt;854&lt;/RecNum&gt;&lt;DisplayText&gt;(Eikeland et al., 2020)&lt;/DisplayText&gt;&lt;record&gt;&lt;rec-number&gt;854&lt;/rec-number&gt;&lt;foreign-keys&gt;&lt;key app="EN" db-id="95tpr2tp6r9xwoea9rb5wdsz5ds5xeddteew" timestamp="1680069511"&gt;854&lt;/key&gt;&lt;/foreign-keys&gt;&lt;ref-type name="Report"&gt;27&lt;/ref-type&gt;&lt;contributors&gt;&lt;authors&gt;&lt;author&gt;Eikeland, O.J.,&lt;/author&gt;&lt;author&gt;Fotland, S. L. S.,&lt;/author&gt;&lt;author&gt;Raknes, G.&lt;/author&gt;&lt;/authors&gt;&lt;/contributors&gt;&lt;titles&gt;&lt;title&gt;Vakttårnprosjektet - Epidemiologiske data frå legevakt. Samlerapport for 2019&lt;/title&gt;&lt;secondary-title&gt;Rapport&lt;/secondary-title&gt;&lt;/titles&gt;&lt;number&gt;2-2020&lt;/number&gt;&lt;dates&gt;&lt;year&gt;2020&lt;/year&gt;&lt;/dates&gt;&lt;pub-location&gt;Bergen&lt;/pub-location&gt;&lt;publisher&gt;Nasjonalt kompetansesenter for legevaktmedisin, NORCE Norwegian Research Centre&lt;/publisher&gt;&lt;urls&gt;&lt;/urls&gt;&lt;/record&gt;&lt;/Cite&gt;&lt;/EndNote&gt;</w:instrText>
      </w:r>
      <w:r w:rsidR="001F2003">
        <w:fldChar w:fldCharType="separate"/>
      </w:r>
      <w:r w:rsidR="001F2003">
        <w:rPr>
          <w:noProof/>
        </w:rPr>
        <w:t>(Eikeland et al., 2020)</w:t>
      </w:r>
      <w:r w:rsidR="001F2003">
        <w:fldChar w:fldCharType="end"/>
      </w:r>
      <w:r w:rsidR="0022435F" w:rsidRPr="5A353FDD">
        <w:t xml:space="preserve"> og det er anslått at i inntil 40 </w:t>
      </w:r>
      <w:r w:rsidR="007A721A">
        <w:t>prosent</w:t>
      </w:r>
      <w:r w:rsidR="0022435F" w:rsidRPr="5A353FDD">
        <w:t xml:space="preserve"> av konsultasjonene har pasienten en tilstand som kan håndteres selv eller tilsees av fastlege neste dag</w:t>
      </w:r>
      <w:r w:rsidR="001F2003">
        <w:t xml:space="preserve"> </w:t>
      </w:r>
      <w:r w:rsidR="001F2003">
        <w:fldChar w:fldCharType="begin"/>
      </w:r>
      <w:r w:rsidR="004654FD">
        <w:instrText xml:space="preserve"> ADDIN EN.CITE &lt;EndNote&gt;&lt;Cite&gt;&lt;Author&gt;Hermansen&lt;/Author&gt;&lt;Year&gt;2015&lt;/Year&gt;&lt;RecNum&gt;198&lt;/RecNum&gt;&lt;DisplayText&gt;(Hermansen et al., 2015)&lt;/DisplayText&gt;&lt;record&gt;&lt;rec-number&gt;198&lt;/rec-number&gt;&lt;foreign-keys&gt;&lt;key app="EN" db-id="95tpr2tp6r9xwoea9rb5wdsz5ds5xeddteew" timestamp="1680069511"&gt;198&lt;/key&gt;&lt;/foreign-keys&gt;&lt;ref-type name="Report"&gt;27&lt;/ref-type&gt;&lt;contributors&gt;&lt;authors&gt;&lt;author&gt;Hermansen, M.,&lt;/author&gt;&lt;author&gt;Halvorsen, I.,&lt;/author&gt;&lt;author&gt;Grimsgaard, C.,&lt;/author&gt;&lt;author&gt;Muruvik Vonen, L. E.,&lt;/author&gt;&lt;author&gt;Lind-Larsen, J. K.,&lt;/author&gt;&lt;author&gt;Landsnes, A. J.&lt;/author&gt;&lt;/authors&gt;&lt;/contributors&gt;&lt;titles&gt;&lt;title&gt;En legevakt for alle, men ikke for alt. Legeforeningens innspillsrapport for en bedre legevakt&lt;/title&gt;&lt;/titles&gt;&lt;number&gt;Statusrapport 2015&lt;/number&gt;&lt;dates&gt;&lt;year&gt;2015&lt;/year&gt;&lt;/dates&gt;&lt;pub-location&gt;Oslo&lt;/pub-location&gt;&lt;publisher&gt;Den norske legeforening&lt;/publisher&gt;&lt;urls&gt;&lt;/urls&gt;&lt;/record&gt;&lt;/Cite&gt;&lt;/EndNote&gt;</w:instrText>
      </w:r>
      <w:r w:rsidR="001F2003">
        <w:fldChar w:fldCharType="separate"/>
      </w:r>
      <w:r w:rsidR="001F2003">
        <w:rPr>
          <w:noProof/>
        </w:rPr>
        <w:t>(Hermansen et al., 2015)</w:t>
      </w:r>
      <w:r w:rsidR="001F2003">
        <w:fldChar w:fldCharType="end"/>
      </w:r>
      <w:r w:rsidRPr="00A02431">
        <w:t xml:space="preserve"> </w:t>
      </w:r>
      <w:r>
        <w:fldChar w:fldCharType="begin"/>
      </w:r>
      <w:r w:rsidR="00A27571">
        <w:instrText xml:space="preserve"> ADDIN EN.CITE &lt;EndNote&gt;&lt;Cite&gt;&lt;Author&gt;Welle-Nilsen&lt;/Author&gt;&lt;Year&gt;2009&lt;/Year&gt;&lt;RecNum&gt;35&lt;/RecNum&gt;&lt;DisplayText&gt;(Welle-Nilsen et al., 2009)&lt;/DisplayText&gt;&lt;record&gt;&lt;rec-number&gt;35&lt;/rec-number&gt;&lt;foreign-keys&gt;&lt;key app="EN" db-id="95tpr2tp6r9xwoea9rb5wdsz5ds5xeddteew" timestamp="1680069511"&gt;35&lt;/key&gt;&lt;/foreign-keys&gt;&lt;ref-type name="Report"&gt;27&lt;/ref-type&gt;&lt;contributors&gt;&lt;authors&gt;&lt;author&gt;Welle-Nilsen, L. K.,&lt;/author&gt;&lt;author&gt;Morken, T.,&lt;/author&gt;&lt;author&gt;Granås, G.,&lt;/author&gt;&lt;author&gt;Hunskår, S.&lt;/author&gt;&lt;/authors&gt;&lt;/contributors&gt;&lt;titles&gt;&lt;title&gt;Alminnelige helseplager i legevakt&lt;/title&gt;&lt;/titles&gt;&lt;number&gt;2-2009&lt;/number&gt;&lt;dates&gt;&lt;year&gt;2009&lt;/year&gt;&lt;/dates&gt;&lt;pub-location&gt;Bergen&lt;/pub-location&gt;&lt;publisher&gt;Nasjonalt kompetansesenter for legevaktmedisin, UNIFOB&lt;/publisher&gt;&lt;urls&gt;&lt;/urls&gt;&lt;/record&gt;&lt;/Cite&gt;&lt;/EndNote&gt;</w:instrText>
      </w:r>
      <w:r>
        <w:fldChar w:fldCharType="separate"/>
      </w:r>
      <w:r w:rsidR="00856689">
        <w:rPr>
          <w:noProof/>
        </w:rPr>
        <w:t>(Welle-Nilsen et al., 2009)</w:t>
      </w:r>
      <w:r>
        <w:fldChar w:fldCharType="end"/>
      </w:r>
      <w:r w:rsidRPr="5A353FDD">
        <w:t>.</w:t>
      </w:r>
    </w:p>
    <w:p w14:paraId="5CFE5411" w14:textId="7624D2A4" w:rsidR="0022435F" w:rsidRPr="00FE7A3E" w:rsidRDefault="0022435F" w:rsidP="00FB3696">
      <w:pPr>
        <w:jc w:val="both"/>
      </w:pPr>
      <w:r>
        <w:t>Det er også potensiale for å flytte en betydelig andel av fysisk oppmøte på legevakt til håndtering p</w:t>
      </w:r>
      <w:r w:rsidR="007E65DE">
        <w:t>e</w:t>
      </w:r>
      <w:r>
        <w:t xml:space="preserve">r telefon, og slik redusere arbeidsmengden på legevakt. 23 </w:t>
      </w:r>
      <w:r w:rsidR="007A721A">
        <w:t>prosent</w:t>
      </w:r>
      <w:r>
        <w:t xml:space="preserve"> av alle henvendelser til legevakten utenom ordinær åpningstid håndteres kun ved telefonrådgivning av sykepleier, per 2017</w:t>
      </w:r>
      <w:r w:rsidR="4FDDFB15">
        <w:t xml:space="preserve"> </w:t>
      </w:r>
      <w:r w:rsidR="001F2003">
        <w:fldChar w:fldCharType="begin">
          <w:fldData xml:space="preserve">PEVuZE5vdGU+PENpdGU+PEF1dGhvcj5NaWR0Ym88L0F1dGhvcj48WWVhcj4yMDE3PC9ZZWFyPjxS
ZWNOdW0+ODIyPC9SZWNOdW0+PERpc3BsYXlUZXh0PihNaWR0Ym8gZXQgYWwuLCAyMDE3KTwvRGlz
cGxheVRleHQ+PHJlY29yZD48cmVjLW51bWJlcj44MjI8L3JlYy1udW1iZXI+PGZvcmVpZ24ta2V5
cz48a2V5IGFwcD0iRU4iIGRiLWlkPSI5NXRwcjJ0cDZyOXh3b2VhOXJiNXdkc3o1ZHM1eGVkZHRl
ZXciIHRpbWVzdGFtcD0iMTY4MDA2OTUxMSI+ODIyPC9rZXk+PC9mb3JlaWduLWtleXM+PHJlZi10
eXBlIG5hbWU9IkpvdXJuYWwgQXJ0aWNsZSI+MTc8L3JlZi10eXBlPjxjb250cmlidXRvcnM+PGF1
dGhvcnM+PGF1dGhvcj5NaWR0Ym8sIFYuPC9hdXRob3I+PGF1dGhvcj5SYWtuZXMsIEcuPC9hdXRo
b3I+PGF1dGhvcj5IdW5za2FhciwgUy48L2F1dGhvcj48L2F1dGhvcnM+PC9jb250cmlidXRvcnM+
PGF1dGgtYWRkcmVzcz5NaWR0Ym8sIFZpdmlhbi4gTmF0aW9uYWwgQ2VudHJlIGZvciBFbWVyZ2Vu
Y3kgUHJpbWFyeSBIZWFsdGggQ2FyZSwgVW5pIFJlc2VhcmNoIEhlYWx0aCwgQm94IDc4MTAsIE5P
IDUwMjAsIEJlcmdlbiwgTm9yd2F5LiB2aXZpYW4ubWlkdGJvQHVuaS5uby4mI3hEO1Jha25lcywg
R3V0dG9ybS4gTmF0aW9uYWwgQ2VudHJlIGZvciBFbWVyZ2VuY3kgUHJpbWFyeSBIZWFsdGggQ2Fy
ZSwgVW5pIFJlc2VhcmNoIEhlYWx0aCwgQm94IDc4MTAsIE5PIDUwMjAsIEJlcmdlbiwgTm9yd2F5
LiYjeEQ7UmFrbmVzLCBHdXR0b3JtLiBSZWdpb25hbCBNZWRpY2luZXMgSW5mb3JtYXRpb24gJmFt
cDsgUGhhcm1hY292aWdpbGFuY2UgQ2VudHJlIChSRUxJUyksIFVuaXZlcnNpdHkgSG9zcGl0YWwg
b2YgTm9ydGggTm9yd2F5LCBCb3ggNzksIE5PIDkwMzgsIFRyb21zbywgTm9yd2F5LiYjeEQ7UmFr
bmVzLCBHdXR0b3JtLiBSYWtuZXMgUmVzZWFyY2gsIE15cmRhbHNrb2dlbiAyNDMsIE5PIDUxMTcs
IFVsc2V0LCBOb3J3YXkuJiN4RDtIdW5za2FhciwgU3RlaW5hci4gTmF0aW9uYWwgQ2VudHJlIGZv
ciBFbWVyZ2VuY3kgUHJpbWFyeSBIZWFsdGggQ2FyZSwgVW5pIFJlc2VhcmNoIEhlYWx0aCwgQm94
IDc4MTAsIE5PIDUwMjAsIEJlcmdlbiwgTm9yd2F5LiYjeEQ7SHVuc2thYXIsIFN0ZWluYXIuIERl
cGFydG1lbnQgb2YgR2xvYmFsIFB1YmxpYyBIZWFsdGggYW5kIFByaW1hcnkgQ2FyZSwgVW5pdmVy
c2l0eSBvZiBCZXJnZW4sIEJveCA3ODA0LCBOTyA1MDE4LCBCZXJnZW4sIE5vcndheS48L2F1dGgt
YWRkcmVzcz48dGl0bGVzPjx0aXRsZT5UZWxlcGhvbmUgY291bnNlbGxpbmcgYnkgbnVyc2VzIGlu
IE5vcndlZ2lhbiBwcmltYXJ5IGNhcmUgb3V0LW9mLWhvdXJzIHNlcnZpY2VzOiBhIGNyb3NzLXNl
Y3Rpb25hbCBzdHVkeTwvdGl0bGU+PHNlY29uZGFyeS10aXRsZT5CTUMgRmFtaWx5IFByYWN0aWNl
PC9zZWNvbmRhcnktdGl0bGU+PGFsdC10aXRsZT5CTUMgRmFtIFByYWN0PC9hbHQtdGl0bGU+PC90
aXRsZXM+PHBlcmlvZGljYWw+PGZ1bGwtdGl0bGU+Qk1DIEZhbWlseSBQcmFjdGljZTwvZnVsbC10
aXRsZT48YWJici0xPkJNQyBGYW0gUHJhY3Q8L2FiYnItMT48L3BlcmlvZGljYWw+PGFsdC1wZXJp
b2RpY2FsPjxmdWxsLXRpdGxlPkJNQyBGYW1pbHkgUHJhY3RpY2U8L2Z1bGwtdGl0bGU+PGFiYnIt
MT5CTUMgRmFtIFByYWN0PC9hYmJyLTE+PC9hbHQtcGVyaW9kaWNhbD48cGFnZXM+ODQ8L3BhZ2Vz
Pjx2b2x1bWU+MTg8L3ZvbHVtZT48bnVtYmVyPjE8L251bWJlcj48a2V5d29yZHM+PGtleXdvcmQ+
QWJkb21pbmFsIFBhaW48L2tleXdvcmQ+PGtleXdvcmQ+QWRvbGVzY2VudDwva2V5d29yZD48a2V5
d29yZD5BZHVsdDwva2V5d29yZD48a2V5d29yZD4qQWZ0ZXItSG91cnMgQ2FyZTwva2V5d29yZD48
a2V5d29yZD5BZ2UgRmFjdG9yczwva2V5d29yZD48a2V5d29yZD5BZ2VkPC9rZXl3b3JkPjxrZXl3
b3JkPkFnZWQsIDgwIGFuZCBvdmVyPC9rZXl3b3JkPjxrZXl3b3JkPkNoaWxkPC9rZXl3b3JkPjxr
ZXl3b3JkPkNoaWxkLCBQcmVzY2hvb2w8L2tleXdvcmQ+PGtleXdvcmQ+Q291Z2g8L2tleXdvcmQ+
PGtleXdvcmQ+Q291bnNlbGluZzwva2V5d29yZD48a2V5d29yZD5Dcm9zcy1TZWN0aW9uYWwgU3R1
ZGllczwva2V5d29yZD48a2V5d29yZD5FYXJhY2hlPC9rZXl3b3JkPjxrZXl3b3JkPkZlbWFsZTwv
a2V5d29yZD48a2V5d29yZD5GZXZlcjwva2V5d29yZD48a2V5d29yZD5IdW1hbnM8L2tleXdvcmQ+
PGtleXdvcmQ+SW5mYW50PC9rZXl3b3JkPjxrZXl3b3JkPkluZmFudCwgTmV3Ym9ybjwva2V5d29y
ZD48a2V5d29yZD5NYWxlPC9rZXl3b3JkPjxrZXl3b3JkPk1pZGRsZSBBZ2VkPC9rZXl3b3JkPjxr
ZXl3b3JkPk5vcndheTwva2V5d29yZD48a2V5d29yZD4qTnVyc2VzPC9rZXl3b3JkPjxrZXl3b3Jk
PipQcmltYXJ5IEhlYWx0aCBDYXJlPC9rZXl3b3JkPjxrZXl3b3JkPipUZWxlcGhvbmU8L2tleXdv
cmQ+PGtleXdvcmQ+VGltZSBGYWN0b3JzPC9rZXl3b3JkPjxrZXl3b3JkPllvdW5nIEFkdWx0PC9r
ZXl3b3JkPjwva2V5d29yZHM+PGRhdGVzPjx5ZWFyPjIwMTc8L3llYXI+PHB1Yi1kYXRlcz48ZGF0
ZT5TZXAgMDY8L2RhdGU+PC9wdWItZGF0ZXM+PC9kYXRlcz48aXNibj4xNDcxLTIyOTY8L2lzYm4+
PGFjY2Vzc2lvbi1udW0+Mjg4NzQxMjQ8L2FjY2Vzc2lvbi1udW0+PHVybHM+PHJlbGF0ZWQtdXJs
cz48dXJsPmh0dHBzOi8vb3ZpZHNwLm92aWQuY29tL292aWR3ZWIuY2dpP1Q9SlMmYW1wO0NTQz1Z
JmFtcDtORVdTPU4mYW1wO1BBR0U9ZnVsbHRleHQmYW1wO0Q9bWVkMTQmYW1wO0FOPTI4ODc0MTI0
PC91cmw+PHVybD5odHRwOi8vb3BlbnVybC5iaWJzeXMubm8vb3BlbnVybD9vdG9vbD1pbm9pcGhs
aWI/c2lkPU9WSUQ6bWVkbGluZSZhbXA7aWQ9cG1pZDoyODg3NDEyNCZhbXA7aWQ9ZG9pOjEwLjEx
ODYlMkZzMTI4NzUtMDE3LTA2NTEteiZhbXA7aXNzbj0xNDcxLTIyOTYmYW1wO2lzYm49JmFtcDt2
b2x1bWU9MTgmYW1wO2lzc3VlPTEmYW1wO3NwYWdlPTg0JmFtcDtwYWdlcz04NCZhbXA7ZGF0ZT0y
MDE3JmFtcDt0aXRsZT1CTUMrRmFtaWx5K1ByYWN0aWNlJmFtcDthdGl0bGU9VGVsZXBob25lK2Nv
dW5zZWxsaW5nK2J5K251cnNlcytpbitOb3J3ZWdpYW4rcHJpbWFyeStjYXJlK291dC1vZi1ob3Vy
cytzZXJ2aWNlcyUzQSthK2Nyb3NzLXNlY3Rpb25hbCtzdHVkeS4mYW1wO2F1bGFzdD1NaWR0Ym8m
YW1wO3BpZD0lM0NhdXRob3IlM0VNaWR0Ym8rViUzQyUyRmF1dGhvciUzRSUzQ0FOJTNFMjg4NzQx
MjQlM0MlMkZBTiUzRSUzQ0RUJTNFSm91cm5hbCtBcnRpY2xlJTNDJTJGRFQlM0U8L3VybD48L3Jl
bGF0ZWQtdXJscz48L3VybHM+PHJlbW90ZS1kYXRhYmFzZS1uYW1lPk1FRExJTkU8L3JlbW90ZS1k
YXRhYmFzZS1uYW1lPjxyZW1vdGUtZGF0YWJhc2UtcHJvdmlkZXI+T3ZpZCBUZWNobm9sb2dpZXM8
L3JlbW90ZS1kYXRhYmFzZS1wcm92aWRlcj48bGFuZ3VhZ2U+RW5nbGlzaDwvbGFuZ3VhZ2U+PC9y
ZWNvcmQ+PC9DaXRlPjwvRW5kTm90ZT5=
</w:fldData>
        </w:fldChar>
      </w:r>
      <w:r w:rsidR="004654FD">
        <w:instrText xml:space="preserve"> ADDIN EN.CITE </w:instrText>
      </w:r>
      <w:r w:rsidR="004654FD">
        <w:fldChar w:fldCharType="begin">
          <w:fldData xml:space="preserve">PEVuZE5vdGU+PENpdGU+PEF1dGhvcj5NaWR0Ym88L0F1dGhvcj48WWVhcj4yMDE3PC9ZZWFyPjxS
ZWNOdW0+ODIyPC9SZWNOdW0+PERpc3BsYXlUZXh0PihNaWR0Ym8gZXQgYWwuLCAyMDE3KTwvRGlz
cGxheVRleHQ+PHJlY29yZD48cmVjLW51bWJlcj44MjI8L3JlYy1udW1iZXI+PGZvcmVpZ24ta2V5
cz48a2V5IGFwcD0iRU4iIGRiLWlkPSI5NXRwcjJ0cDZyOXh3b2VhOXJiNXdkc3o1ZHM1eGVkZHRl
ZXciIHRpbWVzdGFtcD0iMTY4MDA2OTUxMSI+ODIyPC9rZXk+PC9mb3JlaWduLWtleXM+PHJlZi10
eXBlIG5hbWU9IkpvdXJuYWwgQXJ0aWNsZSI+MTc8L3JlZi10eXBlPjxjb250cmlidXRvcnM+PGF1
dGhvcnM+PGF1dGhvcj5NaWR0Ym8sIFYuPC9hdXRob3I+PGF1dGhvcj5SYWtuZXMsIEcuPC9hdXRo
b3I+PGF1dGhvcj5IdW5za2FhciwgUy48L2F1dGhvcj48L2F1dGhvcnM+PC9jb250cmlidXRvcnM+
PGF1dGgtYWRkcmVzcz5NaWR0Ym8sIFZpdmlhbi4gTmF0aW9uYWwgQ2VudHJlIGZvciBFbWVyZ2Vu
Y3kgUHJpbWFyeSBIZWFsdGggQ2FyZSwgVW5pIFJlc2VhcmNoIEhlYWx0aCwgQm94IDc4MTAsIE5P
IDUwMjAsIEJlcmdlbiwgTm9yd2F5LiB2aXZpYW4ubWlkdGJvQHVuaS5uby4mI3hEO1Jha25lcywg
R3V0dG9ybS4gTmF0aW9uYWwgQ2VudHJlIGZvciBFbWVyZ2VuY3kgUHJpbWFyeSBIZWFsdGggQ2Fy
ZSwgVW5pIFJlc2VhcmNoIEhlYWx0aCwgQm94IDc4MTAsIE5PIDUwMjAsIEJlcmdlbiwgTm9yd2F5
LiYjeEQ7UmFrbmVzLCBHdXR0b3JtLiBSZWdpb25hbCBNZWRpY2luZXMgSW5mb3JtYXRpb24gJmFt
cDsgUGhhcm1hY292aWdpbGFuY2UgQ2VudHJlIChSRUxJUyksIFVuaXZlcnNpdHkgSG9zcGl0YWwg
b2YgTm9ydGggTm9yd2F5LCBCb3ggNzksIE5PIDkwMzgsIFRyb21zbywgTm9yd2F5LiYjeEQ7UmFr
bmVzLCBHdXR0b3JtLiBSYWtuZXMgUmVzZWFyY2gsIE15cmRhbHNrb2dlbiAyNDMsIE5PIDUxMTcs
IFVsc2V0LCBOb3J3YXkuJiN4RDtIdW5za2FhciwgU3RlaW5hci4gTmF0aW9uYWwgQ2VudHJlIGZv
ciBFbWVyZ2VuY3kgUHJpbWFyeSBIZWFsdGggQ2FyZSwgVW5pIFJlc2VhcmNoIEhlYWx0aCwgQm94
IDc4MTAsIE5PIDUwMjAsIEJlcmdlbiwgTm9yd2F5LiYjeEQ7SHVuc2thYXIsIFN0ZWluYXIuIERl
cGFydG1lbnQgb2YgR2xvYmFsIFB1YmxpYyBIZWFsdGggYW5kIFByaW1hcnkgQ2FyZSwgVW5pdmVy
c2l0eSBvZiBCZXJnZW4sIEJveCA3ODA0LCBOTyA1MDE4LCBCZXJnZW4sIE5vcndheS48L2F1dGgt
YWRkcmVzcz48dGl0bGVzPjx0aXRsZT5UZWxlcGhvbmUgY291bnNlbGxpbmcgYnkgbnVyc2VzIGlu
IE5vcndlZ2lhbiBwcmltYXJ5IGNhcmUgb3V0LW9mLWhvdXJzIHNlcnZpY2VzOiBhIGNyb3NzLXNl
Y3Rpb25hbCBzdHVkeTwvdGl0bGU+PHNlY29uZGFyeS10aXRsZT5CTUMgRmFtaWx5IFByYWN0aWNl
PC9zZWNvbmRhcnktdGl0bGU+PGFsdC10aXRsZT5CTUMgRmFtIFByYWN0PC9hbHQtdGl0bGU+PC90
aXRsZXM+PHBlcmlvZGljYWw+PGZ1bGwtdGl0bGU+Qk1DIEZhbWlseSBQcmFjdGljZTwvZnVsbC10
aXRsZT48YWJici0xPkJNQyBGYW0gUHJhY3Q8L2FiYnItMT48L3BlcmlvZGljYWw+PGFsdC1wZXJp
b2RpY2FsPjxmdWxsLXRpdGxlPkJNQyBGYW1pbHkgUHJhY3RpY2U8L2Z1bGwtdGl0bGU+PGFiYnIt
MT5CTUMgRmFtIFByYWN0PC9hYmJyLTE+PC9hbHQtcGVyaW9kaWNhbD48cGFnZXM+ODQ8L3BhZ2Vz
Pjx2b2x1bWU+MTg8L3ZvbHVtZT48bnVtYmVyPjE8L251bWJlcj48a2V5d29yZHM+PGtleXdvcmQ+
QWJkb21pbmFsIFBhaW48L2tleXdvcmQ+PGtleXdvcmQ+QWRvbGVzY2VudDwva2V5d29yZD48a2V5
d29yZD5BZHVsdDwva2V5d29yZD48a2V5d29yZD4qQWZ0ZXItSG91cnMgQ2FyZTwva2V5d29yZD48
a2V5d29yZD5BZ2UgRmFjdG9yczwva2V5d29yZD48a2V5d29yZD5BZ2VkPC9rZXl3b3JkPjxrZXl3
b3JkPkFnZWQsIDgwIGFuZCBvdmVyPC9rZXl3b3JkPjxrZXl3b3JkPkNoaWxkPC9rZXl3b3JkPjxr
ZXl3b3JkPkNoaWxkLCBQcmVzY2hvb2w8L2tleXdvcmQ+PGtleXdvcmQ+Q291Z2g8L2tleXdvcmQ+
PGtleXdvcmQ+Q291bnNlbGluZzwva2V5d29yZD48a2V5d29yZD5Dcm9zcy1TZWN0aW9uYWwgU3R1
ZGllczwva2V5d29yZD48a2V5d29yZD5FYXJhY2hlPC9rZXl3b3JkPjxrZXl3b3JkPkZlbWFsZTwv
a2V5d29yZD48a2V5d29yZD5GZXZlcjwva2V5d29yZD48a2V5d29yZD5IdW1hbnM8L2tleXdvcmQ+
PGtleXdvcmQ+SW5mYW50PC9rZXl3b3JkPjxrZXl3b3JkPkluZmFudCwgTmV3Ym9ybjwva2V5d29y
ZD48a2V5d29yZD5NYWxlPC9rZXl3b3JkPjxrZXl3b3JkPk1pZGRsZSBBZ2VkPC9rZXl3b3JkPjxr
ZXl3b3JkPk5vcndheTwva2V5d29yZD48a2V5d29yZD4qTnVyc2VzPC9rZXl3b3JkPjxrZXl3b3Jk
PipQcmltYXJ5IEhlYWx0aCBDYXJlPC9rZXl3b3JkPjxrZXl3b3JkPipUZWxlcGhvbmU8L2tleXdv
cmQ+PGtleXdvcmQ+VGltZSBGYWN0b3JzPC9rZXl3b3JkPjxrZXl3b3JkPllvdW5nIEFkdWx0PC9r
ZXl3b3JkPjwva2V5d29yZHM+PGRhdGVzPjx5ZWFyPjIwMTc8L3llYXI+PHB1Yi1kYXRlcz48ZGF0
ZT5TZXAgMDY8L2RhdGU+PC9wdWItZGF0ZXM+PC9kYXRlcz48aXNibj4xNDcxLTIyOTY8L2lzYm4+
PGFjY2Vzc2lvbi1udW0+Mjg4NzQxMjQ8L2FjY2Vzc2lvbi1udW0+PHVybHM+PHJlbGF0ZWQtdXJs
cz48dXJsPmh0dHBzOi8vb3ZpZHNwLm92aWQuY29tL292aWR3ZWIuY2dpP1Q9SlMmYW1wO0NTQz1Z
JmFtcDtORVdTPU4mYW1wO1BBR0U9ZnVsbHRleHQmYW1wO0Q9bWVkMTQmYW1wO0FOPTI4ODc0MTI0
PC91cmw+PHVybD5odHRwOi8vb3BlbnVybC5iaWJzeXMubm8vb3BlbnVybD9vdG9vbD1pbm9pcGhs
aWI/c2lkPU9WSUQ6bWVkbGluZSZhbXA7aWQ9cG1pZDoyODg3NDEyNCZhbXA7aWQ9ZG9pOjEwLjEx
ODYlMkZzMTI4NzUtMDE3LTA2NTEteiZhbXA7aXNzbj0xNDcxLTIyOTYmYW1wO2lzYm49JmFtcDt2
b2x1bWU9MTgmYW1wO2lzc3VlPTEmYW1wO3NwYWdlPTg0JmFtcDtwYWdlcz04NCZhbXA7ZGF0ZT0y
MDE3JmFtcDt0aXRsZT1CTUMrRmFtaWx5K1ByYWN0aWNlJmFtcDthdGl0bGU9VGVsZXBob25lK2Nv
dW5zZWxsaW5nK2J5K251cnNlcytpbitOb3J3ZWdpYW4rcHJpbWFyeStjYXJlK291dC1vZi1ob3Vy
cytzZXJ2aWNlcyUzQSthK2Nyb3NzLXNlY3Rpb25hbCtzdHVkeS4mYW1wO2F1bGFzdD1NaWR0Ym8m
YW1wO3BpZD0lM0NhdXRob3IlM0VNaWR0Ym8rViUzQyUyRmF1dGhvciUzRSUzQ0FOJTNFMjg4NzQx
MjQlM0MlMkZBTiUzRSUzQ0RUJTNFSm91cm5hbCtBcnRpY2xlJTNDJTJGRFQlM0U8L3VybD48L3Jl
bGF0ZWQtdXJscz48L3VybHM+PHJlbW90ZS1kYXRhYmFzZS1uYW1lPk1FRExJTkU8L3JlbW90ZS1k
YXRhYmFzZS1uYW1lPjxyZW1vdGUtZGF0YWJhc2UtcHJvdmlkZXI+T3ZpZCBUZWNobm9sb2dpZXM8
L3JlbW90ZS1kYXRhYmFzZS1wcm92aWRlcj48bGFuZ3VhZ2U+RW5nbGlzaDwvbGFuZ3VhZ2U+PC9y
ZWNvcmQ+PC9DaXRlPjwvRW5kTm90ZT5=
</w:fldData>
        </w:fldChar>
      </w:r>
      <w:r w:rsidR="004654FD">
        <w:instrText xml:space="preserve"> ADDIN EN.CITE.DATA </w:instrText>
      </w:r>
      <w:r w:rsidR="004654FD">
        <w:fldChar w:fldCharType="end"/>
      </w:r>
      <w:r w:rsidR="001F2003">
        <w:fldChar w:fldCharType="separate"/>
      </w:r>
      <w:r w:rsidR="004654FD">
        <w:rPr>
          <w:noProof/>
        </w:rPr>
        <w:t>(Midtbo et al., 2017)</w:t>
      </w:r>
      <w:r w:rsidR="001F2003">
        <w:fldChar w:fldCharType="end"/>
      </w:r>
      <w:r w:rsidR="001F2003">
        <w:t>.</w:t>
      </w:r>
      <w:r>
        <w:t xml:space="preserve"> En internasjonal litteraturoppsummering om kvalitet og sikkerhet ved telefon-triage samme år anslår at rådgiving p</w:t>
      </w:r>
      <w:r w:rsidR="007E65DE">
        <w:t>e</w:t>
      </w:r>
      <w:r>
        <w:t xml:space="preserve">r telefon vil være tilstrekkelig for omtrent 50 </w:t>
      </w:r>
      <w:r w:rsidR="007A721A">
        <w:t>prosent</w:t>
      </w:r>
      <w:r>
        <w:t xml:space="preserve"> av alle henvendelser til legevaktsentralens telefonmottak</w:t>
      </w:r>
      <w:r w:rsidR="6D1D8753">
        <w:t xml:space="preserve"> </w:t>
      </w:r>
      <w:r w:rsidR="001F2003">
        <w:fldChar w:fldCharType="begin">
          <w:fldData xml:space="preserve">PEVuZE5vdGU+PENpdGU+PEF1dGhvcj5MYWtlPC9BdXRob3I+PFllYXI+MjAxNzwvWWVhcj48UmVj
TnVtPjY4MjwvUmVjTnVtPjxEaXNwbGF5VGV4dD4oTGFrZSBldCBhbC4sIDIwMTcpPC9EaXNwbGF5
VGV4dD48cmVjb3JkPjxyZWMtbnVtYmVyPjY4MjwvcmVjLW51bWJlcj48Zm9yZWlnbi1rZXlzPjxr
ZXkgYXBwPSJFTiIgZGItaWQ9Ijk1dHByMnRwNnI5eHdvZWE5cmI1d2RzejVkczV4ZWRkdGVldyIg
dGltZXN0YW1wPSIxNjgwMDY5NTExIj42ODI8L2tleT48L2ZvcmVpZ24ta2V5cz48cmVmLXR5cGUg
bmFtZT0iSm91cm5hbCBBcnRpY2xlIj4xNzwvcmVmLXR5cGU+PGNvbnRyaWJ1dG9ycz48YXV0aG9y
cz48YXV0aG9yPkxha2UsIFIuPC9hdXRob3I+PGF1dGhvcj5HZW9yZ2lvdSwgQS48L2F1dGhvcj48
YXV0aG9yPkxpLCBKLjwvYXV0aG9yPjxhdXRob3I+TGksIEwuPC9hdXRob3I+PGF1dGhvcj5CeXJu
ZSwgTS48L2F1dGhvcj48YXV0aG9yPlJvYmluc29uLCBNLjwvYXV0aG9yPjxhdXRob3I+V2VzdGJy
b29rLCBKLiBJLjwvYXV0aG9yPjwvYXV0aG9ycz48L2NvbnRyaWJ1dG9ycz48YXV0aC1hZGRyZXNz
Pkxha2UsIFJlYmVjY2EuIEF1c3RyYWxpYW4gRGlnaXRhbCBIZWFsdGggQWdlbmN5LCBMZXZlbCAy
NSwgNTYgUGl0dCBTdHJlZXQsIFN5ZG5leSwgTlNXLCAyMDAwLCBBdXN0cmFsaWEuJiN4RDtHZW9y
Z2lvdSwgQW5kcmV3LiBDZW50cmUgZm9yIEhlYWx0aCBTeXN0ZW1zIGFuZCBTYWZldHkgUmVzZWFy
Y2gsIEF1c3RyYWxpYW4gSW5zdGl0dXRlIG9mIEhlYWx0aCBJbm5vdmF0aW9uLCBNYWNxdWFyaWUg
VW5pdmVyc2l0eSwgTGV2ZWwgNiwgNzUgVGFsYXZlcmEgUm9hZCwgU3lkbmV5LCBOU1csIDIxMDks
IEF1c3RyYWxpYS4gYW5kcmV3Lmdlb3JnaW91QG1xLmVkdS5hdS4mI3hEO0xpLCBKdWxpZS4gQ2Vu
dHJlIGZvciBIZWFsdGggU3lzdGVtcyBhbmQgU2FmZXR5IFJlc2VhcmNoLCBBdXN0cmFsaWFuIElu
c3RpdHV0ZSBvZiBIZWFsdGggSW5ub3ZhdGlvbiwgTWFjcXVhcmllIFVuaXZlcnNpdHksIExldmVs
IDYsIDc1IFRhbGF2ZXJhIFJvYWQsIFN5ZG5leSwgTlNXLCAyMTA5LCBBdXN0cmFsaWEuJiN4RDtM
aSwgTGluZy4gQ2VudHJlIGZvciBIZWFsdGggU3lzdGVtcyBhbmQgU2FmZXR5IFJlc2VhcmNoLCBB
dXN0cmFsaWFuIEluc3RpdHV0ZSBvZiBIZWFsdGggSW5ub3ZhdGlvbiwgTWFjcXVhcmllIFVuaXZl
cnNpdHksIExldmVsIDYsIDc1IFRhbGF2ZXJhIFJvYWQsIFN5ZG5leSwgTlNXLCAyMTA5LCBBdXN0
cmFsaWEuJiN4RDtCeXJuZSwgTWFyeS4gSGVhbHRoZGlyZWN0IEF1c3RyYWxpYSwgTGV2ZWwgMTks
IDEzMyBDYXN0bGVyZWFnaCBTdHJlZXQsIFN5ZG5leSwgTlNXLCAyMDAwLCBBdXN0cmFsaWEuJiN4
RDtSb2JpbnNvbiwgTWF1cmVlbi4gSGVhbHRoZGlyZWN0IEF1c3RyYWxpYSwgTGV2ZWwgMTksIDEz
MyBDYXN0bGVyZWFnaCBTdHJlZXQsIFN5ZG5leSwgTlNXLCAyMDAwLCBBdXN0cmFsaWEuJiN4RDtX
ZXN0YnJvb2ssIEpvaGFubmEgSS4gQ2VudHJlIGZvciBIZWFsdGggU3lzdGVtcyBhbmQgU2FmZXR5
IFJlc2VhcmNoLCBBdXN0cmFsaWFuIEluc3RpdHV0ZSBvZiBIZWFsdGggSW5ub3ZhdGlvbiwgTWFj
cXVhcmllIFVuaXZlcnNpdHksIExldmVsIDYsIDc1IFRhbGF2ZXJhIFJvYWQsIFN5ZG5leSwgTlNX
LCAyMTA5LCBBdXN0cmFsaWEuPC9hdXRoLWFkZHJlc3M+PHRpdGxlcz48dGl0bGU+VGhlIHF1YWxp
dHksIHNhZmV0eSBhbmQgZ292ZXJuYW5jZSBvZiB0ZWxlcGhvbmUgdHJpYWdlIGFuZCBhZHZpY2Ug
c2VydmljZXMgLSBhbiBvdmVydmlldyBvZiBldmlkZW5jZSBmcm9tIHN5c3RlbWF0aWMgcmV2aWV3
czwvdGl0bGU+PHNlY29uZGFyeS10aXRsZT5CTUMgSGVhbHRoIFNlcnZpY2VzIFJlc2VhcmNoPC9z
ZWNvbmRhcnktdGl0bGU+PGFsdC10aXRsZT5CTUMgSGVhbHRoIFNlcnYgUmVzPC9hbHQtdGl0bGU+
PC90aXRsZXM+PGFsdC1wZXJpb2RpY2FsPjxmdWxsLXRpdGxlPkJNQyBIZWFsdGggU2VydiBSZXM8
L2Z1bGwtdGl0bGU+PC9hbHQtcGVyaW9kaWNhbD48cGFnZXM+NjE0PC9wYWdlcz48dm9sdW1lPjE3
PC92b2x1bWU+PG51bWJlcj4xPC9udW1iZXI+PGtleXdvcmRzPjxrZXl3b3JkPkV2aWRlbmNlLUJh
c2VkIFByYWN0aWNlPC9rZXl3b3JkPjxrZXl3b3JkPipIZWFsdGggU2VydmljZXMgQWNjZXNzaWJp
bGl0eS9zdCBbU3RhbmRhcmRzXTwva2V5d29yZD48a2V5d29yZD4qSGVhbHRoIFNlcnZpY2VzIFJl
c2VhcmNoPC9rZXl3b3JkPjxrZXl3b3JkPipIb3RsaW5lcy9zdCBbU3RhbmRhcmRzXTwva2V5d29y
ZD48a2V5d29yZD5IdW1hbnM8L2tleXdvcmQ+PGtleXdvcmQ+UHJvZ3JhbSBFdmFsdWF0aW9uPC9r
ZXl3b3JkPjxrZXl3b3JkPipRdWFsaXR5IG9mIEhlYWx0aCBDYXJlL3N0IFtTdGFuZGFyZHNdPC9r
ZXl3b3JkPjxrZXl3b3JkPlJldmlldyBMaXRlcmF0dXJlIGFzIFRvcGljPC9rZXl3b3JkPjxrZXl3
b3JkPipUZWxlbWVkaWNpbmUvc3QgW1N0YW5kYXJkc108L2tleXdvcmQ+PGtleXdvcmQ+VHJpYWdl
L210IFtNZXRob2RzXTwva2V5d29yZD48a2V5d29yZD4qVHJpYWdlL3N0IFtTdGFuZGFyZHNdPC9r
ZXl3b3JkPjwva2V5d29yZHM+PGRhdGVzPjx5ZWFyPjIwMTc8L3llYXI+PHB1Yi1kYXRlcz48ZGF0
ZT5BdWcgMzA8L2RhdGU+PC9wdWItZGF0ZXM+PC9kYXRlcz48aXNibj4xNDcyLTY5NjM8L2lzYm4+
PGFjY2Vzc2lvbi1udW0+Mjg4NTQ5MTY8L2FjY2Vzc2lvbi1udW0+PHdvcmstdHlwZT5NZXRhLUFu
YWx5c2lzPC93b3JrLXR5cGU+PHVybHM+PHJlbGF0ZWQtdXJscz48dXJsPmh0dHBzOi8vb3ZpZHNw
Lm92aWQuY29tL292aWR3ZWIuY2dpP1Q9SlMmYW1wO0NTQz1ZJmFtcDtORVdTPU4mYW1wO1BBR0U9
ZnVsbHRleHQmYW1wO0Q9bWVkMTQmYW1wO0FOPTI4ODU0OTE2PC91cmw+PHVybD5odHRwOi8vb3Bl
bnVybC5iaWJzeXMubm8vb3BlbnVybD9vdG9vbD1pbm9pcGhsaWI/c2lkPU9WSUQ6bWVkbGluZSZh
bXA7aWQ9cG1pZDoyODg1NDkxNiZhbXA7aWQ9ZG9pOjEwLjExODYlMkZzMTI5MTMtMDE3LTI1NjQt
eCZhbXA7aXNzbj0xNDcyLTY5NjMmYW1wO2lzYm49JmFtcDt2b2x1bWU9MTcmYW1wO2lzc3VlPTEm
YW1wO3NwYWdlPTYxNCZhbXA7cGFnZXM9NjE0JmFtcDtkYXRlPTIwMTcmYW1wO3RpdGxlPUJNQytI
ZWFsdGgrU2VydmljZXMrUmVzZWFyY2gmYW1wO2F0aXRsZT1UaGUrcXVhbGl0eSUyQytzYWZldHkr
YW5kK2dvdmVybmFuY2Urb2YrdGVsZXBob25lK3RyaWFnZSthbmQrYWR2aWNlK3NlcnZpY2VzKy0r
YW4rb3ZlcnZpZXcrb2YrZXZpZGVuY2UrZnJvbStzeXN0ZW1hdGljK3Jldmlld3MuJmFtcDthdWxh
c3Q9TGFrZSZhbXA7cGlkPSUzQ2F1dGhvciUzRUxha2UrUiUzQyUyRmF1dGhvciUzRSUzQ0FOJTNF
Mjg4NTQ5MTYlM0MlMkZBTiUzRSUzQ0RUJTNFSm91cm5hbCtBcnRpY2xlJTNDJTJGRFQlM0U8L3Vy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 </w:instrText>
      </w:r>
      <w:r w:rsidR="004654FD">
        <w:fldChar w:fldCharType="begin">
          <w:fldData xml:space="preserve">PEVuZE5vdGU+PENpdGU+PEF1dGhvcj5MYWtlPC9BdXRob3I+PFllYXI+MjAxNzwvWWVhcj48UmVj
TnVtPjY4MjwvUmVjTnVtPjxEaXNwbGF5VGV4dD4oTGFrZSBldCBhbC4sIDIwMTcpPC9EaXNwbGF5
VGV4dD48cmVjb3JkPjxyZWMtbnVtYmVyPjY4MjwvcmVjLW51bWJlcj48Zm9yZWlnbi1rZXlzPjxr
ZXkgYXBwPSJFTiIgZGItaWQ9Ijk1dHByMnRwNnI5eHdvZWE5cmI1d2RzejVkczV4ZWRkdGVldyIg
dGltZXN0YW1wPSIxNjgwMDY5NTExIj42ODI8L2tleT48L2ZvcmVpZ24ta2V5cz48cmVmLXR5cGUg
bmFtZT0iSm91cm5hbCBBcnRpY2xlIj4xNzwvcmVmLXR5cGU+PGNvbnRyaWJ1dG9ycz48YXV0aG9y
cz48YXV0aG9yPkxha2UsIFIuPC9hdXRob3I+PGF1dGhvcj5HZW9yZ2lvdSwgQS48L2F1dGhvcj48
YXV0aG9yPkxpLCBKLjwvYXV0aG9yPjxhdXRob3I+TGksIEwuPC9hdXRob3I+PGF1dGhvcj5CeXJu
ZSwgTS48L2F1dGhvcj48YXV0aG9yPlJvYmluc29uLCBNLjwvYXV0aG9yPjxhdXRob3I+V2VzdGJy
b29rLCBKLiBJLjwvYXV0aG9yPjwvYXV0aG9ycz48L2NvbnRyaWJ1dG9ycz48YXV0aC1hZGRyZXNz
Pkxha2UsIFJlYmVjY2EuIEF1c3RyYWxpYW4gRGlnaXRhbCBIZWFsdGggQWdlbmN5LCBMZXZlbCAy
NSwgNTYgUGl0dCBTdHJlZXQsIFN5ZG5leSwgTlNXLCAyMDAwLCBBdXN0cmFsaWEuJiN4RDtHZW9y
Z2lvdSwgQW5kcmV3LiBDZW50cmUgZm9yIEhlYWx0aCBTeXN0ZW1zIGFuZCBTYWZldHkgUmVzZWFy
Y2gsIEF1c3RyYWxpYW4gSW5zdGl0dXRlIG9mIEhlYWx0aCBJbm5vdmF0aW9uLCBNYWNxdWFyaWUg
VW5pdmVyc2l0eSwgTGV2ZWwgNiwgNzUgVGFsYXZlcmEgUm9hZCwgU3lkbmV5LCBOU1csIDIxMDks
IEF1c3RyYWxpYS4gYW5kcmV3Lmdlb3JnaW91QG1xLmVkdS5hdS4mI3hEO0xpLCBKdWxpZS4gQ2Vu
dHJlIGZvciBIZWFsdGggU3lzdGVtcyBhbmQgU2FmZXR5IFJlc2VhcmNoLCBBdXN0cmFsaWFuIElu
c3RpdHV0ZSBvZiBIZWFsdGggSW5ub3ZhdGlvbiwgTWFjcXVhcmllIFVuaXZlcnNpdHksIExldmVs
IDYsIDc1IFRhbGF2ZXJhIFJvYWQsIFN5ZG5leSwgTlNXLCAyMTA5LCBBdXN0cmFsaWEuJiN4RDtM
aSwgTGluZy4gQ2VudHJlIGZvciBIZWFsdGggU3lzdGVtcyBhbmQgU2FmZXR5IFJlc2VhcmNoLCBB
dXN0cmFsaWFuIEluc3RpdHV0ZSBvZiBIZWFsdGggSW5ub3ZhdGlvbiwgTWFjcXVhcmllIFVuaXZl
cnNpdHksIExldmVsIDYsIDc1IFRhbGF2ZXJhIFJvYWQsIFN5ZG5leSwgTlNXLCAyMTA5LCBBdXN0
cmFsaWEuJiN4RDtCeXJuZSwgTWFyeS4gSGVhbHRoZGlyZWN0IEF1c3RyYWxpYSwgTGV2ZWwgMTks
IDEzMyBDYXN0bGVyZWFnaCBTdHJlZXQsIFN5ZG5leSwgTlNXLCAyMDAwLCBBdXN0cmFsaWEuJiN4
RDtSb2JpbnNvbiwgTWF1cmVlbi4gSGVhbHRoZGlyZWN0IEF1c3RyYWxpYSwgTGV2ZWwgMTksIDEz
MyBDYXN0bGVyZWFnaCBTdHJlZXQsIFN5ZG5leSwgTlNXLCAyMDAwLCBBdXN0cmFsaWEuJiN4RDtX
ZXN0YnJvb2ssIEpvaGFubmEgSS4gQ2VudHJlIGZvciBIZWFsdGggU3lzdGVtcyBhbmQgU2FmZXR5
IFJlc2VhcmNoLCBBdXN0cmFsaWFuIEluc3RpdHV0ZSBvZiBIZWFsdGggSW5ub3ZhdGlvbiwgTWFj
cXVhcmllIFVuaXZlcnNpdHksIExldmVsIDYsIDc1IFRhbGF2ZXJhIFJvYWQsIFN5ZG5leSwgTlNX
LCAyMTA5LCBBdXN0cmFsaWEuPC9hdXRoLWFkZHJlc3M+PHRpdGxlcz48dGl0bGU+VGhlIHF1YWxp
dHksIHNhZmV0eSBhbmQgZ292ZXJuYW5jZSBvZiB0ZWxlcGhvbmUgdHJpYWdlIGFuZCBhZHZpY2Ug
c2VydmljZXMgLSBhbiBvdmVydmlldyBvZiBldmlkZW5jZSBmcm9tIHN5c3RlbWF0aWMgcmV2aWV3
czwvdGl0bGU+PHNlY29uZGFyeS10aXRsZT5CTUMgSGVhbHRoIFNlcnZpY2VzIFJlc2VhcmNoPC9z
ZWNvbmRhcnktdGl0bGU+PGFsdC10aXRsZT5CTUMgSGVhbHRoIFNlcnYgUmVzPC9hbHQtdGl0bGU+
PC90aXRsZXM+PGFsdC1wZXJpb2RpY2FsPjxmdWxsLXRpdGxlPkJNQyBIZWFsdGggU2VydiBSZXM8
L2Z1bGwtdGl0bGU+PC9hbHQtcGVyaW9kaWNhbD48cGFnZXM+NjE0PC9wYWdlcz48dm9sdW1lPjE3
PC92b2x1bWU+PG51bWJlcj4xPC9udW1iZXI+PGtleXdvcmRzPjxrZXl3b3JkPkV2aWRlbmNlLUJh
c2VkIFByYWN0aWNlPC9rZXl3b3JkPjxrZXl3b3JkPipIZWFsdGggU2VydmljZXMgQWNjZXNzaWJp
bGl0eS9zdCBbU3RhbmRhcmRzXTwva2V5d29yZD48a2V5d29yZD4qSGVhbHRoIFNlcnZpY2VzIFJl
c2VhcmNoPC9rZXl3b3JkPjxrZXl3b3JkPipIb3RsaW5lcy9zdCBbU3RhbmRhcmRzXTwva2V5d29y
ZD48a2V5d29yZD5IdW1hbnM8L2tleXdvcmQ+PGtleXdvcmQ+UHJvZ3JhbSBFdmFsdWF0aW9uPC9r
ZXl3b3JkPjxrZXl3b3JkPipRdWFsaXR5IG9mIEhlYWx0aCBDYXJlL3N0IFtTdGFuZGFyZHNdPC9r
ZXl3b3JkPjxrZXl3b3JkPlJldmlldyBMaXRlcmF0dXJlIGFzIFRvcGljPC9rZXl3b3JkPjxrZXl3
b3JkPipUZWxlbWVkaWNpbmUvc3QgW1N0YW5kYXJkc108L2tleXdvcmQ+PGtleXdvcmQ+VHJpYWdl
L210IFtNZXRob2RzXTwva2V5d29yZD48a2V5d29yZD4qVHJpYWdlL3N0IFtTdGFuZGFyZHNdPC9r
ZXl3b3JkPjwva2V5d29yZHM+PGRhdGVzPjx5ZWFyPjIwMTc8L3llYXI+PHB1Yi1kYXRlcz48ZGF0
ZT5BdWcgMzA8L2RhdGU+PC9wdWItZGF0ZXM+PC9kYXRlcz48aXNibj4xNDcyLTY5NjM8L2lzYm4+
PGFjY2Vzc2lvbi1udW0+Mjg4NTQ5MTY8L2FjY2Vzc2lvbi1udW0+PHdvcmstdHlwZT5NZXRhLUFu
YWx5c2lzPC93b3JrLXR5cGU+PHVybHM+PHJlbGF0ZWQtdXJscz48dXJsPmh0dHBzOi8vb3ZpZHNw
Lm92aWQuY29tL292aWR3ZWIuY2dpP1Q9SlMmYW1wO0NTQz1ZJmFtcDtORVdTPU4mYW1wO1BBR0U9
ZnVsbHRleHQmYW1wO0Q9bWVkMTQmYW1wO0FOPTI4ODU0OTE2PC91cmw+PHVybD5odHRwOi8vb3Bl
bnVybC5iaWJzeXMubm8vb3BlbnVybD9vdG9vbD1pbm9pcGhsaWI/c2lkPU9WSUQ6bWVkbGluZSZh
bXA7aWQ9cG1pZDoyODg1NDkxNiZhbXA7aWQ9ZG9pOjEwLjExODYlMkZzMTI5MTMtMDE3LTI1NjQt
eCZhbXA7aXNzbj0xNDcyLTY5NjMmYW1wO2lzYm49JmFtcDt2b2x1bWU9MTcmYW1wO2lzc3VlPTEm
YW1wO3NwYWdlPTYxNCZhbXA7cGFnZXM9NjE0JmFtcDtkYXRlPTIwMTcmYW1wO3RpdGxlPUJNQytI
ZWFsdGgrU2VydmljZXMrUmVzZWFyY2gmYW1wO2F0aXRsZT1UaGUrcXVhbGl0eSUyQytzYWZldHkr
YW5kK2dvdmVybmFuY2Urb2YrdGVsZXBob25lK3RyaWFnZSthbmQrYWR2aWNlK3NlcnZpY2VzKy0r
YW4rb3ZlcnZpZXcrb2YrZXZpZGVuY2UrZnJvbStzeXN0ZW1hdGljK3Jldmlld3MuJmFtcDthdWxh
c3Q9TGFrZSZhbXA7cGlkPSUzQ2F1dGhvciUzRUxha2UrUiUzQyUyRmF1dGhvciUzRSUzQ0FOJTNF
Mjg4NTQ5MTYlM0MlMkZBTiUzRSUzQ0RUJTNFSm91cm5hbCtBcnRpY2xlJTNDJTJGRFQlM0U8L3Vy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4654FD">
        <w:instrText xml:space="preserve"> ADDIN EN.CITE.DATA </w:instrText>
      </w:r>
      <w:r w:rsidR="004654FD">
        <w:fldChar w:fldCharType="end"/>
      </w:r>
      <w:r w:rsidR="001F2003">
        <w:fldChar w:fldCharType="separate"/>
      </w:r>
      <w:r w:rsidR="001F2003">
        <w:rPr>
          <w:noProof/>
        </w:rPr>
        <w:t>(Lake et al., 2017)</w:t>
      </w:r>
      <w:r w:rsidR="001F2003">
        <w:fldChar w:fldCharType="end"/>
      </w:r>
      <w:r w:rsidR="001F2003">
        <w:t>.</w:t>
      </w:r>
    </w:p>
    <w:p w14:paraId="23EBFC00" w14:textId="5D5962AD" w:rsidR="0022435F" w:rsidRDefault="0022435F" w:rsidP="00FB3696">
      <w:pPr>
        <w:jc w:val="both"/>
      </w:pPr>
      <w:r>
        <w:t>Å øke andelen henvendelser som ikke henvises til oppmøte i legevakt eller kun håndteres ved telefonrådgivning</w:t>
      </w:r>
      <w:r w:rsidR="00FF529E">
        <w:t>,</w:t>
      </w:r>
      <w:r>
        <w:t xml:space="preserve"> krever et triageringssystem som med stor sikkerhet identifiserer pasienter med alvorlige tilstander. En tidligere systematisk litteraturoppsummering viste at triagering ved telefon er egnet for å fange opp pasienter med behov for akutt hjelp</w:t>
      </w:r>
      <w:r w:rsidR="0AEE75AD">
        <w:t xml:space="preserve"> </w:t>
      </w:r>
      <w:r w:rsidR="001F2003">
        <w:fldChar w:fldCharType="begin">
          <w:fldData xml:space="preserve">PEVuZE5vdGU+PENpdGU+PEF1dGhvcj5IdWliZXJzPC9BdXRob3I+PFllYXI+MjAxMTwvWWVhcj48
UmVjTnVtPjczMTwvUmVjTnVtPjxEaXNwbGF5VGV4dD4oSHVpYmVycyBldCBhbC4sIDIwMTEpPC9E
aXNwbGF5VGV4dD48cmVjb3JkPjxyZWMtbnVtYmVyPjczMTwvcmVjLW51bWJlcj48Zm9yZWlnbi1r
ZXlzPjxrZXkgYXBwPSJFTiIgZGItaWQ9Ijk1dHByMnRwNnI5eHdvZWE5cmI1d2RzejVkczV4ZWRk
dGVldyIgdGltZXN0YW1wPSIxNjgwMDY5NTExIj43MzE8L2tleT48L2ZvcmVpZ24ta2V5cz48cmVm
LXR5cGUgbmFtZT0iSm91cm5hbCBBcnRpY2xlIj4xNzwvcmVmLXR5cGU+PGNvbnRyaWJ1dG9ycz48
YXV0aG9ycz48YXV0aG9yPkh1aWJlcnMsIEwuPC9hdXRob3I+PGF1dGhvcj5TbWl0cywgTS48L2F1
dGhvcj48YXV0aG9yPlJlbmF1ZCwgVi48L2F1dGhvcj48YXV0aG9yPkdpZXNlbiwgUC48L2F1dGhv
cj48YXV0aG9yPldlbnNpbmcsIE0uPC9hdXRob3I+PC9hdXRob3JzPjwvY29udHJpYnV0b3JzPjxh
dXRoLWFkZHJlc3M+SHVpYmVycywgTGluZGEuIFJhZGJvdWQgVW5pdmVyc2l0eSBOaWptZWdlbiBN
ZWRpY2FsIENlbnRyZSwgU2NpZW50aWZpYyBJbnN0aXR1dGUgZm9yIFF1YWxpdHkgb2YgSGVhbHRo
Y2FyZSwgTmlqbWVnZW4sIFRoZSBOZXRoZXJsYW5kcy4gTC5IdWliZXJzQGlxLnVtY24ubmw8L2F1
dGgtYWRkcmVzcz48dGl0bGVzPjx0aXRsZT5TYWZldHkgb2YgdGVsZXBob25lIHRyaWFnZSBpbiBv
dXQtb2YtaG91cnMgY2FyZTogYSBzeXN0ZW1hdGljIHJldmlldzwvdGl0bGU+PHNlY29uZGFyeS10
aXRsZT5TY2FuZGluYXZpYW4gSm91cm5hbCBvZiBQcmltYXJ5IEhlYWx0aCBDYXJlPC9zZWNvbmRh
cnktdGl0bGU+PGFsdC10aXRsZT5TY2FuZCBKIFByaW0gSGVhbHRoIENhcmU8L2FsdC10aXRsZT48
L3RpdGxlcz48cGVyaW9kaWNhbD48ZnVsbC10aXRsZT5TY2FuZGluYXZpYW4gSm91cm5hbCBvZiBQ
cmltYXJ5IEhlYWx0aCBDYXJlPC9mdWxsLXRpdGxlPjxhYmJyLTE+U2NhbmQgSiBQcmltIEhlYWx0
aCBDYXJlPC9hYmJyLTE+PC9wZXJpb2RpY2FsPjxhbHQtcGVyaW9kaWNhbD48ZnVsbC10aXRsZT5T
Y2FuZCBKIFByaW0gSGVhbHRoIENhcmU8L2Z1bGwtdGl0bGU+PC9hbHQtcGVyaW9kaWNhbD48cGFn
ZXM+MTk4LTIwOTwvcGFnZXM+PHZvbHVtZT4yOTwvdm9sdW1lPjxudW1iZXI+NDwvbnVtYmVyPjxr
ZXl3b3Jkcz48a2V5d29yZD5BZnRlci1Ib3VycyBDYXJlL210IFtNZXRob2RzXTwva2V5d29yZD48
a2V5d29yZD5BZnRlci1Ib3VycyBDYXJlL3N0IFtTdGFuZGFyZHNdPC9rZXl3b3JkPjxrZXl3b3Jk
PipBZnRlci1Ib3VycyBDYXJlPC9rZXl3b3JkPjxrZXl3b3JkPkh1bWFuczwva2V5d29yZD48a2V5
d29yZD5QYXRpZW50IEFkbWlzc2lvbjwva2V5d29yZD48a2V5d29yZD4qUGF0aWVudCBTYWZldHk8
L2tleXdvcmQ+PGtleXdvcmQ+UXVhbGl0eSBBc3N1cmFuY2UsIEhlYWx0aCBDYXJlPC9rZXl3b3Jk
PjxrZXl3b3JkPlJlbW90ZSBDb25zdWx0YXRpb24vc3QgW1N0YW5kYXJkc108L2tleXdvcmQ+PGtl
eXdvcmQ+KlRlbGVwaG9uZTwva2V5d29yZD48a2V5d29yZD5UcmlhZ2UvbXQgW01ldGhvZHNdPC9r
ZXl3b3JkPjxrZXl3b3JkPlRyaWFnZS9zdCBbU3RhbmRhcmRzXTwva2V5d29yZD48a2V5d29yZD4q
VHJpYWdlPC9rZXl3b3JkPjwva2V5d29yZHM+PGRhdGVzPjx5ZWFyPjIwMTE8L3llYXI+PHB1Yi1k
YXRlcz48ZGF0ZT5EZWM8L2RhdGU+PC9wdWItZGF0ZXM+PC9kYXRlcz48aXNibj4xNTAyLTc3MjQ8
L2lzYm4+PGFjY2Vzc2lvbi1udW0+MjIxMjYyMTg8L2FjY2Vzc2lvbi1udW0+PHdvcmstdHlwZT5S
ZXZpZXcmI3hEO1N5c3RlbWF0aWMgUmV2aWV3PC93b3JrLXR5cGU+PHVybHM+PHJlbGF0ZWQtdXJs
cz48dXJsPmh0dHBzOi8vb3ZpZHNwLm92aWQuY29tL292aWR3ZWIuY2dpP1Q9SlMmYW1wO0NTQz1Z
JmFtcDtORVdTPU4mYW1wO1BBR0U9ZnVsbHRleHQmYW1wO0Q9bWVkOCZhbXA7QU49MjIxMjYyMTg8
L3VybD48dXJsPmh0dHA6Ly9vcGVudXJsLmJpYnN5cy5uby9vcGVudXJsP290b29sPWlub2lwaGxp
Yj9zaWQ9T1ZJRDptZWRsaW5lJmFtcDtpZD1wbWlkOjIyMTI2MjE4JmFtcDtpZD1kb2k6MTAuMzEw
OSUyRjAyODEzNDMyLjIwMTEuNjI5MTUwJmFtcDtpc3NuPTAyODEtMzQzMiZhbXA7aXNibj0mYW1w
O3ZvbHVtZT0yOSZhbXA7aXNzdWU9NCZhbXA7c3BhZ2U9MTk4JmFtcDtwYWdlcz0xOTgtMjA5JmFt
cDtkYXRlPTIwMTEmYW1wO3RpdGxlPVNjYW5kaW5hdmlhbitKb3VybmFsK29mK1ByaW1hcnkrSGVh
bHRoK0NhcmUmYW1wO2F0aXRsZT1TYWZldHkrb2YrdGVsZXBob25lK3RyaWFnZStpbitvdXQtb2Yt
aG91cnMrY2FyZSUzQSthK3N5c3RlbWF0aWMrcmV2aWV3LiZhbXA7YXVsYXN0PUh1aWJlcnMmYW1w
O3BpZD0lM0NhdXRob3IlM0VIdWliZXJzK0wlM0MlMkZhdXRob3IlM0UlM0NBTiUzRTIyMTI2MjE4
JTNDJTJGQU4lM0UlM0NEVCUzRUpvdXJuYWwrQXJ0aWNsZSUzQyUyRkRUJTNFPC91cmw+PC9yZWxh
dGVkLXVybHM+PC91cmxzPjxyZW1vdGUtZGF0YWJhc2UtbmFtZT5NRURMSU5FPC9yZW1vdGUtZGF0
YWJhc2UtbmFtZT48cmVtb3RlLWRhdGFiYXNlLXByb3ZpZGVyPk92aWQgVGVjaG5vbG9naWVzPC9y
ZW1vdGUtZGF0YWJhc2UtcHJvdmlkZXI+PGxhbmd1YWdlPkVuZ2xpc2g8L2xhbmd1YWdlPjwvcmVj
b3JkPjwvQ2l0ZT48L0VuZE5vdGU+
</w:fldData>
        </w:fldChar>
      </w:r>
      <w:r w:rsidR="004654FD">
        <w:instrText xml:space="preserve"> ADDIN EN.CITE </w:instrText>
      </w:r>
      <w:r w:rsidR="004654FD">
        <w:fldChar w:fldCharType="begin">
          <w:fldData xml:space="preserve">PEVuZE5vdGU+PENpdGU+PEF1dGhvcj5IdWliZXJzPC9BdXRob3I+PFllYXI+MjAxMTwvWWVhcj48
UmVjTnVtPjczMTwvUmVjTnVtPjxEaXNwbGF5VGV4dD4oSHVpYmVycyBldCBhbC4sIDIwMTEpPC9E
aXNwbGF5VGV4dD48cmVjb3JkPjxyZWMtbnVtYmVyPjczMTwvcmVjLW51bWJlcj48Zm9yZWlnbi1r
ZXlzPjxrZXkgYXBwPSJFTiIgZGItaWQ9Ijk1dHByMnRwNnI5eHdvZWE5cmI1d2RzejVkczV4ZWRk
dGVldyIgdGltZXN0YW1wPSIxNjgwMDY5NTExIj43MzE8L2tleT48L2ZvcmVpZ24ta2V5cz48cmVm
LXR5cGUgbmFtZT0iSm91cm5hbCBBcnRpY2xlIj4xNzwvcmVmLXR5cGU+PGNvbnRyaWJ1dG9ycz48
YXV0aG9ycz48YXV0aG9yPkh1aWJlcnMsIEwuPC9hdXRob3I+PGF1dGhvcj5TbWl0cywgTS48L2F1
dGhvcj48YXV0aG9yPlJlbmF1ZCwgVi48L2F1dGhvcj48YXV0aG9yPkdpZXNlbiwgUC48L2F1dGhv
cj48YXV0aG9yPldlbnNpbmcsIE0uPC9hdXRob3I+PC9hdXRob3JzPjwvY29udHJpYnV0b3JzPjxh
dXRoLWFkZHJlc3M+SHVpYmVycywgTGluZGEuIFJhZGJvdWQgVW5pdmVyc2l0eSBOaWptZWdlbiBN
ZWRpY2FsIENlbnRyZSwgU2NpZW50aWZpYyBJbnN0aXR1dGUgZm9yIFF1YWxpdHkgb2YgSGVhbHRo
Y2FyZSwgTmlqbWVnZW4sIFRoZSBOZXRoZXJsYW5kcy4gTC5IdWliZXJzQGlxLnVtY24ubmw8L2F1
dGgtYWRkcmVzcz48dGl0bGVzPjx0aXRsZT5TYWZldHkgb2YgdGVsZXBob25lIHRyaWFnZSBpbiBv
dXQtb2YtaG91cnMgY2FyZTogYSBzeXN0ZW1hdGljIHJldmlldzwvdGl0bGU+PHNlY29uZGFyeS10
aXRsZT5TY2FuZGluYXZpYW4gSm91cm5hbCBvZiBQcmltYXJ5IEhlYWx0aCBDYXJlPC9zZWNvbmRh
cnktdGl0bGU+PGFsdC10aXRsZT5TY2FuZCBKIFByaW0gSGVhbHRoIENhcmU8L2FsdC10aXRsZT48
L3RpdGxlcz48cGVyaW9kaWNhbD48ZnVsbC10aXRsZT5TY2FuZGluYXZpYW4gSm91cm5hbCBvZiBQ
cmltYXJ5IEhlYWx0aCBDYXJlPC9mdWxsLXRpdGxlPjxhYmJyLTE+U2NhbmQgSiBQcmltIEhlYWx0
aCBDYXJlPC9hYmJyLTE+PC9wZXJpb2RpY2FsPjxhbHQtcGVyaW9kaWNhbD48ZnVsbC10aXRsZT5T
Y2FuZCBKIFByaW0gSGVhbHRoIENhcmU8L2Z1bGwtdGl0bGU+PC9hbHQtcGVyaW9kaWNhbD48cGFn
ZXM+MTk4LTIwOTwvcGFnZXM+PHZvbHVtZT4yOTwvdm9sdW1lPjxudW1iZXI+NDwvbnVtYmVyPjxr
ZXl3b3Jkcz48a2V5d29yZD5BZnRlci1Ib3VycyBDYXJlL210IFtNZXRob2RzXTwva2V5d29yZD48
a2V5d29yZD5BZnRlci1Ib3VycyBDYXJlL3N0IFtTdGFuZGFyZHNdPC9rZXl3b3JkPjxrZXl3b3Jk
PipBZnRlci1Ib3VycyBDYXJlPC9rZXl3b3JkPjxrZXl3b3JkPkh1bWFuczwva2V5d29yZD48a2V5
d29yZD5QYXRpZW50IEFkbWlzc2lvbjwva2V5d29yZD48a2V5d29yZD4qUGF0aWVudCBTYWZldHk8
L2tleXdvcmQ+PGtleXdvcmQ+UXVhbGl0eSBBc3N1cmFuY2UsIEhlYWx0aCBDYXJlPC9rZXl3b3Jk
PjxrZXl3b3JkPlJlbW90ZSBDb25zdWx0YXRpb24vc3QgW1N0YW5kYXJkc108L2tleXdvcmQ+PGtl
eXdvcmQ+KlRlbGVwaG9uZTwva2V5d29yZD48a2V5d29yZD5UcmlhZ2UvbXQgW01ldGhvZHNdPC9r
ZXl3b3JkPjxrZXl3b3JkPlRyaWFnZS9zdCBbU3RhbmRhcmRzXTwva2V5d29yZD48a2V5d29yZD4q
VHJpYWdlPC9rZXl3b3JkPjwva2V5d29yZHM+PGRhdGVzPjx5ZWFyPjIwMTE8L3llYXI+PHB1Yi1k
YXRlcz48ZGF0ZT5EZWM8L2RhdGU+PC9wdWItZGF0ZXM+PC9kYXRlcz48aXNibj4xNTAyLTc3MjQ8
L2lzYm4+PGFjY2Vzc2lvbi1udW0+MjIxMjYyMTg8L2FjY2Vzc2lvbi1udW0+PHdvcmstdHlwZT5S
ZXZpZXcmI3hEO1N5c3RlbWF0aWMgUmV2aWV3PC93b3JrLXR5cGU+PHVybHM+PHJlbGF0ZWQtdXJs
cz48dXJsPmh0dHBzOi8vb3ZpZHNwLm92aWQuY29tL292aWR3ZWIuY2dpP1Q9SlMmYW1wO0NTQz1Z
JmFtcDtORVdTPU4mYW1wO1BBR0U9ZnVsbHRleHQmYW1wO0Q9bWVkOCZhbXA7QU49MjIxMjYyMTg8
L3VybD48dXJsPmh0dHA6Ly9vcGVudXJsLmJpYnN5cy5uby9vcGVudXJsP290b29sPWlub2lwaGxp
Yj9zaWQ9T1ZJRDptZWRsaW5lJmFtcDtpZD1wbWlkOjIyMTI2MjE4JmFtcDtpZD1kb2k6MTAuMzEw
OSUyRjAyODEzNDMyLjIwMTEuNjI5MTUwJmFtcDtpc3NuPTAyODEtMzQzMiZhbXA7aXNibj0mYW1w
O3ZvbHVtZT0yOSZhbXA7aXNzdWU9NCZhbXA7c3BhZ2U9MTk4JmFtcDtwYWdlcz0xOTgtMjA5JmFt
cDtkYXRlPTIwMTEmYW1wO3RpdGxlPVNjYW5kaW5hdmlhbitKb3VybmFsK29mK1ByaW1hcnkrSGVh
bHRoK0NhcmUmYW1wO2F0aXRsZT1TYWZldHkrb2YrdGVsZXBob25lK3RyaWFnZStpbitvdXQtb2Yt
aG91cnMrY2FyZSUzQSthK3N5c3RlbWF0aWMrcmV2aWV3LiZhbXA7YXVsYXN0PUh1aWJlcnMmYW1w
O3BpZD0lM0NhdXRob3IlM0VIdWliZXJzK0wlM0MlMkZhdXRob3IlM0UlM0NBTiUzRTIyMTI2MjE4
JTNDJTJGQU4lM0UlM0NEVCUzRUpvdXJuYWwrQXJ0aWNsZSUzQyUyRkRUJTNFPC91cmw+PC9yZWxh
dGVkLXVybHM+PC91cmxzPjxyZW1vdGUtZGF0YWJhc2UtbmFtZT5NRURMSU5FPC9yZW1vdGUtZGF0
YWJhc2UtbmFtZT48cmVtb3RlLWRhdGFiYXNlLXByb3ZpZGVyPk92aWQgVGVjaG5vbG9naWVzPC9y
ZW1vdGUtZGF0YWJhc2UtcHJvdmlkZXI+PGxhbmd1YWdlPkVuZ2xpc2g8L2xhbmd1YWdlPjwvcmVj
b3JkPjwvQ2l0ZT48L0VuZE5vdGU+
</w:fldData>
        </w:fldChar>
      </w:r>
      <w:r w:rsidR="004654FD">
        <w:instrText xml:space="preserve"> ADDIN EN.CITE.DATA </w:instrText>
      </w:r>
      <w:r w:rsidR="004654FD">
        <w:fldChar w:fldCharType="end"/>
      </w:r>
      <w:r w:rsidR="001F2003">
        <w:fldChar w:fldCharType="separate"/>
      </w:r>
      <w:r w:rsidR="004654FD">
        <w:rPr>
          <w:noProof/>
        </w:rPr>
        <w:t>(Huibers et al., 2011)</w:t>
      </w:r>
      <w:r w:rsidR="001F2003">
        <w:fldChar w:fldCharType="end"/>
      </w:r>
      <w:r w:rsidR="006170A0">
        <w:t>.</w:t>
      </w:r>
    </w:p>
    <w:p w14:paraId="20492FBE" w14:textId="77777777" w:rsidR="00D9107F" w:rsidRDefault="0022435F" w:rsidP="00FB3696">
      <w:pPr>
        <w:jc w:val="both"/>
      </w:pPr>
      <w:r>
        <w:t>Det praktiseres overtriagering av henvendelsene til legevaktsentral og AMK. Det innebærer at det heller settes en høyere enn lavere alvorlighetsgrad enn det som antas å være den reelle situasjonen, for å sikre at kritisk syke fanges opp. Overtriagering kan også knyttes til Norsk Indeks, beslutningsstøtteverktøyet AMK og LVS bruker, hvor enkelte hendelser triageres som akutt, selv om pasientens tilstand tilsier mindre alvorlighet</w:t>
      </w:r>
      <w:r w:rsidR="1E06B8B4">
        <w:t xml:space="preserve"> </w:t>
      </w:r>
      <w:r w:rsidR="001F2003">
        <w:fldChar w:fldCharType="begin"/>
      </w:r>
      <w:r w:rsidR="004654FD">
        <w:instrText xml:space="preserve"> ADDIN EN.CITE &lt;EndNote&gt;&lt;Cite&gt;&lt;Author&gt;Kvinge&lt;/Author&gt;&lt;Year&gt;2013&lt;/Year&gt;&lt;RecNum&gt;348&lt;/RecNum&gt;&lt;DisplayText&gt;(Kvinge, 2013)&lt;/DisplayText&gt;&lt;record&gt;&lt;rec-number&gt;348&lt;/rec-number&gt;&lt;foreign-keys&gt;&lt;key app="EN" db-id="95tpr2tp6r9xwoea9rb5wdsz5ds5xeddteew" timestamp="1680069511"&gt;348&lt;/key&gt;&lt;/foreign-keys&gt;&lt;ref-type name="Report"&gt;27&lt;/ref-type&gt;&lt;contributors&gt;&lt;authors&gt;&lt;author&gt;Kvinge, F. H.&lt;/author&gt;&lt;/authors&gt;&lt;tertiary-authors&gt;&lt;author&gt;Universitetet i Oslo&lt;/author&gt;&lt;/tertiary-authors&gt;&lt;/contributors&gt;&lt;titles&gt;&lt;title&gt;Hvordan samsvarer AMIS-notatet på AMK med ambulansejournalen i ambulansetjenesten i Oslo og Akershus? : En retrospektiv studie av arkiverte akutt – og hasteoppdrags journaler i ambulansetjenesten i Oslo og Akershus fra februar, mars og april 2009.&lt;/title&gt;&lt;/titles&gt;&lt;dates&gt;&lt;year&gt;2013&lt;/year&gt;&lt;/dates&gt;&lt;publisher&gt;Medisinsk fakultet&lt;/publisher&gt;&lt;urls&gt;&lt;related-urls&gt;&lt;url&gt;https://www.duo.uio.no/bitstream/handle/10852/38335/Prosjektoppgavenxendeligxversjonx05.07.13.pdf?sequence=1&lt;/url&gt;&lt;/related-urls&gt;&lt;/urls&gt;&lt;/record&gt;&lt;/Cite&gt;&lt;/EndNote&gt;</w:instrText>
      </w:r>
      <w:r w:rsidR="001F2003">
        <w:fldChar w:fldCharType="separate"/>
      </w:r>
      <w:r w:rsidR="001F2003">
        <w:rPr>
          <w:noProof/>
        </w:rPr>
        <w:t>(Kvinge, 2013)</w:t>
      </w:r>
      <w:r w:rsidR="001F2003">
        <w:fldChar w:fldCharType="end"/>
      </w:r>
      <w:r w:rsidR="006170A0">
        <w:t>.</w:t>
      </w:r>
      <w:r w:rsidR="00642C0A">
        <w:t xml:space="preserve"> </w:t>
      </w:r>
      <w:r>
        <w:t>Det kan gi unødig bruk av ambulanse. Det er en pågående diskusjon om egnethet av beslutningsstøtteverktøyet Norsk Index, både til overtriagering som fører til unødig ressursbruk</w:t>
      </w:r>
      <w:r w:rsidR="007E65DE">
        <w:t>,</w:t>
      </w:r>
      <w:r>
        <w:t xml:space="preserve"> og til at den er mangelfull for enkelte alvorlige tilstander. Legevaktsentralene benytter en versjon av Norsk Index tilpasset for legevakt, denne er ikke validert for legevakt.</w:t>
      </w:r>
    </w:p>
    <w:p w14:paraId="0CC229C1" w14:textId="77777777" w:rsidR="00D9107F" w:rsidRDefault="00407E44" w:rsidP="00FB3696">
      <w:pPr>
        <w:jc w:val="both"/>
        <w:rPr>
          <w:rFonts w:cstheme="minorHAnsi"/>
        </w:rPr>
      </w:pPr>
      <w:r>
        <w:t>Ekspertutvalget anbefaler g</w:t>
      </w:r>
      <w:r w:rsidRPr="00D631AD">
        <w:rPr>
          <w:rFonts w:cstheme="minorHAnsi"/>
        </w:rPr>
        <w:t xml:space="preserve">jennomgang og evaluering av </w:t>
      </w:r>
      <w:r w:rsidR="00710B55">
        <w:rPr>
          <w:rFonts w:cstheme="minorHAnsi"/>
          <w:bCs/>
        </w:rPr>
        <w:t>t</w:t>
      </w:r>
      <w:r w:rsidR="00710B55" w:rsidRPr="00C0378D">
        <w:rPr>
          <w:rFonts w:cstheme="minorHAnsi"/>
          <w:bCs/>
        </w:rPr>
        <w:t>riagerings- og prioriteringsverktøy</w:t>
      </w:r>
      <w:r w:rsidRPr="00D9107F">
        <w:rPr>
          <w:rStyle w:val="halvfet"/>
        </w:rPr>
        <w:t xml:space="preserve"> </w:t>
      </w:r>
      <w:r w:rsidRPr="00D631AD">
        <w:rPr>
          <w:rFonts w:cstheme="minorHAnsi"/>
        </w:rPr>
        <w:t xml:space="preserve">i legevaktsentral og legevakt, </w:t>
      </w:r>
      <w:r w:rsidR="00710B55">
        <w:rPr>
          <w:rFonts w:cstheme="minorHAnsi"/>
        </w:rPr>
        <w:t xml:space="preserve">og </w:t>
      </w:r>
      <w:r w:rsidRPr="00D631AD">
        <w:rPr>
          <w:rFonts w:cstheme="minorHAnsi"/>
        </w:rPr>
        <w:t>ved behov utvikle/videreutvikle og teste et egnet verktøy.</w:t>
      </w:r>
    </w:p>
    <w:p w14:paraId="44D383C6" w14:textId="32B960C5" w:rsidR="0022435F" w:rsidRDefault="0022435F" w:rsidP="00775632">
      <w:pPr>
        <w:pStyle w:val="Overskrift4"/>
      </w:pPr>
      <w:bookmarkStart w:id="4636" w:name="_Toc130983652"/>
      <w:bookmarkStart w:id="4637" w:name="_Toc130984001"/>
      <w:bookmarkStart w:id="4638" w:name="_Toc131238559"/>
      <w:bookmarkStart w:id="4639" w:name="_Toc131279597"/>
      <w:bookmarkStart w:id="4640" w:name="_Toc131287009"/>
      <w:bookmarkStart w:id="4641" w:name="_Toc131281419"/>
      <w:bookmarkStart w:id="4642" w:name="_Toc131317959"/>
      <w:r>
        <w:lastRenderedPageBreak/>
        <w:t xml:space="preserve">Sammenheng mellom avlønning i legevakt og </w:t>
      </w:r>
      <w:bookmarkEnd w:id="4636"/>
      <w:bookmarkEnd w:id="4637"/>
      <w:bookmarkEnd w:id="4638"/>
      <w:bookmarkEnd w:id="4639"/>
      <w:bookmarkEnd w:id="4640"/>
      <w:bookmarkEnd w:id="4641"/>
      <w:bookmarkEnd w:id="4642"/>
      <w:r>
        <w:t>portv</w:t>
      </w:r>
      <w:r w:rsidR="007A721A">
        <w:t>a</w:t>
      </w:r>
      <w:r>
        <w:t>ktfunksjon</w:t>
      </w:r>
    </w:p>
    <w:p w14:paraId="73D2B50F" w14:textId="77777777" w:rsidR="00D9107F" w:rsidRDefault="0022435F" w:rsidP="004F1500">
      <w:r>
        <w:t>Arbeidstid i legevakt er knyttet til omfanget av pasientkontakter og arbeidsmengde i vakt</w:t>
      </w:r>
      <w:r w:rsidR="00046057">
        <w:t>, som igjen</w:t>
      </w:r>
      <w:r w:rsidR="00046057" w:rsidRPr="4977572C">
        <w:t xml:space="preserve"> </w:t>
      </w:r>
      <w:r w:rsidRPr="4977572C">
        <w:t>påvirkes av portvokterfunksjonen inn til legevakt. Det er relevant å vurdere om aktivitetsbasert finansiering er egnet i legevakt</w:t>
      </w:r>
      <w:r>
        <w:t xml:space="preserve">, </w:t>
      </w:r>
      <w:r w:rsidR="00046057">
        <w:t>for</w:t>
      </w:r>
      <w:r>
        <w:t xml:space="preserve"> å styre arbeidsmengde for personell i vakt og pågang av pasienter</w:t>
      </w:r>
      <w:r w:rsidRPr="4977572C">
        <w:t xml:space="preserve">. </w:t>
      </w:r>
      <w:r>
        <w:t xml:space="preserve">Takstsystemet </w:t>
      </w:r>
      <w:r w:rsidRPr="4977572C">
        <w:t>oppmuntrer til høy aktivitet</w:t>
      </w:r>
      <w:r>
        <w:t xml:space="preserve"> som er ønskelig i flere sammenhenger. Samtidig</w:t>
      </w:r>
      <w:r w:rsidRPr="4977572C">
        <w:t xml:space="preserve"> gjør </w:t>
      </w:r>
      <w:r>
        <w:t xml:space="preserve">den </w:t>
      </w:r>
      <w:r w:rsidRPr="4977572C">
        <w:t>aktiviteten i legevakt inntekstdrevet og</w:t>
      </w:r>
      <w:r>
        <w:t xml:space="preserve"> kan påvirke legens beslutninger for prioritering og behandling</w:t>
      </w:r>
      <w:r w:rsidR="5FB398E2" w:rsidRPr="2100EA6B">
        <w:t xml:space="preserve"> </w:t>
      </w:r>
      <w:r w:rsidR="001F2003">
        <w:fldChar w:fldCharType="begin"/>
      </w:r>
      <w:r w:rsidR="00A27571">
        <w:instrText xml:space="preserve"> ADDIN EN.CITE &lt;EndNote&gt;&lt;Cite&gt;&lt;Author&gt;Godager&lt;/Author&gt;&lt;Year&gt;2015&lt;/Year&gt;&lt;RecNum&gt;246&lt;/RecNum&gt;&lt;DisplayText&gt;(Godager et al., 2015b)&lt;/DisplayText&gt;&lt;record&gt;&lt;rec-number&gt;246&lt;/rec-number&gt;&lt;foreign-keys&gt;&lt;key app="EN" db-id="95tpr2tp6r9xwoea9rb5wdsz5ds5xeddteew" timestamp="1680069511"&gt;246&lt;/key&gt;&lt;/foreign-keys&gt;&lt;ref-type name="Report"&gt;27&lt;/ref-type&gt;&lt;contributors&gt;&lt;authors&gt;&lt;author&gt;Godager, G.,&lt;/author&gt;&lt;author&gt;Iversen, T.,&lt;/author&gt;&lt;author&gt;Morken, T.,&lt;/author&gt;&lt;author&gt;Hunskår, S.&lt;/author&gt;&lt;/authors&gt;&lt;/contributors&gt;&lt;titles&gt;&lt;title&gt;Fastlønn ved legevaktarbeid &lt;/title&gt;&lt;secondary-title&gt;Rapport&lt;/secondary-title&gt;&lt;/titles&gt;&lt;number&gt;4-2015&lt;/number&gt;&lt;dates&gt;&lt;year&gt;2015&lt;/year&gt;&lt;/dates&gt;&lt;pub-location&gt;Bergen&lt;/pub-location&gt;&lt;publisher&gt;Nasjonalt kompetansesenter for legevaktmedisin&lt;/publisher&gt;&lt;urls&gt;&lt;/urls&gt;&lt;/record&gt;&lt;/Cite&gt;&lt;/EndNote&gt;</w:instrText>
      </w:r>
      <w:r w:rsidR="001F2003">
        <w:fldChar w:fldCharType="separate"/>
      </w:r>
      <w:r w:rsidR="00856689">
        <w:rPr>
          <w:noProof/>
        </w:rPr>
        <w:t>(Godager et al., 2015b)</w:t>
      </w:r>
      <w:r w:rsidR="001F2003">
        <w:fldChar w:fldCharType="end"/>
      </w:r>
      <w:r w:rsidR="006170A0">
        <w:t>,</w:t>
      </w:r>
      <w:r>
        <w:t xml:space="preserve"> og</w:t>
      </w:r>
      <w:r w:rsidRPr="4977572C">
        <w:t xml:space="preserve"> </w:t>
      </w:r>
      <w:r>
        <w:t xml:space="preserve">slik bidra til å </w:t>
      </w:r>
      <w:r w:rsidRPr="4977572C">
        <w:t>svekke portv</w:t>
      </w:r>
      <w:r w:rsidR="00EB11F4">
        <w:t>a</w:t>
      </w:r>
      <w:r w:rsidRPr="4977572C">
        <w:t xml:space="preserve">ktfunksjonen. </w:t>
      </w:r>
      <w:r>
        <w:t>Motsatt kan fastlønn gi bedre siling av pasienthenvendelser og bidrar til en bedre portv</w:t>
      </w:r>
      <w:r w:rsidR="00EB11F4">
        <w:t>a</w:t>
      </w:r>
      <w:r>
        <w:t>ktfunksjon. Redusert arbeidsmengde i legevakt kan igjen medføre lavere arbeidstid for lege i vakt.</w:t>
      </w:r>
    </w:p>
    <w:p w14:paraId="4522536D" w14:textId="28738C1B" w:rsidR="00046057" w:rsidRPr="00522220" w:rsidRDefault="00046057" w:rsidP="004F1500">
      <w:pPr>
        <w:rPr>
          <w:color w:val="000000"/>
        </w:rPr>
      </w:pPr>
      <w:r>
        <w:t>Avlønningsformer i legevakt varierer mellom kommunene</w:t>
      </w:r>
      <w:r w:rsidR="00F533FC" w:rsidRPr="00F533FC">
        <w:t>,</w:t>
      </w:r>
      <w:r>
        <w:t xml:space="preserve"> i </w:t>
      </w:r>
      <w:r w:rsidRPr="00B34099">
        <w:t>ulike kombinasjoner av fastlønn og selvstendig næringsdrift</w:t>
      </w:r>
      <w:r>
        <w:t xml:space="preserve">. </w:t>
      </w:r>
      <w:r w:rsidRPr="7AE3BB63">
        <w:t xml:space="preserve">For </w:t>
      </w:r>
      <w:r w:rsidR="007E65DE">
        <w:t>fast</w:t>
      </w:r>
      <w:r w:rsidRPr="7AE3BB63">
        <w:t>leger</w:t>
      </w:r>
      <w:r>
        <w:t xml:space="preserve"> i næringsdrift gis også beredskapstillegg i kommuner med lavere aktivitet i legevakt. </w:t>
      </w:r>
      <w:r w:rsidRPr="2815269B">
        <w:t>Tillegget</w:t>
      </w:r>
      <w:r>
        <w:t xml:space="preserve"> er høyere i kommuner hvor antatt aktivitet er lav, for å kompensere for lav inntjening fra takster. Grunnet mindre aktivitet har leger i distrikt </w:t>
      </w:r>
      <w:r w:rsidRPr="2843530D">
        <w:t>allikevel</w:t>
      </w:r>
      <w:r>
        <w:t xml:space="preserve"> ofte lavere inntekt enn i større byer, selv om de oftere har vakt. Inntekten er også uforutsigbar og varierende. </w:t>
      </w:r>
      <w:r w:rsidRPr="47DF7DC2">
        <w:t>Lav inntjening i legevakt</w:t>
      </w:r>
      <w:r>
        <w:t xml:space="preserve"> er forklaringen </w:t>
      </w:r>
      <w:r w:rsidRPr="47DF7DC2">
        <w:t xml:space="preserve">mange </w:t>
      </w:r>
      <w:r>
        <w:t xml:space="preserve">næringsdrivende </w:t>
      </w:r>
      <w:r w:rsidRPr="47DF7DC2">
        <w:t>fastleger</w:t>
      </w:r>
      <w:r>
        <w:t xml:space="preserve"> gir til at de</w:t>
      </w:r>
      <w:r w:rsidRPr="47DF7DC2">
        <w:t xml:space="preserve"> jobber </w:t>
      </w:r>
      <w:r>
        <w:rPr>
          <w:color w:val="000000"/>
        </w:rPr>
        <w:t xml:space="preserve">i egen praksis </w:t>
      </w:r>
      <w:r w:rsidRPr="47DF7DC2">
        <w:t xml:space="preserve">påfølgende dag </w:t>
      </w:r>
      <w:r>
        <w:rPr>
          <w:color w:val="000000"/>
        </w:rPr>
        <w:t>etter nattevakt, selv</w:t>
      </w:r>
      <w:r w:rsidRPr="47DF7DC2">
        <w:t xml:space="preserve"> om de har rett til fri.</w:t>
      </w:r>
      <w:r>
        <w:t xml:space="preserve"> Inntekt fra nattevakt dekker ikke opp for inntektstap og løpende utgifter i egen praksis</w:t>
      </w:r>
      <w:r w:rsidRPr="0B0DC42D">
        <w:t xml:space="preserve"> </w:t>
      </w:r>
      <w:r w:rsidR="00AE5A10">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AE5A10">
        <w:fldChar w:fldCharType="separate"/>
      </w:r>
      <w:r w:rsidR="00AE5A10">
        <w:rPr>
          <w:noProof/>
        </w:rPr>
        <w:t>(EY og Vista Analyse, 2019)</w:t>
      </w:r>
      <w:r w:rsidR="00AE5A10">
        <w:fldChar w:fldCharType="end"/>
      </w:r>
      <w:r>
        <w:t>.</w:t>
      </w:r>
    </w:p>
    <w:p w14:paraId="39EAA8BB" w14:textId="77777777" w:rsidR="00D9107F" w:rsidRDefault="00046057" w:rsidP="004F1500">
      <w:r>
        <w:t>Hensiktsmessighet ved aktivitetsbasert avlønning i en tjeneste med høy grad av beredskap er også påpekt i to nylige rapporter, av henholdsvis Helsedirektoratet og partssammensatt arbeidsgruppe i legevakt</w:t>
      </w:r>
      <w:r w:rsidRPr="0B0DC42D">
        <w:t xml:space="preserve"> </w:t>
      </w:r>
      <w:r>
        <w:fldChar w:fldCharType="begin"/>
      </w:r>
      <w:r w:rsidR="00235862">
        <w:instrText xml:space="preserve"> ADDIN EN.CITE &lt;EndNote&gt;&lt;Cite&gt;&lt;Author&gt;Helsedirektoratet&lt;/Author&gt;&lt;Year&gt;2023&lt;/Year&gt;&lt;RecNum&gt;609&lt;/RecNum&gt;&lt;DisplayText&gt;(Helsedirektoratet, 2023b, 2023e)&lt;/DisplayText&gt;&lt;record&gt;&lt;rec-number&gt;609&lt;/rec-number&gt;&lt;foreign-keys&gt;&lt;key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Cite&gt;&lt;Author&gt;Helsedirektoratet&lt;/Author&gt;&lt;Year&gt;2023&lt;/Year&gt;&lt;RecNum&gt;64&lt;/RecNum&gt;&lt;record&gt;&lt;rec-number&gt;64&lt;/rec-number&gt;&lt;foreign-keys&gt;&lt;key app="EN" db-id="95tpr2tp6r9xwoea9rb5wdsz5ds5xeddteew" timestamp="1680069511"&gt;64&lt;/key&gt;&lt;/foreign-keys&gt;&lt;ref-type name="Report"&gt;27&lt;/ref-type&gt;&lt;contributors&gt;&lt;authors&gt;&lt;author&gt;Helsedirektoratet&lt;/author&gt;&lt;/authors&gt;&lt;/contributors&gt;&lt;titles&gt;&lt;title&gt;Besvarelse av oppdrag i tildelingsbrev, TB2022-22. Vurdere endringer i regulering og finansiering av legevakttjenesten for å skape bærekraftige løsninger&lt;/title&gt;&lt;/titles&gt;&lt;dates&gt;&lt;year&gt;2023&lt;/year&gt;&lt;/dates&gt;&lt;pub-location&gt;Oslo&lt;/pub-location&gt;&lt;publisher&gt;Helse- og omsorgsdepartementet&lt;/publisher&gt;&lt;urls&gt;&lt;/urls&gt;&lt;/record&gt;&lt;/Cite&gt;&lt;Cite&gt;&lt;Author&gt;Helsedirektoratet&lt;/Author&gt;&lt;Year&gt;2023&lt;/Year&gt;&lt;RecNum&gt;609&lt;/RecNum&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fldChar w:fldCharType="separate"/>
      </w:r>
      <w:r w:rsidR="00C32115">
        <w:rPr>
          <w:noProof/>
        </w:rPr>
        <w:t>(Helsedirektoratet, 2023b, 2023e)</w:t>
      </w:r>
      <w:r>
        <w:fldChar w:fldCharType="end"/>
      </w:r>
      <w:r>
        <w:t>.</w:t>
      </w:r>
      <w:r w:rsidRPr="2BE6ACB6">
        <w:t xml:space="preserve"> </w:t>
      </w:r>
      <w:r>
        <w:t xml:space="preserve">Helsedirektoratets utredning av finansiering av legevakttjenesten viser også til at overgang til fastlønn, og </w:t>
      </w:r>
      <w:r w:rsidRPr="28F97424">
        <w:t>forutsigbarhet</w:t>
      </w:r>
      <w:r>
        <w:t xml:space="preserve"> i inntekt for legen, kan være rekrutterende til legevakt. Samtidig gir det forutsigbarhet i utgifter for kommunen. Rekrutteringsvirkningen kan tenkes å være større i mindre sentrale kommuner siden befolkningsgrunnlag er for lite til å gi en </w:t>
      </w:r>
      <w:r w:rsidRPr="5D6BA3ED">
        <w:t>tilfredsstillende</w:t>
      </w:r>
      <w:r>
        <w:t xml:space="preserve"> inntekt fra takst og beredskapstillegg. Som et alternativ til fastlønn kan økning av satsene for beredskapstillegg gi en tilsvarende effekt på rekruttering til legevakt.</w:t>
      </w:r>
    </w:p>
    <w:p w14:paraId="16108EE3" w14:textId="77777777" w:rsidR="00D9107F" w:rsidRDefault="00046057" w:rsidP="004F1500">
      <w:r>
        <w:t>Mange kommuner tilbyr fastlønn i legevakt i dag, blant annet for å rekruttere tilstrekkelig leger til tjenesten</w:t>
      </w:r>
      <w:r w:rsidR="3744A6F6" w:rsidRPr="5735F3CA">
        <w:t xml:space="preserve"> </w:t>
      </w:r>
      <w:r w:rsidR="00B87F6D">
        <w:fldChar w:fldCharType="begin"/>
      </w:r>
      <w:r w:rsidR="00A930FB">
        <w:instrText xml:space="preserve"> ADDIN EN.CITE &lt;EndNote&gt;&lt;Cite&gt;&lt;Author&gt;og&lt;/Author&gt;&lt;Year&gt;2020&lt;/Year&gt;&lt;RecNum&gt;857&lt;/RecNum&gt;&lt;DisplayText&gt;(og et al., 2020)&lt;/DisplayText&gt;&lt;record&gt;&lt;rec-number&gt;857&lt;/rec-number&gt;&lt;foreign-keys&gt;&lt;key app="EN" db-id="95tpr2tp6r9xwoea9rb5wdsz5ds5xeddteew" timestamp="1680069511"&gt;857&lt;/key&gt;&lt;/foreign-keys&gt;&lt;ref-type name="Report"&gt;27&lt;/ref-type&gt;&lt;contributors&gt;&lt;authors&gt;&lt;author&gt;Ipsos og&lt;/author&gt;&lt;author&gt;Samfunnsøkonomisk analyse,&lt;/author&gt;&lt;/authors&gt;&lt;tertiary-authors&gt;&lt;author&gt;Ipsos&lt;/author&gt;&lt;/tertiary-authors&gt;&lt;/contributors&gt;&lt;titles&gt;&lt;title&gt;Variasjoner i finansiering av fastlegeordningen - andre oppfølgingsundersøkelse&lt;/title&gt;&lt;/titles&gt;&lt;dates&gt;&lt;year&gt;2020&lt;/year&gt;&lt;/dates&gt;&lt;pub-location&gt;Oslo&lt;/pub-location&gt;&lt;urls&gt;&lt;/urls&gt;&lt;/record&gt;&lt;/Cite&gt;&lt;/EndNote&gt;</w:instrText>
      </w:r>
      <w:r w:rsidR="00B87F6D">
        <w:fldChar w:fldCharType="separate"/>
      </w:r>
      <w:r w:rsidR="00A930FB">
        <w:rPr>
          <w:noProof/>
        </w:rPr>
        <w:t>(og et al., 2020)</w:t>
      </w:r>
      <w:r w:rsidR="00B87F6D">
        <w:fldChar w:fldCharType="end"/>
      </w:r>
      <w:r w:rsidR="006170A0">
        <w:t>.</w:t>
      </w:r>
      <w:r w:rsidR="0022435F">
        <w:t xml:space="preserve"> Fastlønn kan slik bidra til å stabilisere vaktlaget og gjør vaktordningen mindre sårbar, som igjen reduserer risikoen for vakante vakter og behovet for å påta seg ekstravakter.</w:t>
      </w:r>
    </w:p>
    <w:p w14:paraId="0C2C3B69" w14:textId="7A57D197" w:rsidR="0022435F" w:rsidRPr="00AB0366" w:rsidRDefault="00046057" w:rsidP="004F1500">
      <w:pPr>
        <w:rPr>
          <w:color w:val="000000"/>
        </w:rPr>
      </w:pPr>
      <w:r>
        <w:t>Mulige ulemper ved</w:t>
      </w:r>
      <w:r w:rsidR="0022435F">
        <w:t xml:space="preserve"> fastlønn i legevakt </w:t>
      </w:r>
      <w:r>
        <w:t>er</w:t>
      </w:r>
      <w:r w:rsidR="0022435F">
        <w:t xml:space="preserve"> for stor nedgang i aktivitet og lavt volum av legetjenester, på grunn av manglende insentiv for aktivitet. </w:t>
      </w:r>
      <w:r>
        <w:t>Ifølge Helsedirektoratets utredning</w:t>
      </w:r>
      <w:r>
        <w:rPr>
          <w:color w:val="000000"/>
        </w:rPr>
        <w:t xml:space="preserve"> er</w:t>
      </w:r>
      <w:r w:rsidR="0022435F">
        <w:rPr>
          <w:color w:val="000000"/>
        </w:rPr>
        <w:t xml:space="preserve"> det ikke </w:t>
      </w:r>
      <w:r>
        <w:rPr>
          <w:color w:val="000000"/>
        </w:rPr>
        <w:t>klart</w:t>
      </w:r>
      <w:r w:rsidR="0022435F">
        <w:rPr>
          <w:color w:val="000000"/>
        </w:rPr>
        <w:t xml:space="preserve"> om fastlønn generelt kan foretrekkes framfor takstbasert avlønning</w:t>
      </w:r>
      <w:r>
        <w:rPr>
          <w:color w:val="000000"/>
        </w:rPr>
        <w:t>. Det er også</w:t>
      </w:r>
      <w:r w:rsidR="0022435F">
        <w:rPr>
          <w:color w:val="000000"/>
        </w:rPr>
        <w:t xml:space="preserve"> behov for mer kunnskap om effekt av avlønningsformene på aktivitet og kapasitet på legevakt. Partssammensatt arbeidsgruppe vurderer at mer forutsigbar avlønning av legevakt </w:t>
      </w:r>
      <w:r w:rsidR="0022435F">
        <w:rPr>
          <w:color w:val="000000"/>
        </w:rPr>
        <w:lastRenderedPageBreak/>
        <w:t xml:space="preserve">kan ha positive effekter, særlig for LIS1 leger som nå må etablere seg som næringsdrivende for å kunne takste for seks </w:t>
      </w:r>
      <w:r>
        <w:rPr>
          <w:color w:val="000000"/>
        </w:rPr>
        <w:t>måneders</w:t>
      </w:r>
      <w:r w:rsidR="0022435F">
        <w:rPr>
          <w:color w:val="000000"/>
        </w:rPr>
        <w:t xml:space="preserve"> tjeneste. Arbeidsgruppen tilrår en gjennomgang av </w:t>
      </w:r>
      <w:r>
        <w:rPr>
          <w:color w:val="000000"/>
        </w:rPr>
        <w:t>finansieringsordningen</w:t>
      </w:r>
      <w:r w:rsidR="0022435F">
        <w:rPr>
          <w:color w:val="000000"/>
        </w:rPr>
        <w:t xml:space="preserve"> for legevakt</w:t>
      </w:r>
      <w:r w:rsidR="2A370730" w:rsidRPr="5C104E61">
        <w:t xml:space="preserve"> </w:t>
      </w:r>
      <w:r w:rsidR="00B87F6D">
        <w:fldChar w:fldCharType="begin"/>
      </w:r>
      <w:r w:rsidR="00235862">
        <w:instrText xml:space="preserve"> ADDIN EN.CITE &lt;EndNote&gt;&lt;Cite&gt;&lt;Author&gt;Helsedirektoratet&lt;/Author&gt;&lt;Year&gt;2023&lt;/Year&gt;&lt;RecNum&gt;609&lt;/RecNum&gt;&lt;DisplayText&gt;(Helsedirektoratet, 2023e)&lt;/DisplayText&gt;&lt;record&gt;&lt;rec-number&gt;609&lt;/rec-number&gt;&lt;foreign-keys&gt;&lt;key app="EN" db-id="95tpr2tp6r9xwoea9rb5wdsz5ds5xeddteew" timestamp="1680069511"&gt;609&lt;/key&gt;&lt;/foreign-keys&gt;&lt;ref-type name="Report"&gt;27&lt;/ref-type&gt;&lt;contributors&gt;&lt;authors&gt;&lt;author&gt;Helsedirektoratet&lt;/author&gt;&lt;/authors&gt;&lt;/contributors&gt;&lt;titles&gt;&lt;title&gt;Partssammensatt arbeidsgruppe på legevakt. Sluttrapport del 2&lt;/title&gt;&lt;/titles&gt;&lt;dates&gt;&lt;year&gt;2023&lt;/year&gt;&lt;/dates&gt;&lt;pub-location&gt;Oslo&lt;/pub-location&gt;&lt;publisher&gt;Helsedirektoratet&lt;/publisher&gt;&lt;urls&gt;&lt;/urls&gt;&lt;/record&gt;&lt;/Cite&gt;&lt;/EndNote&gt;</w:instrText>
      </w:r>
      <w:r w:rsidR="00B87F6D">
        <w:fldChar w:fldCharType="separate"/>
      </w:r>
      <w:r w:rsidR="00C32115">
        <w:rPr>
          <w:noProof/>
        </w:rPr>
        <w:t>(Helsedirektoratet, 2023e)</w:t>
      </w:r>
      <w:r w:rsidR="00B87F6D">
        <w:fldChar w:fldCharType="end"/>
      </w:r>
      <w:r w:rsidR="006170A0">
        <w:t>.</w:t>
      </w:r>
    </w:p>
    <w:p w14:paraId="17EFEAC3" w14:textId="5DB3EDC1" w:rsidR="0022435F" w:rsidRDefault="0022435F" w:rsidP="004F1500">
      <w:r>
        <w:t>Ekspertutvalget vurderer at fastlønn</w:t>
      </w:r>
      <w:r w:rsidRPr="00D9107F">
        <w:rPr>
          <w:rStyle w:val="kursiv"/>
        </w:rPr>
        <w:t xml:space="preserve"> </w:t>
      </w:r>
      <w:r w:rsidRPr="00A00AA6">
        <w:t>i</w:t>
      </w:r>
      <w:r w:rsidRPr="00D9107F">
        <w:rPr>
          <w:rStyle w:val="kursiv"/>
        </w:rPr>
        <w:t xml:space="preserve"> </w:t>
      </w:r>
      <w:r w:rsidRPr="00DB4F44">
        <w:t>legevakt</w:t>
      </w:r>
      <w:r>
        <w:t xml:space="preserve"> er et nyttig grep for å redusere arbeidsmengden, ved at portv</w:t>
      </w:r>
      <w:r w:rsidR="0061338B">
        <w:t>a</w:t>
      </w:r>
      <w:r>
        <w:t xml:space="preserve">ktfunksjonene inn til legevakt styrkes. </w:t>
      </w:r>
      <w:r w:rsidR="00046057">
        <w:t xml:space="preserve">Ekspertutvalget mener også at fastlønn </w:t>
      </w:r>
      <w:r w:rsidR="007C193B">
        <w:t xml:space="preserve">vil </w:t>
      </w:r>
      <w:r w:rsidR="00F533FC">
        <w:t xml:space="preserve">kunne </w:t>
      </w:r>
      <w:r w:rsidR="00046057">
        <w:t>styrke</w:t>
      </w:r>
      <w:r w:rsidR="007C193B">
        <w:t xml:space="preserve"> </w:t>
      </w:r>
      <w:r w:rsidR="00046057">
        <w:t>rekrutteringen til legevakt</w:t>
      </w:r>
      <w:r w:rsidR="00F533FC">
        <w:t>,</w:t>
      </w:r>
      <w:r w:rsidR="00046057">
        <w:t xml:space="preserve"> ved å gir bedre kompensasjon og forutsigbar lønn for leger i vakt. </w:t>
      </w:r>
      <w:r>
        <w:t xml:space="preserve">Ekspertutvalget </w:t>
      </w:r>
      <w:r w:rsidRPr="00084654">
        <w:rPr>
          <w:rFonts w:cstheme="minorHAnsi"/>
        </w:rPr>
        <w:t>anbefaler</w:t>
      </w:r>
      <w:r w:rsidR="00BA482E" w:rsidRPr="00084654">
        <w:rPr>
          <w:rFonts w:cstheme="minorHAnsi"/>
        </w:rPr>
        <w:t xml:space="preserve"> </w:t>
      </w:r>
      <w:r w:rsidR="00BA482E">
        <w:rPr>
          <w:rFonts w:cstheme="minorHAnsi"/>
        </w:rPr>
        <w:t xml:space="preserve">mer </w:t>
      </w:r>
      <w:r w:rsidR="00BA482E" w:rsidRPr="00084654">
        <w:rPr>
          <w:rFonts w:cstheme="minorHAnsi"/>
        </w:rPr>
        <w:t>bruk av</w:t>
      </w:r>
      <w:r w:rsidR="00BA482E">
        <w:t xml:space="preserve"> fastlønn for </w:t>
      </w:r>
      <w:r w:rsidR="00BA482E" w:rsidRPr="00084654">
        <w:rPr>
          <w:rFonts w:cstheme="minorHAnsi"/>
        </w:rPr>
        <w:t>alt legevaktarbeid</w:t>
      </w:r>
      <w:r w:rsidR="00BA482E">
        <w:t xml:space="preserve"> </w:t>
      </w:r>
      <w:r w:rsidR="00FC75D4">
        <w:t>for å bidra</w:t>
      </w:r>
      <w:r>
        <w:t xml:space="preserve"> til å redusere arbeidsmengde og -tid for lege i vakt, </w:t>
      </w:r>
      <w:r w:rsidR="00046057">
        <w:t xml:space="preserve">og rekruttering til legevakt. </w:t>
      </w:r>
      <w:r w:rsidR="00F533FC" w:rsidRPr="6F0483CE">
        <w:t>For</w:t>
      </w:r>
      <w:r w:rsidR="00A830AD" w:rsidRPr="6F0483CE">
        <w:t xml:space="preserve"> beredskap vises det til lignende avlønningsavtaler i øvrige deler av </w:t>
      </w:r>
      <w:r w:rsidR="00F533FC" w:rsidRPr="6F0483CE">
        <w:t xml:space="preserve">kommunen og </w:t>
      </w:r>
      <w:r w:rsidR="00A830AD" w:rsidRPr="6F0483CE">
        <w:t xml:space="preserve">helsevesenet. </w:t>
      </w:r>
      <w:r w:rsidR="00CB54BC" w:rsidRPr="00D97E47">
        <w:t>Ekspertutvalget viser også til anbefalingen om gjennomgang av finansieringssystemet for legevakt, omtalt i</w:t>
      </w:r>
      <w:r w:rsidR="00CB54BC">
        <w:t xml:space="preserve"> kapittel 8.5.7.</w:t>
      </w:r>
    </w:p>
    <w:p w14:paraId="5F0FEE03" w14:textId="49951B87" w:rsidR="00EE2DF9" w:rsidRDefault="3E7C4520" w:rsidP="00775632">
      <w:pPr>
        <w:pStyle w:val="Overskrift3"/>
      </w:pPr>
      <w:bookmarkStart w:id="4643" w:name="_Toc130763928"/>
      <w:bookmarkStart w:id="4644" w:name="_Toc130766823"/>
      <w:bookmarkStart w:id="4645" w:name="_Toc130932222"/>
      <w:bookmarkStart w:id="4646" w:name="_Toc130934513"/>
      <w:bookmarkStart w:id="4647" w:name="_Toc130983653"/>
      <w:bookmarkStart w:id="4648" w:name="_Toc130984002"/>
      <w:bookmarkStart w:id="4649" w:name="_Toc131062264"/>
      <w:bookmarkStart w:id="4650" w:name="_Toc131062518"/>
      <w:bookmarkStart w:id="4651" w:name="_Toc131062779"/>
      <w:bookmarkStart w:id="4652" w:name="_Toc131063032"/>
      <w:bookmarkStart w:id="4653" w:name="_Toc131063815"/>
      <w:bookmarkStart w:id="4654" w:name="_Toc131064226"/>
      <w:bookmarkStart w:id="4655" w:name="_Toc131238560"/>
      <w:bookmarkStart w:id="4656" w:name="_Toc131279598"/>
      <w:bookmarkStart w:id="4657" w:name="_Toc131287010"/>
      <w:bookmarkStart w:id="4658" w:name="_Toc131281420"/>
      <w:bookmarkStart w:id="4659" w:name="_Toc131317960"/>
      <w:bookmarkStart w:id="4660" w:name="_Toc132537062"/>
      <w:r>
        <w:t>Tilskudd til legevakt</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14:paraId="66F27630" w14:textId="2B07AD5A" w:rsidR="00D9107F" w:rsidRDefault="00512F40" w:rsidP="006B0AE5">
      <w:pPr>
        <w:jc w:val="both"/>
      </w:pPr>
      <w:r>
        <w:rPr>
          <w:rFonts w:eastAsiaTheme="minorEastAsia"/>
          <w:color w:val="212121"/>
        </w:rPr>
        <w:t xml:space="preserve">I </w:t>
      </w:r>
      <w:r w:rsidR="004A5624">
        <w:rPr>
          <w:rFonts w:eastAsiaTheme="minorEastAsia"/>
          <w:color w:val="212121"/>
        </w:rPr>
        <w:t xml:space="preserve">kapittel </w:t>
      </w:r>
      <w:r w:rsidR="00945608">
        <w:rPr>
          <w:rFonts w:eastAsiaTheme="minorEastAsia"/>
          <w:color w:val="212121"/>
        </w:rPr>
        <w:t>8</w:t>
      </w:r>
      <w:r w:rsidR="00D72BE7">
        <w:rPr>
          <w:rFonts w:eastAsiaTheme="minorEastAsia"/>
          <w:color w:val="212121"/>
        </w:rPr>
        <w:t>.3.4</w:t>
      </w:r>
      <w:r w:rsidR="3E7C4520" w:rsidRPr="1BBAF774">
        <w:rPr>
          <w:rFonts w:eastAsiaTheme="minorEastAsia"/>
          <w:color w:val="212121"/>
        </w:rPr>
        <w:t xml:space="preserve"> omtalte </w:t>
      </w:r>
      <w:r w:rsidR="00660602">
        <w:rPr>
          <w:rFonts w:eastAsiaTheme="minorEastAsia"/>
          <w:color w:val="212121"/>
        </w:rPr>
        <w:t>ekspertutvalget</w:t>
      </w:r>
      <w:r w:rsidR="3E7C4520" w:rsidRPr="1BBAF774">
        <w:rPr>
          <w:rFonts w:eastAsiaTheme="minorEastAsia"/>
          <w:color w:val="212121"/>
        </w:rPr>
        <w:t xml:space="preserve"> tilskuddet i 2022 på 50 millioner kroner som bidrag til å </w:t>
      </w:r>
      <w:r w:rsidR="00D9107F">
        <w:rPr>
          <w:rFonts w:eastAsiaTheme="minorEastAsia"/>
          <w:color w:val="212121"/>
        </w:rPr>
        <w:t>«</w:t>
      </w:r>
      <w:r w:rsidR="3E7C4520" w:rsidRPr="00D9107F">
        <w:rPr>
          <w:rStyle w:val="kursiv"/>
          <w:rFonts w:eastAsiaTheme="minorEastAsia"/>
        </w:rPr>
        <w:t xml:space="preserve">styrke </w:t>
      </w:r>
      <w:r w:rsidR="3E7C4520" w:rsidRPr="00D9107F">
        <w:rPr>
          <w:rStyle w:val="kursiv"/>
        </w:rPr>
        <w:t>legevakttjenesten og redusere vaktbelastningen i distriktskommuner</w:t>
      </w:r>
      <w:r w:rsidR="00D9107F">
        <w:t>»</w:t>
      </w:r>
      <w:r w:rsidR="3E7C4520">
        <w:t xml:space="preserve">. </w:t>
      </w:r>
      <w:r w:rsidR="3E7C4520" w:rsidRPr="1BBAF774">
        <w:rPr>
          <w:rFonts w:eastAsiaTheme="minorEastAsia"/>
          <w:color w:val="212121"/>
        </w:rPr>
        <w:t xml:space="preserve">Sentralitetsklasse 6 og befolkning &lt; 5000 innbyggere var en forutsetning for å kunne søke tilskudd. Tilskuddet ble fordelt på 40 kommuner. </w:t>
      </w:r>
      <w:r w:rsidR="3E7C4520">
        <w:t>Helsedirektoratet har anbefalt at tilskuddet videreføres.</w:t>
      </w:r>
    </w:p>
    <w:p w14:paraId="62FD59AE" w14:textId="144645DA" w:rsidR="00EE2DF9" w:rsidRDefault="00B7468D" w:rsidP="006B0AE5">
      <w:pPr>
        <w:jc w:val="both"/>
      </w:pPr>
      <w:r>
        <w:t>Mindre</w:t>
      </w:r>
      <w:r w:rsidR="3E7C4520">
        <w:t xml:space="preserve"> folkerike kommuner med lange reiseavstander internt i kommunen og til nabokommune(r) vil ha større utfordringer med å organisere legevakt og større kostnader til legevakt enn andre kommuner. En grunn kan være at lange avstander og reisetid gjør at deltakelse i interkommunal legevakt ikke er aktuelt. Dette gjelder blant annet for flere øykommuner. Tilskuddet til legevakt kan begrunnes med at kostnadsulempene ikke er tatt tilstrekkelig hensyn til i kostnadsnøkkelen for primærhelsetjenester i inntektssystemet for kommunene. For eksempel er kunnskapen om kommunale kostnader til legevakt mangelfull, slik det kommer fram av rapport fra SSB om kostnader til legevakt i kommunene, se kapittel 9.6.8.</w:t>
      </w:r>
    </w:p>
    <w:p w14:paraId="2C664FB1" w14:textId="15116975" w:rsidR="00EE2DF9" w:rsidRDefault="3E7C4520" w:rsidP="006B0AE5">
      <w:pPr>
        <w:jc w:val="both"/>
      </w:pPr>
      <w:r>
        <w:t>Det kan derfor være gode grunner for å ha et eget tilskudd for å kompensere kommuner for kostnadsulemper ved å tilby legevakt. Ulempen med et eget tilskudd er at saksbehandlingskostnadene kan bli betydelige.</w:t>
      </w:r>
    </w:p>
    <w:p w14:paraId="4DE23368" w14:textId="77777777" w:rsidR="00D9107F" w:rsidRDefault="3E7C4520" w:rsidP="006B0AE5">
      <w:pPr>
        <w:jc w:val="both"/>
      </w:pPr>
      <w:r>
        <w:t>Dette trekker i retning av å kompensere for kostnadsulempene i kostnadsnøkkelen for primærhelsetjenester i inntektssystemet for kommunene.</w:t>
      </w:r>
    </w:p>
    <w:p w14:paraId="5A03FF0A" w14:textId="7EACFFE7" w:rsidR="00EE2DF9" w:rsidRPr="00845CAA" w:rsidRDefault="00CC3829" w:rsidP="006B0AE5">
      <w:pPr>
        <w:jc w:val="both"/>
      </w:pPr>
      <w:r w:rsidRPr="00845CAA">
        <w:t xml:space="preserve">Ekspertutvalget anbefaler at kostnadsnøkkelen for primærhelsetjenester i inntektssystemet for kommunene blir justert for å ta hensyn til smådriftsulemper i drift av </w:t>
      </w:r>
      <w:r w:rsidR="00B644BF" w:rsidRPr="00845CAA">
        <w:t>legevakt</w:t>
      </w:r>
      <w:r w:rsidR="00845CAA">
        <w:t>.</w:t>
      </w:r>
    </w:p>
    <w:p w14:paraId="538AAB3E" w14:textId="5F3AAF22" w:rsidR="003A5A6C" w:rsidRDefault="00CA6FD3" w:rsidP="00775632">
      <w:pPr>
        <w:pStyle w:val="Overskrift3"/>
      </w:pPr>
      <w:bookmarkStart w:id="4661" w:name="_Toc130763929"/>
      <w:bookmarkStart w:id="4662" w:name="_Toc130766824"/>
      <w:bookmarkStart w:id="4663" w:name="_Toc130932223"/>
      <w:bookmarkStart w:id="4664" w:name="_Toc130934514"/>
      <w:bookmarkStart w:id="4665" w:name="_Toc130983654"/>
      <w:bookmarkStart w:id="4666" w:name="_Toc130984003"/>
      <w:bookmarkStart w:id="4667" w:name="_Toc131062265"/>
      <w:bookmarkStart w:id="4668" w:name="_Toc131062519"/>
      <w:bookmarkStart w:id="4669" w:name="_Toc131062780"/>
      <w:bookmarkStart w:id="4670" w:name="_Toc131063033"/>
      <w:bookmarkStart w:id="4671" w:name="_Toc131063816"/>
      <w:bookmarkStart w:id="4672" w:name="_Toc131064227"/>
      <w:bookmarkStart w:id="4673" w:name="_Toc131238561"/>
      <w:bookmarkStart w:id="4674" w:name="_Toc131279599"/>
      <w:bookmarkStart w:id="4675" w:name="_Toc131287011"/>
      <w:bookmarkStart w:id="4676" w:name="_Toc131281421"/>
      <w:bookmarkStart w:id="4677" w:name="_Toc131317961"/>
      <w:bookmarkStart w:id="4678" w:name="_Toc132537063"/>
      <w:r>
        <w:lastRenderedPageBreak/>
        <w:t xml:space="preserve">Finansiering av </w:t>
      </w:r>
      <w:r w:rsidR="00A1750F">
        <w:t xml:space="preserve">interkommunal </w:t>
      </w:r>
      <w:r>
        <w:t>legevakt</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7518CFE9" w14:textId="4E863D66" w:rsidR="00791CCE" w:rsidRDefault="00791CCE" w:rsidP="00517250">
      <w:pPr>
        <w:jc w:val="both"/>
      </w:pPr>
      <w:r>
        <w:t xml:space="preserve">Antallet legevaktdistrikt er redusert over tid, til 168 legevakter per 2022, hvorav 83 av disse er interkommunale legevakter. </w:t>
      </w:r>
      <w:r w:rsidR="007E2895">
        <w:t>Interkommunalt</w:t>
      </w:r>
      <w:r>
        <w:t xml:space="preserve"> legevaktsamarbeid har vært et viktig tiltak for å redusere vaktbelastning for fastleger i den enkelte kommune, oppnå en stabil vaktordning og bedre kvalitet i legevakt.</w:t>
      </w:r>
    </w:p>
    <w:p w14:paraId="75EA212B" w14:textId="4D2D5E09" w:rsidR="000E126B" w:rsidRDefault="00791CCE" w:rsidP="00517250">
      <w:pPr>
        <w:jc w:val="both"/>
      </w:pPr>
      <w:r>
        <w:t>Ekspertutvalget mener at finansieringssystemet bør oppmuntre til interkommunal legevakt der det er gunstig. Erfaringer fra interkommunale legevakter viser at det ikke alltid er slik.</w:t>
      </w:r>
    </w:p>
    <w:p w14:paraId="603A588D" w14:textId="77777777" w:rsidR="00D9107F" w:rsidRDefault="00E50AA7" w:rsidP="00517250">
      <w:pPr>
        <w:jc w:val="both"/>
      </w:pPr>
      <w:r>
        <w:rPr>
          <w:rFonts w:cstheme="minorHAnsi"/>
        </w:rPr>
        <w:t>Interkommunal legevakt kan være hensiktsmessig for å redusere vaktbelastningen for fastlegene. Systemet for finansiering av legevakt bør derfor oppmuntre kommunene til å etablere interkommunal legevakt når det er hensiktsmessig</w:t>
      </w:r>
      <w:r w:rsidRPr="49F9B91A">
        <w:t xml:space="preserve">. </w:t>
      </w:r>
      <w:r>
        <w:t>Ekspertu</w:t>
      </w:r>
      <w:r w:rsidRPr="49F9B91A">
        <w:t xml:space="preserve">tvalget anbefaler at </w:t>
      </w:r>
      <w:r>
        <w:t xml:space="preserve">finansieringsordningen for legevakt gjennomgås, </w:t>
      </w:r>
      <w:r w:rsidRPr="49F9B91A">
        <w:t>for å fjerne hindringer for etablering av interkommunal legevakt. Alternativt kan man vurdere å overføre fullt finansieringsansvar for legevakt til kommunene</w:t>
      </w:r>
      <w:r>
        <w:t>, noe som i så fall må utredes videre</w:t>
      </w:r>
      <w:r w:rsidRPr="49F9B91A">
        <w:t>.</w:t>
      </w:r>
      <w:r>
        <w:t xml:space="preserve"> </w:t>
      </w:r>
      <w:r>
        <w:rPr>
          <w:rFonts w:cstheme="minorHAnsi"/>
        </w:rPr>
        <w:t>Det vil være relevant å se en slik løsning i sammenheng med ekspertutvalgets drøfting av sørge-for-ansvar og finansieringsansvar for fastlegetjenesten i kapittel 4.5.</w:t>
      </w:r>
    </w:p>
    <w:p w14:paraId="6358DF38" w14:textId="527D6380" w:rsidR="00D9107F" w:rsidRDefault="00E50AA7" w:rsidP="008904EA">
      <w:pPr>
        <w:pStyle w:val="tittel-ramme"/>
        <w:jc w:val="left"/>
        <w:rPr>
          <w:rStyle w:val="kursiv"/>
        </w:rPr>
      </w:pPr>
      <w:r w:rsidRPr="00D9107F">
        <w:rPr>
          <w:rStyle w:val="kursiv"/>
        </w:rPr>
        <w:t>Søre Sunnmøre interkommunale legevakt</w:t>
      </w:r>
    </w:p>
    <w:tbl>
      <w:tblPr>
        <w:tblStyle w:val="StandardBoks"/>
        <w:tblW w:w="0" w:type="auto"/>
        <w:tblLook w:val="04A0" w:firstRow="1" w:lastRow="0" w:firstColumn="1" w:lastColumn="0" w:noHBand="0" w:noVBand="1"/>
      </w:tblPr>
      <w:tblGrid>
        <w:gridCol w:w="9736"/>
      </w:tblGrid>
      <w:tr w:rsidR="008904EA" w14:paraId="284C131A" w14:textId="77777777" w:rsidTr="008904EA">
        <w:tc>
          <w:tcPr>
            <w:tcW w:w="9736" w:type="dxa"/>
          </w:tcPr>
          <w:p w14:paraId="4B446F1E" w14:textId="70A648AB" w:rsidR="008904EA" w:rsidRPr="00D92E4D" w:rsidRDefault="008904EA" w:rsidP="008904EA">
            <w:r w:rsidRPr="00D92E4D">
              <w:t xml:space="preserve">Søre Sunnmøre legevakt ble etablert som interkommunal legevakt i 2021, ved sammenslåing av Volda, Ørsta og Herøy/Sande legevakter. Maksimal reiseavstand mellom de tre opprinnelige legevaktene var 20 minutter. Fastlegene har vært entydig positive etter omleggingen og har sjeldnere vakt og bedre arbeidsforhold når de har vakt. Den interkommunale legevakten rapporterer om bedret kvalitet på tjenesten etter at bemanningen er supplert med sykepleiere og ambulansearbeidere, blant annet med legebil der ambulansearbeider jobber i team med legen. </w:t>
            </w:r>
          </w:p>
          <w:p w14:paraId="573BB2ED" w14:textId="363EC94C" w:rsidR="008904EA" w:rsidRPr="008904EA" w:rsidRDefault="008904EA" w:rsidP="008904EA">
            <w:pPr>
              <w:rPr>
                <w:caps/>
              </w:rPr>
            </w:pPr>
            <w:r w:rsidRPr="00D92E4D">
              <w:t>Deres erfaring er at kommunene har pådratt seg betydelige merutgifter etter omleggingen, samtidig som staten har spart betydelige summer i HELFO-refusjoner. Legevakten har sammenlignet HELFO</w:t>
            </w:r>
            <w:r>
              <w:t>-refusjonene til legevakt i de fire</w:t>
            </w:r>
            <w:r w:rsidRPr="00D92E4D">
              <w:t xml:space="preserve"> kommunene i 2019 med refusjoner i den interkommunale legevakten 2022. Resultatene viser at refusjonene har falt med 55 prosent, som kan tilskrives færre oppmøtekontakter, men også strukturelle forhold i takstsystemet slår uheldig ut etter omleggingen. Eksempelvis medfører begrensning for tilstedeværende lege til å ta takst for førstepasient og færre tidstakster grunnet hjelpepersonell og god arbeidsflyt, et inntektstap på 1,5 million kroner</w:t>
            </w:r>
            <w:r>
              <w:t>.</w:t>
            </w:r>
          </w:p>
        </w:tc>
      </w:tr>
    </w:tbl>
    <w:p w14:paraId="4CFA9020" w14:textId="79DB0B99" w:rsidR="00C05F57" w:rsidRDefault="00C05F57" w:rsidP="00775632">
      <w:pPr>
        <w:pStyle w:val="Overskrift3"/>
      </w:pPr>
      <w:bookmarkStart w:id="4679" w:name="_Toc130763930"/>
      <w:bookmarkStart w:id="4680" w:name="_Toc130766825"/>
      <w:bookmarkStart w:id="4681" w:name="_Toc130932224"/>
      <w:bookmarkStart w:id="4682" w:name="_Toc130934515"/>
      <w:bookmarkStart w:id="4683" w:name="_Toc130983655"/>
      <w:bookmarkStart w:id="4684" w:name="_Toc130984004"/>
      <w:bookmarkStart w:id="4685" w:name="_Toc131062266"/>
      <w:bookmarkStart w:id="4686" w:name="_Toc131062520"/>
      <w:bookmarkStart w:id="4687" w:name="_Toc131062781"/>
      <w:bookmarkStart w:id="4688" w:name="_Toc131063034"/>
      <w:bookmarkStart w:id="4689" w:name="_Toc131063817"/>
      <w:bookmarkStart w:id="4690" w:name="_Toc131064228"/>
      <w:bookmarkStart w:id="4691" w:name="_Toc131238562"/>
      <w:bookmarkStart w:id="4692" w:name="_Toc131279600"/>
      <w:bookmarkStart w:id="4693" w:name="_Toc131287012"/>
      <w:bookmarkStart w:id="4694" w:name="_Toc131281422"/>
      <w:bookmarkStart w:id="4695" w:name="_Toc131317962"/>
      <w:bookmarkStart w:id="4696" w:name="_Toc132537064"/>
      <w:r>
        <w:lastRenderedPageBreak/>
        <w:t>Helseforetakene drifter legevakt på natt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29CAC9D5" w14:textId="47BC3214" w:rsidR="00D9107F" w:rsidRDefault="00C05F57" w:rsidP="00107EB4">
      <w:pPr>
        <w:jc w:val="both"/>
      </w:pPr>
      <w:bookmarkStart w:id="4697" w:name="_Toc129596290"/>
      <w:r w:rsidRPr="5A353FDD">
        <w:rPr>
          <w:rFonts w:eastAsiaTheme="minorEastAsia"/>
        </w:rPr>
        <w:t xml:space="preserve">Det kan være hensiktsmessig å vurdere </w:t>
      </w:r>
      <w:r>
        <w:t>å o</w:t>
      </w:r>
      <w:r w:rsidRPr="003E405E">
        <w:t xml:space="preserve">verføre legevaktarbeid til helseforetakene </w:t>
      </w:r>
      <w:r w:rsidRPr="5A3BC2F6">
        <w:t>på natt</w:t>
      </w:r>
      <w:r>
        <w:t xml:space="preserve">. </w:t>
      </w:r>
      <w:r w:rsidRPr="5A3BC2F6">
        <w:t xml:space="preserve">Målet </w:t>
      </w:r>
      <w:r>
        <w:t>vil</w:t>
      </w:r>
      <w:r w:rsidRPr="5A3BC2F6">
        <w:t xml:space="preserve"> være å redusere arbeidsbelastningen for legevaktlegene</w:t>
      </w:r>
      <w:r w:rsidR="007E65DE">
        <w:t>,</w:t>
      </w:r>
      <w:r w:rsidRPr="5A3BC2F6">
        <w:t xml:space="preserve"> samtidig som tilbudet til befolkningen ikke blir av dårligere kvalitet.</w:t>
      </w:r>
      <w:r>
        <w:t xml:space="preserve"> Totalt er 16 </w:t>
      </w:r>
      <w:r w:rsidR="007E65DE">
        <w:t>prosent</w:t>
      </w:r>
      <w:r>
        <w:t xml:space="preserve"> av legevaktene samlokalisert med sykehus,</w:t>
      </w:r>
      <w:r w:rsidR="00D9107F" w:rsidRPr="00D9107F">
        <w:rPr>
          <w:rStyle w:val="skrift-hevet"/>
        </w:rPr>
        <w:t xml:space="preserve"> </w:t>
      </w:r>
      <w:r>
        <w:t xml:space="preserve">og av de 75 vertskommunene for interkommunal legevakt har 22 av dem legevaktlokale i tilknytning til sykehus </w:t>
      </w:r>
      <w:r>
        <w:fldChar w:fldCharType="begin"/>
      </w:r>
      <w:r w:rsidR="00694E6D">
        <w:instrText xml:space="preserve"> ADDIN EN.CITE &lt;EndNote&gt;&lt;Cite&gt;&lt;Author&gt;Ekornrud&lt;/Author&gt;&lt;Year&gt;2023&lt;/Year&gt;&lt;RecNum&gt;451&lt;/RecNum&gt;&lt;DisplayText&gt;(Ekornrud et al., 2023)&lt;/DisplayText&gt;&lt;record&gt;&lt;rec-number&gt;451&lt;/rec-number&gt;&lt;foreign-keys&gt;&lt;key app="EN" db-id="95tpr2tp6r9xwoea9rb5wdsz5ds5xeddteew" timestamp="1680069511"&gt;451&lt;/key&gt;&lt;/foreign-keys&gt;&lt;ref-type name="Report"&gt;27&lt;/ref-type&gt;&lt;contributors&gt;&lt;authors&gt;&lt;author&gt;Ekornrud, T.,&lt;/author&gt;&lt;author&gt;Bryne Castberg Stølan, S.,&lt;/author&gt;&lt;author&gt;Thonstad, M.&lt;/author&gt;&lt;/authors&gt;&lt;/contributors&gt;&lt;titles&gt;&lt;title&gt;Legevakttjenesten i norske kommuner i 2021. Kartlegging av organisering av legevaktsarbeidet i kommunene&lt;/title&gt;&lt;secondary-title&gt;Rapporter&lt;/secondary-title&gt;&lt;/titles&gt;&lt;number&gt;2023/6&lt;/number&gt;&lt;dates&gt;&lt;year&gt;2023&lt;/year&gt;&lt;/dates&gt;&lt;pub-location&gt;Oslo&lt;/pub-location&gt;&lt;publisher&gt;Statistisk sentralbyrå&lt;/publisher&gt;&lt;urls&gt;&lt;/urls&gt;&lt;/record&gt;&lt;/Cite&gt;&lt;/EndNote&gt;</w:instrText>
      </w:r>
      <w:r>
        <w:fldChar w:fldCharType="separate"/>
      </w:r>
      <w:r>
        <w:rPr>
          <w:noProof/>
        </w:rPr>
        <w:t>(Ekornrud et al., 2023)</w:t>
      </w:r>
      <w:r>
        <w:fldChar w:fldCharType="end"/>
      </w:r>
      <w:r>
        <w:t>.</w:t>
      </w:r>
      <w:r w:rsidR="00D9107F" w:rsidRPr="00D9107F">
        <w:rPr>
          <w:rStyle w:val="skrift-hevet"/>
        </w:rPr>
        <w:t xml:space="preserve"> </w:t>
      </w:r>
      <w:r>
        <w:t xml:space="preserve">Fem legevakter har også felles akuttmottak med sykehus </w:t>
      </w:r>
      <w:r w:rsidR="00DB63B7">
        <w:fldChar w:fldCharType="begin"/>
      </w:r>
      <w:r w:rsidR="00235862">
        <w:instrText xml:space="preserve"> ADDIN EN.CITE &lt;EndNote&gt;&lt;Cite&gt;&lt;Author&gt;Ekspertgruppe legevakt&lt;/Author&gt;&lt;Year&gt;2021&lt;/Year&gt;&lt;RecNum&gt;419&lt;/RecNum&gt;&lt;DisplayText&gt;(Ekspertgruppe legevakt, 2021)&lt;/DisplayText&gt;&lt;record&gt;&lt;rec-number&gt;419&lt;/rec-number&gt;&lt;foreign-keys&gt;&lt;key app="EN" db-id="95tpr2tp6r9xwoea9rb5wdsz5ds5xeddteew" timestamp="1680069511"&gt;419&lt;/key&gt;&lt;/foreign-keys&gt;&lt;ref-type name="Report"&gt;27&lt;/ref-type&gt;&lt;contributors&gt;&lt;authors&gt;&lt;author&gt;Ekspertgruppe legevakt,&lt;/author&gt;&lt;/authors&gt;&lt;/contributors&gt;&lt;titles&gt;&lt;title&gt;Kartlegging av situasjonen i dagens legevaktordning - Rapport til Helse- og omsorgsdepartementet&lt;/title&gt;&lt;/titles&gt;&lt;dates&gt;&lt;year&gt;2021&lt;/year&gt;&lt;/dates&gt;&lt;pub-location&gt;Oslo&lt;/pub-location&gt;&lt;publisher&gt;Helse- og omsorgsdepartementet&lt;/publisher&gt;&lt;urls&gt;&lt;/urls&gt;&lt;/record&gt;&lt;/Cite&gt;&lt;/EndNote&gt;</w:instrText>
      </w:r>
      <w:r w:rsidR="00DB63B7">
        <w:fldChar w:fldCharType="separate"/>
      </w:r>
      <w:r w:rsidR="00DB63B7">
        <w:rPr>
          <w:noProof/>
        </w:rPr>
        <w:t>(Ekspertgruppe legevakt, 2021)</w:t>
      </w:r>
      <w:r w:rsidR="00DB63B7">
        <w:fldChar w:fldCharType="end"/>
      </w:r>
      <w:r>
        <w:t>. Den nærliggende plasseringen med helseforetakene er i liten grad utnyttet</w:t>
      </w:r>
      <w:r w:rsidR="007E65DE">
        <w:t>,</w:t>
      </w:r>
      <w:r>
        <w:t xml:space="preserve"> og legevaktene er organisert som egen kommunal enhet med egne lokaler.</w:t>
      </w:r>
    </w:p>
    <w:p w14:paraId="183FF10D" w14:textId="77777777" w:rsidR="00D9107F" w:rsidRDefault="00C05F57" w:rsidP="00107EB4">
      <w:pPr>
        <w:jc w:val="both"/>
      </w:pPr>
      <w:r>
        <w:t>En overføring av legevaktfunksjon til sykehus på natt kan gjøres ved at funksjonen ivaretas av personell og lokaler i akuttmottaket. Løsningen vil medføre et fritak fra nattlegevakt for fastleger og andre allmennleger i primærhelsetjenesten. Et alternativ er en integrering av legevakt og akuttmottak i sykehus</w:t>
      </w:r>
      <w:r w:rsidR="007E65DE">
        <w:t>,</w:t>
      </w:r>
      <w:r>
        <w:t xml:space="preserve"> hvor legevaktpersonellet inngår i vaktlaget i akuttmottaket på natt, som vil gi en større pool av leger og bidra til en bedre utnyttelse av de samlede personellressursene i området. Det vil på samme tid gi en lavere vaktbelastning for leger i legevaktordningen.</w:t>
      </w:r>
    </w:p>
    <w:p w14:paraId="3479DA27" w14:textId="63ADA92C" w:rsidR="00C05F57" w:rsidRDefault="00C05F57" w:rsidP="00107EB4">
      <w:pPr>
        <w:jc w:val="both"/>
      </w:pPr>
      <w:r w:rsidRPr="008F5AD8">
        <w:t>Løsningen ligner på den finske modellen, hvor ansvaret for de fleste legevakter er overført til sykehusklinikker, og hvor primær- og spesialisthelsetjenesten foregår i samme lokaler. Slik gjøres også spesialistkonsultasjoner mer tilgjengelige.</w:t>
      </w:r>
    </w:p>
    <w:p w14:paraId="41B2E6B4" w14:textId="77777777" w:rsidR="00C05F57" w:rsidRDefault="00C05F57" w:rsidP="00107EB4">
      <w:pPr>
        <w:jc w:val="both"/>
      </w:pPr>
      <w:r>
        <w:t>Allerede eksisterende samlokalisering eller nær plassering gir mulighet for å prøve ut overføring av legevaktarbeid til helseforetak i mindre skala. Det vil gi erfaringer med om dette kan være en hensiktsmessig oppgavedeling mellom spesialisthelsetjenesten og kommunene. En slik uttesting kan også tilrettelegge for videre forsøk i flere geografiske områder.</w:t>
      </w:r>
    </w:p>
    <w:p w14:paraId="07496DBF" w14:textId="48F73E2E" w:rsidR="00C05F57" w:rsidRDefault="00C05F57" w:rsidP="00107EB4">
      <w:pPr>
        <w:jc w:val="both"/>
      </w:pPr>
      <w:r>
        <w:t>Ulemper ved overføring av legevaktarbeid til helseforetakene</w:t>
      </w:r>
      <w:r w:rsidRPr="5A3BC2F6">
        <w:t xml:space="preserve"> </w:t>
      </w:r>
      <w:r>
        <w:t xml:space="preserve">kan være flere. Det </w:t>
      </w:r>
      <w:r w:rsidRPr="5A3BC2F6">
        <w:t>vil være en ny faglig oppgave og kreve endringer i driften av spesialisthelsetjenesten.</w:t>
      </w:r>
      <w:r w:rsidRPr="5A3BC2F6" w:rsidDel="007E65DE">
        <w:t xml:space="preserve"> </w:t>
      </w:r>
      <w:r w:rsidRPr="002D70FE">
        <w:t>Dette må vurderes opp mot en sentralisering av legevaktdriften ved bruk av legevaktsentral som til daglig har disse oppgavene.</w:t>
      </w:r>
      <w:r>
        <w:t xml:space="preserve"> En stor andel av pasientene i legevakt er ikke akutte</w:t>
      </w:r>
      <w:r w:rsidR="007E65DE">
        <w:t>,</w:t>
      </w:r>
      <w:r>
        <w:t xml:space="preserve"> og har ikke behov for øyeblikkelig hjelp. Psykiske lidelser er overrepresentert på natt, og legevaktleger rapporterer at dette er tidkrevende konsultasjoner. Det vil også medføre behov for flere ambulanser som kan frakte pasienter med psykiske lidelser til psykiatrisk behandlingstilbud i spesialisthelsetjenesten. Videre </w:t>
      </w:r>
      <w:r w:rsidR="00D9107F">
        <w:t>«</w:t>
      </w:r>
      <w:r>
        <w:t>snus</w:t>
      </w:r>
      <w:r w:rsidR="00D9107F">
        <w:t>»</w:t>
      </w:r>
      <w:r>
        <w:t xml:space="preserve"> en stor andel av henvendelsene fra denne pasientgruppen og henvises til å ta kontakt med fastlege eller spesialisthelsetjeneste neste dag. Det kan tale for at en overføring av legevaktfunksjon til sykehus på natt kan overbelaste akuttmottakene. Det kan også være relevant å spørre seg om en slik organisering også</w:t>
      </w:r>
      <w:r w:rsidR="009409B2">
        <w:t xml:space="preserve"> vil</w:t>
      </w:r>
      <w:r>
        <w:t xml:space="preserve"> bidra til en svakere portvokterfunksjon inn mot spesialisthelsetjenesten. Videre kan det argumenteres for at organiseringen utfordrer prinsippene om likeverdige og tilgjengelige tjenester i hele landet, ved at legevakt per nå er en allmennmedisinsk disiplin og er den spesialiteten som er tilgjengelig i mindre sentrale strøk.</w:t>
      </w:r>
    </w:p>
    <w:p w14:paraId="2C3FC547" w14:textId="77777777" w:rsidR="00D9107F" w:rsidRDefault="009409B2" w:rsidP="00107EB4">
      <w:pPr>
        <w:jc w:val="both"/>
      </w:pPr>
      <w:r>
        <w:lastRenderedPageBreak/>
        <w:t>Sykehus ligger hovedsakelig i sentrale områder. Flere befolkningsrike og sentrale kommuner melder om betydelige rekrutteringsutfordringer av fastleger til legevakttjenesten, og at det bidrar til ytterligere destabilisering av fastlegetjenesten. Å fjerne nattarbeid for fastleger i legevakt vil</w:t>
      </w:r>
      <w:r w:rsidR="007E65DE">
        <w:t>,</w:t>
      </w:r>
      <w:r>
        <w:t xml:space="preserve"> etter ekspert</w:t>
      </w:r>
      <w:r w:rsidR="007E65DE">
        <w:t>utvalgets</w:t>
      </w:r>
      <w:r>
        <w:t xml:space="preserve"> vurdering</w:t>
      </w:r>
      <w:r w:rsidR="007E65DE">
        <w:t>,</w:t>
      </w:r>
      <w:r>
        <w:t xml:space="preserve"> raskt ha en avlastende effekt på fastlegene. Ekspert</w:t>
      </w:r>
      <w:r w:rsidR="007E65DE">
        <w:t>utvalget</w:t>
      </w:r>
      <w:r>
        <w:t xml:space="preserve"> mener derfor at overføring av legevakt til helseforetak i store byer kan være hensiktsmessig</w:t>
      </w:r>
      <w:r w:rsidR="007E65DE">
        <w:t>,</w:t>
      </w:r>
      <w:r>
        <w:t xml:space="preserve"> av hensyn til rekruttering til</w:t>
      </w:r>
      <w:r w:rsidR="007E65DE">
        <w:t>,</w:t>
      </w:r>
      <w:r>
        <w:t xml:space="preserve"> og stabilisering av</w:t>
      </w:r>
      <w:r w:rsidR="007E65DE">
        <w:t>,</w:t>
      </w:r>
      <w:r>
        <w:t xml:space="preserve"> fastlegeordningen i disse områdene, tross mulige ulemper</w:t>
      </w:r>
      <w:r w:rsidR="007E65DE">
        <w:t>,</w:t>
      </w:r>
      <w:r>
        <w:t xml:space="preserve"> som skissert over.</w:t>
      </w:r>
    </w:p>
    <w:p w14:paraId="4567BB41" w14:textId="680F410F" w:rsidR="00D9107F" w:rsidRDefault="009409B2" w:rsidP="00107EB4">
      <w:pPr>
        <w:jc w:val="both"/>
      </w:pPr>
      <w:r>
        <w:t>Ekspertutvalget anbefaler uttesting av d</w:t>
      </w:r>
      <w:r w:rsidRPr="01C76224">
        <w:t>rift</w:t>
      </w:r>
      <w:r w:rsidRPr="721B4544">
        <w:t xml:space="preserve"> av legevakt i helseforetakene på natt</w:t>
      </w:r>
      <w:r w:rsidR="007E65DE">
        <w:t>,</w:t>
      </w:r>
      <w:r w:rsidRPr="721B4544">
        <w:t xml:space="preserve"> der samlokalisering eller nær plassering allerede foreligger</w:t>
      </w:r>
      <w:r>
        <w:t xml:space="preserve">, av hensyn til </w:t>
      </w:r>
      <w:r w:rsidR="00D66CA5">
        <w:t xml:space="preserve">å oppnå </w:t>
      </w:r>
      <w:r w:rsidR="00332D76">
        <w:t xml:space="preserve">bærekraft i </w:t>
      </w:r>
      <w:r>
        <w:t>fastlegetjenesten</w:t>
      </w:r>
      <w:r w:rsidRPr="721B4544">
        <w:t>.</w:t>
      </w:r>
      <w:r>
        <w:t xml:space="preserve"> Det vil også gi kunnskap om effekt av overføring av legevaktfunksjon til helseforetakene, både om virkninger på akuttmottakene og </w:t>
      </w:r>
      <w:r w:rsidR="00D66CA5">
        <w:t xml:space="preserve">på </w:t>
      </w:r>
      <w:r>
        <w:t>innbyggernes bruk av legevakt.</w:t>
      </w:r>
      <w:bookmarkEnd w:id="4697"/>
    </w:p>
    <w:p w14:paraId="25A23831" w14:textId="492A0489" w:rsidR="00E0546A" w:rsidRDefault="001349A6" w:rsidP="00775632">
      <w:pPr>
        <w:pStyle w:val="Overskrift1"/>
        <w:jc w:val="both"/>
      </w:pPr>
      <w:bookmarkStart w:id="4698" w:name="_Toc131667999"/>
      <w:bookmarkStart w:id="4699" w:name="_Toc132537065"/>
      <w:r>
        <w:t>Kompetanse i allmennlegetjenesten</w:t>
      </w:r>
      <w:bookmarkEnd w:id="4698"/>
      <w:bookmarkEnd w:id="4699"/>
    </w:p>
    <w:p w14:paraId="5B527A81" w14:textId="77777777" w:rsidR="00133A8D" w:rsidRDefault="00133A8D" w:rsidP="00775632">
      <w:pPr>
        <w:pStyle w:val="Overskrift2"/>
      </w:pPr>
      <w:bookmarkStart w:id="4700" w:name="_Toc132537066"/>
      <w:r>
        <w:t>Ekspertutvalgets anbefaling</w:t>
      </w:r>
      <w:r w:rsidR="00326B27">
        <w:t>er</w:t>
      </w:r>
      <w:bookmarkEnd w:id="4700"/>
    </w:p>
    <w:p w14:paraId="54A38B7B" w14:textId="77777777" w:rsidR="00E739D9" w:rsidRPr="00133A8D" w:rsidRDefault="00E739D9" w:rsidP="006B0AE5">
      <w:pPr>
        <w:jc w:val="both"/>
      </w:pPr>
      <w:r w:rsidRPr="00133A8D">
        <w:t xml:space="preserve">Ekspertutvalget anbefaler at det stilles krav til </w:t>
      </w:r>
      <w:r w:rsidR="00F636A8" w:rsidRPr="00133A8D">
        <w:t>veiledet praksis etter universitetsutdannelsen</w:t>
      </w:r>
      <w:r w:rsidRPr="00133A8D">
        <w:t xml:space="preserve"> for å praktisere selvstendig som lege i alle deler av helsetjenesten</w:t>
      </w:r>
      <w:r w:rsidR="0091004F" w:rsidRPr="00133A8D">
        <w:t>.</w:t>
      </w:r>
      <w:r w:rsidRPr="00133A8D">
        <w:t xml:space="preserve"> </w:t>
      </w:r>
      <w:r w:rsidR="0091004F" w:rsidRPr="00133A8D">
        <w:t xml:space="preserve">Det innebærer </w:t>
      </w:r>
      <w:r w:rsidRPr="00133A8D">
        <w:t xml:space="preserve">at leger uten </w:t>
      </w:r>
      <w:r w:rsidR="00F636A8" w:rsidRPr="00133A8D">
        <w:t xml:space="preserve">gjennomført LIS1 eller tilsvarende </w:t>
      </w:r>
      <w:r w:rsidRPr="00133A8D">
        <w:t xml:space="preserve">må arbeide under supervisjon og veiledning av erfarne leger. </w:t>
      </w:r>
      <w:r w:rsidR="00F636A8" w:rsidRPr="00133A8D">
        <w:t>Krav</w:t>
      </w:r>
      <w:r w:rsidRPr="00133A8D">
        <w:t xml:space="preserve"> om </w:t>
      </w:r>
      <w:r w:rsidR="00F636A8" w:rsidRPr="00133A8D">
        <w:t xml:space="preserve">påfølgende </w:t>
      </w:r>
      <w:r w:rsidRPr="00133A8D">
        <w:t xml:space="preserve">spesialisering </w:t>
      </w:r>
      <w:r w:rsidR="00F636A8" w:rsidRPr="00133A8D">
        <w:t>i allmennmedisin bør</w:t>
      </w:r>
      <w:r w:rsidRPr="00133A8D">
        <w:t xml:space="preserve"> begrenses til </w:t>
      </w:r>
      <w:r w:rsidR="006B3463">
        <w:t>fast</w:t>
      </w:r>
      <w:r w:rsidR="008E1740" w:rsidRPr="008E1740">
        <w:t>leger</w:t>
      </w:r>
      <w:r w:rsidR="006B3463">
        <w:t xml:space="preserve"> og leger i faste stillinger i kommunen. </w:t>
      </w:r>
      <w:r w:rsidR="008B7135">
        <w:t>Dette kravet bør</w:t>
      </w:r>
      <w:r w:rsidR="00521D22">
        <w:t>, uavhengig av vikariatets varighet,</w:t>
      </w:r>
      <w:r w:rsidR="008B7135">
        <w:t xml:space="preserve"> ikke gjelde for vikarer i slike stillinger</w:t>
      </w:r>
      <w:r w:rsidR="00FE6D44">
        <w:t>.</w:t>
      </w:r>
      <w:r w:rsidRPr="00133A8D">
        <w:t xml:space="preserve"> Endringene vil bidra til å øke tilgjengeligheten til leger</w:t>
      </w:r>
      <w:r w:rsidR="00F636A8" w:rsidRPr="00133A8D">
        <w:t xml:space="preserve"> med LIS1 som kan arbeide i de kommunale allmennlegetjenestene</w:t>
      </w:r>
      <w:r w:rsidRPr="00133A8D">
        <w:t xml:space="preserve">, og til at leger i </w:t>
      </w:r>
      <w:r w:rsidR="008E1740">
        <w:t xml:space="preserve">vikariat </w:t>
      </w:r>
      <w:r w:rsidRPr="00133A8D">
        <w:t xml:space="preserve">i større grad kan jobbe på tvers </w:t>
      </w:r>
      <w:r w:rsidR="00F636A8" w:rsidRPr="00133A8D">
        <w:t xml:space="preserve">av </w:t>
      </w:r>
      <w:r w:rsidRPr="00133A8D">
        <w:t xml:space="preserve">tjenester og nivå. </w:t>
      </w:r>
      <w:r w:rsidR="00FE6D44">
        <w:t>Dette vurderes å være viktig for å øke kapasiteten i tjenesten</w:t>
      </w:r>
      <w:r w:rsidR="0007733F">
        <w:t>.</w:t>
      </w:r>
    </w:p>
    <w:p w14:paraId="521599C7" w14:textId="77777777" w:rsidR="00D9107F" w:rsidRDefault="00E739D9" w:rsidP="006B0AE5">
      <w:pPr>
        <w:jc w:val="both"/>
      </w:pPr>
      <w:r w:rsidRPr="00133A8D">
        <w:t xml:space="preserve">Videre </w:t>
      </w:r>
      <w:r w:rsidR="00F636A8" w:rsidRPr="00133A8D">
        <w:t>men</w:t>
      </w:r>
      <w:r w:rsidRPr="00133A8D">
        <w:t xml:space="preserve">er </w:t>
      </w:r>
      <w:r w:rsidR="005268C6">
        <w:t>ekspert</w:t>
      </w:r>
      <w:r w:rsidR="00F636A8" w:rsidRPr="00133A8D">
        <w:t>utvalget</w:t>
      </w:r>
      <w:r w:rsidRPr="00133A8D">
        <w:t xml:space="preserve"> at flere leger </w:t>
      </w:r>
      <w:r w:rsidR="00F636A8" w:rsidRPr="00133A8D">
        <w:t xml:space="preserve">må </w:t>
      </w:r>
      <w:r w:rsidRPr="00133A8D">
        <w:t>få gjennomført LIS1</w:t>
      </w:r>
      <w:r w:rsidR="00F636A8" w:rsidRPr="00133A8D">
        <w:t xml:space="preserve">, og derfor at </w:t>
      </w:r>
      <w:r w:rsidR="006942F3" w:rsidRPr="00133A8D">
        <w:t xml:space="preserve">de koblede </w:t>
      </w:r>
      <w:r w:rsidRPr="00133A8D">
        <w:t>LIS1-stillinge</w:t>
      </w:r>
      <w:r w:rsidR="006942F3" w:rsidRPr="00133A8D">
        <w:t>ne</w:t>
      </w:r>
      <w:r w:rsidRPr="00133A8D">
        <w:t xml:space="preserve"> som pålegges sykehus og kommuner </w:t>
      </w:r>
      <w:r w:rsidR="00F636A8" w:rsidRPr="00133A8D">
        <w:t xml:space="preserve">må </w:t>
      </w:r>
      <w:r w:rsidRPr="00133A8D">
        <w:t xml:space="preserve">økes. </w:t>
      </w:r>
      <w:r w:rsidR="00AD2843" w:rsidRPr="00133A8D">
        <w:t>I</w:t>
      </w:r>
      <w:r w:rsidR="00F90133" w:rsidRPr="00133A8D">
        <w:t xml:space="preserve"> </w:t>
      </w:r>
      <w:r w:rsidR="006942F3" w:rsidRPr="00133A8D">
        <w:t>stedet for dagens løsning der</w:t>
      </w:r>
      <w:r w:rsidRPr="00133A8D">
        <w:t xml:space="preserve"> kommuner </w:t>
      </w:r>
      <w:r w:rsidR="006942F3" w:rsidRPr="00133A8D">
        <w:t xml:space="preserve">og sykehus ansetter </w:t>
      </w:r>
      <w:r w:rsidRPr="00133A8D">
        <w:t xml:space="preserve">leger </w:t>
      </w:r>
      <w:r w:rsidR="006942F3" w:rsidRPr="00133A8D">
        <w:t xml:space="preserve">uten </w:t>
      </w:r>
      <w:r w:rsidRPr="00133A8D">
        <w:t>LIS</w:t>
      </w:r>
      <w:r w:rsidR="006942F3" w:rsidRPr="00133A8D">
        <w:t xml:space="preserve">1, bør de </w:t>
      </w:r>
      <w:r w:rsidRPr="00133A8D">
        <w:t>gis muligheten til å lyse ut egne LIS1-stillinger</w:t>
      </w:r>
      <w:r w:rsidR="006942F3" w:rsidRPr="00133A8D">
        <w:t xml:space="preserve">. </w:t>
      </w:r>
      <w:r w:rsidR="00415495" w:rsidRPr="00133A8D">
        <w:t xml:space="preserve">I </w:t>
      </w:r>
      <w:r w:rsidR="006942F3" w:rsidRPr="00133A8D">
        <w:t>dag arbeider leger uten LIS1 som fastlegevikarer, og det vil være en forbedring om kommunen i stedet oppretter LIS1-stillinger</w:t>
      </w:r>
      <w:r w:rsidR="00EA30C9">
        <w:t>.</w:t>
      </w:r>
      <w:r w:rsidR="004343DE">
        <w:t xml:space="preserve"> </w:t>
      </w:r>
      <w:r w:rsidR="00406FD9">
        <w:t>I dagens situasjon</w:t>
      </w:r>
      <w:r w:rsidR="00AF41D1">
        <w:t>,</w:t>
      </w:r>
      <w:r w:rsidR="00406FD9">
        <w:t xml:space="preserve"> hvor mange</w:t>
      </w:r>
      <w:r w:rsidR="00C60F34">
        <w:t xml:space="preserve"> leger</w:t>
      </w:r>
      <w:r w:rsidR="001F68C8">
        <w:t xml:space="preserve"> </w:t>
      </w:r>
      <w:r w:rsidR="00406FD9">
        <w:t>i påvente av LIS1 har tilegnet seg</w:t>
      </w:r>
      <w:r w:rsidR="004343DE">
        <w:t xml:space="preserve"> betydelig arbeidserfaring</w:t>
      </w:r>
      <w:r w:rsidR="00AF41D1">
        <w:t xml:space="preserve">, </w:t>
      </w:r>
      <w:r w:rsidR="00406FD9">
        <w:t>bør det åpnes opp for at arbeidsgiver ved ansettelse i egne opprettede LIS1-stillinger, kan gjøre en vurdering av om rekkefølgekravet skal opprettholdes eller ikke.</w:t>
      </w:r>
      <w:r w:rsidR="00B71067">
        <w:t xml:space="preserve"> </w:t>
      </w:r>
      <w:r w:rsidRPr="00133A8D">
        <w:t xml:space="preserve">Utvalget mener </w:t>
      </w:r>
      <w:r w:rsidR="006942F3" w:rsidRPr="00133A8D">
        <w:t>imidlertid at åpning for avvik fra rekkefølge</w:t>
      </w:r>
      <w:r w:rsidR="00660602">
        <w:t>kravet</w:t>
      </w:r>
      <w:r w:rsidRPr="00133A8D">
        <w:t xml:space="preserve"> bør være en midlertidig ordning, og at effektene av endringene </w:t>
      </w:r>
      <w:r w:rsidR="006942F3" w:rsidRPr="00133A8D">
        <w:t>bør</w:t>
      </w:r>
      <w:r w:rsidRPr="00133A8D">
        <w:t xml:space="preserve"> evalueres </w:t>
      </w:r>
      <w:r w:rsidR="006942F3" w:rsidRPr="00133A8D">
        <w:t>i løpet av kort tid.</w:t>
      </w:r>
    </w:p>
    <w:p w14:paraId="5A74CD7D" w14:textId="77777777" w:rsidR="00D9107F" w:rsidRDefault="00E739D9" w:rsidP="006B0AE5">
      <w:pPr>
        <w:jc w:val="both"/>
        <w:rPr>
          <w:rFonts w:eastAsiaTheme="minorEastAsia"/>
        </w:rPr>
      </w:pPr>
      <w:r w:rsidRPr="00133A8D">
        <w:t xml:space="preserve">For </w:t>
      </w:r>
      <w:r w:rsidR="006942F3" w:rsidRPr="00133A8D">
        <w:t xml:space="preserve">å </w:t>
      </w:r>
      <w:r w:rsidR="00BF4429" w:rsidRPr="00133A8D">
        <w:t xml:space="preserve">styrke kommunenes forutsigbarhet rundt tiltredelser i </w:t>
      </w:r>
      <w:r w:rsidRPr="00133A8D">
        <w:t>LIS1-stillinge</w:t>
      </w:r>
      <w:r w:rsidR="006942F3" w:rsidRPr="00133A8D">
        <w:t>ne</w:t>
      </w:r>
      <w:r w:rsidRPr="00133A8D">
        <w:t xml:space="preserve"> </w:t>
      </w:r>
      <w:r w:rsidR="003A351A">
        <w:t>anbefaler ekspertutvalget at</w:t>
      </w:r>
      <w:r w:rsidR="003A351A" w:rsidRPr="00133A8D">
        <w:t xml:space="preserve"> </w:t>
      </w:r>
      <w:r w:rsidR="006942F3" w:rsidRPr="00133A8D">
        <w:t xml:space="preserve">søkere </w:t>
      </w:r>
      <w:r w:rsidR="00C03570" w:rsidRPr="00133A8D">
        <w:t xml:space="preserve">som </w:t>
      </w:r>
      <w:r w:rsidR="00E71A7A" w:rsidRPr="00133A8D">
        <w:t>trekker seg fra</w:t>
      </w:r>
      <w:r w:rsidRPr="00133A8D">
        <w:t xml:space="preserve"> en koble</w:t>
      </w:r>
      <w:r w:rsidR="006942F3" w:rsidRPr="00133A8D">
        <w:t>t</w:t>
      </w:r>
      <w:r w:rsidRPr="00133A8D">
        <w:t xml:space="preserve"> LIS1-stilling</w:t>
      </w:r>
      <w:r w:rsidR="001B39B6" w:rsidRPr="00133A8D">
        <w:t>,</w:t>
      </w:r>
      <w:r w:rsidR="006942F3" w:rsidRPr="00133A8D">
        <w:t xml:space="preserve"> </w:t>
      </w:r>
      <w:r w:rsidR="00BF4429" w:rsidRPr="00133A8D">
        <w:t>fratas mulighet til å ta en LIS1-stilling i en ny kommune før ved neste</w:t>
      </w:r>
      <w:r w:rsidRPr="00133A8D">
        <w:t xml:space="preserve"> ordinære </w:t>
      </w:r>
      <w:r w:rsidR="00BF4429" w:rsidRPr="00133A8D">
        <w:t xml:space="preserve">utlysning, på samme måte som dagens ordning </w:t>
      </w:r>
      <w:r w:rsidR="006942F3" w:rsidRPr="00133A8D">
        <w:t xml:space="preserve">for sykehusdelen av </w:t>
      </w:r>
      <w:r w:rsidR="1325EBC0" w:rsidRPr="00133A8D">
        <w:t>tjenesten</w:t>
      </w:r>
      <w:r w:rsidR="778D5BD3" w:rsidRPr="00133A8D">
        <w:t>.</w:t>
      </w:r>
      <w:r w:rsidRPr="00133A8D">
        <w:t xml:space="preserve"> Videre bør sykehus og kommuner </w:t>
      </w:r>
      <w:r w:rsidRPr="00133A8D">
        <w:rPr>
          <w:rFonts w:eastAsiaTheme="minorEastAsia"/>
        </w:rPr>
        <w:t xml:space="preserve">i fellesskap gis ansvar </w:t>
      </w:r>
      <w:r w:rsidRPr="00133A8D">
        <w:rPr>
          <w:rFonts w:eastAsiaTheme="minorEastAsia"/>
        </w:rPr>
        <w:lastRenderedPageBreak/>
        <w:t>for å vurdere behovet for</w:t>
      </w:r>
      <w:r w:rsidR="00AF41D1">
        <w:rPr>
          <w:rFonts w:eastAsiaTheme="minorEastAsia"/>
        </w:rPr>
        <w:t>,</w:t>
      </w:r>
      <w:r w:rsidRPr="00133A8D">
        <w:rPr>
          <w:rFonts w:eastAsiaTheme="minorEastAsia"/>
        </w:rPr>
        <w:t xml:space="preserve"> og opprettelsen av</w:t>
      </w:r>
      <w:r w:rsidR="00AF41D1">
        <w:rPr>
          <w:rFonts w:eastAsiaTheme="minorEastAsia"/>
        </w:rPr>
        <w:t>,</w:t>
      </w:r>
      <w:r w:rsidRPr="00133A8D">
        <w:rPr>
          <w:rFonts w:eastAsiaTheme="minorEastAsia"/>
        </w:rPr>
        <w:t xml:space="preserve"> knyttede LIS1-stillinger til videre spesialiseringsløp i allmennmedisin.</w:t>
      </w:r>
    </w:p>
    <w:p w14:paraId="5BCC6720" w14:textId="77777777" w:rsidR="00D9107F" w:rsidRDefault="00E739D9" w:rsidP="006B0AE5">
      <w:pPr>
        <w:jc w:val="both"/>
      </w:pPr>
      <w:r w:rsidRPr="00133A8D">
        <w:t xml:space="preserve">For å øke kontinuiteten og kapasiteten i spesialistutdanningen i allmennmedisin anbefaler </w:t>
      </w:r>
      <w:r w:rsidR="007119A8">
        <w:t>ekspert</w:t>
      </w:r>
      <w:r w:rsidRPr="00133A8D">
        <w:t>utvalget oppmykning av kravene i spesialistforskriften knyttet til at veileder må være spesialist</w:t>
      </w:r>
      <w:r w:rsidR="00714669">
        <w:t xml:space="preserve"> i allmennmedisin</w:t>
      </w:r>
      <w:r w:rsidR="006D6C0D">
        <w:t xml:space="preserve"> og til gjennomføring</w:t>
      </w:r>
      <w:r w:rsidR="00D0093B">
        <w:t xml:space="preserve"> av</w:t>
      </w:r>
      <w:r w:rsidR="002472E5" w:rsidRPr="00133A8D">
        <w:t xml:space="preserve"> institusjonstjeneste.</w:t>
      </w:r>
      <w:r w:rsidRPr="00133A8D">
        <w:t xml:space="preserve"> </w:t>
      </w:r>
      <w:r w:rsidR="00D0093B">
        <w:t xml:space="preserve">Ekspertutvalget anbefaler å fjerne kravet til stillingsprosent ved gjennomføring av to års </w:t>
      </w:r>
      <w:r w:rsidR="00953C59">
        <w:t xml:space="preserve">åpen </w:t>
      </w:r>
      <w:r w:rsidR="00D0093B">
        <w:t xml:space="preserve">uselektert allmennpraksis. </w:t>
      </w:r>
      <w:r w:rsidRPr="00133A8D">
        <w:t xml:space="preserve">Det er også grunn til å stille spørsmål ved om antall veiledningstimer bør </w:t>
      </w:r>
      <w:r w:rsidR="00BF4429" w:rsidRPr="00133A8D">
        <w:t xml:space="preserve">variere gjennom spesialiseringsløpet og </w:t>
      </w:r>
      <w:r w:rsidRPr="00133A8D">
        <w:t>reduseres mot slutten av spesialistutdanningen, eller når ALIS går i gruppeveiledning.</w:t>
      </w:r>
    </w:p>
    <w:p w14:paraId="64D52828" w14:textId="77777777" w:rsidR="00D9107F" w:rsidRDefault="00970FEA" w:rsidP="006B0AE5">
      <w:pPr>
        <w:jc w:val="both"/>
      </w:pPr>
      <w:r>
        <w:t>Ekspertutvalget anbefaler o</w:t>
      </w:r>
      <w:r w:rsidR="0056423D" w:rsidRPr="00133A8D">
        <w:t>pprettelse av utdanningsstillinger</w:t>
      </w:r>
      <w:r w:rsidR="00F55F6A">
        <w:t>,</w:t>
      </w:r>
      <w:r w:rsidR="00BF4429" w:rsidRPr="00133A8D">
        <w:t xml:space="preserve"> der</w:t>
      </w:r>
      <w:r w:rsidR="0056423D" w:rsidRPr="00133A8D">
        <w:t xml:space="preserve"> ALIS er ansatt og jobber på andre legers liste</w:t>
      </w:r>
      <w:r w:rsidR="00F55F6A">
        <w:t>, parallelt med legen selv</w:t>
      </w:r>
      <w:r w:rsidR="00016310">
        <w:t>.</w:t>
      </w:r>
      <w:r w:rsidR="00016310" w:rsidRPr="00133A8D">
        <w:t xml:space="preserve"> </w:t>
      </w:r>
      <w:r w:rsidR="00016310">
        <w:t xml:space="preserve">Dette </w:t>
      </w:r>
      <w:r w:rsidR="0056423D" w:rsidRPr="00133A8D">
        <w:t>vil</w:t>
      </w:r>
      <w:r w:rsidR="00F55F6A">
        <w:t>,</w:t>
      </w:r>
      <w:r w:rsidR="0056423D" w:rsidRPr="00133A8D">
        <w:t xml:space="preserve"> etter </w:t>
      </w:r>
      <w:r w:rsidR="00016310">
        <w:t>ekspert</w:t>
      </w:r>
      <w:r w:rsidR="0056423D" w:rsidRPr="00133A8D">
        <w:t>utvalgets vurdering</w:t>
      </w:r>
      <w:r w:rsidR="00F55F6A">
        <w:t>,</w:t>
      </w:r>
      <w:r w:rsidR="0056423D" w:rsidRPr="00133A8D">
        <w:t xml:space="preserve"> </w:t>
      </w:r>
      <w:r w:rsidR="00BF4429" w:rsidRPr="00133A8D">
        <w:t xml:space="preserve">kunne </w:t>
      </w:r>
      <w:r w:rsidR="0056423D" w:rsidRPr="00133A8D">
        <w:t xml:space="preserve">bedre rekrutteringen av </w:t>
      </w:r>
      <w:r w:rsidR="00BF4429" w:rsidRPr="00133A8D">
        <w:t xml:space="preserve">unge </w:t>
      </w:r>
      <w:r w:rsidR="0056423D" w:rsidRPr="00133A8D">
        <w:t>leger til fastlegepraksis.</w:t>
      </w:r>
    </w:p>
    <w:p w14:paraId="232C3D0B" w14:textId="77777777" w:rsidR="00D9107F" w:rsidRDefault="00BF4429" w:rsidP="006B0AE5">
      <w:pPr>
        <w:jc w:val="both"/>
      </w:pPr>
      <w:r w:rsidRPr="00133A8D">
        <w:t xml:space="preserve">Allmennleger og kommunen har ansvar for at </w:t>
      </w:r>
      <w:r w:rsidR="00D24D7E" w:rsidRPr="00133A8D">
        <w:t xml:space="preserve">legens </w:t>
      </w:r>
      <w:r w:rsidRPr="00133A8D">
        <w:t xml:space="preserve">kompetanse oppdateres, og det </w:t>
      </w:r>
      <w:r w:rsidR="00F55F6A">
        <w:t xml:space="preserve">bør derfor ikke være nødvendig å opprettholde </w:t>
      </w:r>
      <w:r w:rsidR="00D24D7E" w:rsidRPr="00133A8D">
        <w:t xml:space="preserve">dagens detaljerte og </w:t>
      </w:r>
      <w:r w:rsidR="00E739D9" w:rsidRPr="00133A8D">
        <w:t>obligatorisk</w:t>
      </w:r>
      <w:r w:rsidRPr="00133A8D">
        <w:t>e</w:t>
      </w:r>
      <w:r w:rsidR="00E739D9" w:rsidRPr="00133A8D">
        <w:t xml:space="preserve"> etterutdanning</w:t>
      </w:r>
      <w:r w:rsidRPr="00133A8D">
        <w:t>s</w:t>
      </w:r>
      <w:r w:rsidR="00D24D7E" w:rsidRPr="00133A8D">
        <w:t>modell.</w:t>
      </w:r>
      <w:r w:rsidR="00E739D9" w:rsidRPr="00133A8D">
        <w:t xml:space="preserve"> </w:t>
      </w:r>
      <w:r w:rsidR="00D14B88">
        <w:t>Ekspertu</w:t>
      </w:r>
      <w:r w:rsidR="00D14B88" w:rsidRPr="00133A8D">
        <w:t>tvalget</w:t>
      </w:r>
      <w:r w:rsidRPr="00133A8D">
        <w:t xml:space="preserve"> mener det i stedet kan legges til rette for økonomisk kompensasjon for faglig oppdatering, og at dagens </w:t>
      </w:r>
      <w:r w:rsidR="00D24D7E" w:rsidRPr="00133A8D">
        <w:t xml:space="preserve">krav om sentral godkjenning av detaljerte etterutdanningsaktiviteter for å kunne opprettholde spesialisttakst </w:t>
      </w:r>
      <w:r w:rsidR="002472E5" w:rsidRPr="00133A8D">
        <w:t>kan vurderes avviklet.</w:t>
      </w:r>
    </w:p>
    <w:p w14:paraId="5B476281" w14:textId="77777777" w:rsidR="00D9107F" w:rsidRDefault="00DC747F" w:rsidP="006B0AE5">
      <w:pPr>
        <w:jc w:val="both"/>
      </w:pPr>
      <w:r>
        <w:t>Ekspertutvalget anbefaler at veiledning av medisinstudenter, LIS1 og ALIS sidestilles med fastlegens deltakelse i andre allmennlegeoppgaver. En slik sidestilling vil kreve endring i både forskrift og avtaleverk, hvor deltakelse i andre allmennlegeoppgaver i kommunen omtales.</w:t>
      </w:r>
    </w:p>
    <w:p w14:paraId="3D624167" w14:textId="77777777" w:rsidR="00D9107F" w:rsidRDefault="00DC747F" w:rsidP="006B0AE5">
      <w:pPr>
        <w:jc w:val="both"/>
      </w:pPr>
      <w:r>
        <w:t>Ekspertutvalget anbefaler at det</w:t>
      </w:r>
      <w:r w:rsidR="00E739D9" w:rsidRPr="00133A8D">
        <w:t xml:space="preserve"> bør legges til rette for at kommunen kan ivareta sitt ansvar som utdanningsvirksomhet på tvers av kommunegrenser. E</w:t>
      </w:r>
      <w:r w:rsidR="00C90B35">
        <w:t xml:space="preserve">t formalisert </w:t>
      </w:r>
      <w:r w:rsidR="002527AB">
        <w:t>samarbeid mellom</w:t>
      </w:r>
      <w:r w:rsidR="00E739D9" w:rsidRPr="00133A8D">
        <w:t xml:space="preserve"> ALIS-kontor og RegUt kan tenkes å være effektiviserende, kostnadsbesparende og </w:t>
      </w:r>
      <w:r w:rsidR="00D24D7E" w:rsidRPr="00133A8D">
        <w:t xml:space="preserve">på sikt </w:t>
      </w:r>
      <w:r w:rsidR="00E739D9" w:rsidRPr="00133A8D">
        <w:t xml:space="preserve">stimulere til </w:t>
      </w:r>
      <w:r w:rsidR="00EB2DB8">
        <w:t>bedre samhandling</w:t>
      </w:r>
      <w:r w:rsidR="00E739D9" w:rsidRPr="00133A8D">
        <w:t xml:space="preserve"> på tvers av nivå</w:t>
      </w:r>
      <w:r w:rsidR="00D24D7E" w:rsidRPr="00133A8D">
        <w:t>ene i helsetjenestene</w:t>
      </w:r>
      <w:r w:rsidR="00E739D9" w:rsidRPr="00133A8D">
        <w:t>.</w:t>
      </w:r>
    </w:p>
    <w:p w14:paraId="31002FDD" w14:textId="5C9AE579" w:rsidR="002472E5" w:rsidRDefault="002472E5" w:rsidP="00775632">
      <w:pPr>
        <w:pStyle w:val="Overskrift2"/>
      </w:pPr>
      <w:bookmarkStart w:id="4701" w:name="_Toc132537067"/>
      <w:r>
        <w:t>Dagens krav til kompetanse i allmennlegetjenesten</w:t>
      </w:r>
      <w:bookmarkEnd w:id="4701"/>
    </w:p>
    <w:p w14:paraId="04B7953F" w14:textId="77777777" w:rsidR="00D9107F" w:rsidRDefault="00AA73CD" w:rsidP="002472E5">
      <w:r w:rsidRPr="00CF57AE">
        <w:t xml:space="preserve">Med formål om å </w:t>
      </w:r>
      <w:r w:rsidR="005F2D9D">
        <w:t>heve</w:t>
      </w:r>
      <w:r w:rsidRPr="00CF57AE">
        <w:t xml:space="preserve"> kvalitet</w:t>
      </w:r>
      <w:r w:rsidR="005F2D9D">
        <w:t>en</w:t>
      </w:r>
      <w:r w:rsidRPr="00CF57AE">
        <w:t xml:space="preserve"> i den kommunale </w:t>
      </w:r>
      <w:r w:rsidR="00A44733">
        <w:t>helse- og omsorgstjenesten</w:t>
      </w:r>
      <w:r w:rsidRPr="00CF57AE">
        <w:t xml:space="preserve"> er det forskriftsfest</w:t>
      </w:r>
      <w:r>
        <w:t>e</w:t>
      </w:r>
      <w:r w:rsidR="00F436B6">
        <w:t>t</w:t>
      </w:r>
      <w:r w:rsidRPr="00CF57AE">
        <w:t xml:space="preserve"> krav til legens kompetanse</w:t>
      </w:r>
      <w:r>
        <w:t>, og til innhold og gjennomføring av spesialistutdanningen i allmennmedisin.</w:t>
      </w:r>
    </w:p>
    <w:p w14:paraId="2FD79448" w14:textId="1A5D3499" w:rsidR="00D9107F" w:rsidRDefault="00AA73CD" w:rsidP="002472E5">
      <w:r>
        <w:t xml:space="preserve">Samtidig som kravene er ment å sikre kompetanse </w:t>
      </w:r>
      <w:r w:rsidR="0022705C">
        <w:t xml:space="preserve">og kvalitet </w:t>
      </w:r>
      <w:r>
        <w:t>i tjenesten, gir de en begrensning i hvem som kan yte allmennlegetjenester i kommunen. For rigide kompetansekrav kan medføre diskontinuitet og svekket kapasitet i tjenesten, ved at leger som ikke fyller kravene</w:t>
      </w:r>
      <w:r w:rsidR="002472E5">
        <w:t xml:space="preserve"> ikke kan jobbe med pasientrettet arbeid i kommunen. </w:t>
      </w:r>
      <w:r w:rsidR="00D1223F">
        <w:t xml:space="preserve">Det er derfor viktig at </w:t>
      </w:r>
      <w:r w:rsidR="007016AA">
        <w:t>fordelene ved</w:t>
      </w:r>
      <w:r w:rsidR="00D1223F">
        <w:t xml:space="preserve"> k</w:t>
      </w:r>
      <w:r>
        <w:t>ompetansekrav</w:t>
      </w:r>
      <w:r w:rsidR="00D1223F">
        <w:t>ene</w:t>
      </w:r>
      <w:r>
        <w:t xml:space="preserve"> vurderes mot potensielle ulemper de kan ha for rekruttering</w:t>
      </w:r>
      <w:r w:rsidR="00C676A7">
        <w:t>,</w:t>
      </w:r>
      <w:r>
        <w:t xml:space="preserve"> stabilitet</w:t>
      </w:r>
      <w:r w:rsidR="00C676A7">
        <w:t xml:space="preserve"> og kontinuitet</w:t>
      </w:r>
      <w:r w:rsidR="00E62740">
        <w:t>.</w:t>
      </w:r>
    </w:p>
    <w:p w14:paraId="0EB8301E" w14:textId="10E1571C" w:rsidR="00AA73CD" w:rsidRPr="0068603C" w:rsidRDefault="5BF51BFF" w:rsidP="00775632">
      <w:pPr>
        <w:pStyle w:val="Overskrift3"/>
      </w:pPr>
      <w:bookmarkStart w:id="4702" w:name="_Toc120526249"/>
      <w:bookmarkStart w:id="4703" w:name="_Toc126834444"/>
      <w:bookmarkStart w:id="4704" w:name="_Toc127633329"/>
      <w:bookmarkStart w:id="4705" w:name="_Toc127864614"/>
      <w:bookmarkStart w:id="4706" w:name="_Toc128238628"/>
      <w:bookmarkStart w:id="4707" w:name="_Toc128742076"/>
      <w:bookmarkStart w:id="4708" w:name="_Toc128744704"/>
      <w:bookmarkStart w:id="4709" w:name="_Toc128744923"/>
      <w:bookmarkStart w:id="4710" w:name="_Toc129630428"/>
      <w:bookmarkStart w:id="4711" w:name="_Toc130763935"/>
      <w:bookmarkStart w:id="4712" w:name="_Toc130766830"/>
      <w:bookmarkStart w:id="4713" w:name="_Toc130932229"/>
      <w:bookmarkStart w:id="4714" w:name="_Toc130934520"/>
      <w:bookmarkStart w:id="4715" w:name="_Toc130983660"/>
      <w:bookmarkStart w:id="4716" w:name="_Toc130984009"/>
      <w:bookmarkStart w:id="4717" w:name="_Toc131062271"/>
      <w:bookmarkStart w:id="4718" w:name="_Toc131062525"/>
      <w:bookmarkStart w:id="4719" w:name="_Toc131062786"/>
      <w:bookmarkStart w:id="4720" w:name="_Toc131063039"/>
      <w:bookmarkStart w:id="4721" w:name="_Toc131063822"/>
      <w:bookmarkStart w:id="4722" w:name="_Toc131064233"/>
      <w:bookmarkStart w:id="4723" w:name="_Toc131238567"/>
      <w:bookmarkStart w:id="4724" w:name="_Toc131279605"/>
      <w:bookmarkStart w:id="4725" w:name="_Toc131287017"/>
      <w:bookmarkStart w:id="4726" w:name="_Toc131281427"/>
      <w:bookmarkStart w:id="4727" w:name="_Toc131317967"/>
      <w:bookmarkStart w:id="4728" w:name="_Toc132537068"/>
      <w:r>
        <w:lastRenderedPageBreak/>
        <w:t>Om kompetanseforskriften</w:t>
      </w:r>
      <w:r w:rsidR="142A1539">
        <w:t>s hovedregler</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23C27109" w14:textId="1B74D8BE" w:rsidR="00D9107F" w:rsidRDefault="002C6092" w:rsidP="004F1500">
      <w:r>
        <w:t xml:space="preserve">For å sikre at befolkningen mottar helsetjenester av god kvalitet er det gjennom lovverk stilt krav til tjenesteutøvelsen. Gjennom helse- og omsorgstjenesteloven og spesialisthelsetjenesteloven er både </w:t>
      </w:r>
      <w:r w:rsidR="002472E5">
        <w:t xml:space="preserve">kommune og sykehus </w:t>
      </w:r>
      <w:r w:rsidR="002472E5" w:rsidRPr="2CDE06FE">
        <w:t xml:space="preserve">ansvarlige for at tjenestene som ytes skal være forsvarlige, og for at </w:t>
      </w:r>
      <w:r w:rsidR="002472E5" w:rsidRPr="2CDE06FE">
        <w:rPr>
          <w:shd w:val="clear" w:color="auto" w:fill="FFFFFF"/>
        </w:rPr>
        <w:t>virksomheten arbeider systematisk for kvalitetsforbedring og pasient- og brukersikkerhet.</w:t>
      </w:r>
      <w:r w:rsidDel="00A93607">
        <w:t xml:space="preserve"> </w:t>
      </w:r>
      <w:r>
        <w:t>Det</w:t>
      </w:r>
      <w:r w:rsidRPr="00C85AA7">
        <w:t xml:space="preserve"> individuelle forsvarlighetskravet i helsepersonelloven </w:t>
      </w:r>
      <w:r w:rsidR="00D9107F">
        <w:t>§ </w:t>
      </w:r>
      <w:r w:rsidR="00D9107F" w:rsidRPr="00C85AA7">
        <w:t>4</w:t>
      </w:r>
      <w:r w:rsidRPr="00C85AA7">
        <w:t xml:space="preserve"> er førende for alt helsepersonell</w:t>
      </w:r>
      <w:r>
        <w:t>. I tråd med dette skal h</w:t>
      </w:r>
      <w:r w:rsidRPr="00C85AA7">
        <w:t>elsepersonell utføre sitt arbeid i samsvar med de krav til faglig forsvarlighet og omsorgsfull hjelp som kan forventes ut fra helsepersonellets kvalifikasjoner, arbeidets karakter og situasjonen for</w:t>
      </w:r>
      <w:r>
        <w:t xml:space="preserve"> </w:t>
      </w:r>
      <w:r w:rsidRPr="00C85AA7">
        <w:t>øvrig.</w:t>
      </w:r>
      <w:r>
        <w:t xml:space="preserve"> Forsvarlighetskravet i helsepersonelloven skiller ikke på offentlig og privat virksomhet.</w:t>
      </w:r>
    </w:p>
    <w:p w14:paraId="55C8E615" w14:textId="43C56769" w:rsidR="00AA73CD" w:rsidRDefault="00AA73CD" w:rsidP="004F1500">
      <w:pPr>
        <w:rPr>
          <w:rFonts w:eastAsia="Calibri"/>
        </w:rPr>
      </w:pPr>
      <w:r w:rsidRPr="00AB0885">
        <w:rPr>
          <w:rFonts w:eastAsia="Calibri"/>
        </w:rPr>
        <w:t>Forskrift om kompetansekrav for leger i den kommunale helse- og omsorgstjenesten</w:t>
      </w:r>
      <w:r>
        <w:rPr>
          <w:rFonts w:eastAsia="Calibri"/>
        </w:rPr>
        <w:t xml:space="preserve"> (k</w:t>
      </w:r>
      <w:r w:rsidRPr="00C13CF3">
        <w:rPr>
          <w:rFonts w:eastAsia="Calibri"/>
        </w:rPr>
        <w:t>ompetanseforskriften</w:t>
      </w:r>
      <w:r>
        <w:rPr>
          <w:rFonts w:eastAsia="Calibri"/>
        </w:rPr>
        <w:t>)</w:t>
      </w:r>
      <w:r w:rsidRPr="00C13CF3">
        <w:rPr>
          <w:rFonts w:eastAsia="Calibri"/>
        </w:rPr>
        <w:t xml:space="preserve"> </w:t>
      </w:r>
      <w:r>
        <w:rPr>
          <w:rFonts w:eastAsia="Calibri"/>
        </w:rPr>
        <w:t xml:space="preserve">trådte i kraft i februar 2017. Kompetanseforskriften kom som en oppfølgning av </w:t>
      </w:r>
      <w:r w:rsidR="00D9107F">
        <w:rPr>
          <w:rFonts w:eastAsia="Calibri"/>
        </w:rPr>
        <w:t>Meld. St. 2</w:t>
      </w:r>
      <w:r>
        <w:rPr>
          <w:rFonts w:eastAsia="Calibri"/>
        </w:rPr>
        <w:t>9 (2014</w:t>
      </w:r>
      <w:r w:rsidR="003C0FB5">
        <w:rPr>
          <w:rFonts w:eastAsia="Calibri"/>
        </w:rPr>
        <w:t>–</w:t>
      </w:r>
      <w:r>
        <w:rPr>
          <w:rFonts w:eastAsia="Calibri"/>
        </w:rPr>
        <w:t xml:space="preserve">2015) Primærhelsemeldingen, blant annet begrunnet i </w:t>
      </w:r>
      <w:r w:rsidRPr="006F0F0D">
        <w:rPr>
          <w:rFonts w:eastAsia="Calibri"/>
        </w:rPr>
        <w:t xml:space="preserve">at </w:t>
      </w:r>
      <w:r>
        <w:rPr>
          <w:rFonts w:eastAsia="Calibri"/>
        </w:rPr>
        <w:t>g</w:t>
      </w:r>
      <w:r w:rsidRPr="006F0F0D">
        <w:rPr>
          <w:rFonts w:eastAsia="Calibri"/>
        </w:rPr>
        <w:t>od kompetanse på riktig nivå og sted og til</w:t>
      </w:r>
      <w:r>
        <w:rPr>
          <w:rFonts w:eastAsia="Calibri"/>
        </w:rPr>
        <w:t xml:space="preserve"> </w:t>
      </w:r>
      <w:r w:rsidRPr="006F0F0D">
        <w:rPr>
          <w:rFonts w:eastAsia="Calibri"/>
        </w:rPr>
        <w:t>riktig tid, er en forutsetning for gode, effektive og trygge tjenester</w:t>
      </w:r>
      <w:r>
        <w:rPr>
          <w:rFonts w:eastAsia="Calibri"/>
        </w:rPr>
        <w:t xml:space="preserve">. </w:t>
      </w:r>
      <w:r w:rsidR="00DA3235">
        <w:rPr>
          <w:rFonts w:eastAsia="Calibri"/>
        </w:rPr>
        <w:t>Alle leger i klinisk</w:t>
      </w:r>
      <w:r w:rsidR="00D76520">
        <w:rPr>
          <w:rFonts w:eastAsia="Calibri"/>
        </w:rPr>
        <w:t xml:space="preserve"> arbeid i kommunen </w:t>
      </w:r>
      <w:r w:rsidR="00C676A7">
        <w:rPr>
          <w:rFonts w:eastAsia="Calibri"/>
        </w:rPr>
        <w:t>omfattes av kompetansekravene.</w:t>
      </w:r>
    </w:p>
    <w:p w14:paraId="79C6B0A5" w14:textId="77777777" w:rsidR="00D9107F" w:rsidRDefault="07609F93" w:rsidP="004F1500">
      <w:pPr>
        <w:rPr>
          <w:rFonts w:eastAsia="Calibri"/>
        </w:rPr>
      </w:pPr>
      <w:r>
        <w:rPr>
          <w:rFonts w:eastAsia="Calibri"/>
        </w:rPr>
        <w:t xml:space="preserve">Forskriften </w:t>
      </w:r>
      <w:r w:rsidRPr="00C13CF3">
        <w:rPr>
          <w:rFonts w:eastAsia="Calibri"/>
        </w:rPr>
        <w:t>krever at alle leger som starter</w:t>
      </w:r>
      <w:r>
        <w:rPr>
          <w:rFonts w:eastAsia="Calibri"/>
        </w:rPr>
        <w:t xml:space="preserve"> som fastlege</w:t>
      </w:r>
      <w:r w:rsidRPr="00C13CF3">
        <w:rPr>
          <w:rFonts w:eastAsia="Calibri"/>
        </w:rPr>
        <w:t>, eller i annet pasientrettet arbeid i den kommunale helse- og omsorgstjenesten, skal være spesialister eller under spesialisering i allmennmedisin</w:t>
      </w:r>
      <w:r w:rsidR="32A39BFD" w:rsidRPr="10F50C2F">
        <w:rPr>
          <w:rFonts w:eastAsia="Calibri"/>
        </w:rPr>
        <w:t xml:space="preserve"> </w:t>
      </w:r>
      <w:r w:rsidR="00B87F6D">
        <w:rPr>
          <w:rFonts w:eastAsia="Calibri"/>
        </w:rPr>
        <w:fldChar w:fldCharType="begin"/>
      </w:r>
      <w:r w:rsidR="00D078E3">
        <w:rPr>
          <w:rFonts w:eastAsia="Calibri"/>
        </w:rPr>
        <w:instrText xml:space="preserve"> ADDIN EN.CITE &lt;EndNote&gt;&lt;Cite ExcludeAuth="1"&gt;&lt;Year&gt;2017&lt;/Year&gt;&lt;RecNum&gt;257&lt;/RecNum&gt;&lt;DisplayText&gt;(&lt;style face="italic"&gt;Forskrift om kompetansekrav for leger i den kommunale helse- og omsorgstjenesten&lt;/style&gt;, 2017)&lt;/DisplayText&gt;&lt;record&gt;&lt;rec-number&gt;257&lt;/rec-number&gt;&lt;foreign-keys&gt;&lt;key app="EN" db-id="95tpr2tp6r9xwoea9rb5wdsz5ds5xeddteew" timestamp="1680069511"&gt;257&lt;/key&gt;&lt;/foreign-keys&gt;&lt;ref-type name="Legal Rule or Regulation"&gt;50&lt;/ref-type&gt;&lt;contributors&gt;&lt;/contributors&gt;&lt;titles&gt;&lt;title&gt;Forskrift om kompetansekrav for leger i den kommunale helse- og omsorgstjenesten&lt;/title&gt;&lt;secondary-title&gt;FOR-2017-02-17-192&lt;/secondary-title&gt;&lt;/titles&gt;&lt;edition&gt; FOR-2022-10-28-1816&lt;/edition&gt;&lt;dates&gt;&lt;year&gt;2017&lt;/year&gt;&lt;/dates&gt;&lt;urls&gt;&lt;related-urls&gt;&lt;url&gt;https://lovdata.no/dokument/LTI/forskrift/2017-02-17-192&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Forskrift om kompetansekrav for leger i den kommunale helse- og omsorgstjenesten</w:t>
      </w:r>
      <w:r w:rsidR="00B87F6D">
        <w:rPr>
          <w:rFonts w:eastAsia="Calibri"/>
          <w:noProof/>
        </w:rPr>
        <w:t>, 2017)</w:t>
      </w:r>
      <w:r w:rsidR="00B87F6D">
        <w:rPr>
          <w:rFonts w:eastAsia="Calibri"/>
        </w:rPr>
        <w:fldChar w:fldCharType="end"/>
      </w:r>
      <w:r w:rsidRPr="00C13CF3">
        <w:rPr>
          <w:rFonts w:eastAsia="Calibri"/>
        </w:rPr>
        <w:t>.</w:t>
      </w:r>
      <w:r>
        <w:rPr>
          <w:rFonts w:eastAsia="Calibri"/>
        </w:rPr>
        <w:t xml:space="preserve"> For å kunne starte spesialistutdanning i allmennmedisin, må legen ha gjennomført LIS1.</w:t>
      </w:r>
    </w:p>
    <w:p w14:paraId="2C2B3805" w14:textId="77777777" w:rsidR="00D9107F" w:rsidRDefault="00AA73CD" w:rsidP="004F1500">
      <w:pPr>
        <w:rPr>
          <w:rFonts w:eastAsia="Calibri"/>
        </w:rPr>
      </w:pPr>
      <w:r>
        <w:rPr>
          <w:rFonts w:eastAsia="Calibri"/>
        </w:rPr>
        <w:t xml:space="preserve">For at en lege </w:t>
      </w:r>
      <w:r w:rsidRPr="004D63C3">
        <w:rPr>
          <w:rFonts w:eastAsia="Calibri"/>
        </w:rPr>
        <w:t>skal ha rett til trygderefusjon</w:t>
      </w:r>
      <w:r>
        <w:rPr>
          <w:rFonts w:eastAsia="Calibri"/>
        </w:rPr>
        <w:t xml:space="preserve"> (ved inngåelse av fastlegeavtale eller vikariat for fastlege), må kravene i kompetanseforskriften være oppfylt</w:t>
      </w:r>
      <w:r w:rsidR="00A93607">
        <w:rPr>
          <w:rFonts w:eastAsia="Calibri"/>
        </w:rPr>
        <w:t>,</w:t>
      </w:r>
      <w:r>
        <w:rPr>
          <w:rFonts w:eastAsia="Calibri"/>
        </w:rPr>
        <w:t xml:space="preserve"> og l</w:t>
      </w:r>
      <w:r w:rsidRPr="004D63C3">
        <w:rPr>
          <w:rFonts w:eastAsia="Calibri"/>
        </w:rPr>
        <w:t xml:space="preserve">egen må ha gjennomført </w:t>
      </w:r>
      <w:r>
        <w:rPr>
          <w:rFonts w:eastAsia="Calibri"/>
        </w:rPr>
        <w:t>LIS1.</w:t>
      </w:r>
    </w:p>
    <w:p w14:paraId="50E5B948" w14:textId="77777777" w:rsidR="00D9107F" w:rsidRDefault="07609F93" w:rsidP="004F1500">
      <w:pPr>
        <w:rPr>
          <w:rFonts w:eastAsia="Calibri"/>
        </w:rPr>
      </w:pPr>
      <w:r>
        <w:rPr>
          <w:rFonts w:eastAsia="Calibri"/>
        </w:rPr>
        <w:t>Uavhengig av kravene i kompetanseforskriften, må kommunen sørge for at helse- og omsorgstjenestene som tilbys eller ytes i kommunen</w:t>
      </w:r>
      <w:r w:rsidR="090EC6E1">
        <w:rPr>
          <w:rFonts w:eastAsia="Calibri"/>
        </w:rPr>
        <w:t>,</w:t>
      </w:r>
      <w:r>
        <w:rPr>
          <w:rFonts w:eastAsia="Calibri"/>
        </w:rPr>
        <w:t xml:space="preserve"> er forsvarlige</w:t>
      </w:r>
      <w:r w:rsidR="04C9563E" w:rsidRPr="10F50C2F">
        <w:rPr>
          <w:rFonts w:eastAsia="Calibri"/>
        </w:rPr>
        <w:t xml:space="preserve"> </w:t>
      </w:r>
      <w:r w:rsidR="00B87F6D">
        <w:rPr>
          <w:rFonts w:eastAsia="Calibri"/>
        </w:rPr>
        <w:fldChar w:fldCharType="begin"/>
      </w:r>
      <w:r w:rsidR="00B87F6D">
        <w:rPr>
          <w:rFonts w:eastAsia="Calibri"/>
        </w:rPr>
        <w:instrText xml:space="preserve"> ADDIN EN.CITE &lt;EndNote&gt;&lt;Cite ExcludeAuth="1"&gt;&lt;Year&gt;2016&lt;/Year&gt;&lt;RecNum&gt;448&lt;/RecNum&gt;&lt;DisplayText&gt;(&lt;style face="italic"&gt;Lov om kommunale helse- og omsorgstjenester m.m. (helse- og omsorgstjenesteloven)&lt;/style&gt;, 2016)&lt;/DisplayText&gt;&lt;record&gt;&lt;rec-number&gt;448&lt;/rec-number&gt;&lt;foreign-keys&gt;&lt;key app="EN" db-id="xv2pp5x2v09a2ae5vwcvrtxd0f09zeseztpp" timestamp="1678702276"&gt;448&lt;/key&gt;&lt;/foreign-keys&gt;&lt;ref-type name="Legal Rule or Regulation"&gt;50&lt;/ref-type&gt;&lt;contributors&gt;&lt;/contributors&gt;&lt;titles&gt;&lt;title&gt;Lov om kommunale helse- og omsorgstjenester m.m. (helse- og omsorgstjenesteloven)&lt;/title&gt;&lt;secondary-title&gt;LOV-2011-06-24-30&lt;/secondary-title&gt;&lt;/titles&gt;&lt;edition&gt;LOV-2022-11-25-86&lt;/edition&gt;&lt;dates&gt;&lt;year&gt;2016&lt;/year&gt;&lt;/dates&gt;&lt;urls&gt;&lt;related-urls&gt;&lt;url&gt;https://lovdata.no/dokument/NL/lov/2011-06-24-30/KAPITTEL_4#%C2%A74-1&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Lov om kommunale helse- og omsorgstjenester m.m. (helse- og omsorgstjenesteloven)</w:t>
      </w:r>
      <w:r w:rsidR="00B87F6D">
        <w:rPr>
          <w:rFonts w:eastAsia="Calibri"/>
          <w:noProof/>
        </w:rPr>
        <w:t>, 2016)</w:t>
      </w:r>
      <w:r w:rsidR="00B87F6D">
        <w:rPr>
          <w:rFonts w:eastAsia="Calibri"/>
        </w:rPr>
        <w:fldChar w:fldCharType="end"/>
      </w:r>
      <w:r w:rsidR="006170A0">
        <w:rPr>
          <w:rFonts w:eastAsia="Calibri"/>
        </w:rPr>
        <w:t>.</w:t>
      </w:r>
      <w:r>
        <w:rPr>
          <w:rFonts w:eastAsia="Calibri"/>
        </w:rPr>
        <w:t xml:space="preserve"> En sentral del av denne plikten er å sikre tilstrekkelig fagkompetanse i tjenestene. Kompetanseforskriften kan på denne måten ses som en spesifisering av forsvarlighetskravet for allmennlegetjenester.</w:t>
      </w:r>
    </w:p>
    <w:p w14:paraId="487EF08E" w14:textId="1110E9CB" w:rsidR="00D9107F" w:rsidRDefault="07609F93" w:rsidP="004F1500">
      <w:pPr>
        <w:rPr>
          <w:rFonts w:eastAsia="Calibri"/>
        </w:rPr>
      </w:pPr>
      <w:r>
        <w:rPr>
          <w:rFonts w:eastAsia="Calibri"/>
        </w:rPr>
        <w:t>Det er ikke stilt tilsvarende kompetansekrav til leger i spesialisthelsetjenesten</w:t>
      </w:r>
      <w:r w:rsidR="254645E3">
        <w:rPr>
          <w:rFonts w:eastAsia="Calibri"/>
        </w:rPr>
        <w:t>,</w:t>
      </w:r>
      <w:r>
        <w:rPr>
          <w:rFonts w:eastAsia="Calibri"/>
        </w:rPr>
        <w:t xml:space="preserve"> eller </w:t>
      </w:r>
      <w:r w:rsidR="31C030C5">
        <w:rPr>
          <w:rFonts w:eastAsia="Calibri"/>
        </w:rPr>
        <w:t>til</w:t>
      </w:r>
      <w:r>
        <w:rPr>
          <w:rFonts w:eastAsia="Calibri"/>
        </w:rPr>
        <w:t xml:space="preserve"> </w:t>
      </w:r>
      <w:r w:rsidR="421CF750">
        <w:rPr>
          <w:rFonts w:eastAsia="Calibri"/>
        </w:rPr>
        <w:t>hel</w:t>
      </w:r>
      <w:r>
        <w:rPr>
          <w:rFonts w:eastAsia="Calibri"/>
        </w:rPr>
        <w:t>private tilbydere av helse- og omsorgstjenester. For begge disse er det kravene til å sikre forsvarlighet i tjenestene nedfelt i spesialisthelsetjenesteloven og helsepersonelloven som er bestemmende for hvilken kompetanse det er behov for, gitt oppgavene som skal utføres</w:t>
      </w:r>
      <w:r w:rsidR="3E741E8C" w:rsidRPr="370CD364">
        <w:rPr>
          <w:rFonts w:eastAsia="Calibri"/>
        </w:rPr>
        <w:t xml:space="preserve"> </w:t>
      </w:r>
      <w:r w:rsidR="00B87F6D">
        <w:rPr>
          <w:rFonts w:eastAsia="Calibri"/>
        </w:rPr>
        <w:fldChar w:fldCharType="begin"/>
      </w:r>
      <w:r w:rsidR="00D078E3">
        <w:rPr>
          <w:rFonts w:eastAsia="Calibri"/>
        </w:rPr>
        <w:instrText xml:space="preserve"> ADDIN EN.CITE &lt;EndNote&gt;&lt;Cite ExcludeAuth="1"&gt;&lt;Year&gt;2001&lt;/Year&gt;&lt;RecNum&gt;473&lt;/RecNum&gt;&lt;DisplayText&gt;(&lt;style face="italic"&gt;Lov om helsepersonell m.v. (helsepersonelloven)&lt;/style&gt;, 2001; &lt;style face="italic"&gt;Lov om spesialisthelsetjenesten m.m. (spesialisthelsetjenesteloven)&lt;/style&gt;, 2001)&lt;/DisplayText&gt;&lt;record&gt;&lt;rec-number&gt;473&lt;/rec-number&gt;&lt;foreign-keys&gt;&lt;key app="EN" db-id="95tpr2tp6r9xwoea9rb5wdsz5ds5xeddteew" timestamp="1680069511"&gt;473&lt;/key&gt;&lt;/foreign-keys&gt;&lt;ref-type name="Legal Rule or Regulation"&gt;50&lt;/ref-type&gt;&lt;contributors&gt;&lt;/contributors&gt;&lt;titles&gt;&lt;title&gt;Lov om spesialisthelsetjenesten m.m. (spesialisthelsetjenesteloven)&lt;/title&gt;&lt;secondary-title&gt;LOV-1999-07-02-61&lt;/secondary-title&gt;&lt;/titles&gt;&lt;edition&gt;LOV-2022-11-25-86&lt;/edition&gt;&lt;dates&gt;&lt;year&gt;2001&lt;/year&gt;&lt;/dates&gt;&lt;urls&gt;&lt;related-urls&gt;&lt;url&gt;https://lovdata.no/dokument/NL/lov/1999-07-02-61&lt;/url&gt;&lt;/related-urls&gt;&lt;/urls&gt;&lt;/record&gt;&lt;/Cite&gt;&lt;Cite&gt;&lt;Year&gt;2001&lt;/Year&gt;&lt;RecNum&gt;467&lt;/RecNum&gt;&lt;record&gt;&lt;rec-number&gt;467&lt;/rec-number&gt;&lt;foreign-keys&gt;&lt;key app="EN" db-id="95tpr2tp6r9xwoea9rb5wdsz5ds5xeddteew" timestamp="1680069511"&gt;467&lt;/key&gt;&lt;/foreign-keys&gt;&lt;ref-type name="Legal Rule or Regulation"&gt;50&lt;/ref-type&gt;&lt;contributors&gt;&lt;/contributors&gt;&lt;titles&gt;&lt;title&gt;Lov om helsepersonell m.v. (helsepersonelloven)&lt;/title&gt;&lt;secondary-title&gt;LOV-1999-07-02-64&lt;/secondary-title&gt;&lt;/titles&gt;&lt;edition&gt;LOV-2022-12-20-115&lt;/edition&gt;&lt;dates&gt;&lt;year&gt;2001&lt;/year&gt;&lt;/dates&gt;&lt;urls&gt;&lt;related-urls&gt;&lt;url&gt;https://lovdata.no/dokument/NL/lov/1999-07-02-64&lt;/url&gt;&lt;/related-urls&gt;&lt;/urls&gt;&lt;/record&gt;&lt;/Cite&gt;&lt;/EndNote&gt;</w:instrText>
      </w:r>
      <w:r w:rsidR="00B87F6D">
        <w:rPr>
          <w:rFonts w:eastAsia="Calibri"/>
        </w:rPr>
        <w:fldChar w:fldCharType="separate"/>
      </w:r>
      <w:r w:rsidR="006170A0">
        <w:rPr>
          <w:rFonts w:eastAsia="Calibri"/>
          <w:noProof/>
        </w:rPr>
        <w:t>(</w:t>
      </w:r>
      <w:r w:rsidR="006170A0" w:rsidRPr="00D9107F">
        <w:rPr>
          <w:rStyle w:val="kursiv"/>
          <w:rFonts w:eastAsia="Calibri"/>
        </w:rPr>
        <w:t>Lov om helsepersonell m.v. (helsepersonelloven)</w:t>
      </w:r>
      <w:r w:rsidR="006170A0">
        <w:rPr>
          <w:rFonts w:eastAsia="Calibri"/>
          <w:noProof/>
        </w:rPr>
        <w:t xml:space="preserve">, 2001; </w:t>
      </w:r>
      <w:r w:rsidR="006170A0" w:rsidRPr="00D9107F">
        <w:rPr>
          <w:rStyle w:val="kursiv"/>
          <w:rFonts w:eastAsia="Calibri"/>
        </w:rPr>
        <w:t>Lov om spesialisthelsetjenesten m.m. (spesialisthelsetjenesteloven)</w:t>
      </w:r>
      <w:r w:rsidR="006170A0">
        <w:rPr>
          <w:rFonts w:eastAsia="Calibri"/>
          <w:noProof/>
        </w:rPr>
        <w:t>, 2001)</w:t>
      </w:r>
      <w:r w:rsidR="00B87F6D">
        <w:rPr>
          <w:rFonts w:eastAsia="Calibri"/>
        </w:rPr>
        <w:fldChar w:fldCharType="end"/>
      </w:r>
      <w:r w:rsidR="006170A0">
        <w:rPr>
          <w:rFonts w:eastAsia="Calibri"/>
        </w:rPr>
        <w:t>.</w:t>
      </w:r>
      <w:r>
        <w:rPr>
          <w:rFonts w:eastAsia="Calibri"/>
        </w:rPr>
        <w:t xml:space="preserve"> For den offentlige spesialisthelsetjenesten </w:t>
      </w:r>
      <w:r w:rsidR="4E19CF16">
        <w:rPr>
          <w:rFonts w:eastAsia="Calibri"/>
        </w:rPr>
        <w:t>har</w:t>
      </w:r>
      <w:r>
        <w:rPr>
          <w:rFonts w:eastAsia="Calibri"/>
        </w:rPr>
        <w:t xml:space="preserve"> staten</w:t>
      </w:r>
      <w:r w:rsidR="27ABCBA9">
        <w:rPr>
          <w:rFonts w:eastAsia="Calibri"/>
        </w:rPr>
        <w:t>, gjennom sitt</w:t>
      </w:r>
      <w:r>
        <w:rPr>
          <w:rFonts w:eastAsia="Calibri"/>
        </w:rPr>
        <w:t xml:space="preserve"> eierskap </w:t>
      </w:r>
      <w:r w:rsidR="254645E3">
        <w:rPr>
          <w:rFonts w:eastAsia="Calibri"/>
        </w:rPr>
        <w:t xml:space="preserve">til </w:t>
      </w:r>
      <w:r>
        <w:rPr>
          <w:rFonts w:eastAsia="Calibri"/>
        </w:rPr>
        <w:t>de regionale helseforetakene</w:t>
      </w:r>
      <w:r w:rsidR="27ABCBA9">
        <w:rPr>
          <w:rFonts w:eastAsia="Calibri"/>
        </w:rPr>
        <w:t>,</w:t>
      </w:r>
      <w:r>
        <w:rPr>
          <w:rFonts w:eastAsia="Calibri"/>
        </w:rPr>
        <w:t xml:space="preserve"> anledning til å gi føringer for kompetansebehov i styringslinjen. </w:t>
      </w:r>
      <w:r w:rsidR="002472E5">
        <w:rPr>
          <w:rFonts w:eastAsia="Calibri"/>
        </w:rPr>
        <w:t>Statens styringsmuligheter overfor kommunene</w:t>
      </w:r>
      <w:r>
        <w:rPr>
          <w:rFonts w:eastAsia="Calibri"/>
        </w:rPr>
        <w:t xml:space="preserve"> </w:t>
      </w:r>
      <w:r w:rsidR="4017D948">
        <w:rPr>
          <w:rFonts w:eastAsia="Calibri"/>
        </w:rPr>
        <w:t xml:space="preserve">skjer </w:t>
      </w:r>
      <w:r>
        <w:rPr>
          <w:rFonts w:eastAsia="Calibri"/>
        </w:rPr>
        <w:lastRenderedPageBreak/>
        <w:t>gjennom budsjettvedtak</w:t>
      </w:r>
      <w:r w:rsidR="5D81AD2B">
        <w:rPr>
          <w:rFonts w:eastAsia="Calibri"/>
        </w:rPr>
        <w:t>,</w:t>
      </w:r>
      <w:r>
        <w:rPr>
          <w:rFonts w:eastAsia="Calibri"/>
        </w:rPr>
        <w:t xml:space="preserve"> tilskudd, lov og forskrift</w:t>
      </w:r>
      <w:r w:rsidR="75F1CBF2" w:rsidRPr="321A4597">
        <w:rPr>
          <w:rFonts w:eastAsia="Calibri"/>
        </w:rPr>
        <w:t xml:space="preserve"> </w:t>
      </w:r>
      <w:r w:rsidR="00B87F6D">
        <w:rPr>
          <w:rFonts w:eastAsia="Calibri"/>
        </w:rPr>
        <w:fldChar w:fldCharType="begin"/>
      </w:r>
      <w:r w:rsidR="00D078E3">
        <w:rPr>
          <w:rFonts w:eastAsia="Calibri"/>
        </w:rPr>
        <w:instrText xml:space="preserve"> ADDIN EN.CITE &lt;EndNote&gt;&lt;Cite ExcludeAuth="1"&gt;&lt;Year&gt;2021&lt;/Year&gt;&lt;RecNum&gt;469&lt;/RecNum&gt;&lt;DisplayText&gt;(&lt;style face="italic"&gt;Lov om kommuner og fylkeskommuner (kommuneloven)&lt;/style&gt;, 2021)&lt;/DisplayText&gt;&lt;record&gt;&lt;rec-number&gt;469&lt;/rec-number&gt;&lt;foreign-keys&gt;&lt;key app="EN" db-id="95tpr2tp6r9xwoea9rb5wdsz5ds5xeddteew" timestamp="1680069511"&gt;469&lt;/key&gt;&lt;/foreign-keys&gt;&lt;ref-type name="Legal Rule or Regulation"&gt;50&lt;/ref-type&gt;&lt;contributors&gt;&lt;/contributors&gt;&lt;titles&gt;&lt;title&gt;Lov om kommuner og fylkeskommuner (kommuneloven)&lt;/title&gt;&lt;secondary-title&gt;LOV-2018-06-22-83&lt;/secondary-title&gt;&lt;/titles&gt;&lt;edition&gt;LOV-2021-04-23-24&lt;/edition&gt;&lt;dates&gt;&lt;year&gt;2021&lt;/year&gt;&lt;/dates&gt;&lt;urls&gt;&lt;related-urls&gt;&lt;url&gt;https://lovdata.no/dokument/NL/lov/2018-06-22-83&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Lov om kommuner og fylkeskommuner (kommuneloven)</w:t>
      </w:r>
      <w:r w:rsidR="00B87F6D">
        <w:rPr>
          <w:rFonts w:eastAsia="Calibri"/>
          <w:noProof/>
        </w:rPr>
        <w:t>, 2021)</w:t>
      </w:r>
      <w:r w:rsidR="00B87F6D">
        <w:rPr>
          <w:rFonts w:eastAsia="Calibri"/>
        </w:rPr>
        <w:fldChar w:fldCharType="end"/>
      </w:r>
      <w:r>
        <w:rPr>
          <w:rFonts w:eastAsia="Calibri"/>
        </w:rPr>
        <w:t>.</w:t>
      </w:r>
    </w:p>
    <w:p w14:paraId="007A4783" w14:textId="2FAE3047" w:rsidR="00AA73CD" w:rsidRDefault="439CE0BB" w:rsidP="00775632">
      <w:pPr>
        <w:pStyle w:val="Overskrift4"/>
      </w:pPr>
      <w:bookmarkStart w:id="4729" w:name="_Toc120526250"/>
      <w:bookmarkStart w:id="4730" w:name="_Toc126834445"/>
      <w:bookmarkStart w:id="4731" w:name="_Toc127633330"/>
      <w:bookmarkStart w:id="4732" w:name="_Toc127864615"/>
      <w:bookmarkStart w:id="4733" w:name="_Toc128238629"/>
      <w:bookmarkStart w:id="4734" w:name="_Toc128742077"/>
      <w:bookmarkStart w:id="4735" w:name="_Toc128744705"/>
      <w:bookmarkStart w:id="4736" w:name="_Toc128744924"/>
      <w:bookmarkStart w:id="4737" w:name="_Toc129630429"/>
      <w:bookmarkStart w:id="4738" w:name="_Toc130763936"/>
      <w:bookmarkStart w:id="4739" w:name="_Toc130766831"/>
      <w:bookmarkStart w:id="4740" w:name="_Toc130932230"/>
      <w:bookmarkStart w:id="4741" w:name="_Toc130934521"/>
      <w:bookmarkStart w:id="4742" w:name="_Toc130983661"/>
      <w:bookmarkStart w:id="4743" w:name="_Toc130984010"/>
      <w:bookmarkStart w:id="4744" w:name="_Toc131062272"/>
      <w:bookmarkStart w:id="4745" w:name="_Toc131062526"/>
      <w:bookmarkStart w:id="4746" w:name="_Toc131062787"/>
      <w:bookmarkStart w:id="4747" w:name="_Toc131063040"/>
      <w:bookmarkStart w:id="4748" w:name="_Toc131063823"/>
      <w:bookmarkStart w:id="4749" w:name="_Toc131064234"/>
      <w:bookmarkStart w:id="4750" w:name="_Toc131279606"/>
      <w:bookmarkStart w:id="4751" w:name="_Toc131287018"/>
      <w:bookmarkStart w:id="4752" w:name="_Toc131281428"/>
      <w:bookmarkStart w:id="4753" w:name="_Toc131317968"/>
      <w:r>
        <w:t>Unntak fra kompetansekrav</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1B784E98" w14:textId="77777777" w:rsidR="00D9107F" w:rsidRDefault="6C817170" w:rsidP="004F1500">
      <w:pPr>
        <w:rPr>
          <w:rFonts w:eastAsia="Calibri"/>
        </w:rPr>
      </w:pPr>
      <w:r>
        <w:rPr>
          <w:rFonts w:eastAsia="Calibri"/>
        </w:rPr>
        <w:t>Unntaksbestemmelsen i kompetansef</w:t>
      </w:r>
      <w:r w:rsidR="11D3D48E">
        <w:rPr>
          <w:rFonts w:eastAsia="Calibri"/>
        </w:rPr>
        <w:t xml:space="preserve">orskriften </w:t>
      </w:r>
      <w:r w:rsidR="038C56EC">
        <w:rPr>
          <w:rFonts w:eastAsia="Calibri"/>
        </w:rPr>
        <w:t xml:space="preserve">gjelder </w:t>
      </w:r>
      <w:r w:rsidR="2AC90FB4">
        <w:rPr>
          <w:rFonts w:eastAsia="Calibri"/>
        </w:rPr>
        <w:t xml:space="preserve">for leger som </w:t>
      </w:r>
      <w:r w:rsidR="2AC90FB4" w:rsidRPr="00E708C9">
        <w:rPr>
          <w:rFonts w:eastAsia="Calibri"/>
        </w:rPr>
        <w:t xml:space="preserve">tiltrer </w:t>
      </w:r>
      <w:r w:rsidR="002472E5" w:rsidRPr="00E708C9">
        <w:rPr>
          <w:rFonts w:eastAsia="Calibri"/>
        </w:rPr>
        <w:t>et</w:t>
      </w:r>
      <w:r w:rsidR="2AC90FB4" w:rsidRPr="00E708C9">
        <w:rPr>
          <w:rFonts w:eastAsia="Calibri"/>
        </w:rPr>
        <w:t xml:space="preserve"> </w:t>
      </w:r>
      <w:r w:rsidR="2AC90FB4">
        <w:rPr>
          <w:rFonts w:eastAsia="Calibri"/>
        </w:rPr>
        <w:t xml:space="preserve">eller flere </w:t>
      </w:r>
      <w:r w:rsidR="2AC90FB4" w:rsidRPr="00E708C9">
        <w:rPr>
          <w:rFonts w:eastAsia="Calibri"/>
        </w:rPr>
        <w:t xml:space="preserve">vikariat </w:t>
      </w:r>
      <w:r w:rsidR="36D4A2D0">
        <w:rPr>
          <w:rFonts w:eastAsia="Calibri"/>
        </w:rPr>
        <w:t xml:space="preserve">i kommunen </w:t>
      </w:r>
      <w:r w:rsidR="2AC90FB4" w:rsidRPr="00E708C9">
        <w:rPr>
          <w:rFonts w:eastAsia="Calibri"/>
        </w:rPr>
        <w:t>av inntil ett års varighet</w:t>
      </w:r>
      <w:r w:rsidR="2AC90FB4">
        <w:rPr>
          <w:rFonts w:eastAsia="Calibri"/>
        </w:rPr>
        <w:t xml:space="preserve">, </w:t>
      </w:r>
      <w:r w:rsidR="2AC90FB4" w:rsidRPr="00E708C9">
        <w:rPr>
          <w:rFonts w:eastAsia="Calibri"/>
        </w:rPr>
        <w:t>deltar i kommunalt organisert legevakt utenom sitt ordinære arbeid</w:t>
      </w:r>
      <w:r w:rsidR="722D9083">
        <w:rPr>
          <w:rFonts w:eastAsia="Calibri"/>
        </w:rPr>
        <w:t>,</w:t>
      </w:r>
      <w:r w:rsidR="2AC90FB4" w:rsidRPr="00E708C9">
        <w:rPr>
          <w:rFonts w:eastAsia="Calibri"/>
        </w:rPr>
        <w:t xml:space="preserve"> eller</w:t>
      </w:r>
      <w:r w:rsidR="2AC90FB4">
        <w:rPr>
          <w:rFonts w:eastAsia="Calibri"/>
        </w:rPr>
        <w:t xml:space="preserve"> </w:t>
      </w:r>
      <w:r w:rsidR="2AC90FB4" w:rsidRPr="00E708C9">
        <w:rPr>
          <w:rFonts w:eastAsia="Calibri"/>
        </w:rPr>
        <w:t xml:space="preserve">har en </w:t>
      </w:r>
      <w:r w:rsidR="2AC90FB4">
        <w:rPr>
          <w:rFonts w:eastAsia="Calibri"/>
        </w:rPr>
        <w:t xml:space="preserve">annen </w:t>
      </w:r>
      <w:r w:rsidR="2AC90FB4" w:rsidRPr="00E708C9">
        <w:rPr>
          <w:rFonts w:eastAsia="Calibri"/>
        </w:rPr>
        <w:t>godkjent spesialistutdanning og arbeider utenfor fastlegeordningen</w:t>
      </w:r>
      <w:r w:rsidR="2AC90FB4">
        <w:rPr>
          <w:rFonts w:eastAsia="Calibri"/>
        </w:rPr>
        <w:t>.</w:t>
      </w:r>
      <w:r w:rsidR="027CB117">
        <w:rPr>
          <w:rFonts w:eastAsia="Calibri"/>
        </w:rPr>
        <w:t xml:space="preserve"> </w:t>
      </w:r>
      <w:r w:rsidR="07609F93" w:rsidRPr="00AC1EB8">
        <w:rPr>
          <w:rFonts w:eastAsia="Calibri"/>
        </w:rPr>
        <w:t>En lege kan arbeide i flere vikariater</w:t>
      </w:r>
      <w:r w:rsidR="1C69ED7A">
        <w:rPr>
          <w:rFonts w:eastAsia="Calibri"/>
        </w:rPr>
        <w:t>, men v</w:t>
      </w:r>
      <w:r w:rsidR="07609F93" w:rsidRPr="00AC1EB8">
        <w:rPr>
          <w:rFonts w:eastAsia="Calibri"/>
        </w:rPr>
        <w:t>ikariatene kan imidlertid ikke overskride ett år</w:t>
      </w:r>
      <w:r w:rsidR="07609F93">
        <w:rPr>
          <w:rFonts w:eastAsia="Calibri"/>
        </w:rPr>
        <w:t xml:space="preserve"> samlet sett</w:t>
      </w:r>
      <w:r w:rsidR="6DCA6FAE" w:rsidRPr="321A4597">
        <w:rPr>
          <w:rFonts w:eastAsia="Calibri"/>
        </w:rPr>
        <w:t xml:space="preserve"> </w:t>
      </w:r>
      <w:r w:rsidR="00B87F6D">
        <w:rPr>
          <w:rFonts w:eastAsia="Calibri"/>
        </w:rPr>
        <w:fldChar w:fldCharType="begin"/>
      </w:r>
      <w:r w:rsidR="00D078E3">
        <w:rPr>
          <w:rFonts w:eastAsia="Calibri"/>
        </w:rPr>
        <w:instrText xml:space="preserve"> ADDIN EN.CITE &lt;EndNote&gt;&lt;Cite ExcludeAuth="1"&gt;&lt;Year&gt;2017&lt;/Year&gt;&lt;RecNum&gt;257&lt;/RecNum&gt;&lt;DisplayText&gt;(&lt;style face="italic"&gt;Forskrift om kompetansekrav for leger i den kommunale helse- og omsorgstjenesten&lt;/style&gt;, 2017)&lt;/DisplayText&gt;&lt;record&gt;&lt;rec-number&gt;257&lt;/rec-number&gt;&lt;foreign-keys&gt;&lt;key app="EN" db-id="95tpr2tp6r9xwoea9rb5wdsz5ds5xeddteew" timestamp="1680069511"&gt;257&lt;/key&gt;&lt;/foreign-keys&gt;&lt;ref-type name="Legal Rule or Regulation"&gt;50&lt;/ref-type&gt;&lt;contributors&gt;&lt;/contributors&gt;&lt;titles&gt;&lt;title&gt;Forskrift om kompetansekrav for leger i den kommunale helse- og omsorgstjenesten&lt;/title&gt;&lt;secondary-title&gt;FOR-2017-02-17-192&lt;/secondary-title&gt;&lt;/titles&gt;&lt;edition&gt; FOR-2022-10-28-1816&lt;/edition&gt;&lt;dates&gt;&lt;year&gt;2017&lt;/year&gt;&lt;/dates&gt;&lt;urls&gt;&lt;related-urls&gt;&lt;url&gt;https://lovdata.no/dokument/LTI/forskrift/2017-02-17-192&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Forskrift om kompetansekrav for leger i den kommunale helse- og omsorgstjenesten</w:t>
      </w:r>
      <w:r w:rsidR="00B87F6D">
        <w:rPr>
          <w:rFonts w:eastAsia="Calibri"/>
          <w:noProof/>
        </w:rPr>
        <w:t>, 2017)</w:t>
      </w:r>
      <w:r w:rsidR="00B87F6D">
        <w:rPr>
          <w:rFonts w:eastAsia="Calibri"/>
        </w:rPr>
        <w:fldChar w:fldCharType="end"/>
      </w:r>
      <w:r w:rsidR="07609F93" w:rsidRPr="00AC1EB8">
        <w:rPr>
          <w:rFonts w:eastAsia="Calibri"/>
        </w:rPr>
        <w:t>.</w:t>
      </w:r>
    </w:p>
    <w:p w14:paraId="7E8C0120" w14:textId="77777777" w:rsidR="00D9107F" w:rsidRPr="00D9107F" w:rsidRDefault="00A47B2B" w:rsidP="004F1500">
      <w:pPr>
        <w:rPr>
          <w:rStyle w:val="skrift-hevet"/>
          <w:rFonts w:eastAsia="Calibri"/>
        </w:rPr>
      </w:pPr>
      <w:r>
        <w:rPr>
          <w:rFonts w:eastAsia="Calibri"/>
        </w:rPr>
        <w:t xml:space="preserve">Videre </w:t>
      </w:r>
      <w:r w:rsidR="00C62623">
        <w:rPr>
          <w:rFonts w:eastAsia="Calibri"/>
        </w:rPr>
        <w:t>åpner</w:t>
      </w:r>
      <w:r>
        <w:rPr>
          <w:rFonts w:eastAsia="Calibri"/>
        </w:rPr>
        <w:t xml:space="preserve"> forskrift </w:t>
      </w:r>
      <w:r w:rsidR="00DE6AD6">
        <w:rPr>
          <w:rFonts w:eastAsia="Calibri"/>
        </w:rPr>
        <w:t>om</w:t>
      </w:r>
      <w:r>
        <w:rPr>
          <w:rFonts w:eastAsia="Calibri"/>
        </w:rPr>
        <w:t xml:space="preserve"> rett til trygderefusjon</w:t>
      </w:r>
      <w:r w:rsidR="00962400">
        <w:rPr>
          <w:rFonts w:eastAsia="Calibri"/>
        </w:rPr>
        <w:t xml:space="preserve"> </w:t>
      </w:r>
      <w:r w:rsidR="00F5777C">
        <w:rPr>
          <w:rFonts w:eastAsia="Calibri"/>
        </w:rPr>
        <w:t xml:space="preserve">for </w:t>
      </w:r>
      <w:r w:rsidR="00EB263B">
        <w:rPr>
          <w:rFonts w:eastAsia="Calibri"/>
        </w:rPr>
        <w:t xml:space="preserve">at </w:t>
      </w:r>
      <w:r w:rsidR="00FA7436" w:rsidRPr="00FA7436">
        <w:rPr>
          <w:rFonts w:eastAsia="Calibri"/>
        </w:rPr>
        <w:t>vikar for fastlege og legevakt uten godkjent LIS1 eller norsk turnustjeneste</w:t>
      </w:r>
      <w:r w:rsidR="002430C0">
        <w:rPr>
          <w:rFonts w:eastAsia="Calibri"/>
        </w:rPr>
        <w:t xml:space="preserve">, </w:t>
      </w:r>
      <w:r w:rsidR="00ED342F">
        <w:rPr>
          <w:rFonts w:eastAsia="Calibri"/>
        </w:rPr>
        <w:t xml:space="preserve">gis rett til trygderefusjon. </w:t>
      </w:r>
      <w:r w:rsidR="00AA73CD" w:rsidRPr="00AC1EB8">
        <w:rPr>
          <w:rFonts w:eastAsia="Calibri"/>
        </w:rPr>
        <w:t xml:space="preserve">Etter ett års vikariat må </w:t>
      </w:r>
      <w:r w:rsidR="005B6C91">
        <w:rPr>
          <w:rFonts w:eastAsia="Calibri"/>
        </w:rPr>
        <w:t xml:space="preserve">legen ha oppnådd </w:t>
      </w:r>
      <w:r w:rsidR="00AA73CD" w:rsidRPr="00AC1EB8">
        <w:rPr>
          <w:rFonts w:eastAsia="Calibri"/>
        </w:rPr>
        <w:t xml:space="preserve">læringsmålene for LIS1 for å ha rett </w:t>
      </w:r>
      <w:r w:rsidR="00AA73CD">
        <w:rPr>
          <w:rFonts w:eastAsia="Calibri"/>
        </w:rPr>
        <w:t xml:space="preserve">til </w:t>
      </w:r>
      <w:r w:rsidR="00AA73CD" w:rsidRPr="00AC1EB8">
        <w:rPr>
          <w:rFonts w:eastAsia="Calibri"/>
        </w:rPr>
        <w:t>trygderefusjon</w:t>
      </w:r>
      <w:r w:rsidR="00234170">
        <w:rPr>
          <w:rFonts w:eastAsia="Calibri"/>
        </w:rPr>
        <w:t xml:space="preserve"> i fastlegepraksis</w:t>
      </w:r>
      <w:r w:rsidR="00AA73CD" w:rsidRPr="00AC1EB8">
        <w:rPr>
          <w:rFonts w:eastAsia="Calibri"/>
        </w:rPr>
        <w:t>.</w:t>
      </w:r>
    </w:p>
    <w:p w14:paraId="6D7BCB21" w14:textId="5C143052" w:rsidR="00D9107F" w:rsidRDefault="5FE76FB8" w:rsidP="004F1500">
      <w:pPr>
        <w:rPr>
          <w:rFonts w:eastAsia="Calibri"/>
        </w:rPr>
      </w:pPr>
      <w:r>
        <w:rPr>
          <w:rFonts w:eastAsia="Calibri"/>
        </w:rPr>
        <w:t>R</w:t>
      </w:r>
      <w:r w:rsidR="388EE3A0">
        <w:rPr>
          <w:rFonts w:eastAsia="Calibri"/>
        </w:rPr>
        <w:t xml:space="preserve">ett til trygderefusjon </w:t>
      </w:r>
      <w:r>
        <w:rPr>
          <w:rFonts w:eastAsia="Calibri"/>
        </w:rPr>
        <w:t>gis</w:t>
      </w:r>
      <w:r w:rsidR="07609F93">
        <w:rPr>
          <w:rFonts w:eastAsia="Calibri"/>
        </w:rPr>
        <w:t xml:space="preserve"> </w:t>
      </w:r>
      <w:r w:rsidR="07609F93" w:rsidRPr="00AC1EB8">
        <w:rPr>
          <w:rFonts w:eastAsia="Calibri"/>
        </w:rPr>
        <w:t>lege som tiltrer vikariat ved legevakt av inntil to måneders varighet</w:t>
      </w:r>
      <w:r w:rsidR="07609F93">
        <w:rPr>
          <w:rFonts w:eastAsia="Calibri"/>
        </w:rPr>
        <w:t xml:space="preserve">, herunder </w:t>
      </w:r>
      <w:r w:rsidR="07609F93" w:rsidRPr="00AC1EB8">
        <w:rPr>
          <w:rFonts w:eastAsia="Calibri"/>
        </w:rPr>
        <w:t>lege som har grunnutdanning og yrkeserfaring fra et EU/EØS-land</w:t>
      </w:r>
      <w:r w:rsidR="722D9083">
        <w:rPr>
          <w:rFonts w:eastAsia="Calibri"/>
        </w:rPr>
        <w:t>,</w:t>
      </w:r>
      <w:r w:rsidR="07609F93">
        <w:rPr>
          <w:rFonts w:eastAsia="Calibri"/>
        </w:rPr>
        <w:t xml:space="preserve"> eller </w:t>
      </w:r>
      <w:r w:rsidR="07609F93" w:rsidRPr="00AC1EB8">
        <w:rPr>
          <w:rFonts w:eastAsia="Calibri"/>
        </w:rPr>
        <w:t>lege som har grunnutdanning utenfor EU/EØS og som har fått autorisasjon i Norge på bakgrunn av minst tre års yrkeserfaring fra et annet EU/EØS-land</w:t>
      </w:r>
      <w:r w:rsidR="07609F93">
        <w:rPr>
          <w:rFonts w:eastAsia="Calibri"/>
        </w:rPr>
        <w:t>. I begge tilfellene gjelder det at y</w:t>
      </w:r>
      <w:r w:rsidR="07609F93" w:rsidRPr="00AC1EB8">
        <w:rPr>
          <w:rFonts w:eastAsia="Calibri"/>
        </w:rPr>
        <w:t>rkeserfaringen må gi tilsvarende erfaring fra sykehus og primærhelsetjeneste/kommune som LIS 1.</w:t>
      </w:r>
      <w:r w:rsidR="07609F93">
        <w:rPr>
          <w:rFonts w:eastAsia="Calibri"/>
        </w:rPr>
        <w:t xml:space="preserve"> </w:t>
      </w:r>
      <w:r w:rsidR="07609F93" w:rsidRPr="00AC1EB8">
        <w:rPr>
          <w:rFonts w:eastAsia="Calibri"/>
        </w:rPr>
        <w:t>Legen kan ha ett eller flere vikariater</w:t>
      </w:r>
      <w:r w:rsidR="07609F93">
        <w:rPr>
          <w:rFonts w:eastAsia="Calibri"/>
        </w:rPr>
        <w:t>,</w:t>
      </w:r>
      <w:r w:rsidR="07609F93" w:rsidRPr="00AC1EB8">
        <w:rPr>
          <w:rFonts w:eastAsia="Calibri"/>
        </w:rPr>
        <w:t xml:space="preserve"> men kun i to måneder per kalenderår </w:t>
      </w:r>
      <w:r w:rsidR="00B87F6D">
        <w:rPr>
          <w:rFonts w:eastAsia="Calibri"/>
        </w:rPr>
        <w:fldChar w:fldCharType="begin"/>
      </w:r>
      <w:r w:rsidR="00D078E3">
        <w:rPr>
          <w:rFonts w:eastAsia="Calibri"/>
        </w:rPr>
        <w:instrText xml:space="preserve"> ADDIN EN.CITE &lt;EndNote&gt;&lt;Cite ExcludeAuth="1"&gt;&lt;Year&gt;1998&lt;/Year&gt;&lt;RecNum&gt;266&lt;/RecNum&gt;&lt;DisplayText&gt;(&lt;style face="italic"&gt;Forskrift om rett til trygderefusjon for leger, spesialister i klinisk psykologi og fysioterapeuter&lt;/style&gt;, 1998)&lt;/DisplayText&gt;&lt;record&gt;&lt;rec-number&gt;266&lt;/rec-number&gt;&lt;foreign-keys&gt;&lt;key app="EN" db-id="95tpr2tp6r9xwoea9rb5wdsz5ds5xeddteew" timestamp="1680069511"&gt;266&lt;/key&gt;&lt;/foreign-keys&gt;&lt;ref-type name="Legal Rule or Regulation"&gt;50&lt;/ref-type&gt;&lt;contributors&gt;&lt;/contributors&gt;&lt;titles&gt;&lt;title&gt;Forskrift om rett til trygderefusjon for leger, spesialister i klinisk psykologi og fysioterapeuter&lt;/title&gt;&lt;secondary-title&gt;FOR-1998-06-18-590&lt;/secondary-title&gt;&lt;/titles&gt;&lt;edition&gt;FOR-2022-10-28-1888&lt;/edition&gt;&lt;dates&gt;&lt;year&gt;1998&lt;/year&gt;&lt;/dates&gt;&lt;urls&gt;&lt;related-urls&gt;&lt;url&gt;https://lovdata.no/dokument/SF/forskrift/1998-06-18-590&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Forskrift om rett til trygderefusjon for leger, spesialister i klinisk psykologi og fysioterapeuter</w:t>
      </w:r>
      <w:r w:rsidR="00B87F6D">
        <w:rPr>
          <w:rFonts w:eastAsia="Calibri"/>
          <w:noProof/>
        </w:rPr>
        <w:t>, 1998)</w:t>
      </w:r>
      <w:r w:rsidR="00B87F6D">
        <w:rPr>
          <w:rFonts w:eastAsia="Calibri"/>
        </w:rPr>
        <w:fldChar w:fldCharType="end"/>
      </w:r>
      <w:r w:rsidR="00BE161B">
        <w:rPr>
          <w:rFonts w:eastAsia="Calibri"/>
        </w:rPr>
        <w:t>.</w:t>
      </w:r>
    </w:p>
    <w:p w14:paraId="1EED490D" w14:textId="0B985183" w:rsidR="00AA73CD" w:rsidRDefault="07609F93" w:rsidP="004F1500">
      <w:pPr>
        <w:rPr>
          <w:rFonts w:eastAsia="Calibri"/>
        </w:rPr>
      </w:pPr>
      <w:r>
        <w:rPr>
          <w:rFonts w:eastAsia="Calibri"/>
        </w:rPr>
        <w:t>Som et tiltak for å bedre allmennlegekapasiteten under koronapandemien</w:t>
      </w:r>
      <w:r w:rsidR="722D9083">
        <w:rPr>
          <w:rFonts w:eastAsia="Calibri"/>
        </w:rPr>
        <w:t>,</w:t>
      </w:r>
      <w:r>
        <w:rPr>
          <w:rFonts w:eastAsia="Calibri"/>
        </w:rPr>
        <w:t xml:space="preserve"> og ved mottak av flyktninger fra Ukraina</w:t>
      </w:r>
      <w:r w:rsidR="722D9083">
        <w:rPr>
          <w:rFonts w:eastAsia="Calibri"/>
        </w:rPr>
        <w:t>,</w:t>
      </w:r>
      <w:r>
        <w:rPr>
          <w:rFonts w:eastAsia="Calibri"/>
        </w:rPr>
        <w:t xml:space="preserve"> er det innført en endring som </w:t>
      </w:r>
      <w:r w:rsidRPr="00816385">
        <w:rPr>
          <w:rFonts w:eastAsia="Calibri"/>
        </w:rPr>
        <w:t>innebærer at tilsetting i og forlengelse av vikariater til sammen kan vare mer enn ett år, så lenge vikariatet ikke varer lenger enn til 31. desember 2023</w:t>
      </w:r>
      <w:r w:rsidR="7503F9D8">
        <w:rPr>
          <w:rFonts w:eastAsia="Calibri"/>
        </w:rPr>
        <w:t xml:space="preserve">. </w:t>
      </w:r>
      <w:r w:rsidR="0757E9A0">
        <w:rPr>
          <w:rFonts w:eastAsia="Calibri"/>
        </w:rPr>
        <w:t>D</w:t>
      </w:r>
      <w:r w:rsidR="695D6C4A" w:rsidRPr="00FB470A">
        <w:rPr>
          <w:rFonts w:eastAsia="Calibri"/>
        </w:rPr>
        <w:t xml:space="preserve">et </w:t>
      </w:r>
      <w:r w:rsidR="5D81AD2B">
        <w:rPr>
          <w:rFonts w:eastAsia="Calibri"/>
        </w:rPr>
        <w:t>er</w:t>
      </w:r>
      <w:r w:rsidR="695D6C4A" w:rsidRPr="00FB470A">
        <w:rPr>
          <w:rFonts w:eastAsia="Calibri"/>
        </w:rPr>
        <w:t xml:space="preserve"> </w:t>
      </w:r>
      <w:r w:rsidR="0757E9A0">
        <w:rPr>
          <w:rFonts w:eastAsia="Calibri"/>
        </w:rPr>
        <w:t xml:space="preserve">også gjort </w:t>
      </w:r>
      <w:r w:rsidR="695D6C4A" w:rsidRPr="00FB470A">
        <w:rPr>
          <w:rFonts w:eastAsia="Calibri"/>
        </w:rPr>
        <w:t>unntak fra to-måneders grensen for vikariat med lege uten godkjent LIS1/norsk turnustjeneste</w:t>
      </w:r>
      <w:r w:rsidR="0757E9A0">
        <w:rPr>
          <w:rFonts w:eastAsia="Calibri"/>
        </w:rPr>
        <w:t xml:space="preserve"> i legevakt</w:t>
      </w:r>
      <w:r w:rsidR="006200E9" w:rsidRPr="00D9107F">
        <w:rPr>
          <w:rStyle w:val="Fotnotereferanse"/>
          <w:rFonts w:eastAsia="Calibri"/>
        </w:rPr>
        <w:footnoteReference w:id="49"/>
      </w:r>
      <w:r w:rsidR="0757E9A0">
        <w:rPr>
          <w:rFonts w:eastAsia="Calibri"/>
        </w:rPr>
        <w:t>.</w:t>
      </w:r>
    </w:p>
    <w:p w14:paraId="07080E4B" w14:textId="77777777" w:rsidR="00D9107F" w:rsidRDefault="388EE3A0" w:rsidP="004F1500">
      <w:r>
        <w:rPr>
          <w:rFonts w:ascii="Calibri" w:eastAsia="Calibri" w:hAnsi="Calibri" w:cs="Calibri"/>
        </w:rPr>
        <w:t>Per</w:t>
      </w:r>
      <w:r>
        <w:t xml:space="preserve"> 30.4.2022 hadde 187 av omtrent 900 fastlegevikarer (tilsvarende ca. 20 prosent av </w:t>
      </w:r>
      <w:r w:rsidR="0E242010">
        <w:t>fastlege</w:t>
      </w:r>
      <w:r>
        <w:t xml:space="preserve">vikarene) ikke </w:t>
      </w:r>
      <w:r w:rsidRPr="001D2A68">
        <w:t>gjennomført LIS1-tjeneste</w:t>
      </w:r>
      <w:r w:rsidR="00453366">
        <w:t xml:space="preserve"> </w:t>
      </w:r>
      <w:r w:rsidR="001F5F05">
        <w:fldChar w:fldCharType="begin"/>
      </w:r>
      <w:r w:rsidR="004654FD">
        <w:instrText xml:space="preserve"> ADDIN EN.CITE &lt;EndNote&gt;&lt;Cite&gt;&lt;Author&gt;Helsedirektoratet&lt;/Author&gt;&lt;Year&gt;2022&lt;/Year&gt;&lt;RecNum&gt;591&lt;/RecNum&gt;&lt;DisplayText&gt;(Helsedirektoratet, 2022h)&lt;/DisplayText&gt;&lt;record&gt;&lt;rec-number&gt;591&lt;/rec-number&gt;&lt;foreign-keys&gt;&lt;key app="EN" db-id="95tpr2tp6r9xwoea9rb5wdsz5ds5xeddteew" timestamp="1680069511"&gt;591&lt;/key&gt;&lt;/foreign-keys&gt;&lt;ref-type name="Report"&gt;27&lt;/ref-type&gt;&lt;contributors&gt;&lt;authors&gt;&lt;author&gt;Helsedirektoratet&lt;/author&gt;&lt;/authors&gt;&lt;/contributors&gt;&lt;titles&gt;&lt;title&gt;Oppfølging av Handlingsplan for allmennlegetjenesten 2020-2024 Statusrapport - 2. tertial 2022&lt;/title&gt;&lt;/titles&gt;&lt;number&gt;2. tertial 2022&lt;/number&gt;&lt;dates&gt;&lt;year&gt;2022&lt;/year&gt;&lt;/dates&gt;&lt;pub-location&gt;Oslo&lt;/pub-location&gt;&lt;publisher&gt;Helsedirektoratet&lt;/publisher&gt;&lt;urls&gt;&lt;/urls&gt;&lt;/record&gt;&lt;/Cite&gt;&lt;/EndNote&gt;</w:instrText>
      </w:r>
      <w:r w:rsidR="001F5F05">
        <w:fldChar w:fldCharType="separate"/>
      </w:r>
      <w:r w:rsidR="004654FD">
        <w:rPr>
          <w:noProof/>
        </w:rPr>
        <w:t>(Helsedirektoratet, 2022h)</w:t>
      </w:r>
      <w:r w:rsidR="001F5F05">
        <w:fldChar w:fldCharType="end"/>
      </w:r>
      <w:r w:rsidRPr="001D2A68">
        <w:t>.</w:t>
      </w:r>
    </w:p>
    <w:p w14:paraId="37B5BF75" w14:textId="18621D3B" w:rsidR="00AA73CD" w:rsidRDefault="00AA73CD" w:rsidP="00775632">
      <w:pPr>
        <w:pStyle w:val="Overskrift2"/>
      </w:pPr>
      <w:bookmarkStart w:id="4754" w:name="_Toc120526251"/>
      <w:bookmarkStart w:id="4755" w:name="_Toc126834446"/>
      <w:bookmarkStart w:id="4756" w:name="_Toc127633331"/>
      <w:bookmarkStart w:id="4757" w:name="_Toc127864616"/>
      <w:bookmarkStart w:id="4758" w:name="_Toc128238630"/>
      <w:bookmarkStart w:id="4759" w:name="_Toc128742078"/>
      <w:bookmarkStart w:id="4760" w:name="_Toc128744706"/>
      <w:bookmarkStart w:id="4761" w:name="_Toc128744925"/>
      <w:bookmarkStart w:id="4762" w:name="_Toc129630430"/>
      <w:bookmarkStart w:id="4763" w:name="_Toc130763937"/>
      <w:bookmarkStart w:id="4764" w:name="_Toc130766832"/>
      <w:bookmarkStart w:id="4765" w:name="_Toc130932231"/>
      <w:bookmarkStart w:id="4766" w:name="_Toc130934522"/>
      <w:bookmarkStart w:id="4767" w:name="_Toc130983662"/>
      <w:bookmarkStart w:id="4768" w:name="_Toc130984011"/>
      <w:bookmarkStart w:id="4769" w:name="_Toc131062273"/>
      <w:bookmarkStart w:id="4770" w:name="_Toc131062527"/>
      <w:bookmarkStart w:id="4771" w:name="_Toc131062788"/>
      <w:bookmarkStart w:id="4772" w:name="_Toc131063041"/>
      <w:bookmarkStart w:id="4773" w:name="_Toc131063824"/>
      <w:bookmarkStart w:id="4774" w:name="_Toc131064235"/>
      <w:bookmarkStart w:id="4775" w:name="_Toc131238568"/>
      <w:bookmarkStart w:id="4776" w:name="_Toc131279607"/>
      <w:bookmarkStart w:id="4777" w:name="_Toc131287019"/>
      <w:bookmarkStart w:id="4778" w:name="_Toc131281429"/>
      <w:bookmarkStart w:id="4779" w:name="_Toc131317969"/>
      <w:bookmarkStart w:id="4780" w:name="_Toc132537069"/>
      <w:r>
        <w:lastRenderedPageBreak/>
        <w:t>Legers grunnutdanning</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527EAFB0" w14:textId="77777777" w:rsidR="00AA73CD" w:rsidRDefault="439CE0BB" w:rsidP="00775632">
      <w:pPr>
        <w:pStyle w:val="Overskrift3"/>
      </w:pPr>
      <w:bookmarkStart w:id="4781" w:name="_Toc120526252"/>
      <w:bookmarkStart w:id="4782" w:name="_Toc126834447"/>
      <w:bookmarkStart w:id="4783" w:name="_Toc127633332"/>
      <w:bookmarkStart w:id="4784" w:name="_Toc127864617"/>
      <w:bookmarkStart w:id="4785" w:name="_Toc128238631"/>
      <w:bookmarkStart w:id="4786" w:name="_Toc128742079"/>
      <w:bookmarkStart w:id="4787" w:name="_Toc128744707"/>
      <w:bookmarkStart w:id="4788" w:name="_Toc128744926"/>
      <w:bookmarkStart w:id="4789" w:name="_Toc129630431"/>
      <w:bookmarkStart w:id="4790" w:name="_Toc130763938"/>
      <w:bookmarkStart w:id="4791" w:name="_Toc130766833"/>
      <w:bookmarkStart w:id="4792" w:name="_Toc130932232"/>
      <w:bookmarkStart w:id="4793" w:name="_Toc130934523"/>
      <w:bookmarkStart w:id="4794" w:name="_Toc130983663"/>
      <w:bookmarkStart w:id="4795" w:name="_Toc130984012"/>
      <w:bookmarkStart w:id="4796" w:name="_Toc131062274"/>
      <w:bookmarkStart w:id="4797" w:name="_Toc131062528"/>
      <w:bookmarkStart w:id="4798" w:name="_Toc131062789"/>
      <w:bookmarkStart w:id="4799" w:name="_Toc131063042"/>
      <w:bookmarkStart w:id="4800" w:name="_Toc131063825"/>
      <w:bookmarkStart w:id="4801" w:name="_Toc131064236"/>
      <w:bookmarkStart w:id="4802" w:name="_Toc131279608"/>
      <w:bookmarkStart w:id="4803" w:name="_Toc131287020"/>
      <w:bookmarkStart w:id="4804" w:name="_Toc131281430"/>
      <w:bookmarkStart w:id="4805" w:name="_Toc131317970"/>
      <w:bookmarkStart w:id="4806" w:name="_Toc132537070"/>
      <w:r>
        <w:t>Grunnutdanningen av leger i dag</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14:paraId="693D8611" w14:textId="77777777" w:rsidR="00D9107F" w:rsidRDefault="07609F93" w:rsidP="00CF32F3">
      <w:pPr>
        <w:jc w:val="both"/>
      </w:pPr>
      <w:r>
        <w:t xml:space="preserve">I Norge er det fire universiteter som tilbyr medisinutdanning; Norges teknisk naturvitenskapelige universitetet (NTNU), Universitetet i Bergen (UiB), Universitetet i Oslo (UiO) og UiT Norges arktiske universitet (UiT). Medisinstudiet går over 6 år og gir 360 studiepoeng. Studenttall for de siste årene viser at nærmere 47 prosent av alle norske medisinstudenter studerer i utlandet, og </w:t>
      </w:r>
      <w:r w:rsidR="4960EC1F">
        <w:t>av disse</w:t>
      </w:r>
      <w:r w:rsidR="322FC5C2">
        <w:t xml:space="preserve"> </w:t>
      </w:r>
      <w:r>
        <w:t>studerer 2 av 3 i Polen, Ungarn og Slovakia</w:t>
      </w:r>
      <w:r w:rsidR="3C66E78A">
        <w:t xml:space="preserve"> </w:t>
      </w:r>
      <w:r w:rsidR="001F5F05">
        <w:fldChar w:fldCharType="begin"/>
      </w:r>
      <w:r w:rsidR="004654FD">
        <w:instrText xml:space="preserve"> ADDIN EN.CITE &lt;EndNote&gt;&lt;Cite&gt;&lt;Author&gt;Kunnskapsdepartementet&lt;/Author&gt;&lt;Year&gt;2019&lt;/Year&gt;&lt;RecNum&gt;771&lt;/RecNum&gt;&lt;DisplayText&gt;(Kunnskapsdepartementet, 2019)&lt;/DisplayText&gt;&lt;record&gt;&lt;rec-number&gt;771&lt;/rec-number&gt;&lt;foreign-keys&gt;&lt;key app="EN" db-id="95tpr2tp6r9xwoea9rb5wdsz5ds5xeddteew" timestamp="1680069511"&gt;771&lt;/key&gt;&lt;/foreign-keys&gt;&lt;ref-type name="Report"&gt;27&lt;/ref-type&gt;&lt;contributors&gt;&lt;authors&gt;&lt;author&gt;Kunnskapsdepartementet&lt;/author&gt;&lt;/authors&gt;&lt;/contributors&gt;&lt;titles&gt;&lt;title&gt;Studieplasser i medisin i Norge: Behov, modeller og muligheter&lt;/title&gt;&lt;/titles&gt;&lt;dates&gt;&lt;year&gt;2019&lt;/year&gt;&lt;pub-dates&gt;&lt;date&gt;2019&lt;/date&gt;&lt;/pub-dates&gt;&lt;/dates&gt;&lt;publisher&gt;Kunnskapsdepartementet&lt;/publisher&gt;&lt;urls&gt;&lt;/urls&gt;&lt;/record&gt;&lt;/Cite&gt;&lt;/EndNote&gt;</w:instrText>
      </w:r>
      <w:r w:rsidR="001F5F05">
        <w:fldChar w:fldCharType="separate"/>
      </w:r>
      <w:r w:rsidR="001F5F05">
        <w:rPr>
          <w:noProof/>
        </w:rPr>
        <w:t>(Kunnskapsdepartementet, 2019)</w:t>
      </w:r>
      <w:r w:rsidR="001F5F05">
        <w:fldChar w:fldCharType="end"/>
      </w:r>
      <w:r>
        <w:t>.</w:t>
      </w:r>
    </w:p>
    <w:p w14:paraId="405ECB1E" w14:textId="77777777" w:rsidR="00D9107F" w:rsidRDefault="07609F93" w:rsidP="00CF32F3">
      <w:pPr>
        <w:jc w:val="both"/>
      </w:pPr>
      <w:r>
        <w:t>Ifølge tall fra Samordna opptak</w:t>
      </w:r>
      <w:r w:rsidR="0E242010">
        <w:t>,</w:t>
      </w:r>
      <w:r>
        <w:t xml:space="preserve"> var det i 2022 til sammen for alle de fire </w:t>
      </w:r>
      <w:r w:rsidR="00A93607">
        <w:t xml:space="preserve">norske </w:t>
      </w:r>
      <w:r>
        <w:t xml:space="preserve">universitetene 731 planlagte studieplasser i medisin. Dette er en økning fra 580 planlagte studieplasser i 2007 og 636 planlagte studieplasser i 2018. Det er planlagt en ytterligere økning med 30 nye studieplasser fra og med høstopptaket 2023. Økningen </w:t>
      </w:r>
      <w:r w:rsidR="46F1DDCB">
        <w:t>er</w:t>
      </w:r>
      <w:r>
        <w:t xml:space="preserve"> lagt til UiT</w:t>
      </w:r>
      <w:r w:rsidR="004D67FD">
        <w:t xml:space="preserve"> </w:t>
      </w:r>
      <w:r w:rsidR="001F5F05">
        <w:fldChar w:fldCharType="begin"/>
      </w:r>
      <w:r w:rsidR="001F5F05">
        <w:instrText xml:space="preserve"> ADDIN EN.CITE &lt;EndNote&gt;&lt;Cite&gt;&lt;Author&gt;Regjeringen&lt;/Author&gt;&lt;Year&gt;2022&lt;/Year&gt;&lt;RecNum&gt;763&lt;/RecNum&gt;&lt;DisplayText&gt;(Regjeringen, 2022)&lt;/DisplayText&gt;&lt;record&gt;&lt;rec-number&gt;763&lt;/rec-number&gt;&lt;foreign-keys&gt;&lt;key app="EN" db-id="95tpr2tp6r9xwoea9rb5wdsz5ds5xeddteew" timestamp="1680069511"&gt;763&lt;/key&gt;&lt;/foreign-keys&gt;&lt;ref-type name="Web Page"&gt;12&lt;/ref-type&gt;&lt;contributors&gt;&lt;authors&gt;&lt;author&gt;Regjeringen&lt;/author&gt;&lt;/authors&gt;&lt;/contributors&gt;&lt;titles&gt;&lt;title&gt;Statsbudsjettet 2023&lt;/title&gt;&lt;/titles&gt;&lt;number&gt;16.01.2023&lt;/number&gt;&lt;dates&gt;&lt;year&gt;2022&lt;/year&gt;&lt;/dates&gt;&lt;pub-location&gt;Oslo&lt;/pub-location&gt;&lt;publisher&gt;Regjeringen&lt;/publisher&gt;&lt;work-type&gt;nettdokument&lt;/work-type&gt;&lt;urls&gt;&lt;related-urls&gt;&lt;url&gt;https://www.regjeringen.no/no/statsbudsjett/2023/id2927365/&lt;/url&gt;&lt;/related-urls&gt;&lt;/urls&gt;&lt;/record&gt;&lt;/Cite&gt;&lt;/EndNote&gt;</w:instrText>
      </w:r>
      <w:r w:rsidR="001F5F05">
        <w:fldChar w:fldCharType="separate"/>
      </w:r>
      <w:r w:rsidR="001F5F05">
        <w:rPr>
          <w:noProof/>
        </w:rPr>
        <w:t>(Regjeringen, 2022)</w:t>
      </w:r>
      <w:r w:rsidR="001F5F05">
        <w:fldChar w:fldCharType="end"/>
      </w:r>
      <w:r>
        <w:t>. Alle universitetene tar opp flere studenter enn de planlagte studieplassene, og etter suppleringsopptaket var det i 2022 gitt tilbud om studieplass til 985 søkere</w:t>
      </w:r>
      <w:r w:rsidR="7BBB1936">
        <w:t xml:space="preserve"> </w:t>
      </w:r>
      <w:r w:rsidR="001F5F05">
        <w:fldChar w:fldCharType="begin"/>
      </w:r>
      <w:r w:rsidR="001F5F05">
        <w:instrText xml:space="preserve"> ADDIN EN.CITE &lt;EndNote&gt;&lt;Cite&gt;&lt;Author&gt;Samordna opptak&lt;/Author&gt;&lt;Year&gt;2022&lt;/Year&gt;&lt;RecNum&gt;597&lt;/RecNum&gt;&lt;DisplayText&gt;(Samordna opptak, 2022a)&lt;/DisplayText&gt;&lt;record&gt;&lt;rec-number&gt;597&lt;/rec-number&gt;&lt;foreign-keys&gt;&lt;key app="EN" db-id="95tpr2tp6r9xwoea9rb5wdsz5ds5xeddteew" timestamp="1680069511"&gt;597&lt;/key&gt;&lt;/foreign-keys&gt;&lt;ref-type name="Web Page"&gt;12&lt;/ref-type&gt;&lt;contributors&gt;&lt;authors&gt;&lt;author&gt;Samordna opptak,&lt;/author&gt;&lt;/authors&gt;&lt;/contributors&gt;&lt;titles&gt;&lt;title&gt;Opptakstall fordelt på utdanningsområde og type i suppleringsopptaket 2022&lt;/title&gt;&lt;/titles&gt;&lt;number&gt;16.01.2023&lt;/number&gt;&lt;dates&gt;&lt;year&gt;2022&lt;/year&gt;&lt;/dates&gt;&lt;pub-location&gt;Oslo&lt;/pub-location&gt;&lt;publisher&gt;Samordna opptak&lt;/publisher&gt;&lt;work-type&gt;nettdokument&lt;/work-type&gt;&lt;urls&gt;&lt;related-urls&gt;&lt;url&gt;Samordna opptak, opptakstall fordelt utdanningsområde og type i 2022&lt;/url&gt;&lt;/related-urls&gt;&lt;/urls&gt;&lt;/record&gt;&lt;/Cite&gt;&lt;/EndNote&gt;</w:instrText>
      </w:r>
      <w:r w:rsidR="001F5F05">
        <w:fldChar w:fldCharType="separate"/>
      </w:r>
      <w:r w:rsidR="001F5F05">
        <w:rPr>
          <w:noProof/>
        </w:rPr>
        <w:t>(Samordna opptak, 2022a)</w:t>
      </w:r>
      <w:r w:rsidR="001F5F05">
        <w:fldChar w:fldCharType="end"/>
      </w:r>
      <w:r>
        <w:t>.</w:t>
      </w:r>
    </w:p>
    <w:p w14:paraId="7CDE55D5" w14:textId="2593A5B2" w:rsidR="00D9107F" w:rsidRDefault="07609F93" w:rsidP="00CF32F3">
      <w:pPr>
        <w:jc w:val="both"/>
      </w:pPr>
      <w:r>
        <w:t xml:space="preserve">I Norge er allmennmedisin, sammen med kirurgi og medisin, </w:t>
      </w:r>
      <w:r w:rsidR="002472E5">
        <w:t>et av de store fagene som skal læres i medisinstudiet.</w:t>
      </w:r>
      <w:r>
        <w:t xml:space="preserve"> Mye av læringen skjer i praksis, og per i dag har medisinstudentene i Bergen, Trondheim og Oslo i all hovedsak 6 ukers praksis i allmennmedisin i løpet av de siste to studieårene, mens studentene i Tromsø har 8 uker praksis. </w:t>
      </w:r>
      <w:r w:rsidRPr="006A7E88">
        <w:t>I forskrift om nasjonal retningslinje</w:t>
      </w:r>
      <w:r w:rsidRPr="00407BBE">
        <w:t xml:space="preserve"> for </w:t>
      </w:r>
      <w:r w:rsidRPr="006A7E88">
        <w:t xml:space="preserve">medisinutdanning </w:t>
      </w:r>
      <w:r w:rsidR="00D9107F">
        <w:t>§ 2</w:t>
      </w:r>
      <w:r>
        <w:t>6</w:t>
      </w:r>
      <w:r w:rsidRPr="006A7E88">
        <w:t xml:space="preserve"> står det</w:t>
      </w:r>
      <w:r>
        <w:t xml:space="preserve"> at</w:t>
      </w:r>
      <w:r w:rsidRPr="006A7E88">
        <w:t xml:space="preserve"> </w:t>
      </w:r>
      <w:r w:rsidRPr="00D9107F">
        <w:rPr>
          <w:rStyle w:val="kursiv"/>
        </w:rPr>
        <w:t>Omfanget av praksisstudiene skal være minimum 24 uker. Minst 10 uker bør gjennomføres i primærhelsetjenesten</w:t>
      </w:r>
      <w:r w:rsidRPr="00407BBE">
        <w:t xml:space="preserve"> </w:t>
      </w:r>
      <w:r w:rsidR="00B87F6D">
        <w:fldChar w:fldCharType="begin"/>
      </w:r>
      <w:r w:rsidR="00D078E3">
        <w:instrText xml:space="preserve"> ADDIN EN.CITE &lt;EndNote&gt;&lt;Cite ExcludeAuth="1"&gt;&lt;Year&gt;2020&lt;/Year&gt;&lt;RecNum&gt;261&lt;/RecNum&gt;&lt;DisplayText&gt;(&lt;style face="italic"&gt;Forskrift om nasjonal retningslinje for medisinutdanning&lt;/style&gt;, 2020)&lt;/DisplayText&gt;&lt;record&gt;&lt;rec-number&gt;261&lt;/rec-number&gt;&lt;foreign-keys&gt;&lt;key app="EN" db-id="95tpr2tp6r9xwoea9rb5wdsz5ds5xeddteew" timestamp="1680069511"&gt;261&lt;/key&gt;&lt;/foreign-keys&gt;&lt;ref-type name="Legal Rule or Regulation"&gt;50&lt;/ref-type&gt;&lt;contributors&gt;&lt;/contributors&gt;&lt;titles&gt;&lt;title&gt;Forskrift om nasjonal retningslinje for medisinutdanning&lt;/title&gt;&lt;secondary-title&gt;FOR-2020-01-03-21&lt;/secondary-title&gt;&lt;/titles&gt;&lt;dates&gt;&lt;year&gt;2020&lt;/year&gt;&lt;/dates&gt;&lt;urls&gt;&lt;related-urls&gt;&lt;url&gt;https://lovdata.no/dokument/LTI/forskrift/2020-01-03-21&lt;/url&gt;&lt;/related-urls&gt;&lt;/urls&gt;&lt;/record&gt;&lt;/Cite&gt;&lt;/EndNote&gt;</w:instrText>
      </w:r>
      <w:r w:rsidR="00B87F6D">
        <w:fldChar w:fldCharType="separate"/>
      </w:r>
      <w:r w:rsidR="00B87F6D">
        <w:rPr>
          <w:noProof/>
        </w:rPr>
        <w:t>(</w:t>
      </w:r>
      <w:r w:rsidR="00B87F6D" w:rsidRPr="00D9107F">
        <w:rPr>
          <w:rStyle w:val="kursiv"/>
        </w:rPr>
        <w:t>Forskrift om nasjonal retningslinje for medisinutdanning</w:t>
      </w:r>
      <w:r w:rsidR="00B87F6D">
        <w:rPr>
          <w:noProof/>
        </w:rPr>
        <w:t>, 2020)</w:t>
      </w:r>
      <w:r w:rsidR="00B87F6D">
        <w:fldChar w:fldCharType="end"/>
      </w:r>
      <w:r w:rsidRPr="00407BBE">
        <w:t>. Når medisinstudenter har praksis</w:t>
      </w:r>
      <w:r w:rsidR="2A2406B5">
        <w:t>,</w:t>
      </w:r>
      <w:r w:rsidRPr="00407BBE">
        <w:t xml:space="preserve"> skal de arbeide som leger med legeoppgaver under veiledning.</w:t>
      </w:r>
    </w:p>
    <w:p w14:paraId="3DD0D716" w14:textId="77777777" w:rsidR="00D9107F" w:rsidRDefault="00AA73CD" w:rsidP="00CF32F3">
      <w:pPr>
        <w:jc w:val="both"/>
      </w:pPr>
      <w:r>
        <w:t>Ulike modeller for desentralisering kan gi nye muligheter for tilknytning til distrikt og til allmennmedisin. UiT har d</w:t>
      </w:r>
      <w:r w:rsidRPr="00497C0A">
        <w:t xml:space="preserve">esentralisert utdanning </w:t>
      </w:r>
      <w:r>
        <w:t xml:space="preserve">i </w:t>
      </w:r>
      <w:r w:rsidRPr="00497C0A">
        <w:t>Finnmark og Bodø</w:t>
      </w:r>
      <w:r>
        <w:t>, og NTNU har desentralisert utdanning i Levanger.</w:t>
      </w:r>
      <w:r w:rsidR="00E17503" w:rsidRPr="00E17503">
        <w:t xml:space="preserve"> </w:t>
      </w:r>
      <w:r w:rsidR="00E17503">
        <w:t>Alle universitet planlegger for desentraliserte studieløp i sine regioner</w:t>
      </w:r>
      <w:r w:rsidR="00CF2353">
        <w:t>.</w:t>
      </w:r>
    </w:p>
    <w:p w14:paraId="75058B04" w14:textId="77777777" w:rsidR="00D9107F" w:rsidRDefault="07609F93" w:rsidP="00CF32F3">
      <w:pPr>
        <w:jc w:val="both"/>
      </w:pPr>
      <w:r>
        <w:t>UiT har egne kvoter for opptak av studenter med nordnorsk tilknytning. På medisinstudiet er 60 prosent av studieplassene reservert søkere med nordnorsk tilknytning. Innenfor denne rammen er åtte studieplasser reservert søkere med tilknytning til Nord-Troms og Finnmark</w:t>
      </w:r>
      <w:r w:rsidR="574DF12F">
        <w:t xml:space="preserve"> </w:t>
      </w:r>
      <w:r w:rsidR="001F5F05">
        <w:fldChar w:fldCharType="begin"/>
      </w:r>
      <w:r w:rsidR="001F5F05">
        <w:instrText xml:space="preserve"> ADDIN EN.CITE &lt;EndNote&gt;&lt;Cite&gt;&lt;Author&gt;Samordna opptak&lt;/Author&gt;&lt;Year&gt;2020&lt;/Year&gt;&lt;RecNum&gt;840&lt;/RecNum&gt;&lt;DisplayText&gt;(Samordna opptak, 2020)&lt;/DisplayText&gt;&lt;record&gt;&lt;rec-number&gt;840&lt;/rec-number&gt;&lt;foreign-keys&gt;&lt;key app="EN" db-id="95tpr2tp6r9xwoea9rb5wdsz5ds5xeddteew" timestamp="1680069511"&gt;840&lt;/key&gt;&lt;/foreign-keys&gt;&lt;ref-type name="Web Page"&gt;12&lt;/ref-type&gt;&lt;contributors&gt;&lt;authors&gt;&lt;author&gt;Samordna opptak,&lt;/author&gt;&lt;/authors&gt;&lt;/contributors&gt;&lt;titles&gt;&lt;title&gt;Universitet og høgskole - Kvote for Nord-Troms og Finnmark&lt;/title&gt;&lt;/titles&gt;&lt;number&gt;03.01.2023&lt;/number&gt;&lt;dates&gt;&lt;year&gt;2020&lt;/year&gt;&lt;pub-dates&gt;&lt;date&gt;17. 01.2020&lt;/date&gt;&lt;/pub-dates&gt;&lt;/dates&gt;&lt;work-type&gt;nettside&lt;/work-type&gt;&lt;urls&gt;&lt;related-urls&gt;&lt;url&gt;https://www.samordnaopptak.no/info/opptak/opptak-uhg/opptakskvoter/kvote-for-nord-troms.html&lt;/url&gt;&lt;/related-urls&gt;&lt;/urls&gt;&lt;/record&gt;&lt;/Cite&gt;&lt;/EndNote&gt;</w:instrText>
      </w:r>
      <w:r w:rsidR="001F5F05">
        <w:fldChar w:fldCharType="separate"/>
      </w:r>
      <w:r w:rsidR="001F5F05">
        <w:rPr>
          <w:noProof/>
        </w:rPr>
        <w:t>(Samordna opptak, 2020)</w:t>
      </w:r>
      <w:r w:rsidR="001F5F05">
        <w:fldChar w:fldCharType="end"/>
      </w:r>
      <w:r w:rsidR="00AA73CD" w:rsidRPr="00D9107F">
        <w:rPr>
          <w:rStyle w:val="Fotnotereferanse"/>
        </w:rPr>
        <w:footnoteReference w:id="50"/>
      </w:r>
      <w:r>
        <w:t xml:space="preserve">. I tillegg </w:t>
      </w:r>
      <w:r w:rsidR="4FCA1C69">
        <w:t>har</w:t>
      </w:r>
      <w:r>
        <w:t xml:space="preserve"> inntil to studieplasser </w:t>
      </w:r>
      <w:r w:rsidR="62007C70">
        <w:t xml:space="preserve">vært </w:t>
      </w:r>
      <w:r>
        <w:t>reservert for samiske søkere</w:t>
      </w:r>
      <w:r w:rsidR="008232BE">
        <w:t xml:space="preserve"> </w:t>
      </w:r>
      <w:r w:rsidR="001F5F05">
        <w:fldChar w:fldCharType="begin"/>
      </w:r>
      <w:r w:rsidR="001F5F05">
        <w:instrText xml:space="preserve"> ADDIN EN.CITE &lt;EndNote&gt;&lt;Cite&gt;&lt;Author&gt;Samordna opptak&lt;/Author&gt;&lt;Year&gt;2022&lt;/Year&gt;&lt;RecNum&gt;841&lt;/RecNum&gt;&lt;DisplayText&gt;(Samordna opptak, 2022b)&lt;/DisplayText&gt;&lt;record&gt;&lt;rec-number&gt;841&lt;/rec-number&gt;&lt;foreign-keys&gt;&lt;key app="EN" db-id="95tpr2tp6r9xwoea9rb5wdsz5ds5xeddteew" timestamp="1680069511"&gt;841&lt;/key&gt;&lt;/foreign-keys&gt;&lt;ref-type name="Web Page"&gt;12&lt;/ref-type&gt;&lt;contributors&gt;&lt;authors&gt;&lt;author&gt;Samordna opptak,&lt;/author&gt;&lt;/authors&gt;&lt;/contributors&gt;&lt;titles&gt;&lt;title&gt;Universitet og høgskole - Søkere med samisk språkkompetanse&lt;/title&gt;&lt;/titles&gt;&lt;number&gt;03.01.2023&lt;/number&gt;&lt;dates&gt;&lt;year&gt;2022&lt;/year&gt;&lt;pub-dates&gt;&lt;date&gt;21. 12.2022&lt;/date&gt;&lt;/pub-dates&gt;&lt;/dates&gt;&lt;work-type&gt;nettside&lt;/work-type&gt;&lt;urls&gt;&lt;related-urls&gt;&lt;url&gt;https://www.samordnaopptak.no/info/opptak/opptak-uhg/opptakskvoter/samiske-kvoter.html&lt;/url&gt;&lt;/related-urls&gt;&lt;/urls&gt;&lt;/record&gt;&lt;/Cite&gt;&lt;/EndNote&gt;</w:instrText>
      </w:r>
      <w:r w:rsidR="001F5F05">
        <w:fldChar w:fldCharType="separate"/>
      </w:r>
      <w:r w:rsidR="001F5F05">
        <w:rPr>
          <w:noProof/>
        </w:rPr>
        <w:t xml:space="preserve">(Samordna </w:t>
      </w:r>
      <w:r w:rsidR="001F5F05">
        <w:rPr>
          <w:noProof/>
        </w:rPr>
        <w:lastRenderedPageBreak/>
        <w:t>opptak, 2022b)</w:t>
      </w:r>
      <w:r w:rsidR="001F5F05">
        <w:fldChar w:fldCharType="end"/>
      </w:r>
      <w:r>
        <w:t>. Antallet studieplasser på medisin ved UiT har økt de senere år</w:t>
      </w:r>
      <w:r w:rsidR="1CF62D7A">
        <w:t>. A</w:t>
      </w:r>
      <w:r w:rsidR="6CD221F9">
        <w:t xml:space="preserve">ntall </w:t>
      </w:r>
      <w:r>
        <w:t xml:space="preserve">kvoteplasser for </w:t>
      </w:r>
      <w:r w:rsidR="7048D3E7">
        <w:t xml:space="preserve">søkere fra </w:t>
      </w:r>
      <w:r>
        <w:t>Nord-Troms og Finnmark har vært uendret</w:t>
      </w:r>
      <w:r w:rsidR="434D17DF">
        <w:t>, men de</w:t>
      </w:r>
      <w:r w:rsidR="4FCA1C69">
        <w:t>n</w:t>
      </w:r>
      <w:r w:rsidR="434D17DF">
        <w:t xml:space="preserve"> samiske kvoten </w:t>
      </w:r>
      <w:r w:rsidR="1984BB0E">
        <w:t>økes til seks studieplasser i 2023</w:t>
      </w:r>
      <w:r>
        <w:t>.</w:t>
      </w:r>
    </w:p>
    <w:p w14:paraId="246BAE58" w14:textId="0FD838BE" w:rsidR="00D9107F" w:rsidRDefault="00C200AE" w:rsidP="00CF32F3">
      <w:pPr>
        <w:jc w:val="both"/>
      </w:pPr>
      <w:r>
        <w:t>Leger i Norge får i dag autorisasjon ved avsluttet grunnutdanning i medisin, noe som innebærer at de kan praktisere selvstendig som lege.</w:t>
      </w:r>
      <w:r w:rsidR="005A4FA5">
        <w:t xml:space="preserve"> </w:t>
      </w:r>
      <w:r w:rsidR="00993B56">
        <w:t>E</w:t>
      </w:r>
      <w:r w:rsidR="000C4091">
        <w:t xml:space="preserve">ndringen av tidspunktet for autorisasjon </w:t>
      </w:r>
      <w:r w:rsidR="00A20B7B">
        <w:t xml:space="preserve">ble innført </w:t>
      </w:r>
      <w:r w:rsidR="00166C31">
        <w:t>i 2012</w:t>
      </w:r>
      <w:r w:rsidR="00A93607">
        <w:t>,</w:t>
      </w:r>
      <w:r w:rsidR="00166C31">
        <w:t xml:space="preserve"> </w:t>
      </w:r>
      <w:r w:rsidR="00EE5891">
        <w:t>samtidig med</w:t>
      </w:r>
      <w:r w:rsidR="00CF2353">
        <w:t xml:space="preserve"> </w:t>
      </w:r>
      <w:r w:rsidR="00D34756">
        <w:t>omleggingen av den tidligere turnustjenesten fra trekningsbasert til søknadsbasert ordning.</w:t>
      </w:r>
    </w:p>
    <w:p w14:paraId="08FFB546" w14:textId="699C18AE" w:rsidR="00AA73CD" w:rsidRDefault="439CE0BB" w:rsidP="00775632">
      <w:pPr>
        <w:pStyle w:val="Overskrift3"/>
      </w:pPr>
      <w:bookmarkStart w:id="4807" w:name="_Toc120526253"/>
      <w:bookmarkStart w:id="4808" w:name="_Toc126834448"/>
      <w:bookmarkStart w:id="4809" w:name="_Toc127633333"/>
      <w:bookmarkStart w:id="4810" w:name="_Toc127864618"/>
      <w:bookmarkStart w:id="4811" w:name="_Toc128238632"/>
      <w:bookmarkStart w:id="4812" w:name="_Toc128742080"/>
      <w:bookmarkStart w:id="4813" w:name="_Toc128744708"/>
      <w:bookmarkStart w:id="4814" w:name="_Toc128744927"/>
      <w:bookmarkStart w:id="4815" w:name="_Toc129630432"/>
      <w:bookmarkStart w:id="4816" w:name="_Toc130763939"/>
      <w:bookmarkStart w:id="4817" w:name="_Toc130766834"/>
      <w:bookmarkStart w:id="4818" w:name="_Toc130932233"/>
      <w:bookmarkStart w:id="4819" w:name="_Toc130934524"/>
      <w:bookmarkStart w:id="4820" w:name="_Toc130983664"/>
      <w:bookmarkStart w:id="4821" w:name="_Toc130984013"/>
      <w:bookmarkStart w:id="4822" w:name="_Toc131062275"/>
      <w:bookmarkStart w:id="4823" w:name="_Toc131062529"/>
      <w:bookmarkStart w:id="4824" w:name="_Toc131062790"/>
      <w:bookmarkStart w:id="4825" w:name="_Toc131063043"/>
      <w:bookmarkStart w:id="4826" w:name="_Toc131063826"/>
      <w:bookmarkStart w:id="4827" w:name="_Toc131064237"/>
      <w:bookmarkStart w:id="4828" w:name="_Toc131279609"/>
      <w:bookmarkStart w:id="4829" w:name="_Toc131287021"/>
      <w:bookmarkStart w:id="4830" w:name="_Toc131281431"/>
      <w:bookmarkStart w:id="4831" w:name="_Toc131317971"/>
      <w:bookmarkStart w:id="4832" w:name="_Toc132537071"/>
      <w:r>
        <w:t>Kunnskap om grunnutdanningens effekt på rekruttering</w:t>
      </w:r>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14:paraId="54D9FB1F" w14:textId="6F0C3EE9" w:rsidR="00AA73CD" w:rsidRDefault="07609F93" w:rsidP="00CF32F3">
      <w:pPr>
        <w:jc w:val="both"/>
      </w:pPr>
      <w:r>
        <w:t xml:space="preserve">Kunnskap om hvordan grunnutdanningen i medisin kan rekruttere studenter til allmennmedisin er viktig. Grimstadutvalget leverte sin rapport september 2019. Utvalget peker på </w:t>
      </w:r>
      <w:r w:rsidR="1ABF8355">
        <w:t xml:space="preserve">at </w:t>
      </w:r>
      <w:r>
        <w:t xml:space="preserve">dimensjonering av studieplasser i medisin må ses i sammenheng med helsetjenestens behov, og anbefaler at Norge på kort sikt utdanner 80 </w:t>
      </w:r>
      <w:r w:rsidR="76B5E9E3">
        <w:t>prosent</w:t>
      </w:r>
      <w:r>
        <w:t xml:space="preserve"> av legene selv, tilsvarende totalt 1076 studieplasser</w:t>
      </w:r>
      <w:r w:rsidR="00A93607">
        <w:t xml:space="preserve"> årlig</w:t>
      </w:r>
      <w:r>
        <w:t>. Gjennomføring av grunnutdanningen i medisin bør inkludere en større del av helsetjenesten, både i p</w:t>
      </w:r>
      <w:r w:rsidR="16C87BE4">
        <w:t xml:space="preserve">raktisk </w:t>
      </w:r>
      <w:r>
        <w:t>og klinisk undervisning. Videre anbefaler utvalget desentraliserte studieløp</w:t>
      </w:r>
      <w:r w:rsidR="76B5E9E3">
        <w:t>,</w:t>
      </w:r>
      <w:r w:rsidR="12989586">
        <w:t xml:space="preserve"> </w:t>
      </w:r>
      <w:r>
        <w:t>der studentene er ved campuser utenfor universitetsbyen i større deler av studietiden, at kommunehelsetjenesten benyttes mer som læringsarena i medisinstudiet, og at det innføres nasjonale finansieringsordninger for praksisstudier i primærhelsetjenesten</w:t>
      </w:r>
      <w:r w:rsidR="704B80DE">
        <w:t xml:space="preserve"> </w:t>
      </w:r>
      <w:r w:rsidR="001F5F05">
        <w:fldChar w:fldCharType="begin"/>
      </w:r>
      <w:r w:rsidR="004654FD">
        <w:instrText xml:space="preserve"> ADDIN EN.CITE &lt;EndNote&gt;&lt;Cite&gt;&lt;Author&gt;Kunnskapsdepartementet&lt;/Author&gt;&lt;Year&gt;2019&lt;/Year&gt;&lt;RecNum&gt;771&lt;/RecNum&gt;&lt;DisplayText&gt;(Kunnskapsdepartementet, 2019)&lt;/DisplayText&gt;&lt;record&gt;&lt;rec-number&gt;771&lt;/rec-number&gt;&lt;foreign-keys&gt;&lt;key app="EN" db-id="95tpr2tp6r9xwoea9rb5wdsz5ds5xeddteew" timestamp="1680069511"&gt;771&lt;/key&gt;&lt;/foreign-keys&gt;&lt;ref-type name="Report"&gt;27&lt;/ref-type&gt;&lt;contributors&gt;&lt;authors&gt;&lt;author&gt;Kunnskapsdepartementet&lt;/author&gt;&lt;/authors&gt;&lt;/contributors&gt;&lt;titles&gt;&lt;title&gt;Studieplasser i medisin i Norge: Behov, modeller og muligheter&lt;/title&gt;&lt;/titles&gt;&lt;dates&gt;&lt;year&gt;2019&lt;/year&gt;&lt;pub-dates&gt;&lt;date&gt;2019&lt;/date&gt;&lt;/pub-dates&gt;&lt;/dates&gt;&lt;publisher&gt;Kunnskapsdepartementet&lt;/publisher&gt;&lt;urls&gt;&lt;/urls&gt;&lt;/record&gt;&lt;/Cite&gt;&lt;/EndNote&gt;</w:instrText>
      </w:r>
      <w:r w:rsidR="001F5F05">
        <w:fldChar w:fldCharType="separate"/>
      </w:r>
      <w:r w:rsidR="001F5F05">
        <w:rPr>
          <w:noProof/>
        </w:rPr>
        <w:t>(Kunnskapsdepartementet, 2019)</w:t>
      </w:r>
      <w:r w:rsidR="001F5F05">
        <w:fldChar w:fldCharType="end"/>
      </w:r>
      <w:r>
        <w:t>.</w:t>
      </w:r>
    </w:p>
    <w:p w14:paraId="1F6A11F0" w14:textId="77777777" w:rsidR="00D9107F" w:rsidRDefault="07609F93" w:rsidP="00CF32F3">
      <w:pPr>
        <w:jc w:val="both"/>
      </w:pPr>
      <w:r>
        <w:t>Forskning</w:t>
      </w:r>
      <w:r w:rsidR="5D81AD2B">
        <w:t xml:space="preserve"> tyder på </w:t>
      </w:r>
      <w:r>
        <w:t>at oppveksterfaringer fra distrikt</w:t>
      </w:r>
      <w:r w:rsidR="76B5E9E3">
        <w:t>,</w:t>
      </w:r>
      <w:r>
        <w:t xml:space="preserve"> og praksis i distrikt under utdanningen</w:t>
      </w:r>
      <w:r w:rsidR="76B5E9E3">
        <w:t>,</w:t>
      </w:r>
      <w:r>
        <w:t xml:space="preserve"> øker sjansen for å jobbe i distrikt etter endt utdanning. Samtidig pekes det på at dette ikke er nok, og at både gjennomføring av spesialistutdanning og at den første jobben etter endt utdanning er i distrikt, er faktorer som kan rekruttere</w:t>
      </w:r>
      <w:r w:rsidR="5B80BB55">
        <w:t xml:space="preserve"> </w:t>
      </w:r>
      <w:r w:rsidR="00B87F6D">
        <w:fldChar w:fldCharType="begin"/>
      </w:r>
      <w:r w:rsidR="00235862">
        <w:instrText xml:space="preserve"> ADDIN EN.CITE &lt;EndNote&gt;&lt;Cite&gt;&lt;Author&gt;Abelsen&lt;/Author&gt;&lt;Year&gt;2020&lt;/Year&gt;&lt;RecNum&gt;702&lt;/RecNum&gt;&lt;DisplayText&gt;(Abelsen et al., 2020)&lt;/DisplayText&gt;&lt;record&gt;&lt;rec-number&gt;702&lt;/rec-number&gt;&lt;foreign-keys&gt;&lt;key app="EN" db-id="95tpr2tp6r9xwoea9rb5wdsz5ds5xeddteew" timestamp="1680069511"&gt;702&lt;/key&gt;&lt;/foreign-keys&gt;&lt;ref-type name="Report"&gt;27&lt;/ref-type&gt;&lt;contributors&gt;&lt;authors&gt;&lt;author&gt;Abelsen, Birgit&lt;/author&gt;&lt;author&gt;Gaski, Margrete&lt;/author&gt;&lt;author&gt;Fosse, Anette&lt;/author&gt;&lt;/authors&gt;&lt;/contributors&gt;&lt;titles&gt;&lt;title&gt;Rekruttering og stabilisering av helsepersonell til distrikt&lt;/title&gt;&lt;secondary-title&gt;Notat til demografiutvalget&lt;/secondary-title&gt;&lt;/titles&gt;&lt;dates&gt;&lt;year&gt;2020&lt;/year&gt;&lt;/dates&gt;&lt;pub-location&gt;Tromsø&lt;/pub-location&gt;&lt;publisher&gt;Nasjonalt senter for distriktsmedisin,&lt;/publisher&gt;&lt;urls&gt;&lt;/urls&gt;&lt;/record&gt;&lt;/Cite&gt;&lt;/EndNote&gt;</w:instrText>
      </w:r>
      <w:r w:rsidR="00B87F6D">
        <w:fldChar w:fldCharType="separate"/>
      </w:r>
      <w:r w:rsidR="00856689">
        <w:rPr>
          <w:noProof/>
        </w:rPr>
        <w:t>(Abelsen et al., 2020)</w:t>
      </w:r>
      <w:r w:rsidR="00B87F6D">
        <w:fldChar w:fldCharType="end"/>
      </w:r>
      <w:r>
        <w:t>.</w:t>
      </w:r>
    </w:p>
    <w:p w14:paraId="6117760F" w14:textId="77777777" w:rsidR="00D9107F" w:rsidRDefault="002472E5" w:rsidP="00CF32F3">
      <w:pPr>
        <w:jc w:val="both"/>
      </w:pPr>
      <w:r>
        <w:t>For leger</w:t>
      </w:r>
      <w:r w:rsidR="07609F93">
        <w:t xml:space="preserve"> er arbeid i distrikt ofte synonymt med arbeid i allmennmedisinske stillinger. En systematisk oversikt viser at det i ulike land er etablert fem hovedtyper utdanningstiltak for grunnutdanningen i medisin</w:t>
      </w:r>
      <w:r w:rsidR="76B5E9E3">
        <w:t>,</w:t>
      </w:r>
      <w:r w:rsidR="07609F93">
        <w:t xml:space="preserve"> som hver for seg</w:t>
      </w:r>
      <w:r w:rsidR="292908A6">
        <w:t>,</w:t>
      </w:r>
      <w:r w:rsidR="07609F93">
        <w:t xml:space="preserve"> eller i kombinasjoner</w:t>
      </w:r>
      <w:r w:rsidR="292908A6">
        <w:t>,</w:t>
      </w:r>
      <w:r w:rsidR="07609F93">
        <w:t xml:space="preserve"> er assosiert med økt tilbøyelighet blant de uteksaminerte til å velge distrikt som arbeidssted. </w:t>
      </w:r>
      <w:r w:rsidR="3B575B14">
        <w:t>Utdanningstiltakene</w:t>
      </w:r>
      <w:r w:rsidR="07609F93">
        <w:t xml:space="preserve"> dreier seg om prioritert opptak av en større andel studenter fra distrikt, desentraliserte utdanningsløp, praksisnær læring i distrikt, bindingstid i distrikt etter endt utdanning</w:t>
      </w:r>
      <w:r w:rsidR="00AB319C">
        <w:t>,</w:t>
      </w:r>
      <w:r w:rsidR="07609F93">
        <w:t xml:space="preserve"> og at studieplanen er lagt opp slik at den gir distriktrelevant læringsutbytte</w:t>
      </w:r>
      <w:r w:rsidR="76CBD8E8">
        <w:t xml:space="preserve"> </w:t>
      </w:r>
      <w:r w:rsidR="00B87F6D">
        <w:fldChar w:fldCharType="begin"/>
      </w:r>
      <w:r w:rsidR="00235862">
        <w:instrText xml:space="preserve"> ADDIN EN.CITE &lt;EndNote&gt;&lt;Cite&gt;&lt;Author&gt;Abelsen&lt;/Author&gt;&lt;Year&gt;2022&lt;/Year&gt;&lt;RecNum&gt;825&lt;/RecNum&gt;&lt;DisplayText&gt;(Abelsen et al., 2022b)&lt;/DisplayText&gt;&lt;record&gt;&lt;rec-number&gt;825&lt;/rec-number&gt;&lt;foreign-keys&gt;&lt;key app="EN" db-id="95tpr2tp6r9xwoea9rb5wdsz5ds5xeddteew" timestamp="1680069511"&gt;825&lt;/key&gt;&lt;/foreign-keys&gt;&lt;ref-type name="Journal Article"&gt;17&lt;/ref-type&gt;&lt;contributors&gt;&lt;authors&gt;&lt;author&gt;Abelsen, B.&lt;/author&gt;&lt;author&gt;Fosse, A.&lt;/author&gt;&lt;author&gt;Gaski, M.&lt;/author&gt;&lt;author&gt;Grimstad, H.&lt;/author&gt;&lt;/authors&gt;&lt;/contributors&gt;&lt;titles&gt;&lt;title&gt;Tiltak i grunnutdanningen for å sikre leger til distrikt - en systematisk oversikt&lt;/title&gt;&lt;secondary-title&gt;Tidsskrift for Den Norske Laegeforening&lt;/secondary-title&gt;&lt;alt-title&gt;Tidsskr Nor Laegeforen&lt;/alt-title&gt;&lt;/titles&gt;&lt;alt-periodical&gt;&lt;full-title&gt;Tidsskrift for Den Norske Laegeforening&lt;/full-title&gt;&lt;abbr-1&gt;Tidsskr Nor Laegeforen&lt;/abbr-1&gt;&lt;/alt-periodical&gt;&lt;pages&gt;1-27&lt;/pages&gt;&lt;volume&gt;142&lt;/volume&gt;&lt;number&gt;1&lt;/number&gt;&lt;keywords&gt;&lt;keyword&gt;Curriculum&lt;/keyword&gt;&lt;keyword&gt;*Education, Medical, Undergraduate&lt;/keyword&gt;&lt;keyword&gt;Humans&lt;/keyword&gt;&lt;keyword&gt;Learning&lt;/keyword&gt;&lt;keyword&gt;*Physicians&lt;/keyword&gt;&lt;keyword&gt;*Rural Health Services&lt;/keyword&gt;&lt;keyword&gt;Workforce&lt;/keyword&gt;&lt;/keywords&gt;&lt;dates&gt;&lt;year&gt;2022&lt;/year&gt;&lt;pub-dates&gt;&lt;date&gt;01 11&lt;/date&gt;&lt;/pub-dates&gt;&lt;/dates&gt;&lt;isbn&gt;0807-7096&lt;/isbn&gt;&lt;accession-num&gt;35026078&lt;/accession-num&gt;&lt;work-type&gt;Systematic Review&lt;/work-type&gt;&lt;urls&gt;&lt;/urls&gt;&lt;electronic-resource-num&gt;https://dx.doi.org/10.4045/tidsskr.21.0253&lt;/electronic-resource-num&gt;&lt;remote-database-name&gt;MEDLINE&lt;/remote-database-name&gt;&lt;remote-database-provider&gt;Ovid Technologies&lt;/remote-database-provider&gt;&lt;language&gt;English&amp;#xD;Norwegian&lt;/language&gt;&lt;/record&gt;&lt;/Cite&gt;&lt;/EndNote&gt;</w:instrText>
      </w:r>
      <w:r w:rsidR="00B87F6D">
        <w:fldChar w:fldCharType="separate"/>
      </w:r>
      <w:r w:rsidR="00235862">
        <w:rPr>
          <w:noProof/>
        </w:rPr>
        <w:t>(Abelsen et al., 2022b)</w:t>
      </w:r>
      <w:r w:rsidR="00B87F6D">
        <w:fldChar w:fldCharType="end"/>
      </w:r>
      <w:r w:rsidR="07609F93">
        <w:t>.</w:t>
      </w:r>
    </w:p>
    <w:p w14:paraId="497F6DC1" w14:textId="77777777" w:rsidR="00D9107F" w:rsidRDefault="07609F93" w:rsidP="00CF32F3">
      <w:pPr>
        <w:jc w:val="both"/>
      </w:pPr>
      <w:r w:rsidRPr="004D4447">
        <w:t xml:space="preserve">Siden 2009 har inntil 24 legestudenter ved </w:t>
      </w:r>
      <w:r>
        <w:t>UiT</w:t>
      </w:r>
      <w:r w:rsidRPr="004D4447">
        <w:t xml:space="preserve"> årlig fullført de to siste årene av utdanningen i Bodø.</w:t>
      </w:r>
      <w:r>
        <w:t xml:space="preserve"> Studenter som valgte desentralisert medisinutdanning i Bodø, hadde i stor grad tilhørighet til regionen. Bodø og regionen rundt har</w:t>
      </w:r>
      <w:r w:rsidR="76B5E9E3">
        <w:t>,</w:t>
      </w:r>
      <w:r>
        <w:t xml:space="preserve"> som følge av dette, fått en netto tilvekst av leger til allmennmedisinske stillinger</w:t>
      </w:r>
      <w:r w:rsidR="2B5518AA">
        <w:t xml:space="preserve"> </w:t>
      </w:r>
      <w:r w:rsidR="00B87F6D">
        <w:fldChar w:fldCharType="begin"/>
      </w:r>
      <w:r w:rsidR="00235862">
        <w:instrText xml:space="preserve"> ADDIN EN.CITE &lt;EndNote&gt;&lt;Cite&gt;&lt;Author&gt;Langen Westlie&lt;/Author&gt;&lt;Year&gt;2022&lt;/Year&gt;&lt;RecNum&gt;442&lt;/RecNum&gt;&lt;DisplayText&gt;(Langen Westlie et al., 2022)&lt;/DisplayText&gt;&lt;record&gt;&lt;rec-number&gt;442&lt;/rec-number&gt;&lt;foreign-keys&gt;&lt;key app="EN" db-id="95tpr2tp6r9xwoea9rb5wdsz5ds5xeddteew" timestamp="1680069511"&gt;442&lt;/key&gt;&lt;/foreign-keys&gt;&lt;ref-type name="Journal Article"&gt;17&lt;/ref-type&gt;&lt;contributors&gt;&lt;authors&gt;&lt;author&gt;Langen Westlie, Åsa&lt;/author&gt;&lt;author&gt;Gaski, Margrethe&lt;/author&gt;&lt;author&gt;Abelsen, Birgit&lt;/author&gt;&lt;author&gt;Grimstad, Hilde&lt;/author&gt;&lt;author&gt;Hugaas Ofstad, Eirik&lt;/author&gt;&lt;/authors&gt;&lt;/contributors&gt;&lt;titles&gt;&lt;title&gt;Leger utdannet i Bodø - hvem er de og hvor blir de av?&lt;/title&gt;&lt;secondary-title&gt;Tidsskriftet Den norske legeforening&lt;/secondary-title&gt;&lt;alt-title&gt;Tidsskr Nor Legeforen&lt;/alt-title&gt;&lt;/titles&gt;&lt;alt-periodical&gt;&lt;full-title&gt;Tidsskriftet Den norske legeforening&lt;/full-title&gt;&lt;abbr-1&gt;Tidsskr Nor Legeforen&lt;/abbr-1&gt;&lt;/alt-periodical&gt;&lt;volume&gt;1&lt;/volume&gt;&lt;dates&gt;&lt;year&gt;2022&lt;/year&gt;&lt;/dates&gt;&lt;urls&gt;&lt;/urls&gt;&lt;electronic-resource-num&gt;10.4045/tidsskr.21.0253&lt;/electronic-resource-num&gt;&lt;/record&gt;&lt;/Cite&gt;&lt;/EndNote&gt;</w:instrText>
      </w:r>
      <w:r w:rsidR="00B87F6D">
        <w:fldChar w:fldCharType="separate"/>
      </w:r>
      <w:r w:rsidR="00856689">
        <w:rPr>
          <w:noProof/>
        </w:rPr>
        <w:t>(Langen Westlie et al., 2022)</w:t>
      </w:r>
      <w:r w:rsidR="00B87F6D">
        <w:fldChar w:fldCharType="end"/>
      </w:r>
      <w:r>
        <w:t>.</w:t>
      </w:r>
    </w:p>
    <w:p w14:paraId="15996E48" w14:textId="5C191675" w:rsidR="00AA73CD" w:rsidRDefault="00AA73CD" w:rsidP="00775632">
      <w:pPr>
        <w:pStyle w:val="Overskrift2"/>
      </w:pPr>
      <w:bookmarkStart w:id="4833" w:name="_Toc120526254"/>
      <w:bookmarkStart w:id="4834" w:name="_Toc126834449"/>
      <w:bookmarkStart w:id="4835" w:name="_Toc127633334"/>
      <w:bookmarkStart w:id="4836" w:name="_Toc127864619"/>
      <w:bookmarkStart w:id="4837" w:name="_Toc128238633"/>
      <w:bookmarkStart w:id="4838" w:name="_Toc128742081"/>
      <w:bookmarkStart w:id="4839" w:name="_Toc128744709"/>
      <w:bookmarkStart w:id="4840" w:name="_Toc128744928"/>
      <w:bookmarkStart w:id="4841" w:name="_Toc129630433"/>
      <w:bookmarkStart w:id="4842" w:name="_Toc130763940"/>
      <w:bookmarkStart w:id="4843" w:name="_Toc130766835"/>
      <w:bookmarkStart w:id="4844" w:name="_Toc130932234"/>
      <w:bookmarkStart w:id="4845" w:name="_Toc130934525"/>
      <w:bookmarkStart w:id="4846" w:name="_Toc130983665"/>
      <w:bookmarkStart w:id="4847" w:name="_Toc130984014"/>
      <w:bookmarkStart w:id="4848" w:name="_Toc131062276"/>
      <w:bookmarkStart w:id="4849" w:name="_Toc131062530"/>
      <w:bookmarkStart w:id="4850" w:name="_Toc131062791"/>
      <w:bookmarkStart w:id="4851" w:name="_Toc131063044"/>
      <w:bookmarkStart w:id="4852" w:name="_Toc131063827"/>
      <w:bookmarkStart w:id="4853" w:name="_Toc131064238"/>
      <w:bookmarkStart w:id="4854" w:name="_Toc131238569"/>
      <w:bookmarkStart w:id="4855" w:name="_Toc131279610"/>
      <w:bookmarkStart w:id="4856" w:name="_Toc131287022"/>
      <w:bookmarkStart w:id="4857" w:name="_Toc131281432"/>
      <w:bookmarkStart w:id="4858" w:name="_Toc131317972"/>
      <w:bookmarkStart w:id="4859" w:name="_Toc132537072"/>
      <w:r>
        <w:lastRenderedPageBreak/>
        <w:t>Spesialistutdanningen i allmennmedisin</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14:paraId="3A287AE7" w14:textId="77777777" w:rsidR="00AA73CD" w:rsidRDefault="439CE0BB" w:rsidP="00775632">
      <w:pPr>
        <w:pStyle w:val="Overskrift3"/>
      </w:pPr>
      <w:bookmarkStart w:id="4860" w:name="_Toc120526255"/>
      <w:bookmarkStart w:id="4861" w:name="_Toc126834450"/>
      <w:bookmarkStart w:id="4862" w:name="_Toc127633335"/>
      <w:bookmarkStart w:id="4863" w:name="_Toc127864620"/>
      <w:bookmarkStart w:id="4864" w:name="_Toc128238634"/>
      <w:bookmarkStart w:id="4865" w:name="_Toc128742082"/>
      <w:bookmarkStart w:id="4866" w:name="_Toc128744710"/>
      <w:bookmarkStart w:id="4867" w:name="_Toc128744929"/>
      <w:bookmarkStart w:id="4868" w:name="_Toc129630434"/>
      <w:bookmarkStart w:id="4869" w:name="_Toc130763941"/>
      <w:bookmarkStart w:id="4870" w:name="_Toc130766836"/>
      <w:bookmarkStart w:id="4871" w:name="_Toc130932235"/>
      <w:bookmarkStart w:id="4872" w:name="_Toc130934526"/>
      <w:bookmarkStart w:id="4873" w:name="_Toc130983666"/>
      <w:bookmarkStart w:id="4874" w:name="_Toc130984015"/>
      <w:bookmarkStart w:id="4875" w:name="_Toc131062277"/>
      <w:bookmarkStart w:id="4876" w:name="_Toc131062531"/>
      <w:bookmarkStart w:id="4877" w:name="_Toc131062792"/>
      <w:bookmarkStart w:id="4878" w:name="_Toc131063045"/>
      <w:bookmarkStart w:id="4879" w:name="_Toc131063828"/>
      <w:bookmarkStart w:id="4880" w:name="_Toc131064239"/>
      <w:bookmarkStart w:id="4881" w:name="_Toc131279611"/>
      <w:bookmarkStart w:id="4882" w:name="_Toc131287023"/>
      <w:bookmarkStart w:id="4883" w:name="_Toc131281433"/>
      <w:bookmarkStart w:id="4884" w:name="_Toc131317973"/>
      <w:bookmarkStart w:id="4885" w:name="_Toc132537073"/>
      <w:r>
        <w:t>Ny ordning for spesialistutdanning</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p>
    <w:p w14:paraId="00E41607" w14:textId="77777777" w:rsidR="00D9107F" w:rsidRDefault="00AA73CD" w:rsidP="004F1500">
      <w:pPr>
        <w:rPr>
          <w:rFonts w:eastAsia="Calibri"/>
        </w:rPr>
      </w:pPr>
      <w:r w:rsidRPr="0BA3D27B">
        <w:rPr>
          <w:rFonts w:eastAsia="Calibri"/>
        </w:rPr>
        <w:t xml:space="preserve">Ny spesialistutdanning </w:t>
      </w:r>
      <w:r>
        <w:rPr>
          <w:rFonts w:eastAsia="Calibri"/>
        </w:rPr>
        <w:t xml:space="preserve">for leger </w:t>
      </w:r>
      <w:r w:rsidRPr="0BA3D27B">
        <w:rPr>
          <w:rFonts w:eastAsia="Calibri"/>
        </w:rPr>
        <w:t>trådte i kraft 1. mars 2019</w:t>
      </w:r>
      <w:r w:rsidR="001711C9">
        <w:rPr>
          <w:rFonts w:eastAsia="Calibri"/>
        </w:rPr>
        <w:t>,</w:t>
      </w:r>
      <w:r w:rsidRPr="0BA3D27B">
        <w:rPr>
          <w:rFonts w:eastAsia="Calibri"/>
        </w:rPr>
        <w:t xml:space="preserve"> etter mange års utredning</w:t>
      </w:r>
      <w:r>
        <w:rPr>
          <w:rFonts w:eastAsia="Calibri"/>
        </w:rPr>
        <w:t>. Den nye</w:t>
      </w:r>
      <w:r w:rsidRPr="0BA3D27B">
        <w:rPr>
          <w:rFonts w:eastAsia="Calibri"/>
        </w:rPr>
        <w:t xml:space="preserve"> spesialistutdanning</w:t>
      </w:r>
      <w:r>
        <w:rPr>
          <w:rFonts w:eastAsia="Calibri"/>
        </w:rPr>
        <w:t>en</w:t>
      </w:r>
      <w:r w:rsidRPr="0BA3D27B">
        <w:rPr>
          <w:rFonts w:eastAsia="Calibri"/>
        </w:rPr>
        <w:t xml:space="preserve"> er kompetansebasert, </w:t>
      </w:r>
      <w:r>
        <w:rPr>
          <w:rFonts w:eastAsia="Calibri"/>
        </w:rPr>
        <w:t>med intensjon om</w:t>
      </w:r>
      <w:r w:rsidRPr="0BA3D27B">
        <w:rPr>
          <w:rFonts w:eastAsia="Calibri"/>
        </w:rPr>
        <w:t xml:space="preserve"> at det er hva </w:t>
      </w:r>
      <w:r w:rsidR="003D4928">
        <w:rPr>
          <w:rFonts w:eastAsia="Calibri"/>
        </w:rPr>
        <w:t>legen</w:t>
      </w:r>
      <w:r w:rsidRPr="0BA3D27B">
        <w:rPr>
          <w:rFonts w:eastAsia="Calibri"/>
        </w:rPr>
        <w:t xml:space="preserve"> </w:t>
      </w:r>
      <w:r w:rsidRPr="00D9107F">
        <w:rPr>
          <w:rStyle w:val="kursiv"/>
          <w:rFonts w:eastAsia="Calibri"/>
        </w:rPr>
        <w:t xml:space="preserve">kan </w:t>
      </w:r>
      <w:r w:rsidRPr="0BA3D27B">
        <w:rPr>
          <w:rFonts w:eastAsia="Calibri"/>
        </w:rPr>
        <w:t>som teller.</w:t>
      </w:r>
    </w:p>
    <w:p w14:paraId="15821077" w14:textId="5758B351" w:rsidR="00AA73CD" w:rsidRDefault="07609F93" w:rsidP="004F1500">
      <w:pPr>
        <w:rPr>
          <w:rFonts w:eastAsia="Calibri"/>
        </w:rPr>
      </w:pPr>
      <w:r w:rsidRPr="33408F37">
        <w:rPr>
          <w:rFonts w:eastAsia="Calibri"/>
        </w:rPr>
        <w:t>Alle læringsmål er forskriftsfestet</w:t>
      </w:r>
      <w:r w:rsidR="1581EBB2" w:rsidRPr="014B1F3C">
        <w:rPr>
          <w:rFonts w:eastAsia="Calibri"/>
        </w:rPr>
        <w:t xml:space="preserve"> </w:t>
      </w:r>
      <w:r w:rsidR="00B87F6D">
        <w:rPr>
          <w:rFonts w:eastAsia="Calibri"/>
        </w:rPr>
        <w:fldChar w:fldCharType="begin"/>
      </w:r>
      <w:r w:rsidR="00D078E3">
        <w:rPr>
          <w:rFonts w:eastAsia="Calibri"/>
        </w:rPr>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B87F6D">
        <w:rPr>
          <w:rFonts w:eastAsia="Calibri"/>
        </w:rPr>
        <w:fldChar w:fldCharType="separate"/>
      </w:r>
      <w:r w:rsidR="00B87F6D">
        <w:rPr>
          <w:rFonts w:eastAsia="Calibri"/>
          <w:noProof/>
        </w:rPr>
        <w:t>(</w:t>
      </w:r>
      <w:r w:rsidR="00B87F6D" w:rsidRPr="00D9107F">
        <w:rPr>
          <w:rStyle w:val="kursiv"/>
          <w:rFonts w:eastAsia="Calibri"/>
        </w:rPr>
        <w:t>Forskrift om spesialistutdanning og spesialistgodkjenning for leger og tannleger (spesialistforskriften)</w:t>
      </w:r>
      <w:r w:rsidR="00B87F6D">
        <w:rPr>
          <w:rFonts w:eastAsia="Calibri"/>
          <w:noProof/>
        </w:rPr>
        <w:t>, 2019)</w:t>
      </w:r>
      <w:r w:rsidR="00B87F6D">
        <w:rPr>
          <w:rFonts w:eastAsia="Calibri"/>
        </w:rPr>
        <w:fldChar w:fldCharType="end"/>
      </w:r>
      <w:r w:rsidRPr="33408F37">
        <w:rPr>
          <w:rFonts w:eastAsia="Calibri"/>
        </w:rPr>
        <w:t>. Videre er ulike former for læringsaktiviteter, veiledning, supervisjon, kompetansevurdering og prosess for godkjenning av læringsmål viktige elementer i utdanningen. Det er krav til individuell veiledning, hvor refleksjon, råd, oppfølging av faglig progresjon og bidrag i vurderingen av leger i spesialisering inngår. Det er ikke krav om at veileder for LIS1 må være spesialist</w:t>
      </w:r>
      <w:r>
        <w:rPr>
          <w:rFonts w:eastAsia="Calibri"/>
        </w:rPr>
        <w:t>, men det er krav om at veileder for ALIS må være spesialist i allmennmedisin</w:t>
      </w:r>
      <w:r w:rsidRPr="33408F37">
        <w:rPr>
          <w:rFonts w:eastAsia="Calibri"/>
        </w:rPr>
        <w:t>.</w:t>
      </w:r>
    </w:p>
    <w:p w14:paraId="39BE716F" w14:textId="11281560" w:rsidR="00AA73CD" w:rsidRDefault="07609F93" w:rsidP="004F1500">
      <w:r>
        <w:rPr>
          <w:rFonts w:eastAsia="Calibri"/>
        </w:rPr>
        <w:t>Med ny ordning for spesialistutdanning har kommunene</w:t>
      </w:r>
      <w:r w:rsidR="00AB319C">
        <w:rPr>
          <w:rFonts w:eastAsia="Calibri"/>
        </w:rPr>
        <w:t>,</w:t>
      </w:r>
      <w:r>
        <w:rPr>
          <w:rFonts w:eastAsia="Calibri"/>
        </w:rPr>
        <w:t xml:space="preserve"> som er registre</w:t>
      </w:r>
      <w:r w:rsidR="28DD7675">
        <w:rPr>
          <w:rFonts w:eastAsia="Calibri"/>
        </w:rPr>
        <w:t>r</w:t>
      </w:r>
      <w:r>
        <w:rPr>
          <w:rFonts w:eastAsia="Calibri"/>
        </w:rPr>
        <w:t>t som utdanningsvirksomhet</w:t>
      </w:r>
      <w:r w:rsidR="002472E5">
        <w:rPr>
          <w:rFonts w:eastAsia="Calibri"/>
        </w:rPr>
        <w:t>, fått et helt nytt ansvar.</w:t>
      </w:r>
      <w:r>
        <w:rPr>
          <w:rFonts w:eastAsia="Calibri"/>
        </w:rPr>
        <w:t xml:space="preserve"> Kommunen skal legge til rette for spesialistutdanning i allmennmedisin, </w:t>
      </w:r>
      <w:r>
        <w:t>blant annet ved å bidra til at utdanningen gjennomføres i åpen uselektert allmennpraksis</w:t>
      </w:r>
      <w:r w:rsidR="76B5E9E3">
        <w:t>,</w:t>
      </w:r>
      <w:r>
        <w:t xml:space="preserve"> og bidra til helhetlige utdanningsløp på tvers av kommuner, private aktører, andre aktuelle aktører og læringsarenaer i spesialisthelsetjenesten</w:t>
      </w:r>
      <w:r w:rsidR="6AD4F003">
        <w:t xml:space="preserve"> </w:t>
      </w:r>
      <w:r w:rsidR="00B87F6D">
        <w:fldChar w:fldCharType="begin"/>
      </w:r>
      <w:r w:rsidR="00D078E3">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B87F6D">
        <w:fldChar w:fldCharType="separate"/>
      </w:r>
      <w:r w:rsidR="00B87F6D">
        <w:rPr>
          <w:noProof/>
        </w:rPr>
        <w:t>(</w:t>
      </w:r>
      <w:r w:rsidR="00B87F6D" w:rsidRPr="00D9107F">
        <w:rPr>
          <w:rStyle w:val="kursiv"/>
        </w:rPr>
        <w:t>Forskrift om spesialistutdanning og spesialistgodkjenning for leger og tannleger (spesialistforskriften)</w:t>
      </w:r>
      <w:r w:rsidR="00B87F6D">
        <w:rPr>
          <w:noProof/>
        </w:rPr>
        <w:t>, 2019)</w:t>
      </w:r>
      <w:r w:rsidR="00B87F6D">
        <w:fldChar w:fldCharType="end"/>
      </w:r>
      <w:r w:rsidR="006170A0">
        <w:t>.</w:t>
      </w:r>
    </w:p>
    <w:p w14:paraId="79EE2259" w14:textId="77777777" w:rsidR="00D9107F" w:rsidRDefault="00412DB7" w:rsidP="004F1500">
      <w:pPr>
        <w:rPr>
          <w:rFonts w:eastAsia="Calibri"/>
        </w:rPr>
      </w:pPr>
      <w:r>
        <w:rPr>
          <w:rFonts w:eastAsia="Calibri"/>
        </w:rPr>
        <w:t>Helsed</w:t>
      </w:r>
      <w:r w:rsidRPr="00012A80">
        <w:rPr>
          <w:rFonts w:eastAsia="Calibri"/>
        </w:rPr>
        <w:t>irektoratet skal følge med på helheten og kvaliteten i spesialistutdanningen</w:t>
      </w:r>
      <w:r>
        <w:rPr>
          <w:rFonts w:eastAsia="Calibri"/>
        </w:rPr>
        <w:t xml:space="preserve">, herunder </w:t>
      </w:r>
      <w:r w:rsidRPr="00012A80">
        <w:rPr>
          <w:rFonts w:eastAsia="Calibri"/>
        </w:rPr>
        <w:t>gi anbefalinger om utarbeidelse av og innhold i utdanningsvirksomhetenes utdanningsplaner. Direktoratet kan også gi anbefalinger om læringsaktiviteter og om vurdering av leger i spesialisering.</w:t>
      </w:r>
      <w:r>
        <w:rPr>
          <w:rFonts w:eastAsia="Calibri"/>
        </w:rPr>
        <w:t xml:space="preserve"> </w:t>
      </w:r>
      <w:r w:rsidRPr="00012A80">
        <w:rPr>
          <w:rFonts w:eastAsia="Calibri"/>
        </w:rPr>
        <w:t xml:space="preserve">Direktoratet fatter vedtak om spesialistgodkjenning </w:t>
      </w:r>
      <w:r w:rsidR="00082409">
        <w:rPr>
          <w:rFonts w:eastAsia="Calibri"/>
        </w:rPr>
        <w:t xml:space="preserve">og </w:t>
      </w:r>
      <w:r w:rsidRPr="00012A80">
        <w:rPr>
          <w:rFonts w:eastAsia="Calibri"/>
        </w:rPr>
        <w:t>godkjenning eller registrering av utdanningsvirksomheter</w:t>
      </w:r>
      <w:r>
        <w:rPr>
          <w:rFonts w:eastAsia="Calibri"/>
        </w:rPr>
        <w:t>.</w:t>
      </w:r>
    </w:p>
    <w:p w14:paraId="05C0C20D" w14:textId="492DB7B9" w:rsidR="00AA73CD" w:rsidRDefault="439CE0BB" w:rsidP="00775632">
      <w:pPr>
        <w:pStyle w:val="Overskrift3"/>
      </w:pPr>
      <w:bookmarkStart w:id="4886" w:name="_Toc120526256"/>
      <w:bookmarkStart w:id="4887" w:name="_Toc126834451"/>
      <w:bookmarkStart w:id="4888" w:name="_Toc127633336"/>
      <w:bookmarkStart w:id="4889" w:name="_Toc127864621"/>
      <w:bookmarkStart w:id="4890" w:name="_Toc128238635"/>
      <w:bookmarkStart w:id="4891" w:name="_Toc128742083"/>
      <w:bookmarkStart w:id="4892" w:name="_Toc128744711"/>
      <w:bookmarkStart w:id="4893" w:name="_Toc128744930"/>
      <w:bookmarkStart w:id="4894" w:name="_Toc129630435"/>
      <w:bookmarkStart w:id="4895" w:name="_Toc130763942"/>
      <w:bookmarkStart w:id="4896" w:name="_Toc130766837"/>
      <w:bookmarkStart w:id="4897" w:name="_Toc130932236"/>
      <w:bookmarkStart w:id="4898" w:name="_Toc130934527"/>
      <w:bookmarkStart w:id="4899" w:name="_Toc130983667"/>
      <w:bookmarkStart w:id="4900" w:name="_Toc130984016"/>
      <w:bookmarkStart w:id="4901" w:name="_Toc131062278"/>
      <w:bookmarkStart w:id="4902" w:name="_Toc131062532"/>
      <w:bookmarkStart w:id="4903" w:name="_Toc131062793"/>
      <w:bookmarkStart w:id="4904" w:name="_Toc131063046"/>
      <w:bookmarkStart w:id="4905" w:name="_Toc131063829"/>
      <w:bookmarkStart w:id="4906" w:name="_Toc131064240"/>
      <w:bookmarkStart w:id="4907" w:name="_Toc131279612"/>
      <w:bookmarkStart w:id="4908" w:name="_Toc131287024"/>
      <w:bookmarkStart w:id="4909" w:name="_Toc131281434"/>
      <w:bookmarkStart w:id="4910" w:name="_Toc131317974"/>
      <w:bookmarkStart w:id="4911" w:name="_Toc132537074"/>
      <w:r>
        <w:t>LIS1 – første del av spesialistutdanningen</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6F7C3144" w14:textId="77777777" w:rsidR="00D9107F" w:rsidRDefault="00AA73CD" w:rsidP="004F1500">
      <w:pPr>
        <w:rPr>
          <w:rFonts w:eastAsia="Calibri"/>
        </w:rPr>
      </w:pPr>
      <w:r>
        <w:t>D</w:t>
      </w:r>
      <w:r>
        <w:rPr>
          <w:rFonts w:eastAsia="Calibri"/>
        </w:rPr>
        <w:t xml:space="preserve">en tidligere turnustjenesten er </w:t>
      </w:r>
      <w:r w:rsidRPr="33408F37">
        <w:rPr>
          <w:rFonts w:eastAsia="Calibri"/>
        </w:rPr>
        <w:t xml:space="preserve">i ny ordning </w:t>
      </w:r>
      <w:r>
        <w:rPr>
          <w:rFonts w:eastAsia="Calibri"/>
        </w:rPr>
        <w:t>erstattet med</w:t>
      </w:r>
      <w:r w:rsidRPr="00565DC0">
        <w:rPr>
          <w:rFonts w:eastAsia="Calibri"/>
        </w:rPr>
        <w:t xml:space="preserve"> spesialistutdanningens første del </w:t>
      </w:r>
      <w:r>
        <w:rPr>
          <w:rFonts w:eastAsia="Calibri"/>
        </w:rPr>
        <w:t>(LIS1)</w:t>
      </w:r>
      <w:r w:rsidR="00962E57">
        <w:rPr>
          <w:rFonts w:eastAsia="Calibri"/>
        </w:rPr>
        <w:t>,</w:t>
      </w:r>
      <w:r>
        <w:rPr>
          <w:rFonts w:eastAsia="Calibri"/>
        </w:rPr>
        <w:t xml:space="preserve"> som er en felles plattform med både kliniske læringsmål og felles kompetansemål som alle leger må nå før de kan gå videre i et spesialiseringsløp.</w:t>
      </w:r>
    </w:p>
    <w:p w14:paraId="2F913FB3" w14:textId="0F2A93FE" w:rsidR="00A57514" w:rsidRPr="00844B56" w:rsidRDefault="00A57514" w:rsidP="004F1500">
      <w:r w:rsidRPr="00A57514">
        <w:t xml:space="preserve">Helse- og omsorgsdepartementet fastsetter hvor mange stillinger i spesialistutdanningens første del som skal opprettes i sykehusene og i kommunene. Helsedirektoratet fordeler antall </w:t>
      </w:r>
      <w:r w:rsidR="00D975C3">
        <w:t>LIS1-</w:t>
      </w:r>
      <w:r w:rsidRPr="00A57514">
        <w:t xml:space="preserve">stillinger i sykehus til hvert av de regionale helseforetakene. De regionale helseforetakene oppretter </w:t>
      </w:r>
      <w:r w:rsidR="00D975C3">
        <w:t>LIS1-</w:t>
      </w:r>
      <w:r w:rsidRPr="00A57514">
        <w:t xml:space="preserve">stillinger innen helseregionen i de enkelte helseforetakene. </w:t>
      </w:r>
      <w:r w:rsidR="002472E5">
        <w:t>LIS1</w:t>
      </w:r>
      <w:r w:rsidR="00D975C3">
        <w:t>-s</w:t>
      </w:r>
      <w:r w:rsidRPr="00A57514">
        <w:t xml:space="preserve">tillinger i den kommunale helse- og omsorgstjenesten fastsettes fylkesvis av Helsedirektoratet, og fordeles til de enkelte kommunene i samråd med </w:t>
      </w:r>
      <w:r w:rsidR="4E9AC28E">
        <w:t>statsforvalteren</w:t>
      </w:r>
      <w:r w:rsidR="65D9BBF8">
        <w:t>.</w:t>
      </w:r>
    </w:p>
    <w:p w14:paraId="290FDA30" w14:textId="77777777" w:rsidR="00D9107F" w:rsidRDefault="00ED57B7" w:rsidP="004F1500">
      <w:pPr>
        <w:rPr>
          <w:rFonts w:eastAsia="Calibri"/>
        </w:rPr>
      </w:pPr>
      <w:r>
        <w:rPr>
          <w:rFonts w:eastAsia="Calibri"/>
        </w:rPr>
        <w:lastRenderedPageBreak/>
        <w:t xml:space="preserve">Sykehusdelen av </w:t>
      </w:r>
      <w:r w:rsidR="00AA73CD">
        <w:rPr>
          <w:rFonts w:eastAsia="Calibri"/>
        </w:rPr>
        <w:t xml:space="preserve">LIS1-stillinger tilbys ved alle landets helseforetak samt </w:t>
      </w:r>
      <w:r w:rsidR="00AB319C">
        <w:rPr>
          <w:rFonts w:eastAsia="Calibri"/>
        </w:rPr>
        <w:t xml:space="preserve">ved </w:t>
      </w:r>
      <w:r w:rsidR="00AA73CD">
        <w:rPr>
          <w:rFonts w:eastAsia="Calibri"/>
        </w:rPr>
        <w:t xml:space="preserve">noen private, ideelle, sykehus. Selv om ny spesialistutdanning er kompetansebasert, er kravene til selve utdanningstiden, som består av 12 måneder i sykehus og 6 måneder i den kommunale helse- og omsorgstjenesten, bevart. Alle LIS1-stillinger skal lyses ut. </w:t>
      </w:r>
      <w:r w:rsidR="00C77C62">
        <w:rPr>
          <w:rFonts w:eastAsia="Calibri"/>
        </w:rPr>
        <w:t>LIS1-s</w:t>
      </w:r>
      <w:r w:rsidR="00AA73CD">
        <w:rPr>
          <w:rFonts w:eastAsia="Calibri"/>
        </w:rPr>
        <w:t>tillinger som blir ledige fordi legen slutter, blir syk eller går ut i permisjon, skal lyses ut som reststillinger.</w:t>
      </w:r>
    </w:p>
    <w:p w14:paraId="00D61072" w14:textId="77777777" w:rsidR="00D9107F" w:rsidRDefault="00AA73CD" w:rsidP="004F1500">
      <w:r>
        <w:t xml:space="preserve">Utdanningens første del må være gjennomført før legen kan begynne på andre eller tredje del av </w:t>
      </w:r>
      <w:r w:rsidR="00464926">
        <w:t>spesialistutdanningen</w:t>
      </w:r>
      <w:r>
        <w:t>. Dette innebærer at både utdanningstid og alle læringsmålene må være oppnådd.</w:t>
      </w:r>
    </w:p>
    <w:p w14:paraId="021D59CF" w14:textId="77777777" w:rsidR="00D9107F" w:rsidRDefault="07609F93" w:rsidP="004F1500">
      <w:r>
        <w:t xml:space="preserve">Antall LIS1-stillinger er bestemmende for hvor mange leger som kan fortsette sin spesialistutdanning, og rekrutteres til videre spesialisering i sykehus og spesialisering i allmennmedisin. </w:t>
      </w:r>
      <w:r>
        <w:rPr>
          <w:rFonts w:eastAsia="Calibri"/>
        </w:rPr>
        <w:t>Det har over mange år vært langt flere søkere enn tilgjengelige LIS1-stillinger</w:t>
      </w:r>
      <w:r w:rsidR="00E4290A">
        <w:rPr>
          <w:rFonts w:eastAsia="Calibri"/>
        </w:rPr>
        <w:t xml:space="preserve"> </w:t>
      </w:r>
      <w:r w:rsidR="001F5F05">
        <w:rPr>
          <w:rFonts w:eastAsia="Calibri"/>
        </w:rPr>
        <w:fldChar w:fldCharType="begin"/>
      </w:r>
      <w:r w:rsidR="00694E6D">
        <w:rPr>
          <w:rFonts w:eastAsia="Calibri"/>
        </w:rPr>
        <w:instrText xml:space="preserve"> ADDIN EN.CITE &lt;EndNote&gt;&lt;Cite&gt;&lt;Author&gt;Helsedirektoratet&lt;/Author&gt;&lt;Year&gt;2018&lt;/Year&gt;&lt;RecNum&gt;441&lt;/RecNum&gt;&lt;DisplayText&gt;(Helsedirektoratet, 2018b)&lt;/DisplayText&gt;&lt;record&gt;&lt;rec-number&gt;441&lt;/rec-number&gt;&lt;foreign-keys&gt;&lt;key app="EN" db-id="95tpr2tp6r9xwoea9rb5wdsz5ds5xeddteew" timestamp="1680069511"&gt;441&lt;/key&gt;&lt;/foreign-keys&gt;&lt;ref-type name="Web Page"&gt;12&lt;/ref-type&gt;&lt;contributors&gt;&lt;authors&gt;&lt;author&gt;Helsedirektoratet&lt;/author&gt;&lt;/authors&gt;&lt;/contributors&gt;&lt;titles&gt;&lt;title&gt;Leger i spesialisering - Statusrapporter for søknadsrunder&lt;/title&gt;&lt;/titles&gt;&lt;number&gt;03.01.2023&lt;/number&gt;&lt;dates&gt;&lt;year&gt;2018&lt;/year&gt;&lt;pub-dates&gt;&lt;date&gt;10.08.2022&lt;/date&gt;&lt;/pub-dates&gt;&lt;/dates&gt;&lt;pub-location&gt;Oslo&lt;/pub-location&gt;&lt;publisher&gt;Helsedirektoratet&lt;/publisher&gt;&lt;work-type&gt;nettdokument&lt;/work-type&gt;&lt;urls&gt;&lt;/urls&gt;&lt;/record&gt;&lt;/Cite&gt;&lt;/EndNote&gt;</w:instrText>
      </w:r>
      <w:r w:rsidR="001F5F05">
        <w:rPr>
          <w:rFonts w:eastAsia="Calibri"/>
        </w:rPr>
        <w:fldChar w:fldCharType="separate"/>
      </w:r>
      <w:r w:rsidR="001F5F05">
        <w:rPr>
          <w:rFonts w:eastAsia="Calibri"/>
          <w:noProof/>
        </w:rPr>
        <w:t>(Helsedirektoratet, 2018b)</w:t>
      </w:r>
      <w:r w:rsidR="001F5F05">
        <w:rPr>
          <w:rFonts w:eastAsia="Calibri"/>
        </w:rPr>
        <w:fldChar w:fldCharType="end"/>
      </w:r>
      <w:r w:rsidRPr="00CC31E9">
        <w:t>.</w:t>
      </w:r>
    </w:p>
    <w:p w14:paraId="3053BBE4" w14:textId="314965E9" w:rsidR="00D9107F" w:rsidRDefault="5B66B603" w:rsidP="000E351A">
      <w:pPr>
        <w:jc w:val="both"/>
      </w:pPr>
      <w:r>
        <w:t>I 2022 var det 544 LIS1-stillinger med oppstart p</w:t>
      </w:r>
      <w:r w:rsidR="00AB319C">
        <w:t>e</w:t>
      </w:r>
      <w:r>
        <w:t>r 1.3.2022 og 575 LIS1-stillinger med oppstart 1.9.2022</w:t>
      </w:r>
      <w:r w:rsidR="004110F6">
        <w:t xml:space="preserve"> </w:t>
      </w:r>
      <w:r w:rsidR="001F5F05">
        <w:fldChar w:fldCharType="begin"/>
      </w:r>
      <w:r w:rsidR="00235862">
        <w:instrText xml:space="preserve"> ADDIN EN.CITE &lt;EndNote&gt;&lt;Cite&gt;&lt;Author&gt;Helsedirektoratet&lt;/Author&gt;&lt;Year&gt;s.a.&lt;/Year&gt;&lt;RecNum&gt;42&lt;/RecNum&gt;&lt;DisplayText&gt;(Helsedirektoratet, s.a.)&lt;/DisplayText&gt;&lt;record&gt;&lt;rec-number&gt;42&lt;/rec-number&gt;&lt;foreign-keys&gt;&lt;key app="EN" db-id="95tpr2tp6r9xwoea9rb5wdsz5ds5xeddteew" timestamp="1680069511"&gt;42&lt;/key&gt;&lt;/foreign-keys&gt;&lt;ref-type name="Web Page"&gt;12&lt;/ref-type&gt;&lt;contributors&gt;&lt;authors&gt;&lt;author&gt;Helsedirektoratet&lt;/author&gt;&lt;/authors&gt;&lt;/contributors&gt;&lt;titles&gt;&lt;title&gt;Antall LIS1-stillinger med oppstart 1.3.2022, 1.9.2022, 1.3.2023 og 1.9.2023&lt;/title&gt;&lt;/titles&gt;&lt;number&gt;21. mars 2023&lt;/number&gt;&lt;dates&gt;&lt;year&gt;s.a.&lt;/year&gt;&lt;/dates&gt;&lt;pub-location&gt;Helsedirektoratet.no&lt;/pub-location&gt;&lt;publisher&gt;Helsedirektoratet&lt;/publisher&gt;&lt;work-type&gt;nettdokument&lt;/work-type&gt;&lt;urls&gt;&lt;/urls&gt;&lt;/record&gt;&lt;/Cite&gt;&lt;/EndNote&gt;</w:instrText>
      </w:r>
      <w:r w:rsidR="001F5F05">
        <w:fldChar w:fldCharType="separate"/>
      </w:r>
      <w:r w:rsidR="001F5F05">
        <w:rPr>
          <w:noProof/>
        </w:rPr>
        <w:t>(Helsedirektoratet, s.a.)</w:t>
      </w:r>
      <w:r w:rsidR="001F5F05">
        <w:fldChar w:fldCharType="end"/>
      </w:r>
      <w:r>
        <w:t>. Noen stillinger bl</w:t>
      </w:r>
      <w:r w:rsidR="0A9D36F7">
        <w:t>ir</w:t>
      </w:r>
      <w:r>
        <w:t xml:space="preserve"> reservert til leger som kom</w:t>
      </w:r>
      <w:r w:rsidR="0A9D36F7">
        <w:t>mer</w:t>
      </w:r>
      <w:r>
        <w:t xml:space="preserve"> tilbake etter sykdom eller lovfestede permisjoner. Antall utlyste </w:t>
      </w:r>
      <w:r w:rsidR="27792FDA">
        <w:t>LIS1-</w:t>
      </w:r>
      <w:r>
        <w:t>stillinger vil derfor alltid være noe lavere enn faktisk antall. Det var 921 søkere til 525 utlyste LIS1-stillinger med oppstart 1.3.2022. 57 prosent av søkerne fikk tilbud om stilling</w:t>
      </w:r>
      <w:r w:rsidR="004110F6" w:rsidRPr="004110F6">
        <w:t xml:space="preserve"> </w:t>
      </w:r>
      <w:r w:rsidR="004110F6">
        <w:fldChar w:fldCharType="begin"/>
      </w:r>
      <w:r w:rsidR="004654FD">
        <w:instrText xml:space="preserve"> ADDIN EN.CITE &lt;EndNote&gt;&lt;Cite&gt;&lt;Author&gt;Helsedirektoratet&lt;/Author&gt;&lt;Year&gt;2022&lt;/Year&gt;&lt;RecNum&gt;590&lt;/RecNum&gt;&lt;DisplayText&gt;(Helsedirektoratet, 2022g)&lt;/DisplayText&gt;&lt;record&gt;&lt;rec-number&gt;590&lt;/rec-number&gt;&lt;foreign-keys&gt;&lt;key app="EN" db-id="95tpr2tp6r9xwoea9rb5wdsz5ds5xeddteew" timestamp="1680069511"&gt;590&lt;/key&gt;&lt;/foreign-keys&gt;&lt;ref-type name="Report"&gt;27&lt;/ref-type&gt;&lt;contributors&gt;&lt;authors&gt;&lt;author&gt;Helsedirektoratet&lt;/author&gt;&lt;/authors&gt;&lt;/contributors&gt;&lt;titles&gt;&lt;title&gt;Oppfølging av Handlingsplan for allmennlegetjenesten 2020-2024 Kvartalsrapport 4. kvartal 2021&lt;/title&gt;&lt;secondary-title&gt;Kvartalsrapport&lt;/secondary-title&gt;&lt;/titles&gt;&lt;dates&gt;&lt;year&gt;2022&lt;/year&gt;&lt;/dates&gt;&lt;pub-location&gt;Oslo&lt;/pub-location&gt;&lt;publisher&gt;Helsedirektoratet&lt;/publisher&gt;&lt;urls&gt;&lt;/urls&gt;&lt;/record&gt;&lt;/Cite&gt;&lt;/EndNote&gt;</w:instrText>
      </w:r>
      <w:r w:rsidR="004110F6">
        <w:fldChar w:fldCharType="separate"/>
      </w:r>
      <w:r w:rsidR="004654FD">
        <w:rPr>
          <w:noProof/>
        </w:rPr>
        <w:t>(Helsedirektoratet, 2022g)</w:t>
      </w:r>
      <w:r w:rsidR="004110F6">
        <w:fldChar w:fldCharType="end"/>
      </w:r>
      <w:r>
        <w:t>.</w:t>
      </w:r>
      <w:r w:rsidR="00D9107F" w:rsidRPr="00D9107F">
        <w:rPr>
          <w:rStyle w:val="skrift-hevet"/>
        </w:rPr>
        <w:t xml:space="preserve"> </w:t>
      </w:r>
      <w:r>
        <w:t>Videre var det 1193 søkere til 562 utlyste LIS1-stillinger med oppstart 1.9.2022. 48 prosent av søkerne fikk tilbud om stilling.</w:t>
      </w:r>
    </w:p>
    <w:p w14:paraId="4B653F43" w14:textId="77777777" w:rsidR="00D9107F" w:rsidRPr="00D9107F" w:rsidRDefault="5B66B603" w:rsidP="00CF32F3">
      <w:pPr>
        <w:jc w:val="both"/>
        <w:rPr>
          <w:rStyle w:val="skrift-hevet"/>
        </w:rPr>
      </w:pPr>
      <w:r>
        <w:t xml:space="preserve">I 2023 </w:t>
      </w:r>
      <w:r w:rsidR="7BAE23B4">
        <w:t>er det</w:t>
      </w:r>
      <w:r>
        <w:t xml:space="preserve"> 544 LIS1-stillinger med oppstart 1.3.2023 og 575 LIS1-stillinger med oppstart 1.9.2023. 31 av LIS1-stillingene som har oppstart 1.9.2023 skal </w:t>
      </w:r>
      <w:r w:rsidR="322FC5C2">
        <w:t>knyttes</w:t>
      </w:r>
      <w:r>
        <w:t xml:space="preserve"> til videre spesialiseringsløp i barne- og ungdomspsykiatri og psykiatri</w:t>
      </w:r>
      <w:r w:rsidR="004110F6">
        <w:t xml:space="preserve"> </w:t>
      </w:r>
      <w:r w:rsidR="004110F6">
        <w:fldChar w:fldCharType="begin"/>
      </w:r>
      <w:r w:rsidR="00694E6D">
        <w:instrText xml:space="preserve"> ADDIN EN.CITE &lt;EndNote&gt;&lt;Cite&gt;&lt;Author&gt;Helsedirektoratet&lt;/Author&gt;&lt;Year&gt;2019&lt;/Year&gt;&lt;RecNum&gt;797&lt;/RecNum&gt;&lt;DisplayText&gt;(Helsedirektoratet, 2019f)&lt;/DisplayText&gt;&lt;record&gt;&lt;rec-number&gt;797&lt;/rec-number&gt;&lt;foreign-keys&gt;&lt;key app="EN" db-id="95tpr2tp6r9xwoea9rb5wdsz5ds5xeddteew" timestamp="1680069511"&gt;797&lt;/key&gt;&lt;/foreign-keys&gt;&lt;ref-type name="Web Page"&gt;12&lt;/ref-type&gt;&lt;contributors&gt;&lt;authors&gt;&lt;author&gt;Helsedirektoratet&lt;/author&gt;&lt;/authors&gt;&lt;/contributors&gt;&lt;titles&gt;&lt;title&gt;Søknad og frister for LIS1 stillinger&lt;/title&gt;&lt;/titles&gt;&lt;number&gt;08.02.2023&lt;/number&gt;&lt;dates&gt;&lt;year&gt;2019&lt;/year&gt;&lt;pub-dates&gt;&lt;date&gt;25.01.2023&lt;/date&gt;&lt;/pub-dates&gt;&lt;/dates&gt;&lt;pub-location&gt;Oslo&lt;/pub-location&gt;&lt;publisher&gt;Helsedirektoratet&lt;/publisher&gt;&lt;work-type&gt;nettdokument&lt;/work-type&gt;&lt;urls&gt;&lt;/urls&gt;&lt;/record&gt;&lt;/Cite&gt;&lt;/EndNote&gt;</w:instrText>
      </w:r>
      <w:r w:rsidR="004110F6">
        <w:fldChar w:fldCharType="separate"/>
      </w:r>
      <w:r w:rsidR="001F5F05">
        <w:rPr>
          <w:noProof/>
        </w:rPr>
        <w:t>(Helsedirektoratet, 2019f)</w:t>
      </w:r>
      <w:r w:rsidR="004110F6">
        <w:fldChar w:fldCharType="end"/>
      </w:r>
      <w:r>
        <w:t>.</w:t>
      </w:r>
      <w:bookmarkStart w:id="4912" w:name="_Toc120526257"/>
      <w:bookmarkStart w:id="4913" w:name="_Toc126834452"/>
      <w:bookmarkStart w:id="4914" w:name="_Toc127633337"/>
      <w:bookmarkStart w:id="4915" w:name="_Toc127864622"/>
      <w:bookmarkStart w:id="4916" w:name="_Toc128238636"/>
      <w:bookmarkStart w:id="4917" w:name="_Toc128742084"/>
      <w:bookmarkStart w:id="4918" w:name="_Toc128744712"/>
      <w:bookmarkStart w:id="4919" w:name="_Toc128744931"/>
      <w:bookmarkStart w:id="4920" w:name="_Toc129630436"/>
      <w:bookmarkStart w:id="4921" w:name="_Toc130763943"/>
      <w:bookmarkStart w:id="4922" w:name="_Toc130766838"/>
      <w:bookmarkStart w:id="4923" w:name="_Toc130932237"/>
      <w:bookmarkStart w:id="4924" w:name="_Toc130934528"/>
      <w:bookmarkStart w:id="4925" w:name="_Toc130983668"/>
      <w:bookmarkStart w:id="4926" w:name="_Toc130984017"/>
      <w:bookmarkStart w:id="4927" w:name="_Toc131062279"/>
      <w:bookmarkStart w:id="4928" w:name="_Toc131062533"/>
      <w:bookmarkStart w:id="4929" w:name="_Toc131062794"/>
      <w:bookmarkStart w:id="4930" w:name="_Toc131063047"/>
      <w:bookmarkStart w:id="4931" w:name="_Toc131063830"/>
      <w:bookmarkStart w:id="4932" w:name="_Toc131064241"/>
      <w:bookmarkStart w:id="4933" w:name="_Toc131279613"/>
      <w:bookmarkStart w:id="4934" w:name="_Toc131287025"/>
      <w:bookmarkStart w:id="4935" w:name="_Toc131281435"/>
      <w:bookmarkStart w:id="4936" w:name="_Toc131317975"/>
      <w:bookmarkStart w:id="4937" w:name="_Toc132537075"/>
    </w:p>
    <w:p w14:paraId="0D0134AE" w14:textId="0638C276" w:rsidR="00D9107F" w:rsidRDefault="439CE0BB" w:rsidP="00775632">
      <w:pPr>
        <w:pStyle w:val="Overskrift3"/>
      </w:pPr>
      <w:r>
        <w:t>Kunnskap og tidligere utredninger om LIS1</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7EAAB48E" w14:textId="161A60D3" w:rsidR="000E271C" w:rsidRDefault="07609F93" w:rsidP="00CF32F3">
      <w:pPr>
        <w:jc w:val="both"/>
      </w:pPr>
      <w:r>
        <w:rPr>
          <w:rFonts w:ascii="Calibri" w:eastAsia="Calibri" w:hAnsi="Calibri" w:cs="Calibri"/>
        </w:rPr>
        <w:t>Helsedirektoratet utgir statusrapporter etter hver søknadsrunde for LIS1-stillinger</w:t>
      </w:r>
      <w:r w:rsidR="3C60EE3B" w:rsidRPr="75186942">
        <w:rPr>
          <w:rFonts w:ascii="Calibri" w:eastAsia="Calibri" w:hAnsi="Calibri" w:cs="Calibri"/>
        </w:rPr>
        <w:t xml:space="preserve"> </w:t>
      </w:r>
      <w:r w:rsidR="00B87F6D">
        <w:rPr>
          <w:rFonts w:ascii="Calibri" w:eastAsia="Calibri" w:hAnsi="Calibri" w:cs="Calibri"/>
        </w:rPr>
        <w:fldChar w:fldCharType="begin"/>
      </w:r>
      <w:r w:rsidR="00694E6D">
        <w:rPr>
          <w:rFonts w:ascii="Calibri" w:eastAsia="Calibri" w:hAnsi="Calibri" w:cs="Calibri"/>
        </w:rPr>
        <w:instrText xml:space="preserve"> ADDIN EN.CITE &lt;EndNote&gt;&lt;Cite&gt;&lt;Author&gt;Helsedirektoratet&lt;/Author&gt;&lt;Year&gt;2018&lt;/Year&gt;&lt;RecNum&gt;441&lt;/RecNum&gt;&lt;DisplayText&gt;(Helsedirektoratet, 2018b)&lt;/DisplayText&gt;&lt;record&gt;&lt;rec-number&gt;441&lt;/rec-number&gt;&lt;foreign-keys&gt;&lt;key app="EN" db-id="95tpr2tp6r9xwoea9rb5wdsz5ds5xeddteew" timestamp="1680069511"&gt;441&lt;/key&gt;&lt;/foreign-keys&gt;&lt;ref-type name="Web Page"&gt;12&lt;/ref-type&gt;&lt;contributors&gt;&lt;authors&gt;&lt;author&gt;Helsedirektoratet&lt;/author&gt;&lt;/authors&gt;&lt;/contributors&gt;&lt;titles&gt;&lt;title&gt;Leger i spesialisering - Statusrapporter for søknadsrunder&lt;/title&gt;&lt;/titles&gt;&lt;number&gt;03.01.2023&lt;/number&gt;&lt;dates&gt;&lt;year&gt;2018&lt;/year&gt;&lt;pub-dates&gt;&lt;date&gt;10.08.2022&lt;/date&gt;&lt;/pub-dates&gt;&lt;/dates&gt;&lt;pub-location&gt;Oslo&lt;/pub-location&gt;&lt;publisher&gt;Helsedirektoratet&lt;/publisher&gt;&lt;work-type&gt;nettdokument&lt;/work-type&gt;&lt;urls&gt;&lt;/urls&gt;&lt;/record&gt;&lt;/Cite&gt;&lt;/EndNote&gt;</w:instrText>
      </w:r>
      <w:r w:rsidR="00B87F6D">
        <w:rPr>
          <w:rFonts w:ascii="Calibri" w:eastAsia="Calibri" w:hAnsi="Calibri" w:cs="Calibri"/>
        </w:rPr>
        <w:fldChar w:fldCharType="separate"/>
      </w:r>
      <w:r w:rsidR="001F5F05">
        <w:rPr>
          <w:rFonts w:ascii="Calibri" w:eastAsia="Calibri" w:hAnsi="Calibri" w:cs="Calibri"/>
          <w:noProof/>
        </w:rPr>
        <w:t>(Helsedirektoratet, 2018b)</w:t>
      </w:r>
      <w:r w:rsidR="00B87F6D">
        <w:rPr>
          <w:rFonts w:ascii="Calibri" w:eastAsia="Calibri" w:hAnsi="Calibri" w:cs="Calibri"/>
        </w:rPr>
        <w:fldChar w:fldCharType="end"/>
      </w:r>
      <w:r>
        <w:rPr>
          <w:rFonts w:ascii="Calibri" w:eastAsia="Calibri" w:hAnsi="Calibri" w:cs="Calibri"/>
        </w:rPr>
        <w:t>. Statusrapportene baserer seg på o</w:t>
      </w:r>
      <w:r>
        <w:t>versikt over stillingsannonser, mottatte søknader og ansettelser</w:t>
      </w:r>
      <w:r>
        <w:rPr>
          <w:rFonts w:ascii="Calibri" w:eastAsia="Calibri" w:hAnsi="Calibri" w:cs="Calibri"/>
        </w:rPr>
        <w:t xml:space="preserve"> i helseforetakene,</w:t>
      </w:r>
      <w:r w:rsidR="64BC62CB">
        <w:rPr>
          <w:rFonts w:ascii="Calibri" w:eastAsia="Calibri" w:hAnsi="Calibri" w:cs="Calibri"/>
        </w:rPr>
        <w:t xml:space="preserve"> men </w:t>
      </w:r>
      <w:r>
        <w:rPr>
          <w:rFonts w:ascii="Calibri" w:eastAsia="Calibri" w:hAnsi="Calibri" w:cs="Calibri"/>
        </w:rPr>
        <w:t xml:space="preserve">gir ingen opplysninger </w:t>
      </w:r>
      <w:r w:rsidRPr="00A90FFB">
        <w:rPr>
          <w:rFonts w:ascii="Calibri" w:eastAsia="Calibri" w:hAnsi="Calibri" w:cs="Calibri"/>
        </w:rPr>
        <w:t>om ansettelser av LIS1 i kommunene. De gir heller ingen opplysninger om gjennomføringen av LIS1-tjenesten.</w:t>
      </w:r>
      <w:r>
        <w:rPr>
          <w:rFonts w:ascii="Calibri" w:eastAsia="Calibri" w:hAnsi="Calibri" w:cs="Calibri"/>
        </w:rPr>
        <w:t xml:space="preserve"> </w:t>
      </w:r>
      <w:r>
        <w:t>Helsedirektoratet beregnet i 2019 et framtidig behov for LIS1-stillinger på omtrent 1150 p</w:t>
      </w:r>
      <w:r w:rsidR="099DD71A">
        <w:t>e</w:t>
      </w:r>
      <w:r>
        <w:t>r år, altså en økning fra 950</w:t>
      </w:r>
      <w:r w:rsidR="00AB319C">
        <w:t>,</w:t>
      </w:r>
      <w:r>
        <w:t xml:space="preserve"> tilsvarende 21 </w:t>
      </w:r>
      <w:r w:rsidR="099DD71A">
        <w:t>prosent</w:t>
      </w:r>
      <w:r w:rsidR="7147CAE2">
        <w:t xml:space="preserve"> </w:t>
      </w:r>
      <w:r w:rsidR="00B87F6D">
        <w:fldChar w:fldCharType="begin"/>
      </w:r>
      <w:r w:rsidR="00694E6D">
        <w:instrText xml:space="preserve"> ADDIN EN.CITE &lt;EndNote&gt;&lt;Cite&gt;&lt;Author&gt;Helsedirektoratet&lt;/Author&gt;&lt;Year&gt;2018&lt;/Year&gt;&lt;RecNum&gt;875&lt;/RecNum&gt;&lt;DisplayText&gt;(Helsedirektoratet, 2018c)&lt;/DisplayText&gt;&lt;record&gt;&lt;rec-number&gt;875&lt;/rec-number&gt;&lt;foreign-keys&gt;&lt;key app="EN" db-id="95tpr2tp6r9xwoea9rb5wdsz5ds5xeddteew" timestamp="1680069511"&gt;875&lt;/key&gt;&lt;/foreign-keys&gt;&lt;ref-type name="Report"&gt;27&lt;/ref-type&gt;&lt;contributors&gt;&lt;authors&gt;&lt;author&gt;Helsedirektoratet&lt;/author&gt;&lt;/authors&gt;&lt;/contributors&gt;&lt;titles&gt;&lt;title&gt;Vurdering av antall LIS1-stillinger: Svar på oppdrag gitt i tildelingsbrevet for 2018&lt;/title&gt;&lt;/titles&gt;&lt;number&gt;IS-2802&lt;/number&gt;&lt;dates&gt;&lt;year&gt;2018&lt;/year&gt;&lt;/dates&gt;&lt;pub-location&gt;Oslo&lt;/pub-location&gt;&lt;publisher&gt;Helsedirektoratet&lt;/publisher&gt;&lt;urls&gt;&lt;/urls&gt;&lt;/record&gt;&lt;/Cite&gt;&lt;/EndNote&gt;</w:instrText>
      </w:r>
      <w:r w:rsidR="00B87F6D">
        <w:fldChar w:fldCharType="separate"/>
      </w:r>
      <w:r w:rsidR="001F5F05">
        <w:rPr>
          <w:noProof/>
        </w:rPr>
        <w:t>(Helsedirektoratet, 2018c)</w:t>
      </w:r>
      <w:r w:rsidR="00B87F6D">
        <w:fldChar w:fldCharType="end"/>
      </w:r>
      <w:r w:rsidRPr="6B633578">
        <w:rPr>
          <w:rFonts w:ascii="Calibri" w:eastAsia="Calibri" w:hAnsi="Calibri" w:cs="Calibri"/>
        </w:rPr>
        <w:t>.</w:t>
      </w:r>
    </w:p>
    <w:p w14:paraId="75DDA9E9" w14:textId="4F80BA98" w:rsidR="00AA73CD" w:rsidRDefault="07609F93" w:rsidP="00CF32F3">
      <w:pPr>
        <w:jc w:val="both"/>
      </w:pPr>
      <w:r w:rsidRPr="374C9F70">
        <w:t xml:space="preserve">Av hensyn til kvalitet på utdanning og pasientsikkerhet </w:t>
      </w:r>
      <w:r w:rsidR="12088CD0">
        <w:t xml:space="preserve">har Helsedirektoratet </w:t>
      </w:r>
      <w:r w:rsidRPr="374C9F70">
        <w:t xml:space="preserve">anbefalt; å opprettholde rekkefølgekravet om at sykehustjenesten må gjennomføres først, ingen reduksjon i varigheten på LIS1, </w:t>
      </w:r>
      <w:r w:rsidR="00AB319C">
        <w:t xml:space="preserve">samt </w:t>
      </w:r>
      <w:r w:rsidRPr="374C9F70">
        <w:t xml:space="preserve">uendrede krav til oppnådde læringsmål </w:t>
      </w:r>
      <w:r w:rsidR="00AB319C">
        <w:t xml:space="preserve">og uendrede </w:t>
      </w:r>
      <w:r w:rsidR="002472E5" w:rsidRPr="374C9F70">
        <w:t>fraværsregler for å kunne gå videre til neste del av spesialistutdanningen.</w:t>
      </w:r>
      <w:r w:rsidRPr="374C9F70">
        <w:t xml:space="preserve"> </w:t>
      </w:r>
      <w:r>
        <w:t>Høye søkertall til LIS1-stillinger ha</w:t>
      </w:r>
      <w:r w:rsidR="27176924">
        <w:t xml:space="preserve">r </w:t>
      </w:r>
      <w:r>
        <w:t>bevart en god geografisk fordeling av LIS1 til de ulike deler av landet, men det er utfordringer med kontinuitet knyttet til frafall og oppsigelser i de minst folkerike og minst sentrale kommunene</w:t>
      </w:r>
      <w:r w:rsidR="5134A725">
        <w:t xml:space="preserve"> </w:t>
      </w:r>
      <w:r w:rsidR="00B87F6D">
        <w:fldChar w:fldCharType="begin"/>
      </w:r>
      <w:r w:rsidR="00694E6D">
        <w:instrText xml:space="preserve"> ADDIN EN.CITE &lt;EndNote&gt;&lt;Cite&gt;&lt;Author&gt;Helsedirektoratet&lt;/Author&gt;&lt;Year&gt;2021&lt;/Year&gt;&lt;RecNum&gt;759&lt;/RecNum&gt;&lt;DisplayText&gt;(Helsedirektoratet, 2021e)&lt;/DisplayText&gt;&lt;record&gt;&lt;rec-number&gt;759&lt;/rec-number&gt;&lt;foreign-keys&gt;&lt;key app="EN" db-id="95tpr2tp6r9xwoea9rb5wdsz5ds5xeddteew" timestamp="1680069511"&gt;759&lt;/key&gt;&lt;/foreign-keys&gt;&lt;ref-type name="Report"&gt;27&lt;/ref-type&gt;&lt;contributors&gt;&lt;authors&gt;&lt;author&gt;Helsedirektoratet&lt;/author&gt;&lt;/authors&gt;&lt;/contributors&gt;&lt;titles&gt;&lt;title&gt;Spesialistutdanning for leger - LIS1&lt;/title&gt;&lt;/titles&gt;&lt;number&gt;IS-3002&lt;/number&gt;&lt;dates&gt;&lt;year&gt;2021&lt;/year&gt;&lt;/dates&gt;&lt;pub-location&gt;Oslo&lt;/pub-location&gt;&lt;publisher&gt;Helsedirektoratet&lt;/publisher&gt;&lt;urls&gt;&lt;/urls&gt;&lt;/record&gt;&lt;/Cite&gt;&lt;/EndNote&gt;</w:instrText>
      </w:r>
      <w:r w:rsidR="00B87F6D">
        <w:fldChar w:fldCharType="separate"/>
      </w:r>
      <w:r w:rsidR="00D078E3">
        <w:rPr>
          <w:noProof/>
        </w:rPr>
        <w:t>(Helsedirektoratet, 2021e)</w:t>
      </w:r>
      <w:r w:rsidR="00B87F6D">
        <w:fldChar w:fldCharType="end"/>
      </w:r>
      <w:r w:rsidR="004110F6">
        <w:t>.</w:t>
      </w:r>
    </w:p>
    <w:p w14:paraId="1EC05612" w14:textId="77777777" w:rsidR="00D9107F" w:rsidRDefault="07609F93" w:rsidP="00CF32F3">
      <w:pPr>
        <w:jc w:val="both"/>
        <w:rPr>
          <w:rFonts w:ascii="Calibri" w:eastAsia="Calibri" w:hAnsi="Calibri" w:cs="Calibri"/>
        </w:rPr>
      </w:pPr>
      <w:r>
        <w:lastRenderedPageBreak/>
        <w:t>LIS1-stillinger som knyttes opp mot videre spesialisering i allmennmedisin, kan være et virkemiddel i arbeidet med å bedre rekruttere og stabilisere leger i kommunen. I Helsedirektoratets forslag om</w:t>
      </w:r>
      <w:r w:rsidRPr="00074A4C">
        <w:t xml:space="preserve"> </w:t>
      </w:r>
      <w:r>
        <w:t>knytting</w:t>
      </w:r>
      <w:r w:rsidRPr="00074A4C">
        <w:t xml:space="preserve"> </w:t>
      </w:r>
      <w:r>
        <w:t>av</w:t>
      </w:r>
      <w:r w:rsidRPr="00074A4C">
        <w:t xml:space="preserve"> LIS1-stillinger </w:t>
      </w:r>
      <w:r w:rsidRPr="00074A4C">
        <w:rPr>
          <w:rFonts w:ascii="Calibri" w:eastAsia="Calibri" w:hAnsi="Calibri" w:cs="Calibri"/>
        </w:rPr>
        <w:t xml:space="preserve">anbefales </w:t>
      </w:r>
      <w:r>
        <w:rPr>
          <w:rFonts w:ascii="Calibri" w:eastAsia="Calibri" w:hAnsi="Calibri" w:cs="Calibri"/>
        </w:rPr>
        <w:t xml:space="preserve">det </w:t>
      </w:r>
      <w:r w:rsidRPr="00074A4C">
        <w:rPr>
          <w:rFonts w:ascii="Calibri" w:eastAsia="Calibri" w:hAnsi="Calibri" w:cs="Calibri"/>
        </w:rPr>
        <w:t>ingen bindingstid eller karanteneordninger.</w:t>
      </w:r>
      <w:r>
        <w:rPr>
          <w:rFonts w:ascii="Calibri" w:eastAsia="Calibri" w:hAnsi="Calibri" w:cs="Calibri"/>
        </w:rPr>
        <w:t xml:space="preserve"> </w:t>
      </w:r>
      <w:r w:rsidRPr="00074A4C">
        <w:rPr>
          <w:rFonts w:ascii="Calibri" w:eastAsia="Calibri" w:hAnsi="Calibri" w:cs="Calibri"/>
        </w:rPr>
        <w:t xml:space="preserve">LIS1-stillingene </w:t>
      </w:r>
      <w:r>
        <w:rPr>
          <w:rFonts w:ascii="Calibri" w:eastAsia="Calibri" w:hAnsi="Calibri" w:cs="Calibri"/>
        </w:rPr>
        <w:t xml:space="preserve">foreslås primært </w:t>
      </w:r>
      <w:r w:rsidRPr="00074A4C">
        <w:rPr>
          <w:rFonts w:ascii="Calibri" w:eastAsia="Calibri" w:hAnsi="Calibri" w:cs="Calibri"/>
        </w:rPr>
        <w:t>knytte</w:t>
      </w:r>
      <w:r>
        <w:rPr>
          <w:rFonts w:ascii="Calibri" w:eastAsia="Calibri" w:hAnsi="Calibri" w:cs="Calibri"/>
        </w:rPr>
        <w:t>t</w:t>
      </w:r>
      <w:r w:rsidRPr="00074A4C">
        <w:rPr>
          <w:rFonts w:ascii="Calibri" w:eastAsia="Calibri" w:hAnsi="Calibri" w:cs="Calibri"/>
        </w:rPr>
        <w:t xml:space="preserve"> </w:t>
      </w:r>
      <w:r w:rsidR="2B51E769">
        <w:rPr>
          <w:rFonts w:ascii="Calibri" w:eastAsia="Calibri" w:hAnsi="Calibri" w:cs="Calibri"/>
        </w:rPr>
        <w:t xml:space="preserve">til </w:t>
      </w:r>
      <w:r w:rsidRPr="00074A4C">
        <w:rPr>
          <w:rFonts w:ascii="Calibri" w:eastAsia="Calibri" w:hAnsi="Calibri" w:cs="Calibri"/>
        </w:rPr>
        <w:t>fastlønnede allmennlegestillinger</w:t>
      </w:r>
      <w:r>
        <w:rPr>
          <w:rFonts w:ascii="Calibri" w:eastAsia="Calibri" w:hAnsi="Calibri" w:cs="Calibri"/>
        </w:rPr>
        <w:t>, og at r</w:t>
      </w:r>
      <w:r w:rsidRPr="00074A4C">
        <w:rPr>
          <w:rFonts w:ascii="Calibri" w:eastAsia="Calibri" w:hAnsi="Calibri" w:cs="Calibri"/>
        </w:rPr>
        <w:t xml:space="preserve">ekrutteringssvake kommuner som kan tilby </w:t>
      </w:r>
      <w:r>
        <w:rPr>
          <w:rFonts w:ascii="Calibri" w:eastAsia="Calibri" w:hAnsi="Calibri" w:cs="Calibri"/>
        </w:rPr>
        <w:t>spesialistutdanning av god kvalitet</w:t>
      </w:r>
      <w:r w:rsidR="258F93A5">
        <w:rPr>
          <w:rFonts w:ascii="Calibri" w:eastAsia="Calibri" w:hAnsi="Calibri" w:cs="Calibri"/>
        </w:rPr>
        <w:t>,</w:t>
      </w:r>
      <w:r>
        <w:rPr>
          <w:rFonts w:ascii="Calibri" w:eastAsia="Calibri" w:hAnsi="Calibri" w:cs="Calibri"/>
        </w:rPr>
        <w:t xml:space="preserve"> </w:t>
      </w:r>
      <w:r w:rsidRPr="00074A4C">
        <w:rPr>
          <w:rFonts w:ascii="Calibri" w:eastAsia="Calibri" w:hAnsi="Calibri" w:cs="Calibri"/>
        </w:rPr>
        <w:t>bør prioriteres</w:t>
      </w:r>
      <w:r w:rsidR="0A3CC4B0" w:rsidRPr="35635401">
        <w:rPr>
          <w:rFonts w:ascii="Calibri" w:eastAsia="Calibri" w:hAnsi="Calibri" w:cs="Calibri"/>
        </w:rPr>
        <w:t xml:space="preserve"> </w:t>
      </w:r>
      <w:r w:rsidR="00B87F6D">
        <w:rPr>
          <w:rFonts w:ascii="Calibri" w:eastAsia="Calibri" w:hAnsi="Calibri" w:cs="Calibri"/>
        </w:rPr>
        <w:fldChar w:fldCharType="begin"/>
      </w:r>
      <w:r w:rsidR="00694E6D">
        <w:rPr>
          <w:rFonts w:ascii="Calibri" w:eastAsia="Calibri" w:hAnsi="Calibri" w:cs="Calibri"/>
        </w:rPr>
        <w:instrText xml:space="preserve"> ADDIN EN.CITE &lt;EndNote&gt;&lt;Cite&gt;&lt;Author&gt;Helsedirektoratet&lt;/Author&gt;&lt;Year&gt;2021&lt;/Year&gt;&lt;RecNum&gt;440&lt;/RecNum&gt;&lt;DisplayText&gt;(Helsedirektoratet, 2021c)&lt;/DisplayText&gt;&lt;record&gt;&lt;rec-number&gt;440&lt;/rec-number&gt;&lt;foreign-keys&gt;&lt;key app="EN" db-id="95tpr2tp6r9xwoea9rb5wdsz5ds5xeddteew" timestamp="1680069511"&gt;440&lt;/key&gt;&lt;/foreign-keys&gt;&lt;ref-type name="Report"&gt;27&lt;/ref-type&gt;&lt;contributors&gt;&lt;authors&gt;&lt;author&gt;Helsedirektoratet&lt;/author&gt;&lt;/authors&gt;&lt;/contributors&gt;&lt;titles&gt;&lt;title&gt;Leger i spesialisering - LIS1-stillinger knyttet til videre spesialiseringsløp: Modell for utlysning og tilsetting i 62 nye LIS1-stillinger med binding til allmenmedisin, barne- og ungdomspsykiatri og psykiatri&lt;/title&gt;&lt;/titles&gt;&lt;number&gt;IS-3030&lt;/number&gt;&lt;dates&gt;&lt;year&gt;2021&lt;/year&gt;&lt;/dates&gt;&lt;pub-location&gt;Oslo&lt;/pub-location&gt;&lt;publisher&gt;Helsedirektoratet&lt;/publisher&gt;&lt;urls&gt;&lt;/urls&gt;&lt;/record&gt;&lt;/Cite&gt;&lt;/EndNote&gt;</w:instrText>
      </w:r>
      <w:r w:rsidR="00B87F6D">
        <w:rPr>
          <w:rFonts w:ascii="Calibri" w:eastAsia="Calibri" w:hAnsi="Calibri" w:cs="Calibri"/>
        </w:rPr>
        <w:fldChar w:fldCharType="separate"/>
      </w:r>
      <w:r w:rsidR="00D078E3">
        <w:rPr>
          <w:rFonts w:ascii="Calibri" w:eastAsia="Calibri" w:hAnsi="Calibri" w:cs="Calibri"/>
          <w:noProof/>
        </w:rPr>
        <w:t>(Helsedirektoratet, 2021c)</w:t>
      </w:r>
      <w:r w:rsidR="00B87F6D">
        <w:rPr>
          <w:rFonts w:ascii="Calibri" w:eastAsia="Calibri" w:hAnsi="Calibri" w:cs="Calibri"/>
        </w:rPr>
        <w:fldChar w:fldCharType="end"/>
      </w:r>
      <w:r w:rsidR="004110F6">
        <w:rPr>
          <w:rFonts w:ascii="Calibri" w:eastAsia="Calibri" w:hAnsi="Calibri" w:cs="Calibri"/>
        </w:rPr>
        <w:t>.</w:t>
      </w:r>
    </w:p>
    <w:p w14:paraId="618FF906" w14:textId="024EA944" w:rsidR="00AA73CD" w:rsidRDefault="33C23A82" w:rsidP="00CF32F3">
      <w:pPr>
        <w:jc w:val="both"/>
        <w:rPr>
          <w:rFonts w:ascii="Calibri" w:eastAsia="Calibri" w:hAnsi="Calibri" w:cs="Calibri"/>
        </w:rPr>
      </w:pPr>
      <w:r>
        <w:rPr>
          <w:rFonts w:ascii="Calibri" w:eastAsia="Calibri" w:hAnsi="Calibri" w:cs="Calibri"/>
        </w:rPr>
        <w:t>Det p</w:t>
      </w:r>
      <w:r w:rsidR="07609F93">
        <w:rPr>
          <w:rFonts w:ascii="Calibri" w:eastAsia="Calibri" w:hAnsi="Calibri" w:cs="Calibri"/>
        </w:rPr>
        <w:t>åpekes at d</w:t>
      </w:r>
      <w:r w:rsidR="07609F93" w:rsidRPr="00074A4C">
        <w:rPr>
          <w:rFonts w:ascii="Calibri" w:eastAsia="Calibri" w:hAnsi="Calibri" w:cs="Calibri"/>
        </w:rPr>
        <w:t>et er uheldig at leger som allerede har oppnådd en norsk spesialistgodkjenning</w:t>
      </w:r>
      <w:r w:rsidR="099DD71A">
        <w:rPr>
          <w:rFonts w:ascii="Calibri" w:eastAsia="Calibri" w:hAnsi="Calibri" w:cs="Calibri"/>
        </w:rPr>
        <w:t>,</w:t>
      </w:r>
      <w:r w:rsidR="07609F93" w:rsidRPr="00074A4C">
        <w:rPr>
          <w:rFonts w:ascii="Calibri" w:eastAsia="Calibri" w:hAnsi="Calibri" w:cs="Calibri"/>
        </w:rPr>
        <w:t xml:space="preserve"> basert på utenlandsk utdanning og ofte mange års erfaring, </w:t>
      </w:r>
      <w:r w:rsidR="07609F93">
        <w:rPr>
          <w:rFonts w:ascii="Calibri" w:eastAsia="Calibri" w:hAnsi="Calibri" w:cs="Calibri"/>
        </w:rPr>
        <w:t xml:space="preserve">må gjennomføre LIS1 før de </w:t>
      </w:r>
      <w:r w:rsidR="07609F93" w:rsidRPr="00074A4C">
        <w:rPr>
          <w:rFonts w:ascii="Calibri" w:eastAsia="Calibri" w:hAnsi="Calibri" w:cs="Calibri"/>
        </w:rPr>
        <w:t>kan starte i spesialistutdanning i spesialitet nr. 2</w:t>
      </w:r>
      <w:r w:rsidR="07609F93">
        <w:rPr>
          <w:rFonts w:ascii="Calibri" w:eastAsia="Calibri" w:hAnsi="Calibri" w:cs="Calibri"/>
        </w:rPr>
        <w:t>. Direktoratets vurdering er at det</w:t>
      </w:r>
      <w:r w:rsidR="07609F93" w:rsidRPr="005B39F1">
        <w:rPr>
          <w:rFonts w:ascii="Calibri" w:eastAsia="Calibri" w:hAnsi="Calibri" w:cs="Calibri"/>
        </w:rPr>
        <w:t xml:space="preserve"> bør være opp til arbeidsgiver å vurdere </w:t>
      </w:r>
      <w:r w:rsidR="48C89343">
        <w:rPr>
          <w:rFonts w:ascii="Calibri" w:eastAsia="Calibri" w:hAnsi="Calibri" w:cs="Calibri"/>
        </w:rPr>
        <w:t xml:space="preserve">disse </w:t>
      </w:r>
      <w:r w:rsidR="07609F93" w:rsidRPr="005B39F1">
        <w:rPr>
          <w:rFonts w:ascii="Calibri" w:eastAsia="Calibri" w:hAnsi="Calibri" w:cs="Calibri"/>
        </w:rPr>
        <w:t>legen</w:t>
      </w:r>
      <w:r w:rsidR="48C89343">
        <w:rPr>
          <w:rFonts w:ascii="Calibri" w:eastAsia="Calibri" w:hAnsi="Calibri" w:cs="Calibri"/>
        </w:rPr>
        <w:t>e</w:t>
      </w:r>
      <w:r w:rsidR="07609F93" w:rsidRPr="005B39F1">
        <w:rPr>
          <w:rFonts w:ascii="Calibri" w:eastAsia="Calibri" w:hAnsi="Calibri" w:cs="Calibri"/>
        </w:rPr>
        <w:t>s samlede kompetanse</w:t>
      </w:r>
      <w:r w:rsidR="19DE7556">
        <w:rPr>
          <w:rFonts w:ascii="Calibri" w:eastAsia="Calibri" w:hAnsi="Calibri" w:cs="Calibri"/>
        </w:rPr>
        <w:t xml:space="preserve"> og behovet for LIS1</w:t>
      </w:r>
      <w:r w:rsidR="07609F93" w:rsidRPr="005B39F1">
        <w:rPr>
          <w:rFonts w:ascii="Calibri" w:eastAsia="Calibri" w:hAnsi="Calibri" w:cs="Calibri"/>
        </w:rPr>
        <w:t xml:space="preserve">, ved tilsetting </w:t>
      </w:r>
      <w:r w:rsidR="07609F93">
        <w:rPr>
          <w:rFonts w:ascii="Calibri" w:eastAsia="Calibri" w:hAnsi="Calibri" w:cs="Calibri"/>
        </w:rPr>
        <w:t>som ALIS i kommunen</w:t>
      </w:r>
      <w:r w:rsidR="080B174C" w:rsidRPr="35635401">
        <w:rPr>
          <w:rFonts w:ascii="Calibri" w:eastAsia="Calibri" w:hAnsi="Calibri" w:cs="Calibri"/>
        </w:rPr>
        <w:t xml:space="preserve"> </w:t>
      </w:r>
      <w:r w:rsidR="00B87F6D">
        <w:rPr>
          <w:rFonts w:ascii="Calibri" w:eastAsia="Calibri" w:hAnsi="Calibri" w:cs="Calibri"/>
        </w:rPr>
        <w:fldChar w:fldCharType="begin"/>
      </w:r>
      <w:r w:rsidR="004654FD">
        <w:rPr>
          <w:rFonts w:ascii="Calibri" w:eastAsia="Calibri" w:hAnsi="Calibri" w:cs="Calibri"/>
        </w:rPr>
        <w:instrText xml:space="preserve"> ADDIN EN.CITE &lt;EndNote&gt;&lt;Cite&gt;&lt;Author&gt;Helsedirektoratet&lt;/Author&gt;&lt;Year&gt;2022&lt;/Year&gt;&lt;RecNum&gt;65&lt;/RecNum&gt;&lt;DisplayText&gt;(Helsedirektoratet, 2022f)&lt;/DisplayText&gt;&lt;record&gt;&lt;rec-number&gt;65&lt;/rec-number&gt;&lt;foreign-keys&gt;&lt;key app="EN" db-id="95tpr2tp6r9xwoea9rb5wdsz5ds5xeddteew" timestamp="1680069511"&gt;65&lt;/key&gt;&lt;/foreign-keys&gt;&lt;ref-type name="Report"&gt;27&lt;/ref-type&gt;&lt;contributors&gt;&lt;authors&gt;&lt;author&gt;Helsedirektoratet&lt;/author&gt;&lt;/authors&gt;&lt;/contributors&gt;&lt;titles&gt;&lt;title&gt;Morsmelkserstatning for hivpositive mødre. Besvarelse på oppdrag 12 TTB2022&lt;/title&gt;&lt;/titles&gt;&lt;dates&gt;&lt;year&gt;2022&lt;/year&gt;&lt;/dates&gt;&lt;publisher&gt;Helsedirektoratet&lt;/publisher&gt;&lt;work-type&gt;upublisert&lt;/work-type&gt;&lt;urls&gt;&lt;/urls&gt;&lt;/record&gt;&lt;/Cite&gt;&lt;/EndNote&gt;</w:instrText>
      </w:r>
      <w:r w:rsidR="00B87F6D">
        <w:rPr>
          <w:rFonts w:ascii="Calibri" w:eastAsia="Calibri" w:hAnsi="Calibri" w:cs="Calibri"/>
        </w:rPr>
        <w:fldChar w:fldCharType="separate"/>
      </w:r>
      <w:r w:rsidR="004654FD">
        <w:rPr>
          <w:rFonts w:ascii="Calibri" w:eastAsia="Calibri" w:hAnsi="Calibri" w:cs="Calibri"/>
          <w:noProof/>
        </w:rPr>
        <w:t>(Helsedirektoratet, 2022f)</w:t>
      </w:r>
      <w:r w:rsidR="00B87F6D">
        <w:rPr>
          <w:rFonts w:ascii="Calibri" w:eastAsia="Calibri" w:hAnsi="Calibri" w:cs="Calibri"/>
        </w:rPr>
        <w:fldChar w:fldCharType="end"/>
      </w:r>
      <w:r w:rsidR="07609F93" w:rsidRPr="005B39F1">
        <w:rPr>
          <w:rFonts w:ascii="Calibri" w:eastAsia="Calibri" w:hAnsi="Calibri" w:cs="Calibri"/>
        </w:rPr>
        <w:t>.</w:t>
      </w:r>
    </w:p>
    <w:p w14:paraId="6B514520" w14:textId="31EF065B" w:rsidR="00AA73CD" w:rsidRDefault="07609F93" w:rsidP="00CF32F3">
      <w:pPr>
        <w:jc w:val="both"/>
      </w:pPr>
      <w:r>
        <w:t>I en studie fra 2017 finner Nasjonalt senter for distriktsmedisin (NSDM) at den nye LIS1-tjenesten er sentraliserende. Det er v</w:t>
      </w:r>
      <w:r w:rsidRPr="009A7FF1">
        <w:t>ekst i utlysningen av kommunale reststillinger og tegn til</w:t>
      </w:r>
      <w:r>
        <w:t xml:space="preserve"> at LIS1-stillinger i distriktskommuner systematisk velges bort. </w:t>
      </w:r>
      <w:r w:rsidRPr="009D04BF">
        <w:t xml:space="preserve">Helseforetakene sitter i førersetet, mens kommunene </w:t>
      </w:r>
      <w:r w:rsidR="055B6E8A">
        <w:t>i liten grad blir involvert</w:t>
      </w:r>
      <w:r w:rsidR="099DD71A">
        <w:t>,</w:t>
      </w:r>
      <w:r w:rsidRPr="009D04BF">
        <w:t xml:space="preserve"> både i etableringen</w:t>
      </w:r>
      <w:r>
        <w:t xml:space="preserve"> og i den videre driften</w:t>
      </w:r>
      <w:r w:rsidRPr="009D04BF">
        <w:t xml:space="preserve"> av den nye </w:t>
      </w:r>
      <w:r>
        <w:t>LIS1-tjenesten</w:t>
      </w:r>
      <w:r w:rsidRPr="009D04BF">
        <w:t>.</w:t>
      </w:r>
      <w:r>
        <w:t xml:space="preserve"> </w:t>
      </w:r>
      <w:r w:rsidR="1233DD2F">
        <w:t xml:space="preserve">Videre </w:t>
      </w:r>
      <w:r w:rsidR="591CD59A">
        <w:t>finner NSDM</w:t>
      </w:r>
      <w:r>
        <w:t xml:space="preserve"> at u</w:t>
      </w:r>
      <w:r w:rsidRPr="00153CF4">
        <w:t>tlysning av egne kommunale reststillinger oppleves arbeidskrevende og byråkratisk</w:t>
      </w:r>
      <w:r w:rsidR="43FB2C64" w:rsidRPr="496F272A">
        <w:t xml:space="preserve"> </w:t>
      </w:r>
      <w:r w:rsidR="001F5F05">
        <w:fldChar w:fldCharType="begin"/>
      </w:r>
      <w:r w:rsidR="00F23621">
        <w:instrText xml:space="preserve"> ADDIN EN.CITE &lt;EndNote&gt;&lt;Cite&gt;&lt;Author&gt;Abelsen&lt;/Author&gt;&lt;Year&gt;2017&lt;/Year&gt;&lt;RecNum&gt;569&lt;/RecNum&gt;&lt;DisplayText&gt;(Abelsen et al., 2017b)&lt;/DisplayText&gt;&lt;record&gt;&lt;rec-number&gt;569&lt;/rec-number&gt;&lt;foreign-keys&gt;&lt;key app="EN" db-id="95tpr2tp6r9xwoea9rb5wdsz5ds5xeddteew" timestamp="1680069511"&gt;569&lt;/key&gt;&lt;/foreign-keys&gt;&lt;ref-type name="Report"&gt;27&lt;/ref-type&gt;&lt;contributors&gt;&lt;authors&gt;&lt;author&gt;Abelsen, B.&lt;/author&gt;&lt;author&gt;Gaski, M.&lt;/author&gt;&lt;/authors&gt;&lt;/contributors&gt;&lt;titles&gt;&lt;title&gt;Ny turnuslegetjeneste for leger&lt;/title&gt;&lt;/titles&gt;&lt;number&gt;08.02.2023&lt;/number&gt;&lt;dates&gt;&lt;year&gt;2017&lt;/year&gt;&lt;pub-dates&gt;&lt;date&gt;20.06.2017&lt;/date&gt;&lt;/pub-dates&gt;&lt;/dates&gt;&lt;pub-location&gt;Tromsø&lt;/pub-location&gt;&lt;publisher&gt;Nasjonalt senter for distriksmedisin&lt;/publisher&gt;&lt;work-type&gt;nettdokument&lt;/work-type&gt;&lt;urls&gt;&lt;/urls&gt;&lt;/record&gt;&lt;/Cite&gt;&lt;/EndNote&gt;</w:instrText>
      </w:r>
      <w:r w:rsidR="001F5F05">
        <w:fldChar w:fldCharType="separate"/>
      </w:r>
      <w:r w:rsidR="00F23621">
        <w:rPr>
          <w:noProof/>
        </w:rPr>
        <w:t>(Abelsen et al., 2017b)</w:t>
      </w:r>
      <w:r w:rsidR="001F5F05">
        <w:fldChar w:fldCharType="end"/>
      </w:r>
      <w:r w:rsidRPr="00153CF4">
        <w:t>.</w:t>
      </w:r>
    </w:p>
    <w:p w14:paraId="27D5D6AF" w14:textId="0AB03ED3" w:rsidR="00AA73CD" w:rsidRPr="007170C3" w:rsidRDefault="07609F93" w:rsidP="00CF32F3">
      <w:pPr>
        <w:jc w:val="both"/>
        <w:rPr>
          <w:rFonts w:eastAsia="Calibri"/>
        </w:rPr>
      </w:pPr>
      <w:r w:rsidRPr="374C9F70">
        <w:rPr>
          <w:rFonts w:eastAsia="Calibri"/>
        </w:rPr>
        <w:t>En studie fra 2020 undersøker om det har oppstått sosial</w:t>
      </w:r>
      <w:r>
        <w:rPr>
          <w:rFonts w:eastAsia="Calibri"/>
        </w:rPr>
        <w:t xml:space="preserve"> ulikhet </w:t>
      </w:r>
      <w:r w:rsidRPr="374C9F70">
        <w:rPr>
          <w:rFonts w:eastAsia="Calibri"/>
        </w:rPr>
        <w:t xml:space="preserve">i </w:t>
      </w:r>
      <w:r>
        <w:rPr>
          <w:rFonts w:eastAsia="Calibri"/>
        </w:rPr>
        <w:t>tilgangen til LIS1</w:t>
      </w:r>
      <w:r w:rsidR="0308641E">
        <w:rPr>
          <w:rFonts w:eastAsia="Calibri"/>
        </w:rPr>
        <w:t>-</w:t>
      </w:r>
      <w:r>
        <w:rPr>
          <w:rFonts w:eastAsia="Calibri"/>
        </w:rPr>
        <w:t>stillinger</w:t>
      </w:r>
      <w:r w:rsidR="099DD71A">
        <w:rPr>
          <w:rFonts w:eastAsia="Calibri"/>
        </w:rPr>
        <w:t>,</w:t>
      </w:r>
      <w:r>
        <w:rPr>
          <w:rFonts w:eastAsia="Calibri"/>
        </w:rPr>
        <w:t xml:space="preserve"> som </w:t>
      </w:r>
      <w:r w:rsidRPr="374C9F70">
        <w:rPr>
          <w:rFonts w:eastAsia="Calibri"/>
        </w:rPr>
        <w:t xml:space="preserve">følge av overgangen fra loddtrekning til søknadsbasert opptak. Samlet sett tyder resultatene på at leger fra høyere sosiale lag har fått lettere tilgang til </w:t>
      </w:r>
      <w:r w:rsidR="4527EC63">
        <w:rPr>
          <w:rFonts w:eastAsia="Calibri"/>
        </w:rPr>
        <w:t>LIS1-</w:t>
      </w:r>
      <w:r w:rsidR="41D8F9BC">
        <w:rPr>
          <w:rFonts w:eastAsia="Calibri"/>
        </w:rPr>
        <w:t xml:space="preserve">stillinger ved </w:t>
      </w:r>
      <w:r w:rsidRPr="374C9F70">
        <w:rPr>
          <w:rFonts w:eastAsia="Calibri"/>
        </w:rPr>
        <w:t xml:space="preserve">de mest attraktive sykehusene etter reformen, mens kandidater med </w:t>
      </w:r>
      <w:r w:rsidR="099DD71A" w:rsidRPr="374C9F70">
        <w:rPr>
          <w:rFonts w:eastAsia="Calibri"/>
        </w:rPr>
        <w:t>innvandr</w:t>
      </w:r>
      <w:r w:rsidR="099DD71A">
        <w:rPr>
          <w:rFonts w:eastAsia="Calibri"/>
        </w:rPr>
        <w:t>er</w:t>
      </w:r>
      <w:r w:rsidR="099DD71A" w:rsidRPr="374C9F70">
        <w:rPr>
          <w:rFonts w:eastAsia="Calibri"/>
        </w:rPr>
        <w:t xml:space="preserve">bakgrunn </w:t>
      </w:r>
      <w:r w:rsidRPr="374C9F70">
        <w:rPr>
          <w:rFonts w:eastAsia="Calibri"/>
        </w:rPr>
        <w:t xml:space="preserve">har fått svekket sin tilgang til </w:t>
      </w:r>
      <w:r w:rsidR="4527EC63">
        <w:rPr>
          <w:rFonts w:eastAsia="Calibri"/>
        </w:rPr>
        <w:t>slike stillinger</w:t>
      </w:r>
      <w:r w:rsidRPr="374C9F70">
        <w:rPr>
          <w:rFonts w:eastAsia="Calibri"/>
        </w:rPr>
        <w:t xml:space="preserve"> etter reformen. Analysen er ikke egnet til å skille mellom mekanismer på arbeidstaker- eller arbeidsgiversiden, men sannsynligvis er begge deler virksomme</w:t>
      </w:r>
      <w:r w:rsidR="2C27B2A2" w:rsidRPr="496F272A">
        <w:rPr>
          <w:rFonts w:eastAsia="Calibri"/>
        </w:rPr>
        <w:t xml:space="preserve"> </w:t>
      </w:r>
      <w:r w:rsidR="00B87F6D">
        <w:rPr>
          <w:rFonts w:eastAsia="Calibri"/>
        </w:rPr>
        <w:fldChar w:fldCharType="begin"/>
      </w:r>
      <w:r w:rsidR="004654FD">
        <w:rPr>
          <w:rFonts w:eastAsia="Calibri"/>
        </w:rPr>
        <w:instrText xml:space="preserve"> ADDIN EN.CITE &lt;EndNote&gt;&lt;Cite&gt;&lt;Author&gt;Drange&lt;/Author&gt;&lt;Year&gt;2020&lt;/Year&gt;&lt;RecNum&gt;273&lt;/RecNum&gt;&lt;DisplayText&gt;(Drange, 2020)&lt;/DisplayText&gt;&lt;record&gt;&lt;rec-number&gt;273&lt;/rec-number&gt;&lt;foreign-keys&gt;&lt;key app="EN" db-id="95tpr2tp6r9xwoea9rb5wdsz5ds5xeddteew" timestamp="1680069511"&gt;273&lt;/key&gt;&lt;/foreign-keys&gt;&lt;ref-type name="Journal Article"&gt;17&lt;/ref-type&gt;&lt;contributors&gt;&lt;authors&gt;&lt;author&gt;Drange, Ida&lt;/author&gt;&lt;/authors&gt;&lt;/contributors&gt;&lt;titles&gt;&lt;title&gt;Fra loddtrekning til søknadsbasert opptak: Har endret praksis for tildeling av turnusstillinger til nyutdannede leger ført til sosial ulikhet?&lt;/title&gt;&lt;secondary-title&gt;Tidsskrift for samfunnsforskning&lt;/secondary-title&gt;&lt;alt-title&gt;Tidsskr Samfforsk&lt;/alt-title&gt;&lt;/titles&gt;&lt;periodical&gt;&lt;full-title&gt;Tidsskrift for samfunnsforskning&lt;/full-title&gt;&lt;abbr-1&gt;Tidsskr Samfforsk&lt;/abbr-1&gt;&lt;/periodical&gt;&lt;alt-periodical&gt;&lt;full-title&gt;Tidsskrift for samfunnsforskning&lt;/full-title&gt;&lt;abbr-1&gt;Tidsskr Samfforsk&lt;/abbr-1&gt;&lt;/alt-periodical&gt;&lt;pages&gt;343-371&lt;/pages&gt;&lt;volume&gt;61&lt;/volume&gt;&lt;number&gt;4&lt;/number&gt;&lt;dates&gt;&lt;year&gt;2020&lt;/year&gt;&lt;/dates&gt;&lt;urls&gt;&lt;/urls&gt;&lt;/record&gt;&lt;/Cite&gt;&lt;/EndNote&gt;</w:instrText>
      </w:r>
      <w:r w:rsidR="00B87F6D">
        <w:rPr>
          <w:rFonts w:eastAsia="Calibri"/>
        </w:rPr>
        <w:fldChar w:fldCharType="separate"/>
      </w:r>
      <w:r w:rsidR="00B87F6D">
        <w:rPr>
          <w:rFonts w:eastAsia="Calibri"/>
          <w:noProof/>
        </w:rPr>
        <w:t>(Drange, 2020)</w:t>
      </w:r>
      <w:r w:rsidR="00B87F6D">
        <w:rPr>
          <w:rFonts w:eastAsia="Calibri"/>
        </w:rPr>
        <w:fldChar w:fldCharType="end"/>
      </w:r>
      <w:r w:rsidR="004110F6">
        <w:rPr>
          <w:rFonts w:eastAsia="Calibri"/>
        </w:rPr>
        <w:t>.</w:t>
      </w:r>
    </w:p>
    <w:p w14:paraId="07763431" w14:textId="77777777" w:rsidR="00D9107F" w:rsidRDefault="3D47ACA0" w:rsidP="00775632">
      <w:pPr>
        <w:pStyle w:val="Overskrift3"/>
      </w:pPr>
      <w:bookmarkStart w:id="4938" w:name="_Toc120526258"/>
      <w:bookmarkStart w:id="4939" w:name="_Toc126834453"/>
      <w:bookmarkStart w:id="4940" w:name="_Toc127633338"/>
      <w:bookmarkStart w:id="4941" w:name="_Toc127864623"/>
      <w:bookmarkStart w:id="4942" w:name="_Toc128238637"/>
      <w:bookmarkStart w:id="4943" w:name="_Toc128742085"/>
      <w:bookmarkStart w:id="4944" w:name="_Toc128744713"/>
      <w:bookmarkStart w:id="4945" w:name="_Toc128744932"/>
      <w:bookmarkStart w:id="4946" w:name="_Toc129630437"/>
      <w:bookmarkStart w:id="4947" w:name="_Toc130763944"/>
      <w:bookmarkStart w:id="4948" w:name="_Toc130766839"/>
      <w:bookmarkStart w:id="4949" w:name="_Toc130932238"/>
      <w:bookmarkStart w:id="4950" w:name="_Toc130934529"/>
      <w:bookmarkStart w:id="4951" w:name="_Toc130983669"/>
      <w:bookmarkStart w:id="4952" w:name="_Toc130984018"/>
      <w:bookmarkStart w:id="4953" w:name="_Toc131062280"/>
      <w:bookmarkStart w:id="4954" w:name="_Toc131062534"/>
      <w:bookmarkStart w:id="4955" w:name="_Toc131062795"/>
      <w:bookmarkStart w:id="4956" w:name="_Toc131063048"/>
      <w:bookmarkStart w:id="4957" w:name="_Toc131063831"/>
      <w:bookmarkStart w:id="4958" w:name="_Toc131064242"/>
      <w:bookmarkStart w:id="4959" w:name="_Toc131279614"/>
      <w:bookmarkStart w:id="4960" w:name="_Toc131287026"/>
      <w:bookmarkStart w:id="4961" w:name="_Toc131281436"/>
      <w:bookmarkStart w:id="4962" w:name="_Toc131317976"/>
      <w:bookmarkStart w:id="4963" w:name="_Toc132537076"/>
      <w:r>
        <w:t>ALIS</w:t>
      </w:r>
      <w:r w:rsidR="30D9128A">
        <w:t xml:space="preserve"> </w:t>
      </w:r>
      <w:r w:rsidR="141D0B6D">
        <w:t>–</w:t>
      </w:r>
      <w:r w:rsidR="439CE0BB">
        <w:t xml:space="preserve"> siste del i spesialiseringsløpet i allmennmedisin</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58033F27" w14:textId="77777777" w:rsidR="00D9107F" w:rsidRDefault="07609F93" w:rsidP="004F1500">
      <w:pPr>
        <w:rPr>
          <w:rFonts w:eastAsia="Calibri"/>
        </w:rPr>
      </w:pPr>
      <w:r w:rsidRPr="000D5231">
        <w:rPr>
          <w:rFonts w:eastAsia="Calibri"/>
        </w:rPr>
        <w:t xml:space="preserve">Andelen fastleger med spesialisering </w:t>
      </w:r>
      <w:r>
        <w:rPr>
          <w:rFonts w:eastAsia="Calibri"/>
        </w:rPr>
        <w:t>i allmennmedisin</w:t>
      </w:r>
      <w:r w:rsidR="002472E5">
        <w:rPr>
          <w:rFonts w:eastAsia="Calibri"/>
        </w:rPr>
        <w:t xml:space="preserve"> </w:t>
      </w:r>
      <w:r w:rsidR="002472E5" w:rsidRPr="000D5231">
        <w:rPr>
          <w:rFonts w:eastAsia="Calibri"/>
        </w:rPr>
        <w:t>har økt jevnt over tid.</w:t>
      </w:r>
      <w:r w:rsidRPr="000D5231">
        <w:rPr>
          <w:rFonts w:eastAsia="Calibri"/>
        </w:rPr>
        <w:t xml:space="preserve"> I 2015</w:t>
      </w:r>
      <w:r>
        <w:rPr>
          <w:rFonts w:eastAsia="Calibri"/>
        </w:rPr>
        <w:t>,</w:t>
      </w:r>
      <w:r w:rsidRPr="000D5231">
        <w:rPr>
          <w:rFonts w:eastAsia="Calibri"/>
        </w:rPr>
        <w:t xml:space="preserve"> </w:t>
      </w:r>
      <w:r>
        <w:rPr>
          <w:rFonts w:eastAsia="Calibri"/>
        </w:rPr>
        <w:t xml:space="preserve">da spesialisering i allmennmedisin fortsatt var frivillig, </w:t>
      </w:r>
      <w:r w:rsidRPr="000D5231">
        <w:rPr>
          <w:rFonts w:eastAsia="Calibri"/>
        </w:rPr>
        <w:t>hadde 57,8 prosent av landets fastleger spesialisering</w:t>
      </w:r>
      <w:r>
        <w:rPr>
          <w:rFonts w:eastAsia="Calibri"/>
        </w:rPr>
        <w:t xml:space="preserve"> i allmennmedisin</w:t>
      </w:r>
      <w:r w:rsidRPr="000D5231">
        <w:rPr>
          <w:rFonts w:eastAsia="Calibri"/>
        </w:rPr>
        <w:t>. Fra 2015 til 2021 har andelen økt i samtlige fylker</w:t>
      </w:r>
      <w:r w:rsidR="77581AF1">
        <w:rPr>
          <w:rFonts w:eastAsia="Calibri"/>
        </w:rPr>
        <w:t>. V</w:t>
      </w:r>
      <w:r>
        <w:rPr>
          <w:rFonts w:eastAsia="Calibri"/>
        </w:rPr>
        <w:t xml:space="preserve">ed </w:t>
      </w:r>
      <w:r w:rsidRPr="000D5231">
        <w:rPr>
          <w:rFonts w:eastAsia="Calibri"/>
        </w:rPr>
        <w:t>utgangen av 2021 hadde 63,9 prosent av landets fastleger spesialisering i allmennmedisin</w:t>
      </w:r>
      <w:r w:rsidR="5522DED8" w:rsidRPr="496F272A">
        <w:rPr>
          <w:rFonts w:eastAsia="Calibri"/>
        </w:rPr>
        <w:t xml:space="preserve"> </w:t>
      </w:r>
      <w:r w:rsidR="00B87F6D">
        <w:rPr>
          <w:rFonts w:eastAsia="Calibri"/>
        </w:rPr>
        <w:fldChar w:fldCharType="begin"/>
      </w:r>
      <w:r w:rsidR="00235862">
        <w:rPr>
          <w:rFonts w:eastAsia="Calibri"/>
        </w:rPr>
        <w:instrText xml:space="preserve"> ADDIN EN.CITE &lt;EndNote&gt;&lt;Cite&gt;&lt;Author&gt;Helsedirektoratet&lt;/Author&gt;&lt;Year&gt;2021&lt;/Year&gt;&lt;RecNum&gt;38&lt;/RecNum&gt;&lt;DisplayText&gt;(Helsedirektoratet, 2021a)&lt;/DisplayText&gt;&lt;record&gt;&lt;rec-number&gt;38&lt;/rec-number&gt;&lt;foreign-keys&gt;&lt;key app="EN" db-id="95tpr2tp6r9xwoea9rb5wdsz5ds5xeddteew" timestamp="1680069511"&gt;38&lt;/key&gt;&lt;/foreign-keys&gt;&lt;ref-type name="Web Page"&gt;12&lt;/ref-type&gt;&lt;contributors&gt;&lt;authors&gt;&lt;author&gt;Helsedirektoratet&lt;/author&gt;&lt;/authors&gt;&lt;/contributors&gt;&lt;titles&gt;&lt;title&gt;Andel fastleger med spesialitet i allmennmedisin&lt;/title&gt;&lt;/titles&gt;&lt;number&gt;03.01.2023&lt;/number&gt;&lt;dates&gt;&lt;year&gt;2021&lt;/year&gt;&lt;pub-dates&gt;&lt;date&gt;23.03.2022&lt;/date&gt;&lt;/pub-dates&gt;&lt;/dates&gt;&lt;pub-location&gt;Oslo&lt;/pub-location&gt;&lt;publisher&gt;Helsedirektoratet&lt;/publisher&gt;&lt;work-type&gt;nettdokument&lt;/work-type&gt;&lt;urls&gt;&lt;/urls&gt;&lt;/record&gt;&lt;/Cite&gt;&lt;/EndNote&gt;</w:instrText>
      </w:r>
      <w:r w:rsidR="00B87F6D">
        <w:rPr>
          <w:rFonts w:eastAsia="Calibri"/>
        </w:rPr>
        <w:fldChar w:fldCharType="separate"/>
      </w:r>
      <w:r w:rsidR="00B87F6D">
        <w:rPr>
          <w:rFonts w:eastAsia="Calibri"/>
          <w:noProof/>
        </w:rPr>
        <w:t>(Helsedirektoratet, 2021a)</w:t>
      </w:r>
      <w:r w:rsidR="00B87F6D">
        <w:rPr>
          <w:rFonts w:eastAsia="Calibri"/>
        </w:rPr>
        <w:fldChar w:fldCharType="end"/>
      </w:r>
      <w:r w:rsidR="77581AF1">
        <w:rPr>
          <w:rFonts w:eastAsia="Calibri"/>
        </w:rPr>
        <w:t xml:space="preserve">, og denne </w:t>
      </w:r>
      <w:r w:rsidR="5E2EE0F9">
        <w:rPr>
          <w:rFonts w:eastAsia="Calibri"/>
        </w:rPr>
        <w:t xml:space="preserve">er redusert til </w:t>
      </w:r>
      <w:r w:rsidR="2E061136">
        <w:rPr>
          <w:rFonts w:eastAsia="Calibri"/>
        </w:rPr>
        <w:t>62,7 prosent</w:t>
      </w:r>
      <w:r w:rsidR="75307E19">
        <w:rPr>
          <w:rFonts w:eastAsia="Calibri"/>
        </w:rPr>
        <w:t xml:space="preserve"> ved</w:t>
      </w:r>
      <w:r w:rsidR="1B909639" w:rsidRPr="007C55E5">
        <w:rPr>
          <w:rFonts w:eastAsia="Calibri"/>
        </w:rPr>
        <w:t xml:space="preserve"> utgangen av 2022</w:t>
      </w:r>
      <w:r w:rsidR="3997204E">
        <w:rPr>
          <w:rFonts w:eastAsia="Calibri"/>
        </w:rPr>
        <w:t>.</w:t>
      </w:r>
    </w:p>
    <w:p w14:paraId="39C8EE96" w14:textId="77777777" w:rsidR="00D9107F" w:rsidRDefault="00AA73CD" w:rsidP="004F1500">
      <w:r w:rsidRPr="3587ECB4">
        <w:rPr>
          <w:rFonts w:eastAsia="Calibri"/>
        </w:rPr>
        <w:t xml:space="preserve">Gjennom spesialistutdanningen </w:t>
      </w:r>
      <w:r>
        <w:rPr>
          <w:rFonts w:eastAsia="Calibri"/>
        </w:rPr>
        <w:t>er intensjonen at legen skal</w:t>
      </w:r>
      <w:r w:rsidRPr="3587ECB4">
        <w:rPr>
          <w:rFonts w:eastAsia="Calibri"/>
        </w:rPr>
        <w:t xml:space="preserve"> tilegne seg en dypere forståelse for, og kunnskap om, det allmenne sykdomsbildet</w:t>
      </w:r>
      <w:r>
        <w:rPr>
          <w:rFonts w:eastAsia="Calibri"/>
        </w:rPr>
        <w:t xml:space="preserve"> i befolkningen, og hvor e</w:t>
      </w:r>
      <w:r w:rsidRPr="3587ECB4">
        <w:rPr>
          <w:rFonts w:eastAsia="Calibri"/>
        </w:rPr>
        <w:t>rfaring med utredning, behandling og oppfølging av allmennmedisinske problemstillinger hos pasienter i alle aldre og over tid står sentralt</w:t>
      </w:r>
      <w:r>
        <w:rPr>
          <w:rFonts w:eastAsia="Calibri"/>
        </w:rPr>
        <w:t xml:space="preserve">. </w:t>
      </w:r>
      <w:r>
        <w:t>Samlet sett må tjenestetiden</w:t>
      </w:r>
      <w:r w:rsidDel="000C573F">
        <w:t xml:space="preserve"> </w:t>
      </w:r>
      <w:r>
        <w:t xml:space="preserve">i </w:t>
      </w:r>
      <w:r w:rsidR="000B43AE">
        <w:t>spesialistutdanningen</w:t>
      </w:r>
      <w:r w:rsidR="001265B6">
        <w:t xml:space="preserve"> etter gjennomført </w:t>
      </w:r>
      <w:r w:rsidR="00F2085B">
        <w:t xml:space="preserve">første del </w:t>
      </w:r>
      <w:r>
        <w:t>ha en varighet på minst fem år, og sammen med utdanningens første del utgjøre minst seks og et halvt år.</w:t>
      </w:r>
    </w:p>
    <w:p w14:paraId="0E7C7E51" w14:textId="0F9A9EC0" w:rsidR="00AA73CD" w:rsidRDefault="74AECDA1" w:rsidP="004F1500">
      <w:pPr>
        <w:rPr>
          <w:rFonts w:eastAsia="Calibri"/>
        </w:rPr>
      </w:pPr>
      <w:r>
        <w:rPr>
          <w:rFonts w:eastAsia="Calibri"/>
        </w:rPr>
        <w:lastRenderedPageBreak/>
        <w:t>88 f</w:t>
      </w:r>
      <w:r w:rsidR="07609F93">
        <w:rPr>
          <w:rFonts w:eastAsia="Calibri"/>
        </w:rPr>
        <w:t>orskiftfestede</w:t>
      </w:r>
      <w:r w:rsidR="07609F93" w:rsidRPr="0BA3D27B">
        <w:rPr>
          <w:rFonts w:eastAsia="Calibri"/>
        </w:rPr>
        <w:t xml:space="preserve"> </w:t>
      </w:r>
      <w:r w:rsidR="2247454B">
        <w:rPr>
          <w:rFonts w:eastAsia="Calibri"/>
        </w:rPr>
        <w:t xml:space="preserve">kliniske </w:t>
      </w:r>
      <w:r w:rsidR="07609F93" w:rsidRPr="0BA3D27B">
        <w:rPr>
          <w:rFonts w:eastAsia="Calibri"/>
        </w:rPr>
        <w:t xml:space="preserve">læringsmål definerer minstekompetansen innenfor </w:t>
      </w:r>
      <w:r w:rsidR="07609F93">
        <w:rPr>
          <w:rFonts w:eastAsia="Calibri"/>
        </w:rPr>
        <w:t>den allmennmedisinske spesialiteten</w:t>
      </w:r>
      <w:r w:rsidR="3C54A6D4">
        <w:rPr>
          <w:rFonts w:eastAsia="Calibri"/>
        </w:rPr>
        <w:t xml:space="preserve">. </w:t>
      </w:r>
      <w:r w:rsidR="02AAD6DB">
        <w:rPr>
          <w:rFonts w:eastAsia="Calibri"/>
        </w:rPr>
        <w:t xml:space="preserve">Læringsmålene er </w:t>
      </w:r>
      <w:r w:rsidR="44BC1F4E">
        <w:t xml:space="preserve">fordelt på ulike tema, og hvor ALIS </w:t>
      </w:r>
      <w:r w:rsidR="7F74AEC5">
        <w:t xml:space="preserve">blant annet </w:t>
      </w:r>
      <w:r w:rsidR="44BC1F4E">
        <w:t>må beherske 58 praktiske prosedyrer som brukes i allmennpraksis</w:t>
      </w:r>
      <w:r w:rsidR="4824513B" w:rsidRPr="270A4851">
        <w:rPr>
          <w:rFonts w:eastAsia="Calibri"/>
        </w:rPr>
        <w:t xml:space="preserve"> </w:t>
      </w:r>
      <w:r w:rsidR="001F5F05">
        <w:rPr>
          <w:rFonts w:eastAsia="Calibri"/>
        </w:rPr>
        <w:fldChar w:fldCharType="begin"/>
      </w:r>
      <w:r w:rsidR="00694E6D">
        <w:rPr>
          <w:rFonts w:eastAsia="Calibri"/>
        </w:rPr>
        <w:instrText xml:space="preserve"> ADDIN EN.CITE &lt;EndNote&gt;&lt;Cite&gt;&lt;Author&gt;Helsedirektoratet&lt;/Author&gt;&lt;Year&gt;2020&lt;/Year&gt;&lt;RecNum&gt;421&lt;/RecNum&gt;&lt;DisplayText&gt;(Helsedirektoratet, 2020b)&lt;/DisplayText&gt;&lt;record&gt;&lt;rec-number&gt;421&lt;/rec-number&gt;&lt;foreign-keys&gt;&lt;key app="EN" db-id="95tpr2tp6r9xwoea9rb5wdsz5ds5xeddteew" timestamp="1680069511"&gt;421&lt;/key&gt;&lt;/foreign-keys&gt;&lt;ref-type name="Web Page"&gt;12&lt;/ref-type&gt;&lt;contributors&gt;&lt;authors&gt;&lt;author&gt;Helsedirektoratet&lt;/author&gt;&lt;/authors&gt;&lt;/contributors&gt;&lt;titles&gt;&lt;title&gt;Kliniske læremål&lt;/title&gt;&lt;/titles&gt;&lt;number&gt;08.02.2023&lt;/number&gt;&lt;dates&gt;&lt;year&gt;2020&lt;/year&gt;&lt;pub-dates&gt;&lt;date&gt;22.06.2022&lt;/date&gt;&lt;/pub-dates&gt;&lt;/dates&gt;&lt;pub-location&gt;Oslo&lt;/pub-location&gt;&lt;publisher&gt;Helsedirektoratet&lt;/publisher&gt;&lt;work-type&gt;nettdokument&lt;/work-type&gt;&lt;urls&gt;&lt;/urls&gt;&lt;/record&gt;&lt;/Cite&gt;&lt;/EndNote&gt;</w:instrText>
      </w:r>
      <w:r w:rsidR="001F5F05">
        <w:rPr>
          <w:rFonts w:eastAsia="Calibri"/>
        </w:rPr>
        <w:fldChar w:fldCharType="separate"/>
      </w:r>
      <w:r w:rsidR="001F5F05">
        <w:rPr>
          <w:rFonts w:eastAsia="Calibri"/>
          <w:noProof/>
        </w:rPr>
        <w:t>(Helsedirektoratet, 2020b)</w:t>
      </w:r>
      <w:r w:rsidR="001F5F05">
        <w:rPr>
          <w:rFonts w:eastAsia="Calibri"/>
        </w:rPr>
        <w:fldChar w:fldCharType="end"/>
      </w:r>
      <w:r w:rsidR="004110F6">
        <w:rPr>
          <w:rFonts w:eastAsia="Calibri"/>
        </w:rPr>
        <w:t>.</w:t>
      </w:r>
      <w:r w:rsidR="214809C5">
        <w:rPr>
          <w:rFonts w:eastAsia="Calibri"/>
        </w:rPr>
        <w:t xml:space="preserve"> I </w:t>
      </w:r>
      <w:r w:rsidR="07609F93" w:rsidRPr="0BA3D27B">
        <w:rPr>
          <w:rFonts w:eastAsia="Calibri"/>
        </w:rPr>
        <w:t xml:space="preserve">tillegg til </w:t>
      </w:r>
      <w:r w:rsidR="214809C5">
        <w:rPr>
          <w:rFonts w:eastAsia="Calibri"/>
        </w:rPr>
        <w:t xml:space="preserve">dette </w:t>
      </w:r>
      <w:r w:rsidR="3583C637">
        <w:rPr>
          <w:rFonts w:eastAsia="Calibri"/>
        </w:rPr>
        <w:t xml:space="preserve">kommer 24 </w:t>
      </w:r>
      <w:r w:rsidR="07609F93" w:rsidRPr="0BA3D27B">
        <w:rPr>
          <w:rFonts w:eastAsia="Calibri"/>
        </w:rPr>
        <w:t>felles kompetansemål</w:t>
      </w:r>
      <w:r w:rsidR="00AB319C">
        <w:rPr>
          <w:rFonts w:eastAsia="Calibri"/>
        </w:rPr>
        <w:t>,</w:t>
      </w:r>
      <w:r w:rsidR="07609F93" w:rsidRPr="0BA3D27B">
        <w:rPr>
          <w:rFonts w:eastAsia="Calibri"/>
        </w:rPr>
        <w:t xml:space="preserve"> som går på tvers av alle spesialitetene</w:t>
      </w:r>
      <w:r w:rsidR="41DAAAC4" w:rsidRPr="270A4851">
        <w:rPr>
          <w:rFonts w:eastAsia="Calibri"/>
        </w:rPr>
        <w:t xml:space="preserve"> </w:t>
      </w:r>
      <w:r w:rsidR="001F5F05">
        <w:rPr>
          <w:rFonts w:eastAsia="Calibri"/>
        </w:rPr>
        <w:fldChar w:fldCharType="begin"/>
      </w:r>
      <w:r w:rsidR="00235862">
        <w:rPr>
          <w:rFonts w:eastAsia="Calibri"/>
        </w:rPr>
        <w:instrText xml:space="preserve"> ADDIN EN.CITE &lt;EndNote&gt;&lt;Cite&gt;&lt;Author&gt;Helsedirektoratet&lt;/Author&gt;&lt;Year&gt;2020&lt;/Year&gt;&lt;RecNum&gt;248&lt;/RecNum&gt;&lt;DisplayText&gt;(Helsedirektoratet, 2020a)&lt;/DisplayText&gt;&lt;record&gt;&lt;rec-number&gt;248&lt;/rec-number&gt;&lt;foreign-keys&gt;&lt;key app="EN" db-id="95tpr2tp6r9xwoea9rb5wdsz5ds5xeddteew" timestamp="1680069511"&gt;248&lt;/key&gt;&lt;/foreign-keys&gt;&lt;ref-type name="Web Page"&gt;12&lt;/ref-type&gt;&lt;contributors&gt;&lt;authors&gt;&lt;author&gt;Helsedirektoratet&lt;/author&gt;&lt;/authors&gt;&lt;/contributors&gt;&lt;titles&gt;&lt;title&gt;Felles kompetansemål&lt;/title&gt;&lt;/titles&gt;&lt;number&gt;08.02.2023&lt;/number&gt;&lt;dates&gt;&lt;year&gt;2020&lt;/year&gt;&lt;pub-dates&gt;&lt;date&gt;22.06.2022&lt;/date&gt;&lt;/pub-dates&gt;&lt;/dates&gt;&lt;pub-location&gt;Oslo&lt;/pub-location&gt;&lt;publisher&gt;Helsedirektoratet&lt;/publisher&gt;&lt;work-type&gt;nettdokument&lt;/work-type&gt;&lt;urls&gt;&lt;/urls&gt;&lt;/record&gt;&lt;/Cite&gt;&lt;/EndNote&gt;</w:instrText>
      </w:r>
      <w:r w:rsidR="001F5F05">
        <w:rPr>
          <w:rFonts w:eastAsia="Calibri"/>
        </w:rPr>
        <w:fldChar w:fldCharType="separate"/>
      </w:r>
      <w:r w:rsidR="001F5F05">
        <w:rPr>
          <w:rFonts w:eastAsia="Calibri"/>
          <w:noProof/>
        </w:rPr>
        <w:t>(Helsedirektoratet, 2020a)</w:t>
      </w:r>
      <w:r w:rsidR="001F5F05">
        <w:rPr>
          <w:rFonts w:eastAsia="Calibri"/>
        </w:rPr>
        <w:fldChar w:fldCharType="end"/>
      </w:r>
      <w:r w:rsidR="004110F6">
        <w:rPr>
          <w:rFonts w:eastAsia="Calibri"/>
        </w:rPr>
        <w:t>.</w:t>
      </w:r>
      <w:r w:rsidR="0FE6E3F4">
        <w:rPr>
          <w:rFonts w:eastAsia="Calibri"/>
        </w:rPr>
        <w:t xml:space="preserve"> </w:t>
      </w:r>
      <w:r w:rsidR="08B6F685">
        <w:rPr>
          <w:rFonts w:eastAsia="Calibri"/>
        </w:rPr>
        <w:t>V</w:t>
      </w:r>
      <w:r w:rsidR="07609F93" w:rsidRPr="00095843">
        <w:rPr>
          <w:rFonts w:eastAsia="Calibri"/>
        </w:rPr>
        <w:t>eiledningen innebærer planlagte og regelmessige samtaler mellom lege i spesialisering og veileder.</w:t>
      </w:r>
      <w:r w:rsidR="07609F93">
        <w:rPr>
          <w:rFonts w:eastAsia="Calibri"/>
        </w:rPr>
        <w:t xml:space="preserve"> V</w:t>
      </w:r>
      <w:r w:rsidR="07609F93" w:rsidRPr="00565A83">
        <w:rPr>
          <w:rFonts w:eastAsia="Calibri"/>
        </w:rPr>
        <w:t xml:space="preserve">eileder skal være spesialist i </w:t>
      </w:r>
      <w:r w:rsidR="07609F93">
        <w:rPr>
          <w:rFonts w:eastAsia="Calibri"/>
        </w:rPr>
        <w:t>allmennmedisin.</w:t>
      </w:r>
      <w:r w:rsidR="00AB319C">
        <w:rPr>
          <w:rFonts w:eastAsia="Calibri"/>
        </w:rPr>
        <w:t xml:space="preserve"> </w:t>
      </w:r>
      <w:r w:rsidR="002472E5">
        <w:rPr>
          <w:rFonts w:eastAsia="Calibri"/>
        </w:rPr>
        <w:t>D</w:t>
      </w:r>
      <w:r w:rsidR="002472E5" w:rsidRPr="00565A83">
        <w:rPr>
          <w:rFonts w:eastAsia="Calibri"/>
        </w:rPr>
        <w:t xml:space="preserve">et </w:t>
      </w:r>
      <w:r w:rsidR="002472E5">
        <w:rPr>
          <w:rFonts w:eastAsia="Calibri"/>
        </w:rPr>
        <w:t xml:space="preserve">kan </w:t>
      </w:r>
      <w:r w:rsidR="002472E5" w:rsidRPr="00565A83">
        <w:rPr>
          <w:rFonts w:eastAsia="Calibri"/>
        </w:rPr>
        <w:t>i særskilte tilfeller søkes Helsedirektoratet om unntak fra denne regelen</w:t>
      </w:r>
      <w:r w:rsidR="002472E5" w:rsidRPr="00D9107F">
        <w:rPr>
          <w:rStyle w:val="Fotnotereferanse"/>
          <w:rFonts w:eastAsia="Calibri"/>
        </w:rPr>
        <w:footnoteReference w:id="51"/>
      </w:r>
      <w:r w:rsidR="002472E5">
        <w:rPr>
          <w:rFonts w:eastAsia="Calibri"/>
        </w:rPr>
        <w:t>. V</w:t>
      </w:r>
      <w:r w:rsidR="002472E5" w:rsidRPr="007515A5">
        <w:rPr>
          <w:rFonts w:eastAsia="Calibri"/>
        </w:rPr>
        <w:t xml:space="preserve">eiledningen </w:t>
      </w:r>
      <w:r w:rsidR="002472E5">
        <w:rPr>
          <w:rFonts w:eastAsia="Calibri"/>
        </w:rPr>
        <w:t xml:space="preserve">skal </w:t>
      </w:r>
      <w:r w:rsidR="002472E5" w:rsidRPr="007515A5">
        <w:rPr>
          <w:rFonts w:eastAsia="Calibri"/>
        </w:rPr>
        <w:t xml:space="preserve">i gjennomsnitt være på minst fire timer per måned i 10,5 av årets måneder, og tilbys så lenge </w:t>
      </w:r>
      <w:r w:rsidR="002472E5">
        <w:rPr>
          <w:rFonts w:eastAsia="Calibri"/>
        </w:rPr>
        <w:t>spesialist</w:t>
      </w:r>
      <w:r w:rsidR="002472E5" w:rsidRPr="007515A5">
        <w:rPr>
          <w:rFonts w:eastAsia="Calibri"/>
        </w:rPr>
        <w:t>utdanningen pågår.</w:t>
      </w:r>
      <w:r w:rsidR="002472E5">
        <w:rPr>
          <w:rFonts w:eastAsia="Calibri"/>
        </w:rPr>
        <w:t xml:space="preserve"> I tillegg til individuell veiledning kommer deltakelse i gruppeveiledning over en periode på to</w:t>
      </w:r>
      <w:r w:rsidR="41793ACD">
        <w:rPr>
          <w:rFonts w:eastAsia="Calibri"/>
        </w:rPr>
        <w:t xml:space="preserve"> år</w:t>
      </w:r>
      <w:r w:rsidR="5D81AD2B">
        <w:rPr>
          <w:rFonts w:eastAsia="Calibri"/>
        </w:rPr>
        <w:t>.</w:t>
      </w:r>
    </w:p>
    <w:p w14:paraId="7E026EFF" w14:textId="77777777" w:rsidR="00D9107F" w:rsidRDefault="07609F93" w:rsidP="00CF32F3">
      <w:pPr>
        <w:jc w:val="both"/>
      </w:pPr>
      <w:r>
        <w:t>Spesialistforskriftens krav til minimum to år i åpen uselektert allmennpraksis skal sikre at alle spesialister i allmennmedisin har tilstrekkelig kompetanse til å ivareta og håndtere et bredt utvalg av helseproblemer.</w:t>
      </w:r>
      <w:r w:rsidRPr="003E51EA">
        <w:t xml:space="preserve"> I rundskriv til </w:t>
      </w:r>
      <w:r w:rsidRPr="00263BBF">
        <w:t>spesialistforskriften</w:t>
      </w:r>
      <w:r w:rsidR="093D598D">
        <w:t xml:space="preserve"> </w:t>
      </w:r>
      <w:r w:rsidR="00B87F6D">
        <w:fldChar w:fldCharType="begin"/>
      </w:r>
      <w:r w:rsidR="00D078E3">
        <w:instrText xml:space="preserve"> ADDIN EN.CITE &lt;EndNote&gt;&lt;Cite ExcludeAuth="1"&gt;&lt;Year&gt;2019&lt;/Year&gt;&lt;RecNum&gt;727&lt;/RecNum&gt;&lt;DisplayText&gt;(&lt;style face="italic"&gt;Rundskriv I-2/2019: Spesialistforskriften med kommentarer: Spesialistutdanning og spesialistgodkjenning for leger&lt;/style&gt;, 2019)&lt;/DisplayText&gt;&lt;record&gt;&lt;rec-number&gt;727&lt;/rec-number&gt;&lt;foreign-keys&gt;&lt;key app="EN" db-id="95tpr2tp6r9xwoea9rb5wdsz5ds5xeddteew" timestamp="1680069511"&gt;727&lt;/key&gt;&lt;/foreign-keys&gt;&lt;ref-type name="Report"&gt;27&lt;/ref-type&gt;&lt;contributors&gt;&lt;/contributors&gt;&lt;titles&gt;&lt;title&gt;Rundskriv I-2/2019: Spesialistforskriften med kommentarer: Spesialistutdanning og spesialistgodkjenning for leger&lt;/title&gt;&lt;/titles&gt;&lt;number&gt;19/1032&lt;/number&gt;&lt;dates&gt;&lt;year&gt;2019&lt;/year&gt;&lt;pub-dates&gt;&lt;date&gt;30.09.2022&lt;/date&gt;&lt;/pub-dates&gt;&lt;/dates&gt;&lt;pub-location&gt;Oslo&lt;/pub-location&gt;&lt;publisher&gt;Helse- og omsorgsdepartement&lt;/publisher&gt;&lt;urls&gt;&lt;related-urls&gt;&lt;url&gt;https://www.regjeringen.no/contentassets/296adc05dbee4ae1a1e015cbea31701e/rundskriv-i-2-2019-spesialistforskriften-med-kommentarer-revidert-30.-september-2022.pdf&lt;/url&gt;&lt;/related-urls&gt;&lt;/urls&gt;&lt;/record&gt;&lt;/Cite&gt;&lt;/EndNote&gt;</w:instrText>
      </w:r>
      <w:r w:rsidR="00B87F6D">
        <w:fldChar w:fldCharType="separate"/>
      </w:r>
      <w:r w:rsidR="00B87F6D">
        <w:rPr>
          <w:noProof/>
        </w:rPr>
        <w:t>(</w:t>
      </w:r>
      <w:r w:rsidR="00B87F6D" w:rsidRPr="00D9107F">
        <w:rPr>
          <w:rStyle w:val="kursiv"/>
        </w:rPr>
        <w:t>Rundskriv I-2/2019: Spesialistforskriften med kommentarer: Spesialistutdanning og spesialistgodkjenning for leger</w:t>
      </w:r>
      <w:r w:rsidR="00B87F6D">
        <w:rPr>
          <w:noProof/>
        </w:rPr>
        <w:t>, 2019)</w:t>
      </w:r>
      <w:r w:rsidR="00B87F6D">
        <w:fldChar w:fldCharType="end"/>
      </w:r>
      <w:r w:rsidRPr="00263BBF">
        <w:t xml:space="preserve"> defineres åpen uselektert allmennpraksis som en praksis som er åpen for alle pasienter</w:t>
      </w:r>
      <w:r w:rsidRPr="001474F9">
        <w:t>, uten noen forutgående siling eller utvelgelse av pasienter</w:t>
      </w:r>
      <w:r w:rsidR="58B51480">
        <w:t>,</w:t>
      </w:r>
      <w:r w:rsidRPr="001474F9">
        <w:t xml:space="preserve"> sykdommer eller lidelser. </w:t>
      </w:r>
      <w:r w:rsidR="5D81AD2B">
        <w:t>I praksis innebærer dette at man må jobbe som fastlege</w:t>
      </w:r>
      <w:r w:rsidR="560B4779">
        <w:t xml:space="preserve"> eller fastlegevikar</w:t>
      </w:r>
      <w:r w:rsidR="5D81AD2B">
        <w:t xml:space="preserve">. </w:t>
      </w:r>
      <w:r w:rsidRPr="001474F9">
        <w:t xml:space="preserve">Spesialistutdanningen skal som hovedregel gjennomføres på heltid, men kan gjennomføres i redusert stilling dersom legen kan gjennomføre de læringsaktivitetene som er nødvendige for å oppnå læringsmålene. </w:t>
      </w:r>
      <w:r w:rsidR="427E414E">
        <w:t xml:space="preserve">Ved deltid skal samlet utdanningstid forlenges tilsvarende. </w:t>
      </w:r>
      <w:r w:rsidRPr="001474F9">
        <w:t>For tjeneste i åpen uselektert allmennpraksis er det forskriftsfestet en nedre grense på 50 prosent av normalarbeidstid</w:t>
      </w:r>
      <w:r>
        <w:t>.</w:t>
      </w:r>
    </w:p>
    <w:p w14:paraId="62351982" w14:textId="77777777" w:rsidR="00D9107F" w:rsidRDefault="19C9BF94" w:rsidP="00CF32F3">
      <w:pPr>
        <w:jc w:val="both"/>
      </w:pPr>
      <w:r>
        <w:t xml:space="preserve">I ny ordning for spesialistutdanning må legen oppfylle læringsmål </w:t>
      </w:r>
      <w:r w:rsidR="3A734E46">
        <w:t>i</w:t>
      </w:r>
      <w:r>
        <w:t xml:space="preserve"> samhandlingskompetanse (ALM-55) og selekterte pasientpopulasjoner </w:t>
      </w:r>
      <w:r w:rsidR="48F011E7">
        <w:t>–</w:t>
      </w:r>
      <w:r>
        <w:t xml:space="preserve"> dybdekompetanse (ALM-085). For å oppfylle læringsmålene skal legen ha en godt utviklet samhandlingskompetanse ved å kjenne rammebetingelser, arbeidsmåter og prosedyrer fra en eller flere godkjente utdanningsinstitusjoner innen primær- eller spesialisthelsetjenesten. Legen må også tilegne seg dybdekompetanse i utredning, behandling og oppfølging av en eller flere selekterte pasientpopulasjoner. </w:t>
      </w:r>
      <w:r w:rsidR="00371A26" w:rsidRPr="00371A26">
        <w:t>Det er ikke fastsatt en bestemt tjenestetid i spesialisthelsetjenesten ved spesialisering i allmennmedisin.</w:t>
      </w:r>
    </w:p>
    <w:p w14:paraId="4B260125" w14:textId="6A1D37D8" w:rsidR="00AA73CD" w:rsidRDefault="07609F93" w:rsidP="004D22DA">
      <w:r>
        <w:t xml:space="preserve">For å oppnå kompetanse i samhandling og selektert pasientpopulasjon anbefales minimum 6 måneder (eller 3 pluss 3) i godkjent utdanningsvirksomhet innen kliniske spesialiteter, og/eller i </w:t>
      </w:r>
      <w:r>
        <w:lastRenderedPageBreak/>
        <w:t>spesialiserte kommunale helseinstitusjoner</w:t>
      </w:r>
      <w:r w:rsidR="00AA73CD" w:rsidRPr="00D9107F">
        <w:rPr>
          <w:rStyle w:val="Fotnotereferanse"/>
        </w:rPr>
        <w:footnoteReference w:id="52"/>
      </w:r>
      <w:r>
        <w:t xml:space="preserve">. </w:t>
      </w:r>
      <w:r w:rsidR="36CBAADC">
        <w:t xml:space="preserve">Selv om det ikke er </w:t>
      </w:r>
      <w:r w:rsidR="0794D2D9">
        <w:t>spesifikke</w:t>
      </w:r>
      <w:r>
        <w:t xml:space="preserve"> krav i forskriften utover læringsmålene, om at ALIS skal ha tjeneste ved sykehus, </w:t>
      </w:r>
      <w:r w:rsidR="62514376">
        <w:t xml:space="preserve">legger </w:t>
      </w:r>
      <w:r w:rsidR="4935035E">
        <w:t xml:space="preserve">teksten </w:t>
      </w:r>
      <w:r w:rsidR="00841B99">
        <w:t xml:space="preserve">i </w:t>
      </w:r>
      <w:r w:rsidR="002472E5">
        <w:t xml:space="preserve">spesialistforskriften </w:t>
      </w:r>
      <w:r w:rsidR="00D9107F">
        <w:t>§ 4</w:t>
      </w:r>
      <w:r w:rsidR="002472E5">
        <w:t xml:space="preserve">, </w:t>
      </w:r>
      <w:r w:rsidR="00D9107F">
        <w:t>§ 5</w:t>
      </w:r>
      <w:r w:rsidR="002472E5">
        <w:t xml:space="preserve"> og </w:t>
      </w:r>
      <w:r w:rsidR="00D9107F">
        <w:t>§ 2</w:t>
      </w:r>
      <w:r w:rsidR="002472E5">
        <w:t xml:space="preserve">3 opp til at dette i praksis håndteres som et krav. </w:t>
      </w:r>
      <w:r w:rsidR="36B65195">
        <w:t>D</w:t>
      </w:r>
      <w:r>
        <w:t>et er flere steder beskrevet at kommunen må inngå avtale med helseforetak om denne tjenesten</w:t>
      </w:r>
      <w:r w:rsidR="00AB319C">
        <w:t>,</w:t>
      </w:r>
      <w:r>
        <w:t xml:space="preserve"> og at de regionale helseforetakene også skal legge til rette for at leger i spesialisering i allmennmedisin kan få nødvendig praktisk tjeneste i spesialisthelsetjenesten</w:t>
      </w:r>
      <w:r w:rsidR="2A0D3E7C">
        <w:t xml:space="preserve"> </w:t>
      </w:r>
      <w:r w:rsidR="00B87F6D">
        <w:fldChar w:fldCharType="begin"/>
      </w:r>
      <w:r w:rsidR="00D078E3">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B87F6D">
        <w:fldChar w:fldCharType="separate"/>
      </w:r>
      <w:r w:rsidR="00B87F6D">
        <w:rPr>
          <w:noProof/>
        </w:rPr>
        <w:t>(</w:t>
      </w:r>
      <w:r w:rsidR="00B87F6D" w:rsidRPr="00D9107F">
        <w:rPr>
          <w:rStyle w:val="kursiv"/>
        </w:rPr>
        <w:t>Forskrift om spesialistutdanning og spesialistgodkjenning for leger og tannleger (spesialistforskriften)</w:t>
      </w:r>
      <w:r w:rsidR="00B87F6D">
        <w:rPr>
          <w:noProof/>
        </w:rPr>
        <w:t>, 2019)</w:t>
      </w:r>
      <w:r w:rsidR="00B87F6D">
        <w:fldChar w:fldCharType="end"/>
      </w:r>
      <w:r w:rsidR="004110F6">
        <w:t>.</w:t>
      </w:r>
    </w:p>
    <w:p w14:paraId="79E51AFF" w14:textId="77777777" w:rsidR="00AA73CD" w:rsidRDefault="5B2B8CA9" w:rsidP="00775632">
      <w:pPr>
        <w:pStyle w:val="Overskrift3"/>
      </w:pPr>
      <w:bookmarkStart w:id="4964" w:name="_Toc120526259"/>
      <w:bookmarkStart w:id="4965" w:name="_Toc126834454"/>
      <w:bookmarkStart w:id="4966" w:name="_Toc127633339"/>
      <w:bookmarkStart w:id="4967" w:name="_Toc127864624"/>
      <w:bookmarkStart w:id="4968" w:name="_Toc128238638"/>
      <w:bookmarkStart w:id="4969" w:name="_Toc128742086"/>
      <w:bookmarkStart w:id="4970" w:name="_Toc128744714"/>
      <w:bookmarkStart w:id="4971" w:name="_Toc128744933"/>
      <w:bookmarkStart w:id="4972" w:name="_Toc129630438"/>
      <w:bookmarkStart w:id="4973" w:name="_Toc130763945"/>
      <w:bookmarkStart w:id="4974" w:name="_Toc130766840"/>
      <w:bookmarkStart w:id="4975" w:name="_Toc130932239"/>
      <w:bookmarkStart w:id="4976" w:name="_Toc130934530"/>
      <w:bookmarkStart w:id="4977" w:name="_Toc130983670"/>
      <w:bookmarkStart w:id="4978" w:name="_Toc130984019"/>
      <w:bookmarkStart w:id="4979" w:name="_Toc131062281"/>
      <w:bookmarkStart w:id="4980" w:name="_Toc131062535"/>
      <w:bookmarkStart w:id="4981" w:name="_Toc131062796"/>
      <w:bookmarkStart w:id="4982" w:name="_Toc131063049"/>
      <w:bookmarkStart w:id="4983" w:name="_Toc131063832"/>
      <w:bookmarkStart w:id="4984" w:name="_Toc131064243"/>
      <w:bookmarkStart w:id="4985" w:name="_Toc131279615"/>
      <w:bookmarkStart w:id="4986" w:name="_Toc131287027"/>
      <w:bookmarkStart w:id="4987" w:name="_Toc131281437"/>
      <w:bookmarkStart w:id="4988" w:name="_Toc131317977"/>
      <w:bookmarkStart w:id="4989" w:name="_Toc132537077"/>
      <w:r>
        <w:t xml:space="preserve">Tiltak </w:t>
      </w:r>
      <w:r w:rsidR="439CE0BB">
        <w:t>for leger og kommuner</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14:paraId="39443428" w14:textId="77777777" w:rsidR="00D9107F" w:rsidRDefault="00AA73CD" w:rsidP="00CF32F3">
      <w:pPr>
        <w:jc w:val="both"/>
        <w:rPr>
          <w:rFonts w:ascii="Calibri" w:eastAsia="Calibri" w:hAnsi="Calibri" w:cs="Calibri"/>
        </w:rPr>
      </w:pPr>
      <w:r>
        <w:rPr>
          <w:rFonts w:ascii="Calibri" w:eastAsia="Calibri" w:hAnsi="Calibri" w:cs="Calibri"/>
        </w:rPr>
        <w:t>Det har de siste årene blitt iverksatt flere tiltak som skal bidra til at allmennlegetjenesten skal oppleves som en trygg og attraktiv karrierevei, slik at flere leger starter opp med og fullfører spesialistutdanningen i allmennmedisin. Tiltakene retter seg både mot leger og kommuner.</w:t>
      </w:r>
    </w:p>
    <w:p w14:paraId="5782BEF8" w14:textId="4A083E20" w:rsidR="00AA73CD" w:rsidRPr="00E62038" w:rsidRDefault="439CE0BB" w:rsidP="00775632">
      <w:pPr>
        <w:pStyle w:val="Overskrift4"/>
      </w:pPr>
      <w:bookmarkStart w:id="4990" w:name="_Toc130983671"/>
      <w:bookmarkStart w:id="4991" w:name="_Toc130984020"/>
      <w:bookmarkStart w:id="4992" w:name="_Toc131279616"/>
      <w:bookmarkStart w:id="4993" w:name="_Toc131287028"/>
      <w:bookmarkStart w:id="4994" w:name="_Toc131281438"/>
      <w:bookmarkStart w:id="4995" w:name="_Toc131317978"/>
      <w:r>
        <w:t>ALIS-kontor</w:t>
      </w:r>
      <w:bookmarkEnd w:id="4990"/>
      <w:bookmarkEnd w:id="4991"/>
      <w:bookmarkEnd w:id="4992"/>
      <w:bookmarkEnd w:id="4993"/>
      <w:bookmarkEnd w:id="4994"/>
      <w:bookmarkEnd w:id="4995"/>
    </w:p>
    <w:p w14:paraId="3B6EDEDF" w14:textId="77777777" w:rsidR="00D9107F" w:rsidRDefault="07609F93" w:rsidP="00CF32F3">
      <w:pPr>
        <w:jc w:val="both"/>
      </w:pPr>
      <w:r>
        <w:t>ALIS-kontorene ble opprettet</w:t>
      </w:r>
      <w:r w:rsidRPr="00996F25">
        <w:t xml:space="preserve"> våren 2020, og</w:t>
      </w:r>
      <w:r>
        <w:t xml:space="preserve"> </w:t>
      </w:r>
      <w:r w:rsidRPr="00996F25">
        <w:t>kontorene er betydelig styrket og videreutviklet</w:t>
      </w:r>
      <w:r>
        <w:t xml:space="preserve"> siden da</w:t>
      </w:r>
      <w:r w:rsidRPr="00996F25">
        <w:t>.</w:t>
      </w:r>
      <w:r>
        <w:t xml:space="preserve"> </w:t>
      </w:r>
      <w:r w:rsidRPr="00946805">
        <w:rPr>
          <w:lang w:val="nn-NO"/>
        </w:rPr>
        <w:t>Kontorene er lokalisert til Bodø, Trondheim, Bergen, Kristiansand</w:t>
      </w:r>
      <w:r w:rsidR="7677F696" w:rsidRPr="00946805">
        <w:rPr>
          <w:lang w:val="nn-NO"/>
        </w:rPr>
        <w:t>, Oslo</w:t>
      </w:r>
      <w:r w:rsidRPr="00946805">
        <w:rPr>
          <w:lang w:val="nn-NO"/>
        </w:rPr>
        <w:t xml:space="preserve"> og Ringsaker. </w:t>
      </w:r>
      <w:r w:rsidRPr="00D1768A">
        <w:t>De tre førstnevnte skal dekke kommunene i henholdsvis Helse-Nord, Helse Midt-Norge og Helse Vest. Kontorene i Kristiansand og Ringsaker skal dekke kommunene i Helse Sør-Øst.</w:t>
      </w:r>
    </w:p>
    <w:p w14:paraId="3BC1B439" w14:textId="1F4C8DC0" w:rsidR="00520E8C" w:rsidRDefault="07609F93" w:rsidP="00CF32F3">
      <w:pPr>
        <w:jc w:val="both"/>
      </w:pPr>
      <w:r>
        <w:t xml:space="preserve">De regionale </w:t>
      </w:r>
      <w:r w:rsidRPr="00996F25">
        <w:t>ALIS-kontorene</w:t>
      </w:r>
      <w:r>
        <w:t xml:space="preserve"> skal gi råd og bistå kommunene i planlegging, etablering og oppfølging av spesialistutdanningen i allmenn- og samfunnsmedisin. Gjennom dette skal kontore</w:t>
      </w:r>
      <w:r w:rsidR="58B51480">
        <w:t>ne</w:t>
      </w:r>
      <w:r>
        <w:t xml:space="preserve"> bidra til rekruttering og tilrettelegging for spesialisering, og til trygghet for legen gjennom spesialiseringsløpet. Oppgaver for ALIS-kontorene er blant annet å bistå kommunene i bruk av ALIS-avtaler og ved opprettelse av individuelle utdanningsplaner. </w:t>
      </w:r>
      <w:r w:rsidRPr="005B7182">
        <w:t>Kontorene skal samarbeide seg imellom for å dele erfaringer, sikre lik utdanning på tvers av regioner og unngå dobbeltarbeid</w:t>
      </w:r>
      <w:r w:rsidR="1CC94A39" w:rsidRPr="571E979C">
        <w:t xml:space="preserve"> </w:t>
      </w:r>
      <w:r w:rsidR="001F5F05">
        <w:fldChar w:fldCharType="begin"/>
      </w:r>
      <w:r w:rsidR="001F5F05">
        <w:instrText xml:space="preserve"> ADDIN EN.CITE &lt;EndNote&gt;&lt;Cite&gt;&lt;Author&gt;Helsedirektoratet&lt;/Author&gt;&lt;Year&gt;[s.a.]&lt;/Year&gt;&lt;RecNum&gt;576&lt;/RecNum&gt;&lt;DisplayText&gt;(Helsedirektoratet, [s.a.]-c)&lt;/DisplayText&gt;&lt;record&gt;&lt;rec-number&gt;576&lt;/rec-number&gt;&lt;foreign-keys&gt;&lt;key app="EN" db-id="95tpr2tp6r9xwoea9rb5wdsz5ds5xeddteew" timestamp="1680069511"&gt;576&lt;/key&gt;&lt;/foreign-keys&gt;&lt;ref-type name="Web Page"&gt;12&lt;/ref-type&gt;&lt;contributors&gt;&lt;authors&gt;&lt;author&gt;Helsedirektoratet&lt;/author&gt;&lt;/authors&gt;&lt;/contributors&gt;&lt;titles&gt;&lt;title&gt;Om ALIS-kontorene&lt;/title&gt;&lt;/titles&gt;&lt;number&gt;03.01.2023&lt;/number&gt;&lt;dates&gt;&lt;year&gt;[s.a.]&lt;/year&gt;&lt;/dates&gt;&lt;publisher&gt;ALIS&lt;/publisher&gt;&lt;work-type&gt;nettside&lt;/work-type&gt;&lt;urls&gt;&lt;related-urls&gt;&lt;url&gt;https://www.alis.no/om-alis-kontorene&lt;/url&gt;&lt;/related-urls&gt;&lt;/urls&gt;&lt;/record&gt;&lt;/Cite&gt;&lt;/EndNote&gt;</w:instrText>
      </w:r>
      <w:r w:rsidR="001F5F05">
        <w:fldChar w:fldCharType="separate"/>
      </w:r>
      <w:r w:rsidR="001F5F05">
        <w:rPr>
          <w:noProof/>
        </w:rPr>
        <w:t>(Helsedirektoratet, [s.a.]-c)</w:t>
      </w:r>
      <w:r w:rsidR="001F5F05">
        <w:fldChar w:fldCharType="end"/>
      </w:r>
      <w:r>
        <w:t>. Det ble i statsbudsjettet bevilget 4</w:t>
      </w:r>
      <w:r w:rsidR="00D9107F">
        <w:t>0 mill.</w:t>
      </w:r>
      <w:r>
        <w:t xml:space="preserve"> kroner til ALIS-kontorene i 2022. Bevilgningen er videreført i 2023</w:t>
      </w:r>
      <w:r w:rsidR="00E742AD">
        <w:t xml:space="preserve"> </w:t>
      </w:r>
      <w:r w:rsidR="001F5F05">
        <w:fldChar w:fldCharType="begin"/>
      </w:r>
      <w:r w:rsidR="00235862">
        <w:instrText xml:space="preserve"> ADDIN EN.CITE &lt;EndNote&gt;&lt;Cite&gt;&lt;Author&gt;Helse- og omsorgsdepartementet&lt;/Author&gt;&lt;Year&gt;2022&lt;/Year&gt;&lt;RecNum&gt;670&lt;/RecNum&gt;&lt;DisplayText&gt;(Helse- og omsorgsdepartementet, 2022)&lt;/DisplayText&gt;&lt;record&gt;&lt;rec-number&gt;670&lt;/rec-number&gt;&lt;foreign-keys&gt;&lt;key app="EN" db-id="95tpr2tp6r9xwoea9rb5wdsz5ds5xeddteew" timestamp="1680069511"&gt;670&lt;/key&gt;&lt;/foreign-keys&gt;&lt;ref-type name="Report"&gt;27&lt;/ref-type&gt;&lt;contributors&gt;&lt;authors&gt;&lt;author&gt;Helse- og omsorgsdepartementet,&lt;/author&gt;&lt;/authors&gt;&lt;/contributors&gt;&lt;titles&gt;&lt;title&gt;Prop. 1 S (2022-2023). Proposisjon til Stortinget (forslag til stortingsvedtak) for budsjettåret 2023&lt;/title&gt;&lt;/titles&gt;&lt;dates&gt;&lt;year&gt;2022&lt;/year&gt;&lt;/dates&gt;&lt;publisher&gt;Helse- og omsorgsdepartementet,&lt;/publisher&gt;&lt;urls&gt;&lt;/urls&gt;&lt;/record&gt;&lt;/Cite&gt;&lt;/EndNote&gt;</w:instrText>
      </w:r>
      <w:r w:rsidR="001F5F05">
        <w:fldChar w:fldCharType="separate"/>
      </w:r>
      <w:r w:rsidR="001F5F05">
        <w:rPr>
          <w:noProof/>
        </w:rPr>
        <w:t>(Helse- og omsorgsdepartementet, 2022)</w:t>
      </w:r>
      <w:r w:rsidR="001F5F05">
        <w:fldChar w:fldCharType="end"/>
      </w:r>
      <w:r w:rsidR="002472E5" w:rsidRPr="00DC3DD5">
        <w:t>.</w:t>
      </w:r>
    </w:p>
    <w:p w14:paraId="6986A74B" w14:textId="18158913" w:rsidR="00AA73CD" w:rsidRPr="00D9107F" w:rsidRDefault="00520E8C" w:rsidP="00353949">
      <w:pPr>
        <w:pStyle w:val="tittel-ramme"/>
        <w:jc w:val="left"/>
        <w:rPr>
          <w:rStyle w:val="kursiv"/>
        </w:rPr>
      </w:pPr>
      <w:r w:rsidRPr="00D9107F">
        <w:rPr>
          <w:rStyle w:val="kursiv"/>
        </w:rPr>
        <w:t>Tilskudd til ALIS avtale</w:t>
      </w:r>
    </w:p>
    <w:tbl>
      <w:tblPr>
        <w:tblStyle w:val="StandardBoks"/>
        <w:tblW w:w="0" w:type="auto"/>
        <w:tblLook w:val="04A0" w:firstRow="1" w:lastRow="0" w:firstColumn="1" w:lastColumn="0" w:noHBand="0" w:noVBand="1"/>
      </w:tblPr>
      <w:tblGrid>
        <w:gridCol w:w="9736"/>
      </w:tblGrid>
      <w:tr w:rsidR="00353949" w14:paraId="6A37D917" w14:textId="77777777" w:rsidTr="00353949">
        <w:tc>
          <w:tcPr>
            <w:tcW w:w="9736" w:type="dxa"/>
          </w:tcPr>
          <w:p w14:paraId="193A1D26" w14:textId="5938A374" w:rsidR="00353949" w:rsidRPr="005C2C56" w:rsidRDefault="00353949" w:rsidP="00353949">
            <w:r w:rsidRPr="005C2C56">
              <w:t xml:space="preserve">En ALIS-avtale er en avtale mellom en kommune og lege i spesialisering i allmennmedisin om tiltak som skal bidra til økt trygghet under spesialistutdanningen. Dette skjer gjennom </w:t>
            </w:r>
            <w:r w:rsidRPr="005C2C56">
              <w:lastRenderedPageBreak/>
              <w:t>tilrettelegging og oppfølging i spesialiseringsløpet som går utover det legen har krav på i henhold til dagens avtale- og regelverk. ALIS kan være ansatt i kommunen eller drive privat næringsdrift.</w:t>
            </w:r>
          </w:p>
          <w:p w14:paraId="041EB9B9" w14:textId="09A352F4" w:rsidR="00353949" w:rsidRPr="005C2C56" w:rsidRDefault="00353949" w:rsidP="00353949">
            <w:r w:rsidRPr="005C2C56">
              <w:t xml:space="preserve">Helsedirektoratet forvalter tilskuddsordningen til ALIS-avtaler. Det ble gitt tilskudd til 564 ALIS-avtaler i 2021, i tillegg til ALIS-avtaler i prosjektene ALIS-Vest og ALIS-Nord </w:t>
            </w:r>
            <w:r w:rsidRPr="005C2C56">
              <w:fldChar w:fldCharType="begin"/>
            </w:r>
            <w:r w:rsidRPr="005C2C56">
              <w:instrText xml:space="preserve"> ADDIN EN.CITE &lt;EndNote&gt;&lt;Cite&gt;&lt;Author&gt;Helsedirektoratet&lt;/Author&gt;&lt;Year&gt;2022&lt;/Year&gt;&lt;RecNum&gt;306&lt;/RecNum&gt;&lt;DisplayText&gt;(Helsedirektoratet, 2022c)&lt;/DisplayText&gt;&lt;record&gt;&lt;rec-number&gt;306&lt;/rec-number&gt;&lt;foreign-keys&gt;&lt;key app="EN" db-id="95tpr2tp6r9xwoea9rb5wdsz5ds5xeddteew" timestamp="1680069511"&gt;306&lt;/key&gt;&lt;/foreign-keys&gt;&lt;ref-type name="Report"&gt;27&lt;/ref-type&gt;&lt;contributors&gt;&lt;authors&gt;&lt;author&gt;Helsedirektoratet&lt;/author&gt;&lt;/authors&gt;&lt;/contributors&gt;&lt;titles&gt;&lt;title&gt;Handlingsplan for allmennlegetjenesten : Årsrapport 2021 &lt;/title&gt;&lt;/titles&gt;&lt;dates&gt;&lt;year&gt;2022&lt;/year&gt;&lt;/dates&gt;&lt;pub-location&gt;Oslo&lt;/pub-location&gt;&lt;urls&gt;&lt;/urls&gt;&lt;access-date&gt;22.12.22&lt;/access-date&gt;&lt;/record&gt;&lt;/Cite&gt;&lt;/EndNote&gt;</w:instrText>
            </w:r>
            <w:r w:rsidRPr="005C2C56">
              <w:fldChar w:fldCharType="separate"/>
            </w:r>
            <w:r w:rsidRPr="005C2C56">
              <w:rPr>
                <w:noProof/>
              </w:rPr>
              <w:t>(Helsedirektoratet, 2022c)</w:t>
            </w:r>
            <w:r w:rsidRPr="005C2C56">
              <w:fldChar w:fldCharType="end"/>
            </w:r>
            <w:r w:rsidRPr="005C2C56">
              <w:t>. For 2022 er tilskuddordningene til ALIS-avtale forbedret, og i mars 2022 ble den nye ordningen Nasjonal ALIS og veiledning lansert.</w:t>
            </w:r>
          </w:p>
          <w:p w14:paraId="591DE06F" w14:textId="74841194" w:rsidR="00353949" w:rsidRPr="00353949" w:rsidRDefault="00353949" w:rsidP="00353949">
            <w:r w:rsidRPr="005C2C56">
              <w:t>I den nye tilskuddsordningen er egenandelen for kommunene fjernet. Kommuner i sentralitetsgrad 6</w:t>
            </w:r>
            <w:r w:rsidRPr="005C2C56">
              <w:rPr>
                <w:rStyle w:val="Fotnotereferanse"/>
                <w:b/>
                <w:bCs/>
                <w:color w:val="2A3552"/>
              </w:rPr>
              <w:footnoteRef/>
            </w:r>
            <w:r w:rsidRPr="005C2C56">
              <w:t xml:space="preserve"> får høyere maksimalt tilskuddsbeløp, og ALIS i disse kommunene kan få tilleggselementer i sine ALIS-avtaler. Budsjettet for Nasjonal ALIS og veiledning var 224 mill. kroner i 2022. Maksimalt tilskuddsbeløp per ALIS per år vil være 367 000 kroner, og 567 000 kroner for kommuner med sentralitetsgrad 6.</w:t>
            </w:r>
          </w:p>
        </w:tc>
      </w:tr>
    </w:tbl>
    <w:p w14:paraId="1B476B90" w14:textId="7D2682B9" w:rsidR="00AA73CD" w:rsidRDefault="439CE0BB" w:rsidP="00775632">
      <w:pPr>
        <w:pStyle w:val="Overskrift4"/>
      </w:pPr>
      <w:bookmarkStart w:id="4996" w:name="_Toc130983673"/>
      <w:bookmarkStart w:id="4997" w:name="_Toc130984022"/>
      <w:bookmarkStart w:id="4998" w:name="_Toc131279617"/>
      <w:bookmarkStart w:id="4999" w:name="_Toc131287029"/>
      <w:bookmarkStart w:id="5000" w:name="_Toc131281439"/>
      <w:bookmarkStart w:id="5001" w:name="_Toc131317979"/>
      <w:r>
        <w:lastRenderedPageBreak/>
        <w:t>Introduksjonsavtaler</w:t>
      </w:r>
      <w:bookmarkEnd w:id="4996"/>
      <w:bookmarkEnd w:id="4997"/>
      <w:bookmarkEnd w:id="4998"/>
      <w:bookmarkEnd w:id="4999"/>
      <w:bookmarkEnd w:id="5000"/>
      <w:bookmarkEnd w:id="5001"/>
    </w:p>
    <w:p w14:paraId="7CB379A2" w14:textId="77777777" w:rsidR="00D9107F" w:rsidRDefault="00AA73CD" w:rsidP="004F1500">
      <w:r w:rsidRPr="023426F6">
        <w:t>For leger som er ansatt i annet allmennlegearbeid i kommunen</w:t>
      </w:r>
      <w:r w:rsidR="000F7EAC">
        <w:t>,</w:t>
      </w:r>
      <w:r w:rsidRPr="023426F6">
        <w:t xml:space="preserve"> kan det være krevende å få gjennomført de to årene i åpen uselektert praksis som kreves for å bli spesialist i allmennmedisin. Introduksjonsavtaler gir leger i spesialisering i allmennmedisin mulighet til å arbeide samtidig med fastlegen som har listeansvar</w:t>
      </w:r>
      <w:r w:rsidR="00907CE4">
        <w:t>,</w:t>
      </w:r>
      <w:r w:rsidRPr="023426F6">
        <w:t xml:space="preserve"> og likevel få rett til trygderefusjon. </w:t>
      </w:r>
      <w:r>
        <w:t>For fastlegene betyr det en ekstra legeressurs på kontoret</w:t>
      </w:r>
      <w:r w:rsidR="00463C22">
        <w:t>,</w:t>
      </w:r>
      <w:r>
        <w:t xml:space="preserve"> og for introduksjonslegen en mulighet til å gjennomføre to år med åpen uselektert </w:t>
      </w:r>
      <w:r w:rsidR="00F43F38">
        <w:t>allmenn</w:t>
      </w:r>
      <w:r>
        <w:t>praksis</w:t>
      </w:r>
      <w:r w:rsidR="00324466">
        <w:t xml:space="preserve"> uten å måtte ha ansvar for en pasientliste i perioden</w:t>
      </w:r>
      <w:r>
        <w:t>.</w:t>
      </w:r>
    </w:p>
    <w:p w14:paraId="0E40E1E5" w14:textId="2768DB58" w:rsidR="00D9107F" w:rsidRDefault="00AA73CD" w:rsidP="004F1500">
      <w:r w:rsidRPr="6046A1C2">
        <w:t xml:space="preserve">Hovedformålet er å legge til rette for spesialisering </w:t>
      </w:r>
      <w:r w:rsidR="007B6998">
        <w:t xml:space="preserve">i allmennmedisin </w:t>
      </w:r>
      <w:r w:rsidRPr="6046A1C2">
        <w:t xml:space="preserve">for leger som arbeider utenfor fastlegeordningen, men avtalene kan også benyttes for å bedre rekruttering til </w:t>
      </w:r>
      <w:r w:rsidR="00A27451">
        <w:t>fast</w:t>
      </w:r>
      <w:r w:rsidR="00962E57">
        <w:t>l</w:t>
      </w:r>
      <w:r w:rsidRPr="6046A1C2">
        <w:t xml:space="preserve">egetjenesten. Avtaleparter i en introduksjonsavtale vil være kommune, fastleger og ALIS (introduksjonslege). </w:t>
      </w:r>
      <w:r w:rsidR="002472E5" w:rsidRPr="00697B18">
        <w:t>Det er opp til avtalepartene om introduksjonslegen skal være f</w:t>
      </w:r>
      <w:r w:rsidR="002472E5">
        <w:t>ansatt</w:t>
      </w:r>
      <w:r w:rsidR="002472E5" w:rsidRPr="00697B18">
        <w:t xml:space="preserve"> eller selvstendig næringsdrivende i perioden. De økonomiske forholdene knyttet til gjennomføringen avtales mellom avtalepartene.</w:t>
      </w:r>
      <w:r w:rsidR="002472E5">
        <w:t xml:space="preserve"> </w:t>
      </w:r>
      <w:r w:rsidR="002472E5" w:rsidRPr="00A5511C">
        <w:t xml:space="preserve">Maksimal varighet på en introduksjonsavtale er </w:t>
      </w:r>
      <w:r w:rsidR="002472E5">
        <w:t>to</w:t>
      </w:r>
      <w:r w:rsidRPr="00A5511C">
        <w:t xml:space="preserve"> år ved fulltids arbeid.</w:t>
      </w:r>
    </w:p>
    <w:p w14:paraId="13FB62B6" w14:textId="2473EC67" w:rsidR="00AA73CD" w:rsidRDefault="07609F93" w:rsidP="004F1500">
      <w:r>
        <w:t xml:space="preserve">Kommunen må søke Helsedirektoratet om å få lov til å inngå introduksjonsavtale. </w:t>
      </w:r>
      <w:r w:rsidRPr="005B7C08">
        <w:rPr>
          <w:color w:val="000000"/>
        </w:rPr>
        <w:t>Introduksjonsavtale</w:t>
      </w:r>
      <w:r w:rsidR="5545837C">
        <w:rPr>
          <w:color w:val="000000"/>
        </w:rPr>
        <w:t>ne</w:t>
      </w:r>
      <w:r w:rsidRPr="005B7C08">
        <w:rPr>
          <w:color w:val="000000"/>
        </w:rPr>
        <w:t xml:space="preserve"> ble lyst ut med søknadsfrist 15. mars 2022</w:t>
      </w:r>
      <w:r w:rsidR="09A89DD9" w:rsidRPr="75384F3A">
        <w:t xml:space="preserve"> </w:t>
      </w:r>
      <w:r w:rsidR="00B87F6D">
        <w:fldChar w:fldCharType="begin"/>
      </w:r>
      <w:r w:rsidR="00694E6D">
        <w:instrText xml:space="preserve"> ADDIN EN.CITE &lt;EndNote&gt;&lt;Cite&gt;&lt;Author&gt;Helsedirektoratet&lt;/Author&gt;&lt;Year&gt;2021&lt;/Year&gt;&lt;RecNum&gt;759&lt;/RecNum&gt;&lt;DisplayText&gt;(Helsedirektoratet, 2021e)&lt;/DisplayText&gt;&lt;record&gt;&lt;rec-number&gt;759&lt;/rec-number&gt;&lt;foreign-keys&gt;&lt;key app="EN" db-id="95tpr2tp6r9xwoea9rb5wdsz5ds5xeddteew" timestamp="1680069511"&gt;759&lt;/key&gt;&lt;/foreign-keys&gt;&lt;ref-type name="Report"&gt;27&lt;/ref-type&gt;&lt;contributors&gt;&lt;authors&gt;&lt;author&gt;Helsedirektoratet&lt;/author&gt;&lt;/authors&gt;&lt;/contributors&gt;&lt;titles&gt;&lt;title&gt;Spesialistutdanning for leger - LIS1&lt;/title&gt;&lt;/titles&gt;&lt;number&gt;IS-3002&lt;/number&gt;&lt;dates&gt;&lt;year&gt;2021&lt;/year&gt;&lt;/dates&gt;&lt;pub-location&gt;Oslo&lt;/pub-location&gt;&lt;publisher&gt;Helsedirektoratet&lt;/publisher&gt;&lt;urls&gt;&lt;/urls&gt;&lt;/record&gt;&lt;/Cite&gt;&lt;/EndNote&gt;</w:instrText>
      </w:r>
      <w:r w:rsidR="00B87F6D">
        <w:fldChar w:fldCharType="separate"/>
      </w:r>
      <w:r w:rsidR="00D078E3">
        <w:rPr>
          <w:noProof/>
        </w:rPr>
        <w:t>(Helsedirektoratet, 2021e)</w:t>
      </w:r>
      <w:r w:rsidR="00B87F6D">
        <w:fldChar w:fldCharType="end"/>
      </w:r>
      <w:r w:rsidRPr="005B7C08">
        <w:rPr>
          <w:color w:val="000000"/>
        </w:rPr>
        <w:t xml:space="preserve">. </w:t>
      </w:r>
      <w:r w:rsidR="5CB016F7">
        <w:t>Ved utgan</w:t>
      </w:r>
      <w:r w:rsidR="7A8C2086">
        <w:t>gen av februar</w:t>
      </w:r>
      <w:r w:rsidR="73218029">
        <w:t xml:space="preserve"> 2023</w:t>
      </w:r>
      <w:r>
        <w:t xml:space="preserve"> har kommunene meldt inn at de har inngått </w:t>
      </w:r>
      <w:r w:rsidR="3C70F5DE">
        <w:t>31</w:t>
      </w:r>
      <w:r w:rsidR="723A78FC">
        <w:t xml:space="preserve"> </w:t>
      </w:r>
      <w:r>
        <w:t>av 65 avtaler.</w:t>
      </w:r>
    </w:p>
    <w:p w14:paraId="6C2E2B4C" w14:textId="103ABF6C" w:rsidR="00D9107F" w:rsidRPr="00D9107F" w:rsidRDefault="00E1001B" w:rsidP="00353949">
      <w:pPr>
        <w:pStyle w:val="tittel-ramme"/>
        <w:jc w:val="left"/>
        <w:rPr>
          <w:rStyle w:val="kursiv"/>
        </w:rPr>
      </w:pPr>
      <w:r w:rsidRPr="00D9107F">
        <w:rPr>
          <w:rStyle w:val="kursiv"/>
        </w:rPr>
        <w:lastRenderedPageBreak/>
        <w:t>Lokale piloter og utprøvinger for økt rekruttering og spesialisering</w:t>
      </w:r>
    </w:p>
    <w:tbl>
      <w:tblPr>
        <w:tblStyle w:val="StandardBoks"/>
        <w:tblW w:w="0" w:type="auto"/>
        <w:tblLook w:val="04A0" w:firstRow="1" w:lastRow="0" w:firstColumn="1" w:lastColumn="0" w:noHBand="0" w:noVBand="1"/>
      </w:tblPr>
      <w:tblGrid>
        <w:gridCol w:w="9736"/>
      </w:tblGrid>
      <w:tr w:rsidR="00353949" w14:paraId="0D233716" w14:textId="77777777" w:rsidTr="00353949">
        <w:tc>
          <w:tcPr>
            <w:tcW w:w="9736" w:type="dxa"/>
          </w:tcPr>
          <w:p w14:paraId="15B946DD" w14:textId="77777777" w:rsidR="00353949" w:rsidRPr="00353949" w:rsidRDefault="00353949" w:rsidP="00353949">
            <w:pPr>
              <w:pStyle w:val="avsnitt-undertittel"/>
            </w:pPr>
            <w:r w:rsidRPr="00353949">
              <w:lastRenderedPageBreak/>
              <w:t>Lokale piloter og utprøvinger for økt rekruttering og spesialisering</w:t>
            </w:r>
          </w:p>
          <w:p w14:paraId="7FE05257" w14:textId="0895EF5D" w:rsidR="00353949" w:rsidRPr="00353949" w:rsidRDefault="00353949" w:rsidP="00353949">
            <w:r w:rsidRPr="00353949">
              <w:t>Det er gjennomført flere lokale utprøvinger og pilotprosjekter som skal bidra til rekruttering og stabilisering av leger til fastlegearbeid og andre allmennmedisinske oppgaver.</w:t>
            </w:r>
          </w:p>
          <w:p w14:paraId="7BCD1F81" w14:textId="77777777" w:rsidR="00353949" w:rsidRDefault="00353949" w:rsidP="00353949">
            <w:pPr>
              <w:pStyle w:val="avsnitt-undertittel"/>
            </w:pPr>
            <w:r w:rsidRPr="00353949">
              <w:t>ALIS Vest og ALIS NORD</w:t>
            </w:r>
          </w:p>
          <w:p w14:paraId="5BC3CD70" w14:textId="78C36A2C" w:rsidR="00353949" w:rsidRPr="00353949" w:rsidRDefault="00353949" w:rsidP="00353949">
            <w:r w:rsidRPr="00353949">
              <w:t xml:space="preserve">I de 5-årige pilotprosjektene ALIS-Vest og ALIS-Nord </w:t>
            </w:r>
            <w:r w:rsidRPr="00353949">
              <w:br/>
              <w:t xml:space="preserve">er det gitt bistand til kommunene for å øke deres kompetanse som tilretteleggere av legers spesialistutdanning i allmennmedisin, herunder utvikle utdanningsmodeller som passer for både fastlønn og næringsdrift. De viktigste har vært et netto tilskudd </w:t>
            </w:r>
            <w:r w:rsidRPr="00353949">
              <w:fldChar w:fldCharType="begin"/>
            </w:r>
            <w:r w:rsidRPr="00353949">
              <w:instrText xml:space="preserve"> ADDIN EN.CITE &lt;EndNote&gt;&lt;Cite&gt;&lt;Author&gt;Helsedirektoratet&lt;/Author&gt;&lt;Year&gt;2021&lt;/Year&gt;&lt;RecNum&gt;759&lt;/RecNum&gt;&lt;DisplayText&gt;(Helsedirektoratet, 2021e)&lt;/DisplayText&gt;&lt;record&gt;&lt;rec-number&gt;759&lt;/rec-number&gt;&lt;foreign-keys&gt;&lt;key app="EN" db-id="95tpr2tp6r9xwoea9rb5wdsz5ds5xeddteew" timestamp="1680069511"&gt;759&lt;/key&gt;&lt;/foreign-keys&gt;&lt;ref-type name="Report"&gt;27&lt;/ref-type&gt;&lt;contributors&gt;&lt;authors&gt;&lt;author&gt;Helsedirektoratet&lt;/author&gt;&lt;/authors&gt;&lt;/contributors&gt;&lt;titles&gt;&lt;title&gt;Spesialistutdanning for leger - LIS1&lt;/title&gt;&lt;/titles&gt;&lt;number&gt;IS-3002&lt;/number&gt;&lt;dates&gt;&lt;year&gt;2021&lt;/year&gt;&lt;/dates&gt;&lt;pub-location&gt;Oslo&lt;/pub-location&gt;&lt;publisher&gt;Helsedirektoratet&lt;/publisher&gt;&lt;urls&gt;&lt;/urls&gt;&lt;/record&gt;&lt;/Cite&gt;&lt;/EndNote&gt;</w:instrText>
            </w:r>
            <w:r w:rsidRPr="00353949">
              <w:fldChar w:fldCharType="separate"/>
            </w:r>
            <w:r w:rsidRPr="00353949">
              <w:t>(Helsedirektoratet, 2021e)</w:t>
            </w:r>
            <w:r w:rsidRPr="00353949">
              <w:fldChar w:fldCharType="end"/>
            </w:r>
            <w:r w:rsidRPr="00353949">
              <w:t xml:space="preserve"> per ALIS per år, rådgiving til kommunene og nettverksmøter for ALIS, veiledere og helseledere. ALIS-Vest prosjektet ble avsluttet i 2022 og ALIS-Nord prosjektet avsluttes i 2023. </w:t>
            </w:r>
          </w:p>
          <w:p w14:paraId="242CEE9A" w14:textId="77777777" w:rsidR="00353949" w:rsidRDefault="00353949" w:rsidP="00353949">
            <w:pPr>
              <w:pStyle w:val="avsnitt-undertittel"/>
            </w:pPr>
            <w:r w:rsidRPr="00353949">
              <w:t xml:space="preserve">FRONESIS </w:t>
            </w:r>
          </w:p>
          <w:p w14:paraId="01AD2905" w14:textId="6ACA5EFD" w:rsidR="00353949" w:rsidRPr="00353949" w:rsidRDefault="00353949" w:rsidP="00353949">
            <w:r w:rsidRPr="00353949">
              <w:t xml:space="preserve">er et pilotprosjekt i regi av Universitetet i Bergen. Prosjektet dekker 90 legekontor, med til sammen 750 fastleger, og skal bidra til at medisinutdanningene i Norge har et tilstrekkelig antall praksisplasser på fastlegekontorene, med god kvalitet og kompetente praksisveiledere. Den overordnede hensikten er å utdanne kompetente leger til fastlegeordningen i kommunene, og et av delmålene er å bidra til utvidet kunnskap om hvilke faktorer som bidrar til økt rekruttering av praksisplasser i fastlegetjenesten </w:t>
            </w:r>
            <w:r w:rsidRPr="00353949">
              <w:fldChar w:fldCharType="begin"/>
            </w:r>
            <w:r w:rsidRPr="00353949">
              <w:instrText xml:space="preserve"> ADDIN EN.CITE &lt;EndNote&gt;&lt;Cite ExcludeAuth="1"&gt;&lt;Year&gt;2022&lt;/Year&gt;&lt;RecNum&gt;115&lt;/RecNum&gt;&lt;DisplayText&gt;(&lt;style face="italic"&gt;Flere praksisplasser og bedre veiledning for medisinstudenter på fastlegekontorene (FRONESIS)&lt;/style&gt;, 2022)&lt;/DisplayText&gt;&lt;record&gt;&lt;rec-number&gt;115&lt;/rec-number&gt;&lt;foreign-keys&gt;&lt;key app="EN" db-id="xv2pp5x2v09a2ae5vwcvrtxd0f09zeseztpp" timestamp="1678702276"&gt;115&lt;/key&gt;&lt;/foreign-keys&gt;&lt;ref-type name="Web Page"&gt;12&lt;/ref-type&gt;&lt;contributors&gt;&lt;/contributors&gt;&lt;titles&gt;&lt;title&gt;Flere praksisplasser og bedre veiledning for medisinstudenter på fastlegekontorene (FRONESIS)&lt;/title&gt;&lt;/titles&gt;&lt;number&gt;03.01.2023&lt;/number&gt;&lt;dates&gt;&lt;year&gt;2022&lt;/year&gt;&lt;pub-dates&gt;&lt;date&gt;19.12.2022&lt;/date&gt;&lt;/pub-dates&gt;&lt;/dates&gt;&lt;pub-location&gt;Bergen&lt;/pub-location&gt;&lt;publisher&gt;Alrek helseklynge&lt;/publisher&gt;&lt;work-type&gt;nettdokument&lt;/work-type&gt;&lt;urls&gt;&lt;related-urls&gt;&lt;url&gt;https://alrekhelseklynge.no/prosjekter/fronesis/&lt;/url&gt;&lt;/related-urls&gt;&lt;/urls&gt;&lt;/record&gt;&lt;/Cite&gt;&lt;/EndNote&gt;</w:instrText>
            </w:r>
            <w:r w:rsidRPr="00353949">
              <w:fldChar w:fldCharType="separate"/>
            </w:r>
            <w:r w:rsidRPr="00353949">
              <w:t>(Flere praksisplasser og bedre veiledning for medisinstudenter på fastlegekontorene (FRONESIS), 2022)</w:t>
            </w:r>
            <w:r w:rsidRPr="00353949">
              <w:fldChar w:fldCharType="end"/>
            </w:r>
            <w:r w:rsidRPr="00353949">
              <w:t>.</w:t>
            </w:r>
          </w:p>
          <w:p w14:paraId="6B0B446F" w14:textId="77777777" w:rsidR="00353949" w:rsidRPr="00353949" w:rsidRDefault="00353949" w:rsidP="00353949">
            <w:pPr>
              <w:pStyle w:val="avsnitt-undertittel"/>
            </w:pPr>
            <w:r w:rsidRPr="00353949">
              <w:t>Helgelandslegen</w:t>
            </w:r>
          </w:p>
          <w:p w14:paraId="2A4D4931" w14:textId="6C1B4E94" w:rsidR="00353949" w:rsidRPr="00353949" w:rsidRDefault="00353949" w:rsidP="00353949">
            <w:r w:rsidRPr="00353949">
              <w:t xml:space="preserve">er et toårig samarbeidsprosjekt mellom kommuneoverlegeforum på Helgeland, ALIS-Nord og Nasjonalt senter for distriktsmedisin (NSDM). Prosjektet finansieres av midler fra ALIS-Nord og NSDM. Prosjektet hadde oppstart 1. september 2021. Målet er å etablere attraktive og forutsigbare stillinger i Helgelandsregionen, ved å tilby et tilrettelagt og helhetlig utdanningsløp fra avsluttet medisinstudium til ferdig utdannet spesialist i allmennmedisin. Søkere med lokal tilknytning og med interesse for allmennmedisin prioriteres. Intensjonen er på sikt å kunne koble inntil halvparten av LIS1-stillinger til ALIS-stillinger i kommunene. Prosjektet planlegges evaluert i samarbeid med NSDM </w:t>
            </w:r>
            <w:r w:rsidRPr="00353949">
              <w:fldChar w:fldCharType="begin"/>
            </w:r>
            <w:r w:rsidRPr="00353949">
              <w:instrText xml:space="preserve"> ADDIN EN.CITE &lt;EndNote&gt;&lt;Cite&gt;&lt;Author&gt;Blaunfeldt-Petersen&lt;/Author&gt;&lt;Year&gt;2021&lt;/Year&gt;&lt;RecNum&gt;319&lt;/RecNum&gt;&lt;DisplayText&gt;(Blaunfeldt-Petersen et al., 2021)&lt;/DisplayText&gt;&lt;record&gt;&lt;rec-number&gt;319&lt;/rec-number&gt;&lt;foreign-keys&gt;&lt;key app="EN" db-id="95tpr2tp6r9xwoea9rb5wdsz5ds5xeddteew" timestamp="1680069511"&gt;319&lt;/key&gt;&lt;/foreign-keys&gt;&lt;ref-type name="Journal Article"&gt;17&lt;/ref-type&gt;&lt;contributors&gt;&lt;authors&gt;&lt;author&gt;Blaunfeldt-Petersen, Britt&lt;/author&gt;&lt;author&gt;Fosse, Anette&lt;/author&gt;&lt;/authors&gt;&lt;/contributors&gt;&lt;titles&gt;&lt;title&gt;Helgelandslegen - et rekrutteringsprosjekt&lt;/title&gt;&lt;secondary-title&gt;Utposten&lt;/secondary-title&gt;&lt;/titles&gt;&lt;periodical&gt;&lt;full-title&gt;Utposten&lt;/full-title&gt;&lt;/periodical&gt;&lt;pages&gt;6-8&lt;/pages&gt;&lt;volume&gt;5&lt;/volume&gt;&lt;dates&gt;&lt;year&gt;2021&lt;/year&gt;&lt;/dates&gt;&lt;urls&gt;&lt;related-urls&gt;&lt;url&gt;https://www.utposten.no/journal/2021/5/m-137/Helgelandslegen_%E2%80%93_et_rekrutteringsprosjekt&lt;/url&gt;&lt;/related-urls&gt;&lt;/urls&gt;&lt;/record&gt;&lt;/Cite&gt;&lt;/EndNote&gt;</w:instrText>
            </w:r>
            <w:r w:rsidRPr="00353949">
              <w:fldChar w:fldCharType="separate"/>
            </w:r>
            <w:r w:rsidRPr="00353949">
              <w:t>(Blaunfeldt-Petersen et al., 2021)</w:t>
            </w:r>
            <w:r w:rsidRPr="00353949">
              <w:fldChar w:fldCharType="end"/>
            </w:r>
            <w:r w:rsidRPr="00353949">
              <w:t>.</w:t>
            </w:r>
          </w:p>
          <w:p w14:paraId="71FDB8BC" w14:textId="77777777" w:rsidR="00353949" w:rsidRPr="00353949" w:rsidRDefault="00353949" w:rsidP="00353949">
            <w:pPr>
              <w:pStyle w:val="avsnitt-undertittel"/>
            </w:pPr>
            <w:r w:rsidRPr="00353949">
              <w:t>Øremerkede stillinger for ALIS på sykehus</w:t>
            </w:r>
          </w:p>
          <w:p w14:paraId="5B7AB29E" w14:textId="55475029" w:rsidR="00353949" w:rsidRPr="00353949" w:rsidRDefault="00353949" w:rsidP="00353949">
            <w:r w:rsidRPr="00353949">
              <w:t xml:space="preserve">Helse Nord fikk i 2021 i oppdrag å lede et samarbeidsprosjekt, som skal sikre nødvendig antall øremerkede stillinger for ALIS på sykehus. Arbeidsgruppen anbefalte i startfasen å </w:t>
            </w:r>
            <w:r w:rsidRPr="00353949">
              <w:lastRenderedPageBreak/>
              <w:t>opprette et begrenset antall øremerkede ALIS-stillinger på sykehus, for å sikre at alle stillingene til enhver tid er besatt. Det ble anbefalt at stillingene opprettes på helseforetaksnivå, og innrettes fleksibelt slik at de kan tilknyttes en avdeling og lokalisasjon i tråd med den enkelte ALIS sine behov og ønsker, med noen overordnede føringer. ALIS som tilbys sykehustjeneste, skal være godt i gang med spesialisering i allmennmedisin, og prioriteres etter gitte kriterier.</w:t>
            </w:r>
          </w:p>
        </w:tc>
      </w:tr>
    </w:tbl>
    <w:p w14:paraId="137F7026" w14:textId="4240062F" w:rsidR="00AA73CD" w:rsidRDefault="439CE0BB" w:rsidP="00775632">
      <w:pPr>
        <w:pStyle w:val="Overskrift3"/>
      </w:pPr>
      <w:bookmarkStart w:id="5002" w:name="_Toc120526261"/>
      <w:bookmarkStart w:id="5003" w:name="_Toc126834456"/>
      <w:bookmarkStart w:id="5004" w:name="_Toc127633341"/>
      <w:bookmarkStart w:id="5005" w:name="_Toc127864626"/>
      <w:bookmarkStart w:id="5006" w:name="_Toc128238640"/>
      <w:bookmarkStart w:id="5007" w:name="_Toc128742088"/>
      <w:bookmarkStart w:id="5008" w:name="_Toc128744716"/>
      <w:bookmarkStart w:id="5009" w:name="_Toc128744935"/>
      <w:bookmarkStart w:id="5010" w:name="_Toc129630440"/>
      <w:bookmarkStart w:id="5011" w:name="_Toc130763947"/>
      <w:bookmarkStart w:id="5012" w:name="_Toc130766842"/>
      <w:bookmarkStart w:id="5013" w:name="_Toc130932241"/>
      <w:bookmarkStart w:id="5014" w:name="_Toc130934532"/>
      <w:bookmarkStart w:id="5015" w:name="_Toc130983675"/>
      <w:bookmarkStart w:id="5016" w:name="_Toc130984024"/>
      <w:bookmarkStart w:id="5017" w:name="_Toc131062283"/>
      <w:bookmarkStart w:id="5018" w:name="_Toc131062537"/>
      <w:bookmarkStart w:id="5019" w:name="_Toc131062798"/>
      <w:bookmarkStart w:id="5020" w:name="_Toc131063051"/>
      <w:bookmarkStart w:id="5021" w:name="_Toc131063834"/>
      <w:bookmarkStart w:id="5022" w:name="_Toc131064245"/>
      <w:bookmarkStart w:id="5023" w:name="_Toc131279619"/>
      <w:bookmarkStart w:id="5024" w:name="_Toc131287031"/>
      <w:bookmarkStart w:id="5025" w:name="_Toc131281441"/>
      <w:bookmarkStart w:id="5026" w:name="_Toc131317981"/>
      <w:bookmarkStart w:id="5027" w:name="_Toc132537078"/>
      <w:r>
        <w:lastRenderedPageBreak/>
        <w:t>Kunnskap om yrkesvalg og spesialistutdanning</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14:paraId="31AD4809" w14:textId="77777777" w:rsidR="00D9107F" w:rsidRDefault="07609F93" w:rsidP="004F1500">
      <w:r w:rsidRPr="38BFEDFD">
        <w:t xml:space="preserve">Allerede i 2015 konkluderte en studie gjennomført av Abelsen </w:t>
      </w:r>
      <w:r w:rsidR="638BD8D4">
        <w:t>og</w:t>
      </w:r>
      <w:r w:rsidRPr="38BFEDFD">
        <w:t xml:space="preserve"> Olsen med at unge leger i hovedsak ønsker seg et finansieringssystem med en mindre aktivitetsbasert inntektskomponent enn det som er tilfelle i dagens finansiering av fastlegeordningen</w:t>
      </w:r>
      <w:r w:rsidR="7F07F9DA">
        <w:t xml:space="preserve"> </w:t>
      </w:r>
      <w:r w:rsidR="008F1580">
        <w:fldChar w:fldCharType="begin">
          <w:fldData xml:space="preserve">PEVuZE5vdGU+PENpdGU+PEF1dGhvcj5BYmVsc2VuPC9BdXRob3I+PFllYXI+MjAxNTwvWWVhcj48
UmVjTnVtPjg5MjwvUmVjTnVtPjxEaXNwbGF5VGV4dD4oQWJlbHNlbiBldCBhbC4sIDIwMTUpPC9E
aXNwbGF5VGV4dD48cmVjb3JkPjxyZWMtbnVtYmVyPjg5MjwvcmVjLW51bWJlcj48Zm9yZWlnbi1r
ZXlzPjxrZXkgYXBwPSJFTiIgZGItaWQ9Ijk1dHByMnRwNnI5eHdvZWE5cmI1d2RzejVkczV4ZWRk
dGVldyIgdGltZXN0YW1wPSIxNjgwMDY5NTExIj44OTI8L2tleT48L2ZvcmVpZ24ta2V5cz48cmVm
LXR5cGUgbmFtZT0iSm91cm5hbCBBcnRpY2xlIj4xNzwvcmVmLXR5cGU+PGNvbnRyaWJ1dG9ycz48
YXV0aG9ycz48YXV0aG9yPkFiZWxzZW4sIEIuPC9hdXRob3I+PGF1dGhvcj5PbHNlbiwgSi4gQS48
L2F1dGhvcj48L2F1dGhvcnM+PC9jb250cmlidXRvcnM+PGF1dGgtYWRkcmVzcz5BYmVsc2VuLCBC
aXJnaXQuIE5hdGlvbmFsIENlbnRyZSBvZiBSdXJhbCBNZWRpY2luZSwgRGVwYXJ0bWVudCBvZiBD
b21tdW5pdHkgTWVkaWNpbmUsIFVpVCBUaGUgQXJjdGljIFVuaXZlcnNpdHkgb2YgTm9yd2F5LCBO
LTkwMzcsIFRyb21zbywgTm9yd2F5LiBiaXJnaXQuYWJlbHNlbkB1aXQubm8uJiN4RDtPbHNlbiwg
SmFuIEFiZWwuIERlcGFydG1lbnQgb2YgQ29tbXVuaXR5IE1lZGljaW5lLCBVaVQgVGhlIEFyY3Rp
YyBVbml2ZXJzaXR5IG9mIE5vcndheSwgTi05MDM3LCBUcm9tc28sIE5vcndheS4gamFuLmFiZWwu
b2xzZW5AdWl0Lm5vLjwvYXV0aC1hZGRyZXNzPjx0aXRsZXM+PHRpdGxlPllvdW5nIGRvY3RvcnMm
YXBvczsgcHJlZmVyZW5jZXMgZm9yIHBheW1lbnQgc3lzdGVtczogdGhlIGluZmx1ZW5jZSBvZiBn
ZW5kZXIgYW5kIHBlcnNvbmFsaXR5IHRyYWl0czwvdGl0bGU+PHNlY29uZGFyeS10aXRsZT5IdW1h
biBSZXNvdXJjZXMgZm9yIEhlYWx0aCBbRWxlY3Ryb25pYyBSZXNvdXJjZV08L3NlY29uZGFyeS10
aXRsZT48YWx0LXRpdGxlPkh1bSBSZXNvdXIgSGVhbHRoPC9hbHQtdGl0bGU+PC90aXRsZXM+PHBl
cmlvZGljYWw+PGZ1bGwtdGl0bGU+SHVtYW4gUmVzb3VyY2VzIGZvciBIZWFsdGggW0VsZWN0cm9u
aWMgUmVzb3VyY2VdPC9mdWxsLXRpdGxlPjxhYmJyLTE+SHVtIFJlc291ciBIZWFsdGg8L2FiYnIt
MT48L3BlcmlvZGljYWw+PGFsdC1wZXJpb2RpY2FsPjxmdWxsLXRpdGxlPkh1bSBSZXNvdXIgSGVh
bHRoPC9mdWxsLXRpdGxlPjwvYWx0LXBlcmlvZGljYWw+PHBhZ2VzPjY5PC9wYWdlcz48dm9sdW1l
PjEzPC92b2x1bWU+PGtleXdvcmRzPjxrZXl3b3JkPkFkdWx0PC9rZXl3b3JkPjxrZXl3b3JkPkNy
b3NzLVNlY3Rpb25hbCBTdHVkaWVzPC9rZXl3b3JkPjxrZXl3b3JkPkZlbWFsZTwva2V5d29yZD48
a2V5d29yZD5IdW1hbnM8L2tleXdvcmQ+PGtleXdvcmQ+TWFsZTwva2V5d29yZD48a2V5d29yZD5N
aWRkbGUgQWdlZDwva2V5d29yZD48a2V5d29yZD5Ob3J3YXk8L2tleXdvcmQ+PGtleXdvcmQ+UGVy
c29uYWxpdHk8L2tleXdvcmQ+PGtleXdvcmQ+KlJlaW1idXJzZW1lbnQgTWVjaGFuaXNtczwva2V5
d29yZD48a2V5d29yZD5SaXNrIEFzc2Vzc21lbnQ8L2tleXdvcmQ+PGtleXdvcmQ+U2FsYXJpZXMg
YW5kIEZyaW5nZSBCZW5lZml0cy9zbiBbU3RhdGlzdGljcyAmYW1wOyBOdW1lcmljYWwgRGF0YV08
L2tleXdvcmQ+PGtleXdvcmQ+U2V4IEZhY3RvcnM8L2tleXdvcmQ+PGtleXdvcmQ+KlN0dWRlbnRz
LCBNZWRpY2FsL3B4IFtQc3ljaG9sb2d5XTwva2V5d29yZD48a2V5d29yZD5VbmNlcnRhaW50eTwv
a2V5d29yZD48L2tleXdvcmRzPjxkYXRlcz48eWVhcj4yMDE1PC95ZWFyPjxwdWItZGF0ZXM+PGRh
dGU+QXVnIDE5PC9kYXRlPjwvcHViLWRhdGVzPjwvZGF0ZXM+PGlzYm4+MTQ3OC00NDkxPC9pc2Ju
PjxhY2Nlc3Npb24tbnVtPjI2Mjg2NTU1PC9hY2Nlc3Npb24tbnVtPjx3b3JrLXR5cGU+UmVzZWFy
Y2ggU3VwcG9ydCwgTm9uLVUuUy4gR292JmFwb3M7dDwvd29yay10eXBlPjx1cmxzPjwvdXJscz48
ZWxlY3Ryb25pYy1yZXNvdXJjZS1udW0+aHR0cHM6Ly9keC5kb2kub3JnLzEwLjExODYvczEyOTYw
LTAxNS0wMDYwLTA8L2VsZWN0cm9uaWMtcmVzb3VyY2UtbnVtPjxyZW1vdGUtZGF0YWJhc2UtbmFt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4654FD">
        <w:instrText xml:space="preserve"> ADDIN EN.CITE </w:instrText>
      </w:r>
      <w:r w:rsidR="004654FD">
        <w:fldChar w:fldCharType="begin">
          <w:fldData xml:space="preserve">PEVuZE5vdGU+PENpdGU+PEF1dGhvcj5BYmVsc2VuPC9BdXRob3I+PFllYXI+MjAxNTwvWWVhcj48
UmVjTnVtPjg5MjwvUmVjTnVtPjxEaXNwbGF5VGV4dD4oQWJlbHNlbiBldCBhbC4sIDIwMTUpPC9E
aXNwbGF5VGV4dD48cmVjb3JkPjxyZWMtbnVtYmVyPjg5MjwvcmVjLW51bWJlcj48Zm9yZWlnbi1r
ZXlzPjxrZXkgYXBwPSJFTiIgZGItaWQ9Ijk1dHByMnRwNnI5eHdvZWE5cmI1d2RzejVkczV4ZWRk
dGVldyIgdGltZXN0YW1wPSIxNjgwMDY5NTExIj44OTI8L2tleT48L2ZvcmVpZ24ta2V5cz48cmVm
LXR5cGUgbmFtZT0iSm91cm5hbCBBcnRpY2xlIj4xNzwvcmVmLXR5cGU+PGNvbnRyaWJ1dG9ycz48
YXV0aG9ycz48YXV0aG9yPkFiZWxzZW4sIEIuPC9hdXRob3I+PGF1dGhvcj5PbHNlbiwgSi4gQS48
L2F1dGhvcj48L2F1dGhvcnM+PC9jb250cmlidXRvcnM+PGF1dGgtYWRkcmVzcz5BYmVsc2VuLCBC
aXJnaXQuIE5hdGlvbmFsIENlbnRyZSBvZiBSdXJhbCBNZWRpY2luZSwgRGVwYXJ0bWVudCBvZiBD
b21tdW5pdHkgTWVkaWNpbmUsIFVpVCBUaGUgQXJjdGljIFVuaXZlcnNpdHkgb2YgTm9yd2F5LCBO
LTkwMzcsIFRyb21zbywgTm9yd2F5LiBiaXJnaXQuYWJlbHNlbkB1aXQubm8uJiN4RDtPbHNlbiwg
SmFuIEFiZWwuIERlcGFydG1lbnQgb2YgQ29tbXVuaXR5IE1lZGljaW5lLCBVaVQgVGhlIEFyY3Rp
YyBVbml2ZXJzaXR5IG9mIE5vcndheSwgTi05MDM3LCBUcm9tc28sIE5vcndheS4gamFuLmFiZWwu
b2xzZW5AdWl0Lm5vLjwvYXV0aC1hZGRyZXNzPjx0aXRsZXM+PHRpdGxlPllvdW5nIGRvY3RvcnMm
YXBvczsgcHJlZmVyZW5jZXMgZm9yIHBheW1lbnQgc3lzdGVtczogdGhlIGluZmx1ZW5jZSBvZiBn
ZW5kZXIgYW5kIHBlcnNvbmFsaXR5IHRyYWl0czwvdGl0bGU+PHNlY29uZGFyeS10aXRsZT5IdW1h
biBSZXNvdXJjZXMgZm9yIEhlYWx0aCBbRWxlY3Ryb25pYyBSZXNvdXJjZV08L3NlY29uZGFyeS10
aXRsZT48YWx0LXRpdGxlPkh1bSBSZXNvdXIgSGVhbHRoPC9hbHQtdGl0bGU+PC90aXRsZXM+PHBl
cmlvZGljYWw+PGZ1bGwtdGl0bGU+SHVtYW4gUmVzb3VyY2VzIGZvciBIZWFsdGggW0VsZWN0cm9u
aWMgUmVzb3VyY2VdPC9mdWxsLXRpdGxlPjxhYmJyLTE+SHVtIFJlc291ciBIZWFsdGg8L2FiYnIt
MT48L3BlcmlvZGljYWw+PGFsdC1wZXJpb2RpY2FsPjxmdWxsLXRpdGxlPkh1bSBSZXNvdXIgSGVh
bHRoPC9mdWxsLXRpdGxlPjwvYWx0LXBlcmlvZGljYWw+PHBhZ2VzPjY5PC9wYWdlcz48dm9sdW1l
PjEzPC92b2x1bWU+PGtleXdvcmRzPjxrZXl3b3JkPkFkdWx0PC9rZXl3b3JkPjxrZXl3b3JkPkNy
b3NzLVNlY3Rpb25hbCBTdHVkaWVzPC9rZXl3b3JkPjxrZXl3b3JkPkZlbWFsZTwva2V5d29yZD48
a2V5d29yZD5IdW1hbnM8L2tleXdvcmQ+PGtleXdvcmQ+TWFsZTwva2V5d29yZD48a2V5d29yZD5N
aWRkbGUgQWdlZDwva2V5d29yZD48a2V5d29yZD5Ob3J3YXk8L2tleXdvcmQ+PGtleXdvcmQ+UGVy
c29uYWxpdHk8L2tleXdvcmQ+PGtleXdvcmQ+KlJlaW1idXJzZW1lbnQgTWVjaGFuaXNtczwva2V5
d29yZD48a2V5d29yZD5SaXNrIEFzc2Vzc21lbnQ8L2tleXdvcmQ+PGtleXdvcmQ+U2FsYXJpZXMg
YW5kIEZyaW5nZSBCZW5lZml0cy9zbiBbU3RhdGlzdGljcyAmYW1wOyBOdW1lcmljYWwgRGF0YV08
L2tleXdvcmQ+PGtleXdvcmQ+U2V4IEZhY3RvcnM8L2tleXdvcmQ+PGtleXdvcmQ+KlN0dWRlbnRz
LCBNZWRpY2FsL3B4IFtQc3ljaG9sb2d5XTwva2V5d29yZD48a2V5d29yZD5VbmNlcnRhaW50eTwv
a2V5d29yZD48L2tleXdvcmRzPjxkYXRlcz48eWVhcj4yMDE1PC95ZWFyPjxwdWItZGF0ZXM+PGRh
dGU+QXVnIDE5PC9kYXRlPjwvcHViLWRhdGVzPjwvZGF0ZXM+PGlzYm4+MTQ3OC00NDkxPC9pc2Ju
PjxhY2Nlc3Npb24tbnVtPjI2Mjg2NTU1PC9hY2Nlc3Npb24tbnVtPjx3b3JrLXR5cGU+UmVzZWFy
Y2ggU3VwcG9ydCwgTm9uLVUuUy4gR292JmFwb3M7dDwvd29yay10eXBlPjx1cmxzPjwvdXJscz48
ZWxlY3Ryb25pYy1yZXNvdXJjZS1udW0+aHR0cHM6Ly9keC5kb2kub3JnLzEwLjExODYvczEyOTYw
LTAxNS0wMDYwLTA8L2VsZWN0cm9uaWMtcmVzb3VyY2UtbnVtPjxyZW1vdGUtZGF0YWJhc2UtbmFt
ZT5NRURMSU5FPC9yZW1vdGUtZGF0YWJhc2UtbmFtZT48cmVtb3RlLWRhdGFiYXNlLXByb3ZpZGVy
Pk92aWQgVGVjaG5vbG9naWVzPC9yZW1vdGUtZGF0YWJhc2UtcHJvdmlkZXI+PGxhbmd1YWdlPkVu
Z2xpc2g8L2xhbmd1YWdlPjwvcmVjb3JkPjwvQ2l0ZT48L0VuZE5vdGU+AG==
</w:fldData>
        </w:fldChar>
      </w:r>
      <w:r w:rsidR="004654FD">
        <w:instrText xml:space="preserve"> ADDIN EN.CITE.DATA </w:instrText>
      </w:r>
      <w:r w:rsidR="004654FD">
        <w:fldChar w:fldCharType="end"/>
      </w:r>
      <w:r w:rsidR="008F1580">
        <w:fldChar w:fldCharType="separate"/>
      </w:r>
      <w:r w:rsidR="004654FD">
        <w:rPr>
          <w:noProof/>
        </w:rPr>
        <w:t>(Abelsen et al., 2015)</w:t>
      </w:r>
      <w:r w:rsidR="008F1580">
        <w:fldChar w:fldCharType="end"/>
      </w:r>
      <w:r w:rsidRPr="38BFEDFD">
        <w:t>.</w:t>
      </w:r>
    </w:p>
    <w:p w14:paraId="31FE32F9" w14:textId="77777777" w:rsidR="00D9107F" w:rsidRDefault="07609F93" w:rsidP="004F1500">
      <w:r w:rsidRPr="38BFEDFD">
        <w:t>Evalueringen av fastlegeordningen fra 2019 viser</w:t>
      </w:r>
      <w:r w:rsidRPr="38BFEDFD" w:rsidDel="00A05916">
        <w:t xml:space="preserve"> </w:t>
      </w:r>
      <w:r w:rsidRPr="38BFEDFD">
        <w:t>til flere forhold som gjør unge leger usikre på om de ønsker å bli fastlege. Det pekes på at nyutdannede leger opplever økonomisk usikkerhet med bekymringer knyttet til høye investeringskostnader, manglende inntjeningsgrunnlag ved oppstart av næringsdrift, samt usikkerhet rundt og mangel på sosiale ordninger. Ansvar for drift av legekontoret kan virke avskrekkende. Fleksibilitet til å kunne skifte fra fastlege til annen legevirksomhet, kombinert med økonomisk risiko og et betydelig arbeidspress for å sikre avkastning på investering i en legepraksis, fr</w:t>
      </w:r>
      <w:r w:rsidR="1CB5A62C" w:rsidRPr="38BFEDFD">
        <w:t>a</w:t>
      </w:r>
      <w:r w:rsidRPr="38BFEDFD">
        <w:t>mstår som en vesentlig barriere for å få nye fastleger til å etablere seg.</w:t>
      </w:r>
    </w:p>
    <w:p w14:paraId="289992F2" w14:textId="77777777" w:rsidR="00D9107F" w:rsidRDefault="002472E5" w:rsidP="004F1500">
      <w:r w:rsidRPr="38BFEDFD">
        <w:t>Av de spurte medisinstudentene og LIS1 oppga 82 prosent den gang at de ville foretrukket fastlønn mens de gjennomfører spesialistutdannelsen i allmennmedisin, mens 10 prosent ville foretrukket næringsdrift. På spørsmålet om hvilken driftsform de ville foretrukket etter at de hadde fullført spesialiseringen i allmennmedisin ville 37 prosent foretrukket fastlønn og like mange ville foretrukket næringsdrift</w:t>
      </w:r>
      <w:r w:rsidRPr="38BFEDFD" w:rsidDel="565F36C3">
        <w:t>. Av fastlegevikarene som ble spurt</w:t>
      </w:r>
      <w:r>
        <w:t>,</w:t>
      </w:r>
      <w:r w:rsidRPr="38BFEDFD" w:rsidDel="565F36C3">
        <w:t xml:space="preserve"> ville 55 prosent foretrukket fastlønn </w:t>
      </w:r>
      <w:r w:rsidRPr="38BFEDFD">
        <w:t>under</w:t>
      </w:r>
      <w:r>
        <w:t xml:space="preserve"> spesialistutdanningen</w:t>
      </w:r>
      <w:r w:rsidDel="565F36C3">
        <w:t>. Etter fullført sp</w:t>
      </w:r>
      <w:r>
        <w:t>esialistutdanning</w:t>
      </w:r>
      <w:r w:rsidDel="565F36C3">
        <w:t xml:space="preserve"> ville 30 prosent av fastlegevikarene ønsket seg fastlønn, mens 56 prosent ville foretrukket næringsdrift</w:t>
      </w:r>
      <w:r>
        <w:t xml:space="preserve"> </w:t>
      </w:r>
      <w:r w:rsidR="001F5F05">
        <w:fldChar w:fldCharType="begin"/>
      </w:r>
      <w:r w:rsidR="004654FD">
        <w:instrText xml:space="preserve"> ADDIN EN.CITE &lt;EndNote&gt;&lt;Cite&gt;&lt;Author&gt;EY og Vista Analyse&lt;/Author&gt;&lt;Year&gt;2019&lt;/Year&gt;&lt;RecNum&gt;211&lt;/RecNum&gt;&lt;DisplayText&gt;(EY og Vista Analyse, 2019)&lt;/DisplayText&gt;&lt;record&gt;&lt;rec-number&gt;211&lt;/rec-number&gt;&lt;foreign-keys&gt;&lt;key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Analyse&lt;/publisher&gt;&lt;urls&gt;&lt;/urls&gt;&lt;/record&gt;&lt;/Cite&gt;&lt;/EndNote&gt;</w:instrText>
      </w:r>
      <w:r w:rsidR="001F5F05">
        <w:fldChar w:fldCharType="separate"/>
      </w:r>
      <w:r w:rsidR="001F5F05">
        <w:rPr>
          <w:noProof/>
        </w:rPr>
        <w:t>(EY og Vista Analyse, 2019)</w:t>
      </w:r>
      <w:r w:rsidR="001F5F05">
        <w:fldChar w:fldCharType="end"/>
      </w:r>
      <w:r w:rsidR="70B61229" w:rsidRPr="60DDC96F">
        <w:t>.</w:t>
      </w:r>
    </w:p>
    <w:p w14:paraId="741A7AE3" w14:textId="77777777" w:rsidR="00D9107F" w:rsidRDefault="07609F93" w:rsidP="004F1500">
      <w:r w:rsidRPr="1E4073B4">
        <w:t>Funnene fra evalueringen i 2019 understøttes av de publiserte</w:t>
      </w:r>
      <w:r w:rsidRPr="004A5337">
        <w:t xml:space="preserve"> resultatene fra en spørreundersøkelse </w:t>
      </w:r>
      <w:r w:rsidR="7B871BEF">
        <w:t xml:space="preserve">rettet mot et utvalg </w:t>
      </w:r>
      <w:r w:rsidRPr="004A5337">
        <w:t xml:space="preserve">medisinstudenter og LIS1 våren 2022. </w:t>
      </w:r>
      <w:r w:rsidR="2CA35E6D">
        <w:t>B</w:t>
      </w:r>
      <w:r w:rsidR="3C9972B8">
        <w:t xml:space="preserve">lant de spurte </w:t>
      </w:r>
      <w:r w:rsidR="6AB1CF12">
        <w:t xml:space="preserve">oppgir </w:t>
      </w:r>
      <w:r>
        <w:t xml:space="preserve">de </w:t>
      </w:r>
      <w:r w:rsidRPr="00AF7E26">
        <w:t xml:space="preserve">fleste </w:t>
      </w:r>
      <w:r w:rsidR="58ED9980">
        <w:t xml:space="preserve">at de </w:t>
      </w:r>
      <w:r w:rsidRPr="00AF7E26">
        <w:t>ønsker å være kommunalt ansatt med fast lønn og bonus dersom de skal jobbe som fastlege</w:t>
      </w:r>
      <w:r w:rsidR="27DA637E">
        <w:t xml:space="preserve">. </w:t>
      </w:r>
      <w:r>
        <w:t>Slår en sammen alle formene for kommunal ansettelse</w:t>
      </w:r>
      <w:r w:rsidR="7B798AF3">
        <w:t>,</w:t>
      </w:r>
      <w:r>
        <w:t xml:space="preserve"> foretrekker 66 prosent dette som nyutdannet. </w:t>
      </w:r>
      <w:r w:rsidRPr="004A5337">
        <w:t>Som ferdig spesialist</w:t>
      </w:r>
      <w:r w:rsidR="7B798AF3">
        <w:t>,</w:t>
      </w:r>
      <w:r w:rsidRPr="004A5337">
        <w:t xml:space="preserve"> foretrakk 40 prosent kommunal ansettelse, mens </w:t>
      </w:r>
      <w:r>
        <w:t xml:space="preserve">38 prosent </w:t>
      </w:r>
      <w:r w:rsidRPr="004A5337">
        <w:t xml:space="preserve">foretrakk </w:t>
      </w:r>
      <w:r>
        <w:t xml:space="preserve">varianter av </w:t>
      </w:r>
      <w:r w:rsidR="005F4696" w:rsidRPr="004A5337">
        <w:t>næringsdrift</w:t>
      </w:r>
      <w:r w:rsidR="005F4696">
        <w:t>.</w:t>
      </w:r>
      <w:r w:rsidR="7B871BEF">
        <w:t xml:space="preserve"> </w:t>
      </w:r>
      <w:r w:rsidR="123EFFEE">
        <w:t xml:space="preserve">I den </w:t>
      </w:r>
      <w:r w:rsidR="7B871BEF">
        <w:t xml:space="preserve">samme </w:t>
      </w:r>
      <w:r w:rsidR="7B871BEF" w:rsidRPr="38BFEDFD">
        <w:t>spørreundersøkelsen</w:t>
      </w:r>
      <w:r w:rsidR="7B871BEF">
        <w:t xml:space="preserve"> </w:t>
      </w:r>
      <w:r w:rsidR="123EFFEE">
        <w:t>oppgir de spurte at</w:t>
      </w:r>
      <w:r w:rsidR="7B871BEF">
        <w:t xml:space="preserve"> veiledning og støtte fra kollegaer</w:t>
      </w:r>
      <w:r w:rsidR="621E37E9">
        <w:t xml:space="preserve"> (79 prosent</w:t>
      </w:r>
      <w:r w:rsidR="1E096F34">
        <w:t>)</w:t>
      </w:r>
      <w:r w:rsidR="7B871BEF">
        <w:t xml:space="preserve">, </w:t>
      </w:r>
      <w:r w:rsidR="7B871BEF">
        <w:lastRenderedPageBreak/>
        <w:t xml:space="preserve">etterfulgt av muligheter for faglig utvikling </w:t>
      </w:r>
      <w:r w:rsidR="1E096F34">
        <w:t xml:space="preserve">(66 prosent) </w:t>
      </w:r>
      <w:r w:rsidR="7B871BEF">
        <w:t>og faglig miljø</w:t>
      </w:r>
      <w:r w:rsidR="1E096F34">
        <w:t xml:space="preserve"> (61 prosent)</w:t>
      </w:r>
      <w:r w:rsidR="7B871BEF">
        <w:t xml:space="preserve">, </w:t>
      </w:r>
      <w:r w:rsidR="5E3C0BFE">
        <w:t>er</w:t>
      </w:r>
      <w:r w:rsidR="7B871BEF">
        <w:t xml:space="preserve"> av størst betydning for videre yrkesvalg</w:t>
      </w:r>
      <w:r w:rsidR="5B1A2F13">
        <w:t xml:space="preserve"> </w:t>
      </w:r>
      <w:r w:rsidR="001F5F05">
        <w:fldChar w:fldCharType="begin"/>
      </w:r>
      <w:r w:rsidR="001F5F05">
        <w:instrText xml:space="preserve"> ADDIN EN.CITE &lt;EndNote&gt;&lt;Cite&gt;&lt;Author&gt;Oslo Economics&lt;/Author&gt;&lt;Year&gt;2022&lt;/Year&gt;&lt;RecNum&gt;218&lt;/RecNum&gt;&lt;DisplayText&gt;(Oslo Economics, 2022)&lt;/DisplayText&gt;&lt;record&gt;&lt;rec-number&gt;218&lt;/rec-number&gt;&lt;foreign-keys&gt;&lt;key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rsidR="001F5F05">
        <w:fldChar w:fldCharType="separate"/>
      </w:r>
      <w:r w:rsidR="001F5F05">
        <w:rPr>
          <w:noProof/>
        </w:rPr>
        <w:t>(Oslo Economics, 2022)</w:t>
      </w:r>
      <w:r w:rsidR="001F5F05">
        <w:fldChar w:fldCharType="end"/>
      </w:r>
      <w:r w:rsidR="20385F72">
        <w:t>.</w:t>
      </w:r>
    </w:p>
    <w:p w14:paraId="30D6EE0F" w14:textId="77777777" w:rsidR="00D9107F" w:rsidRDefault="188F055E" w:rsidP="004F1500">
      <w:r>
        <w:t xml:space="preserve">Mye av ALIS-forskningen har vært rettet mot gjennomføringen av spesialistutdanningen i allmennmedisin i distriktskommuner. </w:t>
      </w:r>
      <w:r w:rsidR="07609F93" w:rsidRPr="00A3414B">
        <w:t>Forskningsresultater fra Nasjonalt senter for distriktsmedisin</w:t>
      </w:r>
      <w:r w:rsidR="07609F93">
        <w:t xml:space="preserve"> </w:t>
      </w:r>
      <w:r w:rsidR="07609F93" w:rsidRPr="00A3414B">
        <w:t xml:space="preserve">(NSDM), og følgeforskningen av ALIS-Vest og ALIS-Nord prosjektene, har vist at det å utvikle et inkluderende og faglig miljø, og legge til rette for spesialisering i allmennmedisin med tilgang til og god kvalitet på veiledning og supervisjon, er </w:t>
      </w:r>
      <w:r w:rsidR="07609F93">
        <w:t xml:space="preserve">viktig </w:t>
      </w:r>
      <w:r w:rsidR="07609F93" w:rsidRPr="00A3414B">
        <w:t>for å rekruttere og beholde fastleger</w:t>
      </w:r>
      <w:r w:rsidR="75917F2A">
        <w:t xml:space="preserve"> </w:t>
      </w:r>
      <w:r w:rsidR="008F1580">
        <w:fldChar w:fldCharType="begin"/>
      </w:r>
      <w:r w:rsidR="00235862">
        <w:instrText xml:space="preserve"> ADDIN EN.CITE &lt;EndNote&gt;&lt;Cite&gt;&lt;Author&gt;Abelsen&lt;/Author&gt;&lt;Year&gt;2019&lt;/Year&gt;&lt;RecNum&gt;691&lt;/RecNum&gt;&lt;DisplayText&gt;(Abelsen et al., 2019)&lt;/DisplayText&gt;&lt;record&gt;&lt;rec-number&gt;691&lt;/rec-number&gt;&lt;foreign-keys&gt;&lt;key app="EN" db-id="95tpr2tp6r9xwoea9rb5wdsz5ds5xeddteew" timestamp="1680069511"&gt;691&lt;/key&gt;&lt;/foreign-keys&gt;&lt;ref-type name="Report"&gt;27&lt;/ref-type&gt;&lt;contributors&gt;&lt;authors&gt;&lt;author&gt;Abelsen, Birgit&lt;/author&gt;&lt;author&gt;Brandstorp, Helen&lt;/author&gt;&lt;/authors&gt;&lt;/contributors&gt;&lt;titles&gt;&lt;title&gt;Recruit &amp;amp; Retain - Making it Work: Den norske case-studien&lt;/title&gt;&lt;/titles&gt;&lt;pages&gt;1-34&lt;/pages&gt;&lt;dates&gt;&lt;year&gt;2019&lt;/year&gt;&lt;/dates&gt;&lt;publisher&gt;Nasjonalt senter for distriktsmedisin og UiT Norges arktiske universitet&lt;/publisher&gt;&lt;urls&gt;&lt;/urls&gt;&lt;/record&gt;&lt;/Cite&gt;&lt;/EndNote&gt;</w:instrText>
      </w:r>
      <w:r w:rsidR="008F1580">
        <w:fldChar w:fldCharType="separate"/>
      </w:r>
      <w:r w:rsidR="00856689">
        <w:rPr>
          <w:noProof/>
        </w:rPr>
        <w:t>(Abelsen et al., 2019)</w:t>
      </w:r>
      <w:r w:rsidR="008F1580">
        <w:fldChar w:fldCharType="end"/>
      </w:r>
      <w:r w:rsidR="07609F93" w:rsidRPr="00A3414B">
        <w:t>.</w:t>
      </w:r>
    </w:p>
    <w:p w14:paraId="43D551AB" w14:textId="77777777" w:rsidR="00D9107F" w:rsidRDefault="16C0FEB4" w:rsidP="004F1500">
      <w:r>
        <w:t>Pilotprosjektet ALIS-Vest ble etablert med utgangspunkt i den gamle spesialiseringsordningen i allmennmedisin</w:t>
      </w:r>
      <w:r w:rsidR="00907CE4">
        <w:t>,</w:t>
      </w:r>
      <w:r>
        <w:t xml:space="preserve"> med mål om å </w:t>
      </w:r>
      <w:r w:rsidRPr="00A75339">
        <w:t xml:space="preserve">tilby </w:t>
      </w:r>
      <w:r>
        <w:t xml:space="preserve">fastlønnede </w:t>
      </w:r>
      <w:r w:rsidRPr="00A75339">
        <w:t>utdanningsstillinger til ALIS</w:t>
      </w:r>
      <w:r>
        <w:t xml:space="preserve"> for</w:t>
      </w:r>
      <w:r w:rsidRPr="00A75339">
        <w:t xml:space="preserve"> å sikre rekruttering og stabili</w:t>
      </w:r>
      <w:r>
        <w:t>tet</w:t>
      </w:r>
      <w:r w:rsidRPr="00A75339">
        <w:t xml:space="preserve"> </w:t>
      </w:r>
      <w:r>
        <w:t>til fastlegetjenesten</w:t>
      </w:r>
      <w:r w:rsidRPr="00A75339">
        <w:t>.</w:t>
      </w:r>
      <w:r>
        <w:t xml:space="preserve"> En følgeevaluering har fulgt </w:t>
      </w:r>
      <w:r w:rsidR="601EA8EF">
        <w:t xml:space="preserve">etableringen av </w:t>
      </w:r>
      <w:r>
        <w:t>16 utdanningsstillinger i 11 kommuner i Vestland</w:t>
      </w:r>
      <w:r w:rsidR="00B77B27">
        <w:t xml:space="preserve"> </w:t>
      </w:r>
      <w:r w:rsidR="00B77B27">
        <w:fldChar w:fldCharType="begin"/>
      </w:r>
      <w:r w:rsidR="00235862">
        <w:instrText xml:space="preserve"> ADDIN EN.CITE &lt;EndNote&gt;&lt;Cite&gt;&lt;Author&gt;Abelsen&lt;/Author&gt;&lt;Year&gt;2023&lt;/Year&gt;&lt;RecNum&gt;633&lt;/RecNum&gt;&lt;DisplayText&gt;(Abelsen et al., 2023)&lt;/DisplayText&gt;&lt;record&gt;&lt;rec-number&gt;633&lt;/rec-number&gt;&lt;foreign-keys&gt;&lt;key app="EN" db-id="95tpr2tp6r9xwoea9rb5wdsz5ds5xeddteew" timestamp="1680069511"&gt;633&lt;/key&gt;&lt;/foreign-keys&gt;&lt;ref-type name="Report"&gt;27&lt;/ref-type&gt;&lt;contributors&gt;&lt;authors&gt;&lt;author&gt; Abelsen, B., &lt;/author&gt;&lt;author&gt;Fosse, A.,&lt;/author&gt;&lt;author&gt;Brandstorp, H&lt;/author&gt;&lt;/authors&gt;&lt;/contributors&gt;&lt;titles&gt;&lt;title&gt;Pilotprosjektet ALIS-vest: En utprøving av utdanningsstillinger i allmennmedisin. Sluttrapport fra følgeevaluering&lt;/title&gt;&lt;/titles&gt;&lt;dates&gt;&lt;year&gt;2023&lt;/year&gt;&lt;/dates&gt;&lt;pub-location&gt;Tromsø&lt;/pub-location&gt;&lt;publisher&gt;Nasjonalt senter for distriktsmedisin og UiT Norges arktiske universitet&lt;/publisher&gt;&lt;urls&gt;&lt;/urls&gt;&lt;/record&gt;&lt;/Cite&gt;&lt;/EndNote&gt;</w:instrText>
      </w:r>
      <w:r w:rsidR="00B77B27">
        <w:fldChar w:fldCharType="separate"/>
      </w:r>
      <w:r w:rsidR="00D078E3">
        <w:rPr>
          <w:noProof/>
        </w:rPr>
        <w:t>(Abelsen et al., 2023)</w:t>
      </w:r>
      <w:r w:rsidR="00B77B27">
        <w:fldChar w:fldCharType="end"/>
      </w:r>
      <w:r>
        <w:t xml:space="preserve">. Funn fra følgeevalueringen tyder på at det ikke er avgjørende hvor lenge en utdanningsstilling varer. </w:t>
      </w:r>
      <w:r w:rsidR="002472E5">
        <w:t xml:space="preserve">Det viktigste er muligheten den gir unge leger å tre inn i fastlegetjenesten uten økonomisk risiko, med klare rammer for arbeidet som fast lønn, regulert arbeidstid, et planlagt utdanningsløp og mulighet for fritid. </w:t>
      </w:r>
      <w:r w:rsidR="002472E5">
        <w:rPr>
          <w:rFonts w:eastAsia="Calibri Light" w:cs="Calibri Light"/>
        </w:rPr>
        <w:t>Utdanningsstillingen</w:t>
      </w:r>
      <w:r w:rsidR="002472E5" w:rsidRPr="1C17C85F">
        <w:rPr>
          <w:rFonts w:eastAsia="Calibri Light" w:cs="Calibri Light"/>
        </w:rPr>
        <w:t xml:space="preserve"> ga de fleste</w:t>
      </w:r>
      <w:r w:rsidR="002472E5" w:rsidRPr="5A4BAA3D" w:rsidDel="00CE7B39">
        <w:rPr>
          <w:rFonts w:eastAsia="Calibri Light" w:cs="Calibri Light"/>
        </w:rPr>
        <w:t xml:space="preserve"> </w:t>
      </w:r>
      <w:r w:rsidR="002472E5">
        <w:rPr>
          <w:rFonts w:eastAsia="Calibri Light" w:cs="Calibri Light"/>
        </w:rPr>
        <w:t>ALIS</w:t>
      </w:r>
      <w:r w:rsidR="002472E5" w:rsidRPr="5A4BAA3D">
        <w:rPr>
          <w:rFonts w:eastAsia="Calibri Light" w:cs="Calibri Light"/>
        </w:rPr>
        <w:t xml:space="preserve"> gode rammebetingelser for å lære faget og å utvikle seg som fagperson. </w:t>
      </w:r>
      <w:r w:rsidR="002472E5">
        <w:t>Følgeevalueringen identifiserte en rekke samvirkende forhold av betydning for stabilitet i utdanningsstillingene; rom for å vokse inn i jobben som fastlege med velfungerende supervisjon og veiledning, og aksept for at det tar tid å bli kjent med både faget allmennmedisin, listeinnbyggere, journalsystem og arbeidsmåter.</w:t>
      </w:r>
    </w:p>
    <w:p w14:paraId="25E4D0CB" w14:textId="4077827A" w:rsidR="002472E5" w:rsidRDefault="002472E5" w:rsidP="004F1500">
      <w:r>
        <w:t>Kommunenes merkostnader ved de fastlønnede utdanningsstillingene varierte relativt mye og skyldtes kjennetegn dels ved ALIS, dels ved utformingen av den lokale fastlegetjenesten og dels ved kommunen. Lønnsnivået i utdanningsstillingene ble bestemt lokalt, og noen av kommunene brukte et høyt lønnsnivå som insentiv for å tiltrekke seg leger. Høye driftskostnader i fastlegekontorene, og vikarutgifter når ALIS var i institusjonstjeneste, var vesentlige kostnadsdrivere. Merkostnadene ble i liten grad problematisert av kommunale helselederinformanter. Flere av kommunene hadde ved starten av pilotprosjektet erfaring med høye kostnader og stor ustabilitet over tid knyttet til vikarbruk i sin fastlegetjeneste. De opplevde at kostnadene gikk ned og stabiliteten opp når de fikk ALIS inn i utdanningsstilling. Dagens nasjonale tilskuddsordning ville redusert deltakerkommunenes merkostnader til utdanningsstillingene betraktelig. Flere av fastlegene som ble spesialister i allmennmedisin i de fastlønnede utdanningsstillingene, har gått inn i næringsdrift etter endt spesialisering</w:t>
      </w:r>
    </w:p>
    <w:p w14:paraId="562ACE2B" w14:textId="3314E002" w:rsidR="00C43BA0" w:rsidRDefault="002472E5" w:rsidP="004F1500">
      <w:pPr>
        <w:rPr>
          <w:u w:val="single"/>
        </w:rPr>
      </w:pPr>
      <w:r>
        <w:t>Fafo, Agenda Kaupang og NSDM har studert implementeringen av ny spesialiseringsordning i allmennmedisin gjennom</w:t>
      </w:r>
      <w:r w:rsidR="34F5B881">
        <w:t xml:space="preserve"> følgestudie</w:t>
      </w:r>
      <w:r w:rsidR="26284C4A">
        <w:t>r</w:t>
      </w:r>
      <w:r w:rsidR="34F5B881">
        <w:t xml:space="preserve"> av </w:t>
      </w:r>
      <w:r w:rsidR="26284C4A">
        <w:t xml:space="preserve">henholdsvis </w:t>
      </w:r>
      <w:r w:rsidR="34F5B881">
        <w:t>pilotprosjektet ALIS-Nord og i syv bykommuner</w:t>
      </w:r>
      <w:r w:rsidR="193E3E2F">
        <w:t xml:space="preserve"> </w:t>
      </w:r>
      <w:r w:rsidR="008F1580">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8F1580">
        <w:fldChar w:fldCharType="separate"/>
      </w:r>
      <w:r w:rsidR="00856689">
        <w:rPr>
          <w:noProof/>
        </w:rPr>
        <w:t>(Helgheim Holte et al., 2022)</w:t>
      </w:r>
      <w:r w:rsidR="008F1580">
        <w:fldChar w:fldCharType="end"/>
      </w:r>
      <w:r w:rsidR="5BEBA2B7">
        <w:t>.</w:t>
      </w:r>
      <w:r w:rsidR="34F5B881">
        <w:t xml:space="preserve"> Pilotprosjektet ALIS-Nord ble etablert i 2019 og omfattet 32 utdanningsstillinger i 25 kommuner i Nord-Norge. I utgangspunktet ble det lagt opp til en 50/50-fordeling mellom ALIS med fastlønn og ALIS i næringsdrift. I praksis ble kun et </w:t>
      </w:r>
      <w:r w:rsidR="34F5B881">
        <w:lastRenderedPageBreak/>
        <w:t>fåtall ALIS rekruttert til næringsdrift. Årsakene til at ALIS ikke ønsket næringsdrift, var at de var usikre på om de ville bli fastlege og/eller usikre på om de ønsket å bli værende i kommunen på lengre sikt; de ønsket å konsentrere seg om det faglige framfor å styre med administrasjon og økonomi; og de ønsket trygderettighetene som følger med kommunal ansettelse.</w:t>
      </w:r>
      <w:r w:rsidR="104560F1">
        <w:t xml:space="preserve"> </w:t>
      </w:r>
      <w:r w:rsidR="7F51BE17">
        <w:t>Rapporten påpeker at k</w:t>
      </w:r>
      <w:r w:rsidR="104560F1">
        <w:t xml:space="preserve">ostnader ved kommunenes rolle som utdanningsvirksomhet </w:t>
      </w:r>
      <w:r w:rsidR="339C74DE">
        <w:t xml:space="preserve">er </w:t>
      </w:r>
      <w:r w:rsidR="104560F1">
        <w:t>vanskelig å beregne</w:t>
      </w:r>
      <w:r w:rsidR="00907CE4">
        <w:t>,</w:t>
      </w:r>
      <w:r w:rsidR="339C74DE">
        <w:t xml:space="preserve"> fordi</w:t>
      </w:r>
      <w:r w:rsidR="104560F1">
        <w:t xml:space="preserve"> de </w:t>
      </w:r>
      <w:r w:rsidR="09F47001">
        <w:t>i liten grad lar seg hente ut av regnskapstall.</w:t>
      </w:r>
    </w:p>
    <w:p w14:paraId="5E79455F" w14:textId="77777777" w:rsidR="00D9107F" w:rsidRDefault="4FD79333" w:rsidP="004F1500">
      <w:r>
        <w:t>I bykommunen</w:t>
      </w:r>
      <w:r w:rsidR="1D8F07AF">
        <w:t>e</w:t>
      </w:r>
      <w:r>
        <w:t xml:space="preserve"> kom det fram særlige</w:t>
      </w:r>
      <w:r w:rsidR="07609F93">
        <w:t xml:space="preserve"> utfordringer knyttet til gjennomføring av tjeneste i to års uselektert praksis </w:t>
      </w:r>
      <w:r w:rsidR="347B18D5">
        <w:t>for leger som ikke er fastleger</w:t>
      </w:r>
      <w:r w:rsidR="44AB6399">
        <w:t xml:space="preserve">. </w:t>
      </w:r>
      <w:r w:rsidR="737EFF43" w:rsidRPr="000B5F46">
        <w:t xml:space="preserve">Det ble stilt spørsmål ved rimeligheten i at en fast ansatt og fast lønnet kommunalt ansatt lege må bli næringsdrivende fastlegevikar i minst to år for å tilfredsstille kravet om åpen uselektert allmennpraksis. Den massive arbeidsmengden som gjerne er forbundet med et fastlegevikariat i næringsdrift, gjør at ALIS vegrer seg. Noen går inn i deler av et fastlegevikariat (for eksempel 50 prosent) og bruker da dobbelt så lang tid på de to årene det stilles krav om. Ordningen med introduksjonsavtale hvor ALIS ikke har eget listeansvar, men jobber på andre </w:t>
      </w:r>
      <w:r w:rsidR="1CB08610" w:rsidRPr="000B5F46">
        <w:t>lege</w:t>
      </w:r>
      <w:r w:rsidR="1CB08610">
        <w:t>r</w:t>
      </w:r>
      <w:r w:rsidR="1CB08610" w:rsidRPr="000B5F46">
        <w:t xml:space="preserve">s </w:t>
      </w:r>
      <w:r w:rsidR="737EFF43" w:rsidRPr="000B5F46">
        <w:t>lister, synes ikke å være noe godt alternativ fordi de, ifølge informanter, er forbundet med lite forutsigbar inntekt.</w:t>
      </w:r>
      <w:r w:rsidR="737EFF43">
        <w:t xml:space="preserve"> </w:t>
      </w:r>
      <w:r w:rsidR="44AB6399">
        <w:t>For de store bykommunene</w:t>
      </w:r>
      <w:r w:rsidR="00907CE4">
        <w:t>,</w:t>
      </w:r>
      <w:r w:rsidR="44AB6399">
        <w:t xml:space="preserve"> som har en legetjeneste med mange leger, har ny spesialistutdanning i allmennmedisin gitt betydelig merarbeid</w:t>
      </w:r>
      <w:r w:rsidR="4EA342B1">
        <w:t xml:space="preserve"> </w:t>
      </w:r>
      <w:r w:rsidR="001F5F05">
        <w:fldChar w:fldCharType="begin"/>
      </w:r>
      <w:r w:rsidR="00235862">
        <w:instrText xml:space="preserve"> ADDIN EN.CITE &lt;EndNote&gt;&lt;Cite&gt;&lt;Author&gt;Abelsen&lt;/Author&gt;&lt;Year&gt;2022&lt;/Year&gt;&lt;RecNum&gt;28&lt;/RecNum&gt;&lt;DisplayText&gt;(Abelsen et al., 2022a)&lt;/DisplayText&gt;&lt;record&gt;&lt;rec-number&gt;28&lt;/rec-number&gt;&lt;foreign-keys&gt;&lt;key app="EN" db-id="95tpr2tp6r9xwoea9rb5wdsz5ds5xeddteew" timestamp="1680069511"&gt;28&lt;/key&gt;&lt;/foreign-keys&gt;&lt;ref-type name="Report"&gt;27&lt;/ref-type&gt;&lt;contributors&gt;&lt;authors&gt;&lt;author&gt;Abelsen, Birgit&lt;/author&gt;&lt;author&gt;Fosse, Anette&lt;/author&gt;&lt;author&gt;Gaski, Margrete&lt;/author&gt;&lt;/authors&gt;&lt;/contributors&gt;&lt;titles&gt;&lt;title&gt;ALIS i bykommuner: Erfaringer med utdanningselementer og utdanningsløp&lt;/title&gt;&lt;secondary-title&gt;NSDM-rapport&lt;/secondary-title&gt;&lt;/titles&gt;&lt;dates&gt;&lt;year&gt;2022&lt;/year&gt;&lt;/dates&gt;&lt;pub-location&gt;Tromsø&lt;/pub-location&gt;&lt;publisher&gt;Nasjonalt senter for distriksmedisin og UiT Norges arktiske universitet&lt;/publisher&gt;&lt;urls&gt;&lt;/urls&gt;&lt;/record&gt;&lt;/Cite&gt;&lt;/EndNote&gt;</w:instrText>
      </w:r>
      <w:r w:rsidR="001F5F05">
        <w:fldChar w:fldCharType="separate"/>
      </w:r>
      <w:r w:rsidR="001F5F05">
        <w:rPr>
          <w:noProof/>
        </w:rPr>
        <w:t>(Abelsen et al., 2022a)</w:t>
      </w:r>
      <w:r w:rsidR="001F5F05">
        <w:fldChar w:fldCharType="end"/>
      </w:r>
      <w:r w:rsidR="70B61229">
        <w:t>.</w:t>
      </w:r>
    </w:p>
    <w:p w14:paraId="2B434383" w14:textId="77777777" w:rsidR="00D9107F" w:rsidRDefault="009B7166" w:rsidP="004F1500">
      <w:r>
        <w:t xml:space="preserve">De fleste ALIS som er intervjuet i følgeforskningen, var stort sett fornøyd med den nye spesialistutdanningen, herunder individuell veiledning, supervisjon, gruppeveiledning og kurs. Informanter uttrykte noe frustrasjon </w:t>
      </w:r>
      <w:r w:rsidR="003204A4">
        <w:t>over</w:t>
      </w:r>
      <w:r>
        <w:t xml:space="preserve"> diffuse læringsmål</w:t>
      </w:r>
      <w:r w:rsidR="00B3555E">
        <w:t>,</w:t>
      </w:r>
      <w:r>
        <w:t xml:space="preserve"> at det har vært krevende å finne ut av hvordan ting skal gjøres og at et nytt system </w:t>
      </w:r>
      <w:r w:rsidR="008C44F3">
        <w:t xml:space="preserve">er </w:t>
      </w:r>
      <w:r w:rsidR="001B6D50">
        <w:t>rulle</w:t>
      </w:r>
      <w:r w:rsidR="008C44F3">
        <w:t>t</w:t>
      </w:r>
      <w:r w:rsidR="001B6D50">
        <w:t xml:space="preserve"> ut </w:t>
      </w:r>
      <w:r>
        <w:t xml:space="preserve">i stor skala før det var ordentlig på plass. </w:t>
      </w:r>
      <w:r w:rsidR="007A1DE0">
        <w:t>N</w:t>
      </w:r>
      <w:r w:rsidR="00E836D2">
        <w:t xml:space="preserve">y spesialiseringsordning gir kommunene </w:t>
      </w:r>
      <w:r w:rsidR="0013240D">
        <w:t>ansvar</w:t>
      </w:r>
      <w:r w:rsidR="00E836D2">
        <w:t xml:space="preserve"> for å </w:t>
      </w:r>
      <w:r w:rsidR="0013240D">
        <w:t>godkjenne</w:t>
      </w:r>
      <w:r w:rsidR="00E836D2">
        <w:t xml:space="preserve"> læringsmål</w:t>
      </w:r>
      <w:r w:rsidR="00907CE4">
        <w:t>,</w:t>
      </w:r>
      <w:r w:rsidR="00E836D2">
        <w:t xml:space="preserve"> </w:t>
      </w:r>
      <w:r w:rsidR="00E16F9F">
        <w:t>i et s</w:t>
      </w:r>
      <w:r w:rsidR="008217A0">
        <w:t>ystem</w:t>
      </w:r>
      <w:r w:rsidR="00F74BE8">
        <w:t xml:space="preserve"> basert på tillit. Helseledere som i mange tilfeller ikke selv er lege, må ha tillit til at både ALIS og veileder har gjort det de skal før </w:t>
      </w:r>
      <w:r w:rsidR="001C1091">
        <w:t>de</w:t>
      </w:r>
      <w:r w:rsidR="00F74BE8">
        <w:t xml:space="preserve"> endelig godkjenner </w:t>
      </w:r>
      <w:r w:rsidR="008217A0">
        <w:t>læringsmål</w:t>
      </w:r>
      <w:r w:rsidR="00F74BE8">
        <w:t xml:space="preserve"> på vegne av kommunen. </w:t>
      </w:r>
      <w:r w:rsidR="00E836D2">
        <w:t>Enkelte ALIS uttry</w:t>
      </w:r>
      <w:r w:rsidR="008217A0">
        <w:t>kte</w:t>
      </w:r>
      <w:r w:rsidR="00E836D2">
        <w:t xml:space="preserve"> bekymring for at kvaliteten på utdanningen </w:t>
      </w:r>
      <w:r w:rsidR="00B725DD">
        <w:t xml:space="preserve">av den grunn </w:t>
      </w:r>
      <w:r w:rsidR="00E836D2">
        <w:t>vil kunne variere på tvers av ulike kommuner.</w:t>
      </w:r>
    </w:p>
    <w:p w14:paraId="6481227F" w14:textId="77777777" w:rsidR="00D9107F" w:rsidRDefault="00B725DD" w:rsidP="004F1500">
      <w:r>
        <w:t>Videre pekte</w:t>
      </w:r>
      <w:r w:rsidR="009B7166">
        <w:t xml:space="preserve"> helseledere på at læringsmålene som må oppnås gjennom institusjonstjeneste, er en relativt sett liten, men ressurskrevende del av spesialistutdanningen</w:t>
      </w:r>
      <w:r w:rsidR="00907CE4">
        <w:t>,</w:t>
      </w:r>
      <w:r w:rsidR="009B7166">
        <w:t xml:space="preserve"> som også bør vurderes i et nytte/kostnadsperspektiv. Det er særlig </w:t>
      </w:r>
      <w:r w:rsidR="009B7166" w:rsidRPr="00FD4522">
        <w:t xml:space="preserve">vanskelighetene </w:t>
      </w:r>
      <w:r w:rsidR="009B7166">
        <w:t xml:space="preserve">og kostnadene </w:t>
      </w:r>
      <w:r w:rsidR="009B7166" w:rsidRPr="00FD4522">
        <w:t>med å skaffe vikar når ALIS skal ha institusjonstjeneste</w:t>
      </w:r>
      <w:r w:rsidR="00907CE4">
        <w:t>,</w:t>
      </w:r>
      <w:r w:rsidR="009B7166">
        <w:t xml:space="preserve"> </w:t>
      </w:r>
      <w:r w:rsidR="00AE5C0F">
        <w:t>og risikoen for at ALIS flytter permanent fra kommunen</w:t>
      </w:r>
      <w:r w:rsidR="00907CE4">
        <w:t>,</w:t>
      </w:r>
      <w:r w:rsidR="00AE5C0F">
        <w:t xml:space="preserve"> </w:t>
      </w:r>
      <w:r w:rsidR="009B7166">
        <w:t>som trekkes fram som utfordringer.</w:t>
      </w:r>
    </w:p>
    <w:p w14:paraId="59B51CE7" w14:textId="4E81CC22" w:rsidR="00D9107F" w:rsidRDefault="00E1137F" w:rsidP="004F1500">
      <w:r>
        <w:t xml:space="preserve">Rapporten løfter fram at det er krevende for </w:t>
      </w:r>
      <w:r w:rsidR="00C15A96">
        <w:t>mange kommuner å skaffe kvalifiserte veiledere og</w:t>
      </w:r>
      <w:r w:rsidR="00934044">
        <w:t xml:space="preserve"> vedlikeholde den fagadministrative kompetansen som trengs for å være utdanningsvirksomhet</w:t>
      </w:r>
      <w:r w:rsidR="00C15A96">
        <w:t>.</w:t>
      </w:r>
      <w:r w:rsidR="00934044">
        <w:t xml:space="preserve"> </w:t>
      </w:r>
      <w:r w:rsidR="0016065D">
        <w:t xml:space="preserve">Det pekes på at lokalt tilpassede samarbeid om ivaretakelsen av rollen som utdanningsvirksomhet hvor ALIS-kontor involveres, </w:t>
      </w:r>
      <w:r w:rsidR="006A7A1A">
        <w:t xml:space="preserve">vil </w:t>
      </w:r>
      <w:r w:rsidR="00694E5C">
        <w:t xml:space="preserve">kunne </w:t>
      </w:r>
      <w:r w:rsidR="0016065D">
        <w:t>være hensiktsmessig</w:t>
      </w:r>
      <w:r w:rsidR="003204A4">
        <w:t xml:space="preserve"> for særlig de mindre folkerike kommunene</w:t>
      </w:r>
      <w:r w:rsidR="0016065D">
        <w:t>.</w:t>
      </w:r>
    </w:p>
    <w:p w14:paraId="4EBBF6B7" w14:textId="77777777" w:rsidR="00D9107F" w:rsidRDefault="07609F93" w:rsidP="004F1500">
      <w:r>
        <w:lastRenderedPageBreak/>
        <w:t>En undersøkelse gjort blant kommunale helseledere i Nord-Norge viser at få kommuner har utarbeidet planer for legetjenesten og det samarbeides i liten grad kommunene imellom. De nordnorske kommunene peker på at det er behov for en bedre finansieringsordning</w:t>
      </w:r>
      <w:r w:rsidR="00907CE4">
        <w:t>,</w:t>
      </w:r>
      <w:r>
        <w:t xml:space="preserve"> som omfatter utdanningen av leger. De er videre opptatt av at det er vanskelig å få på plass avtaler med helseforetakene om institusjonstjeneste for ALIS</w:t>
      </w:r>
      <w:r w:rsidR="14EFE00D">
        <w:t xml:space="preserve"> </w:t>
      </w:r>
      <w:r w:rsidR="001F5F05">
        <w:fldChar w:fldCharType="begin"/>
      </w:r>
      <w:r w:rsidR="00A27571">
        <w:instrText xml:space="preserve"> ADDIN EN.CITE &lt;EndNote&gt;&lt;Cite&gt;&lt;Author&gt;Helse Nord&lt;/Author&gt;&lt;Year&gt;2019&lt;/Year&gt;&lt;RecNum&gt;245&lt;/RecNum&gt;&lt;DisplayText&gt;(Helse Nord, 2019)&lt;/DisplayText&gt;&lt;record&gt;&lt;rec-number&gt;245&lt;/rec-number&gt;&lt;foreign-keys&gt;&lt;key app="EN" db-id="95tpr2tp6r9xwoea9rb5wdsz5ds5xeddteew" timestamp="1680069511"&gt;245&lt;/key&gt;&lt;/foreign-keys&gt;&lt;ref-type name="Report"&gt;27&lt;/ref-type&gt;&lt;contributors&gt;&lt;authors&gt;&lt;author&gt;Helse Nord,&lt;/author&gt;&lt;/authors&gt;&lt;/contributors&gt;&lt;titles&gt;&lt;title&gt;Fastlegetjenesten i Nord-Norge: Status, utfordringer og forslag til tiltak&lt;/title&gt;&lt;/titles&gt;&lt;dates&gt;&lt;year&gt;2019&lt;/year&gt;&lt;/dates&gt;&lt;pub-location&gt;Bodø&lt;/pub-location&gt;&lt;publisher&gt;Helse Nord&lt;/publisher&gt;&lt;urls&gt;&lt;/urls&gt;&lt;/record&gt;&lt;/Cite&gt;&lt;/EndNote&gt;</w:instrText>
      </w:r>
      <w:r w:rsidR="001F5F05">
        <w:fldChar w:fldCharType="separate"/>
      </w:r>
      <w:r w:rsidR="001F5F05">
        <w:rPr>
          <w:noProof/>
        </w:rPr>
        <w:t>(Helse Nord, 2019)</w:t>
      </w:r>
      <w:r w:rsidR="001F5F05">
        <w:fldChar w:fldCharType="end"/>
      </w:r>
      <w:r w:rsidR="70B61229">
        <w:t>.</w:t>
      </w:r>
      <w:r>
        <w:t xml:space="preserve"> Flere k</w:t>
      </w:r>
      <w:r w:rsidRPr="001D169E">
        <w:t>ommune</w:t>
      </w:r>
      <w:r>
        <w:t>r</w:t>
      </w:r>
      <w:r w:rsidRPr="001D169E">
        <w:t xml:space="preserve"> m</w:t>
      </w:r>
      <w:r>
        <w:t>angler</w:t>
      </w:r>
      <w:r w:rsidRPr="001D169E">
        <w:t xml:space="preserve"> ressurser til </w:t>
      </w:r>
      <w:r>
        <w:t>å jobbe systematisk med spesialistutdanningen for sine allmennleger, herunder</w:t>
      </w:r>
      <w:r w:rsidRPr="004A6175">
        <w:t xml:space="preserve"> sette opp gode planer som gir forutsigbare utdanningsløp</w:t>
      </w:r>
      <w:r w:rsidR="6E200A44">
        <w:t xml:space="preserve"> </w:t>
      </w:r>
      <w:r w:rsidR="001F5F05">
        <w:fldChar w:fldCharType="begin"/>
      </w:r>
      <w:r w:rsidR="00694E6D">
        <w:instrText xml:space="preserve"> ADDIN EN.CITE &lt;EndNote&gt;&lt;Cite&gt;&lt;Author&gt;Helsedirektoratet&lt;/Author&gt;&lt;Year&gt;2018&lt;/Year&gt;&lt;RecNum&gt;30&lt;/RecNum&gt;&lt;DisplayText&gt;(Helsedirektoratet, 2018a)&lt;/DisplayText&gt;&lt;record&gt;&lt;rec-number&gt;30&lt;/rec-number&gt;&lt;foreign-keys&gt;&lt;key app="EN" db-id="95tpr2tp6r9xwoea9rb5wdsz5ds5xeddteew" timestamp="1680069511"&gt;30&lt;/key&gt;&lt;/foreign-keys&gt;&lt;ref-type name="Report"&gt;27&lt;/ref-type&gt;&lt;contributors&gt;&lt;authors&gt;&lt;author&gt;Helsedirektoratet&lt;/author&gt;&lt;/authors&gt;&lt;/contributors&gt;&lt;titles&gt;&lt;title&gt;Allmennleger i spesialisering (ALIS): Del 2 av 2&lt;/title&gt;&lt;/titles&gt;&lt;dates&gt;&lt;year&gt;2018&lt;/year&gt;&lt;/dates&gt;&lt;pub-location&gt;Oslo&lt;/pub-location&gt;&lt;publisher&gt;Helsedirektoratet&lt;/publisher&gt;&lt;urls&gt;&lt;/urls&gt;&lt;/record&gt;&lt;/Cite&gt;&lt;/EndNote&gt;</w:instrText>
      </w:r>
      <w:r w:rsidR="001F5F05">
        <w:fldChar w:fldCharType="separate"/>
      </w:r>
      <w:r w:rsidR="001F5F05">
        <w:rPr>
          <w:noProof/>
        </w:rPr>
        <w:t>(Helsedirektoratet, 2018a)</w:t>
      </w:r>
      <w:r w:rsidR="001F5F05">
        <w:fldChar w:fldCharType="end"/>
      </w:r>
      <w:r w:rsidR="70B61229" w:rsidRPr="004A6175">
        <w:t>.</w:t>
      </w:r>
    </w:p>
    <w:p w14:paraId="426AC9C6" w14:textId="49153C6D" w:rsidR="00AA73CD" w:rsidRDefault="439CE0BB" w:rsidP="00775632">
      <w:pPr>
        <w:pStyle w:val="Overskrift3"/>
      </w:pPr>
      <w:bookmarkStart w:id="5028" w:name="_Toc120526262"/>
      <w:bookmarkStart w:id="5029" w:name="_Toc126834457"/>
      <w:bookmarkStart w:id="5030" w:name="_Toc127633342"/>
      <w:bookmarkStart w:id="5031" w:name="_Toc127864627"/>
      <w:bookmarkStart w:id="5032" w:name="_Toc128238641"/>
      <w:bookmarkStart w:id="5033" w:name="_Toc128742089"/>
      <w:bookmarkStart w:id="5034" w:name="_Toc128744717"/>
      <w:bookmarkStart w:id="5035" w:name="_Toc128744936"/>
      <w:bookmarkStart w:id="5036" w:name="_Toc129630441"/>
      <w:bookmarkStart w:id="5037" w:name="_Toc130763948"/>
      <w:bookmarkStart w:id="5038" w:name="_Toc130766843"/>
      <w:bookmarkStart w:id="5039" w:name="_Toc130932242"/>
      <w:bookmarkStart w:id="5040" w:name="_Toc130934533"/>
      <w:bookmarkStart w:id="5041" w:name="_Toc130983676"/>
      <w:bookmarkStart w:id="5042" w:name="_Toc130984025"/>
      <w:bookmarkStart w:id="5043" w:name="_Toc131062284"/>
      <w:bookmarkStart w:id="5044" w:name="_Toc131062538"/>
      <w:bookmarkStart w:id="5045" w:name="_Toc131062799"/>
      <w:bookmarkStart w:id="5046" w:name="_Toc131063052"/>
      <w:bookmarkStart w:id="5047" w:name="_Toc131063835"/>
      <w:bookmarkStart w:id="5048" w:name="_Toc131064246"/>
      <w:bookmarkStart w:id="5049" w:name="_Toc131279620"/>
      <w:bookmarkStart w:id="5050" w:name="_Toc131287032"/>
      <w:bookmarkStart w:id="5051" w:name="_Toc131281442"/>
      <w:bookmarkStart w:id="5052" w:name="_Toc131317982"/>
      <w:bookmarkStart w:id="5053" w:name="_Toc132537079"/>
      <w:r>
        <w:t>Dagens spesialistutdanning i andre land</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5D5F826B" w14:textId="77777777" w:rsidR="00D9107F" w:rsidRDefault="00AA73CD" w:rsidP="002472E5">
      <w:pPr>
        <w:jc w:val="both"/>
      </w:pPr>
      <w:r>
        <w:t xml:space="preserve">Det er flere likhetstrekk mellom spesialistutdanningen i allmennmedisin i Norge og </w:t>
      </w:r>
      <w:r w:rsidR="004149AD">
        <w:t xml:space="preserve">i </w:t>
      </w:r>
      <w:r w:rsidR="00EE0D7D">
        <w:t xml:space="preserve">andre sammenlignbare land. </w:t>
      </w:r>
      <w:r>
        <w:t>Varighet</w:t>
      </w:r>
      <w:r w:rsidR="008E1CB4">
        <w:t>en</w:t>
      </w:r>
      <w:r>
        <w:t xml:space="preserve"> </w:t>
      </w:r>
      <w:r w:rsidR="00204122">
        <w:t xml:space="preserve">på spesialistutdanningen </w:t>
      </w:r>
      <w:r>
        <w:t>er</w:t>
      </w:r>
      <w:r w:rsidR="005D3586">
        <w:t xml:space="preserve"> </w:t>
      </w:r>
      <w:r>
        <w:t>relativt lik</w:t>
      </w:r>
      <w:r w:rsidR="005D3586">
        <w:t xml:space="preserve">, og for de fleste land </w:t>
      </w:r>
      <w:r w:rsidR="00904F95">
        <w:t xml:space="preserve">er det krav om at legen må være spesialist i allmennmedisin for </w:t>
      </w:r>
      <w:r w:rsidR="00015F16">
        <w:t>å praktisere selvstendig og drive egen allmennpraksis</w:t>
      </w:r>
      <w:r w:rsidR="003C1A3B">
        <w:t xml:space="preserve">. </w:t>
      </w:r>
      <w:r w:rsidR="009636B0">
        <w:t>Det vanligste er at legen er ansatt</w:t>
      </w:r>
      <w:r w:rsidR="009A1E90">
        <w:t>,</w:t>
      </w:r>
      <w:r w:rsidR="00BA4047">
        <w:t xml:space="preserve"> </w:t>
      </w:r>
      <w:r w:rsidR="00FD56FC">
        <w:t>og uten ansvar for drift eller annet personell</w:t>
      </w:r>
      <w:r w:rsidR="00382576">
        <w:t>,</w:t>
      </w:r>
      <w:r>
        <w:t xml:space="preserve"> under spesialistutdanningen</w:t>
      </w:r>
      <w:r w:rsidR="00A56C81">
        <w:t>.</w:t>
      </w:r>
    </w:p>
    <w:p w14:paraId="4AEAEEA8" w14:textId="77777777" w:rsidR="00D9107F" w:rsidRDefault="439CE0BB" w:rsidP="00775632">
      <w:pPr>
        <w:pStyle w:val="Overskrift4"/>
      </w:pPr>
      <w:bookmarkStart w:id="5054" w:name="_Toc130983677"/>
      <w:bookmarkStart w:id="5055" w:name="_Toc130984026"/>
      <w:bookmarkStart w:id="5056" w:name="_Toc131279621"/>
      <w:bookmarkStart w:id="5057" w:name="_Toc131287033"/>
      <w:bookmarkStart w:id="5058" w:name="_Toc131281443"/>
      <w:bookmarkStart w:id="5059" w:name="_Toc131317983"/>
      <w:r>
        <w:t>Sverige</w:t>
      </w:r>
      <w:bookmarkEnd w:id="5054"/>
      <w:bookmarkEnd w:id="5055"/>
      <w:bookmarkEnd w:id="5056"/>
      <w:bookmarkEnd w:id="5057"/>
      <w:bookmarkEnd w:id="5058"/>
      <w:bookmarkEnd w:id="5059"/>
    </w:p>
    <w:p w14:paraId="737A83C4" w14:textId="77777777" w:rsidR="00D9107F" w:rsidRDefault="00AA73CD" w:rsidP="002472E5">
      <w:pPr>
        <w:jc w:val="both"/>
      </w:pPr>
      <w:r>
        <w:t>Staten stiller krav til regionene om et tilstrekkelig antall utdanningsstillinger for å sikre fr</w:t>
      </w:r>
      <w:r w:rsidR="00A56C81">
        <w:t>a</w:t>
      </w:r>
      <w:r>
        <w:t>mtidig behov for spesialister i allmennmedisin, men det er regionene som er ansvarlige for gjennomføringen av spesialistutdanningen. Både antall og fordeling av utdanningsstillinger avgjøres og planlegges regionalt. Det stilles krav til veiledning, og til at hovedveileder må være spesialist i allmennmedisin. I regionen er det en studierektor med ansvar for å koordinere spesialistutdanningen for kandidatene.</w:t>
      </w:r>
    </w:p>
    <w:p w14:paraId="1DF8CBBD" w14:textId="4193ADC4" w:rsidR="00D9107F" w:rsidRDefault="00AD3DAA" w:rsidP="002472E5">
      <w:pPr>
        <w:jc w:val="both"/>
      </w:pPr>
      <w:r>
        <w:t>Gjennomføring av spesialistutdanningen i allmennmedisin i</w:t>
      </w:r>
      <w:r w:rsidR="00AA73CD">
        <w:t xml:space="preserve"> Sverige </w:t>
      </w:r>
      <w:r>
        <w:t xml:space="preserve">har en varighet på minst 5,5 år. </w:t>
      </w:r>
      <w:r w:rsidR="00764440">
        <w:t>M</w:t>
      </w:r>
      <w:r w:rsidR="00AA73CD" w:rsidRPr="00C87F22">
        <w:t xml:space="preserve">esteparten av nødvendig kompetanse gjennom spesialistutdanningen tilegnes og utvikles på </w:t>
      </w:r>
      <w:r w:rsidR="00D9107F">
        <w:t>«</w:t>
      </w:r>
      <w:r w:rsidR="00AA73CD" w:rsidRPr="00C87F22">
        <w:t>vårdcentral</w:t>
      </w:r>
      <w:r w:rsidR="00AA73CD">
        <w:t>en</w:t>
      </w:r>
      <w:r w:rsidR="00D9107F">
        <w:t>»</w:t>
      </w:r>
      <w:r w:rsidR="00B82539">
        <w:t>,</w:t>
      </w:r>
      <w:r w:rsidR="00AA73CD">
        <w:t xml:space="preserve"> hvor</w:t>
      </w:r>
      <w:r w:rsidR="00AA73CD" w:rsidRPr="00C87F22">
        <w:t xml:space="preserve"> mottak, behandling og oppfølging av pasienter i primærhelsetjenesten</w:t>
      </w:r>
      <w:r w:rsidR="00AA73CD">
        <w:t xml:space="preserve"> skjer</w:t>
      </w:r>
      <w:r w:rsidR="00AA73CD" w:rsidRPr="00C87F22">
        <w:t xml:space="preserve">. Samtidig får legen erfaring ved å supplere hovedtjenesten med hospiteringer og studiebesøk til andre enheter og </w:t>
      </w:r>
      <w:r w:rsidR="00546976">
        <w:t xml:space="preserve">deler av </w:t>
      </w:r>
      <w:r w:rsidR="00AA73CD" w:rsidRPr="00C87F22">
        <w:t>helsetjeneste</w:t>
      </w:r>
      <w:r w:rsidR="00546976">
        <w:t>n</w:t>
      </w:r>
      <w:r w:rsidR="00AA73CD" w:rsidRPr="00C87F22">
        <w:t>.</w:t>
      </w:r>
    </w:p>
    <w:p w14:paraId="6AB5ACA9" w14:textId="3E1DF2CF" w:rsidR="004666FB" w:rsidRDefault="07609F93" w:rsidP="00CF32F3">
      <w:pPr>
        <w:jc w:val="both"/>
      </w:pPr>
      <w:r w:rsidRPr="00C87F22">
        <w:t xml:space="preserve">Gjennom spesialistutdanningen deltar legen i </w:t>
      </w:r>
      <w:r>
        <w:t>grupper</w:t>
      </w:r>
      <w:r w:rsidRPr="00C87F22">
        <w:t xml:space="preserve"> bestående av andre leger for regelmessig diskusjon, refleksjon, kollegial trening, utvikling av kommunikasjonsferdigheter og kvalitetsutvikling. Deltakelse på ulike </w:t>
      </w:r>
      <w:r>
        <w:t xml:space="preserve">statlig finansierte </w:t>
      </w:r>
      <w:r w:rsidRPr="00C87F22">
        <w:t>kurs er også en viktig del av spesialistutdanningen</w:t>
      </w:r>
      <w:r w:rsidR="6A93B469">
        <w:t xml:space="preserve"> </w:t>
      </w:r>
      <w:r w:rsidR="001F5F05">
        <w:fldChar w:fldCharType="begin"/>
      </w:r>
      <w:r w:rsidR="004654FD">
        <w:instrText xml:space="preserve"> ADDIN EN.CITE &lt;EndNote&gt;&lt;Cite&gt;&lt;Author&gt;Socialstyrelsen&lt;/Author&gt;&lt;Year&gt;2015&lt;/Year&gt;&lt;RecNum&gt;34&lt;/RecNum&gt;&lt;DisplayText&gt;(Socialstyrelsen, 2015; Svensk förening för allmänmedicin, [s.a.])&lt;/DisplayText&gt;&lt;record&gt;&lt;rec-number&gt;34&lt;/rec-number&gt;&lt;foreign-keys&gt;&lt;key app="EN" db-id="95tpr2tp6r9xwoea9rb5wdsz5ds5xeddteew" timestamp="1680069511"&gt;34&lt;/key&gt;&lt;/foreign-keys&gt;&lt;ref-type name="Report"&gt;27&lt;/ref-type&gt;&lt;contributors&gt;&lt;authors&gt;&lt;author&gt;Socialstyrelsen&lt;/author&gt;&lt;/authors&gt;&lt;/contributors&gt;&lt;titles&gt;&lt;title&gt;Allmänmedicin: Läkarnas specialiseringstjänstgöring&lt;/title&gt;&lt;secondary-title&gt;Socialstyrelsens föreskrifter och allmänna råd om läkarnas specialiseringstjänstgöring&lt;/secondary-title&gt;&lt;/titles&gt;&lt;number&gt;SOSFS 2015-8&lt;/number&gt;&lt;dates&gt;&lt;year&gt;2015&lt;/year&gt;&lt;/dates&gt;&lt;pub-location&gt;Stockholm&lt;/pub-location&gt;&lt;publisher&gt;Socialstyrelsen og Svensk Förening för allmänmedicin&lt;/publisher&gt;&lt;urls&gt;&lt;/urls&gt;&lt;/record&gt;&lt;/Cite&gt;&lt;Cite&gt;&lt;Author&gt;Svensk förening för allmänmedicin&lt;/Author&gt;&lt;Year&gt;[s.a.]&lt;/Year&gt;&lt;RecNum&gt;271&lt;/RecNum&gt;&lt;record&gt;&lt;rec-number&gt;271&lt;/rec-number&gt;&lt;foreign-keys&gt;&lt;key app="EN" db-id="95tpr2tp6r9xwoea9rb5wdsz5ds5xeddteew" timestamp="1680069511"&gt;271&lt;/key&gt;&lt;/foreign-keys&gt;&lt;ref-type name="Web Page"&gt;12&lt;/ref-type&gt;&lt;contributors&gt;&lt;authors&gt;&lt;author&gt;Svensk förening för allmänmedicin,&lt;/author&gt;&lt;/authors&gt;&lt;/contributors&gt;&lt;titles&gt;&lt;title&gt;FQ-grupper&lt;/title&gt;&lt;/titles&gt;&lt;number&gt;03.01.2023&lt;/number&gt;&lt;dates&gt;&lt;year&gt;[s.a.]&lt;/year&gt;&lt;/dates&gt;&lt;pub-location&gt;Stockholm&lt;/pub-location&gt;&lt;publisher&gt;sfam.se&lt;/publisher&gt;&lt;work-type&gt;nettdokument&lt;/work-type&gt;&lt;urls&gt;&lt;/urls&gt;&lt;/record&gt;&lt;/Cite&gt;&lt;/EndNote&gt;</w:instrText>
      </w:r>
      <w:r w:rsidR="001F5F05">
        <w:fldChar w:fldCharType="separate"/>
      </w:r>
      <w:r w:rsidR="00904B00">
        <w:rPr>
          <w:noProof/>
        </w:rPr>
        <w:t>(Socialstyrelsen, 2015; Svensk förening för allmänmedicin, [s.a.])</w:t>
      </w:r>
      <w:r w:rsidR="001F5F05">
        <w:fldChar w:fldCharType="end"/>
      </w:r>
      <w:r w:rsidR="002472E5">
        <w:t xml:space="preserve"> </w:t>
      </w:r>
      <w:r w:rsidR="002472E5" w:rsidRPr="00D9107F">
        <w:rPr>
          <w:rStyle w:val="Fotnotereferanse"/>
        </w:rPr>
        <w:footnoteReference w:id="53"/>
      </w:r>
      <w:r w:rsidR="002472E5">
        <w:t>.</w:t>
      </w:r>
    </w:p>
    <w:p w14:paraId="56ADB00D" w14:textId="77777777" w:rsidR="00AA73CD" w:rsidRDefault="439CE0BB" w:rsidP="00775632">
      <w:pPr>
        <w:pStyle w:val="Overskrift4"/>
      </w:pPr>
      <w:bookmarkStart w:id="5060" w:name="_Toc130983678"/>
      <w:bookmarkStart w:id="5061" w:name="_Toc130984027"/>
      <w:bookmarkStart w:id="5062" w:name="_Toc131279622"/>
      <w:bookmarkStart w:id="5063" w:name="_Toc131287034"/>
      <w:bookmarkStart w:id="5064" w:name="_Toc131281444"/>
      <w:bookmarkStart w:id="5065" w:name="_Toc131317984"/>
      <w:r>
        <w:lastRenderedPageBreak/>
        <w:t>Danmark</w:t>
      </w:r>
      <w:bookmarkEnd w:id="5060"/>
      <w:bookmarkEnd w:id="5061"/>
      <w:bookmarkEnd w:id="5062"/>
      <w:bookmarkEnd w:id="5063"/>
      <w:bookmarkEnd w:id="5064"/>
      <w:bookmarkEnd w:id="5065"/>
    </w:p>
    <w:p w14:paraId="3CF3ABCA" w14:textId="77777777" w:rsidR="00D9107F" w:rsidRDefault="07609F93" w:rsidP="002472E5">
      <w:pPr>
        <w:jc w:val="both"/>
      </w:pPr>
      <w:r w:rsidRPr="686B61CB">
        <w:t>Gjennomføringen av spesialistutdanningen i Danmark tar 5 år. I løpet av denne perioden er legen 2,5 år i allmennpraksis, herunder 6 måneder i en introduksjonsstilling. Videre er legen 2,5 år ved en sykehusavdeling. Hvis legen ikke har hatt allmennmedisin i sin kliniske basisutdanning (KBU)</w:t>
      </w:r>
      <w:r w:rsidR="52B1BD08">
        <w:t>,</w:t>
      </w:r>
      <w:r w:rsidRPr="686B61CB">
        <w:t xml:space="preserve"> er introduksjonsstillingen på 12 måneder</w:t>
      </w:r>
      <w:r w:rsidR="004C4891">
        <w:t xml:space="preserve"> </w:t>
      </w:r>
      <w:r w:rsidR="001F5F05">
        <w:fldChar w:fldCharType="begin"/>
      </w:r>
      <w:r w:rsidR="001F5F05">
        <w:instrText xml:space="preserve"> ADDIN EN.CITE &lt;EndNote&gt;&lt;Cite&gt;&lt;Author&gt;Medicin&lt;/Author&gt;&lt;Year&gt;2013&lt;/Year&gt;&lt;RecNum&gt;506&lt;/RecNum&gt;&lt;DisplayText&gt;(Medicin, 2013)&lt;/DisplayText&gt;&lt;record&gt;&lt;rec-number&gt;506&lt;/rec-number&gt;&lt;foreign-keys&gt;&lt;key app="EN" db-id="95tpr2tp6r9xwoea9rb5wdsz5ds5xeddteew" timestamp="1680069511"&gt;506&lt;/key&gt;&lt;/foreign-keys&gt;&lt;ref-type name="Web Page"&gt;12&lt;/ref-type&gt;&lt;contributors&gt;&lt;authors&gt;&lt;author&gt;Danske Selskap for Almen Medicin&lt;/author&gt;&lt;/authors&gt;&lt;/contributors&gt;&lt;titles&gt;&lt;title&gt;Målbeskrivelse og struktur&lt;/title&gt;&lt;/titles&gt;&lt;number&gt;16.01.2023&lt;/number&gt;&lt;dates&gt;&lt;year&gt;2013&lt;/year&gt;&lt;/dates&gt;&lt;pub-location&gt;København&lt;/pub-location&gt;&lt;publisher&gt;Dansk Selskab for Almen Medicin&lt;/publisher&gt;&lt;work-type&gt;nettdokument&lt;/work-type&gt;&lt;urls&gt;&lt;related-urls&gt;&lt;url&gt;https://www.dsam.dk/uddannelse/videreuddannelse_i_almen_medicin/om_specialet/&lt;/url&gt;&lt;/related-urls&gt;&lt;/urls&gt;&lt;/record&gt;&lt;/Cite&gt;&lt;/EndNote&gt;</w:instrText>
      </w:r>
      <w:r w:rsidR="001F5F05">
        <w:fldChar w:fldCharType="separate"/>
      </w:r>
      <w:r w:rsidR="001F5F05">
        <w:rPr>
          <w:noProof/>
        </w:rPr>
        <w:t>(Medicin, 2013)</w:t>
      </w:r>
      <w:r w:rsidR="001F5F05">
        <w:fldChar w:fldCharType="end"/>
      </w:r>
      <w:r w:rsidR="70B61229" w:rsidRPr="686B61CB">
        <w:t>.</w:t>
      </w:r>
      <w:r w:rsidRPr="686B61CB">
        <w:t xml:space="preserve"> </w:t>
      </w:r>
      <w:r w:rsidR="2A31F5F0" w:rsidRPr="686B61CB">
        <w:t>M</w:t>
      </w:r>
      <w:r w:rsidRPr="686B61CB">
        <w:t>ulige endringer av innholdet i basisutdanningen</w:t>
      </w:r>
      <w:r w:rsidR="101C4113" w:rsidRPr="686B61CB">
        <w:t xml:space="preserve"> </w:t>
      </w:r>
      <w:r w:rsidRPr="686B61CB">
        <w:t>kan gjøre at 6 måneders praksis i allmennmedisin b</w:t>
      </w:r>
      <w:r w:rsidR="2A31F5F0" w:rsidRPr="686B61CB">
        <w:t>lir</w:t>
      </w:r>
      <w:r w:rsidRPr="686B61CB">
        <w:t xml:space="preserve"> obligatorisk. </w:t>
      </w:r>
      <w:r w:rsidR="519F7F62" w:rsidRPr="27A8AE06">
        <w:t>Introduksjonsstillingen finner sted hos en allmennpraktiserende lege, som er godkjent veileder. Introduksjonsstillingen skal bidra til at legen blir sikker i sitt valg av spesialitet, samtidig som veileder vurderer om legen er egnet til å bli spesialist i allmennmedisin.</w:t>
      </w:r>
    </w:p>
    <w:p w14:paraId="36349F04" w14:textId="77777777" w:rsidR="00D9107F" w:rsidRDefault="07609F93" w:rsidP="002472E5">
      <w:pPr>
        <w:jc w:val="both"/>
      </w:pPr>
      <w:r w:rsidRPr="686B61CB">
        <w:t>Sammensetningen og forløp av legens tjenestetid under spesialistutdannelsen</w:t>
      </w:r>
      <w:r w:rsidR="517CD28C">
        <w:t>,</w:t>
      </w:r>
      <w:r w:rsidRPr="686B61CB">
        <w:t xml:space="preserve"> planlegges og administreres av regionene</w:t>
      </w:r>
      <w:r w:rsidR="00B82539">
        <w:t>,</w:t>
      </w:r>
      <w:r w:rsidRPr="686B61CB">
        <w:t xml:space="preserve"> i samarbeid med regionale faglige rådgivere for spesialiteten</w:t>
      </w:r>
      <w:r w:rsidR="60FB817D" w:rsidRPr="1EF3E44F">
        <w:t xml:space="preserve"> </w:t>
      </w:r>
      <w:r w:rsidR="001F5F05">
        <w:fldChar w:fldCharType="begin"/>
      </w:r>
      <w:r w:rsidR="00A27571">
        <w:instrText xml:space="preserve"> ADDIN EN.CITE &lt;EndNote&gt;&lt;Cite&gt;&lt;Author&gt;Ministerråd&lt;/Author&gt;&lt;Year&gt;2016&lt;/Year&gt;&lt;RecNum&gt;357&lt;/RecNum&gt;&lt;DisplayText&gt;(Ministerråd, 2016)&lt;/DisplayText&gt;&lt;record&gt;&lt;rec-number&gt;357&lt;/rec-number&gt;&lt;foreign-keys&gt;&lt;key app="EN" db-id="95tpr2tp6r9xwoea9rb5wdsz5ds5xeddteew" timestamp="1680069511"&gt;357&lt;/key&gt;&lt;/foreign-keys&gt;&lt;ref-type name="Report"&gt;27&lt;/ref-type&gt;&lt;contributors&gt;&lt;authors&gt;&lt;author&gt;Nordisk Ministerråd&lt;/author&gt;&lt;/authors&gt;&lt;/contributors&gt;&lt;titles&gt;&lt;title&gt;Håndbok over regulerte helsepersonellgrupper i Norden: Nordisk Ministerråds arbeidsgruppe, Nordisk gruppe for helsepersonell&lt;/title&gt;&lt;secondary-title&gt;Nordiske Arbejdspapirer&lt;/secondary-title&gt;&lt;/titles&gt;&lt;number&gt;NA2016:908&lt;/number&gt;&lt;dates&gt;&lt;year&gt;2016&lt;/year&gt;&lt;/dates&gt;&lt;pub-location&gt;København&lt;/pub-location&gt;&lt;publisher&gt;Nordisk Ministerråd&lt;/publisher&gt;&lt;urls&gt;&lt;/urls&gt;&lt;/record&gt;&lt;/Cite&gt;&lt;/EndNote&gt;</w:instrText>
      </w:r>
      <w:r w:rsidR="001F5F05">
        <w:fldChar w:fldCharType="separate"/>
      </w:r>
      <w:r w:rsidR="001F5F05">
        <w:rPr>
          <w:noProof/>
        </w:rPr>
        <w:t>(Ministerråd, 2016)</w:t>
      </w:r>
      <w:r w:rsidR="001F5F05">
        <w:fldChar w:fldCharType="end"/>
      </w:r>
      <w:r w:rsidR="70B61229" w:rsidRPr="686B61CB">
        <w:t>.</w:t>
      </w:r>
      <w:r w:rsidRPr="686B61CB">
        <w:t xml:space="preserve"> I løpet av sykehusperioden skal legen tilbringe 1 dag per måned</w:t>
      </w:r>
      <w:r w:rsidR="4041625C">
        <w:t xml:space="preserve"> ved sitt allmennlegekontor</w:t>
      </w:r>
      <w:r w:rsidRPr="686B61CB">
        <w:t xml:space="preserve">. Når legen i spesialisering er </w:t>
      </w:r>
      <w:r w:rsidR="0DE1EB46">
        <w:t>i</w:t>
      </w:r>
      <w:r w:rsidR="7E5A9C33" w:rsidRPr="686B61CB">
        <w:t xml:space="preserve"> </w:t>
      </w:r>
      <w:r w:rsidRPr="686B61CB">
        <w:t xml:space="preserve">siste </w:t>
      </w:r>
      <w:r w:rsidR="62BCD8C8">
        <w:t>del</w:t>
      </w:r>
      <w:r w:rsidRPr="686B61CB">
        <w:t xml:space="preserve"> av spesialis</w:t>
      </w:r>
      <w:r w:rsidR="62C614D7">
        <w:t>tutdanningen</w:t>
      </w:r>
      <w:r w:rsidRPr="686B61CB">
        <w:t>, betaler de praktiserende legene i den aktuelle praksisen en andel (ca. 30-40 prosent) av legens lønn</w:t>
      </w:r>
      <w:r w:rsidR="4C6261FC">
        <w:t xml:space="preserve">. </w:t>
      </w:r>
      <w:r w:rsidR="2F3C1019">
        <w:t>Dette er relatert</w:t>
      </w:r>
      <w:r w:rsidR="204C814C">
        <w:t xml:space="preserve"> </w:t>
      </w:r>
      <w:r w:rsidR="7A7945CB">
        <w:t xml:space="preserve">til at </w:t>
      </w:r>
      <w:r w:rsidRPr="686B61CB">
        <w:t>legen</w:t>
      </w:r>
      <w:r w:rsidR="248C918E">
        <w:t xml:space="preserve"> i spesialisering</w:t>
      </w:r>
      <w:r w:rsidRPr="686B61CB">
        <w:t xml:space="preserve"> </w:t>
      </w:r>
      <w:r w:rsidR="497AFCAB">
        <w:t xml:space="preserve">i økende grad </w:t>
      </w:r>
      <w:r w:rsidR="7A7945CB">
        <w:t xml:space="preserve">avlaster de andre </w:t>
      </w:r>
      <w:r w:rsidRPr="686B61CB">
        <w:t>praktiserende legene</w:t>
      </w:r>
      <w:r w:rsidR="7A7945CB">
        <w:t xml:space="preserve"> ved kontoret</w:t>
      </w:r>
      <w:r w:rsidRPr="686B61CB">
        <w:t xml:space="preserve">. </w:t>
      </w:r>
      <w:r w:rsidR="07A3BA37" w:rsidRPr="0D4CD27A">
        <w:t>Det er åpnet opp for at leger under spesialisering kan være ansatt av en privatpraktiserende lege i allmennmedisin</w:t>
      </w:r>
      <w:r w:rsidR="00B82539">
        <w:t>,</w:t>
      </w:r>
      <w:r w:rsidR="07A3BA37" w:rsidRPr="0D4CD27A">
        <w:t xml:space="preserve"> som vikar i opptil 6 måneder. Dette forutsetter samtidig supervisjon.</w:t>
      </w:r>
    </w:p>
    <w:p w14:paraId="78E01FFB" w14:textId="77777777" w:rsidR="00D9107F" w:rsidRDefault="002472E5" w:rsidP="002472E5">
      <w:pPr>
        <w:jc w:val="both"/>
      </w:pPr>
      <w:r>
        <w:rPr>
          <w:rFonts w:cstheme="minorHAnsi"/>
        </w:rPr>
        <w:t>Leger i Danmark må starte spesialisering</w:t>
      </w:r>
      <w:r w:rsidRPr="00B62967">
        <w:rPr>
          <w:rFonts w:cstheme="minorHAnsi"/>
        </w:rPr>
        <w:t xml:space="preserve"> senest 5 år etter at </w:t>
      </w:r>
      <w:r>
        <w:rPr>
          <w:rFonts w:cstheme="minorHAnsi"/>
        </w:rPr>
        <w:t xml:space="preserve">grunnutdanningen </w:t>
      </w:r>
      <w:r w:rsidRPr="00B62967">
        <w:rPr>
          <w:rFonts w:cstheme="minorHAnsi"/>
        </w:rPr>
        <w:t xml:space="preserve">er ferdig og </w:t>
      </w:r>
      <w:r>
        <w:rPr>
          <w:rFonts w:cstheme="minorHAnsi"/>
        </w:rPr>
        <w:t>de</w:t>
      </w:r>
      <w:r w:rsidRPr="00B62967">
        <w:rPr>
          <w:rFonts w:cstheme="minorHAnsi"/>
        </w:rPr>
        <w:t xml:space="preserve"> har </w:t>
      </w:r>
      <w:r>
        <w:rPr>
          <w:rFonts w:cstheme="minorHAnsi"/>
        </w:rPr>
        <w:t xml:space="preserve">fått </w:t>
      </w:r>
      <w:r w:rsidRPr="00B62967">
        <w:rPr>
          <w:rFonts w:cstheme="minorHAnsi"/>
        </w:rPr>
        <w:t xml:space="preserve">full autorisasjon. </w:t>
      </w:r>
      <w:r>
        <w:rPr>
          <w:rFonts w:cstheme="minorHAnsi"/>
        </w:rPr>
        <w:t xml:space="preserve">Leger som ikke starter </w:t>
      </w:r>
      <w:r w:rsidRPr="00B62967">
        <w:rPr>
          <w:rFonts w:cstheme="minorHAnsi"/>
        </w:rPr>
        <w:t xml:space="preserve">innen </w:t>
      </w:r>
      <w:r>
        <w:rPr>
          <w:rFonts w:cstheme="minorHAnsi"/>
        </w:rPr>
        <w:t xml:space="preserve">fristen, </w:t>
      </w:r>
      <w:r w:rsidRPr="00B62967">
        <w:rPr>
          <w:rFonts w:cstheme="minorHAnsi"/>
        </w:rPr>
        <w:t>mister</w:t>
      </w:r>
      <w:r>
        <w:rPr>
          <w:rFonts w:cstheme="minorHAnsi"/>
        </w:rPr>
        <w:t xml:space="preserve"> </w:t>
      </w:r>
      <w:r w:rsidRPr="00B62967">
        <w:rPr>
          <w:rFonts w:cstheme="minorHAnsi"/>
        </w:rPr>
        <w:t xml:space="preserve">muligheten </w:t>
      </w:r>
      <w:r>
        <w:rPr>
          <w:rFonts w:cstheme="minorHAnsi"/>
        </w:rPr>
        <w:t>til</w:t>
      </w:r>
      <w:r w:rsidRPr="00B62967">
        <w:rPr>
          <w:rFonts w:cstheme="minorHAnsi"/>
        </w:rPr>
        <w:t xml:space="preserve"> å spesialisere seg i Danmark</w:t>
      </w:r>
      <w:r>
        <w:rPr>
          <w:rFonts w:cstheme="minorHAnsi"/>
        </w:rPr>
        <w:t xml:space="preserve">. </w:t>
      </w:r>
      <w:r w:rsidRPr="0D4CD27A">
        <w:t xml:space="preserve">Danske allmennleger kan først etablere seg med egen liste når de er spesialister i allmennmedisin. Leger under spesialisering er ansatt </w:t>
      </w:r>
      <w:r>
        <w:t xml:space="preserve">med </w:t>
      </w:r>
      <w:r w:rsidRPr="0D4CD27A">
        <w:t>fast lønn.</w:t>
      </w:r>
    </w:p>
    <w:p w14:paraId="03DF2B44" w14:textId="1BC53DCA" w:rsidR="003C3DC2" w:rsidRPr="00B62967" w:rsidRDefault="448982C8" w:rsidP="002472E5">
      <w:pPr>
        <w:jc w:val="both"/>
      </w:pPr>
      <w:r>
        <w:t>A</w:t>
      </w:r>
      <w:r w:rsidRPr="0D4CD27A">
        <w:t>ntall utdanningsstillinger som etableres av Sundhetsstyrelsen</w:t>
      </w:r>
      <w:r w:rsidR="190D12F6">
        <w:t>,</w:t>
      </w:r>
      <w:r w:rsidRPr="0D4CD27A">
        <w:t xml:space="preserve"> </w:t>
      </w:r>
      <w:r>
        <w:t xml:space="preserve">er </w:t>
      </w:r>
      <w:r w:rsidRPr="0D4CD27A">
        <w:t>basert på fr</w:t>
      </w:r>
      <w:r>
        <w:t>a</w:t>
      </w:r>
      <w:r w:rsidRPr="0D4CD27A">
        <w:t xml:space="preserve">mskrevet behov innen de ulike spesialitetene og politiske </w:t>
      </w:r>
      <w:r w:rsidR="1795028D">
        <w:t>føringer</w:t>
      </w:r>
      <w:r w:rsidRPr="0D4CD27A">
        <w:t xml:space="preserve">. Dette gjør det mulig for Danmark å </w:t>
      </w:r>
      <w:r w:rsidR="7C27CCDB">
        <w:t xml:space="preserve">øke antall utdanningsstillinger </w:t>
      </w:r>
      <w:r w:rsidR="5EA28B0F">
        <w:t>i</w:t>
      </w:r>
      <w:r w:rsidRPr="0D4CD27A">
        <w:t xml:space="preserve"> spesialiteter </w:t>
      </w:r>
      <w:r w:rsidR="5829C7E8">
        <w:t>etter behov</w:t>
      </w:r>
      <w:r w:rsidRPr="0D4CD27A">
        <w:t xml:space="preserve">, og </w:t>
      </w:r>
      <w:r>
        <w:t xml:space="preserve">gjør det mulig å knytte </w:t>
      </w:r>
      <w:r w:rsidRPr="0D4CD27A">
        <w:t>stillinger opp mot politiske reformer. I dimensjoneringsplanen for 2022</w:t>
      </w:r>
      <w:r>
        <w:t>–</w:t>
      </w:r>
      <w:r w:rsidRPr="0D4CD27A">
        <w:t>2023</w:t>
      </w:r>
      <w:r w:rsidR="190D12F6">
        <w:t>,</w:t>
      </w:r>
      <w:r w:rsidRPr="0D4CD27A">
        <w:t xml:space="preserve"> ligger det 350 utdannelsesstillinger per år i allmennmedisin</w:t>
      </w:r>
      <w:r>
        <w:t xml:space="preserve"> </w:t>
      </w:r>
      <w:r w:rsidR="008F1580">
        <w:fldChar w:fldCharType="begin"/>
      </w:r>
      <w:r w:rsidR="004654FD">
        <w:instrText xml:space="preserve"> ADDIN EN.CITE &lt;EndNote&gt;&lt;Cite&gt;&lt;Author&gt;Sundhedsstyrelsen&lt;/Author&gt;&lt;Year&gt;2021&lt;/Year&gt;&lt;RecNum&gt;158&lt;/RecNum&gt;&lt;DisplayText&gt;(Sundhedsstyrelsen, 2021)&lt;/DisplayText&gt;&lt;record&gt;&lt;rec-number&gt;158&lt;/rec-number&gt;&lt;foreign-keys&gt;&lt;key app="EN" db-id="95tpr2tp6r9xwoea9rb5wdsz5ds5xeddteew" timestamp="1680069511"&gt;158&lt;/key&gt;&lt;/foreign-keys&gt;&lt;ref-type name="Report"&gt;27&lt;/ref-type&gt;&lt;contributors&gt;&lt;authors&gt;&lt;author&gt;Sundhedsstyrelsen&lt;/author&gt;&lt;/authors&gt;&lt;/contributors&gt;&lt;titles&gt;&lt;title&gt;Dimensioneringsplan 2022-2023: Speciallægeuddannelsen&lt;/title&gt;&lt;/titles&gt;&lt;dates&gt;&lt;year&gt;2021&lt;/year&gt;&lt;/dates&gt;&lt;pub-location&gt;København&lt;/pub-location&gt;&lt;publisher&gt;Sundhedsstyrelsen&lt;/publisher&gt;&lt;urls&gt;&lt;/urls&gt;&lt;/record&gt;&lt;/Cite&gt;&lt;/EndNote&gt;</w:instrText>
      </w:r>
      <w:r w:rsidR="008F1580">
        <w:fldChar w:fldCharType="separate"/>
      </w:r>
      <w:r w:rsidR="008F1580">
        <w:rPr>
          <w:noProof/>
        </w:rPr>
        <w:t>(Sundhedsstyrelsen, 2021)</w:t>
      </w:r>
      <w:r w:rsidR="008F1580">
        <w:fldChar w:fldCharType="end"/>
      </w:r>
      <w:r w:rsidR="00B77B27">
        <w:t>.</w:t>
      </w:r>
    </w:p>
    <w:p w14:paraId="0112376C" w14:textId="77777777" w:rsidR="00D9107F" w:rsidRDefault="2BE8B0DA" w:rsidP="00775632">
      <w:pPr>
        <w:pStyle w:val="Overskrift4"/>
      </w:pPr>
      <w:bookmarkStart w:id="5066" w:name="_Toc130983679"/>
      <w:bookmarkStart w:id="5067" w:name="_Toc130984028"/>
      <w:bookmarkStart w:id="5068" w:name="_Toc131279623"/>
      <w:bookmarkStart w:id="5069" w:name="_Toc131287035"/>
      <w:bookmarkStart w:id="5070" w:name="_Toc131281445"/>
      <w:bookmarkStart w:id="5071" w:name="_Toc131317985"/>
      <w:r>
        <w:t>Finland</w:t>
      </w:r>
      <w:bookmarkEnd w:id="5066"/>
      <w:bookmarkEnd w:id="5067"/>
      <w:bookmarkEnd w:id="5068"/>
      <w:bookmarkEnd w:id="5069"/>
      <w:bookmarkEnd w:id="5070"/>
      <w:bookmarkEnd w:id="5071"/>
    </w:p>
    <w:p w14:paraId="38D59D29" w14:textId="4937E9D4" w:rsidR="00ED4937" w:rsidRDefault="00ED4937" w:rsidP="00C5027F">
      <w:pPr>
        <w:jc w:val="both"/>
      </w:pPr>
      <w:r>
        <w:t>Spesialistutdanningen består av en 2-årig felles utdanningsdel og en 4-årig spesialiseringsdel. S</w:t>
      </w:r>
      <w:r w:rsidRPr="00AE3F66">
        <w:t>pesialis</w:t>
      </w:r>
      <w:r>
        <w:t>t</w:t>
      </w:r>
      <w:r w:rsidRPr="00AE3F66">
        <w:t>utdanning</w:t>
      </w:r>
      <w:r>
        <w:t xml:space="preserve">en </w:t>
      </w:r>
      <w:r w:rsidRPr="00AE3F66">
        <w:t xml:space="preserve">gjennomføres i hovedsak i stilling som </w:t>
      </w:r>
      <w:r>
        <w:t xml:space="preserve">lege på </w:t>
      </w:r>
      <w:r w:rsidR="00C73462">
        <w:t xml:space="preserve">et </w:t>
      </w:r>
      <w:r>
        <w:t>helsesenter</w:t>
      </w:r>
      <w:r w:rsidRPr="00AE3F66">
        <w:t>. I tillegg jobber leger under spesialistutdanning også innen andre kliniske spesialiteter.</w:t>
      </w:r>
    </w:p>
    <w:p w14:paraId="75FB0B54" w14:textId="374F325E" w:rsidR="00ED4937" w:rsidRDefault="3A66459B" w:rsidP="00C5027F">
      <w:pPr>
        <w:jc w:val="both"/>
      </w:pPr>
      <w:r w:rsidRPr="0073458A">
        <w:t>Spesialistutdanningen er veiledet og består av arbeid innen ulike områder ved helsesenter</w:t>
      </w:r>
      <w:r w:rsidR="17C8E036">
        <w:t>et</w:t>
      </w:r>
      <w:r w:rsidRPr="0073458A">
        <w:t>. Veilederne er spesialist</w:t>
      </w:r>
      <w:r>
        <w:t xml:space="preserve">er </w:t>
      </w:r>
      <w:r w:rsidRPr="0073458A">
        <w:t xml:space="preserve">som har gjennomgått </w:t>
      </w:r>
      <w:r>
        <w:t>veileder</w:t>
      </w:r>
      <w:r w:rsidRPr="0073458A">
        <w:t xml:space="preserve">opplæring. I tillegg </w:t>
      </w:r>
      <w:r>
        <w:t xml:space="preserve">til opplæringsaktiviteter ved helsesenteret </w:t>
      </w:r>
      <w:r w:rsidRPr="0073458A">
        <w:t>de</w:t>
      </w:r>
      <w:r w:rsidR="2510061A">
        <w:t>ltar legen på teoretisk undervisning</w:t>
      </w:r>
      <w:r w:rsidRPr="0073458A">
        <w:t xml:space="preserve"> arrangert av universitetene eller spesial</w:t>
      </w:r>
      <w:r w:rsidR="7A1078A3">
        <w:t>ist</w:t>
      </w:r>
      <w:r w:rsidRPr="0073458A">
        <w:t xml:space="preserve">foreningene. Utdanningen inkluderer også lederkurs ved universitetet. Ved slutten av </w:t>
      </w:r>
      <w:r w:rsidR="7A1078A3">
        <w:t>spesialistutdanningen</w:t>
      </w:r>
      <w:r w:rsidRPr="0073458A">
        <w:t xml:space="preserve"> </w:t>
      </w:r>
      <w:r>
        <w:t>er det en</w:t>
      </w:r>
      <w:r w:rsidRPr="0073458A">
        <w:t xml:space="preserve"> skriftlig avsluttende eksamen.</w:t>
      </w:r>
      <w:r w:rsidR="2421B017">
        <w:t xml:space="preserve"> Det </w:t>
      </w:r>
      <w:r w:rsidR="2421B017">
        <w:lastRenderedPageBreak/>
        <w:t>pågår en stor omlegging for å gjøre spesialistutdanningen kompetansebasert</w:t>
      </w:r>
      <w:r w:rsidR="50D34F51">
        <w:t xml:space="preserve"> </w:t>
      </w:r>
      <w:r w:rsidR="008F1580">
        <w:fldChar w:fldCharType="begin"/>
      </w:r>
      <w:r w:rsidR="00856689">
        <w:instrText xml:space="preserve"> ADDIN EN.CITE &lt;EndNote&gt;&lt;Cite&gt;&lt;Author&gt;Helin-Salmivaara&lt;/Author&gt;&lt;Year&gt;2020&lt;/Year&gt;&lt;RecNum&gt;756&lt;/RecNum&gt;&lt;DisplayText&gt;(Helin-Salmivaara et al., 2020)&lt;/DisplayText&gt;&lt;record&gt;&lt;rec-number&gt;756&lt;/rec-number&gt;&lt;foreign-keys&gt;&lt;key app="EN" db-id="95tpr2tp6r9xwoea9rb5wdsz5ds5xeddteew" timestamp="1680069511"&gt;756&lt;/key&gt;&lt;/foreign-keys&gt;&lt;ref-type name="Journal Article"&gt;17&lt;/ref-type&gt;&lt;contributors&gt;&lt;authors&gt;&lt;author&gt;Helin-Salmivaara, A.&lt;/author&gt;&lt;author&gt;Thorn, L.&lt;/author&gt;&lt;/authors&gt;&lt;/contributors&gt;&lt;titles&gt;&lt;title&gt;Specialistläkarutbildning i allmänmedicin&lt;/title&gt;&lt;secondary-title&gt;Finska Läkaresällskapets Handlingar&lt;/secondary-title&gt;&lt;/titles&gt;&lt;periodical&gt;&lt;full-title&gt;Finska Läkaresällskapets Handlingar&lt;/full-title&gt;&lt;/periodical&gt;&lt;pages&gt;58-63&lt;/pages&gt;&lt;volume&gt;180&lt;/volume&gt;&lt;number&gt;2&lt;/number&gt;&lt;dates&gt;&lt;year&gt;2020&lt;/year&gt;&lt;/dates&gt;&lt;urls&gt;&lt;related-urls&gt;&lt;url&gt;https://blogs.helsinki.fi/yleislaaketiede/files/2021/12/Helin-Salmivaara2020Handlingar.pdf&lt;/url&gt;&lt;/related-urls&gt;&lt;/urls&gt;&lt;/record&gt;&lt;/Cite&gt;&lt;/EndNote&gt;</w:instrText>
      </w:r>
      <w:r w:rsidR="008F1580">
        <w:fldChar w:fldCharType="separate"/>
      </w:r>
      <w:r w:rsidR="00856689">
        <w:rPr>
          <w:noProof/>
        </w:rPr>
        <w:t>(Helin-Salmivaara et al., 2020)</w:t>
      </w:r>
      <w:r w:rsidR="008F1580">
        <w:fldChar w:fldCharType="end"/>
      </w:r>
      <w:r w:rsidR="00B77B27">
        <w:t>.</w:t>
      </w:r>
    </w:p>
    <w:p w14:paraId="3AEE82C3" w14:textId="77777777" w:rsidR="00ED4937" w:rsidRDefault="00E50A33" w:rsidP="00C5027F">
      <w:pPr>
        <w:jc w:val="both"/>
      </w:pPr>
      <w:r>
        <w:t>L</w:t>
      </w:r>
      <w:r w:rsidR="00ED4937">
        <w:t>egene må ikke være spesialister i allmennmedisin for å praktisere som allmennleger. Legene i den offentlige primærhelsetjenesten i Finland er som hovedregel</w:t>
      </w:r>
      <w:r w:rsidR="006238B0">
        <w:t>,</w:t>
      </w:r>
      <w:r w:rsidR="00ED4937">
        <w:t xml:space="preserve"> fast ansatt i et helsesenter.</w:t>
      </w:r>
    </w:p>
    <w:p w14:paraId="6B1B4662" w14:textId="77777777" w:rsidR="00ED4937" w:rsidRPr="006B4633" w:rsidRDefault="2BE8B0DA" w:rsidP="00775632">
      <w:pPr>
        <w:pStyle w:val="Overskrift4"/>
      </w:pPr>
      <w:bookmarkStart w:id="5072" w:name="_Toc130983680"/>
      <w:bookmarkStart w:id="5073" w:name="_Toc130984029"/>
      <w:bookmarkStart w:id="5074" w:name="_Toc131279624"/>
      <w:bookmarkStart w:id="5075" w:name="_Toc131287036"/>
      <w:bookmarkStart w:id="5076" w:name="_Toc131281446"/>
      <w:bookmarkStart w:id="5077" w:name="_Toc131317986"/>
      <w:r>
        <w:t>Nederland</w:t>
      </w:r>
      <w:bookmarkEnd w:id="5072"/>
      <w:bookmarkEnd w:id="5073"/>
      <w:bookmarkEnd w:id="5074"/>
      <w:bookmarkEnd w:id="5075"/>
      <w:bookmarkEnd w:id="5076"/>
      <w:bookmarkEnd w:id="5077"/>
    </w:p>
    <w:p w14:paraId="0F00D8FA" w14:textId="77777777" w:rsidR="00D9107F" w:rsidRDefault="002472E5" w:rsidP="002472E5">
      <w:pPr>
        <w:jc w:val="both"/>
      </w:pPr>
      <w:r>
        <w:t>Spesialistutdanningen varer i tre år, og hvor to av disse er praktisk opplæring i en legepraksis. Det første og siste året er legen i praksis i allmennlegetjenesten, mens det andre året består av tjeneste i psykiatri, sykehjem (Chronic care) og på akuttmottak (emergency department). Under tiden i allmennpraksis, er legen fire dager i uken på legekontor. Den femte dagen deltar legen på forelesninger og veiledninger ved universitetet.</w:t>
      </w:r>
    </w:p>
    <w:p w14:paraId="029778D4" w14:textId="32E4CFB3" w:rsidR="00ED4937" w:rsidRDefault="002472E5" w:rsidP="00C5027F">
      <w:pPr>
        <w:jc w:val="both"/>
      </w:pPr>
      <w:r>
        <w:t>Det er åtte</w:t>
      </w:r>
      <w:r w:rsidR="00ED4937">
        <w:t xml:space="preserve"> utdanningsinstitusjoner for allmennleger, </w:t>
      </w:r>
      <w:r w:rsidR="00C72051">
        <w:t xml:space="preserve">hvor </w:t>
      </w:r>
      <w:r w:rsidR="00ED4937">
        <w:t>alle er del av et medisinsk fakultet ved et universitet. De samarbeider gjennom det nasjonale utdanningsinstituttet for allmennleger. Dette gjelder blant annet om søknadsprosessen, opplæringsplan og vurderin</w:t>
      </w:r>
      <w:r w:rsidR="009B4AEC">
        <w:t>ger underveis</w:t>
      </w:r>
      <w:r w:rsidR="00ED4937">
        <w:t>.</w:t>
      </w:r>
    </w:p>
    <w:p w14:paraId="7FD86662" w14:textId="77777777" w:rsidR="00D9107F" w:rsidRDefault="620BACDF" w:rsidP="00C5027F">
      <w:pPr>
        <w:jc w:val="both"/>
      </w:pPr>
      <w:r w:rsidRPr="00D63227">
        <w:t>For å praktisere som allmennlege</w:t>
      </w:r>
      <w:r w:rsidR="698DCD4C">
        <w:t>,</w:t>
      </w:r>
      <w:r w:rsidRPr="00D63227">
        <w:t xml:space="preserve"> må man være spesialist i allmennmedisin.</w:t>
      </w:r>
      <w:r w:rsidR="1CCB5D79">
        <w:t xml:space="preserve"> </w:t>
      </w:r>
      <w:r w:rsidRPr="00D86C31">
        <w:t xml:space="preserve">De fleste </w:t>
      </w:r>
      <w:r>
        <w:t>legene i allmennpraksis</w:t>
      </w:r>
      <w:r w:rsidRPr="00D86C31">
        <w:t xml:space="preserve"> </w:t>
      </w:r>
      <w:r w:rsidR="7BAE57A7">
        <w:t xml:space="preserve">eier sin egen </w:t>
      </w:r>
      <w:r w:rsidR="46DE494E">
        <w:t>praksis</w:t>
      </w:r>
      <w:r w:rsidR="1188E25F">
        <w:t>.</w:t>
      </w:r>
      <w:r>
        <w:t xml:space="preserve"> </w:t>
      </w:r>
      <w:r w:rsidRPr="00D86C31">
        <w:t xml:space="preserve">Et økende antall leger </w:t>
      </w:r>
      <w:r>
        <w:t xml:space="preserve">er imidlertid </w:t>
      </w:r>
      <w:r w:rsidRPr="00D86C31">
        <w:t xml:space="preserve">ansatt av </w:t>
      </w:r>
      <w:r>
        <w:t>ulike</w:t>
      </w:r>
      <w:r w:rsidRPr="00D86C31">
        <w:t xml:space="preserve"> praksiseiere </w:t>
      </w:r>
      <w:r>
        <w:t xml:space="preserve">i full stilling eller som ekstra hjelp på dagtid. </w:t>
      </w:r>
      <w:r w:rsidR="3A66459B">
        <w:t>For å beholde spesialistgodkjenningen må denne resertifiseres hvert 5 år</w:t>
      </w:r>
      <w:r w:rsidR="781C6684">
        <w:t xml:space="preserve"> </w:t>
      </w:r>
      <w:r w:rsidR="001F5F05">
        <w:fldChar w:fldCharType="begin"/>
      </w:r>
      <w:r w:rsidR="001F5F05">
        <w:instrText xml:space="preserve"> ADDIN EN.CITE &lt;EndNote&gt;&lt;Cite&gt;&lt;Author&gt;Cutch College of GPs&lt;/Author&gt;&lt;Year&gt;[s.a.]&lt;/Year&gt;&lt;RecNum&gt;335&lt;/RecNum&gt;&lt;DisplayText&gt;(Cutch College of GPs, [s.a.])&lt;/DisplayText&gt;&lt;record&gt;&lt;rec-number&gt;335&lt;/rec-number&gt;&lt;foreign-keys&gt;&lt;key app="EN" db-id="95tpr2tp6r9xwoea9rb5wdsz5ds5xeddteew" timestamp="1680069511"&gt;335&lt;/key&gt;&lt;/foreign-keys&gt;&lt;ref-type name="Web Page"&gt;12&lt;/ref-type&gt;&lt;contributors&gt;&lt;authors&gt;&lt;author&gt;Cutch College of GPs,&lt;/author&gt;&lt;/authors&gt;&lt;/contributors&gt;&lt;titles&gt;&lt;title&gt;How are the training and quality of GPs arranged in the Netherlands?&lt;/title&gt;&lt;/titles&gt;&lt;number&gt;21. mars 2023&lt;/number&gt;&lt;dates&gt;&lt;year&gt;[s.a.]&lt;/year&gt;&lt;/dates&gt;&lt;publisher&gt;GPinfo.nl&lt;/publisher&gt;&lt;work-type&gt;nettdokument&lt;/work-type&gt;&lt;urls&gt;&lt;related-urls&gt;&lt;url&gt;https://gpinfo.nl/how-are-training-and-quality-of-gps-arranged-in-netherlands&lt;/url&gt;&lt;/related-urls&gt;&lt;/urls&gt;&lt;/record&gt;&lt;/Cite&gt;&lt;/EndNote&gt;</w:instrText>
      </w:r>
      <w:r w:rsidR="001F5F05">
        <w:fldChar w:fldCharType="separate"/>
      </w:r>
      <w:r w:rsidR="001F5F05">
        <w:rPr>
          <w:noProof/>
        </w:rPr>
        <w:t>(Cutch College of GPs, [s.a.])</w:t>
      </w:r>
      <w:r w:rsidR="001F5F05">
        <w:fldChar w:fldCharType="end"/>
      </w:r>
      <w:r w:rsidR="75CDDB0A">
        <w:t xml:space="preserve"> </w:t>
      </w:r>
      <w:r w:rsidR="00520F0F" w:rsidRPr="00D9107F">
        <w:rPr>
          <w:rStyle w:val="Fotnotereferanse"/>
        </w:rPr>
        <w:footnoteReference w:id="54"/>
      </w:r>
      <w:r w:rsidR="00480499">
        <w:t>.</w:t>
      </w:r>
    </w:p>
    <w:p w14:paraId="0BFDCD10" w14:textId="77777777" w:rsidR="00D9107F" w:rsidRDefault="2BE8B0DA" w:rsidP="00775632">
      <w:pPr>
        <w:pStyle w:val="Overskrift4"/>
      </w:pPr>
      <w:bookmarkStart w:id="5078" w:name="_Toc130983681"/>
      <w:bookmarkStart w:id="5079" w:name="_Toc130984030"/>
      <w:bookmarkStart w:id="5080" w:name="_Toc131279625"/>
      <w:bookmarkStart w:id="5081" w:name="_Toc131287037"/>
      <w:bookmarkStart w:id="5082" w:name="_Toc131281447"/>
      <w:bookmarkStart w:id="5083" w:name="_Toc131317987"/>
      <w:r>
        <w:t>England</w:t>
      </w:r>
      <w:bookmarkEnd w:id="5078"/>
      <w:bookmarkEnd w:id="5079"/>
      <w:bookmarkEnd w:id="5080"/>
      <w:bookmarkEnd w:id="5081"/>
      <w:bookmarkEnd w:id="5082"/>
      <w:bookmarkEnd w:id="5083"/>
    </w:p>
    <w:p w14:paraId="6AE052F1" w14:textId="77777777" w:rsidR="00D9107F" w:rsidRDefault="00384304" w:rsidP="00C5027F">
      <w:pPr>
        <w:jc w:val="both"/>
      </w:pPr>
      <w:r>
        <w:t>S</w:t>
      </w:r>
      <w:r w:rsidR="00ED4937">
        <w:t>pesialistutdanningen består av e</w:t>
      </w:r>
      <w:r>
        <w:t>t</w:t>
      </w:r>
      <w:r w:rsidR="00ED4937">
        <w:t xml:space="preserve"> 2-årig grunnkurs med generell opplæring</w:t>
      </w:r>
      <w:r w:rsidR="003C4F0A">
        <w:t>,</w:t>
      </w:r>
      <w:r w:rsidR="00ED4937">
        <w:t xml:space="preserve"> etterfulgt av 3-årig spesialistutdanning i allmennmedisin.</w:t>
      </w:r>
    </w:p>
    <w:p w14:paraId="7C15A35C" w14:textId="22B09211" w:rsidR="002472E5" w:rsidRDefault="026375AB" w:rsidP="002472E5">
      <w:pPr>
        <w:jc w:val="both"/>
      </w:pPr>
      <w:r>
        <w:t>Spesialistutdanningen</w:t>
      </w:r>
      <w:r w:rsidR="3A66459B">
        <w:t xml:space="preserve"> omfatter normalt minst 18 måneder i godkjent allmennpraksis, med resterende tid i godkjente sykehusstillinger eller integrerte opplæringsstillinger.</w:t>
      </w:r>
      <w:r w:rsidR="3A66459B" w:rsidRPr="001F5611">
        <w:t xml:space="preserve"> </w:t>
      </w:r>
      <w:r w:rsidR="3A66459B">
        <w:t>Spesialistutdanningen i Storbritannia er ikke en universitetsgrad, og universitetene har ingen rolle i opplæringsprogrammer.</w:t>
      </w:r>
      <w:r w:rsidR="00F721E4">
        <w:t xml:space="preserve"> </w:t>
      </w:r>
      <w:r w:rsidR="3A66459B">
        <w:t>Leger i spesialisering søke</w:t>
      </w:r>
      <w:r w:rsidR="00F721E4">
        <w:t>r</w:t>
      </w:r>
      <w:r w:rsidR="3A66459B">
        <w:t xml:space="preserve"> på betalte utdanningsstillinger. </w:t>
      </w:r>
      <w:r w:rsidR="50DF9C15">
        <w:t>Det gis</w:t>
      </w:r>
      <w:r w:rsidR="272E5B29">
        <w:t xml:space="preserve"> økonomiske insentiver til leger i spesialisering som forplikter seg til å jobbe på utvalgte steder</w:t>
      </w:r>
      <w:r w:rsidR="03753137">
        <w:t>,</w:t>
      </w:r>
      <w:r w:rsidR="272E5B29">
        <w:t xml:space="preserve"> som enten tradisjonelt er områder med dårlig rekruttering, har liten legedekning eller er </w:t>
      </w:r>
      <w:r w:rsidR="272E5B29">
        <w:lastRenderedPageBreak/>
        <w:t>utsatte områder</w:t>
      </w:r>
      <w:r w:rsidR="09873694">
        <w:t xml:space="preserve"> </w:t>
      </w:r>
      <w:r w:rsidR="001F5F05">
        <w:fldChar w:fldCharType="begin"/>
      </w:r>
      <w:r w:rsidR="00FF6F8D">
        <w:instrText xml:space="preserve"> ADDIN EN.CITE &lt;EndNote&gt;&lt;Cite&gt;&lt;Author&gt;Bmjcareers&lt;/Author&gt;&lt;Year&gt;2022&lt;/Year&gt;&lt;RecNum&gt;343&lt;/RecNum&gt;&lt;DisplayText&gt;(Bmjcareers, 2022)&lt;/DisplayText&gt;&lt;record&gt;&lt;rec-number&gt;343&lt;/rec-number&gt;&lt;foreign-keys&gt;&lt;key app="EN" db-id="95tpr2tp6r9xwoea9rb5wdsz5ds5xeddteew" timestamp="1680069511"&gt;343&lt;/key&gt;&lt;/foreign-keys&gt;&lt;ref-type name="Web Page"&gt;12&lt;/ref-type&gt;&lt;contributors&gt;&lt;authors&gt;&lt;author&gt;Bmjcareers&lt;/author&gt;&lt;/authors&gt;&lt;/contributors&gt;&lt;titles&gt;&lt;title&gt;How To Become A GP in the UK: A Step-by-Step Guide&lt;/title&gt;&lt;/titles&gt;&lt;number&gt;21. mars 2023&lt;/number&gt;&lt;dates&gt;&lt;year&gt;2022&lt;/year&gt;&lt;/dates&gt;&lt;publisher&gt;bmjcareers&lt;/publisher&gt;&lt;work-type&gt;nettdokument&lt;/work-type&gt;&lt;urls&gt;&lt;related-urls&gt;&lt;url&gt;https://www.bmj.com/careers/article/how-to-become-a-gp-in-the-uk-a-step-by-step-guide&lt;/url&gt;&lt;/related-urls&gt;&lt;/urls&gt;&lt;/record&gt;&lt;/Cite&gt;&lt;/EndNote&gt;</w:instrText>
      </w:r>
      <w:r w:rsidR="001F5F05">
        <w:fldChar w:fldCharType="separate"/>
      </w:r>
      <w:r w:rsidR="00FF6F8D">
        <w:rPr>
          <w:noProof/>
        </w:rPr>
        <w:t>(Bmjcareers, 2022)</w:t>
      </w:r>
      <w:r w:rsidR="001F5F05">
        <w:fldChar w:fldCharType="end"/>
      </w:r>
      <w:r w:rsidR="002472E5">
        <w:t xml:space="preserve">. For å praktisere som allmennlege, må man være spesialist i allmennmedisin. </w:t>
      </w:r>
      <w:r w:rsidR="002472E5" w:rsidRPr="00D9107F">
        <w:rPr>
          <w:rStyle w:val="Fotnotereferanse"/>
        </w:rPr>
        <w:footnoteReference w:id="55"/>
      </w:r>
    </w:p>
    <w:p w14:paraId="6528ED11" w14:textId="77777777" w:rsidR="00ED4937" w:rsidRPr="00D84E92" w:rsidRDefault="2BE8B0DA" w:rsidP="00775632">
      <w:pPr>
        <w:pStyle w:val="Overskrift4"/>
      </w:pPr>
      <w:bookmarkStart w:id="5084" w:name="_Toc130983682"/>
      <w:bookmarkStart w:id="5085" w:name="_Toc130984031"/>
      <w:bookmarkStart w:id="5086" w:name="_Toc131279626"/>
      <w:bookmarkStart w:id="5087" w:name="_Toc131287038"/>
      <w:bookmarkStart w:id="5088" w:name="_Toc131281448"/>
      <w:bookmarkStart w:id="5089" w:name="_Toc131317988"/>
      <w:r>
        <w:t>Skottland</w:t>
      </w:r>
      <w:bookmarkEnd w:id="5084"/>
      <w:bookmarkEnd w:id="5085"/>
      <w:bookmarkEnd w:id="5086"/>
      <w:bookmarkEnd w:id="5087"/>
      <w:bookmarkEnd w:id="5088"/>
      <w:bookmarkEnd w:id="5089"/>
    </w:p>
    <w:p w14:paraId="6E1B8DB3" w14:textId="77777777" w:rsidR="00ED4937" w:rsidRDefault="002472E5" w:rsidP="00C5027F">
      <w:pPr>
        <w:jc w:val="both"/>
      </w:pPr>
      <w:r>
        <w:t>Spesialistutdanningen består av to</w:t>
      </w:r>
      <w:r w:rsidR="00ED4937" w:rsidRPr="00E866E2">
        <w:t xml:space="preserve"> år grunnleggende opplæring </w:t>
      </w:r>
      <w:r w:rsidR="00ED4937">
        <w:t>for</w:t>
      </w:r>
      <w:r w:rsidR="00ED4937" w:rsidRPr="00E866E2">
        <w:t xml:space="preserve"> å oppnå generalistferdigheter </w:t>
      </w:r>
      <w:r w:rsidR="00ED4937">
        <w:t>fra sykehus</w:t>
      </w:r>
      <w:r w:rsidR="00ED4937" w:rsidRPr="00E866E2">
        <w:t xml:space="preserve">. </w:t>
      </w:r>
      <w:r w:rsidR="002B0386">
        <w:t>Deretter</w:t>
      </w:r>
      <w:r w:rsidR="00ED4937" w:rsidRPr="00E866E2">
        <w:t xml:space="preserve"> e</w:t>
      </w:r>
      <w:r w:rsidR="00ED4937">
        <w:t>n</w:t>
      </w:r>
      <w:r w:rsidR="00ED4937" w:rsidRPr="00E866E2">
        <w:t xml:space="preserve"> 3-årig spesiali</w:t>
      </w:r>
      <w:r w:rsidR="00ED4937">
        <w:t>stutdanning</w:t>
      </w:r>
      <w:r w:rsidR="00ED4937" w:rsidRPr="00E866E2">
        <w:t xml:space="preserve"> </w:t>
      </w:r>
      <w:r w:rsidR="00ED4937">
        <w:t>i</w:t>
      </w:r>
      <w:r w:rsidR="00ED4937" w:rsidRPr="00E866E2">
        <w:t xml:space="preserve"> allmenn</w:t>
      </w:r>
      <w:r w:rsidR="00ED4937">
        <w:t>medisin</w:t>
      </w:r>
      <w:r w:rsidR="00B82539">
        <w:t>,</w:t>
      </w:r>
      <w:r w:rsidR="00ED4937" w:rsidRPr="00E866E2">
        <w:t xml:space="preserve"> </w:t>
      </w:r>
      <w:r w:rsidR="00ED4937">
        <w:t>som avsluttes med e</w:t>
      </w:r>
      <w:r w:rsidR="00ED4937" w:rsidRPr="00E866E2">
        <w:t>ksamen.</w:t>
      </w:r>
    </w:p>
    <w:p w14:paraId="7702F695" w14:textId="77777777" w:rsidR="00D9107F" w:rsidRDefault="00ED4937" w:rsidP="00C5027F">
      <w:pPr>
        <w:jc w:val="both"/>
      </w:pPr>
      <w:r w:rsidRPr="00DF1BAD">
        <w:t xml:space="preserve">Generelt tilbringer </w:t>
      </w:r>
      <w:r>
        <w:t>studentene</w:t>
      </w:r>
      <w:r w:rsidRPr="00DF1BAD">
        <w:t xml:space="preserve"> </w:t>
      </w:r>
      <w:r>
        <w:t xml:space="preserve">under spesialisering </w:t>
      </w:r>
      <w:r w:rsidRPr="00DF1BAD">
        <w:t>12-18 måneder i allmennpraksis, og 12-18 måneder i sykehus</w:t>
      </w:r>
      <w:r w:rsidR="0013758E">
        <w:t xml:space="preserve">. </w:t>
      </w:r>
      <w:r>
        <w:t xml:space="preserve">Legene må søke på </w:t>
      </w:r>
      <w:r w:rsidR="00A2578A">
        <w:t>fastlønnede</w:t>
      </w:r>
      <w:r>
        <w:t xml:space="preserve"> utdanningsstillinger. Legene</w:t>
      </w:r>
      <w:r w:rsidRPr="002C4220">
        <w:t xml:space="preserve"> tilbys gratis tilgang til praksisbasert </w:t>
      </w:r>
      <w:r>
        <w:t>opp</w:t>
      </w:r>
      <w:r w:rsidRPr="002C4220">
        <w:t xml:space="preserve">læring i små grupper, og en rekke </w:t>
      </w:r>
      <w:r w:rsidR="00CA0371">
        <w:t>leger</w:t>
      </w:r>
      <w:r>
        <w:t xml:space="preserve"> får</w:t>
      </w:r>
      <w:r w:rsidRPr="002C4220">
        <w:t xml:space="preserve"> </w:t>
      </w:r>
      <w:r>
        <w:t xml:space="preserve">ekstra </w:t>
      </w:r>
      <w:r w:rsidRPr="002C4220">
        <w:t xml:space="preserve">stipend for å </w:t>
      </w:r>
      <w:r>
        <w:t xml:space="preserve">ta </w:t>
      </w:r>
      <w:r w:rsidRPr="002C4220">
        <w:t>stillinger som er vanskelige å fylle</w:t>
      </w:r>
      <w:r>
        <w:t xml:space="preserve"> (mest rurale deler av landet)</w:t>
      </w:r>
      <w:r w:rsidRPr="002C4220">
        <w:t>.</w:t>
      </w:r>
    </w:p>
    <w:p w14:paraId="12B43B56" w14:textId="3ADACD4E" w:rsidR="00D9107F" w:rsidRDefault="4EF26DB5" w:rsidP="00C5027F">
      <w:pPr>
        <w:jc w:val="both"/>
      </w:pPr>
      <w:r>
        <w:t xml:space="preserve">Praktiserende allmennleger </w:t>
      </w:r>
      <w:r w:rsidR="3A66459B">
        <w:t xml:space="preserve">må gjennomgå en årlig vurdering som dekker klinisk arbeid, kvalitetsforbedringsaktivitet, vurdering av eventuelle klager og </w:t>
      </w:r>
      <w:r w:rsidR="53358964">
        <w:t>dokumen</w:t>
      </w:r>
      <w:r w:rsidR="34593EA1">
        <w:t>tasjon knyttet til</w:t>
      </w:r>
      <w:r w:rsidR="3A66459B">
        <w:t xml:space="preserve"> helse- og redelighet. </w:t>
      </w:r>
      <w:r w:rsidR="260A31A1">
        <w:t>L</w:t>
      </w:r>
      <w:r w:rsidR="3A66459B">
        <w:t xml:space="preserve">egen </w:t>
      </w:r>
      <w:r w:rsidR="260A31A1">
        <w:t>må også</w:t>
      </w:r>
      <w:r w:rsidR="3A66459B">
        <w:t xml:space="preserve"> vise til tilbakemeldinger fra pasienter og kolleger</w:t>
      </w:r>
      <w:r w:rsidR="6AB56A80">
        <w:t xml:space="preserve">. </w:t>
      </w:r>
      <w:r w:rsidR="3A66459B" w:rsidRPr="00D63227">
        <w:t xml:space="preserve">For å praktisere </w:t>
      </w:r>
      <w:r w:rsidR="34593EA1">
        <w:t xml:space="preserve">selvstendig </w:t>
      </w:r>
      <w:r w:rsidR="3A66459B" w:rsidRPr="00D63227">
        <w:t>som allmennlege</w:t>
      </w:r>
      <w:r w:rsidR="3B1CBA7B">
        <w:t>,</w:t>
      </w:r>
      <w:r w:rsidR="3A66459B" w:rsidRPr="00D63227">
        <w:t xml:space="preserve"> må man være spesialist i allmennmedisin.</w:t>
      </w:r>
      <w:r w:rsidR="00BA11F3" w:rsidRPr="00D9107F">
        <w:rPr>
          <w:rStyle w:val="Fotnotereferanse"/>
        </w:rPr>
        <w:footnoteReference w:id="56"/>
      </w:r>
    </w:p>
    <w:p w14:paraId="47135511" w14:textId="1422B631" w:rsidR="00AA73CD" w:rsidRDefault="00F92F30" w:rsidP="00775632">
      <w:pPr>
        <w:pStyle w:val="Overskrift2"/>
      </w:pPr>
      <w:bookmarkStart w:id="5090" w:name="_Toc128238642"/>
      <w:bookmarkStart w:id="5091" w:name="_Toc128742090"/>
      <w:bookmarkStart w:id="5092" w:name="_Toc128744718"/>
      <w:bookmarkStart w:id="5093" w:name="_Toc128744937"/>
      <w:bookmarkStart w:id="5094" w:name="_Toc129630442"/>
      <w:bookmarkStart w:id="5095" w:name="_Toc130763949"/>
      <w:bookmarkStart w:id="5096" w:name="_Toc130766844"/>
      <w:bookmarkStart w:id="5097" w:name="_Toc130932243"/>
      <w:bookmarkStart w:id="5098" w:name="_Toc130934534"/>
      <w:bookmarkStart w:id="5099" w:name="_Toc130983683"/>
      <w:bookmarkStart w:id="5100" w:name="_Toc130984032"/>
      <w:bookmarkStart w:id="5101" w:name="_Toc131062285"/>
      <w:bookmarkStart w:id="5102" w:name="_Toc131062539"/>
      <w:bookmarkStart w:id="5103" w:name="_Toc131062800"/>
      <w:bookmarkStart w:id="5104" w:name="_Toc131063053"/>
      <w:bookmarkStart w:id="5105" w:name="_Toc131063836"/>
      <w:bookmarkStart w:id="5106" w:name="_Toc131064247"/>
      <w:bookmarkStart w:id="5107" w:name="_Toc131238570"/>
      <w:bookmarkStart w:id="5108" w:name="_Toc131279627"/>
      <w:bookmarkStart w:id="5109" w:name="_Toc131287039"/>
      <w:bookmarkStart w:id="5110" w:name="_Toc131281449"/>
      <w:bookmarkStart w:id="5111" w:name="_Toc131317989"/>
      <w:bookmarkStart w:id="5112" w:name="_Toc132537080"/>
      <w:r>
        <w:t>Etterutdanning</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14:paraId="78C8F7AC" w14:textId="77777777" w:rsidR="00663DE5" w:rsidRDefault="00663DE5" w:rsidP="00775632">
      <w:pPr>
        <w:pStyle w:val="Overskrift3"/>
      </w:pPr>
      <w:bookmarkStart w:id="5113" w:name="_Toc132537081"/>
      <w:bookmarkStart w:id="5114" w:name="_Toc128238643"/>
      <w:bookmarkStart w:id="5115" w:name="_Toc128742091"/>
      <w:bookmarkStart w:id="5116" w:name="_Toc128744719"/>
      <w:bookmarkStart w:id="5117" w:name="_Toc128744938"/>
      <w:bookmarkStart w:id="5118" w:name="_Toc129630443"/>
      <w:bookmarkStart w:id="5119" w:name="_Toc130763950"/>
      <w:bookmarkStart w:id="5120" w:name="_Toc130766845"/>
      <w:bookmarkStart w:id="5121" w:name="_Toc130932244"/>
      <w:bookmarkStart w:id="5122" w:name="_Toc130934535"/>
      <w:bookmarkStart w:id="5123" w:name="_Toc130983684"/>
      <w:bookmarkStart w:id="5124" w:name="_Toc130984033"/>
      <w:bookmarkStart w:id="5125" w:name="_Toc131062286"/>
      <w:bookmarkStart w:id="5126" w:name="_Toc131062540"/>
      <w:bookmarkStart w:id="5127" w:name="_Toc131062801"/>
      <w:bookmarkStart w:id="5128" w:name="_Toc131063054"/>
      <w:bookmarkStart w:id="5129" w:name="_Toc131063837"/>
      <w:bookmarkStart w:id="5130" w:name="_Toc131064248"/>
      <w:bookmarkStart w:id="5131" w:name="_Toc131279628"/>
      <w:bookmarkStart w:id="5132" w:name="_Toc131287040"/>
      <w:bookmarkStart w:id="5133" w:name="_Toc131281450"/>
      <w:bookmarkStart w:id="5134" w:name="_Toc131317990"/>
      <w:r>
        <w:t>Etterutdanning i andre land</w:t>
      </w:r>
      <w:bookmarkEnd w:id="5113"/>
    </w:p>
    <w:p w14:paraId="50D27DF1" w14:textId="77777777" w:rsidR="00663DE5" w:rsidRDefault="00663DE5" w:rsidP="00663DE5">
      <w:pPr>
        <w:jc w:val="both"/>
      </w:pPr>
      <w:r>
        <w:t xml:space="preserve">Krav om etterutdanning gjelder ikke for våre skandinaviske naboland (Sverige, Danmark og Finland), men er mer vanlig i andre sammenlignbare land i Europa. I Nederland må man resertifiseres hvert femte år for å beholde spesialistgodkjenningen, </w:t>
      </w:r>
      <w:r w:rsidRPr="00D9107F">
        <w:rPr>
          <w:rStyle w:val="Fotnotereferanse"/>
        </w:rPr>
        <w:footnoteReference w:id="57"/>
      </w:r>
      <w:r>
        <w:t xml:space="preserve"> og i England </w:t>
      </w:r>
      <w:r w:rsidRPr="00D63227">
        <w:t xml:space="preserve">må </w:t>
      </w:r>
      <w:r>
        <w:t>legene fornye</w:t>
      </w:r>
      <w:r w:rsidRPr="00D63227">
        <w:t xml:space="preserve"> </w:t>
      </w:r>
      <w:r>
        <w:t xml:space="preserve">lisensen hvert femte år </w:t>
      </w:r>
      <w:r>
        <w:fldChar w:fldCharType="begin"/>
      </w:r>
      <w:r>
        <w:instrText xml:space="preserve"> ADDIN EN.CITE &lt;EndNote&gt;&lt;Cite&gt;&lt;Author&gt;Cutch College of GPs&lt;/Author&gt;&lt;Year&gt;[s.a.]&lt;/Year&gt;&lt;RecNum&gt;335&lt;/RecNum&gt;&lt;DisplayText&gt;(Cutch College of GPs, [s.a.])&lt;/DisplayText&gt;&lt;record&gt;&lt;rec-number&gt;335&lt;/rec-number&gt;&lt;foreign-keys&gt;&lt;key app="EN" db-id="95tpr2tp6r9xwoea9rb5wdsz5ds5xeddteew" timestamp="1680069511"&gt;335&lt;/key&gt;&lt;/foreign-keys&gt;&lt;ref-type name="Web Page"&gt;12&lt;/ref-type&gt;&lt;contributors&gt;&lt;authors&gt;&lt;author&gt;Cutch College of GPs,&lt;/author&gt;&lt;/authors&gt;&lt;/contributors&gt;&lt;titles&gt;&lt;title&gt;How are the training and quality of GPs arranged in the Netherlands?&lt;/title&gt;&lt;/titles&gt;&lt;number&gt;21. mars 2023&lt;/number&gt;&lt;dates&gt;&lt;year&gt;[s.a.]&lt;/year&gt;&lt;/dates&gt;&lt;publisher&gt;GPinfo.nl&lt;/publisher&gt;&lt;work-type&gt;nettdokument&lt;/work-type&gt;&lt;urls&gt;&lt;related-urls&gt;&lt;url&gt;https://gpinfo.nl/how-are-training-and-quality-of-gps-arranged-in-netherlands&lt;/url&gt;&lt;/related-urls&gt;&lt;/urls&gt;&lt;/record&gt;&lt;/Cite&gt;&lt;/EndNote&gt;</w:instrText>
      </w:r>
      <w:r>
        <w:fldChar w:fldCharType="separate"/>
      </w:r>
      <w:r>
        <w:rPr>
          <w:noProof/>
        </w:rPr>
        <w:t>(Cutch College of GPs, [s.a.])</w:t>
      </w:r>
      <w:r>
        <w:fldChar w:fldCharType="end"/>
      </w:r>
      <w:r>
        <w:t xml:space="preserve">. </w:t>
      </w:r>
      <w:r w:rsidRPr="00D9107F">
        <w:rPr>
          <w:rStyle w:val="Fotnotereferanse"/>
        </w:rPr>
        <w:footnoteReference w:id="58"/>
      </w:r>
      <w:r>
        <w:t xml:space="preserve"> Alle leger i Skottland er pålagt å fornye lisensen til å praktisere hvert femte år.</w:t>
      </w:r>
    </w:p>
    <w:p w14:paraId="36365527" w14:textId="2957362B" w:rsidR="00663DE5" w:rsidRDefault="00663DE5" w:rsidP="00663DE5">
      <w:pPr>
        <w:jc w:val="both"/>
      </w:pPr>
      <w:r>
        <w:lastRenderedPageBreak/>
        <w:t xml:space="preserve">I 2019 var det krav om obligatorisk etterutdanning for legespesialister i omtrent 2 av 3 land i EU. Blant landene i EU som har obligatorisk etterutdanning for alle leger, er Frankrike, Hellas, Irland, Italia, Nederland, Storbritannia, Tyskland, og Østerrike. Konsekvensen for leger som ikke tar etterutdanning i land hvor dette er pålagt varierer mye, fra å miste autorisasjonen til ingen konsekvens. Blant landene i EU hvor etterutdanning av leger er frivillig, inngår Belgia, Danmark, Finland, Island, Malta, Portugal, Spania og Sverige. Selv om etterutdanningen er frivillig, kan det være ulike insentiver for å stimulere og legge til rette for dette </w:t>
      </w:r>
      <w:r>
        <w:fldChar w:fldCharType="begin"/>
      </w:r>
      <w:r w:rsidR="004654FD">
        <w:instrText xml:space="preserve"> ADDIN EN.CITE &lt;EndNote&gt;&lt;Cite&gt;&lt;Author&gt;Wahlstedt&lt;/Author&gt;&lt;Year&gt;2019&lt;/Year&gt;&lt;RecNum&gt;573&lt;/RecNum&gt;&lt;DisplayText&gt;(Wahlstedt, 2019)&lt;/DisplayText&gt;&lt;record&gt;&lt;rec-number&gt;573&lt;/rec-number&gt;&lt;foreign-keys&gt;&lt;key app="EN" db-id="95tpr2tp6r9xwoea9rb5wdsz5ds5xeddteew" timestamp="1680069511"&gt;573&lt;/key&gt;&lt;/foreign-keys&gt;&lt;ref-type name="Report"&gt;27&lt;/ref-type&gt;&lt;contributors&gt;&lt;authors&gt;&lt;author&gt;Wahlstedt, Per&lt;/author&gt;&lt;/authors&gt;&lt;/contributors&gt;&lt;titles&gt;&lt;title&gt;Obligatorisk fortbildning inom EU: Sammanställning av vilka länder inom EU/EES och EFTA som reglerar läkares fortbildning&lt;/title&gt;&lt;/titles&gt;&lt;dates&gt;&lt;year&gt;2019&lt;/year&gt;&lt;/dates&gt;&lt;pub-location&gt;Stockholm&lt;/pub-location&gt;&lt;publisher&gt;Sveriges läkarförbund&lt;/publisher&gt;&lt;urls&gt;&lt;/urls&gt;&lt;/record&gt;&lt;/Cite&gt;&lt;/EndNote&gt;</w:instrText>
      </w:r>
      <w:r>
        <w:fldChar w:fldCharType="separate"/>
      </w:r>
      <w:r>
        <w:rPr>
          <w:noProof/>
        </w:rPr>
        <w:t>(Wahlstedt, 2019)</w:t>
      </w:r>
      <w:r>
        <w:fldChar w:fldCharType="end"/>
      </w:r>
      <w:r>
        <w:t>.</w:t>
      </w:r>
    </w:p>
    <w:p w14:paraId="5D6D8166" w14:textId="77777777" w:rsidR="00663DE5" w:rsidRPr="00D9107F" w:rsidRDefault="00663DE5" w:rsidP="00663DE5">
      <w:pPr>
        <w:jc w:val="both"/>
        <w:rPr>
          <w:rStyle w:val="kursiv"/>
        </w:rPr>
      </w:pPr>
      <w:r>
        <w:t>I overenskomsten mellom PLO (Praktiserende legers organisasjon) og Danske Regioner er det avtalt en takst for å delta på etterutdanning. Taksten dekker inntak av vikar</w:t>
      </w:r>
      <w:r w:rsidRPr="005E1F58">
        <w:t>, transport og kursutgifter</w:t>
      </w:r>
      <w:r>
        <w:t xml:space="preserve">. </w:t>
      </w:r>
      <w:r w:rsidRPr="00D9107F">
        <w:rPr>
          <w:rStyle w:val="kursiv"/>
        </w:rPr>
        <w:t>Systematisk etterutdanning</w:t>
      </w:r>
      <w:r>
        <w:t xml:space="preserve"> innebærer å delta på definerte kurs eller i en etterutdanningsgruppe. Deltakelse på </w:t>
      </w:r>
      <w:r w:rsidRPr="00D9107F">
        <w:rPr>
          <w:rStyle w:val="kursiv"/>
        </w:rPr>
        <w:t>systematisk etterutdanning</w:t>
      </w:r>
      <w:r>
        <w:t xml:space="preserve"> gir en forhøyet takst på et omfang av tre dager per år. Systematisk etterutdanning kommer i tillegg til det som kalles </w:t>
      </w:r>
      <w:r w:rsidRPr="00D9107F">
        <w:rPr>
          <w:rStyle w:val="kursiv"/>
        </w:rPr>
        <w:t>selvvalgt etterutdanning</w:t>
      </w:r>
      <w:r>
        <w:t xml:space="preserve">. </w:t>
      </w:r>
      <w:r w:rsidRPr="005E1F58">
        <w:t xml:space="preserve">Den selvvalgte etterutdanningen har mange ulike </w:t>
      </w:r>
      <w:r>
        <w:t>kurs</w:t>
      </w:r>
      <w:r w:rsidRPr="005E1F58">
        <w:t xml:space="preserve">, og betydelig flere enn den </w:t>
      </w:r>
      <w:r w:rsidRPr="0008483E">
        <w:t>systematiske etterutdanningen</w:t>
      </w:r>
      <w:r w:rsidRPr="005E1F58">
        <w:t xml:space="preserve">. </w:t>
      </w:r>
      <w:r>
        <w:t xml:space="preserve">Taksten for </w:t>
      </w:r>
      <w:r w:rsidRPr="00D9107F">
        <w:rPr>
          <w:rStyle w:val="kursiv"/>
        </w:rPr>
        <w:t>selvvalgt etterutdanning</w:t>
      </w:r>
      <w:r>
        <w:t xml:space="preserve"> er lavere enn for den </w:t>
      </w:r>
      <w:r w:rsidRPr="00D9107F">
        <w:rPr>
          <w:rStyle w:val="kursiv"/>
        </w:rPr>
        <w:t>systematiske etterutdanningen.</w:t>
      </w:r>
    </w:p>
    <w:p w14:paraId="4D0A03CA" w14:textId="31EADF84" w:rsidR="00663DE5" w:rsidRDefault="00663DE5" w:rsidP="00663DE5">
      <w:pPr>
        <w:jc w:val="both"/>
      </w:pPr>
      <w:r>
        <w:t>De europeiske legeforeningene har også hatt obligatorisk etterutdanning som tema. CPME (Comité Permanent des Médicins Europeéns) sier i sin konsensuserklæring om etterutdanning at å investere i etterutdanning er fordelaktig for helsevesenet og for pasientene. Samtidig er det manglende dokumentasjon for at resertifisering eller regodkjenning bidrar til å</w:t>
      </w:r>
      <w:r w:rsidRPr="00166B19">
        <w:t xml:space="preserve"> oppdage dårlig</w:t>
      </w:r>
      <w:r>
        <w:t xml:space="preserve"> presterende</w:t>
      </w:r>
      <w:r w:rsidRPr="00166B19">
        <w:t xml:space="preserve"> leger eller </w:t>
      </w:r>
      <w:r>
        <w:t xml:space="preserve">til å gjøre helsetjenestene tryggere </w:t>
      </w:r>
      <w:r>
        <w:fldChar w:fldCharType="begin"/>
      </w:r>
      <w:r w:rsidR="00904B00">
        <w:instrText xml:space="preserve"> ADDIN EN.CITE &lt;EndNote&gt;&lt;Cite&gt;&lt;Author&gt;Commision&lt;/Author&gt;&lt;Year&gt;2015&lt;/Year&gt;&lt;RecNum&gt;1019&lt;/RecNum&gt;&lt;DisplayText&gt;(Commision, 2015)&lt;/DisplayText&gt;&lt;record&gt;&lt;rec-number&gt;1019&lt;/rec-number&gt;&lt;foreign-keys&gt;&lt;key app="EN" db-id="95tpr2tp6r9xwoea9rb5wdsz5ds5xeddteew" timestamp="1681141965"&gt;1019&lt;/key&gt;&lt;/foreign-keys&gt;&lt;ref-type name="Web Page"&gt;12&lt;/ref-type&gt;&lt;contributors&gt;&lt;authors&gt;&lt;author&gt;EU Commision&lt;/author&gt;&lt;/authors&gt;&lt;/contributors&gt;&lt;titles&gt;&lt;title&gt;Consensus Statement of the European Medical Organisations on Continuing Professional Development Luxembourg, Comité Permanent des Médicins Europeéns (CPME).&lt;/title&gt;&lt;/titles&gt;&lt;dates&gt;&lt;year&gt;2015&lt;/year&gt;&lt;/dates&gt;&lt;pub-location&gt;Luxemburg&lt;/pub-location&gt;&lt;urls&gt;&lt;/urls&gt;&lt;/record&gt;&lt;/Cite&gt;&lt;/EndNote&gt;</w:instrText>
      </w:r>
      <w:r>
        <w:fldChar w:fldCharType="separate"/>
      </w:r>
      <w:r>
        <w:rPr>
          <w:noProof/>
        </w:rPr>
        <w:t>(Commision, 2015)</w:t>
      </w:r>
      <w:r>
        <w:fldChar w:fldCharType="end"/>
      </w:r>
      <w:r>
        <w:t>.</w:t>
      </w:r>
    </w:p>
    <w:p w14:paraId="4BB355C6" w14:textId="77777777" w:rsidR="00B505EE" w:rsidRDefault="10CFCE3D" w:rsidP="00775632">
      <w:pPr>
        <w:pStyle w:val="Overskrift3"/>
      </w:pPr>
      <w:bookmarkStart w:id="5135" w:name="_Toc132537082"/>
      <w:r>
        <w:t>Om rammer og innhold</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61E7C6B9" w14:textId="77777777" w:rsidR="00D9107F" w:rsidRDefault="00B505EE" w:rsidP="00C5027F">
      <w:pPr>
        <w:jc w:val="both"/>
        <w:rPr>
          <w:rFonts w:eastAsiaTheme="minorEastAsia"/>
        </w:rPr>
      </w:pPr>
      <w:r>
        <w:t xml:space="preserve">Spesialiteten allmennmedisin </w:t>
      </w:r>
      <w:r w:rsidR="003536F8">
        <w:t xml:space="preserve">er </w:t>
      </w:r>
      <w:r>
        <w:t>den eneste spesialiteten i Norge som</w:t>
      </w:r>
      <w:r w:rsidR="00B82539">
        <w:t>,</w:t>
      </w:r>
      <w:r>
        <w:t xml:space="preserve"> siden innføringen i 1984, har hatt en etablert ordning med obligatorisk etterutdanning. </w:t>
      </w:r>
      <w:r w:rsidR="002472E5">
        <w:rPr>
          <w:rFonts w:eastAsiaTheme="minorEastAsia"/>
        </w:rPr>
        <w:t>F</w:t>
      </w:r>
      <w:r w:rsidR="002472E5" w:rsidRPr="477DB299">
        <w:rPr>
          <w:rFonts w:eastAsiaTheme="minorEastAsia"/>
        </w:rPr>
        <w:t xml:space="preserve">ormålet med etterutdanningen </w:t>
      </w:r>
      <w:r w:rsidR="002472E5">
        <w:rPr>
          <w:rFonts w:eastAsiaTheme="minorEastAsia"/>
        </w:rPr>
        <w:t xml:space="preserve">er </w:t>
      </w:r>
      <w:r w:rsidR="002472E5" w:rsidRPr="477DB299">
        <w:rPr>
          <w:rFonts w:eastAsiaTheme="minorEastAsia"/>
        </w:rPr>
        <w:t>å fremme</w:t>
      </w:r>
      <w:r w:rsidRPr="477DB299">
        <w:rPr>
          <w:rFonts w:eastAsiaTheme="minorEastAsia"/>
        </w:rPr>
        <w:t xml:space="preserve"> pasientsikkerhet</w:t>
      </w:r>
      <w:r w:rsidR="00B82539">
        <w:rPr>
          <w:rFonts w:eastAsiaTheme="minorEastAsia"/>
        </w:rPr>
        <w:t>,</w:t>
      </w:r>
      <w:r w:rsidRPr="477DB299">
        <w:rPr>
          <w:rFonts w:eastAsiaTheme="minorEastAsia"/>
        </w:rPr>
        <w:t xml:space="preserve"> gjennom å sikre fastlegenes faglige kompetanse og dermed kvaliteten i tjenestene.</w:t>
      </w:r>
    </w:p>
    <w:p w14:paraId="37307F3A" w14:textId="77777777" w:rsidR="00D9107F" w:rsidRDefault="4B8F6AE0" w:rsidP="00C5027F">
      <w:pPr>
        <w:jc w:val="both"/>
      </w:pPr>
      <w:r>
        <w:t xml:space="preserve">Innholdet i etterutdanningsprogrammet for allmennleger har mange likhetstrekk med gammel ordning for spesialistgodkjenning. Selv om programmet er mindre omfattende, er det definerte krav til den allmennmedisinske tjenesten og til gjennomføring av øvrige utdanningsaktiviteter. Hovedregelen er at det kreves til sammen </w:t>
      </w:r>
      <w:r w:rsidR="002472E5">
        <w:t>et</w:t>
      </w:r>
      <w:r w:rsidRPr="00EA5BD4">
        <w:t xml:space="preserve"> års allmennmedisinsk tjeneste i åpen uselektert </w:t>
      </w:r>
      <w:r>
        <w:t>allmenn</w:t>
      </w:r>
      <w:r w:rsidRPr="00EA5BD4">
        <w:t xml:space="preserve">praksis </w:t>
      </w:r>
      <w:r>
        <w:t>i løpet av</w:t>
      </w:r>
      <w:r w:rsidRPr="00EA5BD4">
        <w:t xml:space="preserve"> 5-årsperioden.</w:t>
      </w:r>
      <w:r>
        <w:t xml:space="preserve"> I tillegg må legen gjennomføre utdanningsaktiviteter tilsvarende 300 poeng, hvorav 140 poeng er obligatoriske aktiviteter. Blant annet må spesialisten delta i smågruppeundervisning, gjennomføre praksisbesøk og delta på ulike kliniske emnekurs innen minst 5 ulike fagområder. </w:t>
      </w:r>
      <w:r w:rsidRPr="00D5693B">
        <w:t xml:space="preserve">Kursene tilbys av helseforetak, forskjellige deler av legeforeningen og enkelte andre godkjente arrangører. Andre aktiviteter </w:t>
      </w:r>
      <w:r>
        <w:t>som også gir tellende poeng</w:t>
      </w:r>
      <w:r w:rsidR="37F2792A">
        <w:t>,</w:t>
      </w:r>
      <w:r>
        <w:t xml:space="preserve"> er </w:t>
      </w:r>
      <w:r w:rsidRPr="00D5693B">
        <w:t>veiledning av LIS1</w:t>
      </w:r>
      <w:r>
        <w:t xml:space="preserve"> og </w:t>
      </w:r>
      <w:r w:rsidRPr="00D5693B">
        <w:t>ALIS</w:t>
      </w:r>
      <w:r>
        <w:t xml:space="preserve"> og </w:t>
      </w:r>
      <w:r w:rsidRPr="00D5693B">
        <w:t>forskning</w:t>
      </w:r>
      <w:r>
        <w:t>. Søknad om fornyet rett til tilleggstakst</w:t>
      </w:r>
      <w:r w:rsidR="00B82539">
        <w:t>,</w:t>
      </w:r>
      <w:r>
        <w:t xml:space="preserve"> med </w:t>
      </w:r>
      <w:r>
        <w:lastRenderedPageBreak/>
        <w:t>tilhørende dokumentasjon av gjennomførte utdanningsaktiviteter</w:t>
      </w:r>
      <w:r w:rsidR="036DA362">
        <w:t>,</w:t>
      </w:r>
      <w:r>
        <w:t xml:space="preserve"> sendes Helsedirektoratet</w:t>
      </w:r>
      <w:r w:rsidR="2FD65780">
        <w:t xml:space="preserve"> </w:t>
      </w:r>
      <w:r w:rsidR="00B60B70">
        <w:fldChar w:fldCharType="begin"/>
      </w:r>
      <w:r w:rsidR="00235862">
        <w:instrText xml:space="preserve"> ADDIN EN.CITE &lt;EndNote&gt;&lt;Cite&gt;&lt;Author&gt;Helsedirektoratet&lt;/Author&gt;&lt;Year&gt;2020&lt;/Year&gt;&lt;RecNum&gt;698&lt;/RecNum&gt;&lt;DisplayText&gt;(Helsedirektoratet, 2020d)&lt;/DisplayText&gt;&lt;record&gt;&lt;rec-number&gt;698&lt;/rec-number&gt;&lt;foreign-keys&gt;&lt;key app="EN" db-id="95tpr2tp6r9xwoea9rb5wdsz5ds5xeddteew" timestamp="1680069511"&gt;698&lt;/key&gt;&lt;/foreign-keys&gt;&lt;ref-type name="Web Page"&gt;12&lt;/ref-type&gt;&lt;contributors&gt;&lt;authors&gt;&lt;author&gt;Helsedirektoratet&lt;/author&gt;&lt;/authors&gt;&lt;/contributors&gt;&lt;titles&gt;&lt;title&gt;Regler for gammel spesialistutdanning og etterutdanning - allmennmedisin&lt;/title&gt;&lt;/titles&gt;&lt;number&gt;07.02.2023&lt;/number&gt;&lt;dates&gt;&lt;year&gt;2020&lt;/year&gt;&lt;pub-dates&gt;&lt;date&gt;04.03.2021&lt;/date&gt;&lt;/pub-dates&gt;&lt;/dates&gt;&lt;pub-location&gt;Oslo&lt;/pub-location&gt;&lt;publisher&gt;Helsedirektoratet&lt;/publisher&gt;&lt;work-type&gt;nettdokument&lt;/work-type&gt;&lt;urls&gt;&lt;/urls&gt;&lt;/record&gt;&lt;/Cite&gt;&lt;/EndNote&gt;</w:instrText>
      </w:r>
      <w:r w:rsidR="00B60B70">
        <w:fldChar w:fldCharType="separate"/>
      </w:r>
      <w:r w:rsidR="001F5F05">
        <w:rPr>
          <w:noProof/>
        </w:rPr>
        <w:t>(Helsedirektoratet, 2020d)</w:t>
      </w:r>
      <w:r w:rsidR="00B60B70">
        <w:fldChar w:fldCharType="end"/>
      </w:r>
      <w:r w:rsidR="00B77B27">
        <w:t>.</w:t>
      </w:r>
    </w:p>
    <w:p w14:paraId="222E76A0" w14:textId="13BF9129" w:rsidR="00B505EE" w:rsidRDefault="4B8F6AE0" w:rsidP="00C5027F">
      <w:pPr>
        <w:jc w:val="both"/>
      </w:pPr>
      <w:r>
        <w:t xml:space="preserve">Etterutdanningsprogrammet gjelder for alle leger som oppnår spesialistgodkjenning i allmennmedisin, og som ved gjennomføring får rett til tilleggstakst i </w:t>
      </w:r>
      <w:r w:rsidR="002472E5">
        <w:t>fem år.</w:t>
      </w:r>
      <w:r>
        <w:t xml:space="preserve"> </w:t>
      </w:r>
      <w:r w:rsidRPr="498DE090">
        <w:rPr>
          <w:rFonts w:eastAsiaTheme="minorEastAsia"/>
        </w:rPr>
        <w:t>Blant leger i fastlegeordningen viser tall fra Helfo at det</w:t>
      </w:r>
      <w:r w:rsidR="00B82539">
        <w:rPr>
          <w:rFonts w:eastAsiaTheme="minorEastAsia"/>
        </w:rPr>
        <w:t>,</w:t>
      </w:r>
      <w:r w:rsidRPr="498DE090">
        <w:rPr>
          <w:rFonts w:eastAsiaTheme="minorEastAsia"/>
        </w:rPr>
        <w:t xml:space="preserve"> fra januar 2021 til september 2022, var </w:t>
      </w:r>
      <w:r w:rsidR="002472E5" w:rsidRPr="498DE090">
        <w:rPr>
          <w:rFonts w:eastAsiaTheme="minorEastAsia"/>
        </w:rPr>
        <w:t xml:space="preserve">104 av </w:t>
      </w:r>
      <w:r w:rsidR="002472E5">
        <w:t>3199</w:t>
      </w:r>
      <w:r w:rsidR="002472E5" w:rsidRPr="498DE090">
        <w:rPr>
          <w:rFonts w:eastAsiaTheme="minorEastAsia"/>
        </w:rPr>
        <w:t xml:space="preserve"> spesialister i allmennmedisin som ikke brukte tilleggstakst.</w:t>
      </w:r>
      <w:r w:rsidRPr="498DE090">
        <w:rPr>
          <w:rFonts w:eastAsiaTheme="minorEastAsia"/>
        </w:rPr>
        <w:t xml:space="preserve"> Av dem var 62 fastleger og 42 fastlegevikarer.</w:t>
      </w:r>
      <w:r>
        <w:rPr>
          <w:rFonts w:eastAsiaTheme="minorEastAsia"/>
        </w:rPr>
        <w:t xml:space="preserve"> </w:t>
      </w:r>
      <w:r w:rsidR="00B505EE" w:rsidRPr="00D9107F">
        <w:rPr>
          <w:rStyle w:val="Fotnotereferanse"/>
        </w:rPr>
        <w:footnoteReference w:id="59"/>
      </w:r>
    </w:p>
    <w:p w14:paraId="07B77C6F" w14:textId="77777777" w:rsidR="00D9107F" w:rsidRDefault="10CFCE3D" w:rsidP="00775632">
      <w:pPr>
        <w:pStyle w:val="Overskrift3"/>
      </w:pPr>
      <w:bookmarkStart w:id="5136" w:name="_Toc128238644"/>
      <w:bookmarkStart w:id="5137" w:name="_Toc128742092"/>
      <w:bookmarkStart w:id="5138" w:name="_Toc128744720"/>
      <w:bookmarkStart w:id="5139" w:name="_Toc128744939"/>
      <w:bookmarkStart w:id="5140" w:name="_Toc129630444"/>
      <w:bookmarkStart w:id="5141" w:name="_Toc130763951"/>
      <w:bookmarkStart w:id="5142" w:name="_Toc130766846"/>
      <w:bookmarkStart w:id="5143" w:name="_Toc130932245"/>
      <w:bookmarkStart w:id="5144" w:name="_Toc130934536"/>
      <w:bookmarkStart w:id="5145" w:name="_Toc130983685"/>
      <w:bookmarkStart w:id="5146" w:name="_Toc130984034"/>
      <w:bookmarkStart w:id="5147" w:name="_Toc131062287"/>
      <w:bookmarkStart w:id="5148" w:name="_Toc131062541"/>
      <w:bookmarkStart w:id="5149" w:name="_Toc131062802"/>
      <w:bookmarkStart w:id="5150" w:name="_Toc131063055"/>
      <w:bookmarkStart w:id="5151" w:name="_Toc131063838"/>
      <w:bookmarkStart w:id="5152" w:name="_Toc131064249"/>
      <w:bookmarkStart w:id="5153" w:name="_Toc131279629"/>
      <w:bookmarkStart w:id="5154" w:name="_Toc131287041"/>
      <w:bookmarkStart w:id="5155" w:name="_Toc131281451"/>
      <w:bookmarkStart w:id="5156" w:name="_Toc131317991"/>
      <w:bookmarkStart w:id="5157" w:name="_Toc132537083"/>
      <w:r>
        <w:t>Historisk utvikling</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14:paraId="06141625" w14:textId="5A8DA9C9" w:rsidR="00B505EE" w:rsidRDefault="4B8F6AE0" w:rsidP="00C5027F">
      <w:pPr>
        <w:jc w:val="both"/>
      </w:pPr>
      <w:r>
        <w:t xml:space="preserve">Tidligere utredninger av obligatorisk etterutdanning og formell regodkjenning for leger har til dels vektlagt ulike argumenter, og anbefalingene har variert. Både nasjonalt og internasjonalt har debatten over tid vært preget av en bekymring knyttet til at arbeidsgiver ikke legger nok til rette for kompetanseheving. Det pekes på at mulighetene og rettighetene varierer, og at stramme budsjetter og økte krav til effektivitet kan gå på bekostning av faglig utvikling. Andre barrierer er </w:t>
      </w:r>
      <w:r w:rsidRPr="00B2014D">
        <w:t>mangel på digital kompetanse, mangel på digital infrastruktur og motivasjons- og emosjonelle faktorer</w:t>
      </w:r>
      <w:r>
        <w:t xml:space="preserve"> </w:t>
      </w:r>
      <w:r w:rsidR="00B60B70">
        <w:fldChar w:fldCharType="begin">
          <w:fldData xml:space="preserve">PEVuZE5vdGU+PENpdGU+PEF1dGhvcj5SZWlzPC9BdXRob3I+PFllYXI+MjAyMjwvWWVhcj48UmVj
TnVtPjU3PC9SZWNOdW0+PERpc3BsYXlUZXh0PihSZWlzIGV0IGFsLiwgMjAyMik8L0Rpc3BsYXlU
ZXh0PjxyZWNvcmQ+PHJlYy1udW1iZXI+NTc8L3JlYy1udW1iZXI+PGZvcmVpZ24ta2V5cz48a2V5
IGFwcD0iRU4iIGRiLWlkPSI5NXRwcjJ0cDZyOXh3b2VhOXJiNXdkc3o1ZHM1eGVkZHRlZXciIHRp
bWVzdGFtcD0iMTY4MDA2OTUxMSI+NTc8L2tleT48L2ZvcmVpZ24ta2V5cz48cmVmLXR5cGUgbmFt
ZT0iSm91cm5hbCBBcnRpY2xlIj4xNzwvcmVmLXR5cGU+PGNvbnRyaWJ1dG9ycz48YXV0aG9ycz48
YXV0aG9yPlJlaXMsIFQuPC9hdXRob3I+PGF1dGhvcj5GYXJpYSwgSS48L2F1dGhvcj48YXV0aG9y
PlNlcnJhLCBILjwvYXV0aG9yPjxhdXRob3I+WGF2aWVyLCBNLjwvYXV0aG9yPjwvYXV0aG9ycz48
L2NvbnRyaWJ1dG9ycz48YXV0aC1hZGRyZXNzPlJlaXMsIFRlcmVzYS4gTm92YSBNZWRpY2FsIFNj
aG9vbCwgQ29tcHJlaGVuc2l2ZSBIZWFsdGggUmVzZWFyY2ggQ2VudHJlIChDSFJDKSwgVW5pdmVy
c2lkYWRlIE5PVkEgZGUgTGlzYm9hLCBDYW1wbyBNYXJ0aXJlcyBkYSBQYXRyaWEsIDEzMCwgMTE2
OS0wNTYsIExpc2JvbiwgUG9ydHVnYWwuIHRlcmVzYS5yZWlzQG5tcy51bmwucHQuJiN4RDtGYXJp
YSwgSW5lcy4gUmVzZWFyY2ggQ2VudHJlIGluIEVjb25vbWljIGFuZCBPcmdhbml6YXRpb25hbCBT
b2Npb2xvZ3ksIExpc2JvbiwgU2Nob29sIG9mIEVjb25vbWljcyBhbmQgTWFuYWdlbWVudCwgVW5p
dmVyc2l0eSBvZiBMaXNib24gKENTRy1TT0NJVVMvSVNFRywgVS5MaXNib2EpLCBMaXNib24sIFBv
cnR1Z2FsLiYjeEQ7U2VycmEsIEhlbGVuYS4gSW50ZXJkaXNjaXBsaW5hcnkgQ2VudHJlIG9mIFNv
Y2lhbCBTY2llbmNlcyAoQ0lDUy5OT1ZBKSwgTk9WQSBTY2hvb2wgb2YgU29jaWFsIFNjaWVuY2Vz
IGFuZCBIdW1hbml0aWVzLCBVbml2ZXJzaWRhZGUgTk9WQSBkZSBMaXNib2EsIExpc2JvbiwgUG9y
dHVnYWwuJiN4RDtYYXZpZXIsIE1pZ3VlbC4gTmF0aW9uYWwgY29vcmRpbmF0b3Igb2YgbWVudGFs
IGhlYWx0aCBwb2xpY2llcywgUG9ydHVndWVzZSBNaW5pc3RyeSBvZiBIZWFsdGgsIENvbXByZWhl
bnNpdmUgSGVhbHRoIFJlc2VhcmNoIENlbnRyZSAoQ0hSQyksIE5PVkEgTWVkaWNhbCBTY2hvb2ws
IFVuaXZlcnNpZGFkZSBOT1ZBIGRlIExpc2JvYSwgTGlzYm9uLCBQb3J0dWdhbC48L2F1dGgtYWRk
cmVzcz48dGl0bGVzPjx0aXRsZT5CYXJyaWVycyBhbmQgZmFjaWxpdGF0b3JzIHRvIGltcGxlbWVu
dGluZyBhIGNvbnRpbnVpbmcgbWVkaWNhbCBlZHVjYXRpb24gaW50ZXJ2ZW50aW9uIGluIGEgcHJp
bWFyeSBoZWFsdGggY2FyZSBzZXR0aW5nPC90aXRsZT48c2Vjb25kYXJ5LXRpdGxlPkJNQyBIZWFs
dGggU2VydmljZXMgUmVzZWFyY2g8L3NlY29uZGFyeS10aXRsZT48YWx0LXRpdGxlPkJNQyBIZWFs
dGggU2VydiBSZXM8L2FsdC10aXRsZT48L3RpdGxlcz48YWx0LXBlcmlvZGljYWw+PGZ1bGwtdGl0
bGU+Qk1DIEhlYWx0aCBTZXJ2IFJlczwvZnVsbC10aXRsZT48L2FsdC1wZXJpb2RpY2FsPjxwYWdl
cz42Mzg8L3BhZ2VzPjx2b2x1bWU+MjI8L3ZvbHVtZT48bnVtYmVyPjE8L251bWJlcj48a2V5d29y
ZHM+PGtleXdvcmQ+QXR0aXR1ZGUgb2YgSGVhbHRoIFBlcnNvbm5lbDwva2V5d29yZD48a2V5d29y
ZD5FZHVjYXRpb24sIE1lZGljYWwsIENvbnRpbnVpbmcvbXQgW01ldGhvZHNdPC9rZXl3b3JkPjxr
ZXl3b3JkPipFZHVjYXRpb24sIE1lZGljYWwsIENvbnRpbnVpbmc8L2tleXdvcmQ+PGtleXdvcmQ+
R2VuZXJhbCBQcmFjdGl0aW9uZXJzL3B4IFtQc3ljaG9sb2d5XTwva2V5d29yZD48a2V5d29yZD4q
R2VuZXJhbCBQcmFjdGl0aW9uZXJzPC9rZXl3b3JkPjxrZXl3b3JkPkh1bWFuczwva2V5d29yZD48
a2V5d29yZD5QcmltYXJ5IEhlYWx0aCBDYXJlPC9rZXl3b3JkPjxrZXl3b3JkPlN1cnZleXMgYW5k
IFF1ZXN0aW9ubmFpcmVzPC9rZXl3b3JkPjwva2V5d29yZHM+PGRhdGVzPjx5ZWFyPjIwMjI8L3ll
YXI+PHB1Yi1kYXRlcz48ZGF0ZT5NYXkgMTM8L2RhdGU+PC9wdWItZGF0ZXM+PC9kYXRlcz48aXNi
bj4xNDcyLTY5NjM8L2lzYm4+PGFjY2Vzc2lvbi1udW0+MzU1NjI2OTU8L2FjY2Vzc2lvbi1udW0+
PHVybHM+PHJlbGF0ZWQtdXJscz48dXJsPmh0dHBzOi8vb3ZpZHNwLm92aWQuY29tL292aWR3ZWIu
Y2dpP1Q9SlMmYW1wO0NTQz1ZJmFtcDtORVdTPU4mYW1wO1BBR0U9ZnVsbHRleHQmYW1wO0Q9bWVk
MjImYW1wO0FOPTM1NTYyNjk1PC91cmw+PHVybD5odHRwOi8vb3BlbnVybC5iaWJzeXMubm8vb3Bl
bnVybD9vdG9vbD1pbm9pcGhsaWI/c2lkPU9WSUQ6bWVkbGluZSZhbXA7aWQ9cG1pZDozNTU2MjY5
NSZhbXA7aWQ9ZG9pOjEwLjExODYlMkZzMTI5MTMtMDIyLTA4MDE5LXcmYW1wO2lzc249MTQ3Mi02
OTYzJmFtcDtpc2JuPSZhbXA7dm9sdW1lPTIyJmFtcDtpc3N1ZT0xJmFtcDtzcGFnZT02MzgmYW1w
O3BhZ2VzPTYzOCZhbXA7ZGF0ZT0yMDIyJmFtcDt0aXRsZT1CTUMrSGVhbHRoK1NlcnZpY2VzK1Jl
c2VhcmNoJmFtcDthdGl0bGU9QmFycmllcnMrYW5kK2ZhY2lsaXRhdG9ycyt0bytpbXBsZW1lbnRp
bmcrYStjb250aW51aW5nK21lZGljYWwrZWR1Y2F0aW9uK2ludGVydmVudGlvbitpbithK3ByaW1h
cnkraGVhbHRoK2NhcmUrc2V0dGluZy4mYW1wO2F1bGFzdD1SZWlzJmFtcDtwaWQ9JTNDYXV0aG9y
JTNFUmVpcytUJTNDJTJGYXV0aG9yJTNFJTNDQU4lM0UzNTU2MjY5NSUzQyUyRkFOJTNFJTNDRFQl
M0VKb3VybmFsK0FydGljbGUlM0MlMkZEVCUzRTwvdXJsPjwvcmVsYXRlZC11cmxzPjwvdXJscz48
cmVtb3RlLWRhdGFiYXNlLW5hbWU+TUVETElORTwvcmVtb3RlLWRhdGFiYXNlLW5hbWU+PHJlbW90
ZS1kYXRhYmFzZS1wcm92aWRlcj5PdmlkIFRlY2hub2xvZ2llczwvcmVtb3RlLWRhdGFiYXNlLXBy
b3ZpZGVyPjxsYW5ndWFnZT5FbmdsaXNoPC9sYW5ndWFnZT48L3JlY29yZD48L0NpdGU+PC9FbmRO
b3RlPgB=
</w:fldData>
        </w:fldChar>
      </w:r>
      <w:r w:rsidR="004654FD">
        <w:instrText xml:space="preserve"> ADDIN EN.CITE </w:instrText>
      </w:r>
      <w:r w:rsidR="004654FD">
        <w:fldChar w:fldCharType="begin">
          <w:fldData xml:space="preserve">PEVuZE5vdGU+PENpdGU+PEF1dGhvcj5SZWlzPC9BdXRob3I+PFllYXI+MjAyMjwvWWVhcj48UmVj
TnVtPjU3PC9SZWNOdW0+PERpc3BsYXlUZXh0PihSZWlzIGV0IGFsLiwgMjAyMik8L0Rpc3BsYXlU
ZXh0PjxyZWNvcmQ+PHJlYy1udW1iZXI+NTc8L3JlYy1udW1iZXI+PGZvcmVpZ24ta2V5cz48a2V5
IGFwcD0iRU4iIGRiLWlkPSI5NXRwcjJ0cDZyOXh3b2VhOXJiNXdkc3o1ZHM1eGVkZHRlZXciIHRp
bWVzdGFtcD0iMTY4MDA2OTUxMSI+NTc8L2tleT48L2ZvcmVpZ24ta2V5cz48cmVmLXR5cGUgbmFt
ZT0iSm91cm5hbCBBcnRpY2xlIj4xNzwvcmVmLXR5cGU+PGNvbnRyaWJ1dG9ycz48YXV0aG9ycz48
YXV0aG9yPlJlaXMsIFQuPC9hdXRob3I+PGF1dGhvcj5GYXJpYSwgSS48L2F1dGhvcj48YXV0aG9y
PlNlcnJhLCBILjwvYXV0aG9yPjxhdXRob3I+WGF2aWVyLCBNLjwvYXV0aG9yPjwvYXV0aG9ycz48
L2NvbnRyaWJ1dG9ycz48YXV0aC1hZGRyZXNzPlJlaXMsIFRlcmVzYS4gTm92YSBNZWRpY2FsIFNj
aG9vbCwgQ29tcHJlaGVuc2l2ZSBIZWFsdGggUmVzZWFyY2ggQ2VudHJlIChDSFJDKSwgVW5pdmVy
c2lkYWRlIE5PVkEgZGUgTGlzYm9hLCBDYW1wbyBNYXJ0aXJlcyBkYSBQYXRyaWEsIDEzMCwgMTE2
OS0wNTYsIExpc2JvbiwgUG9ydHVnYWwuIHRlcmVzYS5yZWlzQG5tcy51bmwucHQuJiN4RDtGYXJp
YSwgSW5lcy4gUmVzZWFyY2ggQ2VudHJlIGluIEVjb25vbWljIGFuZCBPcmdhbml6YXRpb25hbCBT
b2Npb2xvZ3ksIExpc2JvbiwgU2Nob29sIG9mIEVjb25vbWljcyBhbmQgTWFuYWdlbWVudCwgVW5p
dmVyc2l0eSBvZiBMaXNib24gKENTRy1TT0NJVVMvSVNFRywgVS5MaXNib2EpLCBMaXNib24sIFBv
cnR1Z2FsLiYjeEQ7U2VycmEsIEhlbGVuYS4gSW50ZXJkaXNjaXBsaW5hcnkgQ2VudHJlIG9mIFNv
Y2lhbCBTY2llbmNlcyAoQ0lDUy5OT1ZBKSwgTk9WQSBTY2hvb2wgb2YgU29jaWFsIFNjaWVuY2Vz
IGFuZCBIdW1hbml0aWVzLCBVbml2ZXJzaWRhZGUgTk9WQSBkZSBMaXNib2EsIExpc2JvbiwgUG9y
dHVnYWwuJiN4RDtYYXZpZXIsIE1pZ3VlbC4gTmF0aW9uYWwgY29vcmRpbmF0b3Igb2YgbWVudGFs
IGhlYWx0aCBwb2xpY2llcywgUG9ydHVndWVzZSBNaW5pc3RyeSBvZiBIZWFsdGgsIENvbXByZWhl
bnNpdmUgSGVhbHRoIFJlc2VhcmNoIENlbnRyZSAoQ0hSQyksIE5PVkEgTWVkaWNhbCBTY2hvb2ws
IFVuaXZlcnNpZGFkZSBOT1ZBIGRlIExpc2JvYSwgTGlzYm9uLCBQb3J0dWdhbC48L2F1dGgtYWRk
cmVzcz48dGl0bGVzPjx0aXRsZT5CYXJyaWVycyBhbmQgZmFjaWxpdGF0b3JzIHRvIGltcGxlbWVu
dGluZyBhIGNvbnRpbnVpbmcgbWVkaWNhbCBlZHVjYXRpb24gaW50ZXJ2ZW50aW9uIGluIGEgcHJp
bWFyeSBoZWFsdGggY2FyZSBzZXR0aW5nPC90aXRsZT48c2Vjb25kYXJ5LXRpdGxlPkJNQyBIZWFs
dGggU2VydmljZXMgUmVzZWFyY2g8L3NlY29uZGFyeS10aXRsZT48YWx0LXRpdGxlPkJNQyBIZWFs
dGggU2VydiBSZXM8L2FsdC10aXRsZT48L3RpdGxlcz48YWx0LXBlcmlvZGljYWw+PGZ1bGwtdGl0
bGU+Qk1DIEhlYWx0aCBTZXJ2IFJlczwvZnVsbC10aXRsZT48L2FsdC1wZXJpb2RpY2FsPjxwYWdl
cz42Mzg8L3BhZ2VzPjx2b2x1bWU+MjI8L3ZvbHVtZT48bnVtYmVyPjE8L251bWJlcj48a2V5d29y
ZHM+PGtleXdvcmQ+QXR0aXR1ZGUgb2YgSGVhbHRoIFBlcnNvbm5lbDwva2V5d29yZD48a2V5d29y
ZD5FZHVjYXRpb24sIE1lZGljYWwsIENvbnRpbnVpbmcvbXQgW01ldGhvZHNdPC9rZXl3b3JkPjxr
ZXl3b3JkPipFZHVjYXRpb24sIE1lZGljYWwsIENvbnRpbnVpbmc8L2tleXdvcmQ+PGtleXdvcmQ+
R2VuZXJhbCBQcmFjdGl0aW9uZXJzL3B4IFtQc3ljaG9sb2d5XTwva2V5d29yZD48a2V5d29yZD4q
R2VuZXJhbCBQcmFjdGl0aW9uZXJzPC9rZXl3b3JkPjxrZXl3b3JkPkh1bWFuczwva2V5d29yZD48
a2V5d29yZD5QcmltYXJ5IEhlYWx0aCBDYXJlPC9rZXl3b3JkPjxrZXl3b3JkPlN1cnZleXMgYW5k
IFF1ZXN0aW9ubmFpcmVzPC9rZXl3b3JkPjwva2V5d29yZHM+PGRhdGVzPjx5ZWFyPjIwMjI8L3ll
YXI+PHB1Yi1kYXRlcz48ZGF0ZT5NYXkgMTM8L2RhdGU+PC9wdWItZGF0ZXM+PC9kYXRlcz48aXNi
bj4xNDcyLTY5NjM8L2lzYm4+PGFjY2Vzc2lvbi1udW0+MzU1NjI2OTU8L2FjY2Vzc2lvbi1udW0+
PHVybHM+PHJlbGF0ZWQtdXJscz48dXJsPmh0dHBzOi8vb3ZpZHNwLm92aWQuY29tL292aWR3ZWIu
Y2dpP1Q9SlMmYW1wO0NTQz1ZJmFtcDtORVdTPU4mYW1wO1BBR0U9ZnVsbHRleHQmYW1wO0Q9bWVk
MjImYW1wO0FOPTM1NTYyNjk1PC91cmw+PHVybD5odHRwOi8vb3BlbnVybC5iaWJzeXMubm8vb3Bl
bnVybD9vdG9vbD1pbm9pcGhsaWI/c2lkPU9WSUQ6bWVkbGluZSZhbXA7aWQ9cG1pZDozNTU2MjY5
NSZhbXA7aWQ9ZG9pOjEwLjExODYlMkZzMTI5MTMtMDIyLTA4MDE5LXcmYW1wO2lzc249MTQ3Mi02
OTYzJmFtcDtpc2JuPSZhbXA7dm9sdW1lPTIyJmFtcDtpc3N1ZT0xJmFtcDtzcGFnZT02MzgmYW1w
O3BhZ2VzPTYzOCZhbXA7ZGF0ZT0yMDIyJmFtcDt0aXRsZT1CTUMrSGVhbHRoK1NlcnZpY2VzK1Jl
c2VhcmNoJmFtcDthdGl0bGU9QmFycmllcnMrYW5kK2ZhY2lsaXRhdG9ycyt0bytpbXBsZW1lbnRp
bmcrYStjb250aW51aW5nK21lZGljYWwrZWR1Y2F0aW9uK2ludGVydmVudGlvbitpbithK3ByaW1h
cnkraGVhbHRoK2NhcmUrc2V0dGluZy4mYW1wO2F1bGFzdD1SZWlzJmFtcDtwaWQ9JTNDYXV0aG9y
JTNFUmVpcytUJTNDJTJGYXV0aG9yJTNFJTNDQU4lM0UzNTU2MjY5NSUzQyUyRkFOJTNFJTNDRFQl
M0VKb3VybmFsK0FydGljbGUlM0MlMkZEVCUzRTwvdXJsPjwvcmVsYXRlZC11cmxzPjwvdXJscz48
cmVtb3RlLWRhdGFiYXNlLW5hbWU+TUVETElORTwvcmVtb3RlLWRhdGFiYXNlLW5hbWU+PHJlbW90
ZS1kYXRhYmFzZS1wcm92aWRlcj5PdmlkIFRlY2hub2xvZ2llczwvcmVtb3RlLWRhdGFiYXNlLXBy
b3ZpZGVyPjxsYW5ndWFnZT5FbmdsaXNoPC9sYW5ndWFnZT48L3JlY29yZD48L0NpdGU+PC9FbmRO
b3RlPgB=
</w:fldData>
        </w:fldChar>
      </w:r>
      <w:r w:rsidR="004654FD">
        <w:instrText xml:space="preserve"> ADDIN EN.CITE.DATA </w:instrText>
      </w:r>
      <w:r w:rsidR="004654FD">
        <w:fldChar w:fldCharType="end"/>
      </w:r>
      <w:r w:rsidR="00B60B70">
        <w:fldChar w:fldCharType="separate"/>
      </w:r>
      <w:r w:rsidR="004654FD">
        <w:rPr>
          <w:noProof/>
        </w:rPr>
        <w:t>(Reis et al., 2022)</w:t>
      </w:r>
      <w:r w:rsidR="00B60B70">
        <w:fldChar w:fldCharType="end"/>
      </w:r>
      <w:r w:rsidR="00B77B27">
        <w:t>.</w:t>
      </w:r>
    </w:p>
    <w:p w14:paraId="0C5B394F" w14:textId="77777777" w:rsidR="00D9107F" w:rsidRDefault="4B8F6AE0" w:rsidP="00C5027F">
      <w:pPr>
        <w:jc w:val="both"/>
      </w:pPr>
      <w:r>
        <w:t xml:space="preserve">Etter innføring av </w:t>
      </w:r>
      <w:r w:rsidRPr="00FD1AC7">
        <w:t>kompetanseforskriften</w:t>
      </w:r>
      <w:r>
        <w:t xml:space="preserve"> i 2017 beholder legen rett til å bruke spesialisttittelen i allmennmedisin selv om etterutdanningsprogrammet ikke er fullført. Ny ordning for spesialistutdanning av leger har ikke regler om etterutdanning. Helse- og omsorgsdepartementet har i 2022 foreslått at det fastsettes presiseringer om etterutdanning i helsepersonelloven, og begrunner dette med behovet for en tydeligere hjemmel for å regulere etterutdanningen for spesialister i allmennmedisin. </w:t>
      </w:r>
      <w:r w:rsidR="002472E5">
        <w:t>Departementet presiserer at det per i dag ikke foreligger planer om tilsvarende ordning for andre spesialister. Etter departementets vurdering er det likevel mest hensiktsmessig med en generell forskriftshjemmel, som i utgangspunktet omfatter alle helsepersonellgruppene, da dette gir en fleksibel regel som tar høyde for eventuelle framtidige</w:t>
      </w:r>
      <w:r>
        <w:t xml:space="preserve"> behov </w:t>
      </w:r>
      <w:r w:rsidR="00B60B70">
        <w:fldChar w:fldCharType="begin"/>
      </w:r>
      <w:r w:rsidR="00694E6D">
        <w:instrText xml:space="preserve"> ADDIN EN.CITE &lt;EndNote&gt;&lt;Cite ExcludeAuth="1"&gt;&lt;Author&gt;Helse- og omsorgsdepartementet&lt;/Author&gt;&lt;Year&gt;2021&lt;/Year&gt;&lt;RecNum&gt;352&lt;/RecNum&gt;&lt;DisplayText&gt;(2021a)&lt;/DisplayText&gt;&lt;record&gt;&lt;rec-number&gt;352&lt;/rec-number&gt;&lt;foreign-keys&gt;&lt;key app="EN" db-id="95tpr2tp6r9xwoea9rb5wdsz5ds5xeddteew" timestamp="1680069511"&gt;352&lt;/key&gt;&lt;/foreign-keys&gt;&lt;ref-type name="Report"&gt;27&lt;/ref-type&gt;&lt;contributors&gt;&lt;authors&gt;&lt;author&gt;Helse- og omsorgsdepartementet,&lt;/author&gt;&lt;/authors&gt;&lt;/contributors&gt;&lt;titles&gt;&lt;title&gt;Høring - etterutdanning for spesialister i allmennmedisin (endringer i helsepersonelloven)&lt;/title&gt;&lt;/titles&gt;&lt;dates&gt;&lt;year&gt;2021&lt;/year&gt;&lt;/dates&gt;&lt;pub-location&gt;Oslo&lt;/pub-location&gt;&lt;publisher&gt;Helse- og omsorgsdepartementet&lt;/publisher&gt;&lt;work-type&gt;høring&lt;/work-type&gt;&lt;urls&gt;&lt;/urls&gt;&lt;/record&gt;&lt;/Cite&gt;&lt;/EndNote&gt;</w:instrText>
      </w:r>
      <w:r w:rsidR="00B60B70">
        <w:fldChar w:fldCharType="separate"/>
      </w:r>
      <w:r w:rsidR="00A841AD">
        <w:rPr>
          <w:noProof/>
        </w:rPr>
        <w:t>(2021a)</w:t>
      </w:r>
      <w:r w:rsidR="00B60B70">
        <w:fldChar w:fldCharType="end"/>
      </w:r>
      <w:r w:rsidR="00B77B27">
        <w:t>.</w:t>
      </w:r>
    </w:p>
    <w:p w14:paraId="7F9C0D62" w14:textId="71A970D9" w:rsidR="002472E5" w:rsidRPr="00D86E8E" w:rsidRDefault="002472E5" w:rsidP="00775632">
      <w:pPr>
        <w:pStyle w:val="Overskrift2"/>
      </w:pPr>
      <w:bookmarkStart w:id="5158" w:name="_Toc132537084"/>
      <w:bookmarkStart w:id="5159" w:name="_Toc128742094"/>
      <w:bookmarkStart w:id="5160" w:name="_Toc128744722"/>
      <w:bookmarkStart w:id="5161" w:name="_Toc128744941"/>
      <w:bookmarkStart w:id="5162" w:name="_Toc129630446"/>
      <w:bookmarkStart w:id="5163" w:name="_Toc130763953"/>
      <w:bookmarkStart w:id="5164" w:name="_Toc130766848"/>
      <w:bookmarkStart w:id="5165" w:name="_Toc130932247"/>
      <w:bookmarkStart w:id="5166" w:name="_Toc130934538"/>
      <w:bookmarkStart w:id="5167" w:name="_Toc130983687"/>
      <w:bookmarkStart w:id="5168" w:name="_Toc130984036"/>
      <w:bookmarkStart w:id="5169" w:name="_Toc131062289"/>
      <w:bookmarkStart w:id="5170" w:name="_Toc131062543"/>
      <w:bookmarkStart w:id="5171" w:name="_Toc131062804"/>
      <w:bookmarkStart w:id="5172" w:name="_Toc131063057"/>
      <w:bookmarkStart w:id="5173" w:name="_Toc131063840"/>
      <w:bookmarkStart w:id="5174" w:name="_Toc131064251"/>
      <w:bookmarkStart w:id="5175" w:name="_Toc126834459"/>
      <w:bookmarkStart w:id="5176" w:name="_Toc127633344"/>
      <w:bookmarkStart w:id="5177" w:name="_Toc127864629"/>
      <w:bookmarkStart w:id="5178" w:name="_Toc128238646"/>
      <w:bookmarkStart w:id="5179" w:name="_Toc131238571"/>
      <w:bookmarkStart w:id="5180" w:name="_Toc131279631"/>
      <w:bookmarkStart w:id="5181" w:name="_Toc131287043"/>
      <w:bookmarkStart w:id="5182" w:name="_Toc131281453"/>
      <w:bookmarkStart w:id="5183" w:name="_Toc131317993"/>
      <w:r w:rsidRPr="00D86E8E">
        <w:t xml:space="preserve">Hovedutfordringer </w:t>
      </w:r>
      <w:r>
        <w:t>kompetanse</w:t>
      </w:r>
      <w:bookmarkEnd w:id="5158"/>
    </w:p>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14:paraId="58756DFF" w14:textId="77777777" w:rsidR="00D9107F" w:rsidRDefault="00AA73CD" w:rsidP="000623DE">
      <w:r>
        <w:t xml:space="preserve">I dagens situasjon er det tilsynelatende et gap mellom unge legers </w:t>
      </w:r>
      <w:r w:rsidR="003536F8">
        <w:t xml:space="preserve">ønsker for </w:t>
      </w:r>
      <w:r>
        <w:t xml:space="preserve">arbeidshverdagen, og den virkeligheten </w:t>
      </w:r>
      <w:r w:rsidR="002472E5">
        <w:t>som venter dem som fastlege.</w:t>
      </w:r>
      <w:r w:rsidDel="00B82539">
        <w:t xml:space="preserve"> </w:t>
      </w:r>
      <w:r>
        <w:t>Det pekes på at medisinstudentene har for lite praksis i allmennmedisin under studiet. Det er et paradoks at nyutdannede leger må stå i kø for å få LIS1</w:t>
      </w:r>
      <w:r w:rsidR="09FD82D5">
        <w:t>-</w:t>
      </w:r>
      <w:r>
        <w:t xml:space="preserve">tjeneste, </w:t>
      </w:r>
      <w:r w:rsidR="007D4524">
        <w:t>samtidig som</w:t>
      </w:r>
      <w:r w:rsidR="00A34B31">
        <w:t xml:space="preserve"> </w:t>
      </w:r>
      <w:r>
        <w:t>allmennmedisin og andre fagfelt mangler leger.</w:t>
      </w:r>
      <w:r w:rsidRPr="000623DE">
        <w:t xml:space="preserve"> Tidligere fikk leger autorisasjon etter gjennomført turnustjeneste, mens </w:t>
      </w:r>
      <w:r w:rsidRPr="000623DE">
        <w:lastRenderedPageBreak/>
        <w:t xml:space="preserve">de nå får autorisasjon til å praktisere </w:t>
      </w:r>
      <w:r w:rsidR="00A34B31" w:rsidRPr="000623DE">
        <w:t xml:space="preserve">selvstendig </w:t>
      </w:r>
      <w:r w:rsidRPr="000623DE">
        <w:t>som lege etter gjennomført grunnutdanning. Mangel på LIS1</w:t>
      </w:r>
      <w:r w:rsidR="009640B0" w:rsidRPr="000623DE">
        <w:t>-</w:t>
      </w:r>
      <w:r w:rsidRPr="000623DE">
        <w:t xml:space="preserve">stillinger medfører at leger, uten tilstrekkelig </w:t>
      </w:r>
      <w:r w:rsidR="00E44E8F" w:rsidRPr="000623DE">
        <w:t>praktisk</w:t>
      </w:r>
      <w:r w:rsidRPr="000623DE">
        <w:t xml:space="preserve"> erfaring, jobber med pasientrettet arbeid i kommunen og i andre deler av tjenesten. </w:t>
      </w:r>
      <w:r w:rsidR="002472E5" w:rsidRPr="000623DE">
        <w:t>Innføringen av kompetansekrav for leger i kommunen</w:t>
      </w:r>
      <w:r w:rsidRPr="000623DE">
        <w:t xml:space="preserve"> står i kontrast til den manglende kliniske kompetansen som samtidig godtas for leger </w:t>
      </w:r>
      <w:r w:rsidR="003536F8" w:rsidRPr="000623DE">
        <w:t>som praktiserer selvstendig</w:t>
      </w:r>
      <w:r w:rsidR="00914B87" w:rsidRPr="000623DE">
        <w:t>,</w:t>
      </w:r>
      <w:r w:rsidR="003536F8" w:rsidRPr="000623DE">
        <w:t xml:space="preserve"> </w:t>
      </w:r>
      <w:r w:rsidRPr="000623DE">
        <w:t xml:space="preserve">i påvente av LIS1. Kompetansekravene bidrar også til å begrense tilgjengelig arbeidskraft for kommunene, men ikke for andre deler av </w:t>
      </w:r>
      <w:r w:rsidR="003536F8" w:rsidRPr="000623DE">
        <w:t>helse</w:t>
      </w:r>
      <w:r w:rsidRPr="000623DE">
        <w:t>tjeneste</w:t>
      </w:r>
      <w:r w:rsidR="009544F7" w:rsidRPr="000623DE">
        <w:t>n</w:t>
      </w:r>
      <w:r w:rsidRPr="000623DE">
        <w:t>.</w:t>
      </w:r>
    </w:p>
    <w:p w14:paraId="27231D50" w14:textId="252D5DD5" w:rsidR="00AA73CD" w:rsidRDefault="00AA73CD" w:rsidP="000623DE">
      <w:r>
        <w:t xml:space="preserve">Den nye spesialistutdanningen har mange gode sider, men kravene til </w:t>
      </w:r>
      <w:r w:rsidR="009544F7">
        <w:t>to</w:t>
      </w:r>
      <w:r>
        <w:t xml:space="preserve"> års </w:t>
      </w:r>
      <w:r w:rsidR="009A499C">
        <w:t xml:space="preserve">åpen </w:t>
      </w:r>
      <w:r>
        <w:t xml:space="preserve">uselektert </w:t>
      </w:r>
      <w:r w:rsidR="009640B0">
        <w:t>allmenn</w:t>
      </w:r>
      <w:r>
        <w:t xml:space="preserve">praksis og anbefaling om institusjonstjeneste, synes å </w:t>
      </w:r>
      <w:r w:rsidR="00C87AC9">
        <w:t xml:space="preserve">komplisere </w:t>
      </w:r>
      <w:r w:rsidR="00BF4CDC">
        <w:t>utdanningsløpet og bidra til diskontinuitet</w:t>
      </w:r>
      <w:r>
        <w:t xml:space="preserve"> i tjenesten. Det er mangel på veiledere, og kommunene har ulike forutsetninger for å ivareta sitt ansvar som utdanningsvirksomhet.</w:t>
      </w:r>
    </w:p>
    <w:p w14:paraId="0928538B" w14:textId="77777777" w:rsidR="00AA73CD" w:rsidRDefault="00AA73CD" w:rsidP="000623DE">
      <w:r>
        <w:t xml:space="preserve">Ekspertutvalgets beskrivelse av hovedutfordringene </w:t>
      </w:r>
      <w:r w:rsidR="00B950F6">
        <w:t xml:space="preserve">danner grunnlag for </w:t>
      </w:r>
      <w:r w:rsidR="00DE7A04">
        <w:t xml:space="preserve">drøfting av </w:t>
      </w:r>
      <w:r w:rsidR="00556E21">
        <w:t xml:space="preserve">tiltak </w:t>
      </w:r>
      <w:r w:rsidR="008A2966">
        <w:t>som skal bidra til økt</w:t>
      </w:r>
      <w:r w:rsidR="001E1F09">
        <w:t xml:space="preserve"> kapasitet i allmennlegetjenesten</w:t>
      </w:r>
      <w:r w:rsidR="00556E21">
        <w:t xml:space="preserve">. </w:t>
      </w:r>
      <w:r w:rsidR="00D24E32">
        <w:t>D</w:t>
      </w:r>
      <w:r w:rsidR="00AF17EE">
        <w:t>isse</w:t>
      </w:r>
      <w:r w:rsidR="00D24E32">
        <w:t xml:space="preserve"> vil i særlig grad omhandle</w:t>
      </w:r>
      <w:r w:rsidR="00C412DC">
        <w:t xml:space="preserve"> </w:t>
      </w:r>
      <w:r w:rsidR="00572978">
        <w:t xml:space="preserve">endringer i </w:t>
      </w:r>
      <w:r w:rsidR="005D2E20" w:rsidRPr="023426F6">
        <w:rPr>
          <w:rFonts w:eastAsia="Calibri" w:cs="Times New Roman"/>
          <w:color w:val="000000" w:themeColor="text1"/>
        </w:rPr>
        <w:t xml:space="preserve">kompetansekrav og spesialistutdanningsløp </w:t>
      </w:r>
      <w:r w:rsidR="00572978">
        <w:t xml:space="preserve">som kan </w:t>
      </w:r>
      <w:r w:rsidR="00A00772">
        <w:t xml:space="preserve">gi </w:t>
      </w:r>
      <w:r w:rsidR="00572978">
        <w:t>bedre</w:t>
      </w:r>
      <w:r w:rsidR="00351839">
        <w:t xml:space="preserve"> </w:t>
      </w:r>
      <w:r w:rsidR="00554DCE" w:rsidRPr="023426F6">
        <w:rPr>
          <w:rFonts w:eastAsia="Calibri" w:cs="Times New Roman"/>
          <w:color w:val="000000" w:themeColor="text1"/>
        </w:rPr>
        <w:t>rekruttering</w:t>
      </w:r>
      <w:r w:rsidR="00F442B2" w:rsidRPr="023426F6">
        <w:rPr>
          <w:rFonts w:eastAsia="Calibri" w:cs="Times New Roman"/>
          <w:color w:val="000000" w:themeColor="text1"/>
        </w:rPr>
        <w:t xml:space="preserve"> og stabilitet</w:t>
      </w:r>
      <w:r w:rsidR="0052114F" w:rsidRPr="023426F6">
        <w:rPr>
          <w:rFonts w:eastAsia="Calibri" w:cs="Times New Roman"/>
          <w:color w:val="000000" w:themeColor="text1"/>
        </w:rPr>
        <w:t xml:space="preserve"> blant allmennleger</w:t>
      </w:r>
      <w:r w:rsidR="00804D32" w:rsidRPr="023426F6">
        <w:rPr>
          <w:rFonts w:eastAsia="Calibri" w:cs="Times New Roman"/>
          <w:color w:val="000000" w:themeColor="text1"/>
        </w:rPr>
        <w:t>.</w:t>
      </w:r>
    </w:p>
    <w:p w14:paraId="524C2449" w14:textId="77777777" w:rsidR="00AA73CD" w:rsidRDefault="439CE0BB" w:rsidP="00775632">
      <w:pPr>
        <w:pStyle w:val="Overskrift3"/>
      </w:pPr>
      <w:bookmarkStart w:id="5184" w:name="_Toc120526264"/>
      <w:bookmarkStart w:id="5185" w:name="_Toc126834460"/>
      <w:bookmarkStart w:id="5186" w:name="_Toc127633345"/>
      <w:bookmarkStart w:id="5187" w:name="_Toc127864630"/>
      <w:bookmarkStart w:id="5188" w:name="_Toc128238647"/>
      <w:bookmarkStart w:id="5189" w:name="_Toc128742095"/>
      <w:bookmarkStart w:id="5190" w:name="_Toc128744723"/>
      <w:bookmarkStart w:id="5191" w:name="_Toc128744942"/>
      <w:bookmarkStart w:id="5192" w:name="_Toc129630447"/>
      <w:bookmarkStart w:id="5193" w:name="_Ref130516454"/>
      <w:bookmarkStart w:id="5194" w:name="_Toc130763954"/>
      <w:bookmarkStart w:id="5195" w:name="_Toc130766849"/>
      <w:bookmarkStart w:id="5196" w:name="_Toc130932248"/>
      <w:bookmarkStart w:id="5197" w:name="_Toc130934539"/>
      <w:bookmarkStart w:id="5198" w:name="_Toc130983688"/>
      <w:bookmarkStart w:id="5199" w:name="_Toc130984037"/>
      <w:bookmarkStart w:id="5200" w:name="_Toc131062290"/>
      <w:bookmarkStart w:id="5201" w:name="_Toc131062544"/>
      <w:bookmarkStart w:id="5202" w:name="_Toc131062805"/>
      <w:bookmarkStart w:id="5203" w:name="_Toc131063058"/>
      <w:bookmarkStart w:id="5204" w:name="_Toc131063841"/>
      <w:bookmarkStart w:id="5205" w:name="_Toc131064252"/>
      <w:bookmarkStart w:id="5206" w:name="_Toc131279632"/>
      <w:bookmarkStart w:id="5207" w:name="_Toc131287044"/>
      <w:bookmarkStart w:id="5208" w:name="_Toc131281454"/>
      <w:bookmarkStart w:id="5209" w:name="_Toc131317994"/>
      <w:bookmarkStart w:id="5210" w:name="_Toc132537085"/>
      <w:r>
        <w:t>Kompetansekravene begrenser tilgjengelig arbeidskraft for kommunene</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4E18E1A8" w14:textId="0C6AECDC" w:rsidR="00AA73CD" w:rsidRDefault="07609F93" w:rsidP="00CF32F3">
      <w:pPr>
        <w:jc w:val="both"/>
      </w:pPr>
      <w:r>
        <w:t>Da helse- og omsorgstjenesteloven trådte i kraft i 2011, hadde loven en profesjonsnøytral utforming. I forarbeidene ble det presisert at det ville være uheldig å binde opp den enkelte kommune til særskilte organisatoriske eller personellmessige løsninger, og at dersom kommunene bindes opp med bestemte profesjons- eller bemanningskrav, vil det kunne komme til fortrengsel for andre personellgrupper</w:t>
      </w:r>
      <w:r w:rsidR="000F1F81">
        <w:t>,</w:t>
      </w:r>
      <w:r>
        <w:t xml:space="preserve"> som også kan dekke aktuelle funksjoner på en forsvarlig måte</w:t>
      </w:r>
      <w:r w:rsidR="00BF05B8">
        <w:t xml:space="preserve"> </w:t>
      </w:r>
      <w:r w:rsidR="001F5F05">
        <w:fldChar w:fldCharType="begin"/>
      </w:r>
      <w:r w:rsidR="00235862">
        <w:instrText xml:space="preserve"> ADDIN EN.CITE &lt;EndNote&gt;&lt;Cite&gt;&lt;Author&gt;Helse- og omsorgsdepartementet&lt;/Author&gt;&lt;Year&gt;2011&lt;/Year&gt;&lt;RecNum&gt;667&lt;/RecNum&gt;&lt;DisplayText&gt;(Helse- og omsorgsdepartementet, 2011)&lt;/DisplayText&gt;&lt;record&gt;&lt;rec-number&gt;667&lt;/rec-number&gt;&lt;foreign-keys&gt;&lt;key app="EN" db-id="95tpr2tp6r9xwoea9rb5wdsz5ds5xeddteew" timestamp="1680069511"&gt;667&lt;/key&gt;&lt;/foreign-keys&gt;&lt;ref-type name="Report"&gt;27&lt;/ref-type&gt;&lt;contributors&gt;&lt;authors&gt;&lt;author&gt;Helse- og omsorgsdepartementet, &lt;/author&gt;&lt;/authors&gt;&lt;/contributors&gt;&lt;titles&gt;&lt;title&gt;Prop- 91 L (2010-2011). Proposisjon til Stortinget (forslag til lovvedtak). Lov om kommunale helse- og omsorgstjenester m.m. (helse- og omsorgstjenesteloven)&lt;/title&gt;&lt;/titles&gt;&lt;dates&gt;&lt;year&gt;2011&lt;/year&gt;&lt;/dates&gt;&lt;publisher&gt;Helse- og omsorgsdepartementet, &lt;/publisher&gt;&lt;urls&gt;&lt;/urls&gt;&lt;/record&gt;&lt;/Cite&gt;&lt;/EndNote&gt;</w:instrText>
      </w:r>
      <w:r w:rsidR="001F5F05">
        <w:fldChar w:fldCharType="separate"/>
      </w:r>
      <w:r w:rsidR="001F5F05">
        <w:rPr>
          <w:noProof/>
        </w:rPr>
        <w:t>(Helse- og omsorgsdepartementet, 2011)</w:t>
      </w:r>
      <w:r w:rsidR="001F5F05">
        <w:fldChar w:fldCharType="end"/>
      </w:r>
      <w:r>
        <w:t xml:space="preserve">. Hensynet til å bygge opp en tjeneste basert på lokale behov tilsa at kommunene fortløpende selv burde avgjøre hva slags personell de ville ha behov for, likevel innenfor grensene av forsvarlighetskravet. Dette hensynet ble lagt til side ved innføringen av kompetansekravene </w:t>
      </w:r>
      <w:r w:rsidR="038123D3">
        <w:t xml:space="preserve">for leger </w:t>
      </w:r>
      <w:r>
        <w:t>i 2017.</w:t>
      </w:r>
    </w:p>
    <w:p w14:paraId="0DA2B1DC" w14:textId="77777777" w:rsidR="00D9107F" w:rsidRDefault="07609F93" w:rsidP="00CF32F3">
      <w:pPr>
        <w:jc w:val="both"/>
      </w:pPr>
      <w:r>
        <w:t>Kompetansekravene i kompetanseforskriften gjelder for leger som arbeider med pasientrettet arbeid i kommunen.</w:t>
      </w:r>
      <w:r w:rsidR="00AA73CD" w:rsidRPr="00D9107F">
        <w:rPr>
          <w:rStyle w:val="Fotnotereferanse"/>
        </w:rPr>
        <w:footnoteReference w:id="60"/>
      </w:r>
      <w:r>
        <w:t xml:space="preserve"> Det er ikke stilt tilsvarende kompetansekrav i forskrift til leger i spesialisthelsetjenesten eller for private tilbydere av helse- og omsorgstjenester</w:t>
      </w:r>
      <w:r w:rsidR="37F2792A">
        <w:t>, ei heller til andre profesjoner som psykologer, fysioterapeuter og sykepleiere</w:t>
      </w:r>
      <w:r>
        <w:t>.</w:t>
      </w:r>
    </w:p>
    <w:p w14:paraId="2A43424D" w14:textId="2C09C3A1" w:rsidR="00AA73CD" w:rsidRDefault="00AA73CD" w:rsidP="00CF32F3">
      <w:pPr>
        <w:jc w:val="both"/>
      </w:pPr>
      <w:r w:rsidRPr="00D73362">
        <w:rPr>
          <w:lang w:val="nb"/>
        </w:rPr>
        <w:lastRenderedPageBreak/>
        <w:t xml:space="preserve">Legevikarer brukes til å dekke opp for legers fravær, og til å </w:t>
      </w:r>
      <w:r w:rsidR="00DB323A" w:rsidRPr="00D73362">
        <w:rPr>
          <w:lang w:val="nb"/>
        </w:rPr>
        <w:t xml:space="preserve">midlertidig </w:t>
      </w:r>
      <w:r w:rsidRPr="00D73362">
        <w:rPr>
          <w:lang w:val="nb"/>
        </w:rPr>
        <w:t>øke kapasiteten i tjenesten. Tilgang til vikarer er viktig på tvers av behandlingsnivå og sektorer. I kommunen er tilgang til vikarer viktig både knyttet til fastlegers og andre allmennlegers fravær. Selv om omfattende vikarbruk og hyppig skifte av vikarer kan gi lav kontinuitet i tjenesten, vil mangel på vikar når det ikke er fastlege, være en enda dårligere løsning. For at kommunene skal kunne forlenge sine vikaravtaler</w:t>
      </w:r>
      <w:r w:rsidR="009544F7" w:rsidRPr="00D73362">
        <w:rPr>
          <w:lang w:val="nb"/>
        </w:rPr>
        <w:t>,</w:t>
      </w:r>
      <w:r w:rsidRPr="00D73362">
        <w:rPr>
          <w:lang w:val="nb"/>
        </w:rPr>
        <w:t xml:space="preserve"> og beholde leger med refusjonsrett uten gjennomført LIS1-tjeneste, har unntaket for </w:t>
      </w:r>
      <w:r w:rsidR="00D73362" w:rsidRPr="00D73362">
        <w:rPr>
          <w:lang w:val="nb"/>
        </w:rPr>
        <w:t>kompetansekrav</w:t>
      </w:r>
      <w:r w:rsidR="00D27E41">
        <w:rPr>
          <w:lang w:val="nb"/>
        </w:rPr>
        <w:t xml:space="preserve"> </w:t>
      </w:r>
      <w:r>
        <w:t>og rett til trygderefusjon vært midlertidig forlenget. Begrunnelsen for unntak og forlengelsen har vært å opprettholde tilstrekkelig kapasitet i tjenesten under pandemien, og for å håndtere et økt behov for allmennlegetjenester knyttet til ukrainske flyktninger.</w:t>
      </w:r>
    </w:p>
    <w:p w14:paraId="71533C51" w14:textId="77777777" w:rsidR="00AA73CD" w:rsidRDefault="00AA73CD" w:rsidP="00CF32F3">
      <w:pPr>
        <w:jc w:val="both"/>
      </w:pPr>
      <w:r>
        <w:t>Leger bosatt i andre land</w:t>
      </w:r>
      <w:r w:rsidR="00F64F6E">
        <w:t>,</w:t>
      </w:r>
      <w:r>
        <w:t xml:space="preserve"> eller som jobber innenfor andre fagfelt i Norge, har i mange år vært en </w:t>
      </w:r>
      <w:r w:rsidRPr="60DDC96F">
        <w:t xml:space="preserve">viktig ressurs som </w:t>
      </w:r>
      <w:r>
        <w:t>korttidsvikarer</w:t>
      </w:r>
      <w:r w:rsidR="00FC50E7">
        <w:t>,</w:t>
      </w:r>
      <w:r>
        <w:t xml:space="preserve"> for å dekke opp for fastlegers fravær i kommunen. For fastlegevikarer</w:t>
      </w:r>
      <w:r w:rsidRPr="002D7633">
        <w:t xml:space="preserve"> </w:t>
      </w:r>
      <w:r>
        <w:t>som kun jobber i en avgrenset tidsperiode</w:t>
      </w:r>
      <w:r w:rsidRPr="002D7633">
        <w:t xml:space="preserve">, </w:t>
      </w:r>
      <w:r>
        <w:t xml:space="preserve">er det ofte </w:t>
      </w:r>
      <w:r w:rsidRPr="002D7633">
        <w:t xml:space="preserve">ikke aktuelt å starte i spesialisering i Norge. </w:t>
      </w:r>
      <w:r>
        <w:t>Vikarer som kommer tilbake til kommunen år etter år opparbeider seg kjennskap både til tjenesten og lokale forhold. Kompetansekravene</w:t>
      </w:r>
      <w:r w:rsidR="528391CA">
        <w:t>,</w:t>
      </w:r>
      <w:r>
        <w:t xml:space="preserve"> slik de foreligger per i dag, gir ikke unntak for disse legene. Det innebærer at faste legevikarer som kommunen kan ha god erfaring med, og som er en viktig ressurs i å dekke opp for fravær hos fastlegene, må slutte som vikar når de når grensen på ett år. De samme legene kan imidlertid jobbe som vikarer i spesialisthelsetjenesten og i helprivate allmennlegetjenester.</w:t>
      </w:r>
    </w:p>
    <w:p w14:paraId="213DE00C" w14:textId="77777777" w:rsidR="00AA73CD" w:rsidRPr="00D9107F" w:rsidRDefault="07609F93" w:rsidP="00CF32F3">
      <w:pPr>
        <w:jc w:val="both"/>
        <w:rPr>
          <w:rStyle w:val="halvfet"/>
        </w:rPr>
      </w:pPr>
      <w:r w:rsidRPr="00D966A1">
        <w:t>Leger som har fått norsk godkjenning som spesialist</w:t>
      </w:r>
      <w:r w:rsidR="000F1F81">
        <w:t>,</w:t>
      </w:r>
      <w:r w:rsidRPr="00D966A1">
        <w:t xml:space="preserve"> på bakgrunn av spesialistutdanning fra et annet land</w:t>
      </w:r>
      <w:r w:rsidR="000F1F81">
        <w:t>,</w:t>
      </w:r>
      <w:r w:rsidRPr="00D966A1">
        <w:t xml:space="preserve"> må gjennomføre LIS1 før de kan begynne på nytt spesialistløp i en annen spesialitet</w:t>
      </w:r>
      <w:r w:rsidR="00AA73CD" w:rsidRPr="00D9107F">
        <w:rPr>
          <w:rStyle w:val="Fotnotereferanse"/>
        </w:rPr>
        <w:footnoteReference w:id="61"/>
      </w:r>
      <w:r w:rsidRPr="00D966A1">
        <w:t>. Ønsker de å starte som allmennlege i kommunen, må de</w:t>
      </w:r>
      <w:r w:rsidR="7ECAEE23" w:rsidRPr="00D966A1">
        <w:t>,</w:t>
      </w:r>
      <w:r w:rsidRPr="00D966A1">
        <w:t xml:space="preserve"> som andre leger, gjennomføre LIS1. Dette selv om de har oppnådd en spesialistgodkjenning i Norge og i tillegg har flere års yrkeserfaring</w:t>
      </w:r>
      <w:r w:rsidR="5DAE483F">
        <w:t xml:space="preserve"> i en annen spesialitet</w:t>
      </w:r>
      <w:r w:rsidRPr="00D966A1">
        <w:t>.</w:t>
      </w:r>
    </w:p>
    <w:p w14:paraId="255C31C0" w14:textId="77777777" w:rsidR="00D9107F" w:rsidRDefault="00AA73CD" w:rsidP="00CF32F3">
      <w:pPr>
        <w:jc w:val="both"/>
      </w:pPr>
      <w:r>
        <w:t>Innretningen av kompetansekravene i dag medfører at leger som ikke fyller kravene til kompetanse i kommunen, kan jobbe med pasienter i andre deler av tjenesten</w:t>
      </w:r>
      <w:r w:rsidR="2D95827B">
        <w:t>, h</w:t>
      </w:r>
      <w:r w:rsidR="00E2339B">
        <w:t>erunder</w:t>
      </w:r>
      <w:r w:rsidR="00B762AC">
        <w:t xml:space="preserve"> </w:t>
      </w:r>
      <w:r w:rsidR="00EC5453">
        <w:t xml:space="preserve">utføre </w:t>
      </w:r>
      <w:r>
        <w:t>enklere arbeidsoppgaver i spesialisthelsetjenesten. I denne gruppen er leger som venter på LIS1</w:t>
      </w:r>
      <w:r w:rsidR="003E79B0">
        <w:t>-</w:t>
      </w:r>
      <w:r>
        <w:t>stilling, og som ønsker å opparbeide seg relevant yrkeserfaring. Det kan også være andre leger som av annen årsak</w:t>
      </w:r>
      <w:r w:rsidR="00CE60A8">
        <w:t>,</w:t>
      </w:r>
      <w:r>
        <w:t xml:space="preserve"> ikke er kommet i gang med spesialistutdanningen.</w:t>
      </w:r>
    </w:p>
    <w:p w14:paraId="1918A94D" w14:textId="77777777" w:rsidR="00D9107F" w:rsidRDefault="00AA73CD" w:rsidP="00CF32F3">
      <w:pPr>
        <w:jc w:val="both"/>
      </w:pPr>
      <w:r>
        <w:t xml:space="preserve">For </w:t>
      </w:r>
      <w:r w:rsidR="007E5DE0">
        <w:t>utførelse av</w:t>
      </w:r>
      <w:r>
        <w:t xml:space="preserve"> helprivate allmennlegetjenester er det ikke krav om </w:t>
      </w:r>
      <w:r w:rsidR="00185EB3">
        <w:t xml:space="preserve">at legen må </w:t>
      </w:r>
      <w:r w:rsidRPr="00C13CF3">
        <w:t>være spesialist</w:t>
      </w:r>
      <w:r w:rsidR="000F1F81">
        <w:t>,</w:t>
      </w:r>
      <w:r w:rsidRPr="00C13CF3">
        <w:t xml:space="preserve"> eller under spesialisering i allmennmedisin</w:t>
      </w:r>
      <w:r>
        <w:t xml:space="preserve">. Siden helprivate tjenester ikke er avhengige av rett til trygderefusjon, gjelder heller ikke kravet om gjennomført LIS1 for disse legene. Med </w:t>
      </w:r>
      <w:r>
        <w:lastRenderedPageBreak/>
        <w:t>fr</w:t>
      </w:r>
      <w:r w:rsidR="007226F9">
        <w:t>a</w:t>
      </w:r>
      <w:r>
        <w:t>mveksten av helprivate allmennlegetjenester kan innbyggerne i økende grad oppsøke disse tjenestene for tilstander som vanligvis håndteres av fastlege og kommunal legevakt. Utfra et innbyggerperspektiv</w:t>
      </w:r>
      <w:r w:rsidR="00185EB3">
        <w:t>,</w:t>
      </w:r>
      <w:r>
        <w:t xml:space="preserve"> er </w:t>
      </w:r>
      <w:r w:rsidR="00D27E41">
        <w:t xml:space="preserve">det </w:t>
      </w:r>
      <w:r>
        <w:t xml:space="preserve">utfordrende at det stilles ulike krav til allmennlegenes kompetanse utfra om allmennlegetjenestene som gis er helprivat eller </w:t>
      </w:r>
      <w:r w:rsidR="002472E5">
        <w:t>kommunale, og ikke ut fra hvilke tilstander som håndteres og for innholdet i tjenesten.</w:t>
      </w:r>
    </w:p>
    <w:p w14:paraId="2C8C0BAB" w14:textId="5CED5D14" w:rsidR="00AA73CD" w:rsidRPr="00357A9C" w:rsidRDefault="439CE0BB" w:rsidP="00775632">
      <w:pPr>
        <w:pStyle w:val="Overskrift3"/>
      </w:pPr>
      <w:bookmarkStart w:id="5211" w:name="_Toc120526265"/>
      <w:bookmarkStart w:id="5212" w:name="_Toc126834461"/>
      <w:bookmarkStart w:id="5213" w:name="_Toc127633346"/>
      <w:bookmarkStart w:id="5214" w:name="_Toc127864631"/>
      <w:bookmarkStart w:id="5215" w:name="_Toc128238648"/>
      <w:bookmarkStart w:id="5216" w:name="_Toc128742096"/>
      <w:bookmarkStart w:id="5217" w:name="_Toc128744724"/>
      <w:bookmarkStart w:id="5218" w:name="_Toc128744943"/>
      <w:bookmarkStart w:id="5219" w:name="_Toc129630448"/>
      <w:bookmarkStart w:id="5220" w:name="_Toc130763955"/>
      <w:bookmarkStart w:id="5221" w:name="_Toc130766850"/>
      <w:bookmarkStart w:id="5222" w:name="_Toc130932249"/>
      <w:bookmarkStart w:id="5223" w:name="_Toc130934540"/>
      <w:bookmarkStart w:id="5224" w:name="_Toc130983689"/>
      <w:bookmarkStart w:id="5225" w:name="_Toc130984038"/>
      <w:bookmarkStart w:id="5226" w:name="_Toc131062291"/>
      <w:bookmarkStart w:id="5227" w:name="_Toc131062545"/>
      <w:bookmarkStart w:id="5228" w:name="_Toc131062806"/>
      <w:bookmarkStart w:id="5229" w:name="_Toc131063059"/>
      <w:bookmarkStart w:id="5230" w:name="_Toc131063842"/>
      <w:bookmarkStart w:id="5231" w:name="_Toc131064253"/>
      <w:bookmarkStart w:id="5232" w:name="_Toc131279633"/>
      <w:bookmarkStart w:id="5233" w:name="_Toc131287045"/>
      <w:bookmarkStart w:id="5234" w:name="_Toc131281455"/>
      <w:bookmarkStart w:id="5235" w:name="_Toc131317995"/>
      <w:bookmarkStart w:id="5236" w:name="_Toc132537086"/>
      <w:r>
        <w:t>Unge legers preferanser passer ikke med rammene rundt fastlegeyrket</w:t>
      </w:r>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14:paraId="08CBD58B" w14:textId="77777777" w:rsidR="00D9107F" w:rsidRDefault="00AA73CD" w:rsidP="00CF32F3">
      <w:pPr>
        <w:ind w:left="10" w:hanging="10"/>
        <w:jc w:val="both"/>
      </w:pPr>
      <w:r>
        <w:t>Kunnskap om unge legers preferanser for valg av allmennmedisin som karrierevei</w:t>
      </w:r>
      <w:r w:rsidR="00196875">
        <w:t>,</w:t>
      </w:r>
      <w:r>
        <w:t xml:space="preserve"> er viktig å ta med seg i arbeidet for å rekruttere leger til arbeid i kommunen. Vi har de siste årene fått kunnskap om unge legers preferanser for valg av yrke gjennom spørreundersøkelser som har vært utført. Det er vanskelig å vurdere hvor representative disse undersøkelsene er, da andelen av studenter og LIS1 som har svart, er l</w:t>
      </w:r>
      <w:r w:rsidR="007226F9">
        <w:t>av</w:t>
      </w:r>
      <w:r>
        <w:t xml:space="preserve">. Det er heller ikke sikkert at svarene er sammenfallende med hva </w:t>
      </w:r>
      <w:r w:rsidR="00D614A7">
        <w:t>respondentene</w:t>
      </w:r>
      <w:r>
        <w:t xml:space="preserve"> kommer til å velge når de senere i livet faktisk står i situasjonen. Likevel er det samlede inntrykket fra</w:t>
      </w:r>
      <w:r w:rsidR="00F42EAE">
        <w:t xml:space="preserve"> </w:t>
      </w:r>
      <w:r>
        <w:t>undersøkelsene at rammene for spesielt å starte som fastlege i kommunen, ikke i tilstrekkelig grad er tilpasset ønskene til en ny generasjon leger.</w:t>
      </w:r>
    </w:p>
    <w:p w14:paraId="3E07CBA4" w14:textId="72B0EEF3" w:rsidR="00AA73CD" w:rsidRDefault="07609F93" w:rsidP="002472E5">
      <w:pPr>
        <w:jc w:val="both"/>
      </w:pPr>
      <w:r>
        <w:t>Det pekes på at legene opplever et stort faglig ansvar helt fra man starter som fastlege, uten at forholdene ligger til rette for raskt å føle seg i stand til å påta seg dette ansvaret. I dette ligger tilrettelegging av spesialistutdanningen med tilgang til veiledning og støtte, og mulighet for faglig utvikling i trygge rammer</w:t>
      </w:r>
      <w:r w:rsidR="73722DB3">
        <w:t xml:space="preserve"> </w:t>
      </w:r>
      <w:r w:rsidR="00B60B70">
        <w:fldChar w:fldCharType="begin"/>
      </w:r>
      <w:r w:rsidR="00235862">
        <w:instrText xml:space="preserve"> ADDIN EN.CITE &lt;EndNote&gt;&lt;Cite&gt;&lt;Author&gt;Abelsen&lt;/Author&gt;&lt;Year&gt;2019&lt;/Year&gt;&lt;RecNum&gt;691&lt;/RecNum&gt;&lt;DisplayText&gt;(Abelsen et al., 2019)&lt;/DisplayText&gt;&lt;record&gt;&lt;rec-number&gt;691&lt;/rec-number&gt;&lt;foreign-keys&gt;&lt;key app="EN" db-id="95tpr2tp6r9xwoea9rb5wdsz5ds5xeddteew" timestamp="1680069511"&gt;691&lt;/key&gt;&lt;/foreign-keys&gt;&lt;ref-type name="Report"&gt;27&lt;/ref-type&gt;&lt;contributors&gt;&lt;authors&gt;&lt;author&gt;Abelsen, Birgit&lt;/author&gt;&lt;author&gt;Brandstorp, Helen&lt;/author&gt;&lt;/authors&gt;&lt;/contributors&gt;&lt;titles&gt;&lt;title&gt;Recruit &amp;amp; Retain - Making it Work: Den norske case-studien&lt;/title&gt;&lt;/titles&gt;&lt;pages&gt;1-34&lt;/pages&gt;&lt;dates&gt;&lt;year&gt;2019&lt;/year&gt;&lt;/dates&gt;&lt;publisher&gt;Nasjonalt senter for distriktsmedisin og UiT Norges arktiske universitet&lt;/publisher&gt;&lt;urls&gt;&lt;/urls&gt;&lt;/record&gt;&lt;/Cite&gt;&lt;/EndNote&gt;</w:instrText>
      </w:r>
      <w:r w:rsidR="00B60B70">
        <w:fldChar w:fldCharType="separate"/>
      </w:r>
      <w:r w:rsidR="00856689">
        <w:rPr>
          <w:noProof/>
        </w:rPr>
        <w:t>(Abelsen et al., 2019)</w:t>
      </w:r>
      <w:r w:rsidR="00B60B70">
        <w:fldChar w:fldCharType="end"/>
      </w:r>
      <w:r w:rsidR="00C823ED">
        <w:t>.</w:t>
      </w:r>
      <w:r>
        <w:t xml:space="preserve"> </w:t>
      </w:r>
      <w:r w:rsidR="37F21A4C">
        <w:t xml:space="preserve">Basert på </w:t>
      </w:r>
      <w:r>
        <w:t>svar på spørreundersøkelse</w:t>
      </w:r>
      <w:r w:rsidR="37F21A4C">
        <w:t>ne,</w:t>
      </w:r>
      <w:r>
        <w:t xml:space="preserve"> fr</w:t>
      </w:r>
      <w:r w:rsidR="242AD442">
        <w:t>a</w:t>
      </w:r>
      <w:r>
        <w:t xml:space="preserve">mstår ansettelse som den </w:t>
      </w:r>
      <w:r w:rsidR="4EBBA7BD">
        <w:t xml:space="preserve">mest </w:t>
      </w:r>
      <w:r>
        <w:t>foretrukne driftsformen under spesialistutdanningen i allmennmedisin. Etter gjennomført spesialisering</w:t>
      </w:r>
      <w:r w:rsidR="37F21A4C">
        <w:t>,</w:t>
      </w:r>
      <w:r>
        <w:t xml:space="preserve"> øker antallet som ønsker seg næringsdrift. Det trekkes fr</w:t>
      </w:r>
      <w:r w:rsidR="242AD442">
        <w:t>a</w:t>
      </w:r>
      <w:r>
        <w:t>m at ansvar for drift av legepraksis og risiko knyttet til kjøp av praksis, oppleves utrygt for unge leger. Fastlegeyrket oppleves som lite fleksibelt</w:t>
      </w:r>
      <w:r w:rsidR="196DEEC8">
        <w:t>,</w:t>
      </w:r>
      <w:r>
        <w:t xml:space="preserve"> med tanke på å teste ut arbeidshverdagen</w:t>
      </w:r>
      <w:r w:rsidR="00A03384">
        <w:t xml:space="preserve"> </w:t>
      </w:r>
      <w:r>
        <w:t>uten å binde seg i for stor grad</w:t>
      </w:r>
      <w:r w:rsidR="5583CFA1">
        <w:t xml:space="preserve"> </w:t>
      </w:r>
      <w:r w:rsidR="001F5F05">
        <w:fldChar w:fldCharType="begin"/>
      </w:r>
      <w:r w:rsidR="004654FD">
        <w:instrText xml:space="preserve"> ADDIN EN.CITE &lt;EndNote&gt;&lt;Cite&gt;&lt;Author&gt;EY og Vista Analyse&lt;/Author&gt;&lt;Year&gt;2019&lt;/Year&gt;&lt;RecNum&gt;211&lt;/RecNum&gt;&lt;DisplayText&gt;(EY og Vista Analyse, 2019; Oslo Economics, 2022)&lt;/DisplayText&gt;&lt;record&gt;&lt;rec-number&gt;211&lt;/rec-number&gt;&lt;foreign-keys&gt;&lt;key app="EN" db-id="95tpr2tp6r9xwoea9rb5wdsz5ds5xeddteew" timestamp="1680069511"&gt;211&lt;/key&gt;&lt;/foreign-keys&gt;&lt;ref-type name="Report"&gt;27&lt;/ref-type&gt;&lt;contributors&gt;&lt;authors&gt;&lt;author&gt;EY og Vista Analyse,&lt;/author&gt;&lt;/authors&gt;&lt;/contributors&gt;&lt;titles&gt;&lt;title&gt;Evaluering av fastlegeordningen&lt;/title&gt;&lt;/titles&gt;&lt;dates&gt;&lt;year&gt;2019&lt;/year&gt;&lt;/dates&gt;&lt;pub-location&gt;Oslo&lt;/pub-location&gt;&lt;publisher&gt;EY og Vista Analyse&lt;/publisher&gt;&lt;urls&gt;&lt;/urls&gt;&lt;/record&gt;&lt;/Cite&gt;&lt;Cite&gt;&lt;Author&gt;Oslo Economics&lt;/Author&gt;&lt;Year&gt;2022&lt;/Year&gt;&lt;RecNum&gt;218&lt;/RecNum&gt;&lt;record&gt;&lt;rec-number&gt;218&lt;/rec-number&gt;&lt;foreign-keys&gt;&lt;key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rsidR="001F5F05">
        <w:fldChar w:fldCharType="separate"/>
      </w:r>
      <w:r w:rsidR="001F5F05">
        <w:rPr>
          <w:noProof/>
        </w:rPr>
        <w:t>(EY og Vista Analyse, 2019; Oslo Economics, 2022)</w:t>
      </w:r>
      <w:r w:rsidR="001F5F05">
        <w:fldChar w:fldCharType="end"/>
      </w:r>
      <w:r w:rsidR="00B77B27">
        <w:t>.</w:t>
      </w:r>
    </w:p>
    <w:p w14:paraId="41421848" w14:textId="77777777" w:rsidR="00D9107F" w:rsidRDefault="00AA73CD" w:rsidP="002472E5">
      <w:pPr>
        <w:ind w:left="10" w:hanging="10"/>
        <w:jc w:val="both"/>
      </w:pPr>
      <w:r>
        <w:t>Næringsdrift under spesialistutdanningen i allmennmedisin skiller seg fra hvordan spesialiseringsløpet gjennomføres i sammenlignbare land</w:t>
      </w:r>
      <w:r w:rsidR="007226F9">
        <w:t>,</w:t>
      </w:r>
      <w:r>
        <w:t xml:space="preserve"> </w:t>
      </w:r>
      <w:r w:rsidR="00F9642A">
        <w:t>blant annet</w:t>
      </w:r>
      <w:r>
        <w:t xml:space="preserve"> Sverige</w:t>
      </w:r>
      <w:r w:rsidR="00D31FE2">
        <w:t xml:space="preserve"> og </w:t>
      </w:r>
      <w:r>
        <w:t xml:space="preserve">Danmark. I disse landene er allmennlegene under spesialisering ansatt. Næringsdrift for unge leger ligner heller ikke rammene rundt gjennomføring av spesialistutdanning i andre fagfelt i Norge. </w:t>
      </w:r>
      <w:r w:rsidR="00065D34">
        <w:t>N</w:t>
      </w:r>
      <w:r>
        <w:t>æringsdrift kan tenkes å være en barriere for flyt av leger, i alle aldre, fra andre fagfelt og til allmennmedisin. Viktigst er imidlertid at næringsdrift i for liten grad synes å passe med unge legers preferanser under spesialistutdanning og i etableringsfasen</w:t>
      </w:r>
      <w:r w:rsidRPr="00A3414B">
        <w:t>.</w:t>
      </w:r>
      <w:r>
        <w:t xml:space="preserve"> Dette kan i seg selv utgjøre en barriere for rekruttering.</w:t>
      </w:r>
    </w:p>
    <w:p w14:paraId="4B7BF41C" w14:textId="0ECBF351" w:rsidR="00AA73CD" w:rsidRDefault="439CE0BB" w:rsidP="00775632">
      <w:pPr>
        <w:pStyle w:val="Overskrift3"/>
      </w:pPr>
      <w:bookmarkStart w:id="5237" w:name="_Toc120526266"/>
      <w:bookmarkStart w:id="5238" w:name="_Toc126834462"/>
      <w:bookmarkStart w:id="5239" w:name="_Toc127633347"/>
      <w:bookmarkStart w:id="5240" w:name="_Toc127864632"/>
      <w:bookmarkStart w:id="5241" w:name="_Toc128238649"/>
      <w:bookmarkStart w:id="5242" w:name="_Toc128742097"/>
      <w:bookmarkStart w:id="5243" w:name="_Toc128744725"/>
      <w:bookmarkStart w:id="5244" w:name="_Toc128744944"/>
      <w:bookmarkStart w:id="5245" w:name="_Toc129630449"/>
      <w:bookmarkStart w:id="5246" w:name="_Toc130763956"/>
      <w:bookmarkStart w:id="5247" w:name="_Toc130766851"/>
      <w:bookmarkStart w:id="5248" w:name="_Toc130932250"/>
      <w:bookmarkStart w:id="5249" w:name="_Toc130934541"/>
      <w:bookmarkStart w:id="5250" w:name="_Toc130983690"/>
      <w:bookmarkStart w:id="5251" w:name="_Toc130984039"/>
      <w:bookmarkStart w:id="5252" w:name="_Toc131062292"/>
      <w:bookmarkStart w:id="5253" w:name="_Toc131062546"/>
      <w:bookmarkStart w:id="5254" w:name="_Toc131062807"/>
      <w:bookmarkStart w:id="5255" w:name="_Toc131063060"/>
      <w:bookmarkStart w:id="5256" w:name="_Toc131063843"/>
      <w:bookmarkStart w:id="5257" w:name="_Toc131064254"/>
      <w:bookmarkStart w:id="5258" w:name="_Toc131279634"/>
      <w:bookmarkStart w:id="5259" w:name="_Toc131287046"/>
      <w:bookmarkStart w:id="5260" w:name="_Toc131281456"/>
      <w:bookmarkStart w:id="5261" w:name="_Toc131317996"/>
      <w:bookmarkStart w:id="5262" w:name="_Toc132537087"/>
      <w:r>
        <w:t>Medisinstudentene har for lite praksis i allmennmedisin</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14:paraId="5A4E2DBC" w14:textId="77777777" w:rsidR="00D9107F" w:rsidRDefault="7B30AAF7" w:rsidP="00C649EE">
      <w:pPr>
        <w:jc w:val="both"/>
      </w:pPr>
      <w:r>
        <w:t xml:space="preserve">Det er godt dokumentert internasjonalt at undervisning og praksis i allmennmedisin i grunnutdanning i medisin har sammenheng med andel av medisinstudentene som går inn i </w:t>
      </w:r>
      <w:r>
        <w:lastRenderedPageBreak/>
        <w:t xml:space="preserve">allmennmedisin etter fullført studie </w:t>
      </w:r>
      <w:r w:rsidR="00B60B70">
        <w:fldChar w:fldCharType="begin"/>
      </w:r>
      <w:r w:rsidR="00856689">
        <w:instrText xml:space="preserve"> ADDIN EN.CITE &lt;EndNote&gt;&lt;Cite&gt;&lt;Author&gt;Arshad&lt;/Author&gt;&lt;Year&gt;2021&lt;/Year&gt;&lt;RecNum&gt;883&lt;/RecNum&gt;&lt;DisplayText&gt;(Arshad et al., 2021)&lt;/DisplayText&gt;&lt;record&gt;&lt;rec-number&gt;883&lt;/rec-number&gt;&lt;foreign-keys&gt;&lt;key app="EN" db-id="95tpr2tp6r9xwoea9rb5wdsz5ds5xeddteew" timestamp="1680069511"&gt;883&lt;/key&gt;&lt;/foreign-keys&gt;&lt;ref-type name="Journal Article"&gt;17&lt;/ref-type&gt;&lt;contributors&gt;&lt;authors&gt;&lt;author&gt;Arshad, S.&lt;/author&gt;&lt;author&gt;McCombe, G.&lt;/author&gt;&lt;author&gt;Carberry, C.&lt;/author&gt;&lt;author&gt;Harrold, A.&lt;/author&gt;&lt;author&gt;Cullen, W.&lt;/author&gt;&lt;/authors&gt;&lt;/contributors&gt;&lt;auth-address&gt;School of Medicine, University College Dublin, Dublin 4, Ireland.&amp;#xD;School of Medicine, University College Dublin, Dublin 4, Ireland. Geoff.mccombe@ucd.ie.&lt;/auth-address&gt;&lt;titles&gt;&lt;title&gt;What factors influence medical students to enter a career in general practice? A scoping review&lt;/title&gt;&lt;secondary-title&gt;Ir J Med Sci&lt;/secondary-title&gt;&lt;/titles&gt;&lt;periodical&gt;&lt;full-title&gt;Ir J Med Sci&lt;/full-title&gt;&lt;/periodical&gt;&lt;pages&gt;657-665&lt;/pages&gt;&lt;volume&gt;190&lt;/volume&gt;&lt;number&gt;2&lt;/number&gt;&lt;edition&gt;2020/08/15&lt;/edition&gt;&lt;keywords&gt;&lt;keyword&gt;*Career Choice&lt;/keyword&gt;&lt;keyword&gt;Cross-Sectional Studies&lt;/keyword&gt;&lt;keyword&gt;Education, Medical/*organization &amp;amp; administration&lt;/keyword&gt;&lt;keyword&gt;Female&lt;/keyword&gt;&lt;keyword&gt;General Practice/*education&lt;/keyword&gt;&lt;keyword&gt;Humans&lt;/keyword&gt;&lt;keyword&gt;Male&lt;/keyword&gt;&lt;keyword&gt;Students, Medical&lt;/keyword&gt;&lt;keyword&gt;Career intentions&lt;/keyword&gt;&lt;keyword&gt;General practice&lt;/keyword&gt;&lt;keyword&gt;Ireland&lt;/keyword&gt;&lt;keyword&gt;Medical education&lt;/keyword&gt;&lt;keyword&gt;Review&lt;/keyword&gt;&lt;/keywords&gt;&lt;dates&gt;&lt;year&gt;2021&lt;/year&gt;&lt;pub-dates&gt;&lt;date&gt;May&lt;/date&gt;&lt;/pub-dates&gt;&lt;/dates&gt;&lt;isbn&gt;0021-1265&lt;/isbn&gt;&lt;accession-num&gt;32794065&lt;/accession-num&gt;&lt;urls&gt;&lt;/urls&gt;&lt;electronic-resource-num&gt;10.1007/s11845-020-02345-w&lt;/electronic-resource-num&gt;&lt;remote-database-provider&gt;NLM&lt;/remote-database-provider&gt;&lt;language&gt;eng&lt;/language&gt;&lt;/record&gt;&lt;/Cite&gt;&lt;/EndNote&gt;</w:instrText>
      </w:r>
      <w:r w:rsidR="00B60B70">
        <w:fldChar w:fldCharType="separate"/>
      </w:r>
      <w:r w:rsidR="00856689">
        <w:rPr>
          <w:noProof/>
        </w:rPr>
        <w:t>(Arshad et al., 2021)</w:t>
      </w:r>
      <w:r w:rsidR="00B60B70">
        <w:fldChar w:fldCharType="end"/>
      </w:r>
      <w:r w:rsidR="00B77B27">
        <w:t>.</w:t>
      </w:r>
      <w:r>
        <w:t xml:space="preserve"> En artikkel fra Norge i 2012 viste at andel </w:t>
      </w:r>
      <w:r w:rsidR="002472E5">
        <w:t xml:space="preserve">ferdigutdannede som valgte allmennmedisin var assosiert med summen av undervisningstimer i allmennmedisin, varighet av praksis i allmennmedisin og antall lærere ved universitetet som var allmennmedisinere </w:t>
      </w:r>
      <w:r w:rsidR="00B60B70">
        <w:fldChar w:fldCharType="begin"/>
      </w:r>
      <w:r w:rsidR="00856689">
        <w:instrText xml:space="preserve"> ADDIN EN.CITE &lt;EndNote&gt;&lt;Cite&gt;&lt;Author&gt;Wesnes&lt;/Author&gt;&lt;Year&gt;2012&lt;/Year&gt;&lt;RecNum&gt;85&lt;/RecNum&gt;&lt;DisplayText&gt;(Wesnes et al., 2012)&lt;/DisplayText&gt;&lt;record&gt;&lt;rec-number&gt;85&lt;/rec-number&gt;&lt;foreign-keys&gt;&lt;key app="EN" db-id="95tpr2tp6r9xwoea9rb5wdsz5ds5xeddteew" timestamp="1680069511"&gt;85&lt;/key&gt;&lt;/foreign-keys&gt;&lt;ref-type name="Journal Article"&gt;17&lt;/ref-type&gt;&lt;contributors&gt;&lt;authors&gt;&lt;author&gt;Wesnes, S. L.&lt;/author&gt;&lt;author&gt;Aasland, O.&lt;/author&gt;&lt;author&gt;Baerheim, A.&lt;/author&gt;&lt;/authors&gt;&lt;/contributors&gt;&lt;auth-address&gt;Research Group for General Practice, Department of Public Health and Primary Health Care, University of Bergen, Norway. stian.langeland@isf.uib.no&lt;/auth-address&gt;&lt;titles&gt;&lt;title&gt;Career choice and place of graduation among physicians in Norway&lt;/title&gt;&lt;secondary-title&gt;Scand J Prim Health Care&lt;/secondary-title&gt;&lt;/titles&gt;&lt;periodical&gt;&lt;full-title&gt;Scand J Prim Health Care&lt;/full-title&gt;&lt;/periodical&gt;&lt;pages&gt;35-40&lt;/pages&gt;&lt;volume&gt;30&lt;/volume&gt;&lt;number&gt;1&lt;/number&gt;&lt;edition&gt;2012/02/14&lt;/edition&gt;&lt;keywords&gt;&lt;keyword&gt;Adult&lt;/keyword&gt;&lt;keyword&gt;*Career Choice&lt;/keyword&gt;&lt;keyword&gt;Cross-Sectional Studies&lt;/keyword&gt;&lt;keyword&gt;Curriculum&lt;/keyword&gt;&lt;keyword&gt;Education, Medical, Undergraduate/organization &amp;amp; administration&lt;/keyword&gt;&lt;keyword&gt;Female&lt;/keyword&gt;&lt;keyword&gt;*General Practitioners&lt;/keyword&gt;&lt;keyword&gt;Humans&lt;/keyword&gt;&lt;keyword&gt;Male&lt;/keyword&gt;&lt;keyword&gt;Norway&lt;/keyword&gt;&lt;keyword&gt;Schools, Medical/*statistics &amp;amp; numerical data&lt;/keyword&gt;&lt;/keywords&gt;&lt;dates&gt;&lt;year&gt;2012&lt;/year&gt;&lt;pub-dates&gt;&lt;date&gt;Mar&lt;/date&gt;&lt;/pub-dates&gt;&lt;/dates&gt;&lt;isbn&gt;0281-3432 (Print)&amp;#xD;0281-3432&lt;/isbn&gt;&lt;accession-num&gt;22324633&lt;/accession-num&gt;&lt;urls&gt;&lt;/urls&gt;&lt;custom2&gt;PMC3337528&lt;/custom2&gt;&lt;electronic-resource-num&gt;10.3109/02813432.2012.654195&lt;/electronic-resource-num&gt;&lt;remote-database-provider&gt;NLM&lt;/remote-database-provider&gt;&lt;language&gt;eng&lt;/language&gt;&lt;/record&gt;&lt;/Cite&gt;&lt;/EndNote&gt;</w:instrText>
      </w:r>
      <w:r w:rsidR="00B60B70">
        <w:fldChar w:fldCharType="separate"/>
      </w:r>
      <w:r w:rsidR="00856689">
        <w:rPr>
          <w:noProof/>
        </w:rPr>
        <w:t>(Wesnes et al., 2012)</w:t>
      </w:r>
      <w:r w:rsidR="00B60B70">
        <w:fldChar w:fldCharType="end"/>
      </w:r>
      <w:r w:rsidR="00B77B27">
        <w:t>.</w:t>
      </w:r>
    </w:p>
    <w:p w14:paraId="4518099D" w14:textId="77777777" w:rsidR="00D9107F" w:rsidRDefault="30FB6CBF" w:rsidP="00CF32F3">
      <w:pPr>
        <w:jc w:val="both"/>
      </w:pPr>
      <w:r>
        <w:t>K</w:t>
      </w:r>
      <w:r w:rsidR="4ABCAAC9" w:rsidRPr="374C9F70">
        <w:t xml:space="preserve">valitative studier </w:t>
      </w:r>
      <w:r w:rsidR="525A0CB9">
        <w:t>har vist</w:t>
      </w:r>
      <w:r w:rsidR="4ABCAAC9">
        <w:t xml:space="preserve"> </w:t>
      </w:r>
      <w:r w:rsidR="4ABCAAC9" w:rsidRPr="374C9F70">
        <w:t>at gode rollemodeller og en vellykket praksisperiode er viktig</w:t>
      </w:r>
      <w:r w:rsidR="302B7CAC">
        <w:t xml:space="preserve"> </w:t>
      </w:r>
      <w:r w:rsidR="00B60B70">
        <w:fldChar w:fldCharType="begin">
          <w:fldData xml:space="preserve">PEVuZE5vdGU+PENpdGU+PEF1dGhvcj5QZmFycndhbGxlcjwvQXV0aG9yPjxZZWFyPjIwMTc8L1ll
YXI+PFJlY051bT4yMjU8L1JlY051bT48RGlzcGxheVRleHQ+KEdyb25zZXRoIGV0IGFsLiwgMjAy
MDsgUGZhcnJ3YWxsZXIgZXQgYWwuLCAyMDE3KTwvRGlzcGxheVRleHQ+PHJlY29yZD48cmVjLW51
bWJlcj4yMjU8L3JlYy1udW1iZXI+PGZvcmVpZ24ta2V5cz48a2V5IGFwcD0iRU4iIGRiLWlkPSI5
NXRwcjJ0cDZyOXh3b2VhOXJiNXdkc3o1ZHM1eGVkZHRlZXciIHRpbWVzdGFtcD0iMTY4MDA2OTUx
MSI+MjI1PC9rZXk+PC9mb3JlaWduLWtleXM+PHJlZi10eXBlIG5hbWU9IkpvdXJuYWwgQXJ0aWNs
ZSI+MTc8L3JlZi10eXBlPjxjb250cmlidXRvcnM+PGF1dGhvcnM+PGF1dGhvcj5QZmFycndhbGxl
ciwgRS48L2F1dGhvcj48YXV0aG9yPkF1ZGV0YXQsIE0uIEMuPC9hdXRob3I+PGF1dGhvcj5Tb21t
ZXIsIEouPC9hdXRob3I+PGF1dGhvcj5NYWlzb25uZXV2ZSwgSC48L2F1dGhvcj48YXV0aG9yPkJp
c2Nob2ZmLCBULjwvYXV0aG9yPjxhdXRob3I+SGFsbGVyLCBELiBNLjwvYXV0aG9yPjwvYXV0aG9y
cz48L2NvbnRyaWJ1dG9ycz48YXV0aC1hZGRyZXNzPlBmYXJyd2FsbGVyLCBFdmEuIEUuIFBmYXJy
d2FsbGVyIGlzIGxlY3R1cmVyLCBQcmltYXJ5IENhcmUgVW5pdCwgRmFjdWx0eSBvZiBNZWRpY2lu
ZSwgVW5pdmVyc2l0eSBvZiBHZW5ldmEsIEdlbmV2YSwgU3dpdHplcmxhbmQuIE0uLUMuIEF1ZGV0
YXQgaXMgc2VuaW9yIGxlY3R1cmVyLCBQcmltYXJ5IENhcmUgVW5pdCBhbmQgVW5pdCBvZiBEZXZl
bG9wbWVudCBhbmQgUmVzZWFyY2ggaW4gTWVkaWNhbCBFZHVjYXRpb24sIEZhY3VsdHkgb2YgTWVk
aWNpbmUsIFVuaXZlcnNpdHkgb2YgR2VuZXZhLCBHZW5ldmEsIFN3aXR6ZXJsYW5kLiBKLiBTb21t
ZXIgaXMgcHJvZmVzc29yIG9mIHByaW1hcnkgY2FyZSBtZWRpY2luZSBhbmQgaGVhZCwgUHJpbWFy
eSBDYXJlIFVuaXQsIEZhY3VsdHkgb2YgTWVkaWNpbmUsIFVuaXZlcnNpdHkgb2YgR2VuZXZhLCBH
ZW5ldmEsIFN3aXR6ZXJsYW5kLiBILiBNYWlzb25uZXV2ZSBpcyBwcmltYXJ5IGNhcmUgcGh5c2lj
aWFuIGFuZCBzZW5pb3IgbGVjdHVyZXIsIFByaW1hcnkgQ2FyZSBVbml0LCBGYWN1bHR5IG9mIE1l
ZGljaW5lLCBVbml2ZXJzaXR5IG9mIEdlbmV2YSwgR2VuZXZhLCBTd2l0emVybGFuZC4gVC4gQmlz
Y2hvZmYgaXMgcHJvZmVzc29yIG9mIHByaW1hcnkgY2FyZSBtZWRpY2luZSBhbmQgZm9ybWVyIGhl
YWQsIEluc3RpdHV0ZSBvZiBHZW5lcmFsIFByYWN0aWNlLCBVbml2ZXJzaXR5IG9mIExhdXNhbm5l
LCBMYXVzYW5uZSwgU3dpdHplcmxhbmQuIE0uIE5lbmRheiBpcyBwcm9mZXNzb3Igb2YgaW50ZXJu
YWwgbWVkaWNpbmUgYW5kIG1lZGljYWwgZWR1Y2F0aW9uLCBVbml0IG9mIERldmVsb3BtZW50IGFu
ZCBSZXNlYXJjaCBpbiBNZWRpY2FsIEVkdWNhdGlvbiBhbmQgR2VuZXJhbCBJbnRlcm5hbCBNZWRp
Y2luZSBTZXJ2aWNlLCBGYWN1bHR5IG9mIE1lZGljaW5lLCBVbml2ZXJzaXR5IG9mIEdlbmV2YSwg
R2VuZXZhLCBTd2l0emVybGFuZC4gQS4gQmFyb2ZmaW8gaXMgcHJvZmVzc29yIG9mIG1lZGljYWwg
ZWR1Y2F0aW9uLCBVbml0IG9mIERldmVsb3BtZW50IGFuZCBSZXNlYXJjaCBpbiBNZWRpY2FsIEVk
dWNhdGlvbiwgRmFjdWx0eSBvZiBNZWRpY2luZSwgVW5pdmVyc2l0eSBvZiBHZW5ldmEsIEdlbmV2
YSwgU3dpdHplcmxhbmQuIE4uIEp1bm9kIFBlcnJvbiBpcyBwcmltYXJ5IGNhcmUgcGh5c2ljaWFu
IGFuZCBzZW5pb3IgbGVjdHVyZXIsIERpdmlzaW9uIG9mIFByaW1hcnkgQ2FyZSBNZWRpY2luZSwg
R2VuZXZhIFVuaXZlcnNpdHkgSG9zcGl0YWxzLCBhbmQgVW5pdCBvZiBEZXZlbG9wbWVudCBhbmQg
UmVzZWFyY2ggaW4gTWVkaWNhbCBFZHVjYXRpb24sIEZhY3VsdHkgb2YgTWVkaWNpbmUsIFVuaXZl
cnNpdHkgb2YgR2VuZXZhLCBHZW5ldmEsIFN3aXR6ZXJsYW5kLiBELk0uIEhhbGxlciBpcyBwcmlt
YXJ5IGNhcmUgcGh5c2ljaWFuIGFuZCBzZW5pb3IgbGVjdHVyZXIsIFByaW1hcnkgQ2FyZSBVbml0
LCBGYWN1bHR5IG9mIE1lZGljaW5lLCBVbml2ZXJzaXR5IG9mIEdlbmV2YSwgR2VuZXZhLCBTd2l0
emVybGFuZCwgYW5kIGNsaW5pY2FsIGFzc29jaWF0ZSBwcm9mZXNzb3IsIERlcGFydG1lbnQgb2Yg
R2VuZXJhbCBQcmFjdGljZSwgVW5pdmVyc2l0eSBvZiBNZWxib3VybmUsIE1lbGJvdXJuZSwgQXVz
dHJhbGlhLjwvYXV0aC1hZGRyZXNzPjx0aXRsZXM+PHRpdGxlPkFuIEV4cGFuZGVkIENvbmNlcHR1
YWwgRnJhbWV3b3JrIG9mIE1lZGljYWwgU3R1ZGVudHMmYXBvczsgUHJpbWFyeSBDYXJlIENhcmVl
ciBDaG9pY2U8L3RpdGxlPjxzZWNvbmRhcnktdGl0bGU+QWNhZGVtaWMgTWVkaWNpbmU8L3NlY29u
ZGFyeS10aXRsZT48YWx0LXRpdGxlPkFjYWQgTWVkPC9hbHQtdGl0bGU+PC90aXRsZXM+PHBlcmlv
ZGljYWw+PGZ1bGwtdGl0bGU+QWNhZGVtaWMgTWVkaWNpbmU8L2Z1bGwtdGl0bGU+PGFiYnItMT5B
Y2FkIE1lZDwvYWJici0xPjwvcGVyaW9kaWNhbD48YWx0LXBlcmlvZGljYWw+PGZ1bGwtdGl0bGU+
QWNhZGVtaWMgTWVkaWNpbmU8L2Z1bGwtdGl0bGU+PGFiYnItMT5BY2FkIE1lZDwvYWJici0xPjwv
YWx0LXBlcmlvZGljYWw+PHBhZ2VzPjE1MzYtMTU0MjwvcGFnZXM+PHZvbHVtZT45Mjwvdm9sdW1l
PjxudW1iZXI+MTE8L251bWJlcj48a2V5d29yZHM+PGtleXdvcmQ+KkNhcmVlciBDaG9pY2U8L2tl
eXdvcmQ+PGtleXdvcmQ+RGVjaXNpb24gTWFraW5nPC9rZXl3b3JkPjxrZXl3b3JkPkVkdWNhdGlv
biwgTWVkaWNhbCwgVW5kZXJncmFkdWF0ZTwva2V5d29yZD48a2V5d29yZD5IdW1hbnM8L2tleXdv
cmQ+PGtleXdvcmQ+UGh5c2ljaWFucywgUHJpbWFyeSBDYXJlL3NkIFtTdXBwbHkgJmFtcDsgRGlz
dHJpYnV0aW9uXTwva2V5d29yZD48a2V5d29yZD4qUHJpbWFyeSBIZWFsdGggQ2FyZTwva2V5d29y
ZD48a2V5d29yZD4qU3R1ZGVudHMsIE1lZGljYWw8L2tleXdvcmQ+PC9rZXl3b3Jkcz48ZGF0ZXM+
PHllYXI+MjAxNzwveWVhcj48cHViLWRhdGVzPjxkYXRlPjExPC9kYXRlPjwvcHViLWRhdGVzPjwv
ZGF0ZXM+PGlzYm4+MTkzOC04MDhYPC9pc2JuPjxhY2Nlc3Npb24tbnVtPjI4Mzc5OTMxPC9hY2Nl
c3Npb24tbnVtPjx3b3JrLXR5cGU+UmVzZWFyY2ggU3VwcG9ydCwgTm9uLVUuUy4gR292JmFwb3M7
dDwvd29yay10eXBlPjx1cmxzPjxyZWxhdGVkLXVybHM+PHVybD5odHRwczovL292aWRzcC5vdmlk
LmNvbS9vdmlkd2ViLmNnaT9UPUpTJmFtcDtDU0M9WSZhbXA7TkVXUz1OJmFtcDtQQUdFPWZ1bGx0
ZXh0JmFtcDtEPW1lZDE0JmFtcDtBTj0yODM3OTkzMTwvdXJsPjx1cmw+aHR0cDovL29wZW51cmwu
Ymlic3lzLm5vL29wZW51cmw/b3Rvb2w9aW5vaXBobGliP3NpZD1PVklEOm1lZGxpbmUmYW1wO2lk
PXBtaWQ6MjgzNzk5MzEmYW1wO2lkPWRvaToxMC4xMDk3JTJGQUNNLjAwMDAwMDAwMDAwMDE2NzYm
YW1wO2lzc249MTA0MC0yNDQ2JmFtcDtpc2JuPSZhbXA7dm9sdW1lPTkyJmFtcDtpc3N1ZT0xMSZh
bXA7c3BhZ2U9MTUzNiZhbXA7cGFnZXM9MTUzNi0xNTQyJmFtcDtkYXRlPTIwMTcmYW1wO3RpdGxl
PUFjYWRlbWljK01lZGljaW5lJmFtcDthdGl0bGU9QW4rRXhwYW5kZWQrQ29uY2VwdHVhbCtGcmFt
ZXdvcmsrb2YrTWVkaWNhbCtTdHVkZW50cyUyNytQcmltYXJ5K0NhcmUrQ2FyZWVyK0Nob2ljZS4m
YW1wO2F1bGFzdD1QZmFycndhbGxlciZhbXA7cGlkPSUzQ2F1dGhvciUzRVBmYXJyd2FsbGVyK0Ul
M0MlMkZhdXRob3IlM0UlM0NBTiUzRTI4Mzc5OTMxJTNDJTJGQU4lM0UlM0NEVCUzRUpvdXJuYWwr
QXJ0aWNsZSUzQyUyRkRUJTNFPC91cmw+PC9yZWxhdGVkLXVybHM+PC91cmxzPjxyZW1vdGUtZGF0
YWJhc2UtbmFtZT5NRURMSU5FPC9yZW1vdGUtZGF0YWJhc2UtbmFtZT48cmVtb3RlLWRhdGFiYXNl
LXByb3ZpZGVyPk92aWQgVGVjaG5vbG9naWVzPC9yZW1vdGUtZGF0YWJhc2UtcHJvdmlkZXI+PGxh
bmd1YWdlPkVuZ2xpc2g8L2xhbmd1YWdlPjwvcmVjb3JkPjwvQ2l0ZT48Q2l0ZT48QXV0aG9yPkdy
b25zZXRoPC9BdXRob3I+PFllYXI+MjAyMDwvWWVhcj48UmVjTnVtPjg5MDwvUmVjTnVtPjxyZWNv
cmQ+PHJlYy1udW1iZXI+ODkwPC9yZWMtbnVtYmVyPjxmb3JlaWduLWtleXM+PGtleSBhcHA9IkVO
IiBkYi1pZD0iOTV0cHIydHA2cjl4d29lYTlyYjV3ZHN6NWRzNXhlZGR0ZWV3IiB0aW1lc3RhbXA9
IjE2ODAwNjk1MTEiPjg5MDwva2V5PjwvZm9yZWlnbi1rZXlzPjxyZWYtdHlwZSBuYW1lPSJKb3Vy
bmFsIEFydGljbGUiPjE3PC9yZWYtdHlwZT48Y29udHJpYnV0b3JzPjxhdXRob3JzPjxhdXRob3I+
R3JvbnNldGgsIEkuIE0uPC9hdXRob3I+PGF1dGhvcj5NYWx0ZXJ1ZCwgSy48L2F1dGhvcj48YXV0
aG9yPk5pbHNlbiwgUy48L2F1dGhvcj48L2F1dGhvcnM+PC9jb250cmlidXRvcnM+PGF1dGgtYWRk
cmVzcz5Hcm9uc2V0aCwgSW5nYSBNYXJ0aGUuIFJlc2VhcmNoIFVuaXQgZm9yIEdlbmVyYWwgUHJh
Y3RpY2UsIE5PUkNFIE5vcndlZ2lhbiBSZXNlYXJjaCBDZW50cmUsIEJlcmdlbiwgTm9yd2F5LiYj
eEQ7TWFsdGVydWQsIEtpcnN0aS4gUmVzZWFyY2ggVW5pdCBmb3IgR2VuZXJhbCBQcmFjdGljZSwg
Tk9SQ0UgTm9yd2VnaWFuIFJlc2VhcmNoIENlbnRyZSwgQmVyZ2VuLCBOb3J3YXkuJiN4RDtNYWx0
ZXJ1ZCwgS2lyc3RpLiBEZXBhcnRtZW50IG9mIEdsb2JhbCBQdWJsaWMgSGVhbHRoIGFuZCBQcmlt
YXJ5IENhcmUsIFVuaXZlcnNpdHkgb2YgQmVyZ2VuLCBCZXJnZW4sIE5vcndheS4mI3hEO01hbHRl
cnVkLCBLaXJzdGkuIFRoZSBSZXNlYXJjaCBVbml0IGFuZCBTZWN0aW9uIG9mIEdlbmVyYWwgUHJh
Y3RpY2UsIERlcGFydG1lbnQgb2YgUHVibGljIEhlYWx0aCwgVW5pdmVyc2l0eSBvZiBDb3Blbmhh
Z2VuLCBDb3BlbmhhZ2VuLCBEZW5tYXJrLiYjeEQ7Tmlsc2VuLCBTdGVpbi4gUmVzZWFyY2ggVW5p
dCBmb3IgR2VuZXJhbCBQcmFjdGljZSwgTk9SQ0UgTm9yd2VnaWFuIFJlc2VhcmNoIENlbnRyZSwg
QmVyZ2VuLCBOb3J3YXkuPC9hdXRoLWFkZHJlc3M+PHRpdGxlcz48dGl0bGU+V2h5IGRvIGRvY3Rv
cnMgaW4gTm9yd2F5IGNob29zZSBnZW5lcmFsIHByYWN0aWNlIGFuZCByZW1haW4gdGhlcmU/IEEg
cXVhbGl0YXRpdmUgc3R1ZHkgYWJvdXQgbW90aXZhdGlvbmFsIGV4cGVyaWVuY2VzPC90aXRsZT48
c2Vjb25kYXJ5LXRpdGxlPlNjYW5kaW5hdmlhbiBKb3VybmFsIG9mIFByaW1hcnkgSGVhbHRoIENh
cmU8L3NlY29uZGFyeS10aXRsZT48YWx0LXRpdGxlPlNjYW5kIEogUHJpbSBIZWFsdGggQ2FyZTwv
YWx0LXRpdGxlPjwvdGl0bGVzPjxwZXJpb2RpY2FsPjxmdWxsLXRpdGxlPlNjYW5kaW5hdmlhbiBK
b3VybmFsIG9mIFByaW1hcnkgSGVhbHRoIENhcmU8L2Z1bGwtdGl0bGU+PGFiYnItMT5TY2FuZCBK
IFByaW0gSGVhbHRoIENhcmU8L2FiYnItMT48L3BlcmlvZGljYWw+PGFsdC1wZXJpb2RpY2FsPjxm
dWxsLXRpdGxlPlNjYW5kIEogUHJpbSBIZWFsdGggQ2FyZTwvZnVsbC10aXRsZT48L2FsdC1wZXJp
b2RpY2FsPjxwYWdlcz4xODQtMTkxPC9wYWdlcz48dm9sdW1lPjM4PC92b2x1bWU+PG51bWJlcj4y
PC9udW1iZXI+PGtleXdvcmRzPjxrZXl3b3JkPkFkdWx0PC9rZXl3b3JkPjxrZXl3b3JkPkFnZWQ8
L2tleXdvcmQ+PGtleXdvcmQ+KkF0dGl0dWRlIG9mIEhlYWx0aCBQZXJzb25uZWw8L2tleXdvcmQ+
PGtleXdvcmQ+KkNhcmVlciBDaG9pY2U8L2tleXdvcmQ+PGtleXdvcmQ+RmVtYWxlPC9rZXl3b3Jk
PjxrZXl3b3JkPkZvY3VzIEdyb3Vwczwva2V5d29yZD48a2V5d29yZD4qR2VuZXJhbCBQcmFjdGlj
ZTwva2V5d29yZD48a2V5d29yZD4qR2VuZXJhbCBQcmFjdGl0aW9uZXJzPC9rZXl3b3JkPjxrZXl3
b3JkPkh1bWFuczwva2V5d29yZD48a2V5d29yZD5Kb2IgU2F0aXNmYWN0aW9uPC9rZXl3b3JkPjxr
ZXl3b3JkPk1hbGU8L2tleXdvcmQ+PGtleXdvcmQ+TWlkZGxlIEFnZWQ8L2tleXdvcmQ+PGtleXdv
cmQ+TW90aXZhdGlvbjwva2V5d29yZD48a2V5d29yZD5Ob3J3YXk8L2tleXdvcmQ+PGtleXdvcmQ+
UXVhbGl0YXRpdmUgUmVzZWFyY2g8L2tleXdvcmQ+PC9rZXl3b3Jkcz48ZGF0ZXM+PHllYXI+MjAy
MDwveWVhcj48cHViLWRhdGVzPjxkYXRlPkp1bjwvZGF0ZT48L3B1Yi1kYXRlcz48L2RhdGVzPjxp
c2JuPjE1MDItNzcyNDwvaXNibj48YWNjZXNzaW9uLW51bT4zMjM5Njc4MTwvYWNjZXNzaW9uLW51
bT48dXJscz48cmVsYXRlZC11cmxzPjx1cmw+aHR0cHM6Ly9vdmlkc3Aub3ZpZC5jb20vb3ZpZHdl
Yi5jZ2k/VD1KUyZhbXA7Q1NDPVkmYW1wO05FV1M9TiZhbXA7UEFHRT1mdWxsdGV4dCZhbXA7RD1t
ZWQxNyZhbXA7QU49MzIzOTY3ODE8L3VybD48dXJsPmh0dHA6Ly9vcGVudXJsLmJpYnN5cy5uby9v
cGVudXJsP290b29sPWlub2lwaGxpYj9zaWQ9T1ZJRDptZWRsaW5lJmFtcDtpZD1wbWlkOjMyMzk2
NzgxJmFtcDtpZD1kb2k6MTAuMTA4MCUyRjAyODEzNDMyLjIwMjAuMTc1MzM0OCZhbXA7aXNzbj0w
MjgxLTM0MzImYW1wO2lzYm49JmFtcDt2b2x1bWU9MzgmYW1wO2lzc3VlPTImYW1wO3NwYWdlPTE4
NCZhbXA7cGFnZXM9MTg0LTE5MSZhbXA7ZGF0ZT0yMDIwJmFtcDt0aXRsZT1TY2FuZGluYXZpYW4r
Sm91cm5hbCtvZitQcmltYXJ5K0hlYWx0aCtDYXJlJmFtcDthdGl0bGU9V2h5K2RvK2RvY3RvcnMr
aW4rTm9yd2F5K2Nob29zZStnZW5lcmFsK3ByYWN0aWNlK2FuZCtyZW1haW4rdGhlcmUlM0YrQStx
dWFsaXRhdGl2ZStzdHVkeSthYm91dCttb3RpdmF0aW9uYWwrZXhwZXJpZW5jZXMuJmFtcDthdWxh
c3Q9R3JvbnNldGgmYW1wO3BpZD0lM0NhdXRob3IlM0VHcm9uc2V0aCtJTSUzQyUyRmF1dGhvciUz
RSUzQ0FOJTNFMzIzOTY3ODElM0MlMkZBTiUzRSUzQ0RUJTNFSm91cm5hbCtBcnRpY2xlJTNDJTJG
RFQlM0U8L3VybD48L3JlbGF0ZWQtdXJscz48L3VybHM+PHJlbW90ZS1kYXRhYmFzZS1uYW1lPk1F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4654FD">
        <w:instrText xml:space="preserve"> ADDIN EN.CITE </w:instrText>
      </w:r>
      <w:r w:rsidR="004654FD">
        <w:fldChar w:fldCharType="begin">
          <w:fldData xml:space="preserve">PEVuZE5vdGU+PENpdGU+PEF1dGhvcj5QZmFycndhbGxlcjwvQXV0aG9yPjxZZWFyPjIwMTc8L1ll
YXI+PFJlY051bT4yMjU8L1JlY051bT48RGlzcGxheVRleHQ+KEdyb25zZXRoIGV0IGFsLiwgMjAy
MDsgUGZhcnJ3YWxsZXIgZXQgYWwuLCAyMDE3KTwvRGlzcGxheVRleHQ+PHJlY29yZD48cmVjLW51
bWJlcj4yMjU8L3JlYy1udW1iZXI+PGZvcmVpZ24ta2V5cz48a2V5IGFwcD0iRU4iIGRiLWlkPSI5
NXRwcjJ0cDZyOXh3b2VhOXJiNXdkc3o1ZHM1eGVkZHRlZXciIHRpbWVzdGFtcD0iMTY4MDA2OTUx
MSI+MjI1PC9rZXk+PC9mb3JlaWduLWtleXM+PHJlZi10eXBlIG5hbWU9IkpvdXJuYWwgQXJ0aWNs
ZSI+MTc8L3JlZi10eXBlPjxjb250cmlidXRvcnM+PGF1dGhvcnM+PGF1dGhvcj5QZmFycndhbGxl
ciwgRS48L2F1dGhvcj48YXV0aG9yPkF1ZGV0YXQsIE0uIEMuPC9hdXRob3I+PGF1dGhvcj5Tb21t
ZXIsIEouPC9hdXRob3I+PGF1dGhvcj5NYWlzb25uZXV2ZSwgSC48L2F1dGhvcj48YXV0aG9yPkJp
c2Nob2ZmLCBULjwvYXV0aG9yPjxhdXRob3I+SGFsbGVyLCBELiBNLjwvYXV0aG9yPjwvYXV0aG9y
cz48L2NvbnRyaWJ1dG9ycz48YXV0aC1hZGRyZXNzPlBmYXJyd2FsbGVyLCBFdmEuIEUuIFBmYXJy
d2FsbGVyIGlzIGxlY3R1cmVyLCBQcmltYXJ5IENhcmUgVW5pdCwgRmFjdWx0eSBvZiBNZWRpY2lu
ZSwgVW5pdmVyc2l0eSBvZiBHZW5ldmEsIEdlbmV2YSwgU3dpdHplcmxhbmQuIE0uLUMuIEF1ZGV0
YXQgaXMgc2VuaW9yIGxlY3R1cmVyLCBQcmltYXJ5IENhcmUgVW5pdCBhbmQgVW5pdCBvZiBEZXZl
bG9wbWVudCBhbmQgUmVzZWFyY2ggaW4gTWVkaWNhbCBFZHVjYXRpb24sIEZhY3VsdHkgb2YgTWVk
aWNpbmUsIFVuaXZlcnNpdHkgb2YgR2VuZXZhLCBHZW5ldmEsIFN3aXR6ZXJsYW5kLiBKLiBTb21t
ZXIgaXMgcHJvZmVzc29yIG9mIHByaW1hcnkgY2FyZSBtZWRpY2luZSBhbmQgaGVhZCwgUHJpbWFy
eSBDYXJlIFVuaXQsIEZhY3VsdHkgb2YgTWVkaWNpbmUsIFVuaXZlcnNpdHkgb2YgR2VuZXZhLCBH
ZW5ldmEsIFN3aXR6ZXJsYW5kLiBILiBNYWlzb25uZXV2ZSBpcyBwcmltYXJ5IGNhcmUgcGh5c2lj
aWFuIGFuZCBzZW5pb3IgbGVjdHVyZXIsIFByaW1hcnkgQ2FyZSBVbml0LCBGYWN1bHR5IG9mIE1l
ZGljaW5lLCBVbml2ZXJzaXR5IG9mIEdlbmV2YSwgR2VuZXZhLCBTd2l0emVybGFuZC4gVC4gQmlz
Y2hvZmYgaXMgcHJvZmVzc29yIG9mIHByaW1hcnkgY2FyZSBtZWRpY2luZSBhbmQgZm9ybWVyIGhl
YWQsIEluc3RpdHV0ZSBvZiBHZW5lcmFsIFByYWN0aWNlLCBVbml2ZXJzaXR5IG9mIExhdXNhbm5l
LCBMYXVzYW5uZSwgU3dpdHplcmxhbmQuIE0uIE5lbmRheiBpcyBwcm9mZXNzb3Igb2YgaW50ZXJu
YWwgbWVkaWNpbmUgYW5kIG1lZGljYWwgZWR1Y2F0aW9uLCBVbml0IG9mIERldmVsb3BtZW50IGFu
ZCBSZXNlYXJjaCBpbiBNZWRpY2FsIEVkdWNhdGlvbiBhbmQgR2VuZXJhbCBJbnRlcm5hbCBNZWRp
Y2luZSBTZXJ2aWNlLCBGYWN1bHR5IG9mIE1lZGljaW5lLCBVbml2ZXJzaXR5IG9mIEdlbmV2YSwg
R2VuZXZhLCBTd2l0emVybGFuZC4gQS4gQmFyb2ZmaW8gaXMgcHJvZmVzc29yIG9mIG1lZGljYWwg
ZWR1Y2F0aW9uLCBVbml0IG9mIERldmVsb3BtZW50IGFuZCBSZXNlYXJjaCBpbiBNZWRpY2FsIEVk
dWNhdGlvbiwgRmFjdWx0eSBvZiBNZWRpY2luZSwgVW5pdmVyc2l0eSBvZiBHZW5ldmEsIEdlbmV2
YSwgU3dpdHplcmxhbmQuIE4uIEp1bm9kIFBlcnJvbiBpcyBwcmltYXJ5IGNhcmUgcGh5c2ljaWFu
IGFuZCBzZW5pb3IgbGVjdHVyZXIsIERpdmlzaW9uIG9mIFByaW1hcnkgQ2FyZSBNZWRpY2luZSwg
R2VuZXZhIFVuaXZlcnNpdHkgSG9zcGl0YWxzLCBhbmQgVW5pdCBvZiBEZXZlbG9wbWVudCBhbmQg
UmVzZWFyY2ggaW4gTWVkaWNhbCBFZHVjYXRpb24sIEZhY3VsdHkgb2YgTWVkaWNpbmUsIFVuaXZl
cnNpdHkgb2YgR2VuZXZhLCBHZW5ldmEsIFN3aXR6ZXJsYW5kLiBELk0uIEhhbGxlciBpcyBwcmlt
YXJ5IGNhcmUgcGh5c2ljaWFuIGFuZCBzZW5pb3IgbGVjdHVyZXIsIFByaW1hcnkgQ2FyZSBVbml0
LCBGYWN1bHR5IG9mIE1lZGljaW5lLCBVbml2ZXJzaXR5IG9mIEdlbmV2YSwgR2VuZXZhLCBTd2l0
emVybGFuZCwgYW5kIGNsaW5pY2FsIGFzc29jaWF0ZSBwcm9mZXNzb3IsIERlcGFydG1lbnQgb2Yg
R2VuZXJhbCBQcmFjdGljZSwgVW5pdmVyc2l0eSBvZiBNZWxib3VybmUsIE1lbGJvdXJuZSwgQXVz
dHJhbGlhLjwvYXV0aC1hZGRyZXNzPjx0aXRsZXM+PHRpdGxlPkFuIEV4cGFuZGVkIENvbmNlcHR1
YWwgRnJhbWV3b3JrIG9mIE1lZGljYWwgU3R1ZGVudHMmYXBvczsgUHJpbWFyeSBDYXJlIENhcmVl
ciBDaG9pY2U8L3RpdGxlPjxzZWNvbmRhcnktdGl0bGU+QWNhZGVtaWMgTWVkaWNpbmU8L3NlY29u
ZGFyeS10aXRsZT48YWx0LXRpdGxlPkFjYWQgTWVkPC9hbHQtdGl0bGU+PC90aXRsZXM+PHBlcmlv
ZGljYWw+PGZ1bGwtdGl0bGU+QWNhZGVtaWMgTWVkaWNpbmU8L2Z1bGwtdGl0bGU+PGFiYnItMT5B
Y2FkIE1lZDwvYWJici0xPjwvcGVyaW9kaWNhbD48YWx0LXBlcmlvZGljYWw+PGZ1bGwtdGl0bGU+
QWNhZGVtaWMgTWVkaWNpbmU8L2Z1bGwtdGl0bGU+PGFiYnItMT5BY2FkIE1lZDwvYWJici0xPjwv
YWx0LXBlcmlvZGljYWw+PHBhZ2VzPjE1MzYtMTU0MjwvcGFnZXM+PHZvbHVtZT45Mjwvdm9sdW1l
PjxudW1iZXI+MTE8L251bWJlcj48a2V5d29yZHM+PGtleXdvcmQ+KkNhcmVlciBDaG9pY2U8L2tl
eXdvcmQ+PGtleXdvcmQ+RGVjaXNpb24gTWFraW5nPC9rZXl3b3JkPjxrZXl3b3JkPkVkdWNhdGlv
biwgTWVkaWNhbCwgVW5kZXJncmFkdWF0ZTwva2V5d29yZD48a2V5d29yZD5IdW1hbnM8L2tleXdv
cmQ+PGtleXdvcmQ+UGh5c2ljaWFucywgUHJpbWFyeSBDYXJlL3NkIFtTdXBwbHkgJmFtcDsgRGlz
dHJpYnV0aW9uXTwva2V5d29yZD48a2V5d29yZD4qUHJpbWFyeSBIZWFsdGggQ2FyZTwva2V5d29y
ZD48a2V5d29yZD4qU3R1ZGVudHMsIE1lZGljYWw8L2tleXdvcmQ+PC9rZXl3b3Jkcz48ZGF0ZXM+
PHllYXI+MjAxNzwveWVhcj48cHViLWRhdGVzPjxkYXRlPjExPC9kYXRlPjwvcHViLWRhdGVzPjwv
ZGF0ZXM+PGlzYm4+MTkzOC04MDhYPC9pc2JuPjxhY2Nlc3Npb24tbnVtPjI4Mzc5OTMxPC9hY2Nl
c3Npb24tbnVtPjx3b3JrLXR5cGU+UmVzZWFyY2ggU3VwcG9ydCwgTm9uLVUuUy4gR292JmFwb3M7
dDwvd29yay10eXBlPjx1cmxzPjxyZWxhdGVkLXVybHM+PHVybD5odHRwczovL292aWRzcC5vdmlk
LmNvbS9vdmlkd2ViLmNnaT9UPUpTJmFtcDtDU0M9WSZhbXA7TkVXUz1OJmFtcDtQQUdFPWZ1bGx0
ZXh0JmFtcDtEPW1lZDE0JmFtcDtBTj0yODM3OTkzMTwvdXJsPjx1cmw+aHR0cDovL29wZW51cmwu
Ymlic3lzLm5vL29wZW51cmw/b3Rvb2w9aW5vaXBobGliP3NpZD1PVklEOm1lZGxpbmUmYW1wO2lk
PXBtaWQ6MjgzNzk5MzEmYW1wO2lkPWRvaToxMC4xMDk3JTJGQUNNLjAwMDAwMDAwMDAwMDE2NzYm
YW1wO2lzc249MTA0MC0yNDQ2JmFtcDtpc2JuPSZhbXA7dm9sdW1lPTkyJmFtcDtpc3N1ZT0xMSZh
bXA7c3BhZ2U9MTUzNiZhbXA7cGFnZXM9MTUzNi0xNTQyJmFtcDtkYXRlPTIwMTcmYW1wO3RpdGxl
PUFjYWRlbWljK01lZGljaW5lJmFtcDthdGl0bGU9QW4rRXhwYW5kZWQrQ29uY2VwdHVhbCtGcmFt
ZXdvcmsrb2YrTWVkaWNhbCtTdHVkZW50cyUyNytQcmltYXJ5K0NhcmUrQ2FyZWVyK0Nob2ljZS4m
YW1wO2F1bGFzdD1QZmFycndhbGxlciZhbXA7cGlkPSUzQ2F1dGhvciUzRVBmYXJyd2FsbGVyK0Ul
M0MlMkZhdXRob3IlM0UlM0NBTiUzRTI4Mzc5OTMxJTNDJTJGQU4lM0UlM0NEVCUzRUpvdXJuYWwr
QXJ0aWNsZSUzQyUyRkRUJTNFPC91cmw+PC9yZWxhdGVkLXVybHM+PC91cmxzPjxyZW1vdGUtZGF0
YWJhc2UtbmFtZT5NRURMSU5FPC9yZW1vdGUtZGF0YWJhc2UtbmFtZT48cmVtb3RlLWRhdGFiYXNl
LXByb3ZpZGVyPk92aWQgVGVjaG5vbG9naWVzPC9yZW1vdGUtZGF0YWJhc2UtcHJvdmlkZXI+PGxh
bmd1YWdlPkVuZ2xpc2g8L2xhbmd1YWdlPjwvcmVjb3JkPjwvQ2l0ZT48Q2l0ZT48QXV0aG9yPkdy
b25zZXRoPC9BdXRob3I+PFllYXI+MjAyMDwvWWVhcj48UmVjTnVtPjg5MDwvUmVjTnVtPjxyZWNv
cmQ+PHJlYy1udW1iZXI+ODkwPC9yZWMtbnVtYmVyPjxmb3JlaWduLWtleXM+PGtleSBhcHA9IkVO
IiBkYi1pZD0iOTV0cHIydHA2cjl4d29lYTlyYjV3ZHN6NWRzNXhlZGR0ZWV3IiB0aW1lc3RhbXA9
IjE2ODAwNjk1MTEiPjg5MDwva2V5PjwvZm9yZWlnbi1rZXlzPjxyZWYtdHlwZSBuYW1lPSJKb3Vy
bmFsIEFydGljbGUiPjE3PC9yZWYtdHlwZT48Y29udHJpYnV0b3JzPjxhdXRob3JzPjxhdXRob3I+
R3JvbnNldGgsIEkuIE0uPC9hdXRob3I+PGF1dGhvcj5NYWx0ZXJ1ZCwgSy48L2F1dGhvcj48YXV0
aG9yPk5pbHNlbiwgUy48L2F1dGhvcj48L2F1dGhvcnM+PC9jb250cmlidXRvcnM+PGF1dGgtYWRk
cmVzcz5Hcm9uc2V0aCwgSW5nYSBNYXJ0aGUuIFJlc2VhcmNoIFVuaXQgZm9yIEdlbmVyYWwgUHJh
Y3RpY2UsIE5PUkNFIE5vcndlZ2lhbiBSZXNlYXJjaCBDZW50cmUsIEJlcmdlbiwgTm9yd2F5LiYj
eEQ7TWFsdGVydWQsIEtpcnN0aS4gUmVzZWFyY2ggVW5pdCBmb3IgR2VuZXJhbCBQcmFjdGljZSwg
Tk9SQ0UgTm9yd2VnaWFuIFJlc2VhcmNoIENlbnRyZSwgQmVyZ2VuLCBOb3J3YXkuJiN4RDtNYWx0
ZXJ1ZCwgS2lyc3RpLiBEZXBhcnRtZW50IG9mIEdsb2JhbCBQdWJsaWMgSGVhbHRoIGFuZCBQcmlt
YXJ5IENhcmUsIFVuaXZlcnNpdHkgb2YgQmVyZ2VuLCBCZXJnZW4sIE5vcndheS4mI3hEO01hbHRl
cnVkLCBLaXJzdGkuIFRoZSBSZXNlYXJjaCBVbml0IGFuZCBTZWN0aW9uIG9mIEdlbmVyYWwgUHJh
Y3RpY2UsIERlcGFydG1lbnQgb2YgUHVibGljIEhlYWx0aCwgVW5pdmVyc2l0eSBvZiBDb3Blbmhh
Z2VuLCBDb3BlbmhhZ2VuLCBEZW5tYXJrLiYjeEQ7Tmlsc2VuLCBTdGVpbi4gUmVzZWFyY2ggVW5p
dCBmb3IgR2VuZXJhbCBQcmFjdGljZSwgTk9SQ0UgTm9yd2VnaWFuIFJlc2VhcmNoIENlbnRyZSwg
QmVyZ2VuLCBOb3J3YXkuPC9hdXRoLWFkZHJlc3M+PHRpdGxlcz48dGl0bGU+V2h5IGRvIGRvY3Rv
cnMgaW4gTm9yd2F5IGNob29zZSBnZW5lcmFsIHByYWN0aWNlIGFuZCByZW1haW4gdGhlcmU/IEEg
cXVhbGl0YXRpdmUgc3R1ZHkgYWJvdXQgbW90aXZhdGlvbmFsIGV4cGVyaWVuY2VzPC90aXRsZT48
c2Vjb25kYXJ5LXRpdGxlPlNjYW5kaW5hdmlhbiBKb3VybmFsIG9mIFByaW1hcnkgSGVhbHRoIENh
cmU8L3NlY29uZGFyeS10aXRsZT48YWx0LXRpdGxlPlNjYW5kIEogUHJpbSBIZWFsdGggQ2FyZTwv
YWx0LXRpdGxlPjwvdGl0bGVzPjxwZXJpb2RpY2FsPjxmdWxsLXRpdGxlPlNjYW5kaW5hdmlhbiBK
b3VybmFsIG9mIFByaW1hcnkgSGVhbHRoIENhcmU8L2Z1bGwtdGl0bGU+PGFiYnItMT5TY2FuZCBK
IFByaW0gSGVhbHRoIENhcmU8L2FiYnItMT48L3BlcmlvZGljYWw+PGFsdC1wZXJpb2RpY2FsPjxm
dWxsLXRpdGxlPlNjYW5kIEogUHJpbSBIZWFsdGggQ2FyZTwvZnVsbC10aXRsZT48L2FsdC1wZXJp
b2RpY2FsPjxwYWdlcz4xODQtMTkxPC9wYWdlcz48dm9sdW1lPjM4PC92b2x1bWU+PG51bWJlcj4y
PC9udW1iZXI+PGtleXdvcmRzPjxrZXl3b3JkPkFkdWx0PC9rZXl3b3JkPjxrZXl3b3JkPkFnZWQ8
L2tleXdvcmQ+PGtleXdvcmQ+KkF0dGl0dWRlIG9mIEhlYWx0aCBQZXJzb25uZWw8L2tleXdvcmQ+
PGtleXdvcmQ+KkNhcmVlciBDaG9pY2U8L2tleXdvcmQ+PGtleXdvcmQ+RmVtYWxlPC9rZXl3b3Jk
PjxrZXl3b3JkPkZvY3VzIEdyb3Vwczwva2V5d29yZD48a2V5d29yZD4qR2VuZXJhbCBQcmFjdGlj
ZTwva2V5d29yZD48a2V5d29yZD4qR2VuZXJhbCBQcmFjdGl0aW9uZXJzPC9rZXl3b3JkPjxrZXl3
b3JkPkh1bWFuczwva2V5d29yZD48a2V5d29yZD5Kb2IgU2F0aXNmYWN0aW9uPC9rZXl3b3JkPjxr
ZXl3b3JkPk1hbGU8L2tleXdvcmQ+PGtleXdvcmQ+TWlkZGxlIEFnZWQ8L2tleXdvcmQ+PGtleXdv
cmQ+TW90aXZhdGlvbjwva2V5d29yZD48a2V5d29yZD5Ob3J3YXk8L2tleXdvcmQ+PGtleXdvcmQ+
UXVhbGl0YXRpdmUgUmVzZWFyY2g8L2tleXdvcmQ+PC9rZXl3b3Jkcz48ZGF0ZXM+PHllYXI+MjAy
MDwveWVhcj48cHViLWRhdGVzPjxkYXRlPkp1bjwvZGF0ZT48L3B1Yi1kYXRlcz48L2RhdGVzPjxp
c2JuPjE1MDItNzcyNDwvaXNibj48YWNjZXNzaW9uLW51bT4zMjM5Njc4MTwvYWNjZXNzaW9uLW51
bT48dXJscz48cmVsYXRlZC11cmxzPjx1cmw+aHR0cHM6Ly9vdmlkc3Aub3ZpZC5jb20vb3ZpZHdl
Yi5jZ2k/VD1KUyZhbXA7Q1NDPVkmYW1wO05FV1M9TiZhbXA7UEFHRT1mdWxsdGV4dCZhbXA7RD1t
ZWQxNyZhbXA7QU49MzIzOTY3ODE8L3VybD48dXJsPmh0dHA6Ly9vcGVudXJsLmJpYnN5cy5uby9v
cGVudXJsP290b29sPWlub2lwaGxpYj9zaWQ9T1ZJRDptZWRsaW5lJmFtcDtpZD1wbWlkOjMyMzk2
NzgxJmFtcDtpZD1kb2k6MTAuMTA4MCUyRjAyODEzNDMyLjIwMjAuMTc1MzM0OCZhbXA7aXNzbj0w
MjgxLTM0MzImYW1wO2lzYm49JmFtcDt2b2x1bWU9MzgmYW1wO2lzc3VlPTImYW1wO3NwYWdlPTE4
NCZhbXA7cGFnZXM9MTg0LTE5MSZhbXA7ZGF0ZT0yMDIwJmFtcDt0aXRsZT1TY2FuZGluYXZpYW4r
Sm91cm5hbCtvZitQcmltYXJ5K0hlYWx0aCtDYXJlJmFtcDthdGl0bGU9V2h5K2RvK2RvY3RvcnMr
aW4rTm9yd2F5K2Nob29zZStnZW5lcmFsK3ByYWN0aWNlK2FuZCtyZW1haW4rdGhlcmUlM0YrQStx
dWFsaXRhdGl2ZStzdHVkeSthYm91dCttb3RpdmF0aW9uYWwrZXhwZXJpZW5jZXMuJmFtcDthdWxh
c3Q9R3JvbnNldGgmYW1wO3BpZD0lM0NhdXRob3IlM0VHcm9uc2V0aCtJTSUzQyUyRmF1dGhvciUz
RSUzQ0FOJTNFMzIzOTY3ODElM0MlMkZBTiUzRSUzQ0RUJTNFSm91cm5hbCtBcnRpY2xlJTNDJTJG
RFQlM0U8L3VybD48L3JlbGF0ZWQtdXJscz48L3VybHM+PHJlbW90ZS1kYXRhYmFzZS1uYW1lPk1F
RExJTkU8L3JlbW90ZS1kYXRhYmFzZS1uYW1lPjxyZW1vdGUtZGF0YWJhc2UtcHJvdmlkZXI+T3Zp
ZCBUZWNobm9sb2dpZXM8L3JlbW90ZS1kYXRhYmFzZS1wcm92aWRlcj48bGFuZ3VhZ2U+RW5nbGlz
aDwvbGFuZ3VhZ2U+PC9yZWNvcmQ+PC9DaXRlPjwvRW5kTm90ZT5=
</w:fldData>
        </w:fldChar>
      </w:r>
      <w:r w:rsidR="004654FD">
        <w:instrText xml:space="preserve"> ADDIN EN.CITE.DATA </w:instrText>
      </w:r>
      <w:r w:rsidR="004654FD">
        <w:fldChar w:fldCharType="end"/>
      </w:r>
      <w:r w:rsidR="00B60B70">
        <w:fldChar w:fldCharType="separate"/>
      </w:r>
      <w:r w:rsidR="004654FD">
        <w:rPr>
          <w:noProof/>
        </w:rPr>
        <w:t>(Gronseth et al., 2020; Pfarrwaller et al., 2017)</w:t>
      </w:r>
      <w:r w:rsidR="00B60B70">
        <w:fldChar w:fldCharType="end"/>
      </w:r>
      <w:r w:rsidR="4ABCAAC9" w:rsidRPr="374C9F70">
        <w:t xml:space="preserve">. </w:t>
      </w:r>
      <w:r w:rsidR="2637AE12">
        <w:t>F</w:t>
      </w:r>
      <w:r w:rsidR="4ABCAAC9" w:rsidRPr="374C9F70">
        <w:t>or å få til en godt integrert undervisning er det viktig med tilgang til erfarne klinikere, både som undervisere og som praksisveiledere</w:t>
      </w:r>
      <w:r w:rsidR="4ABCAAC9">
        <w:t xml:space="preserve">. </w:t>
      </w:r>
      <w:r w:rsidR="561D9864">
        <w:t xml:space="preserve">For å sikre klinisk relevans </w:t>
      </w:r>
      <w:r w:rsidR="26DAEF3F">
        <w:t>i studiet,</w:t>
      </w:r>
      <w:r w:rsidR="561D9864">
        <w:t xml:space="preserve"> </w:t>
      </w:r>
      <w:r w:rsidR="6FC87175">
        <w:t>bør noen</w:t>
      </w:r>
      <w:r w:rsidR="4D96C268">
        <w:t xml:space="preserve"> av de som underviser medisinstudenter ved universitetene ha stilling både ved universitetet og som fastleger. Dette er det lange tradisjoner for ved de medisinske fakultetene i Norge i alle medisinske spesialiteter. Dette fordrer at noen fastleger forsker og underviser, og opparbeider seg kompetanse til å inneha akademiske stillinger samtidig som de fortsatt er klinisk aktive som fastleger og spesialister i allmennmedisin.</w:t>
      </w:r>
    </w:p>
    <w:p w14:paraId="5AC1DA7F" w14:textId="043D7757" w:rsidR="00AA73CD" w:rsidRDefault="07609F93" w:rsidP="00CF32F3">
      <w:pPr>
        <w:jc w:val="both"/>
      </w:pPr>
      <w:r>
        <w:t>Gjennom Nasjonale retningslinjer for helse- og sosialfagutdanningene (RETHOS) er anbefalingen om praksis i primærhelsetjenesten i medisinutdanningen økt til minst 10 uker</w:t>
      </w:r>
      <w:r w:rsidR="00CF7336">
        <w:t xml:space="preserve"> </w:t>
      </w:r>
      <w:r w:rsidR="00CF7336">
        <w:fldChar w:fldCharType="begin"/>
      </w:r>
      <w:r w:rsidR="00D078E3">
        <w:instrText xml:space="preserve"> ADDIN EN.CITE &lt;EndNote&gt;&lt;Cite ExcludeAuth="1"&gt;&lt;Year&gt;2020&lt;/Year&gt;&lt;RecNum&gt;261&lt;/RecNum&gt;&lt;DisplayText&gt;(&lt;style face="italic"&gt;Forskrift om nasjonal retningslinje for medisinutdanning&lt;/style&gt;, 2020)&lt;/DisplayText&gt;&lt;record&gt;&lt;rec-number&gt;261&lt;/rec-number&gt;&lt;foreign-keys&gt;&lt;key app="EN" db-id="95tpr2tp6r9xwoea9rb5wdsz5ds5xeddteew" timestamp="1680069511"&gt;261&lt;/key&gt;&lt;/foreign-keys&gt;&lt;ref-type name="Legal Rule or Regulation"&gt;50&lt;/ref-type&gt;&lt;contributors&gt;&lt;/contributors&gt;&lt;titles&gt;&lt;title&gt;Forskrift om nasjonal retningslinje for medisinutdanning&lt;/title&gt;&lt;secondary-title&gt;FOR-2020-01-03-21&lt;/secondary-title&gt;&lt;/titles&gt;&lt;dates&gt;&lt;year&gt;2020&lt;/year&gt;&lt;/dates&gt;&lt;urls&gt;&lt;related-urls&gt;&lt;url&gt;https://lovdata.no/dokument/LTI/forskrift/2020-01-03-21&lt;/url&gt;&lt;/related-urls&gt;&lt;/urls&gt;&lt;/record&gt;&lt;/Cite&gt;&lt;/EndNote&gt;</w:instrText>
      </w:r>
      <w:r w:rsidR="00CF7336">
        <w:fldChar w:fldCharType="separate"/>
      </w:r>
      <w:r w:rsidR="00CF7336">
        <w:rPr>
          <w:noProof/>
        </w:rPr>
        <w:t>(</w:t>
      </w:r>
      <w:r w:rsidR="00CF7336" w:rsidRPr="00D9107F">
        <w:rPr>
          <w:rStyle w:val="kursiv"/>
        </w:rPr>
        <w:t>Forskrift om nasjonal retningslinje for medisinutdanning</w:t>
      </w:r>
      <w:r w:rsidR="00CF7336">
        <w:rPr>
          <w:noProof/>
        </w:rPr>
        <w:t>, 2020)</w:t>
      </w:r>
      <w:r w:rsidR="00CF7336">
        <w:fldChar w:fldCharType="end"/>
      </w:r>
      <w:r>
        <w:t>. Økt tid i allmennpraksis vil gi mer læring, kjennskap til faget og nærhet til selve tjenesteutøvelsen. Muligheter og utfordringene med en lengre primærmedisinsk praksis for medisinstudenter knytter seg til organisering, ressursbehov, kompetanse, kompensasjon, opplæringsordninger for veiledere, samt faglig innhold for praksis i primærhelsetjenesten. Parallelt med krav om økt tid i praksis, tas det opp flere studenter, som også øker behovet for flere praksisveiledere. Ekspertutvalget kjenner til, gjennom innspill fra flere av studieinstitusjonene, at det er vanskelig å rekruttere fastleger som praksisveiledere.</w:t>
      </w:r>
    </w:p>
    <w:p w14:paraId="14D5A0C8" w14:textId="77777777" w:rsidR="00D9107F" w:rsidRDefault="07609F93" w:rsidP="00CF32F3">
      <w:pPr>
        <w:jc w:val="both"/>
      </w:pPr>
      <w:r>
        <w:t xml:space="preserve">Dagens kompensasjonsordninger innebærer at praksisveiledning </w:t>
      </w:r>
      <w:r w:rsidR="7756425E">
        <w:t xml:space="preserve">ofte </w:t>
      </w:r>
      <w:r>
        <w:t>gir økonomisk tap for fastlegene. Det er i dagens avtaleverk ikke noe som forplikter verken fastleger eller kommuner til å legge til rette for praksisplasser på fastlegekontor</w:t>
      </w:r>
      <w:r w:rsidR="242AD442">
        <w:t xml:space="preserve">, </w:t>
      </w:r>
      <w:r>
        <w:t>eller i øvrige deler av den kommunale legetjenesten</w:t>
      </w:r>
      <w:r w:rsidR="2E7112D1">
        <w:t xml:space="preserve">. </w:t>
      </w:r>
      <w:r w:rsidR="002472E5">
        <w:t>Rammeavtalen mellom KS og Den norske legeforening</w:t>
      </w:r>
      <w:r w:rsidR="214B351F">
        <w:t xml:space="preserve"> </w:t>
      </w:r>
      <w:r w:rsidR="00A03384">
        <w:t>avskjærer</w:t>
      </w:r>
      <w:r w:rsidR="0EEBD024">
        <w:t xml:space="preserve"> </w:t>
      </w:r>
      <w:r w:rsidR="0E1B3EFD">
        <w:t xml:space="preserve">kommunen </w:t>
      </w:r>
      <w:r w:rsidR="0EEBD024">
        <w:t xml:space="preserve">fra å ha </w:t>
      </w:r>
      <w:r w:rsidR="52A917B7">
        <w:t>noen mening om fastlegen sk</w:t>
      </w:r>
      <w:r w:rsidR="7FD9AF66">
        <w:t>al ta inn medisinstudent i praksisen</w:t>
      </w:r>
      <w:r w:rsidR="5726A207">
        <w:t>, og h</w:t>
      </w:r>
      <w:r w:rsidR="1991907F">
        <w:t xml:space="preserve">vis så skjer gir det ikke </w:t>
      </w:r>
      <w:r w:rsidR="7CACFE53">
        <w:t xml:space="preserve">fastlegen </w:t>
      </w:r>
      <w:r w:rsidR="1991907F">
        <w:t xml:space="preserve">rett til reduksjon </w:t>
      </w:r>
      <w:r w:rsidR="12447364">
        <w:t>av andre oppgaver</w:t>
      </w:r>
      <w:r w:rsidR="5726A207">
        <w:t>.</w:t>
      </w:r>
      <w:r w:rsidR="00AA73CD" w:rsidRPr="00D9107F">
        <w:rPr>
          <w:rStyle w:val="Fotnotereferanse"/>
        </w:rPr>
        <w:footnoteReference w:id="62"/>
      </w:r>
    </w:p>
    <w:p w14:paraId="41DB2730" w14:textId="77777777" w:rsidR="00D9107F" w:rsidRDefault="07609F93" w:rsidP="00CF32F3">
      <w:pPr>
        <w:jc w:val="both"/>
      </w:pPr>
      <w:r>
        <w:t>For å ha tilstrekkelig antall leger til helsetjenestene, er Norge i dag avhengig av at mange ung</w:t>
      </w:r>
      <w:r w:rsidR="5A9A55E4">
        <w:t>e</w:t>
      </w:r>
      <w:r>
        <w:t xml:space="preserve"> velger å ta medisinutdanning i utlandet. Nesten halvparten av norske medisinstudenter utdannes i utlandet, hvorav de aller fleste i land som skiller seg betydelig fra Norge knyttet til den allmennmedisinske tjenesten</w:t>
      </w:r>
      <w:r w:rsidR="7BF96EA6">
        <w:t xml:space="preserve"> </w:t>
      </w:r>
      <w:r w:rsidR="001F5F05">
        <w:fldChar w:fldCharType="begin"/>
      </w:r>
      <w:r w:rsidR="004654FD">
        <w:instrText xml:space="preserve"> ADDIN EN.CITE &lt;EndNote&gt;&lt;Cite&gt;&lt;Author&gt;Kunnskapsdepartementet&lt;/Author&gt;&lt;Year&gt;2019&lt;/Year&gt;&lt;RecNum&gt;771&lt;/RecNum&gt;&lt;DisplayText&gt;(Kunnskapsdepartementet, 2019)&lt;/DisplayText&gt;&lt;record&gt;&lt;rec-number&gt;771&lt;/rec-number&gt;&lt;foreign-keys&gt;&lt;key app="EN" db-id="95tpr2tp6r9xwoea9rb5wdsz5ds5xeddteew" timestamp="1680069511"&gt;771&lt;/key&gt;&lt;/foreign-keys&gt;&lt;ref-type name="Report"&gt;27&lt;/ref-type&gt;&lt;contributors&gt;&lt;authors&gt;&lt;author&gt;Kunnskapsdepartementet&lt;/author&gt;&lt;/authors&gt;&lt;/contributors&gt;&lt;titles&gt;&lt;title&gt;Studieplasser i medisin i Norge: Behov, modeller og muligheter&lt;/title&gt;&lt;/titles&gt;&lt;dates&gt;&lt;year&gt;2019&lt;/year&gt;&lt;pub-dates&gt;&lt;date&gt;2019&lt;/date&gt;&lt;/pub-dates&gt;&lt;/dates&gt;&lt;publisher&gt;Kunnskapsdepartementet&lt;/publisher&gt;&lt;urls&gt;&lt;/urls&gt;&lt;/record&gt;&lt;/Cite&gt;&lt;/EndNote&gt;</w:instrText>
      </w:r>
      <w:r w:rsidR="001F5F05">
        <w:fldChar w:fldCharType="separate"/>
      </w:r>
      <w:r w:rsidR="001F5F05">
        <w:rPr>
          <w:noProof/>
        </w:rPr>
        <w:t>(Kunnskapsdepartementet, 2019)</w:t>
      </w:r>
      <w:r w:rsidR="001F5F05">
        <w:fldChar w:fldCharType="end"/>
      </w:r>
      <w:r>
        <w:t xml:space="preserve">. Disse studentene har ikke </w:t>
      </w:r>
      <w:r>
        <w:lastRenderedPageBreak/>
        <w:t xml:space="preserve">krav på allmennmedisinsk praksis i Norge i løpet av studietiden, og det stilles heller ikke krav til allmennmedisinsk kompetanse før LIS1. Unntaksbestemmelsen i kompetanseforskriften åpner for at disse legene kan jobbe med pasientrettet arbeid i kommunen i inntil </w:t>
      </w:r>
      <w:r w:rsidR="242AD442">
        <w:t>ett</w:t>
      </w:r>
      <w:r>
        <w:t xml:space="preserve"> år, </w:t>
      </w:r>
      <w:r w:rsidR="191E7C1A">
        <w:t xml:space="preserve">og uten tidsbegrensning i helprivate tjenester eller i spesialisthelsetjenesten, </w:t>
      </w:r>
      <w:r>
        <w:t>selv om de ikke har hatt noen praksis i allmennmedisin i grunnutdanningen. Det kan stilles spørsmål ved om det faglige utgangspunktet for disse legene er tilstrekkelig, og om situasjonen for øvrig knyttet til mestring, legger til rette for rekruttering.</w:t>
      </w:r>
    </w:p>
    <w:p w14:paraId="1337497A" w14:textId="77777777" w:rsidR="00D9107F" w:rsidRDefault="439CE0BB" w:rsidP="00775632">
      <w:pPr>
        <w:pStyle w:val="Overskrift3"/>
      </w:pPr>
      <w:bookmarkStart w:id="5263" w:name="_Toc120526267"/>
      <w:bookmarkStart w:id="5264" w:name="_Toc126834463"/>
      <w:bookmarkStart w:id="5265" w:name="_Toc127633348"/>
      <w:bookmarkStart w:id="5266" w:name="_Toc127864633"/>
      <w:bookmarkStart w:id="5267" w:name="_Toc128238650"/>
      <w:bookmarkStart w:id="5268" w:name="_Toc128742098"/>
      <w:bookmarkStart w:id="5269" w:name="_Toc128744726"/>
      <w:bookmarkStart w:id="5270" w:name="_Toc128744945"/>
      <w:bookmarkStart w:id="5271" w:name="_Toc129630450"/>
      <w:bookmarkStart w:id="5272" w:name="_Toc130763957"/>
      <w:bookmarkStart w:id="5273" w:name="_Toc130766852"/>
      <w:bookmarkStart w:id="5274" w:name="_Toc130932251"/>
      <w:bookmarkStart w:id="5275" w:name="_Toc130934542"/>
      <w:bookmarkStart w:id="5276" w:name="_Toc130983691"/>
      <w:bookmarkStart w:id="5277" w:name="_Toc130984040"/>
      <w:bookmarkStart w:id="5278" w:name="_Toc131062293"/>
      <w:bookmarkStart w:id="5279" w:name="_Toc131062547"/>
      <w:bookmarkStart w:id="5280" w:name="_Toc131062808"/>
      <w:bookmarkStart w:id="5281" w:name="_Toc131063061"/>
      <w:bookmarkStart w:id="5282" w:name="_Toc131063844"/>
      <w:bookmarkStart w:id="5283" w:name="_Toc131064255"/>
      <w:bookmarkStart w:id="5284" w:name="_Toc131279635"/>
      <w:bookmarkStart w:id="5285" w:name="_Toc131287047"/>
      <w:bookmarkStart w:id="5286" w:name="_Toc131281457"/>
      <w:bookmarkStart w:id="5287" w:name="_Toc131317997"/>
      <w:bookmarkStart w:id="5288" w:name="_Toc132537088"/>
      <w:r>
        <w:t>Det er for få LIS1-stillinger og tjenesten favoriserer sykehusene</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14:paraId="711234B4" w14:textId="77777777" w:rsidR="00D9107F" w:rsidRDefault="00AA73CD" w:rsidP="00CF32F3">
      <w:pPr>
        <w:jc w:val="both"/>
        <w:rPr>
          <w:rFonts w:ascii="Calibri" w:eastAsia="Calibri" w:hAnsi="Calibri" w:cs="Calibri"/>
        </w:rPr>
      </w:pPr>
      <w:r w:rsidRPr="0A7320B8">
        <w:rPr>
          <w:rFonts w:ascii="Calibri" w:eastAsia="Calibri" w:hAnsi="Calibri" w:cs="Calibri"/>
        </w:rPr>
        <w:t xml:space="preserve">Lange ventelister og høyt antall leger uten LIS1 er ikke en faktor som </w:t>
      </w:r>
      <w:r>
        <w:rPr>
          <w:rFonts w:ascii="Calibri" w:eastAsia="Calibri" w:hAnsi="Calibri" w:cs="Calibri"/>
        </w:rPr>
        <w:t xml:space="preserve">har vært tillagt vekt </w:t>
      </w:r>
      <w:r w:rsidRPr="0A7320B8">
        <w:rPr>
          <w:rFonts w:ascii="Calibri" w:eastAsia="Calibri" w:hAnsi="Calibri" w:cs="Calibri"/>
        </w:rPr>
        <w:t xml:space="preserve">ved vurdering av behovet for antall </w:t>
      </w:r>
      <w:r>
        <w:rPr>
          <w:rFonts w:ascii="Calibri" w:eastAsia="Calibri" w:hAnsi="Calibri" w:cs="Calibri"/>
        </w:rPr>
        <w:t>LIS1-</w:t>
      </w:r>
      <w:r w:rsidRPr="0A7320B8">
        <w:rPr>
          <w:rFonts w:ascii="Calibri" w:eastAsia="Calibri" w:hAnsi="Calibri" w:cs="Calibri"/>
        </w:rPr>
        <w:t>stillinger.</w:t>
      </w:r>
    </w:p>
    <w:p w14:paraId="6AA72977" w14:textId="77777777" w:rsidR="00D9107F" w:rsidRDefault="00FC4B24" w:rsidP="00CF32F3">
      <w:pPr>
        <w:jc w:val="both"/>
      </w:pPr>
      <w:r>
        <w:rPr>
          <w:rFonts w:ascii="Calibri" w:eastAsia="Calibri" w:hAnsi="Calibri" w:cs="Calibri"/>
        </w:rPr>
        <w:t xml:space="preserve">Mangel på </w:t>
      </w:r>
      <w:r w:rsidR="0017358A">
        <w:rPr>
          <w:rFonts w:ascii="Calibri" w:eastAsia="Calibri" w:hAnsi="Calibri" w:cs="Calibri"/>
        </w:rPr>
        <w:t>LIS1</w:t>
      </w:r>
      <w:r>
        <w:rPr>
          <w:rFonts w:ascii="Calibri" w:eastAsia="Calibri" w:hAnsi="Calibri" w:cs="Calibri"/>
        </w:rPr>
        <w:t>-stillinger</w:t>
      </w:r>
      <w:r w:rsidR="004B2DF9">
        <w:rPr>
          <w:rFonts w:ascii="Calibri" w:eastAsia="Calibri" w:hAnsi="Calibri" w:cs="Calibri"/>
        </w:rPr>
        <w:t xml:space="preserve"> </w:t>
      </w:r>
      <w:r w:rsidR="00AA73CD" w:rsidRPr="705942D4">
        <w:rPr>
          <w:rFonts w:ascii="Calibri" w:eastAsia="Calibri" w:hAnsi="Calibri" w:cs="Calibri"/>
        </w:rPr>
        <w:t xml:space="preserve">påvirker yrkesmulighetene for nyutdannede leger og utenlandske leger som kommer til Norge. </w:t>
      </w:r>
      <w:r w:rsidR="00AA73CD">
        <w:t>At mange nyutdannede leger må vente for å komme i gang med spesialistutdanningen</w:t>
      </w:r>
      <w:r w:rsidR="005D194C">
        <w:t>,</w:t>
      </w:r>
      <w:r w:rsidR="00AA73CD">
        <w:t xml:space="preserve"> synes å være uheldig både for den enkelte lege, men også utfra et samfunnsperspektiv når det i dag innenfor flere fagfelt mangler leger. Riften om LIS1-stillinger gjør at leger uten særlig klinisk erfaring fra studiet</w:t>
      </w:r>
      <w:r w:rsidR="002472E5">
        <w:t xml:space="preserve"> arbeider pasientrettet mens de venter.</w:t>
      </w:r>
      <w:r w:rsidR="00AA73CD">
        <w:t xml:space="preserve"> Hvordan kompetansen til leger uten LIS1 vurderes, og hvilke ko</w:t>
      </w:r>
      <w:r w:rsidR="00D27E41">
        <w:t>mpenserende</w:t>
      </w:r>
      <w:r w:rsidR="00AA73CD">
        <w:t xml:space="preserve"> tiltak som settes inn, er det lite kunnskap om.</w:t>
      </w:r>
    </w:p>
    <w:p w14:paraId="048B7084" w14:textId="627CD93F" w:rsidR="00AA73CD" w:rsidRPr="00CB55DE" w:rsidRDefault="00AA73CD" w:rsidP="00CF32F3">
      <w:pPr>
        <w:jc w:val="both"/>
        <w:rPr>
          <w:rFonts w:ascii="Calibri" w:eastAsia="Calibri" w:hAnsi="Calibri" w:cs="Calibri"/>
        </w:rPr>
      </w:pPr>
      <w:r>
        <w:t xml:space="preserve">Lite erfaring og manglende oppfølging kan bidra til følelse av utilstrekkelighet og </w:t>
      </w:r>
      <w:r w:rsidR="00D27E41">
        <w:t>redusert</w:t>
      </w:r>
      <w:r>
        <w:t xml:space="preserve"> mestring. Det er nærliggende å tro at den manglende kliniske kompetansen til disse legene også kan påvirke tjenesten til pasientene. For samfunnet blir kostnaden forbundet med å utdanne leger, samtidig som de ikke får LIS1 tjeneste, et paradoks. Det er også problematisk å argumentere for opprettholdelse av rekkefølgekravet for LIS1</w:t>
      </w:r>
      <w:r w:rsidR="007226F9">
        <w:t>-</w:t>
      </w:r>
      <w:r>
        <w:t>tjenesten, når de samme legene kan jobbe i like lang periode uten LIS1 i kommunen først.</w:t>
      </w:r>
    </w:p>
    <w:p w14:paraId="74682788" w14:textId="72223375" w:rsidR="00AA73CD" w:rsidRDefault="07609F93" w:rsidP="00CF32F3">
      <w:pPr>
        <w:ind w:left="10" w:hanging="10"/>
        <w:jc w:val="both"/>
      </w:pPr>
      <w:r>
        <w:t>Det er forskriftsfestet</w:t>
      </w:r>
      <w:r w:rsidR="4FBD3303">
        <w:t xml:space="preserve"> </w:t>
      </w:r>
      <w:r w:rsidR="00B60B70">
        <w:fldChar w:fldCharType="begin"/>
      </w:r>
      <w:r w:rsidR="00D078E3">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B60B70">
        <w:fldChar w:fldCharType="separate"/>
      </w:r>
      <w:r w:rsidR="00B60B70">
        <w:rPr>
          <w:noProof/>
        </w:rPr>
        <w:t>(</w:t>
      </w:r>
      <w:r w:rsidR="00B60B70" w:rsidRPr="00D9107F">
        <w:rPr>
          <w:rStyle w:val="kursiv"/>
        </w:rPr>
        <w:t>Forskrift om spesialistutdanning og spesialistgodkjenning for leger og tannleger (spesialistforskriften)</w:t>
      </w:r>
      <w:r w:rsidR="00B60B70">
        <w:rPr>
          <w:noProof/>
        </w:rPr>
        <w:t>, 2019)</w:t>
      </w:r>
      <w:r w:rsidR="00B60B70">
        <w:fldChar w:fldCharType="end"/>
      </w:r>
      <w:r>
        <w:t xml:space="preserve"> krav om at sykehus og kommuner skal samarbeide om å lyse ut LIS1-stillinger koblet. Søkeren ansettes enten samtidig i stilling ved et sykehus og én bestemt kommune, eller først ved et sykehus med rett til ansettelse ved en av kommunene sykehuset samarbeider med. Sistnevnte alternativ er vanligst, noe som gir kommunene mindre innflytelse i ansettelsen av LIS1</w:t>
      </w:r>
      <w:r w:rsidR="30BD5FAE">
        <w:t xml:space="preserve"> </w:t>
      </w:r>
      <w:r w:rsidR="00B60B70">
        <w:fldChar w:fldCharType="begin"/>
      </w:r>
      <w:r w:rsidR="00694E6D">
        <w:instrText xml:space="preserve"> ADDIN EN.CITE &lt;EndNote&gt;&lt;Cite&gt;&lt;Author&gt;Helsedirektoratet&lt;/Author&gt;&lt;Year&gt;2021&lt;/Year&gt;&lt;RecNum&gt;759&lt;/RecNum&gt;&lt;DisplayText&gt;(Helsedirektoratet, 2021e)&lt;/DisplayText&gt;&lt;record&gt;&lt;rec-number&gt;759&lt;/rec-number&gt;&lt;foreign-keys&gt;&lt;key app="EN" db-id="95tpr2tp6r9xwoea9rb5wdsz5ds5xeddteew" timestamp="1680069511"&gt;759&lt;/key&gt;&lt;/foreign-keys&gt;&lt;ref-type name="Report"&gt;27&lt;/ref-type&gt;&lt;contributors&gt;&lt;authors&gt;&lt;author&gt;Helsedirektoratet&lt;/author&gt;&lt;/authors&gt;&lt;/contributors&gt;&lt;titles&gt;&lt;title&gt;Spesialistutdanning for leger - LIS1&lt;/title&gt;&lt;/titles&gt;&lt;number&gt;IS-3002&lt;/number&gt;&lt;dates&gt;&lt;year&gt;2021&lt;/year&gt;&lt;/dates&gt;&lt;pub-location&gt;Oslo&lt;/pub-location&gt;&lt;publisher&gt;Helsedirektoratet&lt;/publisher&gt;&lt;urls&gt;&lt;/urls&gt;&lt;/record&gt;&lt;/Cite&gt;&lt;/EndNote&gt;</w:instrText>
      </w:r>
      <w:r w:rsidR="00B60B70">
        <w:fldChar w:fldCharType="separate"/>
      </w:r>
      <w:r w:rsidR="00D078E3">
        <w:rPr>
          <w:noProof/>
        </w:rPr>
        <w:t>(Helsedirektoratet, 2021e)</w:t>
      </w:r>
      <w:r w:rsidR="00B60B70">
        <w:fldChar w:fldCharType="end"/>
      </w:r>
      <w:r>
        <w:t xml:space="preserve">. Når ansettelsen av LIS1 ikke knyttes opp til en spesifikk kommune, er det forståelig </w:t>
      </w:r>
      <w:r w:rsidR="28A4B4C9">
        <w:t>om</w:t>
      </w:r>
      <w:r>
        <w:t xml:space="preserve"> kommuner ikke engasjerer seg i prosessen. En følge av dette er at erfaring fra</w:t>
      </w:r>
      <w:r w:rsidR="242AD442">
        <w:t>,</w:t>
      </w:r>
      <w:r>
        <w:t xml:space="preserve"> og motivasjon for</w:t>
      </w:r>
      <w:r w:rsidR="242AD442">
        <w:t>,</w:t>
      </w:r>
      <w:r>
        <w:t xml:space="preserve"> jobb i kommunehelsetjenesten trolig tillegges mindre vekt når legene tilsettes. Søknadsbasert LIS1</w:t>
      </w:r>
      <w:r w:rsidR="242AD442">
        <w:t>-</w:t>
      </w:r>
      <w:r>
        <w:t xml:space="preserve">tjeneste har gitt helseforetakene en ny mulighet for å rekruttere leger som er motivert for jobb hos dem, mens det ofte er slik at hvilken kommune tjenesten kobles til ikke er kjent før langt ut i forløpet. En </w:t>
      </w:r>
      <w:r w:rsidR="10AD73B6">
        <w:t>konsekvens</w:t>
      </w:r>
      <w:r w:rsidR="4B672FA9">
        <w:t xml:space="preserve"> av dette kan være</w:t>
      </w:r>
      <w:r>
        <w:t xml:space="preserve"> at leger med motivasjon og engasjement for allmennmedisin ikke blir valgt ut og tilbudt stilling.</w:t>
      </w:r>
    </w:p>
    <w:p w14:paraId="43008DB3" w14:textId="46DC6EDB" w:rsidR="00D9107F" w:rsidRDefault="00D27E41" w:rsidP="000623DE">
      <w:r>
        <w:rPr>
          <w:rFonts w:eastAsia="Calibri"/>
        </w:rPr>
        <w:lastRenderedPageBreak/>
        <w:t>K</w:t>
      </w:r>
      <w:r w:rsidR="00AA73CD" w:rsidRPr="705942D4">
        <w:rPr>
          <w:rFonts w:eastAsia="Calibri"/>
        </w:rPr>
        <w:t xml:space="preserve">ommuner i mindre sentrale områder opplever at LIS1 sier opp kort tid før oppstart i kommunen. Det er i mange tilfeller vanskelig, for ikke å si umulig, å skaffe en kvalifisert søker som har gjennomført LIS1 i sykehus og som kan tiltre på kort varsel. LIS1-stillingene i disse kommunene står da ledige i kortere eller lengre perioder, og i noen tilfeller </w:t>
      </w:r>
      <w:r w:rsidR="007226F9">
        <w:rPr>
          <w:rFonts w:eastAsia="Calibri"/>
        </w:rPr>
        <w:t>i</w:t>
      </w:r>
      <w:r w:rsidR="00AA73CD" w:rsidRPr="705942D4">
        <w:rPr>
          <w:rFonts w:eastAsia="Calibri"/>
        </w:rPr>
        <w:t xml:space="preserve"> hele perioden på 6 måneder.</w:t>
      </w:r>
      <w:r w:rsidR="00AA73CD" w:rsidRPr="008661B9">
        <w:t xml:space="preserve"> </w:t>
      </w:r>
      <w:r w:rsidR="00AA73CD">
        <w:t>I en sårbar tjeneste</w:t>
      </w:r>
      <w:r w:rsidR="007226F9">
        <w:t>,</w:t>
      </w:r>
      <w:r w:rsidR="00AA73CD">
        <w:t xml:space="preserve"> hvor allmennlegeressursen er knapp, vil en LIS1</w:t>
      </w:r>
      <w:r w:rsidR="007226F9">
        <w:t>-</w:t>
      </w:r>
      <w:r w:rsidR="00AA73CD">
        <w:t>stilling som blir stående ledig få konsekvenser</w:t>
      </w:r>
      <w:r w:rsidR="007226F9">
        <w:t>,</w:t>
      </w:r>
      <w:r w:rsidR="00AA73CD">
        <w:t xml:space="preserve"> både knyttet til kapasiteten ved fastlegekontoret, men også for andre allmennmedisinske tjenester og legevakt. Perioder hvor kommunen ikke får LIS1, kan medføre økt arbeids</w:t>
      </w:r>
      <w:r w:rsidR="00D9107F">
        <w:t xml:space="preserve"> – </w:t>
      </w:r>
      <w:r w:rsidR="00AA73CD">
        <w:t>og vaktbelastning for de resterende allmennlegene.</w:t>
      </w:r>
    </w:p>
    <w:p w14:paraId="7C9750F8" w14:textId="5454012E" w:rsidR="005950BB" w:rsidRDefault="07609F93" w:rsidP="00AE5610">
      <w:pPr>
        <w:jc w:val="both"/>
      </w:pPr>
      <w:r w:rsidRPr="005F7350">
        <w:t>Finansiering av LIS1-tjenesten</w:t>
      </w:r>
      <w:r>
        <w:t xml:space="preserve"> synes i dag av flere årsaker å være uforutsigbar og utilstrekkelig for kommunene. Særavtalen mellom KS og Legeforeningen regulerer vilkårene for LIS1. </w:t>
      </w:r>
      <w:r w:rsidR="002472E5" w:rsidRPr="00A71016">
        <w:t xml:space="preserve">Tilskuddet </w:t>
      </w:r>
      <w:r w:rsidR="002472E5">
        <w:t xml:space="preserve">til kommunene var </w:t>
      </w:r>
      <w:r w:rsidR="002472E5" w:rsidRPr="00A71016">
        <w:t>for våren 202</w:t>
      </w:r>
      <w:r w:rsidR="00D9107F" w:rsidRPr="00A71016">
        <w:t>2</w:t>
      </w:r>
      <w:r w:rsidR="00D9107F">
        <w:t> </w:t>
      </w:r>
      <w:r w:rsidR="00D9107F" w:rsidRPr="00A71016">
        <w:t>140</w:t>
      </w:r>
      <w:r w:rsidR="00D9107F">
        <w:t> </w:t>
      </w:r>
      <w:r w:rsidR="00D9107F" w:rsidRPr="00A71016">
        <w:t>000</w:t>
      </w:r>
      <w:r w:rsidR="00D9107F">
        <w:t> kroner</w:t>
      </w:r>
      <w:r w:rsidR="002472E5" w:rsidRPr="00A71016">
        <w:t xml:space="preserve"> per LIS1-kandidat</w:t>
      </w:r>
      <w:r w:rsidR="002472E5">
        <w:t xml:space="preserve"> </w:t>
      </w:r>
      <w:r w:rsidR="00B60B70">
        <w:fldChar w:fldCharType="begin"/>
      </w:r>
      <w:r w:rsidR="00235862">
        <w:instrText xml:space="preserve"> ADDIN EN.CITE &lt;EndNote&gt;&lt;Cite&gt;&lt;Author&gt;Helsedirektoratet&lt;/Author&gt;&lt;Year&gt;2019&lt;/Year&gt;&lt;RecNum&gt;454&lt;/RecNum&gt;&lt;DisplayText&gt;(Helsedirektoratet, 2019b)&lt;/DisplayText&gt;&lt;record&gt;&lt;rec-number&gt;454&lt;/rec-number&gt;&lt;foreign-keys&gt;&lt;key app="EN" db-id="95tpr2tp6r9xwoea9rb5wdsz5ds5xeddteew" timestamp="1680069511"&gt;454&lt;/key&gt;&lt;/foreign-keys&gt;&lt;ref-type name="Web Page"&gt;12&lt;/ref-type&gt;&lt;contributors&gt;&lt;authors&gt;&lt;author&gt;Helsedirektoratet&lt;/author&gt;&lt;/authors&gt;&lt;/contributors&gt;&lt;titles&gt;&lt;title&gt;LIS1-stillinger (tidligere kommuneturnus) – tilskudd til kommuner&lt;/title&gt;&lt;/titles&gt;&lt;number&gt;16.03.2023&lt;/number&gt;&lt;dates&gt;&lt;year&gt;2019&lt;/year&gt;&lt;pub-dates&gt;&lt;date&gt;07.10.2022&lt;/date&gt;&lt;/pub-dates&gt;&lt;/dates&gt;&lt;pub-location&gt; Oslo&lt;/pub-location&gt;&lt;publisher&gt;Helsedirektoratet&lt;/publisher&gt;&lt;urls&gt;&lt;/urls&gt;&lt;/record&gt;&lt;/Cite&gt;&lt;/EndNote&gt;</w:instrText>
      </w:r>
      <w:r w:rsidR="00B60B70">
        <w:fldChar w:fldCharType="separate"/>
      </w:r>
      <w:r w:rsidR="00FD2027">
        <w:rPr>
          <w:noProof/>
        </w:rPr>
        <w:t>(Helsedirektoratet, 2019b)</w:t>
      </w:r>
      <w:r w:rsidR="00B60B70">
        <w:fldChar w:fldCharType="end"/>
      </w:r>
      <w:r w:rsidR="00CF7336">
        <w:t>.</w:t>
      </w:r>
      <w:r w:rsidR="71442575">
        <w:t xml:space="preserve"> </w:t>
      </w:r>
      <w:r>
        <w:t>Det var i 2019 store variasjoner i hva kommunene oppgav som kostnader for LIS1, varierende fra 20</w:t>
      </w:r>
      <w:r w:rsidR="00D9107F">
        <w:t>0 000</w:t>
      </w:r>
      <w:r>
        <w:t xml:space="preserve"> til 1,</w:t>
      </w:r>
      <w:r w:rsidR="00D9107F">
        <w:t>4 mill.</w:t>
      </w:r>
      <w:r>
        <w:t xml:space="preserve"> kr</w:t>
      </w:r>
      <w:r w:rsidR="242AD442">
        <w:t>oner</w:t>
      </w:r>
      <w:r w:rsidR="28C4CCA2">
        <w:t xml:space="preserve"> </w:t>
      </w:r>
      <w:r w:rsidR="00B60B70">
        <w:fldChar w:fldCharType="begin"/>
      </w:r>
      <w:r w:rsidR="00694E6D">
        <w:instrText xml:space="preserve"> ADDIN EN.CITE &lt;EndNote&gt;&lt;Cite&gt;&lt;Author&gt;Helsedirektoratet&lt;/Author&gt;&lt;Year&gt;2018&lt;/Year&gt;&lt;RecNum&gt;875&lt;/RecNum&gt;&lt;DisplayText&gt;(Helsedirektoratet, 2018c)&lt;/DisplayText&gt;&lt;record&gt;&lt;rec-number&gt;875&lt;/rec-number&gt;&lt;foreign-keys&gt;&lt;key app="EN" db-id="95tpr2tp6r9xwoea9rb5wdsz5ds5xeddteew" timestamp="1680069511"&gt;875&lt;/key&gt;&lt;/foreign-keys&gt;&lt;ref-type name="Report"&gt;27&lt;/ref-type&gt;&lt;contributors&gt;&lt;authors&gt;&lt;author&gt;Helsedirektoratet&lt;/author&gt;&lt;/authors&gt;&lt;/contributors&gt;&lt;titles&gt;&lt;title&gt;Vurdering av antall LIS1-stillinger: Svar på oppdrag gitt i tildelingsbrevet for 2018&lt;/title&gt;&lt;/titles&gt;&lt;number&gt;IS-2802&lt;/number&gt;&lt;dates&gt;&lt;year&gt;2018&lt;/year&gt;&lt;/dates&gt;&lt;pub-location&gt;Oslo&lt;/pub-location&gt;&lt;publisher&gt;Helsedirektoratet&lt;/publisher&gt;&lt;urls&gt;&lt;/urls&gt;&lt;/record&gt;&lt;/Cite&gt;&lt;/EndNote&gt;</w:instrText>
      </w:r>
      <w:r w:rsidR="00B60B70">
        <w:fldChar w:fldCharType="separate"/>
      </w:r>
      <w:r w:rsidR="001F5F05">
        <w:rPr>
          <w:noProof/>
        </w:rPr>
        <w:t>(Helsedirektoratet, 2018c)</w:t>
      </w:r>
      <w:r w:rsidR="00B60B70">
        <w:fldChar w:fldCharType="end"/>
      </w:r>
      <w:r>
        <w:t>. Det</w:t>
      </w:r>
      <w:r w:rsidR="191E7C1A">
        <w:t>te kan tyde på</w:t>
      </w:r>
      <w:r>
        <w:t xml:space="preserve"> at det statlige tilskuddet kommunen mottar for hver LIS1</w:t>
      </w:r>
      <w:r w:rsidR="191E7C1A">
        <w:t>, iallfall i noen kommuner</w:t>
      </w:r>
      <w:r w:rsidR="000F1F81">
        <w:t>,</w:t>
      </w:r>
      <w:r w:rsidR="191E7C1A">
        <w:t xml:space="preserve"> er for lite</w:t>
      </w:r>
      <w:r>
        <w:t xml:space="preserve"> til å dekke kommunens utgifter.</w:t>
      </w:r>
    </w:p>
    <w:p w14:paraId="0F59FF80" w14:textId="77777777" w:rsidR="00D9107F" w:rsidRDefault="00385E2C" w:rsidP="00385E2C">
      <w:pPr>
        <w:jc w:val="center"/>
      </w:pPr>
      <w:r>
        <w:rPr>
          <w:noProof/>
        </w:rPr>
        <w:drawing>
          <wp:inline distT="0" distB="0" distL="0" distR="0" wp14:anchorId="3F326E06" wp14:editId="621B8944">
            <wp:extent cx="4495120" cy="3295650"/>
            <wp:effectExtent l="0" t="0" r="0" b="0"/>
            <wp:docPr id="1908704942" name="Picture 190870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4942" name="Bilde 1908704942"/>
                    <pic:cNvPicPr/>
                  </pic:nvPicPr>
                  <pic:blipFill rotWithShape="1">
                    <a:blip r:embed="rId79" cstate="print">
                      <a:extLst>
                        <a:ext uri="{28A0092B-C50C-407E-A947-70E740481C1C}">
                          <a14:useLocalDpi xmlns:a14="http://schemas.microsoft.com/office/drawing/2010/main" val="0"/>
                        </a:ext>
                      </a:extLst>
                    </a:blip>
                    <a:srcRect l="20189" t="21157" r="18229" b="44754"/>
                    <a:stretch/>
                  </pic:blipFill>
                  <pic:spPr bwMode="auto">
                    <a:xfrm>
                      <a:off x="0" y="0"/>
                      <a:ext cx="4534552" cy="3324560"/>
                    </a:xfrm>
                    <a:prstGeom prst="rect">
                      <a:avLst/>
                    </a:prstGeom>
                    <a:ln>
                      <a:noFill/>
                    </a:ln>
                    <a:extLst>
                      <a:ext uri="{53640926-AAD7-44D8-BBD7-CCE9431645EC}">
                        <a14:shadowObscured xmlns:a14="http://schemas.microsoft.com/office/drawing/2010/main"/>
                      </a:ext>
                    </a:extLst>
                  </pic:spPr>
                </pic:pic>
              </a:graphicData>
            </a:graphic>
          </wp:inline>
        </w:drawing>
      </w:r>
    </w:p>
    <w:p w14:paraId="0B7A1A19" w14:textId="1815974C" w:rsidR="00AA73CD" w:rsidRPr="00904FD4" w:rsidRDefault="439CE0BB" w:rsidP="00775632">
      <w:pPr>
        <w:pStyle w:val="Overskrift3"/>
      </w:pPr>
      <w:bookmarkStart w:id="5289" w:name="_Toc120526268"/>
      <w:bookmarkStart w:id="5290" w:name="_Toc126834464"/>
      <w:bookmarkStart w:id="5291" w:name="_Toc127633349"/>
      <w:bookmarkStart w:id="5292" w:name="_Toc127864634"/>
      <w:bookmarkStart w:id="5293" w:name="_Toc128238651"/>
      <w:bookmarkStart w:id="5294" w:name="_Toc128742099"/>
      <w:bookmarkStart w:id="5295" w:name="_Toc128744727"/>
      <w:bookmarkStart w:id="5296" w:name="_Toc128744946"/>
      <w:bookmarkStart w:id="5297" w:name="_Toc129630451"/>
      <w:bookmarkStart w:id="5298" w:name="_Toc130763958"/>
      <w:bookmarkStart w:id="5299" w:name="_Toc130766853"/>
      <w:bookmarkStart w:id="5300" w:name="_Toc130932252"/>
      <w:bookmarkStart w:id="5301" w:name="_Toc130934543"/>
      <w:bookmarkStart w:id="5302" w:name="_Toc130983692"/>
      <w:bookmarkStart w:id="5303" w:name="_Toc130984041"/>
      <w:bookmarkStart w:id="5304" w:name="_Toc131062294"/>
      <w:bookmarkStart w:id="5305" w:name="_Toc131062548"/>
      <w:bookmarkStart w:id="5306" w:name="_Toc131062809"/>
      <w:bookmarkStart w:id="5307" w:name="_Toc131063062"/>
      <w:bookmarkStart w:id="5308" w:name="_Toc131063845"/>
      <w:bookmarkStart w:id="5309" w:name="_Toc131064256"/>
      <w:bookmarkStart w:id="5310" w:name="_Toc131279636"/>
      <w:bookmarkStart w:id="5311" w:name="_Toc131287048"/>
      <w:bookmarkStart w:id="5312" w:name="_Toc131281458"/>
      <w:bookmarkStart w:id="5313" w:name="_Toc131317998"/>
      <w:bookmarkStart w:id="5314" w:name="_Toc132537089"/>
      <w:r>
        <w:t>Kravene i spesialistutdanningen begrenser kapasiteten</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12766986" w14:textId="77777777" w:rsidR="00D9107F" w:rsidRDefault="00AA73CD" w:rsidP="00CF32F3">
      <w:pPr>
        <w:jc w:val="both"/>
      </w:pPr>
      <w:r>
        <w:t>Innholdet og gjennomføring av ny spesialistutdanning i allmennmedisin bygger opp under unge legers ønske om tilgang til faglig støtte og veiledning. Læringsmål og læringsaktiviteter er i tråd med pedagogiske prinsipper, og legges til grunn for liknende spesialiseringsløp i andre land. Gitt dagens situasjon</w:t>
      </w:r>
      <w:r w:rsidR="00FC4480">
        <w:t>,</w:t>
      </w:r>
      <w:r>
        <w:t xml:space="preserve"> med svekket rekruttering og kapasitet i allmennlegetjenesten</w:t>
      </w:r>
      <w:r w:rsidR="00FC4480">
        <w:t>,</w:t>
      </w:r>
      <w:r>
        <w:t xml:space="preserve"> vil ekspertutvalget peke på noen særlige utfordringer knyttet til spesialistutdanningen. Dette </w:t>
      </w:r>
      <w:r>
        <w:lastRenderedPageBreak/>
        <w:t xml:space="preserve">omfatter </w:t>
      </w:r>
      <w:r w:rsidR="0092379E">
        <w:t>tid til veiledning,</w:t>
      </w:r>
      <w:r>
        <w:t xml:space="preserve"> tilgjengelige veiledere, gjennomføring av institusjonstjeneste og vurderingen av om tjenesten oppfyller kravene til </w:t>
      </w:r>
      <w:r w:rsidR="00FC4480">
        <w:t>to</w:t>
      </w:r>
      <w:r>
        <w:t xml:space="preserve"> års uselektert allmennpraksis.</w:t>
      </w:r>
    </w:p>
    <w:p w14:paraId="3280153E" w14:textId="0748E499" w:rsidR="0038672D" w:rsidRDefault="3B9165FD" w:rsidP="00775632">
      <w:pPr>
        <w:pStyle w:val="Overskrift4"/>
      </w:pPr>
      <w:bookmarkStart w:id="5315" w:name="_Toc130983693"/>
      <w:bookmarkStart w:id="5316" w:name="_Toc130984042"/>
      <w:bookmarkStart w:id="5317" w:name="_Toc131279637"/>
      <w:bookmarkStart w:id="5318" w:name="_Toc131287049"/>
      <w:bookmarkStart w:id="5319" w:name="_Toc131281459"/>
      <w:bookmarkStart w:id="5320" w:name="_Toc131317999"/>
      <w:r>
        <w:t>Tid til veiledning</w:t>
      </w:r>
      <w:bookmarkEnd w:id="5315"/>
      <w:bookmarkEnd w:id="5316"/>
      <w:bookmarkEnd w:id="5317"/>
      <w:bookmarkEnd w:id="5318"/>
      <w:bookmarkEnd w:id="5319"/>
      <w:bookmarkEnd w:id="5320"/>
    </w:p>
    <w:p w14:paraId="2AA4B6F5" w14:textId="77777777" w:rsidR="00D9107F" w:rsidRDefault="00921BC7" w:rsidP="00715B31">
      <w:pPr>
        <w:jc w:val="both"/>
      </w:pPr>
      <w:r>
        <w:t xml:space="preserve">Det er forskriftsfestet </w:t>
      </w:r>
      <w:r w:rsidR="00EF2F12">
        <w:t>et m</w:t>
      </w:r>
      <w:r w:rsidR="00715B31" w:rsidRPr="00715B31">
        <w:t>inimumsomfang på veiledningen for leger under spesialisering i allmennmedisin på 42 timer i løpet av et år</w:t>
      </w:r>
      <w:r w:rsidR="0075563D">
        <w:t xml:space="preserve">. Veiledningen skal </w:t>
      </w:r>
      <w:r w:rsidR="00715B31" w:rsidRPr="00715B31">
        <w:t xml:space="preserve">tilbys så lenge utdanningen pågår. </w:t>
      </w:r>
      <w:r w:rsidR="00E76DC5">
        <w:t xml:space="preserve">I tillegg til individuell veiledning er det </w:t>
      </w:r>
      <w:r w:rsidR="00E76DC5" w:rsidRPr="00960D3B">
        <w:t xml:space="preserve">obligatorisk </w:t>
      </w:r>
      <w:r w:rsidR="00E76DC5">
        <w:t xml:space="preserve">for ALIS </w:t>
      </w:r>
      <w:r w:rsidR="00E76DC5" w:rsidRPr="00960D3B">
        <w:t xml:space="preserve">å gjennomføre </w:t>
      </w:r>
      <w:r w:rsidR="002472E5">
        <w:t>to</w:t>
      </w:r>
      <w:r w:rsidR="002472E5" w:rsidRPr="00960D3B">
        <w:t xml:space="preserve"> år i veiledningsgruppe</w:t>
      </w:r>
      <w:r w:rsidR="002472E5">
        <w:t>,</w:t>
      </w:r>
      <w:r w:rsidR="002472E5" w:rsidRPr="00960D3B">
        <w:t xml:space="preserve"> med totalt 120 timer.</w:t>
      </w:r>
      <w:r w:rsidR="00E76DC5" w:rsidRPr="00960D3B">
        <w:t xml:space="preserve"> </w:t>
      </w:r>
      <w:r w:rsidR="00715B31" w:rsidRPr="00715B31">
        <w:t xml:space="preserve">For </w:t>
      </w:r>
      <w:r w:rsidR="0008200D">
        <w:t xml:space="preserve">andre spesialiteter, herunder </w:t>
      </w:r>
      <w:r w:rsidR="00715B31" w:rsidRPr="00715B31">
        <w:t>samfunns- og arbeidsmedisin</w:t>
      </w:r>
      <w:r w:rsidR="0008200D">
        <w:t>,</w:t>
      </w:r>
      <w:r w:rsidR="00715B31" w:rsidRPr="00715B31">
        <w:t xml:space="preserve"> er det ikke stilt annet krav i spesialistforskriften enn at det skal gis nødvendig veiledning.</w:t>
      </w:r>
    </w:p>
    <w:p w14:paraId="1A7E6A41" w14:textId="639D752A" w:rsidR="001E00B6" w:rsidRDefault="00FE42E2" w:rsidP="003B2A82">
      <w:pPr>
        <w:jc w:val="both"/>
      </w:pPr>
      <w:r>
        <w:t xml:space="preserve">Gjennom spesialistutdanningen vil antall timer benyttet til veiledning for ALIS og veileder være betydelig. </w:t>
      </w:r>
      <w:r w:rsidR="00F83F8A">
        <w:t xml:space="preserve">Tid til veiledning vil nødvendigvis måtte gå på bekostning av tid til </w:t>
      </w:r>
      <w:r w:rsidR="00B02A1A">
        <w:t>klinisk rettet arbeid for både ALIS og veilede</w:t>
      </w:r>
      <w:r w:rsidR="00FE6ED3">
        <w:t>r.</w:t>
      </w:r>
      <w:r w:rsidR="00F83F8A">
        <w:t xml:space="preserve"> </w:t>
      </w:r>
      <w:r w:rsidR="004C546B">
        <w:t xml:space="preserve">Veiledning er en viktig og sentral del av spesialistutdanningen. </w:t>
      </w:r>
      <w:r w:rsidR="00922211">
        <w:t xml:space="preserve">Likevel vil det </w:t>
      </w:r>
      <w:r w:rsidR="00A30B23">
        <w:t>være en avveining mellom</w:t>
      </w:r>
      <w:r w:rsidR="00647934">
        <w:t xml:space="preserve"> kapasitetsutfordringene i tjenesten</w:t>
      </w:r>
      <w:r w:rsidR="00A30B23">
        <w:t xml:space="preserve"> og</w:t>
      </w:r>
      <w:r w:rsidR="00922211">
        <w:t xml:space="preserve"> </w:t>
      </w:r>
      <w:r w:rsidR="004C307C">
        <w:t xml:space="preserve">allmennlegens </w:t>
      </w:r>
      <w:r w:rsidR="00455B1F">
        <w:t xml:space="preserve">tidsbruk, herunder </w:t>
      </w:r>
      <w:r w:rsidR="00415940">
        <w:t>omfanget av</w:t>
      </w:r>
      <w:r w:rsidR="002E168B">
        <w:t xml:space="preserve"> </w:t>
      </w:r>
      <w:r w:rsidR="00A82FD4">
        <w:t>veiledning i spesialistutdanningen</w:t>
      </w:r>
      <w:r w:rsidR="00A30B23">
        <w:t>, særlig i lys av overgangen fra aktivitetsbasert spesialistutdanning til læringsmål</w:t>
      </w:r>
      <w:r w:rsidR="00C92922">
        <w:t>.</w:t>
      </w:r>
    </w:p>
    <w:p w14:paraId="02DBD8DA" w14:textId="77777777" w:rsidR="00AA73CD" w:rsidRPr="00C51C7E" w:rsidRDefault="439CE0BB" w:rsidP="00775632">
      <w:pPr>
        <w:pStyle w:val="Overskrift4"/>
      </w:pPr>
      <w:bookmarkStart w:id="5321" w:name="_Toc130983694"/>
      <w:bookmarkStart w:id="5322" w:name="_Toc130984043"/>
      <w:bookmarkStart w:id="5323" w:name="_Toc131279638"/>
      <w:bookmarkStart w:id="5324" w:name="_Toc131287050"/>
      <w:bookmarkStart w:id="5325" w:name="_Toc131281460"/>
      <w:bookmarkStart w:id="5326" w:name="_Toc131318000"/>
      <w:r>
        <w:t>Veileder må være spesialist i allmennmedisin</w:t>
      </w:r>
      <w:bookmarkEnd w:id="5321"/>
      <w:bookmarkEnd w:id="5322"/>
      <w:bookmarkEnd w:id="5323"/>
      <w:bookmarkEnd w:id="5324"/>
      <w:bookmarkEnd w:id="5325"/>
      <w:bookmarkEnd w:id="5326"/>
    </w:p>
    <w:p w14:paraId="35457CE7" w14:textId="622AC283" w:rsidR="00D9107F" w:rsidRDefault="07609F93" w:rsidP="000623DE">
      <w:pPr>
        <w:rPr>
          <w:rFonts w:ascii="Calibri" w:eastAsia="Calibri" w:hAnsi="Calibri" w:cs="Calibri"/>
        </w:rPr>
      </w:pPr>
      <w:r w:rsidRPr="374C9F70">
        <w:t xml:space="preserve">Spesialistforskriften </w:t>
      </w:r>
      <w:r w:rsidR="00D9107F">
        <w:t>§ </w:t>
      </w:r>
      <w:r w:rsidR="00D9107F" w:rsidRPr="002B56E0">
        <w:t>2</w:t>
      </w:r>
      <w:r w:rsidR="002B56E0" w:rsidRPr="002B56E0">
        <w:t>5</w:t>
      </w:r>
      <w:r w:rsidR="002B56E0">
        <w:t>,</w:t>
      </w:r>
      <w:r w:rsidR="002B56E0" w:rsidRPr="002B56E0">
        <w:t xml:space="preserve"> tredje og fjerde ledd</w:t>
      </w:r>
      <w:r w:rsidR="002B56E0">
        <w:t>,</w:t>
      </w:r>
      <w:r w:rsidR="002B56E0" w:rsidRPr="002B56E0">
        <w:t xml:space="preserve"> </w:t>
      </w:r>
      <w:r w:rsidRPr="374C9F70">
        <w:t xml:space="preserve">stiller krav til at veileder for </w:t>
      </w:r>
      <w:r w:rsidR="51477BB8">
        <w:t>LIS, herunder ALIS,</w:t>
      </w:r>
      <w:r w:rsidRPr="374C9F70">
        <w:t xml:space="preserve"> må være spesialist i </w:t>
      </w:r>
      <w:r w:rsidR="51477BB8">
        <w:t>den aktuelle spesialiteten eller en grensespesialitet</w:t>
      </w:r>
      <w:r w:rsidR="7CF9B85D">
        <w:t xml:space="preserve"> </w:t>
      </w:r>
      <w:r w:rsidR="00B60B70">
        <w:fldChar w:fldCharType="begin"/>
      </w:r>
      <w:r w:rsidR="00D078E3">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B60B70">
        <w:fldChar w:fldCharType="separate"/>
      </w:r>
      <w:r w:rsidR="00B60B70">
        <w:rPr>
          <w:noProof/>
        </w:rPr>
        <w:t>(</w:t>
      </w:r>
      <w:r w:rsidR="00B60B70" w:rsidRPr="00D9107F">
        <w:rPr>
          <w:rStyle w:val="kursiv"/>
        </w:rPr>
        <w:t>Forskrift om spesialistutdanning og spesialistgodkjenning for leger og tannleger (spesialistforskriften)</w:t>
      </w:r>
      <w:r w:rsidR="00B60B70">
        <w:rPr>
          <w:noProof/>
        </w:rPr>
        <w:t>, 2019)</w:t>
      </w:r>
      <w:r w:rsidR="00B60B70">
        <w:fldChar w:fldCharType="end"/>
      </w:r>
      <w:r w:rsidR="00CF7336">
        <w:t>.</w:t>
      </w:r>
      <w:r w:rsidRPr="374C9F70">
        <w:t xml:space="preserve"> </w:t>
      </w:r>
      <w:r w:rsidRPr="000623DE">
        <w:rPr>
          <w:rFonts w:eastAsia="Calibri"/>
        </w:rPr>
        <w:t xml:space="preserve">Det kan i særskilte tilfeller søkes Helsedirektoratet om unntak fra denne regelen. </w:t>
      </w:r>
      <w:r w:rsidR="002472E5" w:rsidRPr="000623DE">
        <w:rPr>
          <w:rFonts w:eastAsia="Calibri"/>
        </w:rPr>
        <w:t>Veileder skal fremme</w:t>
      </w:r>
      <w:r w:rsidRPr="000623DE">
        <w:rPr>
          <w:rFonts w:eastAsia="Calibri"/>
        </w:rPr>
        <w:t xml:space="preserve"> refleksjon, gi råd, følge med på kompetanseutviklingen og forberede godkjenning av læringsmål, både fagspesifikke læringsmål og felles kompetansemål. I tillegg til å </w:t>
      </w:r>
      <w:r w:rsidR="51477BB8" w:rsidRPr="000623DE">
        <w:rPr>
          <w:rFonts w:eastAsia="Calibri"/>
        </w:rPr>
        <w:t>sikre at ALIS-veileder er</w:t>
      </w:r>
      <w:r w:rsidRPr="000623DE">
        <w:rPr>
          <w:rFonts w:eastAsia="Calibri"/>
        </w:rPr>
        <w:t xml:space="preserve"> spesialist i allmennmedisin, har kommunene ansvar for å sørge for at veilede</w:t>
      </w:r>
      <w:r w:rsidR="51477BB8" w:rsidRPr="000623DE">
        <w:rPr>
          <w:rFonts w:eastAsia="Calibri"/>
        </w:rPr>
        <w:t>r</w:t>
      </w:r>
      <w:r w:rsidRPr="000623DE">
        <w:rPr>
          <w:rFonts w:eastAsia="Calibri"/>
        </w:rPr>
        <w:t xml:space="preserve"> får tilbud om kurs for å oppnå nødvendig veilederkompetanse.</w:t>
      </w:r>
    </w:p>
    <w:p w14:paraId="2A914222" w14:textId="77777777" w:rsidR="00D9107F" w:rsidRDefault="25EB2D99" w:rsidP="00CF32F3">
      <w:pPr>
        <w:ind w:left="10" w:hanging="10"/>
        <w:jc w:val="both"/>
      </w:pPr>
      <w:r>
        <w:t>Mindre folkerike</w:t>
      </w:r>
      <w:r w:rsidR="07609F93">
        <w:t xml:space="preserve"> kommuner i distriktene kjennetegnes ofte av lavere andel fastleger som er spesialister i allmennmedisin, høyere andel lister uten </w:t>
      </w:r>
      <w:r w:rsidR="004F7D62">
        <w:t xml:space="preserve">fast </w:t>
      </w:r>
      <w:r w:rsidR="07609F93">
        <w:t>lege og kortere avtalevarighet. Utfordringen knyttet til å få spesialister i allmennmedisin som kan være veiledere</w:t>
      </w:r>
      <w:r w:rsidR="3DCC7BE6">
        <w:t>,</w:t>
      </w:r>
      <w:r w:rsidR="07609F93">
        <w:t xml:space="preserve"> er særlig stor her samtidig som det å skaffe veileder</w:t>
      </w:r>
      <w:r w:rsidR="3DCC7BE6">
        <w:t>,</w:t>
      </w:r>
      <w:r w:rsidR="07609F93">
        <w:t xml:space="preserve"> er forutsetning for å klare å rekruttere og beholde ALIS</w:t>
      </w:r>
      <w:r w:rsidR="0F689457">
        <w:t xml:space="preserve"> </w:t>
      </w:r>
      <w:r w:rsidR="00B60B70">
        <w:fldChar w:fldCharType="begin"/>
      </w:r>
      <w:r w:rsidR="00235862">
        <w:instrText xml:space="preserve"> ADDIN EN.CITE &lt;EndNote&gt;&lt;Cite&gt;&lt;Author&gt;Helsedirektoratet&lt;/Author&gt;&lt;Year&gt;2021&lt;/Year&gt;&lt;RecNum&gt;589&lt;/RecNum&gt;&lt;DisplayText&gt;(Helsedirektoratet, 2021d)&lt;/DisplayText&gt;&lt;record&gt;&lt;rec-number&gt;589&lt;/rec-number&gt;&lt;foreign-keys&gt;&lt;key app="EN" db-id="95tpr2tp6r9xwoea9rb5wdsz5ds5xeddteew" timestamp="1680069511"&gt;589&lt;/key&gt;&lt;/foreign-keys&gt;&lt;ref-type name="Report"&gt;27&lt;/ref-type&gt;&lt;contributors&gt;&lt;authors&gt;&lt;author&gt;Helsedirektoratet&lt;/author&gt;&lt;/authors&gt;&lt;/contributors&gt;&lt;titles&gt;&lt;title&gt;Oppfølging av Handlingsplan for allmennlegetjenesten 2020-2024 : Årsrapport 2020&lt;/title&gt;&lt;/titles&gt;&lt;number&gt;IS-3030&lt;/number&gt;&lt;dates&gt;&lt;year&gt;2021&lt;/year&gt;&lt;/dates&gt;&lt;pub-location&gt;Oslo&lt;/pub-location&gt;&lt;publisher&gt;Helsedirektoratet&lt;/publisher&gt;&lt;urls&gt;&lt;/urls&gt;&lt;/record&gt;&lt;/Cite&gt;&lt;/EndNote&gt;</w:instrText>
      </w:r>
      <w:r w:rsidR="00B60B70">
        <w:fldChar w:fldCharType="separate"/>
      </w:r>
      <w:r w:rsidR="00D078E3">
        <w:rPr>
          <w:noProof/>
        </w:rPr>
        <w:t>(Helsedirektoratet, 2021d)</w:t>
      </w:r>
      <w:r w:rsidR="00B60B70">
        <w:fldChar w:fldCharType="end"/>
      </w:r>
      <w:r w:rsidR="07609F93">
        <w:t>.</w:t>
      </w:r>
    </w:p>
    <w:p w14:paraId="445265B3" w14:textId="45D57FB6" w:rsidR="00AA73CD" w:rsidRDefault="439CE0BB" w:rsidP="00775632">
      <w:pPr>
        <w:pStyle w:val="Overskrift4"/>
      </w:pPr>
      <w:bookmarkStart w:id="5327" w:name="_Toc130983695"/>
      <w:bookmarkStart w:id="5328" w:name="_Toc130984044"/>
      <w:bookmarkStart w:id="5329" w:name="_Toc131279639"/>
      <w:bookmarkStart w:id="5330" w:name="_Toc131287051"/>
      <w:bookmarkStart w:id="5331" w:name="_Toc131281461"/>
      <w:bookmarkStart w:id="5332" w:name="_Toc131318001"/>
      <w:r>
        <w:t>Institusjonstjenesten</w:t>
      </w:r>
      <w:bookmarkEnd w:id="5327"/>
      <w:bookmarkEnd w:id="5328"/>
      <w:bookmarkEnd w:id="5329"/>
      <w:bookmarkEnd w:id="5330"/>
      <w:bookmarkEnd w:id="5331"/>
      <w:bookmarkEnd w:id="5332"/>
    </w:p>
    <w:p w14:paraId="1EDE36AA" w14:textId="77777777" w:rsidR="00D9107F" w:rsidRDefault="07609F93" w:rsidP="00CF32F3">
      <w:pPr>
        <w:jc w:val="both"/>
        <w:rPr>
          <w:rFonts w:eastAsiaTheme="minorEastAsia"/>
        </w:rPr>
      </w:pPr>
      <w:r>
        <w:t xml:space="preserve">Læringsmålene ALM-055 og ALM-085 er en videreføring av intensjonen med institusjonstjenesten i gammel ordning for spesialistutdanning. Overført til læringsmål er det samhandling og dybdekompetanse som er </w:t>
      </w:r>
      <w:r w:rsidRPr="498DE090">
        <w:rPr>
          <w:rFonts w:eastAsiaTheme="minorEastAsia"/>
        </w:rPr>
        <w:t>ønsket læringsutbytte av opphold ved en spesialisert virksomhet</w:t>
      </w:r>
      <w:r w:rsidR="06F70C6B" w:rsidRPr="498DE090">
        <w:rPr>
          <w:rFonts w:eastAsiaTheme="minorEastAsia"/>
        </w:rPr>
        <w:t xml:space="preserve">. </w:t>
      </w:r>
      <w:r w:rsidRPr="498DE090">
        <w:rPr>
          <w:rFonts w:eastAsiaTheme="minorEastAsia"/>
        </w:rPr>
        <w:t>Spesialisert</w:t>
      </w:r>
      <w:r w:rsidR="06F70C6B" w:rsidRPr="498DE090">
        <w:rPr>
          <w:rFonts w:eastAsiaTheme="minorEastAsia"/>
        </w:rPr>
        <w:t xml:space="preserve"> </w:t>
      </w:r>
      <w:r w:rsidRPr="498DE090">
        <w:rPr>
          <w:rFonts w:eastAsiaTheme="minorEastAsia"/>
        </w:rPr>
        <w:t>virksomhet kan være poliklinikk, sykehus</w:t>
      </w:r>
      <w:r w:rsidR="38B0F898" w:rsidRPr="498DE090">
        <w:rPr>
          <w:rFonts w:eastAsiaTheme="minorEastAsia"/>
        </w:rPr>
        <w:t>,</w:t>
      </w:r>
      <w:r w:rsidRPr="498DE090">
        <w:rPr>
          <w:rFonts w:eastAsiaTheme="minorEastAsia"/>
        </w:rPr>
        <w:t xml:space="preserve"> eller en stor kommunal helseinstitusjon som yter spesialiserte tjenester. Det er vanskelig for kommunen å få til </w:t>
      </w:r>
      <w:r w:rsidRPr="498DE090">
        <w:rPr>
          <w:rFonts w:eastAsiaTheme="minorEastAsia"/>
        </w:rPr>
        <w:lastRenderedPageBreak/>
        <w:t>forutsigbare avtaler med sykehusene om institusjonstjeneste for ALIS</w:t>
      </w:r>
      <w:r w:rsidR="7E65C382" w:rsidRPr="68389823">
        <w:rPr>
          <w:rFonts w:eastAsiaTheme="minorEastAsia"/>
        </w:rPr>
        <w:t xml:space="preserve"> </w:t>
      </w:r>
      <w:r w:rsidR="00B60B70">
        <w:rPr>
          <w:rFonts w:eastAsiaTheme="minorEastAsia"/>
        </w:rPr>
        <w:fldChar w:fldCharType="begin"/>
      </w:r>
      <w:r w:rsidR="00235862">
        <w:rPr>
          <w:rFonts w:eastAsiaTheme="minorEastAsia"/>
        </w:rPr>
        <w:instrText xml:space="preserve"> ADDIN EN.CITE &lt;EndNote&gt;&lt;Cite&gt;&lt;Author&gt;Abelsen&lt;/Author&gt;&lt;Year&gt;2022&lt;/Year&gt;&lt;RecNum&gt;28&lt;/RecNum&gt;&lt;DisplayText&gt;(Abelsen et al., 2022a)&lt;/DisplayText&gt;&lt;record&gt;&lt;rec-number&gt;28&lt;/rec-number&gt;&lt;foreign-keys&gt;&lt;key app="EN" db-id="95tpr2tp6r9xwoea9rb5wdsz5ds5xeddteew" timestamp="1680069511"&gt;28&lt;/key&gt;&lt;/foreign-keys&gt;&lt;ref-type name="Report"&gt;27&lt;/ref-type&gt;&lt;contributors&gt;&lt;authors&gt;&lt;author&gt;Abelsen, Birgit&lt;/author&gt;&lt;author&gt;Fosse, Anette&lt;/author&gt;&lt;author&gt;Gaski, Margrete&lt;/author&gt;&lt;/authors&gt;&lt;/contributors&gt;&lt;titles&gt;&lt;title&gt;ALIS i bykommuner: Erfaringer med utdanningselementer og utdanningsløp&lt;/title&gt;&lt;secondary-title&gt;NSDM-rapport&lt;/secondary-title&gt;&lt;/titles&gt;&lt;dates&gt;&lt;year&gt;2022&lt;/year&gt;&lt;/dates&gt;&lt;pub-location&gt;Tromsø&lt;/pub-location&gt;&lt;publisher&gt;Nasjonalt senter for distriksmedisin og UiT Norges arktiske universitet&lt;/publisher&gt;&lt;urls&gt;&lt;/urls&gt;&lt;/record&gt;&lt;/Cite&gt;&lt;/EndNote&gt;</w:instrText>
      </w:r>
      <w:r w:rsidR="00B60B70">
        <w:rPr>
          <w:rFonts w:eastAsiaTheme="minorEastAsia"/>
        </w:rPr>
        <w:fldChar w:fldCharType="separate"/>
      </w:r>
      <w:r w:rsidR="00856689">
        <w:rPr>
          <w:rFonts w:eastAsiaTheme="minorEastAsia"/>
          <w:noProof/>
        </w:rPr>
        <w:t>(Abelsen et al., 2022a)</w:t>
      </w:r>
      <w:r w:rsidR="00B60B70">
        <w:rPr>
          <w:rFonts w:eastAsiaTheme="minorEastAsia"/>
        </w:rPr>
        <w:fldChar w:fldCharType="end"/>
      </w:r>
      <w:r w:rsidRPr="68389823">
        <w:rPr>
          <w:rFonts w:eastAsiaTheme="minorEastAsia"/>
        </w:rPr>
        <w:t>.</w:t>
      </w:r>
      <w:r w:rsidRPr="498DE090">
        <w:rPr>
          <w:rFonts w:eastAsiaTheme="minorEastAsia"/>
        </w:rPr>
        <w:t xml:space="preserve"> Konkurransen om tilgang til LIS-stillinger i sykehus er tiltagende, noe som bidrar til at sykehusene ofte prioriterer egne utdanningsbehov</w:t>
      </w:r>
      <w:r w:rsidR="6FA9E07D" w:rsidRPr="5197A342">
        <w:rPr>
          <w:rFonts w:eastAsiaTheme="minorEastAsia"/>
        </w:rPr>
        <w:t xml:space="preserve"> </w:t>
      </w:r>
      <w:r w:rsidR="001F5F05">
        <w:rPr>
          <w:rFonts w:eastAsiaTheme="minorEastAsia"/>
        </w:rPr>
        <w:fldChar w:fldCharType="begin"/>
      </w:r>
      <w:r w:rsidR="00A27571">
        <w:rPr>
          <w:rFonts w:eastAsiaTheme="minorEastAsia"/>
        </w:rPr>
        <w:instrText xml:space="preserve"> ADDIN EN.CITE &lt;EndNote&gt;&lt;Cite&gt;&lt;Author&gt;Helse Nord&lt;/Author&gt;&lt;Year&gt;2019&lt;/Year&gt;&lt;RecNum&gt;245&lt;/RecNum&gt;&lt;DisplayText&gt;(Helse Nord, 2019)&lt;/DisplayText&gt;&lt;record&gt;&lt;rec-number&gt;245&lt;/rec-number&gt;&lt;foreign-keys&gt;&lt;key app="EN" db-id="95tpr2tp6r9xwoea9rb5wdsz5ds5xeddteew" timestamp="1680069511"&gt;245&lt;/key&gt;&lt;/foreign-keys&gt;&lt;ref-type name="Report"&gt;27&lt;/ref-type&gt;&lt;contributors&gt;&lt;authors&gt;&lt;author&gt;Helse Nord,&lt;/author&gt;&lt;/authors&gt;&lt;/contributors&gt;&lt;titles&gt;&lt;title&gt;Fastlegetjenesten i Nord-Norge: Status, utfordringer og forslag til tiltak&lt;/title&gt;&lt;/titles&gt;&lt;dates&gt;&lt;year&gt;2019&lt;/year&gt;&lt;/dates&gt;&lt;pub-location&gt;Bodø&lt;/pub-location&gt;&lt;publisher&gt;Helse Nord&lt;/publisher&gt;&lt;urls&gt;&lt;/urls&gt;&lt;/record&gt;&lt;/Cite&gt;&lt;/EndNote&gt;</w:instrText>
      </w:r>
      <w:r w:rsidR="001F5F05">
        <w:rPr>
          <w:rFonts w:eastAsiaTheme="minorEastAsia"/>
        </w:rPr>
        <w:fldChar w:fldCharType="separate"/>
      </w:r>
      <w:r w:rsidR="001F5F05">
        <w:rPr>
          <w:rFonts w:eastAsiaTheme="minorEastAsia"/>
          <w:noProof/>
        </w:rPr>
        <w:t>(Helse Nord, 2019)</w:t>
      </w:r>
      <w:r w:rsidR="001F5F05">
        <w:rPr>
          <w:rFonts w:eastAsiaTheme="minorEastAsia"/>
        </w:rPr>
        <w:fldChar w:fldCharType="end"/>
      </w:r>
      <w:r w:rsidRPr="5197A342">
        <w:rPr>
          <w:rFonts w:eastAsiaTheme="minorEastAsia"/>
        </w:rPr>
        <w:t>.</w:t>
      </w:r>
      <w:r w:rsidRPr="498DE090">
        <w:rPr>
          <w:rFonts w:eastAsiaTheme="minorEastAsia"/>
        </w:rPr>
        <w:t xml:space="preserve"> Behovet for legevikarer i en gitt avdeling kan komme i konflikt med å tilby ALIS</w:t>
      </w:r>
      <w:r w:rsidR="38B0F898" w:rsidRPr="498DE090">
        <w:rPr>
          <w:rFonts w:eastAsiaTheme="minorEastAsia"/>
        </w:rPr>
        <w:t>-</w:t>
      </w:r>
      <w:r w:rsidRPr="498DE090">
        <w:rPr>
          <w:rFonts w:eastAsiaTheme="minorEastAsia"/>
        </w:rPr>
        <w:t xml:space="preserve">tjeneste innenfor ønsket fagfelt. For å få et egnet vikariat, kan det være nødvendig for ALIS å være fleksibel </w:t>
      </w:r>
      <w:r w:rsidR="51477BB8" w:rsidRPr="498DE090">
        <w:rPr>
          <w:rFonts w:eastAsiaTheme="minorEastAsia"/>
        </w:rPr>
        <w:t>med hensyn</w:t>
      </w:r>
      <w:r w:rsidRPr="498DE090">
        <w:rPr>
          <w:rFonts w:eastAsiaTheme="minorEastAsia"/>
        </w:rPr>
        <w:t xml:space="preserve"> til oppstart og ønsket fagfelt.</w:t>
      </w:r>
    </w:p>
    <w:p w14:paraId="3BACF848" w14:textId="77777777" w:rsidR="00D9107F" w:rsidRDefault="07609F93" w:rsidP="00DD1273">
      <w:pPr>
        <w:jc w:val="both"/>
      </w:pPr>
      <w:r w:rsidRPr="498DE090">
        <w:rPr>
          <w:rFonts w:eastAsiaTheme="minorEastAsia"/>
        </w:rPr>
        <w:t>For ALIS som jobber i distriktskommuner</w:t>
      </w:r>
      <w:r w:rsidR="51477BB8" w:rsidRPr="498DE090">
        <w:rPr>
          <w:rFonts w:eastAsiaTheme="minorEastAsia"/>
        </w:rPr>
        <w:t>,</w:t>
      </w:r>
      <w:r w:rsidRPr="498DE090">
        <w:rPr>
          <w:rFonts w:eastAsiaTheme="minorEastAsia"/>
        </w:rPr>
        <w:t xml:space="preserve"> vil institusjonstjenesten ofte medføre at legen, og kanskje familien, må flytte. </w:t>
      </w:r>
      <w:r w:rsidR="519F7F62" w:rsidRPr="498DE090">
        <w:rPr>
          <w:rFonts w:eastAsiaTheme="minorEastAsia"/>
        </w:rPr>
        <w:t>Fr</w:t>
      </w:r>
      <w:r w:rsidR="51477BB8" w:rsidRPr="498DE090">
        <w:rPr>
          <w:rFonts w:eastAsiaTheme="minorEastAsia"/>
        </w:rPr>
        <w:t>a</w:t>
      </w:r>
      <w:r w:rsidR="519F7F62" w:rsidRPr="498DE090">
        <w:rPr>
          <w:rFonts w:eastAsiaTheme="minorEastAsia"/>
        </w:rPr>
        <w:t xml:space="preserve"> kommunens side medfører institusjonstjenesten risiko knyttet til om det er mulig å dekke opp fraværet med vikar, og om ALIS vil komme tilbake til kommunen. </w:t>
      </w:r>
      <w:r w:rsidR="3E75C183" w:rsidRPr="498DE090">
        <w:rPr>
          <w:rFonts w:eastAsiaTheme="minorEastAsia"/>
        </w:rPr>
        <w:t xml:space="preserve">I tillegg er det </w:t>
      </w:r>
      <w:r w:rsidR="4FBC7D91">
        <w:t xml:space="preserve">store kostnader </w:t>
      </w:r>
      <w:r w:rsidR="4FBC7D91" w:rsidRPr="498DE090">
        <w:rPr>
          <w:rFonts w:eastAsiaTheme="minorEastAsia"/>
        </w:rPr>
        <w:t xml:space="preserve">forbundet </w:t>
      </w:r>
      <w:r w:rsidR="5AE1BFBD">
        <w:t>med å finne vikar</w:t>
      </w:r>
      <w:r w:rsidR="3E75C183">
        <w:t xml:space="preserve"> </w:t>
      </w:r>
      <w:r w:rsidR="00B60B70">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B60B70">
        <w:fldChar w:fldCharType="separate"/>
      </w:r>
      <w:r w:rsidR="00B60B70">
        <w:rPr>
          <w:noProof/>
        </w:rPr>
        <w:t>(Helgheim Holte et al., 2022)</w:t>
      </w:r>
      <w:r w:rsidR="00B60B70">
        <w:fldChar w:fldCharType="end"/>
      </w:r>
      <w:r w:rsidR="00CF7336">
        <w:t>.</w:t>
      </w:r>
    </w:p>
    <w:p w14:paraId="00B5EEEF" w14:textId="4DE3EAA1" w:rsidR="00D9107F" w:rsidRDefault="00AA73CD" w:rsidP="00CF32F3">
      <w:pPr>
        <w:jc w:val="both"/>
        <w:rPr>
          <w:rFonts w:eastAsiaTheme="minorEastAsia"/>
        </w:rPr>
      </w:pPr>
      <w:r w:rsidRPr="33408F37">
        <w:rPr>
          <w:rFonts w:eastAsiaTheme="minorEastAsia"/>
        </w:rPr>
        <w:t>Institusjonstjenesten for å oppnå læringsmålene om samhandling og dybdekompetanse</w:t>
      </w:r>
      <w:r w:rsidR="008E07A2">
        <w:rPr>
          <w:rFonts w:eastAsiaTheme="minorEastAsia"/>
        </w:rPr>
        <w:t>,</w:t>
      </w:r>
      <w:r w:rsidRPr="33408F37">
        <w:rPr>
          <w:rFonts w:eastAsiaTheme="minorEastAsia"/>
        </w:rPr>
        <w:t xml:space="preserve"> kommer i tillegg til 12 måneders tjeneste i sykehus som LIS1. Knyttet til samhandling, er det ingen andre av spesialitetene i sykehus som har tilsvarende </w:t>
      </w:r>
      <w:r>
        <w:rPr>
          <w:rFonts w:eastAsiaTheme="minorEastAsia"/>
        </w:rPr>
        <w:t>anbefaling om</w:t>
      </w:r>
      <w:r w:rsidRPr="33408F37">
        <w:rPr>
          <w:rFonts w:eastAsiaTheme="minorEastAsia"/>
        </w:rPr>
        <w:t xml:space="preserve"> tjeneste i kommunen. Selv om læringsmålene er gode, og noen sykehus har fått på plass ordninger som </w:t>
      </w:r>
      <w:r w:rsidRPr="374C9F70">
        <w:rPr>
          <w:color w:val="000000"/>
          <w:shd w:val="clear" w:color="auto" w:fill="FFFFFF"/>
        </w:rPr>
        <w:t>skal gjøre det lettere for ALIS å finne aktuelle stillinger</w:t>
      </w:r>
      <w:r w:rsidRPr="33408F37">
        <w:rPr>
          <w:rFonts w:eastAsiaTheme="minorEastAsia"/>
        </w:rPr>
        <w:t>, synes ulempene forbundet med gjennomføring av denne delen av spesialistutdanningen fortsatt å være betydelige.</w:t>
      </w:r>
      <w:r w:rsidR="002472E5">
        <w:rPr>
          <w:rFonts w:eastAsiaTheme="minorEastAsia"/>
        </w:rPr>
        <w:t xml:space="preserve"> </w:t>
      </w:r>
      <w:r w:rsidR="002472E5" w:rsidRPr="00DC3DD5">
        <w:t>Ekspertutvalget mener at ALIS ikke trenger institusjonstjeneste, dersom læringsmålene kan oppnås på annen måte.</w:t>
      </w:r>
    </w:p>
    <w:p w14:paraId="191D7DB2" w14:textId="7437188E" w:rsidR="00AA73CD" w:rsidRDefault="439CE0BB" w:rsidP="00775632">
      <w:pPr>
        <w:pStyle w:val="Overskrift4"/>
      </w:pPr>
      <w:bookmarkStart w:id="5333" w:name="_Toc130983696"/>
      <w:bookmarkStart w:id="5334" w:name="_Toc130984045"/>
      <w:bookmarkStart w:id="5335" w:name="_Toc131279640"/>
      <w:bookmarkStart w:id="5336" w:name="_Toc131287052"/>
      <w:bookmarkStart w:id="5337" w:name="_Toc131281462"/>
      <w:bookmarkStart w:id="5338" w:name="_Toc131318002"/>
      <w:r>
        <w:t xml:space="preserve">Kravene om </w:t>
      </w:r>
      <w:r w:rsidR="27F694A4">
        <w:t>to</w:t>
      </w:r>
      <w:r>
        <w:t xml:space="preserve"> års uselektert allmennpraksis</w:t>
      </w:r>
      <w:bookmarkEnd w:id="5333"/>
      <w:bookmarkEnd w:id="5334"/>
      <w:bookmarkEnd w:id="5335"/>
      <w:bookmarkEnd w:id="5336"/>
      <w:bookmarkEnd w:id="5337"/>
      <w:bookmarkEnd w:id="5338"/>
    </w:p>
    <w:p w14:paraId="0AC258BC" w14:textId="77777777" w:rsidR="00D9107F" w:rsidRDefault="519F7F62" w:rsidP="000623DE">
      <w:r>
        <w:rPr>
          <w:rFonts w:eastAsia="Calibri"/>
        </w:rPr>
        <w:t xml:space="preserve">Kravene til minimum </w:t>
      </w:r>
      <w:r w:rsidR="5D6F3450">
        <w:rPr>
          <w:rFonts w:eastAsia="Calibri"/>
        </w:rPr>
        <w:t>to</w:t>
      </w:r>
      <w:r>
        <w:rPr>
          <w:rFonts w:eastAsia="Calibri"/>
        </w:rPr>
        <w:t xml:space="preserve"> års åpen uselektert allmennpraksis</w:t>
      </w:r>
      <w:r w:rsidR="4ED2B73B" w:rsidRPr="6B50B2D4">
        <w:rPr>
          <w:rFonts w:eastAsia="Calibri"/>
        </w:rPr>
        <w:t xml:space="preserve">, </w:t>
      </w:r>
      <w:r w:rsidR="4ED2B73B" w:rsidRPr="005525E6">
        <w:rPr>
          <w:rFonts w:eastAsia="Calibri"/>
        </w:rPr>
        <w:t>har i hovedsak vært tolket til å gjelde p</w:t>
      </w:r>
      <w:r w:rsidR="5C6C2752" w:rsidRPr="005525E6">
        <w:rPr>
          <w:rFonts w:eastAsia="Calibri"/>
        </w:rPr>
        <w:t>r</w:t>
      </w:r>
      <w:r w:rsidR="4ED2B73B" w:rsidRPr="005525E6">
        <w:rPr>
          <w:rFonts w:eastAsia="Calibri"/>
        </w:rPr>
        <w:t>aksis i fastlegekontor, og kravene</w:t>
      </w:r>
      <w:r>
        <w:rPr>
          <w:rFonts w:eastAsia="Calibri"/>
        </w:rPr>
        <w:t xml:space="preserve"> er videreført i ny ordning for spesialistutdanning. ALIS</w:t>
      </w:r>
      <w:r w:rsidR="730072BD">
        <w:rPr>
          <w:rFonts w:eastAsia="Calibri"/>
        </w:rPr>
        <w:t xml:space="preserve"> </w:t>
      </w:r>
      <w:r>
        <w:rPr>
          <w:rFonts w:eastAsia="Calibri"/>
        </w:rPr>
        <w:t>ansatt i andre kommunale stillinger</w:t>
      </w:r>
      <w:r w:rsidR="5D6F3450">
        <w:rPr>
          <w:rFonts w:eastAsia="Calibri"/>
        </w:rPr>
        <w:t>,</w:t>
      </w:r>
      <w:r>
        <w:rPr>
          <w:rFonts w:eastAsia="Calibri"/>
        </w:rPr>
        <w:t xml:space="preserve"> som sykehjem og legevakt, må forlate dette tilsettingsforholdet i minst </w:t>
      </w:r>
      <w:r w:rsidR="5D6F3450">
        <w:rPr>
          <w:rFonts w:eastAsia="Calibri"/>
        </w:rPr>
        <w:t>to</w:t>
      </w:r>
      <w:r>
        <w:rPr>
          <w:rFonts w:eastAsia="Calibri"/>
        </w:rPr>
        <w:t xml:space="preserve"> år, for å jobbe i fastlegepraksis. </w:t>
      </w:r>
      <w:r w:rsidR="173D2FFB" w:rsidRPr="005525E6">
        <w:rPr>
          <w:rFonts w:eastAsia="Calibri"/>
        </w:rPr>
        <w:t>I kommuner med hovedsakelig næringsdrivende fastleger, er</w:t>
      </w:r>
      <w:r w:rsidR="173D2FFB" w:rsidRPr="06CC098C">
        <w:rPr>
          <w:rFonts w:eastAsia="Calibri"/>
        </w:rPr>
        <w:t xml:space="preserve"> </w:t>
      </w:r>
      <w:r w:rsidR="173D2FFB" w:rsidRPr="005525E6">
        <w:rPr>
          <w:rFonts w:eastAsia="Calibri"/>
        </w:rPr>
        <w:t>u</w:t>
      </w:r>
      <w:r w:rsidR="6235EEB3" w:rsidRPr="005525E6">
        <w:t>tfordringen</w:t>
      </w:r>
      <w:r w:rsidR="6235EEB3" w:rsidRPr="6B50B2D4">
        <w:t xml:space="preserve"> særlig knyttet til </w:t>
      </w:r>
      <w:r w:rsidR="51477BB8">
        <w:t>at</w:t>
      </w:r>
      <w:r w:rsidR="6235EEB3" w:rsidRPr="6B50B2D4">
        <w:t xml:space="preserve"> fast lønnet kommunalt ansatt lege må bli næringsdrivende fastlegevikar i minst to år for å tilfredsstille</w:t>
      </w:r>
      <w:r w:rsidR="4EAC015C" w:rsidRPr="06CC098C">
        <w:t xml:space="preserve"> </w:t>
      </w:r>
      <w:r w:rsidR="6235EEB3" w:rsidRPr="28F81EEF">
        <w:t>kravet om åpen uselektert allmennpraksis.</w:t>
      </w:r>
    </w:p>
    <w:p w14:paraId="20A98D39" w14:textId="77777777" w:rsidR="00D9107F" w:rsidRDefault="4EC2781B" w:rsidP="000623DE">
      <w:r>
        <w:t>Det er</w:t>
      </w:r>
      <w:r w:rsidR="6235EEB3" w:rsidRPr="28F81EEF">
        <w:t xml:space="preserve"> utfordrende å finne </w:t>
      </w:r>
      <w:r w:rsidR="29D6DB4F" w:rsidRPr="28F81EEF">
        <w:t>en passende</w:t>
      </w:r>
      <w:r w:rsidR="6235EEB3" w:rsidRPr="28F81EEF">
        <w:t xml:space="preserve"> stilling i et fastlegekontor, og næringsdrift ser ut til å være lite egnet</w:t>
      </w:r>
      <w:r w:rsidR="6235EEB3">
        <w:t>.</w:t>
      </w:r>
      <w:r w:rsidR="6235EEB3" w:rsidRPr="28F81EEF">
        <w:t xml:space="preserve"> </w:t>
      </w:r>
      <w:r w:rsidR="519F7F62" w:rsidRPr="004029CE">
        <w:rPr>
          <w:rFonts w:eastAsiaTheme="minorEastAsia"/>
        </w:rPr>
        <w:t>For flere</w:t>
      </w:r>
      <w:r w:rsidR="519F7F62">
        <w:rPr>
          <w:rFonts w:eastAsia="Calibri"/>
        </w:rPr>
        <w:t xml:space="preserve"> av disse legene som har søkt jobb som ansatt i kommunen, </w:t>
      </w:r>
      <w:r w:rsidR="5181BC8A">
        <w:rPr>
          <w:rFonts w:eastAsia="Calibri"/>
        </w:rPr>
        <w:t>utgjør</w:t>
      </w:r>
      <w:r w:rsidR="519F7F62">
        <w:rPr>
          <w:rFonts w:eastAsia="Calibri"/>
        </w:rPr>
        <w:t xml:space="preserve"> overgangen til fastlegepraksis </w:t>
      </w:r>
      <w:r w:rsidR="4EE1F856">
        <w:rPr>
          <w:rFonts w:eastAsia="Calibri"/>
        </w:rPr>
        <w:t>en barriere.</w:t>
      </w:r>
      <w:r w:rsidR="42474CC0">
        <w:rPr>
          <w:rFonts w:eastAsia="Calibri"/>
        </w:rPr>
        <w:t xml:space="preserve"> </w:t>
      </w:r>
      <w:r w:rsidR="7B9FFC62">
        <w:rPr>
          <w:rFonts w:eastAsia="Calibri"/>
        </w:rPr>
        <w:t xml:space="preserve">Fra kommunens ståsted medfører kravet til uselektert allmennpraksis </w:t>
      </w:r>
      <w:r w:rsidR="51477BB8">
        <w:rPr>
          <w:rFonts w:eastAsia="Calibri"/>
        </w:rPr>
        <w:t>stadig utskiftning</w:t>
      </w:r>
      <w:r w:rsidR="7B9FFC62">
        <w:rPr>
          <w:rFonts w:eastAsia="Calibri"/>
        </w:rPr>
        <w:t xml:space="preserve"> av leger </w:t>
      </w:r>
      <w:r w:rsidR="51477BB8">
        <w:rPr>
          <w:rFonts w:eastAsia="Calibri"/>
        </w:rPr>
        <w:t>i</w:t>
      </w:r>
      <w:r w:rsidR="7B9FFC62">
        <w:rPr>
          <w:rFonts w:eastAsia="Calibri"/>
        </w:rPr>
        <w:t xml:space="preserve"> stillinger i sykehjem og legevakt, diskontinuitet og økt vikarbehov. D</w:t>
      </w:r>
      <w:r w:rsidR="7B9FFC62" w:rsidRPr="28F81EEF">
        <w:t xml:space="preserve">et er en utfordring å finne kvalifiserte vikarer </w:t>
      </w:r>
      <w:r w:rsidR="00B60B70">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B60B70">
        <w:fldChar w:fldCharType="separate"/>
      </w:r>
      <w:r w:rsidR="00B60B70">
        <w:rPr>
          <w:noProof/>
        </w:rPr>
        <w:t>(Helgheim Holte et al., 2022)</w:t>
      </w:r>
      <w:r w:rsidR="00B60B70">
        <w:fldChar w:fldCharType="end"/>
      </w:r>
      <w:r w:rsidR="00CF7336">
        <w:t>.</w:t>
      </w:r>
      <w:r w:rsidR="00F9403F">
        <w:rPr>
          <w:rFonts w:eastAsia="Calibri"/>
        </w:rPr>
        <w:t xml:space="preserve"> </w:t>
      </w:r>
      <w:r w:rsidR="519F7F62">
        <w:rPr>
          <w:rFonts w:eastAsia="Calibri"/>
        </w:rPr>
        <w:t>Innføring av introduksjonsavtaler er en ny ordning, som på langt nær dekker behovet</w:t>
      </w:r>
      <w:r w:rsidR="5D6F3450">
        <w:rPr>
          <w:rFonts w:eastAsia="Calibri"/>
        </w:rPr>
        <w:t xml:space="preserve">, </w:t>
      </w:r>
      <w:r w:rsidR="519F7F62">
        <w:rPr>
          <w:rFonts w:eastAsia="Calibri"/>
        </w:rPr>
        <w:t xml:space="preserve">og som fortsatt gir uforutsigbarhet. Dette bidrar til at </w:t>
      </w:r>
      <w:r w:rsidR="7B7E7B95">
        <w:rPr>
          <w:rFonts w:eastAsia="Calibri"/>
        </w:rPr>
        <w:t xml:space="preserve">vanskelighetene med </w:t>
      </w:r>
      <w:r w:rsidR="519F7F62">
        <w:rPr>
          <w:rFonts w:eastAsia="Calibri"/>
        </w:rPr>
        <w:t xml:space="preserve">å fullføre spesialistutdanningen i allmennmedisin for </w:t>
      </w:r>
      <w:r w:rsidR="566116DA">
        <w:rPr>
          <w:rFonts w:eastAsia="Calibri"/>
        </w:rPr>
        <w:t>allmennleger som ikke er fastleger</w:t>
      </w:r>
      <w:r w:rsidR="51477BB8">
        <w:rPr>
          <w:rFonts w:eastAsia="Calibri"/>
        </w:rPr>
        <w:t>,</w:t>
      </w:r>
      <w:r w:rsidR="519F7F62">
        <w:rPr>
          <w:rFonts w:eastAsia="Calibri"/>
        </w:rPr>
        <w:t xml:space="preserve"> blir særlig </w:t>
      </w:r>
      <w:r w:rsidR="319E2EAF">
        <w:rPr>
          <w:rFonts w:eastAsia="Calibri"/>
        </w:rPr>
        <w:t>store</w:t>
      </w:r>
      <w:r w:rsidR="519F7F62">
        <w:rPr>
          <w:rFonts w:eastAsia="Calibri"/>
        </w:rPr>
        <w:t xml:space="preserve">, og at </w:t>
      </w:r>
      <w:r w:rsidR="519F7F62" w:rsidRPr="004029CE">
        <w:rPr>
          <w:rFonts w:eastAsiaTheme="minorEastAsia"/>
        </w:rPr>
        <w:t xml:space="preserve">utdanningen kan trekke ut i tid. </w:t>
      </w:r>
      <w:r w:rsidR="00AA73CD" w:rsidRPr="004029CE">
        <w:rPr>
          <w:rFonts w:eastAsiaTheme="minorEastAsia"/>
        </w:rPr>
        <w:t xml:space="preserve">Flere kommuner har den senere tiden tatt i bruk ulike former for turnusordninger, såkalt </w:t>
      </w:r>
      <w:r w:rsidR="3E7B0E41" w:rsidRPr="004029CE">
        <w:rPr>
          <w:rFonts w:eastAsiaTheme="minorEastAsia"/>
        </w:rPr>
        <w:t>n</w:t>
      </w:r>
      <w:r w:rsidR="00AA73CD" w:rsidRPr="004029CE">
        <w:rPr>
          <w:rFonts w:eastAsiaTheme="minorEastAsia"/>
        </w:rPr>
        <w:t xml:space="preserve">ordsjøturnus, hvor legen kun periodevis er til stede på fastlegekontoret. </w:t>
      </w:r>
      <w:r w:rsidR="00AA73CD">
        <w:t xml:space="preserve">Legeturnusen kan organiseres på mange ulike måter. Et gjennomgående </w:t>
      </w:r>
      <w:r w:rsidR="00AA73CD">
        <w:lastRenderedPageBreak/>
        <w:t>trekk er at legen arbeider kortvarig mellom 1-3 uker, og ofte med høy legevaktbelastning. Innholdet i arbeidet på dagtid kan variere</w:t>
      </w:r>
      <w:r w:rsidR="00AA01C8">
        <w:t>,</w:t>
      </w:r>
      <w:r w:rsidR="00AA73CD">
        <w:t xml:space="preserve"> fra ren fastlegevirksomhet til stillinger med en kombinasjon av fastlegevirksomhet, andre kommunale legeoppgaver og daglegevakt. Etter ordinær kontortid</w:t>
      </w:r>
      <w:r w:rsidR="00F868AF">
        <w:t>,</w:t>
      </w:r>
      <w:r w:rsidR="00AA73CD">
        <w:t xml:space="preserve"> arbeider mange legevakt, enten ved tilstedeværelse på legevaktkontor</w:t>
      </w:r>
      <w:r w:rsidR="00AA01C8">
        <w:t>,</w:t>
      </w:r>
      <w:r w:rsidR="00AA73CD">
        <w:t xml:space="preserve"> eller som hjemmevakt med utrykning. Antall timer i aktiv tjeneste vil derfor variere fra kommune til kommune. </w:t>
      </w:r>
      <w:r w:rsidR="00A30B23">
        <w:t>Fysisk o</w:t>
      </w:r>
      <w:r w:rsidR="00AA73CD">
        <w:t xml:space="preserve">ppfølging av pasienter skjer når legen er tilbake etter 3-4 uker. Helsedirektoratets vurdering har inntil nylig vært at </w:t>
      </w:r>
      <w:r w:rsidR="5B49409A">
        <w:t>n</w:t>
      </w:r>
      <w:r w:rsidR="00AA73CD">
        <w:t xml:space="preserve">ordsjøturnus ikke vurderes som tjenestetid for åpen uselektert </w:t>
      </w:r>
      <w:r w:rsidR="003B4CBB">
        <w:t>allmenn</w:t>
      </w:r>
      <w:r w:rsidR="00AA73CD">
        <w:t xml:space="preserve">praksis, men kan benyttes som allmennmedisinsk tjenestetid for de resterende </w:t>
      </w:r>
      <w:r w:rsidR="00AA01C8">
        <w:t>tre</w:t>
      </w:r>
      <w:r w:rsidR="00AA73CD">
        <w:t xml:space="preserve"> årene i ny spesialistutdanning. Dette har medført at disse legene ikke kan fullføre spesialistutdanningen i kommunen</w:t>
      </w:r>
      <w:r w:rsidR="009952AC">
        <w:t>.</w:t>
      </w:r>
    </w:p>
    <w:p w14:paraId="214BB450" w14:textId="77777777" w:rsidR="00D9107F" w:rsidRDefault="00B71E64" w:rsidP="000623DE">
      <w:pPr>
        <w:rPr>
          <w:rFonts w:eastAsia="Calibri"/>
        </w:rPr>
      </w:pPr>
      <w:r>
        <w:rPr>
          <w:rFonts w:eastAsia="Calibri"/>
        </w:rPr>
        <w:t xml:space="preserve">Det rigide kravet til stillingsprosent medfører </w:t>
      </w:r>
      <w:r w:rsidR="00237E0D">
        <w:rPr>
          <w:rFonts w:eastAsia="Calibri"/>
        </w:rPr>
        <w:t>i tillegg</w:t>
      </w:r>
      <w:r w:rsidR="009E3B67">
        <w:rPr>
          <w:rFonts w:eastAsia="Calibri"/>
        </w:rPr>
        <w:t xml:space="preserve"> at</w:t>
      </w:r>
      <w:r>
        <w:rPr>
          <w:rFonts w:eastAsia="Calibri"/>
        </w:rPr>
        <w:t xml:space="preserve"> leger som av ulike årsaker ikke jobbe</w:t>
      </w:r>
      <w:r w:rsidR="00A30B23">
        <w:rPr>
          <w:rFonts w:eastAsia="Calibri"/>
        </w:rPr>
        <w:t>r</w:t>
      </w:r>
      <w:r>
        <w:rPr>
          <w:rFonts w:eastAsia="Calibri"/>
        </w:rPr>
        <w:t xml:space="preserve"> mer enn 50</w:t>
      </w:r>
      <w:r w:rsidR="00DE1631">
        <w:rPr>
          <w:rFonts w:eastAsia="Calibri"/>
        </w:rPr>
        <w:t xml:space="preserve"> prosent</w:t>
      </w:r>
      <w:r>
        <w:rPr>
          <w:rFonts w:eastAsia="Calibri"/>
        </w:rPr>
        <w:t xml:space="preserve"> i fastlegepraksis, aldri vil kunne bli spesialist i faget.</w:t>
      </w:r>
      <w:r w:rsidR="00825430">
        <w:rPr>
          <w:rFonts w:eastAsia="Calibri"/>
        </w:rPr>
        <w:t xml:space="preserve"> </w:t>
      </w:r>
      <w:r w:rsidR="00792A58" w:rsidRPr="00BD5F25">
        <w:t>Dersom særlige hensyn tilsier</w:t>
      </w:r>
      <w:r w:rsidR="00792A58">
        <w:t xml:space="preserve"> det</w:t>
      </w:r>
      <w:r w:rsidR="00963CC6">
        <w:t>,</w:t>
      </w:r>
      <w:r w:rsidR="00792A58" w:rsidRPr="00BD5F25">
        <w:t xml:space="preserve"> kan Helsedirektoratet </w:t>
      </w:r>
      <w:r w:rsidR="00111AD6">
        <w:t xml:space="preserve">imidlertid </w:t>
      </w:r>
      <w:r w:rsidR="00792A58" w:rsidRPr="00BD5F25">
        <w:t xml:space="preserve">etter søknad gi fritak fra kravet om en arbeidstid tilsvarende minst 50 </w:t>
      </w:r>
      <w:r w:rsidR="00792A58" w:rsidRPr="00BD5F25" w:rsidDel="00FF367B">
        <w:t xml:space="preserve">prosent </w:t>
      </w:r>
      <w:r w:rsidR="00792A58" w:rsidRPr="00BD5F25">
        <w:t>av heltid</w:t>
      </w:r>
      <w:r w:rsidR="00111AD6">
        <w:t xml:space="preserve">. Likevel </w:t>
      </w:r>
      <w:r w:rsidR="002C0C08">
        <w:t>innebær</w:t>
      </w:r>
      <w:r w:rsidR="00111AD6">
        <w:t xml:space="preserve">er dette </w:t>
      </w:r>
      <w:r w:rsidR="002C0C08">
        <w:t xml:space="preserve">at det kan være vanskelig å bli inkludert i </w:t>
      </w:r>
      <w:r w:rsidR="00390C6C">
        <w:rPr>
          <w:rFonts w:eastAsia="Calibri"/>
        </w:rPr>
        <w:t>arbeidslivet</w:t>
      </w:r>
      <w:r w:rsidR="00246A75">
        <w:rPr>
          <w:rFonts w:eastAsia="Calibri"/>
        </w:rPr>
        <w:t xml:space="preserve"> </w:t>
      </w:r>
      <w:r w:rsidR="002C0C08">
        <w:rPr>
          <w:rFonts w:eastAsia="Calibri"/>
        </w:rPr>
        <w:t xml:space="preserve">for leger med nedsatt funksjonsevne eller andre </w:t>
      </w:r>
      <w:r w:rsidR="2A6A3E52" w:rsidRPr="61F667FB">
        <w:rPr>
          <w:rFonts w:eastAsia="Calibri"/>
        </w:rPr>
        <w:t>utfordringer</w:t>
      </w:r>
      <w:r w:rsidR="002C0C08">
        <w:rPr>
          <w:rFonts w:eastAsia="Calibri"/>
        </w:rPr>
        <w:t xml:space="preserve"> som gjør at de ikke kan jobbe minst 50</w:t>
      </w:r>
      <w:r w:rsidR="00DE1631">
        <w:rPr>
          <w:rFonts w:eastAsia="Calibri"/>
        </w:rPr>
        <w:t xml:space="preserve"> prosent</w:t>
      </w:r>
      <w:r w:rsidR="002C0C08">
        <w:rPr>
          <w:rFonts w:eastAsia="Calibri"/>
        </w:rPr>
        <w:t>.</w:t>
      </w:r>
    </w:p>
    <w:p w14:paraId="506CC047" w14:textId="239B8BB7" w:rsidR="00AA73CD" w:rsidRDefault="439CE0BB" w:rsidP="00775632">
      <w:pPr>
        <w:pStyle w:val="Overskrift3"/>
      </w:pPr>
      <w:bookmarkStart w:id="5339" w:name="_Toc120526269"/>
      <w:bookmarkStart w:id="5340" w:name="_Toc126834465"/>
      <w:bookmarkStart w:id="5341" w:name="_Toc127633350"/>
      <w:bookmarkStart w:id="5342" w:name="_Toc127864635"/>
      <w:bookmarkStart w:id="5343" w:name="_Toc128238652"/>
      <w:bookmarkStart w:id="5344" w:name="_Toc128742100"/>
      <w:bookmarkStart w:id="5345" w:name="_Toc128744728"/>
      <w:bookmarkStart w:id="5346" w:name="_Toc128744947"/>
      <w:bookmarkStart w:id="5347" w:name="_Toc129630452"/>
      <w:bookmarkStart w:id="5348" w:name="_Toc130763959"/>
      <w:bookmarkStart w:id="5349" w:name="_Toc130766854"/>
      <w:bookmarkStart w:id="5350" w:name="_Toc130932253"/>
      <w:bookmarkStart w:id="5351" w:name="_Toc130934544"/>
      <w:bookmarkStart w:id="5352" w:name="_Toc130983697"/>
      <w:bookmarkStart w:id="5353" w:name="_Toc130984046"/>
      <w:bookmarkStart w:id="5354" w:name="_Toc131062295"/>
      <w:bookmarkStart w:id="5355" w:name="_Toc131062549"/>
      <w:bookmarkStart w:id="5356" w:name="_Toc131062810"/>
      <w:bookmarkStart w:id="5357" w:name="_Toc131063063"/>
      <w:bookmarkStart w:id="5358" w:name="_Toc131063846"/>
      <w:bookmarkStart w:id="5359" w:name="_Toc131064257"/>
      <w:bookmarkStart w:id="5360" w:name="_Toc131279641"/>
      <w:bookmarkStart w:id="5361" w:name="_Toc131287053"/>
      <w:bookmarkStart w:id="5362" w:name="_Toc131281463"/>
      <w:bookmarkStart w:id="5363" w:name="_Toc131318003"/>
      <w:bookmarkStart w:id="5364" w:name="_Toc132537090"/>
      <w:r>
        <w:t>Kommunens rolle og forutsetninger for å være utdanningsvirksomhet</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77193277" w14:textId="77777777" w:rsidR="00AA73CD" w:rsidRDefault="00AA73CD" w:rsidP="00CF32F3">
      <w:pPr>
        <w:jc w:val="both"/>
      </w:pPr>
      <w:r>
        <w:t>Omleggingen av spesialistutdanningen tildeler</w:t>
      </w:r>
      <w:r w:rsidDel="00F47B8F">
        <w:t xml:space="preserve"> </w:t>
      </w:r>
      <w:r>
        <w:t>kommuner som er registrerte utdanningsvirksomheter</w:t>
      </w:r>
      <w:r w:rsidR="00FF367B">
        <w:t>,</w:t>
      </w:r>
      <w:r>
        <w:t xml:space="preserve"> en ny rolle ved at det er kommunens ansvar å legge til rette for at fastleger og andre leger i kommunale, kliniske stillinger under spesialisering i allmennmedisin kan gjennomføre utdanningsløpet. Kommunene </w:t>
      </w:r>
      <w:r w:rsidR="00C4203D">
        <w:t>var</w:t>
      </w:r>
      <w:r w:rsidR="00AA01C8">
        <w:t>,</w:t>
      </w:r>
      <w:r>
        <w:t xml:space="preserve"> i varierende grad</w:t>
      </w:r>
      <w:r w:rsidR="00AA01C8">
        <w:t>,</w:t>
      </w:r>
      <w:r>
        <w:t xml:space="preserve"> forberedt på sitt nye ansvar for å sørge for spesialistutdanningen av allmennleger</w:t>
      </w:r>
      <w:r w:rsidR="002935E2">
        <w:t>, og det er f</w:t>
      </w:r>
      <w:r w:rsidR="00CF42A7">
        <w:t>ortsatt mye usikkerhet.</w:t>
      </w:r>
    </w:p>
    <w:p w14:paraId="1CB1F4CC" w14:textId="77777777" w:rsidR="00AA73CD" w:rsidRDefault="00AA73CD" w:rsidP="00CF32F3">
      <w:pPr>
        <w:jc w:val="both"/>
      </w:pPr>
      <w:r>
        <w:t xml:space="preserve">Kommunene har mange plikter knyttet til legers spesialistutdanning. Mye av dette er nye oppgaver som er tillagt kommunene de siste årene. Det krever god kunnskap om rammer og avtaleverk for å lede og ivareta den kommunale allmennlegetjenesten, </w:t>
      </w:r>
      <w:r w:rsidR="0068300B">
        <w:t xml:space="preserve">holde seg oppdatert om regelverket </w:t>
      </w:r>
      <w:r>
        <w:t xml:space="preserve">og tilrettelegge for spesialistutdanning. </w:t>
      </w:r>
      <w:r w:rsidR="00E123AA">
        <w:t xml:space="preserve">Mindre folkerike kommuner har ikke nødvendigvis </w:t>
      </w:r>
      <w:r w:rsidR="0068300B">
        <w:t>ALIS</w:t>
      </w:r>
      <w:r w:rsidR="00E123AA">
        <w:t xml:space="preserve"> til enhver tid, noe som gjør det utfordrende for kommunen å vedlikeholde kompetansen knyttet til det å være utdanningsvirksomhet.</w:t>
      </w:r>
    </w:p>
    <w:p w14:paraId="7208E96F" w14:textId="4D2ED633" w:rsidR="008D0853" w:rsidRDefault="29B557F0" w:rsidP="007E64C3">
      <w:pPr>
        <w:jc w:val="both"/>
      </w:pPr>
      <w:r>
        <w:t xml:space="preserve">Ny spesialistutdanning har </w:t>
      </w:r>
      <w:r w:rsidR="158A3A5C">
        <w:t>lagt til rette for at kommune</w:t>
      </w:r>
      <w:r w:rsidR="022F92BF">
        <w:t>r</w:t>
      </w:r>
      <w:r w:rsidR="158A3A5C">
        <w:t xml:space="preserve"> kan</w:t>
      </w:r>
      <w:r w:rsidR="64D972EE">
        <w:t xml:space="preserve"> å ta </w:t>
      </w:r>
      <w:r w:rsidR="0B978027">
        <w:t>en aktiv rolle</w:t>
      </w:r>
      <w:r w:rsidR="5F9A0716">
        <w:t xml:space="preserve">, </w:t>
      </w:r>
      <w:r w:rsidR="0B978027">
        <w:t xml:space="preserve">komme tettere på </w:t>
      </w:r>
      <w:r w:rsidR="18D9540E">
        <w:t>ALIS</w:t>
      </w:r>
      <w:r w:rsidR="5F9A0716">
        <w:t xml:space="preserve"> og være me</w:t>
      </w:r>
      <w:r w:rsidR="260EC6A6">
        <w:t>r</w:t>
      </w:r>
      <w:r w:rsidR="5F9A0716">
        <w:t xml:space="preserve"> delaktig i denne delen av tjenesten</w:t>
      </w:r>
      <w:r w:rsidR="0885E538">
        <w:t xml:space="preserve">. Samtidig </w:t>
      </w:r>
      <w:r w:rsidR="260EC6A6">
        <w:t xml:space="preserve">har det nye ansvaret </w:t>
      </w:r>
      <w:r>
        <w:t>gitt et betydelig merarbeid for kommunene og økt adminis</w:t>
      </w:r>
      <w:r w:rsidR="20FBB7BD">
        <w:t>trasjon</w:t>
      </w:r>
      <w:r>
        <w:t>. D</w:t>
      </w:r>
      <w:r w:rsidRPr="00B340E1">
        <w:t>et er store variasjoner i kommunenes kostnader som følge av spesialistutdanningen</w:t>
      </w:r>
      <w:r>
        <w:t xml:space="preserve">. Forskjeller i totale kostnader forbundet med ALIS skyldes blant annet ulikheter i fastlønn, bonuser, listelengder og kostnader med drift av legekontor </w:t>
      </w:r>
      <w:r w:rsidR="00B60B70">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B60B70">
        <w:fldChar w:fldCharType="separate"/>
      </w:r>
      <w:r w:rsidR="00B60B70">
        <w:rPr>
          <w:noProof/>
        </w:rPr>
        <w:t>(Helgheim Holte et al., 2022)</w:t>
      </w:r>
      <w:r w:rsidR="00B60B70">
        <w:fldChar w:fldCharType="end"/>
      </w:r>
      <w:r w:rsidR="00CF7336">
        <w:t>.</w:t>
      </w:r>
    </w:p>
    <w:p w14:paraId="5AF0316C" w14:textId="2F216324" w:rsidR="00AA73CD" w:rsidRDefault="00AA73CD" w:rsidP="007E64C3">
      <w:r>
        <w:t xml:space="preserve">Kommunenes ulike forutsetninger reiser spørsmålet om hvor hensiktsmessig det er at alle kommuner skal være utdanningsvirksomheter med det ansvaret som følger med, </w:t>
      </w:r>
      <w:r w:rsidR="008448F4">
        <w:t xml:space="preserve">om dagens </w:t>
      </w:r>
      <w:r w:rsidR="008448F4">
        <w:lastRenderedPageBreak/>
        <w:t xml:space="preserve">organisering innebærer en effektiv ressursbruk, og om </w:t>
      </w:r>
      <w:r>
        <w:t xml:space="preserve">kommunene </w:t>
      </w:r>
      <w:r w:rsidR="002C0C08">
        <w:t>har</w:t>
      </w:r>
      <w:r w:rsidR="002B7AD9">
        <w:t>,</w:t>
      </w:r>
      <w:r w:rsidR="002C0C08">
        <w:t xml:space="preserve"> </w:t>
      </w:r>
      <w:r w:rsidR="002B7AD9">
        <w:t xml:space="preserve">eller </w:t>
      </w:r>
      <w:r w:rsidR="008448F4">
        <w:t>får tilført</w:t>
      </w:r>
      <w:r w:rsidR="002B7AD9">
        <w:t>,</w:t>
      </w:r>
      <w:r w:rsidR="008448F4">
        <w:t xml:space="preserve"> de ressursene de trenger for </w:t>
      </w:r>
      <w:r>
        <w:t xml:space="preserve">å </w:t>
      </w:r>
      <w:r w:rsidR="008448F4">
        <w:t xml:space="preserve">håndtere </w:t>
      </w:r>
      <w:r>
        <w:t>ansvaret for spesialistutdanningen.</w:t>
      </w:r>
    </w:p>
    <w:p w14:paraId="0EE05B21" w14:textId="77777777" w:rsidR="006B3509" w:rsidRPr="006B3509" w:rsidRDefault="41F66795" w:rsidP="00775632">
      <w:pPr>
        <w:pStyle w:val="Overskrift3"/>
      </w:pPr>
      <w:bookmarkStart w:id="5365" w:name="_Toc128238653"/>
      <w:bookmarkStart w:id="5366" w:name="_Toc128742101"/>
      <w:bookmarkStart w:id="5367" w:name="_Toc128744729"/>
      <w:bookmarkStart w:id="5368" w:name="_Toc128744948"/>
      <w:bookmarkStart w:id="5369" w:name="_Toc129630453"/>
      <w:bookmarkStart w:id="5370" w:name="_Toc130763960"/>
      <w:bookmarkStart w:id="5371" w:name="_Toc130766855"/>
      <w:bookmarkStart w:id="5372" w:name="_Toc130932254"/>
      <w:bookmarkStart w:id="5373" w:name="_Toc130934545"/>
      <w:bookmarkStart w:id="5374" w:name="_Toc130983698"/>
      <w:bookmarkStart w:id="5375" w:name="_Toc130984047"/>
      <w:bookmarkStart w:id="5376" w:name="_Toc131062296"/>
      <w:bookmarkStart w:id="5377" w:name="_Toc131062550"/>
      <w:bookmarkStart w:id="5378" w:name="_Toc131062811"/>
      <w:bookmarkStart w:id="5379" w:name="_Toc131063064"/>
      <w:bookmarkStart w:id="5380" w:name="_Toc131063847"/>
      <w:bookmarkStart w:id="5381" w:name="_Toc131064258"/>
      <w:bookmarkStart w:id="5382" w:name="_Toc131279642"/>
      <w:bookmarkStart w:id="5383" w:name="_Toc131287054"/>
      <w:bookmarkStart w:id="5384" w:name="_Toc131281464"/>
      <w:bookmarkStart w:id="5385" w:name="_Toc131318004"/>
      <w:bookmarkStart w:id="5386" w:name="_Toc132537091"/>
      <w:r>
        <w:t>Effekter av obligatorisk etterutdanning</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14:paraId="5014AD6C" w14:textId="77777777" w:rsidR="00170580" w:rsidRPr="008E3DA1" w:rsidRDefault="556A4664" w:rsidP="00775632">
      <w:pPr>
        <w:pStyle w:val="Overskrift4"/>
      </w:pPr>
      <w:bookmarkStart w:id="5387" w:name="_Toc130983699"/>
      <w:bookmarkStart w:id="5388" w:name="_Toc130984048"/>
      <w:bookmarkStart w:id="5389" w:name="_Toc131279643"/>
      <w:bookmarkStart w:id="5390" w:name="_Toc131287055"/>
      <w:bookmarkStart w:id="5391" w:name="_Toc131281465"/>
      <w:bookmarkStart w:id="5392" w:name="_Toc131318005"/>
      <w:r>
        <w:t>Kompetanse og kvalitet</w:t>
      </w:r>
      <w:bookmarkEnd w:id="5387"/>
      <w:bookmarkEnd w:id="5388"/>
      <w:bookmarkEnd w:id="5389"/>
      <w:bookmarkEnd w:id="5390"/>
      <w:bookmarkEnd w:id="5391"/>
      <w:bookmarkEnd w:id="5392"/>
    </w:p>
    <w:p w14:paraId="444DD70F" w14:textId="45B9CBDD" w:rsidR="00170580" w:rsidRDefault="07F4C3B9" w:rsidP="00440775">
      <w:pPr>
        <w:jc w:val="both"/>
      </w:pPr>
      <w:r>
        <w:t xml:space="preserve">Nasjonale faglige retningslinjer, veiledere, anbefalinger og råd skal forhindre uønsket variasjon og bidra til riktige prioriteringer i helsetjenesten </w:t>
      </w:r>
      <w:r w:rsidR="001F5F05">
        <w:fldChar w:fldCharType="begin"/>
      </w:r>
      <w:r w:rsidR="001F5F05">
        <w:instrText xml:space="preserve"> ADDIN EN.CITE &lt;EndNote&gt;&lt;Cite ExcludeYear="1"&gt;&lt;Author&gt;Helsedirektoratet&lt;/Author&gt;&lt;RecNum&gt;1020&lt;/RecNum&gt;&lt;DisplayText&gt;(Helsedirektoratet)&lt;/DisplayText&gt;&lt;record&gt;&lt;rec-number&gt;1020&lt;/rec-number&gt;&lt;foreign-keys&gt;&lt;key app="EN" db-id="95tpr2tp6r9xwoea9rb5wdsz5ds5xeddteew" timestamp="1681142485"&gt;1020&lt;/key&gt;&lt;/foreign-keys&gt;&lt;ref-type name="Web Page"&gt;12&lt;/ref-type&gt;&lt;contributors&gt;&lt;authors&gt;&lt;author&gt;Helsedirektoratet&lt;/author&gt;&lt;/authors&gt;&lt;/contributors&gt;&lt;titles&gt;&lt;title&gt;Om Helsedirektoratets normerende produkter&lt;/title&gt;&lt;/titles&gt;&lt;volume&gt;2023&lt;/volume&gt;&lt;dates&gt;&lt;/dates&gt;&lt;urls&gt;&lt;related-urls&gt;&lt;url&gt;https://www.helsedirektoratet.no/produkter/om-helsedirektoratets-normerende-produkter&lt;/url&gt;&lt;/related-urls&gt;&lt;/urls&gt;&lt;/record&gt;&lt;/Cite&gt;&lt;/EndNote&gt;</w:instrText>
      </w:r>
      <w:r w:rsidR="001F5F05">
        <w:fldChar w:fldCharType="separate"/>
      </w:r>
      <w:r w:rsidR="001F5F05">
        <w:rPr>
          <w:noProof/>
        </w:rPr>
        <w:t>(Helsedirektoratet)</w:t>
      </w:r>
      <w:r w:rsidR="001F5F05">
        <w:fldChar w:fldCharType="end"/>
      </w:r>
      <w:r w:rsidR="00CF7336">
        <w:t>.</w:t>
      </w:r>
      <w:r>
        <w:t xml:space="preserve"> Vedlikehold av ferdigheter og ha oppdatert kunnskap er viktig for sikre god kvalitet i helsetjenesten. Kontinuerlig læring kan skje på ulike vis, og på ulike arenaer. Det er forskriftsfestede krav til helsepersonell om å yte forsvarlige tjenester, herunder </w:t>
      </w:r>
      <w:r w:rsidRPr="00DD0821">
        <w:t xml:space="preserve">arbeide systematisk </w:t>
      </w:r>
      <w:r>
        <w:t>med</w:t>
      </w:r>
      <w:r w:rsidRPr="00DD0821">
        <w:t xml:space="preserve"> kvalitetsforbedring og pasient- og brukersikkerhet.</w:t>
      </w:r>
      <w:r>
        <w:t xml:space="preserve"> Utover dette kan prosesser og aktiviteter for læring være frivillig eller definert ved krav om obligatorisk etterutdanning.</w:t>
      </w:r>
    </w:p>
    <w:p w14:paraId="6B2366A7" w14:textId="77777777" w:rsidR="00D9107F" w:rsidRDefault="07F4C3B9" w:rsidP="00440775">
      <w:pPr>
        <w:jc w:val="both"/>
      </w:pPr>
      <w:r>
        <w:t>Når man skal vurdere effekt</w:t>
      </w:r>
      <w:r w:rsidR="14335634">
        <w:t>er</w:t>
      </w:r>
      <w:r>
        <w:t xml:space="preserve"> av obligatorisk etterutdanning for allmennleger</w:t>
      </w:r>
      <w:r w:rsidR="14335634">
        <w:t>,</w:t>
      </w:r>
      <w:r>
        <w:t xml:space="preserve"> kan det være behov for å se ut over dokumenterte endringer i praksis, ferdigheter og kunnskap. Dette </w:t>
      </w:r>
      <w:r w:rsidR="14335634">
        <w:t xml:space="preserve">er </w:t>
      </w:r>
      <w:r>
        <w:t xml:space="preserve">størrelser </w:t>
      </w:r>
      <w:r w:rsidR="14335634">
        <w:t>det</w:t>
      </w:r>
      <w:r>
        <w:t xml:space="preserve"> er vanskelig å måle, og endring i praksis kan også påvirkes av andre forhold. Det </w:t>
      </w:r>
      <w:r w:rsidRPr="0007462C">
        <w:t>er</w:t>
      </w:r>
      <w:r>
        <w:t xml:space="preserve"> behov </w:t>
      </w:r>
      <w:r w:rsidRPr="0031695B">
        <w:t xml:space="preserve">for kunnskap som dokumenterer sammenhengen mellom </w:t>
      </w:r>
      <w:r>
        <w:t xml:space="preserve">krav til </w:t>
      </w:r>
      <w:r w:rsidRPr="0031695B">
        <w:t>etterutdanning og økt kvalitet i behandlingen av pasienter</w:t>
      </w:r>
      <w:r>
        <w:t xml:space="preserve"> </w:t>
      </w:r>
      <w:r w:rsidR="00B60B70">
        <w:fldChar w:fldCharType="begin">
          <w:fldData xml:space="preserve">PEVuZE5vdGU+PENpdGU+PEF1dGhvcj5XYWhsc3RlZHQ8L0F1dGhvcj48WWVhcj4yMDE5PC9ZZWFy
PjxSZWNOdW0+NTczPC9SZWNOdW0+PERpc3BsYXlUZXh0PihEb3dsaW5nIGV0IGFsLiwgMjAxODsg
TWFnd2VueWEgZXQgYWwuLCAyMDIyOyBXYWhsc3RlZHQsIDIwMTkpPC9EaXNwbGF5VGV4dD48cmVj
b3JkPjxyZWMtbnVtYmVyPjU3MzwvcmVjLW51bWJlcj48Zm9yZWlnbi1rZXlzPjxrZXkgYXBwPSJF
TiIgZGItaWQ9Ijk1dHByMnRwNnI5eHdvZWE5cmI1d2RzejVkczV4ZWRkdGVldyIgdGltZXN0YW1w
PSIxNjgwMDY5NTExIj41NzM8L2tleT48L2ZvcmVpZ24ta2V5cz48cmVmLXR5cGUgbmFtZT0iUmVw
b3J0Ij4yNzwvcmVmLXR5cGU+PGNvbnRyaWJ1dG9ycz48YXV0aG9ycz48YXV0aG9yPldhaGxzdGVk
dCwgUGVyPC9hdXRob3I+PC9hdXRob3JzPjwvY29udHJpYnV0b3JzPjx0aXRsZXM+PHRpdGxlPk9i
bGlnYXRvcmlzayBmb3J0YmlsZG5pbmcgaW5vbSBFVTogU2FtbWFuc3TDpGxsbmluZyBhdiB2aWxr
YSBsw6RuZGVyIGlub20gRVUvRUVTIG9jaCBFRlRBIHNvbSByZWdsZXJhciBsw6RrYXJlcyBmb3J0
YmlsZG5pbmc8L3RpdGxlPjwvdGl0bGVzPjxkYXRlcz48eWVhcj4yMDE5PC95ZWFyPjwvZGF0ZXM+
PHB1Yi1sb2NhdGlvbj5TdG9ja2hvbG08L3B1Yi1sb2NhdGlvbj48cHVibGlzaGVyPlN2ZXJpZ2Vz
IGzDpGthcmbDtnJidW5kPC9wdWJsaXNoZXI+PHVybHM+PC91cmxzPjwvcmVjb3JkPjwvQ2l0ZT48
Q2l0ZT48QXV0aG9yPkRvd2xpbmc8L0F1dGhvcj48WWVhcj4yMDE4PC9ZZWFyPjxSZWNOdW0+MTA5
PC9SZWNOdW0+PHJlY29yZD48cmVjLW51bWJlcj4xMDk8L3JlYy1udW1iZXI+PGZvcmVpZ24ta2V5
cz48a2V5IGFwcD0iRU4iIGRiLWlkPSI5NXRwcjJ0cDZyOXh3b2VhOXJiNXdkc3o1ZHM1eGVkZHRl
ZXciIHRpbWVzdGFtcD0iMTY4MDA2OTUxMSI+MTA5PC9rZXk+PC9mb3JlaWduLWtleXM+PHJlZi10
eXBlIG5hbWU9IkpvdXJuYWwgQXJ0aWNsZSI+MTc8L3JlZi10eXBlPjxjb250cmlidXRvcnM+PGF1
dGhvcnM+PGF1dGhvcj5Eb3dsaW5nLCBTdGVwaGFuaWU8L2F1dGhvcj48YXV0aG9yPkxhc3QsIEph
c29uPC9hdXRob3I+PGF1dGhvcj5GaW5uaWdhbiwgSGVucnk8L2F1dGhvcj48YXV0aG9yPkN1bGxl
biwgV2FsdGVyPC9hdXRob3I+PC9hdXRob3JzPjwvY29udHJpYnV0b3JzPjx0aXRsZXM+PHRpdGxl
PkNvbnRpbnVpbmcgZWR1Y2F0aW9uIGZvciBnZW5lcmFsIHByYWN0aXRpb25lcnMgd29ya2luZyBp
biBydXJhbCBwcmFjdGljZTogYSByZXZpZXcgb2YgdGhlIGxpdGVyYXR1cmU8L3RpdGxlPjxzZWNv
bmRhcnktdGl0bGU+RWR1Y2F0aW9uIGZvciBQcmltYXJ5IENhcmU8L3NlY29uZGFyeS10aXRsZT48
L3RpdGxlcz48cGVyaW9kaWNhbD48ZnVsbC10aXRsZT5FZHVjYXRpb24gZm9yIFByaW1hcnkgQ2Fy
ZTwvZnVsbC10aXRsZT48L3BlcmlvZGljYWw+PHBhZ2VzPjE1MS0xNjU8L3BhZ2VzPjx2b2x1bWU+
Mjk8L3ZvbHVtZT48bnVtYmVyPjM8L251bWJlcj48ZGF0ZXM+PHllYXI+MjAxODwveWVhcj48cHVi
LWRhdGVzPjxkYXRlPjIwMTgvMDUvMDQ8L2RhdGU+PC9wdWItZGF0ZXM+PC9kYXRlcz48cHVibGlz
aGVyPlRheWxvciAmYW1wOyBGcmFuY2lzPC9wdWJsaXNoZXI+PGlzYm4+MTQ3My05ODc5PC9pc2Ju
Pjx1cmxzPjwvdXJscz48L3JlY29yZD48L0NpdGU+PENpdGU+PEF1dGhvcj5NYWd3ZW55YTwvQXV0
aG9yPjxZZWFyPjIwMjI8L1llYXI+PFJlY051bT4xMTA8L1JlY051bT48cmVjb3JkPjxyZWMtbnVt
YmVyPjExMDwvcmVjLW51bWJlcj48Zm9yZWlnbi1rZXlzPjxrZXkgYXBwPSJFTiIgZGItaWQ9Ijk1
dHByMnRwNnI5eHdvZWE5cmI1d2RzejVkczV4ZWRkdGVldyIgdGltZXN0YW1wPSIxNjgwMDY5NTEx
Ij4xMTA8L2tleT48L2ZvcmVpZ24ta2V5cz48cmVmLXR5cGUgbmFtZT0iSm91cm5hbCBBcnRpY2xl
Ij4xNzwvcmVmLXR5cGU+PGNvbnRyaWJ1dG9ycz48YXV0aG9ycz48YXV0aG9yPk1hZ3dlbnlhLCBS
b2RuZXkgSC48L2F1dGhvcj48YXV0aG9yPlJvc3MsIEFuZHJldyBKb2huPC9hdXRob3I+PGF1dGhv
cj5OZ2F0aWFuZSwgTG9naWMgUy48L2F1dGhvcj48L2F1dGhvcnM+PC9jb250cmlidXRvcnM+PHRp
dGxlcz48dGl0bGU+Q29udGludWluZyBwcm9mZXNzaW9uYWwgZGV2ZWxvcG1lbnQgaW4gdGhlIGxh
c3QgZGVjYWRlIOKAkyBBIHNjb3BpbmcgcmV2aWV3PC90aXRsZT48c2Vjb25kYXJ5LXRpdGxlPkpv
dXJuYWwgb2YgQWR1bHQgYW5kIENvbnRpbnVpbmcgRWR1Y2F0aW9uPC9zZWNvbmRhcnktdGl0bGU+
PC90aXRsZXM+PHBlcmlvZGljYWw+PGZ1bGwtdGl0bGU+Sm91cm5hbCBvZiBBZHVsdCBhbmQgQ29u
dGludWluZyBFZHVjYXRpb248L2Z1bGwtdGl0bGU+PC9wZXJpb2RpY2FsPjxwYWdlcz4xNDc3OTcx
NDIyMTE0NzI5NzwvcGFnZXM+PGRhdGVzPjx5ZWFyPjIwMjI8L3llYXI+PC9kYXRlcz48cHVibGlz
aGVyPlNBR0UgUHVibGljYXRpb25zPC9wdWJsaXNoZXI+PGlzYm4+MTQ3Ny05NzE0PC9pc2JuPjx1
cmxzPjxyZWxhdGVkLXVybHM+PHVybD5odHRwczovL2RvaS5vcmcvMTAuMTE3Ny8xNDc3OTcxNDIy
MTE0NzI5NzwvdXJsPjwvcmVsYXRlZC11cmxzPjwvdXJscz48YWNjZXNzLWRhdGU+MjAyMy8wMy8x
NjwvYWNjZXNzLWRhdGU+PC9yZWNvcmQ+PC9DaXRlPjwvRW5kTm90ZT4A
</w:fldData>
        </w:fldChar>
      </w:r>
      <w:r w:rsidR="004654FD">
        <w:instrText xml:space="preserve"> ADDIN EN.CITE </w:instrText>
      </w:r>
      <w:r w:rsidR="004654FD">
        <w:fldChar w:fldCharType="begin">
          <w:fldData xml:space="preserve">PEVuZE5vdGU+PENpdGU+PEF1dGhvcj5XYWhsc3RlZHQ8L0F1dGhvcj48WWVhcj4yMDE5PC9ZZWFy
PjxSZWNOdW0+NTczPC9SZWNOdW0+PERpc3BsYXlUZXh0PihEb3dsaW5nIGV0IGFsLiwgMjAxODsg
TWFnd2VueWEgZXQgYWwuLCAyMDIyOyBXYWhsc3RlZHQsIDIwMTkpPC9EaXNwbGF5VGV4dD48cmVj
b3JkPjxyZWMtbnVtYmVyPjU3MzwvcmVjLW51bWJlcj48Zm9yZWlnbi1rZXlzPjxrZXkgYXBwPSJF
TiIgZGItaWQ9Ijk1dHByMnRwNnI5eHdvZWE5cmI1d2RzejVkczV4ZWRkdGVldyIgdGltZXN0YW1w
PSIxNjgwMDY5NTExIj41NzM8L2tleT48L2ZvcmVpZ24ta2V5cz48cmVmLXR5cGUgbmFtZT0iUmVw
b3J0Ij4yNzwvcmVmLXR5cGU+PGNvbnRyaWJ1dG9ycz48YXV0aG9ycz48YXV0aG9yPldhaGxzdGVk
dCwgUGVyPC9hdXRob3I+PC9hdXRob3JzPjwvY29udHJpYnV0b3JzPjx0aXRsZXM+PHRpdGxlPk9i
bGlnYXRvcmlzayBmb3J0YmlsZG5pbmcgaW5vbSBFVTogU2FtbWFuc3TDpGxsbmluZyBhdiB2aWxr
YSBsw6RuZGVyIGlub20gRVUvRUVTIG9jaCBFRlRBIHNvbSByZWdsZXJhciBsw6RrYXJlcyBmb3J0
YmlsZG5pbmc8L3RpdGxlPjwvdGl0bGVzPjxkYXRlcz48eWVhcj4yMDE5PC95ZWFyPjwvZGF0ZXM+
PHB1Yi1sb2NhdGlvbj5TdG9ja2hvbG08L3B1Yi1sb2NhdGlvbj48cHVibGlzaGVyPlN2ZXJpZ2Vz
IGzDpGthcmbDtnJidW5kPC9wdWJsaXNoZXI+PHVybHM+PC91cmxzPjwvcmVjb3JkPjwvQ2l0ZT48
Q2l0ZT48QXV0aG9yPkRvd2xpbmc8L0F1dGhvcj48WWVhcj4yMDE4PC9ZZWFyPjxSZWNOdW0+MTA5
PC9SZWNOdW0+PHJlY29yZD48cmVjLW51bWJlcj4xMDk8L3JlYy1udW1iZXI+PGZvcmVpZ24ta2V5
cz48a2V5IGFwcD0iRU4iIGRiLWlkPSI5NXRwcjJ0cDZyOXh3b2VhOXJiNXdkc3o1ZHM1eGVkZHRl
ZXciIHRpbWVzdGFtcD0iMTY4MDA2OTUxMSI+MTA5PC9rZXk+PC9mb3JlaWduLWtleXM+PHJlZi10
eXBlIG5hbWU9IkpvdXJuYWwgQXJ0aWNsZSI+MTc8L3JlZi10eXBlPjxjb250cmlidXRvcnM+PGF1
dGhvcnM+PGF1dGhvcj5Eb3dsaW5nLCBTdGVwaGFuaWU8L2F1dGhvcj48YXV0aG9yPkxhc3QsIEph
c29uPC9hdXRob3I+PGF1dGhvcj5GaW5uaWdhbiwgSGVucnk8L2F1dGhvcj48YXV0aG9yPkN1bGxl
biwgV2FsdGVyPC9hdXRob3I+PC9hdXRob3JzPjwvY29udHJpYnV0b3JzPjx0aXRsZXM+PHRpdGxl
PkNvbnRpbnVpbmcgZWR1Y2F0aW9uIGZvciBnZW5lcmFsIHByYWN0aXRpb25lcnMgd29ya2luZyBp
biBydXJhbCBwcmFjdGljZTogYSByZXZpZXcgb2YgdGhlIGxpdGVyYXR1cmU8L3RpdGxlPjxzZWNv
bmRhcnktdGl0bGU+RWR1Y2F0aW9uIGZvciBQcmltYXJ5IENhcmU8L3NlY29uZGFyeS10aXRsZT48
L3RpdGxlcz48cGVyaW9kaWNhbD48ZnVsbC10aXRsZT5FZHVjYXRpb24gZm9yIFByaW1hcnkgQ2Fy
ZTwvZnVsbC10aXRsZT48L3BlcmlvZGljYWw+PHBhZ2VzPjE1MS0xNjU8L3BhZ2VzPjx2b2x1bWU+
Mjk8L3ZvbHVtZT48bnVtYmVyPjM8L251bWJlcj48ZGF0ZXM+PHllYXI+MjAxODwveWVhcj48cHVi
LWRhdGVzPjxkYXRlPjIwMTgvMDUvMDQ8L2RhdGU+PC9wdWItZGF0ZXM+PC9kYXRlcz48cHVibGlz
aGVyPlRheWxvciAmYW1wOyBGcmFuY2lzPC9wdWJsaXNoZXI+PGlzYm4+MTQ3My05ODc5PC9pc2Ju
Pjx1cmxzPjwvdXJscz48L3JlY29yZD48L0NpdGU+PENpdGU+PEF1dGhvcj5NYWd3ZW55YTwvQXV0
aG9yPjxZZWFyPjIwMjI8L1llYXI+PFJlY051bT4xMTA8L1JlY051bT48cmVjb3JkPjxyZWMtbnVt
YmVyPjExMDwvcmVjLW51bWJlcj48Zm9yZWlnbi1rZXlzPjxrZXkgYXBwPSJFTiIgZGItaWQ9Ijk1
dHByMnRwNnI5eHdvZWE5cmI1d2RzejVkczV4ZWRkdGVldyIgdGltZXN0YW1wPSIxNjgwMDY5NTEx
Ij4xMTA8L2tleT48L2ZvcmVpZ24ta2V5cz48cmVmLXR5cGUgbmFtZT0iSm91cm5hbCBBcnRpY2xl
Ij4xNzwvcmVmLXR5cGU+PGNvbnRyaWJ1dG9ycz48YXV0aG9ycz48YXV0aG9yPk1hZ3dlbnlhLCBS
b2RuZXkgSC48L2F1dGhvcj48YXV0aG9yPlJvc3MsIEFuZHJldyBKb2huPC9hdXRob3I+PGF1dGhv
cj5OZ2F0aWFuZSwgTG9naWMgUy48L2F1dGhvcj48L2F1dGhvcnM+PC9jb250cmlidXRvcnM+PHRp
dGxlcz48dGl0bGU+Q29udGludWluZyBwcm9mZXNzaW9uYWwgZGV2ZWxvcG1lbnQgaW4gdGhlIGxh
c3QgZGVjYWRlIOKAkyBBIHNjb3BpbmcgcmV2aWV3PC90aXRsZT48c2Vjb25kYXJ5LXRpdGxlPkpv
dXJuYWwgb2YgQWR1bHQgYW5kIENvbnRpbnVpbmcgRWR1Y2F0aW9uPC9zZWNvbmRhcnktdGl0bGU+
PC90aXRsZXM+PHBlcmlvZGljYWw+PGZ1bGwtdGl0bGU+Sm91cm5hbCBvZiBBZHVsdCBhbmQgQ29u
dGludWluZyBFZHVjYXRpb248L2Z1bGwtdGl0bGU+PC9wZXJpb2RpY2FsPjxwYWdlcz4xNDc3OTcx
NDIyMTE0NzI5NzwvcGFnZXM+PGRhdGVzPjx5ZWFyPjIwMjI8L3llYXI+PC9kYXRlcz48cHVibGlz
aGVyPlNBR0UgUHVibGljYXRpb25zPC9wdWJsaXNoZXI+PGlzYm4+MTQ3Ny05NzE0PC9pc2JuPjx1
cmxzPjxyZWxhdGVkLXVybHM+PHVybD5odHRwczovL2RvaS5vcmcvMTAuMTE3Ny8xNDc3OTcxNDIy
MTE0NzI5NzwvdXJsPjwvcmVsYXRlZC11cmxzPjwvdXJscz48YWNjZXNzLWRhdGU+MjAyMy8wMy8x
NjwvYWNjZXNzLWRhdGU+PC9yZWNvcmQ+PC9DaXRlPjwvRW5kTm90ZT4A
</w:fldData>
        </w:fldChar>
      </w:r>
      <w:r w:rsidR="004654FD">
        <w:instrText xml:space="preserve"> ADDIN EN.CITE.DATA </w:instrText>
      </w:r>
      <w:r w:rsidR="004654FD">
        <w:fldChar w:fldCharType="end"/>
      </w:r>
      <w:r w:rsidR="00B60B70">
        <w:fldChar w:fldCharType="separate"/>
      </w:r>
      <w:r w:rsidR="004654FD">
        <w:rPr>
          <w:noProof/>
        </w:rPr>
        <w:t>(Dowling et al., 2018; Magwenya et al., 2022; Wahlstedt, 2019)</w:t>
      </w:r>
      <w:r w:rsidR="00B60B70">
        <w:fldChar w:fldCharType="end"/>
      </w:r>
      <w:r w:rsidR="002B1246">
        <w:t>.</w:t>
      </w:r>
      <w:r w:rsidR="007C3957">
        <w:t xml:space="preserve"> </w:t>
      </w:r>
      <w:r>
        <w:t xml:space="preserve">Overført til norske forhold er obligatorisk etterutdanning for allmennleger </w:t>
      </w:r>
      <w:r w:rsidRPr="00166B19">
        <w:t xml:space="preserve">en samling av </w:t>
      </w:r>
      <w:r>
        <w:t xml:space="preserve">poeng med et definert krav til mengde, </w:t>
      </w:r>
      <w:r w:rsidRPr="00166B19">
        <w:t xml:space="preserve">som ikke </w:t>
      </w:r>
      <w:r>
        <w:t xml:space="preserve">nødvendigvis </w:t>
      </w:r>
      <w:r w:rsidRPr="00166B19">
        <w:t>sier noe om kvaliteten på opplæringen</w:t>
      </w:r>
      <w:r>
        <w:t>, dens bidrag til</w:t>
      </w:r>
      <w:r w:rsidRPr="00166B19">
        <w:t xml:space="preserve"> faglig utvikling</w:t>
      </w:r>
      <w:r>
        <w:t xml:space="preserve"> eller til endring av praksis</w:t>
      </w:r>
      <w:r w:rsidRPr="00166B19">
        <w:t>.</w:t>
      </w:r>
    </w:p>
    <w:p w14:paraId="73A5F2AD" w14:textId="77777777" w:rsidR="00D9107F" w:rsidRDefault="00170580" w:rsidP="00440775">
      <w:pPr>
        <w:ind w:left="10" w:hanging="10"/>
        <w:jc w:val="both"/>
      </w:pPr>
      <w:r>
        <w:t>Etterutdanningsprogrammet for spesialister i allmennmedisin er ikke kompetansebasert, men ligner i stor grad på innretningen av gammel spesialistutdanning, hvor det er hva legen har gjort og ikke hva legen har lært som er tellende. Det kan tenkes at spesialister i allmennmedisin vil ha ulike behov for å delta på kompetansehevende aktiviteter gjennom en gitt periode. Dette er et argument for at etterutdanningen bør være</w:t>
      </w:r>
      <w:r w:rsidRPr="0031695B">
        <w:t xml:space="preserve"> fleksibel</w:t>
      </w:r>
      <w:r>
        <w:t xml:space="preserve"> og individuell</w:t>
      </w:r>
      <w:r w:rsidRPr="0031695B">
        <w:t>, slik at de</w:t>
      </w:r>
      <w:r>
        <w:t>n</w:t>
      </w:r>
      <w:r w:rsidRPr="0031695B">
        <w:t xml:space="preserve"> kan </w:t>
      </w:r>
      <w:r>
        <w:t xml:space="preserve">tilpasses </w:t>
      </w:r>
      <w:r w:rsidRPr="00166B19">
        <w:t>den enkelte</w:t>
      </w:r>
      <w:r w:rsidR="007B6992">
        <w:t xml:space="preserve"> lege</w:t>
      </w:r>
      <w:r w:rsidRPr="00166B19">
        <w:t xml:space="preserve"> og virksomhetens behov</w:t>
      </w:r>
      <w:r>
        <w:t xml:space="preserve"> for læring og kompetanse.</w:t>
      </w:r>
    </w:p>
    <w:p w14:paraId="59287050" w14:textId="4825F7F3" w:rsidR="00864FC9" w:rsidRDefault="00170580" w:rsidP="00440775">
      <w:pPr>
        <w:jc w:val="both"/>
      </w:pPr>
      <w:r>
        <w:t>I tillegg kommer andre effekter knyttet til faglig samhold og tilhørighet, herunder deltakelse i uformelle faglige diskusjoner, som kurs og kongresser gir anledning til, i tillegg til muligheten for å etablere faglig samarbeid knyttet til forskning og pasientbehandling. Dette kan tenkes å ha betydning for den enkelte og for fagmiljøet som helhet, men det er vanskelig å vite om ikke effekten ville vært lik om etterutdanningsprogrammet var frivillig.</w:t>
      </w:r>
    </w:p>
    <w:p w14:paraId="113A9D22" w14:textId="77777777" w:rsidR="00170580" w:rsidRDefault="556A4664" w:rsidP="00775632">
      <w:pPr>
        <w:pStyle w:val="Overskrift4"/>
      </w:pPr>
      <w:bookmarkStart w:id="5393" w:name="_Toc130983700"/>
      <w:bookmarkStart w:id="5394" w:name="_Toc130984049"/>
      <w:bookmarkStart w:id="5395" w:name="_Toc131279644"/>
      <w:bookmarkStart w:id="5396" w:name="_Toc131287056"/>
      <w:bookmarkStart w:id="5397" w:name="_Toc131281466"/>
      <w:bookmarkStart w:id="5398" w:name="_Toc131318006"/>
      <w:r>
        <w:t>Fastleger arbeider i større fagmiljø</w:t>
      </w:r>
      <w:bookmarkEnd w:id="5393"/>
      <w:bookmarkEnd w:id="5394"/>
      <w:bookmarkEnd w:id="5395"/>
      <w:bookmarkEnd w:id="5396"/>
      <w:bookmarkEnd w:id="5397"/>
      <w:bookmarkEnd w:id="5398"/>
    </w:p>
    <w:p w14:paraId="1C3C5795" w14:textId="77777777" w:rsidR="00D9107F" w:rsidRDefault="07F4C3B9" w:rsidP="00440775">
      <w:pPr>
        <w:jc w:val="both"/>
      </w:pPr>
      <w:r>
        <w:t xml:space="preserve">De siste årene har antall solopraksiser og fastlegekontorer med kun to eller tre fastleger blitt færre, mens det blir flere fastlegekontorer med fire eller flere leger </w:t>
      </w:r>
      <w:r w:rsidR="00B60B70">
        <w:fldChar w:fldCharType="begin"/>
      </w:r>
      <w:r w:rsidR="00694E6D">
        <w:instrText xml:space="preserve"> ADDIN EN.CITE &lt;EndNote&gt;&lt;Cite&gt;&lt;Author&gt;Helsedirektoratet&lt;/Author&gt;&lt;Year&gt;2019&lt;/Year&gt;&lt;RecNum&gt;733&lt;/RecNum&gt;&lt;DisplayText&gt;(Helsedirektoratet, 2019d)&lt;/DisplayText&gt;&lt;record&gt;&lt;rec-number&gt;733&lt;/rec-number&gt;&lt;foreign-keys&gt;&lt;key app="EN" db-id="95tpr2tp6r9xwoea9rb5wdsz5ds5xeddteew" timestamp="1680069511"&gt;733&lt;/key&gt;&lt;/foreign-keys&gt;&lt;ref-type name="Report"&gt;27&lt;/ref-type&gt;&lt;contributors&gt;&lt;authors&gt;&lt;author&gt;Helsedirektoratet&lt;/author&gt;&lt;/authors&gt;&lt;/contributors&gt;&lt;titles&gt;&lt;title&gt;Sammenstilling av data fra allmennlegetjenesten: Tilleggsoppdrag nr. 43 (2019)&lt;/title&gt;&lt;/titles&gt;&lt;number&gt;IS-2881&lt;/number&gt;&lt;dates&gt;&lt;year&gt;2019&lt;/year&gt;&lt;/dates&gt;&lt;pub-location&gt;Oslo&lt;/pub-location&gt;&lt;publisher&gt;Helsedirektoratet&lt;/publisher&gt;&lt;urls&gt;&lt;/urls&gt;&lt;/record&gt;&lt;/Cite&gt;&lt;/EndNote&gt;</w:instrText>
      </w:r>
      <w:r w:rsidR="00B60B70">
        <w:fldChar w:fldCharType="separate"/>
      </w:r>
      <w:r w:rsidR="001F5F05">
        <w:rPr>
          <w:noProof/>
        </w:rPr>
        <w:t>(Helsedirektoratet, 2019d)</w:t>
      </w:r>
      <w:r w:rsidR="00B60B70">
        <w:fldChar w:fldCharType="end"/>
      </w:r>
      <w:r w:rsidR="002B1246">
        <w:t>.</w:t>
      </w:r>
      <w:r>
        <w:t xml:space="preserve"> En reduksjon i antallet solopraksiser </w:t>
      </w:r>
      <w:r w:rsidR="002472E5">
        <w:t xml:space="preserve">og de minste fastlegekontorene medfører at fastleger i større grad arbeider i fellesskap med andre kollegaer, med mulighet for å diskutere og lære av </w:t>
      </w:r>
      <w:r w:rsidR="002472E5">
        <w:lastRenderedPageBreak/>
        <w:t>hverandre.</w:t>
      </w:r>
      <w:r>
        <w:t xml:space="preserve"> Dette kan tenkes å bidra til endring og korreksjon av praksis i tråd med ønsket utvikling, selv om miljøet ikke er like stort som på sykehus.</w:t>
      </w:r>
    </w:p>
    <w:p w14:paraId="04DBD8E1" w14:textId="405BC90A" w:rsidR="00170580" w:rsidRDefault="00170580" w:rsidP="00440775">
      <w:pPr>
        <w:ind w:left="10" w:hanging="10"/>
        <w:jc w:val="both"/>
      </w:pPr>
      <w:r>
        <w:t xml:space="preserve">Spesialister i allmennmedisin som er ansatt på legevakter i større byer, jobber i store fagmiljø. For å få rett til tilleggstakst må også leger på store legevakter gjennomføre obligatorisk etterutdanningsprogram. Da kravene i etterutdanningen omfatter </w:t>
      </w:r>
      <w:r w:rsidR="002472E5">
        <w:t>et</w:t>
      </w:r>
      <w:r>
        <w:t xml:space="preserve"> års uselektert allmennpraksis i løpet av 5</w:t>
      </w:r>
      <w:r w:rsidR="00632C86">
        <w:t>-</w:t>
      </w:r>
      <w:r>
        <w:t>års perioden, må legene ut av sin vanlige legevaktjobb for å jobbe på fastlegekontor. Dette kan skape diskontinuitet og økt vikarbehov på legevakten, mens det på samme tid kan bidra til at leger på legevakt dekker vikarbehov i fastlegepraksis.</w:t>
      </w:r>
    </w:p>
    <w:p w14:paraId="011BF5CD" w14:textId="77777777" w:rsidR="00170580" w:rsidRDefault="002C0C08" w:rsidP="00440775">
      <w:pPr>
        <w:jc w:val="both"/>
      </w:pPr>
      <w:r>
        <w:t>S</w:t>
      </w:r>
      <w:r w:rsidR="00170580">
        <w:t xml:space="preserve">ammenlignbare grupper av leger i Norge </w:t>
      </w:r>
      <w:r>
        <w:t xml:space="preserve">har </w:t>
      </w:r>
      <w:r w:rsidR="00170580">
        <w:t xml:space="preserve">ikke </w:t>
      </w:r>
      <w:r>
        <w:t xml:space="preserve">detaljerte </w:t>
      </w:r>
      <w:r w:rsidR="00170580">
        <w:t xml:space="preserve">krav til etterutdanning. </w:t>
      </w:r>
      <w:r>
        <w:t>For eksempel har ikke</w:t>
      </w:r>
      <w:r w:rsidR="00170580">
        <w:t xml:space="preserve"> spesialister i andre fagfelt (avtalespesialister)</w:t>
      </w:r>
      <w:r>
        <w:t>,</w:t>
      </w:r>
      <w:r w:rsidR="00170580">
        <w:t xml:space="preserve"> som </w:t>
      </w:r>
      <w:r>
        <w:t xml:space="preserve">kan </w:t>
      </w:r>
      <w:r w:rsidR="00170580">
        <w:t>jobbe alene eller i små fagmiljø</w:t>
      </w:r>
      <w:r>
        <w:t>, slike krav.</w:t>
      </w:r>
      <w:r w:rsidR="00170580">
        <w:t xml:space="preserve"> Det </w:t>
      </w:r>
      <w:r>
        <w:t>har heller ikke</w:t>
      </w:r>
      <w:r w:rsidR="00170580">
        <w:t xml:space="preserve"> spesialister i allmennmedisin som arbeider i andre kommunale stillinger (utenfor fastlegeordningen og legevakt), </w:t>
      </w:r>
      <w:r>
        <w:t>selv om de også</w:t>
      </w:r>
      <w:r w:rsidR="00170580">
        <w:t xml:space="preserve"> i det daglige kan være alene lege på jobb på for eksempel </w:t>
      </w:r>
      <w:r w:rsidR="00FC6FBB">
        <w:t xml:space="preserve">i </w:t>
      </w:r>
      <w:r w:rsidR="00170580">
        <w:t>sykehjem.</w:t>
      </w:r>
    </w:p>
    <w:p w14:paraId="38B922F2" w14:textId="77777777" w:rsidR="00170580" w:rsidRDefault="556A4664" w:rsidP="00775632">
      <w:pPr>
        <w:pStyle w:val="Overskrift4"/>
      </w:pPr>
      <w:bookmarkStart w:id="5399" w:name="_Toc130983701"/>
      <w:bookmarkStart w:id="5400" w:name="_Toc130984050"/>
      <w:bookmarkStart w:id="5401" w:name="_Toc131279645"/>
      <w:bookmarkStart w:id="5402" w:name="_Toc131287057"/>
      <w:bookmarkStart w:id="5403" w:name="_Toc131281467"/>
      <w:bookmarkStart w:id="5404" w:name="_Toc131318007"/>
      <w:r>
        <w:t>Søknadsprosessen</w:t>
      </w:r>
      <w:bookmarkEnd w:id="5399"/>
      <w:bookmarkEnd w:id="5400"/>
      <w:bookmarkEnd w:id="5401"/>
      <w:bookmarkEnd w:id="5402"/>
      <w:bookmarkEnd w:id="5403"/>
      <w:bookmarkEnd w:id="5404"/>
    </w:p>
    <w:p w14:paraId="4AF300F0" w14:textId="77777777" w:rsidR="00D9107F" w:rsidRDefault="00170580" w:rsidP="00440775">
      <w:pPr>
        <w:spacing w:after="154" w:line="264" w:lineRule="auto"/>
        <w:ind w:left="10" w:hanging="10"/>
        <w:jc w:val="both"/>
      </w:pPr>
      <w:r>
        <w:t xml:space="preserve">For å få godkjent etterutdanningsprogrammet må allmennlegespesialisten sende søknad til Helsedirektoratet. I søknaden må kursbevis, attester knyttet til praksisbesøk, smågruppe og allmennmedisinsk tjeneste legges ved. </w:t>
      </w:r>
      <w:r w:rsidR="002472E5">
        <w:t>Søknadsprosessen krever at legen fortløpende gjennom en 5-</w:t>
      </w:r>
      <w:r>
        <w:t>års periode holder oversikt over alle sine utdanningsaktiviteter, og at antall poeng stemmer overens med kravene. Mangler kursbevis eller attest, gir det ingen uttelling. Ordningen bidrar til ressursbruk hos legen ved oppsamling og innsending, og hos forvaltningen ved behandling av alle søknadene.</w:t>
      </w:r>
    </w:p>
    <w:p w14:paraId="7972B888" w14:textId="77777777" w:rsidR="00D9107F" w:rsidRDefault="00170580" w:rsidP="00440775">
      <w:pPr>
        <w:spacing w:after="154" w:line="264" w:lineRule="auto"/>
        <w:ind w:left="10" w:hanging="10"/>
        <w:jc w:val="both"/>
      </w:pPr>
      <w:r>
        <w:t>Telling av poeng som et ensidig krav for godkjenning, kan tenkes å føre til et uheldig og ensidig fokus på å oppfylle poengkravene på bekostning av innholdet. På den annen side vil samling av poeng, medføre at legen deltar på kurs og holder oversikt over sine gjennomførte etterutdanningsaktiviteter.</w:t>
      </w:r>
    </w:p>
    <w:p w14:paraId="07B39201" w14:textId="6777C94F" w:rsidR="00170580" w:rsidRDefault="556A4664" w:rsidP="00775632">
      <w:pPr>
        <w:pStyle w:val="Overskrift4"/>
      </w:pPr>
      <w:bookmarkStart w:id="5405" w:name="_Toc130983702"/>
      <w:bookmarkStart w:id="5406" w:name="_Toc130984051"/>
      <w:bookmarkStart w:id="5407" w:name="_Toc131279646"/>
      <w:bookmarkStart w:id="5408" w:name="_Toc131287058"/>
      <w:bookmarkStart w:id="5409" w:name="_Toc131281468"/>
      <w:bookmarkStart w:id="5410" w:name="_Toc131318008"/>
      <w:r>
        <w:t>Plikt versus rett</w:t>
      </w:r>
      <w:bookmarkEnd w:id="5405"/>
      <w:bookmarkEnd w:id="5406"/>
      <w:bookmarkEnd w:id="5407"/>
      <w:bookmarkEnd w:id="5408"/>
      <w:bookmarkEnd w:id="5409"/>
      <w:bookmarkEnd w:id="5410"/>
    </w:p>
    <w:p w14:paraId="0EF4F11B" w14:textId="06666E9F" w:rsidR="00170580" w:rsidRDefault="002472E5" w:rsidP="00440775">
      <w:pPr>
        <w:jc w:val="both"/>
      </w:pPr>
      <w:r>
        <w:t>Et</w:t>
      </w:r>
      <w:r w:rsidR="07F4C3B9">
        <w:t xml:space="preserve"> av hovedargumentene for obligatorisk etterutdanning har vært at det sikrer at alle legespesialister fortløpende etterutdanner seg. Det er ikke dokumentert at leger som må delta i obligatoriske etterutdanningsprogrammer holder seg faglig mer oppdatert enn leger (for eksempel avtalespesialister) som ikke gjør det. Den viktigste motivasjonen for deltagelse i etterutdanning er særlig knyttet til faglig interesse</w:t>
      </w:r>
      <w:r w:rsidR="7C44E249">
        <w:t xml:space="preserve"> </w:t>
      </w:r>
      <w:r w:rsidR="001F5F05">
        <w:fldChar w:fldCharType="begin"/>
      </w:r>
      <w:r w:rsidR="001F5F05">
        <w:instrText xml:space="preserve"> ADDIN EN.CITE &lt;EndNote&gt;&lt;Cite&gt;&lt;Author&gt;Den Norske Legeforening&lt;/Author&gt;&lt;Year&gt;[s.a.]&lt;/Year&gt;&lt;RecNum&gt;851&lt;/RecNum&gt;&lt;DisplayText&gt;(Den Norske Legeforening, [s.a.])&lt;/DisplayText&gt;&lt;record&gt;&lt;rec-number&gt;851&lt;/rec-number&gt;&lt;foreign-keys&gt;&lt;key app="EN" db-id="95tpr2tp6r9xwoea9rb5wdsz5ds5xeddteew" timestamp="1680069511"&gt;851&lt;/key&gt;&lt;/foreign-keys&gt;&lt;ref-type name="Report"&gt;27&lt;/ref-type&gt;&lt;contributors&gt;&lt;authors&gt;&lt;author&gt;Den Norske Legeforening,&lt;/author&gt;&lt;/authors&gt;&lt;/contributors&gt;&lt;titles&gt;&lt;title&gt;Utredning av legespesialisters etterutdanning&lt;/title&gt;&lt;/titles&gt;&lt;dates&gt;&lt;year&gt;[s.a.]&lt;/year&gt;&lt;/dates&gt;&lt;pub-location&gt;Oslo&lt;/pub-location&gt;&lt;publisher&gt;Den norske legeforening&lt;/publisher&gt;&lt;urls&gt;&lt;related-urls&gt;&lt;url&gt;https://www.legeforeningen.no/contentassets/3ec6c3f2be724b55b92784fc7d7931f0/sak-9.2-utredning-om-spesialitetsstruktur-vedlegg-1.pdf&lt;/url&gt;&lt;/related-urls&gt;&lt;/urls&gt;&lt;/record&gt;&lt;/Cite&gt;&lt;/EndNote&gt;</w:instrText>
      </w:r>
      <w:r w:rsidR="001F5F05">
        <w:fldChar w:fldCharType="separate"/>
      </w:r>
      <w:r w:rsidR="001F5F05">
        <w:rPr>
          <w:noProof/>
        </w:rPr>
        <w:t>(Den Norske Legeforening, [s.a.])</w:t>
      </w:r>
      <w:r w:rsidR="001F5F05">
        <w:fldChar w:fldCharType="end"/>
      </w:r>
      <w:r w:rsidR="002B1246">
        <w:t>,</w:t>
      </w:r>
      <w:r w:rsidR="07F4C3B9">
        <w:t xml:space="preserve"> men også det generelle kravet om faglig forsvarlighet og den tilhørende plikten til å holde seg tilstrekkelig oppdatert på sitt fagfelt (jf. helsepersonelloven </w:t>
      </w:r>
      <w:r w:rsidR="00D9107F">
        <w:t>§ 4</w:t>
      </w:r>
      <w:r w:rsidR="07F4C3B9">
        <w:t>). E</w:t>
      </w:r>
      <w:r w:rsidR="07F4C3B9" w:rsidRPr="60DDC96F">
        <w:t>tterutdanningsprogram</w:t>
      </w:r>
      <w:r w:rsidR="07F4C3B9">
        <w:t>met</w:t>
      </w:r>
      <w:r w:rsidR="07F4C3B9" w:rsidRPr="60DDC96F">
        <w:t xml:space="preserve"> </w:t>
      </w:r>
      <w:r w:rsidR="07F4C3B9">
        <w:t xml:space="preserve">for allmennleger </w:t>
      </w:r>
      <w:r w:rsidR="07F4C3B9" w:rsidRPr="60DDC96F">
        <w:t xml:space="preserve">har ikke endret seg ved innføring av kompetansekravene for leger i kommunal helse- og omsorgstjeneste. </w:t>
      </w:r>
      <w:r w:rsidR="07F4C3B9">
        <w:t>Argumentet om at tilleggstaksten er et insentiv for at fastleger skal spesialisere seg, kan sies å være svekket etter innføring av forskriftsfestet krav til spesialistutdanning i allmennmedisin for de samme legene.</w:t>
      </w:r>
    </w:p>
    <w:p w14:paraId="6FF0F0CC" w14:textId="77777777" w:rsidR="00D9107F" w:rsidRDefault="00170580" w:rsidP="00440775">
      <w:pPr>
        <w:jc w:val="both"/>
      </w:pPr>
      <w:r>
        <w:lastRenderedPageBreak/>
        <w:t xml:space="preserve">Overfor kommunen kan ordningen med obligatorisk etterutdanning </w:t>
      </w:r>
      <w:r w:rsidR="008C4054">
        <w:t>oppfattes</w:t>
      </w:r>
      <w:r>
        <w:t xml:space="preserve"> å styrke legespesialistenes rettigheter til å delta på kompetansehevende aktiviteter, som også medfører fravær fra praksis. Næringsdrivende fastleger må i stor grad bære kostnadene som påløper når de skal gjennomføre etterutdanningsaktiviteter. Overordnet er det gode argumenter </w:t>
      </w:r>
      <w:r w:rsidR="00453AAB">
        <w:t xml:space="preserve">for </w:t>
      </w:r>
      <w:r>
        <w:t>finansiering</w:t>
      </w:r>
      <w:r w:rsidR="006477C9">
        <w:t>sordninger</w:t>
      </w:r>
      <w:r>
        <w:t xml:space="preserve"> </w:t>
      </w:r>
      <w:r w:rsidR="00D001AD">
        <w:t>som</w:t>
      </w:r>
      <w:r>
        <w:t xml:space="preserve"> </w:t>
      </w:r>
      <w:r w:rsidR="008C4054">
        <w:t>legger til rette for at fastlegenes ønsker og interesse for</w:t>
      </w:r>
      <w:r>
        <w:t xml:space="preserve"> kompetanseheving og faglig oppdatering</w:t>
      </w:r>
      <w:r w:rsidR="008C4054">
        <w:t xml:space="preserve"> ivaretas</w:t>
      </w:r>
      <w:r>
        <w:t xml:space="preserve">. </w:t>
      </w:r>
      <w:r w:rsidR="00B500FD">
        <w:t xml:space="preserve">Det kan derfor fortsatt legges til rette for og stimuleres til </w:t>
      </w:r>
      <w:r w:rsidR="005D47BA">
        <w:t>kontinuerlig læring</w:t>
      </w:r>
      <w:r w:rsidR="008C4054">
        <w:t>, selv om plikt</w:t>
      </w:r>
      <w:r w:rsidR="00024AA8">
        <w:t>en</w:t>
      </w:r>
      <w:r w:rsidR="008C4054">
        <w:t xml:space="preserve"> til å få godkjent e</w:t>
      </w:r>
      <w:r w:rsidR="00884A28">
        <w:t>t</w:t>
      </w:r>
      <w:r w:rsidR="008C4054">
        <w:t xml:space="preserve"> spesifik</w:t>
      </w:r>
      <w:r w:rsidR="00884A28">
        <w:t>t</w:t>
      </w:r>
      <w:r w:rsidR="008C4054">
        <w:t xml:space="preserve"> og detaljert etterutdanning</w:t>
      </w:r>
      <w:r w:rsidR="00884A28">
        <w:t>sprogram</w:t>
      </w:r>
      <w:r w:rsidR="008C4054">
        <w:t xml:space="preserve"> bortfaller.</w:t>
      </w:r>
    </w:p>
    <w:p w14:paraId="18EE1AB1" w14:textId="4FFE7590" w:rsidR="00AA73CD" w:rsidRDefault="009C3DA9" w:rsidP="00775632">
      <w:pPr>
        <w:pStyle w:val="Overskrift2"/>
      </w:pPr>
      <w:bookmarkStart w:id="5411" w:name="_Toc126834467"/>
      <w:bookmarkStart w:id="5412" w:name="_Toc127633352"/>
      <w:bookmarkStart w:id="5413" w:name="_Toc127864637"/>
      <w:bookmarkStart w:id="5414" w:name="_Toc128238654"/>
      <w:bookmarkStart w:id="5415" w:name="_Toc128742102"/>
      <w:bookmarkStart w:id="5416" w:name="_Toc128744730"/>
      <w:bookmarkStart w:id="5417" w:name="_Toc128744949"/>
      <w:bookmarkStart w:id="5418" w:name="_Toc129630454"/>
      <w:bookmarkStart w:id="5419" w:name="_Toc130763961"/>
      <w:bookmarkStart w:id="5420" w:name="_Toc130766856"/>
      <w:bookmarkStart w:id="5421" w:name="_Toc130932255"/>
      <w:bookmarkStart w:id="5422" w:name="_Toc130934546"/>
      <w:bookmarkStart w:id="5423" w:name="_Toc130983703"/>
      <w:bookmarkStart w:id="5424" w:name="_Toc130984052"/>
      <w:bookmarkStart w:id="5425" w:name="_Toc131062297"/>
      <w:bookmarkStart w:id="5426" w:name="_Toc131062551"/>
      <w:bookmarkStart w:id="5427" w:name="_Toc131062812"/>
      <w:bookmarkStart w:id="5428" w:name="_Toc131063065"/>
      <w:bookmarkStart w:id="5429" w:name="_Toc131063848"/>
      <w:bookmarkStart w:id="5430" w:name="_Toc131064259"/>
      <w:bookmarkStart w:id="5431" w:name="_Toc131238572"/>
      <w:bookmarkStart w:id="5432" w:name="_Toc131279647"/>
      <w:bookmarkStart w:id="5433" w:name="_Toc131287059"/>
      <w:bookmarkStart w:id="5434" w:name="_Toc131281469"/>
      <w:bookmarkStart w:id="5435" w:name="_Toc131318009"/>
      <w:bookmarkStart w:id="5436" w:name="_Toc132537092"/>
      <w:r>
        <w:t xml:space="preserve">Ekspertvalgets </w:t>
      </w:r>
      <w:r w:rsidR="00AA73CD">
        <w:t>vurdering</w:t>
      </w:r>
      <w:r w:rsidR="00AC25EE">
        <w:t>er</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421FCD46" w14:textId="77777777" w:rsidR="00D9107F" w:rsidRDefault="00AA73CD" w:rsidP="00440775">
      <w:pPr>
        <w:jc w:val="both"/>
      </w:pPr>
      <w:r w:rsidRPr="0D4CD27A">
        <w:t xml:space="preserve">I ekspertutvalgets drøfting og anbefalinger er kravene til gjennomføring av spesialistutdanning og krav til legens kompetanse vurdert mot effekten disse har på kapasiteten </w:t>
      </w:r>
      <w:r w:rsidR="292DF3D4" w:rsidRPr="0D4CD27A">
        <w:t xml:space="preserve">og kvaliteten </w:t>
      </w:r>
      <w:r w:rsidRPr="0D4CD27A">
        <w:t xml:space="preserve">i tjenesten. </w:t>
      </w:r>
      <w:r w:rsidR="00576AE2">
        <w:t>For strenge krav kan føre til at færre leger oppfyller kravene for å jobbe pasientrettet i kommunen, og mangel på leger kan gi dårligere allmennlegetjenester til befolkningen.</w:t>
      </w:r>
    </w:p>
    <w:p w14:paraId="0F3B097E" w14:textId="3701261C" w:rsidR="00B575E3" w:rsidRDefault="00B575E3" w:rsidP="000623DE">
      <w:r>
        <w:t>Etter endt grunnutdanning i Norge</w:t>
      </w:r>
      <w:r w:rsidR="00CD607D">
        <w:t>,</w:t>
      </w:r>
      <w:r>
        <w:t xml:space="preserve"> får leger autorisasjon til å praktisere selvstendig i yrket. Tidspunktet for autorisasjon, sammenholdt med at det ikke er nok LIS1</w:t>
      </w:r>
      <w:r w:rsidR="00AA01C8">
        <w:t>-</w:t>
      </w:r>
      <w:r>
        <w:t xml:space="preserve">stillinger, </w:t>
      </w:r>
      <w:r w:rsidR="00041FA2">
        <w:t>kan</w:t>
      </w:r>
      <w:r>
        <w:t xml:space="preserve"> etter utvalgets vurdering</w:t>
      </w:r>
      <w:r w:rsidR="00AA01C8">
        <w:t>,</w:t>
      </w:r>
      <w:r>
        <w:t xml:space="preserve"> </w:t>
      </w:r>
      <w:r w:rsidR="009C07D2">
        <w:t>utfordre</w:t>
      </w:r>
      <w:r w:rsidR="00B518C9">
        <w:t xml:space="preserve"> </w:t>
      </w:r>
      <w:r>
        <w:t>pasientsikkerheten</w:t>
      </w:r>
      <w:r w:rsidR="00AA01C8">
        <w:t>,</w:t>
      </w:r>
      <w:r>
        <w:t xml:space="preserve"> og bidra</w:t>
      </w:r>
      <w:r w:rsidR="007B06C3">
        <w:t xml:space="preserve"> </w:t>
      </w:r>
      <w:r>
        <w:t>til en dårlig start på yrkeskarrieren for nyutdannede leger.</w:t>
      </w:r>
    </w:p>
    <w:p w14:paraId="41459ED1" w14:textId="77777777" w:rsidR="00D9107F" w:rsidRDefault="00AA73CD" w:rsidP="00440775">
      <w:pPr>
        <w:jc w:val="both"/>
      </w:pPr>
      <w:r w:rsidRPr="0D4CD27A">
        <w:t>Det legges til grunn at kravene til kompetanse og spesialistutdanning må være tilstrekkelige, samtidig som de må bidra til rekruttering og stabilitet i allmennlegetjenesten.</w:t>
      </w:r>
    </w:p>
    <w:p w14:paraId="0EFE950B" w14:textId="5912CCBF" w:rsidR="00F9616C" w:rsidRDefault="01875D82" w:rsidP="00775632">
      <w:pPr>
        <w:pStyle w:val="Overskrift3"/>
      </w:pPr>
      <w:bookmarkStart w:id="5437" w:name="_Toc126834468"/>
      <w:bookmarkStart w:id="5438" w:name="_Toc127633353"/>
      <w:bookmarkStart w:id="5439" w:name="_Toc127864638"/>
      <w:bookmarkStart w:id="5440" w:name="_Toc128238655"/>
      <w:bookmarkStart w:id="5441" w:name="_Toc128742103"/>
      <w:bookmarkStart w:id="5442" w:name="_Toc128744731"/>
      <w:bookmarkStart w:id="5443" w:name="_Toc128744950"/>
      <w:bookmarkStart w:id="5444" w:name="_Toc129630455"/>
      <w:bookmarkStart w:id="5445" w:name="_Toc130763962"/>
      <w:bookmarkStart w:id="5446" w:name="_Toc130766857"/>
      <w:bookmarkStart w:id="5447" w:name="_Toc130932256"/>
      <w:bookmarkStart w:id="5448" w:name="_Toc130934547"/>
      <w:bookmarkStart w:id="5449" w:name="_Toc130983704"/>
      <w:bookmarkStart w:id="5450" w:name="_Toc130984053"/>
      <w:bookmarkStart w:id="5451" w:name="_Toc131062298"/>
      <w:bookmarkStart w:id="5452" w:name="_Toc131062552"/>
      <w:bookmarkStart w:id="5453" w:name="_Toc131062813"/>
      <w:bookmarkStart w:id="5454" w:name="_Toc131063066"/>
      <w:bookmarkStart w:id="5455" w:name="_Toc131063849"/>
      <w:bookmarkStart w:id="5456" w:name="_Toc131064260"/>
      <w:bookmarkStart w:id="5457" w:name="_Toc131279648"/>
      <w:bookmarkStart w:id="5458" w:name="_Toc131287060"/>
      <w:bookmarkStart w:id="5459" w:name="_Toc131281470"/>
      <w:bookmarkStart w:id="5460" w:name="_Toc131318010"/>
      <w:bookmarkStart w:id="5461" w:name="_Toc132537093"/>
      <w:r>
        <w:t>E</w:t>
      </w:r>
      <w:r w:rsidR="66D4FD59">
        <w:t>ndring i LIS1-tjenesten</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57A88AF4" w14:textId="77777777" w:rsidR="007C5E2F" w:rsidRDefault="2A496AD6" w:rsidP="00775632">
      <w:pPr>
        <w:pStyle w:val="Overskrift4"/>
      </w:pPr>
      <w:bookmarkStart w:id="5462" w:name="_Toc130983705"/>
      <w:bookmarkStart w:id="5463" w:name="_Toc130984054"/>
      <w:bookmarkStart w:id="5464" w:name="_Toc131279649"/>
      <w:bookmarkStart w:id="5465" w:name="_Toc131287061"/>
      <w:bookmarkStart w:id="5466" w:name="_Toc131281471"/>
      <w:bookmarkStart w:id="5467" w:name="_Toc131318011"/>
      <w:r>
        <w:t>Et historisk tilbakeblikk</w:t>
      </w:r>
      <w:bookmarkEnd w:id="5462"/>
      <w:bookmarkEnd w:id="5463"/>
      <w:bookmarkEnd w:id="5464"/>
      <w:bookmarkEnd w:id="5465"/>
      <w:bookmarkEnd w:id="5466"/>
      <w:bookmarkEnd w:id="5467"/>
    </w:p>
    <w:p w14:paraId="77E7A92D" w14:textId="24D7AD90" w:rsidR="00712DFC" w:rsidRDefault="06DD43B8" w:rsidP="00440775">
      <w:pPr>
        <w:jc w:val="both"/>
      </w:pPr>
      <w:r w:rsidRPr="001B6B63">
        <w:t xml:space="preserve">Formålet med den </w:t>
      </w:r>
      <w:r w:rsidR="1F3DCA03">
        <w:t xml:space="preserve">tidligere </w:t>
      </w:r>
      <w:r w:rsidRPr="001B6B63">
        <w:t>turnustjenesten</w:t>
      </w:r>
      <w:r w:rsidR="4371BC28">
        <w:t>, som varte fram til 2012,</w:t>
      </w:r>
      <w:r w:rsidRPr="001B6B63">
        <w:t xml:space="preserve"> </w:t>
      </w:r>
      <w:r w:rsidR="1F3DCA03">
        <w:t>var</w:t>
      </w:r>
      <w:r w:rsidRPr="001B6B63">
        <w:t xml:space="preserve"> at turnuslegen gjennom arbeid som lege</w:t>
      </w:r>
      <w:r w:rsidR="7E2E2E91">
        <w:t>,</w:t>
      </w:r>
      <w:r w:rsidRPr="001B6B63">
        <w:t xml:space="preserve"> under særskilt veiledning, opplæring og supervisjon</w:t>
      </w:r>
      <w:r w:rsidR="7E2E2E91">
        <w:t>,</w:t>
      </w:r>
      <w:r w:rsidRPr="001B6B63">
        <w:t xml:space="preserve"> sk</w:t>
      </w:r>
      <w:r w:rsidR="261E095C">
        <w:t>ulle</w:t>
      </w:r>
      <w:r w:rsidRPr="001B6B63">
        <w:t xml:space="preserve"> få nødvendig erfaring</w:t>
      </w:r>
      <w:r w:rsidR="116784CE">
        <w:t xml:space="preserve"> og læring i praksis </w:t>
      </w:r>
      <w:r w:rsidRPr="001B6B63">
        <w:t xml:space="preserve">for selvstendig å kunne utføre legevirksomhet på forsvarlig måte. </w:t>
      </w:r>
      <w:r>
        <w:t>Turnustjenesten ble opprinnelig</w:t>
      </w:r>
      <w:r w:rsidRPr="001B6B63">
        <w:t xml:space="preserve"> innført som kompensasjon for at studietid</w:t>
      </w:r>
      <w:r>
        <w:t>en</w:t>
      </w:r>
      <w:r w:rsidRPr="001B6B63">
        <w:t xml:space="preserve"> ble forkort</w:t>
      </w:r>
      <w:r>
        <w:t>et</w:t>
      </w:r>
      <w:r w:rsidRPr="001B6B63">
        <w:t xml:space="preserve"> med 1 ½ år</w:t>
      </w:r>
      <w:r w:rsidR="2E778502">
        <w:t>,</w:t>
      </w:r>
      <w:r w:rsidRPr="001B6B63">
        <w:t xml:space="preserve"> og ble sett på som e</w:t>
      </w:r>
      <w:r>
        <w:t>n forlengelse</w:t>
      </w:r>
      <w:r w:rsidRPr="001B6B63">
        <w:t xml:space="preserve"> av den medisinske grunnutdanning</w:t>
      </w:r>
      <w:r>
        <w:t>en</w:t>
      </w:r>
      <w:r w:rsidR="002B1246">
        <w:t xml:space="preserve"> </w:t>
      </w:r>
      <w:r w:rsidR="002B1246">
        <w:fldChar w:fldCharType="begin"/>
      </w:r>
      <w:r w:rsidR="00D078E3">
        <w:instrText xml:space="preserve"> ADDIN EN.CITE &lt;EndNote&gt;&lt;Cite ExcludeAuth="1"&gt;&lt;Year&gt;2010&lt;/Year&gt;&lt;RecNum&gt;265&lt;/RecNum&gt;&lt;DisplayText&gt;(&lt;style face="italic"&gt;Forskrift om praktisk tjeneste (turnustjeneste) for å få autorisasjon som fysioterapeut&lt;/style&gt;, 2010)&lt;/DisplayText&gt;&lt;record&gt;&lt;rec-number&gt;265&lt;/rec-number&gt;&lt;foreign-keys&gt;&lt;key app="EN" db-id="95tpr2tp6r9xwoea9rb5wdsz5ds5xeddteew" timestamp="1680069511"&gt;265&lt;/key&gt;&lt;/foreign-keys&gt;&lt;ref-type name="Legal Rule or Regulation"&gt;50&lt;/ref-type&gt;&lt;contributors&gt;&lt;/contributors&gt;&lt;titles&gt;&lt;title&gt;Forskrift om praktisk tjeneste (turnustjeneste) for å få autorisasjon som fysioterapeut&lt;/title&gt;&lt;secondary-title&gt;FOR-2009-09-09-1175&lt;/secondary-title&gt;&lt;/titles&gt;&lt;dates&gt;&lt;year&gt;2010&lt;/year&gt;&lt;/dates&gt;&lt;urls&gt;&lt;related-urls&gt;&lt;url&gt;https://lovdata.no/dokument/SF/forskrift/2009-09-09-1175&lt;/url&gt;&lt;/related-urls&gt;&lt;/urls&gt;&lt;/record&gt;&lt;/Cite&gt;&lt;/EndNote&gt;</w:instrText>
      </w:r>
      <w:r w:rsidR="002B1246">
        <w:fldChar w:fldCharType="separate"/>
      </w:r>
      <w:r w:rsidR="002B1246">
        <w:rPr>
          <w:noProof/>
        </w:rPr>
        <w:t>(</w:t>
      </w:r>
      <w:r w:rsidR="002B1246" w:rsidRPr="00D9107F">
        <w:rPr>
          <w:rStyle w:val="kursiv"/>
        </w:rPr>
        <w:t>Forskrift om praktisk tjeneste (turnustjeneste) for å få autorisasjon som fysioterapeut</w:t>
      </w:r>
      <w:r w:rsidR="002B1246">
        <w:rPr>
          <w:noProof/>
        </w:rPr>
        <w:t>, 2010)</w:t>
      </w:r>
      <w:r w:rsidR="002B1246">
        <w:fldChar w:fldCharType="end"/>
      </w:r>
      <w:r w:rsidRPr="001B6B63">
        <w:t xml:space="preserve">. Turnustjenesten </w:t>
      </w:r>
      <w:r>
        <w:t>var ment å være en</w:t>
      </w:r>
      <w:r w:rsidRPr="001B6B63">
        <w:t xml:space="preserve"> overgang mellom </w:t>
      </w:r>
      <w:r w:rsidR="2281AD5A">
        <w:t>studiet i medisin</w:t>
      </w:r>
      <w:r w:rsidRPr="001B6B63">
        <w:t xml:space="preserve"> og selvstendig arbeid som lege. Tjenesten </w:t>
      </w:r>
      <w:r>
        <w:t xml:space="preserve">skulle </w:t>
      </w:r>
      <w:r w:rsidRPr="001B6B63">
        <w:t xml:space="preserve">komplettere grunnutdanningen og </w:t>
      </w:r>
      <w:r w:rsidR="716C93C8">
        <w:t>var</w:t>
      </w:r>
      <w:r w:rsidR="716C93C8" w:rsidRPr="001B6B63">
        <w:t xml:space="preserve"> </w:t>
      </w:r>
      <w:r w:rsidRPr="001B6B63">
        <w:t>obligatorisk for å oppnå autorisasjon som lege</w:t>
      </w:r>
      <w:r w:rsidR="002B1246">
        <w:t xml:space="preserve"> </w:t>
      </w:r>
      <w:r w:rsidR="001F5F05">
        <w:fldChar w:fldCharType="begin"/>
      </w:r>
      <w:r w:rsidR="00235862">
        <w:instrText xml:space="preserve"> ADDIN EN.CITE &lt;EndNote&gt;&lt;Cite ExcludeYear="1"&gt;&lt;Author&gt;Sosial- og helsedirektoratet&lt;/Author&gt;&lt;RecNum&gt;836&lt;/RecNum&gt;&lt;DisplayText&gt;(Sosial- og helsedirektoratet)&lt;/DisplayText&gt;&lt;record&gt;&lt;rec-number&gt;836&lt;/rec-number&gt;&lt;foreign-keys&gt;&lt;key app="EN" db-id="95tpr2tp6r9xwoea9rb5wdsz5ds5xeddteew" timestamp="1680069511"&gt;836&lt;/key&gt;&lt;/foreign-keys&gt;&lt;ref-type name="Report"&gt;27&lt;/ref-type&gt;&lt;contributors&gt;&lt;authors&gt;&lt;author&gt;Sosial- og helsedirektoratet,&lt;/author&gt;&lt;/authors&gt;&lt;tertiary-authors&gt;&lt;author&gt;Sosial- og helsedirektoratet,&lt;/author&gt;&lt;/tertiary-authors&gt;&lt;/contributors&gt;&lt;titles&gt;&lt;title&gt;Turnustjenesten for leger. Saksnummer: 05/1666&lt;/title&gt;&lt;secondary-title&gt;Rundskriv&lt;/secondary-title&gt;&lt;/titles&gt;&lt;number&gt;IS-9/2005&lt;/number&gt;&lt;dates&gt;&lt;/dates&gt;&lt;pub-location&gt;Oslo&lt;/pub-location&gt;&lt;urls&gt;&lt;/urls&gt;&lt;/record&gt;&lt;/Cite&gt;&lt;/EndNote&gt;</w:instrText>
      </w:r>
      <w:r w:rsidR="001F5F05">
        <w:fldChar w:fldCharType="separate"/>
      </w:r>
      <w:r w:rsidR="001F5F05">
        <w:rPr>
          <w:noProof/>
        </w:rPr>
        <w:t>(Sosial- og helsedirektoratet)</w:t>
      </w:r>
      <w:r w:rsidR="001F5F05">
        <w:fldChar w:fldCharType="end"/>
      </w:r>
      <w:r w:rsidRPr="001B6B63">
        <w:t>.</w:t>
      </w:r>
    </w:p>
    <w:p w14:paraId="21DECBB8" w14:textId="77777777" w:rsidR="00D9107F" w:rsidRDefault="06DD43B8" w:rsidP="00440775">
      <w:pPr>
        <w:jc w:val="both"/>
      </w:pPr>
      <w:r>
        <w:t xml:space="preserve">Behovet for turnuslegeplasser var økende. Den </w:t>
      </w:r>
      <w:r w:rsidR="3EACADD4">
        <w:t xml:space="preserve">tidligere </w:t>
      </w:r>
      <w:r>
        <w:t xml:space="preserve">rettighetsfestede ordningen innebar at </w:t>
      </w:r>
      <w:r w:rsidR="4371BC28">
        <w:t>s</w:t>
      </w:r>
      <w:r>
        <w:t xml:space="preserve">taten hadde plikt til å sikre alle utdanningskandidater en turnusplass, også søkere med </w:t>
      </w:r>
      <w:r>
        <w:lastRenderedPageBreak/>
        <w:t xml:space="preserve">utdanning fra andre EØS-land. </w:t>
      </w:r>
      <w:r w:rsidR="00712DFC" w:rsidRPr="00D9107F">
        <w:rPr>
          <w:rStyle w:val="Fotnotereferanse"/>
        </w:rPr>
        <w:footnoteReference w:id="63"/>
      </w:r>
      <w:r>
        <w:t xml:space="preserve"> Den økte søkermengden til turnustjeneste </w:t>
      </w:r>
      <w:r w:rsidR="086C918D">
        <w:t>skyldtes i</w:t>
      </w:r>
      <w:r>
        <w:t xml:space="preserve"> hovedsak økt arbeidsinnvandring av leger som </w:t>
      </w:r>
      <w:r w:rsidR="0F002EF8">
        <w:t>var</w:t>
      </w:r>
      <w:r>
        <w:t xml:space="preserve"> utdann</w:t>
      </w:r>
      <w:r w:rsidR="0F002EF8">
        <w:t>et</w:t>
      </w:r>
      <w:r>
        <w:t xml:space="preserve"> ved ulike læresteder i Europa. Førsterett til turnusplasser for søkere utfra utdanningssted, </w:t>
      </w:r>
      <w:r w:rsidR="2A4B3136">
        <w:t>er</w:t>
      </w:r>
      <w:r>
        <w:t xml:space="preserve"> i strid med EU-regelverk om at borgere fra EU/EØS skal behandles likt.</w:t>
      </w:r>
      <w:r w:rsidR="01CBD0BE">
        <w:t xml:space="preserve"> </w:t>
      </w:r>
      <w:r>
        <w:t>Ved omlegging</w:t>
      </w:r>
      <w:r w:rsidR="424E0050">
        <w:t>en i 2012</w:t>
      </w:r>
      <w:r>
        <w:t xml:space="preserve"> til søknadsbasert ordning ble ansvaret for å vurdere </w:t>
      </w:r>
      <w:r w:rsidR="3095F590">
        <w:t xml:space="preserve">om </w:t>
      </w:r>
      <w:r>
        <w:t>turnuslegen var egnet, hadde kunnskap om norsk språk og kjennskap til forhold</w:t>
      </w:r>
      <w:r w:rsidR="01CBD0BE">
        <w:t>ene</w:t>
      </w:r>
      <w:r>
        <w:t xml:space="preserve"> i norsk helsetjeneste</w:t>
      </w:r>
      <w:r w:rsidR="0712C9E9">
        <w:t>,</w:t>
      </w:r>
      <w:r>
        <w:t xml:space="preserve"> lagt over på arbeidsgiver.</w:t>
      </w:r>
    </w:p>
    <w:p w14:paraId="00013D64" w14:textId="77777777" w:rsidR="00D9107F" w:rsidRDefault="14C06993" w:rsidP="00440775">
      <w:pPr>
        <w:jc w:val="both"/>
      </w:pPr>
      <w:r>
        <w:t>De</w:t>
      </w:r>
      <w:r w:rsidR="3A324335">
        <w:t xml:space="preserve">n nye </w:t>
      </w:r>
      <w:r w:rsidR="58B22CFE">
        <w:t>ordningen</w:t>
      </w:r>
      <w:r>
        <w:t xml:space="preserve"> skulle bidra </w:t>
      </w:r>
      <w:r w:rsidR="2DDAD9D8">
        <w:t>t</w:t>
      </w:r>
      <w:r>
        <w:t>il å kvalitetssikre tilsettingsforholdet. Sentral tildeling av stilling etter loddtrekking ble fjernet, og staten var ikke lenger forpliktet til å tilby alle nyutdannede leger</w:t>
      </w:r>
      <w:r w:rsidR="51D7B429">
        <w:t>,</w:t>
      </w:r>
      <w:r>
        <w:t xml:space="preserve"> </w:t>
      </w:r>
      <w:r w:rsidR="6F38B024">
        <w:t xml:space="preserve">inkludert </w:t>
      </w:r>
      <w:r w:rsidR="4392D344">
        <w:t xml:space="preserve">de utdannet i </w:t>
      </w:r>
      <w:r w:rsidR="51D7B429">
        <w:t xml:space="preserve">EU/EØS, </w:t>
      </w:r>
      <w:r>
        <w:t xml:space="preserve">et første arbeidsforhold. </w:t>
      </w:r>
      <w:r w:rsidR="002472E5">
        <w:t xml:space="preserve">De gamle turnuslegestillingene ble gjort om til å utgjøre første del av spesialistutdanningen (LIS1). Helsedirektoratet foreslo samtidig at den nyutdannede legen fikk avgrenset autorisasjon i perioden med LIS1-stilling, og at begrepet turnuslegelisens opphørte. Den avgrensede autorisasjonen ble anbefalt begrenset både i tid og i yrkesutøvelse, og at legen i denne perioden måtte arbeide under veiledning </w:t>
      </w:r>
      <w:r w:rsidR="00B60B70">
        <w:fldChar w:fldCharType="begin"/>
      </w:r>
      <w:r w:rsidR="00235862">
        <w:instrText xml:space="preserve"> ADDIN EN.CITE &lt;EndNote&gt;&lt;Cite&gt;&lt;Author&gt;Helsedirektoratet&lt;/Author&gt;&lt;Year&gt;2010&lt;/Year&gt;&lt;RecNum&gt;570&lt;/RecNum&gt;&lt;DisplayText&gt;(Helsedirektoratet, 2010)&lt;/DisplayText&gt;&lt;record&gt;&lt;rec-number&gt;570&lt;/rec-number&gt;&lt;foreign-keys&gt;&lt;key app="EN" db-id="95tpr2tp6r9xwoea9rb5wdsz5ds5xeddteew" timestamp="1680069511"&gt;570&lt;/key&gt;&lt;/foreign-keys&gt;&lt;ref-type name="Report"&gt;27&lt;/ref-type&gt;&lt;contributors&gt;&lt;authors&gt;&lt;author&gt;Helsedirektoratet&lt;/author&gt;&lt;/authors&gt;&lt;/contributors&gt;&lt;titles&gt;&lt;title&gt;Nybyrjarstilling for legar - praktisk og pedagogisk oppfølging av nyutdanna legar &lt;/title&gt;&lt;secondary-title&gt;Rapport&lt;/secondary-title&gt;&lt;/titles&gt;&lt;number&gt;IS-1783&lt;/number&gt;&lt;dates&gt;&lt;year&gt;2010&lt;/year&gt;&lt;/dates&gt;&lt;pub-location&gt;Oslo&lt;/pub-location&gt;&lt;publisher&gt;Helsedirektoratet&lt;/publisher&gt;&lt;urls&gt;&lt;/urls&gt;&lt;/record&gt;&lt;/Cite&gt;&lt;/EndNote&gt;</w:instrText>
      </w:r>
      <w:r w:rsidR="00B60B70">
        <w:fldChar w:fldCharType="separate"/>
      </w:r>
      <w:r w:rsidR="00B60B70">
        <w:rPr>
          <w:noProof/>
        </w:rPr>
        <w:t>(Helsedirektoratet, 2010)</w:t>
      </w:r>
      <w:r w:rsidR="00B60B70">
        <w:fldChar w:fldCharType="end"/>
      </w:r>
      <w:r w:rsidR="002B1246">
        <w:t>.</w:t>
      </w:r>
      <w:r w:rsidR="00DA3231">
        <w:t xml:space="preserve"> </w:t>
      </w:r>
      <w:r w:rsidR="4371BC28">
        <w:t>Departementet valgte likevel ikke å innføre en slik ordning med avgrenset autorisasjon</w:t>
      </w:r>
      <w:r w:rsidR="546C94EA">
        <w:t>.</w:t>
      </w:r>
      <w:r w:rsidR="3D4E6656">
        <w:t xml:space="preserve"> En årsak til dette kan være at dette ville stilt leger i Norge i en </w:t>
      </w:r>
      <w:r w:rsidR="1EC4C681">
        <w:t>annen situasjon enn leger fra</w:t>
      </w:r>
      <w:r w:rsidR="46026A76">
        <w:t xml:space="preserve"> andre land i EØS-området</w:t>
      </w:r>
      <w:r w:rsidR="74C2B8AA">
        <w:t>, ettersom</w:t>
      </w:r>
      <w:r w:rsidR="546C94EA">
        <w:t xml:space="preserve"> </w:t>
      </w:r>
      <w:r w:rsidR="5F45E2A0">
        <w:t xml:space="preserve">Norge </w:t>
      </w:r>
      <w:r w:rsidR="380CBF6D">
        <w:t xml:space="preserve">er </w:t>
      </w:r>
      <w:r w:rsidR="5F45E2A0">
        <w:t>forpliktet til å gi autorisasjon som lege</w:t>
      </w:r>
      <w:r w:rsidR="5832E848">
        <w:t>,</w:t>
      </w:r>
      <w:r w:rsidR="5F45E2A0">
        <w:t xml:space="preserve"> til </w:t>
      </w:r>
      <w:r w:rsidR="380CBF6D">
        <w:t>søkere som har gjennomført medisinsk grunnutdanning som lege i et annet EØS-land</w:t>
      </w:r>
      <w:r w:rsidR="0B802553">
        <w:t>,</w:t>
      </w:r>
      <w:r w:rsidR="380CBF6D">
        <w:t xml:space="preserve"> som anerkjennes etter direktiv 2005/36 (yrkeskvalifikasjonsdirektivet)</w:t>
      </w:r>
      <w:r w:rsidR="002B1246">
        <w:t>.</w:t>
      </w:r>
      <w:r w:rsidR="380CBF6D">
        <w:t xml:space="preserve"> </w:t>
      </w:r>
      <w:r w:rsidR="74C2B8AA">
        <w:t xml:space="preserve">Dette gjelder uavhengig av om </w:t>
      </w:r>
      <w:r w:rsidR="6712B559">
        <w:t>utdanningen innebærer gjennomføring av praksis før avsluttende eksamen avlegges eller om utdanningen er organisert slik at praksis gjennomføres i en periode etter at avsluttende eksamen er avlagt.</w:t>
      </w:r>
    </w:p>
    <w:p w14:paraId="5BAC1C55" w14:textId="7B3A2097" w:rsidR="00B91D93" w:rsidRDefault="1C739C85" w:rsidP="00775632">
      <w:pPr>
        <w:pStyle w:val="Overskrift4"/>
      </w:pPr>
      <w:bookmarkStart w:id="5468" w:name="_Toc130983706"/>
      <w:bookmarkStart w:id="5469" w:name="_Toc130984055"/>
      <w:bookmarkStart w:id="5470" w:name="_Toc131279650"/>
      <w:bookmarkStart w:id="5471" w:name="_Toc131287062"/>
      <w:bookmarkStart w:id="5472" w:name="_Toc131281472"/>
      <w:bookmarkStart w:id="5473" w:name="_Toc131318012"/>
      <w:r>
        <w:t>Krav om LIS1 eller tilsvarende</w:t>
      </w:r>
      <w:bookmarkEnd w:id="5468"/>
      <w:bookmarkEnd w:id="5469"/>
      <w:bookmarkEnd w:id="5470"/>
      <w:bookmarkEnd w:id="5471"/>
      <w:bookmarkEnd w:id="5472"/>
      <w:bookmarkEnd w:id="5473"/>
    </w:p>
    <w:p w14:paraId="410A5D04" w14:textId="77777777" w:rsidR="00D9107F" w:rsidRDefault="00380163" w:rsidP="000623DE">
      <w:pPr>
        <w:rPr>
          <w:rFonts w:eastAsia="Calibri"/>
        </w:rPr>
      </w:pPr>
      <w:r>
        <w:rPr>
          <w:rFonts w:eastAsia="Calibri"/>
        </w:rPr>
        <w:t xml:space="preserve">Grunnutdanningen i Norge gir etter utvalgets vurdering ikke tilstrekkelig erfaring fra praksis til at leger er </w:t>
      </w:r>
      <w:r w:rsidR="00D6490E">
        <w:rPr>
          <w:rFonts w:eastAsia="Calibri"/>
        </w:rPr>
        <w:t xml:space="preserve">godt </w:t>
      </w:r>
      <w:r>
        <w:rPr>
          <w:rFonts w:eastAsia="Calibri"/>
        </w:rPr>
        <w:t>rustet til å utøve yrket selvstendig.</w:t>
      </w:r>
      <w:r w:rsidR="000159F0">
        <w:rPr>
          <w:rFonts w:eastAsia="Calibri"/>
        </w:rPr>
        <w:t xml:space="preserve"> </w:t>
      </w:r>
      <w:r w:rsidR="00185548">
        <w:rPr>
          <w:rFonts w:eastAsia="Calibri"/>
        </w:rPr>
        <w:t xml:space="preserve">Selv om tidspunktet for autorisasjon er endret, er </w:t>
      </w:r>
      <w:r w:rsidR="6354F963" w:rsidRPr="5C3AEEB5">
        <w:rPr>
          <w:rFonts w:eastAsia="Calibri"/>
        </w:rPr>
        <w:t xml:space="preserve">det </w:t>
      </w:r>
      <w:r w:rsidR="00185548">
        <w:rPr>
          <w:rFonts w:eastAsia="Calibri"/>
        </w:rPr>
        <w:t xml:space="preserve">ikke gjort </w:t>
      </w:r>
      <w:r w:rsidR="00373650">
        <w:rPr>
          <w:rFonts w:eastAsia="Calibri"/>
        </w:rPr>
        <w:t>komp</w:t>
      </w:r>
      <w:r w:rsidR="005D0582">
        <w:rPr>
          <w:rFonts w:eastAsia="Calibri"/>
        </w:rPr>
        <w:t xml:space="preserve">enserende </w:t>
      </w:r>
      <w:r w:rsidR="00D86011">
        <w:rPr>
          <w:rFonts w:eastAsia="Calibri"/>
        </w:rPr>
        <w:t>endringer</w:t>
      </w:r>
      <w:r w:rsidR="00185548">
        <w:rPr>
          <w:rFonts w:eastAsia="Calibri"/>
        </w:rPr>
        <w:t xml:space="preserve"> i grunnutdanningen </w:t>
      </w:r>
      <w:r w:rsidR="00D6490E">
        <w:rPr>
          <w:rFonts w:eastAsia="Calibri"/>
        </w:rPr>
        <w:t xml:space="preserve">som </w:t>
      </w:r>
      <w:r w:rsidR="0049422C">
        <w:rPr>
          <w:rFonts w:eastAsia="Calibri"/>
        </w:rPr>
        <w:t>sikre</w:t>
      </w:r>
      <w:r w:rsidR="00D6490E">
        <w:rPr>
          <w:rFonts w:eastAsia="Calibri"/>
        </w:rPr>
        <w:t>r</w:t>
      </w:r>
      <w:r w:rsidR="0049422C">
        <w:rPr>
          <w:rFonts w:eastAsia="Calibri"/>
        </w:rPr>
        <w:t xml:space="preserve"> </w:t>
      </w:r>
      <w:r w:rsidR="00D6490E">
        <w:rPr>
          <w:rFonts w:eastAsia="Calibri"/>
        </w:rPr>
        <w:t xml:space="preserve">nok </w:t>
      </w:r>
      <w:r w:rsidR="00185548">
        <w:rPr>
          <w:rFonts w:eastAsia="Calibri"/>
        </w:rPr>
        <w:t>praksis</w:t>
      </w:r>
      <w:r w:rsidR="00D6490E">
        <w:rPr>
          <w:rFonts w:eastAsia="Calibri"/>
        </w:rPr>
        <w:t xml:space="preserve"> til å trå trygt inn i et krevende yrke</w:t>
      </w:r>
      <w:r w:rsidR="00CD7B9C">
        <w:rPr>
          <w:rFonts w:eastAsia="Calibri"/>
        </w:rPr>
        <w:t xml:space="preserve"> med stort ansvar</w:t>
      </w:r>
      <w:r w:rsidR="00185548">
        <w:rPr>
          <w:rFonts w:eastAsia="Calibri"/>
        </w:rPr>
        <w:t xml:space="preserve">. </w:t>
      </w:r>
      <w:r w:rsidR="00D25C59">
        <w:rPr>
          <w:rFonts w:eastAsia="Calibri"/>
        </w:rPr>
        <w:t xml:space="preserve">Det er fortsatt slik at innholdet </w:t>
      </w:r>
      <w:r w:rsidR="00026B5F">
        <w:rPr>
          <w:rFonts w:eastAsia="Calibri"/>
        </w:rPr>
        <w:t>i LIS1</w:t>
      </w:r>
      <w:r w:rsidR="535C574C" w:rsidRPr="0F18D602">
        <w:rPr>
          <w:rFonts w:eastAsia="Calibri"/>
        </w:rPr>
        <w:t>-</w:t>
      </w:r>
      <w:r w:rsidR="00D03ED6">
        <w:rPr>
          <w:rFonts w:eastAsia="Calibri"/>
        </w:rPr>
        <w:t>tjenesten</w:t>
      </w:r>
      <w:r w:rsidR="00E5202B">
        <w:rPr>
          <w:rFonts w:eastAsia="Calibri"/>
        </w:rPr>
        <w:t xml:space="preserve"> er nødvendig læring for å gi leger god klinisk kompetanse</w:t>
      </w:r>
      <w:r w:rsidR="002061EC">
        <w:rPr>
          <w:rFonts w:eastAsia="Calibri"/>
        </w:rPr>
        <w:t>. Argument</w:t>
      </w:r>
      <w:r w:rsidR="00315596">
        <w:rPr>
          <w:rFonts w:eastAsia="Calibri"/>
        </w:rPr>
        <w:t xml:space="preserve">ene </w:t>
      </w:r>
      <w:r w:rsidR="001B6463">
        <w:rPr>
          <w:rFonts w:eastAsia="Calibri"/>
        </w:rPr>
        <w:t xml:space="preserve">fra Helsedirektoratet </w:t>
      </w:r>
      <w:r w:rsidR="001213FC">
        <w:rPr>
          <w:rFonts w:eastAsia="Calibri"/>
        </w:rPr>
        <w:t>for</w:t>
      </w:r>
      <w:r w:rsidR="00315596">
        <w:rPr>
          <w:rFonts w:eastAsia="Calibri"/>
        </w:rPr>
        <w:t xml:space="preserve"> omlegging av </w:t>
      </w:r>
      <w:r w:rsidR="001B0CFB">
        <w:rPr>
          <w:rFonts w:eastAsia="Calibri"/>
        </w:rPr>
        <w:t>turnustjenesten</w:t>
      </w:r>
      <w:r w:rsidR="009803AC" w:rsidRPr="0F18D602">
        <w:rPr>
          <w:rFonts w:eastAsia="Calibri"/>
        </w:rPr>
        <w:t xml:space="preserve"> </w:t>
      </w:r>
      <w:r w:rsidR="52EBA5F4" w:rsidRPr="0F18D602">
        <w:rPr>
          <w:rFonts w:eastAsia="Calibri"/>
        </w:rPr>
        <w:t>i 2012</w:t>
      </w:r>
      <w:r w:rsidR="009803AC">
        <w:rPr>
          <w:rFonts w:eastAsia="Calibri"/>
        </w:rPr>
        <w:t xml:space="preserve"> </w:t>
      </w:r>
      <w:r w:rsidR="001213FC">
        <w:rPr>
          <w:rFonts w:eastAsia="Calibri"/>
        </w:rPr>
        <w:t>var</w:t>
      </w:r>
      <w:r w:rsidR="00E0435D">
        <w:rPr>
          <w:rFonts w:eastAsia="Calibri"/>
        </w:rPr>
        <w:t xml:space="preserve"> med </w:t>
      </w:r>
      <w:r w:rsidR="003C4078">
        <w:rPr>
          <w:rFonts w:eastAsia="Calibri"/>
        </w:rPr>
        <w:t xml:space="preserve">forbehold om at </w:t>
      </w:r>
      <w:r w:rsidR="0012329F">
        <w:rPr>
          <w:rFonts w:eastAsia="Calibri"/>
        </w:rPr>
        <w:t xml:space="preserve">leger uten </w:t>
      </w:r>
      <w:r w:rsidR="00AC1984">
        <w:rPr>
          <w:rFonts w:eastAsia="Calibri"/>
        </w:rPr>
        <w:t xml:space="preserve">denne </w:t>
      </w:r>
      <w:r w:rsidR="00A95EEB">
        <w:rPr>
          <w:rFonts w:eastAsia="Calibri"/>
        </w:rPr>
        <w:t>praktiske</w:t>
      </w:r>
      <w:r w:rsidR="00EB69D6">
        <w:rPr>
          <w:rFonts w:eastAsia="Calibri"/>
        </w:rPr>
        <w:t xml:space="preserve"> læringsperioden</w:t>
      </w:r>
      <w:r w:rsidR="0041574C">
        <w:rPr>
          <w:rFonts w:eastAsia="Calibri"/>
        </w:rPr>
        <w:t>,</w:t>
      </w:r>
      <w:r w:rsidR="00EB69D6">
        <w:rPr>
          <w:rFonts w:eastAsia="Calibri"/>
        </w:rPr>
        <w:t xml:space="preserve"> </w:t>
      </w:r>
      <w:r w:rsidR="001B6463">
        <w:rPr>
          <w:rFonts w:eastAsia="Calibri"/>
        </w:rPr>
        <w:t>skulle</w:t>
      </w:r>
      <w:r w:rsidR="00D4265D">
        <w:rPr>
          <w:rFonts w:eastAsia="Calibri"/>
        </w:rPr>
        <w:t xml:space="preserve"> arbeide under </w:t>
      </w:r>
      <w:r w:rsidR="00AB6269">
        <w:rPr>
          <w:rFonts w:eastAsia="Calibri"/>
        </w:rPr>
        <w:t>veiledning.</w:t>
      </w:r>
    </w:p>
    <w:p w14:paraId="0801449F" w14:textId="77777777" w:rsidR="00D9107F" w:rsidRDefault="00380163" w:rsidP="000623DE">
      <w:r w:rsidRPr="00380163">
        <w:rPr>
          <w:rFonts w:eastAsia="Calibri"/>
        </w:rPr>
        <w:t xml:space="preserve">Mange leger uten LIS1 tilegner seg </w:t>
      </w:r>
      <w:r w:rsidR="00CD7B9C">
        <w:rPr>
          <w:rFonts w:eastAsia="Calibri"/>
        </w:rPr>
        <w:t>nå</w:t>
      </w:r>
      <w:r w:rsidRPr="00380163">
        <w:rPr>
          <w:rFonts w:eastAsia="Calibri"/>
        </w:rPr>
        <w:t xml:space="preserve"> arbeidserfaring ved å jobbe i ventetiden</w:t>
      </w:r>
      <w:r w:rsidR="0005473A">
        <w:rPr>
          <w:rFonts w:eastAsia="Calibri"/>
        </w:rPr>
        <w:t xml:space="preserve"> på LIS1-stilling</w:t>
      </w:r>
      <w:r w:rsidR="00E71AB8">
        <w:rPr>
          <w:rFonts w:eastAsia="Calibri"/>
        </w:rPr>
        <w:t>.</w:t>
      </w:r>
      <w:r w:rsidR="005C0DD3">
        <w:rPr>
          <w:rFonts w:eastAsia="Calibri"/>
        </w:rPr>
        <w:t xml:space="preserve"> </w:t>
      </w:r>
      <w:r w:rsidR="00A16579">
        <w:rPr>
          <w:rFonts w:eastAsia="Calibri"/>
        </w:rPr>
        <w:t xml:space="preserve">Hvordan </w:t>
      </w:r>
      <w:r w:rsidR="00DE7FE7">
        <w:rPr>
          <w:rFonts w:eastAsia="Calibri"/>
        </w:rPr>
        <w:t>ivaretakelsen</w:t>
      </w:r>
      <w:r w:rsidR="00917B9E">
        <w:rPr>
          <w:rFonts w:eastAsia="Calibri"/>
        </w:rPr>
        <w:t xml:space="preserve"> av disse er</w:t>
      </w:r>
      <w:r w:rsidR="000A473E">
        <w:rPr>
          <w:rFonts w:eastAsia="Calibri"/>
        </w:rPr>
        <w:t>,</w:t>
      </w:r>
      <w:r w:rsidR="00917B9E">
        <w:rPr>
          <w:rFonts w:eastAsia="Calibri"/>
        </w:rPr>
        <w:t xml:space="preserve"> knyttet til</w:t>
      </w:r>
      <w:r w:rsidR="006004AA" w:rsidRPr="00380163">
        <w:rPr>
          <w:rFonts w:eastAsia="Calibri"/>
        </w:rPr>
        <w:t xml:space="preserve"> supervisjon og tilgang til faglig støtte</w:t>
      </w:r>
      <w:r w:rsidR="0A2541EF" w:rsidRPr="3F0B9B5F">
        <w:rPr>
          <w:rFonts w:eastAsia="Calibri"/>
        </w:rPr>
        <w:t>,</w:t>
      </w:r>
      <w:r w:rsidR="00230FA1">
        <w:rPr>
          <w:rFonts w:eastAsia="Calibri"/>
        </w:rPr>
        <w:t xml:space="preserve"> er det </w:t>
      </w:r>
      <w:r w:rsidR="00122B8D">
        <w:rPr>
          <w:rFonts w:eastAsia="Calibri"/>
        </w:rPr>
        <w:t xml:space="preserve">ingen </w:t>
      </w:r>
      <w:r w:rsidR="00122B8D">
        <w:rPr>
          <w:rFonts w:eastAsia="Calibri"/>
        </w:rPr>
        <w:lastRenderedPageBreak/>
        <w:t>god kunnskap om.</w:t>
      </w:r>
      <w:r w:rsidR="008B1215">
        <w:rPr>
          <w:rFonts w:eastAsia="Calibri"/>
        </w:rPr>
        <w:t xml:space="preserve"> </w:t>
      </w:r>
      <w:r w:rsidR="002D7803">
        <w:rPr>
          <w:rFonts w:eastAsia="Calibri"/>
        </w:rPr>
        <w:t xml:space="preserve">Ved at </w:t>
      </w:r>
      <w:r w:rsidR="00F66F0B">
        <w:rPr>
          <w:rFonts w:eastAsia="Calibri"/>
        </w:rPr>
        <w:t xml:space="preserve">leger </w:t>
      </w:r>
      <w:r w:rsidR="001C24FE">
        <w:rPr>
          <w:rFonts w:eastAsia="Calibri"/>
        </w:rPr>
        <w:t>i Norge gis full autorisasjon</w:t>
      </w:r>
      <w:r w:rsidR="00DF7F3D">
        <w:rPr>
          <w:rFonts w:eastAsia="Calibri"/>
        </w:rPr>
        <w:t xml:space="preserve"> etter endt grunnutdanning, pålegge</w:t>
      </w:r>
      <w:r w:rsidR="00134CC9">
        <w:rPr>
          <w:rFonts w:eastAsia="Calibri"/>
        </w:rPr>
        <w:t>s</w:t>
      </w:r>
      <w:r w:rsidR="00DF7F3D">
        <w:rPr>
          <w:rFonts w:eastAsia="Calibri"/>
        </w:rPr>
        <w:t xml:space="preserve"> ikke arbeidsgiver et særskilt ansvar for </w:t>
      </w:r>
      <w:r w:rsidR="00CE703E">
        <w:rPr>
          <w:rFonts w:eastAsia="Calibri"/>
        </w:rPr>
        <w:t xml:space="preserve">veiledning og supervisjon, utover </w:t>
      </w:r>
      <w:r w:rsidR="00134CC9">
        <w:rPr>
          <w:rFonts w:eastAsia="Calibri"/>
        </w:rPr>
        <w:t xml:space="preserve">det som følger av forsvarlighetskravet. </w:t>
      </w:r>
      <w:r w:rsidR="00134CC9">
        <w:t>Forsvarlighetskravet retter seg mot den enkelte lege i spesialisering</w:t>
      </w:r>
      <w:r w:rsidR="000B2F7B">
        <w:t>,</w:t>
      </w:r>
      <w:r w:rsidR="00134CC9">
        <w:t xml:space="preserve"> så vel som virksomheten der legen arbeider. </w:t>
      </w:r>
      <w:r w:rsidR="0087540D">
        <w:t xml:space="preserve">Selv om kravet gjelder alle aspekter av tjenesten, er det flere forhold </w:t>
      </w:r>
      <w:r w:rsidR="00330F90">
        <w:t>som gjør at dette kan være vanskelig å etterleve i praksis.</w:t>
      </w:r>
    </w:p>
    <w:p w14:paraId="2C8EFE07" w14:textId="459F36AC" w:rsidR="00220CAE" w:rsidRDefault="00EE3885" w:rsidP="00220CAE">
      <w:pPr>
        <w:jc w:val="center"/>
      </w:pPr>
      <w:r w:rsidRPr="00220CAE">
        <w:rPr>
          <w:noProof/>
        </w:rPr>
        <w:drawing>
          <wp:inline distT="0" distB="0" distL="0" distR="0" wp14:anchorId="381F5EB3" wp14:editId="05B21378">
            <wp:extent cx="4429489" cy="3044793"/>
            <wp:effectExtent l="0" t="0" r="0" b="0"/>
            <wp:docPr id="48" name="Picture 48" descr="Et bilde som inneholder tekst, vektorgrafikk&#10;&#10;Automatisk generert beskrivelse">
              <a:extLst xmlns:a="http://schemas.openxmlformats.org/drawingml/2006/main">
                <a:ext uri="{FF2B5EF4-FFF2-40B4-BE49-F238E27FC236}">
                  <a16:creationId xmlns:a16="http://schemas.microsoft.com/office/drawing/2014/main" id="{C3251E83-4CAD-3005-7DE9-2741B4420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vektorgrafikk&#10;&#10;Automatisk generert beskrivelse">
                      <a:extLst>
                        <a:ext uri="{FF2B5EF4-FFF2-40B4-BE49-F238E27FC236}">
                          <a16:creationId xmlns:a16="http://schemas.microsoft.com/office/drawing/2014/main" id="{C3251E83-4CAD-3005-7DE9-2741B4420A57}"/>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l="12665" t="26860" r="21327" b="41123"/>
                    <a:stretch/>
                  </pic:blipFill>
                  <pic:spPr bwMode="auto">
                    <a:xfrm>
                      <a:off x="0" y="0"/>
                      <a:ext cx="4466667" cy="3070349"/>
                    </a:xfrm>
                    <a:prstGeom prst="rect">
                      <a:avLst/>
                    </a:prstGeom>
                    <a:ln>
                      <a:noFill/>
                    </a:ln>
                    <a:extLst>
                      <a:ext uri="{53640926-AAD7-44D8-BBD7-CCE9431645EC}">
                        <a14:shadowObscured xmlns:a14="http://schemas.microsoft.com/office/drawing/2010/main"/>
                      </a:ext>
                    </a:extLst>
                  </pic:spPr>
                </pic:pic>
              </a:graphicData>
            </a:graphic>
          </wp:inline>
        </w:drawing>
      </w:r>
    </w:p>
    <w:p w14:paraId="29A2A107" w14:textId="661EA0F0" w:rsidR="00134CC9" w:rsidRDefault="000B403D" w:rsidP="00440775">
      <w:pPr>
        <w:jc w:val="both"/>
      </w:pPr>
      <w:r>
        <w:t>D</w:t>
      </w:r>
      <w:r w:rsidR="00134CC9">
        <w:t xml:space="preserve">et følger av helsepersonelloven </w:t>
      </w:r>
      <w:r w:rsidR="00D9107F">
        <w:t>§ 4</w:t>
      </w:r>
      <w:r w:rsidR="00134CC9">
        <w:t xml:space="preserve"> at en lege skal utføre sitt arbeid i samsvar med de krav til faglig forsvarlighet og omsorgsfull hjelp som kan forventes ut fra helsepersonellets kvalifikasjoner, arbeidets karakter og situasjonen for øvrig. Videre skal legen innrette seg etter sine faglige kvalifikasjoner, og innhente bistand eller henvise pasienter videre der dette er nødvendig og mulig.</w:t>
      </w:r>
      <w:r w:rsidR="00862C01">
        <w:t xml:space="preserve"> </w:t>
      </w:r>
      <w:r w:rsidR="00986363">
        <w:t>Det er grunn til å tro at leger uten LIS1 i Norge</w:t>
      </w:r>
      <w:r w:rsidR="0061075B">
        <w:t>, i alle fall d</w:t>
      </w:r>
      <w:r w:rsidR="00D3406D">
        <w:t xml:space="preserve">e fleste, </w:t>
      </w:r>
      <w:r w:rsidR="00535026">
        <w:t>er svært uerfarne</w:t>
      </w:r>
      <w:r w:rsidR="00E74803">
        <w:t xml:space="preserve">. </w:t>
      </w:r>
      <w:r w:rsidR="474C2D13">
        <w:t>Å</w:t>
      </w:r>
      <w:r w:rsidR="00F175E2">
        <w:t xml:space="preserve"> nå </w:t>
      </w:r>
      <w:r w:rsidR="60F43654">
        <w:t>opp</w:t>
      </w:r>
      <w:r w:rsidR="00F175E2">
        <w:t xml:space="preserve"> i en ansettelsesprosess</w:t>
      </w:r>
      <w:r w:rsidR="00F42ADC">
        <w:t xml:space="preserve">, i konkurranse med </w:t>
      </w:r>
      <w:r w:rsidR="00AC2773">
        <w:t xml:space="preserve">mer erfarne leger, kan i seg selv være vanskelig. </w:t>
      </w:r>
      <w:r w:rsidR="00403FD5">
        <w:t xml:space="preserve">Ofte vil det dreie seg om </w:t>
      </w:r>
      <w:r w:rsidR="00002669">
        <w:t>vikariater</w:t>
      </w:r>
      <w:r w:rsidR="005B2EA1">
        <w:t xml:space="preserve">, </w:t>
      </w:r>
      <w:r w:rsidR="00467FF7">
        <w:t>og derav en løsere tilknytning til arbeidsgiver</w:t>
      </w:r>
      <w:r w:rsidR="00D92023">
        <w:t xml:space="preserve">. </w:t>
      </w:r>
      <w:r w:rsidR="00450E44">
        <w:t xml:space="preserve">I tillegg vil </w:t>
      </w:r>
      <w:r w:rsidR="00411C02">
        <w:t xml:space="preserve">de ha behov </w:t>
      </w:r>
      <w:r w:rsidR="007E1DD5">
        <w:t xml:space="preserve">for å tilegne seg </w:t>
      </w:r>
      <w:r w:rsidR="00FB3885">
        <w:t>relevant yrkes</w:t>
      </w:r>
      <w:r w:rsidR="007E1DD5">
        <w:t xml:space="preserve">erfaring og gode anbefalinger fra arbeidsgiver, som kan brukes for å nå </w:t>
      </w:r>
      <w:r w:rsidR="1C29B584">
        <w:t>opp</w:t>
      </w:r>
      <w:r w:rsidR="007E1DD5">
        <w:t xml:space="preserve"> i neste utlysning av LIS1</w:t>
      </w:r>
      <w:r w:rsidR="4E10605D">
        <w:t>-</w:t>
      </w:r>
      <w:r w:rsidR="007E1DD5">
        <w:t>stilling.</w:t>
      </w:r>
      <w:r w:rsidR="00E47FB5">
        <w:t xml:space="preserve"> Dette er </w:t>
      </w:r>
      <w:r w:rsidR="00B70536">
        <w:t xml:space="preserve">momenter som </w:t>
      </w:r>
      <w:r w:rsidR="00DC2961">
        <w:t xml:space="preserve">taler for at </w:t>
      </w:r>
      <w:r w:rsidR="006B030F">
        <w:t>det i utgangspunktet kan være vanskelig for leger i påvente av LIS1</w:t>
      </w:r>
      <w:r w:rsidR="41E4FF25">
        <w:t>,</w:t>
      </w:r>
      <w:r w:rsidR="006B030F">
        <w:t xml:space="preserve"> å stille </w:t>
      </w:r>
      <w:r w:rsidR="000D045C">
        <w:t xml:space="preserve">konkrete krav til arbeidsgiver </w:t>
      </w:r>
      <w:r w:rsidR="00F44E12">
        <w:t>om</w:t>
      </w:r>
      <w:r w:rsidR="000D045C">
        <w:t xml:space="preserve"> </w:t>
      </w:r>
      <w:r w:rsidR="00D56901">
        <w:t>tid til veiledning og supervisjon</w:t>
      </w:r>
      <w:r w:rsidR="00D445BD">
        <w:t>.</w:t>
      </w:r>
    </w:p>
    <w:p w14:paraId="57D981DB" w14:textId="77777777" w:rsidR="00D9107F" w:rsidRDefault="00416AF5" w:rsidP="00440775">
      <w:pPr>
        <w:jc w:val="both"/>
      </w:pPr>
      <w:r>
        <w:t xml:space="preserve">For arbeidsgiver </w:t>
      </w:r>
      <w:r w:rsidR="007A6E96">
        <w:t xml:space="preserve">vil </w:t>
      </w:r>
      <w:r w:rsidR="005D2CCD">
        <w:t>forsvarlighetskravet</w:t>
      </w:r>
      <w:r w:rsidR="00842675">
        <w:t xml:space="preserve"> </w:t>
      </w:r>
      <w:r w:rsidR="007A6F4A">
        <w:t xml:space="preserve">medføre </w:t>
      </w:r>
      <w:r w:rsidR="00882451">
        <w:t xml:space="preserve">at det </w:t>
      </w:r>
      <w:r w:rsidR="001214AF">
        <w:t xml:space="preserve">skal </w:t>
      </w:r>
      <w:r w:rsidR="00882451">
        <w:t xml:space="preserve">gjøres en </w:t>
      </w:r>
      <w:r w:rsidR="002C7F21">
        <w:t xml:space="preserve">kompetansevurdering knyttet til oppgavene som skal løses, og </w:t>
      </w:r>
      <w:r w:rsidR="00CC6793">
        <w:t xml:space="preserve">gis opplæring </w:t>
      </w:r>
      <w:r w:rsidR="08E8AE31">
        <w:t>ved behov</w:t>
      </w:r>
      <w:r w:rsidR="006855B7">
        <w:t>.</w:t>
      </w:r>
      <w:r w:rsidR="00270FFD">
        <w:t xml:space="preserve"> </w:t>
      </w:r>
      <w:r w:rsidR="00E93833">
        <w:t>Spesialistforskriften stiller krav til gjennomføring av læring</w:t>
      </w:r>
      <w:r w:rsidR="006D5219">
        <w:t>saktiviteter</w:t>
      </w:r>
      <w:r w:rsidR="004A6FD1">
        <w:t xml:space="preserve">, </w:t>
      </w:r>
      <w:r w:rsidR="006D5219">
        <w:t xml:space="preserve">oppnådde læringsmål, </w:t>
      </w:r>
      <w:r w:rsidR="004A6FD1">
        <w:t xml:space="preserve">veiledning </w:t>
      </w:r>
      <w:r w:rsidR="006D5219">
        <w:t xml:space="preserve">og supervisjon. </w:t>
      </w:r>
      <w:r w:rsidR="007F1386">
        <w:t>Forskriftens beskrivelse</w:t>
      </w:r>
      <w:r w:rsidR="00422407">
        <w:t xml:space="preserve"> av hvordan dette skal gjennomføres i praksis, </w:t>
      </w:r>
      <w:r w:rsidR="0043241D">
        <w:t xml:space="preserve">bidrar til å </w:t>
      </w:r>
      <w:r w:rsidR="00F32E59">
        <w:t xml:space="preserve">strukturere </w:t>
      </w:r>
      <w:r w:rsidR="001C6499">
        <w:t xml:space="preserve">oppfølgingen </w:t>
      </w:r>
      <w:r w:rsidR="008F44D9">
        <w:t xml:space="preserve">og </w:t>
      </w:r>
      <w:r w:rsidR="00D119F0">
        <w:t xml:space="preserve">opplæringen av </w:t>
      </w:r>
      <w:r w:rsidR="00EC1B40">
        <w:t>leger i LIS1</w:t>
      </w:r>
      <w:r w:rsidR="27DADD53">
        <w:t>-</w:t>
      </w:r>
      <w:r w:rsidR="00EC1B40">
        <w:t xml:space="preserve">tjeneste. </w:t>
      </w:r>
      <w:r w:rsidR="005E1007">
        <w:t xml:space="preserve">For leger uten LIS1, og som </w:t>
      </w:r>
      <w:r w:rsidR="00B5206D">
        <w:t xml:space="preserve">trolig vil ha det samme oppfølgings- og opplæringsbehovet, </w:t>
      </w:r>
      <w:r w:rsidR="00182428">
        <w:t>er det ingen tilsvarende beskrivelser for gjennomføring verken i forskrift eller veileder.</w:t>
      </w:r>
    </w:p>
    <w:p w14:paraId="5D4CF5A1" w14:textId="33B23CF6" w:rsidR="007D0BCF" w:rsidRDefault="007D0BCF" w:rsidP="00440775">
      <w:pPr>
        <w:jc w:val="both"/>
      </w:pPr>
      <w:r>
        <w:lastRenderedPageBreak/>
        <w:t xml:space="preserve">Hovedmålsettingen med </w:t>
      </w:r>
      <w:r w:rsidR="00DA2827">
        <w:t xml:space="preserve">den tidligere turnustjenesten var </w:t>
      </w:r>
      <w:r>
        <w:t xml:space="preserve">å kvalifisere leger til å arbeide selvstendig i yrket og yte forsvarlig helsehjelp. </w:t>
      </w:r>
      <w:r w:rsidR="002030C9">
        <w:t>Det første året skulle fortsatt gjennomføres i sykehus</w:t>
      </w:r>
      <w:r w:rsidR="3EA26770">
        <w:t>,</w:t>
      </w:r>
      <w:r w:rsidR="002030C9">
        <w:t xml:space="preserve"> som har et større faglig støtteapparat rundt den nyutdannede legen enn i kommunen. </w:t>
      </w:r>
      <w:r>
        <w:t>Ved o</w:t>
      </w:r>
      <w:r w:rsidR="00DA2827">
        <w:t>mleggingen av den tidligere turnuslegeordningen</w:t>
      </w:r>
      <w:r w:rsidR="00ED1121">
        <w:t xml:space="preserve"> til</w:t>
      </w:r>
      <w:r>
        <w:t xml:space="preserve"> tellende tjeneste i spesialistutdanningen</w:t>
      </w:r>
      <w:r w:rsidR="00C4586F">
        <w:t>,</w:t>
      </w:r>
      <w:r>
        <w:t xml:space="preserve"> så man for seg at dette ville styrke den praktiske og pedagogiske oppfølgingen av nyutdannede leger. </w:t>
      </w:r>
      <w:r w:rsidR="00955A8C">
        <w:t xml:space="preserve">I dagens situasjon kan dette målet kun sies å være innfridd for </w:t>
      </w:r>
      <w:r w:rsidR="001C400C">
        <w:t xml:space="preserve">nyutdannede leger </w:t>
      </w:r>
      <w:r w:rsidR="007C0CF8">
        <w:t>som blir ansatt i LIS1</w:t>
      </w:r>
      <w:r w:rsidR="3EA8DE78">
        <w:t>-</w:t>
      </w:r>
      <w:r w:rsidR="007C0CF8">
        <w:t xml:space="preserve">stilling rett etter gjennomført grunnutdanning. </w:t>
      </w:r>
      <w:r w:rsidR="00B5495E">
        <w:t xml:space="preserve">For leger uten LIS1, </w:t>
      </w:r>
      <w:r w:rsidR="00E133B7">
        <w:t>synes</w:t>
      </w:r>
      <w:r w:rsidR="00B5495E">
        <w:t xml:space="preserve"> </w:t>
      </w:r>
      <w:r w:rsidR="00E133B7">
        <w:t>omleggingen å ha bidratt til det motsatte.</w:t>
      </w:r>
    </w:p>
    <w:p w14:paraId="6C7809A3" w14:textId="77777777" w:rsidR="00CC773F" w:rsidRDefault="342B34EE" w:rsidP="000623DE">
      <w:r>
        <w:t>Arbeidss</w:t>
      </w:r>
      <w:r w:rsidR="002D7803" w:rsidRPr="00380163">
        <w:t>ituasjonen for nyutdannede leger</w:t>
      </w:r>
      <w:r w:rsidR="3A66BB55">
        <w:t xml:space="preserve"> </w:t>
      </w:r>
      <w:r w:rsidR="08737A86">
        <w:t xml:space="preserve">uten </w:t>
      </w:r>
      <w:r w:rsidR="002D7803" w:rsidRPr="00380163">
        <w:t>LIS1, vurderes å være en utrygg start på yrkeskarrieren.</w:t>
      </w:r>
      <w:r w:rsidR="008267BB">
        <w:t xml:space="preserve"> </w:t>
      </w:r>
      <w:r w:rsidR="00503DBB">
        <w:t>Det følger et stort faglig ansvar med å praktisere selvstendig som lege</w:t>
      </w:r>
      <w:r w:rsidR="001810F6">
        <w:t xml:space="preserve">. </w:t>
      </w:r>
      <w:r w:rsidR="00874E9D">
        <w:t>Mangel på strukturert oppfølging og læring</w:t>
      </w:r>
      <w:r w:rsidR="008D41F9">
        <w:t>,</w:t>
      </w:r>
      <w:r w:rsidR="000E368A">
        <w:t xml:space="preserve"> kan få uheldige konsekvenser for den enkelte </w:t>
      </w:r>
      <w:r w:rsidR="006B2D4D">
        <w:t>lege, men ikke minst for pasientene.</w:t>
      </w:r>
      <w:r w:rsidR="00784FC5">
        <w:t xml:space="preserve"> </w:t>
      </w:r>
      <w:r w:rsidR="00CC773F" w:rsidRPr="00357ED8">
        <w:t xml:space="preserve">Tidspunktet for autorisasjon, sammenholdt med at det ikke er nok LIS1-stillinger, kan etter utvalgets vurdering utfordre pasientsikkerheten, og bidra til </w:t>
      </w:r>
      <w:r w:rsidR="00B94662" w:rsidRPr="00380163">
        <w:t>en dårlig rekrutteringssituasjon til videre jobb i kommunen</w:t>
      </w:r>
      <w:r w:rsidR="001F290F">
        <w:t>.</w:t>
      </w:r>
    </w:p>
    <w:p w14:paraId="54169E7C" w14:textId="16298595" w:rsidR="00C41823" w:rsidRDefault="05746472" w:rsidP="000623DE">
      <w:pPr>
        <w:rPr>
          <w:rFonts w:eastAsia="Calibri"/>
        </w:rPr>
      </w:pPr>
      <w:r w:rsidRPr="00357ED8">
        <w:rPr>
          <w:rFonts w:eastAsia="Calibri"/>
        </w:rPr>
        <w:t>For å sikre at studenter får tilstrekkelig læring i praksis før de kan praktisere, k</w:t>
      </w:r>
      <w:r w:rsidR="4257C594">
        <w:rPr>
          <w:rFonts w:eastAsia="Calibri"/>
        </w:rPr>
        <w:t>unne</w:t>
      </w:r>
      <w:r w:rsidRPr="00357ED8">
        <w:rPr>
          <w:rFonts w:eastAsia="Calibri"/>
        </w:rPr>
        <w:t xml:space="preserve"> et alternativ være å la LIS1- tjenesten utgjøre siste del av legers grunnutdanning</w:t>
      </w:r>
      <w:r w:rsidR="1A2AEC5E">
        <w:rPr>
          <w:rFonts w:eastAsia="Calibri"/>
        </w:rPr>
        <w:t xml:space="preserve"> i Norge</w:t>
      </w:r>
      <w:r w:rsidRPr="00357ED8">
        <w:rPr>
          <w:rFonts w:eastAsia="Calibri"/>
        </w:rPr>
        <w:t>, slik det var før omleggingen av turnusordningen for leger i 2012.</w:t>
      </w:r>
      <w:r w:rsidR="20ED5942">
        <w:rPr>
          <w:rFonts w:eastAsia="Calibri"/>
        </w:rPr>
        <w:t xml:space="preserve"> </w:t>
      </w:r>
      <w:r w:rsidR="106CC281">
        <w:rPr>
          <w:rFonts w:eastAsia="Calibri"/>
        </w:rPr>
        <w:t>Et annet alternativ k</w:t>
      </w:r>
      <w:r w:rsidR="170E97AE">
        <w:rPr>
          <w:rFonts w:eastAsia="Calibri"/>
        </w:rPr>
        <w:t>unne</w:t>
      </w:r>
      <w:r w:rsidR="106CC281">
        <w:rPr>
          <w:rFonts w:eastAsia="Calibri"/>
        </w:rPr>
        <w:t xml:space="preserve"> vær</w:t>
      </w:r>
      <w:r w:rsidR="170E97AE">
        <w:rPr>
          <w:rFonts w:eastAsia="Calibri"/>
        </w:rPr>
        <w:t xml:space="preserve">t å gi </w:t>
      </w:r>
      <w:r w:rsidR="5E3AB401">
        <w:rPr>
          <w:rFonts w:eastAsia="Calibri"/>
        </w:rPr>
        <w:t>en avgrenset</w:t>
      </w:r>
      <w:r w:rsidR="106CC281">
        <w:t xml:space="preserve"> autorisasjon</w:t>
      </w:r>
      <w:r w:rsidR="170E97AE">
        <w:t xml:space="preserve"> (lisens) </w:t>
      </w:r>
      <w:r w:rsidR="106CC281">
        <w:t xml:space="preserve">i perioden </w:t>
      </w:r>
      <w:r w:rsidR="002472E5">
        <w:t xml:space="preserve">fram til LIS1 er gjennomført. </w:t>
      </w:r>
      <w:r w:rsidR="1F2FE6FF">
        <w:rPr>
          <w:rFonts w:eastAsia="Calibri"/>
        </w:rPr>
        <w:t xml:space="preserve">Norges EØS-rettslige forpliktelser </w:t>
      </w:r>
      <w:r w:rsidR="30047090">
        <w:rPr>
          <w:rFonts w:eastAsia="Calibri"/>
        </w:rPr>
        <w:t>i</w:t>
      </w:r>
      <w:r w:rsidR="1F2FE6FF">
        <w:rPr>
          <w:rFonts w:eastAsia="Calibri"/>
        </w:rPr>
        <w:t>nnebære</w:t>
      </w:r>
      <w:r w:rsidR="30047090">
        <w:rPr>
          <w:rFonts w:eastAsia="Calibri"/>
        </w:rPr>
        <w:t>r imidlertid</w:t>
      </w:r>
      <w:r w:rsidR="1F2FE6FF">
        <w:rPr>
          <w:rFonts w:eastAsia="Calibri"/>
        </w:rPr>
        <w:t xml:space="preserve"> at </w:t>
      </w:r>
      <w:r w:rsidR="575ECE28">
        <w:rPr>
          <w:rFonts w:eastAsia="Calibri"/>
        </w:rPr>
        <w:t xml:space="preserve">leger </w:t>
      </w:r>
      <w:r w:rsidR="4E577C7B">
        <w:rPr>
          <w:rFonts w:eastAsia="Calibri"/>
        </w:rPr>
        <w:t>som har gjennomført medisinutdanningen i</w:t>
      </w:r>
      <w:r w:rsidR="575ECE28">
        <w:rPr>
          <w:rFonts w:eastAsia="Calibri"/>
        </w:rPr>
        <w:t xml:space="preserve"> andre EØS-land vil ha rett </w:t>
      </w:r>
      <w:r w:rsidR="7F72ECA0">
        <w:rPr>
          <w:rFonts w:eastAsia="Calibri"/>
        </w:rPr>
        <w:t>til</w:t>
      </w:r>
      <w:r w:rsidR="575ECE28">
        <w:rPr>
          <w:rFonts w:eastAsia="Calibri"/>
        </w:rPr>
        <w:t xml:space="preserve"> </w:t>
      </w:r>
      <w:r w:rsidR="75EAEE9F">
        <w:rPr>
          <w:rFonts w:eastAsia="Calibri"/>
        </w:rPr>
        <w:t xml:space="preserve">full </w:t>
      </w:r>
      <w:r w:rsidR="575ECE28">
        <w:rPr>
          <w:rFonts w:eastAsia="Calibri"/>
        </w:rPr>
        <w:t>autorisasjon som lege i Norge</w:t>
      </w:r>
      <w:r w:rsidR="75EAEE9F">
        <w:rPr>
          <w:rFonts w:eastAsia="Calibri"/>
        </w:rPr>
        <w:t xml:space="preserve">, uavhengig av om de </w:t>
      </w:r>
      <w:r w:rsidR="2392B54B">
        <w:rPr>
          <w:rFonts w:eastAsia="Calibri"/>
        </w:rPr>
        <w:t xml:space="preserve">har gjennomført tilsvarende praksis som leger utdannet i Norge. </w:t>
      </w:r>
      <w:r w:rsidR="106CC281">
        <w:rPr>
          <w:rFonts w:eastAsia="Calibri"/>
        </w:rPr>
        <w:t>Legers grunnutdanning er harmonisert i EØS-området</w:t>
      </w:r>
      <w:r w:rsidR="30047090">
        <w:rPr>
          <w:rFonts w:eastAsia="Calibri"/>
        </w:rPr>
        <w:t xml:space="preserve">, og Norge er forpliktet </w:t>
      </w:r>
      <w:r w:rsidR="590269DF">
        <w:rPr>
          <w:rFonts w:eastAsia="Calibri"/>
        </w:rPr>
        <w:t xml:space="preserve">til å gi autorisasjon til leger som kan legge </w:t>
      </w:r>
      <w:r w:rsidR="0069523F">
        <w:rPr>
          <w:rFonts w:eastAsia="Calibri"/>
        </w:rPr>
        <w:t>fram</w:t>
      </w:r>
      <w:r w:rsidR="590269DF">
        <w:rPr>
          <w:rFonts w:eastAsia="Calibri"/>
        </w:rPr>
        <w:t xml:space="preserve"> kvalifikasjonsbevis </w:t>
      </w:r>
      <w:r w:rsidR="4D6615D9">
        <w:rPr>
          <w:rFonts w:eastAsia="Calibri"/>
        </w:rPr>
        <w:t>på gjennomført medisinutdanning i et EØS-</w:t>
      </w:r>
      <w:r w:rsidR="00A03384">
        <w:rPr>
          <w:rFonts w:eastAsia="Calibri"/>
        </w:rPr>
        <w:t>land</w:t>
      </w:r>
      <w:r w:rsidR="00A03384" w:rsidRPr="599CBEAB">
        <w:rPr>
          <w:rFonts w:eastAsia="Calibri"/>
        </w:rPr>
        <w:t>.</w:t>
      </w:r>
      <w:r w:rsidR="3A9B5B4D">
        <w:rPr>
          <w:rFonts w:eastAsia="Calibri"/>
        </w:rPr>
        <w:t xml:space="preserve"> Det vil være i strid med EØS-avtalen og yrkeskvalifikasjonsdirektivet å kreve </w:t>
      </w:r>
      <w:r w:rsidR="592C5D44">
        <w:rPr>
          <w:rFonts w:eastAsia="Calibri"/>
        </w:rPr>
        <w:t>at leger utdannet i andre EØS-land gjennomfører praksis for å få full autorisasjon</w:t>
      </w:r>
      <w:r w:rsidR="02B03A0B">
        <w:rPr>
          <w:rFonts w:eastAsia="Calibri"/>
        </w:rPr>
        <w:t xml:space="preserve"> i Norge</w:t>
      </w:r>
      <w:r w:rsidR="592C5D44">
        <w:rPr>
          <w:rFonts w:eastAsia="Calibri"/>
        </w:rPr>
        <w:t>. De</w:t>
      </w:r>
      <w:r w:rsidR="6D3D4E0B">
        <w:rPr>
          <w:rFonts w:eastAsia="Calibri"/>
        </w:rPr>
        <w:t>rsom man skulle pålagt medisinstudenter som studerer i Norge å gjennomgå praksis som en del av utdanningen, eller som et vilkår for å få full autorisasjon, ville det bidratt til en forskjellsbehandling der studenter utdannet i Norge behandles strengere enn studenter utdannet i en rekke andre land i EØS-området.</w:t>
      </w:r>
    </w:p>
    <w:p w14:paraId="12124075" w14:textId="77777777" w:rsidR="00D9107F" w:rsidRDefault="00C41823" w:rsidP="00440775">
      <w:pPr>
        <w:jc w:val="both"/>
      </w:pPr>
      <w:r>
        <w:t xml:space="preserve">Eventuelle krav om å ha LIS1 eller tilsvarende for å praktisere selvstendig som lege i Norge, vil eventuelt </w:t>
      </w:r>
      <w:r w:rsidR="00F82901">
        <w:t>måtte</w:t>
      </w:r>
      <w:r>
        <w:t xml:space="preserve"> knyttes til </w:t>
      </w:r>
      <w:r w:rsidR="00F82901">
        <w:t xml:space="preserve">visse type </w:t>
      </w:r>
      <w:r>
        <w:t xml:space="preserve">stillinger eller type oppgaver, og begrunnes </w:t>
      </w:r>
      <w:r w:rsidR="00F82901">
        <w:t>i at det vil være et uttrykk for hva som anses faglig forsvarlig. Dette er allerede gjort for</w:t>
      </w:r>
      <w:r w:rsidR="008D3287">
        <w:t xml:space="preserve"> </w:t>
      </w:r>
      <w:r w:rsidR="00753753">
        <w:t xml:space="preserve">leger i den kommunale helse- og omsorgstjenesten gjennom kompetanseforskriften, som er nærmere omtalt i kapittel </w:t>
      </w:r>
      <w:r w:rsidR="00061D4E">
        <w:t>9.2</w:t>
      </w:r>
      <w:r w:rsidR="00753753">
        <w:t>.1</w:t>
      </w:r>
      <w:r w:rsidR="00061D4E">
        <w:t>.</w:t>
      </w:r>
      <w:r w:rsidR="00753753">
        <w:t xml:space="preserve"> Et alternativ er derfor å forskriftsfeste krav til at leger </w:t>
      </w:r>
      <w:r w:rsidR="00BF335B">
        <w:t xml:space="preserve">som skal jobbe </w:t>
      </w:r>
      <w:r w:rsidR="000C3F8C">
        <w:t>i helse- og omsorgstjenesten uten veiledning må ha gjennomført LIS1</w:t>
      </w:r>
      <w:r w:rsidR="003F5347">
        <w:t xml:space="preserve"> eller tilsvarende</w:t>
      </w:r>
      <w:r w:rsidR="000C3F8C">
        <w:t>.</w:t>
      </w:r>
      <w:r w:rsidR="00BF335B" w:rsidRPr="00BF335B">
        <w:t xml:space="preserve"> </w:t>
      </w:r>
      <w:r w:rsidR="00396F71">
        <w:t xml:space="preserve">Dersom legen </w:t>
      </w:r>
      <w:r w:rsidR="0076016D">
        <w:t xml:space="preserve">som skal ansettes ikke oppfyller </w:t>
      </w:r>
      <w:r w:rsidR="001F19C6">
        <w:t>kompetanse</w:t>
      </w:r>
      <w:r w:rsidR="0076016D">
        <w:t xml:space="preserve">kravene, kan det opprettes en LIS1-stilling til </w:t>
      </w:r>
      <w:r w:rsidR="0076016D">
        <w:lastRenderedPageBreak/>
        <w:t xml:space="preserve">vedkommende, slik at legen sikres nødvendig veiledning og samtidig får startet på sin spesialistutdanning. </w:t>
      </w:r>
      <w:r w:rsidR="00056859">
        <w:t>Det vises til nærmere omtale av dette under.</w:t>
      </w:r>
    </w:p>
    <w:p w14:paraId="3D0D7AD7" w14:textId="4E579C41" w:rsidR="00B0666D" w:rsidRDefault="00B0666D" w:rsidP="00440775">
      <w:pPr>
        <w:jc w:val="both"/>
      </w:pPr>
      <w:r>
        <w:t>For de nyutdannede legene vil dette gi rettigheter i form av tettere oppfølging, noe som kan forventes å gi en tryggere og bedre start på yrkeskarrieren, samt å styrke pasientsikkerheten. Skjerpet krav til oppfølging, vil kreve ressurser til veiledning og supervisjon, men dette vurderes likevel ikke å veie tyngre enn behovet for tettere oppfølging, særlig siden mange nyutdannede leger uten LIS1 allerede jobber i helsetjenestene og arbeidsgiver allerede i dag må antas å følge disse tett med uformell veiledning og supervisjon for å sikre forsvarlige tjenester.</w:t>
      </w:r>
    </w:p>
    <w:p w14:paraId="5E839B53" w14:textId="77777777" w:rsidR="00D9107F" w:rsidRDefault="00BF335B" w:rsidP="00440775">
      <w:pPr>
        <w:jc w:val="both"/>
      </w:pPr>
      <w:r>
        <w:t>Det finnes forskriftshjemler både i helse- og omsorgstjenesteloven, spesialisthelsetjenesteloven og i helsepersonelloven som kan tenkes brukt som hjemmelsgrunnlag for en slik forskrift</w:t>
      </w:r>
      <w:r w:rsidR="000C3F8C">
        <w:t xml:space="preserve">, også for privat helsetjeneste. </w:t>
      </w:r>
      <w:r w:rsidR="00B84755">
        <w:t>D</w:t>
      </w:r>
      <w:r w:rsidR="000C3F8C">
        <w:t xml:space="preserve">et er imidlertid viktig at </w:t>
      </w:r>
      <w:r w:rsidR="00561013">
        <w:t xml:space="preserve">eventuelle </w:t>
      </w:r>
      <w:r w:rsidR="00B84755">
        <w:t>forskrifts</w:t>
      </w:r>
      <w:r w:rsidR="00561013">
        <w:t xml:space="preserve">krav til </w:t>
      </w:r>
      <w:r w:rsidR="00B84755">
        <w:t>gjennomført</w:t>
      </w:r>
      <w:r w:rsidR="00561013">
        <w:t xml:space="preserve"> praksis utformes slik at det ikke skjer forskjellsbehandling av leger utdannet i Norge og leger utdannet i andre EØS-land. Det vil antagelig derfor være behov for at </w:t>
      </w:r>
      <w:r w:rsidR="005855AC">
        <w:t xml:space="preserve">også praksis </w:t>
      </w:r>
      <w:r w:rsidR="00D73D5D">
        <w:t xml:space="preserve">fra utlandet eller fra Norge </w:t>
      </w:r>
      <w:r w:rsidR="005855AC">
        <w:t xml:space="preserve">som kan tilsvare LIS1-nivå </w:t>
      </w:r>
      <w:r w:rsidR="006F5AEF">
        <w:t>vil være tilstrekkelig for å møte kompetansekravene</w:t>
      </w:r>
      <w:r w:rsidR="009D5613">
        <w:t>, slik at kompetansekravet knytter seg til at legen har LIS1 eller tilsvarende kompetanse</w:t>
      </w:r>
      <w:r w:rsidR="003F1A0B">
        <w:t>.</w:t>
      </w:r>
      <w:r w:rsidR="00E448C8">
        <w:t xml:space="preserve"> </w:t>
      </w:r>
      <w:r w:rsidR="006F5AEF">
        <w:t xml:space="preserve">Det vil være </w:t>
      </w:r>
      <w:r w:rsidR="00140020">
        <w:t>den faktiske kompetansen den enkelte legen innehar som vil være vesentlig</w:t>
      </w:r>
      <w:r w:rsidR="00E14EFB" w:rsidRPr="003C3D09">
        <w:t xml:space="preserve"> i en vurdering av om en lege har kompetanse som </w:t>
      </w:r>
      <w:r w:rsidR="00250D62" w:rsidRPr="003C3D09">
        <w:t xml:space="preserve">tilsvarer </w:t>
      </w:r>
      <w:r w:rsidR="00E14EFB" w:rsidRPr="003C3D09">
        <w:t>LIS1, slik at man kan se noe bredere på legens bakgrunn og erfaringer</w:t>
      </w:r>
      <w:r w:rsidR="00140020">
        <w:t xml:space="preserve">. Det innebærer at det </w:t>
      </w:r>
      <w:r w:rsidR="00EE028F">
        <w:t>i stor grad vil bero på en skjønnsmessig helhetsvurdering hvorvidt en lege uten LIS1</w:t>
      </w:r>
      <w:r w:rsidR="00DF09FD">
        <w:t>, men som har annen erfaring,</w:t>
      </w:r>
      <w:r w:rsidR="00EE028F">
        <w:t xml:space="preserve"> oppfyller kompetansekravene.</w:t>
      </w:r>
    </w:p>
    <w:p w14:paraId="39BF65A4" w14:textId="77777777" w:rsidR="00D9107F" w:rsidRDefault="00B5091D" w:rsidP="00440775">
      <w:pPr>
        <w:jc w:val="both"/>
      </w:pPr>
      <w:r>
        <w:t xml:space="preserve">Om det er hensiktsmessig å pålegge arbeidsgivere å gjøre en slik vurdering, eller om leger uten LIS1 </w:t>
      </w:r>
      <w:r w:rsidR="00310A0E">
        <w:t xml:space="preserve">burde få en bekreftelse fra sentrale myndigheter </w:t>
      </w:r>
      <w:r w:rsidR="00A66B38">
        <w:t xml:space="preserve">på oppnådd praksiserfaring, må eventuelt vurderes nærmere. </w:t>
      </w:r>
      <w:r w:rsidR="00751BCE">
        <w:t xml:space="preserve">Dersom </w:t>
      </w:r>
      <w:r w:rsidR="00505431">
        <w:t>det legges til arbeidsgiver å gjøre en slik vurdering,</w:t>
      </w:r>
      <w:r w:rsidR="00884C76">
        <w:t xml:space="preserve"> vil det s</w:t>
      </w:r>
      <w:r w:rsidR="00751BCE">
        <w:t>om et minstekrav</w:t>
      </w:r>
      <w:r w:rsidR="002E67B5">
        <w:t>,</w:t>
      </w:r>
      <w:r w:rsidR="00751BCE">
        <w:t xml:space="preserve"> </w:t>
      </w:r>
      <w:r w:rsidR="00F87360">
        <w:t>være behov for at Helsedirektoratet nedtegner kriterier som kan avhjelpe denne jobben</w:t>
      </w:r>
      <w:r w:rsidR="00884C76">
        <w:t>.</w:t>
      </w:r>
    </w:p>
    <w:p w14:paraId="20F1809E" w14:textId="79EAA4C0" w:rsidR="006A4C0E" w:rsidRDefault="00FB3D52" w:rsidP="00440775">
      <w:pPr>
        <w:jc w:val="both"/>
      </w:pPr>
      <w:r>
        <w:t xml:space="preserve">Ekspertutvalget anbefaler </w:t>
      </w:r>
      <w:r w:rsidR="00EA1D53">
        <w:t xml:space="preserve">at </w:t>
      </w:r>
      <w:r w:rsidR="00906AF0">
        <w:t>det stilles krav til gjennomført LIS1</w:t>
      </w:r>
      <w:r w:rsidR="00764C6E">
        <w:t xml:space="preserve"> eller tilsvarende, for å </w:t>
      </w:r>
      <w:r w:rsidR="00D470EA">
        <w:t>praktisere selvstendig</w:t>
      </w:r>
      <w:r w:rsidR="00087305">
        <w:t xml:space="preserve"> </w:t>
      </w:r>
      <w:r w:rsidR="004143CE">
        <w:t xml:space="preserve">som lege </w:t>
      </w:r>
      <w:r w:rsidR="00087305">
        <w:t>i alle deler av helsetjenesten</w:t>
      </w:r>
      <w:r w:rsidR="00D470EA">
        <w:t>.</w:t>
      </w:r>
      <w:r w:rsidR="00713D0C">
        <w:t xml:space="preserve"> </w:t>
      </w:r>
      <w:r w:rsidR="096D07F5">
        <w:t>Dette betyr eksempelvis at leger uten LIS1 ikke kan praktisere selvstendig</w:t>
      </w:r>
      <w:r w:rsidR="58D5E560">
        <w:t xml:space="preserve">, og at de </w:t>
      </w:r>
      <w:r w:rsidR="00C201EE">
        <w:t xml:space="preserve">må arbeide under </w:t>
      </w:r>
      <w:r w:rsidR="00832EA2">
        <w:t xml:space="preserve">supervisjon og </w:t>
      </w:r>
      <w:r w:rsidR="00C201EE">
        <w:t>veiledning</w:t>
      </w:r>
      <w:r w:rsidR="00621B71">
        <w:t xml:space="preserve"> av erfarne leger</w:t>
      </w:r>
      <w:r w:rsidR="00C201EE">
        <w:t xml:space="preserve">. </w:t>
      </w:r>
      <w:r w:rsidR="00BD5C16">
        <w:t>Krav til tett oppfølging</w:t>
      </w:r>
      <w:r w:rsidR="002D6751">
        <w:t xml:space="preserve"> vil være uforenelig med å jobbe alene på sykehjem eller fastlegekontor. </w:t>
      </w:r>
      <w:r w:rsidR="58D5E560">
        <w:t xml:space="preserve">Utvalget antar at dette </w:t>
      </w:r>
      <w:r w:rsidR="00B24C40">
        <w:t xml:space="preserve">vil </w:t>
      </w:r>
      <w:r w:rsidR="0062688B">
        <w:t xml:space="preserve">gjøre det mindre attraktivt å </w:t>
      </w:r>
      <w:r w:rsidR="00007AFA">
        <w:t>tilby</w:t>
      </w:r>
      <w:r w:rsidR="00B24C40">
        <w:t xml:space="preserve"> leger uten LIS1 </w:t>
      </w:r>
      <w:r w:rsidR="00007AFA">
        <w:t xml:space="preserve">vikariater i kommunen. </w:t>
      </w:r>
      <w:r w:rsidR="003B78FB">
        <w:t>Uten andre kompenserende tiltak, vil k</w:t>
      </w:r>
      <w:r w:rsidR="00FF31F8">
        <w:t>ommunens</w:t>
      </w:r>
      <w:r w:rsidR="6EF25208">
        <w:t xml:space="preserve"> </w:t>
      </w:r>
      <w:r w:rsidR="58D5E560">
        <w:t xml:space="preserve">tilgang </w:t>
      </w:r>
      <w:r w:rsidR="00FF31F8">
        <w:t>til vikar</w:t>
      </w:r>
      <w:r w:rsidR="003B78FB">
        <w:t>er</w:t>
      </w:r>
      <w:r w:rsidR="31DEB182">
        <w:t xml:space="preserve"> </w:t>
      </w:r>
      <w:r w:rsidR="5B39E419">
        <w:t xml:space="preserve">begrenses av </w:t>
      </w:r>
      <w:r w:rsidR="0022358A">
        <w:t xml:space="preserve">dette </w:t>
      </w:r>
      <w:r w:rsidR="5B39E419">
        <w:t>forslaget</w:t>
      </w:r>
      <w:r w:rsidR="0068165B">
        <w:t xml:space="preserve">. </w:t>
      </w:r>
      <w:r w:rsidR="0022358A">
        <w:t xml:space="preserve">Imidlertid </w:t>
      </w:r>
      <w:r w:rsidR="008327D5">
        <w:t>vil ekspertutvalgets anbefaling</w:t>
      </w:r>
      <w:r w:rsidR="5B39E419">
        <w:t xml:space="preserve"> </w:t>
      </w:r>
      <w:r w:rsidR="2A08D7E4">
        <w:t xml:space="preserve">(se under) </w:t>
      </w:r>
      <w:r w:rsidR="5B39E419">
        <w:t>om at kommune</w:t>
      </w:r>
      <w:r w:rsidR="008327D5">
        <w:t>r</w:t>
      </w:r>
      <w:r w:rsidR="5B39E419">
        <w:t xml:space="preserve"> og sykehus selv skal kunne</w:t>
      </w:r>
      <w:r w:rsidR="58D5E560">
        <w:t xml:space="preserve"> </w:t>
      </w:r>
      <w:r w:rsidR="001622F4">
        <w:t xml:space="preserve">opprette </w:t>
      </w:r>
      <w:r w:rsidR="00713D0C">
        <w:t>egne</w:t>
      </w:r>
      <w:r w:rsidR="5B39E419">
        <w:t xml:space="preserve"> LIS1-stillinger utenfor den nasjonale kvoten</w:t>
      </w:r>
      <w:r w:rsidR="008327D5">
        <w:t>, motvirke dette</w:t>
      </w:r>
      <w:r w:rsidR="5B39E419">
        <w:t>. Forskjellen fra dag</w:t>
      </w:r>
      <w:r w:rsidR="64A50C89">
        <w:t>ens ordning vil da i det vesentlig</w:t>
      </w:r>
      <w:r w:rsidR="0003391D">
        <w:t>e</w:t>
      </w:r>
      <w:r w:rsidR="64A50C89">
        <w:t xml:space="preserve"> være at kommunen eller arbeidsgiver må tilby vikarleger uten LIS1 </w:t>
      </w:r>
      <w:r w:rsidR="32279E46">
        <w:t xml:space="preserve">formell </w:t>
      </w:r>
      <w:r w:rsidR="64A50C89">
        <w:t xml:space="preserve">veiledning, supervisjon, mv. som </w:t>
      </w:r>
      <w:r w:rsidR="14608107">
        <w:t xml:space="preserve">er tellende i LIS1. </w:t>
      </w:r>
      <w:r w:rsidR="00DC0488">
        <w:t xml:space="preserve">Ved behov for vikar, kan kommuner og sykehus, </w:t>
      </w:r>
      <w:r w:rsidR="005F2F25">
        <w:t>opprette egne LIS1</w:t>
      </w:r>
      <w:r w:rsidR="007D4CEC">
        <w:t>-</w:t>
      </w:r>
      <w:r w:rsidR="005F2F25">
        <w:t>stillinger</w:t>
      </w:r>
      <w:r w:rsidR="003C60CC">
        <w:t xml:space="preserve">. </w:t>
      </w:r>
      <w:r w:rsidR="003C60CC">
        <w:lastRenderedPageBreak/>
        <w:t xml:space="preserve">Dette vil bidra til at leger </w:t>
      </w:r>
      <w:r w:rsidR="00A768EC">
        <w:t>uten LIS1 sikres nødvendig oppfølging, og til at flere leger kommer gjennom LIS1.</w:t>
      </w:r>
    </w:p>
    <w:p w14:paraId="0AAB160C" w14:textId="77777777" w:rsidR="00E71AB8" w:rsidRDefault="19AB27AC" w:rsidP="00775632">
      <w:pPr>
        <w:pStyle w:val="Overskrift4"/>
      </w:pPr>
      <w:bookmarkStart w:id="5474" w:name="_Toc130983707"/>
      <w:bookmarkStart w:id="5475" w:name="_Toc130984056"/>
      <w:bookmarkStart w:id="5476" w:name="_Toc131279651"/>
      <w:bookmarkStart w:id="5477" w:name="_Toc131287063"/>
      <w:bookmarkStart w:id="5478" w:name="_Toc131281473"/>
      <w:bookmarkStart w:id="5479" w:name="_Toc131318013"/>
      <w:r>
        <w:t>Økning i antall LIS1-stillinger</w:t>
      </w:r>
      <w:bookmarkEnd w:id="5474"/>
      <w:bookmarkEnd w:id="5475"/>
      <w:bookmarkEnd w:id="5476"/>
      <w:bookmarkEnd w:id="5477"/>
      <w:bookmarkEnd w:id="5478"/>
      <w:bookmarkEnd w:id="5479"/>
    </w:p>
    <w:p w14:paraId="60796ED9" w14:textId="38607365" w:rsidR="00112E07" w:rsidRDefault="00357ED8" w:rsidP="000623DE">
      <w:pPr>
        <w:rPr>
          <w:rFonts w:eastAsia="Calibri"/>
        </w:rPr>
      </w:pPr>
      <w:r w:rsidRPr="00357ED8">
        <w:rPr>
          <w:rFonts w:eastAsia="Calibri"/>
        </w:rPr>
        <w:t xml:space="preserve">Et viktig tiltak for å utnytte legeressursene og sikre tilstrekkelig kompetanse i tjenesten, er å sørge for at det er nok LIS1-stillinger til nyutdannede leger. </w:t>
      </w:r>
      <w:r w:rsidR="00112E07">
        <w:t>Til tross for at antallet LIS1</w:t>
      </w:r>
      <w:r w:rsidR="3D0A41AB">
        <w:t>-</w:t>
      </w:r>
      <w:r w:rsidR="00112E07">
        <w:t xml:space="preserve">stillinger siden 2019 har økt med nesten 200, er det fortsatt adskillig flere søkere enn det er stillinger. </w:t>
      </w:r>
      <w:r w:rsidR="00112E07">
        <w:rPr>
          <w:rFonts w:eastAsia="Calibri"/>
        </w:rPr>
        <w:t xml:space="preserve">Både for samfunnet, og for den enkelte lege, synes ventetiden for LIS1-tjeneste å være sløsing av tid og ressurser. </w:t>
      </w:r>
      <w:r w:rsidR="00112E07" w:rsidRPr="00550856">
        <w:rPr>
          <w:rFonts w:eastAsia="Calibri"/>
        </w:rPr>
        <w:t>Det</w:t>
      </w:r>
      <w:r w:rsidR="00112E07">
        <w:rPr>
          <w:rFonts w:eastAsia="Calibri"/>
        </w:rPr>
        <w:t xml:space="preserve"> et paradoks at antall studieplasser på medisin økes </w:t>
      </w:r>
      <w:r w:rsidR="18E431ED" w:rsidRPr="00550856">
        <w:rPr>
          <w:rFonts w:eastAsia="Calibri"/>
        </w:rPr>
        <w:t xml:space="preserve">samtidig som det er langt flere kvalifiserte </w:t>
      </w:r>
      <w:r w:rsidR="1D814F1F" w:rsidRPr="00550856">
        <w:rPr>
          <w:rFonts w:eastAsia="Calibri"/>
        </w:rPr>
        <w:t>LIS1-</w:t>
      </w:r>
      <w:r w:rsidR="18E431ED" w:rsidRPr="00550856">
        <w:rPr>
          <w:rFonts w:eastAsia="Calibri"/>
        </w:rPr>
        <w:t>søkere</w:t>
      </w:r>
      <w:r w:rsidR="00DA292F">
        <w:rPr>
          <w:rFonts w:eastAsia="Calibri"/>
        </w:rPr>
        <w:t>,</w:t>
      </w:r>
      <w:r w:rsidR="18E431ED" w:rsidRPr="00550856">
        <w:rPr>
          <w:rFonts w:eastAsia="Calibri"/>
        </w:rPr>
        <w:t xml:space="preserve"> enn det er</w:t>
      </w:r>
      <w:r w:rsidR="18E431ED" w:rsidRPr="080D4771">
        <w:rPr>
          <w:rFonts w:eastAsia="Calibri"/>
        </w:rPr>
        <w:t xml:space="preserve"> </w:t>
      </w:r>
      <w:r w:rsidR="00112E07">
        <w:rPr>
          <w:rFonts w:eastAsia="Calibri"/>
        </w:rPr>
        <w:t>LIS1-stillinger.</w:t>
      </w:r>
    </w:p>
    <w:p w14:paraId="0672B845" w14:textId="77777777" w:rsidR="00D9107F" w:rsidRDefault="006E2A11" w:rsidP="000623DE">
      <w:r w:rsidRPr="00380163">
        <w:rPr>
          <w:rFonts w:eastAsiaTheme="minorEastAsia"/>
        </w:rPr>
        <w:t>I Helsedirektoratets utredning av antall LIS1-stillinger spilte både sykehus og kommuner inn manglende veilederkapasitet og kontorplass som en begrensende faktor for økning av antall stillinger.</w:t>
      </w:r>
      <w:r w:rsidRPr="3AD5AA80">
        <w:rPr>
          <w:rFonts w:eastAsiaTheme="minorEastAsia"/>
        </w:rPr>
        <w:t xml:space="preserve"> </w:t>
      </w:r>
      <w:r w:rsidR="0E022A6E" w:rsidRPr="6138903B">
        <w:rPr>
          <w:rFonts w:eastAsiaTheme="minorEastAsia"/>
        </w:rPr>
        <w:t>Siden mange</w:t>
      </w:r>
      <w:r w:rsidR="00A076D2" w:rsidRPr="6138903B">
        <w:rPr>
          <w:rFonts w:eastAsiaTheme="minorEastAsia"/>
        </w:rPr>
        <w:t xml:space="preserve"> </w:t>
      </w:r>
      <w:r w:rsidR="00A076D2">
        <w:rPr>
          <w:rFonts w:eastAsia="Calibri"/>
        </w:rPr>
        <w:t xml:space="preserve">leger uten LIS1 allerede jobber i tjenesten, </w:t>
      </w:r>
      <w:r w:rsidR="3E180D8A">
        <w:rPr>
          <w:rFonts w:eastAsia="Calibri"/>
        </w:rPr>
        <w:t xml:space="preserve">og kommunen eller arbeidsgiver er forpliktet til å yte uformell veiledning og supervisjon for å sikre forsvarlige tjenester, </w:t>
      </w:r>
      <w:r w:rsidR="4CE59DBE">
        <w:rPr>
          <w:rFonts w:eastAsia="Calibri"/>
        </w:rPr>
        <w:t xml:space="preserve">antar utvalget at en </w:t>
      </w:r>
      <w:r w:rsidR="00A076D2">
        <w:rPr>
          <w:rFonts w:eastAsia="Calibri"/>
        </w:rPr>
        <w:t>økning i LIS1</w:t>
      </w:r>
      <w:r w:rsidR="32BE0B99">
        <w:rPr>
          <w:rFonts w:eastAsia="Calibri"/>
        </w:rPr>
        <w:t>-</w:t>
      </w:r>
      <w:r w:rsidR="00A076D2">
        <w:rPr>
          <w:rFonts w:eastAsia="Calibri"/>
        </w:rPr>
        <w:t xml:space="preserve">stillinger vil generere </w:t>
      </w:r>
      <w:r w:rsidR="34629AE2">
        <w:rPr>
          <w:rFonts w:eastAsia="Calibri"/>
        </w:rPr>
        <w:t xml:space="preserve">et begrenset behov for </w:t>
      </w:r>
      <w:r w:rsidR="00A076D2">
        <w:rPr>
          <w:rFonts w:eastAsia="Calibri"/>
        </w:rPr>
        <w:t xml:space="preserve">ytterligere </w:t>
      </w:r>
      <w:r w:rsidR="00A076D2">
        <w:t xml:space="preserve">veiledningsressurser, areal og arenaer for læring. I </w:t>
      </w:r>
      <w:r w:rsidR="009B0A42">
        <w:t>alle</w:t>
      </w:r>
      <w:r w:rsidR="00A076D2">
        <w:t xml:space="preserve"> fall </w:t>
      </w:r>
      <w:r w:rsidR="009B0A42">
        <w:t xml:space="preserve">i de deler av tjenesten hvor </w:t>
      </w:r>
      <w:r w:rsidR="00585EAE">
        <w:t>denne type oppfølging er på plass i dag.</w:t>
      </w:r>
    </w:p>
    <w:p w14:paraId="68933868" w14:textId="77777777" w:rsidR="00D9107F" w:rsidRDefault="20619DD1" w:rsidP="000623DE">
      <w:pPr>
        <w:rPr>
          <w:rFonts w:eastAsia="Calibri"/>
        </w:rPr>
      </w:pPr>
      <w:r>
        <w:t>Videre kan e</w:t>
      </w:r>
      <w:r w:rsidR="5BB3F8F7">
        <w:t xml:space="preserve">t økt </w:t>
      </w:r>
      <w:r w:rsidR="1CFFFEDE">
        <w:t>behov</w:t>
      </w:r>
      <w:r w:rsidR="015E477E">
        <w:t xml:space="preserve"> </w:t>
      </w:r>
      <w:r w:rsidR="69A7CB0B">
        <w:t>for veiledningsressurser</w:t>
      </w:r>
      <w:r w:rsidR="015E477E">
        <w:t xml:space="preserve"> løses ved at et bredere spekter av læringsarenaer tas i bruk, både i spesialisthelsetjenesten og i kommunen</w:t>
      </w:r>
      <w:r w:rsidR="015E477E" w:rsidRPr="498DE090">
        <w:rPr>
          <w:rFonts w:eastAsiaTheme="minorEastAsia"/>
        </w:rPr>
        <w:t xml:space="preserve">. </w:t>
      </w:r>
      <w:r w:rsidR="48FDC481" w:rsidRPr="498DE090">
        <w:rPr>
          <w:rFonts w:eastAsiaTheme="minorEastAsia"/>
        </w:rPr>
        <w:t>I kommunen kan dette dreie seg om arbeid ved</w:t>
      </w:r>
      <w:r w:rsidR="3588788B" w:rsidRPr="498DE090">
        <w:rPr>
          <w:rFonts w:eastAsiaTheme="minorEastAsia"/>
        </w:rPr>
        <w:t xml:space="preserve"> sykehjem, helsestasjon</w:t>
      </w:r>
      <w:r w:rsidR="48FDC481" w:rsidRPr="498DE090">
        <w:rPr>
          <w:rFonts w:eastAsiaTheme="minorEastAsia"/>
        </w:rPr>
        <w:t xml:space="preserve"> og </w:t>
      </w:r>
      <w:r w:rsidR="2285EE1D" w:rsidRPr="498DE090">
        <w:rPr>
          <w:rFonts w:eastAsiaTheme="minorEastAsia"/>
        </w:rPr>
        <w:t xml:space="preserve">kommunal akutt </w:t>
      </w:r>
      <w:r w:rsidR="0A4140E3" w:rsidRPr="498DE090">
        <w:rPr>
          <w:rFonts w:eastAsiaTheme="minorEastAsia"/>
        </w:rPr>
        <w:t>døgnenhet (KAD)</w:t>
      </w:r>
      <w:r w:rsidR="48FDC481" w:rsidRPr="498DE090">
        <w:rPr>
          <w:rFonts w:eastAsiaTheme="minorEastAsia"/>
        </w:rPr>
        <w:t>.</w:t>
      </w:r>
      <w:r w:rsidR="015E477E" w:rsidRPr="498DE090">
        <w:rPr>
          <w:rFonts w:eastAsiaTheme="minorEastAsia"/>
        </w:rPr>
        <w:t xml:space="preserve"> Økonomisk kompensasjon, spesielt for kommunene, synes å være av betydning for evnen og viljen til å øke antall LIS1-stillinger</w:t>
      </w:r>
      <w:r w:rsidR="44E122B0" w:rsidRPr="62F074D6">
        <w:rPr>
          <w:rFonts w:eastAsiaTheme="minorEastAsia"/>
        </w:rPr>
        <w:t xml:space="preserve"> </w:t>
      </w:r>
      <w:r w:rsidR="00B60B70">
        <w:rPr>
          <w:rFonts w:eastAsiaTheme="minorEastAsia"/>
        </w:rPr>
        <w:fldChar w:fldCharType="begin"/>
      </w:r>
      <w:r w:rsidR="00694E6D">
        <w:rPr>
          <w:rFonts w:eastAsiaTheme="minorEastAsia"/>
        </w:rPr>
        <w:instrText xml:space="preserve"> ADDIN EN.CITE &lt;EndNote&gt;&lt;Cite&gt;&lt;Author&gt;Helsedirektoratet&lt;/Author&gt;&lt;Year&gt;2018&lt;/Year&gt;&lt;RecNum&gt;875&lt;/RecNum&gt;&lt;DisplayText&gt;(Helsedirektoratet, 2018c)&lt;/DisplayText&gt;&lt;record&gt;&lt;rec-number&gt;875&lt;/rec-number&gt;&lt;foreign-keys&gt;&lt;key app="EN" db-id="95tpr2tp6r9xwoea9rb5wdsz5ds5xeddteew" timestamp="1680069511"&gt;875&lt;/key&gt;&lt;/foreign-keys&gt;&lt;ref-type name="Report"&gt;27&lt;/ref-type&gt;&lt;contributors&gt;&lt;authors&gt;&lt;author&gt;Helsedirektoratet&lt;/author&gt;&lt;/authors&gt;&lt;/contributors&gt;&lt;titles&gt;&lt;title&gt;Vurdering av antall LIS1-stillinger: Svar på oppdrag gitt i tildelingsbrevet for 2018&lt;/title&gt;&lt;/titles&gt;&lt;number&gt;IS-2802&lt;/number&gt;&lt;dates&gt;&lt;year&gt;2018&lt;/year&gt;&lt;/dates&gt;&lt;pub-location&gt;Oslo&lt;/pub-location&gt;&lt;publisher&gt;Helsedirektoratet&lt;/publisher&gt;&lt;urls&gt;&lt;/urls&gt;&lt;/record&gt;&lt;/Cite&gt;&lt;/EndNote&gt;</w:instrText>
      </w:r>
      <w:r w:rsidR="00B60B70">
        <w:rPr>
          <w:rFonts w:eastAsiaTheme="minorEastAsia"/>
        </w:rPr>
        <w:fldChar w:fldCharType="separate"/>
      </w:r>
      <w:r w:rsidR="001F5F05">
        <w:rPr>
          <w:rFonts w:eastAsiaTheme="minorEastAsia"/>
          <w:noProof/>
        </w:rPr>
        <w:t>(Helsedirektoratet, 2018c)</w:t>
      </w:r>
      <w:r w:rsidR="00B60B70">
        <w:rPr>
          <w:rFonts w:eastAsiaTheme="minorEastAsia"/>
        </w:rPr>
        <w:fldChar w:fldCharType="end"/>
      </w:r>
      <w:r w:rsidR="015E477E" w:rsidRPr="62F074D6">
        <w:rPr>
          <w:rFonts w:eastAsiaTheme="minorEastAsia"/>
        </w:rPr>
        <w:t>.</w:t>
      </w:r>
      <w:r w:rsidR="015E477E" w:rsidRPr="498DE090">
        <w:rPr>
          <w:rFonts w:eastAsiaTheme="minorEastAsia"/>
        </w:rPr>
        <w:t xml:space="preserve"> </w:t>
      </w:r>
      <w:r w:rsidR="015E477E">
        <w:rPr>
          <w:rFonts w:eastAsia="Calibri"/>
        </w:rPr>
        <w:t>Kostnadene knyttet til LIS1-stillingene for stat, helseforetak og kommuner</w:t>
      </w:r>
      <w:r w:rsidR="015E477E">
        <w:t xml:space="preserve">, kan være </w:t>
      </w:r>
      <w:r w:rsidR="015E477E">
        <w:rPr>
          <w:rFonts w:eastAsia="Calibri"/>
        </w:rPr>
        <w:t>en begrensende faktor for en større økning. Likevel mener ekspertutvalget at kostnadene til</w:t>
      </w:r>
      <w:r w:rsidR="015E477E" w:rsidDel="00741FEF">
        <w:rPr>
          <w:rFonts w:eastAsia="Calibri"/>
        </w:rPr>
        <w:t xml:space="preserve"> </w:t>
      </w:r>
      <w:r w:rsidR="015E477E">
        <w:rPr>
          <w:rFonts w:eastAsia="Calibri"/>
        </w:rPr>
        <w:t>flere LIS1</w:t>
      </w:r>
      <w:r w:rsidR="7B92A495">
        <w:rPr>
          <w:rFonts w:eastAsia="Calibri"/>
        </w:rPr>
        <w:t>-</w:t>
      </w:r>
      <w:r w:rsidR="015E477E">
        <w:rPr>
          <w:rFonts w:eastAsia="Calibri"/>
        </w:rPr>
        <w:t xml:space="preserve">stillinger må vurderes opp mot hvilke gevinster det gir for samfunnet både som arbeidskraft, og ved at flere leger settes i stand til å gå videre med spesialistutdanningen. </w:t>
      </w:r>
      <w:r w:rsidR="7C729670">
        <w:rPr>
          <w:rFonts w:eastAsia="Calibri"/>
        </w:rPr>
        <w:t>Siden</w:t>
      </w:r>
      <w:r w:rsidR="531F8DDB">
        <w:rPr>
          <w:rFonts w:eastAsia="Calibri"/>
        </w:rPr>
        <w:t xml:space="preserve"> </w:t>
      </w:r>
      <w:r w:rsidR="533DC88C">
        <w:rPr>
          <w:rFonts w:eastAsia="Calibri"/>
        </w:rPr>
        <w:t xml:space="preserve">leger uten LIS1 allerede jobber i tjenesten i dag, vil kostnadene ved å tilby </w:t>
      </w:r>
      <w:r w:rsidR="6B831443">
        <w:rPr>
          <w:rFonts w:eastAsia="Calibri"/>
        </w:rPr>
        <w:t>disse en LIS1</w:t>
      </w:r>
      <w:r w:rsidR="37ACC7CB">
        <w:rPr>
          <w:rFonts w:eastAsia="Calibri"/>
        </w:rPr>
        <w:t>-</w:t>
      </w:r>
      <w:r w:rsidR="6B831443">
        <w:rPr>
          <w:rFonts w:eastAsia="Calibri"/>
        </w:rPr>
        <w:t xml:space="preserve">stilling være mindre. </w:t>
      </w:r>
      <w:r w:rsidR="015E477E">
        <w:rPr>
          <w:rFonts w:eastAsia="Calibri"/>
        </w:rPr>
        <w:t>En fjerning av LIS1</w:t>
      </w:r>
      <w:r w:rsidR="4E4B56E2">
        <w:rPr>
          <w:rFonts w:eastAsia="Calibri"/>
        </w:rPr>
        <w:t>-</w:t>
      </w:r>
      <w:r w:rsidR="015E477E">
        <w:rPr>
          <w:rFonts w:eastAsia="Calibri"/>
        </w:rPr>
        <w:t xml:space="preserve">køen vil etter ekspertutvalgets vurdering bidra til å redusere arbeidsmarkedet for leger uten LIS1, og </w:t>
      </w:r>
      <w:r w:rsidR="332610C3">
        <w:rPr>
          <w:rFonts w:eastAsia="Calibri"/>
        </w:rPr>
        <w:t xml:space="preserve">dermed </w:t>
      </w:r>
      <w:r w:rsidR="015E477E">
        <w:rPr>
          <w:rFonts w:eastAsia="Calibri"/>
        </w:rPr>
        <w:t xml:space="preserve">innskrenke mulighetene arbeidsgivere har i dag til å benytte uerfarne leger i pasientrettet arbeid. Dette vurderes å være et viktig tiltak for å </w:t>
      </w:r>
      <w:r w:rsidR="35E31469">
        <w:rPr>
          <w:rFonts w:eastAsia="Calibri"/>
        </w:rPr>
        <w:t>sikre</w:t>
      </w:r>
      <w:r w:rsidR="015E477E">
        <w:rPr>
          <w:rFonts w:eastAsia="Calibri"/>
        </w:rPr>
        <w:t xml:space="preserve"> kvaliteten på tjenestene til befolkningen.</w:t>
      </w:r>
    </w:p>
    <w:p w14:paraId="4406CC39" w14:textId="77777777" w:rsidR="00D9107F" w:rsidRDefault="00F9616C" w:rsidP="000623DE">
      <w:pPr>
        <w:rPr>
          <w:rFonts w:eastAsia="Calibri"/>
        </w:rPr>
      </w:pPr>
      <w:r>
        <w:rPr>
          <w:rFonts w:eastAsia="Calibri"/>
        </w:rPr>
        <w:t xml:space="preserve">Det er tidligere lagt til grunn at tjenestens behov for leger skal være styrende for </w:t>
      </w:r>
      <w:r w:rsidR="268E7C82" w:rsidRPr="03D1C1AA">
        <w:rPr>
          <w:rFonts w:eastAsia="Calibri"/>
        </w:rPr>
        <w:t xml:space="preserve">Helsedirektoratets anbefaling om </w:t>
      </w:r>
      <w:r>
        <w:rPr>
          <w:rFonts w:eastAsia="Calibri"/>
        </w:rPr>
        <w:t xml:space="preserve">opprettelse av antall LIS1-stillinger, og konsekvensen </w:t>
      </w:r>
      <w:r w:rsidR="0C2BA4FF" w:rsidRPr="03D1C1AA">
        <w:rPr>
          <w:rFonts w:eastAsia="Calibri"/>
        </w:rPr>
        <w:t xml:space="preserve">har blitt </w:t>
      </w:r>
      <w:r>
        <w:rPr>
          <w:rFonts w:eastAsia="Calibri"/>
        </w:rPr>
        <w:t xml:space="preserve">en opphopning av leger </w:t>
      </w:r>
      <w:r w:rsidR="00F87360">
        <w:rPr>
          <w:rFonts w:eastAsia="Calibri"/>
        </w:rPr>
        <w:t xml:space="preserve">som </w:t>
      </w:r>
      <w:r>
        <w:rPr>
          <w:rFonts w:eastAsia="Calibri"/>
        </w:rPr>
        <w:t>vente</w:t>
      </w:r>
      <w:r w:rsidR="00F87360">
        <w:rPr>
          <w:rFonts w:eastAsia="Calibri"/>
        </w:rPr>
        <w:t>r på</w:t>
      </w:r>
      <w:r>
        <w:rPr>
          <w:rFonts w:eastAsia="Calibri"/>
        </w:rPr>
        <w:t xml:space="preserve"> LIS1. En situasjon hvor det i stedet kan hope seg opp leger etter gjennomført LIS1, vil medføre større rift om videre utdanningsstillinger. Økt søknadsmengde til LIS2/LIS3 stillinger kan tenkes å bidra til at flere vil søke seg til fagfelt som </w:t>
      </w:r>
      <w:r>
        <w:rPr>
          <w:rFonts w:eastAsia="Calibri"/>
        </w:rPr>
        <w:lastRenderedPageBreak/>
        <w:t xml:space="preserve">ikke </w:t>
      </w:r>
      <w:r w:rsidR="00AD5644">
        <w:rPr>
          <w:rFonts w:eastAsia="Calibri"/>
        </w:rPr>
        <w:t>anses</w:t>
      </w:r>
      <w:r>
        <w:rPr>
          <w:rFonts w:eastAsia="Calibri"/>
        </w:rPr>
        <w:t xml:space="preserve"> </w:t>
      </w:r>
      <w:r w:rsidR="0083646A">
        <w:rPr>
          <w:rFonts w:eastAsia="Calibri"/>
        </w:rPr>
        <w:t>som</w:t>
      </w:r>
      <w:r>
        <w:rPr>
          <w:rFonts w:eastAsia="Calibri"/>
        </w:rPr>
        <w:t xml:space="preserve"> like attraktive og som i dag mangler leger.</w:t>
      </w:r>
      <w:r w:rsidR="00DB0647">
        <w:rPr>
          <w:rFonts w:eastAsia="Calibri"/>
        </w:rPr>
        <w:t xml:space="preserve"> </w:t>
      </w:r>
      <w:r w:rsidR="008E14EB">
        <w:rPr>
          <w:rFonts w:eastAsia="Calibri"/>
        </w:rPr>
        <w:t>Leger som jobber i påvente av LIS1-tjeneste t</w:t>
      </w:r>
      <w:r w:rsidR="008E14EB" w:rsidRPr="00380163">
        <w:rPr>
          <w:rFonts w:eastAsia="Calibri"/>
        </w:rPr>
        <w:t>yder på at det</w:t>
      </w:r>
      <w:r w:rsidR="004B7B65">
        <w:rPr>
          <w:rFonts w:eastAsia="Calibri"/>
        </w:rPr>
        <w:t xml:space="preserve"> allerede i dag</w:t>
      </w:r>
      <w:r w:rsidR="008E14EB" w:rsidRPr="00380163">
        <w:rPr>
          <w:rFonts w:eastAsia="Calibri"/>
        </w:rPr>
        <w:t xml:space="preserve"> er behov for disse legene i tjenesten.</w:t>
      </w:r>
    </w:p>
    <w:p w14:paraId="4032D239" w14:textId="77777777" w:rsidR="00D9107F" w:rsidRDefault="00C34130" w:rsidP="0085218F">
      <w:pPr>
        <w:ind w:left="10" w:hanging="10"/>
        <w:jc w:val="both"/>
      </w:pPr>
      <w:r>
        <w:t>Ekspertutvalget</w:t>
      </w:r>
      <w:r w:rsidR="3EE30D96">
        <w:t xml:space="preserve"> ser ikke tung</w:t>
      </w:r>
      <w:r w:rsidR="0065493B">
        <w:t>tveiend</w:t>
      </w:r>
      <w:r w:rsidR="3EE30D96">
        <w:t xml:space="preserve">e </w:t>
      </w:r>
      <w:r w:rsidR="004A6C09">
        <w:t xml:space="preserve">argumenter </w:t>
      </w:r>
      <w:r w:rsidR="3EE30D96">
        <w:t xml:space="preserve">mot at </w:t>
      </w:r>
      <w:r w:rsidR="00F9616C">
        <w:t xml:space="preserve">sykehus og kommuner på eget initiativ </w:t>
      </w:r>
      <w:r w:rsidR="6ECB8E57" w:rsidRPr="0012449D">
        <w:t xml:space="preserve">– og innenfor egne budsjetter </w:t>
      </w:r>
      <w:r w:rsidR="004A6C09" w:rsidRPr="0012449D">
        <w:t>–</w:t>
      </w:r>
      <w:r w:rsidR="002472E5">
        <w:t xml:space="preserve"> skal kunne gis mulighet til å opprette flere LIS1-stillinger, utover de pålagte.</w:t>
      </w:r>
      <w:r w:rsidR="00BB5474">
        <w:t xml:space="preserve"> </w:t>
      </w:r>
      <w:r w:rsidR="003F3A4F">
        <w:t>Dette</w:t>
      </w:r>
      <w:r w:rsidR="00C27012">
        <w:t xml:space="preserve"> </w:t>
      </w:r>
      <w:r w:rsidR="00EF5FFB">
        <w:t>legge</w:t>
      </w:r>
      <w:r w:rsidR="00C27012">
        <w:t>r</w:t>
      </w:r>
      <w:r w:rsidR="00EF5FFB">
        <w:t xml:space="preserve"> til rette for </w:t>
      </w:r>
      <w:r w:rsidR="00850C55">
        <w:t xml:space="preserve">at </w:t>
      </w:r>
      <w:r w:rsidR="00C90A88">
        <w:t xml:space="preserve">sykehuset </w:t>
      </w:r>
      <w:r w:rsidR="00C27012">
        <w:t xml:space="preserve">kan </w:t>
      </w:r>
      <w:r w:rsidR="00C90A88">
        <w:t xml:space="preserve">ta </w:t>
      </w:r>
      <w:r w:rsidR="00671A05">
        <w:t>et samfunnsansvar</w:t>
      </w:r>
      <w:r w:rsidR="004A6C09">
        <w:t>,</w:t>
      </w:r>
      <w:r w:rsidR="00C90A88">
        <w:t xml:space="preserve"> ved heller å opprette flere LIS1</w:t>
      </w:r>
      <w:r w:rsidR="272B62F9">
        <w:t>-</w:t>
      </w:r>
      <w:r w:rsidR="00C90A88">
        <w:t xml:space="preserve">stillinger enn å ansette nyutdannede leger i </w:t>
      </w:r>
      <w:r w:rsidR="00B703A2">
        <w:t xml:space="preserve">andre </w:t>
      </w:r>
      <w:r w:rsidR="00A853F4">
        <w:t>lege</w:t>
      </w:r>
      <w:r w:rsidR="00B703A2">
        <w:t>stillinger</w:t>
      </w:r>
      <w:r w:rsidR="00A853F4">
        <w:t xml:space="preserve"> som ikke krever LIS1</w:t>
      </w:r>
      <w:r w:rsidR="00B703A2">
        <w:t xml:space="preserve">. </w:t>
      </w:r>
      <w:r w:rsidR="0024445F">
        <w:t xml:space="preserve">Ved </w:t>
      </w:r>
      <w:r w:rsidR="002A2905">
        <w:t xml:space="preserve">skjerping av krav til kompetanse ved at </w:t>
      </w:r>
      <w:r w:rsidR="006202C9">
        <w:t xml:space="preserve">nyutdannede leger må </w:t>
      </w:r>
      <w:r w:rsidR="01FA0631">
        <w:t xml:space="preserve">ha </w:t>
      </w:r>
      <w:r w:rsidR="004F27FF">
        <w:t xml:space="preserve">LIS1 eller tilsvarende for å kunne utøve legeyrket selvstendig, vil leger uten LIS1 </w:t>
      </w:r>
      <w:r w:rsidR="00521E98">
        <w:t xml:space="preserve">nødvendigvis </w:t>
      </w:r>
      <w:r w:rsidR="004F27FF">
        <w:t xml:space="preserve">også </w:t>
      </w:r>
      <w:r w:rsidR="15561866">
        <w:t xml:space="preserve">få formell tilgang til </w:t>
      </w:r>
      <w:r w:rsidR="00565627">
        <w:t>sykehusets ressurser til supervisjon og veiledning</w:t>
      </w:r>
      <w:r w:rsidR="00567845">
        <w:t xml:space="preserve"> </w:t>
      </w:r>
      <w:r w:rsidR="008700B9">
        <w:t>for å praktisere</w:t>
      </w:r>
      <w:r w:rsidR="00C57E72">
        <w:t xml:space="preserve"> i yrket</w:t>
      </w:r>
      <w:r w:rsidR="00567845">
        <w:t xml:space="preserve">. </w:t>
      </w:r>
      <w:r w:rsidR="006F3987">
        <w:t xml:space="preserve">Dette </w:t>
      </w:r>
      <w:r w:rsidR="00687828">
        <w:t xml:space="preserve">kan medføre at ressursbruken knyttet til </w:t>
      </w:r>
      <w:r w:rsidR="00CF24CD">
        <w:t xml:space="preserve">å ansette leger </w:t>
      </w:r>
      <w:r w:rsidR="00EF642E">
        <w:t xml:space="preserve">i stilling </w:t>
      </w:r>
      <w:r w:rsidR="00454D8D">
        <w:t>som ikke krever</w:t>
      </w:r>
      <w:r w:rsidR="00CF24CD">
        <w:t xml:space="preserve"> LIS1 eller leger i </w:t>
      </w:r>
      <w:r w:rsidR="00AB4856">
        <w:t xml:space="preserve">en </w:t>
      </w:r>
      <w:r w:rsidR="00CF24CD">
        <w:t>LIS1-stilling</w:t>
      </w:r>
      <w:r w:rsidR="009E4B20">
        <w:t>, ikke vil være så ulik.</w:t>
      </w:r>
    </w:p>
    <w:p w14:paraId="33CE56D6" w14:textId="53D57D40" w:rsidR="002472E5" w:rsidRDefault="002472E5" w:rsidP="002472E5">
      <w:pPr>
        <w:ind w:left="10" w:hanging="10"/>
        <w:jc w:val="both"/>
      </w:pPr>
      <w:r>
        <w:t>På samme måte kan kommuner gis mulighet til å opprette egne LIS1-stillinger. For å opprettholde rekkefølgekravet må søkere til disse stillingene først ha gjennomført LIS1 på sykehus. I en fleksibel ordning hvor sykehus og kommuner på eget initiativ kan opprette egne LIS1-stillinger, bør både søknadsprosess og administrasjon knyttet til opprettelse være smidig. For å få til dette bør disse LIS1-stillingene være uten kobling mellom sykehus og kommune. Det bør i tillegg være mulig å lyse ut slike stillinger utenom de faste fristene som i dag er for søknad om LIS1-tjeneste for koblede stillinger. Dette vil gjøre ordningen tilpasningsdyktig til en hverdag i sykehus og kommuner hvor behov og muligheter for flere LIS1-stillinger kan oppstå brått.</w:t>
      </w:r>
    </w:p>
    <w:p w14:paraId="380C556A" w14:textId="77777777" w:rsidR="00D9107F" w:rsidRDefault="002472E5" w:rsidP="002472E5">
      <w:pPr>
        <w:ind w:left="10" w:hanging="10"/>
        <w:jc w:val="both"/>
      </w:pPr>
      <w:r>
        <w:t>At kommuner gis mulighet til å opprette egne LIS1-stillinger kan tenkes å bidra til sentralisering, hvis flere LIS1-stillinger opprettes i byer og større kommuner eller slike stillinger er mer attraktive enn tilsvarende stillinger i distrikt. At flere leger gis mulighet til å gjennomføre kommunedelen i LIS1-tjenesten i sentrale strøk, vil kunne gjøre rekrutteringen av leger til LIS1-stillinger i distriktene vanskeligere.</w:t>
      </w:r>
    </w:p>
    <w:p w14:paraId="3DFF46BB" w14:textId="77777777" w:rsidR="00D9107F" w:rsidRDefault="220A4FF7" w:rsidP="0085218F">
      <w:pPr>
        <w:ind w:left="10" w:hanging="10"/>
        <w:jc w:val="both"/>
      </w:pPr>
      <w:r>
        <w:t xml:space="preserve">Endring i </w:t>
      </w:r>
      <w:r w:rsidR="2C551FEB">
        <w:t xml:space="preserve">rekkefølgekravet for </w:t>
      </w:r>
      <w:r w:rsidR="6F6EE639">
        <w:t>LIS1-tjenesten har tidligere vært utredet</w:t>
      </w:r>
      <w:r w:rsidR="0615186F">
        <w:t xml:space="preserve"> av Helsedirektoratet</w:t>
      </w:r>
      <w:r w:rsidR="3DDB79B5">
        <w:t xml:space="preserve">. </w:t>
      </w:r>
      <w:r w:rsidR="28D9D7E1">
        <w:t>Direktoratet har med bred støtte fra fagmiljøet</w:t>
      </w:r>
      <w:r w:rsidR="226FB52B">
        <w:t xml:space="preserve"> </w:t>
      </w:r>
      <w:r w:rsidR="1BC04ECB">
        <w:t xml:space="preserve">anbefalt </w:t>
      </w:r>
      <w:r w:rsidR="226FB52B">
        <w:t xml:space="preserve">at </w:t>
      </w:r>
      <w:r w:rsidR="11DFCCC7">
        <w:t>rekkefølge</w:t>
      </w:r>
      <w:r w:rsidR="226FB52B">
        <w:t>kravet opprettholdes</w:t>
      </w:r>
      <w:r w:rsidR="004A6C09">
        <w:t>,</w:t>
      </w:r>
      <w:r w:rsidR="226FB52B">
        <w:t xml:space="preserve"> av hensyn til kvalitet</w:t>
      </w:r>
      <w:r w:rsidR="63D3B369">
        <w:t xml:space="preserve">en på tjenesten, men kanskje viktigst av </w:t>
      </w:r>
      <w:r w:rsidR="11DFCCC7">
        <w:t xml:space="preserve">hensyn til </w:t>
      </w:r>
      <w:r w:rsidR="63D3B369">
        <w:t>pasientsikkerhe</w:t>
      </w:r>
      <w:r w:rsidR="11DFCCC7">
        <w:t>ten</w:t>
      </w:r>
      <w:r w:rsidR="262D60EE">
        <w:t xml:space="preserve"> </w:t>
      </w:r>
      <w:r w:rsidR="00B60B70">
        <w:fldChar w:fldCharType="begin"/>
      </w:r>
      <w:r w:rsidR="004654FD">
        <w:instrText xml:space="preserve"> ADDIN EN.CITE &lt;EndNote&gt;&lt;Cite&gt;&lt;Author&gt;Helsedirektoratet&lt;/Author&gt;&lt;Year&gt;2021&lt;/Year&gt;&lt;RecNum&gt;759&lt;/RecNum&gt;&lt;DisplayText&gt;(Helsedirektoratet, 2021e, 2022f)&lt;/DisplayText&gt;&lt;record&gt;&lt;rec-number&gt;759&lt;/rec-number&gt;&lt;foreign-keys&gt;&lt;key app="EN" db-id="95tpr2tp6r9xwoea9rb5wdsz5ds5xeddteew" timestamp="1680069511"&gt;759&lt;/key&gt;&lt;/foreign-keys&gt;&lt;ref-type name="Report"&gt;27&lt;/ref-type&gt;&lt;contributors&gt;&lt;authors&gt;&lt;author&gt;Helsedirektoratet&lt;/author&gt;&lt;/authors&gt;&lt;/contributors&gt;&lt;titles&gt;&lt;title&gt;Spesialistutdanning for leger - LIS1&lt;/title&gt;&lt;/titles&gt;&lt;number&gt;IS-3002&lt;/number&gt;&lt;dates&gt;&lt;year&gt;2021&lt;/year&gt;&lt;/dates&gt;&lt;pub-location&gt;Oslo&lt;/pub-location&gt;&lt;publisher&gt;Helsedirektoratet&lt;/publisher&gt;&lt;urls&gt;&lt;/urls&gt;&lt;/record&gt;&lt;/Cite&gt;&lt;Cite&gt;&lt;Author&gt;Helsedirektoratet&lt;/Author&gt;&lt;Year&gt;2022&lt;/Year&gt;&lt;RecNum&gt;65&lt;/RecNum&gt;&lt;record&gt;&lt;rec-number&gt;65&lt;/rec-number&gt;&lt;foreign-keys&gt;&lt;key app="EN" db-id="95tpr2tp6r9xwoea9rb5wdsz5ds5xeddteew" timestamp="1680069511"&gt;65&lt;/key&gt;&lt;/foreign-keys&gt;&lt;ref-type name="Report"&gt;27&lt;/ref-type&gt;&lt;contributors&gt;&lt;authors&gt;&lt;author&gt;Helsedirektoratet&lt;/author&gt;&lt;/authors&gt;&lt;/contributors&gt;&lt;titles&gt;&lt;title&gt;Morsmelkserstatning for hivpositive mødre. Besvarelse på oppdrag 12 TTB2022&lt;/title&gt;&lt;/titles&gt;&lt;dates&gt;&lt;year&gt;2022&lt;/year&gt;&lt;/dates&gt;&lt;publisher&gt;Helsedirektoratet&lt;/publisher&gt;&lt;work-type&gt;upublisert&lt;/work-type&gt;&lt;urls&gt;&lt;/urls&gt;&lt;/record&gt;&lt;/Cite&gt;&lt;/EndNote&gt;</w:instrText>
      </w:r>
      <w:r w:rsidR="00B60B70">
        <w:fldChar w:fldCharType="separate"/>
      </w:r>
      <w:r w:rsidR="004654FD">
        <w:rPr>
          <w:noProof/>
        </w:rPr>
        <w:t>(Helsedirektoratet, 2021e, 2022f)</w:t>
      </w:r>
      <w:r w:rsidR="00B60B70">
        <w:fldChar w:fldCharType="end"/>
      </w:r>
      <w:r w:rsidR="00D2205F">
        <w:t xml:space="preserve">. </w:t>
      </w:r>
      <w:r w:rsidR="79D5674D">
        <w:t xml:space="preserve">Dette </w:t>
      </w:r>
      <w:r w:rsidR="6512C6A0">
        <w:t>knyttes til</w:t>
      </w:r>
      <w:r w:rsidR="79D5674D">
        <w:t xml:space="preserve"> at pasientstrømmen på sykehuset er stor</w:t>
      </w:r>
      <w:r w:rsidR="66A3CC9C">
        <w:t xml:space="preserve">. Den nyutdannede </w:t>
      </w:r>
      <w:r w:rsidR="7D2AED7F">
        <w:t xml:space="preserve">legen </w:t>
      </w:r>
      <w:r w:rsidR="1F8F11C4">
        <w:t xml:space="preserve">vil </w:t>
      </w:r>
      <w:r w:rsidR="26C4F775">
        <w:t xml:space="preserve">gjennom tjenesten på sykehus </w:t>
      </w:r>
      <w:r w:rsidR="1F8F11C4">
        <w:t xml:space="preserve">bli eksponert for en stor </w:t>
      </w:r>
      <w:r w:rsidR="4E10D32C">
        <w:t xml:space="preserve">gruppe pasienter, og ikke minst </w:t>
      </w:r>
      <w:r w:rsidR="28B23B76">
        <w:t>hvor flere av disse vil være alvorlig syke</w:t>
      </w:r>
      <w:r w:rsidR="7CA9F8E1">
        <w:t>, og lære av dette</w:t>
      </w:r>
      <w:r w:rsidR="26C4F775">
        <w:t xml:space="preserve">. </w:t>
      </w:r>
      <w:r w:rsidR="25C32FAD">
        <w:t xml:space="preserve">Samtidig vil </w:t>
      </w:r>
      <w:r w:rsidR="7EFBC0E0">
        <w:t xml:space="preserve">LIS1 </w:t>
      </w:r>
      <w:r w:rsidR="52C4D7E5">
        <w:t xml:space="preserve">på sykehus ha tilgang </w:t>
      </w:r>
      <w:r w:rsidR="03005630">
        <w:t>til større fagmiljø</w:t>
      </w:r>
      <w:r w:rsidR="22CB60C4">
        <w:t>, ha</w:t>
      </w:r>
      <w:r w:rsidR="03005630">
        <w:t xml:space="preserve"> mulighet for tettere oppfølging</w:t>
      </w:r>
      <w:r w:rsidR="22CB60C4">
        <w:t xml:space="preserve"> og i mindre grad jobbe alene</w:t>
      </w:r>
      <w:r w:rsidR="5054ECBE">
        <w:t xml:space="preserve">. </w:t>
      </w:r>
      <w:r w:rsidR="6D7F559B">
        <w:t>P</w:t>
      </w:r>
      <w:r w:rsidR="7CA9F8E1">
        <w:t xml:space="preserve">raktisk kunnskap om alvorlig syke pasienter </w:t>
      </w:r>
      <w:r w:rsidR="15B94E0E">
        <w:t xml:space="preserve">er viktig å ha med seg </w:t>
      </w:r>
      <w:r w:rsidR="05EDB521">
        <w:t>til tjenesten i kommunen</w:t>
      </w:r>
      <w:r w:rsidR="6D7F559B">
        <w:t xml:space="preserve">, hvor </w:t>
      </w:r>
      <w:r w:rsidR="07754A8A">
        <w:t xml:space="preserve">en </w:t>
      </w:r>
      <w:r w:rsidR="234948DB">
        <w:t>stor</w:t>
      </w:r>
      <w:r w:rsidR="07754A8A">
        <w:t xml:space="preserve"> del av </w:t>
      </w:r>
      <w:r w:rsidR="5233A349">
        <w:t>arbeid</w:t>
      </w:r>
      <w:r w:rsidR="4B32FE14">
        <w:t>et</w:t>
      </w:r>
      <w:r w:rsidR="5233A349">
        <w:t xml:space="preserve"> er å identifisere </w:t>
      </w:r>
      <w:r w:rsidR="740C7DE5">
        <w:t xml:space="preserve">alvorlig syke </w:t>
      </w:r>
      <w:r w:rsidR="6C4512BD">
        <w:t xml:space="preserve">blant en ellers </w:t>
      </w:r>
      <w:r w:rsidR="16EAE66F">
        <w:t>nokså</w:t>
      </w:r>
      <w:r w:rsidR="6C4512BD">
        <w:t xml:space="preserve"> frisk populasjon</w:t>
      </w:r>
      <w:r w:rsidR="4382CDC8">
        <w:t xml:space="preserve">. </w:t>
      </w:r>
      <w:r w:rsidR="40CDF32A">
        <w:t xml:space="preserve">LIS1 </w:t>
      </w:r>
      <w:r w:rsidR="268E0F56">
        <w:t xml:space="preserve">i kommunen vil også </w:t>
      </w:r>
      <w:r w:rsidR="19C829C0">
        <w:t>i mye større grad jobbe alene med pasienter</w:t>
      </w:r>
      <w:r w:rsidR="10A62156">
        <w:t>.</w:t>
      </w:r>
      <w:r w:rsidR="266D8D79">
        <w:t xml:space="preserve"> </w:t>
      </w:r>
      <w:r w:rsidR="3ACB804C">
        <w:t>Utvalget deler disse vurderingene av at rekkefølgekravet er viktig og den ideelle løsningen er at det opprettholdes.</w:t>
      </w:r>
    </w:p>
    <w:p w14:paraId="3D71F072" w14:textId="4C3590C2" w:rsidR="00F54828" w:rsidRDefault="000E7809" w:rsidP="0085218F">
      <w:pPr>
        <w:ind w:left="10" w:hanging="10"/>
        <w:jc w:val="both"/>
      </w:pPr>
      <w:r>
        <w:lastRenderedPageBreak/>
        <w:t>Med</w:t>
      </w:r>
      <w:r w:rsidR="006B45AE">
        <w:t xml:space="preserve"> dagens unntak</w:t>
      </w:r>
      <w:r w:rsidR="00C21942">
        <w:t xml:space="preserve"> </w:t>
      </w:r>
      <w:r w:rsidR="001834C1">
        <w:t>fra kompetanseforskriften</w:t>
      </w:r>
      <w:r w:rsidR="007D7D84">
        <w:t xml:space="preserve"> er imidlertid situasjonen a</w:t>
      </w:r>
      <w:r w:rsidR="001E7D1F">
        <w:t>t</w:t>
      </w:r>
      <w:r w:rsidR="007D7D84">
        <w:t xml:space="preserve"> leger uten LIS1 kan jobbe</w:t>
      </w:r>
      <w:r w:rsidR="00B45462">
        <w:t xml:space="preserve"> </w:t>
      </w:r>
      <w:r w:rsidR="00C6009D">
        <w:t xml:space="preserve">i </w:t>
      </w:r>
      <w:r w:rsidR="002472E5">
        <w:t>et år og mer i kommunen, før rekkefølgekravet inntrer ved ansettelse i LIS1-stilling.</w:t>
      </w:r>
      <w:r w:rsidR="00826C62">
        <w:t xml:space="preserve"> </w:t>
      </w:r>
      <w:r w:rsidR="009E0507">
        <w:t xml:space="preserve">Dette er en </w:t>
      </w:r>
      <w:r w:rsidR="00631929">
        <w:t xml:space="preserve">situasjon som </w:t>
      </w:r>
      <w:r w:rsidR="0081210F">
        <w:t xml:space="preserve">står i </w:t>
      </w:r>
      <w:r w:rsidR="21F81C27">
        <w:t xml:space="preserve">sterk </w:t>
      </w:r>
      <w:r w:rsidR="0081210F">
        <w:t>kontrast</w:t>
      </w:r>
      <w:r w:rsidR="00367A9D">
        <w:t xml:space="preserve"> </w:t>
      </w:r>
      <w:r w:rsidR="50C36D74">
        <w:t>til</w:t>
      </w:r>
      <w:r w:rsidR="00367A9D">
        <w:t xml:space="preserve"> </w:t>
      </w:r>
      <w:r w:rsidR="00A071F6">
        <w:t xml:space="preserve">de anbefalinger som ellers legges til grunn for å sikre </w:t>
      </w:r>
      <w:r w:rsidR="00AD6BBB">
        <w:t xml:space="preserve">læring i trygge rammer for </w:t>
      </w:r>
      <w:r w:rsidR="004D1576">
        <w:t>nyutdannede leger</w:t>
      </w:r>
      <w:r w:rsidR="00AD6BBB">
        <w:t xml:space="preserve"> og god ivaretakelse av pasienter</w:t>
      </w:r>
      <w:r w:rsidR="004D1576">
        <w:t xml:space="preserve">. </w:t>
      </w:r>
      <w:r w:rsidR="00DE4B11">
        <w:t>At</w:t>
      </w:r>
      <w:r w:rsidR="00F53DAD">
        <w:t xml:space="preserve"> kravet om tjeneste i sykehus for mange nyutdannede leger </w:t>
      </w:r>
      <w:r w:rsidR="00CF0660">
        <w:t xml:space="preserve">i praksis </w:t>
      </w:r>
      <w:r w:rsidR="00F53DAD">
        <w:t xml:space="preserve">først inntreffer etter at de </w:t>
      </w:r>
      <w:r w:rsidR="00545F5B">
        <w:t>kan ha</w:t>
      </w:r>
      <w:r w:rsidR="00F53DAD">
        <w:t xml:space="preserve"> jobbe</w:t>
      </w:r>
      <w:r w:rsidR="00124746">
        <w:t xml:space="preserve">t </w:t>
      </w:r>
      <w:r w:rsidR="009C5BA5">
        <w:t>l</w:t>
      </w:r>
      <w:r w:rsidR="00545F5B">
        <w:t>ange</w:t>
      </w:r>
      <w:r w:rsidR="009C5BA5">
        <w:t xml:space="preserve"> perioder i kommunen, er etter utvalgets mening en uheldig situasjon</w:t>
      </w:r>
      <w:r w:rsidR="004A6C09">
        <w:t>,</w:t>
      </w:r>
      <w:r w:rsidR="009C5BA5">
        <w:t xml:space="preserve"> som bidrar til å undergrave </w:t>
      </w:r>
      <w:r>
        <w:t xml:space="preserve">argumentene for </w:t>
      </w:r>
      <w:r w:rsidR="000948D3">
        <w:t>rekkefølgekravet.</w:t>
      </w:r>
    </w:p>
    <w:p w14:paraId="686D3446" w14:textId="77777777" w:rsidR="00D9107F" w:rsidRDefault="00FA5ADC" w:rsidP="0085218F">
      <w:pPr>
        <w:ind w:left="10" w:hanging="10"/>
        <w:jc w:val="both"/>
      </w:pPr>
      <w:r>
        <w:t>LIS1</w:t>
      </w:r>
      <w:r w:rsidR="000E7809">
        <w:t>-</w:t>
      </w:r>
      <w:r>
        <w:t xml:space="preserve">søkere </w:t>
      </w:r>
      <w:r w:rsidR="00D74E09">
        <w:t>har</w:t>
      </w:r>
      <w:r w:rsidR="004C0A20">
        <w:t xml:space="preserve"> ulik kompetanse. </w:t>
      </w:r>
      <w:r w:rsidR="00AE0B1B">
        <w:t>Mange</w:t>
      </w:r>
      <w:r w:rsidR="0059729B">
        <w:t xml:space="preserve"> jobber som lege på sykehus </w:t>
      </w:r>
      <w:r w:rsidR="00D55FFE">
        <w:t xml:space="preserve">eller i kommunen i påvente av LIS1, </w:t>
      </w:r>
      <w:r w:rsidR="00291716">
        <w:t xml:space="preserve">og </w:t>
      </w:r>
      <w:r w:rsidR="00D55FFE">
        <w:t xml:space="preserve">kan </w:t>
      </w:r>
      <w:r w:rsidR="0019540C">
        <w:t>ha tilegnet seg</w:t>
      </w:r>
      <w:r w:rsidR="000F6775">
        <w:t xml:space="preserve"> en </w:t>
      </w:r>
      <w:r w:rsidR="000779FB">
        <w:t>real</w:t>
      </w:r>
      <w:r w:rsidR="000F6775">
        <w:t>kompetanse</w:t>
      </w:r>
      <w:r w:rsidR="00944464">
        <w:t xml:space="preserve"> som </w:t>
      </w:r>
      <w:r w:rsidR="003F1ACB">
        <w:t>gjør at rekkefølgen</w:t>
      </w:r>
      <w:r w:rsidR="00267A16">
        <w:t xml:space="preserve"> av</w:t>
      </w:r>
      <w:r w:rsidR="003F1ACB">
        <w:t xml:space="preserve"> LIS1</w:t>
      </w:r>
      <w:r w:rsidR="000E7809">
        <w:t>-</w:t>
      </w:r>
      <w:r w:rsidR="003F1ACB">
        <w:t xml:space="preserve">tjenesten </w:t>
      </w:r>
      <w:r w:rsidR="00291716">
        <w:t xml:space="preserve">får </w:t>
      </w:r>
      <w:r w:rsidR="002119B8">
        <w:t>mindre betydning</w:t>
      </w:r>
      <w:r w:rsidR="00C41EF6">
        <w:t>.</w:t>
      </w:r>
      <w:r w:rsidR="0019540C">
        <w:t xml:space="preserve"> </w:t>
      </w:r>
      <w:r w:rsidR="00717D75">
        <w:t xml:space="preserve">I vurderingen av legens realkompetanse </w:t>
      </w:r>
      <w:r w:rsidR="00294347">
        <w:t xml:space="preserve">bør </w:t>
      </w:r>
      <w:r w:rsidR="00386A95">
        <w:t xml:space="preserve">tidligere </w:t>
      </w:r>
      <w:r w:rsidR="00827FDE">
        <w:t xml:space="preserve">arbeidserfaring, men </w:t>
      </w:r>
      <w:r w:rsidR="00386A95">
        <w:t xml:space="preserve">også </w:t>
      </w:r>
      <w:r w:rsidR="0075155C">
        <w:t>g</w:t>
      </w:r>
      <w:r w:rsidR="00590C6D">
        <w:t xml:space="preserve">rad av </w:t>
      </w:r>
      <w:r w:rsidR="008975E7">
        <w:t>supervisjon og veiledning i perioden</w:t>
      </w:r>
      <w:r w:rsidR="004A6C09">
        <w:t>,</w:t>
      </w:r>
      <w:r w:rsidR="008975E7">
        <w:t xml:space="preserve"> tillegges vekt. </w:t>
      </w:r>
      <w:r w:rsidR="0047423B">
        <w:t xml:space="preserve">Selv om opprettholdelse av rekkefølgekravet er det ideelle, ser utvalget </w:t>
      </w:r>
      <w:r w:rsidR="00AE0B1B">
        <w:t xml:space="preserve">at det i dagens situasjon </w:t>
      </w:r>
      <w:r w:rsidR="0047423B">
        <w:t xml:space="preserve">både </w:t>
      </w:r>
      <w:r w:rsidR="00CB30BE">
        <w:t xml:space="preserve">er </w:t>
      </w:r>
      <w:r w:rsidR="0047423B">
        <w:t xml:space="preserve">argumenter for og mot </w:t>
      </w:r>
      <w:r w:rsidR="00D307A9">
        <w:t xml:space="preserve">en videreføring av kravet. I alle fall for </w:t>
      </w:r>
      <w:r w:rsidR="00EC42E0">
        <w:t>leger med betydelig arbeidserfaring</w:t>
      </w:r>
      <w:r w:rsidR="004A6C09">
        <w:t>,</w:t>
      </w:r>
      <w:r w:rsidR="000E7809">
        <w:t xml:space="preserve"> og i en situasjon der leger helt uten sykehuserfaring faktisk jobber selvstendig i kommunene.</w:t>
      </w:r>
    </w:p>
    <w:p w14:paraId="0A2A7876" w14:textId="05494F20" w:rsidR="00D9107F" w:rsidRDefault="00851BC9" w:rsidP="00851BC9">
      <w:pPr>
        <w:ind w:left="10" w:hanging="10"/>
        <w:jc w:val="center"/>
      </w:pPr>
      <w:r>
        <w:rPr>
          <w:noProof/>
        </w:rPr>
        <w:drawing>
          <wp:inline distT="0" distB="0" distL="0" distR="0" wp14:anchorId="6BD3F83F" wp14:editId="3159C2BC">
            <wp:extent cx="4641152" cy="3870305"/>
            <wp:effectExtent l="0" t="0" r="762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496" t="24302" r="25084" b="40095"/>
                    <a:stretch/>
                  </pic:blipFill>
                  <pic:spPr bwMode="auto">
                    <a:xfrm>
                      <a:off x="0" y="0"/>
                      <a:ext cx="4663749" cy="3889149"/>
                    </a:xfrm>
                    <a:prstGeom prst="rect">
                      <a:avLst/>
                    </a:prstGeom>
                    <a:noFill/>
                    <a:ln>
                      <a:noFill/>
                    </a:ln>
                    <a:extLst>
                      <a:ext uri="{53640926-AAD7-44D8-BBD7-CCE9431645EC}">
                        <a14:shadowObscured xmlns:a14="http://schemas.microsoft.com/office/drawing/2010/main"/>
                      </a:ext>
                    </a:extLst>
                  </pic:spPr>
                </pic:pic>
              </a:graphicData>
            </a:graphic>
          </wp:inline>
        </w:drawing>
      </w:r>
    </w:p>
    <w:p w14:paraId="52EE141E" w14:textId="77777777" w:rsidR="00D9107F" w:rsidRDefault="00671A05" w:rsidP="0085218F">
      <w:pPr>
        <w:ind w:left="10" w:hanging="10"/>
        <w:jc w:val="both"/>
      </w:pPr>
      <w:r>
        <w:t>Ekspertutvalget anbefaler at antall LIS1-stillinger</w:t>
      </w:r>
      <w:r w:rsidR="004A3623">
        <w:t xml:space="preserve"> som pålegges sykehus og kommuner</w:t>
      </w:r>
      <w:r>
        <w:t xml:space="preserve"> økes betydelig. En vurdering av hvor mange LIS1-stillinger tjenesten maksimalt er i stand til å håndtere, samtidig som kvaliteten i tjenesten opprettholdes, bør danne grunnlaget for antall stillinger det økes med.</w:t>
      </w:r>
      <w:r w:rsidR="004A3623">
        <w:t xml:space="preserve"> I tillegg til </w:t>
      </w:r>
      <w:r w:rsidR="00173077">
        <w:t xml:space="preserve">disse stillingene bør sykehus og kommuner </w:t>
      </w:r>
      <w:r w:rsidR="00DB042C" w:rsidRPr="007A2766">
        <w:t>innenfor egne budsjett</w:t>
      </w:r>
      <w:r w:rsidR="00173077">
        <w:t xml:space="preserve"> gis muligheten til å lyse ut LIS1-stillinger når de har behov </w:t>
      </w:r>
      <w:r w:rsidR="000E6BA7">
        <w:t xml:space="preserve">for </w:t>
      </w:r>
      <w:r w:rsidR="00173077">
        <w:t xml:space="preserve">og mulighet </w:t>
      </w:r>
      <w:r w:rsidR="000E6BA7">
        <w:t>til</w:t>
      </w:r>
      <w:r w:rsidR="00173077">
        <w:t xml:space="preserve"> det. </w:t>
      </w:r>
      <w:r w:rsidR="00F535DC">
        <w:lastRenderedPageBreak/>
        <w:t>Muligheten for å opprette egne LIS1-stillinger vil komme i tillegg til koblede stillinger</w:t>
      </w:r>
      <w:r w:rsidR="004A6C09">
        <w:t>,</w:t>
      </w:r>
      <w:r w:rsidR="00F535DC">
        <w:t xml:space="preserve"> som lyses ut på vanlig vis.</w:t>
      </w:r>
    </w:p>
    <w:p w14:paraId="511B11A0" w14:textId="77777777" w:rsidR="00D9107F" w:rsidRDefault="00BE2A07" w:rsidP="0085218F">
      <w:pPr>
        <w:ind w:left="10" w:hanging="10"/>
        <w:jc w:val="both"/>
      </w:pPr>
      <w:r>
        <w:t>I dagens situasjon</w:t>
      </w:r>
      <w:r w:rsidR="004A6C09">
        <w:t>,</w:t>
      </w:r>
      <w:r>
        <w:t xml:space="preserve"> hvor mange leger i påvente av LIS</w:t>
      </w:r>
      <w:r w:rsidR="0081316E">
        <w:t>-</w:t>
      </w:r>
      <w:r w:rsidR="009B40A7">
        <w:t>1</w:t>
      </w:r>
      <w:r w:rsidR="00575229">
        <w:t xml:space="preserve"> har tilegnet seg betydelig arbeidserfaring</w:t>
      </w:r>
      <w:r w:rsidR="004A6C09">
        <w:t>,</w:t>
      </w:r>
      <w:r w:rsidR="0024794B">
        <w:t xml:space="preserve"> bør det åpnes </w:t>
      </w:r>
      <w:r w:rsidR="00DB59BC">
        <w:t xml:space="preserve">opp </w:t>
      </w:r>
      <w:r w:rsidR="0024794B">
        <w:t xml:space="preserve">for at </w:t>
      </w:r>
      <w:r w:rsidR="0015398C">
        <w:t>arbeidsgiver</w:t>
      </w:r>
      <w:r w:rsidR="00F50B20">
        <w:t>,</w:t>
      </w:r>
      <w:r w:rsidR="0024794B">
        <w:t xml:space="preserve"> ved ansettelse </w:t>
      </w:r>
      <w:r w:rsidR="00E97004">
        <w:t xml:space="preserve">i </w:t>
      </w:r>
      <w:r w:rsidR="00447EBC">
        <w:t xml:space="preserve">egne opprettede LIS1-stillinger, </w:t>
      </w:r>
      <w:r w:rsidR="008F5BDE">
        <w:t>kan gjøre en vurdering</w:t>
      </w:r>
      <w:r w:rsidR="001561E0">
        <w:t xml:space="preserve"> av om </w:t>
      </w:r>
      <w:r w:rsidR="00C31B42">
        <w:t>rekkefølgekravet</w:t>
      </w:r>
      <w:r w:rsidR="003E0348">
        <w:t xml:space="preserve"> skal</w:t>
      </w:r>
      <w:r w:rsidR="00C31B42">
        <w:t xml:space="preserve"> opprettholdes eller ikke</w:t>
      </w:r>
      <w:r w:rsidR="006D4D9D">
        <w:t>.</w:t>
      </w:r>
      <w:r w:rsidR="0063426E">
        <w:t xml:space="preserve"> </w:t>
      </w:r>
      <w:r w:rsidR="002740E4">
        <w:t>K</w:t>
      </w:r>
      <w:r w:rsidR="005312C3">
        <w:t>ompetansevurdering</w:t>
      </w:r>
      <w:r w:rsidR="008610B5">
        <w:t xml:space="preserve"> </w:t>
      </w:r>
      <w:r w:rsidR="005312C3">
        <w:t>må gjøres av kommunen</w:t>
      </w:r>
      <w:r w:rsidR="00EE0F0F">
        <w:t xml:space="preserve">, </w:t>
      </w:r>
      <w:r w:rsidR="002740E4">
        <w:t xml:space="preserve">og hvor </w:t>
      </w:r>
      <w:r w:rsidR="005654C4">
        <w:t>det sentrale</w:t>
      </w:r>
      <w:r w:rsidR="00F535DC">
        <w:t xml:space="preserve"> vil </w:t>
      </w:r>
      <w:r w:rsidR="002A6F29">
        <w:t>være å vurdere</w:t>
      </w:r>
      <w:r w:rsidR="000F5B54">
        <w:t xml:space="preserve"> om legens samlede arbeidserfaring </w:t>
      </w:r>
      <w:r w:rsidR="00A62794">
        <w:t xml:space="preserve">tilsier at det er forsvarlig å </w:t>
      </w:r>
      <w:r w:rsidR="00506651">
        <w:t>starte i</w:t>
      </w:r>
      <w:r w:rsidR="00AB3854">
        <w:t xml:space="preserve"> </w:t>
      </w:r>
      <w:r w:rsidR="000E7809">
        <w:t>LIS1-</w:t>
      </w:r>
      <w:r w:rsidR="00AB3854">
        <w:t xml:space="preserve">stillingen uten å ha gjennomført </w:t>
      </w:r>
      <w:r w:rsidR="00F535DC">
        <w:t xml:space="preserve">sykehustjenesten </w:t>
      </w:r>
      <w:r w:rsidR="00AB3854">
        <w:t xml:space="preserve">først. </w:t>
      </w:r>
      <w:r w:rsidR="000E3E71">
        <w:t xml:space="preserve">Utvalget mener dette bør være en midlertidig ordning, </w:t>
      </w:r>
      <w:r w:rsidR="00B9648F">
        <w:t>og at effektene a</w:t>
      </w:r>
      <w:r w:rsidR="00086A46">
        <w:t>v endringene må evalueres grundig.</w:t>
      </w:r>
      <w:r w:rsidR="00B23B72">
        <w:t xml:space="preserve"> </w:t>
      </w:r>
      <w:r w:rsidR="002E08E7">
        <w:t xml:space="preserve">Se for øvrig omtale </w:t>
      </w:r>
      <w:r w:rsidR="00426B9A">
        <w:t xml:space="preserve">i </w:t>
      </w:r>
      <w:r w:rsidR="00A03384">
        <w:t>kap.</w:t>
      </w:r>
      <w:r w:rsidR="00F503DE">
        <w:t xml:space="preserve"> </w:t>
      </w:r>
      <w:r w:rsidR="009A5A71">
        <w:t>9</w:t>
      </w:r>
      <w:r w:rsidR="00F503DE">
        <w:t>.7.1.6</w:t>
      </w:r>
      <w:r w:rsidR="00AA04CD">
        <w:t>.</w:t>
      </w:r>
    </w:p>
    <w:p w14:paraId="195779C5" w14:textId="12869BFE" w:rsidR="002472E5" w:rsidRDefault="002472E5" w:rsidP="002472E5">
      <w:pPr>
        <w:ind w:left="10" w:hanging="10"/>
        <w:jc w:val="both"/>
      </w:pPr>
      <w:r>
        <w:t xml:space="preserve">At opprettelse av egne LIS1-stillinger må gjøres innenfor gjeldende budsjett vil trolig virke dempende på opprettelsen av slike stillinger. For å stimulere kommuner og sykehus til opprettelse, kan det vurderes å knytte statlig tilskudd også til disse stillingene, men med </w:t>
      </w:r>
      <w:r w:rsidRPr="002E5520">
        <w:t xml:space="preserve">høyere satser for kommuner med lav legedekning. Dette vil stimulere til at økningen i LIS1-stillinger kommer disse områdene til gode. Utvalget mener det er viktig at de nye endringene ikke bidrar til en ytterligere sentralisering av LIS1-tjenesten. For å hindre dette bør det, for de ordinære koblede LIS1-stillingene, innføres merking ved ansettelse </w:t>
      </w:r>
      <w:r>
        <w:t xml:space="preserve">i kommunen, se omtale i kap </w:t>
      </w:r>
      <w:r w:rsidR="009A5A71">
        <w:t>9.7</w:t>
      </w:r>
      <w:r>
        <w:t xml:space="preserve">.1.4. Det vil også være nødvendig at </w:t>
      </w:r>
      <w:r w:rsidRPr="00182969">
        <w:t>staten følge</w:t>
      </w:r>
      <w:r>
        <w:t>r</w:t>
      </w:r>
      <w:r w:rsidRPr="00182969">
        <w:t xml:space="preserve"> med på det totale antallet LIS1-stillinger, </w:t>
      </w:r>
      <w:r>
        <w:t xml:space="preserve">og </w:t>
      </w:r>
      <w:r w:rsidRPr="00182969">
        <w:t xml:space="preserve">hvordan veksten fordeler seg og påvirker rekrutteringen til LIS1-stillinger i </w:t>
      </w:r>
      <w:r>
        <w:t xml:space="preserve">mindre </w:t>
      </w:r>
      <w:r w:rsidRPr="00182969">
        <w:t>sentrale områder.</w:t>
      </w:r>
    </w:p>
    <w:p w14:paraId="028A2362" w14:textId="77777777" w:rsidR="00F9616C" w:rsidRPr="00F12BAA" w:rsidRDefault="6089686F" w:rsidP="00775632">
      <w:pPr>
        <w:pStyle w:val="Overskrift4"/>
      </w:pPr>
      <w:bookmarkStart w:id="5480" w:name="_Toc130983708"/>
      <w:bookmarkStart w:id="5481" w:name="_Toc130984057"/>
      <w:bookmarkStart w:id="5482" w:name="_Toc131279652"/>
      <w:bookmarkStart w:id="5483" w:name="_Toc131287064"/>
      <w:bookmarkStart w:id="5484" w:name="_Toc131281474"/>
      <w:bookmarkStart w:id="5485" w:name="_Toc131318014"/>
      <w:r>
        <w:t>Merking</w:t>
      </w:r>
      <w:r w:rsidR="66D4FD59">
        <w:t xml:space="preserve"> ved ansettelse av LIS1 i kommunen</w:t>
      </w:r>
      <w:bookmarkEnd w:id="5480"/>
      <w:bookmarkEnd w:id="5481"/>
      <w:bookmarkEnd w:id="5482"/>
      <w:bookmarkEnd w:id="5483"/>
      <w:bookmarkEnd w:id="5484"/>
      <w:bookmarkEnd w:id="5485"/>
    </w:p>
    <w:p w14:paraId="480DD144" w14:textId="403CCAFC" w:rsidR="00D9107F" w:rsidRDefault="00F9616C" w:rsidP="000623DE">
      <w:r w:rsidRPr="08025E4F">
        <w:rPr>
          <w:rFonts w:eastAsia="Calibri"/>
        </w:rPr>
        <w:t>Ekspertutvalgets</w:t>
      </w:r>
      <w:r>
        <w:t xml:space="preserve"> vurdering er at</w:t>
      </w:r>
      <w:r>
        <w:rPr>
          <w:rFonts w:eastAsia="Calibri"/>
        </w:rPr>
        <w:t xml:space="preserve"> tiltak som gjør det vanskeligere for LIS1 å velge bort stillinger i kommunen</w:t>
      </w:r>
      <w:r w:rsidR="00EF2BA1">
        <w:rPr>
          <w:rFonts w:eastAsia="Calibri"/>
        </w:rPr>
        <w:t>,</w:t>
      </w:r>
      <w:r>
        <w:t xml:space="preserve"> bør vurderes nærmere</w:t>
      </w:r>
      <w:r>
        <w:rPr>
          <w:rFonts w:eastAsia="Calibri"/>
        </w:rPr>
        <w:t xml:space="preserve">. I dag blir legene merket i stillingsportalen ved aksept av en </w:t>
      </w:r>
      <w:r w:rsidR="004169A4">
        <w:rPr>
          <w:rFonts w:eastAsia="Calibri"/>
        </w:rPr>
        <w:t xml:space="preserve">koblet </w:t>
      </w:r>
      <w:r>
        <w:rPr>
          <w:rFonts w:eastAsia="Calibri"/>
        </w:rPr>
        <w:t>LIS1-stilling i sykehus</w:t>
      </w:r>
      <w:r>
        <w:t xml:space="preserve">, noe som innebærer </w:t>
      </w:r>
      <w:r>
        <w:rPr>
          <w:rFonts w:eastAsia="Calibri"/>
        </w:rPr>
        <w:t xml:space="preserve">at man ikke kan takke ja til ny stilling i samme tilsettingsrunde. </w:t>
      </w:r>
      <w:r w:rsidR="666445C1" w:rsidRPr="2027280D">
        <w:rPr>
          <w:rFonts w:eastAsia="Calibri"/>
        </w:rPr>
        <w:t>Dette innebærer en form for karantene</w:t>
      </w:r>
      <w:r w:rsidR="004169A4">
        <w:rPr>
          <w:rFonts w:eastAsia="Calibri"/>
        </w:rPr>
        <w:t xml:space="preserve">, </w:t>
      </w:r>
      <w:r>
        <w:rPr>
          <w:rFonts w:eastAsia="Calibri"/>
        </w:rPr>
        <w:t xml:space="preserve">er regulert i spesialistforskriften </w:t>
      </w:r>
      <w:r w:rsidR="00D9107F">
        <w:rPr>
          <w:rFonts w:eastAsia="Calibri"/>
        </w:rPr>
        <w:t>§ 1</w:t>
      </w:r>
      <w:r>
        <w:rPr>
          <w:rFonts w:eastAsia="Calibri"/>
        </w:rPr>
        <w:t>0</w:t>
      </w:r>
      <w:r w:rsidR="00F50B20">
        <w:rPr>
          <w:rFonts w:eastAsia="Calibri"/>
        </w:rPr>
        <w:t>,</w:t>
      </w:r>
      <w:r>
        <w:rPr>
          <w:rFonts w:eastAsia="Calibri"/>
        </w:rPr>
        <w:t xml:space="preserve"> </w:t>
      </w:r>
      <w:r>
        <w:t>og begrunnes med at</w:t>
      </w:r>
      <w:r w:rsidRPr="00D9107F">
        <w:rPr>
          <w:rStyle w:val="kursiv"/>
          <w:rFonts w:eastAsia="Calibri"/>
        </w:rPr>
        <w:t xml:space="preserve"> </w:t>
      </w:r>
      <w:r w:rsidRPr="00962470">
        <w:t>søkere til LIS1</w:t>
      </w:r>
      <w:r>
        <w:t>-</w:t>
      </w:r>
      <w:r w:rsidRPr="00962470">
        <w:t xml:space="preserve">stilling som takker ja til et tilbud, skal være bundet av dette. </w:t>
      </w:r>
      <w:r>
        <w:rPr>
          <w:rFonts w:eastAsia="Calibri"/>
        </w:rPr>
        <w:t>Denne reguleringen gir helseforetakene</w:t>
      </w:r>
      <w:r w:rsidR="004169A4">
        <w:rPr>
          <w:rFonts w:eastAsia="Calibri"/>
        </w:rPr>
        <w:t xml:space="preserve"> </w:t>
      </w:r>
      <w:r>
        <w:rPr>
          <w:rFonts w:eastAsia="Calibri"/>
        </w:rPr>
        <w:t xml:space="preserve">stabilitet i LIS1-stillingene. </w:t>
      </w:r>
      <w:r>
        <w:t>Reguleringen forhindrer at</w:t>
      </w:r>
      <w:r w:rsidRPr="00962470" w:rsidDel="008C2C87">
        <w:t xml:space="preserve"> </w:t>
      </w:r>
      <w:r w:rsidRPr="00962470">
        <w:t>sykehus i regioner med rekrutteringsproblemer</w:t>
      </w:r>
      <w:r w:rsidR="002472E5" w:rsidRPr="00962470">
        <w:t xml:space="preserve"> </w:t>
      </w:r>
      <w:r w:rsidR="002472E5">
        <w:t>skal</w:t>
      </w:r>
      <w:r w:rsidR="002472E5" w:rsidRPr="00962470">
        <w:t xml:space="preserve"> få vanskeligheter med å fylle </w:t>
      </w:r>
      <w:r w:rsidR="002472E5">
        <w:t>LIS1-stillingene.</w:t>
      </w:r>
    </w:p>
    <w:p w14:paraId="1B352C20" w14:textId="1680035D" w:rsidR="00533DD6" w:rsidRDefault="000E7809" w:rsidP="000623DE">
      <w:pPr>
        <w:rPr>
          <w:rFonts w:eastAsia="Calibri"/>
        </w:rPr>
      </w:pPr>
      <w:r>
        <w:t>Dette</w:t>
      </w:r>
      <w:r w:rsidR="00F9616C">
        <w:t xml:space="preserve"> er </w:t>
      </w:r>
      <w:r>
        <w:t>annerledes</w:t>
      </w:r>
      <w:r w:rsidR="00F9616C">
        <w:t xml:space="preserve"> for </w:t>
      </w:r>
      <w:r>
        <w:t>kommunene</w:t>
      </w:r>
      <w:r w:rsidR="004169A4">
        <w:t>, der</w:t>
      </w:r>
      <w:r>
        <w:t xml:space="preserve"> </w:t>
      </w:r>
      <w:r w:rsidR="00F9616C">
        <w:t xml:space="preserve">LIS1 </w:t>
      </w:r>
      <w:r>
        <w:t>kan trekke seg fra</w:t>
      </w:r>
      <w:r w:rsidR="00F9616C">
        <w:t xml:space="preserve"> </w:t>
      </w:r>
      <w:r w:rsidR="00F9616C">
        <w:rPr>
          <w:rFonts w:eastAsia="Calibri"/>
        </w:rPr>
        <w:t xml:space="preserve">den kommunale stillingen </w:t>
      </w:r>
      <w:r>
        <w:rPr>
          <w:rFonts w:eastAsia="Calibri"/>
        </w:rPr>
        <w:t>vedkommende</w:t>
      </w:r>
      <w:r w:rsidR="00F9616C">
        <w:rPr>
          <w:rFonts w:eastAsia="Calibri"/>
        </w:rPr>
        <w:t xml:space="preserve"> har blitt ansatt i </w:t>
      </w:r>
      <w:r>
        <w:rPr>
          <w:rFonts w:eastAsia="Calibri"/>
        </w:rPr>
        <w:t xml:space="preserve">og gå over i en </w:t>
      </w:r>
      <w:r w:rsidR="00F9616C">
        <w:rPr>
          <w:rFonts w:eastAsia="Calibri"/>
        </w:rPr>
        <w:t xml:space="preserve">reststilling i en annen kommune. </w:t>
      </w:r>
      <w:r>
        <w:rPr>
          <w:rFonts w:eastAsia="Calibri"/>
        </w:rPr>
        <w:t>E</w:t>
      </w:r>
      <w:r w:rsidR="14560C5E" w:rsidRPr="5F384BB7">
        <w:rPr>
          <w:rFonts w:eastAsia="Calibri"/>
        </w:rPr>
        <w:t xml:space="preserve">kspertutvalget </w:t>
      </w:r>
      <w:r>
        <w:rPr>
          <w:rFonts w:eastAsia="Calibri"/>
        </w:rPr>
        <w:t>anbefaler</w:t>
      </w:r>
      <w:r w:rsidR="14560C5E" w:rsidRPr="5F384BB7">
        <w:rPr>
          <w:rFonts w:eastAsia="Calibri"/>
        </w:rPr>
        <w:t xml:space="preserve"> at en tilsvarende ordning som beskytter sykehuset mot at LIS1-legen sier opp stillingen sin, </w:t>
      </w:r>
      <w:r w:rsidR="14560C5E">
        <w:t xml:space="preserve">også innføres </w:t>
      </w:r>
      <w:r w:rsidR="14560C5E" w:rsidRPr="5F384BB7">
        <w:rPr>
          <w:rFonts w:eastAsia="Calibri"/>
        </w:rPr>
        <w:t>ved overgang til kommunehelsetjenesten.</w:t>
      </w:r>
      <w:r w:rsidR="082E5B9E" w:rsidRPr="5F384BB7">
        <w:rPr>
          <w:rFonts w:eastAsia="Calibri"/>
        </w:rPr>
        <w:t xml:space="preserve"> Det er vanskelig å se argumenter for at en ordning som allerede i dag beskytter sykehusene, ikke skal </w:t>
      </w:r>
      <w:r w:rsidR="139D2E27" w:rsidRPr="5F384BB7">
        <w:rPr>
          <w:rFonts w:eastAsia="Calibri"/>
        </w:rPr>
        <w:t xml:space="preserve">gjelde tilsvarende for </w:t>
      </w:r>
      <w:r w:rsidR="7B8DE140" w:rsidRPr="5F384BB7">
        <w:rPr>
          <w:rFonts w:eastAsia="Calibri"/>
        </w:rPr>
        <w:t>kommuner</w:t>
      </w:r>
      <w:r w:rsidR="7AEB3B73" w:rsidRPr="5F384BB7">
        <w:rPr>
          <w:rFonts w:eastAsia="Calibri"/>
        </w:rPr>
        <w:t>.</w:t>
      </w:r>
      <w:r w:rsidR="14560C5E" w:rsidRPr="5F384BB7">
        <w:rPr>
          <w:rFonts w:eastAsia="Calibri"/>
        </w:rPr>
        <w:t xml:space="preserve"> Innføring av </w:t>
      </w:r>
      <w:r w:rsidR="004169A4">
        <w:rPr>
          <w:rFonts w:eastAsia="Calibri"/>
        </w:rPr>
        <w:t>merking</w:t>
      </w:r>
      <w:r w:rsidR="14560C5E" w:rsidRPr="5F384BB7">
        <w:rPr>
          <w:rFonts w:eastAsia="Calibri"/>
        </w:rPr>
        <w:t xml:space="preserve"> ved ansettelse som LIS1 i kommunehelsetjenesten vil innebære at LIS1 i tilsettingsperioden på 6 måneder ikke kan starte i en LIS1</w:t>
      </w:r>
      <w:r w:rsidR="1B95749D" w:rsidRPr="5F384BB7">
        <w:rPr>
          <w:rFonts w:eastAsia="Calibri"/>
        </w:rPr>
        <w:t>-</w:t>
      </w:r>
      <w:r w:rsidR="14560C5E" w:rsidRPr="5F384BB7">
        <w:rPr>
          <w:rFonts w:eastAsia="Calibri"/>
        </w:rPr>
        <w:t xml:space="preserve">stilling i en annen kommune. </w:t>
      </w:r>
      <w:r w:rsidR="4ECD67B8" w:rsidRPr="5F384BB7">
        <w:rPr>
          <w:rFonts w:eastAsia="Calibri"/>
        </w:rPr>
        <w:t xml:space="preserve">Ved at </w:t>
      </w:r>
      <w:r w:rsidR="3A603375" w:rsidRPr="5F384BB7">
        <w:rPr>
          <w:rFonts w:eastAsia="Calibri"/>
        </w:rPr>
        <w:t>legen</w:t>
      </w:r>
      <w:r w:rsidR="2A9D5E10" w:rsidRPr="5F384BB7">
        <w:rPr>
          <w:rFonts w:eastAsia="Calibri"/>
        </w:rPr>
        <w:t xml:space="preserve"> ikke kan takke ja </w:t>
      </w:r>
      <w:r w:rsidR="3A603375" w:rsidRPr="5F384BB7">
        <w:rPr>
          <w:rFonts w:eastAsia="Calibri"/>
        </w:rPr>
        <w:t>til ny LIS1-stilling</w:t>
      </w:r>
      <w:r w:rsidR="7BB5A50C" w:rsidRPr="5F384BB7">
        <w:rPr>
          <w:rFonts w:eastAsia="Calibri"/>
        </w:rPr>
        <w:t xml:space="preserve"> i </w:t>
      </w:r>
      <w:r w:rsidR="00992C24">
        <w:rPr>
          <w:rFonts w:eastAsia="Calibri"/>
        </w:rPr>
        <w:t xml:space="preserve">en annen </w:t>
      </w:r>
      <w:r w:rsidR="7BB5A50C" w:rsidRPr="5F384BB7">
        <w:rPr>
          <w:rFonts w:eastAsia="Calibri"/>
        </w:rPr>
        <w:t xml:space="preserve">kommune i samme tilsettingsrunde, vil </w:t>
      </w:r>
      <w:r w:rsidR="004169A4">
        <w:rPr>
          <w:rFonts w:eastAsia="Calibri"/>
        </w:rPr>
        <w:t xml:space="preserve">dette </w:t>
      </w:r>
      <w:r w:rsidR="730FFA2F" w:rsidRPr="5F384BB7">
        <w:rPr>
          <w:rFonts w:eastAsia="Calibri"/>
        </w:rPr>
        <w:t>gi forut</w:t>
      </w:r>
      <w:r w:rsidR="22F6846E" w:rsidRPr="5F384BB7">
        <w:rPr>
          <w:rFonts w:eastAsia="Calibri"/>
        </w:rPr>
        <w:t>sigbarhet for kommunen</w:t>
      </w:r>
      <w:r w:rsidR="6F373FD9" w:rsidRPr="5F384BB7">
        <w:rPr>
          <w:rFonts w:eastAsia="Calibri"/>
        </w:rPr>
        <w:t xml:space="preserve">. </w:t>
      </w:r>
      <w:r w:rsidR="004169A4" w:rsidRPr="5F384BB7">
        <w:rPr>
          <w:rFonts w:eastAsia="Calibri"/>
        </w:rPr>
        <w:t xml:space="preserve">En slik </w:t>
      </w:r>
      <w:r w:rsidR="004169A4" w:rsidRPr="5F384BB7">
        <w:rPr>
          <w:rFonts w:eastAsia="Calibri"/>
        </w:rPr>
        <w:lastRenderedPageBreak/>
        <w:t xml:space="preserve">ordning vil </w:t>
      </w:r>
      <w:r w:rsidR="004169A4">
        <w:rPr>
          <w:rFonts w:eastAsia="Calibri"/>
        </w:rPr>
        <w:t xml:space="preserve">kunne </w:t>
      </w:r>
      <w:r w:rsidR="004169A4" w:rsidRPr="5F384BB7">
        <w:rPr>
          <w:rFonts w:eastAsia="Calibri"/>
        </w:rPr>
        <w:t>medføre at kommuner sende</w:t>
      </w:r>
      <w:r w:rsidR="004169A4">
        <w:rPr>
          <w:rFonts w:eastAsia="Calibri"/>
        </w:rPr>
        <w:t>r</w:t>
      </w:r>
      <w:r w:rsidR="004169A4" w:rsidRPr="5F384BB7">
        <w:rPr>
          <w:rFonts w:eastAsia="Calibri"/>
        </w:rPr>
        <w:t xml:space="preserve"> ut tilbud til LIS1</w:t>
      </w:r>
      <w:r w:rsidR="004169A4">
        <w:rPr>
          <w:rFonts w:eastAsia="Calibri"/>
        </w:rPr>
        <w:t xml:space="preserve"> tidligere enn i dag</w:t>
      </w:r>
      <w:r w:rsidR="004169A4" w:rsidRPr="5F384BB7">
        <w:rPr>
          <w:rFonts w:eastAsia="Calibri"/>
        </w:rPr>
        <w:t xml:space="preserve">, noe som vil gi forutsigbarhet </w:t>
      </w:r>
      <w:r w:rsidR="004169A4">
        <w:rPr>
          <w:rFonts w:eastAsia="Calibri"/>
        </w:rPr>
        <w:t xml:space="preserve">også </w:t>
      </w:r>
      <w:r w:rsidR="004169A4" w:rsidRPr="5F384BB7">
        <w:rPr>
          <w:rFonts w:eastAsia="Calibri"/>
        </w:rPr>
        <w:t>for legen.</w:t>
      </w:r>
    </w:p>
    <w:p w14:paraId="108D3EEB" w14:textId="77777777" w:rsidR="00D9107F" w:rsidRDefault="00F9616C" w:rsidP="000623DE">
      <w:pPr>
        <w:rPr>
          <w:rFonts w:eastAsia="Calibri"/>
        </w:rPr>
      </w:pPr>
      <w:r>
        <w:rPr>
          <w:rFonts w:eastAsia="Calibri"/>
        </w:rPr>
        <w:t xml:space="preserve">Innføring av </w:t>
      </w:r>
      <w:r w:rsidR="555FEA76" w:rsidRPr="7EFC862E">
        <w:rPr>
          <w:rFonts w:eastAsia="Calibri"/>
        </w:rPr>
        <w:t xml:space="preserve">slik </w:t>
      </w:r>
      <w:r w:rsidR="7AACA1EB" w:rsidRPr="075E7B6D">
        <w:rPr>
          <w:rFonts w:eastAsia="Calibri"/>
        </w:rPr>
        <w:t>merking</w:t>
      </w:r>
      <w:r>
        <w:rPr>
          <w:rFonts w:eastAsia="Calibri"/>
        </w:rPr>
        <w:t xml:space="preserve"> </w:t>
      </w:r>
      <w:r w:rsidR="002E2BC0">
        <w:rPr>
          <w:rFonts w:eastAsia="Calibri"/>
        </w:rPr>
        <w:t xml:space="preserve">ved </w:t>
      </w:r>
      <w:r w:rsidR="008C5B86">
        <w:rPr>
          <w:rFonts w:eastAsia="Calibri"/>
        </w:rPr>
        <w:t xml:space="preserve">ansettelse i LIS1-stilling i kommunen </w:t>
      </w:r>
      <w:r>
        <w:rPr>
          <w:rFonts w:eastAsia="Calibri"/>
        </w:rPr>
        <w:t>er tidligere vurdert og anbefalt av Helsedirektoratet</w:t>
      </w:r>
      <w:r w:rsidR="00F50B20">
        <w:rPr>
          <w:rFonts w:eastAsia="Calibri"/>
        </w:rPr>
        <w:t>,</w:t>
      </w:r>
      <w:r>
        <w:rPr>
          <w:rFonts w:eastAsia="Calibri"/>
        </w:rPr>
        <w:t xml:space="preserve"> som et mulig tiltak for styrking av lege</w:t>
      </w:r>
      <w:r w:rsidR="00347970">
        <w:rPr>
          <w:rFonts w:eastAsia="Calibri"/>
        </w:rPr>
        <w:t>dekningen</w:t>
      </w:r>
      <w:r>
        <w:rPr>
          <w:rFonts w:eastAsia="Calibri"/>
        </w:rPr>
        <w:t xml:space="preserve"> i kommunene.</w:t>
      </w:r>
    </w:p>
    <w:p w14:paraId="02B0750D" w14:textId="5521E64F" w:rsidR="008819C9" w:rsidRPr="00F12BAA" w:rsidRDefault="0637F88D" w:rsidP="00775632">
      <w:pPr>
        <w:pStyle w:val="Overskrift4"/>
      </w:pPr>
      <w:bookmarkStart w:id="5486" w:name="_Toc130983709"/>
      <w:bookmarkStart w:id="5487" w:name="_Toc130984058"/>
      <w:bookmarkStart w:id="5488" w:name="_Toc131279653"/>
      <w:bookmarkStart w:id="5489" w:name="_Toc131287065"/>
      <w:bookmarkStart w:id="5490" w:name="_Toc131281475"/>
      <w:bookmarkStart w:id="5491" w:name="_Toc131318015"/>
      <w:r>
        <w:t>Endring i ansettelsesprosessen</w:t>
      </w:r>
      <w:bookmarkEnd w:id="5486"/>
      <w:bookmarkEnd w:id="5487"/>
      <w:bookmarkEnd w:id="5488"/>
      <w:bookmarkEnd w:id="5489"/>
      <w:bookmarkEnd w:id="5490"/>
      <w:bookmarkEnd w:id="5491"/>
    </w:p>
    <w:p w14:paraId="111541F5" w14:textId="77777777" w:rsidR="00D9107F" w:rsidRDefault="008819C9" w:rsidP="000623DE">
      <w:pPr>
        <w:rPr>
          <w:rFonts w:eastAsia="Calibri"/>
        </w:rPr>
      </w:pPr>
      <w:r>
        <w:rPr>
          <w:rFonts w:eastAsia="Calibri"/>
        </w:rPr>
        <w:t>For å bidra til at flere LIS1 ønsker å spesialisere seg i allmennmedisin, bør kommunens posisjon i ansettelsesprosessene</w:t>
      </w:r>
      <w:r>
        <w:t xml:space="preserve"> styrkes</w:t>
      </w:r>
      <w:r>
        <w:rPr>
          <w:rFonts w:eastAsia="Calibri"/>
        </w:rPr>
        <w:t>. Det er forskriftsfestet krav om at sykehus og kommuner skal samarbeide om ansettelsene. Erfaringene så langt viser at LIS1 ansettes til en stilling ved et sykehus, og med rett til ansettelse i en av kommunene som sykehuset samarbeider med.</w:t>
      </w:r>
    </w:p>
    <w:p w14:paraId="69AFE00C" w14:textId="77777777" w:rsidR="00D9107F" w:rsidRDefault="008819C9" w:rsidP="000623DE">
      <w:pPr>
        <w:rPr>
          <w:rFonts w:eastAsia="Calibri"/>
        </w:rPr>
      </w:pPr>
      <w:r>
        <w:rPr>
          <w:rFonts w:eastAsia="Calibri"/>
        </w:rPr>
        <w:t xml:space="preserve">Ekspertutvalget vurderer at det </w:t>
      </w:r>
      <w:r>
        <w:t xml:space="preserve">kan </w:t>
      </w:r>
      <w:r>
        <w:rPr>
          <w:rFonts w:eastAsia="Calibri"/>
        </w:rPr>
        <w:t>styrke kommunenes ansvar og posisjon, om ansettelsen i sykehuset samtidig knyttes opp til en gitt kommune</w:t>
      </w:r>
      <w:r w:rsidR="00F50B20">
        <w:rPr>
          <w:rFonts w:eastAsia="Calibri"/>
        </w:rPr>
        <w:t>,</w:t>
      </w:r>
      <w:r>
        <w:rPr>
          <w:rFonts w:eastAsia="Calibri"/>
        </w:rPr>
        <w:t xml:space="preserve"> eller noen få definerte kommuner.</w:t>
      </w:r>
      <w:r>
        <w:t xml:space="preserve"> </w:t>
      </w:r>
      <w:r>
        <w:rPr>
          <w:rFonts w:eastAsia="Calibri"/>
        </w:rPr>
        <w:t xml:space="preserve">Dette vil gi kommunene muligheten til å rekruttere leger til LIS1 som er motiverte for jobb i kommunehelsetjenesten. </w:t>
      </w:r>
      <w:r w:rsidR="002472E5">
        <w:rPr>
          <w:rFonts w:eastAsia="Calibri"/>
        </w:rPr>
        <w:t xml:space="preserve">Det kan stilles spørsmålstegn ved om alle kommuner har et tilstrekkelig administrativt apparat til å håndtere en stor mengde </w:t>
      </w:r>
      <w:r w:rsidR="002472E5" w:rsidRPr="00AA535A">
        <w:rPr>
          <w:rFonts w:eastAsia="Calibri"/>
        </w:rPr>
        <w:t>søknader</w:t>
      </w:r>
      <w:r w:rsidR="002472E5">
        <w:rPr>
          <w:rFonts w:eastAsia="Calibri"/>
        </w:rPr>
        <w:t>.</w:t>
      </w:r>
      <w:r>
        <w:rPr>
          <w:rFonts w:eastAsia="Calibri"/>
        </w:rPr>
        <w:t xml:space="preserve"> I tillegg kan det være risiko </w:t>
      </w:r>
      <w:r w:rsidRPr="00AA535A">
        <w:rPr>
          <w:rFonts w:eastAsia="Calibri"/>
        </w:rPr>
        <w:t xml:space="preserve">for ulikebehandling </w:t>
      </w:r>
      <w:r>
        <w:rPr>
          <w:rFonts w:eastAsia="Calibri"/>
        </w:rPr>
        <w:t>ved en</w:t>
      </w:r>
      <w:r w:rsidRPr="00AA535A">
        <w:rPr>
          <w:rFonts w:eastAsia="Calibri"/>
        </w:rPr>
        <w:t xml:space="preserve"> desentralisert</w:t>
      </w:r>
      <w:r>
        <w:rPr>
          <w:rFonts w:eastAsia="Calibri"/>
        </w:rPr>
        <w:t xml:space="preserve"> søknadsprosess.</w:t>
      </w:r>
    </w:p>
    <w:p w14:paraId="6D6E2939" w14:textId="778FFB7D" w:rsidR="008819C9" w:rsidRDefault="002472E5" w:rsidP="000623DE">
      <w:r>
        <w:rPr>
          <w:rFonts w:eastAsia="Calibri"/>
        </w:rPr>
        <w:t xml:space="preserve">Ekspertutvalget anbefaler likevel at muligheten for å snu helt om på ansettelsesprosessen for LIS1-stillinger utredes nærmere. </w:t>
      </w:r>
      <w:r>
        <w:t>Det vil innebære å gjøre en vurdering av hvorvidt en gitt kommune kan ansette LIS1, med rett til tjeneste i et av sykehusene kommunen samarbeider med.</w:t>
      </w:r>
      <w:r w:rsidR="008819C9">
        <w:t xml:space="preserve"> Dette vil ikke endre på rekkefølgekravet for </w:t>
      </w:r>
      <w:r w:rsidR="00573CC1">
        <w:t xml:space="preserve">koblede </w:t>
      </w:r>
      <w:r w:rsidR="008819C9">
        <w:t>LIS1</w:t>
      </w:r>
      <w:r w:rsidR="00573CC1">
        <w:t>-stillinger</w:t>
      </w:r>
      <w:r w:rsidR="008819C9">
        <w:t>, men vil sette kommunene i bedre posisjon for å håndplukke egnede LIS1</w:t>
      </w:r>
      <w:r w:rsidR="00946ECD">
        <w:t>,</w:t>
      </w:r>
      <w:r w:rsidR="008819C9">
        <w:t xml:space="preserve"> som er motivert for</w:t>
      </w:r>
      <w:r w:rsidR="00946ECD">
        <w:t>,</w:t>
      </w:r>
      <w:r w:rsidR="008819C9">
        <w:t xml:space="preserve"> eller har tilhørighet som taler for</w:t>
      </w:r>
      <w:r w:rsidR="00946ECD">
        <w:t>,</w:t>
      </w:r>
      <w:r w:rsidR="008819C9">
        <w:t xml:space="preserve"> videre arbeid i kommunen. </w:t>
      </w:r>
      <w:r w:rsidR="008819C9">
        <w:rPr>
          <w:rFonts w:eastAsia="Calibri"/>
        </w:rPr>
        <w:t>Endringer i ansettelsesprosessen trenger ikke å utfordre samarbeidet med sykehuset, og heller</w:t>
      </w:r>
      <w:r w:rsidR="00223061">
        <w:rPr>
          <w:rFonts w:eastAsia="Calibri"/>
        </w:rPr>
        <w:t xml:space="preserve"> </w:t>
      </w:r>
      <w:r w:rsidR="00347970">
        <w:rPr>
          <w:rFonts w:eastAsia="Calibri"/>
        </w:rPr>
        <w:t xml:space="preserve">ikke </w:t>
      </w:r>
      <w:r w:rsidR="00223061">
        <w:rPr>
          <w:rFonts w:eastAsia="Calibri"/>
        </w:rPr>
        <w:t>forhindre</w:t>
      </w:r>
      <w:r w:rsidR="008819C9">
        <w:rPr>
          <w:rFonts w:eastAsia="Calibri"/>
        </w:rPr>
        <w:t xml:space="preserve"> at sykehuset bidrar med ressurser i </w:t>
      </w:r>
      <w:r w:rsidR="00EE2231">
        <w:rPr>
          <w:rFonts w:eastAsia="Calibri"/>
        </w:rPr>
        <w:t xml:space="preserve">ansettelsesprosessen. </w:t>
      </w:r>
      <w:r w:rsidR="008819C9">
        <w:t>Muligheten for å prøve ut en slik løsning for å vurdere effektene vil trolig være nødvendig.</w:t>
      </w:r>
    </w:p>
    <w:p w14:paraId="36307382" w14:textId="77777777" w:rsidR="00F9616C" w:rsidRPr="00F12BAA" w:rsidRDefault="66D4FD59" w:rsidP="00775632">
      <w:pPr>
        <w:pStyle w:val="Overskrift4"/>
      </w:pPr>
      <w:bookmarkStart w:id="5492" w:name="_Toc130983710"/>
      <w:bookmarkStart w:id="5493" w:name="_Toc130984059"/>
      <w:bookmarkStart w:id="5494" w:name="_Toc131279654"/>
      <w:bookmarkStart w:id="5495" w:name="_Toc131287066"/>
      <w:bookmarkStart w:id="5496" w:name="_Toc131281476"/>
      <w:bookmarkStart w:id="5497" w:name="_Toc131318016"/>
      <w:r>
        <w:t>Anerkjenne kompetanse tilsvarende LIS1</w:t>
      </w:r>
      <w:bookmarkEnd w:id="5492"/>
      <w:bookmarkEnd w:id="5493"/>
      <w:bookmarkEnd w:id="5494"/>
      <w:bookmarkEnd w:id="5495"/>
      <w:bookmarkEnd w:id="5496"/>
      <w:bookmarkEnd w:id="5497"/>
    </w:p>
    <w:p w14:paraId="108A184E" w14:textId="77777777" w:rsidR="00D9107F" w:rsidRDefault="00F9616C" w:rsidP="00F9616C">
      <w:pPr>
        <w:jc w:val="both"/>
      </w:pPr>
      <w:r>
        <w:t xml:space="preserve">Ekspertutvalget mener det i tillegg er nødvendig å vurdere tiltak som kan føre til </w:t>
      </w:r>
      <w:r w:rsidR="003F0AC6">
        <w:t xml:space="preserve">at </w:t>
      </w:r>
      <w:r>
        <w:t>flere leger kommer raskere gjennom LIS1, herunder se på alternative ordninger for leger med lang klinisk erfaring fra utlandet</w:t>
      </w:r>
      <w:r w:rsidRPr="00364600">
        <w:t xml:space="preserve">. </w:t>
      </w:r>
      <w:r>
        <w:t xml:space="preserve">Denne gruppen </w:t>
      </w:r>
      <w:r w:rsidRPr="00364600">
        <w:t>lege</w:t>
      </w:r>
      <w:r>
        <w:t>r</w:t>
      </w:r>
      <w:r w:rsidRPr="00364600">
        <w:t xml:space="preserve"> kommer sjelden i betraktning når arbeidsgiver skal tilsette i LIS1</w:t>
      </w:r>
      <w:r w:rsidR="00347970">
        <w:t>-</w:t>
      </w:r>
      <w:r w:rsidRPr="00364600">
        <w:t>stillinger</w:t>
      </w:r>
      <w:r>
        <w:t>, som har nyutdannede leger som målgruppe</w:t>
      </w:r>
      <w:r w:rsidRPr="00364600">
        <w:t>.</w:t>
      </w:r>
    </w:p>
    <w:p w14:paraId="6A7A0540" w14:textId="77777777" w:rsidR="00D9107F" w:rsidRDefault="00F9616C" w:rsidP="00F9616C">
      <w:pPr>
        <w:jc w:val="both"/>
      </w:pPr>
      <w:r>
        <w:t>Legespesialister som er utdannet i utlandet</w:t>
      </w:r>
      <w:r w:rsidR="00107ADA">
        <w:t>,</w:t>
      </w:r>
      <w:r>
        <w:t xml:space="preserve"> kan imidlertid ha ulik bakgrunn</w:t>
      </w:r>
      <w:r w:rsidR="00946ECD">
        <w:t>,</w:t>
      </w:r>
      <w:r>
        <w:t xml:space="preserve"> og mange av disse kan mangle forkunnskap om norsk allmennlegetjeneste. For å sikre at disse legene har den nødvendige kunnskapen som skal til for å jobbe som allmennlege i kommunen, bør arbeidsgiver vurdere legens kompetanse og gi opplæring. Kravene i dag for gjennomføring av LIS1 for denne </w:t>
      </w:r>
      <w:r>
        <w:lastRenderedPageBreak/>
        <w:t>gruppen leger, synes å ha overveiende negative konsekvenser for den enkelte lege, for kapasiteten i allmennlegetjenesten og knyttet til press på LIS1</w:t>
      </w:r>
      <w:r w:rsidR="00347970">
        <w:t>-</w:t>
      </w:r>
      <w:r>
        <w:t>stillinger.</w:t>
      </w:r>
    </w:p>
    <w:p w14:paraId="3290319D" w14:textId="77777777" w:rsidR="00D9107F" w:rsidRDefault="14560C5E" w:rsidP="00F9616C">
      <w:pPr>
        <w:jc w:val="both"/>
      </w:pPr>
      <w:r>
        <w:t xml:space="preserve">Det er nærliggende å tro at disse legene har kunnskaper og ferdigheter som gjør at de ikke har behov for den første delen av spesialistutdanningen. Ekspertutvalget anbefaler at leger med norsk spesialistgodkjenning konvertert fra utlandet og </w:t>
      </w:r>
      <w:r w:rsidR="6AD0EFC1">
        <w:t>tilstrekkelig arbeidserfaring</w:t>
      </w:r>
      <w:r>
        <w:t xml:space="preserve">, </w:t>
      </w:r>
      <w:r w:rsidR="6362AE6F">
        <w:t>antas å allerede oppfylle læringskravene i</w:t>
      </w:r>
      <w:r w:rsidR="00F9616C">
        <w:t xml:space="preserve"> </w:t>
      </w:r>
      <w:r>
        <w:t>LIS1</w:t>
      </w:r>
      <w:r w:rsidR="00946ECD">
        <w:t>,</w:t>
      </w:r>
      <w:r>
        <w:t xml:space="preserve"> </w:t>
      </w:r>
      <w:r w:rsidR="3378C82A">
        <w:t xml:space="preserve">og </w:t>
      </w:r>
      <w:r w:rsidR="00946ECD">
        <w:t xml:space="preserve">dermed </w:t>
      </w:r>
      <w:r w:rsidR="3378C82A">
        <w:t xml:space="preserve">kan </w:t>
      </w:r>
      <w:r w:rsidR="002472E5">
        <w:t>starte rett på spesialistutdanning i allmennmedisin.</w:t>
      </w:r>
      <w:r>
        <w:t xml:space="preserve"> Utvalgets anbefaling er på dette punktet i samsvar med Helsedirektoratets tidligere vurdering.</w:t>
      </w:r>
    </w:p>
    <w:p w14:paraId="6600DC93" w14:textId="66284948" w:rsidR="00F9616C" w:rsidRDefault="493EDC87" w:rsidP="00F9616C">
      <w:pPr>
        <w:jc w:val="both"/>
        <w:rPr>
          <w:rFonts w:ascii="Calibri" w:eastAsia="Calibri" w:hAnsi="Calibri" w:cs="Calibri"/>
        </w:rPr>
      </w:pPr>
      <w:r w:rsidRPr="00B737A1">
        <w:rPr>
          <w:rFonts w:eastAsia="Work Sans"/>
          <w:color w:val="212121"/>
        </w:rPr>
        <w:t>De danske medisinutdanningene gir ikke fullverdig autorisasjon som lege rett etter studiet, slik som medisinstudiene i Norge. De danske medisinstudentene må, dersom de ønsker å jobbe selvstendig som lege, gjennomføre det som kalles klinisk basisutdannelse (KBU)</w:t>
      </w:r>
      <w:r w:rsidR="00F9616C" w:rsidRPr="00D9107F">
        <w:rPr>
          <w:rStyle w:val="Fotnotereferanse"/>
          <w:rFonts w:eastAsia="Work Sans"/>
        </w:rPr>
        <w:footnoteReference w:id="64"/>
      </w:r>
      <w:r w:rsidRPr="00B737A1">
        <w:rPr>
          <w:rFonts w:eastAsia="Work Sans"/>
          <w:color w:val="212121"/>
        </w:rPr>
        <w:t xml:space="preserve">. </w:t>
      </w:r>
      <w:r>
        <w:rPr>
          <w:rFonts w:eastAsia="Work Sans"/>
          <w:color w:val="212121"/>
        </w:rPr>
        <w:t xml:space="preserve">Tilsvarende må de svenske medisinstudentene etter studiet gjennomføre </w:t>
      </w:r>
      <w:r w:rsidRPr="00064211">
        <w:rPr>
          <w:rFonts w:eastAsia="Work Sans"/>
          <w:color w:val="212121"/>
        </w:rPr>
        <w:t>Allmäntjänstgöringen</w:t>
      </w:r>
      <w:r>
        <w:rPr>
          <w:rFonts w:eastAsia="Work Sans"/>
          <w:color w:val="212121"/>
        </w:rPr>
        <w:t xml:space="preserve"> (AT-tjeneste).</w:t>
      </w:r>
      <w:r w:rsidR="00F9616C" w:rsidRPr="00D9107F">
        <w:rPr>
          <w:rStyle w:val="Fotnotereferanse"/>
          <w:rFonts w:eastAsia="Work Sans"/>
        </w:rPr>
        <w:footnoteReference w:id="65"/>
      </w:r>
      <w:r>
        <w:rPr>
          <w:rFonts w:eastAsia="Work Sans"/>
          <w:color w:val="212121"/>
        </w:rPr>
        <w:t xml:space="preserve"> Gitt dagens kapasitetsutfordringer i allmennlegetjenesten, mener </w:t>
      </w:r>
      <w:r w:rsidR="594A268D">
        <w:rPr>
          <w:rFonts w:eastAsia="Work Sans"/>
          <w:color w:val="212121"/>
        </w:rPr>
        <w:t>ekspert</w:t>
      </w:r>
      <w:r>
        <w:rPr>
          <w:rFonts w:eastAsia="Work Sans"/>
          <w:color w:val="212121"/>
        </w:rPr>
        <w:t xml:space="preserve">utvalget at </w:t>
      </w:r>
      <w:r>
        <w:rPr>
          <w:rFonts w:ascii="Calibri" w:eastAsia="Calibri" w:hAnsi="Calibri" w:cs="Calibri"/>
        </w:rPr>
        <w:t xml:space="preserve">gjennomført KBU og AT-tjeneste </w:t>
      </w:r>
      <w:r w:rsidR="594A268D">
        <w:rPr>
          <w:rFonts w:ascii="Calibri" w:eastAsia="Calibri" w:hAnsi="Calibri" w:cs="Calibri"/>
        </w:rPr>
        <w:t>bør</w:t>
      </w:r>
      <w:r>
        <w:rPr>
          <w:rFonts w:ascii="Calibri" w:eastAsia="Calibri" w:hAnsi="Calibri" w:cs="Calibri"/>
        </w:rPr>
        <w:t xml:space="preserve"> </w:t>
      </w:r>
      <w:r w:rsidR="002472E5">
        <w:rPr>
          <w:rFonts w:ascii="Calibri" w:eastAsia="Calibri" w:hAnsi="Calibri" w:cs="Calibri"/>
        </w:rPr>
        <w:t>kvalifisere</w:t>
      </w:r>
      <w:r>
        <w:rPr>
          <w:rFonts w:ascii="Calibri" w:eastAsia="Calibri" w:hAnsi="Calibri" w:cs="Calibri"/>
        </w:rPr>
        <w:t xml:space="preserve"> for godkjenning av læringsmål i LIS1.</w:t>
      </w:r>
    </w:p>
    <w:p w14:paraId="4A1AE285" w14:textId="77777777" w:rsidR="005F46FB" w:rsidRDefault="005F46FB" w:rsidP="00F9616C">
      <w:pPr>
        <w:jc w:val="both"/>
      </w:pPr>
      <w:r>
        <w:t>En slik ordning vil også være hensiktsmessig dersom det forskriftsfestes krav om at leger må ha gjennomført LIS1 eller tilsvarende for å kunne arbeide selvstendig i helse- og omsorgstjenesten. Leger med norsk spesialistgodkjenning konvertert fra utlandet</w:t>
      </w:r>
      <w:r w:rsidR="00946ECD">
        <w:t>,</w:t>
      </w:r>
      <w:r>
        <w:t xml:space="preserve"> og leger som har gjennomført KBU eller AT-tjeneste i Danmark eller Sverige</w:t>
      </w:r>
      <w:r w:rsidR="00946ECD">
        <w:t>,</w:t>
      </w:r>
      <w:r>
        <w:t xml:space="preserve"> vil da automatisk kunne anses å oppfylle kompetansekravene for å jobbe selvstendig i helse- og omsorgstjenesten i Norge.</w:t>
      </w:r>
    </w:p>
    <w:p w14:paraId="122B9185" w14:textId="77777777" w:rsidR="00D9107F" w:rsidRDefault="00347970" w:rsidP="000623DE">
      <w:pPr>
        <w:rPr>
          <w:rFonts w:eastAsia="Calibri"/>
        </w:rPr>
      </w:pPr>
      <w:r>
        <w:rPr>
          <w:rFonts w:eastAsia="Calibri"/>
        </w:rPr>
        <w:t xml:space="preserve">Det bør vurderes å lage en veileder som avhjelper kommunenes og LIS1-veilederens vurdering av om læringsmålene for LIS1 allerede er oppfylt fra tidligere praksis, og for leger med KBU eller AT vil det være rimelig å anta at dette vil kunne gjelde de aller fleste læringsmålene. </w:t>
      </w:r>
      <w:r w:rsidR="009277AF">
        <w:rPr>
          <w:rFonts w:eastAsia="Calibri"/>
        </w:rPr>
        <w:t>En slik veileder vil også kunne bistå arbeidsgivere med å vurdere om kompetansen en lege har, tilsvarer LIS1 på en slik måte at vedkomme</w:t>
      </w:r>
      <w:r w:rsidR="00453B57">
        <w:rPr>
          <w:rFonts w:eastAsia="Calibri"/>
        </w:rPr>
        <w:t>n</w:t>
      </w:r>
      <w:r w:rsidR="003D34D8">
        <w:rPr>
          <w:rFonts w:eastAsia="Calibri"/>
        </w:rPr>
        <w:t>d</w:t>
      </w:r>
      <w:r w:rsidR="009277AF">
        <w:rPr>
          <w:rFonts w:eastAsia="Calibri"/>
        </w:rPr>
        <w:t xml:space="preserve">e kan arbeide selvstendig. </w:t>
      </w:r>
      <w:r>
        <w:rPr>
          <w:rFonts w:eastAsia="Calibri"/>
        </w:rPr>
        <w:t xml:space="preserve">Dette vil også kunne være praktisk nyttig hvis kommunen selv kan opprette LIS1-stilling for en lege med så mye tidligere veiledet praksis at legen kan antas å raskt kunne gå over i et ALIS-løp fordi alle læringsmålene for LIS1 </w:t>
      </w:r>
      <w:r w:rsidR="009338ED">
        <w:rPr>
          <w:rFonts w:eastAsia="Calibri"/>
        </w:rPr>
        <w:t xml:space="preserve">blir </w:t>
      </w:r>
      <w:r>
        <w:rPr>
          <w:rFonts w:eastAsia="Calibri"/>
        </w:rPr>
        <w:t>godkjen</w:t>
      </w:r>
      <w:r w:rsidR="009338ED">
        <w:rPr>
          <w:rFonts w:eastAsia="Calibri"/>
        </w:rPr>
        <w:t>t</w:t>
      </w:r>
      <w:r>
        <w:rPr>
          <w:rFonts w:eastAsia="Calibri"/>
        </w:rPr>
        <w:t xml:space="preserve"> i løpet av kort tid.</w:t>
      </w:r>
    </w:p>
    <w:p w14:paraId="73CEA765" w14:textId="60CC216F" w:rsidR="00F9616C" w:rsidRPr="00F12BAA" w:rsidRDefault="66D4FD59" w:rsidP="00775632">
      <w:pPr>
        <w:pStyle w:val="Overskrift4"/>
      </w:pPr>
      <w:bookmarkStart w:id="5498" w:name="_Toc130983711"/>
      <w:bookmarkStart w:id="5499" w:name="_Toc130984060"/>
      <w:bookmarkStart w:id="5500" w:name="_Toc131279655"/>
      <w:bookmarkStart w:id="5501" w:name="_Toc131287067"/>
      <w:bookmarkStart w:id="5502" w:name="_Toc131281477"/>
      <w:bookmarkStart w:id="5503" w:name="_Toc131318017"/>
      <w:r>
        <w:lastRenderedPageBreak/>
        <w:t>Knytting av LIS1 til utdanningsstillinger i allmennmedisin</w:t>
      </w:r>
      <w:bookmarkEnd w:id="5498"/>
      <w:bookmarkEnd w:id="5499"/>
      <w:bookmarkEnd w:id="5500"/>
      <w:bookmarkEnd w:id="5501"/>
      <w:bookmarkEnd w:id="5502"/>
      <w:bookmarkEnd w:id="5503"/>
    </w:p>
    <w:p w14:paraId="6D74BBB7" w14:textId="77777777" w:rsidR="00D9107F" w:rsidRDefault="002472E5" w:rsidP="00F9616C">
      <w:pPr>
        <w:jc w:val="both"/>
        <w:rPr>
          <w:rFonts w:eastAsiaTheme="minorEastAsia"/>
        </w:rPr>
      </w:pPr>
      <w:r w:rsidRPr="498DE090">
        <w:rPr>
          <w:rFonts w:eastAsiaTheme="minorEastAsia"/>
        </w:rPr>
        <w:t>LIS1</w:t>
      </w:r>
      <w:r>
        <w:rPr>
          <w:rFonts w:eastAsiaTheme="minorEastAsia"/>
        </w:rPr>
        <w:t>-</w:t>
      </w:r>
      <w:r w:rsidR="493EDC87" w:rsidRPr="498DE090">
        <w:rPr>
          <w:rFonts w:eastAsiaTheme="minorEastAsia"/>
        </w:rPr>
        <w:t>stillinger knyttet</w:t>
      </w:r>
      <w:r w:rsidR="00F9616C" w:rsidRPr="00D9107F">
        <w:rPr>
          <w:rStyle w:val="Fotnotereferanse"/>
          <w:rFonts w:eastAsiaTheme="minorEastAsia"/>
        </w:rPr>
        <w:footnoteReference w:id="66"/>
      </w:r>
      <w:r w:rsidR="493EDC87" w:rsidRPr="498DE090">
        <w:rPr>
          <w:rFonts w:eastAsiaTheme="minorEastAsia"/>
        </w:rPr>
        <w:t xml:space="preserve"> til videre spesialiseringsløp i allmennmedisin, kan være et viktig tiltak for bedre rekruttering. Helsedirektoratet har anbefalt en modell for utlysning og </w:t>
      </w:r>
      <w:r w:rsidRPr="498DE090">
        <w:rPr>
          <w:rFonts w:eastAsiaTheme="minorEastAsia"/>
        </w:rPr>
        <w:t>tilset</w:t>
      </w:r>
      <w:r>
        <w:rPr>
          <w:rFonts w:eastAsiaTheme="minorEastAsia"/>
        </w:rPr>
        <w:t>t</w:t>
      </w:r>
      <w:r w:rsidRPr="498DE090">
        <w:rPr>
          <w:rFonts w:eastAsiaTheme="minorEastAsia"/>
        </w:rPr>
        <w:t>ing i knyttede stillinger.</w:t>
      </w:r>
      <w:r w:rsidR="493EDC87" w:rsidRPr="498DE090">
        <w:rPr>
          <w:rFonts w:eastAsiaTheme="minorEastAsia"/>
        </w:rPr>
        <w:t xml:space="preserve"> Ekspertutvalget mener helseforetakene og kommunene i fellesskap bør gis ansvar for å vurdere behovet for</w:t>
      </w:r>
      <w:r w:rsidR="00946ECD">
        <w:rPr>
          <w:rFonts w:eastAsiaTheme="minorEastAsia"/>
        </w:rPr>
        <w:t>,</w:t>
      </w:r>
      <w:r w:rsidR="493EDC87" w:rsidRPr="498DE090">
        <w:rPr>
          <w:rFonts w:eastAsiaTheme="minorEastAsia"/>
        </w:rPr>
        <w:t xml:space="preserve"> og opprettelsen av</w:t>
      </w:r>
      <w:r w:rsidR="00946ECD">
        <w:rPr>
          <w:rFonts w:eastAsiaTheme="minorEastAsia"/>
        </w:rPr>
        <w:t>,</w:t>
      </w:r>
      <w:r w:rsidR="493EDC87" w:rsidRPr="498DE090">
        <w:rPr>
          <w:rFonts w:eastAsiaTheme="minorEastAsia"/>
        </w:rPr>
        <w:t xml:space="preserve"> knyttede LIS1-stillinger i sin region</w:t>
      </w:r>
      <w:r w:rsidR="00946ECD">
        <w:rPr>
          <w:rFonts w:eastAsiaTheme="minorEastAsia"/>
        </w:rPr>
        <w:t>, innenfor rammene av helsefellesskapet</w:t>
      </w:r>
      <w:r w:rsidR="493EDC87" w:rsidRPr="498DE090">
        <w:rPr>
          <w:rFonts w:eastAsiaTheme="minorEastAsia"/>
        </w:rPr>
        <w:t xml:space="preserve">. På den måten vil det ligge lokale beslutninger til grunn både for antall knyttede stillinger, og </w:t>
      </w:r>
      <w:r w:rsidR="00946ECD">
        <w:rPr>
          <w:rFonts w:eastAsiaTheme="minorEastAsia"/>
        </w:rPr>
        <w:t xml:space="preserve">for </w:t>
      </w:r>
      <w:r w:rsidR="493EDC87" w:rsidRPr="498DE090">
        <w:rPr>
          <w:rFonts w:eastAsiaTheme="minorEastAsia"/>
        </w:rPr>
        <w:t>hvilke kommuner og sykehus som skal inngå.</w:t>
      </w:r>
    </w:p>
    <w:p w14:paraId="1C3DDE34" w14:textId="77777777" w:rsidR="00D9107F" w:rsidRDefault="00F9616C" w:rsidP="00F9616C">
      <w:pPr>
        <w:jc w:val="both"/>
      </w:pPr>
      <w:r>
        <w:t>I modellen anbefalt av Helsedirektoratet for knytting til videre utdanningsløp i allmennmedisin, er det ikke anbefalt bindingstid. Det er i dag slik at leger</w:t>
      </w:r>
      <w:r w:rsidR="00946ECD">
        <w:t>,</w:t>
      </w:r>
      <w:r>
        <w:t xml:space="preserve"> i påvente av LIS1</w:t>
      </w:r>
      <w:r w:rsidR="00946ECD">
        <w:t>,</w:t>
      </w:r>
      <w:r>
        <w:t xml:space="preserve"> jobber i andre stillinger som leger på sykehus, hos private eller i kommunen. Noen av disse kan tenkes å være villige til å binde seg til videre arbeid i kommunen for å få gjennomført LIS1, i alle fall så lenge de uansett må vente </w:t>
      </w:r>
      <w:r w:rsidR="00C1283B">
        <w:t>for å få gjennomført denne delen av spesialistutdanningen</w:t>
      </w:r>
      <w:r>
        <w:t xml:space="preserve">. Ulike former for bindingstid praktiseres innenfor andre utdanningsløp, herunder for eksempel videreutdanning av spesialsykepleiere og for utdanning av personell i forsvaret. </w:t>
      </w:r>
      <w:r w:rsidR="00800350">
        <w:t xml:space="preserve">Ekspertutvalget legger til grunn at arbeidslivets regler for oppsigelse av stilling </w:t>
      </w:r>
      <w:r w:rsidR="000F19BD">
        <w:t>bør gjelde</w:t>
      </w:r>
      <w:r w:rsidR="006B0B1B">
        <w:t xml:space="preserve">, og innføring av bindingstid </w:t>
      </w:r>
      <w:r w:rsidR="008E5D51">
        <w:t>mellom LIS1 og ALIS</w:t>
      </w:r>
      <w:r w:rsidR="007A692C">
        <w:t>-</w:t>
      </w:r>
      <w:r w:rsidR="009E1514">
        <w:t xml:space="preserve">stilling </w:t>
      </w:r>
      <w:r w:rsidR="00F55821">
        <w:t>vil ikke påvirke dette.</w:t>
      </w:r>
    </w:p>
    <w:p w14:paraId="43717F09" w14:textId="32525970" w:rsidR="000E129B" w:rsidRDefault="6E2B01EB" w:rsidP="00F9616C">
      <w:pPr>
        <w:jc w:val="both"/>
      </w:pPr>
      <w:r>
        <w:t xml:space="preserve">I </w:t>
      </w:r>
      <w:r w:rsidR="04DF47A7">
        <w:t>andre land</w:t>
      </w:r>
      <w:r w:rsidR="00946ECD">
        <w:t>,</w:t>
      </w:r>
      <w:r w:rsidR="04DF47A7">
        <w:t xml:space="preserve"> som blant annet Engla</w:t>
      </w:r>
      <w:r w:rsidR="3A81DA4B">
        <w:t xml:space="preserve">nd og </w:t>
      </w:r>
      <w:r w:rsidR="04DF47A7">
        <w:t>Skottland</w:t>
      </w:r>
      <w:r w:rsidR="2EBC451E">
        <w:t xml:space="preserve">, </w:t>
      </w:r>
      <w:r w:rsidR="3A81DA4B">
        <w:t>er det stipendordninger</w:t>
      </w:r>
      <w:r w:rsidR="0C61194E">
        <w:t xml:space="preserve"> for leger som søker seg til utdanningsstillinger</w:t>
      </w:r>
      <w:r w:rsidR="67D2413C">
        <w:t xml:space="preserve"> i</w:t>
      </w:r>
      <w:r w:rsidR="07CA5B4B">
        <w:t xml:space="preserve"> rekruttering</w:t>
      </w:r>
      <w:r w:rsidR="25605715">
        <w:t>svake områder.</w:t>
      </w:r>
      <w:r w:rsidR="0691F03E">
        <w:t xml:space="preserve"> </w:t>
      </w:r>
      <w:r w:rsidR="70732558">
        <w:t xml:space="preserve">I Norge i dag benytter allerede flere kommuner </w:t>
      </w:r>
      <w:r w:rsidR="33504089">
        <w:t>høyere lønn som et økonomisk insentiv for å rekruttere leger til ALIS-stilling</w:t>
      </w:r>
      <w:r w:rsidR="3ADB2385">
        <w:t xml:space="preserve">. </w:t>
      </w:r>
      <w:r w:rsidR="002472E5">
        <w:t>Tilskuddsordningen Nasjonal ALIS og veiledning</w:t>
      </w:r>
      <w:r w:rsidR="3ADB2385">
        <w:t xml:space="preserve"> gir et høyere tilskuddsbeløp til </w:t>
      </w:r>
      <w:r w:rsidR="060E771D">
        <w:t>usentrale</w:t>
      </w:r>
      <w:r w:rsidR="3ADB2385">
        <w:t xml:space="preserve"> kommuner</w:t>
      </w:r>
      <w:r w:rsidR="521AC86C">
        <w:t xml:space="preserve">, og </w:t>
      </w:r>
      <w:r w:rsidR="2E40F92F">
        <w:t xml:space="preserve">det er eksempler på at </w:t>
      </w:r>
      <w:r w:rsidR="521AC86C">
        <w:t xml:space="preserve">kommuner tilbyr </w:t>
      </w:r>
      <w:r w:rsidR="2E40F92F">
        <w:t xml:space="preserve">etableringstilskudd ved oppstart av fastlegepraksis. </w:t>
      </w:r>
      <w:r w:rsidR="7C267EB8">
        <w:t xml:space="preserve">Det </w:t>
      </w:r>
      <w:r w:rsidR="060E771D">
        <w:t>er</w:t>
      </w:r>
      <w:r w:rsidR="5DE5FE48">
        <w:t xml:space="preserve"> </w:t>
      </w:r>
      <w:r w:rsidR="16224271">
        <w:t xml:space="preserve">egne regler for </w:t>
      </w:r>
      <w:r w:rsidR="0F0A7F33">
        <w:t xml:space="preserve">reduksjon av studielån for </w:t>
      </w:r>
      <w:r w:rsidR="4369F5CD">
        <w:t>personer som</w:t>
      </w:r>
      <w:r w:rsidR="7C267EB8" w:rsidRPr="00DB70C3">
        <w:t xml:space="preserve"> har bodd og jobbet i Finnmark</w:t>
      </w:r>
      <w:r w:rsidR="2EA26939">
        <w:t>,</w:t>
      </w:r>
      <w:r w:rsidR="7C267EB8" w:rsidRPr="00DB70C3">
        <w:t xml:space="preserve"> eller utvalgte kommuner i Troms</w:t>
      </w:r>
      <w:r w:rsidR="2EA26939">
        <w:t>,</w:t>
      </w:r>
      <w:r w:rsidR="7C267EB8" w:rsidRPr="00DB70C3">
        <w:t xml:space="preserve"> i 12 måneder sammenhengende</w:t>
      </w:r>
      <w:r w:rsidR="710648BA">
        <w:t xml:space="preserve"> </w:t>
      </w:r>
      <w:r w:rsidR="001F5F05">
        <w:fldChar w:fldCharType="begin"/>
      </w:r>
      <w:r w:rsidR="001F5F05">
        <w:instrText xml:space="preserve"> ADDIN EN.CITE &lt;EndNote&gt;&lt;Cite ExcludeYear="1"&gt;&lt;Author&gt;Lånekassen&lt;/Author&gt;&lt;RecNum&gt;1021&lt;/RecNum&gt;&lt;DisplayText&gt;(Lånekassen)&lt;/DisplayText&gt;&lt;record&gt;&lt;rec-number&gt;1021&lt;/rec-number&gt;&lt;foreign-keys&gt;&lt;key app="EN" db-id="95tpr2tp6r9xwoea9rb5wdsz5ds5xeddteew" timestamp="1681142919"&gt;1021&lt;/key&gt;&lt;/foreign-keys&gt;&lt;ref-type name="Web Page"&gt;12&lt;/ref-type&gt;&lt;contributors&gt;&lt;authors&gt;&lt;author&gt;Lånekassen&lt;/author&gt;&lt;/authors&gt;&lt;/contributors&gt;&lt;titles&gt;&lt;title&gt;Søknad om sletting av gjeld for søkere i Finnmark og Nord-Troms&lt;/title&gt;&lt;/titles&gt;&lt;volume&gt;2023&lt;/volume&gt;&lt;dates&gt;&lt;/dates&gt;&lt;urls&gt;&lt;related-urls&gt;&lt;url&gt;https://lanekassen.no/nb-NO/gjeld-og-betaling/finnmark-eller-nord-troms/soknad-om-sletting-av-gjeld-for-sokere-i-finnmark-og-nord-troms/&lt;/url&gt;&lt;/related-urls&gt;&lt;/urls&gt;&lt;/record&gt;&lt;/Cite&gt;&lt;/EndNote&gt;</w:instrText>
      </w:r>
      <w:r w:rsidR="001F5F05">
        <w:fldChar w:fldCharType="separate"/>
      </w:r>
      <w:r w:rsidR="001F5F05">
        <w:rPr>
          <w:noProof/>
        </w:rPr>
        <w:t>(Lånekassen)</w:t>
      </w:r>
      <w:r w:rsidR="001F5F05">
        <w:fldChar w:fldCharType="end"/>
      </w:r>
      <w:r w:rsidR="004A2A54">
        <w:t>.</w:t>
      </w:r>
      <w:r w:rsidR="66400710">
        <w:t xml:space="preserve"> </w:t>
      </w:r>
      <w:r w:rsidR="5C0C43FB">
        <w:t>Det er</w:t>
      </w:r>
      <w:r w:rsidR="66400710">
        <w:t xml:space="preserve"> </w:t>
      </w:r>
      <w:r w:rsidR="65F7044A">
        <w:t xml:space="preserve">i </w:t>
      </w:r>
      <w:r w:rsidR="2782C3D6">
        <w:t>tillegg</w:t>
      </w:r>
      <w:r w:rsidR="0EEA11B6" w:rsidRPr="000E129B">
        <w:t xml:space="preserve"> </w:t>
      </w:r>
      <w:r w:rsidR="6C03D78B">
        <w:t xml:space="preserve">en egen ordning for reduksjon av </w:t>
      </w:r>
      <w:r w:rsidR="7F55A233">
        <w:t>studielån for leger i andre utvalgte kommuner</w:t>
      </w:r>
      <w:r w:rsidR="00FB3BD6">
        <w:t xml:space="preserve"> </w:t>
      </w:r>
      <w:r w:rsidR="001F5F05">
        <w:fldChar w:fldCharType="begin"/>
      </w:r>
      <w:r w:rsidR="001F5F05">
        <w:instrText xml:space="preserve"> ADDIN EN.CITE &lt;EndNote&gt;&lt;Cite ExcludeYear="1"&gt;&lt;Author&gt;Lånekassen&lt;/Author&gt;&lt;RecNum&gt;1022&lt;/RecNum&gt;&lt;DisplayText&gt;(Lånekassen)&lt;/DisplayText&gt;&lt;record&gt;&lt;rec-number&gt;1022&lt;/rec-number&gt;&lt;foreign-keys&gt;&lt;key app="EN" db-id="95tpr2tp6r9xwoea9rb5wdsz5ds5xeddteew" timestamp="1681143095"&gt;1022&lt;/key&gt;&lt;/foreign-keys&gt;&lt;ref-type name="Web Page"&gt;12&lt;/ref-type&gt;&lt;contributors&gt;&lt;authors&gt;&lt;author&gt;Lånekassen&lt;/author&gt;&lt;/authors&gt;&lt;/contributors&gt;&lt;titles&gt;&lt;title&gt;Reduksjon av gjeld for leger i utvalgte kommuner&lt;/title&gt;&lt;/titles&gt;&lt;volume&gt;2023&lt;/volume&gt;&lt;dates&gt;&lt;/dates&gt;&lt;urls&gt;&lt;related-urls&gt;&lt;url&gt;https://lanekassen.no/nb-NO/gjeld-og-betaling/leger-i-utvalgte-kommuner/&lt;/url&gt;&lt;/related-urls&gt;&lt;/urls&gt;&lt;/record&gt;&lt;/Cite&gt;&lt;/EndNote&gt;</w:instrText>
      </w:r>
      <w:r w:rsidR="001F5F05">
        <w:fldChar w:fldCharType="separate"/>
      </w:r>
      <w:r w:rsidR="001F5F05">
        <w:rPr>
          <w:noProof/>
        </w:rPr>
        <w:t>(Lånekassen)</w:t>
      </w:r>
      <w:r w:rsidR="001F5F05">
        <w:fldChar w:fldCharType="end"/>
      </w:r>
      <w:r w:rsidR="004A2A54">
        <w:t>.</w:t>
      </w:r>
      <w:r w:rsidR="44304094">
        <w:t xml:space="preserve"> </w:t>
      </w:r>
      <w:r w:rsidR="65F7044A">
        <w:t>Videre</w:t>
      </w:r>
      <w:r w:rsidR="0EEA11B6" w:rsidRPr="000E129B">
        <w:t xml:space="preserve"> gjelder særskilte regler for skatt på alminnelig inntekt for skatteytere </w:t>
      </w:r>
      <w:r w:rsidR="1C2B58D6">
        <w:t>for flere</w:t>
      </w:r>
      <w:r w:rsidR="49813A36">
        <w:t xml:space="preserve"> av</w:t>
      </w:r>
      <w:r w:rsidR="2782C3D6">
        <w:t xml:space="preserve"> samme områdene</w:t>
      </w:r>
      <w:r w:rsidR="6229EAD2">
        <w:t>,</w:t>
      </w:r>
      <w:r w:rsidR="2782C3D6">
        <w:t xml:space="preserve"> som er lavere enn </w:t>
      </w:r>
      <w:r w:rsidR="0EEA11B6" w:rsidRPr="000E129B">
        <w:t>resten av landet</w:t>
      </w:r>
      <w:r w:rsidR="6229EAD2">
        <w:t xml:space="preserve"> </w:t>
      </w:r>
      <w:r w:rsidR="001F5F05">
        <w:fldChar w:fldCharType="begin"/>
      </w:r>
      <w:r w:rsidR="004654FD">
        <w:instrText xml:space="preserve"> ADDIN EN.CITE &lt;EndNote&gt;&lt;Cite ExcludeYear="1"&gt;&lt;Author&gt;Troms og Finnmark Fylkeskommune&lt;/Author&gt;&lt;Year&gt;2023&lt;/Year&gt;&lt;RecNum&gt;1023&lt;/RecNum&gt;&lt;DisplayText&gt;(Troms og Finnmark Fylkeskommune)&lt;/DisplayText&gt;&lt;record&gt;&lt;rec-number&gt;1023&lt;/rec-number&gt;&lt;foreign-keys&gt;&lt;key app="EN" db-id="95tpr2tp6r9xwoea9rb5wdsz5ds5xeddteew" timestamp="1681143235"&gt;1023&lt;/key&gt;&lt;/foreign-keys&gt;&lt;ref-type name="Web Page"&gt;12&lt;/ref-type&gt;&lt;contributors&gt;&lt;authors&gt;&lt;author&gt;Troms og Finnmark Fylkeskommune,&lt;/author&gt;&lt;/authors&gt;&lt;/contributors&gt;&lt;titles&gt;&lt;title&gt;Tiltakssonen i Finnmark og Nord-Troms&lt;/title&gt;&lt;/titles&gt;&lt;volume&gt;2023&lt;/volume&gt;&lt;dates&gt;&lt;year&gt;2023&lt;/year&gt;&lt;/dates&gt;&lt;urls&gt;&lt;related-urls&gt;&lt;url&gt;https://www.tffk.no/om-oss/tiltakssonen/&lt;/url&gt;&lt;/related-urls&gt;&lt;/urls&gt;&lt;/record&gt;&lt;/Cite&gt;&lt;/EndNote&gt;</w:instrText>
      </w:r>
      <w:r w:rsidR="001F5F05">
        <w:fldChar w:fldCharType="separate"/>
      </w:r>
      <w:r w:rsidR="004654FD">
        <w:rPr>
          <w:noProof/>
        </w:rPr>
        <w:t>(Troms og Finnmark Fylkeskommune)</w:t>
      </w:r>
      <w:r w:rsidR="001F5F05">
        <w:fldChar w:fldCharType="end"/>
      </w:r>
      <w:r w:rsidR="004A2A54">
        <w:t>.</w:t>
      </w:r>
    </w:p>
    <w:p w14:paraId="79FBC1D3" w14:textId="77777777" w:rsidR="00D9107F" w:rsidRDefault="002472E5" w:rsidP="00F9616C">
      <w:pPr>
        <w:jc w:val="both"/>
      </w:pPr>
      <w:r>
        <w:t>Kunnskap om, og erfaringer fra slike ordninger, er viktig å ta med seg i utredningen av bindingstid. Eksempelvis kan utbetaling av et statlig tilskudd</w:t>
      </w:r>
      <w:r w:rsidR="639AA5E5">
        <w:t xml:space="preserve"> </w:t>
      </w:r>
      <w:r w:rsidR="08A7AA43">
        <w:t xml:space="preserve">innrettes </w:t>
      </w:r>
      <w:r w:rsidR="3ABF7C0D">
        <w:t xml:space="preserve">med krav om tilbakebetaling </w:t>
      </w:r>
      <w:r w:rsidR="547346E9">
        <w:t xml:space="preserve">ved oppsigelse </w:t>
      </w:r>
      <w:r w:rsidR="6B873090">
        <w:t xml:space="preserve">før utløp av </w:t>
      </w:r>
      <w:r w:rsidR="147FA29D">
        <w:t>binding</w:t>
      </w:r>
      <w:r w:rsidR="48878F30">
        <w:t>tid</w:t>
      </w:r>
      <w:r w:rsidR="00A03384">
        <w:t>s</w:t>
      </w:r>
      <w:r w:rsidR="147FA29D">
        <w:t xml:space="preserve">perioden. </w:t>
      </w:r>
      <w:r w:rsidR="24A93DDB">
        <w:t xml:space="preserve">Ved at </w:t>
      </w:r>
      <w:r w:rsidR="3A345D54">
        <w:t>hele</w:t>
      </w:r>
      <w:r w:rsidR="24A93DDB">
        <w:t xml:space="preserve"> </w:t>
      </w:r>
      <w:r w:rsidR="00CD3427">
        <w:t>tilskudd</w:t>
      </w:r>
      <w:r w:rsidR="236B078C">
        <w:t xml:space="preserve"> </w:t>
      </w:r>
      <w:r w:rsidR="2AA7BD54">
        <w:t>i form av et gitt beløp</w:t>
      </w:r>
      <w:r w:rsidR="236B078C">
        <w:t xml:space="preserve"> utløses allerede ved ansettelse i LIS1-stillingen, vil det gi en sterkere binding </w:t>
      </w:r>
      <w:r w:rsidR="7D24B930">
        <w:t>ved overgang til ALIS</w:t>
      </w:r>
      <w:r w:rsidR="0A808DC8">
        <w:t>-stillingen</w:t>
      </w:r>
      <w:r w:rsidR="5441D33A">
        <w:t xml:space="preserve">. </w:t>
      </w:r>
      <w:r w:rsidR="52B00122">
        <w:t xml:space="preserve">Argumenter mot </w:t>
      </w:r>
      <w:r w:rsidR="266A1503">
        <w:t>en slik ordning</w:t>
      </w:r>
      <w:r w:rsidR="404F7D66">
        <w:t xml:space="preserve"> vil være at økonomiske in</w:t>
      </w:r>
      <w:r w:rsidR="78E04994">
        <w:t xml:space="preserve">sentiver vil være styrende for </w:t>
      </w:r>
      <w:r w:rsidR="395C7F89">
        <w:t>yrkesvalg</w:t>
      </w:r>
      <w:r w:rsidR="073C4E0A">
        <w:t>et</w:t>
      </w:r>
      <w:r w:rsidR="2C42E4C4">
        <w:t>,</w:t>
      </w:r>
      <w:r w:rsidR="395C7F89">
        <w:t xml:space="preserve"> og ikke nødvendigvis et faglig engas</w:t>
      </w:r>
      <w:r w:rsidR="29CA452B">
        <w:t xml:space="preserve">jement for </w:t>
      </w:r>
      <w:r w:rsidR="073C4E0A">
        <w:t xml:space="preserve">allmennmedisin. </w:t>
      </w:r>
      <w:r w:rsidR="1EAFCAAF">
        <w:lastRenderedPageBreak/>
        <w:t xml:space="preserve">På samme tid er det </w:t>
      </w:r>
      <w:r w:rsidR="3C8D3CE6">
        <w:t xml:space="preserve">nærliggende å tro at økonomiske </w:t>
      </w:r>
      <w:r w:rsidR="6FF0DD99">
        <w:t>motiver</w:t>
      </w:r>
      <w:r w:rsidR="45A0EB3A">
        <w:t xml:space="preserve"> </w:t>
      </w:r>
      <w:r w:rsidR="6FF0DD99">
        <w:t xml:space="preserve">tillegges </w:t>
      </w:r>
      <w:r w:rsidR="20EF0AF6">
        <w:t xml:space="preserve">noe </w:t>
      </w:r>
      <w:r w:rsidR="6FF0DD99">
        <w:t>vekt i valg av yrke</w:t>
      </w:r>
      <w:r w:rsidR="06B48E46">
        <w:t xml:space="preserve">, og at dette </w:t>
      </w:r>
      <w:r w:rsidR="1B0E1135">
        <w:t xml:space="preserve">allerede </w:t>
      </w:r>
      <w:r w:rsidR="06B48E46">
        <w:t xml:space="preserve">gjelder for mange bransjer. </w:t>
      </w:r>
      <w:r w:rsidR="53937794">
        <w:t>Fra forskningslitteraturen vet vi at</w:t>
      </w:r>
      <w:r w:rsidR="7900ADCE">
        <w:t xml:space="preserve"> gjennomføring av spesialistutdanning</w:t>
      </w:r>
      <w:r w:rsidR="00946ECD">
        <w:t>,</w:t>
      </w:r>
      <w:r w:rsidR="7900ADCE">
        <w:t xml:space="preserve"> og at den første jobben etter endt utdanning er i distrikt, er faktorer som kan rekruttere</w:t>
      </w:r>
      <w:r w:rsidR="53937794">
        <w:t xml:space="preserve"> til </w:t>
      </w:r>
      <w:r w:rsidR="08CFC23A">
        <w:t>disse områdene</w:t>
      </w:r>
      <w:r w:rsidR="6C07FB67">
        <w:t xml:space="preserve"> </w:t>
      </w:r>
      <w:r w:rsidR="00890382">
        <w:fldChar w:fldCharType="begin"/>
      </w:r>
      <w:r w:rsidR="00235862">
        <w:instrText xml:space="preserve"> ADDIN EN.CITE &lt;EndNote&gt;&lt;Cite&gt;&lt;Author&gt;Abelsen&lt;/Author&gt;&lt;Year&gt;2020&lt;/Year&gt;&lt;RecNum&gt;702&lt;/RecNum&gt;&lt;DisplayText&gt;(Abelsen et al., 2020)&lt;/DisplayText&gt;&lt;record&gt;&lt;rec-number&gt;702&lt;/rec-number&gt;&lt;foreign-keys&gt;&lt;key app="EN" db-id="95tpr2tp6r9xwoea9rb5wdsz5ds5xeddteew" timestamp="1680069511"&gt;702&lt;/key&gt;&lt;/foreign-keys&gt;&lt;ref-type name="Report"&gt;27&lt;/ref-type&gt;&lt;contributors&gt;&lt;authors&gt;&lt;author&gt;Abelsen, Birgit&lt;/author&gt;&lt;author&gt;Gaski, Margrete&lt;/author&gt;&lt;author&gt;Fosse, Anette&lt;/author&gt;&lt;/authors&gt;&lt;/contributors&gt;&lt;titles&gt;&lt;title&gt;Rekruttering og stabilisering av helsepersonell til distrikt&lt;/title&gt;&lt;secondary-title&gt;Notat til demografiutvalget&lt;/secondary-title&gt;&lt;/titles&gt;&lt;dates&gt;&lt;year&gt;2020&lt;/year&gt;&lt;/dates&gt;&lt;pub-location&gt;Tromsø&lt;/pub-location&gt;&lt;publisher&gt;Nasjonalt senter for distriktsmedisin,&lt;/publisher&gt;&lt;urls&gt;&lt;/urls&gt;&lt;/record&gt;&lt;/Cite&gt;&lt;/EndNote&gt;</w:instrText>
      </w:r>
      <w:r w:rsidR="00890382">
        <w:fldChar w:fldCharType="separate"/>
      </w:r>
      <w:r w:rsidR="00890382">
        <w:rPr>
          <w:noProof/>
        </w:rPr>
        <w:t>(Abelsen et al., 2020)</w:t>
      </w:r>
      <w:r w:rsidR="00890382">
        <w:fldChar w:fldCharType="end"/>
      </w:r>
      <w:r w:rsidR="7900ADCE">
        <w:t xml:space="preserve">. </w:t>
      </w:r>
      <w:r w:rsidR="08CFC23A">
        <w:t>Vi kan derfor ikke utelukke at et valg so</w:t>
      </w:r>
      <w:r w:rsidR="7E8CCC79">
        <w:t xml:space="preserve">m i utgangspunktet </w:t>
      </w:r>
      <w:r w:rsidR="02A5612B">
        <w:t>er</w:t>
      </w:r>
      <w:r w:rsidR="536499B8">
        <w:t xml:space="preserve"> økonomisk motivert, kan resultere i et engasjement for faget og et ønske om å bli værende</w:t>
      </w:r>
      <w:r w:rsidR="2B37883D">
        <w:t xml:space="preserve"> i kommunen. </w:t>
      </w:r>
      <w:r w:rsidR="20EF0AF6">
        <w:t>Den tidligere turnustjenesten har også blitt antatt å ha bidratt positivt til legedekningen i distriktene.</w:t>
      </w:r>
    </w:p>
    <w:p w14:paraId="39865A58" w14:textId="77777777" w:rsidR="00D9107F" w:rsidRDefault="00491837" w:rsidP="00F9616C">
      <w:pPr>
        <w:jc w:val="both"/>
      </w:pPr>
      <w:r>
        <w:t xml:space="preserve">Ekspertutvalget </w:t>
      </w:r>
      <w:r w:rsidR="00B57E9F">
        <w:t xml:space="preserve">anbefaler </w:t>
      </w:r>
      <w:r w:rsidR="00BF1D93">
        <w:t>at innretningen på</w:t>
      </w:r>
      <w:r w:rsidR="00946ECD">
        <w:t>,</w:t>
      </w:r>
      <w:r w:rsidR="00BF1D93">
        <w:t xml:space="preserve"> </w:t>
      </w:r>
      <w:r w:rsidR="00C47C89">
        <w:t>og betingelse</w:t>
      </w:r>
      <w:r w:rsidR="000F19BD">
        <w:t>ne for</w:t>
      </w:r>
      <w:r w:rsidR="00946ECD">
        <w:t>,</w:t>
      </w:r>
      <w:r w:rsidR="00C47C89">
        <w:t xml:space="preserve"> </w:t>
      </w:r>
      <w:r w:rsidR="00E14D42">
        <w:t xml:space="preserve">en form for </w:t>
      </w:r>
      <w:r w:rsidR="00F9616C">
        <w:t>bindingstid</w:t>
      </w:r>
      <w:r w:rsidR="00555DD8">
        <w:t>,</w:t>
      </w:r>
      <w:r w:rsidR="00F9616C">
        <w:t xml:space="preserve"> </w:t>
      </w:r>
      <w:r w:rsidR="009B5D9A">
        <w:t>mellom LIS1 og ALIS-stilling</w:t>
      </w:r>
      <w:r w:rsidR="00555DD8">
        <w:t>,</w:t>
      </w:r>
      <w:r w:rsidR="009B5D9A">
        <w:t xml:space="preserve"> </w:t>
      </w:r>
      <w:r w:rsidR="005F2E05">
        <w:t>utredes videre</w:t>
      </w:r>
      <w:r w:rsidR="00C47C89">
        <w:t xml:space="preserve">. </w:t>
      </w:r>
      <w:r w:rsidR="00AA7A27">
        <w:t xml:space="preserve">Økte kostnader knyttet til opprettelse av slike ordninger vil måtte ses i sammenheng med </w:t>
      </w:r>
      <w:r w:rsidR="00FE2295">
        <w:t xml:space="preserve">mulige gevinster i form av </w:t>
      </w:r>
      <w:r w:rsidR="00E832D9">
        <w:t>flere leger</w:t>
      </w:r>
      <w:r w:rsidR="00636901">
        <w:t xml:space="preserve"> til </w:t>
      </w:r>
      <w:r w:rsidR="00E832D9">
        <w:t xml:space="preserve">områder </w:t>
      </w:r>
      <w:r w:rsidR="00636901">
        <w:t>som i dag mangler dette.</w:t>
      </w:r>
    </w:p>
    <w:p w14:paraId="26A053EB" w14:textId="4A47A4B4" w:rsidR="006316CF" w:rsidRPr="00834040" w:rsidRDefault="753DFABE" w:rsidP="00775632">
      <w:pPr>
        <w:pStyle w:val="Overskrift3"/>
      </w:pPr>
      <w:bookmarkStart w:id="5504" w:name="_Toc126834469"/>
      <w:bookmarkStart w:id="5505" w:name="_Toc127633354"/>
      <w:bookmarkStart w:id="5506" w:name="_Toc127864639"/>
      <w:bookmarkStart w:id="5507" w:name="_Toc128238656"/>
      <w:bookmarkStart w:id="5508" w:name="_Toc128742104"/>
      <w:bookmarkStart w:id="5509" w:name="_Toc128744732"/>
      <w:bookmarkStart w:id="5510" w:name="_Toc128744951"/>
      <w:bookmarkStart w:id="5511" w:name="_Toc129630456"/>
      <w:bookmarkStart w:id="5512" w:name="_Toc130763963"/>
      <w:bookmarkStart w:id="5513" w:name="_Toc130766858"/>
      <w:bookmarkStart w:id="5514" w:name="_Toc130932257"/>
      <w:bookmarkStart w:id="5515" w:name="_Toc130934548"/>
      <w:bookmarkStart w:id="5516" w:name="_Toc130983712"/>
      <w:bookmarkStart w:id="5517" w:name="_Toc130984061"/>
      <w:bookmarkStart w:id="5518" w:name="_Toc131062299"/>
      <w:bookmarkStart w:id="5519" w:name="_Toc131062553"/>
      <w:bookmarkStart w:id="5520" w:name="_Toc131062814"/>
      <w:bookmarkStart w:id="5521" w:name="_Toc131063067"/>
      <w:bookmarkStart w:id="5522" w:name="_Toc131063850"/>
      <w:bookmarkStart w:id="5523" w:name="_Toc131064261"/>
      <w:bookmarkStart w:id="5524" w:name="_Toc131279656"/>
      <w:bookmarkStart w:id="5525" w:name="_Toc131287068"/>
      <w:bookmarkStart w:id="5526" w:name="_Toc131281478"/>
      <w:bookmarkStart w:id="5527" w:name="_Toc131318018"/>
      <w:bookmarkStart w:id="5528" w:name="_Toc132537094"/>
      <w:r>
        <w:t xml:space="preserve">Endring </w:t>
      </w:r>
      <w:r w:rsidR="055EB16B">
        <w:t xml:space="preserve">i </w:t>
      </w:r>
      <w:r w:rsidR="1D838EF3">
        <w:t>spesialistforskriften</w:t>
      </w:r>
      <w:r w:rsidR="055EB16B">
        <w:t>s krav</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6FC02D91" w14:textId="77777777" w:rsidR="002E7A10" w:rsidRDefault="7A855FA6" w:rsidP="00775632">
      <w:pPr>
        <w:pStyle w:val="Overskrift4"/>
      </w:pPr>
      <w:bookmarkStart w:id="5529" w:name="_Toc130983713"/>
      <w:bookmarkStart w:id="5530" w:name="_Toc130984062"/>
      <w:bookmarkStart w:id="5531" w:name="_Toc131279657"/>
      <w:bookmarkStart w:id="5532" w:name="_Toc131287069"/>
      <w:bookmarkStart w:id="5533" w:name="_Toc131281479"/>
      <w:bookmarkStart w:id="5534" w:name="_Toc131318019"/>
      <w:r>
        <w:t>Veiledning</w:t>
      </w:r>
      <w:bookmarkEnd w:id="5529"/>
      <w:bookmarkEnd w:id="5530"/>
      <w:bookmarkEnd w:id="5531"/>
      <w:bookmarkEnd w:id="5532"/>
      <w:bookmarkEnd w:id="5533"/>
      <w:bookmarkEnd w:id="5534"/>
    </w:p>
    <w:p w14:paraId="3AA113A7" w14:textId="77777777" w:rsidR="003F1491" w:rsidRDefault="003F1491" w:rsidP="003F1491">
      <w:pPr>
        <w:jc w:val="both"/>
      </w:pPr>
      <w:r>
        <w:t xml:space="preserve">Det er ulike årsaker til at gjennomføringen av spesialistutdanningen i allmennmedisin kan ta lengre tid enn forventet. Dette kan handle om gjennomføring av kurs, ventetid på plass i veiledningsgruppe, institusjonstjeneste med mer. Det er ikke nødvendigvis slik at forlenget utdanningstid medfører </w:t>
      </w:r>
      <w:r w:rsidR="007D2DF4">
        <w:t xml:space="preserve">en </w:t>
      </w:r>
      <w:r w:rsidR="000C0308">
        <w:t xml:space="preserve">tilsvarende </w:t>
      </w:r>
      <w:r>
        <w:t>forlengelse av veiledningsbehovet. Med økende kompetanse er det rimelig å forvente at behovet for veiledning kan avta. De forskriftsfestede kravene til veiledning gir ikke rom for fleksibilitet mot slutten av spesialistutdanningen, selv om erfaringen kan tilsi at behovet blir mindre.</w:t>
      </w:r>
    </w:p>
    <w:p w14:paraId="5A252B89" w14:textId="77777777" w:rsidR="00D9107F" w:rsidRDefault="000F19BD" w:rsidP="003F1491">
      <w:pPr>
        <w:jc w:val="both"/>
      </w:pPr>
      <w:r>
        <w:t>I dag påvirkes ikke k</w:t>
      </w:r>
      <w:r w:rsidR="003F1491">
        <w:t xml:space="preserve">ravet til omfanget av individuell veiledning av at gruppeveiledning gjennomføres parallelt. Arbeidet i veiledningsgruppene er i hovedsak rettet mot problemstillinger legene står overfor i sitt daglige </w:t>
      </w:r>
      <w:r>
        <w:t>virke</w:t>
      </w:r>
      <w:r w:rsidR="003F1491">
        <w:t>. Det kan være grunn til å tro at tilgangen til veiledning og råd i gruppen samtidig vil kunne redusere behovet for individuell veiledning i perioden.</w:t>
      </w:r>
    </w:p>
    <w:p w14:paraId="390607DD" w14:textId="153CD788" w:rsidR="002E7A10" w:rsidRDefault="006F79DB" w:rsidP="00473CC6">
      <w:pPr>
        <w:jc w:val="both"/>
      </w:pPr>
      <w:r>
        <w:t>Veiledning av ALIS er en viktig og sentral del av spesialistutdanningen</w:t>
      </w:r>
      <w:r w:rsidR="006D658B">
        <w:t xml:space="preserve"> i allmennmedisin</w:t>
      </w:r>
      <w:r w:rsidR="000F19BD">
        <w:t xml:space="preserve">. Men </w:t>
      </w:r>
      <w:r w:rsidR="00CD6B99">
        <w:t>k</w:t>
      </w:r>
      <w:r w:rsidR="00057E8A">
        <w:t xml:space="preserve">ravet </w:t>
      </w:r>
      <w:r w:rsidR="00C93F4E">
        <w:t>til antall veiledningstimer</w:t>
      </w:r>
      <w:r w:rsidR="000E4E90">
        <w:t xml:space="preserve"> er </w:t>
      </w:r>
      <w:r w:rsidR="000F19BD">
        <w:t>uendret</w:t>
      </w:r>
      <w:r w:rsidR="00C034D1">
        <w:t xml:space="preserve"> gjennom hele </w:t>
      </w:r>
      <w:r w:rsidR="00057E8A">
        <w:t>utdanningsløpet</w:t>
      </w:r>
      <w:r w:rsidR="000F19BD">
        <w:t>, og det er ikke mulig å ta hensyn til at veiledningsbehovet kan variere over tid og mellom ALIS</w:t>
      </w:r>
      <w:r w:rsidR="00C034D1">
        <w:t>.</w:t>
      </w:r>
      <w:r w:rsidR="006E318E">
        <w:t xml:space="preserve"> </w:t>
      </w:r>
      <w:r w:rsidR="00440DE5">
        <w:t>Gitt kapasitetsutfordringene i allmennlegetjenesten</w:t>
      </w:r>
      <w:r w:rsidR="001440B8">
        <w:t xml:space="preserve">, </w:t>
      </w:r>
      <w:r w:rsidR="00B33475">
        <w:t xml:space="preserve">mener </w:t>
      </w:r>
      <w:r w:rsidR="00940AB3">
        <w:t>ekspert</w:t>
      </w:r>
      <w:r w:rsidR="00B33475">
        <w:t xml:space="preserve">utvalget det er grunn til å stille spørsmål </w:t>
      </w:r>
      <w:r w:rsidR="00A95DAA">
        <w:t xml:space="preserve">ved om antall </w:t>
      </w:r>
      <w:r w:rsidR="006F05BA">
        <w:t xml:space="preserve">veiledningstimer bør </w:t>
      </w:r>
      <w:r w:rsidR="000F19BD">
        <w:t>kunne tilpasses mer til individuelle forhold.</w:t>
      </w:r>
      <w:r w:rsidR="009851A3">
        <w:t xml:space="preserve"> </w:t>
      </w:r>
      <w:r w:rsidR="00850163">
        <w:t xml:space="preserve">Herunder om det er behov for </w:t>
      </w:r>
      <w:r w:rsidR="000F19BD">
        <w:t xml:space="preserve">like mye </w:t>
      </w:r>
      <w:r w:rsidR="00850163">
        <w:t xml:space="preserve">individuell veiledning </w:t>
      </w:r>
      <w:r w:rsidR="0057057A">
        <w:t xml:space="preserve">i </w:t>
      </w:r>
      <w:r w:rsidR="000F19BD">
        <w:t>perioder med</w:t>
      </w:r>
      <w:r w:rsidR="00850163">
        <w:t xml:space="preserve"> gruppeveiledning</w:t>
      </w:r>
      <w:r w:rsidR="00075475">
        <w:t xml:space="preserve">, og om antall veiledningstimer kan reduseres mot slutten av spesialistutdannelsen. </w:t>
      </w:r>
      <w:r w:rsidR="0038480C">
        <w:t>I vurderingen bør nytten a</w:t>
      </w:r>
      <w:r w:rsidR="00D646A1">
        <w:t xml:space="preserve">v den individuelle </w:t>
      </w:r>
      <w:r w:rsidR="0038480C">
        <w:t>veiledning</w:t>
      </w:r>
      <w:r w:rsidR="00D646A1">
        <w:t>stiden</w:t>
      </w:r>
      <w:r w:rsidR="000F19BD">
        <w:t xml:space="preserve"> for den aktuelle ALIS ses opp</w:t>
      </w:r>
      <w:r w:rsidR="0038480C">
        <w:t xml:space="preserve"> mot ressursbruk</w:t>
      </w:r>
      <w:r w:rsidR="00D646A1">
        <w:t xml:space="preserve">en. </w:t>
      </w:r>
      <w:r w:rsidR="00CF2209">
        <w:t xml:space="preserve">Utvalget legger til grunn at </w:t>
      </w:r>
      <w:r w:rsidR="008D0772">
        <w:t xml:space="preserve">ALIS alltid </w:t>
      </w:r>
      <w:r w:rsidR="000F19BD">
        <w:t>skal</w:t>
      </w:r>
      <w:r w:rsidR="008D0772">
        <w:t xml:space="preserve"> ha t</w:t>
      </w:r>
      <w:r w:rsidR="00975E5A">
        <w:t>ilgang til supervisjon.</w:t>
      </w:r>
    </w:p>
    <w:p w14:paraId="390B01A9" w14:textId="77777777" w:rsidR="00D9107F" w:rsidRDefault="1D838EF3" w:rsidP="00775632">
      <w:pPr>
        <w:pStyle w:val="Overskrift4"/>
      </w:pPr>
      <w:bookmarkStart w:id="5535" w:name="_Toc130983714"/>
      <w:bookmarkStart w:id="5536" w:name="_Toc130984063"/>
      <w:bookmarkStart w:id="5537" w:name="_Toc131279658"/>
      <w:bookmarkStart w:id="5538" w:name="_Toc131287070"/>
      <w:bookmarkStart w:id="5539" w:name="_Toc131281480"/>
      <w:bookmarkStart w:id="5540" w:name="_Toc131318020"/>
      <w:r>
        <w:lastRenderedPageBreak/>
        <w:t>To års uselektert allmennpraksis</w:t>
      </w:r>
      <w:bookmarkEnd w:id="5535"/>
      <w:bookmarkEnd w:id="5536"/>
      <w:bookmarkEnd w:id="5537"/>
      <w:bookmarkEnd w:id="5538"/>
      <w:bookmarkEnd w:id="5539"/>
      <w:bookmarkEnd w:id="5540"/>
    </w:p>
    <w:p w14:paraId="4BC388CE" w14:textId="77777777" w:rsidR="00D9107F" w:rsidRDefault="530F7CEC" w:rsidP="00104CD3">
      <w:pPr>
        <w:jc w:val="both"/>
      </w:pPr>
      <w:r w:rsidRPr="002E67BA">
        <w:t>Ny spesialistutdanning er kompetansebasert</w:t>
      </w:r>
      <w:r>
        <w:t xml:space="preserve">, </w:t>
      </w:r>
      <w:r w:rsidRPr="002E67BA">
        <w:t xml:space="preserve">og </w:t>
      </w:r>
      <w:r w:rsidR="2362E125">
        <w:t xml:space="preserve">det er kommunens </w:t>
      </w:r>
      <w:r w:rsidRPr="002E67BA">
        <w:t>ansva</w:t>
      </w:r>
      <w:r w:rsidR="2362E125">
        <w:t>r</w:t>
      </w:r>
      <w:r w:rsidRPr="002E67BA">
        <w:t xml:space="preserve"> </w:t>
      </w:r>
      <w:r>
        <w:t xml:space="preserve">å legge til rette for </w:t>
      </w:r>
      <w:r w:rsidRPr="002E67BA">
        <w:t>gjennomføringen av utdanningen</w:t>
      </w:r>
      <w:r>
        <w:t xml:space="preserve">. </w:t>
      </w:r>
      <w:r w:rsidR="578434EE">
        <w:t>Det sentrale i den nye utdanning</w:t>
      </w:r>
      <w:r w:rsidR="36CE1303">
        <w:t>en</w:t>
      </w:r>
      <w:r w:rsidR="578434EE">
        <w:t xml:space="preserve"> er den langsgående vurderingen av hva legen har lært. </w:t>
      </w:r>
      <w:r w:rsidR="1F8702B9">
        <w:t xml:space="preserve">Spesialistutdanningen i allmennmedisin </w:t>
      </w:r>
      <w:r w:rsidR="4F519E09">
        <w:t xml:space="preserve">skal dekke </w:t>
      </w:r>
      <w:r w:rsidR="78C05149">
        <w:t xml:space="preserve">alle </w:t>
      </w:r>
      <w:r w:rsidR="1ED97CE2">
        <w:t>de allmennmedisinske områdene</w:t>
      </w:r>
      <w:r w:rsidR="650531A1">
        <w:t xml:space="preserve">, </w:t>
      </w:r>
      <w:r w:rsidR="5E1F802C">
        <w:t xml:space="preserve">og </w:t>
      </w:r>
      <w:r w:rsidR="06F5A088">
        <w:t xml:space="preserve">er felles </w:t>
      </w:r>
      <w:r w:rsidR="04816EE0">
        <w:t xml:space="preserve">for både </w:t>
      </w:r>
      <w:r w:rsidR="54AA1C38">
        <w:t xml:space="preserve">allmennleger i fastlegepraksis, sykehjem og legevakt. </w:t>
      </w:r>
      <w:r w:rsidR="7B278A37">
        <w:t>R</w:t>
      </w:r>
      <w:r w:rsidR="5188FE69" w:rsidRPr="6732455D">
        <w:t>egelverket</w:t>
      </w:r>
      <w:r w:rsidR="6C762775" w:rsidRPr="6732455D">
        <w:t xml:space="preserve"> </w:t>
      </w:r>
      <w:r w:rsidR="663E3F9D" w:rsidRPr="6732455D">
        <w:t>i stor grad</w:t>
      </w:r>
      <w:r w:rsidR="6C762775" w:rsidRPr="6732455D">
        <w:t xml:space="preserve"> rettet inn mot fastleger</w:t>
      </w:r>
      <w:r w:rsidR="4F8F08A0" w:rsidRPr="6732455D">
        <w:t>s spesialistutdanning</w:t>
      </w:r>
      <w:r w:rsidR="6C762775" w:rsidRPr="6732455D">
        <w:t>, og ikke mot leger i andre allmennmedisinske stillinger.</w:t>
      </w:r>
      <w:r w:rsidR="663E3F9D" w:rsidRPr="6732455D">
        <w:t xml:space="preserve"> </w:t>
      </w:r>
      <w:r w:rsidR="39D060BA" w:rsidRPr="6732455D">
        <w:t xml:space="preserve">Dette gjenspeiles i </w:t>
      </w:r>
      <w:r w:rsidR="69F7DF93" w:rsidRPr="6732455D">
        <w:t xml:space="preserve">at </w:t>
      </w:r>
      <w:r w:rsidR="39D060BA" w:rsidRPr="6732455D">
        <w:t xml:space="preserve">kravet til </w:t>
      </w:r>
      <w:r w:rsidR="7E323F26" w:rsidRPr="6732455D">
        <w:t xml:space="preserve">åpen </w:t>
      </w:r>
      <w:r w:rsidR="6482694F" w:rsidRPr="6732455D">
        <w:t xml:space="preserve">uselektert </w:t>
      </w:r>
      <w:r w:rsidR="25E64556">
        <w:t>allmenn</w:t>
      </w:r>
      <w:r w:rsidR="6482694F" w:rsidRPr="6732455D">
        <w:t>praksis</w:t>
      </w:r>
      <w:r w:rsidR="739097A6" w:rsidRPr="6732455D">
        <w:t xml:space="preserve"> er utformet og forstått som fastlegepraksis</w:t>
      </w:r>
      <w:r w:rsidR="39D060BA" w:rsidRPr="6732455D">
        <w:t xml:space="preserve">, og at omtrent halvparten av de </w:t>
      </w:r>
      <w:r w:rsidR="41D300EA" w:rsidRPr="6732455D">
        <w:t xml:space="preserve">88 </w:t>
      </w:r>
      <w:r w:rsidR="39D060BA" w:rsidRPr="6732455D">
        <w:t xml:space="preserve">kliniske læringsmålene </w:t>
      </w:r>
      <w:r w:rsidR="099B2CA6" w:rsidRPr="6732455D">
        <w:t>kun kan oppnås ved arbeid som fastlege.</w:t>
      </w:r>
    </w:p>
    <w:p w14:paraId="4615AC3A" w14:textId="7C6D0C39" w:rsidR="00D9107F" w:rsidRDefault="002472E5" w:rsidP="00104CD3">
      <w:pPr>
        <w:jc w:val="both"/>
      </w:pPr>
      <w:r>
        <w:t>I løpet av tjenestetiden på fem</w:t>
      </w:r>
      <w:r w:rsidR="66A0E5BF">
        <w:t xml:space="preserve"> år, må m</w:t>
      </w:r>
      <w:r w:rsidR="66A0E5BF" w:rsidRPr="00A565CA">
        <w:t xml:space="preserve">inst to år av spesialistutdanningen i allmennmedisin </w:t>
      </w:r>
      <w:r w:rsidR="66A0E5BF">
        <w:t>gjennomføres</w:t>
      </w:r>
      <w:r w:rsidR="66A0E5BF" w:rsidRPr="00A565CA">
        <w:t xml:space="preserve"> i </w:t>
      </w:r>
      <w:r w:rsidR="2A6A59BD" w:rsidRPr="00A565CA">
        <w:t>fastlege</w:t>
      </w:r>
      <w:r w:rsidR="66A0E5BF" w:rsidRPr="00A565CA">
        <w:t xml:space="preserve">praksis, </w:t>
      </w:r>
      <w:r w:rsidR="66A0E5BF">
        <w:t xml:space="preserve">og dette </w:t>
      </w:r>
      <w:r w:rsidR="66A0E5BF" w:rsidRPr="00A565CA">
        <w:t xml:space="preserve">må </w:t>
      </w:r>
      <w:r w:rsidR="66A0E5BF">
        <w:t xml:space="preserve">etter dagens krav </w:t>
      </w:r>
      <w:r w:rsidR="66A0E5BF" w:rsidRPr="00A565CA">
        <w:t>gjennomføres innenfor en arbeidstid tilsvarende minst 50 prosent av heltid</w:t>
      </w:r>
      <w:r w:rsidR="21D7FB1A">
        <w:t xml:space="preserve">. </w:t>
      </w:r>
      <w:r w:rsidR="21D7FB1A" w:rsidRPr="00BD5F25">
        <w:t>Dersom særlige hensyn tilsier</w:t>
      </w:r>
      <w:r w:rsidR="21D7FB1A">
        <w:t xml:space="preserve"> det</w:t>
      </w:r>
      <w:r w:rsidR="7998FE1D">
        <w:t>,</w:t>
      </w:r>
      <w:r w:rsidR="21D7FB1A" w:rsidRPr="00BD5F25">
        <w:t xml:space="preserve"> kan Helsedirektoratet</w:t>
      </w:r>
      <w:r w:rsidR="00EF39AC">
        <w:t xml:space="preserve"> i tråd med </w:t>
      </w:r>
      <w:r>
        <w:t>spesialistforskriftens</w:t>
      </w:r>
      <w:r w:rsidR="003953DD">
        <w:t xml:space="preserve"> </w:t>
      </w:r>
      <w:r w:rsidR="00D9107F">
        <w:t>§ 8</w:t>
      </w:r>
      <w:r w:rsidR="00FC5C9B">
        <w:t xml:space="preserve"> </w:t>
      </w:r>
      <w:r w:rsidR="006964F7">
        <w:t>tredje</w:t>
      </w:r>
      <w:r w:rsidR="00FC5C9B">
        <w:t xml:space="preserve"> </w:t>
      </w:r>
      <w:r w:rsidR="00D24B23">
        <w:t>ledd</w:t>
      </w:r>
      <w:r w:rsidR="000C5761">
        <w:t>,</w:t>
      </w:r>
      <w:r w:rsidR="00D24B23">
        <w:t xml:space="preserve"> </w:t>
      </w:r>
      <w:r w:rsidR="21D7FB1A" w:rsidRPr="00BD5F25">
        <w:t>etter søknad gi fritak fra kravet om en arbeidstid tilsvarende minst 50 prosent av heltid</w:t>
      </w:r>
      <w:r w:rsidR="0F7E7CCD">
        <w:t xml:space="preserve"> </w:t>
      </w:r>
      <w:r w:rsidR="00890382">
        <w:fldChar w:fldCharType="begin"/>
      </w:r>
      <w:r w:rsidR="00D078E3">
        <w:instrText xml:space="preserve"> ADDIN EN.CITE &lt;EndNote&gt;&lt;Cite ExcludeAuth="1"&gt;&lt;Year&gt;2019&lt;/Year&gt;&lt;RecNum&gt;267&lt;/RecNum&gt;&lt;DisplayText&gt;(&lt;style face="italic"&gt;Forskrift om spesialistutdanning og spesialistgodkjenning for leger og tannleger (spesialistforskriften)&lt;/style&gt;, 2019)&lt;/DisplayText&gt;&lt;record&gt;&lt;rec-number&gt;267&lt;/rec-number&gt;&lt;foreign-keys&gt;&lt;key app="EN" db-id="95tpr2tp6r9xwoea9rb5wdsz5ds5xeddteew" timestamp="1680069511"&gt;267&lt;/key&gt;&lt;/foreign-keys&gt;&lt;ref-type name="Legal Rule or Regulation"&gt;50&lt;/ref-type&gt;&lt;contributors&gt;&lt;/contributors&gt;&lt;titles&gt;&lt;title&gt;Forskrift om spesialistutdanning og spesialistgodkjenning for leger og tannleger (spesialistforskriften)&lt;/title&gt;&lt;secondary-title&gt;FOR-2016-12-08-1482&lt;/secondary-title&gt;&lt;/titles&gt;&lt;dates&gt;&lt;year&gt;2019&lt;/year&gt;&lt;/dates&gt;&lt;urls&gt;&lt;related-urls&gt;&lt;url&gt;https://lovdata.no/dokument/SF/forskrift/2016-12-08-1482&lt;/url&gt;&lt;/related-urls&gt;&lt;/urls&gt;&lt;/record&gt;&lt;/Cite&gt;&lt;/EndNote&gt;</w:instrText>
      </w:r>
      <w:r w:rsidR="00890382">
        <w:fldChar w:fldCharType="separate"/>
      </w:r>
      <w:r w:rsidR="00890382">
        <w:rPr>
          <w:noProof/>
        </w:rPr>
        <w:t>(</w:t>
      </w:r>
      <w:r w:rsidR="00890382" w:rsidRPr="00D9107F">
        <w:rPr>
          <w:rStyle w:val="kursiv"/>
        </w:rPr>
        <w:t>Forskrift om spesialistutdanning og spesialistgodkjenning for leger og tannleger (spesialistforskriften)</w:t>
      </w:r>
      <w:r w:rsidR="00890382">
        <w:rPr>
          <w:noProof/>
        </w:rPr>
        <w:t>, 2019)</w:t>
      </w:r>
      <w:r w:rsidR="00890382">
        <w:fldChar w:fldCharType="end"/>
      </w:r>
      <w:r w:rsidR="66A0E5BF">
        <w:t>.</w:t>
      </w:r>
    </w:p>
    <w:p w14:paraId="01A6D17D" w14:textId="77777777" w:rsidR="00D9107F" w:rsidRDefault="0088465E" w:rsidP="000623DE">
      <w:pPr>
        <w:rPr>
          <w:rFonts w:eastAsia="Calibri"/>
        </w:rPr>
      </w:pPr>
      <w:r>
        <w:rPr>
          <w:rFonts w:eastAsia="Calibri"/>
        </w:rPr>
        <w:t xml:space="preserve">Innenfor andre fagfelt </w:t>
      </w:r>
      <w:r w:rsidR="00E7525D">
        <w:rPr>
          <w:rFonts w:eastAsia="Calibri"/>
        </w:rPr>
        <w:t xml:space="preserve">kan det også være anbefalinger </w:t>
      </w:r>
      <w:r w:rsidR="00FB16DB">
        <w:rPr>
          <w:rFonts w:eastAsia="Calibri"/>
        </w:rPr>
        <w:t>knyttet til tjenestetid på ulike avdelinger, og i ulike deler av tjenesten</w:t>
      </w:r>
      <w:r w:rsidR="000B0EB4">
        <w:rPr>
          <w:rFonts w:eastAsia="Calibri"/>
        </w:rPr>
        <w:t xml:space="preserve">, for </w:t>
      </w:r>
      <w:r w:rsidR="00340AA0">
        <w:rPr>
          <w:rFonts w:eastAsia="Calibri"/>
        </w:rPr>
        <w:t xml:space="preserve">å få fullført spesialistutdanningen. </w:t>
      </w:r>
      <w:r w:rsidR="002472E5">
        <w:rPr>
          <w:rFonts w:eastAsia="Calibri"/>
        </w:rPr>
        <w:t>De normerende kravene til tjenestetid i andre spesialistutdanninger er beskrevet i veiledere, og følger av læringsmål. Heltid er hovedregelen, men det er mulig å gjennomføre spesialistutdanningen i deltidsstillinger, med tilsvarende forlengelse av utdanningstiden. Det rigide kravet til stillingsprosent for gjennomføring av to års åpen uselektert allmennpraksis ekskluderer leger som av ulike årsaker jobber i mindre stillingsprosenter fra å kunne bli spesialist i allmennmedisin. Dette er særlig problematisk for leger som har redusert funksjonsevne, og ikke mestrer en klinisk stilling i 50 prosent eller mer. I tillegg rammes leger i ulike turnuser eller kombinerte stillinger som ikke oppfyller kravet til stillingsprosent.</w:t>
      </w:r>
    </w:p>
    <w:p w14:paraId="769A3717" w14:textId="487D154C" w:rsidR="006A43F4" w:rsidRDefault="002472E5" w:rsidP="000623DE">
      <w:pPr>
        <w:rPr>
          <w:rFonts w:eastAsia="Calibri"/>
        </w:rPr>
      </w:pPr>
      <w:r>
        <w:rPr>
          <w:rFonts w:eastAsia="Calibri"/>
        </w:rPr>
        <w:t>En nedre grense for stillingsprosent</w:t>
      </w:r>
      <w:r w:rsidR="00180F15">
        <w:rPr>
          <w:rFonts w:eastAsia="Calibri"/>
        </w:rPr>
        <w:t xml:space="preserve"> er begrunnet i at </w:t>
      </w:r>
      <w:r w:rsidR="00FE6138">
        <w:rPr>
          <w:rFonts w:eastAsia="Calibri"/>
        </w:rPr>
        <w:t xml:space="preserve">kontinuitet </w:t>
      </w:r>
      <w:r w:rsidR="004F101D">
        <w:rPr>
          <w:rFonts w:eastAsia="Calibri"/>
        </w:rPr>
        <w:t xml:space="preserve">i oppfølgingen av pasienter over tid er </w:t>
      </w:r>
      <w:r w:rsidR="003B17A2">
        <w:rPr>
          <w:rFonts w:eastAsia="Calibri"/>
        </w:rPr>
        <w:t>kjernen i det allmennmedisinske faget som skal læres</w:t>
      </w:r>
      <w:r w:rsidR="004F101D">
        <w:rPr>
          <w:rFonts w:eastAsia="Calibri"/>
        </w:rPr>
        <w:t xml:space="preserve"> </w:t>
      </w:r>
      <w:r w:rsidR="007C2827">
        <w:rPr>
          <w:rFonts w:eastAsia="Calibri"/>
        </w:rPr>
        <w:t xml:space="preserve">under spesialistutdanningen. </w:t>
      </w:r>
      <w:r w:rsidR="00687988">
        <w:rPr>
          <w:rFonts w:eastAsia="Calibri"/>
        </w:rPr>
        <w:t xml:space="preserve">I praksis handler dette </w:t>
      </w:r>
      <w:r w:rsidR="00E12103">
        <w:rPr>
          <w:rFonts w:eastAsia="Calibri"/>
        </w:rPr>
        <w:t xml:space="preserve">blant annet </w:t>
      </w:r>
      <w:r w:rsidR="00687988">
        <w:rPr>
          <w:rFonts w:eastAsia="Calibri"/>
        </w:rPr>
        <w:t xml:space="preserve">om å </w:t>
      </w:r>
      <w:r w:rsidR="00E12103">
        <w:rPr>
          <w:rFonts w:eastAsia="Calibri"/>
        </w:rPr>
        <w:t xml:space="preserve">ha </w:t>
      </w:r>
      <w:r w:rsidR="003F3F5B">
        <w:rPr>
          <w:rFonts w:eastAsia="Calibri"/>
        </w:rPr>
        <w:t xml:space="preserve">ansvar for </w:t>
      </w:r>
      <w:r w:rsidR="00B2494C">
        <w:rPr>
          <w:rFonts w:eastAsia="Calibri"/>
        </w:rPr>
        <w:t xml:space="preserve">lengre </w:t>
      </w:r>
      <w:r w:rsidR="00E12103">
        <w:rPr>
          <w:rFonts w:eastAsia="Calibri"/>
        </w:rPr>
        <w:t>pasient</w:t>
      </w:r>
      <w:r w:rsidR="003F3F5B">
        <w:rPr>
          <w:rFonts w:eastAsia="Calibri"/>
        </w:rPr>
        <w:t>forløp</w:t>
      </w:r>
      <w:r w:rsidR="00B2494C">
        <w:rPr>
          <w:rFonts w:eastAsia="Calibri"/>
        </w:rPr>
        <w:t>, ved oppfølgende kontroller</w:t>
      </w:r>
      <w:r w:rsidR="00E12103">
        <w:rPr>
          <w:rFonts w:eastAsia="Calibri"/>
        </w:rPr>
        <w:t xml:space="preserve">, </w:t>
      </w:r>
      <w:r w:rsidR="00F2395F">
        <w:rPr>
          <w:rFonts w:eastAsia="Calibri"/>
        </w:rPr>
        <w:t xml:space="preserve">håndtering av </w:t>
      </w:r>
      <w:r w:rsidR="00E12103">
        <w:rPr>
          <w:rFonts w:eastAsia="Calibri"/>
        </w:rPr>
        <w:t>prøvesvar</w:t>
      </w:r>
      <w:r w:rsidR="00073817">
        <w:rPr>
          <w:rFonts w:eastAsia="Calibri"/>
        </w:rPr>
        <w:t xml:space="preserve"> og koordinering</w:t>
      </w:r>
      <w:r w:rsidR="00B31BD4">
        <w:rPr>
          <w:rFonts w:eastAsia="Calibri"/>
        </w:rPr>
        <w:t xml:space="preserve">. Ekspertutvalget er enig </w:t>
      </w:r>
      <w:r w:rsidR="006B7BBB">
        <w:rPr>
          <w:rFonts w:eastAsia="Calibri"/>
        </w:rPr>
        <w:t>i</w:t>
      </w:r>
      <w:r w:rsidR="00B31BD4">
        <w:rPr>
          <w:rFonts w:eastAsia="Calibri"/>
        </w:rPr>
        <w:t xml:space="preserve"> at kontinuitet i pasient</w:t>
      </w:r>
      <w:r>
        <w:rPr>
          <w:rFonts w:eastAsia="Calibri"/>
        </w:rPr>
        <w:t>–</w:t>
      </w:r>
      <w:r w:rsidR="00B31BD4">
        <w:rPr>
          <w:rFonts w:eastAsia="Calibri"/>
        </w:rPr>
        <w:t xml:space="preserve">lege relasjonen er en viktig del av spesialistutdanningen, men mener det er grunn til </w:t>
      </w:r>
      <w:r w:rsidR="000317D0">
        <w:rPr>
          <w:rFonts w:eastAsia="Calibri"/>
        </w:rPr>
        <w:t xml:space="preserve">å stille spørsmål ved om ikke dette </w:t>
      </w:r>
      <w:r w:rsidR="009D13C9">
        <w:rPr>
          <w:rFonts w:eastAsia="Calibri"/>
        </w:rPr>
        <w:t xml:space="preserve">i tilstrekkelig grad </w:t>
      </w:r>
      <w:r w:rsidR="000317D0">
        <w:rPr>
          <w:rFonts w:eastAsia="Calibri"/>
        </w:rPr>
        <w:t>også kan oppnås i mindre stillingsprosenter</w:t>
      </w:r>
      <w:r w:rsidR="00946ECD">
        <w:rPr>
          <w:rFonts w:eastAsia="Calibri"/>
        </w:rPr>
        <w:t>,</w:t>
      </w:r>
      <w:r w:rsidR="000317D0">
        <w:rPr>
          <w:rFonts w:eastAsia="Calibri"/>
        </w:rPr>
        <w:t xml:space="preserve"> når </w:t>
      </w:r>
      <w:r w:rsidR="009D13C9">
        <w:rPr>
          <w:rFonts w:eastAsia="Calibri"/>
        </w:rPr>
        <w:t xml:space="preserve">utdanningstiden forlenges tilsvarende. </w:t>
      </w:r>
      <w:r w:rsidR="005B277B">
        <w:rPr>
          <w:rFonts w:eastAsia="Calibri"/>
        </w:rPr>
        <w:t>Kravet om stillingsprosent synes i dag å ramme leger i mindre enn 50</w:t>
      </w:r>
      <w:r w:rsidR="00DE1631">
        <w:rPr>
          <w:rFonts w:eastAsia="Calibri"/>
        </w:rPr>
        <w:t xml:space="preserve"> prosent</w:t>
      </w:r>
      <w:r w:rsidR="005B277B">
        <w:rPr>
          <w:rFonts w:eastAsia="Calibri"/>
        </w:rPr>
        <w:t xml:space="preserve"> stilling unødvendig hardt.</w:t>
      </w:r>
    </w:p>
    <w:p w14:paraId="054B8D16" w14:textId="77777777" w:rsidR="00D9107F" w:rsidRDefault="0015423F" w:rsidP="000623DE">
      <w:pPr>
        <w:rPr>
          <w:rFonts w:eastAsia="Calibri"/>
        </w:rPr>
      </w:pPr>
      <w:r>
        <w:rPr>
          <w:rFonts w:eastAsia="Calibri"/>
        </w:rPr>
        <w:t xml:space="preserve">For å oppnå mer fleksibilitet </w:t>
      </w:r>
      <w:r w:rsidR="008161F7">
        <w:rPr>
          <w:rFonts w:eastAsia="Calibri"/>
        </w:rPr>
        <w:t xml:space="preserve">knyttet til </w:t>
      </w:r>
      <w:r>
        <w:rPr>
          <w:rFonts w:eastAsia="Calibri"/>
        </w:rPr>
        <w:t xml:space="preserve">gjennomføring av </w:t>
      </w:r>
      <w:r w:rsidR="00D13020">
        <w:rPr>
          <w:rFonts w:eastAsia="Calibri"/>
        </w:rPr>
        <w:t xml:space="preserve">to </w:t>
      </w:r>
      <w:r>
        <w:rPr>
          <w:rFonts w:eastAsia="Calibri"/>
        </w:rPr>
        <w:t xml:space="preserve">års </w:t>
      </w:r>
      <w:r w:rsidR="00D13020">
        <w:rPr>
          <w:rFonts w:eastAsia="Calibri"/>
        </w:rPr>
        <w:t xml:space="preserve">åpen </w:t>
      </w:r>
      <w:r>
        <w:rPr>
          <w:rFonts w:eastAsia="Calibri"/>
        </w:rPr>
        <w:t xml:space="preserve">uselektert allmennpraksis, </w:t>
      </w:r>
      <w:r w:rsidR="001B1095">
        <w:rPr>
          <w:rFonts w:eastAsia="Calibri"/>
        </w:rPr>
        <w:t>er ekspertutvalgets vurdering at</w:t>
      </w:r>
      <w:r>
        <w:rPr>
          <w:rFonts w:eastAsia="Calibri"/>
        </w:rPr>
        <w:t xml:space="preserve"> kravet om stillingsprosent fjernes. </w:t>
      </w:r>
      <w:r w:rsidR="00D7148A">
        <w:rPr>
          <w:rFonts w:eastAsia="Calibri"/>
        </w:rPr>
        <w:t xml:space="preserve">Dette innebærer at legen kan jobbe </w:t>
      </w:r>
      <w:r w:rsidR="00E11B27">
        <w:rPr>
          <w:rFonts w:eastAsia="Calibri"/>
        </w:rPr>
        <w:t>i mindre stillingsprosent,</w:t>
      </w:r>
      <w:r w:rsidR="00C80A01" w:rsidRPr="00D7148A">
        <w:rPr>
          <w:rFonts w:eastAsia="Calibri"/>
        </w:rPr>
        <w:t xml:space="preserve"> dersom dette ikke er i veien for </w:t>
      </w:r>
      <w:r w:rsidR="00023739">
        <w:rPr>
          <w:rFonts w:eastAsia="Calibri"/>
        </w:rPr>
        <w:t>å</w:t>
      </w:r>
      <w:r w:rsidR="00C80A01" w:rsidRPr="00D7148A">
        <w:rPr>
          <w:rFonts w:eastAsia="Calibri"/>
        </w:rPr>
        <w:t xml:space="preserve"> gjennomføre de læringsaktivitetene som er nødvendige for å oppnå læringsmålene.</w:t>
      </w:r>
    </w:p>
    <w:p w14:paraId="73F950D4" w14:textId="77777777" w:rsidR="00D9107F" w:rsidRDefault="004A019B" w:rsidP="000623DE">
      <w:r>
        <w:rPr>
          <w:rFonts w:eastAsia="Calibri"/>
        </w:rPr>
        <w:lastRenderedPageBreak/>
        <w:t xml:space="preserve">Ekspertutvalget har også vurdert </w:t>
      </w:r>
      <w:r w:rsidR="00061AD9">
        <w:rPr>
          <w:rFonts w:eastAsia="Calibri"/>
        </w:rPr>
        <w:t xml:space="preserve">kravet til </w:t>
      </w:r>
      <w:r w:rsidR="006A79A5">
        <w:rPr>
          <w:rFonts w:eastAsia="Calibri"/>
        </w:rPr>
        <w:t>to</w:t>
      </w:r>
      <w:r w:rsidR="00061AD9">
        <w:rPr>
          <w:rFonts w:eastAsia="Calibri"/>
        </w:rPr>
        <w:t xml:space="preserve"> års varighet</w:t>
      </w:r>
      <w:r>
        <w:rPr>
          <w:rFonts w:eastAsia="Calibri"/>
        </w:rPr>
        <w:t>.</w:t>
      </w:r>
      <w:r w:rsidR="0015423F">
        <w:rPr>
          <w:rFonts w:eastAsia="Calibri"/>
        </w:rPr>
        <w:t xml:space="preserve"> Med et mindre kategorisk krav knyttet til varighet</w:t>
      </w:r>
      <w:r w:rsidR="00AD1834">
        <w:rPr>
          <w:rFonts w:eastAsia="Calibri"/>
        </w:rPr>
        <w:t>,</w:t>
      </w:r>
      <w:r w:rsidR="0015423F">
        <w:rPr>
          <w:rFonts w:eastAsia="Calibri"/>
        </w:rPr>
        <w:t xml:space="preserve"> vil læringsaktiviteter og læringsmål i større grad være førende for behovet og lengden av å jobbe i fastlegepraksis. </w:t>
      </w:r>
      <w:r w:rsidR="0015423F" w:rsidRPr="12AA6B4D">
        <w:rPr>
          <w:rFonts w:eastAsia="Calibri"/>
        </w:rPr>
        <w:t>Ut fra dagens innhold i de kliniske læringsmålene fordrer</w:t>
      </w:r>
      <w:r w:rsidR="0015423F">
        <w:rPr>
          <w:rFonts w:eastAsia="Calibri"/>
        </w:rPr>
        <w:t xml:space="preserve"> disse</w:t>
      </w:r>
      <w:r w:rsidR="0015423F" w:rsidRPr="12AA6B4D">
        <w:rPr>
          <w:rFonts w:eastAsia="Calibri"/>
        </w:rPr>
        <w:t xml:space="preserve"> </w:t>
      </w:r>
      <w:r w:rsidR="0015423F">
        <w:rPr>
          <w:rFonts w:eastAsia="Calibri"/>
        </w:rPr>
        <w:t xml:space="preserve">uansett </w:t>
      </w:r>
      <w:r w:rsidR="0015423F" w:rsidRPr="12AA6B4D">
        <w:rPr>
          <w:rFonts w:eastAsia="Calibri"/>
        </w:rPr>
        <w:t xml:space="preserve">at ALIS i løpet av tjenestetiden </w:t>
      </w:r>
      <w:r w:rsidR="0015423F">
        <w:rPr>
          <w:rFonts w:eastAsia="Calibri"/>
        </w:rPr>
        <w:t xml:space="preserve">må være </w:t>
      </w:r>
      <w:r w:rsidR="0015423F" w:rsidRPr="12AA6B4D">
        <w:rPr>
          <w:rFonts w:eastAsia="Calibri"/>
        </w:rPr>
        <w:t>en lang periode i fastlegepraksis.</w:t>
      </w:r>
      <w:r w:rsidR="0015423F">
        <w:rPr>
          <w:rFonts w:eastAsia="Calibri"/>
        </w:rPr>
        <w:t xml:space="preserve"> Mindre kategoriske krav vil imidlertid </w:t>
      </w:r>
      <w:r w:rsidR="0042449A">
        <w:rPr>
          <w:rFonts w:eastAsia="Calibri"/>
        </w:rPr>
        <w:t xml:space="preserve">medføre at det må gjøres individuelle vurderinger knyttet til om </w:t>
      </w:r>
      <w:r w:rsidR="0015423F">
        <w:rPr>
          <w:rFonts w:eastAsia="Calibri"/>
        </w:rPr>
        <w:t>lengde</w:t>
      </w:r>
      <w:r w:rsidR="0042449A">
        <w:rPr>
          <w:rFonts w:eastAsia="Calibri"/>
        </w:rPr>
        <w:t>n</w:t>
      </w:r>
      <w:r w:rsidR="0015423F">
        <w:rPr>
          <w:rFonts w:eastAsia="Calibri"/>
        </w:rPr>
        <w:t xml:space="preserve"> på tjenesten i </w:t>
      </w:r>
      <w:r w:rsidR="0015423F" w:rsidRPr="6732455D">
        <w:rPr>
          <w:rFonts w:eastAsia="Calibri"/>
        </w:rPr>
        <w:t>fastlege</w:t>
      </w:r>
      <w:r w:rsidR="0015423F">
        <w:rPr>
          <w:rFonts w:eastAsia="Calibri"/>
        </w:rPr>
        <w:t xml:space="preserve">praksis </w:t>
      </w:r>
      <w:r w:rsidR="0042449A">
        <w:rPr>
          <w:rFonts w:eastAsia="Calibri"/>
        </w:rPr>
        <w:t>er</w:t>
      </w:r>
      <w:r w:rsidR="0015423F">
        <w:rPr>
          <w:rFonts w:eastAsia="Calibri"/>
        </w:rPr>
        <w:t xml:space="preserve"> nok til å </w:t>
      </w:r>
      <w:r w:rsidR="0015423F" w:rsidRPr="6732455D">
        <w:rPr>
          <w:rFonts w:eastAsia="Calibri"/>
        </w:rPr>
        <w:t xml:space="preserve">vurdere </w:t>
      </w:r>
      <w:r w:rsidR="0015423F">
        <w:rPr>
          <w:rFonts w:eastAsia="Calibri"/>
        </w:rPr>
        <w:t>læringsmålene</w:t>
      </w:r>
      <w:r w:rsidR="0015423F" w:rsidRPr="6732455D">
        <w:rPr>
          <w:rFonts w:eastAsia="Calibri"/>
        </w:rPr>
        <w:t xml:space="preserve"> som oppfylt.</w:t>
      </w:r>
      <w:r w:rsidR="0015423F">
        <w:rPr>
          <w:rFonts w:eastAsia="Calibri"/>
        </w:rPr>
        <w:t xml:space="preserve"> Dette vil legge mer ansvar på veileder, og som ved behov nødvendigvis vil måtte rådføre seg med andre. </w:t>
      </w:r>
      <w:r w:rsidR="000D3E47">
        <w:t>Hvordan dette ville blitt håndtert i praksis er usikkert</w:t>
      </w:r>
      <w:r w:rsidR="00013F27">
        <w:t>. D</w:t>
      </w:r>
      <w:r w:rsidR="00FA4442">
        <w:t xml:space="preserve">et kan tenkes </w:t>
      </w:r>
      <w:r w:rsidR="001B5117">
        <w:t xml:space="preserve">å være </w:t>
      </w:r>
      <w:r w:rsidR="00FA4442">
        <w:t>vanskelig</w:t>
      </w:r>
      <w:r w:rsidR="00B36E2B">
        <w:t xml:space="preserve"> </w:t>
      </w:r>
      <w:r w:rsidR="005A371C">
        <w:t xml:space="preserve">å vurdere </w:t>
      </w:r>
      <w:r w:rsidR="00500AA3">
        <w:t>hvor lang tid i åpen</w:t>
      </w:r>
      <w:r w:rsidR="00F62817">
        <w:t xml:space="preserve"> </w:t>
      </w:r>
      <w:r w:rsidR="00500AA3">
        <w:t xml:space="preserve">uselektert allmennpraksis som </w:t>
      </w:r>
      <w:r w:rsidR="001E616D">
        <w:t>sikrer ALIS nødvendig bredde i tjenesten</w:t>
      </w:r>
      <w:r w:rsidR="00865B2C">
        <w:t>.</w:t>
      </w:r>
      <w:r w:rsidR="001B5117">
        <w:t xml:space="preserve"> </w:t>
      </w:r>
      <w:r w:rsidR="009F0EA7">
        <w:t>Læring i en uselektert pasientpopulasjon over tid er helt sentralt i spesialistutdanningen i allmennmedisin</w:t>
      </w:r>
      <w:r w:rsidR="00CA37B1">
        <w:t xml:space="preserve">. </w:t>
      </w:r>
      <w:r w:rsidR="002472E5">
        <w:t>Fjerning av kravet til to års varighet</w:t>
      </w:r>
      <w:r w:rsidR="00D9388F">
        <w:t xml:space="preserve"> kan </w:t>
      </w:r>
      <w:r w:rsidR="00795E7E">
        <w:t xml:space="preserve">bidra til </w:t>
      </w:r>
      <w:r w:rsidR="00511B57">
        <w:t>usikkerhet</w:t>
      </w:r>
      <w:r w:rsidR="00E87E86">
        <w:t xml:space="preserve"> </w:t>
      </w:r>
      <w:r w:rsidR="00D949FD">
        <w:t xml:space="preserve">om ALIS gjennom tjenesten </w:t>
      </w:r>
      <w:r w:rsidR="00D949FD" w:rsidRPr="005A6B61">
        <w:t>oppnå</w:t>
      </w:r>
      <w:r w:rsidR="00D949FD">
        <w:t>r</w:t>
      </w:r>
      <w:r w:rsidR="00D949FD" w:rsidRPr="005A6B61">
        <w:t xml:space="preserve"> kunnskap og ferdigheter beskrevet i de forskriftfestede læringsmålen</w:t>
      </w:r>
      <w:r w:rsidR="00D949FD">
        <w:t>e</w:t>
      </w:r>
      <w:r w:rsidR="00C81D13">
        <w:t>,</w:t>
      </w:r>
      <w:r w:rsidR="00D949FD">
        <w:t xml:space="preserve"> </w:t>
      </w:r>
      <w:r w:rsidR="001903A7">
        <w:t xml:space="preserve">og i verste fall </w:t>
      </w:r>
      <w:r w:rsidR="000910F3">
        <w:t xml:space="preserve">svekke </w:t>
      </w:r>
      <w:r w:rsidR="00495DF0">
        <w:t>kvaliteten i spesialistutdanningen</w:t>
      </w:r>
      <w:r w:rsidR="00511B57">
        <w:t xml:space="preserve">. </w:t>
      </w:r>
      <w:r w:rsidR="00B90008">
        <w:t xml:space="preserve">Ekspertutvalgets vurdering er derfor at </w:t>
      </w:r>
      <w:r w:rsidR="00844C3C">
        <w:t xml:space="preserve">kravet til </w:t>
      </w:r>
      <w:r w:rsidR="006A79A5">
        <w:t>to</w:t>
      </w:r>
      <w:r w:rsidR="00844C3C">
        <w:t xml:space="preserve"> års varighet </w:t>
      </w:r>
      <w:r w:rsidR="0087545A">
        <w:t>i uselektert allmennpraksis bør opprettholdes.</w:t>
      </w:r>
    </w:p>
    <w:p w14:paraId="6E7D960E" w14:textId="77777777" w:rsidR="00D9107F" w:rsidRDefault="002472E5" w:rsidP="000279D1">
      <w:pPr>
        <w:jc w:val="both"/>
      </w:pPr>
      <w:r>
        <w:t>Det</w:t>
      </w:r>
      <w:r w:rsidRPr="12AA6B4D">
        <w:t xml:space="preserve"> er særlig for ALIS som ikke er</w:t>
      </w:r>
      <w:r>
        <w:t>,</w:t>
      </w:r>
      <w:r w:rsidRPr="12AA6B4D">
        <w:t xml:space="preserve"> </w:t>
      </w:r>
      <w:r>
        <w:t>eller planlegger</w:t>
      </w:r>
      <w:r w:rsidR="6D400079" w:rsidDel="00AD1834">
        <w:t xml:space="preserve"> </w:t>
      </w:r>
      <w:r w:rsidR="557D686F">
        <w:t>å</w:t>
      </w:r>
      <w:r w:rsidR="6D400079">
        <w:t xml:space="preserve"> bli</w:t>
      </w:r>
      <w:r w:rsidR="00AD1834">
        <w:t>,</w:t>
      </w:r>
      <w:r w:rsidR="6D400079">
        <w:t xml:space="preserve"> </w:t>
      </w:r>
      <w:r w:rsidR="7B328CC5" w:rsidRPr="12AA6B4D">
        <w:t xml:space="preserve">fastleger, at </w:t>
      </w:r>
      <w:r w:rsidR="61D84A9A">
        <w:t>gjennomføringen er vanskelig</w:t>
      </w:r>
      <w:r w:rsidR="00AD1834">
        <w:t>,</w:t>
      </w:r>
      <w:r w:rsidR="61D84A9A">
        <w:t xml:space="preserve"> og </w:t>
      </w:r>
      <w:r w:rsidR="506E3B06" w:rsidRPr="004D4F43">
        <w:t>noen</w:t>
      </w:r>
      <w:r w:rsidR="7B328CC5" w:rsidRPr="12AA6B4D">
        <w:t xml:space="preserve"> av </w:t>
      </w:r>
      <w:r w:rsidR="506E3B06" w:rsidRPr="004D4F43">
        <w:t xml:space="preserve">læringsmålene </w:t>
      </w:r>
      <w:r w:rsidR="0CBBE20B" w:rsidRPr="009A746F">
        <w:t xml:space="preserve">i </w:t>
      </w:r>
      <w:r w:rsidR="0CBBE20B">
        <w:t xml:space="preserve">uselektert allmennpraksis </w:t>
      </w:r>
      <w:r w:rsidR="506E3B06" w:rsidRPr="004D4F43">
        <w:t xml:space="preserve">ikke nødvendigvis anses å være </w:t>
      </w:r>
      <w:r w:rsidR="0CBBE20B" w:rsidRPr="009A746F">
        <w:t>verdt tidsbruken</w:t>
      </w:r>
      <w:r w:rsidR="0CBBE20B">
        <w:t>.</w:t>
      </w:r>
      <w:r w:rsidR="5A78A721" w:rsidRPr="12AA6B4D">
        <w:t xml:space="preserve"> </w:t>
      </w:r>
      <w:r w:rsidR="25EF7965" w:rsidRPr="12AA6B4D">
        <w:t xml:space="preserve">Dette vil </w:t>
      </w:r>
      <w:r w:rsidR="1DB3C004" w:rsidRPr="12AA6B4D">
        <w:t xml:space="preserve">trolig fortsatt være </w:t>
      </w:r>
      <w:r w:rsidR="0AEBABF8" w:rsidRPr="12AA6B4D">
        <w:t>tilfellet</w:t>
      </w:r>
      <w:r w:rsidR="67816B0D" w:rsidRPr="12AA6B4D">
        <w:t xml:space="preserve">, selv </w:t>
      </w:r>
      <w:r w:rsidR="19F96A6E">
        <w:t>ved en oppmykning av</w:t>
      </w:r>
      <w:r w:rsidR="67816B0D" w:rsidRPr="12AA6B4D">
        <w:t xml:space="preserve"> kravene </w:t>
      </w:r>
      <w:r w:rsidR="02331F66" w:rsidRPr="12AA6B4D">
        <w:t xml:space="preserve">til </w:t>
      </w:r>
      <w:r w:rsidR="4663F4FC">
        <w:t>stillingsprosent</w:t>
      </w:r>
      <w:r w:rsidR="586BED5C">
        <w:t>.</w:t>
      </w:r>
      <w:r w:rsidR="2777AF65">
        <w:t xml:space="preserve"> </w:t>
      </w:r>
      <w:r w:rsidR="506E3B06" w:rsidRPr="004D4F43">
        <w:t>En løsning</w:t>
      </w:r>
      <w:r w:rsidR="1C599AC4" w:rsidRPr="12AA6B4D">
        <w:t xml:space="preserve"> kan være å </w:t>
      </w:r>
      <w:r w:rsidR="1D4D7B75" w:rsidRPr="12AA6B4D">
        <w:t xml:space="preserve">lage </w:t>
      </w:r>
      <w:r w:rsidR="2EFDC3D9" w:rsidRPr="12AA6B4D">
        <w:t xml:space="preserve">egne </w:t>
      </w:r>
      <w:r w:rsidR="48D50070">
        <w:t xml:space="preserve">spesialiteter i </w:t>
      </w:r>
      <w:r w:rsidR="696CBA24">
        <w:t xml:space="preserve">alders- og </w:t>
      </w:r>
      <w:r w:rsidR="48D50070">
        <w:t>sykehjems- og legevaktmedisin</w:t>
      </w:r>
      <w:r w:rsidR="2D054916">
        <w:t>,</w:t>
      </w:r>
      <w:r w:rsidR="48D50070">
        <w:t xml:space="preserve"> som ikke har krav til </w:t>
      </w:r>
      <w:r w:rsidR="6E8D139C">
        <w:t>to</w:t>
      </w:r>
      <w:r w:rsidR="48D50070">
        <w:t xml:space="preserve"> års åpen uselektert allmennpraksis.</w:t>
      </w:r>
      <w:r w:rsidR="7D7C9BCE">
        <w:t xml:space="preserve"> </w:t>
      </w:r>
      <w:r w:rsidR="63F39D47">
        <w:t>Det</w:t>
      </w:r>
      <w:r w:rsidR="506E3B06" w:rsidRPr="004D4F43">
        <w:t xml:space="preserve"> er</w:t>
      </w:r>
      <w:r w:rsidR="63F39D47">
        <w:t xml:space="preserve"> allerede i dag etablerte kompetansemiljø både innenfor alders- og sykehjemsmedisin og legevaktmedisin. </w:t>
      </w:r>
      <w:r w:rsidR="7D7C9BCE">
        <w:t xml:space="preserve">Det har blitt mer vanlig med </w:t>
      </w:r>
      <w:r w:rsidR="74FB1218">
        <w:t xml:space="preserve">fulltidsansatte leger i disse delene av tjenestene med årene, i alle fall i de større byene. </w:t>
      </w:r>
      <w:r w:rsidR="15EBD613">
        <w:t xml:space="preserve">Med en </w:t>
      </w:r>
      <w:r w:rsidR="68B0B849">
        <w:t xml:space="preserve">økning i antall eldre </w:t>
      </w:r>
      <w:r w:rsidR="4E55F78C">
        <w:t xml:space="preserve">over 80 år i de kommende </w:t>
      </w:r>
      <w:r w:rsidR="7D0181C7">
        <w:t>årene</w:t>
      </w:r>
      <w:r w:rsidR="15DFC610">
        <w:t xml:space="preserve"> </w:t>
      </w:r>
      <w:r w:rsidR="7D0181C7">
        <w:t xml:space="preserve">, </w:t>
      </w:r>
      <w:r w:rsidR="522BBEDE">
        <w:t xml:space="preserve">vil </w:t>
      </w:r>
      <w:r w:rsidR="35592E78">
        <w:t>antall beboere i sykehjem øke</w:t>
      </w:r>
      <w:r w:rsidR="007673C3">
        <w:t xml:space="preserve"> </w:t>
      </w:r>
      <w:r w:rsidR="002C33FB">
        <w:fldChar w:fldCharType="begin"/>
      </w:r>
      <w:r w:rsidR="002C33FB">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2C33FB">
        <w:fldChar w:fldCharType="separate"/>
      </w:r>
      <w:r w:rsidR="002C33FB">
        <w:rPr>
          <w:noProof/>
        </w:rPr>
        <w:t>(Helse- og omsorgsdepartementet, 2023c)</w:t>
      </w:r>
      <w:r w:rsidR="002C33FB">
        <w:fldChar w:fldCharType="end"/>
      </w:r>
      <w:r w:rsidR="35592E78">
        <w:t xml:space="preserve">. Dette kan være et argument for </w:t>
      </w:r>
      <w:r w:rsidR="05360776">
        <w:t xml:space="preserve">å </w:t>
      </w:r>
      <w:r w:rsidR="506E3B06" w:rsidRPr="004D4F43">
        <w:t xml:space="preserve">styrke og </w:t>
      </w:r>
      <w:r w:rsidR="05360776">
        <w:t>spisse kompetansen innenfor dette fagfeltet</w:t>
      </w:r>
      <w:r w:rsidR="59778F72">
        <w:t xml:space="preserve">. </w:t>
      </w:r>
      <w:r w:rsidR="506E3B06" w:rsidRPr="004D4F43">
        <w:t>På den annen side vil etablering</w:t>
      </w:r>
      <w:r w:rsidR="0DE789BE">
        <w:t xml:space="preserve"> av nye spesialiteter </w:t>
      </w:r>
      <w:r w:rsidR="506E3B06" w:rsidRPr="004D4F43">
        <w:t xml:space="preserve">kunne </w:t>
      </w:r>
      <w:r w:rsidR="7C0B95F9">
        <w:t xml:space="preserve">føre til </w:t>
      </w:r>
      <w:r w:rsidR="0A9DDCDB">
        <w:t>fragmentering</w:t>
      </w:r>
      <w:r w:rsidR="15D00497">
        <w:t xml:space="preserve"> av </w:t>
      </w:r>
      <w:r w:rsidR="506E3B06" w:rsidRPr="004D4F43">
        <w:t>det allmennmedisinske fagfeltet.</w:t>
      </w:r>
      <w:r w:rsidR="42D32695">
        <w:t xml:space="preserve"> </w:t>
      </w:r>
      <w:r w:rsidR="5F57B998">
        <w:t>N</w:t>
      </w:r>
      <w:r w:rsidR="4408662E">
        <w:t xml:space="preserve">ye spesialiteter vil kreve </w:t>
      </w:r>
      <w:r w:rsidR="607E7F22">
        <w:t xml:space="preserve">en omfattende vurdering. </w:t>
      </w:r>
      <w:r w:rsidR="5996BD57">
        <w:t>Ekspertutvalget</w:t>
      </w:r>
      <w:r w:rsidR="3E64DA48">
        <w:t xml:space="preserve"> har ikke </w:t>
      </w:r>
      <w:r w:rsidR="59972D38">
        <w:t xml:space="preserve">hatt mulighet til å </w:t>
      </w:r>
      <w:r w:rsidR="506E3B06" w:rsidRPr="004D4F43">
        <w:t>vurdere fordeler og ulemper ved flere spesialiteter grundig, og vi har derfor ikke grunnlag</w:t>
      </w:r>
      <w:r w:rsidR="3F9FE184">
        <w:t xml:space="preserve"> for </w:t>
      </w:r>
      <w:r w:rsidR="506E3B06" w:rsidRPr="004D4F43">
        <w:t>å foreslå</w:t>
      </w:r>
      <w:r w:rsidR="433737A9">
        <w:t xml:space="preserve"> </w:t>
      </w:r>
      <w:r w:rsidR="0E34F863">
        <w:t xml:space="preserve">egne spesialistutdanninger </w:t>
      </w:r>
      <w:r w:rsidR="02F2AA58">
        <w:t xml:space="preserve">for </w:t>
      </w:r>
      <w:r w:rsidR="607E7F22">
        <w:t>alder</w:t>
      </w:r>
      <w:r w:rsidR="057E6056">
        <w:t>s- og sykehjemsmedisin og legevaktmedisin</w:t>
      </w:r>
      <w:r w:rsidR="506E3B06" w:rsidRPr="004D4F43">
        <w:t xml:space="preserve"> nå.</w:t>
      </w:r>
    </w:p>
    <w:p w14:paraId="2F6A5C03" w14:textId="3E9ED5D1" w:rsidR="000279D1" w:rsidRPr="00C771E9" w:rsidRDefault="009521A2" w:rsidP="000279D1">
      <w:pPr>
        <w:jc w:val="both"/>
      </w:pPr>
      <w:r>
        <w:t>E</w:t>
      </w:r>
      <w:r w:rsidR="008F0924">
        <w:t>tablering</w:t>
      </w:r>
      <w:r w:rsidR="000279D1">
        <w:t xml:space="preserve"> </w:t>
      </w:r>
      <w:r w:rsidR="0084506C">
        <w:t>av</w:t>
      </w:r>
      <w:r w:rsidR="000279D1">
        <w:t xml:space="preserve"> utdanningsstillinger i allmennmedisin</w:t>
      </w:r>
      <w:r w:rsidR="00AD1834">
        <w:t>,</w:t>
      </w:r>
      <w:r w:rsidR="000279D1">
        <w:t xml:space="preserve"> hvor ALIS er ansatt og jobber på andre legers liste, </w:t>
      </w:r>
      <w:r w:rsidR="0004629C">
        <w:t>vil</w:t>
      </w:r>
      <w:r w:rsidR="000279D1">
        <w:t xml:space="preserve"> bidra til at leger i andre allmennmedisinske stillinger lettere kan </w:t>
      </w:r>
      <w:r w:rsidR="00E2304F">
        <w:t xml:space="preserve">gjennomføre tjenestetiden i </w:t>
      </w:r>
      <w:r w:rsidR="006A79A5">
        <w:t>to</w:t>
      </w:r>
      <w:r w:rsidR="00E2304F">
        <w:t xml:space="preserve"> års</w:t>
      </w:r>
      <w:r w:rsidR="000279D1">
        <w:t xml:space="preserve"> åpen uselektert allmennpraksis. Dette knyttes til at ALIS ikke behøver å omstille seg til næringsdrift, og det vil være mulig for kommuner å legge til rette for smidige </w:t>
      </w:r>
      <w:r w:rsidR="00FB37AB">
        <w:t xml:space="preserve">og forutsigbare </w:t>
      </w:r>
      <w:r w:rsidR="000279D1">
        <w:t>utdanningsløp mellom fastlegepraksis og andre allmennmedisinske stillinger. Etablering av utdanningsstillinger i allmennmedisin er nærmere beskrevet i kap</w:t>
      </w:r>
      <w:r w:rsidR="00F04AF4">
        <w:t>.</w:t>
      </w:r>
      <w:r w:rsidR="000279D1">
        <w:t xml:space="preserve"> </w:t>
      </w:r>
      <w:r w:rsidR="00882985">
        <w:t>9.7.3.</w:t>
      </w:r>
    </w:p>
    <w:p w14:paraId="1E58BA21" w14:textId="77777777" w:rsidR="006316CF" w:rsidRPr="002460A3" w:rsidRDefault="1D838EF3" w:rsidP="00775632">
      <w:pPr>
        <w:pStyle w:val="Overskrift4"/>
      </w:pPr>
      <w:bookmarkStart w:id="5541" w:name="_Toc130983715"/>
      <w:bookmarkStart w:id="5542" w:name="_Toc130984064"/>
      <w:bookmarkStart w:id="5543" w:name="_Toc131279659"/>
      <w:bookmarkStart w:id="5544" w:name="_Toc131287071"/>
      <w:bookmarkStart w:id="5545" w:name="_Toc131281481"/>
      <w:bookmarkStart w:id="5546" w:name="_Toc131318021"/>
      <w:r>
        <w:lastRenderedPageBreak/>
        <w:t>Veileder må være spesialist i allmennmedisin</w:t>
      </w:r>
      <w:bookmarkEnd w:id="5541"/>
      <w:bookmarkEnd w:id="5542"/>
      <w:bookmarkEnd w:id="5543"/>
      <w:bookmarkEnd w:id="5544"/>
      <w:bookmarkEnd w:id="5545"/>
      <w:bookmarkEnd w:id="5546"/>
    </w:p>
    <w:p w14:paraId="0BAC115C" w14:textId="77777777" w:rsidR="00D9107F" w:rsidRDefault="5CF5FD74" w:rsidP="0085218F">
      <w:pPr>
        <w:jc w:val="both"/>
      </w:pPr>
      <w:r>
        <w:t xml:space="preserve">De fleste ALIS som inngår i følgeforskningen er stort sett fornøyd med opplegget for spesialistutdanningen, og mange framhever at de er fornøyde med </w:t>
      </w:r>
      <w:r w:rsidR="15DEAD45">
        <w:t xml:space="preserve">både og gruppeveiledningen og </w:t>
      </w:r>
      <w:r>
        <w:t xml:space="preserve">den individuelle veiledningen </w:t>
      </w:r>
      <w:r w:rsidR="00890382">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890382">
        <w:fldChar w:fldCharType="separate"/>
      </w:r>
      <w:r w:rsidR="00890382">
        <w:rPr>
          <w:noProof/>
        </w:rPr>
        <w:t>(Helgheim Holte et al., 2022)</w:t>
      </w:r>
      <w:r w:rsidR="00890382">
        <w:fldChar w:fldCharType="end"/>
      </w:r>
      <w:r w:rsidR="004A2A54">
        <w:t>.</w:t>
      </w:r>
      <w:r>
        <w:t xml:space="preserve"> Tilgang til veiledning er ikke bare viktig for læring og refleksjon rundt egen praksis, men det er helt avgjørende for å fylle spesialistforskriftens krav. Dersom ikke kommunen klarer å skaffe veileder til ALIS, vil ikke tjenestetiden være tellende for spesialistutdanningen.</w:t>
      </w:r>
    </w:p>
    <w:p w14:paraId="2DFE13FE" w14:textId="62F27CD6" w:rsidR="00653B46" w:rsidRDefault="5CF5FD74" w:rsidP="00882985">
      <w:pPr>
        <w:jc w:val="both"/>
      </w:pPr>
      <w:r w:rsidRPr="00207703">
        <w:t>God veiledning er sentralt for å sikre best mulig kvalitet og mestring i LIS-</w:t>
      </w:r>
      <w:r w:rsidR="7EB2ECDC" w:rsidRPr="00207703">
        <w:t>utdanningen</w:t>
      </w:r>
      <w:r w:rsidR="5800CCA0" w:rsidRPr="00207703">
        <w:t>e</w:t>
      </w:r>
      <w:r w:rsidR="7EB2ECDC" w:rsidRPr="00207703">
        <w:t>.</w:t>
      </w:r>
      <w:r w:rsidRPr="00207703">
        <w:t xml:space="preserve"> </w:t>
      </w:r>
      <w:r w:rsidR="002472E5" w:rsidRPr="00207703">
        <w:t xml:space="preserve">Veilederen skal </w:t>
      </w:r>
      <w:r w:rsidR="002472E5">
        <w:t xml:space="preserve">blant annet </w:t>
      </w:r>
      <w:r w:rsidR="002472E5" w:rsidRPr="00207703">
        <w:t>fremme</w:t>
      </w:r>
      <w:r w:rsidRPr="00207703">
        <w:t xml:space="preserve"> refleksjon, gi råd</w:t>
      </w:r>
      <w:r>
        <w:t xml:space="preserve"> og </w:t>
      </w:r>
      <w:r w:rsidRPr="00207703">
        <w:t>følge med på kompetanseutviklingen</w:t>
      </w:r>
      <w:r w:rsidR="1CC0E947">
        <w:t xml:space="preserve"> </w:t>
      </w:r>
      <w:r w:rsidR="001F5F05">
        <w:fldChar w:fldCharType="begin"/>
      </w:r>
      <w:r w:rsidR="001F5F05">
        <w:instrText xml:space="preserve"> ADDIN EN.CITE &lt;EndNote&gt;&lt;Cite ExcludeYear="1"&gt;&lt;Author&gt;Helsedirektoratet&lt;/Author&gt;&lt;RecNum&gt;1024&lt;/RecNum&gt;&lt;DisplayText&gt;(Helsedirektoratet)&lt;/DisplayText&gt;&lt;record&gt;&lt;rec-number&gt;1024&lt;/rec-number&gt;&lt;foreign-keys&gt;&lt;key app="EN" db-id="95tpr2tp6r9xwoea9rb5wdsz5ds5xeddteew" timestamp="1681143488"&gt;1024&lt;/key&gt;&lt;/foreign-keys&gt;&lt;ref-type name="Web Page"&gt;12&lt;/ref-type&gt;&lt;contributors&gt;&lt;authors&gt;&lt;author&gt;Helsedirektoratet&lt;/author&gt;&lt;/authors&gt;&lt;/contributors&gt;&lt;titles&gt;&lt;title&gt;Om de faglige rådene. Veiledning av leger i spesialisering&lt;/title&gt;&lt;/titles&gt;&lt;volume&gt;2023&lt;/volume&gt;&lt;dates&gt;&lt;/dates&gt;&lt;urls&gt;&lt;related-urls&gt;&lt;url&gt;https://www.helsedirektoratet.no/faglige-rad/veiledning-av-leger-i-spesialisering/om-de-faglige-radene&lt;/url&gt;&lt;/related-urls&gt;&lt;/urls&gt;&lt;/record&gt;&lt;/Cite&gt;&lt;/EndNote&gt;</w:instrText>
      </w:r>
      <w:r w:rsidR="001F5F05">
        <w:fldChar w:fldCharType="separate"/>
      </w:r>
      <w:r w:rsidR="001F5F05">
        <w:rPr>
          <w:noProof/>
        </w:rPr>
        <w:t>(Helsedirektoratet)</w:t>
      </w:r>
      <w:r w:rsidR="001F5F05">
        <w:fldChar w:fldCharType="end"/>
      </w:r>
      <w:r w:rsidR="004A2A54">
        <w:t>.</w:t>
      </w:r>
      <w:r>
        <w:t xml:space="preserve"> </w:t>
      </w:r>
      <w:r w:rsidR="7DE4AD52">
        <w:t>Ekspertutvalget</w:t>
      </w:r>
      <w:r>
        <w:t xml:space="preserve"> mener det er viktig at veileder har solid kunnskap om og klinisk kompetanse i faget allmennmedisin. </w:t>
      </w:r>
      <w:r w:rsidRPr="00207703">
        <w:t>I tillegg er det viktig at veilederen kan bruke veiledningsmetodikk og har tilstrekkelige kommunikasjonsferdigheter.</w:t>
      </w:r>
    </w:p>
    <w:p w14:paraId="456C3C40" w14:textId="60F4EEDB" w:rsidR="00D9107F" w:rsidRDefault="5CF5FD74" w:rsidP="00653B46">
      <w:pPr>
        <w:jc w:val="both"/>
      </w:pPr>
      <w:r>
        <w:t>Spesialistforskriftens krav om at veileder skal være spesialist i allmennmedisin, og krav til minst fire timer veiledning i 10,5 av årets måneder</w:t>
      </w:r>
      <w:r w:rsidR="5B7328ED">
        <w:t xml:space="preserve"> gjennom hele spesialiseringsløpet</w:t>
      </w:r>
      <w:r>
        <w:t xml:space="preserve">, er vanskelig å oppfylle, både for kommuner og leger. Det er i dag mulighet for kommunen </w:t>
      </w:r>
      <w:r w:rsidR="00AD1834">
        <w:t>til</w:t>
      </w:r>
      <w:r>
        <w:t xml:space="preserve"> å søke Helsedirektoratet om unntak fra kompetansekravet for veileder,</w:t>
      </w:r>
      <w:r w:rsidR="00577672">
        <w:t xml:space="preserve"> jf</w:t>
      </w:r>
      <w:r w:rsidR="009D0888">
        <w:t>.</w:t>
      </w:r>
      <w:r w:rsidR="00577672">
        <w:t xml:space="preserve"> </w:t>
      </w:r>
      <w:r w:rsidR="00577672" w:rsidRPr="00D9107F">
        <w:rPr>
          <w:rStyle w:val="kursiv"/>
          <w:rFonts w:eastAsiaTheme="minorEastAsia"/>
        </w:rPr>
        <w:t xml:space="preserve">spesialistforskriften </w:t>
      </w:r>
      <w:r w:rsidR="00D9107F" w:rsidRPr="00D9107F">
        <w:rPr>
          <w:rStyle w:val="kursiv"/>
          <w:rFonts w:eastAsiaTheme="minorEastAsia"/>
        </w:rPr>
        <w:t>§ 2</w:t>
      </w:r>
      <w:r w:rsidR="00577672" w:rsidRPr="00D9107F">
        <w:rPr>
          <w:rStyle w:val="kursiv"/>
          <w:rFonts w:eastAsiaTheme="minorEastAsia"/>
        </w:rPr>
        <w:t>5 fjerde ledd</w:t>
      </w:r>
      <w:r w:rsidRPr="00D9107F">
        <w:rPr>
          <w:rStyle w:val="kursiv"/>
          <w:rFonts w:eastAsiaTheme="minorEastAsia"/>
        </w:rPr>
        <w:t>,</w:t>
      </w:r>
      <w:r w:rsidRPr="00577672">
        <w:rPr>
          <w:sz w:val="28"/>
          <w:szCs w:val="28"/>
        </w:rPr>
        <w:t xml:space="preserve"> </w:t>
      </w:r>
      <w:r>
        <w:t xml:space="preserve">men denne ordningen </w:t>
      </w:r>
      <w:r w:rsidR="76D00BF7">
        <w:t xml:space="preserve">er </w:t>
      </w:r>
      <w:r>
        <w:t>tidkrevende og byråkratisk.</w:t>
      </w:r>
    </w:p>
    <w:p w14:paraId="67F880E8" w14:textId="6322B450" w:rsidR="00653B46" w:rsidRDefault="00653B46" w:rsidP="00653B46">
      <w:pPr>
        <w:jc w:val="both"/>
      </w:pPr>
      <w:r>
        <w:t xml:space="preserve">Tilgangen til spesialister på sykehus er større enn tilganger til spesialister i mindre </w:t>
      </w:r>
      <w:r w:rsidR="00565D8B">
        <w:t xml:space="preserve">folkerike </w:t>
      </w:r>
      <w:r>
        <w:t xml:space="preserve">kommuner. I kommuner med få spesialister i allmennmedisin kan veiledningen av en eller flere ALIS være </w:t>
      </w:r>
      <w:r w:rsidR="4574ACB0">
        <w:t xml:space="preserve">for </w:t>
      </w:r>
      <w:r>
        <w:t xml:space="preserve">tidkrevende og gi uforholdsmessig stor belastning. Ved få </w:t>
      </w:r>
      <w:r w:rsidR="004E05C2">
        <w:t>eller ingen</w:t>
      </w:r>
      <w:r>
        <w:t xml:space="preserve"> spesialister å velge mellom, kan spesialistkravet </w:t>
      </w:r>
      <w:r w:rsidR="005837F2">
        <w:t xml:space="preserve">til veileder </w:t>
      </w:r>
      <w:r>
        <w:t>få utilsiktede konsekvenser, ved at det settes foran egnethet og pedagogiske ferdigheter. Interkommunale samarbeidsavtaler kan bidra til å bedre tilgangen på veiledningskompetente spesialister. Dette fordrer imidlertid at spesialister i nabokommuner har kapasitet, og ved samarbeid innenfor større geografiske områder kan reisevei bli en barriere. Veiledning digitalt er en mulighet, men her må gevinstene vurderes mot ulempene det også kan medføre.</w:t>
      </w:r>
    </w:p>
    <w:p w14:paraId="7597C946" w14:textId="77777777" w:rsidR="00D9107F" w:rsidRDefault="00BA56F8" w:rsidP="00653B46">
      <w:pPr>
        <w:jc w:val="both"/>
      </w:pPr>
      <w:r>
        <w:t xml:space="preserve">Uavhengig av om veileder er spesialist eller ikke, er det </w:t>
      </w:r>
      <w:r w:rsidR="002A0C2D">
        <w:t xml:space="preserve">kommunal </w:t>
      </w:r>
      <w:r>
        <w:t>leder som godkjenner læringsmål.</w:t>
      </w:r>
      <w:r w:rsidR="00BD755F">
        <w:t xml:space="preserve"> </w:t>
      </w:r>
      <w:r w:rsidR="00653B46">
        <w:t xml:space="preserve">Det er i dag ikke krav om at veileder for LIS1 i kommune eller på sykehus skal være spesialist i faget, men det </w:t>
      </w:r>
      <w:r w:rsidR="00653B46" w:rsidRPr="00D85EED">
        <w:t>skal være en lege med nødvendig erfaring</w:t>
      </w:r>
      <w:r w:rsidR="7DD402BD">
        <w:t>.</w:t>
      </w:r>
      <w:r w:rsidR="00653B46">
        <w:t xml:space="preserve"> </w:t>
      </w:r>
      <w:r w:rsidR="001B094B">
        <w:t>Ekspertutvalget</w:t>
      </w:r>
      <w:r w:rsidR="005837F2">
        <w:t xml:space="preserve"> mener det ideelle er om veileder </w:t>
      </w:r>
      <w:r w:rsidR="008B465C">
        <w:t xml:space="preserve">for ALIS </w:t>
      </w:r>
      <w:r w:rsidR="005837F2">
        <w:t xml:space="preserve">er spesialist i allmennmedisin. </w:t>
      </w:r>
      <w:r w:rsidR="00653B46">
        <w:t xml:space="preserve">Gitt kapasitetsutfordringene i allmennlegetjenesten synes </w:t>
      </w:r>
      <w:r w:rsidR="005837F2">
        <w:t xml:space="preserve">imidlertid </w:t>
      </w:r>
      <w:r w:rsidR="00653B46">
        <w:t xml:space="preserve">kravet om at </w:t>
      </w:r>
      <w:r w:rsidR="005837F2">
        <w:t>ALIS-</w:t>
      </w:r>
      <w:r w:rsidR="00653B46">
        <w:t xml:space="preserve">veileder må være spesialist i faget </w:t>
      </w:r>
      <w:r w:rsidR="005837F2">
        <w:t xml:space="preserve">i noen tilfeller </w:t>
      </w:r>
      <w:r w:rsidR="00653B46">
        <w:t xml:space="preserve">å </w:t>
      </w:r>
      <w:r w:rsidR="005837F2">
        <w:t>kunne føre til reelt sett svakere og mindre tilgjengelig veiledning enn en noe mer fleksibel regel. Til syvende og sist bør det</w:t>
      </w:r>
      <w:r w:rsidR="00653B46">
        <w:t xml:space="preserve"> være </w:t>
      </w:r>
      <w:r w:rsidR="005837F2">
        <w:t>den reelle kvaliteten på veiledningen som er viktigst, og i noen unntakstilfeller vil den reelle veiledningskvaliteten kunne antas å bli bedre ved å avvike fra det formelle kravet om at veileder må være spesialist.</w:t>
      </w:r>
    </w:p>
    <w:p w14:paraId="25B079F6" w14:textId="64503F43" w:rsidR="00653B46" w:rsidRPr="00D9107F" w:rsidRDefault="00204A36" w:rsidP="00653B46">
      <w:pPr>
        <w:jc w:val="both"/>
        <w:rPr>
          <w:rStyle w:val="kursiv"/>
        </w:rPr>
      </w:pPr>
      <w:r>
        <w:lastRenderedPageBreak/>
        <w:t>Ekspertutvalgets</w:t>
      </w:r>
      <w:r w:rsidR="00653B46">
        <w:t xml:space="preserve"> anbefaling er </w:t>
      </w:r>
      <w:r w:rsidR="005837F2">
        <w:t>derfor</w:t>
      </w:r>
      <w:r w:rsidR="00653B46">
        <w:t xml:space="preserve"> at spesialistforskriftens krav endres til at veileder </w:t>
      </w:r>
      <w:r w:rsidR="00653B46" w:rsidRPr="001516D0">
        <w:t xml:space="preserve">for </w:t>
      </w:r>
      <w:r w:rsidR="00653B46">
        <w:t xml:space="preserve">ALIS </w:t>
      </w:r>
      <w:r w:rsidR="00653B46" w:rsidRPr="00D9107F">
        <w:rPr>
          <w:rStyle w:val="kursiv"/>
        </w:rPr>
        <w:t>som hovedregel</w:t>
      </w:r>
      <w:r w:rsidR="002472E5" w:rsidRPr="001516D0">
        <w:t xml:space="preserve"> </w:t>
      </w:r>
      <w:r w:rsidR="002472E5">
        <w:t xml:space="preserve">skal </w:t>
      </w:r>
      <w:r w:rsidR="002472E5" w:rsidRPr="001516D0">
        <w:t xml:space="preserve">være godkjent spesialist i </w:t>
      </w:r>
      <w:r w:rsidR="002472E5">
        <w:t>allmennmedisin.</w:t>
      </w:r>
      <w:r w:rsidR="00653B46">
        <w:t xml:space="preserve"> Dette vil legge til rette for at kommunen</w:t>
      </w:r>
      <w:r w:rsidR="00AD1834">
        <w:t>,</w:t>
      </w:r>
      <w:r w:rsidR="00653B46">
        <w:t xml:space="preserve"> </w:t>
      </w:r>
      <w:r w:rsidR="003B1459">
        <w:t xml:space="preserve">ved mangel på </w:t>
      </w:r>
      <w:r w:rsidR="0003003B">
        <w:t>spesialister som er veiledningskompetente</w:t>
      </w:r>
      <w:r w:rsidR="00E77DEF">
        <w:t>,</w:t>
      </w:r>
      <w:r w:rsidR="00653B46">
        <w:t xml:space="preserve"> i større grad </w:t>
      </w:r>
      <w:r w:rsidR="00653B46" w:rsidRPr="6732455D">
        <w:rPr>
          <w:rFonts w:ascii="Calibri" w:hAnsi="Calibri" w:cs="Calibri"/>
          <w:color w:val="000000" w:themeColor="text1"/>
        </w:rPr>
        <w:t xml:space="preserve">kan gjøre egne vurderinger og finne løsninger som sikrer god veiledning av ALIS. </w:t>
      </w:r>
      <w:r w:rsidR="00093CD6">
        <w:rPr>
          <w:rFonts w:ascii="Calibri" w:hAnsi="Calibri" w:cs="Calibri"/>
          <w:color w:val="000000" w:themeColor="text1"/>
        </w:rPr>
        <w:t xml:space="preserve">Dette kan innebære interkommunale samarbeidsløsninger, men også at kommunen selv kan </w:t>
      </w:r>
      <w:r w:rsidR="00F762E1" w:rsidRPr="1200080F">
        <w:rPr>
          <w:rFonts w:ascii="Calibri" w:hAnsi="Calibri" w:cs="Calibri"/>
          <w:color w:val="000000" w:themeColor="text1"/>
        </w:rPr>
        <w:t>gjøre unntak fra hovedregelen ved at erfarne ALIS kan veilede.</w:t>
      </w:r>
      <w:r w:rsidR="00C876ED" w:rsidRPr="1200080F">
        <w:rPr>
          <w:rFonts w:ascii="Calibri" w:hAnsi="Calibri" w:cs="Calibri"/>
          <w:color w:val="000000" w:themeColor="text1"/>
        </w:rPr>
        <w:t xml:space="preserve"> </w:t>
      </w:r>
      <w:r w:rsidR="00186E7A">
        <w:t>Kommunen vil få økt ansvar for å vurdere hvilke allmennleger som innehar tilstrekkelig kompetanse til å veilede ALIS. I disse vurderingene skal erfaring og</w:t>
      </w:r>
      <w:r w:rsidR="00CA6DBE">
        <w:t xml:space="preserve"> nærhet</w:t>
      </w:r>
      <w:r w:rsidR="0064574D">
        <w:t xml:space="preserve"> til</w:t>
      </w:r>
      <w:r w:rsidR="00186E7A">
        <w:t xml:space="preserve"> spesialistkompetanse fortsatt tillegges stor vekt. </w:t>
      </w:r>
      <w:r w:rsidR="00774AB4">
        <w:t>I tillegg bør mindre folkerike og usentrale kommuner</w:t>
      </w:r>
      <w:r w:rsidR="00131517">
        <w:t xml:space="preserve"> samarbeide med andre kommuner og/eller ALIS-kontor når det gjelder denne vurderingen.</w:t>
      </w:r>
    </w:p>
    <w:p w14:paraId="49127B14" w14:textId="77777777" w:rsidR="00D9107F" w:rsidRDefault="00653B46" w:rsidP="00653B46">
      <w:pPr>
        <w:jc w:val="both"/>
      </w:pPr>
      <w:r>
        <w:t xml:space="preserve">En endring i spesialistkravet vil </w:t>
      </w:r>
      <w:r w:rsidR="007774B1">
        <w:t xml:space="preserve">i særlige tilfeller </w:t>
      </w:r>
      <w:r>
        <w:t>gi kommunen mulighet til å fordele veiledningsansvaret på flere leger, både spesialister og ikke</w:t>
      </w:r>
      <w:r w:rsidR="3D2A66D4">
        <w:t>-</w:t>
      </w:r>
      <w:r>
        <w:t xml:space="preserve">spesialister. Dette kan igjen bidra til at både tidsbruk og arbeidsbelastningen knyttet til å være veileder reduseres for den enkelte, og at ALIS sikres </w:t>
      </w:r>
      <w:r w:rsidR="00FB63DD">
        <w:t xml:space="preserve">reelt sett god og tilgjengelig </w:t>
      </w:r>
      <w:r>
        <w:t>veiledning.</w:t>
      </w:r>
    </w:p>
    <w:p w14:paraId="0DB4B892" w14:textId="5B117DC3" w:rsidR="006316CF" w:rsidRPr="00EB15A9" w:rsidRDefault="1D838EF3" w:rsidP="00775632">
      <w:pPr>
        <w:pStyle w:val="Overskrift4"/>
      </w:pPr>
      <w:bookmarkStart w:id="5547" w:name="_Toc130983716"/>
      <w:bookmarkStart w:id="5548" w:name="_Toc130984065"/>
      <w:bookmarkStart w:id="5549" w:name="_Toc131279660"/>
      <w:bookmarkStart w:id="5550" w:name="_Toc131287072"/>
      <w:bookmarkStart w:id="5551" w:name="_Toc131281482"/>
      <w:bookmarkStart w:id="5552" w:name="_Toc131318022"/>
      <w:r>
        <w:t>Institusjonstjenesten</w:t>
      </w:r>
      <w:bookmarkEnd w:id="5547"/>
      <w:bookmarkEnd w:id="5548"/>
      <w:bookmarkEnd w:id="5549"/>
      <w:bookmarkEnd w:id="5550"/>
      <w:bookmarkEnd w:id="5551"/>
      <w:bookmarkEnd w:id="5552"/>
    </w:p>
    <w:p w14:paraId="3A320DD3" w14:textId="77777777" w:rsidR="00D9107F" w:rsidRDefault="00FB63DD" w:rsidP="006316CF">
      <w:pPr>
        <w:jc w:val="both"/>
        <w:rPr>
          <w:rFonts w:cs="Times New Roman"/>
          <w:color w:val="000000" w:themeColor="text1"/>
        </w:rPr>
      </w:pPr>
      <w:r>
        <w:t>D</w:t>
      </w:r>
      <w:r w:rsidR="006316CF" w:rsidRPr="701524D2">
        <w:rPr>
          <w:rFonts w:cs="Times New Roman"/>
          <w:color w:val="000000" w:themeColor="text1"/>
        </w:rPr>
        <w:t>en delen av allmennlegenes spesialisering som skal skje i sykehus</w:t>
      </w:r>
      <w:r>
        <w:rPr>
          <w:rFonts w:cs="Times New Roman"/>
          <w:color w:val="000000" w:themeColor="text1"/>
        </w:rPr>
        <w:t>,</w:t>
      </w:r>
      <w:r w:rsidR="008B1880">
        <w:rPr>
          <w:rFonts w:cs="Times New Roman"/>
          <w:color w:val="000000" w:themeColor="text1"/>
        </w:rPr>
        <w:t xml:space="preserve"> </w:t>
      </w:r>
      <w:r w:rsidR="008B1880">
        <w:t>er en relativt sett liten, men ressurskrevende</w:t>
      </w:r>
      <w:r w:rsidR="00EA7FA1">
        <w:t>,</w:t>
      </w:r>
      <w:r w:rsidR="008B1880">
        <w:t xml:space="preserve"> del av spesialistutdanningen</w:t>
      </w:r>
      <w:r w:rsidR="008B1880">
        <w:rPr>
          <w:rFonts w:cs="Times New Roman"/>
          <w:color w:val="000000" w:themeColor="text1"/>
        </w:rPr>
        <w:t xml:space="preserve">. </w:t>
      </w:r>
      <w:r w:rsidR="006316CF">
        <w:rPr>
          <w:rFonts w:cs="Times New Roman"/>
          <w:color w:val="000000" w:themeColor="text1"/>
        </w:rPr>
        <w:t>Det er i dag allerede slik at institusjonstjenesten har store variasjoner, både knyttet til fagfelt og varighet.</w:t>
      </w:r>
    </w:p>
    <w:p w14:paraId="6A2515A7" w14:textId="77777777" w:rsidR="00D9107F" w:rsidRDefault="002678B4" w:rsidP="006316CF">
      <w:pPr>
        <w:jc w:val="both"/>
        <w:rPr>
          <w:rFonts w:cs="Times New Roman"/>
          <w:color w:val="000000" w:themeColor="text1"/>
        </w:rPr>
      </w:pPr>
      <w:r>
        <w:rPr>
          <w:rFonts w:cs="Times New Roman"/>
          <w:color w:val="000000" w:themeColor="text1"/>
        </w:rPr>
        <w:t>Ekspertu</w:t>
      </w:r>
      <w:r w:rsidRPr="6732455D">
        <w:rPr>
          <w:rFonts w:cs="Times New Roman"/>
          <w:color w:val="000000" w:themeColor="text1"/>
        </w:rPr>
        <w:t>tvalget</w:t>
      </w:r>
      <w:r w:rsidR="67D0DAB3" w:rsidRPr="6732455D">
        <w:rPr>
          <w:rFonts w:cs="Times New Roman"/>
          <w:color w:val="000000" w:themeColor="text1"/>
        </w:rPr>
        <w:t xml:space="preserve"> mener at </w:t>
      </w:r>
      <w:r w:rsidR="006316CF" w:rsidRPr="701524D2">
        <w:rPr>
          <w:rFonts w:cs="Times New Roman"/>
          <w:color w:val="000000" w:themeColor="text1"/>
        </w:rPr>
        <w:t>læringsmålene knyttet til samhandling og dybdekompetanse er gode</w:t>
      </w:r>
      <w:r w:rsidR="00F62E6C">
        <w:rPr>
          <w:rFonts w:cs="Times New Roman"/>
          <w:color w:val="000000" w:themeColor="text1"/>
        </w:rPr>
        <w:t xml:space="preserve">. </w:t>
      </w:r>
      <w:r w:rsidR="00BD5A0B">
        <w:rPr>
          <w:rFonts w:cs="Times New Roman"/>
          <w:color w:val="000000" w:themeColor="text1"/>
        </w:rPr>
        <w:t xml:space="preserve">Ved at </w:t>
      </w:r>
      <w:r w:rsidR="00EB1184">
        <w:rPr>
          <w:rFonts w:cs="Times New Roman"/>
          <w:color w:val="000000" w:themeColor="text1"/>
        </w:rPr>
        <w:t xml:space="preserve">sykere pasienter med komplekse tilstander </w:t>
      </w:r>
      <w:r w:rsidR="00121DD0">
        <w:rPr>
          <w:rFonts w:cs="Times New Roman"/>
          <w:color w:val="000000" w:themeColor="text1"/>
        </w:rPr>
        <w:t xml:space="preserve">skrives ut fra sykehus </w:t>
      </w:r>
      <w:r w:rsidR="313A4997" w:rsidRPr="6732455D">
        <w:rPr>
          <w:rFonts w:cs="Times New Roman"/>
          <w:color w:val="000000" w:themeColor="text1"/>
        </w:rPr>
        <w:t xml:space="preserve">og </w:t>
      </w:r>
      <w:r w:rsidR="00EB1184">
        <w:rPr>
          <w:rFonts w:cs="Times New Roman"/>
          <w:color w:val="000000" w:themeColor="text1"/>
        </w:rPr>
        <w:t xml:space="preserve">skal behandles i kommunen, </w:t>
      </w:r>
      <w:r w:rsidR="00BA75B2">
        <w:rPr>
          <w:rFonts w:cs="Times New Roman"/>
          <w:color w:val="000000" w:themeColor="text1"/>
        </w:rPr>
        <w:t>vil det være behov for at fastlegen</w:t>
      </w:r>
      <w:r w:rsidR="00EA7FA1">
        <w:rPr>
          <w:rFonts w:cs="Times New Roman"/>
          <w:color w:val="000000" w:themeColor="text1"/>
        </w:rPr>
        <w:t>,</w:t>
      </w:r>
      <w:r w:rsidR="00BD4F81">
        <w:rPr>
          <w:rFonts w:cs="Times New Roman"/>
          <w:color w:val="000000" w:themeColor="text1"/>
        </w:rPr>
        <w:t xml:space="preserve"> i tråd med dette</w:t>
      </w:r>
      <w:r w:rsidR="00EA7FA1">
        <w:rPr>
          <w:rFonts w:cs="Times New Roman"/>
          <w:color w:val="000000" w:themeColor="text1"/>
        </w:rPr>
        <w:t>,</w:t>
      </w:r>
      <w:r w:rsidR="00BD4F81">
        <w:rPr>
          <w:rFonts w:cs="Times New Roman"/>
          <w:color w:val="000000" w:themeColor="text1"/>
        </w:rPr>
        <w:t xml:space="preserve"> tilpasser og øker sin kompetanse</w:t>
      </w:r>
      <w:r w:rsidR="0051313E">
        <w:rPr>
          <w:rFonts w:cs="Times New Roman"/>
          <w:color w:val="000000" w:themeColor="text1"/>
        </w:rPr>
        <w:t>. I</w:t>
      </w:r>
      <w:r w:rsidR="313A4997" w:rsidRPr="6732455D">
        <w:rPr>
          <w:rFonts w:cs="Times New Roman"/>
          <w:color w:val="000000" w:themeColor="text1"/>
        </w:rPr>
        <w:t xml:space="preserve"> likhet med Helsepersonellkommisjonen</w:t>
      </w:r>
      <w:r w:rsidR="000A2FF1">
        <w:rPr>
          <w:rFonts w:cs="Times New Roman"/>
          <w:color w:val="000000" w:themeColor="text1"/>
        </w:rPr>
        <w:t>,</w:t>
      </w:r>
      <w:r w:rsidR="313A4997" w:rsidRPr="00AD4DE2">
        <w:rPr>
          <w:rFonts w:cs="Times New Roman"/>
        </w:rPr>
        <w:t xml:space="preserve"> </w:t>
      </w:r>
      <w:r w:rsidR="009554F8">
        <w:rPr>
          <w:rFonts w:cs="Times New Roman"/>
        </w:rPr>
        <w:t xml:space="preserve">mener </w:t>
      </w:r>
      <w:r w:rsidR="002D564B">
        <w:rPr>
          <w:rFonts w:cs="Times New Roman"/>
        </w:rPr>
        <w:t>ekspe</w:t>
      </w:r>
      <w:r w:rsidR="006E6D95">
        <w:rPr>
          <w:rFonts w:cs="Times New Roman"/>
        </w:rPr>
        <w:t>rt</w:t>
      </w:r>
      <w:r w:rsidR="009554F8">
        <w:rPr>
          <w:rFonts w:cs="Times New Roman"/>
        </w:rPr>
        <w:t>utvalget at det</w:t>
      </w:r>
      <w:r w:rsidR="313A4997">
        <w:rPr>
          <w:rFonts w:cs="Times New Roman"/>
        </w:rPr>
        <w:t xml:space="preserve"> </w:t>
      </w:r>
      <w:r w:rsidR="00FB63DD">
        <w:rPr>
          <w:rFonts w:cs="Times New Roman"/>
        </w:rPr>
        <w:t xml:space="preserve">er </w:t>
      </w:r>
      <w:r w:rsidR="313A4997" w:rsidRPr="00AD4DE2">
        <w:rPr>
          <w:rFonts w:ascii="Calibri" w:eastAsia="Calibri" w:hAnsi="Calibri" w:cs="Calibri"/>
        </w:rPr>
        <w:t xml:space="preserve">behov for ytterligere </w:t>
      </w:r>
      <w:r w:rsidR="00FB63DD">
        <w:rPr>
          <w:rFonts w:ascii="Calibri" w:eastAsia="Calibri" w:hAnsi="Calibri" w:cs="Calibri"/>
        </w:rPr>
        <w:t>sam</w:t>
      </w:r>
      <w:r w:rsidR="00EF6C22" w:rsidRPr="00AD4DE2">
        <w:rPr>
          <w:rFonts w:ascii="Calibri" w:eastAsia="Calibri" w:hAnsi="Calibri" w:cs="Calibri"/>
        </w:rPr>
        <w:t>arbeid</w:t>
      </w:r>
      <w:r w:rsidR="00EA7FA1">
        <w:rPr>
          <w:rFonts w:ascii="Calibri" w:eastAsia="Calibri" w:hAnsi="Calibri" w:cs="Calibri"/>
        </w:rPr>
        <w:t>,</w:t>
      </w:r>
      <w:r w:rsidR="313A4997" w:rsidRPr="00AD4DE2">
        <w:rPr>
          <w:rFonts w:ascii="Calibri" w:eastAsia="Calibri" w:hAnsi="Calibri" w:cs="Calibri"/>
        </w:rPr>
        <w:t xml:space="preserve"> både horisontalt og vertikalt </w:t>
      </w:r>
      <w:r w:rsidR="002472E5" w:rsidRPr="00AD4DE2">
        <w:rPr>
          <w:rFonts w:ascii="Calibri" w:eastAsia="Calibri" w:hAnsi="Calibri" w:cs="Calibri"/>
        </w:rPr>
        <w:t>i helsetjenestene framover.</w:t>
      </w:r>
      <w:r w:rsidR="313A4997" w:rsidRPr="00AD4DE2">
        <w:rPr>
          <w:rFonts w:ascii="Calibri" w:eastAsia="Calibri" w:hAnsi="Calibri" w:cs="Calibri"/>
        </w:rPr>
        <w:t xml:space="preserve"> Det bør da ikke bare påligge ALIS å ha institusjonstjeneste, men det vil framover kunne være vel så viktig at LIS i spesialisthelsetjenesten får dypere forståelse for utfordringene i de kommunale </w:t>
      </w:r>
      <w:r w:rsidR="004A5C8D" w:rsidRPr="00AD4DE2">
        <w:rPr>
          <w:rFonts w:ascii="Calibri" w:eastAsia="Calibri" w:hAnsi="Calibri" w:cs="Calibri"/>
        </w:rPr>
        <w:t>helse</w:t>
      </w:r>
      <w:r w:rsidR="313A4997" w:rsidRPr="00AD4DE2">
        <w:rPr>
          <w:rFonts w:ascii="Calibri" w:eastAsia="Calibri" w:hAnsi="Calibri" w:cs="Calibri"/>
        </w:rPr>
        <w:t>- og omsorgstjenestene</w:t>
      </w:r>
      <w:r w:rsidR="00EA7FA1">
        <w:rPr>
          <w:rFonts w:ascii="Calibri" w:eastAsia="Calibri" w:hAnsi="Calibri" w:cs="Calibri"/>
        </w:rPr>
        <w:t>,</w:t>
      </w:r>
      <w:r w:rsidR="313A4997" w:rsidRPr="00AD4DE2">
        <w:rPr>
          <w:rFonts w:ascii="Calibri" w:eastAsia="Calibri" w:hAnsi="Calibri" w:cs="Calibri"/>
        </w:rPr>
        <w:t xml:space="preserve"> ved at de pålegges tjeneste</w:t>
      </w:r>
      <w:r w:rsidR="00125136">
        <w:rPr>
          <w:rFonts w:ascii="Calibri" w:eastAsia="Calibri" w:hAnsi="Calibri" w:cs="Calibri"/>
        </w:rPr>
        <w:t xml:space="preserve">tid i </w:t>
      </w:r>
      <w:r w:rsidR="00FB63DD">
        <w:rPr>
          <w:rFonts w:ascii="Calibri" w:eastAsia="Calibri" w:hAnsi="Calibri" w:cs="Calibri"/>
        </w:rPr>
        <w:t>primærhelsetjenesten</w:t>
      </w:r>
      <w:r w:rsidR="313A4997" w:rsidRPr="00AD4DE2">
        <w:rPr>
          <w:rFonts w:ascii="Calibri" w:eastAsia="Calibri" w:hAnsi="Calibri" w:cs="Calibri"/>
        </w:rPr>
        <w:t xml:space="preserve">. </w:t>
      </w:r>
      <w:r w:rsidR="006E6D95">
        <w:rPr>
          <w:rFonts w:ascii="Calibri" w:eastAsia="Calibri" w:hAnsi="Calibri" w:cs="Calibri"/>
        </w:rPr>
        <w:t>Ekspertu</w:t>
      </w:r>
      <w:r w:rsidR="006E6D95" w:rsidRPr="00AD4DE2">
        <w:rPr>
          <w:rFonts w:cs="Times New Roman"/>
        </w:rPr>
        <w:t>tvalgets</w:t>
      </w:r>
      <w:r w:rsidR="006316CF" w:rsidRPr="00AD4DE2">
        <w:rPr>
          <w:rFonts w:cs="Times New Roman"/>
        </w:rPr>
        <w:t xml:space="preserve"> vurdering </w:t>
      </w:r>
      <w:r w:rsidR="707305CE" w:rsidRPr="00AD4DE2">
        <w:rPr>
          <w:rFonts w:cs="Times New Roman"/>
        </w:rPr>
        <w:t>er likevel</w:t>
      </w:r>
      <w:r w:rsidR="566D3C7F" w:rsidRPr="00AD4DE2">
        <w:rPr>
          <w:rFonts w:cs="Times New Roman"/>
        </w:rPr>
        <w:t xml:space="preserve"> at </w:t>
      </w:r>
      <w:r w:rsidR="7C9A61BC" w:rsidRPr="00AD4DE2">
        <w:rPr>
          <w:rFonts w:ascii="Calibri" w:eastAsia="Calibri" w:hAnsi="Calibri" w:cs="Calibri"/>
        </w:rPr>
        <w:t>nytten av dages krav til sykehustjeneste for ALIS</w:t>
      </w:r>
      <w:r w:rsidR="006316CF" w:rsidRPr="00AD4DE2">
        <w:rPr>
          <w:rFonts w:ascii="Calibri" w:eastAsia="Calibri" w:hAnsi="Calibri" w:cs="Calibri"/>
        </w:rPr>
        <w:t xml:space="preserve"> </w:t>
      </w:r>
      <w:r w:rsidR="006316CF" w:rsidRPr="00AD4DE2">
        <w:rPr>
          <w:rFonts w:cs="Times New Roman"/>
        </w:rPr>
        <w:t xml:space="preserve">trolig ikke veier opp for ulempene denne delen av tjenesten </w:t>
      </w:r>
      <w:r w:rsidR="00FB63DD">
        <w:rPr>
          <w:rFonts w:cs="Times New Roman"/>
        </w:rPr>
        <w:t>kan være</w:t>
      </w:r>
      <w:r w:rsidR="006316CF" w:rsidRPr="00AD4DE2">
        <w:rPr>
          <w:rFonts w:cs="Times New Roman"/>
        </w:rPr>
        <w:t xml:space="preserve"> forbundet med. Dette knytter seg både til at institusjonstjenesten </w:t>
      </w:r>
      <w:r w:rsidR="006316CF" w:rsidRPr="701524D2">
        <w:rPr>
          <w:rFonts w:cs="Times New Roman"/>
          <w:color w:val="000000" w:themeColor="text1"/>
        </w:rPr>
        <w:t>gir uforutsigbarhet og mulig forlengelse av utdanningsløpet</w:t>
      </w:r>
      <w:r w:rsidR="006316CF">
        <w:rPr>
          <w:rFonts w:cs="Times New Roman"/>
          <w:color w:val="000000" w:themeColor="text1"/>
        </w:rPr>
        <w:t xml:space="preserve"> for ALIS</w:t>
      </w:r>
      <w:r w:rsidR="006316CF" w:rsidRPr="701524D2">
        <w:rPr>
          <w:rFonts w:cs="Times New Roman"/>
          <w:color w:val="000000" w:themeColor="text1"/>
        </w:rPr>
        <w:t xml:space="preserve">. I tillegg medfører kravet om institusjonstjeneste vikarbehov </w:t>
      </w:r>
      <w:r w:rsidR="7A0750C5" w:rsidRPr="6732455D">
        <w:rPr>
          <w:rFonts w:cs="Times New Roman"/>
          <w:color w:val="000000" w:themeColor="text1"/>
        </w:rPr>
        <w:t xml:space="preserve">og diskontinuitet </w:t>
      </w:r>
      <w:r w:rsidR="006316CF" w:rsidRPr="701524D2">
        <w:rPr>
          <w:rFonts w:cs="Times New Roman"/>
          <w:color w:val="000000" w:themeColor="text1"/>
        </w:rPr>
        <w:t>i en allerede presse</w:t>
      </w:r>
      <w:r w:rsidR="006316CF">
        <w:rPr>
          <w:rFonts w:cs="Times New Roman"/>
          <w:color w:val="000000" w:themeColor="text1"/>
        </w:rPr>
        <w:t>t</w:t>
      </w:r>
      <w:r w:rsidR="006316CF" w:rsidRPr="701524D2">
        <w:rPr>
          <w:rFonts w:cs="Times New Roman"/>
          <w:color w:val="000000" w:themeColor="text1"/>
        </w:rPr>
        <w:t xml:space="preserve"> kommunal allmennlegetjeneste, og </w:t>
      </w:r>
      <w:r w:rsidR="006316CF">
        <w:rPr>
          <w:rFonts w:cs="Times New Roman"/>
          <w:color w:val="000000" w:themeColor="text1"/>
        </w:rPr>
        <w:t xml:space="preserve">gir administrativt merarbeid </w:t>
      </w:r>
      <w:r w:rsidR="006316CF" w:rsidRPr="701524D2">
        <w:rPr>
          <w:rFonts w:cs="Times New Roman"/>
          <w:color w:val="000000" w:themeColor="text1"/>
        </w:rPr>
        <w:t>både for kommunen og sykehusene.</w:t>
      </w:r>
    </w:p>
    <w:p w14:paraId="7D3C41CE" w14:textId="77777777" w:rsidR="00D9107F" w:rsidRDefault="006316CF" w:rsidP="006316CF">
      <w:pPr>
        <w:jc w:val="both"/>
        <w:rPr>
          <w:rFonts w:cs="Times New Roman"/>
          <w:color w:val="000000" w:themeColor="text1"/>
        </w:rPr>
      </w:pPr>
      <w:r w:rsidRPr="701524D2">
        <w:rPr>
          <w:rFonts w:cs="Times New Roman"/>
          <w:color w:val="000000" w:themeColor="text1"/>
        </w:rPr>
        <w:t xml:space="preserve">Det er usikkert om egne stillinger for ALIS i sykehus vil gi mer forutsigbarhet. I så fall må både kommunen og sykehusene bruke ytterligere ressurser på koordinering rundt disse stillingene, ressurser som kunne vært brukt på andre tiltak. Egne stillinger for ALIS i sykehus vil </w:t>
      </w:r>
      <w:r>
        <w:rPr>
          <w:rFonts w:cs="Times New Roman"/>
          <w:color w:val="000000" w:themeColor="text1"/>
        </w:rPr>
        <w:t xml:space="preserve">trolig i liten grad endre </w:t>
      </w:r>
      <w:r w:rsidRPr="701524D2">
        <w:rPr>
          <w:rFonts w:cs="Times New Roman"/>
          <w:color w:val="000000" w:themeColor="text1"/>
        </w:rPr>
        <w:t>vikarbehovet de</w:t>
      </w:r>
      <w:r>
        <w:rPr>
          <w:rFonts w:cs="Times New Roman"/>
          <w:color w:val="000000" w:themeColor="text1"/>
        </w:rPr>
        <w:t>nne delen av tjenesten</w:t>
      </w:r>
      <w:r w:rsidRPr="701524D2">
        <w:rPr>
          <w:rFonts w:cs="Times New Roman"/>
          <w:color w:val="000000" w:themeColor="text1"/>
        </w:rPr>
        <w:t xml:space="preserve"> generer</w:t>
      </w:r>
      <w:r>
        <w:rPr>
          <w:rFonts w:cs="Times New Roman"/>
          <w:color w:val="000000" w:themeColor="text1"/>
        </w:rPr>
        <w:t>er</w:t>
      </w:r>
      <w:r w:rsidRPr="701524D2">
        <w:rPr>
          <w:rFonts w:cs="Times New Roman"/>
          <w:color w:val="000000" w:themeColor="text1"/>
        </w:rPr>
        <w:t xml:space="preserve"> i allmennlegetjenesten</w:t>
      </w:r>
      <w:r w:rsidR="23B45225" w:rsidRPr="6732455D">
        <w:rPr>
          <w:rFonts w:cs="Times New Roman"/>
          <w:color w:val="000000" w:themeColor="text1"/>
        </w:rPr>
        <w:t xml:space="preserve"> eller at </w:t>
      </w:r>
      <w:r w:rsidRPr="701524D2">
        <w:rPr>
          <w:rFonts w:cs="Times New Roman"/>
          <w:color w:val="000000" w:themeColor="text1"/>
        </w:rPr>
        <w:t xml:space="preserve">ALIS i mange tilfeller </w:t>
      </w:r>
      <w:r>
        <w:rPr>
          <w:rFonts w:cs="Times New Roman"/>
          <w:color w:val="000000" w:themeColor="text1"/>
        </w:rPr>
        <w:t xml:space="preserve">vil </w:t>
      </w:r>
      <w:r w:rsidRPr="64E2EA9C">
        <w:rPr>
          <w:rFonts w:cs="Times New Roman"/>
          <w:color w:val="000000" w:themeColor="text1"/>
        </w:rPr>
        <w:t>måtte</w:t>
      </w:r>
      <w:r w:rsidRPr="701524D2">
        <w:rPr>
          <w:rFonts w:cs="Times New Roman"/>
          <w:color w:val="000000" w:themeColor="text1"/>
        </w:rPr>
        <w:t xml:space="preserve"> flytte fra sin kommune.</w:t>
      </w:r>
    </w:p>
    <w:p w14:paraId="33EF5713" w14:textId="2BBC98BC" w:rsidR="006316CF" w:rsidRPr="00D9107F" w:rsidRDefault="006316CF" w:rsidP="006316CF">
      <w:pPr>
        <w:ind w:left="10" w:hanging="10"/>
        <w:jc w:val="both"/>
        <w:rPr>
          <w:rStyle w:val="halvfet"/>
        </w:rPr>
      </w:pPr>
      <w:r w:rsidRPr="0042317A">
        <w:rPr>
          <w:rFonts w:cs="Times New Roman"/>
        </w:rPr>
        <w:lastRenderedPageBreak/>
        <w:t xml:space="preserve">Når det kommer til </w:t>
      </w:r>
      <w:r>
        <w:rPr>
          <w:rFonts w:cs="Times New Roman"/>
        </w:rPr>
        <w:t xml:space="preserve">læringsmålene om samhandling og dybdekompetanse, er ekspertutvalgets vurdering at denne kompetansen for de alle fleste allmennleger trolig i tilstrekkelig grad kan oppnås gjennom spesialistutdanningens første del og på andre måter, herunder </w:t>
      </w:r>
      <w:r w:rsidRPr="005F503B">
        <w:t>kortere hospitering med målrettet læring</w:t>
      </w:r>
      <w:r w:rsidR="4E5FB851">
        <w:t>/</w:t>
      </w:r>
      <w:r w:rsidRPr="005F503B">
        <w:t xml:space="preserve"> </w:t>
      </w:r>
      <w:r>
        <w:t>fordypning innenfor visse fagfelt, følge</w:t>
      </w:r>
      <w:r w:rsidRPr="005F503B">
        <w:t xml:space="preserve"> pasienter inn i sykehuset eller delta på allerede eksisterende samhandlingsarenaer.</w:t>
      </w:r>
      <w:r>
        <w:t xml:space="preserve"> </w:t>
      </w:r>
      <w:r>
        <w:rPr>
          <w:rFonts w:cs="Times New Roman"/>
        </w:rPr>
        <w:t xml:space="preserve">Med bakgrunn i dette </w:t>
      </w:r>
      <w:r w:rsidR="00963E4F">
        <w:rPr>
          <w:rFonts w:cs="Times New Roman"/>
        </w:rPr>
        <w:t>mener</w:t>
      </w:r>
      <w:r>
        <w:rPr>
          <w:rFonts w:cs="Times New Roman"/>
        </w:rPr>
        <w:t xml:space="preserve"> ekspertutvalgets at det er flere argumenter som taler for at anbefalingen om institusjonstjeneste for å oppnå </w:t>
      </w:r>
      <w:r w:rsidR="001B5D49">
        <w:rPr>
          <w:rFonts w:cs="Times New Roman"/>
        </w:rPr>
        <w:t xml:space="preserve">disse to læringsmålene </w:t>
      </w:r>
      <w:r>
        <w:rPr>
          <w:rFonts w:cs="Times New Roman"/>
        </w:rPr>
        <w:t>fjernes</w:t>
      </w:r>
      <w:r w:rsidR="00B53531">
        <w:rPr>
          <w:rFonts w:cs="Times New Roman"/>
        </w:rPr>
        <w:t>, og at beskrivelsen i spesialistforskriften nyanseres</w:t>
      </w:r>
      <w:r>
        <w:rPr>
          <w:rFonts w:cs="Times New Roman"/>
        </w:rPr>
        <w:t>.</w:t>
      </w:r>
    </w:p>
    <w:p w14:paraId="25A91821" w14:textId="77777777" w:rsidR="001109DF" w:rsidRDefault="44C43F04" w:rsidP="00775632">
      <w:pPr>
        <w:pStyle w:val="Overskrift3"/>
      </w:pPr>
      <w:bookmarkStart w:id="5553" w:name="_Toc120526273"/>
      <w:bookmarkStart w:id="5554" w:name="_Toc126834470"/>
      <w:bookmarkStart w:id="5555" w:name="_Toc127633355"/>
      <w:bookmarkStart w:id="5556" w:name="_Toc127864640"/>
      <w:bookmarkStart w:id="5557" w:name="_Toc128238657"/>
      <w:bookmarkStart w:id="5558" w:name="_Toc128742105"/>
      <w:bookmarkStart w:id="5559" w:name="_Toc128744733"/>
      <w:bookmarkStart w:id="5560" w:name="_Toc128744952"/>
      <w:bookmarkStart w:id="5561" w:name="_Toc129630457"/>
      <w:bookmarkStart w:id="5562" w:name="_Toc130763964"/>
      <w:bookmarkStart w:id="5563" w:name="_Toc130766859"/>
      <w:bookmarkStart w:id="5564" w:name="_Toc130932258"/>
      <w:bookmarkStart w:id="5565" w:name="_Toc130934549"/>
      <w:bookmarkStart w:id="5566" w:name="_Toc130983717"/>
      <w:bookmarkStart w:id="5567" w:name="_Toc130984066"/>
      <w:bookmarkStart w:id="5568" w:name="_Toc131062300"/>
      <w:bookmarkStart w:id="5569" w:name="_Toc131062554"/>
      <w:bookmarkStart w:id="5570" w:name="_Toc131062815"/>
      <w:bookmarkStart w:id="5571" w:name="_Toc131063068"/>
      <w:bookmarkStart w:id="5572" w:name="_Toc131063851"/>
      <w:bookmarkStart w:id="5573" w:name="_Toc131064262"/>
      <w:bookmarkStart w:id="5574" w:name="_Toc131279661"/>
      <w:bookmarkStart w:id="5575" w:name="_Toc131287073"/>
      <w:bookmarkStart w:id="5576" w:name="_Toc131281483"/>
      <w:bookmarkStart w:id="5577" w:name="_Toc131318023"/>
      <w:bookmarkStart w:id="5578" w:name="_Toc132537095"/>
      <w:r>
        <w:t>Utdanningsstillinger i allmennmedisin</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p>
    <w:p w14:paraId="630F8254" w14:textId="77777777" w:rsidR="00485ECF" w:rsidRDefault="00813699" w:rsidP="005B332A">
      <w:pPr>
        <w:jc w:val="both"/>
      </w:pPr>
      <w:r>
        <w:t xml:space="preserve">Økt rekruttering av unge til videre legearbeid i kommunen vil, på sikt, komme innbyggere, de etablerte legene og kommuner til gode. </w:t>
      </w:r>
      <w:r w:rsidR="0079574A">
        <w:t xml:space="preserve">Utdanningsstillinger i allmennmedisin </w:t>
      </w:r>
      <w:r w:rsidR="00A72730">
        <w:t xml:space="preserve">kan bidra til å </w:t>
      </w:r>
      <w:r>
        <w:t>senke terskelen for at unge leger starte</w:t>
      </w:r>
      <w:r w:rsidR="00AB1895">
        <w:t>r</w:t>
      </w:r>
      <w:r>
        <w:t xml:space="preserve"> som fastlege</w:t>
      </w:r>
      <w:r w:rsidR="00485ECF">
        <w:t>.</w:t>
      </w:r>
    </w:p>
    <w:p w14:paraId="4A987212" w14:textId="77777777" w:rsidR="00D9107F" w:rsidRDefault="00922DFE" w:rsidP="005B332A">
      <w:pPr>
        <w:jc w:val="both"/>
      </w:pPr>
      <w:r>
        <w:t>I</w:t>
      </w:r>
      <w:r w:rsidR="005B332A">
        <w:t>nnretningen på utdanningsstillinger i fastlegepraksis omfatter forhold som blant annet knytter seg til organisering, regulering og finansiering. De</w:t>
      </w:r>
      <w:r w:rsidR="0010591B">
        <w:t>t</w:t>
      </w:r>
      <w:r w:rsidR="005B332A">
        <w:t xml:space="preserve"> reiser også </w:t>
      </w:r>
      <w:r w:rsidR="1A48C8BD">
        <w:t>spørsmål</w:t>
      </w:r>
      <w:r w:rsidR="005B332A">
        <w:t xml:space="preserve"> om ALIS skal være ansatt i kommunen eller kan ansettes av de andre legene i </w:t>
      </w:r>
      <w:r w:rsidR="00FB63DD">
        <w:t xml:space="preserve">en </w:t>
      </w:r>
      <w:r w:rsidR="005B332A">
        <w:t>fastlegepraksis. Muligheter for overgang til næringsdrift og avgrensninger mot allerede etablerte tiltak som introduksjonsavtaler</w:t>
      </w:r>
      <w:r w:rsidR="002472E5">
        <w:t xml:space="preserve"> må vurderes.</w:t>
      </w:r>
      <w:r w:rsidR="005B332A">
        <w:t xml:space="preserve"> </w:t>
      </w:r>
      <w:r w:rsidR="000460B6">
        <w:t xml:space="preserve">Det samme gjelder konsekvenser </w:t>
      </w:r>
      <w:r w:rsidR="00B3597A">
        <w:t xml:space="preserve">utdanningsstillinger vil </w:t>
      </w:r>
      <w:r w:rsidR="00F230FD">
        <w:t>gi</w:t>
      </w:r>
      <w:r w:rsidR="000460B6">
        <w:t xml:space="preserve"> </w:t>
      </w:r>
      <w:r w:rsidR="00EE3316">
        <w:t>i større og mindre kommuner.</w:t>
      </w:r>
    </w:p>
    <w:p w14:paraId="43DD2673" w14:textId="0BB5700E" w:rsidR="00F160F6" w:rsidRDefault="00F160F6" w:rsidP="005B332A">
      <w:pPr>
        <w:jc w:val="both"/>
      </w:pPr>
      <w:r>
        <w:t xml:space="preserve">Ekspertutvalget legger til grunn at utdanningsstillinger vil komme i tillegg </w:t>
      </w:r>
      <w:r w:rsidR="00FB63DD">
        <w:t xml:space="preserve">til </w:t>
      </w:r>
      <w:r w:rsidR="00441F91">
        <w:t>ALIS-løp som allerede eksisterer i dagens ordning.</w:t>
      </w:r>
    </w:p>
    <w:p w14:paraId="57072379" w14:textId="77777777" w:rsidR="00D9107F" w:rsidRDefault="003B2563" w:rsidP="003B2563">
      <w:pPr>
        <w:jc w:val="center"/>
      </w:pPr>
      <w:r>
        <w:rPr>
          <w:noProof/>
        </w:rPr>
        <w:drawing>
          <wp:inline distT="0" distB="0" distL="0" distR="0" wp14:anchorId="735F5FE4" wp14:editId="5A83995B">
            <wp:extent cx="2615165" cy="334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9210" t="30602" r="28528" b="31153"/>
                    <a:stretch/>
                  </pic:blipFill>
                  <pic:spPr bwMode="auto">
                    <a:xfrm>
                      <a:off x="0" y="0"/>
                      <a:ext cx="2615427" cy="3348986"/>
                    </a:xfrm>
                    <a:prstGeom prst="rect">
                      <a:avLst/>
                    </a:prstGeom>
                    <a:noFill/>
                    <a:ln>
                      <a:noFill/>
                    </a:ln>
                    <a:extLst>
                      <a:ext uri="{53640926-AAD7-44D8-BBD7-CCE9431645EC}">
                        <a14:shadowObscured xmlns:a14="http://schemas.microsoft.com/office/drawing/2010/main"/>
                      </a:ext>
                    </a:extLst>
                  </pic:spPr>
                </pic:pic>
              </a:graphicData>
            </a:graphic>
          </wp:inline>
        </w:drawing>
      </w:r>
    </w:p>
    <w:p w14:paraId="7DF86764" w14:textId="1A5C03B6" w:rsidR="0005696E" w:rsidRDefault="7428C969" w:rsidP="00775632">
      <w:pPr>
        <w:pStyle w:val="Overskrift4"/>
      </w:pPr>
      <w:bookmarkStart w:id="5579" w:name="_Toc130983718"/>
      <w:bookmarkStart w:id="5580" w:name="_Toc130984067"/>
      <w:bookmarkStart w:id="5581" w:name="_Toc131279662"/>
      <w:bookmarkStart w:id="5582" w:name="_Toc131287074"/>
      <w:bookmarkStart w:id="5583" w:name="_Toc131281484"/>
      <w:bookmarkStart w:id="5584" w:name="_Toc131318024"/>
      <w:r>
        <w:lastRenderedPageBreak/>
        <w:t>Ansatt og jobber på andre leger</w:t>
      </w:r>
      <w:r w:rsidR="15EC1328">
        <w:t>s</w:t>
      </w:r>
      <w:r>
        <w:t xml:space="preserve"> li</w:t>
      </w:r>
      <w:r w:rsidR="7A7F07D4">
        <w:t>ste</w:t>
      </w:r>
      <w:bookmarkEnd w:id="5579"/>
      <w:bookmarkEnd w:id="5580"/>
      <w:bookmarkEnd w:id="5581"/>
      <w:bookmarkEnd w:id="5582"/>
      <w:bookmarkEnd w:id="5583"/>
      <w:bookmarkEnd w:id="5584"/>
    </w:p>
    <w:p w14:paraId="6C72C13E" w14:textId="77777777" w:rsidR="00D9107F" w:rsidRDefault="001109DF" w:rsidP="001109DF">
      <w:pPr>
        <w:jc w:val="both"/>
      </w:pPr>
      <w:r>
        <w:t>I sammenlignbare land</w:t>
      </w:r>
      <w:r w:rsidR="00EA7FA1">
        <w:t>,</w:t>
      </w:r>
      <w:r>
        <w:t xml:space="preserve"> som </w:t>
      </w:r>
      <w:r w:rsidR="00DC1F85">
        <w:t xml:space="preserve">blant annet </w:t>
      </w:r>
      <w:r>
        <w:t>Sverige og Danmark</w:t>
      </w:r>
      <w:r w:rsidR="3877C0A1">
        <w:t>,</w:t>
      </w:r>
      <w:r>
        <w:t xml:space="preserve"> har ikke leger i spesialisering i allmennmedisin ansvar for egne lister eller </w:t>
      </w:r>
      <w:r w:rsidR="00FB63DD">
        <w:t>d</w:t>
      </w:r>
      <w:r>
        <w:t xml:space="preserve">rift av legepraksisen. Kunnskapsgrunnlaget knyttet til unge legers preferanser for valg av yrke, taler for at utdanningsstillinger hvor ALIS er ansatt kan ha </w:t>
      </w:r>
      <w:r w:rsidR="00EA7FA1">
        <w:t xml:space="preserve">positiv </w:t>
      </w:r>
      <w:r>
        <w:t>effekt på rekruttering, ved at unge leger gis mulighet til å teste ut fastlegeyrket uten å måtte investere i egen praksis, starte næringsvirksomhet eller ha ansvar for drift.</w:t>
      </w:r>
    </w:p>
    <w:p w14:paraId="1AFA289A" w14:textId="77777777" w:rsidR="00D9107F" w:rsidRDefault="71C7EED7" w:rsidP="00996BE5">
      <w:pPr>
        <w:jc w:val="both"/>
      </w:pPr>
      <w:r>
        <w:t xml:space="preserve">Trolig vil terskelen for overgang fra andre legestillinger til fastlegeyrket senkes ved økte muligheter for ansettelse. Dette gjelder for leger ansatt i andre kommunale stillinger, og leger som kommer fra lignende ansettelsesforhold i spesialisthelsetjenesten. </w:t>
      </w:r>
      <w:r w:rsidR="579981D8">
        <w:t xml:space="preserve">Etter gjennomført spesialistutdanning </w:t>
      </w:r>
      <w:r w:rsidR="20B23E3C">
        <w:t>i allmennmedisin</w:t>
      </w:r>
      <w:r w:rsidR="1F7F7874">
        <w:t>,</w:t>
      </w:r>
      <w:r w:rsidR="20B23E3C">
        <w:t xml:space="preserve"> </w:t>
      </w:r>
      <w:r w:rsidR="1555AC2F">
        <w:t xml:space="preserve">er det en økende andel som </w:t>
      </w:r>
      <w:r w:rsidR="64A03BF5">
        <w:t xml:space="preserve">sier at de </w:t>
      </w:r>
      <w:r w:rsidR="1555AC2F">
        <w:t>ønsker å være selvstendig næringsdrivende</w:t>
      </w:r>
      <w:r w:rsidR="38D7E63F">
        <w:t xml:space="preserve"> </w:t>
      </w:r>
      <w:r w:rsidR="001F5F05">
        <w:fldChar w:fldCharType="begin"/>
      </w:r>
      <w:r w:rsidR="001F5F05">
        <w:instrText xml:space="preserve"> ADDIN EN.CITE &lt;EndNote&gt;&lt;Cite&gt;&lt;Author&gt;Oslo Economics&lt;/Author&gt;&lt;Year&gt;2022&lt;/Year&gt;&lt;RecNum&gt;218&lt;/RecNum&gt;&lt;DisplayText&gt;(Oslo Economics, 2022)&lt;/DisplayText&gt;&lt;record&gt;&lt;rec-number&gt;218&lt;/rec-number&gt;&lt;foreign-keys&gt;&lt;key app="EN" db-id="95tpr2tp6r9xwoea9rb5wdsz5ds5xeddteew" timestamp="1680069511"&gt;218&lt;/key&gt;&lt;/foreign-keys&gt;&lt;ref-type name="Report"&gt;27&lt;/ref-type&gt;&lt;contributors&gt;&lt;authors&gt;&lt;author&gt;Oslo Economics,&lt;/author&gt;&lt;/authors&gt;&lt;/contributors&gt;&lt;titles&gt;&lt;title&gt;Evaluering av handlingsplan for allmennlegetjenesten 2020–2024. Evalueringsrapport I &lt;/title&gt;&lt;/titles&gt;&lt;dates&gt;&lt;year&gt;2022&lt;/year&gt;&lt;/dates&gt;&lt;publisher&gt;Oslo Economics&amp;#xD;Institutt for helse og samfunn, Universitetet i Oslo&lt;/publisher&gt;&lt;isbn&gt;Evalueringsrapport I, 2022&lt;/isbn&gt;&lt;urls&gt;&lt;related-urls&gt;&lt;url&gt;https://osloeconomics.no/wp-content/uploads/2022/05/HPA-evalueringsrapport-2022.pdf&lt;/url&gt;&lt;/related-urls&gt;&lt;/urls&gt;&lt;access-date&gt;04.01.23&lt;/access-date&gt;&lt;/record&gt;&lt;/Cite&gt;&lt;/EndNote&gt;</w:instrText>
      </w:r>
      <w:r w:rsidR="001F5F05">
        <w:fldChar w:fldCharType="separate"/>
      </w:r>
      <w:r w:rsidR="001F5F05">
        <w:rPr>
          <w:noProof/>
        </w:rPr>
        <w:t>(Oslo Economics, 2022)</w:t>
      </w:r>
      <w:r w:rsidR="001F5F05">
        <w:fldChar w:fldCharType="end"/>
      </w:r>
      <w:r w:rsidR="004A2A54">
        <w:t>.</w:t>
      </w:r>
    </w:p>
    <w:p w14:paraId="01631CB0" w14:textId="77777777" w:rsidR="00D9107F" w:rsidRDefault="002472E5" w:rsidP="00EF24CC">
      <w:pPr>
        <w:jc w:val="both"/>
      </w:pPr>
      <w:r>
        <w:t>Utdanningsstillinger hvor ALIS</w:t>
      </w:r>
      <w:r w:rsidR="002A4D82">
        <w:t xml:space="preserve"> ikke har ansvar for egne </w:t>
      </w:r>
      <w:r w:rsidR="00FF698E">
        <w:t xml:space="preserve">listeinnbyggere </w:t>
      </w:r>
      <w:r w:rsidR="00E814CC">
        <w:t xml:space="preserve">synes i stor grad å passe med yngre legers preferanser, og </w:t>
      </w:r>
      <w:r w:rsidR="006B2B33">
        <w:t xml:space="preserve">vil ligne </w:t>
      </w:r>
      <w:r w:rsidR="00947290">
        <w:t xml:space="preserve">på hvordan slike stillinger er innrettet i andre land. </w:t>
      </w:r>
      <w:r w:rsidR="00EF24CC">
        <w:t>Utvalget mener ansettelse</w:t>
      </w:r>
      <w:r w:rsidR="1FA4065A">
        <w:t xml:space="preserve"> </w:t>
      </w:r>
      <w:r w:rsidR="4241D748">
        <w:t>av</w:t>
      </w:r>
      <w:r w:rsidR="00EF24CC">
        <w:t xml:space="preserve"> ALIS i utdanningsstillinger er et viktig rekrutteringstiltak, selv om dette potensielt kan øke terskelen for overgang til næringsdrift på et senere tidspunkt.</w:t>
      </w:r>
    </w:p>
    <w:p w14:paraId="6C4CEF4A" w14:textId="77777777" w:rsidR="00D9107F" w:rsidRDefault="00E03742" w:rsidP="00E03742">
      <w:pPr>
        <w:jc w:val="both"/>
      </w:pPr>
      <w:r>
        <w:t xml:space="preserve">For at ALIS i utdanningsstillinger skal fylle læringsmålene i spesialistforskriften og få gjennomført anbefalte læringsaktiviteter, må det være tilstrekkelig bredde i pasientgrunnlaget. </w:t>
      </w:r>
      <w:r w:rsidR="00146881">
        <w:t xml:space="preserve">ALIS </w:t>
      </w:r>
      <w:r>
        <w:t xml:space="preserve">må ha mulighet til å følge opp kronisk syke pasienter med sammensatte lidelser, slik at arbeidshverdagen i </w:t>
      </w:r>
      <w:r w:rsidR="00146881">
        <w:t>en utdanningsstilling</w:t>
      </w:r>
      <w:r>
        <w:t xml:space="preserve"> ikke bare preges av kortvarige behandlingsløp. Dette innebærer at pasienter bør få tilbud om</w:t>
      </w:r>
      <w:r w:rsidR="5CFB587D">
        <w:t>,</w:t>
      </w:r>
      <w:r>
        <w:t xml:space="preserve"> og oppmuntres til</w:t>
      </w:r>
      <w:r w:rsidR="00EA7FA1">
        <w:t>,</w:t>
      </w:r>
      <w:r>
        <w:t xml:space="preserve"> at </w:t>
      </w:r>
      <w:r w:rsidR="00146881">
        <w:t xml:space="preserve">ALIS i utdanningsstilling </w:t>
      </w:r>
      <w:r>
        <w:t>overtar oppfølgingsansvaret fra fastlegen.</w:t>
      </w:r>
    </w:p>
    <w:p w14:paraId="39803A17" w14:textId="525043FC" w:rsidR="00E03742" w:rsidRDefault="00E03742" w:rsidP="00E03742">
      <w:pPr>
        <w:jc w:val="both"/>
      </w:pPr>
      <w:r>
        <w:t xml:space="preserve">Mange fastlegekontor har erfaring med LIS1, hvor LIS1 på samme måte som </w:t>
      </w:r>
      <w:r w:rsidR="00853F72">
        <w:t>ALIS i utdanningsstilling vil overta</w:t>
      </w:r>
      <w:r>
        <w:t xml:space="preserve"> en del av pasientforløpene. Det er derfor en forutsetning at </w:t>
      </w:r>
      <w:r w:rsidR="008117F8">
        <w:t xml:space="preserve">de andre </w:t>
      </w:r>
      <w:r w:rsidR="00521FA7">
        <w:t>spe</w:t>
      </w:r>
      <w:r w:rsidR="006A5EA4">
        <w:t>sialistene</w:t>
      </w:r>
      <w:r>
        <w:t xml:space="preserve"> ved legekontoret har forståelse og aksept for at </w:t>
      </w:r>
      <w:r w:rsidR="005D0F10">
        <w:t>ALIS</w:t>
      </w:r>
      <w:r>
        <w:t xml:space="preserve"> overtar det helhetlige oppfølgings- og behandlingsansvaret for en del av pasientene.</w:t>
      </w:r>
      <w:r w:rsidR="0044457A">
        <w:t xml:space="preserve"> </w:t>
      </w:r>
      <w:r w:rsidR="00A15E00">
        <w:t xml:space="preserve">Om </w:t>
      </w:r>
      <w:r w:rsidR="00392F28">
        <w:t xml:space="preserve">man lykkes med dette vil </w:t>
      </w:r>
      <w:r w:rsidR="005E1F73">
        <w:t xml:space="preserve">trolig </w:t>
      </w:r>
      <w:r w:rsidR="00FA140F">
        <w:t xml:space="preserve">dette ansvaret ikke være så ulikt det </w:t>
      </w:r>
      <w:r w:rsidR="00D94EDF">
        <w:t xml:space="preserve">listeansvaret </w:t>
      </w:r>
      <w:r w:rsidR="002945D6">
        <w:t xml:space="preserve">som følger </w:t>
      </w:r>
      <w:r w:rsidR="005D7113">
        <w:t>med som ferdig spesialist</w:t>
      </w:r>
      <w:r w:rsidR="00FB63DD">
        <w:t>, og det vil bidra til kontinuitet i lege-pasient-forholdet.</w:t>
      </w:r>
    </w:p>
    <w:p w14:paraId="2A8E3154" w14:textId="77777777" w:rsidR="00D9107F" w:rsidRDefault="4D02309C" w:rsidP="00775632">
      <w:pPr>
        <w:pStyle w:val="Overskrift4"/>
      </w:pPr>
      <w:bookmarkStart w:id="5585" w:name="_Toc130983719"/>
      <w:bookmarkStart w:id="5586" w:name="_Toc130984068"/>
      <w:bookmarkStart w:id="5587" w:name="_Toc131279663"/>
      <w:bookmarkStart w:id="5588" w:name="_Toc131287075"/>
      <w:bookmarkStart w:id="5589" w:name="_Toc131281485"/>
      <w:bookmarkStart w:id="5590" w:name="_Toc131318025"/>
      <w:r>
        <w:t>Utdanningsstillingens varighet</w:t>
      </w:r>
      <w:bookmarkEnd w:id="5585"/>
      <w:bookmarkEnd w:id="5586"/>
      <w:bookmarkEnd w:id="5587"/>
      <w:bookmarkEnd w:id="5588"/>
      <w:bookmarkEnd w:id="5589"/>
      <w:bookmarkEnd w:id="5590"/>
    </w:p>
    <w:p w14:paraId="2B84CC59" w14:textId="77777777" w:rsidR="00D9107F" w:rsidRDefault="002472E5" w:rsidP="00E87B75">
      <w:pPr>
        <w:jc w:val="both"/>
      </w:pPr>
      <w:r>
        <w:t>I andre sammenlignbare land</w:t>
      </w:r>
      <w:r w:rsidR="00E87B75">
        <w:t xml:space="preserve"> er det lagt til rette for at hele spesialistutdanningen i allmennmedisin kan gjennomføres i egne utdanningsstillinger. Det samme gjelder for spesialistutdanning av leger i sykehus i Norge</w:t>
      </w:r>
      <w:r w:rsidR="00E14BDC">
        <w:t xml:space="preserve">. </w:t>
      </w:r>
      <w:r w:rsidR="0010497D">
        <w:t>Ved innføring av introduksjonsavtaler</w:t>
      </w:r>
      <w:r w:rsidR="006F43BD">
        <w:t xml:space="preserve"> ble varigheten </w:t>
      </w:r>
      <w:r w:rsidR="002C5A1E">
        <w:t xml:space="preserve">på avtalene satt til å være lik varigheten på </w:t>
      </w:r>
      <w:r w:rsidR="00753A78">
        <w:t xml:space="preserve">kravet til </w:t>
      </w:r>
      <w:r w:rsidR="002D1A4D">
        <w:t xml:space="preserve">to </w:t>
      </w:r>
      <w:r w:rsidR="002C5A1E">
        <w:t xml:space="preserve">års </w:t>
      </w:r>
      <w:r w:rsidR="002D1A4D">
        <w:t xml:space="preserve">åpen </w:t>
      </w:r>
      <w:r w:rsidR="002C5A1E">
        <w:t>uselektert allmennpraksis</w:t>
      </w:r>
      <w:r w:rsidR="00753A78">
        <w:t>.</w:t>
      </w:r>
    </w:p>
    <w:p w14:paraId="3B921F77" w14:textId="77777777" w:rsidR="00D9107F" w:rsidRDefault="00E87B75" w:rsidP="00E87B75">
      <w:pPr>
        <w:jc w:val="both"/>
      </w:pPr>
      <w:r>
        <w:t xml:space="preserve">Spesialistutdanningen i allmennmedisin </w:t>
      </w:r>
      <w:r w:rsidR="1AED7C14">
        <w:t xml:space="preserve">(ALIS) </w:t>
      </w:r>
      <w:r>
        <w:t xml:space="preserve">har en varighet på </w:t>
      </w:r>
      <w:r w:rsidR="002472E5">
        <w:t>fem år (etter LIS1). Fordelen ved å la</w:t>
      </w:r>
      <w:r w:rsidR="00F23C68">
        <w:t xml:space="preserve"> en utdanningsstilling vare like lenge som </w:t>
      </w:r>
      <w:r w:rsidR="002D4C36">
        <w:t xml:space="preserve">tiden det tar å spesialisere seg, er at dette vil </w:t>
      </w:r>
      <w:r w:rsidR="002D4C36">
        <w:lastRenderedPageBreak/>
        <w:t>gi trygg</w:t>
      </w:r>
      <w:r w:rsidR="00BA400E">
        <w:t xml:space="preserve">e rammer for læring gjennom hele perioden. </w:t>
      </w:r>
      <w:r w:rsidR="00337CC4">
        <w:t xml:space="preserve">Ulike ALIS vil trolig ha ulike preferanser for </w:t>
      </w:r>
      <w:r w:rsidR="00962D0A">
        <w:t xml:space="preserve">når de </w:t>
      </w:r>
      <w:r w:rsidR="7566DBDF">
        <w:t xml:space="preserve">blir </w:t>
      </w:r>
      <w:r w:rsidR="0018223C">
        <w:t xml:space="preserve">komfortable med </w:t>
      </w:r>
      <w:r w:rsidR="003E2869">
        <w:t xml:space="preserve">å </w:t>
      </w:r>
      <w:r w:rsidR="00415D51">
        <w:t xml:space="preserve">påta seg ansvar knyttet til </w:t>
      </w:r>
      <w:r w:rsidR="005A44A8">
        <w:t xml:space="preserve">personaloppfølging, </w:t>
      </w:r>
      <w:r w:rsidR="00415D51">
        <w:t>drift</w:t>
      </w:r>
      <w:r w:rsidR="005A44A8">
        <w:t xml:space="preserve"> og egen liste</w:t>
      </w:r>
      <w:r w:rsidR="00EA7FA1">
        <w:t>,</w:t>
      </w:r>
      <w:r w:rsidR="005A44A8">
        <w:t xml:space="preserve"> som ofte følger med næringsdrift i dag. </w:t>
      </w:r>
      <w:r w:rsidR="00CA4768">
        <w:t xml:space="preserve">Likevel synes en forutsigbarhet i utdanningsløpet å være viktig for ALIS, men også for </w:t>
      </w:r>
      <w:r w:rsidR="005A3EED">
        <w:t xml:space="preserve">de andre legene i praksisen og for kommunen. </w:t>
      </w:r>
      <w:r w:rsidR="00FD6AB9">
        <w:t>En utdanningsstilling som kun varer</w:t>
      </w:r>
      <w:r w:rsidR="001E030B" w:rsidDel="00280EEC">
        <w:t xml:space="preserve"> </w:t>
      </w:r>
      <w:r w:rsidR="00280EEC">
        <w:t xml:space="preserve">to </w:t>
      </w:r>
      <w:r w:rsidR="001E030B">
        <w:t xml:space="preserve">år, </w:t>
      </w:r>
      <w:r w:rsidR="00436DB7">
        <w:t>kan tenkes å skape utrygghet for ALIS</w:t>
      </w:r>
      <w:r w:rsidR="004525C4">
        <w:t xml:space="preserve">. </w:t>
      </w:r>
      <w:r w:rsidR="00F24E10">
        <w:t>H</w:t>
      </w:r>
      <w:r w:rsidR="004525C4">
        <w:t xml:space="preserve">yppige </w:t>
      </w:r>
      <w:r w:rsidR="00011D5A">
        <w:t>bytte</w:t>
      </w:r>
      <w:r w:rsidR="004525C4">
        <w:t xml:space="preserve"> av </w:t>
      </w:r>
      <w:r w:rsidR="005E37AE">
        <w:t xml:space="preserve">leger i utdanningsstillinger </w:t>
      </w:r>
      <w:r w:rsidR="00F72A3D">
        <w:t xml:space="preserve">kan påvirke </w:t>
      </w:r>
      <w:r w:rsidR="00622B3C">
        <w:t xml:space="preserve">de andre </w:t>
      </w:r>
      <w:r w:rsidR="002D7D33">
        <w:t>legene og øvrig personell</w:t>
      </w:r>
      <w:r w:rsidR="0070655E">
        <w:t xml:space="preserve"> </w:t>
      </w:r>
      <w:r w:rsidR="00822D5A">
        <w:t xml:space="preserve">ved kontoret i hvordan de </w:t>
      </w:r>
      <w:r w:rsidR="0055037A">
        <w:t>en</w:t>
      </w:r>
      <w:r w:rsidR="004044FC">
        <w:t>gasjere</w:t>
      </w:r>
      <w:r w:rsidR="0055037A">
        <w:t>r</w:t>
      </w:r>
      <w:r w:rsidR="004044FC">
        <w:t xml:space="preserve"> seg</w:t>
      </w:r>
      <w:r w:rsidR="0055037A">
        <w:t xml:space="preserve"> i</w:t>
      </w:r>
      <w:r w:rsidR="004044FC">
        <w:t>, blir kjent med og bruke</w:t>
      </w:r>
      <w:r w:rsidR="0055037A">
        <w:t>r</w:t>
      </w:r>
      <w:r w:rsidR="004044FC">
        <w:t xml:space="preserve"> tid </w:t>
      </w:r>
      <w:r w:rsidR="004B250C">
        <w:t>på ALIS</w:t>
      </w:r>
      <w:r w:rsidR="00FB63DD">
        <w:t xml:space="preserve"> </w:t>
      </w:r>
      <w:r w:rsidR="002472E5">
        <w:t>– og det vil kunne redusere kontinuiteten i lege-pasient-forholdet.</w:t>
      </w:r>
      <w:r w:rsidR="00CB1501">
        <w:t xml:space="preserve"> </w:t>
      </w:r>
      <w:r w:rsidR="00145CF6">
        <w:t xml:space="preserve">En utdanningsstilling som varer den tiden spesialistutdanningen </w:t>
      </w:r>
      <w:r w:rsidR="00FB63DD">
        <w:t>tar</w:t>
      </w:r>
      <w:r w:rsidR="00995157">
        <w:t>,</w:t>
      </w:r>
      <w:r w:rsidR="00145CF6">
        <w:t xml:space="preserve"> </w:t>
      </w:r>
      <w:r w:rsidR="00E61024">
        <w:t xml:space="preserve">legger til rette for at ALIS kan ha samme veileder ved kontoret i hele perioden. </w:t>
      </w:r>
      <w:r w:rsidR="00606CD1">
        <w:t xml:space="preserve">Det </w:t>
      </w:r>
      <w:r w:rsidR="00727C6F">
        <w:t xml:space="preserve">er </w:t>
      </w:r>
      <w:r w:rsidR="00606CD1">
        <w:t xml:space="preserve">allerede i dag flere brudd i utdanningsløpet </w:t>
      </w:r>
      <w:r w:rsidR="008B01DF">
        <w:t xml:space="preserve">knyttet til </w:t>
      </w:r>
      <w:r w:rsidR="00FE034E">
        <w:t xml:space="preserve">blant annet flytting, svangerskap og bytte av </w:t>
      </w:r>
      <w:r w:rsidR="00D630DA">
        <w:t xml:space="preserve">arbeidssted. </w:t>
      </w:r>
      <w:r w:rsidR="002B7031">
        <w:t xml:space="preserve">Kort varighet på utdanningsstillinger vil kunne bidra til ytterligere </w:t>
      </w:r>
      <w:r w:rsidR="00B65CA7">
        <w:t>diskontinuitet.</w:t>
      </w:r>
    </w:p>
    <w:p w14:paraId="4AD50DD3" w14:textId="5FA158A9" w:rsidR="00D9107F" w:rsidRDefault="6CEC6589" w:rsidP="00E87B75">
      <w:pPr>
        <w:jc w:val="both"/>
      </w:pPr>
      <w:r>
        <w:t xml:space="preserve">Ekspertutvalgets vurdering er at </w:t>
      </w:r>
      <w:r w:rsidR="4A84639E">
        <w:t xml:space="preserve">varigheten på </w:t>
      </w:r>
      <w:r w:rsidR="2B6C196B">
        <w:t>utdanni</w:t>
      </w:r>
      <w:r w:rsidR="11BBBDE9">
        <w:t>ngsstillinger</w:t>
      </w:r>
      <w:r w:rsidR="077D76DE">
        <w:t xml:space="preserve"> bør</w:t>
      </w:r>
      <w:r w:rsidR="11BBBDE9">
        <w:t xml:space="preserve"> </w:t>
      </w:r>
      <w:r w:rsidR="6C2A9D43">
        <w:t xml:space="preserve">tidsbegrenses oppad </w:t>
      </w:r>
      <w:r w:rsidR="697D46D7">
        <w:t>til den tiden</w:t>
      </w:r>
      <w:r w:rsidR="256453F6">
        <w:t xml:space="preserve"> det tar å </w:t>
      </w:r>
      <w:r w:rsidR="4C86C9F3">
        <w:t>fullføre spesialistutdanningen</w:t>
      </w:r>
      <w:r w:rsidR="14F65645">
        <w:t xml:space="preserve"> i allmennmedisin</w:t>
      </w:r>
      <w:r w:rsidR="3F17C186">
        <w:t>.</w:t>
      </w:r>
      <w:r w:rsidR="0A5C700F">
        <w:t xml:space="preserve"> </w:t>
      </w:r>
      <w:r w:rsidR="355B3094">
        <w:t>D</w:t>
      </w:r>
      <w:r w:rsidR="52B49E69">
        <w:t>ette</w:t>
      </w:r>
      <w:r w:rsidR="355B3094">
        <w:t xml:space="preserve"> vil</w:t>
      </w:r>
      <w:r w:rsidR="52B49E69">
        <w:t xml:space="preserve"> </w:t>
      </w:r>
      <w:r w:rsidR="5A7BBFE6">
        <w:t>ikke være til hinder for at ALIS kan si opp stillingen</w:t>
      </w:r>
      <w:r w:rsidR="4B634D34">
        <w:t xml:space="preserve"> før fullført spesialistutdanning</w:t>
      </w:r>
      <w:r w:rsidR="77832171">
        <w:t>.</w:t>
      </w:r>
      <w:r w:rsidR="0F20B0DB">
        <w:t xml:space="preserve"> </w:t>
      </w:r>
      <w:r w:rsidR="7535C169">
        <w:t xml:space="preserve">Legene </w:t>
      </w:r>
      <w:r w:rsidR="0F20B0DB">
        <w:t>i utdanningsstilling</w:t>
      </w:r>
      <w:r w:rsidR="7535C169">
        <w:t xml:space="preserve"> har ikke inngått fastlegeavtale med kommunen. Opp</w:t>
      </w:r>
      <w:r w:rsidR="2C91BCD9">
        <w:t>sigelse av stillingen</w:t>
      </w:r>
      <w:r w:rsidR="7535C169">
        <w:t xml:space="preserve"> vil derfor ikke være regulert av forskrift om fastlegeordning </w:t>
      </w:r>
      <w:r w:rsidR="00D9107F">
        <w:t>§ 3</w:t>
      </w:r>
      <w:r w:rsidR="7535C169">
        <w:t>2</w:t>
      </w:r>
      <w:r w:rsidR="1BDB714A">
        <w:t xml:space="preserve"> </w:t>
      </w:r>
      <w:r w:rsidR="7535C169">
        <w:t xml:space="preserve">, men av arbeidsmiljølovens generelle bestemmelser knyttet til opphør av </w:t>
      </w:r>
      <w:r w:rsidR="0B4A4BC3">
        <w:t xml:space="preserve">midlertidig </w:t>
      </w:r>
      <w:r w:rsidR="0F349CE1">
        <w:t>arbeidsforhold</w:t>
      </w:r>
      <w:r w:rsidR="240AC959">
        <w:t xml:space="preserve"> knyttet til utdanningsstilling</w:t>
      </w:r>
      <w:r w:rsidR="0CB92F88">
        <w:t>.</w:t>
      </w:r>
    </w:p>
    <w:p w14:paraId="02C9A8A9" w14:textId="2B9408D3" w:rsidR="006E68A1" w:rsidRDefault="002472E5" w:rsidP="00E87B75">
      <w:pPr>
        <w:jc w:val="both"/>
      </w:pPr>
      <w:r>
        <w:t xml:space="preserve">Etter utvalgets vurdering, bør en utdanningsstilling kunne anses som praksisarbeid etter arbeidsmiljøloven </w:t>
      </w:r>
      <w:r w:rsidR="00D9107F">
        <w:t>§ 1</w:t>
      </w:r>
      <w:r>
        <w:t>4-9 andre ledd bokstav c.</w:t>
      </w:r>
      <w:r w:rsidR="3A5CDBA9">
        <w:t xml:space="preserve"> </w:t>
      </w:r>
      <w:r w:rsidR="4C031A9D">
        <w:t xml:space="preserve">Utdanningsstillingen </w:t>
      </w:r>
      <w:r w:rsidR="4C031A9D" w:rsidRPr="00993413">
        <w:t xml:space="preserve">opphører </w:t>
      </w:r>
      <w:r w:rsidR="4C031A9D">
        <w:t xml:space="preserve">da </w:t>
      </w:r>
      <w:r w:rsidR="4C031A9D" w:rsidRPr="00993413">
        <w:t xml:space="preserve">ved det avtalte tidsrommets utløp, eller når </w:t>
      </w:r>
      <w:r w:rsidR="4C031A9D">
        <w:t>spesialistutdanningen er fullført</w:t>
      </w:r>
      <w:r w:rsidR="3A5CDBA9">
        <w:t xml:space="preserve">, og stillingen </w:t>
      </w:r>
      <w:r w:rsidR="2615A955">
        <w:t>vil ikke</w:t>
      </w:r>
      <w:r w:rsidR="0D489FAD">
        <w:t xml:space="preserve"> </w:t>
      </w:r>
      <w:r w:rsidR="3A5CDBA9">
        <w:t xml:space="preserve">falle inn under tre- og fireårsregelen for overgang til fast ansettelse, jf. arbeidsmiljøloven </w:t>
      </w:r>
      <w:r w:rsidR="00D9107F">
        <w:t>§ 1</w:t>
      </w:r>
      <w:r w:rsidR="3A5CDBA9">
        <w:t>4-9 sjette og sjuende ledd</w:t>
      </w:r>
      <w:r w:rsidR="367773B0">
        <w:t xml:space="preserve"> </w:t>
      </w:r>
      <w:r w:rsidR="00890382">
        <w:fldChar w:fldCharType="begin"/>
      </w:r>
      <w:r w:rsidR="00D078E3">
        <w:instrText xml:space="preserve"> ADDIN EN.CITE &lt;EndNote&gt;&lt;Cite ExcludeAuth="1"&gt;&lt;Year&gt;2005&lt;/Year&gt;&lt;RecNum&gt;459&lt;/RecNum&gt;&lt;DisplayText&gt;(&lt;style face="italic"&gt;Lov om arbeidsmiljø, arbeidstid og stillingsvern mv. (arbeidsmiljøloven)&lt;/style&gt;, 2005)&lt;/DisplayText&gt;&lt;record&gt;&lt;rec-number&gt;459&lt;/rec-number&gt;&lt;foreign-keys&gt;&lt;key app="EN" db-id="95tpr2tp6r9xwoea9rb5wdsz5ds5xeddteew" timestamp="1680069511"&gt;459&lt;/key&gt;&lt;/foreign-keys&gt;&lt;ref-type name="Legal Rule or Regulation"&gt;50&lt;/ref-type&gt;&lt;contributors&gt;&lt;/contributors&gt;&lt;titles&gt;&lt;title&gt;Lov om arbeidsmiljø, arbeidstid og stillingsvern mv. (arbeidsmiljøloven)&lt;/title&gt;&lt;secondary-title&gt;LOV-1977-02-04-4&lt;/secondary-title&gt;&lt;/titles&gt;&lt;edition&gt;LOV-2005-06-17-62&lt;/edition&gt;&lt;dates&gt;&lt;year&gt;2005&lt;/year&gt;&lt;/dates&gt;&lt;urls&gt;&lt;related-urls&gt;&lt;url&gt;https://lovdata.no/dokument/NL/lov/2005-06-17-62&lt;/url&gt;&lt;/related-urls&gt;&lt;/urls&gt;&lt;/record&gt;&lt;/Cite&gt;&lt;/EndNote&gt;</w:instrText>
      </w:r>
      <w:r w:rsidR="00890382">
        <w:fldChar w:fldCharType="separate"/>
      </w:r>
      <w:r w:rsidR="00890382">
        <w:rPr>
          <w:noProof/>
        </w:rPr>
        <w:t>(</w:t>
      </w:r>
      <w:r w:rsidR="00890382" w:rsidRPr="00D9107F">
        <w:rPr>
          <w:rStyle w:val="kursiv"/>
        </w:rPr>
        <w:t>Lov om arbeidsmiljø, arbeidstid og stillingsvern mv. (arbeidsmiljøloven)</w:t>
      </w:r>
      <w:r w:rsidR="00890382">
        <w:rPr>
          <w:noProof/>
        </w:rPr>
        <w:t>, 2005)</w:t>
      </w:r>
      <w:r w:rsidR="00890382">
        <w:fldChar w:fldCharType="end"/>
      </w:r>
      <w:r w:rsidR="004A2A54">
        <w:t>.</w:t>
      </w:r>
    </w:p>
    <w:p w14:paraId="072DE7F5" w14:textId="77777777" w:rsidR="00996BE5" w:rsidRDefault="4ED3534A" w:rsidP="00775632">
      <w:pPr>
        <w:pStyle w:val="Overskrift4"/>
      </w:pPr>
      <w:bookmarkStart w:id="5591" w:name="_Toc130983720"/>
      <w:bookmarkStart w:id="5592" w:name="_Toc130984069"/>
      <w:bookmarkStart w:id="5593" w:name="_Toc131062301"/>
      <w:bookmarkStart w:id="5594" w:name="_Toc131062555"/>
      <w:bookmarkStart w:id="5595" w:name="_Toc131062816"/>
      <w:bookmarkStart w:id="5596" w:name="_Toc131063069"/>
      <w:bookmarkStart w:id="5597" w:name="_Toc131063852"/>
      <w:bookmarkStart w:id="5598" w:name="_Toc131064263"/>
      <w:bookmarkStart w:id="5599" w:name="_Toc131238573"/>
      <w:bookmarkStart w:id="5600" w:name="_Toc131279664"/>
      <w:bookmarkStart w:id="5601" w:name="_Toc131287076"/>
      <w:bookmarkStart w:id="5602" w:name="_Toc131281486"/>
      <w:bookmarkStart w:id="5603" w:name="_Toc131318026"/>
      <w:r>
        <w:t>Lokalise</w:t>
      </w:r>
      <w:r w:rsidR="134D68B3">
        <w:t>ring</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p>
    <w:p w14:paraId="072848E5" w14:textId="77777777" w:rsidR="00BA0732" w:rsidRDefault="005879A0" w:rsidP="0085218F">
      <w:pPr>
        <w:jc w:val="both"/>
      </w:pPr>
      <w:r>
        <w:t xml:space="preserve">For </w:t>
      </w:r>
      <w:r w:rsidR="007B5ED7">
        <w:t xml:space="preserve">at utdanningsstillinger skal fungere som </w:t>
      </w:r>
      <w:r w:rsidR="003723EE">
        <w:t xml:space="preserve">en </w:t>
      </w:r>
      <w:r w:rsidR="00BF3A34">
        <w:t>god arena for rekruttering og spesialisering</w:t>
      </w:r>
      <w:r w:rsidR="000F3B45">
        <w:t xml:space="preserve">, </w:t>
      </w:r>
      <w:r w:rsidR="002C29F8">
        <w:t xml:space="preserve">vil flere forhold være </w:t>
      </w:r>
      <w:r w:rsidR="000B023D">
        <w:t>v</w:t>
      </w:r>
      <w:r w:rsidR="00FB63DD">
        <w:t>iktig</w:t>
      </w:r>
      <w:r w:rsidR="000B023D">
        <w:t>.</w:t>
      </w:r>
      <w:r w:rsidR="00406341">
        <w:t xml:space="preserve"> </w:t>
      </w:r>
      <w:r w:rsidR="000279C4">
        <w:t>Det må være et fagmiljø som har tilgjengelige og kompetente ressurser til supervisjon og veiledning</w:t>
      </w:r>
      <w:r w:rsidR="00D8254A">
        <w:t>, og som legger til rette for læring</w:t>
      </w:r>
      <w:r w:rsidR="00E16C64">
        <w:t xml:space="preserve"> gjennom </w:t>
      </w:r>
      <w:r w:rsidR="00FB63DD">
        <w:t xml:space="preserve">gode </w:t>
      </w:r>
      <w:r w:rsidR="00E16C64">
        <w:t>mester</w:t>
      </w:r>
      <w:r w:rsidR="002472E5">
        <w:t>–svenn relasjoner med gjensidig nytte.</w:t>
      </w:r>
      <w:r w:rsidR="000279C4">
        <w:t xml:space="preserve"> I tillegg </w:t>
      </w:r>
      <w:r w:rsidR="00444EB6">
        <w:t>sier unge leger at</w:t>
      </w:r>
      <w:r w:rsidR="000F5AED">
        <w:t xml:space="preserve"> mulighet for </w:t>
      </w:r>
      <w:r w:rsidR="00BE787A">
        <w:t xml:space="preserve">å jobbe i et større fagmiljø </w:t>
      </w:r>
      <w:r w:rsidR="002549EC">
        <w:t>med mulighet</w:t>
      </w:r>
      <w:r w:rsidR="00BE787A">
        <w:t xml:space="preserve"> for </w:t>
      </w:r>
      <w:r w:rsidR="000F5AED">
        <w:t xml:space="preserve">faglig utvikling </w:t>
      </w:r>
      <w:r w:rsidR="00444EB6">
        <w:t xml:space="preserve">er </w:t>
      </w:r>
      <w:r w:rsidR="00BE787A">
        <w:t>viktig</w:t>
      </w:r>
      <w:r w:rsidR="000472B4">
        <w:t xml:space="preserve">. </w:t>
      </w:r>
      <w:r w:rsidR="000D5C03">
        <w:t xml:space="preserve">For at ALIS i utdanningsstilling skal </w:t>
      </w:r>
      <w:r w:rsidR="001E7AAB">
        <w:t xml:space="preserve">kunne jobbe på andre legers lister, må </w:t>
      </w:r>
      <w:r w:rsidR="00842F57">
        <w:t xml:space="preserve">praksisens samlede </w:t>
      </w:r>
      <w:r w:rsidR="00105349">
        <w:t>antall listeinnbyggere</w:t>
      </w:r>
      <w:r w:rsidR="00842F57">
        <w:t xml:space="preserve"> være av en viss størrelse. </w:t>
      </w:r>
      <w:r w:rsidR="00825DA1">
        <w:t>Dette er</w:t>
      </w:r>
      <w:r w:rsidR="00186866">
        <w:t xml:space="preserve"> </w:t>
      </w:r>
      <w:r w:rsidR="00015812">
        <w:t xml:space="preserve">argumenter som peker </w:t>
      </w:r>
      <w:r w:rsidR="00D745E0">
        <w:t xml:space="preserve">på at utdanningsstillinger bør </w:t>
      </w:r>
      <w:r w:rsidR="00DB32AA">
        <w:t xml:space="preserve">plasseres i </w:t>
      </w:r>
      <w:r w:rsidR="007165A7">
        <w:t>fastlege</w:t>
      </w:r>
      <w:r w:rsidR="003B1936">
        <w:t>praksiser bestående av flere leger</w:t>
      </w:r>
      <w:r w:rsidR="004D4663">
        <w:t>.</w:t>
      </w:r>
      <w:r w:rsidR="001A4A15">
        <w:t xml:space="preserve"> </w:t>
      </w:r>
      <w:r w:rsidR="00D91EC9">
        <w:t>Minst</w:t>
      </w:r>
      <w:r w:rsidR="005A7A7A">
        <w:t xml:space="preserve"> én av de andre legene </w:t>
      </w:r>
      <w:r w:rsidR="00AA799E">
        <w:t xml:space="preserve">bør </w:t>
      </w:r>
      <w:r w:rsidR="001A4A15">
        <w:t>være</w:t>
      </w:r>
      <w:r w:rsidR="005A7A7A">
        <w:t xml:space="preserve"> spesialist i allmennmedisin for å kunne ivareta veilederoppgave</w:t>
      </w:r>
      <w:r w:rsidR="00444EB6">
        <w:t>r.</w:t>
      </w:r>
    </w:p>
    <w:p w14:paraId="510ED66E" w14:textId="77777777" w:rsidR="00D9107F" w:rsidRDefault="0070663F" w:rsidP="0085218F">
      <w:pPr>
        <w:jc w:val="both"/>
      </w:pPr>
      <w:r>
        <w:t>For å etablere fastlønnede utdanningsstillinger i en gruppepraksis bestående av næringsdrivende fastleger</w:t>
      </w:r>
      <w:r w:rsidR="00D94777">
        <w:t>, må kommunen inngå avtale om leie av lokaler</w:t>
      </w:r>
      <w:r w:rsidR="00C03EB7">
        <w:t xml:space="preserve"> og kompensasjon av utgifter knyttet til drift. </w:t>
      </w:r>
      <w:r w:rsidR="00B31646">
        <w:t>Det</w:t>
      </w:r>
      <w:r w:rsidR="002D2A82">
        <w:t xml:space="preserve"> kan være vanskelig å </w:t>
      </w:r>
      <w:r w:rsidR="00B31646">
        <w:t>oppnå enighet</w:t>
      </w:r>
      <w:r w:rsidR="00B24957">
        <w:t xml:space="preserve"> knyttet til</w:t>
      </w:r>
      <w:r w:rsidR="00210DA6">
        <w:t xml:space="preserve"> fordeling av kostnader</w:t>
      </w:r>
      <w:r w:rsidR="00226257">
        <w:t>.</w:t>
      </w:r>
      <w:r w:rsidR="004551F9">
        <w:t xml:space="preserve"> </w:t>
      </w:r>
      <w:r w:rsidR="00D968FD">
        <w:t>B</w:t>
      </w:r>
      <w:r w:rsidR="001A04CB">
        <w:t xml:space="preserve">ruk av </w:t>
      </w:r>
      <w:r w:rsidR="00252280">
        <w:t>sta</w:t>
      </w:r>
      <w:r w:rsidR="004F0ACD">
        <w:t xml:space="preserve">ndardavtaler </w:t>
      </w:r>
      <w:r w:rsidR="0003785C">
        <w:t xml:space="preserve">kan </w:t>
      </w:r>
      <w:r w:rsidR="00D968FD">
        <w:t xml:space="preserve">imidlertid bidra </w:t>
      </w:r>
      <w:r w:rsidR="00365FF4">
        <w:t>til at dette løses.</w:t>
      </w:r>
      <w:r w:rsidR="004551F9">
        <w:t xml:space="preserve"> </w:t>
      </w:r>
      <w:r w:rsidR="000770EC">
        <w:t xml:space="preserve">Det vil i tillegg være organisatorisk </w:t>
      </w:r>
      <w:r w:rsidR="000770EC">
        <w:lastRenderedPageBreak/>
        <w:t xml:space="preserve">utfordrende </w:t>
      </w:r>
      <w:r w:rsidR="006F3057">
        <w:t xml:space="preserve">at det </w:t>
      </w:r>
      <w:r w:rsidR="00A1259F">
        <w:t xml:space="preserve">innenfor dagens </w:t>
      </w:r>
      <w:r w:rsidR="6DC6D925" w:rsidRPr="6732455D">
        <w:t xml:space="preserve">ordning </w:t>
      </w:r>
      <w:r w:rsidR="006F3057">
        <w:t>er kommunen som ansetter ALIS</w:t>
      </w:r>
      <w:r w:rsidR="00042BB7">
        <w:t xml:space="preserve">, og som har </w:t>
      </w:r>
      <w:r w:rsidR="0095162F">
        <w:t>leder</w:t>
      </w:r>
      <w:r w:rsidR="00935251">
        <w:t xml:space="preserve">ansvar, mens legen stort sett i det daglige skal forholde seg til </w:t>
      </w:r>
      <w:r w:rsidR="00BD5573">
        <w:t xml:space="preserve">de andre legene </w:t>
      </w:r>
      <w:r w:rsidR="004739E5">
        <w:t xml:space="preserve">i praksisen. </w:t>
      </w:r>
      <w:r w:rsidR="00242F55">
        <w:t>I</w:t>
      </w:r>
      <w:r w:rsidR="00374EA7">
        <w:t xml:space="preserve"> hvilken grad gruppepraksisen </w:t>
      </w:r>
      <w:r w:rsidR="0040261C">
        <w:t xml:space="preserve">fortsatt vil være ansvarlig for </w:t>
      </w:r>
      <w:r w:rsidR="005367D0">
        <w:t xml:space="preserve">oppfølgingen av </w:t>
      </w:r>
      <w:r w:rsidR="0040261C">
        <w:t>ALIS</w:t>
      </w:r>
      <w:r w:rsidR="00A63394">
        <w:t>, om utdanningstiden trekker ut</w:t>
      </w:r>
      <w:r w:rsidR="008A0896">
        <w:t xml:space="preserve"> eller det oppstår vanskeligheter</w:t>
      </w:r>
      <w:r w:rsidR="00A63394">
        <w:t xml:space="preserve">, </w:t>
      </w:r>
      <w:r w:rsidR="008F0A6B">
        <w:t>er</w:t>
      </w:r>
      <w:r w:rsidR="00A63394">
        <w:t xml:space="preserve"> også</w:t>
      </w:r>
      <w:r w:rsidR="00C57D4E">
        <w:t xml:space="preserve"> </w:t>
      </w:r>
      <w:r w:rsidR="00A63394">
        <w:t xml:space="preserve">uavklart. </w:t>
      </w:r>
      <w:r w:rsidR="006C2BF0">
        <w:t xml:space="preserve">I motsatt fall </w:t>
      </w:r>
      <w:r w:rsidR="009F39C2">
        <w:t xml:space="preserve">vil </w:t>
      </w:r>
      <w:r w:rsidR="00756E1E">
        <w:t xml:space="preserve">et </w:t>
      </w:r>
      <w:r w:rsidR="005C0041">
        <w:t>utydelig</w:t>
      </w:r>
      <w:r w:rsidR="00024BAB">
        <w:t xml:space="preserve"> definert virksomhets- og ledelsesansvar i en gruppepraksis </w:t>
      </w:r>
      <w:r w:rsidR="000F0783">
        <w:t>tenkes å gjøre kommunikasjon</w:t>
      </w:r>
      <w:r w:rsidR="00551DFA">
        <w:t>en</w:t>
      </w:r>
      <w:r w:rsidR="006701F6">
        <w:t xml:space="preserve"> rundt ALIS </w:t>
      </w:r>
      <w:r w:rsidR="00EC594F">
        <w:t>vanskelig</w:t>
      </w:r>
      <w:r w:rsidR="006701F6">
        <w:t xml:space="preserve">, og ikke minst ved tilfeller av manglende oppfølging </w:t>
      </w:r>
      <w:r w:rsidR="007B3AF2">
        <w:t xml:space="preserve">av ALIS </w:t>
      </w:r>
      <w:r w:rsidR="006701F6">
        <w:t xml:space="preserve">eller ved mislighold av </w:t>
      </w:r>
      <w:r w:rsidR="00101AA3">
        <w:t>avtalen med kommunen</w:t>
      </w:r>
      <w:r w:rsidR="008F586A">
        <w:t>.</w:t>
      </w:r>
    </w:p>
    <w:p w14:paraId="13856098" w14:textId="77777777" w:rsidR="00D9107F" w:rsidRDefault="00B64DCB" w:rsidP="0085218F">
      <w:pPr>
        <w:jc w:val="both"/>
      </w:pPr>
      <w:r>
        <w:t>Med unntak for introduksjons</w:t>
      </w:r>
      <w:r w:rsidR="004654F0">
        <w:t>leger, kan ikke ALIS jobbe på andre legers lister</w:t>
      </w:r>
      <w:r w:rsidR="0081088A">
        <w:t xml:space="preserve"> i dagens </w:t>
      </w:r>
      <w:r w:rsidR="42EC1884" w:rsidRPr="6732455D">
        <w:t>fastlegeordning</w:t>
      </w:r>
      <w:r w:rsidR="00201C1F">
        <w:t xml:space="preserve"> samtidig som fastlegen, og </w:t>
      </w:r>
      <w:r w:rsidR="00A73C72">
        <w:t>samtidig</w:t>
      </w:r>
      <w:r w:rsidR="00201C1F">
        <w:t xml:space="preserve"> </w:t>
      </w:r>
      <w:r w:rsidR="00F24610">
        <w:t xml:space="preserve">få </w:t>
      </w:r>
      <w:r w:rsidR="00201C1F">
        <w:t>trygderefusjon</w:t>
      </w:r>
      <w:r w:rsidR="0057568B">
        <w:t>.</w:t>
      </w:r>
      <w:r w:rsidR="008F0A6B">
        <w:t xml:space="preserve"> </w:t>
      </w:r>
      <w:r w:rsidR="00733FF5">
        <w:t>Flere av disse</w:t>
      </w:r>
      <w:r w:rsidR="002275F5">
        <w:t xml:space="preserve"> </w:t>
      </w:r>
      <w:r w:rsidR="00D22046">
        <w:t xml:space="preserve">momentene </w:t>
      </w:r>
      <w:r w:rsidR="00733FF5">
        <w:t xml:space="preserve">gjør </w:t>
      </w:r>
      <w:r w:rsidR="00DA2F55">
        <w:t xml:space="preserve">at ALIS ansatt i en gruppepraksis </w:t>
      </w:r>
      <w:r w:rsidR="00487FE8">
        <w:t xml:space="preserve">som eies og driftes </w:t>
      </w:r>
      <w:r w:rsidR="00A1770F">
        <w:t>av næringsdrivende</w:t>
      </w:r>
      <w:r w:rsidR="00DA2F55">
        <w:t xml:space="preserve"> </w:t>
      </w:r>
      <w:r w:rsidR="00487FE8">
        <w:t>fast</w:t>
      </w:r>
      <w:r w:rsidR="002F3BC5">
        <w:t>leger</w:t>
      </w:r>
      <w:r w:rsidR="00F24610">
        <w:t>,</w:t>
      </w:r>
      <w:r w:rsidR="002F3BC5">
        <w:t xml:space="preserve"> </w:t>
      </w:r>
      <w:r w:rsidR="00444EB6">
        <w:t>kan være eller bli</w:t>
      </w:r>
      <w:r w:rsidR="00DB47F1">
        <w:t xml:space="preserve"> komplisert. </w:t>
      </w:r>
      <w:r w:rsidR="00A00C7F">
        <w:t>Innføring av introduksjonsavtaler</w:t>
      </w:r>
      <w:r w:rsidR="00712D80">
        <w:t xml:space="preserve"> har ikke bredt om seg</w:t>
      </w:r>
      <w:r w:rsidR="00EA7FA1">
        <w:t>,</w:t>
      </w:r>
      <w:r w:rsidR="00131890">
        <w:t xml:space="preserve"> og fortsatt er mange avtaler ikke inngått</w:t>
      </w:r>
      <w:r w:rsidR="00444EB6">
        <w:t>,</w:t>
      </w:r>
      <w:r w:rsidR="00E542CA">
        <w:t xml:space="preserve"> </w:t>
      </w:r>
      <w:r w:rsidR="00444EB6">
        <w:t>n</w:t>
      </w:r>
      <w:r w:rsidR="00E542CA">
        <w:t xml:space="preserve">oe som er med på å forsterke </w:t>
      </w:r>
      <w:r w:rsidR="00F80F7D">
        <w:t xml:space="preserve">inntrykket av at </w:t>
      </w:r>
      <w:r w:rsidR="00AD708F">
        <w:t xml:space="preserve">det </w:t>
      </w:r>
      <w:r w:rsidR="007F0073">
        <w:t xml:space="preserve">er </w:t>
      </w:r>
      <w:r w:rsidR="00AD708F">
        <w:t xml:space="preserve">vanskelig å få </w:t>
      </w:r>
      <w:r w:rsidR="00A5626F">
        <w:t xml:space="preserve">til </w:t>
      </w:r>
      <w:r w:rsidR="00AD708F">
        <w:t>enighet rundt disse avtalene.</w:t>
      </w:r>
    </w:p>
    <w:p w14:paraId="0B0B5CF1" w14:textId="41451D64" w:rsidR="007D00AD" w:rsidRDefault="0091309D" w:rsidP="0085218F">
      <w:pPr>
        <w:jc w:val="both"/>
      </w:pPr>
      <w:r>
        <w:t>I</w:t>
      </w:r>
      <w:r w:rsidR="00A74455">
        <w:t xml:space="preserve"> fastlegepraksiser som eies av kommunen, og hvor leger og personell er ansatt, vil ansettelse av ALIS i en utdanningsstilling</w:t>
      </w:r>
      <w:r w:rsidR="00E86FDF">
        <w:t xml:space="preserve"> være enklere. Dette gjelder både </w:t>
      </w:r>
      <w:r w:rsidR="00B82272">
        <w:t xml:space="preserve">knyttet til det avtalemessige og </w:t>
      </w:r>
      <w:r w:rsidR="00D07714">
        <w:t xml:space="preserve">det </w:t>
      </w:r>
      <w:r w:rsidR="00B82272">
        <w:t>organisatoriske</w:t>
      </w:r>
      <w:r w:rsidR="00E525D2">
        <w:t xml:space="preserve">. </w:t>
      </w:r>
      <w:r w:rsidR="003B2B11">
        <w:t>For kommunen vil det ikke være anner</w:t>
      </w:r>
      <w:r w:rsidR="00966EAE">
        <w:t>ledes å ansette ALIS i en utdanningsstilling, enn ansettelse av øvrig personell i praks</w:t>
      </w:r>
      <w:r w:rsidR="00A1361C">
        <w:t>is</w:t>
      </w:r>
      <w:r w:rsidR="00966EAE">
        <w:t xml:space="preserve">en. </w:t>
      </w:r>
      <w:r w:rsidR="00B90F08">
        <w:t xml:space="preserve">Det samme vil i </w:t>
      </w:r>
      <w:r w:rsidR="00444EB6">
        <w:t>stor grad kunne</w:t>
      </w:r>
      <w:r w:rsidR="00B90F08">
        <w:t xml:space="preserve"> gjelde ved 8.2-avtaler.</w:t>
      </w:r>
    </w:p>
    <w:p w14:paraId="281DE08F" w14:textId="77777777" w:rsidR="00D9107F" w:rsidRDefault="00F358BD" w:rsidP="0085218F">
      <w:pPr>
        <w:jc w:val="both"/>
      </w:pPr>
      <w:r>
        <w:t xml:space="preserve">Opprettelse </w:t>
      </w:r>
      <w:r w:rsidR="00C74CBA">
        <w:t>fastlegeselskap</w:t>
      </w:r>
      <w:r w:rsidR="00C61B0E">
        <w:t xml:space="preserve"> som beskrevet i kap</w:t>
      </w:r>
      <w:r w:rsidR="00882985">
        <w:t>.</w:t>
      </w:r>
      <w:r w:rsidR="00C61B0E">
        <w:t xml:space="preserve"> 4.</w:t>
      </w:r>
      <w:r w:rsidR="00882985">
        <w:t>7.3</w:t>
      </w:r>
      <w:r>
        <w:t xml:space="preserve"> vil skille seg fra gruppepraksiser på flere områder som har betydning for opprettelse av utdanningsstillinger. </w:t>
      </w:r>
      <w:r w:rsidR="00306290">
        <w:t>I et fastlege</w:t>
      </w:r>
      <w:r w:rsidR="0049387A">
        <w:t>selskap</w:t>
      </w:r>
      <w:r w:rsidR="00306290">
        <w:t xml:space="preserve"> er virksomhets- og lederansvaret entydig definert. </w:t>
      </w:r>
      <w:r w:rsidR="00D63D9B">
        <w:t xml:space="preserve">Innenfor rammen av et </w:t>
      </w:r>
      <w:r w:rsidR="00332C2F">
        <w:t>gitt</w:t>
      </w:r>
      <w:r w:rsidR="00D63D9B">
        <w:t xml:space="preserve"> antall listeinnbyggere</w:t>
      </w:r>
      <w:r w:rsidR="006F6D4C">
        <w:t>,</w:t>
      </w:r>
      <w:r w:rsidR="00D63D9B">
        <w:t xml:space="preserve"> er det fastlege</w:t>
      </w:r>
      <w:r w:rsidR="00837153">
        <w:t>selskapet</w:t>
      </w:r>
      <w:r w:rsidR="00262B87">
        <w:t xml:space="preserve"> som inngår avtale med og ansetter personell, også leger. </w:t>
      </w:r>
      <w:r w:rsidR="0049387A">
        <w:t>Selskapets</w:t>
      </w:r>
      <w:r w:rsidR="005B33E3">
        <w:t xml:space="preserve"> ledelse vil ha </w:t>
      </w:r>
      <w:r w:rsidR="00924D5E">
        <w:t>ansvaret for</w:t>
      </w:r>
      <w:r w:rsidR="00F9240B">
        <w:t xml:space="preserve"> </w:t>
      </w:r>
      <w:r w:rsidR="00924D5E">
        <w:t>a</w:t>
      </w:r>
      <w:r w:rsidR="00A17BAD">
        <w:t>nsettelse</w:t>
      </w:r>
      <w:r w:rsidR="00924D5E">
        <w:t xml:space="preserve"> og </w:t>
      </w:r>
      <w:r w:rsidR="002472E5">
        <w:t>oppfølging av ALIS.</w:t>
      </w:r>
      <w:r w:rsidR="00945600">
        <w:t xml:space="preserve"> </w:t>
      </w:r>
      <w:r w:rsidR="00903EC6">
        <w:t xml:space="preserve">Det vil også være foretakets ledelse som </w:t>
      </w:r>
      <w:r w:rsidR="007F7C10">
        <w:t xml:space="preserve">inngår </w:t>
      </w:r>
      <w:r w:rsidR="00A17BAD">
        <w:t>avtale</w:t>
      </w:r>
      <w:r w:rsidR="00556400">
        <w:t xml:space="preserve"> om utdanningsstilling med kommunen</w:t>
      </w:r>
      <w:r w:rsidR="00814AFC">
        <w:t xml:space="preserve"> og følger opp denne.</w:t>
      </w:r>
    </w:p>
    <w:p w14:paraId="3A5149D1" w14:textId="77777777" w:rsidR="00D9107F" w:rsidRDefault="00F139CA" w:rsidP="0085218F">
      <w:pPr>
        <w:jc w:val="both"/>
      </w:pPr>
      <w:r>
        <w:t>A</w:t>
      </w:r>
      <w:r w:rsidR="00075679">
        <w:t>t antall utdann</w:t>
      </w:r>
      <w:r w:rsidR="00A149E5">
        <w:t xml:space="preserve">ingsstillinger </w:t>
      </w:r>
      <w:r w:rsidR="00CE2BAD">
        <w:t xml:space="preserve">avtales </w:t>
      </w:r>
      <w:r w:rsidR="00DE2151">
        <w:t xml:space="preserve">med </w:t>
      </w:r>
      <w:r w:rsidR="005C4838">
        <w:t>fastlege</w:t>
      </w:r>
      <w:r w:rsidR="002E7D36">
        <w:t>selskapet</w:t>
      </w:r>
      <w:r w:rsidR="005C4838">
        <w:t xml:space="preserve">, vil </w:t>
      </w:r>
      <w:r w:rsidR="00025C2A">
        <w:t>gjøre det mulig for kommunen å planlegge for et økt rekrutteringsbehov</w:t>
      </w:r>
      <w:r w:rsidR="00B14F72">
        <w:t xml:space="preserve"> ved </w:t>
      </w:r>
      <w:r w:rsidR="00A34312">
        <w:t xml:space="preserve">å avtale et økt antall </w:t>
      </w:r>
      <w:r w:rsidR="002B17F8">
        <w:t xml:space="preserve">slike </w:t>
      </w:r>
      <w:r w:rsidR="00A34312">
        <w:t xml:space="preserve">stillinger. </w:t>
      </w:r>
      <w:r w:rsidR="00E608B4">
        <w:t xml:space="preserve">I Danmark </w:t>
      </w:r>
      <w:r w:rsidR="002B2239">
        <w:t xml:space="preserve">gjennomgås avtalene med </w:t>
      </w:r>
      <w:r w:rsidR="002F3515">
        <w:t>kompaniskapspraksiser</w:t>
      </w:r>
      <w:r w:rsidR="00C72B70">
        <w:t xml:space="preserve"> årlig, for å se om det er behov for endringer. En tilsvarende løsning kan </w:t>
      </w:r>
      <w:r w:rsidR="00804C8C">
        <w:t>tenkes å gjelde</w:t>
      </w:r>
      <w:r w:rsidR="00C72B70">
        <w:t xml:space="preserve"> for avtaler </w:t>
      </w:r>
      <w:r w:rsidR="002456A8">
        <w:t>mellom fastl</w:t>
      </w:r>
      <w:r w:rsidR="004A497D">
        <w:t>ege</w:t>
      </w:r>
      <w:r w:rsidR="00EA1CF1">
        <w:t>selskap</w:t>
      </w:r>
      <w:r w:rsidR="004A497D">
        <w:t xml:space="preserve"> og kommune</w:t>
      </w:r>
      <w:r w:rsidR="008A53C3">
        <w:t xml:space="preserve">n, hvor også antall utdanningsstillinger </w:t>
      </w:r>
      <w:r w:rsidR="21009B1F" w:rsidRPr="6732455D">
        <w:t>må kunne</w:t>
      </w:r>
      <w:r w:rsidR="0051166A">
        <w:t xml:space="preserve"> endres.</w:t>
      </w:r>
    </w:p>
    <w:p w14:paraId="4B80374F" w14:textId="1D3CA34C" w:rsidR="4C4C31E9" w:rsidRDefault="004F3C11" w:rsidP="01D8C89C">
      <w:pPr>
        <w:jc w:val="both"/>
      </w:pPr>
      <w:r>
        <w:t xml:space="preserve">Når det gjelder etablering av utdanningsstillinger, </w:t>
      </w:r>
      <w:r w:rsidR="00530FA3">
        <w:t xml:space="preserve">synes det å </w:t>
      </w:r>
      <w:r w:rsidR="005B1FEB">
        <w:t>være færrest barrierer knyttet til at</w:t>
      </w:r>
      <w:r w:rsidR="00530FA3">
        <w:t xml:space="preserve"> disse etableres i fastle</w:t>
      </w:r>
      <w:r w:rsidR="00E32478">
        <w:t>geselskap</w:t>
      </w:r>
      <w:r w:rsidR="00530FA3">
        <w:t xml:space="preserve"> eller kommunalt</w:t>
      </w:r>
      <w:r w:rsidR="00200C70">
        <w:t xml:space="preserve"> eide fastlegekontor.</w:t>
      </w:r>
      <w:r w:rsidR="00E32478">
        <w:t xml:space="preserve"> Etablering</w:t>
      </w:r>
      <w:r w:rsidR="562A15A5">
        <w:t xml:space="preserve"> i </w:t>
      </w:r>
      <w:r w:rsidR="00E32478">
        <w:t xml:space="preserve">fastlegeselskap forventes imidlertid å ta tid, da en slik organisasjonsform ikke </w:t>
      </w:r>
      <w:r w:rsidR="209C82D2">
        <w:t>eksistere</w:t>
      </w:r>
      <w:r w:rsidR="24FB0F71">
        <w:t>r</w:t>
      </w:r>
      <w:r w:rsidR="00E32478">
        <w:t xml:space="preserve"> i dagens ordning. </w:t>
      </w:r>
      <w:r w:rsidR="006B5110">
        <w:t xml:space="preserve">Det er i </w:t>
      </w:r>
      <w:r w:rsidR="562A15A5">
        <w:t xml:space="preserve">dag </w:t>
      </w:r>
      <w:r w:rsidR="00DD5CFE">
        <w:t xml:space="preserve">mange </w:t>
      </w:r>
      <w:r w:rsidR="562A15A5">
        <w:t>gruppepraksiser</w:t>
      </w:r>
      <w:r w:rsidR="00DD5CFE">
        <w:t xml:space="preserve"> som </w:t>
      </w:r>
      <w:r w:rsidR="000C4377">
        <w:t>kan tenkes å romme utdanningsstillinger.</w:t>
      </w:r>
      <w:r w:rsidR="562A15A5">
        <w:t xml:space="preserve"> </w:t>
      </w:r>
      <w:r w:rsidR="002472E5">
        <w:t>Et sentralt framforhandlet</w:t>
      </w:r>
      <w:r w:rsidR="562A15A5">
        <w:t xml:space="preserve"> avtaleverk for fastlønnet ALIS i privat legepraksis vil </w:t>
      </w:r>
      <w:r w:rsidR="00D50D33">
        <w:t xml:space="preserve">trolig </w:t>
      </w:r>
      <w:r w:rsidR="000D084C">
        <w:t>gjøre det lettere</w:t>
      </w:r>
      <w:r w:rsidR="562A15A5">
        <w:t xml:space="preserve"> å </w:t>
      </w:r>
      <w:r w:rsidR="000D084C">
        <w:t xml:space="preserve">komme </w:t>
      </w:r>
      <w:r w:rsidR="007C386C">
        <w:t>i gang, og kan således</w:t>
      </w:r>
      <w:r w:rsidR="4648B51E">
        <w:t xml:space="preserve"> raskt gi større utdanningskapasitet. Utvalget anbefaler </w:t>
      </w:r>
      <w:r w:rsidR="4648B51E">
        <w:lastRenderedPageBreak/>
        <w:t xml:space="preserve">derfor at </w:t>
      </w:r>
      <w:r w:rsidR="00897A2E">
        <w:t>det utarbeides</w:t>
      </w:r>
      <w:r w:rsidR="4648B51E">
        <w:t xml:space="preserve"> rammeavtaler og finansiering</w:t>
      </w:r>
      <w:r w:rsidR="4D951136">
        <w:t xml:space="preserve"> for fastlønnet ALIS i private gruppepraksiser.</w:t>
      </w:r>
    </w:p>
    <w:p w14:paraId="1657609E" w14:textId="77777777" w:rsidR="00224ECB" w:rsidRDefault="0B150A45" w:rsidP="00775632">
      <w:pPr>
        <w:pStyle w:val="Overskrift4"/>
      </w:pPr>
      <w:bookmarkStart w:id="5604" w:name="_Toc130983721"/>
      <w:bookmarkStart w:id="5605" w:name="_Toc130984070"/>
      <w:bookmarkStart w:id="5606" w:name="_Toc131062302"/>
      <w:bookmarkStart w:id="5607" w:name="_Toc131062556"/>
      <w:bookmarkStart w:id="5608" w:name="_Toc131062817"/>
      <w:bookmarkStart w:id="5609" w:name="_Toc131063070"/>
      <w:bookmarkStart w:id="5610" w:name="_Toc131063853"/>
      <w:bookmarkStart w:id="5611" w:name="_Toc131064264"/>
      <w:bookmarkStart w:id="5612" w:name="_Toc131238574"/>
      <w:bookmarkStart w:id="5613" w:name="_Toc131279665"/>
      <w:bookmarkStart w:id="5614" w:name="_Toc131287077"/>
      <w:bookmarkStart w:id="5615" w:name="_Toc131281487"/>
      <w:bookmarkStart w:id="5616" w:name="_Toc131318027"/>
      <w:r>
        <w:t>Finansiering</w:t>
      </w:r>
      <w:r w:rsidR="64A37AC5">
        <w:t xml:space="preserve"> og relasjon til </w:t>
      </w:r>
      <w:r w:rsidR="01A25DC3">
        <w:t>etablerte ordninger</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490D8661" w14:textId="77777777" w:rsidR="00D9107F" w:rsidRDefault="00CF694A" w:rsidP="0085218F">
      <w:pPr>
        <w:jc w:val="both"/>
      </w:pPr>
      <w:r>
        <w:t xml:space="preserve">I dagens finansieringsordning </w:t>
      </w:r>
      <w:r w:rsidR="00D6329E">
        <w:t xml:space="preserve">vil </w:t>
      </w:r>
      <w:r w:rsidR="0079326D">
        <w:t xml:space="preserve">ALIS i en utdanningsstilling </w:t>
      </w:r>
      <w:r w:rsidR="00F006F2">
        <w:t xml:space="preserve">ha </w:t>
      </w:r>
      <w:r w:rsidR="000A5BB3">
        <w:t xml:space="preserve">aktivitetsbasert </w:t>
      </w:r>
      <w:r w:rsidR="00F006F2">
        <w:t xml:space="preserve">inntjening </w:t>
      </w:r>
      <w:r w:rsidR="004A6104">
        <w:t>gjennom takster</w:t>
      </w:r>
      <w:r w:rsidR="000A5BB3">
        <w:t xml:space="preserve">. </w:t>
      </w:r>
      <w:r w:rsidR="00032F3C">
        <w:t>Når ALIS er ansatt</w:t>
      </w:r>
      <w:r w:rsidR="0DA6B901">
        <w:t>,</w:t>
      </w:r>
      <w:r w:rsidR="00032F3C">
        <w:t xml:space="preserve"> vil inntjeningen </w:t>
      </w:r>
      <w:r w:rsidR="004E0E38">
        <w:t xml:space="preserve">gå til </w:t>
      </w:r>
      <w:r w:rsidR="00B46642">
        <w:t>arbeidsgiver</w:t>
      </w:r>
      <w:r w:rsidR="004E0E38">
        <w:t xml:space="preserve">, </w:t>
      </w:r>
      <w:r w:rsidR="009A6044">
        <w:t>og ALIS vil få lønn</w:t>
      </w:r>
      <w:r w:rsidR="002B7514">
        <w:t>.</w:t>
      </w:r>
    </w:p>
    <w:p w14:paraId="570FF4A0" w14:textId="77777777" w:rsidR="00D9107F" w:rsidRDefault="00BF457D" w:rsidP="0085218F">
      <w:pPr>
        <w:jc w:val="both"/>
      </w:pPr>
      <w:r w:rsidRPr="29EF0D2D">
        <w:t xml:space="preserve">Fast lønn med bonus vil </w:t>
      </w:r>
      <w:r w:rsidR="005F0A65" w:rsidRPr="29EF0D2D">
        <w:t xml:space="preserve">gi ALIS </w:t>
      </w:r>
      <w:r w:rsidR="009C60B2" w:rsidRPr="29EF0D2D">
        <w:t xml:space="preserve">et insentiv for aktivitet, </w:t>
      </w:r>
      <w:r w:rsidR="005219E7" w:rsidRPr="29EF0D2D">
        <w:t xml:space="preserve">og vil </w:t>
      </w:r>
      <w:r w:rsidR="00D57DB1" w:rsidRPr="29EF0D2D">
        <w:t xml:space="preserve">dermed </w:t>
      </w:r>
      <w:r w:rsidR="005219E7" w:rsidRPr="29EF0D2D">
        <w:t xml:space="preserve">ligne </w:t>
      </w:r>
      <w:r w:rsidR="00444EB6">
        <w:t xml:space="preserve">på </w:t>
      </w:r>
      <w:r w:rsidR="008367C3" w:rsidRPr="29EF0D2D">
        <w:t>inn</w:t>
      </w:r>
      <w:r w:rsidR="003321B6" w:rsidRPr="29EF0D2D">
        <w:t>tjenings</w:t>
      </w:r>
      <w:r w:rsidR="009C323F" w:rsidRPr="29EF0D2D">
        <w:t>modellen som næringsdrivende</w:t>
      </w:r>
      <w:r w:rsidR="00D57DB1" w:rsidRPr="29EF0D2D">
        <w:t xml:space="preserve"> lege. Det vil også stimulere til </w:t>
      </w:r>
      <w:r w:rsidR="00776F2E" w:rsidRPr="29EF0D2D">
        <w:t xml:space="preserve">bruk av takstsystemet. </w:t>
      </w:r>
      <w:r w:rsidR="00C72704" w:rsidRPr="29EF0D2D">
        <w:t>E</w:t>
      </w:r>
      <w:r w:rsidR="00607617" w:rsidRPr="29EF0D2D">
        <w:t xml:space="preserve">n nasjonal konsensus med regulering av lønn og lønnsstige for ALIS i utdanningsstilling vil være forutsigbart for ALIS, og </w:t>
      </w:r>
      <w:r w:rsidR="00376BFD">
        <w:t>arbe</w:t>
      </w:r>
      <w:r w:rsidR="00535015">
        <w:t>idsgiver</w:t>
      </w:r>
      <w:r w:rsidR="00607617" w:rsidRPr="29EF0D2D">
        <w:t xml:space="preserve">. </w:t>
      </w:r>
      <w:r w:rsidR="009F1AAF" w:rsidRPr="29EF0D2D">
        <w:t>Fast lønn med bonus regulert gjennom sentrale avtaler</w:t>
      </w:r>
      <w:r w:rsidR="0044151C" w:rsidRPr="29EF0D2D">
        <w:t xml:space="preserve"> vil sette standard for minstelønn</w:t>
      </w:r>
      <w:r w:rsidR="00EA7FA1">
        <w:t>,</w:t>
      </w:r>
      <w:r w:rsidR="0044151C" w:rsidRPr="29EF0D2D">
        <w:t xml:space="preserve"> og være sammenlignbart </w:t>
      </w:r>
      <w:r w:rsidR="007A0EA0">
        <w:t xml:space="preserve">med </w:t>
      </w:r>
      <w:r w:rsidR="009B4B19" w:rsidRPr="29EF0D2D">
        <w:t xml:space="preserve">hvordan lønningene </w:t>
      </w:r>
      <w:r w:rsidR="0033267C" w:rsidRPr="29EF0D2D">
        <w:t xml:space="preserve">bestemmes for LIS1 og </w:t>
      </w:r>
      <w:r w:rsidR="0033267C" w:rsidRPr="080A9B15">
        <w:t>LIS</w:t>
      </w:r>
      <w:r w:rsidR="37E52A37" w:rsidRPr="080A9B15">
        <w:t>2/3</w:t>
      </w:r>
      <w:r w:rsidR="0033267C" w:rsidRPr="29EF0D2D">
        <w:t xml:space="preserve"> i sykehus.</w:t>
      </w:r>
    </w:p>
    <w:p w14:paraId="080F1933" w14:textId="26E91679" w:rsidR="002F1D18" w:rsidRDefault="002F1D18" w:rsidP="0085218F">
      <w:pPr>
        <w:jc w:val="both"/>
      </w:pPr>
      <w:r w:rsidRPr="344CDAD3">
        <w:t xml:space="preserve">I Danmark </w:t>
      </w:r>
      <w:r w:rsidR="00B470D8" w:rsidRPr="344CDAD3">
        <w:t xml:space="preserve">dekker </w:t>
      </w:r>
      <w:r w:rsidR="00D8666B" w:rsidRPr="344CDAD3">
        <w:t>de praktiserende legene</w:t>
      </w:r>
      <w:r w:rsidR="00B470D8" w:rsidRPr="344CDAD3">
        <w:t xml:space="preserve"> i praksisen </w:t>
      </w:r>
      <w:r w:rsidR="00D8666B" w:rsidRPr="344CDAD3">
        <w:t>30-40</w:t>
      </w:r>
      <w:r w:rsidR="00DE1631">
        <w:t xml:space="preserve"> prosent</w:t>
      </w:r>
      <w:r w:rsidR="00D8666B" w:rsidRPr="344CDAD3">
        <w:t xml:space="preserve"> av </w:t>
      </w:r>
      <w:r w:rsidR="00EC3973" w:rsidRPr="344CDAD3">
        <w:t xml:space="preserve">lønnen til legen i spesialistutdannelsens </w:t>
      </w:r>
      <w:r w:rsidR="00453666">
        <w:t>siste deler</w:t>
      </w:r>
      <w:r w:rsidR="00EC3973" w:rsidRPr="344CDAD3">
        <w:t xml:space="preserve">. </w:t>
      </w:r>
      <w:r w:rsidR="00597356" w:rsidRPr="344CDAD3">
        <w:t xml:space="preserve">En tilsvarende løsning vil være mulig å se for seg </w:t>
      </w:r>
      <w:r w:rsidR="004D1F1B">
        <w:t xml:space="preserve">også </w:t>
      </w:r>
      <w:r w:rsidR="00597356" w:rsidRPr="344CDAD3">
        <w:t xml:space="preserve">i Norge, hvor kommunen </w:t>
      </w:r>
      <w:r w:rsidR="006003ED" w:rsidRPr="344CDAD3">
        <w:t xml:space="preserve">dekker ALIS </w:t>
      </w:r>
      <w:r w:rsidR="00444EB6">
        <w:t>sin</w:t>
      </w:r>
      <w:r w:rsidR="006003ED" w:rsidRPr="344CDAD3">
        <w:t xml:space="preserve"> lønn i første del av spesialistutdanningen, men</w:t>
      </w:r>
      <w:r w:rsidR="00EA7FA1">
        <w:t>s</w:t>
      </w:r>
      <w:r w:rsidR="006003ED" w:rsidRPr="344CDAD3">
        <w:t xml:space="preserve"> </w:t>
      </w:r>
      <w:r w:rsidR="002472E5">
        <w:t xml:space="preserve">fastlegeselskapet eller gruppepraksisen </w:t>
      </w:r>
      <w:r w:rsidR="002472E5" w:rsidRPr="344CDAD3">
        <w:t>gradvis overtar lønnsansvaret når ALIS blir mer erfaren.</w:t>
      </w:r>
      <w:r w:rsidR="00D921DC" w:rsidRPr="344CDAD3">
        <w:t xml:space="preserve"> </w:t>
      </w:r>
      <w:r w:rsidR="00A74E6E" w:rsidRPr="344CDAD3">
        <w:t xml:space="preserve">Det kan også være mulig å se for seg at kommunen mottar statlig tilskudd </w:t>
      </w:r>
      <w:r w:rsidR="00271DEB" w:rsidRPr="344CDAD3">
        <w:t xml:space="preserve">eller økt rammefinansiering, som kompenserer for </w:t>
      </w:r>
      <w:r w:rsidR="00365DD0" w:rsidRPr="344CDAD3">
        <w:t>en del av kostnadene</w:t>
      </w:r>
      <w:r w:rsidR="000B3606" w:rsidRPr="344CDAD3">
        <w:t>.</w:t>
      </w:r>
    </w:p>
    <w:p w14:paraId="1F04BF98" w14:textId="77777777" w:rsidR="00D9107F" w:rsidRDefault="002472E5" w:rsidP="002472E5">
      <w:pPr>
        <w:jc w:val="both"/>
      </w:pPr>
      <w:r>
        <w:t>Den etablerte tilskuddsordningen Nasjonal ALIS og veiledning vil også omfatte ALIS i utdanningsstillinger, og vil bidra til å dekke kommunens merkostnader knyttet til at legen gjennomfører spesialistutdanning. Ifølge regelverket for tilskuddsordningen, kan tilskuddet kun søkes og tildeles kommuner.</w:t>
      </w:r>
    </w:p>
    <w:p w14:paraId="17B96690" w14:textId="1A2881B5" w:rsidR="00D21B78" w:rsidRPr="005A4C01" w:rsidRDefault="00A663ED" w:rsidP="0085218F">
      <w:pPr>
        <w:jc w:val="both"/>
      </w:pPr>
      <w:r w:rsidRPr="6732455D">
        <w:t>Ved innføring av utdanningsstillinger</w:t>
      </w:r>
      <w:r w:rsidRPr="6732455D" w:rsidDel="00D916CA">
        <w:t xml:space="preserve"> </w:t>
      </w:r>
      <w:r w:rsidRPr="6732455D">
        <w:t>hvor ALIS er ansatt</w:t>
      </w:r>
      <w:r w:rsidR="00D916CA">
        <w:t xml:space="preserve">, </w:t>
      </w:r>
      <w:r w:rsidR="00D916CA" w:rsidRPr="6732455D">
        <w:t>vil behovet for introduksjonsavtaler</w:t>
      </w:r>
      <w:r w:rsidRPr="6732455D">
        <w:t xml:space="preserve"> bortfalle</w:t>
      </w:r>
      <w:r w:rsidR="009438E9" w:rsidRPr="6732455D">
        <w:t xml:space="preserve">. Det vil være behov for å videreføre ordningen </w:t>
      </w:r>
      <w:r w:rsidR="00F84446" w:rsidRPr="6732455D">
        <w:t xml:space="preserve">i de tilfeller hvor ALIS har </w:t>
      </w:r>
      <w:r w:rsidR="00A83AAA" w:rsidRPr="6732455D">
        <w:t xml:space="preserve">inngått </w:t>
      </w:r>
      <w:r w:rsidR="00F84446" w:rsidRPr="6732455D">
        <w:t>introduksjonsavtale med næringsdrift</w:t>
      </w:r>
      <w:r w:rsidR="00A83AAA" w:rsidRPr="6732455D">
        <w:t xml:space="preserve">. </w:t>
      </w:r>
      <w:r w:rsidR="004E67AF" w:rsidRPr="6732455D">
        <w:t>D</w:t>
      </w:r>
      <w:r w:rsidR="00277D70" w:rsidRPr="6732455D">
        <w:t xml:space="preserve">et </w:t>
      </w:r>
      <w:r w:rsidR="004E67AF" w:rsidRPr="6732455D">
        <w:t xml:space="preserve">er </w:t>
      </w:r>
      <w:r w:rsidR="00277D70" w:rsidRPr="6732455D">
        <w:t xml:space="preserve">komplisert å ha flere ordninger for ALIS som </w:t>
      </w:r>
      <w:r w:rsidR="00715676">
        <w:t xml:space="preserve">er </w:t>
      </w:r>
      <w:r w:rsidR="00277D70" w:rsidRPr="6732455D">
        <w:t xml:space="preserve">til dels </w:t>
      </w:r>
      <w:r w:rsidR="002472E5" w:rsidRPr="6732455D">
        <w:t xml:space="preserve">overlappende både i innretting og behov. </w:t>
      </w:r>
      <w:r w:rsidR="0065014F" w:rsidRPr="6732455D">
        <w:t>Ved etablering av utdanningsstillinger synes det naturlig at den</w:t>
      </w:r>
      <w:r w:rsidR="00557B9D" w:rsidRPr="6732455D">
        <w:t xml:space="preserve"> over tid erstatter ordningen med introduksjonsavtaler.</w:t>
      </w:r>
    </w:p>
    <w:p w14:paraId="29AE850C" w14:textId="77777777" w:rsidR="000863FC" w:rsidRPr="000863FC" w:rsidRDefault="0B150A45" w:rsidP="00775632">
      <w:pPr>
        <w:pStyle w:val="Overskrift4"/>
      </w:pPr>
      <w:bookmarkStart w:id="5617" w:name="_Toc130983722"/>
      <w:bookmarkStart w:id="5618" w:name="_Toc130984071"/>
      <w:bookmarkStart w:id="5619" w:name="_Toc131062303"/>
      <w:bookmarkStart w:id="5620" w:name="_Toc131062557"/>
      <w:bookmarkStart w:id="5621" w:name="_Toc131062818"/>
      <w:bookmarkStart w:id="5622" w:name="_Toc131063071"/>
      <w:bookmarkStart w:id="5623" w:name="_Toc131063854"/>
      <w:bookmarkStart w:id="5624" w:name="_Toc131064265"/>
      <w:bookmarkStart w:id="5625" w:name="_Toc131238575"/>
      <w:bookmarkStart w:id="5626" w:name="_Toc131279666"/>
      <w:bookmarkStart w:id="5627" w:name="_Toc131287078"/>
      <w:bookmarkStart w:id="5628" w:name="_Toc131281488"/>
      <w:bookmarkStart w:id="5629" w:name="_Toc131318028"/>
      <w:r>
        <w:t>Konsekvenser for by og land</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180645C9" w14:textId="77777777" w:rsidR="00D9107F" w:rsidRDefault="00C11402" w:rsidP="0085218F">
      <w:pPr>
        <w:jc w:val="both"/>
      </w:pPr>
      <w:r>
        <w:t xml:space="preserve">Konsekvensene ved etablering av </w:t>
      </w:r>
      <w:r w:rsidR="003D1AE3">
        <w:t xml:space="preserve">utdanningsstillinger </w:t>
      </w:r>
      <w:r w:rsidR="001D7BAF">
        <w:t xml:space="preserve">kan tenkes å </w:t>
      </w:r>
      <w:r w:rsidR="0032087E">
        <w:t xml:space="preserve">være ulike for </w:t>
      </w:r>
      <w:r>
        <w:t xml:space="preserve">større byer </w:t>
      </w:r>
      <w:r w:rsidR="756E26E7">
        <w:t xml:space="preserve">og </w:t>
      </w:r>
      <w:r w:rsidR="0032087E">
        <w:t xml:space="preserve">for mindre kommuner i </w:t>
      </w:r>
      <w:r w:rsidR="002472E5">
        <w:t>distrikt</w:t>
      </w:r>
      <w:r w:rsidR="0032087E">
        <w:t>.</w:t>
      </w:r>
    </w:p>
    <w:p w14:paraId="64A4C65A" w14:textId="1436DE99" w:rsidR="00AB6387" w:rsidRDefault="002472E5" w:rsidP="0085218F">
      <w:pPr>
        <w:jc w:val="both"/>
      </w:pPr>
      <w:r>
        <w:t xml:space="preserve">I større byer er de aller fleste fastleger – også ALIS – næringsdrivende. </w:t>
      </w:r>
      <w:r w:rsidR="00705694">
        <w:t xml:space="preserve">Innføring av utdanningsstillinger </w:t>
      </w:r>
      <w:r w:rsidR="003B0EBF">
        <w:t>hvor ALIS er ansatt</w:t>
      </w:r>
      <w:r w:rsidR="27709F7E">
        <w:t>,</w:t>
      </w:r>
      <w:r w:rsidR="003B0EBF">
        <w:t xml:space="preserve"> </w:t>
      </w:r>
      <w:r w:rsidR="00705694">
        <w:t xml:space="preserve">vil medføre en forholdsmessig </w:t>
      </w:r>
      <w:r>
        <w:t>endring i driftsform.</w:t>
      </w:r>
      <w:r w:rsidR="003C23E2">
        <w:t xml:space="preserve"> </w:t>
      </w:r>
      <w:r w:rsidR="003B0EBF">
        <w:t>For mindre kommuner vil ikke denne endringen være særlig stor</w:t>
      </w:r>
      <w:r w:rsidR="007B069F">
        <w:t xml:space="preserve">, da stillinger for ALIS i dag allerede er innrettet slik. </w:t>
      </w:r>
      <w:r w:rsidR="00AF7CF8">
        <w:t>I hvilken grad</w:t>
      </w:r>
      <w:r w:rsidR="007B069F">
        <w:t xml:space="preserve"> </w:t>
      </w:r>
      <w:r w:rsidR="00AF7CF8">
        <w:t>større mulighet for fast ansettelse</w:t>
      </w:r>
      <w:r w:rsidR="00BC1248">
        <w:t xml:space="preserve"> også i by vil ha en sentraliserende effekt på ALI</w:t>
      </w:r>
      <w:r w:rsidR="00424596">
        <w:t>S</w:t>
      </w:r>
      <w:r w:rsidR="06D97C95">
        <w:t>,</w:t>
      </w:r>
      <w:r w:rsidR="00424596">
        <w:t xml:space="preserve"> er usikkert.</w:t>
      </w:r>
    </w:p>
    <w:p w14:paraId="205A49DB" w14:textId="77777777" w:rsidR="00146D01" w:rsidRDefault="0071488C" w:rsidP="0085218F">
      <w:pPr>
        <w:jc w:val="both"/>
      </w:pPr>
      <w:r>
        <w:lastRenderedPageBreak/>
        <w:t>D</w:t>
      </w:r>
      <w:r w:rsidR="00444EB6">
        <w:t xml:space="preserve">et </w:t>
      </w:r>
      <w:r w:rsidR="00B1655B">
        <w:t xml:space="preserve">er </w:t>
      </w:r>
      <w:r w:rsidR="00715676">
        <w:t>likevel</w:t>
      </w:r>
      <w:r w:rsidR="00B1655B">
        <w:t xml:space="preserve"> grunn til å tro</w:t>
      </w:r>
      <w:r w:rsidR="00444EB6">
        <w:t xml:space="preserve"> at </w:t>
      </w:r>
      <w:r w:rsidR="002D7839" w:rsidRPr="6732455D">
        <w:t xml:space="preserve">utdanningsstillinger </w:t>
      </w:r>
      <w:r w:rsidR="00444EB6">
        <w:t xml:space="preserve">vil </w:t>
      </w:r>
      <w:r w:rsidR="00C810B3" w:rsidRPr="6732455D">
        <w:t>øk</w:t>
      </w:r>
      <w:r w:rsidR="00444EB6">
        <w:t>e</w:t>
      </w:r>
      <w:r w:rsidR="00C810B3" w:rsidRPr="6732455D">
        <w:t xml:space="preserve"> rekruttering </w:t>
      </w:r>
      <w:r w:rsidR="00A21F1A" w:rsidRPr="6732455D">
        <w:t xml:space="preserve">til fastlegetjenesten i sentrale strøk, på bekostning </w:t>
      </w:r>
      <w:r w:rsidR="001D57D6" w:rsidRPr="6732455D">
        <w:t xml:space="preserve">av </w:t>
      </w:r>
      <w:r w:rsidR="001C41FD" w:rsidRPr="6732455D">
        <w:t>rekruttering</w:t>
      </w:r>
      <w:r w:rsidR="00316E1B" w:rsidRPr="6732455D">
        <w:t xml:space="preserve"> i mindre </w:t>
      </w:r>
      <w:r w:rsidR="00AB41D6" w:rsidRPr="07C9FE61">
        <w:t>kommuner</w:t>
      </w:r>
      <w:r w:rsidR="00444EB6">
        <w:t xml:space="preserve"> i distriktene</w:t>
      </w:r>
      <w:r w:rsidR="00AB6387" w:rsidRPr="07C9FE61">
        <w:t>.</w:t>
      </w:r>
      <w:r w:rsidR="003C3010" w:rsidRPr="6732455D">
        <w:t xml:space="preserve"> </w:t>
      </w:r>
      <w:r w:rsidR="00316E1B" w:rsidRPr="6732455D">
        <w:t xml:space="preserve">For å </w:t>
      </w:r>
      <w:r w:rsidR="00D64EBB" w:rsidRPr="6732455D">
        <w:t xml:space="preserve">motvirke en ytterligere forverring av </w:t>
      </w:r>
      <w:r w:rsidR="004E307C" w:rsidRPr="6732455D">
        <w:t xml:space="preserve">rekrutteringssituasjonen for </w:t>
      </w:r>
      <w:r w:rsidR="00035FE7" w:rsidRPr="6732455D">
        <w:t xml:space="preserve">små </w:t>
      </w:r>
      <w:r w:rsidR="00B23785" w:rsidRPr="6732455D">
        <w:t xml:space="preserve">og usentrale </w:t>
      </w:r>
      <w:r w:rsidR="00035FE7" w:rsidRPr="6732455D">
        <w:t>kommune</w:t>
      </w:r>
      <w:r w:rsidR="003D0C69" w:rsidRPr="6732455D">
        <w:t>r</w:t>
      </w:r>
      <w:r w:rsidR="007434B5">
        <w:t>,</w:t>
      </w:r>
      <w:r w:rsidR="00DE0A08">
        <w:t xml:space="preserve"> må det derfor settes inn kompenserende</w:t>
      </w:r>
      <w:r w:rsidR="00C2024F">
        <w:t xml:space="preserve"> tiltak</w:t>
      </w:r>
      <w:r w:rsidR="002A52BA">
        <w:t>. Et slikt</w:t>
      </w:r>
      <w:r w:rsidR="00DE0A08">
        <w:t xml:space="preserve"> tiltak </w:t>
      </w:r>
      <w:r w:rsidR="000E3F64">
        <w:t>kan</w:t>
      </w:r>
      <w:r w:rsidR="002A52BA">
        <w:t xml:space="preserve"> være</w:t>
      </w:r>
      <w:r w:rsidR="00EA75A8" w:rsidRPr="6732455D">
        <w:t xml:space="preserve"> å koble utdanningsstillinger </w:t>
      </w:r>
      <w:r w:rsidR="00481FAC" w:rsidRPr="6732455D">
        <w:t xml:space="preserve">i disse områdene </w:t>
      </w:r>
      <w:r w:rsidR="00715676">
        <w:t>til</w:t>
      </w:r>
      <w:r w:rsidR="00481FAC" w:rsidRPr="6732455D" w:rsidDel="00715676">
        <w:t xml:space="preserve"> </w:t>
      </w:r>
      <w:r w:rsidR="002472E5" w:rsidRPr="6732455D">
        <w:t>ekstra insentiver.</w:t>
      </w:r>
      <w:r w:rsidR="003F6F02" w:rsidRPr="6732455D">
        <w:t xml:space="preserve"> </w:t>
      </w:r>
      <w:r w:rsidR="00A85A2B">
        <w:t xml:space="preserve">Det kan også være </w:t>
      </w:r>
      <w:r w:rsidR="00622050">
        <w:t>mulig å regulere det totale antallet utdanningsstillinger på en måte som favoriserer mindre kommuner i dis</w:t>
      </w:r>
      <w:r w:rsidR="00680B06">
        <w:t>t</w:t>
      </w:r>
      <w:r w:rsidR="00622050">
        <w:t>rikt</w:t>
      </w:r>
      <w:r w:rsidR="006C5AAD">
        <w:t>.</w:t>
      </w:r>
    </w:p>
    <w:p w14:paraId="51BC6282" w14:textId="77777777" w:rsidR="00D9107F" w:rsidRDefault="00444EB6" w:rsidP="0085218F">
      <w:pPr>
        <w:jc w:val="both"/>
      </w:pPr>
      <w:r>
        <w:t>De to t</w:t>
      </w:r>
      <w:r w:rsidR="006114EB">
        <w:t xml:space="preserve">ilskuddsordningene </w:t>
      </w:r>
      <w:r w:rsidR="006114EB" w:rsidRPr="00D9107F">
        <w:rPr>
          <w:rStyle w:val="kursiv"/>
        </w:rPr>
        <w:t>Nasjonal ALIS og veiledning</w:t>
      </w:r>
      <w:r w:rsidR="006114EB">
        <w:t xml:space="preserve"> og </w:t>
      </w:r>
      <w:r w:rsidR="006114EB" w:rsidRPr="00D9107F">
        <w:rPr>
          <w:rStyle w:val="kursiv"/>
        </w:rPr>
        <w:t>Styrking av legevakttjenesten i distriktskommuner</w:t>
      </w:r>
      <w:r w:rsidR="006114EB">
        <w:t xml:space="preserve"> er allerede rettet inn mot kommuner med lav sentralitet og lavt innbyggertall. </w:t>
      </w:r>
      <w:r w:rsidR="009C664B">
        <w:t xml:space="preserve">Det er </w:t>
      </w:r>
      <w:r w:rsidR="006114EB">
        <w:t xml:space="preserve">også </w:t>
      </w:r>
      <w:r w:rsidR="009C664B">
        <w:t xml:space="preserve">eksempler fra andre land på </w:t>
      </w:r>
      <w:r w:rsidR="008D7D2F">
        <w:t xml:space="preserve">stipendordninger </w:t>
      </w:r>
      <w:r w:rsidR="0003520F">
        <w:t>knyttet til utdanningsstillinger i regioner med særskilt store rekrutteringsvansker</w:t>
      </w:r>
      <w:r w:rsidR="00146D01">
        <w:t xml:space="preserve">. </w:t>
      </w:r>
      <w:r w:rsidR="00010DE4">
        <w:t xml:space="preserve">Dette vil være tiltak det </w:t>
      </w:r>
      <w:r>
        <w:t>er</w:t>
      </w:r>
      <w:r w:rsidR="00010DE4">
        <w:t xml:space="preserve"> mulig å høste erfaringer fra, og tilpasse norske forhold</w:t>
      </w:r>
      <w:r w:rsidR="008234D9">
        <w:t>.</w:t>
      </w:r>
      <w:r w:rsidR="009C664B">
        <w:t xml:space="preserve"> </w:t>
      </w:r>
      <w:r w:rsidR="69E44B80">
        <w:t xml:space="preserve">Det enkleste vil kanskje være å differensier ALIS-tilskuddet </w:t>
      </w:r>
      <w:r w:rsidR="00936CE1">
        <w:t>ytterligere</w:t>
      </w:r>
      <w:r w:rsidR="00715676">
        <w:t>,</w:t>
      </w:r>
      <w:r w:rsidR="69E44B80">
        <w:t xml:space="preserve"> etter kommunens sentralitet eller de lokale rekrutteringsproblemene</w:t>
      </w:r>
      <w:r w:rsidR="00596323">
        <w:t xml:space="preserve">, eventuelt å </w:t>
      </w:r>
      <w:r>
        <w:t>utvide</w:t>
      </w:r>
      <w:r w:rsidR="00596323">
        <w:t xml:space="preserve"> ins</w:t>
      </w:r>
      <w:r w:rsidR="00680B06">
        <w:t>entivet</w:t>
      </w:r>
      <w:r w:rsidR="00596323">
        <w:t xml:space="preserve"> med nedskriving av studielån</w:t>
      </w:r>
      <w:r w:rsidR="69E44B80">
        <w:t>.</w:t>
      </w:r>
    </w:p>
    <w:p w14:paraId="24BD0DAC" w14:textId="77777777" w:rsidR="00D9107F" w:rsidRDefault="50C2BBEF" w:rsidP="3FBC8AFC">
      <w:pPr>
        <w:jc w:val="both"/>
      </w:pPr>
      <w:r>
        <w:t xml:space="preserve">Dersom alle ALIS søker seg til fastlønnede stillinger, og da uten listeansvar, </w:t>
      </w:r>
      <w:r w:rsidR="00276CE8">
        <w:t>kan</w:t>
      </w:r>
      <w:r>
        <w:t xml:space="preserve"> </w:t>
      </w:r>
      <w:r w:rsidR="00444EB6">
        <w:t xml:space="preserve">det kanskje tenkes at </w:t>
      </w:r>
      <w:r>
        <w:t xml:space="preserve">antallet leger som er tilgjengelige for vikariater </w:t>
      </w:r>
      <w:r w:rsidR="7DDE2237">
        <w:t>minke</w:t>
      </w:r>
      <w:r w:rsidR="00444EB6">
        <w:t>r</w:t>
      </w:r>
      <w:r w:rsidR="7DDE2237">
        <w:t xml:space="preserve">. En overgang til rent fastlønnede ALIS-stillinger vil </w:t>
      </w:r>
      <w:r w:rsidR="00444EB6">
        <w:t>i så fall</w:t>
      </w:r>
      <w:r w:rsidR="7DDE2237">
        <w:t xml:space="preserve"> kunne ha uønskede konsekvenser for fastlegene som allerede er i ordningen</w:t>
      </w:r>
      <w:r w:rsidR="552C3006">
        <w:t>, og som ikke selv tar inn ALIS i sin praksis. På lengre sikt vil flere ALIS kunne styrke rekrutteringen til allmennmedisin, og dermed også avhjelpe vikarmangelen vi i dag ser noen steder.</w:t>
      </w:r>
    </w:p>
    <w:p w14:paraId="5FD51CBE" w14:textId="431C0372" w:rsidR="00AA73CD" w:rsidRPr="00C72111" w:rsidRDefault="439CE0BB" w:rsidP="00775632">
      <w:pPr>
        <w:pStyle w:val="Overskrift3"/>
      </w:pPr>
      <w:bookmarkStart w:id="5630" w:name="_Toc120526271"/>
      <w:bookmarkStart w:id="5631" w:name="_Toc126834471"/>
      <w:bookmarkStart w:id="5632" w:name="_Toc127633356"/>
      <w:bookmarkStart w:id="5633" w:name="_Toc127864641"/>
      <w:bookmarkStart w:id="5634" w:name="_Toc128238658"/>
      <w:bookmarkStart w:id="5635" w:name="_Toc129630458"/>
      <w:bookmarkStart w:id="5636" w:name="_Toc130763965"/>
      <w:bookmarkStart w:id="5637" w:name="_Toc130766860"/>
      <w:bookmarkStart w:id="5638" w:name="_Toc130932259"/>
      <w:bookmarkStart w:id="5639" w:name="_Toc130934550"/>
      <w:bookmarkStart w:id="5640" w:name="_Toc130983723"/>
      <w:bookmarkStart w:id="5641" w:name="_Toc130984072"/>
      <w:bookmarkStart w:id="5642" w:name="_Toc131062304"/>
      <w:bookmarkStart w:id="5643" w:name="_Toc131062558"/>
      <w:bookmarkStart w:id="5644" w:name="_Toc131062819"/>
      <w:bookmarkStart w:id="5645" w:name="_Toc131063072"/>
      <w:bookmarkStart w:id="5646" w:name="_Toc131063855"/>
      <w:bookmarkStart w:id="5647" w:name="_Toc131064266"/>
      <w:bookmarkStart w:id="5648" w:name="_Toc131238576"/>
      <w:bookmarkStart w:id="5649" w:name="_Toc131279667"/>
      <w:bookmarkStart w:id="5650" w:name="_Toc131287079"/>
      <w:bookmarkStart w:id="5651" w:name="_Toc131281489"/>
      <w:bookmarkStart w:id="5652" w:name="_Toc131318029"/>
      <w:bookmarkStart w:id="5653" w:name="_Toc132537096"/>
      <w:bookmarkStart w:id="5654" w:name="_Toc128742106"/>
      <w:bookmarkStart w:id="5655" w:name="_Toc128744734"/>
      <w:bookmarkStart w:id="5656" w:name="_Toc128744953"/>
      <w:r>
        <w:t>Veiledning av studenter, LIS1 og ALIS</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p>
    <w:bookmarkEnd w:id="5654"/>
    <w:bookmarkEnd w:id="5655"/>
    <w:bookmarkEnd w:id="5656"/>
    <w:p w14:paraId="2D88D6E6" w14:textId="77777777" w:rsidR="00D9107F" w:rsidRDefault="00AA73CD" w:rsidP="00CF32F3">
      <w:pPr>
        <w:ind w:left="10" w:hanging="10"/>
        <w:jc w:val="both"/>
      </w:pPr>
      <w:r w:rsidRPr="3BD682F6">
        <w:t>Det er flere forhold som taler for at f</w:t>
      </w:r>
      <w:r>
        <w:t>ravær og mangel på praksisplasser og praksisveiledere i grunnutdanningen har betydning for hvor attraktivt det er for studenter å velge fastlegeyrket. Tilgjengelige praksisplasser</w:t>
      </w:r>
      <w:r w:rsidR="00AA01C8">
        <w:t>,</w:t>
      </w:r>
      <w:r>
        <w:t xml:space="preserve"> med motiverte og kompetente praksisveiledere</w:t>
      </w:r>
      <w:r w:rsidR="00AA01C8">
        <w:t>,</w:t>
      </w:r>
      <w:r>
        <w:t xml:space="preserve"> synes </w:t>
      </w:r>
      <w:r w:rsidR="00FC6B61">
        <w:t xml:space="preserve">å </w:t>
      </w:r>
      <w:r>
        <w:t xml:space="preserve">være viktig knyttet til økningen i antall studieplasser, og for å nå </w:t>
      </w:r>
      <w:r w:rsidR="002472E5">
        <w:t>målsettingen om en lengre primærmedisinsk praksis for medisinstudenter.</w:t>
      </w:r>
    </w:p>
    <w:p w14:paraId="71C906F9" w14:textId="77777777" w:rsidR="00D9107F" w:rsidRDefault="00AA73CD" w:rsidP="00CF32F3">
      <w:pPr>
        <w:ind w:left="10" w:hanging="10"/>
        <w:jc w:val="both"/>
      </w:pPr>
      <w:r w:rsidRPr="0073778A">
        <w:t xml:space="preserve">Nesten halvparten av norske medisinstudenter utdannes i utlandet, </w:t>
      </w:r>
      <w:r>
        <w:t xml:space="preserve">og </w:t>
      </w:r>
      <w:r w:rsidRPr="0073778A">
        <w:t xml:space="preserve">har ikke krav </w:t>
      </w:r>
      <w:r w:rsidR="7BF3FBB0">
        <w:t xml:space="preserve">til </w:t>
      </w:r>
      <w:r w:rsidRPr="0073778A">
        <w:t>allmennmedisinsk praksis i Norge i løpet av studietiden</w:t>
      </w:r>
      <w:r>
        <w:t xml:space="preserve">. </w:t>
      </w:r>
      <w:r w:rsidR="00FC7B33">
        <w:t>Ekspertutvalget</w:t>
      </w:r>
      <w:r w:rsidR="00E17076">
        <w:t xml:space="preserve"> mener</w:t>
      </w:r>
      <w:r>
        <w:t xml:space="preserve"> dette </w:t>
      </w:r>
      <w:r w:rsidR="3B98FB93">
        <w:t xml:space="preserve">er </w:t>
      </w:r>
      <w:r>
        <w:t xml:space="preserve">en viktig gruppe studenter å rette allmennmedisinske rekrutteringstiltak mot. </w:t>
      </w:r>
      <w:r w:rsidR="145CA98F">
        <w:t>E</w:t>
      </w:r>
      <w:r w:rsidR="54D0B99C">
        <w:t xml:space="preserve">t tiltak vil være </w:t>
      </w:r>
      <w:r w:rsidR="001E2A55">
        <w:t xml:space="preserve">å </w:t>
      </w:r>
      <w:r w:rsidR="00C075EF">
        <w:t xml:space="preserve">finne </w:t>
      </w:r>
      <w:r w:rsidR="04182E1D">
        <w:t>løsning</w:t>
      </w:r>
      <w:r w:rsidR="68E144F7">
        <w:t>er</w:t>
      </w:r>
      <w:r w:rsidR="04182E1D">
        <w:t xml:space="preserve"> </w:t>
      </w:r>
      <w:r w:rsidR="0390F966">
        <w:t>der</w:t>
      </w:r>
      <w:r w:rsidR="00C075EF">
        <w:t xml:space="preserve"> </w:t>
      </w:r>
      <w:r w:rsidR="001A6168">
        <w:t>praksis i allmennmedisin for disse studentene organiseres og tilbys</w:t>
      </w:r>
      <w:r w:rsidR="00D51559">
        <w:t>.</w:t>
      </w:r>
      <w:r w:rsidR="002830C9">
        <w:t xml:space="preserve"> </w:t>
      </w:r>
      <w:r w:rsidR="00F25121">
        <w:t>En videre utredning av</w:t>
      </w:r>
      <w:r w:rsidR="00BB5A42">
        <w:t xml:space="preserve"> </w:t>
      </w:r>
      <w:r w:rsidR="001020C5">
        <w:t xml:space="preserve">slike løsninger </w:t>
      </w:r>
      <w:r w:rsidR="00F25121">
        <w:t xml:space="preserve">bør </w:t>
      </w:r>
      <w:r w:rsidR="00444EB6">
        <w:t>vurderes.</w:t>
      </w:r>
    </w:p>
    <w:p w14:paraId="2CA84121" w14:textId="77777777" w:rsidR="00D9107F" w:rsidRDefault="008F185A" w:rsidP="001109DF">
      <w:pPr>
        <w:jc w:val="both"/>
      </w:pPr>
      <w:r>
        <w:t>For å lykkes med etablering av utdanningsstillinger</w:t>
      </w:r>
      <w:r w:rsidR="00E15384">
        <w:t xml:space="preserve"> i allmennmedisin</w:t>
      </w:r>
      <w:r>
        <w:t xml:space="preserve"> og </w:t>
      </w:r>
      <w:r w:rsidR="004D5679">
        <w:t>f</w:t>
      </w:r>
      <w:r w:rsidR="00AA73CD">
        <w:t xml:space="preserve">or å klare å rekruttere unge leger til </w:t>
      </w:r>
      <w:r w:rsidR="00122E2A">
        <w:t xml:space="preserve">allmennmedisinsk </w:t>
      </w:r>
      <w:r w:rsidR="00AA73CD">
        <w:t>arbeid</w:t>
      </w:r>
      <w:r w:rsidR="00255203">
        <w:t>,</w:t>
      </w:r>
      <w:r w:rsidR="00AA73CD">
        <w:t xml:space="preserve"> </w:t>
      </w:r>
      <w:r w:rsidR="009B0FDF">
        <w:t>må</w:t>
      </w:r>
      <w:r w:rsidR="00AA73CD">
        <w:t xml:space="preserve"> veiledning av studenter, LIS1 og ALIS være </w:t>
      </w:r>
      <w:r w:rsidR="00AA73CD">
        <w:rPr>
          <w:rFonts w:ascii="Calibri" w:eastAsia="Calibri" w:hAnsi="Calibri" w:cs="Calibri"/>
        </w:rPr>
        <w:t>en prioritert del av legens oppgaver i kommunen</w:t>
      </w:r>
      <w:r w:rsidR="00AA73CD">
        <w:t xml:space="preserve">. </w:t>
      </w:r>
      <w:r w:rsidR="002472E5">
        <w:t xml:space="preserve">Samtidig er det vanskelig å se for seg at tid til veiledning kan tas inn som en del av arbeidsoppgavene til allmennleger i kommunen, uten at det går på bekostning av andre viktige oppgaver. Selv om veiledning vil ta tid fra annet allmennlegearbeid, er </w:t>
      </w:r>
      <w:r w:rsidR="002472E5">
        <w:lastRenderedPageBreak/>
        <w:t>tilgjengelige veiledere en grunnleggende forutsetning for at unge leger skal starte opp med og gjennomføre spesialisering i allmennmedisin.</w:t>
      </w:r>
    </w:p>
    <w:p w14:paraId="1D08323C" w14:textId="481D71EC" w:rsidR="007A56A3" w:rsidRDefault="6C6EE455" w:rsidP="001109DF">
      <w:pPr>
        <w:jc w:val="both"/>
      </w:pPr>
      <w:r>
        <w:t xml:space="preserve">At veiledning av studenter, LIS1 og ALIS sidestilles med </w:t>
      </w:r>
      <w:r w:rsidR="3FCC40E6">
        <w:t xml:space="preserve">fastlegens </w:t>
      </w:r>
      <w:r>
        <w:t>deltakelse i an</w:t>
      </w:r>
      <w:r w:rsidR="3A1744E3">
        <w:t>dre allmennlegeoppgaver</w:t>
      </w:r>
      <w:r>
        <w:t xml:space="preserve"> </w:t>
      </w:r>
      <w:r w:rsidR="290F2E19">
        <w:t>i kommunen</w:t>
      </w:r>
      <w:r w:rsidR="1C759DE0">
        <w:t xml:space="preserve"> </w:t>
      </w:r>
      <w:r w:rsidR="00890382">
        <w:fldChar w:fldCharType="begin"/>
      </w:r>
      <w:r w:rsidR="00890382">
        <w:instrText xml:space="preserve"> ADDIN EN.CITE &lt;EndNote&gt;&lt;Cite ExcludeAuth="1"&gt;&lt;Year&gt;2012&lt;/Year&gt;&lt;RecNum&gt;587&lt;/RecNum&gt;&lt;DisplayText&gt;(&lt;style face="italic"&gt;Forskrift om fastlegeordning i kommunene&lt;/style&gt;, 2012)&lt;/DisplayText&gt;&lt;record&gt;&lt;rec-number&gt;587&lt;/rec-number&gt;&lt;foreign-keys&gt;&lt;key app="EN" db-id="xv2pp5x2v09a2ae5vwcvrtxd0f09zeseztpp" timestamp="1678702276"&gt;587&lt;/key&gt;&lt;/foreign-keys&gt;&lt;ref-type name="Legal Rule or Regulation"&gt;50&lt;/ref-type&gt;&lt;contributors&gt;&lt;/contributors&gt;&lt;titles&gt;&lt;title&gt;Forskrift om fastlegeordning i kommunene&lt;/title&gt;&lt;secondary-title&gt;FOR-2012-08-29-842&lt;/secondary-title&gt;&lt;/titles&gt;&lt;edition&gt;FOR-2021-09-17-2821&lt;/edition&gt;&lt;dates&gt;&lt;year&gt;2012&lt;/year&gt;&lt;/dates&gt;&lt;urls&gt;&lt;related-urls&gt;&lt;url&gt;https://lovdata.no/dokument/SF/forskrift/2012-08-29-842&lt;/url&gt;&lt;/related-urls&gt;&lt;/urls&gt;&lt;/record&gt;&lt;/Cite&gt;&lt;/EndNote&gt;</w:instrText>
      </w:r>
      <w:r w:rsidR="00890382">
        <w:fldChar w:fldCharType="separate"/>
      </w:r>
      <w:r w:rsidR="00890382">
        <w:rPr>
          <w:noProof/>
        </w:rPr>
        <w:t>(</w:t>
      </w:r>
      <w:r w:rsidR="00890382" w:rsidRPr="00D9107F">
        <w:rPr>
          <w:rStyle w:val="kursiv"/>
        </w:rPr>
        <w:t>Forskrift om fastlegeordning i kommunene</w:t>
      </w:r>
      <w:r w:rsidR="00890382">
        <w:rPr>
          <w:noProof/>
        </w:rPr>
        <w:t>, 2012)</w:t>
      </w:r>
      <w:r w:rsidR="00890382">
        <w:fldChar w:fldCharType="end"/>
      </w:r>
      <w:r w:rsidR="004A2A54">
        <w:t>,</w:t>
      </w:r>
      <w:r w:rsidR="564AD21F">
        <w:t xml:space="preserve"> </w:t>
      </w:r>
      <w:r w:rsidR="43B094C4">
        <w:t>understreke</w:t>
      </w:r>
      <w:r w:rsidR="578690EC">
        <w:t>r</w:t>
      </w:r>
      <w:r w:rsidR="43B094C4">
        <w:t xml:space="preserve"> </w:t>
      </w:r>
      <w:r w:rsidR="73C2A26C">
        <w:t xml:space="preserve">at </w:t>
      </w:r>
      <w:r w:rsidR="54CE0BCA">
        <w:t xml:space="preserve">dette arbeidet </w:t>
      </w:r>
      <w:r w:rsidR="578690EC">
        <w:t xml:space="preserve">anses </w:t>
      </w:r>
      <w:r w:rsidR="54CE0BCA">
        <w:t>vik</w:t>
      </w:r>
      <w:r w:rsidR="70CB6030">
        <w:t xml:space="preserve">tig </w:t>
      </w:r>
      <w:r w:rsidR="1F4A2AC7">
        <w:t xml:space="preserve">og </w:t>
      </w:r>
      <w:r w:rsidR="707A594E">
        <w:t>på linje med</w:t>
      </w:r>
      <w:r w:rsidR="01A679BC">
        <w:t xml:space="preserve"> fastlegens øvrige oppgaver. Det vil også legge til rette for at veiledning ikke</w:t>
      </w:r>
      <w:r w:rsidR="69BC9697">
        <w:t xml:space="preserve"> komme</w:t>
      </w:r>
      <w:r w:rsidR="18E90B1A">
        <w:t>r</w:t>
      </w:r>
      <w:r w:rsidR="69BC9697">
        <w:t xml:space="preserve"> i tillegg til andre oppgaver</w:t>
      </w:r>
      <w:r w:rsidR="73883D43">
        <w:t>, men ses på som en del av legens totale arbeidsmengde</w:t>
      </w:r>
      <w:r w:rsidR="2617F859">
        <w:t>.</w:t>
      </w:r>
      <w:r w:rsidR="18E90B1A">
        <w:t xml:space="preserve"> </w:t>
      </w:r>
      <w:r w:rsidR="241B6D8E">
        <w:t xml:space="preserve">Dette kan </w:t>
      </w:r>
      <w:r w:rsidR="707A594E">
        <w:t xml:space="preserve">bidra til </w:t>
      </w:r>
      <w:r w:rsidR="174C2EF1">
        <w:t xml:space="preserve">at </w:t>
      </w:r>
      <w:r w:rsidR="707A594E">
        <w:t xml:space="preserve">flere </w:t>
      </w:r>
      <w:r w:rsidR="174C2EF1">
        <w:t xml:space="preserve">leger </w:t>
      </w:r>
      <w:r w:rsidR="707A594E">
        <w:t>opplever at de får mulighet til å bringe sine erfaringer og kunnskaper videre til neste generasjon leger gjennom veiledergjerningen</w:t>
      </w:r>
      <w:r w:rsidR="0C3634A4">
        <w:t>.</w:t>
      </w:r>
    </w:p>
    <w:p w14:paraId="5898E452" w14:textId="77777777" w:rsidR="00D9107F" w:rsidRDefault="0069018B" w:rsidP="001109DF">
      <w:pPr>
        <w:jc w:val="both"/>
      </w:pPr>
      <w:r>
        <w:t>Ekspertutvalget anbefaler at veiledning</w:t>
      </w:r>
      <w:r w:rsidR="00D572A4">
        <w:t xml:space="preserve"> av </w:t>
      </w:r>
      <w:r w:rsidR="00F07B1F">
        <w:t>medisin</w:t>
      </w:r>
      <w:r w:rsidR="00D572A4">
        <w:t>studenter, LIS1 og ALIS</w:t>
      </w:r>
      <w:r>
        <w:t xml:space="preserve"> sidestilles med fastlegens deltakelse i andre allmennlegeoppgaver. </w:t>
      </w:r>
      <w:r w:rsidR="008F5D80">
        <w:t xml:space="preserve">En slik sidestilling vil kreve endring i både </w:t>
      </w:r>
      <w:r w:rsidR="00504973">
        <w:t>forskrift</w:t>
      </w:r>
      <w:r w:rsidR="008F5D80">
        <w:t xml:space="preserve"> og </w:t>
      </w:r>
      <w:r w:rsidR="00504973">
        <w:t>avtaleverk, hvor</w:t>
      </w:r>
      <w:r w:rsidR="00B45647">
        <w:t xml:space="preserve"> deltakelse </w:t>
      </w:r>
      <w:r w:rsidR="008F5D80">
        <w:t xml:space="preserve">i </w:t>
      </w:r>
      <w:r w:rsidR="00B45647">
        <w:t>andre allmennlegeoppgaver i kommunen omtales</w:t>
      </w:r>
      <w:r w:rsidR="00F33073">
        <w:t>.</w:t>
      </w:r>
    </w:p>
    <w:p w14:paraId="3A09A3AE" w14:textId="4DD75306" w:rsidR="00CA4C20" w:rsidRDefault="7D72194B" w:rsidP="00775632">
      <w:pPr>
        <w:pStyle w:val="Overskrift3"/>
      </w:pPr>
      <w:bookmarkStart w:id="5657" w:name="_Toc126834472"/>
      <w:bookmarkStart w:id="5658" w:name="_Toc127633357"/>
      <w:bookmarkStart w:id="5659" w:name="_Toc127864642"/>
      <w:bookmarkStart w:id="5660" w:name="_Toc128238659"/>
      <w:bookmarkStart w:id="5661" w:name="_Toc128742107"/>
      <w:bookmarkStart w:id="5662" w:name="_Toc128744735"/>
      <w:bookmarkStart w:id="5663" w:name="_Toc128744954"/>
      <w:bookmarkStart w:id="5664" w:name="_Toc129630459"/>
      <w:bookmarkStart w:id="5665" w:name="_Toc130763966"/>
      <w:bookmarkStart w:id="5666" w:name="_Toc130766861"/>
      <w:bookmarkStart w:id="5667" w:name="_Toc130932260"/>
      <w:bookmarkStart w:id="5668" w:name="_Toc130934551"/>
      <w:bookmarkStart w:id="5669" w:name="_Toc130983724"/>
      <w:bookmarkStart w:id="5670" w:name="_Toc130984073"/>
      <w:bookmarkStart w:id="5671" w:name="_Toc131062305"/>
      <w:bookmarkStart w:id="5672" w:name="_Toc131062559"/>
      <w:bookmarkStart w:id="5673" w:name="_Toc131062820"/>
      <w:bookmarkStart w:id="5674" w:name="_Toc131063073"/>
      <w:bookmarkStart w:id="5675" w:name="_Toc131063856"/>
      <w:bookmarkStart w:id="5676" w:name="_Toc131064267"/>
      <w:bookmarkStart w:id="5677" w:name="_Toc131238577"/>
      <w:bookmarkStart w:id="5678" w:name="_Toc131279668"/>
      <w:bookmarkStart w:id="5679" w:name="_Toc131287080"/>
      <w:bookmarkStart w:id="5680" w:name="_Toc131281490"/>
      <w:bookmarkStart w:id="5681" w:name="_Toc131318030"/>
      <w:bookmarkStart w:id="5682" w:name="_Toc132537097"/>
      <w:r>
        <w:t>Kommunen som utdanningsvirksomhet</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677DE23A" w14:textId="77777777" w:rsidR="00D9107F" w:rsidRDefault="292F1CCA" w:rsidP="00440775">
      <w:pPr>
        <w:jc w:val="both"/>
      </w:pPr>
      <w:r>
        <w:t>Ny spesialistutdanning har gitt et betydelig merarbeid for kommunene</w:t>
      </w:r>
      <w:r w:rsidR="105EC799">
        <w:t>.</w:t>
      </w:r>
      <w:r w:rsidR="201FEAC5">
        <w:t xml:space="preserve"> </w:t>
      </w:r>
      <w:r w:rsidR="380E7F1C">
        <w:t>D</w:t>
      </w:r>
      <w:r w:rsidR="380E7F1C" w:rsidRPr="00B340E1">
        <w:t xml:space="preserve">et er store variasjoner i kommunenes kostnader </w:t>
      </w:r>
      <w:r w:rsidR="201FEAC5">
        <w:t xml:space="preserve">knyttet til ny </w:t>
      </w:r>
      <w:r w:rsidR="380E7F1C" w:rsidRPr="00B340E1">
        <w:t>spesialistutdanning</w:t>
      </w:r>
      <w:r w:rsidR="0DA5BDBF">
        <w:t>, og det</w:t>
      </w:r>
      <w:r w:rsidR="61A219C6">
        <w:t xml:space="preserve"> er vanskelig for alle kommuner å holde seg oppdatert om regelverket. Mindre kommuner har ikke nødvendigvis ALIS til enhver tid, noe som gjør vedlikehold av kompetansen knyttet å være utdanningsvirksomhet krevende</w:t>
      </w:r>
      <w:r w:rsidR="2725ABD5">
        <w:t xml:space="preserve"> </w:t>
      </w:r>
      <w:r w:rsidR="00890382">
        <w:fldChar w:fldCharType="begin"/>
      </w:r>
      <w:r w:rsidR="004654FD">
        <w:instrText xml:space="preserve"> ADDIN EN.CITE &lt;EndNote&gt;&lt;Cite&gt;&lt;Author&gt;Helgheim Holte&lt;/Author&gt;&lt;Year&gt;2022&lt;/Year&gt;&lt;RecNum&gt;760&lt;/RecNum&gt;&lt;DisplayText&gt;(Helgheim Holte et al., 2022)&lt;/DisplayText&gt;&lt;record&gt;&lt;rec-number&gt;760&lt;/rec-number&gt;&lt;foreign-keys&gt;&lt;key app="EN" db-id="95tpr2tp6r9xwoea9rb5wdsz5ds5xeddteew" timestamp="1680069511"&gt;760&lt;/key&gt;&lt;/foreign-keys&gt;&lt;ref-type name="Report"&gt;27&lt;/ref-type&gt;&lt;contributors&gt;&lt;authors&gt;&lt;author&gt;Helgheim Holte, J.&lt;/author&gt;&lt;author&gt;Abelse, B.&lt;/author&gt;&lt;author&gt;Fosse, A.&lt;/author&gt;&lt;author&gt;Markussen, T. M.&lt;/author&gt;&lt;author&gt;Olsen, T.&lt;/author&gt;&lt;/authors&gt;&lt;/contributors&gt;&lt;titles&gt;&lt;title&gt;Spesialistutdanning i allmennmedisin: Nye roller og mer ansvar for kommunene&lt;/title&gt;&lt;secondary-title&gt;Fafo-rapport&lt;/secondary-title&gt;&lt;/titles&gt;&lt;number&gt;2023:02&lt;/number&gt;&lt;dates&gt;&lt;year&gt;2022&lt;/year&gt;&lt;/dates&gt;&lt;pub-location&gt;Oslo&lt;/pub-location&gt;&lt;publisher&gt;Fafo&lt;/publisher&gt;&lt;urls&gt;&lt;/urls&gt;&lt;/record&gt;&lt;/Cite&gt;&lt;/EndNote&gt;</w:instrText>
      </w:r>
      <w:r w:rsidR="00890382">
        <w:fldChar w:fldCharType="separate"/>
      </w:r>
      <w:r w:rsidR="00890382">
        <w:rPr>
          <w:noProof/>
        </w:rPr>
        <w:t>(Helgheim Holte et al., 2022)</w:t>
      </w:r>
      <w:r w:rsidR="00890382">
        <w:fldChar w:fldCharType="end"/>
      </w:r>
      <w:r w:rsidR="004A2A54">
        <w:t>.</w:t>
      </w:r>
    </w:p>
    <w:p w14:paraId="7565D959" w14:textId="77777777" w:rsidR="00D9107F" w:rsidRDefault="00CA4C20" w:rsidP="00440775">
      <w:pPr>
        <w:jc w:val="both"/>
      </w:pPr>
      <w:r w:rsidRPr="6732455D">
        <w:t>Flere kommuner mangler ressurser til å jobbe systematisk med spesialistutdanningen i allmennmedisin.</w:t>
      </w:r>
      <w:r w:rsidR="007D256A" w:rsidRPr="6732455D">
        <w:t xml:space="preserve"> </w:t>
      </w:r>
      <w:r w:rsidR="007D256A">
        <w:t xml:space="preserve">Det er mange felles problemstillinger som det kan være </w:t>
      </w:r>
      <w:r w:rsidR="293809DE">
        <w:t>me</w:t>
      </w:r>
      <w:r w:rsidR="4EFD22F6">
        <w:t>r</w:t>
      </w:r>
      <w:r w:rsidR="007D256A">
        <w:t xml:space="preserve"> hensiktsmessig å løse på regionalt nivå.</w:t>
      </w:r>
      <w:r w:rsidR="007D256A" w:rsidRPr="00126854">
        <w:t xml:space="preserve"> </w:t>
      </w:r>
      <w:r w:rsidRPr="6732455D">
        <w:t xml:space="preserve">I tråd med ekspertutvalgets anbefaling om at kommunen som utdanningsvirksomhet i større grad kan gis ansvar for å vurdere innholdet i tjenestetid og veileders kompetanse, vil dette kreve en ytterligere styrking av kommunens </w:t>
      </w:r>
      <w:r w:rsidR="002F5309">
        <w:t>ferdigheter</w:t>
      </w:r>
      <w:r w:rsidRPr="6732455D">
        <w:t xml:space="preserve"> på området.</w:t>
      </w:r>
    </w:p>
    <w:p w14:paraId="403E913E" w14:textId="635CAD01" w:rsidR="00DD07CE" w:rsidRDefault="004D2AED" w:rsidP="00440775">
      <w:pPr>
        <w:jc w:val="both"/>
      </w:pPr>
      <w:r>
        <w:t>Ekspertutvalget mener i</w:t>
      </w:r>
      <w:r w:rsidR="00CA4C20">
        <w:t>varetakelsen av kommunens ansvar som utdanningsvirksomhet</w:t>
      </w:r>
      <w:r w:rsidR="00814205">
        <w:t>,</w:t>
      </w:r>
      <w:r w:rsidR="00CA4C20">
        <w:t xml:space="preserve"> på tvers av kommunegrenser</w:t>
      </w:r>
      <w:r w:rsidR="00814205">
        <w:t>,</w:t>
      </w:r>
      <w:r w:rsidR="00CA4C20">
        <w:rPr>
          <w:rFonts w:cstheme="minorHAnsi"/>
        </w:rPr>
        <w:t xml:space="preserve"> kan bidra til å heve kvaliteten i kommunenes arbeid</w:t>
      </w:r>
      <w:r w:rsidR="000849E3">
        <w:rPr>
          <w:rFonts w:cstheme="minorHAnsi"/>
        </w:rPr>
        <w:t xml:space="preserve"> og</w:t>
      </w:r>
      <w:r w:rsidR="00CA4C20">
        <w:rPr>
          <w:rFonts w:cstheme="minorHAnsi"/>
        </w:rPr>
        <w:t xml:space="preserve"> redusere arbeidsmengden</w:t>
      </w:r>
      <w:r w:rsidR="00CA658C">
        <w:rPr>
          <w:rFonts w:cstheme="minorHAnsi"/>
        </w:rPr>
        <w:t>.</w:t>
      </w:r>
      <w:r w:rsidR="00CA4C20">
        <w:rPr>
          <w:rFonts w:cstheme="minorHAnsi"/>
        </w:rPr>
        <w:t xml:space="preserve"> </w:t>
      </w:r>
      <w:r w:rsidR="001B40F4">
        <w:rPr>
          <w:rFonts w:cstheme="minorHAnsi"/>
        </w:rPr>
        <w:t xml:space="preserve">Det bør legges til rette for at kommuner </w:t>
      </w:r>
      <w:r w:rsidR="006D03DA">
        <w:rPr>
          <w:rFonts w:cstheme="minorHAnsi"/>
        </w:rPr>
        <w:t>kan søke i fellesskap om å være utdanningsvirksomhet</w:t>
      </w:r>
      <w:r w:rsidR="00814205">
        <w:rPr>
          <w:rFonts w:cstheme="minorHAnsi"/>
        </w:rPr>
        <w:t>.</w:t>
      </w:r>
      <w:r w:rsidR="008C5788">
        <w:rPr>
          <w:rFonts w:cstheme="minorHAnsi"/>
        </w:rPr>
        <w:t xml:space="preserve"> En annen mulighet er at en kommune i regionen gis hovedansvaret for å være </w:t>
      </w:r>
      <w:r w:rsidR="00BC3A2C">
        <w:rPr>
          <w:rFonts w:cstheme="minorHAnsi"/>
        </w:rPr>
        <w:t>utdanningsvirksomhet</w:t>
      </w:r>
      <w:r w:rsidR="00477AD5">
        <w:rPr>
          <w:rFonts w:cstheme="minorHAnsi"/>
        </w:rPr>
        <w:t>.</w:t>
      </w:r>
      <w:r w:rsidR="00DD07CE">
        <w:rPr>
          <w:rFonts w:cstheme="minorHAnsi"/>
        </w:rPr>
        <w:t xml:space="preserve"> </w:t>
      </w:r>
      <w:r w:rsidR="005160B7">
        <w:t xml:space="preserve">Større kommuner ser ut til å etablere egne ressurser til ALIS-ordningen, noe som </w:t>
      </w:r>
      <w:r w:rsidR="007852A7">
        <w:t xml:space="preserve">øker den administrative byrden og er vanskelig å få til </w:t>
      </w:r>
      <w:r w:rsidR="005160B7">
        <w:t xml:space="preserve">i mindre kommuner. </w:t>
      </w:r>
      <w:r w:rsidR="00A258C1">
        <w:t>I tråd med dette bør</w:t>
      </w:r>
      <w:r w:rsidR="0070214A">
        <w:t xml:space="preserve"> </w:t>
      </w:r>
      <w:r w:rsidR="00D64402">
        <w:t xml:space="preserve">de regionale </w:t>
      </w:r>
      <w:r w:rsidR="0070214A">
        <w:t>ALIS-kontorene</w:t>
      </w:r>
      <w:r w:rsidR="006807E5">
        <w:t xml:space="preserve"> gis et særskilt ansvar </w:t>
      </w:r>
      <w:r w:rsidR="00EF21A8">
        <w:t xml:space="preserve">for å </w:t>
      </w:r>
      <w:r w:rsidR="00CD686E">
        <w:t>bistå mindre kommuner</w:t>
      </w:r>
      <w:r w:rsidR="00F50113">
        <w:t>.</w:t>
      </w:r>
    </w:p>
    <w:p w14:paraId="22804E7C" w14:textId="77777777" w:rsidR="00D9107F" w:rsidRDefault="00985897" w:rsidP="00440775">
      <w:pPr>
        <w:jc w:val="both"/>
      </w:pPr>
      <w:r>
        <w:t>R</w:t>
      </w:r>
      <w:r w:rsidR="00311B7A">
        <w:t>egionale utdannings</w:t>
      </w:r>
      <w:r w:rsidR="0065148C">
        <w:t>senter</w:t>
      </w:r>
      <w:r w:rsidR="00311B7A">
        <w:t xml:space="preserve"> </w:t>
      </w:r>
      <w:r w:rsidR="00BE2D11">
        <w:t xml:space="preserve">(RegUt) </w:t>
      </w:r>
      <w:r w:rsidR="00811F4E">
        <w:t xml:space="preserve">skal bidra til å sikre regional og nasjonal samordning av læringsaktiviteter, kursinformasjon og utdanningsløp for LIS i spesialisthelsetjenesten. RegUt </w:t>
      </w:r>
      <w:r w:rsidR="00311B7A">
        <w:t>er forsk</w:t>
      </w:r>
      <w:r w:rsidR="00DE7863">
        <w:t>riftsfestet i spesialistforskriften,</w:t>
      </w:r>
      <w:r w:rsidR="006072F3">
        <w:t xml:space="preserve"> og</w:t>
      </w:r>
      <w:r w:rsidR="00DE7863">
        <w:t xml:space="preserve"> </w:t>
      </w:r>
      <w:r w:rsidR="006072F3">
        <w:t>finansieres av RHF</w:t>
      </w:r>
      <w:r w:rsidR="00DE7863">
        <w:t>.</w:t>
      </w:r>
      <w:r w:rsidR="006072F3">
        <w:t xml:space="preserve"> </w:t>
      </w:r>
      <w:r w:rsidR="006470C4">
        <w:t>En forskriftsfesting av ALIS</w:t>
      </w:r>
      <w:r w:rsidR="008A4588">
        <w:t>-</w:t>
      </w:r>
      <w:r w:rsidR="008A4588">
        <w:lastRenderedPageBreak/>
        <w:t>kontorene</w:t>
      </w:r>
      <w:r w:rsidR="00715676">
        <w:t>,</w:t>
      </w:r>
      <w:r w:rsidR="008A4588">
        <w:t xml:space="preserve"> </w:t>
      </w:r>
      <w:r w:rsidR="00E822AA">
        <w:t>med fast finansiering</w:t>
      </w:r>
      <w:r w:rsidR="008A4588">
        <w:t xml:space="preserve"> på lik linje med </w:t>
      </w:r>
      <w:r w:rsidR="009B3516">
        <w:t>RegUt</w:t>
      </w:r>
      <w:r w:rsidR="00715676">
        <w:t>,</w:t>
      </w:r>
      <w:r w:rsidR="004D12EA">
        <w:t xml:space="preserve"> vil gi forutsigbarhet knyttet til videre drift, </w:t>
      </w:r>
      <w:r w:rsidR="00A32A2B">
        <w:t xml:space="preserve">og kan tenkes å </w:t>
      </w:r>
      <w:r w:rsidR="007C49E1">
        <w:t>styrke kontinuiteten og kvaliteten i</w:t>
      </w:r>
      <w:r w:rsidR="000E082C">
        <w:t xml:space="preserve"> </w:t>
      </w:r>
      <w:r w:rsidR="007C49E1">
        <w:t>arbeid</w:t>
      </w:r>
      <w:r w:rsidR="00B07EA2">
        <w:t>et</w:t>
      </w:r>
      <w:r w:rsidR="007C49E1">
        <w:t>.</w:t>
      </w:r>
    </w:p>
    <w:p w14:paraId="20A03CE4" w14:textId="77777777" w:rsidR="00D9107F" w:rsidRDefault="00AB2BC7" w:rsidP="00440775">
      <w:pPr>
        <w:jc w:val="both"/>
      </w:pPr>
      <w:r>
        <w:t xml:space="preserve">Avslutningsvis </w:t>
      </w:r>
      <w:r w:rsidR="00907344">
        <w:t>mener utvalget det</w:t>
      </w:r>
      <w:r w:rsidR="00E823E5">
        <w:t xml:space="preserve"> er grunn til å stille spørsmål ved </w:t>
      </w:r>
      <w:r w:rsidR="00280FBE">
        <w:t xml:space="preserve">om det er formålstjenlig at </w:t>
      </w:r>
      <w:r w:rsidR="00AC1641">
        <w:t xml:space="preserve">ALIS-kontorene og RegUt er etablert som </w:t>
      </w:r>
      <w:r w:rsidR="007852A7">
        <w:t xml:space="preserve">atskilte </w:t>
      </w:r>
      <w:r w:rsidR="00AC1641">
        <w:t>sentr</w:t>
      </w:r>
      <w:r w:rsidR="007852A7">
        <w:t>e</w:t>
      </w:r>
      <w:r w:rsidR="00AC1641">
        <w:t xml:space="preserve">, i alle fall i et kost-nytte perspektiv. </w:t>
      </w:r>
      <w:r w:rsidR="00D16A5E">
        <w:t>Et formalisert samarbeid mellom</w:t>
      </w:r>
      <w:r w:rsidR="00E822AA">
        <w:t xml:space="preserve"> ALIS-kontor og RegUt</w:t>
      </w:r>
      <w:r w:rsidR="001E4BCC">
        <w:t xml:space="preserve"> kan tenkes å være </w:t>
      </w:r>
      <w:r w:rsidR="000D6071">
        <w:t xml:space="preserve">effektiviserende, kostnadsbesparende og </w:t>
      </w:r>
      <w:r w:rsidR="007852A7">
        <w:t xml:space="preserve">på lang sikt </w:t>
      </w:r>
      <w:r w:rsidR="000D6071">
        <w:t xml:space="preserve">stimulere til </w:t>
      </w:r>
      <w:r w:rsidR="00B075EE">
        <w:t>bedre samhandling</w:t>
      </w:r>
      <w:r w:rsidR="000D6071">
        <w:t xml:space="preserve"> på tvers av nivå</w:t>
      </w:r>
      <w:r w:rsidR="007852A7">
        <w:t>ene i helsetjenestene</w:t>
      </w:r>
      <w:r w:rsidR="000D6071">
        <w:t>.</w:t>
      </w:r>
    </w:p>
    <w:p w14:paraId="2CF9317F" w14:textId="2F4FBA06" w:rsidR="002E2D72" w:rsidRPr="001A7549" w:rsidRDefault="295A0299" w:rsidP="00775632">
      <w:pPr>
        <w:pStyle w:val="Overskrift3"/>
      </w:pPr>
      <w:bookmarkStart w:id="5683" w:name="_Toc120526277"/>
      <w:bookmarkStart w:id="5684" w:name="_Toc126834473"/>
      <w:bookmarkStart w:id="5685" w:name="_Toc127633358"/>
      <w:bookmarkStart w:id="5686" w:name="_Toc127864643"/>
      <w:bookmarkStart w:id="5687" w:name="_Toc128238660"/>
      <w:bookmarkStart w:id="5688" w:name="_Toc128742108"/>
      <w:bookmarkStart w:id="5689" w:name="_Toc128744736"/>
      <w:bookmarkStart w:id="5690" w:name="_Toc128744955"/>
      <w:bookmarkStart w:id="5691" w:name="_Toc129630460"/>
      <w:bookmarkStart w:id="5692" w:name="_Toc130763967"/>
      <w:bookmarkStart w:id="5693" w:name="_Toc130766862"/>
      <w:bookmarkStart w:id="5694" w:name="_Toc130932261"/>
      <w:bookmarkStart w:id="5695" w:name="_Toc130934552"/>
      <w:bookmarkStart w:id="5696" w:name="_Toc130983725"/>
      <w:bookmarkStart w:id="5697" w:name="_Toc130984074"/>
      <w:bookmarkStart w:id="5698" w:name="_Toc131062306"/>
      <w:bookmarkStart w:id="5699" w:name="_Toc131062560"/>
      <w:bookmarkStart w:id="5700" w:name="_Toc131062821"/>
      <w:bookmarkStart w:id="5701" w:name="_Toc131063074"/>
      <w:bookmarkStart w:id="5702" w:name="_Toc131063857"/>
      <w:bookmarkStart w:id="5703" w:name="_Toc131064268"/>
      <w:bookmarkStart w:id="5704" w:name="_Toc131238578"/>
      <w:bookmarkStart w:id="5705" w:name="_Toc131279669"/>
      <w:bookmarkStart w:id="5706" w:name="_Toc131287081"/>
      <w:bookmarkStart w:id="5707" w:name="_Toc131281491"/>
      <w:bookmarkStart w:id="5708" w:name="_Toc131318031"/>
      <w:bookmarkStart w:id="5709" w:name="_Toc132537098"/>
      <w:r>
        <w:t>Kompetansekravene</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21551C79" w14:textId="77777777" w:rsidR="00D9107F" w:rsidRDefault="00D83928" w:rsidP="00440775">
      <w:pPr>
        <w:jc w:val="both"/>
      </w:pPr>
      <w:r>
        <w:t xml:space="preserve">Problemstillingen knyttet til at kompetansekravene gir uheldige konsekvenser for </w:t>
      </w:r>
      <w:r w:rsidR="00A144A0">
        <w:t>kommunens tilgang</w:t>
      </w:r>
      <w:r>
        <w:t xml:space="preserve"> på arbeidskraft</w:t>
      </w:r>
      <w:r w:rsidR="00337E32">
        <w:t>,</w:t>
      </w:r>
      <w:r>
        <w:t xml:space="preserve"> er </w:t>
      </w:r>
      <w:r w:rsidR="002744EF">
        <w:t>kompleks,</w:t>
      </w:r>
      <w:r>
        <w:t xml:space="preserve"> og en endring i kompetansekravene må vurderes i forhold til hvilke konsekvenser det får </w:t>
      </w:r>
      <w:r w:rsidR="007852A7">
        <w:t>for</w:t>
      </w:r>
      <w:r>
        <w:t xml:space="preserve"> kvaliteten på allmennlegetjenesten. </w:t>
      </w:r>
      <w:r w:rsidR="002E2D72" w:rsidRPr="00B65719">
        <w:t xml:space="preserve">Ekspertutvalget </w:t>
      </w:r>
      <w:r w:rsidR="002E2D72">
        <w:t>mener</w:t>
      </w:r>
      <w:r w:rsidR="002E2D72" w:rsidRPr="00B65719">
        <w:t xml:space="preserve"> at kompetanseforskriftens </w:t>
      </w:r>
      <w:r w:rsidR="002E2D72">
        <w:t xml:space="preserve">intensjon </w:t>
      </w:r>
      <w:r w:rsidR="002E2D72" w:rsidRPr="00B65719">
        <w:t>om at allmennleger i kommunen skal være spesialister</w:t>
      </w:r>
      <w:r w:rsidR="00715676">
        <w:t>,</w:t>
      </w:r>
      <w:r w:rsidR="002E2D72" w:rsidRPr="00B65719">
        <w:t xml:space="preserve"> eller under spesialisering i allmennmedisin, </w:t>
      </w:r>
      <w:r w:rsidR="002E2D72">
        <w:t xml:space="preserve">trolig </w:t>
      </w:r>
      <w:r w:rsidR="002E2D72" w:rsidRPr="00B65719">
        <w:t>bidrar til en økning av legenes kompetanse som kommer befolkningen til gode</w:t>
      </w:r>
      <w:r w:rsidR="002E2D72">
        <w:t xml:space="preserve">. </w:t>
      </w:r>
      <w:r w:rsidR="000F2FA0">
        <w:t>At allmennleger skal starte opp med og fullføre spesialistutdanning i allmennmedisin</w:t>
      </w:r>
      <w:r w:rsidR="00CA0B8B">
        <w:t>,</w:t>
      </w:r>
      <w:r w:rsidR="000F2FA0">
        <w:t xml:space="preserve"> er en ønsket utvikling</w:t>
      </w:r>
      <w:r w:rsidR="00675F9D">
        <w:t xml:space="preserve">. Uavhengig av om dette er et forskriftsfestet krav, bør det </w:t>
      </w:r>
      <w:r w:rsidR="00E826C2">
        <w:t xml:space="preserve">legges til rette for og </w:t>
      </w:r>
      <w:r w:rsidR="005B4EC2">
        <w:t>stimuleres til at</w:t>
      </w:r>
      <w:r w:rsidR="00E826C2">
        <w:t xml:space="preserve"> </w:t>
      </w:r>
      <w:r w:rsidR="0094725F">
        <w:t>leger spesialise</w:t>
      </w:r>
      <w:r w:rsidR="00E13838">
        <w:t>rer</w:t>
      </w:r>
      <w:r w:rsidR="0094725F">
        <w:t xml:space="preserve"> se</w:t>
      </w:r>
      <w:r w:rsidR="006D695A">
        <w:t>g</w:t>
      </w:r>
      <w:r w:rsidR="0094725F">
        <w:t>.</w:t>
      </w:r>
    </w:p>
    <w:p w14:paraId="6EE0CBD2" w14:textId="77777777" w:rsidR="00D9107F" w:rsidRDefault="006A3DD5" w:rsidP="00440775">
      <w:pPr>
        <w:jc w:val="both"/>
      </w:pPr>
      <w:r>
        <w:t xml:space="preserve">I flere andre land er insentivene for å gjennomføre spesialistutdanning knyttet til at legen må være spesialist i allmennmedisin for å kunne eie en praksis og praktisere selvstendig. Ekspertutvalget anbefaler at det innføres krav om å være spesialist i allmennmedisin for fastleger som </w:t>
      </w:r>
      <w:r w:rsidR="00B546E9">
        <w:t>skal eie</w:t>
      </w:r>
      <w:r>
        <w:t xml:space="preserve"> fastlegeselskap med kommunen</w:t>
      </w:r>
      <w:r w:rsidR="008C12C3">
        <w:t>, se omtale i kap</w:t>
      </w:r>
      <w:r w:rsidR="00882985">
        <w:t xml:space="preserve">. </w:t>
      </w:r>
      <w:r w:rsidR="00A52CDD">
        <w:t>4.7.4.2.</w:t>
      </w:r>
      <w:r>
        <w:t xml:space="preserve"> Videre vil etablering av utdanningsstillinger, kombinert med en oppmykning av spesialistforskriftens krav, gjøre det lettere for leger å spesialisere seg i allmennmedisin.</w:t>
      </w:r>
    </w:p>
    <w:p w14:paraId="3B2903AF" w14:textId="5932046E" w:rsidR="00BC11F1" w:rsidRDefault="002A51E6" w:rsidP="00440775">
      <w:pPr>
        <w:jc w:val="both"/>
      </w:pPr>
      <w:r>
        <w:t>Utfo</w:t>
      </w:r>
      <w:r w:rsidR="001C574B">
        <w:t>rdringene med at det mangler leger i kommunen</w:t>
      </w:r>
      <w:r w:rsidR="00D7381C">
        <w:t>,</w:t>
      </w:r>
      <w:r w:rsidR="001C574B">
        <w:t xml:space="preserve"> er allerede stor i dag</w:t>
      </w:r>
      <w:r w:rsidR="00043100">
        <w:t xml:space="preserve">. </w:t>
      </w:r>
      <w:r w:rsidR="002C7593">
        <w:t xml:space="preserve">Helsepersonellkommisjonen peker på </w:t>
      </w:r>
      <w:r w:rsidR="00A7542B">
        <w:t xml:space="preserve">at utfordringene knyttet til </w:t>
      </w:r>
      <w:r w:rsidR="00BC11F1">
        <w:t xml:space="preserve">behov for </w:t>
      </w:r>
      <w:r w:rsidR="00A7542B">
        <w:t>arbeidskraft</w:t>
      </w:r>
      <w:r w:rsidR="005F4D39">
        <w:t xml:space="preserve"> og kapasitet i tjenesten</w:t>
      </w:r>
      <w:r w:rsidR="00207957">
        <w:t xml:space="preserve"> </w:t>
      </w:r>
      <w:r w:rsidR="00BC11F1">
        <w:t>kommer til å være særlig stor i kommunene</w:t>
      </w:r>
      <w:r>
        <w:t xml:space="preserve"> også i </w:t>
      </w:r>
      <w:r w:rsidR="002472E5">
        <w:t>framtiden.</w:t>
      </w:r>
      <w:r w:rsidR="00043100">
        <w:t xml:space="preserve"> I lys av disse utfordringene mener ekspertutvalget det er viktige å legge til rette for at kommunen</w:t>
      </w:r>
      <w:r w:rsidR="0029381B">
        <w:t xml:space="preserve"> gis mulighet til å rekruttere leger på lik linje med både spesialisthelsetjenesten og </w:t>
      </w:r>
      <w:r w:rsidR="006128BE">
        <w:t>helprivate allmennlegetjenester</w:t>
      </w:r>
      <w:r w:rsidR="007852A7">
        <w:t>.</w:t>
      </w:r>
    </w:p>
    <w:p w14:paraId="2F7F1429" w14:textId="41895E2C" w:rsidR="006432FE" w:rsidRDefault="0095118B" w:rsidP="00440775">
      <w:pPr>
        <w:jc w:val="both"/>
      </w:pPr>
      <w:r>
        <w:t>Ekspertu</w:t>
      </w:r>
      <w:r w:rsidR="006432FE">
        <w:t xml:space="preserve">tvalget </w:t>
      </w:r>
      <w:r w:rsidR="00933E97">
        <w:t>mener</w:t>
      </w:r>
      <w:r w:rsidR="006432FE">
        <w:t xml:space="preserve"> </w:t>
      </w:r>
      <w:r w:rsidR="008B3962">
        <w:t xml:space="preserve">at </w:t>
      </w:r>
      <w:r w:rsidR="00BF3C46">
        <w:t xml:space="preserve">dagens </w:t>
      </w:r>
      <w:r w:rsidR="004D5D85">
        <w:t xml:space="preserve">krav om </w:t>
      </w:r>
      <w:r w:rsidR="00767FD7">
        <w:t>påbegynt eller gjennomført spesialistutdanning i allmennmedisin eller tilsvarende</w:t>
      </w:r>
      <w:r w:rsidR="004D5D85">
        <w:t xml:space="preserve"> </w:t>
      </w:r>
      <w:r w:rsidR="00BF3C46">
        <w:t xml:space="preserve">bør begrenses </w:t>
      </w:r>
      <w:r w:rsidR="00850F6C">
        <w:t xml:space="preserve">til </w:t>
      </w:r>
      <w:r w:rsidR="00CD152D">
        <w:t xml:space="preserve">fastleger og leger </w:t>
      </w:r>
      <w:r w:rsidR="00122162">
        <w:t>(</w:t>
      </w:r>
      <w:r w:rsidR="00CD152D">
        <w:t xml:space="preserve">i </w:t>
      </w:r>
      <w:r w:rsidR="00122162">
        <w:t xml:space="preserve">pasientrettet arbeid) </w:t>
      </w:r>
      <w:r w:rsidR="00CD152D">
        <w:t xml:space="preserve">i faste stillinger i kommunen. Dette kravet bør, uavhengig av vikariatets varighet, ikke gjelde for vikarer i slike stillinger. </w:t>
      </w:r>
      <w:r w:rsidR="002E0666">
        <w:t xml:space="preserve">En slik endring vil </w:t>
      </w:r>
      <w:r w:rsidR="00855F12">
        <w:t>åpne opp for at kommuner</w:t>
      </w:r>
      <w:r w:rsidR="00D65731">
        <w:t xml:space="preserve"> kan benytte leger </w:t>
      </w:r>
      <w:r w:rsidR="00CF0F52">
        <w:t xml:space="preserve">som er </w:t>
      </w:r>
      <w:r w:rsidR="005C426C">
        <w:t xml:space="preserve">spesialister eller </w:t>
      </w:r>
      <w:r w:rsidR="00CF0F52">
        <w:t>under spesialistutdanning i andre</w:t>
      </w:r>
      <w:r w:rsidR="001D6E8B">
        <w:t xml:space="preserve"> fagfelt</w:t>
      </w:r>
      <w:r w:rsidR="00713D0A">
        <w:t>,</w:t>
      </w:r>
      <w:r w:rsidR="00455966">
        <w:t xml:space="preserve"> som vikarer</w:t>
      </w:r>
      <w:r w:rsidR="007E29C9">
        <w:t xml:space="preserve"> </w:t>
      </w:r>
      <w:r w:rsidR="00783D8E">
        <w:t xml:space="preserve">i </w:t>
      </w:r>
      <w:r w:rsidR="00C2020F">
        <w:t>fastlegetjenesten</w:t>
      </w:r>
      <w:r w:rsidR="00B576C1">
        <w:t>.</w:t>
      </w:r>
      <w:r w:rsidR="00595DBB">
        <w:t xml:space="preserve"> Flere av disse vil være erfarne</w:t>
      </w:r>
      <w:r w:rsidR="0004056A">
        <w:t>, og ha en fagkompetanse som også</w:t>
      </w:r>
      <w:r w:rsidR="007E29C9">
        <w:t xml:space="preserve"> </w:t>
      </w:r>
      <w:r w:rsidR="0094446E">
        <w:t>kan tenkes å være relevant for allmennmedisinske stillinger</w:t>
      </w:r>
      <w:r w:rsidR="004B5F1E">
        <w:t>. Det vil også under</w:t>
      </w:r>
      <w:r w:rsidR="00A74932">
        <w:t xml:space="preserve">støtte Helsepersonellkommisjonens anbefaling om </w:t>
      </w:r>
      <w:r w:rsidR="0086016E">
        <w:t xml:space="preserve">at personell bør læres opp til </w:t>
      </w:r>
      <w:r w:rsidR="004C2459">
        <w:t>og få erfaring med</w:t>
      </w:r>
      <w:r w:rsidR="0086016E">
        <w:t xml:space="preserve"> å jobbe på tvers </w:t>
      </w:r>
      <w:r w:rsidR="004C2459">
        <w:t>av sektorer og nivåer</w:t>
      </w:r>
      <w:r w:rsidR="007B6896">
        <w:t>.</w:t>
      </w:r>
      <w:r w:rsidR="000D547A">
        <w:t xml:space="preserve"> </w:t>
      </w:r>
      <w:r w:rsidR="00CA1831">
        <w:lastRenderedPageBreak/>
        <w:t>E</w:t>
      </w:r>
      <w:r w:rsidR="00CA1831" w:rsidRPr="00133A8D">
        <w:t xml:space="preserve">ndringene vil bidra til å øke tilgjengeligheten til leger som kan arbeide i de kommunale allmennlegetjenestene, og </w:t>
      </w:r>
      <w:r w:rsidR="009D5FE3">
        <w:t>bi</w:t>
      </w:r>
      <w:r w:rsidR="00417FC4">
        <w:t xml:space="preserve">dra til </w:t>
      </w:r>
      <w:r w:rsidR="00CA1831">
        <w:t>å øke kapasiteten i tjenesten.</w:t>
      </w:r>
      <w:r w:rsidR="007B6896">
        <w:t xml:space="preserve"> </w:t>
      </w:r>
      <w:r w:rsidR="00767FD7">
        <w:t xml:space="preserve">Anbefalingen må sees i sammenheng med utvalgets anbefaling om å </w:t>
      </w:r>
      <w:r w:rsidR="00C868AC">
        <w:t xml:space="preserve">forskriftsfeste krav om at leger som skal jobbe selvstendig i helse- og omsorgstjenesten må ha gjennomført LIS1 eller tilsvarende. Det vises i den sammenheng til drøftelsen i kapittel </w:t>
      </w:r>
      <w:r w:rsidR="00A52CDD">
        <w:t>9</w:t>
      </w:r>
      <w:r w:rsidR="00C868AC">
        <w:t>.7.1.2.</w:t>
      </w:r>
    </w:p>
    <w:p w14:paraId="544E031A" w14:textId="77777777" w:rsidR="00D9107F" w:rsidRDefault="0065455E" w:rsidP="00440775">
      <w:pPr>
        <w:jc w:val="both"/>
      </w:pPr>
      <w:r>
        <w:t>D</w:t>
      </w:r>
      <w:r w:rsidR="00533F8D">
        <w:t>e foreslåtte endringene</w:t>
      </w:r>
      <w:r w:rsidR="00C91B39">
        <w:t xml:space="preserve"> </w:t>
      </w:r>
      <w:r w:rsidR="00D7082F">
        <w:t xml:space="preserve">kan </w:t>
      </w:r>
      <w:r w:rsidR="00C91B39">
        <w:t>bidra til at</w:t>
      </w:r>
      <w:r w:rsidR="00891D9C">
        <w:t xml:space="preserve"> spesielt</w:t>
      </w:r>
      <w:r w:rsidR="00C91B39">
        <w:t xml:space="preserve"> fastlegevikarer, som ønsker å fortsette å være det, ikke har insitament eller krav til å spesialisere seg.</w:t>
      </w:r>
      <w:r w:rsidR="00C83A12">
        <w:t xml:space="preserve"> Sistnevnte </w:t>
      </w:r>
      <w:r w:rsidR="007B4DDD">
        <w:t xml:space="preserve">argument vil etter utvalgets vurdering ikke veie tyngre enn hensynet til </w:t>
      </w:r>
      <w:r w:rsidR="00955AD0">
        <w:t xml:space="preserve">å kunne benytte tilgjengelig arbeidskraft, så </w:t>
      </w:r>
      <w:r w:rsidR="002472E5">
        <w:t>fremt minstekravet om LIS1 er oppfylt.</w:t>
      </w:r>
      <w:r w:rsidR="000350F0">
        <w:t xml:space="preserve"> </w:t>
      </w:r>
      <w:r w:rsidR="00F912C7">
        <w:t xml:space="preserve">Videre </w:t>
      </w:r>
      <w:r w:rsidR="00C5780B">
        <w:t>kan et argument mot endringene være at kommunen ikke vil prioritere å legge til rette for spesialistutdanning for vikarer</w:t>
      </w:r>
      <w:r w:rsidR="001C3AE0">
        <w:t xml:space="preserve">. </w:t>
      </w:r>
      <w:r w:rsidR="00F5518E">
        <w:t xml:space="preserve">Dette kan imidlertid løses ved </w:t>
      </w:r>
      <w:r w:rsidR="00825E7B">
        <w:t xml:space="preserve">å </w:t>
      </w:r>
      <w:r w:rsidR="00370B49">
        <w:t>forskriftsfeste</w:t>
      </w:r>
      <w:r w:rsidR="00825E7B">
        <w:t xml:space="preserve"> legens rett </w:t>
      </w:r>
      <w:r w:rsidR="008233AD">
        <w:t xml:space="preserve">(men ikke plikt) </w:t>
      </w:r>
      <w:r w:rsidR="00825E7B">
        <w:t>til å starte spesialistutdanning</w:t>
      </w:r>
      <w:r w:rsidR="007852A7">
        <w:t xml:space="preserve"> dersom man skal være i e</w:t>
      </w:r>
      <w:r w:rsidR="008233AD">
        <w:t>t</w:t>
      </w:r>
      <w:r w:rsidR="007852A7">
        <w:t xml:space="preserve"> vikar</w:t>
      </w:r>
      <w:r w:rsidR="002C7863">
        <w:t>iat</w:t>
      </w:r>
      <w:r w:rsidR="007852A7">
        <w:t xml:space="preserve"> over en viss tid, for eksempel ett år</w:t>
      </w:r>
      <w:r w:rsidR="00370B49">
        <w:t>.</w:t>
      </w:r>
    </w:p>
    <w:p w14:paraId="4A624293" w14:textId="0E32F783" w:rsidR="00484F32" w:rsidRPr="009C50FE" w:rsidRDefault="07615012" w:rsidP="00440775">
      <w:pPr>
        <w:jc w:val="both"/>
      </w:pPr>
      <w:r w:rsidRPr="6024ED02">
        <w:t>Kompetanseforskriften ble innført i 2017, og det har etter innføringen vært en svak økning i andel spesialister i allmennmedisin</w:t>
      </w:r>
      <w:r w:rsidR="05028E61">
        <w:t xml:space="preserve"> i fastlegetjenesten</w:t>
      </w:r>
      <w:r w:rsidR="1713AC53">
        <w:t xml:space="preserve"> </w:t>
      </w:r>
      <w:r w:rsidR="00890382">
        <w:fldChar w:fldCharType="begin"/>
      </w:r>
      <w:r w:rsidR="00235862">
        <w:instrText xml:space="preserve"> ADDIN EN.CITE &lt;EndNote&gt;&lt;Cite&gt;&lt;Author&gt;Helsedirektoratet&lt;/Author&gt;&lt;Year&gt;2021&lt;/Year&gt;&lt;RecNum&gt;38&lt;/RecNum&gt;&lt;DisplayText&gt;(Helsedirektoratet, 2021a)&lt;/DisplayText&gt;&lt;record&gt;&lt;rec-number&gt;38&lt;/rec-number&gt;&lt;foreign-keys&gt;&lt;key app="EN" db-id="95tpr2tp6r9xwoea9rb5wdsz5ds5xeddteew" timestamp="1680069511"&gt;38&lt;/key&gt;&lt;/foreign-keys&gt;&lt;ref-type name="Web Page"&gt;12&lt;/ref-type&gt;&lt;contributors&gt;&lt;authors&gt;&lt;author&gt;Helsedirektoratet&lt;/author&gt;&lt;/authors&gt;&lt;/contributors&gt;&lt;titles&gt;&lt;title&gt;Andel fastleger med spesialitet i allmennmedisin&lt;/title&gt;&lt;/titles&gt;&lt;number&gt;03.01.2023&lt;/number&gt;&lt;dates&gt;&lt;year&gt;2021&lt;/year&gt;&lt;pub-dates&gt;&lt;date&gt;23.03.2022&lt;/date&gt;&lt;/pub-dates&gt;&lt;/dates&gt;&lt;pub-location&gt;Oslo&lt;/pub-location&gt;&lt;publisher&gt;Helsedirektoratet&lt;/publisher&gt;&lt;work-type&gt;nettdokument&lt;/work-type&gt;&lt;urls&gt;&lt;/urls&gt;&lt;/record&gt;&lt;/Cite&gt;&lt;/EndNote&gt;</w:instrText>
      </w:r>
      <w:r w:rsidR="00890382">
        <w:fldChar w:fldCharType="separate"/>
      </w:r>
      <w:r w:rsidR="00890382">
        <w:rPr>
          <w:noProof/>
        </w:rPr>
        <w:t>(Helsedirektoratet, 2021a)</w:t>
      </w:r>
      <w:r w:rsidR="00890382">
        <w:fldChar w:fldCharType="end"/>
      </w:r>
      <w:r w:rsidR="004A2A54">
        <w:t>.</w:t>
      </w:r>
      <w:r w:rsidRPr="6024ED02">
        <w:t xml:space="preserve"> Hvordan denne utviklingen hadde vært uten innføringen av kravene er usikker. </w:t>
      </w:r>
      <w:r w:rsidR="202782A6">
        <w:t xml:space="preserve">Vi vet heller ikke noe </w:t>
      </w:r>
      <w:r w:rsidR="7BED7C16">
        <w:t>om hvilken</w:t>
      </w:r>
      <w:r w:rsidR="38F56FA0">
        <w:t xml:space="preserve"> effekt </w:t>
      </w:r>
      <w:r w:rsidR="7BED7C16">
        <w:t>innføring av kompetansekravene</w:t>
      </w:r>
      <w:r w:rsidR="38F56FA0">
        <w:t xml:space="preserve"> har hatt for andre deler av tjenesten. </w:t>
      </w:r>
      <w:r w:rsidR="0CBA890D">
        <w:t>V</w:t>
      </w:r>
      <w:r w:rsidR="5ADF1161">
        <w:t xml:space="preserve">ed nye endringer </w:t>
      </w:r>
      <w:r w:rsidR="1608936D">
        <w:t>vil</w:t>
      </w:r>
      <w:r w:rsidR="5ADF1161">
        <w:t xml:space="preserve"> det </w:t>
      </w:r>
      <w:r w:rsidR="1608936D">
        <w:t xml:space="preserve">være </w:t>
      </w:r>
      <w:r w:rsidR="5ADF1161">
        <w:t>viktig å følge med på utviklingen</w:t>
      </w:r>
      <w:r w:rsidR="15657ECC">
        <w:t xml:space="preserve"> videre.</w:t>
      </w:r>
    </w:p>
    <w:p w14:paraId="0BAF82F5" w14:textId="77777777" w:rsidR="00D9107F" w:rsidRDefault="00DF7D55" w:rsidP="00440775">
      <w:pPr>
        <w:jc w:val="both"/>
      </w:pPr>
      <w:r>
        <w:t xml:space="preserve">Ekspertutvalgets vurdering er at </w:t>
      </w:r>
      <w:r w:rsidR="006C614E" w:rsidRPr="6732455D">
        <w:t xml:space="preserve">krav </w:t>
      </w:r>
      <w:r w:rsidR="00C77B9C">
        <w:t>om</w:t>
      </w:r>
      <w:r w:rsidR="006C614E" w:rsidRPr="6732455D">
        <w:t xml:space="preserve"> gjennomført LIS1 eller tilsvarende for å kunne utøve yrket selvstendig, </w:t>
      </w:r>
      <w:r w:rsidR="00BA44C6">
        <w:t xml:space="preserve">og at </w:t>
      </w:r>
      <w:r w:rsidR="000D5475">
        <w:t>krav om spesialisering eller gjennomført spesialistutdanning</w:t>
      </w:r>
      <w:r w:rsidR="00BA44C6">
        <w:t xml:space="preserve"> begrenses til </w:t>
      </w:r>
      <w:r w:rsidR="00484F32">
        <w:t>fastleger</w:t>
      </w:r>
      <w:r w:rsidR="002601AB">
        <w:t xml:space="preserve"> og leger i faste stillinger i kommunen</w:t>
      </w:r>
      <w:r w:rsidR="006C614E" w:rsidRPr="6732455D">
        <w:t>,</w:t>
      </w:r>
      <w:r w:rsidR="00582B4D">
        <w:t xml:space="preserve"> vil </w:t>
      </w:r>
      <w:r w:rsidR="00A46C5C">
        <w:t>være</w:t>
      </w:r>
      <w:r w:rsidR="00582B4D">
        <w:t xml:space="preserve"> en forenkling av </w:t>
      </w:r>
      <w:r w:rsidR="003D06B7">
        <w:t xml:space="preserve">regelverket. </w:t>
      </w:r>
      <w:r w:rsidR="00C77B9C">
        <w:t>Endringene</w:t>
      </w:r>
      <w:r w:rsidR="00E348FD">
        <w:t xml:space="preserve"> vil bidra til å </w:t>
      </w:r>
      <w:r w:rsidR="00A91A56">
        <w:t xml:space="preserve">sikre en minimumskompetanse (i form av LIS1 eller tilsvarende) for leger som arbeider selvstendig, til å </w:t>
      </w:r>
      <w:r w:rsidR="00E348FD">
        <w:t xml:space="preserve">øke tilgjengeligheten </w:t>
      </w:r>
      <w:r w:rsidR="006D654F">
        <w:t xml:space="preserve">til leger, og til at leger </w:t>
      </w:r>
      <w:r w:rsidR="002B55DE">
        <w:t xml:space="preserve">i større grad </w:t>
      </w:r>
      <w:r w:rsidR="006D654F">
        <w:t xml:space="preserve">kan jobbe </w:t>
      </w:r>
      <w:r w:rsidR="008E22BC">
        <w:t>på tvers tjenester og nivå.</w:t>
      </w:r>
    </w:p>
    <w:p w14:paraId="78A471EC" w14:textId="40F82BA7" w:rsidR="00466214" w:rsidRDefault="14F08232" w:rsidP="00775632">
      <w:pPr>
        <w:pStyle w:val="Overskrift3"/>
      </w:pPr>
      <w:bookmarkStart w:id="5710" w:name="_Toc120526272"/>
      <w:bookmarkStart w:id="5711" w:name="_Toc126834482"/>
      <w:bookmarkStart w:id="5712" w:name="_Toc127633367"/>
      <w:bookmarkStart w:id="5713" w:name="_Toc127864652"/>
      <w:bookmarkStart w:id="5714" w:name="_Toc128238661"/>
      <w:bookmarkStart w:id="5715" w:name="_Toc128742109"/>
      <w:bookmarkStart w:id="5716" w:name="_Toc128744737"/>
      <w:bookmarkStart w:id="5717" w:name="_Toc128744956"/>
      <w:bookmarkStart w:id="5718" w:name="_Toc129630461"/>
      <w:bookmarkStart w:id="5719" w:name="_Toc130763968"/>
      <w:bookmarkStart w:id="5720" w:name="_Toc130766863"/>
      <w:bookmarkStart w:id="5721" w:name="_Toc130932262"/>
      <w:bookmarkStart w:id="5722" w:name="_Toc130934553"/>
      <w:bookmarkStart w:id="5723" w:name="_Toc130983726"/>
      <w:bookmarkStart w:id="5724" w:name="_Toc130984075"/>
      <w:bookmarkStart w:id="5725" w:name="_Toc131062307"/>
      <w:bookmarkStart w:id="5726" w:name="_Toc131062561"/>
      <w:bookmarkStart w:id="5727" w:name="_Toc131062822"/>
      <w:bookmarkStart w:id="5728" w:name="_Toc131063075"/>
      <w:bookmarkStart w:id="5729" w:name="_Toc131063858"/>
      <w:bookmarkStart w:id="5730" w:name="_Toc131064269"/>
      <w:bookmarkStart w:id="5731" w:name="_Toc131238579"/>
      <w:bookmarkStart w:id="5732" w:name="_Toc131279670"/>
      <w:bookmarkStart w:id="5733" w:name="_Toc131287082"/>
      <w:bookmarkStart w:id="5734" w:name="_Toc131281492"/>
      <w:bookmarkStart w:id="5735" w:name="_Toc131318032"/>
      <w:bookmarkStart w:id="5736" w:name="_Toc132537099"/>
      <w:bookmarkEnd w:id="5710"/>
      <w:r>
        <w:t>E</w:t>
      </w:r>
      <w:r w:rsidR="3AE6A521">
        <w:t>ndringer</w:t>
      </w:r>
      <w:r w:rsidR="76A464A8">
        <w:t xml:space="preserve"> i e</w:t>
      </w:r>
      <w:r w:rsidR="04211588">
        <w:t>tterutdanning</w:t>
      </w:r>
      <w:bookmarkEnd w:id="5711"/>
      <w:bookmarkEnd w:id="5712"/>
      <w:bookmarkEnd w:id="5713"/>
      <w:r w:rsidR="4C47FAED">
        <w:t>smodellen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4F62D5D1" w14:textId="1DD2109B" w:rsidR="00D9107F" w:rsidRDefault="72B866FF" w:rsidP="00440775">
      <w:pPr>
        <w:jc w:val="both"/>
      </w:pPr>
      <w:r>
        <w:t>Fastleger og legevaktsleger har</w:t>
      </w:r>
      <w:r w:rsidR="7C69CC49">
        <w:t>,</w:t>
      </w:r>
      <w:r>
        <w:t xml:space="preserve"> som annet helsepersonell, krav til å yte forsvarlige, omsorgsfulle og gode helsetjenester. Dette innebærer </w:t>
      </w:r>
      <w:r w:rsidR="00B57E73">
        <w:t xml:space="preserve">i følge Helsepersonellovens </w:t>
      </w:r>
      <w:r w:rsidR="00D9107F">
        <w:t>§ 4</w:t>
      </w:r>
      <w:r w:rsidR="00F07BD8">
        <w:t xml:space="preserve">, </w:t>
      </w:r>
      <w:r>
        <w:t>et selvstendig ansvar for faglig oppdatering</w:t>
      </w:r>
      <w:r w:rsidR="16CB2B22">
        <w:t xml:space="preserve"> </w:t>
      </w:r>
      <w:r w:rsidR="00890382">
        <w:fldChar w:fldCharType="begin"/>
      </w:r>
      <w:r w:rsidR="00D078E3">
        <w:instrText xml:space="preserve"> ADDIN EN.CITE &lt;EndNote&gt;&lt;Cite ExcludeAuth="1"&gt;&lt;Year&gt;2001&lt;/Year&gt;&lt;RecNum&gt;467&lt;/RecNum&gt;&lt;DisplayText&gt;(&lt;style face="italic"&gt;Lov om helsepersonell m.v. (helsepersonelloven)&lt;/style&gt;, 2001)&lt;/DisplayText&gt;&lt;record&gt;&lt;rec-number&gt;467&lt;/rec-number&gt;&lt;foreign-keys&gt;&lt;key app="EN" db-id="95tpr2tp6r9xwoea9rb5wdsz5ds5xeddteew" timestamp="1680069511"&gt;467&lt;/key&gt;&lt;/foreign-keys&gt;&lt;ref-type name="Legal Rule or Regulation"&gt;50&lt;/ref-type&gt;&lt;contributors&gt;&lt;/contributors&gt;&lt;titles&gt;&lt;title&gt;Lov om helsepersonell m.v. (helsepersonelloven)&lt;/title&gt;&lt;secondary-title&gt;LOV-1999-07-02-64&lt;/secondary-title&gt;&lt;/titles&gt;&lt;edition&gt;LOV-2022-12-20-115&lt;/edition&gt;&lt;dates&gt;&lt;year&gt;2001&lt;/year&gt;&lt;/dates&gt;&lt;urls&gt;&lt;related-urls&gt;&lt;url&gt;https://lovdata.no/dokument/NL/lov/1999-07-02-64&lt;/url&gt;&lt;/related-urls&gt;&lt;/urls&gt;&lt;/record&gt;&lt;/Cite&gt;&lt;/EndNote&gt;</w:instrText>
      </w:r>
      <w:r w:rsidR="00890382">
        <w:fldChar w:fldCharType="separate"/>
      </w:r>
      <w:r w:rsidR="00890382">
        <w:rPr>
          <w:noProof/>
        </w:rPr>
        <w:t>(</w:t>
      </w:r>
      <w:r w:rsidR="00890382" w:rsidRPr="00D9107F">
        <w:rPr>
          <w:rStyle w:val="kursiv"/>
        </w:rPr>
        <w:t>Lov om helsepersonell m.v. (helsepersonelloven)</w:t>
      </w:r>
      <w:r w:rsidR="00890382">
        <w:rPr>
          <w:noProof/>
        </w:rPr>
        <w:t>, 2001)</w:t>
      </w:r>
      <w:r w:rsidR="00890382">
        <w:fldChar w:fldCharType="end"/>
      </w:r>
      <w:r w:rsidR="004A2A54">
        <w:t>.</w:t>
      </w:r>
      <w:r>
        <w:t xml:space="preserve"> Kommunen har også gjennom lovverket krav til å </w:t>
      </w:r>
      <w:r w:rsidR="03C07F05">
        <w:t>sikre</w:t>
      </w:r>
      <w:r>
        <w:t xml:space="preserve"> nødvendig</w:t>
      </w:r>
      <w:r w:rsidRPr="00FF75A5">
        <w:t xml:space="preserve"> fagkompetanse i tjenestene</w:t>
      </w:r>
      <w:r w:rsidR="046A6139">
        <w:t xml:space="preserve"> </w:t>
      </w:r>
      <w:r w:rsidR="00890382">
        <w:fldChar w:fldCharType="begin"/>
      </w:r>
      <w:r w:rsidR="008E1406">
        <w:instrText xml:space="preserve"> ADDIN EN.CITE &lt;EndNote&gt;&lt;Cite ExcludeAuth="1"&gt;&lt;Year&gt;2016&lt;/Year&gt;&lt;RecNum&gt;448&lt;/RecNum&gt;&lt;DisplayText&gt;(&lt;style face="italic"&gt;Lov om kommunale helse- og omsorgstjenester m.m. (helse- og omsorgstjenesteloven)&lt;/style&gt;, 2016)&lt;/DisplayText&gt;&lt;record&gt;&lt;rec-number&gt;448&lt;/rec-number&gt;&lt;foreign-keys&gt;&lt;key app="EN" db-id="xv2pp5x2v09a2ae5vwcvrtxd0f09zeseztpp" timestamp="1678702276"&gt;448&lt;/key&gt;&lt;/foreign-keys&gt;&lt;ref-type name="Legal Rule or Regulation"&gt;50&lt;/ref-type&gt;&lt;contributors&gt;&lt;/contributors&gt;&lt;titles&gt;&lt;title&gt;Lov om kommunale helse- og omsorgstjenester m.m. (helse- og omsorgstjenesteloven)&lt;/title&gt;&lt;secondary-title&gt;LOV-2011-06-24-30&lt;/secondary-title&gt;&lt;/titles&gt;&lt;edition&gt;LOV-2022-11-25-86&lt;/edition&gt;&lt;dates&gt;&lt;year&gt;2016&lt;/year&gt;&lt;/dates&gt;&lt;urls&gt;&lt;related-urls&gt;&lt;url&gt;https://lovdata.no/dokument/NL/lov/2011-06-24-30/KAPITTEL_4#%C2%A74-1&lt;/url&gt;&lt;/related-urls&gt;&lt;/urls&gt;&lt;/record&gt;&lt;/Cite&gt;&lt;/EndNote&gt;</w:instrText>
      </w:r>
      <w:r w:rsidR="00890382">
        <w:fldChar w:fldCharType="separate"/>
      </w:r>
      <w:r w:rsidR="00890382">
        <w:rPr>
          <w:noProof/>
        </w:rPr>
        <w:t>(</w:t>
      </w:r>
      <w:r w:rsidR="00890382" w:rsidRPr="00D9107F">
        <w:rPr>
          <w:rStyle w:val="kursiv"/>
        </w:rPr>
        <w:t>Lov om kommunale helse- og omsorgstjenester m.m. (helse- og omsorgstjenesteloven)</w:t>
      </w:r>
      <w:r w:rsidR="00890382">
        <w:rPr>
          <w:noProof/>
        </w:rPr>
        <w:t>, 2016)</w:t>
      </w:r>
      <w:r w:rsidR="00890382">
        <w:fldChar w:fldCharType="end"/>
      </w:r>
      <w:r w:rsidR="004A2A54">
        <w:t>.</w:t>
      </w:r>
    </w:p>
    <w:p w14:paraId="42D345F3" w14:textId="77777777" w:rsidR="00D9107F" w:rsidRDefault="002472E5" w:rsidP="00440775">
      <w:pPr>
        <w:jc w:val="both"/>
      </w:pPr>
      <w:r>
        <w:t>T</w:t>
      </w:r>
      <w:r w:rsidRPr="0031695B">
        <w:t xml:space="preserve">ilstrekkelig med tid og ressurser </w:t>
      </w:r>
      <w:r>
        <w:t>trekkes ofte fram</w:t>
      </w:r>
      <w:r w:rsidR="7EDD00E1">
        <w:t xml:space="preserve"> som </w:t>
      </w:r>
      <w:r w:rsidR="7EDD00E1" w:rsidRPr="0031695B">
        <w:t>avgjørende for helsepersonells tilgang til kompetansehevende aktiviteter</w:t>
      </w:r>
      <w:r w:rsidR="7EDD00E1">
        <w:t>. Ma</w:t>
      </w:r>
      <w:r w:rsidR="7EDD00E1" w:rsidRPr="0031695B">
        <w:t xml:space="preserve">ngel på etterutdanning </w:t>
      </w:r>
      <w:r w:rsidR="7EDD00E1">
        <w:t xml:space="preserve">er </w:t>
      </w:r>
      <w:r w:rsidR="7EDD00E1" w:rsidRPr="0031695B">
        <w:t xml:space="preserve">ofte betinget i personellmangel og dårlig planlegging. </w:t>
      </w:r>
      <w:r w:rsidR="7EDD00E1">
        <w:t>R</w:t>
      </w:r>
      <w:r w:rsidR="7EDD00E1" w:rsidRPr="0031695B">
        <w:t xml:space="preserve">utiner og avtaleverk </w:t>
      </w:r>
      <w:r w:rsidR="7EDD00E1">
        <w:t>som understøtter gjennomføring av etterutdanning, kan bidra til at den gjennomføres</w:t>
      </w:r>
      <w:r w:rsidR="7EDD00E1" w:rsidRPr="0031695B">
        <w:t xml:space="preserve">. </w:t>
      </w:r>
      <w:r w:rsidR="7EDD00E1">
        <w:t>Samtidig bør e</w:t>
      </w:r>
      <w:r w:rsidR="7EDD00E1" w:rsidRPr="0031695B">
        <w:t>tterutdanningssystemet være tilstrekkelig fleksibelt, slik at det kan tilpasses den enkeltes behov for læring og kompetanse</w:t>
      </w:r>
      <w:r w:rsidR="7EDD00E1">
        <w:t xml:space="preserve"> </w:t>
      </w:r>
      <w:r w:rsidR="00890382">
        <w:fldChar w:fldCharType="begin"/>
      </w:r>
      <w:r w:rsidR="004654FD">
        <w:instrText xml:space="preserve"> ADDIN EN.CITE &lt;EndNote&gt;&lt;Cite&gt;&lt;Author&gt;Wahlstedt&lt;/Author&gt;&lt;Year&gt;2019&lt;/Year&gt;&lt;RecNum&gt;573&lt;/RecNum&gt;&lt;DisplayText&gt;(Wahlstedt, 2019)&lt;/DisplayText&gt;&lt;record&gt;&lt;rec-number&gt;573&lt;/rec-number&gt;&lt;foreign-keys&gt;&lt;key app="EN" db-id="95tpr2tp6r9xwoea9rb5wdsz5ds5xeddteew" timestamp="1680069511"&gt;573&lt;/key&gt;&lt;/foreign-keys&gt;&lt;ref-type name="Report"&gt;27&lt;/ref-type&gt;&lt;contributors&gt;&lt;authors&gt;&lt;author&gt;Wahlstedt, Per&lt;/author&gt;&lt;/authors&gt;&lt;/contributors&gt;&lt;titles&gt;&lt;title&gt;Obligatorisk fortbildning inom EU: Sammanställning av vilka länder inom EU/EES och EFTA som reglerar läkares fortbildning&lt;/title&gt;&lt;/titles&gt;&lt;dates&gt;&lt;year&gt;2019&lt;/year&gt;&lt;/dates&gt;&lt;pub-location&gt;Stockholm&lt;/pub-location&gt;&lt;publisher&gt;Sveriges läkarförbund&lt;/publisher&gt;&lt;urls&gt;&lt;/urls&gt;&lt;/record&gt;&lt;/Cite&gt;&lt;/EndNote&gt;</w:instrText>
      </w:r>
      <w:r w:rsidR="00890382">
        <w:fldChar w:fldCharType="separate"/>
      </w:r>
      <w:r w:rsidR="00890382">
        <w:rPr>
          <w:noProof/>
        </w:rPr>
        <w:t>(Wahlstedt, 2019)</w:t>
      </w:r>
      <w:r w:rsidR="00890382">
        <w:fldChar w:fldCharType="end"/>
      </w:r>
      <w:r w:rsidR="004A2A54">
        <w:t>.</w:t>
      </w:r>
      <w:r w:rsidR="25780649" w:rsidRPr="498DE090">
        <w:rPr>
          <w:rFonts w:eastAsiaTheme="minorEastAsia"/>
        </w:rPr>
        <w:t xml:space="preserve"> Ekspertutvalget mener det er grunn til å tro at fastleger og legevaktsleger, i like stor grad </w:t>
      </w:r>
      <w:r w:rsidR="25780649" w:rsidRPr="498DE090">
        <w:rPr>
          <w:rFonts w:eastAsiaTheme="minorEastAsia"/>
        </w:rPr>
        <w:lastRenderedPageBreak/>
        <w:t xml:space="preserve">som andre leger, har motivasjon og evne til å holde seg faglig </w:t>
      </w:r>
      <w:r w:rsidR="25780649">
        <w:t>oppdatert, når forholdene legges til rette for det.</w:t>
      </w:r>
    </w:p>
    <w:p w14:paraId="36E46876" w14:textId="77777777" w:rsidR="00D9107F" w:rsidRDefault="00DA0C8F" w:rsidP="00440775">
      <w:pPr>
        <w:jc w:val="both"/>
      </w:pPr>
      <w:r>
        <w:t xml:space="preserve">Tap av inntekt som en barriere for fravær fra praksis for å delta på kompetansehevende aktiviteter, kan kompenseres ved økonomiske støtteordninger. Legeforeningens fond II dekker i dag en del av utgiftene ved gjennomføring av etterutdanning. En utvidelse av fondet til også å dekke praksiskompensasjon for et gitt antall dager per år, kan tenkes å bidra til at også næringsdrivende leger setter av tid til kompetanseheving. En slik omlegging kan bidra til bedre ressursbruk ved at aktivitetene tilpasses legens </w:t>
      </w:r>
      <w:r w:rsidR="00EA7D51">
        <w:t xml:space="preserve">og kommunens </w:t>
      </w:r>
      <w:r>
        <w:t>behov</w:t>
      </w:r>
      <w:r w:rsidR="004A3533">
        <w:t>,</w:t>
      </w:r>
      <w:r>
        <w:t xml:space="preserve"> og at motivasjon og faglig innretning vil være styrende for deltakelse. Tid brukt til oppsamling av poeng og behandling av søknad vil utgå.</w:t>
      </w:r>
    </w:p>
    <w:p w14:paraId="4F8FE14C" w14:textId="77777777" w:rsidR="00D9107F" w:rsidRDefault="00981361" w:rsidP="00440775">
      <w:pPr>
        <w:jc w:val="both"/>
      </w:pPr>
      <w:r>
        <w:t xml:space="preserve">Kunnskapsgrunnlaget knyttet til effekten </w:t>
      </w:r>
      <w:r w:rsidR="00C676A7">
        <w:t xml:space="preserve">av </w:t>
      </w:r>
      <w:r>
        <w:t xml:space="preserve">obligatorisk etterutdanning på kompetanse og kvalitet i tjenesten er usikkert. </w:t>
      </w:r>
      <w:r w:rsidR="00C676A7" w:rsidRPr="00C676A7">
        <w:t>Utvalget mener det kan legges til rette for økonomisk kompensasjon for faglig oppdatering, og at dagens krav om sentral godkjenning av detaljerte etterutdanningsaktiviteter for å kunne opprettholde spesialisttakst derfor kan vurderes avviklet.</w:t>
      </w:r>
    </w:p>
    <w:p w14:paraId="1232E299" w14:textId="4A39B6E0" w:rsidR="002472E5" w:rsidRPr="00AB65BE" w:rsidRDefault="002472E5" w:rsidP="00775632">
      <w:pPr>
        <w:pStyle w:val="Overskrift1"/>
      </w:pPr>
      <w:bookmarkStart w:id="5737" w:name="_Toc132537100"/>
      <w:bookmarkStart w:id="5738" w:name="_Toc129888221"/>
      <w:bookmarkStart w:id="5739" w:name="_Toc130853682"/>
      <w:bookmarkStart w:id="5740" w:name="_Ref130924742"/>
      <w:bookmarkStart w:id="5741" w:name="_Toc130932169"/>
      <w:bookmarkStart w:id="5742" w:name="_Toc130934460"/>
      <w:bookmarkStart w:id="5743" w:name="_Toc130983589"/>
      <w:bookmarkStart w:id="5744" w:name="_Toc130983938"/>
      <w:bookmarkStart w:id="5745" w:name="_Toc131062214"/>
      <w:bookmarkStart w:id="5746" w:name="_Toc131062468"/>
      <w:bookmarkStart w:id="5747" w:name="_Toc131062729"/>
      <w:bookmarkStart w:id="5748" w:name="_Toc131062982"/>
      <w:bookmarkStart w:id="5749" w:name="_Toc131063765"/>
      <w:bookmarkStart w:id="5750" w:name="_Toc131064175"/>
      <w:bookmarkStart w:id="5751" w:name="_Toc131238581"/>
      <w:bookmarkStart w:id="5752" w:name="_Toc131279672"/>
      <w:bookmarkStart w:id="5753" w:name="_Toc131287084"/>
      <w:bookmarkStart w:id="5754" w:name="_Toc131281494"/>
      <w:bookmarkStart w:id="5755" w:name="_Toc131318034"/>
      <w:r>
        <w:t xml:space="preserve">Digitalisering, </w:t>
      </w:r>
      <w:r w:rsidRPr="00A85F33">
        <w:t>Innovasjon</w:t>
      </w:r>
      <w:r>
        <w:t>,</w:t>
      </w:r>
      <w:r w:rsidRPr="00367E92">
        <w:t xml:space="preserve"> </w:t>
      </w:r>
      <w:r>
        <w:t>forskning</w:t>
      </w:r>
      <w:r w:rsidRPr="00367E92">
        <w:t xml:space="preserve"> </w:t>
      </w:r>
      <w:r w:rsidR="002B4FA5">
        <w:t>og</w:t>
      </w:r>
      <w:r w:rsidR="00A03384" w:rsidRPr="00A85F33">
        <w:t xml:space="preserve"> </w:t>
      </w:r>
      <w:r w:rsidR="002B4FA5">
        <w:t>ledelse</w:t>
      </w:r>
      <w:bookmarkEnd w:id="5737"/>
    </w:p>
    <w:p w14:paraId="09F3F7EA" w14:textId="295E9DB4" w:rsidR="00916EE1" w:rsidRDefault="00916EE1" w:rsidP="00775632">
      <w:pPr>
        <w:pStyle w:val="Overskrift2"/>
      </w:pPr>
      <w:bookmarkStart w:id="5756" w:name="_Toc132537101"/>
      <w:r>
        <w:t xml:space="preserve">Ekspertutvalgets </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r>
        <w:t>anbefaling</w:t>
      </w:r>
      <w:bookmarkEnd w:id="5751"/>
      <w:r w:rsidR="001521D4">
        <w:t>er</w:t>
      </w:r>
      <w:bookmarkEnd w:id="5752"/>
      <w:bookmarkEnd w:id="5753"/>
      <w:bookmarkEnd w:id="5754"/>
      <w:bookmarkEnd w:id="5755"/>
      <w:bookmarkEnd w:id="5756"/>
    </w:p>
    <w:p w14:paraId="6981BE68" w14:textId="77777777" w:rsidR="00D9107F" w:rsidRDefault="00916EE1" w:rsidP="00B176EB">
      <w:pPr>
        <w:jc w:val="both"/>
      </w:pPr>
      <w:r w:rsidDel="00462845">
        <w:t>Mangel på helhetlig styring og f</w:t>
      </w:r>
      <w:r>
        <w:t>ragmentert organisering utgjør en barriere for felles implementering av teknologi i helsevesenet.</w:t>
      </w:r>
    </w:p>
    <w:p w14:paraId="1236427C" w14:textId="77777777" w:rsidR="00D9107F" w:rsidRDefault="00916EE1" w:rsidP="00B176EB">
      <w:pPr>
        <w:jc w:val="both"/>
      </w:pPr>
      <w:r>
        <w:t>Ekspertutvalget anbefaler at</w:t>
      </w:r>
      <w:r w:rsidDel="00571D49">
        <w:t xml:space="preserve"> </w:t>
      </w:r>
      <w:r>
        <w:t xml:space="preserve">staten i det videre </w:t>
      </w:r>
      <w:r w:rsidRPr="1376AFD2">
        <w:t xml:space="preserve">arbeidet </w:t>
      </w:r>
      <w:r>
        <w:t>bør</w:t>
      </w:r>
      <w:r w:rsidRPr="318E4E98">
        <w:t xml:space="preserve"> </w:t>
      </w:r>
      <w:r w:rsidR="009A24E5">
        <w:t>t</w:t>
      </w:r>
      <w:r w:rsidRPr="318E4E98">
        <w:t xml:space="preserve">a en </w:t>
      </w:r>
      <w:r>
        <w:t xml:space="preserve">førende og tydelig </w:t>
      </w:r>
      <w:r w:rsidRPr="318E4E98">
        <w:t xml:space="preserve">rolle </w:t>
      </w:r>
      <w:r>
        <w:t xml:space="preserve">i digitalisering av helsetjenester, i </w:t>
      </w:r>
      <w:r w:rsidRPr="318E4E98">
        <w:t xml:space="preserve">kompaniskap med </w:t>
      </w:r>
      <w:r>
        <w:t xml:space="preserve">KS/kommunene og </w:t>
      </w:r>
      <w:r w:rsidRPr="318E4E98">
        <w:t>private leverandører.</w:t>
      </w:r>
    </w:p>
    <w:p w14:paraId="2BFE0165" w14:textId="31728A74" w:rsidR="00916EE1" w:rsidRDefault="00181577" w:rsidP="00B176EB">
      <w:pPr>
        <w:jc w:val="both"/>
        <w:rPr>
          <w:color w:val="000000"/>
          <w:shd w:val="clear" w:color="auto" w:fill="FFFFFF"/>
        </w:rPr>
      </w:pPr>
      <w:r w:rsidRPr="00344157">
        <w:t xml:space="preserve">Ekspertutvalget støtter </w:t>
      </w:r>
      <w:r w:rsidR="00767FC9" w:rsidRPr="00344157">
        <w:t>innføring av et digitalt triageringsverktøy for fastlegekontor</w:t>
      </w:r>
      <w:r w:rsidR="00466A33" w:rsidRPr="00344157">
        <w:t>ene</w:t>
      </w:r>
      <w:r w:rsidR="001B7977">
        <w:t xml:space="preserve">, og </w:t>
      </w:r>
      <w:r w:rsidR="00916EE1">
        <w:t xml:space="preserve">anbefaler </w:t>
      </w:r>
      <w:r w:rsidR="001B7977">
        <w:t xml:space="preserve">videre </w:t>
      </w:r>
      <w:r w:rsidR="00916EE1">
        <w:t>at det utvikles en statlig nettside inspirert av den som eksisterer i Nederland</w:t>
      </w:r>
      <w:r w:rsidR="00A6747B">
        <w:t>,</w:t>
      </w:r>
      <w:r w:rsidR="00916EE1">
        <w:t xml:space="preserve"> som kan gi allmennmedisinske helseråd til befolkningen. Ved at </w:t>
      </w:r>
      <w:r w:rsidR="00916EE1" w:rsidRPr="00FF70EA">
        <w:t xml:space="preserve">innbyggerne selv </w:t>
      </w:r>
      <w:r w:rsidR="00916EE1">
        <w:t xml:space="preserve">kan </w:t>
      </w:r>
      <w:r w:rsidR="00916EE1" w:rsidRPr="00FF70EA">
        <w:t xml:space="preserve">finne god </w:t>
      </w:r>
      <w:r w:rsidR="00916EE1">
        <w:t xml:space="preserve">og oppdatert </w:t>
      </w:r>
      <w:r w:rsidR="00916EE1" w:rsidRPr="00FF70EA">
        <w:t>informasjon om symptomer</w:t>
      </w:r>
      <w:r w:rsidR="00D3715C">
        <w:t xml:space="preserve"> </w:t>
      </w:r>
      <w:r w:rsidR="005016BA">
        <w:t>og</w:t>
      </w:r>
      <w:r w:rsidR="00916EE1" w:rsidRPr="00FF70EA">
        <w:t xml:space="preserve"> sykdommer </w:t>
      </w:r>
      <w:r w:rsidR="00916EE1">
        <w:t xml:space="preserve">kan </w:t>
      </w:r>
      <w:r w:rsidR="00916EE1" w:rsidRPr="00FF70EA">
        <w:t>behovet for konsultasjone</w:t>
      </w:r>
      <w:r w:rsidR="00916EE1">
        <w:t>r reduseres</w:t>
      </w:r>
      <w:r w:rsidR="00916EE1" w:rsidRPr="00FF70EA">
        <w:t>.</w:t>
      </w:r>
      <w:r w:rsidR="00916EE1">
        <w:t xml:space="preserve"> Det kan vurderes om et slikt lavterskeltilbud også bør bygges ut med e</w:t>
      </w:r>
      <w:r w:rsidR="00916EE1" w:rsidRPr="6295B49C">
        <w:rPr>
          <w:color w:val="000000"/>
          <w:shd w:val="clear" w:color="auto" w:fill="FFFFFF"/>
        </w:rPr>
        <w:t xml:space="preserve">n døgnåpen allmennmedisinsk </w:t>
      </w:r>
      <w:r w:rsidR="00916EE1" w:rsidRPr="006737F7">
        <w:rPr>
          <w:bCs/>
          <w:color w:val="000000"/>
          <w:shd w:val="clear" w:color="auto" w:fill="FFFFFF"/>
        </w:rPr>
        <w:t xml:space="preserve">tjeneste </w:t>
      </w:r>
      <w:r w:rsidR="00C67863">
        <w:rPr>
          <w:bCs/>
          <w:color w:val="000000"/>
          <w:shd w:val="clear" w:color="auto" w:fill="FFFFFF"/>
        </w:rPr>
        <w:t>med</w:t>
      </w:r>
      <w:r w:rsidR="00916EE1" w:rsidRPr="005B70BC">
        <w:rPr>
          <w:color w:val="000000"/>
          <w:shd w:val="clear" w:color="auto" w:fill="FFFFFF"/>
        </w:rPr>
        <w:t xml:space="preserve"> chat,</w:t>
      </w:r>
      <w:r w:rsidR="00916EE1" w:rsidRPr="006737F7">
        <w:rPr>
          <w:bCs/>
          <w:color w:val="000000"/>
          <w:shd w:val="clear" w:color="auto" w:fill="FFFFFF"/>
        </w:rPr>
        <w:t xml:space="preserve"> telefon- </w:t>
      </w:r>
      <w:r w:rsidR="00916EE1">
        <w:rPr>
          <w:bCs/>
          <w:color w:val="000000"/>
          <w:shd w:val="clear" w:color="auto" w:fill="FFFFFF"/>
        </w:rPr>
        <w:t>og</w:t>
      </w:r>
      <w:r w:rsidR="00916EE1" w:rsidRPr="005B70BC">
        <w:rPr>
          <w:bCs/>
          <w:color w:val="000000"/>
          <w:shd w:val="clear" w:color="auto" w:fill="FFFFFF"/>
        </w:rPr>
        <w:t xml:space="preserve"> videokonsultasjon</w:t>
      </w:r>
      <w:r w:rsidR="00916EE1">
        <w:rPr>
          <w:bCs/>
          <w:color w:val="000000"/>
          <w:shd w:val="clear" w:color="auto" w:fill="FFFFFF"/>
        </w:rPr>
        <w:t>er.</w:t>
      </w:r>
    </w:p>
    <w:p w14:paraId="59F8B1D8" w14:textId="77777777" w:rsidR="00D9107F" w:rsidRDefault="00916EE1" w:rsidP="00B176EB">
      <w:pPr>
        <w:jc w:val="both"/>
      </w:pPr>
      <w:r>
        <w:t>Ekspertutvalget mener det er behov for mer forskning på allmennlegetjenestene og i allmennmedisin.</w:t>
      </w:r>
      <w:r w:rsidRPr="318E4E98">
        <w:rPr>
          <w:rFonts w:ascii="Calibri" w:eastAsia="Calibri" w:hAnsi="Calibri" w:cs="Calibri"/>
        </w:rPr>
        <w:t xml:space="preserve"> </w:t>
      </w:r>
      <w:r w:rsidRPr="00B94672">
        <w:t xml:space="preserve">Datagrunnlaget </w:t>
      </w:r>
      <w:r>
        <w:t xml:space="preserve">bør forbedres, </w:t>
      </w:r>
      <w:r w:rsidRPr="00B94672">
        <w:t xml:space="preserve">både for å </w:t>
      </w:r>
      <w:r>
        <w:t xml:space="preserve">styrke </w:t>
      </w:r>
      <w:r w:rsidRPr="00B94672">
        <w:t>planleg</w:t>
      </w:r>
      <w:r>
        <w:t xml:space="preserve">ging og </w:t>
      </w:r>
      <w:r w:rsidRPr="00B94672">
        <w:t>beredskap</w:t>
      </w:r>
      <w:r>
        <w:t xml:space="preserve">, og for raskere å </w:t>
      </w:r>
      <w:r w:rsidRPr="00B94672">
        <w:t xml:space="preserve">kunne vurdere situasjoner </w:t>
      </w:r>
      <w:r>
        <w:t xml:space="preserve">knyttet til </w:t>
      </w:r>
      <w:r w:rsidRPr="00B94672">
        <w:t xml:space="preserve">mangler </w:t>
      </w:r>
      <w:r>
        <w:t xml:space="preserve">ved </w:t>
      </w:r>
      <w:r w:rsidRPr="00B94672">
        <w:t xml:space="preserve">fastlegeordningen </w:t>
      </w:r>
      <w:r>
        <w:t xml:space="preserve">og iverksette treffende </w:t>
      </w:r>
      <w:r w:rsidRPr="00B94672">
        <w:t>tiltak</w:t>
      </w:r>
      <w:r>
        <w:t>. Ekspertutvalget anbefaler at staten bidrar med stabile, tilstrekkelige og uavhengige finansieringskilder</w:t>
      </w:r>
      <w:bookmarkStart w:id="5757" w:name="_Toc131069893"/>
      <w:bookmarkEnd w:id="5757"/>
      <w:r>
        <w:t>.</w:t>
      </w:r>
    </w:p>
    <w:p w14:paraId="3439D813" w14:textId="77777777" w:rsidR="00D9107F" w:rsidRDefault="00916EE1" w:rsidP="00775632">
      <w:pPr>
        <w:pStyle w:val="Overskrift2"/>
      </w:pPr>
      <w:bookmarkStart w:id="5758" w:name="_Toc130853683"/>
      <w:bookmarkStart w:id="5759" w:name="_Toc130932170"/>
      <w:bookmarkStart w:id="5760" w:name="_Toc130934461"/>
      <w:bookmarkStart w:id="5761" w:name="_Toc131062215"/>
      <w:bookmarkStart w:id="5762" w:name="_Toc131062469"/>
      <w:bookmarkStart w:id="5763" w:name="_Toc131062730"/>
      <w:bookmarkStart w:id="5764" w:name="_Toc131062983"/>
      <w:bookmarkStart w:id="5765" w:name="_Toc131063766"/>
      <w:bookmarkStart w:id="5766" w:name="_Toc131064176"/>
      <w:bookmarkStart w:id="5767" w:name="_Toc131238582"/>
      <w:bookmarkStart w:id="5768" w:name="_Toc131279673"/>
      <w:bookmarkStart w:id="5769" w:name="_Toc131287085"/>
      <w:bookmarkStart w:id="5770" w:name="_Toc131281495"/>
      <w:bookmarkStart w:id="5771" w:name="_Toc131318035"/>
      <w:bookmarkStart w:id="5772" w:name="_Toc132537102"/>
      <w:bookmarkStart w:id="5773" w:name="_Toc129888222"/>
      <w:r>
        <w:lastRenderedPageBreak/>
        <w:t>Digitalisering</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313982BF" w14:textId="77777777" w:rsidR="00D9107F" w:rsidRDefault="00916EE1" w:rsidP="008F5AD8">
      <w:bookmarkStart w:id="5774" w:name="_Toc126830992"/>
      <w:bookmarkStart w:id="5775" w:name="_Toc127633274"/>
      <w:bookmarkStart w:id="5776" w:name="_Toc127864559"/>
      <w:bookmarkEnd w:id="5773"/>
      <w:r w:rsidRPr="00F9051C">
        <w:t>Befolkningssammensetningen er i endring og tilgangen på</w:t>
      </w:r>
      <w:r>
        <w:t xml:space="preserve"> </w:t>
      </w:r>
      <w:r w:rsidRPr="00F9051C">
        <w:t>helsepersonell forventes fr</w:t>
      </w:r>
      <w:r w:rsidR="00A70FC0">
        <w:t>a</w:t>
      </w:r>
      <w:r w:rsidRPr="00F9051C">
        <w:t>mover å være begrenset</w:t>
      </w:r>
      <w:r w:rsidR="00A70FC0">
        <w:t>,</w:t>
      </w:r>
      <w:r w:rsidRPr="00F9051C">
        <w:t xml:space="preserve"> samtidig som innbyggernes behov </w:t>
      </w:r>
      <w:r>
        <w:t xml:space="preserve">for helsetjenester </w:t>
      </w:r>
      <w:r w:rsidRPr="00F9051C">
        <w:t>vil øke</w:t>
      </w:r>
      <w:r w:rsidR="00FA7E22">
        <w:t xml:space="preserve"> </w:t>
      </w:r>
      <w:r w:rsidR="009D3E8B">
        <w:fldChar w:fldCharType="begin"/>
      </w:r>
      <w:r w:rsidR="009D3E8B">
        <w:instrText xml:space="preserve"> ADDIN EN.CITE &lt;EndNote&gt;&lt;Cite&gt;&lt;Author&gt;Helse- og omsorgsdepartementet&lt;/Author&gt;&lt;Year&gt;2023&lt;/Year&gt;&lt;RecNum&gt;933&lt;/RecNum&gt;&lt;DisplayText&gt;(Helse- og omsorgsdepartementet, 2023c)&lt;/DisplayText&gt;&lt;record&gt;&lt;rec-number&gt;933&lt;/rec-number&gt;&lt;foreign-keys&gt;&lt;key app="EN" db-id="95tpr2tp6r9xwoea9rb5wdsz5ds5xeddteew" timestamp="1680157563"&gt;933&lt;/key&gt;&lt;/foreign-keys&gt;&lt;ref-type name="Report"&gt;27&lt;/ref-type&gt;&lt;contributors&gt;&lt;authors&gt;&lt;author&gt;Helse- og omsorgsdepartementet,&lt;/author&gt;&lt;/authors&gt;&lt;/contributors&gt;&lt;titles&gt;&lt;title&gt;Tid for handling. Personellet i en bærekraftig helse- og omsorgstjeneste&lt;/title&gt;&lt;/titles&gt;&lt;number&gt;NOU 2023:4. &lt;/number&gt;&lt;dates&gt;&lt;year&gt;2023&lt;/year&gt;&lt;/dates&gt;&lt;publisher&gt;Helse- og omsorgsdepartementet&lt;/publisher&gt;&lt;urls&gt;&lt;/urls&gt;&lt;/record&gt;&lt;/Cite&gt;&lt;/EndNote&gt;</w:instrText>
      </w:r>
      <w:r w:rsidR="009D3E8B">
        <w:fldChar w:fldCharType="separate"/>
      </w:r>
      <w:r w:rsidR="009D3E8B">
        <w:rPr>
          <w:noProof/>
        </w:rPr>
        <w:t>(Helse- og omsorgsdepartementet, 2023c)</w:t>
      </w:r>
      <w:r w:rsidR="009D3E8B">
        <w:fldChar w:fldCharType="end"/>
      </w:r>
      <w:r w:rsidRPr="00F9051C" w:rsidDel="001C3BAE">
        <w:t>.</w:t>
      </w:r>
      <w:bookmarkEnd w:id="5774"/>
      <w:bookmarkEnd w:id="5775"/>
      <w:bookmarkEnd w:id="5776"/>
      <w:r>
        <w:t xml:space="preserve"> Fram mot </w:t>
      </w:r>
      <w:r w:rsidRPr="06E6AA42">
        <w:t xml:space="preserve">2050 </w:t>
      </w:r>
      <w:r>
        <w:t xml:space="preserve">vil befolkningen </w:t>
      </w:r>
      <w:r w:rsidRPr="06E6AA42">
        <w:t xml:space="preserve">konsentreres mer i byene, </w:t>
      </w:r>
      <w:r>
        <w:t xml:space="preserve">mens det </w:t>
      </w:r>
      <w:r w:rsidRPr="06E6AA42">
        <w:t>i distriktene vil bli flere eldre</w:t>
      </w:r>
      <w:r>
        <w:t xml:space="preserve">. En økt andel eldre betyr at det vil være relativt </w:t>
      </w:r>
      <w:r w:rsidRPr="06E6AA42">
        <w:t>færre i yrkesaktiv alder</w:t>
      </w:r>
      <w:r w:rsidRPr="498DE090">
        <w:t xml:space="preserve"> </w:t>
      </w:r>
      <w:r>
        <w:t xml:space="preserve">enn i dag </w:t>
      </w:r>
      <w:r>
        <w:fldChar w:fldCharType="begin"/>
      </w:r>
      <w:r w:rsidR="00A27571">
        <w:instrText xml:space="preserve"> ADDIN EN.CITE &lt;EndNote&gt;&lt;Cite&gt;&lt;Author&gt;Leknes&lt;/Author&gt;&lt;Year&gt;2022&lt;/Year&gt;&lt;RecNum&gt;252&lt;/RecNum&gt;&lt;DisplayText&gt;(Leknes et al., 2022)&lt;/DisplayText&gt;&lt;record&gt;&lt;rec-number&gt;252&lt;/rec-number&gt;&lt;foreign-keys&gt;&lt;key app="EN" db-id="95tpr2tp6r9xwoea9rb5wdsz5ds5xeddteew" timestamp="1680069511"&gt;252&lt;/key&gt;&lt;/foreign-keys&gt;&lt;ref-type name="Web Page"&gt;12&lt;/ref-type&gt;&lt;contributors&gt;&lt;authors&gt;&lt;author&gt;Stefan Leknes&lt;/author&gt;&lt;author&gt;Sturla A. Løkken&lt;/author&gt;&lt;/authors&gt;&lt;/contributors&gt;&lt;titles&gt;&lt;title&gt;Folketallet vil krympe i 40 prosent av kommunene fram mot 2050&lt;/title&gt;&lt;/titles&gt;&lt;number&gt;10.02.23&lt;/number&gt;&lt;dates&gt;&lt;year&gt;2022&lt;/year&gt;&lt;pub-dates&gt;&lt;date&gt;5. juli 2022&lt;/date&gt;&lt;/pub-dates&gt;&lt;/dates&gt;&lt;pub-location&gt;Oslo&lt;/pub-location&gt;&lt;publisher&gt;Statisktisk sentralbyrå&lt;/publisher&gt;&lt;work-type&gt;nettdokument&lt;/work-type&gt;&lt;urls&gt;&lt;/urls&gt;&lt;/record&gt;&lt;/Cite&gt;&lt;/EndNote&gt;</w:instrText>
      </w:r>
      <w:r>
        <w:fldChar w:fldCharType="separate"/>
      </w:r>
      <w:r w:rsidR="00856689">
        <w:rPr>
          <w:noProof/>
        </w:rPr>
        <w:t>(Leknes et al., 2022)</w:t>
      </w:r>
      <w:r>
        <w:fldChar w:fldCharType="end"/>
      </w:r>
      <w:r>
        <w:t xml:space="preserve">. I parallell med dette ser vi en </w:t>
      </w:r>
      <w:r w:rsidRPr="00FE2FF2">
        <w:t>teknologisk</w:t>
      </w:r>
      <w:r>
        <w:t xml:space="preserve"> </w:t>
      </w:r>
      <w:r w:rsidRPr="00FE2FF2">
        <w:t>utvikling</w:t>
      </w:r>
      <w:r>
        <w:t xml:space="preserve"> som </w:t>
      </w:r>
      <w:r w:rsidRPr="00FE2FF2">
        <w:t xml:space="preserve">omformer </w:t>
      </w:r>
      <w:r>
        <w:t>samfunnet, og som forventes å transformere den g</w:t>
      </w:r>
      <w:r w:rsidRPr="00FE2FF2">
        <w:t>runnleggende måte</w:t>
      </w:r>
      <w:r>
        <w:t xml:space="preserve">n </w:t>
      </w:r>
      <w:r w:rsidRPr="00FE2FF2">
        <w:t>varer og tjenester</w:t>
      </w:r>
      <w:r>
        <w:t xml:space="preserve"> lever</w:t>
      </w:r>
      <w:r w:rsidR="00A70FC0">
        <w:t>e</w:t>
      </w:r>
      <w:r>
        <w:t>s på</w:t>
      </w:r>
      <w:r w:rsidR="00A85106">
        <w:t xml:space="preserve"> </w:t>
      </w:r>
      <w:r>
        <w:fldChar w:fldCharType="begin"/>
      </w:r>
      <w:r w:rsidR="004654FD">
        <w:instrText xml:space="preserve"> ADDIN EN.CITE &lt;EndNote&gt;&lt;Cite&gt;&lt;Author&gt;Kommunal- og distriktsdepartementet&lt;/Author&gt;&lt;Year&gt;2013&lt;/Year&gt;&lt;RecNum&gt;150&lt;/RecNum&gt;&lt;DisplayText&gt;(Kommunal- og distriktsdepartementet, 2013)&lt;/DisplayText&gt;&lt;record&gt;&lt;rec-number&gt;150&lt;/rec-number&gt;&lt;foreign-keys&gt;&lt;key app="EN" db-id="95tpr2tp6r9xwoea9rb5wdsz5ds5xeddteew" timestamp="1680069511"&gt;150&lt;/key&gt;&lt;/foreign-keys&gt;&lt;ref-type name="Report"&gt;27&lt;/ref-type&gt;&lt;contributors&gt;&lt;authors&gt;&lt;author&gt;Kommunal- og distriktsdepartementet,&lt;/author&gt;&lt;/authors&gt;&lt;/contributors&gt;&lt;titles&gt;&lt;title&gt;Meld. St. 23 (2012–2013). Digital agenda for Norge: IKT for vekst og verdiskaping&lt;/title&gt;&lt;/titles&gt;&lt;dates&gt;&lt;year&gt;2013&lt;/year&gt;&lt;/dates&gt;&lt;publisher&gt;Kommunal- og distriktsdepartementet&lt;/publisher&gt;&lt;isbn&gt;Meld. St. 23 (2012–2013)&lt;/isbn&gt;&lt;urls&gt;&lt;/urls&gt;&lt;/record&gt;&lt;/Cite&gt;&lt;/EndNote&gt;</w:instrText>
      </w:r>
      <w:r>
        <w:fldChar w:fldCharType="separate"/>
      </w:r>
      <w:r w:rsidR="00CE2F35">
        <w:rPr>
          <w:noProof/>
        </w:rPr>
        <w:t>(Kommunal- og distriktsdepartementet, 2013)</w:t>
      </w:r>
      <w:r>
        <w:fldChar w:fldCharType="end"/>
      </w:r>
      <w:r>
        <w:t>. Sammen er dette kraftige drivere for digitalisering og bruk av ny teknologi i helsesektoren.</w:t>
      </w:r>
    </w:p>
    <w:p w14:paraId="63AA0832" w14:textId="189BEF56" w:rsidR="00916EE1" w:rsidRDefault="00916EE1" w:rsidP="008F5AD8">
      <w:r w:rsidRPr="00E261DD">
        <w:t xml:space="preserve">Digitalisering handler om å </w:t>
      </w:r>
      <w:r>
        <w:t xml:space="preserve">utnytte </w:t>
      </w:r>
      <w:r w:rsidRPr="00E261DD">
        <w:t>teknologi til å tilby tjenester som er enkle å bruke,</w:t>
      </w:r>
      <w:r>
        <w:t xml:space="preserve"> </w:t>
      </w:r>
      <w:r w:rsidRPr="00E261DD">
        <w:t>effektive og pålitelige</w:t>
      </w:r>
      <w:r>
        <w:t xml:space="preserve"> </w:t>
      </w:r>
      <w:r>
        <w:fldChar w:fldCharType="begin"/>
      </w:r>
      <w:r w:rsidR="00CE2F35">
        <w:instrText xml:space="preserve"> ADDIN EN.CITE &lt;EndNote&gt;&lt;Cite&gt;&lt;Author&gt;Kommunal- og distriktsdepartementet&lt;/Author&gt;&lt;Year&gt;2022&lt;/Year&gt;&lt;RecNum&gt;157&lt;/RecNum&gt;&lt;DisplayText&gt;(Kommunal- og distriktsdepartementet, 2022a)&lt;/DisplayText&gt;&lt;record&gt;&lt;rec-number&gt;157&lt;/rec-number&gt;&lt;foreign-keys&gt;&lt;key app="EN" db-id="95tpr2tp6r9xwoea9rb5wdsz5ds5xeddteew" timestamp="1680069511"&gt;157&lt;/key&gt;&lt;/foreign-keys&gt;&lt;ref-type name="Report"&gt;27&lt;/ref-type&gt;&lt;contributors&gt;&lt;authors&gt;&lt;author&gt;Kommunal- og distriktsdepartementet,&lt;/author&gt;&lt;/authors&gt;&lt;/contributors&gt;&lt;titles&gt;&lt;title&gt;Digitaliseringsrundskrivet&lt;/title&gt;&lt;/titles&gt;&lt;number&gt;H-9/22&lt;/number&gt;&lt;dates&gt;&lt;year&gt;2022&lt;/year&gt;&lt;/dates&gt;&lt;urls&gt;&lt;related-urls&gt;&lt;url&gt;https://www.regjeringen.no/no/dokumenter/digitaliseringsrundskrivet2/id2952701/&lt;/url&gt;&lt;/related-urls&gt;&lt;/urls&gt;&lt;access-date&gt;10.02.23&lt;/access-date&gt;&lt;/record&gt;&lt;/Cite&gt;&lt;/EndNote&gt;</w:instrText>
      </w:r>
      <w:r>
        <w:fldChar w:fldCharType="separate"/>
      </w:r>
      <w:r w:rsidR="00CE2F35">
        <w:rPr>
          <w:noProof/>
        </w:rPr>
        <w:t>(Kommunal- og distriktsdepartementet, 2022a)</w:t>
      </w:r>
      <w:r>
        <w:fldChar w:fldCharType="end"/>
      </w:r>
      <w:r>
        <w:t xml:space="preserve">, og som stiller </w:t>
      </w:r>
      <w:r w:rsidRPr="00E261DD">
        <w:t>brukeren i sentrum</w:t>
      </w:r>
      <w:r>
        <w:t xml:space="preserve"> og </w:t>
      </w:r>
      <w:r w:rsidRPr="00E261DD">
        <w:t>forenkle</w:t>
      </w:r>
      <w:r>
        <w:t>r</w:t>
      </w:r>
      <w:r w:rsidRPr="00E261DD">
        <w:t xml:space="preserve"> hverdagen for </w:t>
      </w:r>
      <w:r>
        <w:t xml:space="preserve">innbyggerne, pasientene og </w:t>
      </w:r>
      <w:r w:rsidRPr="00E261DD">
        <w:t>allmennlegene</w:t>
      </w:r>
      <w:r w:rsidRPr="001A1112">
        <w:t>. Forbedring av samhandlingsløsninger, velferdsteknologi og utnyttelse av kunstig intelligens på helseområdet er områder som er og vil fortsette å være i sterk vek</w:t>
      </w:r>
      <w:r>
        <w:t>s</w:t>
      </w:r>
      <w:r w:rsidRPr="001A1112">
        <w:t>t</w:t>
      </w:r>
      <w:r w:rsidRPr="00A85301">
        <w:t>.</w:t>
      </w:r>
    </w:p>
    <w:p w14:paraId="371B8DD3" w14:textId="77777777" w:rsidR="00D9107F" w:rsidRDefault="00916EE1" w:rsidP="00916EE1">
      <w:pPr>
        <w:jc w:val="both"/>
      </w:pPr>
      <w:r w:rsidRPr="005A4AE2">
        <w:t>EPJ-løftet</w:t>
      </w:r>
      <w:r>
        <w:t xml:space="preserve"> </w:t>
      </w:r>
      <w:r w:rsidRPr="00AB48B4">
        <w:t>er e</w:t>
      </w:r>
      <w:r w:rsidRPr="005A4AE2">
        <w:t xml:space="preserve">t sentralt samarbeidstiltak </w:t>
      </w:r>
      <w:r>
        <w:t xml:space="preserve">som ble </w:t>
      </w:r>
      <w:r w:rsidRPr="00AB48B4">
        <w:t xml:space="preserve">etablert av </w:t>
      </w:r>
      <w:r w:rsidRPr="005A4AE2">
        <w:t>HOD og Legeforeningen i 2015</w:t>
      </w:r>
      <w:r w:rsidR="00A70FC0">
        <w:t>,</w:t>
      </w:r>
      <w:r w:rsidRPr="005A4AE2">
        <w:t xml:space="preserve"> </w:t>
      </w:r>
      <w:r w:rsidRPr="00AB48B4">
        <w:t xml:space="preserve">med </w:t>
      </w:r>
      <w:r w:rsidRPr="005A4AE2">
        <w:t>hovedformål å realisere funksjonelle forbedringer i fastlegers og avtalespesialisters elektroniske pasientjournal</w:t>
      </w:r>
      <w:r>
        <w:t>-</w:t>
      </w:r>
      <w:r w:rsidRPr="005A4AE2">
        <w:t>systemer</w:t>
      </w:r>
      <w:r w:rsidR="00015A26">
        <w:t xml:space="preserve"> </w:t>
      </w:r>
      <w:r w:rsidR="001F5F05">
        <w:fldChar w:fldCharType="begin"/>
      </w:r>
      <w:r w:rsidR="00A27571">
        <w:instrText xml:space="preserve"> ADDIN EN.CITE &lt;EndNote&gt;&lt;Cite ExcludeYear="1"&gt;&lt;Author&gt;Direktoratet for e-helse&lt;/Author&gt;&lt;RecNum&gt;203&lt;/RecNum&gt;&lt;DisplayText&gt;(Direktoratet for e-helse)&lt;/DisplayText&gt;&lt;record&gt;&lt;rec-number&gt;203&lt;/rec-number&gt;&lt;foreign-keys&gt;&lt;key app="EN" db-id="95tpr2tp6r9xwoea9rb5wdsz5ds5xeddteew" timestamp="1680069511"&gt;203&lt;/key&gt;&lt;/foreign-keys&gt;&lt;ref-type name="Web Page"&gt;12&lt;/ref-type&gt;&lt;contributors&gt;&lt;authors&gt;&lt;author&gt;Direktoratet for e-helse,&lt;/author&gt;&lt;/authors&gt;&lt;/contributors&gt;&lt;titles&gt;&lt;title&gt;EPJ-løftet - program for EPJ-utvikling&lt;/title&gt;&lt;/titles&gt;&lt;number&gt;03.02.2023&lt;/number&gt;&lt;dates&gt;&lt;pub-dates&gt;&lt;date&gt;03.02.2022&lt;/date&gt;&lt;/pub-dates&gt;&lt;/dates&gt;&lt;pub-location&gt;Oslo&lt;/pub-location&gt;&lt;publisher&gt;Direktoratet for e-helse&lt;/publisher&gt;&lt;work-type&gt;nettdokument&lt;/work-type&gt;&lt;urls&gt;&lt;/urls&gt;&lt;/record&gt;&lt;/Cite&gt;&lt;/EndNote&gt;</w:instrText>
      </w:r>
      <w:r w:rsidR="001F5F05">
        <w:fldChar w:fldCharType="separate"/>
      </w:r>
      <w:r w:rsidR="001F5F05">
        <w:rPr>
          <w:noProof/>
        </w:rPr>
        <w:t>(Direktoratet for e-helse)</w:t>
      </w:r>
      <w:r w:rsidR="001F5F05">
        <w:fldChar w:fldCharType="end"/>
      </w:r>
      <w:r>
        <w:t xml:space="preserve">. </w:t>
      </w:r>
      <w:r w:rsidRPr="005A4AE2">
        <w:t>Prosjektet ble etablert som et kompenserende tiltak</w:t>
      </w:r>
      <w:r w:rsidRPr="005A4AE2">
        <w:rPr>
          <w:rFonts w:eastAsiaTheme="minorEastAsia"/>
        </w:rPr>
        <w:t xml:space="preserve"> for manglende koordinering og samarbeidsarenaer i sektoren</w:t>
      </w:r>
      <w:r w:rsidR="00A70FC0">
        <w:rPr>
          <w:rFonts w:eastAsiaTheme="minorEastAsia"/>
        </w:rPr>
        <w:t>,</w:t>
      </w:r>
      <w:r w:rsidRPr="005A4AE2">
        <w:rPr>
          <w:rFonts w:eastAsiaTheme="minorEastAsia"/>
        </w:rPr>
        <w:t xml:space="preserve"> som følge av et fragmentert leverandørmarked.</w:t>
      </w:r>
      <w:r>
        <w:rPr>
          <w:rFonts w:eastAsiaTheme="minorEastAsia"/>
        </w:rPr>
        <w:t xml:space="preserve"> Den </w:t>
      </w:r>
      <w:r>
        <w:t xml:space="preserve">første nasjonale e-helsestrategien for Norge, som ble lansert i 2017, var ment å styrke digital samhandling mellom </w:t>
      </w:r>
      <w:r w:rsidRPr="000F1BBF">
        <w:t>kommunehelsetjenesten, spesialisthelsetjenesten og aktører utenfor helse</w:t>
      </w:r>
      <w:r>
        <w:t>-</w:t>
      </w:r>
      <w:r w:rsidRPr="000F1BBF">
        <w:t xml:space="preserve"> og omsorgstjenesten</w:t>
      </w:r>
      <w:r>
        <w:t xml:space="preserve"> </w:t>
      </w:r>
      <w:r>
        <w:fldChar w:fldCharType="begin"/>
      </w:r>
      <w:r w:rsidR="004654FD">
        <w:instrText xml:space="preserve"> ADDIN EN.CITE &lt;EndNote&gt;&lt;Cite ExcludeYear="1"&gt;&lt;Author&gt;Direktoratet for e-helse&lt;/Author&gt;&lt;RecNum&gt;509&lt;/RecNum&gt;&lt;DisplayText&gt;(Direktoratet for e-helse)&lt;/DisplayText&gt;&lt;record&gt;&lt;rec-number&gt;509&lt;/rec-number&gt;&lt;foreign-keys&gt;&lt;key app="EN" db-id="95tpr2tp6r9xwoea9rb5wdsz5ds5xeddteew" timestamp="1680069511"&gt;509&lt;/key&gt;&lt;/foreign-keys&gt;&lt;ref-type name="Web Page"&gt;12&lt;/ref-type&gt;&lt;contributors&gt;&lt;authors&gt;&lt;author&gt;Direktoratet for e-helse,&lt;/author&gt;&lt;/authors&gt;&lt;/contributors&gt;&lt;titles&gt;&lt;title&gt;Nasjonal e-helsestrategi for helse- og omsorgssektoren&lt;/title&gt;&lt;/titles&gt;&lt;number&gt;10.02.23&lt;/number&gt;&lt;dates&gt;&lt;/dates&gt;&lt;pub-location&gt;Oslo&lt;/pub-location&gt;&lt;publisher&gt;ehelse.no&lt;/publisher&gt;&lt;work-type&gt;nettdokument&lt;/work-type&gt;&lt;urls&gt;&lt;/urls&gt;&lt;/record&gt;&lt;/Cite&gt;&lt;/EndNote&gt;</w:instrText>
      </w:r>
      <w:r>
        <w:fldChar w:fldCharType="separate"/>
      </w:r>
      <w:r>
        <w:rPr>
          <w:noProof/>
        </w:rPr>
        <w:t>(Direktoratet for e-helse)</w:t>
      </w:r>
      <w:r>
        <w:fldChar w:fldCharType="end"/>
      </w:r>
      <w:r>
        <w:t>.</w:t>
      </w:r>
    </w:p>
    <w:p w14:paraId="3C137C8C" w14:textId="06599E53" w:rsidR="00916EE1" w:rsidRDefault="00916EE1" w:rsidP="00916EE1">
      <w:pPr>
        <w:jc w:val="both"/>
      </w:pPr>
      <w:r>
        <w:t xml:space="preserve">Gjennom nasjonale satsinger er </w:t>
      </w:r>
      <w:r w:rsidRPr="237824B0">
        <w:t xml:space="preserve">Helsenorge.no etablert som offentlig </w:t>
      </w:r>
      <w:r>
        <w:t>innbygger</w:t>
      </w:r>
      <w:r w:rsidRPr="237824B0">
        <w:t xml:space="preserve">portal </w:t>
      </w:r>
      <w:r>
        <w:t xml:space="preserve">for </w:t>
      </w:r>
      <w:r w:rsidRPr="237824B0">
        <w:t>informasjon o</w:t>
      </w:r>
      <w:r>
        <w:t xml:space="preserve">g samhandling mellom helsetjenesten og </w:t>
      </w:r>
      <w:r w:rsidRPr="00285D9D">
        <w:t>innbyggerne</w:t>
      </w:r>
      <w:r>
        <w:t xml:space="preserve">, og </w:t>
      </w:r>
      <w:r w:rsidRPr="00285D9D">
        <w:t>EPJ-løftet har understøtte</w:t>
      </w:r>
      <w:r>
        <w:t>t</w:t>
      </w:r>
      <w:r w:rsidRPr="00285D9D">
        <w:t xml:space="preserve"> bruk</w:t>
      </w:r>
      <w:r>
        <w:t xml:space="preserve"> </w:t>
      </w:r>
      <w:r w:rsidRPr="00FE2FF2">
        <w:t xml:space="preserve">av nasjonale e-helseløsninger, utprøving av nye teknologier, </w:t>
      </w:r>
      <w:r>
        <w:t xml:space="preserve">og </w:t>
      </w:r>
      <w:r w:rsidRPr="00FE2FF2">
        <w:t>etablering av nye digitale tjenester mellom innbygger og helsepersonell</w:t>
      </w:r>
      <w:r w:rsidR="00FA7E22">
        <w:t xml:space="preserve"> </w:t>
      </w:r>
      <w:r w:rsidR="00022138">
        <w:fldChar w:fldCharType="begin"/>
      </w:r>
      <w:r w:rsidR="004654FD">
        <w:instrText xml:space="preserve"> ADDIN EN.CITE &lt;EndNote&gt;&lt;Cite ExcludeYear="1"&gt;&lt;Author&gt;Direktoratet for e-helse&lt;/Author&gt;&lt;RecNum&gt;203&lt;/RecNum&gt;&lt;DisplayText&gt;(Direktoratet for e-helse; Norsk helsenett)&lt;/DisplayText&gt;&lt;record&gt;&lt;rec-number&gt;203&lt;/rec-number&gt;&lt;foreign-keys&gt;&lt;key app="EN" db-id="95tpr2tp6r9xwoea9rb5wdsz5ds5xeddteew" timestamp="1680069511"&gt;203&lt;/key&gt;&lt;/foreign-keys&gt;&lt;ref-type name="Web Page"&gt;12&lt;/ref-type&gt;&lt;contributors&gt;&lt;authors&gt;&lt;author&gt;Direktoratet for e-helse,&lt;/author&gt;&lt;/authors&gt;&lt;/contributors&gt;&lt;titles&gt;&lt;title&gt;EPJ-løftet - program for EPJ-utvikling&lt;/title&gt;&lt;/titles&gt;&lt;number&gt;03.02.2023&lt;/number&gt;&lt;dates&gt;&lt;pub-dates&gt;&lt;date&gt;03.02.2022&lt;/date&gt;&lt;/pub-dates&gt;&lt;/dates&gt;&lt;pub-location&gt;Oslo&lt;/pub-location&gt;&lt;publisher&gt;Direktoratet for e-helse&lt;/publisher&gt;&lt;work-type&gt;nettdokument&lt;/work-type&gt;&lt;urls&gt;&lt;/urls&gt;&lt;/record&gt;&lt;/Cite&gt;&lt;Cite ExcludeYear="1"&gt;&lt;Author&gt;Norsk helsenett&lt;/Author&gt;&lt;RecNum&gt;1025&lt;/RecNum&gt;&lt;record&gt;&lt;rec-number&gt;1025&lt;/rec-number&gt;&lt;foreign-keys&gt;&lt;key app="EN" db-id="95tpr2tp6r9xwoea9rb5wdsz5ds5xeddteew" timestamp="1681145215"&gt;1025&lt;/key&gt;&lt;/foreign-keys&gt;&lt;ref-type name="Web Page"&gt;12&lt;/ref-type&gt;&lt;contributors&gt;&lt;authors&gt;&lt;author&gt;Norsk helsenett,&lt;/author&gt;&lt;/authors&gt;&lt;/contributors&gt;&lt;titles&gt;&lt;title&gt;Hva er digital dialog for fastleger? &lt;/title&gt;&lt;/titles&gt;&lt;number&gt;26.03.2023&lt;/number&gt;&lt;dates&gt;&lt;/dates&gt;&lt;urls&gt;&lt;related-urls&gt;&lt;url&gt;https://www.nhn.no/tjenester/helsenorge/digital-dialog-med-fastlegen/hva-er-digital-dialog-for-fastleger&lt;/url&gt;&lt;/related-urls&gt;&lt;/urls&gt;&lt;/record&gt;&lt;/Cite&gt;&lt;/EndNote&gt;</w:instrText>
      </w:r>
      <w:r w:rsidR="00022138">
        <w:fldChar w:fldCharType="separate"/>
      </w:r>
      <w:r w:rsidR="004654FD">
        <w:rPr>
          <w:noProof/>
        </w:rPr>
        <w:t>(Direktoratet for e-helse; Norsk helsenett)</w:t>
      </w:r>
      <w:r w:rsidR="00022138">
        <w:fldChar w:fldCharType="end"/>
      </w:r>
      <w:r w:rsidRPr="00FE2FF2">
        <w:t>.</w:t>
      </w:r>
      <w:r>
        <w:t xml:space="preserve"> Det er utviklet tjenester som timebestilling, fornyelse av resept, e-konsultasjon og mulighet for annen kontakt. Disse tjenestene er tilgjengeliggjort for innbyggerne og integrert </w:t>
      </w:r>
      <w:r w:rsidRPr="005A58C6">
        <w:t>i fastlegenes journalsystemer.</w:t>
      </w:r>
      <w:r>
        <w:t xml:space="preserve"> Funksjonalitet for e</w:t>
      </w:r>
      <w:r w:rsidRPr="4C4E4CC9">
        <w:t>lektronisk</w:t>
      </w:r>
      <w:r>
        <w:t xml:space="preserve"> </w:t>
      </w:r>
      <w:r w:rsidRPr="237824B0">
        <w:t>meldings</w:t>
      </w:r>
      <w:r>
        <w:t xml:space="preserve">utveksling med vedlegg med </w:t>
      </w:r>
      <w:r w:rsidRPr="237824B0">
        <w:t>andre helseaktører</w:t>
      </w:r>
      <w:r>
        <w:t>, meldings</w:t>
      </w:r>
      <w:r w:rsidRPr="237824B0">
        <w:t>overvåkning</w:t>
      </w:r>
      <w:r>
        <w:t xml:space="preserve"> og </w:t>
      </w:r>
      <w:r w:rsidRPr="237824B0">
        <w:t xml:space="preserve">verktøy for legemiddelsamstemming </w:t>
      </w:r>
      <w:r>
        <w:t>er eksempler på nye tjenester som er realisert.</w:t>
      </w:r>
    </w:p>
    <w:p w14:paraId="529DD05D" w14:textId="061D605F" w:rsidR="00916EE1" w:rsidRDefault="00916EE1" w:rsidP="00916EE1">
      <w:pPr>
        <w:jc w:val="both"/>
      </w:pPr>
      <w:r>
        <w:t>Samtidig har u</w:t>
      </w:r>
      <w:r w:rsidRPr="541D8435">
        <w:t xml:space="preserve">tviklingen av </w:t>
      </w:r>
      <w:r w:rsidRPr="2E615078">
        <w:t>pasientjournalsystem</w:t>
      </w:r>
      <w:r>
        <w:t>er</w:t>
      </w:r>
      <w:r w:rsidRPr="541D8435">
        <w:t xml:space="preserve"> gått ulike veier</w:t>
      </w:r>
      <w:r>
        <w:t xml:space="preserve"> i og på tvers av s</w:t>
      </w:r>
      <w:r w:rsidRPr="3A708A0C">
        <w:t xml:space="preserve">pesialisthelsetjenesten og </w:t>
      </w:r>
      <w:r w:rsidRPr="13EE5B27">
        <w:t>primærhel</w:t>
      </w:r>
      <w:r>
        <w:t>se</w:t>
      </w:r>
      <w:r w:rsidRPr="13EE5B27">
        <w:t>tjenesten</w:t>
      </w:r>
      <w:r>
        <w:t xml:space="preserve">. </w:t>
      </w:r>
      <w:r w:rsidRPr="632792B2">
        <w:t>Helseplattformen</w:t>
      </w:r>
      <w:r w:rsidR="00A70FC0">
        <w:t>,</w:t>
      </w:r>
      <w:r w:rsidRPr="632792B2">
        <w:t xml:space="preserve"> </w:t>
      </w:r>
      <w:r>
        <w:t xml:space="preserve">som </w:t>
      </w:r>
      <w:r w:rsidRPr="632792B2">
        <w:t>er under innføring i Midt-Norge</w:t>
      </w:r>
      <w:r>
        <w:t>,</w:t>
      </w:r>
      <w:r w:rsidRPr="632792B2">
        <w:t xml:space="preserve"> forsøker </w:t>
      </w:r>
      <w:r w:rsidRPr="10AA0943">
        <w:t xml:space="preserve">å </w:t>
      </w:r>
      <w:r w:rsidR="00D9107F">
        <w:t>«</w:t>
      </w:r>
      <w:r w:rsidRPr="632792B2">
        <w:t>bygge bro</w:t>
      </w:r>
      <w:r w:rsidR="00D9107F">
        <w:t>»</w:t>
      </w:r>
      <w:r w:rsidRPr="632792B2">
        <w:t xml:space="preserve"> over noen av de tradisjonelle hindringene for </w:t>
      </w:r>
      <w:r>
        <w:t>samhandling, blant annet ved at</w:t>
      </w:r>
      <w:r w:rsidRPr="632792B2">
        <w:t xml:space="preserve"> kommunene og sykehus</w:t>
      </w:r>
      <w:r w:rsidR="00A70FC0">
        <w:t>ene</w:t>
      </w:r>
      <w:r w:rsidRPr="632792B2">
        <w:t xml:space="preserve"> </w:t>
      </w:r>
      <w:r>
        <w:t xml:space="preserve">skal ha </w:t>
      </w:r>
      <w:r w:rsidRPr="632792B2">
        <w:t xml:space="preserve">samme datasystem. </w:t>
      </w:r>
      <w:r>
        <w:t xml:space="preserve">At slike </w:t>
      </w:r>
      <w:r>
        <w:lastRenderedPageBreak/>
        <w:t>samhandlingstiltak har høy kompleksitet, er noe e</w:t>
      </w:r>
      <w:r w:rsidRPr="632792B2">
        <w:t xml:space="preserve">rfaringene fra prosjektet </w:t>
      </w:r>
      <w:r>
        <w:t>så langt understreker.</w:t>
      </w:r>
    </w:p>
    <w:p w14:paraId="6295A329" w14:textId="77777777" w:rsidR="00D9107F" w:rsidRDefault="00916EE1" w:rsidP="00916EE1">
      <w:pPr>
        <w:jc w:val="both"/>
      </w:pPr>
      <w:r>
        <w:t>R</w:t>
      </w:r>
      <w:r w:rsidRPr="00EF5E3D">
        <w:t>egle</w:t>
      </w:r>
      <w:r>
        <w:t>ne</w:t>
      </w:r>
      <w:r w:rsidRPr="00EF5E3D">
        <w:t xml:space="preserve"> for beskyttelse av sensitive personopplysninger som helseopplysninger</w:t>
      </w:r>
      <w:r>
        <w:t xml:space="preserve"> og</w:t>
      </w:r>
      <w:r w:rsidRPr="00116978">
        <w:t xml:space="preserve"> </w:t>
      </w:r>
      <w:r>
        <w:t xml:space="preserve">GDPR (General Data Protection Regulation), stiller </w:t>
      </w:r>
      <w:r w:rsidRPr="00EF5E3D">
        <w:t>strenge krav til håndtering</w:t>
      </w:r>
      <w:r>
        <w:t xml:space="preserve">, </w:t>
      </w:r>
      <w:r w:rsidRPr="00EF5E3D">
        <w:t>behandling og utveksling av personopplysninger</w:t>
      </w:r>
      <w:r>
        <w:t>, og begrenser flyten av data mellom virksomheter og plattformer for utveksling av informasjon</w:t>
      </w:r>
      <w:r w:rsidR="00134437">
        <w:t xml:space="preserve"> </w:t>
      </w:r>
      <w:r w:rsidR="00022138">
        <w:fldChar w:fldCharType="begin"/>
      </w:r>
      <w:r w:rsidR="00022138">
        <w:instrText xml:space="preserve"> ADDIN EN.CITE &lt;EndNote&gt;&lt;Cite&gt;&lt;Author&gt;Datatilsynet&lt;/Author&gt;&lt;Year&gt;2018&lt;/Year&gt;&lt;RecNum&gt;579&lt;/RecNum&gt;&lt;DisplayText&gt;(Datatilsynet, 2018)&lt;/DisplayText&gt;&lt;record&gt;&lt;rec-number&gt;579&lt;/rec-number&gt;&lt;foreign-keys&gt;&lt;key app="EN" db-id="95tpr2tp6r9xwoea9rb5wdsz5ds5xeddteew" timestamp="1680069511"&gt;579&lt;/key&gt;&lt;/foreign-keys&gt;&lt;ref-type name="Web Page"&gt;12&lt;/ref-type&gt;&lt;contributors&gt;&lt;authors&gt;&lt;author&gt;Datatilsynet&lt;/author&gt;&lt;/authors&gt;&lt;/contributors&gt;&lt;titles&gt;&lt;title&gt;Om personopplysningsloven med forordning og når den gjelder&lt;/title&gt;&lt;/titles&gt;&lt;number&gt;10.02.23&lt;/number&gt;&lt;dates&gt;&lt;year&gt;2018&lt;/year&gt;&lt;pub-dates&gt;&lt;date&gt;Sist endret: 12.10.2021&lt;/date&gt;&lt;/pub-dates&gt;&lt;/dates&gt;&lt;publisher&gt;Datatilsynet&lt;/publisher&gt;&lt;work-type&gt;nettdokument&lt;/work-type&gt;&lt;urls&gt;&lt;related-urls&gt;&lt;url&gt;https://www.datatilsynet.no/regelverk-og-verktoy/lover-og-regler/om-personopplysningsloven-og-nar-den-gjelder/&lt;/url&gt;&lt;/related-urls&gt;&lt;/urls&gt;&lt;/record&gt;&lt;/Cite&gt;&lt;/EndNote&gt;</w:instrText>
      </w:r>
      <w:r w:rsidR="00022138">
        <w:fldChar w:fldCharType="separate"/>
      </w:r>
      <w:r w:rsidR="00022138">
        <w:rPr>
          <w:noProof/>
        </w:rPr>
        <w:t>(Datatilsynet, 2018)</w:t>
      </w:r>
      <w:r w:rsidR="00022138">
        <w:fldChar w:fldCharType="end"/>
      </w:r>
      <w:r>
        <w:t>.</w:t>
      </w:r>
      <w:r w:rsidRPr="00EF5E3D">
        <w:t xml:space="preserve"> </w:t>
      </w:r>
      <w:r>
        <w:t xml:space="preserve">Det er utarbeidet veiledere som både er rettet mot offentlig sektor generelt </w:t>
      </w:r>
      <w:r>
        <w:fldChar w:fldCharType="begin"/>
      </w:r>
      <w:r w:rsidR="000F5FDA">
        <w:instrText xml:space="preserve"> ADDIN EN.CITE &lt;EndNote&gt;&lt;Cite&gt;&lt;Author&gt;DFØ&lt;/Author&gt;&lt;Year&gt;[s.a.]&lt;/Year&gt;&lt;RecNum&gt;864&lt;/RecNum&gt;&lt;DisplayText&gt;(DFØ, [s.a.])&lt;/DisplayText&gt;&lt;record&gt;&lt;rec-number&gt;864&lt;/rec-number&gt;&lt;foreign-keys&gt;&lt;key app="EN" db-id="95tpr2tp6r9xwoea9rb5wdsz5ds5xeddteew" timestamp="1680069511"&gt;864&lt;/key&gt;&lt;/foreign-keys&gt;&lt;ref-type name="Web Page"&gt;12&lt;/ref-type&gt;&lt;contributors&gt;&lt;authors&gt;&lt;author&gt;DFØ&lt;/author&gt;&lt;/authors&gt;&lt;/contributors&gt;&lt;titles&gt;&lt;title&gt;Veiledning for offentlig sektors bruk av skytjenester etter Schrems II&lt;/title&gt;&lt;/titles&gt;&lt;number&gt;10.02.23&lt;/number&gt;&lt;dates&gt;&lt;year&gt;[s.a.]&lt;/year&gt;&lt;/dates&gt;&lt;publisher&gt;DFØ&lt;/publisher&gt;&lt;urls&gt;&lt;related-urls&gt;&lt;url&gt;https://markedsplassen.anskaffelser.no/veiledning/veiledning-etter-schrems-ii&lt;/url&gt;&lt;/related-urls&gt;&lt;/urls&gt;&lt;/record&gt;&lt;/Cite&gt;&lt;/EndNote&gt;</w:instrText>
      </w:r>
      <w:r>
        <w:fldChar w:fldCharType="separate"/>
      </w:r>
      <w:r w:rsidR="000F5FDA">
        <w:rPr>
          <w:noProof/>
        </w:rPr>
        <w:t>(DFØ, [s.a.])</w:t>
      </w:r>
      <w:r>
        <w:fldChar w:fldCharType="end"/>
      </w:r>
      <w:r>
        <w:t xml:space="preserve"> og mot behandling av helseopplysninger </w:t>
      </w:r>
      <w:r w:rsidR="00022138">
        <w:fldChar w:fldCharType="begin"/>
      </w:r>
      <w:r w:rsidR="00694E6D">
        <w:instrText xml:space="preserve"> ADDIN EN.CITE &lt;EndNote&gt;&lt;Cite&gt;&lt;Author&gt;Normen&lt;/Author&gt;&lt;Year&gt;2021&lt;/Year&gt;&lt;RecNum&gt;1026&lt;/RecNum&gt;&lt;DisplayText&gt;(Normen, 2021)&lt;/DisplayText&gt;&lt;record&gt;&lt;rec-number&gt;1026&lt;/rec-number&gt;&lt;foreign-keys&gt;&lt;key app="EN" db-id="95tpr2tp6r9xwoea9rb5wdsz5ds5xeddteew" timestamp="1681145587"&gt;1026&lt;/key&gt;&lt;/foreign-keys&gt;&lt;ref-type name="Report"&gt;27&lt;/ref-type&gt;&lt;contributors&gt;&lt;authors&gt;&lt;author&gt;Normen&lt;/author&gt;&lt;/authors&gt;&lt;tertiary-authors&gt;&lt;author&gt;Direktoratet for e-helse&lt;/author&gt;&lt;/tertiary-authors&gt;&lt;/contributors&gt;&lt;titles&gt;&lt;title&gt;Veileder i bruk av skytjenester til behandling av helse- og personopplysninger &lt;/title&gt;&lt;/titles&gt;&lt;volume&gt;2&lt;/volume&gt;&lt;dates&gt;&lt;year&gt;2021&lt;/year&gt;&lt;/dates&gt;&lt;publisher&gt;Normen&lt;/publisher&gt;&lt;urls&gt;&lt;/urls&gt;&lt;/record&gt;&lt;/Cite&gt;&lt;/EndNote&gt;</w:instrText>
      </w:r>
      <w:r w:rsidR="00022138">
        <w:fldChar w:fldCharType="separate"/>
      </w:r>
      <w:r w:rsidR="00022138">
        <w:rPr>
          <w:noProof/>
        </w:rPr>
        <w:t>(Normen, 2021)</w:t>
      </w:r>
      <w:r w:rsidR="00022138">
        <w:fldChar w:fldCharType="end"/>
      </w:r>
      <w:r>
        <w:t xml:space="preserve">. Bransjenormen </w:t>
      </w:r>
      <w:r w:rsidRPr="004B2E83">
        <w:t>for informasjonssikkerhet og personvern i helse- og omsorgssektoren</w:t>
      </w:r>
      <w:r w:rsidRPr="632792B2">
        <w:t xml:space="preserve"> </w:t>
      </w:r>
      <w:r>
        <w:t>skal bidra til</w:t>
      </w:r>
      <w:r w:rsidRPr="632792B2">
        <w:t xml:space="preserve"> at relevante pasientopplysninger kan deles</w:t>
      </w:r>
      <w:r>
        <w:t xml:space="preserve"> og </w:t>
      </w:r>
      <w:r w:rsidRPr="632792B2">
        <w:t xml:space="preserve">gjøres tilgjengelig for forskning, </w:t>
      </w:r>
      <w:r>
        <w:t xml:space="preserve">samtidig som </w:t>
      </w:r>
      <w:r w:rsidRPr="632792B2">
        <w:t xml:space="preserve">informasjonssikkerheten </w:t>
      </w:r>
      <w:r>
        <w:t xml:space="preserve">skal være </w:t>
      </w:r>
      <w:r w:rsidRPr="632792B2">
        <w:t>god og</w:t>
      </w:r>
      <w:r>
        <w:t xml:space="preserve"> i tråd med p</w:t>
      </w:r>
      <w:r w:rsidRPr="632792B2">
        <w:t xml:space="preserve">ersonvernforordningen </w:t>
      </w:r>
      <w:r>
        <w:t xml:space="preserve">og øvrig </w:t>
      </w:r>
      <w:r w:rsidRPr="632792B2">
        <w:t>personopplysningsver</w:t>
      </w:r>
      <w:r>
        <w:t>n</w:t>
      </w:r>
      <w:r w:rsidRPr="498DE090">
        <w:t xml:space="preserve"> </w:t>
      </w:r>
      <w:r>
        <w:fldChar w:fldCharType="begin"/>
      </w:r>
      <w:r>
        <w:instrText xml:space="preserve"> ADDIN EN.CITE &lt;EndNote&gt;&lt;Cite ExcludeAuth="1"&gt;&lt;Year&gt;2018&lt;/Year&gt;&lt;RecNum&gt;462&lt;/RecNum&gt;&lt;DisplayText&gt;(&lt;style face="italic"&gt;Lov om behandling av personopplysninger (personopplysningsloven)&lt;/style&gt;, 2018)&lt;/DisplayText&gt;&lt;record&gt;&lt;rec-number&gt;462&lt;/rec-number&gt;&lt;foreign-keys&gt;&lt;key app="EN" db-id="95tpr2tp6r9xwoea9rb5wdsz5ds5xeddteew" timestamp="1680069511"&gt;462&lt;/key&gt;&lt;/foreign-keys&gt;&lt;ref-type name="Legal Rule or Regulation"&gt;50&lt;/ref-type&gt;&lt;contributors&gt;&lt;/contributors&gt;&lt;titles&gt;&lt;title&gt;Lov om behandling av personopplysninger (personopplysningsloven)&lt;/title&gt;&lt;secondary-title&gt;LOV-2018-06-15-38&lt;/secondary-title&gt;&lt;/titles&gt;&lt;edition&gt;LOV-2021-06-18-124 &lt;/edition&gt;&lt;dates&gt;&lt;year&gt;2018&lt;/year&gt;&lt;/dates&gt;&lt;urls&gt;&lt;related-urls&gt;&lt;url&gt;https://lovdata.no/dokument/NL/lov/2018-06-15-38/gdpr/ARTIKKEL_9#gdpr&amp;amp;#x2f;ARTIKKEL_9&lt;/url&gt;&lt;/related-urls&gt;&lt;/urls&gt;&lt;/record&gt;&lt;/Cite&gt;&lt;/EndNote&gt;</w:instrText>
      </w:r>
      <w:r>
        <w:fldChar w:fldCharType="separate"/>
      </w:r>
      <w:r>
        <w:rPr>
          <w:noProof/>
        </w:rPr>
        <w:t>(</w:t>
      </w:r>
      <w:r w:rsidRPr="00D9107F">
        <w:rPr>
          <w:rStyle w:val="kursiv"/>
        </w:rPr>
        <w:t>Lov om behandling av personopplysninger (personopplysningsloven)</w:t>
      </w:r>
      <w:r>
        <w:rPr>
          <w:noProof/>
        </w:rPr>
        <w:t>, 2018)</w:t>
      </w:r>
      <w:r>
        <w:fldChar w:fldCharType="end"/>
      </w:r>
      <w:r w:rsidRPr="632792B2">
        <w:t>.</w:t>
      </w:r>
    </w:p>
    <w:p w14:paraId="41FE8ECE" w14:textId="712DEAA0" w:rsidR="00D9107F" w:rsidRDefault="00916EE1" w:rsidP="00916EE1">
      <w:pPr>
        <w:jc w:val="both"/>
        <w:rPr>
          <w:rFonts w:cstheme="minorHAnsi"/>
        </w:rPr>
      </w:pPr>
      <w:r w:rsidRPr="004307D3">
        <w:t xml:space="preserve">Helse- og omsorgssektoren i Norge er kompleks og består av mange og selvstendige aktører, fra fastlege til regionale og lokale helseforetak, kommuner, statlige myndigheter, fag- og interesseorganisasjoner og bruker- og pasientorganisasjoner. </w:t>
      </w:r>
      <w:r w:rsidRPr="00163DB1">
        <w:rPr>
          <w:rFonts w:cstheme="minorHAnsi"/>
        </w:rPr>
        <w:t xml:space="preserve">Strategien </w:t>
      </w:r>
      <w:r w:rsidR="00D9107F">
        <w:rPr>
          <w:rFonts w:cstheme="minorHAnsi"/>
        </w:rPr>
        <w:t>‘</w:t>
      </w:r>
      <w:r w:rsidRPr="00163DB1">
        <w:rPr>
          <w:rFonts w:cstheme="minorHAnsi"/>
        </w:rPr>
        <w:t>En digital offentlig sektor</w:t>
      </w:r>
      <w:r w:rsidR="00D9107F">
        <w:rPr>
          <w:rFonts w:cstheme="minorHAnsi"/>
        </w:rPr>
        <w:t>’</w:t>
      </w:r>
      <w:r w:rsidR="00D9107F" w:rsidRPr="00D9107F">
        <w:rPr>
          <w:rStyle w:val="skrift-hevet"/>
        </w:rPr>
        <w:t>’</w:t>
      </w:r>
      <w:r w:rsidRPr="00163DB1">
        <w:rPr>
          <w:rFonts w:cstheme="minorHAnsi"/>
        </w:rPr>
        <w:t xml:space="preserve"> har som ett av sine mål å sikre at kommunal sektor får tilstrekkelig innflytelse også på de nasjonale digitaliseringsinitiativene, og at kommunale og statlige virksomheter bygger sine tjenester med utgangspunkt i et felles digitalt økosystem for samhandling, på tvers av forvaltningsnivåer og sektorer. Strategien understreker </w:t>
      </w:r>
      <w:r>
        <w:rPr>
          <w:rFonts w:cstheme="minorHAnsi"/>
        </w:rPr>
        <w:t>behovet for</w:t>
      </w:r>
      <w:r w:rsidRPr="00163DB1">
        <w:rPr>
          <w:rFonts w:cstheme="minorHAnsi"/>
        </w:rPr>
        <w:t xml:space="preserve"> datadeling og administrative møteplasser der kommune og stat jobber sammen.</w:t>
      </w:r>
    </w:p>
    <w:p w14:paraId="2685519F" w14:textId="77777777" w:rsidR="00D9107F" w:rsidRDefault="00916EE1" w:rsidP="00916EE1">
      <w:pPr>
        <w:jc w:val="both"/>
      </w:pPr>
      <w:r>
        <w:rPr>
          <w:rFonts w:cstheme="minorHAnsi"/>
        </w:rPr>
        <w:t>Også n</w:t>
      </w:r>
      <w:r w:rsidRPr="004307D3">
        <w:t>æringslivet er engasjert i arbeidet med å utvikle systemer og løsninger, og å tilby helse- og omsorgstjenester i Norge</w:t>
      </w:r>
      <w:r>
        <w:t xml:space="preserve">, og </w:t>
      </w:r>
      <w:r w:rsidRPr="004307D3">
        <w:t xml:space="preserve">forsknings- og innovasjonsmiljøer spiller viktige roller i e-helseutviklingen </w:t>
      </w:r>
      <w:r w:rsidR="00022138">
        <w:fldChar w:fldCharType="begin"/>
      </w:r>
      <w:r w:rsidR="00022138">
        <w:instrText xml:space="preserve"> ADDIN EN.CITE &lt;EndNote&gt;&lt;Cite&gt;&lt;Author&gt;Direktoratet for e-helse&lt;/Author&gt;&lt;Year&gt;[s.a.]&lt;/Year&gt;&lt;RecNum&gt;159&lt;/RecNum&gt;&lt;DisplayText&gt;(Direktoratet for e-helse, [s.a.]-a)&lt;/DisplayText&gt;&lt;record&gt;&lt;rec-number&gt;159&lt;/rec-number&gt;&lt;foreign-keys&gt;&lt;key app="EN" db-id="95tpr2tp6r9xwoea9rb5wdsz5ds5xeddteew" timestamp="1680069511"&gt;159&lt;/key&gt;&lt;/foreign-keys&gt;&lt;ref-type name="Web Page"&gt;12&lt;/ref-type&gt;&lt;contributors&gt;&lt;authors&gt;&lt;author&gt;Direktoratet for e-helse,&lt;/author&gt;&lt;/authors&gt;&lt;/contributors&gt;&lt;titles&gt;&lt;title&gt;Direktoratet for e-helse og HealthCatalyst inngår avtale for å styrke samarbeidet mellom helse- og omsorgssektoren og leverandørene&lt;/title&gt;&lt;/titles&gt;&lt;number&gt;10.02.23&lt;/number&gt;&lt;dates&gt;&lt;year&gt;[s.a.]&lt;/year&gt;&lt;/dates&gt;&lt;pub-location&gt;Oslo&lt;/pub-location&gt;&lt;publisher&gt;Norway Health Tech&lt;/publisher&gt;&lt;work-type&gt;nettdokument&lt;/work-type&gt;&lt;urls&gt;&lt;related-urls&gt;&lt;url&gt;https://www.norwayhealthtech.com/nb/news/direktoratet-for-e-helse-og-healthcatalyst-inngar-avtale-for-a-styrke-samarbeidet-mellom-helse-og-omsorgssektoren-og-leverandorene/&lt;/url&gt;&lt;/related-urls&gt;&lt;/urls&gt;&lt;/record&gt;&lt;/Cite&gt;&lt;/EndNote&gt;</w:instrText>
      </w:r>
      <w:r w:rsidR="00022138">
        <w:fldChar w:fldCharType="separate"/>
      </w:r>
      <w:r w:rsidR="00022138">
        <w:rPr>
          <w:noProof/>
        </w:rPr>
        <w:t>(Direktoratet for e-helse, [s.a.]-a)</w:t>
      </w:r>
      <w:r w:rsidR="00022138">
        <w:fldChar w:fldCharType="end"/>
      </w:r>
      <w:r w:rsidRPr="004307D3">
        <w:t>.</w:t>
      </w:r>
    </w:p>
    <w:p w14:paraId="7EC76F5A" w14:textId="77777777" w:rsidR="00D9107F" w:rsidRDefault="00916EE1" w:rsidP="008F5AD8">
      <w:r>
        <w:t>I takt med digitaliseringen av samfunnet er innbyggernes forventninger til allmennlegetjenesten og tilgjengeligheten til tjenestene endret. Det observeres en fr</w:t>
      </w:r>
      <w:r w:rsidR="00606DC9">
        <w:t>a</w:t>
      </w:r>
      <w:r>
        <w:t>mvekst av private heldigitale legetjenester, som tilbyr digital legetime eller psykologtime på dagen</w:t>
      </w:r>
      <w:r w:rsidR="00606DC9">
        <w:t>,</w:t>
      </w:r>
      <w:r>
        <w:t xml:space="preserve"> via skjerm. Norge plasseres langt fr</w:t>
      </w:r>
      <w:r w:rsidR="00606DC9">
        <w:t>a</w:t>
      </w:r>
      <w:r>
        <w:t>m på digital kompetanse i befolkningen, samtidig</w:t>
      </w:r>
      <w:r w:rsidDel="00FD17C7">
        <w:t xml:space="preserve"> </w:t>
      </w:r>
      <w:r>
        <w:t>som vi har gått tilbake sammenliknet med tidligere år når det gjelder digitalisering og teknologi som skal drive fr</w:t>
      </w:r>
      <w:r w:rsidR="00606DC9">
        <w:t>a</w:t>
      </w:r>
      <w:r>
        <w:t xml:space="preserve">m de bærekraftige løsningene </w:t>
      </w:r>
      <w:r>
        <w:fldChar w:fldCharType="begin"/>
      </w:r>
      <w:r w:rsidR="000F5FDA">
        <w:instrText xml:space="preserve"> ADDIN EN.CITE &lt;EndNote&gt;&lt;Cite&gt;&lt;Author&gt;Abelia&lt;/Author&gt;&lt;Year&gt;[s.a.]&lt;/Year&gt;&lt;RecNum&gt;585&lt;/RecNum&gt;&lt;DisplayText&gt;(Abelia, [s.a.])&lt;/DisplayText&gt;&lt;record&gt;&lt;rec-number&gt;585&lt;/rec-number&gt;&lt;foreign-keys&gt;&lt;key app="EN" db-id="95tpr2tp6r9xwoea9rb5wdsz5ds5xeddteew" timestamp="1680069511"&gt;585&lt;/key&gt;&lt;/foreign-keys&gt;&lt;ref-type name="Web Page"&gt;12&lt;/ref-type&gt;&lt;contributors&gt;&lt;authors&gt;&lt;author&gt;Abelia&lt;/author&gt;&lt;/authors&gt;&lt;/contributors&gt;&lt;titles&gt;&lt;title&gt;Omstillingsbarometeret 2022&lt;/title&gt;&lt;/titles&gt;&lt;number&gt;10.02.23&lt;/number&gt;&lt;dates&gt;&lt;year&gt;[s.a.]&lt;/year&gt;&lt;/dates&gt;&lt;publisher&gt;Abelia&lt;/publisher&gt;&lt;work-type&gt;nettdokument&lt;/work-type&gt;&lt;urls&gt;&lt;related-urls&gt;&lt;url&gt;https://www.abelia.no/omstillingsbarometeret/2022/#part0&lt;/url&gt;&lt;/related-urls&gt;&lt;/urls&gt;&lt;/record&gt;&lt;/Cite&gt;&lt;/EndNote&gt;</w:instrText>
      </w:r>
      <w:r>
        <w:fldChar w:fldCharType="separate"/>
      </w:r>
      <w:r w:rsidR="000F5FDA">
        <w:rPr>
          <w:noProof/>
        </w:rPr>
        <w:t>(Abelia, [s.a.])</w:t>
      </w:r>
      <w:r>
        <w:fldChar w:fldCharType="end"/>
      </w:r>
      <w:r>
        <w:t>.</w:t>
      </w:r>
    </w:p>
    <w:p w14:paraId="71AF9BD5" w14:textId="6398FA4E" w:rsidR="00916EE1" w:rsidRDefault="00916EE1" w:rsidP="00775632">
      <w:pPr>
        <w:pStyle w:val="Overskrift3"/>
      </w:pPr>
      <w:bookmarkStart w:id="5777" w:name="_Toc130853685"/>
      <w:bookmarkStart w:id="5778" w:name="_Toc130932172"/>
      <w:bookmarkStart w:id="5779" w:name="_Toc130934463"/>
      <w:bookmarkStart w:id="5780" w:name="_Toc130983592"/>
      <w:bookmarkStart w:id="5781" w:name="_Toc130983941"/>
      <w:bookmarkStart w:id="5782" w:name="_Toc131062216"/>
      <w:bookmarkStart w:id="5783" w:name="_Toc131062470"/>
      <w:bookmarkStart w:id="5784" w:name="_Toc131062731"/>
      <w:bookmarkStart w:id="5785" w:name="_Toc131062984"/>
      <w:bookmarkStart w:id="5786" w:name="_Toc131063767"/>
      <w:bookmarkStart w:id="5787" w:name="_Toc131064177"/>
      <w:bookmarkStart w:id="5788" w:name="_Toc131238583"/>
      <w:bookmarkStart w:id="5789" w:name="_Toc131279674"/>
      <w:bookmarkStart w:id="5790" w:name="_Toc131287086"/>
      <w:bookmarkStart w:id="5791" w:name="_Toc131281496"/>
      <w:bookmarkStart w:id="5792" w:name="_Toc131318036"/>
      <w:bookmarkStart w:id="5793" w:name="_Toc132537103"/>
      <w:r>
        <w:t>Samhandlingsløsninger og nasjonale tiltak</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0EEDA38F" w14:textId="77777777" w:rsidR="00D9107F" w:rsidRDefault="00916EE1" w:rsidP="006577D6">
      <w:pPr>
        <w:jc w:val="both"/>
      </w:pPr>
      <w:r>
        <w:t>Fragmentert infrastruktur, ulike systemer og håndtering av sensitive personopplysninger er betydelige utfordringer ved etablering av samhandlingsløsninger i helsesektoren. Ulike digitale plattformer og strukturer hos fastlege, kommuner og sykehus, og også hos andre aktører som N</w:t>
      </w:r>
      <w:r w:rsidR="0072117A">
        <w:t>AV</w:t>
      </w:r>
      <w:r>
        <w:t>, gjør samhandling krevende.</w:t>
      </w:r>
    </w:p>
    <w:p w14:paraId="51321E4A" w14:textId="77777777" w:rsidR="00D9107F" w:rsidRDefault="00916EE1" w:rsidP="00916EE1">
      <w:pPr>
        <w:jc w:val="both"/>
      </w:pPr>
      <w:r>
        <w:lastRenderedPageBreak/>
        <w:t>R</w:t>
      </w:r>
      <w:r w:rsidRPr="00587943">
        <w:t>ammeverk</w:t>
      </w:r>
      <w:r>
        <w:t xml:space="preserve"> for digital samhandling</w:t>
      </w:r>
      <w:r>
        <w:fldChar w:fldCharType="begin"/>
      </w:r>
      <w:r>
        <w:instrText xml:space="preserve"> ADDIN EN.CITE &lt;EndNote&gt;&lt;Cite&gt;&lt;Author&gt;Digitaliseringsdirektoratet&lt;/Author&gt;&lt;Year&gt;[s.a.]&lt;/Year&gt;&lt;RecNum&gt;684&lt;/RecNum&gt;&lt;DisplayText&gt;(Digitaliseringsdirektoratet, [s.a.])&lt;/DisplayText&gt;&lt;record&gt;&lt;rec-number&gt;684&lt;/rec-number&gt;&lt;foreign-keys&gt;&lt;key app="EN" db-id="95tpr2tp6r9xwoea9rb5wdsz5ds5xeddteew" timestamp="1680069511"&gt;684&lt;/key&gt;&lt;/foreign-keys&gt;&lt;ref-type name="Web Page"&gt;12&lt;/ref-type&gt;&lt;contributors&gt;&lt;authors&gt;&lt;author&gt;Digitaliseringsdirektoratet&lt;/author&gt;&lt;/authors&gt;&lt;/contributors&gt;&lt;titles&gt;&lt;title&gt;Rammeverk for digital samhandling&lt;/title&gt;&lt;/titles&gt;&lt;number&gt;10.02.23&lt;/number&gt;&lt;dates&gt;&lt;year&gt;[s.a.]&lt;/year&gt;&lt;/dates&gt;&lt;pub-location&gt;Oslo&lt;/pub-location&gt;&lt;publisher&gt;Digdir&lt;/publisher&gt;&lt;urls&gt;&lt;related-urls&gt;&lt;url&gt;https://www.digdir.no/digital-samhandling/rammeverk-digital-samhandling/2148&lt;/url&gt;&lt;/related-urls&gt;&lt;/urls&gt;&lt;/record&gt;&lt;/Cite&gt;&lt;/EndNote&gt;</w:instrText>
      </w:r>
      <w:r>
        <w:fldChar w:fldCharType="separate"/>
      </w:r>
      <w:r>
        <w:t>(Digitaliseringsdirektoratet, [s.a.])</w:t>
      </w:r>
      <w:r>
        <w:fldChar w:fldCharType="end"/>
      </w:r>
      <w:r>
        <w:t xml:space="preserve"> peker på </w:t>
      </w:r>
      <w:r w:rsidRPr="006C64AA">
        <w:t xml:space="preserve">fire </w:t>
      </w:r>
      <w:r>
        <w:t>hovedlinjer</w:t>
      </w:r>
      <w:r w:rsidR="00606DC9">
        <w:t>,</w:t>
      </w:r>
      <w:r>
        <w:t xml:space="preserve"> som er viktige for å bygge digitale tjenester med samhandlingsevne. Organisatorisk samhandlingsevne handler om virksomhetenes evne til å tilpasse tjenestekjeder, forretningsprosesser, ansvar og forventninger for å oppnå felles mål. Videre må juridiske rammer være på plass for datadeling og personvern. Semantisk samhandling handler om dataspråk, ulike systemers evne til å kommunisere og format for informasjonsutveksling, mens den tekniske samhandlingsevnen skal bidra med tekniske standarder for informasjonsutveksling.</w:t>
      </w:r>
    </w:p>
    <w:p w14:paraId="26670170" w14:textId="77777777" w:rsidR="00D9107F" w:rsidRDefault="00916EE1" w:rsidP="006577D6">
      <w:pPr>
        <w:jc w:val="both"/>
      </w:pPr>
      <w:r>
        <w:t>Den</w:t>
      </w:r>
      <w:r w:rsidRPr="0053619D">
        <w:t xml:space="preserve"> </w:t>
      </w:r>
      <w:r>
        <w:t>nasjonale e-helseporteføljen</w:t>
      </w:r>
      <w:r w:rsidRPr="498DE090">
        <w:t xml:space="preserve"> </w:t>
      </w:r>
      <w:r>
        <w:fldChar w:fldCharType="begin"/>
      </w:r>
      <w:r w:rsidR="004654FD">
        <w:instrText xml:space="preserve"> ADDIN EN.CITE &lt;EndNote&gt;&lt;Cite&gt;&lt;Author&gt;Direktoratet for e-helse&lt;/Author&gt;&lt;Year&gt;[s.a.]&lt;/Year&gt;&lt;RecNum&gt;508&lt;/RecNum&gt;&lt;DisplayText&gt;(Direktoratet for e-helse, [s.a.]-b)&lt;/DisplayText&gt;&lt;record&gt;&lt;rec-number&gt;508&lt;/rec-number&gt;&lt;foreign-keys&gt;&lt;key app="EN" db-id="95tpr2tp6r9xwoea9rb5wdsz5ds5xeddteew" timestamp="1680069511"&gt;508&lt;/key&gt;&lt;/foreign-keys&gt;&lt;ref-type name="Web Page"&gt;12&lt;/ref-type&gt;&lt;contributors&gt;&lt;authors&gt;&lt;author&gt;Direktoratet for e-helse, &lt;/author&gt;&lt;/authors&gt;&lt;/contributors&gt;&lt;titles&gt;&lt;title&gt;Nasjonal e-helseportefølje&lt;/title&gt;&lt;/titles&gt;&lt;number&gt;10.02.23&lt;/number&gt;&lt;dates&gt;&lt;year&gt;[s.a.]&lt;/year&gt;&lt;/dates&gt;&lt;pub-location&gt;Oslo&lt;/pub-location&gt;&lt;publisher&gt;ehelse.no&lt;/publisher&gt;&lt;work-type&gt;nettdokument&lt;/work-type&gt;&lt;urls&gt;&lt;/urls&gt;&lt;/record&gt;&lt;/Cite&gt;&lt;/EndNote&gt;</w:instrText>
      </w:r>
      <w:r>
        <w:fldChar w:fldCharType="separate"/>
      </w:r>
      <w:r w:rsidR="00022138">
        <w:rPr>
          <w:noProof/>
        </w:rPr>
        <w:t>(Direktoratet for e-helse, [s.a.]-b)</w:t>
      </w:r>
      <w:r>
        <w:fldChar w:fldCharType="end"/>
      </w:r>
      <w:r>
        <w:t xml:space="preserve"> for helse -og omsorgssektoren, omfatter tiltak som understøtter samordning på tvers av aktører og som er rettet mot kjernevirksomheten i helse- og omsorgstjenesten.</w:t>
      </w:r>
    </w:p>
    <w:p w14:paraId="4818830F" w14:textId="0EF03F66" w:rsidR="00D9107F" w:rsidRDefault="00D9107F" w:rsidP="006577D6">
      <w:pPr>
        <w:jc w:val="both"/>
      </w:pPr>
      <w:r>
        <w:t>«</w:t>
      </w:r>
      <w:r w:rsidR="00916EE1">
        <w:t>Program digital samhandling</w:t>
      </w:r>
      <w:r>
        <w:t>»</w:t>
      </w:r>
      <w:r w:rsidR="00916EE1">
        <w:t xml:space="preserve"> har som mål at helsepersonell skal ha enkel og sikker tilgang til pasient- og brukeropplysninger, at innbyggere skal ha tilgang på enkle og sikre digitale tjenester, og at data skal være tilgjengelig for kvalitetsforbedring, helseovervåking, styring og forskning. </w:t>
      </w:r>
      <w:r w:rsidR="00916EE1" w:rsidRPr="006577D6">
        <w:t xml:space="preserve">Det er viktig å finne gode løsninger for ansvarsdeling mellom kommuner og helseforetak. </w:t>
      </w:r>
      <w:r w:rsidR="00916EE1">
        <w:t xml:space="preserve">Helsefellesskapene er opprettet for å bedre samhandlingen mellom helseforetak, kommunene og fastleger, og skal bidra til felles planlegging og utvikling av helsetjenestene </w:t>
      </w:r>
      <w:r w:rsidR="00916EE1">
        <w:fldChar w:fldCharType="begin"/>
      </w:r>
      <w:r w:rsidR="001F5F05">
        <w:instrText xml:space="preserve"> ADDIN EN.CITE &lt;EndNote&gt;&lt;Cite&gt;&lt;Author&gt;Helsedirektoratet&lt;/Author&gt;&lt;Year&gt;[s.a.]&lt;/Year&gt;&lt;RecNum&gt;323&lt;/RecNum&gt;&lt;DisplayText&gt;(Helsedirektoratet, [s.a.]-a)&lt;/DisplayText&gt;&lt;record&gt;&lt;rec-number&gt;323&lt;/rec-number&gt;&lt;foreign-keys&gt;&lt;key app="EN" db-id="95tpr2tp6r9xwoea9rb5wdsz5ds5xeddteew" timestamp="1680069511"&gt;323&lt;/key&gt;&lt;/foreign-keys&gt;&lt;ref-type name="Web Page"&gt;12&lt;/ref-type&gt;&lt;contributors&gt;&lt;authors&gt;&lt;author&gt;Helsedirektoratet&lt;/author&gt;&lt;/authors&gt;&lt;/contributors&gt;&lt;titles&gt;&lt;title&gt;Helsefellesskap&lt;/title&gt;&lt;/titles&gt;&lt;number&gt;10.02.23&lt;/number&gt;&lt;dates&gt;&lt;year&gt;[s.a.]&lt;/year&gt;&lt;/dates&gt;&lt;pub-location&gt;Oslo&lt;/pub-location&gt;&lt;publisher&gt;Helsedirektoratet&lt;/publisher&gt;&lt;work-type&gt;nettside&lt;/work-type&gt;&lt;urls&gt;&lt;related-urls&gt;&lt;url&gt;https://www.helsedirektoratet.no/tema/helsefellesskap&lt;/url&gt;&lt;/related-urls&gt;&lt;/urls&gt;&lt;/record&gt;&lt;/Cite&gt;&lt;/EndNote&gt;</w:instrText>
      </w:r>
      <w:r w:rsidR="00916EE1">
        <w:fldChar w:fldCharType="separate"/>
      </w:r>
      <w:r w:rsidR="001F5F05">
        <w:t>(Helsedirektoratet, [s.a.]-a)</w:t>
      </w:r>
      <w:r w:rsidR="00916EE1">
        <w:fldChar w:fldCharType="end"/>
      </w:r>
      <w:r w:rsidR="006577D6">
        <w:t>.</w:t>
      </w:r>
    </w:p>
    <w:p w14:paraId="1579408E" w14:textId="58AEE1C7" w:rsidR="00916EE1" w:rsidRDefault="00916EE1" w:rsidP="006577D6">
      <w:pPr>
        <w:jc w:val="both"/>
      </w:pPr>
      <w:r>
        <w:t xml:space="preserve">Pasientens legemiddelliste skal, ved å tilgjengeliggjøre legemiddelopplysninger i en felles nasjonal oversikt (reseptformidleren), legge til rette for at det kan deles oppdaterte legemiddelopplysninger på tvers av ulike virksomheter. For fastlegen vil dette bidra til bedre oversikt over legemiddelbruk hos pasienten og for pasienten større trygghet i kontakt med ulike helseaktører </w:t>
      </w:r>
      <w:r>
        <w:fldChar w:fldCharType="begin"/>
      </w:r>
      <w:r w:rsidR="00A27571">
        <w:instrText xml:space="preserve"> ADDIN EN.CITE &lt;EndNote&gt;&lt;Cite&gt;&lt;Author&gt;Direktoratet for e-helse&lt;/Author&gt;&lt;Year&gt;2022&lt;/Year&gt;&lt;RecNum&gt;850&lt;/RecNum&gt;&lt;DisplayText&gt;(Direktoratet for e-helse, 2022b)&lt;/DisplayText&gt;&lt;record&gt;&lt;rec-number&gt;850&lt;/rec-number&gt;&lt;foreign-keys&gt;&lt;key app="EN" db-id="95tpr2tp6r9xwoea9rb5wdsz5ds5xeddteew" timestamp="1680069511"&gt;850&lt;/key&gt;&lt;/foreign-keys&gt;&lt;ref-type name="Web Page"&gt;12&lt;/ref-type&gt;&lt;contributors&gt;&lt;authors&gt;&lt;author&gt;Direktoratet for e-helse,&lt;/author&gt;&lt;/authors&gt;&lt;/contributors&gt;&lt;titles&gt;&lt;title&gt;Utprøving av pasientens legemiddelliste&lt;/title&gt;&lt;secondary-title&gt;22.03.2023&lt;/secondary-title&gt;&lt;/titles&gt;&lt;number&gt;22.03.2023&lt;/number&gt;&lt;dates&gt;&lt;year&gt;2022&lt;/year&gt;&lt;pub-dates&gt;&lt;date&gt;25. januar 2022&lt;/date&gt;&lt;/pub-dates&gt;&lt;/dates&gt;&lt;pub-location&gt;Oslo&lt;/pub-location&gt;&lt;publisher&gt;Direktoratet for e-helse&lt;/publisher&gt;&lt;work-type&gt;nettdokument&lt;/work-type&gt;&lt;urls&gt;&lt;/urls&gt;&lt;/record&gt;&lt;/Cite&gt;&lt;/EndNote&gt;</w:instrText>
      </w:r>
      <w:r>
        <w:fldChar w:fldCharType="separate"/>
      </w:r>
      <w:r w:rsidR="000F5FDA">
        <w:rPr>
          <w:noProof/>
        </w:rPr>
        <w:t>(Direktoratet for e-helse, 2022b)</w:t>
      </w:r>
      <w:r>
        <w:fldChar w:fldCharType="end"/>
      </w:r>
      <w:r w:rsidR="006577D6">
        <w:t>.</w:t>
      </w:r>
    </w:p>
    <w:p w14:paraId="1C2650BE" w14:textId="77777777" w:rsidR="00D9107F" w:rsidRDefault="00916EE1" w:rsidP="006577D6">
      <w:pPr>
        <w:jc w:val="both"/>
      </w:pPr>
      <w:r>
        <w:t xml:space="preserve">Digitale egenbehandlingsplaner og behandlingsplaner skal muliggjøre at behandlere med ulike journalløsninger kan jobbe i samme behandlingsplan via pasientens kjernejournal. Målene er bedret sammenheng i pasientforløpet, </w:t>
      </w:r>
      <w:r w:rsidR="00606DC9">
        <w:t xml:space="preserve">at </w:t>
      </w:r>
      <w:r>
        <w:t>teamarbeid skal understøttes</w:t>
      </w:r>
      <w:r w:rsidR="00606DC9">
        <w:t>,</w:t>
      </w:r>
      <w:r>
        <w:t xml:space="preserve"> og </w:t>
      </w:r>
      <w:r w:rsidR="00606DC9">
        <w:t xml:space="preserve">at </w:t>
      </w:r>
      <w:r>
        <w:t>pasienten får bedre oversikt over</w:t>
      </w:r>
      <w:r w:rsidR="00606DC9">
        <w:t>,</w:t>
      </w:r>
      <w:r>
        <w:t xml:space="preserve"> og kan delta mer aktivt i</w:t>
      </w:r>
      <w:r w:rsidR="00606DC9">
        <w:t>,</w:t>
      </w:r>
      <w:r>
        <w:t xml:space="preserve"> egen behandling. For pasienter med sammensatte lidelser skal dette medføre større trygghet ved kontakt med ulike aktører i helsevesenet. Denne nye måten å jobbe på skal innføres og videreutvikles nasjonalt</w:t>
      </w:r>
      <w:r w:rsidR="00606DC9">
        <w:t>,</w:t>
      </w:r>
      <w:r>
        <w:t xml:space="preserve"> fra høsten 2023.</w:t>
      </w:r>
    </w:p>
    <w:p w14:paraId="68F63D86" w14:textId="6F68A246" w:rsidR="00916EE1" w:rsidRPr="00527ABF" w:rsidRDefault="00916EE1" w:rsidP="00775632">
      <w:pPr>
        <w:pStyle w:val="Overskrift3"/>
      </w:pPr>
      <w:bookmarkStart w:id="5794" w:name="_Toc129888226"/>
      <w:bookmarkStart w:id="5795" w:name="_Toc130853686"/>
      <w:bookmarkStart w:id="5796" w:name="_Toc130932173"/>
      <w:bookmarkStart w:id="5797" w:name="_Toc130934464"/>
      <w:bookmarkStart w:id="5798" w:name="_Toc130983593"/>
      <w:bookmarkStart w:id="5799" w:name="_Toc130983942"/>
      <w:bookmarkStart w:id="5800" w:name="_Toc131062217"/>
      <w:bookmarkStart w:id="5801" w:name="_Toc131062471"/>
      <w:bookmarkStart w:id="5802" w:name="_Toc131062732"/>
      <w:bookmarkStart w:id="5803" w:name="_Toc131062985"/>
      <w:bookmarkStart w:id="5804" w:name="_Toc131063768"/>
      <w:bookmarkStart w:id="5805" w:name="_Toc131064178"/>
      <w:bookmarkStart w:id="5806" w:name="_Toc131238584"/>
      <w:bookmarkStart w:id="5807" w:name="_Toc131279675"/>
      <w:bookmarkStart w:id="5808" w:name="_Toc131287087"/>
      <w:bookmarkStart w:id="5809" w:name="_Toc131281497"/>
      <w:bookmarkStart w:id="5810" w:name="_Toc131318037"/>
      <w:bookmarkStart w:id="5811" w:name="_Toc132537104"/>
      <w:r w:rsidRPr="00527ABF">
        <w:t>Velferdsteknologi</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14:paraId="18277649" w14:textId="77777777" w:rsidR="00D9107F" w:rsidRDefault="00916EE1" w:rsidP="008F5AD8">
      <w:r w:rsidRPr="000E7072">
        <w:t>Nasjonalt velferdsteknologiprogram</w:t>
      </w:r>
      <w:r>
        <w:t xml:space="preserve"> </w:t>
      </w:r>
      <w:r>
        <w:fldChar w:fldCharType="begin"/>
      </w:r>
      <w:r w:rsidR="00235862">
        <w:instrText xml:space="preserve"> ADDIN EN.CITE &lt;EndNote&gt;&lt;Cite&gt;&lt;Author&gt;Helsedirektoratet&lt;/Author&gt;&lt;Year&gt;2019&lt;/Year&gt;&lt;RecNum&gt;578&lt;/RecNum&gt;&lt;DisplayText&gt;(Helsedirektoratet, 2019c)&lt;/DisplayText&gt;&lt;record&gt;&lt;rec-number&gt;578&lt;/rec-number&gt;&lt;foreign-keys&gt;&lt;key app="EN" db-id="95tpr2tp6r9xwoea9rb5wdsz5ds5xeddteew" timestamp="1680069511"&gt;578&lt;/key&gt;&lt;/foreign-keys&gt;&lt;ref-type name="Web Page"&gt;12&lt;/ref-type&gt;&lt;contributors&gt;&lt;authors&gt;&lt;author&gt;Helsedirektoratet&lt;/author&gt;&lt;/authors&gt;&lt;/contributors&gt;&lt;titles&gt;&lt;title&gt;Om Nasjonalt velferdsteknologiprogram : Om programmet, prosjektene, programorganisering og historikk&lt;/title&gt;&lt;/titles&gt;&lt;number&gt;13.02.2023&lt;/number&gt;&lt;dates&gt;&lt;year&gt;2019&lt;/year&gt;&lt;pub-dates&gt;&lt;date&gt;26.04.2022&lt;/date&gt;&lt;/pub-dates&gt;&lt;/dates&gt;&lt;pub-location&gt;Oslo&lt;/pub-location&gt;&lt;publisher&gt;Helsedirektoratet&lt;/publisher&gt;&lt;work-type&gt;nettdokument&lt;/work-type&gt;&lt;urls&gt;&lt;/urls&gt;&lt;/record&gt;&lt;/Cite&gt;&lt;/EndNote&gt;</w:instrText>
      </w:r>
      <w:r>
        <w:fldChar w:fldCharType="separate"/>
      </w:r>
      <w:r>
        <w:rPr>
          <w:noProof/>
        </w:rPr>
        <w:t>(Helsedirektoratet, 2019c)</w:t>
      </w:r>
      <w:r>
        <w:fldChar w:fldCharType="end"/>
      </w:r>
      <w:r>
        <w:t xml:space="preserve"> har pågått siden 2014, understøtter </w:t>
      </w:r>
      <w:r w:rsidRPr="000E7072">
        <w:t xml:space="preserve">innføring av ny teknologi i helsetjenesten og </w:t>
      </w:r>
      <w:r>
        <w:t xml:space="preserve">skal bidra til </w:t>
      </w:r>
      <w:r w:rsidRPr="000E7072">
        <w:t>kompetanseløft for velferdsteknologi i norske kommuner.</w:t>
      </w:r>
      <w:r>
        <w:t xml:space="preserve"> De første årene ble det arbeidet med GPS-sporing for demente, elektronisk medisineringsstøtte, elektronisk dørlås for hjemmesykepleien og digitalt tilsyn. Ulike former for velferdsteknologi ble også prøvd ut for at barn og unge med funksjonshemming eller psykisk utviklingshemming kan leve så aktive liv som mulig, både </w:t>
      </w:r>
      <w:r>
        <w:lastRenderedPageBreak/>
        <w:t xml:space="preserve">sosialt, på skole og fritidsaktiviteter </w:t>
      </w:r>
      <w:r>
        <w:fldChar w:fldCharType="begin"/>
      </w:r>
      <w:r w:rsidR="00235862">
        <w:instrText xml:space="preserve"> ADDIN EN.CITE &lt;EndNote&gt;&lt;Cite&gt;&lt;Author&gt;Helsedirektoratet&lt;/Author&gt;&lt;Year&gt;2020&lt;/Year&gt;&lt;RecNum&gt;868&lt;/RecNum&gt;&lt;DisplayText&gt;(Helsedirektoratet, 2020e)&lt;/DisplayText&gt;&lt;record&gt;&lt;rec-number&gt;868&lt;/rec-number&gt;&lt;foreign-keys&gt;&lt;key app="EN" db-id="95tpr2tp6r9xwoea9rb5wdsz5ds5xeddteew" timestamp="1680069511"&gt;868&lt;/key&gt;&lt;/foreign-keys&gt;&lt;ref-type name="Web Page"&gt;12&lt;/ref-type&gt;&lt;contributors&gt;&lt;authors&gt;&lt;author&gt;Helsedirektoratet&lt;/author&gt;&lt;/authors&gt;&lt;/contributors&gt;&lt;titles&gt;&lt;title&gt;Velferdsteknologi til barn og unge med nedsatt funksjonsevne&lt;/title&gt;&lt;/titles&gt;&lt;number&gt;13.02.2023&lt;/number&gt;&lt;dates&gt;&lt;year&gt;2020&lt;/year&gt;&lt;pub-dates&gt;&lt;date&gt;16.04.2021&lt;/date&gt;&lt;/pub-dates&gt;&lt;/dates&gt;&lt;pub-location&gt;Oslo&lt;/pub-location&gt;&lt;publisher&gt;Helsedirektoratet&lt;/publisher&gt;&lt;work-type&gt;nettdokument&lt;/work-type&gt;&lt;urls&gt;&lt;/urls&gt;&lt;/record&gt;&lt;/Cite&gt;&lt;/EndNote&gt;</w:instrText>
      </w:r>
      <w:r>
        <w:fldChar w:fldCharType="separate"/>
      </w:r>
      <w:r w:rsidR="001F5F05">
        <w:rPr>
          <w:noProof/>
        </w:rPr>
        <w:t>(Helsedirektoratet, 2020e)</w:t>
      </w:r>
      <w:r>
        <w:fldChar w:fldCharType="end"/>
      </w:r>
      <w:r>
        <w:t>. De senere årene har fokus vært på videreutvikling av teknologiske hjelpemidler som skal kunne bidra til at innbyggere kan leve så selvstendig som mulig</w:t>
      </w:r>
      <w:r w:rsidR="00606DC9">
        <w:t>,</w:t>
      </w:r>
      <w:r>
        <w:t xml:space="preserve"> og ha mulighet til å bo </w:t>
      </w:r>
      <w:r w:rsidR="00606DC9">
        <w:t>lengst mulig</w:t>
      </w:r>
      <w:r>
        <w:t xml:space="preserve"> i eget hjem.</w:t>
      </w:r>
    </w:p>
    <w:p w14:paraId="1C6A7364" w14:textId="3593392F" w:rsidR="00D9107F" w:rsidRDefault="00916EE1" w:rsidP="006577D6">
      <w:pPr>
        <w:jc w:val="both"/>
      </w:pPr>
      <w:r w:rsidRPr="006577D6">
        <w:t>Digital hjemmeoppfølging (DHO) har som formål å bidra til at kommuner, i samarbeid med fastleger og sykehus, tar i bruk digitale verktøy for å sikre bedre oppfølging av pasienter med kroniske lidelser. I utprøvingen følges pasienter med kronisk sykdom og moderat til alvorlig risiko for forverring opp</w:t>
      </w:r>
      <w:r w:rsidR="00606DC9" w:rsidRPr="006577D6">
        <w:t>,</w:t>
      </w:r>
      <w:r w:rsidRPr="006577D6">
        <w:t xml:space="preserve"> ut fra en egenbehandlingsplan som lages i samråd med lege og oppfølgingssenter. Pasienten foretar selv målinger hjemme og svarer på spørsmål om helsetilstand en til flere ganger per uke. Det dannes </w:t>
      </w:r>
      <w:r w:rsidR="00D9107F">
        <w:t>«</w:t>
      </w:r>
      <w:r w:rsidRPr="006577D6">
        <w:t>trafikklys</w:t>
      </w:r>
      <w:r w:rsidR="00D9107F">
        <w:t>»</w:t>
      </w:r>
      <w:r w:rsidRPr="006577D6">
        <w:t xml:space="preserve"> ut fra resultatene, og pasienten kan agere ved å følge egenbehandlingsplanen. En evaluering av piloteringen ble gjort i </w:t>
      </w:r>
      <w:r w:rsidRPr="498DE090">
        <w:t>6 kommuner i perioden 2018</w:t>
      </w:r>
      <w:r w:rsidR="00606DC9">
        <w:t>–</w:t>
      </w:r>
      <w:r w:rsidRPr="498DE090">
        <w:t>2021</w:t>
      </w:r>
      <w:r>
        <w:t xml:space="preserve"> og</w:t>
      </w:r>
      <w:r w:rsidRPr="006577D6">
        <w:t xml:space="preserve"> løfter fram at DHO bidrar til mer trygghet for pasient og pårørende, til å bevare livskvalitet og til et bedre beslutningsgrunnlag for legens kliniske avgjørelser</w:t>
      </w:r>
      <w:r w:rsidR="00215268" w:rsidRPr="006577D6">
        <w:t xml:space="preserve"> </w:t>
      </w:r>
      <w:r w:rsidRPr="006577D6">
        <w:fldChar w:fldCharType="begin"/>
      </w:r>
      <w:r w:rsidR="004654FD">
        <w:instrText xml:space="preserve"> ADDIN EN.CITE &lt;EndNote&gt;&lt;Cite&gt;&lt;Author&gt;Abelsen&lt;/Author&gt;&lt;Year&gt;2022&lt;/Year&gt;&lt;RecNum&gt;221&lt;/RecNum&gt;&lt;DisplayText&gt;(Abelsen et al., 2022c)&lt;/DisplayText&gt;&lt;record&gt;&lt;rec-number&gt;221&lt;/rec-number&gt;&lt;foreign-keys&gt;&lt;key app="EN" db-id="95tpr2tp6r9xwoea9rb5wdsz5ds5xeddteew" timestamp="1680069511"&gt;221&lt;/key&gt;&lt;/foreign-keys&gt;&lt;ref-type name="Report"&gt;27&lt;/ref-type&gt;&lt;contributors&gt;&lt;authors&gt;&lt;author&gt;Abelsen, B.&lt;/author&gt;&lt;author&gt;Godager, G.&lt;/author&gt;&lt;author&gt;Harsheim, I. G,&lt;/author&gt;&lt;author&gt;Iversen, T.&lt;/author&gt;&lt;author&gt;Kristiansen, I. S.&lt;/author&gt;&lt;author&gt;Løyland, H. I.&lt;/author&gt;&lt;author&gt;Sæter, E. M.&lt;/author&gt;&lt;/authors&gt;&lt;/contributors&gt;&lt;titles&gt;&lt;title&gt;Evaluering av utprøving av digital hjemmeoppfølging&lt;/title&gt;&lt;secondary-title&gt;Sluttrapport&lt;/secondary-title&gt;&lt;/titles&gt;&lt;dates&gt;&lt;year&gt;2022&lt;/year&gt;&lt;/dates&gt;&lt;pub-location&gt;Oslo&lt;/pub-location&gt;&lt;publisher&gt;Institutt for helse og samfunn, Universitetet i Oslo, Oslo Economics, Nasjonalt senter for distriktsmedisin, UiT Norges arktiske universitet&lt;/publisher&gt;&lt;urls&gt;&lt;/urls&gt;&lt;/record&gt;&lt;/Cite&gt;&lt;/EndNote&gt;</w:instrText>
      </w:r>
      <w:r w:rsidRPr="006577D6">
        <w:fldChar w:fldCharType="separate"/>
      </w:r>
      <w:r w:rsidR="00856689" w:rsidRPr="006577D6">
        <w:rPr>
          <w:noProof/>
        </w:rPr>
        <w:t>(Abelsen et al., 2022c)</w:t>
      </w:r>
      <w:r w:rsidRPr="006577D6">
        <w:fldChar w:fldCharType="end"/>
      </w:r>
      <w:r w:rsidRPr="006577D6">
        <w:fldChar w:fldCharType="begin"/>
      </w:r>
      <w:r w:rsidRPr="006577D6">
        <w:fldChar w:fldCharType="separate"/>
      </w:r>
      <w:r w:rsidRPr="006577D6">
        <w:t>(Abelsen et al., 2022)</w:t>
      </w:r>
      <w:r w:rsidRPr="006577D6">
        <w:fldChar w:fldCharType="end"/>
      </w:r>
      <w:r w:rsidRPr="006577D6">
        <w:t xml:space="preserve">. </w:t>
      </w:r>
      <w:r w:rsidRPr="498DE090">
        <w:t>Målet er at DHO skal etableres i alle helsefelles</w:t>
      </w:r>
      <w:r w:rsidR="00606DC9">
        <w:t>s</w:t>
      </w:r>
      <w:r w:rsidRPr="498DE090">
        <w:t>kap innen utgangen av 2024.</w:t>
      </w:r>
    </w:p>
    <w:p w14:paraId="423D9AA3" w14:textId="3CF19EEB" w:rsidR="00916EE1" w:rsidRDefault="00916EE1" w:rsidP="006577D6">
      <w:pPr>
        <w:jc w:val="both"/>
      </w:pPr>
      <w:r>
        <w:t xml:space="preserve">En kunnskapsoppsummering fra Nasjonalt senter for e-helse har sett på e-helsesatsinger i Norge, Finland, Danmark, Sverige, Skottland og Nederland </w:t>
      </w:r>
      <w:r>
        <w:fldChar w:fldCharType="begin"/>
      </w:r>
      <w:r w:rsidR="00A27571">
        <w:instrText xml:space="preserve"> ADDIN EN.CITE &lt;EndNote&gt;&lt;Cite&gt;&lt;Author&gt;Knarvik&lt;/Author&gt;&lt;Year&gt;2017&lt;/Year&gt;&lt;RecNum&gt;867&lt;/RecNum&gt;&lt;DisplayText&gt;(Knarvik et al., 2017)&lt;/DisplayText&gt;&lt;record&gt;&lt;rec-number&gt;867&lt;/rec-number&gt;&lt;foreign-keys&gt;&lt;key app="EN" db-id="95tpr2tp6r9xwoea9rb5wdsz5ds5xeddteew" timestamp="1680069511"&gt;867&lt;/key&gt;&lt;/foreign-keys&gt;&lt;ref-type name="Report"&gt;27&lt;/ref-type&gt;&lt;contributors&gt;&lt;authors&gt;&lt;author&gt;Knarvik, Undine,&lt;/author&gt;&lt;author&gt;Rotvold, Gunn-Hilde,&lt;/author&gt;&lt;author&gt;Bjørvig, Siri,&lt;/author&gt;&lt;author&gt;Bakkevoll, Per-Atle&lt;/author&gt;&lt;/authors&gt;&lt;/contributors&gt;&lt;titles&gt;&lt;title&gt;Velferdsteknologi : Kunnskapsoppsummering&lt;/title&gt;&lt;/titles&gt;&lt;number&gt;12-2017&lt;/number&gt;&lt;dates&gt;&lt;year&gt;2017&lt;/year&gt;&lt;/dates&gt;&lt;pub-location&gt;Tromsø&lt;/pub-location&gt;&lt;publisher&gt;Nasjonalt senter for e-helseforskning&lt;/publisher&gt;&lt;urls&gt;&lt;/urls&gt;&lt;/record&gt;&lt;/Cite&gt;&lt;/EndNote&gt;</w:instrText>
      </w:r>
      <w:r>
        <w:fldChar w:fldCharType="separate"/>
      </w:r>
      <w:r w:rsidR="00856689">
        <w:rPr>
          <w:noProof/>
        </w:rPr>
        <w:t>(Knarvik et al., 2017)</w:t>
      </w:r>
      <w:r>
        <w:fldChar w:fldCharType="end"/>
      </w:r>
      <w:r>
        <w:t xml:space="preserve"> I Norge var </w:t>
      </w:r>
      <w:r w:rsidRPr="38BFEDFD">
        <w:t xml:space="preserve">det over 200 </w:t>
      </w:r>
      <w:r w:rsidR="00606DC9">
        <w:t xml:space="preserve">aktive </w:t>
      </w:r>
      <w:r w:rsidRPr="38BFEDFD">
        <w:t xml:space="preserve">velferdsteknologiprosjekter fra 2013 til 2016, </w:t>
      </w:r>
      <w:r>
        <w:t xml:space="preserve">og det var </w:t>
      </w:r>
      <w:r w:rsidRPr="38BFEDFD">
        <w:t xml:space="preserve">en markant økning i prosjektaktivitet. </w:t>
      </w:r>
      <w:r w:rsidRPr="6024ED02">
        <w:t>Analysen fra de fem landene viser at det er en dreining mot brukerdrevet og markedsstyrt utvikling, og det forventes at individet tar mer ansvar for egen helse. Det fr</w:t>
      </w:r>
      <w:r w:rsidR="00606DC9">
        <w:t>a</w:t>
      </w:r>
      <w:r w:rsidRPr="6024ED02">
        <w:t>mkommer også at nasjonale strategier iverksettes gjennom partnerskap, klynger og samarbeid</w:t>
      </w:r>
      <w:r w:rsidR="00606DC9">
        <w:t>,</w:t>
      </w:r>
      <w:r w:rsidRPr="6024ED02">
        <w:t xml:space="preserve"> der både frivillige og næringsliv inkluderes.</w:t>
      </w:r>
    </w:p>
    <w:p w14:paraId="46B1EBD9" w14:textId="77777777" w:rsidR="00D9107F" w:rsidRDefault="00916EE1" w:rsidP="006577D6">
      <w:pPr>
        <w:jc w:val="both"/>
      </w:pPr>
      <w:r>
        <w:t>En k</w:t>
      </w:r>
      <w:r w:rsidRPr="38BFEDFD">
        <w:t>unnskapsgjennomgang</w:t>
      </w:r>
      <w:r>
        <w:t xml:space="preserve"> </w:t>
      </w:r>
      <w:r w:rsidRPr="38BFEDFD">
        <w:t xml:space="preserve">i 2022 viser </w:t>
      </w:r>
      <w:r>
        <w:t xml:space="preserve">til </w:t>
      </w:r>
      <w:r w:rsidRPr="38BFEDFD">
        <w:t xml:space="preserve">et kunnskapsgap </w:t>
      </w:r>
      <w:r>
        <w:t xml:space="preserve">og manglende </w:t>
      </w:r>
      <w:r w:rsidRPr="38BFEDFD">
        <w:t>vitenskapelig</w:t>
      </w:r>
      <w:r>
        <w:t xml:space="preserve"> dokumentasjon på redusert</w:t>
      </w:r>
      <w:r w:rsidRPr="38BFEDFD" w:rsidDel="008D4775">
        <w:t xml:space="preserve"> </w:t>
      </w:r>
      <w:r w:rsidRPr="38BFEDFD">
        <w:t>behov for sykehusinnleggelser og bruk av helsetjenester</w:t>
      </w:r>
      <w:r>
        <w:t xml:space="preserve"> for øvrig</w:t>
      </w:r>
      <w:r w:rsidR="00606DC9">
        <w:t>,</w:t>
      </w:r>
      <w:r>
        <w:t xml:space="preserve"> som følge av velferdsteknologier.</w:t>
      </w:r>
      <w:r w:rsidRPr="38BFEDFD">
        <w:t xml:space="preserve"> De kvalitative effektene for pasient og pårørende, både når det gjelder trygghet og mestring</w:t>
      </w:r>
      <w:r w:rsidR="00606DC9">
        <w:t>,</w:t>
      </w:r>
      <w:r w:rsidRPr="38BFEDFD">
        <w:t xml:space="preserve"> er godt dokumentert</w:t>
      </w:r>
      <w:r>
        <w:t>, men e</w:t>
      </w:r>
      <w:r w:rsidRPr="38BFEDFD">
        <w:t>ffektene når det gjelder kvantitative verdier</w:t>
      </w:r>
      <w:r w:rsidR="00606DC9">
        <w:t>,</w:t>
      </w:r>
      <w:r w:rsidRPr="38BFEDFD">
        <w:t xml:space="preserve"> som spart tid og unngåtte kostnader er i liten grad dokumentert</w:t>
      </w:r>
      <w:r>
        <w:t xml:space="preserve"> </w:t>
      </w:r>
      <w:r>
        <w:fldChar w:fldCharType="begin"/>
      </w:r>
      <w:r w:rsidR="004654FD">
        <w:instrText xml:space="preserve"> ADDIN EN.CITE &lt;EndNote&gt;&lt;Cite&gt;&lt;Author&gt;Breivik&lt;/Author&gt;&lt;Year&gt;2021&lt;/Year&gt;&lt;RecNum&gt;430&lt;/RecNum&gt;&lt;DisplayText&gt;(Breivik et al., 2021)&lt;/DisplayText&gt;&lt;record&gt;&lt;rec-number&gt;430&lt;/rec-number&gt;&lt;foreign-keys&gt;&lt;key app="EN" db-id="95tpr2tp6r9xwoea9rb5wdsz5ds5xeddteew" timestamp="1680069511"&gt;430&lt;/key&gt;&lt;/foreign-keys&gt;&lt;ref-type name="Report"&gt;27&lt;/ref-type&gt;&lt;contributors&gt;&lt;authors&gt;&lt;author&gt;Breivik, Elin,&lt;/author&gt;&lt;author&gt;Rotvold, Gunn-Hilde,&lt;/author&gt;&lt;author&gt;Steen Lindseth, Lene,&lt;/author&gt;&lt;author&gt;Bjørvig, Siri,&lt;/author&gt;&lt;author&gt;Michalsen, Kamilla&lt;/author&gt;&lt;/authors&gt;&lt;/contributors&gt;&lt;titles&gt;&lt;title&gt;Kunnskapsoppsummering om effekter av trygghets- og mestringsteknologi&lt;/title&gt;&lt;secondary-title&gt;NSE-rapport&lt;/secondary-title&gt;&lt;/titles&gt;&lt;number&gt;2021-02&lt;/number&gt;&lt;dates&gt;&lt;year&gt;2021&lt;/year&gt;&lt;/dates&gt;&lt;pub-location&gt;Tromsø&lt;/pub-location&gt;&lt;publisher&gt;Nasjonalt senter for e-helseforskning&lt;/publisher&gt;&lt;urls&gt;&lt;/urls&gt;&lt;/record&gt;&lt;/Cite&gt;&lt;/EndNote&gt;</w:instrText>
      </w:r>
      <w:r>
        <w:fldChar w:fldCharType="separate"/>
      </w:r>
      <w:r w:rsidR="00856689">
        <w:rPr>
          <w:noProof/>
        </w:rPr>
        <w:t>(Breivik et al., 2021)</w:t>
      </w:r>
      <w:r>
        <w:fldChar w:fldCharType="end"/>
      </w:r>
      <w:r w:rsidRPr="38BFEDFD">
        <w:t>.</w:t>
      </w:r>
    </w:p>
    <w:p w14:paraId="68EB73F6" w14:textId="77777777" w:rsidR="00D9107F" w:rsidRDefault="00916EE1" w:rsidP="006577D6">
      <w:pPr>
        <w:jc w:val="both"/>
      </w:pPr>
      <w:r>
        <w:t>FHI har publisert en kunnskapsoppsummering om effekter av DHO fra Danmark og Norge</w:t>
      </w:r>
      <w:r w:rsidR="00606DC9">
        <w:t>,</w:t>
      </w:r>
      <w:r>
        <w:t xml:space="preserve"> fra årene 2017 til 2022. De finner at effekten av DHO på ressursbruk, etter en 12 </w:t>
      </w:r>
      <w:r w:rsidR="39C21573">
        <w:t>mån</w:t>
      </w:r>
      <w:r w:rsidR="0F592EDC">
        <w:t>ed</w:t>
      </w:r>
      <w:r w:rsidR="39C21573">
        <w:t>ersperiode</w:t>
      </w:r>
      <w:r>
        <w:t xml:space="preserve">, </w:t>
      </w:r>
      <w:r w:rsidR="00606DC9">
        <w:t xml:space="preserve">synes </w:t>
      </w:r>
      <w:r>
        <w:t xml:space="preserve">å være svært usikker. </w:t>
      </w:r>
      <w:r w:rsidDel="00396F4C">
        <w:t>Dette er et komplisert område å fr</w:t>
      </w:r>
      <w:r w:rsidR="00606DC9">
        <w:t>a</w:t>
      </w:r>
      <w:r w:rsidDel="00396F4C">
        <w:t xml:space="preserve">mskaffe god forskning på, og tidsperspektivet bør være langt nok for å kunne finne eventuelle gevinster </w:t>
      </w:r>
      <w:r w:rsidDel="00396F4C">
        <w:fldChar w:fldCharType="begin"/>
      </w:r>
      <w:r w:rsidR="00A27571">
        <w:instrText xml:space="preserve"> ADDIN EN.CITE &lt;EndNote&gt;&lt;Cite&gt;&lt;Author&gt;Hestevik&lt;/Author&gt;&lt;Year&gt;2022&lt;/Year&gt;&lt;RecNum&gt;154&lt;/RecNum&gt;&lt;DisplayText&gt;(Hestevik et al., 2022)&lt;/DisplayText&gt;&lt;record&gt;&lt;rec-number&gt;154&lt;/rec-number&gt;&lt;foreign-keys&gt;&lt;key app="EN" db-id="95tpr2tp6r9xwoea9rb5wdsz5ds5xeddteew" timestamp="1680069511"&gt;154&lt;/key&gt;&lt;/foreign-keys&gt;&lt;ref-type name="Report"&gt;27&lt;/ref-type&gt;&lt;contributors&gt;&lt;authors&gt;&lt;author&gt;Hestevik, C. H.,&lt;/author&gt;&lt;author&gt;Nygård, H. N.,&lt;/author&gt;&lt;author&gt;Bjerk, M.,&lt;/author&gt;&lt;author&gt;Klem, H. E.,&lt;/author&gt;&lt;author&gt;Hval, G.,&lt;/author&gt;&lt;author&gt;Kleven, L.&lt;/author&gt;&lt;/authors&gt;&lt;/contributors&gt;&lt;titles&gt;&lt;title&gt;Digital hjemmeoppfølging og ressursbruk i primær- og spesialisthelsetjenesten: en systematisk oversikt&lt;/title&gt;&lt;/titles&gt;&lt;dates&gt;&lt;year&gt;2022&lt;/year&gt;&lt;/dates&gt;&lt;pub-location&gt;Oslo&lt;/pub-location&gt;&lt;publisher&gt;Folkehelseinstituttet&lt;/publisher&gt;&lt;urls&gt;&lt;/urls&gt;&lt;/record&gt;&lt;/Cite&gt;&lt;/EndNote&gt;</w:instrText>
      </w:r>
      <w:r w:rsidDel="00396F4C">
        <w:fldChar w:fldCharType="separate"/>
      </w:r>
      <w:r w:rsidDel="00396F4C">
        <w:rPr>
          <w:noProof/>
        </w:rPr>
        <w:t>(Hestevik et al., 2022)</w:t>
      </w:r>
      <w:r w:rsidDel="00396F4C">
        <w:fldChar w:fldCharType="end"/>
      </w:r>
      <w:r w:rsidDel="00396F4C">
        <w:t>.</w:t>
      </w:r>
    </w:p>
    <w:p w14:paraId="4EB9A50A" w14:textId="32B1C551" w:rsidR="00916EE1" w:rsidRPr="006E7AB1" w:rsidRDefault="00916EE1" w:rsidP="00775632">
      <w:pPr>
        <w:pStyle w:val="Overskrift3"/>
      </w:pPr>
      <w:bookmarkStart w:id="5812" w:name="_Toc130853687"/>
      <w:bookmarkStart w:id="5813" w:name="_Toc130932174"/>
      <w:bookmarkStart w:id="5814" w:name="_Toc130934465"/>
      <w:bookmarkStart w:id="5815" w:name="_Toc130983594"/>
      <w:bookmarkStart w:id="5816" w:name="_Toc130983943"/>
      <w:bookmarkStart w:id="5817" w:name="_Toc131064179"/>
      <w:bookmarkStart w:id="5818" w:name="_Toc131062218"/>
      <w:bookmarkStart w:id="5819" w:name="_Toc131062472"/>
      <w:bookmarkStart w:id="5820" w:name="_Toc131062733"/>
      <w:bookmarkStart w:id="5821" w:name="_Toc131062986"/>
      <w:bookmarkStart w:id="5822" w:name="_Toc131063769"/>
      <w:bookmarkStart w:id="5823" w:name="_Toc131238585"/>
      <w:bookmarkStart w:id="5824" w:name="_Toc131279676"/>
      <w:bookmarkStart w:id="5825" w:name="_Toc131287088"/>
      <w:bookmarkStart w:id="5826" w:name="_Toc131281498"/>
      <w:bookmarkStart w:id="5827" w:name="_Toc131318038"/>
      <w:bookmarkStart w:id="5828" w:name="_Toc132537105"/>
      <w:r w:rsidRPr="006E7AB1">
        <w:t>K</w:t>
      </w:r>
      <w:r>
        <w:t xml:space="preserve">unstig intelligens og persontilpasset </w:t>
      </w:r>
      <w:bookmarkEnd w:id="5812"/>
      <w:bookmarkEnd w:id="5813"/>
      <w:bookmarkEnd w:id="5814"/>
      <w:bookmarkEnd w:id="5815"/>
      <w:bookmarkEnd w:id="5816"/>
      <w:bookmarkEnd w:id="5817"/>
      <w:r>
        <w:t>medisin</w:t>
      </w:r>
      <w:bookmarkEnd w:id="5818"/>
      <w:bookmarkEnd w:id="5819"/>
      <w:bookmarkEnd w:id="5820"/>
      <w:bookmarkEnd w:id="5821"/>
      <w:bookmarkEnd w:id="5822"/>
      <w:bookmarkEnd w:id="5823"/>
      <w:bookmarkEnd w:id="5824"/>
      <w:bookmarkEnd w:id="5825"/>
      <w:bookmarkEnd w:id="5826"/>
      <w:bookmarkEnd w:id="5827"/>
      <w:bookmarkEnd w:id="5828"/>
    </w:p>
    <w:p w14:paraId="671E1041" w14:textId="02DE338F" w:rsidR="00D9107F" w:rsidRDefault="00916EE1" w:rsidP="00916EE1">
      <w:pPr>
        <w:jc w:val="both"/>
      </w:pPr>
      <w:r>
        <w:t xml:space="preserve">Over hele verden satses det stort på utvikling av kunstig intelligens (KI), og troen på betydningen av </w:t>
      </w:r>
      <w:r w:rsidDel="178A30BA">
        <w:t xml:space="preserve">kunstig intelligens </w:t>
      </w:r>
      <w:r>
        <w:t>framover er stor</w:t>
      </w:r>
      <w:r w:rsidR="00606DC9">
        <w:t>,</w:t>
      </w:r>
      <w:r>
        <w:t xml:space="preserve"> også innenfor helse </w:t>
      </w:r>
      <w:r w:rsidR="00022138">
        <w:fldChar w:fldCharType="begin"/>
      </w:r>
      <w:r w:rsidR="00022138">
        <w:instrText xml:space="preserve"> ADDIN EN.CITE &lt;EndNote&gt;&lt;Cite&gt;&lt;Author&gt;Haug&lt;/Author&gt;&lt;Year&gt;2023&lt;/Year&gt;&lt;RecNum&gt;1027&lt;/RecNum&gt;&lt;DisplayText&gt;(Haug et al., 2023)&lt;/DisplayText&gt;&lt;record&gt;&lt;rec-number&gt;1027&lt;/rec-number&gt;&lt;foreign-keys&gt;&lt;key app="EN" db-id="95tpr2tp6r9xwoea9rb5wdsz5ds5xeddteew" timestamp="1681145996"&gt;1027&lt;/key&gt;&lt;/foreign-keys&gt;&lt;ref-type name="Journal Article"&gt;17&lt;/ref-type&gt;&lt;contributors&gt;&lt;authors&gt;&lt;author&gt;Haug, C.J.&lt;/author&gt;&lt;author&gt;Drazen, J.M.&lt;/author&gt;&lt;/authors&gt;&lt;/contributors&gt;&lt;titles&gt;&lt;title&gt;Artificial Intelligence and Machine Learning in Clinical Medicine&lt;/title&gt;&lt;secondary-title&gt;The New Enland Journal of Medicine&lt;/secondary-title&gt;&lt;/titles&gt;&lt;periodical&gt;&lt;full-title&gt;The New Enland Journal of Medicine&lt;/full-title&gt;&lt;/periodical&gt;&lt;pages&gt;1201-1208&lt;/pages&gt;&lt;number&gt;388&lt;/number&gt;&lt;dates&gt;&lt;year&gt;2023&lt;/year&gt;&lt;/dates&gt;&lt;urls&gt;&lt;/urls&gt;&lt;/record&gt;&lt;/Cite&gt;&lt;/EndNote&gt;</w:instrText>
      </w:r>
      <w:r w:rsidR="00022138">
        <w:fldChar w:fldCharType="separate"/>
      </w:r>
      <w:r w:rsidR="00022138">
        <w:rPr>
          <w:noProof/>
        </w:rPr>
        <w:t>(Haug et al., 2023)</w:t>
      </w:r>
      <w:r w:rsidR="00022138">
        <w:fldChar w:fldCharType="end"/>
      </w:r>
      <w:r>
        <w:t>. Antallet publikasjoner om bruk av KI innen helse har økt drastisk</w:t>
      </w:r>
      <w:r w:rsidR="00606DC9">
        <w:t>,</w:t>
      </w:r>
      <w:r>
        <w:t xml:space="preserve"> fra omtrent 5000 i 2011 til 3</w:t>
      </w:r>
      <w:r w:rsidR="00D9107F">
        <w:t>5 000</w:t>
      </w:r>
      <w:r>
        <w:t xml:space="preserve"> i 2021 </w:t>
      </w:r>
      <w:r>
        <w:fldChar w:fldCharType="begin"/>
      </w:r>
      <w:r>
        <w:instrText xml:space="preserve"> ADDIN EN.CITE &lt;EndNote&gt;&lt;Cite&gt;&lt;Author&gt;DNV&lt;/Author&gt;&lt;Year&gt;[s.a.]&lt;/Year&gt;&lt;RecNum&gt;338&lt;/RecNum&gt;&lt;DisplayText&gt;(DNV, [s.a.])&lt;/DisplayText&gt;&lt;record&gt;&lt;rec-number&gt;338&lt;/rec-number&gt;&lt;foreign-keys&gt;&lt;key app="EN" db-id="95tpr2tp6r9xwoea9rb5wdsz5ds5xeddteew" timestamp="1680069511"&gt;338&lt;/key&gt;&lt;/foreign-keys&gt;&lt;ref-type name="Report"&gt;27&lt;/ref-type&gt;&lt;contributors&gt;&lt;authors&gt;&lt;author&gt;DNV&lt;/author&gt;&lt;/authors&gt;&lt;/contributors&gt;&lt;titles&gt;&lt;title&gt;How do I turn this on? What to consider when adopting AI-based tools into clinical practice&lt;/title&gt;&lt;/titles&gt;&lt;pages&gt;1-71&lt;/pages&gt;&lt;dates&gt;&lt;year&gt;[s.a.]&lt;/year&gt;&lt;/dates&gt;&lt;pub-location&gt;Bærum&lt;/pub-location&gt;&lt;publisher&gt;DNV&lt;/publisher&gt;&lt;urls&gt;&lt;related-urls&gt;&lt;url&gt;https://www.dnv.com/Publications/how-do-i-turn-this-on-what-to-consider-when-adopting-ai-based-tools-into-clinical-practice-237225&lt;/url&gt;&lt;/related-urls&gt;&lt;/urls&gt;&lt;/record&gt;&lt;/Cite&gt;&lt;/EndNote&gt;</w:instrText>
      </w:r>
      <w:r>
        <w:fldChar w:fldCharType="separate"/>
      </w:r>
      <w:r>
        <w:rPr>
          <w:noProof/>
        </w:rPr>
        <w:t>(DNV, [s.a.])</w:t>
      </w:r>
      <w:r>
        <w:fldChar w:fldCharType="end"/>
      </w:r>
      <w:r>
        <w:t>.</w:t>
      </w:r>
    </w:p>
    <w:p w14:paraId="69327041" w14:textId="77777777" w:rsidR="00D9107F" w:rsidRDefault="00916EE1" w:rsidP="00916EE1">
      <w:pPr>
        <w:jc w:val="both"/>
      </w:pPr>
      <w:r>
        <w:lastRenderedPageBreak/>
        <w:t>Innsamling av store mengder data gjennom personlige enheter, deling over internett, prosessering med høy kapasitet og maskinlæring forventes å kunne gi helt nye muligheter, både for pasient og fastlege, til å følge med på og tilpasse behandlingen av den enkelte pasient.</w:t>
      </w:r>
    </w:p>
    <w:p w14:paraId="33D8A9DD" w14:textId="77777777" w:rsidR="00D9107F" w:rsidRDefault="00916EE1" w:rsidP="00916EE1">
      <w:pPr>
        <w:jc w:val="both"/>
      </w:pPr>
      <w:r>
        <w:t>KI kan utnyttes for å få fram best mulig behandling for en sykdom</w:t>
      </w:r>
      <w:r w:rsidR="00606DC9">
        <w:t>,</w:t>
      </w:r>
      <w:r>
        <w:t xml:space="preserve"> basert på gjennomgang av tilgjengelig og oppdatert litteratur og forskning. I Norge brukes KI eksempelvis som beslutningsstøtte for vurdering av radiologiske bilder ved kreftoppfølging</w:t>
      </w:r>
      <w:r w:rsidR="00606DC9">
        <w:t>,</w:t>
      </w:r>
      <w:r>
        <w:t xml:space="preserve"> og ved vurdering av histologiske preparater. KI kan også brukes ved større logistikkoperasjoner som for eksempel distribusjon av vaksiner </w:t>
      </w:r>
      <w:r>
        <w:fldChar w:fldCharType="begin"/>
      </w:r>
      <w:r w:rsidR="00694E6D">
        <w:instrText xml:space="preserve"> ADDIN EN.CITE &lt;EndNote&gt;&lt;Cite&gt;&lt;Author&gt;Helsedirektoratet&lt;/Author&gt;&lt;Year&gt;2022&lt;/Year&gt;&lt;RecNum&gt;1028&lt;/RecNum&gt;&lt;DisplayText&gt;(Helsedirektoratet, 2022e)&lt;/DisplayText&gt;&lt;record&gt;&lt;rec-number&gt;1028&lt;/rec-number&gt;&lt;foreign-keys&gt;&lt;key app="EN" db-id="95tpr2tp6r9xwoea9rb5wdsz5ds5xeddteew" timestamp="1681146243"&gt;1028&lt;/key&gt;&lt;/foreign-keys&gt;&lt;ref-type name="Report"&gt;27&lt;/ref-type&gt;&lt;contributors&gt;&lt;authors&gt;&lt;author&gt;Helsedirektoratet&lt;/author&gt;&lt;/authors&gt;&lt;/contributors&gt;&lt;titles&gt;&lt;title&gt;Kunstig intelligens i helsetjenesten. Status og veien videre for det nasjonale koordineringsarbeidet.&lt;/title&gt;&lt;/titles&gt;&lt;dates&gt;&lt;year&gt;2022&lt;/year&gt;&lt;/dates&gt;&lt;publisher&gt;Helsedirektoratet&lt;/publisher&gt;&lt;urls&gt;&lt;/urls&gt;&lt;/record&gt;&lt;/Cite&gt;&lt;/EndNote&gt;</w:instrText>
      </w:r>
      <w:r>
        <w:fldChar w:fldCharType="separate"/>
      </w:r>
      <w:r w:rsidR="00215268">
        <w:rPr>
          <w:noProof/>
        </w:rPr>
        <w:t>(Helsedirektoratet, 2022e)</w:t>
      </w:r>
      <w:r>
        <w:fldChar w:fldCharType="end"/>
      </w:r>
      <w:r>
        <w:t xml:space="preserve">. HELFO har eksempelvis et forskningsprosjekt der KI benyttes for å kontrollere fastlegers praksis med regningskort som sendes HELFO </w:t>
      </w:r>
      <w:r>
        <w:fldChar w:fldCharType="begin"/>
      </w:r>
      <w:r w:rsidR="00694E6D">
        <w:instrText xml:space="preserve"> ADDIN EN.CITE &lt;EndNote&gt;&lt;Cite&gt;&lt;Author&gt;Forskningsrådet&lt;/Author&gt;&lt;Year&gt;[s.a.]&lt;/Year&gt;&lt;RecNum&gt;347&lt;/RecNum&gt;&lt;DisplayText&gt;(Forskningsrådet, [s.a.])&lt;/DisplayText&gt;&lt;record&gt;&lt;rec-number&gt;347&lt;/rec-number&gt;&lt;foreign-keys&gt;&lt;key app="EN" db-id="95tpr2tp6r9xwoea9rb5wdsz5ds5xeddteew" timestamp="1680069511"&gt;347&lt;/key&gt;&lt;/foreign-keys&gt;&lt;ref-type name="Web Page"&gt;12&lt;/ref-type&gt;&lt;contributors&gt;&lt;authors&gt;&lt;author&gt;Forskningsrådet&lt;/author&gt;&lt;/authors&gt;&lt;/contributors&gt;&lt;titles&gt;&lt;title&gt;Hvordan kan kunstig intelligens og lærende kontroller forbedre helserefusjonsordningen?&lt;/title&gt;&lt;/titles&gt;&lt;number&gt;13.03.2023&lt;/number&gt;&lt;dates&gt;&lt;year&gt;[s.a.]&lt;/year&gt;&lt;/dates&gt;&lt;pub-location&gt;Oslo&lt;/pub-location&gt;&lt;publisher&gt;Norges forskningsråd&lt;/publisher&gt;&lt;work-type&gt;nettdokument&lt;/work-type&gt;&lt;urls&gt;&lt;/urls&gt;&lt;/record&gt;&lt;/Cite&gt;&lt;Cite&gt;&lt;Author&gt;Forskningsrådet&lt;/Author&gt;&lt;Year&gt;[s.a.]&lt;/Year&gt;&lt;RecNum&gt;347&lt;/RecNum&gt;&lt;record&gt;&lt;rec-number&gt;347&lt;/rec-number&gt;&lt;foreign-keys&gt;&lt;key app="EN" db-id="95tpr2tp6r9xwoea9rb5wdsz5ds5xeddteew" timestamp="1680069511"&gt;347&lt;/key&gt;&lt;/foreign-keys&gt;&lt;ref-type name="Web Page"&gt;12&lt;/ref-type&gt;&lt;contributors&gt;&lt;authors&gt;&lt;author&gt;Forskningsrådet&lt;/author&gt;&lt;/authors&gt;&lt;/contributors&gt;&lt;titles&gt;&lt;title&gt;Hvordan kan kunstig intelligens og lærende kontroller forbedre helserefusjonsordningen?&lt;/title&gt;&lt;/titles&gt;&lt;number&gt;13.03.2023&lt;/number&gt;&lt;dates&gt;&lt;year&gt;[s.a.]&lt;/year&gt;&lt;/dates&gt;&lt;pub-location&gt;Oslo&lt;/pub-location&gt;&lt;publisher&gt;Norges forskningsråd&lt;/publisher&gt;&lt;work-type&gt;nettdokument&lt;/work-type&gt;&lt;urls&gt;&lt;/urls&gt;&lt;/record&gt;&lt;/Cite&gt;&lt;/EndNote&gt;</w:instrText>
      </w:r>
      <w:r>
        <w:fldChar w:fldCharType="separate"/>
      </w:r>
      <w:r w:rsidR="00215268">
        <w:rPr>
          <w:noProof/>
        </w:rPr>
        <w:t>(Forskningsrådet, [s.a.])</w:t>
      </w:r>
      <w:r>
        <w:fldChar w:fldCharType="end"/>
      </w:r>
      <w:r>
        <w:t>.</w:t>
      </w:r>
    </w:p>
    <w:p w14:paraId="6CAA04F5" w14:textId="4F095397" w:rsidR="00916EE1" w:rsidRDefault="00916EE1" w:rsidP="00916EE1">
      <w:pPr>
        <w:jc w:val="both"/>
      </w:pPr>
      <w:r w:rsidRPr="00A42151">
        <w:t>Persontilpasset medisin</w:t>
      </w:r>
      <w:r>
        <w:t xml:space="preserve"> er</w:t>
      </w:r>
      <w:r w:rsidRPr="00A42151">
        <w:t xml:space="preserve"> behandling skreddersydd etter individets genetiske profil. </w:t>
      </w:r>
      <w:r>
        <w:t>Dette er i liten grad en del av dagens praksis i den kommunale helse- og omsorgstjenesten, men et område som er i sterk utvikling</w:t>
      </w:r>
      <w:r w:rsidR="00606DC9">
        <w:t>,</w:t>
      </w:r>
      <w:r>
        <w:t xml:space="preserve"> i kombinasjon med KI. </w:t>
      </w:r>
      <w:r w:rsidR="00606DC9">
        <w:t>F</w:t>
      </w:r>
      <w:r>
        <w:t>astlegene trenger fagkunnskap om persontilpasset diagnostikk og behandling i spesialisthelsetjenesten, for å kunne ivareta sine pasienter. Innenfor farmakogenetikk er det en utfordring at kunnskapen om</w:t>
      </w:r>
      <w:r w:rsidR="00606DC9">
        <w:t>,</w:t>
      </w:r>
      <w:r>
        <w:t xml:space="preserve"> og tilgangen til</w:t>
      </w:r>
      <w:r w:rsidR="00606DC9">
        <w:t>,</w:t>
      </w:r>
      <w:r>
        <w:t xml:space="preserve"> oppdatert og relevant informasjon i mindre grad er innført i klinisk praksis </w:t>
      </w:r>
      <w:r>
        <w:fldChar w:fldCharType="begin"/>
      </w:r>
      <w:r w:rsidR="00235862">
        <w:instrText xml:space="preserve"> ADDIN EN.CITE &lt;EndNote&gt;&lt;Cite&gt;&lt;Author&gt;Helse- og omsorgsdepartementet&lt;/Author&gt;&lt;Year&gt;2023&lt;/Year&gt;&lt;RecNum&gt;513&lt;/RecNum&gt;&lt;DisplayText&gt;(Helse- og omsorgsdepartementet, 2023a)&lt;/DisplayText&gt;&lt;record&gt;&lt;rec-number&gt;513&lt;/rec-number&gt;&lt;foreign-keys&gt;&lt;key app="EN" db-id="95tpr2tp6r9xwoea9rb5wdsz5ds5xeddteew" timestamp="1680069511"&gt;513&lt;/key&gt;&lt;/foreign-keys&gt;&lt;ref-type name="Report"&gt;27&lt;/ref-type&gt;&lt;contributors&gt;&lt;authors&gt;&lt;author&gt;Helse- og omsorgsdepartementet,&lt;/author&gt;&lt;/authors&gt;&lt;tertiary-authors&gt;&lt;author&gt;Helse- og omsorgsdepartementet&lt;/author&gt;&lt;/tertiary-authors&gt;&lt;/contributors&gt;&lt;titles&gt;&lt;title&gt;Nasjonal strategi for persontilpasset medisin 2023-2030&lt;/title&gt;&lt;/titles&gt;&lt;dates&gt;&lt;year&gt;2023&lt;/year&gt;&lt;/dates&gt;&lt;pub-location&gt;Oslo&lt;/pub-location&gt;&lt;urls&gt;&lt;/urls&gt;&lt;/record&gt;&lt;/Cite&gt;&lt;Cite&gt;&lt;Author&gt;Helse- og omsorgsdepartementet&lt;/Author&gt;&lt;Year&gt;2023&lt;/Year&gt;&lt;RecNum&gt;513&lt;/RecNum&gt;&lt;record&gt;&lt;rec-number&gt;513&lt;/rec-number&gt;&lt;foreign-keys&gt;&lt;key app="EN" db-id="95tpr2tp6r9xwoea9rb5wdsz5ds5xeddteew" timestamp="1680069511"&gt;513&lt;/key&gt;&lt;/foreign-keys&gt;&lt;ref-type name="Report"&gt;27&lt;/ref-type&gt;&lt;contributors&gt;&lt;authors&gt;&lt;author&gt;Helse- og omsorgsdepartementet,&lt;/author&gt;&lt;/authors&gt;&lt;tertiary-authors&gt;&lt;author&gt;Helse- og omsorgsdepartementet&lt;/author&gt;&lt;/tertiary-authors&gt;&lt;/contributors&gt;&lt;titles&gt;&lt;title&gt;Nasjonal strategi for persontilpasset medisin 2023-2030&lt;/title&gt;&lt;/titles&gt;&lt;dates&gt;&lt;year&gt;2023&lt;/year&gt;&lt;/dates&gt;&lt;pub-location&gt;Oslo&lt;/pub-location&gt;&lt;urls&gt;&lt;/urls&gt;&lt;/record&gt;&lt;/Cite&gt;&lt;/EndNote&gt;</w:instrText>
      </w:r>
      <w:r>
        <w:fldChar w:fldCharType="separate"/>
      </w:r>
      <w:r w:rsidR="00215268">
        <w:rPr>
          <w:noProof/>
        </w:rPr>
        <w:t>(Helse- og omsorgsdepartementet, 2023a)</w:t>
      </w:r>
      <w:r>
        <w:fldChar w:fldCharType="end"/>
      </w:r>
      <w:r>
        <w:t>.</w:t>
      </w:r>
    </w:p>
    <w:p w14:paraId="0C1501B8" w14:textId="77777777" w:rsidR="00D9107F" w:rsidRDefault="00916EE1" w:rsidP="00916EE1">
      <w:pPr>
        <w:jc w:val="both"/>
      </w:pPr>
      <w:r>
        <w:t>I forebyggingsarbeidet er det foreløpig begrenset dokumentasjon for at tiltak basert på persontilpasset medisin gir helse- og kostnadsgevinster, men det er forventet at denne type data vil bli tilgjengelig over tid.</w:t>
      </w:r>
    </w:p>
    <w:p w14:paraId="2CEB0298" w14:textId="19F94D3E" w:rsidR="00916EE1" w:rsidRPr="00A42151" w:rsidRDefault="00916EE1" w:rsidP="00916EE1">
      <w:pPr>
        <w:jc w:val="both"/>
      </w:pPr>
      <w:r>
        <w:t>Fr</w:t>
      </w:r>
      <w:r w:rsidR="00606DC9">
        <w:t>a</w:t>
      </w:r>
      <w:r>
        <w:t>mover forventes det en økning i bruken av genetiske undersøkelser, ikke minst fra helprivate tjenesteleverandører. Det kan være utfordrende for brukerne å tolke resultatene fra disse</w:t>
      </w:r>
      <w:r w:rsidR="00606DC9">
        <w:t>,</w:t>
      </w:r>
      <w:r>
        <w:t xml:space="preserve"> og dokumentasjonen som ligger til grunn kan være usikker. Slike undersøkelser kan gi viktig innsikt, men kan også føre til økt bekymring for egen helse hos innbyggerne og medføre økt pågang for helsetjenesten, og særlig </w:t>
      </w:r>
      <w:r w:rsidR="007921A9">
        <w:t>for</w:t>
      </w:r>
      <w:r>
        <w:t xml:space="preserve"> fastlegene.</w:t>
      </w:r>
      <w:bookmarkStart w:id="5829" w:name="_Toc131064180"/>
      <w:bookmarkEnd w:id="5829"/>
    </w:p>
    <w:p w14:paraId="2EFAA23D" w14:textId="77777777" w:rsidR="00D9107F" w:rsidRDefault="00916EE1" w:rsidP="00916EE1">
      <w:pPr>
        <w:jc w:val="both"/>
      </w:pPr>
      <w:r>
        <w:t>Utviklingen av smartklokker og andre personlige digitale enheter vil framover gi mer nøyaktige og pålitelige målinger. Ved å koble data fra personlige enheter til en app vil innbyggerne kunne få større kontroll over egen helse, og det vil kunne bli mulig å oppdage og forebygge sykdom tidligere. Helseråd fra apper kan også tenkes å kunne bidra til å heve helsekompetansen i befolkningen.</w:t>
      </w:r>
    </w:p>
    <w:p w14:paraId="00AB4378" w14:textId="77777777" w:rsidR="00D9107F" w:rsidRDefault="00916EE1" w:rsidP="00916EE1">
      <w:pPr>
        <w:jc w:val="both"/>
      </w:pPr>
      <w:r>
        <w:lastRenderedPageBreak/>
        <w:t>En kobling mellom genetisk kartlegging</w:t>
      </w:r>
      <w:r w:rsidRPr="00D9107F">
        <w:rPr>
          <w:rStyle w:val="Fotnotereferanse"/>
        </w:rPr>
        <w:footnoteReference w:id="67"/>
      </w:r>
      <w:r>
        <w:t xml:space="preserve"> og KI kan tenkes å gi nyttig informasjon om risiko for sykdom og relevante forebyggende tiltak, blant annet kan dette brukes til å velge ut hvem som har nytte av screeningundersøkelser. Etisk er det flere utfordringer ved kobling av KI og persontilpasset medisin.</w:t>
      </w:r>
    </w:p>
    <w:p w14:paraId="2BADF281" w14:textId="602EDB98" w:rsidR="00D9107F" w:rsidRDefault="00916EE1" w:rsidP="00916EE1">
      <w:pPr>
        <w:jc w:val="both"/>
      </w:pPr>
      <w:r>
        <w:t>KI kan tenkes å gi muligheter til å forbedre folkehelsen</w:t>
      </w:r>
      <w:r w:rsidR="00606DC9">
        <w:t>,</w:t>
      </w:r>
      <w:r>
        <w:t xml:space="preserve"> og gjennom det avlaste fastlegene. Samtidig kan det tenkes at KI vil bidra til å belaste fastlegene mer, ved at innbyggere unødvendig bekymrer seg for sykdomsrisiko på grunn av mer informasjon om egen helse. Det er også mulig å se for seg en todeling av tilgang på helseinformasjon, der de med god økonomi og digitale ferdigheter kan kjøpe og utnytte helsemonitorprogrammer som er utilgjengelige for andre. Dette kan medføre en skjefordeling i levealder og livskvalitet </w:t>
      </w:r>
      <w:r>
        <w:fldChar w:fldCharType="begin"/>
      </w:r>
      <w:r w:rsidR="004654FD">
        <w:instrText xml:space="preserve"> ADDIN EN.CITE &lt;EndNote&gt;&lt;Cite&gt;&lt;Author&gt;Harari&lt;/Author&gt;&lt;Year&gt;2018&lt;/Year&gt;&lt;RecNum&gt;333&lt;/RecNum&gt;&lt;DisplayText&gt;(Harari, 2018)&lt;/DisplayText&gt;&lt;record&gt;&lt;rec-number&gt;333&lt;/rec-number&gt;&lt;foreign-keys&gt;&lt;key app="EN" db-id="95tpr2tp6r9xwoea9rb5wdsz5ds5xeddteew" timestamp="1680069511"&gt;333&lt;/key&gt;&lt;/foreign-keys&gt;&lt;ref-type name="Book"&gt;6&lt;/ref-type&gt;&lt;contributors&gt;&lt;authors&gt;&lt;author&gt;Harari, Yuval Noah&lt;/author&gt;&lt;/authors&gt;&lt;/contributors&gt;&lt;titles&gt;&lt;title&gt;Homo Deus - En kort historie om i morgen&lt;/title&gt;&lt;/titles&gt;&lt;dates&gt;&lt;year&gt;2018&lt;/year&gt;&lt;/dates&gt;&lt;pub-location&gt;Oslo&lt;/pub-location&gt;&lt;publisher&gt;Cappelen Damm&lt;/publisher&gt;&lt;orig-pub&gt;HomoDeus - A short history of tomorrow&lt;/orig-pub&gt;&lt;isbn&gt;9788202586874&lt;/isbn&gt;&lt;urls&gt;&lt;/urls&gt;&lt;/record&gt;&lt;/Cite&gt;&lt;/EndNote&gt;</w:instrText>
      </w:r>
      <w:r>
        <w:fldChar w:fldCharType="separate"/>
      </w:r>
      <w:r>
        <w:rPr>
          <w:noProof/>
        </w:rPr>
        <w:t>(Harari, 2018)</w:t>
      </w:r>
      <w:r>
        <w:fldChar w:fldCharType="end"/>
      </w:r>
      <w:r>
        <w:t>.</w:t>
      </w:r>
    </w:p>
    <w:p w14:paraId="24396C7B" w14:textId="1274F37E" w:rsidR="00916EE1" w:rsidRPr="001F05FE" w:rsidRDefault="00916EE1" w:rsidP="00775632">
      <w:pPr>
        <w:pStyle w:val="Overskrift2"/>
      </w:pPr>
      <w:bookmarkStart w:id="5830" w:name="_Toc130983597"/>
      <w:bookmarkStart w:id="5831" w:name="_Toc130983946"/>
      <w:bookmarkStart w:id="5832" w:name="_Toc131062219"/>
      <w:bookmarkStart w:id="5833" w:name="_Toc131062473"/>
      <w:bookmarkStart w:id="5834" w:name="_Toc131062734"/>
      <w:bookmarkStart w:id="5835" w:name="_Toc131062987"/>
      <w:bookmarkStart w:id="5836" w:name="_Toc131063770"/>
      <w:bookmarkStart w:id="5837" w:name="_Toc131064181"/>
      <w:bookmarkStart w:id="5838" w:name="_Toc131238586"/>
      <w:bookmarkStart w:id="5839" w:name="_Toc131279677"/>
      <w:bookmarkStart w:id="5840" w:name="_Toc131287089"/>
      <w:bookmarkStart w:id="5841" w:name="_Toc131281499"/>
      <w:bookmarkStart w:id="5842" w:name="_Toc131318039"/>
      <w:bookmarkStart w:id="5843" w:name="_Toc132537106"/>
      <w:r w:rsidRPr="001F05FE">
        <w:t>Algoritmen for bytte av fastlege</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p>
    <w:p w14:paraId="76267D55" w14:textId="77777777" w:rsidR="00D9107F" w:rsidRDefault="00916EE1" w:rsidP="00141846">
      <w:pPr>
        <w:jc w:val="both"/>
      </w:pPr>
      <w:r w:rsidRPr="006577D6">
        <w:t xml:space="preserve">Fastlegeordningen i Norge innebærer at innbyggerne selv, via Helsenorge.no, setter seg inn i regler for fastlegeordningen og bytter til ønsket fastlege </w:t>
      </w:r>
      <w:r w:rsidRPr="006577D6">
        <w:fldChar w:fldCharType="begin"/>
      </w:r>
      <w:r w:rsidR="00215268" w:rsidRPr="006577D6">
        <w:instrText xml:space="preserve"> ADDIN EN.CITE &lt;EndNote&gt;&lt;Cite ExcludeYear="1"&gt;&lt;Author&gt;Helsenorge&lt;/Author&gt;&lt;RecNum&gt;1029&lt;/RecNum&gt;&lt;DisplayText&gt;(Helsenorge)&lt;/DisplayText&gt;&lt;record&gt;&lt;rec-number&gt;1029&lt;/rec-number&gt;&lt;foreign-keys&gt;&lt;key app="EN" db-id="95tpr2tp6r9xwoea9rb5wdsz5ds5xeddteew" timestamp="1681146759"&gt;1029&lt;/key&gt;&lt;/foreign-keys&gt;&lt;ref-type name="Web Page"&gt;12&lt;/ref-type&gt;&lt;contributors&gt;&lt;authors&gt;&lt;author&gt;Helsenorge&lt;/author&gt;&lt;/authors&gt;&lt;/contributors&gt;&lt;titles&gt;&lt;title&gt;Om bytte av fastlege&lt;/title&gt;&lt;/titles&gt;&lt;number&gt;19.03.2023&lt;/number&gt;&lt;dates&gt;&lt;/dates&gt;&lt;urls&gt;&lt;related-urls&gt;&lt;url&gt;https://www.helsenorge.no/bytte-fastlege/om/&lt;/url&gt;&lt;/related-urls&gt;&lt;/urls&gt;&lt;/record&gt;&lt;/Cite&gt;&lt;Cite ExcludeYear="1"&gt;&lt;Author&gt;Helsenorge&lt;/Author&gt;&lt;RecNum&gt;1029&lt;/RecNum&gt;&lt;record&gt;&lt;rec-number&gt;1029&lt;/rec-number&gt;&lt;foreign-keys&gt;&lt;key app="EN" db-id="95tpr2tp6r9xwoea9rb5wdsz5ds5xeddteew" timestamp="1681146759"&gt;1029&lt;/key&gt;&lt;/foreign-keys&gt;&lt;ref-type name="Web Page"&gt;12&lt;/ref-type&gt;&lt;contributors&gt;&lt;authors&gt;&lt;author&gt;Helsenorge&lt;/author&gt;&lt;/authors&gt;&lt;/contributors&gt;&lt;titles&gt;&lt;title&gt;Om bytte av fastlege&lt;/title&gt;&lt;/titles&gt;&lt;number&gt;19.03.2023&lt;/number&gt;&lt;dates&gt;&lt;/dates&gt;&lt;urls&gt;&lt;related-urls&gt;&lt;url&gt;https://www.helsenorge.no/bytte-fastlege/om/&lt;/url&gt;&lt;/related-urls&gt;&lt;/urls&gt;&lt;/record&gt;&lt;/Cite&gt;&lt;/EndNote&gt;</w:instrText>
      </w:r>
      <w:r w:rsidRPr="006577D6">
        <w:fldChar w:fldCharType="separate"/>
      </w:r>
      <w:r w:rsidR="00215268" w:rsidRPr="006577D6">
        <w:t>(Helsenorge)</w:t>
      </w:r>
      <w:r w:rsidRPr="006577D6">
        <w:fldChar w:fldCharType="end"/>
      </w:r>
      <w:r w:rsidRPr="006577D6">
        <w:t>. Dersom ønsket lege ikke er ledig, kan man sette seg på venteliste. Hver innbygger har rett til å bytte fastlege inntil to ganger per kalenderår, og kan</w:t>
      </w:r>
      <w:r w:rsidR="00E665E4" w:rsidRPr="006577D6">
        <w:t>,</w:t>
      </w:r>
      <w:r w:rsidRPr="006577D6">
        <w:t xml:space="preserve"> i tillegg til dette</w:t>
      </w:r>
      <w:r w:rsidR="00E665E4" w:rsidRPr="006577D6">
        <w:t>,</w:t>
      </w:r>
      <w:r w:rsidRPr="006577D6">
        <w:t xml:space="preserve"> bytte fastlege ved flytting eller hvis fastlegen slutter eller reduserer listen sin. Innbyggere som ønske</w:t>
      </w:r>
      <w:r w:rsidR="007B1331" w:rsidRPr="006577D6">
        <w:t>r</w:t>
      </w:r>
      <w:r w:rsidRPr="006577D6">
        <w:t xml:space="preserve"> det kan velge en fastlege i en annen kommune enn egen bostedskommune.</w:t>
      </w:r>
    </w:p>
    <w:p w14:paraId="343E44BA" w14:textId="77777777" w:rsidR="00D9107F" w:rsidRDefault="00916EE1" w:rsidP="00141846">
      <w:pPr>
        <w:jc w:val="both"/>
        <w:rPr>
          <w:color w:val="212121"/>
        </w:rPr>
      </w:pPr>
      <w:r w:rsidRPr="007F6B4B">
        <w:t>Dagens situasjon</w:t>
      </w:r>
      <w:r w:rsidR="00E665E4">
        <w:t>,</w:t>
      </w:r>
      <w:r w:rsidRPr="007F6B4B">
        <w:t xml:space="preserve"> med mangel på ledige listeplasser</w:t>
      </w:r>
      <w:r w:rsidR="00EE51B7">
        <w:t>,</w:t>
      </w:r>
      <w:r w:rsidRPr="007F6B4B">
        <w:t xml:space="preserve"> har redusert innbyggernes tilgang til fastlege og muligheten til å bytte fastlege. Dette kan medføre at innflyttere ikke får fastlege i den kommunen</w:t>
      </w:r>
      <w:r w:rsidRPr="00FB4DCF">
        <w:rPr>
          <w:color w:val="212121"/>
        </w:rPr>
        <w:t xml:space="preserve"> de flytter til, </w:t>
      </w:r>
      <w:r w:rsidR="00EE51B7">
        <w:rPr>
          <w:color w:val="212121"/>
        </w:rPr>
        <w:t>og</w:t>
      </w:r>
      <w:r w:rsidR="00EE51B7" w:rsidRPr="00FB4DCF">
        <w:rPr>
          <w:color w:val="212121"/>
        </w:rPr>
        <w:t xml:space="preserve"> </w:t>
      </w:r>
      <w:r w:rsidRPr="00FB4DCF">
        <w:rPr>
          <w:color w:val="212121"/>
        </w:rPr>
        <w:t xml:space="preserve">at </w:t>
      </w:r>
      <w:r w:rsidR="00EE51B7">
        <w:rPr>
          <w:color w:val="212121"/>
        </w:rPr>
        <w:t>innbyggere</w:t>
      </w:r>
      <w:r w:rsidRPr="00FB4DCF">
        <w:rPr>
          <w:color w:val="212121"/>
        </w:rPr>
        <w:t xml:space="preserve"> må vente lenge på </w:t>
      </w:r>
      <w:r w:rsidR="00EE51B7">
        <w:rPr>
          <w:color w:val="212121"/>
        </w:rPr>
        <w:t xml:space="preserve">å kunne bytte til </w:t>
      </w:r>
      <w:r w:rsidRPr="00FB4DCF">
        <w:rPr>
          <w:color w:val="212121"/>
        </w:rPr>
        <w:t>ny fastlege.</w:t>
      </w:r>
    </w:p>
    <w:p w14:paraId="3DFC40BD" w14:textId="77777777" w:rsidR="00D9107F" w:rsidRDefault="00916EE1" w:rsidP="00141846">
      <w:pPr>
        <w:jc w:val="both"/>
      </w:pPr>
      <w:r w:rsidRPr="09DB7E5B">
        <w:t xml:space="preserve">I et innspill til ekspertutvalget </w:t>
      </w:r>
      <w:r>
        <w:t>vises det til analyser som konkluderer med at u</w:t>
      </w:r>
      <w:r w:rsidRPr="2DAA613E">
        <w:t>tfordringene ved bytte av fastlege ser ut til å kunne reduseres ved å endre algoritmene i datasystemet for fastlegeordningen</w:t>
      </w:r>
      <w:r w:rsidR="00EE51B7">
        <w:t>,</w:t>
      </w:r>
      <w:r w:rsidRPr="2DAA613E">
        <w:t xml:space="preserve"> selv uten at listetaket økes</w:t>
      </w:r>
      <w:r>
        <w:t xml:space="preserve"> </w:t>
      </w:r>
      <w:r>
        <w:fldChar w:fldCharType="begin"/>
      </w:r>
      <w:r w:rsidR="00856689">
        <w:instrText xml:space="preserve"> ADDIN EN.CITE &lt;EndNote&gt;&lt;Cite&gt;&lt;Author&gt;Huitfeldt&lt;/Author&gt;&lt;Year&gt;2022&lt;/Year&gt;&lt;RecNum&gt;1002&lt;/RecNum&gt;&lt;DisplayText&gt;(Huitfeldt et al., 2022)&lt;/DisplayText&gt;&lt;record&gt;&lt;rec-number&gt;1002&lt;/rec-number&gt;&lt;foreign-keys&gt;&lt;key app="EN" db-id="95tpr2tp6r9xwoea9rb5wdsz5ds5xeddteew" timestamp="1680255341"&gt;1002&lt;/key&gt;&lt;/foreign-keys&gt;&lt;ref-type name="Conference Paper"&gt;47&lt;/ref-type&gt;&lt;contributors&gt;&lt;authors&gt;&lt;author&gt;Huitfeldt, I.&lt;/author&gt;&lt;author&gt;Marone, V.&lt;/author&gt;&lt;author&gt;Waldinger, D.&lt;/author&gt;&lt;/authors&gt;&lt;/contributors&gt;&lt;titles&gt;&lt;title&gt;Allocating Primary Care Physicians Without Prices&lt;/title&gt;&lt;/titles&gt;&lt;dates&gt;&lt;year&gt;2022&lt;/year&gt;&lt;/dates&gt;&lt;urls&gt;&lt;related-urls&gt;&lt;url&gt;https://victoriamarone.github.io/files/Fastlege_venteliste_90min.pdf&lt;/url&gt;&lt;/related-urls&gt;&lt;/urls&gt;&lt;/record&gt;&lt;/Cite&gt;&lt;/EndNote&gt;</w:instrText>
      </w:r>
      <w:r>
        <w:fldChar w:fldCharType="separate"/>
      </w:r>
      <w:r w:rsidR="00856689">
        <w:rPr>
          <w:noProof/>
        </w:rPr>
        <w:t>(Huitfeldt et al., 2022)</w:t>
      </w:r>
      <w:r>
        <w:fldChar w:fldCharType="end"/>
      </w:r>
      <w:r w:rsidRPr="2DAA613E">
        <w:t xml:space="preserve">. Per i dag er det ikke mulig å bytte fastlege </w:t>
      </w:r>
      <w:r>
        <w:t xml:space="preserve">mellom </w:t>
      </w:r>
      <w:r w:rsidRPr="2DAA613E">
        <w:t xml:space="preserve">to personer </w:t>
      </w:r>
      <w:r>
        <w:t>som flytter hver sin vei</w:t>
      </w:r>
      <w:r w:rsidR="00EE51B7">
        <w:t>,</w:t>
      </w:r>
      <w:r>
        <w:t xml:space="preserve"> mellom de to samme </w:t>
      </w:r>
      <w:r w:rsidR="00A60E17">
        <w:t>kommunene</w:t>
      </w:r>
      <w:r>
        <w:t xml:space="preserve">, </w:t>
      </w:r>
      <w:r w:rsidRPr="2DAA613E">
        <w:t>gitt at alle liste</w:t>
      </w:r>
      <w:r>
        <w:t xml:space="preserve">ne er fulle i begge </w:t>
      </w:r>
      <w:r w:rsidR="00A60E17">
        <w:t>kommunene</w:t>
      </w:r>
      <w:r w:rsidRPr="2DAA613E">
        <w:t xml:space="preserve">. </w:t>
      </w:r>
      <w:r>
        <w:t xml:space="preserve">Personen som flytter fra </w:t>
      </w:r>
      <w:r w:rsidR="00A60E17">
        <w:t>kommune</w:t>
      </w:r>
      <w:r>
        <w:t xml:space="preserve"> A til by B </w:t>
      </w:r>
      <w:r w:rsidRPr="2DAA613E">
        <w:t>si</w:t>
      </w:r>
      <w:r>
        <w:t>er</w:t>
      </w:r>
      <w:r w:rsidRPr="2DAA613E">
        <w:t xml:space="preserve"> ikke opp sin fastlege i A fordi det ikke er noen ledige </w:t>
      </w:r>
      <w:r>
        <w:t>fastlege</w:t>
      </w:r>
      <w:r w:rsidRPr="2DAA613E">
        <w:t xml:space="preserve">plasser </w:t>
      </w:r>
      <w:r>
        <w:t xml:space="preserve">i B. Og personen som flytter fra </w:t>
      </w:r>
      <w:r w:rsidR="00A60E17">
        <w:t>kommune</w:t>
      </w:r>
      <w:r>
        <w:t xml:space="preserve"> B til by A, sier ikke opp sin fastlege i B fordi det ikke er noen ledige fastlegeplasser i A</w:t>
      </w:r>
      <w:r w:rsidRPr="2DAA613E">
        <w:t xml:space="preserve">. </w:t>
      </w:r>
      <w:r>
        <w:t>Begge personene ville imidlertid kunne kommet bedre ut dersom de kunne byttet fastlege seg imellom, i stedet for dagens ordning</w:t>
      </w:r>
      <w:r w:rsidR="00EE51B7">
        <w:t>,</w:t>
      </w:r>
      <w:r>
        <w:t xml:space="preserve"> der de ser ut til å bli låst inne på hver sin venteliste fordi ingen av dem sier opp sin fastlege.</w:t>
      </w:r>
    </w:p>
    <w:p w14:paraId="3B92202E" w14:textId="77777777" w:rsidR="00D9107F" w:rsidRDefault="00916EE1" w:rsidP="00B906B9">
      <w:pPr>
        <w:jc w:val="both"/>
      </w:pPr>
      <w:r>
        <w:lastRenderedPageBreak/>
        <w:t>Når stadig flere står uten fast lege, og rettigheten til å kunne velge eller bytte fastlege er utfordret, bør det vurderes å justere algoritmen</w:t>
      </w:r>
      <w:r w:rsidR="00EE51B7">
        <w:t>,</w:t>
      </w:r>
      <w:r>
        <w:t xml:space="preserve"> slik at to personer som flytter motsatt vei av hverandre kan bytte fastlege uten at den ene først må si opp sin eksisterende fastlege.</w:t>
      </w:r>
    </w:p>
    <w:p w14:paraId="3A87DA20" w14:textId="114C6A2E" w:rsidR="00916EE1" w:rsidRDefault="00916EE1" w:rsidP="00775632">
      <w:pPr>
        <w:pStyle w:val="Overskrift2"/>
      </w:pPr>
      <w:bookmarkStart w:id="5844" w:name="_Toc130853688"/>
      <w:bookmarkStart w:id="5845" w:name="_Toc130932175"/>
      <w:bookmarkStart w:id="5846" w:name="_Toc130934466"/>
      <w:bookmarkStart w:id="5847" w:name="_Toc130983598"/>
      <w:bookmarkStart w:id="5848" w:name="_Toc130983947"/>
      <w:bookmarkStart w:id="5849" w:name="_Toc131062220"/>
      <w:bookmarkStart w:id="5850" w:name="_Toc131062474"/>
      <w:bookmarkStart w:id="5851" w:name="_Toc131062735"/>
      <w:bookmarkStart w:id="5852" w:name="_Toc131062988"/>
      <w:bookmarkStart w:id="5853" w:name="_Toc131063771"/>
      <w:bookmarkStart w:id="5854" w:name="_Toc131064182"/>
      <w:bookmarkStart w:id="5855" w:name="_Toc131238587"/>
      <w:bookmarkStart w:id="5856" w:name="_Toc131279678"/>
      <w:bookmarkStart w:id="5857" w:name="_Toc131287090"/>
      <w:bookmarkStart w:id="5858" w:name="_Toc131281500"/>
      <w:bookmarkStart w:id="5859" w:name="_Toc131318040"/>
      <w:bookmarkStart w:id="5860" w:name="_Toc132537107"/>
      <w:r>
        <w:t xml:space="preserve">Endrede </w:t>
      </w:r>
      <w:r w:rsidRPr="00F15788">
        <w:t>forvent</w:t>
      </w:r>
      <w:r w:rsidR="00EE51B7">
        <w:t>n</w:t>
      </w:r>
      <w:r w:rsidRPr="00F15788">
        <w:t>inger</w:t>
      </w:r>
      <w:r>
        <w:t xml:space="preserve"> og ny rolle for allmennleger</w:t>
      </w:r>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521BCE62" w14:textId="77777777" w:rsidR="00D9107F" w:rsidRDefault="00916EE1" w:rsidP="00775632">
      <w:pPr>
        <w:pStyle w:val="Overskrift3"/>
      </w:pPr>
      <w:bookmarkStart w:id="5861" w:name="_Toc130853689"/>
      <w:bookmarkStart w:id="5862" w:name="_Toc130932176"/>
      <w:bookmarkStart w:id="5863" w:name="_Toc130934467"/>
      <w:bookmarkStart w:id="5864" w:name="_Toc130983599"/>
      <w:bookmarkStart w:id="5865" w:name="_Toc130983948"/>
      <w:bookmarkStart w:id="5866" w:name="_Toc131062221"/>
      <w:bookmarkStart w:id="5867" w:name="_Toc131062475"/>
      <w:bookmarkStart w:id="5868" w:name="_Toc131062736"/>
      <w:bookmarkStart w:id="5869" w:name="_Toc131062989"/>
      <w:bookmarkStart w:id="5870" w:name="_Toc131063772"/>
      <w:bookmarkStart w:id="5871" w:name="_Toc131064183"/>
      <w:bookmarkStart w:id="5872" w:name="_Toc131238588"/>
      <w:bookmarkStart w:id="5873" w:name="_Toc131279679"/>
      <w:bookmarkStart w:id="5874" w:name="_Toc131287091"/>
      <w:bookmarkStart w:id="5875" w:name="_Toc131281501"/>
      <w:bookmarkStart w:id="5876" w:name="_Toc131318041"/>
      <w:bookmarkStart w:id="5877" w:name="_Toc132537108"/>
      <w:r w:rsidRPr="00884C9D">
        <w:t>Økte forvent</w:t>
      </w:r>
      <w:r w:rsidR="00EE51B7">
        <w:t>n</w:t>
      </w:r>
      <w:r w:rsidRPr="00884C9D">
        <w:t>inger og tilgjengelighetskrav</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14:paraId="4F7A8E74" w14:textId="059C23F3" w:rsidR="00916EE1" w:rsidRPr="006577D6" w:rsidRDefault="00916EE1" w:rsidP="00141846">
      <w:pPr>
        <w:jc w:val="both"/>
      </w:pPr>
      <w:r>
        <w:t>Ifølge undersøkelsen e-health barometer</w:t>
      </w:r>
      <w:r w:rsidR="000227F9">
        <w:t xml:space="preserve"> </w:t>
      </w:r>
      <w:r w:rsidR="00022138">
        <w:fldChar w:fldCharType="begin"/>
      </w:r>
      <w:r w:rsidR="00022138">
        <w:instrText xml:space="preserve"> ADDIN EN.CITE &lt;EndNote&gt;&lt;Cite ExcludeYear="1"&gt;&lt;Author&gt;Opinion&lt;/Author&gt;&lt;RecNum&gt;531&lt;/RecNum&gt;&lt;DisplayText&gt;(Opinion)&lt;/DisplayText&gt;&lt;record&gt;&lt;rec-number&gt;531&lt;/rec-number&gt;&lt;foreign-keys&gt;&lt;key app="EN" db-id="95tpr2tp6r9xwoea9rb5wdsz5ds5xeddteew" timestamp="1680069511"&gt;531&lt;/key&gt;&lt;/foreign-keys&gt;&lt;ref-type name="Web Page"&gt;12&lt;/ref-type&gt;&lt;contributors&gt;&lt;authors&gt;&lt;author&gt;Opinion&lt;/author&gt;&lt;/authors&gt;&lt;/contributors&gt;&lt;titles&gt;&lt;title&gt;Nordic e-health barometer: A study measuring the development in the Nordic populations use, attitude and readiness for digital health services&lt;/title&gt;&lt;/titles&gt;&lt;number&gt;10.02.23&lt;/number&gt;&lt;dates&gt;&lt;/dates&gt;&lt;pub-location&gt;Oslo&lt;/pub-location&gt;&lt;publisher&gt;Opinion&lt;/publisher&gt;&lt;work-type&gt;nettdokument&lt;/work-type&gt;&lt;urls&gt;&lt;related-urls&gt;&lt;url&gt;https://opinion.no/nordic-e-health-barometer/&lt;/url&gt;&lt;/related-urls&gt;&lt;/urls&gt;&lt;/record&gt;&lt;/Cite&gt;&lt;/EndNote&gt;</w:instrText>
      </w:r>
      <w:r w:rsidR="00022138">
        <w:fldChar w:fldCharType="separate"/>
      </w:r>
      <w:r w:rsidR="00022138">
        <w:t>(Opinion)</w:t>
      </w:r>
      <w:r w:rsidR="00022138">
        <w:fldChar w:fldCharType="end"/>
      </w:r>
      <w:r>
        <w:t xml:space="preserve">, utført på tvers av de fem nordiske landene i april 2022, har fire av ti innbyggere i Norge hatt digital kontakt med sin fastlege i løpet av det siste året. Undersøkelsen tilsier at Norge ligger betydelig høyere enn de andre nordiske landene i bruk av digitale </w:t>
      </w:r>
      <w:r w:rsidRPr="6024ED02">
        <w:t>plattformer til å følge med på eller få veiledning i helserelaterte forhold. 60 posent av de spurte har brukt denne type teknologi, og oppfølging av fysisk aktivitet er det mest vanlige formålet. 80 prosent av de spurte har besøkt helsenorge.no i løpet av det siste året. I samme periode har over 60 prosent brukt en digital helsetjeneste, hvor e-resept er den klart mest benyttede. 1 av 3 sier de har eller vil prøve apper for mentalt velvære, motivasjon, avkobling og liknende. De fleste (rundt 80</w:t>
      </w:r>
      <w:r w:rsidR="00EE51B7">
        <w:t xml:space="preserve"> prosent</w:t>
      </w:r>
      <w:r w:rsidRPr="6024ED02">
        <w:t>) sier de er positive til å dele helsedata på tvers av Norden</w:t>
      </w:r>
      <w:r w:rsidR="00EE51B7">
        <w:t>,</w:t>
      </w:r>
      <w:r w:rsidRPr="6024ED02">
        <w:t xml:space="preserve"> for å kunne motta korrekt behandling på sykehus eller hente ut resepter i andre nordiske land.</w:t>
      </w:r>
    </w:p>
    <w:p w14:paraId="3D5EECB4" w14:textId="77777777" w:rsidR="00D9107F" w:rsidRDefault="00916EE1" w:rsidP="00141846">
      <w:pPr>
        <w:jc w:val="both"/>
      </w:pPr>
      <w:r w:rsidRPr="006577D6">
        <w:t>De fleste nordmenn ønsker en selvstendig mulighet til å reservere seg mot deling av egne helsedata.</w:t>
      </w:r>
    </w:p>
    <w:p w14:paraId="46ABD419" w14:textId="0FC96CC8" w:rsidR="00916EE1" w:rsidRDefault="00916EE1" w:rsidP="00141846">
      <w:pPr>
        <w:jc w:val="both"/>
      </w:pPr>
      <w:r>
        <w:t xml:space="preserve">Brukerorganisasjoner mener det er viktig at </w:t>
      </w:r>
      <w:r w:rsidRPr="68DF4D6E">
        <w:t xml:space="preserve">innbyggerne får bedre tilgang til egne helseopplysninger, og at oppdatert helseinformasjon følger pasienten i forløpet mellom tjenester og nivåer. De mener også at digitale løsninger bidrar til å gjøre pasienter mer aktive og deltakende i egen behandling og oppfølging, og at pasienten </w:t>
      </w:r>
      <w:r>
        <w:t>bør være</w:t>
      </w:r>
      <w:r w:rsidRPr="68DF4D6E">
        <w:t xml:space="preserve"> trygg på at lege og helsepersonell har riktig og oppdatert informasjon.</w:t>
      </w:r>
    </w:p>
    <w:p w14:paraId="689439AB" w14:textId="77777777" w:rsidR="00916EE1" w:rsidRPr="00915F4B" w:rsidRDefault="00916EE1" w:rsidP="00775632">
      <w:pPr>
        <w:pStyle w:val="Overskrift3"/>
      </w:pPr>
      <w:bookmarkStart w:id="5878" w:name="_Toc130853690"/>
      <w:bookmarkStart w:id="5879" w:name="_Toc130932177"/>
      <w:bookmarkStart w:id="5880" w:name="_Toc130934468"/>
      <w:bookmarkStart w:id="5881" w:name="_Toc130983600"/>
      <w:bookmarkStart w:id="5882" w:name="_Toc130983949"/>
      <w:bookmarkStart w:id="5883" w:name="_Toc131062222"/>
      <w:bookmarkStart w:id="5884" w:name="_Toc131062476"/>
      <w:bookmarkStart w:id="5885" w:name="_Toc131062737"/>
      <w:bookmarkStart w:id="5886" w:name="_Toc131062990"/>
      <w:bookmarkStart w:id="5887" w:name="_Toc131063773"/>
      <w:bookmarkStart w:id="5888" w:name="_Toc131064184"/>
      <w:bookmarkStart w:id="5889" w:name="_Toc131238589"/>
      <w:bookmarkStart w:id="5890" w:name="_Toc131279680"/>
      <w:bookmarkStart w:id="5891" w:name="_Toc131287092"/>
      <w:bookmarkStart w:id="5892" w:name="_Toc131281502"/>
      <w:bookmarkStart w:id="5893" w:name="_Toc131318042"/>
      <w:bookmarkStart w:id="5894" w:name="_Toc132537109"/>
      <w:r>
        <w:t>Økt bruk av e</w:t>
      </w:r>
      <w:r w:rsidRPr="00915F4B">
        <w:t>-konsultasjon</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14:paraId="38DF24E6" w14:textId="77777777" w:rsidR="00D9107F" w:rsidRDefault="00916EE1" w:rsidP="000623DE">
      <w:pPr>
        <w:rPr>
          <w:rFonts w:eastAsia="Calibri"/>
        </w:rPr>
      </w:pPr>
      <w:r>
        <w:rPr>
          <w:rFonts w:eastAsia="Calibri"/>
        </w:rPr>
        <w:t>Dagens teknologi gjør det mulig å ta imot og vurdere en rekke tilstander som legen tidligere måtte møte pasienten fysisk for å håndtere. Dette kommer til uttrykk ved at bruken av e-konsultasjoner hos fastlegene har økt betydelig de siste årene</w:t>
      </w:r>
      <w:r w:rsidR="005A4FD0">
        <w:rPr>
          <w:rFonts w:eastAsia="Calibri"/>
        </w:rPr>
        <w:t xml:space="preserve"> </w:t>
      </w:r>
      <w:r w:rsidR="00EE6142">
        <w:rPr>
          <w:rFonts w:eastAsia="Calibri"/>
        </w:rPr>
        <w:t>(Se Utfordringsbildet, kap</w:t>
      </w:r>
      <w:r w:rsidR="00C84943">
        <w:rPr>
          <w:rFonts w:eastAsia="Calibri"/>
        </w:rPr>
        <w:t>.</w:t>
      </w:r>
      <w:r w:rsidR="00EE6142">
        <w:rPr>
          <w:rFonts w:eastAsia="Calibri"/>
        </w:rPr>
        <w:t xml:space="preserve"> 2.3.6)</w:t>
      </w:r>
      <w:r>
        <w:rPr>
          <w:rFonts w:eastAsia="Calibri"/>
        </w:rPr>
        <w:t>, men også ved at det har vokst fram helprivate tilbydere av elektroniske løsninger</w:t>
      </w:r>
      <w:r w:rsidR="00EE51B7">
        <w:rPr>
          <w:rFonts w:eastAsia="Calibri"/>
        </w:rPr>
        <w:t>,</w:t>
      </w:r>
      <w:r>
        <w:rPr>
          <w:rFonts w:eastAsia="Calibri"/>
        </w:rPr>
        <w:t xml:space="preserve"> som e-konsultasjoner og mer automatisert behandling av forskrivninger.</w:t>
      </w:r>
    </w:p>
    <w:p w14:paraId="3FA68306" w14:textId="7DAB8A22" w:rsidR="00916EE1" w:rsidRPr="000623DE" w:rsidRDefault="00916EE1" w:rsidP="000623DE">
      <w:pPr>
        <w:rPr>
          <w:rFonts w:eastAsia="Calibri"/>
        </w:rPr>
      </w:pPr>
      <w:r w:rsidRPr="000623DE">
        <w:t>Det er viktig at innretning</w:t>
      </w:r>
      <w:r w:rsidR="002C781E" w:rsidRPr="000623DE">
        <w:t>en</w:t>
      </w:r>
      <w:r w:rsidRPr="000623DE">
        <w:t xml:space="preserve"> på e-konsultasjonstjenesten bidrar til mest mulig likeverdig bruk av tjenesten</w:t>
      </w:r>
      <w:r w:rsidR="00EE51B7" w:rsidRPr="000623DE">
        <w:t>,</w:t>
      </w:r>
      <w:r w:rsidRPr="000623DE">
        <w:t xml:space="preserve"> </w:t>
      </w:r>
      <w:r w:rsidR="002C781E" w:rsidRPr="000623DE">
        <w:t xml:space="preserve">og </w:t>
      </w:r>
      <w:r w:rsidR="00413730" w:rsidRPr="000623DE">
        <w:t xml:space="preserve">til </w:t>
      </w:r>
      <w:r w:rsidRPr="000623DE">
        <w:t>hensiktsmessig</w:t>
      </w:r>
      <w:r w:rsidR="002C781E" w:rsidRPr="000623DE">
        <w:t>het</w:t>
      </w:r>
      <w:r w:rsidRPr="000623DE">
        <w:t xml:space="preserve"> både for pasient og fastlege. Ekspertutvalget mener det </w:t>
      </w:r>
      <w:r w:rsidR="006B50D5" w:rsidRPr="000623DE">
        <w:t>kan være</w:t>
      </w:r>
      <w:r w:rsidRPr="000623DE">
        <w:t xml:space="preserve"> en risiko for at </w:t>
      </w:r>
      <w:r w:rsidR="006B50D5" w:rsidRPr="000623DE">
        <w:rPr>
          <w:rFonts w:eastAsia="Calibri"/>
        </w:rPr>
        <w:t xml:space="preserve">unødvendig bruk av </w:t>
      </w:r>
      <w:r w:rsidRPr="000623DE">
        <w:rPr>
          <w:rFonts w:eastAsia="Calibri"/>
        </w:rPr>
        <w:t xml:space="preserve">e-konsultasjoner </w:t>
      </w:r>
      <w:r w:rsidR="006B50D5" w:rsidRPr="000623DE">
        <w:rPr>
          <w:rFonts w:eastAsia="Calibri"/>
        </w:rPr>
        <w:t>kan bidra</w:t>
      </w:r>
      <w:r w:rsidRPr="000623DE">
        <w:rPr>
          <w:rFonts w:eastAsia="Calibri"/>
        </w:rPr>
        <w:t xml:space="preserve"> til at fastlegen</w:t>
      </w:r>
      <w:r w:rsidR="006B50D5" w:rsidRPr="000623DE">
        <w:rPr>
          <w:rFonts w:eastAsia="Calibri"/>
        </w:rPr>
        <w:t>e</w:t>
      </w:r>
      <w:r w:rsidRPr="000623DE">
        <w:rPr>
          <w:rFonts w:eastAsia="Calibri"/>
        </w:rPr>
        <w:t xml:space="preserve"> bruker mer tid på pasienter med enkle problemstillinger, noe som kan gå på bekostning av å hjelpe de som har størst behov, se </w:t>
      </w:r>
      <w:r w:rsidR="00770AAA" w:rsidRPr="000623DE">
        <w:rPr>
          <w:rFonts w:eastAsia="Calibri"/>
        </w:rPr>
        <w:t>organisering avsnitt</w:t>
      </w:r>
      <w:r w:rsidRPr="000623DE">
        <w:rPr>
          <w:rFonts w:eastAsia="Calibri"/>
        </w:rPr>
        <w:t xml:space="preserve"> 4.6.</w:t>
      </w:r>
      <w:r w:rsidR="00770AAA" w:rsidRPr="000623DE">
        <w:rPr>
          <w:rFonts w:eastAsia="Calibri"/>
        </w:rPr>
        <w:t>3.</w:t>
      </w:r>
      <w:r w:rsidRPr="000623DE">
        <w:rPr>
          <w:rFonts w:eastAsia="Calibri"/>
        </w:rPr>
        <w:t xml:space="preserve"> Det kan også stilles spørsmål ved den </w:t>
      </w:r>
      <w:r w:rsidRPr="000623DE">
        <w:rPr>
          <w:rFonts w:eastAsia="Calibri"/>
        </w:rPr>
        <w:lastRenderedPageBreak/>
        <w:t xml:space="preserve">samfunnsøkonomiske nytten av at pasienten kan chatte med fastlegen via e-konsultasjon </w:t>
      </w:r>
      <w:r w:rsidRPr="000623DE">
        <w:rPr>
          <w:rFonts w:eastAsia="Calibri"/>
        </w:rPr>
        <w:fldChar w:fldCharType="begin"/>
      </w:r>
      <w:r w:rsidRPr="000623DE">
        <w:instrText xml:space="preserve"> ADDIN EN.CITE &lt;EndNote&gt;&lt;Cite&gt;&lt;Author&gt;Uglenes&lt;/Author&gt;&lt;Year&gt;2022&lt;/Year&gt;&lt;RecNum&gt;204&lt;/RecNum&gt;&lt;DisplayText&gt;(Uglenes, 2022)&lt;/DisplayText&gt;&lt;record&gt;&lt;rec-number&gt;204&lt;/rec-number&gt;&lt;foreign-keys&gt;&lt;key app="EN" db-id="95tpr2tp6r9xwoea9rb5wdsz5ds5xeddteew" timestamp="1680069511"&gt;204&lt;/key&gt;&lt;/foreign-keys&gt;&lt;ref-type name="Journal Article"&gt;17&lt;/ref-type&gt;&lt;contributors&gt;&lt;authors&gt;&lt;author&gt;Inger Cecilia Uglenes&lt;/author&gt;&lt;/authors&gt;&lt;/contributors&gt;&lt;titles&gt;&lt;title&gt;Er e-konsultasjon hos fastlegen god samfunnsøkonomi?&lt;/title&gt;&lt;secondary-title&gt;Dagens medisin&lt;/secondary-title&gt;&lt;/titles&gt;&lt;periodical&gt;&lt;full-title&gt;Dagens medisin&lt;/full-title&gt;&lt;/periodical&gt;&lt;number&gt;Fredag 16. desember 2022&lt;/number&gt;&lt;dates&gt;&lt;year&gt;2022&lt;/year&gt;&lt;/dates&gt;&lt;urls&gt;&lt;related-urls&gt;&lt;url&gt;https://www.dagensmedisin.no/debatt-og-kronikk/er-e-konsultasjon-hos-fastlegen-god-samfunnsokonomi/155938&lt;/url&gt;&lt;/related-urls&gt;&lt;/urls&gt;&lt;/record&gt;&lt;/Cite&gt;&lt;/EndNote&gt;</w:instrText>
      </w:r>
      <w:r w:rsidRPr="000623DE">
        <w:rPr>
          <w:rFonts w:eastAsia="Calibri"/>
        </w:rPr>
        <w:fldChar w:fldCharType="separate"/>
      </w:r>
      <w:r w:rsidRPr="000623DE">
        <w:rPr>
          <w:rFonts w:eastAsia="Calibri"/>
        </w:rPr>
        <w:t>(Uglenes, 2022)</w:t>
      </w:r>
      <w:r w:rsidRPr="000623DE">
        <w:rPr>
          <w:rFonts w:eastAsia="Calibri"/>
        </w:rPr>
        <w:fldChar w:fldCharType="end"/>
      </w:r>
      <w:r w:rsidR="006577D6" w:rsidRPr="000623DE">
        <w:rPr>
          <w:rFonts w:eastAsia="Calibri"/>
        </w:rPr>
        <w:t>.</w:t>
      </w:r>
    </w:p>
    <w:p w14:paraId="71FD6361" w14:textId="569F421C" w:rsidR="00916EE1" w:rsidRPr="000623DE" w:rsidRDefault="00916EE1" w:rsidP="000623DE">
      <w:r w:rsidRPr="000623DE">
        <w:rPr>
          <w:rFonts w:eastAsia="Calibri"/>
        </w:rPr>
        <w:t>Fastlegenes meninger om e-konsultasjon er delte, noen opplever at det avlaster, andre at det skaper merarbeid og</w:t>
      </w:r>
      <w:r w:rsidRPr="000623DE">
        <w:t xml:space="preserve"> usikkerhet. De fleste er enige om at belastningen i form av tidsbruk med elektronisk arbeid har økt betraktelig de siste årene </w:t>
      </w:r>
      <w:r w:rsidRPr="000623DE">
        <w:fldChar w:fldCharType="begin"/>
      </w:r>
      <w:r w:rsidR="004654FD" w:rsidRPr="000623DE">
        <w:instrText xml:space="preserve"> ADDIN EN.CITE &lt;EndNote&gt;&lt;Cite ExcludeAuth="1"&gt;&lt;Author&gt;Koworera&lt;/Author&gt;&lt;Year&gt;2022&lt;/Year&gt;&lt;RecNum&gt;393&lt;/RecNum&gt;&lt;DisplayText&gt;(2022)&lt;/DisplayText&gt;&lt;record&gt;&lt;rec-number&gt;393&lt;/rec-number&gt;&lt;foreign-keys&gt;&lt;key app="EN" db-id="95tpr2tp6r9xwoea9rb5wdsz5ds5xeddteew" timestamp="1680069511"&gt;393&lt;/key&gt;&lt;/foreign-keys&gt;&lt;ref-type name="Journal Article"&gt;17&lt;/ref-type&gt;&lt;contributors&gt;&lt;authors&gt;&lt;author&gt;Koworera, Lynn&lt;/author&gt;&lt;author&gt;Goldspink, Sally&lt;/author&gt;&lt;/authors&gt;&lt;/contributors&gt;&lt;auth-address&gt;Senior lecturer practitioner in advance clinical practice, Anglia Ruskin University, Cambridge, England&amp;#xD;Associate professor, professional doctorate director health and social care, Anglia Ruskin University, Cambridge, England&lt;/auth-address&gt;&lt;titles&gt;&lt;title&gt;Integrating new non-medical practitioners in general practices: barriers and facilitators&lt;/title&gt;&lt;secondary-title&gt;Primary Health Care&lt;/secondary-title&gt;&lt;/titles&gt;&lt;periodical&gt;&lt;full-title&gt;Primary Health Care&lt;/full-title&gt;&lt;/periodical&gt;&lt;pages&gt;27-33&lt;/pages&gt;&lt;volume&gt;32&lt;/volume&gt;&lt;number&gt;6&lt;/number&gt;&lt;keywords&gt;&lt;keyword&gt;Family Practice -- England&lt;/keyword&gt;&lt;keyword&gt;Skill Mix&lt;/keyword&gt;&lt;keyword&gt;Systems Integration&lt;/keyword&gt;&lt;keyword&gt;Human&lt;/keyword&gt;&lt;keyword&gt;England&lt;/keyword&gt;&lt;keyword&gt;Scoping Review&lt;/keyword&gt;&lt;keyword&gt;CINAHL Database&lt;/keyword&gt;&lt;keyword&gt;Medline&lt;/keyword&gt;&lt;keyword&gt;Advanced Practice Registered Nurses&lt;/keyword&gt;&lt;keyword&gt;Office Nursing&lt;/keyword&gt;&lt;keyword&gt;Career Planning and Development&lt;/keyword&gt;&lt;keyword&gt;Teamwork&lt;/keyword&gt;&lt;keyword&gt;Workforce&lt;/keyword&gt;&lt;/keywords&gt;&lt;dates&gt;&lt;year&gt;2022&lt;/year&gt;&lt;/dates&gt;&lt;publisher&gt;RCNi&lt;/publisher&gt;&lt;isbn&gt;0264-5033&lt;/isbn&gt;&lt;accession-num&gt;160420561. Language: English. Entry Date: 20221208. Revision Date: 20221208. Publication Type: Article&lt;/accession-num&gt;&lt;label&gt;10.7748/phc.2022.e1770&lt;/label&gt;&lt;urls&gt;&lt;related-urls&gt;&lt;url&gt;https://search.ebscohost.com/login.aspx?direct=true&amp;amp;db=cin20&amp;amp;AN=160420561&amp;amp;site=ehost-live&lt;/url&gt;&lt;/related-urls&gt;&lt;/urls&gt;&lt;remote-database-name&gt;Oppgaveglidning&lt;/remote-database-name&gt;&lt;remote-database-provider&gt;EBSCOhost&lt;/remote-database-provider&gt;&lt;/record&gt;&lt;/Cite&gt;&lt;/EndNote&gt;</w:instrText>
      </w:r>
      <w:r w:rsidRPr="000623DE">
        <w:fldChar w:fldCharType="separate"/>
      </w:r>
      <w:r w:rsidR="00235862" w:rsidRPr="000623DE">
        <w:t>(2022)</w:t>
      </w:r>
      <w:r w:rsidRPr="000623DE">
        <w:fldChar w:fldCharType="end"/>
      </w:r>
      <w:r w:rsidRPr="000623DE">
        <w:t>. En digital triageringsløsning kan tenkes å bidra til å prioritere blant henvendelsene og effektivisere tidsbruken for fastlegen, særlig knyttet til e-konsultasjoner</w:t>
      </w:r>
      <w:r w:rsidR="00141846" w:rsidRPr="000623DE">
        <w:t>.</w:t>
      </w:r>
    </w:p>
    <w:p w14:paraId="116D6807" w14:textId="77777777" w:rsidR="00916EE1" w:rsidRPr="000623DE" w:rsidRDefault="00916EE1" w:rsidP="00775632">
      <w:pPr>
        <w:pStyle w:val="Overskrift3"/>
      </w:pPr>
      <w:bookmarkStart w:id="5895" w:name="_Toc130853691"/>
      <w:bookmarkStart w:id="5896" w:name="_Toc130932178"/>
      <w:bookmarkStart w:id="5897" w:name="_Toc130934469"/>
      <w:bookmarkStart w:id="5898" w:name="_Toc130983601"/>
      <w:bookmarkStart w:id="5899" w:name="_Toc130983950"/>
      <w:bookmarkStart w:id="5900" w:name="_Toc131062223"/>
      <w:bookmarkStart w:id="5901" w:name="_Toc131062477"/>
      <w:bookmarkStart w:id="5902" w:name="_Toc131062738"/>
      <w:bookmarkStart w:id="5903" w:name="_Toc131062991"/>
      <w:bookmarkStart w:id="5904" w:name="_Toc131063774"/>
      <w:bookmarkStart w:id="5905" w:name="_Toc131064185"/>
      <w:bookmarkStart w:id="5906" w:name="_Toc131238590"/>
      <w:bookmarkStart w:id="5907" w:name="_Toc131279681"/>
      <w:bookmarkStart w:id="5908" w:name="_Toc131287093"/>
      <w:bookmarkStart w:id="5909" w:name="_Toc131281503"/>
      <w:bookmarkStart w:id="5910" w:name="_Toc131318043"/>
      <w:bookmarkStart w:id="5911" w:name="_Toc132537110"/>
      <w:r w:rsidRPr="000623DE">
        <w:t>Helsekompetanse og digitalt utenforskap</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43CE91B5" w14:textId="77777777" w:rsidR="00D9107F" w:rsidRDefault="00916EE1" w:rsidP="000623DE">
      <w:pPr>
        <w:rPr>
          <w:rFonts w:eastAsia="Calibri"/>
        </w:rPr>
      </w:pPr>
      <w:r w:rsidRPr="006577D6">
        <w:rPr>
          <w:rFonts w:eastAsia="Calibri"/>
        </w:rPr>
        <w:t xml:space="preserve">En undersøkelse tyder på at så mange som </w:t>
      </w:r>
      <w:r w:rsidR="00C503B3">
        <w:rPr>
          <w:rFonts w:eastAsia="Calibri"/>
        </w:rPr>
        <w:t>ti</w:t>
      </w:r>
      <w:r w:rsidRPr="006577D6">
        <w:rPr>
          <w:rFonts w:eastAsia="Calibri"/>
        </w:rPr>
        <w:t xml:space="preserve"> prosent av befolkningen står i fare for å falle utenfor viktige samfunnsarenaer på grunn av manglende digital kompetanse, og digitalt utenforskap rammer særlig personer med lav inntekt, høy alder, manglende samtykkekompetanse og de som står utenfor </w:t>
      </w:r>
      <w:r w:rsidR="00ED27A2" w:rsidRPr="006577D6">
        <w:rPr>
          <w:rFonts w:eastAsia="Calibri"/>
        </w:rPr>
        <w:t>arbeidslivet</w:t>
      </w:r>
      <w:r w:rsidRPr="006577D6">
        <w:rPr>
          <w:rFonts w:eastAsia="Calibri"/>
        </w:rPr>
        <w:t xml:space="preserve"> </w:t>
      </w:r>
      <w:r w:rsidR="00022138" w:rsidRPr="006577D6">
        <w:rPr>
          <w:rFonts w:eastAsia="Calibri"/>
        </w:rPr>
        <w:fldChar w:fldCharType="begin"/>
      </w:r>
      <w:r w:rsidR="00022138" w:rsidRPr="006577D6">
        <w:rPr>
          <w:rFonts w:eastAsia="Calibri"/>
        </w:rPr>
        <w:instrText xml:space="preserve"> ADDIN EN.CITE &lt;EndNote&gt;&lt;Cite&gt;&lt;Author&gt;Rambøll&lt;/Author&gt;&lt;Year&gt;2022&lt;/Year&gt;&lt;RecNum&gt;410&lt;/RecNum&gt;&lt;DisplayText&gt;(Rambøll, 2022)&lt;/DisplayText&gt;&lt;record&gt;&lt;rec-number&gt;410&lt;/rec-number&gt;&lt;foreign-keys&gt;&lt;key app="EN" db-id="95tpr2tp6r9xwoea9rb5wdsz5ds5xeddteew" timestamp="1680069511"&gt;410&lt;/key&gt;&lt;/foreign-keys&gt;&lt;ref-type name="Web Page"&gt;12&lt;/ref-type&gt;&lt;contributors&gt;&lt;authors&gt;&lt;author&gt;Rambøll&lt;/author&gt;&lt;/authors&gt;&lt;/contributors&gt;&lt;titles&gt;&lt;title&gt;IT i praksis 2022&lt;/title&gt;&lt;/titles&gt;&lt;number&gt;13.02.2023&lt;/number&gt;&lt;dates&gt;&lt;year&gt;2022&lt;/year&gt;&lt;pub-dates&gt;&lt;date&gt;2022&lt;/date&gt;&lt;/pub-dates&gt;&lt;/dates&gt;&lt;pub-location&gt;Oslo&lt;/pub-location&gt;&lt;publisher&gt;Ramboll.no&lt;/publisher&gt;&lt;work-type&gt;nettdokument&lt;/work-type&gt;&lt;urls&gt;&lt;related-urls&gt;&lt;url&gt;https://no.ramboll.com/presse/publikasjoner/it-i-praksis-2022&lt;/url&gt;&lt;/related-urls&gt;&lt;/urls&gt;&lt;/record&gt;&lt;/Cite&gt;&lt;/EndNote&gt;</w:instrText>
      </w:r>
      <w:r w:rsidR="00022138" w:rsidRPr="006577D6">
        <w:rPr>
          <w:rFonts w:eastAsia="Calibri"/>
        </w:rPr>
        <w:fldChar w:fldCharType="separate"/>
      </w:r>
      <w:r w:rsidR="00022138" w:rsidRPr="006577D6">
        <w:rPr>
          <w:rFonts w:eastAsia="Calibri"/>
        </w:rPr>
        <w:t>(Rambøll, 2022)</w:t>
      </w:r>
      <w:r w:rsidR="00022138" w:rsidRPr="006577D6">
        <w:rPr>
          <w:rFonts w:eastAsia="Calibri"/>
        </w:rPr>
        <w:fldChar w:fldCharType="end"/>
      </w:r>
      <w:r w:rsidRPr="006577D6">
        <w:rPr>
          <w:rFonts w:eastAsia="Calibri"/>
        </w:rPr>
        <w:t xml:space="preserve">. For å sikre likeverdige helsetjenester er det derfor viktig at digitaliseringen i allmennlegetjenesten skjer på en måte som ikke forsterker de sosiale </w:t>
      </w:r>
      <w:r w:rsidR="00ED27A2" w:rsidRPr="006577D6">
        <w:rPr>
          <w:rFonts w:eastAsia="Calibri"/>
        </w:rPr>
        <w:t>forskjellene</w:t>
      </w:r>
      <w:r w:rsidRPr="006577D6">
        <w:rPr>
          <w:rFonts w:eastAsia="Calibri"/>
        </w:rPr>
        <w:t xml:space="preserve"> i helse.</w:t>
      </w:r>
    </w:p>
    <w:p w14:paraId="52E7BD64" w14:textId="77777777" w:rsidR="00D9107F" w:rsidRDefault="00916EE1" w:rsidP="000623DE">
      <w:pPr>
        <w:rPr>
          <w:color w:val="000000"/>
          <w:shd w:val="clear" w:color="auto" w:fill="FFFFFF"/>
        </w:rPr>
      </w:pPr>
      <w:r w:rsidRPr="006577D6">
        <w:rPr>
          <w:rFonts w:eastAsia="Calibri"/>
        </w:rPr>
        <w:t>Gode selvhjelpsverktøy koblet til helsenorge.no kan være en måte å heve helsekompetansen i befolkningen på. I Nederland</w:t>
      </w:r>
      <w:r w:rsidRPr="649CAEF1">
        <w:rPr>
          <w:color w:val="000000"/>
          <w:shd w:val="clear" w:color="auto" w:fill="FFFFFF"/>
        </w:rPr>
        <w:t xml:space="preserve"> er det utviklet en nettside for befolkningen, som gir informasjon om vanlige allmennmedisinske problemstillinger, herunder råd om egenmestring og </w:t>
      </w:r>
      <w:r w:rsidR="00EE51B7">
        <w:rPr>
          <w:color w:val="000000"/>
          <w:shd w:val="clear" w:color="auto" w:fill="FFFFFF"/>
        </w:rPr>
        <w:t xml:space="preserve">om </w:t>
      </w:r>
      <w:r w:rsidRPr="649CAEF1">
        <w:rPr>
          <w:color w:val="000000"/>
          <w:shd w:val="clear" w:color="auto" w:fill="FFFFFF"/>
        </w:rPr>
        <w:t>når lege bør kontaktes. Det finnes lenker til informasjonsvideoer, andre relevante nettsider, selvhjelpsverktøy</w:t>
      </w:r>
      <w:r>
        <w:rPr>
          <w:color w:val="000000"/>
          <w:shd w:val="clear" w:color="auto" w:fill="FFFFFF"/>
        </w:rPr>
        <w:t>, osv</w:t>
      </w:r>
      <w:r w:rsidRPr="649CAEF1">
        <w:rPr>
          <w:color w:val="000000"/>
          <w:shd w:val="clear" w:color="auto" w:fill="FFFFFF"/>
        </w:rPr>
        <w:t xml:space="preserve"> (About GPinfo.nl)</w:t>
      </w:r>
      <w:r w:rsidR="00022138">
        <w:rPr>
          <w:color w:val="000000"/>
          <w:shd w:val="clear" w:color="auto" w:fill="FFFFFF"/>
        </w:rPr>
        <w:fldChar w:fldCharType="begin"/>
      </w:r>
      <w:r w:rsidR="00A86A67">
        <w:rPr>
          <w:color w:val="000000"/>
          <w:shd w:val="clear" w:color="auto" w:fill="FFFFFF"/>
        </w:rPr>
        <w:instrText xml:space="preserve"> ADDIN EN.CITE &lt;EndNote&gt;&lt;Cite ExcludeYear="1"&gt;&lt;Author&gt;Dutch College of GPs&lt;/Author&gt;&lt;RecNum&gt;6&lt;/RecNum&gt;&lt;DisplayText&gt;(Dutch College of GPs)&lt;/DisplayText&gt;&lt;record&gt;&lt;rec-number&gt;6&lt;/rec-number&gt;&lt;foreign-keys&gt;&lt;key app="EN" db-id="95tpr2tp6r9xwoea9rb5wdsz5ds5xeddteew" timestamp="1680069511"&gt;6&lt;/key&gt;&lt;/foreign-keys&gt;&lt;ref-type name="Web Page"&gt;12&lt;/ref-type&gt;&lt;contributors&gt;&lt;authors&gt;&lt;author&gt;Dutch College of GPs,&lt;/author&gt;&lt;/authors&gt;&lt;/contributors&gt;&lt;titles&gt;&lt;title&gt;About GPinfo.nl&lt;/title&gt;&lt;/titles&gt;&lt;number&gt;19.03.2023&lt;/number&gt;&lt;dates&gt;&lt;/dates&gt;&lt;publisher&gt;GPinfo.nl&lt;/publisher&gt;&lt;work-type&gt;nettside&lt;/work-type&gt;&lt;urls&gt;&lt;related-urls&gt;&lt;url&gt;https://gpinfo.nl/about-gpinfonl&lt;/url&gt;&lt;/related-urls&gt;&lt;/urls&gt;&lt;/record&gt;&lt;/Cite&gt;&lt;/EndNote&gt;</w:instrText>
      </w:r>
      <w:r w:rsidR="00022138">
        <w:rPr>
          <w:color w:val="000000"/>
          <w:shd w:val="clear" w:color="auto" w:fill="FFFFFF"/>
        </w:rPr>
        <w:fldChar w:fldCharType="separate"/>
      </w:r>
      <w:r w:rsidR="00904B00">
        <w:rPr>
          <w:noProof/>
          <w:color w:val="000000"/>
          <w:shd w:val="clear" w:color="auto" w:fill="FFFFFF"/>
        </w:rPr>
        <w:t>(Dutch College of GPs)</w:t>
      </w:r>
      <w:r w:rsidR="00022138">
        <w:rPr>
          <w:color w:val="000000"/>
          <w:shd w:val="clear" w:color="auto" w:fill="FFFFFF"/>
        </w:rPr>
        <w:fldChar w:fldCharType="end"/>
      </w:r>
      <w:r w:rsidRPr="649CAEF1">
        <w:rPr>
          <w:color w:val="000000"/>
          <w:shd w:val="clear" w:color="auto" w:fill="FFFFFF"/>
        </w:rPr>
        <w:t>. Formålet med nettsiden er å øke befolkningens helsekompetanse, og derved redusere behovet for legehjelp.</w:t>
      </w:r>
    </w:p>
    <w:p w14:paraId="58FAC74B" w14:textId="66B8998E" w:rsidR="00916EE1" w:rsidRDefault="00916EE1" w:rsidP="00775632">
      <w:pPr>
        <w:pStyle w:val="Overskrift2"/>
      </w:pPr>
      <w:bookmarkStart w:id="5912" w:name="_Toc129888228"/>
      <w:bookmarkStart w:id="5913" w:name="_Toc130853695"/>
      <w:bookmarkStart w:id="5914" w:name="_Toc130932179"/>
      <w:bookmarkStart w:id="5915" w:name="_Toc130934470"/>
      <w:bookmarkStart w:id="5916" w:name="_Toc130983602"/>
      <w:bookmarkStart w:id="5917" w:name="_Toc130983951"/>
      <w:bookmarkStart w:id="5918" w:name="_Toc131062224"/>
      <w:bookmarkStart w:id="5919" w:name="_Toc131062478"/>
      <w:bookmarkStart w:id="5920" w:name="_Toc131062739"/>
      <w:bookmarkStart w:id="5921" w:name="_Toc131062992"/>
      <w:bookmarkStart w:id="5922" w:name="_Toc131063775"/>
      <w:bookmarkStart w:id="5923" w:name="_Toc131064186"/>
      <w:bookmarkStart w:id="5924" w:name="_Toc131238591"/>
      <w:bookmarkStart w:id="5925" w:name="_Toc131279682"/>
      <w:bookmarkStart w:id="5926" w:name="_Toc131287094"/>
      <w:bookmarkStart w:id="5927" w:name="_Toc131281504"/>
      <w:bookmarkStart w:id="5928" w:name="_Toc131318044"/>
      <w:bookmarkStart w:id="5929" w:name="_Toc132537111"/>
      <w:r>
        <w:t>Å skape rom for endring</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14:paraId="124DE1FF" w14:textId="77777777" w:rsidR="00D9107F" w:rsidRDefault="00916EE1" w:rsidP="000623DE">
      <w:pPr>
        <w:rPr>
          <w:rFonts w:eastAsia="Calibri"/>
        </w:rPr>
      </w:pPr>
      <w:r w:rsidRPr="006577D6">
        <w:rPr>
          <w:rFonts w:eastAsia="Calibri"/>
        </w:rPr>
        <w:t>Når nye måter å løse en oppgave på skal testes ut, er det nødvendig å bruke tid på å identifisere hvilke arbeidsoppgaver som skal justeres</w:t>
      </w:r>
      <w:r w:rsidR="00EE51B7" w:rsidRPr="006577D6">
        <w:rPr>
          <w:rFonts w:eastAsia="Calibri"/>
        </w:rPr>
        <w:t>,</w:t>
      </w:r>
      <w:r w:rsidRPr="006577D6">
        <w:rPr>
          <w:rFonts w:eastAsia="Calibri"/>
        </w:rPr>
        <w:t xml:space="preserve"> og analysere effekter av endringene. Dette krever et fr</w:t>
      </w:r>
      <w:r w:rsidR="00EE51B7" w:rsidRPr="006577D6">
        <w:rPr>
          <w:rFonts w:eastAsia="Calibri"/>
        </w:rPr>
        <w:t>a</w:t>
      </w:r>
      <w:r w:rsidRPr="006577D6">
        <w:rPr>
          <w:rFonts w:eastAsia="Calibri"/>
        </w:rPr>
        <w:t xml:space="preserve">mtidsrettet lederfokus og at det skapes en læringskultur hvor det er lagt opp til å lære av feil og justere kurs underveis </w:t>
      </w:r>
      <w:r w:rsidRPr="006577D6">
        <w:rPr>
          <w:rFonts w:eastAsia="Calibri"/>
        </w:rPr>
        <w:fldChar w:fldCharType="begin"/>
      </w:r>
      <w:r w:rsidR="00856689" w:rsidRPr="006577D6">
        <w:rPr>
          <w:rFonts w:eastAsia="Calibri"/>
        </w:rPr>
        <w:instrText xml:space="preserve"> ADDIN EN.CITE &lt;EndNote&gt;&lt;Cite&gt;&lt;Author&gt;van de Ven&lt;/Author&gt;&lt;Year&gt;2000&lt;/Year&gt;&lt;RecNum&gt;390&lt;/RecNum&gt;&lt;DisplayText&gt;(van de Ven et al., 2000)&lt;/DisplayText&gt;&lt;record&gt;&lt;rec-number&gt;390&lt;/rec-number&gt;&lt;foreign-keys&gt;&lt;key app="EN" db-id="95tpr2tp6r9xwoea9rb5wdsz5ds5xeddteew" timestamp="1680069511"&gt;390&lt;/key&gt;&lt;/foreign-keys&gt;&lt;ref-type name="Journal Article"&gt;17&lt;/ref-type&gt;&lt;contributors&gt;&lt;authors&gt;&lt;author&gt;van de Ven,  A.,&lt;/author&gt;&lt;author&gt;Polley, D. E.,&lt;/author&gt;&lt;author&gt;Garud, R.,&lt;/author&gt;&lt;author&gt;Venkataraman, S.&lt;/author&gt;&lt;/authors&gt;&lt;/contributors&gt;&lt;titles&gt;&lt;title&gt;The Innovation Journey&lt;/title&gt;&lt;secondary-title&gt;The Academy of Management Review&lt;/secondary-title&gt;&lt;/titles&gt;&lt;periodical&gt;&lt;full-title&gt;The Academy of Management Review&lt;/full-title&gt;&lt;/periodical&gt;&lt;pages&gt;885-887&lt;/pages&gt;&lt;volume&gt;25&lt;/volume&gt;&lt;number&gt;4&lt;/number&gt;&lt;dates&gt;&lt;year&gt;2000&lt;/year&gt;&lt;/dates&gt;&lt;urls&gt;&lt;/urls&gt;&lt;electronic-resource-num&gt;https://doi.org/10.5465/amr.2000.3707754&lt;/electronic-resource-num&gt;&lt;/record&gt;&lt;/Cite&gt;&lt;/EndNote&gt;</w:instrText>
      </w:r>
      <w:r w:rsidRPr="006577D6">
        <w:rPr>
          <w:rFonts w:eastAsia="Calibri"/>
        </w:rPr>
        <w:fldChar w:fldCharType="separate"/>
      </w:r>
      <w:r w:rsidR="00856689" w:rsidRPr="006577D6">
        <w:rPr>
          <w:rFonts w:eastAsia="Calibri"/>
        </w:rPr>
        <w:t>(van de Ven et al., 2000)</w:t>
      </w:r>
      <w:r w:rsidRPr="006577D6">
        <w:rPr>
          <w:rFonts w:eastAsia="Calibri"/>
        </w:rPr>
        <w:fldChar w:fldCharType="end"/>
      </w:r>
      <w:r w:rsidRPr="006577D6">
        <w:rPr>
          <w:rFonts w:eastAsia="Calibri"/>
        </w:rPr>
        <w:t>. Leder må ha støtte i organisasjonen og finansieringssystemene for å sette av tid og ressurser til innovasjonsarbeid</w:t>
      </w:r>
      <w:r w:rsidR="00000142" w:rsidRPr="006577D6">
        <w:rPr>
          <w:rFonts w:eastAsia="Calibri"/>
        </w:rPr>
        <w:t xml:space="preserve"> </w:t>
      </w:r>
      <w:r w:rsidR="00022138" w:rsidRPr="006577D6">
        <w:rPr>
          <w:rFonts w:eastAsia="Calibri"/>
        </w:rPr>
        <w:fldChar w:fldCharType="begin"/>
      </w:r>
      <w:r w:rsidR="00022138" w:rsidRPr="006577D6">
        <w:rPr>
          <w:rFonts w:eastAsia="Calibri"/>
        </w:rPr>
        <w:instrText xml:space="preserve"> ADDIN EN.CITE &lt;EndNote&gt;&lt;Cite&gt;&lt;Author&gt;Cannon&lt;/Author&gt;&lt;Year&gt;2005&lt;/Year&gt;&lt;RecNum&gt;1030&lt;/RecNum&gt;&lt;DisplayText&gt;(Cannon et al., 2005)&lt;/DisplayText&gt;&lt;record&gt;&lt;rec-number&gt;1030&lt;/rec-number&gt;&lt;foreign-keys&gt;&lt;key app="EN" db-id="95tpr2tp6r9xwoea9rb5wdsz5ds5xeddteew" timestamp="1681147401"&gt;1030&lt;/key&gt;&lt;/foreign-keys&gt;&lt;ref-type name="Journal Article"&gt;17&lt;/ref-type&gt;&lt;contributors&gt;&lt;authors&gt;&lt;author&gt;Cannon, M.D.&lt;/author&gt;&lt;author&gt;Edmondson, A.D. &lt;/author&gt;&lt;/authors&gt;&lt;/contributors&gt;&lt;titles&gt;&lt;title&gt;Failing to Learn and Learning to Fail (Intelligently): How Great Organizations Put Failure to Work to Innovate and Improve&lt;/title&gt;&lt;secondary-title&gt;Long Range Planning&lt;/secondary-title&gt;&lt;/titles&gt;&lt;periodical&gt;&lt;full-title&gt;Long Range Planning&lt;/full-title&gt;&lt;/periodical&gt;&lt;pages&gt;299-319&lt;/pages&gt;&lt;volume&gt;38&lt;/volume&gt;&lt;number&gt;3&lt;/number&gt;&lt;dates&gt;&lt;year&gt;2005&lt;/year&gt;&lt;/dates&gt;&lt;urls&gt;&lt;/urls&gt;&lt;/record&gt;&lt;/Cite&gt;&lt;/EndNote&gt;</w:instrText>
      </w:r>
      <w:r w:rsidR="00022138" w:rsidRPr="006577D6">
        <w:rPr>
          <w:rFonts w:eastAsia="Calibri"/>
        </w:rPr>
        <w:fldChar w:fldCharType="separate"/>
      </w:r>
      <w:r w:rsidR="00022138" w:rsidRPr="006577D6">
        <w:rPr>
          <w:rFonts w:eastAsia="Calibri"/>
        </w:rPr>
        <w:t>(Cannon et al., 2005)</w:t>
      </w:r>
      <w:r w:rsidR="00022138" w:rsidRPr="006577D6">
        <w:rPr>
          <w:rFonts w:eastAsia="Calibri"/>
        </w:rPr>
        <w:fldChar w:fldCharType="end"/>
      </w:r>
      <w:r w:rsidRPr="006577D6">
        <w:rPr>
          <w:rFonts w:eastAsia="Calibri"/>
        </w:rPr>
        <w:t xml:space="preserve">. Endringsarbeid forutsetter også psykologisk trygghet og relasjonsbygging i organisasjonen. Småskrittsforbedring anses ofte å være en god metode for å teste ut ny praksis </w:t>
      </w:r>
      <w:r w:rsidRPr="006577D6">
        <w:rPr>
          <w:rFonts w:eastAsia="Calibri"/>
        </w:rPr>
        <w:fldChar w:fldCharType="begin"/>
      </w:r>
      <w:r w:rsidR="00856689" w:rsidRPr="006577D6">
        <w:rPr>
          <w:rFonts w:eastAsia="Calibri"/>
        </w:rPr>
        <w:instrText xml:space="preserve"> ADDIN EN.CITE &lt;EndNote&gt;&lt;Cite&gt;&lt;Author&gt;Carlsen A.&lt;/Author&gt;&lt;Year&gt;2012&lt;/Year&gt;&lt;RecNum&gt;358&lt;/RecNum&gt;&lt;DisplayText&gt;(Carlsen A. et al., 2012)&lt;/DisplayText&gt;&lt;record&gt;&lt;rec-number&gt;358&lt;/rec-number&gt;&lt;foreign-keys&gt;&lt;key app="EN" db-id="95tpr2tp6r9xwoea9rb5wdsz5ds5xeddteew" timestamp="1680069511"&gt;358&lt;/key&gt;&lt;/foreign-keys&gt;&lt;ref-type name="Book"&gt;6&lt;/ref-type&gt;&lt;contributors&gt;&lt;authors&gt;&lt;author&gt;Carlsen A.,, &lt;/author&gt;&lt;author&gt;Clegg, S.,&lt;/author&gt;&lt;author&gt;Gjersvik R.&lt;/author&gt;&lt;/authors&gt;&lt;/contributors&gt;&lt;titles&gt;&lt;title&gt;Idea work. Om profesjonell kreativitet&lt;/title&gt;&lt;/titles&gt;&lt;dates&gt;&lt;year&gt;2012&lt;/year&gt;&lt;/dates&gt;&lt;pub-location&gt;Oslo&lt;/pub-location&gt;&lt;publisher&gt;Cappelen Damm Akademisk&lt;/publisher&gt;&lt;isbn&gt;9788202394684&lt;/isbn&gt;&lt;urls&gt;&lt;/urls&gt;&lt;/record&gt;&lt;/Cite&gt;&lt;/EndNote&gt;</w:instrText>
      </w:r>
      <w:r w:rsidRPr="006577D6">
        <w:rPr>
          <w:rFonts w:eastAsia="Calibri"/>
        </w:rPr>
        <w:fldChar w:fldCharType="separate"/>
      </w:r>
      <w:r w:rsidR="00856689" w:rsidRPr="006577D6">
        <w:rPr>
          <w:rFonts w:eastAsia="Calibri"/>
        </w:rPr>
        <w:t>(Carlsen A. et al., 2012)</w:t>
      </w:r>
      <w:r w:rsidRPr="006577D6">
        <w:rPr>
          <w:rFonts w:eastAsia="Calibri"/>
        </w:rPr>
        <w:fldChar w:fldCharType="end"/>
      </w:r>
      <w:r w:rsidRPr="006577D6">
        <w:rPr>
          <w:rFonts w:eastAsia="Calibri"/>
        </w:rPr>
        <w:t>.</w:t>
      </w:r>
    </w:p>
    <w:p w14:paraId="48A8B40B" w14:textId="77777777" w:rsidR="00D9107F" w:rsidRDefault="00916EE1" w:rsidP="000623DE">
      <w:pPr>
        <w:rPr>
          <w:rFonts w:eastAsia="Calibri"/>
        </w:rPr>
      </w:pPr>
      <w:r w:rsidRPr="006577D6">
        <w:rPr>
          <w:rFonts w:eastAsia="Calibri"/>
        </w:rPr>
        <w:t xml:space="preserve">Samhandling og gode tjenester for innbyggerne krever at grensene mellom roller og ansvar i ulike deler av </w:t>
      </w:r>
      <w:r w:rsidR="52EFCC25" w:rsidRPr="006577D6">
        <w:rPr>
          <w:rFonts w:eastAsia="Calibri"/>
        </w:rPr>
        <w:t>helsetjenestene</w:t>
      </w:r>
      <w:r w:rsidRPr="006577D6">
        <w:rPr>
          <w:rFonts w:eastAsia="Calibri"/>
        </w:rPr>
        <w:t xml:space="preserve"> både er klare</w:t>
      </w:r>
      <w:r w:rsidR="00EE51B7" w:rsidRPr="006577D6">
        <w:rPr>
          <w:rFonts w:eastAsia="Calibri"/>
        </w:rPr>
        <w:t>,</w:t>
      </w:r>
      <w:r w:rsidRPr="006577D6">
        <w:rPr>
          <w:rFonts w:eastAsia="Calibri"/>
        </w:rPr>
        <w:t xml:space="preserve"> og kan endres i tråd med den teknologiske utviklingen. Det finnes studier av grensearbeid i helsesektoren, der pilotering av primærhelseteam er ett eksempel. Også fr</w:t>
      </w:r>
      <w:r w:rsidR="00EE51B7" w:rsidRPr="006577D6">
        <w:rPr>
          <w:rFonts w:eastAsia="Calibri"/>
        </w:rPr>
        <w:t>a</w:t>
      </w:r>
      <w:r w:rsidRPr="006577D6">
        <w:rPr>
          <w:rFonts w:eastAsia="Calibri"/>
        </w:rPr>
        <w:t>mover vil grensearbeid være viktig</w:t>
      </w:r>
      <w:r w:rsidR="00EE51B7" w:rsidRPr="006577D6">
        <w:rPr>
          <w:rFonts w:eastAsia="Calibri"/>
        </w:rPr>
        <w:t>,</w:t>
      </w:r>
      <w:r w:rsidRPr="006577D6">
        <w:rPr>
          <w:rFonts w:eastAsia="Calibri"/>
        </w:rPr>
        <w:t xml:space="preserve"> fordi det har konsekvenser for kvaliteten på pasientbehandling, ledelse, rollekrav, hvordan samarbeid og læring på tvers av fag fungerer, og effektivitet </w:t>
      </w:r>
      <w:r w:rsidRPr="006577D6">
        <w:rPr>
          <w:rFonts w:eastAsia="Calibri"/>
        </w:rPr>
        <w:fldChar w:fldCharType="begin"/>
      </w:r>
      <w:r>
        <w:rPr>
          <w:rFonts w:eastAsia="Calibri"/>
          <w:color w:val="000000" w:themeColor="text1"/>
        </w:rPr>
        <w:instrText xml:space="preserve"> ADDIN EN.CITE &lt;EndNote&gt;&lt;Cite&gt;&lt;Author&gt;Mørk&lt;/Author&gt;&lt;Year&gt;2019&lt;/Year&gt;&lt;RecNum&gt;199&lt;/RecNum&gt;&lt;DisplayText&gt;(Mørk, 2019)&lt;/DisplayText&gt;&lt;record&gt;&lt;rec-number&gt;199&lt;/rec-number&gt;&lt;foreign-keys&gt;&lt;key app="EN" db-id="95tpr2tp6r9xwoea9rb5wdsz5ds5xeddteew" timestamp="1680069511"&gt;199&lt;/key&gt;&lt;/foreign-keys&gt;&lt;ref-type name="Web Page"&gt;12&lt;/ref-type&gt;&lt;contributors&gt;&lt;authors&gt;&lt;author&gt;Mørk, B. E.&lt;/author&gt;&lt;/authors&gt;&lt;/contributors&gt;&lt;titles&gt;&lt;title&gt;Endringer fører til grensearbeid&lt;/title&gt;&lt;/titles&gt;&lt;number&gt;13.03.2023&lt;/number&gt;&lt;dates&gt;&lt;year&gt;2019&lt;/year&gt;&lt;pub-dates&gt;&lt;date&gt;06.12.2019&lt;/date&gt;&lt;/pub-dates&gt;&lt;/dates&gt;&lt;pub-location&gt;Oslo&lt;/pub-location&gt;&lt;publisher&gt;BI Business Review&lt;/publisher&gt;&lt;work-type&gt;nettartikkel&lt;/work-type&gt;&lt;urls&gt;&lt;related-urls&gt;&lt;url&gt;https://www.bi.no/forskning/business-review/articles/2019/12/endringer-forer-til-grensearbeid/&lt;/url&gt;&lt;/related-urls&gt;&lt;/urls&gt;&lt;/record&gt;&lt;/Cite&gt;&lt;/EndNote&gt;</w:instrText>
      </w:r>
      <w:r w:rsidRPr="006577D6">
        <w:rPr>
          <w:rFonts w:eastAsia="Calibri"/>
        </w:rPr>
        <w:fldChar w:fldCharType="separate"/>
      </w:r>
      <w:r w:rsidRPr="006577D6">
        <w:rPr>
          <w:rFonts w:eastAsia="Calibri"/>
        </w:rPr>
        <w:t>(Mørk, 2019)</w:t>
      </w:r>
      <w:r w:rsidRPr="006577D6">
        <w:rPr>
          <w:rFonts w:eastAsia="Calibri"/>
        </w:rPr>
        <w:fldChar w:fldCharType="end"/>
      </w:r>
      <w:r w:rsidRPr="006577D6">
        <w:rPr>
          <w:rFonts w:eastAsia="Calibri"/>
        </w:rPr>
        <w:t xml:space="preserve">. Digitalisering er endring, og god </w:t>
      </w:r>
      <w:r w:rsidRPr="006577D6">
        <w:rPr>
          <w:rFonts w:eastAsia="Calibri"/>
        </w:rPr>
        <w:lastRenderedPageBreak/>
        <w:t>utnyttelse av digitaliseringsmulighetene i allmennlegetjenesten krever kompetanse i endringsledelse.</w:t>
      </w:r>
    </w:p>
    <w:p w14:paraId="7BC3F8FD" w14:textId="77777777" w:rsidR="00D9107F" w:rsidRDefault="00916EE1" w:rsidP="000623DE">
      <w:pPr>
        <w:rPr>
          <w:rFonts w:eastAsia="Calibri"/>
        </w:rPr>
      </w:pPr>
      <w:r w:rsidRPr="006577D6">
        <w:rPr>
          <w:rFonts w:eastAsia="Calibri"/>
        </w:rPr>
        <w:t xml:space="preserve">Det er nærliggende å tro at innovasjonsarbeid på fastlegekontorene hemmes av at dagens finansieringssystem ikke understøtter eller inviterer til å teste ut nye tekniske løsninger. Teknologinøytrale takster utløses uavhengig av om oppgaven løses av teknologi eller menneske, og legger for eksempel til rette for felles konsultasjoner på tvers av tjenester ved bruk av teknologi </w:t>
      </w:r>
      <w:r w:rsidRPr="006577D6">
        <w:rPr>
          <w:rFonts w:eastAsia="Calibri"/>
        </w:rPr>
        <w:fldChar w:fldCharType="begin"/>
      </w:r>
      <w:r>
        <w:instrText xml:space="preserve"> ADDIN EN.CITE &lt;EndNote&gt;&lt;Cite ExcludeAuth="1"&gt;&lt;Year&gt;2016&lt;/Year&gt;&lt;RecNum&gt;254&lt;/RecNum&gt;&lt;DisplayText&gt;(&lt;style face="italic"&gt;Forskrift om betaling frå pasientar for poliklinisk helsehjelp i spesialisthelsetenesta&lt;/style&gt;, 2016)&lt;/DisplayText&gt;&lt;record&gt;&lt;rec-number&gt;254&lt;/rec-number&gt;&lt;foreign-keys&gt;&lt;key app="EN" db-id="95tpr2tp6r9xwoea9rb5wdsz5ds5xeddteew" timestamp="1680069511"&gt;254&lt;/key&gt;&lt;/foreign-keys&gt;&lt;ref-type name="Legal Rule or Regulation"&gt;50&lt;/ref-type&gt;&lt;contributors&gt;&lt;/contributors&gt;&lt;titles&gt;&lt;title&gt;Forskrift om betaling frå pasientar for poliklinisk helsehjelp i spesialisthelsetenesta&lt;/title&gt;&lt;secondary-title&gt;FOR-2016-12-20-1848&lt;/secondary-title&gt;&lt;/titles&gt;&lt;dates&gt;&lt;year&gt;2016&lt;/year&gt;&lt;/dates&gt;&lt;urls&gt;&lt;related-urls&gt;&lt;url&gt;https://lovdata.no/dokument/SF/forskrift/2016-12-20-1848&lt;/url&gt;&lt;/related-urls&gt;&lt;/urls&gt;&lt;/record&gt;&lt;/Cite&gt;&lt;/EndNote&gt;</w:instrText>
      </w:r>
      <w:r w:rsidRPr="006577D6">
        <w:rPr>
          <w:rFonts w:eastAsia="Calibri"/>
        </w:rPr>
        <w:fldChar w:fldCharType="separate"/>
      </w:r>
      <w:r w:rsidRPr="006577D6">
        <w:rPr>
          <w:rFonts w:eastAsia="Calibri"/>
        </w:rPr>
        <w:t>(Forskrift om betaling frå pasientar for poliklinisk helsehjelp i spesialisthelsetenesta, 2016)</w:t>
      </w:r>
      <w:r w:rsidRPr="006577D6">
        <w:rPr>
          <w:rFonts w:eastAsia="Calibri"/>
        </w:rPr>
        <w:fldChar w:fldCharType="end"/>
      </w:r>
      <w:r w:rsidRPr="006577D6">
        <w:rPr>
          <w:rFonts w:eastAsia="Calibri"/>
        </w:rPr>
        <w:t>.</w:t>
      </w:r>
    </w:p>
    <w:p w14:paraId="136B1974" w14:textId="0B0FE4AA" w:rsidR="00916EE1" w:rsidRPr="006577D6" w:rsidRDefault="00916EE1" w:rsidP="000623DE">
      <w:pPr>
        <w:rPr>
          <w:rFonts w:eastAsia="Calibri"/>
        </w:rPr>
      </w:pPr>
      <w:r w:rsidRPr="006577D6">
        <w:rPr>
          <w:rFonts w:eastAsia="Calibri"/>
        </w:rPr>
        <w:t>Det</w:t>
      </w:r>
      <w:r w:rsidR="00F15788" w:rsidRPr="006577D6">
        <w:rPr>
          <w:rFonts w:eastAsia="Calibri"/>
        </w:rPr>
        <w:t xml:space="preserve"> </w:t>
      </w:r>
      <w:r w:rsidRPr="006577D6">
        <w:rPr>
          <w:rFonts w:eastAsia="Calibri"/>
        </w:rPr>
        <w:t>vil være en utfordring framover å få til en utvikling hvor det skapes energi og nysgjerrighet for nybrottsarbeid</w:t>
      </w:r>
      <w:r>
        <w:t xml:space="preserve"> under permanente og mer normaliserte rammer enn </w:t>
      </w:r>
      <w:r w:rsidR="00EE51B7">
        <w:t>korona</w:t>
      </w:r>
      <w:r>
        <w:t>pandemien de siste årene har gitt. Finansieringssystemet bør understøtte, stimulere og belønne endringsarbeid, og nye måter å jobbe og levere allmennlegetjenester</w:t>
      </w:r>
      <w:r w:rsidR="00EE51B7">
        <w:t xml:space="preserve"> på</w:t>
      </w:r>
      <w:r>
        <w:t xml:space="preserve">. Samtidig må dette balanseres godt, slik at tilgjengeligheten til nødvendige </w:t>
      </w:r>
      <w:r w:rsidRPr="006577D6">
        <w:rPr>
          <w:rFonts w:eastAsia="Calibri"/>
        </w:rPr>
        <w:t>helsetjenester sikres, også til de som i lite</w:t>
      </w:r>
      <w:r w:rsidR="00EE51B7" w:rsidRPr="006577D6">
        <w:rPr>
          <w:rFonts w:eastAsia="Calibri"/>
        </w:rPr>
        <w:t>n</w:t>
      </w:r>
      <w:r w:rsidRPr="006577D6">
        <w:rPr>
          <w:rFonts w:eastAsia="Calibri"/>
        </w:rPr>
        <w:t xml:space="preserve"> grad etterspør digitale tjenester eller mangler kompetanse </w:t>
      </w:r>
      <w:r w:rsidR="00EE51B7" w:rsidRPr="006577D6">
        <w:rPr>
          <w:rFonts w:eastAsia="Calibri"/>
        </w:rPr>
        <w:t>til</w:t>
      </w:r>
      <w:r w:rsidRPr="006577D6">
        <w:rPr>
          <w:rFonts w:eastAsia="Calibri"/>
        </w:rPr>
        <w:t xml:space="preserve"> å gjøre det. Noen ganger vil en økning i digitale kontakter kunne gå på bekostning av fastlegens andre aktiviteter, og dermed true befolkningens rett til likeverdige helsetjenester; se også kap. 4.6 og 5.6.</w:t>
      </w:r>
    </w:p>
    <w:p w14:paraId="6D255102" w14:textId="77777777" w:rsidR="00D9107F" w:rsidRDefault="00916EE1" w:rsidP="000623DE">
      <w:pPr>
        <w:rPr>
          <w:rFonts w:eastAsia="Calibri"/>
        </w:rPr>
      </w:pPr>
      <w:r w:rsidRPr="006577D6">
        <w:rPr>
          <w:rFonts w:eastAsia="Calibri"/>
        </w:rPr>
        <w:t>Digitale løsninger kan også benyttes aktivt for å sikre at fastlegen yter mest til innbyggerne med størst behov. Digitale triageringsløsninger muliggjør forhåndsvurdering av alvorlighet og hastegrad ved konsultasjoner. En løsning er per i dag under utprøving ved fem legekontor, og er planlagt lansert nasjonalt på helsenorge.no i 2023. Ved bruk av den digitale triageringsløsningen skal listeinnbyggere, ved bestilling av fysisk eller digital konsultasjon, svare på en del spørsmål knyttet til sin helsetilstand. Innbyggeren får også mulighet til å forhåndsutfylle egenerklæringer</w:t>
      </w:r>
      <w:r w:rsidR="00EE51B7" w:rsidRPr="006577D6">
        <w:rPr>
          <w:rFonts w:eastAsia="Calibri"/>
        </w:rPr>
        <w:t>,</w:t>
      </w:r>
      <w:r w:rsidRPr="006577D6">
        <w:rPr>
          <w:rFonts w:eastAsia="Calibri"/>
        </w:rPr>
        <w:t xml:space="preserve"> som eksempelvis kan være knytt</w:t>
      </w:r>
      <w:r>
        <w:rPr>
          <w:rFonts w:eastAsia="Calibri"/>
        </w:rPr>
        <w:t>et opp til attester fra legen.</w:t>
      </w:r>
    </w:p>
    <w:p w14:paraId="30985900" w14:textId="2B705464" w:rsidR="00916EE1" w:rsidRPr="006577D6" w:rsidRDefault="00916EE1" w:rsidP="000623DE">
      <w:pPr>
        <w:rPr>
          <w:rFonts w:eastAsia="Calibri"/>
        </w:rPr>
      </w:pPr>
      <w:r w:rsidRPr="006577D6">
        <w:rPr>
          <w:rFonts w:eastAsia="Calibri"/>
        </w:rPr>
        <w:t>Målet med løsningen er at både fastlege og pasient skal være bedre forberedt til legetimen, at akutte tilstander skal henvises til telefonkontakt med legekontoret for rask vurdering</w:t>
      </w:r>
      <w:r w:rsidR="00EE51B7" w:rsidRPr="006577D6">
        <w:rPr>
          <w:rFonts w:eastAsia="Calibri"/>
        </w:rPr>
        <w:t>,</w:t>
      </w:r>
      <w:r w:rsidRPr="006577D6">
        <w:rPr>
          <w:rFonts w:eastAsia="Calibri"/>
        </w:rPr>
        <w:t xml:space="preserve"> og at informasjonsgrunnlaget for konsultasjonen forbedres</w:t>
      </w:r>
      <w:r>
        <w:t>. Potensialet er spart tid</w:t>
      </w:r>
      <w:r w:rsidR="00EE51B7">
        <w:t>,</w:t>
      </w:r>
      <w:r>
        <w:t xml:space="preserve"> både under legekonsultasjon og ved at en del av sortering kan gjøres av listeinnbyggeren selv istedenfor av hjelpepersonell på telefon. Telefontilgjengeligheten ved fastlegekontoret forventes å bli forbedret for de listeinnbyggerne som</w:t>
      </w:r>
      <w:r w:rsidR="00EE51B7">
        <w:t>,</w:t>
      </w:r>
      <w:r>
        <w:t xml:space="preserve"> av ulike årsaker</w:t>
      </w:r>
      <w:r w:rsidR="00EE51B7">
        <w:t>,</w:t>
      </w:r>
      <w:r>
        <w:t xml:space="preserve"> velger å ikke bruke </w:t>
      </w:r>
      <w:r w:rsidRPr="006577D6">
        <w:rPr>
          <w:rFonts w:eastAsia="Calibri"/>
        </w:rPr>
        <w:t xml:space="preserve">den digitale kanalen. Digital triagering gir muligheter for bedre filtrering av e-konsultasjoner, og har potensiale til besparelser ved å hindre </w:t>
      </w:r>
      <w:r w:rsidR="00D9107F">
        <w:rPr>
          <w:rFonts w:eastAsia="Calibri"/>
        </w:rPr>
        <w:t>«</w:t>
      </w:r>
      <w:r w:rsidRPr="006577D6">
        <w:rPr>
          <w:rFonts w:eastAsia="Calibri"/>
        </w:rPr>
        <w:t>chattedialog</w:t>
      </w:r>
      <w:r w:rsidR="00D9107F">
        <w:rPr>
          <w:rFonts w:eastAsia="Calibri"/>
        </w:rPr>
        <w:t>»</w:t>
      </w:r>
      <w:r w:rsidRPr="006577D6">
        <w:rPr>
          <w:rFonts w:eastAsia="Calibri"/>
        </w:rPr>
        <w:t xml:space="preserve"> fr</w:t>
      </w:r>
      <w:r w:rsidR="00EE51B7" w:rsidRPr="006577D6">
        <w:rPr>
          <w:rFonts w:eastAsia="Calibri"/>
        </w:rPr>
        <w:t>a</w:t>
      </w:r>
      <w:r w:rsidRPr="006577D6">
        <w:rPr>
          <w:rFonts w:eastAsia="Calibri"/>
        </w:rPr>
        <w:t>m og tilbake mellom listeinnbygger og lege. Foreløpige vurderinger tilsier at, ved bruk i forkant av konsultasjoner, opplever fastlegene å ha forbedret informasjonsgrunnlag for konsultasjonen</w:t>
      </w:r>
      <w:r w:rsidR="00EE51B7" w:rsidRPr="006577D6">
        <w:rPr>
          <w:rFonts w:eastAsia="Calibri"/>
        </w:rPr>
        <w:t>,</w:t>
      </w:r>
      <w:r w:rsidRPr="006577D6">
        <w:rPr>
          <w:rFonts w:eastAsia="Calibri"/>
        </w:rPr>
        <w:t xml:space="preserve"> og at en bedre forberedt listeinnbygger gjør jobben smidigere</w:t>
      </w:r>
      <w:r w:rsidRPr="006577D6">
        <w:rPr>
          <w:rFonts w:eastAsia="Calibri"/>
        </w:rPr>
        <w:fldChar w:fldCharType="begin"/>
      </w:r>
      <w:r w:rsidRPr="006577D6">
        <w:rPr>
          <w:rFonts w:eastAsia="Calibri"/>
        </w:rPr>
        <w:instrText xml:space="preserve"> ADDIN EN.CITE &lt;EndNote&gt;&lt;Cite&gt;&lt;Author&gt;Skogli&lt;/Author&gt;&lt;Year&gt;2022&lt;/Year&gt;&lt;RecNum&gt;219&lt;/RecNum&gt;&lt;DisplayText&gt;(Skogli et al., 2022)&lt;/DisplayText&gt;&lt;record&gt;&lt;rec-number&gt;219&lt;/rec-number&gt;&lt;foreign-keys&gt;&lt;key app="EN" db-id="95tpr2tp6r9xwoea9rb5wdsz5ds5xeddteew" timestamp="1680069511"&gt;219&lt;/key&gt;&lt;/foreign-keys&gt;&lt;ref-type name="Report"&gt;27&lt;/ref-type&gt;&lt;contributors&gt;&lt;authors&gt;&lt;author&gt;Skogli, E.&lt;/author&gt;&lt;author&gt;Stokke, O. M.&lt;/author&gt;&lt;author&gt;Lønstad, C.&lt;/author&gt;&lt;author&gt;Vinter, C.&lt;/author&gt;&lt;author&gt;Fattah, I. S.&lt;/author&gt;&lt;author&gt;Grinde, R.&lt;/author&gt;&lt;/authors&gt;&lt;tertiary-authors&gt;&lt;author&gt;Menon Economics&lt;/author&gt;&lt;/tertiary-authors&gt;&lt;/contributors&gt;&lt;titles&gt;&lt;title&gt;Evaluering av pilot for utprøving av digital triageringsløsning på fire fastlegekontor&lt;/title&gt;&lt;secondary-title&gt;Menon-publikasjon&lt;/secondary-title&gt;&lt;/titles&gt;&lt;number&gt;nr. 142/2022&lt;/number&gt;&lt;dates&gt;&lt;year&gt;2022&lt;/year&gt;&lt;/dates&gt;&lt;pub-location&gt;Oslo&lt;/pub-location&gt;&lt;urls&gt;&lt;related-urls&gt;&lt;url&gt;https://www.menon.no/wp-content/uploads/2022-142-Evaluering-av-pilot-for-utproving-av-triageringslosning.pdf&lt;/url&gt;&lt;/related-urls&gt;&lt;/urls&gt;&lt;/record&gt;&lt;/Cite&gt;&lt;/EndNote&gt;</w:instrText>
      </w:r>
      <w:r w:rsidRPr="006577D6">
        <w:rPr>
          <w:rFonts w:eastAsia="Calibri"/>
        </w:rPr>
        <w:fldChar w:fldCharType="separate"/>
      </w:r>
      <w:r w:rsidRPr="006577D6">
        <w:rPr>
          <w:rFonts w:eastAsia="Calibri"/>
        </w:rPr>
        <w:t>(Skogli et al., 2022)</w:t>
      </w:r>
      <w:r w:rsidRPr="006577D6">
        <w:rPr>
          <w:rFonts w:eastAsia="Calibri"/>
        </w:rPr>
        <w:fldChar w:fldCharType="end"/>
      </w:r>
      <w:r>
        <w:rPr>
          <w:rFonts w:eastAsia="Calibri"/>
        </w:rPr>
        <w:t>.</w:t>
      </w:r>
    </w:p>
    <w:p w14:paraId="143BEA3F" w14:textId="77777777" w:rsidR="00D9107F" w:rsidRDefault="00916EE1" w:rsidP="000623DE">
      <w:r w:rsidRPr="006577D6">
        <w:rPr>
          <w:rFonts w:eastAsia="Calibri"/>
        </w:rPr>
        <w:lastRenderedPageBreak/>
        <w:t>Ved økende</w:t>
      </w:r>
      <w:r>
        <w:t xml:space="preserve"> pågang til fastlegen vil muligheten for å sortere og prioritere blant henvendelsene være nødvendig. Økende bruk av digitale tjenester understreker betydningen av at fastlegen kan ta i bruk velfungerende verktøy for triagering inn til fastlegekontoret.</w:t>
      </w:r>
    </w:p>
    <w:p w14:paraId="5E53A86B" w14:textId="77777777" w:rsidR="00D9107F" w:rsidRDefault="00916EE1" w:rsidP="00775632">
      <w:pPr>
        <w:pStyle w:val="Overskrift2"/>
      </w:pPr>
      <w:bookmarkStart w:id="5930" w:name="_Toc130932183"/>
      <w:bookmarkStart w:id="5931" w:name="_Toc130934474"/>
      <w:bookmarkStart w:id="5932" w:name="_Toc130983606"/>
      <w:bookmarkStart w:id="5933" w:name="_Toc130983955"/>
      <w:bookmarkStart w:id="5934" w:name="_Toc131062225"/>
      <w:bookmarkStart w:id="5935" w:name="_Toc131062479"/>
      <w:bookmarkStart w:id="5936" w:name="_Toc131062740"/>
      <w:bookmarkStart w:id="5937" w:name="_Toc131062993"/>
      <w:bookmarkStart w:id="5938" w:name="_Toc131063776"/>
      <w:bookmarkStart w:id="5939" w:name="_Toc131064187"/>
      <w:bookmarkStart w:id="5940" w:name="_Toc131238592"/>
      <w:bookmarkStart w:id="5941" w:name="_Toc131279683"/>
      <w:bookmarkStart w:id="5942" w:name="_Toc131287095"/>
      <w:bookmarkStart w:id="5943" w:name="_Toc131281505"/>
      <w:bookmarkStart w:id="5944" w:name="_Toc131318045"/>
      <w:bookmarkStart w:id="5945" w:name="_Toc132537112"/>
      <w:bookmarkStart w:id="5946" w:name="_Toc129888237"/>
      <w:bookmarkStart w:id="5947" w:name="_Toc130853699"/>
      <w:r>
        <w:t>Balansere offentlig styring og private initiativ</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68E919C9" w14:textId="77777777" w:rsidR="00D9107F" w:rsidRDefault="00916EE1" w:rsidP="00916EE1">
      <w:pPr>
        <w:jc w:val="both"/>
      </w:pPr>
      <w:r>
        <w:t>Staten har vært en viktig bidragsyter i den nasjonale digitaliseringsprosessen</w:t>
      </w:r>
      <w:r w:rsidR="00EE51B7">
        <w:t>,</w:t>
      </w:r>
      <w:r>
        <w:t xml:space="preserve"> og i piloteringen av en rekke digitaliseringsprosjekter. Begrenset nasjonal koordinering og styring av</w:t>
      </w:r>
      <w:r w:rsidRPr="10AA0943">
        <w:t xml:space="preserve"> teknologi </w:t>
      </w:r>
      <w:r>
        <w:t>i allmennlegetjenestene</w:t>
      </w:r>
      <w:r w:rsidR="001D1926">
        <w:t>,</w:t>
      </w:r>
      <w:r>
        <w:t xml:space="preserve"> og de kommunale helse- og omsorgstjenestene ellers</w:t>
      </w:r>
      <w:r w:rsidR="001D1926">
        <w:t>,</w:t>
      </w:r>
      <w:r w:rsidRPr="10AA0943">
        <w:t xml:space="preserve"> har </w:t>
      </w:r>
      <w:r>
        <w:t>ført til ulike løsninger i ulike deler av helsetjenesten. Mange kommuner har elektroniske pasientjournalsystemer</w:t>
      </w:r>
      <w:r w:rsidR="001D1926">
        <w:t>,</w:t>
      </w:r>
      <w:r>
        <w:t xml:space="preserve"> som i begrenset grad kommuniserer med fastlegenes. F</w:t>
      </w:r>
      <w:r w:rsidRPr="732D4AB0">
        <w:t xml:space="preserve">astlegene </w:t>
      </w:r>
      <w:r>
        <w:t xml:space="preserve">benytter </w:t>
      </w:r>
      <w:r w:rsidRPr="732D4AB0">
        <w:t xml:space="preserve">flere </w:t>
      </w:r>
      <w:r>
        <w:t xml:space="preserve">ulike </w:t>
      </w:r>
      <w:r w:rsidRPr="732D4AB0">
        <w:t>journal</w:t>
      </w:r>
      <w:r>
        <w:t>systemer</w:t>
      </w:r>
      <w:r w:rsidRPr="732D4AB0">
        <w:t>.</w:t>
      </w:r>
      <w:r w:rsidRPr="7047E9F5">
        <w:t xml:space="preserve"> </w:t>
      </w:r>
      <w:r>
        <w:t>Norsk helsenett fungerer som kommunikasjonskanal mellom fastlege, listeinnbygger og fastlegens eksterne samarbeidspartnere.</w:t>
      </w:r>
    </w:p>
    <w:p w14:paraId="7DC20127" w14:textId="77777777" w:rsidR="00D9107F" w:rsidRDefault="00916EE1" w:rsidP="00916EE1">
      <w:pPr>
        <w:jc w:val="both"/>
      </w:pPr>
      <w:r>
        <w:t>Fastleger er i dag pålagt å være tilknyttet norsk helsenett</w:t>
      </w:r>
      <w:r w:rsidR="001D1926">
        <w:t>,</w:t>
      </w:r>
      <w:r>
        <w:t xml:space="preserve"> samt å ha elektroniske pasientjournalsystem. Det har tatt flere år å etablere</w:t>
      </w:r>
      <w:r w:rsidRPr="10AA0943">
        <w:t xml:space="preserve"> Helsenorge.no </w:t>
      </w:r>
      <w:r>
        <w:t xml:space="preserve">og </w:t>
      </w:r>
      <w:r w:rsidRPr="10AA0943">
        <w:t xml:space="preserve">utvikle </w:t>
      </w:r>
      <w:r>
        <w:t xml:space="preserve">portalen </w:t>
      </w:r>
      <w:r w:rsidRPr="10AA0943">
        <w:t>til dagens nivå</w:t>
      </w:r>
      <w:r>
        <w:t>, og private aktører har parallelt utviklet alternative kommunikasjons- og betalingsløsninger.</w:t>
      </w:r>
    </w:p>
    <w:p w14:paraId="71F6E792" w14:textId="77777777" w:rsidR="00D9107F" w:rsidRDefault="00916EE1" w:rsidP="00916EE1">
      <w:pPr>
        <w:jc w:val="both"/>
      </w:pPr>
      <w:r>
        <w:t xml:space="preserve">En fordel med at staten har ansvar </w:t>
      </w:r>
      <w:r w:rsidR="001D1926">
        <w:t>for</w:t>
      </w:r>
      <w:r>
        <w:t xml:space="preserve"> styring </w:t>
      </w:r>
      <w:r w:rsidR="001D1926">
        <w:t>av</w:t>
      </w:r>
      <w:r>
        <w:t xml:space="preserve"> digitaliseringsarbeid</w:t>
      </w:r>
      <w:r w:rsidR="001D1926">
        <w:t>et</w:t>
      </w:r>
      <w:r>
        <w:t>, er at vi nasjonalt får en mer fokusert og koordinert utvikling</w:t>
      </w:r>
      <w:r w:rsidR="001D1926">
        <w:t>,</w:t>
      </w:r>
      <w:r>
        <w:t xml:space="preserve"> som i noe</w:t>
      </w:r>
      <w:r w:rsidR="001D1926">
        <w:t>n</w:t>
      </w:r>
      <w:r>
        <w:t xml:space="preserve"> grad kan styres. Private aktører innehar ressurser som kan drive utvikling og innovasjon videre. Mens statens rolle er avgjørende i valget av grunnleggende standarder og noen typer infrastruktur, kan statlige digitaliseringsprosjekter også være en hemmer for private aktører som ikke ønsker å satse dersom de risikerer at det kommer en statlig løsning som tilbys gratis. Et eksempel kan være digital triageringsløsning for fastlegene, der Helsedirektoratets arbeid med å utarbeide slike løsninger, innebærer at EPJ-leverandørenes inntjeningspotensial for selv å utvikle slike løsninger forringes.</w:t>
      </w:r>
    </w:p>
    <w:p w14:paraId="0B4E00E6" w14:textId="16B32749" w:rsidR="00916EE1" w:rsidRDefault="00916EE1" w:rsidP="00916EE1">
      <w:pPr>
        <w:jc w:val="both"/>
      </w:pPr>
      <w:r>
        <w:t xml:space="preserve">EPJ-leverandørene er avhengige av tydelige styringssignaler fra staten og forutsigbare rammer for å investere i utvikling. </w:t>
      </w:r>
      <w:r w:rsidRPr="10AA0943">
        <w:t xml:space="preserve">Arbeidet med normen </w:t>
      </w:r>
      <w:r>
        <w:t>for informasjonssikkerhet og personvern</w:t>
      </w:r>
      <w:r w:rsidR="002A3103">
        <w:t xml:space="preserve"> </w:t>
      </w:r>
      <w:r>
        <w:fldChar w:fldCharType="begin"/>
      </w:r>
      <w:r w:rsidR="00694E6D">
        <w:instrText xml:space="preserve"> ADDIN EN.CITE &lt;EndNote&gt;&lt;Cite&gt;&lt;Author&gt;Direktoratet for e-helse&lt;/Author&gt;&lt;Year&gt;2022&lt;/Year&gt;&lt;RecNum&gt;534&lt;/RecNum&gt;&lt;DisplayText&gt;(Direktoratet for e-helse, 2022a)&lt;/DisplayText&gt;&lt;record&gt;&lt;rec-number&gt;534&lt;/rec-number&gt;&lt;foreign-keys&gt;&lt;key app="EN" db-id="95tpr2tp6r9xwoea9rb5wdsz5ds5xeddteew" timestamp="1680069511"&gt;534&lt;/key&gt;&lt;/foreign-keys&gt;&lt;ref-type name="Report"&gt;27&lt;/ref-type&gt;&lt;contributors&gt;&lt;authors&gt;&lt;author&gt;Direktoratet for e-helse,&lt;/author&gt;&lt;/authors&gt;&lt;/contributors&gt;&lt;titles&gt;&lt;title&gt;Normen - Norm for informasjonssikkerhet og personvern i helse- og omsorgssektoren&lt;/title&gt;&lt;/titles&gt;&lt;number&gt;Versjon 6.1&lt;/number&gt;&lt;dates&gt;&lt;year&gt;2022&lt;/year&gt;&lt;/dates&gt;&lt;pub-location&gt;Oslo&lt;/pub-location&gt;&lt;publisher&gt;Direktoratet for e-helse&lt;/publisher&gt;&lt;urls&gt;&lt;/urls&gt;&lt;/record&gt;&lt;/Cite&gt;&lt;/EndNote&gt;</w:instrText>
      </w:r>
      <w:r>
        <w:fldChar w:fldCharType="separate"/>
      </w:r>
      <w:r w:rsidR="00022138">
        <w:rPr>
          <w:noProof/>
        </w:rPr>
        <w:t>(Direktoratet for e-helse, 2022a)</w:t>
      </w:r>
      <w:r>
        <w:fldChar w:fldCharType="end"/>
      </w:r>
      <w:r w:rsidR="002A3103" w:rsidRPr="10AA0943">
        <w:t xml:space="preserve"> </w:t>
      </w:r>
      <w:r w:rsidRPr="10AA0943">
        <w:t xml:space="preserve">og </w:t>
      </w:r>
      <w:r>
        <w:t xml:space="preserve">samarbeidstiltaket </w:t>
      </w:r>
      <w:r w:rsidRPr="10AA0943">
        <w:t>EPJ-løftet</w:t>
      </w:r>
      <w:r w:rsidR="00022138">
        <w:fldChar w:fldCharType="begin"/>
      </w:r>
      <w:r w:rsidR="00A27571">
        <w:instrText xml:space="preserve"> ADDIN EN.CITE &lt;EndNote&gt;&lt;Cite ExcludeYear="1"&gt;&lt;Author&gt;Direktoratet for e-helse&lt;/Author&gt;&lt;RecNum&gt;203&lt;/RecNum&gt;&lt;DisplayText&gt;(Direktoratet for e-helse)&lt;/DisplayText&gt;&lt;record&gt;&lt;rec-number&gt;203&lt;/rec-number&gt;&lt;foreign-keys&gt;&lt;key app="EN" db-id="95tpr2tp6r9xwoea9rb5wdsz5ds5xeddteew" timestamp="1680069511"&gt;203&lt;/key&gt;&lt;/foreign-keys&gt;&lt;ref-type name="Web Page"&gt;12&lt;/ref-type&gt;&lt;contributors&gt;&lt;authors&gt;&lt;author&gt;Direktoratet for e-helse,&lt;/author&gt;&lt;/authors&gt;&lt;/contributors&gt;&lt;titles&gt;&lt;title&gt;EPJ-løftet - program for EPJ-utvikling&lt;/title&gt;&lt;/titles&gt;&lt;number&gt;03.02.2023&lt;/number&gt;&lt;dates&gt;&lt;pub-dates&gt;&lt;date&gt;03.02.2022&lt;/date&gt;&lt;/pub-dates&gt;&lt;/dates&gt;&lt;pub-location&gt;Oslo&lt;/pub-location&gt;&lt;publisher&gt;Direktoratet for e-helse&lt;/publisher&gt;&lt;work-type&gt;nettdokument&lt;/work-type&gt;&lt;urls&gt;&lt;/urls&gt;&lt;/record&gt;&lt;/Cite&gt;&lt;/EndNote&gt;</w:instrText>
      </w:r>
      <w:r w:rsidR="00022138">
        <w:fldChar w:fldCharType="separate"/>
      </w:r>
      <w:r w:rsidR="00022138">
        <w:rPr>
          <w:noProof/>
        </w:rPr>
        <w:t>(Direktoratet for e-helse)</w:t>
      </w:r>
      <w:r w:rsidR="00022138">
        <w:fldChar w:fldCharType="end"/>
      </w:r>
      <w:r w:rsidRPr="10AA0943">
        <w:t xml:space="preserve"> har som målset</w:t>
      </w:r>
      <w:r w:rsidR="001D1926">
        <w:t>t</w:t>
      </w:r>
      <w:r w:rsidRPr="10AA0943">
        <w:t>ing å regulere og stimulere til god samhandling mellom de private utviklerne og de offentlige digitale helsetjenester.</w:t>
      </w:r>
    </w:p>
    <w:p w14:paraId="3CE80260" w14:textId="77777777" w:rsidR="00D9107F" w:rsidRDefault="00916EE1" w:rsidP="00916EE1">
      <w:pPr>
        <w:jc w:val="both"/>
      </w:pPr>
      <w:r w:rsidRPr="00FE2FF2">
        <w:t>Teknologiutviklingen, utviklingen i leverandørmarkedet og utviklingen i myndighetenes organisering og ansvar for e-helsearbeidet</w:t>
      </w:r>
      <w:r>
        <w:t>,</w:t>
      </w:r>
      <w:r w:rsidRPr="00FE2FF2">
        <w:t xml:space="preserve"> har endret rammene for EPJ-løftet som tiltak</w:t>
      </w:r>
      <w:r>
        <w:t>. O</w:t>
      </w:r>
      <w:r w:rsidRPr="00FE2FF2">
        <w:t>ver flere år har EPJ-løftets portefølje av uløste behov og urealiserte prosjekter økt</w:t>
      </w:r>
      <w:r>
        <w:t xml:space="preserve"> </w:t>
      </w:r>
      <w:r w:rsidRPr="00FE2FF2">
        <w:t>og den relative gjennomføringsevne</w:t>
      </w:r>
      <w:r>
        <w:t xml:space="preserve">n, </w:t>
      </w:r>
      <w:r w:rsidRPr="00FE2FF2">
        <w:t>blitt svakere</w:t>
      </w:r>
      <w:r>
        <w:t xml:space="preserve"> </w:t>
      </w:r>
      <w:r>
        <w:fldChar w:fldCharType="begin"/>
      </w:r>
      <w:r w:rsidR="00A27571">
        <w:instrText xml:space="preserve"> ADDIN EN.CITE &lt;EndNote&gt;&lt;Cite ExcludeYear="1"&gt;&lt;Author&gt;Direktoratet for e-helse&lt;/Author&gt;&lt;RecNum&gt;203&lt;/RecNum&gt;&lt;DisplayText&gt;(Direktoratet for e-helse)&lt;/DisplayText&gt;&lt;record&gt;&lt;rec-number&gt;203&lt;/rec-number&gt;&lt;foreign-keys&gt;&lt;key app="EN" db-id="95tpr2tp6r9xwoea9rb5wdsz5ds5xeddteew" timestamp="1680069511"&gt;203&lt;/key&gt;&lt;/foreign-keys&gt;&lt;ref-type name="Web Page"&gt;12&lt;/ref-type&gt;&lt;contributors&gt;&lt;authors&gt;&lt;author&gt;Direktoratet for e-helse,&lt;/author&gt;&lt;/authors&gt;&lt;/contributors&gt;&lt;titles&gt;&lt;title&gt;EPJ-løftet - program for EPJ-utvikling&lt;/title&gt;&lt;/titles&gt;&lt;number&gt;03.02.2023&lt;/number&gt;&lt;dates&gt;&lt;pub-dates&gt;&lt;date&gt;03.02.2022&lt;/date&gt;&lt;/pub-dates&gt;&lt;/dates&gt;&lt;pub-location&gt;Oslo&lt;/pub-location&gt;&lt;publisher&gt;Direktoratet for e-helse&lt;/publisher&gt;&lt;work-type&gt;nettdokument&lt;/work-type&gt;&lt;urls&gt;&lt;/urls&gt;&lt;/record&gt;&lt;/Cite&gt;&lt;/EndNote&gt;</w:instrText>
      </w:r>
      <w:r>
        <w:fldChar w:fldCharType="separate"/>
      </w:r>
      <w:r w:rsidR="00CE2F35">
        <w:rPr>
          <w:noProof/>
        </w:rPr>
        <w:t>(Direktoratet for e-helse)</w:t>
      </w:r>
      <w:r>
        <w:fldChar w:fldCharType="end"/>
      </w:r>
      <w:r w:rsidRPr="00FE2FF2">
        <w:t xml:space="preserve">. </w:t>
      </w:r>
      <w:r w:rsidRPr="00E64C76">
        <w:t xml:space="preserve">Direktoratet for e-helse har igangsatt </w:t>
      </w:r>
      <w:r>
        <w:t xml:space="preserve">et </w:t>
      </w:r>
      <w:r w:rsidRPr="00E64C76">
        <w:t xml:space="preserve">arbeid med å </w:t>
      </w:r>
      <w:r>
        <w:t>vurdere</w:t>
      </w:r>
      <w:r w:rsidRPr="00E64C76">
        <w:t xml:space="preserve"> tiltak for økt gjennomføringskraft.</w:t>
      </w:r>
    </w:p>
    <w:p w14:paraId="1A1CAAB2" w14:textId="77777777" w:rsidR="00D9107F" w:rsidRDefault="00916EE1" w:rsidP="00916EE1">
      <w:pPr>
        <w:jc w:val="both"/>
      </w:pPr>
      <w:r>
        <w:t xml:space="preserve">Det norske fastlegemarkedet består av mange små legekontor, og markedet for innovasjon kan begrenses av at aktørene har lav kjøpekraft og kapasitet til å drive utviklingsarbeid. På den andre </w:t>
      </w:r>
      <w:r>
        <w:lastRenderedPageBreak/>
        <w:t>siden har utviklingen av elektroniske pasientjournalsystemer for fastlegene skutt fart de siste årene</w:t>
      </w:r>
      <w:r w:rsidR="001D1926">
        <w:t>,</w:t>
      </w:r>
      <w:r>
        <w:t xml:space="preserve"> og kvaliteten på disse produktene er høy</w:t>
      </w:r>
      <w:r w:rsidDel="2DDC279E">
        <w:t>.</w:t>
      </w:r>
      <w:r>
        <w:t xml:space="preserve"> Per i dag har fastlegene flere gode journalleverandører å velge imellom, </w:t>
      </w:r>
      <w:r w:rsidR="001D1926">
        <w:t xml:space="preserve">og </w:t>
      </w:r>
      <w:r>
        <w:t>dette gir insentiv til å jobbe både med kvalitet og pris på sluttproduktet.</w:t>
      </w:r>
    </w:p>
    <w:p w14:paraId="5CDD55D3" w14:textId="2BB000D5" w:rsidR="00916EE1" w:rsidRDefault="00916EE1" w:rsidP="00775632">
      <w:pPr>
        <w:pStyle w:val="Overskrift2"/>
      </w:pPr>
      <w:bookmarkStart w:id="5948" w:name="_Toc129888238"/>
      <w:bookmarkStart w:id="5949" w:name="_Toc130853700"/>
      <w:bookmarkStart w:id="5950" w:name="_Toc130932184"/>
      <w:bookmarkStart w:id="5951" w:name="_Toc130934475"/>
      <w:bookmarkStart w:id="5952" w:name="_Toc130983607"/>
      <w:bookmarkStart w:id="5953" w:name="_Toc130983956"/>
      <w:bookmarkStart w:id="5954" w:name="_Toc131062226"/>
      <w:bookmarkStart w:id="5955" w:name="_Toc131062480"/>
      <w:bookmarkStart w:id="5956" w:name="_Toc131062741"/>
      <w:bookmarkStart w:id="5957" w:name="_Toc131062994"/>
      <w:bookmarkStart w:id="5958" w:name="_Toc131063777"/>
      <w:bookmarkStart w:id="5959" w:name="_Toc131064188"/>
      <w:bookmarkStart w:id="5960" w:name="_Toc131238593"/>
      <w:bookmarkStart w:id="5961" w:name="_Toc131279684"/>
      <w:bookmarkStart w:id="5962" w:name="_Toc131287096"/>
      <w:bookmarkStart w:id="5963" w:name="_Toc131281506"/>
      <w:bookmarkStart w:id="5964" w:name="_Toc131318046"/>
      <w:bookmarkStart w:id="5965" w:name="_Toc132537113"/>
      <w:r>
        <w:t>Behovet for kunnskap om allmennlegetjenestene</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w14:paraId="123CC01F" w14:textId="77777777" w:rsidR="00D9107F" w:rsidRDefault="00916EE1" w:rsidP="00775632">
      <w:pPr>
        <w:pStyle w:val="Overskrift3"/>
      </w:pPr>
      <w:bookmarkStart w:id="5966" w:name="_Toc131238594"/>
      <w:bookmarkStart w:id="5967" w:name="_Toc131279685"/>
      <w:bookmarkStart w:id="5968" w:name="_Toc131287097"/>
      <w:bookmarkStart w:id="5969" w:name="_Toc131281507"/>
      <w:bookmarkStart w:id="5970" w:name="_Toc131318047"/>
      <w:bookmarkStart w:id="5971" w:name="_Toc132537114"/>
      <w:bookmarkStart w:id="5972" w:name="_Toc130853701"/>
      <w:bookmarkStart w:id="5973" w:name="_Toc130932185"/>
      <w:bookmarkStart w:id="5974" w:name="_Toc130934476"/>
      <w:bookmarkStart w:id="5975" w:name="_Toc130983608"/>
      <w:bookmarkStart w:id="5976" w:name="_Toc130983957"/>
      <w:bookmarkStart w:id="5977" w:name="_Toc131062227"/>
      <w:bookmarkStart w:id="5978" w:name="_Toc131062481"/>
      <w:bookmarkStart w:id="5979" w:name="_Toc131062742"/>
      <w:bookmarkStart w:id="5980" w:name="_Toc131062995"/>
      <w:bookmarkStart w:id="5981" w:name="_Toc131063778"/>
      <w:bookmarkStart w:id="5982" w:name="_Toc131064189"/>
      <w:r>
        <w:t>Kunnskap om kvalitet</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p>
    <w:p w14:paraId="72A4D20A" w14:textId="77777777" w:rsidR="00D9107F" w:rsidRDefault="00916EE1" w:rsidP="00916EE1">
      <w:pPr>
        <w:jc w:val="both"/>
        <w:rPr>
          <w:rFonts w:cstheme="minorHAnsi"/>
        </w:rPr>
      </w:pPr>
      <w:r>
        <w:t>S</w:t>
      </w:r>
      <w:r w:rsidRPr="00EB711A">
        <w:t>om hjelpemiddel for ledelse og kvalitetsforbedring i den kommunale helse- og omsorgstjenesten, og som grunnlag for at pasienter og brukere kan ivareta sine rettigheter</w:t>
      </w:r>
      <w:r>
        <w:t xml:space="preserve">, skal </w:t>
      </w:r>
      <w:r w:rsidRPr="00EB711A">
        <w:t>Helsedirektoratet utvikle, formidle</w:t>
      </w:r>
      <w:r>
        <w:t xml:space="preserve"> </w:t>
      </w:r>
      <w:r w:rsidRPr="00EB711A">
        <w:t>og vedlikeholde</w:t>
      </w:r>
      <w:r>
        <w:t xml:space="preserve"> </w:t>
      </w:r>
      <w:r w:rsidRPr="00EB711A">
        <w:t xml:space="preserve">nasjonale kvalitetsindikatorer </w:t>
      </w:r>
      <w:r>
        <w:t>for allmennlegetjenesten.</w:t>
      </w:r>
      <w:r w:rsidRPr="00EB711A">
        <w:t xml:space="preserve"> Kvalitetsindikatorene skal gjøres offentlig tilgjengelig. I </w:t>
      </w:r>
      <w:r w:rsidRPr="005E6C64">
        <w:rPr>
          <w:rFonts w:cstheme="minorHAnsi"/>
        </w:rPr>
        <w:t>dag finnes det nasjonale kvalitetsindikatorer som berører allmennlegetjenesten</w:t>
      </w:r>
      <w:r>
        <w:rPr>
          <w:rFonts w:cstheme="minorHAnsi"/>
        </w:rPr>
        <w:t>,</w:t>
      </w:r>
      <w:r w:rsidRPr="005E6C64">
        <w:rPr>
          <w:rFonts w:cstheme="minorHAnsi"/>
        </w:rPr>
        <w:t xml:space="preserve"> for følgende områder:</w:t>
      </w:r>
    </w:p>
    <w:p w14:paraId="75F1D198" w14:textId="77777777" w:rsidR="00D9107F" w:rsidRDefault="00916EE1" w:rsidP="00775632">
      <w:pPr>
        <w:pStyle w:val="Listebombe"/>
      </w:pPr>
      <w:r w:rsidRPr="18A0BF6C">
        <w:t>Fire</w:t>
      </w:r>
      <w:r w:rsidRPr="001A5254">
        <w:t xml:space="preserve"> indikatorer </w:t>
      </w:r>
      <w:r>
        <w:t>for sykehjem</w:t>
      </w:r>
      <w:r w:rsidR="00AA2F01">
        <w:t>,</w:t>
      </w:r>
      <w:r>
        <w:t xml:space="preserve"> </w:t>
      </w:r>
      <w:r w:rsidRPr="001A5254">
        <w:t>innen legemiddelgjennomgang, bemanning av sykehjemslege, vurdering av lege siste år og antibiotikabruk</w:t>
      </w:r>
    </w:p>
    <w:p w14:paraId="559A1E88" w14:textId="77777777" w:rsidR="00D9107F" w:rsidRDefault="00916EE1" w:rsidP="00775632">
      <w:pPr>
        <w:pStyle w:val="Listebombe"/>
      </w:pPr>
      <w:r w:rsidRPr="4852F957">
        <w:t xml:space="preserve">Fem indikatorer </w:t>
      </w:r>
      <w:r>
        <w:t>for fastlege</w:t>
      </w:r>
      <w:r w:rsidR="00AA2F01">
        <w:t>,</w:t>
      </w:r>
      <w:r>
        <w:t xml:space="preserve"> </w:t>
      </w:r>
      <w:r w:rsidRPr="4852F957">
        <w:t>innen spe</w:t>
      </w:r>
      <w:r w:rsidRPr="001A5254">
        <w:t>sialisering, kontinuitet (</w:t>
      </w:r>
      <w:r w:rsidRPr="4852F957">
        <w:t>to</w:t>
      </w:r>
      <w:r w:rsidRPr="001A5254">
        <w:t>), pasienterfaringer og innbyggere uten fast lege</w:t>
      </w:r>
    </w:p>
    <w:p w14:paraId="48063D8C" w14:textId="77777777" w:rsidR="00D9107F" w:rsidRDefault="00916EE1" w:rsidP="00775632">
      <w:pPr>
        <w:pStyle w:val="Listebombe"/>
      </w:pPr>
      <w:r w:rsidRPr="4852F957">
        <w:t>Fire</w:t>
      </w:r>
      <w:r>
        <w:t xml:space="preserve"> indikatorer</w:t>
      </w:r>
      <w:r w:rsidRPr="4852F957">
        <w:t xml:space="preserve"> </w:t>
      </w:r>
      <w:r>
        <w:t>for legevakt</w:t>
      </w:r>
      <w:r w:rsidR="00AA2F01">
        <w:t>,</w:t>
      </w:r>
      <w:r w:rsidRPr="4852F957">
        <w:t xml:space="preserve"> innen tolk, samtrening og triagering</w:t>
      </w:r>
    </w:p>
    <w:p w14:paraId="25547F29" w14:textId="77777777" w:rsidR="00D9107F" w:rsidRDefault="00916EE1" w:rsidP="00775632">
      <w:pPr>
        <w:pStyle w:val="Listebombe"/>
      </w:pPr>
      <w:r w:rsidRPr="4852F957">
        <w:t xml:space="preserve">Fire </w:t>
      </w:r>
      <w:r w:rsidRPr="24A3227C">
        <w:t>indi</w:t>
      </w:r>
      <w:r>
        <w:t>katorer for legemidler</w:t>
      </w:r>
      <w:r w:rsidR="00AA2F01">
        <w:t>,</w:t>
      </w:r>
      <w:r>
        <w:t xml:space="preserve"> </w:t>
      </w:r>
      <w:r w:rsidRPr="4852F957">
        <w:t>innen forsk</w:t>
      </w:r>
      <w:r w:rsidRPr="001A5254">
        <w:t>rivning av antibiotika</w:t>
      </w:r>
    </w:p>
    <w:p w14:paraId="4E281B0E" w14:textId="3273F396" w:rsidR="00916EE1" w:rsidRPr="00EB711A" w:rsidRDefault="00916EE1" w:rsidP="00916EE1">
      <w:pPr>
        <w:jc w:val="both"/>
      </w:pPr>
      <w:r w:rsidRPr="3CED88D5">
        <w:t>Utvikling av nye kvalitetsindikatorer skjer i samarbeid med fagmiljøer, herunder fastleger, Legeforeningen, kommuner, KS og brukerorganisasjoner. I 2022 ble det gjennomført en prosess med eksperter innen legemiddelfeltet. Gruppen drøftet og definerte tre indikatorer om forskrivning av utvalgte legemiddelgrupper til eldre (vanedannende, NSAIDs, antikolinergika), som skal publises i 2023</w:t>
      </w:r>
      <w:r w:rsidRPr="00EB711A">
        <w:t>. Det arbeides også med en indikator</w:t>
      </w:r>
      <w:r w:rsidRPr="00EB711A" w:rsidDel="00AA2F01">
        <w:t xml:space="preserve"> </w:t>
      </w:r>
      <w:r w:rsidR="00AA2F01">
        <w:t>for</w:t>
      </w:r>
      <w:r w:rsidRPr="00EB711A">
        <w:t xml:space="preserve"> personlig kontinuitet mellom fastlege og pasient. I tillegg er det planlagt et analysearbeid om fastlegetjenester til </w:t>
      </w:r>
      <w:r>
        <w:t>svake</w:t>
      </w:r>
      <w:r w:rsidRPr="00EB711A">
        <w:t xml:space="preserve"> etterspørrere</w:t>
      </w:r>
      <w:r>
        <w:t>,</w:t>
      </w:r>
      <w:r w:rsidRPr="00EB711A">
        <w:t xml:space="preserve"> som for eksempel personer i </w:t>
      </w:r>
      <w:r w:rsidR="00EB4354">
        <w:t xml:space="preserve">boliger med </w:t>
      </w:r>
      <w:r>
        <w:t xml:space="preserve">heldøgns </w:t>
      </w:r>
      <w:r w:rsidR="00EB4354">
        <w:t>tjenester</w:t>
      </w:r>
      <w:r w:rsidRPr="00EB711A">
        <w:t xml:space="preserve">. </w:t>
      </w:r>
      <w:r w:rsidRPr="00376FE9">
        <w:t xml:space="preserve">Helsedirektoratet </w:t>
      </w:r>
      <w:r>
        <w:t xml:space="preserve">samler </w:t>
      </w:r>
      <w:r w:rsidRPr="00376FE9">
        <w:t>kunnskap</w:t>
      </w:r>
      <w:r>
        <w:t xml:space="preserve"> </w:t>
      </w:r>
      <w:r w:rsidR="00AA2F01">
        <w:t xml:space="preserve">om </w:t>
      </w:r>
      <w:r w:rsidRPr="00376FE9">
        <w:t>kvalitetsindikatorer som blir benyttet i utvalgte land</w:t>
      </w:r>
      <w:r>
        <w:t>, som et ledd i vurderinger av nye indikatorer i årene som kommer</w:t>
      </w:r>
      <w:r w:rsidRPr="00376FE9">
        <w:t>.</w:t>
      </w:r>
    </w:p>
    <w:p w14:paraId="31EFBCB9" w14:textId="77777777" w:rsidR="00D9107F" w:rsidRDefault="00916EE1" w:rsidP="00863547">
      <w:pPr>
        <w:jc w:val="both"/>
      </w:pPr>
      <w:r w:rsidRPr="00EB711A">
        <w:t>Nye nasjonale kvalitetsindikatorer er avhengig av nasjonale datakilder med god dekningsgrad og datakvalitet. I tillegg er det en nødvendighet at indikatorene kan benyttes til å forbedre kvalitet og pasientsikkerhet.</w:t>
      </w:r>
    </w:p>
    <w:p w14:paraId="2401203F" w14:textId="359F0E2E" w:rsidR="00916EE1" w:rsidRDefault="00916EE1" w:rsidP="00775632">
      <w:pPr>
        <w:pStyle w:val="Overskrift3"/>
      </w:pPr>
      <w:bookmarkStart w:id="5983" w:name="_Toc130932186"/>
      <w:bookmarkStart w:id="5984" w:name="_Toc130934477"/>
      <w:bookmarkStart w:id="5985" w:name="_Toc130983609"/>
      <w:bookmarkStart w:id="5986" w:name="_Toc130983958"/>
      <w:bookmarkStart w:id="5987" w:name="_Toc131062228"/>
      <w:bookmarkStart w:id="5988" w:name="_Toc131062482"/>
      <w:bookmarkStart w:id="5989" w:name="_Toc131062743"/>
      <w:bookmarkStart w:id="5990" w:name="_Toc131062996"/>
      <w:bookmarkStart w:id="5991" w:name="_Toc131063779"/>
      <w:bookmarkStart w:id="5992" w:name="_Toc131064190"/>
      <w:bookmarkStart w:id="5993" w:name="_Toc131238595"/>
      <w:bookmarkStart w:id="5994" w:name="_Toc131279686"/>
      <w:bookmarkStart w:id="5995" w:name="_Toc131287098"/>
      <w:bookmarkStart w:id="5996" w:name="_Toc131281508"/>
      <w:bookmarkStart w:id="5997" w:name="_Toc131318048"/>
      <w:bookmarkStart w:id="5998" w:name="_Toc132537115"/>
      <w:r>
        <w:t>Kunnskap om helsepersonell</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67E67EA2" w14:textId="77777777" w:rsidR="00D9107F" w:rsidRDefault="00916EE1" w:rsidP="00916EE1">
      <w:pPr>
        <w:jc w:val="both"/>
      </w:pPr>
      <w:r>
        <w:t>Det er et tydelig behov for bedre data om helsepersonells arbeidsmønstre. Vi har svært gode og oppdaterte data om aktiviteten i helsetjenestene, men langt dårligere oversikt over belastningen på</w:t>
      </w:r>
      <w:r w:rsidR="00AA2F01">
        <w:t>,</w:t>
      </w:r>
      <w:r>
        <w:t xml:space="preserve"> og tilgangen til</w:t>
      </w:r>
      <w:r w:rsidR="00AA2F01">
        <w:t>,</w:t>
      </w:r>
      <w:r>
        <w:t xml:space="preserve"> helsepersonell.</w:t>
      </w:r>
    </w:p>
    <w:p w14:paraId="5A3ECEC7" w14:textId="0CEFD5B7" w:rsidR="00916EE1" w:rsidRDefault="00916EE1" w:rsidP="00916EE1">
      <w:pPr>
        <w:jc w:val="both"/>
      </w:pPr>
      <w:r>
        <w:lastRenderedPageBreak/>
        <w:t>Statistisk sentralbyrå (SSB) leverer sykefravær og avtalt arbeidstid for aggregerte grupper av helsepersonell</w:t>
      </w:r>
      <w:r>
        <w:fldChar w:fldCharType="begin"/>
      </w:r>
      <w:r w:rsidR="004654FD">
        <w:instrText xml:space="preserve"> ADDIN EN.CITE &lt;EndNote&gt;&lt;Cite ExcludeYear="1"&gt;&lt;Author&gt;Bakke&lt;/Author&gt;&lt;Year&gt;2021&lt;/Year&gt;&lt;RecNum&gt;1003&lt;/RecNum&gt;&lt;DisplayText&gt;(Bakke et al.)&lt;/DisplayText&gt;&lt;record&gt;&lt;rec-number&gt;1003&lt;/rec-number&gt;&lt;foreign-keys&gt;&lt;key app="EN" db-id="95tpr2tp6r9xwoea9rb5wdsz5ds5xeddteew" timestamp="1680256459"&gt;1003&lt;/key&gt;&lt;/foreign-keys&gt;&lt;ref-type name="Web Page"&gt;12&lt;/ref-type&gt;&lt;contributors&gt;&lt;authors&gt;&lt;author&gt;Bakke, S.&lt;/author&gt;&lt;author&gt;Hjemås, G.&lt;/author&gt;&lt;/authors&gt;&lt;/contributors&gt;&lt;titles&gt;&lt;title&gt;Sykepleiere på sykehus jobber mer under pandemien&lt;/title&gt;&lt;/titles&gt;&lt;dates&gt;&lt;year&gt;2021&lt;/year&gt;&lt;/dates&gt;&lt;publisher&gt;SSB&lt;/publisher&gt;&lt;urls&gt;&lt;related-urls&gt;&lt;url&gt;https://www.ssb.no/helse/helsetjenester/artikler/sykepleiere-pa-sykehus-jobber-mer-under-pandemien&lt;/url&gt;&lt;/related-urls&gt;&lt;/urls&gt;&lt;/record&gt;&lt;/Cite&gt;&lt;/EndNote&gt;</w:instrText>
      </w:r>
      <w:r>
        <w:fldChar w:fldCharType="separate"/>
      </w:r>
      <w:r w:rsidR="00856689">
        <w:rPr>
          <w:noProof/>
        </w:rPr>
        <w:t>(Bakke et al.)</w:t>
      </w:r>
      <w:r>
        <w:fldChar w:fldCharType="end"/>
      </w:r>
      <w:r>
        <w:t>, men vi vet lite om faktisk arbeidstid, overtidsarbeid, turnusbelastning, permisjoner, vikarbruk og innleie. Vi vet heller ikke mye om variasjon i indikatorer for arbeidsbelastning på tvers av tjenestenivåer og kommuner. Vi har begrenset statistikk om hvor vanlig ulike helsepersonellgrupper er i norske fastlegekontorer, og hvilke helsepersonellgrupper som i det daglige jobber sammen i helsetjenestene. Slik kunnskap vil være viktig i planlegging av tjenestene og analyser av fordeler og ulemper ved ulike samarbeidskonstellasjoner og organiseringsmåter. For nasjonale myndigheter vil kunnskap av denne typen gjøre det mulig å oppdage mangler og sårbarheter raskt, noe som særlig vil være viktig i beredskapssituasjoner, men også generelt for å få et godt og representativt bilde av belastningen for ulike helsepersonellgrupper i Norge</w:t>
      </w:r>
      <w:r w:rsidR="007149C7">
        <w:t>. Dette</w:t>
      </w:r>
      <w:r w:rsidR="00AA2F01">
        <w:t xml:space="preserve"> som grunnlag for målrettet planlegging og utvikling</w:t>
      </w:r>
      <w:r>
        <w:t>.</w:t>
      </w:r>
    </w:p>
    <w:p w14:paraId="3C48DBA1" w14:textId="77777777" w:rsidR="00D9107F" w:rsidRDefault="00916EE1" w:rsidP="00916EE1">
      <w:pPr>
        <w:jc w:val="both"/>
      </w:pPr>
      <w:r>
        <w:t>Mye informasjon om helsepersonell finnes allerede i lønns- og turnussystemer på arbeidsplasser i helsetjenesten, men den er ikke systematisert og kan per i dag ikke sammenstilles på nasjonalt eller regionalt nivå. Om næringsdrivende fastleger er det lite informasjon tilgjengelig. Et nasjonalt register med denne type data ville åpne for verdifull statistikk, analyse og forskning</w:t>
      </w:r>
      <w:r w:rsidR="00AA2F01">
        <w:t>,</w:t>
      </w:r>
      <w:r>
        <w:t xml:space="preserve"> </w:t>
      </w:r>
      <w:r w:rsidR="00AA2F01">
        <w:t>som k</w:t>
      </w:r>
      <w:r w:rsidR="00252C7B">
        <w:t>a</w:t>
      </w:r>
      <w:r w:rsidR="00AA2F01">
        <w:t>n</w:t>
      </w:r>
      <w:r w:rsidR="00252C7B">
        <w:t xml:space="preserve"> utnyttes</w:t>
      </w:r>
      <w:r w:rsidR="00AA2F01">
        <w:t xml:space="preserve"> til</w:t>
      </w:r>
      <w:r>
        <w:t xml:space="preserve"> å sikre god ressursutnyttelse og gode arbeidsforhold, samt gode og likeverdige helsetjenester for den norske befolkningen de neste tiårene.</w:t>
      </w:r>
    </w:p>
    <w:p w14:paraId="750C1547" w14:textId="77777777" w:rsidR="00D9107F" w:rsidRDefault="00916EE1" w:rsidP="00916EE1">
      <w:pPr>
        <w:jc w:val="both"/>
      </w:pPr>
      <w:r>
        <w:t>Utvalget viser også til ekspertgruppen nedsatt for å utrede et bedre kunnskapssystem for håndtering av kriser, hvor behovet for bedre kunnskap og forskning om kapasiteten i helsetjenestene påpekes</w:t>
      </w:r>
      <w:r w:rsidR="00093191">
        <w:t xml:space="preserve"> </w:t>
      </w:r>
      <w:r>
        <w:fldChar w:fldCharType="begin"/>
      </w:r>
      <w:r w:rsidR="004654FD">
        <w:instrText xml:space="preserve"> ADDIN EN.CITE &lt;EndNote&gt;&lt;Cite&gt;&lt;Author&gt;Kjernegruppen&lt;/Author&gt;&lt;Year&gt;2022&lt;/Year&gt;&lt;RecNum&gt;1004&lt;/RecNum&gt;&lt;DisplayText&gt;(Kjernegruppen, 2022)&lt;/DisplayText&gt;&lt;record&gt;&lt;rec-number&gt;1004&lt;/rec-number&gt;&lt;foreign-keys&gt;&lt;key app="EN" db-id="95tpr2tp6r9xwoea9rb5wdsz5ds5xeddteew" timestamp="1680256613"&gt;1004&lt;/key&gt;&lt;/foreign-keys&gt;&lt;ref-type name="Report"&gt;27&lt;/ref-type&gt;&lt;contributors&gt;&lt;authors&gt;&lt;author&gt;Kjernegruppen&lt;/author&gt;&lt;/authors&gt;&lt;tertiary-authors&gt;&lt;author&gt;Regjeringen&lt;/author&gt;&lt;/tertiary-authors&gt;&lt;/contributors&gt;&lt;titles&gt;&lt;title&gt;Effektiv og sikker infrastruktur for deling og bruk av relevant statistikk og data i kriser. Rapport fra ekspertgruppe nedsatt av kjernegruppen for et bedre kunnskapssystem for håndtering av kriser&lt;/title&gt;&lt;/titles&gt;&lt;dates&gt;&lt;year&gt;2022&lt;/year&gt;&lt;/dates&gt;&lt;urls&gt;&lt;/urls&gt;&lt;/record&gt;&lt;/Cite&gt;&lt;/EndNote&gt;</w:instrText>
      </w:r>
      <w:r>
        <w:fldChar w:fldCharType="separate"/>
      </w:r>
      <w:r>
        <w:rPr>
          <w:noProof/>
        </w:rPr>
        <w:t>(Kjernegruppen, 2022)</w:t>
      </w:r>
      <w:r>
        <w:fldChar w:fldCharType="end"/>
      </w:r>
      <w:r>
        <w:t>. Det vises også til England hvor man har kommet et stykke på vei med å framskaffe denne type data</w:t>
      </w:r>
      <w:r>
        <w:fldChar w:fldCharType="begin">
          <w:fldData xml:space="preserve">PEVuZE5vdGU+PENpdGU+PEF1dGhvcj5MZWU8L0F1dGhvcj48WWVhcj4yMDIwPC9ZZWFyPjxSZWNO
dW0+NDg0PC9SZWNOdW0+PERpc3BsYXlUZXh0PihMZWUgZXQgYWwuLCAyMDIwOyBMZWUgZXQgYWwu
LCAyMDIyKTwvRGlzcGxheVRleHQ+PHJlY29yZD48cmVjLW51bWJlcj40ODQ8L3JlYy1udW1iZXI+
PGZvcmVpZ24ta2V5cz48a2V5IGFwcD0iRU4iIGRiLWlkPSI5NXRwcjJ0cDZyOXh3b2VhOXJiNXdk
c3o1ZHM1eGVkZHRlZXciIHRpbWVzdGFtcD0iMTY4MDA2OTUxMSI+NDg0PC9rZXk+PC9mb3JlaWdu
LWtleXM+PHJlZi10eXBlIG5hbWU9IkpvdXJuYWwgQXJ0aWNsZSI+MTc8L3JlZi10eXBlPjxjb250
cmlidXRvcnM+PGF1dGhvcnM+PGF1dGhvcj5MZWUsIFQuPC9hdXRob3I+PGF1dGhvcj5Qcm9wcGVy
LCBDLjwvYXV0aG9yPjxhdXRob3I+U3RveWUsIEcuPC9hdXRob3I+PC9hdXRob3JzPjwvY29udHJp
YnV0b3JzPjx0aXRsZXM+PHRpdGxlPk1lZGljYWwgTGFib3VyIFN1cHBseSBhbmQgdGhlIFByb2R1
Y3Rpb24gb2YgSGVhbHRoY2FyZTwvdGl0bGU+PHNlY29uZGFyeS10aXRsZT5UaGUgSm91cm5hbCBv
ZiBBcHBsaWVkIEVjb25vbWljczwvc2Vjb25kYXJ5LXRpdGxlPjwvdGl0bGVzPjxwZXJpb2RpY2Fs
PjxmdWxsLXRpdGxlPlRoZSBKb3VybmFsIG9mIEFwcGxpZWQgRWNvbm9taWNzPC9mdWxsLXRpdGxl
PjwvcGVyaW9kaWNhbD48dm9sdW1lPjQwPC92b2x1bWU+PG51bWJlcj40PC9udW1iZXI+PGRhdGVz
Pjx5ZWFyPjIwMjA8L3llYXI+PC9kYXRlcz48dXJscz48L3VybHM+PC9yZWNvcmQ+PC9DaXRlPjxD
aXRlPjxBdXRob3I+TGVlPC9BdXRob3I+PFllYXI+MjAyMjwvWWVhcj48UmVjTnVtPjk1PC9SZWNO
dW0+PHJlY29yZD48cmVjLW51bWJlcj45NTwvcmVjLW51bWJlcj48Zm9yZWlnbi1rZXlzPjxrZXkg
YXBwPSJFTiIgZGItaWQ9Ijk1dHByMnRwNnI5eHdvZWE5cmI1d2RzejVkczV4ZWRkdGVldyIgdGlt
ZXN0YW1wPSIxNjgwMDY5NTExIj45NTwva2V5PjwvZm9yZWlnbi1rZXlzPjxyZWYtdHlwZSBuYW1l
PSJKb3VybmFsIEFydGljbGUiPjE3PC9yZWYtdHlwZT48Y29udHJpYnV0b3JzPjxhdXRob3JzPjxh
dXRob3I+TGVlLCBUYXlsb3I8L2F1dGhvcj48YXV0aG9yPlRyYW4sIEVkd2FyZDwvYXV0aG9yPjwv
YXV0aG9ycz48L2NvbnRyaWJ1dG9ycz48YXV0aC1hZGRyZXNzPkxlZSwgVGF5bG9yOiBBenVzYSBQ
YWNpZmljIFVuaXZlcnNpdHksIFBoeXNpY2FsIFRoZXJhcHksIFVTJiN4RDtUcmFuLCBFZHdhcmQ6
IEF6dXNhIFBhY2lmaWMgVW5pdmVyc2l0eSwgUGh5c2ljYWwgVGhlcmFweSwgVVM8L2F1dGgtYWRk
cmVzcz48dGl0bGVzPjx0aXRsZT5Db21tb24gYW5kIGFsdGVybmF0aXZlIGludGVydmVudGlvbnMg
b24gZ2FpdCBvdXRjb21lcyBhbmQgbWVjaGFuaWNzIGluIFBhcmtpbnNvbiZhcG9zO3MgZGlzZWFz
ZSBhbmQgcnVubmVyczwvdGl0bGU+PHNlY29uZGFyeS10aXRsZT5EaXNzZXJ0YXRpb24gQWJzdHJh
Y3RzIEludGVybmF0aW9uYWw6IFNlY3Rpb24gQjogVGhlIFNjaWVuY2VzIGFuZCBFbmdpbmVlcmlu
Zzwvc2Vjb25kYXJ5LXRpdGxlPjwvdGl0bGVzPjxwZXJpb2RpY2FsPjxmdWxsLXRpdGxlPkRpc3Nl
cnRhdGlvbiBBYnN0cmFjdHMgSW50ZXJuYXRpb25hbDogU2VjdGlvbiBCOiBUaGUgU2NpZW5jZXMg
YW5kIEVuZ2luZWVyaW5nPC9mdWxsLXRpdGxlPjwvcGVyaW9kaWNhbD48cGFnZXM+Tm8gUGFnaW5h
dGlvbiBTcGVjaWZpZWQ8L3BhZ2VzPjx2b2x1bWU+ODM8L3ZvbHVtZT48bnVtYmVyPjMtQjwvbnVt
YmVyPjxrZXl3b3Jkcz48a2V5d29yZD5Db2duaXRpdmUgYmVoYXZpb3JhbCB0aGVyYXB5LCBHYWl0
LCBHZW51IHZhbGd1cywgSGlwIHN0cmVuZ3RoZW5pbmcsIFNpbHZlcm1hbiwgTGVlLCBQYXJraW5z
b24mYXBvcztzIGRpc2Vhc2U8L2tleXdvcmQ+PGtleXdvcmQ+KkNvZ25pdGl2ZSBCZWhhdmlvciBU
aGVyYXB5PC9rZXl3b3JkPjxrZXl3b3JkPipIaXBzPC9rZXl3b3JkPjxrZXl3b3JkPipJbnRlcnZl
bnRpb248L2tleXdvcmQ+PGtleXdvcmQ+KlBhcmtpbnNvbiZhcG9zO3MgRGlzZWFzZTwva2V5d29y
ZD48a2V5d29yZD4qR2FpdDwva2V5d29yZD48a2V5d29yZD5SdW5uaW5nPC9rZXl3b3JkPjxrZXl3
b3JkPkhlYWx0aCAmYW1wOyBNZW50YWwgSGVhbHRoIFRyZWF0bWVudCAmYW1wOyBQcmV2ZW50aW9u
IFszMzAwXTwva2V5d29yZD48a2V5d29yZD5QaHlzaW9sb2dpY2FsIFBzeWNob2xvZ3kgJmFtcDsg
TmV1cm9zY2llbmNlIFsyNTAwXTwva2V5d29yZD48a2V5d29yZD5IdW1hbjwva2V5d29yZD48L2tl
eXdvcmRzPjxkYXRlcz48eWVhcj4yMDIyPC95ZWFyPjwvZGF0ZXM+PGlzYm4+MDQxOS00MjE3PC9p
c2JuPjxhY2Nlc3Npb24tbnVtPjIwMjEtOTQ1OTktMDcwPC9hY2Nlc3Npb24tbnVtPjx3b3JrLXR5
cGU+RGlzc2VydGF0aW9uJiN4RDtFbXBpcmljYWwgU3R1ZHk7IFF1YW50aXRhdGl2ZSBTdHVkeTwv
d29yay10eXBlPjx1cmxzPjxyZWxhdGVkLXVybHM+PHVybD5odHRwczovL292aWRzcC5vdmlkLmNv
bS9vdmlkd2ViLmNnaT9UPUpTJmFtcDtDU0M9WSZhbXA7TkVXUz1OJmFtcDtQQUdFPWZ1bGx0ZXh0
JmFtcDtEPXBzeWMxOCZhbXA7QU49MjAyMS05NDU5OS0wNzA8L3VybD48dXJsPmh0dHA6Ly9vcGVu
dXJsLmJpYnN5cy5uby9vcGVudXJsP290b29sPWlub2lwaGxpYj9zaWQ9T1ZJRDpwc3ljZGImYW1w
O2lkPXBtaWQ6JmFtcDtpZD1kb2k6JmFtcDtpc3NuPTA0MTktNDIxNyZhbXA7aXNibj05NzktODU0
NDI4MTAwOSZhbXA7dm9sdW1lPTgzJmFtcDtpc3N1ZT0zLUImYW1wO3NwYWdlPU5vJmFtcDtwYWdl
cz1ObytQYWdpbmF0aW9uK1NwZWNpZmllZCZhbXA7ZGF0ZT0yMDIyJmFtcDt0aXRsZT1EaXNzZXJ0
YXRpb24rQWJzdHJhY3RzK0ludGVybmF0aW9uYWwlM0ErU2VjdGlvbitCJTNBK1RoZStTY2llbmNl
cythbmQrRW5naW5lZXJpbmcmYW1wO2F0aXRsZT1Db21tb24rYW5kK2FsdGVybmF0aXZlK2ludGVy
dmVudGlvbnMrb24rZ2FpdCtvdXRjb21lcythbmQrbWVjaGFuaWNzK2luK1BhcmtpbnNvbiUyN3Mr
ZGlzZWFzZSthbmQrcnVubmVycy4mYW1wO2F1bGFzdD1MZWUmYW1wO3BpZD0lM0NhdXRob3IlM0VM
ZWUlMkMrVGF5bG9yJTNDJTJGYXV0aG9yJTNFJTNDQU4lM0UyMDIxLTk0NTk5LTA3MCUzQyUyRkFO
JTNFJTNDRFQlM0VEaXNzZXJ0YXRpb24lM0MlMkZEVCUzRTwvdXJsPjwvcmVsYXRlZC11cmxzPjwv
dXJscz48cmVtb3RlLWRhdGFiYXNlLW5hbWU+T3BwZ2F2ZWdsaWRuaW5nPC9yZW1vdGUtZGF0YWJh
c2UtbmFtZT48cmVtb3RlLWRhdGFiYXNlLXByb3ZpZGVyPk92aWQgVGVjaG5vbG9naWVzPC9yZW1v
dGUtZGF0YWJhc2UtcHJvdmlkZXI+PGxhbmd1YWdlPkVuZ2xpc2g8L2xhbmd1YWdlPjwvcmVjb3Jk
PjwvQ2l0ZT48L0VuZE5vdGU+AG==
</w:fldData>
        </w:fldChar>
      </w:r>
      <w:r w:rsidR="004654FD">
        <w:instrText xml:space="preserve"> ADDIN EN.CITE </w:instrText>
      </w:r>
      <w:r w:rsidR="004654FD">
        <w:fldChar w:fldCharType="begin">
          <w:fldData xml:space="preserve">PEVuZE5vdGU+PENpdGU+PEF1dGhvcj5MZWU8L0F1dGhvcj48WWVhcj4yMDIwPC9ZZWFyPjxSZWNO
dW0+NDg0PC9SZWNOdW0+PERpc3BsYXlUZXh0PihMZWUgZXQgYWwuLCAyMDIwOyBMZWUgZXQgYWwu
LCAyMDIyKTwvRGlzcGxheVRleHQ+PHJlY29yZD48cmVjLW51bWJlcj40ODQ8L3JlYy1udW1iZXI+
PGZvcmVpZ24ta2V5cz48a2V5IGFwcD0iRU4iIGRiLWlkPSI5NXRwcjJ0cDZyOXh3b2VhOXJiNXdk
c3o1ZHM1eGVkZHRlZXciIHRpbWVzdGFtcD0iMTY4MDA2OTUxMSI+NDg0PC9rZXk+PC9mb3JlaWdu
LWtleXM+PHJlZi10eXBlIG5hbWU9IkpvdXJuYWwgQXJ0aWNsZSI+MTc8L3JlZi10eXBlPjxjb250
cmlidXRvcnM+PGF1dGhvcnM+PGF1dGhvcj5MZWUsIFQuPC9hdXRob3I+PGF1dGhvcj5Qcm9wcGVy
LCBDLjwvYXV0aG9yPjxhdXRob3I+U3RveWUsIEcuPC9hdXRob3I+PC9hdXRob3JzPjwvY29udHJp
YnV0b3JzPjx0aXRsZXM+PHRpdGxlPk1lZGljYWwgTGFib3VyIFN1cHBseSBhbmQgdGhlIFByb2R1
Y3Rpb24gb2YgSGVhbHRoY2FyZTwvdGl0bGU+PHNlY29uZGFyeS10aXRsZT5UaGUgSm91cm5hbCBv
ZiBBcHBsaWVkIEVjb25vbWljczwvc2Vjb25kYXJ5LXRpdGxlPjwvdGl0bGVzPjxwZXJpb2RpY2Fs
PjxmdWxsLXRpdGxlPlRoZSBKb3VybmFsIG9mIEFwcGxpZWQgRWNvbm9taWNzPC9mdWxsLXRpdGxl
PjwvcGVyaW9kaWNhbD48dm9sdW1lPjQwPC92b2x1bWU+PG51bWJlcj40PC9udW1iZXI+PGRhdGVz
Pjx5ZWFyPjIwMjA8L3llYXI+PC9kYXRlcz48dXJscz48L3VybHM+PC9yZWNvcmQ+PC9DaXRlPjxD
aXRlPjxBdXRob3I+TGVlPC9BdXRob3I+PFllYXI+MjAyMjwvWWVhcj48UmVjTnVtPjk1PC9SZWNO
dW0+PHJlY29yZD48cmVjLW51bWJlcj45NTwvcmVjLW51bWJlcj48Zm9yZWlnbi1rZXlzPjxrZXkg
YXBwPSJFTiIgZGItaWQ9Ijk1dHByMnRwNnI5eHdvZWE5cmI1d2RzejVkczV4ZWRkdGVldyIgdGlt
ZXN0YW1wPSIxNjgwMDY5NTExIj45NTwva2V5PjwvZm9yZWlnbi1rZXlzPjxyZWYtdHlwZSBuYW1l
PSJKb3VybmFsIEFydGljbGUiPjE3PC9yZWYtdHlwZT48Y29udHJpYnV0b3JzPjxhdXRob3JzPjxh
dXRob3I+TGVlLCBUYXlsb3I8L2F1dGhvcj48YXV0aG9yPlRyYW4sIEVkd2FyZDwvYXV0aG9yPjwv
YXV0aG9ycz48L2NvbnRyaWJ1dG9ycz48YXV0aC1hZGRyZXNzPkxlZSwgVGF5bG9yOiBBenVzYSBQ
YWNpZmljIFVuaXZlcnNpdHksIFBoeXNpY2FsIFRoZXJhcHksIFVTJiN4RDtUcmFuLCBFZHdhcmQ6
IEF6dXNhIFBhY2lmaWMgVW5pdmVyc2l0eSwgUGh5c2ljYWwgVGhlcmFweSwgVVM8L2F1dGgtYWRk
cmVzcz48dGl0bGVzPjx0aXRsZT5Db21tb24gYW5kIGFsdGVybmF0aXZlIGludGVydmVudGlvbnMg
b24gZ2FpdCBvdXRjb21lcyBhbmQgbWVjaGFuaWNzIGluIFBhcmtpbnNvbiZhcG9zO3MgZGlzZWFz
ZSBhbmQgcnVubmVyczwvdGl0bGU+PHNlY29uZGFyeS10aXRsZT5EaXNzZXJ0YXRpb24gQWJzdHJh
Y3RzIEludGVybmF0aW9uYWw6IFNlY3Rpb24gQjogVGhlIFNjaWVuY2VzIGFuZCBFbmdpbmVlcmlu
Zzwvc2Vjb25kYXJ5LXRpdGxlPjwvdGl0bGVzPjxwZXJpb2RpY2FsPjxmdWxsLXRpdGxlPkRpc3Nl
cnRhdGlvbiBBYnN0cmFjdHMgSW50ZXJuYXRpb25hbDogU2VjdGlvbiBCOiBUaGUgU2NpZW5jZXMg
YW5kIEVuZ2luZWVyaW5nPC9mdWxsLXRpdGxlPjwvcGVyaW9kaWNhbD48cGFnZXM+Tm8gUGFnaW5h
dGlvbiBTcGVjaWZpZWQ8L3BhZ2VzPjx2b2x1bWU+ODM8L3ZvbHVtZT48bnVtYmVyPjMtQjwvbnVt
YmVyPjxrZXl3b3Jkcz48a2V5d29yZD5Db2duaXRpdmUgYmVoYXZpb3JhbCB0aGVyYXB5LCBHYWl0
LCBHZW51IHZhbGd1cywgSGlwIHN0cmVuZ3RoZW5pbmcsIFNpbHZlcm1hbiwgTGVlLCBQYXJraW5z
b24mYXBvcztzIGRpc2Vhc2U8L2tleXdvcmQ+PGtleXdvcmQ+KkNvZ25pdGl2ZSBCZWhhdmlvciBU
aGVyYXB5PC9rZXl3b3JkPjxrZXl3b3JkPipIaXBzPC9rZXl3b3JkPjxrZXl3b3JkPipJbnRlcnZl
bnRpb248L2tleXdvcmQ+PGtleXdvcmQ+KlBhcmtpbnNvbiZhcG9zO3MgRGlzZWFzZTwva2V5d29y
ZD48a2V5d29yZD4qR2FpdDwva2V5d29yZD48a2V5d29yZD5SdW5uaW5nPC9rZXl3b3JkPjxrZXl3
b3JkPkhlYWx0aCAmYW1wOyBNZW50YWwgSGVhbHRoIFRyZWF0bWVudCAmYW1wOyBQcmV2ZW50aW9u
IFszMzAwXTwva2V5d29yZD48a2V5d29yZD5QaHlzaW9sb2dpY2FsIFBzeWNob2xvZ3kgJmFtcDsg
TmV1cm9zY2llbmNlIFsyNTAwXTwva2V5d29yZD48a2V5d29yZD5IdW1hbjwva2V5d29yZD48L2tl
eXdvcmRzPjxkYXRlcz48eWVhcj4yMDIyPC95ZWFyPjwvZGF0ZXM+PGlzYm4+MDQxOS00MjE3PC9p
c2JuPjxhY2Nlc3Npb24tbnVtPjIwMjEtOTQ1OTktMDcwPC9hY2Nlc3Npb24tbnVtPjx3b3JrLXR5
cGU+RGlzc2VydGF0aW9uJiN4RDtFbXBpcmljYWwgU3R1ZHk7IFF1YW50aXRhdGl2ZSBTdHVkeTwv
d29yay10eXBlPjx1cmxzPjxyZWxhdGVkLXVybHM+PHVybD5odHRwczovL292aWRzcC5vdmlkLmNv
bS9vdmlkd2ViLmNnaT9UPUpTJmFtcDtDU0M9WSZhbXA7TkVXUz1OJmFtcDtQQUdFPWZ1bGx0ZXh0
JmFtcDtEPXBzeWMxOCZhbXA7QU49MjAyMS05NDU5OS0wNzA8L3VybD48dXJsPmh0dHA6Ly9vcGVu
dXJsLmJpYnN5cy5uby9vcGVudXJsP290b29sPWlub2lwaGxpYj9zaWQ9T1ZJRDpwc3ljZGImYW1w
O2lkPXBtaWQ6JmFtcDtpZD1kb2k6JmFtcDtpc3NuPTA0MTktNDIxNyZhbXA7aXNibj05NzktODU0
NDI4MTAwOSZhbXA7dm9sdW1lPTgzJmFtcDtpc3N1ZT0zLUImYW1wO3NwYWdlPU5vJmFtcDtwYWdl
cz1ObytQYWdpbmF0aW9uK1NwZWNpZmllZCZhbXA7ZGF0ZT0yMDIyJmFtcDt0aXRsZT1EaXNzZXJ0
YXRpb24rQWJzdHJhY3RzK0ludGVybmF0aW9uYWwlM0ErU2VjdGlvbitCJTNBK1RoZStTY2llbmNl
cythbmQrRW5naW5lZXJpbmcmYW1wO2F0aXRsZT1Db21tb24rYW5kK2FsdGVybmF0aXZlK2ludGVy
dmVudGlvbnMrb24rZ2FpdCtvdXRjb21lcythbmQrbWVjaGFuaWNzK2luK1BhcmtpbnNvbiUyN3Mr
ZGlzZWFzZSthbmQrcnVubmVycy4mYW1wO2F1bGFzdD1MZWUmYW1wO3BpZD0lM0NhdXRob3IlM0VM
ZWUlMkMrVGF5bG9yJTNDJTJGYXV0aG9yJTNFJTNDQU4lM0UyMDIxLTk0NTk5LTA3MCUzQyUyRkFO
JTNFJTNDRFQlM0VEaXNzZXJ0YXRpb24lM0MlMkZEVCUzRTwvdXJsPjwvcmVsYXRlZC11cmxzPjwv
dXJscz48cmVtb3RlLWRhdGFiYXNlLW5hbWU+T3BwZ2F2ZWdsaWRuaW5nPC9yZW1vdGUtZGF0YWJh
c2UtbmFtZT48cmVtb3RlLWRhdGFiYXNlLXByb3ZpZGVyPk92aWQgVGVjaG5vbG9naWVzPC9yZW1v
dGUtZGF0YWJhc2UtcHJvdmlkZXI+PGxhbmd1YWdlPkVuZ2xpc2g8L2xhbmd1YWdlPjwvcmVjb3Jk
PjwvQ2l0ZT48L0VuZE5vdGU+AG==
</w:fldData>
        </w:fldChar>
      </w:r>
      <w:r w:rsidR="004654FD">
        <w:instrText xml:space="preserve"> ADDIN EN.CITE.DATA </w:instrText>
      </w:r>
      <w:r w:rsidR="004654FD">
        <w:fldChar w:fldCharType="end"/>
      </w:r>
      <w:r>
        <w:fldChar w:fldCharType="separate"/>
      </w:r>
      <w:r w:rsidR="004654FD">
        <w:rPr>
          <w:noProof/>
        </w:rPr>
        <w:t>(Lee et al., 2020; Lee et al., 2022)</w:t>
      </w:r>
      <w:r>
        <w:fldChar w:fldCharType="end"/>
      </w:r>
      <w:r>
        <w:t>.</w:t>
      </w:r>
    </w:p>
    <w:p w14:paraId="21E6459A" w14:textId="521E7219" w:rsidR="00916EE1" w:rsidRPr="000200A8" w:rsidRDefault="00916EE1" w:rsidP="00775632">
      <w:pPr>
        <w:pStyle w:val="Overskrift3"/>
      </w:pPr>
      <w:bookmarkStart w:id="5999" w:name="_Toc130932187"/>
      <w:bookmarkStart w:id="6000" w:name="_Toc130934478"/>
      <w:bookmarkStart w:id="6001" w:name="_Toc130983610"/>
      <w:bookmarkStart w:id="6002" w:name="_Toc130983959"/>
      <w:bookmarkStart w:id="6003" w:name="_Toc131062229"/>
      <w:bookmarkStart w:id="6004" w:name="_Toc131062483"/>
      <w:bookmarkStart w:id="6005" w:name="_Toc131062744"/>
      <w:bookmarkStart w:id="6006" w:name="_Toc131062997"/>
      <w:bookmarkStart w:id="6007" w:name="_Toc131063780"/>
      <w:bookmarkStart w:id="6008" w:name="_Toc131064191"/>
      <w:bookmarkStart w:id="6009" w:name="_Toc131238596"/>
      <w:bookmarkStart w:id="6010" w:name="_Toc131279687"/>
      <w:bookmarkStart w:id="6011" w:name="_Toc131287099"/>
      <w:bookmarkStart w:id="6012" w:name="_Toc131281509"/>
      <w:bookmarkStart w:id="6013" w:name="_Toc131318049"/>
      <w:bookmarkStart w:id="6014" w:name="_Toc132537116"/>
      <w:r>
        <w:t>F</w:t>
      </w:r>
      <w:r w:rsidRPr="000200A8">
        <w:t>orskning på allmennlegetjenesten</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r w:rsidR="008340B2">
        <w:t xml:space="preserve"> </w:t>
      </w:r>
      <w:r w:rsidR="008340B2" w:rsidRPr="000200A8">
        <w:t>og i</w:t>
      </w:r>
      <w:r w:rsidR="008340B2">
        <w:t xml:space="preserve"> allmennmedisin</w:t>
      </w:r>
      <w:bookmarkEnd w:id="6014"/>
    </w:p>
    <w:p w14:paraId="1AD830AA" w14:textId="77777777" w:rsidR="00D9107F" w:rsidRPr="00775632" w:rsidRDefault="00916EE1" w:rsidP="00916EE1">
      <w:pPr>
        <w:jc w:val="both"/>
      </w:pPr>
      <w:r w:rsidRPr="00775632">
        <w:t xml:space="preserve">Forskning </w:t>
      </w:r>
      <w:r w:rsidRPr="00D9107F">
        <w:rPr>
          <w:rStyle w:val="kursiv"/>
        </w:rPr>
        <w:t>på</w:t>
      </w:r>
      <w:r w:rsidRPr="00775632">
        <w:t xml:space="preserve"> allmennlegetjenestene er svært begrenset i Norge. Mye av kunnskapsgrunnlaget som beskriver utviklingen av fastlegeordningen stammer fra undersøkelser foretatt av private konsulentselskaper eller partene selv. Noen få forskere har gjort egne studier</w:t>
      </w:r>
      <w:r w:rsidR="00AA2F01" w:rsidRPr="00775632">
        <w:t>,</w:t>
      </w:r>
      <w:r w:rsidRPr="00775632">
        <w:t xml:space="preserve"> eller samarbeidet med konsulentselskapene om evalueringer av deler av fastlegeordningen. Ekspertutvalget mener kunnskapsgrunnlaget om det faktiske utfordringsbildet og mulige tiltak ville vært betydelig rikere dersom det hadde vært mer uavhengig og akademisk forskning på allmennlegetjenestene og fastlegeordningen de siste tiårene.</w:t>
      </w:r>
    </w:p>
    <w:p w14:paraId="241A3E17" w14:textId="77777777" w:rsidR="00D9107F" w:rsidRPr="00775632" w:rsidRDefault="00916EE1" w:rsidP="00916EE1">
      <w:pPr>
        <w:jc w:val="both"/>
      </w:pPr>
      <w:r w:rsidRPr="00775632">
        <w:t xml:space="preserve">Forskning </w:t>
      </w:r>
      <w:r w:rsidRPr="00D9107F">
        <w:rPr>
          <w:rStyle w:val="kursiv"/>
        </w:rPr>
        <w:t xml:space="preserve">i </w:t>
      </w:r>
      <w:r w:rsidRPr="00775632">
        <w:t xml:space="preserve">allmennlegetjenestene, det vil si allmennmedisinsk forskning, er viktig for å sikre innbyggerne forsvarlig og god medisinsk behandling og oppfølging. Spesialisthelsetjenesten produserer forskning innenfor smale områder, og funnene er ikke alltid relevante eller treffende for allmennmedisinen. Allmennmedisineren må ofte tolke forskningsresultater fra spesialisthelsetjenesten inn i egen kontekst. Evnen til å vurdere tilgjengelig litteratur fra </w:t>
      </w:r>
      <w:r w:rsidRPr="00775632">
        <w:lastRenderedPageBreak/>
        <w:t>spesialisthelsetjenesten i en allmennmedisinsk kontekst stiller høye krav til faglig og metodisk kompetanse hos allmennlegen.</w:t>
      </w:r>
    </w:p>
    <w:p w14:paraId="505BD6E1" w14:textId="77777777" w:rsidR="00D9107F" w:rsidRPr="00775632" w:rsidRDefault="00916EE1" w:rsidP="00916EE1">
      <w:pPr>
        <w:jc w:val="both"/>
      </w:pPr>
      <w:r w:rsidRPr="00775632">
        <w:t xml:space="preserve">Allmennmedisinsk forskning er ofte </w:t>
      </w:r>
      <w:r w:rsidR="009D723E" w:rsidRPr="00775632">
        <w:t>nært</w:t>
      </w:r>
      <w:r w:rsidRPr="00775632">
        <w:t xml:space="preserve"> koblet til klinisk </w:t>
      </w:r>
      <w:r w:rsidR="00C84943" w:rsidRPr="00775632">
        <w:t>praksis.</w:t>
      </w:r>
      <w:r w:rsidRPr="00775632">
        <w:t xml:space="preserve"> </w:t>
      </w:r>
      <w:r w:rsidR="00AA2F01" w:rsidRPr="00775632">
        <w:t xml:space="preserve">I </w:t>
      </w:r>
      <w:r w:rsidRPr="00775632">
        <w:t xml:space="preserve">mindre </w:t>
      </w:r>
      <w:r w:rsidR="00AA2F01" w:rsidRPr="00775632">
        <w:t xml:space="preserve">virksomheter, </w:t>
      </w:r>
      <w:r w:rsidRPr="00775632">
        <w:t>som fastlegekontor, er det mer krevende å drive forskning sammenliknet med sykehus</w:t>
      </w:r>
      <w:r w:rsidR="00AA2F01" w:rsidRPr="00775632">
        <w:t>,</w:t>
      </w:r>
      <w:r w:rsidRPr="00775632">
        <w:t xml:space="preserve"> der forskning er en del av sørge-for-ansvaret, og dermed har langt bedre finansieringsmuligheter, og der det ofte eksisterer et fagmiljø og forskning lettere kan innarbeides i arbeidstiden.</w:t>
      </w:r>
    </w:p>
    <w:p w14:paraId="74B1E058" w14:textId="1DCCAED5" w:rsidR="00916EE1" w:rsidRPr="00775632" w:rsidRDefault="00916EE1" w:rsidP="00916EE1">
      <w:pPr>
        <w:jc w:val="both"/>
      </w:pPr>
      <w:r w:rsidRPr="00775632">
        <w:t>Allmennmedisinsk forskningsfond tildeler forskningsmidler for 3 til 12 måneders forskningsarbeid innen det allmennmedisinske fagfeltet, og det er mulig å søke forlenget støtte til samme prosjekt med 36 måneder som en øvre grense. I 2021 ble det totalt tildelt 21,4 millioner</w:t>
      </w:r>
      <w:r w:rsidR="00AA2F01" w:rsidRPr="00775632">
        <w:t>,</w:t>
      </w:r>
      <w:r w:rsidRPr="00775632">
        <w:t xml:space="preserve"> fordelt på 29 innvilgede prosjektsøknader </w:t>
      </w:r>
      <w:r w:rsidR="00022138" w:rsidRPr="00775632">
        <w:fldChar w:fldCharType="begin"/>
      </w:r>
      <w:r w:rsidR="004942AA" w:rsidRPr="00775632">
        <w:instrText xml:space="preserve"> ADDIN EN.CITE &lt;EndNote&gt;&lt;Cite&gt;&lt;Author&gt;Allmennmedisinsk forskningsfond&lt;/Author&gt;&lt;Year&gt;2022&lt;/Year&gt;&lt;RecNum&gt;32&lt;/RecNum&gt;&lt;DisplayText&gt;(Allmennmedisinsk forskningsfond, 2022)&lt;/DisplayText&gt;&lt;record&gt;&lt;rec-number&gt;32&lt;/rec-number&gt;&lt;foreign-keys&gt;&lt;key app="EN" db-id="95tpr2tp6r9xwoea9rb5wdsz5ds5xeddteew" timestamp="1680069511"&gt;32&lt;/key&gt;&lt;/foreign-keys&gt;&lt;ref-type name="Report"&gt;27&lt;/ref-type&gt;&lt;contributors&gt;&lt;authors&gt;&lt;author&gt;Allmennmedisinsk forskningsfond,&lt;/author&gt;&lt;/authors&gt;&lt;/contributors&gt;&lt;titles&gt;&lt;title&gt;Allmennmedisinsk forskningsfond. Årsmelding og regnskap 2021&lt;/title&gt;&lt;/titles&gt;&lt;dates&gt;&lt;year&gt;2022&lt;/year&gt;&lt;/dates&gt;&lt;pub-location&gt;Oslo&lt;/pub-location&gt;&lt;publisher&gt;Allmennmedisinsk forskningsfond&lt;/publisher&gt;&lt;urls&gt;&lt;/urls&gt;&lt;/record&gt;&lt;/Cite&gt;&lt;/EndNote&gt;</w:instrText>
      </w:r>
      <w:r w:rsidR="00022138" w:rsidRPr="00775632">
        <w:fldChar w:fldCharType="separate"/>
      </w:r>
      <w:r w:rsidR="00022138" w:rsidRPr="00775632">
        <w:t>(Allmennmedisinsk forskningsfond, 2022)</w:t>
      </w:r>
      <w:r w:rsidR="00022138" w:rsidRPr="00775632">
        <w:fldChar w:fldCharType="end"/>
      </w:r>
      <w:r w:rsidRPr="00775632">
        <w:t>.</w:t>
      </w:r>
    </w:p>
    <w:p w14:paraId="6675541D" w14:textId="0202874A" w:rsidR="00916EE1" w:rsidRPr="00775632" w:rsidRDefault="00916EE1" w:rsidP="00775632">
      <w:pPr>
        <w:pStyle w:val="Overskrift3"/>
      </w:pPr>
      <w:bookmarkStart w:id="6015" w:name="_Toc130853703"/>
      <w:bookmarkStart w:id="6016" w:name="_Toc130932188"/>
      <w:bookmarkStart w:id="6017" w:name="_Toc130934479"/>
      <w:bookmarkStart w:id="6018" w:name="_Toc130983611"/>
      <w:bookmarkStart w:id="6019" w:name="_Toc130983960"/>
      <w:bookmarkStart w:id="6020" w:name="_Toc131062230"/>
      <w:bookmarkStart w:id="6021" w:name="_Toc131062484"/>
      <w:bookmarkStart w:id="6022" w:name="_Toc131062745"/>
      <w:bookmarkStart w:id="6023" w:name="_Toc131062998"/>
      <w:bookmarkStart w:id="6024" w:name="_Toc131063781"/>
      <w:bookmarkStart w:id="6025" w:name="_Toc131064192"/>
      <w:bookmarkStart w:id="6026" w:name="_Toc131238597"/>
      <w:bookmarkStart w:id="6027" w:name="_Toc131279688"/>
      <w:bookmarkStart w:id="6028" w:name="_Toc131287100"/>
      <w:bookmarkStart w:id="6029" w:name="_Toc131281510"/>
      <w:bookmarkStart w:id="6030" w:name="_Toc131318050"/>
      <w:bookmarkStart w:id="6031" w:name="_Toc132537117"/>
      <w:r w:rsidRPr="00B94672">
        <w:t xml:space="preserve">Strukturer for å støtte </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r w:rsidRPr="00B94672">
        <w:t>forsk</w:t>
      </w:r>
      <w:r w:rsidR="00044F7F">
        <w:t>n</w:t>
      </w:r>
      <w:r w:rsidRPr="00B94672">
        <w:t>ing</w:t>
      </w:r>
      <w:bookmarkEnd w:id="6031"/>
    </w:p>
    <w:p w14:paraId="3E28B999" w14:textId="1AF6FC02" w:rsidR="00916EE1" w:rsidRPr="00775632" w:rsidRDefault="00916EE1" w:rsidP="00D46878">
      <w:r w:rsidRPr="00775632">
        <w:t>Helse- og omsorgsdepartementet har et oppfølgingsansvar for forskning i spesialisthelsetjenesten, men ikke for allmennmedisinsk forskning. Forskning i allmennmedisin følges opp av Kunnskapsdepartementet.</w:t>
      </w:r>
    </w:p>
    <w:p w14:paraId="71E686DE" w14:textId="77777777" w:rsidR="00D9107F" w:rsidRPr="00D46878" w:rsidRDefault="0DA2056D" w:rsidP="00D46878">
      <w:pPr>
        <w:rPr>
          <w:rFonts w:eastAsia="Calibri"/>
        </w:rPr>
      </w:pPr>
      <w:r w:rsidRPr="00D46878">
        <w:rPr>
          <w:rFonts w:eastAsia="Calibri"/>
        </w:rPr>
        <w:t>Kommunenes strategiske forskningsorgan (</w:t>
      </w:r>
      <w:r w:rsidR="00916EE1" w:rsidRPr="00D46878">
        <w:rPr>
          <w:rFonts w:eastAsia="Calibri"/>
        </w:rPr>
        <w:t>KSF</w:t>
      </w:r>
      <w:r w:rsidRPr="00D46878">
        <w:rPr>
          <w:rFonts w:eastAsia="Calibri"/>
        </w:rPr>
        <w:t>)</w:t>
      </w:r>
      <w:r w:rsidR="00916EE1" w:rsidRPr="00D46878">
        <w:rPr>
          <w:rFonts w:eastAsia="Calibri"/>
        </w:rPr>
        <w:t xml:space="preserve"> er en samarbeids- og finansieringsmodell for kunnskapsløft i kommunale tjenester</w:t>
      </w:r>
      <w:r w:rsidR="00AA2F01" w:rsidRPr="00D46878">
        <w:rPr>
          <w:rFonts w:eastAsia="Calibri"/>
        </w:rPr>
        <w:t>,</w:t>
      </w:r>
      <w:r w:rsidR="00916EE1" w:rsidRPr="00D46878">
        <w:rPr>
          <w:rFonts w:eastAsia="Calibri"/>
        </w:rPr>
        <w:t xml:space="preserve"> som </w:t>
      </w:r>
      <w:r w:rsidRPr="00D46878">
        <w:rPr>
          <w:rFonts w:eastAsia="Calibri"/>
        </w:rPr>
        <w:t>ble anbefalt opprettet av HelseOmsorg21-rådet i 2017</w:t>
      </w:r>
      <w:r w:rsidR="00916EE1" w:rsidRPr="00D46878">
        <w:t xml:space="preserve"> </w:t>
      </w:r>
      <w:r w:rsidR="00022138" w:rsidRPr="00D46878">
        <w:fldChar w:fldCharType="begin"/>
      </w:r>
      <w:r w:rsidR="004654FD" w:rsidRPr="00D46878">
        <w:instrText xml:space="preserve"> ADDIN EN.CITE &lt;EndNote&gt;&lt;Cite&gt;&lt;Author&gt;KS&lt;/Author&gt;&lt;Year&gt;2017&lt;/Year&gt;&lt;RecNum&gt;429&lt;/RecNum&gt;&lt;DisplayText&gt;(KS, 2017)&lt;/DisplayText&gt;&lt;record&gt;&lt;rec-number&gt;429&lt;/rec-number&gt;&lt;foreign-keys&gt;&lt;key app="EN" db-id="95tpr2tp6r9xwoea9rb5wdsz5ds5xeddteew" timestamp="1680069511"&gt;429&lt;/key&gt;&lt;/foreign-keys&gt;&lt;ref-type name="Web Page"&gt;12&lt;/ref-type&gt;&lt;contributors&gt;&lt;authors&gt;&lt;author&gt;KS&lt;/author&gt;&lt;/authors&gt;&lt;/contributors&gt;&lt;titles&gt;&lt;title&gt;Kunnskapsløft for kommunene&lt;/title&gt;&lt;/titles&gt;&lt;number&gt;22.03.2023&lt;/number&gt;&lt;dates&gt;&lt;year&gt;2017&lt;/year&gt;&lt;pub-dates&gt;&lt;date&gt;14.09.2017&lt;/date&gt;&lt;/pub-dates&gt;&lt;/dates&gt;&lt;pub-location&gt;Oslo&lt;/pub-location&gt;&lt;publisher&gt;Kommunesektorens organisasjon, KS.no&lt;/publisher&gt;&lt;work-type&gt;nettdokument&lt;/work-type&gt;&lt;urls&gt;&lt;/urls&gt;&lt;/record&gt;&lt;/Cite&gt;&lt;/EndNote&gt;</w:instrText>
      </w:r>
      <w:r w:rsidR="00022138" w:rsidRPr="00D46878">
        <w:fldChar w:fldCharType="separate"/>
      </w:r>
      <w:r w:rsidR="00022138" w:rsidRPr="00D46878">
        <w:t>(KS, 2017)</w:t>
      </w:r>
      <w:r w:rsidR="00022138" w:rsidRPr="00D46878">
        <w:fldChar w:fldCharType="end"/>
      </w:r>
      <w:r w:rsidR="00916EE1" w:rsidRPr="00D46878">
        <w:t xml:space="preserve">. </w:t>
      </w:r>
      <w:r w:rsidR="3B67533E" w:rsidRPr="00D46878">
        <w:rPr>
          <w:rFonts w:eastAsia="Calibri"/>
        </w:rPr>
        <w:t>Hensikten bak organet er å etablere en nasjonal infrastruktur for forskning, innovasjon og utdanning innen kommunale helse- og omsorgstjenester. KSF har til nå ikke fått nasjonal finansiering og er derfor ennå i en oppstartsfase gjennom å pilotere KSF Helse med midler fra KS og enkeltkommuner.</w:t>
      </w:r>
    </w:p>
    <w:p w14:paraId="71C7E987" w14:textId="77777777" w:rsidR="00D9107F" w:rsidRPr="00775632" w:rsidRDefault="00916EE1" w:rsidP="00D46878">
      <w:r w:rsidRPr="00775632">
        <w:t>Ved universitetene i Oslo, Trondhe</w:t>
      </w:r>
      <w:r w:rsidR="00C97B52" w:rsidRPr="00775632">
        <w:t>i</w:t>
      </w:r>
      <w:r w:rsidRPr="00775632">
        <w:t xml:space="preserve">m, Bergen og Tromsø har vi allmennmedisinske forskningsenheter (AFE). Disse jobber med å </w:t>
      </w:r>
      <w:r w:rsidR="00D66CA5" w:rsidRPr="00775632">
        <w:t>fram</w:t>
      </w:r>
      <w:r w:rsidRPr="00775632">
        <w:t>me allmennmedisinsk forskning.</w:t>
      </w:r>
    </w:p>
    <w:p w14:paraId="24FA6FD8" w14:textId="77777777" w:rsidR="00D9107F" w:rsidRPr="00775632" w:rsidRDefault="00916EE1" w:rsidP="00D46878">
      <w:r w:rsidRPr="00775632">
        <w:t>Nasjonalt senter for distriktsmedisin (NSDM) er et tverrfaglig kompetansesenter</w:t>
      </w:r>
      <w:r w:rsidR="003A0EE5" w:rsidRPr="00775632">
        <w:t>,</w:t>
      </w:r>
      <w:r w:rsidRPr="00775632">
        <w:t xml:space="preserve"> som skal </w:t>
      </w:r>
      <w:r w:rsidR="00D66CA5" w:rsidRPr="00775632">
        <w:t>fram</w:t>
      </w:r>
      <w:r w:rsidRPr="00775632">
        <w:t>me forskning, fagutvikling, utdanning og nettverk blant leger og helsepersonell i distriktene.</w:t>
      </w:r>
    </w:p>
    <w:p w14:paraId="6D8151D8" w14:textId="77777777" w:rsidR="00D9107F" w:rsidRPr="00775632" w:rsidRDefault="00916EE1" w:rsidP="00D46878">
      <w:r w:rsidRPr="00775632">
        <w:t>Nasjonalt kompetansesenter for legevaktmedisin (NKLM) skal bidra til at legevaktene følger den nødvendige faglige og organisatoriske utvikling, medvirke til nasjonalt forbedringsarbeid og god kvalitet i tjenesten og forske innen fagfeltet.</w:t>
      </w:r>
    </w:p>
    <w:p w14:paraId="17224BB9" w14:textId="77777777" w:rsidR="00D9107F" w:rsidRPr="00775632" w:rsidRDefault="002C1B09" w:rsidP="00775632">
      <w:r w:rsidRPr="00775632">
        <w:t>De allmennmedisinske forskningsenhetene</w:t>
      </w:r>
      <w:r w:rsidR="00916EE1" w:rsidRPr="00775632">
        <w:t>, NSDM og NKLM mottar tilskuddsmidler fra Helsedirektoratet.</w:t>
      </w:r>
    </w:p>
    <w:p w14:paraId="698EC5B8" w14:textId="77777777" w:rsidR="00D9107F" w:rsidRPr="00775632" w:rsidRDefault="00916EE1" w:rsidP="00775632">
      <w:r w:rsidRPr="00775632">
        <w:t>Praksisnett er et nasjonalt nettverk</w:t>
      </w:r>
      <w:r w:rsidR="003A0EE5" w:rsidRPr="00775632">
        <w:t>,</w:t>
      </w:r>
      <w:r w:rsidRPr="00775632">
        <w:t xml:space="preserve"> som jobber for klinisk forskning i primærhelsetjenesten og infrastruktur for forskning. Praksisnett legger til rette for kliniske studier i allmennpraksis. Slike studier inkluderer pasienter som går til fastlegen og i dag bidrar 90 legekontor i hele landet med data.</w:t>
      </w:r>
    </w:p>
    <w:p w14:paraId="3DB8451E" w14:textId="77777777" w:rsidR="00D9107F" w:rsidRDefault="00916EE1" w:rsidP="00D46878">
      <w:r>
        <w:lastRenderedPageBreak/>
        <w:t>Kommunalt pasient</w:t>
      </w:r>
      <w:r w:rsidR="003A0EE5">
        <w:t>-</w:t>
      </w:r>
      <w:r>
        <w:t xml:space="preserve"> og brukerregister (KPR) er en </w:t>
      </w:r>
      <w:r w:rsidR="000057C0">
        <w:t>svært</w:t>
      </w:r>
      <w:r>
        <w:t xml:space="preserve"> viktig kilde for forskning </w:t>
      </w:r>
      <w:r w:rsidR="00072888">
        <w:t xml:space="preserve">på og </w:t>
      </w:r>
      <w:r>
        <w:t>i primærhelsetjenesten, og det er viktig at dette registeret utvikles videre. På kort sikt er det en balansegang i dette utviklingsarbeidet</w:t>
      </w:r>
      <w:r w:rsidR="003A0EE5">
        <w:t>,</w:t>
      </w:r>
      <w:r>
        <w:t xml:space="preserve"> mellom et brukervennlig takstsystem og tilgang på gode data for kunnskapsstøtte og forskning på og i allmennmedisinen. På lengre sikt vil en enda større integrasjon med EPJ-ene gjøre det teknisk mulig å hente ut mer data til KPR</w:t>
      </w:r>
      <w:r w:rsidR="003A0EE5">
        <w:t>,</w:t>
      </w:r>
      <w:r>
        <w:t xml:space="preserve"> om forhold som ikke omfattes direkte av takstene, slik KPR nå skal hente opplysninger fra systemene i helsestasjonene.</w:t>
      </w:r>
    </w:p>
    <w:p w14:paraId="4D6888DB" w14:textId="25440674" w:rsidR="00916EE1" w:rsidRDefault="00916EE1" w:rsidP="00775632">
      <w:pPr>
        <w:pStyle w:val="Overskrift2"/>
      </w:pPr>
      <w:bookmarkStart w:id="6032" w:name="_Toc130853704"/>
      <w:bookmarkStart w:id="6033" w:name="_Toc130932189"/>
      <w:bookmarkStart w:id="6034" w:name="_Toc130934480"/>
      <w:bookmarkStart w:id="6035" w:name="_Toc130983612"/>
      <w:bookmarkStart w:id="6036" w:name="_Toc130983961"/>
      <w:bookmarkStart w:id="6037" w:name="_Toc131062231"/>
      <w:bookmarkStart w:id="6038" w:name="_Toc131062485"/>
      <w:bookmarkStart w:id="6039" w:name="_Toc131062746"/>
      <w:bookmarkStart w:id="6040" w:name="_Toc131062999"/>
      <w:bookmarkStart w:id="6041" w:name="_Toc131063782"/>
      <w:bookmarkStart w:id="6042" w:name="_Toc131064193"/>
      <w:bookmarkStart w:id="6043" w:name="_Toc131238598"/>
      <w:bookmarkStart w:id="6044" w:name="_Toc131279689"/>
      <w:bookmarkStart w:id="6045" w:name="_Toc131287101"/>
      <w:bookmarkStart w:id="6046" w:name="_Toc131281511"/>
      <w:bookmarkStart w:id="6047" w:name="_Toc131318051"/>
      <w:bookmarkStart w:id="6048" w:name="_Toc132537118"/>
      <w:r>
        <w:t>Ekspertutvalgets vurderinger</w:t>
      </w:r>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14:paraId="0CA98032" w14:textId="77777777" w:rsidR="00D9107F" w:rsidRDefault="00916EE1" w:rsidP="008F5AD8">
      <w:pPr>
        <w:rPr>
          <w:rFonts w:cstheme="minorHAnsi"/>
        </w:rPr>
      </w:pPr>
      <w:r>
        <w:t xml:space="preserve">Under pandemien i 2020 og 2021 viste </w:t>
      </w:r>
      <w:r w:rsidR="003A0EE5">
        <w:t>allmenn</w:t>
      </w:r>
      <w:r>
        <w:t xml:space="preserve">legene </w:t>
      </w:r>
      <w:r w:rsidRPr="00541758">
        <w:t xml:space="preserve">stor omstillingsevne </w:t>
      </w:r>
      <w:r>
        <w:t xml:space="preserve">i </w:t>
      </w:r>
      <w:r w:rsidRPr="00541758">
        <w:t>måten helsetjenester leveres på.</w:t>
      </w:r>
      <w:r>
        <w:t xml:space="preserve"> Også framover er behovet for innovasjon og nytenkning rundt allmennlegetjenesten stort.</w:t>
      </w:r>
      <w:r w:rsidRPr="00034389">
        <w:t xml:space="preserve"> </w:t>
      </w:r>
      <w:r>
        <w:t xml:space="preserve">En mer effektiv utnyttelse av </w:t>
      </w:r>
      <w:r w:rsidRPr="44E126E6">
        <w:t>ressurse</w:t>
      </w:r>
      <w:r>
        <w:t xml:space="preserve">ne </w:t>
      </w:r>
      <w:r w:rsidRPr="44E126E6">
        <w:t>vil være</w:t>
      </w:r>
      <w:r>
        <w:t xml:space="preserve"> </w:t>
      </w:r>
      <w:r w:rsidRPr="00E76526">
        <w:rPr>
          <w:rFonts w:cstheme="minorHAnsi"/>
        </w:rPr>
        <w:t>avgjørende i en f</w:t>
      </w:r>
      <w:r w:rsidR="003A0EE5">
        <w:rPr>
          <w:rFonts w:cstheme="minorHAnsi"/>
        </w:rPr>
        <w:t>ra</w:t>
      </w:r>
      <w:r w:rsidRPr="00E76526">
        <w:rPr>
          <w:rFonts w:cstheme="minorHAnsi"/>
        </w:rPr>
        <w:t xml:space="preserve">mtid hvor tilgangen på helsepersonell </w:t>
      </w:r>
      <w:r>
        <w:rPr>
          <w:rFonts w:cstheme="minorHAnsi"/>
        </w:rPr>
        <w:t>antas å bli</w:t>
      </w:r>
      <w:r w:rsidRPr="00E76526">
        <w:rPr>
          <w:rFonts w:cstheme="minorHAnsi"/>
        </w:rPr>
        <w:t xml:space="preserve"> begrenset</w:t>
      </w:r>
      <w:r w:rsidR="00B05681">
        <w:rPr>
          <w:rFonts w:cstheme="minorHAnsi"/>
        </w:rPr>
        <w:t>.</w:t>
      </w:r>
    </w:p>
    <w:p w14:paraId="3853B9FF" w14:textId="1D1012AF" w:rsidR="00916EE1" w:rsidRPr="006577D6" w:rsidRDefault="00916EE1" w:rsidP="00D46878">
      <w:pPr>
        <w:rPr>
          <w:rFonts w:eastAsia="Calibri"/>
        </w:rPr>
      </w:pPr>
      <w:r w:rsidRPr="006577D6">
        <w:rPr>
          <w:rFonts w:eastAsia="Calibri"/>
        </w:rPr>
        <w:t>Vi ser stadig nye muligheter og utviklingsområder gjennom utnyttelse av datadeling, automatisering, kunstig intelligens og helseteknologi</w:t>
      </w:r>
      <w:r w:rsidR="1CFDDF5D" w:rsidRPr="006577D6">
        <w:rPr>
          <w:rFonts w:eastAsia="Calibri"/>
        </w:rPr>
        <w:t>.</w:t>
      </w:r>
      <w:r w:rsidRPr="006577D6">
        <w:rPr>
          <w:rFonts w:eastAsia="Calibri"/>
        </w:rPr>
        <w:t xml:space="preserve"> Innsamling av store mengder data gjennom personlige enheter, deling over internett, prosessering med høy kapasitet og metoder innen maskinlæring forventes å kunne gi helt nye muligheter for listeinnbygger til å kunne følge med på helsetilstanden</w:t>
      </w:r>
      <w:r w:rsidR="003A0EE5" w:rsidRPr="006577D6">
        <w:rPr>
          <w:rFonts w:eastAsia="Calibri"/>
        </w:rPr>
        <w:t>,</w:t>
      </w:r>
      <w:r w:rsidRPr="006577D6">
        <w:rPr>
          <w:rFonts w:eastAsia="Calibri"/>
        </w:rPr>
        <w:t xml:space="preserve"> og for </w:t>
      </w:r>
      <w:r w:rsidR="00902E57" w:rsidRPr="006577D6">
        <w:rPr>
          <w:rFonts w:eastAsia="Calibri"/>
        </w:rPr>
        <w:t>fast</w:t>
      </w:r>
      <w:r w:rsidRPr="006577D6">
        <w:rPr>
          <w:rFonts w:eastAsia="Calibri"/>
        </w:rPr>
        <w:t>legen til å gi persontilpasset oppfølging og behandling</w:t>
      </w:r>
      <w:r>
        <w:rPr>
          <w:rFonts w:eastAsia="Calibri"/>
        </w:rPr>
        <w:t xml:space="preserve">. </w:t>
      </w:r>
      <w:r w:rsidRPr="006577D6">
        <w:rPr>
          <w:rFonts w:eastAsia="Calibri"/>
        </w:rPr>
        <w:t>Gevinstene og mulighetene allmennlegetjenesten står overfor kan virke u</w:t>
      </w:r>
      <w:r w:rsidR="003A0EE5" w:rsidRPr="006577D6">
        <w:rPr>
          <w:rFonts w:eastAsia="Calibri"/>
        </w:rPr>
        <w:t>be</w:t>
      </w:r>
      <w:r w:rsidRPr="006577D6">
        <w:rPr>
          <w:rFonts w:eastAsia="Calibri"/>
        </w:rPr>
        <w:t>grensede, samtidig er også hindri</w:t>
      </w:r>
      <w:r>
        <w:rPr>
          <w:rFonts w:eastAsia="Calibri"/>
        </w:rPr>
        <w:t>ngene og barrierene betydelige.</w:t>
      </w:r>
    </w:p>
    <w:p w14:paraId="6A9679C9" w14:textId="77777777" w:rsidR="00D9107F" w:rsidRDefault="00916EE1" w:rsidP="00D46878">
      <w:pPr>
        <w:rPr>
          <w:rFonts w:eastAsia="Calibri"/>
        </w:rPr>
      </w:pPr>
      <w:r w:rsidRPr="006577D6">
        <w:rPr>
          <w:rFonts w:eastAsia="Calibri"/>
        </w:rPr>
        <w:t>For å lykkes med digitaliserings- og innovasjonsprosesser må endringene understøttes av finansieringsløsninger, organisering og regulering. Å skape rom for innovasjon, utvikling og forandring vil innebære betydelige endringer i måten å jobbe på, hvordan helsetjenestene leveres, oppgavefordelingen i tjenesten og hvordan sektoren ledes. Ekspertutvalget mener allmennlegetjenesten trenger tydelig ledelse</w:t>
      </w:r>
      <w:r w:rsidR="003A0EE5" w:rsidRPr="006577D6">
        <w:rPr>
          <w:rFonts w:eastAsia="Calibri"/>
        </w:rPr>
        <w:t>,</w:t>
      </w:r>
      <w:r w:rsidRPr="006577D6">
        <w:rPr>
          <w:rFonts w:eastAsia="Calibri"/>
        </w:rPr>
        <w:t xml:space="preserve"> som ser forbi teknologien, forstår digitaliseringen og endringsbehovene i et større perspektiv</w:t>
      </w:r>
      <w:r w:rsidR="003A0EE5" w:rsidRPr="006577D6">
        <w:rPr>
          <w:rFonts w:eastAsia="Calibri"/>
        </w:rPr>
        <w:t>,</w:t>
      </w:r>
      <w:r w:rsidRPr="006577D6">
        <w:rPr>
          <w:rFonts w:eastAsia="Calibri"/>
        </w:rPr>
        <w:t xml:space="preserve"> og som tilrettelegger for kunnskapsutvikling.</w:t>
      </w:r>
    </w:p>
    <w:p w14:paraId="6F0FFDA9" w14:textId="77777777" w:rsidR="00D9107F" w:rsidRDefault="00916EE1" w:rsidP="00D46878">
      <w:pPr>
        <w:rPr>
          <w:rFonts w:eastAsia="Calibri"/>
        </w:rPr>
      </w:pPr>
      <w:r w:rsidRPr="006577D6">
        <w:rPr>
          <w:rFonts w:eastAsia="Calibri"/>
        </w:rPr>
        <w:t xml:space="preserve">Felles struktur, digitale fellesløsninger, systematisk arbeid med informasjonssikkerhet og deling av data er viktige elementer i arbeidet med å utvikle og forvalte digitale tjenester </w:t>
      </w:r>
      <w:r w:rsidR="00022138" w:rsidRPr="006577D6">
        <w:rPr>
          <w:rFonts w:eastAsia="Calibri"/>
        </w:rPr>
        <w:fldChar w:fldCharType="begin"/>
      </w:r>
      <w:r w:rsidR="00022138" w:rsidRPr="006577D6">
        <w:rPr>
          <w:rFonts w:eastAsia="Calibri"/>
        </w:rPr>
        <w:instrText xml:space="preserve"> ADDIN EN.CITE &lt;EndNote&gt;&lt;Cite&gt;&lt;Author&gt;Digitaliseringsdirektoratet&lt;/Author&gt;&lt;Year&gt;[s.a.]&lt;/Year&gt;&lt;RecNum&gt;684&lt;/RecNum&gt;&lt;DisplayText&gt;(Digitaliseringsdirektoratet, [s.a.])&lt;/DisplayText&gt;&lt;record&gt;&lt;rec-number&gt;684&lt;/rec-number&gt;&lt;foreign-keys&gt;&lt;key app="EN" db-id="95tpr2tp6r9xwoea9rb5wdsz5ds5xeddteew" timestamp="1680069511"&gt;684&lt;/key&gt;&lt;/foreign-keys&gt;&lt;ref-type name="Web Page"&gt;12&lt;/ref-type&gt;&lt;contributors&gt;&lt;authors&gt;&lt;author&gt;Digitaliseringsdirektoratet&lt;/author&gt;&lt;/authors&gt;&lt;/contributors&gt;&lt;titles&gt;&lt;title&gt;Rammeverk for digital samhandling&lt;/title&gt;&lt;/titles&gt;&lt;number&gt;10.02.23&lt;/number&gt;&lt;dates&gt;&lt;year&gt;[s.a.]&lt;/year&gt;&lt;/dates&gt;&lt;pub-location&gt;Oslo&lt;/pub-location&gt;&lt;publisher&gt;Digdir&lt;/publisher&gt;&lt;urls&gt;&lt;related-urls&gt;&lt;url&gt;https://www.digdir.no/digital-samhandling/rammeverk-digital-samhandling/2148&lt;/url&gt;&lt;/related-urls&gt;&lt;/urls&gt;&lt;/record&gt;&lt;/Cite&gt;&lt;/EndNote&gt;</w:instrText>
      </w:r>
      <w:r w:rsidR="00022138" w:rsidRPr="006577D6">
        <w:rPr>
          <w:rFonts w:eastAsia="Calibri"/>
        </w:rPr>
        <w:fldChar w:fldCharType="separate"/>
      </w:r>
      <w:r w:rsidR="00022138" w:rsidRPr="006577D6">
        <w:rPr>
          <w:rFonts w:eastAsia="Calibri"/>
        </w:rPr>
        <w:t>(Digitaliseringsdirektoratet, [s.a.])</w:t>
      </w:r>
      <w:r w:rsidR="00022138" w:rsidRPr="006577D6">
        <w:rPr>
          <w:rFonts w:eastAsia="Calibri"/>
        </w:rPr>
        <w:fldChar w:fldCharType="end"/>
      </w:r>
      <w:r w:rsidRPr="006577D6">
        <w:rPr>
          <w:rFonts w:eastAsia="Calibri"/>
        </w:rPr>
        <w:t>. Staten har en sentral og normgivende rolle i å legge rammene for digitalisering, og bidra til juridisk, semantisk og teknisk tilrettelegging for virksomhetene som skal drive utviklingen. Med slike rammer på plass, vil forutsetningene for en god balanse mellom statlig styring og utnyttelse av private innovasjonskrefter bedres. Styringssignaler kan gis gjennom lovverk, standarder, godkjenningsordninger, finansiering og småskal</w:t>
      </w:r>
      <w:r w:rsidR="006577D6">
        <w:rPr>
          <w:rFonts w:eastAsia="Calibri"/>
        </w:rPr>
        <w:t>atesting av nye arbeidsformer.</w:t>
      </w:r>
    </w:p>
    <w:p w14:paraId="6B2EBD1E" w14:textId="77777777" w:rsidR="00D9107F" w:rsidRDefault="00916EE1" w:rsidP="00D46878">
      <w:pPr>
        <w:rPr>
          <w:rFonts w:eastAsia="Calibri"/>
        </w:rPr>
      </w:pPr>
      <w:r w:rsidRPr="006577D6">
        <w:rPr>
          <w:rFonts w:eastAsia="Calibri"/>
        </w:rPr>
        <w:t xml:space="preserve">Erfaringer fra utprøving av nye organisasjonsmodeller og tekniske løsninger, som eksempelvis primærhelseteam, digital hjemmeoppfølging og digital triagering ved fastlegekontorene, viser betydningen av å skape forståelse for hele gevinstbildet, samt å stimulere og legge til rette for </w:t>
      </w:r>
      <w:r w:rsidRPr="006577D6">
        <w:rPr>
          <w:rFonts w:eastAsia="Calibri"/>
        </w:rPr>
        <w:lastRenderedPageBreak/>
        <w:t>endring slik at overgang til nye verktøy og digitale løsninger har fr</w:t>
      </w:r>
      <w:r w:rsidR="003A0EE5" w:rsidRPr="006577D6">
        <w:rPr>
          <w:rFonts w:eastAsia="Calibri"/>
        </w:rPr>
        <w:t>a</w:t>
      </w:r>
      <w:r w:rsidRPr="006577D6">
        <w:rPr>
          <w:rFonts w:eastAsia="Calibri"/>
        </w:rPr>
        <w:t>mdrift og kan skje på en god og forsvarlig måte. Utfordringene knyttet til utvikling og innføring av tverrgående og grunnleggende samhandlingsløsninger på tvers av forvaltningsnivåer er mange og komplekse.</w:t>
      </w:r>
    </w:p>
    <w:p w14:paraId="35E5DABE" w14:textId="77777777" w:rsidR="00D9107F" w:rsidRDefault="00916EE1" w:rsidP="00D46878">
      <w:pPr>
        <w:rPr>
          <w:rFonts w:eastAsia="Calibri"/>
        </w:rPr>
      </w:pPr>
      <w:r w:rsidRPr="006577D6">
        <w:rPr>
          <w:rFonts w:eastAsia="Calibri"/>
        </w:rPr>
        <w:t>Fragmentert organisering og mangel på helhetlig styring i helsevesenet utgjør en betydelig barriere for felles implementering av teknologi. Også todelingen av helsevesenet mellom kommunene og spesialisthelsetjenesten er en klar hindring for deling av data og felles utvikling og digitalisering av helsetjenesten. Digital samhandling i</w:t>
      </w:r>
      <w:r w:rsidR="003A0EE5" w:rsidRPr="006577D6">
        <w:rPr>
          <w:rFonts w:eastAsia="Calibri"/>
        </w:rPr>
        <w:t xml:space="preserve"> </w:t>
      </w:r>
      <w:r w:rsidRPr="006577D6">
        <w:rPr>
          <w:rFonts w:eastAsia="Calibri"/>
        </w:rPr>
        <w:t>kommunehelsetjenesten, med spesialisthelsetjenesten og med sentrale aktører utenfor helse- og omsorgstjenesten</w:t>
      </w:r>
      <w:r w:rsidR="003A0EE5" w:rsidRPr="006577D6">
        <w:rPr>
          <w:rFonts w:eastAsia="Calibri"/>
        </w:rPr>
        <w:t>,</w:t>
      </w:r>
      <w:r w:rsidRPr="006577D6">
        <w:rPr>
          <w:rFonts w:eastAsia="Calibri"/>
        </w:rPr>
        <w:t xml:space="preserve"> som NAV </w:t>
      </w:r>
      <w:r w:rsidR="00022138" w:rsidRPr="006577D6">
        <w:rPr>
          <w:rFonts w:eastAsia="Calibri"/>
        </w:rPr>
        <w:fldChar w:fldCharType="begin"/>
      </w:r>
      <w:r w:rsidR="00235862">
        <w:rPr>
          <w:rFonts w:eastAsia="Calibri"/>
        </w:rPr>
        <w:instrText xml:space="preserve"> ADDIN EN.CITE &lt;EndNote&gt;&lt;Cite&gt;&lt;Author&gt;NAV og Helsedirektoratet&lt;/Author&gt;&lt;Year&gt;2021&lt;/Year&gt;&lt;RecNum&gt;686&lt;/RecNum&gt;&lt;DisplayText&gt;(NAV og Helsedirektoratet, 2021)&lt;/DisplayText&gt;&lt;record&gt;&lt;rec-number&gt;686&lt;/rec-number&gt;&lt;foreign-keys&gt;&lt;key app="EN" db-id="95tpr2tp6r9xwoea9rb5wdsz5ds5xeddteew" timestamp="1680069511"&gt;686&lt;/key&gt;&lt;/foreign-keys&gt;&lt;ref-type name="Report"&gt;27&lt;/ref-type&gt;&lt;contributors&gt;&lt;authors&gt;&lt;author&gt;NAV og Helsedirektoratet,&lt;/author&gt;&lt;/authors&gt;&lt;/contributors&gt;&lt;titles&gt;&lt;title&gt;Rapport om informasjonsutveksling mellom NAV og fastleger: en gjennomgang av attester og erklæring som fastleger utsteder for Arbeids og velferdsetaten&lt;/title&gt;&lt;/titles&gt;&lt;dates&gt;&lt;year&gt;2021&lt;/year&gt;&lt;pub-dates&gt;&lt;date&gt;Publisert 19. oktober 2021&lt;/date&gt;&lt;/pub-dates&gt;&lt;/dates&gt;&lt;pub-location&gt;OSLO&lt;/pub-location&gt;&lt;publisher&gt;NAV og Helsedirektoratet&lt;/publisher&gt;&lt;urls&gt;&lt;/urls&gt;&lt;access-date&gt;05.01.23&lt;/access-date&gt;&lt;/record&gt;&lt;/Cite&gt;&lt;/EndNote&gt;</w:instrText>
      </w:r>
      <w:r w:rsidR="00022138" w:rsidRPr="006577D6">
        <w:rPr>
          <w:rFonts w:eastAsia="Calibri"/>
        </w:rPr>
        <w:fldChar w:fldCharType="separate"/>
      </w:r>
      <w:r w:rsidR="00022138" w:rsidRPr="006577D6">
        <w:rPr>
          <w:rFonts w:eastAsia="Calibri"/>
          <w:noProof/>
        </w:rPr>
        <w:t>(NAV og Helsedirektoratet, 2021)</w:t>
      </w:r>
      <w:r w:rsidR="00022138" w:rsidRPr="006577D6">
        <w:rPr>
          <w:rFonts w:eastAsia="Calibri"/>
        </w:rPr>
        <w:fldChar w:fldCharType="end"/>
      </w:r>
      <w:r w:rsidRPr="006577D6">
        <w:rPr>
          <w:rFonts w:eastAsia="Calibri"/>
        </w:rPr>
        <w:t>, vil være avgjørende for effektivisering av arbeidet og for å møte innbyggernes behov fr</w:t>
      </w:r>
      <w:r w:rsidR="003A0EE5" w:rsidRPr="006577D6">
        <w:rPr>
          <w:rFonts w:eastAsia="Calibri"/>
        </w:rPr>
        <w:t>a</w:t>
      </w:r>
      <w:r w:rsidRPr="006577D6">
        <w:rPr>
          <w:rFonts w:eastAsia="Calibri"/>
        </w:rPr>
        <w:t>mover. Økt digitalisering i form av gjennomgående og samhandlende informasjonssystemer vil kunne bidra til at innbyggerne opplever helsetjenestene mer sømløse og sammenhengende enn i dag.</w:t>
      </w:r>
    </w:p>
    <w:p w14:paraId="4270FEDB" w14:textId="77777777" w:rsidR="00D9107F" w:rsidRDefault="00916EE1" w:rsidP="00D46878">
      <w:pPr>
        <w:rPr>
          <w:rFonts w:eastAsia="Calibri"/>
        </w:rPr>
      </w:pPr>
      <w:r w:rsidRPr="006577D6">
        <w:rPr>
          <w:rFonts w:eastAsia="Calibri"/>
        </w:rPr>
        <w:t>Kommunene er mange</w:t>
      </w:r>
      <w:r w:rsidR="003A0EE5" w:rsidRPr="006577D6">
        <w:rPr>
          <w:rFonts w:eastAsia="Calibri"/>
        </w:rPr>
        <w:t>,</w:t>
      </w:r>
      <w:r w:rsidRPr="006577D6">
        <w:rPr>
          <w:rFonts w:eastAsia="Calibri"/>
        </w:rPr>
        <w:t xml:space="preserve"> og av svært varierende størrelse. Hver for seg har de begrensede ressurser til anskaffelser, finansiering og til gjennomføring</w:t>
      </w:r>
      <w:r>
        <w:t xml:space="preserve"> av endringsprosesser.</w:t>
      </w:r>
      <w:r w:rsidRPr="009D78E0">
        <w:t xml:space="preserve"> </w:t>
      </w:r>
      <w:r>
        <w:t>Det samme gjelder for fastlegekontorene. Det kan være utfordrende for kommunene å ta i bruk ny teknologi og tilpasse tjenestene slik at de gir ønskede besparelser og bedre tjenester for brukerne. Å innføre ny teknologi krever ny organisering av tjenesten, og det er behov for tydelig ledelse lokalt</w:t>
      </w:r>
      <w:r w:rsidR="006577D6">
        <w:t>,</w:t>
      </w:r>
      <w:r>
        <w:t xml:space="preserve"> engasjement </w:t>
      </w:r>
      <w:r w:rsidR="00C15235">
        <w:t>og</w:t>
      </w:r>
      <w:r>
        <w:t xml:space="preserve"> forankring. Gevinstpotensialet er lavere i </w:t>
      </w:r>
      <w:r w:rsidRPr="006577D6">
        <w:rPr>
          <w:rFonts w:eastAsia="Calibri"/>
        </w:rPr>
        <w:t xml:space="preserve">kommuner med få innbyggere </w:t>
      </w:r>
      <w:r w:rsidRPr="006577D6">
        <w:rPr>
          <w:rFonts w:eastAsia="Calibri"/>
        </w:rPr>
        <w:fldChar w:fldCharType="begin"/>
      </w:r>
      <w:r w:rsidR="004654FD">
        <w:rPr>
          <w:rFonts w:eastAsia="Calibri"/>
        </w:rPr>
        <w:instrText xml:space="preserve"> ADDIN EN.CITE &lt;EndNote&gt;&lt;Cite&gt;&lt;Author&gt;Abelsen&lt;/Author&gt;&lt;Year&gt;2022&lt;/Year&gt;&lt;RecNum&gt;221&lt;/RecNum&gt;&lt;DisplayText&gt;(Abelsen et al., 2022c)&lt;/DisplayText&gt;&lt;record&gt;&lt;rec-number&gt;221&lt;/rec-number&gt;&lt;foreign-keys&gt;&lt;key app="EN" db-id="95tpr2tp6r9xwoea9rb5wdsz5ds5xeddteew" timestamp="1680069511"&gt;221&lt;/key&gt;&lt;/foreign-keys&gt;&lt;ref-type name="Report"&gt;27&lt;/ref-type&gt;&lt;contributors&gt;&lt;authors&gt;&lt;author&gt;Abelsen, B.&lt;/author&gt;&lt;author&gt;Godager, G.&lt;/author&gt;&lt;author&gt;Harsheim, I. G,&lt;/author&gt;&lt;author&gt;Iversen, T.&lt;/author&gt;&lt;author&gt;Kristiansen, I. S.&lt;/author&gt;&lt;author&gt;Løyland, H. I.&lt;/author&gt;&lt;author&gt;Sæter, E. M.&lt;/author&gt;&lt;/authors&gt;&lt;/contributors&gt;&lt;titles&gt;&lt;title&gt;Evaluering av utprøving av digital hjemmeoppfølging&lt;/title&gt;&lt;secondary-title&gt;Sluttrapport&lt;/secondary-title&gt;&lt;/titles&gt;&lt;dates&gt;&lt;year&gt;2022&lt;/year&gt;&lt;/dates&gt;&lt;pub-location&gt;Oslo&lt;/pub-location&gt;&lt;publisher&gt;Institutt for helse og samfunn, Universitetet i Oslo, Oslo Economics, Nasjonalt senter for distriktsmedisin, UiT Norges arktiske universitet&lt;/publisher&gt;&lt;urls&gt;&lt;/urls&gt;&lt;/record&gt;&lt;/Cite&gt;&lt;/EndNote&gt;</w:instrText>
      </w:r>
      <w:r w:rsidRPr="006577D6">
        <w:rPr>
          <w:rFonts w:eastAsia="Calibri"/>
        </w:rPr>
        <w:fldChar w:fldCharType="separate"/>
      </w:r>
      <w:r w:rsidR="00856689" w:rsidRPr="006577D6">
        <w:rPr>
          <w:rFonts w:eastAsia="Calibri"/>
          <w:noProof/>
        </w:rPr>
        <w:t>(Abelsen et al., 2022c)</w:t>
      </w:r>
      <w:r w:rsidRPr="006577D6">
        <w:rPr>
          <w:rFonts w:eastAsia="Calibri"/>
        </w:rPr>
        <w:fldChar w:fldCharType="end"/>
      </w:r>
      <w:r w:rsidRPr="006577D6">
        <w:rPr>
          <w:rFonts w:eastAsia="Calibri"/>
        </w:rPr>
        <w:t>, og for å kunne hente gevinster fra digitaliseringsarbeid er det sannsynlig at flere kommuner kan ha fordel av å samarbeide interkommunalt.</w:t>
      </w:r>
    </w:p>
    <w:p w14:paraId="5C3B51BD" w14:textId="77777777" w:rsidR="00D9107F" w:rsidRDefault="00916EE1" w:rsidP="00D46878">
      <w:pPr>
        <w:rPr>
          <w:rFonts w:eastAsia="Calibri"/>
        </w:rPr>
      </w:pPr>
      <w:r w:rsidRPr="006577D6">
        <w:rPr>
          <w:rFonts w:eastAsia="Calibri"/>
        </w:rPr>
        <w:t>Innbyggernes forventninger til kvalitet og tilgjengelighet av allmennlegetjenester er økende, og omsetningsøkningen hos flere helprivate aktører kan være et tegn på økt konkurranse om fastlegenes listeinnbyggere</w:t>
      </w:r>
      <w:r>
        <w:t>. Eksempelvis har både Dr.</w:t>
      </w:r>
      <w:r w:rsidR="00C84943">
        <w:t xml:space="preserve"> </w:t>
      </w:r>
      <w:r>
        <w:t xml:space="preserve">Dropin og Kry hatt en mangedobling av sine driftsinntekter perioden fra 2019 til pandemiåret 2021 </w:t>
      </w:r>
      <w:r w:rsidR="00022138">
        <w:fldChar w:fldCharType="begin"/>
      </w:r>
      <w:r w:rsidR="00022138">
        <w:instrText xml:space="preserve"> ADDIN EN.CITE &lt;EndNote&gt;&lt;Cite&gt;&lt;Author&gt;Proff.no&lt;/Author&gt;&lt;Year&gt;[s.a.]&lt;/Year&gt;&lt;RecNum&gt;167&lt;/RecNum&gt;&lt;DisplayText&gt;(Proff.no, [s.a.])&lt;/DisplayText&gt;&lt;record&gt;&lt;rec-number&gt;167&lt;/rec-number&gt;&lt;foreign-keys&gt;&lt;key app="EN" db-id="95tpr2tp6r9xwoea9rb5wdsz5ds5xeddteew" timestamp="1680069511"&gt;167&lt;/key&gt;&lt;/foreign-keys&gt;&lt;ref-type name="Web Page"&gt;12&lt;/ref-type&gt;&lt;contributors&gt;&lt;authors&gt;&lt;author&gt;Proff.no&lt;/author&gt;&lt;/authors&gt;&lt;/contributors&gt;&lt;titles&gt;&lt;title&gt;Dr. Dropin AS - Driftsresultat&lt;/title&gt;&lt;/titles&gt;&lt;number&gt;13.03.2023&lt;/number&gt;&lt;dates&gt;&lt;year&gt;[s.a.]&lt;/year&gt;&lt;/dates&gt;&lt;publisher&gt;proff.no&lt;/publisher&gt;&lt;work-type&gt;nettside&lt;/work-type&gt;&lt;urls&gt;&lt;related-urls&gt;&lt;url&gt;https://www.proff.no/selskap/dr.dropin-as/oslo/leger/IF78KIR00XB/&lt;/url&gt;&lt;/related-urls&gt;&lt;/urls&gt;&lt;/record&gt;&lt;/Cite&gt;&lt;/EndNote&gt;</w:instrText>
      </w:r>
      <w:r w:rsidR="00022138">
        <w:fldChar w:fldCharType="separate"/>
      </w:r>
      <w:r w:rsidR="00022138">
        <w:rPr>
          <w:noProof/>
        </w:rPr>
        <w:t>(Proff.no, [s.a.])</w:t>
      </w:r>
      <w:r w:rsidR="00022138">
        <w:fldChar w:fldCharType="end"/>
      </w:r>
      <w:r>
        <w:t>.</w:t>
      </w:r>
      <w:r w:rsidRPr="00FE2FF2">
        <w:t xml:space="preserve"> </w:t>
      </w:r>
      <w:r>
        <w:t>F</w:t>
      </w:r>
      <w:r w:rsidRPr="00C8768A">
        <w:t>r</w:t>
      </w:r>
      <w:r w:rsidR="003A0EE5">
        <w:t>a</w:t>
      </w:r>
      <w:r w:rsidRPr="00C8768A">
        <w:t xml:space="preserve">mveksten av private aktører som </w:t>
      </w:r>
      <w:r>
        <w:t xml:space="preserve">tilbyr digitale tjenester </w:t>
      </w:r>
      <w:r w:rsidRPr="00C8768A">
        <w:t xml:space="preserve">viser at allmennmedisin er et marked der befolkningen er villige til å betale for legetjenester </w:t>
      </w:r>
      <w:r>
        <w:t xml:space="preserve">med </w:t>
      </w:r>
      <w:r w:rsidR="003A0EE5">
        <w:t xml:space="preserve">god </w:t>
      </w:r>
      <w:r w:rsidRPr="00C8768A">
        <w:t>tilgjengelighet.</w:t>
      </w:r>
      <w:r w:rsidR="003A0EE5">
        <w:t xml:space="preserve"> </w:t>
      </w:r>
      <w:r>
        <w:rPr>
          <w:rFonts w:eastAsia="Calibri"/>
        </w:rPr>
        <w:t>Det knytter seg noen utfordringer til denne utviklingen, der særlig kontinuiteten i lege-pasient-forholdet kan trues, med tilhørende fare for kortsiktige vurderinger, medisinsk overaktivitet og uønskede prioriteringer mellom pasienter og aktivitet.</w:t>
      </w:r>
    </w:p>
    <w:p w14:paraId="3E29E510" w14:textId="77777777" w:rsidR="00D9107F" w:rsidRDefault="00916EE1" w:rsidP="00916EE1">
      <w:pPr>
        <w:jc w:val="both"/>
      </w:pPr>
      <w:r>
        <w:t>Ekspertutvalget ser at de</w:t>
      </w:r>
      <w:r w:rsidRPr="00C8768A">
        <w:t xml:space="preserve"> </w:t>
      </w:r>
      <w:r>
        <w:t>hel</w:t>
      </w:r>
      <w:r w:rsidRPr="00C8768A">
        <w:t xml:space="preserve">private aktørene </w:t>
      </w:r>
      <w:r>
        <w:t>har andre forutsetninger og ressurser,</w:t>
      </w:r>
      <w:r w:rsidRPr="00C8768A">
        <w:t xml:space="preserve"> </w:t>
      </w:r>
      <w:r>
        <w:t xml:space="preserve">og ofte en </w:t>
      </w:r>
      <w:r w:rsidRPr="00C8768A">
        <w:t>større grad av profesjonalisert drift</w:t>
      </w:r>
      <w:r>
        <w:t>, enn mindre fastlegekontor. Videre oppleves fleksible arbeidsplasser</w:t>
      </w:r>
      <w:r w:rsidR="003A0EE5">
        <w:t>,</w:t>
      </w:r>
      <w:r>
        <w:t xml:space="preserve"> der legene kan jobbe digitalt i tillegg til fysisk, og med avgrenset ansvar utover det rent </w:t>
      </w:r>
      <w:r w:rsidR="00E948C4">
        <w:t>medisinsk</w:t>
      </w:r>
      <w:r>
        <w:t>faglige,</w:t>
      </w:r>
      <w:r w:rsidRPr="00A351FD">
        <w:t xml:space="preserve"> </w:t>
      </w:r>
      <w:r>
        <w:t>som attraktive for noen leger. Når det gjelder å jobbe digitalt og skape et tilbud for pasientene der de er, er potensialet for endring i det offentlige helsevesenet betydelig.</w:t>
      </w:r>
    </w:p>
    <w:p w14:paraId="4B27C687" w14:textId="77777777" w:rsidR="00D9107F" w:rsidRDefault="00916EE1" w:rsidP="00023465">
      <w:pPr>
        <w:jc w:val="both"/>
      </w:pPr>
      <w:r w:rsidRPr="00E149A9">
        <w:lastRenderedPageBreak/>
        <w:t xml:space="preserve">Det er viktig at fastlegetjenesten er delaktig i innovasjonsarbeid og at det finnes </w:t>
      </w:r>
      <w:r>
        <w:t xml:space="preserve">insentiver til å </w:t>
      </w:r>
      <w:r w:rsidRPr="00E149A9">
        <w:t>prøv</w:t>
      </w:r>
      <w:r>
        <w:t>e ut</w:t>
      </w:r>
      <w:r w:rsidRPr="00E149A9">
        <w:t xml:space="preserve"> nye arbeidsmetoder. </w:t>
      </w:r>
      <w:r>
        <w:t>Ekspertutvalget mener at dagens aktivitetsfokus kan være en hindring for ledelse og utvikling av fastlegetjenesten, og viser til drøft</w:t>
      </w:r>
      <w:r w:rsidR="003A0EE5">
        <w:t>ingen</w:t>
      </w:r>
      <w:r>
        <w:t xml:space="preserve"> av økning i basistilskuddets andel av finansieringen i kap</w:t>
      </w:r>
      <w:r w:rsidR="003F4AC1">
        <w:t>ittel 5.6.1.</w:t>
      </w:r>
    </w:p>
    <w:p w14:paraId="7B5C49B3" w14:textId="77777777" w:rsidR="00D9107F" w:rsidRDefault="00916EE1" w:rsidP="00023465">
      <w:pPr>
        <w:jc w:val="both"/>
      </w:pPr>
      <w:r>
        <w:t xml:space="preserve">Det har siden koronapandemien vært en kraftig økning av e-konsultasjoner, og det er grunn til å tro at omfanget av e-konsultasjoner vil fortsette. </w:t>
      </w:r>
      <w:r w:rsidR="003A0EE5">
        <w:t>Mange f</w:t>
      </w:r>
      <w:r>
        <w:t>astlege</w:t>
      </w:r>
      <w:r w:rsidR="003A0EE5">
        <w:t>r opplever</w:t>
      </w:r>
      <w:r>
        <w:t xml:space="preserve"> i dag for stor arbeidsmengde</w:t>
      </w:r>
      <w:r w:rsidR="003A0EE5">
        <w:t>,</w:t>
      </w:r>
      <w:r>
        <w:t xml:space="preserve"> og må avlastes for unødvendige oppgaver. En utfordring i denne sammenheng, er at terskelen for innbyggeren til å utløse e-konsultasjon er lav. For å avlaste fastlegen er det viktig med tydelige rammer for hva e-konsultasjon skal brukes til</w:t>
      </w:r>
      <w:r w:rsidR="00AF41D1">
        <w:t xml:space="preserve">, </w:t>
      </w:r>
      <w:r>
        <w:t>og begrense ukritisk bruk av e-konsultasjon. Som omtalt i kap</w:t>
      </w:r>
      <w:r w:rsidR="006577D6">
        <w:t>ittel</w:t>
      </w:r>
      <w:r>
        <w:t xml:space="preserve"> 4.6, bør fastlegens mulighet til å utløse takst for e-konsultasjon på kveld fjernes. Videre foreslår ekspertutvalget en løsning med forhåndsbetaling av e-konsultasjon, for å </w:t>
      </w:r>
      <w:r w:rsidR="00F46C4C">
        <w:t>bevisstgjøre innbyggerne om de faktiske kostnad</w:t>
      </w:r>
      <w:r w:rsidR="00F17AC8">
        <w:t xml:space="preserve">ene ved slike </w:t>
      </w:r>
      <w:r>
        <w:t>henvendelser. Utrulling av triageringsverktøy ved fastlegekontorene</w:t>
      </w:r>
      <w:r w:rsidR="00AF41D1">
        <w:t>,</w:t>
      </w:r>
      <w:r>
        <w:t xml:space="preserve"> med forhåndsutfylt dokumentasjon fra innbyggeren, forventes å ha noe av samme effekt. Dersom digital triagering kan tas i bruk i større grad, vil </w:t>
      </w:r>
      <w:r w:rsidR="007F0DB5">
        <w:t>fast</w:t>
      </w:r>
      <w:r>
        <w:t>legekontorene lettere kunne fordele og prioritere sin kapasitet mest mulig hensiktsmessig og i tråd med pasientenes medisinske behov.</w:t>
      </w:r>
    </w:p>
    <w:p w14:paraId="52798C60" w14:textId="77777777" w:rsidR="00D9107F" w:rsidRDefault="00916EE1" w:rsidP="00023465">
      <w:pPr>
        <w:jc w:val="both"/>
      </w:pPr>
      <w:r>
        <w:t>De kommende årene vil individuell tilrettelegging og trygghet rundt å bo lengre i egen bolig, være viktig. Bruk av helseteknologi, digitale verktøy og kunstig intelligens må forventes å kunne bidra til dette, og til likere tjenester uansett bosted i landet. Mens noen innbyggere vil oppleve bruk av teknologi som fremmedgjørende, kan andre oppleve det som en fordel å slippe en del fysiske besøk av hjemmetjenesten</w:t>
      </w:r>
      <w:r w:rsidR="00AF41D1">
        <w:t xml:space="preserve"> eller turer til legen</w:t>
      </w:r>
      <w:r>
        <w:t>.</w:t>
      </w:r>
    </w:p>
    <w:p w14:paraId="7107D2EB" w14:textId="77777777" w:rsidR="00D9107F" w:rsidRDefault="00916EE1" w:rsidP="00916EE1">
      <w:pPr>
        <w:jc w:val="both"/>
      </w:pPr>
      <w:r w:rsidRPr="009541B8">
        <w:t xml:space="preserve">Behovene til noen innbyggere som i dag </w:t>
      </w:r>
      <w:r w:rsidRPr="6295B49C">
        <w:t>bestiller</w:t>
      </w:r>
      <w:r w:rsidRPr="009541B8">
        <w:t xml:space="preserve"> time hos fastlegen, </w:t>
      </w:r>
      <w:r w:rsidR="006D4395">
        <w:t>kan</w:t>
      </w:r>
      <w:r w:rsidRPr="009541B8">
        <w:t xml:space="preserve"> møtes på andre måter. Ekspertutvalget mener d</w:t>
      </w:r>
      <w:r w:rsidRPr="00023465">
        <w:t>et bør vurderes å utvikle en nettressurs for befolkningen</w:t>
      </w:r>
      <w:r w:rsidR="00AF41D1">
        <w:t>,</w:t>
      </w:r>
      <w:r w:rsidRPr="00023465">
        <w:t xml:space="preserve"> som likne</w:t>
      </w:r>
      <w:r w:rsidR="00EC082C">
        <w:t>r</w:t>
      </w:r>
      <w:r w:rsidRPr="00023465">
        <w:t xml:space="preserve"> på den som er laget i Nederland. </w:t>
      </w:r>
      <w:r>
        <w:t xml:space="preserve">Her kan </w:t>
      </w:r>
      <w:r w:rsidRPr="00FF70EA">
        <w:t xml:space="preserve">innbyggerne selv finne god </w:t>
      </w:r>
      <w:r>
        <w:t xml:space="preserve">og oppdatert </w:t>
      </w:r>
      <w:r w:rsidRPr="00FF70EA">
        <w:t>informasjon om symptomer, sykdommer og veiledende informasjon</w:t>
      </w:r>
      <w:r w:rsidR="00CB3F57">
        <w:t xml:space="preserve"> </w:t>
      </w:r>
      <w:r w:rsidR="00022138">
        <w:fldChar w:fldCharType="begin"/>
      </w:r>
      <w:r w:rsidR="00A86A67">
        <w:instrText xml:space="preserve"> ADDIN EN.CITE &lt;EndNote&gt;&lt;Cite ExcludeYear="1"&gt;&lt;Author&gt;Dutch Collegeof GPs&lt;/Author&gt;&lt;RecNum&gt;877&lt;/RecNum&gt;&lt;DisplayText&gt;(Dutch Collegeof GPs)&lt;/DisplayText&gt;&lt;record&gt;&lt;rec-number&gt;877&lt;/rec-number&gt;&lt;foreign-keys&gt;&lt;key app="EN" db-id="95tpr2tp6r9xwoea9rb5wdsz5ds5xeddteew" timestamp="1680069511"&gt;877&lt;/key&gt;&lt;/foreign-keys&gt;&lt;ref-type name="Web Page"&gt;12&lt;/ref-type&gt;&lt;contributors&gt;&lt;authors&gt;&lt;author&gt;Dutch Collegeof GPs,&lt;/author&gt;&lt;/authors&gt;&lt;/contributors&gt;&lt;titles&gt;&lt;title&gt;Welcome to GPinfo.nl, the English version of Thuisarts.nl&lt;/title&gt;&lt;/titles&gt;&lt;number&gt;22. mars 2023&lt;/number&gt;&lt;dates&gt;&lt;/dates&gt;&lt;publisher&gt;GPinfo.nl&lt;/publisher&gt;&lt;work-type&gt;nettside&lt;/work-type&gt;&lt;urls&gt;&lt;related-urls&gt;&lt;url&gt;https://gpinfo.nl/&lt;/url&gt;&lt;/related-urls&gt;&lt;/urls&gt;&lt;/record&gt;&lt;/Cite&gt;&lt;/EndNote&gt;</w:instrText>
      </w:r>
      <w:r w:rsidR="00022138">
        <w:fldChar w:fldCharType="separate"/>
      </w:r>
      <w:r w:rsidR="004654FD">
        <w:rPr>
          <w:noProof/>
        </w:rPr>
        <w:t>(Dutch Collegeof GPs)</w:t>
      </w:r>
      <w:r w:rsidR="00022138">
        <w:fldChar w:fldCharType="end"/>
      </w:r>
      <w:r>
        <w:t>.</w:t>
      </w:r>
      <w:r w:rsidR="00CB3F57" w:rsidRPr="00D9107F">
        <w:rPr>
          <w:rStyle w:val="Fotnotereferanse"/>
        </w:rPr>
        <w:footnoteReference w:id="68"/>
      </w:r>
      <w:r w:rsidRPr="00FF70EA">
        <w:t xml:space="preserve"> Dette anta</w:t>
      </w:r>
      <w:r>
        <w:t>s</w:t>
      </w:r>
      <w:r w:rsidRPr="00FF70EA">
        <w:t xml:space="preserve"> å ha redusert behovet for konsultasjoner.</w:t>
      </w:r>
      <w:r>
        <w:t xml:space="preserve"> Et slikt lavterskeltilbud for innbyggere med god digital kompetanse, kunne også vært bygd ut med e</w:t>
      </w:r>
      <w:r w:rsidRPr="00023465">
        <w:t>n døgnåpen allmennmedisinsk chattetjeneste eller telefon- eller video-konsultasjonstjeneste.</w:t>
      </w:r>
    </w:p>
    <w:p w14:paraId="52FC8464" w14:textId="77777777" w:rsidR="00D9107F" w:rsidRDefault="00916EE1" w:rsidP="00916EE1">
      <w:pPr>
        <w:jc w:val="both"/>
        <w:rPr>
          <w:color w:val="000000"/>
          <w:shd w:val="clear" w:color="auto" w:fill="FFFFFF"/>
        </w:rPr>
      </w:pPr>
      <w:r w:rsidRPr="0067649B">
        <w:t>En nasjonal e-konsultasjonstjeneste</w:t>
      </w:r>
      <w:r>
        <w:rPr>
          <w:color w:val="000000"/>
          <w:shd w:val="clear" w:color="auto" w:fill="FFFFFF"/>
        </w:rPr>
        <w:t xml:space="preserve"> </w:t>
      </w:r>
      <w:r w:rsidRPr="004E5E93">
        <w:rPr>
          <w:color w:val="000000"/>
          <w:shd w:val="clear" w:color="auto" w:fill="FFFFFF"/>
        </w:rPr>
        <w:t>vil innebære ekstra kapasitet på tvers av tjenester og nivå</w:t>
      </w:r>
      <w:r>
        <w:rPr>
          <w:color w:val="000000"/>
          <w:shd w:val="clear" w:color="auto" w:fill="FFFFFF"/>
        </w:rPr>
        <w:t>.</w:t>
      </w:r>
      <w:r w:rsidRPr="004E5E93">
        <w:rPr>
          <w:color w:val="000000"/>
          <w:shd w:val="clear" w:color="auto" w:fill="FFFFFF"/>
        </w:rPr>
        <w:t xml:space="preserve"> På samme tid </w:t>
      </w:r>
      <w:r>
        <w:rPr>
          <w:color w:val="000000"/>
          <w:shd w:val="clear" w:color="auto" w:fill="FFFFFF"/>
        </w:rPr>
        <w:t xml:space="preserve">vil en slik tjeneste </w:t>
      </w:r>
      <w:r w:rsidRPr="004E5E93">
        <w:rPr>
          <w:color w:val="000000"/>
          <w:shd w:val="clear" w:color="auto" w:fill="FFFFFF"/>
        </w:rPr>
        <w:t>i offentlig regi trolig fjerne en del av markedet for helprivate tilbydere av denne type tjenester</w:t>
      </w:r>
      <w:r>
        <w:rPr>
          <w:color w:val="000000"/>
          <w:shd w:val="clear" w:color="auto" w:fill="FFFFFF"/>
        </w:rPr>
        <w:t xml:space="preserve">, og dermed bidra til likeverdige tjenester i den forstand at </w:t>
      </w:r>
      <w:r>
        <w:rPr>
          <w:color w:val="000000"/>
          <w:shd w:val="clear" w:color="auto" w:fill="FFFFFF"/>
        </w:rPr>
        <w:lastRenderedPageBreak/>
        <w:t>betalingsevne ikke begrenser tilgangen</w:t>
      </w:r>
      <w:r w:rsidRPr="004E5E93">
        <w:rPr>
          <w:color w:val="000000"/>
          <w:shd w:val="clear" w:color="auto" w:fill="FFFFFF"/>
        </w:rPr>
        <w:t xml:space="preserve">. </w:t>
      </w:r>
      <w:r>
        <w:rPr>
          <w:color w:val="000000"/>
          <w:shd w:val="clear" w:color="auto" w:fill="FFFFFF"/>
        </w:rPr>
        <w:t xml:space="preserve">Ved at </w:t>
      </w:r>
      <w:r w:rsidRPr="004E5E93">
        <w:rPr>
          <w:color w:val="000000"/>
          <w:shd w:val="clear" w:color="auto" w:fill="FFFFFF"/>
        </w:rPr>
        <w:t xml:space="preserve">enkle, ufarlige og selvhelbredende tilstander i større grad kan håndteres utenfor fastlegekontoret, </w:t>
      </w:r>
      <w:r>
        <w:rPr>
          <w:color w:val="000000"/>
          <w:shd w:val="clear" w:color="auto" w:fill="FFFFFF"/>
        </w:rPr>
        <w:t xml:space="preserve">kan </w:t>
      </w:r>
      <w:r w:rsidRPr="004E5E93">
        <w:rPr>
          <w:color w:val="000000"/>
          <w:shd w:val="clear" w:color="auto" w:fill="FFFFFF"/>
        </w:rPr>
        <w:t xml:space="preserve">fastlegen og legevaktslegen få mer tid til å håndtere pasienter med større behov. </w:t>
      </w:r>
      <w:r>
        <w:rPr>
          <w:color w:val="000000"/>
          <w:shd w:val="clear" w:color="auto" w:fill="FFFFFF"/>
        </w:rPr>
        <w:t>U</w:t>
      </w:r>
      <w:r w:rsidRPr="004E5E93">
        <w:rPr>
          <w:color w:val="000000"/>
          <w:shd w:val="clear" w:color="auto" w:fill="FFFFFF"/>
        </w:rPr>
        <w:t>lempe</w:t>
      </w:r>
      <w:r>
        <w:rPr>
          <w:color w:val="000000"/>
          <w:shd w:val="clear" w:color="auto" w:fill="FFFFFF"/>
        </w:rPr>
        <w:t xml:space="preserve">n ved en slik tjeneste kan være at </w:t>
      </w:r>
      <w:r w:rsidRPr="004E5E93">
        <w:rPr>
          <w:color w:val="000000"/>
          <w:shd w:val="clear" w:color="auto" w:fill="FFFFFF"/>
        </w:rPr>
        <w:t xml:space="preserve">kontinuiteten med fastlegen forringes, og også at den lokale kunnskapen ikke </w:t>
      </w:r>
      <w:r>
        <w:rPr>
          <w:color w:val="000000"/>
          <w:shd w:val="clear" w:color="auto" w:fill="FFFFFF"/>
        </w:rPr>
        <w:t xml:space="preserve">er </w:t>
      </w:r>
      <w:r w:rsidR="00685DF8">
        <w:rPr>
          <w:color w:val="000000"/>
          <w:shd w:val="clear" w:color="auto" w:fill="FFFFFF"/>
        </w:rPr>
        <w:t>like god</w:t>
      </w:r>
      <w:r>
        <w:rPr>
          <w:color w:val="000000"/>
          <w:shd w:val="clear" w:color="auto" w:fill="FFFFFF"/>
        </w:rPr>
        <w:t>.</w:t>
      </w:r>
      <w:r w:rsidRPr="004E5E93">
        <w:rPr>
          <w:color w:val="000000"/>
          <w:shd w:val="clear" w:color="auto" w:fill="FFFFFF"/>
        </w:rPr>
        <w:t xml:space="preserve"> </w:t>
      </w:r>
      <w:r>
        <w:rPr>
          <w:color w:val="000000"/>
          <w:shd w:val="clear" w:color="auto" w:fill="FFFFFF"/>
        </w:rPr>
        <w:t xml:space="preserve">Det kan også tenkes at terskelen </w:t>
      </w:r>
      <w:r w:rsidRPr="004E5E93">
        <w:rPr>
          <w:color w:val="000000"/>
          <w:shd w:val="clear" w:color="auto" w:fill="FFFFFF"/>
        </w:rPr>
        <w:t xml:space="preserve">for å få kontakt med </w:t>
      </w:r>
      <w:r>
        <w:rPr>
          <w:color w:val="000000"/>
          <w:shd w:val="clear" w:color="auto" w:fill="FFFFFF"/>
        </w:rPr>
        <w:t>fastlegen forhøyes, som</w:t>
      </w:r>
      <w:r w:rsidRPr="004E5E93">
        <w:rPr>
          <w:color w:val="000000"/>
          <w:shd w:val="clear" w:color="auto" w:fill="FFFFFF"/>
        </w:rPr>
        <w:t xml:space="preserve"> særlig for svake etterspørrere</w:t>
      </w:r>
      <w:r>
        <w:rPr>
          <w:color w:val="000000"/>
          <w:shd w:val="clear" w:color="auto" w:fill="FFFFFF"/>
        </w:rPr>
        <w:t xml:space="preserve"> vil være uheldig. </w:t>
      </w:r>
      <w:r w:rsidR="00CE6FD9">
        <w:rPr>
          <w:color w:val="000000"/>
          <w:shd w:val="clear" w:color="auto" w:fill="FFFFFF"/>
        </w:rPr>
        <w:t>S</w:t>
      </w:r>
      <w:r w:rsidRPr="004E5E93">
        <w:rPr>
          <w:color w:val="000000"/>
          <w:shd w:val="clear" w:color="auto" w:fill="FFFFFF"/>
        </w:rPr>
        <w:t>amhandling</w:t>
      </w:r>
      <w:r>
        <w:rPr>
          <w:color w:val="000000"/>
          <w:shd w:val="clear" w:color="auto" w:fill="FFFFFF"/>
        </w:rPr>
        <w:t xml:space="preserve">en mellom </w:t>
      </w:r>
      <w:r w:rsidR="00C84943">
        <w:rPr>
          <w:color w:val="000000"/>
          <w:shd w:val="clear" w:color="auto" w:fill="FFFFFF"/>
        </w:rPr>
        <w:t>en</w:t>
      </w:r>
      <w:r w:rsidR="00C84943" w:rsidRPr="004E5E93">
        <w:rPr>
          <w:color w:val="000000"/>
          <w:shd w:val="clear" w:color="auto" w:fill="FFFFFF"/>
        </w:rPr>
        <w:t xml:space="preserve"> nasjonal e-konsultasjonstjeneste</w:t>
      </w:r>
      <w:r w:rsidRPr="004E5E93">
        <w:rPr>
          <w:color w:val="000000"/>
          <w:shd w:val="clear" w:color="auto" w:fill="FFFFFF"/>
        </w:rPr>
        <w:t xml:space="preserve"> og fastlegene</w:t>
      </w:r>
      <w:r>
        <w:rPr>
          <w:color w:val="000000"/>
          <w:shd w:val="clear" w:color="auto" w:fill="FFFFFF"/>
        </w:rPr>
        <w:t xml:space="preserve"> må </w:t>
      </w:r>
      <w:r w:rsidR="00CD1874">
        <w:rPr>
          <w:color w:val="000000"/>
          <w:shd w:val="clear" w:color="auto" w:fill="FFFFFF"/>
        </w:rPr>
        <w:t>også avklares</w:t>
      </w:r>
      <w:r>
        <w:rPr>
          <w:color w:val="000000"/>
          <w:shd w:val="clear" w:color="auto" w:fill="FFFFFF"/>
        </w:rPr>
        <w:t>.</w:t>
      </w:r>
    </w:p>
    <w:p w14:paraId="2BB396DE" w14:textId="77777777" w:rsidR="00D9107F" w:rsidRDefault="00916EE1" w:rsidP="00916EE1">
      <w:pPr>
        <w:jc w:val="both"/>
        <w:rPr>
          <w:color w:val="000000"/>
          <w:shd w:val="clear" w:color="auto" w:fill="FFFFFF"/>
        </w:rPr>
      </w:pPr>
      <w:r>
        <w:rPr>
          <w:color w:val="000000"/>
          <w:shd w:val="clear" w:color="auto" w:fill="FFFFFF"/>
        </w:rPr>
        <w:t>E</w:t>
      </w:r>
      <w:r w:rsidRPr="004E5E93">
        <w:rPr>
          <w:color w:val="000000"/>
          <w:shd w:val="clear" w:color="auto" w:fill="FFFFFF"/>
        </w:rPr>
        <w:t>n nasjonal e-konsultasjonstjeneste</w:t>
      </w:r>
      <w:r>
        <w:rPr>
          <w:color w:val="000000"/>
          <w:shd w:val="clear" w:color="auto" w:fill="FFFFFF"/>
        </w:rPr>
        <w:t xml:space="preserve"> kan </w:t>
      </w:r>
      <w:r w:rsidRPr="004E5E93">
        <w:rPr>
          <w:color w:val="000000"/>
          <w:shd w:val="clear" w:color="auto" w:fill="FFFFFF"/>
        </w:rPr>
        <w:t>organiser</w:t>
      </w:r>
      <w:r>
        <w:rPr>
          <w:color w:val="000000"/>
          <w:shd w:val="clear" w:color="auto" w:fill="FFFFFF"/>
        </w:rPr>
        <w:t xml:space="preserve">es </w:t>
      </w:r>
      <w:r w:rsidRPr="004E5E93">
        <w:rPr>
          <w:color w:val="000000"/>
          <w:shd w:val="clear" w:color="auto" w:fill="FFFFFF"/>
        </w:rPr>
        <w:t>ved at leger med kapasitet til det ta</w:t>
      </w:r>
      <w:r>
        <w:rPr>
          <w:color w:val="000000"/>
          <w:shd w:val="clear" w:color="auto" w:fill="FFFFFF"/>
        </w:rPr>
        <w:t>r</w:t>
      </w:r>
      <w:r w:rsidRPr="004E5E93">
        <w:rPr>
          <w:color w:val="000000"/>
          <w:shd w:val="clear" w:color="auto" w:fill="FFFFFF"/>
        </w:rPr>
        <w:t xml:space="preserve"> e-konsultasjoner</w:t>
      </w:r>
      <w:r>
        <w:rPr>
          <w:color w:val="000000"/>
          <w:shd w:val="clear" w:color="auto" w:fill="FFFFFF"/>
        </w:rPr>
        <w:t xml:space="preserve">. Den </w:t>
      </w:r>
      <w:r w:rsidRPr="004E5E93">
        <w:rPr>
          <w:color w:val="000000"/>
          <w:shd w:val="clear" w:color="auto" w:fill="FFFFFF"/>
        </w:rPr>
        <w:t>vi</w:t>
      </w:r>
      <w:r>
        <w:rPr>
          <w:color w:val="000000"/>
          <w:shd w:val="clear" w:color="auto" w:fill="FFFFFF"/>
        </w:rPr>
        <w:t xml:space="preserve">l </w:t>
      </w:r>
      <w:r w:rsidRPr="004E5E93">
        <w:rPr>
          <w:color w:val="000000"/>
          <w:shd w:val="clear" w:color="auto" w:fill="FFFFFF"/>
        </w:rPr>
        <w:t xml:space="preserve">kunne </w:t>
      </w:r>
      <w:r>
        <w:rPr>
          <w:color w:val="000000"/>
          <w:shd w:val="clear" w:color="auto" w:fill="FFFFFF"/>
        </w:rPr>
        <w:t xml:space="preserve">omfatte </w:t>
      </w:r>
      <w:r w:rsidRPr="004E5E93">
        <w:rPr>
          <w:color w:val="000000"/>
          <w:shd w:val="clear" w:color="auto" w:fill="FFFFFF"/>
        </w:rPr>
        <w:t>leger innenfor andre spesialiteter enn allmennmedisin</w:t>
      </w:r>
      <w:r>
        <w:rPr>
          <w:color w:val="000000"/>
          <w:shd w:val="clear" w:color="auto" w:fill="FFFFFF"/>
        </w:rPr>
        <w:t>, og også annet helsepersonell.</w:t>
      </w:r>
      <w:r w:rsidRPr="004E5E93">
        <w:rPr>
          <w:color w:val="000000"/>
          <w:shd w:val="clear" w:color="auto" w:fill="FFFFFF"/>
        </w:rPr>
        <w:t xml:space="preserve"> Leger </w:t>
      </w:r>
      <w:r>
        <w:rPr>
          <w:color w:val="000000"/>
          <w:shd w:val="clear" w:color="auto" w:fill="FFFFFF"/>
        </w:rPr>
        <w:t xml:space="preserve">har </w:t>
      </w:r>
      <w:r w:rsidRPr="004E5E93">
        <w:rPr>
          <w:color w:val="000000"/>
          <w:shd w:val="clear" w:color="auto" w:fill="FFFFFF"/>
        </w:rPr>
        <w:t xml:space="preserve">i ulike faser av livet ekstra kapasitet til </w:t>
      </w:r>
      <w:r>
        <w:rPr>
          <w:color w:val="000000"/>
          <w:shd w:val="clear" w:color="auto" w:fill="FFFFFF"/>
        </w:rPr>
        <w:t xml:space="preserve">arbeid. En slik tjeneste, uavhengig av arbeidstid og arbeidsted, forventes å være en fleksibel og attraktiv mulighet for mange, gitt at det tilrettelegges for at legene </w:t>
      </w:r>
      <w:r w:rsidRPr="004E5E93">
        <w:rPr>
          <w:color w:val="000000"/>
          <w:shd w:val="clear" w:color="auto" w:fill="FFFFFF"/>
        </w:rPr>
        <w:t xml:space="preserve">i stor grad </w:t>
      </w:r>
      <w:r>
        <w:rPr>
          <w:color w:val="000000"/>
          <w:shd w:val="clear" w:color="auto" w:fill="FFFFFF"/>
        </w:rPr>
        <w:t xml:space="preserve">kan </w:t>
      </w:r>
      <w:r w:rsidRPr="004E5E93">
        <w:rPr>
          <w:color w:val="000000"/>
          <w:shd w:val="clear" w:color="auto" w:fill="FFFFFF"/>
        </w:rPr>
        <w:t xml:space="preserve">styre </w:t>
      </w:r>
      <w:r w:rsidR="00D11E0C">
        <w:rPr>
          <w:color w:val="000000"/>
          <w:shd w:val="clear" w:color="auto" w:fill="FFFFFF"/>
        </w:rPr>
        <w:t>arbeids</w:t>
      </w:r>
      <w:r w:rsidRPr="004E5E93">
        <w:rPr>
          <w:color w:val="000000"/>
          <w:shd w:val="clear" w:color="auto" w:fill="FFFFFF"/>
        </w:rPr>
        <w:t>belastningen selv.</w:t>
      </w:r>
      <w:r>
        <w:rPr>
          <w:color w:val="000000"/>
          <w:shd w:val="clear" w:color="auto" w:fill="FFFFFF"/>
        </w:rPr>
        <w:t xml:space="preserve"> En viktig oppgave for en slik tjeneste vil være å henvise pasienter som trenger det til sin egen fastlege, vurdere hvor raskt pasienten trenger time og </w:t>
      </w:r>
      <w:r w:rsidRPr="71D6CD76">
        <w:rPr>
          <w:color w:val="000000" w:themeColor="text1"/>
        </w:rPr>
        <w:t xml:space="preserve">ved behov for </w:t>
      </w:r>
      <w:r w:rsidR="00A0011F">
        <w:rPr>
          <w:color w:val="000000" w:themeColor="text1"/>
        </w:rPr>
        <w:t>øyeblikkelig hjelp</w:t>
      </w:r>
      <w:r w:rsidRPr="71D6CD76">
        <w:rPr>
          <w:color w:val="000000" w:themeColor="text1"/>
        </w:rPr>
        <w:t xml:space="preserve"> henvise</w:t>
      </w:r>
      <w:r w:rsidR="002923FE">
        <w:rPr>
          <w:color w:val="000000" w:themeColor="text1"/>
        </w:rPr>
        <w:t xml:space="preserve"> </w:t>
      </w:r>
      <w:r w:rsidR="002251F2">
        <w:rPr>
          <w:color w:val="000000" w:themeColor="text1"/>
        </w:rPr>
        <w:t>til</w:t>
      </w:r>
      <w:r>
        <w:rPr>
          <w:color w:val="000000"/>
          <w:shd w:val="clear" w:color="auto" w:fill="FFFFFF"/>
        </w:rPr>
        <w:t xml:space="preserve"> lokal legevakt. En nasjonal tjeneste </w:t>
      </w:r>
      <w:r w:rsidR="007053F7">
        <w:rPr>
          <w:color w:val="000000"/>
          <w:shd w:val="clear" w:color="auto" w:fill="FFFFFF"/>
        </w:rPr>
        <w:t>kan</w:t>
      </w:r>
      <w:r w:rsidR="000722F5">
        <w:rPr>
          <w:color w:val="000000"/>
          <w:shd w:val="clear" w:color="auto" w:fill="FFFFFF"/>
        </w:rPr>
        <w:t xml:space="preserve"> også</w:t>
      </w:r>
      <w:r>
        <w:rPr>
          <w:color w:val="000000"/>
          <w:shd w:val="clear" w:color="auto" w:fill="FFFFFF"/>
        </w:rPr>
        <w:t xml:space="preserve"> samle informasjon om hva de som tar kontakt er bekymret for, og dermed utbedre nettsider og annet informasjonsmateriell til skiftende informasjonsbehov i befolkningen.</w:t>
      </w:r>
    </w:p>
    <w:p w14:paraId="1FC33F3C" w14:textId="77777777" w:rsidR="00D9107F" w:rsidRDefault="00916EE1" w:rsidP="00D46878">
      <w:r>
        <w:t xml:space="preserve">Ekspertutvalget mener det er behov for mer forskning på allmennlegetjenestene og i allmennmedisin. </w:t>
      </w:r>
      <w:r w:rsidR="66B47D51" w:rsidRPr="0056192D">
        <w:rPr>
          <w:rFonts w:eastAsia="Calibri"/>
          <w:color w:val="000000" w:themeColor="text1"/>
        </w:rPr>
        <w:t xml:space="preserve">Det er behov for å etablere </w:t>
      </w:r>
      <w:r w:rsidR="00554340" w:rsidRPr="0056192D">
        <w:rPr>
          <w:rFonts w:eastAsia="Calibri"/>
          <w:color w:val="000000" w:themeColor="text1"/>
        </w:rPr>
        <w:t xml:space="preserve">bedre </w:t>
      </w:r>
      <w:r w:rsidR="66B47D51" w:rsidRPr="0056192D">
        <w:rPr>
          <w:rFonts w:eastAsia="Calibri"/>
          <w:color w:val="000000" w:themeColor="text1"/>
        </w:rPr>
        <w:t xml:space="preserve">infrastruktur </w:t>
      </w:r>
      <w:r w:rsidR="66B47D51" w:rsidRPr="00C76084">
        <w:rPr>
          <w:rFonts w:eastAsia="Calibri"/>
        </w:rPr>
        <w:t>for forskning og innovasjon i den kommunale helse- og omsorgssektoren</w:t>
      </w:r>
      <w:r w:rsidR="00CC20D1" w:rsidRPr="00C76084">
        <w:rPr>
          <w:rFonts w:eastAsia="Calibri"/>
        </w:rPr>
        <w:t>,</w:t>
      </w:r>
      <w:r w:rsidR="66B47D51" w:rsidRPr="00C76084">
        <w:rPr>
          <w:rFonts w:eastAsia="Calibri"/>
        </w:rPr>
        <w:t xml:space="preserve"> og </w:t>
      </w:r>
      <w:r w:rsidR="00CC20D1" w:rsidRPr="00C76084">
        <w:rPr>
          <w:rFonts w:eastAsia="Calibri"/>
        </w:rPr>
        <w:t>utvalget</w:t>
      </w:r>
      <w:r w:rsidR="66B47D51" w:rsidRPr="00C76084">
        <w:rPr>
          <w:rFonts w:eastAsia="Calibri"/>
        </w:rPr>
        <w:t xml:space="preserve"> anbefaler at </w:t>
      </w:r>
      <w:r w:rsidR="007C4E5C" w:rsidRPr="00C76084">
        <w:rPr>
          <w:rFonts w:eastAsia="Calibri"/>
        </w:rPr>
        <w:t xml:space="preserve">planene og intensjonene </w:t>
      </w:r>
      <w:r w:rsidR="00DF5084" w:rsidRPr="00C76084">
        <w:rPr>
          <w:rFonts w:eastAsia="Calibri"/>
        </w:rPr>
        <w:t xml:space="preserve">for </w:t>
      </w:r>
      <w:r w:rsidR="00BA6D7B" w:rsidRPr="00C76084">
        <w:rPr>
          <w:rFonts w:eastAsia="Calibri"/>
        </w:rPr>
        <w:t>Kommunenes strategiske forskningsorgan (</w:t>
      </w:r>
      <w:r w:rsidR="66B47D51" w:rsidRPr="00C76084">
        <w:rPr>
          <w:rFonts w:eastAsia="Calibri"/>
        </w:rPr>
        <w:t>KSF</w:t>
      </w:r>
      <w:r w:rsidR="004A2D41" w:rsidRPr="00C76084">
        <w:rPr>
          <w:rFonts w:eastAsia="Calibri"/>
        </w:rPr>
        <w:t>)</w:t>
      </w:r>
      <w:r w:rsidR="66B47D51" w:rsidRPr="00C76084">
        <w:rPr>
          <w:rFonts w:eastAsia="Calibri"/>
        </w:rPr>
        <w:t xml:space="preserve"> </w:t>
      </w:r>
      <w:r w:rsidR="007C4E5C" w:rsidRPr="00C76084">
        <w:rPr>
          <w:rFonts w:eastAsia="Calibri"/>
        </w:rPr>
        <w:t>gjennomføres</w:t>
      </w:r>
      <w:r w:rsidR="004F345A" w:rsidRPr="00C76084">
        <w:rPr>
          <w:rFonts w:eastAsia="Calibri"/>
        </w:rPr>
        <w:t xml:space="preserve"> og </w:t>
      </w:r>
      <w:r w:rsidR="007C4E5C" w:rsidRPr="00C76084">
        <w:rPr>
          <w:rFonts w:eastAsia="Calibri"/>
        </w:rPr>
        <w:t>styrkes</w:t>
      </w:r>
      <w:r w:rsidR="008A4BD0" w:rsidRPr="00C76084">
        <w:rPr>
          <w:rFonts w:eastAsia="Calibri"/>
        </w:rPr>
        <w:t xml:space="preserve">. </w:t>
      </w:r>
      <w:r>
        <w:rPr>
          <w:rFonts w:eastAsia="Calibri"/>
        </w:rPr>
        <w:t>I tillegg er s</w:t>
      </w:r>
      <w:r>
        <w:t>tabile, tilstrekkelige og uavhengige finansieringskilder med konkurranse om forskningsmidlene viktig for å sikre god kunnskap på lang sikt.</w:t>
      </w:r>
    </w:p>
    <w:p w14:paraId="44F3863A" w14:textId="77777777" w:rsidR="00D9107F" w:rsidRDefault="00916EE1" w:rsidP="00D46878">
      <w:r w:rsidRPr="318E4E98">
        <w:rPr>
          <w:rFonts w:eastAsia="Calibri"/>
        </w:rPr>
        <w:t>Bedre og mer relevant statistikk, analyse og forskning er nødvendig for å kunne planlegge gode og likeverdige helsetjenester, både på kort og lang sikt. Mens vi har gode registre på aktiviteten i helsetjenestene, også for fast- og legevaktstjenestene via KUHR, finnes det svært lite representativ informasjon om arbeidsforholdene til alt helsepersonell i Norge, inkludert allmennlegetjenesten</w:t>
      </w:r>
      <w:r w:rsidRPr="00B66473">
        <w:rPr>
          <w:rFonts w:eastAsia="Calibri"/>
        </w:rPr>
        <w:t>.</w:t>
      </w:r>
      <w:r>
        <w:rPr>
          <w:rFonts w:eastAsia="Calibri"/>
        </w:rPr>
        <w:t xml:space="preserve"> Liksom for annet helsepersonell, har vi lite representativ og dokumenterbar kunnskap om arbeidstid og arbeidsformer i allmennlegetjenestene. </w:t>
      </w:r>
      <w:r>
        <w:t xml:space="preserve">Kunnskap om ledelse og konkrete samarbeidsformer i det kliniske arbeidet er også et mangelområde. </w:t>
      </w:r>
      <w:r w:rsidRPr="00B94672">
        <w:t xml:space="preserve">Datagrunnlaget </w:t>
      </w:r>
      <w:r>
        <w:t xml:space="preserve">bør forbedres, </w:t>
      </w:r>
      <w:r w:rsidRPr="00B94672">
        <w:t xml:space="preserve">både for å </w:t>
      </w:r>
      <w:r>
        <w:t xml:space="preserve">styrke </w:t>
      </w:r>
      <w:r w:rsidRPr="00B94672">
        <w:t>planleg</w:t>
      </w:r>
      <w:r>
        <w:t xml:space="preserve">ging og </w:t>
      </w:r>
      <w:r w:rsidRPr="00B94672">
        <w:t>beredskap</w:t>
      </w:r>
      <w:r>
        <w:t xml:space="preserve">, og for raskere å </w:t>
      </w:r>
      <w:r w:rsidRPr="00B94672">
        <w:t xml:space="preserve">kunne vurdere situasjoner </w:t>
      </w:r>
      <w:r>
        <w:t xml:space="preserve">knyttet til </w:t>
      </w:r>
      <w:r w:rsidRPr="00B94672">
        <w:t xml:space="preserve">mangler </w:t>
      </w:r>
      <w:r>
        <w:t xml:space="preserve">ved </w:t>
      </w:r>
      <w:r w:rsidRPr="00B94672">
        <w:t xml:space="preserve">fastlegeordningen </w:t>
      </w:r>
      <w:r>
        <w:t xml:space="preserve">og iverksette treffende </w:t>
      </w:r>
      <w:r w:rsidRPr="00B94672">
        <w:t>tiltak</w:t>
      </w:r>
      <w:r>
        <w:t>.</w:t>
      </w:r>
    </w:p>
    <w:p w14:paraId="4D2DDFD3" w14:textId="6B5799DD" w:rsidR="0050190B" w:rsidRDefault="00B30AC3" w:rsidP="00775632">
      <w:pPr>
        <w:pStyle w:val="Overskrift1"/>
      </w:pPr>
      <w:bookmarkStart w:id="6049" w:name="_Toc131238599"/>
      <w:bookmarkStart w:id="6050" w:name="_Toc131279690"/>
      <w:bookmarkStart w:id="6051" w:name="_Toc131287102"/>
      <w:bookmarkStart w:id="6052" w:name="_Toc131281512"/>
      <w:bookmarkStart w:id="6053" w:name="_Toc131318052"/>
      <w:bookmarkStart w:id="6054" w:name="_Toc132537119"/>
      <w:r w:rsidRPr="00FE7814">
        <w:lastRenderedPageBreak/>
        <w:t>5</w:t>
      </w:r>
      <w:r w:rsidR="002F7817">
        <w:t>9</w:t>
      </w:r>
      <w:r w:rsidR="00A30393">
        <w:t xml:space="preserve"> </w:t>
      </w:r>
      <w:r w:rsidR="00807F39">
        <w:t xml:space="preserve">forslag for </w:t>
      </w:r>
      <w:bookmarkEnd w:id="6049"/>
      <w:bookmarkEnd w:id="6050"/>
      <w:bookmarkEnd w:id="6051"/>
      <w:bookmarkEnd w:id="6052"/>
      <w:bookmarkEnd w:id="6053"/>
      <w:r w:rsidR="002B4FA5">
        <w:t>en bærekraftig allmennlegetjeneste</w:t>
      </w:r>
      <w:bookmarkEnd w:id="6054"/>
    </w:p>
    <w:p w14:paraId="1284B02F" w14:textId="5EE62478" w:rsidR="00807F39" w:rsidRDefault="00807F39" w:rsidP="00807F39">
      <w:r>
        <w:t>Dette kapittelet oppsummerer helt kortfattet, eksp</w:t>
      </w:r>
      <w:r w:rsidR="000A7746">
        <w:t>e</w:t>
      </w:r>
      <w:r>
        <w:t xml:space="preserve">rtutvalgets </w:t>
      </w:r>
      <w:r w:rsidR="7D77ECB5">
        <w:t>anbefalinger</w:t>
      </w:r>
      <w:r w:rsidR="007609C5">
        <w:t>,</w:t>
      </w:r>
      <w:r>
        <w:t xml:space="preserve"> som</w:t>
      </w:r>
      <w:r w:rsidR="007609C5">
        <w:t xml:space="preserve"> er</w:t>
      </w:r>
      <w:r>
        <w:t xml:space="preserve"> presentert mer utdypende innledningsvis i hvert av rapportens kapitler.</w:t>
      </w:r>
      <w:r w:rsidR="00FE7814">
        <w:t xml:space="preserve"> </w:t>
      </w:r>
      <w:r w:rsidR="00D871D0">
        <w:t xml:space="preserve">Punktenes rekkefølge følger teksten </w:t>
      </w:r>
      <w:r w:rsidR="009E0947">
        <w:t xml:space="preserve">i kapitlene </w:t>
      </w:r>
      <w:r w:rsidR="00D871D0">
        <w:t xml:space="preserve">og er </w:t>
      </w:r>
      <w:r w:rsidR="009E0947">
        <w:t>i uprioritert rekkefølge.</w:t>
      </w:r>
    </w:p>
    <w:tbl>
      <w:tblPr>
        <w:tblStyle w:val="EUTabellstil"/>
        <w:tblW w:w="5000" w:type="pct"/>
        <w:tblLook w:val="04A0" w:firstRow="1" w:lastRow="0" w:firstColumn="1" w:lastColumn="0" w:noHBand="0" w:noVBand="1"/>
      </w:tblPr>
      <w:tblGrid>
        <w:gridCol w:w="562"/>
        <w:gridCol w:w="14"/>
        <w:gridCol w:w="9160"/>
      </w:tblGrid>
      <w:tr w:rsidR="0050190B" w:rsidRPr="00AB26B0" w14:paraId="1148E388" w14:textId="77777777" w:rsidTr="005A4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1CA934F4" w14:textId="4C5B6B06" w:rsidR="00807F39" w:rsidRPr="00A43B75" w:rsidRDefault="00807F39" w:rsidP="00D87CD3">
            <w:pPr>
              <w:pStyle w:val="TabellHode-kolonne"/>
              <w:rPr>
                <w:rStyle w:val="halvfet"/>
              </w:rPr>
            </w:pPr>
            <w:bookmarkStart w:id="6055" w:name="OLE_LINK2"/>
            <w:r w:rsidRPr="00A43B75">
              <w:rPr>
                <w:rStyle w:val="halvfet"/>
              </w:rPr>
              <w:t>#</w:t>
            </w:r>
          </w:p>
        </w:tc>
        <w:tc>
          <w:tcPr>
            <w:tcW w:w="4711" w:type="pct"/>
            <w:gridSpan w:val="2"/>
            <w:shd w:val="clear" w:color="auto" w:fill="A9D6B9"/>
          </w:tcPr>
          <w:p w14:paraId="6D848E02" w14:textId="3563E7D9" w:rsidR="0050190B" w:rsidRPr="00A43B75" w:rsidRDefault="0050190B" w:rsidP="00D87CD3">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A43B75">
              <w:rPr>
                <w:rStyle w:val="halvfet"/>
              </w:rPr>
              <w:t>Organisering</w:t>
            </w:r>
          </w:p>
        </w:tc>
      </w:tr>
      <w:tr w:rsidR="0050190B" w:rsidRPr="00AB26B0" w14:paraId="1F609EBD"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B2857E5" w14:textId="68EC42B9" w:rsidR="00807F39" w:rsidRPr="00D9107F" w:rsidRDefault="00807F39" w:rsidP="00D87CD3">
            <w:pPr>
              <w:pStyle w:val="TabellHode-rad"/>
              <w:rPr>
                <w:rStyle w:val="halvfet"/>
              </w:rPr>
            </w:pPr>
            <w:r w:rsidRPr="00D9107F">
              <w:rPr>
                <w:rStyle w:val="halvfet"/>
              </w:rPr>
              <w:t>1.</w:t>
            </w:r>
          </w:p>
        </w:tc>
        <w:tc>
          <w:tcPr>
            <w:tcW w:w="4711" w:type="pct"/>
            <w:gridSpan w:val="2"/>
          </w:tcPr>
          <w:p w14:paraId="344D952D" w14:textId="17C7879C"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En eventuell overføring av finansieringsansvaret for fastlegeordningen til kommunene, bør utredes nærmere</w:t>
            </w:r>
            <w:r w:rsidR="00300339" w:rsidRPr="00AB26B0">
              <w:rPr>
                <w:rFonts w:cstheme="minorHAnsi"/>
                <w:sz w:val="22"/>
                <w:szCs w:val="22"/>
                <w:lang w:val="nb-NO"/>
              </w:rPr>
              <w:t>.</w:t>
            </w:r>
            <w:r w:rsidRPr="00AB26B0">
              <w:rPr>
                <w:rFonts w:cstheme="minorHAnsi"/>
                <w:sz w:val="22"/>
                <w:szCs w:val="22"/>
                <w:lang w:val="nb-NO"/>
              </w:rPr>
              <w:t xml:space="preserve"> </w:t>
            </w:r>
          </w:p>
        </w:tc>
      </w:tr>
      <w:tr w:rsidR="00357D04" w:rsidRPr="00AB26B0" w14:paraId="4A0889EB"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C334976" w14:textId="406A6810" w:rsidR="00807F39" w:rsidRPr="00D9107F" w:rsidRDefault="00807F39" w:rsidP="00D87CD3">
            <w:pPr>
              <w:pStyle w:val="TabellHode-rad"/>
              <w:rPr>
                <w:rStyle w:val="halvfet"/>
              </w:rPr>
            </w:pPr>
            <w:r w:rsidRPr="00D9107F">
              <w:rPr>
                <w:rStyle w:val="halvfet"/>
              </w:rPr>
              <w:t>2.</w:t>
            </w:r>
          </w:p>
        </w:tc>
        <w:tc>
          <w:tcPr>
            <w:tcW w:w="4711" w:type="pct"/>
            <w:gridSpan w:val="2"/>
          </w:tcPr>
          <w:p w14:paraId="4A30B7D0" w14:textId="5054485D" w:rsidR="00357D04" w:rsidRPr="00AB26B0" w:rsidRDefault="00F95C23"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Rammene</w:t>
            </w:r>
            <w:r w:rsidR="00357D04" w:rsidRPr="00AB26B0">
              <w:rPr>
                <w:rFonts w:cstheme="minorHAnsi"/>
                <w:sz w:val="22"/>
                <w:szCs w:val="22"/>
                <w:lang w:val="nb-NO"/>
              </w:rPr>
              <w:t xml:space="preserve"> for hvordan fastlegetjenesten organiseres bør åpne for større grad av handlingsfrihet og tilpasning av </w:t>
            </w:r>
            <w:r w:rsidR="00807F39" w:rsidRPr="00AB26B0">
              <w:rPr>
                <w:rFonts w:cstheme="minorHAnsi"/>
                <w:sz w:val="22"/>
                <w:szCs w:val="22"/>
                <w:lang w:val="nb-NO"/>
              </w:rPr>
              <w:t>tjenesten</w:t>
            </w:r>
            <w:r w:rsidR="00357D04" w:rsidRPr="00AB26B0">
              <w:rPr>
                <w:rFonts w:cstheme="minorHAnsi"/>
                <w:sz w:val="22"/>
                <w:szCs w:val="22"/>
                <w:lang w:val="nb-NO"/>
              </w:rPr>
              <w:t>.</w:t>
            </w:r>
          </w:p>
        </w:tc>
      </w:tr>
      <w:tr w:rsidR="0050190B" w:rsidRPr="00AB26B0" w14:paraId="6D366028"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F9D6683" w14:textId="548317F1" w:rsidR="00807F39" w:rsidRPr="00D9107F" w:rsidRDefault="00807F39" w:rsidP="00D87CD3">
            <w:pPr>
              <w:pStyle w:val="TabellHode-rad"/>
              <w:rPr>
                <w:rStyle w:val="halvfet"/>
              </w:rPr>
            </w:pPr>
            <w:r w:rsidRPr="00D9107F">
              <w:rPr>
                <w:rStyle w:val="halvfet"/>
              </w:rPr>
              <w:t>3.</w:t>
            </w:r>
          </w:p>
        </w:tc>
        <w:tc>
          <w:tcPr>
            <w:tcW w:w="4711" w:type="pct"/>
            <w:gridSpan w:val="2"/>
          </w:tcPr>
          <w:p w14:paraId="58B685C3" w14:textId="081EE350"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Kommunen bør kunne inngå avtale med fastlegeselskap</w:t>
            </w:r>
            <w:r w:rsidR="00300339" w:rsidRPr="00AB26B0">
              <w:rPr>
                <w:rFonts w:cstheme="minorHAnsi"/>
                <w:sz w:val="22"/>
                <w:szCs w:val="22"/>
                <w:lang w:val="nb-NO"/>
              </w:rPr>
              <w:t>.</w:t>
            </w:r>
            <w:r w:rsidRPr="00AB26B0">
              <w:rPr>
                <w:rFonts w:cstheme="minorHAnsi"/>
                <w:sz w:val="22"/>
                <w:szCs w:val="22"/>
                <w:lang w:val="nb-NO"/>
              </w:rPr>
              <w:t xml:space="preserve"> </w:t>
            </w:r>
          </w:p>
        </w:tc>
      </w:tr>
      <w:tr w:rsidR="0050190B" w:rsidRPr="00AB26B0" w14:paraId="4304D5B4"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117CC0DF" w14:textId="2A1E3501" w:rsidR="00807F39" w:rsidRPr="00D9107F" w:rsidRDefault="00807F39" w:rsidP="00D87CD3">
            <w:pPr>
              <w:pStyle w:val="TabellHode-rad"/>
              <w:rPr>
                <w:rStyle w:val="halvfet"/>
              </w:rPr>
            </w:pPr>
            <w:r w:rsidRPr="00D9107F">
              <w:rPr>
                <w:rStyle w:val="halvfet"/>
              </w:rPr>
              <w:t>4.</w:t>
            </w:r>
          </w:p>
        </w:tc>
        <w:tc>
          <w:tcPr>
            <w:tcW w:w="4711" w:type="pct"/>
            <w:gridSpan w:val="2"/>
          </w:tcPr>
          <w:p w14:paraId="5A13C1F6" w14:textId="733ADDDA"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 xml:space="preserve">Det bør stilles krav til eiere av fastlegeselskap, og til at hver enkelt lege i selskapet </w:t>
            </w:r>
            <w:r w:rsidR="64F8404A" w:rsidRPr="00AB26B0">
              <w:rPr>
                <w:rFonts w:cstheme="minorHAnsi"/>
                <w:sz w:val="22"/>
                <w:szCs w:val="22"/>
                <w:lang w:val="nb-NO"/>
              </w:rPr>
              <w:t>fortsatt</w:t>
            </w:r>
            <w:r w:rsidRPr="00AB26B0">
              <w:rPr>
                <w:rFonts w:cstheme="minorHAnsi"/>
                <w:sz w:val="22"/>
                <w:szCs w:val="22"/>
                <w:lang w:val="nb-NO"/>
              </w:rPr>
              <w:t xml:space="preserve"> skal ha oppfølgings- og behandlingsansvaret for en liste med innbyggere</w:t>
            </w:r>
            <w:r w:rsidR="00300339" w:rsidRPr="00AB26B0">
              <w:rPr>
                <w:rFonts w:cstheme="minorHAnsi"/>
                <w:sz w:val="22"/>
                <w:szCs w:val="22"/>
                <w:lang w:val="nb-NO"/>
              </w:rPr>
              <w:t>.</w:t>
            </w:r>
          </w:p>
        </w:tc>
      </w:tr>
      <w:tr w:rsidR="0050190B" w:rsidRPr="00AB26B0" w14:paraId="7F55914C"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001A1E00" w14:textId="154D0E5D" w:rsidR="00807F39" w:rsidRPr="00D9107F" w:rsidRDefault="00807F39" w:rsidP="00D87CD3">
            <w:pPr>
              <w:pStyle w:val="TabellHode-rad"/>
              <w:rPr>
                <w:rStyle w:val="halvfet"/>
              </w:rPr>
            </w:pPr>
            <w:r w:rsidRPr="00D9107F">
              <w:rPr>
                <w:rStyle w:val="halvfet"/>
              </w:rPr>
              <w:t>5.</w:t>
            </w:r>
          </w:p>
        </w:tc>
        <w:tc>
          <w:tcPr>
            <w:tcW w:w="4711" w:type="pct"/>
            <w:gridSpan w:val="2"/>
          </w:tcPr>
          <w:p w14:paraId="2B874457" w14:textId="44C51353" w:rsidR="0050190B" w:rsidRPr="00AB26B0" w:rsidRDefault="00F171BC"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Det bør tilrettelegges for at kommunene kan drifte kommunale fastlegekontor etter samme modell</w:t>
            </w:r>
            <w:r w:rsidRPr="00AB26B0" w:rsidDel="00F171BC">
              <w:rPr>
                <w:rFonts w:cstheme="minorHAnsi"/>
                <w:sz w:val="22"/>
                <w:szCs w:val="22"/>
                <w:lang w:val="nb-NO"/>
              </w:rPr>
              <w:t xml:space="preserve"> </w:t>
            </w:r>
            <w:r w:rsidR="0050190B" w:rsidRPr="00AB26B0">
              <w:rPr>
                <w:rFonts w:cstheme="minorHAnsi"/>
                <w:sz w:val="22"/>
                <w:szCs w:val="22"/>
                <w:lang w:val="nb-NO"/>
              </w:rPr>
              <w:t>som for fastlegeselskap, og hvor listeansvaret formelt ligger til kommunen</w:t>
            </w:r>
            <w:r w:rsidR="00300339" w:rsidRPr="00AB26B0">
              <w:rPr>
                <w:rFonts w:cstheme="minorHAnsi"/>
                <w:sz w:val="22"/>
                <w:szCs w:val="22"/>
                <w:lang w:val="nb-NO"/>
              </w:rPr>
              <w:t>.</w:t>
            </w:r>
          </w:p>
        </w:tc>
      </w:tr>
      <w:tr w:rsidR="0050190B" w:rsidRPr="00AB26B0" w14:paraId="6657B458"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16268F7" w14:textId="4E0EAE5A" w:rsidR="00807F39" w:rsidRPr="00D9107F" w:rsidRDefault="00807F39" w:rsidP="00D87CD3">
            <w:pPr>
              <w:pStyle w:val="TabellHode-rad"/>
              <w:rPr>
                <w:rStyle w:val="halvfet"/>
              </w:rPr>
            </w:pPr>
            <w:r w:rsidRPr="00D9107F">
              <w:rPr>
                <w:rStyle w:val="halvfet"/>
              </w:rPr>
              <w:t>6.</w:t>
            </w:r>
          </w:p>
        </w:tc>
        <w:tc>
          <w:tcPr>
            <w:tcW w:w="4711" w:type="pct"/>
            <w:gridSpan w:val="2"/>
          </w:tcPr>
          <w:p w14:paraId="10B40CB2" w14:textId="77777777"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 xml:space="preserve">Avtaleverket knyttet til dagens ordning for gruppepraksis bør gjennomgås, for å tydeliggjøre hvilke elementer i dagens avtale mellom fastlege og kommune som i stedet kan inngå i en gruppepraksisavtale. </w:t>
            </w:r>
          </w:p>
        </w:tc>
      </w:tr>
      <w:tr w:rsidR="0050190B" w:rsidRPr="00AB26B0" w14:paraId="3CDED483"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45AEA29" w14:textId="5E5BA1E2" w:rsidR="00807F39" w:rsidRPr="00D9107F" w:rsidRDefault="00807F39" w:rsidP="00D87CD3">
            <w:pPr>
              <w:pStyle w:val="TabellHode-rad"/>
              <w:rPr>
                <w:rStyle w:val="halvfet"/>
              </w:rPr>
            </w:pPr>
            <w:r w:rsidRPr="00D9107F">
              <w:rPr>
                <w:rStyle w:val="halvfet"/>
              </w:rPr>
              <w:t>7.</w:t>
            </w:r>
          </w:p>
        </w:tc>
        <w:tc>
          <w:tcPr>
            <w:tcW w:w="4711" w:type="pct"/>
            <w:gridSpan w:val="2"/>
          </w:tcPr>
          <w:p w14:paraId="4DAE9033" w14:textId="1BBA9F7B" w:rsidR="0050190B" w:rsidRPr="00AB26B0" w:rsidRDefault="00CB45BC"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Fratredende fastleges rett til å selge sin praksis bør reguleres</w:t>
            </w:r>
            <w:r w:rsidR="00365F44" w:rsidRPr="00AB26B0">
              <w:rPr>
                <w:rFonts w:cstheme="minorHAnsi"/>
                <w:sz w:val="22"/>
                <w:szCs w:val="22"/>
                <w:lang w:val="nb-NO"/>
              </w:rPr>
              <w:t>,</w:t>
            </w:r>
            <w:r w:rsidRPr="00AB26B0">
              <w:rPr>
                <w:rFonts w:cstheme="minorHAnsi"/>
                <w:sz w:val="22"/>
                <w:szCs w:val="22"/>
                <w:lang w:val="nb-NO"/>
              </w:rPr>
              <w:t xml:space="preserve"> for å fjerne alle uklarheter rundt når kommunen kan gi innbyggerne i hjemmelen en annen fastlege.</w:t>
            </w:r>
          </w:p>
        </w:tc>
      </w:tr>
      <w:tr w:rsidR="00DF1EEF" w:rsidRPr="00AB26B0" w14:paraId="40828109"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0FD93EB" w14:textId="08186B93" w:rsidR="00807F39" w:rsidRPr="00D9107F" w:rsidRDefault="00807F39" w:rsidP="00D87CD3">
            <w:pPr>
              <w:pStyle w:val="TabellHode-rad"/>
              <w:rPr>
                <w:rStyle w:val="halvfet"/>
              </w:rPr>
            </w:pPr>
            <w:r w:rsidRPr="00D9107F">
              <w:rPr>
                <w:rStyle w:val="halvfet"/>
              </w:rPr>
              <w:t>8.</w:t>
            </w:r>
          </w:p>
        </w:tc>
        <w:tc>
          <w:tcPr>
            <w:tcW w:w="4711" w:type="pct"/>
            <w:gridSpan w:val="2"/>
          </w:tcPr>
          <w:p w14:paraId="3CD4886D" w14:textId="73DE5D19" w:rsidR="00DF1EEF" w:rsidRPr="00AB26B0" w:rsidRDefault="00DF1EEF" w:rsidP="00D87CD3">
            <w:pP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lang w:val="nb-NO"/>
              </w:rPr>
            </w:pPr>
            <w:r w:rsidRPr="00AB26B0">
              <w:rPr>
                <w:rFonts w:cstheme="minorHAnsi"/>
                <w:sz w:val="22"/>
                <w:szCs w:val="22"/>
                <w:lang w:val="nb-NO"/>
              </w:rPr>
              <w:t>Det bør innføres krav til helprivate allmennlegetjenester om rapportering om virksomheten og aktiviteten til nasjonale registre.</w:t>
            </w:r>
          </w:p>
        </w:tc>
      </w:tr>
      <w:tr w:rsidR="0050190B" w:rsidRPr="00AB26B0" w14:paraId="618797B2"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991D0F4" w14:textId="01893891" w:rsidR="00807F39" w:rsidRPr="00D9107F" w:rsidRDefault="00807F39" w:rsidP="00D87CD3">
            <w:pPr>
              <w:pStyle w:val="TabellHode-rad"/>
              <w:rPr>
                <w:rStyle w:val="halvfet"/>
              </w:rPr>
            </w:pPr>
            <w:r w:rsidRPr="00D9107F">
              <w:rPr>
                <w:rStyle w:val="halvfet"/>
              </w:rPr>
              <w:t>9.</w:t>
            </w:r>
          </w:p>
        </w:tc>
        <w:tc>
          <w:tcPr>
            <w:tcW w:w="4711" w:type="pct"/>
            <w:gridSpan w:val="2"/>
          </w:tcPr>
          <w:p w14:paraId="25AC6411" w14:textId="095BE5FB"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Kveldtakst for e-konsultasjon i fastlegepraksis bør fjernes</w:t>
            </w:r>
            <w:r w:rsidR="00365F44" w:rsidRPr="00AB26B0">
              <w:rPr>
                <w:rFonts w:cstheme="minorHAnsi"/>
                <w:sz w:val="22"/>
                <w:szCs w:val="22"/>
                <w:lang w:val="nb-NO"/>
              </w:rPr>
              <w:t>,</w:t>
            </w:r>
            <w:r w:rsidRPr="00AB26B0">
              <w:rPr>
                <w:rFonts w:cstheme="minorHAnsi"/>
                <w:sz w:val="22"/>
                <w:szCs w:val="22"/>
                <w:lang w:val="nb-NO"/>
              </w:rPr>
              <w:t xml:space="preserve"> og det bør innføres forhåndsbetaling av egenandel</w:t>
            </w:r>
            <w:r w:rsidR="0015420C" w:rsidRPr="00AB26B0">
              <w:rPr>
                <w:rFonts w:cstheme="minorHAnsi"/>
                <w:sz w:val="22"/>
                <w:szCs w:val="22"/>
                <w:lang w:val="nb-NO"/>
              </w:rPr>
              <w:t>en</w:t>
            </w:r>
            <w:r w:rsidRPr="00AB26B0">
              <w:rPr>
                <w:rFonts w:cstheme="minorHAnsi"/>
                <w:sz w:val="22"/>
                <w:szCs w:val="22"/>
                <w:lang w:val="nb-NO"/>
              </w:rPr>
              <w:t xml:space="preserve"> før innsending av tekstlig konsultasjon.</w:t>
            </w:r>
          </w:p>
        </w:tc>
      </w:tr>
      <w:tr w:rsidR="005B33DA" w:rsidRPr="00AB26B0" w14:paraId="2A166021"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02B96BF" w14:textId="0819DCB0" w:rsidR="005B33DA" w:rsidRPr="00D9107F" w:rsidRDefault="001F333D" w:rsidP="00D87CD3">
            <w:pPr>
              <w:pStyle w:val="TabellHode-rad"/>
              <w:rPr>
                <w:rStyle w:val="halvfet"/>
                <w:highlight w:val="yellow"/>
              </w:rPr>
            </w:pPr>
            <w:r w:rsidRPr="00D9107F">
              <w:rPr>
                <w:rStyle w:val="halvfet"/>
              </w:rPr>
              <w:t>10.</w:t>
            </w:r>
          </w:p>
        </w:tc>
        <w:tc>
          <w:tcPr>
            <w:tcW w:w="4711" w:type="pct"/>
            <w:gridSpan w:val="2"/>
          </w:tcPr>
          <w:p w14:paraId="3342F0A3" w14:textId="7E37568D" w:rsidR="005B33DA" w:rsidRPr="00AB26B0" w:rsidRDefault="005B33DA"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 xml:space="preserve">For å tilrettelegge bedre for drøfting </w:t>
            </w:r>
            <w:r w:rsidR="00365F44" w:rsidRPr="00AB26B0">
              <w:rPr>
                <w:rFonts w:cstheme="minorHAnsi"/>
                <w:sz w:val="22"/>
                <w:szCs w:val="22"/>
                <w:lang w:val="nb-NO"/>
              </w:rPr>
              <w:t xml:space="preserve">og utdyping </w:t>
            </w:r>
            <w:r w:rsidRPr="00AB26B0">
              <w:rPr>
                <w:rFonts w:cstheme="minorHAnsi"/>
                <w:sz w:val="22"/>
                <w:szCs w:val="22"/>
                <w:lang w:val="nb-NO"/>
              </w:rPr>
              <w:t xml:space="preserve">av henvisninger </w:t>
            </w:r>
            <w:r w:rsidR="001F333D" w:rsidRPr="00AB26B0">
              <w:rPr>
                <w:rFonts w:cstheme="minorHAnsi"/>
                <w:sz w:val="22"/>
                <w:szCs w:val="22"/>
                <w:lang w:val="nb-NO"/>
              </w:rPr>
              <w:t>mellom fastlege</w:t>
            </w:r>
            <w:r w:rsidR="00365F44" w:rsidRPr="00AB26B0">
              <w:rPr>
                <w:rFonts w:cstheme="minorHAnsi"/>
                <w:sz w:val="22"/>
                <w:szCs w:val="22"/>
                <w:lang w:val="nb-NO"/>
              </w:rPr>
              <w:t>n</w:t>
            </w:r>
            <w:r w:rsidR="001F333D" w:rsidRPr="00AB26B0">
              <w:rPr>
                <w:rFonts w:cstheme="minorHAnsi"/>
                <w:sz w:val="22"/>
                <w:szCs w:val="22"/>
                <w:lang w:val="nb-NO"/>
              </w:rPr>
              <w:t xml:space="preserve"> og spesialisthelsetjenesten, </w:t>
            </w:r>
            <w:r w:rsidRPr="00AB26B0">
              <w:rPr>
                <w:rFonts w:cstheme="minorHAnsi"/>
                <w:sz w:val="22"/>
                <w:szCs w:val="22"/>
                <w:lang w:val="nb-NO"/>
              </w:rPr>
              <w:t>mener ekspertutvalget det bør vurderes å endre pasient- og brukerrettighetsloven</w:t>
            </w:r>
            <w:r w:rsidR="00926012">
              <w:rPr>
                <w:rFonts w:cstheme="minorHAnsi"/>
                <w:sz w:val="22"/>
                <w:szCs w:val="22"/>
                <w:lang w:val="nb-NO"/>
              </w:rPr>
              <w:t>.</w:t>
            </w:r>
          </w:p>
        </w:tc>
      </w:tr>
      <w:tr w:rsidR="0050190B" w:rsidRPr="00AB26B0" w14:paraId="4062678F" w14:textId="77777777" w:rsidTr="005A4AD1">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5C87E5BA" w14:textId="0758DD69" w:rsidR="00807F39" w:rsidRPr="00A43B75" w:rsidRDefault="001759E6" w:rsidP="00D87CD3">
            <w:pPr>
              <w:pStyle w:val="TabellHode-kolonne"/>
              <w:rPr>
                <w:rStyle w:val="halvfet"/>
              </w:rPr>
            </w:pPr>
            <w:bookmarkStart w:id="6056" w:name="OLE_LINK3"/>
            <w:bookmarkEnd w:id="6055"/>
            <w:r w:rsidRPr="00A43B75">
              <w:rPr>
                <w:rStyle w:val="halvfet"/>
              </w:rPr>
              <w:t>#</w:t>
            </w:r>
          </w:p>
        </w:tc>
        <w:tc>
          <w:tcPr>
            <w:tcW w:w="4711" w:type="pct"/>
            <w:gridSpan w:val="2"/>
            <w:shd w:val="clear" w:color="auto" w:fill="A9D6B9"/>
          </w:tcPr>
          <w:p w14:paraId="22B978F7" w14:textId="77777777" w:rsidR="0050190B" w:rsidRPr="00A43B75" w:rsidRDefault="0050190B" w:rsidP="00D87CD3">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A43B75">
              <w:rPr>
                <w:rStyle w:val="halvfet"/>
              </w:rPr>
              <w:t>Finansiering</w:t>
            </w:r>
          </w:p>
        </w:tc>
      </w:tr>
      <w:tr w:rsidR="0050190B" w:rsidRPr="00AB26B0" w14:paraId="186E4CF5"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7F304364" w14:textId="60B22129" w:rsidR="00807F39" w:rsidRPr="00D9107F" w:rsidRDefault="00807F39" w:rsidP="00D87CD3">
            <w:pPr>
              <w:pStyle w:val="TabellHode-rad"/>
              <w:rPr>
                <w:rStyle w:val="halvfet"/>
                <w:rFonts w:eastAsia="Calibri"/>
              </w:rPr>
            </w:pPr>
            <w:r w:rsidRPr="00D9107F">
              <w:rPr>
                <w:rStyle w:val="halvfet"/>
                <w:rFonts w:eastAsia="Calibri"/>
              </w:rPr>
              <w:t>1</w:t>
            </w:r>
            <w:r w:rsidR="00F73062" w:rsidRPr="00D9107F">
              <w:rPr>
                <w:rStyle w:val="halvfet"/>
                <w:rFonts w:eastAsia="Calibri"/>
              </w:rPr>
              <w:t>1</w:t>
            </w:r>
            <w:r w:rsidR="0016139C" w:rsidRPr="00D9107F">
              <w:rPr>
                <w:rStyle w:val="halvfet"/>
                <w:rFonts w:eastAsia="Calibri"/>
              </w:rPr>
              <w:t>.</w:t>
            </w:r>
          </w:p>
        </w:tc>
        <w:tc>
          <w:tcPr>
            <w:tcW w:w="4711" w:type="pct"/>
            <w:gridSpan w:val="2"/>
          </w:tcPr>
          <w:p w14:paraId="1A2BABE6" w14:textId="77777777"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eastAsia="Calibri" w:cstheme="minorHAnsi"/>
                <w:sz w:val="22"/>
                <w:szCs w:val="22"/>
                <w:lang w:val="nb-NO"/>
              </w:rPr>
              <w:t>Utvalgets flertall anbefaler at basistilskuddets andel av finansieringen økes til 50 prosent.</w:t>
            </w:r>
          </w:p>
        </w:tc>
      </w:tr>
      <w:tr w:rsidR="0050190B" w:rsidRPr="00AB26B0" w14:paraId="21C6B6E5"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6F45349" w14:textId="5523919B" w:rsidR="00807F39" w:rsidRPr="00D9107F" w:rsidRDefault="00807F39" w:rsidP="00D87CD3">
            <w:pPr>
              <w:pStyle w:val="TabellHode-rad"/>
              <w:rPr>
                <w:rStyle w:val="halvfet"/>
                <w:rFonts w:eastAsia="Calibri"/>
              </w:rPr>
            </w:pPr>
            <w:r w:rsidRPr="00D9107F">
              <w:rPr>
                <w:rStyle w:val="halvfet"/>
                <w:rFonts w:eastAsia="Calibri"/>
              </w:rPr>
              <w:t>1</w:t>
            </w:r>
            <w:r w:rsidR="00F73062" w:rsidRPr="00D9107F">
              <w:rPr>
                <w:rStyle w:val="halvfet"/>
                <w:rFonts w:eastAsia="Calibri"/>
              </w:rPr>
              <w:t>2</w:t>
            </w:r>
            <w:r w:rsidR="0016139C" w:rsidRPr="00D9107F">
              <w:rPr>
                <w:rStyle w:val="halvfet"/>
                <w:rFonts w:eastAsia="Calibri"/>
              </w:rPr>
              <w:t>.</w:t>
            </w:r>
          </w:p>
        </w:tc>
        <w:tc>
          <w:tcPr>
            <w:tcW w:w="4711" w:type="pct"/>
            <w:gridSpan w:val="2"/>
          </w:tcPr>
          <w:p w14:paraId="5A8B0188" w14:textId="1126F181"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eastAsia="Calibri" w:cstheme="minorHAnsi"/>
                <w:sz w:val="22"/>
                <w:szCs w:val="22"/>
                <w:lang w:val="nb-NO"/>
              </w:rPr>
              <w:t xml:space="preserve">Utvalgets flertall mener at </w:t>
            </w:r>
            <w:r w:rsidR="00300339" w:rsidRPr="00AB26B0">
              <w:rPr>
                <w:rFonts w:eastAsia="Calibri" w:cstheme="minorHAnsi"/>
                <w:sz w:val="22"/>
                <w:szCs w:val="22"/>
                <w:lang w:val="nb-NO"/>
              </w:rPr>
              <w:t xml:space="preserve">det </w:t>
            </w:r>
            <w:r w:rsidRPr="00AB26B0">
              <w:rPr>
                <w:rFonts w:eastAsia="Calibri" w:cstheme="minorHAnsi"/>
                <w:sz w:val="22"/>
                <w:szCs w:val="22"/>
                <w:lang w:val="nb-NO"/>
              </w:rPr>
              <w:t>bør innføres en kvalitetsjustering av basistilskuddet.</w:t>
            </w:r>
            <w:r w:rsidR="00456D19" w:rsidRPr="00AB26B0">
              <w:rPr>
                <w:rFonts w:eastAsia="Calibri" w:cstheme="minorHAnsi"/>
                <w:sz w:val="22"/>
                <w:szCs w:val="22"/>
                <w:lang w:val="nb-NO"/>
              </w:rPr>
              <w:t xml:space="preserve"> At fastlegen er spesialist i allmennmedisin, vil være et sentralt element i en kvalitetsjustering.</w:t>
            </w:r>
          </w:p>
        </w:tc>
      </w:tr>
      <w:tr w:rsidR="0050190B" w:rsidRPr="00AB26B0" w14:paraId="79A8C69E"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08D4C715" w14:textId="7C52E47F" w:rsidR="00807F39" w:rsidRPr="00D9107F" w:rsidRDefault="00807F39" w:rsidP="00D87CD3">
            <w:pPr>
              <w:pStyle w:val="TabellHode-rad"/>
              <w:rPr>
                <w:rStyle w:val="halvfet"/>
                <w:rFonts w:eastAsia="Calibri"/>
              </w:rPr>
            </w:pPr>
            <w:r w:rsidRPr="00D9107F">
              <w:rPr>
                <w:rStyle w:val="halvfet"/>
                <w:rFonts w:eastAsia="Calibri"/>
              </w:rPr>
              <w:lastRenderedPageBreak/>
              <w:t>1</w:t>
            </w:r>
            <w:r w:rsidR="00F73062" w:rsidRPr="00D9107F">
              <w:rPr>
                <w:rStyle w:val="halvfet"/>
                <w:rFonts w:eastAsia="Calibri"/>
              </w:rPr>
              <w:t>3</w:t>
            </w:r>
            <w:r w:rsidR="0016139C" w:rsidRPr="00D9107F">
              <w:rPr>
                <w:rStyle w:val="halvfet"/>
                <w:rFonts w:eastAsia="Calibri"/>
              </w:rPr>
              <w:t>.</w:t>
            </w:r>
          </w:p>
        </w:tc>
        <w:tc>
          <w:tcPr>
            <w:tcW w:w="4711" w:type="pct"/>
            <w:gridSpan w:val="2"/>
          </w:tcPr>
          <w:p w14:paraId="5F6325AA" w14:textId="2AF86C3E"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eastAsia="Calibri" w:cstheme="minorHAnsi"/>
                <w:sz w:val="22"/>
                <w:szCs w:val="22"/>
                <w:lang w:val="nb-NO"/>
              </w:rPr>
              <w:t>Det pasienttilpassede basistilskuddet som innføres 1. mai 2023, bør få virke i noen år før man vurderer å gjøre justeringer.</w:t>
            </w:r>
          </w:p>
        </w:tc>
      </w:tr>
      <w:tr w:rsidR="0050190B" w:rsidRPr="00AB26B0" w14:paraId="41100920"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6D45441B" w14:textId="2369BAF0" w:rsidR="00807F39" w:rsidRPr="00D9107F" w:rsidRDefault="00807F39" w:rsidP="00D87CD3">
            <w:pPr>
              <w:pStyle w:val="TabellHode-rad"/>
              <w:rPr>
                <w:rStyle w:val="halvfet"/>
                <w:rFonts w:eastAsia="Calibri"/>
              </w:rPr>
            </w:pPr>
            <w:r w:rsidRPr="00D9107F">
              <w:rPr>
                <w:rStyle w:val="halvfet"/>
                <w:rFonts w:eastAsia="Calibri"/>
              </w:rPr>
              <w:t>1</w:t>
            </w:r>
            <w:r w:rsidR="00F73062" w:rsidRPr="00D9107F">
              <w:rPr>
                <w:rStyle w:val="halvfet"/>
                <w:rFonts w:eastAsia="Calibri"/>
              </w:rPr>
              <w:t>4</w:t>
            </w:r>
            <w:r w:rsidR="0016139C" w:rsidRPr="00D9107F">
              <w:rPr>
                <w:rStyle w:val="halvfet"/>
                <w:rFonts w:eastAsia="Calibri"/>
              </w:rPr>
              <w:t>.</w:t>
            </w:r>
          </w:p>
        </w:tc>
        <w:tc>
          <w:tcPr>
            <w:tcW w:w="4711" w:type="pct"/>
            <w:gridSpan w:val="2"/>
          </w:tcPr>
          <w:p w14:paraId="5AD88FC3" w14:textId="0F3CBC0C" w:rsidR="0050190B" w:rsidRPr="00AB26B0" w:rsidRDefault="0050190B" w:rsidP="00D87CD3">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eastAsia="Calibri" w:cstheme="minorHAnsi"/>
                <w:sz w:val="22"/>
                <w:szCs w:val="22"/>
                <w:lang w:val="nb-NO"/>
              </w:rPr>
              <w:t xml:space="preserve">En videreutvikling av det </w:t>
            </w:r>
            <w:r w:rsidR="00807F39" w:rsidRPr="00AB26B0">
              <w:rPr>
                <w:rFonts w:eastAsia="Calibri" w:cstheme="minorHAnsi"/>
                <w:sz w:val="22"/>
                <w:szCs w:val="22"/>
                <w:lang w:val="nb-NO"/>
              </w:rPr>
              <w:t>pasient</w:t>
            </w:r>
            <w:r w:rsidR="00F70EBD" w:rsidRPr="00AB26B0">
              <w:rPr>
                <w:rFonts w:eastAsia="Calibri" w:cstheme="minorHAnsi"/>
                <w:sz w:val="22"/>
                <w:szCs w:val="22"/>
                <w:lang w:val="nb-NO"/>
              </w:rPr>
              <w:t>tilpassede</w:t>
            </w:r>
            <w:r w:rsidRPr="00AB26B0">
              <w:rPr>
                <w:rFonts w:eastAsia="Calibri" w:cstheme="minorHAnsi"/>
                <w:sz w:val="22"/>
                <w:szCs w:val="22"/>
                <w:lang w:val="nb-NO"/>
              </w:rPr>
              <w:t xml:space="preserve"> basistilskuddet bør rettes mot indikatorer for sykdom, helsetilstand og sosioøkonomisk status på individnivå.</w:t>
            </w:r>
          </w:p>
        </w:tc>
      </w:tr>
      <w:tr w:rsidR="0050190B" w:rsidRPr="00AB26B0" w14:paraId="33137F76"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002F19E7" w14:textId="5C52FEA7" w:rsidR="00807F39" w:rsidRPr="00D9107F" w:rsidRDefault="00807F39" w:rsidP="00D87CD3">
            <w:pPr>
              <w:pStyle w:val="TabellHode-rad"/>
              <w:rPr>
                <w:rStyle w:val="halvfet"/>
                <w:rFonts w:eastAsia="Calibri"/>
              </w:rPr>
            </w:pPr>
            <w:r w:rsidRPr="00D9107F">
              <w:rPr>
                <w:rStyle w:val="halvfet"/>
                <w:rFonts w:eastAsia="Calibri"/>
              </w:rPr>
              <w:t>1</w:t>
            </w:r>
            <w:r w:rsidR="00F73062" w:rsidRPr="00D9107F">
              <w:rPr>
                <w:rStyle w:val="halvfet"/>
                <w:rFonts w:eastAsia="Calibri"/>
              </w:rPr>
              <w:t>5</w:t>
            </w:r>
            <w:r w:rsidR="0016139C" w:rsidRPr="00D9107F">
              <w:rPr>
                <w:rStyle w:val="halvfet"/>
                <w:rFonts w:eastAsia="Calibri"/>
              </w:rPr>
              <w:t>.</w:t>
            </w:r>
          </w:p>
        </w:tc>
        <w:tc>
          <w:tcPr>
            <w:tcW w:w="4711" w:type="pct"/>
            <w:gridSpan w:val="2"/>
          </w:tcPr>
          <w:p w14:paraId="1F3AEFF0" w14:textId="25960ECC" w:rsidR="0050190B" w:rsidRPr="00AB26B0" w:rsidRDefault="009A4972" w:rsidP="00D87CD3">
            <w:pP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lang w:val="nb-NO"/>
              </w:rPr>
            </w:pPr>
            <w:r w:rsidRPr="00AB26B0">
              <w:rPr>
                <w:rFonts w:eastAsia="Calibri" w:cstheme="minorHAnsi"/>
                <w:sz w:val="22"/>
                <w:szCs w:val="22"/>
                <w:lang w:val="nb-NO"/>
              </w:rPr>
              <w:t xml:space="preserve">Takstsystemet bør gjennomgås, med henblikk på en forenkling og reduksjon av antall takster. Det </w:t>
            </w:r>
            <w:r w:rsidR="00683308" w:rsidRPr="00AB26B0">
              <w:rPr>
                <w:rFonts w:eastAsia="Calibri" w:cstheme="minorHAnsi"/>
                <w:sz w:val="22"/>
                <w:szCs w:val="22"/>
                <w:lang w:val="nb-NO"/>
              </w:rPr>
              <w:t>kan</w:t>
            </w:r>
            <w:r w:rsidRPr="00AB26B0">
              <w:rPr>
                <w:rFonts w:eastAsia="Calibri" w:cstheme="minorHAnsi"/>
                <w:sz w:val="22"/>
                <w:szCs w:val="22"/>
                <w:lang w:val="nb-NO"/>
              </w:rPr>
              <w:t xml:space="preserve"> også vurderes om takstene kan benyttes mer aktivt for å stimulere til ønsket aktivitet og prioritering i tjenestene.</w:t>
            </w:r>
          </w:p>
        </w:tc>
      </w:tr>
      <w:tr w:rsidR="0084406B" w:rsidRPr="00AB26B0" w14:paraId="25779688"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59D595C" w14:textId="6097C3EF" w:rsidR="0016139C" w:rsidRPr="00D9107F" w:rsidRDefault="0016139C" w:rsidP="00D87CD3">
            <w:pPr>
              <w:pStyle w:val="TabellHode-rad"/>
              <w:rPr>
                <w:rStyle w:val="halvfet"/>
                <w:rFonts w:eastAsia="Calibri"/>
              </w:rPr>
            </w:pPr>
            <w:r w:rsidRPr="00D9107F">
              <w:rPr>
                <w:rStyle w:val="halvfet"/>
                <w:rFonts w:eastAsia="Calibri"/>
              </w:rPr>
              <w:t>1</w:t>
            </w:r>
            <w:r w:rsidR="00F73062" w:rsidRPr="00D9107F">
              <w:rPr>
                <w:rStyle w:val="halvfet"/>
                <w:rFonts w:eastAsia="Calibri"/>
              </w:rPr>
              <w:t>6</w:t>
            </w:r>
            <w:r w:rsidRPr="00D9107F">
              <w:rPr>
                <w:rStyle w:val="halvfet"/>
                <w:rFonts w:eastAsia="Calibri"/>
              </w:rPr>
              <w:t>.</w:t>
            </w:r>
          </w:p>
        </w:tc>
        <w:tc>
          <w:tcPr>
            <w:tcW w:w="4711" w:type="pct"/>
            <w:gridSpan w:val="2"/>
          </w:tcPr>
          <w:p w14:paraId="4C66F952" w14:textId="1E5F040D" w:rsidR="0084406B" w:rsidRPr="00AB26B0" w:rsidRDefault="0084406B" w:rsidP="00D87CD3">
            <w:pP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lang w:val="nb-NO"/>
              </w:rPr>
            </w:pPr>
            <w:r w:rsidRPr="00AB26B0">
              <w:rPr>
                <w:rFonts w:eastAsia="Calibri" w:cstheme="minorHAnsi"/>
                <w:sz w:val="22"/>
                <w:szCs w:val="22"/>
                <w:lang w:val="nb-NO"/>
              </w:rPr>
              <w:t xml:space="preserve">Det bør innføres et midlertidig </w:t>
            </w:r>
            <w:r w:rsidR="00807F39" w:rsidRPr="00AB26B0">
              <w:rPr>
                <w:rFonts w:eastAsia="Calibri" w:cstheme="minorHAnsi"/>
                <w:sz w:val="22"/>
                <w:szCs w:val="22"/>
                <w:lang w:val="nb-NO"/>
              </w:rPr>
              <w:t>rekrutteringstilskudd</w:t>
            </w:r>
            <w:r w:rsidRPr="00AB26B0">
              <w:rPr>
                <w:rFonts w:eastAsia="Calibri" w:cstheme="minorHAnsi"/>
                <w:sz w:val="22"/>
                <w:szCs w:val="22"/>
                <w:lang w:val="nb-NO"/>
              </w:rPr>
              <w:t xml:space="preserve"> til fastleger i kommuner med </w:t>
            </w:r>
            <w:r w:rsidR="001F696B" w:rsidRPr="00AB26B0">
              <w:rPr>
                <w:rFonts w:eastAsia="Calibri" w:cstheme="minorHAnsi"/>
                <w:sz w:val="22"/>
                <w:szCs w:val="22"/>
                <w:lang w:val="nb-NO"/>
              </w:rPr>
              <w:t xml:space="preserve">særlige </w:t>
            </w:r>
            <w:r w:rsidRPr="00AB26B0">
              <w:rPr>
                <w:rFonts w:eastAsia="Calibri" w:cstheme="minorHAnsi"/>
                <w:sz w:val="22"/>
                <w:szCs w:val="22"/>
                <w:lang w:val="nb-NO"/>
              </w:rPr>
              <w:t>rekrutteringsvansker.</w:t>
            </w:r>
          </w:p>
        </w:tc>
      </w:tr>
      <w:tr w:rsidR="0050190B" w:rsidRPr="00AB26B0" w14:paraId="6A0104C9" w14:textId="77777777" w:rsidTr="005A4AD1">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6403D966" w14:textId="5EC0A463" w:rsidR="00807F39" w:rsidRPr="00A43B75" w:rsidRDefault="001759E6" w:rsidP="00B340D5">
            <w:pPr>
              <w:pStyle w:val="TabellHode-kolonne"/>
              <w:rPr>
                <w:rStyle w:val="halvfet"/>
              </w:rPr>
            </w:pPr>
            <w:bookmarkStart w:id="6057" w:name="OLE_LINK4"/>
            <w:bookmarkEnd w:id="6056"/>
            <w:r w:rsidRPr="00A43B75">
              <w:rPr>
                <w:rStyle w:val="halvfet"/>
              </w:rPr>
              <w:t>#</w:t>
            </w:r>
          </w:p>
        </w:tc>
        <w:tc>
          <w:tcPr>
            <w:tcW w:w="4711" w:type="pct"/>
            <w:gridSpan w:val="2"/>
            <w:shd w:val="clear" w:color="auto" w:fill="A9D6B9"/>
          </w:tcPr>
          <w:p w14:paraId="3E58A6BA" w14:textId="77777777" w:rsidR="0050190B" w:rsidRPr="00A43B75" w:rsidRDefault="0050190B" w:rsidP="00B340D5">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A43B75">
              <w:rPr>
                <w:rStyle w:val="halvfet"/>
              </w:rPr>
              <w:t xml:space="preserve">Tverrfaglighet </w:t>
            </w:r>
          </w:p>
        </w:tc>
      </w:tr>
      <w:tr w:rsidR="0050190B" w:rsidRPr="00AB26B0" w14:paraId="53D26924"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EF06186" w14:textId="161D9230" w:rsidR="0016139C" w:rsidRPr="00D9107F" w:rsidRDefault="0016139C" w:rsidP="00D87CD3">
            <w:pPr>
              <w:pStyle w:val="TabellHode-rad"/>
              <w:rPr>
                <w:rStyle w:val="halvfet"/>
              </w:rPr>
            </w:pPr>
            <w:r w:rsidRPr="00D9107F">
              <w:rPr>
                <w:rStyle w:val="halvfet"/>
              </w:rPr>
              <w:t>1</w:t>
            </w:r>
            <w:r w:rsidR="00F73062" w:rsidRPr="00D9107F">
              <w:rPr>
                <w:rStyle w:val="halvfet"/>
              </w:rPr>
              <w:t>7</w:t>
            </w:r>
            <w:r w:rsidR="00825BD3" w:rsidRPr="00D9107F">
              <w:rPr>
                <w:rStyle w:val="halvfet"/>
              </w:rPr>
              <w:t>.</w:t>
            </w:r>
          </w:p>
        </w:tc>
        <w:tc>
          <w:tcPr>
            <w:tcW w:w="4711" w:type="pct"/>
            <w:gridSpan w:val="2"/>
          </w:tcPr>
          <w:p w14:paraId="44217D58" w14:textId="7C988774" w:rsidR="0050190B" w:rsidRPr="00AB26B0"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Det bør legges til rette for at flere helsepersonellgrupper kan jobbe på fastlegekontoret, og at fastlegetjenesten i større grad deler oppgavene med annet helsepersonell i øvrig kommunal helse- og omsorgstjeneste.</w:t>
            </w:r>
          </w:p>
        </w:tc>
      </w:tr>
      <w:tr w:rsidR="0050190B" w:rsidRPr="00AB26B0" w14:paraId="26C92882"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073D847C" w14:textId="083476CD" w:rsidR="0016139C" w:rsidRPr="00D9107F" w:rsidRDefault="0016139C" w:rsidP="00D87CD3">
            <w:pPr>
              <w:pStyle w:val="TabellHode-rad"/>
              <w:rPr>
                <w:rStyle w:val="halvfet"/>
              </w:rPr>
            </w:pPr>
            <w:r w:rsidRPr="00D9107F">
              <w:rPr>
                <w:rStyle w:val="halvfet"/>
              </w:rPr>
              <w:t>1</w:t>
            </w:r>
            <w:r w:rsidR="00F73062" w:rsidRPr="00D9107F">
              <w:rPr>
                <w:rStyle w:val="halvfet"/>
              </w:rPr>
              <w:t>8</w:t>
            </w:r>
            <w:r w:rsidR="00825BD3" w:rsidRPr="00D9107F">
              <w:rPr>
                <w:rStyle w:val="halvfet"/>
              </w:rPr>
              <w:t>.</w:t>
            </w:r>
          </w:p>
        </w:tc>
        <w:tc>
          <w:tcPr>
            <w:tcW w:w="4711" w:type="pct"/>
            <w:gridSpan w:val="2"/>
          </w:tcPr>
          <w:p w14:paraId="4A18718E" w14:textId="55074E5F" w:rsidR="0050190B" w:rsidRPr="00AB26B0" w:rsidRDefault="00103B65">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Takstsystemet</w:t>
            </w:r>
            <w:r w:rsidR="0050190B" w:rsidRPr="00AB26B0">
              <w:rPr>
                <w:rFonts w:cstheme="minorHAnsi"/>
                <w:sz w:val="22"/>
                <w:szCs w:val="22"/>
                <w:lang w:val="nb-NO"/>
              </w:rPr>
              <w:t xml:space="preserve"> bør legge til rette for økt grad av delegering innenfor fastlegekontor</w:t>
            </w:r>
            <w:r w:rsidR="0050190B" w:rsidRPr="00D9107F">
              <w:rPr>
                <w:rStyle w:val="kursiv"/>
              </w:rPr>
              <w:t xml:space="preserve">. </w:t>
            </w:r>
          </w:p>
        </w:tc>
      </w:tr>
      <w:tr w:rsidR="0050190B" w:rsidRPr="00AB26B0" w14:paraId="0DA8CC19"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121BE9F" w14:textId="2141CB4C" w:rsidR="0016139C" w:rsidRPr="00D9107F" w:rsidRDefault="0016139C" w:rsidP="00D87CD3">
            <w:pPr>
              <w:pStyle w:val="TabellHode-rad"/>
              <w:rPr>
                <w:rStyle w:val="halvfet"/>
              </w:rPr>
            </w:pPr>
            <w:r w:rsidRPr="00D9107F">
              <w:rPr>
                <w:rStyle w:val="halvfet"/>
              </w:rPr>
              <w:t>1</w:t>
            </w:r>
            <w:r w:rsidR="00F73062" w:rsidRPr="00D9107F">
              <w:rPr>
                <w:rStyle w:val="halvfet"/>
              </w:rPr>
              <w:t>9</w:t>
            </w:r>
            <w:r w:rsidR="00825BD3" w:rsidRPr="00D9107F">
              <w:rPr>
                <w:rStyle w:val="halvfet"/>
              </w:rPr>
              <w:t>.</w:t>
            </w:r>
          </w:p>
        </w:tc>
        <w:tc>
          <w:tcPr>
            <w:tcW w:w="4711" w:type="pct"/>
            <w:gridSpan w:val="2"/>
          </w:tcPr>
          <w:p w14:paraId="0E23C77D" w14:textId="7F2F9F9F" w:rsidR="0050190B" w:rsidRPr="00AB26B0"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 xml:space="preserve">Profesjonsnøytrale takster bør </w:t>
            </w:r>
            <w:r w:rsidR="0001524F" w:rsidRPr="00AB26B0">
              <w:rPr>
                <w:rFonts w:cstheme="minorHAnsi"/>
                <w:sz w:val="22"/>
                <w:szCs w:val="22"/>
                <w:lang w:val="nb-NO"/>
              </w:rPr>
              <w:t xml:space="preserve">innføres og </w:t>
            </w:r>
            <w:r w:rsidRPr="00AB26B0">
              <w:rPr>
                <w:rFonts w:cstheme="minorHAnsi"/>
                <w:sz w:val="22"/>
                <w:szCs w:val="22"/>
                <w:lang w:val="nb-NO"/>
              </w:rPr>
              <w:t xml:space="preserve">forbeholdes fastlegeselskap </w:t>
            </w:r>
            <w:r w:rsidR="00717734" w:rsidRPr="00AB26B0">
              <w:rPr>
                <w:rFonts w:cstheme="minorHAnsi"/>
                <w:sz w:val="22"/>
                <w:szCs w:val="22"/>
                <w:lang w:val="nb-NO"/>
              </w:rPr>
              <w:t xml:space="preserve">og kommunale fastlegekontor </w:t>
            </w:r>
            <w:r w:rsidRPr="00AB26B0">
              <w:rPr>
                <w:rFonts w:cstheme="minorHAnsi"/>
                <w:sz w:val="22"/>
                <w:szCs w:val="22"/>
                <w:lang w:val="nb-NO"/>
              </w:rPr>
              <w:t xml:space="preserve">med en </w:t>
            </w:r>
            <w:r w:rsidR="000E7CAF" w:rsidRPr="00AB26B0">
              <w:rPr>
                <w:rFonts w:cstheme="minorHAnsi"/>
                <w:sz w:val="22"/>
                <w:szCs w:val="22"/>
                <w:lang w:val="nb-NO"/>
              </w:rPr>
              <w:t>definert</w:t>
            </w:r>
            <w:r w:rsidRPr="00AB26B0">
              <w:rPr>
                <w:rFonts w:cstheme="minorHAnsi"/>
                <w:sz w:val="22"/>
                <w:szCs w:val="22"/>
                <w:lang w:val="nb-NO"/>
              </w:rPr>
              <w:t xml:space="preserve"> ledelse.</w:t>
            </w:r>
          </w:p>
        </w:tc>
      </w:tr>
      <w:tr w:rsidR="0050190B" w:rsidRPr="00AB26B0" w14:paraId="6CBE9A88"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2C843EE" w14:textId="1509F675" w:rsidR="00F73062" w:rsidRPr="00D9107F" w:rsidRDefault="00F73062" w:rsidP="00D87CD3">
            <w:pPr>
              <w:pStyle w:val="TabellHode-rad"/>
              <w:rPr>
                <w:rStyle w:val="halvfet"/>
              </w:rPr>
            </w:pPr>
            <w:r w:rsidRPr="00D9107F">
              <w:rPr>
                <w:rStyle w:val="halvfet"/>
              </w:rPr>
              <w:t>20</w:t>
            </w:r>
            <w:r w:rsidR="00825BD3" w:rsidRPr="00D9107F">
              <w:rPr>
                <w:rStyle w:val="halvfet"/>
              </w:rPr>
              <w:t>.</w:t>
            </w:r>
          </w:p>
        </w:tc>
        <w:tc>
          <w:tcPr>
            <w:tcW w:w="4711" w:type="pct"/>
            <w:gridSpan w:val="2"/>
          </w:tcPr>
          <w:p w14:paraId="1FAA8BB6" w14:textId="3782537C" w:rsidR="0050190B" w:rsidRPr="00AB26B0"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 xml:space="preserve">Det bør utarbeides en nasjonal veileder for oppgavedeling innenfor fastlegetjenesten. </w:t>
            </w:r>
          </w:p>
        </w:tc>
      </w:tr>
      <w:tr w:rsidR="0050190B" w:rsidRPr="00AB26B0" w14:paraId="523D6ED6"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3A019A8" w14:textId="5CF8317D" w:rsidR="0016139C" w:rsidRPr="00D9107F" w:rsidRDefault="0016139C" w:rsidP="00D87CD3">
            <w:pPr>
              <w:pStyle w:val="TabellHode-rad"/>
              <w:rPr>
                <w:rStyle w:val="halvfet"/>
              </w:rPr>
            </w:pPr>
            <w:r w:rsidRPr="00D9107F">
              <w:rPr>
                <w:rStyle w:val="halvfet"/>
              </w:rPr>
              <w:t>2</w:t>
            </w:r>
            <w:r w:rsidR="00F73062" w:rsidRPr="00D9107F">
              <w:rPr>
                <w:rStyle w:val="halvfet"/>
              </w:rPr>
              <w:t>1</w:t>
            </w:r>
            <w:r w:rsidR="00825BD3" w:rsidRPr="00D9107F">
              <w:rPr>
                <w:rStyle w:val="halvfet"/>
              </w:rPr>
              <w:t>.</w:t>
            </w:r>
          </w:p>
        </w:tc>
        <w:tc>
          <w:tcPr>
            <w:tcW w:w="4711" w:type="pct"/>
            <w:gridSpan w:val="2"/>
          </w:tcPr>
          <w:p w14:paraId="1F71224C" w14:textId="77777777" w:rsidR="0050190B" w:rsidRPr="00AB26B0"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Med utvidet mulighet for delegering på fastlegekontoret og innføring av profesjonsnøytrale takster, vil det være nødvendig at det samtidig innføres tiltak for kostnadskontroll.</w:t>
            </w:r>
          </w:p>
        </w:tc>
      </w:tr>
      <w:tr w:rsidR="0050190B" w:rsidRPr="00AB26B0" w14:paraId="25B92C6E"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DDE6E2E" w14:textId="73F1D24B" w:rsidR="0016139C" w:rsidRPr="00D9107F" w:rsidRDefault="0016139C" w:rsidP="00D87CD3">
            <w:pPr>
              <w:pStyle w:val="TabellHode-rad"/>
              <w:rPr>
                <w:rStyle w:val="halvfet"/>
              </w:rPr>
            </w:pPr>
            <w:r w:rsidRPr="00D9107F">
              <w:rPr>
                <w:rStyle w:val="halvfet"/>
              </w:rPr>
              <w:t>2</w:t>
            </w:r>
            <w:r w:rsidR="00F73062" w:rsidRPr="00D9107F">
              <w:rPr>
                <w:rStyle w:val="halvfet"/>
              </w:rPr>
              <w:t>2</w:t>
            </w:r>
            <w:r w:rsidR="00825BD3" w:rsidRPr="00D9107F">
              <w:rPr>
                <w:rStyle w:val="halvfet"/>
              </w:rPr>
              <w:t>.</w:t>
            </w:r>
          </w:p>
        </w:tc>
        <w:tc>
          <w:tcPr>
            <w:tcW w:w="4711" w:type="pct"/>
            <w:gridSpan w:val="2"/>
          </w:tcPr>
          <w:p w14:paraId="19D1EE8C" w14:textId="77777777" w:rsidR="0050190B" w:rsidRPr="00AB26B0"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AB26B0">
              <w:rPr>
                <w:rFonts w:cstheme="minorHAnsi"/>
                <w:sz w:val="22"/>
                <w:szCs w:val="22"/>
                <w:lang w:val="nb-NO"/>
              </w:rPr>
              <w:t>Det bør følges med på utviklingen for å kartlegge tilsiktede og utilsiktede virkninger av økt delegering og profesjonsnøytrale takster, for å kunne vurdere justeringer i innretningen på finansieringsordningen.</w:t>
            </w:r>
          </w:p>
        </w:tc>
      </w:tr>
      <w:bookmarkEnd w:id="6057"/>
      <w:tr w:rsidR="0050190B" w:rsidRPr="002411B9" w14:paraId="1641F72E" w14:textId="77777777" w:rsidTr="005A4AD1">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4989A71C" w14:textId="33F9A7C8" w:rsidR="00807F39" w:rsidRPr="00A43B75" w:rsidRDefault="0050190B" w:rsidP="00B340D5">
            <w:pPr>
              <w:pStyle w:val="TabellHode-kolonne"/>
              <w:rPr>
                <w:rStyle w:val="halvfet"/>
              </w:rPr>
            </w:pPr>
            <w:r w:rsidRPr="00A43B75">
              <w:rPr>
                <w:rStyle w:val="halvfet"/>
              </w:rPr>
              <w:t xml:space="preserve"> </w:t>
            </w:r>
            <w:bookmarkStart w:id="6058" w:name="OLE_LINK5"/>
            <w:r w:rsidR="001759E6" w:rsidRPr="00A43B75">
              <w:rPr>
                <w:rStyle w:val="halvfet"/>
              </w:rPr>
              <w:t>#</w:t>
            </w:r>
          </w:p>
        </w:tc>
        <w:tc>
          <w:tcPr>
            <w:tcW w:w="4711" w:type="pct"/>
            <w:gridSpan w:val="2"/>
            <w:shd w:val="clear" w:color="auto" w:fill="A9D6B9"/>
          </w:tcPr>
          <w:p w14:paraId="73E43E96" w14:textId="77777777" w:rsidR="0050190B" w:rsidRPr="00A43B75" w:rsidRDefault="0050190B" w:rsidP="00B340D5">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A43B75">
              <w:rPr>
                <w:rStyle w:val="halvfet"/>
              </w:rPr>
              <w:t>Fastlegers arbeid med attester</w:t>
            </w:r>
          </w:p>
        </w:tc>
      </w:tr>
      <w:tr w:rsidR="0050190B" w:rsidRPr="002411B9" w14:paraId="5409FA84"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ACA6122" w14:textId="0DDCFE81" w:rsidR="00F73062" w:rsidRPr="00D9107F" w:rsidRDefault="00F73062" w:rsidP="00D87CD3">
            <w:pPr>
              <w:pStyle w:val="TabellHode-rad"/>
              <w:rPr>
                <w:rStyle w:val="halvfet"/>
              </w:rPr>
            </w:pPr>
            <w:r w:rsidRPr="00D9107F">
              <w:rPr>
                <w:rStyle w:val="halvfet"/>
              </w:rPr>
              <w:t>23.</w:t>
            </w:r>
          </w:p>
        </w:tc>
        <w:tc>
          <w:tcPr>
            <w:tcW w:w="4711" w:type="pct"/>
            <w:gridSpan w:val="2"/>
          </w:tcPr>
          <w:p w14:paraId="7BB46EC2" w14:textId="5559DF0B" w:rsidR="0050190B" w:rsidRPr="002411B9" w:rsidRDefault="00683308">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1B9">
              <w:rPr>
                <w:rFonts w:cstheme="minorHAnsi"/>
                <w:sz w:val="22"/>
                <w:szCs w:val="22"/>
              </w:rPr>
              <w:t xml:space="preserve">Det bør </w:t>
            </w:r>
            <w:r w:rsidR="00205317" w:rsidRPr="002411B9">
              <w:rPr>
                <w:rFonts w:cstheme="minorHAnsi"/>
                <w:sz w:val="22"/>
                <w:szCs w:val="22"/>
              </w:rPr>
              <w:t>lov</w:t>
            </w:r>
            <w:r w:rsidR="00807F39" w:rsidRPr="002411B9">
              <w:rPr>
                <w:rFonts w:cstheme="minorHAnsi"/>
                <w:sz w:val="22"/>
                <w:szCs w:val="22"/>
              </w:rPr>
              <w:t>festes</w:t>
            </w:r>
            <w:r w:rsidRPr="002411B9">
              <w:rPr>
                <w:rFonts w:cstheme="minorHAnsi"/>
                <w:sz w:val="22"/>
                <w:szCs w:val="22"/>
              </w:rPr>
              <w:t xml:space="preserve"> at e</w:t>
            </w:r>
            <w:r w:rsidR="0050190B" w:rsidRPr="002411B9">
              <w:rPr>
                <w:rFonts w:cstheme="minorHAnsi"/>
                <w:sz w:val="22"/>
                <w:szCs w:val="22"/>
              </w:rPr>
              <w:t xml:space="preserve">genmelding </w:t>
            </w:r>
            <w:r w:rsidR="00F73062" w:rsidRPr="002411B9">
              <w:rPr>
                <w:rFonts w:cstheme="minorHAnsi"/>
                <w:sz w:val="22"/>
                <w:szCs w:val="22"/>
              </w:rPr>
              <w:t>skal</w:t>
            </w:r>
            <w:r w:rsidRPr="002411B9">
              <w:rPr>
                <w:rFonts w:cstheme="minorHAnsi"/>
                <w:sz w:val="22"/>
                <w:szCs w:val="22"/>
              </w:rPr>
              <w:t xml:space="preserve"> </w:t>
            </w:r>
            <w:r w:rsidR="0050190B" w:rsidRPr="002411B9">
              <w:rPr>
                <w:rFonts w:cstheme="minorHAnsi"/>
                <w:sz w:val="22"/>
                <w:szCs w:val="22"/>
              </w:rPr>
              <w:t>benyttes før sykmelding</w:t>
            </w:r>
            <w:r w:rsidRPr="002411B9">
              <w:rPr>
                <w:rFonts w:cstheme="minorHAnsi"/>
                <w:sz w:val="22"/>
                <w:szCs w:val="22"/>
              </w:rPr>
              <w:t>.</w:t>
            </w:r>
          </w:p>
        </w:tc>
      </w:tr>
      <w:tr w:rsidR="0050190B" w:rsidRPr="002411B9" w14:paraId="2FF965E6"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D488A60" w14:textId="446620B9" w:rsidR="00F73062" w:rsidRPr="00D9107F" w:rsidRDefault="00F73062" w:rsidP="00D87CD3">
            <w:pPr>
              <w:pStyle w:val="TabellHode-rad"/>
              <w:rPr>
                <w:rStyle w:val="halvfet"/>
              </w:rPr>
            </w:pPr>
            <w:r w:rsidRPr="00D9107F">
              <w:rPr>
                <w:rStyle w:val="halvfet"/>
              </w:rPr>
              <w:t>24.</w:t>
            </w:r>
          </w:p>
        </w:tc>
        <w:tc>
          <w:tcPr>
            <w:tcW w:w="4711" w:type="pct"/>
            <w:gridSpan w:val="2"/>
          </w:tcPr>
          <w:p w14:paraId="1DDC857A" w14:textId="7EC9BE8D"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1B9">
              <w:rPr>
                <w:rFonts w:cstheme="minorHAnsi"/>
                <w:sz w:val="22"/>
                <w:szCs w:val="22"/>
                <w:lang w:val="nb-NO"/>
              </w:rPr>
              <w:t xml:space="preserve">Antall sammenhengende egenmeldingsdager for arbeidstakere </w:t>
            </w:r>
            <w:r w:rsidR="00E24E51" w:rsidRPr="002411B9">
              <w:rPr>
                <w:rFonts w:cstheme="minorHAnsi"/>
                <w:sz w:val="22"/>
                <w:szCs w:val="22"/>
                <w:lang w:val="nb-NO"/>
              </w:rPr>
              <w:t xml:space="preserve">bør </w:t>
            </w:r>
            <w:r w:rsidRPr="002411B9">
              <w:rPr>
                <w:rFonts w:cstheme="minorHAnsi"/>
                <w:sz w:val="22"/>
                <w:szCs w:val="22"/>
                <w:lang w:val="nb-NO"/>
              </w:rPr>
              <w:t xml:space="preserve">økes, slik at de tilsvarer arbeidsgiverperioden. </w:t>
            </w:r>
            <w:r w:rsidR="00F57298" w:rsidRPr="002411B9">
              <w:rPr>
                <w:rFonts w:cstheme="minorHAnsi"/>
                <w:sz w:val="22"/>
                <w:szCs w:val="22"/>
                <w:lang w:val="nb-NO"/>
              </w:rPr>
              <w:t>Kun a</w:t>
            </w:r>
            <w:r w:rsidRPr="002411B9">
              <w:rPr>
                <w:rFonts w:cstheme="minorHAnsi"/>
                <w:sz w:val="22"/>
                <w:szCs w:val="22"/>
              </w:rPr>
              <w:t xml:space="preserve">rbeidsgiver bør kunne kreve legeattest i denne perioden, </w:t>
            </w:r>
            <w:r w:rsidR="008618C5" w:rsidRPr="002411B9">
              <w:rPr>
                <w:rFonts w:cstheme="minorHAnsi"/>
                <w:sz w:val="22"/>
                <w:szCs w:val="22"/>
              </w:rPr>
              <w:t xml:space="preserve">og </w:t>
            </w:r>
            <w:r w:rsidRPr="002411B9">
              <w:rPr>
                <w:rFonts w:cstheme="minorHAnsi"/>
                <w:sz w:val="22"/>
                <w:szCs w:val="22"/>
              </w:rPr>
              <w:t>skal da også finansiere denne.</w:t>
            </w:r>
            <w:r w:rsidR="00D9107F">
              <w:rPr>
                <w:rFonts w:cstheme="minorHAnsi"/>
                <w:sz w:val="22"/>
                <w:szCs w:val="22"/>
              </w:rPr>
              <w:t xml:space="preserve"> </w:t>
            </w:r>
          </w:p>
        </w:tc>
      </w:tr>
      <w:tr w:rsidR="0050190B" w:rsidRPr="002411B9" w14:paraId="249D066B"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453FC33" w14:textId="79D194FE" w:rsidR="00F73062" w:rsidRPr="00D9107F" w:rsidRDefault="00F73062" w:rsidP="00D87CD3">
            <w:pPr>
              <w:pStyle w:val="TabellHode-rad"/>
              <w:rPr>
                <w:rStyle w:val="halvfet"/>
              </w:rPr>
            </w:pPr>
            <w:r w:rsidRPr="00D9107F">
              <w:rPr>
                <w:rStyle w:val="halvfet"/>
              </w:rPr>
              <w:t>25.</w:t>
            </w:r>
          </w:p>
        </w:tc>
        <w:tc>
          <w:tcPr>
            <w:tcW w:w="4711" w:type="pct"/>
            <w:gridSpan w:val="2"/>
          </w:tcPr>
          <w:p w14:paraId="0DC6F476" w14:textId="47770DF2"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Det </w:t>
            </w:r>
            <w:r w:rsidR="00D56F83" w:rsidRPr="002411B9">
              <w:rPr>
                <w:rFonts w:cstheme="minorHAnsi"/>
                <w:sz w:val="22"/>
                <w:szCs w:val="22"/>
                <w:lang w:val="nb-NO"/>
              </w:rPr>
              <w:t>bør</w:t>
            </w:r>
            <w:r w:rsidRPr="002411B9">
              <w:rPr>
                <w:rFonts w:cstheme="minorHAnsi"/>
                <w:sz w:val="22"/>
                <w:szCs w:val="22"/>
                <w:lang w:val="nb-NO"/>
              </w:rPr>
              <w:t xml:space="preserve"> forskriftsfestes hvilke attester fastlegene plikter å skrive. Attester som ikke er forskriftsfestet, skal ikke fastlegene bruke tid på.</w:t>
            </w:r>
            <w:r w:rsidR="00D9107F">
              <w:rPr>
                <w:rFonts w:cstheme="minorHAnsi"/>
                <w:sz w:val="22"/>
                <w:szCs w:val="22"/>
                <w:lang w:val="nb-NO"/>
              </w:rPr>
              <w:t xml:space="preserve"> </w:t>
            </w:r>
          </w:p>
        </w:tc>
      </w:tr>
      <w:tr w:rsidR="0050190B" w:rsidRPr="002411B9" w14:paraId="64BBE9DB"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AD5C4A7" w14:textId="5AF4740D" w:rsidR="00F73062" w:rsidRPr="00D9107F" w:rsidRDefault="00F73062" w:rsidP="00D87CD3">
            <w:pPr>
              <w:pStyle w:val="TabellHode-rad"/>
              <w:rPr>
                <w:rStyle w:val="halvfet"/>
                <w:rFonts w:eastAsia="Calibri"/>
              </w:rPr>
            </w:pPr>
            <w:r w:rsidRPr="00D9107F">
              <w:rPr>
                <w:rStyle w:val="halvfet"/>
                <w:rFonts w:eastAsia="Calibri"/>
              </w:rPr>
              <w:t>26.</w:t>
            </w:r>
          </w:p>
        </w:tc>
        <w:tc>
          <w:tcPr>
            <w:tcW w:w="4711" w:type="pct"/>
            <w:gridSpan w:val="2"/>
          </w:tcPr>
          <w:p w14:paraId="370C0F83" w14:textId="77777777"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Det må være forsikringsbransjens ansvar å sørge for nødvendige undersøkelser og dokumentasjon for tegning av privat helseforsikring.</w:t>
            </w:r>
          </w:p>
        </w:tc>
      </w:tr>
      <w:tr w:rsidR="00B95494" w:rsidRPr="008A0FDA" w14:paraId="37D0F616"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6238258" w14:textId="13DBB947" w:rsidR="00F73062" w:rsidRPr="00D9107F" w:rsidRDefault="00F73062" w:rsidP="00D87CD3">
            <w:pPr>
              <w:pStyle w:val="TabellHode-rad"/>
              <w:rPr>
                <w:rStyle w:val="halvfet"/>
              </w:rPr>
            </w:pPr>
            <w:r w:rsidRPr="00D9107F">
              <w:rPr>
                <w:rStyle w:val="halvfet"/>
              </w:rPr>
              <w:lastRenderedPageBreak/>
              <w:t>27.</w:t>
            </w:r>
          </w:p>
        </w:tc>
        <w:tc>
          <w:tcPr>
            <w:tcW w:w="4711" w:type="pct"/>
            <w:gridSpan w:val="2"/>
          </w:tcPr>
          <w:p w14:paraId="442AC4E9" w14:textId="7FB12B1E" w:rsidR="00B95494" w:rsidRPr="002411B9" w:rsidRDefault="00B95494">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1B9">
              <w:rPr>
                <w:rFonts w:eastAsia="Calibri" w:cstheme="minorHAnsi"/>
                <w:sz w:val="22"/>
                <w:szCs w:val="22"/>
              </w:rPr>
              <w:t xml:space="preserve">Henvisninger for privat helseforsikring bør ikke finansieres, verken direkte eller indirekte, med offentlige midler. Fastlegene bør ikke </w:t>
            </w:r>
            <w:r w:rsidR="008124E4" w:rsidRPr="002411B9">
              <w:rPr>
                <w:rFonts w:eastAsia="Calibri" w:cstheme="minorHAnsi"/>
                <w:sz w:val="22"/>
                <w:szCs w:val="22"/>
              </w:rPr>
              <w:t xml:space="preserve">henvise til undersøkelser betalt av privat helseforsikring. </w:t>
            </w:r>
          </w:p>
        </w:tc>
      </w:tr>
      <w:tr w:rsidR="0050190B" w:rsidRPr="002411B9" w14:paraId="3B1CE712"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433A725" w14:textId="4BB2852D" w:rsidR="0016139C" w:rsidRPr="00D9107F" w:rsidRDefault="0016139C" w:rsidP="00D87CD3">
            <w:pPr>
              <w:pStyle w:val="TabellHode-rad"/>
              <w:rPr>
                <w:rStyle w:val="halvfet"/>
              </w:rPr>
            </w:pPr>
            <w:r w:rsidRPr="00D9107F">
              <w:rPr>
                <w:rStyle w:val="halvfet"/>
              </w:rPr>
              <w:t>2</w:t>
            </w:r>
            <w:r w:rsidR="00F73062" w:rsidRPr="00D9107F">
              <w:rPr>
                <w:rStyle w:val="halvfet"/>
              </w:rPr>
              <w:t>8</w:t>
            </w:r>
            <w:r w:rsidR="00825BD3" w:rsidRPr="00D9107F">
              <w:rPr>
                <w:rStyle w:val="halvfet"/>
              </w:rPr>
              <w:t>.</w:t>
            </w:r>
          </w:p>
        </w:tc>
        <w:tc>
          <w:tcPr>
            <w:tcW w:w="4711" w:type="pct"/>
            <w:gridSpan w:val="2"/>
          </w:tcPr>
          <w:p w14:paraId="0399B762" w14:textId="03AF72CF"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Fraværsattester for grunnskolen, videregående opplæring, universiteter og </w:t>
            </w:r>
            <w:r w:rsidR="00807F39" w:rsidRPr="002411B9">
              <w:rPr>
                <w:rFonts w:cstheme="minorHAnsi"/>
                <w:sz w:val="22"/>
                <w:szCs w:val="22"/>
                <w:lang w:val="nb-NO"/>
              </w:rPr>
              <w:t>høgskole</w:t>
            </w:r>
            <w:r w:rsidR="008618C5" w:rsidRPr="002411B9">
              <w:rPr>
                <w:rFonts w:cstheme="minorHAnsi"/>
                <w:sz w:val="22"/>
                <w:szCs w:val="22"/>
                <w:lang w:val="nb-NO"/>
              </w:rPr>
              <w:t>r</w:t>
            </w:r>
            <w:r w:rsidRPr="002411B9">
              <w:rPr>
                <w:rFonts w:cstheme="minorHAnsi"/>
                <w:sz w:val="22"/>
                <w:szCs w:val="22"/>
                <w:lang w:val="nb-NO"/>
              </w:rPr>
              <w:t xml:space="preserve"> skal ikke utstedes av fastlege. </w:t>
            </w:r>
          </w:p>
        </w:tc>
      </w:tr>
      <w:tr w:rsidR="0050190B" w:rsidRPr="002411B9" w14:paraId="7B44A951" w14:textId="77777777" w:rsidTr="005A4AD1">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68A9872F" w14:textId="0D3528BB" w:rsidR="00807F39" w:rsidRPr="00A43B75" w:rsidRDefault="001759E6" w:rsidP="00B340D5">
            <w:pPr>
              <w:pStyle w:val="TabellHode-kolonne"/>
              <w:rPr>
                <w:rStyle w:val="halvfet"/>
              </w:rPr>
            </w:pPr>
            <w:bookmarkStart w:id="6059" w:name="OLE_LINK7"/>
            <w:bookmarkEnd w:id="6058"/>
            <w:r w:rsidRPr="00A43B75">
              <w:rPr>
                <w:rStyle w:val="halvfet"/>
              </w:rPr>
              <w:t>#</w:t>
            </w:r>
          </w:p>
        </w:tc>
        <w:tc>
          <w:tcPr>
            <w:tcW w:w="4711" w:type="pct"/>
            <w:gridSpan w:val="2"/>
            <w:shd w:val="clear" w:color="auto" w:fill="A9D6B9"/>
          </w:tcPr>
          <w:p w14:paraId="3EFFED70" w14:textId="03278563" w:rsidR="0050190B" w:rsidRPr="00A43B75" w:rsidRDefault="0050190B" w:rsidP="00B340D5">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A43B75">
              <w:rPr>
                <w:rStyle w:val="halvfet"/>
              </w:rPr>
              <w:t xml:space="preserve">Legevakt </w:t>
            </w:r>
          </w:p>
        </w:tc>
      </w:tr>
      <w:tr w:rsidR="0050190B" w:rsidRPr="002411B9" w14:paraId="3D20F184"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70E146D" w14:textId="55F76921" w:rsidR="00F73062" w:rsidRPr="00D9107F" w:rsidRDefault="00F73062" w:rsidP="00D87CD3">
            <w:pPr>
              <w:pStyle w:val="TabellHode-rad"/>
              <w:rPr>
                <w:rStyle w:val="halvfet"/>
              </w:rPr>
            </w:pPr>
            <w:r w:rsidRPr="00D9107F">
              <w:rPr>
                <w:rStyle w:val="halvfet"/>
              </w:rPr>
              <w:t>29.</w:t>
            </w:r>
          </w:p>
        </w:tc>
        <w:tc>
          <w:tcPr>
            <w:tcW w:w="4711" w:type="pct"/>
            <w:gridSpan w:val="2"/>
          </w:tcPr>
          <w:p w14:paraId="14207B25" w14:textId="77777777"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Det bør etableres rammer for hvor mye legevaktarbeid fastleger kan pålegges.</w:t>
            </w:r>
          </w:p>
        </w:tc>
      </w:tr>
      <w:tr w:rsidR="0050190B" w:rsidRPr="002411B9" w14:paraId="6ADEB423"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26A1654A" w14:textId="17011EDC" w:rsidR="00F73062" w:rsidRPr="00D9107F" w:rsidRDefault="00F73062" w:rsidP="00D87CD3">
            <w:pPr>
              <w:pStyle w:val="TabellHode-rad"/>
              <w:rPr>
                <w:rStyle w:val="halvfet"/>
              </w:rPr>
            </w:pPr>
            <w:r w:rsidRPr="00D9107F">
              <w:rPr>
                <w:rStyle w:val="halvfet"/>
              </w:rPr>
              <w:t>30.</w:t>
            </w:r>
          </w:p>
        </w:tc>
        <w:tc>
          <w:tcPr>
            <w:tcW w:w="4711" w:type="pct"/>
            <w:gridSpan w:val="2"/>
          </w:tcPr>
          <w:p w14:paraId="33DE1BD6" w14:textId="78CD53FA" w:rsidR="0050190B" w:rsidRPr="003960C6" w:rsidRDefault="00157CAC"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Det bør</w:t>
            </w:r>
            <w:r w:rsidR="00461A2C" w:rsidRPr="003960C6">
              <w:rPr>
                <w:rFonts w:cstheme="minorHAnsi"/>
                <w:sz w:val="22"/>
                <w:szCs w:val="22"/>
                <w:lang w:val="nb-NO"/>
              </w:rPr>
              <w:t xml:space="preserve"> tilrettelegg</w:t>
            </w:r>
            <w:r w:rsidRPr="003960C6">
              <w:rPr>
                <w:rFonts w:cstheme="minorHAnsi"/>
                <w:sz w:val="22"/>
                <w:szCs w:val="22"/>
                <w:lang w:val="nb-NO"/>
              </w:rPr>
              <w:t>es</w:t>
            </w:r>
            <w:r w:rsidR="00461A2C" w:rsidRPr="003960C6">
              <w:rPr>
                <w:rFonts w:cstheme="minorHAnsi"/>
                <w:sz w:val="22"/>
                <w:szCs w:val="22"/>
                <w:lang w:val="nb-NO"/>
              </w:rPr>
              <w:t xml:space="preserve"> for økt bruk</w:t>
            </w:r>
            <w:r w:rsidR="0050190B" w:rsidRPr="003960C6">
              <w:rPr>
                <w:rFonts w:cstheme="minorHAnsi"/>
                <w:sz w:val="22"/>
                <w:szCs w:val="22"/>
                <w:lang w:val="nb-NO"/>
              </w:rPr>
              <w:t xml:space="preserve"> av </w:t>
            </w:r>
            <w:r w:rsidR="00461A2C" w:rsidRPr="003960C6">
              <w:rPr>
                <w:rFonts w:cstheme="minorHAnsi"/>
                <w:sz w:val="22"/>
                <w:szCs w:val="22"/>
                <w:lang w:val="nb-NO"/>
              </w:rPr>
              <w:t>andre</w:t>
            </w:r>
            <w:r w:rsidR="0050190B" w:rsidRPr="003960C6">
              <w:rPr>
                <w:rFonts w:cstheme="minorHAnsi"/>
                <w:sz w:val="22"/>
                <w:szCs w:val="22"/>
                <w:lang w:val="nb-NO"/>
              </w:rPr>
              <w:t xml:space="preserve"> leger</w:t>
            </w:r>
            <w:r w:rsidR="00715173" w:rsidRPr="003960C6">
              <w:rPr>
                <w:rFonts w:cstheme="minorHAnsi"/>
                <w:sz w:val="22"/>
                <w:szCs w:val="22"/>
                <w:lang w:val="nb-NO"/>
              </w:rPr>
              <w:t xml:space="preserve"> enn fastleger</w:t>
            </w:r>
            <w:r w:rsidR="0050190B" w:rsidRPr="003960C6">
              <w:rPr>
                <w:rFonts w:cstheme="minorHAnsi"/>
                <w:sz w:val="22"/>
                <w:szCs w:val="22"/>
                <w:lang w:val="nb-NO"/>
              </w:rPr>
              <w:t xml:space="preserve"> i legevakt, for å bidra til redusert arbeidstid i legevakt for fastleger og </w:t>
            </w:r>
            <w:r w:rsidR="00461A2C" w:rsidRPr="003960C6">
              <w:rPr>
                <w:rFonts w:cstheme="minorHAnsi"/>
                <w:sz w:val="22"/>
                <w:szCs w:val="22"/>
                <w:lang w:val="nb-NO"/>
              </w:rPr>
              <w:t xml:space="preserve">økt </w:t>
            </w:r>
            <w:r w:rsidR="0050190B" w:rsidRPr="003960C6">
              <w:rPr>
                <w:rFonts w:cstheme="minorHAnsi"/>
                <w:sz w:val="22"/>
                <w:szCs w:val="22"/>
                <w:lang w:val="nb-NO"/>
              </w:rPr>
              <w:t xml:space="preserve">rekruttering til fastlegeordningen. </w:t>
            </w:r>
          </w:p>
        </w:tc>
      </w:tr>
      <w:tr w:rsidR="0050190B" w:rsidRPr="002411B9" w14:paraId="40F87A44"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86F3770" w14:textId="068C0E32" w:rsidR="00F73062" w:rsidRPr="00D9107F" w:rsidRDefault="00F73062" w:rsidP="00D87CD3">
            <w:pPr>
              <w:pStyle w:val="TabellHode-rad"/>
              <w:rPr>
                <w:rStyle w:val="halvfet"/>
              </w:rPr>
            </w:pPr>
            <w:r w:rsidRPr="00D9107F">
              <w:rPr>
                <w:rStyle w:val="halvfet"/>
              </w:rPr>
              <w:t>31.</w:t>
            </w:r>
          </w:p>
        </w:tc>
        <w:tc>
          <w:tcPr>
            <w:tcW w:w="4711" w:type="pct"/>
            <w:gridSpan w:val="2"/>
          </w:tcPr>
          <w:p w14:paraId="7CB182EB" w14:textId="7C2A9E46"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 xml:space="preserve">Gjennomført LIS1 eller tilsvarende bør være tilstrekkelig for å jobbe selvstendig i legevakt. Dette medfører at </w:t>
            </w:r>
            <w:r w:rsidR="003A31E4" w:rsidRPr="003960C6">
              <w:rPr>
                <w:rFonts w:cstheme="minorHAnsi"/>
                <w:sz w:val="22"/>
                <w:szCs w:val="22"/>
                <w:lang w:val="nb-NO"/>
              </w:rPr>
              <w:t xml:space="preserve">de særlige kompetansekravene og </w:t>
            </w:r>
            <w:r w:rsidRPr="003960C6">
              <w:rPr>
                <w:rFonts w:cstheme="minorHAnsi"/>
                <w:sz w:val="22"/>
                <w:szCs w:val="22"/>
                <w:lang w:val="nb-NO"/>
              </w:rPr>
              <w:t>kravet om bakvakt for disse legene bortfaller.</w:t>
            </w:r>
          </w:p>
        </w:tc>
      </w:tr>
      <w:tr w:rsidR="00FE2A3C" w:rsidRPr="002411B9" w14:paraId="735E70C1"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53462213" w14:textId="6F1F1874" w:rsidR="00F73062" w:rsidRPr="00D9107F" w:rsidRDefault="00F73062" w:rsidP="00D87CD3">
            <w:pPr>
              <w:pStyle w:val="TabellHode-rad"/>
              <w:rPr>
                <w:rStyle w:val="halvfet"/>
              </w:rPr>
            </w:pPr>
            <w:r w:rsidRPr="00D9107F">
              <w:rPr>
                <w:rStyle w:val="halvfet"/>
              </w:rPr>
              <w:t>32.</w:t>
            </w:r>
          </w:p>
        </w:tc>
        <w:tc>
          <w:tcPr>
            <w:tcW w:w="4711" w:type="pct"/>
            <w:gridSpan w:val="2"/>
          </w:tcPr>
          <w:p w14:paraId="0D14D5E5" w14:textId="3435D2AD" w:rsidR="00FE2A3C" w:rsidRPr="003960C6" w:rsidRDefault="00FE2A3C"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Det bør tilrettelegges for bruk av videokonsultasjon ved alle legevaktsentraler og legevakter.</w:t>
            </w:r>
          </w:p>
        </w:tc>
      </w:tr>
      <w:tr w:rsidR="0050190B" w:rsidRPr="002411B9" w14:paraId="58571B7A"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6915C3B2" w14:textId="0F596731" w:rsidR="00F73062" w:rsidRPr="00D9107F" w:rsidRDefault="00F73062" w:rsidP="00D87CD3">
            <w:pPr>
              <w:pStyle w:val="TabellHode-rad"/>
              <w:rPr>
                <w:rStyle w:val="halvfet"/>
              </w:rPr>
            </w:pPr>
            <w:r w:rsidRPr="00D9107F">
              <w:rPr>
                <w:rStyle w:val="halvfet"/>
              </w:rPr>
              <w:t>33.</w:t>
            </w:r>
          </w:p>
        </w:tc>
        <w:tc>
          <w:tcPr>
            <w:tcW w:w="4711" w:type="pct"/>
            <w:gridSpan w:val="2"/>
          </w:tcPr>
          <w:p w14:paraId="17775726" w14:textId="76DC6980"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Legevaktsentraler bør sentraliseres. I tillegg bør</w:t>
            </w:r>
            <w:r w:rsidRPr="003960C6" w:rsidDel="00BF6A7B">
              <w:rPr>
                <w:rFonts w:cstheme="minorHAnsi"/>
                <w:sz w:val="22"/>
                <w:szCs w:val="22"/>
                <w:lang w:val="nb-NO"/>
              </w:rPr>
              <w:t xml:space="preserve"> </w:t>
            </w:r>
            <w:r w:rsidRPr="003960C6">
              <w:rPr>
                <w:rFonts w:cstheme="minorHAnsi"/>
                <w:sz w:val="22"/>
                <w:szCs w:val="22"/>
                <w:lang w:val="nb-NO"/>
              </w:rPr>
              <w:t xml:space="preserve">bemanningen forsterkes </w:t>
            </w:r>
            <w:r w:rsidR="00CF661B" w:rsidRPr="003960C6">
              <w:rPr>
                <w:rFonts w:cstheme="minorHAnsi"/>
                <w:sz w:val="22"/>
                <w:szCs w:val="22"/>
                <w:lang w:val="nb-NO"/>
              </w:rPr>
              <w:t xml:space="preserve">med </w:t>
            </w:r>
            <w:r w:rsidRPr="003960C6">
              <w:rPr>
                <w:rFonts w:cstheme="minorHAnsi"/>
                <w:sz w:val="22"/>
                <w:szCs w:val="22"/>
                <w:lang w:val="nb-NO"/>
              </w:rPr>
              <w:t xml:space="preserve">fast tilstedeværende lege, og </w:t>
            </w:r>
            <w:r w:rsidR="00CF661B" w:rsidRPr="003960C6">
              <w:rPr>
                <w:rFonts w:cstheme="minorHAnsi"/>
                <w:sz w:val="22"/>
                <w:szCs w:val="22"/>
                <w:lang w:val="nb-NO"/>
              </w:rPr>
              <w:t xml:space="preserve">det bør </w:t>
            </w:r>
            <w:r w:rsidR="00F73062" w:rsidRPr="003960C6">
              <w:rPr>
                <w:rFonts w:cstheme="minorHAnsi"/>
                <w:sz w:val="22"/>
                <w:szCs w:val="22"/>
                <w:lang w:val="nb-NO"/>
              </w:rPr>
              <w:t>tilrettel</w:t>
            </w:r>
            <w:r w:rsidR="00CF661B" w:rsidRPr="003960C6">
              <w:rPr>
                <w:rFonts w:cstheme="minorHAnsi"/>
                <w:sz w:val="22"/>
                <w:szCs w:val="22"/>
                <w:lang w:val="nb-NO"/>
              </w:rPr>
              <w:t>egges</w:t>
            </w:r>
            <w:r w:rsidRPr="003960C6">
              <w:rPr>
                <w:rFonts w:cstheme="minorHAnsi"/>
                <w:sz w:val="22"/>
                <w:szCs w:val="22"/>
                <w:lang w:val="nb-NO"/>
              </w:rPr>
              <w:t xml:space="preserve"> for videokonsultasjon. </w:t>
            </w:r>
          </w:p>
        </w:tc>
      </w:tr>
      <w:tr w:rsidR="0050190B" w:rsidRPr="002411B9" w14:paraId="68E913B7"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55667BF" w14:textId="51CE3882" w:rsidR="00F73062" w:rsidRPr="00D9107F" w:rsidRDefault="00F73062" w:rsidP="00D87CD3">
            <w:pPr>
              <w:pStyle w:val="TabellHode-rad"/>
              <w:rPr>
                <w:rStyle w:val="halvfet"/>
              </w:rPr>
            </w:pPr>
            <w:r w:rsidRPr="00D9107F">
              <w:rPr>
                <w:rStyle w:val="halvfet"/>
              </w:rPr>
              <w:t>34.</w:t>
            </w:r>
          </w:p>
        </w:tc>
        <w:tc>
          <w:tcPr>
            <w:tcW w:w="4711" w:type="pct"/>
            <w:gridSpan w:val="2"/>
          </w:tcPr>
          <w:p w14:paraId="20C60CE3" w14:textId="675DFCD7"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 xml:space="preserve">Det bør opprettes desentraliserte akuttilbud, med støtte fra forsterkete legevaktsentraler som er bemannet med lege og tilrettelagt for videokonsultasjon. </w:t>
            </w:r>
          </w:p>
        </w:tc>
      </w:tr>
      <w:tr w:rsidR="0050190B" w:rsidRPr="002411B9" w14:paraId="08610759"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7A5A7E47" w14:textId="05B6AAF4" w:rsidR="00F73062" w:rsidRPr="00D9107F" w:rsidRDefault="00F73062" w:rsidP="00D87CD3">
            <w:pPr>
              <w:pStyle w:val="TabellHode-rad"/>
              <w:rPr>
                <w:rStyle w:val="halvfet"/>
              </w:rPr>
            </w:pPr>
            <w:r w:rsidRPr="00D9107F">
              <w:rPr>
                <w:rStyle w:val="halvfet"/>
              </w:rPr>
              <w:t>35.</w:t>
            </w:r>
          </w:p>
        </w:tc>
        <w:tc>
          <w:tcPr>
            <w:tcW w:w="4711" w:type="pct"/>
            <w:gridSpan w:val="2"/>
          </w:tcPr>
          <w:p w14:paraId="2C0CF6B3" w14:textId="2E12D733" w:rsidR="0050190B" w:rsidRPr="003960C6" w:rsidRDefault="00F73062"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Triagerings- og prioriteringsverktøy</w:t>
            </w:r>
            <w:r w:rsidR="0050190B" w:rsidRPr="003960C6">
              <w:rPr>
                <w:rFonts w:cstheme="minorHAnsi"/>
                <w:sz w:val="22"/>
                <w:szCs w:val="22"/>
                <w:lang w:val="nb-NO"/>
              </w:rPr>
              <w:t xml:space="preserve"> i legevaktsentral og legevakt bør gjennomgås og evalueres, og ved behov </w:t>
            </w:r>
            <w:r w:rsidR="007123C8" w:rsidRPr="003960C6">
              <w:rPr>
                <w:rFonts w:cstheme="minorHAnsi"/>
                <w:sz w:val="22"/>
                <w:szCs w:val="22"/>
                <w:lang w:val="nb-NO"/>
              </w:rPr>
              <w:t xml:space="preserve">bør det </w:t>
            </w:r>
            <w:r w:rsidRPr="003960C6">
              <w:rPr>
                <w:rFonts w:cstheme="minorHAnsi"/>
                <w:sz w:val="22"/>
                <w:szCs w:val="22"/>
                <w:lang w:val="nb-NO"/>
              </w:rPr>
              <w:t>utvikles</w:t>
            </w:r>
            <w:r w:rsidR="0050190B" w:rsidRPr="003960C6">
              <w:rPr>
                <w:rFonts w:cstheme="minorHAnsi"/>
                <w:sz w:val="22"/>
                <w:szCs w:val="22"/>
                <w:lang w:val="nb-NO"/>
              </w:rPr>
              <w:t>/videreutvikle</w:t>
            </w:r>
            <w:r w:rsidR="007123C8" w:rsidRPr="003960C6">
              <w:rPr>
                <w:rFonts w:cstheme="minorHAnsi"/>
                <w:sz w:val="22"/>
                <w:szCs w:val="22"/>
                <w:lang w:val="nb-NO"/>
              </w:rPr>
              <w:t>s</w:t>
            </w:r>
            <w:r w:rsidR="0050190B" w:rsidRPr="003960C6">
              <w:rPr>
                <w:rFonts w:cstheme="minorHAnsi"/>
                <w:sz w:val="22"/>
                <w:szCs w:val="22"/>
                <w:lang w:val="nb-NO"/>
              </w:rPr>
              <w:t xml:space="preserve"> og teste</w:t>
            </w:r>
            <w:r w:rsidR="007123C8" w:rsidRPr="003960C6">
              <w:rPr>
                <w:rFonts w:cstheme="minorHAnsi"/>
                <w:sz w:val="22"/>
                <w:szCs w:val="22"/>
                <w:lang w:val="nb-NO"/>
              </w:rPr>
              <w:t>s</w:t>
            </w:r>
            <w:r w:rsidR="0050190B" w:rsidRPr="003960C6">
              <w:rPr>
                <w:rFonts w:cstheme="minorHAnsi"/>
                <w:sz w:val="22"/>
                <w:szCs w:val="22"/>
                <w:lang w:val="nb-NO"/>
              </w:rPr>
              <w:t xml:space="preserve"> et egnet verktøy. </w:t>
            </w:r>
          </w:p>
        </w:tc>
      </w:tr>
      <w:tr w:rsidR="0050190B" w:rsidRPr="002411B9" w14:paraId="41C08A51"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6A6F3408" w14:textId="7A9D7753" w:rsidR="00F73062" w:rsidRPr="00D9107F" w:rsidRDefault="00F73062" w:rsidP="00D87CD3">
            <w:pPr>
              <w:pStyle w:val="TabellHode-rad"/>
              <w:rPr>
                <w:rStyle w:val="halvfet"/>
              </w:rPr>
            </w:pPr>
            <w:r w:rsidRPr="00D9107F">
              <w:rPr>
                <w:rStyle w:val="halvfet"/>
              </w:rPr>
              <w:t>36.</w:t>
            </w:r>
          </w:p>
        </w:tc>
        <w:tc>
          <w:tcPr>
            <w:tcW w:w="4711" w:type="pct"/>
            <w:gridSpan w:val="2"/>
          </w:tcPr>
          <w:p w14:paraId="0D639E67" w14:textId="3F2AB0FC" w:rsidR="0050190B" w:rsidRPr="003960C6" w:rsidRDefault="00F73062"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Lege</w:t>
            </w:r>
            <w:r w:rsidR="0050190B" w:rsidRPr="003960C6">
              <w:rPr>
                <w:rFonts w:cstheme="minorHAnsi"/>
                <w:sz w:val="22"/>
                <w:szCs w:val="22"/>
                <w:lang w:val="nb-NO"/>
              </w:rPr>
              <w:t xml:space="preserve"> i legevakt bør ikke </w:t>
            </w:r>
            <w:r w:rsidR="000B001A" w:rsidRPr="003960C6">
              <w:rPr>
                <w:rFonts w:cstheme="minorHAnsi"/>
                <w:sz w:val="22"/>
                <w:szCs w:val="22"/>
                <w:lang w:val="nb-NO"/>
              </w:rPr>
              <w:t xml:space="preserve">måtte </w:t>
            </w:r>
            <w:r w:rsidR="003F384E" w:rsidRPr="003960C6">
              <w:rPr>
                <w:rFonts w:cstheme="minorHAnsi"/>
                <w:sz w:val="22"/>
                <w:szCs w:val="22"/>
                <w:lang w:val="nb-NO"/>
              </w:rPr>
              <w:t>være</w:t>
            </w:r>
            <w:r w:rsidR="0050190B" w:rsidRPr="003960C6">
              <w:rPr>
                <w:rFonts w:cstheme="minorHAnsi"/>
                <w:sz w:val="22"/>
                <w:szCs w:val="22"/>
                <w:lang w:val="nb-NO"/>
              </w:rPr>
              <w:t xml:space="preserve"> alene </w:t>
            </w:r>
            <w:r w:rsidR="003F384E" w:rsidRPr="003960C6">
              <w:rPr>
                <w:rFonts w:cstheme="minorHAnsi"/>
                <w:sz w:val="22"/>
                <w:szCs w:val="22"/>
                <w:lang w:val="nb-NO"/>
              </w:rPr>
              <w:t>i aktiv</w:t>
            </w:r>
            <w:r w:rsidR="0050190B" w:rsidRPr="003960C6">
              <w:rPr>
                <w:rFonts w:cstheme="minorHAnsi"/>
                <w:sz w:val="22"/>
                <w:szCs w:val="22"/>
                <w:lang w:val="nb-NO"/>
              </w:rPr>
              <w:t xml:space="preserve"> vakt, men ha tilgang </w:t>
            </w:r>
            <w:r w:rsidR="008618C5" w:rsidRPr="003960C6">
              <w:rPr>
                <w:rFonts w:cstheme="minorHAnsi"/>
                <w:sz w:val="22"/>
                <w:szCs w:val="22"/>
                <w:lang w:val="nb-NO"/>
              </w:rPr>
              <w:t>til</w:t>
            </w:r>
            <w:r w:rsidR="0050190B" w:rsidRPr="003960C6">
              <w:rPr>
                <w:rFonts w:cstheme="minorHAnsi"/>
                <w:sz w:val="22"/>
                <w:szCs w:val="22"/>
                <w:lang w:val="nb-NO"/>
              </w:rPr>
              <w:t xml:space="preserve"> annet personell</w:t>
            </w:r>
            <w:r w:rsidRPr="003960C6">
              <w:rPr>
                <w:rFonts w:cstheme="minorHAnsi"/>
                <w:sz w:val="22"/>
                <w:szCs w:val="22"/>
                <w:lang w:val="nb-NO"/>
              </w:rPr>
              <w:t xml:space="preserve"> ved behov</w:t>
            </w:r>
            <w:r w:rsidR="0050190B" w:rsidRPr="003960C6">
              <w:rPr>
                <w:rFonts w:cstheme="minorHAnsi"/>
                <w:sz w:val="22"/>
                <w:szCs w:val="22"/>
                <w:lang w:val="nb-NO"/>
              </w:rPr>
              <w:t>.</w:t>
            </w:r>
          </w:p>
        </w:tc>
      </w:tr>
      <w:tr w:rsidR="0050190B" w:rsidRPr="002411B9" w14:paraId="6625F598"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0B2E18D9" w14:textId="094D559F" w:rsidR="00F73062" w:rsidRPr="00D9107F" w:rsidRDefault="00F73062" w:rsidP="00D87CD3">
            <w:pPr>
              <w:pStyle w:val="TabellHode-rad"/>
              <w:rPr>
                <w:rStyle w:val="halvfet"/>
              </w:rPr>
            </w:pPr>
            <w:r w:rsidRPr="00D9107F">
              <w:rPr>
                <w:rStyle w:val="halvfet"/>
              </w:rPr>
              <w:t>37.</w:t>
            </w:r>
          </w:p>
        </w:tc>
        <w:tc>
          <w:tcPr>
            <w:tcW w:w="4711" w:type="pct"/>
            <w:gridSpan w:val="2"/>
          </w:tcPr>
          <w:p w14:paraId="12872869" w14:textId="79DC966C"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 xml:space="preserve">Det bør prøves ut drift av legevakt i helseforetakene på </w:t>
            </w:r>
            <w:r w:rsidR="00F73062" w:rsidRPr="003960C6">
              <w:rPr>
                <w:rFonts w:cstheme="minorHAnsi"/>
                <w:sz w:val="22"/>
                <w:szCs w:val="22"/>
                <w:lang w:val="nb-NO"/>
              </w:rPr>
              <w:t>nat</w:t>
            </w:r>
            <w:r w:rsidR="00D219F6" w:rsidRPr="003960C6">
              <w:rPr>
                <w:rFonts w:cstheme="minorHAnsi"/>
                <w:sz w:val="22"/>
                <w:szCs w:val="22"/>
                <w:lang w:val="nb-NO"/>
              </w:rPr>
              <w:t>t,</w:t>
            </w:r>
            <w:r w:rsidRPr="003960C6">
              <w:rPr>
                <w:rFonts w:cstheme="minorHAnsi"/>
                <w:sz w:val="22"/>
                <w:szCs w:val="22"/>
                <w:lang w:val="nb-NO"/>
              </w:rPr>
              <w:t xml:space="preserve"> der samlokalisering eller nær plassering allerede foreligger. </w:t>
            </w:r>
          </w:p>
        </w:tc>
      </w:tr>
      <w:tr w:rsidR="0050190B" w:rsidRPr="002411B9" w14:paraId="4AA830AA"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743AE3D4" w14:textId="31FDB36E" w:rsidR="00F73062" w:rsidRPr="00D9107F" w:rsidRDefault="00F73062" w:rsidP="00D87CD3">
            <w:pPr>
              <w:pStyle w:val="TabellHode-rad"/>
              <w:rPr>
                <w:rStyle w:val="halvfet"/>
              </w:rPr>
            </w:pPr>
            <w:r w:rsidRPr="00D9107F">
              <w:rPr>
                <w:rStyle w:val="halvfet"/>
              </w:rPr>
              <w:t>38.</w:t>
            </w:r>
          </w:p>
        </w:tc>
        <w:tc>
          <w:tcPr>
            <w:tcW w:w="4711" w:type="pct"/>
            <w:gridSpan w:val="2"/>
          </w:tcPr>
          <w:p w14:paraId="594BC3ED" w14:textId="03239B99" w:rsidR="0050190B" w:rsidRPr="003960C6"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3960C6">
              <w:rPr>
                <w:rFonts w:cstheme="minorHAnsi"/>
                <w:sz w:val="22"/>
                <w:szCs w:val="22"/>
                <w:lang w:val="nb-NO"/>
              </w:rPr>
              <w:t xml:space="preserve">Det bør gis statlig tilskudd/finansiering av samarbeidsordninger mellom forvaltningsnivå i den prehospitale kjede, for å </w:t>
            </w:r>
            <w:r w:rsidR="00D66CA5" w:rsidRPr="003960C6">
              <w:rPr>
                <w:rFonts w:cstheme="minorHAnsi"/>
                <w:sz w:val="22"/>
                <w:szCs w:val="22"/>
                <w:lang w:val="nb-NO"/>
              </w:rPr>
              <w:t>fr</w:t>
            </w:r>
            <w:r w:rsidR="003A31E4" w:rsidRPr="003960C6">
              <w:rPr>
                <w:rFonts w:cstheme="minorHAnsi"/>
                <w:sz w:val="22"/>
                <w:szCs w:val="22"/>
                <w:lang w:val="nb-NO"/>
              </w:rPr>
              <w:t>e</w:t>
            </w:r>
            <w:r w:rsidR="00D66CA5" w:rsidRPr="003960C6">
              <w:rPr>
                <w:rFonts w:cstheme="minorHAnsi"/>
                <w:sz w:val="22"/>
                <w:szCs w:val="22"/>
                <w:lang w:val="nb-NO"/>
              </w:rPr>
              <w:t>m</w:t>
            </w:r>
            <w:r w:rsidR="00F73062" w:rsidRPr="003960C6">
              <w:rPr>
                <w:rFonts w:cstheme="minorHAnsi"/>
                <w:sz w:val="22"/>
                <w:szCs w:val="22"/>
                <w:lang w:val="nb-NO"/>
              </w:rPr>
              <w:t>me</w:t>
            </w:r>
            <w:r w:rsidRPr="003960C6">
              <w:rPr>
                <w:rFonts w:cstheme="minorHAnsi"/>
                <w:sz w:val="22"/>
                <w:szCs w:val="22"/>
                <w:lang w:val="nb-NO"/>
              </w:rPr>
              <w:t xml:space="preserve"> bedre ressursutnyttelse lokalt. </w:t>
            </w:r>
          </w:p>
        </w:tc>
      </w:tr>
      <w:tr w:rsidR="0050190B" w:rsidRPr="002411B9" w14:paraId="445DB98B"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7E01E39D" w14:textId="69627ACC" w:rsidR="00F73062" w:rsidRPr="00C33652" w:rsidRDefault="00F73062" w:rsidP="00D87CD3">
            <w:pPr>
              <w:pStyle w:val="TabellHode-rad"/>
              <w:rPr>
                <w:rStyle w:val="halvfet"/>
              </w:rPr>
            </w:pPr>
            <w:r w:rsidRPr="00C33652">
              <w:rPr>
                <w:rStyle w:val="halvfet"/>
              </w:rPr>
              <w:t>39.</w:t>
            </w:r>
          </w:p>
        </w:tc>
        <w:tc>
          <w:tcPr>
            <w:tcW w:w="4711" w:type="pct"/>
            <w:gridSpan w:val="2"/>
          </w:tcPr>
          <w:p w14:paraId="315FD43B" w14:textId="47E41EB8" w:rsidR="0050190B" w:rsidRPr="003960C6" w:rsidRDefault="0050190B" w:rsidP="00C33652">
            <w:pPr>
              <w:cnfStyle w:val="000000000000" w:firstRow="0" w:lastRow="0" w:firstColumn="0" w:lastColumn="0" w:oddVBand="0" w:evenVBand="0" w:oddHBand="0" w:evenHBand="0" w:firstRowFirstColumn="0" w:firstRowLastColumn="0" w:lastRowFirstColumn="0" w:lastRowLastColumn="0"/>
              <w:rPr>
                <w:lang w:val="nb-NO"/>
              </w:rPr>
            </w:pPr>
            <w:r w:rsidRPr="003960C6">
              <w:rPr>
                <w:lang w:val="nb-NO"/>
              </w:rPr>
              <w:t xml:space="preserve">Fastlønn bør </w:t>
            </w:r>
            <w:r w:rsidR="00F73062" w:rsidRPr="003960C6">
              <w:rPr>
                <w:lang w:val="nb-NO"/>
              </w:rPr>
              <w:t>benyttes mer</w:t>
            </w:r>
            <w:r w:rsidRPr="003960C6">
              <w:rPr>
                <w:lang w:val="nb-NO"/>
              </w:rPr>
              <w:t xml:space="preserve"> for alt legevaktarbeid. </w:t>
            </w:r>
          </w:p>
        </w:tc>
      </w:tr>
      <w:tr w:rsidR="0050190B" w:rsidRPr="002411B9" w14:paraId="5D24229A"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4942E3B2" w14:textId="22A2E225" w:rsidR="00F73062" w:rsidRPr="00C33652" w:rsidRDefault="00F73062" w:rsidP="00D87CD3">
            <w:pPr>
              <w:pStyle w:val="TabellHode-rad"/>
              <w:rPr>
                <w:rStyle w:val="halvfet"/>
              </w:rPr>
            </w:pPr>
            <w:r w:rsidRPr="00C33652">
              <w:rPr>
                <w:rStyle w:val="halvfet"/>
              </w:rPr>
              <w:t>40.</w:t>
            </w:r>
          </w:p>
        </w:tc>
        <w:tc>
          <w:tcPr>
            <w:tcW w:w="4711" w:type="pct"/>
            <w:gridSpan w:val="2"/>
          </w:tcPr>
          <w:p w14:paraId="5AA3E8BB" w14:textId="22B4E8BD" w:rsidR="0050190B" w:rsidRPr="003960C6" w:rsidRDefault="0050190B" w:rsidP="00C33652">
            <w:pPr>
              <w:cnfStyle w:val="000000000000" w:firstRow="0" w:lastRow="0" w:firstColumn="0" w:lastColumn="0" w:oddVBand="0" w:evenVBand="0" w:oddHBand="0" w:evenHBand="0" w:firstRowFirstColumn="0" w:firstRowLastColumn="0" w:lastRowFirstColumn="0" w:lastRowLastColumn="0"/>
              <w:rPr>
                <w:lang w:val="nb-NO"/>
              </w:rPr>
            </w:pPr>
            <w:r w:rsidRPr="003960C6">
              <w:rPr>
                <w:lang w:val="nb-NO"/>
              </w:rPr>
              <w:t xml:space="preserve">For å kompensere for </w:t>
            </w:r>
            <w:bookmarkStart w:id="6060" w:name="_Hlk131234409"/>
            <w:r w:rsidRPr="003960C6">
              <w:rPr>
                <w:lang w:val="nb-NO"/>
              </w:rPr>
              <w:t xml:space="preserve">smådriftsulemper i legevakt, bør gradert </w:t>
            </w:r>
            <w:r w:rsidR="00F73062" w:rsidRPr="003960C6">
              <w:rPr>
                <w:lang w:val="nb-NO"/>
              </w:rPr>
              <w:t>tilskudd inngå</w:t>
            </w:r>
            <w:r w:rsidRPr="003960C6">
              <w:rPr>
                <w:lang w:val="nb-NO"/>
              </w:rPr>
              <w:t xml:space="preserve"> i kostnadsnøkkelen for primærhelsetjenester i inntektssystemet for kommunene.</w:t>
            </w:r>
            <w:bookmarkEnd w:id="6060"/>
          </w:p>
        </w:tc>
      </w:tr>
      <w:tr w:rsidR="0050190B" w:rsidRPr="001316FD" w14:paraId="7A546AE0" w14:textId="77777777" w:rsidTr="005A4AD1">
        <w:tc>
          <w:tcPr>
            <w:cnfStyle w:val="001000000000" w:firstRow="0" w:lastRow="0" w:firstColumn="1" w:lastColumn="0" w:oddVBand="0" w:evenVBand="0" w:oddHBand="0" w:evenHBand="0" w:firstRowFirstColumn="0" w:firstRowLastColumn="0" w:lastRowFirstColumn="0" w:lastRowLastColumn="0"/>
            <w:tcW w:w="289" w:type="pct"/>
          </w:tcPr>
          <w:p w14:paraId="3BBE371A" w14:textId="3A1D7A60" w:rsidR="00F73062" w:rsidRPr="00D9107F" w:rsidRDefault="00F73062" w:rsidP="00D87CD3">
            <w:pPr>
              <w:pStyle w:val="TabellHode-rad"/>
              <w:rPr>
                <w:rStyle w:val="halvfet"/>
              </w:rPr>
            </w:pPr>
            <w:r w:rsidRPr="00D9107F">
              <w:rPr>
                <w:rStyle w:val="halvfet"/>
              </w:rPr>
              <w:t>41.</w:t>
            </w:r>
          </w:p>
        </w:tc>
        <w:tc>
          <w:tcPr>
            <w:tcW w:w="4711" w:type="pct"/>
            <w:gridSpan w:val="2"/>
          </w:tcPr>
          <w:p w14:paraId="4E505186" w14:textId="5982472B" w:rsidR="0050190B" w:rsidRPr="003960C6" w:rsidRDefault="0050190B">
            <w:pPr>
              <w:cnfStyle w:val="000000000000" w:firstRow="0" w:lastRow="0" w:firstColumn="0" w:lastColumn="0" w:oddVBand="0" w:evenVBand="0" w:oddHBand="0" w:evenHBand="0" w:firstRowFirstColumn="0" w:firstRowLastColumn="0" w:lastRowFirstColumn="0" w:lastRowLastColumn="0"/>
              <w:rPr>
                <w:bCs/>
                <w:sz w:val="22"/>
                <w:szCs w:val="22"/>
                <w:lang w:val="nb-NO"/>
              </w:rPr>
            </w:pPr>
            <w:r w:rsidRPr="003960C6">
              <w:rPr>
                <w:bCs/>
                <w:sz w:val="22"/>
                <w:szCs w:val="22"/>
                <w:lang w:val="nb-NO"/>
              </w:rPr>
              <w:t>Finansieringssystemet for legevakt bør gjennomgås for å fjerne hindringer for etablering av interkommunal legevakt.</w:t>
            </w:r>
          </w:p>
        </w:tc>
      </w:tr>
      <w:tr w:rsidR="0050190B" w:rsidRPr="002411B9" w14:paraId="701106A2"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shd w:val="clear" w:color="auto" w:fill="A9D6B9"/>
          </w:tcPr>
          <w:p w14:paraId="1B962FB3" w14:textId="5FD67CE4" w:rsidR="00807F39" w:rsidRPr="00A43B75" w:rsidRDefault="001759E6" w:rsidP="00B340D5">
            <w:pPr>
              <w:pStyle w:val="TabellHode-kolonne"/>
              <w:rPr>
                <w:rStyle w:val="halvfet"/>
              </w:rPr>
            </w:pPr>
            <w:bookmarkStart w:id="6061" w:name="OLE_LINK8"/>
            <w:bookmarkEnd w:id="6059"/>
            <w:r w:rsidRPr="00A43B75">
              <w:rPr>
                <w:rStyle w:val="halvfet"/>
              </w:rPr>
              <w:t>#</w:t>
            </w:r>
          </w:p>
        </w:tc>
        <w:tc>
          <w:tcPr>
            <w:tcW w:w="4704" w:type="pct"/>
            <w:shd w:val="clear" w:color="auto" w:fill="A9D6B9"/>
          </w:tcPr>
          <w:p w14:paraId="593F64F6" w14:textId="77777777" w:rsidR="0050190B" w:rsidRPr="00A43B75" w:rsidRDefault="0050190B" w:rsidP="00B340D5">
            <w:pPr>
              <w:pStyle w:val="TabellHode-kolonne"/>
              <w:cnfStyle w:val="000000000000" w:firstRow="0" w:lastRow="0" w:firstColumn="0" w:lastColumn="0" w:oddVBand="0" w:evenVBand="0" w:oddHBand="0" w:evenHBand="0" w:firstRowFirstColumn="0" w:firstRowLastColumn="0" w:lastRowFirstColumn="0" w:lastRowLastColumn="0"/>
              <w:rPr>
                <w:rStyle w:val="halvfet"/>
              </w:rPr>
            </w:pPr>
            <w:r w:rsidRPr="00A43B75">
              <w:rPr>
                <w:rStyle w:val="halvfet"/>
              </w:rPr>
              <w:t>Kompetanse</w:t>
            </w:r>
          </w:p>
        </w:tc>
      </w:tr>
      <w:tr w:rsidR="0050190B" w:rsidRPr="002411B9" w14:paraId="07403F3C"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3CF13E25" w14:textId="686B3CD1" w:rsidR="0016139C" w:rsidRPr="00D9107F" w:rsidRDefault="0016139C" w:rsidP="00B340D5">
            <w:pPr>
              <w:pStyle w:val="TabellHode-rad"/>
              <w:rPr>
                <w:rStyle w:val="halvfet"/>
              </w:rPr>
            </w:pPr>
            <w:r w:rsidRPr="00D9107F">
              <w:rPr>
                <w:rStyle w:val="halvfet"/>
              </w:rPr>
              <w:lastRenderedPageBreak/>
              <w:t>4</w:t>
            </w:r>
            <w:r w:rsidR="00F73062" w:rsidRPr="00D9107F">
              <w:rPr>
                <w:rStyle w:val="halvfet"/>
              </w:rPr>
              <w:t>2</w:t>
            </w:r>
            <w:r w:rsidR="00825BD3" w:rsidRPr="00D9107F">
              <w:rPr>
                <w:rStyle w:val="halvfet"/>
              </w:rPr>
              <w:t>.</w:t>
            </w:r>
          </w:p>
        </w:tc>
        <w:tc>
          <w:tcPr>
            <w:tcW w:w="4704" w:type="pct"/>
          </w:tcPr>
          <w:p w14:paraId="583869D0" w14:textId="172B755E" w:rsidR="0050190B" w:rsidRPr="002411B9"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Det bør stilles krav til veiledet praksis (LIS1) etter </w:t>
            </w:r>
            <w:r w:rsidR="00807F39" w:rsidRPr="002411B9">
              <w:rPr>
                <w:rFonts w:cstheme="minorHAnsi"/>
                <w:sz w:val="22"/>
                <w:szCs w:val="22"/>
                <w:lang w:val="nb-NO"/>
              </w:rPr>
              <w:t>grunnutdann</w:t>
            </w:r>
            <w:r w:rsidR="000517C9" w:rsidRPr="002411B9">
              <w:rPr>
                <w:rFonts w:cstheme="minorHAnsi"/>
                <w:sz w:val="22"/>
                <w:szCs w:val="22"/>
                <w:lang w:val="nb-NO"/>
              </w:rPr>
              <w:t>ingen,</w:t>
            </w:r>
            <w:r w:rsidRPr="002411B9">
              <w:rPr>
                <w:rFonts w:cstheme="minorHAnsi"/>
                <w:sz w:val="22"/>
                <w:szCs w:val="22"/>
                <w:lang w:val="nb-NO"/>
              </w:rPr>
              <w:t xml:space="preserve"> for å praktisere selvstendig som lege i alle deler av helsetjenesten. </w:t>
            </w:r>
          </w:p>
        </w:tc>
      </w:tr>
      <w:tr w:rsidR="0050190B" w:rsidRPr="002411B9" w14:paraId="4CD3E059"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4D9A2EB7" w14:textId="66CFA79A" w:rsidR="0016139C" w:rsidRPr="00D9107F" w:rsidRDefault="0016139C" w:rsidP="00B340D5">
            <w:pPr>
              <w:pStyle w:val="TabellHode-rad"/>
              <w:rPr>
                <w:rStyle w:val="halvfet"/>
              </w:rPr>
            </w:pPr>
            <w:r w:rsidRPr="00D9107F">
              <w:rPr>
                <w:rStyle w:val="halvfet"/>
              </w:rPr>
              <w:t>4</w:t>
            </w:r>
            <w:r w:rsidR="00F73062" w:rsidRPr="00D9107F">
              <w:rPr>
                <w:rStyle w:val="halvfet"/>
              </w:rPr>
              <w:t>3</w:t>
            </w:r>
            <w:r w:rsidR="00825BD3" w:rsidRPr="00D9107F">
              <w:rPr>
                <w:rStyle w:val="halvfet"/>
              </w:rPr>
              <w:t>.</w:t>
            </w:r>
          </w:p>
        </w:tc>
        <w:tc>
          <w:tcPr>
            <w:tcW w:w="4704" w:type="pct"/>
          </w:tcPr>
          <w:p w14:paraId="46C69F23" w14:textId="77777777" w:rsidR="0050190B" w:rsidRPr="002411B9"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Krav om spesialisering i allmennmedisin bør begrenses til fastleger og leger i faste stillinger i kommunen. </w:t>
            </w:r>
          </w:p>
        </w:tc>
      </w:tr>
      <w:tr w:rsidR="0050190B" w:rsidRPr="002411B9" w14:paraId="37D03E5F"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104DC564" w14:textId="70BD5A85" w:rsidR="0016139C" w:rsidRPr="00D9107F" w:rsidRDefault="0016139C" w:rsidP="00B340D5">
            <w:pPr>
              <w:pStyle w:val="TabellHode-rad"/>
              <w:rPr>
                <w:rStyle w:val="halvfet"/>
              </w:rPr>
            </w:pPr>
            <w:r w:rsidRPr="00D9107F">
              <w:rPr>
                <w:rStyle w:val="halvfet"/>
              </w:rPr>
              <w:t>4</w:t>
            </w:r>
            <w:r w:rsidR="00F73062" w:rsidRPr="00D9107F">
              <w:rPr>
                <w:rStyle w:val="halvfet"/>
              </w:rPr>
              <w:t>4</w:t>
            </w:r>
            <w:r w:rsidR="00825BD3" w:rsidRPr="00D9107F">
              <w:rPr>
                <w:rStyle w:val="halvfet"/>
              </w:rPr>
              <w:t>.</w:t>
            </w:r>
          </w:p>
        </w:tc>
        <w:tc>
          <w:tcPr>
            <w:tcW w:w="4704" w:type="pct"/>
          </w:tcPr>
          <w:p w14:paraId="77529FFA" w14:textId="1262CB67"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Antall koblede LIS1-stillinge</w:t>
            </w:r>
            <w:r w:rsidR="007F5919" w:rsidRPr="002411B9">
              <w:rPr>
                <w:rFonts w:cstheme="minorHAnsi"/>
                <w:sz w:val="22"/>
                <w:szCs w:val="22"/>
                <w:lang w:val="nb-NO"/>
              </w:rPr>
              <w:t>r</w:t>
            </w:r>
            <w:r w:rsidRPr="002411B9">
              <w:rPr>
                <w:rFonts w:cstheme="minorHAnsi"/>
                <w:sz w:val="22"/>
                <w:szCs w:val="22"/>
                <w:lang w:val="nb-NO"/>
              </w:rPr>
              <w:t xml:space="preserve"> som pålegges sykehus og kommuner,</w:t>
            </w:r>
            <w:r w:rsidR="002C2575" w:rsidRPr="002411B9">
              <w:rPr>
                <w:rFonts w:cstheme="minorHAnsi"/>
                <w:sz w:val="22"/>
                <w:szCs w:val="22"/>
                <w:lang w:val="nb-NO"/>
              </w:rPr>
              <w:t xml:space="preserve"> må</w:t>
            </w:r>
            <w:r w:rsidRPr="002411B9">
              <w:rPr>
                <w:rFonts w:cstheme="minorHAnsi"/>
                <w:sz w:val="22"/>
                <w:szCs w:val="22"/>
                <w:lang w:val="nb-NO"/>
              </w:rPr>
              <w:t xml:space="preserve"> økes.</w:t>
            </w:r>
          </w:p>
        </w:tc>
      </w:tr>
      <w:tr w:rsidR="002F7817" w:rsidRPr="002411B9" w14:paraId="386BD662"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648840A0" w14:textId="6B57D626" w:rsidR="002F7817" w:rsidRPr="00D9107F" w:rsidRDefault="00245BD8" w:rsidP="00B340D5">
            <w:pPr>
              <w:pStyle w:val="TabellHode-rad"/>
              <w:rPr>
                <w:rStyle w:val="halvfet"/>
              </w:rPr>
            </w:pPr>
            <w:r w:rsidRPr="00D9107F">
              <w:rPr>
                <w:rStyle w:val="halvfet"/>
              </w:rPr>
              <w:t>45.</w:t>
            </w:r>
          </w:p>
        </w:tc>
        <w:tc>
          <w:tcPr>
            <w:tcW w:w="4704" w:type="pct"/>
          </w:tcPr>
          <w:p w14:paraId="5A2429FE" w14:textId="301521BD" w:rsidR="002F7817" w:rsidRPr="002411B9" w:rsidRDefault="002F7817"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Sykehus og kommuner bør i tillegg få mulighet til å lyse ut egne LIS1-stillinger innenfor egne budsjetter. Det kan vurderes å knytte statlig tilskudd også til disse stillingene, særlig for kommuner med lav legedekning</w:t>
            </w:r>
          </w:p>
        </w:tc>
      </w:tr>
      <w:tr w:rsidR="00917FD1" w:rsidRPr="002411B9" w14:paraId="2C21733A"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713B1271" w14:textId="687F554F" w:rsidR="0016139C" w:rsidRPr="00D9107F" w:rsidRDefault="0016139C" w:rsidP="00B340D5">
            <w:pPr>
              <w:pStyle w:val="TabellHode-rad"/>
              <w:rPr>
                <w:rStyle w:val="halvfet"/>
                <w:rFonts w:eastAsiaTheme="minorEastAsia"/>
              </w:rPr>
            </w:pPr>
            <w:r w:rsidRPr="00D9107F">
              <w:rPr>
                <w:rStyle w:val="halvfet"/>
                <w:rFonts w:eastAsiaTheme="minorEastAsia"/>
              </w:rPr>
              <w:t>4</w:t>
            </w:r>
            <w:r w:rsidR="00245BD8" w:rsidRPr="00D9107F">
              <w:rPr>
                <w:rStyle w:val="halvfet"/>
                <w:rFonts w:eastAsiaTheme="minorEastAsia"/>
              </w:rPr>
              <w:t>6</w:t>
            </w:r>
            <w:r w:rsidR="00825BD3" w:rsidRPr="00D9107F">
              <w:rPr>
                <w:rStyle w:val="halvfet"/>
                <w:rFonts w:eastAsiaTheme="minorEastAsia"/>
              </w:rPr>
              <w:t>.</w:t>
            </w:r>
          </w:p>
        </w:tc>
        <w:tc>
          <w:tcPr>
            <w:tcW w:w="4704" w:type="pct"/>
          </w:tcPr>
          <w:p w14:paraId="74E5BA1A" w14:textId="59069CF5" w:rsidR="00917FD1" w:rsidRPr="002411B9" w:rsidRDefault="003B7B49">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eastAsiaTheme="minorEastAsia" w:cstheme="minorHAnsi"/>
                <w:sz w:val="22"/>
                <w:szCs w:val="22"/>
                <w:lang w:val="nb-NO"/>
              </w:rPr>
              <w:t>I</w:t>
            </w:r>
            <w:r w:rsidR="00991800" w:rsidRPr="002411B9">
              <w:rPr>
                <w:rFonts w:eastAsiaTheme="minorEastAsia" w:cstheme="minorHAnsi"/>
                <w:sz w:val="22"/>
                <w:szCs w:val="22"/>
                <w:lang w:val="nb-NO"/>
              </w:rPr>
              <w:t xml:space="preserve"> dagens situasjon hvor mange leger i påvente av LIS-1 har tilegnet seg betydelig arbeidserfaring</w:t>
            </w:r>
            <w:r w:rsidR="00F546BC" w:rsidRPr="002411B9">
              <w:rPr>
                <w:rFonts w:eastAsiaTheme="minorEastAsia" w:cstheme="minorHAnsi"/>
                <w:sz w:val="22"/>
                <w:szCs w:val="22"/>
                <w:lang w:val="nb-NO"/>
              </w:rPr>
              <w:t>,</w:t>
            </w:r>
            <w:r w:rsidR="00991800" w:rsidRPr="002411B9">
              <w:rPr>
                <w:rFonts w:eastAsiaTheme="minorEastAsia" w:cstheme="minorHAnsi"/>
                <w:sz w:val="22"/>
                <w:szCs w:val="22"/>
                <w:lang w:val="nb-NO"/>
              </w:rPr>
              <w:t xml:space="preserve"> bør det åpnes opp for at arbeidsgiver ved ansettelse i egne opprettede LIS1-stillinger, kan gjøre en vurdering av om rekkefølgekravet skal opprettholdes eller ikke. </w:t>
            </w:r>
          </w:p>
        </w:tc>
      </w:tr>
      <w:tr w:rsidR="0050190B" w:rsidRPr="002411B9" w14:paraId="4799671D"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2D291317" w14:textId="0D01D5BE" w:rsidR="0016139C" w:rsidRPr="00D9107F" w:rsidRDefault="0016139C" w:rsidP="00B340D5">
            <w:pPr>
              <w:pStyle w:val="TabellHode-rad"/>
              <w:rPr>
                <w:rStyle w:val="halvfet"/>
              </w:rPr>
            </w:pPr>
            <w:r w:rsidRPr="00D9107F">
              <w:rPr>
                <w:rStyle w:val="halvfet"/>
              </w:rPr>
              <w:t>4</w:t>
            </w:r>
            <w:r w:rsidR="00245BD8" w:rsidRPr="00D9107F">
              <w:rPr>
                <w:rStyle w:val="halvfet"/>
              </w:rPr>
              <w:t>7</w:t>
            </w:r>
            <w:r w:rsidR="00825BD3" w:rsidRPr="00D9107F">
              <w:rPr>
                <w:rStyle w:val="halvfet"/>
              </w:rPr>
              <w:t>.</w:t>
            </w:r>
          </w:p>
        </w:tc>
        <w:tc>
          <w:tcPr>
            <w:tcW w:w="4704" w:type="pct"/>
          </w:tcPr>
          <w:p w14:paraId="4AF5826D" w14:textId="55533531"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Søkere som trekker seg fra </w:t>
            </w:r>
            <w:r w:rsidR="00AB2155" w:rsidRPr="002411B9">
              <w:rPr>
                <w:rFonts w:cstheme="minorHAnsi"/>
                <w:sz w:val="22"/>
                <w:szCs w:val="22"/>
                <w:lang w:val="nb-NO"/>
              </w:rPr>
              <w:t xml:space="preserve">kommunedelen av </w:t>
            </w:r>
            <w:r w:rsidRPr="002411B9">
              <w:rPr>
                <w:rFonts w:cstheme="minorHAnsi"/>
                <w:sz w:val="22"/>
                <w:szCs w:val="22"/>
                <w:lang w:val="nb-NO"/>
              </w:rPr>
              <w:t>en koblet LIS1-stilling, bør ikke kunne ta en LIS1-stilling i en ny kommune før ved neste ordinære utlysning.</w:t>
            </w:r>
          </w:p>
        </w:tc>
      </w:tr>
      <w:tr w:rsidR="0050190B" w:rsidRPr="002411B9" w14:paraId="50293333"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768E7C17" w14:textId="0F3CF4FD" w:rsidR="0016139C" w:rsidRPr="00D9107F" w:rsidRDefault="0016139C" w:rsidP="00B340D5">
            <w:pPr>
              <w:pStyle w:val="TabellHode-rad"/>
              <w:rPr>
                <w:rStyle w:val="halvfet"/>
              </w:rPr>
            </w:pPr>
            <w:r w:rsidRPr="00D9107F">
              <w:rPr>
                <w:rStyle w:val="halvfet"/>
              </w:rPr>
              <w:t>4</w:t>
            </w:r>
            <w:r w:rsidR="00245BD8" w:rsidRPr="00D9107F">
              <w:rPr>
                <w:rStyle w:val="halvfet"/>
              </w:rPr>
              <w:t>8</w:t>
            </w:r>
            <w:r w:rsidR="00825BD3" w:rsidRPr="00D9107F">
              <w:rPr>
                <w:rStyle w:val="halvfet"/>
              </w:rPr>
              <w:t>.</w:t>
            </w:r>
          </w:p>
        </w:tc>
        <w:tc>
          <w:tcPr>
            <w:tcW w:w="4704" w:type="pct"/>
          </w:tcPr>
          <w:p w14:paraId="6315A35E" w14:textId="7A9D5E83"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Sykehus og kommuner bør</w:t>
            </w:r>
            <w:r w:rsidRPr="002411B9">
              <w:rPr>
                <w:rFonts w:eastAsiaTheme="minorEastAsia" w:cstheme="minorHAnsi"/>
                <w:sz w:val="22"/>
                <w:szCs w:val="22"/>
                <w:lang w:val="nb-NO"/>
              </w:rPr>
              <w:t xml:space="preserve"> </w:t>
            </w:r>
            <w:r w:rsidR="0091232D" w:rsidRPr="002411B9">
              <w:rPr>
                <w:rFonts w:cstheme="minorHAnsi"/>
                <w:sz w:val="22"/>
                <w:szCs w:val="22"/>
                <w:lang w:val="nb-NO"/>
              </w:rPr>
              <w:t>i fellesskap</w:t>
            </w:r>
            <w:r w:rsidRPr="002411B9">
              <w:rPr>
                <w:rFonts w:eastAsiaTheme="minorEastAsia" w:cstheme="minorHAnsi"/>
                <w:sz w:val="22"/>
                <w:szCs w:val="22"/>
                <w:lang w:val="nb-NO"/>
              </w:rPr>
              <w:t xml:space="preserve"> gis ansvar for å vurdere behovet for og opprettelsen av knyttede LIS1-stillinger til videre spesialiseringsløp i allmennmedisin. </w:t>
            </w:r>
          </w:p>
        </w:tc>
      </w:tr>
      <w:tr w:rsidR="0050190B" w:rsidRPr="002411B9" w14:paraId="66855EB2"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5CEC6E8A" w14:textId="022E2BC1" w:rsidR="0016139C" w:rsidRPr="00D9107F" w:rsidRDefault="0016139C" w:rsidP="00B340D5">
            <w:pPr>
              <w:pStyle w:val="TabellHode-rad"/>
              <w:rPr>
                <w:rStyle w:val="halvfet"/>
              </w:rPr>
            </w:pPr>
            <w:r w:rsidRPr="00D9107F">
              <w:rPr>
                <w:rStyle w:val="halvfet"/>
              </w:rPr>
              <w:t>4</w:t>
            </w:r>
            <w:r w:rsidR="00245BD8" w:rsidRPr="00D9107F">
              <w:rPr>
                <w:rStyle w:val="halvfet"/>
              </w:rPr>
              <w:t>9</w:t>
            </w:r>
            <w:r w:rsidR="00825BD3" w:rsidRPr="00D9107F">
              <w:rPr>
                <w:rStyle w:val="halvfet"/>
              </w:rPr>
              <w:t>.</w:t>
            </w:r>
          </w:p>
        </w:tc>
        <w:tc>
          <w:tcPr>
            <w:tcW w:w="4704" w:type="pct"/>
          </w:tcPr>
          <w:p w14:paraId="579E1480" w14:textId="6C77B4CA"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Kravene knyttet til at veileder må være spesialist i allmennmedisin</w:t>
            </w:r>
            <w:r w:rsidR="000517C9" w:rsidRPr="002411B9">
              <w:rPr>
                <w:rFonts w:cstheme="minorHAnsi"/>
                <w:sz w:val="22"/>
                <w:szCs w:val="22"/>
                <w:lang w:val="nb-NO"/>
              </w:rPr>
              <w:t>,</w:t>
            </w:r>
            <w:r w:rsidRPr="002411B9">
              <w:rPr>
                <w:rFonts w:cstheme="minorHAnsi"/>
                <w:sz w:val="22"/>
                <w:szCs w:val="22"/>
                <w:lang w:val="nb-NO"/>
              </w:rPr>
              <w:t xml:space="preserve"> og til gjennomføring av institusjonstjeneste</w:t>
            </w:r>
            <w:r w:rsidR="00D22DCA" w:rsidRPr="002411B9">
              <w:rPr>
                <w:rFonts w:cstheme="minorHAnsi"/>
                <w:sz w:val="22"/>
                <w:szCs w:val="22"/>
                <w:lang w:val="nb-NO"/>
              </w:rPr>
              <w:t>,</w:t>
            </w:r>
            <w:r w:rsidRPr="002411B9">
              <w:rPr>
                <w:rFonts w:cstheme="minorHAnsi"/>
                <w:sz w:val="22"/>
                <w:szCs w:val="22"/>
                <w:lang w:val="nb-NO"/>
              </w:rPr>
              <w:t xml:space="preserve"> bør mykes opp. </w:t>
            </w:r>
          </w:p>
        </w:tc>
      </w:tr>
      <w:tr w:rsidR="0050190B" w:rsidRPr="002411B9" w14:paraId="6F260F64"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3B76EB3C" w14:textId="0FC44A1A" w:rsidR="0016139C" w:rsidRPr="00D9107F" w:rsidRDefault="00245BD8" w:rsidP="00B340D5">
            <w:pPr>
              <w:pStyle w:val="TabellHode-rad"/>
              <w:rPr>
                <w:rStyle w:val="halvfet"/>
              </w:rPr>
            </w:pPr>
            <w:r w:rsidRPr="00D9107F">
              <w:rPr>
                <w:rStyle w:val="halvfet"/>
              </w:rPr>
              <w:t>50</w:t>
            </w:r>
            <w:r w:rsidR="00B30AC3" w:rsidRPr="00D9107F">
              <w:rPr>
                <w:rStyle w:val="halvfet"/>
              </w:rPr>
              <w:t>.</w:t>
            </w:r>
          </w:p>
        </w:tc>
        <w:tc>
          <w:tcPr>
            <w:tcW w:w="4704" w:type="pct"/>
          </w:tcPr>
          <w:p w14:paraId="258EB798" w14:textId="6431A42F"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Kravet til stillingsprosent ved gjennomføring av to års åpen uselektert allmennpraksis bør fjernes. </w:t>
            </w:r>
          </w:p>
        </w:tc>
      </w:tr>
      <w:tr w:rsidR="0050190B" w:rsidRPr="002411B9" w14:paraId="2B2CC035"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08F424D3" w14:textId="6B841F01" w:rsidR="008D21FC" w:rsidRPr="00D9107F" w:rsidRDefault="008D21FC" w:rsidP="00B340D5">
            <w:pPr>
              <w:pStyle w:val="TabellHode-rad"/>
              <w:rPr>
                <w:rStyle w:val="halvfet"/>
              </w:rPr>
            </w:pPr>
            <w:r w:rsidRPr="00D9107F">
              <w:rPr>
                <w:rStyle w:val="halvfet"/>
              </w:rPr>
              <w:t>5</w:t>
            </w:r>
            <w:r w:rsidR="00245BD8" w:rsidRPr="00D9107F">
              <w:rPr>
                <w:rStyle w:val="halvfet"/>
              </w:rPr>
              <w:t>1</w:t>
            </w:r>
            <w:r w:rsidRPr="00D9107F">
              <w:rPr>
                <w:rStyle w:val="halvfet"/>
              </w:rPr>
              <w:t>.</w:t>
            </w:r>
          </w:p>
        </w:tc>
        <w:tc>
          <w:tcPr>
            <w:tcW w:w="4704" w:type="pct"/>
          </w:tcPr>
          <w:p w14:paraId="222972FB" w14:textId="77777777"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Det bør opprettes utdanningsstillinger der ALIS er ansatt og jobber på andre legers liste.</w:t>
            </w:r>
          </w:p>
        </w:tc>
      </w:tr>
      <w:tr w:rsidR="0050190B" w:rsidRPr="002411B9" w14:paraId="33337C7A"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6218637F" w14:textId="75CE5838" w:rsidR="008D21FC" w:rsidRPr="00D9107F" w:rsidRDefault="008D21FC" w:rsidP="00B340D5">
            <w:pPr>
              <w:pStyle w:val="TabellHode-rad"/>
              <w:rPr>
                <w:rStyle w:val="halvfet"/>
              </w:rPr>
            </w:pPr>
            <w:r w:rsidRPr="00D9107F">
              <w:rPr>
                <w:rStyle w:val="halvfet"/>
              </w:rPr>
              <w:t>5</w:t>
            </w:r>
            <w:r w:rsidR="00245BD8" w:rsidRPr="00D9107F">
              <w:rPr>
                <w:rStyle w:val="halvfet"/>
              </w:rPr>
              <w:t>2</w:t>
            </w:r>
            <w:r w:rsidRPr="00D9107F">
              <w:rPr>
                <w:rStyle w:val="halvfet"/>
              </w:rPr>
              <w:t>.</w:t>
            </w:r>
          </w:p>
        </w:tc>
        <w:tc>
          <w:tcPr>
            <w:tcW w:w="4704" w:type="pct"/>
          </w:tcPr>
          <w:p w14:paraId="6ED66D7E" w14:textId="1264F3A1" w:rsidR="0050190B" w:rsidRPr="002411B9" w:rsidRDefault="0050190B">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Veiledning av medisinstudenter, LIS1 og ALIS </w:t>
            </w:r>
            <w:r w:rsidR="00DB77B1" w:rsidRPr="002411B9">
              <w:rPr>
                <w:rFonts w:cstheme="minorHAnsi"/>
                <w:sz w:val="22"/>
                <w:szCs w:val="22"/>
                <w:lang w:val="nb-NO"/>
              </w:rPr>
              <w:t xml:space="preserve">bør </w:t>
            </w:r>
            <w:r w:rsidRPr="002411B9">
              <w:rPr>
                <w:rFonts w:cstheme="minorHAnsi"/>
                <w:sz w:val="22"/>
                <w:szCs w:val="22"/>
                <w:lang w:val="nb-NO"/>
              </w:rPr>
              <w:t>sidestilles med fastlegens deltakelse i andre allmennlegeoppgaver</w:t>
            </w:r>
            <w:r w:rsidR="00D22DCA" w:rsidRPr="002411B9">
              <w:rPr>
                <w:rFonts w:cstheme="minorHAnsi"/>
                <w:sz w:val="22"/>
                <w:szCs w:val="22"/>
                <w:lang w:val="nb-NO"/>
              </w:rPr>
              <w:t>.</w:t>
            </w:r>
          </w:p>
        </w:tc>
      </w:tr>
      <w:tr w:rsidR="0050190B" w:rsidRPr="002411B9" w14:paraId="4B13D2D9"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55608480" w14:textId="194200A5" w:rsidR="008D21FC" w:rsidRPr="00D9107F" w:rsidRDefault="008D21FC" w:rsidP="00B340D5">
            <w:pPr>
              <w:pStyle w:val="TabellHode-rad"/>
              <w:rPr>
                <w:rStyle w:val="halvfet"/>
              </w:rPr>
            </w:pPr>
            <w:r w:rsidRPr="00D9107F">
              <w:rPr>
                <w:rStyle w:val="halvfet"/>
              </w:rPr>
              <w:t>5</w:t>
            </w:r>
            <w:r w:rsidR="00245BD8" w:rsidRPr="00D9107F">
              <w:rPr>
                <w:rStyle w:val="halvfet"/>
              </w:rPr>
              <w:t>3</w:t>
            </w:r>
            <w:r w:rsidRPr="00D9107F">
              <w:rPr>
                <w:rStyle w:val="halvfet"/>
              </w:rPr>
              <w:t>.</w:t>
            </w:r>
          </w:p>
        </w:tc>
        <w:tc>
          <w:tcPr>
            <w:tcW w:w="4704" w:type="pct"/>
          </w:tcPr>
          <w:p w14:paraId="593B17FB" w14:textId="5EABF9D4" w:rsidR="0050190B" w:rsidRPr="002411B9" w:rsidRDefault="00F937FF">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Det kan legges til rette for økonomisk kompensasjon for faglig oppdatering. </w:t>
            </w:r>
            <w:r w:rsidR="0050190B" w:rsidRPr="002411B9">
              <w:rPr>
                <w:rFonts w:cstheme="minorHAnsi"/>
                <w:sz w:val="22"/>
                <w:szCs w:val="22"/>
                <w:lang w:val="nb-NO"/>
              </w:rPr>
              <w:t>Dagens krav om sentral godkjenning av detaljerte etterutdanningsaktiviteter for å kunne opprettholde spesialisttakst</w:t>
            </w:r>
            <w:r w:rsidRPr="002411B9">
              <w:rPr>
                <w:rFonts w:cstheme="minorHAnsi"/>
                <w:sz w:val="22"/>
                <w:szCs w:val="22"/>
                <w:lang w:val="nb-NO"/>
              </w:rPr>
              <w:t xml:space="preserve"> </w:t>
            </w:r>
            <w:r w:rsidR="0050190B" w:rsidRPr="002411B9">
              <w:rPr>
                <w:rFonts w:cstheme="minorHAnsi"/>
                <w:sz w:val="22"/>
                <w:szCs w:val="22"/>
                <w:lang w:val="nb-NO"/>
              </w:rPr>
              <w:t>kan vurderes avviklet.</w:t>
            </w:r>
          </w:p>
        </w:tc>
      </w:tr>
      <w:tr w:rsidR="0050190B" w:rsidRPr="002411B9" w14:paraId="77F36E61" w14:textId="77777777" w:rsidTr="00A43B75">
        <w:tc>
          <w:tcPr>
            <w:cnfStyle w:val="001000000000" w:firstRow="0" w:lastRow="0" w:firstColumn="1" w:lastColumn="0" w:oddVBand="0" w:evenVBand="0" w:oddHBand="0" w:evenHBand="0" w:firstRowFirstColumn="0" w:firstRowLastColumn="0" w:lastRowFirstColumn="0" w:lastRowLastColumn="0"/>
            <w:tcW w:w="296" w:type="pct"/>
            <w:gridSpan w:val="2"/>
          </w:tcPr>
          <w:p w14:paraId="6B4DD0F7" w14:textId="17D76F77" w:rsidR="008D21FC" w:rsidRPr="00D9107F" w:rsidRDefault="008D21FC" w:rsidP="00B340D5">
            <w:pPr>
              <w:pStyle w:val="TabellHode-rad"/>
              <w:rPr>
                <w:rStyle w:val="halvfet"/>
              </w:rPr>
            </w:pPr>
            <w:r w:rsidRPr="00D9107F">
              <w:rPr>
                <w:rStyle w:val="halvfet"/>
              </w:rPr>
              <w:t>5</w:t>
            </w:r>
            <w:r w:rsidR="00245BD8" w:rsidRPr="00D9107F">
              <w:rPr>
                <w:rStyle w:val="halvfet"/>
              </w:rPr>
              <w:t>4</w:t>
            </w:r>
            <w:r w:rsidRPr="00D9107F">
              <w:rPr>
                <w:rStyle w:val="halvfet"/>
              </w:rPr>
              <w:t>.</w:t>
            </w:r>
          </w:p>
        </w:tc>
        <w:tc>
          <w:tcPr>
            <w:tcW w:w="4704" w:type="pct"/>
          </w:tcPr>
          <w:p w14:paraId="528CA06E" w14:textId="0B4EACDD" w:rsidR="0050190B" w:rsidRPr="002411B9" w:rsidRDefault="0050190B"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Det bør legges til rette for at kommunen</w:t>
            </w:r>
            <w:r w:rsidR="008004F0" w:rsidRPr="002411B9">
              <w:rPr>
                <w:rFonts w:cstheme="minorHAnsi"/>
                <w:sz w:val="22"/>
                <w:szCs w:val="22"/>
                <w:lang w:val="nb-NO"/>
              </w:rPr>
              <w:t>e</w:t>
            </w:r>
            <w:r w:rsidRPr="002411B9">
              <w:rPr>
                <w:rFonts w:cstheme="minorHAnsi"/>
                <w:sz w:val="22"/>
                <w:szCs w:val="22"/>
                <w:lang w:val="nb-NO"/>
              </w:rPr>
              <w:t xml:space="preserve"> kan ivareta sitt ansvar som utdanningsvirksomhet</w:t>
            </w:r>
            <w:r w:rsidR="00D22DCA" w:rsidRPr="002411B9">
              <w:rPr>
                <w:rFonts w:cstheme="minorHAnsi"/>
                <w:sz w:val="22"/>
                <w:szCs w:val="22"/>
                <w:lang w:val="nb-NO"/>
              </w:rPr>
              <w:t>,</w:t>
            </w:r>
            <w:r w:rsidRPr="002411B9">
              <w:rPr>
                <w:rFonts w:cstheme="minorHAnsi"/>
                <w:sz w:val="22"/>
                <w:szCs w:val="22"/>
                <w:lang w:val="nb-NO"/>
              </w:rPr>
              <w:t xml:space="preserve"> på tvers av kommunegrenser</w:t>
            </w:r>
            <w:r w:rsidR="00D22DCA" w:rsidRPr="002411B9">
              <w:rPr>
                <w:rFonts w:cstheme="minorHAnsi"/>
                <w:sz w:val="22"/>
                <w:szCs w:val="22"/>
                <w:lang w:val="nb-NO"/>
              </w:rPr>
              <w:t>.</w:t>
            </w:r>
          </w:p>
        </w:tc>
      </w:tr>
      <w:tr w:rsidR="00807F39" w:rsidRPr="002411B9" w14:paraId="40658117" w14:textId="77777777" w:rsidTr="00B340D5">
        <w:tc>
          <w:tcPr>
            <w:cnfStyle w:val="001000000000" w:firstRow="0" w:lastRow="0" w:firstColumn="1" w:lastColumn="0" w:oddVBand="0" w:evenVBand="0" w:oddHBand="0" w:evenHBand="0" w:firstRowFirstColumn="0" w:firstRowLastColumn="0" w:lastRowFirstColumn="0" w:lastRowLastColumn="0"/>
            <w:tcW w:w="289" w:type="pct"/>
            <w:shd w:val="clear" w:color="auto" w:fill="A9D6B9"/>
          </w:tcPr>
          <w:p w14:paraId="64AD7EA7" w14:textId="06CCD9EE" w:rsidR="00807F39" w:rsidRPr="00B340D5" w:rsidRDefault="00245BD8" w:rsidP="00B340D5">
            <w:pPr>
              <w:pStyle w:val="TabellHode-kolonne"/>
              <w:rPr>
                <w:rStyle w:val="halvfet"/>
              </w:rPr>
            </w:pPr>
            <w:bookmarkStart w:id="6062" w:name="_Toc130932263"/>
            <w:bookmarkStart w:id="6063" w:name="_Toc130934554"/>
            <w:bookmarkStart w:id="6064" w:name="_Toc130983727"/>
            <w:bookmarkStart w:id="6065" w:name="_Toc130984076"/>
            <w:bookmarkStart w:id="6066" w:name="_Toc131062308"/>
            <w:bookmarkStart w:id="6067" w:name="_Toc131062562"/>
            <w:bookmarkStart w:id="6068" w:name="_Toc131062823"/>
            <w:bookmarkStart w:id="6069" w:name="_Toc131063076"/>
            <w:bookmarkStart w:id="6070" w:name="_Toc131063859"/>
            <w:bookmarkStart w:id="6071" w:name="_Toc131064270"/>
            <w:bookmarkEnd w:id="6061"/>
            <w:r w:rsidRPr="00B340D5">
              <w:rPr>
                <w:rStyle w:val="halvfet"/>
              </w:rPr>
              <w:t>#</w:t>
            </w:r>
          </w:p>
        </w:tc>
        <w:tc>
          <w:tcPr>
            <w:tcW w:w="4711" w:type="pct"/>
            <w:gridSpan w:val="2"/>
            <w:shd w:val="clear" w:color="auto" w:fill="A9D6B9"/>
          </w:tcPr>
          <w:p w14:paraId="6EE0C7FF" w14:textId="77777777" w:rsidR="00807F39" w:rsidRPr="00B340D5" w:rsidRDefault="00807F39" w:rsidP="00B340D5">
            <w:pPr>
              <w:pStyle w:val="TabellHode-kolonne"/>
              <w:cnfStyle w:val="000000000000" w:firstRow="0" w:lastRow="0" w:firstColumn="0" w:lastColumn="0" w:oddVBand="0" w:evenVBand="0" w:oddHBand="0" w:evenHBand="0" w:firstRowFirstColumn="0" w:firstRowLastColumn="0" w:lastRowFirstColumn="0" w:lastRowLastColumn="0"/>
              <w:rPr>
                <w:rStyle w:val="halvfet"/>
              </w:rPr>
            </w:pPr>
            <w:bookmarkStart w:id="6072" w:name="OLE_LINK6"/>
            <w:r w:rsidRPr="00B340D5">
              <w:rPr>
                <w:rStyle w:val="halvfet"/>
              </w:rPr>
              <w:t xml:space="preserve">Digitalisering, innovasjon, forskning og ledelse </w:t>
            </w:r>
          </w:p>
        </w:tc>
      </w:tr>
      <w:tr w:rsidR="00807F39" w:rsidRPr="002411B9" w14:paraId="4B1904A9" w14:textId="77777777" w:rsidTr="00B340D5">
        <w:tc>
          <w:tcPr>
            <w:cnfStyle w:val="001000000000" w:firstRow="0" w:lastRow="0" w:firstColumn="1" w:lastColumn="0" w:oddVBand="0" w:evenVBand="0" w:oddHBand="0" w:evenHBand="0" w:firstRowFirstColumn="0" w:firstRowLastColumn="0" w:lastRowFirstColumn="0" w:lastRowLastColumn="0"/>
            <w:tcW w:w="289" w:type="pct"/>
          </w:tcPr>
          <w:p w14:paraId="11162826" w14:textId="13A25F44" w:rsidR="00807F39" w:rsidRPr="00D9107F" w:rsidRDefault="0016139C" w:rsidP="00B340D5">
            <w:pPr>
              <w:pStyle w:val="TabellHode-rad"/>
              <w:rPr>
                <w:rStyle w:val="halvfet"/>
              </w:rPr>
            </w:pPr>
            <w:r w:rsidRPr="00D9107F">
              <w:rPr>
                <w:rStyle w:val="halvfet"/>
              </w:rPr>
              <w:t>5</w:t>
            </w:r>
            <w:r w:rsidR="00245BD8" w:rsidRPr="00D9107F">
              <w:rPr>
                <w:rStyle w:val="halvfet"/>
              </w:rPr>
              <w:t>5</w:t>
            </w:r>
            <w:r w:rsidR="00B30AC3" w:rsidRPr="00D9107F">
              <w:rPr>
                <w:rStyle w:val="halvfet"/>
              </w:rPr>
              <w:t>.</w:t>
            </w:r>
          </w:p>
        </w:tc>
        <w:tc>
          <w:tcPr>
            <w:tcW w:w="4711" w:type="pct"/>
            <w:gridSpan w:val="2"/>
          </w:tcPr>
          <w:p w14:paraId="1A0EF6A6" w14:textId="48BC1194" w:rsidR="00807F39" w:rsidRPr="002411B9" w:rsidRDefault="00807F39"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Staten bør ha en førende og tydelig rolle i digitalisering av helsetjenester, i kompaniskap med KS/kommunene og private leverandører. </w:t>
            </w:r>
          </w:p>
        </w:tc>
      </w:tr>
      <w:tr w:rsidR="001F30D5" w:rsidRPr="002411B9" w14:paraId="225262D9" w14:textId="77777777" w:rsidTr="00B340D5">
        <w:tc>
          <w:tcPr>
            <w:cnfStyle w:val="001000000000" w:firstRow="0" w:lastRow="0" w:firstColumn="1" w:lastColumn="0" w:oddVBand="0" w:evenVBand="0" w:oddHBand="0" w:evenHBand="0" w:firstRowFirstColumn="0" w:firstRowLastColumn="0" w:lastRowFirstColumn="0" w:lastRowLastColumn="0"/>
            <w:tcW w:w="289" w:type="pct"/>
          </w:tcPr>
          <w:p w14:paraId="67BE3ACD" w14:textId="03FBBFF7" w:rsidR="001F30D5" w:rsidRPr="00D9107F" w:rsidRDefault="001F30D5" w:rsidP="00B340D5">
            <w:pPr>
              <w:pStyle w:val="TabellHode-rad"/>
              <w:rPr>
                <w:rStyle w:val="halvfet"/>
              </w:rPr>
            </w:pPr>
            <w:r w:rsidRPr="00D9107F">
              <w:rPr>
                <w:rStyle w:val="halvfet"/>
              </w:rPr>
              <w:lastRenderedPageBreak/>
              <w:t>5</w:t>
            </w:r>
            <w:r w:rsidR="00245BD8" w:rsidRPr="00D9107F">
              <w:rPr>
                <w:rStyle w:val="halvfet"/>
              </w:rPr>
              <w:t>6</w:t>
            </w:r>
            <w:r w:rsidRPr="00D9107F">
              <w:rPr>
                <w:rStyle w:val="halvfet"/>
              </w:rPr>
              <w:t>.</w:t>
            </w:r>
          </w:p>
        </w:tc>
        <w:tc>
          <w:tcPr>
            <w:tcW w:w="4711" w:type="pct"/>
            <w:gridSpan w:val="2"/>
          </w:tcPr>
          <w:p w14:paraId="07E2C954" w14:textId="518B6DBD" w:rsidR="001F30D5" w:rsidRPr="002411B9" w:rsidRDefault="003E2129"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For at fastlegene lettere skal kunne prioritere sin kapasitet i tråd med pasientenes medisinske behov, </w:t>
            </w:r>
            <w:r w:rsidR="00983BFD" w:rsidRPr="002411B9">
              <w:rPr>
                <w:rFonts w:cstheme="minorHAnsi"/>
                <w:sz w:val="22"/>
                <w:szCs w:val="22"/>
                <w:lang w:val="nb-NO"/>
              </w:rPr>
              <w:t>anbefales</w:t>
            </w:r>
            <w:r w:rsidR="00564B3E" w:rsidRPr="002411B9">
              <w:rPr>
                <w:rFonts w:cstheme="minorHAnsi"/>
                <w:sz w:val="22"/>
                <w:szCs w:val="22"/>
                <w:lang w:val="nb-NO"/>
              </w:rPr>
              <w:t xml:space="preserve"> </w:t>
            </w:r>
            <w:r w:rsidRPr="002411B9">
              <w:rPr>
                <w:rFonts w:cstheme="minorHAnsi"/>
                <w:sz w:val="22"/>
                <w:szCs w:val="22"/>
                <w:lang w:val="nb-NO"/>
              </w:rPr>
              <w:t xml:space="preserve">innføring av et digitalt triageringsverktøy for alle fastlegekontor. </w:t>
            </w:r>
          </w:p>
        </w:tc>
      </w:tr>
      <w:tr w:rsidR="001F30D5" w:rsidRPr="002411B9" w14:paraId="3185279B" w14:textId="77777777" w:rsidTr="00B340D5">
        <w:tc>
          <w:tcPr>
            <w:cnfStyle w:val="001000000000" w:firstRow="0" w:lastRow="0" w:firstColumn="1" w:lastColumn="0" w:oddVBand="0" w:evenVBand="0" w:oddHBand="0" w:evenHBand="0" w:firstRowFirstColumn="0" w:firstRowLastColumn="0" w:lastRowFirstColumn="0" w:lastRowLastColumn="0"/>
            <w:tcW w:w="289" w:type="pct"/>
          </w:tcPr>
          <w:p w14:paraId="19D4B6BE" w14:textId="59DDA1BA" w:rsidR="001F30D5" w:rsidRPr="00D9107F" w:rsidRDefault="001F30D5" w:rsidP="00B340D5">
            <w:pPr>
              <w:pStyle w:val="TabellHode-rad"/>
              <w:rPr>
                <w:rStyle w:val="halvfet"/>
              </w:rPr>
            </w:pPr>
            <w:r w:rsidRPr="00D9107F">
              <w:rPr>
                <w:rStyle w:val="halvfet"/>
              </w:rPr>
              <w:t>5</w:t>
            </w:r>
            <w:r w:rsidR="00245BD8" w:rsidRPr="00D9107F">
              <w:rPr>
                <w:rStyle w:val="halvfet"/>
              </w:rPr>
              <w:t>7</w:t>
            </w:r>
            <w:r w:rsidRPr="00D9107F">
              <w:rPr>
                <w:rStyle w:val="halvfet"/>
              </w:rPr>
              <w:t>.</w:t>
            </w:r>
          </w:p>
        </w:tc>
        <w:tc>
          <w:tcPr>
            <w:tcW w:w="4711" w:type="pct"/>
            <w:gridSpan w:val="2"/>
          </w:tcPr>
          <w:p w14:paraId="1073475B" w14:textId="488B80F0" w:rsidR="001F30D5" w:rsidRPr="002411B9" w:rsidRDefault="001F30D5"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Det bør utvikles en statlig nettside, inspirert av den som eksisterer i Nederland, som kan gi helseråd til befolkningen. Det kan vurderes om et slikt lavterskeltilbud bør bygges ut med en døgnåpen allmennmedisinsk tjeneste med chat, telefon- eller videokonsultasjonstjeneste.</w:t>
            </w:r>
            <w:r w:rsidRPr="002411B9">
              <w:rPr>
                <w:rFonts w:cstheme="minorHAnsi"/>
                <w:color w:val="000000"/>
                <w:sz w:val="22"/>
                <w:szCs w:val="22"/>
                <w:shd w:val="clear" w:color="auto" w:fill="FFFFFF"/>
                <w:lang w:val="nb-NO"/>
              </w:rPr>
              <w:t xml:space="preserve"> </w:t>
            </w:r>
          </w:p>
        </w:tc>
      </w:tr>
      <w:tr w:rsidR="001F30D5" w:rsidRPr="002411B9" w14:paraId="6B0A4BB3" w14:textId="77777777" w:rsidTr="00B340D5">
        <w:tc>
          <w:tcPr>
            <w:cnfStyle w:val="001000000000" w:firstRow="0" w:lastRow="0" w:firstColumn="1" w:lastColumn="0" w:oddVBand="0" w:evenVBand="0" w:oddHBand="0" w:evenHBand="0" w:firstRowFirstColumn="0" w:firstRowLastColumn="0" w:lastRowFirstColumn="0" w:lastRowLastColumn="0"/>
            <w:tcW w:w="289" w:type="pct"/>
          </w:tcPr>
          <w:p w14:paraId="5C4D2BF7" w14:textId="0E282755" w:rsidR="001F30D5" w:rsidRPr="00D9107F" w:rsidRDefault="001F30D5" w:rsidP="00B340D5">
            <w:pPr>
              <w:pStyle w:val="TabellHode-rad"/>
              <w:rPr>
                <w:rStyle w:val="halvfet"/>
              </w:rPr>
            </w:pPr>
            <w:r w:rsidRPr="00D9107F">
              <w:rPr>
                <w:rStyle w:val="halvfet"/>
              </w:rPr>
              <w:t>5</w:t>
            </w:r>
            <w:r w:rsidR="00245BD8" w:rsidRPr="00D9107F">
              <w:rPr>
                <w:rStyle w:val="halvfet"/>
              </w:rPr>
              <w:t>8</w:t>
            </w:r>
            <w:r w:rsidRPr="00D9107F">
              <w:rPr>
                <w:rStyle w:val="halvfet"/>
              </w:rPr>
              <w:t>.</w:t>
            </w:r>
          </w:p>
        </w:tc>
        <w:tc>
          <w:tcPr>
            <w:tcW w:w="4711" w:type="pct"/>
            <w:gridSpan w:val="2"/>
          </w:tcPr>
          <w:p w14:paraId="179C8796" w14:textId="04A47E6C" w:rsidR="001F30D5" w:rsidRPr="002411B9" w:rsidRDefault="001F30D5"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 xml:space="preserve">Datagrunnlaget for allmennlegetjenesten bør forbedres, både for å styrke planlegging og beredskap, </w:t>
            </w:r>
            <w:r w:rsidR="00915A2A" w:rsidRPr="002411B9">
              <w:rPr>
                <w:rFonts w:cstheme="minorHAnsi"/>
                <w:sz w:val="22"/>
                <w:szCs w:val="22"/>
                <w:lang w:val="nb-NO"/>
              </w:rPr>
              <w:t>og</w:t>
            </w:r>
            <w:r w:rsidRPr="002411B9">
              <w:rPr>
                <w:rFonts w:cstheme="minorHAnsi"/>
                <w:sz w:val="22"/>
                <w:szCs w:val="22"/>
                <w:lang w:val="nb-NO"/>
              </w:rPr>
              <w:t xml:space="preserve"> for raskere å kunne vurdere situasjoner knyttet til mangler ved fastlegeordningen og iverksette treffende tiltak. </w:t>
            </w:r>
          </w:p>
        </w:tc>
      </w:tr>
      <w:tr w:rsidR="001F30D5" w:rsidRPr="002411B9" w14:paraId="36D06B23" w14:textId="77777777" w:rsidTr="00B340D5">
        <w:trPr>
          <w:trHeight w:val="574"/>
        </w:trPr>
        <w:tc>
          <w:tcPr>
            <w:cnfStyle w:val="001000000000" w:firstRow="0" w:lastRow="0" w:firstColumn="1" w:lastColumn="0" w:oddVBand="0" w:evenVBand="0" w:oddHBand="0" w:evenHBand="0" w:firstRowFirstColumn="0" w:firstRowLastColumn="0" w:lastRowFirstColumn="0" w:lastRowLastColumn="0"/>
            <w:tcW w:w="289" w:type="pct"/>
          </w:tcPr>
          <w:p w14:paraId="0506F370" w14:textId="16DF1247" w:rsidR="001F30D5" w:rsidRPr="00D9107F" w:rsidRDefault="001F30D5" w:rsidP="00B340D5">
            <w:pPr>
              <w:pStyle w:val="TabellHode-rad"/>
              <w:rPr>
                <w:rStyle w:val="halvfet"/>
              </w:rPr>
            </w:pPr>
            <w:r w:rsidRPr="00D9107F">
              <w:rPr>
                <w:rStyle w:val="halvfet"/>
              </w:rPr>
              <w:t>5</w:t>
            </w:r>
            <w:r w:rsidR="00245BD8" w:rsidRPr="00D9107F">
              <w:rPr>
                <w:rStyle w:val="halvfet"/>
              </w:rPr>
              <w:t>9</w:t>
            </w:r>
            <w:r w:rsidRPr="00D9107F">
              <w:rPr>
                <w:rStyle w:val="halvfet"/>
              </w:rPr>
              <w:t>.</w:t>
            </w:r>
          </w:p>
        </w:tc>
        <w:tc>
          <w:tcPr>
            <w:tcW w:w="4711" w:type="pct"/>
            <w:gridSpan w:val="2"/>
          </w:tcPr>
          <w:p w14:paraId="76B5C841" w14:textId="5CF0D8E8" w:rsidR="001F30D5" w:rsidRPr="002411B9" w:rsidRDefault="00517369" w:rsidP="009D7F58">
            <w:pPr>
              <w:cnfStyle w:val="000000000000" w:firstRow="0" w:lastRow="0" w:firstColumn="0" w:lastColumn="0" w:oddVBand="0" w:evenVBand="0" w:oddHBand="0" w:evenHBand="0" w:firstRowFirstColumn="0" w:firstRowLastColumn="0" w:lastRowFirstColumn="0" w:lastRowLastColumn="0"/>
              <w:rPr>
                <w:rFonts w:cstheme="minorHAnsi"/>
                <w:sz w:val="22"/>
                <w:szCs w:val="22"/>
                <w:lang w:val="nb-NO"/>
              </w:rPr>
            </w:pPr>
            <w:r w:rsidRPr="002411B9">
              <w:rPr>
                <w:rFonts w:cstheme="minorHAnsi"/>
                <w:sz w:val="22"/>
                <w:szCs w:val="22"/>
                <w:lang w:val="nb-NO"/>
              </w:rPr>
              <w:t>S</w:t>
            </w:r>
            <w:r w:rsidR="009D537F" w:rsidRPr="002411B9">
              <w:rPr>
                <w:rFonts w:cstheme="minorHAnsi"/>
                <w:sz w:val="22"/>
                <w:szCs w:val="22"/>
                <w:lang w:val="nb-NO"/>
              </w:rPr>
              <w:t xml:space="preserve">taten </w:t>
            </w:r>
            <w:r w:rsidRPr="002411B9">
              <w:rPr>
                <w:rFonts w:cstheme="minorHAnsi"/>
                <w:sz w:val="22"/>
                <w:szCs w:val="22"/>
                <w:lang w:val="nb-NO"/>
              </w:rPr>
              <w:t xml:space="preserve">bør </w:t>
            </w:r>
            <w:r w:rsidR="009D537F" w:rsidRPr="002411B9">
              <w:rPr>
                <w:rFonts w:cstheme="minorHAnsi"/>
                <w:sz w:val="22"/>
                <w:szCs w:val="22"/>
                <w:lang w:val="nb-NO"/>
              </w:rPr>
              <w:t>bidra med stabile, tilstrekkelige og uavhengige finansieringskilder</w:t>
            </w:r>
            <w:r w:rsidR="00564B3E" w:rsidRPr="002411B9">
              <w:rPr>
                <w:rFonts w:cstheme="minorHAnsi"/>
                <w:sz w:val="22"/>
                <w:szCs w:val="22"/>
                <w:lang w:val="nb-NO"/>
              </w:rPr>
              <w:t xml:space="preserve"> for forskning på allmennlegetjenestene og i allmennmedisin</w:t>
            </w:r>
            <w:r w:rsidR="009D537F" w:rsidRPr="002411B9">
              <w:rPr>
                <w:rFonts w:cstheme="minorHAnsi"/>
                <w:sz w:val="22"/>
                <w:szCs w:val="22"/>
                <w:lang w:val="nb-NO"/>
              </w:rPr>
              <w:t>.</w:t>
            </w:r>
          </w:p>
        </w:tc>
      </w:tr>
    </w:tbl>
    <w:p w14:paraId="41309DEB" w14:textId="3E1201DC" w:rsidR="00466214" w:rsidRPr="00F60BDC" w:rsidRDefault="75DC2294" w:rsidP="00775632">
      <w:pPr>
        <w:pStyle w:val="Overskrift1"/>
      </w:pPr>
      <w:bookmarkStart w:id="6073" w:name="_Toc131279691"/>
      <w:bookmarkStart w:id="6074" w:name="_Toc131287103"/>
      <w:bookmarkStart w:id="6075" w:name="_Toc131281513"/>
      <w:bookmarkStart w:id="6076" w:name="_Toc131281523"/>
      <w:bookmarkStart w:id="6077" w:name="_Toc131318053"/>
      <w:bookmarkStart w:id="6078" w:name="_Toc131238600"/>
      <w:bookmarkStart w:id="6079" w:name="_Toc132537120"/>
      <w:bookmarkEnd w:id="6072"/>
      <w:r w:rsidRPr="00F60BDC">
        <w:t>Økonomiske og administrative konsekvenser</w:t>
      </w:r>
      <w:bookmarkEnd w:id="6062"/>
      <w:bookmarkEnd w:id="6063"/>
      <w:bookmarkEnd w:id="6064"/>
      <w:bookmarkEnd w:id="6065"/>
      <w:bookmarkEnd w:id="6066"/>
      <w:bookmarkEnd w:id="6067"/>
      <w:bookmarkEnd w:id="6068"/>
      <w:bookmarkEnd w:id="6069"/>
      <w:bookmarkEnd w:id="6070"/>
      <w:bookmarkEnd w:id="6071"/>
      <w:bookmarkEnd w:id="6073"/>
      <w:bookmarkEnd w:id="6074"/>
      <w:bookmarkEnd w:id="6075"/>
      <w:bookmarkEnd w:id="6076"/>
      <w:bookmarkEnd w:id="6077"/>
      <w:bookmarkEnd w:id="6078"/>
      <w:bookmarkEnd w:id="6079"/>
    </w:p>
    <w:p w14:paraId="1C53540F" w14:textId="77777777" w:rsidR="00D9107F" w:rsidRDefault="003772E7" w:rsidP="003772E7">
      <w:pPr>
        <w:jc w:val="both"/>
      </w:pPr>
      <w:r>
        <w:t xml:space="preserve">Ekspertutvalget er bedt om å vurdere økonomiske og administrative konsekvenser av de forslag til endringer som utvalget kommer med. </w:t>
      </w:r>
      <w:r w:rsidR="00AF3666">
        <w:t>E</w:t>
      </w:r>
      <w:r>
        <w:t>kspertutvalgets anbefalinger vil gi økonomiske og administrative konsekvenser av ulik grad. Enkelte anbefalinger vil primært innebære besparelser</w:t>
      </w:r>
      <w:r w:rsidR="009B76C0">
        <w:t>,</w:t>
      </w:r>
      <w:r>
        <w:t xml:space="preserve"> effektivisering av prosesser, </w:t>
      </w:r>
      <w:r w:rsidR="0020546E">
        <w:t>eller økt nytte</w:t>
      </w:r>
      <w:r w:rsidR="0090704D">
        <w:t>,</w:t>
      </w:r>
      <w:r w:rsidR="0020546E">
        <w:t xml:space="preserve"> </w:t>
      </w:r>
      <w:r>
        <w:t xml:space="preserve">mens andre anbefalinger vil medføre økte kostnader og </w:t>
      </w:r>
      <w:r w:rsidR="00F442A9">
        <w:t xml:space="preserve">kreve </w:t>
      </w:r>
      <w:r>
        <w:t xml:space="preserve">administrativt arbeid </w:t>
      </w:r>
      <w:r w:rsidR="008520A7">
        <w:t>av</w:t>
      </w:r>
      <w:r>
        <w:t xml:space="preserve"> eksempelvis statlige instanser og kommunene.</w:t>
      </w:r>
    </w:p>
    <w:p w14:paraId="1634B130" w14:textId="77777777" w:rsidR="00D9107F" w:rsidRDefault="00FC63AD" w:rsidP="003772E7">
      <w:pPr>
        <w:jc w:val="both"/>
      </w:pPr>
      <w:r>
        <w:t>På grunn av høy kompleksitet</w:t>
      </w:r>
      <w:r w:rsidR="00F14CB1">
        <w:t>,</w:t>
      </w:r>
      <w:r w:rsidR="004479F5">
        <w:t xml:space="preserve"> </w:t>
      </w:r>
      <w:r w:rsidR="00183D39">
        <w:t xml:space="preserve">mange avhengigheter </w:t>
      </w:r>
      <w:r w:rsidR="00F14CB1">
        <w:t xml:space="preserve">og </w:t>
      </w:r>
      <w:r w:rsidR="001F6D02">
        <w:t xml:space="preserve">sammensatte konsekvenser </w:t>
      </w:r>
      <w:r w:rsidR="003772E7">
        <w:t xml:space="preserve">har </w:t>
      </w:r>
      <w:r w:rsidR="001F6D02">
        <w:t xml:space="preserve">det </w:t>
      </w:r>
      <w:r w:rsidR="003772E7">
        <w:t xml:space="preserve">vært vanskelig å gjøre fullstendige </w:t>
      </w:r>
      <w:r w:rsidR="003560BB">
        <w:t xml:space="preserve">økonomiske og administrative </w:t>
      </w:r>
      <w:r w:rsidR="003772E7">
        <w:t xml:space="preserve">utredninger av </w:t>
      </w:r>
      <w:r w:rsidR="00672D11">
        <w:t>anbefalingene</w:t>
      </w:r>
      <w:r w:rsidR="001F6D02">
        <w:t>.</w:t>
      </w:r>
      <w:r w:rsidR="003144B7">
        <w:t xml:space="preserve"> </w:t>
      </w:r>
      <w:r w:rsidR="0069076C">
        <w:t>Mange</w:t>
      </w:r>
      <w:r w:rsidR="003144B7">
        <w:t xml:space="preserve"> av</w:t>
      </w:r>
      <w:r w:rsidR="003772E7">
        <w:t xml:space="preserve"> forslag</w:t>
      </w:r>
      <w:r w:rsidR="003144B7">
        <w:t>ene</w:t>
      </w:r>
      <w:r w:rsidR="003772E7">
        <w:t xml:space="preserve"> vil kreve videre utredning før de kan iverksettes, der </w:t>
      </w:r>
      <w:r w:rsidR="007C3C78">
        <w:t>også</w:t>
      </w:r>
      <w:r w:rsidR="003772E7">
        <w:t xml:space="preserve"> kostnader og konsekvenser </w:t>
      </w:r>
      <w:r w:rsidR="007C3C78">
        <w:t xml:space="preserve">må vurderes nærmere. </w:t>
      </w:r>
      <w:r w:rsidR="003772E7">
        <w:t>For noen tiltak vil innretningen som velges ved eventuell iverksetting</w:t>
      </w:r>
      <w:r w:rsidR="006E65B0">
        <w:t>,</w:t>
      </w:r>
      <w:r w:rsidR="003772E7">
        <w:t xml:space="preserve"> kunne ha stor </w:t>
      </w:r>
      <w:r w:rsidR="00F05078">
        <w:t>betydning for</w:t>
      </w:r>
      <w:r w:rsidR="003772E7">
        <w:t xml:space="preserve"> hvordan de økonomiske og administrative kostnadene </w:t>
      </w:r>
      <w:r w:rsidR="00D03B3C">
        <w:t>blir</w:t>
      </w:r>
      <w:r w:rsidR="003772E7">
        <w:t>.</w:t>
      </w:r>
    </w:p>
    <w:p w14:paraId="4961FA49" w14:textId="77777777" w:rsidR="00D9107F" w:rsidRDefault="003772E7" w:rsidP="003772E7">
      <w:pPr>
        <w:jc w:val="both"/>
      </w:pPr>
      <w:r>
        <w:t xml:space="preserve">Ekspertutvalget har samlet </w:t>
      </w:r>
      <w:r w:rsidR="0034385F">
        <w:t xml:space="preserve">sine </w:t>
      </w:r>
      <w:r>
        <w:t xml:space="preserve">vurderinger </w:t>
      </w:r>
      <w:r w:rsidR="0034385F">
        <w:t>av</w:t>
      </w:r>
      <w:r>
        <w:t xml:space="preserve"> økonomiske og administrative konsekvenser i tabeller</w:t>
      </w:r>
      <w:r w:rsidR="00974F6B">
        <w:t xml:space="preserve">. </w:t>
      </w:r>
      <w:r w:rsidR="0034385F">
        <w:t>I tabellen</w:t>
      </w:r>
      <w:r w:rsidR="00F80227">
        <w:t>e redegjøres</w:t>
      </w:r>
      <w:r w:rsidR="0034385F">
        <w:t xml:space="preserve"> det </w:t>
      </w:r>
      <w:r w:rsidR="00F80227">
        <w:t>over</w:t>
      </w:r>
      <w:r w:rsidR="00E217A0">
        <w:t>ordnet</w:t>
      </w:r>
      <w:r>
        <w:t xml:space="preserve"> for </w:t>
      </w:r>
      <w:r w:rsidR="00F80227">
        <w:t xml:space="preserve">kostnader og besparelser ved ulike tiltak, det vises kort til hvilke juridiske endringer som vil være nødvendig for å iverksette tiltaket og </w:t>
      </w:r>
      <w:r w:rsidR="00816DC4">
        <w:t>det pekes på</w:t>
      </w:r>
      <w:r w:rsidR="00F80227">
        <w:t xml:space="preserve"> andre administrative konsekvenser </w:t>
      </w:r>
      <w:r w:rsidR="00816DC4">
        <w:t xml:space="preserve">som </w:t>
      </w:r>
      <w:r w:rsidR="00F80227">
        <w:t xml:space="preserve">tiltakene kan </w:t>
      </w:r>
      <w:r w:rsidR="00816DC4">
        <w:t>forventes å ha</w:t>
      </w:r>
      <w:r w:rsidR="00F80227">
        <w:t>.</w:t>
      </w:r>
      <w:r>
        <w:t xml:space="preserve"> For flere av tiltakene </w:t>
      </w:r>
      <w:r w:rsidR="00E633F4">
        <w:t>gjøres det</w:t>
      </w:r>
      <w:r>
        <w:t xml:space="preserve"> </w:t>
      </w:r>
      <w:r w:rsidR="0034385F">
        <w:t>drøftinger</w:t>
      </w:r>
      <w:r>
        <w:t xml:space="preserve"> av </w:t>
      </w:r>
      <w:r w:rsidR="0034385F">
        <w:t xml:space="preserve">aspekter knyttet til </w:t>
      </w:r>
      <w:r>
        <w:t xml:space="preserve">kostnader og risiko i rapportens løpende </w:t>
      </w:r>
      <w:r w:rsidR="0034385F">
        <w:t>tekst, og der det</w:t>
      </w:r>
      <w:r>
        <w:t xml:space="preserve"> er </w:t>
      </w:r>
      <w:r w:rsidR="0034385F">
        <w:t xml:space="preserve">særlig relevant, </w:t>
      </w:r>
      <w:r>
        <w:t>henvis</w:t>
      </w:r>
      <w:r w:rsidR="00E633F4">
        <w:t>er tabellen</w:t>
      </w:r>
      <w:r w:rsidR="005A451C">
        <w:t>e</w:t>
      </w:r>
      <w:r w:rsidR="00E633F4">
        <w:t xml:space="preserve"> </w:t>
      </w:r>
      <w:r>
        <w:t xml:space="preserve">til </w:t>
      </w:r>
      <w:r w:rsidR="0034385F">
        <w:t>aktuelt kapittel</w:t>
      </w:r>
      <w:r w:rsidR="00E633F4">
        <w:t>.</w:t>
      </w:r>
      <w:r w:rsidR="0034385F" w:rsidDel="00E633F4">
        <w:t xml:space="preserve"> </w:t>
      </w:r>
      <w:r w:rsidR="00E633F4">
        <w:t>Tabellene</w:t>
      </w:r>
      <w:r w:rsidR="00F72A48">
        <w:t xml:space="preserve">s rekkefølge tilsvarer </w:t>
      </w:r>
      <w:r w:rsidR="009213E5">
        <w:t xml:space="preserve">rekkefølgen </w:t>
      </w:r>
      <w:r w:rsidR="004C3083">
        <w:t xml:space="preserve">for gjennomgang av </w:t>
      </w:r>
      <w:r w:rsidR="00E633F4">
        <w:t>tema</w:t>
      </w:r>
      <w:r w:rsidR="009213E5">
        <w:t>e</w:t>
      </w:r>
      <w:r w:rsidR="00E633F4">
        <w:t>ne i rapporten.</w:t>
      </w:r>
    </w:p>
    <w:p w14:paraId="59259D4D" w14:textId="7E7E2BC4" w:rsidR="00D9107F" w:rsidRDefault="00F11064" w:rsidP="003772E7">
      <w:pPr>
        <w:jc w:val="both"/>
      </w:pPr>
      <w:r>
        <w:t xml:space="preserve">Konsekvenser av tiltakene er </w:t>
      </w:r>
      <w:r w:rsidR="008E3817">
        <w:t>vurdert for stat, kommune, fastlege og innbyggere</w:t>
      </w:r>
      <w:r w:rsidR="006E31E2">
        <w:t>.</w:t>
      </w:r>
    </w:p>
    <w:p w14:paraId="0FFB04EF" w14:textId="4B5363B9" w:rsidR="00C207CE" w:rsidRPr="009D5738" w:rsidRDefault="00C207CE" w:rsidP="00775632">
      <w:pPr>
        <w:pStyle w:val="Overskrift2"/>
      </w:pPr>
      <w:bookmarkStart w:id="6080" w:name="_Toc130932265"/>
      <w:bookmarkStart w:id="6081" w:name="_Toc130934556"/>
      <w:bookmarkStart w:id="6082" w:name="_Toc130983729"/>
      <w:bookmarkStart w:id="6083" w:name="_Toc130984078"/>
      <w:bookmarkStart w:id="6084" w:name="_Toc131062310"/>
      <w:bookmarkStart w:id="6085" w:name="_Toc131062564"/>
      <w:bookmarkStart w:id="6086" w:name="_Toc131062825"/>
      <w:bookmarkStart w:id="6087" w:name="_Toc131063078"/>
      <w:bookmarkStart w:id="6088" w:name="_Toc131063861"/>
      <w:bookmarkStart w:id="6089" w:name="_Toc131064272"/>
      <w:bookmarkStart w:id="6090" w:name="_Toc131238602"/>
      <w:bookmarkStart w:id="6091" w:name="_Toc131279693"/>
      <w:bookmarkStart w:id="6092" w:name="_Toc131287105"/>
      <w:bookmarkStart w:id="6093" w:name="_Toc131281515"/>
      <w:bookmarkStart w:id="6094" w:name="_Toc131281525"/>
      <w:bookmarkStart w:id="6095" w:name="_Toc131318055"/>
      <w:bookmarkStart w:id="6096" w:name="_Toc132537121"/>
      <w:r w:rsidRPr="009D5738">
        <w:lastRenderedPageBreak/>
        <w:t>Organisering</w:t>
      </w:r>
      <w:r w:rsidR="00D21A9D" w:rsidRPr="009D5738">
        <w:t xml:space="preserve"> av fastlegetjenesten</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tbl>
      <w:tblPr>
        <w:tblStyle w:val="0Ekspertutvalgettabellstil1"/>
        <w:tblW w:w="0" w:type="auto"/>
        <w:tblLook w:val="04A0" w:firstRow="1" w:lastRow="0" w:firstColumn="1" w:lastColumn="0" w:noHBand="0" w:noVBand="1"/>
      </w:tblPr>
      <w:tblGrid>
        <w:gridCol w:w="470"/>
        <w:gridCol w:w="3306"/>
        <w:gridCol w:w="2791"/>
        <w:gridCol w:w="3169"/>
      </w:tblGrid>
      <w:tr w:rsidR="00C50A96" w:rsidRPr="004E01BF" w14:paraId="0766DA78" w14:textId="77777777" w:rsidTr="0024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3ACFEF1C" w14:textId="1352607B" w:rsidR="00D03549" w:rsidRPr="00D9107F" w:rsidRDefault="009F77F7" w:rsidP="00B340D5">
            <w:pPr>
              <w:pStyle w:val="TabellHode-kolonne"/>
              <w:rPr>
                <w:rStyle w:val="halvfet"/>
              </w:rPr>
            </w:pPr>
            <w:r w:rsidRPr="00D9107F">
              <w:rPr>
                <w:rStyle w:val="halvfet"/>
              </w:rPr>
              <w:t>#</w:t>
            </w:r>
          </w:p>
        </w:tc>
        <w:tc>
          <w:tcPr>
            <w:tcW w:w="0" w:type="auto"/>
            <w:shd w:val="clear" w:color="auto" w:fill="A9D6B9"/>
          </w:tcPr>
          <w:p w14:paraId="6FEF9A05" w14:textId="17579B7E" w:rsidR="00F84E22" w:rsidRPr="00D9107F" w:rsidRDefault="000960A6"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0" w:type="auto"/>
            <w:shd w:val="clear" w:color="auto" w:fill="A9D6B9"/>
          </w:tcPr>
          <w:p w14:paraId="55F491F3" w14:textId="0322C862" w:rsidR="00F84E22" w:rsidRPr="00D9107F" w:rsidRDefault="00C92E02"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Økonomiske konsekvenser</w:t>
            </w:r>
          </w:p>
        </w:tc>
        <w:tc>
          <w:tcPr>
            <w:tcW w:w="0" w:type="auto"/>
            <w:shd w:val="clear" w:color="auto" w:fill="A9D6B9"/>
          </w:tcPr>
          <w:p w14:paraId="228FF2EB" w14:textId="2867E124" w:rsidR="00F84E22" w:rsidRPr="00D9107F" w:rsidRDefault="00C92E02"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Administrative konsekvenser</w:t>
            </w:r>
          </w:p>
        </w:tc>
      </w:tr>
      <w:tr w:rsidR="00EC462E" w:rsidRPr="004E01BF" w14:paraId="536F6C51"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7918E71B" w14:textId="0F69959B" w:rsidR="00DC6D2F" w:rsidRPr="005A4AD1" w:rsidRDefault="00DC6D2F" w:rsidP="00B340D5">
            <w:pPr>
              <w:pStyle w:val="TabellHode-rad"/>
            </w:pPr>
            <w:r w:rsidRPr="005A4AD1">
              <w:t>1.</w:t>
            </w:r>
          </w:p>
        </w:tc>
        <w:tc>
          <w:tcPr>
            <w:tcW w:w="0" w:type="auto"/>
          </w:tcPr>
          <w:p w14:paraId="4B66F330" w14:textId="20F8C76D" w:rsidR="00DC6D2F" w:rsidRPr="005A4AD1" w:rsidRDefault="00F60223"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 eventuell overføring av finansieringsansvaret for fastlegeordningen til kommunene, bør utredes nærmere</w:t>
            </w:r>
            <w:r w:rsidR="00BF6209" w:rsidRPr="005A4AD1">
              <w:rPr>
                <w:rFonts w:cstheme="minorHAnsi"/>
                <w:sz w:val="20"/>
              </w:rPr>
              <w:t xml:space="preserve">. </w:t>
            </w:r>
          </w:p>
        </w:tc>
        <w:tc>
          <w:tcPr>
            <w:tcW w:w="0" w:type="auto"/>
          </w:tcPr>
          <w:p w14:paraId="478C665B" w14:textId="5F329AD6" w:rsidR="00DC6D2F" w:rsidRPr="005A4AD1" w:rsidRDefault="002B019F"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Ressurser til utredningsarbeid. </w:t>
            </w:r>
          </w:p>
        </w:tc>
        <w:tc>
          <w:tcPr>
            <w:tcW w:w="0" w:type="auto"/>
          </w:tcPr>
          <w:p w14:paraId="703F9CCE" w14:textId="33D04192" w:rsidR="00DC6D2F" w:rsidRPr="005A4AD1" w:rsidRDefault="002B019F"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 utredning.</w:t>
            </w:r>
          </w:p>
        </w:tc>
      </w:tr>
      <w:tr w:rsidR="00EC462E" w:rsidRPr="004E01BF" w14:paraId="59222699"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7D5ACC35" w14:textId="060DF558" w:rsidR="001E4490" w:rsidRPr="005A4AD1" w:rsidRDefault="001E4490" w:rsidP="00B340D5">
            <w:pPr>
              <w:pStyle w:val="TabellHode-rad"/>
            </w:pPr>
            <w:r w:rsidRPr="005A4AD1">
              <w:t>2.</w:t>
            </w:r>
          </w:p>
        </w:tc>
        <w:tc>
          <w:tcPr>
            <w:tcW w:w="0" w:type="auto"/>
          </w:tcPr>
          <w:p w14:paraId="1F58FDE0" w14:textId="1C5C4198" w:rsidR="001E4490" w:rsidRPr="005A4AD1" w:rsidRDefault="001E44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Rammene for hvordan fastlegetjenesten organiseres bør åpne for større grad av handlingsfrihet og tilpasning av tjenesten.</w:t>
            </w:r>
          </w:p>
        </w:tc>
        <w:tc>
          <w:tcPr>
            <w:tcW w:w="0" w:type="auto"/>
          </w:tcPr>
          <w:p w14:paraId="34102E27" w14:textId="2C6B79BF" w:rsidR="001E4490" w:rsidRPr="005A4AD1" w:rsidRDefault="00A76826"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punkt 3,4,5 og 6.</w:t>
            </w:r>
          </w:p>
        </w:tc>
        <w:tc>
          <w:tcPr>
            <w:tcW w:w="0" w:type="auto"/>
          </w:tcPr>
          <w:p w14:paraId="6BC75559" w14:textId="77045B02" w:rsidR="001E4490" w:rsidRPr="005A4AD1" w:rsidRDefault="00A76826"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punkt 3,4,5 og 6.</w:t>
            </w:r>
          </w:p>
        </w:tc>
      </w:tr>
      <w:tr w:rsidR="00EC462E" w:rsidRPr="004E01BF" w14:paraId="3A6E4E77"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2C11A5C7" w14:textId="26ABC82A" w:rsidR="00D03549" w:rsidRPr="005A4AD1" w:rsidRDefault="00DB2926" w:rsidP="00B340D5">
            <w:pPr>
              <w:pStyle w:val="TabellHode-rad"/>
            </w:pPr>
            <w:r w:rsidRPr="005A4AD1">
              <w:t>3</w:t>
            </w:r>
            <w:r w:rsidR="00300779" w:rsidRPr="005A4AD1">
              <w:t>.</w:t>
            </w:r>
          </w:p>
        </w:tc>
        <w:tc>
          <w:tcPr>
            <w:tcW w:w="0" w:type="auto"/>
          </w:tcPr>
          <w:p w14:paraId="304E1790" w14:textId="6BF5AE62" w:rsidR="00C92E02" w:rsidRPr="005A4AD1" w:rsidRDefault="00C92E0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Kommunen bør kunne inngå avtale med fastlegeselskap</w:t>
            </w:r>
            <w:r w:rsidR="00B0339E" w:rsidRPr="005A4AD1">
              <w:rPr>
                <w:rFonts w:cstheme="minorHAnsi"/>
                <w:sz w:val="20"/>
              </w:rPr>
              <w:t>.</w:t>
            </w:r>
          </w:p>
        </w:tc>
        <w:tc>
          <w:tcPr>
            <w:tcW w:w="0" w:type="auto"/>
          </w:tcPr>
          <w:p w14:paraId="730F548A" w14:textId="77777777" w:rsidR="00D9107F" w:rsidRDefault="00C92E0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til ledelse og administrasjon for fastlegeselskapet.</w:t>
            </w:r>
          </w:p>
          <w:p w14:paraId="3EEACC99" w14:textId="4ECB9491" w:rsidR="00C92E02" w:rsidRPr="005A4AD1" w:rsidRDefault="006A5A18"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for øvrig omtale av</w:t>
            </w:r>
            <w:r w:rsidR="00B8108A" w:rsidRPr="005A4AD1">
              <w:rPr>
                <w:rFonts w:cstheme="minorHAnsi"/>
                <w:sz w:val="20"/>
              </w:rPr>
              <w:t xml:space="preserve"> profesjonsnøytrale takster </w:t>
            </w:r>
            <w:r w:rsidR="00451862" w:rsidRPr="005A4AD1">
              <w:rPr>
                <w:rFonts w:cstheme="minorHAnsi"/>
                <w:sz w:val="20"/>
              </w:rPr>
              <w:t xml:space="preserve">nedenfor. </w:t>
            </w:r>
          </w:p>
        </w:tc>
        <w:tc>
          <w:tcPr>
            <w:tcW w:w="0" w:type="auto"/>
          </w:tcPr>
          <w:p w14:paraId="2FC5467B" w14:textId="77777777" w:rsidR="00D9107F" w:rsidRDefault="00C92E0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Endringer i fastlegeforskriften, evt. i forskrift om trygderefusjon for leger m.v og forskrift om stønad til dekning av utgifter til undersøkelse og behandling hos lege</w:t>
            </w:r>
            <w:r w:rsidR="00557BBD" w:rsidRPr="005A4AD1">
              <w:rPr>
                <w:rFonts w:cstheme="minorHAnsi"/>
                <w:sz w:val="20"/>
              </w:rPr>
              <w:t>.</w:t>
            </w:r>
          </w:p>
          <w:p w14:paraId="50B7E8E4" w14:textId="6C48612F" w:rsidR="00C92E02" w:rsidRPr="005A4AD1" w:rsidRDefault="00C92E0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Mulig behov for avtalerettslig regulering mellom partene.</w:t>
            </w:r>
          </w:p>
        </w:tc>
      </w:tr>
      <w:tr w:rsidR="00EC462E" w:rsidRPr="004E01BF" w14:paraId="67B9BD40"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7A8450BA" w14:textId="11B4BCB2" w:rsidR="00DB2926" w:rsidRPr="005A4AD1" w:rsidRDefault="0075155B" w:rsidP="00B340D5">
            <w:pPr>
              <w:pStyle w:val="TabellHode-rad"/>
            </w:pPr>
            <w:r w:rsidRPr="005A4AD1">
              <w:t>4.</w:t>
            </w:r>
          </w:p>
        </w:tc>
        <w:tc>
          <w:tcPr>
            <w:tcW w:w="0" w:type="auto"/>
          </w:tcPr>
          <w:p w14:paraId="4119DF10" w14:textId="70560807" w:rsidR="00DB2926" w:rsidRPr="005A4AD1" w:rsidRDefault="0075155B"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stilles krav til eiere av fastlegeselskap, og til at hver enkelt lege i selskapet fortsatt skal ha oppfølgings- og behandlingsansvaret for en liste med innbyggere.</w:t>
            </w:r>
          </w:p>
        </w:tc>
        <w:tc>
          <w:tcPr>
            <w:tcW w:w="0" w:type="auto"/>
          </w:tcPr>
          <w:p w14:paraId="188F4D72" w14:textId="77777777" w:rsidR="00DB2926" w:rsidRPr="005A4AD1" w:rsidRDefault="00DB2926"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14:paraId="4C9ABFB7" w14:textId="68569458" w:rsidR="00DB2926" w:rsidRPr="005A4AD1" w:rsidRDefault="0072360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w:t>
            </w:r>
            <w:r w:rsidR="008767D5" w:rsidRPr="005A4AD1">
              <w:rPr>
                <w:rFonts w:cstheme="minorHAnsi"/>
                <w:sz w:val="20"/>
              </w:rPr>
              <w:t xml:space="preserve">rav </w:t>
            </w:r>
            <w:r w:rsidR="005542AD" w:rsidRPr="005A4AD1">
              <w:rPr>
                <w:rFonts w:cstheme="minorHAnsi"/>
                <w:sz w:val="20"/>
              </w:rPr>
              <w:t>må</w:t>
            </w:r>
            <w:r w:rsidR="002A15B2" w:rsidRPr="005A4AD1">
              <w:rPr>
                <w:rFonts w:cstheme="minorHAnsi"/>
                <w:sz w:val="20"/>
              </w:rPr>
              <w:t xml:space="preserve"> </w:t>
            </w:r>
            <w:r w:rsidRPr="005A4AD1">
              <w:rPr>
                <w:rFonts w:cstheme="minorHAnsi"/>
                <w:sz w:val="20"/>
              </w:rPr>
              <w:t>legges i lov</w:t>
            </w:r>
            <w:r w:rsidR="002A15B2" w:rsidRPr="005A4AD1">
              <w:rPr>
                <w:rFonts w:cstheme="minorHAnsi"/>
                <w:sz w:val="20"/>
              </w:rPr>
              <w:t xml:space="preserve">, eventuelt </w:t>
            </w:r>
            <w:r w:rsidR="008767D5" w:rsidRPr="005A4AD1">
              <w:rPr>
                <w:rFonts w:cstheme="minorHAnsi"/>
                <w:sz w:val="20"/>
              </w:rPr>
              <w:t>i fastlegeforskriften</w:t>
            </w:r>
            <w:r w:rsidR="002A15B2" w:rsidRPr="005A4AD1">
              <w:rPr>
                <w:rFonts w:cstheme="minorHAnsi"/>
                <w:sz w:val="20"/>
              </w:rPr>
              <w:t>.</w:t>
            </w:r>
          </w:p>
        </w:tc>
      </w:tr>
      <w:tr w:rsidR="00EC462E" w:rsidRPr="004E01BF" w14:paraId="5BAA7B88"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233ACA8E" w14:textId="1106D90E" w:rsidR="00D03549" w:rsidRPr="005A4AD1" w:rsidRDefault="00AA6022" w:rsidP="00B340D5">
            <w:pPr>
              <w:pStyle w:val="TabellHode-rad"/>
            </w:pPr>
            <w:r w:rsidRPr="005A4AD1">
              <w:t>5</w:t>
            </w:r>
            <w:r w:rsidR="00300779" w:rsidRPr="005A4AD1">
              <w:t>.</w:t>
            </w:r>
          </w:p>
        </w:tc>
        <w:tc>
          <w:tcPr>
            <w:tcW w:w="0" w:type="auto"/>
          </w:tcPr>
          <w:p w14:paraId="0FD7F0CF" w14:textId="5C4CD5AC" w:rsidR="00F84E22" w:rsidRPr="005A4AD1" w:rsidRDefault="00950F0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w:t>
            </w:r>
            <w:r w:rsidR="00450990" w:rsidRPr="005A4AD1">
              <w:rPr>
                <w:rFonts w:cstheme="minorHAnsi"/>
                <w:sz w:val="20"/>
              </w:rPr>
              <w:t xml:space="preserve">bør </w:t>
            </w:r>
            <w:r w:rsidRPr="005A4AD1">
              <w:rPr>
                <w:rFonts w:cstheme="minorHAnsi"/>
                <w:sz w:val="20"/>
              </w:rPr>
              <w:t>tilrettelegges for at kommunene kan</w:t>
            </w:r>
            <w:r w:rsidR="00450990" w:rsidRPr="005A4AD1">
              <w:rPr>
                <w:rFonts w:cstheme="minorHAnsi"/>
                <w:sz w:val="20"/>
              </w:rPr>
              <w:t xml:space="preserve"> drifte </w:t>
            </w:r>
            <w:r w:rsidRPr="005A4AD1">
              <w:rPr>
                <w:rFonts w:cstheme="minorHAnsi"/>
                <w:sz w:val="20"/>
              </w:rPr>
              <w:t xml:space="preserve">kommunale </w:t>
            </w:r>
            <w:r w:rsidR="00450990" w:rsidRPr="005A4AD1">
              <w:rPr>
                <w:rFonts w:cstheme="minorHAnsi"/>
                <w:sz w:val="20"/>
              </w:rPr>
              <w:t>fastlegekontor etter samme modell som for fastlegeselskap, og hvor listeansvaret formelt ligger til kommunen.</w:t>
            </w:r>
          </w:p>
        </w:tc>
        <w:tc>
          <w:tcPr>
            <w:tcW w:w="0" w:type="auto"/>
          </w:tcPr>
          <w:p w14:paraId="4B229462" w14:textId="77777777" w:rsidR="00D9107F" w:rsidRDefault="004B157E"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omtalen av fastlegeselskap over</w:t>
            </w:r>
            <w:r w:rsidR="00450990" w:rsidRPr="005A4AD1">
              <w:rPr>
                <w:rFonts w:cstheme="minorHAnsi"/>
                <w:sz w:val="20"/>
              </w:rPr>
              <w:t>.</w:t>
            </w:r>
          </w:p>
          <w:p w14:paraId="6A3DE60D" w14:textId="2E2B387B" w:rsidR="00F84E22" w:rsidRPr="005A4AD1" w:rsidRDefault="0045186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for øvrig omtale av profesjonsnøytrale takster nedenfor.</w:t>
            </w:r>
          </w:p>
        </w:tc>
        <w:tc>
          <w:tcPr>
            <w:tcW w:w="0" w:type="auto"/>
          </w:tcPr>
          <w:p w14:paraId="598A04AB" w14:textId="475D1B8A" w:rsidR="00F84E22" w:rsidRPr="005A4AD1" w:rsidRDefault="004509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Endringer i </w:t>
            </w:r>
            <w:r w:rsidR="005862D4" w:rsidRPr="005A4AD1">
              <w:rPr>
                <w:rFonts w:cstheme="minorHAnsi"/>
                <w:sz w:val="20"/>
              </w:rPr>
              <w:t>f</w:t>
            </w:r>
            <w:r w:rsidRPr="005A4AD1">
              <w:rPr>
                <w:rFonts w:cstheme="minorHAnsi"/>
                <w:sz w:val="20"/>
              </w:rPr>
              <w:t xml:space="preserve">astlegeforskriften, og evt. </w:t>
            </w:r>
            <w:r w:rsidR="00215666" w:rsidRPr="005A4AD1">
              <w:rPr>
                <w:rFonts w:cstheme="minorHAnsi"/>
                <w:sz w:val="20"/>
              </w:rPr>
              <w:t>forskrift om trygderefusjon for leger m.v og forskrift om stønad til dekning av utgifter til undersøkelse og behandling hos lege (stønadsforskriften).</w:t>
            </w:r>
          </w:p>
          <w:p w14:paraId="63AF6B0B" w14:textId="4D0818C2" w:rsidR="00F84E22" w:rsidRPr="005A4AD1" w:rsidRDefault="005862D4"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Mulig behov for avtalerettslig regulering mellom partene.</w:t>
            </w:r>
          </w:p>
        </w:tc>
      </w:tr>
      <w:tr w:rsidR="00EC462E" w:rsidRPr="004E01BF" w14:paraId="42F60BBC"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42BA537E" w14:textId="506B91B1" w:rsidR="00D03549" w:rsidRPr="005A4AD1" w:rsidRDefault="00041FC2" w:rsidP="00B340D5">
            <w:pPr>
              <w:pStyle w:val="TabellHode-rad"/>
            </w:pPr>
            <w:r w:rsidRPr="005A4AD1">
              <w:t>6</w:t>
            </w:r>
            <w:r w:rsidR="00300779" w:rsidRPr="005A4AD1">
              <w:t>.</w:t>
            </w:r>
          </w:p>
        </w:tc>
        <w:tc>
          <w:tcPr>
            <w:tcW w:w="0" w:type="auto"/>
          </w:tcPr>
          <w:p w14:paraId="3651F7E2" w14:textId="4638D583" w:rsidR="00F84E22" w:rsidRPr="005A4AD1" w:rsidRDefault="004509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Avtaleverket knyttet til dagens ordning for gruppepraksis bør gjennomgås, for å tydeliggjøre hvilke elementer i dagens avtale </w:t>
            </w:r>
            <w:r w:rsidRPr="005A4AD1">
              <w:rPr>
                <w:rFonts w:cstheme="minorHAnsi"/>
                <w:sz w:val="20"/>
              </w:rPr>
              <w:lastRenderedPageBreak/>
              <w:t xml:space="preserve">mellom fastlege og kommune som i stedet kan inngå i en gruppepraksisavtale. </w:t>
            </w:r>
          </w:p>
        </w:tc>
        <w:tc>
          <w:tcPr>
            <w:tcW w:w="0" w:type="auto"/>
          </w:tcPr>
          <w:p w14:paraId="019F6D06" w14:textId="7240FA7F" w:rsidR="00F84E22" w:rsidRPr="005A4AD1" w:rsidRDefault="0047259E"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Det er u</w:t>
            </w:r>
            <w:r w:rsidR="00450990" w:rsidRPr="005A4AD1">
              <w:rPr>
                <w:rFonts w:cstheme="minorHAnsi"/>
                <w:sz w:val="20"/>
              </w:rPr>
              <w:t xml:space="preserve">sikkert om denne endringen vil gi kostnader til ledelse og administrasjon for </w:t>
            </w:r>
            <w:r w:rsidR="00450990" w:rsidRPr="005A4AD1">
              <w:rPr>
                <w:rFonts w:cstheme="minorHAnsi"/>
                <w:sz w:val="20"/>
              </w:rPr>
              <w:lastRenderedPageBreak/>
              <w:t xml:space="preserve">gruppepraksisen, utover det som allerede er i dagens ordning. </w:t>
            </w:r>
          </w:p>
        </w:tc>
        <w:tc>
          <w:tcPr>
            <w:tcW w:w="0" w:type="auto"/>
          </w:tcPr>
          <w:p w14:paraId="5C264370" w14:textId="47D8BC81" w:rsidR="00F84E22" w:rsidRPr="005A4AD1" w:rsidRDefault="004509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Endringer i</w:t>
            </w:r>
            <w:r w:rsidR="005862D4" w:rsidRPr="005A4AD1">
              <w:rPr>
                <w:rFonts w:cstheme="minorHAnsi"/>
                <w:sz w:val="20"/>
              </w:rPr>
              <w:t xml:space="preserve"> f</w:t>
            </w:r>
            <w:r w:rsidRPr="005A4AD1">
              <w:rPr>
                <w:rFonts w:cstheme="minorHAnsi"/>
                <w:sz w:val="20"/>
              </w:rPr>
              <w:t>astlegeforskriften</w:t>
            </w:r>
            <w:r w:rsidR="00215666" w:rsidRPr="005A4AD1">
              <w:rPr>
                <w:rFonts w:cstheme="minorHAnsi"/>
                <w:sz w:val="20"/>
              </w:rPr>
              <w:t xml:space="preserve"> og behov for avtalerettslig regulering mellom partene.</w:t>
            </w:r>
          </w:p>
        </w:tc>
      </w:tr>
      <w:tr w:rsidR="00EC462E" w:rsidRPr="004E01BF" w14:paraId="2235948D"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57C23962" w14:textId="793AF93F" w:rsidR="00D03549" w:rsidRPr="005A4AD1" w:rsidRDefault="00F047F2" w:rsidP="00B340D5">
            <w:pPr>
              <w:pStyle w:val="TabellHode-rad"/>
            </w:pPr>
            <w:r w:rsidRPr="005A4AD1">
              <w:t>7</w:t>
            </w:r>
          </w:p>
        </w:tc>
        <w:tc>
          <w:tcPr>
            <w:tcW w:w="0" w:type="auto"/>
          </w:tcPr>
          <w:p w14:paraId="742D0DC0" w14:textId="018FA19B" w:rsidR="00F84E22" w:rsidRPr="005A4AD1" w:rsidRDefault="004509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Fratredende </w:t>
            </w:r>
            <w:r w:rsidR="00F047F2" w:rsidRPr="005A4AD1">
              <w:rPr>
                <w:rFonts w:cstheme="minorHAnsi"/>
                <w:sz w:val="20"/>
              </w:rPr>
              <w:t>fastleges</w:t>
            </w:r>
            <w:r w:rsidRPr="005A4AD1">
              <w:rPr>
                <w:rFonts w:cstheme="minorHAnsi"/>
                <w:sz w:val="20"/>
              </w:rPr>
              <w:t xml:space="preserve"> rett til å selge sin praksis bør reguleres</w:t>
            </w:r>
            <w:r w:rsidR="000E44EB" w:rsidRPr="005A4AD1">
              <w:rPr>
                <w:rFonts w:cstheme="minorHAnsi"/>
                <w:sz w:val="20"/>
              </w:rPr>
              <w:t>,</w:t>
            </w:r>
            <w:r w:rsidR="00F047F2" w:rsidRPr="005A4AD1">
              <w:rPr>
                <w:rFonts w:cstheme="minorHAnsi"/>
                <w:sz w:val="20"/>
              </w:rPr>
              <w:t xml:space="preserve"> for å fjerne alle uklarheter rundt når</w:t>
            </w:r>
            <w:r w:rsidRPr="005A4AD1">
              <w:rPr>
                <w:rFonts w:cstheme="minorHAnsi"/>
                <w:sz w:val="20"/>
              </w:rPr>
              <w:t xml:space="preserve"> kommunen </w:t>
            </w:r>
            <w:r w:rsidR="00F047F2" w:rsidRPr="005A4AD1">
              <w:rPr>
                <w:rFonts w:cstheme="minorHAnsi"/>
                <w:sz w:val="20"/>
              </w:rPr>
              <w:t xml:space="preserve">kan gi innbyggerne </w:t>
            </w:r>
            <w:r w:rsidR="00926012" w:rsidRPr="00926012">
              <w:rPr>
                <w:rFonts w:cstheme="minorHAnsi"/>
                <w:sz w:val="20"/>
              </w:rPr>
              <w:t>i</w:t>
            </w:r>
            <w:r w:rsidR="00F047F2" w:rsidRPr="005A4AD1">
              <w:rPr>
                <w:rFonts w:cstheme="minorHAnsi"/>
                <w:sz w:val="20"/>
              </w:rPr>
              <w:t xml:space="preserve"> hjemmelen en annen fastlege</w:t>
            </w:r>
            <w:r w:rsidRPr="005A4AD1">
              <w:rPr>
                <w:rFonts w:cstheme="minorHAnsi"/>
                <w:sz w:val="20"/>
              </w:rPr>
              <w:t>.</w:t>
            </w:r>
          </w:p>
        </w:tc>
        <w:tc>
          <w:tcPr>
            <w:tcW w:w="0" w:type="auto"/>
          </w:tcPr>
          <w:p w14:paraId="7F757283" w14:textId="63CBD095" w:rsidR="00F84E22" w:rsidRPr="005A4AD1" w:rsidRDefault="00FE73AF"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for lege</w:t>
            </w:r>
            <w:r w:rsidR="00875A15" w:rsidRPr="005A4AD1">
              <w:rPr>
                <w:rFonts w:cstheme="minorHAnsi"/>
                <w:sz w:val="20"/>
              </w:rPr>
              <w:t>r og kommune vil være avhengig av markedet</w:t>
            </w:r>
            <w:r w:rsidR="00FB7710" w:rsidRPr="005A4AD1">
              <w:rPr>
                <w:rFonts w:cstheme="minorHAnsi"/>
                <w:sz w:val="20"/>
              </w:rPr>
              <w:t xml:space="preserve"> og grad av regulering</w:t>
            </w:r>
            <w:r w:rsidR="00875A15" w:rsidRPr="005A4AD1">
              <w:rPr>
                <w:rFonts w:cstheme="minorHAnsi"/>
                <w:sz w:val="20"/>
              </w:rPr>
              <w:t xml:space="preserve">. </w:t>
            </w:r>
          </w:p>
        </w:tc>
        <w:tc>
          <w:tcPr>
            <w:tcW w:w="0" w:type="auto"/>
          </w:tcPr>
          <w:p w14:paraId="57B6FDDB" w14:textId="70CE3FD2" w:rsidR="00F84E22" w:rsidRPr="005A4AD1" w:rsidRDefault="00FE73AF"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w:t>
            </w:r>
            <w:r w:rsidR="00450990" w:rsidRPr="005A4AD1">
              <w:rPr>
                <w:rFonts w:cstheme="minorHAnsi"/>
                <w:sz w:val="20"/>
              </w:rPr>
              <w:t xml:space="preserve">egulering </w:t>
            </w:r>
            <w:r w:rsidR="00BB4867" w:rsidRPr="005A4AD1">
              <w:rPr>
                <w:rFonts w:cstheme="minorHAnsi"/>
                <w:sz w:val="20"/>
              </w:rPr>
              <w:t>kan gjøres i</w:t>
            </w:r>
            <w:r w:rsidR="00450990" w:rsidRPr="005A4AD1">
              <w:rPr>
                <w:rFonts w:cstheme="minorHAnsi"/>
                <w:sz w:val="20"/>
              </w:rPr>
              <w:t xml:space="preserve"> </w:t>
            </w:r>
            <w:r w:rsidR="00BB4867" w:rsidRPr="005A4AD1">
              <w:rPr>
                <w:rFonts w:cstheme="minorHAnsi"/>
                <w:sz w:val="20"/>
              </w:rPr>
              <w:t>f</w:t>
            </w:r>
            <w:r w:rsidR="00450990" w:rsidRPr="005A4AD1">
              <w:rPr>
                <w:rFonts w:cstheme="minorHAnsi"/>
                <w:sz w:val="20"/>
              </w:rPr>
              <w:t>astlegeforskriften</w:t>
            </w:r>
            <w:r w:rsidR="00BB4867" w:rsidRPr="005A4AD1">
              <w:rPr>
                <w:rFonts w:cstheme="minorHAnsi"/>
                <w:sz w:val="20"/>
              </w:rPr>
              <w:t>.</w:t>
            </w:r>
          </w:p>
        </w:tc>
      </w:tr>
      <w:tr w:rsidR="00EC462E" w:rsidRPr="004E01BF" w14:paraId="06684160"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251E8C6A" w14:textId="355575BD" w:rsidR="00D03549" w:rsidRPr="005A4AD1" w:rsidRDefault="0047620C" w:rsidP="00B340D5">
            <w:pPr>
              <w:pStyle w:val="TabellHode-rad"/>
            </w:pPr>
            <w:r w:rsidRPr="005A4AD1">
              <w:t>8</w:t>
            </w:r>
            <w:r w:rsidR="00300779" w:rsidRPr="005A4AD1">
              <w:t>.</w:t>
            </w:r>
          </w:p>
        </w:tc>
        <w:tc>
          <w:tcPr>
            <w:tcW w:w="0" w:type="auto"/>
          </w:tcPr>
          <w:p w14:paraId="24582F4A" w14:textId="312F7BEF" w:rsidR="00F84E22" w:rsidRPr="005A4AD1" w:rsidRDefault="004509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innføres krav til helprivate allmennlegetjenester om rapportering om virksomheten og aktiviteten til nasjonale registre</w:t>
            </w:r>
            <w:r w:rsidR="000A326F" w:rsidRPr="005A4AD1">
              <w:rPr>
                <w:rFonts w:cstheme="minorHAnsi"/>
                <w:sz w:val="20"/>
              </w:rPr>
              <w:t>.</w:t>
            </w:r>
          </w:p>
        </w:tc>
        <w:tc>
          <w:tcPr>
            <w:tcW w:w="0" w:type="auto"/>
          </w:tcPr>
          <w:p w14:paraId="661AF688" w14:textId="3FD6AC26" w:rsidR="00F84E22" w:rsidRPr="005A4AD1" w:rsidRDefault="007D1897"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w:t>
            </w:r>
            <w:r w:rsidR="00964211" w:rsidRPr="005A4AD1">
              <w:rPr>
                <w:rFonts w:cstheme="minorHAnsi"/>
                <w:sz w:val="20"/>
              </w:rPr>
              <w:t>na</w:t>
            </w:r>
            <w:r w:rsidRPr="005A4AD1">
              <w:rPr>
                <w:rFonts w:cstheme="minorHAnsi"/>
                <w:sz w:val="20"/>
              </w:rPr>
              <w:t xml:space="preserve">der </w:t>
            </w:r>
            <w:r w:rsidR="001354F2" w:rsidRPr="005A4AD1">
              <w:rPr>
                <w:rFonts w:cstheme="minorHAnsi"/>
                <w:sz w:val="20"/>
              </w:rPr>
              <w:t xml:space="preserve">knyttet til </w:t>
            </w:r>
            <w:r w:rsidRPr="005A4AD1">
              <w:rPr>
                <w:rFonts w:cstheme="minorHAnsi"/>
                <w:sz w:val="20"/>
              </w:rPr>
              <w:t xml:space="preserve">å </w:t>
            </w:r>
            <w:r w:rsidR="00E44926" w:rsidRPr="005A4AD1">
              <w:rPr>
                <w:rFonts w:cstheme="minorHAnsi"/>
                <w:sz w:val="20"/>
              </w:rPr>
              <w:t xml:space="preserve">innrapportere, </w:t>
            </w:r>
            <w:r w:rsidRPr="005A4AD1">
              <w:rPr>
                <w:rFonts w:cstheme="minorHAnsi"/>
                <w:sz w:val="20"/>
              </w:rPr>
              <w:t>motta og følge opp rapportering.</w:t>
            </w:r>
          </w:p>
        </w:tc>
        <w:tc>
          <w:tcPr>
            <w:tcW w:w="0" w:type="auto"/>
          </w:tcPr>
          <w:p w14:paraId="3370B8A4" w14:textId="32FB5664" w:rsidR="00F84E22" w:rsidRPr="005A4AD1" w:rsidRDefault="00E53413"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Administrative ressurser til håndtering av </w:t>
            </w:r>
            <w:r w:rsidR="00192C89" w:rsidRPr="005A4AD1">
              <w:rPr>
                <w:rFonts w:cstheme="minorHAnsi"/>
                <w:sz w:val="20"/>
              </w:rPr>
              <w:t xml:space="preserve">rapportert informasjon i registeret. </w:t>
            </w:r>
          </w:p>
        </w:tc>
      </w:tr>
      <w:tr w:rsidR="00EC462E" w:rsidRPr="004E01BF" w14:paraId="63D63E17"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714B4D1E" w14:textId="76807A63" w:rsidR="00296E4C" w:rsidRPr="005A4AD1" w:rsidRDefault="00296E4C" w:rsidP="00B340D5">
            <w:pPr>
              <w:pStyle w:val="TabellHode-rad"/>
            </w:pPr>
            <w:r w:rsidRPr="005A4AD1">
              <w:t>9.</w:t>
            </w:r>
          </w:p>
        </w:tc>
        <w:tc>
          <w:tcPr>
            <w:tcW w:w="0" w:type="auto"/>
          </w:tcPr>
          <w:p w14:paraId="70DA7E18" w14:textId="725DDC26" w:rsidR="00296E4C" w:rsidRPr="005A4AD1" w:rsidRDefault="00296E4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Kveldtakst for e-konsultasjon i fastlegepraksis bør fjernes</w:t>
            </w:r>
            <w:r w:rsidR="000E44EB" w:rsidRPr="005A4AD1">
              <w:rPr>
                <w:rFonts w:cstheme="minorHAnsi"/>
                <w:sz w:val="20"/>
              </w:rPr>
              <w:t>,</w:t>
            </w:r>
            <w:r w:rsidRPr="005A4AD1">
              <w:rPr>
                <w:rFonts w:cstheme="minorHAnsi"/>
                <w:sz w:val="20"/>
              </w:rPr>
              <w:t xml:space="preserve"> og det bør innføres forhåndsbetaling av egenandelen før innsending av tekstlig konsultasjon.</w:t>
            </w:r>
          </w:p>
        </w:tc>
        <w:tc>
          <w:tcPr>
            <w:tcW w:w="0" w:type="auto"/>
          </w:tcPr>
          <w:p w14:paraId="39110116" w14:textId="6C4197E1" w:rsidR="00D9107F" w:rsidRDefault="00296E4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Fastleger hadde mer enn 80</w:t>
            </w:r>
            <w:r w:rsidR="00D9107F" w:rsidRPr="005A4AD1">
              <w:rPr>
                <w:rFonts w:cstheme="minorHAnsi"/>
                <w:sz w:val="20"/>
              </w:rPr>
              <w:t>0</w:t>
            </w:r>
            <w:r w:rsidR="00D9107F">
              <w:rPr>
                <w:rFonts w:cstheme="minorHAnsi"/>
                <w:sz w:val="20"/>
              </w:rPr>
              <w:t> </w:t>
            </w:r>
            <w:r w:rsidR="00D9107F" w:rsidRPr="005A4AD1">
              <w:rPr>
                <w:rFonts w:cstheme="minorHAnsi"/>
                <w:sz w:val="20"/>
              </w:rPr>
              <w:t>000</w:t>
            </w:r>
            <w:r w:rsidRPr="005A4AD1">
              <w:rPr>
                <w:rFonts w:cstheme="minorHAnsi"/>
                <w:sz w:val="20"/>
              </w:rPr>
              <w:t xml:space="preserve"> e-konsultasjoner på kveldstid i 2022. Samlet honorar (betaling) var i overkant av 30</w:t>
            </w:r>
            <w:r w:rsidR="00D9107F" w:rsidRPr="005A4AD1">
              <w:rPr>
                <w:rFonts w:cstheme="minorHAnsi"/>
                <w:sz w:val="20"/>
              </w:rPr>
              <w:t>0</w:t>
            </w:r>
            <w:r w:rsidR="00D9107F">
              <w:rPr>
                <w:rFonts w:cstheme="minorHAnsi"/>
                <w:sz w:val="20"/>
              </w:rPr>
              <w:t> mill.</w:t>
            </w:r>
            <w:r w:rsidRPr="005A4AD1">
              <w:rPr>
                <w:rFonts w:cstheme="minorHAnsi"/>
                <w:sz w:val="20"/>
              </w:rPr>
              <w:t xml:space="preserve"> kroner.</w:t>
            </w:r>
          </w:p>
          <w:p w14:paraId="092444DA" w14:textId="6E31485B" w:rsidR="00296E4C" w:rsidRPr="005A4AD1" w:rsidRDefault="00296E4C" w:rsidP="00B340D5">
            <w:pPr>
              <w:cnfStyle w:val="000000000000" w:firstRow="0" w:lastRow="0" w:firstColumn="0" w:lastColumn="0" w:oddVBand="0" w:evenVBand="0" w:oddHBand="0" w:evenHBand="0" w:firstRowFirstColumn="0" w:firstRowLastColumn="0" w:lastRowFirstColumn="0" w:lastRowLastColumn="0"/>
              <w:rPr>
                <w:rStyle w:val="Merknadsreferanse"/>
                <w:rFonts w:cstheme="minorHAnsi"/>
                <w:sz w:val="20"/>
              </w:rPr>
            </w:pPr>
            <w:r w:rsidRPr="005A4AD1">
              <w:rPr>
                <w:rFonts w:cstheme="minorHAnsi"/>
                <w:sz w:val="20"/>
              </w:rPr>
              <w:t>Det er vanskelig å estimere i hvilken grad samlet omfang av e-konsultasjoner vil bli redusert generelt, og på kveldstid spesielt.</w:t>
            </w:r>
          </w:p>
        </w:tc>
        <w:tc>
          <w:tcPr>
            <w:tcW w:w="0" w:type="auto"/>
          </w:tcPr>
          <w:p w14:paraId="4F72027C" w14:textId="1B44D39C" w:rsidR="00296E4C" w:rsidRPr="005A4AD1" w:rsidRDefault="00296E4C" w:rsidP="00B340D5">
            <w:pPr>
              <w:cnfStyle w:val="000000000000" w:firstRow="0" w:lastRow="0" w:firstColumn="0" w:lastColumn="0" w:oddVBand="0" w:evenVBand="0" w:oddHBand="0" w:evenHBand="0" w:firstRowFirstColumn="0" w:firstRowLastColumn="0" w:lastRowFirstColumn="0" w:lastRowLastColumn="0"/>
              <w:rPr>
                <w:rFonts w:cstheme="minorHAnsi"/>
                <w:sz w:val="20"/>
                <w:highlight w:val="yellow"/>
              </w:rPr>
            </w:pPr>
            <w:r w:rsidRPr="005A4AD1">
              <w:rPr>
                <w:rFonts w:cstheme="minorHAnsi"/>
                <w:sz w:val="20"/>
              </w:rPr>
              <w:t>Endringer i stønadsforskriften</w:t>
            </w:r>
          </w:p>
        </w:tc>
      </w:tr>
      <w:tr w:rsidR="00EC462E" w:rsidRPr="004E01BF" w14:paraId="71497BCE"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545C3EA8" w14:textId="4D06CE74" w:rsidR="000D433A" w:rsidRPr="005A4AD1" w:rsidRDefault="000D433A" w:rsidP="00B340D5">
            <w:pPr>
              <w:pStyle w:val="TabellHode-rad"/>
            </w:pPr>
            <w:r w:rsidRPr="005A4AD1">
              <w:t>10</w:t>
            </w:r>
            <w:r w:rsidR="00300779" w:rsidRPr="005A4AD1">
              <w:t>.</w:t>
            </w:r>
          </w:p>
        </w:tc>
        <w:tc>
          <w:tcPr>
            <w:tcW w:w="0" w:type="auto"/>
          </w:tcPr>
          <w:p w14:paraId="71DC8FDD" w14:textId="5A095B07" w:rsidR="000D433A" w:rsidRPr="005A4AD1" w:rsidRDefault="000D433A"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For å tilrettelegge bedre for drøfting </w:t>
            </w:r>
            <w:r w:rsidR="00926012" w:rsidRPr="00926012">
              <w:rPr>
                <w:rFonts w:cstheme="minorHAnsi"/>
                <w:sz w:val="20"/>
              </w:rPr>
              <w:t xml:space="preserve">og utdyping </w:t>
            </w:r>
            <w:r w:rsidRPr="005A4AD1">
              <w:rPr>
                <w:rFonts w:cstheme="minorHAnsi"/>
                <w:sz w:val="20"/>
              </w:rPr>
              <w:t xml:space="preserve">av henvisninger mellom </w:t>
            </w:r>
            <w:r w:rsidR="00926012" w:rsidRPr="00926012">
              <w:rPr>
                <w:rFonts w:cstheme="minorHAnsi"/>
                <w:sz w:val="20"/>
              </w:rPr>
              <w:t>fastlegen</w:t>
            </w:r>
            <w:r w:rsidRPr="005A4AD1">
              <w:rPr>
                <w:rFonts w:cstheme="minorHAnsi"/>
                <w:sz w:val="20"/>
              </w:rPr>
              <w:t xml:space="preserve"> og spesialisthelsetjenesten, mener ekspertutvalget det bør vurderes å endre pasient- og brukerrettighetsloven</w:t>
            </w:r>
            <w:r w:rsidR="00926012" w:rsidRPr="00926012">
              <w:rPr>
                <w:rFonts w:cstheme="minorHAnsi"/>
                <w:sz w:val="20"/>
              </w:rPr>
              <w:t>.</w:t>
            </w:r>
          </w:p>
        </w:tc>
        <w:tc>
          <w:tcPr>
            <w:tcW w:w="0" w:type="auto"/>
          </w:tcPr>
          <w:p w14:paraId="35881383" w14:textId="04BFFEC7" w:rsidR="000D433A" w:rsidRPr="00C33652" w:rsidRDefault="00784201" w:rsidP="00B340D5">
            <w:pPr>
              <w:cnfStyle w:val="000000000000" w:firstRow="0" w:lastRow="0" w:firstColumn="0" w:lastColumn="0" w:oddVBand="0" w:evenVBand="0" w:oddHBand="0" w:evenHBand="0" w:firstRowFirstColumn="0" w:firstRowLastColumn="0" w:lastRowFirstColumn="0" w:lastRowLastColumn="0"/>
            </w:pPr>
            <w:r w:rsidRPr="00C33652">
              <w:t xml:space="preserve">Kan </w:t>
            </w:r>
            <w:r w:rsidR="00885FD1" w:rsidRPr="00C33652">
              <w:t>medføre noe ekstra</w:t>
            </w:r>
            <w:r w:rsidR="001148D7" w:rsidRPr="00C33652">
              <w:t xml:space="preserve">belastning med nye spørsmål </w:t>
            </w:r>
            <w:r w:rsidR="00885FD1" w:rsidRPr="00C33652">
              <w:t xml:space="preserve">for den </w:t>
            </w:r>
            <w:r w:rsidR="13920040" w:rsidRPr="00C33652">
              <w:t>spes</w:t>
            </w:r>
            <w:r w:rsidR="7616426D" w:rsidRPr="00C33652">
              <w:t>i</w:t>
            </w:r>
            <w:r w:rsidR="13920040" w:rsidRPr="00C33652">
              <w:t>fikke</w:t>
            </w:r>
            <w:r w:rsidR="00885FD1" w:rsidRPr="00C33652">
              <w:t xml:space="preserve"> pasienten</w:t>
            </w:r>
            <w:r w:rsidR="00DA786F" w:rsidRPr="00C33652">
              <w:t xml:space="preserve"> og fastlegen</w:t>
            </w:r>
            <w:r w:rsidR="00885FD1" w:rsidRPr="00C33652">
              <w:t xml:space="preserve">, men det kan også medføre </w:t>
            </w:r>
            <w:r w:rsidR="00DA786F" w:rsidRPr="00C33652">
              <w:t xml:space="preserve">bedre henvisninger på sikt og dermed </w:t>
            </w:r>
            <w:r w:rsidR="00885FD1" w:rsidRPr="00C33652">
              <w:t xml:space="preserve">besparelser </w:t>
            </w:r>
            <w:r w:rsidR="00DA786F" w:rsidRPr="00C33652">
              <w:t xml:space="preserve">og nytte </w:t>
            </w:r>
            <w:r w:rsidR="00885FD1" w:rsidRPr="00C33652">
              <w:t>for helsetjenestene og pasientene.</w:t>
            </w:r>
          </w:p>
        </w:tc>
        <w:tc>
          <w:tcPr>
            <w:tcW w:w="0" w:type="auto"/>
          </w:tcPr>
          <w:p w14:paraId="6E715023" w14:textId="77777777" w:rsidR="00D9107F" w:rsidRDefault="00DB154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Endringer i pasient- og brukerrettighetsloven.</w:t>
            </w:r>
          </w:p>
          <w:p w14:paraId="406156BE" w14:textId="5C63744B" w:rsidR="000D433A" w:rsidRPr="005A4AD1" w:rsidRDefault="00DB154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medføre endringer i hvordan spesialisthelsetjenesten behandler henvisninger fra fastlegen</w:t>
            </w:r>
            <w:r w:rsidR="0069076C" w:rsidRPr="005A4AD1">
              <w:rPr>
                <w:rFonts w:cstheme="minorHAnsi"/>
                <w:sz w:val="20"/>
              </w:rPr>
              <w:t>, og eventuelt oppdatering av meldingssystemet</w:t>
            </w:r>
            <w:r w:rsidRPr="005A4AD1">
              <w:rPr>
                <w:rFonts w:cstheme="minorHAnsi"/>
                <w:sz w:val="20"/>
              </w:rPr>
              <w:t>.</w:t>
            </w:r>
          </w:p>
        </w:tc>
      </w:tr>
    </w:tbl>
    <w:p w14:paraId="7CEE9616" w14:textId="09ECD57C" w:rsidR="00C207CE" w:rsidRDefault="00C207CE" w:rsidP="00775632">
      <w:pPr>
        <w:pStyle w:val="Overskrift2"/>
      </w:pPr>
      <w:bookmarkStart w:id="6097" w:name="_Toc130932266"/>
      <w:bookmarkStart w:id="6098" w:name="_Toc130934557"/>
      <w:bookmarkStart w:id="6099" w:name="_Toc130983730"/>
      <w:bookmarkStart w:id="6100" w:name="_Toc130984079"/>
      <w:bookmarkStart w:id="6101" w:name="_Toc131062311"/>
      <w:bookmarkStart w:id="6102" w:name="_Toc131062565"/>
      <w:bookmarkStart w:id="6103" w:name="_Toc131062826"/>
      <w:bookmarkStart w:id="6104" w:name="_Toc131063079"/>
      <w:bookmarkStart w:id="6105" w:name="_Toc131063862"/>
      <w:bookmarkStart w:id="6106" w:name="_Toc131064273"/>
      <w:bookmarkStart w:id="6107" w:name="_Toc131238603"/>
      <w:bookmarkStart w:id="6108" w:name="_Toc131279694"/>
      <w:bookmarkStart w:id="6109" w:name="_Toc131287106"/>
      <w:bookmarkStart w:id="6110" w:name="_Toc131281516"/>
      <w:bookmarkStart w:id="6111" w:name="_Toc131281526"/>
      <w:bookmarkStart w:id="6112" w:name="_Toc131318056"/>
      <w:bookmarkStart w:id="6113" w:name="_Toc132537122"/>
      <w:r>
        <w:t>Finansiering</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p>
    <w:tbl>
      <w:tblPr>
        <w:tblStyle w:val="0Ekspertutvalgettabellstil1"/>
        <w:tblW w:w="0" w:type="auto"/>
        <w:tblLook w:val="04A0" w:firstRow="1" w:lastRow="0" w:firstColumn="1" w:lastColumn="0" w:noHBand="0" w:noVBand="1"/>
      </w:tblPr>
      <w:tblGrid>
        <w:gridCol w:w="470"/>
        <w:gridCol w:w="3220"/>
        <w:gridCol w:w="3201"/>
        <w:gridCol w:w="2845"/>
      </w:tblGrid>
      <w:tr w:rsidR="0079712A" w:rsidRPr="004E01BF" w14:paraId="1BC6CDA3" w14:textId="77777777" w:rsidTr="0024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18309100" w14:textId="6EF0EBA0" w:rsidR="001C2DBA" w:rsidRPr="00D9107F" w:rsidRDefault="001C2DBA" w:rsidP="00B340D5">
            <w:pPr>
              <w:pStyle w:val="TabellHode-kolonne"/>
              <w:rPr>
                <w:rStyle w:val="halvfet"/>
              </w:rPr>
            </w:pPr>
            <w:r w:rsidRPr="00D9107F">
              <w:rPr>
                <w:rStyle w:val="halvfet"/>
              </w:rPr>
              <w:t>#</w:t>
            </w:r>
          </w:p>
        </w:tc>
        <w:tc>
          <w:tcPr>
            <w:tcW w:w="0" w:type="auto"/>
            <w:shd w:val="clear" w:color="auto" w:fill="A9D6B9"/>
          </w:tcPr>
          <w:p w14:paraId="66C5804E" w14:textId="3843878B" w:rsidR="0079712A" w:rsidRPr="00D9107F" w:rsidRDefault="00637FC3"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0" w:type="auto"/>
            <w:shd w:val="clear" w:color="auto" w:fill="A9D6B9"/>
          </w:tcPr>
          <w:p w14:paraId="41D81796" w14:textId="5534CCD1" w:rsidR="0079712A" w:rsidRPr="00D9107F" w:rsidRDefault="00770286"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Økonomiske konsekvenser</w:t>
            </w:r>
          </w:p>
        </w:tc>
        <w:tc>
          <w:tcPr>
            <w:tcW w:w="0" w:type="auto"/>
            <w:shd w:val="clear" w:color="auto" w:fill="A9D6B9"/>
          </w:tcPr>
          <w:p w14:paraId="1A0DBADF" w14:textId="5F91D04B" w:rsidR="0079712A" w:rsidRPr="00D9107F" w:rsidRDefault="00770286"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Administrative konsekvenser</w:t>
            </w:r>
          </w:p>
        </w:tc>
      </w:tr>
      <w:tr w:rsidR="00770286" w:rsidRPr="004E01BF" w14:paraId="166248B8"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65C076E2" w14:textId="362319E5" w:rsidR="001C2DBA" w:rsidRPr="005A4AD1" w:rsidRDefault="001E548A" w:rsidP="00B340D5">
            <w:pPr>
              <w:pStyle w:val="TabellHode-rad"/>
            </w:pPr>
            <w:r w:rsidRPr="005A4AD1">
              <w:lastRenderedPageBreak/>
              <w:t>11.</w:t>
            </w:r>
          </w:p>
        </w:tc>
        <w:tc>
          <w:tcPr>
            <w:tcW w:w="0" w:type="auto"/>
          </w:tcPr>
          <w:p w14:paraId="6CD43FA0" w14:textId="40F91964" w:rsidR="00770286" w:rsidRPr="005A4AD1" w:rsidRDefault="00770286"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Utvalgets flertall </w:t>
            </w:r>
            <w:r w:rsidR="001346A9" w:rsidRPr="008B17FD">
              <w:rPr>
                <w:rFonts w:cstheme="minorHAnsi"/>
                <w:sz w:val="20"/>
              </w:rPr>
              <w:t>anbefaler</w:t>
            </w:r>
            <w:r w:rsidRPr="005A4AD1">
              <w:rPr>
                <w:rFonts w:cstheme="minorHAnsi"/>
                <w:sz w:val="20"/>
              </w:rPr>
              <w:t xml:space="preserve"> at basistilskuddets andel av finansieringen økes til 50 prosent</w:t>
            </w:r>
            <w:r w:rsidR="001346A9">
              <w:rPr>
                <w:rFonts w:cstheme="minorHAnsi"/>
                <w:sz w:val="20"/>
              </w:rPr>
              <w:t>.</w:t>
            </w:r>
          </w:p>
        </w:tc>
        <w:tc>
          <w:tcPr>
            <w:tcW w:w="0" w:type="auto"/>
          </w:tcPr>
          <w:p w14:paraId="7DF281CB" w14:textId="77777777" w:rsidR="00D9107F" w:rsidRDefault="00032F0F"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er ikke klart at en </w:t>
            </w:r>
            <w:r w:rsidR="00770286" w:rsidRPr="005A4AD1">
              <w:rPr>
                <w:rFonts w:cstheme="minorHAnsi"/>
                <w:sz w:val="20"/>
              </w:rPr>
              <w:t>omfordeling innenfor rammen av basistilskudd og takster vil gi økonomiske konsekvenser for staten</w:t>
            </w:r>
            <w:r w:rsidR="00BA0483" w:rsidRPr="005A4AD1">
              <w:rPr>
                <w:rFonts w:cstheme="minorHAnsi"/>
                <w:sz w:val="20"/>
              </w:rPr>
              <w:t xml:space="preserve"> eller kommunene</w:t>
            </w:r>
            <w:r w:rsidR="00770286" w:rsidRPr="005A4AD1">
              <w:rPr>
                <w:rFonts w:cstheme="minorHAnsi"/>
                <w:sz w:val="20"/>
              </w:rPr>
              <w:t>.</w:t>
            </w:r>
          </w:p>
          <w:p w14:paraId="2599D89C" w14:textId="08A35B4E" w:rsidR="00770286" w:rsidRPr="005A4AD1" w:rsidRDefault="00770286"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kap</w:t>
            </w:r>
            <w:r w:rsidR="006905D9" w:rsidRPr="005A4AD1">
              <w:rPr>
                <w:rFonts w:cstheme="minorHAnsi"/>
                <w:sz w:val="20"/>
              </w:rPr>
              <w:t>ittel</w:t>
            </w:r>
            <w:r w:rsidRPr="005A4AD1">
              <w:rPr>
                <w:rFonts w:cstheme="minorHAnsi"/>
                <w:sz w:val="20"/>
              </w:rPr>
              <w:t xml:space="preserve"> </w:t>
            </w:r>
            <w:r w:rsidR="003A16B6" w:rsidRPr="005A4AD1">
              <w:rPr>
                <w:rFonts w:cstheme="minorHAnsi"/>
                <w:sz w:val="20"/>
              </w:rPr>
              <w:t>5.7.2</w:t>
            </w:r>
            <w:r w:rsidRPr="005A4AD1">
              <w:rPr>
                <w:rFonts w:cstheme="minorHAnsi"/>
                <w:sz w:val="20"/>
              </w:rPr>
              <w:t xml:space="preserve"> for omfordelingseffekter for leger</w:t>
            </w:r>
            <w:r w:rsidR="00B8797F" w:rsidRPr="005A4AD1">
              <w:rPr>
                <w:rFonts w:cstheme="minorHAnsi"/>
                <w:sz w:val="20"/>
              </w:rPr>
              <w:t>.</w:t>
            </w:r>
          </w:p>
        </w:tc>
        <w:tc>
          <w:tcPr>
            <w:tcW w:w="0" w:type="auto"/>
          </w:tcPr>
          <w:p w14:paraId="7D6343A4" w14:textId="77777777" w:rsidR="00D9107F" w:rsidRDefault="00114F6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Helsedirektoratets og </w:t>
            </w:r>
            <w:r w:rsidR="00770286" w:rsidRPr="005A4AD1">
              <w:rPr>
                <w:rFonts w:cstheme="minorHAnsi"/>
                <w:sz w:val="20"/>
              </w:rPr>
              <w:t>Helfos administrasjon av ordningen</w:t>
            </w:r>
            <w:r w:rsidR="005B0795" w:rsidRPr="005A4AD1">
              <w:rPr>
                <w:rFonts w:cstheme="minorHAnsi"/>
                <w:sz w:val="20"/>
              </w:rPr>
              <w:t>.</w:t>
            </w:r>
          </w:p>
          <w:p w14:paraId="1826FC79" w14:textId="77777777" w:rsidR="00D9107F" w:rsidRDefault="00C7293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Kommunal- og distriktsdepartementet: </w:t>
            </w:r>
            <w:r w:rsidR="00E379E4" w:rsidRPr="005A4AD1">
              <w:rPr>
                <w:rFonts w:cstheme="minorHAnsi"/>
                <w:sz w:val="20"/>
              </w:rPr>
              <w:t>Eventuell justering i inntektssystemet for kommunene</w:t>
            </w:r>
          </w:p>
          <w:p w14:paraId="1A179956" w14:textId="5B6A4D5E" w:rsidR="005B0795" w:rsidRPr="005A4AD1" w:rsidRDefault="005B0795"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Mulig behov for avtalerettslige endringer.</w:t>
            </w:r>
          </w:p>
        </w:tc>
      </w:tr>
      <w:tr w:rsidR="0079712A" w:rsidRPr="004E01BF" w14:paraId="5713F249"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1B1C1942" w14:textId="7E87847B" w:rsidR="001C2DBA" w:rsidRPr="005A4AD1" w:rsidRDefault="001E548A" w:rsidP="00B340D5">
            <w:pPr>
              <w:pStyle w:val="TabellHode-rad"/>
            </w:pPr>
            <w:r w:rsidRPr="005A4AD1">
              <w:t>12.</w:t>
            </w:r>
          </w:p>
        </w:tc>
        <w:tc>
          <w:tcPr>
            <w:tcW w:w="0" w:type="auto"/>
          </w:tcPr>
          <w:p w14:paraId="34CBAAC6" w14:textId="23C0E92F" w:rsidR="0079712A" w:rsidRPr="005A4AD1" w:rsidRDefault="0079712A"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eastAsia="Calibri" w:cstheme="minorHAnsi"/>
                <w:sz w:val="20"/>
              </w:rPr>
              <w:t xml:space="preserve">Utvalgets flertall </w:t>
            </w:r>
            <w:r w:rsidR="000F3679" w:rsidRPr="005A4AD1">
              <w:rPr>
                <w:rFonts w:eastAsia="Calibri" w:cstheme="minorHAnsi"/>
                <w:sz w:val="20"/>
              </w:rPr>
              <w:t xml:space="preserve">mener </w:t>
            </w:r>
            <w:r w:rsidRPr="005A4AD1">
              <w:rPr>
                <w:rFonts w:eastAsia="Calibri" w:cstheme="minorHAnsi"/>
                <w:sz w:val="20"/>
              </w:rPr>
              <w:t>at det bør innføres en kvalitetsjustering av basistilskuddet</w:t>
            </w:r>
            <w:r w:rsidR="000F3679" w:rsidRPr="005A4AD1">
              <w:rPr>
                <w:rFonts w:eastAsia="Calibri" w:cstheme="minorHAnsi"/>
                <w:sz w:val="20"/>
              </w:rPr>
              <w:t>.</w:t>
            </w:r>
            <w:r w:rsidR="000F3679" w:rsidRPr="005A4AD1">
              <w:rPr>
                <w:rFonts w:cstheme="minorHAnsi"/>
                <w:sz w:val="20"/>
              </w:rPr>
              <w:t xml:space="preserve"> </w:t>
            </w:r>
            <w:r w:rsidR="000F3679" w:rsidRPr="005A4AD1">
              <w:rPr>
                <w:rFonts w:eastAsia="Calibri" w:cstheme="minorHAnsi"/>
                <w:sz w:val="20"/>
              </w:rPr>
              <w:t>At fastlegen er spesialist i allmennmedisin, vil være et sentralt element i en kvalitetsjustering.</w:t>
            </w:r>
          </w:p>
        </w:tc>
        <w:tc>
          <w:tcPr>
            <w:tcW w:w="0" w:type="auto"/>
          </w:tcPr>
          <w:p w14:paraId="18DFA87B" w14:textId="77777777" w:rsidR="00D9107F" w:rsidRDefault="00064EDA"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er ikke klart at e</w:t>
            </w:r>
            <w:r w:rsidR="004C1DF7" w:rsidRPr="005A4AD1">
              <w:rPr>
                <w:rFonts w:cstheme="minorHAnsi"/>
                <w:sz w:val="20"/>
              </w:rPr>
              <w:t>n omfordeling av basistilskuddet vil gi økonomiske konsekvenser for staten</w:t>
            </w:r>
            <w:r w:rsidRPr="005A4AD1">
              <w:rPr>
                <w:rFonts w:cstheme="minorHAnsi"/>
                <w:sz w:val="20"/>
              </w:rPr>
              <w:t xml:space="preserve"> og kommunene</w:t>
            </w:r>
            <w:r w:rsidR="00C80C60" w:rsidRPr="005A4AD1">
              <w:rPr>
                <w:rFonts w:cstheme="minorHAnsi"/>
                <w:sz w:val="20"/>
              </w:rPr>
              <w:t>.</w:t>
            </w:r>
          </w:p>
          <w:p w14:paraId="04634F7E" w14:textId="142CE1D0" w:rsidR="0079712A" w:rsidRPr="005A4AD1" w:rsidRDefault="007C444E"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w:t>
            </w:r>
            <w:r w:rsidR="00AD005D" w:rsidRPr="005A4AD1">
              <w:rPr>
                <w:rFonts w:cstheme="minorHAnsi"/>
                <w:sz w:val="20"/>
              </w:rPr>
              <w:t xml:space="preserve">vil </w:t>
            </w:r>
            <w:r w:rsidR="00A74D41" w:rsidRPr="005A4AD1">
              <w:rPr>
                <w:rFonts w:cstheme="minorHAnsi"/>
                <w:sz w:val="20"/>
              </w:rPr>
              <w:t xml:space="preserve">kunne </w:t>
            </w:r>
            <w:r w:rsidR="00AD005D" w:rsidRPr="005A4AD1">
              <w:rPr>
                <w:rFonts w:cstheme="minorHAnsi"/>
                <w:sz w:val="20"/>
              </w:rPr>
              <w:t>være</w:t>
            </w:r>
            <w:r w:rsidR="00A74D41" w:rsidRPr="005A4AD1">
              <w:rPr>
                <w:rFonts w:cstheme="minorHAnsi"/>
                <w:sz w:val="20"/>
              </w:rPr>
              <w:t xml:space="preserve"> </w:t>
            </w:r>
            <w:r w:rsidR="004463DD" w:rsidRPr="005A4AD1">
              <w:rPr>
                <w:rFonts w:cstheme="minorHAnsi"/>
                <w:sz w:val="20"/>
              </w:rPr>
              <w:t>noen omfordelingseffekter</w:t>
            </w:r>
            <w:r w:rsidR="00AD005D" w:rsidRPr="005A4AD1">
              <w:rPr>
                <w:rFonts w:cstheme="minorHAnsi"/>
                <w:sz w:val="20"/>
              </w:rPr>
              <w:t xml:space="preserve"> for </w:t>
            </w:r>
            <w:r w:rsidR="00A74D41" w:rsidRPr="005A4AD1">
              <w:rPr>
                <w:rFonts w:cstheme="minorHAnsi"/>
                <w:sz w:val="20"/>
              </w:rPr>
              <w:t xml:space="preserve">kommuner og </w:t>
            </w:r>
            <w:r w:rsidR="00AD005D" w:rsidRPr="005A4AD1">
              <w:rPr>
                <w:rFonts w:cstheme="minorHAnsi"/>
                <w:sz w:val="20"/>
              </w:rPr>
              <w:t xml:space="preserve">leger som følge </w:t>
            </w:r>
            <w:r w:rsidR="00A74D41" w:rsidRPr="005A4AD1">
              <w:rPr>
                <w:rFonts w:cstheme="minorHAnsi"/>
                <w:sz w:val="20"/>
              </w:rPr>
              <w:t xml:space="preserve">av </w:t>
            </w:r>
            <w:r w:rsidR="00B6689B" w:rsidRPr="005A4AD1">
              <w:rPr>
                <w:rFonts w:cstheme="minorHAnsi"/>
                <w:sz w:val="20"/>
              </w:rPr>
              <w:t>kvalitetsjustering av basistilskuddet.</w:t>
            </w:r>
          </w:p>
        </w:tc>
        <w:tc>
          <w:tcPr>
            <w:tcW w:w="0" w:type="auto"/>
          </w:tcPr>
          <w:p w14:paraId="12B81C94" w14:textId="77777777" w:rsidR="00D9107F" w:rsidRDefault="00114F62"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Helsedirektoratets og </w:t>
            </w:r>
            <w:r w:rsidR="00CB5086" w:rsidRPr="005A4AD1">
              <w:rPr>
                <w:rFonts w:cstheme="minorHAnsi"/>
                <w:sz w:val="20"/>
              </w:rPr>
              <w:t>Helfos administrasjon av ordningen</w:t>
            </w:r>
            <w:r w:rsidR="003D2893" w:rsidRPr="005A4AD1">
              <w:rPr>
                <w:rFonts w:cstheme="minorHAnsi"/>
                <w:sz w:val="20"/>
              </w:rPr>
              <w:t>.</w:t>
            </w:r>
          </w:p>
          <w:p w14:paraId="2936601E" w14:textId="77777777" w:rsidR="00D9107F" w:rsidRDefault="002A019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Eventuell presisering av kvalitetselementet ved endring i fastlegeforskriften</w:t>
            </w:r>
            <w:r w:rsidR="001728EA" w:rsidRPr="005A4AD1">
              <w:rPr>
                <w:rFonts w:cstheme="minorHAnsi"/>
                <w:sz w:val="20"/>
              </w:rPr>
              <w:t>, og endringer i stønadsforskriften</w:t>
            </w:r>
            <w:r w:rsidRPr="005A4AD1">
              <w:rPr>
                <w:rFonts w:cstheme="minorHAnsi"/>
                <w:sz w:val="20"/>
              </w:rPr>
              <w:t>.</w:t>
            </w:r>
          </w:p>
          <w:p w14:paraId="2117FEDD" w14:textId="77777777" w:rsidR="00D9107F" w:rsidRDefault="00C7293C"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Kommunal- og distriktsdepartementet: Eventuell justering i inntektssystemet for kommunene</w:t>
            </w:r>
          </w:p>
          <w:p w14:paraId="70ED34EA" w14:textId="261224BC" w:rsidR="003D2893" w:rsidRPr="005A4AD1" w:rsidRDefault="003D2893"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Mulig behov for avtalerettslige endringer.</w:t>
            </w:r>
          </w:p>
        </w:tc>
      </w:tr>
      <w:tr w:rsidR="0079712A" w:rsidRPr="004E01BF" w14:paraId="0E876A65"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7B68039D" w14:textId="56246484" w:rsidR="001C2DBA" w:rsidRPr="005A4AD1" w:rsidRDefault="001E548A" w:rsidP="00B340D5">
            <w:pPr>
              <w:pStyle w:val="TabellHode-rad"/>
            </w:pPr>
            <w:r w:rsidRPr="005A4AD1">
              <w:t>13.</w:t>
            </w:r>
          </w:p>
        </w:tc>
        <w:tc>
          <w:tcPr>
            <w:tcW w:w="0" w:type="auto"/>
          </w:tcPr>
          <w:p w14:paraId="3342CF55" w14:textId="4724C805" w:rsidR="0079712A" w:rsidRPr="005A4AD1" w:rsidRDefault="0079712A"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pasienttilpassede basistilskuddet som innføres 1. mai 2023</w:t>
            </w:r>
            <w:r w:rsidR="005E25CC">
              <w:rPr>
                <w:rFonts w:cstheme="minorHAnsi"/>
                <w:sz w:val="20"/>
              </w:rPr>
              <w:t>,</w:t>
            </w:r>
            <w:r w:rsidRPr="005A4AD1">
              <w:rPr>
                <w:rFonts w:cstheme="minorHAnsi"/>
                <w:sz w:val="20"/>
              </w:rPr>
              <w:t xml:space="preserve"> bør få virke i noen år før man vurderer å gjøre justeringer.</w:t>
            </w:r>
          </w:p>
        </w:tc>
        <w:tc>
          <w:tcPr>
            <w:tcW w:w="0" w:type="auto"/>
          </w:tcPr>
          <w:p w14:paraId="2518D08A" w14:textId="73B1ABCA" w:rsidR="0079712A" w:rsidRPr="00D9107F" w:rsidRDefault="00EE6B44" w:rsidP="00B340D5">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Omfordelingseffekter for leger inntr</w:t>
            </w:r>
            <w:r w:rsidR="00A227DE" w:rsidRPr="005A4AD1">
              <w:rPr>
                <w:rFonts w:cstheme="minorHAnsi"/>
                <w:sz w:val="20"/>
              </w:rPr>
              <w:t>e</w:t>
            </w:r>
            <w:r w:rsidRPr="005A4AD1">
              <w:rPr>
                <w:rFonts w:cstheme="minorHAnsi"/>
                <w:sz w:val="20"/>
              </w:rPr>
              <w:t>ff</w:t>
            </w:r>
            <w:r w:rsidR="00A227DE" w:rsidRPr="005A4AD1">
              <w:rPr>
                <w:rFonts w:cstheme="minorHAnsi"/>
                <w:sz w:val="20"/>
              </w:rPr>
              <w:t>er</w:t>
            </w:r>
            <w:r w:rsidR="001E53BC" w:rsidRPr="005A4AD1">
              <w:rPr>
                <w:rFonts w:cstheme="minorHAnsi"/>
                <w:sz w:val="20"/>
              </w:rPr>
              <w:t xml:space="preserve"> </w:t>
            </w:r>
            <w:r w:rsidR="005B212C" w:rsidRPr="005A4AD1">
              <w:rPr>
                <w:rFonts w:cstheme="minorHAnsi"/>
                <w:sz w:val="20"/>
              </w:rPr>
              <w:t>1. mai 2023</w:t>
            </w:r>
            <w:r w:rsidRPr="005A4AD1">
              <w:rPr>
                <w:rFonts w:cstheme="minorHAnsi"/>
                <w:sz w:val="20"/>
              </w:rPr>
              <w:t xml:space="preserve">. </w:t>
            </w:r>
          </w:p>
        </w:tc>
        <w:tc>
          <w:tcPr>
            <w:tcW w:w="0" w:type="auto"/>
          </w:tcPr>
          <w:p w14:paraId="75F87239" w14:textId="77777777" w:rsidR="000F3679" w:rsidRPr="005A4AD1" w:rsidRDefault="000F3679"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79712A" w:rsidRPr="004E01BF" w14:paraId="1C224904"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659EBBEF" w14:textId="48CC6BEF" w:rsidR="001C2DBA" w:rsidRPr="005A4AD1" w:rsidRDefault="001E548A" w:rsidP="00B340D5">
            <w:pPr>
              <w:pStyle w:val="TabellHode-rad"/>
            </w:pPr>
            <w:r w:rsidRPr="005A4AD1">
              <w:t>14.</w:t>
            </w:r>
          </w:p>
        </w:tc>
        <w:tc>
          <w:tcPr>
            <w:tcW w:w="0" w:type="auto"/>
          </w:tcPr>
          <w:p w14:paraId="7C096EA4" w14:textId="595D5636" w:rsidR="0079712A" w:rsidRPr="005A4AD1" w:rsidRDefault="0079712A"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En videreutvikling av det </w:t>
            </w:r>
            <w:r w:rsidR="2CD774D0" w:rsidRPr="005A4AD1">
              <w:rPr>
                <w:rFonts w:cstheme="minorHAnsi"/>
                <w:sz w:val="20"/>
              </w:rPr>
              <w:t>pasient</w:t>
            </w:r>
            <w:r w:rsidR="09CFBD66" w:rsidRPr="005A4AD1">
              <w:rPr>
                <w:rFonts w:cstheme="minorHAnsi"/>
                <w:sz w:val="20"/>
              </w:rPr>
              <w:t>t</w:t>
            </w:r>
            <w:r w:rsidR="15DA035A" w:rsidRPr="005A4AD1">
              <w:rPr>
                <w:rFonts w:cstheme="minorHAnsi"/>
                <w:sz w:val="20"/>
              </w:rPr>
              <w:t>ilpassede</w:t>
            </w:r>
            <w:r w:rsidRPr="005A4AD1">
              <w:rPr>
                <w:rFonts w:cstheme="minorHAnsi"/>
                <w:sz w:val="20"/>
              </w:rPr>
              <w:t xml:space="preserve"> </w:t>
            </w:r>
            <w:r w:rsidR="005E25CC">
              <w:rPr>
                <w:rFonts w:cstheme="minorHAnsi"/>
                <w:sz w:val="20"/>
              </w:rPr>
              <w:t>basis</w:t>
            </w:r>
            <w:r w:rsidRPr="005A4AD1">
              <w:rPr>
                <w:rFonts w:cstheme="minorHAnsi"/>
                <w:sz w:val="20"/>
              </w:rPr>
              <w:t>tilskuddet bør rettes mot indikatorer for sykdom, helsetilstand og sosioøkonomisk status på individnivå</w:t>
            </w:r>
            <w:r w:rsidR="005E25CC">
              <w:rPr>
                <w:rFonts w:cstheme="minorHAnsi"/>
                <w:sz w:val="20"/>
              </w:rPr>
              <w:t>.</w:t>
            </w:r>
          </w:p>
        </w:tc>
        <w:tc>
          <w:tcPr>
            <w:tcW w:w="0" w:type="auto"/>
          </w:tcPr>
          <w:p w14:paraId="4BAAD017" w14:textId="77777777" w:rsidR="00D9107F" w:rsidRDefault="003D2893"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er ikke klart at e</w:t>
            </w:r>
            <w:r w:rsidR="002C1446" w:rsidRPr="005A4AD1">
              <w:rPr>
                <w:rFonts w:cstheme="minorHAnsi"/>
                <w:sz w:val="20"/>
              </w:rPr>
              <w:t>n omfordeling innenfor rammen av basistilskudd og takster vil gi økonomiske konsekvenser for staten</w:t>
            </w:r>
            <w:r w:rsidR="00F9763B">
              <w:rPr>
                <w:rFonts w:cstheme="minorHAnsi"/>
                <w:sz w:val="20"/>
              </w:rPr>
              <w:t>.</w:t>
            </w:r>
          </w:p>
          <w:p w14:paraId="10E69480" w14:textId="2AB061F5" w:rsidR="0079712A" w:rsidRPr="005A4AD1" w:rsidRDefault="0009401E"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vil </w:t>
            </w:r>
            <w:r w:rsidR="00746E8E" w:rsidRPr="005A4AD1">
              <w:rPr>
                <w:rFonts w:cstheme="minorHAnsi"/>
                <w:sz w:val="20"/>
              </w:rPr>
              <w:t xml:space="preserve">kunne </w:t>
            </w:r>
            <w:r w:rsidRPr="005A4AD1">
              <w:rPr>
                <w:rFonts w:cstheme="minorHAnsi"/>
                <w:sz w:val="20"/>
              </w:rPr>
              <w:t xml:space="preserve">være omfordelingseffekter for leger </w:t>
            </w:r>
            <w:r w:rsidR="00746E8E" w:rsidRPr="005A4AD1">
              <w:rPr>
                <w:rFonts w:cstheme="minorHAnsi"/>
                <w:sz w:val="20"/>
              </w:rPr>
              <w:lastRenderedPageBreak/>
              <w:t xml:space="preserve">og kommuner </w:t>
            </w:r>
            <w:r w:rsidRPr="005A4AD1">
              <w:rPr>
                <w:rFonts w:cstheme="minorHAnsi"/>
                <w:sz w:val="20"/>
              </w:rPr>
              <w:t>som følge av nye indikatorer</w:t>
            </w:r>
            <w:r w:rsidR="00C80C60" w:rsidRPr="005A4AD1">
              <w:rPr>
                <w:rFonts w:cstheme="minorHAnsi"/>
                <w:sz w:val="20"/>
              </w:rPr>
              <w:t>.</w:t>
            </w:r>
          </w:p>
        </w:tc>
        <w:tc>
          <w:tcPr>
            <w:tcW w:w="0" w:type="auto"/>
          </w:tcPr>
          <w:p w14:paraId="7522F5E7" w14:textId="77777777" w:rsidR="00D9107F" w:rsidRDefault="00E62949"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Utviklingsarbeidet vil kreve ressurser i Helsedirektoratet, og i ulike fag- og kompetansemiljø</w:t>
            </w:r>
            <w:r w:rsidR="003D2893" w:rsidRPr="005A4AD1">
              <w:rPr>
                <w:rFonts w:cstheme="minorHAnsi"/>
                <w:sz w:val="20"/>
              </w:rPr>
              <w:t>.</w:t>
            </w:r>
          </w:p>
          <w:p w14:paraId="78DB9CFB" w14:textId="6940C719" w:rsidR="003D2893" w:rsidRPr="005A4AD1" w:rsidRDefault="003D2893"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Mulig behov for avtalerettslige endringer.</w:t>
            </w:r>
          </w:p>
        </w:tc>
      </w:tr>
      <w:tr w:rsidR="002527F0" w:rsidRPr="004E01BF" w14:paraId="7C4C364A"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5694CB6C" w14:textId="16A5AFE4" w:rsidR="002527F0" w:rsidRPr="005A4AD1" w:rsidRDefault="002527F0" w:rsidP="00B340D5">
            <w:pPr>
              <w:pStyle w:val="TabellHode-rad"/>
            </w:pPr>
            <w:r w:rsidRPr="005A4AD1">
              <w:t>15.</w:t>
            </w:r>
          </w:p>
        </w:tc>
        <w:tc>
          <w:tcPr>
            <w:tcW w:w="0" w:type="auto"/>
          </w:tcPr>
          <w:p w14:paraId="254CC5FA" w14:textId="6D596A68" w:rsidR="002527F0" w:rsidRPr="005A4AD1"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eastAsia="Calibri" w:cstheme="minorHAnsi"/>
                <w:sz w:val="20"/>
              </w:rPr>
              <w:t>Takstsystemet bør gjennomgås, med henblikk på en forenkling og reduksjon av antall takster. Det kan også vurderes om takstene kan benyttes mer aktivt for å stimulere til ønsket aktivitet og prioritering i tjenestene.</w:t>
            </w:r>
          </w:p>
        </w:tc>
        <w:tc>
          <w:tcPr>
            <w:tcW w:w="0" w:type="auto"/>
          </w:tcPr>
          <w:p w14:paraId="0D53D633" w14:textId="1A541AE9" w:rsidR="002527F0" w:rsidRPr="005A4AD1"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Framtidige endringer i takster kan gi omfordelingseffekter for leger.</w:t>
            </w:r>
          </w:p>
        </w:tc>
        <w:tc>
          <w:tcPr>
            <w:tcW w:w="0" w:type="auto"/>
          </w:tcPr>
          <w:p w14:paraId="644D15DA" w14:textId="27990B54" w:rsidR="002527F0" w:rsidRPr="005A4AD1"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 gjennomgang vil kreve ressurser i Helsedirektoratet.</w:t>
            </w:r>
          </w:p>
        </w:tc>
      </w:tr>
      <w:tr w:rsidR="002527F0" w:rsidRPr="004E01BF" w14:paraId="706AFEE5" w14:textId="77777777" w:rsidTr="00245BD8">
        <w:tc>
          <w:tcPr>
            <w:cnfStyle w:val="001000000000" w:firstRow="0" w:lastRow="0" w:firstColumn="1" w:lastColumn="0" w:oddVBand="0" w:evenVBand="0" w:oddHBand="0" w:evenHBand="0" w:firstRowFirstColumn="0" w:firstRowLastColumn="0" w:lastRowFirstColumn="0" w:lastRowLastColumn="0"/>
            <w:tcW w:w="0" w:type="auto"/>
          </w:tcPr>
          <w:p w14:paraId="60E2CE3C" w14:textId="39E83AA3" w:rsidR="002527F0" w:rsidRPr="005A4AD1" w:rsidRDefault="002527F0" w:rsidP="00B340D5">
            <w:pPr>
              <w:pStyle w:val="TabellHode-rad"/>
            </w:pPr>
            <w:r w:rsidRPr="005A4AD1">
              <w:t>16.</w:t>
            </w:r>
          </w:p>
        </w:tc>
        <w:tc>
          <w:tcPr>
            <w:tcW w:w="0" w:type="auto"/>
          </w:tcPr>
          <w:p w14:paraId="780EC802" w14:textId="1D1E498C" w:rsidR="002527F0" w:rsidRPr="005A4AD1"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eastAsia="Calibri" w:cstheme="minorHAnsi"/>
                <w:sz w:val="20"/>
              </w:rPr>
              <w:t>Det bør innføres et midlertidig rekrutteringsstilskudd til fastleger i kommuner med særlige rekrutteringsvansker.</w:t>
            </w:r>
          </w:p>
        </w:tc>
        <w:tc>
          <w:tcPr>
            <w:tcW w:w="0" w:type="auto"/>
          </w:tcPr>
          <w:p w14:paraId="11510C31" w14:textId="0CF6ADB1" w:rsidR="00D9107F" w:rsidRPr="00775632" w:rsidRDefault="002527F0" w:rsidP="00775632">
            <w:pPr>
              <w:cnfStyle w:val="000000000000" w:firstRow="0" w:lastRow="0" w:firstColumn="0" w:lastColumn="0" w:oddVBand="0" w:evenVBand="0" w:oddHBand="0" w:evenHBand="0" w:firstRowFirstColumn="0" w:firstRowLastColumn="0" w:lastRowFirstColumn="0" w:lastRowLastColumn="0"/>
            </w:pPr>
            <w:r w:rsidRPr="00775632">
              <w:t>Det pekes på et tilskudd i størrelsesorden 30</w:t>
            </w:r>
            <w:r w:rsidR="00D9107F" w:rsidRPr="00775632">
              <w:t>0 000 kroner</w:t>
            </w:r>
            <w:r w:rsidRPr="00775632">
              <w:t xml:space="preserve"> per nye fastlege.</w:t>
            </w:r>
          </w:p>
          <w:p w14:paraId="4D7460FB" w14:textId="77777777" w:rsidR="00D9107F" w:rsidRPr="00775632" w:rsidRDefault="002527F0" w:rsidP="00775632">
            <w:pPr>
              <w:cnfStyle w:val="000000000000" w:firstRow="0" w:lastRow="0" w:firstColumn="0" w:lastColumn="0" w:oddVBand="0" w:evenVBand="0" w:oddHBand="0" w:evenHBand="0" w:firstRowFirstColumn="0" w:firstRowLastColumn="0" w:lastRowFirstColumn="0" w:lastRowLastColumn="0"/>
            </w:pPr>
            <w:r w:rsidRPr="00775632">
              <w:t>Årlig rekruttering av fastleger har vært 350-400 de siste årene.</w:t>
            </w:r>
          </w:p>
          <w:p w14:paraId="6A1BEA5D" w14:textId="6D4D66F9" w:rsidR="002527F0" w:rsidRPr="005A4AD1" w:rsidRDefault="002527F0" w:rsidP="00775632">
            <w:pPr>
              <w:cnfStyle w:val="000000000000" w:firstRow="0" w:lastRow="0" w:firstColumn="0" w:lastColumn="0" w:oddVBand="0" w:evenVBand="0" w:oddHBand="0" w:evenHBand="0" w:firstRowFirstColumn="0" w:firstRowLastColumn="0" w:lastRowFirstColumn="0" w:lastRowLastColumn="0"/>
              <w:rPr>
                <w:rFonts w:cstheme="minorHAnsi"/>
                <w:sz w:val="20"/>
              </w:rPr>
            </w:pPr>
            <w:r w:rsidRPr="00775632">
              <w:t xml:space="preserve">Definisjon av hvilke kommuner som har særlige rekrutteringsvansker, vil ha betydning for hvor mange leger som får tilskudd og kostnader. Hvor mange av disse som slutter og av den grunn må betale tilbake tilskudd, vil også påvirke kostnadene. </w:t>
            </w:r>
          </w:p>
        </w:tc>
        <w:tc>
          <w:tcPr>
            <w:tcW w:w="0" w:type="auto"/>
          </w:tcPr>
          <w:p w14:paraId="57B936EB" w14:textId="77777777" w:rsidR="00D9107F"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Ressurser til forvaltning av tilskuddsordningen i Helsedirektoratet eller hos Statsforvalter.</w:t>
            </w:r>
          </w:p>
          <w:p w14:paraId="4BFAD284" w14:textId="04B96736" w:rsidR="002527F0" w:rsidRPr="005A4AD1" w:rsidRDefault="002527F0" w:rsidP="00B340D5">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Ordningen vil også kreve administrative ressurser i kommunen knyttet til søknad og utbetaling.</w:t>
            </w:r>
          </w:p>
        </w:tc>
      </w:tr>
    </w:tbl>
    <w:p w14:paraId="3C814A49" w14:textId="02C7416F" w:rsidR="00C207CE" w:rsidRDefault="00C207CE" w:rsidP="00775632">
      <w:pPr>
        <w:pStyle w:val="Overskrift2"/>
      </w:pPr>
      <w:bookmarkStart w:id="6114" w:name="_Toc130932267"/>
      <w:bookmarkStart w:id="6115" w:name="_Toc130934558"/>
      <w:bookmarkStart w:id="6116" w:name="_Toc130983731"/>
      <w:bookmarkStart w:id="6117" w:name="_Toc130984080"/>
      <w:bookmarkStart w:id="6118" w:name="_Toc131062312"/>
      <w:bookmarkStart w:id="6119" w:name="_Toc131062566"/>
      <w:bookmarkStart w:id="6120" w:name="_Toc131062827"/>
      <w:bookmarkStart w:id="6121" w:name="_Toc131063080"/>
      <w:bookmarkStart w:id="6122" w:name="_Toc131063863"/>
      <w:bookmarkStart w:id="6123" w:name="_Toc131064274"/>
      <w:bookmarkStart w:id="6124" w:name="_Toc131238604"/>
      <w:bookmarkStart w:id="6125" w:name="_Toc131279695"/>
      <w:bookmarkStart w:id="6126" w:name="_Toc131287107"/>
      <w:bookmarkStart w:id="6127" w:name="_Toc131281517"/>
      <w:bookmarkStart w:id="6128" w:name="_Toc131281527"/>
      <w:bookmarkStart w:id="6129" w:name="_Toc131318057"/>
      <w:bookmarkStart w:id="6130" w:name="_Toc132537123"/>
      <w:r>
        <w:t>Tverrfaglighet</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tbl>
      <w:tblPr>
        <w:tblStyle w:val="0Ekspertutvalgettabellstil1"/>
        <w:tblW w:w="0" w:type="auto"/>
        <w:tblLook w:val="04A0" w:firstRow="1" w:lastRow="0" w:firstColumn="1" w:lastColumn="0" w:noHBand="0" w:noVBand="1"/>
      </w:tblPr>
      <w:tblGrid>
        <w:gridCol w:w="470"/>
        <w:gridCol w:w="3920"/>
        <w:gridCol w:w="2527"/>
        <w:gridCol w:w="2819"/>
      </w:tblGrid>
      <w:tr w:rsidR="004E01BF" w:rsidRPr="004E01BF" w14:paraId="32DD0B26" w14:textId="0EC86300" w:rsidTr="004C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0A2CAF6F" w14:textId="49D19AF1" w:rsidR="001C2DBA" w:rsidRPr="00D9107F" w:rsidRDefault="001C2DBA" w:rsidP="00B340D5">
            <w:pPr>
              <w:pStyle w:val="TabellHode-kolonne"/>
              <w:rPr>
                <w:rStyle w:val="halvfet"/>
              </w:rPr>
            </w:pPr>
            <w:r w:rsidRPr="00D9107F">
              <w:rPr>
                <w:rStyle w:val="halvfet"/>
              </w:rPr>
              <w:t>#</w:t>
            </w:r>
          </w:p>
        </w:tc>
        <w:tc>
          <w:tcPr>
            <w:tcW w:w="3920" w:type="dxa"/>
            <w:shd w:val="clear" w:color="auto" w:fill="A9D6B9"/>
          </w:tcPr>
          <w:p w14:paraId="2DC327DD" w14:textId="7EEF7132" w:rsidR="004E01BF" w:rsidRPr="00D9107F" w:rsidRDefault="00637FC3"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2527" w:type="dxa"/>
            <w:shd w:val="clear" w:color="auto" w:fill="A9D6B9"/>
          </w:tcPr>
          <w:p w14:paraId="5E94177B" w14:textId="04FB6C83" w:rsidR="0079712A" w:rsidRPr="00D9107F" w:rsidRDefault="00770286"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Økonomiske konsekvenser</w:t>
            </w:r>
          </w:p>
        </w:tc>
        <w:tc>
          <w:tcPr>
            <w:tcW w:w="0" w:type="auto"/>
            <w:shd w:val="clear" w:color="auto" w:fill="A9D6B9"/>
          </w:tcPr>
          <w:p w14:paraId="52ED6010" w14:textId="0E150E5B" w:rsidR="0079712A" w:rsidRPr="00D9107F" w:rsidRDefault="00770286" w:rsidP="00B340D5">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Administrative konsekvenser</w:t>
            </w:r>
          </w:p>
        </w:tc>
      </w:tr>
      <w:tr w:rsidR="009474CE" w:rsidRPr="00770286" w14:paraId="18F946DE"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0C93E3B6" w14:textId="619282D0" w:rsidR="009474CE" w:rsidRPr="005A4AD1" w:rsidRDefault="009474CE" w:rsidP="00B340D5">
            <w:pPr>
              <w:pStyle w:val="TabellHode-rad"/>
            </w:pPr>
            <w:r w:rsidRPr="005A4AD1">
              <w:t>17</w:t>
            </w:r>
            <w:r w:rsidR="00DC6D2F" w:rsidRPr="005A4AD1">
              <w:t>.</w:t>
            </w:r>
          </w:p>
        </w:tc>
        <w:tc>
          <w:tcPr>
            <w:tcW w:w="3920" w:type="dxa"/>
          </w:tcPr>
          <w:p w14:paraId="20936DBF" w14:textId="3F0ED718" w:rsidR="009474CE" w:rsidRPr="005A4AD1" w:rsidRDefault="00666E26"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Det bør legges til rette for at flere helsepersonellgrupper kan jobbe på fastlegekontoret, og at fastlegetjenesten i større grad deler oppgavene med annet helsepersonell i øvrig kommunal helse- og omsorgstjeneste</w:t>
            </w:r>
            <w:r w:rsidR="004F5A5B">
              <w:rPr>
                <w:rFonts w:ascii="Calibri" w:hAnsi="Calibri" w:cs="Calibri"/>
                <w:sz w:val="20"/>
              </w:rPr>
              <w:t>.</w:t>
            </w:r>
          </w:p>
        </w:tc>
        <w:tc>
          <w:tcPr>
            <w:tcW w:w="2527" w:type="dxa"/>
          </w:tcPr>
          <w:p w14:paraId="52E60DCE" w14:textId="6DFB0147" w:rsidR="009474CE" w:rsidRPr="005A4AD1" w:rsidRDefault="00B36CCB"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Se beregninger i kap</w:t>
            </w:r>
            <w:r w:rsidR="00096411" w:rsidRPr="005A4AD1">
              <w:rPr>
                <w:rFonts w:ascii="Calibri" w:hAnsi="Calibri" w:cs="Calibri"/>
                <w:sz w:val="20"/>
              </w:rPr>
              <w:t>ittel</w:t>
            </w:r>
            <w:r w:rsidRPr="005A4AD1">
              <w:rPr>
                <w:rFonts w:ascii="Calibri" w:hAnsi="Calibri" w:cs="Calibri"/>
                <w:sz w:val="20"/>
              </w:rPr>
              <w:t xml:space="preserve"> 6.3.10</w:t>
            </w:r>
          </w:p>
        </w:tc>
        <w:tc>
          <w:tcPr>
            <w:tcW w:w="0" w:type="auto"/>
          </w:tcPr>
          <w:p w14:paraId="5EAC745F" w14:textId="2A5317B3" w:rsidR="009474CE" w:rsidRPr="005A4AD1" w:rsidRDefault="00B36CCB"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Endringer folketrygdloven, stønadsforskriften og evt. forskrift om trygderefusjon for leger m.v.</w:t>
            </w:r>
          </w:p>
        </w:tc>
      </w:tr>
      <w:tr w:rsidR="00770286" w:rsidRPr="00770286" w14:paraId="4DF3238C"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55F827D3" w14:textId="091DA223" w:rsidR="001C2DBA" w:rsidRPr="005A4AD1" w:rsidRDefault="00331F05" w:rsidP="00B340D5">
            <w:pPr>
              <w:pStyle w:val="TabellHode-rad"/>
            </w:pPr>
            <w:r w:rsidRPr="005A4AD1">
              <w:t>18</w:t>
            </w:r>
            <w:r w:rsidR="00DC6D2F" w:rsidRPr="005A4AD1">
              <w:t>.</w:t>
            </w:r>
          </w:p>
        </w:tc>
        <w:tc>
          <w:tcPr>
            <w:tcW w:w="3920" w:type="dxa"/>
          </w:tcPr>
          <w:p w14:paraId="047A5086" w14:textId="5CEB7513" w:rsidR="00770286" w:rsidRPr="005A4AD1" w:rsidRDefault="00E27EEB"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Takstsystemet</w:t>
            </w:r>
            <w:r w:rsidR="00770286" w:rsidRPr="005A4AD1">
              <w:rPr>
                <w:rFonts w:ascii="Calibri" w:hAnsi="Calibri" w:cs="Calibri"/>
                <w:sz w:val="20"/>
              </w:rPr>
              <w:t xml:space="preserve"> bør legge til rette for økt grad av delegering innenfor fastlegekontor</w:t>
            </w:r>
            <w:r w:rsidR="00770286" w:rsidRPr="00D9107F">
              <w:rPr>
                <w:rStyle w:val="kursiv"/>
              </w:rPr>
              <w:t>.</w:t>
            </w:r>
            <w:r w:rsidRPr="00D9107F">
              <w:rPr>
                <w:rStyle w:val="kursiv"/>
              </w:rPr>
              <w:t xml:space="preserve"> </w:t>
            </w:r>
          </w:p>
        </w:tc>
        <w:tc>
          <w:tcPr>
            <w:tcW w:w="2527" w:type="dxa"/>
          </w:tcPr>
          <w:p w14:paraId="636FDA07" w14:textId="45A84878" w:rsidR="00770286" w:rsidRPr="005A4AD1" w:rsidRDefault="00770286"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Se beregninger i kap</w:t>
            </w:r>
            <w:r w:rsidR="00096411" w:rsidRPr="005A4AD1">
              <w:rPr>
                <w:rFonts w:ascii="Calibri" w:hAnsi="Calibri" w:cs="Calibri"/>
                <w:sz w:val="20"/>
              </w:rPr>
              <w:t>ittel</w:t>
            </w:r>
            <w:r w:rsidRPr="005A4AD1">
              <w:rPr>
                <w:rFonts w:ascii="Calibri" w:hAnsi="Calibri" w:cs="Calibri"/>
                <w:sz w:val="20"/>
              </w:rPr>
              <w:t xml:space="preserve"> </w:t>
            </w:r>
            <w:r w:rsidR="00E71546" w:rsidRPr="005A4AD1">
              <w:rPr>
                <w:rFonts w:ascii="Calibri" w:hAnsi="Calibri" w:cs="Calibri"/>
                <w:sz w:val="20"/>
              </w:rPr>
              <w:t>6.3.10</w:t>
            </w:r>
          </w:p>
        </w:tc>
        <w:tc>
          <w:tcPr>
            <w:tcW w:w="0" w:type="auto"/>
          </w:tcPr>
          <w:p w14:paraId="550C24F8" w14:textId="5D0EEF64" w:rsidR="00770286" w:rsidRPr="005A4AD1" w:rsidRDefault="00770286"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Endringer i </w:t>
            </w:r>
            <w:r w:rsidR="00E71028" w:rsidRPr="005A4AD1">
              <w:rPr>
                <w:rFonts w:ascii="Calibri" w:hAnsi="Calibri" w:cs="Calibri"/>
                <w:sz w:val="20"/>
              </w:rPr>
              <w:t>s</w:t>
            </w:r>
            <w:r w:rsidRPr="005A4AD1">
              <w:rPr>
                <w:rFonts w:ascii="Calibri" w:hAnsi="Calibri" w:cs="Calibri"/>
                <w:sz w:val="20"/>
              </w:rPr>
              <w:t>tønadsforskriften</w:t>
            </w:r>
            <w:r w:rsidR="0051487E" w:rsidRPr="005A4AD1">
              <w:rPr>
                <w:rFonts w:ascii="Calibri" w:hAnsi="Calibri" w:cs="Calibri"/>
                <w:sz w:val="20"/>
              </w:rPr>
              <w:t>.</w:t>
            </w:r>
          </w:p>
        </w:tc>
      </w:tr>
      <w:tr w:rsidR="004E01BF" w:rsidRPr="004E01BF" w14:paraId="053F63FE" w14:textId="5F7E2E2F" w:rsidTr="004C169B">
        <w:tc>
          <w:tcPr>
            <w:cnfStyle w:val="001000000000" w:firstRow="0" w:lastRow="0" w:firstColumn="1" w:lastColumn="0" w:oddVBand="0" w:evenVBand="0" w:oddHBand="0" w:evenHBand="0" w:firstRowFirstColumn="0" w:firstRowLastColumn="0" w:lastRowFirstColumn="0" w:lastRowLastColumn="0"/>
            <w:tcW w:w="0" w:type="auto"/>
          </w:tcPr>
          <w:p w14:paraId="6EAA37D3" w14:textId="69954DE0" w:rsidR="001C2DBA" w:rsidRPr="005A4AD1" w:rsidRDefault="00331F05" w:rsidP="00B340D5">
            <w:pPr>
              <w:pStyle w:val="TabellHode-rad"/>
            </w:pPr>
            <w:r w:rsidRPr="005A4AD1">
              <w:t>19</w:t>
            </w:r>
            <w:r w:rsidR="00DC6D2F" w:rsidRPr="005A4AD1">
              <w:t>.</w:t>
            </w:r>
          </w:p>
        </w:tc>
        <w:tc>
          <w:tcPr>
            <w:tcW w:w="3920" w:type="dxa"/>
          </w:tcPr>
          <w:p w14:paraId="65017DAE" w14:textId="40F0CEFF" w:rsidR="004E01BF" w:rsidRPr="005A4AD1" w:rsidRDefault="004E01BF"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Profesjonsnøytrale takster bør </w:t>
            </w:r>
            <w:r w:rsidR="00331F05" w:rsidRPr="005A4AD1">
              <w:rPr>
                <w:rFonts w:ascii="Calibri" w:hAnsi="Calibri" w:cs="Calibri"/>
                <w:sz w:val="20"/>
              </w:rPr>
              <w:t xml:space="preserve">innføres og </w:t>
            </w:r>
            <w:r w:rsidRPr="005A4AD1">
              <w:rPr>
                <w:rFonts w:ascii="Calibri" w:hAnsi="Calibri" w:cs="Calibri"/>
                <w:sz w:val="20"/>
              </w:rPr>
              <w:t xml:space="preserve">forbeholdes fastlegeselskap og kommunale </w:t>
            </w:r>
            <w:r w:rsidR="00331F05" w:rsidRPr="005A4AD1">
              <w:rPr>
                <w:rFonts w:ascii="Calibri" w:hAnsi="Calibri" w:cs="Calibri"/>
                <w:sz w:val="20"/>
              </w:rPr>
              <w:t>fastlegekontor</w:t>
            </w:r>
            <w:r w:rsidRPr="005A4AD1">
              <w:rPr>
                <w:rFonts w:ascii="Calibri" w:hAnsi="Calibri" w:cs="Calibri"/>
                <w:sz w:val="20"/>
              </w:rPr>
              <w:t xml:space="preserve"> med </w:t>
            </w:r>
            <w:r w:rsidR="00331F05" w:rsidRPr="005A4AD1">
              <w:rPr>
                <w:rFonts w:ascii="Calibri" w:hAnsi="Calibri" w:cs="Calibri"/>
                <w:sz w:val="20"/>
              </w:rPr>
              <w:t xml:space="preserve">en </w:t>
            </w:r>
            <w:r w:rsidR="008F2D1A" w:rsidRPr="005A4AD1">
              <w:rPr>
                <w:rFonts w:ascii="Calibri" w:hAnsi="Calibri" w:cs="Calibri"/>
                <w:sz w:val="20"/>
              </w:rPr>
              <w:t>definert</w:t>
            </w:r>
            <w:r w:rsidR="00331F05" w:rsidRPr="005A4AD1">
              <w:rPr>
                <w:rFonts w:ascii="Calibri" w:hAnsi="Calibri" w:cs="Calibri"/>
                <w:sz w:val="20"/>
              </w:rPr>
              <w:t xml:space="preserve"> ledelse</w:t>
            </w:r>
            <w:r w:rsidRPr="005A4AD1">
              <w:rPr>
                <w:rFonts w:ascii="Calibri" w:hAnsi="Calibri" w:cs="Calibri"/>
                <w:sz w:val="20"/>
              </w:rPr>
              <w:t>.</w:t>
            </w:r>
          </w:p>
        </w:tc>
        <w:tc>
          <w:tcPr>
            <w:tcW w:w="2527" w:type="dxa"/>
          </w:tcPr>
          <w:p w14:paraId="3117BEC4" w14:textId="13EC9C78" w:rsidR="0079712A" w:rsidRPr="005A4AD1" w:rsidRDefault="00267650"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Se beregninger i kap</w:t>
            </w:r>
            <w:r w:rsidR="00096411" w:rsidRPr="005A4AD1">
              <w:rPr>
                <w:rFonts w:ascii="Calibri" w:hAnsi="Calibri" w:cs="Calibri"/>
                <w:sz w:val="20"/>
              </w:rPr>
              <w:t>ittel</w:t>
            </w:r>
            <w:r w:rsidRPr="005A4AD1">
              <w:rPr>
                <w:rFonts w:ascii="Calibri" w:hAnsi="Calibri" w:cs="Calibri"/>
                <w:sz w:val="20"/>
              </w:rPr>
              <w:t xml:space="preserve"> </w:t>
            </w:r>
            <w:r w:rsidR="00E71546" w:rsidRPr="005A4AD1">
              <w:rPr>
                <w:rFonts w:ascii="Calibri" w:hAnsi="Calibri" w:cs="Calibri"/>
                <w:sz w:val="20"/>
              </w:rPr>
              <w:t>6.3.10</w:t>
            </w:r>
          </w:p>
        </w:tc>
        <w:tc>
          <w:tcPr>
            <w:tcW w:w="0" w:type="auto"/>
          </w:tcPr>
          <w:p w14:paraId="3B919C89" w14:textId="498DFD62" w:rsidR="0079712A" w:rsidRPr="005A4AD1" w:rsidRDefault="00B57949"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Endringer </w:t>
            </w:r>
            <w:r w:rsidR="00025D01" w:rsidRPr="005A4AD1">
              <w:rPr>
                <w:rFonts w:ascii="Calibri" w:hAnsi="Calibri" w:cs="Calibri"/>
                <w:sz w:val="20"/>
              </w:rPr>
              <w:t>folketrygdloven,</w:t>
            </w:r>
            <w:r w:rsidRPr="005A4AD1">
              <w:rPr>
                <w:rFonts w:ascii="Calibri" w:hAnsi="Calibri" w:cs="Calibri"/>
                <w:sz w:val="20"/>
              </w:rPr>
              <w:t xml:space="preserve"> </w:t>
            </w:r>
            <w:r w:rsidR="00952F6B" w:rsidRPr="005A4AD1">
              <w:rPr>
                <w:rFonts w:ascii="Calibri" w:hAnsi="Calibri" w:cs="Calibri"/>
                <w:sz w:val="20"/>
              </w:rPr>
              <w:t>s</w:t>
            </w:r>
            <w:r w:rsidRPr="005A4AD1">
              <w:rPr>
                <w:rFonts w:ascii="Calibri" w:hAnsi="Calibri" w:cs="Calibri"/>
                <w:sz w:val="20"/>
              </w:rPr>
              <w:t>tønadsforskriften</w:t>
            </w:r>
            <w:r w:rsidR="00025D01" w:rsidRPr="005A4AD1">
              <w:rPr>
                <w:rFonts w:ascii="Calibri" w:hAnsi="Calibri" w:cs="Calibri"/>
                <w:sz w:val="20"/>
              </w:rPr>
              <w:t xml:space="preserve"> og</w:t>
            </w:r>
            <w:r w:rsidRPr="005A4AD1">
              <w:rPr>
                <w:rFonts w:ascii="Calibri" w:hAnsi="Calibri" w:cs="Calibri"/>
                <w:sz w:val="20"/>
              </w:rPr>
              <w:t xml:space="preserve"> evt. </w:t>
            </w:r>
            <w:r w:rsidR="00025D01" w:rsidRPr="005A4AD1">
              <w:rPr>
                <w:rFonts w:ascii="Calibri" w:hAnsi="Calibri" w:cs="Calibri"/>
                <w:sz w:val="20"/>
              </w:rPr>
              <w:t>forskrift om trygderefusjon for leger m.v.</w:t>
            </w:r>
          </w:p>
        </w:tc>
      </w:tr>
      <w:tr w:rsidR="004E01BF" w:rsidRPr="004E01BF" w14:paraId="4AF2A5BE" w14:textId="5170DED5" w:rsidTr="004C169B">
        <w:tc>
          <w:tcPr>
            <w:cnfStyle w:val="001000000000" w:firstRow="0" w:lastRow="0" w:firstColumn="1" w:lastColumn="0" w:oddVBand="0" w:evenVBand="0" w:oddHBand="0" w:evenHBand="0" w:firstRowFirstColumn="0" w:firstRowLastColumn="0" w:lastRowFirstColumn="0" w:lastRowLastColumn="0"/>
            <w:tcW w:w="0" w:type="auto"/>
          </w:tcPr>
          <w:p w14:paraId="5E190C7B" w14:textId="63A05145" w:rsidR="001C2DBA" w:rsidRPr="005A4AD1" w:rsidRDefault="006F1447" w:rsidP="00B340D5">
            <w:pPr>
              <w:pStyle w:val="TabellHode-rad"/>
            </w:pPr>
            <w:r w:rsidRPr="005A4AD1">
              <w:lastRenderedPageBreak/>
              <w:t>20</w:t>
            </w:r>
            <w:r w:rsidR="00DC6D2F" w:rsidRPr="005A4AD1">
              <w:t>.</w:t>
            </w:r>
          </w:p>
        </w:tc>
        <w:tc>
          <w:tcPr>
            <w:tcW w:w="3920" w:type="dxa"/>
          </w:tcPr>
          <w:p w14:paraId="6BEBAA56" w14:textId="15162369" w:rsidR="004E01BF" w:rsidRPr="005A4AD1" w:rsidRDefault="004E01BF"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Det bør utarbeides en nasjonal veileder for oppgavedeling</w:t>
            </w:r>
            <w:r w:rsidR="006F1447" w:rsidRPr="005A4AD1">
              <w:rPr>
                <w:rFonts w:ascii="Calibri" w:hAnsi="Calibri" w:cs="Calibri"/>
                <w:sz w:val="20"/>
              </w:rPr>
              <w:t xml:space="preserve"> innenfor fastlegetjenesten</w:t>
            </w:r>
            <w:r w:rsidRPr="005A4AD1">
              <w:rPr>
                <w:rFonts w:ascii="Calibri" w:hAnsi="Calibri" w:cs="Calibri"/>
                <w:sz w:val="20"/>
              </w:rPr>
              <w:t xml:space="preserve">. </w:t>
            </w:r>
          </w:p>
        </w:tc>
        <w:tc>
          <w:tcPr>
            <w:tcW w:w="2527" w:type="dxa"/>
          </w:tcPr>
          <w:p w14:paraId="0672129E" w14:textId="059DDCCA" w:rsidR="0079712A" w:rsidRPr="005A4AD1" w:rsidRDefault="00113580"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Kostnader i Helsedirektoratet knyttet til utarbeidelse og publisering.</w:t>
            </w:r>
          </w:p>
        </w:tc>
        <w:tc>
          <w:tcPr>
            <w:tcW w:w="0" w:type="auto"/>
          </w:tcPr>
          <w:p w14:paraId="08F78F8A" w14:textId="3E7E7744" w:rsidR="0079712A" w:rsidRPr="005A4AD1" w:rsidRDefault="00E9684F"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Arbeidet med </w:t>
            </w:r>
            <w:r w:rsidR="00E77467" w:rsidRPr="005A4AD1">
              <w:rPr>
                <w:rFonts w:ascii="Calibri" w:hAnsi="Calibri" w:cs="Calibri"/>
                <w:sz w:val="20"/>
              </w:rPr>
              <w:t>å lage en nasjonal</w:t>
            </w:r>
            <w:r w:rsidR="000A5E8D" w:rsidRPr="005A4AD1">
              <w:rPr>
                <w:rFonts w:ascii="Calibri" w:hAnsi="Calibri" w:cs="Calibri"/>
                <w:sz w:val="20"/>
              </w:rPr>
              <w:t xml:space="preserve"> veileder vil kreve ressurser i Helsedirektoratet, og i ulike fag- og kompetansemiljø.</w:t>
            </w:r>
            <w:r w:rsidR="00633A23" w:rsidRPr="005A4AD1">
              <w:rPr>
                <w:rFonts w:ascii="Calibri" w:hAnsi="Calibri" w:cs="Calibri"/>
                <w:sz w:val="20"/>
              </w:rPr>
              <w:t xml:space="preserve"> </w:t>
            </w:r>
          </w:p>
        </w:tc>
      </w:tr>
      <w:tr w:rsidR="004E01BF" w:rsidRPr="004E01BF" w14:paraId="24E513E8" w14:textId="3D76AB68" w:rsidTr="004C169B">
        <w:tc>
          <w:tcPr>
            <w:cnfStyle w:val="001000000000" w:firstRow="0" w:lastRow="0" w:firstColumn="1" w:lastColumn="0" w:oddVBand="0" w:evenVBand="0" w:oddHBand="0" w:evenHBand="0" w:firstRowFirstColumn="0" w:firstRowLastColumn="0" w:lastRowFirstColumn="0" w:lastRowLastColumn="0"/>
            <w:tcW w:w="0" w:type="auto"/>
          </w:tcPr>
          <w:p w14:paraId="355449C2" w14:textId="708442C8" w:rsidR="001C2DBA" w:rsidRPr="005A4AD1" w:rsidRDefault="00817AC5" w:rsidP="00B340D5">
            <w:pPr>
              <w:pStyle w:val="TabellHode-rad"/>
            </w:pPr>
            <w:r w:rsidRPr="005A4AD1">
              <w:t>21</w:t>
            </w:r>
            <w:r w:rsidR="00DC6D2F" w:rsidRPr="005A4AD1">
              <w:t>.</w:t>
            </w:r>
          </w:p>
        </w:tc>
        <w:tc>
          <w:tcPr>
            <w:tcW w:w="3920" w:type="dxa"/>
          </w:tcPr>
          <w:p w14:paraId="7F34BA89" w14:textId="0A9EB44A" w:rsidR="004E01BF" w:rsidRPr="005A4AD1" w:rsidRDefault="004E01BF"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Med utvidet mulighet for delegering på fastlegekontoret og innføring av profesjonsnøytrale takster, vil det være nødvendig at det samtidig innføres tiltak for kostnadskontroll</w:t>
            </w:r>
            <w:r w:rsidR="00817AC5" w:rsidRPr="005A4AD1">
              <w:rPr>
                <w:rFonts w:ascii="Calibri" w:hAnsi="Calibri" w:cs="Calibri"/>
                <w:sz w:val="20"/>
              </w:rPr>
              <w:t>.</w:t>
            </w:r>
          </w:p>
        </w:tc>
        <w:tc>
          <w:tcPr>
            <w:tcW w:w="2527" w:type="dxa"/>
          </w:tcPr>
          <w:p w14:paraId="2D6C55B9" w14:textId="1F183E90" w:rsidR="0079712A" w:rsidRPr="005A4AD1" w:rsidRDefault="00330F27"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Ressurser til å utrede og gjennomføre</w:t>
            </w:r>
            <w:r w:rsidR="008703C9" w:rsidRPr="005A4AD1">
              <w:rPr>
                <w:rFonts w:ascii="Calibri" w:hAnsi="Calibri" w:cs="Calibri"/>
                <w:sz w:val="20"/>
              </w:rPr>
              <w:t xml:space="preserve"> tiltak.</w:t>
            </w:r>
          </w:p>
        </w:tc>
        <w:tc>
          <w:tcPr>
            <w:tcW w:w="0" w:type="auto"/>
          </w:tcPr>
          <w:p w14:paraId="12DE0EAC" w14:textId="4856C8EE" w:rsidR="0079712A" w:rsidRPr="005A4AD1" w:rsidRDefault="00520B12"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Tiltak for kostnadskontroll må utredes videre. </w:t>
            </w:r>
          </w:p>
        </w:tc>
      </w:tr>
      <w:tr w:rsidR="004E01BF" w:rsidRPr="004E01BF" w14:paraId="4B6804FA" w14:textId="5FCBD8BE" w:rsidTr="004C169B">
        <w:tc>
          <w:tcPr>
            <w:cnfStyle w:val="001000000000" w:firstRow="0" w:lastRow="0" w:firstColumn="1" w:lastColumn="0" w:oddVBand="0" w:evenVBand="0" w:oddHBand="0" w:evenHBand="0" w:firstRowFirstColumn="0" w:firstRowLastColumn="0" w:lastRowFirstColumn="0" w:lastRowLastColumn="0"/>
            <w:tcW w:w="0" w:type="auto"/>
          </w:tcPr>
          <w:p w14:paraId="662DF3FD" w14:textId="0AF51B22" w:rsidR="001C2DBA" w:rsidRPr="005A4AD1" w:rsidRDefault="00817AC5" w:rsidP="00B340D5">
            <w:pPr>
              <w:pStyle w:val="TabellHode-rad"/>
            </w:pPr>
            <w:r w:rsidRPr="005A4AD1">
              <w:t>22</w:t>
            </w:r>
            <w:r w:rsidR="00DC6D2F" w:rsidRPr="005A4AD1">
              <w:t>.</w:t>
            </w:r>
          </w:p>
        </w:tc>
        <w:tc>
          <w:tcPr>
            <w:tcW w:w="3920" w:type="dxa"/>
          </w:tcPr>
          <w:p w14:paraId="033961C2" w14:textId="1D1921D5" w:rsidR="004E01BF" w:rsidRPr="005A4AD1" w:rsidRDefault="004E01BF"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Det bør følges med på utviklingen for å kartlegge tilsiktede og utilsiktede virkninger </w:t>
            </w:r>
            <w:r w:rsidR="001D4B43" w:rsidRPr="005A4AD1">
              <w:rPr>
                <w:rFonts w:ascii="Calibri" w:hAnsi="Calibri" w:cs="Calibri"/>
                <w:sz w:val="20"/>
              </w:rPr>
              <w:t>av økt delegering og profesjonsnøytrale takster,</w:t>
            </w:r>
            <w:r w:rsidRPr="005A4AD1">
              <w:rPr>
                <w:rFonts w:ascii="Calibri" w:hAnsi="Calibri" w:cs="Calibri"/>
                <w:sz w:val="20"/>
              </w:rPr>
              <w:t xml:space="preserve"> for å kunne vurdere justeringer i innretningen på finansieringsordningen</w:t>
            </w:r>
            <w:r w:rsidR="001D4B43" w:rsidRPr="005A4AD1">
              <w:rPr>
                <w:rFonts w:ascii="Calibri" w:hAnsi="Calibri" w:cs="Calibri"/>
                <w:sz w:val="20"/>
              </w:rPr>
              <w:t>.</w:t>
            </w:r>
          </w:p>
        </w:tc>
        <w:tc>
          <w:tcPr>
            <w:tcW w:w="2527" w:type="dxa"/>
          </w:tcPr>
          <w:p w14:paraId="2C1E2167" w14:textId="2FA5E7E3" w:rsidR="0079712A" w:rsidRPr="005A4AD1" w:rsidRDefault="00600002"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Kostnader i Helsedirektoratet knyttet til følge-med arbeidet.</w:t>
            </w:r>
          </w:p>
        </w:tc>
        <w:tc>
          <w:tcPr>
            <w:tcW w:w="0" w:type="auto"/>
          </w:tcPr>
          <w:p w14:paraId="07E911D8" w14:textId="02185168" w:rsidR="0079712A" w:rsidRPr="005A4AD1" w:rsidRDefault="002257BB" w:rsidP="00B340D5">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A4AD1">
              <w:rPr>
                <w:rFonts w:ascii="Calibri" w:hAnsi="Calibri" w:cs="Calibri"/>
                <w:sz w:val="20"/>
              </w:rPr>
              <w:t xml:space="preserve">Statsforvalterne eller Helsedirektoratet kan eksempelvis bidra i </w:t>
            </w:r>
            <w:r w:rsidR="00686A6D" w:rsidRPr="005A4AD1">
              <w:rPr>
                <w:rFonts w:ascii="Calibri" w:hAnsi="Calibri" w:cs="Calibri"/>
                <w:sz w:val="20"/>
              </w:rPr>
              <w:t>en slik følge-med-rolle.</w:t>
            </w:r>
          </w:p>
        </w:tc>
      </w:tr>
    </w:tbl>
    <w:p w14:paraId="468291BE" w14:textId="452A1B34" w:rsidR="00C207CE" w:rsidRDefault="00C207CE" w:rsidP="00775632">
      <w:pPr>
        <w:pStyle w:val="Overskrift2"/>
      </w:pPr>
      <w:bookmarkStart w:id="6131" w:name="_Toc130932268"/>
      <w:bookmarkStart w:id="6132" w:name="_Toc130934559"/>
      <w:bookmarkStart w:id="6133" w:name="_Toc130983732"/>
      <w:bookmarkStart w:id="6134" w:name="_Toc130984081"/>
      <w:bookmarkStart w:id="6135" w:name="_Toc131062313"/>
      <w:bookmarkStart w:id="6136" w:name="_Toc131062567"/>
      <w:bookmarkStart w:id="6137" w:name="_Toc131062828"/>
      <w:bookmarkStart w:id="6138" w:name="_Toc131063081"/>
      <w:bookmarkStart w:id="6139" w:name="_Toc131063864"/>
      <w:bookmarkStart w:id="6140" w:name="_Toc131064275"/>
      <w:bookmarkStart w:id="6141" w:name="_Toc131238605"/>
      <w:bookmarkStart w:id="6142" w:name="_Toc131279696"/>
      <w:bookmarkStart w:id="6143" w:name="_Toc131287108"/>
      <w:bookmarkStart w:id="6144" w:name="_Toc131281518"/>
      <w:bookmarkStart w:id="6145" w:name="_Toc131281528"/>
      <w:bookmarkStart w:id="6146" w:name="_Toc131318058"/>
      <w:bookmarkStart w:id="6147" w:name="_Toc132537124"/>
      <w:r>
        <w:t>Fastlegers arbeid med attester</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tbl>
      <w:tblPr>
        <w:tblStyle w:val="0Ekspertutvalgettabellstil1"/>
        <w:tblW w:w="5000" w:type="pct"/>
        <w:tblLook w:val="04A0" w:firstRow="1" w:lastRow="0" w:firstColumn="1" w:lastColumn="0" w:noHBand="0" w:noVBand="1"/>
      </w:tblPr>
      <w:tblGrid>
        <w:gridCol w:w="471"/>
        <w:gridCol w:w="3864"/>
        <w:gridCol w:w="2749"/>
        <w:gridCol w:w="2652"/>
      </w:tblGrid>
      <w:tr w:rsidR="00B449C2" w:rsidRPr="007C0732" w14:paraId="3778650D" w14:textId="77777777" w:rsidTr="004C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 w:type="pct"/>
            <w:shd w:val="clear" w:color="auto" w:fill="A9D6B9"/>
          </w:tcPr>
          <w:p w14:paraId="430782F8" w14:textId="77777777" w:rsidR="00B449C2" w:rsidRPr="00D9107F" w:rsidRDefault="00B449C2" w:rsidP="007C52E8">
            <w:pPr>
              <w:pStyle w:val="TabellHode-kolonne"/>
              <w:rPr>
                <w:rStyle w:val="halvfet"/>
                <w:rFonts w:eastAsia="Calibri"/>
              </w:rPr>
            </w:pPr>
            <w:r w:rsidRPr="00D9107F">
              <w:rPr>
                <w:rStyle w:val="halvfet"/>
              </w:rPr>
              <w:t>#</w:t>
            </w:r>
          </w:p>
        </w:tc>
        <w:tc>
          <w:tcPr>
            <w:tcW w:w="1984" w:type="pct"/>
            <w:shd w:val="clear" w:color="auto" w:fill="A9D6B9"/>
          </w:tcPr>
          <w:p w14:paraId="12383984" w14:textId="19EA0CC9" w:rsidR="00B449C2" w:rsidRPr="00D9107F" w:rsidRDefault="00B449C2"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Pr>
              <w:t xml:space="preserve">Ekspertutvalgets </w:t>
            </w:r>
            <w:r w:rsidR="00300779" w:rsidRPr="00D9107F">
              <w:rPr>
                <w:rStyle w:val="halvfet"/>
              </w:rPr>
              <w:t>anbefalinger</w:t>
            </w:r>
          </w:p>
        </w:tc>
        <w:tc>
          <w:tcPr>
            <w:tcW w:w="1412" w:type="pct"/>
            <w:shd w:val="clear" w:color="auto" w:fill="A9D6B9"/>
          </w:tcPr>
          <w:p w14:paraId="12033321" w14:textId="276351CF" w:rsidR="00B449C2" w:rsidRPr="00D9107F" w:rsidRDefault="001C2DBA"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Pr>
              <w:t>Økonomiske konsekvenser</w:t>
            </w:r>
          </w:p>
        </w:tc>
        <w:tc>
          <w:tcPr>
            <w:tcW w:w="1362" w:type="pct"/>
            <w:shd w:val="clear" w:color="auto" w:fill="A9D6B9"/>
          </w:tcPr>
          <w:p w14:paraId="1F0FAD4F" w14:textId="77777777" w:rsidR="00B449C2" w:rsidRPr="00D9107F" w:rsidRDefault="00B449C2"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Fonts w:eastAsia="Calibri"/>
              </w:rPr>
            </w:pPr>
            <w:r w:rsidRPr="00D9107F">
              <w:rPr>
                <w:rStyle w:val="halvfet"/>
              </w:rPr>
              <w:t>Administrative konsekvenser</w:t>
            </w:r>
          </w:p>
        </w:tc>
      </w:tr>
      <w:tr w:rsidR="00B449C2" w:rsidRPr="007C0732" w14:paraId="4E910B80"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20C963CA" w14:textId="764878F4" w:rsidR="00B449C2" w:rsidRPr="005A4AD1" w:rsidRDefault="00EF49A1" w:rsidP="007C52E8">
            <w:pPr>
              <w:pStyle w:val="TabellHode-rad"/>
              <w:rPr>
                <w:rFonts w:eastAsia="Calibri"/>
              </w:rPr>
            </w:pPr>
            <w:r w:rsidRPr="005A4AD1">
              <w:rPr>
                <w:rFonts w:eastAsia="Calibri"/>
              </w:rPr>
              <w:t>23.</w:t>
            </w:r>
          </w:p>
        </w:tc>
        <w:tc>
          <w:tcPr>
            <w:tcW w:w="1984" w:type="pct"/>
          </w:tcPr>
          <w:p w14:paraId="6905FB78" w14:textId="61CEBEAA" w:rsidR="00B449C2" w:rsidRPr="005A4AD1" w:rsidRDefault="002D3A86"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hAnsi="Calibri" w:cs="Calibri"/>
                <w:sz w:val="20"/>
              </w:rPr>
              <w:t xml:space="preserve">Det bør </w:t>
            </w:r>
            <w:r w:rsidR="00205317" w:rsidRPr="005A4AD1">
              <w:rPr>
                <w:rFonts w:ascii="Calibri" w:hAnsi="Calibri" w:cs="Calibri"/>
                <w:sz w:val="20"/>
              </w:rPr>
              <w:t>lovfestes</w:t>
            </w:r>
            <w:r w:rsidRPr="005A4AD1">
              <w:rPr>
                <w:rFonts w:ascii="Calibri" w:hAnsi="Calibri" w:cs="Calibri"/>
                <w:sz w:val="20"/>
              </w:rPr>
              <w:t xml:space="preserve"> at egenmelding</w:t>
            </w:r>
            <w:r w:rsidR="00B449C2" w:rsidRPr="005A4AD1">
              <w:rPr>
                <w:rFonts w:ascii="Calibri" w:hAnsi="Calibri" w:cs="Calibri"/>
                <w:sz w:val="20"/>
              </w:rPr>
              <w:t xml:space="preserve"> skal benyttes før sykmelding</w:t>
            </w:r>
            <w:r w:rsidRPr="005A4AD1">
              <w:rPr>
                <w:rFonts w:ascii="Calibri" w:hAnsi="Calibri" w:cs="Calibri"/>
                <w:sz w:val="20"/>
              </w:rPr>
              <w:t>.</w:t>
            </w:r>
          </w:p>
        </w:tc>
        <w:tc>
          <w:tcPr>
            <w:tcW w:w="1412" w:type="pct"/>
          </w:tcPr>
          <w:p w14:paraId="05B460EB" w14:textId="77777777" w:rsidR="00FE6C8F"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Anbefalingen forventes å redusere antall konsultasjoner hos fastlege knyttet til sykmelding av kortidsfravær</w:t>
            </w:r>
            <w:r w:rsidR="00FE6C8F" w:rsidRPr="005A4AD1">
              <w:rPr>
                <w:rFonts w:ascii="Calibri" w:eastAsia="Calibri" w:hAnsi="Calibri" w:cs="Calibri"/>
                <w:sz w:val="20"/>
              </w:rPr>
              <w:t>.</w:t>
            </w:r>
          </w:p>
          <w:p w14:paraId="258D288D" w14:textId="408D7AB7"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br/>
              <w:t>Se kap</w:t>
            </w:r>
            <w:r w:rsidR="00096411" w:rsidRPr="005A4AD1">
              <w:rPr>
                <w:rFonts w:ascii="Calibri" w:eastAsia="Calibri" w:hAnsi="Calibri" w:cs="Calibri"/>
                <w:sz w:val="20"/>
              </w:rPr>
              <w:t>ittel</w:t>
            </w:r>
            <w:r w:rsidRPr="005A4AD1">
              <w:rPr>
                <w:rFonts w:ascii="Calibri" w:eastAsia="Calibri" w:hAnsi="Calibri" w:cs="Calibri"/>
                <w:sz w:val="20"/>
              </w:rPr>
              <w:t xml:space="preserve"> 7.4.4. for eksemplifisert beregning av mulige kostnader og tidsbruk.</w:t>
            </w:r>
          </w:p>
        </w:tc>
        <w:tc>
          <w:tcPr>
            <w:tcW w:w="1362" w:type="pct"/>
          </w:tcPr>
          <w:p w14:paraId="08375A54" w14:textId="1C23D33E" w:rsidR="00B449C2" w:rsidRPr="005A4AD1" w:rsidRDefault="00513A79"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Endring</w:t>
            </w:r>
            <w:r w:rsidR="005550E0" w:rsidRPr="005A4AD1">
              <w:rPr>
                <w:rFonts w:ascii="Calibri" w:eastAsia="Calibri" w:hAnsi="Calibri" w:cs="Calibri"/>
                <w:sz w:val="20"/>
              </w:rPr>
              <w:t>er i folketrygdloven.</w:t>
            </w:r>
          </w:p>
        </w:tc>
      </w:tr>
      <w:tr w:rsidR="00B449C2" w:rsidRPr="007C0732" w14:paraId="7D776405"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2D73162D" w14:textId="7E6846D0" w:rsidR="00B449C2" w:rsidRPr="005A4AD1" w:rsidRDefault="00EF49A1" w:rsidP="007C52E8">
            <w:pPr>
              <w:pStyle w:val="TabellHode-rad"/>
              <w:rPr>
                <w:rFonts w:eastAsia="Calibri"/>
              </w:rPr>
            </w:pPr>
            <w:r w:rsidRPr="005A4AD1">
              <w:rPr>
                <w:rFonts w:eastAsia="Calibri"/>
              </w:rPr>
              <w:t>24.</w:t>
            </w:r>
          </w:p>
        </w:tc>
        <w:tc>
          <w:tcPr>
            <w:tcW w:w="1984" w:type="pct"/>
          </w:tcPr>
          <w:p w14:paraId="33268CAC" w14:textId="1543E8E1"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hAnsi="Calibri" w:cs="Calibri"/>
                <w:sz w:val="20"/>
              </w:rPr>
              <w:t xml:space="preserve">Antall sammenhengende egenmeldingsdager for arbeidstakere bør økes, slik at </w:t>
            </w:r>
            <w:r w:rsidR="008177DE" w:rsidRPr="005A4AD1">
              <w:rPr>
                <w:rFonts w:ascii="Calibri" w:hAnsi="Calibri" w:cs="Calibri"/>
                <w:sz w:val="20"/>
              </w:rPr>
              <w:t>de</w:t>
            </w:r>
            <w:r w:rsidRPr="005A4AD1">
              <w:rPr>
                <w:rFonts w:ascii="Calibri" w:hAnsi="Calibri" w:cs="Calibri"/>
                <w:sz w:val="20"/>
              </w:rPr>
              <w:t xml:space="preserve"> tilsvarer arbeidsgiverperioden. </w:t>
            </w:r>
            <w:r w:rsidR="008177DE" w:rsidRPr="005A4AD1">
              <w:rPr>
                <w:rFonts w:ascii="Calibri" w:hAnsi="Calibri" w:cs="Calibri"/>
                <w:sz w:val="20"/>
              </w:rPr>
              <w:t>Kun arbeidsgiver</w:t>
            </w:r>
            <w:r w:rsidRPr="005A4AD1">
              <w:rPr>
                <w:rFonts w:ascii="Calibri" w:hAnsi="Calibri" w:cs="Calibri"/>
                <w:sz w:val="20"/>
              </w:rPr>
              <w:t xml:space="preserve"> bør kunne kreve legeattest i denne perioden, men skal da også finansiere denne.</w:t>
            </w:r>
            <w:r w:rsidR="00D9107F">
              <w:rPr>
                <w:rFonts w:ascii="Calibri" w:hAnsi="Calibri" w:cs="Calibri"/>
                <w:sz w:val="20"/>
              </w:rPr>
              <w:t xml:space="preserve"> </w:t>
            </w:r>
          </w:p>
        </w:tc>
        <w:tc>
          <w:tcPr>
            <w:tcW w:w="1412" w:type="pct"/>
          </w:tcPr>
          <w:p w14:paraId="3FB671CA" w14:textId="7603B878" w:rsidR="00FE6C8F" w:rsidRPr="005A4AD1" w:rsidRDefault="00FE6C8F"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 xml:space="preserve">Anbefalingen forventes å redusere antall konsultasjoner hos fastlege knyttet til sykmelding av </w:t>
            </w:r>
            <w:r w:rsidR="2FB34EF5" w:rsidRPr="005A4AD1">
              <w:rPr>
                <w:rFonts w:ascii="Calibri" w:eastAsia="Calibri" w:hAnsi="Calibri" w:cs="Calibri"/>
                <w:sz w:val="20"/>
              </w:rPr>
              <w:t>korttidsfravær</w:t>
            </w:r>
            <w:r w:rsidRPr="005A4AD1">
              <w:rPr>
                <w:rFonts w:ascii="Calibri" w:eastAsia="Calibri" w:hAnsi="Calibri" w:cs="Calibri"/>
                <w:sz w:val="20"/>
              </w:rPr>
              <w:t>.</w:t>
            </w:r>
          </w:p>
          <w:p w14:paraId="68EF7188" w14:textId="5BCA4422" w:rsidR="00B449C2" w:rsidRPr="005A4AD1" w:rsidRDefault="00FE6C8F"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br/>
              <w:t>Se kap</w:t>
            </w:r>
            <w:r w:rsidR="00CB70EE" w:rsidRPr="005A4AD1">
              <w:rPr>
                <w:rFonts w:ascii="Calibri" w:eastAsia="Calibri" w:hAnsi="Calibri" w:cs="Calibri"/>
                <w:sz w:val="20"/>
              </w:rPr>
              <w:t>ittel</w:t>
            </w:r>
            <w:r w:rsidRPr="005A4AD1">
              <w:rPr>
                <w:rFonts w:ascii="Calibri" w:eastAsia="Calibri" w:hAnsi="Calibri" w:cs="Calibri"/>
                <w:sz w:val="20"/>
              </w:rPr>
              <w:t xml:space="preserve"> 7.4.4. for eksemplifisert beregning av mulige kostnader og tidsbruk.</w:t>
            </w:r>
          </w:p>
        </w:tc>
        <w:tc>
          <w:tcPr>
            <w:tcW w:w="1362" w:type="pct"/>
          </w:tcPr>
          <w:p w14:paraId="61F7E0C9" w14:textId="7261335A" w:rsidR="00B449C2" w:rsidRPr="00D9107F" w:rsidRDefault="005550E0" w:rsidP="00B340D5">
            <w:pPr>
              <w:cnfStyle w:val="000000000000" w:firstRow="0" w:lastRow="0" w:firstColumn="0" w:lastColumn="0" w:oddVBand="0" w:evenVBand="0" w:oddHBand="0" w:evenHBand="0" w:firstRowFirstColumn="0" w:firstRowLastColumn="0" w:lastRowFirstColumn="0" w:lastRowLastColumn="0"/>
              <w:rPr>
                <w:rStyle w:val="halvfet"/>
                <w:rFonts w:eastAsia="Calibri"/>
              </w:rPr>
            </w:pPr>
            <w:r w:rsidRPr="005A4AD1">
              <w:rPr>
                <w:rFonts w:ascii="Calibri" w:eastAsia="Calibri" w:hAnsi="Calibri" w:cs="Calibri"/>
                <w:sz w:val="20"/>
              </w:rPr>
              <w:t>Endringer i folketrygdloven.</w:t>
            </w:r>
          </w:p>
        </w:tc>
      </w:tr>
      <w:tr w:rsidR="00B449C2" w:rsidRPr="007C0732" w14:paraId="09F2ADCC"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68450E52" w14:textId="51F8F632" w:rsidR="00B449C2" w:rsidRPr="005A4AD1" w:rsidRDefault="00EF49A1" w:rsidP="007C52E8">
            <w:pPr>
              <w:pStyle w:val="TabellHode-rad"/>
              <w:rPr>
                <w:rFonts w:eastAsia="Calibri"/>
              </w:rPr>
            </w:pPr>
            <w:r w:rsidRPr="005A4AD1">
              <w:rPr>
                <w:rFonts w:eastAsia="Calibri"/>
              </w:rPr>
              <w:t>25.</w:t>
            </w:r>
          </w:p>
        </w:tc>
        <w:tc>
          <w:tcPr>
            <w:tcW w:w="1984" w:type="pct"/>
          </w:tcPr>
          <w:p w14:paraId="3C435F64" w14:textId="4A2E0502"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hAnsi="Calibri" w:cs="Calibri"/>
                <w:sz w:val="20"/>
              </w:rPr>
              <w:t>Det bør forskriftsfestes hvilke attester fastlegene plikter å skrive. Attester som ikke er forskriftsfestet, skal ikke fastlegene bruke tid på.</w:t>
            </w:r>
            <w:r w:rsidR="00D9107F">
              <w:rPr>
                <w:rFonts w:ascii="Calibri" w:hAnsi="Calibri" w:cs="Calibri"/>
                <w:sz w:val="20"/>
              </w:rPr>
              <w:t xml:space="preserve"> </w:t>
            </w:r>
          </w:p>
        </w:tc>
        <w:tc>
          <w:tcPr>
            <w:tcW w:w="1412" w:type="pct"/>
          </w:tcPr>
          <w:p w14:paraId="7FAF65FA" w14:textId="79F7C158" w:rsidR="00B449C2" w:rsidRPr="005A4AD1" w:rsidRDefault="008175FE"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Anbefalingen forventes å redusere antall konsultasjoner hos fastlege knyttet til attester.</w:t>
            </w:r>
          </w:p>
        </w:tc>
        <w:tc>
          <w:tcPr>
            <w:tcW w:w="1362" w:type="pct"/>
          </w:tcPr>
          <w:p w14:paraId="08B103FD" w14:textId="30C14083" w:rsidR="00B449C2" w:rsidRPr="00D9107F" w:rsidRDefault="009C4C9A" w:rsidP="00B340D5">
            <w:pPr>
              <w:cnfStyle w:val="000000000000" w:firstRow="0" w:lastRow="0" w:firstColumn="0" w:lastColumn="0" w:oddVBand="0" w:evenVBand="0" w:oddHBand="0" w:evenHBand="0" w:firstRowFirstColumn="0" w:firstRowLastColumn="0" w:lastRowFirstColumn="0" w:lastRowLastColumn="0"/>
              <w:rPr>
                <w:rStyle w:val="halvfet"/>
                <w:rFonts w:eastAsia="Calibri"/>
              </w:rPr>
            </w:pPr>
            <w:r>
              <w:rPr>
                <w:rFonts w:ascii="Calibri" w:eastAsia="Calibri" w:hAnsi="Calibri" w:cs="Calibri"/>
                <w:sz w:val="20"/>
              </w:rPr>
              <w:t>H</w:t>
            </w:r>
            <w:r w:rsidR="00B449C2" w:rsidRPr="005A4AD1">
              <w:rPr>
                <w:rFonts w:ascii="Calibri" w:eastAsia="Calibri" w:hAnsi="Calibri" w:cs="Calibri"/>
                <w:sz w:val="20"/>
              </w:rPr>
              <w:t xml:space="preserve">vilke attester leger skal skrive, </w:t>
            </w:r>
            <w:r w:rsidR="005550E0" w:rsidRPr="005A4AD1">
              <w:rPr>
                <w:rFonts w:ascii="Calibri" w:eastAsia="Calibri" w:hAnsi="Calibri" w:cs="Calibri"/>
                <w:sz w:val="20"/>
              </w:rPr>
              <w:t>kan reguleres</w:t>
            </w:r>
            <w:r w:rsidR="00B449C2" w:rsidRPr="005A4AD1">
              <w:rPr>
                <w:rFonts w:ascii="Calibri" w:eastAsia="Calibri" w:hAnsi="Calibri" w:cs="Calibri"/>
                <w:sz w:val="20"/>
              </w:rPr>
              <w:t xml:space="preserve"> i </w:t>
            </w:r>
            <w:r w:rsidR="005550E0" w:rsidRPr="005A4AD1">
              <w:rPr>
                <w:rFonts w:ascii="Calibri" w:eastAsia="Calibri" w:hAnsi="Calibri" w:cs="Calibri"/>
                <w:sz w:val="20"/>
              </w:rPr>
              <w:t>fastlegeforskriften.</w:t>
            </w:r>
          </w:p>
        </w:tc>
      </w:tr>
      <w:tr w:rsidR="00B449C2" w:rsidRPr="007C0732" w14:paraId="4FA0154B"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3E021705" w14:textId="78F3EF0E" w:rsidR="00B449C2" w:rsidRPr="005A4AD1" w:rsidRDefault="00EF49A1" w:rsidP="007C52E8">
            <w:pPr>
              <w:pStyle w:val="TabellHode-rad"/>
              <w:rPr>
                <w:rFonts w:eastAsia="Calibri"/>
              </w:rPr>
            </w:pPr>
            <w:r w:rsidRPr="005A4AD1">
              <w:rPr>
                <w:rFonts w:eastAsia="Calibri"/>
              </w:rPr>
              <w:t>26.</w:t>
            </w:r>
          </w:p>
        </w:tc>
        <w:tc>
          <w:tcPr>
            <w:tcW w:w="1984" w:type="pct"/>
          </w:tcPr>
          <w:p w14:paraId="7139DF39" w14:textId="77777777"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hAnsi="Calibri" w:cs="Calibri"/>
                <w:sz w:val="20"/>
              </w:rPr>
              <w:t>Det må være forsikringsbransjens ansvar å sørge for nødvendige undersøkelser og dokumentasjon for tegning av privat helseforsikring.</w:t>
            </w:r>
          </w:p>
        </w:tc>
        <w:tc>
          <w:tcPr>
            <w:tcW w:w="1412" w:type="pct"/>
          </w:tcPr>
          <w:p w14:paraId="543587B0" w14:textId="6048B386"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For forsikringsselskapene vil det medføre en omfordeling av kostnader fra fastlege til andre leger.</w:t>
            </w:r>
          </w:p>
        </w:tc>
        <w:tc>
          <w:tcPr>
            <w:tcW w:w="1362" w:type="pct"/>
          </w:tcPr>
          <w:p w14:paraId="23640853" w14:textId="28BA2F77" w:rsidR="00B449C2" w:rsidRPr="005A4AD1" w:rsidRDefault="00094517"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Forsikringsselskaper må inngå avtaler med andre leger enn fastleger.</w:t>
            </w:r>
          </w:p>
        </w:tc>
      </w:tr>
      <w:tr w:rsidR="00B449C2" w:rsidRPr="007C0732" w14:paraId="5800CEE4"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4B5DC07A" w14:textId="29E316F0" w:rsidR="00B449C2" w:rsidRPr="005A4AD1" w:rsidRDefault="00EF49A1" w:rsidP="007C52E8">
            <w:pPr>
              <w:pStyle w:val="TabellHode-rad"/>
              <w:rPr>
                <w:rFonts w:eastAsia="Calibri"/>
              </w:rPr>
            </w:pPr>
            <w:r w:rsidRPr="005A4AD1">
              <w:rPr>
                <w:rFonts w:eastAsia="Calibri"/>
              </w:rPr>
              <w:lastRenderedPageBreak/>
              <w:t>27.</w:t>
            </w:r>
          </w:p>
        </w:tc>
        <w:tc>
          <w:tcPr>
            <w:tcW w:w="1984" w:type="pct"/>
          </w:tcPr>
          <w:p w14:paraId="66ADE72D" w14:textId="2F39FE4C" w:rsidR="00B449C2" w:rsidRPr="005A4AD1" w:rsidRDefault="003D2DCE"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 xml:space="preserve">Henvisninger for privat helseforsikring bør ikke finansieres, verken direkte eller indirekte, med offentlige midler. Fastlegene bør ikke </w:t>
            </w:r>
            <w:r w:rsidR="000A218E" w:rsidRPr="005A4AD1">
              <w:rPr>
                <w:rFonts w:ascii="Calibri" w:eastAsia="Calibri" w:hAnsi="Calibri" w:cs="Calibri"/>
                <w:sz w:val="20"/>
              </w:rPr>
              <w:t xml:space="preserve">henvise til </w:t>
            </w:r>
            <w:r w:rsidR="005234C0" w:rsidRPr="005A4AD1">
              <w:rPr>
                <w:rFonts w:ascii="Calibri" w:eastAsia="Calibri" w:hAnsi="Calibri" w:cs="Calibri"/>
                <w:sz w:val="20"/>
              </w:rPr>
              <w:t>undersøkelser betalt av privat helseforsikring</w:t>
            </w:r>
            <w:r w:rsidRPr="005A4AD1">
              <w:rPr>
                <w:rFonts w:ascii="Calibri" w:eastAsia="Calibri" w:hAnsi="Calibri" w:cs="Calibri"/>
                <w:sz w:val="20"/>
              </w:rPr>
              <w:t xml:space="preserve">. </w:t>
            </w:r>
          </w:p>
        </w:tc>
        <w:tc>
          <w:tcPr>
            <w:tcW w:w="1412" w:type="pct"/>
          </w:tcPr>
          <w:p w14:paraId="388AA7E7" w14:textId="48E452C0" w:rsidR="00B449C2" w:rsidRPr="00D9107F" w:rsidRDefault="002A2B59" w:rsidP="00B340D5">
            <w:pPr>
              <w:cnfStyle w:val="000000000000" w:firstRow="0" w:lastRow="0" w:firstColumn="0" w:lastColumn="0" w:oddVBand="0" w:evenVBand="0" w:oddHBand="0" w:evenHBand="0" w:firstRowFirstColumn="0" w:firstRowLastColumn="0" w:lastRowFirstColumn="0" w:lastRowLastColumn="0"/>
              <w:rPr>
                <w:rStyle w:val="halvfet"/>
                <w:rFonts w:eastAsia="Calibri"/>
              </w:rPr>
            </w:pPr>
            <w:r w:rsidRPr="005A4AD1">
              <w:rPr>
                <w:rFonts w:ascii="Calibri" w:eastAsia="Calibri" w:hAnsi="Calibri" w:cs="Calibri"/>
                <w:sz w:val="20"/>
              </w:rPr>
              <w:t>For forsikringsselskapene vil det medføre en omfordeling av kostnader fra fastlege til andre leger.</w:t>
            </w:r>
          </w:p>
        </w:tc>
        <w:tc>
          <w:tcPr>
            <w:tcW w:w="1362" w:type="pct"/>
          </w:tcPr>
          <w:p w14:paraId="6106ABFC" w14:textId="15662A11" w:rsidR="00B449C2" w:rsidRPr="005A4AD1" w:rsidRDefault="00315728"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Eventuell presisering i fastlegeforskriften at fastlegene ikke skal gjøre slike henvisninger.</w:t>
            </w:r>
          </w:p>
        </w:tc>
      </w:tr>
      <w:tr w:rsidR="00B449C2" w:rsidRPr="007C0732" w14:paraId="1CE86272" w14:textId="77777777" w:rsidTr="004C169B">
        <w:tc>
          <w:tcPr>
            <w:cnfStyle w:val="001000000000" w:firstRow="0" w:lastRow="0" w:firstColumn="1" w:lastColumn="0" w:oddVBand="0" w:evenVBand="0" w:oddHBand="0" w:evenHBand="0" w:firstRowFirstColumn="0" w:firstRowLastColumn="0" w:lastRowFirstColumn="0" w:lastRowLastColumn="0"/>
            <w:tcW w:w="241" w:type="pct"/>
          </w:tcPr>
          <w:p w14:paraId="320DF3B2" w14:textId="002E4973" w:rsidR="00B449C2" w:rsidRPr="005A4AD1" w:rsidRDefault="00EF49A1" w:rsidP="007C52E8">
            <w:pPr>
              <w:pStyle w:val="TabellHode-rad"/>
              <w:rPr>
                <w:rFonts w:eastAsia="Calibri"/>
              </w:rPr>
            </w:pPr>
            <w:r w:rsidRPr="005A4AD1">
              <w:rPr>
                <w:rFonts w:eastAsia="Calibri"/>
              </w:rPr>
              <w:t>28.</w:t>
            </w:r>
          </w:p>
        </w:tc>
        <w:tc>
          <w:tcPr>
            <w:tcW w:w="1984" w:type="pct"/>
          </w:tcPr>
          <w:p w14:paraId="5C4AB899" w14:textId="2BB799D9" w:rsidR="00B449C2" w:rsidRPr="005A4AD1" w:rsidRDefault="00B449C2"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hAnsi="Calibri" w:cs="Calibri"/>
                <w:sz w:val="20"/>
              </w:rPr>
              <w:t>Fraværsattester for grunnskolen, videregående opplæring, universiteter og høgskole skal ikke utstedes av fastlege.</w:t>
            </w:r>
          </w:p>
        </w:tc>
        <w:tc>
          <w:tcPr>
            <w:tcW w:w="1412" w:type="pct"/>
          </w:tcPr>
          <w:p w14:paraId="69579E8C" w14:textId="61EDD0A8" w:rsidR="00B449C2" w:rsidRPr="005A4AD1" w:rsidRDefault="00D92FDB"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Anbefalingen forventes å redusere antall konsultasjoner hos fastlege knyttet til fraværsattester.</w:t>
            </w:r>
          </w:p>
        </w:tc>
        <w:tc>
          <w:tcPr>
            <w:tcW w:w="1362" w:type="pct"/>
          </w:tcPr>
          <w:p w14:paraId="62817EBF" w14:textId="1F0EE3A3" w:rsidR="00B449C2" w:rsidRPr="005A4AD1" w:rsidRDefault="00D92FDB" w:rsidP="00B340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rPr>
            </w:pPr>
            <w:r w:rsidRPr="005A4AD1">
              <w:rPr>
                <w:rFonts w:ascii="Calibri" w:eastAsia="Calibri" w:hAnsi="Calibri" w:cs="Calibri"/>
                <w:sz w:val="20"/>
              </w:rPr>
              <w:t>Endring</w:t>
            </w:r>
            <w:r w:rsidR="003D67BA" w:rsidRPr="005A4AD1">
              <w:rPr>
                <w:rFonts w:ascii="Calibri" w:eastAsia="Calibri" w:hAnsi="Calibri" w:cs="Calibri"/>
                <w:sz w:val="20"/>
              </w:rPr>
              <w:t>/presisering</w:t>
            </w:r>
            <w:r w:rsidRPr="005A4AD1">
              <w:rPr>
                <w:rFonts w:ascii="Calibri" w:eastAsia="Calibri" w:hAnsi="Calibri" w:cs="Calibri"/>
                <w:sz w:val="20"/>
              </w:rPr>
              <w:t xml:space="preserve"> </w:t>
            </w:r>
            <w:r w:rsidR="00185141" w:rsidRPr="005A4AD1">
              <w:rPr>
                <w:rFonts w:ascii="Calibri" w:eastAsia="Calibri" w:hAnsi="Calibri" w:cs="Calibri"/>
                <w:sz w:val="20"/>
              </w:rPr>
              <w:t xml:space="preserve">i </w:t>
            </w:r>
            <w:r w:rsidR="003D67BA" w:rsidRPr="005A4AD1">
              <w:rPr>
                <w:rFonts w:ascii="Calibri" w:eastAsia="Calibri" w:hAnsi="Calibri" w:cs="Calibri"/>
                <w:sz w:val="20"/>
              </w:rPr>
              <w:t>forskrift til opplæringslov</w:t>
            </w:r>
            <w:r w:rsidR="007C6F7B" w:rsidRPr="005A4AD1">
              <w:rPr>
                <w:rFonts w:ascii="Calibri" w:eastAsia="Calibri" w:hAnsi="Calibri" w:cs="Calibri"/>
                <w:sz w:val="20"/>
              </w:rPr>
              <w:t>en</w:t>
            </w:r>
            <w:r w:rsidR="003D67BA" w:rsidRPr="005A4AD1">
              <w:rPr>
                <w:rFonts w:ascii="Calibri" w:eastAsia="Calibri" w:hAnsi="Calibri" w:cs="Calibri"/>
                <w:sz w:val="20"/>
              </w:rPr>
              <w:t>.</w:t>
            </w:r>
          </w:p>
        </w:tc>
      </w:tr>
    </w:tbl>
    <w:p w14:paraId="1D7EA1CC" w14:textId="6FA0F1CE" w:rsidR="00C207CE" w:rsidRPr="00215520" w:rsidRDefault="00D21A9D" w:rsidP="00775632">
      <w:pPr>
        <w:pStyle w:val="Overskrift2"/>
      </w:pPr>
      <w:bookmarkStart w:id="6148" w:name="_Toc130932270"/>
      <w:bookmarkStart w:id="6149" w:name="_Toc130934561"/>
      <w:bookmarkStart w:id="6150" w:name="_Toc130983734"/>
      <w:bookmarkStart w:id="6151" w:name="_Toc130984083"/>
      <w:bookmarkStart w:id="6152" w:name="_Toc131062315"/>
      <w:bookmarkStart w:id="6153" w:name="_Toc131062569"/>
      <w:bookmarkStart w:id="6154" w:name="_Toc131062830"/>
      <w:bookmarkStart w:id="6155" w:name="_Toc131063083"/>
      <w:bookmarkStart w:id="6156" w:name="_Toc131063866"/>
      <w:bookmarkStart w:id="6157" w:name="_Toc131064277"/>
      <w:bookmarkStart w:id="6158" w:name="_Toc131238606"/>
      <w:bookmarkStart w:id="6159" w:name="_Toc131279697"/>
      <w:bookmarkStart w:id="6160" w:name="_Toc131287109"/>
      <w:bookmarkStart w:id="6161" w:name="_Toc131281519"/>
      <w:bookmarkStart w:id="6162" w:name="_Toc131281529"/>
      <w:bookmarkStart w:id="6163" w:name="_Toc131318059"/>
      <w:bookmarkStart w:id="6164" w:name="_Toc132537125"/>
      <w:r w:rsidRPr="00215520">
        <w:t>Legevakt</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tbl>
      <w:tblPr>
        <w:tblStyle w:val="0Ekspertutvalgettabellstil1"/>
        <w:tblW w:w="0" w:type="auto"/>
        <w:tblLook w:val="04A0" w:firstRow="1" w:lastRow="0" w:firstColumn="1" w:lastColumn="0" w:noHBand="0" w:noVBand="1"/>
      </w:tblPr>
      <w:tblGrid>
        <w:gridCol w:w="470"/>
        <w:gridCol w:w="2982"/>
        <w:gridCol w:w="3015"/>
        <w:gridCol w:w="3269"/>
      </w:tblGrid>
      <w:tr w:rsidR="007E1E86" w:rsidRPr="004E01BF" w14:paraId="495DC8DF" w14:textId="77777777" w:rsidTr="00B86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500FB59C" w14:textId="39E7C231" w:rsidR="001C2DBA" w:rsidRPr="00D9107F" w:rsidRDefault="001C2DBA" w:rsidP="007C52E8">
            <w:pPr>
              <w:pStyle w:val="TabellHode-kolonne"/>
              <w:rPr>
                <w:rStyle w:val="halvfet"/>
              </w:rPr>
            </w:pPr>
            <w:r w:rsidRPr="00D9107F">
              <w:rPr>
                <w:rStyle w:val="halvfet"/>
              </w:rPr>
              <w:t>#</w:t>
            </w:r>
          </w:p>
        </w:tc>
        <w:tc>
          <w:tcPr>
            <w:tcW w:w="0" w:type="auto"/>
            <w:shd w:val="clear" w:color="auto" w:fill="A9D6B9"/>
          </w:tcPr>
          <w:p w14:paraId="14549331" w14:textId="01864A98" w:rsidR="001726CC" w:rsidRPr="00D9107F" w:rsidRDefault="00637FC3"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0" w:type="auto"/>
            <w:shd w:val="clear" w:color="auto" w:fill="A9D6B9"/>
          </w:tcPr>
          <w:p w14:paraId="0B9F7846" w14:textId="5D45E6B5" w:rsidR="001726CC" w:rsidRPr="00D9107F" w:rsidRDefault="00770286"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Økonomiske konsekvenser</w:t>
            </w:r>
          </w:p>
        </w:tc>
        <w:tc>
          <w:tcPr>
            <w:tcW w:w="0" w:type="auto"/>
            <w:shd w:val="clear" w:color="auto" w:fill="A9D6B9"/>
          </w:tcPr>
          <w:p w14:paraId="7FD5D51D" w14:textId="01BEB42C" w:rsidR="001726CC" w:rsidRPr="00D9107F" w:rsidRDefault="00770286"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Administrative konsekvenser</w:t>
            </w:r>
          </w:p>
        </w:tc>
      </w:tr>
      <w:tr w:rsidR="00B82983" w:rsidRPr="004E01BF" w14:paraId="6F741372"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2CB7329E" w14:textId="69C14C3C" w:rsidR="001C2DBA" w:rsidRPr="005A4AD1" w:rsidRDefault="00CC03BD" w:rsidP="007C52E8">
            <w:pPr>
              <w:pStyle w:val="TabellHode-rad"/>
            </w:pPr>
            <w:r w:rsidRPr="005A4AD1">
              <w:t>29</w:t>
            </w:r>
            <w:r w:rsidR="007C6F7B" w:rsidRPr="005A4AD1">
              <w:t>.</w:t>
            </w:r>
          </w:p>
        </w:tc>
        <w:tc>
          <w:tcPr>
            <w:tcW w:w="0" w:type="auto"/>
          </w:tcPr>
          <w:p w14:paraId="0F995CEF" w14:textId="70025B19" w:rsidR="005B5CCF" w:rsidRPr="005A4AD1" w:rsidRDefault="005B5CC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etableres rammer for hvor mye legevaktarbeid fastleger kan pålegges.</w:t>
            </w:r>
          </w:p>
        </w:tc>
        <w:tc>
          <w:tcPr>
            <w:tcW w:w="0" w:type="auto"/>
          </w:tcPr>
          <w:p w14:paraId="098EFE9D" w14:textId="00D4AF98" w:rsidR="005B5CCF" w:rsidRPr="00D9107F" w:rsidRDefault="0034147D"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 xml:space="preserve">Kostnader </w:t>
            </w:r>
            <w:r w:rsidR="00912522" w:rsidRPr="005A4AD1">
              <w:rPr>
                <w:rFonts w:cstheme="minorHAnsi"/>
                <w:sz w:val="20"/>
              </w:rPr>
              <w:t xml:space="preserve">for kommunen </w:t>
            </w:r>
            <w:r w:rsidR="00343861" w:rsidRPr="005A4AD1">
              <w:rPr>
                <w:rFonts w:cstheme="minorHAnsi"/>
                <w:sz w:val="20"/>
              </w:rPr>
              <w:t>vil avhenge av</w:t>
            </w:r>
            <w:r w:rsidRPr="005A4AD1">
              <w:rPr>
                <w:rFonts w:cstheme="minorHAnsi"/>
                <w:sz w:val="20"/>
              </w:rPr>
              <w:t xml:space="preserve"> antall leger</w:t>
            </w:r>
            <w:r w:rsidR="00343861" w:rsidRPr="005A4AD1">
              <w:rPr>
                <w:rFonts w:cstheme="minorHAnsi"/>
                <w:sz w:val="20"/>
              </w:rPr>
              <w:t xml:space="preserve"> i legevakt. </w:t>
            </w:r>
          </w:p>
        </w:tc>
        <w:tc>
          <w:tcPr>
            <w:tcW w:w="0" w:type="auto"/>
          </w:tcPr>
          <w:p w14:paraId="4DCA92F1" w14:textId="59F5775E" w:rsidR="005B5CCF" w:rsidRPr="005A4AD1" w:rsidRDefault="005B5CC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forskriftsfestes i fastlegeforskriften. Kan bero på avtalerettslig avklaring mellom partene.</w:t>
            </w:r>
          </w:p>
        </w:tc>
      </w:tr>
      <w:tr w:rsidR="009F4D0F" w:rsidRPr="004E01BF" w14:paraId="47EA3DD0"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46E11C27" w14:textId="3BE6AA3D" w:rsidR="009F4D0F" w:rsidRPr="005A4AD1" w:rsidRDefault="009F4D0F" w:rsidP="007C52E8">
            <w:pPr>
              <w:pStyle w:val="TabellHode-rad"/>
            </w:pPr>
            <w:r w:rsidRPr="005A4AD1">
              <w:t>30.</w:t>
            </w:r>
          </w:p>
        </w:tc>
        <w:tc>
          <w:tcPr>
            <w:tcW w:w="0" w:type="auto"/>
          </w:tcPr>
          <w:p w14:paraId="2DEFFF49" w14:textId="198480EE"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bør tilrettelegges for økt bruk av andre leger enn fastleger i legevakt, for å bidra til redusert arbeidstid i legevakt for fastleger og økt rekruttering til fastlegeordningen. </w:t>
            </w:r>
          </w:p>
        </w:tc>
        <w:tc>
          <w:tcPr>
            <w:tcW w:w="0" w:type="auto"/>
          </w:tcPr>
          <w:p w14:paraId="041E4A85"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Endringen kan slå ulikt ut for ulike kommuner.</w:t>
            </w:r>
          </w:p>
          <w:p w14:paraId="6B21590D" w14:textId="777CA6F7"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over tid bidra til mindre kostnader samlet sett for kommunen ved at fastlegeordningen stabiliseres og kommunen unngår bruk av kostbare vikarløsninger.</w:t>
            </w:r>
          </w:p>
        </w:tc>
        <w:tc>
          <w:tcPr>
            <w:tcW w:w="0" w:type="auto"/>
          </w:tcPr>
          <w:p w14:paraId="79623723" w14:textId="75980207"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Administrativt arbeid for kommunene knyttet til tilsetningsprosesser og oppfølging av evt. arbeidsgiveransvar for andre leger.</w:t>
            </w:r>
          </w:p>
        </w:tc>
      </w:tr>
      <w:tr w:rsidR="009F4D0F" w:rsidRPr="004E01BF" w14:paraId="2AB34268"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2DF431DD" w14:textId="181DBA08" w:rsidR="009F4D0F" w:rsidRPr="005A4AD1" w:rsidRDefault="009F4D0F" w:rsidP="007C52E8">
            <w:pPr>
              <w:pStyle w:val="TabellHode-rad"/>
            </w:pPr>
            <w:r w:rsidRPr="005A4AD1">
              <w:t>31.</w:t>
            </w:r>
          </w:p>
        </w:tc>
        <w:tc>
          <w:tcPr>
            <w:tcW w:w="0" w:type="auto"/>
          </w:tcPr>
          <w:p w14:paraId="00523766" w14:textId="13379572"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Gjennomført LIS1 eller tilsvarende bør være tilstrekkelig for å jobbe selvstendig i legevakt. Dette medfører at kravet om bakvakt for disse legene bortfaller.</w:t>
            </w:r>
          </w:p>
        </w:tc>
        <w:tc>
          <w:tcPr>
            <w:tcW w:w="0" w:type="auto"/>
          </w:tcPr>
          <w:p w14:paraId="6D23E791" w14:textId="655A422A"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Reduserte kostnader til lege i bakvakt for kommunen.</w:t>
            </w:r>
          </w:p>
        </w:tc>
        <w:tc>
          <w:tcPr>
            <w:tcW w:w="0" w:type="auto"/>
          </w:tcPr>
          <w:p w14:paraId="1577A9A1" w14:textId="1DB6425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 i akuttmedisinforskriften og i forskrift om kompetansekrav for leger (kompetanseforskriften).</w:t>
            </w:r>
          </w:p>
        </w:tc>
      </w:tr>
      <w:tr w:rsidR="009F4D0F" w:rsidRPr="004E01BF" w14:paraId="3C0FD716"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33FD216A" w14:textId="1B4C6E2D" w:rsidR="009F4D0F" w:rsidRPr="005A4AD1" w:rsidRDefault="009F4D0F" w:rsidP="007C52E8">
            <w:pPr>
              <w:pStyle w:val="TabellHode-rad"/>
            </w:pPr>
            <w:r w:rsidRPr="005A4AD1">
              <w:t>32.</w:t>
            </w:r>
          </w:p>
        </w:tc>
        <w:tc>
          <w:tcPr>
            <w:tcW w:w="0" w:type="auto"/>
          </w:tcPr>
          <w:p w14:paraId="428530ED" w14:textId="301E3606"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tilrettelegges for bruk av videokonsultasjon ved alle legevaktsentraler og legevakter.</w:t>
            </w:r>
          </w:p>
        </w:tc>
        <w:tc>
          <w:tcPr>
            <w:tcW w:w="0" w:type="auto"/>
          </w:tcPr>
          <w:p w14:paraId="0AB2BFB4" w14:textId="7C729C0E"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til utstyr og IKT-ressurser og opplæring.</w:t>
            </w:r>
          </w:p>
        </w:tc>
        <w:tc>
          <w:tcPr>
            <w:tcW w:w="0" w:type="auto"/>
          </w:tcPr>
          <w:p w14:paraId="06711A6F" w14:textId="4AB3DF2E"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 opplæring av personell og utarbeidelse av nødvendige rutiner mv.</w:t>
            </w:r>
          </w:p>
        </w:tc>
      </w:tr>
      <w:tr w:rsidR="009F4D0F" w:rsidRPr="004E01BF" w14:paraId="1DBBCA36"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10505183" w14:textId="0CCFDCB0" w:rsidR="009F4D0F" w:rsidRPr="005A4AD1" w:rsidRDefault="009F4D0F" w:rsidP="007C52E8">
            <w:pPr>
              <w:pStyle w:val="TabellHode-rad"/>
            </w:pPr>
            <w:r w:rsidRPr="005A4AD1">
              <w:t>33.</w:t>
            </w:r>
          </w:p>
        </w:tc>
        <w:tc>
          <w:tcPr>
            <w:tcW w:w="0" w:type="auto"/>
          </w:tcPr>
          <w:p w14:paraId="7453D279" w14:textId="6142AE5A"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Legevaktsentraler bør sentraliseres. I tillegg bør</w:t>
            </w:r>
            <w:r w:rsidRPr="005A4AD1" w:rsidDel="00BF6A7B">
              <w:rPr>
                <w:rFonts w:cstheme="minorHAnsi"/>
                <w:sz w:val="20"/>
              </w:rPr>
              <w:t xml:space="preserve"> </w:t>
            </w:r>
            <w:r w:rsidRPr="005A4AD1">
              <w:rPr>
                <w:rFonts w:cstheme="minorHAnsi"/>
                <w:sz w:val="20"/>
              </w:rPr>
              <w:t xml:space="preserve">bemanningen forsterkes med fast tilstedeværende lege, og </w:t>
            </w:r>
            <w:r w:rsidRPr="005A4AD1">
              <w:rPr>
                <w:rFonts w:cstheme="minorHAnsi"/>
                <w:sz w:val="20"/>
              </w:rPr>
              <w:lastRenderedPageBreak/>
              <w:t>det bør tilrettelegges for videokonsultasjon.</w:t>
            </w:r>
          </w:p>
        </w:tc>
        <w:tc>
          <w:tcPr>
            <w:tcW w:w="0" w:type="auto"/>
          </w:tcPr>
          <w:p w14:paraId="1B36615A"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Endringen kan slå ulikt ut for ulike kommuner.</w:t>
            </w:r>
          </w:p>
          <w:p w14:paraId="4EBE5B86" w14:textId="191D7C4D" w:rsidR="009F4D0F" w:rsidRPr="00D9107F" w:rsidRDefault="009F4D0F"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 xml:space="preserve">Kan gi reduserte kostnader grunnet stordriftsfordeler på sikt, men vil medføre </w:t>
            </w:r>
            <w:r w:rsidRPr="005A4AD1">
              <w:rPr>
                <w:rFonts w:cstheme="minorHAnsi"/>
                <w:sz w:val="20"/>
              </w:rPr>
              <w:lastRenderedPageBreak/>
              <w:t>kostnader til oppstart og tilrettelegging</w:t>
            </w:r>
          </w:p>
        </w:tc>
        <w:tc>
          <w:tcPr>
            <w:tcW w:w="0" w:type="auto"/>
          </w:tcPr>
          <w:p w14:paraId="24AD96FD"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Arbeid knyttet til sentralisering og bemanning.</w:t>
            </w:r>
          </w:p>
          <w:p w14:paraId="77CA0F59" w14:textId="362E2E2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Samtidig kan dette forventes å gi arbeidsbesparelser på sikt. </w:t>
            </w:r>
          </w:p>
        </w:tc>
      </w:tr>
      <w:tr w:rsidR="009F4D0F" w:rsidRPr="004E01BF" w14:paraId="28D44412"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3A7FBA2E" w14:textId="14FE9E22" w:rsidR="009F4D0F" w:rsidRPr="005A4AD1" w:rsidRDefault="009F4D0F" w:rsidP="007C52E8">
            <w:pPr>
              <w:pStyle w:val="TabellHode-rad"/>
            </w:pPr>
            <w:r w:rsidRPr="005A4AD1">
              <w:t>34.</w:t>
            </w:r>
          </w:p>
        </w:tc>
        <w:tc>
          <w:tcPr>
            <w:tcW w:w="0" w:type="auto"/>
          </w:tcPr>
          <w:p w14:paraId="51163DF8" w14:textId="21CA2CE9"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opprettes desentraliserte akuttilbud, med støtte fra forsterkete legevaktsentraler som er bemannet med lege og tilrettelagt for videokonsultasjon.</w:t>
            </w:r>
          </w:p>
        </w:tc>
        <w:tc>
          <w:tcPr>
            <w:tcW w:w="0" w:type="auto"/>
          </w:tcPr>
          <w:p w14:paraId="3D39124A"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til personell, opplæring, utstyr, IKT-ressurser, ledelse og administrasjon for kommunen.</w:t>
            </w:r>
          </w:p>
          <w:p w14:paraId="5D5422F7" w14:textId="10418933" w:rsidR="009F4D0F" w:rsidRPr="00F240FB"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Reduserte kostnader til lege i vakt.</w:t>
            </w:r>
          </w:p>
        </w:tc>
        <w:tc>
          <w:tcPr>
            <w:tcW w:w="0" w:type="auto"/>
          </w:tcPr>
          <w:p w14:paraId="217FE94C"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for kommunen knyttet til drift av akuttilbud og ansettelse og bruk av personellressurser på tvers av tjenestene.</w:t>
            </w:r>
          </w:p>
          <w:p w14:paraId="7FCE4FB1" w14:textId="517F7387"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Samtidig kan dette forventes å gi arbeidsbesparelser på sikt.</w:t>
            </w:r>
          </w:p>
        </w:tc>
      </w:tr>
      <w:tr w:rsidR="009F4D0F" w:rsidRPr="004E01BF" w14:paraId="62E58756"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0511E80A" w14:textId="59024740" w:rsidR="009F4D0F" w:rsidRPr="005A4AD1" w:rsidRDefault="009F4D0F" w:rsidP="007C52E8">
            <w:pPr>
              <w:pStyle w:val="TabellHode-rad"/>
            </w:pPr>
            <w:r w:rsidRPr="005A4AD1">
              <w:t>35.</w:t>
            </w:r>
          </w:p>
        </w:tc>
        <w:tc>
          <w:tcPr>
            <w:tcW w:w="0" w:type="auto"/>
          </w:tcPr>
          <w:p w14:paraId="46BB3AC3" w14:textId="456677A9"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Triagerings- og prioriteringsverktøy i legevaktsentral og legevakt bør gjennomgås og evalueres, og ved behov bør det utvikles/videreutvikles og testes et egnet verktøy.</w:t>
            </w:r>
          </w:p>
        </w:tc>
        <w:tc>
          <w:tcPr>
            <w:tcW w:w="0" w:type="auto"/>
          </w:tcPr>
          <w:p w14:paraId="17CA2787" w14:textId="7A611110" w:rsidR="009F4D0F" w:rsidRPr="00D9107F" w:rsidRDefault="009F4D0F"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 xml:space="preserve">Kostnader for staten til spesifisering, utvikling og implementering, samt drift og vedlikeholdskostnader. </w:t>
            </w:r>
          </w:p>
        </w:tc>
        <w:tc>
          <w:tcPr>
            <w:tcW w:w="0" w:type="auto"/>
          </w:tcPr>
          <w:p w14:paraId="415B33F8" w14:textId="7EDC9BB9"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Krav om triagering/prioritering kan forskriftsfestes i akuttmedisinforskriften</w:t>
            </w:r>
          </w:p>
        </w:tc>
      </w:tr>
      <w:tr w:rsidR="009F4D0F" w:rsidRPr="004E01BF" w14:paraId="37D8831C"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7D821F7A" w14:textId="63E7661B" w:rsidR="009F4D0F" w:rsidRPr="005A4AD1" w:rsidRDefault="009F4D0F" w:rsidP="007C52E8">
            <w:pPr>
              <w:pStyle w:val="TabellHode-rad"/>
            </w:pPr>
            <w:r w:rsidRPr="005A4AD1">
              <w:t>36.</w:t>
            </w:r>
          </w:p>
        </w:tc>
        <w:tc>
          <w:tcPr>
            <w:tcW w:w="0" w:type="auto"/>
          </w:tcPr>
          <w:p w14:paraId="1A85CAB5" w14:textId="3C8775B0"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Lege i legevakt bør som hovedregel ikke måtte jobbe alene på vakt, men ha tilgang på annet personell ved behov.</w:t>
            </w:r>
          </w:p>
        </w:tc>
        <w:tc>
          <w:tcPr>
            <w:tcW w:w="0" w:type="auto"/>
          </w:tcPr>
          <w:p w14:paraId="19BE3AC7" w14:textId="340448BF"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medføre økte kostnader til koordinering, samlokalisering eller personell for kommunen.</w:t>
            </w:r>
          </w:p>
        </w:tc>
        <w:tc>
          <w:tcPr>
            <w:tcW w:w="0" w:type="auto"/>
          </w:tcPr>
          <w:p w14:paraId="31E1A089" w14:textId="01E45B3C"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eventuelt forskriftsfestes i akuttmedisinforskriften.</w:t>
            </w:r>
          </w:p>
        </w:tc>
      </w:tr>
      <w:tr w:rsidR="009F4D0F" w:rsidRPr="004E01BF" w14:paraId="5C33E59A"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5D7F38F1" w14:textId="26075B50" w:rsidR="009F4D0F" w:rsidRPr="005A4AD1" w:rsidRDefault="009F4D0F" w:rsidP="007C52E8">
            <w:pPr>
              <w:pStyle w:val="TabellHode-rad"/>
            </w:pPr>
            <w:r w:rsidRPr="005A4AD1">
              <w:t>37.</w:t>
            </w:r>
          </w:p>
        </w:tc>
        <w:tc>
          <w:tcPr>
            <w:tcW w:w="0" w:type="auto"/>
          </w:tcPr>
          <w:p w14:paraId="4F26490E" w14:textId="35266A3C"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prøves ut drift av legevakt i helseforetakene på natt der samlokalisering eller nær plassering allerede foreligger.</w:t>
            </w:r>
          </w:p>
        </w:tc>
        <w:tc>
          <w:tcPr>
            <w:tcW w:w="0" w:type="auto"/>
          </w:tcPr>
          <w:p w14:paraId="0ACD8531" w14:textId="5A37E3C1"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knyttet til utprøving av felles drift.</w:t>
            </w:r>
          </w:p>
        </w:tc>
        <w:tc>
          <w:tcPr>
            <w:tcW w:w="0" w:type="auto"/>
          </w:tcPr>
          <w:p w14:paraId="3A263107" w14:textId="4F6AB15D"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Kan gjøres ved at kommunen inngår avtale med helseforetaket. Kommunen vil fortsatt ha det overordnede ansvaret, jf. helse- og omsorgstjenesteloven </w:t>
            </w:r>
            <w:r w:rsidR="00D9107F">
              <w:rPr>
                <w:rFonts w:cstheme="minorHAnsi"/>
                <w:sz w:val="20"/>
              </w:rPr>
              <w:t>§ </w:t>
            </w:r>
            <w:r w:rsidR="00D9107F" w:rsidRPr="005A4AD1">
              <w:rPr>
                <w:rFonts w:cstheme="minorHAnsi"/>
                <w:sz w:val="20"/>
              </w:rPr>
              <w:t>3</w:t>
            </w:r>
            <w:r w:rsidRPr="005A4AD1">
              <w:rPr>
                <w:rFonts w:cstheme="minorHAnsi"/>
                <w:sz w:val="20"/>
              </w:rPr>
              <w:t>-1 femte ledd, jf. første ledd.</w:t>
            </w:r>
          </w:p>
          <w:p w14:paraId="097B59E2" w14:textId="3018955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Administrasjon av eventuell tilskuddsordning, eksempelvis i Helsedirektoratet.</w:t>
            </w:r>
          </w:p>
        </w:tc>
      </w:tr>
      <w:tr w:rsidR="009F4D0F" w:rsidRPr="004E01BF" w14:paraId="0E1BCAAC"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6C8942CD" w14:textId="6F1E950B" w:rsidR="009F4D0F" w:rsidRPr="005A4AD1" w:rsidRDefault="009F4D0F" w:rsidP="007C52E8">
            <w:pPr>
              <w:pStyle w:val="TabellHode-rad"/>
            </w:pPr>
            <w:r w:rsidRPr="005A4AD1">
              <w:t>38.</w:t>
            </w:r>
          </w:p>
        </w:tc>
        <w:tc>
          <w:tcPr>
            <w:tcW w:w="0" w:type="auto"/>
          </w:tcPr>
          <w:p w14:paraId="41E860FE" w14:textId="3893FFBD"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gis statlig tilskudd/finansiering av samarbeidsordninger mellom forvaltningsnivå i den prehospitale kjede, for å fremme bedre ressursutnyttelse lokalt.</w:t>
            </w:r>
          </w:p>
        </w:tc>
        <w:tc>
          <w:tcPr>
            <w:tcW w:w="0" w:type="auto"/>
          </w:tcPr>
          <w:p w14:paraId="0ADDD92D" w14:textId="4EEC5D82"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Kostnader for staten til personell og utstyr, men basert på erfaringer fra lokale prosjekt vil kostnader være lave/begrensede. </w:t>
            </w:r>
          </w:p>
        </w:tc>
        <w:tc>
          <w:tcPr>
            <w:tcW w:w="0" w:type="auto"/>
          </w:tcPr>
          <w:p w14:paraId="7BE15236" w14:textId="0C2CCCA0" w:rsidR="009F4D0F" w:rsidRPr="00D9107F" w:rsidRDefault="009F4D0F"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Administrasjon av eventuell tilskuddsordning, eksempelvis i Helsedirektoratet.</w:t>
            </w:r>
            <w:r w:rsidRPr="00D9107F">
              <w:rPr>
                <w:rStyle w:val="halvfet"/>
              </w:rPr>
              <w:t xml:space="preserve"> </w:t>
            </w:r>
          </w:p>
        </w:tc>
      </w:tr>
      <w:tr w:rsidR="009F4D0F" w:rsidRPr="004E01BF" w14:paraId="3525EA93"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02076657" w14:textId="15E2CB93" w:rsidR="009F4D0F" w:rsidRPr="005A4AD1" w:rsidRDefault="009F4D0F" w:rsidP="007C52E8">
            <w:pPr>
              <w:pStyle w:val="TabellHode-rad"/>
            </w:pPr>
            <w:r w:rsidRPr="005A4AD1">
              <w:t>39.</w:t>
            </w:r>
          </w:p>
        </w:tc>
        <w:tc>
          <w:tcPr>
            <w:tcW w:w="0" w:type="auto"/>
          </w:tcPr>
          <w:p w14:paraId="0EC2669D" w14:textId="69E29DD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Fastlønn bør benyttes mer for alt legevaktarbeid.</w:t>
            </w:r>
          </w:p>
        </w:tc>
        <w:tc>
          <w:tcPr>
            <w:tcW w:w="0" w:type="auto"/>
          </w:tcPr>
          <w:p w14:paraId="1B6815C0"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for kommunen.</w:t>
            </w:r>
          </w:p>
          <w:p w14:paraId="52E74B5B" w14:textId="4325C7A0"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 xml:space="preserve">Kan tenkes å redusere takstbruken, og i så fall en liten besparelse for </w:t>
            </w:r>
            <w:r w:rsidR="0039411D">
              <w:rPr>
                <w:rFonts w:cstheme="minorHAnsi"/>
                <w:sz w:val="20"/>
              </w:rPr>
              <w:t xml:space="preserve">staten ved </w:t>
            </w:r>
            <w:r w:rsidRPr="005A4AD1">
              <w:rPr>
                <w:rFonts w:cstheme="minorHAnsi"/>
                <w:sz w:val="20"/>
              </w:rPr>
              <w:t>Helfo.</w:t>
            </w:r>
          </w:p>
        </w:tc>
        <w:tc>
          <w:tcPr>
            <w:tcW w:w="0" w:type="auto"/>
          </w:tcPr>
          <w:p w14:paraId="0E42D65A" w14:textId="7D9BBD37"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Arbeid for kommunen knyttet til avtale om fast lønn.</w:t>
            </w:r>
          </w:p>
        </w:tc>
      </w:tr>
      <w:tr w:rsidR="009F4D0F" w:rsidRPr="004E01BF" w14:paraId="52D18BD9"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05DB211E" w14:textId="35601E67" w:rsidR="009F4D0F" w:rsidRPr="005A4AD1" w:rsidRDefault="009F4D0F" w:rsidP="007C52E8">
            <w:pPr>
              <w:pStyle w:val="TabellHode-rad"/>
            </w:pPr>
            <w:r w:rsidRPr="005A4AD1">
              <w:t>40.</w:t>
            </w:r>
          </w:p>
        </w:tc>
        <w:tc>
          <w:tcPr>
            <w:tcW w:w="0" w:type="auto"/>
          </w:tcPr>
          <w:p w14:paraId="5A157248" w14:textId="7A24E2AA"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For å kompensere for smådriftsulemper i legevakt, bør gradert tilskudd inngå i kostnadsnøkkelen for primærhelsetjenester i inntektssystemet for kommunene.</w:t>
            </w:r>
          </w:p>
        </w:tc>
        <w:tc>
          <w:tcPr>
            <w:tcW w:w="0" w:type="auto"/>
          </w:tcPr>
          <w:p w14:paraId="2AE55742"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Flytting av dagens tilskuddsordning til det vanlige inntektssystemet for kommunene.</w:t>
            </w:r>
          </w:p>
          <w:p w14:paraId="03CE24C7" w14:textId="03172B50"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Vil kunne gi noe omfordeling mellom kommunene.</w:t>
            </w:r>
          </w:p>
        </w:tc>
        <w:tc>
          <w:tcPr>
            <w:tcW w:w="0" w:type="auto"/>
          </w:tcPr>
          <w:p w14:paraId="759AB347" w14:textId="77777777" w:rsidR="00D9107F"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 endringer i kostnadsnøkkel for kommunenes inntektssystem.</w:t>
            </w:r>
          </w:p>
          <w:p w14:paraId="166599FF" w14:textId="5AFB4BE0"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Redusert administrasjon i kommunene og Helsedirektoratet. </w:t>
            </w:r>
          </w:p>
        </w:tc>
      </w:tr>
      <w:tr w:rsidR="009F4D0F" w:rsidRPr="004E01BF" w14:paraId="0E8B840B" w14:textId="77777777" w:rsidTr="00B86836">
        <w:tc>
          <w:tcPr>
            <w:cnfStyle w:val="001000000000" w:firstRow="0" w:lastRow="0" w:firstColumn="1" w:lastColumn="0" w:oddVBand="0" w:evenVBand="0" w:oddHBand="0" w:evenHBand="0" w:firstRowFirstColumn="0" w:firstRowLastColumn="0" w:lastRowFirstColumn="0" w:lastRowLastColumn="0"/>
            <w:tcW w:w="0" w:type="auto"/>
          </w:tcPr>
          <w:p w14:paraId="32873CC5" w14:textId="76A58A96" w:rsidR="009F4D0F" w:rsidRPr="005A4AD1" w:rsidRDefault="009F4D0F" w:rsidP="007C52E8">
            <w:pPr>
              <w:pStyle w:val="TabellHode-rad"/>
            </w:pPr>
            <w:r w:rsidRPr="005A4AD1">
              <w:t>41.</w:t>
            </w:r>
          </w:p>
        </w:tc>
        <w:tc>
          <w:tcPr>
            <w:tcW w:w="0" w:type="auto"/>
          </w:tcPr>
          <w:p w14:paraId="45D27F04" w14:textId="22C7DCFB"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Finansieringssystemet for legevakt bør gjennomgås for å fjerne hindringer for etablering av interkommunal legevakt.</w:t>
            </w:r>
          </w:p>
        </w:tc>
        <w:tc>
          <w:tcPr>
            <w:tcW w:w="0" w:type="auto"/>
          </w:tcPr>
          <w:p w14:paraId="375F940C" w14:textId="194B2B7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Ressurser til gjennomgang.</w:t>
            </w:r>
          </w:p>
        </w:tc>
        <w:tc>
          <w:tcPr>
            <w:tcW w:w="0" w:type="auto"/>
          </w:tcPr>
          <w:p w14:paraId="68BF50CC" w14:textId="17B2A2D8" w:rsidR="009F4D0F" w:rsidRPr="005A4AD1" w:rsidRDefault="009F4D0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 gjennomgang for å fjerne hindringer.</w:t>
            </w:r>
          </w:p>
        </w:tc>
      </w:tr>
    </w:tbl>
    <w:p w14:paraId="502EA4B6" w14:textId="0B6AB66E" w:rsidR="00D21A9D" w:rsidRPr="00D21A9D" w:rsidRDefault="00D21A9D" w:rsidP="00775632">
      <w:pPr>
        <w:pStyle w:val="Overskrift2"/>
      </w:pPr>
      <w:bookmarkStart w:id="6165" w:name="_Toc130932271"/>
      <w:bookmarkStart w:id="6166" w:name="_Toc130934562"/>
      <w:bookmarkStart w:id="6167" w:name="_Toc130983735"/>
      <w:bookmarkStart w:id="6168" w:name="_Toc130984084"/>
      <w:bookmarkStart w:id="6169" w:name="_Toc131062316"/>
      <w:bookmarkStart w:id="6170" w:name="_Toc131062570"/>
      <w:bookmarkStart w:id="6171" w:name="_Toc131062831"/>
      <w:bookmarkStart w:id="6172" w:name="_Toc131063084"/>
      <w:bookmarkStart w:id="6173" w:name="_Toc131063867"/>
      <w:bookmarkStart w:id="6174" w:name="_Toc131064278"/>
      <w:bookmarkStart w:id="6175" w:name="_Toc131238607"/>
      <w:bookmarkStart w:id="6176" w:name="_Toc131279698"/>
      <w:bookmarkStart w:id="6177" w:name="_Toc131287110"/>
      <w:bookmarkStart w:id="6178" w:name="_Toc131281520"/>
      <w:bookmarkStart w:id="6179" w:name="_Toc131281530"/>
      <w:bookmarkStart w:id="6180" w:name="_Toc131318060"/>
      <w:bookmarkStart w:id="6181" w:name="_Toc132537126"/>
      <w:r>
        <w:t>Kompetanse i allmennlegetjenesten</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p>
    <w:tbl>
      <w:tblPr>
        <w:tblStyle w:val="0Ekspertutvalgettabellstil1"/>
        <w:tblW w:w="0" w:type="auto"/>
        <w:tblLook w:val="04A0" w:firstRow="1" w:lastRow="0" w:firstColumn="1" w:lastColumn="0" w:noHBand="0" w:noVBand="1"/>
      </w:tblPr>
      <w:tblGrid>
        <w:gridCol w:w="470"/>
        <w:gridCol w:w="3518"/>
        <w:gridCol w:w="2939"/>
        <w:gridCol w:w="2809"/>
      </w:tblGrid>
      <w:tr w:rsidR="00F84E22" w:rsidRPr="004E01BF" w14:paraId="0238A2E3" w14:textId="77777777" w:rsidTr="00C13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05546E24" w14:textId="394DC645" w:rsidR="001C2DBA" w:rsidRPr="00D9107F" w:rsidRDefault="0028528F" w:rsidP="007C52E8">
            <w:pPr>
              <w:pStyle w:val="TabellHode-kolonne"/>
              <w:rPr>
                <w:rStyle w:val="halvfet"/>
              </w:rPr>
            </w:pPr>
            <w:r w:rsidRPr="00D9107F">
              <w:rPr>
                <w:rStyle w:val="halvfet"/>
              </w:rPr>
              <w:t>#</w:t>
            </w:r>
          </w:p>
        </w:tc>
        <w:tc>
          <w:tcPr>
            <w:tcW w:w="0" w:type="auto"/>
            <w:shd w:val="clear" w:color="auto" w:fill="A9D6B9"/>
          </w:tcPr>
          <w:p w14:paraId="6C13303F" w14:textId="6DE5EBEA" w:rsidR="00F84E22" w:rsidRPr="00D9107F" w:rsidRDefault="00637FC3"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0" w:type="auto"/>
            <w:shd w:val="clear" w:color="auto" w:fill="A9D6B9"/>
          </w:tcPr>
          <w:p w14:paraId="372EC85D" w14:textId="5F7BFC9A" w:rsidR="00F84E22" w:rsidRPr="00D9107F" w:rsidRDefault="00B54267"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Økonomiske konsekvenser</w:t>
            </w:r>
          </w:p>
        </w:tc>
        <w:tc>
          <w:tcPr>
            <w:tcW w:w="0" w:type="auto"/>
            <w:shd w:val="clear" w:color="auto" w:fill="A9D6B9"/>
          </w:tcPr>
          <w:p w14:paraId="18C96BC8" w14:textId="63BED692" w:rsidR="00F84E22" w:rsidRPr="00D9107F" w:rsidRDefault="4D1D9EA6"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Administrative konsekvenser</w:t>
            </w:r>
          </w:p>
        </w:tc>
      </w:tr>
      <w:tr w:rsidR="00B54267" w:rsidRPr="004E01BF" w14:paraId="211568A4"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50D1B12F" w14:textId="5CAA256F" w:rsidR="001C2DBA" w:rsidRPr="005A4AD1" w:rsidRDefault="00DB2FD6" w:rsidP="007C52E8">
            <w:pPr>
              <w:pStyle w:val="TabellHode-rad"/>
            </w:pPr>
            <w:r w:rsidRPr="005A4AD1">
              <w:t>42.</w:t>
            </w:r>
          </w:p>
        </w:tc>
        <w:tc>
          <w:tcPr>
            <w:tcW w:w="0" w:type="auto"/>
          </w:tcPr>
          <w:p w14:paraId="2FE20920" w14:textId="52CC0C3F" w:rsidR="00B54267" w:rsidRPr="005A4AD1" w:rsidRDefault="00B54267"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bør stilles krav til veiledet praksis </w:t>
            </w:r>
            <w:r w:rsidR="00DB2FD6" w:rsidRPr="005A4AD1">
              <w:rPr>
                <w:rFonts w:cstheme="minorHAnsi"/>
                <w:sz w:val="20"/>
              </w:rPr>
              <w:t xml:space="preserve">(LIS1) </w:t>
            </w:r>
            <w:r w:rsidRPr="005A4AD1">
              <w:rPr>
                <w:rFonts w:cstheme="minorHAnsi"/>
                <w:sz w:val="20"/>
              </w:rPr>
              <w:t xml:space="preserve">etter </w:t>
            </w:r>
            <w:r w:rsidR="00DB2FD6" w:rsidRPr="005A4AD1">
              <w:rPr>
                <w:rFonts w:cstheme="minorHAnsi"/>
                <w:sz w:val="20"/>
              </w:rPr>
              <w:t>grunnutdann</w:t>
            </w:r>
            <w:r w:rsidR="00511C26" w:rsidRPr="005A4AD1">
              <w:rPr>
                <w:rFonts w:cstheme="minorHAnsi"/>
                <w:sz w:val="20"/>
              </w:rPr>
              <w:t>ingen</w:t>
            </w:r>
            <w:r w:rsidRPr="005A4AD1">
              <w:rPr>
                <w:rFonts w:cstheme="minorHAnsi"/>
                <w:sz w:val="20"/>
              </w:rPr>
              <w:t xml:space="preserve"> for å praktisere selvstendig som lege i alle deler av helsetjenesten.</w:t>
            </w:r>
            <w:r w:rsidR="007033D3" w:rsidRPr="005A4AD1">
              <w:rPr>
                <w:rFonts w:cstheme="minorHAnsi"/>
                <w:sz w:val="20"/>
              </w:rPr>
              <w:t xml:space="preserve"> </w:t>
            </w:r>
          </w:p>
        </w:tc>
        <w:tc>
          <w:tcPr>
            <w:tcW w:w="0" w:type="auto"/>
          </w:tcPr>
          <w:p w14:paraId="37E393F8" w14:textId="77777777" w:rsidR="00D9107F" w:rsidRDefault="00CE1E6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 økning i LIS1</w:t>
            </w:r>
            <w:r w:rsidR="00311C7A" w:rsidRPr="005A4AD1">
              <w:rPr>
                <w:rFonts w:cstheme="minorHAnsi"/>
                <w:sz w:val="20"/>
              </w:rPr>
              <w:t>-</w:t>
            </w:r>
            <w:r w:rsidRPr="005A4AD1">
              <w:rPr>
                <w:rFonts w:cstheme="minorHAnsi"/>
                <w:sz w:val="20"/>
              </w:rPr>
              <w:t>stillinger vil gi kostnader for stat, helseforetak og kommune</w:t>
            </w:r>
            <w:r w:rsidR="00DE0A53" w:rsidRPr="005A4AD1">
              <w:rPr>
                <w:rFonts w:cstheme="minorHAnsi"/>
                <w:sz w:val="20"/>
              </w:rPr>
              <w:t>.</w:t>
            </w:r>
          </w:p>
          <w:p w14:paraId="77F267CD" w14:textId="77777777" w:rsidR="00D9107F" w:rsidRDefault="008F463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vil blant annet avhenge av om legen allerede arbeider uten LIS1 i tjenesten.</w:t>
            </w:r>
          </w:p>
          <w:p w14:paraId="0D84E363" w14:textId="30B0567B" w:rsidR="00B54267" w:rsidRPr="005A4AD1" w:rsidRDefault="00311C7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Egne LIS1-stillinger vil </w:t>
            </w:r>
            <w:r w:rsidR="004D5032" w:rsidRPr="005A4AD1">
              <w:rPr>
                <w:rFonts w:cstheme="minorHAnsi"/>
                <w:sz w:val="20"/>
              </w:rPr>
              <w:t xml:space="preserve">kunne </w:t>
            </w:r>
            <w:r w:rsidRPr="005A4AD1">
              <w:rPr>
                <w:rFonts w:cstheme="minorHAnsi"/>
                <w:sz w:val="20"/>
              </w:rPr>
              <w:t>opprettes innenfor helseforetakenes og kommunens budsjett</w:t>
            </w:r>
            <w:r w:rsidR="007D331E" w:rsidRPr="005A4AD1">
              <w:rPr>
                <w:rFonts w:cstheme="minorHAnsi"/>
                <w:sz w:val="20"/>
              </w:rPr>
              <w:t>, uten statlig tilskudd.</w:t>
            </w:r>
          </w:p>
        </w:tc>
        <w:tc>
          <w:tcPr>
            <w:tcW w:w="0" w:type="auto"/>
          </w:tcPr>
          <w:p w14:paraId="6FC582E9" w14:textId="77777777" w:rsidR="00D9107F" w:rsidRDefault="00B54267"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Endringer i kompetanseforskriften, evt nye forskrifter for spesialisthelsetjenesten og helprivat helsetjeneste.</w:t>
            </w:r>
          </w:p>
          <w:p w14:paraId="3E140520" w14:textId="29850960" w:rsidR="00B54267" w:rsidRPr="005A4AD1" w:rsidRDefault="00CC750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w:t>
            </w:r>
            <w:r w:rsidR="007D331E" w:rsidRPr="005A4AD1">
              <w:rPr>
                <w:rFonts w:cstheme="minorHAnsi"/>
                <w:sz w:val="20"/>
              </w:rPr>
              <w:t xml:space="preserve"> knyttet til ansettelse og veiledning.</w:t>
            </w:r>
          </w:p>
        </w:tc>
      </w:tr>
      <w:tr w:rsidR="00F84E22" w:rsidRPr="004E01BF" w14:paraId="0E55BBBA"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67883644" w14:textId="2CEDE2BE" w:rsidR="001C2DBA" w:rsidRPr="005A4AD1" w:rsidRDefault="00DB2FD6" w:rsidP="007C52E8">
            <w:pPr>
              <w:pStyle w:val="TabellHode-rad"/>
            </w:pPr>
            <w:r w:rsidRPr="005A4AD1">
              <w:t>43.</w:t>
            </w:r>
          </w:p>
        </w:tc>
        <w:tc>
          <w:tcPr>
            <w:tcW w:w="0" w:type="auto"/>
          </w:tcPr>
          <w:p w14:paraId="51CDA007" w14:textId="0C1A89B7"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Krav om spesialisering i allmennmedisin bør begrenses til fastleger og leger i faste stillinger i kommunen. </w:t>
            </w:r>
          </w:p>
        </w:tc>
        <w:tc>
          <w:tcPr>
            <w:tcW w:w="0" w:type="auto"/>
          </w:tcPr>
          <w:p w14:paraId="588103E9" w14:textId="06DEDBE4" w:rsidR="00F84E22" w:rsidRPr="005A4AD1" w:rsidRDefault="00283B5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 i kompetansekravet</w:t>
            </w:r>
            <w:r w:rsidR="008C4FD9" w:rsidRPr="005A4AD1">
              <w:rPr>
                <w:rFonts w:cstheme="minorHAnsi"/>
                <w:sz w:val="20"/>
              </w:rPr>
              <w:t xml:space="preserve"> vil utvide kommunens handlingsrom for å benytte vikarer.</w:t>
            </w:r>
            <w:r w:rsidRPr="005A4AD1">
              <w:rPr>
                <w:rFonts w:cstheme="minorHAnsi"/>
                <w:sz w:val="20"/>
              </w:rPr>
              <w:t xml:space="preserve"> </w:t>
            </w:r>
            <w:r w:rsidR="008C4FD9" w:rsidRPr="005A4AD1">
              <w:rPr>
                <w:rFonts w:cstheme="minorHAnsi"/>
                <w:sz w:val="20"/>
              </w:rPr>
              <w:t xml:space="preserve">Hvordan </w:t>
            </w:r>
            <w:r w:rsidRPr="005A4AD1">
              <w:rPr>
                <w:rFonts w:cstheme="minorHAnsi"/>
                <w:sz w:val="20"/>
              </w:rPr>
              <w:t>endringen</w:t>
            </w:r>
            <w:r w:rsidR="008C4FD9" w:rsidRPr="005A4AD1">
              <w:rPr>
                <w:rFonts w:cstheme="minorHAnsi"/>
                <w:sz w:val="20"/>
              </w:rPr>
              <w:t xml:space="preserve"> vil påvirke kommunens kostnader er usikkert.</w:t>
            </w:r>
          </w:p>
        </w:tc>
        <w:tc>
          <w:tcPr>
            <w:tcW w:w="0" w:type="auto"/>
          </w:tcPr>
          <w:p w14:paraId="687FEA8B" w14:textId="27536054" w:rsidR="00F84E22" w:rsidRPr="00D9107F" w:rsidRDefault="00384524"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 xml:space="preserve">Endringer i </w:t>
            </w:r>
            <w:r w:rsidR="009F2F2D" w:rsidRPr="005A4AD1">
              <w:rPr>
                <w:rFonts w:cstheme="minorHAnsi"/>
                <w:sz w:val="20"/>
              </w:rPr>
              <w:t>kompetanseforskriften</w:t>
            </w:r>
            <w:r w:rsidR="00DB4F3D" w:rsidRPr="005A4AD1">
              <w:rPr>
                <w:rFonts w:cstheme="minorHAnsi"/>
                <w:sz w:val="20"/>
              </w:rPr>
              <w:t>.</w:t>
            </w:r>
          </w:p>
        </w:tc>
      </w:tr>
      <w:tr w:rsidR="00F84E22" w:rsidRPr="004E01BF" w14:paraId="037BBF00"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489D6FE7" w14:textId="0C8D6465" w:rsidR="001C2DBA" w:rsidRPr="005A4AD1" w:rsidRDefault="002B7FE8" w:rsidP="007C52E8">
            <w:pPr>
              <w:pStyle w:val="TabellHode-rad"/>
            </w:pPr>
            <w:r w:rsidRPr="005A4AD1">
              <w:lastRenderedPageBreak/>
              <w:t>44</w:t>
            </w:r>
            <w:r w:rsidR="00300779" w:rsidRPr="005A4AD1">
              <w:t>.</w:t>
            </w:r>
          </w:p>
        </w:tc>
        <w:tc>
          <w:tcPr>
            <w:tcW w:w="0" w:type="auto"/>
          </w:tcPr>
          <w:p w14:paraId="0A0F9143" w14:textId="44A3353B"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Antall koblede LIS1-stillinge</w:t>
            </w:r>
            <w:r w:rsidR="00446D97" w:rsidRPr="005A4AD1">
              <w:rPr>
                <w:rFonts w:cstheme="minorHAnsi"/>
                <w:sz w:val="20"/>
              </w:rPr>
              <w:t>r</w:t>
            </w:r>
            <w:r w:rsidRPr="005A4AD1">
              <w:rPr>
                <w:rFonts w:cstheme="minorHAnsi"/>
                <w:sz w:val="20"/>
              </w:rPr>
              <w:t xml:space="preserve"> som pålegges sykehus og kommuner</w:t>
            </w:r>
            <w:r w:rsidR="00A721EB" w:rsidRPr="005A4AD1">
              <w:rPr>
                <w:rFonts w:cstheme="minorHAnsi"/>
                <w:sz w:val="20"/>
              </w:rPr>
              <w:t>, må</w:t>
            </w:r>
            <w:r w:rsidRPr="005A4AD1">
              <w:rPr>
                <w:rFonts w:cstheme="minorHAnsi"/>
                <w:sz w:val="20"/>
              </w:rPr>
              <w:t xml:space="preserve"> økes. </w:t>
            </w:r>
          </w:p>
        </w:tc>
        <w:tc>
          <w:tcPr>
            <w:tcW w:w="0" w:type="auto"/>
          </w:tcPr>
          <w:p w14:paraId="279B1EF6" w14:textId="77777777" w:rsidR="00D9107F" w:rsidRDefault="00311C7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 økning i LIS1-stillinger vil gi kostnader for stat, helseforetak og kommune.</w:t>
            </w:r>
          </w:p>
          <w:p w14:paraId="12445DC8" w14:textId="073C1916" w:rsidR="00F84E22" w:rsidRPr="005A4AD1" w:rsidRDefault="00311C7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Kostnader vil blant annet avhenge av om legen allerede arbeider uten LIS1 i tjenesten. </w:t>
            </w:r>
          </w:p>
        </w:tc>
        <w:tc>
          <w:tcPr>
            <w:tcW w:w="0" w:type="auto"/>
          </w:tcPr>
          <w:p w14:paraId="5DF7CA39" w14:textId="77777777" w:rsidR="00D9107F" w:rsidRDefault="00CC750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w:t>
            </w:r>
            <w:r w:rsidR="001A0E90" w:rsidRPr="005A4AD1">
              <w:rPr>
                <w:rFonts w:cstheme="minorHAnsi"/>
                <w:sz w:val="20"/>
              </w:rPr>
              <w:t xml:space="preserve"> knyttet til ansettelse og veiledning.</w:t>
            </w:r>
          </w:p>
          <w:p w14:paraId="63CE7C19" w14:textId="25F5B399" w:rsidR="00F84E22" w:rsidRPr="005A4AD1" w:rsidRDefault="00B31A4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Administrasjon av eventuell tilskuddsordning</w:t>
            </w:r>
            <w:r w:rsidR="00FD4BB8" w:rsidRPr="005A4AD1">
              <w:rPr>
                <w:rFonts w:cstheme="minorHAnsi"/>
                <w:sz w:val="20"/>
              </w:rPr>
              <w:t>.</w:t>
            </w:r>
          </w:p>
        </w:tc>
      </w:tr>
      <w:tr w:rsidR="00B12813" w:rsidRPr="004E01BF" w14:paraId="39254960"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31BE9E76" w14:textId="1F802F20" w:rsidR="00B12813" w:rsidRPr="005A4AD1" w:rsidRDefault="00747750" w:rsidP="007C52E8">
            <w:pPr>
              <w:pStyle w:val="TabellHode-rad"/>
            </w:pPr>
            <w:r w:rsidRPr="005A4AD1">
              <w:t>45</w:t>
            </w:r>
          </w:p>
        </w:tc>
        <w:tc>
          <w:tcPr>
            <w:tcW w:w="0" w:type="auto"/>
          </w:tcPr>
          <w:p w14:paraId="78D1F346" w14:textId="17B516E8" w:rsidR="00B12813" w:rsidRPr="005A4AD1" w:rsidRDefault="00B1281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Sykehus og kommuner bør i tillegg få mulighet til å lyse ut egne LIS1-stillinger innenfor egne budsjetter. Det kan vurderes å knytte statlig tilskudd også til disse stillingene, særlig for kommuner med lav legedekning.</w:t>
            </w:r>
          </w:p>
        </w:tc>
        <w:tc>
          <w:tcPr>
            <w:tcW w:w="0" w:type="auto"/>
          </w:tcPr>
          <w:p w14:paraId="0FF831CC" w14:textId="77777777" w:rsidR="00D9107F" w:rsidRDefault="00B1281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Egne LIS1-stillinger vil opprettes innenfor helseforetakenes og kommunens budsjett, uten statlig tilskudd.</w:t>
            </w:r>
          </w:p>
          <w:p w14:paraId="296EBF8A" w14:textId="193C7BFB" w:rsidR="00B12813" w:rsidRPr="005A4AD1" w:rsidRDefault="00B1281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Kostnader vil blant annet avhenge av om legen allerede arbeider uten LIS1 i tjenesten. </w:t>
            </w:r>
          </w:p>
        </w:tc>
        <w:tc>
          <w:tcPr>
            <w:tcW w:w="0" w:type="auto"/>
          </w:tcPr>
          <w:p w14:paraId="3C022C35" w14:textId="77777777" w:rsidR="00D9107F" w:rsidRDefault="00B1281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Endringer i spesialistforskriften.</w:t>
            </w:r>
          </w:p>
          <w:p w14:paraId="18B6D565" w14:textId="406CFA6A" w:rsidR="00B12813" w:rsidRPr="005A4AD1" w:rsidRDefault="00B1281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knyttet til ansettelse og veiledning.</w:t>
            </w:r>
          </w:p>
        </w:tc>
      </w:tr>
      <w:tr w:rsidR="002B7FE8" w:rsidRPr="004E01BF" w14:paraId="39FA9ADD"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3DD53706" w14:textId="3D3915B8" w:rsidR="002B7FE8" w:rsidRPr="005A4AD1" w:rsidRDefault="00FB3661" w:rsidP="007C52E8">
            <w:pPr>
              <w:pStyle w:val="TabellHode-rad"/>
            </w:pPr>
            <w:r w:rsidRPr="005A4AD1">
              <w:t>4</w:t>
            </w:r>
            <w:r w:rsidR="00736BB8" w:rsidRPr="005A4AD1">
              <w:t>6</w:t>
            </w:r>
            <w:r w:rsidR="00300779" w:rsidRPr="005A4AD1">
              <w:t>.</w:t>
            </w:r>
          </w:p>
        </w:tc>
        <w:tc>
          <w:tcPr>
            <w:tcW w:w="0" w:type="auto"/>
          </w:tcPr>
          <w:p w14:paraId="37ACAF41" w14:textId="08CD15CD" w:rsidR="002B7FE8" w:rsidRPr="005A4AD1" w:rsidRDefault="004C6A2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eastAsiaTheme="minorEastAsia" w:cstheme="minorHAnsi"/>
                <w:sz w:val="20"/>
              </w:rPr>
              <w:t>I dagens situasjon hvor mange leger i påvente av LIS1 har tilegnet seg betydelig arbeidserfaring</w:t>
            </w:r>
            <w:r w:rsidR="00A34A40" w:rsidRPr="005A4AD1">
              <w:rPr>
                <w:rFonts w:eastAsiaTheme="minorEastAsia" w:cstheme="minorHAnsi"/>
                <w:sz w:val="20"/>
              </w:rPr>
              <w:t>,</w:t>
            </w:r>
            <w:r w:rsidRPr="005A4AD1">
              <w:rPr>
                <w:rFonts w:eastAsiaTheme="minorEastAsia" w:cstheme="minorHAnsi"/>
                <w:sz w:val="20"/>
              </w:rPr>
              <w:t xml:space="preserve"> bør det åpnes opp for at arbeidsgiver ved ansettelse i egne opprettede LIS1-stillinger, kan gjøre en vurdering av om rekkefølgekravet skal opprettholdes eller ikke. </w:t>
            </w:r>
          </w:p>
        </w:tc>
        <w:tc>
          <w:tcPr>
            <w:tcW w:w="0" w:type="auto"/>
          </w:tcPr>
          <w:p w14:paraId="76CC34CA" w14:textId="0920B345" w:rsidR="002B7FE8" w:rsidRPr="005A4AD1" w:rsidRDefault="00B81A8E"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Se punkt 4</w:t>
            </w:r>
            <w:r w:rsidR="0094791E" w:rsidRPr="005A4AD1">
              <w:rPr>
                <w:rFonts w:cstheme="minorHAnsi"/>
                <w:sz w:val="20"/>
              </w:rPr>
              <w:t>2</w:t>
            </w:r>
            <w:r w:rsidRPr="005A4AD1">
              <w:rPr>
                <w:rFonts w:cstheme="minorHAnsi"/>
                <w:sz w:val="20"/>
              </w:rPr>
              <w:t xml:space="preserve"> og 4</w:t>
            </w:r>
            <w:r w:rsidR="0094791E" w:rsidRPr="005A4AD1">
              <w:rPr>
                <w:rFonts w:cstheme="minorHAnsi"/>
                <w:sz w:val="20"/>
              </w:rPr>
              <w:t>4</w:t>
            </w:r>
            <w:r w:rsidRPr="005A4AD1">
              <w:rPr>
                <w:rFonts w:cstheme="minorHAnsi"/>
                <w:sz w:val="20"/>
              </w:rPr>
              <w:t>.</w:t>
            </w:r>
          </w:p>
        </w:tc>
        <w:tc>
          <w:tcPr>
            <w:tcW w:w="0" w:type="auto"/>
          </w:tcPr>
          <w:p w14:paraId="204871AC" w14:textId="77777777" w:rsidR="00D9107F" w:rsidRDefault="00F10C80"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Eventuell endring i spesialistforskriften.</w:t>
            </w:r>
          </w:p>
          <w:p w14:paraId="131223F8" w14:textId="1E899C93" w:rsidR="00CC750A" w:rsidRPr="005A4AD1" w:rsidRDefault="00CC750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 vurdering av kompetanse.</w:t>
            </w:r>
          </w:p>
        </w:tc>
      </w:tr>
      <w:tr w:rsidR="00F84E22" w:rsidRPr="004E01BF" w14:paraId="6DC5ABC7"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60BF195E" w14:textId="5B6FD5E4" w:rsidR="001C2DBA" w:rsidRPr="005A4AD1" w:rsidRDefault="00FB3661" w:rsidP="007C52E8">
            <w:pPr>
              <w:pStyle w:val="TabellHode-rad"/>
            </w:pPr>
            <w:r w:rsidRPr="005A4AD1">
              <w:t>4</w:t>
            </w:r>
            <w:r w:rsidR="00736BB8" w:rsidRPr="005A4AD1">
              <w:t>7</w:t>
            </w:r>
            <w:r w:rsidR="00300779" w:rsidRPr="005A4AD1">
              <w:t>.</w:t>
            </w:r>
          </w:p>
        </w:tc>
        <w:tc>
          <w:tcPr>
            <w:tcW w:w="0" w:type="auto"/>
          </w:tcPr>
          <w:p w14:paraId="3D5B1667" w14:textId="50CE783C"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Søkere som trekker seg fra </w:t>
            </w:r>
            <w:r w:rsidR="00FA5660" w:rsidRPr="005A4AD1">
              <w:rPr>
                <w:rFonts w:cstheme="minorHAnsi"/>
                <w:sz w:val="20"/>
              </w:rPr>
              <w:t xml:space="preserve">kommunedelen av </w:t>
            </w:r>
            <w:r w:rsidRPr="005A4AD1">
              <w:rPr>
                <w:rFonts w:cstheme="minorHAnsi"/>
                <w:sz w:val="20"/>
              </w:rPr>
              <w:t xml:space="preserve">en koblet LIS1-stilling, bør </w:t>
            </w:r>
            <w:r w:rsidR="00FA5660" w:rsidRPr="005A4AD1">
              <w:rPr>
                <w:rFonts w:cstheme="minorHAnsi"/>
                <w:sz w:val="20"/>
              </w:rPr>
              <w:t>ikke kunne</w:t>
            </w:r>
            <w:r w:rsidRPr="005A4AD1">
              <w:rPr>
                <w:rFonts w:cstheme="minorHAnsi"/>
                <w:sz w:val="20"/>
              </w:rPr>
              <w:t xml:space="preserve"> ta en LIS1-stilling i en ny kommune før ved neste ordinære utlysning.</w:t>
            </w:r>
          </w:p>
        </w:tc>
        <w:tc>
          <w:tcPr>
            <w:tcW w:w="0" w:type="auto"/>
          </w:tcPr>
          <w:p w14:paraId="6A77381F" w14:textId="2A39FE3F" w:rsidR="00F84E22" w:rsidRPr="005A4AD1" w:rsidRDefault="00A74E0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Kan bidra til at kommuner får bedre legebemanning</w:t>
            </w:r>
            <w:r w:rsidR="00D2453E" w:rsidRPr="005A4AD1">
              <w:rPr>
                <w:rFonts w:cstheme="minorHAnsi"/>
                <w:sz w:val="20"/>
              </w:rPr>
              <w:t xml:space="preserve"> og forutsigbarhet</w:t>
            </w:r>
            <w:r w:rsidR="00F135E4" w:rsidRPr="005A4AD1">
              <w:rPr>
                <w:rFonts w:cstheme="minorHAnsi"/>
                <w:sz w:val="20"/>
              </w:rPr>
              <w:t xml:space="preserve">, og således gi </w:t>
            </w:r>
            <w:r w:rsidR="00B81A8E" w:rsidRPr="005A4AD1">
              <w:rPr>
                <w:rFonts w:cstheme="minorHAnsi"/>
                <w:sz w:val="20"/>
              </w:rPr>
              <w:t>reduserte kostnader</w:t>
            </w:r>
            <w:r w:rsidR="00F135E4" w:rsidRPr="005A4AD1">
              <w:rPr>
                <w:rFonts w:cstheme="minorHAnsi"/>
                <w:sz w:val="20"/>
              </w:rPr>
              <w:t xml:space="preserve"> knyttet til vikar</w:t>
            </w:r>
            <w:r w:rsidR="00B81A8E" w:rsidRPr="005A4AD1">
              <w:rPr>
                <w:rFonts w:cstheme="minorHAnsi"/>
                <w:sz w:val="20"/>
              </w:rPr>
              <w:t>bruk</w:t>
            </w:r>
            <w:r w:rsidR="00F135E4" w:rsidRPr="005A4AD1">
              <w:rPr>
                <w:rFonts w:cstheme="minorHAnsi"/>
                <w:sz w:val="20"/>
              </w:rPr>
              <w:t>.</w:t>
            </w:r>
          </w:p>
        </w:tc>
        <w:tc>
          <w:tcPr>
            <w:tcW w:w="0" w:type="auto"/>
          </w:tcPr>
          <w:p w14:paraId="7AB0DAC5" w14:textId="7C9DF1CB" w:rsidR="00F84E22" w:rsidRPr="005A4AD1" w:rsidRDefault="00A74E0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Endringer i </w:t>
            </w:r>
            <w:r w:rsidR="009F2F2D" w:rsidRPr="005A4AD1">
              <w:rPr>
                <w:rFonts w:cstheme="minorHAnsi"/>
                <w:sz w:val="20"/>
              </w:rPr>
              <w:t>s</w:t>
            </w:r>
            <w:r w:rsidRPr="005A4AD1">
              <w:rPr>
                <w:rFonts w:cstheme="minorHAnsi"/>
                <w:sz w:val="20"/>
              </w:rPr>
              <w:t>pesialistforskriften</w:t>
            </w:r>
            <w:r w:rsidR="00A22B86" w:rsidRPr="005A4AD1">
              <w:rPr>
                <w:rFonts w:cstheme="minorHAnsi"/>
                <w:sz w:val="20"/>
              </w:rPr>
              <w:t>.</w:t>
            </w:r>
          </w:p>
        </w:tc>
      </w:tr>
      <w:tr w:rsidR="00F84E22" w:rsidRPr="004E01BF" w14:paraId="6BDBB895"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4704FF08" w14:textId="3C40FE87" w:rsidR="001C2DBA" w:rsidRPr="005A4AD1" w:rsidRDefault="00FB3661" w:rsidP="007C52E8">
            <w:pPr>
              <w:pStyle w:val="TabellHode-rad"/>
            </w:pPr>
            <w:r w:rsidRPr="005A4AD1">
              <w:t>4</w:t>
            </w:r>
            <w:r w:rsidR="00736BB8" w:rsidRPr="005A4AD1">
              <w:t>8</w:t>
            </w:r>
            <w:r w:rsidR="00300779" w:rsidRPr="005A4AD1">
              <w:t>.</w:t>
            </w:r>
          </w:p>
        </w:tc>
        <w:tc>
          <w:tcPr>
            <w:tcW w:w="0" w:type="auto"/>
          </w:tcPr>
          <w:p w14:paraId="535BE701" w14:textId="2A91A458"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Sykehus og kommuner bør</w:t>
            </w:r>
            <w:r w:rsidRPr="005A4AD1">
              <w:rPr>
                <w:rFonts w:eastAsiaTheme="minorEastAsia" w:cstheme="minorHAnsi"/>
                <w:sz w:val="20"/>
              </w:rPr>
              <w:t xml:space="preserve"> </w:t>
            </w:r>
            <w:r w:rsidR="00FB3661" w:rsidRPr="005A4AD1">
              <w:rPr>
                <w:rFonts w:cstheme="minorHAnsi"/>
                <w:sz w:val="20"/>
              </w:rPr>
              <w:t>i fellesskap</w:t>
            </w:r>
            <w:r w:rsidR="00FB3661" w:rsidRPr="005A4AD1">
              <w:rPr>
                <w:rFonts w:eastAsiaTheme="minorEastAsia" w:cstheme="minorHAnsi"/>
                <w:sz w:val="20"/>
              </w:rPr>
              <w:t xml:space="preserve"> </w:t>
            </w:r>
            <w:r w:rsidRPr="005A4AD1">
              <w:rPr>
                <w:rFonts w:eastAsiaTheme="minorEastAsia" w:cstheme="minorHAnsi"/>
                <w:sz w:val="20"/>
              </w:rPr>
              <w:t>gis ansvar for å vurdere behovet for og opprettelsen av knyttede LIS1-stillinger til videre spesialiseringsløp i allmennmedisin.</w:t>
            </w:r>
          </w:p>
        </w:tc>
        <w:tc>
          <w:tcPr>
            <w:tcW w:w="0" w:type="auto"/>
          </w:tcPr>
          <w:p w14:paraId="511C00CA" w14:textId="77777777" w:rsidR="00D9107F" w:rsidRDefault="00EF5A87"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Kostnader knyttet til</w:t>
            </w:r>
            <w:r w:rsidR="00C573B9" w:rsidRPr="005A4AD1">
              <w:rPr>
                <w:rFonts w:cstheme="minorHAnsi"/>
                <w:sz w:val="20"/>
              </w:rPr>
              <w:t xml:space="preserve"> vurdering av opprettelse og ansettelse i knyttede stillinger.</w:t>
            </w:r>
          </w:p>
          <w:p w14:paraId="07B9F8FE" w14:textId="163D84CA" w:rsidR="00F84E22" w:rsidRPr="005A4AD1" w:rsidRDefault="00AC590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Økt rekruttering til allmennmedisin, kan gi reduserte kostnader til vikarbruk.</w:t>
            </w:r>
          </w:p>
        </w:tc>
        <w:tc>
          <w:tcPr>
            <w:tcW w:w="0" w:type="auto"/>
          </w:tcPr>
          <w:p w14:paraId="3BEDF886" w14:textId="77777777" w:rsidR="00D9107F" w:rsidRDefault="00134565"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Endringer i </w:t>
            </w:r>
            <w:r w:rsidR="009F2F2D" w:rsidRPr="005A4AD1">
              <w:rPr>
                <w:rFonts w:cstheme="minorHAnsi"/>
                <w:sz w:val="20"/>
              </w:rPr>
              <w:t>s</w:t>
            </w:r>
            <w:r w:rsidRPr="005A4AD1">
              <w:rPr>
                <w:rFonts w:cstheme="minorHAnsi"/>
                <w:sz w:val="20"/>
              </w:rPr>
              <w:t>pesialistforskriften</w:t>
            </w:r>
            <w:r w:rsidR="00A22B86" w:rsidRPr="005A4AD1">
              <w:rPr>
                <w:rFonts w:cstheme="minorHAnsi"/>
                <w:sz w:val="20"/>
              </w:rPr>
              <w:t>.</w:t>
            </w:r>
          </w:p>
          <w:p w14:paraId="0491E3C5" w14:textId="3A572332" w:rsidR="00F84E22" w:rsidRPr="005A4AD1" w:rsidRDefault="00066DC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w:t>
            </w:r>
            <w:r w:rsidR="00EF5A87" w:rsidRPr="005A4AD1">
              <w:rPr>
                <w:rFonts w:cstheme="minorHAnsi"/>
                <w:sz w:val="20"/>
              </w:rPr>
              <w:t xml:space="preserve"> for</w:t>
            </w:r>
            <w:r w:rsidR="009E64ED" w:rsidRPr="005A4AD1">
              <w:rPr>
                <w:rFonts w:cstheme="minorHAnsi"/>
                <w:sz w:val="20"/>
              </w:rPr>
              <w:t xml:space="preserve"> helseforetak og kommune til </w:t>
            </w:r>
            <w:r w:rsidR="00C33FAA" w:rsidRPr="005A4AD1">
              <w:rPr>
                <w:rFonts w:cstheme="minorHAnsi"/>
                <w:sz w:val="20"/>
              </w:rPr>
              <w:t>opprettelse og ansettelse i knyttede stillinger</w:t>
            </w:r>
            <w:r w:rsidR="00A22B86" w:rsidRPr="005A4AD1">
              <w:rPr>
                <w:rFonts w:cstheme="minorHAnsi"/>
                <w:sz w:val="20"/>
              </w:rPr>
              <w:t>.</w:t>
            </w:r>
          </w:p>
        </w:tc>
      </w:tr>
      <w:tr w:rsidR="00F84E22" w:rsidRPr="004E01BF" w14:paraId="15035CBF"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2F3ADB04" w14:textId="28880681" w:rsidR="001C2DBA" w:rsidRPr="005A4AD1" w:rsidRDefault="008463DC" w:rsidP="007C52E8">
            <w:pPr>
              <w:pStyle w:val="TabellHode-rad"/>
            </w:pPr>
            <w:r w:rsidRPr="005A4AD1">
              <w:t>4</w:t>
            </w:r>
            <w:r w:rsidR="00736BB8" w:rsidRPr="005A4AD1">
              <w:t>9</w:t>
            </w:r>
            <w:r w:rsidR="00300779" w:rsidRPr="005A4AD1">
              <w:t>.</w:t>
            </w:r>
          </w:p>
        </w:tc>
        <w:tc>
          <w:tcPr>
            <w:tcW w:w="0" w:type="auto"/>
          </w:tcPr>
          <w:p w14:paraId="674518EC" w14:textId="52ED2178" w:rsidR="00F84E22" w:rsidRPr="005A4AD1" w:rsidRDefault="00446019"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Kravene</w:t>
            </w:r>
            <w:r w:rsidR="00F84E22" w:rsidRPr="005A4AD1">
              <w:rPr>
                <w:rFonts w:cstheme="minorHAnsi"/>
                <w:sz w:val="20"/>
              </w:rPr>
              <w:t xml:space="preserve"> knyttet til at veileder må være spesialist i allmennmedisin </w:t>
            </w:r>
            <w:r w:rsidR="00F84E22" w:rsidRPr="005A4AD1">
              <w:rPr>
                <w:rFonts w:cstheme="minorHAnsi"/>
                <w:sz w:val="20"/>
              </w:rPr>
              <w:lastRenderedPageBreak/>
              <w:t>og til gjennomføring av institusjonstjeneste</w:t>
            </w:r>
            <w:r w:rsidRPr="005A4AD1">
              <w:rPr>
                <w:rFonts w:cstheme="minorHAnsi"/>
                <w:sz w:val="20"/>
              </w:rPr>
              <w:t>, bør mykes opp.</w:t>
            </w:r>
          </w:p>
        </w:tc>
        <w:tc>
          <w:tcPr>
            <w:tcW w:w="0" w:type="auto"/>
          </w:tcPr>
          <w:p w14:paraId="210CFA76" w14:textId="77777777" w:rsidR="00D9107F" w:rsidRDefault="0051169A"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Trolig uendrede kostnader til veileder</w:t>
            </w:r>
            <w:r w:rsidR="009A3AF0" w:rsidRPr="005A4AD1">
              <w:rPr>
                <w:rFonts w:cstheme="minorHAnsi"/>
                <w:sz w:val="20"/>
              </w:rPr>
              <w:t>.</w:t>
            </w:r>
          </w:p>
          <w:p w14:paraId="60DA0C0B" w14:textId="336411D5" w:rsidR="00F84E22" w:rsidRPr="005A4AD1" w:rsidRDefault="0033715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Kan gi innsparing knyttet til redusert behov for vikar i kommunen ved gjennomføring av institusjonstjeneste</w:t>
            </w:r>
            <w:r w:rsidR="009A3AF0" w:rsidRPr="005A4AD1">
              <w:rPr>
                <w:rFonts w:cstheme="minorHAnsi"/>
                <w:sz w:val="20"/>
              </w:rPr>
              <w:t>.</w:t>
            </w:r>
          </w:p>
        </w:tc>
        <w:tc>
          <w:tcPr>
            <w:tcW w:w="0" w:type="auto"/>
          </w:tcPr>
          <w:p w14:paraId="280CFAEF" w14:textId="67682385" w:rsidR="00F84E22" w:rsidRPr="005A4AD1" w:rsidRDefault="00A10DBB"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lastRenderedPageBreak/>
              <w:t xml:space="preserve">Endring i </w:t>
            </w:r>
            <w:r w:rsidR="009F2F2D" w:rsidRPr="005A4AD1">
              <w:rPr>
                <w:rFonts w:cstheme="minorHAnsi"/>
                <w:sz w:val="20"/>
              </w:rPr>
              <w:t>s</w:t>
            </w:r>
            <w:r w:rsidRPr="005A4AD1">
              <w:rPr>
                <w:rFonts w:cstheme="minorHAnsi"/>
                <w:sz w:val="20"/>
              </w:rPr>
              <w:t>pesialistforskriften</w:t>
            </w:r>
            <w:r w:rsidR="009A3AF0" w:rsidRPr="005A4AD1">
              <w:rPr>
                <w:rFonts w:cstheme="minorHAnsi"/>
                <w:sz w:val="20"/>
              </w:rPr>
              <w:t>.</w:t>
            </w:r>
          </w:p>
        </w:tc>
      </w:tr>
      <w:tr w:rsidR="00F84E22" w:rsidRPr="004E01BF" w14:paraId="01EF184D"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2ECABACA" w14:textId="696DE561" w:rsidR="001C2DBA" w:rsidRPr="005A4AD1" w:rsidRDefault="00736BB8" w:rsidP="007C52E8">
            <w:pPr>
              <w:pStyle w:val="TabellHode-rad"/>
            </w:pPr>
            <w:r w:rsidRPr="005A4AD1">
              <w:t>50</w:t>
            </w:r>
            <w:r w:rsidR="00300779" w:rsidRPr="005A4AD1">
              <w:t>.</w:t>
            </w:r>
          </w:p>
        </w:tc>
        <w:tc>
          <w:tcPr>
            <w:tcW w:w="0" w:type="auto"/>
          </w:tcPr>
          <w:p w14:paraId="3D09CE86" w14:textId="09B1FD0F" w:rsidR="00F84E22" w:rsidRPr="005A4AD1" w:rsidRDefault="00FA279D"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Kravet</w:t>
            </w:r>
            <w:r w:rsidR="00F84E22" w:rsidRPr="005A4AD1">
              <w:rPr>
                <w:rFonts w:cstheme="minorHAnsi"/>
                <w:sz w:val="20"/>
              </w:rPr>
              <w:t xml:space="preserve"> til stillingsprosent ved gjennomføring av to års åpen uselektert allmennpraksis </w:t>
            </w:r>
            <w:r w:rsidRPr="005A4AD1">
              <w:rPr>
                <w:rFonts w:cstheme="minorHAnsi"/>
                <w:sz w:val="20"/>
              </w:rPr>
              <w:t xml:space="preserve">bør fjernes. </w:t>
            </w:r>
          </w:p>
        </w:tc>
        <w:tc>
          <w:tcPr>
            <w:tcW w:w="0" w:type="auto"/>
          </w:tcPr>
          <w:p w14:paraId="3C44BAEE" w14:textId="1DBAC38B" w:rsidR="00F84E22" w:rsidRPr="00D9107F" w:rsidRDefault="003839F5" w:rsidP="007C52E8">
            <w:pPr>
              <w:cnfStyle w:val="000000000000" w:firstRow="0" w:lastRow="0" w:firstColumn="0" w:lastColumn="0" w:oddVBand="0" w:evenVBand="0" w:oddHBand="0" w:evenHBand="0" w:firstRowFirstColumn="0" w:firstRowLastColumn="0" w:lastRowFirstColumn="0" w:lastRowLastColumn="0"/>
              <w:rPr>
                <w:rStyle w:val="halvfet"/>
              </w:rPr>
            </w:pPr>
            <w:r w:rsidRPr="005A4AD1">
              <w:rPr>
                <w:rFonts w:cstheme="minorHAnsi"/>
                <w:sz w:val="20"/>
              </w:rPr>
              <w:t>Ved at flere ALIS i en lavere stillingsprosent kan fullføre spesialistutdanningen i kommunen, kan dette g</w:t>
            </w:r>
            <w:r w:rsidR="00AC4721" w:rsidRPr="005A4AD1">
              <w:rPr>
                <w:rFonts w:cstheme="minorHAnsi"/>
                <w:sz w:val="20"/>
              </w:rPr>
              <w:t>i innsparing knyttet til vikar</w:t>
            </w:r>
            <w:r w:rsidRPr="005A4AD1">
              <w:rPr>
                <w:rFonts w:cstheme="minorHAnsi"/>
                <w:sz w:val="20"/>
              </w:rPr>
              <w:t>bruk.</w:t>
            </w:r>
          </w:p>
        </w:tc>
        <w:tc>
          <w:tcPr>
            <w:tcW w:w="0" w:type="auto"/>
          </w:tcPr>
          <w:p w14:paraId="33C4048B" w14:textId="5F9DA997" w:rsidR="00F84E22" w:rsidRPr="005A4AD1" w:rsidRDefault="0033715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Endringer i spesialistforskriften</w:t>
            </w:r>
            <w:r w:rsidR="009A3AF0" w:rsidRPr="005A4AD1">
              <w:rPr>
                <w:rFonts w:cstheme="minorHAnsi"/>
                <w:sz w:val="20"/>
              </w:rPr>
              <w:t>.</w:t>
            </w:r>
          </w:p>
        </w:tc>
      </w:tr>
      <w:tr w:rsidR="00F84E22" w:rsidRPr="004E01BF" w14:paraId="7C61ADD5"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7AE77260" w14:textId="4A5C05EF" w:rsidR="001C2DBA" w:rsidRPr="005A4AD1" w:rsidRDefault="008463DC" w:rsidP="007C52E8">
            <w:pPr>
              <w:pStyle w:val="TabellHode-rad"/>
            </w:pPr>
            <w:r w:rsidRPr="005A4AD1">
              <w:t>5</w:t>
            </w:r>
            <w:r w:rsidR="00736BB8" w:rsidRPr="005A4AD1">
              <w:t>1</w:t>
            </w:r>
            <w:r w:rsidR="00300779" w:rsidRPr="005A4AD1">
              <w:t>.</w:t>
            </w:r>
          </w:p>
        </w:tc>
        <w:tc>
          <w:tcPr>
            <w:tcW w:w="0" w:type="auto"/>
          </w:tcPr>
          <w:p w14:paraId="4C83E03E" w14:textId="0D6AC76E" w:rsidR="00F84E22" w:rsidRPr="005A4AD1" w:rsidRDefault="008463DC"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bør opprettes</w:t>
            </w:r>
            <w:r w:rsidR="00F84E22" w:rsidRPr="005A4AD1">
              <w:rPr>
                <w:rFonts w:cstheme="minorHAnsi"/>
                <w:sz w:val="20"/>
              </w:rPr>
              <w:t xml:space="preserve"> utdanningsstillinger der ALIS er ansatt og jobber på andre legers liste</w:t>
            </w:r>
            <w:r w:rsidRPr="005A4AD1">
              <w:rPr>
                <w:rFonts w:cstheme="minorHAnsi"/>
                <w:sz w:val="20"/>
              </w:rPr>
              <w:t>.</w:t>
            </w:r>
          </w:p>
        </w:tc>
        <w:tc>
          <w:tcPr>
            <w:tcW w:w="0" w:type="auto"/>
          </w:tcPr>
          <w:p w14:paraId="7A3E930C" w14:textId="51F34CDC" w:rsidR="00F84E22" w:rsidRPr="005A4AD1" w:rsidRDefault="004446B5"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Kostnadene for staten </w:t>
            </w:r>
            <w:r w:rsidR="009F39F4" w:rsidRPr="005A4AD1">
              <w:rPr>
                <w:rFonts w:cstheme="minorHAnsi"/>
                <w:sz w:val="20"/>
              </w:rPr>
              <w:t>vil avhenge av den samlede aktiviteten for fastlegene og ALIS, og vil variere med om ALIS genererer aktivitet i tillegg til eller i stedet for fastlegene.</w:t>
            </w:r>
          </w:p>
        </w:tc>
        <w:tc>
          <w:tcPr>
            <w:tcW w:w="0" w:type="auto"/>
          </w:tcPr>
          <w:p w14:paraId="4D9C331D" w14:textId="3400DCC9" w:rsidR="00F84E22" w:rsidRPr="005A4AD1" w:rsidRDefault="00705AF1"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Vurdere e</w:t>
            </w:r>
            <w:r w:rsidR="00B662D3" w:rsidRPr="005A4AD1">
              <w:rPr>
                <w:rFonts w:cstheme="minorHAnsi"/>
                <w:sz w:val="20"/>
              </w:rPr>
              <w:t xml:space="preserve">ndringer i </w:t>
            </w:r>
            <w:r w:rsidRPr="005A4AD1">
              <w:rPr>
                <w:rFonts w:cstheme="minorHAnsi"/>
                <w:sz w:val="20"/>
              </w:rPr>
              <w:t>spesialistforskriften, fastlegeforskriften</w:t>
            </w:r>
            <w:r w:rsidR="001518CF" w:rsidRPr="005A4AD1">
              <w:rPr>
                <w:rFonts w:cstheme="minorHAnsi"/>
                <w:sz w:val="20"/>
              </w:rPr>
              <w:t>, forskrift om trygderefusjon for leger m.v.</w:t>
            </w:r>
            <w:r w:rsidRPr="005A4AD1">
              <w:rPr>
                <w:rFonts w:cstheme="minorHAnsi"/>
                <w:sz w:val="20"/>
              </w:rPr>
              <w:t xml:space="preserve"> og</w:t>
            </w:r>
            <w:r w:rsidR="001518CF" w:rsidRPr="005A4AD1">
              <w:rPr>
                <w:rFonts w:cstheme="minorHAnsi"/>
                <w:sz w:val="20"/>
              </w:rPr>
              <w:t xml:space="preserve"> stønadsforskriften.</w:t>
            </w:r>
          </w:p>
        </w:tc>
      </w:tr>
      <w:tr w:rsidR="00F84E22" w:rsidRPr="004E01BF" w14:paraId="1448EF59"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58094D72" w14:textId="45091783" w:rsidR="001C2DBA" w:rsidRPr="005A4AD1" w:rsidRDefault="00666D77" w:rsidP="007C52E8">
            <w:pPr>
              <w:pStyle w:val="TabellHode-rad"/>
            </w:pPr>
            <w:r w:rsidRPr="005A4AD1">
              <w:t>5</w:t>
            </w:r>
            <w:r w:rsidR="00736BB8" w:rsidRPr="005A4AD1">
              <w:t>2</w:t>
            </w:r>
            <w:r w:rsidR="00300779" w:rsidRPr="005A4AD1">
              <w:t>.</w:t>
            </w:r>
          </w:p>
        </w:tc>
        <w:tc>
          <w:tcPr>
            <w:tcW w:w="0" w:type="auto"/>
          </w:tcPr>
          <w:p w14:paraId="3158B8A8" w14:textId="07B06797"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Veiledning av medisinstudenter, LIS1 og ALIS </w:t>
            </w:r>
            <w:r w:rsidR="00666D77" w:rsidRPr="005A4AD1">
              <w:rPr>
                <w:rFonts w:cstheme="minorHAnsi"/>
                <w:sz w:val="20"/>
              </w:rPr>
              <w:t xml:space="preserve">bør </w:t>
            </w:r>
            <w:r w:rsidRPr="005A4AD1">
              <w:rPr>
                <w:rFonts w:cstheme="minorHAnsi"/>
                <w:sz w:val="20"/>
              </w:rPr>
              <w:t>sidestilles med fastlegens deltakelse i andre allmennlegeoppgaver</w:t>
            </w:r>
            <w:r w:rsidR="00666D77" w:rsidRPr="005A4AD1">
              <w:rPr>
                <w:rFonts w:cstheme="minorHAnsi"/>
                <w:sz w:val="20"/>
              </w:rPr>
              <w:t>.</w:t>
            </w:r>
          </w:p>
        </w:tc>
        <w:tc>
          <w:tcPr>
            <w:tcW w:w="0" w:type="auto"/>
          </w:tcPr>
          <w:p w14:paraId="33B0CE2A" w14:textId="6B2B57BF" w:rsidR="00F84E22" w:rsidRPr="005A4AD1" w:rsidRDefault="001639A3"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Det er usikkert om tiltake</w:t>
            </w:r>
            <w:r w:rsidR="00285FDF" w:rsidRPr="005A4AD1">
              <w:rPr>
                <w:rFonts w:cstheme="minorHAnsi"/>
                <w:sz w:val="20"/>
              </w:rPr>
              <w:t>t</w:t>
            </w:r>
            <w:r w:rsidRPr="005A4AD1">
              <w:rPr>
                <w:rFonts w:cstheme="minorHAnsi"/>
                <w:sz w:val="20"/>
              </w:rPr>
              <w:t xml:space="preserve"> vil øke den totale veiledningsmengden</w:t>
            </w:r>
            <w:r w:rsidR="00196E39" w:rsidRPr="005A4AD1">
              <w:rPr>
                <w:rFonts w:cstheme="minorHAnsi"/>
                <w:sz w:val="20"/>
              </w:rPr>
              <w:t>.</w:t>
            </w:r>
            <w:r w:rsidR="00C22339" w:rsidRPr="005A4AD1">
              <w:rPr>
                <w:rFonts w:cstheme="minorHAnsi"/>
                <w:sz w:val="20"/>
              </w:rPr>
              <w:t xml:space="preserve"> </w:t>
            </w:r>
            <w:r w:rsidR="00196E39" w:rsidRPr="005A4AD1">
              <w:rPr>
                <w:rFonts w:cstheme="minorHAnsi"/>
                <w:sz w:val="20"/>
              </w:rPr>
              <w:t>Eventuelle k</w:t>
            </w:r>
            <w:r w:rsidR="00285FDF" w:rsidRPr="005A4AD1">
              <w:rPr>
                <w:rFonts w:cstheme="minorHAnsi"/>
                <w:sz w:val="20"/>
              </w:rPr>
              <w:t>ostnader vil påløpe for kommunen hvis leger må frigjøres fra andre allmennmedisinske oppgaver</w:t>
            </w:r>
            <w:r w:rsidR="00735FF5" w:rsidRPr="005A4AD1">
              <w:rPr>
                <w:rFonts w:cstheme="minorHAnsi"/>
                <w:sz w:val="20"/>
              </w:rPr>
              <w:t>.</w:t>
            </w:r>
          </w:p>
        </w:tc>
        <w:tc>
          <w:tcPr>
            <w:tcW w:w="0" w:type="auto"/>
          </w:tcPr>
          <w:p w14:paraId="20E1DF87" w14:textId="7FC3C3FA" w:rsidR="00F84E22" w:rsidRPr="005A4AD1" w:rsidRDefault="00E3323C"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Endring i fastlegeforskriften</w:t>
            </w:r>
            <w:r w:rsidR="006F4238" w:rsidRPr="005A4AD1">
              <w:rPr>
                <w:rFonts w:cstheme="minorHAnsi"/>
                <w:sz w:val="20"/>
              </w:rPr>
              <w:t>.</w:t>
            </w:r>
            <w:r w:rsidR="008B0DCA" w:rsidRPr="005A4AD1">
              <w:rPr>
                <w:rFonts w:cstheme="minorHAnsi"/>
                <w:sz w:val="20"/>
              </w:rPr>
              <w:br/>
            </w:r>
          </w:p>
        </w:tc>
      </w:tr>
      <w:tr w:rsidR="00F84E22" w:rsidRPr="004E01BF" w14:paraId="08F98496"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40C5D4B9" w14:textId="5B330CAB" w:rsidR="001C2DBA" w:rsidRPr="005A4AD1" w:rsidRDefault="00F51B47" w:rsidP="007C52E8">
            <w:pPr>
              <w:pStyle w:val="TabellHode-rad"/>
            </w:pPr>
            <w:r w:rsidRPr="005A4AD1">
              <w:t>5</w:t>
            </w:r>
            <w:r w:rsidR="00736BB8" w:rsidRPr="005A4AD1">
              <w:t>3</w:t>
            </w:r>
            <w:r w:rsidR="00300779" w:rsidRPr="005A4AD1">
              <w:t>.</w:t>
            </w:r>
          </w:p>
        </w:tc>
        <w:tc>
          <w:tcPr>
            <w:tcW w:w="0" w:type="auto"/>
          </w:tcPr>
          <w:p w14:paraId="31D18118" w14:textId="102D7CF6" w:rsidR="00F84E22" w:rsidRPr="005A4AD1" w:rsidRDefault="00F51B47"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kan legges til rette for økonomisk kompensasjon for faglig oppdatering. </w:t>
            </w:r>
            <w:r w:rsidR="00F84E22" w:rsidRPr="005A4AD1">
              <w:rPr>
                <w:rFonts w:cstheme="minorHAnsi"/>
                <w:sz w:val="20"/>
              </w:rPr>
              <w:t>Dagens krav om sentral godkjenning av detaljerte etterutdanningsaktiviteter for å kunne opprettholde spesialisttakst kan vurderes avviklet.</w:t>
            </w:r>
          </w:p>
        </w:tc>
        <w:tc>
          <w:tcPr>
            <w:tcW w:w="0" w:type="auto"/>
          </w:tcPr>
          <w:p w14:paraId="09DB92D2" w14:textId="77777777" w:rsidR="00D9107F" w:rsidRDefault="00196E39"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Reduserte kostnader som følge av tidsbesparelse hos lege og saksbehandler.</w:t>
            </w:r>
          </w:p>
          <w:p w14:paraId="4D5240DF" w14:textId="09F151CB" w:rsidR="00F84E22" w:rsidRPr="005A4AD1" w:rsidRDefault="00196E39"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Kostnaden vil avhenge av innretningen på </w:t>
            </w:r>
            <w:r w:rsidR="00202E9D" w:rsidRPr="005A4AD1">
              <w:rPr>
                <w:rFonts w:cstheme="minorHAnsi"/>
                <w:sz w:val="20"/>
              </w:rPr>
              <w:t xml:space="preserve">kompensasjonen. </w:t>
            </w:r>
          </w:p>
        </w:tc>
        <w:tc>
          <w:tcPr>
            <w:tcW w:w="0" w:type="auto"/>
          </w:tcPr>
          <w:p w14:paraId="4D772101" w14:textId="77777777" w:rsidR="00D9107F" w:rsidRDefault="006962F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Endringer i </w:t>
            </w:r>
            <w:r w:rsidR="000424FE" w:rsidRPr="005A4AD1">
              <w:rPr>
                <w:rFonts w:cstheme="minorHAnsi"/>
                <w:sz w:val="20"/>
              </w:rPr>
              <w:t>stønadsforskriften</w:t>
            </w:r>
            <w:r w:rsidR="005F7760" w:rsidRPr="005A4AD1">
              <w:rPr>
                <w:rFonts w:cstheme="minorHAnsi"/>
                <w:sz w:val="20"/>
              </w:rPr>
              <w:t>.</w:t>
            </w:r>
          </w:p>
          <w:p w14:paraId="58BE1FC9" w14:textId="77777777" w:rsidR="00D9107F" w:rsidRDefault="002E7DFF"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Tidsbesparelse for legen ved oppsamling av poeng og innsending av søknad</w:t>
            </w:r>
            <w:r w:rsidR="005F7760" w:rsidRPr="005A4AD1">
              <w:rPr>
                <w:rFonts w:cstheme="minorHAnsi"/>
                <w:sz w:val="20"/>
              </w:rPr>
              <w:t>.</w:t>
            </w:r>
          </w:p>
          <w:p w14:paraId="678F8BF8" w14:textId="04FF7F2A" w:rsidR="00F84E22" w:rsidRPr="005A4AD1" w:rsidRDefault="00421ADD" w:rsidP="007C52E8">
            <w:pPr>
              <w:cnfStyle w:val="000000000000" w:firstRow="0" w:lastRow="0" w:firstColumn="0" w:lastColumn="0" w:oddVBand="0" w:evenVBand="0" w:oddHBand="0" w:evenHBand="0" w:firstRowFirstColumn="0" w:firstRowLastColumn="0" w:lastRowFirstColumn="0" w:lastRowLastColumn="0"/>
              <w:rPr>
                <w:rFonts w:cstheme="minorHAnsi"/>
                <w:sz w:val="20"/>
                <w:vertAlign w:val="superscript"/>
              </w:rPr>
            </w:pPr>
            <w:r w:rsidRPr="005A4AD1">
              <w:rPr>
                <w:rFonts w:cstheme="minorHAnsi"/>
                <w:sz w:val="20"/>
              </w:rPr>
              <w:t xml:space="preserve">Redusert </w:t>
            </w:r>
            <w:r w:rsidR="00196E39" w:rsidRPr="005A4AD1">
              <w:rPr>
                <w:rFonts w:cstheme="minorHAnsi"/>
                <w:sz w:val="20"/>
              </w:rPr>
              <w:t>arbeid</w:t>
            </w:r>
            <w:r w:rsidR="00F975A1" w:rsidRPr="005A4AD1">
              <w:rPr>
                <w:rFonts w:cstheme="minorHAnsi"/>
                <w:sz w:val="20"/>
              </w:rPr>
              <w:t xml:space="preserve"> til saksbehandling i Helsedirektoratet</w:t>
            </w:r>
            <w:r w:rsidR="005F7760" w:rsidRPr="005A4AD1">
              <w:rPr>
                <w:rFonts w:cstheme="minorHAnsi"/>
                <w:sz w:val="20"/>
              </w:rPr>
              <w:t>.</w:t>
            </w:r>
          </w:p>
        </w:tc>
      </w:tr>
      <w:tr w:rsidR="00F84E22" w:rsidRPr="004E01BF" w14:paraId="79CD8D2D" w14:textId="77777777" w:rsidTr="00C13BBD">
        <w:tc>
          <w:tcPr>
            <w:cnfStyle w:val="001000000000" w:firstRow="0" w:lastRow="0" w:firstColumn="1" w:lastColumn="0" w:oddVBand="0" w:evenVBand="0" w:oddHBand="0" w:evenHBand="0" w:firstRowFirstColumn="0" w:firstRowLastColumn="0" w:lastRowFirstColumn="0" w:lastRowLastColumn="0"/>
            <w:tcW w:w="0" w:type="auto"/>
          </w:tcPr>
          <w:p w14:paraId="20CADFFB" w14:textId="6C31DA20" w:rsidR="001C2DBA" w:rsidRPr="005A4AD1" w:rsidRDefault="00F51B47" w:rsidP="007C52E8">
            <w:pPr>
              <w:pStyle w:val="TabellHode-rad"/>
            </w:pPr>
            <w:r w:rsidRPr="005A4AD1">
              <w:t>5</w:t>
            </w:r>
            <w:r w:rsidR="00736BB8" w:rsidRPr="005A4AD1">
              <w:t>4</w:t>
            </w:r>
            <w:r w:rsidR="00300779" w:rsidRPr="005A4AD1">
              <w:t>.</w:t>
            </w:r>
          </w:p>
        </w:tc>
        <w:tc>
          <w:tcPr>
            <w:tcW w:w="0" w:type="auto"/>
          </w:tcPr>
          <w:p w14:paraId="51044142" w14:textId="6D3DF966" w:rsidR="00F84E22" w:rsidRPr="005A4AD1" w:rsidRDefault="00F84E22"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 xml:space="preserve">Det bør legges til rette for at </w:t>
            </w:r>
            <w:r w:rsidR="00300779" w:rsidRPr="005A4AD1">
              <w:rPr>
                <w:rFonts w:cstheme="minorHAnsi"/>
                <w:sz w:val="20"/>
              </w:rPr>
              <w:t>kommunene</w:t>
            </w:r>
            <w:r w:rsidRPr="005A4AD1">
              <w:rPr>
                <w:rFonts w:cstheme="minorHAnsi"/>
                <w:sz w:val="20"/>
              </w:rPr>
              <w:t xml:space="preserve"> kan ivareta sitt ansvar som utdanningsvirksomhet</w:t>
            </w:r>
            <w:r w:rsidR="00300779" w:rsidRPr="005A4AD1">
              <w:rPr>
                <w:rFonts w:cstheme="minorHAnsi"/>
                <w:sz w:val="20"/>
              </w:rPr>
              <w:t>,</w:t>
            </w:r>
            <w:r w:rsidRPr="005A4AD1">
              <w:rPr>
                <w:rFonts w:cstheme="minorHAnsi"/>
                <w:sz w:val="20"/>
              </w:rPr>
              <w:t xml:space="preserve"> på tvers av kommunegrenser</w:t>
            </w:r>
            <w:r w:rsidR="00300779" w:rsidRPr="005A4AD1">
              <w:rPr>
                <w:rFonts w:cstheme="minorHAnsi"/>
                <w:sz w:val="20"/>
              </w:rPr>
              <w:t>.</w:t>
            </w:r>
          </w:p>
        </w:tc>
        <w:tc>
          <w:tcPr>
            <w:tcW w:w="0" w:type="auto"/>
          </w:tcPr>
          <w:p w14:paraId="2B486395" w14:textId="5799709D" w:rsidR="00F84E22" w:rsidRPr="005A4AD1" w:rsidRDefault="0011363B"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Reduserte bemanningskostnader for kommunen for å ivareta sitt ansvar som utdanningsvirksomhet.</w:t>
            </w:r>
          </w:p>
        </w:tc>
        <w:tc>
          <w:tcPr>
            <w:tcW w:w="0" w:type="auto"/>
          </w:tcPr>
          <w:p w14:paraId="13212678" w14:textId="565494A5" w:rsidR="00F84E22" w:rsidRPr="005A4AD1" w:rsidRDefault="00202E9D" w:rsidP="007C52E8">
            <w:pPr>
              <w:cnfStyle w:val="000000000000" w:firstRow="0" w:lastRow="0" w:firstColumn="0" w:lastColumn="0" w:oddVBand="0" w:evenVBand="0" w:oddHBand="0" w:evenHBand="0" w:firstRowFirstColumn="0" w:firstRowLastColumn="0" w:lastRowFirstColumn="0" w:lastRowLastColumn="0"/>
              <w:rPr>
                <w:rFonts w:cstheme="minorHAnsi"/>
                <w:sz w:val="20"/>
              </w:rPr>
            </w:pPr>
            <w:r w:rsidRPr="005A4AD1">
              <w:rPr>
                <w:rFonts w:cstheme="minorHAnsi"/>
                <w:sz w:val="20"/>
              </w:rPr>
              <w:t>Arbeid med</w:t>
            </w:r>
            <w:r w:rsidR="00D34B6C" w:rsidRPr="005A4AD1">
              <w:rPr>
                <w:rFonts w:cstheme="minorHAnsi"/>
                <w:sz w:val="20"/>
              </w:rPr>
              <w:t xml:space="preserve"> i</w:t>
            </w:r>
            <w:r w:rsidR="00A866E0" w:rsidRPr="005A4AD1">
              <w:rPr>
                <w:rFonts w:cstheme="minorHAnsi"/>
                <w:sz w:val="20"/>
              </w:rPr>
              <w:t>nformasjon og</w:t>
            </w:r>
            <w:r w:rsidR="00D34B6C" w:rsidRPr="005A4AD1">
              <w:rPr>
                <w:rFonts w:cstheme="minorHAnsi"/>
                <w:sz w:val="20"/>
              </w:rPr>
              <w:t xml:space="preserve"> veiledning fra ALIS kontor, </w:t>
            </w:r>
            <w:r w:rsidR="00974F4D" w:rsidRPr="005A4AD1">
              <w:rPr>
                <w:rFonts w:cstheme="minorHAnsi"/>
                <w:sz w:val="20"/>
              </w:rPr>
              <w:t>og samarbeid mellom kommuner.</w:t>
            </w:r>
          </w:p>
        </w:tc>
      </w:tr>
    </w:tbl>
    <w:p w14:paraId="65B15A9E" w14:textId="41E6BF8E" w:rsidR="00182E7D" w:rsidRDefault="00182E7D" w:rsidP="00775632">
      <w:pPr>
        <w:pStyle w:val="Overskrift2"/>
      </w:pPr>
      <w:bookmarkStart w:id="6182" w:name="_Toc130932269"/>
      <w:bookmarkStart w:id="6183" w:name="_Toc130934560"/>
      <w:bookmarkStart w:id="6184" w:name="_Toc130983733"/>
      <w:bookmarkStart w:id="6185" w:name="_Toc130984082"/>
      <w:bookmarkStart w:id="6186" w:name="_Toc131062314"/>
      <w:bookmarkStart w:id="6187" w:name="_Toc131062568"/>
      <w:bookmarkStart w:id="6188" w:name="_Toc131062829"/>
      <w:bookmarkStart w:id="6189" w:name="_Toc131063082"/>
      <w:bookmarkStart w:id="6190" w:name="_Toc131063865"/>
      <w:bookmarkStart w:id="6191" w:name="_Toc131064276"/>
      <w:bookmarkStart w:id="6192" w:name="_Toc131238608"/>
      <w:bookmarkStart w:id="6193" w:name="_Toc131279699"/>
      <w:bookmarkStart w:id="6194" w:name="_Toc131287111"/>
      <w:bookmarkStart w:id="6195" w:name="_Toc131281521"/>
      <w:bookmarkStart w:id="6196" w:name="_Toc131281531"/>
      <w:bookmarkStart w:id="6197" w:name="_Toc131318061"/>
      <w:bookmarkStart w:id="6198" w:name="_Toc132537127"/>
      <w:r>
        <w:lastRenderedPageBreak/>
        <w:t>Digitali</w:t>
      </w:r>
      <w:r w:rsidR="00F07559">
        <w:t>s</w:t>
      </w:r>
      <w:r>
        <w:t>ering, innovasjon, forskning og ledelse</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tbl>
      <w:tblPr>
        <w:tblStyle w:val="0Ekspertutvalgettabellstil1"/>
        <w:tblW w:w="0" w:type="auto"/>
        <w:tblLook w:val="04A0" w:firstRow="1" w:lastRow="0" w:firstColumn="1" w:lastColumn="0" w:noHBand="0" w:noVBand="1"/>
      </w:tblPr>
      <w:tblGrid>
        <w:gridCol w:w="470"/>
        <w:gridCol w:w="3494"/>
        <w:gridCol w:w="3119"/>
        <w:gridCol w:w="2653"/>
      </w:tblGrid>
      <w:tr w:rsidR="00182E7D" w:rsidRPr="004E01BF" w14:paraId="2DF06589" w14:textId="77777777" w:rsidTr="004C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9D6B9"/>
          </w:tcPr>
          <w:p w14:paraId="2606948D" w14:textId="2E7939CE" w:rsidR="0028528F" w:rsidRPr="00D9107F" w:rsidRDefault="0028528F" w:rsidP="007C52E8">
            <w:pPr>
              <w:pStyle w:val="TabellHode-kolonne"/>
              <w:rPr>
                <w:rStyle w:val="halvfet"/>
              </w:rPr>
            </w:pPr>
            <w:r w:rsidRPr="00D9107F">
              <w:rPr>
                <w:rStyle w:val="halvfet"/>
              </w:rPr>
              <w:t>#</w:t>
            </w:r>
          </w:p>
        </w:tc>
        <w:tc>
          <w:tcPr>
            <w:tcW w:w="3494" w:type="dxa"/>
            <w:shd w:val="clear" w:color="auto" w:fill="A9D6B9"/>
          </w:tcPr>
          <w:p w14:paraId="5FEE582E" w14:textId="7E8DB751" w:rsidR="00182E7D" w:rsidRPr="00D9107F" w:rsidRDefault="00300779" w:rsidP="007C52E8">
            <w:pPr>
              <w:pStyle w:val="TabellHode-kolonne"/>
              <w:cnfStyle w:val="100000000000" w:firstRow="1" w:lastRow="0" w:firstColumn="0" w:lastColumn="0" w:oddVBand="0" w:evenVBand="0" w:oddHBand="0" w:evenHBand="0" w:firstRowFirstColumn="0" w:firstRowLastColumn="0" w:lastRowFirstColumn="0" w:lastRowLastColumn="0"/>
              <w:rPr>
                <w:rStyle w:val="halvfet"/>
              </w:rPr>
            </w:pPr>
            <w:r w:rsidRPr="00D9107F">
              <w:rPr>
                <w:rStyle w:val="halvfet"/>
              </w:rPr>
              <w:t>Ekspertutvalgets anbefalinger</w:t>
            </w:r>
          </w:p>
        </w:tc>
        <w:tc>
          <w:tcPr>
            <w:tcW w:w="3119" w:type="dxa"/>
            <w:shd w:val="clear" w:color="auto" w:fill="A9D6B9"/>
          </w:tcPr>
          <w:p w14:paraId="55B9D56B" w14:textId="77777777" w:rsidR="00182E7D" w:rsidRPr="005A4AD1" w:rsidRDefault="00182E7D" w:rsidP="007C52E8">
            <w:pPr>
              <w:pStyle w:val="TabellHode-kolonne"/>
              <w:cnfStyle w:val="100000000000" w:firstRow="1" w:lastRow="0" w:firstColumn="0" w:lastColumn="0" w:oddVBand="0" w:evenVBand="0" w:oddHBand="0" w:evenHBand="0" w:firstRowFirstColumn="0" w:firstRowLastColumn="0" w:lastRowFirstColumn="0" w:lastRowLastColumn="0"/>
              <w:rPr>
                <w:sz w:val="20"/>
              </w:rPr>
            </w:pPr>
            <w:r w:rsidRPr="00D9107F">
              <w:rPr>
                <w:rStyle w:val="halvfet"/>
              </w:rPr>
              <w:t>Økonomiske konsekvenser</w:t>
            </w:r>
          </w:p>
        </w:tc>
        <w:tc>
          <w:tcPr>
            <w:tcW w:w="2653" w:type="dxa"/>
            <w:shd w:val="clear" w:color="auto" w:fill="A9D6B9"/>
          </w:tcPr>
          <w:p w14:paraId="553D5B9C" w14:textId="77777777" w:rsidR="00182E7D" w:rsidRPr="005A4AD1" w:rsidRDefault="00182E7D" w:rsidP="007C52E8">
            <w:pPr>
              <w:pStyle w:val="TabellHode-kolonne"/>
              <w:cnfStyle w:val="100000000000" w:firstRow="1" w:lastRow="0" w:firstColumn="0" w:lastColumn="0" w:oddVBand="0" w:evenVBand="0" w:oddHBand="0" w:evenHBand="0" w:firstRowFirstColumn="0" w:firstRowLastColumn="0" w:lastRowFirstColumn="0" w:lastRowLastColumn="0"/>
              <w:rPr>
                <w:sz w:val="20"/>
              </w:rPr>
            </w:pPr>
            <w:r w:rsidRPr="00D9107F">
              <w:rPr>
                <w:rStyle w:val="halvfet"/>
              </w:rPr>
              <w:t>Administrative konsekvenser</w:t>
            </w:r>
          </w:p>
        </w:tc>
      </w:tr>
      <w:tr w:rsidR="00182E7D" w:rsidRPr="004E01BF" w14:paraId="37F18B86"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3B7036DC" w14:textId="783829A9" w:rsidR="0028528F" w:rsidRPr="005A4AD1" w:rsidRDefault="00300779" w:rsidP="007C52E8">
            <w:pPr>
              <w:pStyle w:val="TabellHode-rad"/>
            </w:pPr>
            <w:r w:rsidRPr="005A4AD1">
              <w:t>5</w:t>
            </w:r>
            <w:r w:rsidR="00736BB8" w:rsidRPr="005A4AD1">
              <w:t>5</w:t>
            </w:r>
            <w:r w:rsidRPr="005A4AD1">
              <w:t>.</w:t>
            </w:r>
          </w:p>
        </w:tc>
        <w:tc>
          <w:tcPr>
            <w:tcW w:w="3494" w:type="dxa"/>
          </w:tcPr>
          <w:p w14:paraId="7A7407E4" w14:textId="77777777" w:rsidR="00182E7D" w:rsidRPr="005A4AD1" w:rsidRDefault="00182E7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Staten bør ha en førende og tydelig rolle i digitalisering av helsetjenester, i kompaniskap med KS/kommunene og private leverandører.</w:t>
            </w:r>
          </w:p>
        </w:tc>
        <w:tc>
          <w:tcPr>
            <w:tcW w:w="3119" w:type="dxa"/>
          </w:tcPr>
          <w:p w14:paraId="505FAED6" w14:textId="299881A0" w:rsidR="00182E7D" w:rsidRPr="005A4AD1" w:rsidRDefault="00E54C06"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Kostnader vil avhenge </w:t>
            </w:r>
            <w:r w:rsidR="00106921" w:rsidRPr="005A4AD1">
              <w:rPr>
                <w:sz w:val="20"/>
              </w:rPr>
              <w:t>av innretning.</w:t>
            </w:r>
          </w:p>
        </w:tc>
        <w:tc>
          <w:tcPr>
            <w:tcW w:w="2653" w:type="dxa"/>
          </w:tcPr>
          <w:p w14:paraId="01C32F13" w14:textId="51852742" w:rsidR="00182E7D" w:rsidRPr="005A4AD1" w:rsidRDefault="00D3733E"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Arbeid me</w:t>
            </w:r>
            <w:r w:rsidR="00E54C06" w:rsidRPr="005A4AD1">
              <w:rPr>
                <w:sz w:val="20"/>
              </w:rPr>
              <w:t xml:space="preserve">d </w:t>
            </w:r>
            <w:r w:rsidR="00517369" w:rsidRPr="005A4AD1">
              <w:rPr>
                <w:sz w:val="20"/>
              </w:rPr>
              <w:t>føringer</w:t>
            </w:r>
            <w:r w:rsidRPr="005A4AD1">
              <w:rPr>
                <w:sz w:val="20"/>
              </w:rPr>
              <w:t xml:space="preserve">, standarder og rammeverk. </w:t>
            </w:r>
          </w:p>
        </w:tc>
      </w:tr>
      <w:tr w:rsidR="00182E7D" w:rsidRPr="004E01BF" w14:paraId="59D96B04"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15B3B2F2" w14:textId="1999B916" w:rsidR="0028528F" w:rsidRPr="005A4AD1" w:rsidRDefault="00300779" w:rsidP="007C52E8">
            <w:pPr>
              <w:pStyle w:val="TabellHode-rad"/>
            </w:pPr>
            <w:r w:rsidRPr="005A4AD1">
              <w:t>5</w:t>
            </w:r>
            <w:r w:rsidR="00736BB8" w:rsidRPr="005A4AD1">
              <w:t>6</w:t>
            </w:r>
            <w:r w:rsidRPr="005A4AD1">
              <w:t>.</w:t>
            </w:r>
          </w:p>
        </w:tc>
        <w:tc>
          <w:tcPr>
            <w:tcW w:w="3494" w:type="dxa"/>
          </w:tcPr>
          <w:p w14:paraId="4882602F" w14:textId="1B0AE8ED" w:rsidR="00182E7D" w:rsidRPr="005A4AD1" w:rsidRDefault="00062878"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For at fastlegene lettere skal kunne prioritere sin kapasitet i tråd med pasientenes medisinske behov, anbefales innføring av et digitalt triageringsverktøy for alle fastlegekontor.</w:t>
            </w:r>
          </w:p>
        </w:tc>
        <w:tc>
          <w:tcPr>
            <w:tcW w:w="3119" w:type="dxa"/>
          </w:tcPr>
          <w:p w14:paraId="06221454" w14:textId="77777777" w:rsidR="00D9107F" w:rsidRDefault="009C2EF2"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Kostnader for staten til spesifisering</w:t>
            </w:r>
            <w:r w:rsidR="0011768A" w:rsidRPr="005A4AD1">
              <w:rPr>
                <w:sz w:val="20"/>
              </w:rPr>
              <w:t xml:space="preserve">, </w:t>
            </w:r>
            <w:r w:rsidRPr="005A4AD1">
              <w:rPr>
                <w:sz w:val="20"/>
              </w:rPr>
              <w:t>utvikling</w:t>
            </w:r>
            <w:r w:rsidR="00235F72" w:rsidRPr="005A4AD1">
              <w:rPr>
                <w:sz w:val="20"/>
              </w:rPr>
              <w:t xml:space="preserve"> og implementering</w:t>
            </w:r>
            <w:r w:rsidRPr="005A4AD1">
              <w:rPr>
                <w:sz w:val="20"/>
              </w:rPr>
              <w:t xml:space="preserve">, samt drift </w:t>
            </w:r>
            <w:r w:rsidR="00CA5A4D" w:rsidRPr="005A4AD1">
              <w:rPr>
                <w:sz w:val="20"/>
              </w:rPr>
              <w:t xml:space="preserve">og </w:t>
            </w:r>
            <w:r w:rsidRPr="005A4AD1">
              <w:rPr>
                <w:sz w:val="20"/>
              </w:rPr>
              <w:t>vedlikeholdskostnader.</w:t>
            </w:r>
          </w:p>
          <w:p w14:paraId="10AEA9DA" w14:textId="10D63E56" w:rsidR="00182E7D" w:rsidRPr="005A4AD1" w:rsidRDefault="00307B85"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M</w:t>
            </w:r>
            <w:r w:rsidR="009C2EF2" w:rsidRPr="005A4AD1">
              <w:rPr>
                <w:sz w:val="20"/>
              </w:rPr>
              <w:t>ulig besparelse i form av reduserte h</w:t>
            </w:r>
            <w:r w:rsidR="00D16D5F" w:rsidRPr="005A4AD1">
              <w:rPr>
                <w:sz w:val="20"/>
              </w:rPr>
              <w:t>e</w:t>
            </w:r>
            <w:r w:rsidR="009C2EF2" w:rsidRPr="005A4AD1">
              <w:rPr>
                <w:sz w:val="20"/>
              </w:rPr>
              <w:t>nvendelser til fastlegene.</w:t>
            </w:r>
          </w:p>
        </w:tc>
        <w:tc>
          <w:tcPr>
            <w:tcW w:w="2653" w:type="dxa"/>
          </w:tcPr>
          <w:p w14:paraId="1C4A9D97" w14:textId="77777777" w:rsidR="00D9107F" w:rsidRDefault="00D16D5F"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Arbeid med</w:t>
            </w:r>
            <w:r w:rsidR="004F0046" w:rsidRPr="005A4AD1">
              <w:rPr>
                <w:sz w:val="20"/>
              </w:rPr>
              <w:t xml:space="preserve"> utvikling, drift og vedlike</w:t>
            </w:r>
            <w:r w:rsidRPr="005A4AD1">
              <w:rPr>
                <w:sz w:val="20"/>
              </w:rPr>
              <w:t>hold av verktøyet.</w:t>
            </w:r>
          </w:p>
          <w:p w14:paraId="17B6C612" w14:textId="64729F00" w:rsidR="00182E7D" w:rsidRPr="005A4AD1" w:rsidRDefault="009A2AE6"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Omstilling for fastlegekontorene.</w:t>
            </w:r>
          </w:p>
        </w:tc>
      </w:tr>
      <w:tr w:rsidR="00182E7D" w:rsidRPr="004E01BF" w14:paraId="40F1C83F"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63E51878" w14:textId="725C9FBB" w:rsidR="0028528F" w:rsidRPr="005A4AD1" w:rsidRDefault="00300779" w:rsidP="007C52E8">
            <w:pPr>
              <w:pStyle w:val="TabellHode-rad"/>
            </w:pPr>
            <w:r w:rsidRPr="005A4AD1">
              <w:t>5</w:t>
            </w:r>
            <w:r w:rsidR="00736BB8" w:rsidRPr="005A4AD1">
              <w:t>7</w:t>
            </w:r>
            <w:r w:rsidRPr="005A4AD1">
              <w:t>.</w:t>
            </w:r>
          </w:p>
        </w:tc>
        <w:tc>
          <w:tcPr>
            <w:tcW w:w="3494" w:type="dxa"/>
          </w:tcPr>
          <w:p w14:paraId="285D8F97" w14:textId="77777777" w:rsidR="00D9107F" w:rsidRDefault="00182E7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Det bør utvikles en statlig nettside, inspirert av den som eksisterer i Nederland</w:t>
            </w:r>
            <w:r w:rsidR="0026774D" w:rsidRPr="005A4AD1">
              <w:rPr>
                <w:sz w:val="20"/>
              </w:rPr>
              <w:t>,</w:t>
            </w:r>
            <w:r w:rsidRPr="005A4AD1">
              <w:rPr>
                <w:sz w:val="20"/>
              </w:rPr>
              <w:t xml:space="preserve"> som kan gi helseråd til befolkningen.</w:t>
            </w:r>
          </w:p>
          <w:p w14:paraId="04EB676D" w14:textId="758C747B" w:rsidR="00182E7D" w:rsidRPr="005A4AD1" w:rsidRDefault="00182E7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Det kan vurderes om et slikt lavterskeltilbud bør bygges ut med en døgnåpen allmennmedisinsk </w:t>
            </w:r>
            <w:r w:rsidR="0026774D" w:rsidRPr="005A4AD1">
              <w:rPr>
                <w:sz w:val="20"/>
              </w:rPr>
              <w:t>tjeneste med chat,</w:t>
            </w:r>
            <w:r w:rsidRPr="005A4AD1">
              <w:rPr>
                <w:sz w:val="20"/>
              </w:rPr>
              <w:t xml:space="preserve"> telefon- eller </w:t>
            </w:r>
            <w:r w:rsidR="0026774D" w:rsidRPr="005A4AD1">
              <w:rPr>
                <w:sz w:val="20"/>
              </w:rPr>
              <w:t>videokonsultasjonstjeneste</w:t>
            </w:r>
            <w:r w:rsidRPr="005A4AD1">
              <w:rPr>
                <w:sz w:val="20"/>
              </w:rPr>
              <w:t>.</w:t>
            </w:r>
          </w:p>
        </w:tc>
        <w:tc>
          <w:tcPr>
            <w:tcW w:w="3119" w:type="dxa"/>
          </w:tcPr>
          <w:p w14:paraId="01C4277C" w14:textId="77777777" w:rsidR="00D9107F" w:rsidRDefault="00943575"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Kostnader </w:t>
            </w:r>
            <w:r w:rsidR="008574F4" w:rsidRPr="005A4AD1">
              <w:rPr>
                <w:sz w:val="20"/>
              </w:rPr>
              <w:t xml:space="preserve">for staten til </w:t>
            </w:r>
            <w:r w:rsidRPr="005A4AD1">
              <w:rPr>
                <w:sz w:val="20"/>
              </w:rPr>
              <w:t>spesifisering</w:t>
            </w:r>
            <w:r w:rsidR="00B21A6F" w:rsidRPr="005A4AD1">
              <w:rPr>
                <w:sz w:val="20"/>
              </w:rPr>
              <w:t xml:space="preserve"> og</w:t>
            </w:r>
            <w:r w:rsidR="00182E7D" w:rsidRPr="005A4AD1">
              <w:rPr>
                <w:sz w:val="20"/>
              </w:rPr>
              <w:t xml:space="preserve"> utvikling</w:t>
            </w:r>
            <w:r w:rsidR="008574F4" w:rsidRPr="005A4AD1">
              <w:rPr>
                <w:sz w:val="20"/>
              </w:rPr>
              <w:t>,</w:t>
            </w:r>
            <w:r w:rsidR="00182E7D" w:rsidRPr="005A4AD1">
              <w:rPr>
                <w:sz w:val="20"/>
              </w:rPr>
              <w:t xml:space="preserve"> </w:t>
            </w:r>
            <w:r w:rsidRPr="005A4AD1">
              <w:rPr>
                <w:sz w:val="20"/>
              </w:rPr>
              <w:t xml:space="preserve">samt </w:t>
            </w:r>
            <w:r w:rsidR="008574F4" w:rsidRPr="005A4AD1">
              <w:rPr>
                <w:sz w:val="20"/>
              </w:rPr>
              <w:t>drift</w:t>
            </w:r>
            <w:r w:rsidR="00182E7D" w:rsidRPr="005A4AD1">
              <w:rPr>
                <w:sz w:val="20"/>
              </w:rPr>
              <w:t xml:space="preserve"> og vedlikeholdskostnader.</w:t>
            </w:r>
          </w:p>
          <w:p w14:paraId="68829BC3" w14:textId="77777777" w:rsidR="00D9107F" w:rsidRDefault="00CA5A4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Eventuelle kostnader til bemanning</w:t>
            </w:r>
            <w:r w:rsidR="0035733B" w:rsidRPr="005A4AD1">
              <w:rPr>
                <w:sz w:val="20"/>
              </w:rPr>
              <w:t xml:space="preserve"> av chat, telefon- eller videokonsultasjonstjeneste.</w:t>
            </w:r>
          </w:p>
          <w:p w14:paraId="55EB7472" w14:textId="5D2B7DB6" w:rsidR="00182E7D" w:rsidRPr="005A4AD1" w:rsidRDefault="00943575"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Mulig besparelse</w:t>
            </w:r>
            <w:r w:rsidR="00182E7D" w:rsidRPr="005A4AD1">
              <w:rPr>
                <w:sz w:val="20"/>
              </w:rPr>
              <w:t xml:space="preserve"> i form av </w:t>
            </w:r>
            <w:r w:rsidRPr="005A4AD1">
              <w:rPr>
                <w:sz w:val="20"/>
              </w:rPr>
              <w:t>redusert</w:t>
            </w:r>
            <w:r w:rsidR="00920B84" w:rsidRPr="005A4AD1">
              <w:rPr>
                <w:sz w:val="20"/>
              </w:rPr>
              <w:t>e h</w:t>
            </w:r>
            <w:r w:rsidR="00D16D5F" w:rsidRPr="005A4AD1">
              <w:rPr>
                <w:sz w:val="20"/>
              </w:rPr>
              <w:t>e</w:t>
            </w:r>
            <w:r w:rsidR="00920B84" w:rsidRPr="005A4AD1">
              <w:rPr>
                <w:sz w:val="20"/>
              </w:rPr>
              <w:t xml:space="preserve">nvendelser til </w:t>
            </w:r>
            <w:r w:rsidR="00182E7D" w:rsidRPr="005A4AD1">
              <w:rPr>
                <w:sz w:val="20"/>
              </w:rPr>
              <w:t>fastlegene.</w:t>
            </w:r>
          </w:p>
        </w:tc>
        <w:tc>
          <w:tcPr>
            <w:tcW w:w="2653" w:type="dxa"/>
          </w:tcPr>
          <w:p w14:paraId="44DF2DED" w14:textId="2FCF911F" w:rsidR="00182E7D" w:rsidRPr="005A4AD1" w:rsidRDefault="00CA3851"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Arbeid med utvikling, drift og vedlikehold av </w:t>
            </w:r>
            <w:r w:rsidR="0035733B" w:rsidRPr="005A4AD1">
              <w:rPr>
                <w:sz w:val="20"/>
              </w:rPr>
              <w:t>tjenesten</w:t>
            </w:r>
            <w:r w:rsidRPr="005A4AD1">
              <w:rPr>
                <w:sz w:val="20"/>
              </w:rPr>
              <w:t xml:space="preserve">. </w:t>
            </w:r>
          </w:p>
        </w:tc>
      </w:tr>
      <w:tr w:rsidR="00182E7D" w:rsidRPr="004E01BF" w14:paraId="37678EF3"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653EE76E" w14:textId="5C15FF9A" w:rsidR="0028528F" w:rsidRPr="005A4AD1" w:rsidRDefault="00300779" w:rsidP="007C52E8">
            <w:pPr>
              <w:pStyle w:val="TabellHode-rad"/>
            </w:pPr>
            <w:r w:rsidRPr="005A4AD1">
              <w:t>5</w:t>
            </w:r>
            <w:r w:rsidR="00736BB8" w:rsidRPr="005A4AD1">
              <w:t>8</w:t>
            </w:r>
            <w:r w:rsidRPr="005A4AD1">
              <w:t>.</w:t>
            </w:r>
          </w:p>
        </w:tc>
        <w:tc>
          <w:tcPr>
            <w:tcW w:w="3494" w:type="dxa"/>
          </w:tcPr>
          <w:p w14:paraId="169BE8FD" w14:textId="310958BA" w:rsidR="00182E7D" w:rsidRPr="005A4AD1" w:rsidRDefault="00182E7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Datagrunnlaget for allmennlegetjenesten bør forbedres, både for å styrke planlegging og beredskap, og for raskere å kunne vurdere situasjoner knyttet til mangler ved fastlegeordningen og iverksette treffende tiltak.</w:t>
            </w:r>
            <w:r w:rsidR="0026774D" w:rsidRPr="005A4AD1">
              <w:rPr>
                <w:sz w:val="20"/>
              </w:rPr>
              <w:t xml:space="preserve"> </w:t>
            </w:r>
          </w:p>
        </w:tc>
        <w:tc>
          <w:tcPr>
            <w:tcW w:w="3119" w:type="dxa"/>
          </w:tcPr>
          <w:p w14:paraId="7645EC0D" w14:textId="154B0A6C" w:rsidR="00182E7D" w:rsidRPr="005A4AD1" w:rsidRDefault="006E3F08"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Kostnader for staten til </w:t>
            </w:r>
            <w:r w:rsidR="00B25BBE" w:rsidRPr="005A4AD1">
              <w:rPr>
                <w:sz w:val="20"/>
              </w:rPr>
              <w:t>utvikling, drift</w:t>
            </w:r>
            <w:r w:rsidR="00411BCF" w:rsidRPr="005A4AD1">
              <w:rPr>
                <w:sz w:val="20"/>
              </w:rPr>
              <w:t xml:space="preserve"> og </w:t>
            </w:r>
            <w:r w:rsidR="005A3562" w:rsidRPr="005A4AD1">
              <w:rPr>
                <w:sz w:val="20"/>
              </w:rPr>
              <w:t xml:space="preserve">vedlikehold av </w:t>
            </w:r>
            <w:r w:rsidR="001E7686" w:rsidRPr="005A4AD1">
              <w:rPr>
                <w:sz w:val="20"/>
              </w:rPr>
              <w:t>aktuelle registre.</w:t>
            </w:r>
          </w:p>
        </w:tc>
        <w:tc>
          <w:tcPr>
            <w:tcW w:w="2653" w:type="dxa"/>
          </w:tcPr>
          <w:p w14:paraId="737DAD20" w14:textId="6216DA2C" w:rsidR="00182E7D" w:rsidRPr="005A4AD1" w:rsidRDefault="004B76C9"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Det vil kreves j</w:t>
            </w:r>
            <w:r w:rsidR="00182E7D" w:rsidRPr="005A4AD1">
              <w:rPr>
                <w:sz w:val="20"/>
              </w:rPr>
              <w:t xml:space="preserve">uridisk arbeid </w:t>
            </w:r>
            <w:r w:rsidRPr="005A4AD1">
              <w:rPr>
                <w:sz w:val="20"/>
              </w:rPr>
              <w:t xml:space="preserve">knyttet til datainnsamling, sammenstilling og deling. </w:t>
            </w:r>
          </w:p>
        </w:tc>
      </w:tr>
      <w:tr w:rsidR="00182E7D" w:rsidRPr="004E01BF" w14:paraId="6799D43B" w14:textId="77777777" w:rsidTr="004C169B">
        <w:tc>
          <w:tcPr>
            <w:cnfStyle w:val="001000000000" w:firstRow="0" w:lastRow="0" w:firstColumn="1" w:lastColumn="0" w:oddVBand="0" w:evenVBand="0" w:oddHBand="0" w:evenHBand="0" w:firstRowFirstColumn="0" w:firstRowLastColumn="0" w:lastRowFirstColumn="0" w:lastRowLastColumn="0"/>
            <w:tcW w:w="0" w:type="auto"/>
          </w:tcPr>
          <w:p w14:paraId="6BDB260E" w14:textId="1AA8C145" w:rsidR="0028528F" w:rsidRPr="005A4AD1" w:rsidRDefault="00300779" w:rsidP="007C52E8">
            <w:pPr>
              <w:pStyle w:val="TabellHode-rad"/>
            </w:pPr>
            <w:r w:rsidRPr="005A4AD1">
              <w:t>5</w:t>
            </w:r>
            <w:r w:rsidR="00736BB8" w:rsidRPr="005A4AD1">
              <w:t>9</w:t>
            </w:r>
            <w:r w:rsidRPr="005A4AD1">
              <w:t>.</w:t>
            </w:r>
          </w:p>
        </w:tc>
        <w:tc>
          <w:tcPr>
            <w:tcW w:w="3494" w:type="dxa"/>
          </w:tcPr>
          <w:p w14:paraId="1AE3D087" w14:textId="6216ECE5" w:rsidR="00182E7D" w:rsidRPr="005A4AD1" w:rsidRDefault="00182E7D"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 xml:space="preserve">Staten bør </w:t>
            </w:r>
            <w:r w:rsidR="0026774D" w:rsidRPr="005A4AD1">
              <w:rPr>
                <w:sz w:val="20"/>
              </w:rPr>
              <w:t>bidra</w:t>
            </w:r>
            <w:r w:rsidRPr="005A4AD1">
              <w:rPr>
                <w:sz w:val="20"/>
              </w:rPr>
              <w:t xml:space="preserve"> med stabile, tilstrekkelige og uavhengige finansieringskilder for </w:t>
            </w:r>
            <w:r w:rsidR="0026774D" w:rsidRPr="005A4AD1">
              <w:rPr>
                <w:sz w:val="20"/>
              </w:rPr>
              <w:t>forskning</w:t>
            </w:r>
            <w:r w:rsidRPr="005A4AD1">
              <w:rPr>
                <w:sz w:val="20"/>
              </w:rPr>
              <w:t xml:space="preserve"> på </w:t>
            </w:r>
            <w:r w:rsidR="0026774D" w:rsidRPr="005A4AD1">
              <w:rPr>
                <w:sz w:val="20"/>
              </w:rPr>
              <w:t>allmennlegetjenestene og i allmennmedisin</w:t>
            </w:r>
            <w:r w:rsidRPr="005A4AD1">
              <w:rPr>
                <w:sz w:val="20"/>
              </w:rPr>
              <w:t>.</w:t>
            </w:r>
          </w:p>
        </w:tc>
        <w:tc>
          <w:tcPr>
            <w:tcW w:w="3119" w:type="dxa"/>
          </w:tcPr>
          <w:p w14:paraId="30C39320" w14:textId="7B974103" w:rsidR="00182E7D" w:rsidRPr="005A4AD1" w:rsidRDefault="00F643C4"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Kost</w:t>
            </w:r>
            <w:r w:rsidR="0049212F" w:rsidRPr="005A4AD1">
              <w:rPr>
                <w:sz w:val="20"/>
              </w:rPr>
              <w:t>n</w:t>
            </w:r>
            <w:r w:rsidRPr="005A4AD1">
              <w:rPr>
                <w:sz w:val="20"/>
              </w:rPr>
              <w:t>ader for staten til finansiering av forskning.</w:t>
            </w:r>
          </w:p>
        </w:tc>
        <w:tc>
          <w:tcPr>
            <w:tcW w:w="2653" w:type="dxa"/>
          </w:tcPr>
          <w:p w14:paraId="59F0026C" w14:textId="22A7AC16" w:rsidR="00182E7D" w:rsidRPr="005A4AD1" w:rsidRDefault="0049212F" w:rsidP="007C52E8">
            <w:pPr>
              <w:cnfStyle w:val="000000000000" w:firstRow="0" w:lastRow="0" w:firstColumn="0" w:lastColumn="0" w:oddVBand="0" w:evenVBand="0" w:oddHBand="0" w:evenHBand="0" w:firstRowFirstColumn="0" w:firstRowLastColumn="0" w:lastRowFirstColumn="0" w:lastRowLastColumn="0"/>
              <w:rPr>
                <w:sz w:val="20"/>
              </w:rPr>
            </w:pPr>
            <w:r w:rsidRPr="005A4AD1">
              <w:rPr>
                <w:sz w:val="20"/>
              </w:rPr>
              <w:t>Administrasjon og forvaltning av finansieringsordninger.</w:t>
            </w:r>
          </w:p>
        </w:tc>
      </w:tr>
    </w:tbl>
    <w:p w14:paraId="2F0424CA" w14:textId="72A6925A" w:rsidR="00D9107F" w:rsidRDefault="00373A9D" w:rsidP="00775632">
      <w:pPr>
        <w:pStyle w:val="Overskrift1"/>
      </w:pPr>
      <w:bookmarkStart w:id="6199" w:name="_Toc119610010"/>
      <w:bookmarkStart w:id="6200" w:name="_Toc119610131"/>
      <w:bookmarkStart w:id="6201" w:name="_Toc119610198"/>
      <w:bookmarkStart w:id="6202" w:name="_Toc119610013"/>
      <w:bookmarkStart w:id="6203" w:name="_Toc119610201"/>
      <w:bookmarkStart w:id="6204" w:name="_Toc119517983"/>
      <w:bookmarkStart w:id="6205" w:name="_Toc119518053"/>
      <w:bookmarkStart w:id="6206" w:name="_Toc119518269"/>
      <w:bookmarkStart w:id="6207" w:name="_Toc119519505"/>
      <w:bookmarkStart w:id="6208" w:name="_Toc119517914"/>
      <w:bookmarkStart w:id="6209" w:name="_Toc119517984"/>
      <w:bookmarkStart w:id="6210" w:name="_Toc119518054"/>
      <w:bookmarkStart w:id="6211" w:name="_Toc119518270"/>
      <w:bookmarkStart w:id="6212" w:name="_Toc119519506"/>
      <w:bookmarkStart w:id="6213" w:name="_Toc119517915"/>
      <w:bookmarkStart w:id="6214" w:name="_Toc119517985"/>
      <w:bookmarkStart w:id="6215" w:name="_Toc119518055"/>
      <w:bookmarkStart w:id="6216" w:name="_Toc119518271"/>
      <w:bookmarkStart w:id="6217" w:name="_Toc119519507"/>
      <w:bookmarkStart w:id="6218" w:name="_Toc119517916"/>
      <w:bookmarkStart w:id="6219" w:name="_Toc119517986"/>
      <w:bookmarkStart w:id="6220" w:name="_Toc119518056"/>
      <w:bookmarkStart w:id="6221" w:name="_Toc119518272"/>
      <w:bookmarkStart w:id="6222" w:name="_Toc119519508"/>
      <w:bookmarkStart w:id="6223" w:name="_Toc119517917"/>
      <w:bookmarkStart w:id="6224" w:name="_Toc119517987"/>
      <w:bookmarkStart w:id="6225" w:name="_Toc119518057"/>
      <w:bookmarkStart w:id="6226" w:name="_Toc119518273"/>
      <w:bookmarkStart w:id="6227" w:name="_Toc119519509"/>
      <w:bookmarkStart w:id="6228" w:name="_Toc119517918"/>
      <w:bookmarkStart w:id="6229" w:name="_Toc119517988"/>
      <w:bookmarkStart w:id="6230" w:name="_Toc119518058"/>
      <w:bookmarkStart w:id="6231" w:name="_Toc119518274"/>
      <w:bookmarkStart w:id="6232" w:name="_Toc119519510"/>
      <w:bookmarkStart w:id="6233" w:name="_Toc119517919"/>
      <w:bookmarkStart w:id="6234" w:name="_Toc119517989"/>
      <w:bookmarkStart w:id="6235" w:name="_Toc119518059"/>
      <w:bookmarkStart w:id="6236" w:name="_Toc119518275"/>
      <w:bookmarkStart w:id="6237" w:name="_Toc119519511"/>
      <w:bookmarkStart w:id="6238" w:name="_Toc131062317"/>
      <w:bookmarkStart w:id="6239" w:name="_Toc131062571"/>
      <w:bookmarkStart w:id="6240" w:name="_Toc131062832"/>
      <w:bookmarkStart w:id="6241" w:name="_Toc131063085"/>
      <w:bookmarkStart w:id="6242" w:name="_Toc131063868"/>
      <w:bookmarkStart w:id="6243" w:name="_Toc131064279"/>
      <w:bookmarkStart w:id="6244" w:name="_Toc131238609"/>
      <w:bookmarkStart w:id="6245" w:name="_Toc131279700"/>
      <w:bookmarkStart w:id="6246" w:name="_Toc131287112"/>
      <w:bookmarkStart w:id="6247" w:name="_Toc131281522"/>
      <w:bookmarkStart w:id="6248" w:name="_Toc131281532"/>
      <w:bookmarkStart w:id="6249" w:name="_Toc131318062"/>
      <w:bookmarkStart w:id="6250" w:name="_Toc13253712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r w:rsidRPr="00B327A0">
        <w:lastRenderedPageBreak/>
        <w:t>V</w:t>
      </w:r>
      <w:r w:rsidR="002B4FA5">
        <w:t>edlegg</w:t>
      </w:r>
      <w:r w:rsidRPr="00B327A0">
        <w:t xml:space="preserve"> </w:t>
      </w:r>
      <w:bookmarkEnd w:id="6238"/>
      <w:bookmarkEnd w:id="6239"/>
      <w:bookmarkEnd w:id="6240"/>
      <w:bookmarkEnd w:id="6241"/>
      <w:bookmarkEnd w:id="6242"/>
      <w:bookmarkEnd w:id="6243"/>
      <w:bookmarkEnd w:id="6244"/>
      <w:bookmarkEnd w:id="6245"/>
      <w:bookmarkEnd w:id="6246"/>
      <w:bookmarkEnd w:id="6247"/>
      <w:bookmarkEnd w:id="6248"/>
      <w:bookmarkEnd w:id="6249"/>
      <w:r w:rsidR="00626879" w:rsidRPr="00D17145">
        <w:t xml:space="preserve">A: </w:t>
      </w:r>
      <w:r w:rsidR="00496F02" w:rsidRPr="00D17145">
        <w:t>Ekspertutvalgets m</w:t>
      </w:r>
      <w:r w:rsidR="004A54BA" w:rsidRPr="00D17145">
        <w:t>andat</w:t>
      </w:r>
      <w:bookmarkEnd w:id="6250"/>
    </w:p>
    <w:p w14:paraId="6BA54B63" w14:textId="53DE2ED6" w:rsidR="009A1A3F" w:rsidRDefault="009A1A3F" w:rsidP="009B5A18">
      <w:pPr>
        <w:jc w:val="both"/>
      </w:pPr>
      <w:r>
        <w:t>Fastlegeordningen ble innført i 2001 og har i stor grad vært en suksess. Siden den gang har det skjedd endringer i samfunnet, befolkningen og den kommunale helse- og omsorgstjenesten og i spesialisthelsetjenesten. Stikkord er en aldrende befolkning, flere med kronisk sykdom, medisinsk-teknologisk utvikling, endret organisering i spesialist­helsetjenesten og samhandlingsreformen. Innbyggernes forventninger til tilgjengelighet har økt og behovene er blitt mer komplekse. Flere har behov for god opplæring for å mestre livet med sykdom og funksjonssvikt, og for oppfølging av sammensatte og langvarige tilstander. Fastlegenes arbeidsmengde har følgelig økt. Hensynet til samfunnets bærekraft tilsier at allmennlegetjenesten må bidra mer til forebygging, redusert sykdomsbyrde og redusert sykefravær i arbeidslivet. I tillegg trenger andre kommunale tjenester bistand og veiledning fra allmennleger for å løse sine oppgaver.</w:t>
      </w:r>
    </w:p>
    <w:p w14:paraId="3F49FA28" w14:textId="3F356B52" w:rsidR="009A1A3F" w:rsidRDefault="009A1A3F" w:rsidP="009B5A18">
      <w:pPr>
        <w:jc w:val="both"/>
      </w:pPr>
      <w:r>
        <w:t>Siden innføringen er fastlegeordningen evaluert flere ganger. De senere evalueringene og handlingsplanen for allmennlegetjenesten viser blant annet at det er rekrutterings­utfordringer, utfordringer med tilgjengelighet og at arbeidsbelastningen for legene er stor. Stadig flere kommuner opplever rekrutteringsutfordringer og den netto tilveksten av fast­leger har aldri har vært lavere enn i 2021. Samtidig har de nye legene kortere lister enn de som slutter. Resultatet er at kapasiteten i ordningen går ned og kostnadene for kommunene øker. I 2021 oppga kommunene å ha merutgifter til fastlegeordningen på i underkant av 60</w:t>
      </w:r>
      <w:r w:rsidR="00D9107F">
        <w:t>0 mill.</w:t>
      </w:r>
      <w:r>
        <w:t xml:space="preserve"> kroner.</w:t>
      </w:r>
    </w:p>
    <w:p w14:paraId="140EA308" w14:textId="6A0D6D34" w:rsidR="009A1A3F" w:rsidRPr="004A54BA" w:rsidRDefault="009A1A3F" w:rsidP="009B5A18">
      <w:pPr>
        <w:jc w:val="both"/>
        <w:rPr>
          <w:rFonts w:cstheme="minorHAnsi"/>
        </w:rPr>
      </w:pPr>
      <w:r>
        <w:t xml:space="preserve">Regjeringen har derfor besluttet å </w:t>
      </w:r>
      <w:r w:rsidRPr="004A54BA">
        <w:rPr>
          <w:rFonts w:cstheme="minorHAnsi"/>
        </w:rPr>
        <w:t>nedsette et ekspertutvalg for å utrede hvordan fast­legeordningen kan gjøres mer bærekraftig. Dette innebærer at de samlede ressursene i helse- og omsorgstjenesten skal brukes best mulig. Samtidig må tjenestene til befolk­ningen i hele landet være gode, med bredde, kvalitet og kontinuitet i tjeneste­tilbudet og med tilstrekkelig kapasitet i virksomhetene. For å oppnå dette skal utvalget blant annet vurdere tiltak for å:</w:t>
      </w:r>
    </w:p>
    <w:p w14:paraId="10911CDC" w14:textId="77777777" w:rsidR="009A1A3F" w:rsidRPr="004A54BA" w:rsidRDefault="009A1A3F" w:rsidP="00775632">
      <w:pPr>
        <w:pStyle w:val="Nummerertliste"/>
        <w:numPr>
          <w:ilvl w:val="0"/>
          <w:numId w:val="46"/>
        </w:numPr>
      </w:pPr>
      <w:r w:rsidRPr="004A54BA">
        <w:t>Øke kapasiteten ved å rekruttere flere leger, gjennom å tilrettelegge for flere profesjoner og mer samarbeid ved allmennlegekontorene og ved digitalisering.</w:t>
      </w:r>
    </w:p>
    <w:p w14:paraId="2A0CEB2E" w14:textId="77777777" w:rsidR="009A1A3F" w:rsidRPr="004A54BA" w:rsidRDefault="009A1A3F" w:rsidP="00775632">
      <w:pPr>
        <w:pStyle w:val="Nummerertliste"/>
        <w:numPr>
          <w:ilvl w:val="0"/>
          <w:numId w:val="46"/>
        </w:numPr>
      </w:pPr>
      <w:r w:rsidRPr="004A54BA">
        <w:t>Gjøre det enklere for kommunene med fast ansettelse av fastleger ved at fast ansettelse i større grad likestilles med næringsmodellen.</w:t>
      </w:r>
    </w:p>
    <w:p w14:paraId="3059DAFE" w14:textId="77777777" w:rsidR="00D9107F" w:rsidRDefault="009A1A3F" w:rsidP="00775632">
      <w:pPr>
        <w:pStyle w:val="Nummerertliste"/>
        <w:numPr>
          <w:ilvl w:val="0"/>
          <w:numId w:val="46"/>
        </w:numPr>
      </w:pPr>
      <w:r w:rsidRPr="004A54BA">
        <w:t>Gjøre det mer attraktivt for legestudenter å velge fastlegeyrket gjennom endringer i utdannings- og spesialiseringsløp.</w:t>
      </w:r>
    </w:p>
    <w:p w14:paraId="40A72D18" w14:textId="72ACFAA4" w:rsidR="008011A0" w:rsidRDefault="009A1A3F" w:rsidP="00630204">
      <w:r w:rsidRPr="004A54BA">
        <w:rPr>
          <w:rFonts w:cstheme="minorHAnsi"/>
        </w:rPr>
        <w:t>Utvalget skal blant annet vurdere finansieringsmodellen, herunder endret fordeling mellom takster og basisfinansiering og endringer i innretningen på</w:t>
      </w:r>
      <w:r>
        <w:t xml:space="preserve"> basisfinansieringen. Det er ønskelig med en modell for basistilskuddet som bedre reflekterer arbeids­belastning og gir rom for flerfaglig praksis. Samtidig skal finansieringsmodellen fortsatt stimulere til aktivitet.</w:t>
      </w:r>
    </w:p>
    <w:p w14:paraId="25184C63" w14:textId="77777777" w:rsidR="009A1A3F" w:rsidRPr="00D9107F" w:rsidRDefault="009A1A3F" w:rsidP="009A1A3F">
      <w:pPr>
        <w:rPr>
          <w:rStyle w:val="halvfet"/>
        </w:rPr>
      </w:pPr>
      <w:r w:rsidRPr="00D9107F">
        <w:rPr>
          <w:rStyle w:val="halvfet"/>
        </w:rPr>
        <w:t>Forhold ekspertutvalget må utrede</w:t>
      </w:r>
    </w:p>
    <w:p w14:paraId="303745BC" w14:textId="77777777" w:rsidR="009A1A3F" w:rsidRDefault="009A1A3F" w:rsidP="00EA70A3">
      <w:pPr>
        <w:jc w:val="both"/>
      </w:pPr>
      <w:r>
        <w:lastRenderedPageBreak/>
        <w:t>Ekspertutvalget får i oppdrag som et minimum å utrede forholdene omtalt under. Gruppen kan også foreslå tiltak som gjør fastlegeordningen mer bærekraftig utover utrednings­punktene som er opplistet under. Gruppen bør se hen til nasjonal og internasjonal kunnskap og utviklingen i andre sammenlignbare land i sitt arbeid.</w:t>
      </w:r>
    </w:p>
    <w:p w14:paraId="34A0A679" w14:textId="1EAB8375" w:rsidR="009A1A3F" w:rsidRPr="00D9107F" w:rsidRDefault="009A1A3F" w:rsidP="00D46878">
      <w:pPr>
        <w:pStyle w:val="avsnitt-undertittel"/>
        <w:rPr>
          <w:rStyle w:val="kursiv"/>
        </w:rPr>
      </w:pPr>
      <w:r w:rsidRPr="00D9107F">
        <w:rPr>
          <w:rStyle w:val="kursiv"/>
        </w:rPr>
        <w:t>Organisering og finansiering av fastlegeordningen</w:t>
      </w:r>
      <w:r w:rsidR="004A54BA" w:rsidRPr="00D9107F">
        <w:rPr>
          <w:rStyle w:val="kursiv"/>
        </w:rPr>
        <w:t>:</w:t>
      </w:r>
    </w:p>
    <w:p w14:paraId="121F4634" w14:textId="77777777" w:rsidR="009A1A3F" w:rsidRDefault="009A1A3F" w:rsidP="009A1A3F">
      <w:r>
        <w:t>Ekspertutvalget skal blant annet utrede forhold knyttet til finansiering og organisering:</w:t>
      </w:r>
    </w:p>
    <w:p w14:paraId="54D4EEFD" w14:textId="51B502AD" w:rsidR="009A1A3F" w:rsidRPr="004A54BA" w:rsidRDefault="009A1A3F" w:rsidP="00775632">
      <w:pPr>
        <w:pStyle w:val="alfaliste"/>
        <w:numPr>
          <w:ilvl w:val="0"/>
          <w:numId w:val="47"/>
        </w:numPr>
      </w:pPr>
      <w:r w:rsidRPr="004A54BA">
        <w:t xml:space="preserve">Utvikling av et risikojustert basistilskudd slik at tilskuddet bedre reflekterer arbeidsbelastningen ved listepopulasjonen. </w:t>
      </w:r>
      <w:r w:rsidRPr="004A54BA">
        <w:br/>
        <w:t xml:space="preserve">Økning av det risikojusterte basistilskuddet til om lag 50 %. </w:t>
      </w:r>
      <w:r w:rsidRPr="004A54BA">
        <w:br/>
        <w:t>Alternative sammensetninger mellom basistilskudd og takstfinansiering.</w:t>
      </w:r>
      <w:r w:rsidRPr="004A54BA">
        <w:br/>
        <w:t>Innføring av et kvalitetselement i basistilskuddet.</w:t>
      </w:r>
    </w:p>
    <w:p w14:paraId="07E13F4C" w14:textId="26C7953D" w:rsidR="009A1A3F" w:rsidRPr="004A54BA" w:rsidRDefault="009A1A3F" w:rsidP="00775632">
      <w:pPr>
        <w:pStyle w:val="alfaliste"/>
        <w:numPr>
          <w:ilvl w:val="0"/>
          <w:numId w:val="47"/>
        </w:numPr>
      </w:pPr>
      <w:r w:rsidRPr="004A54BA">
        <w:t>Takster som legger til rette for flerfaglige praksiser ved at refusjonsrett knyttes til en fastlegevirksomhet, herunder profesjonsnøytrale takster.</w:t>
      </w:r>
      <w:r w:rsidRPr="004A54BA">
        <w:br/>
        <w:t>Alternative tiltak for å legge til rette for økt arbeidsdeling og samarbeid i fastlege­ordningen, herunder også forsøksordninger.</w:t>
      </w:r>
    </w:p>
    <w:p w14:paraId="674602DA" w14:textId="77777777" w:rsidR="009A1A3F" w:rsidRPr="004A54BA" w:rsidRDefault="009A1A3F" w:rsidP="00775632">
      <w:pPr>
        <w:pStyle w:val="alfaliste"/>
        <w:numPr>
          <w:ilvl w:val="0"/>
          <w:numId w:val="47"/>
        </w:numPr>
      </w:pPr>
      <w:r w:rsidRPr="004A54BA">
        <w:t>Om kommuner og fastleger skal kunne velge avtale med en gruppe fastleger/gruppe­avtaler som alternativ til individuell fastlegeavtale.</w:t>
      </w:r>
    </w:p>
    <w:p w14:paraId="5DB64117" w14:textId="77777777" w:rsidR="00D9107F" w:rsidRDefault="009A1A3F" w:rsidP="00EA70A3">
      <w:pPr>
        <w:jc w:val="both"/>
      </w:pPr>
      <w:r>
        <w:t>Utvalget skal også vurdere om det er oppgaver som ikke bør løses av fastlegene, det vil si oppgaver som kan løses av annet personell under ledelse av fastlegen eller admini­strative oppgaver som kan flyttes ut av fastlegeordningen.</w:t>
      </w:r>
    </w:p>
    <w:p w14:paraId="2FEEF5C1" w14:textId="759E8737" w:rsidR="009A1A3F" w:rsidRPr="00D9107F" w:rsidRDefault="009A1A3F" w:rsidP="004A54BA">
      <w:pPr>
        <w:spacing w:after="0"/>
        <w:rPr>
          <w:rStyle w:val="halvfet"/>
        </w:rPr>
      </w:pPr>
      <w:r w:rsidRPr="00D9107F">
        <w:rPr>
          <w:rStyle w:val="halvfet"/>
        </w:rPr>
        <w:t>Legevakt</w:t>
      </w:r>
    </w:p>
    <w:p w14:paraId="7D5AE974" w14:textId="77777777" w:rsidR="00D9107F" w:rsidRDefault="009A1A3F" w:rsidP="00EA70A3">
      <w:pPr>
        <w:jc w:val="both"/>
      </w:pPr>
      <w:r>
        <w:t>Ekspertutvalget skal utrede endringer i legevakt som blant annet legger til rette for redusert arbeidstid i legevakt for allmennleger, først og fremst på natt, ved blant annet å vurdere evt. bruk av teknologi, annet personell og samarbeid mellom den kommunale helse- og omsorgstjenesten og spesialisthelsetjenesten.</w:t>
      </w:r>
    </w:p>
    <w:p w14:paraId="54D50EBE" w14:textId="33EBEFCA" w:rsidR="009A1A3F" w:rsidRPr="00D9107F" w:rsidRDefault="009A1A3F" w:rsidP="004A54BA">
      <w:pPr>
        <w:spacing w:after="0"/>
        <w:rPr>
          <w:rStyle w:val="halvfet"/>
        </w:rPr>
      </w:pPr>
      <w:r w:rsidRPr="00D9107F">
        <w:rPr>
          <w:rStyle w:val="halvfet"/>
        </w:rPr>
        <w:t>Kompetanse</w:t>
      </w:r>
    </w:p>
    <w:p w14:paraId="0CA37EF8" w14:textId="77777777" w:rsidR="009A1A3F" w:rsidRDefault="009A1A3F" w:rsidP="00EA70A3">
      <w:pPr>
        <w:jc w:val="both"/>
      </w:pPr>
      <w:r>
        <w:t>Ekspertutvalget skal utrede både permanente og tidsavgrensede endringer i kompetansekrav for leger i kommunale helse- og omsorgstjenester og endringer i utdanningsløp for spesialistutdanning i allmennmedisin som kan bedre rekrutteringen.</w:t>
      </w:r>
    </w:p>
    <w:p w14:paraId="07941125" w14:textId="64D69048" w:rsidR="009A1A3F" w:rsidRDefault="009A1A3F" w:rsidP="00EA70A3">
      <w:r>
        <w:t>Ekspertutvalget skal også vurdere innretningen på den delen av allmennlegenes spesialisering som skal skje i sykehus, egne stillinger for ALIS i sykehus og hvordan mulighet for fast lønn for leger som spesialiserer seg i allmennmedisin kan innrettes.</w:t>
      </w:r>
    </w:p>
    <w:p w14:paraId="166603FB" w14:textId="77777777" w:rsidR="009A1A3F" w:rsidRPr="00D9107F" w:rsidRDefault="009A1A3F" w:rsidP="004A54BA">
      <w:pPr>
        <w:spacing w:after="0"/>
        <w:rPr>
          <w:rStyle w:val="halvfet"/>
        </w:rPr>
      </w:pPr>
      <w:r w:rsidRPr="00D9107F">
        <w:rPr>
          <w:rStyle w:val="halvfet"/>
        </w:rPr>
        <w:t>Føringer for alle forhold som utredes</w:t>
      </w:r>
    </w:p>
    <w:p w14:paraId="79130C85" w14:textId="77777777" w:rsidR="00D9107F" w:rsidRDefault="009A1A3F" w:rsidP="00EA70A3">
      <w:r>
        <w:lastRenderedPageBreak/>
        <w:t>For alle endringer som utredes skal det redegjøres for effekt på rekruttering, aktivitet, kapasitet, kvalitet/innhold og bredde, samt for administrative og økonomiske konse­kvenser. Det skal også vurderes hvordan de ulike endringene kan gjennomføres budsjettnøytralt og det kan vurderes om enkelte tiltak skal testes ut gjennom forsøk før de evt. implementeres.</w:t>
      </w:r>
    </w:p>
    <w:p w14:paraId="23443EDA" w14:textId="0232FCA6" w:rsidR="009A1A3F" w:rsidRDefault="009A1A3F" w:rsidP="00EA70A3">
      <w:r>
        <w:t>Det legges til grunn at det skal være likeverdig tilgang til fastlegeordningen i hele landet.</w:t>
      </w:r>
    </w:p>
    <w:p w14:paraId="0C2BFDC7" w14:textId="1669F4BF" w:rsidR="009A1A3F" w:rsidRPr="00D9107F" w:rsidRDefault="009A1A3F" w:rsidP="009A1A3F">
      <w:pPr>
        <w:rPr>
          <w:rStyle w:val="halvfet"/>
        </w:rPr>
      </w:pPr>
      <w:r w:rsidRPr="00D9107F">
        <w:rPr>
          <w:rStyle w:val="halvfet"/>
        </w:rPr>
        <w:t>Leveranser</w:t>
      </w:r>
    </w:p>
    <w:p w14:paraId="56696B7E" w14:textId="7C26399E" w:rsidR="00D9107F" w:rsidRDefault="009A1A3F" w:rsidP="00EA70A3">
      <w:pPr>
        <w:jc w:val="both"/>
      </w:pPr>
      <w:r>
        <w:t>Ekspertutvalget bes levere en første rapport med foreløpige vurderinger og anbefalinger til 1. desember 2022. Rapport med endelige vurderinger og anbefalinger leveres 15. april 2023.</w:t>
      </w:r>
      <w:r w:rsidR="00D9107F" w:rsidRPr="00D9107F">
        <w:rPr>
          <w:rStyle w:val="skrift-hevet"/>
        </w:rPr>
        <w:t xml:space="preserve"> </w:t>
      </w:r>
      <w:r w:rsidR="00A708EE" w:rsidRPr="00D9107F">
        <w:rPr>
          <w:rStyle w:val="Fotnotereferanse"/>
        </w:rPr>
        <w:footnoteReference w:id="69"/>
      </w:r>
    </w:p>
    <w:p w14:paraId="3FEE28C9" w14:textId="23BAF583" w:rsidR="009033C5" w:rsidRPr="007B3CA1" w:rsidRDefault="00357F63" w:rsidP="00775632">
      <w:pPr>
        <w:pStyle w:val="Overskrift1"/>
      </w:pPr>
      <w:bookmarkStart w:id="6251" w:name="_Toc132537129"/>
      <w:r>
        <w:t>Vedlegg B: Begrepsliste</w:t>
      </w:r>
      <w:bookmarkEnd w:id="6251"/>
    </w:p>
    <w:p w14:paraId="6DD6F201" w14:textId="0DB7A063" w:rsidR="00D9107F" w:rsidRDefault="00AA41DD" w:rsidP="00D46878">
      <w:r w:rsidRPr="00D9107F">
        <w:rPr>
          <w:rStyle w:val="halvfet"/>
        </w:rPr>
        <w:t xml:space="preserve">ALIS: </w:t>
      </w:r>
      <w:r w:rsidRPr="003C64D0">
        <w:t>Allmennlege i spesialisering.</w:t>
      </w:r>
    </w:p>
    <w:p w14:paraId="5EB65F86" w14:textId="77777777" w:rsidR="00D9107F" w:rsidRDefault="00AA41DD" w:rsidP="00D46878">
      <w:r w:rsidRPr="00D9107F">
        <w:rPr>
          <w:rStyle w:val="halvfet"/>
        </w:rPr>
        <w:t>ALIS-avtale:</w:t>
      </w:r>
      <w:r w:rsidRPr="003C64D0">
        <w:t xml:space="preserve"> En avtale mellom kommune og lege i spesialisering i allmennmedisin om særskilte tiltak som bidrar til økt trygghet under spesialistutdanningen</w:t>
      </w:r>
      <w:r w:rsidR="00CF7FEB" w:rsidRPr="003C64D0">
        <w:t>,</w:t>
      </w:r>
      <w:r w:rsidRPr="003C64D0">
        <w:t xml:space="preserve"> gjennom bedre tilrettelegging og oppfølging i spesialiseringsløpet</w:t>
      </w:r>
      <w:r w:rsidR="00756AF2">
        <w:rPr>
          <w:sz w:val="18"/>
          <w:szCs w:val="18"/>
        </w:rPr>
        <w:t>,</w:t>
      </w:r>
      <w:r w:rsidRPr="003C64D0">
        <w:t xml:space="preserve"> utover det legen har krav på som følge av dagens avtale- og regelverk. ALIS kan være ansatt i kommunen</w:t>
      </w:r>
      <w:r w:rsidR="00CF7FEB" w:rsidRPr="003C64D0">
        <w:t>,</w:t>
      </w:r>
      <w:r w:rsidRPr="003C64D0">
        <w:t xml:space="preserve"> eller drive privat næringsdrift.</w:t>
      </w:r>
    </w:p>
    <w:p w14:paraId="400BBB75" w14:textId="77777777" w:rsidR="00D9107F" w:rsidRDefault="00AA41DD" w:rsidP="00D46878">
      <w:r w:rsidRPr="00D9107F">
        <w:rPr>
          <w:rStyle w:val="halvfet"/>
        </w:rPr>
        <w:t xml:space="preserve">ALIS-kontor: </w:t>
      </w:r>
      <w:r w:rsidRPr="003C64D0">
        <w:t>Et ALIS-kontor skal gi råd og bistå kommunene i planlegging, etablering og oppfølging av spesialistutdanningen. Gjennom dette skal kontoret bidra til rekruttering og tilrettelegging for spesialisering, og til trygghet for legen gjennom spesialiseringsforløpet.</w:t>
      </w:r>
    </w:p>
    <w:p w14:paraId="6E1158DB" w14:textId="77777777" w:rsidR="00D9107F" w:rsidRDefault="0B21BE3F" w:rsidP="00D46878">
      <w:r w:rsidRPr="00D9107F">
        <w:rPr>
          <w:rStyle w:val="halvfet"/>
        </w:rPr>
        <w:t xml:space="preserve">8.2-avtale: </w:t>
      </w:r>
      <w:r w:rsidRPr="003C64D0">
        <w:t xml:space="preserve">Avtale om at kommunen stiller med kontor, utstyr, hjelpepersonell mv. </w:t>
      </w:r>
      <w:r w:rsidR="1930F244" w:rsidRPr="003C64D0">
        <w:t>til fastlegen.</w:t>
      </w:r>
      <w:r w:rsidRPr="003C64D0">
        <w:t xml:space="preserve"> Kurativt arbeid etter denne avtalen er selvstendig næringsvirksomhet. Dersom legen mottar ytelser fra kommunen i form av hjelpepersonell, lokaler, utstyr, forbruksvarer osv., skal legen refundere kommunens utlegg i sin helhet, med mindre kommunen og legen</w:t>
      </w:r>
      <w:r w:rsidR="1930F244" w:rsidRPr="003C64D0">
        <w:t>,</w:t>
      </w:r>
      <w:r w:rsidRPr="003C64D0">
        <w:t xml:space="preserve"> av rekrutteringshensyn o.a.</w:t>
      </w:r>
      <w:r w:rsidR="1930F244" w:rsidRPr="003C64D0">
        <w:t>,</w:t>
      </w:r>
      <w:r w:rsidRPr="003C64D0">
        <w:t xml:space="preserve"> skriftlig avtaler redusert innbetaling for en tidfestet periode</w:t>
      </w:r>
      <w:r w:rsidR="00AA68F9">
        <w:t>.</w:t>
      </w:r>
      <w:r w:rsidR="1444E350" w:rsidRPr="003C64D0">
        <w:t xml:space="preserve"> </w:t>
      </w:r>
      <w:r w:rsidR="00AA41DD" w:rsidRPr="00D9107F">
        <w:rPr>
          <w:rStyle w:val="Fotnotereferanse"/>
        </w:rPr>
        <w:footnoteReference w:id="70"/>
      </w:r>
    </w:p>
    <w:p w14:paraId="46CDB6EB" w14:textId="0727E9A1" w:rsidR="00D9107F" w:rsidRDefault="00AA41DD" w:rsidP="00D46878">
      <w:r w:rsidRPr="00D9107F">
        <w:rPr>
          <w:rStyle w:val="halvfet"/>
        </w:rPr>
        <w:t xml:space="preserve">Basistilskudd: </w:t>
      </w:r>
      <w:r w:rsidRPr="003C64D0">
        <w:t>Tilskudd som utbetales legene per registrerte person per år på legens liste. Fra 1. mai 2020 ble det innført et knekkpunkt i basistilskuddet. Fra 1. juli 2022 utgjør basistilskuddet 67</w:t>
      </w:r>
      <w:r w:rsidR="00D9107F" w:rsidRPr="003C64D0">
        <w:t>5</w:t>
      </w:r>
      <w:r w:rsidR="00D9107F">
        <w:t> kroner</w:t>
      </w:r>
      <w:r w:rsidRPr="003C64D0">
        <w:t xml:space="preserve"> per listeinnbygger inntil </w:t>
      </w:r>
      <w:r w:rsidR="00D9107F" w:rsidRPr="003C64D0">
        <w:t>1</w:t>
      </w:r>
      <w:r w:rsidR="00D9107F">
        <w:t> </w:t>
      </w:r>
      <w:r w:rsidR="00D9107F" w:rsidRPr="003C64D0">
        <w:t>000</w:t>
      </w:r>
      <w:r w:rsidRPr="003C64D0">
        <w:t xml:space="preserve"> listeinnbyggere. Fra listeinnbygger 1001 utgjør basistilskuddet 54</w:t>
      </w:r>
      <w:r w:rsidR="00D9107F" w:rsidRPr="003C64D0">
        <w:t>4</w:t>
      </w:r>
      <w:r w:rsidR="00D9107F">
        <w:t> kroner</w:t>
      </w:r>
      <w:r w:rsidRPr="003C64D0">
        <w:t xml:space="preserve"> p</w:t>
      </w:r>
      <w:r w:rsidR="00CF7FEB" w:rsidRPr="003C64D0">
        <w:t>e</w:t>
      </w:r>
      <w:r w:rsidRPr="003C64D0">
        <w:t>r listeinnbygger.</w:t>
      </w:r>
    </w:p>
    <w:p w14:paraId="5DF8E78A" w14:textId="77777777" w:rsidR="00D9107F" w:rsidRDefault="7BE25771" w:rsidP="00D46878">
      <w:pPr>
        <w:rPr>
          <w:rFonts w:eastAsia="Calibri"/>
        </w:rPr>
      </w:pPr>
      <w:r w:rsidRPr="00D9107F">
        <w:rPr>
          <w:rStyle w:val="halvfet"/>
        </w:rPr>
        <w:lastRenderedPageBreak/>
        <w:t>Digtal hjemmeoppfølging:</w:t>
      </w:r>
      <w:r w:rsidRPr="003C64D0">
        <w:t xml:space="preserve"> </w:t>
      </w:r>
      <w:r w:rsidR="4E57422B" w:rsidRPr="2E646A6A">
        <w:rPr>
          <w:rFonts w:eastAsia="Work Sans"/>
          <w:color w:val="212121"/>
        </w:rPr>
        <w:t>Digital hjemmeoppfølging innebærer at pasienten følges opp i hjemmet ved blant annet egenmåling eller automatisk måling, og pasientrapporterte opplysninger om egen helsetilstand. Resultatene sendes digitalt til heletjenesten som vurderer og følger opp pasienten ved behov, primært via digitale verktøy (Nasjonal helse- og sykehusplan 2020</w:t>
      </w:r>
      <w:r w:rsidR="00756AF2" w:rsidRPr="2E646A6A">
        <w:rPr>
          <w:rFonts w:eastAsia="Work Sans"/>
          <w:color w:val="212121"/>
          <w:sz w:val="18"/>
          <w:szCs w:val="18"/>
        </w:rPr>
        <w:t>–</w:t>
      </w:r>
      <w:r w:rsidR="4E57422B" w:rsidRPr="2E646A6A">
        <w:rPr>
          <w:rFonts w:eastAsia="Work Sans"/>
          <w:color w:val="212121"/>
        </w:rPr>
        <w:t>2023).</w:t>
      </w:r>
    </w:p>
    <w:p w14:paraId="564E1603" w14:textId="77777777" w:rsidR="00D9107F" w:rsidRDefault="00AA41DD" w:rsidP="00D46878">
      <w:r w:rsidRPr="00D9107F">
        <w:rPr>
          <w:rStyle w:val="halvfet"/>
        </w:rPr>
        <w:t xml:space="preserve">E-konsultasjon: </w:t>
      </w:r>
      <w:r w:rsidR="00CF7FEB" w:rsidRPr="003C64D0">
        <w:t>K</w:t>
      </w:r>
      <w:r w:rsidRPr="003C64D0">
        <w:t>onsultasjon som gjennomføres elektronisk</w:t>
      </w:r>
      <w:r w:rsidR="00CF7FEB" w:rsidRPr="003C64D0">
        <w:t>/digitalt,</w:t>
      </w:r>
      <w:r w:rsidRPr="003C64D0">
        <w:t xml:space="preserve"> ved bruk av telefon, video eller tekst.</w:t>
      </w:r>
    </w:p>
    <w:p w14:paraId="3F699523" w14:textId="77777777" w:rsidR="00D9107F" w:rsidRPr="00D9107F" w:rsidRDefault="3A57B6D2" w:rsidP="00D46878">
      <w:pPr>
        <w:rPr>
          <w:rStyle w:val="halvfet"/>
        </w:rPr>
      </w:pPr>
      <w:r w:rsidRPr="00D9107F">
        <w:rPr>
          <w:rStyle w:val="halvfet"/>
        </w:rPr>
        <w:t>EPJ</w:t>
      </w:r>
      <w:r w:rsidR="1358B4B5" w:rsidRPr="00D9107F">
        <w:rPr>
          <w:rStyle w:val="halvfet"/>
        </w:rPr>
        <w:t xml:space="preserve">: </w:t>
      </w:r>
      <w:r w:rsidR="1358B4B5" w:rsidRPr="00B00C96">
        <w:t>Elektronisk pasientjournal</w:t>
      </w:r>
    </w:p>
    <w:p w14:paraId="2665D274" w14:textId="77777777" w:rsidR="00D9107F" w:rsidRDefault="00AA41DD" w:rsidP="00D46878">
      <w:r w:rsidRPr="00D9107F">
        <w:rPr>
          <w:rStyle w:val="halvfet"/>
        </w:rPr>
        <w:t xml:space="preserve">Fastlege: </w:t>
      </w:r>
      <w:r w:rsidRPr="003C64D0">
        <w:t>Fastlege er en lege som inngår fastlegeavtale med en kommune om deltakelse i fastlegeordningen, uavhengig av om legen er ansatt i kommunen eller er selvstendig næringsdrivende. Ifølge forskrift om fastlegeordning i kommunene skal fastlegen dekke allmennlegeoppgaver for listeinnbyggere på vedkommende fastleges liste.</w:t>
      </w:r>
    </w:p>
    <w:p w14:paraId="6D9911A5" w14:textId="77777777" w:rsidR="00D9107F" w:rsidRDefault="00AA41DD" w:rsidP="00D46878">
      <w:r w:rsidRPr="00D9107F">
        <w:rPr>
          <w:rStyle w:val="halvfet"/>
        </w:rPr>
        <w:t xml:space="preserve">Fastlegeliste: </w:t>
      </w:r>
      <w:r w:rsidRPr="003C64D0">
        <w:t>Oversikt over hvilke listeinnbyggere fastlegen har ansvar for.</w:t>
      </w:r>
    </w:p>
    <w:p w14:paraId="4B5B5370" w14:textId="77777777" w:rsidR="00D9107F" w:rsidRDefault="00AA41DD" w:rsidP="00D46878">
      <w:r w:rsidRPr="00D9107F">
        <w:rPr>
          <w:rStyle w:val="halvfet"/>
        </w:rPr>
        <w:t>FLO</w:t>
      </w:r>
      <w:r w:rsidRPr="003C64D0">
        <w:t>: Brukes her som angivelse av datagrunnlag hentet fra Helfo sitt system for administrasjon av fastlegeordningen.</w:t>
      </w:r>
    </w:p>
    <w:p w14:paraId="5EC6B365" w14:textId="77777777" w:rsidR="00D9107F" w:rsidRDefault="00AA41DD" w:rsidP="00D46878">
      <w:r w:rsidRPr="00D9107F">
        <w:rPr>
          <w:rStyle w:val="halvfet"/>
        </w:rPr>
        <w:t xml:space="preserve">Grunntilskudd: </w:t>
      </w:r>
      <w:r w:rsidRPr="003C64D0">
        <w:t>Tilskudd for fastlegeavtaler med en liste under 500 listeinnbyggere</w:t>
      </w:r>
      <w:r w:rsidR="00CF7FEB" w:rsidRPr="003C64D0">
        <w:t>,</w:t>
      </w:r>
      <w:r w:rsidRPr="003C64D0">
        <w:t xml:space="preserve"> forutsatt at listetaket for avtalen er 500 eller flere listeinnbyggere. Grunntilskuddet utbetales i stedet for basistilskudd. Kan mottas i inntil </w:t>
      </w:r>
      <w:r w:rsidR="00CF7FEB" w:rsidRPr="003C64D0">
        <w:t>to</w:t>
      </w:r>
      <w:r w:rsidRPr="003C64D0">
        <w:t xml:space="preserve"> år fra avtale er inngått. Blir listelengden større enn 500 listepasienter i løpet av disse årene utbetales basistilskudd i stedet.</w:t>
      </w:r>
    </w:p>
    <w:p w14:paraId="4E8A6353" w14:textId="099CC88E" w:rsidR="00D9107F" w:rsidRDefault="00690090" w:rsidP="00D46878">
      <w:pPr>
        <w:rPr>
          <w:rFonts w:eastAsia="Calibri"/>
        </w:rPr>
      </w:pPr>
      <w:r w:rsidRPr="00D9107F">
        <w:rPr>
          <w:rStyle w:val="halvfet"/>
        </w:rPr>
        <w:t>Helseteknologi</w:t>
      </w:r>
      <w:r w:rsidR="291A14F8" w:rsidRPr="00D9107F">
        <w:rPr>
          <w:rStyle w:val="halvfet"/>
        </w:rPr>
        <w:t>:</w:t>
      </w:r>
      <w:r w:rsidR="291A14F8" w:rsidRPr="003C64D0">
        <w:rPr>
          <w:rFonts w:eastAsia="Calibri"/>
        </w:rPr>
        <w:t xml:space="preserve"> </w:t>
      </w:r>
      <w:hyperlink r:id="rId83" w:history="1">
        <w:r w:rsidR="291A14F8" w:rsidRPr="008D44E8">
          <w:rPr>
            <w:color w:val="373737"/>
          </w:rPr>
          <w:t>Verdens helseorganisasjon (WHO)</w:t>
        </w:r>
      </w:hyperlink>
      <w:r w:rsidR="291A14F8" w:rsidRPr="003C64D0">
        <w:rPr>
          <w:rFonts w:eastAsia="Calibri"/>
          <w:color w:val="373737"/>
        </w:rPr>
        <w:t xml:space="preserve"> definerer helseteknologi som anvendelsen av organisert kunnskap og ferdigheter i teknisk utstyr, medisiner, vaksiner, prosedyrer og systemer som er utviklet for å løse et helseproblem og forbedre livskvalitet.</w:t>
      </w:r>
    </w:p>
    <w:p w14:paraId="4713909A" w14:textId="77777777" w:rsidR="00D9107F" w:rsidRDefault="00AA41DD" w:rsidP="00D46878">
      <w:r w:rsidRPr="00D9107F">
        <w:rPr>
          <w:rStyle w:val="halvfet"/>
        </w:rPr>
        <w:t xml:space="preserve">Hovedmodellen: </w:t>
      </w:r>
      <w:r w:rsidRPr="003C64D0">
        <w:t>Driftsform hvor fastlegen er selvstendig næringsdrivende og mottar basistilskudd.</w:t>
      </w:r>
    </w:p>
    <w:p w14:paraId="7B124533" w14:textId="77777777" w:rsidR="00D9107F" w:rsidRDefault="00AA41DD" w:rsidP="00D46878">
      <w:r w:rsidRPr="00D9107F">
        <w:rPr>
          <w:rStyle w:val="halvfet"/>
        </w:rPr>
        <w:t>Introduksjonsavtale</w:t>
      </w:r>
      <w:r w:rsidRPr="003C64D0">
        <w:t>: Introduksjonsavtaler er avtaler som gir leger under spesialisering i allmennmedisin rett til trygderefusjon under visse vilkår, når de jobber på andre fastlegers lister</w:t>
      </w:r>
      <w:r w:rsidR="00CF7FEB" w:rsidRPr="003C64D0">
        <w:t xml:space="preserve">, </w:t>
      </w:r>
      <w:r w:rsidRPr="003C64D0">
        <w:t>selv om fastlegen som har ansvar for listen(e) er til stede på legekontoret samtidig.</w:t>
      </w:r>
    </w:p>
    <w:p w14:paraId="18B1967C" w14:textId="77777777" w:rsidR="00D9107F" w:rsidRDefault="00AA41DD" w:rsidP="00D46878">
      <w:r w:rsidRPr="00D9107F">
        <w:rPr>
          <w:rStyle w:val="halvfet"/>
        </w:rPr>
        <w:t>LIS1</w:t>
      </w:r>
      <w:r w:rsidRPr="003C64D0">
        <w:t>: Lege i spesialisering del 1.</w:t>
      </w:r>
    </w:p>
    <w:p w14:paraId="0238816B" w14:textId="77777777" w:rsidR="00D9107F" w:rsidRDefault="00AA41DD" w:rsidP="00D46878">
      <w:r w:rsidRPr="00D9107F">
        <w:rPr>
          <w:rStyle w:val="halvfet"/>
        </w:rPr>
        <w:t xml:space="preserve">Liste uten fast lege: </w:t>
      </w:r>
      <w:r w:rsidRPr="003C64D0">
        <w:t>Ubesatt fastlegeliste, noe som innebærer at listeinnbyggerne i de fleste tilfeller tas hånd om av vikarlege</w:t>
      </w:r>
      <w:r w:rsidR="00CF7FEB" w:rsidRPr="003C64D0">
        <w:t>,</w:t>
      </w:r>
      <w:r w:rsidRPr="003C64D0">
        <w:t xml:space="preserve"> eller av andre fastleger gjennom kollegial fraværsdekning.</w:t>
      </w:r>
    </w:p>
    <w:p w14:paraId="428CD1D9" w14:textId="6FE6BEF4" w:rsidR="002263F8" w:rsidRDefault="06376438" w:rsidP="00D46878">
      <w:r w:rsidRPr="00D9107F">
        <w:rPr>
          <w:rStyle w:val="halvfet"/>
        </w:rPr>
        <w:t>Risikojustering av basistilskuddet:</w:t>
      </w:r>
      <w:r w:rsidRPr="003C64D0">
        <w:t xml:space="preserve"> </w:t>
      </w:r>
      <w:r w:rsidR="00484E15">
        <w:t xml:space="preserve">Et viktig formål med risikojustering er å legge til rette for økonomisk belønning av fastleger med en praksis som beholder og tiltrekker seg tyngre pasientgrupper med stor nytte av fastlegetjenesten, ofte kronisk syke med sammensatte </w:t>
      </w:r>
      <w:r w:rsidR="00484E15">
        <w:lastRenderedPageBreak/>
        <w:t>behov</w:t>
      </w:r>
      <w:r w:rsidR="00C64B3E">
        <w:t xml:space="preserve">. </w:t>
      </w:r>
      <w:r w:rsidR="002263F8" w:rsidRPr="08025E4F">
        <w:rPr>
          <w:rFonts w:eastAsia="Calibri"/>
        </w:rPr>
        <w:t>Man ønsker å kompensere leger med mange listeinnbyggere som har særskilte behov</w:t>
      </w:r>
      <w:r w:rsidR="00207449">
        <w:rPr>
          <w:rFonts w:eastAsia="Calibri"/>
        </w:rPr>
        <w:t xml:space="preserve"> og stor nytte av tjenestene</w:t>
      </w:r>
      <w:r w:rsidR="002263F8" w:rsidRPr="37D7A17E">
        <w:rPr>
          <w:rFonts w:eastAsia="Calibri"/>
        </w:rPr>
        <w:t>.</w:t>
      </w:r>
    </w:p>
    <w:p w14:paraId="6C21079C" w14:textId="77777777" w:rsidR="00D9107F" w:rsidRDefault="00DF0543" w:rsidP="00D46878">
      <w:r>
        <w:t xml:space="preserve">Fra 1. mai 2023 </w:t>
      </w:r>
      <w:r w:rsidR="00421AE5">
        <w:t xml:space="preserve">innføres </w:t>
      </w:r>
      <w:r w:rsidR="00421AE5" w:rsidRPr="00D9107F">
        <w:rPr>
          <w:rStyle w:val="kursiv"/>
          <w:rFonts w:eastAsia="Calibri"/>
        </w:rPr>
        <w:t>pasienttilpasset basistilskudd</w:t>
      </w:r>
      <w:r w:rsidR="00421AE5">
        <w:t xml:space="preserve">, der </w:t>
      </w:r>
      <w:r w:rsidR="004934A9">
        <w:t xml:space="preserve">fastlegenes </w:t>
      </w:r>
      <w:r w:rsidR="0083573D">
        <w:t xml:space="preserve">basistilskudd </w:t>
      </w:r>
      <w:r w:rsidR="001A7B2A">
        <w:t xml:space="preserve">vil </w:t>
      </w:r>
      <w:r w:rsidR="0083573D">
        <w:t>være</w:t>
      </w:r>
      <w:r w:rsidR="131164F0" w:rsidRPr="003C64D0">
        <w:t xml:space="preserve"> </w:t>
      </w:r>
      <w:r w:rsidR="2E6CFED4" w:rsidRPr="00A43C92">
        <w:t>justert</w:t>
      </w:r>
      <w:r w:rsidR="2E6CFED4" w:rsidRPr="003C64D0">
        <w:t xml:space="preserve"> etter </w:t>
      </w:r>
      <w:r w:rsidR="39A0292F" w:rsidRPr="003C64D0">
        <w:t>listeinnbyggerne</w:t>
      </w:r>
      <w:r w:rsidR="00A43C92">
        <w:t xml:space="preserve">s </w:t>
      </w:r>
      <w:r w:rsidR="004934A9">
        <w:t xml:space="preserve">kjønn, </w:t>
      </w:r>
      <w:r w:rsidR="39A0292F" w:rsidRPr="003C64D0">
        <w:t>alder</w:t>
      </w:r>
      <w:r w:rsidR="00D41327">
        <w:t xml:space="preserve"> og</w:t>
      </w:r>
      <w:r w:rsidR="6926253A" w:rsidRPr="003C64D0">
        <w:t xml:space="preserve"> </w:t>
      </w:r>
      <w:r w:rsidR="0057729F">
        <w:t xml:space="preserve">bruk av fastlegetjenester, </w:t>
      </w:r>
      <w:r w:rsidR="00D41327">
        <w:t>samt kommunens sentralitet og sosioøkonomiske status.</w:t>
      </w:r>
    </w:p>
    <w:p w14:paraId="39B629F6" w14:textId="4CC99334" w:rsidR="00700F70" w:rsidRPr="00D9107F" w:rsidRDefault="00700F70" w:rsidP="00D46878">
      <w:pPr>
        <w:rPr>
          <w:rStyle w:val="halvfet"/>
        </w:rPr>
      </w:pPr>
      <w:r w:rsidRPr="00D9107F">
        <w:rPr>
          <w:rStyle w:val="halvfet"/>
        </w:rPr>
        <w:t>Triagering</w:t>
      </w:r>
      <w:r w:rsidR="44F201FC" w:rsidRPr="00D9107F">
        <w:rPr>
          <w:rStyle w:val="halvfet"/>
        </w:rPr>
        <w:t xml:space="preserve">: </w:t>
      </w:r>
      <w:r w:rsidR="44F201FC" w:rsidRPr="003C64D0">
        <w:t>Normalt brukt innenfor akutt</w:t>
      </w:r>
      <w:r w:rsidR="00E67097">
        <w:rPr>
          <w:sz w:val="18"/>
          <w:szCs w:val="18"/>
        </w:rPr>
        <w:t>-</w:t>
      </w:r>
      <w:r w:rsidR="44F201FC" w:rsidRPr="003C64D0">
        <w:t xml:space="preserve"> og katastrofemedisin om </w:t>
      </w:r>
      <w:r w:rsidR="1C067FAA" w:rsidRPr="003C64D0">
        <w:t xml:space="preserve">sortering </w:t>
      </w:r>
      <w:r w:rsidR="775EBF20" w:rsidRPr="003C64D0">
        <w:t>av skadde og for å avgjøre hvor raskt behandling må iverksettes. I denne teksten</w:t>
      </w:r>
      <w:r w:rsidR="1ECCF644" w:rsidRPr="003C64D0">
        <w:t xml:space="preserve"> handler det om et digitalt verktøy for å vurdere hastegrad på pasienter som søker fastlege og i </w:t>
      </w:r>
      <w:r w:rsidR="6B2913CF" w:rsidRPr="003C64D0">
        <w:t>tillegg</w:t>
      </w:r>
      <w:r w:rsidR="1ECCF644" w:rsidRPr="003C64D0">
        <w:t xml:space="preserve"> gi legen viktig informasjon i forkant av legetime</w:t>
      </w:r>
      <w:r w:rsidR="3CB1D339" w:rsidRPr="003C64D0">
        <w:t>.</w:t>
      </w:r>
    </w:p>
    <w:p w14:paraId="1ED47F15" w14:textId="6807C20C" w:rsidR="00A41A96" w:rsidRPr="003C64D0" w:rsidRDefault="00AA41DD" w:rsidP="00D46878">
      <w:r w:rsidRPr="00D9107F">
        <w:rPr>
          <w:rStyle w:val="halvfet"/>
        </w:rPr>
        <w:t xml:space="preserve">Utjamningstilskudd: </w:t>
      </w:r>
      <w:r w:rsidRPr="003C64D0">
        <w:t>Tilskudd for fastlegeavtaler i kommuner med under 5000 innbyggere og hvor gjennomsnittlig listelengde er mindre enn 1200 listeinnbyggere. Utjamningstilskuddet beregnes som basistilskudd for differansen mellom referanselisten på 1200 innbyggere og gjennomsnittlig listelengde i kommunen.</w:t>
      </w:r>
    </w:p>
    <w:p w14:paraId="19A5EC64" w14:textId="77777777" w:rsidR="00D9107F" w:rsidRDefault="4865F1CE" w:rsidP="00D46878">
      <w:r w:rsidRPr="00D9107F">
        <w:rPr>
          <w:rStyle w:val="halvfet"/>
        </w:rPr>
        <w:t>Velferdsteknologi</w:t>
      </w:r>
      <w:r w:rsidR="2A619ECC" w:rsidRPr="00D9107F">
        <w:rPr>
          <w:rStyle w:val="halvfet"/>
        </w:rPr>
        <w:t>:</w:t>
      </w:r>
      <w:r w:rsidR="6F1AB6C3" w:rsidRPr="003C64D0">
        <w:t xml:space="preserve"> </w:t>
      </w:r>
      <w:r w:rsidRPr="003C64D0">
        <w:t>Med velferdsteknologi menes først og fremst teknologisk assistanse som bidrar til økt trygghet, sikkerhet</w:t>
      </w:r>
      <w:r w:rsidR="11EDD07C" w:rsidRPr="003C64D0">
        <w:t>, sosial deltakelse, mobilitet og fysisk og kulturell aktivitet og styrker den enkeltes evner til å</w:t>
      </w:r>
      <w:r w:rsidR="59A6EBCC" w:rsidRPr="003C64D0">
        <w:t xml:space="preserve"> klare seg selv i hverdagen til tross for sykdom</w:t>
      </w:r>
      <w:r w:rsidR="691B5BC1" w:rsidRPr="003C64D0">
        <w:t xml:space="preserve"> og sosial, psykisk eller fysisk nedsatt funks</w:t>
      </w:r>
      <w:r w:rsidR="7414CE22" w:rsidRPr="003C64D0">
        <w:t>j</w:t>
      </w:r>
      <w:r w:rsidR="691B5BC1" w:rsidRPr="003C64D0">
        <w:t>onsevne.</w:t>
      </w:r>
      <w:r w:rsidR="2A94CC01" w:rsidRPr="003C64D0">
        <w:t xml:space="preserve"> </w:t>
      </w:r>
      <w:r w:rsidR="20512BD1" w:rsidRPr="003C64D0">
        <w:t>Velferdsteknologi kan også fungere som teknologisk støtte til pårørende og ellers bidra til å</w:t>
      </w:r>
      <w:r w:rsidR="17D21A26" w:rsidRPr="003C64D0">
        <w:t xml:space="preserve"> </w:t>
      </w:r>
      <w:r w:rsidR="20512BD1" w:rsidRPr="003C64D0">
        <w:t xml:space="preserve">forbedre </w:t>
      </w:r>
      <w:r w:rsidR="273B3B01" w:rsidRPr="003C64D0">
        <w:t>tilgjengelighet</w:t>
      </w:r>
      <w:r w:rsidR="20512BD1" w:rsidRPr="003C64D0">
        <w:t xml:space="preserve">, </w:t>
      </w:r>
      <w:r w:rsidR="6A4073CF" w:rsidRPr="003C64D0">
        <w:t>ressursutnyttelse</w:t>
      </w:r>
      <w:r w:rsidR="20512BD1" w:rsidRPr="003C64D0">
        <w:t xml:space="preserve"> og kvali</w:t>
      </w:r>
      <w:r w:rsidR="38C41256" w:rsidRPr="003C64D0">
        <w:t>tet på tjenestetilbudet</w:t>
      </w:r>
      <w:r w:rsidR="181A094D" w:rsidRPr="003C64D0">
        <w:t>. Velferdsteknologiske løsninger kan i mange tilfeller forebygge behov for tjenester eller innleggelse i i institusjon.</w:t>
      </w:r>
    </w:p>
    <w:p w14:paraId="0A2F4F79" w14:textId="5890A4DE" w:rsidR="00D9107F" w:rsidRDefault="0093190F" w:rsidP="00775632">
      <w:pPr>
        <w:pStyle w:val="Overskrift1"/>
      </w:pPr>
      <w:bookmarkStart w:id="6252" w:name="_Toc132537130"/>
      <w:r>
        <w:t>R</w:t>
      </w:r>
      <w:r w:rsidR="00C5066B">
        <w:t>eferanser</w:t>
      </w:r>
      <w:bookmarkEnd w:id="6252"/>
    </w:p>
    <w:p w14:paraId="11B83388" w14:textId="148D4225" w:rsidR="00A930FB" w:rsidRPr="001E1D80" w:rsidRDefault="00A77572" w:rsidP="008F5AD8">
      <w:pPr>
        <w:pStyle w:val="opplisting"/>
      </w:pPr>
      <w:r>
        <w:rPr>
          <w:rFonts w:eastAsia="Calibri"/>
          <w:noProof/>
          <w:lang w:val="en-US"/>
        </w:rPr>
        <w:fldChar w:fldCharType="begin"/>
      </w:r>
      <w:r w:rsidRPr="000A635C">
        <w:rPr>
          <w:rFonts w:eastAsia="Calibri"/>
        </w:rPr>
        <w:instrText xml:space="preserve"> ADDIN EN.REFLIST </w:instrText>
      </w:r>
      <w:r>
        <w:rPr>
          <w:rFonts w:eastAsia="Calibri"/>
          <w:noProof/>
          <w:lang w:val="en-US"/>
        </w:rPr>
        <w:fldChar w:fldCharType="separate"/>
      </w:r>
      <w:r w:rsidR="00A930FB" w:rsidRPr="001E1D80">
        <w:t xml:space="preserve">Abelia. </w:t>
      </w:r>
      <w:r w:rsidR="00A930FB" w:rsidRPr="001E1D80">
        <w:rPr>
          <w:i/>
        </w:rPr>
        <w:t>Omstillingsbarometeret 2022</w:t>
      </w:r>
      <w:r w:rsidR="00A930FB" w:rsidRPr="001E1D80">
        <w:t xml:space="preserve">. [nettdokument]. Abelia. Hentet 10.02.23, fra </w:t>
      </w:r>
      <w:hyperlink r:id="rId84" w:anchor="part0" w:history="1">
        <w:r w:rsidR="00A930FB" w:rsidRPr="001E1D80">
          <w:rPr>
            <w:rStyle w:val="Hyperkobling"/>
          </w:rPr>
          <w:t>https://www.abelia.no/omstillingsbarometeret/2022/#part0</w:t>
        </w:r>
      </w:hyperlink>
    </w:p>
    <w:p w14:paraId="3DD387D9" w14:textId="77777777" w:rsidR="00A930FB" w:rsidRPr="001E1D80" w:rsidRDefault="00A930FB" w:rsidP="008F5AD8">
      <w:pPr>
        <w:pStyle w:val="opplisting"/>
      </w:pPr>
      <w:r w:rsidRPr="001E1D80">
        <w:t xml:space="preserve">Abelsen, B., &amp; Brandstorp, H. (2017a). </w:t>
      </w:r>
      <w:r w:rsidRPr="001E1D80">
        <w:rPr>
          <w:i/>
        </w:rPr>
        <w:t>Oppfyller kommunene kompetansekrav i akuttmedisinforskriften? Krav til leger i vakt og trening i samhandling</w:t>
      </w:r>
      <w:r w:rsidRPr="001E1D80">
        <w:t>. Nasjonalt senter for distriktsmedisin og UiT Norges arktiske universitet.</w:t>
      </w:r>
    </w:p>
    <w:p w14:paraId="2E32DA9B" w14:textId="32806D32" w:rsidR="00A930FB" w:rsidRPr="001E1D80" w:rsidRDefault="00A930FB" w:rsidP="008F5AD8">
      <w:pPr>
        <w:pStyle w:val="opplisting"/>
      </w:pPr>
      <w:r w:rsidRPr="00FF4077">
        <w:rPr>
          <w:lang w:val="en-US"/>
        </w:rPr>
        <w:t xml:space="preserve">Abelsen, B., &amp; Brandstorp, H. (2019). </w:t>
      </w:r>
      <w:r w:rsidRPr="00FF4077">
        <w:rPr>
          <w:i/>
          <w:lang w:val="en-US"/>
        </w:rPr>
        <w:t>Recruit &amp; Retain</w:t>
      </w:r>
      <w:r w:rsidR="00D9107F" w:rsidRPr="00FF4077">
        <w:rPr>
          <w:i/>
          <w:lang w:val="en-US"/>
        </w:rPr>
        <w:t xml:space="preserve"> – </w:t>
      </w:r>
      <w:r w:rsidRPr="00FF4077">
        <w:rPr>
          <w:i/>
          <w:lang w:val="en-US"/>
        </w:rPr>
        <w:t>Making it Work: Den norske case-studien</w:t>
      </w:r>
      <w:r w:rsidRPr="00FF4077">
        <w:rPr>
          <w:lang w:val="en-US"/>
        </w:rPr>
        <w:t xml:space="preserve">. </w:t>
      </w:r>
      <w:r w:rsidRPr="001E1D80">
        <w:t>Nasjonalt senter for distriktsmedisin og UiT Norges arktiske universitet.</w:t>
      </w:r>
    </w:p>
    <w:p w14:paraId="1540C99B" w14:textId="77777777" w:rsidR="00A930FB" w:rsidRPr="001E1D80" w:rsidRDefault="00A930FB" w:rsidP="008F5AD8">
      <w:pPr>
        <w:pStyle w:val="opplisting"/>
      </w:pPr>
      <w:r w:rsidRPr="001E1D80">
        <w:t xml:space="preserve">Abelsen, B., Fosse, A., &amp; Brandstorp, H. (2023). </w:t>
      </w:r>
      <w:r w:rsidRPr="001E1D80">
        <w:rPr>
          <w:i/>
        </w:rPr>
        <w:t>Pilotprosjektet ALIS-vest: En utprøving av utdanningsstillinger i allmennmedisin. Sluttrapport fra følgeevaluering</w:t>
      </w:r>
      <w:r w:rsidRPr="001E1D80">
        <w:t>. Tromsø: Nasjonalt senter for distriktsmedisin og UiT Norges arktiske universitet.</w:t>
      </w:r>
    </w:p>
    <w:p w14:paraId="4B774ED9" w14:textId="77777777" w:rsidR="00A930FB" w:rsidRPr="001E1D80" w:rsidRDefault="00A930FB" w:rsidP="008F5AD8">
      <w:pPr>
        <w:pStyle w:val="opplisting"/>
      </w:pPr>
      <w:r w:rsidRPr="001E1D80">
        <w:t xml:space="preserve">Abelsen, B., Fosse, A., &amp; Gaski, M. (2022a). </w:t>
      </w:r>
      <w:r w:rsidRPr="001E1D80">
        <w:rPr>
          <w:i/>
        </w:rPr>
        <w:t>ALIS i bykommuner: Erfaringer med utdanningselementer og utdanningsløp</w:t>
      </w:r>
      <w:r w:rsidRPr="001E1D80">
        <w:t xml:space="preserve"> (NSDM-rapport). Tromsø: Nasjonalt senter for distriksmedisin og UiT Norges arktiske universitet.</w:t>
      </w:r>
    </w:p>
    <w:p w14:paraId="46CEFFC7" w14:textId="3FC710EF" w:rsidR="00A930FB" w:rsidRPr="001E1D80" w:rsidRDefault="00A930FB" w:rsidP="008F5AD8">
      <w:pPr>
        <w:pStyle w:val="opplisting"/>
      </w:pPr>
      <w:r w:rsidRPr="001E1D80">
        <w:lastRenderedPageBreak/>
        <w:t>Abelsen, B., Fosse, A., Gaski, M., &amp; Grimstad, H. (2022b). Tiltak i grunnutdanningen for å sikre leger til distrikt</w:t>
      </w:r>
      <w:r w:rsidR="00D9107F">
        <w:t xml:space="preserve"> – </w:t>
      </w:r>
      <w:r w:rsidRPr="001E1D80">
        <w:t xml:space="preserve">en systematisk oversikt. </w:t>
      </w:r>
      <w:r w:rsidRPr="001E1D80">
        <w:rPr>
          <w:i/>
        </w:rPr>
        <w:t>Tidsskrift for Den Norske Laegeforening, 142</w:t>
      </w:r>
      <w:r w:rsidRPr="001E1D80">
        <w:t xml:space="preserve">(1), 1-27. </w:t>
      </w:r>
      <w:hyperlink r:id="rId85" w:history="1">
        <w:r w:rsidRPr="001E1D80">
          <w:rPr>
            <w:rStyle w:val="Hyperkobling"/>
          </w:rPr>
          <w:t>https://doi.org/https://dx.doi.org/10.4045/tidsskr.21.0253</w:t>
        </w:r>
      </w:hyperlink>
    </w:p>
    <w:p w14:paraId="56425EBB" w14:textId="77777777" w:rsidR="00A930FB" w:rsidRPr="001E1D80" w:rsidRDefault="00A930FB" w:rsidP="008F5AD8">
      <w:pPr>
        <w:pStyle w:val="opplisting"/>
      </w:pPr>
      <w:r w:rsidRPr="001E1D80">
        <w:t xml:space="preserve">Abelsen, B., &amp; Gaski, M. (2017b). </w:t>
      </w:r>
      <w:r w:rsidRPr="001E1D80">
        <w:rPr>
          <w:i/>
        </w:rPr>
        <w:t>Ny turnuslegetjeneste for leger</w:t>
      </w:r>
      <w:r w:rsidRPr="001E1D80">
        <w:t xml:space="preserve"> [nettdokument]. (08.02.2023). Tromsø: Nasjonalt senter for distriksmedisin.</w:t>
      </w:r>
    </w:p>
    <w:p w14:paraId="0F816D29" w14:textId="77777777" w:rsidR="00A930FB" w:rsidRPr="001E1D80" w:rsidRDefault="00A930FB" w:rsidP="008F5AD8">
      <w:pPr>
        <w:pStyle w:val="opplisting"/>
      </w:pPr>
      <w:r w:rsidRPr="001E1D80">
        <w:t xml:space="preserve">Abelsen, B., Gaski, M., &amp; Fosse, A. (2020). </w:t>
      </w:r>
      <w:r w:rsidRPr="001E1D80">
        <w:rPr>
          <w:i/>
        </w:rPr>
        <w:t>Rekruttering og stabilisering av helsepersonell til distrikt</w:t>
      </w:r>
      <w:r w:rsidRPr="001E1D80">
        <w:t xml:space="preserve"> (Notat til demografiutvalget). Tromsø: Nasjonalt senter for distriktsmedisin,.</w:t>
      </w:r>
    </w:p>
    <w:p w14:paraId="2237D790" w14:textId="77777777" w:rsidR="00A930FB" w:rsidRPr="001E1D80" w:rsidRDefault="00A930FB" w:rsidP="008F5AD8">
      <w:pPr>
        <w:pStyle w:val="opplisting"/>
      </w:pPr>
      <w:r w:rsidRPr="001E1D80">
        <w:t xml:space="preserve">Abelsen, B., Godager, G., Harsheim, I. G., Iversen, T., Kristiansen, I. S., Løyland, H. I., &amp; Sæter, E. M. (2022c). </w:t>
      </w:r>
      <w:r w:rsidRPr="001E1D80">
        <w:rPr>
          <w:i/>
        </w:rPr>
        <w:t>Evaluering av utprøving av digital hjemmeoppfølging</w:t>
      </w:r>
      <w:r w:rsidRPr="001E1D80">
        <w:t xml:space="preserve"> (Sluttrapport). Oslo: Institutt for helse og samfunn, Universitetet i Oslo, Oslo Economics, Nasjonalt senter for distriktsmedisin, UiT Norges arktiske universitet.</w:t>
      </w:r>
    </w:p>
    <w:p w14:paraId="1D10865B" w14:textId="2367564A" w:rsidR="00A930FB" w:rsidRPr="00FF4077" w:rsidRDefault="00A930FB" w:rsidP="008F5AD8">
      <w:pPr>
        <w:pStyle w:val="opplisting"/>
        <w:rPr>
          <w:lang w:val="en-US"/>
        </w:rPr>
      </w:pPr>
      <w:r w:rsidRPr="001E1D80">
        <w:t xml:space="preserve">Abelsen, B., &amp; Olsen, J. A. (2015). </w:t>
      </w:r>
      <w:r w:rsidRPr="00FF4077">
        <w:rPr>
          <w:lang w:val="en-US"/>
        </w:rPr>
        <w:t>Young doctors</w:t>
      </w:r>
      <w:r w:rsidR="00D9107F" w:rsidRPr="00FF4077">
        <w:rPr>
          <w:lang w:val="en-US"/>
        </w:rPr>
        <w:t>’</w:t>
      </w:r>
      <w:r w:rsidRPr="00FF4077">
        <w:rPr>
          <w:lang w:val="en-US"/>
        </w:rPr>
        <w:t xml:space="preserve"> preferences for payment systems: the influence of gender and personality traits. </w:t>
      </w:r>
      <w:r w:rsidRPr="00FF4077">
        <w:rPr>
          <w:i/>
          <w:lang w:val="en-US"/>
        </w:rPr>
        <w:t>Human Resources for Health [Electronic Resource], 13</w:t>
      </w:r>
      <w:r w:rsidRPr="00FF4077">
        <w:rPr>
          <w:lang w:val="en-US"/>
        </w:rPr>
        <w:t xml:space="preserve">, 69. </w:t>
      </w:r>
      <w:hyperlink r:id="rId86" w:history="1">
        <w:r w:rsidRPr="00FF4077">
          <w:rPr>
            <w:rStyle w:val="Hyperkobling"/>
            <w:lang w:val="en-US"/>
          </w:rPr>
          <w:t>https://doi.org/https://dx.doi.org/10.1186/s12960-015-0060-0</w:t>
        </w:r>
      </w:hyperlink>
    </w:p>
    <w:p w14:paraId="0B6B66B1" w14:textId="77777777" w:rsidR="00A930FB" w:rsidRPr="001E1D80" w:rsidRDefault="00A930FB" w:rsidP="008F5AD8">
      <w:pPr>
        <w:pStyle w:val="opplisting"/>
      </w:pPr>
      <w:r w:rsidRPr="00FF4077">
        <w:rPr>
          <w:lang w:val="en-US"/>
        </w:rPr>
        <w:t xml:space="preserve">Abelsen B., Gaski M., Godager G., Iversen T., Løyland HI., &amp; EM, S. (2022). </w:t>
      </w:r>
      <w:r w:rsidRPr="001E1D80">
        <w:rPr>
          <w:i/>
        </w:rPr>
        <w:t>Evaluering av forsøk med primærhelseteam og alternative finansieringsordninger: Sluttrapport for 2018-2021 (Statusrapport IV)</w:t>
      </w:r>
      <w:r w:rsidRPr="001E1D80">
        <w:t>. Institutt for helse og samfunn UiO, Oslo Economics og Nasjonalt senter for distriktsmedisin UiT Norges arktiske universitet.</w:t>
      </w:r>
    </w:p>
    <w:p w14:paraId="40B2C236" w14:textId="77777777" w:rsidR="00A930FB" w:rsidRPr="001E1D80" w:rsidRDefault="00A930FB" w:rsidP="008F5AD8">
      <w:pPr>
        <w:pStyle w:val="opplisting"/>
      </w:pPr>
      <w:r w:rsidRPr="001E1D80">
        <w:t xml:space="preserve">Abelsen B., Gaski M., Godager G., Iversen T., Løyland HI., Pedersen K., . . . EM, S. (2019). </w:t>
      </w:r>
      <w:r w:rsidRPr="001E1D80">
        <w:rPr>
          <w:i/>
        </w:rPr>
        <w:t>Evaluering av pilotprosjekt med primærhelseteam og alternative finansieringsordninger: statusrapport II, 2. desember 2019</w:t>
      </w:r>
      <w:r w:rsidRPr="001E1D80">
        <w:t>. Institutt for helse og samfunn UiO, Oslo Economics og Nasjonalt senter for distriktsmedisin UiT Norges arktiske universitet.</w:t>
      </w:r>
    </w:p>
    <w:p w14:paraId="1EC18CC1" w14:textId="77777777" w:rsidR="00A930FB" w:rsidRPr="001E1D80" w:rsidRDefault="00A930FB" w:rsidP="008F5AD8">
      <w:pPr>
        <w:pStyle w:val="opplisting"/>
      </w:pPr>
      <w:r w:rsidRPr="001E1D80">
        <w:t xml:space="preserve">Abelsen, B. e. a. (2021). </w:t>
      </w:r>
      <w:r w:rsidRPr="001E1D80">
        <w:rPr>
          <w:i/>
        </w:rPr>
        <w:t>Evaluering av forsøk med primærhelseteam og alternative finansieringsordninger: Statusrapport III, januar 2021</w:t>
      </w:r>
      <w:r w:rsidRPr="001E1D80">
        <w:t>. Oslo: Institutt for helse og samfunn UiO, Oslo Economics og Nasjonalt senter for distriktsmedisin UiT Norges arktiske universitet,.</w:t>
      </w:r>
    </w:p>
    <w:p w14:paraId="6EB3FC77" w14:textId="77777777" w:rsidR="00A930FB" w:rsidRPr="001E1D80" w:rsidRDefault="00A930FB" w:rsidP="008F5AD8">
      <w:pPr>
        <w:pStyle w:val="opplisting"/>
      </w:pPr>
      <w:r w:rsidRPr="001E1D80">
        <w:t xml:space="preserve">Abelsen, B. e. a. (2022). </w:t>
      </w:r>
      <w:r w:rsidRPr="001E1D80">
        <w:rPr>
          <w:i/>
        </w:rPr>
        <w:t>Evaluering av forsøk med primærhelseteam og alternative finansieringsordninger: Statusrapport V</w:t>
      </w:r>
      <w:r w:rsidRPr="001E1D80">
        <w:t>. Oslo: Institutt for helse og samfunn UiO, Oslo Economics, &amp; Nasjonalt senter for distriktsmedisin UiT Norges arktiske universitet.</w:t>
      </w:r>
    </w:p>
    <w:p w14:paraId="59DB6A9A" w14:textId="3DDF7930" w:rsidR="00A930FB" w:rsidRPr="001E1D80" w:rsidRDefault="00A930FB" w:rsidP="008F5AD8">
      <w:pPr>
        <w:pStyle w:val="opplisting"/>
      </w:pPr>
      <w:r w:rsidRPr="00FF4077">
        <w:rPr>
          <w:i/>
          <w:lang w:val="en-US"/>
        </w:rPr>
        <w:t>Access to GP appointments and services</w:t>
      </w:r>
      <w:r w:rsidRPr="00FF4077">
        <w:rPr>
          <w:lang w:val="en-US"/>
        </w:rPr>
        <w:t xml:space="preserve">. (15. desember 2022). [nettdokument]. London: Nuffield Trust. </w:t>
      </w:r>
      <w:r w:rsidRPr="001E1D80">
        <w:t xml:space="preserve">Hentet 20.03.23, fra </w:t>
      </w:r>
      <w:hyperlink r:id="rId87" w:history="1">
        <w:r w:rsidRPr="001E1D80">
          <w:rPr>
            <w:rStyle w:val="Hyperkobling"/>
          </w:rPr>
          <w:t>https://www.nuffieldtrust.org.uk/resource/access-to-gp-services</w:t>
        </w:r>
      </w:hyperlink>
    </w:p>
    <w:p w14:paraId="3A26E3F9" w14:textId="2E6DE5F7" w:rsidR="00A930FB" w:rsidRPr="001E1D80" w:rsidRDefault="00A930FB" w:rsidP="008F5AD8">
      <w:pPr>
        <w:pStyle w:val="opplisting"/>
      </w:pPr>
      <w:r w:rsidRPr="001E1D80">
        <w:t xml:space="preserve">Agenda Kaupang. (2016). </w:t>
      </w:r>
      <w:r w:rsidRPr="001E1D80">
        <w:rPr>
          <w:i/>
        </w:rPr>
        <w:t>Kommunal legetjeneste</w:t>
      </w:r>
      <w:r w:rsidR="00D9107F">
        <w:rPr>
          <w:i/>
        </w:rPr>
        <w:t xml:space="preserve"> – </w:t>
      </w:r>
      <w:r w:rsidRPr="001E1D80">
        <w:rPr>
          <w:i/>
        </w:rPr>
        <w:t>kan den ledes?</w:t>
      </w:r>
      <w:r w:rsidRPr="001E1D80">
        <w:t xml:space="preserve"> (KS FoU). Stabekk: Agenda Kaupang.</w:t>
      </w:r>
    </w:p>
    <w:p w14:paraId="5B468A28" w14:textId="77777777" w:rsidR="00D9107F" w:rsidRPr="00FF4077" w:rsidRDefault="00A930FB" w:rsidP="008F5AD8">
      <w:pPr>
        <w:pStyle w:val="opplisting"/>
        <w:rPr>
          <w:lang w:val="en-US"/>
        </w:rPr>
      </w:pPr>
      <w:r w:rsidRPr="001E1D80">
        <w:t xml:space="preserve">Ahmed, K., Hashim, S., &amp; Khankhara, M. e. a. (2021). </w:t>
      </w:r>
      <w:r w:rsidRPr="00FF4077">
        <w:rPr>
          <w:lang w:val="en-US"/>
        </w:rPr>
        <w:t xml:space="preserve">What drives general practitioners in the UK to improve the quality of care? A systematic literature review. . </w:t>
      </w:r>
      <w:r w:rsidRPr="00FF4077">
        <w:rPr>
          <w:i/>
          <w:lang w:val="en-US"/>
        </w:rPr>
        <w:t>BMJ Open Qual</w:t>
      </w:r>
      <w:r w:rsidRPr="00FF4077">
        <w:rPr>
          <w:lang w:val="en-US"/>
        </w:rPr>
        <w:t>.</w:t>
      </w:r>
    </w:p>
    <w:p w14:paraId="39379055" w14:textId="4A2DD4B9" w:rsidR="00A930FB" w:rsidRPr="001E1D80" w:rsidRDefault="00A930FB" w:rsidP="008F5AD8">
      <w:pPr>
        <w:pStyle w:val="opplisting"/>
      </w:pPr>
      <w:r w:rsidRPr="00FF4077">
        <w:rPr>
          <w:lang w:val="en-US"/>
        </w:rPr>
        <w:t xml:space="preserve">Albrektsen, G. E. A. (2022). </w:t>
      </w:r>
      <w:r w:rsidRPr="001E1D80">
        <w:rPr>
          <w:i/>
        </w:rPr>
        <w:t>Legevaktpiloten Sogn og Fjordane. Sluttrapport</w:t>
      </w:r>
      <w:r w:rsidRPr="001E1D80">
        <w:t>. Sunnfjord og Ytre Sogn legevakt,.</w:t>
      </w:r>
    </w:p>
    <w:p w14:paraId="10653E9E" w14:textId="77777777" w:rsidR="00A930FB" w:rsidRPr="001E1D80" w:rsidRDefault="00A930FB" w:rsidP="008F5AD8">
      <w:pPr>
        <w:pStyle w:val="opplisting"/>
      </w:pPr>
      <w:r w:rsidRPr="001E1D80">
        <w:lastRenderedPageBreak/>
        <w:t xml:space="preserve">Allertsen, M., &amp; Morken, T. (2021). </w:t>
      </w:r>
      <w:r w:rsidRPr="001E1D80">
        <w:rPr>
          <w:i/>
        </w:rPr>
        <w:t>Legevaktorganisering i Norge. Rapport fra Nasjonalt legevaktregister 2020</w:t>
      </w:r>
      <w:r w:rsidRPr="001E1D80">
        <w:t xml:space="preserve"> (Rapport 3-2021). Bergen: Nasjonalt kompetansesenter for legevaktmedisin, NORCE Norwegian Research.</w:t>
      </w:r>
    </w:p>
    <w:p w14:paraId="10F9EE1C" w14:textId="77777777" w:rsidR="00A930FB" w:rsidRPr="001E1D80" w:rsidRDefault="00A930FB" w:rsidP="008F5AD8">
      <w:pPr>
        <w:pStyle w:val="opplisting"/>
      </w:pPr>
      <w:r w:rsidRPr="001E1D80">
        <w:t xml:space="preserve">Allertsen, M., &amp; Morken, T. (2022). </w:t>
      </w:r>
      <w:r w:rsidRPr="001E1D80">
        <w:rPr>
          <w:i/>
        </w:rPr>
        <w:t>Legevaktorganisering i Norge. Rapport fra Nasjonalt legevaktregister 2022</w:t>
      </w:r>
      <w:r w:rsidRPr="001E1D80">
        <w:t xml:space="preserve"> (Rapport 4-2022). Bergen: Nasjonalt kompetansesenter for legevaktmedisin, NORCE Norwegian Research Centre.</w:t>
      </w:r>
    </w:p>
    <w:p w14:paraId="5E7AB27E" w14:textId="77777777" w:rsidR="00A930FB" w:rsidRPr="001E1D80" w:rsidRDefault="00A930FB" w:rsidP="008F5AD8">
      <w:pPr>
        <w:pStyle w:val="opplisting"/>
      </w:pPr>
      <w:r w:rsidRPr="001E1D80">
        <w:t xml:space="preserve">Allmennmedisinsk forskningsfond. (2022). </w:t>
      </w:r>
      <w:r w:rsidRPr="001E1D80">
        <w:rPr>
          <w:i/>
        </w:rPr>
        <w:t>Allmennmedisinsk forskningsfond. Årsmelding og regnskap 2021</w:t>
      </w:r>
      <w:r w:rsidRPr="001E1D80">
        <w:t>. Oslo: Allmennmedisinsk forskningsfond.</w:t>
      </w:r>
    </w:p>
    <w:p w14:paraId="09CD248D" w14:textId="77777777" w:rsidR="00A930FB" w:rsidRPr="001E1D80" w:rsidRDefault="00A930FB" w:rsidP="008F5AD8">
      <w:pPr>
        <w:pStyle w:val="opplisting"/>
      </w:pPr>
      <w:r w:rsidRPr="001E1D80">
        <w:t xml:space="preserve">Alsos, K., Nergaard, K., &amp; Thorbjørnsen, S. (2022). </w:t>
      </w:r>
      <w:r w:rsidRPr="001E1D80">
        <w:rPr>
          <w:i/>
        </w:rPr>
        <w:t>Velferdsordninger for selvstendig næringsdrivende : utfordringer og tilpasninger</w:t>
      </w:r>
      <w:r w:rsidRPr="001E1D80">
        <w:t xml:space="preserve"> (Fafo-rapport 2022:12). Oslo: Fafo.</w:t>
      </w:r>
    </w:p>
    <w:p w14:paraId="550B9369" w14:textId="14B0FB35" w:rsidR="00A930FB" w:rsidRPr="001E1D80" w:rsidRDefault="00A930FB" w:rsidP="008F5AD8">
      <w:pPr>
        <w:pStyle w:val="opplisting"/>
      </w:pPr>
      <w:r w:rsidRPr="001E1D80">
        <w:t xml:space="preserve">Amundsen, B. (03.08.2015). </w:t>
      </w:r>
      <w:r w:rsidRPr="001E1D80">
        <w:rPr>
          <w:i/>
        </w:rPr>
        <w:t>Fastlegen påvirker sykefravær</w:t>
      </w:r>
      <w:r w:rsidRPr="001E1D80">
        <w:t xml:space="preserve">. [nettdokument]. Oslo: forskning.no. Hentet 08.12.23, fra </w:t>
      </w:r>
      <w:hyperlink r:id="rId88" w:history="1">
        <w:r w:rsidRPr="001E1D80">
          <w:rPr>
            <w:rStyle w:val="Hyperkobling"/>
          </w:rPr>
          <w:t>https://forskning.no/helsetjenester-norges-forskningsrad-partner/fastlegen-pavirker-sykefravaer/480330</w:t>
        </w:r>
      </w:hyperlink>
    </w:p>
    <w:p w14:paraId="31F1285D" w14:textId="6470C5B1" w:rsidR="00A930FB" w:rsidRPr="00FF4077" w:rsidRDefault="00A930FB" w:rsidP="008F5AD8">
      <w:pPr>
        <w:pStyle w:val="opplisting"/>
        <w:rPr>
          <w:lang w:val="en-US"/>
        </w:rPr>
      </w:pPr>
      <w:r w:rsidRPr="00FF4077">
        <w:rPr>
          <w:lang w:val="en-US"/>
        </w:rPr>
        <w:t xml:space="preserve">Anderson, M., Pitchforth, E., &amp; Edwards, N. e. a. (2022). </w:t>
      </w:r>
      <w:r w:rsidRPr="00FF4077">
        <w:rPr>
          <w:i/>
          <w:lang w:val="en-US"/>
        </w:rPr>
        <w:t xml:space="preserve">United Kingdom: health system review. </w:t>
      </w:r>
      <w:r w:rsidRPr="00FF4077">
        <w:rPr>
          <w:lang w:val="en-US"/>
        </w:rPr>
        <w:t xml:space="preserve">. World Health Organization. Regional Office for Europe. Hentet fra </w:t>
      </w:r>
      <w:hyperlink r:id="rId89" w:history="1">
        <w:r w:rsidRPr="00FF4077">
          <w:rPr>
            <w:rStyle w:val="Hyperkobling"/>
            <w:lang w:val="en-US"/>
          </w:rPr>
          <w:t>https://apps.who.int/iris/handle/10665/354075</w:t>
        </w:r>
      </w:hyperlink>
    </w:p>
    <w:p w14:paraId="45D163E9" w14:textId="04C27EC5" w:rsidR="00A930FB" w:rsidRPr="001E1D80" w:rsidRDefault="00A930FB" w:rsidP="008F5AD8">
      <w:pPr>
        <w:pStyle w:val="opplisting"/>
      </w:pPr>
      <w:r w:rsidRPr="00FF4077">
        <w:rPr>
          <w:lang w:val="en-US"/>
        </w:rPr>
        <w:t xml:space="preserve">Anell, A. (2017). </w:t>
      </w:r>
      <w:r w:rsidRPr="001E1D80">
        <w:rPr>
          <w:i/>
        </w:rPr>
        <w:t>Primärvårdens resurser, styrning och organisation: En jämförelse av villkor och förhållanden i Danmark, Norge, Nederländerna och Storbritannien</w:t>
      </w:r>
      <w:r w:rsidRPr="001E1D80">
        <w:t xml:space="preserve"> (PM 2017:1). Stockholm: Vårdanalys. Hentet fra </w:t>
      </w:r>
      <w:hyperlink r:id="rId90" w:history="1">
        <w:r w:rsidRPr="001E1D80">
          <w:rPr>
            <w:rStyle w:val="Hyperkobling"/>
          </w:rPr>
          <w:t>https://www.vardanalys.se/rapporter/primarvardens-resurser-styrning-och-organisation/</w:t>
        </w:r>
      </w:hyperlink>
    </w:p>
    <w:p w14:paraId="593074D2" w14:textId="3B97E061" w:rsidR="00A930FB" w:rsidRPr="00FF4077" w:rsidRDefault="00A930FB" w:rsidP="008F5AD8">
      <w:pPr>
        <w:pStyle w:val="opplisting"/>
        <w:rPr>
          <w:lang w:val="en-US"/>
        </w:rPr>
      </w:pPr>
      <w:r w:rsidRPr="001E1D80">
        <w:t xml:space="preserve">Anell, A., Dackehag, M., &amp; Dietrichson, J. (2018). </w:t>
      </w:r>
      <w:r w:rsidRPr="00FF4077">
        <w:rPr>
          <w:lang w:val="en-US"/>
        </w:rPr>
        <w:t>Does risk-adjusted payment influence primary care providers</w:t>
      </w:r>
      <w:r w:rsidR="00D9107F" w:rsidRPr="00FF4077">
        <w:rPr>
          <w:lang w:val="en-US"/>
        </w:rPr>
        <w:t>’</w:t>
      </w:r>
      <w:r w:rsidRPr="00FF4077">
        <w:rPr>
          <w:lang w:val="en-US"/>
        </w:rPr>
        <w:t xml:space="preserve"> decision on where to set up practices? </w:t>
      </w:r>
      <w:r w:rsidRPr="00FF4077">
        <w:rPr>
          <w:i/>
          <w:lang w:val="en-US"/>
        </w:rPr>
        <w:t>BMC Health Serv Res, 18</w:t>
      </w:r>
      <w:r w:rsidRPr="00FF4077">
        <w:rPr>
          <w:lang w:val="en-US"/>
        </w:rPr>
        <w:t xml:space="preserve">(1), 179. </w:t>
      </w:r>
      <w:hyperlink r:id="rId91" w:history="1">
        <w:r w:rsidRPr="00FF4077">
          <w:rPr>
            <w:rStyle w:val="Hyperkobling"/>
            <w:lang w:val="en-US"/>
          </w:rPr>
          <w:t>https://doi.org/10.1186/s12913-018-2983-3</w:t>
        </w:r>
      </w:hyperlink>
    </w:p>
    <w:p w14:paraId="0BB2E2B9" w14:textId="54DAC389" w:rsidR="00A930FB" w:rsidRPr="00FF4077" w:rsidRDefault="00A930FB" w:rsidP="008F5AD8">
      <w:pPr>
        <w:pStyle w:val="opplisting"/>
        <w:rPr>
          <w:lang w:val="en-US"/>
        </w:rPr>
      </w:pPr>
      <w:r w:rsidRPr="00FF4077">
        <w:rPr>
          <w:lang w:val="en-US"/>
        </w:rPr>
        <w:t xml:space="preserve">Anell, A., Dackehag, M., Dietrichson, J., Ellegård, L. M., &amp; Kjellsson, G. (2022). </w:t>
      </w:r>
      <w:r w:rsidRPr="00FF4077">
        <w:rPr>
          <w:i/>
          <w:lang w:val="en-US"/>
        </w:rPr>
        <w:t>Better Off by Risk Adjustment? Socioeconomic Disparities in Care Utilization in Sweden Following a Payment Reform</w:t>
      </w:r>
      <w:r w:rsidRPr="00FF4077">
        <w:rPr>
          <w:lang w:val="en-US"/>
        </w:rPr>
        <w:t xml:space="preserve"> (Working Paper 2022:15). Lund University</w:t>
      </w:r>
      <w:r w:rsidR="00D9107F" w:rsidRPr="00FF4077">
        <w:rPr>
          <w:lang w:val="en-US"/>
        </w:rPr>
        <w:t xml:space="preserve"> – </w:t>
      </w:r>
      <w:r w:rsidRPr="00FF4077">
        <w:rPr>
          <w:lang w:val="en-US"/>
        </w:rPr>
        <w:t>School of Economics and Management.</w:t>
      </w:r>
    </w:p>
    <w:p w14:paraId="573738BA" w14:textId="77777777" w:rsidR="00A930FB" w:rsidRPr="001E1D80" w:rsidRDefault="00A930FB" w:rsidP="008F5AD8">
      <w:pPr>
        <w:pStyle w:val="opplisting"/>
      </w:pPr>
      <w:r w:rsidRPr="00FF4077">
        <w:rPr>
          <w:lang w:val="en-US"/>
        </w:rPr>
        <w:t xml:space="preserve">Anskaffelser.no. (12. desember 2022). </w:t>
      </w:r>
      <w:r w:rsidRPr="001E1D80">
        <w:rPr>
          <w:i/>
        </w:rPr>
        <w:t>Tjenestespesifikk veileder om anskaffelse av helse- og sosialtjenester</w:t>
      </w:r>
      <w:r w:rsidRPr="001E1D80">
        <w:t>. [nettdokument]. Oslo: Direktoratet for forvaltning og økonomistyring. Hentet 14.03.23</w:t>
      </w:r>
    </w:p>
    <w:p w14:paraId="073C34A5" w14:textId="16A6FE84" w:rsidR="00A930FB" w:rsidRPr="001E1D80" w:rsidRDefault="00A930FB" w:rsidP="008F5AD8">
      <w:pPr>
        <w:pStyle w:val="opplisting"/>
      </w:pPr>
      <w:r w:rsidRPr="001E1D80">
        <w:t xml:space="preserve">Anthony, B. F., Surgey, A., Hiscock, J., Williams, N. H., &amp; Charles, J. M. (2019). </w:t>
      </w:r>
      <w:r w:rsidRPr="00FF4077">
        <w:rPr>
          <w:lang w:val="en-US"/>
        </w:rPr>
        <w:t xml:space="preserve">General medical services by non-medical health professionals: a systematic quantitative review of economic evaluations in primary care. </w:t>
      </w:r>
      <w:r w:rsidRPr="001E1D80">
        <w:rPr>
          <w:i/>
        </w:rPr>
        <w:t>British Journal of General Practice, 69</w:t>
      </w:r>
      <w:r w:rsidRPr="001E1D80">
        <w:t xml:space="preserve">(682), e304-e313. </w:t>
      </w:r>
      <w:hyperlink r:id="rId92" w:history="1">
        <w:r w:rsidRPr="001E1D80">
          <w:rPr>
            <w:rStyle w:val="Hyperkobling"/>
          </w:rPr>
          <w:t>https://doi.org/10.3399/bjgp19X702425</w:t>
        </w:r>
      </w:hyperlink>
    </w:p>
    <w:p w14:paraId="74B9EE73" w14:textId="0D5E1C91" w:rsidR="00A930FB" w:rsidRPr="001E1D80" w:rsidRDefault="00A930FB" w:rsidP="008F5AD8">
      <w:pPr>
        <w:pStyle w:val="opplisting"/>
      </w:pPr>
      <w:r w:rsidRPr="001E1D80">
        <w:t xml:space="preserve">Arentz-Hansen, H., Giske, L., Nilsen, E., &amp; Jor, S. (2020). </w:t>
      </w:r>
      <w:r w:rsidRPr="001E1D80">
        <w:rPr>
          <w:i/>
        </w:rPr>
        <w:t>Hjemmebasert spesialisthelsetjeneste. Medisinsk avstandsoppfølging</w:t>
      </w:r>
      <w:r w:rsidR="00D9107F">
        <w:rPr>
          <w:i/>
        </w:rPr>
        <w:t xml:space="preserve"> – </w:t>
      </w:r>
      <w:r w:rsidRPr="001E1D80">
        <w:rPr>
          <w:i/>
        </w:rPr>
        <w:t>videokonsultasjon (sanntid)</w:t>
      </w:r>
      <w:r w:rsidRPr="001E1D80">
        <w:t xml:space="preserve"> (Rapport). Oslo: Folkehelseinstituttet.</w:t>
      </w:r>
    </w:p>
    <w:p w14:paraId="0A9AE983" w14:textId="0A88A8AD" w:rsidR="00A930FB" w:rsidRPr="00FF4077" w:rsidRDefault="00A930FB" w:rsidP="008F5AD8">
      <w:pPr>
        <w:pStyle w:val="opplisting"/>
        <w:rPr>
          <w:lang w:val="en-US"/>
        </w:rPr>
      </w:pPr>
      <w:r w:rsidRPr="001E1D80">
        <w:lastRenderedPageBreak/>
        <w:t xml:space="preserve">Armitage, R. (2023). Junior doctors leaving the NHS: what would it mean for general practice? </w:t>
      </w:r>
      <w:r w:rsidRPr="00FF4077">
        <w:rPr>
          <w:i/>
          <w:lang w:val="en-US"/>
        </w:rPr>
        <w:t>British Journal of General Practice, 73</w:t>
      </w:r>
      <w:r w:rsidRPr="00FF4077">
        <w:rPr>
          <w:lang w:val="en-US"/>
        </w:rPr>
        <w:t xml:space="preserve">(728), 126-127. </w:t>
      </w:r>
      <w:hyperlink r:id="rId93" w:history="1">
        <w:r w:rsidRPr="00FF4077">
          <w:rPr>
            <w:rStyle w:val="Hyperkobling"/>
            <w:lang w:val="en-US"/>
          </w:rPr>
          <w:t>https://doi.org/10.3399/bjgp23X732189</w:t>
        </w:r>
      </w:hyperlink>
    </w:p>
    <w:p w14:paraId="2B119691" w14:textId="7D379B05" w:rsidR="00A930FB" w:rsidRPr="00FF4077" w:rsidRDefault="00A930FB" w:rsidP="008F5AD8">
      <w:pPr>
        <w:pStyle w:val="opplisting"/>
        <w:rPr>
          <w:lang w:val="en-US"/>
        </w:rPr>
      </w:pPr>
      <w:r w:rsidRPr="00FF4077">
        <w:rPr>
          <w:lang w:val="en-US"/>
        </w:rPr>
        <w:t xml:space="preserve">Arshad, S., McCombe, G., Carberry, C., Harrold, A., &amp; Cullen, W. (2021). What factors influence medical students to enter a career in general practice? A scoping review. </w:t>
      </w:r>
      <w:r w:rsidRPr="00FF4077">
        <w:rPr>
          <w:i/>
          <w:lang w:val="en-US"/>
        </w:rPr>
        <w:t>Ir J Med Sci, 190</w:t>
      </w:r>
      <w:r w:rsidRPr="00FF4077">
        <w:rPr>
          <w:lang w:val="en-US"/>
        </w:rPr>
        <w:t xml:space="preserve">(2), 657-665. </w:t>
      </w:r>
      <w:hyperlink r:id="rId94" w:history="1">
        <w:r w:rsidRPr="00FF4077">
          <w:rPr>
            <w:rStyle w:val="Hyperkobling"/>
            <w:lang w:val="en-US"/>
          </w:rPr>
          <w:t>https://doi.org/10.1007/s11845-020-02345-w</w:t>
        </w:r>
      </w:hyperlink>
    </w:p>
    <w:p w14:paraId="7A0F870E" w14:textId="77777777" w:rsidR="00A930FB" w:rsidRPr="001E1D80" w:rsidRDefault="00A930FB" w:rsidP="008F5AD8">
      <w:pPr>
        <w:pStyle w:val="opplisting"/>
      </w:pPr>
      <w:r w:rsidRPr="00FF4077">
        <w:rPr>
          <w:lang w:val="en-US"/>
        </w:rPr>
        <w:t xml:space="preserve">Askvik, K. (18. april 2018). </w:t>
      </w:r>
      <w:r w:rsidRPr="001E1D80">
        <w:rPr>
          <w:i/>
        </w:rPr>
        <w:t>Oppgaver flyttes fra kirurger til fysioterapeuter</w:t>
      </w:r>
      <w:r w:rsidRPr="001E1D80">
        <w:t>. [nettpublikasjon]. Oslo: Fysioterapeuten. Hentet 20. mars 2023</w:t>
      </w:r>
    </w:p>
    <w:p w14:paraId="2FB0A477" w14:textId="1A2C1DFF" w:rsidR="00A930FB" w:rsidRPr="001E1D80" w:rsidRDefault="00A930FB" w:rsidP="008F5AD8">
      <w:pPr>
        <w:pStyle w:val="opplisting"/>
      </w:pPr>
      <w:r w:rsidRPr="001E1D80">
        <w:t xml:space="preserve">Bakke, S., &amp; Hjemås, G. </w:t>
      </w:r>
      <w:r w:rsidRPr="001E1D80">
        <w:rPr>
          <w:i/>
        </w:rPr>
        <w:t>Sykepleiere på sykehus jobber mer under pandemien</w:t>
      </w:r>
      <w:r w:rsidRPr="001E1D80">
        <w:t xml:space="preserve">. SSB. fra </w:t>
      </w:r>
      <w:hyperlink r:id="rId95" w:history="1">
        <w:r w:rsidRPr="001E1D80">
          <w:rPr>
            <w:rStyle w:val="Hyperkobling"/>
          </w:rPr>
          <w:t>https://www.ssb.no/helse/helsetjenester/artikler/sykepleiere-pa-sykehus-jobber-mer-under-pandemien</w:t>
        </w:r>
      </w:hyperlink>
    </w:p>
    <w:p w14:paraId="3C61E7AA" w14:textId="1E6E7874" w:rsidR="00A930FB" w:rsidRPr="001E1D80" w:rsidRDefault="00A930FB" w:rsidP="008F5AD8">
      <w:pPr>
        <w:pStyle w:val="opplisting"/>
      </w:pPr>
      <w:r w:rsidRPr="001E1D80">
        <w:t xml:space="preserve">Bakken, I. J., Wensaas, K.-A., Furu, K., Grøneng, G. M., Stoltenberg, C., Øverland, S., &amp; Håberg, S. E. (2017). Legesøkning og legemiddeluttak etter innføring av nye fraværsregler. </w:t>
      </w:r>
      <w:r w:rsidRPr="001E1D80">
        <w:rPr>
          <w:i/>
        </w:rPr>
        <w:t>Tidsskrift for den Norske Lægeforening</w:t>
      </w:r>
      <w:r w:rsidRPr="001E1D80">
        <w:t xml:space="preserve">. </w:t>
      </w:r>
      <w:hyperlink r:id="rId96" w:history="1">
        <w:r w:rsidRPr="001E1D80">
          <w:rPr>
            <w:rStyle w:val="Hyperkobling"/>
          </w:rPr>
          <w:t>https://doi.org/10.4045/tidsskr.17.0427</w:t>
        </w:r>
      </w:hyperlink>
    </w:p>
    <w:p w14:paraId="7469DC19" w14:textId="77777777" w:rsidR="00D9107F" w:rsidRPr="00FF4077" w:rsidRDefault="00A930FB" w:rsidP="008F5AD8">
      <w:pPr>
        <w:pStyle w:val="opplisting"/>
        <w:rPr>
          <w:lang w:val="en-US"/>
        </w:rPr>
      </w:pPr>
      <w:r w:rsidRPr="001E1D80">
        <w:t xml:space="preserve">Barker, I., Steventon, A., &amp; Deeny, S. R. (2017). </w:t>
      </w:r>
      <w:r w:rsidRPr="00FF4077">
        <w:rPr>
          <w:lang w:val="en-US"/>
        </w:rPr>
        <w:t xml:space="preserve">Association between continuity of care in general practice and hospital admissions for ambulatory care sensitive conditions: cross sectional study of routinely collected, person level data. </w:t>
      </w:r>
      <w:r w:rsidRPr="00FF4077">
        <w:rPr>
          <w:i/>
          <w:lang w:val="en-US"/>
        </w:rPr>
        <w:t>BMJ, 356</w:t>
      </w:r>
      <w:r w:rsidRPr="00FF4077">
        <w:rPr>
          <w:lang w:val="en-US"/>
        </w:rPr>
        <w:t>, j84.</w:t>
      </w:r>
    </w:p>
    <w:p w14:paraId="1F2AC008" w14:textId="77777777" w:rsidR="00D9107F" w:rsidRPr="00FF4077" w:rsidRDefault="00A930FB" w:rsidP="008F5AD8">
      <w:pPr>
        <w:pStyle w:val="opplisting"/>
        <w:rPr>
          <w:lang w:val="en-US"/>
        </w:rPr>
      </w:pPr>
      <w:r w:rsidRPr="00FF4077">
        <w:rPr>
          <w:lang w:val="en-US"/>
        </w:rPr>
        <w:t xml:space="preserve">Barros, P., &amp; Braun, G. (2017). Upcoding in a National Health Service: the evidence from Portugal. </w:t>
      </w:r>
      <w:r w:rsidRPr="00FF4077">
        <w:rPr>
          <w:i/>
          <w:lang w:val="en-US"/>
        </w:rPr>
        <w:t>Health Economics, 26</w:t>
      </w:r>
      <w:r w:rsidRPr="00FF4077">
        <w:rPr>
          <w:lang w:val="en-US"/>
        </w:rPr>
        <w:t>(5), 600-618.</w:t>
      </w:r>
    </w:p>
    <w:p w14:paraId="147A7513" w14:textId="1C2DABF6" w:rsidR="00A930FB" w:rsidRPr="00FF4077" w:rsidRDefault="00A930FB" w:rsidP="008F5AD8">
      <w:pPr>
        <w:pStyle w:val="opplisting"/>
        <w:rPr>
          <w:lang w:val="en-US"/>
        </w:rPr>
      </w:pPr>
      <w:r w:rsidRPr="00FF4077">
        <w:rPr>
          <w:lang w:val="en-US"/>
        </w:rPr>
        <w:t xml:space="preserve">Batenburg, R., Flinterman, L., Vis, E., Schaaijk, A. v., Geit, E. d., Kenens, R. J., &amp; Duijkers, B. (2022). </w:t>
      </w:r>
      <w:r w:rsidRPr="001E1D80">
        <w:rPr>
          <w:i/>
        </w:rPr>
        <w:t>Cijfers uit de Nivel-registratie van huisartsen en huisartsenpraktijken: Een actualisering voor de periode 2020-2022</w:t>
      </w:r>
      <w:r w:rsidRPr="001E1D80">
        <w:t xml:space="preserve">. </w:t>
      </w:r>
      <w:r w:rsidRPr="00FF4077">
        <w:rPr>
          <w:lang w:val="en-US"/>
        </w:rPr>
        <w:t>Utrecht: Nivel.</w:t>
      </w:r>
    </w:p>
    <w:p w14:paraId="0A010685" w14:textId="77777777" w:rsidR="00A930FB" w:rsidRPr="00FF4077" w:rsidRDefault="00A930FB" w:rsidP="008F5AD8">
      <w:pPr>
        <w:pStyle w:val="opplisting"/>
        <w:rPr>
          <w:lang w:val="en-US"/>
        </w:rPr>
      </w:pPr>
      <w:r w:rsidRPr="00FF4077">
        <w:rPr>
          <w:lang w:val="en-US"/>
        </w:rPr>
        <w:t xml:space="preserve">Berthier, D. (Friday 30 November 2018). </w:t>
      </w:r>
      <w:r w:rsidRPr="00FF4077">
        <w:rPr>
          <w:i/>
          <w:lang w:val="en-US"/>
        </w:rPr>
        <w:t>Europe has a shortage of doctors</w:t>
      </w:r>
      <w:r w:rsidRPr="00FF4077">
        <w:rPr>
          <w:lang w:val="en-US"/>
        </w:rPr>
        <w:t>. European data journalism network. Hentet 13.01.23</w:t>
      </w:r>
    </w:p>
    <w:p w14:paraId="47BC6DDA" w14:textId="77777777" w:rsidR="00D9107F" w:rsidRPr="00FF4077" w:rsidRDefault="00A930FB" w:rsidP="008F5AD8">
      <w:pPr>
        <w:pStyle w:val="opplisting"/>
        <w:rPr>
          <w:lang w:val="en-US"/>
        </w:rPr>
      </w:pPr>
      <w:r w:rsidRPr="00FF4077">
        <w:rPr>
          <w:lang w:val="en-US"/>
        </w:rPr>
        <w:t xml:space="preserve">Berwick, D. M., &amp; Hackbarth, A. D. (2012). Eliminating Waste in US Health Care. </w:t>
      </w:r>
      <w:r w:rsidRPr="00FF4077">
        <w:rPr>
          <w:i/>
          <w:lang w:val="en-US"/>
        </w:rPr>
        <w:t>JAMA Network Open, 14</w:t>
      </w:r>
      <w:r w:rsidRPr="00FF4077">
        <w:rPr>
          <w:lang w:val="en-US"/>
        </w:rPr>
        <w:t>(207), 1513– 1516.</w:t>
      </w:r>
    </w:p>
    <w:p w14:paraId="7DA37DBE" w14:textId="77777777" w:rsidR="00D9107F" w:rsidRDefault="00A930FB" w:rsidP="008F5AD8">
      <w:pPr>
        <w:pStyle w:val="opplisting"/>
      </w:pPr>
      <w:r w:rsidRPr="00FF4077">
        <w:rPr>
          <w:lang w:val="en-US"/>
        </w:rPr>
        <w:t xml:space="preserve">Birkeli, C. N., Rosta, J., Aasland, O. G., &amp; Rø, K. I. (2020). </w:t>
      </w:r>
      <w:r w:rsidRPr="001E1D80">
        <w:t xml:space="preserve">Hvorfor velger leger seg bort fra allmennmedisin? </w:t>
      </w:r>
      <w:r w:rsidRPr="001E1D80">
        <w:rPr>
          <w:i/>
        </w:rPr>
        <w:t>Tidsskrift for den Norske Lægeforening</w:t>
      </w:r>
      <w:r w:rsidRPr="001E1D80">
        <w:t>.</w:t>
      </w:r>
    </w:p>
    <w:p w14:paraId="3A97D5DA" w14:textId="703F1E6C" w:rsidR="00D9107F" w:rsidRDefault="00A930FB" w:rsidP="008F5AD8">
      <w:pPr>
        <w:pStyle w:val="opplisting"/>
      </w:pPr>
      <w:r w:rsidRPr="001E1D80">
        <w:t>Blaunfeldt-Petersen, B., &amp; Fosse, A. (2021). Helgelandslegen</w:t>
      </w:r>
      <w:r w:rsidR="00D9107F">
        <w:t xml:space="preserve"> – </w:t>
      </w:r>
      <w:r w:rsidRPr="001E1D80">
        <w:t xml:space="preserve">et rekrutteringsprosjekt. </w:t>
      </w:r>
      <w:r w:rsidRPr="001E1D80">
        <w:rPr>
          <w:i/>
        </w:rPr>
        <w:t>Utposten, 5</w:t>
      </w:r>
      <w:r w:rsidRPr="001E1D80">
        <w:t>, 6-8.</w:t>
      </w:r>
    </w:p>
    <w:p w14:paraId="7B266C33" w14:textId="041BD3C5" w:rsidR="00A930FB" w:rsidRPr="001E1D80" w:rsidRDefault="00A930FB" w:rsidP="008F5AD8">
      <w:pPr>
        <w:pStyle w:val="opplisting"/>
      </w:pPr>
      <w:r w:rsidRPr="001E1D80">
        <w:t xml:space="preserve">Bmjcareers. </w:t>
      </w:r>
      <w:r w:rsidRPr="00FF4077">
        <w:rPr>
          <w:i/>
          <w:lang w:val="en-US"/>
        </w:rPr>
        <w:t>How To Become A GP in the UK: A Step-by-Step Guide</w:t>
      </w:r>
      <w:r w:rsidRPr="00FF4077">
        <w:rPr>
          <w:lang w:val="en-US"/>
        </w:rPr>
        <w:t xml:space="preserve">. </w:t>
      </w:r>
      <w:r w:rsidRPr="001E1D80">
        <w:t xml:space="preserve">[nettdokument]. bmjcareers. Hentet 21. mars 2023, fra </w:t>
      </w:r>
      <w:hyperlink r:id="rId97" w:history="1">
        <w:r w:rsidRPr="001E1D80">
          <w:rPr>
            <w:rStyle w:val="Hyperkobling"/>
          </w:rPr>
          <w:t>https://www.bmj.com/careers/article/how-to-become-a-gp-in-the-uk-a-step-by-step-guide</w:t>
        </w:r>
      </w:hyperlink>
    </w:p>
    <w:p w14:paraId="41485361" w14:textId="6735321F" w:rsidR="00D9107F" w:rsidRPr="00FF4077" w:rsidRDefault="00A930FB" w:rsidP="008F5AD8">
      <w:pPr>
        <w:pStyle w:val="opplisting"/>
        <w:rPr>
          <w:lang w:val="en-US"/>
        </w:rPr>
      </w:pPr>
      <w:r w:rsidRPr="00FF4077">
        <w:rPr>
          <w:lang w:val="en-US"/>
        </w:rPr>
        <w:t>Bostjancic, E., &amp; Galic, K. (2020). Returning to Work After Sick Leave</w:t>
      </w:r>
      <w:r w:rsidR="00D9107F" w:rsidRPr="00FF4077">
        <w:rPr>
          <w:lang w:val="en-US"/>
        </w:rPr>
        <w:t xml:space="preserve"> – </w:t>
      </w:r>
      <w:r w:rsidRPr="00FF4077">
        <w:rPr>
          <w:lang w:val="en-US"/>
        </w:rPr>
        <w:t xml:space="preserve">The Role of Work Demands and Resources, Self-Efficacy, and Social Support. </w:t>
      </w:r>
      <w:r w:rsidRPr="00FF4077">
        <w:rPr>
          <w:i/>
          <w:lang w:val="en-US"/>
        </w:rPr>
        <w:t>Frontiers in Psychology, 11</w:t>
      </w:r>
      <w:r w:rsidRPr="00FF4077">
        <w:rPr>
          <w:lang w:val="en-US"/>
        </w:rPr>
        <w:t>, 661.</w:t>
      </w:r>
    </w:p>
    <w:p w14:paraId="1F2C8FD7" w14:textId="6DF3E941" w:rsidR="00A930FB" w:rsidRPr="001E1D80" w:rsidRDefault="00A930FB" w:rsidP="008F5AD8">
      <w:pPr>
        <w:pStyle w:val="opplisting"/>
      </w:pPr>
      <w:r w:rsidRPr="00FF4077">
        <w:rPr>
          <w:lang w:val="en-US"/>
        </w:rPr>
        <w:t xml:space="preserve">Brandstorp, H. (2017). </w:t>
      </w:r>
      <w:r w:rsidRPr="00FF4077">
        <w:rPr>
          <w:i/>
          <w:lang w:val="en-US"/>
        </w:rPr>
        <w:t>Training interactions in local teams: Using critical participatory action research to explore context based learning</w:t>
      </w:r>
      <w:r w:rsidRPr="00FF4077">
        <w:rPr>
          <w:lang w:val="en-US"/>
        </w:rPr>
        <w:t xml:space="preserve"> (doktorgrad). </w:t>
      </w:r>
      <w:r w:rsidRPr="001E1D80">
        <w:t>(ISM skriftserie; 175). Tromsø: Norges arktiske universitet, UiT.</w:t>
      </w:r>
    </w:p>
    <w:p w14:paraId="1AE71A5E" w14:textId="77777777" w:rsidR="00D9107F" w:rsidRPr="00FF4077" w:rsidRDefault="00A930FB" w:rsidP="008F5AD8">
      <w:pPr>
        <w:pStyle w:val="opplisting"/>
        <w:rPr>
          <w:lang w:val="en-US"/>
        </w:rPr>
      </w:pPr>
      <w:r w:rsidRPr="001E1D80">
        <w:lastRenderedPageBreak/>
        <w:t xml:space="preserve">Brandstorp, H., Halvorsen, P. A., Sterud, B., Haugland, B., &amp; Kirkengen, A. L. (2016). </w:t>
      </w:r>
      <w:r w:rsidRPr="00FF4077">
        <w:rPr>
          <w:lang w:val="en-US"/>
        </w:rPr>
        <w:t xml:space="preserve">Primary care emergency team training in situ means learning in real context. </w:t>
      </w:r>
      <w:r w:rsidRPr="00FF4077">
        <w:rPr>
          <w:i/>
          <w:lang w:val="en-US"/>
        </w:rPr>
        <w:t>Scandinavian Journal of Primary Health Care, 34</w:t>
      </w:r>
      <w:r w:rsidRPr="00FF4077">
        <w:rPr>
          <w:lang w:val="en-US"/>
        </w:rPr>
        <w:t>(3), 295-303.</w:t>
      </w:r>
    </w:p>
    <w:p w14:paraId="218BFB86" w14:textId="0EB39851" w:rsidR="00A930FB" w:rsidRPr="001E1D80" w:rsidRDefault="00A930FB" w:rsidP="008F5AD8">
      <w:pPr>
        <w:pStyle w:val="opplisting"/>
      </w:pPr>
      <w:r w:rsidRPr="00FF4077">
        <w:rPr>
          <w:lang w:val="en-US"/>
        </w:rPr>
        <w:t xml:space="preserve">Breivik, E., Rotvold, G.-H., Steen Lindseth, L., Bjørvig, S., &amp; Michalsen, K. (2021). </w:t>
      </w:r>
      <w:r w:rsidRPr="001E1D80">
        <w:rPr>
          <w:i/>
        </w:rPr>
        <w:t>Kunnskapsoppsummering om effekter av trygghets- og mestringsteknologi</w:t>
      </w:r>
      <w:r w:rsidRPr="001E1D80">
        <w:t xml:space="preserve"> (NSE-rapport 2021-02). Tromsø: Nasjonalt senter for e-helseforskning.</w:t>
      </w:r>
    </w:p>
    <w:p w14:paraId="14AE1485" w14:textId="77777777" w:rsidR="00D9107F" w:rsidRDefault="00A930FB" w:rsidP="008F5AD8">
      <w:pPr>
        <w:pStyle w:val="opplisting"/>
      </w:pPr>
      <w:r w:rsidRPr="00FF4077">
        <w:rPr>
          <w:lang w:val="en-US"/>
        </w:rPr>
        <w:t xml:space="preserve">Breivold, J., Ro, K. I., &amp; Hjorleifsson, S. (2022). Conditions for gatekeeping when GPs consider patient requests unreasonable: a focus group study. </w:t>
      </w:r>
      <w:r w:rsidRPr="001E1D80">
        <w:rPr>
          <w:i/>
        </w:rPr>
        <w:t>Family Practice, 39</w:t>
      </w:r>
      <w:r w:rsidRPr="001E1D80">
        <w:t>(1), 125-129.</w:t>
      </w:r>
    </w:p>
    <w:p w14:paraId="7C7721BE" w14:textId="77777777" w:rsidR="00D9107F" w:rsidRDefault="00A930FB" w:rsidP="008F5AD8">
      <w:pPr>
        <w:pStyle w:val="opplisting"/>
      </w:pPr>
      <w:r w:rsidRPr="001E1D80">
        <w:t xml:space="preserve">Brekke, D. (1988). Allmennpraksis i offentlig regi. . </w:t>
      </w:r>
      <w:r w:rsidRPr="001E1D80">
        <w:rPr>
          <w:i/>
        </w:rPr>
        <w:t>Tidsskr Nor Lægeforen 108</w:t>
      </w:r>
      <w:r w:rsidRPr="001E1D80">
        <w:t>(29B), 2598–2601.</w:t>
      </w:r>
    </w:p>
    <w:p w14:paraId="69E90482" w14:textId="77777777" w:rsidR="00D9107F" w:rsidRPr="00FF4077" w:rsidRDefault="00A930FB" w:rsidP="008F5AD8">
      <w:pPr>
        <w:pStyle w:val="opplisting"/>
        <w:rPr>
          <w:lang w:val="en-US"/>
        </w:rPr>
      </w:pPr>
      <w:r w:rsidRPr="001E1D80">
        <w:t xml:space="preserve">Brekke, K. R., Holmåa, T. H., Monstad, K., &amp; Straume, O. R. (2020). </w:t>
      </w:r>
      <w:r w:rsidRPr="00FF4077">
        <w:rPr>
          <w:lang w:val="en-US"/>
        </w:rPr>
        <w:t xml:space="preserve">How does the type of remuneration affect physician behaviour?: Fixed salary versus fee-for-service. </w:t>
      </w:r>
      <w:r w:rsidRPr="00FF4077">
        <w:rPr>
          <w:i/>
          <w:lang w:val="en-US"/>
        </w:rPr>
        <w:t>Am Jour of Health Ec, 6</w:t>
      </w:r>
      <w:r w:rsidRPr="00FF4077">
        <w:rPr>
          <w:lang w:val="en-US"/>
        </w:rPr>
        <w:t>(1).</w:t>
      </w:r>
    </w:p>
    <w:p w14:paraId="6C0B1EC4" w14:textId="0DC9D9A9" w:rsidR="00A930FB" w:rsidRPr="001E1D80" w:rsidRDefault="00A930FB" w:rsidP="008F5AD8">
      <w:pPr>
        <w:pStyle w:val="opplisting"/>
      </w:pPr>
      <w:r w:rsidRPr="00FF4077">
        <w:rPr>
          <w:lang w:val="en-US"/>
        </w:rPr>
        <w:t xml:space="preserve">Brekke, K. R., Holmås, T. H., Monstad, K., &amp; Straume, O. R. (2015). </w:t>
      </w:r>
      <w:r w:rsidRPr="00FF4077">
        <w:rPr>
          <w:i/>
          <w:lang w:val="en-US"/>
        </w:rPr>
        <w:t>Do treatment decisions depend on physicians</w:t>
      </w:r>
      <w:r w:rsidR="00D9107F" w:rsidRPr="00FF4077">
        <w:rPr>
          <w:i/>
          <w:lang w:val="en-US"/>
        </w:rPr>
        <w:t>’</w:t>
      </w:r>
      <w:r w:rsidRPr="00FF4077">
        <w:rPr>
          <w:i/>
          <w:lang w:val="en-US"/>
        </w:rPr>
        <w:t xml:space="preserve"> financial incentives?</w:t>
      </w:r>
      <w:r w:rsidRPr="00FF4077">
        <w:rPr>
          <w:lang w:val="en-US"/>
        </w:rPr>
        <w:t xml:space="preserve"> (Working Paper 4-2015). </w:t>
      </w:r>
      <w:r w:rsidRPr="001E1D80">
        <w:t>Bergen: UNI Research Rokkan Centre.</w:t>
      </w:r>
    </w:p>
    <w:p w14:paraId="2D1FD3B0" w14:textId="77777777" w:rsidR="00A930FB" w:rsidRPr="001E1D80" w:rsidRDefault="00A930FB" w:rsidP="008F5AD8">
      <w:pPr>
        <w:pStyle w:val="opplisting"/>
      </w:pPr>
      <w:r w:rsidRPr="001E1D80">
        <w:t xml:space="preserve">Brenne, K., Holmåas, T., &amp; Monstad, K., et al. . </w:t>
      </w:r>
      <w:r w:rsidRPr="00FF4077">
        <w:rPr>
          <w:lang w:val="en-US"/>
        </w:rPr>
        <w:t xml:space="preserve">(2018). </w:t>
      </w:r>
      <w:r w:rsidRPr="00FF4077">
        <w:rPr>
          <w:i/>
          <w:lang w:val="en-US"/>
        </w:rPr>
        <w:t xml:space="preserve">How does the type of remuneration affect physician behaviour? </w:t>
      </w:r>
      <w:r w:rsidRPr="001E1D80">
        <w:rPr>
          <w:i/>
        </w:rPr>
        <w:t>Fixed salary versus fee-for-service.</w:t>
      </w:r>
      <w:r w:rsidRPr="001E1D80">
        <w:t xml:space="preserve"> (Rapport nr 6/2018). Bergen: Konkurransetilsynet.</w:t>
      </w:r>
    </w:p>
    <w:p w14:paraId="64B6B180" w14:textId="77777777" w:rsidR="00A930FB" w:rsidRPr="00FF4077" w:rsidRDefault="00A930FB" w:rsidP="008F5AD8">
      <w:pPr>
        <w:pStyle w:val="opplisting"/>
        <w:rPr>
          <w:lang w:val="en-US"/>
        </w:rPr>
      </w:pPr>
      <w:r w:rsidRPr="00FF4077">
        <w:rPr>
          <w:lang w:val="en-US"/>
        </w:rPr>
        <w:t xml:space="preserve">British Medical Association. (15. november 2022). </w:t>
      </w:r>
      <w:r w:rsidRPr="00FF4077">
        <w:rPr>
          <w:i/>
          <w:lang w:val="en-US"/>
        </w:rPr>
        <w:t>BMA Scotland: Urgent support required for GPs as practices buckle under unrelenting pressures</w:t>
      </w:r>
      <w:r w:rsidRPr="00FF4077">
        <w:rPr>
          <w:lang w:val="en-US"/>
        </w:rPr>
        <w:t>. The British Medical Association (BMA). Hentet 20. mars 2023</w:t>
      </w:r>
    </w:p>
    <w:p w14:paraId="6979287B" w14:textId="77777777" w:rsidR="00A930FB" w:rsidRPr="00FF4077" w:rsidRDefault="00A930FB" w:rsidP="008F5AD8">
      <w:pPr>
        <w:pStyle w:val="opplisting"/>
        <w:rPr>
          <w:lang w:val="en-US"/>
        </w:rPr>
      </w:pPr>
      <w:r w:rsidRPr="00FF4077">
        <w:rPr>
          <w:lang w:val="en-US"/>
        </w:rPr>
        <w:t xml:space="preserve">British Medical Association. (3. mars 2023). </w:t>
      </w:r>
      <w:r w:rsidRPr="00FF4077">
        <w:rPr>
          <w:i/>
          <w:lang w:val="en-US"/>
        </w:rPr>
        <w:t>Enhanced services GP practices can seek funding for</w:t>
      </w:r>
      <w:r w:rsidRPr="00FF4077">
        <w:rPr>
          <w:lang w:val="en-US"/>
        </w:rPr>
        <w:t>. [nettdokument]. UK: British Medical Association. Hentet 15.03.23</w:t>
      </w:r>
    </w:p>
    <w:p w14:paraId="37297B95" w14:textId="77777777" w:rsidR="00A930FB" w:rsidRPr="00FF4077" w:rsidRDefault="00A930FB" w:rsidP="008F5AD8">
      <w:pPr>
        <w:pStyle w:val="opplisting"/>
        <w:rPr>
          <w:lang w:val="en-US"/>
        </w:rPr>
      </w:pPr>
      <w:r w:rsidRPr="00FF4077">
        <w:rPr>
          <w:lang w:val="en-US"/>
        </w:rPr>
        <w:t xml:space="preserve">British Medical Association. (26 February 2023). </w:t>
      </w:r>
      <w:r w:rsidRPr="00FF4077">
        <w:rPr>
          <w:i/>
          <w:lang w:val="en-US"/>
        </w:rPr>
        <w:t>Pressures in general practice data analysis</w:t>
      </w:r>
      <w:r w:rsidRPr="00FF4077">
        <w:rPr>
          <w:lang w:val="en-US"/>
        </w:rPr>
        <w:t>.London: British Medical Association (BMA). Hentet 20. mars 2023</w:t>
      </w:r>
    </w:p>
    <w:p w14:paraId="69649B7A" w14:textId="77777777" w:rsidR="00A930FB" w:rsidRPr="00FF4077" w:rsidRDefault="00A930FB" w:rsidP="008F5AD8">
      <w:pPr>
        <w:pStyle w:val="opplisting"/>
        <w:rPr>
          <w:lang w:val="en-US"/>
        </w:rPr>
      </w:pPr>
      <w:r w:rsidRPr="00FF4077">
        <w:rPr>
          <w:lang w:val="en-US"/>
        </w:rPr>
        <w:t xml:space="preserve">Brændvang, A.-K. (2008). </w:t>
      </w:r>
      <w:r w:rsidRPr="00FF4077">
        <w:rPr>
          <w:i/>
          <w:lang w:val="en-US"/>
        </w:rPr>
        <w:t>Norwegian health accounts: Eurostat project report</w:t>
      </w:r>
      <w:r w:rsidRPr="00FF4077">
        <w:rPr>
          <w:lang w:val="en-US"/>
        </w:rPr>
        <w:t xml:space="preserve"> (2008/9). Oslo: Statistisk sentralbyrå.</w:t>
      </w:r>
    </w:p>
    <w:p w14:paraId="7308D81F" w14:textId="77777777" w:rsidR="00D9107F" w:rsidRDefault="00A930FB" w:rsidP="008F5AD8">
      <w:pPr>
        <w:pStyle w:val="opplisting"/>
      </w:pPr>
      <w:r w:rsidRPr="00FF4077">
        <w:rPr>
          <w:lang w:val="en-US"/>
        </w:rPr>
        <w:t xml:space="preserve">Cannon, M. D., &amp; Edmondson, A. D. (2005). Failing to Learn and Learning to Fail (Intelligently): How Great Organizations Put Failure to Work to Innovate and Improve. </w:t>
      </w:r>
      <w:r w:rsidRPr="001E1D80">
        <w:rPr>
          <w:i/>
        </w:rPr>
        <w:t>Long Range Planning, 38</w:t>
      </w:r>
      <w:r w:rsidRPr="001E1D80">
        <w:t>(3), 299-319.</w:t>
      </w:r>
    </w:p>
    <w:p w14:paraId="5A1A0C84" w14:textId="2B5EE877" w:rsidR="00A930FB" w:rsidRPr="00FF4077" w:rsidRDefault="00A930FB" w:rsidP="008F5AD8">
      <w:pPr>
        <w:pStyle w:val="opplisting"/>
        <w:rPr>
          <w:lang w:val="en-US"/>
        </w:rPr>
      </w:pPr>
      <w:r w:rsidRPr="001E1D80">
        <w:t xml:space="preserve">Cappelen, Å., Dapi, B., Gjefsen, H. M., &amp; Stølen, N. M. (2020). </w:t>
      </w:r>
      <w:r w:rsidRPr="001E1D80">
        <w:rPr>
          <w:i/>
        </w:rPr>
        <w:t>Framskrivinger av arbeidsstyrken og sysselsettingen etter utdanning mot 2040</w:t>
      </w:r>
      <w:r w:rsidRPr="001E1D80">
        <w:t xml:space="preserve"> (Rapporter</w:t>
      </w:r>
      <w:r w:rsidR="00D9107F">
        <w:t xml:space="preserve"> </w:t>
      </w:r>
      <w:r w:rsidRPr="001E1D80">
        <w:t xml:space="preserve">2020/41). </w:t>
      </w:r>
      <w:r w:rsidRPr="00FF4077">
        <w:rPr>
          <w:lang w:val="en-US"/>
        </w:rPr>
        <w:t>Oslo: S. sentralbyrå.</w:t>
      </w:r>
    </w:p>
    <w:p w14:paraId="7EEA2CC6" w14:textId="77777777" w:rsidR="00A930FB" w:rsidRPr="001E1D80" w:rsidRDefault="00A930FB" w:rsidP="008F5AD8">
      <w:pPr>
        <w:pStyle w:val="opplisting"/>
      </w:pPr>
      <w:r w:rsidRPr="00FF4077">
        <w:rPr>
          <w:lang w:val="en-US"/>
        </w:rPr>
        <w:t xml:space="preserve">Carlsen A., Clegg, S., &amp; R., G. (2012). </w:t>
      </w:r>
      <w:r w:rsidRPr="00FF4077">
        <w:rPr>
          <w:i/>
          <w:lang w:val="en-US"/>
        </w:rPr>
        <w:t xml:space="preserve">Idea work. </w:t>
      </w:r>
      <w:r w:rsidRPr="001E1D80">
        <w:rPr>
          <w:i/>
        </w:rPr>
        <w:t>Om profesjonell kreativitet</w:t>
      </w:r>
      <w:r w:rsidRPr="001E1D80">
        <w:t>. Oslo: Cappelen Damm Akademisk.</w:t>
      </w:r>
    </w:p>
    <w:p w14:paraId="0F1BFF3E" w14:textId="77777777" w:rsidR="00D9107F" w:rsidRDefault="00A930FB" w:rsidP="008F5AD8">
      <w:pPr>
        <w:pStyle w:val="opplisting"/>
      </w:pPr>
      <w:r w:rsidRPr="00FF4077">
        <w:rPr>
          <w:lang w:val="en-US"/>
        </w:rPr>
        <w:t xml:space="preserve">Claus, G., &amp; Hjemås, G. (2023a). </w:t>
      </w:r>
      <w:r w:rsidRPr="001E1D80">
        <w:rPr>
          <w:i/>
        </w:rPr>
        <w:t xml:space="preserve">Hvor blir det av fastlegene som slutter? </w:t>
      </w:r>
      <w:r w:rsidRPr="001E1D80">
        <w:t>. Notat til ekspertutvalg for gjennomgang av allmennlegetjenesten. SSB.</w:t>
      </w:r>
    </w:p>
    <w:p w14:paraId="7E1938E3" w14:textId="77777777" w:rsidR="00D9107F" w:rsidRDefault="00A930FB" w:rsidP="008F5AD8">
      <w:pPr>
        <w:pStyle w:val="opplisting"/>
      </w:pPr>
      <w:r w:rsidRPr="001E1D80">
        <w:lastRenderedPageBreak/>
        <w:t xml:space="preserve">Claus, G., &amp; Hjemås, G. (2023b). </w:t>
      </w:r>
      <w:r w:rsidRPr="001E1D80">
        <w:rPr>
          <w:i/>
        </w:rPr>
        <w:t>Inntekt for personer utdannet som lege</w:t>
      </w:r>
      <w:r w:rsidRPr="001E1D80">
        <w:t>. Notat til ekspertutvalg for gjennomgang av allmennlegetjenesten.</w:t>
      </w:r>
    </w:p>
    <w:p w14:paraId="7C2D81E8" w14:textId="401B9B15" w:rsidR="00A930FB" w:rsidRPr="00FF4077" w:rsidRDefault="00A930FB" w:rsidP="008F5AD8">
      <w:pPr>
        <w:pStyle w:val="opplisting"/>
        <w:rPr>
          <w:lang w:val="en-US"/>
        </w:rPr>
      </w:pPr>
      <w:r w:rsidRPr="001E1D80">
        <w:t xml:space="preserve">Cohidon, C., Wild, P., &amp; Senn, N. (2020). </w:t>
      </w:r>
      <w:r w:rsidRPr="00FF4077">
        <w:rPr>
          <w:lang w:val="en-US"/>
        </w:rPr>
        <w:t xml:space="preserve">Job stress among GPs: associations with practice organisation in 11 high-income countries. </w:t>
      </w:r>
      <w:r w:rsidRPr="00FF4077">
        <w:rPr>
          <w:i/>
          <w:lang w:val="en-US"/>
        </w:rPr>
        <w:t>British Journal of General Practice, 70</w:t>
      </w:r>
      <w:r w:rsidRPr="00FF4077">
        <w:rPr>
          <w:lang w:val="en-US"/>
        </w:rPr>
        <w:t xml:space="preserve">(698), e657-e667. </w:t>
      </w:r>
      <w:hyperlink r:id="rId98" w:history="1">
        <w:r w:rsidRPr="00FF4077">
          <w:rPr>
            <w:rStyle w:val="Hyperkobling"/>
            <w:lang w:val="en-US"/>
          </w:rPr>
          <w:t>https://doi.org/10.3399/bjgp20X710909</w:t>
        </w:r>
      </w:hyperlink>
    </w:p>
    <w:p w14:paraId="5F8B9C60" w14:textId="77777777" w:rsidR="00A930FB" w:rsidRPr="00FF4077" w:rsidRDefault="00A930FB" w:rsidP="008F5AD8">
      <w:pPr>
        <w:pStyle w:val="opplisting"/>
        <w:rPr>
          <w:lang w:val="en-US"/>
        </w:rPr>
      </w:pPr>
      <w:r w:rsidRPr="00FF4077">
        <w:rPr>
          <w:lang w:val="en-US"/>
        </w:rPr>
        <w:t xml:space="preserve">Commision, E. </w:t>
      </w:r>
      <w:r w:rsidRPr="00FF4077">
        <w:rPr>
          <w:i/>
          <w:lang w:val="en-US"/>
        </w:rPr>
        <w:t>Consensus Statement of the European Medical Organisations on Continuing Professional Development Luxembourg, Comité Permanent des Médicins Europeéns (CPME).</w:t>
      </w:r>
      <w:r w:rsidRPr="00FF4077">
        <w:rPr>
          <w:lang w:val="en-US"/>
        </w:rPr>
        <w:t>Luxemburg</w:t>
      </w:r>
    </w:p>
    <w:p w14:paraId="7E72EFF6" w14:textId="0CB4BF12" w:rsidR="00A930FB" w:rsidRPr="00FF4077" w:rsidRDefault="00A930FB" w:rsidP="008F5AD8">
      <w:pPr>
        <w:pStyle w:val="opplisting"/>
        <w:rPr>
          <w:lang w:val="en-US"/>
        </w:rPr>
      </w:pPr>
      <w:r w:rsidRPr="00FF4077">
        <w:rPr>
          <w:lang w:val="en-US"/>
        </w:rPr>
        <w:t xml:space="preserve">Commonwealth Fund. </w:t>
      </w:r>
      <w:r w:rsidRPr="00FF4077">
        <w:rPr>
          <w:i/>
          <w:lang w:val="en-US"/>
        </w:rPr>
        <w:t>International health care system profile Netherlands</w:t>
      </w:r>
      <w:r w:rsidRPr="00FF4077">
        <w:rPr>
          <w:lang w:val="en-US"/>
        </w:rPr>
        <w:t xml:space="preserve">. fra </w:t>
      </w:r>
      <w:hyperlink r:id="rId99" w:history="1">
        <w:r w:rsidRPr="00FF4077">
          <w:rPr>
            <w:rStyle w:val="Hyperkobling"/>
            <w:lang w:val="en-US"/>
          </w:rPr>
          <w:t>https://www.commonwealthfund.org/international-health-policy-center/countries/netherlands</w:t>
        </w:r>
      </w:hyperlink>
    </w:p>
    <w:p w14:paraId="2D6E6CB6" w14:textId="5598EB39" w:rsidR="00A930FB" w:rsidRPr="00FF4077" w:rsidRDefault="00A930FB" w:rsidP="008F5AD8">
      <w:pPr>
        <w:pStyle w:val="opplisting"/>
        <w:rPr>
          <w:lang w:val="en-US"/>
        </w:rPr>
      </w:pPr>
      <w:r w:rsidRPr="00FF4077">
        <w:rPr>
          <w:lang w:val="en-US"/>
        </w:rPr>
        <w:t xml:space="preserve">Cooper, M. A., McDowell, J., Raeside, L., &amp; Group, A.-C. (2019). The similarities and differences between advanced nurse practitioners and clinical nurse specialists. </w:t>
      </w:r>
      <w:r w:rsidRPr="00FF4077">
        <w:rPr>
          <w:i/>
          <w:lang w:val="en-US"/>
        </w:rPr>
        <w:t>British Journal of Nursing, 28</w:t>
      </w:r>
      <w:r w:rsidRPr="00FF4077">
        <w:rPr>
          <w:lang w:val="en-US"/>
        </w:rPr>
        <w:t xml:space="preserve">(20), 1308-1314. </w:t>
      </w:r>
      <w:hyperlink r:id="rId100" w:history="1">
        <w:r w:rsidRPr="00FF4077">
          <w:rPr>
            <w:rStyle w:val="Hyperkobling"/>
            <w:lang w:val="en-US"/>
          </w:rPr>
          <w:t>https://doi.org/10.12968/bjon.2019.28.20.1308</w:t>
        </w:r>
      </w:hyperlink>
    </w:p>
    <w:p w14:paraId="1E7DC434" w14:textId="5AE0BF36" w:rsidR="00A930FB" w:rsidRPr="00FF4077" w:rsidRDefault="00A930FB" w:rsidP="008F5AD8">
      <w:pPr>
        <w:pStyle w:val="opplisting"/>
        <w:rPr>
          <w:lang w:val="en-US"/>
        </w:rPr>
      </w:pPr>
      <w:r w:rsidRPr="00FF4077">
        <w:rPr>
          <w:lang w:val="en-US"/>
        </w:rPr>
        <w:t>Croxson, C. H., Ashdown, H. F., &amp; Hobbs, F. R. (2017). GPs</w:t>
      </w:r>
      <w:r w:rsidR="00D9107F" w:rsidRPr="00FF4077">
        <w:rPr>
          <w:lang w:val="en-US"/>
        </w:rPr>
        <w:t>’</w:t>
      </w:r>
      <w:r w:rsidRPr="00FF4077">
        <w:rPr>
          <w:lang w:val="en-US"/>
        </w:rPr>
        <w:t xml:space="preserve"> perceptions of workload in England: a qualitative interview study. </w:t>
      </w:r>
      <w:r w:rsidRPr="00FF4077">
        <w:rPr>
          <w:i/>
          <w:lang w:val="en-US"/>
        </w:rPr>
        <w:t>British Journal of General Practice, 67</w:t>
      </w:r>
      <w:r w:rsidRPr="00FF4077">
        <w:rPr>
          <w:lang w:val="en-US"/>
        </w:rPr>
        <w:t xml:space="preserve">(655), e138-e147. </w:t>
      </w:r>
      <w:hyperlink r:id="rId101" w:history="1">
        <w:r w:rsidRPr="00FF4077">
          <w:rPr>
            <w:rStyle w:val="Hyperkobling"/>
            <w:lang w:val="en-US"/>
          </w:rPr>
          <w:t>https://doi.org/10.3399/bjgp17X688849</w:t>
        </w:r>
      </w:hyperlink>
    </w:p>
    <w:p w14:paraId="7AF48B79" w14:textId="06F76A47" w:rsidR="00A930FB" w:rsidRPr="001E1D80" w:rsidRDefault="00A930FB" w:rsidP="008F5AD8">
      <w:pPr>
        <w:pStyle w:val="opplisting"/>
      </w:pPr>
      <w:r w:rsidRPr="00FF4077">
        <w:rPr>
          <w:lang w:val="en-US"/>
        </w:rPr>
        <w:t xml:space="preserve">Cutch College of GPs. </w:t>
      </w:r>
      <w:r w:rsidRPr="00FF4077">
        <w:rPr>
          <w:i/>
          <w:lang w:val="en-US"/>
        </w:rPr>
        <w:t>How are the training and quality of GPs arranged in the Netherlands?</w:t>
      </w:r>
      <w:r w:rsidRPr="00FF4077">
        <w:rPr>
          <w:lang w:val="en-US"/>
        </w:rPr>
        <w:t xml:space="preserve"> </w:t>
      </w:r>
      <w:r w:rsidRPr="001E1D80">
        <w:t xml:space="preserve">[nettdokument]. GPinfo.nl. Hentet 21. mars 2023, fra </w:t>
      </w:r>
      <w:hyperlink r:id="rId102" w:history="1">
        <w:r w:rsidRPr="001E1D80">
          <w:rPr>
            <w:rStyle w:val="Hyperkobling"/>
          </w:rPr>
          <w:t>https://gpinfo.nl/how-are-training-and-quality-of-gps-arranged-in-netherlands</w:t>
        </w:r>
      </w:hyperlink>
    </w:p>
    <w:p w14:paraId="5B65764B" w14:textId="77777777" w:rsidR="00A930FB" w:rsidRPr="001E1D80" w:rsidRDefault="00A930FB" w:rsidP="008F5AD8">
      <w:pPr>
        <w:pStyle w:val="opplisting"/>
      </w:pPr>
      <w:r w:rsidRPr="001E1D80">
        <w:t xml:space="preserve">Dahl, E., &amp; Elstad, J. I. (2022). </w:t>
      </w:r>
      <w:r w:rsidRPr="001E1D80">
        <w:rPr>
          <w:i/>
        </w:rPr>
        <w:t>Sosial ulikhet tar liv : faglige og folkehelsepolitiske vurderinger</w:t>
      </w:r>
      <w:r w:rsidRPr="001E1D80">
        <w:t>. Oslo: Nasjonalforeningen for folkehelsen.</w:t>
      </w:r>
    </w:p>
    <w:p w14:paraId="5AF2A0BB" w14:textId="77777777" w:rsidR="00D9107F" w:rsidRDefault="00A930FB" w:rsidP="008F5AD8">
      <w:pPr>
        <w:pStyle w:val="opplisting"/>
      </w:pPr>
      <w:r w:rsidRPr="001E1D80">
        <w:t xml:space="preserve">Danielsen, K., Holmboe, O., Hansen, S. L., Førland, O., &amp; Bjertnæs, Ø. A. (2012). Brukererfaringer med norske legevakter: resultater fra en spørreskjemaundersøkelse ved Vakttårn-legevaktene. Hovedresultater. </w:t>
      </w:r>
      <w:r w:rsidRPr="001E1D80">
        <w:rPr>
          <w:i/>
        </w:rPr>
        <w:t xml:space="preserve">PasOpp-rapport, </w:t>
      </w:r>
      <w:r w:rsidRPr="001E1D80">
        <w:t>(1-2012).</w:t>
      </w:r>
    </w:p>
    <w:p w14:paraId="185EEFE1" w14:textId="28A84883" w:rsidR="00A930FB" w:rsidRPr="001E1D80" w:rsidRDefault="00A930FB" w:rsidP="008F5AD8">
      <w:pPr>
        <w:pStyle w:val="opplisting"/>
      </w:pPr>
      <w:r w:rsidRPr="001E1D80">
        <w:t xml:space="preserve">Danske patienter. ([s.a.]). </w:t>
      </w:r>
      <w:r w:rsidRPr="001E1D80">
        <w:rPr>
          <w:i/>
        </w:rPr>
        <w:t>Ønskerne til tilgængeligheden i almen praksis er forskellige</w:t>
      </w:r>
      <w:r w:rsidRPr="001E1D80">
        <w:t xml:space="preserve"> (Det mener patienterne). København: Danske patienter.</w:t>
      </w:r>
    </w:p>
    <w:p w14:paraId="1AADC0FE" w14:textId="72248B4A" w:rsidR="00A930FB" w:rsidRPr="001E1D80" w:rsidRDefault="00A930FB" w:rsidP="008F5AD8">
      <w:pPr>
        <w:pStyle w:val="opplisting"/>
      </w:pPr>
      <w:r w:rsidRPr="001E1D80">
        <w:t xml:space="preserve">Datatilsynet. (Sist endret: 12.10.2021). </w:t>
      </w:r>
      <w:r w:rsidRPr="001E1D80">
        <w:rPr>
          <w:i/>
        </w:rPr>
        <w:t>Om personopplysningsloven med forordning og når den gjelder</w:t>
      </w:r>
      <w:r w:rsidRPr="001E1D80">
        <w:t xml:space="preserve">. [nettdokument]. Datatilsynet. Hentet 10.02.23, fra </w:t>
      </w:r>
      <w:hyperlink r:id="rId103" w:history="1">
        <w:r w:rsidRPr="001E1D80">
          <w:rPr>
            <w:rStyle w:val="Hyperkobling"/>
          </w:rPr>
          <w:t>https://www.datatilsynet.no/regelverk-og-verktoy/lover-og-regler/om-personopplysningsloven-og-nar-den-gjelder/</w:t>
        </w:r>
      </w:hyperlink>
    </w:p>
    <w:p w14:paraId="68C2D131" w14:textId="77777777" w:rsidR="00A930FB" w:rsidRPr="001E1D80" w:rsidRDefault="00A930FB" w:rsidP="008F5AD8">
      <w:pPr>
        <w:pStyle w:val="opplisting"/>
      </w:pPr>
      <w:r w:rsidRPr="001E1D80">
        <w:t xml:space="preserve">Deliac, L., Grøsland, M., &amp; Gjefsen, H. M. (2023). </w:t>
      </w:r>
      <w:r w:rsidRPr="001E1D80">
        <w:rPr>
          <w:i/>
        </w:rPr>
        <w:t>Kontinuitet i lege-pasientforholdet.</w:t>
      </w:r>
      <w:r w:rsidRPr="001E1D80">
        <w:t xml:space="preserve"> Oslo: Folkehelseinsituttet.</w:t>
      </w:r>
    </w:p>
    <w:p w14:paraId="78880E3B" w14:textId="0B5BC156" w:rsidR="00A930FB" w:rsidRPr="001E1D80" w:rsidRDefault="00A930FB" w:rsidP="008F5AD8">
      <w:pPr>
        <w:pStyle w:val="opplisting"/>
      </w:pPr>
      <w:r w:rsidRPr="001E1D80">
        <w:t xml:space="preserve">Den Norske Legeforening. </w:t>
      </w:r>
      <w:r w:rsidRPr="001E1D80">
        <w:rPr>
          <w:i/>
        </w:rPr>
        <w:t>Nasjonal nemd FLO/allmennpraksis</w:t>
      </w:r>
      <w:r w:rsidRPr="001E1D80">
        <w:t xml:space="preserve">. fra </w:t>
      </w:r>
      <w:hyperlink r:id="rId104" w:history="1">
        <w:r w:rsidRPr="001E1D80">
          <w:rPr>
            <w:rStyle w:val="Hyperkobling"/>
          </w:rPr>
          <w:t>https://www.legeforeningen.no/jus-og-arbeidsliv/drift-av-legekontor/kjop-og-salg-av-praksis/nemndsavgjorelser/nasjonal-nemnd-fra-01.11.2006-floallmennpraksis/</w:t>
        </w:r>
      </w:hyperlink>
    </w:p>
    <w:p w14:paraId="71676FFA" w14:textId="28751F47" w:rsidR="00A930FB" w:rsidRPr="001E1D80" w:rsidRDefault="00A930FB" w:rsidP="008F5AD8">
      <w:pPr>
        <w:pStyle w:val="opplisting"/>
      </w:pPr>
      <w:r w:rsidRPr="001E1D80">
        <w:t xml:space="preserve">Den Norske Legeforening. (01.09.2022). </w:t>
      </w:r>
      <w:r w:rsidRPr="001E1D80">
        <w:rPr>
          <w:i/>
        </w:rPr>
        <w:t>Omsetningsmelding</w:t>
      </w:r>
      <w:r w:rsidR="00D9107F">
        <w:rPr>
          <w:i/>
        </w:rPr>
        <w:t xml:space="preserve"> – </w:t>
      </w:r>
      <w:r w:rsidRPr="001E1D80">
        <w:rPr>
          <w:i/>
        </w:rPr>
        <w:t>salg av praksis</w:t>
      </w:r>
      <w:r w:rsidRPr="001E1D80">
        <w:t>. [nettdokument]. Oslo: Legeforeningen. Hentet 16.01.2023</w:t>
      </w:r>
    </w:p>
    <w:p w14:paraId="2E988392" w14:textId="77777777" w:rsidR="00A930FB" w:rsidRPr="001E1D80" w:rsidRDefault="00A930FB" w:rsidP="008F5AD8">
      <w:pPr>
        <w:pStyle w:val="opplisting"/>
      </w:pPr>
      <w:r w:rsidRPr="001E1D80">
        <w:lastRenderedPageBreak/>
        <w:t xml:space="preserve">Den Norske Legeforening. (2015). </w:t>
      </w:r>
      <w:r w:rsidRPr="001E1D80">
        <w:rPr>
          <w:i/>
        </w:rPr>
        <w:t>Veileder for næringsdrivende leger</w:t>
      </w:r>
      <w:r w:rsidRPr="001E1D80">
        <w:t>. Den norske legeforening.</w:t>
      </w:r>
    </w:p>
    <w:p w14:paraId="276E12FC" w14:textId="77777777" w:rsidR="00A930FB" w:rsidRPr="001E1D80" w:rsidRDefault="00A930FB" w:rsidP="008F5AD8">
      <w:pPr>
        <w:pStyle w:val="opplisting"/>
      </w:pPr>
      <w:r w:rsidRPr="001E1D80">
        <w:t xml:space="preserve">Den Norske Legeforening. </w:t>
      </w:r>
      <w:r w:rsidRPr="001E1D80">
        <w:rPr>
          <w:i/>
        </w:rPr>
        <w:t>Dreiebok for overdragelse av spesialistpraksis: fremgangsmåte ved salg av spesialistpraksis</w:t>
      </w:r>
      <w:r w:rsidRPr="001E1D80">
        <w:t>. [nettdokument]. Den norske legeforening, . Hentet 30. januar 2023</w:t>
      </w:r>
    </w:p>
    <w:p w14:paraId="60E0D8D0" w14:textId="77777777" w:rsidR="00A930FB" w:rsidRPr="001E1D80" w:rsidRDefault="00A930FB" w:rsidP="008F5AD8">
      <w:pPr>
        <w:pStyle w:val="opplisting"/>
      </w:pPr>
      <w:r w:rsidRPr="001E1D80">
        <w:t xml:space="preserve">Den norske legeforening. (24.08.2018). </w:t>
      </w:r>
      <w:r w:rsidRPr="001E1D80">
        <w:rPr>
          <w:i/>
        </w:rPr>
        <w:t>Utdanningsfond II</w:t>
      </w:r>
      <w:r w:rsidRPr="001E1D80">
        <w:t>. [nettdokument]. Oslo: Den norske legeforening. Hentet 01.02.2023</w:t>
      </w:r>
    </w:p>
    <w:p w14:paraId="3BDF3E52" w14:textId="77777777" w:rsidR="00A930FB" w:rsidRPr="001E1D80" w:rsidRDefault="00A930FB" w:rsidP="008F5AD8">
      <w:pPr>
        <w:pStyle w:val="opplisting"/>
      </w:pPr>
      <w:r w:rsidRPr="001E1D80">
        <w:t xml:space="preserve">Den Norske Legeforening. (14.05.2021). </w:t>
      </w:r>
      <w:r w:rsidRPr="001E1D80">
        <w:rPr>
          <w:i/>
        </w:rPr>
        <w:t>Unngå å oppfordre friske mennesker til regelmessig helseundersøkelse uten symptomer eller kjent risikotilstand</w:t>
      </w:r>
      <w:r w:rsidRPr="001E1D80">
        <w:t>. [nettdokument]. Oslo: Norsk forening for allmennmedisin. Hentet 11.03.2023</w:t>
      </w:r>
    </w:p>
    <w:p w14:paraId="07C5AF72" w14:textId="78C66D68" w:rsidR="00A930FB" w:rsidRPr="001E1D80" w:rsidRDefault="00A930FB" w:rsidP="008F5AD8">
      <w:pPr>
        <w:pStyle w:val="opplisting"/>
      </w:pPr>
      <w:r w:rsidRPr="001E1D80">
        <w:t xml:space="preserve">Den Norske Legeforening. ([s.a.]). </w:t>
      </w:r>
      <w:r w:rsidRPr="001E1D80">
        <w:rPr>
          <w:i/>
        </w:rPr>
        <w:t>Utredning av legespesialisters etterutdanning</w:t>
      </w:r>
      <w:r w:rsidRPr="001E1D80">
        <w:t xml:space="preserve">. Oslo: Den norske legeforening. Hentet fra </w:t>
      </w:r>
      <w:hyperlink r:id="rId105" w:history="1">
        <w:r w:rsidRPr="001E1D80">
          <w:rPr>
            <w:rStyle w:val="Hyperkobling"/>
          </w:rPr>
          <w:t>https://www.legeforeningen.no/contentassets/3ec6c3f2be724b55b92784fc7d7931f0/sak-9.2-utredning-om-spesialitetsstruktur-vedlegg-1.pdf</w:t>
        </w:r>
      </w:hyperlink>
    </w:p>
    <w:p w14:paraId="4A3E080F" w14:textId="77777777" w:rsidR="00A930FB" w:rsidRPr="001E1D80" w:rsidRDefault="00A930FB" w:rsidP="008F5AD8">
      <w:pPr>
        <w:pStyle w:val="opplisting"/>
      </w:pPr>
      <w:r w:rsidRPr="001E1D80">
        <w:t xml:space="preserve">Devik, S. A., &amp; Olsen, M. O. (2022). </w:t>
      </w:r>
      <w:r w:rsidRPr="001E1D80">
        <w:rPr>
          <w:i/>
        </w:rPr>
        <w:t>Oppgaveglidning i omsorgstjenestene : en hurtigoversikt over forskningslitteratur</w:t>
      </w:r>
      <w:r w:rsidRPr="001E1D80">
        <w:t xml:space="preserve"> (Oppsummering nr 29). Omsorgsbiblioteket. Senter for omsorgsforskning.</w:t>
      </w:r>
    </w:p>
    <w:p w14:paraId="5E56E2CB" w14:textId="7558FF65" w:rsidR="00A930FB" w:rsidRPr="001E1D80" w:rsidRDefault="00A930FB" w:rsidP="008F5AD8">
      <w:pPr>
        <w:pStyle w:val="opplisting"/>
      </w:pPr>
      <w:r w:rsidRPr="001E1D80">
        <w:t xml:space="preserve">DFØ. </w:t>
      </w:r>
      <w:r w:rsidRPr="001E1D80">
        <w:rPr>
          <w:i/>
        </w:rPr>
        <w:t>Veiledning for offentlig sektors bruk av skytjenester etter Schrems II</w:t>
      </w:r>
      <w:r w:rsidRPr="001E1D80">
        <w:t xml:space="preserve">. DFØ. Hentet 10.02.23, fra </w:t>
      </w:r>
      <w:hyperlink r:id="rId106" w:history="1">
        <w:r w:rsidRPr="001E1D80">
          <w:rPr>
            <w:rStyle w:val="Hyperkobling"/>
          </w:rPr>
          <w:t>https://markedsplassen.anskaffelser.no/veiledning/veiledning-etter-schrems-ii</w:t>
        </w:r>
      </w:hyperlink>
    </w:p>
    <w:p w14:paraId="3E72E6AE" w14:textId="12C1F0FD" w:rsidR="00A930FB" w:rsidRPr="001E1D80" w:rsidRDefault="00A930FB" w:rsidP="008F5AD8">
      <w:pPr>
        <w:pStyle w:val="opplisting"/>
      </w:pPr>
      <w:r w:rsidRPr="001E1D80">
        <w:t xml:space="preserve">Digitaliseringsdirektoratet. </w:t>
      </w:r>
      <w:r w:rsidRPr="001E1D80">
        <w:rPr>
          <w:i/>
        </w:rPr>
        <w:t>Rammeverk for digital samhandling</w:t>
      </w:r>
      <w:r w:rsidRPr="001E1D80">
        <w:t xml:space="preserve">.Oslo: Digdir. Hentet 10.02.23, fra </w:t>
      </w:r>
      <w:hyperlink r:id="rId107" w:history="1">
        <w:r w:rsidRPr="001E1D80">
          <w:rPr>
            <w:rStyle w:val="Hyperkobling"/>
          </w:rPr>
          <w:t>https://www.digdir.no/digital-samhandling/rammeverk-digital-samhandling/2148</w:t>
        </w:r>
      </w:hyperlink>
    </w:p>
    <w:p w14:paraId="32B9522D" w14:textId="34610BA2" w:rsidR="00A930FB" w:rsidRPr="001E1D80" w:rsidRDefault="00A930FB" w:rsidP="008F5AD8">
      <w:pPr>
        <w:pStyle w:val="opplisting"/>
      </w:pPr>
      <w:r w:rsidRPr="001E1D80">
        <w:t xml:space="preserve">Dinardi, C. </w:t>
      </w:r>
      <w:r w:rsidRPr="001E1D80">
        <w:rPr>
          <w:i/>
        </w:rPr>
        <w:t>Mandat</w:t>
      </w:r>
      <w:r w:rsidRPr="001E1D80">
        <w:t xml:space="preserve">. [nettdokument]. Avkommersialiseringsutvalget. Hentet 16. mars 2023, fra </w:t>
      </w:r>
      <w:hyperlink r:id="rId108" w:history="1">
        <w:r w:rsidRPr="001E1D80">
          <w:rPr>
            <w:rStyle w:val="Hyperkobling"/>
          </w:rPr>
          <w:t>https://avkommersialiseringsutvalget.no/mandat/</w:t>
        </w:r>
      </w:hyperlink>
    </w:p>
    <w:p w14:paraId="305AC57E" w14:textId="4C479632" w:rsidR="00A930FB" w:rsidRPr="001E1D80" w:rsidRDefault="00A930FB" w:rsidP="008F5AD8">
      <w:pPr>
        <w:pStyle w:val="opplisting"/>
      </w:pPr>
      <w:r w:rsidRPr="001E1D80">
        <w:t xml:space="preserve">Direktoratet for e-helse. (03.02.2022). </w:t>
      </w:r>
      <w:r w:rsidRPr="001E1D80">
        <w:rPr>
          <w:i/>
        </w:rPr>
        <w:t>EPJ-løftet</w:t>
      </w:r>
      <w:r w:rsidR="00D9107F">
        <w:rPr>
          <w:i/>
        </w:rPr>
        <w:t xml:space="preserve"> – </w:t>
      </w:r>
      <w:r w:rsidRPr="001E1D80">
        <w:rPr>
          <w:i/>
        </w:rPr>
        <w:t>program for EPJ-utvikling</w:t>
      </w:r>
      <w:r w:rsidRPr="001E1D80">
        <w:t>. [nettdokument]. Oslo: Direktoratet for e-helse. Hentet 03.02.2023</w:t>
      </w:r>
    </w:p>
    <w:p w14:paraId="1E17F7C2" w14:textId="77777777" w:rsidR="00A930FB" w:rsidRPr="001E1D80" w:rsidRDefault="00A930FB" w:rsidP="008F5AD8">
      <w:pPr>
        <w:pStyle w:val="opplisting"/>
      </w:pPr>
      <w:r w:rsidRPr="001E1D80">
        <w:t xml:space="preserve">Direktoratet for e-helse. </w:t>
      </w:r>
      <w:r w:rsidRPr="001E1D80">
        <w:rPr>
          <w:i/>
        </w:rPr>
        <w:t>Nasjonal e-helsestrategi for helse- og omsorgssektoren</w:t>
      </w:r>
      <w:r w:rsidRPr="001E1D80">
        <w:t>. [nettdokument]. Oslo: ehelse.no. Hentet 10.02.23</w:t>
      </w:r>
    </w:p>
    <w:p w14:paraId="524908E0" w14:textId="1EC4326B" w:rsidR="00A930FB" w:rsidRPr="001E1D80" w:rsidRDefault="00A930FB" w:rsidP="008F5AD8">
      <w:pPr>
        <w:pStyle w:val="opplisting"/>
      </w:pPr>
      <w:r w:rsidRPr="001E1D80">
        <w:t xml:space="preserve">Direktoratet for e-helse. (2022a). </w:t>
      </w:r>
      <w:r w:rsidRPr="001E1D80">
        <w:rPr>
          <w:i/>
        </w:rPr>
        <w:t>Normen</w:t>
      </w:r>
      <w:r w:rsidR="00D9107F">
        <w:rPr>
          <w:i/>
        </w:rPr>
        <w:t xml:space="preserve"> – </w:t>
      </w:r>
      <w:r w:rsidRPr="001E1D80">
        <w:rPr>
          <w:i/>
        </w:rPr>
        <w:t>Norm for informasjonssikkerhet og personvern i helse- og omsorgssektoren</w:t>
      </w:r>
      <w:r w:rsidRPr="001E1D80">
        <w:t xml:space="preserve"> (Versjon 6.1). Oslo: Direktoratet for e-helse.</w:t>
      </w:r>
    </w:p>
    <w:p w14:paraId="5E32A9B8" w14:textId="77777777" w:rsidR="00A930FB" w:rsidRPr="001E1D80" w:rsidRDefault="00A930FB" w:rsidP="008F5AD8">
      <w:pPr>
        <w:pStyle w:val="opplisting"/>
      </w:pPr>
      <w:r w:rsidRPr="001E1D80">
        <w:t xml:space="preserve">Direktoratet for e-helse. (25. januar 2022). </w:t>
      </w:r>
      <w:r w:rsidRPr="001E1D80">
        <w:rPr>
          <w:i/>
        </w:rPr>
        <w:t>Utprøving av pasientens legemiddelliste</w:t>
      </w:r>
      <w:r w:rsidRPr="001E1D80">
        <w:t>. [nettdokument]. Oslo: Direktoratet for e-helse. Hentet 22.03.2023</w:t>
      </w:r>
    </w:p>
    <w:p w14:paraId="440785A4" w14:textId="371592B5" w:rsidR="00A930FB" w:rsidRPr="001E1D80" w:rsidRDefault="00A930FB" w:rsidP="008F5AD8">
      <w:pPr>
        <w:pStyle w:val="opplisting"/>
      </w:pPr>
      <w:r w:rsidRPr="001E1D80">
        <w:t xml:space="preserve">Direktoratet for e-helse. </w:t>
      </w:r>
      <w:r w:rsidRPr="001E1D80">
        <w:rPr>
          <w:i/>
        </w:rPr>
        <w:t>Direktoratet for e-helse og HealthCatalyst inngår avtale for å styrke samarbeidet mellom helse- og omsorgssektoren og leverandørene</w:t>
      </w:r>
      <w:r w:rsidRPr="001E1D80">
        <w:t xml:space="preserve">. [nettdokument]. Oslo: Norway Health Tech. Hentet 10.02.23, fra </w:t>
      </w:r>
      <w:hyperlink r:id="rId109" w:history="1">
        <w:r w:rsidRPr="001E1D80">
          <w:rPr>
            <w:rStyle w:val="Hyperkobling"/>
          </w:rPr>
          <w:t>https://www.norwayhealthtech.com/nb/news/direktoratet-for-e-helse-og-healthcatalyst-inngar-avtale-for-a-styrke-samarbeidet-mellom-helse-og-omsorgssektoren-og-leverandorene/</w:t>
        </w:r>
      </w:hyperlink>
    </w:p>
    <w:p w14:paraId="396BCFFD" w14:textId="77777777" w:rsidR="00A930FB" w:rsidRPr="001E1D80" w:rsidRDefault="00A930FB" w:rsidP="008F5AD8">
      <w:pPr>
        <w:pStyle w:val="opplisting"/>
      </w:pPr>
      <w:r w:rsidRPr="001E1D80">
        <w:t xml:space="preserve">Direktoratet for e-helse. </w:t>
      </w:r>
      <w:r w:rsidRPr="001E1D80">
        <w:rPr>
          <w:i/>
        </w:rPr>
        <w:t>Nasjonal e-helseportefølje</w:t>
      </w:r>
      <w:r w:rsidRPr="001E1D80">
        <w:t>. [nettdokument]. Oslo: ehelse.no. Hentet 10.02.23</w:t>
      </w:r>
    </w:p>
    <w:p w14:paraId="57635437" w14:textId="4525FDE4" w:rsidR="00A930FB" w:rsidRPr="001E1D80" w:rsidRDefault="00A930FB" w:rsidP="008F5AD8">
      <w:pPr>
        <w:pStyle w:val="opplisting"/>
      </w:pPr>
      <w:r w:rsidRPr="00FF4077">
        <w:rPr>
          <w:lang w:val="en-US"/>
        </w:rPr>
        <w:lastRenderedPageBreak/>
        <w:t xml:space="preserve">DNV. ([s.a.]). </w:t>
      </w:r>
      <w:r w:rsidRPr="00FF4077">
        <w:rPr>
          <w:i/>
          <w:lang w:val="en-US"/>
        </w:rPr>
        <w:t>How do I turn this on? What to consider when adopting AI-based tools into clinical practice</w:t>
      </w:r>
      <w:r w:rsidRPr="00FF4077">
        <w:rPr>
          <w:lang w:val="en-US"/>
        </w:rPr>
        <w:t xml:space="preserve">. </w:t>
      </w:r>
      <w:r w:rsidRPr="001E1D80">
        <w:t xml:space="preserve">Bærum: DNV. Hentet fra </w:t>
      </w:r>
      <w:hyperlink r:id="rId110" w:history="1">
        <w:r w:rsidRPr="001E1D80">
          <w:rPr>
            <w:rStyle w:val="Hyperkobling"/>
          </w:rPr>
          <w:t>https://www.dnv.com/Publications/how-do-i-turn-this-on-what-to-consider-when-adopting-ai-based-tools-into-clinical-practice-237225</w:t>
        </w:r>
      </w:hyperlink>
    </w:p>
    <w:p w14:paraId="742A302D" w14:textId="77777777" w:rsidR="00D9107F" w:rsidRPr="00FF4077" w:rsidRDefault="00A930FB" w:rsidP="008F5AD8">
      <w:pPr>
        <w:pStyle w:val="opplisting"/>
        <w:rPr>
          <w:lang w:val="en-US"/>
        </w:rPr>
      </w:pPr>
      <w:r w:rsidRPr="001E1D80">
        <w:t xml:space="preserve">Donaghy, E., Huang, H., Henderson, D., Wang, H. H. X., Guthrie, B., Thompson, A., &amp; Mercer, S. W. (2023). </w:t>
      </w:r>
      <w:r w:rsidRPr="00FF4077">
        <w:rPr>
          <w:lang w:val="en-US"/>
        </w:rPr>
        <w:t xml:space="preserve">Primary care transformation in Scotland: qualitative evaluation of the views of national senior stakeholders and cluster quality leads. </w:t>
      </w:r>
      <w:r w:rsidRPr="00FF4077">
        <w:rPr>
          <w:i/>
          <w:lang w:val="en-US"/>
        </w:rPr>
        <w:t>British Journal of General Practice, 73</w:t>
      </w:r>
      <w:r w:rsidRPr="00FF4077">
        <w:rPr>
          <w:lang w:val="en-US"/>
        </w:rPr>
        <w:t>(728), e231.</w:t>
      </w:r>
    </w:p>
    <w:p w14:paraId="064EB439" w14:textId="77777777" w:rsidR="00D9107F" w:rsidRPr="00FF4077" w:rsidRDefault="00A930FB" w:rsidP="008F5AD8">
      <w:pPr>
        <w:pStyle w:val="opplisting"/>
        <w:rPr>
          <w:lang w:val="en-US"/>
        </w:rPr>
      </w:pPr>
      <w:r w:rsidRPr="00FF4077">
        <w:rPr>
          <w:lang w:val="en-US"/>
        </w:rPr>
        <w:t>Doran, T., Kontopantelis, E., Valderas, J. M., Campbell, S., Roland, M., Salisbury, C., &amp; Reeves, D. (2011). Effect of financial incentives on incentivised and non-incentivised clinical activities: longitudinal analysis of data from the UK Quality and Outcomes Framework. .</w:t>
      </w:r>
      <w:r w:rsidRPr="00FF4077">
        <w:rPr>
          <w:i/>
          <w:lang w:val="en-US"/>
        </w:rPr>
        <w:t xml:space="preserve"> BMJ</w:t>
      </w:r>
      <w:r w:rsidRPr="00FF4077">
        <w:rPr>
          <w:lang w:val="en-US"/>
        </w:rPr>
        <w:t>.</w:t>
      </w:r>
    </w:p>
    <w:p w14:paraId="7389586D" w14:textId="77777777" w:rsidR="00D9107F" w:rsidRDefault="00A930FB" w:rsidP="008F5AD8">
      <w:pPr>
        <w:pStyle w:val="opplisting"/>
      </w:pPr>
      <w:r w:rsidRPr="00FF4077">
        <w:rPr>
          <w:lang w:val="en-US"/>
        </w:rPr>
        <w:t xml:space="preserve">Dowling, S., Last, J., Finnigan, H., &amp; Cullen, W. (2018). Continuing education for general practitioners working in rural practice: a review of the literature. </w:t>
      </w:r>
      <w:r w:rsidRPr="001E1D80">
        <w:rPr>
          <w:i/>
        </w:rPr>
        <w:t>Education for Primary Care, 29</w:t>
      </w:r>
      <w:r w:rsidRPr="001E1D80">
        <w:t>(3), 151-165.</w:t>
      </w:r>
    </w:p>
    <w:p w14:paraId="10B60BE3" w14:textId="77777777" w:rsidR="00D9107F" w:rsidRDefault="00A930FB" w:rsidP="008F5AD8">
      <w:pPr>
        <w:pStyle w:val="opplisting"/>
      </w:pPr>
      <w:r w:rsidRPr="001E1D80">
        <w:t xml:space="preserve">Drange, I. (2020). Fra loddtrekning til søknadsbasert opptak: Har endret praksis for tildeling av turnusstillinger til nyutdannede leger ført til sosial ulikhet? </w:t>
      </w:r>
      <w:r w:rsidRPr="001E1D80">
        <w:rPr>
          <w:i/>
        </w:rPr>
        <w:t>Tidsskrift for samfunnsforskning, 61</w:t>
      </w:r>
      <w:r w:rsidRPr="001E1D80">
        <w:t>(4), 343-371.</w:t>
      </w:r>
    </w:p>
    <w:p w14:paraId="5D0508B9" w14:textId="77123632" w:rsidR="00A930FB" w:rsidRPr="001E1D80" w:rsidRDefault="00A930FB" w:rsidP="008F5AD8">
      <w:pPr>
        <w:pStyle w:val="opplisting"/>
      </w:pPr>
      <w:r w:rsidRPr="001E1D80">
        <w:t xml:space="preserve">Dutch College of GPs. </w:t>
      </w:r>
      <w:r w:rsidRPr="001E1D80">
        <w:rPr>
          <w:i/>
        </w:rPr>
        <w:t>About GPinfo.nl</w:t>
      </w:r>
      <w:r w:rsidRPr="001E1D80">
        <w:t xml:space="preserve">. [nettside]. GPinfo.nl. Hentet 19.03.2023, fra </w:t>
      </w:r>
      <w:hyperlink r:id="rId111" w:history="1">
        <w:r w:rsidRPr="001E1D80">
          <w:rPr>
            <w:rStyle w:val="Hyperkobling"/>
          </w:rPr>
          <w:t>https://gpinfo.nl/about-gpinfonl</w:t>
        </w:r>
      </w:hyperlink>
    </w:p>
    <w:p w14:paraId="35EF533D" w14:textId="6D62C3AC" w:rsidR="00A930FB" w:rsidRPr="001E1D80" w:rsidRDefault="00A930FB" w:rsidP="008F5AD8">
      <w:pPr>
        <w:pStyle w:val="opplisting"/>
      </w:pPr>
      <w:r w:rsidRPr="001E1D80">
        <w:t xml:space="preserve">Dutch Collegeof GPs. </w:t>
      </w:r>
      <w:r w:rsidRPr="00FF4077">
        <w:rPr>
          <w:i/>
          <w:lang w:val="en-US"/>
        </w:rPr>
        <w:t>Welcome to GPinfo.nl, the English version of Thuisarts.nl</w:t>
      </w:r>
      <w:r w:rsidRPr="00FF4077">
        <w:rPr>
          <w:lang w:val="en-US"/>
        </w:rPr>
        <w:t xml:space="preserve">. [nettside]. </w:t>
      </w:r>
      <w:r w:rsidRPr="001E1D80">
        <w:t xml:space="preserve">GPinfo.nl. Hentet 22. mars 2023, fra </w:t>
      </w:r>
      <w:hyperlink r:id="rId112" w:history="1">
        <w:r w:rsidRPr="001E1D80">
          <w:rPr>
            <w:rStyle w:val="Hyperkobling"/>
          </w:rPr>
          <w:t>https://gpinfo.nl/</w:t>
        </w:r>
      </w:hyperlink>
    </w:p>
    <w:p w14:paraId="2364189B" w14:textId="77777777" w:rsidR="00D9107F" w:rsidRPr="00FF4077" w:rsidRDefault="00A930FB" w:rsidP="008F5AD8">
      <w:pPr>
        <w:pStyle w:val="opplisting"/>
        <w:rPr>
          <w:lang w:val="en-US"/>
        </w:rPr>
      </w:pPr>
      <w:r w:rsidRPr="001E1D80">
        <w:t xml:space="preserve">Eaton-Hart, J. H., Gillies, J. C., &amp; Mercer, S. W. (2022). </w:t>
      </w:r>
      <w:r w:rsidRPr="00FF4077">
        <w:rPr>
          <w:lang w:val="en-US"/>
        </w:rPr>
        <w:t xml:space="preserve">How do the working lives of general practitioners in rural areas compare with elsewhere in Scotland? Cross-sectional analysis of the Scottish School of Primary Care National GP Survey. </w:t>
      </w:r>
      <w:r w:rsidRPr="00FF4077">
        <w:rPr>
          <w:i/>
          <w:lang w:val="en-US"/>
        </w:rPr>
        <w:t>Rural Remote Health, 22</w:t>
      </w:r>
      <w:r w:rsidRPr="00FF4077">
        <w:rPr>
          <w:lang w:val="en-US"/>
        </w:rPr>
        <w:t>(3), 7270.</w:t>
      </w:r>
    </w:p>
    <w:p w14:paraId="663E8476" w14:textId="77777777" w:rsidR="00D9107F" w:rsidRDefault="00A930FB" w:rsidP="008F5AD8">
      <w:pPr>
        <w:pStyle w:val="opplisting"/>
      </w:pPr>
      <w:r w:rsidRPr="00FF4077">
        <w:rPr>
          <w:lang w:val="en-US"/>
        </w:rPr>
        <w:t xml:space="preserve">Ebell, M. H., Sokol, R., Lee, A., Simons, C., &amp; Early, J. (2017). How good is the evidence to support primary care practice? </w:t>
      </w:r>
      <w:r w:rsidRPr="001E1D80">
        <w:rPr>
          <w:i/>
        </w:rPr>
        <w:t>Evid Based Med, 22</w:t>
      </w:r>
      <w:r w:rsidRPr="001E1D80">
        <w:t>(3), 88–92.</w:t>
      </w:r>
    </w:p>
    <w:p w14:paraId="6C0F4E59" w14:textId="77777777" w:rsidR="00D9107F" w:rsidRDefault="00A930FB" w:rsidP="008F5AD8">
      <w:pPr>
        <w:pStyle w:val="opplisting"/>
      </w:pPr>
      <w:r w:rsidRPr="001E1D80">
        <w:t xml:space="preserve">Eide, T. B. (2020). Legevakt i Norden før og nå. </w:t>
      </w:r>
      <w:r w:rsidRPr="001E1D80">
        <w:rPr>
          <w:i/>
        </w:rPr>
        <w:t xml:space="preserve">Michael </w:t>
      </w:r>
      <w:r w:rsidRPr="001E1D80">
        <w:t>(17), 588–601.</w:t>
      </w:r>
    </w:p>
    <w:p w14:paraId="326A1D05" w14:textId="77777777" w:rsidR="00D9107F" w:rsidRPr="00FF4077" w:rsidRDefault="00A930FB" w:rsidP="008F5AD8">
      <w:pPr>
        <w:pStyle w:val="opplisting"/>
        <w:rPr>
          <w:lang w:val="en-US"/>
        </w:rPr>
      </w:pPr>
      <w:r w:rsidRPr="001E1D80">
        <w:t xml:space="preserve">Eide, T. B., Straand, J., Björkelund, C., Kosunen, E., Thorgeirsson, O., Vedsted, P., &amp; Rosvold, E. O. (2017). </w:t>
      </w:r>
      <w:r w:rsidRPr="00FF4077">
        <w:rPr>
          <w:lang w:val="en-US"/>
        </w:rPr>
        <w:t xml:space="preserve">Differences in medical services in Nordic general practice: a comparative survey from the QUALICOPC study. </w:t>
      </w:r>
      <w:r w:rsidRPr="00FF4077">
        <w:rPr>
          <w:i/>
          <w:lang w:val="en-US"/>
        </w:rPr>
        <w:t>Scand J Prim Health Care, 35</w:t>
      </w:r>
      <w:r w:rsidRPr="00FF4077">
        <w:rPr>
          <w:lang w:val="en-US"/>
        </w:rPr>
        <w:t>(2), 153-161.</w:t>
      </w:r>
    </w:p>
    <w:p w14:paraId="0013E069" w14:textId="77777777" w:rsidR="00D9107F" w:rsidRPr="00FF4077" w:rsidRDefault="00A930FB" w:rsidP="008F5AD8">
      <w:pPr>
        <w:pStyle w:val="opplisting"/>
        <w:rPr>
          <w:lang w:val="en-US"/>
        </w:rPr>
      </w:pPr>
      <w:r w:rsidRPr="00FF4077">
        <w:rPr>
          <w:lang w:val="en-US"/>
        </w:rPr>
        <w:t xml:space="preserve">Eide, T. B., Straand, J., &amp; Braend, A. M. (2021). Good communication was valued as more important than accessibility according to 707 Nordic primary care patients: a report from the QUALICOPC study. </w:t>
      </w:r>
      <w:r w:rsidRPr="00FF4077">
        <w:rPr>
          <w:i/>
          <w:lang w:val="en-US"/>
        </w:rPr>
        <w:t>Scand J Prim Health Care, 39</w:t>
      </w:r>
      <w:r w:rsidRPr="00FF4077">
        <w:rPr>
          <w:lang w:val="en-US"/>
        </w:rPr>
        <w:t>(3), 296-304.</w:t>
      </w:r>
    </w:p>
    <w:p w14:paraId="08BCFAA3" w14:textId="77777777" w:rsidR="00D9107F" w:rsidRPr="00FF4077" w:rsidRDefault="00A930FB" w:rsidP="008F5AD8">
      <w:pPr>
        <w:pStyle w:val="opplisting"/>
        <w:rPr>
          <w:lang w:val="en-US"/>
        </w:rPr>
      </w:pPr>
      <w:r w:rsidRPr="00FF4077">
        <w:rPr>
          <w:lang w:val="en-US"/>
        </w:rPr>
        <w:t>Eide, T. B., Øyane, N., &amp; Høye, S. (2022). Promoters and inhibitors for quality improvement work in general practice: a qualitative analysis of 2715 free-text replies.</w:t>
      </w:r>
      <w:r w:rsidRPr="00FF4077">
        <w:rPr>
          <w:i/>
          <w:lang w:val="en-US"/>
        </w:rPr>
        <w:t xml:space="preserve"> BMJ Open Quality, 11</w:t>
      </w:r>
      <w:r w:rsidRPr="00FF4077">
        <w:rPr>
          <w:lang w:val="en-US"/>
        </w:rPr>
        <w:t>(4).</w:t>
      </w:r>
    </w:p>
    <w:p w14:paraId="7CBA736B" w14:textId="0750B70B" w:rsidR="00A930FB" w:rsidRPr="001E1D80" w:rsidRDefault="00A930FB" w:rsidP="008F5AD8">
      <w:pPr>
        <w:pStyle w:val="opplisting"/>
      </w:pPr>
      <w:r w:rsidRPr="00FF4077">
        <w:rPr>
          <w:lang w:val="en-US"/>
        </w:rPr>
        <w:lastRenderedPageBreak/>
        <w:t xml:space="preserve">Eikeland, O. J., Fotland, S. L. S., &amp; Raknes, G. (2020). </w:t>
      </w:r>
      <w:r w:rsidRPr="001E1D80">
        <w:rPr>
          <w:i/>
        </w:rPr>
        <w:t>Vakttårnprosjektet</w:t>
      </w:r>
      <w:r w:rsidR="00D9107F">
        <w:rPr>
          <w:i/>
        </w:rPr>
        <w:t xml:space="preserve"> – </w:t>
      </w:r>
      <w:r w:rsidRPr="001E1D80">
        <w:rPr>
          <w:i/>
        </w:rPr>
        <w:t>Epidemiologiske data frå legevakt. Samlerapport for 2019</w:t>
      </w:r>
      <w:r w:rsidRPr="001E1D80">
        <w:t xml:space="preserve"> (Rapport 2-2020). Bergen: Nasjonalt kompetansesenter for legevaktmedisin, NORCE Norwegian Research Centre.</w:t>
      </w:r>
    </w:p>
    <w:p w14:paraId="49BF457C" w14:textId="77777777" w:rsidR="00A930FB" w:rsidRPr="001E1D80" w:rsidRDefault="00A930FB" w:rsidP="008F5AD8">
      <w:pPr>
        <w:pStyle w:val="opplisting"/>
      </w:pPr>
      <w:r w:rsidRPr="001E1D80">
        <w:t xml:space="preserve">Ekornrud, T., Bryne Castberg Stølan, S., &amp; Thonstad, M. (2023). </w:t>
      </w:r>
      <w:r w:rsidRPr="001E1D80">
        <w:rPr>
          <w:i/>
        </w:rPr>
        <w:t>Legevakttjenesten i norske kommuner i 2021. Kartlegging av organisering av legevaktsarbeidet i kommunene</w:t>
      </w:r>
      <w:r w:rsidRPr="001E1D80">
        <w:t xml:space="preserve"> (Rapporter 2023/6). Oslo: Statistisk sentralbyrå.</w:t>
      </w:r>
    </w:p>
    <w:p w14:paraId="23066592" w14:textId="6E25C1B7" w:rsidR="00A930FB" w:rsidRPr="00FF4077" w:rsidRDefault="00A930FB" w:rsidP="008F5AD8">
      <w:pPr>
        <w:pStyle w:val="opplisting"/>
        <w:rPr>
          <w:lang w:val="en-US"/>
        </w:rPr>
      </w:pPr>
      <w:r w:rsidRPr="001E1D80">
        <w:t xml:space="preserve">Ekspertgruppe legevakt. (2021). </w:t>
      </w:r>
      <w:r w:rsidRPr="001E1D80">
        <w:rPr>
          <w:i/>
        </w:rPr>
        <w:t>Kartlegging av situasjonen i dagens legevaktordning</w:t>
      </w:r>
      <w:r w:rsidR="00D9107F">
        <w:rPr>
          <w:i/>
        </w:rPr>
        <w:t xml:space="preserve"> – </w:t>
      </w:r>
      <w:r w:rsidRPr="001E1D80">
        <w:rPr>
          <w:i/>
        </w:rPr>
        <w:t>Rapport til Helse- og omsorgsdepartementet</w:t>
      </w:r>
      <w:r w:rsidRPr="001E1D80">
        <w:t xml:space="preserve">. </w:t>
      </w:r>
      <w:r w:rsidRPr="00FF4077">
        <w:rPr>
          <w:lang w:val="en-US"/>
        </w:rPr>
        <w:t>Oslo: Helse- og omsorgsdepartementet.</w:t>
      </w:r>
    </w:p>
    <w:p w14:paraId="2F9A23F5" w14:textId="77777777" w:rsidR="00A930FB" w:rsidRPr="00FF4077" w:rsidRDefault="00A930FB" w:rsidP="008F5AD8">
      <w:pPr>
        <w:pStyle w:val="opplisting"/>
        <w:rPr>
          <w:lang w:val="en-US"/>
        </w:rPr>
      </w:pPr>
      <w:r w:rsidRPr="00FF4077">
        <w:rPr>
          <w:lang w:val="en-US"/>
        </w:rPr>
        <w:t xml:space="preserve">European Commission, Directorate-General for Employment, Social Affairs and Inclusion, , &amp; McGrath, J. (2020). </w:t>
      </w:r>
      <w:r w:rsidRPr="00FF4077">
        <w:rPr>
          <w:i/>
          <w:lang w:val="en-US"/>
        </w:rPr>
        <w:t>Analysis of shortage and surplus occupations 2020</w:t>
      </w:r>
      <w:r w:rsidRPr="00FF4077">
        <w:rPr>
          <w:lang w:val="en-US"/>
        </w:rPr>
        <w:t>. P. Office.</w:t>
      </w:r>
    </w:p>
    <w:p w14:paraId="66C3B6CB" w14:textId="77777777" w:rsidR="00A930FB" w:rsidRPr="00FF4077" w:rsidRDefault="00A930FB" w:rsidP="008F5AD8">
      <w:pPr>
        <w:pStyle w:val="opplisting"/>
        <w:rPr>
          <w:lang w:val="en-US"/>
        </w:rPr>
      </w:pPr>
      <w:r w:rsidRPr="00FF4077">
        <w:rPr>
          <w:lang w:val="en-US"/>
        </w:rPr>
        <w:t xml:space="preserve">European Observatory. (2021). </w:t>
      </w:r>
      <w:r w:rsidRPr="00FF4077">
        <w:rPr>
          <w:i/>
          <w:lang w:val="en-US"/>
        </w:rPr>
        <w:t>State of health in the EU. Norway. Country health profile 2021</w:t>
      </w:r>
      <w:r w:rsidRPr="00FF4077">
        <w:rPr>
          <w:lang w:val="en-US"/>
        </w:rPr>
        <w:t>. OECD and European Observatory.</w:t>
      </w:r>
    </w:p>
    <w:p w14:paraId="5A27953E" w14:textId="4F5C7A39" w:rsidR="00A930FB" w:rsidRPr="001E1D80" w:rsidRDefault="00A930FB" w:rsidP="008F5AD8">
      <w:pPr>
        <w:pStyle w:val="opplisting"/>
      </w:pPr>
      <w:r w:rsidRPr="00FF4077">
        <w:rPr>
          <w:lang w:val="en-US"/>
        </w:rPr>
        <w:t xml:space="preserve">Eurostat. (Data extracted in July 2022). </w:t>
      </w:r>
      <w:r w:rsidRPr="00FF4077">
        <w:rPr>
          <w:i/>
          <w:lang w:val="en-US"/>
        </w:rPr>
        <w:t>Healthcare personnel statistics</w:t>
      </w:r>
      <w:r w:rsidR="00D9107F" w:rsidRPr="00FF4077">
        <w:rPr>
          <w:i/>
          <w:lang w:val="en-US"/>
        </w:rPr>
        <w:t xml:space="preserve"> – </w:t>
      </w:r>
      <w:r w:rsidRPr="00FF4077">
        <w:rPr>
          <w:i/>
          <w:lang w:val="en-US"/>
        </w:rPr>
        <w:t>physicians</w:t>
      </w:r>
      <w:r w:rsidRPr="00FF4077">
        <w:rPr>
          <w:lang w:val="en-US"/>
        </w:rPr>
        <w:t xml:space="preserve">. [nettside]. </w:t>
      </w:r>
      <w:r w:rsidRPr="001E1D80">
        <w:t xml:space="preserve">Luxembourg: Eurostat Hentet 13.01.23, fra </w:t>
      </w:r>
      <w:hyperlink r:id="rId113" w:history="1">
        <w:r w:rsidRPr="001E1D80">
          <w:rPr>
            <w:rStyle w:val="Hyperkobling"/>
          </w:rPr>
          <w:t>https://ec.europa.eu/eurostat/statistics-explained/index.php?title=Healthcare_personnel_statistics_-_physicians</w:t>
        </w:r>
      </w:hyperlink>
    </w:p>
    <w:p w14:paraId="68117846" w14:textId="77777777" w:rsidR="00A930FB" w:rsidRPr="001E1D80" w:rsidRDefault="00A930FB" w:rsidP="008F5AD8">
      <w:pPr>
        <w:pStyle w:val="opplisting"/>
      </w:pPr>
      <w:r w:rsidRPr="001E1D80">
        <w:t xml:space="preserve">EY og Vista Analyse. (2019). </w:t>
      </w:r>
      <w:r w:rsidRPr="001E1D80">
        <w:rPr>
          <w:i/>
        </w:rPr>
        <w:t>Evaluering av fastlegeordningen</w:t>
      </w:r>
      <w:r w:rsidRPr="001E1D80">
        <w:t>. Oslo: EY og Vista Analyse.</w:t>
      </w:r>
    </w:p>
    <w:p w14:paraId="3BF47F05" w14:textId="51156347" w:rsidR="00A930FB" w:rsidRPr="001E1D80" w:rsidRDefault="00A930FB" w:rsidP="008F5AD8">
      <w:pPr>
        <w:pStyle w:val="opplisting"/>
      </w:pPr>
      <w:r w:rsidRPr="001E1D80">
        <w:t xml:space="preserve">Finans Norge. </w:t>
      </w:r>
      <w:r w:rsidRPr="001E1D80">
        <w:rPr>
          <w:i/>
        </w:rPr>
        <w:t xml:space="preserve">Behandlingsforsikring </w:t>
      </w:r>
      <w:r w:rsidRPr="001E1D80">
        <w:t xml:space="preserve">fra </w:t>
      </w:r>
      <w:hyperlink r:id="rId114" w:history="1">
        <w:r w:rsidRPr="001E1D80">
          <w:rPr>
            <w:rStyle w:val="Hyperkobling"/>
          </w:rPr>
          <w:t>https://www.finansnorge.no/statistikk/skadeforsikring/helseforsikring/behandlingsforsikring/</w:t>
        </w:r>
      </w:hyperlink>
    </w:p>
    <w:p w14:paraId="4A26D390" w14:textId="59B60070" w:rsidR="00A930FB" w:rsidRPr="001E1D80" w:rsidRDefault="00A930FB" w:rsidP="008F5AD8">
      <w:pPr>
        <w:pStyle w:val="opplisting"/>
      </w:pPr>
      <w:r w:rsidRPr="001E1D80">
        <w:t xml:space="preserve">Finlex. </w:t>
      </w:r>
      <w:r w:rsidRPr="001E1D80">
        <w:rPr>
          <w:i/>
        </w:rPr>
        <w:t>Statsrådets förordning om grunderna för brådskande vård och förutsättningarna för jour inom olika medicinska verksamhetsområden</w:t>
      </w:r>
      <w:r w:rsidRPr="001E1D80">
        <w:t xml:space="preserve">. fra </w:t>
      </w:r>
      <w:hyperlink r:id="rId115" w:history="1">
        <w:r w:rsidRPr="001E1D80">
          <w:rPr>
            <w:rStyle w:val="Hyperkobling"/>
          </w:rPr>
          <w:t>https://www.finlex.fi/sv/laki/alkup/2017/20170583</w:t>
        </w:r>
      </w:hyperlink>
    </w:p>
    <w:p w14:paraId="0A63C4F0" w14:textId="77777777" w:rsidR="00A930FB" w:rsidRPr="001E1D80" w:rsidRDefault="00A930FB" w:rsidP="008F5AD8">
      <w:pPr>
        <w:pStyle w:val="opplisting"/>
      </w:pPr>
      <w:r w:rsidRPr="00FF4077">
        <w:rPr>
          <w:lang w:val="en-US"/>
        </w:rPr>
        <w:t xml:space="preserve">Fisher, R., Allen, L., Malhotra, A. M., &amp; Alderwick, H. (2022). </w:t>
      </w:r>
      <w:r w:rsidRPr="00FF4077">
        <w:rPr>
          <w:i/>
          <w:lang w:val="en-US"/>
        </w:rPr>
        <w:t>Tackling the inverse care law: Analysis of policies to improve general practice in deprived areas since 1990</w:t>
      </w:r>
      <w:r w:rsidRPr="00FF4077">
        <w:rPr>
          <w:lang w:val="en-US"/>
        </w:rPr>
        <w:t xml:space="preserve"> (Analysis). </w:t>
      </w:r>
      <w:r w:rsidRPr="001E1D80">
        <w:t>London: The Health Foundation.</w:t>
      </w:r>
    </w:p>
    <w:p w14:paraId="6AD4DC7F" w14:textId="417F7A0C" w:rsidR="00A930FB" w:rsidRPr="001E1D80" w:rsidRDefault="00A930FB" w:rsidP="008F5AD8">
      <w:pPr>
        <w:pStyle w:val="opplisting"/>
      </w:pPr>
      <w:r w:rsidRPr="001E1D80">
        <w:rPr>
          <w:i/>
        </w:rPr>
        <w:t>Flere praksisplasser og bedre veiledning for medisinstudenter på fastlegekontorene (FRONESIS)</w:t>
      </w:r>
      <w:r w:rsidRPr="001E1D80">
        <w:t xml:space="preserve">. (19.12.2022). [nettdokument]. Bergen: Alrek helseklynge. Hentet 03.01.2023, fra </w:t>
      </w:r>
      <w:hyperlink r:id="rId116" w:history="1">
        <w:r w:rsidRPr="001E1D80">
          <w:rPr>
            <w:rStyle w:val="Hyperkobling"/>
          </w:rPr>
          <w:t>https://alrekhelseklynge.no/prosjekter/fronesis/</w:t>
        </w:r>
      </w:hyperlink>
    </w:p>
    <w:p w14:paraId="5937B5B1" w14:textId="60F32722" w:rsidR="00A930FB" w:rsidRPr="001E1D80" w:rsidRDefault="00A930FB" w:rsidP="008F5AD8">
      <w:pPr>
        <w:pStyle w:val="opplisting"/>
      </w:pPr>
      <w:r w:rsidRPr="001E1D80">
        <w:t xml:space="preserve">Flinterman, L., Vis, E., Geit, E. d., &amp; Batenburg, R. </w:t>
      </w:r>
      <w:r w:rsidRPr="001E1D80">
        <w:rPr>
          <w:i/>
        </w:rPr>
        <w:t>Cijfers uit de registratie van huisartsen 2021</w:t>
      </w:r>
      <w:r w:rsidRPr="001E1D80">
        <w:t xml:space="preserve">. Utrecht: Nivel. Hentet fra </w:t>
      </w:r>
      <w:hyperlink r:id="rId117" w:history="1">
        <w:r w:rsidRPr="001E1D80">
          <w:rPr>
            <w:rStyle w:val="Hyperkobling"/>
          </w:rPr>
          <w:t>https://www.nivel.nl/sites/default/files/bestanden/1004234.pdf</w:t>
        </w:r>
      </w:hyperlink>
    </w:p>
    <w:p w14:paraId="0D56A1B4" w14:textId="3A478C37" w:rsidR="00A930FB" w:rsidRPr="001E1D80" w:rsidRDefault="00A930FB" w:rsidP="008F5AD8">
      <w:pPr>
        <w:pStyle w:val="opplisting"/>
      </w:pPr>
      <w:r w:rsidRPr="001E1D80">
        <w:t xml:space="preserve">Folkehelseinstituttet. </w:t>
      </w:r>
      <w:r w:rsidRPr="001E1D80">
        <w:rPr>
          <w:i/>
        </w:rPr>
        <w:t>Hva er viktig for deg?</w:t>
      </w:r>
      <w:r w:rsidR="00D9107F">
        <w:rPr>
          <w:i/>
        </w:rPr>
        <w:t xml:space="preserve"> – </w:t>
      </w:r>
      <w:r w:rsidRPr="001E1D80">
        <w:rPr>
          <w:i/>
        </w:rPr>
        <w:t>En retningsendring</w:t>
      </w:r>
      <w:r w:rsidRPr="001E1D80">
        <w:t>.Hentet 29.03.23</w:t>
      </w:r>
    </w:p>
    <w:p w14:paraId="264C6CE4" w14:textId="77777777" w:rsidR="00A930FB" w:rsidRPr="001E1D80" w:rsidRDefault="00A930FB" w:rsidP="008F5AD8">
      <w:pPr>
        <w:pStyle w:val="opplisting"/>
      </w:pPr>
      <w:r w:rsidRPr="001E1D80">
        <w:t xml:space="preserve">Folkehelseinstituttet. (2022). </w:t>
      </w:r>
      <w:r w:rsidRPr="001E1D80">
        <w:rPr>
          <w:i/>
        </w:rPr>
        <w:t>Framtidens utfordringer for folkehelsen. Sykdomsbyrde, bruk av helse- og omsorgstjenester, og smittsomme sykdommer</w:t>
      </w:r>
      <w:r w:rsidRPr="001E1D80">
        <w:t xml:space="preserve"> (Folkehelserapporten). Oslo: Folkehelseinstituttet.</w:t>
      </w:r>
    </w:p>
    <w:p w14:paraId="6FD63E61" w14:textId="77777777" w:rsidR="00A930FB" w:rsidRPr="001E1D80" w:rsidRDefault="00A930FB" w:rsidP="008F5AD8">
      <w:pPr>
        <w:pStyle w:val="opplisting"/>
      </w:pPr>
      <w:r w:rsidRPr="001E1D80">
        <w:t xml:space="preserve">Forskningsrådet. </w:t>
      </w:r>
      <w:r w:rsidRPr="001E1D80">
        <w:rPr>
          <w:i/>
        </w:rPr>
        <w:t>Hvordan kan kunstig intelligens og lærende kontroller forbedre helserefusjonsordningen?</w:t>
      </w:r>
      <w:r w:rsidRPr="001E1D80">
        <w:t xml:space="preserve"> [nettdokument]. Oslo: Norges forskningsråd. Hentet 13.03.2023</w:t>
      </w:r>
    </w:p>
    <w:p w14:paraId="62510EB0" w14:textId="77777777" w:rsidR="00D9107F" w:rsidRDefault="00A930FB" w:rsidP="008F5AD8">
      <w:pPr>
        <w:pStyle w:val="opplisting"/>
      </w:pPr>
      <w:r w:rsidRPr="001E1D80">
        <w:rPr>
          <w:i/>
        </w:rPr>
        <w:t xml:space="preserve">Forskrift for sykehjem og boform for heldøgns omsorg og pleie </w:t>
      </w:r>
      <w:r w:rsidRPr="001E1D80">
        <w:t xml:space="preserve">(1988). FOR-1988-11-14-932. Sist endret i FOR-2022-06-23-1176. . Hentet fra </w:t>
      </w:r>
      <w:hyperlink r:id="rId118" w:history="1">
        <w:r w:rsidRPr="001E1D80">
          <w:rPr>
            <w:rStyle w:val="Hyperkobling"/>
          </w:rPr>
          <w:t>https://lovdata.no/forskrift/1988-11-14-932</w:t>
        </w:r>
      </w:hyperlink>
    </w:p>
    <w:p w14:paraId="16109920" w14:textId="54E7F93A" w:rsidR="00A930FB" w:rsidRPr="001E1D80" w:rsidRDefault="00A930FB" w:rsidP="008F5AD8">
      <w:pPr>
        <w:pStyle w:val="opplisting"/>
      </w:pPr>
      <w:r w:rsidRPr="001E1D80">
        <w:rPr>
          <w:i/>
        </w:rPr>
        <w:lastRenderedPageBreak/>
        <w:t>Forskrift om betaling frå pasientar for poliklinisk helsehjelp i spesialisthelsetenesta</w:t>
      </w:r>
      <w:r w:rsidRPr="001E1D80">
        <w:t xml:space="preserve">. (2016). FOR-2016-12-20-1848. Hentet fra </w:t>
      </w:r>
      <w:hyperlink r:id="rId119" w:history="1">
        <w:r w:rsidRPr="001E1D80">
          <w:rPr>
            <w:rStyle w:val="Hyperkobling"/>
          </w:rPr>
          <w:t>https://lovdata.no/dokument/SF/forskrift/2016-12-20-1848</w:t>
        </w:r>
      </w:hyperlink>
    </w:p>
    <w:p w14:paraId="0A07817E" w14:textId="2750FFBD" w:rsidR="00A930FB" w:rsidRPr="001E1D80" w:rsidRDefault="00A930FB" w:rsidP="008F5AD8">
      <w:pPr>
        <w:pStyle w:val="opplisting"/>
      </w:pPr>
      <w:r w:rsidRPr="001E1D80">
        <w:rPr>
          <w:i/>
        </w:rPr>
        <w:t>Forskrift om fastlegeordning i kommunene</w:t>
      </w:r>
      <w:r w:rsidRPr="001E1D80">
        <w:t xml:space="preserve">. (2012). FOR-2012-08-29-842. Sist endret i FOR-2021-09-17-2821. Hentet fra </w:t>
      </w:r>
      <w:hyperlink r:id="rId120" w:history="1">
        <w:r w:rsidRPr="001E1D80">
          <w:rPr>
            <w:rStyle w:val="Hyperkobling"/>
          </w:rPr>
          <w:t>https://lovdata.no/dokument/SF/forskrift/2012-08-29-842</w:t>
        </w:r>
      </w:hyperlink>
    </w:p>
    <w:p w14:paraId="2E8B0F18" w14:textId="6A72E010" w:rsidR="00A930FB" w:rsidRPr="001E1D80" w:rsidRDefault="00A930FB" w:rsidP="008F5AD8">
      <w:pPr>
        <w:pStyle w:val="opplisting"/>
      </w:pPr>
      <w:r w:rsidRPr="001E1D80">
        <w:rPr>
          <w:i/>
        </w:rPr>
        <w:t>Forskrift om kompetansekrav for leger i den kommunale helse- og omsorgstjenesten</w:t>
      </w:r>
      <w:r w:rsidRPr="001E1D80">
        <w:t xml:space="preserve">. (2017). FOR-2017-02-17-192. Sist endret i FOR-2022-10-28-1816. Hentet fra </w:t>
      </w:r>
      <w:hyperlink r:id="rId121" w:history="1">
        <w:r w:rsidRPr="001E1D80">
          <w:rPr>
            <w:rStyle w:val="Hyperkobling"/>
          </w:rPr>
          <w:t>https://lovdata.no/dokument/LTI/forskrift/2017-02-17-192</w:t>
        </w:r>
      </w:hyperlink>
    </w:p>
    <w:p w14:paraId="4489304E" w14:textId="762969FC" w:rsidR="00A930FB" w:rsidRPr="001E1D80" w:rsidRDefault="00A930FB" w:rsidP="008F5AD8">
      <w:pPr>
        <w:pStyle w:val="opplisting"/>
      </w:pPr>
      <w:r w:rsidRPr="001E1D80">
        <w:rPr>
          <w:i/>
        </w:rPr>
        <w:t>Forskrift om konsesjonskontrakter (konsesjonskontraktforskriften)</w:t>
      </w:r>
      <w:r w:rsidRPr="001E1D80">
        <w:t xml:space="preserve">. (2016). FOR-2016-08-12-976. Sist endret i FOR-2022-03-18-442. Hentet fra </w:t>
      </w:r>
      <w:hyperlink r:id="rId122" w:history="1">
        <w:r w:rsidRPr="001E1D80">
          <w:rPr>
            <w:rStyle w:val="Hyperkobling"/>
          </w:rPr>
          <w:t>https://lovdata.no/dokument/SF/forskrift/2016-08-12-976?q=Konsesjonskontraktforskriften</w:t>
        </w:r>
      </w:hyperlink>
    </w:p>
    <w:p w14:paraId="47F3DEC8" w14:textId="77777777" w:rsidR="00D9107F" w:rsidRDefault="00A930FB" w:rsidP="008F5AD8">
      <w:pPr>
        <w:pStyle w:val="opplisting"/>
      </w:pPr>
      <w:r w:rsidRPr="001E1D80">
        <w:rPr>
          <w:i/>
        </w:rPr>
        <w:t xml:space="preserve">Forskrift om krav til og organisering av kommunal legevaktordning, ambulansetjeneste, medisinsk nødmeldetjeneste mv. (akuttmedisinforskriften) </w:t>
      </w:r>
      <w:r w:rsidRPr="001E1D80">
        <w:t xml:space="preserve">(2015). FOR-2015-03-20-231. Sist endret i FOR-2022-10-28-1817. Hentet fra </w:t>
      </w:r>
      <w:hyperlink r:id="rId123" w:history="1">
        <w:r w:rsidRPr="001E1D80">
          <w:rPr>
            <w:rStyle w:val="Hyperkobling"/>
          </w:rPr>
          <w:t>https://lovdata.no/forskrift/2015-03-20-231</w:t>
        </w:r>
      </w:hyperlink>
    </w:p>
    <w:p w14:paraId="50F77130" w14:textId="5AAD5DC9" w:rsidR="00A930FB" w:rsidRPr="001E1D80" w:rsidRDefault="00A930FB" w:rsidP="008F5AD8">
      <w:pPr>
        <w:pStyle w:val="opplisting"/>
      </w:pPr>
      <w:r w:rsidRPr="001E1D80">
        <w:rPr>
          <w:i/>
        </w:rPr>
        <w:t>Forskrift om ledelse og kvalitetsforbedring i helse- og omsorgstjenesten</w:t>
      </w:r>
      <w:r w:rsidRPr="001E1D80">
        <w:t>. (2016). FOR-2016-10-28-1250. Sist endret i FOR-2002-12-20-1731.</w:t>
      </w:r>
    </w:p>
    <w:p w14:paraId="0C4AB872" w14:textId="3A0B836D" w:rsidR="00A930FB" w:rsidRPr="001E1D80" w:rsidRDefault="00A930FB" w:rsidP="008F5AD8">
      <w:pPr>
        <w:pStyle w:val="opplisting"/>
      </w:pPr>
      <w:r w:rsidRPr="001E1D80">
        <w:rPr>
          <w:i/>
        </w:rPr>
        <w:t>Forskrift om nasjonal retningslinje for medisinutdanning</w:t>
      </w:r>
      <w:r w:rsidRPr="001E1D80">
        <w:t xml:space="preserve">. (2020). FOR-2020-01-03-21. Hentet fra </w:t>
      </w:r>
      <w:hyperlink r:id="rId124" w:history="1">
        <w:r w:rsidRPr="001E1D80">
          <w:rPr>
            <w:rStyle w:val="Hyperkobling"/>
          </w:rPr>
          <w:t>https://lovdata.no/dokument/LTI/forskrift/2020-01-03-21</w:t>
        </w:r>
      </w:hyperlink>
    </w:p>
    <w:p w14:paraId="77DFEBC2" w14:textId="77777777" w:rsidR="00A930FB" w:rsidRPr="001E1D80" w:rsidRDefault="00A930FB" w:rsidP="008F5AD8">
      <w:pPr>
        <w:pStyle w:val="opplisting"/>
      </w:pPr>
      <w:r w:rsidRPr="001E1D80">
        <w:rPr>
          <w:i/>
        </w:rPr>
        <w:t>Forskrift om offentlige anskaffelser (anskaffelsesforskriften)</w:t>
      </w:r>
      <w:r w:rsidRPr="001E1D80">
        <w:t>. (2016). FOR-2016-08-12-974. Sist endret i FOR-2022-03-31-498.</w:t>
      </w:r>
    </w:p>
    <w:p w14:paraId="7024FF2A" w14:textId="646A67AE" w:rsidR="00A930FB" w:rsidRPr="001E1D80" w:rsidRDefault="00A930FB" w:rsidP="008F5AD8">
      <w:pPr>
        <w:pStyle w:val="opplisting"/>
      </w:pPr>
      <w:r w:rsidRPr="001E1D80">
        <w:rPr>
          <w:i/>
        </w:rPr>
        <w:t>Forskrift om pasient- og brukerrettigheter i fastlegeordningen</w:t>
      </w:r>
      <w:r w:rsidRPr="001E1D80">
        <w:t xml:space="preserve">. (2012). FOR-2012-08-29-843. Sist endret i FOR-2021-04-29-1363. Hentet fra </w:t>
      </w:r>
      <w:hyperlink r:id="rId125" w:history="1">
        <w:r w:rsidRPr="001E1D80">
          <w:rPr>
            <w:rStyle w:val="Hyperkobling"/>
          </w:rPr>
          <w:t>https://lovdata.no/dokument/SF/forskrift/2012-08-29-843</w:t>
        </w:r>
      </w:hyperlink>
    </w:p>
    <w:p w14:paraId="6C137C4D" w14:textId="77777777" w:rsidR="00A930FB" w:rsidRPr="001E1D80" w:rsidRDefault="00A930FB" w:rsidP="008F5AD8">
      <w:pPr>
        <w:pStyle w:val="opplisting"/>
      </w:pPr>
      <w:r w:rsidRPr="001E1D80">
        <w:rPr>
          <w:i/>
        </w:rPr>
        <w:t>Forskrift om pasientjournal (pasientjournalforskriften)</w:t>
      </w:r>
      <w:r w:rsidRPr="001E1D80">
        <w:t>. (2019). FOR-2019-03-01-168. Sist endret i FOR-2021-10-08-2958.</w:t>
      </w:r>
    </w:p>
    <w:p w14:paraId="676282BD" w14:textId="4B52080D" w:rsidR="00A930FB" w:rsidRPr="001E1D80" w:rsidRDefault="00A930FB" w:rsidP="008F5AD8">
      <w:pPr>
        <w:pStyle w:val="opplisting"/>
      </w:pPr>
      <w:r w:rsidRPr="001E1D80">
        <w:rPr>
          <w:i/>
        </w:rPr>
        <w:t>Forskrift om praktisk tjeneste (turnustjeneste) for å få autorisasjon som fysioterapeut</w:t>
      </w:r>
      <w:r w:rsidRPr="001E1D80">
        <w:t xml:space="preserve">. (2010). FOR-2009-09-09-1175. Hentet fra </w:t>
      </w:r>
      <w:hyperlink r:id="rId126" w:history="1">
        <w:r w:rsidRPr="001E1D80">
          <w:rPr>
            <w:rStyle w:val="Hyperkobling"/>
          </w:rPr>
          <w:t>https://lovdata.no/dokument/SF/forskrift/2009-09-09-1175</w:t>
        </w:r>
      </w:hyperlink>
    </w:p>
    <w:p w14:paraId="2EDFDD5D" w14:textId="1D75EA6F" w:rsidR="00A930FB" w:rsidRPr="001E1D80" w:rsidRDefault="00A930FB" w:rsidP="008F5AD8">
      <w:pPr>
        <w:pStyle w:val="opplisting"/>
      </w:pPr>
      <w:r w:rsidRPr="001E1D80">
        <w:rPr>
          <w:i/>
        </w:rPr>
        <w:t>Forskrift om rett til trygderefusjon for leger, spesialister i klinisk psykologi og fysioterapeuter</w:t>
      </w:r>
      <w:r w:rsidRPr="001E1D80">
        <w:t xml:space="preserve">. (1998). FOR-1998-06-18-590. Sist endret i FOR-2022-10-28-1888. Hentet fra </w:t>
      </w:r>
      <w:hyperlink r:id="rId127" w:history="1">
        <w:r w:rsidRPr="001E1D80">
          <w:rPr>
            <w:rStyle w:val="Hyperkobling"/>
          </w:rPr>
          <w:t>https://lovdata.no/dokument/SF/forskrift/1998-06-18-590</w:t>
        </w:r>
      </w:hyperlink>
    </w:p>
    <w:p w14:paraId="4E025F2D" w14:textId="2231E8B8" w:rsidR="00A930FB" w:rsidRPr="001E1D80" w:rsidRDefault="00A930FB" w:rsidP="008F5AD8">
      <w:pPr>
        <w:pStyle w:val="opplisting"/>
      </w:pPr>
      <w:r w:rsidRPr="001E1D80">
        <w:rPr>
          <w:i/>
        </w:rPr>
        <w:t>Forskrift om spesialistutdanning og spesialistgodkjenning for leger og tannleger (spesialistforskriften)</w:t>
      </w:r>
      <w:r w:rsidRPr="001E1D80">
        <w:t xml:space="preserve">. (2019). FOR-2016-12-08-1482. Hentet fra </w:t>
      </w:r>
      <w:hyperlink r:id="rId128" w:history="1">
        <w:r w:rsidRPr="001E1D80">
          <w:rPr>
            <w:rStyle w:val="Hyperkobling"/>
          </w:rPr>
          <w:t>https://lovdata.no/dokument/SF/forskrift/2016-12-08-1482</w:t>
        </w:r>
      </w:hyperlink>
    </w:p>
    <w:p w14:paraId="12EEEDF6" w14:textId="1ABC1D22" w:rsidR="00A930FB" w:rsidRPr="001E1D80" w:rsidRDefault="00A930FB" w:rsidP="008F5AD8">
      <w:pPr>
        <w:pStyle w:val="opplisting"/>
      </w:pPr>
      <w:r w:rsidRPr="001E1D80">
        <w:rPr>
          <w:i/>
        </w:rPr>
        <w:t>Forskrift om stønad til dekning av utgifter til undersøkelse og behandling hos lege</w:t>
      </w:r>
      <w:r w:rsidRPr="001E1D80">
        <w:t xml:space="preserve">. (2022). FOR-2022-06-29-1269. Sist endret i FOR-2022-09-12-1659. Hentet fra </w:t>
      </w:r>
      <w:hyperlink r:id="rId129" w:history="1">
        <w:r w:rsidRPr="001E1D80">
          <w:rPr>
            <w:rStyle w:val="Hyperkobling"/>
          </w:rPr>
          <w:t>https://lovdata.no/dokument/SF/forskrift/2022-06-29-1269</w:t>
        </w:r>
      </w:hyperlink>
    </w:p>
    <w:p w14:paraId="7FA6D867" w14:textId="77777777" w:rsidR="00D9107F" w:rsidRDefault="00A930FB" w:rsidP="008F5AD8">
      <w:pPr>
        <w:pStyle w:val="opplisting"/>
      </w:pPr>
      <w:r w:rsidRPr="001E1D80">
        <w:t xml:space="preserve">Fugelli, P. (2001). Tillit. </w:t>
      </w:r>
      <w:r w:rsidRPr="001E1D80">
        <w:rPr>
          <w:i/>
        </w:rPr>
        <w:t>Tidsskriftet Den norske legeforening, 121</w:t>
      </w:r>
      <w:r w:rsidRPr="001E1D80">
        <w:t>(30), 3621-3624.</w:t>
      </w:r>
    </w:p>
    <w:p w14:paraId="3206D8D6" w14:textId="71B674AC" w:rsidR="00A930FB" w:rsidRPr="001E1D80" w:rsidRDefault="00A930FB" w:rsidP="008F5AD8">
      <w:pPr>
        <w:pStyle w:val="opplisting"/>
      </w:pPr>
      <w:r w:rsidRPr="001E1D80">
        <w:lastRenderedPageBreak/>
        <w:t xml:space="preserve">Førland, O., &amp; Rostad, H. M. (2019). </w:t>
      </w:r>
      <w:r w:rsidRPr="001E1D80">
        <w:rPr>
          <w:i/>
        </w:rPr>
        <w:t>Variasjon og uønsket variasjon i kvalitet i omsorgstjenestene : en kunnskapsoppsummering</w:t>
      </w:r>
      <w:r w:rsidRPr="001E1D80">
        <w:t xml:space="preserve"> (Senter for omsorgsforsknings rapportserie</w:t>
      </w:r>
      <w:r w:rsidR="00D9107F">
        <w:t xml:space="preserve"> </w:t>
      </w:r>
      <w:r w:rsidRPr="001E1D80">
        <w:t>nr. 04/2019). Senter for omsorgsforskning.</w:t>
      </w:r>
    </w:p>
    <w:p w14:paraId="4702D2E2" w14:textId="0AAAC1A1" w:rsidR="00A930FB" w:rsidRPr="001E1D80" w:rsidRDefault="00A930FB" w:rsidP="008F5AD8">
      <w:pPr>
        <w:pStyle w:val="opplisting"/>
      </w:pPr>
      <w:r w:rsidRPr="001E1D80">
        <w:t xml:space="preserve">Försäkringskassan. (1. februar 2023). </w:t>
      </w:r>
      <w:r w:rsidRPr="001E1D80">
        <w:rPr>
          <w:i/>
        </w:rPr>
        <w:t>Sjukpenning för anställda</w:t>
      </w:r>
      <w:r w:rsidRPr="001E1D80">
        <w:t xml:space="preserve">. [nettdokument]. Försäkringskassan. Hentet 04.01.23, fra </w:t>
      </w:r>
      <w:hyperlink r:id="rId130" w:history="1">
        <w:r w:rsidRPr="001E1D80">
          <w:rPr>
            <w:rStyle w:val="Hyperkobling"/>
          </w:rPr>
          <w:t>https://www.forsakringskassan.se/privatperson/sjuk/anstalld/sjukpenning-for-anstallda</w:t>
        </w:r>
      </w:hyperlink>
    </w:p>
    <w:p w14:paraId="6D217CE7" w14:textId="77777777" w:rsidR="00A930FB" w:rsidRPr="001E1D80" w:rsidRDefault="00A930FB" w:rsidP="008F5AD8">
      <w:pPr>
        <w:pStyle w:val="opplisting"/>
      </w:pPr>
      <w:r w:rsidRPr="001E1D80">
        <w:t xml:space="preserve">Gjefsen, H. M. (2023). </w:t>
      </w:r>
      <w:r w:rsidRPr="001E1D80">
        <w:rPr>
          <w:i/>
        </w:rPr>
        <w:t>Timebestillingsdata fra NHN</w:t>
      </w:r>
      <w:r w:rsidRPr="001E1D80">
        <w:t>. Folkehelseinsituttet.</w:t>
      </w:r>
    </w:p>
    <w:p w14:paraId="77C52326" w14:textId="183F19B4" w:rsidR="00A930FB" w:rsidRPr="001E1D80" w:rsidRDefault="00A930FB" w:rsidP="008F5AD8">
      <w:pPr>
        <w:pStyle w:val="opplisting"/>
      </w:pPr>
      <w:r w:rsidRPr="001E1D80">
        <w:t xml:space="preserve">Gjøsund, G., &amp; Tilset, H. D. (2020). </w:t>
      </w:r>
      <w:r w:rsidRPr="001E1D80">
        <w:rPr>
          <w:i/>
        </w:rPr>
        <w:t>Kvalitativ evaluering av Rørosprosjektet</w:t>
      </w:r>
      <w:r w:rsidR="00D9107F">
        <w:rPr>
          <w:i/>
        </w:rPr>
        <w:t xml:space="preserve"> – </w:t>
      </w:r>
      <w:r w:rsidRPr="001E1D80">
        <w:rPr>
          <w:i/>
        </w:rPr>
        <w:t>en mobil integrert helsetjeneste</w:t>
      </w:r>
      <w:r w:rsidRPr="001E1D80">
        <w:t>. Trondheim: NTNU Samfunnsforskning.</w:t>
      </w:r>
    </w:p>
    <w:p w14:paraId="11A5F49A" w14:textId="77777777" w:rsidR="00A930FB" w:rsidRPr="001E1D80" w:rsidRDefault="00A930FB" w:rsidP="008F5AD8">
      <w:pPr>
        <w:pStyle w:val="opplisting"/>
      </w:pPr>
      <w:r w:rsidRPr="001E1D80">
        <w:t xml:space="preserve">Godager, Hagen, &amp; Iversen. (2011). </w:t>
      </w:r>
      <w:r w:rsidRPr="001E1D80">
        <w:rPr>
          <w:i/>
        </w:rPr>
        <w:t>Notat om risikojustering av basistilskudd til fastleger</w:t>
      </w:r>
      <w:r w:rsidRPr="001E1D80">
        <w:t xml:space="preserve"> [upublisert]. Oslo: Avdeling for helseledelse og helseøkonomi, Institutt for helse og samfunn, Universitetet i Oslo.</w:t>
      </w:r>
    </w:p>
    <w:p w14:paraId="2F3E04C3" w14:textId="77777777" w:rsidR="00A930FB" w:rsidRPr="001E1D80" w:rsidRDefault="00A930FB" w:rsidP="008F5AD8">
      <w:pPr>
        <w:pStyle w:val="opplisting"/>
      </w:pPr>
      <w:r w:rsidRPr="001E1D80">
        <w:t xml:space="preserve">Godager, G., &amp; Iversen, T. (2016). </w:t>
      </w:r>
      <w:r w:rsidRPr="001E1D80">
        <w:rPr>
          <w:i/>
        </w:rPr>
        <w:t>Brukernes erfaringer med fastlegeordningen 2001-2015. Trender i bruk, tilgjengelighet og fornøydhet</w:t>
      </w:r>
      <w:r w:rsidRPr="001E1D80">
        <w:t>. Oslo: Universitetet i Oslo.</w:t>
      </w:r>
    </w:p>
    <w:p w14:paraId="395CB3B0" w14:textId="77777777" w:rsidR="00D9107F" w:rsidRDefault="00A930FB" w:rsidP="008F5AD8">
      <w:pPr>
        <w:pStyle w:val="opplisting"/>
      </w:pPr>
      <w:r w:rsidRPr="001E1D80">
        <w:t xml:space="preserve">Godager, G., &amp; Iversen, T. (2017a). Fastlegen som portvakt. </w:t>
      </w:r>
      <w:r w:rsidRPr="001E1D80">
        <w:rPr>
          <w:i/>
        </w:rPr>
        <w:t>Michael, 14</w:t>
      </w:r>
      <w:r w:rsidRPr="001E1D80">
        <w:t>, 43-59.</w:t>
      </w:r>
    </w:p>
    <w:p w14:paraId="4F66BED8" w14:textId="211F5ED5" w:rsidR="00A930FB" w:rsidRPr="001E1D80" w:rsidRDefault="00A930FB" w:rsidP="008F5AD8">
      <w:pPr>
        <w:pStyle w:val="opplisting"/>
      </w:pPr>
      <w:r w:rsidRPr="001E1D80">
        <w:t>Godager, G., &amp; Iversen, T. (2017b). Portnerrollen og økonomiske incentiver i primærhelsetjenesten. I:</w:t>
      </w:r>
      <w:r w:rsidRPr="001E1D80">
        <w:rPr>
          <w:i/>
        </w:rPr>
        <w:t xml:space="preserve"> I: Riktig diagnose til rett tid</w:t>
      </w:r>
      <w:r w:rsidR="00D9107F">
        <w:rPr>
          <w:i/>
        </w:rPr>
        <w:t xml:space="preserve"> – </w:t>
      </w:r>
      <w:r w:rsidRPr="001E1D80">
        <w:rPr>
          <w:i/>
        </w:rPr>
        <w:t>fastlegen som helsetjenestens portner</w:t>
      </w:r>
      <w:r w:rsidRPr="001E1D80">
        <w:t>. Oslo: Den norske legeforening.</w:t>
      </w:r>
    </w:p>
    <w:p w14:paraId="4E4C2C71" w14:textId="77777777" w:rsidR="00D9107F" w:rsidRDefault="00A930FB" w:rsidP="008F5AD8">
      <w:pPr>
        <w:pStyle w:val="opplisting"/>
      </w:pPr>
      <w:r w:rsidRPr="001E1D80">
        <w:t xml:space="preserve">Godager, G., Iversen, T., &amp; Ma, C. T. (2015a). </w:t>
      </w:r>
      <w:r w:rsidRPr="00FF4077">
        <w:rPr>
          <w:lang w:val="en-US"/>
        </w:rPr>
        <w:t xml:space="preserve">Competition, gatekeeping, and health care access. </w:t>
      </w:r>
      <w:r w:rsidRPr="001E1D80">
        <w:rPr>
          <w:i/>
        </w:rPr>
        <w:t>J Health Econ, 39</w:t>
      </w:r>
      <w:r w:rsidRPr="001E1D80">
        <w:t>, 159-170.</w:t>
      </w:r>
    </w:p>
    <w:p w14:paraId="11DCB262" w14:textId="34662953" w:rsidR="00A930FB" w:rsidRPr="001E1D80" w:rsidRDefault="00A930FB" w:rsidP="008F5AD8">
      <w:pPr>
        <w:pStyle w:val="opplisting"/>
      </w:pPr>
      <w:r w:rsidRPr="001E1D80">
        <w:t xml:space="preserve">Godager, G., Iversen, T., Morken, T., &amp; Hunskår, S. (2015b). </w:t>
      </w:r>
      <w:r w:rsidRPr="001E1D80">
        <w:rPr>
          <w:i/>
        </w:rPr>
        <w:t xml:space="preserve">Fastlønn ved legevaktarbeid </w:t>
      </w:r>
      <w:r w:rsidRPr="001E1D80">
        <w:t>(Rapport 4-2015). Bergen: Nasjonalt kompetansesenter for legevaktmedisin.</w:t>
      </w:r>
    </w:p>
    <w:p w14:paraId="6E7EE805" w14:textId="77777777" w:rsidR="00D9107F" w:rsidRDefault="00A930FB" w:rsidP="008F5AD8">
      <w:pPr>
        <w:pStyle w:val="opplisting"/>
      </w:pPr>
      <w:r w:rsidRPr="001E1D80">
        <w:t xml:space="preserve">Godager, G., Iversen, T., &amp; Snilsberg, Ø. (2020). Norge er trolig alene om å innføre omvendt overtid for fastleger. </w:t>
      </w:r>
      <w:r w:rsidRPr="001E1D80">
        <w:rPr>
          <w:i/>
        </w:rPr>
        <w:t xml:space="preserve">Dagens medisin, </w:t>
      </w:r>
      <w:r w:rsidRPr="001E1D80">
        <w:t>(2020-07-07 ).</w:t>
      </w:r>
    </w:p>
    <w:p w14:paraId="1667234D" w14:textId="5B51DC57" w:rsidR="00A930FB" w:rsidRPr="001E1D80" w:rsidRDefault="00A930FB" w:rsidP="008F5AD8">
      <w:pPr>
        <w:pStyle w:val="opplisting"/>
      </w:pPr>
      <w:r w:rsidRPr="001E1D80">
        <w:t xml:space="preserve">Godager, G., Iversen, T., &amp; Snilsberg, Ø. (2021). Betalingsmåter for teamarbeid i primærhelsetjenesten. I: G. Botten &amp; Det Norske medicinske Selskab (red.), </w:t>
      </w:r>
      <w:r w:rsidRPr="001E1D80">
        <w:rPr>
          <w:i/>
        </w:rPr>
        <w:t>Mangfold og engasjement i 10 år: Institutt for helse og samfunn ved universitetet i Oslo 2010-2020</w:t>
      </w:r>
      <w:r w:rsidRPr="001E1D80">
        <w:t xml:space="preserve"> (s. 100-109). Oslo: Det norske medicinske Selskab.</w:t>
      </w:r>
    </w:p>
    <w:p w14:paraId="00D243AC" w14:textId="77777777" w:rsidR="00D9107F" w:rsidRPr="00FF4077" w:rsidRDefault="00A930FB" w:rsidP="008F5AD8">
      <w:pPr>
        <w:pStyle w:val="opplisting"/>
        <w:rPr>
          <w:lang w:val="en-US"/>
        </w:rPr>
      </w:pPr>
      <w:r w:rsidRPr="001E1D80">
        <w:t xml:space="preserve">Groenewegen, P. P., Bosmans, M. W. G., Boerma, W. G. W., &amp; Spreeuwenberg, P. (2020). </w:t>
      </w:r>
      <w:r w:rsidRPr="00FF4077">
        <w:rPr>
          <w:lang w:val="en-US"/>
        </w:rPr>
        <w:t xml:space="preserve">The primary care workforce in Europe: a cross-sectional international comparison of rural and urban areas and changes between 1993 and 2011. </w:t>
      </w:r>
      <w:r w:rsidRPr="00FF4077">
        <w:rPr>
          <w:i/>
          <w:lang w:val="en-US"/>
        </w:rPr>
        <w:t>Eur J Public Health, 30</w:t>
      </w:r>
      <w:r w:rsidRPr="00FF4077">
        <w:rPr>
          <w:lang w:val="en-US"/>
        </w:rPr>
        <w:t>(Suppl_4), iv12-iv17.</w:t>
      </w:r>
    </w:p>
    <w:p w14:paraId="0D334D96" w14:textId="77777777" w:rsidR="00D9107F" w:rsidRPr="00FF4077" w:rsidRDefault="00A930FB" w:rsidP="008F5AD8">
      <w:pPr>
        <w:pStyle w:val="opplisting"/>
        <w:rPr>
          <w:lang w:val="en-US"/>
        </w:rPr>
      </w:pPr>
      <w:r w:rsidRPr="00FF4077">
        <w:rPr>
          <w:lang w:val="en-US"/>
        </w:rPr>
        <w:t xml:space="preserve">Gronseth, I. M., Malterud, K., &amp; Nilsen, S. (2020). Why do doctors in Norway choose general practice and remain there? A qualitative study about motivational experiences. </w:t>
      </w:r>
      <w:r w:rsidRPr="00FF4077">
        <w:rPr>
          <w:i/>
          <w:lang w:val="en-US"/>
        </w:rPr>
        <w:t>Scandinavian Journal of Primary Health Care, 38</w:t>
      </w:r>
      <w:r w:rsidRPr="00FF4077">
        <w:rPr>
          <w:lang w:val="en-US"/>
        </w:rPr>
        <w:t>(2), 184-191.</w:t>
      </w:r>
    </w:p>
    <w:p w14:paraId="123BD600" w14:textId="1D7ADB14" w:rsidR="00A930FB" w:rsidRPr="001E1D80" w:rsidRDefault="00A930FB" w:rsidP="008F5AD8">
      <w:pPr>
        <w:pStyle w:val="opplisting"/>
      </w:pPr>
      <w:r w:rsidRPr="001E1D80">
        <w:t xml:space="preserve">Grøsland, M., Deliac, L., &amp; Gjefsen, H. M. (2023). </w:t>
      </w:r>
      <w:r w:rsidRPr="001E1D80">
        <w:rPr>
          <w:i/>
        </w:rPr>
        <w:t>Del2 Event-analyse</w:t>
      </w:r>
      <w:r w:rsidRPr="001E1D80">
        <w:t>. Oslo: Folkehelseinstituttet.</w:t>
      </w:r>
    </w:p>
    <w:p w14:paraId="165BA88E" w14:textId="77777777" w:rsidR="00A930FB" w:rsidRPr="001E1D80" w:rsidRDefault="00A930FB" w:rsidP="008F5AD8">
      <w:pPr>
        <w:pStyle w:val="opplisting"/>
      </w:pPr>
      <w:r w:rsidRPr="00FF4077">
        <w:rPr>
          <w:lang w:val="en-US"/>
        </w:rPr>
        <w:t xml:space="preserve">Guthrie, B., &amp; Tang, J. (2016). </w:t>
      </w:r>
      <w:r w:rsidRPr="00FF4077">
        <w:rPr>
          <w:i/>
          <w:lang w:val="en-US"/>
        </w:rPr>
        <w:t xml:space="preserve">What did we learn from 12 years of QOF? </w:t>
      </w:r>
      <w:r w:rsidRPr="00FF4077">
        <w:rPr>
          <w:lang w:val="en-US"/>
        </w:rPr>
        <w:t xml:space="preserve">. </w:t>
      </w:r>
      <w:r w:rsidRPr="001E1D80">
        <w:t>Scottish school of primary care.</w:t>
      </w:r>
    </w:p>
    <w:p w14:paraId="1326C8CC" w14:textId="690592E3" w:rsidR="00A930FB" w:rsidRPr="001E1D80" w:rsidRDefault="00A930FB" w:rsidP="008F5AD8">
      <w:pPr>
        <w:pStyle w:val="opplisting"/>
      </w:pPr>
      <w:r w:rsidRPr="001E1D80">
        <w:lastRenderedPageBreak/>
        <w:t xml:space="preserve">Handlingsplanen. (2020). </w:t>
      </w:r>
      <w:r w:rsidRPr="001E1D80">
        <w:rPr>
          <w:i/>
        </w:rPr>
        <w:t>Handlingsplan for allmennlegetjenesten : attraktiv, kvalitetssikker og temabasert</w:t>
      </w:r>
      <w:r w:rsidR="00D9107F">
        <w:rPr>
          <w:i/>
        </w:rPr>
        <w:t xml:space="preserve"> – </w:t>
      </w:r>
      <w:r w:rsidRPr="001E1D80">
        <w:rPr>
          <w:i/>
        </w:rPr>
        <w:t>2020-2024</w:t>
      </w:r>
      <w:r w:rsidRPr="001E1D80">
        <w:t xml:space="preserve"> (Handlingsplan). Oslo: Helse- og omsorgsdepartementet.</w:t>
      </w:r>
    </w:p>
    <w:p w14:paraId="5E8D07ED" w14:textId="77777777" w:rsidR="00D9107F" w:rsidRPr="00FF4077" w:rsidRDefault="00A930FB" w:rsidP="008F5AD8">
      <w:pPr>
        <w:pStyle w:val="opplisting"/>
        <w:rPr>
          <w:lang w:val="en-US"/>
        </w:rPr>
      </w:pPr>
      <w:r w:rsidRPr="001E1D80">
        <w:t xml:space="preserve">Hansen, A. H., Halvorsen, P. A., Aaraas, I. J., &amp; Forde, O. H. (2013). </w:t>
      </w:r>
      <w:r w:rsidRPr="00FF4077">
        <w:rPr>
          <w:lang w:val="en-US"/>
        </w:rPr>
        <w:t xml:space="preserve">Continuity of GP care is related to reduced specialist healthcare use: a cross-sectional survey. </w:t>
      </w:r>
      <w:r w:rsidRPr="00FF4077">
        <w:rPr>
          <w:i/>
          <w:lang w:val="en-US"/>
        </w:rPr>
        <w:t>British Journal of General Practice, 63</w:t>
      </w:r>
      <w:r w:rsidRPr="00FF4077">
        <w:rPr>
          <w:lang w:val="en-US"/>
        </w:rPr>
        <w:t>(612), 482-489.</w:t>
      </w:r>
    </w:p>
    <w:p w14:paraId="5C4A1655" w14:textId="74DA34DA" w:rsidR="00A930FB" w:rsidRPr="00FF4077" w:rsidRDefault="00A930FB" w:rsidP="008F5AD8">
      <w:pPr>
        <w:pStyle w:val="opplisting"/>
        <w:rPr>
          <w:lang w:val="en-US"/>
        </w:rPr>
      </w:pPr>
      <w:r w:rsidRPr="00FF4077">
        <w:rPr>
          <w:lang w:val="en-US"/>
        </w:rPr>
        <w:t xml:space="preserve">Harari, Y. N. (2018). </w:t>
      </w:r>
      <w:r w:rsidRPr="00FF4077">
        <w:rPr>
          <w:i/>
          <w:lang w:val="en-US"/>
        </w:rPr>
        <w:t>Homo Deus</w:t>
      </w:r>
      <w:r w:rsidR="00D9107F" w:rsidRPr="00FF4077">
        <w:rPr>
          <w:i/>
          <w:lang w:val="en-US"/>
        </w:rPr>
        <w:t xml:space="preserve"> – </w:t>
      </w:r>
      <w:r w:rsidRPr="00FF4077">
        <w:rPr>
          <w:i/>
          <w:lang w:val="en-US"/>
        </w:rPr>
        <w:t>En kort historie om i morgen</w:t>
      </w:r>
      <w:r w:rsidRPr="00FF4077">
        <w:rPr>
          <w:lang w:val="en-US"/>
        </w:rPr>
        <w:t>. Oslo: Cappelen Damm.</w:t>
      </w:r>
    </w:p>
    <w:p w14:paraId="3EE77034" w14:textId="77777777" w:rsidR="00D9107F" w:rsidRPr="00FF4077" w:rsidRDefault="00A930FB" w:rsidP="008F5AD8">
      <w:pPr>
        <w:pStyle w:val="opplisting"/>
        <w:rPr>
          <w:lang w:val="en-US"/>
        </w:rPr>
      </w:pPr>
      <w:r w:rsidRPr="00FF4077">
        <w:rPr>
          <w:lang w:val="en-US"/>
        </w:rPr>
        <w:t xml:space="preserve">Haug, C. J., &amp; Drazen, J. M. (2023). Artificial Intelligence and Machine Learning in Clinical Medicine. </w:t>
      </w:r>
      <w:r w:rsidRPr="00FF4077">
        <w:rPr>
          <w:i/>
          <w:lang w:val="en-US"/>
        </w:rPr>
        <w:t xml:space="preserve">The New Enland Journal of Medicine, </w:t>
      </w:r>
      <w:r w:rsidRPr="00FF4077">
        <w:rPr>
          <w:lang w:val="en-US"/>
        </w:rPr>
        <w:t>(388), 1201-1208.</w:t>
      </w:r>
    </w:p>
    <w:p w14:paraId="6D53B62E" w14:textId="6375F290" w:rsidR="00A930FB" w:rsidRPr="00FF4077" w:rsidRDefault="00A930FB" w:rsidP="008F5AD8">
      <w:pPr>
        <w:pStyle w:val="opplisting"/>
        <w:rPr>
          <w:lang w:val="en-US"/>
        </w:rPr>
      </w:pPr>
      <w:r w:rsidRPr="00FF4077">
        <w:rPr>
          <w:lang w:val="en-US"/>
        </w:rPr>
        <w:t xml:space="preserve">Haumann, J., &amp; Lindegaard, E. S. (2023). </w:t>
      </w:r>
      <w:r w:rsidRPr="001E1D80">
        <w:rPr>
          <w:i/>
        </w:rPr>
        <w:t>Andelen af praksis med lukket for tilgang stiger markant</w:t>
      </w:r>
      <w:r w:rsidRPr="001E1D80">
        <w:t xml:space="preserve"> (PLO analyse). </w:t>
      </w:r>
      <w:r w:rsidRPr="00FF4077">
        <w:rPr>
          <w:lang w:val="en-US"/>
        </w:rPr>
        <w:t>København: Praktiserende lægers organisation.</w:t>
      </w:r>
    </w:p>
    <w:p w14:paraId="53F15566" w14:textId="77777777" w:rsidR="00D9107F" w:rsidRPr="00FF4077" w:rsidRDefault="00A930FB" w:rsidP="008F5AD8">
      <w:pPr>
        <w:pStyle w:val="opplisting"/>
        <w:rPr>
          <w:lang w:val="en-US"/>
        </w:rPr>
      </w:pPr>
      <w:r w:rsidRPr="00FF4077">
        <w:rPr>
          <w:lang w:val="en-US"/>
        </w:rPr>
        <w:t xml:space="preserve">Hayes, H., Gibson, J., Fitzpatrick, B., Checkland, K., Guthrie, B., &amp; Mercer, S. W. (2020). Working lives of GPs in Scotland and England: cross-sectional analysis of national surveys. </w:t>
      </w:r>
      <w:r w:rsidRPr="00FF4077">
        <w:rPr>
          <w:i/>
          <w:lang w:val="en-US"/>
        </w:rPr>
        <w:t>BMJ Open, 10</w:t>
      </w:r>
      <w:r w:rsidRPr="00FF4077">
        <w:rPr>
          <w:lang w:val="en-US"/>
        </w:rPr>
        <w:t>(10), e042236.</w:t>
      </w:r>
    </w:p>
    <w:p w14:paraId="7644F3C6" w14:textId="4FC85853" w:rsidR="00A930FB" w:rsidRPr="00FF4077" w:rsidRDefault="00A930FB" w:rsidP="008F5AD8">
      <w:pPr>
        <w:pStyle w:val="opplisting"/>
        <w:rPr>
          <w:lang w:val="en-US"/>
        </w:rPr>
      </w:pPr>
      <w:r w:rsidRPr="00FF4077">
        <w:rPr>
          <w:lang w:val="en-US"/>
        </w:rPr>
        <w:t xml:space="preserve">Health and Social Care Committee. (2022). </w:t>
      </w:r>
      <w:r w:rsidRPr="00FF4077">
        <w:rPr>
          <w:i/>
          <w:lang w:val="en-US"/>
        </w:rPr>
        <w:t xml:space="preserve">The future of general practice </w:t>
      </w:r>
      <w:r w:rsidRPr="00FF4077">
        <w:rPr>
          <w:lang w:val="en-US"/>
        </w:rPr>
        <w:t>(Fourth Report of Session 2022–23). London: House of Commons, Health and Social Care Committee,.</w:t>
      </w:r>
    </w:p>
    <w:p w14:paraId="5A1E4266" w14:textId="77777777" w:rsidR="00A930FB" w:rsidRPr="001E1D80" w:rsidRDefault="00A930FB" w:rsidP="008F5AD8">
      <w:pPr>
        <w:pStyle w:val="opplisting"/>
      </w:pPr>
      <w:r w:rsidRPr="00FF4077">
        <w:rPr>
          <w:lang w:val="en-US"/>
        </w:rPr>
        <w:t xml:space="preserve">Helgheim Holte, J., Abelse, B., Fosse, A., Markussen, T. M., &amp; Olsen, T. (2022). </w:t>
      </w:r>
      <w:r w:rsidRPr="001E1D80">
        <w:rPr>
          <w:i/>
        </w:rPr>
        <w:t>Spesialistutdanning i allmennmedisin: Nye roller og mer ansvar for kommunene</w:t>
      </w:r>
      <w:r w:rsidRPr="001E1D80">
        <w:t xml:space="preserve"> (Fafo-rapport 2023:02). Oslo: Fafo.</w:t>
      </w:r>
    </w:p>
    <w:p w14:paraId="1FB904FD" w14:textId="77777777" w:rsidR="00D9107F" w:rsidRDefault="00A930FB" w:rsidP="008F5AD8">
      <w:pPr>
        <w:pStyle w:val="opplisting"/>
      </w:pPr>
      <w:r w:rsidRPr="001E1D80">
        <w:t xml:space="preserve">Helin-Salmivaara, A., &amp; Thorn, L. (2020). Specialistläkarutbildning i allmänmedicin. </w:t>
      </w:r>
      <w:r w:rsidRPr="001E1D80">
        <w:rPr>
          <w:i/>
        </w:rPr>
        <w:t>Finska Läkaresällskapets Handlingar, 180</w:t>
      </w:r>
      <w:r w:rsidRPr="001E1D80">
        <w:t>(2), 58-63.</w:t>
      </w:r>
    </w:p>
    <w:p w14:paraId="10F8BE76" w14:textId="6C65FD73" w:rsidR="00A930FB" w:rsidRPr="001E1D80" w:rsidRDefault="00A930FB" w:rsidP="008F5AD8">
      <w:pPr>
        <w:pStyle w:val="opplisting"/>
      </w:pPr>
      <w:r w:rsidRPr="001E1D80">
        <w:t xml:space="preserve">Hellesylt, P., &amp; Bjørge, J. H. </w:t>
      </w:r>
      <w:r w:rsidRPr="001E1D80">
        <w:rPr>
          <w:i/>
        </w:rPr>
        <w:t>Anmodning om å vurdere om anskaffelsesreglene kommer til anvendelse, når det skal inngås avtale om driftstilskudd med privatpraktiserende fysioterapeut [brev til Oslo kommune]</w:t>
      </w:r>
      <w:r w:rsidRPr="001E1D80">
        <w:t>. Nærings- og handelsdepartementet.</w:t>
      </w:r>
    </w:p>
    <w:p w14:paraId="19784DE5" w14:textId="5A32EB6D" w:rsidR="00A930FB" w:rsidRPr="001E1D80" w:rsidRDefault="00A930FB" w:rsidP="008F5AD8">
      <w:pPr>
        <w:pStyle w:val="opplisting"/>
      </w:pPr>
      <w:r w:rsidRPr="001E1D80">
        <w:t xml:space="preserve">Helse- og omsorgsdepartementet. (2011). </w:t>
      </w:r>
      <w:r w:rsidRPr="001E1D80">
        <w:rPr>
          <w:i/>
        </w:rPr>
        <w:t xml:space="preserve">Prop- 91 L </w:t>
      </w:r>
      <w:r w:rsidR="00D9107F" w:rsidRPr="001E1D80">
        <w:rPr>
          <w:i/>
        </w:rPr>
        <w:t>(2010</w:t>
      </w:r>
      <w:r w:rsidR="00D9107F">
        <w:rPr>
          <w:i/>
        </w:rPr>
        <w:t>–</w:t>
      </w:r>
      <w:r w:rsidR="00D9107F" w:rsidRPr="001E1D80">
        <w:rPr>
          <w:i/>
        </w:rPr>
        <w:t>2011)</w:t>
      </w:r>
      <w:r w:rsidRPr="001E1D80">
        <w:rPr>
          <w:i/>
        </w:rPr>
        <w:t>. Proposisjon til Stortinget (forslag til lovvedtak). Lov om kommunale helse- og omsorgstjenester m.m. (helse- og omsorgstjenesteloven)</w:t>
      </w:r>
      <w:r w:rsidRPr="001E1D80">
        <w:t>. Helse- og omsorgsdepartementet, .</w:t>
      </w:r>
    </w:p>
    <w:p w14:paraId="3873E28E" w14:textId="067DC8D5" w:rsidR="00A930FB" w:rsidRPr="001E1D80" w:rsidRDefault="00A930FB" w:rsidP="008F5AD8">
      <w:pPr>
        <w:pStyle w:val="opplisting"/>
      </w:pPr>
      <w:r w:rsidRPr="001E1D80">
        <w:t xml:space="preserve">Helse- og omsorgsdepartementet. (2015a). </w:t>
      </w:r>
      <w:r w:rsidR="00D9107F">
        <w:rPr>
          <w:i/>
        </w:rPr>
        <w:t xml:space="preserve">Meld. St. </w:t>
      </w:r>
      <w:r w:rsidR="00D9107F" w:rsidRPr="001E1D80">
        <w:rPr>
          <w:i/>
        </w:rPr>
        <w:t>2</w:t>
      </w:r>
      <w:r w:rsidRPr="001E1D80">
        <w:rPr>
          <w:i/>
        </w:rPr>
        <w:t>6 (2014–2015). Fremtidens primærhelsetjeneste</w:t>
      </w:r>
      <w:r w:rsidR="00D9107F">
        <w:rPr>
          <w:i/>
        </w:rPr>
        <w:t xml:space="preserve"> – </w:t>
      </w:r>
      <w:r w:rsidRPr="001E1D80">
        <w:rPr>
          <w:i/>
        </w:rPr>
        <w:t>nærhet og helhet</w:t>
      </w:r>
      <w:r w:rsidRPr="001E1D80">
        <w:t xml:space="preserve"> (</w:t>
      </w:r>
      <w:r w:rsidR="00D9107F">
        <w:t xml:space="preserve">Meld. St. </w:t>
      </w:r>
      <w:r w:rsidR="00D9107F" w:rsidRPr="001E1D80">
        <w:t>2</w:t>
      </w:r>
      <w:r w:rsidRPr="001E1D80">
        <w:t>6 (2014–2015)). Oslo: Helse- og omsorgsdepartementet,.</w:t>
      </w:r>
    </w:p>
    <w:p w14:paraId="64B0BA29" w14:textId="21A00317" w:rsidR="00A930FB" w:rsidRPr="001E1D80" w:rsidRDefault="00A930FB" w:rsidP="008F5AD8">
      <w:pPr>
        <w:pStyle w:val="opplisting"/>
      </w:pPr>
      <w:r w:rsidRPr="001E1D80">
        <w:t xml:space="preserve">Helse- og omsorgsdepartementet. (2015b). </w:t>
      </w:r>
      <w:r w:rsidR="00D9107F">
        <w:rPr>
          <w:i/>
        </w:rPr>
        <w:t>NOU</w:t>
      </w:r>
      <w:r w:rsidR="00D9107F" w:rsidRPr="001E1D80">
        <w:rPr>
          <w:i/>
        </w:rPr>
        <w:t xml:space="preserve"> 2015:</w:t>
      </w:r>
      <w:r w:rsidR="00D9107F">
        <w:rPr>
          <w:i/>
        </w:rPr>
        <w:t xml:space="preserve"> </w:t>
      </w:r>
      <w:r w:rsidR="00D9107F" w:rsidRPr="001E1D80">
        <w:rPr>
          <w:i/>
        </w:rPr>
        <w:t>17</w:t>
      </w:r>
      <w:r w:rsidRPr="001E1D80">
        <w:rPr>
          <w:i/>
        </w:rPr>
        <w:t>. Først og fremst. Et helhetlig system for håndtering av akutte sykdommer og skader utenfor sykehus</w:t>
      </w:r>
      <w:r w:rsidRPr="001E1D80">
        <w:t>. Oslo: Helse- og omsorgsdepartementet,.</w:t>
      </w:r>
    </w:p>
    <w:p w14:paraId="0622B259" w14:textId="77777777" w:rsidR="00A930FB" w:rsidRPr="001E1D80" w:rsidRDefault="00A930FB" w:rsidP="008F5AD8">
      <w:pPr>
        <w:pStyle w:val="opplisting"/>
      </w:pPr>
      <w:r w:rsidRPr="001E1D80">
        <w:t xml:space="preserve">Helse- og omsorgsdepartementet. (2015c). </w:t>
      </w:r>
      <w:r w:rsidRPr="001E1D80">
        <w:rPr>
          <w:i/>
        </w:rPr>
        <w:t>Rundskriv I-5/15: Akuttmedisinforskriften (med merknader til enkelte bestemmelser)</w:t>
      </w:r>
      <w:r w:rsidRPr="001E1D80">
        <w:t>. Oslo: Helse- og omsorgsdepartementet.</w:t>
      </w:r>
    </w:p>
    <w:p w14:paraId="0B0610F7" w14:textId="77777777" w:rsidR="00A930FB" w:rsidRPr="001E1D80" w:rsidRDefault="00A930FB" w:rsidP="008F5AD8">
      <w:pPr>
        <w:pStyle w:val="opplisting"/>
      </w:pPr>
      <w:r w:rsidRPr="001E1D80">
        <w:t xml:space="preserve">Helse- og omsorgsdepartementet. (2016). </w:t>
      </w:r>
      <w:r w:rsidRPr="001E1D80">
        <w:rPr>
          <w:i/>
        </w:rPr>
        <w:t>Høringsnotat: Krav om at leger i den kommunale helse- og omsorgstjenesten skal være spesialist i allmennmedisin eller under spesialisering</w:t>
      </w:r>
      <w:r w:rsidRPr="001E1D80">
        <w:t xml:space="preserve"> [høringsnotat]. Oslo: Helse- og omsorgsdepartementet.</w:t>
      </w:r>
    </w:p>
    <w:p w14:paraId="15DCC2B3" w14:textId="205DA5EE" w:rsidR="00A930FB" w:rsidRPr="001E1D80" w:rsidRDefault="00A930FB" w:rsidP="008F5AD8">
      <w:pPr>
        <w:pStyle w:val="opplisting"/>
      </w:pPr>
      <w:r w:rsidRPr="001E1D80">
        <w:lastRenderedPageBreak/>
        <w:t xml:space="preserve">Helse- og omsorgsdepartementet. (2018). </w:t>
      </w:r>
      <w:r w:rsidR="00D9107F">
        <w:rPr>
          <w:i/>
        </w:rPr>
        <w:t>NOU</w:t>
      </w:r>
      <w:r w:rsidR="00D9107F" w:rsidRPr="001E1D80">
        <w:rPr>
          <w:i/>
        </w:rPr>
        <w:t xml:space="preserve"> 2018:</w:t>
      </w:r>
      <w:r w:rsidR="00D9107F">
        <w:rPr>
          <w:i/>
        </w:rPr>
        <w:t xml:space="preserve"> </w:t>
      </w:r>
      <w:r w:rsidR="00D9107F" w:rsidRPr="001E1D80">
        <w:rPr>
          <w:i/>
        </w:rPr>
        <w:t>16</w:t>
      </w:r>
      <w:r w:rsidRPr="001E1D80">
        <w:rPr>
          <w:i/>
        </w:rPr>
        <w:t>. Det viktigste først: prinsipper for prioritering i den kommunale helse- og omsorgstjenesten og for offentlig finansierte tannhelsetjenester</w:t>
      </w:r>
      <w:r w:rsidRPr="001E1D80">
        <w:t xml:space="preserve"> (Norges offentlige utredninger </w:t>
      </w:r>
      <w:r w:rsidR="00D9107F">
        <w:t>NOU</w:t>
      </w:r>
      <w:r w:rsidR="00D9107F" w:rsidRPr="001E1D80">
        <w:t xml:space="preserve"> 2018:</w:t>
      </w:r>
      <w:r w:rsidR="00D9107F">
        <w:t xml:space="preserve"> </w:t>
      </w:r>
      <w:r w:rsidR="00D9107F" w:rsidRPr="001E1D80">
        <w:t>16</w:t>
      </w:r>
      <w:r w:rsidRPr="001E1D80">
        <w:t>). Oslo: Helse- og omsorgsdepartementet,.</w:t>
      </w:r>
    </w:p>
    <w:p w14:paraId="38DFF2B1" w14:textId="4D6AEB01" w:rsidR="00A930FB" w:rsidRPr="001E1D80" w:rsidRDefault="00A930FB" w:rsidP="008F5AD8">
      <w:pPr>
        <w:pStyle w:val="opplisting"/>
      </w:pPr>
      <w:r w:rsidRPr="001E1D80">
        <w:t xml:space="preserve">Helse- og omsorgsdepartementet. (2019). </w:t>
      </w:r>
      <w:r w:rsidRPr="001E1D80">
        <w:rPr>
          <w:i/>
        </w:rPr>
        <w:t>Kvalitet og pasientsikkerhet 2019</w:t>
      </w:r>
      <w:r w:rsidRPr="001E1D80">
        <w:t xml:space="preserve"> (</w:t>
      </w:r>
      <w:r w:rsidR="00D9107F">
        <w:t xml:space="preserve">Meld. St. </w:t>
      </w:r>
      <w:r w:rsidR="00D9107F" w:rsidRPr="001E1D80">
        <w:t>1</w:t>
      </w:r>
      <w:r w:rsidRPr="001E1D80">
        <w:t xml:space="preserve">1 (2020–2021) ). Hentet fra </w:t>
      </w:r>
      <w:hyperlink r:id="rId131" w:history="1">
        <w:r w:rsidRPr="001E1D80">
          <w:rPr>
            <w:rStyle w:val="Hyperkobling"/>
          </w:rPr>
          <w:t>https://www.regjeringen.no/no/dokumenter/meld.-st.-11-20202021/id2791147/?ch=1</w:t>
        </w:r>
      </w:hyperlink>
    </w:p>
    <w:p w14:paraId="241F8A55" w14:textId="77777777" w:rsidR="00A930FB" w:rsidRPr="001E1D80" w:rsidRDefault="00A930FB" w:rsidP="008F5AD8">
      <w:pPr>
        <w:pStyle w:val="opplisting"/>
      </w:pPr>
      <w:r w:rsidRPr="001E1D80">
        <w:t xml:space="preserve">Helse- og omsorgsdepartementet. (2020a). </w:t>
      </w:r>
      <w:r w:rsidRPr="001E1D80">
        <w:rPr>
          <w:i/>
        </w:rPr>
        <w:t xml:space="preserve">Høringsnotat om innføring av introduksjonsavtaler. </w:t>
      </w:r>
      <w:r w:rsidRPr="001E1D80">
        <w:t>. Helse- og omsorgsdepartementet,.</w:t>
      </w:r>
    </w:p>
    <w:p w14:paraId="546584A6" w14:textId="77777777" w:rsidR="00A930FB" w:rsidRPr="001E1D80" w:rsidRDefault="00A930FB" w:rsidP="008F5AD8">
      <w:pPr>
        <w:pStyle w:val="opplisting"/>
      </w:pPr>
      <w:r w:rsidRPr="001E1D80">
        <w:t xml:space="preserve">Helse- og omsorgsdepartementet. (2020b). </w:t>
      </w:r>
      <w:r w:rsidRPr="001E1D80">
        <w:rPr>
          <w:i/>
        </w:rPr>
        <w:t>Private aktører i velferdsstaten — Velferdstjenesteutvalgets delutredning I og II om offentlig finansierte velferdstjenester</w:t>
      </w:r>
      <w:r w:rsidRPr="001E1D80">
        <w:t xml:space="preserve"> (NOU 2020: 13).</w:t>
      </w:r>
    </w:p>
    <w:p w14:paraId="45715D42" w14:textId="386097A2" w:rsidR="00A930FB" w:rsidRPr="001E1D80" w:rsidRDefault="00A930FB" w:rsidP="008F5AD8">
      <w:pPr>
        <w:pStyle w:val="opplisting"/>
      </w:pPr>
      <w:r w:rsidRPr="001E1D80">
        <w:t xml:space="preserve">Helse- og omsorgsdepartementet. (2021a). </w:t>
      </w:r>
      <w:r w:rsidRPr="001E1D80">
        <w:rPr>
          <w:i/>
        </w:rPr>
        <w:t>Høring</w:t>
      </w:r>
      <w:r w:rsidR="00D9107F">
        <w:rPr>
          <w:i/>
        </w:rPr>
        <w:t xml:space="preserve"> – </w:t>
      </w:r>
      <w:r w:rsidRPr="001E1D80">
        <w:rPr>
          <w:i/>
        </w:rPr>
        <w:t>etterutdanning for spesialister i allmennmedisin (endringer i helsepersonelloven)</w:t>
      </w:r>
      <w:r w:rsidRPr="001E1D80">
        <w:t xml:space="preserve"> [høring]. Oslo: Helse- og omsorgsdepartementet.</w:t>
      </w:r>
    </w:p>
    <w:p w14:paraId="0E3F8B45" w14:textId="419296AD" w:rsidR="00A930FB" w:rsidRPr="001E1D80" w:rsidRDefault="00A930FB" w:rsidP="008F5AD8">
      <w:pPr>
        <w:pStyle w:val="opplisting"/>
      </w:pPr>
      <w:r w:rsidRPr="001E1D80">
        <w:t xml:space="preserve">Helse- og omsorgsdepartementet. (2021b). </w:t>
      </w:r>
      <w:r w:rsidRPr="001E1D80">
        <w:rPr>
          <w:i/>
        </w:rPr>
        <w:t>Nytte, ressurs og alvorlighet: prioritering i helse- og omsorgstjenesten</w:t>
      </w:r>
      <w:r w:rsidRPr="001E1D80">
        <w:t xml:space="preserve"> (</w:t>
      </w:r>
      <w:r w:rsidR="00D9107F">
        <w:t xml:space="preserve">Meld. St. </w:t>
      </w:r>
      <w:r w:rsidR="00D9107F" w:rsidRPr="001E1D80">
        <w:t>3</w:t>
      </w:r>
      <w:r w:rsidRPr="001E1D80">
        <w:t>8 (2020–2021)). Helse- og omsorgsdepartementet.</w:t>
      </w:r>
    </w:p>
    <w:p w14:paraId="648B0972" w14:textId="76913D2B" w:rsidR="00A930FB" w:rsidRPr="001E1D80" w:rsidRDefault="00A930FB" w:rsidP="008F5AD8">
      <w:pPr>
        <w:pStyle w:val="opplisting"/>
      </w:pPr>
      <w:r w:rsidRPr="001E1D80">
        <w:t xml:space="preserve">Helse- og omsorgsdepartementet. (2022). </w:t>
      </w:r>
      <w:r w:rsidR="00D9107F">
        <w:rPr>
          <w:i/>
        </w:rPr>
        <w:t xml:space="preserve">Prop. </w:t>
      </w:r>
      <w:r w:rsidR="00D9107F" w:rsidRPr="001E1D80">
        <w:rPr>
          <w:i/>
        </w:rPr>
        <w:t>1 S (2022</w:t>
      </w:r>
      <w:r w:rsidR="00D9107F">
        <w:rPr>
          <w:i/>
        </w:rPr>
        <w:t>–</w:t>
      </w:r>
      <w:r w:rsidR="00D9107F" w:rsidRPr="001E1D80">
        <w:rPr>
          <w:i/>
        </w:rPr>
        <w:t>2023)</w:t>
      </w:r>
      <w:r w:rsidRPr="001E1D80">
        <w:rPr>
          <w:i/>
        </w:rPr>
        <w:t>. Proposisjon til Stortinget (forslag til stortingsvedtak) for budsjettåret 2023</w:t>
      </w:r>
      <w:r w:rsidRPr="001E1D80">
        <w:t>. Helse- og omsorgsdepartementet,.</w:t>
      </w:r>
    </w:p>
    <w:p w14:paraId="34705116" w14:textId="77777777" w:rsidR="00A930FB" w:rsidRPr="001E1D80" w:rsidRDefault="00A930FB" w:rsidP="008F5AD8">
      <w:pPr>
        <w:pStyle w:val="opplisting"/>
      </w:pPr>
      <w:r w:rsidRPr="001E1D80">
        <w:t xml:space="preserve">Helse- og omsorgsdepartementet. (2023a). </w:t>
      </w:r>
      <w:r w:rsidRPr="001E1D80">
        <w:rPr>
          <w:i/>
        </w:rPr>
        <w:t>Nasjonal strategi for persontilpasset medisin 2023-2030</w:t>
      </w:r>
      <w:r w:rsidRPr="001E1D80">
        <w:t>. Oslo: H.-o. omsorgsdepartementet.</w:t>
      </w:r>
    </w:p>
    <w:p w14:paraId="2DA96C0A" w14:textId="4C73C54B" w:rsidR="00A930FB" w:rsidRPr="001E1D80" w:rsidRDefault="00A930FB" w:rsidP="008F5AD8">
      <w:pPr>
        <w:pStyle w:val="opplisting"/>
      </w:pPr>
      <w:r w:rsidRPr="001E1D80">
        <w:t xml:space="preserve">Helse- og omsorgsdepartementet. (2023b). </w:t>
      </w:r>
      <w:r w:rsidR="00D9107F">
        <w:rPr>
          <w:i/>
        </w:rPr>
        <w:t>NOU</w:t>
      </w:r>
      <w:r w:rsidR="00D9107F" w:rsidRPr="001E1D80">
        <w:rPr>
          <w:i/>
        </w:rPr>
        <w:t xml:space="preserve"> 2023:</w:t>
      </w:r>
      <w:r w:rsidR="00D9107F">
        <w:rPr>
          <w:i/>
        </w:rPr>
        <w:t xml:space="preserve"> </w:t>
      </w:r>
      <w:r w:rsidR="00D9107F" w:rsidRPr="001E1D80">
        <w:rPr>
          <w:i/>
        </w:rPr>
        <w:t>8</w:t>
      </w:r>
      <w:r w:rsidRPr="001E1D80">
        <w:rPr>
          <w:i/>
        </w:rPr>
        <w:t>. Fellesskapets sykehus. Styring, finansiering, samhandling og ledelse</w:t>
      </w:r>
      <w:r w:rsidRPr="001E1D80">
        <w:t>. Helse- og omsorgsdepartementet,.</w:t>
      </w:r>
    </w:p>
    <w:p w14:paraId="01CD016F" w14:textId="37793FC1" w:rsidR="00A930FB" w:rsidRPr="001E1D80" w:rsidRDefault="00A930FB" w:rsidP="008F5AD8">
      <w:pPr>
        <w:pStyle w:val="opplisting"/>
      </w:pPr>
      <w:r w:rsidRPr="001E1D80">
        <w:t xml:space="preserve">Helse- og omsorgsdepartementet. (2023c). </w:t>
      </w:r>
      <w:r w:rsidRPr="001E1D80">
        <w:rPr>
          <w:i/>
        </w:rPr>
        <w:t>Tid for handling. Personellet i en bærekraftig helse- og omsorgstjeneste</w:t>
      </w:r>
      <w:r w:rsidRPr="001E1D80">
        <w:t xml:space="preserve"> (</w:t>
      </w:r>
      <w:r w:rsidR="00D9107F">
        <w:t>NOU</w:t>
      </w:r>
      <w:r w:rsidR="00D9107F" w:rsidRPr="001E1D80">
        <w:t xml:space="preserve"> 2023:</w:t>
      </w:r>
      <w:r w:rsidR="00D9107F">
        <w:t xml:space="preserve"> </w:t>
      </w:r>
      <w:r w:rsidR="00D9107F" w:rsidRPr="001E1D80">
        <w:t>4</w:t>
      </w:r>
      <w:r w:rsidRPr="001E1D80">
        <w:t>. ). Helse- og omsorgsdepartementet.</w:t>
      </w:r>
    </w:p>
    <w:p w14:paraId="5380047F" w14:textId="77777777" w:rsidR="00A930FB" w:rsidRPr="001E1D80" w:rsidRDefault="00A930FB" w:rsidP="008F5AD8">
      <w:pPr>
        <w:pStyle w:val="opplisting"/>
      </w:pPr>
      <w:r w:rsidRPr="001E1D80">
        <w:t xml:space="preserve">Helse- og omsorgsdepartementet. (2023d). </w:t>
      </w:r>
      <w:r w:rsidRPr="001E1D80">
        <w:rPr>
          <w:i/>
        </w:rPr>
        <w:t xml:space="preserve">Tildelingsbrev til Helsedirektoratet for 2023. </w:t>
      </w:r>
      <w:r w:rsidRPr="001E1D80">
        <w:t>. Helse- og omsorgsdepartementet,.</w:t>
      </w:r>
    </w:p>
    <w:p w14:paraId="2EE98B25" w14:textId="77777777" w:rsidR="00A930FB" w:rsidRPr="001E1D80" w:rsidRDefault="00A930FB" w:rsidP="008F5AD8">
      <w:pPr>
        <w:pStyle w:val="opplisting"/>
      </w:pPr>
      <w:r w:rsidRPr="001E1D80">
        <w:t xml:space="preserve">Helse- og omsorgsdepartementet. (s.a.). </w:t>
      </w:r>
      <w:r w:rsidRPr="001E1D80">
        <w:rPr>
          <w:i/>
        </w:rPr>
        <w:t>Ny modell for framskrivninger i psykisk helsevern og tverrfaglig spesialisert rusbehandling</w:t>
      </w:r>
      <w:r w:rsidRPr="001E1D80">
        <w:t>. H.-o. omsorgsdepartementet.</w:t>
      </w:r>
    </w:p>
    <w:p w14:paraId="1FB9273D" w14:textId="77777777" w:rsidR="00A930FB" w:rsidRPr="001E1D80" w:rsidRDefault="00A930FB" w:rsidP="008F5AD8">
      <w:pPr>
        <w:pStyle w:val="opplisting"/>
      </w:pPr>
      <w:r w:rsidRPr="001E1D80">
        <w:t xml:space="preserve">Helse Nord. (2019). </w:t>
      </w:r>
      <w:r w:rsidRPr="001E1D80">
        <w:rPr>
          <w:i/>
        </w:rPr>
        <w:t>Fastlegetjenesten i Nord-Norge: Status, utfordringer og forslag til tiltak</w:t>
      </w:r>
      <w:r w:rsidRPr="001E1D80">
        <w:t>. Bodø: Helse Nord.</w:t>
      </w:r>
    </w:p>
    <w:p w14:paraId="68AA5FB0" w14:textId="378A3D67" w:rsidR="00A930FB" w:rsidRPr="001E1D80" w:rsidRDefault="00A930FB" w:rsidP="008F5AD8">
      <w:pPr>
        <w:pStyle w:val="opplisting"/>
      </w:pPr>
      <w:r w:rsidRPr="001E1D80">
        <w:t xml:space="preserve">Helsedirektoratet. (desember 2022). </w:t>
      </w:r>
      <w:r w:rsidRPr="001E1D80">
        <w:rPr>
          <w:i/>
        </w:rPr>
        <w:t>Handlingsplan Allmennlegetjenesten: utvalgte nasjonale nøkkeltall fra fastlegeordningen</w:t>
      </w:r>
      <w:r w:rsidR="00D9107F">
        <w:rPr>
          <w:i/>
        </w:rPr>
        <w:t xml:space="preserve"> – </w:t>
      </w:r>
      <w:r w:rsidRPr="001E1D80">
        <w:rPr>
          <w:i/>
        </w:rPr>
        <w:t>per desember 2022</w:t>
      </w:r>
      <w:r w:rsidRPr="001E1D80">
        <w:t>.Oslo: Helsedirektoratet. Hentet 27.01.23</w:t>
      </w:r>
    </w:p>
    <w:p w14:paraId="3AC6DC3B" w14:textId="51EA71A9" w:rsidR="00A930FB" w:rsidRPr="001E1D80" w:rsidRDefault="00A930FB" w:rsidP="008F5AD8">
      <w:pPr>
        <w:pStyle w:val="opplisting"/>
      </w:pPr>
      <w:r w:rsidRPr="001E1D80">
        <w:t xml:space="preserve">Helsedirektoratet. </w:t>
      </w:r>
      <w:r w:rsidRPr="001E1D80">
        <w:rPr>
          <w:i/>
        </w:rPr>
        <w:t>Om de faglige rådene. Veiledning av leger i spesialisering</w:t>
      </w:r>
      <w:r w:rsidRPr="001E1D80">
        <w:t xml:space="preserve">. 2023, fra </w:t>
      </w:r>
      <w:hyperlink r:id="rId132" w:history="1">
        <w:r w:rsidRPr="001E1D80">
          <w:rPr>
            <w:rStyle w:val="Hyperkobling"/>
          </w:rPr>
          <w:t>https://www.helsedirektoratet.no/faglige-rad/veiledning-av-leger-i-spesialisering/om-de-faglige-radene</w:t>
        </w:r>
      </w:hyperlink>
    </w:p>
    <w:p w14:paraId="44A7F9C8" w14:textId="5EF7BD3F" w:rsidR="00A930FB" w:rsidRPr="001E1D80" w:rsidRDefault="00A930FB" w:rsidP="008F5AD8">
      <w:pPr>
        <w:pStyle w:val="opplisting"/>
      </w:pPr>
      <w:r w:rsidRPr="001E1D80">
        <w:t xml:space="preserve">Helsedirektoratet. </w:t>
      </w:r>
      <w:r w:rsidRPr="001E1D80">
        <w:rPr>
          <w:i/>
        </w:rPr>
        <w:t>Om Helsedirektoratets normerende produkter</w:t>
      </w:r>
      <w:r w:rsidRPr="001E1D80">
        <w:t xml:space="preserve">. 2023, fra </w:t>
      </w:r>
      <w:hyperlink r:id="rId133" w:history="1">
        <w:r w:rsidRPr="001E1D80">
          <w:rPr>
            <w:rStyle w:val="Hyperkobling"/>
          </w:rPr>
          <w:t>https://www.helsedirektoratet.no/produkter/om-helsedirektoratets-normerende-produkter</w:t>
        </w:r>
      </w:hyperlink>
    </w:p>
    <w:p w14:paraId="66E258F0" w14:textId="77777777" w:rsidR="00A930FB" w:rsidRPr="001E1D80" w:rsidRDefault="00A930FB" w:rsidP="008F5AD8">
      <w:pPr>
        <w:pStyle w:val="opplisting"/>
      </w:pPr>
      <w:r w:rsidRPr="001E1D80">
        <w:lastRenderedPageBreak/>
        <w:t xml:space="preserve">Helsedirektoratet. (2006). </w:t>
      </w:r>
      <w:r w:rsidRPr="001E1D80">
        <w:rPr>
          <w:i/>
        </w:rPr>
        <w:t xml:space="preserve">Nasjonal faglig retningslinje for helsestasjon, skolehelsetjenesten og helsestasjon for ungdom. Hentet fra Helsestasjon, skolehelsetjeneste og helsestasjon for ungdom </w:t>
      </w:r>
      <w:r w:rsidRPr="001E1D80">
        <w:t>Oslo: Helsedirektoratet.</w:t>
      </w:r>
    </w:p>
    <w:p w14:paraId="52B7290E" w14:textId="54FF9D10" w:rsidR="00A930FB" w:rsidRPr="001E1D80" w:rsidRDefault="00A930FB" w:rsidP="008F5AD8">
      <w:pPr>
        <w:pStyle w:val="opplisting"/>
      </w:pPr>
      <w:r w:rsidRPr="001E1D80">
        <w:t xml:space="preserve">Helsedirektoratet. (2010). </w:t>
      </w:r>
      <w:r w:rsidRPr="001E1D80">
        <w:rPr>
          <w:i/>
        </w:rPr>
        <w:t>Nybyrjarstilling for legar</w:t>
      </w:r>
      <w:r w:rsidR="00D9107F">
        <w:rPr>
          <w:i/>
        </w:rPr>
        <w:t xml:space="preserve"> – </w:t>
      </w:r>
      <w:r w:rsidRPr="001E1D80">
        <w:rPr>
          <w:i/>
        </w:rPr>
        <w:t xml:space="preserve">praktisk og pedagogisk oppfølging av nyutdanna legar </w:t>
      </w:r>
      <w:r w:rsidRPr="001E1D80">
        <w:t>(Rapport IS-1783). Oslo: Helsedirektoratet.</w:t>
      </w:r>
    </w:p>
    <w:p w14:paraId="68C3FA99" w14:textId="77777777" w:rsidR="00A930FB" w:rsidRPr="001E1D80" w:rsidRDefault="00A930FB" w:rsidP="008F5AD8">
      <w:pPr>
        <w:pStyle w:val="opplisting"/>
      </w:pPr>
      <w:r w:rsidRPr="001E1D80">
        <w:t xml:space="preserve">Helsedirektoratet. (2012). </w:t>
      </w:r>
      <w:r w:rsidRPr="001E1D80">
        <w:rPr>
          <w:i/>
        </w:rPr>
        <w:t xml:space="preserve">Prioriteringer i helsesektoren : verdigrunnlag, status og utfordringer </w:t>
      </w:r>
      <w:r w:rsidRPr="001E1D80">
        <w:t>(Rapport 2012 IS-1967). Oslo: Helsedirektoratet.</w:t>
      </w:r>
    </w:p>
    <w:p w14:paraId="43530224" w14:textId="77777777" w:rsidR="00A930FB" w:rsidRPr="001E1D80" w:rsidRDefault="00A930FB" w:rsidP="008F5AD8">
      <w:pPr>
        <w:pStyle w:val="opplisting"/>
      </w:pPr>
      <w:r w:rsidRPr="001E1D80">
        <w:t xml:space="preserve">Helsedirektoratet. (29. oktober 2018). </w:t>
      </w:r>
      <w:r w:rsidRPr="001E1D80">
        <w:rPr>
          <w:i/>
        </w:rPr>
        <w:t>Veileder til forskrift om ledelse og kvalitetsforbedring i helse- og omsorgstjenesten</w:t>
      </w:r>
      <w:r w:rsidRPr="001E1D80">
        <w:t>. [nettdokument]. Oslo: Helsedirektoratet. Hentet 30.01.23</w:t>
      </w:r>
    </w:p>
    <w:p w14:paraId="4B4EA2A7" w14:textId="77777777" w:rsidR="00A930FB" w:rsidRPr="001E1D80" w:rsidRDefault="00A930FB" w:rsidP="008F5AD8">
      <w:pPr>
        <w:pStyle w:val="opplisting"/>
      </w:pPr>
      <w:r w:rsidRPr="001E1D80">
        <w:t xml:space="preserve">Helsedirektoratet. (2018a). </w:t>
      </w:r>
      <w:r w:rsidRPr="001E1D80">
        <w:rPr>
          <w:i/>
        </w:rPr>
        <w:t>Allmennleger i spesialisering (ALIS): Del 2 av 2</w:t>
      </w:r>
      <w:r w:rsidRPr="001E1D80">
        <w:t>. Oslo: Helsedirektoratet.</w:t>
      </w:r>
    </w:p>
    <w:p w14:paraId="2760C745" w14:textId="48B94AF2" w:rsidR="00A930FB" w:rsidRPr="001E1D80" w:rsidRDefault="00A930FB" w:rsidP="008F5AD8">
      <w:pPr>
        <w:pStyle w:val="opplisting"/>
      </w:pPr>
      <w:r w:rsidRPr="001E1D80">
        <w:t xml:space="preserve">Helsedirektoratet. (10.08.2022). </w:t>
      </w:r>
      <w:r w:rsidRPr="001E1D80">
        <w:rPr>
          <w:i/>
        </w:rPr>
        <w:t>Leger i spesialisering</w:t>
      </w:r>
      <w:r w:rsidR="00D9107F">
        <w:rPr>
          <w:i/>
        </w:rPr>
        <w:t xml:space="preserve"> – </w:t>
      </w:r>
      <w:r w:rsidRPr="001E1D80">
        <w:rPr>
          <w:i/>
        </w:rPr>
        <w:t>Statusrapporter for søknadsrunder</w:t>
      </w:r>
      <w:r w:rsidRPr="001E1D80">
        <w:t>. [nettdokument]. Oslo: Helsedirektoratet. Hentet 03.01.2023</w:t>
      </w:r>
    </w:p>
    <w:p w14:paraId="46A1DA9D" w14:textId="77777777" w:rsidR="00A930FB" w:rsidRPr="001E1D80" w:rsidRDefault="00A930FB" w:rsidP="008F5AD8">
      <w:pPr>
        <w:pStyle w:val="opplisting"/>
      </w:pPr>
      <w:r w:rsidRPr="001E1D80">
        <w:t xml:space="preserve">Helsedirektoratet. (2018c). </w:t>
      </w:r>
      <w:r w:rsidRPr="001E1D80">
        <w:rPr>
          <w:i/>
        </w:rPr>
        <w:t>Vurdering av antall LIS1-stillinger: Svar på oppdrag gitt i tildelingsbrevet for 2018</w:t>
      </w:r>
      <w:r w:rsidRPr="001E1D80">
        <w:t xml:space="preserve"> (IS-2802). Oslo: Helsedirektoratet.</w:t>
      </w:r>
    </w:p>
    <w:p w14:paraId="75721B24" w14:textId="77777777" w:rsidR="00A930FB" w:rsidRPr="001E1D80" w:rsidRDefault="00A930FB" w:rsidP="008F5AD8">
      <w:pPr>
        <w:pStyle w:val="opplisting"/>
      </w:pPr>
      <w:r w:rsidRPr="001E1D80">
        <w:t xml:space="preserve">Helsedirektoratet. (2019a). </w:t>
      </w:r>
      <w:r w:rsidRPr="001E1D80">
        <w:rPr>
          <w:i/>
        </w:rPr>
        <w:t>Helsedirektoratets besvarelse av oppdrag fra Helse- og omsorgsdepartementet, Partssammensatt arbeidsgruppe: Ikke-kliniske oppgaver fastlegen bør slutte å gjøre: 12.11.2019</w:t>
      </w:r>
      <w:r w:rsidRPr="001E1D80">
        <w:t xml:space="preserve"> [upublisert]. Helsedirektoratet.</w:t>
      </w:r>
    </w:p>
    <w:p w14:paraId="1174A45B" w14:textId="77777777" w:rsidR="00A930FB" w:rsidRPr="001E1D80" w:rsidRDefault="00A930FB" w:rsidP="008F5AD8">
      <w:pPr>
        <w:pStyle w:val="opplisting"/>
      </w:pPr>
      <w:r w:rsidRPr="001E1D80">
        <w:t xml:space="preserve">Helsedirektoratet. (07.10.2022). </w:t>
      </w:r>
      <w:r w:rsidRPr="001E1D80">
        <w:rPr>
          <w:i/>
        </w:rPr>
        <w:t>LIS1-stillinger (tidligere kommuneturnus) – tilskudd til kommuner</w:t>
      </w:r>
      <w:r w:rsidRPr="001E1D80">
        <w:t>. Oslo: Helsedirektoratet. Hentet 16.03.2023</w:t>
      </w:r>
    </w:p>
    <w:p w14:paraId="6DDEB929" w14:textId="77777777" w:rsidR="00A930FB" w:rsidRPr="001E1D80" w:rsidRDefault="00A930FB" w:rsidP="008F5AD8">
      <w:pPr>
        <w:pStyle w:val="opplisting"/>
      </w:pPr>
      <w:r w:rsidRPr="001E1D80">
        <w:t xml:space="preserve">Helsedirektoratet. (26.04.2022). </w:t>
      </w:r>
      <w:r w:rsidRPr="001E1D80">
        <w:rPr>
          <w:i/>
        </w:rPr>
        <w:t>Om Nasjonalt velferdsteknologiprogram : Om programmet, prosjektene, programorganisering og historikk</w:t>
      </w:r>
      <w:r w:rsidRPr="001E1D80">
        <w:t>. [nettdokument]. Oslo: Helsedirektoratet. Hentet 13.02.2023</w:t>
      </w:r>
    </w:p>
    <w:p w14:paraId="7FC0FC61" w14:textId="77777777" w:rsidR="00A930FB" w:rsidRPr="001E1D80" w:rsidRDefault="00A930FB" w:rsidP="008F5AD8">
      <w:pPr>
        <w:pStyle w:val="opplisting"/>
      </w:pPr>
      <w:r w:rsidRPr="001E1D80">
        <w:t xml:space="preserve">Helsedirektoratet. (2019d). </w:t>
      </w:r>
      <w:r w:rsidRPr="001E1D80">
        <w:rPr>
          <w:i/>
        </w:rPr>
        <w:t>Sammenstilling av data fra allmennlegetjenesten: Tilleggsoppdrag nr. 43 (2019)</w:t>
      </w:r>
      <w:r w:rsidRPr="001E1D80">
        <w:t xml:space="preserve"> (IS-2881). Oslo: Helsedirektoratet.</w:t>
      </w:r>
    </w:p>
    <w:p w14:paraId="68689090" w14:textId="77777777" w:rsidR="00A930FB" w:rsidRPr="001E1D80" w:rsidRDefault="00A930FB" w:rsidP="008F5AD8">
      <w:pPr>
        <w:pStyle w:val="opplisting"/>
      </w:pPr>
      <w:r w:rsidRPr="001E1D80">
        <w:t xml:space="preserve">Helsedirektoratet. (10. januar 2023). </w:t>
      </w:r>
      <w:r w:rsidRPr="001E1D80">
        <w:rPr>
          <w:i/>
        </w:rPr>
        <w:t>Særlig ressurskrevende helse- og omsorgstjenester</w:t>
      </w:r>
      <w:r w:rsidRPr="001E1D80">
        <w:t>. [nettdokument]. Oslo: Helsedirektoratet. Hentet 16. mars 2023</w:t>
      </w:r>
    </w:p>
    <w:p w14:paraId="2F9C6C7B" w14:textId="77777777" w:rsidR="00A930FB" w:rsidRPr="001E1D80" w:rsidRDefault="00A930FB" w:rsidP="008F5AD8">
      <w:pPr>
        <w:pStyle w:val="opplisting"/>
      </w:pPr>
      <w:r w:rsidRPr="001E1D80">
        <w:t xml:space="preserve">Helsedirektoratet. (25.01.2023). </w:t>
      </w:r>
      <w:r w:rsidRPr="001E1D80">
        <w:rPr>
          <w:i/>
        </w:rPr>
        <w:t>Søknad og frister for LIS1 stillinger</w:t>
      </w:r>
      <w:r w:rsidRPr="001E1D80">
        <w:t>. [nettdokument]. Oslo: Helsedirektoratet. Hentet 08.02.2023</w:t>
      </w:r>
    </w:p>
    <w:p w14:paraId="21051D22" w14:textId="77777777" w:rsidR="00A930FB" w:rsidRPr="001E1D80" w:rsidRDefault="00A930FB" w:rsidP="008F5AD8">
      <w:pPr>
        <w:pStyle w:val="opplisting"/>
      </w:pPr>
      <w:r w:rsidRPr="001E1D80">
        <w:t xml:space="preserve">Helsedirektoratet. (22.06.2022). </w:t>
      </w:r>
      <w:r w:rsidRPr="001E1D80">
        <w:rPr>
          <w:i/>
        </w:rPr>
        <w:t>Felles kompetansemål</w:t>
      </w:r>
      <w:r w:rsidRPr="001E1D80">
        <w:t>. [nettdokument]. Oslo: Helsedirektoratet. Hentet 08.02.2023</w:t>
      </w:r>
    </w:p>
    <w:p w14:paraId="6F11CE11" w14:textId="77777777" w:rsidR="00A930FB" w:rsidRPr="001E1D80" w:rsidRDefault="00A930FB" w:rsidP="008F5AD8">
      <w:pPr>
        <w:pStyle w:val="opplisting"/>
      </w:pPr>
      <w:r w:rsidRPr="001E1D80">
        <w:t xml:space="preserve">Helsedirektoratet. (22.06.2022). </w:t>
      </w:r>
      <w:r w:rsidRPr="001E1D80">
        <w:rPr>
          <w:i/>
        </w:rPr>
        <w:t>Kliniske læremål</w:t>
      </w:r>
      <w:r w:rsidRPr="001E1D80">
        <w:t>. [nettdokument]. Oslo: Helsedirektoratet. Hentet 08.02.2023</w:t>
      </w:r>
    </w:p>
    <w:p w14:paraId="1F2DD9D3" w14:textId="77777777" w:rsidR="00A930FB" w:rsidRPr="001E1D80" w:rsidRDefault="00A930FB" w:rsidP="008F5AD8">
      <w:pPr>
        <w:pStyle w:val="opplisting"/>
      </w:pPr>
      <w:r w:rsidRPr="001E1D80">
        <w:t xml:space="preserve">Helsedirektoratet. (28.02.2020). </w:t>
      </w:r>
      <w:r w:rsidRPr="001E1D80">
        <w:rPr>
          <w:i/>
        </w:rPr>
        <w:t>Nasjonal veileder for legevakt og legevaktsentral</w:t>
      </w:r>
      <w:r w:rsidRPr="001E1D80">
        <w:t>. [nettdokument]. Oslo: Helsedirektoratet. Hentet 13.02.2023</w:t>
      </w:r>
    </w:p>
    <w:p w14:paraId="4A3E26A4" w14:textId="60416E3C" w:rsidR="00A930FB" w:rsidRPr="001E1D80" w:rsidRDefault="00A930FB" w:rsidP="008F5AD8">
      <w:pPr>
        <w:pStyle w:val="opplisting"/>
      </w:pPr>
      <w:r w:rsidRPr="001E1D80">
        <w:t xml:space="preserve">Helsedirektoratet. (04.03.2021). </w:t>
      </w:r>
      <w:r w:rsidRPr="001E1D80">
        <w:rPr>
          <w:i/>
        </w:rPr>
        <w:t>Regler for gammel spesialistutdanning og etterutdanning</w:t>
      </w:r>
      <w:r w:rsidR="00D9107F">
        <w:rPr>
          <w:i/>
        </w:rPr>
        <w:t xml:space="preserve"> – </w:t>
      </w:r>
      <w:r w:rsidRPr="001E1D80">
        <w:rPr>
          <w:i/>
        </w:rPr>
        <w:t>allmennmedisin</w:t>
      </w:r>
      <w:r w:rsidRPr="001E1D80">
        <w:t>. [nettdokument]. Oslo: Helsedirektoratet. Hentet 07.02.2023</w:t>
      </w:r>
    </w:p>
    <w:p w14:paraId="0EA033D2" w14:textId="77777777" w:rsidR="00A930FB" w:rsidRPr="001E1D80" w:rsidRDefault="00A930FB" w:rsidP="008F5AD8">
      <w:pPr>
        <w:pStyle w:val="opplisting"/>
      </w:pPr>
      <w:r w:rsidRPr="001E1D80">
        <w:lastRenderedPageBreak/>
        <w:t xml:space="preserve">Helsedirektoratet. (16.04.2021). </w:t>
      </w:r>
      <w:r w:rsidRPr="001E1D80">
        <w:rPr>
          <w:i/>
        </w:rPr>
        <w:t>Velferdsteknologi til barn og unge med nedsatt funksjonsevne</w:t>
      </w:r>
      <w:r w:rsidRPr="001E1D80">
        <w:t>. [nettdokument]. Oslo: Helsedirektoratet. Hentet 13.02.2023</w:t>
      </w:r>
    </w:p>
    <w:p w14:paraId="50C7340B" w14:textId="77777777" w:rsidR="00A930FB" w:rsidRPr="001E1D80" w:rsidRDefault="00A930FB" w:rsidP="008F5AD8">
      <w:pPr>
        <w:pStyle w:val="opplisting"/>
      </w:pPr>
      <w:r w:rsidRPr="001E1D80">
        <w:t xml:space="preserve">Helsedirektoratet. (23.03.2022). </w:t>
      </w:r>
      <w:r w:rsidRPr="001E1D80">
        <w:rPr>
          <w:i/>
        </w:rPr>
        <w:t>Andel fastleger med spesialitet i allmennmedisin</w:t>
      </w:r>
      <w:r w:rsidRPr="001E1D80">
        <w:t>. [nettdokument]. Oslo: Helsedirektoratet. Hentet 03.01.2023</w:t>
      </w:r>
    </w:p>
    <w:p w14:paraId="6269DFA4" w14:textId="77777777" w:rsidR="00A930FB" w:rsidRPr="001E1D80" w:rsidRDefault="00A930FB" w:rsidP="008F5AD8">
      <w:pPr>
        <w:pStyle w:val="opplisting"/>
      </w:pPr>
      <w:r w:rsidRPr="001E1D80">
        <w:t xml:space="preserve">Helsedirektoratet. (28.11.2022). </w:t>
      </w:r>
      <w:r w:rsidRPr="001E1D80">
        <w:rPr>
          <w:i/>
        </w:rPr>
        <w:t>Kvalitet og kvalitetsindikatorer</w:t>
      </w:r>
      <w:r w:rsidRPr="001E1D80">
        <w:t>. [nettdokument]. Oslo: Helsedirektoratet. Hentet 09.03.2023</w:t>
      </w:r>
    </w:p>
    <w:p w14:paraId="49030FCA" w14:textId="247F6D49" w:rsidR="00A930FB" w:rsidRPr="001E1D80" w:rsidRDefault="00A930FB" w:rsidP="008F5AD8">
      <w:pPr>
        <w:pStyle w:val="opplisting"/>
      </w:pPr>
      <w:r w:rsidRPr="001E1D80">
        <w:t xml:space="preserve">Helsedirektoratet. (2021c). </w:t>
      </w:r>
      <w:r w:rsidRPr="001E1D80">
        <w:rPr>
          <w:i/>
        </w:rPr>
        <w:t>Leger i spesialisering</w:t>
      </w:r>
      <w:r w:rsidR="00D9107F">
        <w:rPr>
          <w:i/>
        </w:rPr>
        <w:t xml:space="preserve"> – </w:t>
      </w:r>
      <w:r w:rsidRPr="001E1D80">
        <w:rPr>
          <w:i/>
        </w:rPr>
        <w:t>LIS1-stillinger knyttet til videre spesialiseringsløp: Modell for utlysning og tilsetting i 62 nye LIS1-stillinger med binding til allmenmedisin, barne- og ungdomspsykiatri og psykiatri</w:t>
      </w:r>
      <w:r w:rsidRPr="001E1D80">
        <w:t xml:space="preserve"> (IS-3030). Oslo: Helsedirektoratet.</w:t>
      </w:r>
    </w:p>
    <w:p w14:paraId="63683B0B" w14:textId="77777777" w:rsidR="00A930FB" w:rsidRPr="001E1D80" w:rsidRDefault="00A930FB" w:rsidP="008F5AD8">
      <w:pPr>
        <w:pStyle w:val="opplisting"/>
      </w:pPr>
      <w:r w:rsidRPr="001E1D80">
        <w:t xml:space="preserve">Helsedirektoratet. (2021d). </w:t>
      </w:r>
      <w:r w:rsidRPr="001E1D80">
        <w:rPr>
          <w:i/>
        </w:rPr>
        <w:t>Oppfølging av Handlingsplan for allmennlegetjenesten 2020-2024 : Årsrapport 2020</w:t>
      </w:r>
      <w:r w:rsidRPr="001E1D80">
        <w:t xml:space="preserve"> (IS-3030). Oslo: Helsedirektoratet.</w:t>
      </w:r>
    </w:p>
    <w:p w14:paraId="1B967A95" w14:textId="0489486A" w:rsidR="00A930FB" w:rsidRPr="001E1D80" w:rsidRDefault="00A930FB" w:rsidP="008F5AD8">
      <w:pPr>
        <w:pStyle w:val="opplisting"/>
      </w:pPr>
      <w:r w:rsidRPr="001E1D80">
        <w:t xml:space="preserve">Helsedirektoratet. (2021e). </w:t>
      </w:r>
      <w:r w:rsidRPr="001E1D80">
        <w:rPr>
          <w:i/>
        </w:rPr>
        <w:t>Spesialistutdanning for leger</w:t>
      </w:r>
      <w:r w:rsidR="00D9107F">
        <w:rPr>
          <w:i/>
        </w:rPr>
        <w:t xml:space="preserve"> – </w:t>
      </w:r>
      <w:r w:rsidRPr="001E1D80">
        <w:rPr>
          <w:i/>
        </w:rPr>
        <w:t>LIS1</w:t>
      </w:r>
      <w:r w:rsidRPr="001E1D80">
        <w:t xml:space="preserve"> (IS-3002). Oslo: Helsedirektoratet.</w:t>
      </w:r>
    </w:p>
    <w:p w14:paraId="7D5245A2" w14:textId="77777777" w:rsidR="00D9107F" w:rsidRDefault="00A930FB" w:rsidP="008F5AD8">
      <w:pPr>
        <w:pStyle w:val="opplisting"/>
      </w:pPr>
      <w:r w:rsidRPr="001E1D80">
        <w:t xml:space="preserve">Helsedirektoratet. (2022a). </w:t>
      </w:r>
      <w:r w:rsidRPr="001E1D80">
        <w:rPr>
          <w:i/>
        </w:rPr>
        <w:t>Besvarelse: TTB04_22 Oppdrag knyttet til rekruttering og arbeidsbelastning i allmennlegetjenesten : Deloppdrag 1: Fast ansettelse i kommunehelsetjenesten</w:t>
      </w:r>
      <w:r w:rsidRPr="001E1D80">
        <w:t>. Helsedirektoratet.</w:t>
      </w:r>
    </w:p>
    <w:p w14:paraId="1AF54222" w14:textId="77777777" w:rsidR="00D9107F" w:rsidRDefault="00A930FB" w:rsidP="008F5AD8">
      <w:pPr>
        <w:pStyle w:val="opplisting"/>
      </w:pPr>
      <w:r w:rsidRPr="001E1D80">
        <w:t xml:space="preserve">Helsedirektoratet. </w:t>
      </w:r>
      <w:r w:rsidRPr="001E1D80">
        <w:rPr>
          <w:i/>
        </w:rPr>
        <w:t>Fortsatt reduksjon i kapasitet og tilgjengelighet til fastlege</w:t>
      </w:r>
      <w:r w:rsidRPr="001E1D80">
        <w:t>. Helsedirektoratet.</w:t>
      </w:r>
    </w:p>
    <w:p w14:paraId="522BFD1C" w14:textId="584645EC" w:rsidR="00A930FB" w:rsidRPr="001E1D80" w:rsidRDefault="00A930FB" w:rsidP="008F5AD8">
      <w:pPr>
        <w:pStyle w:val="opplisting"/>
      </w:pPr>
      <w:r w:rsidRPr="001E1D80">
        <w:t xml:space="preserve">Helsedirektoratet. (2022c). </w:t>
      </w:r>
      <w:r w:rsidRPr="001E1D80">
        <w:rPr>
          <w:i/>
        </w:rPr>
        <w:t xml:space="preserve">Handlingsplan for allmennlegetjenesten : Årsrapport 2021 </w:t>
      </w:r>
      <w:r w:rsidRPr="001E1D80">
        <w:t>Oslo</w:t>
      </w:r>
    </w:p>
    <w:p w14:paraId="38900ED1" w14:textId="77777777" w:rsidR="00A930FB" w:rsidRPr="001E1D80" w:rsidRDefault="00A930FB" w:rsidP="008F5AD8">
      <w:pPr>
        <w:pStyle w:val="opplisting"/>
      </w:pPr>
      <w:r w:rsidRPr="001E1D80">
        <w:t xml:space="preserve">Helsedirektoratet. (19. mai 2022). </w:t>
      </w:r>
      <w:r w:rsidRPr="001E1D80">
        <w:rPr>
          <w:i/>
        </w:rPr>
        <w:t>Kostnader til fastlegeordningen</w:t>
      </w:r>
      <w:r w:rsidRPr="001E1D80">
        <w:t>. [nettdokument]. Oslo: Helsedirektoratet. Hentet 16. mars 2023</w:t>
      </w:r>
    </w:p>
    <w:p w14:paraId="657EA751" w14:textId="77777777" w:rsidR="00A930FB" w:rsidRPr="001E1D80" w:rsidRDefault="00A930FB" w:rsidP="008F5AD8">
      <w:pPr>
        <w:pStyle w:val="opplisting"/>
      </w:pPr>
      <w:r w:rsidRPr="001E1D80">
        <w:t xml:space="preserve">Helsedirektoratet. (2022e). </w:t>
      </w:r>
      <w:r w:rsidRPr="001E1D80">
        <w:rPr>
          <w:i/>
        </w:rPr>
        <w:t>Kunstig intelligens i helsetjenesten. Status og veien videre for det nasjonale koordineringsarbeidet.</w:t>
      </w:r>
      <w:r w:rsidRPr="001E1D80">
        <w:t xml:space="preserve"> Helsedirektoratet.</w:t>
      </w:r>
    </w:p>
    <w:p w14:paraId="74D0DAB9" w14:textId="77777777" w:rsidR="00A930FB" w:rsidRPr="001E1D80" w:rsidRDefault="00A930FB" w:rsidP="008F5AD8">
      <w:pPr>
        <w:pStyle w:val="opplisting"/>
      </w:pPr>
      <w:r w:rsidRPr="001E1D80">
        <w:t xml:space="preserve">Helsedirektoratet. (2022f). </w:t>
      </w:r>
      <w:r w:rsidRPr="001E1D80">
        <w:rPr>
          <w:i/>
        </w:rPr>
        <w:t>Morsmelkserstatning for hivpositive mødre. Besvarelse på oppdrag 12 TTB2022</w:t>
      </w:r>
      <w:r w:rsidRPr="001E1D80">
        <w:t xml:space="preserve"> [upublisert]. Helsedirektoratet.</w:t>
      </w:r>
    </w:p>
    <w:p w14:paraId="1511959B" w14:textId="77777777" w:rsidR="00A930FB" w:rsidRPr="001E1D80" w:rsidRDefault="00A930FB" w:rsidP="008F5AD8">
      <w:pPr>
        <w:pStyle w:val="opplisting"/>
      </w:pPr>
      <w:r w:rsidRPr="001E1D80">
        <w:t xml:space="preserve">Helsedirektoratet. (2022g). </w:t>
      </w:r>
      <w:r w:rsidRPr="001E1D80">
        <w:rPr>
          <w:i/>
        </w:rPr>
        <w:t>Oppfølging av Handlingsplan for allmennlegetjenesten 2020-2024 Kvartalsrapport 4. kvartal 2021</w:t>
      </w:r>
      <w:r w:rsidRPr="001E1D80">
        <w:t xml:space="preserve"> (Kvartalsrapport). Oslo: Helsedirektoratet.</w:t>
      </w:r>
    </w:p>
    <w:p w14:paraId="175E616C" w14:textId="553F773C" w:rsidR="00A930FB" w:rsidRPr="001E1D80" w:rsidRDefault="00A930FB" w:rsidP="008F5AD8">
      <w:pPr>
        <w:pStyle w:val="opplisting"/>
      </w:pPr>
      <w:r w:rsidRPr="001E1D80">
        <w:t xml:space="preserve">Helsedirektoratet. (2022h). </w:t>
      </w:r>
      <w:r w:rsidRPr="001E1D80">
        <w:rPr>
          <w:i/>
        </w:rPr>
        <w:t>Oppfølging av Handlingsplan for allmennlegetjenesten 2020-2024 Statusrapport</w:t>
      </w:r>
      <w:r w:rsidR="00D9107F">
        <w:rPr>
          <w:i/>
        </w:rPr>
        <w:t xml:space="preserve"> – </w:t>
      </w:r>
      <w:r w:rsidRPr="001E1D80">
        <w:rPr>
          <w:i/>
        </w:rPr>
        <w:t>2. tertial 2022</w:t>
      </w:r>
      <w:r w:rsidRPr="001E1D80">
        <w:t xml:space="preserve"> (2. tertial 2022). Oslo: Helsedirektoratet.</w:t>
      </w:r>
    </w:p>
    <w:p w14:paraId="2325E396" w14:textId="43C1BC79" w:rsidR="00A930FB" w:rsidRPr="001E1D80" w:rsidRDefault="00A930FB" w:rsidP="008F5AD8">
      <w:pPr>
        <w:pStyle w:val="opplisting"/>
      </w:pPr>
      <w:r w:rsidRPr="001E1D80">
        <w:t xml:space="preserve">Helsedirektoratet. (2022i). </w:t>
      </w:r>
      <w:r w:rsidRPr="001E1D80">
        <w:rPr>
          <w:i/>
        </w:rPr>
        <w:t>Oppfølging av Handlingsplan for allmennlegetjenesten 2020-2024. Statusrapport</w:t>
      </w:r>
      <w:r w:rsidR="00D9107F">
        <w:rPr>
          <w:i/>
        </w:rPr>
        <w:t xml:space="preserve"> – </w:t>
      </w:r>
      <w:r w:rsidRPr="001E1D80">
        <w:rPr>
          <w:i/>
        </w:rPr>
        <w:t>2.tertial 2022</w:t>
      </w:r>
      <w:r w:rsidRPr="001E1D80">
        <w:t>. Helsedirektoratet.</w:t>
      </w:r>
    </w:p>
    <w:p w14:paraId="40C33731" w14:textId="0BBFC3FF" w:rsidR="00A930FB" w:rsidRPr="001E1D80" w:rsidRDefault="00A930FB" w:rsidP="008F5AD8">
      <w:pPr>
        <w:pStyle w:val="opplisting"/>
      </w:pPr>
      <w:r w:rsidRPr="001E1D80">
        <w:t xml:space="preserve">Helsedirektoratet. (2022j). </w:t>
      </w:r>
      <w:r w:rsidRPr="001E1D80">
        <w:rPr>
          <w:i/>
        </w:rPr>
        <w:t>Utvikling av finansieringssystemene for bedre å understøtte sammenheng i tjenestene</w:t>
      </w:r>
      <w:r w:rsidR="00D9107F">
        <w:rPr>
          <w:i/>
        </w:rPr>
        <w:t xml:space="preserve"> – </w:t>
      </w:r>
      <w:r w:rsidRPr="001E1D80">
        <w:rPr>
          <w:i/>
        </w:rPr>
        <w:t>Svar på tillegg nr. 44 til tildelingsbrev 2021</w:t>
      </w:r>
      <w:r w:rsidRPr="001E1D80">
        <w:t xml:space="preserve"> (Rapport). Oslo: Helsedirektoratet.</w:t>
      </w:r>
    </w:p>
    <w:p w14:paraId="1B4E0291" w14:textId="77777777" w:rsidR="00A930FB" w:rsidRPr="001E1D80" w:rsidRDefault="00A930FB" w:rsidP="008F5AD8">
      <w:pPr>
        <w:pStyle w:val="opplisting"/>
      </w:pPr>
      <w:r w:rsidRPr="001E1D80">
        <w:t xml:space="preserve">Helsedirektoratet. (2022k). </w:t>
      </w:r>
      <w:r w:rsidRPr="001E1D80">
        <w:rPr>
          <w:i/>
        </w:rPr>
        <w:t>Vurdere endringer i regulering og finansiering av legevakttjenesten for å skape bærekraftige løsninger. Besvarelse tildelingsbrev TB2022-22</w:t>
      </w:r>
      <w:r w:rsidRPr="001E1D80">
        <w:t>. Oslo: Helsedirektoratet.</w:t>
      </w:r>
    </w:p>
    <w:p w14:paraId="10047CB3" w14:textId="77777777" w:rsidR="00D9107F" w:rsidRDefault="00A930FB" w:rsidP="008F5AD8">
      <w:pPr>
        <w:pStyle w:val="opplisting"/>
      </w:pPr>
      <w:r w:rsidRPr="001E1D80">
        <w:t xml:space="preserve">Helsedirektoratet. (2023a). </w:t>
      </w:r>
      <w:r w:rsidRPr="001E1D80">
        <w:rPr>
          <w:i/>
        </w:rPr>
        <w:t xml:space="preserve">Analyser for ekspertutvalget </w:t>
      </w:r>
      <w:r w:rsidRPr="001E1D80">
        <w:t>Helsedirektoratet.</w:t>
      </w:r>
    </w:p>
    <w:p w14:paraId="4A2C837A" w14:textId="4DF6CC32" w:rsidR="00A930FB" w:rsidRPr="001E1D80" w:rsidRDefault="00A930FB" w:rsidP="008F5AD8">
      <w:pPr>
        <w:pStyle w:val="opplisting"/>
      </w:pPr>
      <w:r w:rsidRPr="001E1D80">
        <w:lastRenderedPageBreak/>
        <w:t xml:space="preserve">Helsedirektoratet. (2023b). </w:t>
      </w:r>
      <w:r w:rsidRPr="001E1D80">
        <w:rPr>
          <w:i/>
        </w:rPr>
        <w:t>Besvarelse av oppdrag i tildelingsbrev, TB2022-22. Vurdere endringer i regulering og finansiering av legevakttjenesten for å skape bærekraftige løsninger</w:t>
      </w:r>
      <w:r w:rsidRPr="001E1D80">
        <w:t>. Oslo: Helse- og omsorgsdepartementet.</w:t>
      </w:r>
    </w:p>
    <w:p w14:paraId="3C9F59FA" w14:textId="77777777" w:rsidR="00D9107F" w:rsidRDefault="00A930FB" w:rsidP="008F5AD8">
      <w:pPr>
        <w:pStyle w:val="opplisting"/>
      </w:pPr>
      <w:r w:rsidRPr="001E1D80">
        <w:t>Helsedirektoratet. (2023c). Indikator Varighet på kommunenes varighet på fastlegeavtaler.</w:t>
      </w:r>
    </w:p>
    <w:p w14:paraId="18250152" w14:textId="77777777" w:rsidR="00D9107F" w:rsidRDefault="00A930FB" w:rsidP="008F5AD8">
      <w:pPr>
        <w:pStyle w:val="opplisting"/>
      </w:pPr>
      <w:r w:rsidRPr="001E1D80">
        <w:t xml:space="preserve">Helsedirektoratet. </w:t>
      </w:r>
      <w:r w:rsidRPr="001E1D80">
        <w:rPr>
          <w:i/>
        </w:rPr>
        <w:t>Månedlig rapportering HPA per mars 2023</w:t>
      </w:r>
      <w:r w:rsidRPr="001E1D80">
        <w:t>. Helsedirektoratet.</w:t>
      </w:r>
    </w:p>
    <w:p w14:paraId="61DE165E" w14:textId="484B9F24" w:rsidR="00A930FB" w:rsidRPr="001E1D80" w:rsidRDefault="00A930FB" w:rsidP="008F5AD8">
      <w:pPr>
        <w:pStyle w:val="opplisting"/>
      </w:pPr>
      <w:r w:rsidRPr="001E1D80">
        <w:t xml:space="preserve">Helsedirektoratet. (2023e). </w:t>
      </w:r>
      <w:r w:rsidRPr="001E1D80">
        <w:rPr>
          <w:i/>
        </w:rPr>
        <w:t>Partssammensatt arbeidsgruppe på legevakt. Sluttrapport del 2</w:t>
      </w:r>
      <w:r w:rsidRPr="001E1D80">
        <w:t>. Oslo: Helsedirektoratet.</w:t>
      </w:r>
    </w:p>
    <w:p w14:paraId="29D35A3A" w14:textId="52946112" w:rsidR="00A930FB" w:rsidRPr="001E1D80" w:rsidRDefault="00A930FB" w:rsidP="008F5AD8">
      <w:pPr>
        <w:pStyle w:val="opplisting"/>
      </w:pPr>
      <w:r w:rsidRPr="001E1D80">
        <w:t xml:space="preserve">Helsedirektoratet. (2023f). </w:t>
      </w:r>
      <w:r w:rsidRPr="001E1D80">
        <w:rPr>
          <w:i/>
        </w:rPr>
        <w:t>Pilot legevakt</w:t>
      </w:r>
      <w:r w:rsidR="00D9107F">
        <w:rPr>
          <w:i/>
        </w:rPr>
        <w:t xml:space="preserve"> – </w:t>
      </w:r>
      <w:r w:rsidRPr="001E1D80">
        <w:rPr>
          <w:i/>
        </w:rPr>
        <w:t>oppsummering og anbefaling av prosjektet [nettdokument].</w:t>
      </w:r>
      <w:r w:rsidRPr="001E1D80">
        <w:t xml:space="preserve"> Helsedirektoratet.</w:t>
      </w:r>
    </w:p>
    <w:p w14:paraId="282AE79D" w14:textId="77777777" w:rsidR="00A930FB" w:rsidRPr="001E1D80" w:rsidRDefault="00A930FB" w:rsidP="008F5AD8">
      <w:pPr>
        <w:pStyle w:val="opplisting"/>
      </w:pPr>
      <w:r w:rsidRPr="001E1D80">
        <w:t xml:space="preserve">Helsedirektoratet. (2023g). </w:t>
      </w:r>
      <w:r w:rsidRPr="001E1D80">
        <w:rPr>
          <w:i/>
        </w:rPr>
        <w:t>Regelverk for innsatsstyrt finansiering 2023 (ISF-regelverket)</w:t>
      </w:r>
      <w:r w:rsidRPr="001E1D80">
        <w:t>. Oslo: Helsedirektoratet.</w:t>
      </w:r>
    </w:p>
    <w:p w14:paraId="6825309F" w14:textId="1CA973CB" w:rsidR="00A930FB" w:rsidRPr="001E1D80" w:rsidRDefault="00A930FB" w:rsidP="008F5AD8">
      <w:pPr>
        <w:pStyle w:val="opplisting"/>
      </w:pPr>
      <w:r w:rsidRPr="001E1D80">
        <w:t xml:space="preserve">Helsedirektoratet. </w:t>
      </w:r>
      <w:r w:rsidRPr="001E1D80">
        <w:rPr>
          <w:i/>
        </w:rPr>
        <w:t>Helsefellesskap</w:t>
      </w:r>
      <w:r w:rsidRPr="001E1D80">
        <w:t xml:space="preserve">. [nettside]. Oslo: Helsedirektoratet. Hentet 10.02.23, fra </w:t>
      </w:r>
      <w:hyperlink r:id="rId134" w:history="1">
        <w:r w:rsidRPr="001E1D80">
          <w:rPr>
            <w:rStyle w:val="Hyperkobling"/>
          </w:rPr>
          <w:t>https://www.helsedirektoratet.no/tema/helsefellesskap</w:t>
        </w:r>
      </w:hyperlink>
    </w:p>
    <w:p w14:paraId="7659857D" w14:textId="749EB1D0" w:rsidR="00A930FB" w:rsidRPr="001E1D80" w:rsidRDefault="00A930FB" w:rsidP="008F5AD8">
      <w:pPr>
        <w:pStyle w:val="opplisting"/>
      </w:pPr>
      <w:r w:rsidRPr="001E1D80">
        <w:t xml:space="preserve">Helsedirektoratet. </w:t>
      </w:r>
      <w:r w:rsidRPr="001E1D80">
        <w:rPr>
          <w:i/>
        </w:rPr>
        <w:t>Helserefusjonsdata</w:t>
      </w:r>
      <w:r w:rsidRPr="001E1D80">
        <w:t xml:space="preserve">. [nettdokument]. Oslo: Helsedirektoratet. fra </w:t>
      </w:r>
      <w:hyperlink r:id="rId135" w:history="1">
        <w:r w:rsidRPr="001E1D80">
          <w:rPr>
            <w:rStyle w:val="Hyperkobling"/>
          </w:rPr>
          <w:t>https://opne-data.helserefusjon.no/</w:t>
        </w:r>
      </w:hyperlink>
    </w:p>
    <w:p w14:paraId="10DAD6A4" w14:textId="55350B2F" w:rsidR="00A930FB" w:rsidRPr="001E1D80" w:rsidRDefault="00A930FB" w:rsidP="008F5AD8">
      <w:pPr>
        <w:pStyle w:val="opplisting"/>
      </w:pPr>
      <w:r w:rsidRPr="001E1D80">
        <w:t xml:space="preserve">Helsedirektoratet. </w:t>
      </w:r>
      <w:r w:rsidRPr="001E1D80">
        <w:rPr>
          <w:i/>
        </w:rPr>
        <w:t>Om ALIS-kontorene</w:t>
      </w:r>
      <w:r w:rsidRPr="001E1D80">
        <w:t xml:space="preserve">. [nettside]. ALIS. Hentet 03.01.2023, fra </w:t>
      </w:r>
      <w:hyperlink r:id="rId136" w:history="1">
        <w:r w:rsidRPr="001E1D80">
          <w:rPr>
            <w:rStyle w:val="Hyperkobling"/>
          </w:rPr>
          <w:t>https://www.alis.no/om-alis-kontorene</w:t>
        </w:r>
      </w:hyperlink>
    </w:p>
    <w:p w14:paraId="74670D9A" w14:textId="77777777" w:rsidR="00A930FB" w:rsidRPr="001E1D80" w:rsidRDefault="00A930FB" w:rsidP="008F5AD8">
      <w:pPr>
        <w:pStyle w:val="opplisting"/>
      </w:pPr>
      <w:r w:rsidRPr="001E1D80">
        <w:t xml:space="preserve">Helsedirektoratet. </w:t>
      </w:r>
      <w:r w:rsidRPr="001E1D80">
        <w:rPr>
          <w:i/>
        </w:rPr>
        <w:t>Antall LIS1-stillinger med oppstart 1.3.2022, 1.9.2022, 1.3.2023 og 1.9.2023</w:t>
      </w:r>
      <w:r w:rsidRPr="001E1D80">
        <w:t>. [nettdokument]. Helsedirektoratet.no: Helsedirektoratet. Hentet 21. mars 2023</w:t>
      </w:r>
    </w:p>
    <w:p w14:paraId="3328D814" w14:textId="77777777" w:rsidR="00A930FB" w:rsidRPr="001E1D80" w:rsidRDefault="00A930FB" w:rsidP="008F5AD8">
      <w:pPr>
        <w:pStyle w:val="opplisting"/>
      </w:pPr>
      <w:r w:rsidRPr="001E1D80">
        <w:t xml:space="preserve">Helsedirektoratet &amp; Direktoratet for e-helse. (2018). </w:t>
      </w:r>
      <w:r w:rsidRPr="001E1D80">
        <w:rPr>
          <w:i/>
        </w:rPr>
        <w:t>E-konsultasjon hos fastlege og legevakt</w:t>
      </w:r>
      <w:r w:rsidRPr="001E1D80">
        <w:t xml:space="preserve"> (Rapport IS-2801). Oslo: Helsedirektoratet og Direktoratet for e-helse.</w:t>
      </w:r>
    </w:p>
    <w:p w14:paraId="4298613E" w14:textId="6FCC7659" w:rsidR="00A930FB" w:rsidRPr="001E1D80" w:rsidRDefault="00A930FB" w:rsidP="008F5AD8">
      <w:pPr>
        <w:pStyle w:val="opplisting"/>
      </w:pPr>
      <w:r w:rsidRPr="001E1D80">
        <w:t xml:space="preserve">Helsenorge. </w:t>
      </w:r>
      <w:r w:rsidRPr="001E1D80">
        <w:rPr>
          <w:i/>
        </w:rPr>
        <w:t>Om bytte av fastlege</w:t>
      </w:r>
      <w:r w:rsidRPr="001E1D80">
        <w:t xml:space="preserve">.Hentet 19.03.2023, fra </w:t>
      </w:r>
      <w:hyperlink r:id="rId137" w:history="1">
        <w:r w:rsidRPr="001E1D80">
          <w:rPr>
            <w:rStyle w:val="Hyperkobling"/>
          </w:rPr>
          <w:t>https://www.helsenorge.no/bytte-fastlege/om/</w:t>
        </w:r>
      </w:hyperlink>
    </w:p>
    <w:p w14:paraId="6E5A51CC" w14:textId="77777777" w:rsidR="00A930FB" w:rsidRPr="001E1D80" w:rsidRDefault="00A930FB" w:rsidP="008F5AD8">
      <w:pPr>
        <w:pStyle w:val="opplisting"/>
      </w:pPr>
      <w:r w:rsidRPr="001E1D80">
        <w:t xml:space="preserve">Hermansen, M., Halvorsen, I., Grimsgaard, C., Muruvik Vonen, L. E., Lind-Larsen, J. K., &amp; Landsnes, A. J. (2015). </w:t>
      </w:r>
      <w:r w:rsidRPr="001E1D80">
        <w:rPr>
          <w:i/>
        </w:rPr>
        <w:t>En legevakt for alle, men ikke for alt. Legeforeningens innspillsrapport for en bedre legevakt</w:t>
      </w:r>
      <w:r w:rsidRPr="001E1D80">
        <w:t xml:space="preserve"> (Statusrapport 2015). Oslo: Den norske legeforening.</w:t>
      </w:r>
    </w:p>
    <w:p w14:paraId="76EB06E5" w14:textId="77777777" w:rsidR="00A930FB" w:rsidRPr="001E1D80" w:rsidRDefault="00A930FB" w:rsidP="008F5AD8">
      <w:pPr>
        <w:pStyle w:val="opplisting"/>
      </w:pPr>
      <w:r w:rsidRPr="001E1D80">
        <w:t xml:space="preserve">Hernæs, K. H., &amp; Brathaug, A. L. (2012). </w:t>
      </w:r>
      <w:r w:rsidRPr="001E1D80">
        <w:rPr>
          <w:i/>
        </w:rPr>
        <w:t xml:space="preserve">Helseregnskapet – et internasjonalt system: Helseregnskapet – et internasjonalt system. </w:t>
      </w:r>
      <w:r w:rsidRPr="001E1D80">
        <w:t>(Økonomiske analyser 2/2012). SSB.</w:t>
      </w:r>
    </w:p>
    <w:p w14:paraId="5FA68D70" w14:textId="77777777" w:rsidR="00A930FB" w:rsidRPr="001E1D80" w:rsidRDefault="00A930FB" w:rsidP="008F5AD8">
      <w:pPr>
        <w:pStyle w:val="opplisting"/>
      </w:pPr>
      <w:r w:rsidRPr="001E1D80">
        <w:t xml:space="preserve">Hestevik, C. H., Nygård, H. N., Bjerk, M., Klem, H. E., Hval, G., &amp; Kleven, L. (2022). </w:t>
      </w:r>
      <w:r w:rsidRPr="001E1D80">
        <w:rPr>
          <w:i/>
        </w:rPr>
        <w:t>Digital hjemmeoppfølging og ressursbruk i primær- og spesialisthelsetjenesten: en systematisk oversikt</w:t>
      </w:r>
      <w:r w:rsidRPr="001E1D80">
        <w:t>. Oslo: Folkehelseinstituttet.</w:t>
      </w:r>
    </w:p>
    <w:p w14:paraId="1F3E8B2A" w14:textId="5FADEA69" w:rsidR="00A930FB" w:rsidRPr="001E1D80" w:rsidRDefault="00A930FB" w:rsidP="008F5AD8">
      <w:pPr>
        <w:pStyle w:val="opplisting"/>
      </w:pPr>
      <w:r w:rsidRPr="001E1D80">
        <w:t xml:space="preserve">Hjemås, G., Zhiyang, J., Kornstad, T., &amp; Stølen, N. M. (2019). </w:t>
      </w:r>
      <w:r w:rsidRPr="001E1D80">
        <w:rPr>
          <w:i/>
        </w:rPr>
        <w:t>Arbeidsmarkedet for helsepersonell fram mot 2035</w:t>
      </w:r>
      <w:r w:rsidRPr="001E1D80">
        <w:t xml:space="preserve"> (Rapporter</w:t>
      </w:r>
      <w:r w:rsidR="00D9107F">
        <w:t xml:space="preserve"> </w:t>
      </w:r>
      <w:r w:rsidRPr="001E1D80">
        <w:t>2019/11). Oslo: Statistisk sentralbyrå.</w:t>
      </w:r>
    </w:p>
    <w:p w14:paraId="306F3E43" w14:textId="77777777" w:rsidR="00D9107F" w:rsidRDefault="00A930FB" w:rsidP="008F5AD8">
      <w:pPr>
        <w:pStyle w:val="opplisting"/>
      </w:pPr>
      <w:r w:rsidRPr="001E1D80">
        <w:t xml:space="preserve">Hobbs, F. D. R., Bankhead, C., Mukhtar, T., Stevens, S., Perera-Salazar, R., Holt, T., &amp; Salisbury, C. (2016). </w:t>
      </w:r>
      <w:r w:rsidRPr="00FF4077">
        <w:rPr>
          <w:lang w:val="en-US"/>
        </w:rPr>
        <w:t xml:space="preserve">Clinical workload in UK primary care: a retrospective analysis of 100 million consultations in England, 2007-14. </w:t>
      </w:r>
      <w:r w:rsidRPr="001E1D80">
        <w:rPr>
          <w:i/>
        </w:rPr>
        <w:t>Lancet, 387</w:t>
      </w:r>
      <w:r w:rsidRPr="001E1D80">
        <w:t>(10035), 2323-2330.</w:t>
      </w:r>
    </w:p>
    <w:p w14:paraId="4029B19A" w14:textId="77777777" w:rsidR="00D9107F" w:rsidRDefault="00A930FB" w:rsidP="008F5AD8">
      <w:pPr>
        <w:pStyle w:val="opplisting"/>
      </w:pPr>
      <w:r w:rsidRPr="001E1D80">
        <w:t xml:space="preserve">Hoff, E., Kraft, K., Østby, K., &amp; Mykletun, A. (2023). </w:t>
      </w:r>
      <w:r w:rsidRPr="001E1D80">
        <w:rPr>
          <w:i/>
        </w:rPr>
        <w:t>Arbeidsmengde, konsultasjonstid og utilsiktede effekterav takstsystemet. Notat om fastlegeordningen</w:t>
      </w:r>
      <w:r w:rsidRPr="001E1D80">
        <w:t>. Oslo: Folkehelseinstituttet</w:t>
      </w:r>
    </w:p>
    <w:p w14:paraId="15E0A9BC" w14:textId="36B45B92" w:rsidR="00A930FB" w:rsidRPr="001E1D80" w:rsidRDefault="00A930FB" w:rsidP="008F5AD8">
      <w:pPr>
        <w:pStyle w:val="opplisting"/>
      </w:pPr>
      <w:r w:rsidRPr="001E1D80">
        <w:lastRenderedPageBreak/>
        <w:t xml:space="preserve">Holm, J. (2018). </w:t>
      </w:r>
      <w:r w:rsidRPr="001E1D80">
        <w:rPr>
          <w:i/>
        </w:rPr>
        <w:t>Ordning vedrørende differentieret basishonorar til praktiserende læger : notat</w:t>
      </w:r>
      <w:r w:rsidRPr="001E1D80">
        <w:t xml:space="preserve"> (EMN</w:t>
      </w:r>
      <w:r w:rsidRPr="001E1D80">
        <w:rPr>
          <w:rFonts w:ascii="Cambria Math" w:hAnsi="Cambria Math" w:cs="Cambria Math"/>
        </w:rPr>
        <w:t>‐</w:t>
      </w:r>
      <w:r w:rsidRPr="001E1D80">
        <w:t>2017</w:t>
      </w:r>
      <w:r w:rsidRPr="001E1D80">
        <w:rPr>
          <w:rFonts w:ascii="Cambria Math" w:hAnsi="Cambria Math" w:cs="Cambria Math"/>
        </w:rPr>
        <w:t>‐</w:t>
      </w:r>
      <w:r w:rsidRPr="001E1D80">
        <w:t>04129). Danske regioner,.</w:t>
      </w:r>
    </w:p>
    <w:p w14:paraId="2D2A1BE0" w14:textId="77777777" w:rsidR="00A930FB" w:rsidRPr="00FF4077" w:rsidRDefault="00A930FB" w:rsidP="008F5AD8">
      <w:pPr>
        <w:pStyle w:val="opplisting"/>
        <w:rPr>
          <w:lang w:val="en-US"/>
        </w:rPr>
      </w:pPr>
      <w:r w:rsidRPr="001E1D80">
        <w:t xml:space="preserve">Holmøy, E., Hjemås, G., &amp; Haugstveit, F. (2023). </w:t>
      </w:r>
      <w:r w:rsidRPr="001E1D80">
        <w:rPr>
          <w:i/>
        </w:rPr>
        <w:t>Arbeidsinnsats i offentlig helse og omsorg: Fremskrivninger og historikk</w:t>
      </w:r>
      <w:r w:rsidRPr="001E1D80">
        <w:t xml:space="preserve"> (3). </w:t>
      </w:r>
      <w:r w:rsidRPr="00FF4077">
        <w:rPr>
          <w:lang w:val="en-US"/>
        </w:rPr>
        <w:t>SSB.</w:t>
      </w:r>
    </w:p>
    <w:p w14:paraId="037026F7" w14:textId="77777777" w:rsidR="00D9107F" w:rsidRPr="00FF4077" w:rsidRDefault="00A930FB" w:rsidP="008F5AD8">
      <w:pPr>
        <w:pStyle w:val="opplisting"/>
        <w:rPr>
          <w:lang w:val="en-US"/>
        </w:rPr>
      </w:pPr>
      <w:r w:rsidRPr="00FF4077">
        <w:rPr>
          <w:lang w:val="en-US"/>
        </w:rPr>
        <w:t xml:space="preserve">Huibers, L., Smits, M., Renaud, V., Giesen, P., &amp; Wensing, M. (2011). Safety of telephone triage in out-of-hours care: a systematic review. </w:t>
      </w:r>
      <w:r w:rsidRPr="00FF4077">
        <w:rPr>
          <w:i/>
          <w:lang w:val="en-US"/>
        </w:rPr>
        <w:t>Scandinavian Journal of Primary Health Care, 29</w:t>
      </w:r>
      <w:r w:rsidRPr="00FF4077">
        <w:rPr>
          <w:lang w:val="en-US"/>
        </w:rPr>
        <w:t>(4), 198-209.</w:t>
      </w:r>
    </w:p>
    <w:p w14:paraId="1E8466BB" w14:textId="1A8F3850" w:rsidR="00A930FB" w:rsidRPr="001E1D80" w:rsidRDefault="00A930FB" w:rsidP="008F5AD8">
      <w:pPr>
        <w:pStyle w:val="opplisting"/>
      </w:pPr>
      <w:r w:rsidRPr="00FF4077">
        <w:rPr>
          <w:lang w:val="en-US"/>
        </w:rPr>
        <w:t xml:space="preserve">Huitfeldt, I., Marone, V., &amp; Waldinger, D. (2022). </w:t>
      </w:r>
      <w:r w:rsidRPr="00FF4077">
        <w:rPr>
          <w:i/>
          <w:lang w:val="en-US"/>
        </w:rPr>
        <w:t>Allocating Primary Care Physicians Without Prices.</w:t>
      </w:r>
      <w:r w:rsidRPr="00FF4077">
        <w:rPr>
          <w:lang w:val="en-US"/>
        </w:rPr>
        <w:t xml:space="preserve"> </w:t>
      </w:r>
      <w:r w:rsidRPr="001E1D80">
        <w:t xml:space="preserve">Hentet fra </w:t>
      </w:r>
      <w:hyperlink r:id="rId138" w:history="1">
        <w:r w:rsidRPr="001E1D80">
          <w:rPr>
            <w:rStyle w:val="Hyperkobling"/>
          </w:rPr>
          <w:t>https://victoriamarone.github.io/files/Fastlege_venteliste_90min.pdf</w:t>
        </w:r>
      </w:hyperlink>
    </w:p>
    <w:p w14:paraId="57C1A939" w14:textId="234C4504" w:rsidR="00A930FB" w:rsidRPr="001E1D80" w:rsidRDefault="00A930FB" w:rsidP="008F5AD8">
      <w:pPr>
        <w:pStyle w:val="opplisting"/>
      </w:pPr>
      <w:r w:rsidRPr="001E1D80">
        <w:rPr>
          <w:i/>
        </w:rPr>
        <w:t>Høringsnotat om revidert fastlegeforskrift m.m.</w:t>
      </w:r>
      <w:r w:rsidRPr="001E1D80">
        <w:t xml:space="preserve"> ([2012]). Oslo. Hentet fra </w:t>
      </w:r>
      <w:hyperlink r:id="rId139" w:history="1">
        <w:r w:rsidRPr="001E1D80">
          <w:rPr>
            <w:rStyle w:val="Hyperkobling"/>
          </w:rPr>
          <w:t>https://www.regjeringen.no/contentassets/e683123127ec414ca71b73a776a8f532/fastlegeforskrift.pdf</w:t>
        </w:r>
      </w:hyperlink>
    </w:p>
    <w:p w14:paraId="3F7CF236" w14:textId="77777777" w:rsidR="00A930FB" w:rsidRPr="001E1D80" w:rsidRDefault="00A930FB" w:rsidP="008F5AD8">
      <w:pPr>
        <w:pStyle w:val="opplisting"/>
      </w:pPr>
      <w:r w:rsidRPr="001E1D80">
        <w:t xml:space="preserve">Høstmark, C. B. (06. januar 2020). </w:t>
      </w:r>
      <w:r w:rsidRPr="001E1D80">
        <w:rPr>
          <w:i/>
        </w:rPr>
        <w:t>Satte inn fysioterapeut på akuttmottaket</w:t>
      </w:r>
      <w:r w:rsidRPr="001E1D80">
        <w:t>. [nettpublikasjon]. Fysioterapeuten. Hentet 20. mars 2023</w:t>
      </w:r>
    </w:p>
    <w:p w14:paraId="6EDB83B8" w14:textId="2C60CFD1" w:rsidR="00A930FB" w:rsidRPr="001E1D80" w:rsidRDefault="00A930FB" w:rsidP="008F5AD8">
      <w:pPr>
        <w:pStyle w:val="opplisting"/>
      </w:pPr>
      <w:r w:rsidRPr="001E1D80">
        <w:rPr>
          <w:i/>
        </w:rPr>
        <w:t>Bekendtgørelse om autoriserede sundhedspersoners benyttelse af medhjælp (delegation af forbeholdt sundhedsfaglig virksomhed)</w:t>
      </w:r>
      <w:r w:rsidRPr="001E1D80">
        <w:t xml:space="preserve">. (2009). BEK nr 1219 af 11/12/2009. Hentet fra </w:t>
      </w:r>
      <w:hyperlink r:id="rId140" w:history="1">
        <w:r w:rsidRPr="001E1D80">
          <w:rPr>
            <w:rStyle w:val="Hyperkobling"/>
          </w:rPr>
          <w:t>https://www.retsinformation.dk/eli/lta/2009/1219</w:t>
        </w:r>
      </w:hyperlink>
    </w:p>
    <w:p w14:paraId="536FF9F8" w14:textId="77777777" w:rsidR="00A930FB" w:rsidRPr="001E1D80" w:rsidRDefault="00A930FB" w:rsidP="008F5AD8">
      <w:pPr>
        <w:pStyle w:val="opplisting"/>
      </w:pPr>
      <w:r w:rsidRPr="001E1D80">
        <w:t xml:space="preserve">Ipsos og Samfunnsøkonomisk analyse. (2021). </w:t>
      </w:r>
      <w:r w:rsidRPr="001E1D80">
        <w:rPr>
          <w:i/>
        </w:rPr>
        <w:t xml:space="preserve">Variasjon i finansiering av fastlegeordningen – tredje oppfølgingsundersøkelse. </w:t>
      </w:r>
      <w:r w:rsidRPr="001E1D80">
        <w:t>. Oslo: Ipsos.</w:t>
      </w:r>
    </w:p>
    <w:p w14:paraId="33BB12D6" w14:textId="77777777" w:rsidR="00D9107F" w:rsidRDefault="00A930FB" w:rsidP="008F5AD8">
      <w:pPr>
        <w:pStyle w:val="opplisting"/>
      </w:pPr>
      <w:r w:rsidRPr="001E1D80">
        <w:t xml:space="preserve">Irving, G., Neves, A. L., Dambha-Miller, H., Oishi, A., Tagashira, H., Verho, A., &amp; Holden, J. (2017). </w:t>
      </w:r>
      <w:r w:rsidRPr="00FF4077">
        <w:rPr>
          <w:lang w:val="en-US"/>
        </w:rPr>
        <w:t xml:space="preserve">International variations in primary care physician consultation time: a systematic review of 67 countries. </w:t>
      </w:r>
      <w:r w:rsidRPr="001E1D80">
        <w:rPr>
          <w:i/>
        </w:rPr>
        <w:t>BMJ Open, 7</w:t>
      </w:r>
      <w:r w:rsidRPr="001E1D80">
        <w:t>(10), e017902.</w:t>
      </w:r>
    </w:p>
    <w:p w14:paraId="24763ED6" w14:textId="0093734D" w:rsidR="00A930FB" w:rsidRPr="001E1D80" w:rsidRDefault="00A930FB" w:rsidP="008F5AD8">
      <w:pPr>
        <w:pStyle w:val="opplisting"/>
      </w:pPr>
      <w:r w:rsidRPr="001E1D80">
        <w:t xml:space="preserve">Iversen, H. K. H., Bjertnæs, Ø. A., &amp; Holmboe, O. (2019). </w:t>
      </w:r>
      <w:r w:rsidRPr="001E1D80">
        <w:rPr>
          <w:i/>
        </w:rPr>
        <w:t>Pasienterfaringer med fastlegen og fastlegekontoret i 2018/19</w:t>
      </w:r>
      <w:r w:rsidRPr="001E1D80">
        <w:t xml:space="preserve"> (PasOpprapport 2019:1). Oslo: Folkehelseinstituttet.</w:t>
      </w:r>
    </w:p>
    <w:p w14:paraId="6FCB133C" w14:textId="124DC073" w:rsidR="00A930FB" w:rsidRPr="001E1D80" w:rsidRDefault="00A930FB" w:rsidP="008F5AD8">
      <w:pPr>
        <w:pStyle w:val="opplisting"/>
      </w:pPr>
      <w:r w:rsidRPr="001E1D80">
        <w:t xml:space="preserve">Jakobsen, E. W., Lind, L. H., Lading, L., Sjule, H., &amp; Skogli, E. (2022). </w:t>
      </w:r>
      <w:r w:rsidRPr="001E1D80">
        <w:rPr>
          <w:i/>
        </w:rPr>
        <w:t>Helsenæringens verdi 2022</w:t>
      </w:r>
      <w:r w:rsidRPr="001E1D80">
        <w:t xml:space="preserve"> (Rapport 57/2022). Oslo: Menon Economics. Hentet fra </w:t>
      </w:r>
      <w:hyperlink r:id="rId141" w:history="1">
        <w:r w:rsidRPr="001E1D80">
          <w:rPr>
            <w:rStyle w:val="Hyperkobling"/>
          </w:rPr>
          <w:t>https://www.menon.no/wp-content/uploads/2022-57-Helsenaeringens-verdi-2022.pdf</w:t>
        </w:r>
      </w:hyperlink>
    </w:p>
    <w:p w14:paraId="142BDA49" w14:textId="77777777" w:rsidR="00A930FB" w:rsidRPr="001E1D80" w:rsidRDefault="00A930FB" w:rsidP="008F5AD8">
      <w:pPr>
        <w:pStyle w:val="opplisting"/>
      </w:pPr>
      <w:r w:rsidRPr="001E1D80">
        <w:t xml:space="preserve">Jakobsen, S. E. (15. september 2016). </w:t>
      </w:r>
      <w:r w:rsidRPr="001E1D80">
        <w:rPr>
          <w:i/>
        </w:rPr>
        <w:t>Færre sykemeldinger når ansatte har kontroll over egen arbeidsdag</w:t>
      </w:r>
      <w:r w:rsidRPr="001E1D80">
        <w:t>. [nettdokument]. Oslo: forskning.no. Hentet 04.01.23</w:t>
      </w:r>
    </w:p>
    <w:p w14:paraId="2E6276D2" w14:textId="77777777" w:rsidR="00A930FB" w:rsidRPr="001E1D80" w:rsidRDefault="00A930FB" w:rsidP="008F5AD8">
      <w:pPr>
        <w:pStyle w:val="opplisting"/>
      </w:pPr>
      <w:r w:rsidRPr="001E1D80">
        <w:t xml:space="preserve">Jensen, A., &amp; Ekornrud, T. (7. mai 2018). </w:t>
      </w:r>
      <w:r w:rsidRPr="001E1D80">
        <w:rPr>
          <w:i/>
        </w:rPr>
        <w:t>Fastlegene får stadig kortere pasientlister</w:t>
      </w:r>
      <w:r w:rsidRPr="001E1D80">
        <w:t>. [nettdokument]. Oslo: Statistisk sentralbyrå. Hentet 4. januar 2023</w:t>
      </w:r>
    </w:p>
    <w:p w14:paraId="4B9068AD" w14:textId="77777777" w:rsidR="00D9107F" w:rsidRDefault="00A930FB" w:rsidP="008F5AD8">
      <w:pPr>
        <w:pStyle w:val="opplisting"/>
      </w:pPr>
      <w:r w:rsidRPr="001E1D80">
        <w:t xml:space="preserve">Joa, T. S., &amp; Morken, T. (2012). </w:t>
      </w:r>
      <w:r w:rsidRPr="00FF4077">
        <w:rPr>
          <w:lang w:val="en-US"/>
        </w:rPr>
        <w:t xml:space="preserve">Violence towards personnel in out-of-hours primary care: a cross-sectional study. </w:t>
      </w:r>
      <w:r w:rsidRPr="001E1D80">
        <w:rPr>
          <w:i/>
        </w:rPr>
        <w:t>Scandinavian Journal of Primary Health Care, 30</w:t>
      </w:r>
      <w:r w:rsidRPr="001E1D80">
        <w:t>(1), 55-60.</w:t>
      </w:r>
    </w:p>
    <w:p w14:paraId="42873A9C" w14:textId="77777777" w:rsidR="00D9107F" w:rsidRDefault="00A930FB" w:rsidP="008F5AD8">
      <w:pPr>
        <w:pStyle w:val="opplisting"/>
      </w:pPr>
      <w:r w:rsidRPr="001E1D80">
        <w:t xml:space="preserve">Kalseth, B. (2023). </w:t>
      </w:r>
      <w:r w:rsidRPr="001E1D80">
        <w:rPr>
          <w:i/>
        </w:rPr>
        <w:t xml:space="preserve">Organisering og regulering av allmennpraksis i Danmark. </w:t>
      </w:r>
      <w:r w:rsidRPr="001E1D80">
        <w:t>. Helsedirektoratet.</w:t>
      </w:r>
    </w:p>
    <w:p w14:paraId="3250F354" w14:textId="77777777" w:rsidR="00D9107F" w:rsidRPr="00FF4077" w:rsidRDefault="00A930FB" w:rsidP="008F5AD8">
      <w:pPr>
        <w:pStyle w:val="opplisting"/>
        <w:rPr>
          <w:lang w:val="en-US"/>
        </w:rPr>
      </w:pPr>
      <w:r w:rsidRPr="001E1D80">
        <w:lastRenderedPageBreak/>
        <w:t xml:space="preserve">Karimi-Shahanjarini, A., Shakibazadeh, E., Rashidian, A., Hajimiri, K., Glenton, C., &amp; Colvin, C. J. (2019). </w:t>
      </w:r>
      <w:r w:rsidRPr="00FF4077">
        <w:rPr>
          <w:lang w:val="en-US"/>
        </w:rPr>
        <w:t xml:space="preserve">Barriers and facilitators to the implementation of doctor-nurse substitution strategies in primary care: a qualitative evidence synthesis. </w:t>
      </w:r>
      <w:r w:rsidRPr="00FF4077">
        <w:rPr>
          <w:i/>
          <w:lang w:val="en-US"/>
        </w:rPr>
        <w:t>Cochrane Database of Systematic Reviews, 4</w:t>
      </w:r>
      <w:r w:rsidRPr="00FF4077">
        <w:rPr>
          <w:lang w:val="en-US"/>
        </w:rPr>
        <w:t>, CD010412.</w:t>
      </w:r>
    </w:p>
    <w:p w14:paraId="41D438D2" w14:textId="58E05CB2" w:rsidR="00A930FB" w:rsidRPr="00FF4077" w:rsidRDefault="00A930FB" w:rsidP="008F5AD8">
      <w:pPr>
        <w:pStyle w:val="opplisting"/>
        <w:rPr>
          <w:lang w:val="en-US"/>
        </w:rPr>
      </w:pPr>
      <w:r w:rsidRPr="00FF4077">
        <w:rPr>
          <w:lang w:val="en-US"/>
        </w:rPr>
        <w:t xml:space="preserve">Keskimäki, I. (2022). </w:t>
      </w:r>
      <w:r w:rsidRPr="00FF4077">
        <w:rPr>
          <w:i/>
          <w:lang w:val="en-US"/>
        </w:rPr>
        <w:t>Development of Primary Health Care in Finland</w:t>
      </w:r>
      <w:r w:rsidRPr="00FF4077">
        <w:rPr>
          <w:lang w:val="en-US"/>
        </w:rPr>
        <w:t xml:space="preserve"> (The Lancet Global Health Comission on Financing Primary Health Care Working paper 9). The Lancet Global Health Comission.</w:t>
      </w:r>
    </w:p>
    <w:p w14:paraId="55F2119B" w14:textId="75B33322" w:rsidR="00A930FB" w:rsidRPr="00FF4077" w:rsidRDefault="00A930FB" w:rsidP="008F5AD8">
      <w:pPr>
        <w:pStyle w:val="opplisting"/>
        <w:rPr>
          <w:lang w:val="en-US"/>
        </w:rPr>
      </w:pPr>
      <w:r w:rsidRPr="00FF4077">
        <w:rPr>
          <w:lang w:val="en-US"/>
        </w:rPr>
        <w:t xml:space="preserve">Keskimäki, I., Tynkkynen, L.-k., Reissell, E., Koivusalo, M., Syrjä, V., &amp; Karanikolos, M. (2019). </w:t>
      </w:r>
      <w:r w:rsidRPr="00FF4077">
        <w:rPr>
          <w:i/>
          <w:lang w:val="en-US"/>
        </w:rPr>
        <w:t>Finland: Health system review</w:t>
      </w:r>
      <w:r w:rsidRPr="00FF4077">
        <w:rPr>
          <w:lang w:val="en-US"/>
        </w:rPr>
        <w:t xml:space="preserve"> (Health Systems in Transition</w:t>
      </w:r>
      <w:r w:rsidR="00D9107F" w:rsidRPr="00FF4077">
        <w:rPr>
          <w:lang w:val="en-US"/>
        </w:rPr>
        <w:t xml:space="preserve"> </w:t>
      </w:r>
      <w:r w:rsidRPr="00FF4077">
        <w:rPr>
          <w:lang w:val="en-US"/>
        </w:rPr>
        <w:t>2-2019). Geneve: World Health Organization (WHO).</w:t>
      </w:r>
    </w:p>
    <w:p w14:paraId="335D597E" w14:textId="77777777" w:rsidR="00A930FB" w:rsidRPr="001E1D80" w:rsidRDefault="00A930FB" w:rsidP="008F5AD8">
      <w:pPr>
        <w:pStyle w:val="opplisting"/>
      </w:pPr>
      <w:r w:rsidRPr="00FF4077">
        <w:rPr>
          <w:lang w:val="en-US"/>
        </w:rPr>
        <w:t xml:space="preserve">Khan, M. (11. november 2022). </w:t>
      </w:r>
      <w:r w:rsidRPr="00FF4077">
        <w:rPr>
          <w:i/>
          <w:lang w:val="en-US"/>
        </w:rPr>
        <w:t>Vårdcentraler i privat regi</w:t>
      </w:r>
      <w:r w:rsidRPr="00FF4077">
        <w:rPr>
          <w:lang w:val="en-US"/>
        </w:rPr>
        <w:t xml:space="preserve">. </w:t>
      </w:r>
      <w:r w:rsidRPr="001E1D80">
        <w:t>[nettdokument]. Stockholm: Ekonomifakta. Hentet 14.03.23</w:t>
      </w:r>
    </w:p>
    <w:p w14:paraId="3E2736A6" w14:textId="572C7056" w:rsidR="00A930FB" w:rsidRPr="00FF4077" w:rsidRDefault="00A930FB" w:rsidP="008F5AD8">
      <w:pPr>
        <w:pStyle w:val="opplisting"/>
        <w:rPr>
          <w:lang w:val="en-US"/>
        </w:rPr>
      </w:pPr>
      <w:r w:rsidRPr="001E1D80">
        <w:t>King</w:t>
      </w:r>
      <w:r w:rsidR="00D9107F">
        <w:t>’</w:t>
      </w:r>
      <w:r w:rsidRPr="001E1D80">
        <w:t xml:space="preserve">s Fund. </w:t>
      </w:r>
      <w:r w:rsidRPr="00FF4077">
        <w:rPr>
          <w:i/>
          <w:lang w:val="en-US"/>
        </w:rPr>
        <w:t>Integrated care systems explained. Health and Care Act 2022</w:t>
      </w:r>
      <w:r w:rsidRPr="00FF4077">
        <w:rPr>
          <w:lang w:val="en-US"/>
        </w:rPr>
        <w:t xml:space="preserve">. fra </w:t>
      </w:r>
      <w:hyperlink r:id="rId142" w:history="1">
        <w:r w:rsidRPr="00FF4077">
          <w:rPr>
            <w:rStyle w:val="Hyperkobling"/>
            <w:lang w:val="en-US"/>
          </w:rPr>
          <w:t>https://www.kingsfund.org.uk/topics/integrated-care</w:t>
        </w:r>
      </w:hyperlink>
    </w:p>
    <w:p w14:paraId="6900B95F" w14:textId="77777777" w:rsidR="00A930FB" w:rsidRPr="001E1D80" w:rsidRDefault="00A930FB" w:rsidP="008F5AD8">
      <w:pPr>
        <w:pStyle w:val="opplisting"/>
      </w:pPr>
      <w:r w:rsidRPr="001E1D80">
        <w:t xml:space="preserve">Kjernegruppen. (2022). </w:t>
      </w:r>
      <w:r w:rsidRPr="001E1D80">
        <w:rPr>
          <w:i/>
        </w:rPr>
        <w:t>Effektiv og sikker infrastruktur for deling og bruk av relevant statistikk og data i kriser. Rapport fra ekspertgruppe nedsatt av kjernegruppen for et bedre kunnskapssystem for håndtering av kriser</w:t>
      </w:r>
      <w:r w:rsidRPr="001E1D80">
        <w:t>. Regjeringen.</w:t>
      </w:r>
    </w:p>
    <w:p w14:paraId="4AB1BDF5" w14:textId="77777777" w:rsidR="00D9107F" w:rsidRDefault="00A930FB" w:rsidP="008F5AD8">
      <w:pPr>
        <w:pStyle w:val="opplisting"/>
      </w:pPr>
      <w:r w:rsidRPr="001E1D80">
        <w:t>Knardahl, S. (12. oktober 2022). Oppgaveglidning forutsetter systematisk organisering, kronikk.</w:t>
      </w:r>
      <w:r w:rsidRPr="001E1D80">
        <w:rPr>
          <w:i/>
        </w:rPr>
        <w:t xml:space="preserve"> Dagens medisin</w:t>
      </w:r>
      <w:r w:rsidRPr="001E1D80">
        <w:t>.</w:t>
      </w:r>
    </w:p>
    <w:p w14:paraId="10D9ADF0" w14:textId="6693AF1C" w:rsidR="00A930FB" w:rsidRPr="001E1D80" w:rsidRDefault="00A930FB" w:rsidP="008F5AD8">
      <w:pPr>
        <w:pStyle w:val="opplisting"/>
      </w:pPr>
      <w:r w:rsidRPr="001E1D80">
        <w:t xml:space="preserve">Knarvik, U., Rotvold, G.-H., Bjørvig, S., &amp; Bakkevoll, P.-A. (2017). </w:t>
      </w:r>
      <w:r w:rsidRPr="001E1D80">
        <w:rPr>
          <w:i/>
        </w:rPr>
        <w:t>Velferdsteknologi : Kunnskapsoppsummering</w:t>
      </w:r>
      <w:r w:rsidRPr="001E1D80">
        <w:t xml:space="preserve"> (12-2017). Tromsø: Nasjonalt senter for e-helseforskning.</w:t>
      </w:r>
    </w:p>
    <w:p w14:paraId="28A1F402" w14:textId="77777777" w:rsidR="00A930FB" w:rsidRPr="001E1D80" w:rsidRDefault="00A930FB" w:rsidP="008F5AD8">
      <w:pPr>
        <w:pStyle w:val="opplisting"/>
      </w:pPr>
      <w:r w:rsidRPr="001E1D80">
        <w:t xml:space="preserve">Knutsson, H. (16. februar 2023). </w:t>
      </w:r>
      <w:r w:rsidRPr="001E1D80">
        <w:rPr>
          <w:i/>
        </w:rPr>
        <w:t>Sammanställning över regionernas krav på remiss i öppen vård</w:t>
      </w:r>
      <w:r w:rsidRPr="001E1D80">
        <w:t>. [nettdokument]. Stockholm: Sveriges Kommuner och Regioner. Hentet 14.03.23</w:t>
      </w:r>
    </w:p>
    <w:p w14:paraId="64C62645" w14:textId="50E791B3" w:rsidR="00A930FB" w:rsidRPr="001E1D80" w:rsidRDefault="00A930FB" w:rsidP="008F5AD8">
      <w:pPr>
        <w:pStyle w:val="opplisting"/>
      </w:pPr>
      <w:r w:rsidRPr="001E1D80">
        <w:t xml:space="preserve">Kommunal- og distriktsdepartementet. (2013). </w:t>
      </w:r>
      <w:r w:rsidR="00D9107F">
        <w:rPr>
          <w:i/>
        </w:rPr>
        <w:t xml:space="preserve">Meld. St. </w:t>
      </w:r>
      <w:r w:rsidR="00D9107F" w:rsidRPr="001E1D80">
        <w:rPr>
          <w:i/>
        </w:rPr>
        <w:t>2</w:t>
      </w:r>
      <w:r w:rsidRPr="001E1D80">
        <w:rPr>
          <w:i/>
        </w:rPr>
        <w:t>3 (2012–2013). Digital agenda for Norge: IKT for vekst og verdiskaping</w:t>
      </w:r>
      <w:r w:rsidRPr="001E1D80">
        <w:t xml:space="preserve"> (</w:t>
      </w:r>
      <w:r w:rsidR="00D9107F">
        <w:t xml:space="preserve">Meld. St. </w:t>
      </w:r>
      <w:r w:rsidR="00D9107F" w:rsidRPr="001E1D80">
        <w:t>2</w:t>
      </w:r>
      <w:r w:rsidRPr="001E1D80">
        <w:t>3 (2012–2013)). Kommunal- og distriktsdepartementet.</w:t>
      </w:r>
    </w:p>
    <w:p w14:paraId="4E1862D0" w14:textId="077E576B" w:rsidR="00A930FB" w:rsidRPr="001E1D80" w:rsidRDefault="00A930FB" w:rsidP="008F5AD8">
      <w:pPr>
        <w:pStyle w:val="opplisting"/>
      </w:pPr>
      <w:r w:rsidRPr="001E1D80">
        <w:t xml:space="preserve">Kommunal- og distriktsdepartementet. (2022a). </w:t>
      </w:r>
      <w:r w:rsidRPr="001E1D80">
        <w:rPr>
          <w:i/>
        </w:rPr>
        <w:t>Digitaliseringsrundskrivet</w:t>
      </w:r>
      <w:r w:rsidRPr="001E1D80">
        <w:t xml:space="preserve"> (H-9/22). Hentet fra </w:t>
      </w:r>
      <w:hyperlink r:id="rId143" w:history="1">
        <w:r w:rsidRPr="001E1D80">
          <w:rPr>
            <w:rStyle w:val="Hyperkobling"/>
          </w:rPr>
          <w:t>https://www.regjeringen.no/no/dokumenter/digitaliseringsrundskrivet2/id2952701/</w:t>
        </w:r>
      </w:hyperlink>
    </w:p>
    <w:p w14:paraId="37857213" w14:textId="4965DA20" w:rsidR="00D9107F" w:rsidRDefault="00A930FB" w:rsidP="008F5AD8">
      <w:pPr>
        <w:pStyle w:val="opplisting"/>
      </w:pPr>
      <w:r w:rsidRPr="001E1D80">
        <w:t xml:space="preserve">Kommunal- og distriktsdepartementet. (2022b). </w:t>
      </w:r>
      <w:r w:rsidRPr="001E1D80">
        <w:rPr>
          <w:i/>
        </w:rPr>
        <w:t xml:space="preserve">Svar på spørsmål om tolkningen av kommuneloven </w:t>
      </w:r>
      <w:r w:rsidR="00D9107F">
        <w:rPr>
          <w:i/>
        </w:rPr>
        <w:t>§ </w:t>
      </w:r>
      <w:r w:rsidR="00D9107F" w:rsidRPr="001E1D80">
        <w:rPr>
          <w:i/>
        </w:rPr>
        <w:t>1</w:t>
      </w:r>
      <w:r w:rsidRPr="001E1D80">
        <w:rPr>
          <w:i/>
        </w:rPr>
        <w:t xml:space="preserve">4-19 – Gjenkjøpsgarantier for fastlegevirksomhet. Brev til Statsforvalteren i Rogaland, ref. 22/4558-3. </w:t>
      </w:r>
      <w:r w:rsidRPr="001E1D80">
        <w:t>.</w:t>
      </w:r>
    </w:p>
    <w:p w14:paraId="6DACC88A" w14:textId="77777777" w:rsidR="00D9107F" w:rsidRDefault="00A930FB" w:rsidP="008F5AD8">
      <w:pPr>
        <w:pStyle w:val="opplisting"/>
      </w:pPr>
      <w:r w:rsidRPr="001E1D80">
        <w:t xml:space="preserve">Koworera, L., &amp; Goldspink, S. (2022). </w:t>
      </w:r>
      <w:r w:rsidRPr="00FF4077">
        <w:rPr>
          <w:lang w:val="en-US"/>
        </w:rPr>
        <w:t xml:space="preserve">Integrating new non-medical practitioners in general practices: barriers and facilitators. </w:t>
      </w:r>
      <w:r w:rsidRPr="001E1D80">
        <w:rPr>
          <w:i/>
        </w:rPr>
        <w:t>Primary Health Care, 32</w:t>
      </w:r>
      <w:r w:rsidRPr="001E1D80">
        <w:t>(6), 27-33.</w:t>
      </w:r>
    </w:p>
    <w:p w14:paraId="317DA5DB" w14:textId="15761267" w:rsidR="00A930FB" w:rsidRPr="001E1D80" w:rsidRDefault="00A930FB" w:rsidP="008F5AD8">
      <w:pPr>
        <w:pStyle w:val="opplisting"/>
      </w:pPr>
      <w:r w:rsidRPr="001E1D80">
        <w:t xml:space="preserve">Kramer-Johansen, J., Brattebø, G., Zakariassen, E., Riddervold, I., Hjortdahl, M., &amp; Jamtli, B. (2020). </w:t>
      </w:r>
      <w:r w:rsidRPr="001E1D80">
        <w:rPr>
          <w:i/>
        </w:rPr>
        <w:t>Evalueringsrapport for pilotprosjekt om bruk av video i medisinsk nødmeldetjeneste (AMK og LVS). Sluttrapport fra Arbeidsgruppe for følgeforskning og evaluering.</w:t>
      </w:r>
      <w:r w:rsidRPr="001E1D80">
        <w:t xml:space="preserve"> Oslo: NAKOS, Prehospital akuttmedisin.</w:t>
      </w:r>
    </w:p>
    <w:p w14:paraId="5966FF67" w14:textId="77777777" w:rsidR="00D9107F" w:rsidRDefault="00A930FB" w:rsidP="008F5AD8">
      <w:pPr>
        <w:pStyle w:val="opplisting"/>
      </w:pPr>
      <w:r w:rsidRPr="00FF4077">
        <w:rPr>
          <w:lang w:val="en-US"/>
        </w:rPr>
        <w:lastRenderedPageBreak/>
        <w:t xml:space="preserve">Krasnik, A., Groenewegen, P. P., Pedersen, P. A., von Scholten, P., Mooney, G., &amp; Damsgaard, M. T. (1990). Changing remuneration systems: effects on activity in general practice. </w:t>
      </w:r>
      <w:r w:rsidRPr="001E1D80">
        <w:rPr>
          <w:i/>
        </w:rPr>
        <w:t>British Medical Journal, 300</w:t>
      </w:r>
      <w:r w:rsidRPr="001E1D80">
        <w:t>(6741), 1698-1701.</w:t>
      </w:r>
    </w:p>
    <w:p w14:paraId="271A71B5" w14:textId="77777777" w:rsidR="00D9107F" w:rsidRDefault="00A930FB" w:rsidP="008F5AD8">
      <w:pPr>
        <w:pStyle w:val="opplisting"/>
      </w:pPr>
      <w:r w:rsidRPr="001E1D80">
        <w:t xml:space="preserve">Kroneman, M., Boerma, W., van den Berg, M., Groenewegen, P., de Jong, J., &amp; van Ginneken, E. (2016). Netherlands: Health System Review. </w:t>
      </w:r>
      <w:r w:rsidRPr="001E1D80">
        <w:rPr>
          <w:i/>
        </w:rPr>
        <w:t>Health Syst Transit, 18</w:t>
      </w:r>
      <w:r w:rsidRPr="001E1D80">
        <w:t>(2), 1-240.</w:t>
      </w:r>
    </w:p>
    <w:p w14:paraId="6E9ED9E3" w14:textId="5F60FEC3" w:rsidR="00A930FB" w:rsidRPr="001E1D80" w:rsidRDefault="00A930FB" w:rsidP="008F5AD8">
      <w:pPr>
        <w:pStyle w:val="opplisting"/>
      </w:pPr>
      <w:r w:rsidRPr="001E1D80">
        <w:t xml:space="preserve">KS. (14.09.2017). </w:t>
      </w:r>
      <w:r w:rsidRPr="001E1D80">
        <w:rPr>
          <w:i/>
        </w:rPr>
        <w:t>Kunnskapsløft for kommunene</w:t>
      </w:r>
      <w:r w:rsidRPr="001E1D80">
        <w:t>. [nettdokument]. Oslo: Kommunesektorens organisasjon, KS.no. Hentet 22.03.2023</w:t>
      </w:r>
    </w:p>
    <w:p w14:paraId="585B581C" w14:textId="3A1B8CF4" w:rsidR="00A930FB" w:rsidRPr="001E1D80" w:rsidRDefault="00A930FB" w:rsidP="008F5AD8">
      <w:pPr>
        <w:pStyle w:val="opplisting"/>
      </w:pPr>
      <w:r w:rsidRPr="001E1D80">
        <w:t xml:space="preserve">KS. (29.03.2021). </w:t>
      </w:r>
      <w:r w:rsidRPr="001E1D80">
        <w:rPr>
          <w:i/>
        </w:rPr>
        <w:t>Rammeavtalen om fastlegeordningen (ASA 4310)</w:t>
      </w:r>
      <w:r w:rsidRPr="001E1D80">
        <w:t xml:space="preserve">. [nettdokument]. Kommunesektorens organisasjon KS. Hentet 16.03.23, fra </w:t>
      </w:r>
      <w:hyperlink r:id="rId144" w:history="1">
        <w:r w:rsidRPr="001E1D80">
          <w:rPr>
            <w:rStyle w:val="Hyperkobling"/>
          </w:rPr>
          <w:t>https://www.ks.no/fagomrader/lonn-og-tariff/legeavtaler/rammeavtalen-om-fastlegeordningen-asa-4310/</w:t>
        </w:r>
      </w:hyperlink>
    </w:p>
    <w:p w14:paraId="25F8632E" w14:textId="5457AF3C" w:rsidR="00A930FB" w:rsidRPr="001E1D80" w:rsidRDefault="00A930FB" w:rsidP="008F5AD8">
      <w:pPr>
        <w:pStyle w:val="opplisting"/>
      </w:pPr>
      <w:r w:rsidRPr="001E1D80">
        <w:t xml:space="preserve">KS og Den norske legeforening. (2012folk). </w:t>
      </w:r>
      <w:r w:rsidRPr="001E1D80">
        <w:rPr>
          <w:i/>
        </w:rPr>
        <w:t>ASA 4310 – Rammeavtale (sentral kommuneavtale) mellom Kommunenes Sentralforbund og Den norske lægeforening om allmenn¬lege-praksis i fastlegeordningen i kommunene</w:t>
      </w:r>
      <w:r w:rsidRPr="001E1D80">
        <w:t xml:space="preserve">. KS og Den norske lægeforening. Hentet fra </w:t>
      </w:r>
      <w:hyperlink r:id="rId145" w:history="1">
        <w:r w:rsidRPr="001E1D80">
          <w:rPr>
            <w:rStyle w:val="Hyperkobling"/>
          </w:rPr>
          <w:t>https://www.legeforeningen.no/contentassets/5acb1bbeaadf47d1975f2c41e6564bf9/rammeavtalen-2012.pdf</w:t>
        </w:r>
      </w:hyperlink>
    </w:p>
    <w:p w14:paraId="6A9696CF" w14:textId="77777777" w:rsidR="00A930FB" w:rsidRPr="001E1D80" w:rsidRDefault="00A930FB" w:rsidP="008F5AD8">
      <w:pPr>
        <w:pStyle w:val="opplisting"/>
      </w:pPr>
      <w:r w:rsidRPr="001E1D80">
        <w:t xml:space="preserve">Kunnskapsdepartementet. (2019). </w:t>
      </w:r>
      <w:r w:rsidRPr="001E1D80">
        <w:rPr>
          <w:i/>
        </w:rPr>
        <w:t>Studieplasser i medisin i Norge: Behov, modeller og muligheter</w:t>
      </w:r>
      <w:r w:rsidRPr="001E1D80">
        <w:t>. Kunnskapsdepartementet.</w:t>
      </w:r>
    </w:p>
    <w:p w14:paraId="59421C2E" w14:textId="1A9BADCB" w:rsidR="00A930FB" w:rsidRPr="001E1D80" w:rsidRDefault="00A930FB" w:rsidP="008F5AD8">
      <w:pPr>
        <w:pStyle w:val="opplisting"/>
      </w:pPr>
      <w:r w:rsidRPr="001E1D80">
        <w:rPr>
          <w:i/>
        </w:rPr>
        <w:t>Forskrift om nasjonal retningslinje for masterutdanning i avansert klinisk allmennsykepleie</w:t>
      </w:r>
      <w:r w:rsidRPr="001E1D80">
        <w:t xml:space="preserve">. (2020). FOR-2020-01-03-45. Hentet fra </w:t>
      </w:r>
      <w:hyperlink r:id="rId146" w:history="1">
        <w:r w:rsidRPr="001E1D80">
          <w:rPr>
            <w:rStyle w:val="Hyperkobling"/>
          </w:rPr>
          <w:t>https://lovdata.no/dokument/SF/forskrift/2020-01-03-45</w:t>
        </w:r>
      </w:hyperlink>
    </w:p>
    <w:p w14:paraId="3B1233BC" w14:textId="4191AD50" w:rsidR="00A930FB" w:rsidRPr="001E1D80" w:rsidRDefault="00A930FB" w:rsidP="008F5AD8">
      <w:pPr>
        <w:pStyle w:val="opplisting"/>
      </w:pPr>
      <w:r w:rsidRPr="001E1D80">
        <w:t xml:space="preserve">Kunnskapsdepartementet. (2021). </w:t>
      </w:r>
      <w:r w:rsidR="00D9107F">
        <w:rPr>
          <w:i/>
        </w:rPr>
        <w:t xml:space="preserve">Prop. </w:t>
      </w:r>
      <w:r w:rsidR="00D9107F" w:rsidRPr="001E1D80">
        <w:rPr>
          <w:i/>
        </w:rPr>
        <w:t>82 L (2021</w:t>
      </w:r>
      <w:r w:rsidRPr="001E1D80">
        <w:rPr>
          <w:i/>
        </w:rPr>
        <w:t xml:space="preserve"> –2022): Proposisjon til Stortinget (forslag til lovvedtak)</w:t>
      </w:r>
      <w:r w:rsidR="00D9107F">
        <w:rPr>
          <w:i/>
        </w:rPr>
        <w:t xml:space="preserve"> – </w:t>
      </w:r>
      <w:r w:rsidRPr="001E1D80">
        <w:rPr>
          <w:i/>
        </w:rPr>
        <w:t>Endringer i barnehageloven (selvstendig rettssubjekt, forbud mot annen virksomhet, meldeplikt m.m.)</w:t>
      </w:r>
      <w:r w:rsidRPr="001E1D80">
        <w:t>.</w:t>
      </w:r>
    </w:p>
    <w:p w14:paraId="083BB904" w14:textId="4DD78E95" w:rsidR="00A930FB" w:rsidRPr="001E1D80" w:rsidRDefault="00A930FB" w:rsidP="008F5AD8">
      <w:pPr>
        <w:pStyle w:val="opplisting"/>
      </w:pPr>
      <w:r w:rsidRPr="001E1D80">
        <w:t xml:space="preserve">Kunnskapsdepartementet. (2022). </w:t>
      </w:r>
      <w:r w:rsidRPr="001E1D80">
        <w:rPr>
          <w:i/>
        </w:rPr>
        <w:t>Endringer i opplæringsloven, universitets- og høyskoleloven og fagskoleloven (endring av NOKUTs oppgaver, studentrettigheter mv.)</w:t>
      </w:r>
      <w:r w:rsidRPr="001E1D80">
        <w:t xml:space="preserve"> (</w:t>
      </w:r>
      <w:r w:rsidR="00D9107F">
        <w:t xml:space="preserve">Prop. </w:t>
      </w:r>
      <w:r w:rsidR="00D9107F" w:rsidRPr="001E1D80">
        <w:t>74 L (2021</w:t>
      </w:r>
      <w:r w:rsidRPr="001E1D80">
        <w:t>–2022)). Oslo: Kunnskapsdepartementet.</w:t>
      </w:r>
    </w:p>
    <w:p w14:paraId="5310CFC1" w14:textId="6D8C4C14" w:rsidR="00A930FB" w:rsidRPr="001E1D80" w:rsidRDefault="00A930FB" w:rsidP="008F5AD8">
      <w:pPr>
        <w:pStyle w:val="opplisting"/>
      </w:pPr>
      <w:r w:rsidRPr="001E1D80">
        <w:t xml:space="preserve">Kvinge, F. H. (2013). </w:t>
      </w:r>
      <w:r w:rsidRPr="001E1D80">
        <w:rPr>
          <w:i/>
        </w:rPr>
        <w:t>Hvordan samsvarer AMIS-notatet på AMK med ambulansejournalen i ambulansetjenesten i Oslo og Akershus? : En retrospektiv studie av arkiverte akutt – og hasteoppdrags journaler i ambulansetjenesten i Oslo og Akershus fra februar, mars og april 2009.</w:t>
      </w:r>
      <w:r w:rsidRPr="001E1D80">
        <w:t xml:space="preserve"> U. i. Oslo. Medisinsk fakultet. Hentet fra </w:t>
      </w:r>
      <w:hyperlink r:id="rId147" w:history="1">
        <w:r w:rsidRPr="001E1D80">
          <w:rPr>
            <w:rStyle w:val="Hyperkobling"/>
          </w:rPr>
          <w:t>https://www.duo.uio.no/bitstream/handle/10852/38335/Prosjektoppgavenxendeligxversjonx05.07.13.pdf?sequence=1</w:t>
        </w:r>
      </w:hyperlink>
    </w:p>
    <w:p w14:paraId="4175D9B9" w14:textId="77777777" w:rsidR="00A930FB" w:rsidRPr="001E1D80" w:rsidRDefault="00A930FB" w:rsidP="008F5AD8">
      <w:pPr>
        <w:pStyle w:val="opplisting"/>
      </w:pPr>
      <w:r w:rsidRPr="001E1D80">
        <w:t xml:space="preserve">Kaarbø, O. (2017). Kvalitetsbasert finansiering. I: G. Botten &amp; D. N. m. Selskab (red.), </w:t>
      </w:r>
      <w:r w:rsidRPr="001E1D80">
        <w:rPr>
          <w:i/>
        </w:rPr>
        <w:t>Mangfold og engasjement i ti år : Institutt for helse og samfunn ved universitetet i Oslo 2010-2020</w:t>
      </w:r>
      <w:r w:rsidRPr="001E1D80">
        <w:t>. Oslo: Det norske medicinske Selskab.</w:t>
      </w:r>
    </w:p>
    <w:p w14:paraId="2B7BBAE4" w14:textId="125F6D6D" w:rsidR="00A930FB" w:rsidRPr="001E1D80" w:rsidRDefault="00A930FB" w:rsidP="008F5AD8">
      <w:pPr>
        <w:pStyle w:val="opplisting"/>
      </w:pPr>
      <w:r w:rsidRPr="001E1D80">
        <w:rPr>
          <w:i/>
        </w:rPr>
        <w:t>Lag om ordnande av social- och hälsovård</w:t>
      </w:r>
      <w:r w:rsidRPr="001E1D80">
        <w:t xml:space="preserve">. (2021). 612/2021. Sist endret i 221/2023. Hentet fra </w:t>
      </w:r>
      <w:hyperlink r:id="rId148" w:history="1">
        <w:r w:rsidRPr="001E1D80">
          <w:rPr>
            <w:rStyle w:val="Hyperkobling"/>
          </w:rPr>
          <w:t>https://www.finlex.fi/sv/laki/smur/2021/20210612</w:t>
        </w:r>
      </w:hyperlink>
    </w:p>
    <w:p w14:paraId="6CACCAF8" w14:textId="1F67C392" w:rsidR="00D9107F" w:rsidRPr="00FF4077" w:rsidRDefault="00A930FB" w:rsidP="008F5AD8">
      <w:pPr>
        <w:pStyle w:val="opplisting"/>
        <w:rPr>
          <w:lang w:val="en-US"/>
        </w:rPr>
      </w:pPr>
      <w:r w:rsidRPr="00FF4077">
        <w:rPr>
          <w:lang w:val="en-US"/>
        </w:rPr>
        <w:lastRenderedPageBreak/>
        <w:t>Lake, R., Georgiou, A., Li, J., Li, L., Byrne, M., Robinson, M., &amp; Westbrook, J. I. (2017). The quality, safety and governance of telephone triage and advice services</w:t>
      </w:r>
      <w:r w:rsidR="00D9107F" w:rsidRPr="00FF4077">
        <w:rPr>
          <w:lang w:val="en-US"/>
        </w:rPr>
        <w:t xml:space="preserve"> – </w:t>
      </w:r>
      <w:r w:rsidRPr="00FF4077">
        <w:rPr>
          <w:lang w:val="en-US"/>
        </w:rPr>
        <w:t xml:space="preserve">an overview of evidence from systematic reviews. </w:t>
      </w:r>
      <w:r w:rsidRPr="00FF4077">
        <w:rPr>
          <w:i/>
          <w:lang w:val="en-US"/>
        </w:rPr>
        <w:t>BMC Health Services Research, 17</w:t>
      </w:r>
      <w:r w:rsidRPr="00FF4077">
        <w:rPr>
          <w:lang w:val="en-US"/>
        </w:rPr>
        <w:t>(1), 614.</w:t>
      </w:r>
    </w:p>
    <w:p w14:paraId="54F2A076" w14:textId="59343755" w:rsidR="00A930FB" w:rsidRPr="001E1D80" w:rsidRDefault="00A930FB" w:rsidP="008F5AD8">
      <w:pPr>
        <w:pStyle w:val="opplisting"/>
      </w:pPr>
      <w:r w:rsidRPr="00FF4077">
        <w:rPr>
          <w:lang w:val="en-US"/>
        </w:rPr>
        <w:t xml:space="preserve">Langen Westlie, Å., Gaski, M., Abelsen, B., Grimstad, H., &amp; Hugaas Ofstad, E. (2022). </w:t>
      </w:r>
      <w:r w:rsidRPr="001E1D80">
        <w:t>Leger utdannet i Bodø</w:t>
      </w:r>
      <w:r w:rsidR="00D9107F">
        <w:t xml:space="preserve"> – </w:t>
      </w:r>
      <w:r w:rsidRPr="001E1D80">
        <w:t xml:space="preserve">hvem er de og hvor blir de av? </w:t>
      </w:r>
      <w:r w:rsidRPr="001E1D80">
        <w:rPr>
          <w:i/>
        </w:rPr>
        <w:t>Tidsskriftet Den norske legeforening, 1</w:t>
      </w:r>
      <w:r w:rsidRPr="001E1D80">
        <w:t xml:space="preserve">. </w:t>
      </w:r>
      <w:hyperlink r:id="rId149" w:history="1">
        <w:r w:rsidRPr="001E1D80">
          <w:rPr>
            <w:rStyle w:val="Hyperkobling"/>
          </w:rPr>
          <w:t>https://doi.org/10.4045/tidsskr.21.0253</w:t>
        </w:r>
      </w:hyperlink>
    </w:p>
    <w:p w14:paraId="7A6629D5" w14:textId="77777777" w:rsidR="00A930FB" w:rsidRPr="00FF4077" w:rsidRDefault="00A930FB" w:rsidP="008F5AD8">
      <w:pPr>
        <w:pStyle w:val="opplisting"/>
        <w:rPr>
          <w:lang w:val="en-US"/>
        </w:rPr>
      </w:pPr>
      <w:r w:rsidRPr="001E1D80">
        <w:t xml:space="preserve">Larsen, T. A., Klausen, M. B., &amp; Højgaard, B. (2020). </w:t>
      </w:r>
      <w:r w:rsidRPr="00FF4077">
        <w:rPr>
          <w:i/>
          <w:lang w:val="en-US"/>
        </w:rPr>
        <w:t>Primary Health Care in the Nordic Countries – Comparative Analysis and Identification of Challenges</w:t>
      </w:r>
      <w:r w:rsidRPr="00FF4077">
        <w:rPr>
          <w:lang w:val="en-US"/>
        </w:rPr>
        <w:t xml:space="preserve"> (Project: 301661). København: V. T. D. C. f. S. S. Research.</w:t>
      </w:r>
    </w:p>
    <w:p w14:paraId="091DB427" w14:textId="77777777" w:rsidR="00D9107F" w:rsidRPr="00FF4077" w:rsidRDefault="00A930FB" w:rsidP="008F5AD8">
      <w:pPr>
        <w:pStyle w:val="opplisting"/>
        <w:rPr>
          <w:lang w:val="en-US"/>
        </w:rPr>
      </w:pPr>
      <w:r w:rsidRPr="00FF4077">
        <w:rPr>
          <w:lang w:val="en-US"/>
        </w:rPr>
        <w:t xml:space="preserve">Laurant, M., van der Biezen, M., Wijers, N., Watananirun, K., Kontopantelis, E., &amp; van Vught, A. J. A. H. (2018). Nurses as substitutes for doctors in primary care. </w:t>
      </w:r>
      <w:r w:rsidRPr="00FF4077">
        <w:rPr>
          <w:i/>
          <w:lang w:val="en-US"/>
        </w:rPr>
        <w:t>Cochrane Database of Systematic Reviews, 7</w:t>
      </w:r>
      <w:r w:rsidRPr="00FF4077">
        <w:rPr>
          <w:lang w:val="en-US"/>
        </w:rPr>
        <w:t>, CD001271.</w:t>
      </w:r>
    </w:p>
    <w:p w14:paraId="1178989C" w14:textId="77777777" w:rsidR="00D9107F" w:rsidRPr="00FF4077" w:rsidRDefault="00A930FB" w:rsidP="008F5AD8">
      <w:pPr>
        <w:pStyle w:val="opplisting"/>
        <w:rPr>
          <w:lang w:val="en-US"/>
        </w:rPr>
      </w:pPr>
      <w:r w:rsidRPr="00FF4077">
        <w:rPr>
          <w:lang w:val="en-US"/>
        </w:rPr>
        <w:t xml:space="preserve">Lee, T., Propper, C., &amp; Stoye, G. (2020). Medical Labour Supply and the Production of Healthcare. </w:t>
      </w:r>
      <w:r w:rsidRPr="00FF4077">
        <w:rPr>
          <w:i/>
          <w:lang w:val="en-US"/>
        </w:rPr>
        <w:t>The Journal of Applied Economics, 40</w:t>
      </w:r>
      <w:r w:rsidRPr="00FF4077">
        <w:rPr>
          <w:lang w:val="en-US"/>
        </w:rPr>
        <w:t>(4).</w:t>
      </w:r>
    </w:p>
    <w:p w14:paraId="7D62D910" w14:textId="18E5AF74" w:rsidR="00D9107F" w:rsidRPr="00FF4077" w:rsidRDefault="00A930FB" w:rsidP="008F5AD8">
      <w:pPr>
        <w:pStyle w:val="opplisting"/>
        <w:rPr>
          <w:lang w:val="en-US"/>
        </w:rPr>
      </w:pPr>
      <w:r w:rsidRPr="00FF4077">
        <w:rPr>
          <w:lang w:val="en-US"/>
        </w:rPr>
        <w:t>Lee, T., &amp; Tran, E. (2022). Common and alternative interventions on gait outcomes and mechanics in Parkinson</w:t>
      </w:r>
      <w:r w:rsidR="00D9107F" w:rsidRPr="00FF4077">
        <w:rPr>
          <w:lang w:val="en-US"/>
        </w:rPr>
        <w:t>’</w:t>
      </w:r>
      <w:r w:rsidRPr="00FF4077">
        <w:rPr>
          <w:lang w:val="en-US"/>
        </w:rPr>
        <w:t xml:space="preserve">s disease and runners. </w:t>
      </w:r>
      <w:r w:rsidRPr="00FF4077">
        <w:rPr>
          <w:i/>
          <w:lang w:val="en-US"/>
        </w:rPr>
        <w:t>Dissertation Abstracts International: Section B: The Sciences and Engineering, 83</w:t>
      </w:r>
      <w:r w:rsidRPr="00FF4077">
        <w:rPr>
          <w:lang w:val="en-US"/>
        </w:rPr>
        <w:t>(3-B), No Pagination Specified.</w:t>
      </w:r>
    </w:p>
    <w:p w14:paraId="0ED1E5EA" w14:textId="5A836266" w:rsidR="00A930FB" w:rsidRPr="001E1D80" w:rsidRDefault="00A930FB" w:rsidP="008F5AD8">
      <w:pPr>
        <w:pStyle w:val="opplisting"/>
      </w:pPr>
      <w:r w:rsidRPr="001E1D80">
        <w:t xml:space="preserve">Legeforening, D. N. </w:t>
      </w:r>
      <w:r w:rsidRPr="001E1D80">
        <w:rPr>
          <w:i/>
        </w:rPr>
        <w:t>Utdanningsfond II</w:t>
      </w:r>
      <w:r w:rsidRPr="001E1D80">
        <w:t xml:space="preserve">. fra </w:t>
      </w:r>
      <w:hyperlink r:id="rId150" w:history="1">
        <w:r w:rsidRPr="001E1D80">
          <w:rPr>
            <w:rStyle w:val="Hyperkobling"/>
          </w:rPr>
          <w:t>https://www.legeforeningen.no/om-oss/fond-og-legater/utdanningsfond-ii/</w:t>
        </w:r>
      </w:hyperlink>
    </w:p>
    <w:p w14:paraId="08E20B88" w14:textId="77777777" w:rsidR="00A930FB" w:rsidRPr="001E1D80" w:rsidRDefault="00A930FB" w:rsidP="008F5AD8">
      <w:pPr>
        <w:pStyle w:val="opplisting"/>
      </w:pPr>
      <w:r w:rsidRPr="001E1D80">
        <w:t xml:space="preserve">Leknes, S., &amp; Løkken, S. A. (5. juli 2022). </w:t>
      </w:r>
      <w:r w:rsidRPr="001E1D80">
        <w:rPr>
          <w:i/>
        </w:rPr>
        <w:t>Folketallet vil krympe i 40 prosent av kommunene fram mot 2050</w:t>
      </w:r>
      <w:r w:rsidRPr="001E1D80">
        <w:t>. [nettdokument]. Oslo: Statisktisk sentralbyrå. Hentet 10.02.23</w:t>
      </w:r>
    </w:p>
    <w:p w14:paraId="0D1674B8" w14:textId="77777777" w:rsidR="00D9107F" w:rsidRDefault="00A930FB" w:rsidP="008F5AD8">
      <w:pPr>
        <w:pStyle w:val="opplisting"/>
      </w:pPr>
      <w:r w:rsidRPr="001E1D80">
        <w:t xml:space="preserve">Leong, S. L., Teoh, S. L., Fun, W. H., &amp; Lee, S. W. H. (2021). </w:t>
      </w:r>
      <w:r w:rsidRPr="00FF4077">
        <w:rPr>
          <w:lang w:val="en-US"/>
        </w:rPr>
        <w:t xml:space="preserve">Task shifting in primary care to tackle healthcare worker shortages: An umbrella review. </w:t>
      </w:r>
      <w:r w:rsidRPr="001E1D80">
        <w:rPr>
          <w:i/>
        </w:rPr>
        <w:t>European Journal of General Practice, 27</w:t>
      </w:r>
      <w:r w:rsidRPr="001E1D80">
        <w:t>(1), 198-210.</w:t>
      </w:r>
    </w:p>
    <w:p w14:paraId="4E563FB4" w14:textId="542E3E3C" w:rsidR="00A930FB" w:rsidRPr="001E1D80" w:rsidRDefault="00A930FB" w:rsidP="008F5AD8">
      <w:pPr>
        <w:pStyle w:val="opplisting"/>
      </w:pPr>
      <w:r w:rsidRPr="001E1D80">
        <w:t xml:space="preserve">Lien, H. (25. februar 2019). </w:t>
      </w:r>
      <w:r w:rsidRPr="001E1D80">
        <w:rPr>
          <w:i/>
        </w:rPr>
        <w:t>Norges sykefravær passerte Sveriges og Nederlands etter lovendringer</w:t>
      </w:r>
      <w:r w:rsidRPr="001E1D80">
        <w:t>. [nettdokument]. Oslo: Statistisk sentralbyrå. Hentet 04.01.23</w:t>
      </w:r>
    </w:p>
    <w:p w14:paraId="13B1C93C" w14:textId="13031B8A" w:rsidR="00A930FB" w:rsidRPr="001E1D80" w:rsidRDefault="00A930FB" w:rsidP="008F5AD8">
      <w:pPr>
        <w:pStyle w:val="opplisting"/>
      </w:pPr>
      <w:r w:rsidRPr="001E1D80">
        <w:rPr>
          <w:i/>
        </w:rPr>
        <w:t>Lov om arbeidsmiljø, arbeidstid og stillingsvern mv. (arbeidsmiljøloven)</w:t>
      </w:r>
      <w:r w:rsidRPr="001E1D80">
        <w:t xml:space="preserve">. (2005). LOV-1977-02-04-4. Sist endret i LOV-2005-06-17-62. Hentet fra </w:t>
      </w:r>
      <w:hyperlink r:id="rId151" w:history="1">
        <w:r w:rsidRPr="001E1D80">
          <w:rPr>
            <w:rStyle w:val="Hyperkobling"/>
          </w:rPr>
          <w:t>https://lovdata.no/dokument/NL/lov/2005-06-17-62</w:t>
        </w:r>
      </w:hyperlink>
    </w:p>
    <w:p w14:paraId="07F3281C" w14:textId="35AA8402" w:rsidR="00A930FB" w:rsidRPr="001E1D80" w:rsidRDefault="00A930FB" w:rsidP="008F5AD8">
      <w:pPr>
        <w:pStyle w:val="opplisting"/>
      </w:pPr>
      <w:r w:rsidRPr="001E1D80">
        <w:rPr>
          <w:i/>
        </w:rPr>
        <w:t>Lov om barnehager (barnehageloven)</w:t>
      </w:r>
      <w:r w:rsidRPr="001E1D80">
        <w:t xml:space="preserve">. (2005). LOV-2005-06-17-64. Sist endret i LOV-2022-06-10-40 Hentet fra </w:t>
      </w:r>
      <w:hyperlink r:id="rId152" w:history="1">
        <w:r w:rsidRPr="001E1D80">
          <w:rPr>
            <w:rStyle w:val="Hyperkobling"/>
          </w:rPr>
          <w:t>https://lovdata.no/dokument/NL/lov/2005-06-17-64</w:t>
        </w:r>
      </w:hyperlink>
    </w:p>
    <w:p w14:paraId="1A6E5E7C" w14:textId="475455D2" w:rsidR="00A930FB" w:rsidRPr="001E1D80" w:rsidRDefault="00A930FB" w:rsidP="008F5AD8">
      <w:pPr>
        <w:pStyle w:val="opplisting"/>
      </w:pPr>
      <w:r w:rsidRPr="001E1D80">
        <w:rPr>
          <w:i/>
        </w:rPr>
        <w:t>Lov om behandling av helseopplysninger ved ytelse av helsehjelp (pasientjournalloven)</w:t>
      </w:r>
      <w:r w:rsidRPr="001E1D80">
        <w:t xml:space="preserve">. (2014). LOV-2014-06-20-42. Sist endret i LOV-2022-06-17-51 Hentet fra </w:t>
      </w:r>
      <w:hyperlink r:id="rId153" w:history="1">
        <w:r w:rsidRPr="001E1D80">
          <w:rPr>
            <w:rStyle w:val="Hyperkobling"/>
          </w:rPr>
          <w:t>https://lovdata.no/dokument/NL/lov/2014-06-20-42</w:t>
        </w:r>
      </w:hyperlink>
    </w:p>
    <w:p w14:paraId="680B5A74" w14:textId="13BB21DD" w:rsidR="00A930FB" w:rsidRPr="001E1D80" w:rsidRDefault="00A930FB" w:rsidP="008F5AD8">
      <w:pPr>
        <w:pStyle w:val="opplisting"/>
      </w:pPr>
      <w:r w:rsidRPr="001E1D80">
        <w:rPr>
          <w:i/>
        </w:rPr>
        <w:t>Lov om behandling av personopplysninger (personopplysningsloven)</w:t>
      </w:r>
      <w:r w:rsidRPr="001E1D80">
        <w:t xml:space="preserve">. (2018). LOV-2018-06-15-38. Sist endret i LOV-2021-06-18-124 Hentet fra </w:t>
      </w:r>
      <w:hyperlink r:id="rId154" w:anchor="gdpr&amp;" w:history="1">
        <w:r w:rsidRPr="001E1D80">
          <w:rPr>
            <w:rStyle w:val="Hyperkobling"/>
          </w:rPr>
          <w:t>https://lovdata.no/dokument/NL/lov/2018-06-15-38/gdpr/ARTIKKEL_9#gdpr&amp;#x2f;ARTIKKEL_9</w:t>
        </w:r>
      </w:hyperlink>
    </w:p>
    <w:p w14:paraId="2C457118" w14:textId="6194165E" w:rsidR="00A930FB" w:rsidRPr="001E1D80" w:rsidRDefault="00A930FB" w:rsidP="008F5AD8">
      <w:pPr>
        <w:pStyle w:val="opplisting"/>
      </w:pPr>
      <w:r w:rsidRPr="001E1D80">
        <w:rPr>
          <w:i/>
        </w:rPr>
        <w:lastRenderedPageBreak/>
        <w:t>Lov om behandlingsmåten i forvaltningssaker (forvaltningsloven)</w:t>
      </w:r>
      <w:r w:rsidRPr="001E1D80">
        <w:t xml:space="preserve">. (1967). LOV-1967-02-10. Sist endret i LOV-2022-12-20-115. Hentet fra </w:t>
      </w:r>
      <w:hyperlink r:id="rId155" w:history="1">
        <w:r w:rsidRPr="001E1D80">
          <w:rPr>
            <w:rStyle w:val="Hyperkobling"/>
          </w:rPr>
          <w:t>https://lovdata.no/dokument/NL/lov/1967-02-10</w:t>
        </w:r>
      </w:hyperlink>
    </w:p>
    <w:p w14:paraId="168999EA" w14:textId="71F8B344" w:rsidR="00A930FB" w:rsidRPr="001E1D80" w:rsidRDefault="00A930FB" w:rsidP="008F5AD8">
      <w:pPr>
        <w:pStyle w:val="opplisting"/>
      </w:pPr>
      <w:r w:rsidRPr="001E1D80">
        <w:rPr>
          <w:i/>
        </w:rPr>
        <w:t>Lov om endringer i helselovgivningen (overføring av det offentlige tannhelsetjenesteansvaret, lovfesting av kompetansekrav m.m.)</w:t>
      </w:r>
      <w:r w:rsidRPr="001E1D80">
        <w:t>. (2017). (</w:t>
      </w:r>
      <w:r w:rsidR="00D9107F">
        <w:t xml:space="preserve">Prop. </w:t>
      </w:r>
      <w:r w:rsidR="00D9107F" w:rsidRPr="001E1D80">
        <w:t>71 L (2016</w:t>
      </w:r>
      <w:r w:rsidRPr="001E1D80">
        <w:t xml:space="preserve"> –2017): Proposisjon til Stortinget (forslag til lovvedtak)). Helse- og omsorgsdepartement,. Hentet fra </w:t>
      </w:r>
      <w:hyperlink r:id="rId156" w:history="1">
        <w:r w:rsidRPr="001E1D80">
          <w:rPr>
            <w:rStyle w:val="Hyperkobling"/>
          </w:rPr>
          <w:t>https://www.regjeringen.no/contentassets/658a620ad1bc494ba81d2abba423aa41/no/pdfs/prp201620170071000dddpdfs.pdf</w:t>
        </w:r>
      </w:hyperlink>
    </w:p>
    <w:p w14:paraId="66C633B2" w14:textId="69F0DB6B" w:rsidR="00A930FB" w:rsidRPr="001E1D80" w:rsidRDefault="00A930FB" w:rsidP="008F5AD8">
      <w:pPr>
        <w:pStyle w:val="opplisting"/>
      </w:pPr>
      <w:r w:rsidRPr="001E1D80">
        <w:rPr>
          <w:i/>
        </w:rPr>
        <w:t>Lov om folketrygd (folketrygdloven)</w:t>
      </w:r>
      <w:r w:rsidRPr="001E1D80">
        <w:t xml:space="preserve">. (1997). LOV-1997-02-28-19. Sist endret i LOV-2022-12-20-104 Hentet fra </w:t>
      </w:r>
      <w:hyperlink r:id="rId157" w:history="1">
        <w:r w:rsidRPr="001E1D80">
          <w:rPr>
            <w:rStyle w:val="Hyperkobling"/>
          </w:rPr>
          <w:t>https://lovdata.no/dokument/NL/lov/1997-02-28-19?q=folketrygd</w:t>
        </w:r>
      </w:hyperlink>
    </w:p>
    <w:p w14:paraId="6C006740" w14:textId="01C18DCF" w:rsidR="00A930FB" w:rsidRPr="001E1D80" w:rsidRDefault="00A930FB" w:rsidP="008F5AD8">
      <w:pPr>
        <w:pStyle w:val="opplisting"/>
      </w:pPr>
      <w:r w:rsidRPr="001E1D80">
        <w:rPr>
          <w:i/>
        </w:rPr>
        <w:t>Lov om helsepersonell m.v. (helsepersonelloven)</w:t>
      </w:r>
      <w:r w:rsidRPr="001E1D80">
        <w:t xml:space="preserve">. (2001). LOV-1999-07-02-64. Sist endret i LOV-2022-12-20-115. Hentet fra </w:t>
      </w:r>
      <w:hyperlink r:id="rId158" w:history="1">
        <w:r w:rsidRPr="001E1D80">
          <w:rPr>
            <w:rStyle w:val="Hyperkobling"/>
          </w:rPr>
          <w:t>https://lovdata.no/dokument/NL/lov/1999-07-02-64</w:t>
        </w:r>
      </w:hyperlink>
    </w:p>
    <w:p w14:paraId="6F5FEE46" w14:textId="1EB0DDFC" w:rsidR="00A930FB" w:rsidRPr="001E1D80" w:rsidRDefault="00A930FB" w:rsidP="008F5AD8">
      <w:pPr>
        <w:pStyle w:val="opplisting"/>
      </w:pPr>
      <w:r w:rsidRPr="001E1D80">
        <w:rPr>
          <w:i/>
        </w:rPr>
        <w:t>Lov om kommunale helse- og omsorgstjenester m.m. (helse- og omsorgstjenesteloven)</w:t>
      </w:r>
      <w:r w:rsidRPr="001E1D80">
        <w:t xml:space="preserve">. (2011). LOV-2011-06-24-30. Sist endret i LOV-2022-11-25-86. Hentet fra </w:t>
      </w:r>
      <w:hyperlink r:id="rId159" w:anchor="%C2%A74-1" w:history="1">
        <w:r w:rsidRPr="001E1D80">
          <w:rPr>
            <w:rStyle w:val="Hyperkobling"/>
          </w:rPr>
          <w:t>https://lovdata.no/dokument/NL/lov/2011-06-24-30/KAPITTEL_4#%C2%A74-1</w:t>
        </w:r>
      </w:hyperlink>
    </w:p>
    <w:p w14:paraId="43C00D86" w14:textId="39D785C9" w:rsidR="00A930FB" w:rsidRPr="001E1D80" w:rsidRDefault="00A930FB" w:rsidP="008F5AD8">
      <w:pPr>
        <w:pStyle w:val="opplisting"/>
      </w:pPr>
      <w:r w:rsidRPr="001E1D80">
        <w:rPr>
          <w:i/>
        </w:rPr>
        <w:t>Lov om kommunale helse- og omsorgstjenester m.m. (helse- og omsorgstjenesteloven)</w:t>
      </w:r>
      <w:r w:rsidRPr="001E1D80">
        <w:t xml:space="preserve">. (2016). LOV-2011-06-24-30. Sist endret i LOV-2022-11-25-86. Hentet fra </w:t>
      </w:r>
      <w:hyperlink r:id="rId160" w:anchor="%C2%A74-1" w:history="1">
        <w:r w:rsidRPr="001E1D80">
          <w:rPr>
            <w:rStyle w:val="Hyperkobling"/>
          </w:rPr>
          <w:t>https://lovdata.no/dokument/NL/lov/2011-06-24-30/KAPITTEL_4#%C2%A74-1</w:t>
        </w:r>
      </w:hyperlink>
    </w:p>
    <w:p w14:paraId="6FCF6F3A" w14:textId="66950265" w:rsidR="00A930FB" w:rsidRPr="001E1D80" w:rsidRDefault="00A930FB" w:rsidP="008F5AD8">
      <w:pPr>
        <w:pStyle w:val="opplisting"/>
      </w:pPr>
      <w:r w:rsidRPr="001E1D80">
        <w:rPr>
          <w:i/>
        </w:rPr>
        <w:t>Lov om kommuner og fylkeskommuner (kommuneloven)</w:t>
      </w:r>
      <w:r w:rsidRPr="001E1D80">
        <w:t xml:space="preserve">. (2021). LOV-2018-06-22-83. Sist endret i LOV-2021-04-23-24. Hentet fra </w:t>
      </w:r>
      <w:hyperlink r:id="rId161" w:history="1">
        <w:r w:rsidRPr="001E1D80">
          <w:rPr>
            <w:rStyle w:val="Hyperkobling"/>
          </w:rPr>
          <w:t>https://lovdata.no/dokument/NL/lov/2018-06-22-83</w:t>
        </w:r>
      </w:hyperlink>
    </w:p>
    <w:p w14:paraId="6A9C9CC3" w14:textId="1A4EAA3F" w:rsidR="00A930FB" w:rsidRPr="001E1D80" w:rsidRDefault="00A930FB" w:rsidP="008F5AD8">
      <w:pPr>
        <w:pStyle w:val="opplisting"/>
      </w:pPr>
      <w:r w:rsidRPr="001E1D80">
        <w:rPr>
          <w:i/>
        </w:rPr>
        <w:t>Lov om likestilling og forbud mot diskriminering (likestillings- og diskrimineringsloven)</w:t>
      </w:r>
      <w:r w:rsidRPr="001E1D80">
        <w:t xml:space="preserve">. (2017). LOV-2017-06-16-51. Sist endret i LOV-2021-06-11-77 Hentet fra </w:t>
      </w:r>
      <w:hyperlink r:id="rId162" w:anchor="KAPITTEL_3" w:history="1">
        <w:r w:rsidRPr="001E1D80">
          <w:rPr>
            <w:rStyle w:val="Hyperkobling"/>
          </w:rPr>
          <w:t>https://lovdata.no/dokument/NL/lov/2017-06-16-51#KAPITTEL_3</w:t>
        </w:r>
      </w:hyperlink>
    </w:p>
    <w:p w14:paraId="62742EED" w14:textId="22146C87" w:rsidR="00A930FB" w:rsidRPr="001E1D80" w:rsidRDefault="00A930FB" w:rsidP="008F5AD8">
      <w:pPr>
        <w:pStyle w:val="opplisting"/>
      </w:pPr>
      <w:r w:rsidRPr="001E1D80">
        <w:rPr>
          <w:i/>
        </w:rPr>
        <w:t>Lov om offentlige anskaffelser (anskaffelsesloven)</w:t>
      </w:r>
      <w:r w:rsidRPr="001E1D80">
        <w:t xml:space="preserve">. (2017). LOV-2016-06-17-73. Sist endret i LOV-2017-04-21-18. Hentet fra </w:t>
      </w:r>
      <w:hyperlink r:id="rId163" w:history="1">
        <w:r w:rsidRPr="001E1D80">
          <w:rPr>
            <w:rStyle w:val="Hyperkobling"/>
          </w:rPr>
          <w:t>https://lovdata.no/dokument/NL/lov/2016-06-17-73</w:t>
        </w:r>
      </w:hyperlink>
    </w:p>
    <w:p w14:paraId="69893A61" w14:textId="28FFEBDD" w:rsidR="00A930FB" w:rsidRPr="001E1D80" w:rsidRDefault="00A930FB" w:rsidP="008F5AD8">
      <w:pPr>
        <w:pStyle w:val="opplisting"/>
      </w:pPr>
      <w:r w:rsidRPr="001E1D80">
        <w:rPr>
          <w:i/>
        </w:rPr>
        <w:t>Lov om pensjonsordning for sykepleiere [sykepleierpensjonsloven]</w:t>
      </w:r>
      <w:r w:rsidRPr="001E1D80">
        <w:t xml:space="preserve">. (1962). LOV-1962-06-22-12. Sist endret i LOV-2022-12-20-100 Hentet fra </w:t>
      </w:r>
      <w:hyperlink r:id="rId164" w:history="1">
        <w:r w:rsidRPr="001E1D80">
          <w:rPr>
            <w:rStyle w:val="Hyperkobling"/>
          </w:rPr>
          <w:t>https://lovdata.no/dokument/NL/lov/1962-06-22-12?q=sykepleierpensjonsloven</w:t>
        </w:r>
      </w:hyperlink>
    </w:p>
    <w:p w14:paraId="217A86DA" w14:textId="4DBB5D9E" w:rsidR="00A930FB" w:rsidRPr="001E1D80" w:rsidRDefault="00A930FB" w:rsidP="008F5AD8">
      <w:pPr>
        <w:pStyle w:val="opplisting"/>
      </w:pPr>
      <w:r w:rsidRPr="001E1D80">
        <w:rPr>
          <w:i/>
        </w:rPr>
        <w:t>Lov om spesialisthelsetjenesten m.m. (spesialisthelsetjenesteloven)</w:t>
      </w:r>
      <w:r w:rsidRPr="001E1D80">
        <w:t xml:space="preserve">. (2001). LOV-1999-07-02-61. Sist endret i LOV-2022-11-25-86. Hentet fra </w:t>
      </w:r>
      <w:hyperlink r:id="rId165" w:history="1">
        <w:r w:rsidRPr="001E1D80">
          <w:rPr>
            <w:rStyle w:val="Hyperkobling"/>
          </w:rPr>
          <w:t>https://lovdata.no/dokument/NL/lov/1999-07-02-61</w:t>
        </w:r>
      </w:hyperlink>
    </w:p>
    <w:p w14:paraId="6FD66739" w14:textId="44ACEC9C" w:rsidR="00A930FB" w:rsidRPr="001E1D80" w:rsidRDefault="00A930FB" w:rsidP="008F5AD8">
      <w:pPr>
        <w:pStyle w:val="opplisting"/>
      </w:pPr>
      <w:r w:rsidRPr="001E1D80">
        <w:rPr>
          <w:i/>
        </w:rPr>
        <w:t>Lov om studentsamskipnader (studentsamskipnadsloven)</w:t>
      </w:r>
      <w:r w:rsidRPr="001E1D80">
        <w:t xml:space="preserve">. (2007). LOV-2007-12-14-116. Sist endret i LOV-2021-06-11-81 Hentet fra </w:t>
      </w:r>
      <w:hyperlink r:id="rId166" w:history="1">
        <w:r w:rsidRPr="001E1D80">
          <w:rPr>
            <w:rStyle w:val="Hyperkobling"/>
          </w:rPr>
          <w:t>https://lovdata.no/dokument/NL/lov/2007-12-14-116</w:t>
        </w:r>
      </w:hyperlink>
    </w:p>
    <w:p w14:paraId="5D2FAFAB" w14:textId="77777777" w:rsidR="00A930FB" w:rsidRPr="001E1D80" w:rsidRDefault="00A930FB" w:rsidP="008F5AD8">
      <w:pPr>
        <w:pStyle w:val="opplisting"/>
      </w:pPr>
      <w:r w:rsidRPr="001E1D80">
        <w:t xml:space="preserve">Løberg, M. (08.02.2023). </w:t>
      </w:r>
      <w:r w:rsidRPr="001E1D80">
        <w:rPr>
          <w:i/>
        </w:rPr>
        <w:t>Info om pensum</w:t>
      </w:r>
      <w:r w:rsidRPr="001E1D80">
        <w:t>. [E-post]. Sendt til M. Tyssvang.</w:t>
      </w:r>
    </w:p>
    <w:p w14:paraId="2299136E" w14:textId="0BD4FB3B" w:rsidR="00A930FB" w:rsidRPr="001E1D80" w:rsidRDefault="00A930FB" w:rsidP="008F5AD8">
      <w:pPr>
        <w:pStyle w:val="opplisting"/>
      </w:pPr>
      <w:r w:rsidRPr="001E1D80">
        <w:t xml:space="preserve">Lånekassen. </w:t>
      </w:r>
      <w:r w:rsidRPr="001E1D80">
        <w:rPr>
          <w:i/>
        </w:rPr>
        <w:t>Reduksjon av gjeld for leger i utvalgte kommuner</w:t>
      </w:r>
      <w:r w:rsidRPr="001E1D80">
        <w:t xml:space="preserve">. 2023, fra </w:t>
      </w:r>
      <w:hyperlink r:id="rId167" w:history="1">
        <w:r w:rsidRPr="001E1D80">
          <w:rPr>
            <w:rStyle w:val="Hyperkobling"/>
          </w:rPr>
          <w:t>https://lanekassen.no/nb-NO/gjeld-og-betaling/leger-i-utvalgte-kommuner/</w:t>
        </w:r>
      </w:hyperlink>
    </w:p>
    <w:p w14:paraId="6D629E33" w14:textId="67AB84B8" w:rsidR="00A930FB" w:rsidRPr="001E1D80" w:rsidRDefault="00A930FB" w:rsidP="008F5AD8">
      <w:pPr>
        <w:pStyle w:val="opplisting"/>
      </w:pPr>
      <w:r w:rsidRPr="001E1D80">
        <w:t xml:space="preserve">Lånekassen. </w:t>
      </w:r>
      <w:r w:rsidRPr="001E1D80">
        <w:rPr>
          <w:i/>
        </w:rPr>
        <w:t>Søknad om sletting av gjeld for søkere i Finnmark og Nord-Troms</w:t>
      </w:r>
      <w:r w:rsidRPr="001E1D80">
        <w:t xml:space="preserve">. 2023, fra </w:t>
      </w:r>
      <w:hyperlink r:id="rId168" w:history="1">
        <w:r w:rsidRPr="001E1D80">
          <w:rPr>
            <w:rStyle w:val="Hyperkobling"/>
          </w:rPr>
          <w:t>https://lanekassen.no/nb-NO/gjeld-og-betaling/finnmark-eller-nord-troms/soknad-om-sletting-av-gjeld-for-sokere-i-finnmark-og-nord-troms/</w:t>
        </w:r>
      </w:hyperlink>
    </w:p>
    <w:p w14:paraId="57D9CF2D" w14:textId="77777777" w:rsidR="00D9107F" w:rsidRPr="00FF4077" w:rsidRDefault="00A930FB" w:rsidP="008F5AD8">
      <w:pPr>
        <w:pStyle w:val="opplisting"/>
        <w:rPr>
          <w:lang w:val="en-US"/>
        </w:rPr>
      </w:pPr>
      <w:r w:rsidRPr="001E1D80">
        <w:lastRenderedPageBreak/>
        <w:t xml:space="preserve">Magwenya, R. H., Ross, A. J., &amp; Ngatiane, L. S. (2022). </w:t>
      </w:r>
      <w:r w:rsidRPr="00FF4077">
        <w:rPr>
          <w:lang w:val="en-US"/>
        </w:rPr>
        <w:t xml:space="preserve">Continuing professional development in the last decade – A scoping review. </w:t>
      </w:r>
      <w:r w:rsidRPr="00FF4077">
        <w:rPr>
          <w:i/>
          <w:lang w:val="en-US"/>
        </w:rPr>
        <w:t>Journal of Adult and Continuing Education</w:t>
      </w:r>
      <w:r w:rsidRPr="00FF4077">
        <w:rPr>
          <w:lang w:val="en-US"/>
        </w:rPr>
        <w:t>, 14779714221147297.</w:t>
      </w:r>
    </w:p>
    <w:p w14:paraId="16A6736D" w14:textId="77777777" w:rsidR="00D9107F" w:rsidRPr="00FF4077" w:rsidRDefault="00A930FB" w:rsidP="008F5AD8">
      <w:pPr>
        <w:pStyle w:val="opplisting"/>
        <w:rPr>
          <w:lang w:val="en-US"/>
        </w:rPr>
      </w:pPr>
      <w:r w:rsidRPr="00FF4077">
        <w:rPr>
          <w:lang w:val="en-US"/>
        </w:rPr>
        <w:t xml:space="preserve">Maier, C. B. (2019). Nurse prescribing of medicines in 13 European countries. </w:t>
      </w:r>
      <w:r w:rsidRPr="00FF4077">
        <w:rPr>
          <w:i/>
          <w:lang w:val="en-US"/>
        </w:rPr>
        <w:t>Hum Resour Health, 17</w:t>
      </w:r>
      <w:r w:rsidRPr="00FF4077">
        <w:rPr>
          <w:lang w:val="en-US"/>
        </w:rPr>
        <w:t>(1), 95.</w:t>
      </w:r>
    </w:p>
    <w:p w14:paraId="3DBCCCBD" w14:textId="77777777" w:rsidR="00D9107F" w:rsidRPr="00FF4077" w:rsidRDefault="00A930FB" w:rsidP="008F5AD8">
      <w:pPr>
        <w:pStyle w:val="opplisting"/>
        <w:rPr>
          <w:lang w:val="en-US"/>
        </w:rPr>
      </w:pPr>
      <w:r w:rsidRPr="00FF4077">
        <w:rPr>
          <w:lang w:val="en-US"/>
        </w:rPr>
        <w:t xml:space="preserve">Maier, C. B., &amp; Aiken, L. H. (2016). Task shifting from physicians to nurses in primary care in 39 countries: a cross-country comparative study. </w:t>
      </w:r>
      <w:r w:rsidRPr="00FF4077">
        <w:rPr>
          <w:i/>
          <w:lang w:val="en-US"/>
        </w:rPr>
        <w:t>European Journal of Public Health, 26</w:t>
      </w:r>
      <w:r w:rsidRPr="00FF4077">
        <w:rPr>
          <w:lang w:val="en-US"/>
        </w:rPr>
        <w:t>(6), 927-934.</w:t>
      </w:r>
    </w:p>
    <w:p w14:paraId="02466C56" w14:textId="0AA6D818" w:rsidR="00A930FB" w:rsidRPr="001E1D80" w:rsidRDefault="00A930FB" w:rsidP="008F5AD8">
      <w:pPr>
        <w:pStyle w:val="opplisting"/>
      </w:pPr>
      <w:r w:rsidRPr="00FF4077">
        <w:rPr>
          <w:lang w:val="en-US"/>
        </w:rPr>
        <w:t xml:space="preserve">Maier, C. B., Aiken, L. H., &amp; Busse, R. </w:t>
      </w:r>
      <w:r w:rsidRPr="00FF4077">
        <w:rPr>
          <w:i/>
          <w:lang w:val="en-US"/>
        </w:rPr>
        <w:t>Nurses in advanced roles in primary care: Policy levers for implementation</w:t>
      </w:r>
      <w:r w:rsidRPr="00FF4077">
        <w:rPr>
          <w:lang w:val="en-US"/>
        </w:rPr>
        <w:t xml:space="preserve"> (OECD Health working papers no. 98). </w:t>
      </w:r>
      <w:r w:rsidRPr="001E1D80">
        <w:t>OECD.</w:t>
      </w:r>
    </w:p>
    <w:p w14:paraId="228CA9AB" w14:textId="77777777" w:rsidR="00D9107F" w:rsidRPr="00FF4077" w:rsidRDefault="00A930FB" w:rsidP="008F5AD8">
      <w:pPr>
        <w:pStyle w:val="opplisting"/>
        <w:rPr>
          <w:lang w:val="en-US"/>
        </w:rPr>
      </w:pPr>
      <w:r w:rsidRPr="001E1D80">
        <w:t xml:space="preserve">Malmivaara, A., Hakkinen, U., Aro, T., Heinrichs, M. L., Koskenniemi, L., Kuosma, E., . . . et al. </w:t>
      </w:r>
      <w:r w:rsidRPr="00FF4077">
        <w:rPr>
          <w:lang w:val="en-US"/>
        </w:rPr>
        <w:t xml:space="preserve">(1995). The treatment of acute low back pain--bed rest, exercises, or ordinary activity? </w:t>
      </w:r>
      <w:r w:rsidRPr="00FF4077">
        <w:rPr>
          <w:i/>
          <w:lang w:val="en-US"/>
        </w:rPr>
        <w:t>New England Journal of Medicine, 332</w:t>
      </w:r>
      <w:r w:rsidRPr="00FF4077">
        <w:rPr>
          <w:lang w:val="en-US"/>
        </w:rPr>
        <w:t>(6), 351-355.</w:t>
      </w:r>
    </w:p>
    <w:p w14:paraId="3D408196" w14:textId="77777777" w:rsidR="00D9107F" w:rsidRPr="00FF4077" w:rsidRDefault="00A930FB" w:rsidP="008F5AD8">
      <w:pPr>
        <w:pStyle w:val="opplisting"/>
        <w:rPr>
          <w:lang w:val="en-US"/>
        </w:rPr>
      </w:pPr>
      <w:r w:rsidRPr="00FF4077">
        <w:rPr>
          <w:lang w:val="en-US"/>
        </w:rPr>
        <w:t xml:space="preserve">Malterud, K., Aamland, A., &amp; Fosse, A. (2020). How can task shifting put patient safety at risk? A qualitative study of experiences among general practitioners in Norway. </w:t>
      </w:r>
      <w:r w:rsidRPr="00FF4077">
        <w:rPr>
          <w:i/>
          <w:lang w:val="en-US"/>
        </w:rPr>
        <w:t>Scand J Prim Health Care, 38</w:t>
      </w:r>
      <w:r w:rsidRPr="00FF4077">
        <w:rPr>
          <w:lang w:val="en-US"/>
        </w:rPr>
        <w:t>(1), 24-32.</w:t>
      </w:r>
    </w:p>
    <w:p w14:paraId="27E262BD" w14:textId="77777777" w:rsidR="00D9107F" w:rsidRPr="00FF4077" w:rsidRDefault="00A930FB" w:rsidP="008F5AD8">
      <w:pPr>
        <w:pStyle w:val="opplisting"/>
        <w:rPr>
          <w:lang w:val="en-US"/>
        </w:rPr>
      </w:pPr>
      <w:r w:rsidRPr="00FF4077">
        <w:rPr>
          <w:lang w:val="en-US"/>
        </w:rPr>
        <w:t xml:space="preserve">Markussen, S., &amp; Røed, K. (2017). The market for paid sick leave. </w:t>
      </w:r>
      <w:r w:rsidRPr="00FF4077">
        <w:rPr>
          <w:i/>
          <w:lang w:val="en-US"/>
        </w:rPr>
        <w:t>Journal of Health Economics, 55</w:t>
      </w:r>
      <w:r w:rsidRPr="00FF4077">
        <w:rPr>
          <w:lang w:val="en-US"/>
        </w:rPr>
        <w:t>, 244-261.</w:t>
      </w:r>
    </w:p>
    <w:p w14:paraId="240F8CB2" w14:textId="77777777" w:rsidR="00D9107F" w:rsidRPr="00FF4077" w:rsidRDefault="00A930FB" w:rsidP="008F5AD8">
      <w:pPr>
        <w:pStyle w:val="opplisting"/>
        <w:rPr>
          <w:lang w:val="en-US"/>
        </w:rPr>
      </w:pPr>
      <w:r w:rsidRPr="00FF4077">
        <w:rPr>
          <w:lang w:val="en-US"/>
        </w:rPr>
        <w:t xml:space="preserve">Markussen, S., Røed, K., &amp; Schreiner, R. C. (2018). Can compulsory dialogues nudge sick-listed workers back to work? </w:t>
      </w:r>
      <w:r w:rsidRPr="00FF4077">
        <w:rPr>
          <w:i/>
          <w:lang w:val="en-US"/>
        </w:rPr>
        <w:t>The Economic Journal, 128</w:t>
      </w:r>
      <w:r w:rsidRPr="00FF4077">
        <w:rPr>
          <w:lang w:val="en-US"/>
        </w:rPr>
        <w:t>(610), 1276-1303.</w:t>
      </w:r>
    </w:p>
    <w:p w14:paraId="11252C40" w14:textId="77777777" w:rsidR="00D9107F" w:rsidRDefault="00A930FB" w:rsidP="008F5AD8">
      <w:pPr>
        <w:pStyle w:val="opplisting"/>
      </w:pPr>
      <w:r w:rsidRPr="00FF4077">
        <w:rPr>
          <w:lang w:val="en-US"/>
        </w:rPr>
        <w:t xml:space="preserve">Mathes, T., Pieper, D., &amp; Morche, J. e. a. (2019). Pay for performance for hospitals. </w:t>
      </w:r>
      <w:r w:rsidRPr="001E1D80">
        <w:rPr>
          <w:i/>
        </w:rPr>
        <w:t>Cochrane Database of Systematic Reviews, 5</w:t>
      </w:r>
      <w:r w:rsidRPr="001E1D80">
        <w:t>(7), 7.</w:t>
      </w:r>
    </w:p>
    <w:p w14:paraId="12FA6D6A" w14:textId="0395492E" w:rsidR="00A930FB" w:rsidRPr="001E1D80" w:rsidRDefault="00A930FB" w:rsidP="008F5AD8">
      <w:pPr>
        <w:pStyle w:val="opplisting"/>
      </w:pPr>
      <w:r w:rsidRPr="001E1D80">
        <w:t xml:space="preserve">Medicin, D. S. f. A. </w:t>
      </w:r>
      <w:r w:rsidRPr="001E1D80">
        <w:rPr>
          <w:i/>
        </w:rPr>
        <w:t>Målbeskrivelse og struktur</w:t>
      </w:r>
      <w:r w:rsidRPr="001E1D80">
        <w:t xml:space="preserve">. [nettdokument]. København: Dansk Selskab for Almen Medicin. Hentet 16.01.2023, fra </w:t>
      </w:r>
      <w:hyperlink r:id="rId169" w:history="1">
        <w:r w:rsidRPr="001E1D80">
          <w:rPr>
            <w:rStyle w:val="Hyperkobling"/>
          </w:rPr>
          <w:t>https://www.dsam.dk/uddannelse/videreuddannelse_i_almen_medicin/om_specialet/</w:t>
        </w:r>
      </w:hyperlink>
    </w:p>
    <w:p w14:paraId="0F90AB4C" w14:textId="5ED39734" w:rsidR="00A930FB" w:rsidRPr="001E1D80" w:rsidRDefault="00A930FB" w:rsidP="008F5AD8">
      <w:pPr>
        <w:pStyle w:val="opplisting"/>
      </w:pPr>
      <w:r w:rsidRPr="001E1D80">
        <w:t xml:space="preserve">Melby, L., Gunnes, M., Haukelien, H., &amp; Obstfelder, A. (2022). </w:t>
      </w:r>
      <w:r w:rsidRPr="001E1D80">
        <w:rPr>
          <w:i/>
        </w:rPr>
        <w:t>Frigjøring av sykepleierkapasitet gjennom ny ansvars-/oppgavedeling og bruk av teknologi</w:t>
      </w:r>
      <w:r w:rsidRPr="001E1D80">
        <w:t xml:space="preserve"> (2022:00211</w:t>
      </w:r>
      <w:r w:rsidR="00D9107F">
        <w:t xml:space="preserve"> – </w:t>
      </w:r>
      <w:r w:rsidRPr="001E1D80">
        <w:t>Åpen). Trondheim: SINTEF.</w:t>
      </w:r>
    </w:p>
    <w:p w14:paraId="7E9E0B95" w14:textId="77777777" w:rsidR="00D9107F" w:rsidRPr="00FF4077" w:rsidRDefault="00A930FB" w:rsidP="008F5AD8">
      <w:pPr>
        <w:pStyle w:val="opplisting"/>
        <w:rPr>
          <w:lang w:val="en-US"/>
        </w:rPr>
      </w:pPr>
      <w:r w:rsidRPr="001E1D80">
        <w:t xml:space="preserve">Mendelson, A., Kondo, K., Damberg, C., Low, A., Motuapuaka, M., &amp; Kansagara, D. (2017). </w:t>
      </w:r>
      <w:r w:rsidRPr="00FF4077">
        <w:rPr>
          <w:lang w:val="en-US"/>
        </w:rPr>
        <w:t xml:space="preserve">The Effects of Pay-for-Performance Programs on Health, Health Care Use, and Processes of Care: A Systematic Review. </w:t>
      </w:r>
      <w:r w:rsidRPr="00FF4077">
        <w:rPr>
          <w:i/>
          <w:lang w:val="en-US"/>
        </w:rPr>
        <w:t>Annals of Internal Medicine, 166</w:t>
      </w:r>
      <w:r w:rsidRPr="00FF4077">
        <w:rPr>
          <w:lang w:val="en-US"/>
        </w:rPr>
        <w:t>(5), 341-353.</w:t>
      </w:r>
    </w:p>
    <w:p w14:paraId="00A88C22" w14:textId="77777777" w:rsidR="00D9107F" w:rsidRPr="00FF4077" w:rsidRDefault="00A930FB" w:rsidP="008F5AD8">
      <w:pPr>
        <w:pStyle w:val="opplisting"/>
        <w:rPr>
          <w:lang w:val="en-US"/>
        </w:rPr>
      </w:pPr>
      <w:r w:rsidRPr="00FF4077">
        <w:rPr>
          <w:lang w:val="en-US"/>
        </w:rPr>
        <w:t xml:space="preserve">Mercer, S. W., Lunan, C. J., MacRae, C., Henderson, D. A., Fitzpatrick, B., &amp; Reilly, J. (2023). Half a century of the inverse care law: A comparison of general practitioner job satisfaction and patient satisfaction in deprived and affluent areas of Scotland. </w:t>
      </w:r>
      <w:r w:rsidRPr="00FF4077">
        <w:rPr>
          <w:i/>
          <w:lang w:val="en-US"/>
        </w:rPr>
        <w:t>Scottish Medical Journal, 68</w:t>
      </w:r>
      <w:r w:rsidRPr="00FF4077">
        <w:rPr>
          <w:lang w:val="en-US"/>
        </w:rPr>
        <w:t>(1), 14-20.</w:t>
      </w:r>
    </w:p>
    <w:p w14:paraId="7BAB2ADE" w14:textId="77777777" w:rsidR="00D9107F" w:rsidRDefault="00A930FB" w:rsidP="008F5AD8">
      <w:pPr>
        <w:pStyle w:val="opplisting"/>
      </w:pPr>
      <w:r w:rsidRPr="00FF4077">
        <w:rPr>
          <w:lang w:val="en-US"/>
        </w:rPr>
        <w:t xml:space="preserve">Midtbo, V., Raknes, G., &amp; Hunskaar, S. (2017). Telephone counselling by nurses in Norwegian primary care out-of-hours services: a cross-sectional study. </w:t>
      </w:r>
      <w:r w:rsidRPr="001E1D80">
        <w:rPr>
          <w:i/>
        </w:rPr>
        <w:t>BMC Family Practice, 18</w:t>
      </w:r>
      <w:r w:rsidRPr="001E1D80">
        <w:t>(1), 84.</w:t>
      </w:r>
    </w:p>
    <w:p w14:paraId="5F6FCD9D" w14:textId="5D14A282" w:rsidR="00A930FB" w:rsidRPr="001E1D80" w:rsidRDefault="00A930FB" w:rsidP="008F5AD8">
      <w:pPr>
        <w:pStyle w:val="opplisting"/>
      </w:pPr>
      <w:r w:rsidRPr="001E1D80">
        <w:lastRenderedPageBreak/>
        <w:t xml:space="preserve">Ministerråd, N. (2016). </w:t>
      </w:r>
      <w:r w:rsidRPr="001E1D80">
        <w:rPr>
          <w:i/>
        </w:rPr>
        <w:t>Håndbok over regulerte helsepersonellgrupper i Norden: Nordisk Ministerråds arbeidsgruppe, Nordisk gruppe for helsepersonell</w:t>
      </w:r>
      <w:r w:rsidRPr="001E1D80">
        <w:t xml:space="preserve"> (Nordiske Arbejdspapirer NA2016:908). København: Nordisk Ministerråd.</w:t>
      </w:r>
    </w:p>
    <w:p w14:paraId="2B19C5E4" w14:textId="5DACE52F" w:rsidR="00A930FB" w:rsidRPr="001E1D80" w:rsidRDefault="00A930FB" w:rsidP="008F5AD8">
      <w:pPr>
        <w:pStyle w:val="opplisting"/>
      </w:pPr>
      <w:r w:rsidRPr="001E1D80">
        <w:t xml:space="preserve">Molde interkommunale legevakt. (2022). </w:t>
      </w:r>
      <w:r w:rsidRPr="001E1D80">
        <w:rPr>
          <w:i/>
        </w:rPr>
        <w:t>Legevaktpilot 2018-2022. Molde interkommunale legevakt. Sluttrapport</w:t>
      </w:r>
      <w:r w:rsidRPr="001E1D80">
        <w:t xml:space="preserve">. Molde. Hentet fra </w:t>
      </w:r>
      <w:hyperlink r:id="rId170" w:history="1">
        <w:r w:rsidRPr="001E1D80">
          <w:rPr>
            <w:rStyle w:val="Hyperkobling"/>
          </w:rPr>
          <w:t>https://www.molde.kommune.no/helse-og-omsorg/akutt-helsehjelp/kontakt-legevakten/</w:t>
        </w:r>
      </w:hyperlink>
    </w:p>
    <w:p w14:paraId="645ECCE0" w14:textId="77777777" w:rsidR="00A930FB" w:rsidRPr="001E1D80" w:rsidRDefault="00A930FB" w:rsidP="008F5AD8">
      <w:pPr>
        <w:pStyle w:val="opplisting"/>
      </w:pPr>
      <w:r w:rsidRPr="001E1D80">
        <w:t xml:space="preserve">Morken, T., Solberg, L. R., &amp; Allertsen, M. (2019). </w:t>
      </w:r>
      <w:r w:rsidRPr="001E1D80">
        <w:rPr>
          <w:i/>
        </w:rPr>
        <w:t>Legevaktorganisering i Norge. Rapport fra Nasjonalt legevaktregister 2018</w:t>
      </w:r>
      <w:r w:rsidRPr="001E1D80">
        <w:t xml:space="preserve"> (Rapport nr. 4-2019). Bergen: Nasjonalt kompetansesenter for legevaktmedisin, NORCE Norwegian Research Centre.</w:t>
      </w:r>
    </w:p>
    <w:p w14:paraId="25FBB0A2" w14:textId="77777777" w:rsidR="00D9107F" w:rsidRPr="00FF4077" w:rsidRDefault="00A930FB" w:rsidP="008F5AD8">
      <w:pPr>
        <w:pStyle w:val="opplisting"/>
        <w:rPr>
          <w:lang w:val="en-US"/>
        </w:rPr>
      </w:pPr>
      <w:r w:rsidRPr="001E1D80">
        <w:t xml:space="preserve">Mosqueira, A., Rosenthal, M., &amp; Barnett, M. (2019). </w:t>
      </w:r>
      <w:r w:rsidRPr="00FF4077">
        <w:rPr>
          <w:lang w:val="en-US"/>
        </w:rPr>
        <w:t xml:space="preserve">The Association Between Primary Care Physician Compensation and Patterns of Care Delivery, 2012-2015 </w:t>
      </w:r>
      <w:r w:rsidRPr="00FF4077">
        <w:rPr>
          <w:i/>
          <w:lang w:val="en-US"/>
        </w:rPr>
        <w:t>Inquiry, 56</w:t>
      </w:r>
      <w:r w:rsidRPr="00FF4077">
        <w:rPr>
          <w:lang w:val="en-US"/>
        </w:rPr>
        <w:t>.</w:t>
      </w:r>
    </w:p>
    <w:p w14:paraId="33D903F5" w14:textId="7098838D" w:rsidR="00A930FB" w:rsidRPr="001E1D80" w:rsidRDefault="00A930FB" w:rsidP="008F5AD8">
      <w:pPr>
        <w:pStyle w:val="opplisting"/>
      </w:pPr>
      <w:r w:rsidRPr="00FF4077">
        <w:rPr>
          <w:lang w:val="en-US"/>
        </w:rPr>
        <w:t xml:space="preserve">Munira Z. Gunja, Evan D. Gumas, Reginald D. Williams II, Michelle M. Doty, Arnav Shah, &amp; Fields, K. </w:t>
      </w:r>
      <w:r w:rsidRPr="00FF4077">
        <w:rPr>
          <w:i/>
          <w:lang w:val="en-US"/>
        </w:rPr>
        <w:t>Stressed out and burned out: The global primary care crisis: Findings from the 2022 International Health Policy Survey of Primary Care Physicians</w:t>
      </w:r>
      <w:r w:rsidRPr="00FF4077">
        <w:rPr>
          <w:lang w:val="en-US"/>
        </w:rPr>
        <w:t xml:space="preserve">.New York: The Commonwealth Fund. </w:t>
      </w:r>
      <w:r w:rsidRPr="001E1D80">
        <w:t>Hentet 09.03.2023</w:t>
      </w:r>
    </w:p>
    <w:p w14:paraId="2EDA0FC5" w14:textId="68B82CE0" w:rsidR="00A930FB" w:rsidRPr="001E1D80" w:rsidRDefault="00A930FB" w:rsidP="008F5AD8">
      <w:pPr>
        <w:pStyle w:val="opplisting"/>
      </w:pPr>
      <w:r w:rsidRPr="001E1D80">
        <w:t xml:space="preserve">Mørk, B. E. (06.12.2019). </w:t>
      </w:r>
      <w:r w:rsidRPr="001E1D80">
        <w:rPr>
          <w:i/>
        </w:rPr>
        <w:t>Endringer fører til grensearbeid</w:t>
      </w:r>
      <w:r w:rsidRPr="001E1D80">
        <w:t xml:space="preserve">. [nettartikkel]. Oslo: BI Business Review. Hentet 13.03.2023, fra </w:t>
      </w:r>
      <w:hyperlink r:id="rId171" w:history="1">
        <w:r w:rsidRPr="001E1D80">
          <w:rPr>
            <w:rStyle w:val="Hyperkobling"/>
          </w:rPr>
          <w:t>https://www.bi.no/forskning/business-review/articles/2019/12/endringer-forer-til-grensearbeid/</w:t>
        </w:r>
      </w:hyperlink>
    </w:p>
    <w:p w14:paraId="6D5BAEB2" w14:textId="77777777" w:rsidR="00D9107F" w:rsidRDefault="00A930FB" w:rsidP="008F5AD8">
      <w:pPr>
        <w:pStyle w:val="opplisting"/>
      </w:pPr>
      <w:r w:rsidRPr="001E1D80">
        <w:t xml:space="preserve">Mårdalen, I. (2021). Fysioterapeutene har overtatt mer enn 1000 konsultasjoner fra ortopedene i Tromsø. </w:t>
      </w:r>
      <w:r w:rsidRPr="001E1D80">
        <w:rPr>
          <w:i/>
        </w:rPr>
        <w:t>Fysioterapeuten</w:t>
      </w:r>
      <w:r w:rsidRPr="001E1D80">
        <w:t>.</w:t>
      </w:r>
    </w:p>
    <w:p w14:paraId="680E7909" w14:textId="59B90B45" w:rsidR="00A930FB" w:rsidRPr="001E1D80" w:rsidRDefault="00A930FB" w:rsidP="008F5AD8">
      <w:pPr>
        <w:pStyle w:val="opplisting"/>
      </w:pPr>
      <w:r w:rsidRPr="001E1D80">
        <w:t xml:space="preserve">NAV. (20.09.2022). </w:t>
      </w:r>
      <w:r w:rsidRPr="001E1D80">
        <w:rPr>
          <w:i/>
        </w:rPr>
        <w:t>Sykefraværsstatistikk</w:t>
      </w:r>
      <w:r w:rsidR="00D9107F">
        <w:rPr>
          <w:i/>
        </w:rPr>
        <w:t xml:space="preserve"> – </w:t>
      </w:r>
      <w:r w:rsidRPr="001E1D80">
        <w:rPr>
          <w:i/>
        </w:rPr>
        <w:t>Årsstatistikk : statistikk for året 2021</w:t>
      </w:r>
      <w:r w:rsidRPr="001E1D80">
        <w:t>. [nettdokument]. Oslo: Nav. Hentet 05.01.23</w:t>
      </w:r>
    </w:p>
    <w:p w14:paraId="369713A9" w14:textId="1E3AB933" w:rsidR="00A930FB" w:rsidRPr="001E1D80" w:rsidRDefault="00A930FB" w:rsidP="008F5AD8">
      <w:pPr>
        <w:pStyle w:val="opplisting"/>
      </w:pPr>
      <w:r w:rsidRPr="001E1D80">
        <w:t xml:space="preserve">NAV. (1.02.2023). </w:t>
      </w:r>
      <w:r w:rsidRPr="001E1D80">
        <w:rPr>
          <w:i/>
        </w:rPr>
        <w:t>Egenmelding</w:t>
      </w:r>
      <w:r w:rsidRPr="001E1D80">
        <w:t xml:space="preserve">.Oslo: NAV. Hentet 10.01.23, fra </w:t>
      </w:r>
      <w:hyperlink r:id="rId172" w:history="1">
        <w:r w:rsidRPr="001E1D80">
          <w:rPr>
            <w:rStyle w:val="Hyperkobling"/>
          </w:rPr>
          <w:t>https://www.nav.no/egenmelding</w:t>
        </w:r>
      </w:hyperlink>
    </w:p>
    <w:p w14:paraId="0ABBA390" w14:textId="77777777" w:rsidR="00A930FB" w:rsidRPr="001E1D80" w:rsidRDefault="00A930FB" w:rsidP="008F5AD8">
      <w:pPr>
        <w:pStyle w:val="opplisting"/>
      </w:pPr>
      <w:r w:rsidRPr="001E1D80">
        <w:t xml:space="preserve">NAV. (10. februar 2023). </w:t>
      </w:r>
      <w:r w:rsidRPr="001E1D80">
        <w:rPr>
          <w:i/>
        </w:rPr>
        <w:t>Flere uføretrygdede i 2022</w:t>
      </w:r>
      <w:r w:rsidRPr="001E1D80">
        <w:t>. [nettdokument]. NAV. Hentet 21.03.23</w:t>
      </w:r>
    </w:p>
    <w:p w14:paraId="1FF80FDE" w14:textId="77777777" w:rsidR="00A930FB" w:rsidRPr="00FF4077" w:rsidRDefault="00A930FB" w:rsidP="008F5AD8">
      <w:pPr>
        <w:pStyle w:val="opplisting"/>
        <w:rPr>
          <w:lang w:val="en-US"/>
        </w:rPr>
      </w:pPr>
      <w:r w:rsidRPr="001E1D80">
        <w:t xml:space="preserve">NAV og Helsedirektoratet. (2021). </w:t>
      </w:r>
      <w:r w:rsidRPr="001E1D80">
        <w:rPr>
          <w:i/>
        </w:rPr>
        <w:t>Rapport om informasjonsutveksling mellom NAV og fastleger: en gjennomgang av attester og erklæring som fastleger utsteder for Arbeids og velferdsetaten</w:t>
      </w:r>
      <w:r w:rsidRPr="001E1D80">
        <w:t xml:space="preserve">. </w:t>
      </w:r>
      <w:r w:rsidRPr="00FF4077">
        <w:rPr>
          <w:lang w:val="en-US"/>
        </w:rPr>
        <w:t>OSLO: NAV og Helsedirektoratet.</w:t>
      </w:r>
    </w:p>
    <w:p w14:paraId="381E8C97" w14:textId="77777777" w:rsidR="00D9107F" w:rsidRDefault="00A930FB" w:rsidP="008F5AD8">
      <w:pPr>
        <w:pStyle w:val="opplisting"/>
      </w:pPr>
      <w:r w:rsidRPr="00FF4077">
        <w:rPr>
          <w:lang w:val="en-US"/>
        </w:rPr>
        <w:t xml:space="preserve">Newhouse, J. P. (1996). Reimbursing Health Plans and Health Providers: Efficiency in Production Versus Selection. </w:t>
      </w:r>
      <w:r w:rsidRPr="001E1D80">
        <w:rPr>
          <w:i/>
        </w:rPr>
        <w:t>Journal of Economic Literature, 34</w:t>
      </w:r>
      <w:r w:rsidRPr="001E1D80">
        <w:t>(3), 1236-1263.</w:t>
      </w:r>
    </w:p>
    <w:p w14:paraId="0BAFD023" w14:textId="7149D288" w:rsidR="00A930FB" w:rsidRPr="001E1D80" w:rsidRDefault="00A930FB" w:rsidP="008F5AD8">
      <w:pPr>
        <w:pStyle w:val="opplisting"/>
      </w:pPr>
      <w:r w:rsidRPr="001E1D80">
        <w:t xml:space="preserve">NHO. </w:t>
      </w:r>
      <w:r w:rsidRPr="001E1D80">
        <w:rPr>
          <w:i/>
        </w:rPr>
        <w:t>Tjenestepensjon – privat sektor</w:t>
      </w:r>
      <w:r w:rsidRPr="001E1D80">
        <w:t>. [nettdokument]. Oslo: Næringslivets Hovedorganisasjon. Hentet 26. februar 2023</w:t>
      </w:r>
    </w:p>
    <w:p w14:paraId="4A23177E" w14:textId="77777777" w:rsidR="00D9107F" w:rsidRDefault="00A930FB" w:rsidP="008F5AD8">
      <w:pPr>
        <w:pStyle w:val="opplisting"/>
      </w:pPr>
      <w:r w:rsidRPr="001E1D80">
        <w:t xml:space="preserve">NHO. </w:t>
      </w:r>
      <w:r w:rsidRPr="001E1D80">
        <w:rPr>
          <w:i/>
        </w:rPr>
        <w:t>Utvidet egenmelding : plikt til å drøfte ordningen med tillitsvalgte</w:t>
      </w:r>
      <w:r w:rsidRPr="001E1D80">
        <w:t>.Oslo: NHO.</w:t>
      </w:r>
    </w:p>
    <w:p w14:paraId="58FB6AE8" w14:textId="070446F7" w:rsidR="00A930FB" w:rsidRPr="001E1D80" w:rsidRDefault="00A930FB" w:rsidP="008F5AD8">
      <w:pPr>
        <w:pStyle w:val="opplisting"/>
      </w:pPr>
      <w:r w:rsidRPr="00FF4077">
        <w:rPr>
          <w:lang w:val="en-US"/>
        </w:rPr>
        <w:t xml:space="preserve">NHS. </w:t>
      </w:r>
      <w:r w:rsidRPr="00FF4077">
        <w:rPr>
          <w:i/>
          <w:lang w:val="en-US"/>
        </w:rPr>
        <w:t>About the NHS Long Term Plan</w:t>
      </w:r>
      <w:r w:rsidRPr="00FF4077">
        <w:rPr>
          <w:lang w:val="en-US"/>
        </w:rPr>
        <w:t xml:space="preserve">. [nettdokument]. London: National Health Service. </w:t>
      </w:r>
      <w:r w:rsidRPr="001E1D80">
        <w:t xml:space="preserve">Hentet 22. mars 2023, fra </w:t>
      </w:r>
      <w:hyperlink r:id="rId173" w:history="1">
        <w:r w:rsidRPr="001E1D80">
          <w:rPr>
            <w:rStyle w:val="Hyperkobling"/>
          </w:rPr>
          <w:t>https://www.longtermplan.nhs.uk/about/</w:t>
        </w:r>
      </w:hyperlink>
    </w:p>
    <w:p w14:paraId="53F70C40" w14:textId="5D115D96" w:rsidR="00A930FB" w:rsidRPr="001E1D80" w:rsidRDefault="00A930FB" w:rsidP="008F5AD8">
      <w:pPr>
        <w:pStyle w:val="opplisting"/>
      </w:pPr>
      <w:r w:rsidRPr="001E1D80">
        <w:t xml:space="preserve">NHS. </w:t>
      </w:r>
      <w:r w:rsidRPr="001E1D80">
        <w:rPr>
          <w:i/>
        </w:rPr>
        <w:t>Should I Ring 111 or 999?</w:t>
      </w:r>
      <w:r w:rsidRPr="001E1D80">
        <w:t xml:space="preserve">, fra </w:t>
      </w:r>
      <w:hyperlink r:id="rId174" w:history="1">
        <w:r w:rsidRPr="001E1D80">
          <w:rPr>
            <w:rStyle w:val="Hyperkobling"/>
          </w:rPr>
          <w:t>https://nhsgp.net/should-i-ring-111-or-999/</w:t>
        </w:r>
      </w:hyperlink>
    </w:p>
    <w:p w14:paraId="0C86D4E2" w14:textId="0F294BE5" w:rsidR="00A930FB" w:rsidRPr="001E1D80" w:rsidRDefault="00A930FB" w:rsidP="008F5AD8">
      <w:pPr>
        <w:pStyle w:val="opplisting"/>
      </w:pPr>
      <w:r w:rsidRPr="001E1D80">
        <w:t xml:space="preserve">NHS England. </w:t>
      </w:r>
      <w:r w:rsidRPr="001E1D80">
        <w:rPr>
          <w:i/>
        </w:rPr>
        <w:t>GP Contract</w:t>
      </w:r>
      <w:r w:rsidRPr="001E1D80">
        <w:t xml:space="preserve">. NHS 75 England. Hentet 14.03.23, fra </w:t>
      </w:r>
      <w:hyperlink r:id="rId175" w:history="1">
        <w:r w:rsidRPr="001E1D80">
          <w:rPr>
            <w:rStyle w:val="Hyperkobling"/>
          </w:rPr>
          <w:t>https://www.england.nhs.uk/gp/investment/gp-contract/</w:t>
        </w:r>
      </w:hyperlink>
    </w:p>
    <w:p w14:paraId="0DA1FFBA" w14:textId="0CEB95DF" w:rsidR="00A930FB" w:rsidRPr="00FF4077" w:rsidRDefault="00A930FB" w:rsidP="008F5AD8">
      <w:pPr>
        <w:pStyle w:val="opplisting"/>
        <w:rPr>
          <w:lang w:val="en-US"/>
        </w:rPr>
      </w:pPr>
      <w:r w:rsidRPr="00FF4077">
        <w:rPr>
          <w:lang w:val="en-US"/>
        </w:rPr>
        <w:lastRenderedPageBreak/>
        <w:t xml:space="preserve">NHS England. </w:t>
      </w:r>
      <w:r w:rsidRPr="00FF4077">
        <w:rPr>
          <w:i/>
          <w:lang w:val="en-US"/>
        </w:rPr>
        <w:t>Investment and Impact Fund</w:t>
      </w:r>
      <w:r w:rsidRPr="00FF4077">
        <w:rPr>
          <w:lang w:val="en-US"/>
        </w:rPr>
        <w:t xml:space="preserve">. 20.03.2023, fra </w:t>
      </w:r>
      <w:hyperlink r:id="rId176" w:history="1">
        <w:r w:rsidRPr="00FF4077">
          <w:rPr>
            <w:rStyle w:val="Hyperkobling"/>
            <w:lang w:val="en-US"/>
          </w:rPr>
          <w:t>https://www.england.nhs.uk/primary-care/primary-care-networks/network-contract-des/iif/</w:t>
        </w:r>
      </w:hyperlink>
    </w:p>
    <w:p w14:paraId="7C147B3A" w14:textId="55F0DFE2" w:rsidR="00A930FB" w:rsidRPr="001E1D80" w:rsidRDefault="00A930FB" w:rsidP="008F5AD8">
      <w:pPr>
        <w:pStyle w:val="opplisting"/>
      </w:pPr>
      <w:r w:rsidRPr="001E1D80">
        <w:t xml:space="preserve">NHS England. </w:t>
      </w:r>
      <w:r w:rsidRPr="001E1D80">
        <w:rPr>
          <w:i/>
        </w:rPr>
        <w:t>Letter templet</w:t>
      </w:r>
      <w:r w:rsidRPr="001E1D80">
        <w:t xml:space="preserve">. fra </w:t>
      </w:r>
      <w:hyperlink r:id="rId177" w:history="1">
        <w:r w:rsidRPr="001E1D80">
          <w:rPr>
            <w:rStyle w:val="Hyperkobling"/>
          </w:rPr>
          <w:t>https://www.google.com/search?q=Letter+template+(england.nhs.uk)&amp;rlz=1C1GCEB_enNO927NO928&amp;oq=Letter+template+(england.nhs.uk)&amp;aqs=chrome.0.69i59.756j0j7&amp;sourceid=chrome&amp;ie=UTF-8</w:t>
        </w:r>
      </w:hyperlink>
    </w:p>
    <w:p w14:paraId="78872198" w14:textId="77777777" w:rsidR="00A930FB" w:rsidRPr="001E1D80" w:rsidRDefault="00A930FB" w:rsidP="008F5AD8">
      <w:pPr>
        <w:pStyle w:val="opplisting"/>
      </w:pPr>
      <w:r w:rsidRPr="00FF4077">
        <w:rPr>
          <w:lang w:val="en-US"/>
        </w:rPr>
        <w:t xml:space="preserve">NHS England. </w:t>
      </w:r>
      <w:r w:rsidRPr="00FF4077">
        <w:rPr>
          <w:i/>
          <w:lang w:val="en-US"/>
        </w:rPr>
        <w:t>Network Contract DES</w:t>
      </w:r>
      <w:r w:rsidRPr="00FF4077">
        <w:rPr>
          <w:lang w:val="en-US"/>
        </w:rPr>
        <w:t xml:space="preserve">. </w:t>
      </w:r>
      <w:r w:rsidRPr="001E1D80">
        <w:t>[nettdokument]. England: NHS England. Hentet 16. mars 2023</w:t>
      </w:r>
    </w:p>
    <w:p w14:paraId="229483E6" w14:textId="2395F233" w:rsidR="00A930FB" w:rsidRPr="00FF4077" w:rsidRDefault="00A930FB" w:rsidP="008F5AD8">
      <w:pPr>
        <w:pStyle w:val="opplisting"/>
        <w:rPr>
          <w:lang w:val="en-US"/>
        </w:rPr>
      </w:pPr>
      <w:r w:rsidRPr="00FF4077">
        <w:rPr>
          <w:lang w:val="en-US"/>
        </w:rPr>
        <w:t xml:space="preserve">NHS England. </w:t>
      </w:r>
      <w:r w:rsidRPr="00FF4077">
        <w:rPr>
          <w:i/>
          <w:lang w:val="en-US"/>
        </w:rPr>
        <w:t>What are integrated care systems?</w:t>
      </w:r>
      <w:r w:rsidRPr="00FF4077">
        <w:rPr>
          <w:lang w:val="en-US"/>
        </w:rPr>
        <w:t xml:space="preserve">Hentet 10.04.2023, fra </w:t>
      </w:r>
      <w:hyperlink r:id="rId178" w:history="1">
        <w:r w:rsidRPr="00FF4077">
          <w:rPr>
            <w:rStyle w:val="Hyperkobling"/>
            <w:lang w:val="en-US"/>
          </w:rPr>
          <w:t>https://www.england.nhs.uk/integratedcare/what-is-integrated-care/</w:t>
        </w:r>
      </w:hyperlink>
    </w:p>
    <w:p w14:paraId="0643034B" w14:textId="7134F3FA" w:rsidR="00A930FB" w:rsidRPr="00FF4077" w:rsidRDefault="00A930FB" w:rsidP="008F5AD8">
      <w:pPr>
        <w:pStyle w:val="opplisting"/>
        <w:rPr>
          <w:lang w:val="en-US"/>
        </w:rPr>
      </w:pPr>
      <w:r w:rsidRPr="00FF4077">
        <w:rPr>
          <w:lang w:val="en-US"/>
        </w:rPr>
        <w:t xml:space="preserve">NHS England. </w:t>
      </w:r>
      <w:r w:rsidRPr="00FF4077">
        <w:rPr>
          <w:i/>
          <w:lang w:val="en-US"/>
        </w:rPr>
        <w:t>When to visit an urgent treatment centre walk in or minor injury unit</w:t>
      </w:r>
      <w:r w:rsidRPr="00FF4077">
        <w:rPr>
          <w:lang w:val="en-US"/>
        </w:rPr>
        <w:t xml:space="preserve">. fra </w:t>
      </w:r>
      <w:hyperlink r:id="rId179" w:history="1">
        <w:r w:rsidRPr="00FF4077">
          <w:rPr>
            <w:rStyle w:val="Hyperkobling"/>
            <w:lang w:val="en-US"/>
          </w:rPr>
          <w:t>https://www.nhs.uk/nhs-services/urgent-and-emergency-care-services/when-to-visit-an-urgent-treatment-centre-walk-in-or-minor-injury-unit/</w:t>
        </w:r>
      </w:hyperlink>
    </w:p>
    <w:p w14:paraId="05697217" w14:textId="5B060143" w:rsidR="00A930FB" w:rsidRPr="001E1D80" w:rsidRDefault="00A930FB" w:rsidP="008F5AD8">
      <w:pPr>
        <w:pStyle w:val="opplisting"/>
      </w:pPr>
      <w:r w:rsidRPr="00FF4077">
        <w:rPr>
          <w:lang w:val="en-US"/>
        </w:rPr>
        <w:t xml:space="preserve">NHS England. (17. juni 2021). </w:t>
      </w:r>
      <w:r w:rsidRPr="00FF4077">
        <w:rPr>
          <w:i/>
          <w:lang w:val="en-US"/>
        </w:rPr>
        <w:t>Primary care networks (PCNs)</w:t>
      </w:r>
      <w:r w:rsidRPr="00FF4077">
        <w:rPr>
          <w:lang w:val="en-US"/>
        </w:rPr>
        <w:t xml:space="preserve">. </w:t>
      </w:r>
      <w:r w:rsidRPr="001E1D80">
        <w:t xml:space="preserve">[nettdokument]. London: NHS England. Hentet 16. mars 2023, fra </w:t>
      </w:r>
      <w:hyperlink r:id="rId180" w:history="1">
        <w:r w:rsidRPr="001E1D80">
          <w:rPr>
            <w:rStyle w:val="Hyperkobling"/>
          </w:rPr>
          <w:t>https://www.bma.org.uk/advice-and-support/gp-practices/primary-care-networks/primary-care-networks-pcns</w:t>
        </w:r>
      </w:hyperlink>
    </w:p>
    <w:p w14:paraId="65F016D6" w14:textId="77777777" w:rsidR="00A930FB" w:rsidRPr="00FF4077" w:rsidRDefault="00A930FB" w:rsidP="008F5AD8">
      <w:pPr>
        <w:pStyle w:val="opplisting"/>
        <w:rPr>
          <w:lang w:val="en-US"/>
        </w:rPr>
      </w:pPr>
      <w:r w:rsidRPr="00FF4077">
        <w:rPr>
          <w:lang w:val="en-US"/>
        </w:rPr>
        <w:t xml:space="preserve">NHS England. (2022a). </w:t>
      </w:r>
      <w:r w:rsidRPr="00FF4077">
        <w:rPr>
          <w:i/>
          <w:lang w:val="en-US"/>
        </w:rPr>
        <w:t>The Alternative Provider Medical Services Directions 2022</w:t>
      </w:r>
      <w:r w:rsidRPr="00FF4077">
        <w:rPr>
          <w:lang w:val="en-US"/>
        </w:rPr>
        <w:t>. London: National Health Service, England.</w:t>
      </w:r>
    </w:p>
    <w:p w14:paraId="1E2D3E4F" w14:textId="592FC974" w:rsidR="00A930FB" w:rsidRPr="00FF4077" w:rsidRDefault="00A930FB" w:rsidP="008F5AD8">
      <w:pPr>
        <w:pStyle w:val="opplisting"/>
        <w:rPr>
          <w:lang w:val="en-US"/>
        </w:rPr>
      </w:pPr>
      <w:r w:rsidRPr="00FF4077">
        <w:rPr>
          <w:lang w:val="en-US"/>
        </w:rPr>
        <w:t xml:space="preserve">NHS England. (2022b). </w:t>
      </w:r>
      <w:r w:rsidRPr="00FF4077">
        <w:rPr>
          <w:i/>
          <w:lang w:val="en-US"/>
        </w:rPr>
        <w:t>Update on Quality Outcomes Framework changes for 2022/23</w:t>
      </w:r>
      <w:r w:rsidRPr="00FF4077">
        <w:rPr>
          <w:lang w:val="en-US"/>
        </w:rPr>
        <w:t xml:space="preserve">. Hentet fra </w:t>
      </w:r>
      <w:hyperlink r:id="rId181" w:history="1">
        <w:r w:rsidRPr="00FF4077">
          <w:rPr>
            <w:rStyle w:val="Hyperkobling"/>
            <w:lang w:val="en-US"/>
          </w:rPr>
          <w:t>https://www.england.nhs.uk/publication/update-on-quality-outcomes-framework-changes-for-2022-23/</w:t>
        </w:r>
      </w:hyperlink>
    </w:p>
    <w:p w14:paraId="713E4618" w14:textId="78E13C87" w:rsidR="00A930FB" w:rsidRPr="001E1D80" w:rsidRDefault="00A930FB" w:rsidP="008F5AD8">
      <w:pPr>
        <w:pStyle w:val="opplisting"/>
      </w:pPr>
      <w:r w:rsidRPr="00FF4077">
        <w:rPr>
          <w:lang w:val="en-US"/>
        </w:rPr>
        <w:t xml:space="preserve">NHS England. </w:t>
      </w:r>
      <w:r w:rsidRPr="00FF4077">
        <w:rPr>
          <w:i/>
          <w:lang w:val="en-US"/>
        </w:rPr>
        <w:t>Expanding our workforce</w:t>
      </w:r>
      <w:r w:rsidRPr="00FF4077">
        <w:rPr>
          <w:lang w:val="en-US"/>
        </w:rPr>
        <w:t xml:space="preserve">. [nettdokument]. London: National Health Service (NHS). </w:t>
      </w:r>
      <w:r w:rsidRPr="001E1D80">
        <w:t xml:space="preserve">Hentet 22. mars 2023, fra </w:t>
      </w:r>
      <w:hyperlink r:id="rId182" w:history="1">
        <w:r w:rsidRPr="001E1D80">
          <w:rPr>
            <w:rStyle w:val="Hyperkobling"/>
          </w:rPr>
          <w:t>https://www.england.nhs.uk/gp/expanding-our-workforce/</w:t>
        </w:r>
      </w:hyperlink>
    </w:p>
    <w:p w14:paraId="0490FB1A" w14:textId="3B92CF79" w:rsidR="00A930FB" w:rsidRPr="001E1D80" w:rsidRDefault="00A930FB" w:rsidP="008F5AD8">
      <w:pPr>
        <w:pStyle w:val="opplisting"/>
      </w:pPr>
      <w:r w:rsidRPr="001E1D80">
        <w:t xml:space="preserve">NHS Scotland. </w:t>
      </w:r>
      <w:r w:rsidRPr="001E1D80">
        <w:rPr>
          <w:i/>
        </w:rPr>
        <w:t>Near me</w:t>
      </w:r>
      <w:r w:rsidRPr="001E1D80">
        <w:t xml:space="preserve">. fra </w:t>
      </w:r>
      <w:hyperlink r:id="rId183" w:history="1">
        <w:r w:rsidRPr="001E1D80">
          <w:rPr>
            <w:rStyle w:val="Hyperkobling"/>
          </w:rPr>
          <w:t>https://www.nearme.scot/</w:t>
        </w:r>
      </w:hyperlink>
    </w:p>
    <w:p w14:paraId="32C5EFAE" w14:textId="77777777" w:rsidR="00A930FB" w:rsidRPr="00FF4077" w:rsidRDefault="00A930FB" w:rsidP="008F5AD8">
      <w:pPr>
        <w:pStyle w:val="opplisting"/>
        <w:rPr>
          <w:lang w:val="en-US"/>
        </w:rPr>
      </w:pPr>
      <w:r w:rsidRPr="001E1D80">
        <w:t xml:space="preserve">NHS Scotland. </w:t>
      </w:r>
      <w:r w:rsidRPr="00FF4077">
        <w:rPr>
          <w:lang w:val="en-US"/>
        </w:rPr>
        <w:t xml:space="preserve">(4. october 2022). </w:t>
      </w:r>
      <w:r w:rsidRPr="00FF4077">
        <w:rPr>
          <w:i/>
          <w:lang w:val="en-US"/>
        </w:rPr>
        <w:t>NHS Recovery Plan: annual progress update</w:t>
      </w:r>
      <w:r w:rsidRPr="00FF4077">
        <w:rPr>
          <w:lang w:val="en-US"/>
        </w:rPr>
        <w:t>. Scottish Government. Hentet 16. mars 2023</w:t>
      </w:r>
    </w:p>
    <w:p w14:paraId="5D712B98" w14:textId="2C017C77" w:rsidR="00A930FB" w:rsidRPr="00FF4077" w:rsidRDefault="00A930FB" w:rsidP="008F5AD8">
      <w:pPr>
        <w:pStyle w:val="opplisting"/>
        <w:rPr>
          <w:lang w:val="en-US"/>
        </w:rPr>
      </w:pPr>
      <w:r w:rsidRPr="00FF4077">
        <w:rPr>
          <w:lang w:val="en-US"/>
        </w:rPr>
        <w:t xml:space="preserve">NHS Scotland. (2022b). </w:t>
      </w:r>
      <w:r w:rsidRPr="00FF4077">
        <w:rPr>
          <w:i/>
          <w:lang w:val="en-US"/>
        </w:rPr>
        <w:t>Realistic Medicine: A Fair and Sustainable Future</w:t>
      </w:r>
      <w:r w:rsidR="00D9107F" w:rsidRPr="00FF4077">
        <w:rPr>
          <w:i/>
          <w:lang w:val="en-US"/>
        </w:rPr>
        <w:t xml:space="preserve"> – </w:t>
      </w:r>
      <w:r w:rsidRPr="00FF4077">
        <w:rPr>
          <w:i/>
          <w:lang w:val="en-US"/>
        </w:rPr>
        <w:t>Chief Medical Officer for Scotland Annual Report 2021-2022</w:t>
      </w:r>
      <w:r w:rsidRPr="00FF4077">
        <w:rPr>
          <w:lang w:val="en-US"/>
        </w:rPr>
        <w:t>. Edinburgh: The Scottish Government. NHS Scotland.</w:t>
      </w:r>
    </w:p>
    <w:p w14:paraId="4185E55A" w14:textId="04BD8144" w:rsidR="00A930FB" w:rsidRPr="00FF4077" w:rsidRDefault="00A930FB" w:rsidP="008F5AD8">
      <w:pPr>
        <w:pStyle w:val="opplisting"/>
        <w:rPr>
          <w:lang w:val="en-US"/>
        </w:rPr>
      </w:pPr>
      <w:r w:rsidRPr="00FF4077">
        <w:rPr>
          <w:lang w:val="en-US"/>
        </w:rPr>
        <w:t xml:space="preserve">NidarosFondet. </w:t>
      </w:r>
      <w:r w:rsidRPr="00FF4077">
        <w:rPr>
          <w:i/>
          <w:lang w:val="en-US"/>
        </w:rPr>
        <w:t>Grunnkurs B</w:t>
      </w:r>
      <w:r w:rsidRPr="00FF4077">
        <w:rPr>
          <w:lang w:val="en-US"/>
        </w:rPr>
        <w:t xml:space="preserve">. fra </w:t>
      </w:r>
      <w:hyperlink r:id="rId184" w:history="1">
        <w:r w:rsidRPr="00FF4077">
          <w:rPr>
            <w:rStyle w:val="Hyperkobling"/>
            <w:lang w:val="en-US"/>
          </w:rPr>
          <w:t>https://www.nidarosfondet.no/kurs/grunnkurs-b-sep22/</w:t>
        </w:r>
      </w:hyperlink>
    </w:p>
    <w:p w14:paraId="621D3285" w14:textId="77777777" w:rsidR="00A930FB" w:rsidRPr="001E1D80" w:rsidRDefault="00A930FB" w:rsidP="008F5AD8">
      <w:pPr>
        <w:pStyle w:val="opplisting"/>
      </w:pPr>
      <w:r w:rsidRPr="00FF4077">
        <w:rPr>
          <w:lang w:val="en-US"/>
        </w:rPr>
        <w:t xml:space="preserve">Nordic Welfare Centre. (2019). </w:t>
      </w:r>
      <w:r w:rsidRPr="00FF4077">
        <w:rPr>
          <w:i/>
          <w:lang w:val="en-US"/>
        </w:rPr>
        <w:t>Healthcare and care through distance-spanning solutions – 24 practical examples from the Nordic region</w:t>
      </w:r>
      <w:r w:rsidRPr="00FF4077">
        <w:rPr>
          <w:lang w:val="en-US"/>
        </w:rPr>
        <w:t xml:space="preserve">. </w:t>
      </w:r>
      <w:r w:rsidRPr="001E1D80">
        <w:t>Nordic Welfare Centre.</w:t>
      </w:r>
    </w:p>
    <w:p w14:paraId="3CE2C7C4" w14:textId="3CFC07FA" w:rsidR="00A930FB" w:rsidRPr="001E1D80" w:rsidRDefault="00A930FB" w:rsidP="008F5AD8">
      <w:pPr>
        <w:pStyle w:val="opplisting"/>
      </w:pPr>
      <w:r w:rsidRPr="001E1D80">
        <w:t xml:space="preserve">Norges forskningsråd. (2006). </w:t>
      </w:r>
      <w:r w:rsidRPr="001E1D80">
        <w:rPr>
          <w:i/>
        </w:rPr>
        <w:t>Evaluering av fastlegereformen 2001-2005 : Sammenfatning og analyse av evalueringens delprosjekter</w:t>
      </w:r>
      <w:r w:rsidRPr="001E1D80">
        <w:t xml:space="preserve">. Oslo: N. forskningsråd. Hentet fra </w:t>
      </w:r>
      <w:hyperlink r:id="rId185" w:history="1">
        <w:r w:rsidRPr="001E1D80">
          <w:rPr>
            <w:rStyle w:val="Hyperkobling"/>
          </w:rPr>
          <w:t>https://www.forskningsradet.no/siteassets/publikasjoner/1144144503427.pdf</w:t>
        </w:r>
      </w:hyperlink>
    </w:p>
    <w:p w14:paraId="2A673344" w14:textId="77777777" w:rsidR="00A930FB" w:rsidRPr="001E1D80" w:rsidRDefault="00A930FB" w:rsidP="008F5AD8">
      <w:pPr>
        <w:pStyle w:val="opplisting"/>
      </w:pPr>
      <w:r w:rsidRPr="001E1D80">
        <w:t xml:space="preserve">Norman, R. M., Danielsen, K., Bjertnæs, Ø. A., &amp; Holmboe, O. (2022). </w:t>
      </w:r>
      <w:r w:rsidRPr="001E1D80">
        <w:rPr>
          <w:i/>
        </w:rPr>
        <w:t>Pasienterfaringer med fastlegen og fastlegekontoret i 2021/2022</w:t>
      </w:r>
      <w:r w:rsidRPr="001E1D80">
        <w:t>. Folkehelseinstituttet.</w:t>
      </w:r>
    </w:p>
    <w:p w14:paraId="2E193C97" w14:textId="77777777" w:rsidR="00A930FB" w:rsidRPr="001E1D80" w:rsidRDefault="00A930FB" w:rsidP="008F5AD8">
      <w:pPr>
        <w:pStyle w:val="opplisting"/>
      </w:pPr>
      <w:r w:rsidRPr="001E1D80">
        <w:t xml:space="preserve">Normen. (2021). </w:t>
      </w:r>
      <w:r w:rsidRPr="001E1D80">
        <w:rPr>
          <w:i/>
        </w:rPr>
        <w:t xml:space="preserve">Veileder i bruk av skytjenester til behandling av helse- og personopplysninger </w:t>
      </w:r>
      <w:r w:rsidRPr="001E1D80">
        <w:t>(2). D. f. e-helse. Normen.</w:t>
      </w:r>
    </w:p>
    <w:p w14:paraId="4F99AAFC" w14:textId="01F48B87" w:rsidR="00A930FB" w:rsidRPr="001E1D80" w:rsidRDefault="00A930FB" w:rsidP="008F5AD8">
      <w:pPr>
        <w:pStyle w:val="opplisting"/>
      </w:pPr>
      <w:r w:rsidRPr="001E1D80">
        <w:lastRenderedPageBreak/>
        <w:t xml:space="preserve">Norsk helsenett. </w:t>
      </w:r>
      <w:r w:rsidRPr="001E1D80">
        <w:rPr>
          <w:i/>
        </w:rPr>
        <w:t xml:space="preserve">Hva er digital dialog for fastleger? </w:t>
      </w:r>
      <w:r w:rsidRPr="001E1D80">
        <w:t xml:space="preserve">.Hentet 26.03.2023, fra </w:t>
      </w:r>
      <w:hyperlink r:id="rId186" w:history="1">
        <w:r w:rsidRPr="001E1D80">
          <w:rPr>
            <w:rStyle w:val="Hyperkobling"/>
          </w:rPr>
          <w:t>https://www.nhn.no/tjenester/helsenorge/digital-dialog-med-fastlegen/hva-er-digital-dialog-for-fastleger</w:t>
        </w:r>
      </w:hyperlink>
    </w:p>
    <w:p w14:paraId="486E4191" w14:textId="32E3C31E" w:rsidR="00A930FB" w:rsidRPr="001E1D80" w:rsidRDefault="00A930FB" w:rsidP="008F5AD8">
      <w:pPr>
        <w:pStyle w:val="opplisting"/>
      </w:pPr>
      <w:r w:rsidRPr="001E1D80">
        <w:t xml:space="preserve">Norsk sykepleierforbund. </w:t>
      </w:r>
      <w:r w:rsidRPr="001E1D80">
        <w:rPr>
          <w:i/>
        </w:rPr>
        <w:t>Pensjon</w:t>
      </w:r>
      <w:r w:rsidRPr="001E1D80">
        <w:t xml:space="preserve">. [nettdokument]. Oslo: Norsk sykepleierforbund,. Hentet 4. februar 2023, fra </w:t>
      </w:r>
      <w:hyperlink r:id="rId187" w:history="1">
        <w:r w:rsidRPr="001E1D80">
          <w:rPr>
            <w:rStyle w:val="Hyperkobling"/>
          </w:rPr>
          <w:t>https://www.nsf.no/arbeidsvilkar/pensjon</w:t>
        </w:r>
      </w:hyperlink>
    </w:p>
    <w:p w14:paraId="08B1D13C" w14:textId="2230035D" w:rsidR="00A930FB" w:rsidRPr="00FF4077" w:rsidRDefault="00A930FB" w:rsidP="008F5AD8">
      <w:pPr>
        <w:pStyle w:val="opplisting"/>
        <w:rPr>
          <w:lang w:val="en-US"/>
        </w:rPr>
      </w:pPr>
      <w:r w:rsidRPr="00FF4077">
        <w:rPr>
          <w:lang w:val="en-US"/>
        </w:rPr>
        <w:t xml:space="preserve">Nuffield Trust. (15. desember 2022). </w:t>
      </w:r>
      <w:r w:rsidRPr="00FF4077">
        <w:rPr>
          <w:i/>
          <w:lang w:val="en-US"/>
        </w:rPr>
        <w:t>Access to GP appointments and services</w:t>
      </w:r>
      <w:r w:rsidRPr="00FF4077">
        <w:rPr>
          <w:lang w:val="en-US"/>
        </w:rPr>
        <w:t xml:space="preserve">. [nettdokument]. London: Nuffield Trust. Hentet 20.03.23, fra </w:t>
      </w:r>
      <w:hyperlink r:id="rId188" w:history="1">
        <w:r w:rsidRPr="00FF4077">
          <w:rPr>
            <w:rStyle w:val="Hyperkobling"/>
            <w:lang w:val="en-US"/>
          </w:rPr>
          <w:t>https://www.nuffieldtrust.org.uk/resource/access-to-gp-services</w:t>
        </w:r>
      </w:hyperlink>
    </w:p>
    <w:p w14:paraId="751A327E" w14:textId="77777777" w:rsidR="00D9107F" w:rsidRPr="00FF4077" w:rsidRDefault="00A930FB" w:rsidP="008F5AD8">
      <w:pPr>
        <w:pStyle w:val="opplisting"/>
        <w:rPr>
          <w:lang w:val="en-US"/>
        </w:rPr>
      </w:pPr>
      <w:r w:rsidRPr="00FF4077">
        <w:rPr>
          <w:lang w:val="en-US"/>
        </w:rPr>
        <w:t xml:space="preserve">Nussbaum, C., Massou, E., Fisher, R., Morciano, M., Harmer, R., &amp; Ford, J. (2021). Inequalities in the distribution of the general practice workforce in England: a practice-level longitudinal analysis. </w:t>
      </w:r>
      <w:r w:rsidRPr="00FF4077">
        <w:rPr>
          <w:i/>
          <w:lang w:val="en-US"/>
        </w:rPr>
        <w:t>BJGP Open, 5</w:t>
      </w:r>
      <w:r w:rsidRPr="00FF4077">
        <w:rPr>
          <w:lang w:val="en-US"/>
        </w:rPr>
        <w:t>(5), BJGPO.2021.0066.</w:t>
      </w:r>
    </w:p>
    <w:p w14:paraId="47240D84" w14:textId="77777777" w:rsidR="00D9107F" w:rsidRPr="00FF4077" w:rsidRDefault="00A930FB" w:rsidP="008F5AD8">
      <w:pPr>
        <w:pStyle w:val="opplisting"/>
        <w:rPr>
          <w:lang w:val="en-US"/>
        </w:rPr>
      </w:pPr>
      <w:r w:rsidRPr="00FF4077">
        <w:rPr>
          <w:lang w:val="en-US"/>
        </w:rPr>
        <w:t xml:space="preserve">Nymoen, M., Biringer, E., Hetlevik, O., Thorsen, O., Assmus, J., &amp; Hartveit, M. (2022). The impact of referral letter quality on timely access to specialised mental health care: a quantitative study of the reliability of patient triage. </w:t>
      </w:r>
      <w:r w:rsidRPr="00FF4077">
        <w:rPr>
          <w:i/>
          <w:lang w:val="en-US"/>
        </w:rPr>
        <w:t>BMC Health Services Research, 22</w:t>
      </w:r>
      <w:r w:rsidRPr="00FF4077">
        <w:rPr>
          <w:lang w:val="en-US"/>
        </w:rPr>
        <w:t>(1), 735.</w:t>
      </w:r>
    </w:p>
    <w:p w14:paraId="1B0C13C5" w14:textId="09100888" w:rsidR="00A930FB" w:rsidRPr="00FF4077" w:rsidRDefault="00A930FB" w:rsidP="008F5AD8">
      <w:pPr>
        <w:pStyle w:val="opplisting"/>
        <w:rPr>
          <w:lang w:val="en-US"/>
        </w:rPr>
      </w:pPr>
      <w:r w:rsidRPr="00FF4077">
        <w:rPr>
          <w:lang w:val="en-US"/>
        </w:rPr>
        <w:t xml:space="preserve">OECD. (2017). </w:t>
      </w:r>
      <w:r w:rsidRPr="00FF4077">
        <w:rPr>
          <w:i/>
          <w:lang w:val="en-US"/>
        </w:rPr>
        <w:t>Tackling Wasteful Spending on Health</w:t>
      </w:r>
      <w:r w:rsidRPr="00FF4077">
        <w:rPr>
          <w:lang w:val="en-US"/>
        </w:rPr>
        <w:t>. Paris: OECD Publishing.</w:t>
      </w:r>
    </w:p>
    <w:p w14:paraId="2706ABB3" w14:textId="22F556BF" w:rsidR="00A930FB" w:rsidRPr="00FF4077" w:rsidRDefault="00A930FB" w:rsidP="008F5AD8">
      <w:pPr>
        <w:pStyle w:val="opplisting"/>
        <w:rPr>
          <w:lang w:val="en-US"/>
        </w:rPr>
      </w:pPr>
      <w:r w:rsidRPr="00FF4077">
        <w:rPr>
          <w:lang w:val="en-US"/>
        </w:rPr>
        <w:t xml:space="preserve">OECD. (2019). </w:t>
      </w:r>
      <w:r w:rsidRPr="00FF4077">
        <w:rPr>
          <w:i/>
          <w:lang w:val="en-US"/>
        </w:rPr>
        <w:t>Task shifting and health system design : report of the Expert Panel on effective ways of investing in Health (EXPH)</w:t>
      </w:r>
      <w:r w:rsidRPr="00FF4077">
        <w:rPr>
          <w:lang w:val="en-US"/>
        </w:rPr>
        <w:t xml:space="preserve">. Luxemburg: Publications Office of the European Union. Hentet fra </w:t>
      </w:r>
      <w:hyperlink r:id="rId189" w:history="1">
        <w:r w:rsidRPr="00FF4077">
          <w:rPr>
            <w:rStyle w:val="Hyperkobling"/>
            <w:lang w:val="en-US"/>
          </w:rPr>
          <w:t>https://health.ec.europa.eu/system/files/2019-11/023_taskshifting_en_0.pdf</w:t>
        </w:r>
      </w:hyperlink>
    </w:p>
    <w:p w14:paraId="7CCC8CAB" w14:textId="6EFEE072" w:rsidR="00A930FB" w:rsidRPr="00FF4077" w:rsidRDefault="00A930FB" w:rsidP="008F5AD8">
      <w:pPr>
        <w:pStyle w:val="opplisting"/>
        <w:rPr>
          <w:lang w:val="en-US"/>
        </w:rPr>
      </w:pPr>
      <w:r w:rsidRPr="00FF4077">
        <w:rPr>
          <w:lang w:val="en-US"/>
        </w:rPr>
        <w:t xml:space="preserve">OECD. (2020a). </w:t>
      </w:r>
      <w:r w:rsidRPr="00FF4077">
        <w:rPr>
          <w:i/>
          <w:lang w:val="en-US"/>
        </w:rPr>
        <w:t>Key findings</w:t>
      </w:r>
      <w:r w:rsidRPr="00FF4077">
        <w:rPr>
          <w:lang w:val="en-US"/>
        </w:rPr>
        <w:t xml:space="preserve">: OECD. Hentet fra </w:t>
      </w:r>
      <w:hyperlink r:id="rId190" w:history="1">
        <w:r w:rsidRPr="00FF4077">
          <w:rPr>
            <w:rStyle w:val="Hyperkobling"/>
            <w:lang w:val="en-US"/>
          </w:rPr>
          <w:t>https://www.oecd-ilibrary.org/content/component/b4d1eecf-en</w:t>
        </w:r>
      </w:hyperlink>
    </w:p>
    <w:p w14:paraId="48E0DEE1" w14:textId="134EB2F1" w:rsidR="00A930FB" w:rsidRPr="00FF4077" w:rsidRDefault="00A930FB" w:rsidP="008F5AD8">
      <w:pPr>
        <w:pStyle w:val="opplisting"/>
        <w:rPr>
          <w:lang w:val="en-US"/>
        </w:rPr>
      </w:pPr>
      <w:r w:rsidRPr="00FF4077">
        <w:rPr>
          <w:lang w:val="en-US"/>
        </w:rPr>
        <w:t xml:space="preserve">OECD. (2020b). </w:t>
      </w:r>
      <w:r w:rsidRPr="00FF4077">
        <w:rPr>
          <w:i/>
          <w:lang w:val="en-US"/>
        </w:rPr>
        <w:t>Realising the Potential of Primary Health Care</w:t>
      </w:r>
      <w:r w:rsidRPr="00FF4077">
        <w:rPr>
          <w:lang w:val="en-US"/>
        </w:rPr>
        <w:t xml:space="preserve">. Hentet fra </w:t>
      </w:r>
      <w:hyperlink r:id="rId191" w:history="1">
        <w:r w:rsidRPr="00FF4077">
          <w:rPr>
            <w:rStyle w:val="Hyperkobling"/>
            <w:lang w:val="en-US"/>
          </w:rPr>
          <w:t>https://www.oecd-ilibrary.org/content/publication/a92adee4-en</w:t>
        </w:r>
      </w:hyperlink>
    </w:p>
    <w:p w14:paraId="45695F05" w14:textId="77777777" w:rsidR="00A930FB" w:rsidRPr="00FF4077" w:rsidRDefault="00A930FB" w:rsidP="008F5AD8">
      <w:pPr>
        <w:pStyle w:val="opplisting"/>
        <w:rPr>
          <w:lang w:val="en-US"/>
        </w:rPr>
      </w:pPr>
      <w:r w:rsidRPr="00FF4077">
        <w:rPr>
          <w:lang w:val="en-US"/>
        </w:rPr>
        <w:t xml:space="preserve">OECD. (2021). </w:t>
      </w:r>
      <w:r w:rsidRPr="00FF4077">
        <w:rPr>
          <w:i/>
          <w:lang w:val="en-US"/>
        </w:rPr>
        <w:t>Health at a Glance 2021 : OECD indicators</w:t>
      </w:r>
      <w:r w:rsidRPr="00FF4077">
        <w:rPr>
          <w:lang w:val="en-US"/>
        </w:rPr>
        <w:t>. Paris: OECD Publishing.</w:t>
      </w:r>
    </w:p>
    <w:p w14:paraId="436068AF" w14:textId="0E7B7E7B" w:rsidR="00A930FB" w:rsidRPr="001E1D80" w:rsidRDefault="00A930FB" w:rsidP="008F5AD8">
      <w:pPr>
        <w:pStyle w:val="opplisting"/>
      </w:pPr>
      <w:r w:rsidRPr="00FF4077">
        <w:rPr>
          <w:lang w:val="en-US"/>
        </w:rPr>
        <w:t xml:space="preserve">OECD European Union. (2020). </w:t>
      </w:r>
      <w:r w:rsidRPr="00FF4077">
        <w:rPr>
          <w:i/>
          <w:lang w:val="en-US"/>
        </w:rPr>
        <w:t>Health at a Glance: Europe 2020: State of Health in the EU Cycle</w:t>
      </w:r>
      <w:r w:rsidRPr="00FF4077">
        <w:rPr>
          <w:lang w:val="en-US"/>
        </w:rPr>
        <w:t xml:space="preserve">: OECD European Union. </w:t>
      </w:r>
      <w:r w:rsidRPr="001E1D80">
        <w:t xml:space="preserve">Hentet fra </w:t>
      </w:r>
      <w:hyperlink r:id="rId192" w:history="1">
        <w:r w:rsidRPr="001E1D80">
          <w:rPr>
            <w:rStyle w:val="Hyperkobling"/>
          </w:rPr>
          <w:t>https://www.oecd-ilibrary.org/content/publication/82129230-en</w:t>
        </w:r>
      </w:hyperlink>
    </w:p>
    <w:p w14:paraId="70CAC276" w14:textId="2D1930E2" w:rsidR="00A930FB" w:rsidRPr="001E1D80" w:rsidRDefault="00A930FB" w:rsidP="008F5AD8">
      <w:pPr>
        <w:pStyle w:val="opplisting"/>
      </w:pPr>
      <w:r w:rsidRPr="001E1D80">
        <w:t xml:space="preserve">og, I., &amp; Samfunnsøkonomisk analyse. (2020). </w:t>
      </w:r>
      <w:r w:rsidRPr="001E1D80">
        <w:rPr>
          <w:i/>
        </w:rPr>
        <w:t>Variasjoner i finansiering av fastlegeordningen</w:t>
      </w:r>
      <w:r w:rsidR="00D9107F">
        <w:rPr>
          <w:i/>
        </w:rPr>
        <w:t xml:space="preserve"> – </w:t>
      </w:r>
      <w:r w:rsidRPr="001E1D80">
        <w:rPr>
          <w:i/>
        </w:rPr>
        <w:t>andre oppfølgingsundersøkelse</w:t>
      </w:r>
      <w:r w:rsidRPr="001E1D80">
        <w:t>. Oslo: Ipsos.</w:t>
      </w:r>
    </w:p>
    <w:p w14:paraId="7E8D8C75" w14:textId="77777777" w:rsidR="00A930FB" w:rsidRPr="001E1D80" w:rsidRDefault="00A930FB" w:rsidP="008F5AD8">
      <w:pPr>
        <w:pStyle w:val="opplisting"/>
      </w:pPr>
      <w:r w:rsidRPr="001E1D80">
        <w:t xml:space="preserve">og, I., &amp; Samfunnsøkonomisk analyse. (2022). </w:t>
      </w:r>
      <w:r w:rsidRPr="001E1D80">
        <w:rPr>
          <w:i/>
        </w:rPr>
        <w:t>Variasjoner i finansiering av fastlegeordningen : fjerde oppfølgingsundersøkelse</w:t>
      </w:r>
      <w:r w:rsidRPr="001E1D80">
        <w:t>. Oslo: Ipsos.</w:t>
      </w:r>
    </w:p>
    <w:p w14:paraId="5EAC4FF8" w14:textId="51DEBB7B" w:rsidR="00A930FB" w:rsidRPr="001E1D80" w:rsidRDefault="00A930FB" w:rsidP="008F5AD8">
      <w:pPr>
        <w:pStyle w:val="opplisting"/>
      </w:pPr>
      <w:r w:rsidRPr="001E1D80">
        <w:t xml:space="preserve">Olje- og energideparmentet. (2004). </w:t>
      </w:r>
      <w:r w:rsidRPr="001E1D80">
        <w:rPr>
          <w:i/>
        </w:rPr>
        <w:t>Hjemfall</w:t>
      </w:r>
      <w:r w:rsidRPr="001E1D80">
        <w:t xml:space="preserve"> (</w:t>
      </w:r>
      <w:r w:rsidR="00D9107F">
        <w:t>NOU</w:t>
      </w:r>
      <w:r w:rsidR="00D9107F" w:rsidRPr="001E1D80">
        <w:t xml:space="preserve"> 2004:</w:t>
      </w:r>
      <w:r w:rsidR="00D9107F">
        <w:t xml:space="preserve"> </w:t>
      </w:r>
      <w:r w:rsidR="00D9107F" w:rsidRPr="001E1D80">
        <w:t>26</w:t>
      </w:r>
      <w:r w:rsidRPr="001E1D80">
        <w:t>). Offentlig utredningsutvalg oppnevnt av Kongen i statsråd 4. april 2003.</w:t>
      </w:r>
    </w:p>
    <w:p w14:paraId="67DD644D" w14:textId="715470B1" w:rsidR="00A930FB" w:rsidRPr="00FF4077" w:rsidRDefault="00A930FB" w:rsidP="008F5AD8">
      <w:pPr>
        <w:pStyle w:val="opplisting"/>
        <w:rPr>
          <w:lang w:val="en-US"/>
        </w:rPr>
      </w:pPr>
      <w:r w:rsidRPr="001E1D80">
        <w:t xml:space="preserve">Olsen, K., Anell, A., Hakkinen, U., Iversen, T., Ólafsdóttir, T., &amp; Sutton, M. (2016). </w:t>
      </w:r>
      <w:r w:rsidRPr="00FF4077">
        <w:rPr>
          <w:lang w:val="en-US"/>
        </w:rPr>
        <w:t xml:space="preserve">General practice in the Nordic countries. </w:t>
      </w:r>
      <w:r w:rsidRPr="00FF4077">
        <w:rPr>
          <w:i/>
          <w:lang w:val="en-US"/>
        </w:rPr>
        <w:t>Nordic Journal of Health Economics, 4</w:t>
      </w:r>
      <w:r w:rsidRPr="00FF4077">
        <w:rPr>
          <w:lang w:val="en-US"/>
        </w:rPr>
        <w:t xml:space="preserve">, 56. </w:t>
      </w:r>
      <w:hyperlink r:id="rId193" w:history="1">
        <w:r w:rsidRPr="00FF4077">
          <w:rPr>
            <w:rStyle w:val="Hyperkobling"/>
            <w:lang w:val="en-US"/>
          </w:rPr>
          <w:t>https://doi.org/10.5617/njhe.2801</w:t>
        </w:r>
      </w:hyperlink>
    </w:p>
    <w:p w14:paraId="7A76C80B" w14:textId="77777777" w:rsidR="00D9107F" w:rsidRDefault="00A930FB" w:rsidP="008F5AD8">
      <w:pPr>
        <w:pStyle w:val="opplisting"/>
      </w:pPr>
      <w:r w:rsidRPr="001E1D80">
        <w:t xml:space="preserve">Olsen, K. R. (2022). </w:t>
      </w:r>
      <w:r w:rsidRPr="001E1D80">
        <w:rPr>
          <w:i/>
        </w:rPr>
        <w:t>Organisering og finansiering af almen praksis i Danmark.</w:t>
      </w:r>
      <w:r w:rsidRPr="001E1D80">
        <w:t xml:space="preserve"> Presentasjon på Helseøkonomikonferansen, Sundvolden Hotell 22. november 2022.</w:t>
      </w:r>
    </w:p>
    <w:p w14:paraId="12203140" w14:textId="41F22167" w:rsidR="00A930FB" w:rsidRPr="001E1D80" w:rsidRDefault="00A930FB" w:rsidP="008F5AD8">
      <w:pPr>
        <w:pStyle w:val="opplisting"/>
      </w:pPr>
      <w:r w:rsidRPr="001E1D80">
        <w:rPr>
          <w:i/>
        </w:rPr>
        <w:lastRenderedPageBreak/>
        <w:t>Om lov om endringer i lov 19. november 1982 nr. 66 om helsetjenesten i kommunene og i visse andre lover (fastlegeordningen)</w:t>
      </w:r>
      <w:r w:rsidRPr="001E1D80">
        <w:t>. (</w:t>
      </w:r>
      <w:r w:rsidR="00D9107F" w:rsidRPr="001E1D80">
        <w:t>Ot</w:t>
      </w:r>
      <w:r w:rsidR="00D9107F">
        <w:t xml:space="preserve">.prp. nr. </w:t>
      </w:r>
      <w:r w:rsidR="00D9107F" w:rsidRPr="001E1D80">
        <w:t>99 (1998</w:t>
      </w:r>
      <w:r w:rsidR="00D9107F">
        <w:t>–</w:t>
      </w:r>
      <w:r w:rsidR="00D9107F" w:rsidRPr="001E1D80">
        <w:t>99)</w:t>
      </w:r>
      <w:r w:rsidRPr="001E1D80">
        <w:t xml:space="preserve">). Helse- og omsorgsdepartementet, . Hentet fra </w:t>
      </w:r>
      <w:hyperlink r:id="rId194" w:history="1">
        <w:r w:rsidRPr="001E1D80">
          <w:rPr>
            <w:rStyle w:val="Hyperkobling"/>
          </w:rPr>
          <w:t>https://www.regjeringen.no/no/dokumenter/otprp-nr-99-1998-99-/id160124/</w:t>
        </w:r>
      </w:hyperlink>
    </w:p>
    <w:p w14:paraId="3058FB34" w14:textId="307D7F6B" w:rsidR="00A930FB" w:rsidRPr="00FF4077" w:rsidRDefault="00A930FB" w:rsidP="008F5AD8">
      <w:pPr>
        <w:pStyle w:val="opplisting"/>
        <w:rPr>
          <w:lang w:val="en-US"/>
        </w:rPr>
      </w:pPr>
      <w:r w:rsidRPr="001E1D80">
        <w:t xml:space="preserve">Operose health. </w:t>
      </w:r>
      <w:r w:rsidRPr="00FF4077">
        <w:rPr>
          <w:i/>
          <w:lang w:val="en-US"/>
        </w:rPr>
        <w:t>Operose Health</w:t>
      </w:r>
      <w:r w:rsidRPr="00FF4077">
        <w:rPr>
          <w:lang w:val="en-US"/>
        </w:rPr>
        <w:t xml:space="preserve">. [nettside]. Little Chalfont: operosehealth.co.uk. Hentet 14.03.23, fra </w:t>
      </w:r>
      <w:hyperlink r:id="rId195" w:history="1">
        <w:r w:rsidRPr="00FF4077">
          <w:rPr>
            <w:rStyle w:val="Hyperkobling"/>
            <w:lang w:val="en-US"/>
          </w:rPr>
          <w:t>https://www.operosehealth.co.uk/</w:t>
        </w:r>
      </w:hyperlink>
    </w:p>
    <w:p w14:paraId="2087950F" w14:textId="3F29B605" w:rsidR="00A930FB" w:rsidRPr="001E1D80" w:rsidRDefault="00A930FB" w:rsidP="008F5AD8">
      <w:pPr>
        <w:pStyle w:val="opplisting"/>
      </w:pPr>
      <w:r w:rsidRPr="00FF4077">
        <w:rPr>
          <w:lang w:val="en-US"/>
        </w:rPr>
        <w:t xml:space="preserve">Opinion. </w:t>
      </w:r>
      <w:r w:rsidRPr="00FF4077">
        <w:rPr>
          <w:i/>
          <w:lang w:val="en-US"/>
        </w:rPr>
        <w:t>Nordic e-health barometer: A study measuring the development in the Nordic populations use, attitude and readiness for digital health services</w:t>
      </w:r>
      <w:r w:rsidRPr="00FF4077">
        <w:rPr>
          <w:lang w:val="en-US"/>
        </w:rPr>
        <w:t xml:space="preserve">. </w:t>
      </w:r>
      <w:r w:rsidRPr="001E1D80">
        <w:t xml:space="preserve">[nettdokument]. Oslo: Opinion. Hentet 10.02.23, fra </w:t>
      </w:r>
      <w:hyperlink r:id="rId196" w:history="1">
        <w:r w:rsidRPr="001E1D80">
          <w:rPr>
            <w:rStyle w:val="Hyperkobling"/>
          </w:rPr>
          <w:t>https://opinion.no/nordic-e-health-barometer/</w:t>
        </w:r>
      </w:hyperlink>
    </w:p>
    <w:p w14:paraId="2C2F7546" w14:textId="77777777" w:rsidR="00D9107F" w:rsidRDefault="00A930FB" w:rsidP="008F5AD8">
      <w:pPr>
        <w:pStyle w:val="opplisting"/>
      </w:pPr>
      <w:r w:rsidRPr="001E1D80">
        <w:t xml:space="preserve">Opondo, D., Eslami, S., Visscher, S., de Rooij, S. E., Verheij, R., Korevaar, J. C., &amp; Abu-Hanna, A. (2012). </w:t>
      </w:r>
      <w:r w:rsidRPr="00FF4077">
        <w:rPr>
          <w:lang w:val="en-US"/>
        </w:rPr>
        <w:t xml:space="preserve">Inappropriateness of medication prescriptions to elderly patients in the primary care setting: a systematic review. </w:t>
      </w:r>
      <w:r w:rsidRPr="001E1D80">
        <w:rPr>
          <w:i/>
        </w:rPr>
        <w:t>PLoS ONE, 7</w:t>
      </w:r>
      <w:r w:rsidRPr="001E1D80">
        <w:t>(8).</w:t>
      </w:r>
    </w:p>
    <w:p w14:paraId="22B80763" w14:textId="39E54907" w:rsidR="00A930FB" w:rsidRPr="001E1D80" w:rsidRDefault="00A930FB" w:rsidP="008F5AD8">
      <w:pPr>
        <w:pStyle w:val="opplisting"/>
      </w:pPr>
      <w:r w:rsidRPr="001E1D80">
        <w:t xml:space="preserve">Oslo Economics. (2022). </w:t>
      </w:r>
      <w:r w:rsidRPr="001E1D80">
        <w:rPr>
          <w:i/>
        </w:rPr>
        <w:t xml:space="preserve">Evaluering av handlingsplan for allmennlegetjenesten 2020–2024. Evalueringsrapport I </w:t>
      </w:r>
      <w:r w:rsidRPr="001E1D80">
        <w:t>(Evalueringsrapport I, 2022). Oslo Economics</w:t>
      </w:r>
    </w:p>
    <w:p w14:paraId="201A719B" w14:textId="78F49D64" w:rsidR="00A930FB" w:rsidRPr="001E1D80" w:rsidRDefault="00A930FB" w:rsidP="008F5AD8">
      <w:pPr>
        <w:pStyle w:val="opplisting"/>
      </w:pPr>
      <w:r w:rsidRPr="001E1D80">
        <w:t xml:space="preserve">Institutt for helse og samfunn, Universitetet i Oslo. Hentet fra </w:t>
      </w:r>
      <w:hyperlink r:id="rId197" w:history="1">
        <w:r w:rsidRPr="001E1D80">
          <w:rPr>
            <w:rStyle w:val="Hyperkobling"/>
          </w:rPr>
          <w:t>https://osloeconomics.no/wp-content/uploads/2022/05/HPA-evalueringsrapport-2022.pdf</w:t>
        </w:r>
      </w:hyperlink>
    </w:p>
    <w:p w14:paraId="6DC3D062" w14:textId="77777777" w:rsidR="00D9107F" w:rsidRDefault="00A930FB" w:rsidP="008F5AD8">
      <w:pPr>
        <w:pStyle w:val="opplisting"/>
      </w:pPr>
      <w:r w:rsidRPr="001E1D80">
        <w:t xml:space="preserve">Oslo Economics. (2023). </w:t>
      </w:r>
      <w:r w:rsidRPr="001E1D80">
        <w:rPr>
          <w:i/>
        </w:rPr>
        <w:t xml:space="preserve">Foreløpige funn fra evaluering av handlingsplan for allmennlegetjenesten </w:t>
      </w:r>
      <w:r w:rsidRPr="001E1D80">
        <w:t>Oslo Economics,.</w:t>
      </w:r>
    </w:p>
    <w:p w14:paraId="7F6E7469" w14:textId="77777777" w:rsidR="00D9107F" w:rsidRDefault="00A930FB" w:rsidP="008F5AD8">
      <w:pPr>
        <w:pStyle w:val="opplisting"/>
      </w:pPr>
      <w:r w:rsidRPr="001E1D80">
        <w:t xml:space="preserve">Pedersen, J.-E., Toeneiet, K., Smeland, I., &amp; Tangen, U. M. (2022). Samspill mellom AKS og lege – best for pasientene. </w:t>
      </w:r>
      <w:r w:rsidRPr="001E1D80">
        <w:rPr>
          <w:i/>
        </w:rPr>
        <w:t xml:space="preserve">Dagens medisin, </w:t>
      </w:r>
      <w:r w:rsidRPr="001E1D80">
        <w:t>(12).</w:t>
      </w:r>
    </w:p>
    <w:p w14:paraId="5C51395A" w14:textId="1FC45884" w:rsidR="00D9107F" w:rsidRDefault="00A930FB" w:rsidP="008F5AD8">
      <w:pPr>
        <w:pStyle w:val="opplisting"/>
      </w:pPr>
      <w:r w:rsidRPr="00FF4077">
        <w:rPr>
          <w:lang w:val="en-US"/>
        </w:rPr>
        <w:t>Pfarrwaller, E., Audetat, M. C., Sommer, J., Maisonneuve, H., Bischoff, T., &amp; Haller, D. M. (2017). An Expanded Conceptual Framework of Medical Students</w:t>
      </w:r>
      <w:r w:rsidR="00D9107F" w:rsidRPr="00FF4077">
        <w:rPr>
          <w:lang w:val="en-US"/>
        </w:rPr>
        <w:t>’</w:t>
      </w:r>
      <w:r w:rsidRPr="00FF4077">
        <w:rPr>
          <w:lang w:val="en-US"/>
        </w:rPr>
        <w:t xml:space="preserve"> Primary Care Career Choice. </w:t>
      </w:r>
      <w:r w:rsidRPr="001E1D80">
        <w:rPr>
          <w:i/>
        </w:rPr>
        <w:t>Academic Medicine, 92</w:t>
      </w:r>
      <w:r w:rsidRPr="001E1D80">
        <w:t>(11), 1536-1542.</w:t>
      </w:r>
    </w:p>
    <w:p w14:paraId="5A57D114" w14:textId="4B74D662" w:rsidR="00A930FB" w:rsidRPr="001E1D80" w:rsidRDefault="00A930FB" w:rsidP="008F5AD8">
      <w:pPr>
        <w:pStyle w:val="opplisting"/>
      </w:pPr>
      <w:r w:rsidRPr="001E1D80">
        <w:t xml:space="preserve">Praktiserende lægers organisation. (2020). </w:t>
      </w:r>
      <w:r w:rsidRPr="001E1D80">
        <w:rPr>
          <w:i/>
        </w:rPr>
        <w:t xml:space="preserve">Mere personale hos de praktiserende læger </w:t>
      </w:r>
      <w:r w:rsidRPr="001E1D80">
        <w:t xml:space="preserve">(PLO analyse). København: Praktiserende lægers organisation,. Hentet fra </w:t>
      </w:r>
      <w:hyperlink r:id="rId198" w:history="1">
        <w:r w:rsidRPr="001E1D80">
          <w:rPr>
            <w:rStyle w:val="Hyperkobling"/>
          </w:rPr>
          <w:t>https://www.laeger.dk/media/ybeopar2/plo_analyse_-_mere_personale_hos_de_praktiserende_laeger.pdf</w:t>
        </w:r>
      </w:hyperlink>
    </w:p>
    <w:p w14:paraId="7C4BD6DC" w14:textId="77777777" w:rsidR="00A930FB" w:rsidRPr="001E1D80" w:rsidRDefault="00A930FB" w:rsidP="008F5AD8">
      <w:pPr>
        <w:pStyle w:val="opplisting"/>
      </w:pPr>
      <w:r w:rsidRPr="001E1D80">
        <w:t xml:space="preserve">Praktiserende lægers organisation. (2021). </w:t>
      </w:r>
      <w:r w:rsidRPr="001E1D80">
        <w:rPr>
          <w:i/>
        </w:rPr>
        <w:t>Aftale om almen praksis</w:t>
      </w:r>
      <w:r w:rsidRPr="001E1D80">
        <w:t>. København: Danske Regioner.</w:t>
      </w:r>
    </w:p>
    <w:p w14:paraId="158C92ED" w14:textId="2E66291F" w:rsidR="00A930FB" w:rsidRPr="001E1D80" w:rsidRDefault="00A930FB" w:rsidP="008F5AD8">
      <w:pPr>
        <w:pStyle w:val="opplisting"/>
      </w:pPr>
      <w:r w:rsidRPr="001E1D80">
        <w:t xml:space="preserve">Praktiserende lægers organisation. (2022). </w:t>
      </w:r>
      <w:r w:rsidRPr="001E1D80">
        <w:rPr>
          <w:i/>
        </w:rPr>
        <w:t>Vokseværk i almen praksis – flere ansatte flugter med ambitionerne om et større nært sundhedsvæsen</w:t>
      </w:r>
      <w:r w:rsidRPr="001E1D80">
        <w:t xml:space="preserve"> (PLO analyse). København: Praktiserende lægers organisation. Hentet fra </w:t>
      </w:r>
      <w:hyperlink r:id="rId199" w:history="1">
        <w:r w:rsidRPr="001E1D80">
          <w:rPr>
            <w:rStyle w:val="Hyperkobling"/>
          </w:rPr>
          <w:t>https://www.laeger.dk/media/rplizqb0/plo-analyse-personale-011222.pdf</w:t>
        </w:r>
      </w:hyperlink>
    </w:p>
    <w:p w14:paraId="3358AE92" w14:textId="3BDA969A" w:rsidR="00A930FB" w:rsidRPr="001E1D80" w:rsidRDefault="00A930FB" w:rsidP="008F5AD8">
      <w:pPr>
        <w:pStyle w:val="opplisting"/>
      </w:pPr>
      <w:r w:rsidRPr="001E1D80">
        <w:t xml:space="preserve">Proff.no. </w:t>
      </w:r>
      <w:r w:rsidRPr="001E1D80">
        <w:rPr>
          <w:i/>
        </w:rPr>
        <w:t>Dr. Dropin AS</w:t>
      </w:r>
      <w:r w:rsidR="00D9107F">
        <w:rPr>
          <w:i/>
        </w:rPr>
        <w:t xml:space="preserve"> – </w:t>
      </w:r>
      <w:r w:rsidRPr="001E1D80">
        <w:rPr>
          <w:i/>
        </w:rPr>
        <w:t>Driftsresultat</w:t>
      </w:r>
      <w:r w:rsidRPr="001E1D80">
        <w:t xml:space="preserve">. [nettside]. proff.no. Hentet 13.03.2023, fra </w:t>
      </w:r>
      <w:hyperlink r:id="rId200" w:history="1">
        <w:r w:rsidRPr="001E1D80">
          <w:rPr>
            <w:rStyle w:val="Hyperkobling"/>
          </w:rPr>
          <w:t>https://www.proff.no/selskap/dr.dropin-as/oslo/leger/IF78KIR00XB/</w:t>
        </w:r>
      </w:hyperlink>
    </w:p>
    <w:p w14:paraId="3839E806" w14:textId="0FFDFC4A" w:rsidR="00A930FB" w:rsidRPr="001E1D80" w:rsidRDefault="00A930FB" w:rsidP="008F5AD8">
      <w:pPr>
        <w:pStyle w:val="opplisting"/>
      </w:pPr>
      <w:r w:rsidRPr="001E1D80">
        <w:t xml:space="preserve">Rambøll. (2022). </w:t>
      </w:r>
      <w:r w:rsidRPr="001E1D80">
        <w:rPr>
          <w:i/>
        </w:rPr>
        <w:t>IT i praksis 2022</w:t>
      </w:r>
      <w:r w:rsidRPr="001E1D80">
        <w:t xml:space="preserve">. [nettdokument]. Oslo: Ramboll.no. Hentet 13.02.2023, fra </w:t>
      </w:r>
      <w:hyperlink r:id="rId201" w:history="1">
        <w:r w:rsidRPr="001E1D80">
          <w:rPr>
            <w:rStyle w:val="Hyperkobling"/>
          </w:rPr>
          <w:t>https://no.ramboll.com/presse/publikasjoner/it-i-praksis-2022</w:t>
        </w:r>
      </w:hyperlink>
    </w:p>
    <w:p w14:paraId="28DFF928" w14:textId="2B5D0FA0" w:rsidR="00A930FB" w:rsidRPr="001E1D80" w:rsidRDefault="00A930FB" w:rsidP="008F5AD8">
      <w:pPr>
        <w:pStyle w:val="opplisting"/>
      </w:pPr>
      <w:r w:rsidRPr="001E1D80">
        <w:lastRenderedPageBreak/>
        <w:t xml:space="preserve">Regionernes Lønnings- og Takstnævn og Praktiserende lægers organisation. (2022). </w:t>
      </w:r>
      <w:r w:rsidRPr="001E1D80">
        <w:rPr>
          <w:i/>
        </w:rPr>
        <w:t xml:space="preserve">Vejledning i anvendelse af overenskomstens ydelser: Udarbejdet af RLTN og PLO i henhold til </w:t>
      </w:r>
      <w:r w:rsidR="00D9107F">
        <w:rPr>
          <w:i/>
        </w:rPr>
        <w:t>§ </w:t>
      </w:r>
      <w:r w:rsidR="00D9107F" w:rsidRPr="001E1D80">
        <w:rPr>
          <w:i/>
        </w:rPr>
        <w:t>6</w:t>
      </w:r>
      <w:r w:rsidRPr="001E1D80">
        <w:rPr>
          <w:i/>
        </w:rPr>
        <w:t>9 i Overenskomst om almen praksis (2022)</w:t>
      </w:r>
      <w:r w:rsidRPr="001E1D80">
        <w:t>. København: Regionernes Lønnings- og Takstnævn og Praktiserende lægers organisation.</w:t>
      </w:r>
    </w:p>
    <w:p w14:paraId="754BB759" w14:textId="314E8964" w:rsidR="00A930FB" w:rsidRPr="001E1D80" w:rsidRDefault="00A930FB" w:rsidP="008F5AD8">
      <w:pPr>
        <w:pStyle w:val="opplisting"/>
      </w:pPr>
      <w:r w:rsidRPr="001E1D80">
        <w:t xml:space="preserve">Regjeringen. </w:t>
      </w:r>
      <w:r w:rsidRPr="001E1D80">
        <w:rPr>
          <w:i/>
        </w:rPr>
        <w:t>Statsbudsjettet 2023</w:t>
      </w:r>
      <w:r w:rsidRPr="001E1D80">
        <w:t xml:space="preserve">. [nettdokument]. Oslo: Regjeringen. Hentet 16.01.2023, fra </w:t>
      </w:r>
      <w:hyperlink r:id="rId202" w:history="1">
        <w:r w:rsidRPr="001E1D80">
          <w:rPr>
            <w:rStyle w:val="Hyperkobling"/>
          </w:rPr>
          <w:t>https://www.regjeringen.no/no/statsbudsjett/2023/id2927365/</w:t>
        </w:r>
      </w:hyperlink>
    </w:p>
    <w:p w14:paraId="59FD4E27" w14:textId="77777777" w:rsidR="00D9107F" w:rsidRDefault="00A930FB" w:rsidP="008F5AD8">
      <w:pPr>
        <w:pStyle w:val="opplisting"/>
      </w:pPr>
      <w:r w:rsidRPr="001E1D80">
        <w:t xml:space="preserve">Reis, T., Faria, I., Serra, H., &amp; Xavier, M. (2022). </w:t>
      </w:r>
      <w:r w:rsidRPr="00FF4077">
        <w:rPr>
          <w:lang w:val="en-US"/>
        </w:rPr>
        <w:t xml:space="preserve">Barriers and facilitators to implementing a continuing medical education intervention in a primary health care setting. </w:t>
      </w:r>
      <w:r w:rsidRPr="001E1D80">
        <w:rPr>
          <w:i/>
        </w:rPr>
        <w:t>BMC Health Services Research, 22</w:t>
      </w:r>
      <w:r w:rsidRPr="001E1D80">
        <w:t>(1), 638.</w:t>
      </w:r>
    </w:p>
    <w:p w14:paraId="12EFEF95" w14:textId="15A710FD" w:rsidR="00D9107F" w:rsidRDefault="00A930FB" w:rsidP="008F5AD8">
      <w:pPr>
        <w:pStyle w:val="opplisting"/>
      </w:pPr>
      <w:r w:rsidRPr="001E1D80">
        <w:t>Rian Johannessen, C. (2015). Legevakten</w:t>
      </w:r>
      <w:r w:rsidR="00D9107F">
        <w:t xml:space="preserve"> – </w:t>
      </w:r>
      <w:r w:rsidRPr="001E1D80">
        <w:t xml:space="preserve">helsetjenestens svakest ledd? </w:t>
      </w:r>
      <w:r w:rsidRPr="001E1D80">
        <w:rPr>
          <w:i/>
        </w:rPr>
        <w:t>Tidsskriftet Den norske legeforening, 135</w:t>
      </w:r>
      <w:r w:rsidRPr="001E1D80">
        <w:t>(17), 1612-1614.</w:t>
      </w:r>
    </w:p>
    <w:p w14:paraId="0046B53F" w14:textId="77777777" w:rsidR="00D9107F" w:rsidRDefault="00A930FB" w:rsidP="008F5AD8">
      <w:pPr>
        <w:pStyle w:val="opplisting"/>
      </w:pPr>
      <w:r w:rsidRPr="001E1D80">
        <w:t xml:space="preserve">Ride, J., Kasteridis, P., &amp; Gutacker, N. (2022). </w:t>
      </w:r>
      <w:r w:rsidRPr="00FF4077">
        <w:rPr>
          <w:lang w:val="en-US"/>
        </w:rPr>
        <w:t xml:space="preserve">Impact of prevention in primary care on costs on primary and secondary care for people with serious mental illness. </w:t>
      </w:r>
      <w:r w:rsidRPr="001E1D80">
        <w:rPr>
          <w:i/>
        </w:rPr>
        <w:t>Health Econ</w:t>
      </w:r>
      <w:r w:rsidRPr="001E1D80">
        <w:t>.</w:t>
      </w:r>
    </w:p>
    <w:p w14:paraId="77CD7AE5" w14:textId="15855F3A" w:rsidR="00A930FB" w:rsidRPr="001E1D80" w:rsidRDefault="00A930FB" w:rsidP="008F5AD8">
      <w:pPr>
        <w:pStyle w:val="opplisting"/>
      </w:pPr>
      <w:r w:rsidRPr="001E1D80">
        <w:t xml:space="preserve">Riksrevisjonen. (2018). </w:t>
      </w:r>
      <w:r w:rsidRPr="001E1D80">
        <w:rPr>
          <w:i/>
        </w:rPr>
        <w:t>Riksrevisjonens undersøkelse av myndighetenes arbeid med å sikre god henvisningspraksis fra fastlegene til spesialisthelsetjenesten</w:t>
      </w:r>
      <w:r w:rsidRPr="001E1D80">
        <w:t xml:space="preserve"> (Dokument 3:4 </w:t>
      </w:r>
      <w:r w:rsidR="00D9107F" w:rsidRPr="001E1D80">
        <w:t>(2017</w:t>
      </w:r>
      <w:r w:rsidR="00D9107F">
        <w:t>–</w:t>
      </w:r>
      <w:r w:rsidR="00D9107F" w:rsidRPr="001E1D80">
        <w:t>2018)</w:t>
      </w:r>
      <w:r w:rsidRPr="001E1D80">
        <w:t>). Riksrevisjonen.</w:t>
      </w:r>
    </w:p>
    <w:p w14:paraId="32804880" w14:textId="581EBFAE" w:rsidR="00D9107F" w:rsidRDefault="00A930FB" w:rsidP="008F5AD8">
      <w:pPr>
        <w:pStyle w:val="opplisting"/>
      </w:pPr>
      <w:r w:rsidRPr="001E1D80">
        <w:t xml:space="preserve">Ringberg, U., Fleten, N., Deraas, T. S., Hasvold, T., &amp; Forde, O. (2013). </w:t>
      </w:r>
      <w:r w:rsidRPr="00FF4077">
        <w:rPr>
          <w:lang w:val="en-US"/>
        </w:rPr>
        <w:t>High referral rates to secondary care by general practitioners in Norway are associated with GPs</w:t>
      </w:r>
      <w:r w:rsidR="00D9107F" w:rsidRPr="00FF4077">
        <w:rPr>
          <w:lang w:val="en-US"/>
        </w:rPr>
        <w:t>’</w:t>
      </w:r>
      <w:r w:rsidRPr="00FF4077">
        <w:rPr>
          <w:lang w:val="en-US"/>
        </w:rPr>
        <w:t xml:space="preserve"> gender and specialist qualifications in family medicine, a study of 4350 consultations. </w:t>
      </w:r>
      <w:r w:rsidRPr="001E1D80">
        <w:rPr>
          <w:i/>
        </w:rPr>
        <w:t>BMC Health Services Research, 13</w:t>
      </w:r>
      <w:r w:rsidRPr="001E1D80">
        <w:t>, 147.</w:t>
      </w:r>
    </w:p>
    <w:p w14:paraId="18651B81" w14:textId="33A3EB22" w:rsidR="00A930FB" w:rsidRPr="001E1D80" w:rsidRDefault="00A930FB" w:rsidP="008F5AD8">
      <w:pPr>
        <w:pStyle w:val="opplisting"/>
      </w:pPr>
      <w:r w:rsidRPr="001E1D80">
        <w:rPr>
          <w:i/>
        </w:rPr>
        <w:t>Rundskriv I-2/2019: Spesialistforskriften med kommentarer: Spesialistutdanning og spesialistgodkjenning for leger</w:t>
      </w:r>
      <w:r w:rsidRPr="001E1D80">
        <w:t xml:space="preserve">. (2019). (19/1032). Oslo: Helse- og omsorgsdepartement. Hentet fra </w:t>
      </w:r>
      <w:hyperlink r:id="rId203" w:history="1">
        <w:r w:rsidRPr="001E1D80">
          <w:rPr>
            <w:rStyle w:val="Hyperkobling"/>
          </w:rPr>
          <w:t>https://www.regjeringen.no/contentassets/296adc05dbee4ae1a1e015cbea31701e/rundskriv-i-2-2019-spesialistforskriften-med-kommentarer-revidert-30.-september-2022.pdf</w:t>
        </w:r>
      </w:hyperlink>
    </w:p>
    <w:p w14:paraId="4B546533" w14:textId="77777777" w:rsidR="00D9107F" w:rsidRDefault="00A930FB" w:rsidP="008F5AD8">
      <w:pPr>
        <w:pStyle w:val="opplisting"/>
      </w:pPr>
      <w:r w:rsidRPr="001E1D80">
        <w:t xml:space="preserve">Rønning, A. K. (2015). Det gikk bra andre gangen. </w:t>
      </w:r>
      <w:r w:rsidRPr="001E1D80">
        <w:rPr>
          <w:i/>
        </w:rPr>
        <w:t>Fysioterapeuten, 82</w:t>
      </w:r>
      <w:r w:rsidRPr="001E1D80">
        <w:t>(8), 38-39.</w:t>
      </w:r>
    </w:p>
    <w:p w14:paraId="3F54F915" w14:textId="47243C80" w:rsidR="00A930FB" w:rsidRPr="001E1D80" w:rsidRDefault="00A930FB" w:rsidP="008F5AD8">
      <w:pPr>
        <w:pStyle w:val="opplisting"/>
      </w:pPr>
      <w:r w:rsidRPr="001E1D80">
        <w:t xml:space="preserve">Samordna opptak. (17. 01.2020). </w:t>
      </w:r>
      <w:r w:rsidRPr="001E1D80">
        <w:rPr>
          <w:i/>
        </w:rPr>
        <w:t>Universitet og høgskole</w:t>
      </w:r>
      <w:r w:rsidR="00D9107F">
        <w:rPr>
          <w:i/>
        </w:rPr>
        <w:t xml:space="preserve"> – </w:t>
      </w:r>
      <w:r w:rsidRPr="001E1D80">
        <w:rPr>
          <w:i/>
        </w:rPr>
        <w:t>Kvote for Nord-Troms og Finnmark</w:t>
      </w:r>
      <w:r w:rsidRPr="001E1D80">
        <w:t xml:space="preserve">. [nettside]. Hentet 03.01.2023, fra </w:t>
      </w:r>
      <w:hyperlink r:id="rId204" w:history="1">
        <w:r w:rsidRPr="001E1D80">
          <w:rPr>
            <w:rStyle w:val="Hyperkobling"/>
          </w:rPr>
          <w:t>https://www.samordnaopptak.no/info/opptak/opptak-uhg/opptakskvoter/kvote-for-nord-troms.html</w:t>
        </w:r>
      </w:hyperlink>
    </w:p>
    <w:p w14:paraId="52E787ED" w14:textId="77777777" w:rsidR="00A930FB" w:rsidRPr="001E1D80" w:rsidRDefault="00A930FB" w:rsidP="008F5AD8">
      <w:pPr>
        <w:pStyle w:val="opplisting"/>
      </w:pPr>
      <w:r w:rsidRPr="001E1D80">
        <w:t xml:space="preserve">Samordna opptak. </w:t>
      </w:r>
      <w:r w:rsidRPr="001E1D80">
        <w:rPr>
          <w:i/>
        </w:rPr>
        <w:t>Opptakstall fordelt på utdanningsområde og type i suppleringsopptaket 2022</w:t>
      </w:r>
      <w:r w:rsidRPr="001E1D80">
        <w:t>. [nettdokument]. Oslo: Samordna opptak. Hentet 16.01.2023, fra Samordna opptak, opptakstall fordelt utdanningsområde og type i 2022</w:t>
      </w:r>
    </w:p>
    <w:p w14:paraId="6A57C199" w14:textId="1416BD06" w:rsidR="00A930FB" w:rsidRPr="00FF4077" w:rsidRDefault="00A930FB" w:rsidP="008F5AD8">
      <w:pPr>
        <w:pStyle w:val="opplisting"/>
        <w:rPr>
          <w:lang w:val="en-US"/>
        </w:rPr>
      </w:pPr>
      <w:r w:rsidRPr="001E1D80">
        <w:t xml:space="preserve">Samordna opptak. (21. 12.2022). </w:t>
      </w:r>
      <w:r w:rsidRPr="001E1D80">
        <w:rPr>
          <w:i/>
        </w:rPr>
        <w:t>Universitet og høgskole</w:t>
      </w:r>
      <w:r w:rsidR="00D9107F">
        <w:rPr>
          <w:i/>
        </w:rPr>
        <w:t xml:space="preserve"> – </w:t>
      </w:r>
      <w:r w:rsidRPr="001E1D80">
        <w:rPr>
          <w:i/>
        </w:rPr>
        <w:t>Søkere med samisk språkkompetanse</w:t>
      </w:r>
      <w:r w:rsidRPr="001E1D80">
        <w:t xml:space="preserve">. </w:t>
      </w:r>
      <w:r w:rsidRPr="00FF4077">
        <w:rPr>
          <w:lang w:val="en-US"/>
        </w:rPr>
        <w:t xml:space="preserve">[nettside]. Hentet 03.01.2023, fra </w:t>
      </w:r>
      <w:hyperlink r:id="rId205" w:history="1">
        <w:r w:rsidRPr="00FF4077">
          <w:rPr>
            <w:rStyle w:val="Hyperkobling"/>
            <w:lang w:val="en-US"/>
          </w:rPr>
          <w:t>https://www.samordnaopptak.no/info/opptak/opptak-uhg/opptakskvoter/samiske-kvoter.html</w:t>
        </w:r>
      </w:hyperlink>
    </w:p>
    <w:p w14:paraId="4ABEBEB3" w14:textId="77777777" w:rsidR="00D9107F" w:rsidRPr="00FF4077" w:rsidRDefault="00A930FB" w:rsidP="008F5AD8">
      <w:pPr>
        <w:pStyle w:val="opplisting"/>
        <w:rPr>
          <w:lang w:val="en-US"/>
        </w:rPr>
      </w:pPr>
      <w:r w:rsidRPr="00FF4077">
        <w:rPr>
          <w:lang w:val="en-US"/>
        </w:rPr>
        <w:lastRenderedPageBreak/>
        <w:t xml:space="preserve">Sandvik, H., &amp; Hunskaar, S. (2018). Frequent attenders at primary care out-of-hours services: a registry-based observational study in Norway. </w:t>
      </w:r>
      <w:r w:rsidRPr="00FF4077">
        <w:rPr>
          <w:i/>
          <w:lang w:val="en-US"/>
        </w:rPr>
        <w:t>BMC Health Services Research, 18</w:t>
      </w:r>
      <w:r w:rsidRPr="00FF4077">
        <w:rPr>
          <w:lang w:val="en-US"/>
        </w:rPr>
        <w:t>(1), 492.</w:t>
      </w:r>
    </w:p>
    <w:p w14:paraId="6FA28E04" w14:textId="7FBB2D1D" w:rsidR="00A930FB" w:rsidRPr="001E1D80" w:rsidRDefault="00A930FB" w:rsidP="008F5AD8">
      <w:pPr>
        <w:pStyle w:val="opplisting"/>
      </w:pPr>
      <w:r w:rsidRPr="00FF4077">
        <w:rPr>
          <w:lang w:val="en-US"/>
        </w:rPr>
        <w:t xml:space="preserve">Sandvik, H., Hunskår, S., &amp; Blinkenberg, J. (2022). </w:t>
      </w:r>
      <w:r w:rsidRPr="001E1D80">
        <w:rPr>
          <w:i/>
        </w:rPr>
        <w:t>Årsstatistikk for legevakt 2021</w:t>
      </w:r>
      <w:r w:rsidRPr="001E1D80">
        <w:t xml:space="preserve"> (Rapport nr. 1-2022). Bergen: Nasjonalt kompetansesenter for legevaktmedisin, NORCE Norgwegian Research Centre.</w:t>
      </w:r>
    </w:p>
    <w:p w14:paraId="64DE0BDE" w14:textId="77777777" w:rsidR="00A930FB" w:rsidRPr="00FF4077" w:rsidRDefault="00A930FB" w:rsidP="008F5AD8">
      <w:pPr>
        <w:pStyle w:val="opplisting"/>
        <w:rPr>
          <w:lang w:val="en-US"/>
        </w:rPr>
      </w:pPr>
      <w:r w:rsidRPr="001E1D80">
        <w:t xml:space="preserve">Schober, M., Lehwaldt, D., Rogers, M., Steinke, M., Turale, S., &amp; Stewart, D. (2020). </w:t>
      </w:r>
      <w:r w:rsidRPr="00FF4077">
        <w:rPr>
          <w:i/>
          <w:lang w:val="en-US"/>
        </w:rPr>
        <w:t>Guidelines on advanced practice nursing</w:t>
      </w:r>
      <w:r w:rsidRPr="00FF4077">
        <w:rPr>
          <w:lang w:val="en-US"/>
        </w:rPr>
        <w:t>. Genève: International council of nurses.</w:t>
      </w:r>
    </w:p>
    <w:p w14:paraId="215F325B" w14:textId="77777777" w:rsidR="00D9107F" w:rsidRPr="00FF4077" w:rsidRDefault="00A930FB" w:rsidP="008F5AD8">
      <w:pPr>
        <w:pStyle w:val="opplisting"/>
        <w:rPr>
          <w:lang w:val="en-US"/>
        </w:rPr>
      </w:pPr>
      <w:r w:rsidRPr="00FF4077">
        <w:rPr>
          <w:lang w:val="en-US"/>
        </w:rPr>
        <w:t>Scott, A., Sivey, P., &amp; Ait Ouakrim, D. e. a. (2011). The effect of financial incentives on the quality of health care provided by primary care physicians.</w:t>
      </w:r>
      <w:r w:rsidRPr="00FF4077">
        <w:rPr>
          <w:i/>
          <w:lang w:val="en-US"/>
        </w:rPr>
        <w:t xml:space="preserve"> Cochrane Database Syst Rev</w:t>
      </w:r>
      <w:r w:rsidRPr="00FF4077">
        <w:rPr>
          <w:lang w:val="en-US"/>
        </w:rPr>
        <w:t>.</w:t>
      </w:r>
    </w:p>
    <w:p w14:paraId="2857FFD6" w14:textId="77777777" w:rsidR="00D9107F" w:rsidRPr="00FF4077" w:rsidRDefault="00A930FB" w:rsidP="008F5AD8">
      <w:pPr>
        <w:pStyle w:val="opplisting"/>
        <w:rPr>
          <w:lang w:val="en-US"/>
        </w:rPr>
      </w:pPr>
      <w:r w:rsidRPr="00FF4077">
        <w:rPr>
          <w:lang w:val="en-US"/>
        </w:rPr>
        <w:t>Service, T. N. H. (2018). (Primary Medical Services Section 17C Agreements) (Scotland) Regulations 2018 (legisl ation.gov.uk).</w:t>
      </w:r>
    </w:p>
    <w:p w14:paraId="0912CE6D" w14:textId="77777777" w:rsidR="00D9107F" w:rsidRDefault="00A930FB" w:rsidP="008F5AD8">
      <w:pPr>
        <w:pStyle w:val="opplisting"/>
      </w:pPr>
      <w:r w:rsidRPr="001E1D80">
        <w:t xml:space="preserve">Skarshaug, L. J., Kaspersen, S. L., Bjorngaard, J. H., &amp; Pape, K. (2021). </w:t>
      </w:r>
      <w:r w:rsidRPr="00FF4077">
        <w:rPr>
          <w:lang w:val="en-US"/>
        </w:rPr>
        <w:t xml:space="preserve">How does general practitioner discontinuity affect healthcare utilisation? An observational cohort study of 2.4 million Norwegians 2007-2017. </w:t>
      </w:r>
      <w:r w:rsidRPr="001E1D80">
        <w:rPr>
          <w:i/>
        </w:rPr>
        <w:t>BMJ Open, 11</w:t>
      </w:r>
      <w:r w:rsidRPr="001E1D80">
        <w:t>(2), e042391.</w:t>
      </w:r>
    </w:p>
    <w:p w14:paraId="6A152D87" w14:textId="52FE83CA" w:rsidR="00A930FB" w:rsidRPr="001E1D80" w:rsidRDefault="00A930FB" w:rsidP="008F5AD8">
      <w:pPr>
        <w:pStyle w:val="opplisting"/>
      </w:pPr>
      <w:r w:rsidRPr="001E1D80">
        <w:t xml:space="preserve">Skatteetaten. </w:t>
      </w:r>
      <w:r w:rsidRPr="001E1D80">
        <w:rPr>
          <w:i/>
        </w:rPr>
        <w:t>Hva er obligatorisk tjenestepensjon (OTP)?</w:t>
      </w:r>
      <w:r w:rsidRPr="001E1D80">
        <w:t xml:space="preserve"> [nettdokument]. Oslo: Næringslivets Hovedorganisasjon,. Hentet 5. februar 2023</w:t>
      </w:r>
    </w:p>
    <w:p w14:paraId="1E242D13" w14:textId="74D05B99" w:rsidR="00A930FB" w:rsidRPr="001E1D80" w:rsidRDefault="00A930FB" w:rsidP="008F5AD8">
      <w:pPr>
        <w:pStyle w:val="opplisting"/>
      </w:pPr>
      <w:r w:rsidRPr="001E1D80">
        <w:t xml:space="preserve">Skogli, E., Stokke, O. M., Lønstad, C., Vinter, C., Fattah, I. S., &amp; Grinde, R. (2022). </w:t>
      </w:r>
      <w:r w:rsidRPr="001E1D80">
        <w:rPr>
          <w:i/>
        </w:rPr>
        <w:t>Evaluering av pilot for utprøving av digital triageringsløsning på fire fastlegekontor</w:t>
      </w:r>
      <w:r w:rsidRPr="001E1D80">
        <w:t xml:space="preserve"> (Menon-publikasjon nr. 142/2022). Oslo: M. Economics. Hentet fra </w:t>
      </w:r>
      <w:hyperlink r:id="rId206" w:history="1">
        <w:r w:rsidRPr="001E1D80">
          <w:rPr>
            <w:rStyle w:val="Hyperkobling"/>
          </w:rPr>
          <w:t>https://www.menon.no/wp-content/uploads/2022-142-Evaluering-av-pilot-for-utproving-av-triageringslosning.pdf</w:t>
        </w:r>
      </w:hyperlink>
    </w:p>
    <w:p w14:paraId="27DC2971" w14:textId="0A2F4AAB" w:rsidR="00A930FB" w:rsidRPr="001E1D80" w:rsidRDefault="00A930FB" w:rsidP="008F5AD8">
      <w:pPr>
        <w:pStyle w:val="opplisting"/>
      </w:pPr>
      <w:r w:rsidRPr="001E1D80">
        <w:t xml:space="preserve">Skogli, E., Theie, M. G., Stokke, O. L., &amp; Lind, L. H. (2019). </w:t>
      </w:r>
      <w:r w:rsidRPr="001E1D80">
        <w:rPr>
          <w:i/>
        </w:rPr>
        <w:t>Muskel- og skjelettsykdom i Norge: Rammer flest</w:t>
      </w:r>
      <w:r w:rsidR="00D9107F">
        <w:rPr>
          <w:i/>
        </w:rPr>
        <w:t xml:space="preserve"> – </w:t>
      </w:r>
      <w:r w:rsidRPr="001E1D80">
        <w:rPr>
          <w:i/>
        </w:rPr>
        <w:t>koster mest. Vurdering av tiltak for å redusere samfunnskostnadene</w:t>
      </w:r>
      <w:r w:rsidRPr="001E1D80">
        <w:t xml:space="preserve"> (Menon-publikasjon 31/2019). Oslo: Menon Economics.</w:t>
      </w:r>
    </w:p>
    <w:p w14:paraId="4AD817C5" w14:textId="77777777" w:rsidR="00A930FB" w:rsidRPr="001E1D80" w:rsidRDefault="00A930FB" w:rsidP="008F5AD8">
      <w:pPr>
        <w:pStyle w:val="opplisting"/>
      </w:pPr>
      <w:r w:rsidRPr="001E1D80">
        <w:t xml:space="preserve">Skoglund, U., Nilsen, L., &amp; Karlsen, R. K. (08. desember 2019). </w:t>
      </w:r>
      <w:r w:rsidRPr="001E1D80">
        <w:rPr>
          <w:i/>
        </w:rPr>
        <w:t>Fastlegene har knapt med tid til pasienter som sliter psykisk</w:t>
      </w:r>
      <w:r w:rsidRPr="001E1D80">
        <w:t>. [nettpublikasjon]. Trondheim: Nasjonalt kompetansesenter for psykisk helsearbeid. Hentet 20.03.23</w:t>
      </w:r>
    </w:p>
    <w:p w14:paraId="4468110E" w14:textId="77777777" w:rsidR="00A930FB" w:rsidRPr="001E1D80" w:rsidRDefault="00A930FB" w:rsidP="008F5AD8">
      <w:pPr>
        <w:pStyle w:val="opplisting"/>
      </w:pPr>
      <w:r w:rsidRPr="001E1D80">
        <w:t xml:space="preserve">Skudal, K. E., Holmboe, O., Bjertnæs, Ø. A., &amp; Telle, K. E. (2019). </w:t>
      </w:r>
      <w:r w:rsidRPr="001E1D80">
        <w:rPr>
          <w:i/>
        </w:rPr>
        <w:t>Commonwealth Fund-undersøkelsen blant allmennleger i elleve land i 2019: tabellrapport</w:t>
      </w:r>
      <w:r w:rsidRPr="001E1D80">
        <w:t>. Oslo: Folkehelseinstituttet.</w:t>
      </w:r>
    </w:p>
    <w:p w14:paraId="1C33CC7D" w14:textId="77777777" w:rsidR="00A930FB" w:rsidRPr="001E1D80" w:rsidRDefault="00A930FB" w:rsidP="008F5AD8">
      <w:pPr>
        <w:pStyle w:val="opplisting"/>
      </w:pPr>
      <w:r w:rsidRPr="001E1D80">
        <w:t xml:space="preserve">Skyrud, K. D., &amp; Rotevatn, T. (2023). </w:t>
      </w:r>
      <w:r w:rsidRPr="001E1D80">
        <w:rPr>
          <w:i/>
        </w:rPr>
        <w:t>Utvikling i fastlegenes arbeidsmendge og situasjon over tid.</w:t>
      </w:r>
      <w:r w:rsidRPr="001E1D80">
        <w:t xml:space="preserve"> Oslo: Folkehelseinstituttet.</w:t>
      </w:r>
    </w:p>
    <w:p w14:paraId="4A10E6B9" w14:textId="54DEED2B" w:rsidR="00A930FB" w:rsidRPr="001E1D80" w:rsidRDefault="00A930FB" w:rsidP="008F5AD8">
      <w:pPr>
        <w:pStyle w:val="opplisting"/>
      </w:pPr>
      <w:r w:rsidRPr="001E1D80">
        <w:t xml:space="preserve">Social- och hälsovårdministeriet. </w:t>
      </w:r>
      <w:r w:rsidRPr="001E1D80">
        <w:rPr>
          <w:i/>
        </w:rPr>
        <w:t>Programmet Framtidens social- och hälsocentral</w:t>
      </w:r>
      <w:r w:rsidRPr="001E1D80">
        <w:t>. Social-</w:t>
      </w:r>
      <w:r w:rsidR="00D9107F">
        <w:t xml:space="preserve"> </w:t>
      </w:r>
      <w:r w:rsidRPr="001E1D80">
        <w:t xml:space="preserve">och hälsovårdreformen,. Hentet 16. mars 2023, fra </w:t>
      </w:r>
      <w:hyperlink r:id="rId207" w:history="1">
        <w:r w:rsidRPr="001E1D80">
          <w:rPr>
            <w:rStyle w:val="Hyperkobling"/>
          </w:rPr>
          <w:t>https://soteuudistus.fi/sv/programmet-framtidens-social-och-halsocentral</w:t>
        </w:r>
      </w:hyperlink>
    </w:p>
    <w:p w14:paraId="0DA23F4F" w14:textId="396B3100" w:rsidR="00A930FB" w:rsidRPr="001E1D80" w:rsidRDefault="00A930FB" w:rsidP="008F5AD8">
      <w:pPr>
        <w:pStyle w:val="opplisting"/>
      </w:pPr>
      <w:r w:rsidRPr="001E1D80">
        <w:t xml:space="preserve">Social- och hälsovårdministeriet. </w:t>
      </w:r>
      <w:r w:rsidRPr="001E1D80">
        <w:rPr>
          <w:i/>
        </w:rPr>
        <w:t>Bestämmande av finansieringsnivån och årlig justering</w:t>
      </w:r>
      <w:r w:rsidRPr="001E1D80">
        <w:t xml:space="preserve">. [nettdokument]. Helsingfors: Institutet för hälsa och välfärd. Hentet 22. mars 2023, fra </w:t>
      </w:r>
      <w:hyperlink r:id="rId208" w:history="1">
        <w:r w:rsidRPr="001E1D80">
          <w:rPr>
            <w:rStyle w:val="Hyperkobling"/>
          </w:rPr>
          <w:t>https://soteuudistus.fi/sv/bestammande-justering-av-finansieringen</w:t>
        </w:r>
      </w:hyperlink>
    </w:p>
    <w:p w14:paraId="16827BF6" w14:textId="77777777" w:rsidR="00A930FB" w:rsidRPr="001E1D80" w:rsidRDefault="00A930FB" w:rsidP="008F5AD8">
      <w:pPr>
        <w:pStyle w:val="opplisting"/>
      </w:pPr>
      <w:r w:rsidRPr="001E1D80">
        <w:lastRenderedPageBreak/>
        <w:t xml:space="preserve">Socialstyrelsen. (21. november 2022). </w:t>
      </w:r>
      <w:r w:rsidRPr="001E1D80">
        <w:rPr>
          <w:i/>
        </w:rPr>
        <w:t>Syftet med fast läkarkontakt</w:t>
      </w:r>
      <w:r w:rsidRPr="001E1D80">
        <w:t>. [nettdokument]. Kunnskapsguiden. Hentet 16. mars 2023</w:t>
      </w:r>
    </w:p>
    <w:p w14:paraId="680283B4" w14:textId="77777777" w:rsidR="00A930FB" w:rsidRPr="001E1D80" w:rsidRDefault="00A930FB" w:rsidP="008F5AD8">
      <w:pPr>
        <w:pStyle w:val="opplisting"/>
      </w:pPr>
      <w:r w:rsidRPr="001E1D80">
        <w:t xml:space="preserve">Socialstyrelsen. (2015). </w:t>
      </w:r>
      <w:r w:rsidRPr="001E1D80">
        <w:rPr>
          <w:i/>
        </w:rPr>
        <w:t>Allmänmedicin: Läkarnas specialiseringstjänstgöring</w:t>
      </w:r>
      <w:r w:rsidRPr="001E1D80">
        <w:t xml:space="preserve"> (Socialstyrelsens föreskrifter och allmänna råd om läkarnas specialiseringstjänstgöring SOSFS 2015-8). Stockholm: Socialstyrelsen og Svensk Förening för allmänmedicin.</w:t>
      </w:r>
    </w:p>
    <w:p w14:paraId="6D783E54" w14:textId="77777777" w:rsidR="00A930FB" w:rsidRPr="001E1D80" w:rsidRDefault="00A930FB" w:rsidP="008F5AD8">
      <w:pPr>
        <w:pStyle w:val="opplisting"/>
      </w:pPr>
      <w:r w:rsidRPr="001E1D80">
        <w:t xml:space="preserve">Socialstyrelsen. (2022). </w:t>
      </w:r>
      <w:r w:rsidRPr="001E1D80">
        <w:rPr>
          <w:i/>
        </w:rPr>
        <w:t>Nationellt riktvärde för fast läkarkontakt ska bidra till ökad kontinuitet och trygghet i primärvården</w:t>
      </w:r>
      <w:r w:rsidRPr="001E1D80">
        <w:t xml:space="preserve"> (2022-4-7896). Stockholm: Socialstyrelsen.</w:t>
      </w:r>
    </w:p>
    <w:p w14:paraId="38E407AA" w14:textId="77777777" w:rsidR="00A930FB" w:rsidRPr="001E1D80" w:rsidRDefault="00A930FB" w:rsidP="008F5AD8">
      <w:pPr>
        <w:pStyle w:val="opplisting"/>
      </w:pPr>
      <w:r w:rsidRPr="001E1D80">
        <w:t xml:space="preserve">Sosial- og helsedirektoratet. </w:t>
      </w:r>
      <w:r w:rsidRPr="001E1D80">
        <w:rPr>
          <w:i/>
        </w:rPr>
        <w:t>Turnustjenesten for leger. Saksnummer: 05/1666</w:t>
      </w:r>
      <w:r w:rsidRPr="001E1D80">
        <w:t xml:space="preserve"> (Rundskriv IS-9/2005). Oslo: Sosial- og helsedirektoratet.</w:t>
      </w:r>
    </w:p>
    <w:p w14:paraId="263F31DE" w14:textId="2E3F55F7" w:rsidR="00A930FB" w:rsidRPr="001E1D80" w:rsidRDefault="00A930FB" w:rsidP="008F5AD8">
      <w:pPr>
        <w:pStyle w:val="opplisting"/>
      </w:pPr>
      <w:r w:rsidRPr="001E1D80">
        <w:t xml:space="preserve">Spence, D. (2016). General practice in meltdown. </w:t>
      </w:r>
      <w:r w:rsidRPr="001E1D80">
        <w:rPr>
          <w:i/>
        </w:rPr>
        <w:t>Br J Gen Pract, 66</w:t>
      </w:r>
      <w:r w:rsidRPr="001E1D80">
        <w:t xml:space="preserve">(646), 259. </w:t>
      </w:r>
      <w:hyperlink r:id="rId209" w:history="1">
        <w:r w:rsidRPr="001E1D80">
          <w:rPr>
            <w:rStyle w:val="Hyperkobling"/>
          </w:rPr>
          <w:t>https://doi.org/10.3399/bjgp16X685021</w:t>
        </w:r>
      </w:hyperlink>
    </w:p>
    <w:p w14:paraId="0FDCFA92" w14:textId="77777777" w:rsidR="00A930FB" w:rsidRPr="001E1D80" w:rsidRDefault="00A930FB" w:rsidP="008F5AD8">
      <w:pPr>
        <w:pStyle w:val="opplisting"/>
      </w:pPr>
      <w:r w:rsidRPr="001E1D80">
        <w:t xml:space="preserve">Spilker, R. A. C. S., Kour, P., Bruun, T., Indseth, T., Austveg, B., &amp; Straiton, M. L. (26.08.2022). </w:t>
      </w:r>
      <w:r w:rsidRPr="001E1D80">
        <w:rPr>
          <w:i/>
        </w:rPr>
        <w:t>Helse blant personer med innvandrerbakgrunn</w:t>
      </w:r>
      <w:r w:rsidRPr="001E1D80">
        <w:t>. [nettdokument]. Folkehelseinstituttet. Hentet 16.01.23</w:t>
      </w:r>
    </w:p>
    <w:p w14:paraId="5D7DA16B" w14:textId="750E596B" w:rsidR="00A930FB" w:rsidRPr="00FF4077" w:rsidRDefault="00A930FB" w:rsidP="008F5AD8">
      <w:pPr>
        <w:pStyle w:val="opplisting"/>
        <w:rPr>
          <w:lang w:val="en-US"/>
        </w:rPr>
      </w:pPr>
      <w:r w:rsidRPr="001E1D80">
        <w:t xml:space="preserve">Sripa, P., Hayhoe, B., Garg, P., Majeed, A., &amp; Greenfield, G. (2019). </w:t>
      </w:r>
      <w:r w:rsidRPr="00FF4077">
        <w:rPr>
          <w:lang w:val="en-US"/>
        </w:rPr>
        <w:t xml:space="preserve">Impact of GP gatekeeping on quality of care, and health outcomes, use, and expenditure: a systematic review. </w:t>
      </w:r>
      <w:r w:rsidRPr="00FF4077">
        <w:rPr>
          <w:i/>
          <w:lang w:val="en-US"/>
        </w:rPr>
        <w:t>Br J Gen Pract, 69</w:t>
      </w:r>
      <w:r w:rsidRPr="00FF4077">
        <w:rPr>
          <w:lang w:val="en-US"/>
        </w:rPr>
        <w:t xml:space="preserve">(682), e294-e303. </w:t>
      </w:r>
      <w:hyperlink r:id="rId210" w:history="1">
        <w:r w:rsidRPr="00FF4077">
          <w:rPr>
            <w:rStyle w:val="Hyperkobling"/>
            <w:lang w:val="en-US"/>
          </w:rPr>
          <w:t>https://doi.org/10.3399/bjgp19X702209</w:t>
        </w:r>
      </w:hyperlink>
    </w:p>
    <w:p w14:paraId="24DB6A46" w14:textId="043A12EE" w:rsidR="00A930FB" w:rsidRPr="001E1D80" w:rsidRDefault="00A930FB" w:rsidP="008F5AD8">
      <w:pPr>
        <w:pStyle w:val="opplisting"/>
      </w:pPr>
      <w:r w:rsidRPr="00FF4077">
        <w:rPr>
          <w:lang w:val="en-US"/>
        </w:rPr>
        <w:t xml:space="preserve">SRMC. </w:t>
      </w:r>
      <w:r w:rsidRPr="00FF4077">
        <w:rPr>
          <w:i/>
          <w:lang w:val="en-US"/>
        </w:rPr>
        <w:t>Welcome to the SRMC…</w:t>
      </w:r>
      <w:r w:rsidRPr="00FF4077">
        <w:rPr>
          <w:lang w:val="en-US"/>
        </w:rPr>
        <w:t xml:space="preserve">. [nettdokument]. Scottish Rural Medicine Collaborative. </w:t>
      </w:r>
      <w:r w:rsidRPr="001E1D80">
        <w:t xml:space="preserve">Hentet 22. mars 2023, fra </w:t>
      </w:r>
      <w:hyperlink r:id="rId211" w:history="1">
        <w:r w:rsidRPr="001E1D80">
          <w:rPr>
            <w:rStyle w:val="Hyperkobling"/>
          </w:rPr>
          <w:t>https://www.srmc.scot.nhs.uk/</w:t>
        </w:r>
      </w:hyperlink>
    </w:p>
    <w:p w14:paraId="6EF4976A" w14:textId="2C142F6A" w:rsidR="00A930FB" w:rsidRPr="001E1D80" w:rsidRDefault="00A930FB" w:rsidP="008F5AD8">
      <w:pPr>
        <w:pStyle w:val="opplisting"/>
      </w:pPr>
      <w:r w:rsidRPr="001E1D80">
        <w:t xml:space="preserve">SSB. </w:t>
      </w:r>
      <w:r w:rsidRPr="001E1D80">
        <w:rPr>
          <w:i/>
        </w:rPr>
        <w:t xml:space="preserve">Helseregnskap: 10814: Helseutgifter, etter type tjeneste (mill. kr) 1997 – 2021. Statistikkbanken </w:t>
      </w:r>
      <w:r w:rsidRPr="001E1D80">
        <w:t xml:space="preserve">SSB. 19.03.23, fra </w:t>
      </w:r>
      <w:hyperlink r:id="rId212" w:history="1">
        <w:r w:rsidRPr="001E1D80">
          <w:rPr>
            <w:rStyle w:val="Hyperkobling"/>
          </w:rPr>
          <w:t>https://www.ssb.no/statbank/table/10814/</w:t>
        </w:r>
      </w:hyperlink>
    </w:p>
    <w:p w14:paraId="190DFCFD" w14:textId="7ED0FB87" w:rsidR="00A930FB" w:rsidRPr="001E1D80" w:rsidRDefault="00A930FB" w:rsidP="008F5AD8">
      <w:pPr>
        <w:pStyle w:val="opplisting"/>
      </w:pPr>
      <w:r w:rsidRPr="001E1D80">
        <w:t xml:space="preserve">SSB. </w:t>
      </w:r>
      <w:r w:rsidRPr="001E1D80">
        <w:rPr>
          <w:i/>
        </w:rPr>
        <w:t>1 av 5 nyutdanna sykepleiere jobber ikke i helsetjenesten</w:t>
      </w:r>
      <w:r w:rsidR="00D9107F">
        <w:rPr>
          <w:i/>
        </w:rPr>
        <w:t xml:space="preserve"> </w:t>
      </w:r>
      <w:r w:rsidRPr="001E1D80">
        <w:t>30.03.23</w:t>
      </w:r>
    </w:p>
    <w:p w14:paraId="0285F022" w14:textId="77777777" w:rsidR="00A930FB" w:rsidRPr="001E1D80" w:rsidRDefault="00A930FB" w:rsidP="008F5AD8">
      <w:pPr>
        <w:pStyle w:val="opplisting"/>
      </w:pPr>
      <w:r w:rsidRPr="001E1D80">
        <w:t xml:space="preserve">Stakkestad, I., &amp; Nielsen, K. B. (09.02.2023). </w:t>
      </w:r>
      <w:r w:rsidRPr="001E1D80">
        <w:rPr>
          <w:i/>
        </w:rPr>
        <w:t>Så mye er vanlig å spare til pensjon i bransjen din</w:t>
      </w:r>
      <w:r w:rsidRPr="001E1D80">
        <w:t>. [nettdokument]. Oslo: Storebrand. Hentet 5. februar 2023</w:t>
      </w:r>
    </w:p>
    <w:p w14:paraId="7A6C4F4F" w14:textId="77777777" w:rsidR="00D9107F" w:rsidRDefault="00A930FB" w:rsidP="008F5AD8">
      <w:pPr>
        <w:pStyle w:val="opplisting"/>
        <w:rPr>
          <w:i/>
        </w:rPr>
      </w:pPr>
      <w:r w:rsidRPr="001E1D80">
        <w:t>Staten, K., RHF, Den norske legeforening, &amp; Helsedirektoratet. (2019).</w:t>
      </w:r>
      <w:r w:rsidRPr="001E1D80">
        <w:rPr>
          <w:i/>
        </w:rPr>
        <w:t xml:space="preserve"> Oppfølging etter protokoll av 1.10.2018. Oslo: Partene</w:t>
      </w:r>
    </w:p>
    <w:p w14:paraId="7628DD36" w14:textId="3185F09C" w:rsidR="00A930FB" w:rsidRPr="001E1D80" w:rsidRDefault="00A930FB" w:rsidP="008F5AD8">
      <w:pPr>
        <w:pStyle w:val="opplisting"/>
      </w:pPr>
      <w:r w:rsidRPr="001E1D80">
        <w:t xml:space="preserve">Steinsbekk, A., Grimsmo, A., &amp; Kalseth, J. (2020). </w:t>
      </w:r>
      <w:r w:rsidRPr="001E1D80">
        <w:rPr>
          <w:i/>
        </w:rPr>
        <w:t>Risikojustering i finansieringsmodeller for teambasert fastlegeordning</w:t>
      </w:r>
      <w:r w:rsidRPr="001E1D80">
        <w:t>. Institutt for samfunnsmedisin og sykepleie, Fakultet for medisin og helsevitenskap, NTNU.</w:t>
      </w:r>
    </w:p>
    <w:p w14:paraId="287BBE7F" w14:textId="77777777" w:rsidR="00D9107F" w:rsidRDefault="00A930FB" w:rsidP="008F5AD8">
      <w:pPr>
        <w:pStyle w:val="opplisting"/>
      </w:pPr>
      <w:r w:rsidRPr="00FF4077">
        <w:rPr>
          <w:lang w:val="en-US"/>
        </w:rPr>
        <w:t xml:space="preserve">Stobbe, E. J., Groenewegen, P. P., &amp; Schäfer, W. (2021). Job satisfaction of general practitioners: a cross-sectional survey in 34 countries. </w:t>
      </w:r>
      <w:r w:rsidRPr="001E1D80">
        <w:rPr>
          <w:i/>
        </w:rPr>
        <w:t>Human Resources for Health, 19</w:t>
      </w:r>
      <w:r w:rsidRPr="001E1D80">
        <w:t>(1), 57.</w:t>
      </w:r>
    </w:p>
    <w:p w14:paraId="603A9139" w14:textId="282B8435" w:rsidR="00A930FB" w:rsidRPr="001E1D80" w:rsidRDefault="00A930FB" w:rsidP="008F5AD8">
      <w:pPr>
        <w:pStyle w:val="opplisting"/>
      </w:pPr>
      <w:r w:rsidRPr="001E1D80">
        <w:t xml:space="preserve">Stortingets utredningsseksjon. (2022). </w:t>
      </w:r>
      <w:r w:rsidRPr="001E1D80">
        <w:rPr>
          <w:i/>
        </w:rPr>
        <w:t>Etableringskontroll med private helsetjenester</w:t>
      </w:r>
      <w:r w:rsidRPr="001E1D80">
        <w:t>. Stortinget.</w:t>
      </w:r>
    </w:p>
    <w:p w14:paraId="32F1162D" w14:textId="175D43C2" w:rsidR="00A930FB" w:rsidRPr="001E1D80" w:rsidRDefault="00A930FB" w:rsidP="008F5AD8">
      <w:pPr>
        <w:pStyle w:val="opplisting"/>
      </w:pPr>
      <w:r w:rsidRPr="001E1D80">
        <w:t xml:space="preserve">Styrelsen for Arbejdsmarked og Rekruttering. </w:t>
      </w:r>
      <w:r w:rsidRPr="001E1D80">
        <w:rPr>
          <w:i/>
        </w:rPr>
        <w:t>Sygedagpenge, hvis du er lønmodtager</w:t>
      </w:r>
      <w:r w:rsidRPr="001E1D80">
        <w:t xml:space="preserve">. [nettdokument]. borger.dk. Hentet 04.01.23, fra </w:t>
      </w:r>
      <w:hyperlink r:id="rId213" w:history="1">
        <w:r w:rsidRPr="001E1D80">
          <w:rPr>
            <w:rStyle w:val="Hyperkobling"/>
          </w:rPr>
          <w:t>https://www.borger.dk/arbejde-dagpenge-ferie/Dagpenge-kontanthjaelp-og-sygedagpenge/Sygedagpenge/Sygedagpenge-hvis-du-er-loenmodtager</w:t>
        </w:r>
      </w:hyperlink>
    </w:p>
    <w:p w14:paraId="3CD80362" w14:textId="2764F93C" w:rsidR="00A930FB" w:rsidRPr="001E1D80" w:rsidRDefault="00A930FB" w:rsidP="008F5AD8">
      <w:pPr>
        <w:pStyle w:val="opplisting"/>
      </w:pPr>
      <w:r w:rsidRPr="001E1D80">
        <w:lastRenderedPageBreak/>
        <w:t xml:space="preserve">Sundet.dk. </w:t>
      </w:r>
      <w:r w:rsidRPr="001E1D80">
        <w:rPr>
          <w:i/>
        </w:rPr>
        <w:t>Lægeattest ved sygefravær</w:t>
      </w:r>
      <w:r w:rsidRPr="001E1D80">
        <w:t xml:space="preserve">. [nettdokument]. Brande: Lægerne Brande. Hentet 24.02.2023, fra </w:t>
      </w:r>
      <w:hyperlink r:id="rId214" w:history="1">
        <w:r w:rsidRPr="001E1D80">
          <w:rPr>
            <w:rStyle w:val="Hyperkobling"/>
          </w:rPr>
          <w:t>https://laegerne-brande.dk/laegeattest-ved-sygefravaer/</w:t>
        </w:r>
      </w:hyperlink>
    </w:p>
    <w:p w14:paraId="04494321" w14:textId="77777777" w:rsidR="00A930FB" w:rsidRPr="001E1D80" w:rsidRDefault="00A930FB" w:rsidP="008F5AD8">
      <w:pPr>
        <w:pStyle w:val="opplisting"/>
      </w:pPr>
      <w:r w:rsidRPr="001E1D80">
        <w:t xml:space="preserve">Sundhedsstyrelsen. (2021). </w:t>
      </w:r>
      <w:r w:rsidRPr="001E1D80">
        <w:rPr>
          <w:i/>
        </w:rPr>
        <w:t>Dimensioneringsplan 2022-2023: Speciallægeuddannelsen</w:t>
      </w:r>
      <w:r w:rsidRPr="001E1D80">
        <w:t>. København: Sundhedsstyrelsen.</w:t>
      </w:r>
    </w:p>
    <w:p w14:paraId="7D7E4FDE" w14:textId="77777777" w:rsidR="00A930FB" w:rsidRPr="001E1D80" w:rsidRDefault="00A930FB" w:rsidP="008F5AD8">
      <w:pPr>
        <w:pStyle w:val="opplisting"/>
      </w:pPr>
      <w:r w:rsidRPr="001E1D80">
        <w:t xml:space="preserve">Sundhetsministeriet. (2022). </w:t>
      </w:r>
      <w:r w:rsidRPr="001E1D80">
        <w:rPr>
          <w:i/>
        </w:rPr>
        <w:t>Sundhetsreformen: Gør Danmark sundere</w:t>
      </w:r>
      <w:r w:rsidRPr="001E1D80">
        <w:t xml:space="preserve"> (MARTS 2022). København: Sundhetsministeriet.</w:t>
      </w:r>
    </w:p>
    <w:p w14:paraId="67FCBA23" w14:textId="45AF5111" w:rsidR="00A930FB" w:rsidRPr="001E1D80" w:rsidRDefault="00A930FB" w:rsidP="008F5AD8">
      <w:pPr>
        <w:pStyle w:val="opplisting"/>
      </w:pPr>
      <w:r w:rsidRPr="001E1D80">
        <w:t xml:space="preserve">Sundhetsstyrelsen. (2021). </w:t>
      </w:r>
      <w:r w:rsidRPr="001E1D80">
        <w:rPr>
          <w:i/>
        </w:rPr>
        <w:t>Nærhospitaler</w:t>
      </w:r>
      <w:r w:rsidR="00D9107F">
        <w:rPr>
          <w:i/>
        </w:rPr>
        <w:t xml:space="preserve"> – </w:t>
      </w:r>
      <w:r w:rsidRPr="001E1D80">
        <w:rPr>
          <w:i/>
        </w:rPr>
        <w:t>Skitse til fagligt oplæg</w:t>
      </w:r>
      <w:r w:rsidRPr="001E1D80">
        <w:t>. København: Sundhetsstyrelsen.</w:t>
      </w:r>
    </w:p>
    <w:p w14:paraId="26E9F75D" w14:textId="77777777" w:rsidR="00A930FB" w:rsidRPr="001E1D80" w:rsidRDefault="00A930FB" w:rsidP="008F5AD8">
      <w:pPr>
        <w:pStyle w:val="opplisting"/>
      </w:pPr>
      <w:r w:rsidRPr="001E1D80">
        <w:t xml:space="preserve">Svensk förening för allmänmedicin. </w:t>
      </w:r>
      <w:r w:rsidRPr="001E1D80">
        <w:rPr>
          <w:i/>
        </w:rPr>
        <w:t>FQ-grupper</w:t>
      </w:r>
      <w:r w:rsidRPr="001E1D80">
        <w:t>. [nettdokument]. Stockholm: sfam.se. Hentet 03.01.2023</w:t>
      </w:r>
    </w:p>
    <w:p w14:paraId="0C255B6E" w14:textId="0679B730" w:rsidR="00A930FB" w:rsidRPr="001E1D80" w:rsidRDefault="00A930FB" w:rsidP="008F5AD8">
      <w:pPr>
        <w:pStyle w:val="opplisting"/>
      </w:pPr>
      <w:r w:rsidRPr="001E1D80">
        <w:t xml:space="preserve">Svensk Försäkring. </w:t>
      </w:r>
      <w:r w:rsidRPr="001E1D80">
        <w:rPr>
          <w:i/>
        </w:rPr>
        <w:t>Så här fungerar en privat sjukvårdsförsäkring</w:t>
      </w:r>
      <w:r w:rsidR="00D9107F">
        <w:rPr>
          <w:i/>
        </w:rPr>
        <w:t xml:space="preserve"> </w:t>
      </w:r>
      <w:r w:rsidRPr="001E1D80">
        <w:t xml:space="preserve">Svensk Försäkring. fra </w:t>
      </w:r>
      <w:hyperlink r:id="rId215" w:history="1">
        <w:r w:rsidRPr="001E1D80">
          <w:rPr>
            <w:rStyle w:val="Hyperkobling"/>
          </w:rPr>
          <w:t>https://www.svenskforsakring.se/</w:t>
        </w:r>
      </w:hyperlink>
    </w:p>
    <w:p w14:paraId="5A9957C7" w14:textId="77777777" w:rsidR="00A930FB" w:rsidRPr="001E1D80" w:rsidRDefault="00A930FB" w:rsidP="008F5AD8">
      <w:pPr>
        <w:pStyle w:val="opplisting"/>
      </w:pPr>
      <w:r w:rsidRPr="001E1D80">
        <w:t xml:space="preserve">Sveriges Kommuner och Regioner. (2023a). </w:t>
      </w:r>
      <w:r w:rsidRPr="001E1D80">
        <w:rPr>
          <w:i/>
        </w:rPr>
        <w:t>Hälso- och sjukvårdsbarometern 2022: befolkningens attityder till, förtroende för och uppfattning om hälso- och sjukvården</w:t>
      </w:r>
      <w:r w:rsidRPr="001E1D80">
        <w:t>. Stockholm: Sveriges Kommuner och Regioner.</w:t>
      </w:r>
    </w:p>
    <w:p w14:paraId="0F225BE2" w14:textId="77777777" w:rsidR="00A930FB" w:rsidRPr="001E1D80" w:rsidRDefault="00A930FB" w:rsidP="008F5AD8">
      <w:pPr>
        <w:pStyle w:val="opplisting"/>
      </w:pPr>
      <w:r w:rsidRPr="001E1D80">
        <w:t xml:space="preserve">Sveriges Kommuner och Regioner. (06.03.2023). </w:t>
      </w:r>
      <w:r w:rsidRPr="001E1D80">
        <w:rPr>
          <w:i/>
        </w:rPr>
        <w:t>Nationella taxan för privata läkare och fysioterapeuter</w:t>
      </w:r>
      <w:r w:rsidRPr="001E1D80">
        <w:t>. [nettdokument]. Stockholm: Sveriges Kommuner och Regioner. Hentet 22. mars 2023</w:t>
      </w:r>
    </w:p>
    <w:p w14:paraId="7D3978E5" w14:textId="77777777" w:rsidR="00A930FB" w:rsidRPr="001E1D80" w:rsidRDefault="00A930FB" w:rsidP="008F5AD8">
      <w:pPr>
        <w:pStyle w:val="opplisting"/>
      </w:pPr>
      <w:r w:rsidRPr="001E1D80">
        <w:t xml:space="preserve">Sveriges kommuner og regioner. (2021). </w:t>
      </w:r>
      <w:r w:rsidRPr="001E1D80">
        <w:rPr>
          <w:i/>
        </w:rPr>
        <w:t>Ersätningsmodeller i primärvården</w:t>
      </w:r>
      <w:r w:rsidRPr="001E1D80">
        <w:t>. Stockholm: Sveriges kommuner og regioner. Hentet fra Ersättningsmodeller i primärvården (skr.se)</w:t>
      </w:r>
    </w:p>
    <w:p w14:paraId="532A9424" w14:textId="3A98256E" w:rsidR="00A930FB" w:rsidRPr="001E1D80" w:rsidRDefault="00A930FB" w:rsidP="008F5AD8">
      <w:pPr>
        <w:pStyle w:val="opplisting"/>
      </w:pPr>
      <w:r w:rsidRPr="001E1D80">
        <w:t xml:space="preserve">Sveriges kommuner og regioner. </w:t>
      </w:r>
      <w:r w:rsidRPr="001E1D80">
        <w:rPr>
          <w:i/>
        </w:rPr>
        <w:t>Ersättningsformer i primärvård</w:t>
      </w:r>
      <w:r w:rsidRPr="001E1D80">
        <w:t xml:space="preserve">. Sveriges kommuner og regioner,. fra </w:t>
      </w:r>
      <w:hyperlink r:id="rId216" w:history="1">
        <w:r w:rsidRPr="001E1D80">
          <w:rPr>
            <w:rStyle w:val="Hyperkobling"/>
          </w:rPr>
          <w:t>https://skr.se/demokratiledningstyrning/driftformervalfrihet/valfrihetssystemochersattningsmodeller/halsoochsjukvard/ersattningsmodellerhalsoochsjukvard/ersattningsmodelleriprimarvard.2061.html</w:t>
        </w:r>
      </w:hyperlink>
    </w:p>
    <w:p w14:paraId="4FE627D3" w14:textId="0981D7E2" w:rsidR="00A930FB" w:rsidRPr="001E1D80" w:rsidRDefault="00A930FB" w:rsidP="008F5AD8">
      <w:pPr>
        <w:pStyle w:val="opplisting"/>
      </w:pPr>
      <w:r w:rsidRPr="001E1D80">
        <w:t xml:space="preserve">Sykehuset Innlandet. (2021). </w:t>
      </w:r>
      <w:r w:rsidRPr="001E1D80">
        <w:rPr>
          <w:i/>
        </w:rPr>
        <w:t xml:space="preserve">Sluttrapport for prosjektet </w:t>
      </w:r>
      <w:r w:rsidR="00D9107F">
        <w:rPr>
          <w:i/>
        </w:rPr>
        <w:t>«</w:t>
      </w:r>
      <w:r w:rsidRPr="001E1D80">
        <w:rPr>
          <w:i/>
        </w:rPr>
        <w:t>Digital samhandling i pasientforløp</w:t>
      </w:r>
      <w:r w:rsidR="00D9107F">
        <w:rPr>
          <w:i/>
        </w:rPr>
        <w:t>»</w:t>
      </w:r>
      <w:r w:rsidRPr="001E1D80">
        <w:rPr>
          <w:i/>
        </w:rPr>
        <w:t>. Optimalisering av pasientforløp og prehospital beslutningsstøtte.</w:t>
      </w:r>
      <w:r w:rsidRPr="001E1D80">
        <w:t xml:space="preserve"> Brumunddal: Sykehuset Innlandet.</w:t>
      </w:r>
    </w:p>
    <w:p w14:paraId="5537B7B1" w14:textId="77777777" w:rsidR="00A930FB" w:rsidRPr="001E1D80" w:rsidRDefault="00A930FB" w:rsidP="008F5AD8">
      <w:pPr>
        <w:pStyle w:val="opplisting"/>
      </w:pPr>
      <w:r w:rsidRPr="001E1D80">
        <w:t xml:space="preserve">Sykehuset Telemark. (2020). </w:t>
      </w:r>
      <w:r w:rsidRPr="001E1D80">
        <w:rPr>
          <w:i/>
        </w:rPr>
        <w:t>Akuttkjeden Telemark. Akuttkjedeprosjektet 2016-2020. Sluttrapport.</w:t>
      </w:r>
      <w:r w:rsidRPr="001E1D80">
        <w:t xml:space="preserve"> Skien: Sykehuset Telemark.</w:t>
      </w:r>
    </w:p>
    <w:p w14:paraId="12AD7713" w14:textId="77777777" w:rsidR="00A930FB" w:rsidRPr="00FF4077" w:rsidRDefault="00A930FB" w:rsidP="008F5AD8">
      <w:pPr>
        <w:pStyle w:val="opplisting"/>
        <w:rPr>
          <w:lang w:val="en-US"/>
        </w:rPr>
      </w:pPr>
      <w:r w:rsidRPr="00FF4077">
        <w:rPr>
          <w:lang w:val="en-US"/>
        </w:rPr>
        <w:t xml:space="preserve">Syrjä V., Parviainen L., &amp; A, N. (2020). </w:t>
      </w:r>
      <w:r w:rsidRPr="00FF4077">
        <w:rPr>
          <w:i/>
          <w:lang w:val="en-US"/>
        </w:rPr>
        <w:t>Outpatient care arrangements at health centres 2019 – outsourcing, personnel, work inputs and transfers of tasks</w:t>
      </w:r>
      <w:r w:rsidRPr="00FF4077">
        <w:rPr>
          <w:lang w:val="en-US"/>
        </w:rPr>
        <w:t xml:space="preserve"> (Data Brief 21). Helsinki: Finnish Institute for Health and Welfare (THL).</w:t>
      </w:r>
    </w:p>
    <w:p w14:paraId="13C6FF98" w14:textId="77777777" w:rsidR="00D9107F" w:rsidRDefault="00A930FB" w:rsidP="008F5AD8">
      <w:pPr>
        <w:pStyle w:val="opplisting"/>
      </w:pPr>
      <w:r w:rsidRPr="00FF4077">
        <w:rPr>
          <w:lang w:val="en-US"/>
        </w:rPr>
        <w:t xml:space="preserve">Texmon, I. (2018). </w:t>
      </w:r>
      <w:r w:rsidRPr="001E1D80">
        <w:t>Kortere pasientlister, lengre arbeidsdager. SSB analyse 2018/14. .</w:t>
      </w:r>
    </w:p>
    <w:p w14:paraId="65DE5D68" w14:textId="2E47CE6D" w:rsidR="00A930FB" w:rsidRPr="00FF4077" w:rsidRDefault="00A930FB" w:rsidP="008F5AD8">
      <w:pPr>
        <w:pStyle w:val="opplisting"/>
        <w:rPr>
          <w:lang w:val="en-US"/>
        </w:rPr>
      </w:pPr>
      <w:r w:rsidRPr="00FF4077">
        <w:rPr>
          <w:lang w:val="en-US"/>
        </w:rPr>
        <w:t xml:space="preserve">The Health Foundationc. (2022). </w:t>
      </w:r>
      <w:r w:rsidRPr="00FF4077">
        <w:rPr>
          <w:i/>
          <w:lang w:val="en-US"/>
        </w:rPr>
        <w:t>Public perceptions of health and social care (November–December 2021): The first wave of results from our 2-year programme of UK-wide public polling delivered in partnership with Ipsos</w:t>
      </w:r>
      <w:r w:rsidRPr="00FF4077">
        <w:rPr>
          <w:lang w:val="en-US"/>
        </w:rPr>
        <w:t>. The Health Foundation.</w:t>
      </w:r>
    </w:p>
    <w:p w14:paraId="71373E56" w14:textId="77777777" w:rsidR="00D9107F" w:rsidRPr="00FF4077" w:rsidRDefault="00A930FB" w:rsidP="008F5AD8">
      <w:pPr>
        <w:pStyle w:val="opplisting"/>
        <w:rPr>
          <w:lang w:val="en-US"/>
        </w:rPr>
      </w:pPr>
      <w:r w:rsidRPr="00FF4077">
        <w:rPr>
          <w:lang w:val="en-US"/>
        </w:rPr>
        <w:t>The Scottish Government. (2018). GMS contract</w:t>
      </w:r>
    </w:p>
    <w:p w14:paraId="249E3C17" w14:textId="54483572" w:rsidR="00A930FB" w:rsidRPr="001E1D80" w:rsidRDefault="00A930FB" w:rsidP="008F5AD8">
      <w:pPr>
        <w:pStyle w:val="opplisting"/>
      </w:pPr>
      <w:r w:rsidRPr="00FF4077">
        <w:rPr>
          <w:lang w:val="en-US"/>
        </w:rPr>
        <w:lastRenderedPageBreak/>
        <w:t xml:space="preserve">The Scottish Government. (2022). </w:t>
      </w:r>
      <w:r w:rsidRPr="00FF4077">
        <w:rPr>
          <w:i/>
          <w:lang w:val="en-US"/>
        </w:rPr>
        <w:t>Health and Care Experience Survey 2021/22: National Results</w:t>
      </w:r>
      <w:r w:rsidRPr="00FF4077">
        <w:rPr>
          <w:lang w:val="en-US"/>
        </w:rPr>
        <w:t xml:space="preserve">. </w:t>
      </w:r>
      <w:r w:rsidRPr="001E1D80">
        <w:t>Edinburgh: The Scottish Government.</w:t>
      </w:r>
    </w:p>
    <w:p w14:paraId="533049F7" w14:textId="31EEBD05" w:rsidR="00A930FB" w:rsidRPr="001E1D80" w:rsidRDefault="00A930FB" w:rsidP="008F5AD8">
      <w:pPr>
        <w:pStyle w:val="opplisting"/>
      </w:pPr>
      <w:r w:rsidRPr="001E1D80">
        <w:t xml:space="preserve">Troms og Finnmark Fylkeskommune. </w:t>
      </w:r>
      <w:r w:rsidRPr="001E1D80">
        <w:rPr>
          <w:i/>
        </w:rPr>
        <w:t>Tiltakssonen i Finnmark og Nord-Troms</w:t>
      </w:r>
      <w:r w:rsidRPr="001E1D80">
        <w:t xml:space="preserve">. 2023, fra </w:t>
      </w:r>
      <w:hyperlink r:id="rId217" w:history="1">
        <w:r w:rsidRPr="001E1D80">
          <w:rPr>
            <w:rStyle w:val="Hyperkobling"/>
          </w:rPr>
          <w:t>https://www.tffk.no/om-oss/tiltakssonen/</w:t>
        </w:r>
      </w:hyperlink>
    </w:p>
    <w:p w14:paraId="5420C714" w14:textId="77777777" w:rsidR="00A930FB" w:rsidRPr="001E1D80" w:rsidRDefault="00A930FB" w:rsidP="008F5AD8">
      <w:pPr>
        <w:pStyle w:val="opplisting"/>
      </w:pPr>
      <w:r w:rsidRPr="001E1D80">
        <w:t xml:space="preserve">Tromsø kommune. (2020). </w:t>
      </w:r>
      <w:r w:rsidRPr="001E1D80">
        <w:rPr>
          <w:i/>
        </w:rPr>
        <w:t>Utredning av fastlegeordningen i Tromsø</w:t>
      </w:r>
      <w:r w:rsidRPr="001E1D80">
        <w:t>. Tromsø: Tromsø kommune.</w:t>
      </w:r>
    </w:p>
    <w:p w14:paraId="1DDAC02A" w14:textId="77777777" w:rsidR="00A930FB" w:rsidRPr="001E1D80" w:rsidRDefault="00A930FB" w:rsidP="008F5AD8">
      <w:pPr>
        <w:pStyle w:val="opplisting"/>
      </w:pPr>
      <w:r w:rsidRPr="001E1D80">
        <w:t xml:space="preserve">Tømmerbakke, S. G. (24.06.2022). </w:t>
      </w:r>
      <w:r w:rsidRPr="001E1D80">
        <w:rPr>
          <w:i/>
        </w:rPr>
        <w:t>37 kommuner får 50 millioner til legevakt</w:t>
      </w:r>
      <w:r w:rsidRPr="001E1D80">
        <w:t>. [nettartikkel]. Oslo: Dagens medisin. Hentet 10.03.2023</w:t>
      </w:r>
    </w:p>
    <w:p w14:paraId="39FE3081" w14:textId="77777777" w:rsidR="00D9107F" w:rsidRPr="00FF4077" w:rsidRDefault="00A930FB" w:rsidP="008F5AD8">
      <w:pPr>
        <w:pStyle w:val="opplisting"/>
        <w:rPr>
          <w:lang w:val="en-US"/>
        </w:rPr>
      </w:pPr>
      <w:r w:rsidRPr="001E1D80">
        <w:t xml:space="preserve">Uglenes, I. C. (2022). Er e-konsultasjon hos fastlegen god samfunnsøkonomi? </w:t>
      </w:r>
      <w:r w:rsidRPr="00FF4077">
        <w:rPr>
          <w:i/>
          <w:lang w:val="en-US"/>
        </w:rPr>
        <w:t xml:space="preserve">Dagens medisin, </w:t>
      </w:r>
      <w:r w:rsidRPr="00FF4077">
        <w:rPr>
          <w:lang w:val="en-US"/>
        </w:rPr>
        <w:t>(Fredag 16. desember 2022).</w:t>
      </w:r>
    </w:p>
    <w:p w14:paraId="14554F5B" w14:textId="6F5F66F8" w:rsidR="00A930FB" w:rsidRPr="001E1D80" w:rsidRDefault="00A930FB" w:rsidP="008F5AD8">
      <w:pPr>
        <w:pStyle w:val="opplisting"/>
      </w:pPr>
      <w:r w:rsidRPr="00FF4077">
        <w:rPr>
          <w:lang w:val="en-US"/>
        </w:rPr>
        <w:t xml:space="preserve">University of Glascow. </w:t>
      </w:r>
      <w:r w:rsidRPr="00FF4077">
        <w:rPr>
          <w:i/>
          <w:lang w:val="en-US"/>
        </w:rPr>
        <w:t>The Scottish Deep End Project</w:t>
      </w:r>
      <w:r w:rsidRPr="00FF4077">
        <w:rPr>
          <w:lang w:val="en-US"/>
        </w:rPr>
        <w:t xml:space="preserve">. </w:t>
      </w:r>
      <w:r w:rsidRPr="001E1D80">
        <w:t xml:space="preserve">[nettdokument]. University of Glasgow,. Hentet 20. mars 2023, fra </w:t>
      </w:r>
      <w:hyperlink r:id="rId218" w:history="1">
        <w:r w:rsidRPr="001E1D80">
          <w:rPr>
            <w:rStyle w:val="Hyperkobling"/>
          </w:rPr>
          <w:t>https://www.gla.ac.uk/schools/healthwellbeing/research/generalpractice/deepend/</w:t>
        </w:r>
      </w:hyperlink>
    </w:p>
    <w:p w14:paraId="1E2706DA" w14:textId="17B07328" w:rsidR="00A930FB" w:rsidRPr="00FF4077" w:rsidRDefault="00A930FB" w:rsidP="008F5AD8">
      <w:pPr>
        <w:pStyle w:val="opplisting"/>
        <w:rPr>
          <w:lang w:val="en-US"/>
        </w:rPr>
      </w:pPr>
      <w:r w:rsidRPr="001E1D80">
        <w:t xml:space="preserve">van de Ven, A., Polley, D. E., Garud, R., &amp; Venkataraman, S. (2000). </w:t>
      </w:r>
      <w:r w:rsidRPr="00FF4077">
        <w:rPr>
          <w:lang w:val="en-US"/>
        </w:rPr>
        <w:t xml:space="preserve">The Innovation Journey. </w:t>
      </w:r>
      <w:r w:rsidRPr="00FF4077">
        <w:rPr>
          <w:i/>
          <w:lang w:val="en-US"/>
        </w:rPr>
        <w:t>The Academy of Management Review, 25</w:t>
      </w:r>
      <w:r w:rsidRPr="00FF4077">
        <w:rPr>
          <w:lang w:val="en-US"/>
        </w:rPr>
        <w:t xml:space="preserve">(4), 885-887. </w:t>
      </w:r>
      <w:hyperlink r:id="rId219" w:history="1">
        <w:r w:rsidRPr="00FF4077">
          <w:rPr>
            <w:rStyle w:val="Hyperkobling"/>
            <w:lang w:val="en-US"/>
          </w:rPr>
          <w:t>https://doi.org/https://doi.org/10.5465/amr.2000.3707754</w:t>
        </w:r>
      </w:hyperlink>
    </w:p>
    <w:p w14:paraId="384518EC" w14:textId="68569B02" w:rsidR="00A930FB" w:rsidRPr="00FF4077" w:rsidRDefault="00A930FB" w:rsidP="008F5AD8">
      <w:pPr>
        <w:pStyle w:val="opplisting"/>
        <w:rPr>
          <w:lang w:val="en-US"/>
        </w:rPr>
      </w:pPr>
      <w:r w:rsidRPr="00FF4077">
        <w:rPr>
          <w:lang w:val="en-US"/>
        </w:rPr>
        <w:t xml:space="preserve">van Dijk, C. E., van den Berg, B., Verheij, R. A., Spreeuwenberg, P., Groenewegen, P. P., &amp; de Bakker, D. H. (2013). Moral hazard and supplier-induced demand: empirical evidence in general practice. </w:t>
      </w:r>
      <w:r w:rsidRPr="00FF4077">
        <w:rPr>
          <w:i/>
          <w:lang w:val="en-US"/>
        </w:rPr>
        <w:t>Health Econ, 22</w:t>
      </w:r>
      <w:r w:rsidRPr="00FF4077">
        <w:rPr>
          <w:lang w:val="en-US"/>
        </w:rPr>
        <w:t xml:space="preserve">(3), 340-352. </w:t>
      </w:r>
      <w:hyperlink r:id="rId220" w:history="1">
        <w:r w:rsidRPr="00FF4077">
          <w:rPr>
            <w:rStyle w:val="Hyperkobling"/>
            <w:lang w:val="en-US"/>
          </w:rPr>
          <w:t>https://doi.org/10.1002/hec.2801</w:t>
        </w:r>
      </w:hyperlink>
    </w:p>
    <w:p w14:paraId="3E1AB7CA" w14:textId="77777777" w:rsidR="00D9107F" w:rsidRDefault="00A930FB" w:rsidP="008F5AD8">
      <w:pPr>
        <w:pStyle w:val="opplisting"/>
      </w:pPr>
      <w:r w:rsidRPr="00FF4077">
        <w:rPr>
          <w:lang w:val="en-US"/>
        </w:rPr>
        <w:t xml:space="preserve">Verma, P., Ford, J. A., Stuart, A., Howe, A., Everington, S., &amp; Steel, N. (2016). A systematic review of strategies to recruit and retain primary care doctors. </w:t>
      </w:r>
      <w:r w:rsidRPr="001E1D80">
        <w:rPr>
          <w:i/>
        </w:rPr>
        <w:t>BMC Health Services Research, 16</w:t>
      </w:r>
      <w:r w:rsidRPr="001E1D80">
        <w:t>(1), 126.</w:t>
      </w:r>
    </w:p>
    <w:p w14:paraId="647119AD" w14:textId="67979ACE" w:rsidR="00A930FB" w:rsidRPr="001E1D80" w:rsidRDefault="00A930FB" w:rsidP="008F5AD8">
      <w:pPr>
        <w:pStyle w:val="opplisting"/>
      </w:pPr>
      <w:r w:rsidRPr="001E1D80">
        <w:t xml:space="preserve">Vårdanalys. (2017). </w:t>
      </w:r>
      <w:r w:rsidRPr="001E1D80">
        <w:rPr>
          <w:i/>
        </w:rPr>
        <w:t>Primärvården i Europa : En översikt av finansiering, struktur och måluppfyllelse</w:t>
      </w:r>
      <w:r w:rsidRPr="001E1D80">
        <w:t xml:space="preserve"> (PM 2017:4). Stockholm: Vårdanalys.</w:t>
      </w:r>
    </w:p>
    <w:p w14:paraId="2629A2B0" w14:textId="77777777" w:rsidR="00A930FB" w:rsidRPr="001E1D80" w:rsidRDefault="00A930FB" w:rsidP="008F5AD8">
      <w:pPr>
        <w:pStyle w:val="opplisting"/>
      </w:pPr>
      <w:r w:rsidRPr="001E1D80">
        <w:t xml:space="preserve">Wahlstedt, P. (2019). </w:t>
      </w:r>
      <w:r w:rsidRPr="001E1D80">
        <w:rPr>
          <w:i/>
        </w:rPr>
        <w:t>Obligatorisk fortbildning inom EU: Sammanställning av vilka länder inom EU/EES och EFTA som reglerar läkares fortbildning</w:t>
      </w:r>
      <w:r w:rsidRPr="001E1D80">
        <w:t>. Stockholm: Sveriges läkarförbund.</w:t>
      </w:r>
    </w:p>
    <w:p w14:paraId="5ABA9B84" w14:textId="77777777" w:rsidR="00A930FB" w:rsidRPr="001E1D80" w:rsidRDefault="00A930FB" w:rsidP="008F5AD8">
      <w:pPr>
        <w:pStyle w:val="opplisting"/>
      </w:pPr>
      <w:r w:rsidRPr="001E1D80">
        <w:t xml:space="preserve">Welle-Nilsen, L. K., Morken, T., Granås, G., &amp; Hunskår, S. (2009). </w:t>
      </w:r>
      <w:r w:rsidRPr="001E1D80">
        <w:rPr>
          <w:i/>
        </w:rPr>
        <w:t>Alminnelige helseplager i legevakt</w:t>
      </w:r>
      <w:r w:rsidRPr="001E1D80">
        <w:t xml:space="preserve"> (2-2009). Bergen: Nasjonalt kompetansesenter for legevaktmedisin, UNIFOB.</w:t>
      </w:r>
    </w:p>
    <w:p w14:paraId="0B10D5EF" w14:textId="26E62D99" w:rsidR="00A930FB" w:rsidRPr="00FF4077" w:rsidRDefault="00A930FB" w:rsidP="008F5AD8">
      <w:pPr>
        <w:pStyle w:val="opplisting"/>
        <w:rPr>
          <w:lang w:val="en-US"/>
        </w:rPr>
      </w:pPr>
      <w:r w:rsidRPr="00FF4077">
        <w:rPr>
          <w:lang w:val="en-US"/>
        </w:rPr>
        <w:t xml:space="preserve">Wellings, D., Jefferies, D., Maguire, D., Appleby, J., Hemmings, N., Morris, J., &amp; Schlepper, L. (2022). </w:t>
      </w:r>
      <w:r w:rsidRPr="00FF4077">
        <w:rPr>
          <w:i/>
          <w:lang w:val="en-US"/>
        </w:rPr>
        <w:t>Public satisfaction with the NHS and social care in 2021: Results from the British Social Attitudes survey</w:t>
      </w:r>
      <w:r w:rsidRPr="00FF4077">
        <w:rPr>
          <w:lang w:val="en-US"/>
        </w:rPr>
        <w:t>. London: The King</w:t>
      </w:r>
      <w:r w:rsidR="00D9107F" w:rsidRPr="00FF4077">
        <w:rPr>
          <w:lang w:val="en-US"/>
        </w:rPr>
        <w:t>’</w:t>
      </w:r>
      <w:r w:rsidRPr="00FF4077">
        <w:rPr>
          <w:lang w:val="en-US"/>
        </w:rPr>
        <w:t>s Fund.</w:t>
      </w:r>
    </w:p>
    <w:p w14:paraId="62FBAA92" w14:textId="77777777" w:rsidR="00D9107F" w:rsidRPr="00FF4077" w:rsidRDefault="00A930FB" w:rsidP="008F5AD8">
      <w:pPr>
        <w:pStyle w:val="opplisting"/>
        <w:rPr>
          <w:lang w:val="en-US"/>
        </w:rPr>
      </w:pPr>
      <w:r w:rsidRPr="00FF4077">
        <w:rPr>
          <w:lang w:val="en-US"/>
        </w:rPr>
        <w:t xml:space="preserve">Wennberg, J. (2011). Time to tackle unwarranted variation in practise. </w:t>
      </w:r>
      <w:r w:rsidRPr="00FF4077">
        <w:rPr>
          <w:i/>
          <w:lang w:val="en-US"/>
        </w:rPr>
        <w:t xml:space="preserve">BMJ </w:t>
      </w:r>
      <w:r w:rsidRPr="00FF4077">
        <w:rPr>
          <w:lang w:val="en-US"/>
        </w:rPr>
        <w:t>(342), 1513.</w:t>
      </w:r>
    </w:p>
    <w:p w14:paraId="4EF4BF5C" w14:textId="220989E4" w:rsidR="00A930FB" w:rsidRPr="00FF4077" w:rsidRDefault="00A930FB" w:rsidP="008F5AD8">
      <w:pPr>
        <w:pStyle w:val="opplisting"/>
        <w:rPr>
          <w:lang w:val="en-US"/>
        </w:rPr>
      </w:pPr>
      <w:r w:rsidRPr="00FF4077">
        <w:rPr>
          <w:lang w:val="en-US"/>
        </w:rPr>
        <w:t xml:space="preserve">Wesnes, S. L., Aasland, O., &amp; Baerheim, A. (2012). Career choice and place of graduation among physicians in Norway. </w:t>
      </w:r>
      <w:r w:rsidRPr="00FF4077">
        <w:rPr>
          <w:i/>
          <w:lang w:val="en-US"/>
        </w:rPr>
        <w:t>Scand J Prim Health Care, 30</w:t>
      </w:r>
      <w:r w:rsidRPr="00FF4077">
        <w:rPr>
          <w:lang w:val="en-US"/>
        </w:rPr>
        <w:t xml:space="preserve">(1), 35-40. </w:t>
      </w:r>
      <w:hyperlink r:id="rId221" w:history="1">
        <w:r w:rsidRPr="00FF4077">
          <w:rPr>
            <w:rStyle w:val="Hyperkobling"/>
            <w:lang w:val="en-US"/>
          </w:rPr>
          <w:t>https://doi.org/10.3109/02813432.2012.654195</w:t>
        </w:r>
      </w:hyperlink>
    </w:p>
    <w:p w14:paraId="5212423C" w14:textId="77777777" w:rsidR="00A930FB" w:rsidRPr="00FF4077" w:rsidRDefault="00A930FB" w:rsidP="008F5AD8">
      <w:pPr>
        <w:pStyle w:val="opplisting"/>
        <w:rPr>
          <w:lang w:val="en-US"/>
        </w:rPr>
      </w:pPr>
      <w:r w:rsidRPr="00FF4077">
        <w:rPr>
          <w:lang w:val="en-US"/>
        </w:rPr>
        <w:t xml:space="preserve">WHO. (2007). </w:t>
      </w:r>
      <w:r w:rsidRPr="00FF4077">
        <w:rPr>
          <w:i/>
          <w:lang w:val="en-US"/>
        </w:rPr>
        <w:t>Task shifting: rational redistribution of tasks among health workforce teams</w:t>
      </w:r>
      <w:r w:rsidRPr="00FF4077">
        <w:rPr>
          <w:lang w:val="en-US"/>
        </w:rPr>
        <w:t xml:space="preserve"> (Global Recommendations and Guidelines). Genève: World Health Organization.</w:t>
      </w:r>
    </w:p>
    <w:p w14:paraId="78483A8D" w14:textId="6663819D" w:rsidR="00A930FB" w:rsidRPr="001E1D80" w:rsidRDefault="00A930FB" w:rsidP="008F5AD8">
      <w:pPr>
        <w:pStyle w:val="opplisting"/>
      </w:pPr>
      <w:r w:rsidRPr="00FF4077">
        <w:rPr>
          <w:lang w:val="en-US"/>
        </w:rPr>
        <w:lastRenderedPageBreak/>
        <w:t xml:space="preserve">WHO. (2022). </w:t>
      </w:r>
      <w:r w:rsidRPr="00FF4077">
        <w:rPr>
          <w:i/>
          <w:lang w:val="en-US"/>
        </w:rPr>
        <w:t>Health and care workforce in Europe: time to act</w:t>
      </w:r>
      <w:r w:rsidRPr="00FF4077">
        <w:rPr>
          <w:lang w:val="en-US"/>
        </w:rPr>
        <w:t xml:space="preserve">. København: World Health Organization, Regional Office for Europe. </w:t>
      </w:r>
      <w:r w:rsidRPr="001E1D80">
        <w:t xml:space="preserve">Hentet fra </w:t>
      </w:r>
      <w:hyperlink r:id="rId222" w:history="1">
        <w:r w:rsidRPr="001E1D80">
          <w:rPr>
            <w:rStyle w:val="Hyperkobling"/>
          </w:rPr>
          <w:t>https://www.who.int/europe/publications/i/item/9789289058339</w:t>
        </w:r>
      </w:hyperlink>
    </w:p>
    <w:p w14:paraId="7AD87A82" w14:textId="77777777" w:rsidR="00D9107F" w:rsidRPr="00FF4077" w:rsidRDefault="00A930FB" w:rsidP="008F5AD8">
      <w:pPr>
        <w:pStyle w:val="opplisting"/>
        <w:rPr>
          <w:lang w:val="en-US"/>
        </w:rPr>
      </w:pPr>
      <w:r w:rsidRPr="001E1D80">
        <w:t xml:space="preserve">Wilding, A., Munford, L., Guthrie, B., Kontopantelis, E., &amp; Sutton, M. (2022). </w:t>
      </w:r>
      <w:r w:rsidRPr="00FF4077">
        <w:rPr>
          <w:lang w:val="en-US"/>
        </w:rPr>
        <w:t xml:space="preserve">Family doctor responses to changes in target stringency under financial incentives. . </w:t>
      </w:r>
      <w:r w:rsidRPr="00FF4077">
        <w:rPr>
          <w:i/>
          <w:lang w:val="en-US"/>
        </w:rPr>
        <w:t>ournal of Health Economics, 85</w:t>
      </w:r>
      <w:r w:rsidRPr="00FF4077">
        <w:rPr>
          <w:lang w:val="en-US"/>
        </w:rPr>
        <w:t>.</w:t>
      </w:r>
    </w:p>
    <w:p w14:paraId="314AEEF0" w14:textId="6BCB8C76" w:rsidR="00A930FB" w:rsidRPr="001E1D80" w:rsidRDefault="00A930FB" w:rsidP="008F5AD8">
      <w:pPr>
        <w:pStyle w:val="opplisting"/>
      </w:pPr>
      <w:r w:rsidRPr="00FF4077">
        <w:rPr>
          <w:lang w:val="en-US"/>
        </w:rPr>
        <w:t xml:space="preserve">Williams, K. M. (2022). Sleep protocol-Use of evidence-based practice (EBP) to improve patient outcomes and patient satisfaction while hospitalized. </w:t>
      </w:r>
      <w:r w:rsidRPr="001E1D80">
        <w:rPr>
          <w:i/>
        </w:rPr>
        <w:t>Worldviews on Evidence-Based Nursing, 19</w:t>
      </w:r>
      <w:r w:rsidRPr="001E1D80">
        <w:t xml:space="preserve">(5), 423-425. </w:t>
      </w:r>
      <w:hyperlink r:id="rId223" w:history="1">
        <w:r w:rsidRPr="001E1D80">
          <w:rPr>
            <w:rStyle w:val="Hyperkobling"/>
          </w:rPr>
          <w:t>https://doi.org/10.1111/wvn.12562</w:t>
        </w:r>
      </w:hyperlink>
    </w:p>
    <w:p w14:paraId="12305DFD" w14:textId="77777777" w:rsidR="00D9107F" w:rsidRDefault="00A930FB" w:rsidP="008F5AD8">
      <w:pPr>
        <w:pStyle w:val="opplisting"/>
      </w:pPr>
      <w:r w:rsidRPr="001E1D80">
        <w:t xml:space="preserve">Wium, P. (1988). Oslo-modellen. . </w:t>
      </w:r>
      <w:r w:rsidRPr="001E1D80">
        <w:rPr>
          <w:i/>
        </w:rPr>
        <w:t>Tidsskrift for Den Norske Laegeforening, 108</w:t>
      </w:r>
      <w:r w:rsidRPr="001E1D80">
        <w:t>(29B), 2605–2608.</w:t>
      </w:r>
    </w:p>
    <w:p w14:paraId="185BC2EE" w14:textId="5DE0BFF1" w:rsidR="00A930FB" w:rsidRPr="001E1D80" w:rsidRDefault="00A930FB" w:rsidP="008F5AD8">
      <w:pPr>
        <w:pStyle w:val="opplisting"/>
      </w:pPr>
      <w:r w:rsidRPr="001E1D80">
        <w:t xml:space="preserve">Zakariassen, E. (2022). </w:t>
      </w:r>
      <w:r w:rsidRPr="001E1D80">
        <w:rPr>
          <w:i/>
        </w:rPr>
        <w:t>Pilot legevakt. Evalueringsrapport fra Nasjonalt kompetansesenter for legevaktmedisin</w:t>
      </w:r>
      <w:r w:rsidRPr="001E1D80">
        <w:t xml:space="preserve"> (5-2022). Bergen: Nasjonalt kompetansesenter for legevaktmedisin, NORCE Norwegian Research Centre.</w:t>
      </w:r>
    </w:p>
    <w:p w14:paraId="62573424" w14:textId="26319A5C" w:rsidR="00D9107F" w:rsidRDefault="00A930FB" w:rsidP="008F5AD8">
      <w:pPr>
        <w:pStyle w:val="opplisting"/>
      </w:pPr>
      <w:r w:rsidRPr="001E1D80">
        <w:t xml:space="preserve">Zorgautoriteit, N. </w:t>
      </w:r>
      <w:r w:rsidRPr="001E1D80">
        <w:rPr>
          <w:i/>
        </w:rPr>
        <w:t>Prestatie- en tariefbeschikking huisartsenzorg en multidisciplinaire zorg 2022</w:t>
      </w:r>
      <w:r w:rsidR="00D9107F">
        <w:rPr>
          <w:i/>
        </w:rPr>
        <w:t xml:space="preserve"> – </w:t>
      </w:r>
      <w:r w:rsidRPr="001E1D80">
        <w:rPr>
          <w:i/>
        </w:rPr>
        <w:t>TB/REG-22622-03</w:t>
      </w:r>
      <w:r w:rsidRPr="001E1D80">
        <w:t>. fra Prestatie- en tariefbeschikking huisartsenzorg en multidisciplinaire zorg 2022</w:t>
      </w:r>
      <w:r w:rsidR="00D9107F">
        <w:t xml:space="preserve"> – </w:t>
      </w:r>
      <w:r w:rsidRPr="001E1D80">
        <w:t>TB/REG-22622-03</w:t>
      </w:r>
      <w:r w:rsidR="00D9107F">
        <w:t xml:space="preserve"> – </w:t>
      </w:r>
      <w:r w:rsidRPr="001E1D80">
        <w:t>Nederlandse Zorgautoriteit (overheid.nl)</w:t>
      </w:r>
    </w:p>
    <w:p w14:paraId="6E3C1E07" w14:textId="649279CA" w:rsidR="00A930FB" w:rsidRPr="001E1D80" w:rsidRDefault="00A930FB" w:rsidP="008F5AD8">
      <w:pPr>
        <w:pStyle w:val="opplisting"/>
      </w:pPr>
      <w:r w:rsidRPr="001E1D80">
        <w:t xml:space="preserve">Zweifel, P., Breyer, F., &amp; Kifmann, M. (2009). </w:t>
      </w:r>
      <w:r w:rsidRPr="00FF4077">
        <w:rPr>
          <w:lang w:val="en-US"/>
        </w:rPr>
        <w:t xml:space="preserve">Paying Providers. I: P. Zweifel, F. Breyer, &amp; M. Kifmann (red.), </w:t>
      </w:r>
      <w:r w:rsidRPr="00FF4077">
        <w:rPr>
          <w:i/>
          <w:lang w:val="en-US"/>
        </w:rPr>
        <w:t>Health Economics</w:t>
      </w:r>
      <w:r w:rsidRPr="00FF4077">
        <w:rPr>
          <w:lang w:val="en-US"/>
        </w:rPr>
        <w:t xml:space="preserve"> (s. 331-377). </w:t>
      </w:r>
      <w:r w:rsidRPr="001E1D80">
        <w:t xml:space="preserve">Berlin, Heidelberg: Springer Berlin Heidelberg. Hentet fra </w:t>
      </w:r>
      <w:hyperlink r:id="rId224" w:history="1">
        <w:r w:rsidRPr="001E1D80">
          <w:rPr>
            <w:rStyle w:val="Hyperkobling"/>
          </w:rPr>
          <w:t>https://doi.org/10.1007/978-3-540-68540-1_10</w:t>
        </w:r>
      </w:hyperlink>
    </w:p>
    <w:p w14:paraId="3BD3F01A" w14:textId="5E82835D" w:rsidR="008A1FEA" w:rsidRPr="00221EB2" w:rsidRDefault="00A930FB" w:rsidP="00505004">
      <w:pPr>
        <w:pStyle w:val="opplisting"/>
      </w:pPr>
      <w:r w:rsidRPr="001E1D80">
        <w:t xml:space="preserve">Østjylland | DR. </w:t>
      </w:r>
      <w:r w:rsidRPr="001E1D80">
        <w:rPr>
          <w:i/>
        </w:rPr>
        <w:t xml:space="preserve">Professor om boom i private sundhedsforsikringer: </w:t>
      </w:r>
      <w:r w:rsidR="00D9107F">
        <w:rPr>
          <w:i/>
        </w:rPr>
        <w:t>‘</w:t>
      </w:r>
      <w:r w:rsidRPr="001E1D80">
        <w:rPr>
          <w:i/>
        </w:rPr>
        <w:t>Det strider imod sundhedsloven</w:t>
      </w:r>
      <w:r w:rsidRPr="001E1D80">
        <w:t xml:space="preserve">. fra </w:t>
      </w:r>
      <w:hyperlink r:id="rId225" w:history="1">
        <w:r w:rsidRPr="001E1D80">
          <w:rPr>
            <w:rStyle w:val="Hyperkobling"/>
          </w:rPr>
          <w:t>https://www.dr.dk/nyheder/regionale/oestjylland/professor-om-boom-i-private-sundhedsforsikringer-det-strider-imod</w:t>
        </w:r>
      </w:hyperlink>
      <w:r w:rsidR="00A77572">
        <w:rPr>
          <w:rFonts w:ascii="Calibri" w:eastAsia="Calibri" w:hAnsi="Calibri" w:cs="Calibri"/>
        </w:rPr>
        <w:fldChar w:fldCharType="end"/>
      </w:r>
    </w:p>
    <w:sectPr w:rsidR="008A1FEA" w:rsidRPr="00221EB2" w:rsidSect="00217482">
      <w:footerReference w:type="even" r:id="rId226"/>
      <w:footerReference w:type="default" r:id="rId227"/>
      <w:type w:val="continuous"/>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4605" w14:textId="77777777" w:rsidR="00A922CF" w:rsidRDefault="00A922CF" w:rsidP="00FC5E27">
      <w:pPr>
        <w:spacing w:after="0" w:line="240" w:lineRule="auto"/>
      </w:pPr>
      <w:r>
        <w:separator/>
      </w:r>
    </w:p>
    <w:p w14:paraId="7620DF57" w14:textId="77777777" w:rsidR="00A922CF" w:rsidRDefault="00A922CF"/>
  </w:endnote>
  <w:endnote w:type="continuationSeparator" w:id="0">
    <w:p w14:paraId="36C80E9B" w14:textId="77777777" w:rsidR="00A922CF" w:rsidRDefault="00A922CF" w:rsidP="00FC5E27">
      <w:pPr>
        <w:spacing w:after="0" w:line="240" w:lineRule="auto"/>
      </w:pPr>
      <w:r>
        <w:continuationSeparator/>
      </w:r>
    </w:p>
    <w:p w14:paraId="33E514CB" w14:textId="77777777" w:rsidR="00A922CF" w:rsidRDefault="00A922CF"/>
  </w:endnote>
  <w:endnote w:type="continuationNotice" w:id="1">
    <w:p w14:paraId="30D6CFDF" w14:textId="77777777" w:rsidR="00A922CF" w:rsidRDefault="00A922CF">
      <w:pPr>
        <w:spacing w:after="0" w:line="240" w:lineRule="auto"/>
      </w:pPr>
    </w:p>
    <w:p w14:paraId="3BF1748E" w14:textId="77777777" w:rsidR="00A922CF" w:rsidRDefault="00A92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CaslonPro-Regular">
    <w:altName w:val="Yu Gothic"/>
    <w:panose1 w:val="00000000000000000000"/>
    <w:charset w:val="80"/>
    <w:family w:val="roman"/>
    <w:notTrueType/>
    <w:pitch w:val="default"/>
    <w:sig w:usb0="00000001" w:usb1="08070000" w:usb2="00000010" w:usb3="00000000" w:csb0="00020000"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EBDF" w14:textId="1E3214AE" w:rsidR="00EF390E" w:rsidRDefault="00EF390E">
    <w:pPr>
      <w:pStyle w:val="Bunntekst"/>
    </w:pPr>
  </w:p>
  <w:p w14:paraId="75571B6A" w14:textId="77777777" w:rsidR="002D7126" w:rsidRDefault="002D712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971F" w14:textId="1A2F90CE" w:rsidR="002D7126" w:rsidRDefault="00AB1D6D" w:rsidP="009348FF">
    <w:pPr>
      <w:pStyle w:val="Bunntekst"/>
      <w:ind w:firstLine="4248"/>
    </w:pPr>
    <w:sdt>
      <w:sdtPr>
        <w:id w:val="467403816"/>
        <w:docPartObj>
          <w:docPartGallery w:val="Page Numbers (Bottom of Page)"/>
          <w:docPartUnique/>
        </w:docPartObj>
      </w:sdtPr>
      <w:sdtEndPr/>
      <w:sdtContent>
        <w:r w:rsidR="002D7126">
          <w:t xml:space="preserve">Side | </w:t>
        </w:r>
        <w:r w:rsidR="002D7126">
          <w:fldChar w:fldCharType="begin"/>
        </w:r>
        <w:r w:rsidR="002D7126">
          <w:instrText>PAGE   \* MERGEFORMAT</w:instrText>
        </w:r>
        <w:r w:rsidR="002D7126">
          <w:fldChar w:fldCharType="separate"/>
        </w:r>
        <w:r w:rsidR="009D7F58">
          <w:rPr>
            <w:noProof/>
          </w:rPr>
          <w:t>343</w:t>
        </w:r>
        <w:r w:rsidR="002D712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2B217" w14:textId="77777777" w:rsidR="00A922CF" w:rsidRDefault="00A922CF" w:rsidP="00FC5E27">
      <w:pPr>
        <w:spacing w:after="0" w:line="240" w:lineRule="auto"/>
      </w:pPr>
      <w:r>
        <w:separator/>
      </w:r>
    </w:p>
    <w:p w14:paraId="6216EA5B" w14:textId="77777777" w:rsidR="00A922CF" w:rsidRDefault="00A922CF"/>
  </w:footnote>
  <w:footnote w:type="continuationSeparator" w:id="0">
    <w:p w14:paraId="67776968" w14:textId="77777777" w:rsidR="00A922CF" w:rsidRDefault="00A922CF" w:rsidP="00FC5E27">
      <w:pPr>
        <w:spacing w:after="0" w:line="240" w:lineRule="auto"/>
      </w:pPr>
      <w:r>
        <w:continuationSeparator/>
      </w:r>
    </w:p>
    <w:p w14:paraId="6B139A8A" w14:textId="77777777" w:rsidR="00A922CF" w:rsidRDefault="00A922CF"/>
  </w:footnote>
  <w:footnote w:type="continuationNotice" w:id="1">
    <w:p w14:paraId="62494E26" w14:textId="77777777" w:rsidR="00A922CF" w:rsidRDefault="00A922CF">
      <w:pPr>
        <w:spacing w:after="0" w:line="240" w:lineRule="auto"/>
      </w:pPr>
    </w:p>
    <w:p w14:paraId="3147FA99" w14:textId="77777777" w:rsidR="00A922CF" w:rsidRDefault="00A922CF"/>
  </w:footnote>
  <w:footnote w:id="2">
    <w:p w14:paraId="1650CD2F" w14:textId="4E53FF4E" w:rsidR="00677151" w:rsidRDefault="00677151" w:rsidP="00E41D13">
      <w:pPr>
        <w:pStyle w:val="Fotnotetekst"/>
      </w:pPr>
      <w:r w:rsidRPr="00D9107F">
        <w:rPr>
          <w:rStyle w:val="Fotnotereferanse"/>
        </w:rPr>
        <w:footnoteRef/>
      </w:r>
      <w:r w:rsidRPr="00F56D29">
        <w:rPr>
          <w:rStyle w:val="FHI-brdtekst1116Tegn"/>
          <w:rFonts w:eastAsiaTheme="minorEastAsia"/>
          <w:sz w:val="16"/>
          <w:szCs w:val="16"/>
        </w:rPr>
        <w:t>Annen lege = allmennlege som utfører konsultasjoner, men som ikke står registrert med egen fastlegeliste i fastlegeordningen. Helprivate allmennlegetjenester er ekskludert.</w:t>
      </w:r>
    </w:p>
  </w:footnote>
  <w:footnote w:id="3">
    <w:p w14:paraId="4E6EB551" w14:textId="0776363F" w:rsidR="009B678F" w:rsidRDefault="009B678F" w:rsidP="00E41D13">
      <w:pPr>
        <w:pStyle w:val="Fotnotetekst"/>
      </w:pPr>
      <w:r w:rsidRPr="00D9107F">
        <w:rPr>
          <w:rStyle w:val="Fotnotereferanse"/>
        </w:rPr>
        <w:footnoteRef/>
      </w:r>
      <w:r w:rsidR="00D6454B">
        <w:t>Upublisert data</w:t>
      </w:r>
      <w:r w:rsidR="00924D96">
        <w:t xml:space="preserve"> Helsedirektoratet</w:t>
      </w:r>
      <w:r w:rsidR="00D6454B">
        <w:t>. Kild</w:t>
      </w:r>
      <w:r w:rsidR="00924D96">
        <w:t>e:</w:t>
      </w:r>
      <w:r w:rsidR="00D6454B">
        <w:t xml:space="preserve"> </w:t>
      </w:r>
      <w:r w:rsidR="00924D96">
        <w:t>FLO.</w:t>
      </w:r>
    </w:p>
  </w:footnote>
  <w:footnote w:id="4">
    <w:p w14:paraId="28C460E1" w14:textId="5704D267" w:rsidR="00F35BC5" w:rsidRPr="00694E64" w:rsidRDefault="00F35BC5" w:rsidP="00E41D13">
      <w:pPr>
        <w:pStyle w:val="Fotnotetekst"/>
        <w:rPr>
          <w:sz w:val="18"/>
        </w:rPr>
      </w:pPr>
      <w:r w:rsidRPr="00D9107F">
        <w:rPr>
          <w:rStyle w:val="Fotnotereferanse"/>
        </w:rPr>
        <w:footnoteRef/>
      </w:r>
      <w:r w:rsidRPr="00694E64">
        <w:t>Aktivitet inkludert fra regningskort med rollen Fastlege eller Legevakt inngår i analysen.</w:t>
      </w:r>
    </w:p>
  </w:footnote>
  <w:footnote w:id="5">
    <w:p w14:paraId="10C552B6" w14:textId="25D34AFA" w:rsidR="00F35BC5" w:rsidRDefault="00F35BC5" w:rsidP="00E41D13">
      <w:pPr>
        <w:pStyle w:val="Fotnotetekst"/>
      </w:pPr>
      <w:r w:rsidRPr="00D9107F">
        <w:rPr>
          <w:rStyle w:val="Fotnotereferanse"/>
        </w:rPr>
        <w:footnoteRef/>
      </w:r>
      <w:r w:rsidRPr="00977BB0">
        <w:rPr>
          <w:rFonts w:asciiTheme="minorHAnsi" w:hAnsiTheme="minorHAnsi" w:cstheme="minorHAnsi"/>
          <w:sz w:val="18"/>
        </w:rPr>
        <w:t xml:space="preserve">Aktivitet inkludert fra regningskort med rollen </w:t>
      </w:r>
      <w:r w:rsidR="008E045B">
        <w:rPr>
          <w:rFonts w:asciiTheme="minorHAnsi" w:hAnsiTheme="minorHAnsi" w:cstheme="minorHAnsi"/>
          <w:sz w:val="18"/>
        </w:rPr>
        <w:t>l</w:t>
      </w:r>
      <w:r w:rsidRPr="00977BB0">
        <w:rPr>
          <w:rFonts w:asciiTheme="minorHAnsi" w:hAnsiTheme="minorHAnsi" w:cstheme="minorHAnsi"/>
          <w:sz w:val="18"/>
        </w:rPr>
        <w:t>egevakt er ekskludert.</w:t>
      </w:r>
    </w:p>
  </w:footnote>
  <w:footnote w:id="6">
    <w:p w14:paraId="7D02C1B7" w14:textId="3D351FCB" w:rsidR="00F35BC5" w:rsidRPr="009B6778" w:rsidRDefault="00F35BC5" w:rsidP="00E41D13">
      <w:pPr>
        <w:pStyle w:val="Fotnotetekst"/>
        <w:rPr>
          <w:rFonts w:asciiTheme="minorHAnsi" w:hAnsiTheme="minorHAnsi" w:cstheme="minorHAnsi"/>
        </w:rPr>
      </w:pPr>
      <w:r w:rsidRPr="00D9107F">
        <w:rPr>
          <w:rStyle w:val="Fotnotereferanse"/>
        </w:rPr>
        <w:footnoteRef/>
      </w:r>
      <w:r w:rsidRPr="00EB12E3">
        <w:t xml:space="preserve">Eksempel er regningskort med en enslig takst </w:t>
      </w:r>
      <w:r w:rsidR="00D9107F" w:rsidRPr="00EB12E3">
        <w:t>«</w:t>
      </w:r>
      <w:r w:rsidRPr="00EB12E3">
        <w:t>L1</w:t>
      </w:r>
      <w:r w:rsidR="00D9107F" w:rsidRPr="00EB12E3">
        <w:t>»</w:t>
      </w:r>
      <w:r w:rsidRPr="00EB12E3">
        <w:t xml:space="preserve">, </w:t>
      </w:r>
      <w:r w:rsidR="00D9107F" w:rsidRPr="00EB12E3">
        <w:t>«</w:t>
      </w:r>
      <w:r w:rsidRPr="00EB12E3">
        <w:t>L40</w:t>
      </w:r>
      <w:r w:rsidR="00D9107F" w:rsidRPr="00EB12E3">
        <w:t>»</w:t>
      </w:r>
      <w:r w:rsidRPr="00EB12E3">
        <w:t xml:space="preserve"> eller </w:t>
      </w:r>
      <w:r w:rsidR="00D9107F" w:rsidRPr="00EB12E3">
        <w:t>«</w:t>
      </w:r>
      <w:r w:rsidRPr="00EB12E3">
        <w:t>701a</w:t>
      </w:r>
      <w:r w:rsidR="00D9107F" w:rsidRPr="00EB12E3">
        <w:t>»</w:t>
      </w:r>
      <w:r w:rsidR="00694E64" w:rsidRPr="00EB12E3">
        <w:t>.</w:t>
      </w:r>
    </w:p>
  </w:footnote>
  <w:footnote w:id="7">
    <w:p w14:paraId="6DCE931F" w14:textId="5A221715" w:rsidR="00F35BC5" w:rsidRDefault="00F35BC5" w:rsidP="00E41D13">
      <w:pPr>
        <w:pStyle w:val="Fotnotetekst"/>
      </w:pPr>
      <w:r w:rsidRPr="00D9107F">
        <w:rPr>
          <w:rStyle w:val="Fotnotereferanse"/>
        </w:rPr>
        <w:footnoteRef/>
      </w:r>
      <w:r w:rsidRPr="00694E64">
        <w:t xml:space="preserve">Aktivitet inkludert fra regningskort med rollen </w:t>
      </w:r>
      <w:r w:rsidR="008E045B">
        <w:t>l</w:t>
      </w:r>
      <w:r w:rsidRPr="00694E64">
        <w:t>egevakt er ekskludert</w:t>
      </w:r>
      <w:r w:rsidR="00694E64" w:rsidRPr="00694E64">
        <w:rPr>
          <w:iCs/>
        </w:rPr>
        <w:t>.</w:t>
      </w:r>
    </w:p>
  </w:footnote>
  <w:footnote w:id="8">
    <w:p w14:paraId="28EF0007" w14:textId="68DC7358" w:rsidR="00F35BC5" w:rsidRDefault="00F35BC5" w:rsidP="00E41D13">
      <w:pPr>
        <w:pStyle w:val="Fotnotetekst"/>
      </w:pPr>
      <w:r w:rsidRPr="00D9107F">
        <w:rPr>
          <w:rStyle w:val="Fotnotereferanse"/>
        </w:rPr>
        <w:footnoteRef/>
      </w:r>
      <w:r w:rsidRPr="00A338F9">
        <w:t>L1=Vanlig sykmelding, L4= utfylling av utdypende opplysninger, L8=besvarelse NAV, L40=legeerklæring arbeidsuførhet</w:t>
      </w:r>
      <w:r w:rsidR="00A338F9" w:rsidRPr="00A338F9">
        <w:rPr>
          <w:iCs/>
        </w:rPr>
        <w:t>.</w:t>
      </w:r>
    </w:p>
  </w:footnote>
  <w:footnote w:id="9">
    <w:p w14:paraId="13DC6755" w14:textId="6C41D454" w:rsidR="006577D6" w:rsidRDefault="006577D6" w:rsidP="00E41D13">
      <w:pPr>
        <w:pStyle w:val="Fotnotetekst"/>
      </w:pPr>
      <w:r w:rsidRPr="00D9107F">
        <w:rPr>
          <w:rStyle w:val="Fotnotereferanse"/>
        </w:rPr>
        <w:footnoteRef/>
      </w:r>
      <w:r w:rsidRPr="00C60F68">
        <w:t>Legevaktsarbeid er definert som praksistyper/oppgjørskoder legevakt kommunal eller legevakt og spesifikke legevaktsarbeid takstkoder i KUHR</w:t>
      </w:r>
      <w:r w:rsidR="00F433DC">
        <w:t>.</w:t>
      </w:r>
    </w:p>
  </w:footnote>
  <w:footnote w:id="10">
    <w:p w14:paraId="0CAA774D" w14:textId="347B80CB" w:rsidR="002D7126" w:rsidRPr="00DA2295" w:rsidRDefault="002D7126" w:rsidP="00E41D13">
      <w:pPr>
        <w:pStyle w:val="Fotnotetekst"/>
      </w:pPr>
      <w:r w:rsidRPr="00D9107F">
        <w:rPr>
          <w:rStyle w:val="Fotnotereferanse"/>
        </w:rPr>
        <w:footnoteRef/>
      </w:r>
      <w:r w:rsidRPr="00D515BF">
        <w:rPr>
          <w:rStyle w:val="EUFotnoterTegn"/>
        </w:rPr>
        <w:t>Svar fra kontaktperson i Nederland (Ministerie van Volksgezondheid, Welzijn en Sport)</w:t>
      </w:r>
      <w:r w:rsidR="00F433DC">
        <w:rPr>
          <w:rStyle w:val="EUFotnoterTegn"/>
        </w:rPr>
        <w:t>.</w:t>
      </w:r>
    </w:p>
  </w:footnote>
  <w:footnote w:id="11">
    <w:p w14:paraId="25B041D5" w14:textId="7B6DE064" w:rsidR="002D7126" w:rsidRPr="00224DDE" w:rsidRDefault="002D7126" w:rsidP="00E41D13">
      <w:pPr>
        <w:pStyle w:val="Fotnotetekst"/>
        <w:rPr>
          <w:sz w:val="12"/>
        </w:rPr>
      </w:pPr>
      <w:r w:rsidRPr="00D9107F">
        <w:rPr>
          <w:rStyle w:val="Fotnotereferanse"/>
        </w:rPr>
        <w:footnoteRef/>
      </w:r>
      <w:r w:rsidRPr="00224DDE">
        <w:rPr>
          <w:rStyle w:val="FHI-brdtekst1116Tegn"/>
          <w:rFonts w:eastAsiaTheme="minorEastAsia"/>
          <w:sz w:val="16"/>
          <w:szCs w:val="16"/>
        </w:rPr>
        <w:t>Integrated Care systems dekker befolkning på rundt 50</w:t>
      </w:r>
      <w:r w:rsidR="00D9107F" w:rsidRPr="00224DDE">
        <w:rPr>
          <w:rStyle w:val="FHI-brdtekst1116Tegn"/>
          <w:rFonts w:eastAsiaTheme="minorEastAsia"/>
          <w:sz w:val="16"/>
          <w:szCs w:val="16"/>
        </w:rPr>
        <w:t>0</w:t>
      </w:r>
      <w:r w:rsidR="00D9107F">
        <w:rPr>
          <w:rStyle w:val="FHI-brdtekst1116Tegn"/>
          <w:rFonts w:eastAsiaTheme="minorEastAsia"/>
          <w:sz w:val="16"/>
          <w:szCs w:val="16"/>
        </w:rPr>
        <w:t> </w:t>
      </w:r>
      <w:r w:rsidR="00D9107F" w:rsidRPr="00224DDE">
        <w:rPr>
          <w:rStyle w:val="FHI-brdtekst1116Tegn"/>
          <w:rFonts w:eastAsiaTheme="minorEastAsia"/>
          <w:sz w:val="16"/>
          <w:szCs w:val="16"/>
        </w:rPr>
        <w:t>000</w:t>
      </w:r>
      <w:r w:rsidRPr="00224DDE">
        <w:rPr>
          <w:rStyle w:val="FHI-brdtekst1116Tegn"/>
          <w:rFonts w:eastAsiaTheme="minorEastAsia"/>
          <w:sz w:val="16"/>
          <w:szCs w:val="16"/>
        </w:rPr>
        <w:t xml:space="preserve"> til 3 millioner mennesker der helse- og omsorgspartnere kommer sammen for å legge en overordnet strategi, administrere ressurser og tjenester, planlegge spesialisttjenester og drive strategiske forbedringer på områder som personellplanlegging, digital infrastruktur og eiendom</w:t>
      </w:r>
      <w:r w:rsidR="00224DDE">
        <w:rPr>
          <w:rStyle w:val="FHI-brdtekst1116Tegn"/>
          <w:rFonts w:eastAsiaTheme="minorEastAsia"/>
          <w:sz w:val="16"/>
          <w:szCs w:val="16"/>
        </w:rPr>
        <w:t>.</w:t>
      </w:r>
    </w:p>
  </w:footnote>
  <w:footnote w:id="12">
    <w:p w14:paraId="75DA4358" w14:textId="59328A86" w:rsidR="002D7126" w:rsidRPr="00E47291" w:rsidRDefault="002D7126" w:rsidP="00E41D13">
      <w:pPr>
        <w:pStyle w:val="Fotnotetekst"/>
      </w:pPr>
      <w:r w:rsidRPr="00D9107F">
        <w:rPr>
          <w:rStyle w:val="Fotnotereferanse"/>
        </w:rPr>
        <w:footnoteRef/>
      </w:r>
      <w:r w:rsidRPr="00224DDE">
        <w:rPr>
          <w:rStyle w:val="FHI-brdtekst1116Tegn"/>
          <w:rFonts w:eastAsiaTheme="minorEastAsia"/>
          <w:sz w:val="16"/>
          <w:szCs w:val="16"/>
        </w:rPr>
        <w:t>Befolkning på rundt 3</w:t>
      </w:r>
      <w:r w:rsidR="00D9107F" w:rsidRPr="00224DDE">
        <w:rPr>
          <w:rStyle w:val="FHI-brdtekst1116Tegn"/>
          <w:rFonts w:eastAsiaTheme="minorEastAsia"/>
          <w:sz w:val="16"/>
          <w:szCs w:val="16"/>
        </w:rPr>
        <w:t>0</w:t>
      </w:r>
      <w:r w:rsidR="00D9107F">
        <w:rPr>
          <w:rStyle w:val="FHI-brdtekst1116Tegn"/>
          <w:rFonts w:eastAsiaTheme="minorEastAsia"/>
          <w:sz w:val="16"/>
          <w:szCs w:val="16"/>
        </w:rPr>
        <w:t> </w:t>
      </w:r>
      <w:r w:rsidR="00D9107F" w:rsidRPr="00224DDE">
        <w:rPr>
          <w:rStyle w:val="FHI-brdtekst1116Tegn"/>
          <w:rFonts w:eastAsiaTheme="minorEastAsia"/>
          <w:sz w:val="16"/>
          <w:szCs w:val="16"/>
        </w:rPr>
        <w:t>000</w:t>
      </w:r>
      <w:r w:rsidRPr="00224DDE">
        <w:rPr>
          <w:rStyle w:val="FHI-brdtekst1116Tegn"/>
          <w:rFonts w:eastAsiaTheme="minorEastAsia"/>
          <w:sz w:val="16"/>
          <w:szCs w:val="16"/>
        </w:rPr>
        <w:t xml:space="preserve"> til 5</w:t>
      </w:r>
      <w:r w:rsidR="00D9107F" w:rsidRPr="00224DDE">
        <w:rPr>
          <w:rStyle w:val="FHI-brdtekst1116Tegn"/>
          <w:rFonts w:eastAsiaTheme="minorEastAsia"/>
          <w:sz w:val="16"/>
          <w:szCs w:val="16"/>
        </w:rPr>
        <w:t>0</w:t>
      </w:r>
      <w:r w:rsidR="00D9107F">
        <w:rPr>
          <w:rStyle w:val="FHI-brdtekst1116Tegn"/>
          <w:rFonts w:eastAsiaTheme="minorEastAsia"/>
          <w:sz w:val="16"/>
          <w:szCs w:val="16"/>
        </w:rPr>
        <w:t> </w:t>
      </w:r>
      <w:r w:rsidR="00D9107F" w:rsidRPr="00224DDE">
        <w:rPr>
          <w:rStyle w:val="FHI-brdtekst1116Tegn"/>
          <w:rFonts w:eastAsiaTheme="minorEastAsia"/>
          <w:sz w:val="16"/>
          <w:szCs w:val="16"/>
        </w:rPr>
        <w:t>000</w:t>
      </w:r>
      <w:r w:rsidRPr="00224DDE">
        <w:rPr>
          <w:rStyle w:val="FHI-brdtekst1116Tegn"/>
          <w:rFonts w:eastAsiaTheme="minorEastAsia"/>
          <w:sz w:val="16"/>
          <w:szCs w:val="16"/>
        </w:rPr>
        <w:t xml:space="preserve"> mennesker hvor grupper av legepraksiser jobber med NHS-lokalbaserte tjenester, sosiale tjenester og andre tjenesteleverandører for å gi mer koordinerte og proaktive tjenester, blant annet gjennom dannelse av primærhelsetjenestenettverk (Primary Care Networks PCN) og andre lokale team med flere typer aktører</w:t>
      </w:r>
      <w:r w:rsidR="00224DDE">
        <w:rPr>
          <w:rStyle w:val="FHI-brdtekst1116Tegn"/>
          <w:rFonts w:eastAsiaTheme="minorEastAsia"/>
          <w:sz w:val="16"/>
          <w:szCs w:val="16"/>
        </w:rPr>
        <w:t>.</w:t>
      </w:r>
    </w:p>
  </w:footnote>
  <w:footnote w:id="13">
    <w:p w14:paraId="54C4B58A" w14:textId="0C4104EF" w:rsidR="002D7126" w:rsidRPr="008057CE" w:rsidRDefault="002D7126" w:rsidP="00E41D13">
      <w:pPr>
        <w:pStyle w:val="Fotnotetekst"/>
      </w:pPr>
      <w:r w:rsidRPr="00D9107F">
        <w:rPr>
          <w:rStyle w:val="Fotnotereferanse"/>
        </w:rPr>
        <w:footnoteRef/>
      </w:r>
      <w:r w:rsidRPr="00CB1C26">
        <w:rPr>
          <w:rStyle w:val="FHI-brdtekst1116Tegn"/>
          <w:rFonts w:eastAsiaTheme="minorEastAsia"/>
          <w:sz w:val="16"/>
          <w:szCs w:val="16"/>
        </w:rPr>
        <w:t xml:space="preserve">To typer sentre: Helsesentre (health stations) og større helse og velferdssentre (health and well-being centres) som også tilbyr sosiale tjenester til yrkesaktive og sosiale </w:t>
      </w:r>
      <w:r w:rsidR="00EC23D9" w:rsidRPr="00CB1C26">
        <w:rPr>
          <w:rStyle w:val="FHI-brdtekst1116Tegn"/>
          <w:rFonts w:eastAsiaTheme="minorEastAsia"/>
          <w:sz w:val="16"/>
          <w:szCs w:val="16"/>
        </w:rPr>
        <w:t>veiledningstjenester</w:t>
      </w:r>
      <w:r w:rsidRPr="00CB1C26">
        <w:rPr>
          <w:rStyle w:val="FHI-brdtekst1116Tegn"/>
          <w:rFonts w:eastAsiaTheme="minorEastAsia"/>
          <w:sz w:val="16"/>
          <w:szCs w:val="16"/>
        </w:rPr>
        <w:t xml:space="preserve"> til unge og voksne</w:t>
      </w:r>
      <w:r w:rsidR="00B5098F">
        <w:rPr>
          <w:rStyle w:val="FHI-brdtekst1116Tegn"/>
          <w:rFonts w:eastAsiaTheme="minorEastAsia"/>
          <w:sz w:val="16"/>
          <w:szCs w:val="16"/>
        </w:rPr>
        <w:t>.</w:t>
      </w:r>
    </w:p>
  </w:footnote>
  <w:footnote w:id="14">
    <w:p w14:paraId="784FC92B" w14:textId="3AA3A943" w:rsidR="000456F6" w:rsidRPr="00C27855" w:rsidRDefault="000456F6" w:rsidP="00E41D13">
      <w:pPr>
        <w:pStyle w:val="Fotnotetekst"/>
      </w:pPr>
      <w:r w:rsidRPr="00D9107F">
        <w:rPr>
          <w:rStyle w:val="Fotnotereferanse"/>
        </w:rPr>
        <w:footnoteRef/>
      </w:r>
      <w:r w:rsidRPr="00C67738">
        <w:rPr>
          <w:rStyle w:val="FHI-brdtekst1116Tegn"/>
          <w:rFonts w:eastAsiaTheme="minorEastAsia"/>
          <w:sz w:val="16"/>
          <w:szCs w:val="16"/>
        </w:rPr>
        <w:t>Delvis basert på egne beregninger basert på tilgjengelige grunnlagsdata på lege og praksisnivå i England og Skottland</w:t>
      </w:r>
      <w:r w:rsidR="00B5098F">
        <w:rPr>
          <w:rStyle w:val="FHI-brdtekst1116Tegn"/>
          <w:rFonts w:eastAsiaTheme="minorEastAsia"/>
          <w:sz w:val="16"/>
          <w:szCs w:val="16"/>
        </w:rPr>
        <w:t>.</w:t>
      </w:r>
      <w:r w:rsidR="00D9107F">
        <w:rPr>
          <w:sz w:val="12"/>
        </w:rPr>
        <w:t xml:space="preserve"> </w:t>
      </w:r>
    </w:p>
  </w:footnote>
  <w:footnote w:id="15">
    <w:p w14:paraId="36D2D743" w14:textId="489B874D" w:rsidR="002D7126" w:rsidRDefault="002D7126" w:rsidP="00E41D13">
      <w:pPr>
        <w:pStyle w:val="Fotnotetekst"/>
      </w:pPr>
      <w:r w:rsidRPr="00D9107F">
        <w:rPr>
          <w:rStyle w:val="Fotnotereferanse"/>
        </w:rPr>
        <w:footnoteRef/>
      </w:r>
      <w:r w:rsidRPr="00ED3A52">
        <w:rPr>
          <w:rStyle w:val="FHI-brdtekst1116Tegn"/>
          <w:rFonts w:eastAsiaTheme="minorEastAsia"/>
          <w:sz w:val="16"/>
          <w:szCs w:val="16"/>
        </w:rPr>
        <w:t>I diagnostisk språk innebærer dette at både sensitivitet og spesifisitet er 100 prosent.</w:t>
      </w:r>
    </w:p>
  </w:footnote>
  <w:footnote w:id="16">
    <w:p w14:paraId="7383D1AF" w14:textId="11A27AF4" w:rsidR="000456F6" w:rsidRDefault="000456F6" w:rsidP="00E41D13">
      <w:pPr>
        <w:pStyle w:val="Fotnotetekst"/>
      </w:pPr>
      <w:r w:rsidRPr="00D9107F">
        <w:rPr>
          <w:rStyle w:val="Fotnotereferanse"/>
        </w:rPr>
        <w:footnoteRef/>
      </w:r>
      <w:r w:rsidRPr="00D9107F">
        <w:rPr>
          <w:rStyle w:val="kursiv"/>
          <w:rFonts w:eastAsiaTheme="minorEastAsia"/>
        </w:rPr>
        <w:t>Legeforeningen har lagt ut en kjennelse om midlertidig forføyning fra Sunnmøre tingrett i 2018</w:t>
      </w:r>
      <w:r w:rsidR="00AE5E37" w:rsidRPr="00D9107F">
        <w:rPr>
          <w:rStyle w:val="kursiv"/>
          <w:rFonts w:eastAsiaTheme="minorEastAsia"/>
        </w:rPr>
        <w:t xml:space="preserve"> på sine nettsider.</w:t>
      </w:r>
    </w:p>
  </w:footnote>
  <w:footnote w:id="17">
    <w:p w14:paraId="516F20C3" w14:textId="21539E49" w:rsidR="000456F6" w:rsidRDefault="000456F6" w:rsidP="00E41D13">
      <w:pPr>
        <w:pStyle w:val="Fotnotetekst"/>
      </w:pPr>
      <w:r w:rsidRPr="00D9107F">
        <w:rPr>
          <w:rStyle w:val="Fotnotereferanse"/>
        </w:rPr>
        <w:footnoteRef/>
      </w:r>
      <w:r w:rsidRPr="00046B07">
        <w:rPr>
          <w:rStyle w:val="FHI-brdtekst1116Tegn"/>
          <w:rFonts w:ascii="Arial" w:eastAsiaTheme="minorEastAsia" w:hAnsi="Arial"/>
          <w:sz w:val="16"/>
          <w:szCs w:val="16"/>
        </w:rPr>
        <w:t>I Legeforeningens dreiebok ser det ut til at det legges til grunn at tiltredende lege forplikter seg til å kjøpe fratredende leges praksis når tiltredende lege aksepterer kommunens tilbud om å ta over fastlegelist</w:t>
      </w:r>
      <w:r w:rsidR="009211E0" w:rsidRPr="00046B07">
        <w:rPr>
          <w:rStyle w:val="FHI-brdtekst1116Tegn"/>
          <w:rFonts w:ascii="Arial" w:eastAsiaTheme="minorEastAsia" w:hAnsi="Arial"/>
          <w:sz w:val="16"/>
          <w:szCs w:val="16"/>
        </w:rPr>
        <w:t>en</w:t>
      </w:r>
      <w:r w:rsidRPr="00046B07">
        <w:rPr>
          <w:rStyle w:val="FHI-brdtekst1116Tegn"/>
          <w:rFonts w:ascii="Arial" w:eastAsiaTheme="minorEastAsia" w:hAnsi="Arial"/>
          <w:sz w:val="16"/>
          <w:szCs w:val="16"/>
        </w:rPr>
        <w:t>. Konsekvensen av dette er at en lege ikke kan akseptere kommunens tilbud om å bli fastlege før det foreligger en avtale om praksisoverdragelsen</w:t>
      </w:r>
      <w:r w:rsidRPr="002547DA">
        <w:rPr>
          <w:rStyle w:val="FHI-brdtekst1116Tegn"/>
          <w:rFonts w:eastAsiaTheme="minorEastAsia"/>
          <w:sz w:val="16"/>
          <w:szCs w:val="16"/>
        </w:rPr>
        <w:t>.</w:t>
      </w:r>
    </w:p>
  </w:footnote>
  <w:footnote w:id="18">
    <w:p w14:paraId="79599DBC" w14:textId="174EF80A" w:rsidR="002D7126" w:rsidRDefault="002D7126" w:rsidP="00E41D13">
      <w:pPr>
        <w:pStyle w:val="Fotnotetekst"/>
      </w:pPr>
      <w:r w:rsidRPr="00D9107F">
        <w:rPr>
          <w:rStyle w:val="Fotnotereferanse"/>
        </w:rPr>
        <w:footnoteRef/>
      </w:r>
      <w:r w:rsidRPr="00066D95">
        <w:rPr>
          <w:rStyle w:val="EUFotnoterTegn"/>
        </w:rPr>
        <w:t>Egenandelstaket for 2023 er 304</w:t>
      </w:r>
      <w:r w:rsidR="00D9107F" w:rsidRPr="00066D95">
        <w:rPr>
          <w:rStyle w:val="EUFotnoterTegn"/>
        </w:rPr>
        <w:t>0</w:t>
      </w:r>
      <w:r w:rsidR="00D9107F">
        <w:rPr>
          <w:rStyle w:val="EUFotnoterTegn"/>
        </w:rPr>
        <w:t> kroner</w:t>
      </w:r>
      <w:r w:rsidR="00066D95" w:rsidRPr="00066D95">
        <w:rPr>
          <w:rStyle w:val="EUFotnoterTegn"/>
        </w:rPr>
        <w:t>.</w:t>
      </w:r>
    </w:p>
  </w:footnote>
  <w:footnote w:id="19">
    <w:p w14:paraId="05151417" w14:textId="40A6A683" w:rsidR="002D7126" w:rsidRPr="00E46F46" w:rsidRDefault="002D7126" w:rsidP="00E41D13">
      <w:pPr>
        <w:pStyle w:val="Fotnotetekst"/>
      </w:pPr>
      <w:r w:rsidRPr="00D9107F">
        <w:rPr>
          <w:rStyle w:val="Fotnotereferanse"/>
        </w:rPr>
        <w:footnoteRef/>
      </w:r>
      <w:r w:rsidRPr="00E46F46">
        <w:t>Kontroll og utbetaling av helserefusjoner, som forvaltes av Helsedirektoratet og Helfo</w:t>
      </w:r>
      <w:r w:rsidR="00ED2FEB">
        <w:t>.</w:t>
      </w:r>
    </w:p>
  </w:footnote>
  <w:footnote w:id="20">
    <w:p w14:paraId="7D70CFC6" w14:textId="788221C3" w:rsidR="002D7126" w:rsidRDefault="002D7126" w:rsidP="00E41D13">
      <w:pPr>
        <w:pStyle w:val="Fotnotetekst"/>
      </w:pPr>
      <w:r w:rsidRPr="00D9107F">
        <w:rPr>
          <w:rStyle w:val="Fotnotereferanse"/>
        </w:rPr>
        <w:footnoteRef/>
      </w:r>
      <w:r w:rsidRPr="006A56A5">
        <w:t xml:space="preserve">G er grunnbeløpet i folketrygden. Satsen blir oppdatert 1. mai hvert år og blir bestemt etter trygdeoppgjøret. </w:t>
      </w:r>
      <w:r w:rsidRPr="006F7068">
        <w:t>Grunnbeløpet (G) per 1. mai 2022 er kr 11</w:t>
      </w:r>
      <w:r w:rsidR="00D9107F" w:rsidRPr="006F7068">
        <w:t>1</w:t>
      </w:r>
      <w:r w:rsidR="00D9107F">
        <w:t> </w:t>
      </w:r>
      <w:r w:rsidR="00D9107F" w:rsidRPr="006F7068">
        <w:t>477</w:t>
      </w:r>
      <w:r w:rsidRPr="006F7068">
        <w:t>.</w:t>
      </w:r>
      <w:r>
        <w:t xml:space="preserve"> Kilde: </w:t>
      </w:r>
      <w:r w:rsidRPr="0089605A">
        <w:t>https://www.nav.no/grunnbelopet</w:t>
      </w:r>
      <w:r w:rsidR="00066D95">
        <w:t>.</w:t>
      </w:r>
    </w:p>
  </w:footnote>
  <w:footnote w:id="21">
    <w:p w14:paraId="6BDFDEFB" w14:textId="6C33A268" w:rsidR="002D7126" w:rsidRPr="00FA5F0C" w:rsidRDefault="002D7126" w:rsidP="00E41D13">
      <w:pPr>
        <w:pStyle w:val="Fotnotetekst"/>
      </w:pPr>
      <w:r w:rsidRPr="00D9107F">
        <w:rPr>
          <w:rStyle w:val="Fotnotereferanse"/>
        </w:rPr>
        <w:footnoteRef/>
      </w:r>
      <w:r w:rsidRPr="00E03561">
        <w:t>Omtalen av SOP er basert på SOPs nettsider, og Legeforeningens veileder for næringsdrivende leger</w:t>
      </w:r>
      <w:r w:rsidR="00E03561">
        <w:t>.</w:t>
      </w:r>
    </w:p>
  </w:footnote>
  <w:footnote w:id="22">
    <w:p w14:paraId="19448A68" w14:textId="0DC629EE" w:rsidR="00112ABB" w:rsidRPr="00AB2C8E" w:rsidRDefault="00112ABB" w:rsidP="00E41D13">
      <w:pPr>
        <w:pStyle w:val="Fotnotetekst"/>
      </w:pPr>
      <w:r w:rsidRPr="00D9107F">
        <w:rPr>
          <w:rStyle w:val="Fotnotereferanse"/>
        </w:rPr>
        <w:footnoteRef/>
      </w:r>
      <w:r w:rsidRPr="00D9107F">
        <w:rPr>
          <w:rStyle w:val="kursiv"/>
          <w:rFonts w:eastAsiaTheme="minorEastAsia"/>
        </w:rPr>
        <w:t xml:space="preserve">12G utgjør, per mars 2023, </w:t>
      </w:r>
      <w:r w:rsidR="00D9107F" w:rsidRPr="00D9107F">
        <w:rPr>
          <w:rStyle w:val="kursiv"/>
          <w:rFonts w:eastAsiaTheme="minorEastAsia"/>
        </w:rPr>
        <w:t xml:space="preserve">1 337 </w:t>
      </w:r>
      <w:r w:rsidRPr="00D9107F">
        <w:rPr>
          <w:rStyle w:val="kursiv"/>
          <w:rFonts w:eastAsiaTheme="minorEastAsia"/>
        </w:rPr>
        <w:t>72</w:t>
      </w:r>
      <w:r w:rsidR="00D9107F" w:rsidRPr="00D9107F">
        <w:rPr>
          <w:rStyle w:val="kursiv"/>
          <w:rFonts w:eastAsiaTheme="minorEastAsia"/>
        </w:rPr>
        <w:t>4 kroner</w:t>
      </w:r>
      <w:r w:rsidR="00E03561" w:rsidRPr="00D9107F">
        <w:rPr>
          <w:rStyle w:val="kursiv"/>
          <w:rFonts w:eastAsiaTheme="minorEastAsia"/>
        </w:rPr>
        <w:t>.</w:t>
      </w:r>
      <w:r w:rsidRPr="00AB2C8E">
        <w:t xml:space="preserve"> </w:t>
      </w:r>
    </w:p>
  </w:footnote>
  <w:footnote w:id="23">
    <w:p w14:paraId="24EB77D2" w14:textId="2460E217" w:rsidR="000456F6" w:rsidRPr="00EE2340" w:rsidRDefault="000456F6" w:rsidP="00E41D13">
      <w:pPr>
        <w:pStyle w:val="Fotnotetekst"/>
        <w:rPr>
          <w:lang w:val="da-DK"/>
        </w:rPr>
      </w:pPr>
      <w:r w:rsidRPr="00D9107F">
        <w:rPr>
          <w:rStyle w:val="Fotnotereferanse"/>
        </w:rPr>
        <w:footnoteRef/>
      </w:r>
      <w:r w:rsidR="006577D6">
        <w:rPr>
          <w:lang w:val="en-US"/>
        </w:rPr>
        <w:fldChar w:fldCharType="begin"/>
      </w:r>
      <w:r w:rsidR="004654FD">
        <w:rPr>
          <w:lang w:val="da-DK"/>
        </w:rPr>
        <w:instrText xml:space="preserve"> ADDIN EN.CITE &lt;EndNote&gt;&lt;Cite&gt;&lt;Author&gt;Larsen&lt;/Author&gt;&lt;Year&gt;2020&lt;/Year&gt;&lt;RecNum&gt;659&lt;/RecNum&gt;&lt;DisplayText&gt;(Larsen et al., 2020)&lt;/DisplayText&gt;&lt;record&gt;&lt;rec-number&gt;659&lt;/rec-number&gt;&lt;foreign-keys&gt;&lt;key app="EN" db-id="95tpr2tp6r9xwoea9rb5wdsz5ds5xeddteew" timestamp="1680069511"&gt;659&lt;/key&gt;&lt;/foreign-keys&gt;&lt;ref-type name="Report"&gt;27&lt;/ref-type&gt;&lt;contributors&gt;&lt;authors&gt;&lt;author&gt;Larsen, T.A.&lt;/author&gt;&lt;author&gt;Klausen, M.B. &lt;/author&gt;&lt;author&gt;Højgaard, B.&lt;/author&gt;&lt;/authors&gt;&lt;tertiary-authors&gt;&lt;author&gt;VIVE – The Danish Center for Social Science Research&lt;/author&gt;&lt;/tertiary-authors&gt;&lt;/contributors&gt;&lt;titles&gt;&lt;title&gt;Primary Health Care in the Nordic Countries – Comparative Analysis and Identification of Challenges&lt;/title&gt;&lt;/titles&gt;&lt;dates&gt;&lt;year&gt;2020&lt;/year&gt;&lt;/dates&gt;&lt;pub-location&gt;København&lt;/pub-location&gt;&lt;isbn&gt;Project: 301661&lt;/isbn&gt;&lt;urls&gt;&lt;/urls&gt;&lt;/record&gt;&lt;/Cite&gt;&lt;/EndNote&gt;</w:instrText>
      </w:r>
      <w:r w:rsidR="006577D6">
        <w:rPr>
          <w:lang w:val="en-US"/>
        </w:rPr>
        <w:fldChar w:fldCharType="separate"/>
      </w:r>
      <w:r w:rsidR="006577D6" w:rsidRPr="00EE2340">
        <w:rPr>
          <w:noProof/>
          <w:lang w:val="da-DK"/>
        </w:rPr>
        <w:t>(Larsen et al., 2020)</w:t>
      </w:r>
      <w:r w:rsidR="006577D6">
        <w:rPr>
          <w:lang w:val="en-US"/>
        </w:rPr>
        <w:fldChar w:fldCharType="end"/>
      </w:r>
      <w:r w:rsidR="00CC3100" w:rsidRPr="002027CE">
        <w:rPr>
          <w:lang w:val="da-DK"/>
        </w:rPr>
        <w:t>.</w:t>
      </w:r>
      <w:r w:rsidR="006577D6" w:rsidRPr="00EE2340">
        <w:rPr>
          <w:lang w:val="da-DK"/>
        </w:rPr>
        <w:t xml:space="preserve"> </w:t>
      </w:r>
      <w:bookmarkStart w:id="2507" w:name="_Hlk130916594"/>
    </w:p>
    <w:bookmarkEnd w:id="2507"/>
  </w:footnote>
  <w:footnote w:id="24">
    <w:p w14:paraId="7860834F" w14:textId="33CE405B" w:rsidR="000456F6" w:rsidRPr="00EE2340" w:rsidRDefault="000456F6" w:rsidP="00E41D13">
      <w:pPr>
        <w:pStyle w:val="Fotnotetekst"/>
        <w:rPr>
          <w:lang w:val="da-DK"/>
        </w:rPr>
      </w:pPr>
      <w:r w:rsidRPr="00D9107F">
        <w:rPr>
          <w:rStyle w:val="Fotnotereferanse"/>
        </w:rPr>
        <w:footnoteRef/>
      </w:r>
      <w:r w:rsidR="006577D6">
        <w:rPr>
          <w:lang w:val="en-US"/>
        </w:rPr>
        <w:fldChar w:fldCharType="begin"/>
      </w:r>
      <w:r w:rsidR="006577D6" w:rsidRPr="00EE2340">
        <w:rPr>
          <w:lang w:val="da-DK"/>
        </w:rPr>
        <w:instrText xml:space="preserve"> ADDIN EN.CITE &lt;EndNote&gt;&lt;Cite&gt;&lt;Author&gt;Anderson&lt;/Author&gt;&lt;Year&gt;2022&lt;/Year&gt;&lt;RecNum&gt;974&lt;/RecNum&gt;&lt;DisplayText&gt;(Anderson et al., 2022)&lt;/DisplayText&gt;&lt;record&gt;&lt;rec-number&gt;974&lt;/rec-number&gt;&lt;foreign-keys&gt;&lt;key app="EN" db-id="95tpr2tp6r9xwoea9rb5wdsz5ds5xeddteew" timestamp="1680226204"&gt;974&lt;/key&gt;&lt;/foreign-keys&gt;&lt;ref-type name="Report"&gt;27&lt;/ref-type&gt;&lt;contributors&gt;&lt;authors&gt;&lt;author&gt;Anderson, M.&lt;/author&gt;&lt;author&gt;Pitchforth, E.&lt;/author&gt;&lt;author&gt;Edwards, N. et al. &lt;/author&gt;&lt;/authors&gt;&lt;/contributors&gt;&lt;titles&gt;&lt;title&gt;United Kingdom: health system review. &lt;/title&gt;&lt;/titles&gt;&lt;dates&gt;&lt;year&gt;2022&lt;/year&gt;&lt;/dates&gt;&lt;publisher&gt;World Health Organization. Regional Office for Europe&lt;/publisher&gt;&lt;urls&gt;&lt;related-urls&gt;&lt;url&gt;https://apps.who.int/iris/handle/10665/354075&lt;/url&gt;&lt;/related-urls&gt;&lt;/urls&gt;&lt;/record&gt;&lt;/Cite&gt;&lt;/EndNote&gt;</w:instrText>
      </w:r>
      <w:r w:rsidR="006577D6">
        <w:rPr>
          <w:lang w:val="en-US"/>
        </w:rPr>
        <w:fldChar w:fldCharType="separate"/>
      </w:r>
      <w:r w:rsidR="006577D6" w:rsidRPr="00EE2340">
        <w:rPr>
          <w:lang w:val="da-DK"/>
        </w:rPr>
        <w:t>(Anderson et al., 2022)</w:t>
      </w:r>
      <w:r w:rsidR="006577D6">
        <w:rPr>
          <w:lang w:val="en-US"/>
        </w:rPr>
        <w:fldChar w:fldCharType="end"/>
      </w:r>
      <w:r w:rsidR="004923AB" w:rsidRPr="002027CE">
        <w:rPr>
          <w:lang w:val="da-DK"/>
        </w:rPr>
        <w:t>.</w:t>
      </w:r>
      <w:r w:rsidR="006577D6" w:rsidRPr="00EE2340">
        <w:rPr>
          <w:lang w:val="da-DK"/>
        </w:rPr>
        <w:t xml:space="preserve"> </w:t>
      </w:r>
    </w:p>
  </w:footnote>
  <w:footnote w:id="25">
    <w:p w14:paraId="299A6D9A" w14:textId="0A87BF26" w:rsidR="000456F6" w:rsidRPr="001E1D80" w:rsidRDefault="000456F6" w:rsidP="00E41D13">
      <w:pPr>
        <w:pStyle w:val="Fotnotetekst"/>
        <w:rPr>
          <w:lang w:val="en-US"/>
        </w:rPr>
      </w:pPr>
      <w:r w:rsidRPr="00D9107F">
        <w:rPr>
          <w:rStyle w:val="Fotnotereferanse"/>
        </w:rPr>
        <w:footnoteRef/>
      </w:r>
      <w:r w:rsidR="006577D6">
        <w:rPr>
          <w:lang w:val="en-US"/>
        </w:rPr>
        <w:fldChar w:fldCharType="begin"/>
      </w:r>
      <w:r w:rsidR="00235862" w:rsidRPr="001E1D80">
        <w:rPr>
          <w:lang w:val="en-US"/>
        </w:rPr>
        <w:instrText xml:space="preserve"> ADDIN EN.CITE &lt;EndNote&gt;&lt;Cite ExcludeYear="1"&gt;&lt;Author&gt;NHS England&lt;/Author&gt;&lt;RecNum&gt;1014&lt;/RecNum&gt;&lt;DisplayText&gt;(NHS England)&lt;/DisplayText&gt;&lt;record&gt;&lt;rec-number&gt;1014&lt;/rec-number&gt;&lt;foreign-keys&gt;&lt;key app="EN" db-id="95tpr2tp6r9xwoea9rb5wdsz5ds5xeddteew" timestamp="1681130917"&gt;1014&lt;/key&gt;&lt;/foreign-keys&gt;&lt;ref-type name="Web Page"&gt;12&lt;/ref-type&gt;&lt;contributors&gt;&lt;authors&gt;&lt;author&gt;NHS England,&lt;/author&gt;&lt;/authors&gt;&lt;/contributors&gt;&lt;titles&gt;&lt;title&gt;What are integrated care systems?&lt;/title&gt;&lt;/titles&gt;&lt;number&gt;10.04.2023&lt;/number&gt;&lt;dates&gt;&lt;/dates&gt;&lt;urls&gt;&lt;related-urls&gt;&lt;url&gt;https://www.england.nhs.uk/integratedcare/what-is-integrated-care/&lt;/url&gt;&lt;/related-urls&gt;&lt;/urls&gt;&lt;/record&gt;&lt;/Cite&gt;&lt;/EndNote&gt;</w:instrText>
      </w:r>
      <w:r w:rsidR="006577D6">
        <w:rPr>
          <w:lang w:val="en-US"/>
        </w:rPr>
        <w:fldChar w:fldCharType="separate"/>
      </w:r>
      <w:r w:rsidR="00235862" w:rsidRPr="001E1D80">
        <w:rPr>
          <w:noProof/>
          <w:lang w:val="en-US"/>
        </w:rPr>
        <w:t>(NHS England)</w:t>
      </w:r>
      <w:r w:rsidR="006577D6">
        <w:rPr>
          <w:lang w:val="en-US"/>
        </w:rPr>
        <w:fldChar w:fldCharType="end"/>
      </w:r>
      <w:r w:rsidR="004923AB" w:rsidRPr="001E1D80">
        <w:rPr>
          <w:lang w:val="en-US"/>
        </w:rPr>
        <w:t>.</w:t>
      </w:r>
      <w:r w:rsidR="006577D6" w:rsidRPr="001E1D80">
        <w:rPr>
          <w:lang w:val="en-US"/>
        </w:rPr>
        <w:t xml:space="preserve"> </w:t>
      </w:r>
    </w:p>
  </w:footnote>
  <w:footnote w:id="26">
    <w:p w14:paraId="246B892F" w14:textId="14BCD15A" w:rsidR="000456F6" w:rsidRPr="0016421B" w:rsidRDefault="000456F6" w:rsidP="00E41D13">
      <w:pPr>
        <w:pStyle w:val="Fotnotetekst"/>
        <w:rPr>
          <w:lang w:val="en-US"/>
        </w:rPr>
      </w:pPr>
      <w:r w:rsidRPr="00D9107F">
        <w:rPr>
          <w:rStyle w:val="Fotnotereferanse"/>
        </w:rPr>
        <w:footnoteRef/>
      </w:r>
      <w:r w:rsidR="006577D6">
        <w:rPr>
          <w:lang w:val="en-US"/>
        </w:rPr>
        <w:fldChar w:fldCharType="begin"/>
      </w:r>
      <w:r w:rsidR="00A86A67">
        <w:rPr>
          <w:lang w:val="en-US"/>
        </w:rPr>
        <w:instrText xml:space="preserve"> ADDIN EN.CITE &lt;EndNote&gt;&lt;Cite ExcludeYear="1"&gt;&lt;Author&gt;Commonwealth Fund&lt;/Author&gt;&lt;Year&gt;2020&lt;/Year&gt;&lt;RecNum&gt;965&lt;/RecNum&gt;&lt;DisplayText&gt;(Commonwealth Fund)&lt;/DisplayText&gt;&lt;record&gt;&lt;rec-number&gt;965&lt;/rec-number&gt;&lt;foreign-keys&gt;&lt;key app="EN" db-id="95tpr2tp6r9xwoea9rb5wdsz5ds5xeddteew" timestamp="1680224565"&gt;965&lt;/key&gt;&lt;/foreign-keys&gt;&lt;ref-type name="Web Page"&gt;12&lt;/ref-type&gt;&lt;contributors&gt;&lt;authors&gt;&lt;author&gt;Commonwealth Fund,&lt;/author&gt;&lt;/authors&gt;&lt;/contributors&gt;&lt;titles&gt;&lt;title&gt;International health care system profile Netherlands&lt;/title&gt;&lt;/titles&gt;&lt;dates&gt;&lt;year&gt;2020&lt;/year&gt;&lt;/dates&gt;&lt;urls&gt;&lt;related-urls&gt;&lt;url&gt;https://www.commonwealthfund.org/international-health-policy-center/countries/netherlands&lt;/url&gt;&lt;/related-urls&gt;&lt;/urls&gt;&lt;/record&gt;&lt;/Cite&gt;&lt;/EndNote&gt;</w:instrText>
      </w:r>
      <w:r w:rsidR="006577D6">
        <w:rPr>
          <w:lang w:val="en-US"/>
        </w:rPr>
        <w:fldChar w:fldCharType="separate"/>
      </w:r>
      <w:r w:rsidR="006577D6" w:rsidRPr="0016421B">
        <w:rPr>
          <w:noProof/>
          <w:lang w:val="en-US"/>
        </w:rPr>
        <w:t>(Commonwealth Fund)</w:t>
      </w:r>
      <w:r w:rsidR="006577D6">
        <w:rPr>
          <w:lang w:val="en-US"/>
        </w:rPr>
        <w:fldChar w:fldCharType="end"/>
      </w:r>
      <w:r w:rsidR="004923AB">
        <w:rPr>
          <w:lang w:val="en-US"/>
        </w:rPr>
        <w:t>.</w:t>
      </w:r>
      <w:r w:rsidR="006577D6" w:rsidRPr="0016421B">
        <w:rPr>
          <w:lang w:val="en-US"/>
        </w:rPr>
        <w:t xml:space="preserve"> </w:t>
      </w:r>
    </w:p>
  </w:footnote>
  <w:footnote w:id="27">
    <w:p w14:paraId="16880232" w14:textId="2AB8142E" w:rsidR="000456F6" w:rsidRPr="00592B43" w:rsidRDefault="000456F6" w:rsidP="00E41D13">
      <w:pPr>
        <w:pStyle w:val="Fotnotetekst"/>
        <w:rPr>
          <w:lang w:val="en-US"/>
        </w:rPr>
      </w:pPr>
      <w:r w:rsidRPr="00D9107F">
        <w:rPr>
          <w:rStyle w:val="Fotnotereferanse"/>
        </w:rPr>
        <w:footnoteRef/>
      </w:r>
      <w:r w:rsidR="006577D6">
        <w:rPr>
          <w:lang w:val="en-US"/>
        </w:rPr>
        <w:fldChar w:fldCharType="begin"/>
      </w:r>
      <w:r w:rsidR="004654FD">
        <w:rPr>
          <w:lang w:val="en-US"/>
        </w:rPr>
        <w:instrText xml:space="preserve"> ADDIN EN.CITE &lt;EndNote&gt;&lt;Cite&gt;&lt;Author&gt;Larsen&lt;/Author&gt;&lt;Year&gt;2020&lt;/Year&gt;&lt;RecNum&gt;659&lt;/RecNum&gt;&lt;DisplayText&gt;(Larsen et al., 2020)&lt;/DisplayText&gt;&lt;record&gt;&lt;rec-number&gt;659&lt;/rec-number&gt;&lt;foreign-keys&gt;&lt;key app="EN" db-id="95tpr2tp6r9xwoea9rb5wdsz5ds5xeddteew" timestamp="1680069511"&gt;659&lt;/key&gt;&lt;/foreign-keys&gt;&lt;ref-type name="Report"&gt;27&lt;/ref-type&gt;&lt;contributors&gt;&lt;authors&gt;&lt;author&gt;Larsen, T.A.&lt;/author&gt;&lt;author&gt;Klausen, M.B. &lt;/author&gt;&lt;author&gt;Højgaard, B.&lt;/author&gt;&lt;/authors&gt;&lt;tertiary-authors&gt;&lt;author&gt;VIVE – The Danish Center for Social Science Research&lt;/author&gt;&lt;/tertiary-authors&gt;&lt;/contributors&gt;&lt;titles&gt;&lt;title&gt;Primary Health Care in the Nordic Countries – Comparative Analysis and Identification of Challenges&lt;/title&gt;&lt;/titles&gt;&lt;dates&gt;&lt;year&gt;2020&lt;/year&gt;&lt;/dates&gt;&lt;pub-location&gt;København&lt;/pub-location&gt;&lt;isbn&gt;Project: 301661&lt;/isbn&gt;&lt;urls&gt;&lt;/urls&gt;&lt;/record&gt;&lt;/Cite&gt;&lt;/EndNote&gt;</w:instrText>
      </w:r>
      <w:r w:rsidR="006577D6">
        <w:rPr>
          <w:lang w:val="en-US"/>
        </w:rPr>
        <w:fldChar w:fldCharType="separate"/>
      </w:r>
      <w:r w:rsidR="006577D6" w:rsidRPr="00EE2340">
        <w:rPr>
          <w:noProof/>
          <w:lang w:val="en-US"/>
        </w:rPr>
        <w:t>(Larsen et al., 2020)</w:t>
      </w:r>
      <w:r w:rsidR="006577D6">
        <w:rPr>
          <w:lang w:val="en-US"/>
        </w:rPr>
        <w:fldChar w:fldCharType="end"/>
      </w:r>
      <w:r w:rsidR="004923AB">
        <w:rPr>
          <w:lang w:val="en-US"/>
        </w:rPr>
        <w:t>.</w:t>
      </w:r>
    </w:p>
  </w:footnote>
  <w:footnote w:id="28">
    <w:p w14:paraId="7AC8EC03" w14:textId="72EB022C" w:rsidR="000456F6" w:rsidRPr="00E365DF" w:rsidRDefault="000456F6" w:rsidP="00E41D13">
      <w:pPr>
        <w:pStyle w:val="Fotnotetekst"/>
      </w:pPr>
      <w:r w:rsidRPr="00D9107F">
        <w:rPr>
          <w:rStyle w:val="Fotnotereferanse"/>
        </w:rPr>
        <w:footnoteRef/>
      </w:r>
      <w:r w:rsidRPr="00E365DF">
        <w:t xml:space="preserve">E-postkommunikasjon med kontaktperson Finnish Institute for Health and Welfare, Finland </w:t>
      </w:r>
      <w:r w:rsidR="003116A5">
        <w:t>–</w:t>
      </w:r>
      <w:r w:rsidRPr="00E365DF">
        <w:t xml:space="preserve"> THL</w:t>
      </w:r>
      <w:r w:rsidR="003116A5">
        <w:t>.</w:t>
      </w:r>
    </w:p>
  </w:footnote>
  <w:footnote w:id="29">
    <w:p w14:paraId="287DB289" w14:textId="3CBF4D8B" w:rsidR="000456F6" w:rsidRDefault="000456F6" w:rsidP="00E41D13">
      <w:pPr>
        <w:pStyle w:val="Fotnotetekst"/>
      </w:pPr>
      <w:r w:rsidRPr="00D9107F">
        <w:rPr>
          <w:rStyle w:val="Fotnotereferanse"/>
        </w:rPr>
        <w:footnoteRef/>
      </w:r>
      <w:r w:rsidRPr="00D9107F">
        <w:rPr>
          <w:rStyle w:val="kursiv"/>
          <w:rFonts w:eastAsiaTheme="minorEastAsia"/>
        </w:rPr>
        <w:t xml:space="preserve">Tabellen er i hovedsak basert på spørreskjema </w:t>
      </w:r>
      <w:r w:rsidR="00DF305E" w:rsidRPr="00D9107F">
        <w:rPr>
          <w:rStyle w:val="kursiv"/>
          <w:rFonts w:eastAsiaTheme="minorEastAsia"/>
        </w:rPr>
        <w:t xml:space="preserve">og oppfølgende dialog med </w:t>
      </w:r>
      <w:r w:rsidRPr="00D9107F">
        <w:rPr>
          <w:rStyle w:val="kursiv"/>
          <w:rFonts w:eastAsiaTheme="minorEastAsia"/>
        </w:rPr>
        <w:t>kontaktpersoner</w:t>
      </w:r>
      <w:r w:rsidR="00674E64" w:rsidRPr="00D9107F">
        <w:rPr>
          <w:rStyle w:val="kursiv"/>
          <w:rFonts w:eastAsiaTheme="minorEastAsia"/>
        </w:rPr>
        <w:t xml:space="preserve"> i hvert av landene</w:t>
      </w:r>
      <w:r w:rsidR="00F71C7E" w:rsidRPr="00D9107F">
        <w:rPr>
          <w:rStyle w:val="kursiv"/>
          <w:rFonts w:eastAsiaTheme="minorEastAsia"/>
        </w:rPr>
        <w:t>.</w:t>
      </w:r>
    </w:p>
  </w:footnote>
  <w:footnote w:id="30">
    <w:p w14:paraId="6EA81934" w14:textId="120E9535" w:rsidR="000456F6" w:rsidRPr="00613345" w:rsidRDefault="000456F6" w:rsidP="00E41D13">
      <w:pPr>
        <w:pStyle w:val="Fotnotetekst"/>
      </w:pPr>
      <w:r w:rsidRPr="00D9107F">
        <w:rPr>
          <w:rStyle w:val="Fotnotereferanse"/>
        </w:rPr>
        <w:footnoteRef/>
      </w:r>
      <w:r w:rsidRPr="00D9107F">
        <w:rPr>
          <w:rStyle w:val="kursiv"/>
          <w:rFonts w:eastAsiaTheme="minorEastAsia"/>
        </w:rPr>
        <w:t xml:space="preserve">E-postkommunikasjon med kontaktperson Finnish Institute for Health and Welfare, Finland </w:t>
      </w:r>
      <w:r w:rsidR="00613345" w:rsidRPr="00D9107F">
        <w:rPr>
          <w:rStyle w:val="kursiv"/>
          <w:rFonts w:eastAsiaTheme="minorEastAsia"/>
        </w:rPr>
        <w:t>–</w:t>
      </w:r>
      <w:r w:rsidRPr="00D9107F">
        <w:rPr>
          <w:rStyle w:val="kursiv"/>
          <w:rFonts w:eastAsiaTheme="minorEastAsia"/>
        </w:rPr>
        <w:t xml:space="preserve"> THL</w:t>
      </w:r>
      <w:r w:rsidR="00613345" w:rsidRPr="00D9107F">
        <w:rPr>
          <w:rStyle w:val="kursiv"/>
          <w:rFonts w:eastAsiaTheme="minorEastAsia"/>
        </w:rPr>
        <w:t>.</w:t>
      </w:r>
    </w:p>
  </w:footnote>
  <w:footnote w:id="31">
    <w:p w14:paraId="666BA518" w14:textId="547EBF36" w:rsidR="006577D6" w:rsidRDefault="006577D6" w:rsidP="00E41D13">
      <w:pPr>
        <w:pStyle w:val="Fotnotetekst"/>
      </w:pPr>
      <w:r w:rsidRPr="00D9107F">
        <w:rPr>
          <w:rStyle w:val="Fotnotereferanse"/>
        </w:rPr>
        <w:footnoteRef/>
      </w:r>
      <w:r w:rsidRPr="00D9107F">
        <w:rPr>
          <w:rStyle w:val="kursiv"/>
          <w:rFonts w:eastAsiaTheme="minorEastAsia"/>
        </w:rPr>
        <w:t>ACT og FACT er modeller for å gi oppsøkende, samtidige og helhetlige tjenester til mennesker med alvorlige psykiske lidelser.</w:t>
      </w:r>
    </w:p>
  </w:footnote>
  <w:footnote w:id="32">
    <w:p w14:paraId="4CCD984F" w14:textId="1D7A53DC" w:rsidR="002D7126" w:rsidRPr="00FD575B" w:rsidRDefault="002D7126" w:rsidP="00E41D13">
      <w:pPr>
        <w:pStyle w:val="Fotnotetekst"/>
        <w:rPr>
          <w:lang w:val="en-US"/>
        </w:rPr>
      </w:pPr>
      <w:r w:rsidRPr="00D9107F">
        <w:rPr>
          <w:rStyle w:val="Fotnotereferanse"/>
        </w:rPr>
        <w:footnoteRef/>
      </w:r>
      <w:r w:rsidR="006577D6" w:rsidRPr="00FD575B">
        <w:rPr>
          <w:rStyle w:val="FHI-brdtekst1116Tegn"/>
          <w:rFonts w:eastAsiaTheme="minorHAnsi"/>
          <w:sz w:val="16"/>
          <w:szCs w:val="16"/>
          <w:lang w:val="en-US"/>
        </w:rPr>
        <w:t>Strateg</w:t>
      </w:r>
      <w:r w:rsidR="005E75BF">
        <w:rPr>
          <w:rStyle w:val="FHI-brdtekst1116Tegn"/>
          <w:rFonts w:eastAsiaTheme="minorHAnsi"/>
          <w:sz w:val="16"/>
          <w:szCs w:val="16"/>
          <w:lang w:val="en-US"/>
        </w:rPr>
        <w:t>i</w:t>
      </w:r>
      <w:r w:rsidR="006577D6" w:rsidRPr="00FD575B">
        <w:rPr>
          <w:rStyle w:val="FHI-brdtekst1116Tegn"/>
          <w:rFonts w:eastAsiaTheme="minorHAnsi"/>
          <w:sz w:val="16"/>
          <w:szCs w:val="16"/>
          <w:lang w:val="en-US"/>
        </w:rPr>
        <w:t>en evalueres</w:t>
      </w:r>
      <w:r w:rsidR="002027CE">
        <w:rPr>
          <w:rStyle w:val="FHI-brdtekst1116Tegn"/>
          <w:rFonts w:eastAsiaTheme="minorHAnsi"/>
          <w:sz w:val="16"/>
          <w:szCs w:val="16"/>
          <w:lang w:val="en-US"/>
        </w:rPr>
        <w:t>,</w:t>
      </w:r>
      <w:r w:rsidR="006577D6" w:rsidRPr="00FD575B">
        <w:rPr>
          <w:rFonts w:ascii="Calibri" w:hAnsi="Calibri" w:cs="Calibri"/>
          <w:shd w:val="clear" w:color="auto" w:fill="FFFFFF"/>
          <w:lang w:val="en-US"/>
        </w:rPr>
        <w:t xml:space="preserve"> </w:t>
      </w:r>
      <w:hyperlink r:id="rId1" w:tgtFrame="_blank" w:history="1">
        <w:r w:rsidR="006577D6" w:rsidRPr="005D3B64">
          <w:rPr>
            <w:rStyle w:val="0EkspertutvalgetfotnotelenkeTegn"/>
            <w:rFonts w:eastAsiaTheme="minorHAnsi"/>
            <w:sz w:val="16"/>
            <w:szCs w:val="16"/>
            <w:lang w:val="en-US"/>
          </w:rPr>
          <w:t>10 year monitoring and evaluation strategy</w:t>
        </w:r>
      </w:hyperlink>
      <w:r w:rsidR="006E510B" w:rsidRPr="005D3B64">
        <w:rPr>
          <w:rStyle w:val="0EkspertutvalgetfotnotelenkeTegn"/>
          <w:rFonts w:eastAsiaTheme="minorHAnsi"/>
          <w:sz w:val="16"/>
          <w:szCs w:val="16"/>
          <w:lang w:val="en-US"/>
        </w:rPr>
        <w:t>.</w:t>
      </w:r>
      <w:r w:rsidR="006577D6" w:rsidRPr="005D3B64">
        <w:rPr>
          <w:lang w:val="en-US"/>
        </w:rPr>
        <w:t xml:space="preserve"> </w:t>
      </w:r>
    </w:p>
  </w:footnote>
  <w:footnote w:id="33">
    <w:p w14:paraId="06382719" w14:textId="47EE8142" w:rsidR="009115E9" w:rsidRPr="00187134" w:rsidRDefault="009115E9" w:rsidP="00E41D13">
      <w:pPr>
        <w:pStyle w:val="Fotnotetekst"/>
      </w:pPr>
      <w:r w:rsidRPr="00D9107F">
        <w:rPr>
          <w:rStyle w:val="Fotnotereferanse"/>
        </w:rPr>
        <w:footnoteRef/>
      </w:r>
      <w:r w:rsidRPr="00FD575B">
        <w:rPr>
          <w:rStyle w:val="FHI-brdtekst1116Tegn"/>
          <w:rFonts w:eastAsiaTheme="minorHAnsi"/>
          <w:sz w:val="16"/>
          <w:szCs w:val="16"/>
        </w:rPr>
        <w:t>Svar på spørreskjema av kontaktperson ved Primary Care Directorate</w:t>
      </w:r>
      <w:r w:rsidR="00D9107F">
        <w:rPr>
          <w:rStyle w:val="FHI-brdtekst1116Tegn"/>
          <w:rFonts w:eastAsiaTheme="minorHAnsi"/>
          <w:sz w:val="16"/>
          <w:szCs w:val="16"/>
        </w:rPr>
        <w:t xml:space="preserve"> </w:t>
      </w:r>
      <w:r w:rsidRPr="00FD575B">
        <w:rPr>
          <w:rStyle w:val="FHI-brdtekst1116Tegn"/>
          <w:rFonts w:eastAsiaTheme="minorHAnsi"/>
          <w:sz w:val="16"/>
          <w:szCs w:val="16"/>
        </w:rPr>
        <w:t>|</w:t>
      </w:r>
      <w:r w:rsidR="00D9107F">
        <w:rPr>
          <w:rStyle w:val="FHI-brdtekst1116Tegn"/>
          <w:rFonts w:eastAsiaTheme="minorHAnsi"/>
          <w:sz w:val="16"/>
          <w:szCs w:val="16"/>
        </w:rPr>
        <w:t xml:space="preserve"> </w:t>
      </w:r>
      <w:r w:rsidRPr="00FD575B">
        <w:rPr>
          <w:rStyle w:val="FHI-brdtekst1116Tegn"/>
          <w:rFonts w:eastAsiaTheme="minorHAnsi"/>
          <w:sz w:val="16"/>
          <w:szCs w:val="16"/>
        </w:rPr>
        <w:t>Scottish Government</w:t>
      </w:r>
      <w:r w:rsidR="00D9107F">
        <w:rPr>
          <w:rStyle w:val="FHI-brdtekst1116Tegn"/>
          <w:rFonts w:eastAsiaTheme="minorHAnsi"/>
          <w:sz w:val="16"/>
          <w:szCs w:val="16"/>
        </w:rPr>
        <w:t xml:space="preserve"> </w:t>
      </w:r>
      <w:r w:rsidRPr="00FD575B">
        <w:rPr>
          <w:rStyle w:val="FHI-brdtekst1116Tegn"/>
          <w:rFonts w:eastAsiaTheme="minorHAnsi"/>
          <w:sz w:val="16"/>
          <w:szCs w:val="16"/>
        </w:rPr>
        <w:t>(13</w:t>
      </w:r>
      <w:r w:rsidR="003F79A6">
        <w:rPr>
          <w:rStyle w:val="FHI-brdtekst1116Tegn"/>
          <w:rFonts w:eastAsiaTheme="minorHAnsi"/>
          <w:sz w:val="16"/>
          <w:szCs w:val="16"/>
        </w:rPr>
        <w:t>. o</w:t>
      </w:r>
      <w:r w:rsidRPr="00FD575B">
        <w:rPr>
          <w:rStyle w:val="FHI-brdtekst1116Tegn"/>
          <w:rFonts w:eastAsiaTheme="minorHAnsi"/>
          <w:sz w:val="16"/>
          <w:szCs w:val="16"/>
        </w:rPr>
        <w:t>ktober 2022</w:t>
      </w:r>
      <w:r w:rsidR="006577D6" w:rsidRPr="00FD575B">
        <w:rPr>
          <w:rStyle w:val="FHI-brdtekst1116Tegn"/>
          <w:rFonts w:eastAsiaTheme="minorHAnsi"/>
          <w:sz w:val="16"/>
          <w:szCs w:val="16"/>
        </w:rPr>
        <w:t>)</w:t>
      </w:r>
      <w:r w:rsidR="006E510B" w:rsidRPr="00FD575B">
        <w:rPr>
          <w:rStyle w:val="FHI-brdtekst1116Tegn"/>
          <w:rFonts w:eastAsiaTheme="minorHAnsi"/>
          <w:sz w:val="16"/>
          <w:szCs w:val="16"/>
        </w:rPr>
        <w:t>.</w:t>
      </w:r>
    </w:p>
  </w:footnote>
  <w:footnote w:id="34">
    <w:p w14:paraId="2F36042E" w14:textId="2552EE9D" w:rsidR="002D7126" w:rsidRPr="00162EE2" w:rsidRDefault="002D7126" w:rsidP="00E41D13">
      <w:pPr>
        <w:pStyle w:val="Fotnotetekst"/>
      </w:pPr>
      <w:r w:rsidRPr="00D9107F">
        <w:rPr>
          <w:rStyle w:val="Fotnotereferanse"/>
        </w:rPr>
        <w:footnoteRef/>
      </w:r>
      <w:r w:rsidRPr="00D9107F">
        <w:rPr>
          <w:rStyle w:val="kursiv"/>
          <w:rFonts w:eastAsiaTheme="minorEastAsia"/>
        </w:rPr>
        <w:t>Meddelelse fra kontakt</w:t>
      </w:r>
      <w:r w:rsidR="009A52EB" w:rsidRPr="00D9107F">
        <w:rPr>
          <w:rStyle w:val="kursiv"/>
          <w:rFonts w:eastAsiaTheme="minorEastAsia"/>
        </w:rPr>
        <w:t>person</w:t>
      </w:r>
      <w:r w:rsidRPr="00D9107F">
        <w:rPr>
          <w:rStyle w:val="kursiv"/>
          <w:rFonts w:eastAsiaTheme="minorEastAsia"/>
        </w:rPr>
        <w:t xml:space="preserve"> i Danske Regioner (januar 2023</w:t>
      </w:r>
      <w:r w:rsidR="006577D6" w:rsidRPr="00D9107F">
        <w:rPr>
          <w:rStyle w:val="kursiv"/>
          <w:rFonts w:eastAsiaTheme="minorEastAsia"/>
        </w:rPr>
        <w:t>)</w:t>
      </w:r>
      <w:r w:rsidR="00C87B52" w:rsidRPr="00D9107F">
        <w:rPr>
          <w:rStyle w:val="kursiv"/>
          <w:rFonts w:eastAsiaTheme="minorEastAsia"/>
        </w:rPr>
        <w:t>.</w:t>
      </w:r>
    </w:p>
  </w:footnote>
  <w:footnote w:id="35">
    <w:p w14:paraId="3AC06204" w14:textId="7998C856" w:rsidR="002D7126" w:rsidRDefault="002D7126" w:rsidP="00E41D13">
      <w:pPr>
        <w:pStyle w:val="Fotnotetekst"/>
      </w:pPr>
      <w:r w:rsidRPr="00D9107F">
        <w:rPr>
          <w:rStyle w:val="Fotnotereferanse"/>
        </w:rPr>
        <w:footnoteRef/>
      </w:r>
      <w:r w:rsidRPr="00C57E51">
        <w:t xml:space="preserve">Meddelelse fra </w:t>
      </w:r>
      <w:r w:rsidR="006D4800">
        <w:t>kontakt</w:t>
      </w:r>
      <w:r w:rsidR="00D7716D">
        <w:t>person</w:t>
      </w:r>
      <w:r w:rsidRPr="00C57E51">
        <w:t xml:space="preserve"> i Danske Regioner</w:t>
      </w:r>
      <w:r w:rsidR="00B00F4A">
        <w:t xml:space="preserve"> (februar</w:t>
      </w:r>
      <w:r w:rsidRPr="00C57E51">
        <w:t>.2023.</w:t>
      </w:r>
    </w:p>
  </w:footnote>
  <w:footnote w:id="36">
    <w:p w14:paraId="1DBCFA38" w14:textId="754A7A22" w:rsidR="002D7126" w:rsidRDefault="002D7126" w:rsidP="00E41D13">
      <w:pPr>
        <w:pStyle w:val="Fotnotetekst"/>
      </w:pPr>
      <w:r w:rsidRPr="00D9107F">
        <w:rPr>
          <w:rStyle w:val="Fotnotereferanse"/>
        </w:rPr>
        <w:footnoteRef/>
      </w:r>
      <w:r>
        <w:t>E-post f</w:t>
      </w:r>
      <w:r w:rsidRPr="00C57E51">
        <w:t xml:space="preserve">ra </w:t>
      </w:r>
      <w:r w:rsidR="007E2610">
        <w:t>kontaktperson</w:t>
      </w:r>
      <w:r w:rsidRPr="00C57E51">
        <w:t xml:space="preserve"> i Danske Regioner, </w:t>
      </w:r>
      <w:r>
        <w:t>13</w:t>
      </w:r>
      <w:r w:rsidRPr="00C57E51">
        <w:t>.2.2023.</w:t>
      </w:r>
    </w:p>
  </w:footnote>
  <w:footnote w:id="37">
    <w:p w14:paraId="4C4D6932" w14:textId="453C63F6" w:rsidR="002D7126" w:rsidRPr="00473AA8" w:rsidRDefault="002D7126" w:rsidP="00E41D13">
      <w:pPr>
        <w:pStyle w:val="Fotnotetekst"/>
      </w:pPr>
      <w:r w:rsidRPr="00D9107F">
        <w:rPr>
          <w:rStyle w:val="Fotnotereferanse"/>
        </w:rPr>
        <w:footnoteRef/>
      </w:r>
      <w:r w:rsidRPr="00473AA8">
        <w:rPr>
          <w:rStyle w:val="FHI-brdtekst1116Tegn"/>
          <w:rFonts w:eastAsiaTheme="minorEastAsia" w:cstheme="minorBidi"/>
          <w:color w:val="auto"/>
          <w:sz w:val="16"/>
          <w:lang w:eastAsia="en-US"/>
        </w:rPr>
        <w:t>Psykolog i primærhelseteam er ikke inkludert i evalueringen av forsøket med primærhelseteam, så det er begrenset kunnskap om hvordan dette fungerer</w:t>
      </w:r>
      <w:r w:rsidR="00473AA8">
        <w:rPr>
          <w:rStyle w:val="FHI-brdtekst1116Tegn"/>
          <w:rFonts w:eastAsiaTheme="minorEastAsia" w:cstheme="minorBidi"/>
          <w:color w:val="auto"/>
          <w:sz w:val="16"/>
          <w:lang w:eastAsia="en-US"/>
        </w:rPr>
        <w:t>.</w:t>
      </w:r>
    </w:p>
  </w:footnote>
  <w:footnote w:id="38">
    <w:p w14:paraId="11D6680A" w14:textId="38D3A6B7" w:rsidR="002D7126" w:rsidRDefault="002D7126" w:rsidP="00E41D13">
      <w:pPr>
        <w:pStyle w:val="Fotnotetekst"/>
      </w:pPr>
      <w:r w:rsidRPr="00D9107F">
        <w:rPr>
          <w:rStyle w:val="Fotnotereferanse"/>
        </w:rPr>
        <w:footnoteRef/>
      </w:r>
      <w:r w:rsidRPr="00D9107F">
        <w:rPr>
          <w:rStyle w:val="kursiv"/>
          <w:rFonts w:eastAsiaTheme="minorEastAsia"/>
        </w:rPr>
        <w:t>Andre aktuelle takster ved sykmelding er supplerende informasjon til NAV (L4), elektronisk kommunikasjon med NAV og ved enkelte andre attester (L8), dialogmøter med NAV (L35) (fram til</w:t>
      </w:r>
      <w:r w:rsidR="00657CCE" w:rsidRPr="00D9107F">
        <w:rPr>
          <w:rStyle w:val="kursiv"/>
          <w:rFonts w:eastAsiaTheme="minorEastAsia"/>
        </w:rPr>
        <w:t xml:space="preserve"> 2018</w:t>
      </w:r>
      <w:r w:rsidR="002A4E17" w:rsidRPr="00D9107F">
        <w:rPr>
          <w:rStyle w:val="kursiv"/>
          <w:rFonts w:eastAsiaTheme="minorEastAsia"/>
        </w:rPr>
        <w:t>)</w:t>
      </w:r>
      <w:r w:rsidRPr="00D9107F">
        <w:rPr>
          <w:rStyle w:val="kursiv"/>
          <w:rFonts w:eastAsiaTheme="minorEastAsia"/>
        </w:rPr>
        <w:t xml:space="preserve"> og søknad om arbeidsavklaringspenger (AAP) eller uføretrygd (L40</w:t>
      </w:r>
      <w:r w:rsidR="006577D6" w:rsidRPr="00D9107F">
        <w:rPr>
          <w:rStyle w:val="kursiv"/>
          <w:rFonts w:eastAsiaTheme="minorEastAsia"/>
        </w:rPr>
        <w:t>)</w:t>
      </w:r>
      <w:r w:rsidR="005F644C" w:rsidRPr="00D9107F">
        <w:rPr>
          <w:rStyle w:val="kursiv"/>
          <w:rFonts w:eastAsiaTheme="minorEastAsia"/>
        </w:rPr>
        <w:t>.</w:t>
      </w:r>
    </w:p>
  </w:footnote>
  <w:footnote w:id="39">
    <w:p w14:paraId="69621482" w14:textId="2AAF85DC" w:rsidR="002D7126" w:rsidRPr="00860C49" w:rsidRDefault="002D7126" w:rsidP="00E41D13">
      <w:pPr>
        <w:pStyle w:val="Fotnotetekst"/>
      </w:pPr>
      <w:r w:rsidRPr="00D9107F">
        <w:rPr>
          <w:rStyle w:val="Fotnotereferanse"/>
        </w:rPr>
        <w:footnoteRef/>
      </w:r>
      <w:r w:rsidRPr="00D9107F">
        <w:rPr>
          <w:rStyle w:val="kursiv"/>
          <w:rFonts w:eastAsiaTheme="minorEastAsia"/>
        </w:rPr>
        <w:t xml:space="preserve">Det har vært et unntak fra dette under Covid-19-pandemien, og unntaket er forlenget til og med 30. </w:t>
      </w:r>
      <w:r w:rsidR="006577D6" w:rsidRPr="00D9107F">
        <w:rPr>
          <w:rStyle w:val="kursiv"/>
          <w:rFonts w:eastAsiaTheme="minorEastAsia"/>
        </w:rPr>
        <w:t>juni</w:t>
      </w:r>
      <w:r w:rsidRPr="00D9107F">
        <w:rPr>
          <w:rStyle w:val="kursiv"/>
          <w:rFonts w:eastAsiaTheme="minorEastAsia"/>
        </w:rPr>
        <w:t xml:space="preserve"> 2023</w:t>
      </w:r>
      <w:r w:rsidR="005F644C" w:rsidRPr="00D9107F">
        <w:rPr>
          <w:rStyle w:val="kursiv"/>
          <w:rFonts w:eastAsiaTheme="minorEastAsia"/>
        </w:rPr>
        <w:t>.</w:t>
      </w:r>
    </w:p>
  </w:footnote>
  <w:footnote w:id="40">
    <w:p w14:paraId="07FA9F01" w14:textId="2AAF186C" w:rsidR="002D7126" w:rsidRDefault="002D7126" w:rsidP="00E41D13">
      <w:pPr>
        <w:pStyle w:val="Fotnotetekst"/>
      </w:pPr>
      <w:r w:rsidRPr="00D9107F">
        <w:rPr>
          <w:rStyle w:val="Fotnotereferanse"/>
          <w:rFonts w:eastAsiaTheme="minorEastAsia"/>
        </w:rPr>
        <w:footnoteRef/>
      </w:r>
      <w:r w:rsidR="003C666C" w:rsidRPr="00D9107F">
        <w:rPr>
          <w:rStyle w:val="kursiv"/>
          <w:rFonts w:eastAsiaTheme="minorEastAsia"/>
        </w:rPr>
        <w:t>Tall Helsedirektoratet har innhentet fra KUHR på oppdrag fra ekspertutvalget</w:t>
      </w:r>
      <w:r w:rsidR="0090642A" w:rsidRPr="00D9107F">
        <w:rPr>
          <w:rStyle w:val="kursiv"/>
          <w:rFonts w:eastAsiaTheme="minorEastAsia"/>
        </w:rPr>
        <w:t>.</w:t>
      </w:r>
    </w:p>
  </w:footnote>
  <w:footnote w:id="41">
    <w:p w14:paraId="45E6B6DE" w14:textId="1A48B65C" w:rsidR="006577D6" w:rsidRDefault="006577D6" w:rsidP="00E41D13">
      <w:pPr>
        <w:pStyle w:val="Fotnotetekst"/>
      </w:pPr>
      <w:r w:rsidRPr="00D9107F">
        <w:rPr>
          <w:rStyle w:val="Fotnotereferanse"/>
          <w:rFonts w:eastAsiaTheme="minorEastAsia"/>
        </w:rPr>
        <w:footnoteRef/>
      </w:r>
      <w:r w:rsidRPr="00D9107F">
        <w:rPr>
          <w:rStyle w:val="kursiv"/>
          <w:rFonts w:eastAsiaTheme="minorEastAsia"/>
        </w:rPr>
        <w:t>Fra KUHR databasen via Helsedirektoratet</w:t>
      </w:r>
      <w:r w:rsidR="0090642A" w:rsidRPr="00D9107F">
        <w:rPr>
          <w:rStyle w:val="kursiv"/>
          <w:rFonts w:eastAsiaTheme="minorEastAsia"/>
        </w:rPr>
        <w:t>.</w:t>
      </w:r>
    </w:p>
  </w:footnote>
  <w:footnote w:id="42">
    <w:p w14:paraId="55A62442" w14:textId="7288BA11" w:rsidR="002D7126" w:rsidRDefault="002D7126" w:rsidP="00E41D13">
      <w:pPr>
        <w:pStyle w:val="Fotnotetekst"/>
      </w:pPr>
      <w:r w:rsidRPr="00D9107F">
        <w:rPr>
          <w:rStyle w:val="Fotnotereferanse"/>
        </w:rPr>
        <w:footnoteRef/>
      </w:r>
      <w:r w:rsidRPr="00D9107F">
        <w:rPr>
          <w:rStyle w:val="kursiv"/>
          <w:rFonts w:eastAsiaTheme="minorEastAsia"/>
        </w:rPr>
        <w:t>Forutsatt at ett årsverk settes til 1750 timer</w:t>
      </w:r>
      <w:r w:rsidR="0090642A" w:rsidRPr="00D9107F">
        <w:rPr>
          <w:rStyle w:val="kursiv"/>
          <w:rFonts w:eastAsiaTheme="minorEastAsia"/>
        </w:rPr>
        <w:t>.</w:t>
      </w:r>
    </w:p>
  </w:footnote>
  <w:footnote w:id="43">
    <w:p w14:paraId="2BEF7B82" w14:textId="0257056E" w:rsidR="006577D6" w:rsidRPr="00D9107F" w:rsidRDefault="006577D6" w:rsidP="00E41D13">
      <w:pPr>
        <w:pStyle w:val="Fotnotetekst"/>
        <w:rPr>
          <w:rStyle w:val="kursiv"/>
        </w:rPr>
      </w:pPr>
      <w:r w:rsidRPr="00D9107F">
        <w:rPr>
          <w:rStyle w:val="Fotnotereferanse"/>
        </w:rPr>
        <w:footnoteRef/>
      </w:r>
      <w:r w:rsidRPr="002C54D6">
        <w:t>Rundskriv til akuttmedisinforskriften, s. 15</w:t>
      </w:r>
      <w:r w:rsidR="00027FB9">
        <w:rPr>
          <w:iCs/>
        </w:rPr>
        <w:t>.</w:t>
      </w:r>
    </w:p>
  </w:footnote>
  <w:footnote w:id="44">
    <w:p w14:paraId="04C7FBD6" w14:textId="5F780C20" w:rsidR="006577D6" w:rsidRPr="00B65EF8" w:rsidRDefault="006577D6" w:rsidP="00E41D13">
      <w:pPr>
        <w:pStyle w:val="Fotnotetekst"/>
      </w:pPr>
      <w:r w:rsidRPr="00D9107F">
        <w:rPr>
          <w:rStyle w:val="Fotnotereferanse"/>
        </w:rPr>
        <w:footnoteRef/>
      </w:r>
      <w:r w:rsidRPr="006E59BA">
        <w:rPr>
          <w:rStyle w:val="FHI-brdtekst1116Tegn"/>
          <w:rFonts w:eastAsiaTheme="minorEastAsia"/>
          <w:sz w:val="16"/>
          <w:szCs w:val="16"/>
        </w:rPr>
        <w:t xml:space="preserve">Svar på spørreskjema av kontaktperson ved </w:t>
      </w:r>
      <w:r w:rsidR="00F42436" w:rsidRPr="006E59BA">
        <w:rPr>
          <w:rStyle w:val="FHI-brdtekst1116Tegn"/>
          <w:rFonts w:eastAsiaTheme="minorEastAsia"/>
          <w:sz w:val="16"/>
          <w:szCs w:val="16"/>
        </w:rPr>
        <w:t>Center for økonomi, styring og aftaler, Danske Regioner.</w:t>
      </w:r>
    </w:p>
  </w:footnote>
  <w:footnote w:id="45">
    <w:p w14:paraId="75D8F158" w14:textId="1B760630" w:rsidR="006577D6" w:rsidRPr="00826112" w:rsidRDefault="006577D6" w:rsidP="00E41D13">
      <w:pPr>
        <w:pStyle w:val="Fotnotetekst"/>
      </w:pPr>
      <w:r w:rsidRPr="00D9107F">
        <w:rPr>
          <w:rStyle w:val="Fotnotereferanse"/>
        </w:rPr>
        <w:footnoteRef/>
      </w:r>
      <w:r w:rsidRPr="00F90986">
        <w:rPr>
          <w:rStyle w:val="FHI-brdtekst1116Tegn"/>
          <w:rFonts w:eastAsiaTheme="minorEastAsia"/>
          <w:sz w:val="16"/>
          <w:szCs w:val="16"/>
        </w:rPr>
        <w:t>Svar på spørreskjema av kontaktperson</w:t>
      </w:r>
      <w:r w:rsidR="00107EB4" w:rsidRPr="00F90986">
        <w:rPr>
          <w:rStyle w:val="FHI-brdtekst1116Tegn"/>
          <w:rFonts w:eastAsiaTheme="minorEastAsia"/>
          <w:sz w:val="16"/>
          <w:szCs w:val="16"/>
        </w:rPr>
        <w:t>er</w:t>
      </w:r>
      <w:r w:rsidRPr="00F90986">
        <w:rPr>
          <w:rStyle w:val="FHI-brdtekst1116Tegn"/>
          <w:rFonts w:eastAsiaTheme="minorEastAsia"/>
          <w:sz w:val="16"/>
          <w:szCs w:val="16"/>
        </w:rPr>
        <w:t xml:space="preserve"> ved</w:t>
      </w:r>
      <w:r w:rsidR="00AE3781" w:rsidRPr="00F90986">
        <w:rPr>
          <w:rStyle w:val="FHI-brdtekst1116Tegn"/>
          <w:rFonts w:eastAsiaTheme="minorEastAsia"/>
          <w:sz w:val="16"/>
          <w:szCs w:val="16"/>
        </w:rPr>
        <w:t xml:space="preserve"> </w:t>
      </w:r>
      <w:r w:rsidR="00107EB4" w:rsidRPr="00F90986">
        <w:rPr>
          <w:rStyle w:val="FHI-brdtekst1116Tegn"/>
          <w:rFonts w:eastAsiaTheme="minorEastAsia"/>
          <w:sz w:val="16"/>
          <w:szCs w:val="16"/>
        </w:rPr>
        <w:t>V</w:t>
      </w:r>
      <w:r w:rsidR="00BA6977" w:rsidRPr="00F90986">
        <w:rPr>
          <w:rStyle w:val="FHI-brdtekst1116Tegn"/>
          <w:rFonts w:eastAsiaTheme="minorEastAsia"/>
          <w:sz w:val="16"/>
          <w:szCs w:val="16"/>
        </w:rPr>
        <w:t>årdanalys og Karolinska Instiutte</w:t>
      </w:r>
      <w:r w:rsidR="00C83246">
        <w:rPr>
          <w:rStyle w:val="FHI-brdtekst1116Tegn"/>
          <w:rFonts w:eastAsiaTheme="minorEastAsia"/>
          <w:sz w:val="16"/>
          <w:szCs w:val="16"/>
        </w:rPr>
        <w:t>t</w:t>
      </w:r>
      <w:r w:rsidR="00F90986" w:rsidRPr="00F90986">
        <w:rPr>
          <w:rStyle w:val="FHI-brdtekst1116Tegn"/>
          <w:rFonts w:eastAsiaTheme="minorEastAsia"/>
          <w:sz w:val="16"/>
          <w:szCs w:val="16"/>
        </w:rPr>
        <w:t>, juni 2022</w:t>
      </w:r>
      <w:r w:rsidR="00F90986">
        <w:rPr>
          <w:rStyle w:val="FHI-brdtekst1116Tegn"/>
          <w:rFonts w:eastAsiaTheme="minorEastAsia"/>
        </w:rPr>
        <w:t>.</w:t>
      </w:r>
    </w:p>
  </w:footnote>
  <w:footnote w:id="46">
    <w:p w14:paraId="0D8CD9EE" w14:textId="19D832C3" w:rsidR="002D7126" w:rsidRPr="00F80DB1" w:rsidRDefault="002D7126" w:rsidP="00E41D13">
      <w:pPr>
        <w:pStyle w:val="Fotnotetekst"/>
      </w:pPr>
      <w:r w:rsidRPr="00D9107F">
        <w:rPr>
          <w:rStyle w:val="Fotnotereferanse"/>
        </w:rPr>
        <w:footnoteRef/>
      </w:r>
      <w:r w:rsidRPr="002C54D6">
        <w:t xml:space="preserve">Meddelelse fra </w:t>
      </w:r>
      <w:r w:rsidR="00F90986" w:rsidRPr="002C54D6">
        <w:t>k</w:t>
      </w:r>
      <w:r w:rsidRPr="002C54D6">
        <w:t xml:space="preserve">ontaktperson </w:t>
      </w:r>
      <w:r w:rsidR="00E7614D" w:rsidRPr="002C54D6">
        <w:t>ved GP Policy Division,</w:t>
      </w:r>
      <w:r w:rsidRPr="002C54D6">
        <w:t xml:space="preserve"> Skottland</w:t>
      </w:r>
      <w:r w:rsidR="000563BE" w:rsidRPr="002C54D6">
        <w:t>.</w:t>
      </w:r>
      <w:r w:rsidRPr="002C54D6">
        <w:t xml:space="preserve"> </w:t>
      </w:r>
    </w:p>
  </w:footnote>
  <w:footnote w:id="47">
    <w:p w14:paraId="2F703B13" w14:textId="162015B8" w:rsidR="006577D6" w:rsidRDefault="006577D6" w:rsidP="00E41D13">
      <w:pPr>
        <w:pStyle w:val="Fotnotetekst"/>
      </w:pPr>
      <w:r w:rsidRPr="00D9107F">
        <w:rPr>
          <w:rStyle w:val="Fotnotereferanse"/>
        </w:rPr>
        <w:footnoteRef/>
      </w:r>
      <w:r w:rsidRPr="00D9107F">
        <w:rPr>
          <w:rStyle w:val="kursiv"/>
          <w:rFonts w:eastAsiaTheme="minorEastAsia"/>
        </w:rPr>
        <w:t xml:space="preserve">Svar på spørreskjema av kontaktperson ved </w:t>
      </w:r>
      <w:r w:rsidR="004B77C2" w:rsidRPr="00D9107F">
        <w:rPr>
          <w:rStyle w:val="kursiv"/>
          <w:rFonts w:eastAsiaTheme="minorEastAsia"/>
        </w:rPr>
        <w:t xml:space="preserve">Policy officer </w:t>
      </w:r>
      <w:r w:rsidR="00724866" w:rsidRPr="00D9107F">
        <w:rPr>
          <w:rStyle w:val="kursiv"/>
          <w:rFonts w:eastAsiaTheme="minorEastAsia"/>
        </w:rPr>
        <w:t>GP care Ministerie van Volksgezon</w:t>
      </w:r>
      <w:r w:rsidR="000C1892" w:rsidRPr="00D9107F">
        <w:rPr>
          <w:rStyle w:val="kursiv"/>
          <w:rFonts w:eastAsiaTheme="minorEastAsia"/>
        </w:rPr>
        <w:t>dheid.</w:t>
      </w:r>
    </w:p>
  </w:footnote>
  <w:footnote w:id="48">
    <w:p w14:paraId="72EC8FF3" w14:textId="67EDF421" w:rsidR="002D7126" w:rsidRDefault="002D7126" w:rsidP="00E41D13">
      <w:pPr>
        <w:pStyle w:val="Fotnotetekst"/>
      </w:pPr>
      <w:r w:rsidRPr="00D9107F">
        <w:rPr>
          <w:rStyle w:val="Fotnotereferanse"/>
        </w:rPr>
        <w:footnoteRef/>
      </w:r>
      <w:r w:rsidRPr="00B1357C">
        <w:t>Medtitt betyr at lege i LVS kan koble seg til videokonsultasjonen operatøren har med innringer.</w:t>
      </w:r>
    </w:p>
  </w:footnote>
  <w:footnote w:id="49">
    <w:p w14:paraId="63CD07BB" w14:textId="095FAB0B" w:rsidR="002D7126" w:rsidRPr="00161B2E" w:rsidRDefault="002D7126" w:rsidP="00E41D13">
      <w:pPr>
        <w:pStyle w:val="Fotnotetekst"/>
        <w:rPr>
          <w:sz w:val="18"/>
          <w:szCs w:val="18"/>
        </w:rPr>
      </w:pPr>
      <w:r w:rsidRPr="00D9107F">
        <w:rPr>
          <w:rStyle w:val="Fotnotereferanse"/>
        </w:rPr>
        <w:footnoteRef/>
      </w:r>
      <w:r w:rsidRPr="00E9030E">
        <w:rPr>
          <w:rStyle w:val="FHI-brdtekst1116Tegn"/>
          <w:rFonts w:eastAsiaTheme="minorEastAsia"/>
          <w:sz w:val="16"/>
          <w:szCs w:val="16"/>
        </w:rPr>
        <w:t>Når det som følge av utbruddet av SARS-CoV-2-viruset eller et høyt antall ankomster av personer fordrevet fra Ukraina er nødvendig for å sikre at kapasiteten i den kommunale helse- og omsorgstjenesten ikke overskrides, kan tilsetting i eller forlengelse av vikariater være på til sammen mer enn ett års varighet dersom vikariatet ikke varer lenger enn til og med 31. desember 2023</w:t>
      </w:r>
      <w:r w:rsidR="00644074" w:rsidRPr="00E9030E">
        <w:rPr>
          <w:rStyle w:val="FHI-brdtekst1116Tegn"/>
          <w:rFonts w:eastAsiaTheme="minorEastAsia"/>
          <w:sz w:val="16"/>
          <w:szCs w:val="16"/>
        </w:rPr>
        <w:t>.</w:t>
      </w:r>
    </w:p>
  </w:footnote>
  <w:footnote w:id="50">
    <w:p w14:paraId="67DB200F" w14:textId="6C9D718F" w:rsidR="006577D6" w:rsidRPr="000835C0" w:rsidRDefault="006577D6" w:rsidP="00E41D13">
      <w:pPr>
        <w:pStyle w:val="Fotnotetekst"/>
        <w:rPr>
          <w:szCs w:val="18"/>
        </w:rPr>
      </w:pPr>
      <w:r w:rsidRPr="00D9107F">
        <w:rPr>
          <w:rStyle w:val="Fotnotereferanse"/>
        </w:rPr>
        <w:footnoteRef/>
      </w:r>
      <w:r w:rsidRPr="00804B9A">
        <w:rPr>
          <w:rStyle w:val="FHI-brdtekst1116Tegn"/>
          <w:rFonts w:ascii="Arial" w:eastAsiaTheme="minorEastAsia" w:hAnsi="Arial"/>
          <w:sz w:val="16"/>
          <w:szCs w:val="16"/>
        </w:rPr>
        <w:t>Kvote for Nord-Troms omfatter syv kommuner. Kommunene Karlsøy, Kvænangen, Kåfjord, Lyngen, Nordreisa, Skjervøy og Storfjord utgjør til sammen Nord-Troms. Kvote for Finnmark omfatter hele fylket</w:t>
      </w:r>
      <w:r w:rsidR="00E9030E">
        <w:rPr>
          <w:rStyle w:val="FHI-brdtekst1116Tegn"/>
          <w:rFonts w:eastAsiaTheme="minorEastAsia"/>
          <w:sz w:val="16"/>
          <w:szCs w:val="16"/>
        </w:rPr>
        <w:t>.</w:t>
      </w:r>
    </w:p>
  </w:footnote>
  <w:footnote w:id="51">
    <w:p w14:paraId="75A799EE" w14:textId="1BBF3DB6" w:rsidR="006577D6" w:rsidRDefault="006577D6" w:rsidP="00E41D13">
      <w:pPr>
        <w:pStyle w:val="Fotnotetekst"/>
      </w:pPr>
      <w:r w:rsidRPr="00D9107F">
        <w:rPr>
          <w:rStyle w:val="Fotnotereferanse"/>
        </w:rPr>
        <w:footnoteRef/>
      </w:r>
      <w:r w:rsidRPr="00E9030E">
        <w:rPr>
          <w:rStyle w:val="FHI-brdtekst1116Tegn"/>
          <w:rFonts w:eastAsiaTheme="minorEastAsia"/>
          <w:sz w:val="16"/>
          <w:szCs w:val="16"/>
        </w:rPr>
        <w:t xml:space="preserve">Vurderingsgrunnlaget er spesifisert i Rundskrivet til spesialistforskriften </w:t>
      </w:r>
      <w:r w:rsidR="00D9107F">
        <w:rPr>
          <w:rStyle w:val="FHI-brdtekst1116Tegn"/>
          <w:rFonts w:eastAsiaTheme="minorEastAsia"/>
          <w:sz w:val="16"/>
          <w:szCs w:val="16"/>
        </w:rPr>
        <w:t>§ </w:t>
      </w:r>
      <w:r w:rsidR="00D9107F" w:rsidRPr="00E9030E">
        <w:rPr>
          <w:rStyle w:val="FHI-brdtekst1116Tegn"/>
          <w:rFonts w:eastAsiaTheme="minorEastAsia"/>
          <w:sz w:val="16"/>
          <w:szCs w:val="16"/>
        </w:rPr>
        <w:t>2</w:t>
      </w:r>
      <w:r w:rsidRPr="00E9030E">
        <w:rPr>
          <w:rStyle w:val="FHI-brdtekst1116Tegn"/>
          <w:rFonts w:eastAsiaTheme="minorEastAsia"/>
          <w:sz w:val="16"/>
          <w:szCs w:val="16"/>
        </w:rPr>
        <w:t>5</w:t>
      </w:r>
      <w:r w:rsidR="00644074" w:rsidRPr="00E9030E">
        <w:rPr>
          <w:rStyle w:val="FHI-brdtekst1116Tegn"/>
          <w:rFonts w:eastAsiaTheme="minorEastAsia"/>
          <w:sz w:val="16"/>
          <w:szCs w:val="16"/>
        </w:rPr>
        <w:t>.</w:t>
      </w:r>
    </w:p>
  </w:footnote>
  <w:footnote w:id="52">
    <w:p w14:paraId="5C74FE48" w14:textId="77777777" w:rsidR="00D9107F" w:rsidRDefault="002D7126" w:rsidP="00E41D13">
      <w:pPr>
        <w:pStyle w:val="Fotnotetekst"/>
        <w:rPr>
          <w:rStyle w:val="FHI-brdtekst1116Tegn"/>
          <w:rFonts w:eastAsiaTheme="minorEastAsia"/>
          <w:sz w:val="16"/>
          <w:szCs w:val="16"/>
        </w:rPr>
      </w:pPr>
      <w:r w:rsidRPr="00D9107F">
        <w:rPr>
          <w:rStyle w:val="Fotnotereferanse"/>
        </w:rPr>
        <w:footnoteRef/>
      </w:r>
      <w:r w:rsidRPr="00E9030E">
        <w:rPr>
          <w:rStyle w:val="FHI-brdtekst1116Tegn"/>
          <w:rFonts w:eastAsiaTheme="minorEastAsia"/>
          <w:sz w:val="16"/>
          <w:szCs w:val="16"/>
        </w:rPr>
        <w:t xml:space="preserve">Definert ved at de har overlege i full stilling, og kan tilby individuell veiledning og supervisjon på nivå med godkjente </w:t>
      </w:r>
    </w:p>
    <w:p w14:paraId="28FA1086" w14:textId="5B9E216B" w:rsidR="002D7126" w:rsidRDefault="002D7126" w:rsidP="00E41D13">
      <w:pPr>
        <w:pStyle w:val="Fotnotetekst"/>
      </w:pPr>
      <w:r w:rsidRPr="00E9030E">
        <w:rPr>
          <w:rStyle w:val="FHI-brdtekst1116Tegn"/>
          <w:rFonts w:eastAsiaTheme="minorEastAsia"/>
          <w:sz w:val="16"/>
          <w:szCs w:val="16"/>
        </w:rPr>
        <w:t>utdanningsvirksomheter og har organisert internundervisning. LIS må delta i vaktordning der dette finnes</w:t>
      </w:r>
      <w:r w:rsidR="00644074" w:rsidRPr="00E9030E">
        <w:rPr>
          <w:rStyle w:val="FHI-brdtekst1116Tegn"/>
          <w:rFonts w:eastAsiaTheme="minorEastAsia"/>
          <w:sz w:val="16"/>
          <w:szCs w:val="16"/>
        </w:rPr>
        <w:t>.</w:t>
      </w:r>
    </w:p>
  </w:footnote>
  <w:footnote w:id="53">
    <w:p w14:paraId="57460391" w14:textId="36318A9B" w:rsidR="006577D6" w:rsidRDefault="006577D6" w:rsidP="00E41D13">
      <w:pPr>
        <w:pStyle w:val="Fotnotetekst"/>
      </w:pPr>
      <w:r w:rsidRPr="00D9107F">
        <w:rPr>
          <w:rStyle w:val="Fotnotereferanse"/>
        </w:rPr>
        <w:footnoteRef/>
      </w:r>
      <w:r w:rsidRPr="00E9030E">
        <w:rPr>
          <w:rStyle w:val="FHI-brdtekst1116Tegn"/>
          <w:rFonts w:eastAsiaTheme="minorEastAsia"/>
          <w:sz w:val="16"/>
          <w:szCs w:val="16"/>
        </w:rPr>
        <w:t xml:space="preserve">Bl.a. Balint-grupper som er en spesiell gruppedynamisk supervisionsgruppe, hvor den enkelte deltager kan legge fram </w:t>
      </w:r>
      <w:r w:rsidR="005B0F93" w:rsidRPr="00E9030E">
        <w:rPr>
          <w:rStyle w:val="FHI-brdtekst1116Tegn"/>
          <w:rFonts w:eastAsiaTheme="minorEastAsia"/>
          <w:sz w:val="16"/>
          <w:szCs w:val="16"/>
        </w:rPr>
        <w:t>vanskeligheter med deres pasienter til gruppedeltakernes refleksjoner.</w:t>
      </w:r>
    </w:p>
  </w:footnote>
  <w:footnote w:id="54">
    <w:p w14:paraId="438D9A5C" w14:textId="48C0E36D" w:rsidR="006577D6" w:rsidRDefault="006577D6" w:rsidP="00E41D13">
      <w:pPr>
        <w:pStyle w:val="Fotnotetekst"/>
      </w:pPr>
      <w:r w:rsidRPr="00D9107F">
        <w:rPr>
          <w:rStyle w:val="Fotnotereferanse"/>
        </w:rPr>
        <w:footnoteRef/>
      </w:r>
      <w:r w:rsidRPr="00D9107F">
        <w:rPr>
          <w:rStyle w:val="kursiv"/>
          <w:rFonts w:eastAsiaTheme="minorHAnsi"/>
        </w:rPr>
        <w:t>Svar på spørreskjema av kontaktperson ved Ministerie van Volksgezondheid, Welzijn en Sport (VWS) (Oktober 11, 2022)</w:t>
      </w:r>
      <w:r w:rsidR="00E9030E" w:rsidRPr="00D9107F">
        <w:rPr>
          <w:rStyle w:val="kursiv"/>
          <w:rFonts w:eastAsiaTheme="minorHAnsi"/>
        </w:rPr>
        <w:t>.</w:t>
      </w:r>
    </w:p>
  </w:footnote>
  <w:footnote w:id="55">
    <w:p w14:paraId="638E0032" w14:textId="2AE1B114" w:rsidR="006577D6" w:rsidRPr="00C6665E" w:rsidRDefault="006577D6" w:rsidP="00E41D13">
      <w:pPr>
        <w:pStyle w:val="Fotnotetekst"/>
      </w:pPr>
      <w:r w:rsidRPr="00D9107F">
        <w:rPr>
          <w:rStyle w:val="Fotnotereferanse"/>
        </w:rPr>
        <w:footnoteRef/>
      </w:r>
      <w:r w:rsidRPr="00C6665E">
        <w:t>Svar på spørreskjema av kontaktperson ved Department of Health and Social Care, GOV.UK. (Desember 16, 2022)</w:t>
      </w:r>
      <w:r w:rsidR="00E9030E">
        <w:t>.</w:t>
      </w:r>
    </w:p>
  </w:footnote>
  <w:footnote w:id="56">
    <w:p w14:paraId="7C31D427" w14:textId="6B2EB604" w:rsidR="002D7126" w:rsidRPr="00187134" w:rsidRDefault="002D7126" w:rsidP="00E41D13">
      <w:pPr>
        <w:pStyle w:val="Fotnotetekst"/>
      </w:pPr>
      <w:r w:rsidRPr="00D9107F">
        <w:rPr>
          <w:rStyle w:val="Fotnotereferanse"/>
        </w:rPr>
        <w:footnoteRef/>
      </w:r>
      <w:r w:rsidRPr="00D9107F">
        <w:rPr>
          <w:rStyle w:val="kursiv"/>
          <w:rFonts w:eastAsiaTheme="minorEastAsia"/>
        </w:rPr>
        <w:t>Svar på spørreskjema av kontaktperson ved Primary Care Directorate</w:t>
      </w:r>
      <w:r w:rsidR="00D9107F" w:rsidRPr="00D9107F">
        <w:rPr>
          <w:rStyle w:val="kursiv"/>
          <w:rFonts w:eastAsiaTheme="minorEastAsia"/>
        </w:rPr>
        <w:t xml:space="preserve"> </w:t>
      </w:r>
      <w:r w:rsidRPr="00D9107F">
        <w:rPr>
          <w:rStyle w:val="kursiv"/>
          <w:rFonts w:eastAsiaTheme="minorEastAsia"/>
        </w:rPr>
        <w:t>|</w:t>
      </w:r>
      <w:r w:rsidR="00D9107F" w:rsidRPr="00D9107F">
        <w:rPr>
          <w:rStyle w:val="kursiv"/>
          <w:rFonts w:eastAsiaTheme="minorEastAsia"/>
        </w:rPr>
        <w:t xml:space="preserve"> </w:t>
      </w:r>
      <w:r w:rsidRPr="00D9107F">
        <w:rPr>
          <w:rStyle w:val="kursiv"/>
          <w:rFonts w:eastAsiaTheme="minorEastAsia"/>
        </w:rPr>
        <w:t>Scottish Government</w:t>
      </w:r>
      <w:r w:rsidR="00D9107F" w:rsidRPr="00D9107F">
        <w:rPr>
          <w:rStyle w:val="kursiv"/>
          <w:rFonts w:eastAsiaTheme="minorEastAsia"/>
        </w:rPr>
        <w:t xml:space="preserve"> </w:t>
      </w:r>
      <w:r w:rsidRPr="00D9107F">
        <w:rPr>
          <w:rStyle w:val="kursiv"/>
          <w:rFonts w:eastAsiaTheme="minorEastAsia"/>
        </w:rPr>
        <w:t>(Oktober 13, 2022)</w:t>
      </w:r>
      <w:r w:rsidR="00E9030E" w:rsidRPr="00D9107F">
        <w:rPr>
          <w:rStyle w:val="kursiv"/>
          <w:rFonts w:eastAsiaTheme="minorEastAsia"/>
        </w:rPr>
        <w:t>.</w:t>
      </w:r>
    </w:p>
  </w:footnote>
  <w:footnote w:id="57">
    <w:p w14:paraId="14403F24" w14:textId="217FA74A" w:rsidR="00663DE5" w:rsidRDefault="00663DE5" w:rsidP="00E41D13">
      <w:pPr>
        <w:pStyle w:val="Fotnotetekst"/>
      </w:pPr>
      <w:r w:rsidRPr="00D9107F">
        <w:rPr>
          <w:rStyle w:val="Fotnotereferanse"/>
        </w:rPr>
        <w:footnoteRef/>
      </w:r>
      <w:r w:rsidRPr="00D9107F">
        <w:rPr>
          <w:rStyle w:val="kursiv"/>
          <w:rFonts w:eastAsiaTheme="minorHAnsi"/>
        </w:rPr>
        <w:t>Svar på spørreskjema av kontaktperson ved Ministerie van Volksgezondheid, Welzijn en Sport (VWS) (Oktober 11, 2022)</w:t>
      </w:r>
      <w:r w:rsidR="00E9030E" w:rsidRPr="00D9107F">
        <w:rPr>
          <w:rStyle w:val="kursiv"/>
          <w:rFonts w:eastAsiaTheme="minorHAnsi"/>
        </w:rPr>
        <w:t>.</w:t>
      </w:r>
    </w:p>
  </w:footnote>
  <w:footnote w:id="58">
    <w:p w14:paraId="7FC30AFC" w14:textId="39417895" w:rsidR="00663DE5" w:rsidRPr="00B50BC9" w:rsidRDefault="00663DE5" w:rsidP="00E41D13">
      <w:pPr>
        <w:pStyle w:val="Fotnotetekst"/>
      </w:pPr>
      <w:r w:rsidRPr="00D9107F">
        <w:rPr>
          <w:rStyle w:val="Fotnotereferanse"/>
        </w:rPr>
        <w:footnoteRef/>
      </w:r>
      <w:r w:rsidRPr="00D9107F">
        <w:rPr>
          <w:rStyle w:val="kursiv"/>
          <w:rFonts w:eastAsiaTheme="minorHAnsi"/>
        </w:rPr>
        <w:t>Svar på spørreskjema av kontaktperson ved Department of Health and Social Care, GOV.UK. (Desember 16, 2022)</w:t>
      </w:r>
      <w:r w:rsidR="00E9030E" w:rsidRPr="00D9107F">
        <w:rPr>
          <w:rStyle w:val="kursiv"/>
          <w:rFonts w:eastAsiaTheme="minorHAnsi"/>
        </w:rPr>
        <w:t>.</w:t>
      </w:r>
    </w:p>
  </w:footnote>
  <w:footnote w:id="59">
    <w:p w14:paraId="3719C980" w14:textId="1FBBB689" w:rsidR="002D7126" w:rsidRPr="00187134" w:rsidRDefault="002D7126" w:rsidP="00E41D13">
      <w:pPr>
        <w:pStyle w:val="Fotnotetekst"/>
      </w:pPr>
      <w:r w:rsidRPr="00D9107F">
        <w:rPr>
          <w:rStyle w:val="Fotnotereferanse"/>
        </w:rPr>
        <w:footnoteRef/>
      </w:r>
      <w:r w:rsidRPr="00E9030E">
        <w:rPr>
          <w:rStyle w:val="FHI-brdtekst1116Tegn"/>
          <w:rFonts w:eastAsiaTheme="minorEastAsia"/>
          <w:sz w:val="16"/>
          <w:szCs w:val="16"/>
        </w:rPr>
        <w:t>Tallene er innhentet av Helsedirektoratet for Ekspertutvalget for allmennlegetjenesten</w:t>
      </w:r>
      <w:r w:rsidR="00A17E01" w:rsidRPr="00E9030E">
        <w:rPr>
          <w:rStyle w:val="FHI-brdtekst1116Tegn"/>
          <w:rFonts w:eastAsiaTheme="minorEastAsia"/>
          <w:sz w:val="16"/>
          <w:szCs w:val="16"/>
        </w:rPr>
        <w:t>.</w:t>
      </w:r>
    </w:p>
  </w:footnote>
  <w:footnote w:id="60">
    <w:p w14:paraId="4A22B3FE" w14:textId="03865C0D" w:rsidR="002D7126" w:rsidRDefault="002D7126" w:rsidP="00E41D13">
      <w:pPr>
        <w:pStyle w:val="Fotnotetekst"/>
      </w:pPr>
      <w:r w:rsidRPr="00D9107F">
        <w:rPr>
          <w:rStyle w:val="Fotnotereferanse"/>
        </w:rPr>
        <w:footnoteRef/>
      </w:r>
      <w:r w:rsidRPr="00E9030E">
        <w:rPr>
          <w:rStyle w:val="FHI-brdtekst1116Tegn"/>
          <w:rFonts w:eastAsiaTheme="minorEastAsia"/>
          <w:sz w:val="16"/>
          <w:szCs w:val="16"/>
        </w:rPr>
        <w:t xml:space="preserve">Forskrift om kompetansekrav for leger i den kommunale helse- og omsorgstjenesten </w:t>
      </w:r>
      <w:r w:rsidR="00D9107F">
        <w:rPr>
          <w:rStyle w:val="FHI-brdtekst1116Tegn"/>
          <w:rFonts w:eastAsiaTheme="minorEastAsia"/>
          <w:sz w:val="16"/>
          <w:szCs w:val="16"/>
        </w:rPr>
        <w:t>§ </w:t>
      </w:r>
      <w:r w:rsidR="00D9107F" w:rsidRPr="00E9030E">
        <w:rPr>
          <w:rStyle w:val="FHI-brdtekst1116Tegn"/>
          <w:rFonts w:eastAsiaTheme="minorEastAsia"/>
          <w:sz w:val="16"/>
          <w:szCs w:val="16"/>
        </w:rPr>
        <w:t>2</w:t>
      </w:r>
      <w:r w:rsidRPr="00E9030E">
        <w:rPr>
          <w:rStyle w:val="FHI-brdtekst1116Tegn"/>
          <w:rFonts w:eastAsiaTheme="minorEastAsia"/>
          <w:sz w:val="16"/>
          <w:szCs w:val="16"/>
        </w:rPr>
        <w:t>: Forskriften gjelder ved legers tiltredelse i fastlegehjemler, stillinger ved kommunale legevakter og andre stillinger med oppgave om å yte helsehjelp etter helse- og omsorgstjenesteloven</w:t>
      </w:r>
      <w:r w:rsidR="00C6665E" w:rsidRPr="00C6665E">
        <w:rPr>
          <w:rStyle w:val="FHI-brdtekst1116Tegn"/>
          <w:rFonts w:eastAsiaTheme="minorEastAsia"/>
          <w:sz w:val="16"/>
          <w:szCs w:val="16"/>
        </w:rPr>
        <w:t>.</w:t>
      </w:r>
    </w:p>
  </w:footnote>
  <w:footnote w:id="61">
    <w:p w14:paraId="305FF6CF" w14:textId="30C9DF1E" w:rsidR="002D7126" w:rsidRDefault="002D7126" w:rsidP="00E41D13">
      <w:pPr>
        <w:pStyle w:val="Fotnotetekst"/>
      </w:pPr>
      <w:r w:rsidRPr="00D9107F">
        <w:rPr>
          <w:rStyle w:val="Fotnotereferanse"/>
        </w:rPr>
        <w:footnoteRef/>
      </w:r>
      <w:r w:rsidRPr="00E9030E">
        <w:rPr>
          <w:rStyle w:val="FHI-brdtekst1116Tegn"/>
          <w:rFonts w:eastAsiaTheme="minorEastAsia"/>
          <w:sz w:val="16"/>
          <w:szCs w:val="16"/>
        </w:rPr>
        <w:t>Innen EU og EØS-området</w:t>
      </w:r>
      <w:r w:rsidR="00C6665E" w:rsidRPr="00E9030E">
        <w:rPr>
          <w:rStyle w:val="FHI-brdtekst1116Tegn"/>
          <w:rFonts w:eastAsiaTheme="minorEastAsia"/>
          <w:sz w:val="16"/>
          <w:szCs w:val="16"/>
        </w:rPr>
        <w:t>.</w:t>
      </w:r>
    </w:p>
  </w:footnote>
  <w:footnote w:id="62">
    <w:p w14:paraId="0B74BC20" w14:textId="4B814FC0" w:rsidR="002D7126" w:rsidRPr="00D9107F" w:rsidRDefault="002D7126" w:rsidP="00E41D13">
      <w:pPr>
        <w:pStyle w:val="Fotnotetekst"/>
        <w:rPr>
          <w:rStyle w:val="kursiv"/>
          <w:rFonts w:eastAsiaTheme="minorEastAsia"/>
        </w:rPr>
      </w:pPr>
      <w:r w:rsidRPr="00D9107F">
        <w:rPr>
          <w:rStyle w:val="Fotnotereferanse"/>
        </w:rPr>
        <w:footnoteRef/>
      </w:r>
      <w:r w:rsidRPr="00E9030E">
        <w:rPr>
          <w:rStyle w:val="FHI-brdtekst1116Tegn"/>
          <w:rFonts w:eastAsiaTheme="minorEastAsia"/>
          <w:sz w:val="16"/>
          <w:szCs w:val="16"/>
        </w:rPr>
        <w:t xml:space="preserve">Rammeavtale mellom KS og Den norske legeforening om allmennlegepraksis i fastlegeordningen i kommunene ASA 4310 for </w:t>
      </w:r>
      <w:r w:rsidR="002472E5" w:rsidRPr="00E9030E">
        <w:rPr>
          <w:rStyle w:val="FHI-brdtekst1116Tegn"/>
          <w:rFonts w:eastAsiaTheme="minorEastAsia"/>
          <w:sz w:val="16"/>
          <w:szCs w:val="16"/>
        </w:rPr>
        <w:t>perioden 2013</w:t>
      </w:r>
      <w:r w:rsidR="006577D6" w:rsidRPr="00E9030E">
        <w:rPr>
          <w:rStyle w:val="FHI-brdtekst1116Tegn"/>
          <w:rFonts w:eastAsiaTheme="minorEastAsia"/>
          <w:sz w:val="16"/>
          <w:szCs w:val="16"/>
        </w:rPr>
        <w:t>–</w:t>
      </w:r>
      <w:r w:rsidR="002472E5" w:rsidRPr="00E9030E">
        <w:rPr>
          <w:rStyle w:val="FHI-brdtekst1116Tegn"/>
          <w:rFonts w:eastAsiaTheme="minorEastAsia"/>
          <w:sz w:val="16"/>
          <w:szCs w:val="16"/>
        </w:rPr>
        <w:t xml:space="preserve">2014 (prolongert </w:t>
      </w:r>
      <w:r w:rsidR="006577D6" w:rsidRPr="00E9030E">
        <w:rPr>
          <w:rStyle w:val="FHI-brdtekst1116Tegn"/>
          <w:rFonts w:eastAsiaTheme="minorEastAsia"/>
          <w:sz w:val="16"/>
          <w:szCs w:val="16"/>
        </w:rPr>
        <w:t>fram</w:t>
      </w:r>
      <w:r w:rsidR="002472E5" w:rsidRPr="00E9030E">
        <w:rPr>
          <w:rStyle w:val="FHI-brdtekst1116Tegn"/>
          <w:rFonts w:eastAsiaTheme="minorEastAsia"/>
          <w:sz w:val="16"/>
          <w:szCs w:val="16"/>
        </w:rPr>
        <w:t xml:space="preserve"> til 31.08.2023, punkt 11.3: Legen kan ta imot medisinske studenter i sin praksis. Organisering og andre vilkår er kommunen uvedkommende, og legens forpliktelser overfor kommunen reduseres ikke</w:t>
      </w:r>
      <w:r w:rsidR="002472E5" w:rsidRPr="00D9107F">
        <w:rPr>
          <w:rStyle w:val="kursiv"/>
          <w:rFonts w:eastAsiaTheme="minorEastAsia"/>
        </w:rPr>
        <w:t>.</w:t>
      </w:r>
    </w:p>
  </w:footnote>
  <w:footnote w:id="63">
    <w:p w14:paraId="4D9C8970" w14:textId="792912C8" w:rsidR="002D7126" w:rsidRDefault="002D7126" w:rsidP="00E41D13">
      <w:pPr>
        <w:pStyle w:val="Fotnotetekst"/>
      </w:pPr>
      <w:r w:rsidRPr="00D9107F">
        <w:rPr>
          <w:rStyle w:val="Fotnotereferanse"/>
        </w:rPr>
        <w:footnoteRef/>
      </w:r>
      <w:r w:rsidR="002472E5" w:rsidRPr="00E9030E">
        <w:rPr>
          <w:rStyle w:val="FHI-brdtekst1116Tegn"/>
          <w:rFonts w:eastAsiaTheme="minorEastAsia"/>
          <w:sz w:val="16"/>
          <w:szCs w:val="16"/>
        </w:rPr>
        <w:t xml:space="preserve">Forskrift 2001-12-20 nr 1549 om praktisk tjeneste (turnustjeneste) for å få autorisasjon som lege (1), </w:t>
      </w:r>
      <w:r w:rsidR="00D9107F">
        <w:rPr>
          <w:rStyle w:val="FHI-brdtekst1116Tegn"/>
          <w:rFonts w:eastAsiaTheme="minorEastAsia"/>
          <w:sz w:val="16"/>
          <w:szCs w:val="16"/>
        </w:rPr>
        <w:t>§ </w:t>
      </w:r>
      <w:r w:rsidR="00D9107F" w:rsidRPr="00E9030E">
        <w:rPr>
          <w:rStyle w:val="FHI-brdtekst1116Tegn"/>
          <w:rFonts w:eastAsiaTheme="minorEastAsia"/>
          <w:sz w:val="16"/>
          <w:szCs w:val="16"/>
        </w:rPr>
        <w:t>1</w:t>
      </w:r>
      <w:r w:rsidR="002472E5" w:rsidRPr="00E9030E">
        <w:rPr>
          <w:rStyle w:val="FHI-brdtekst1116Tegn"/>
          <w:rFonts w:eastAsiaTheme="minorEastAsia"/>
          <w:sz w:val="16"/>
          <w:szCs w:val="16"/>
        </w:rPr>
        <w:t xml:space="preserve">1. Pålegg om mottak av turnusleger. Hdir kan om nødvendig pålegge det enkelte regionale helseforetak og den enkelte kommune å motta turnusleger til praktisk tjeneste, jf. shl </w:t>
      </w:r>
      <w:r w:rsidR="00D9107F">
        <w:rPr>
          <w:rStyle w:val="FHI-brdtekst1116Tegn"/>
          <w:rFonts w:eastAsiaTheme="minorEastAsia"/>
          <w:sz w:val="16"/>
          <w:szCs w:val="16"/>
        </w:rPr>
        <w:t>§ </w:t>
      </w:r>
      <w:r w:rsidR="00D9107F" w:rsidRPr="00E9030E">
        <w:rPr>
          <w:rStyle w:val="FHI-brdtekst1116Tegn"/>
          <w:rFonts w:eastAsiaTheme="minorEastAsia"/>
          <w:sz w:val="16"/>
          <w:szCs w:val="16"/>
        </w:rPr>
        <w:t>3</w:t>
      </w:r>
      <w:r w:rsidR="002472E5" w:rsidRPr="00E9030E">
        <w:rPr>
          <w:rStyle w:val="FHI-brdtekst1116Tegn"/>
          <w:rFonts w:eastAsiaTheme="minorEastAsia"/>
          <w:sz w:val="16"/>
          <w:szCs w:val="16"/>
        </w:rPr>
        <w:t xml:space="preserve">-5 og khl </w:t>
      </w:r>
      <w:r w:rsidR="00D9107F">
        <w:rPr>
          <w:rStyle w:val="FHI-brdtekst1116Tegn"/>
          <w:rFonts w:eastAsiaTheme="minorEastAsia"/>
          <w:sz w:val="16"/>
          <w:szCs w:val="16"/>
        </w:rPr>
        <w:t>§ </w:t>
      </w:r>
      <w:r w:rsidR="00D9107F" w:rsidRPr="00E9030E">
        <w:rPr>
          <w:rStyle w:val="FHI-brdtekst1116Tegn"/>
          <w:rFonts w:eastAsiaTheme="minorEastAsia"/>
          <w:sz w:val="16"/>
          <w:szCs w:val="16"/>
        </w:rPr>
        <w:t>6</w:t>
      </w:r>
      <w:r w:rsidR="002472E5" w:rsidRPr="00E9030E">
        <w:rPr>
          <w:rStyle w:val="FHI-brdtekst1116Tegn"/>
          <w:rFonts w:eastAsiaTheme="minorEastAsia"/>
          <w:sz w:val="16"/>
          <w:szCs w:val="16"/>
        </w:rPr>
        <w:t>-1</w:t>
      </w:r>
      <w:r w:rsidR="00E94804" w:rsidRPr="00E9030E">
        <w:rPr>
          <w:rStyle w:val="FHI-brdtekst1116Tegn"/>
          <w:rFonts w:eastAsiaTheme="minorEastAsia"/>
          <w:sz w:val="16"/>
          <w:szCs w:val="16"/>
        </w:rPr>
        <w:t>.</w:t>
      </w:r>
    </w:p>
  </w:footnote>
  <w:footnote w:id="64">
    <w:p w14:paraId="1ADD0B8A" w14:textId="5620EEC3" w:rsidR="002D7126" w:rsidRDefault="002D7126" w:rsidP="00E41D13">
      <w:pPr>
        <w:pStyle w:val="Fotnotetekst"/>
      </w:pPr>
      <w:r w:rsidRPr="00D9107F">
        <w:rPr>
          <w:rStyle w:val="Fotnotereferanse"/>
        </w:rPr>
        <w:footnoteRef/>
      </w:r>
      <w:r w:rsidRPr="00FB56A1">
        <w:rPr>
          <w:rStyle w:val="FHI-brdtekst1116Tegn"/>
          <w:rFonts w:eastAsiaTheme="minorEastAsia"/>
          <w:sz w:val="16"/>
          <w:szCs w:val="16"/>
        </w:rPr>
        <w:t>KBU er et års kliniske tjeneste, hvorav et 6 måneder gjennomføres på sykehus og 6 måneder i allmennpraksis</w:t>
      </w:r>
      <w:r w:rsidR="00F04AF4" w:rsidRPr="00FB56A1">
        <w:rPr>
          <w:rStyle w:val="FHI-brdtekst1116Tegn"/>
          <w:rFonts w:eastAsiaTheme="minorEastAsia"/>
          <w:szCs w:val="16"/>
        </w:rPr>
        <w:t>.</w:t>
      </w:r>
    </w:p>
  </w:footnote>
  <w:footnote w:id="65">
    <w:p w14:paraId="2D107E6E" w14:textId="48748DD9" w:rsidR="002D7126" w:rsidRDefault="002D7126" w:rsidP="00E41D13">
      <w:pPr>
        <w:pStyle w:val="Fotnotetekst"/>
      </w:pPr>
      <w:r w:rsidRPr="00D9107F">
        <w:rPr>
          <w:rStyle w:val="Fotnotereferanse"/>
        </w:rPr>
        <w:footnoteRef/>
      </w:r>
      <w:r w:rsidR="002472E5" w:rsidRPr="00FB56A1">
        <w:rPr>
          <w:rStyle w:val="FHI-brdtekst1116Tegn"/>
          <w:rFonts w:eastAsiaTheme="minorEastAsia"/>
          <w:sz w:val="16"/>
          <w:szCs w:val="16"/>
        </w:rPr>
        <w:t>AT-tjenesten utgjør 18 måneder klinisk tjeneste, hvorav 12 måneder på sykehus og 6 måneder i allmennpraksis</w:t>
      </w:r>
      <w:r w:rsidR="00F04AF4" w:rsidRPr="00FB56A1">
        <w:rPr>
          <w:rStyle w:val="FHI-brdtekst1116Tegn"/>
          <w:rFonts w:eastAsiaTheme="minorEastAsia"/>
          <w:szCs w:val="16"/>
        </w:rPr>
        <w:t>.</w:t>
      </w:r>
    </w:p>
  </w:footnote>
  <w:footnote w:id="66">
    <w:p w14:paraId="6CCF1EDF" w14:textId="3A72A3F6" w:rsidR="002D7126" w:rsidRDefault="002D7126" w:rsidP="00C5420F">
      <w:pPr>
        <w:pStyle w:val="Fotnotetekst"/>
      </w:pPr>
      <w:r w:rsidRPr="00D9107F">
        <w:rPr>
          <w:rStyle w:val="Fotnotereferanse"/>
        </w:rPr>
        <w:footnoteRef/>
      </w:r>
      <w:r w:rsidR="002472E5" w:rsidRPr="00C5420F">
        <w:rPr>
          <w:rFonts w:eastAsiaTheme="minorEastAsia"/>
        </w:rPr>
        <w:t xml:space="preserve">Legen går fra LIS1-stilling direkte til ALIS-stilling, </w:t>
      </w:r>
      <w:r w:rsidR="00F04AF4" w:rsidRPr="00C5420F">
        <w:rPr>
          <w:rFonts w:eastAsiaTheme="minorEastAsia"/>
        </w:rPr>
        <w:t xml:space="preserve">og </w:t>
      </w:r>
      <w:r w:rsidR="002472E5" w:rsidRPr="00C5420F">
        <w:rPr>
          <w:rFonts w:eastAsiaTheme="minorEastAsia"/>
        </w:rPr>
        <w:t>at disse stillingene er knyttet sammen</w:t>
      </w:r>
      <w:r w:rsidR="00F04AF4" w:rsidRPr="00D9107F">
        <w:rPr>
          <w:rStyle w:val="kursiv"/>
          <w:rFonts w:eastAsiaTheme="minorEastAsia"/>
        </w:rPr>
        <w:t>.</w:t>
      </w:r>
    </w:p>
  </w:footnote>
  <w:footnote w:id="67">
    <w:p w14:paraId="48A196E2" w14:textId="5B08DDF2" w:rsidR="00916EE1" w:rsidRPr="00946805" w:rsidRDefault="00916EE1" w:rsidP="00E41D13">
      <w:pPr>
        <w:pStyle w:val="Fotnotetekst"/>
      </w:pPr>
      <w:r w:rsidRPr="00D9107F">
        <w:rPr>
          <w:rStyle w:val="Fotnotereferanse"/>
        </w:rPr>
        <w:footnoteRef/>
      </w:r>
      <w:r w:rsidRPr="00763A04">
        <w:t>Genetisk kartlegging kan innebære bred gentesting med polygen riskscore eller annen genetisk kartlegging</w:t>
      </w:r>
      <w:r w:rsidR="00141846" w:rsidRPr="00763A04">
        <w:t>.</w:t>
      </w:r>
    </w:p>
  </w:footnote>
  <w:footnote w:id="68">
    <w:p w14:paraId="5728C1DF" w14:textId="7E3774FC" w:rsidR="00CB3F57" w:rsidRDefault="00CB3F57" w:rsidP="00E41D13">
      <w:pPr>
        <w:pStyle w:val="Fotnotetekst"/>
      </w:pPr>
      <w:r w:rsidRPr="00D9107F">
        <w:rPr>
          <w:rStyle w:val="Fotnotereferanse"/>
        </w:rPr>
        <w:footnoteRef/>
      </w:r>
      <w:r w:rsidRPr="00C5420F">
        <w:t>Se for eksempel nettsiden utviklet av The Dutch College of GPs som også har laget en forenklet engelsk versjon</w:t>
      </w:r>
      <w:r w:rsidR="0029230F" w:rsidRPr="00C5420F">
        <w:t>.</w:t>
      </w:r>
    </w:p>
  </w:footnote>
  <w:footnote w:id="69">
    <w:p w14:paraId="22E5AAFB" w14:textId="70875A52" w:rsidR="00A708EE" w:rsidRDefault="00A708EE" w:rsidP="00C5420F">
      <w:pPr>
        <w:pStyle w:val="Fotnotetekst"/>
      </w:pPr>
      <w:r w:rsidRPr="00D9107F">
        <w:rPr>
          <w:rStyle w:val="Fotnotereferanse"/>
        </w:rPr>
        <w:footnoteRef/>
      </w:r>
      <w:r w:rsidRPr="00D9107F">
        <w:rPr>
          <w:rStyle w:val="kursiv"/>
          <w:rFonts w:eastAsiaTheme="minorEastAsia"/>
        </w:rPr>
        <w:t xml:space="preserve">11.08.2022: </w:t>
      </w:r>
      <w:hyperlink r:id="rId2" w:history="1">
        <w:r w:rsidRPr="00D9107F">
          <w:rPr>
            <w:rStyle w:val="kursiv"/>
            <w:rFonts w:eastAsiaTheme="minorEastAsia"/>
          </w:rPr>
          <w:t>Mandat for ekspertutvalg for gjennomgang av allmennlegetjenesten</w:t>
        </w:r>
        <w:r w:rsidR="00D9107F" w:rsidRPr="00D9107F">
          <w:rPr>
            <w:rStyle w:val="kursiv"/>
            <w:rFonts w:eastAsiaTheme="minorEastAsia"/>
          </w:rPr>
          <w:t xml:space="preserve"> – </w:t>
        </w:r>
        <w:r w:rsidRPr="00D9107F">
          <w:rPr>
            <w:rStyle w:val="kursiv"/>
            <w:rFonts w:eastAsiaTheme="minorEastAsia"/>
          </w:rPr>
          <w:t>regjeringen.no</w:t>
        </w:r>
      </w:hyperlink>
      <w:r w:rsidR="008A0FFF" w:rsidRPr="00D9107F">
        <w:rPr>
          <w:rStyle w:val="kursiv"/>
          <w:rFonts w:eastAsiaTheme="minorEastAsia"/>
        </w:rPr>
        <w:t>.</w:t>
      </w:r>
    </w:p>
  </w:footnote>
  <w:footnote w:id="70">
    <w:p w14:paraId="06FA6ECC" w14:textId="1D724EA3" w:rsidR="002D7126" w:rsidRDefault="002D7126" w:rsidP="00E41D13">
      <w:pPr>
        <w:pStyle w:val="Fotnotetekst"/>
      </w:pPr>
      <w:r w:rsidRPr="00D9107F">
        <w:rPr>
          <w:rStyle w:val="Fotnotereferanse"/>
        </w:rPr>
        <w:footnoteRef/>
      </w:r>
      <w:r w:rsidRPr="00C60C67">
        <w:rPr>
          <w:rStyle w:val="EUFotnoterTegn"/>
        </w:rPr>
        <w:t>Beskrivelsen er hentet fra avtalen mellom KS og LF (ASA 4310)</w:t>
      </w:r>
      <w:r w:rsidR="008A0FFF" w:rsidRPr="00C60C67">
        <w:rPr>
          <w:rStyle w:val="EUFotnoterTeg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18F7CDF"/>
    <w:multiLevelType w:val="multilevel"/>
    <w:tmpl w:val="750E217A"/>
    <w:styleLink w:val="Stil2"/>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09E24CA"/>
    <w:multiLevelType w:val="multilevel"/>
    <w:tmpl w:val="E176FC96"/>
    <w:lvl w:ilvl="0">
      <w:start w:val="1"/>
      <w:numFmt w:val="decimal"/>
      <w:pStyle w:val="EU1Overskrift"/>
      <w:lvlText w:val="%1."/>
      <w:lvlJc w:val="left"/>
      <w:pPr>
        <w:ind w:left="360" w:hanging="360"/>
      </w:pPr>
      <w:rPr>
        <w:rFonts w:hint="default"/>
      </w:rPr>
    </w:lvl>
    <w:lvl w:ilvl="1">
      <w:start w:val="1"/>
      <w:numFmt w:val="decimal"/>
      <w:pStyle w:val="EU2Overskrift"/>
      <w:lvlText w:val="%1.%2."/>
      <w:lvlJc w:val="left"/>
      <w:pPr>
        <w:ind w:left="792" w:hanging="432"/>
      </w:pPr>
      <w:rPr>
        <w:rFonts w:hint="default"/>
      </w:rPr>
    </w:lvl>
    <w:lvl w:ilvl="2">
      <w:start w:val="1"/>
      <w:numFmt w:val="decimal"/>
      <w:pStyle w:val="EU3Overskrift"/>
      <w:lvlText w:val="%1.%2.%3."/>
      <w:lvlJc w:val="left"/>
      <w:pPr>
        <w:ind w:left="1224" w:hanging="504"/>
      </w:pPr>
      <w:rPr>
        <w:rFonts w:hint="default"/>
      </w:rPr>
    </w:lvl>
    <w:lvl w:ilvl="3">
      <w:start w:val="1"/>
      <w:numFmt w:val="decimal"/>
      <w:pStyle w:val="EU4Overskrift"/>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22370190">
    <w:abstractNumId w:val="39"/>
  </w:num>
  <w:num w:numId="2" w16cid:durableId="436683475">
    <w:abstractNumId w:val="3"/>
  </w:num>
  <w:num w:numId="3" w16cid:durableId="521479813">
    <w:abstractNumId w:val="41"/>
  </w:num>
  <w:num w:numId="4" w16cid:durableId="108011236">
    <w:abstractNumId w:val="33"/>
  </w:num>
  <w:num w:numId="5" w16cid:durableId="995187997">
    <w:abstractNumId w:val="40"/>
  </w:num>
  <w:num w:numId="6" w16cid:durableId="2117557814">
    <w:abstractNumId w:val="13"/>
  </w:num>
  <w:num w:numId="7" w16cid:durableId="271910686">
    <w:abstractNumId w:val="17"/>
  </w:num>
  <w:num w:numId="8" w16cid:durableId="771317332">
    <w:abstractNumId w:val="4"/>
  </w:num>
  <w:num w:numId="9" w16cid:durableId="683289540">
    <w:abstractNumId w:val="26"/>
  </w:num>
  <w:num w:numId="10" w16cid:durableId="725489796">
    <w:abstractNumId w:val="2"/>
  </w:num>
  <w:num w:numId="11" w16cid:durableId="526868277">
    <w:abstractNumId w:val="10"/>
  </w:num>
  <w:num w:numId="12" w16cid:durableId="1050492841">
    <w:abstractNumId w:val="11"/>
  </w:num>
  <w:num w:numId="13" w16cid:durableId="2024697882">
    <w:abstractNumId w:val="32"/>
  </w:num>
  <w:num w:numId="14" w16cid:durableId="1832597100">
    <w:abstractNumId w:val="5"/>
  </w:num>
  <w:num w:numId="15" w16cid:durableId="506989957">
    <w:abstractNumId w:val="16"/>
  </w:num>
  <w:num w:numId="16" w16cid:durableId="1428891131">
    <w:abstractNumId w:val="31"/>
  </w:num>
  <w:num w:numId="17" w16cid:durableId="1408652014">
    <w:abstractNumId w:val="37"/>
  </w:num>
  <w:num w:numId="18" w16cid:durableId="1134447928">
    <w:abstractNumId w:val="24"/>
  </w:num>
  <w:num w:numId="19" w16cid:durableId="678190930">
    <w:abstractNumId w:val="1"/>
  </w:num>
  <w:num w:numId="20" w16cid:durableId="504591088">
    <w:abstractNumId w:val="22"/>
  </w:num>
  <w:num w:numId="21" w16cid:durableId="593133351">
    <w:abstractNumId w:val="27"/>
  </w:num>
  <w:num w:numId="22" w16cid:durableId="1044714987">
    <w:abstractNumId w:val="34"/>
  </w:num>
  <w:num w:numId="23" w16cid:durableId="283003235">
    <w:abstractNumId w:val="38"/>
  </w:num>
  <w:num w:numId="24" w16cid:durableId="816723057">
    <w:abstractNumId w:val="6"/>
  </w:num>
  <w:num w:numId="25" w16cid:durableId="338309616">
    <w:abstractNumId w:val="14"/>
  </w:num>
  <w:num w:numId="26" w16cid:durableId="284507928">
    <w:abstractNumId w:val="29"/>
  </w:num>
  <w:num w:numId="27" w16cid:durableId="840782011">
    <w:abstractNumId w:val="8"/>
  </w:num>
  <w:num w:numId="28" w16cid:durableId="1445732437">
    <w:abstractNumId w:val="28"/>
  </w:num>
  <w:num w:numId="29" w16cid:durableId="112091140">
    <w:abstractNumId w:val="0"/>
  </w:num>
  <w:num w:numId="30" w16cid:durableId="1123038754">
    <w:abstractNumId w:val="21"/>
  </w:num>
  <w:num w:numId="31" w16cid:durableId="1813980909">
    <w:abstractNumId w:val="7"/>
  </w:num>
  <w:num w:numId="32" w16cid:durableId="13655412">
    <w:abstractNumId w:val="12"/>
  </w:num>
  <w:num w:numId="33" w16cid:durableId="1933587806">
    <w:abstractNumId w:val="25"/>
  </w:num>
  <w:num w:numId="34" w16cid:durableId="154106969">
    <w:abstractNumId w:val="36"/>
  </w:num>
  <w:num w:numId="35" w16cid:durableId="652099397">
    <w:abstractNumId w:val="15"/>
  </w:num>
  <w:num w:numId="36" w16cid:durableId="1751272192">
    <w:abstractNumId w:val="18"/>
  </w:num>
  <w:num w:numId="37" w16cid:durableId="228080228">
    <w:abstractNumId w:val="9"/>
  </w:num>
  <w:num w:numId="38" w16cid:durableId="1549757535">
    <w:abstractNumId w:val="19"/>
  </w:num>
  <w:num w:numId="39" w16cid:durableId="977492444">
    <w:abstractNumId w:val="23"/>
  </w:num>
  <w:num w:numId="40"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01514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18835496">
    <w:abstractNumId w:val="8"/>
    <w:lvlOverride w:ilvl="0">
      <w:startOverride w:val="1"/>
    </w:lvlOverride>
  </w:num>
  <w:num w:numId="44" w16cid:durableId="334264690">
    <w:abstractNumId w:val="8"/>
    <w:lvlOverride w:ilvl="0">
      <w:startOverride w:val="1"/>
    </w:lvlOverride>
  </w:num>
  <w:num w:numId="45" w16cid:durableId="15153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1968327">
    <w:abstractNumId w:val="8"/>
    <w:lvlOverride w:ilvl="0">
      <w:startOverride w:val="1"/>
    </w:lvlOverride>
  </w:num>
  <w:num w:numId="47" w16cid:durableId="7644973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86006621">
    <w:abstractNumId w:val="20"/>
  </w:num>
  <w:num w:numId="49" w16cid:durableId="1794520600">
    <w:abstractNumId w:val="30"/>
  </w:num>
  <w:num w:numId="50" w16cid:durableId="1742673538">
    <w:abstractNumId w:val="22"/>
  </w:num>
  <w:num w:numId="51"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dir forfatter-arstall norsk&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tpr2tp6r9xwoea9rb5wdsz5ds5xeddteew&quot;&gt;Expertgruppe allmennlegeutvalget&lt;record-ids&gt;&lt;item&gt;3&lt;/item&gt;&lt;item&gt;6&lt;/item&gt;&lt;item&gt;7&lt;/item&gt;&lt;item&gt;9&lt;/item&gt;&lt;item&gt;24&lt;/item&gt;&lt;item&gt;28&lt;/item&gt;&lt;item&gt;30&lt;/item&gt;&lt;item&gt;32&lt;/item&gt;&lt;item&gt;34&lt;/item&gt;&lt;item&gt;35&lt;/item&gt;&lt;item&gt;36&lt;/item&gt;&lt;item&gt;37&lt;/item&gt;&lt;item&gt;38&lt;/item&gt;&lt;item&gt;39&lt;/item&gt;&lt;item&gt;41&lt;/item&gt;&lt;item&gt;42&lt;/item&gt;&lt;item&gt;46&lt;/item&gt;&lt;item&gt;48&lt;/item&gt;&lt;item&gt;53&lt;/item&gt;&lt;item&gt;57&lt;/item&gt;&lt;item&gt;58&lt;/item&gt;&lt;item&gt;62&lt;/item&gt;&lt;item&gt;63&lt;/item&gt;&lt;item&gt;64&lt;/item&gt;&lt;item&gt;65&lt;/item&gt;&lt;item&gt;66&lt;/item&gt;&lt;item&gt;68&lt;/item&gt;&lt;item&gt;69&lt;/item&gt;&lt;item&gt;73&lt;/item&gt;&lt;item&gt;78&lt;/item&gt;&lt;item&gt;79&lt;/item&gt;&lt;item&gt;81&lt;/item&gt;&lt;item&gt;85&lt;/item&gt;&lt;item&gt;86&lt;/item&gt;&lt;item&gt;88&lt;/item&gt;&lt;item&gt;89&lt;/item&gt;&lt;item&gt;93&lt;/item&gt;&lt;item&gt;95&lt;/item&gt;&lt;item&gt;96&lt;/item&gt;&lt;item&gt;99&lt;/item&gt;&lt;item&gt;104&lt;/item&gt;&lt;item&gt;109&lt;/item&gt;&lt;item&gt;110&lt;/item&gt;&lt;item&gt;113&lt;/item&gt;&lt;item&gt;132&lt;/item&gt;&lt;item&gt;135&lt;/item&gt;&lt;item&gt;147&lt;/item&gt;&lt;item&gt;149&lt;/item&gt;&lt;item&gt;150&lt;/item&gt;&lt;item&gt;154&lt;/item&gt;&lt;item&gt;157&lt;/item&gt;&lt;item&gt;158&lt;/item&gt;&lt;item&gt;159&lt;/item&gt;&lt;item&gt;162&lt;/item&gt;&lt;item&gt;165&lt;/item&gt;&lt;item&gt;167&lt;/item&gt;&lt;item&gt;169&lt;/item&gt;&lt;item&gt;171&lt;/item&gt;&lt;item&gt;189&lt;/item&gt;&lt;item&gt;193&lt;/item&gt;&lt;item&gt;198&lt;/item&gt;&lt;item&gt;199&lt;/item&gt;&lt;item&gt;200&lt;/item&gt;&lt;item&gt;201&lt;/item&gt;&lt;item&gt;203&lt;/item&gt;&lt;item&gt;204&lt;/item&gt;&lt;item&gt;207&lt;/item&gt;&lt;item&gt;211&lt;/item&gt;&lt;item&gt;212&lt;/item&gt;&lt;item&gt;215&lt;/item&gt;&lt;item&gt;216&lt;/item&gt;&lt;item&gt;217&lt;/item&gt;&lt;item&gt;218&lt;/item&gt;&lt;item&gt;219&lt;/item&gt;&lt;item&gt;220&lt;/item&gt;&lt;item&gt;221&lt;/item&gt;&lt;item&gt;222&lt;/item&gt;&lt;item&gt;225&lt;/item&gt;&lt;item&gt;226&lt;/item&gt;&lt;item&gt;239&lt;/item&gt;&lt;item&gt;241&lt;/item&gt;&lt;item&gt;242&lt;/item&gt;&lt;item&gt;243&lt;/item&gt;&lt;item&gt;245&lt;/item&gt;&lt;item&gt;246&lt;/item&gt;&lt;item&gt;248&lt;/item&gt;&lt;item&gt;249&lt;/item&gt;&lt;item&gt;251&lt;/item&gt;&lt;item&gt;252&lt;/item&gt;&lt;item&gt;254&lt;/item&gt;&lt;item&gt;255&lt;/item&gt;&lt;item&gt;257&lt;/item&gt;&lt;item&gt;258&lt;/item&gt;&lt;item&gt;259&lt;/item&gt;&lt;item&gt;260&lt;/item&gt;&lt;item&gt;261&lt;/item&gt;&lt;item&gt;262&lt;/item&gt;&lt;item&gt;263&lt;/item&gt;&lt;item&gt;264&lt;/item&gt;&lt;item&gt;265&lt;/item&gt;&lt;item&gt;266&lt;/item&gt;&lt;item&gt;267&lt;/item&gt;&lt;item&gt;268&lt;/item&gt;&lt;item&gt;271&lt;/item&gt;&lt;item&gt;273&lt;/item&gt;&lt;item&gt;275&lt;/item&gt;&lt;item&gt;277&lt;/item&gt;&lt;item&gt;278&lt;/item&gt;&lt;item&gt;279&lt;/item&gt;&lt;item&gt;280&lt;/item&gt;&lt;item&gt;282&lt;/item&gt;&lt;item&gt;284&lt;/item&gt;&lt;item&gt;285&lt;/item&gt;&lt;item&gt;288&lt;/item&gt;&lt;item&gt;289&lt;/item&gt;&lt;item&gt;290&lt;/item&gt;&lt;item&gt;295&lt;/item&gt;&lt;item&gt;296&lt;/item&gt;&lt;item&gt;297&lt;/item&gt;&lt;item&gt;302&lt;/item&gt;&lt;item&gt;303&lt;/item&gt;&lt;item&gt;304&lt;/item&gt;&lt;item&gt;305&lt;/item&gt;&lt;item&gt;306&lt;/item&gt;&lt;item&gt;309&lt;/item&gt;&lt;item&gt;310&lt;/item&gt;&lt;item&gt;311&lt;/item&gt;&lt;item&gt;312&lt;/item&gt;&lt;item&gt;315&lt;/item&gt;&lt;item&gt;316&lt;/item&gt;&lt;item&gt;319&lt;/item&gt;&lt;item&gt;320&lt;/item&gt;&lt;item&gt;321&lt;/item&gt;&lt;item&gt;323&lt;/item&gt;&lt;item&gt;324&lt;/item&gt;&lt;item&gt;325&lt;/item&gt;&lt;item&gt;328&lt;/item&gt;&lt;item&gt;332&lt;/item&gt;&lt;item&gt;333&lt;/item&gt;&lt;item&gt;335&lt;/item&gt;&lt;item&gt;336&lt;/item&gt;&lt;item&gt;338&lt;/item&gt;&lt;item&gt;339&lt;/item&gt;&lt;item&gt;340&lt;/item&gt;&lt;item&gt;343&lt;/item&gt;&lt;item&gt;346&lt;/item&gt;&lt;item&gt;347&lt;/item&gt;&lt;item&gt;348&lt;/item&gt;&lt;item&gt;349&lt;/item&gt;&lt;item&gt;351&lt;/item&gt;&lt;item&gt;352&lt;/item&gt;&lt;item&gt;356&lt;/item&gt;&lt;item&gt;357&lt;/item&gt;&lt;item&gt;358&lt;/item&gt;&lt;item&gt;368&lt;/item&gt;&lt;item&gt;372&lt;/item&gt;&lt;item&gt;382&lt;/item&gt;&lt;item&gt;386&lt;/item&gt;&lt;item&gt;390&lt;/item&gt;&lt;item&gt;393&lt;/item&gt;&lt;item&gt;401&lt;/item&gt;&lt;item&gt;410&lt;/item&gt;&lt;item&gt;413&lt;/item&gt;&lt;item&gt;414&lt;/item&gt;&lt;item&gt;416&lt;/item&gt;&lt;item&gt;419&lt;/item&gt;&lt;item&gt;420&lt;/item&gt;&lt;item&gt;421&lt;/item&gt;&lt;item&gt;428&lt;/item&gt;&lt;item&gt;429&lt;/item&gt;&lt;item&gt;430&lt;/item&gt;&lt;item&gt;431&lt;/item&gt;&lt;item&gt;432&lt;/item&gt;&lt;item&gt;434&lt;/item&gt;&lt;item&gt;435&lt;/item&gt;&lt;item&gt;440&lt;/item&gt;&lt;item&gt;441&lt;/item&gt;&lt;item&gt;442&lt;/item&gt;&lt;item&gt;443&lt;/item&gt;&lt;item&gt;444&lt;/item&gt;&lt;item&gt;445&lt;/item&gt;&lt;item&gt;446&lt;/item&gt;&lt;item&gt;447&lt;/item&gt;&lt;item&gt;448&lt;/item&gt;&lt;item&gt;449&lt;/item&gt;&lt;item&gt;451&lt;/item&gt;&lt;item&gt;454&lt;/item&gt;&lt;item&gt;459&lt;/item&gt;&lt;item&gt;460&lt;/item&gt;&lt;item&gt;461&lt;/item&gt;&lt;item&gt;462&lt;/item&gt;&lt;item&gt;464&lt;/item&gt;&lt;item&gt;465&lt;/item&gt;&lt;item&gt;467&lt;/item&gt;&lt;item&gt;468&lt;/item&gt;&lt;item&gt;469&lt;/item&gt;&lt;item&gt;470&lt;/item&gt;&lt;item&gt;471&lt;/item&gt;&lt;item&gt;472&lt;/item&gt;&lt;item&gt;473&lt;/item&gt;&lt;item&gt;475&lt;/item&gt;&lt;item&gt;476&lt;/item&gt;&lt;item&gt;478&lt;/item&gt;&lt;item&gt;480&lt;/item&gt;&lt;item&gt;484&lt;/item&gt;&lt;item&gt;493&lt;/item&gt;&lt;item&gt;500&lt;/item&gt;&lt;item&gt;505&lt;/item&gt;&lt;item&gt;506&lt;/item&gt;&lt;item&gt;508&lt;/item&gt;&lt;item&gt;509&lt;/item&gt;&lt;item&gt;513&lt;/item&gt;&lt;item&gt;514&lt;/item&gt;&lt;item&gt;518&lt;/item&gt;&lt;item&gt;520&lt;/item&gt;&lt;item&gt;523&lt;/item&gt;&lt;item&gt;525&lt;/item&gt;&lt;item&gt;531&lt;/item&gt;&lt;item&gt;532&lt;/item&gt;&lt;item&gt;533&lt;/item&gt;&lt;item&gt;534&lt;/item&gt;&lt;item&gt;535&lt;/item&gt;&lt;item&gt;536&lt;/item&gt;&lt;item&gt;547&lt;/item&gt;&lt;item&gt;559&lt;/item&gt;&lt;item&gt;568&lt;/item&gt;&lt;item&gt;569&lt;/item&gt;&lt;item&gt;570&lt;/item&gt;&lt;item&gt;571&lt;/item&gt;&lt;item&gt;572&lt;/item&gt;&lt;item&gt;573&lt;/item&gt;&lt;item&gt;576&lt;/item&gt;&lt;item&gt;577&lt;/item&gt;&lt;item&gt;578&lt;/item&gt;&lt;item&gt;579&lt;/item&gt;&lt;item&gt;583&lt;/item&gt;&lt;item&gt;585&lt;/item&gt;&lt;item&gt;586&lt;/item&gt;&lt;item&gt;587&lt;/item&gt;&lt;item&gt;588&lt;/item&gt;&lt;item&gt;589&lt;/item&gt;&lt;item&gt;590&lt;/item&gt;&lt;item&gt;591&lt;/item&gt;&lt;item&gt;594&lt;/item&gt;&lt;item&gt;595&lt;/item&gt;&lt;item&gt;596&lt;/item&gt;&lt;item&gt;597&lt;/item&gt;&lt;item&gt;599&lt;/item&gt;&lt;item&gt;600&lt;/item&gt;&lt;item&gt;604&lt;/item&gt;&lt;item&gt;609&lt;/item&gt;&lt;item&gt;610&lt;/item&gt;&lt;item&gt;611&lt;/item&gt;&lt;item&gt;618&lt;/item&gt;&lt;item&gt;619&lt;/item&gt;&lt;item&gt;632&lt;/item&gt;&lt;item&gt;633&lt;/item&gt;&lt;item&gt;635&lt;/item&gt;&lt;item&gt;651&lt;/item&gt;&lt;item&gt;652&lt;/item&gt;&lt;item&gt;655&lt;/item&gt;&lt;item&gt;656&lt;/item&gt;&lt;item&gt;658&lt;/item&gt;&lt;item&gt;659&lt;/item&gt;&lt;item&gt;660&lt;/item&gt;&lt;item&gt;661&lt;/item&gt;&lt;item&gt;662&lt;/item&gt;&lt;item&gt;666&lt;/item&gt;&lt;item&gt;667&lt;/item&gt;&lt;item&gt;670&lt;/item&gt;&lt;item&gt;671&lt;/item&gt;&lt;item&gt;677&lt;/item&gt;&lt;item&gt;678&lt;/item&gt;&lt;item&gt;682&lt;/item&gt;&lt;item&gt;683&lt;/item&gt;&lt;item&gt;684&lt;/item&gt;&lt;item&gt;686&lt;/item&gt;&lt;item&gt;687&lt;/item&gt;&lt;item&gt;688&lt;/item&gt;&lt;item&gt;691&lt;/item&gt;&lt;item&gt;696&lt;/item&gt;&lt;item&gt;698&lt;/item&gt;&lt;item&gt;700&lt;/item&gt;&lt;item&gt;702&lt;/item&gt;&lt;item&gt;706&lt;/item&gt;&lt;item&gt;712&lt;/item&gt;&lt;item&gt;714&lt;/item&gt;&lt;item&gt;727&lt;/item&gt;&lt;item&gt;728&lt;/item&gt;&lt;item&gt;731&lt;/item&gt;&lt;item&gt;732&lt;/item&gt;&lt;item&gt;733&lt;/item&gt;&lt;item&gt;734&lt;/item&gt;&lt;item&gt;735&lt;/item&gt;&lt;item&gt;741&lt;/item&gt;&lt;item&gt;746&lt;/item&gt;&lt;item&gt;749&lt;/item&gt;&lt;item&gt;752&lt;/item&gt;&lt;item&gt;755&lt;/item&gt;&lt;item&gt;756&lt;/item&gt;&lt;item&gt;759&lt;/item&gt;&lt;item&gt;760&lt;/item&gt;&lt;item&gt;763&lt;/item&gt;&lt;item&gt;769&lt;/item&gt;&lt;item&gt;771&lt;/item&gt;&lt;item&gt;775&lt;/item&gt;&lt;item&gt;778&lt;/item&gt;&lt;item&gt;779&lt;/item&gt;&lt;item&gt;783&lt;/item&gt;&lt;item&gt;791&lt;/item&gt;&lt;item&gt;796&lt;/item&gt;&lt;item&gt;797&lt;/item&gt;&lt;item&gt;798&lt;/item&gt;&lt;item&gt;799&lt;/item&gt;&lt;item&gt;803&lt;/item&gt;&lt;item&gt;809&lt;/item&gt;&lt;item&gt;810&lt;/item&gt;&lt;item&gt;814&lt;/item&gt;&lt;item&gt;822&lt;/item&gt;&lt;item&gt;824&lt;/item&gt;&lt;item&gt;825&lt;/item&gt;&lt;item&gt;827&lt;/item&gt;&lt;item&gt;828&lt;/item&gt;&lt;item&gt;832&lt;/item&gt;&lt;item&gt;834&lt;/item&gt;&lt;item&gt;836&lt;/item&gt;&lt;item&gt;840&lt;/item&gt;&lt;item&gt;841&lt;/item&gt;&lt;item&gt;842&lt;/item&gt;&lt;item&gt;843&lt;/item&gt;&lt;item&gt;849&lt;/item&gt;&lt;item&gt;850&lt;/item&gt;&lt;item&gt;851&lt;/item&gt;&lt;item&gt;852&lt;/item&gt;&lt;item&gt;853&lt;/item&gt;&lt;item&gt;854&lt;/item&gt;&lt;item&gt;856&lt;/item&gt;&lt;item&gt;857&lt;/item&gt;&lt;item&gt;858&lt;/item&gt;&lt;item&gt;861&lt;/item&gt;&lt;item&gt;863&lt;/item&gt;&lt;item&gt;864&lt;/item&gt;&lt;item&gt;865&lt;/item&gt;&lt;item&gt;866&lt;/item&gt;&lt;item&gt;867&lt;/item&gt;&lt;item&gt;868&lt;/item&gt;&lt;item&gt;873&lt;/item&gt;&lt;item&gt;874&lt;/item&gt;&lt;item&gt;875&lt;/item&gt;&lt;item&gt;876&lt;/item&gt;&lt;item&gt;877&lt;/item&gt;&lt;item&gt;879&lt;/item&gt;&lt;item&gt;883&lt;/item&gt;&lt;item&gt;890&lt;/item&gt;&lt;item&gt;891&lt;/item&gt;&lt;item&gt;892&lt;/item&gt;&lt;item&gt;894&lt;/item&gt;&lt;item&gt;895&lt;/item&gt;&lt;item&gt;897&lt;/item&gt;&lt;item&gt;898&lt;/item&gt;&lt;item&gt;899&lt;/item&gt;&lt;item&gt;900&lt;/item&gt;&lt;item&gt;901&lt;/item&gt;&lt;item&gt;906&lt;/item&gt;&lt;item&gt;908&lt;/item&gt;&lt;item&gt;909&lt;/item&gt;&lt;item&gt;910&lt;/item&gt;&lt;item&gt;911&lt;/item&gt;&lt;item&gt;912&lt;/item&gt;&lt;item&gt;913&lt;/item&gt;&lt;item&gt;915&lt;/item&gt;&lt;item&gt;916&lt;/item&gt;&lt;item&gt;917&lt;/item&gt;&lt;item&gt;918&lt;/item&gt;&lt;item&gt;919&lt;/item&gt;&lt;item&gt;920&lt;/item&gt;&lt;item&gt;922&lt;/item&gt;&lt;item&gt;923&lt;/item&gt;&lt;item&gt;924&lt;/item&gt;&lt;item&gt;925&lt;/item&gt;&lt;item&gt;927&lt;/item&gt;&lt;item&gt;928&lt;/item&gt;&lt;item&gt;929&lt;/item&gt;&lt;item&gt;930&lt;/item&gt;&lt;item&gt;931&lt;/item&gt;&lt;item&gt;932&lt;/item&gt;&lt;item&gt;933&lt;/item&gt;&lt;item&gt;934&lt;/item&gt;&lt;item&gt;935&lt;/item&gt;&lt;item&gt;940&lt;/item&gt;&lt;item&gt;943&lt;/item&gt;&lt;item&gt;945&lt;/item&gt;&lt;item&gt;947&lt;/item&gt;&lt;item&gt;949&lt;/item&gt;&lt;item&gt;950&lt;/item&gt;&lt;item&gt;951&lt;/item&gt;&lt;item&gt;954&lt;/item&gt;&lt;item&gt;955&lt;/item&gt;&lt;item&gt;957&lt;/item&gt;&lt;item&gt;960&lt;/item&gt;&lt;item&gt;965&lt;/item&gt;&lt;item&gt;970&lt;/item&gt;&lt;item&gt;971&lt;/item&gt;&lt;item&gt;973&lt;/item&gt;&lt;item&gt;974&lt;/item&gt;&lt;item&gt;975&lt;/item&gt;&lt;item&gt;976&lt;/item&gt;&lt;item&gt;977&lt;/item&gt;&lt;item&gt;978&lt;/item&gt;&lt;item&gt;979&lt;/item&gt;&lt;item&gt;983&lt;/item&gt;&lt;item&gt;984&lt;/item&gt;&lt;item&gt;985&lt;/item&gt;&lt;item&gt;986&lt;/item&gt;&lt;item&gt;987&lt;/item&gt;&lt;item&gt;988&lt;/item&gt;&lt;item&gt;989&lt;/item&gt;&lt;item&gt;991&lt;/item&gt;&lt;item&gt;992&lt;/item&gt;&lt;item&gt;993&lt;/item&gt;&lt;item&gt;994&lt;/item&gt;&lt;item&gt;995&lt;/item&gt;&lt;item&gt;996&lt;/item&gt;&lt;item&gt;997&lt;/item&gt;&lt;item&gt;998&lt;/item&gt;&lt;item&gt;999&lt;/item&gt;&lt;item&gt;1000&lt;/item&gt;&lt;item&gt;1001&lt;/item&gt;&lt;item&gt;1002&lt;/item&gt;&lt;item&gt;1003&lt;/item&gt;&lt;item&gt;1004&lt;/item&gt;&lt;item&gt;1005&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record-ids&gt;&lt;/item&gt;&lt;item db-id=&quot;a2xzsdweu09rpte55r0x5fxmpftsf0wrtazr&quot;&gt;Ekspertutvalg allmennlegetjenesten&lt;record-ids&gt;&lt;item&gt;676&lt;/item&gt;&lt;item&gt;826&lt;/item&gt;&lt;/record-ids&gt;&lt;/item&gt;&lt;/Libraries&gt;"/>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Andre\HOD_0133_Ekspertutvalgets rapport om allmennlegetjenesten\01_MANUS\02_Arbeidsfiler\Forside_2.png"/>
    <w:docVar w:name="W2KpdfPath" w:val="X:\FILLAGER\HOD\Andre\HOD_0133_Ekspertutvalgets rapport om allmennlegetjenesten\03_PDF-KORR\Ekspertutvalgets rapport om allmennlegetjenesten_revidert.pdf"/>
  </w:docVars>
  <w:rsids>
    <w:rsidRoot w:val="00273E06"/>
    <w:rsid w:val="0000007D"/>
    <w:rsid w:val="000000CA"/>
    <w:rsid w:val="0000012F"/>
    <w:rsid w:val="00000142"/>
    <w:rsid w:val="000001C3"/>
    <w:rsid w:val="00000204"/>
    <w:rsid w:val="00000226"/>
    <w:rsid w:val="00000269"/>
    <w:rsid w:val="00000273"/>
    <w:rsid w:val="000002B9"/>
    <w:rsid w:val="000002F1"/>
    <w:rsid w:val="000002FA"/>
    <w:rsid w:val="00000381"/>
    <w:rsid w:val="0000038E"/>
    <w:rsid w:val="000003FD"/>
    <w:rsid w:val="0000046A"/>
    <w:rsid w:val="0000046E"/>
    <w:rsid w:val="0000047A"/>
    <w:rsid w:val="00000484"/>
    <w:rsid w:val="000004CB"/>
    <w:rsid w:val="000004DF"/>
    <w:rsid w:val="000004E6"/>
    <w:rsid w:val="00000508"/>
    <w:rsid w:val="00000554"/>
    <w:rsid w:val="000005DB"/>
    <w:rsid w:val="000005E1"/>
    <w:rsid w:val="000005EA"/>
    <w:rsid w:val="00000626"/>
    <w:rsid w:val="0000062B"/>
    <w:rsid w:val="0000063B"/>
    <w:rsid w:val="00000648"/>
    <w:rsid w:val="0000064B"/>
    <w:rsid w:val="000006A1"/>
    <w:rsid w:val="000006B3"/>
    <w:rsid w:val="000006E8"/>
    <w:rsid w:val="000007BA"/>
    <w:rsid w:val="000007BC"/>
    <w:rsid w:val="000007C0"/>
    <w:rsid w:val="000007C5"/>
    <w:rsid w:val="00000813"/>
    <w:rsid w:val="00000851"/>
    <w:rsid w:val="000008D8"/>
    <w:rsid w:val="000008E8"/>
    <w:rsid w:val="0000095A"/>
    <w:rsid w:val="0000097F"/>
    <w:rsid w:val="00000989"/>
    <w:rsid w:val="00000994"/>
    <w:rsid w:val="00000997"/>
    <w:rsid w:val="000009E5"/>
    <w:rsid w:val="000009F5"/>
    <w:rsid w:val="00000A43"/>
    <w:rsid w:val="00000AB2"/>
    <w:rsid w:val="00000AF0"/>
    <w:rsid w:val="00000B00"/>
    <w:rsid w:val="00000B11"/>
    <w:rsid w:val="00000B38"/>
    <w:rsid w:val="00000B53"/>
    <w:rsid w:val="00000B95"/>
    <w:rsid w:val="00000B97"/>
    <w:rsid w:val="00000BBC"/>
    <w:rsid w:val="00000BFF"/>
    <w:rsid w:val="00000C80"/>
    <w:rsid w:val="00000C87"/>
    <w:rsid w:val="00000C98"/>
    <w:rsid w:val="00000CBF"/>
    <w:rsid w:val="00000CD7"/>
    <w:rsid w:val="00000D60"/>
    <w:rsid w:val="00000D8C"/>
    <w:rsid w:val="00000DCA"/>
    <w:rsid w:val="00000E0B"/>
    <w:rsid w:val="00000E4B"/>
    <w:rsid w:val="00000E62"/>
    <w:rsid w:val="00000E91"/>
    <w:rsid w:val="00000EAC"/>
    <w:rsid w:val="00000EF2"/>
    <w:rsid w:val="00000F0F"/>
    <w:rsid w:val="00000F42"/>
    <w:rsid w:val="00000F4E"/>
    <w:rsid w:val="00000F94"/>
    <w:rsid w:val="00001012"/>
    <w:rsid w:val="00001040"/>
    <w:rsid w:val="00001047"/>
    <w:rsid w:val="000010D7"/>
    <w:rsid w:val="000010D8"/>
    <w:rsid w:val="000010DB"/>
    <w:rsid w:val="0000114B"/>
    <w:rsid w:val="00001154"/>
    <w:rsid w:val="000011AA"/>
    <w:rsid w:val="000011B4"/>
    <w:rsid w:val="000011F0"/>
    <w:rsid w:val="0000123D"/>
    <w:rsid w:val="00001267"/>
    <w:rsid w:val="0000127E"/>
    <w:rsid w:val="000012E1"/>
    <w:rsid w:val="00001353"/>
    <w:rsid w:val="000013AD"/>
    <w:rsid w:val="000013D4"/>
    <w:rsid w:val="0000147D"/>
    <w:rsid w:val="000014DA"/>
    <w:rsid w:val="000014E3"/>
    <w:rsid w:val="000014EC"/>
    <w:rsid w:val="00001562"/>
    <w:rsid w:val="000015A3"/>
    <w:rsid w:val="000015D8"/>
    <w:rsid w:val="00001617"/>
    <w:rsid w:val="00001625"/>
    <w:rsid w:val="0000162C"/>
    <w:rsid w:val="000016A4"/>
    <w:rsid w:val="000016D0"/>
    <w:rsid w:val="000016D9"/>
    <w:rsid w:val="0000172D"/>
    <w:rsid w:val="0000174A"/>
    <w:rsid w:val="0000174C"/>
    <w:rsid w:val="0000175C"/>
    <w:rsid w:val="00001773"/>
    <w:rsid w:val="00001785"/>
    <w:rsid w:val="000017B7"/>
    <w:rsid w:val="0000182A"/>
    <w:rsid w:val="00001867"/>
    <w:rsid w:val="00001894"/>
    <w:rsid w:val="000018DD"/>
    <w:rsid w:val="00001956"/>
    <w:rsid w:val="0000198C"/>
    <w:rsid w:val="000019CE"/>
    <w:rsid w:val="000019D8"/>
    <w:rsid w:val="000019E0"/>
    <w:rsid w:val="00001A9C"/>
    <w:rsid w:val="00001AFC"/>
    <w:rsid w:val="00001B11"/>
    <w:rsid w:val="00001B4E"/>
    <w:rsid w:val="00001B65"/>
    <w:rsid w:val="00001BA4"/>
    <w:rsid w:val="00001BAF"/>
    <w:rsid w:val="00001BEE"/>
    <w:rsid w:val="00001BEF"/>
    <w:rsid w:val="00001C11"/>
    <w:rsid w:val="00001C20"/>
    <w:rsid w:val="00001C29"/>
    <w:rsid w:val="00001C2F"/>
    <w:rsid w:val="00001C38"/>
    <w:rsid w:val="00001C72"/>
    <w:rsid w:val="00001CC1"/>
    <w:rsid w:val="00001CD8"/>
    <w:rsid w:val="00001D67"/>
    <w:rsid w:val="00001DCF"/>
    <w:rsid w:val="00001DD0"/>
    <w:rsid w:val="00001E17"/>
    <w:rsid w:val="00001E7C"/>
    <w:rsid w:val="00001EA2"/>
    <w:rsid w:val="00001ECF"/>
    <w:rsid w:val="00001EE9"/>
    <w:rsid w:val="00001F37"/>
    <w:rsid w:val="00001F64"/>
    <w:rsid w:val="00001F9A"/>
    <w:rsid w:val="00001FEE"/>
    <w:rsid w:val="0000202C"/>
    <w:rsid w:val="0000211A"/>
    <w:rsid w:val="00002128"/>
    <w:rsid w:val="00002161"/>
    <w:rsid w:val="00002180"/>
    <w:rsid w:val="000021D9"/>
    <w:rsid w:val="000021F5"/>
    <w:rsid w:val="000021FE"/>
    <w:rsid w:val="0000221A"/>
    <w:rsid w:val="00002224"/>
    <w:rsid w:val="00002245"/>
    <w:rsid w:val="0000225C"/>
    <w:rsid w:val="00002266"/>
    <w:rsid w:val="0000228F"/>
    <w:rsid w:val="00002326"/>
    <w:rsid w:val="0000233D"/>
    <w:rsid w:val="000023C0"/>
    <w:rsid w:val="000023FB"/>
    <w:rsid w:val="00002420"/>
    <w:rsid w:val="0000247C"/>
    <w:rsid w:val="000024AC"/>
    <w:rsid w:val="000024B5"/>
    <w:rsid w:val="000024F9"/>
    <w:rsid w:val="00002502"/>
    <w:rsid w:val="000025AA"/>
    <w:rsid w:val="000025DF"/>
    <w:rsid w:val="00002635"/>
    <w:rsid w:val="0000264D"/>
    <w:rsid w:val="00002669"/>
    <w:rsid w:val="000026BB"/>
    <w:rsid w:val="000026D8"/>
    <w:rsid w:val="0000270F"/>
    <w:rsid w:val="00002723"/>
    <w:rsid w:val="00002764"/>
    <w:rsid w:val="0000276C"/>
    <w:rsid w:val="0000277F"/>
    <w:rsid w:val="000027D7"/>
    <w:rsid w:val="000027F8"/>
    <w:rsid w:val="0000281B"/>
    <w:rsid w:val="00002822"/>
    <w:rsid w:val="0000283A"/>
    <w:rsid w:val="000028B1"/>
    <w:rsid w:val="000028B6"/>
    <w:rsid w:val="00002902"/>
    <w:rsid w:val="00002958"/>
    <w:rsid w:val="00002991"/>
    <w:rsid w:val="000029DD"/>
    <w:rsid w:val="00002A18"/>
    <w:rsid w:val="00002A5E"/>
    <w:rsid w:val="00002AA1"/>
    <w:rsid w:val="00002B6D"/>
    <w:rsid w:val="00002BBE"/>
    <w:rsid w:val="00002BD0"/>
    <w:rsid w:val="00002C49"/>
    <w:rsid w:val="00002C62"/>
    <w:rsid w:val="00002D14"/>
    <w:rsid w:val="00002D65"/>
    <w:rsid w:val="00002D67"/>
    <w:rsid w:val="00002D6E"/>
    <w:rsid w:val="00002DC7"/>
    <w:rsid w:val="00002DFA"/>
    <w:rsid w:val="00002E7D"/>
    <w:rsid w:val="00002F3B"/>
    <w:rsid w:val="00002F42"/>
    <w:rsid w:val="00002F74"/>
    <w:rsid w:val="00002FA5"/>
    <w:rsid w:val="00003000"/>
    <w:rsid w:val="00003039"/>
    <w:rsid w:val="0000303C"/>
    <w:rsid w:val="0000309A"/>
    <w:rsid w:val="000030BC"/>
    <w:rsid w:val="00003113"/>
    <w:rsid w:val="00003142"/>
    <w:rsid w:val="0000316B"/>
    <w:rsid w:val="0000318F"/>
    <w:rsid w:val="00003228"/>
    <w:rsid w:val="000032AA"/>
    <w:rsid w:val="000032C9"/>
    <w:rsid w:val="00003368"/>
    <w:rsid w:val="00003382"/>
    <w:rsid w:val="00003428"/>
    <w:rsid w:val="0000346E"/>
    <w:rsid w:val="00003470"/>
    <w:rsid w:val="000034B4"/>
    <w:rsid w:val="000034F9"/>
    <w:rsid w:val="0000351A"/>
    <w:rsid w:val="00003541"/>
    <w:rsid w:val="000035BC"/>
    <w:rsid w:val="00003627"/>
    <w:rsid w:val="00003651"/>
    <w:rsid w:val="00003655"/>
    <w:rsid w:val="0000366B"/>
    <w:rsid w:val="000036A7"/>
    <w:rsid w:val="000036D3"/>
    <w:rsid w:val="000036EE"/>
    <w:rsid w:val="00003708"/>
    <w:rsid w:val="00003738"/>
    <w:rsid w:val="00003750"/>
    <w:rsid w:val="00003758"/>
    <w:rsid w:val="00003777"/>
    <w:rsid w:val="0000377E"/>
    <w:rsid w:val="00003792"/>
    <w:rsid w:val="000037C5"/>
    <w:rsid w:val="000037D0"/>
    <w:rsid w:val="000037EB"/>
    <w:rsid w:val="00003817"/>
    <w:rsid w:val="0000386D"/>
    <w:rsid w:val="000038BB"/>
    <w:rsid w:val="000038E5"/>
    <w:rsid w:val="0000397F"/>
    <w:rsid w:val="000039A7"/>
    <w:rsid w:val="000039E2"/>
    <w:rsid w:val="00003A97"/>
    <w:rsid w:val="00003AAF"/>
    <w:rsid w:val="00003B16"/>
    <w:rsid w:val="00003B99"/>
    <w:rsid w:val="00003BB1"/>
    <w:rsid w:val="00003C0C"/>
    <w:rsid w:val="00003C31"/>
    <w:rsid w:val="00003C3F"/>
    <w:rsid w:val="00003C7C"/>
    <w:rsid w:val="00003CE2"/>
    <w:rsid w:val="00003D31"/>
    <w:rsid w:val="00003D6C"/>
    <w:rsid w:val="00003D88"/>
    <w:rsid w:val="00003E1C"/>
    <w:rsid w:val="00003E60"/>
    <w:rsid w:val="00003E99"/>
    <w:rsid w:val="00003E9D"/>
    <w:rsid w:val="00003FA4"/>
    <w:rsid w:val="00003FA8"/>
    <w:rsid w:val="0000400E"/>
    <w:rsid w:val="00004031"/>
    <w:rsid w:val="00004081"/>
    <w:rsid w:val="000040CD"/>
    <w:rsid w:val="00004156"/>
    <w:rsid w:val="00004171"/>
    <w:rsid w:val="00004174"/>
    <w:rsid w:val="00004179"/>
    <w:rsid w:val="00004185"/>
    <w:rsid w:val="000041AE"/>
    <w:rsid w:val="000041CA"/>
    <w:rsid w:val="00004202"/>
    <w:rsid w:val="00004213"/>
    <w:rsid w:val="0000426D"/>
    <w:rsid w:val="00004288"/>
    <w:rsid w:val="0000434A"/>
    <w:rsid w:val="00004391"/>
    <w:rsid w:val="000043E2"/>
    <w:rsid w:val="000043EE"/>
    <w:rsid w:val="000043FD"/>
    <w:rsid w:val="00004422"/>
    <w:rsid w:val="00004481"/>
    <w:rsid w:val="000044CD"/>
    <w:rsid w:val="000045AD"/>
    <w:rsid w:val="000045B5"/>
    <w:rsid w:val="000045DB"/>
    <w:rsid w:val="0000460E"/>
    <w:rsid w:val="00004655"/>
    <w:rsid w:val="00004662"/>
    <w:rsid w:val="00004674"/>
    <w:rsid w:val="00004682"/>
    <w:rsid w:val="00004698"/>
    <w:rsid w:val="00004699"/>
    <w:rsid w:val="000046D5"/>
    <w:rsid w:val="00004771"/>
    <w:rsid w:val="000047BA"/>
    <w:rsid w:val="000047BE"/>
    <w:rsid w:val="000047D8"/>
    <w:rsid w:val="0000489E"/>
    <w:rsid w:val="000048F1"/>
    <w:rsid w:val="000048F4"/>
    <w:rsid w:val="00004911"/>
    <w:rsid w:val="0000491F"/>
    <w:rsid w:val="00004954"/>
    <w:rsid w:val="000049A4"/>
    <w:rsid w:val="000049CC"/>
    <w:rsid w:val="00004A04"/>
    <w:rsid w:val="00004A1D"/>
    <w:rsid w:val="00004A4E"/>
    <w:rsid w:val="00004A54"/>
    <w:rsid w:val="00004A5A"/>
    <w:rsid w:val="00004A71"/>
    <w:rsid w:val="00004B78"/>
    <w:rsid w:val="00004BA0"/>
    <w:rsid w:val="00004BE4"/>
    <w:rsid w:val="00004C34"/>
    <w:rsid w:val="00004C3E"/>
    <w:rsid w:val="00004C4E"/>
    <w:rsid w:val="00004C7E"/>
    <w:rsid w:val="00004C92"/>
    <w:rsid w:val="00004CA1"/>
    <w:rsid w:val="00004CAE"/>
    <w:rsid w:val="00004CE3"/>
    <w:rsid w:val="00004D15"/>
    <w:rsid w:val="00004D38"/>
    <w:rsid w:val="00004D40"/>
    <w:rsid w:val="00004D4E"/>
    <w:rsid w:val="00004D82"/>
    <w:rsid w:val="00004DC2"/>
    <w:rsid w:val="00004E05"/>
    <w:rsid w:val="00004E23"/>
    <w:rsid w:val="00004E45"/>
    <w:rsid w:val="00004E5B"/>
    <w:rsid w:val="00004E6B"/>
    <w:rsid w:val="00004E9F"/>
    <w:rsid w:val="00004F56"/>
    <w:rsid w:val="00004F7C"/>
    <w:rsid w:val="00004F7E"/>
    <w:rsid w:val="00004FF6"/>
    <w:rsid w:val="0000502C"/>
    <w:rsid w:val="0000506E"/>
    <w:rsid w:val="00005093"/>
    <w:rsid w:val="00005130"/>
    <w:rsid w:val="00005199"/>
    <w:rsid w:val="000051D9"/>
    <w:rsid w:val="000051F7"/>
    <w:rsid w:val="0000523A"/>
    <w:rsid w:val="0000525B"/>
    <w:rsid w:val="00005267"/>
    <w:rsid w:val="000052EB"/>
    <w:rsid w:val="000052ED"/>
    <w:rsid w:val="00005318"/>
    <w:rsid w:val="00005326"/>
    <w:rsid w:val="0000534E"/>
    <w:rsid w:val="00005360"/>
    <w:rsid w:val="0000537D"/>
    <w:rsid w:val="00005381"/>
    <w:rsid w:val="000053CC"/>
    <w:rsid w:val="00005404"/>
    <w:rsid w:val="00005430"/>
    <w:rsid w:val="0000544A"/>
    <w:rsid w:val="00005468"/>
    <w:rsid w:val="00005580"/>
    <w:rsid w:val="0000559A"/>
    <w:rsid w:val="0000559E"/>
    <w:rsid w:val="000055A5"/>
    <w:rsid w:val="000055C9"/>
    <w:rsid w:val="000055D8"/>
    <w:rsid w:val="000055F2"/>
    <w:rsid w:val="000055F6"/>
    <w:rsid w:val="000055FB"/>
    <w:rsid w:val="0000562F"/>
    <w:rsid w:val="00005680"/>
    <w:rsid w:val="0000569D"/>
    <w:rsid w:val="000056DF"/>
    <w:rsid w:val="00005721"/>
    <w:rsid w:val="00005790"/>
    <w:rsid w:val="000057C0"/>
    <w:rsid w:val="00005811"/>
    <w:rsid w:val="0000581F"/>
    <w:rsid w:val="000058A1"/>
    <w:rsid w:val="00005920"/>
    <w:rsid w:val="00005939"/>
    <w:rsid w:val="000059D6"/>
    <w:rsid w:val="00005A4D"/>
    <w:rsid w:val="00005ACA"/>
    <w:rsid w:val="00005C08"/>
    <w:rsid w:val="00005C21"/>
    <w:rsid w:val="00005C45"/>
    <w:rsid w:val="00005C82"/>
    <w:rsid w:val="00005CD9"/>
    <w:rsid w:val="00005CE5"/>
    <w:rsid w:val="00005D05"/>
    <w:rsid w:val="00005D08"/>
    <w:rsid w:val="00005D27"/>
    <w:rsid w:val="00005DB5"/>
    <w:rsid w:val="00005DDD"/>
    <w:rsid w:val="00005E6A"/>
    <w:rsid w:val="00005EA3"/>
    <w:rsid w:val="00005F1D"/>
    <w:rsid w:val="00005F86"/>
    <w:rsid w:val="00005F99"/>
    <w:rsid w:val="00005FDD"/>
    <w:rsid w:val="00006004"/>
    <w:rsid w:val="00006040"/>
    <w:rsid w:val="000060D4"/>
    <w:rsid w:val="000060E6"/>
    <w:rsid w:val="00006106"/>
    <w:rsid w:val="00006108"/>
    <w:rsid w:val="0000613D"/>
    <w:rsid w:val="00006198"/>
    <w:rsid w:val="000061C2"/>
    <w:rsid w:val="0000624D"/>
    <w:rsid w:val="00006251"/>
    <w:rsid w:val="0000625B"/>
    <w:rsid w:val="00006349"/>
    <w:rsid w:val="0000637D"/>
    <w:rsid w:val="0000637E"/>
    <w:rsid w:val="000063A3"/>
    <w:rsid w:val="000063B6"/>
    <w:rsid w:val="000063BE"/>
    <w:rsid w:val="000063C6"/>
    <w:rsid w:val="00006401"/>
    <w:rsid w:val="00006414"/>
    <w:rsid w:val="0000643B"/>
    <w:rsid w:val="00006447"/>
    <w:rsid w:val="00006481"/>
    <w:rsid w:val="0000650A"/>
    <w:rsid w:val="00006525"/>
    <w:rsid w:val="00006527"/>
    <w:rsid w:val="00006537"/>
    <w:rsid w:val="0000653E"/>
    <w:rsid w:val="000065C7"/>
    <w:rsid w:val="000065CB"/>
    <w:rsid w:val="000065DE"/>
    <w:rsid w:val="0000662C"/>
    <w:rsid w:val="0000677B"/>
    <w:rsid w:val="0000682B"/>
    <w:rsid w:val="0000689D"/>
    <w:rsid w:val="000068B2"/>
    <w:rsid w:val="000068FD"/>
    <w:rsid w:val="0000691F"/>
    <w:rsid w:val="00006927"/>
    <w:rsid w:val="00006944"/>
    <w:rsid w:val="000069D6"/>
    <w:rsid w:val="00006A33"/>
    <w:rsid w:val="00006A4D"/>
    <w:rsid w:val="00006BD1"/>
    <w:rsid w:val="00006C22"/>
    <w:rsid w:val="00006C4E"/>
    <w:rsid w:val="00006C56"/>
    <w:rsid w:val="00006C63"/>
    <w:rsid w:val="00006CBF"/>
    <w:rsid w:val="00006CE6"/>
    <w:rsid w:val="00006CFD"/>
    <w:rsid w:val="00006D02"/>
    <w:rsid w:val="00006D0C"/>
    <w:rsid w:val="00006D2A"/>
    <w:rsid w:val="00006D92"/>
    <w:rsid w:val="00006D95"/>
    <w:rsid w:val="00006DE1"/>
    <w:rsid w:val="00006E09"/>
    <w:rsid w:val="00006E48"/>
    <w:rsid w:val="00006E51"/>
    <w:rsid w:val="00006E6F"/>
    <w:rsid w:val="00006F1C"/>
    <w:rsid w:val="00006F29"/>
    <w:rsid w:val="00006F5A"/>
    <w:rsid w:val="00006FA6"/>
    <w:rsid w:val="00006FCA"/>
    <w:rsid w:val="0000700B"/>
    <w:rsid w:val="0000702E"/>
    <w:rsid w:val="00007052"/>
    <w:rsid w:val="000070CC"/>
    <w:rsid w:val="000070D9"/>
    <w:rsid w:val="000070DC"/>
    <w:rsid w:val="00007114"/>
    <w:rsid w:val="00007130"/>
    <w:rsid w:val="00007141"/>
    <w:rsid w:val="0000715B"/>
    <w:rsid w:val="00007167"/>
    <w:rsid w:val="000071A5"/>
    <w:rsid w:val="00007200"/>
    <w:rsid w:val="00007245"/>
    <w:rsid w:val="0000728E"/>
    <w:rsid w:val="0000731C"/>
    <w:rsid w:val="00007322"/>
    <w:rsid w:val="00007340"/>
    <w:rsid w:val="00007354"/>
    <w:rsid w:val="0000735E"/>
    <w:rsid w:val="0000737E"/>
    <w:rsid w:val="0000738F"/>
    <w:rsid w:val="0000739A"/>
    <w:rsid w:val="000073B6"/>
    <w:rsid w:val="000073DD"/>
    <w:rsid w:val="0000741E"/>
    <w:rsid w:val="00007487"/>
    <w:rsid w:val="00007489"/>
    <w:rsid w:val="000074F4"/>
    <w:rsid w:val="0000753A"/>
    <w:rsid w:val="00007589"/>
    <w:rsid w:val="0000759A"/>
    <w:rsid w:val="000075FF"/>
    <w:rsid w:val="0000760F"/>
    <w:rsid w:val="00007625"/>
    <w:rsid w:val="00007694"/>
    <w:rsid w:val="000076EA"/>
    <w:rsid w:val="000076FC"/>
    <w:rsid w:val="00007705"/>
    <w:rsid w:val="0000776C"/>
    <w:rsid w:val="00007787"/>
    <w:rsid w:val="00007797"/>
    <w:rsid w:val="000077CD"/>
    <w:rsid w:val="000078CF"/>
    <w:rsid w:val="000078D4"/>
    <w:rsid w:val="000078F7"/>
    <w:rsid w:val="000078FE"/>
    <w:rsid w:val="00007936"/>
    <w:rsid w:val="00007972"/>
    <w:rsid w:val="0000797C"/>
    <w:rsid w:val="000079BC"/>
    <w:rsid w:val="000079C4"/>
    <w:rsid w:val="000079CD"/>
    <w:rsid w:val="000079E8"/>
    <w:rsid w:val="00007A01"/>
    <w:rsid w:val="00007A09"/>
    <w:rsid w:val="00007A0A"/>
    <w:rsid w:val="00007A24"/>
    <w:rsid w:val="00007A61"/>
    <w:rsid w:val="00007A9D"/>
    <w:rsid w:val="00007AA5"/>
    <w:rsid w:val="00007AA9"/>
    <w:rsid w:val="00007AE6"/>
    <w:rsid w:val="00007AFA"/>
    <w:rsid w:val="00007B05"/>
    <w:rsid w:val="00007B83"/>
    <w:rsid w:val="00007B9F"/>
    <w:rsid w:val="00007BA4"/>
    <w:rsid w:val="00007C49"/>
    <w:rsid w:val="00007C76"/>
    <w:rsid w:val="00007D03"/>
    <w:rsid w:val="00007D18"/>
    <w:rsid w:val="00007D37"/>
    <w:rsid w:val="00007D65"/>
    <w:rsid w:val="00007D6F"/>
    <w:rsid w:val="00007E1D"/>
    <w:rsid w:val="00007E4D"/>
    <w:rsid w:val="00007EF5"/>
    <w:rsid w:val="00007FA0"/>
    <w:rsid w:val="00007FE7"/>
    <w:rsid w:val="0000B0DC"/>
    <w:rsid w:val="000100C0"/>
    <w:rsid w:val="0001015D"/>
    <w:rsid w:val="000101A3"/>
    <w:rsid w:val="000101BF"/>
    <w:rsid w:val="0001023D"/>
    <w:rsid w:val="0001024C"/>
    <w:rsid w:val="0001028D"/>
    <w:rsid w:val="00010343"/>
    <w:rsid w:val="0001034F"/>
    <w:rsid w:val="0001036D"/>
    <w:rsid w:val="00010376"/>
    <w:rsid w:val="000103A8"/>
    <w:rsid w:val="000103D9"/>
    <w:rsid w:val="000103EB"/>
    <w:rsid w:val="00010400"/>
    <w:rsid w:val="0001042C"/>
    <w:rsid w:val="00010442"/>
    <w:rsid w:val="00010455"/>
    <w:rsid w:val="000104B4"/>
    <w:rsid w:val="000104DB"/>
    <w:rsid w:val="0001056A"/>
    <w:rsid w:val="000105DE"/>
    <w:rsid w:val="000105EF"/>
    <w:rsid w:val="00010630"/>
    <w:rsid w:val="00010635"/>
    <w:rsid w:val="0001063C"/>
    <w:rsid w:val="00010670"/>
    <w:rsid w:val="00010693"/>
    <w:rsid w:val="000106F3"/>
    <w:rsid w:val="00010702"/>
    <w:rsid w:val="00010744"/>
    <w:rsid w:val="0001075D"/>
    <w:rsid w:val="00010787"/>
    <w:rsid w:val="0001081B"/>
    <w:rsid w:val="00010820"/>
    <w:rsid w:val="00010841"/>
    <w:rsid w:val="00010888"/>
    <w:rsid w:val="000108B1"/>
    <w:rsid w:val="000108C0"/>
    <w:rsid w:val="000108C9"/>
    <w:rsid w:val="000108D6"/>
    <w:rsid w:val="00010912"/>
    <w:rsid w:val="00010919"/>
    <w:rsid w:val="0001092A"/>
    <w:rsid w:val="00010972"/>
    <w:rsid w:val="000109AD"/>
    <w:rsid w:val="000109C3"/>
    <w:rsid w:val="000109E1"/>
    <w:rsid w:val="000109FA"/>
    <w:rsid w:val="00010A22"/>
    <w:rsid w:val="00010A25"/>
    <w:rsid w:val="00010A41"/>
    <w:rsid w:val="00010A4E"/>
    <w:rsid w:val="00010A62"/>
    <w:rsid w:val="00010AE7"/>
    <w:rsid w:val="00010AF6"/>
    <w:rsid w:val="00010B5C"/>
    <w:rsid w:val="00010B66"/>
    <w:rsid w:val="00010B74"/>
    <w:rsid w:val="00010B88"/>
    <w:rsid w:val="00010C21"/>
    <w:rsid w:val="00010C5F"/>
    <w:rsid w:val="00010C7A"/>
    <w:rsid w:val="00010C82"/>
    <w:rsid w:val="00010CC9"/>
    <w:rsid w:val="00010CD1"/>
    <w:rsid w:val="00010D7F"/>
    <w:rsid w:val="00010DA1"/>
    <w:rsid w:val="00010DD9"/>
    <w:rsid w:val="00010DDE"/>
    <w:rsid w:val="00010DDF"/>
    <w:rsid w:val="00010DE4"/>
    <w:rsid w:val="00010E1D"/>
    <w:rsid w:val="00010E2C"/>
    <w:rsid w:val="00010EEE"/>
    <w:rsid w:val="00010F8E"/>
    <w:rsid w:val="00010FBF"/>
    <w:rsid w:val="00010FDA"/>
    <w:rsid w:val="00011022"/>
    <w:rsid w:val="00011076"/>
    <w:rsid w:val="000110C4"/>
    <w:rsid w:val="000110D5"/>
    <w:rsid w:val="0001113B"/>
    <w:rsid w:val="0001116F"/>
    <w:rsid w:val="0001126B"/>
    <w:rsid w:val="0001129F"/>
    <w:rsid w:val="000112CA"/>
    <w:rsid w:val="000112D7"/>
    <w:rsid w:val="0001130C"/>
    <w:rsid w:val="00011330"/>
    <w:rsid w:val="00011385"/>
    <w:rsid w:val="000113E9"/>
    <w:rsid w:val="00011435"/>
    <w:rsid w:val="00011464"/>
    <w:rsid w:val="0001148F"/>
    <w:rsid w:val="000114A6"/>
    <w:rsid w:val="000114CF"/>
    <w:rsid w:val="0001159B"/>
    <w:rsid w:val="000115A0"/>
    <w:rsid w:val="00011608"/>
    <w:rsid w:val="0001163A"/>
    <w:rsid w:val="00011684"/>
    <w:rsid w:val="000116A6"/>
    <w:rsid w:val="000116E9"/>
    <w:rsid w:val="00011700"/>
    <w:rsid w:val="00011710"/>
    <w:rsid w:val="0001171B"/>
    <w:rsid w:val="000117B8"/>
    <w:rsid w:val="00011828"/>
    <w:rsid w:val="0001183A"/>
    <w:rsid w:val="0001186F"/>
    <w:rsid w:val="000118DD"/>
    <w:rsid w:val="00011915"/>
    <w:rsid w:val="00011917"/>
    <w:rsid w:val="00011931"/>
    <w:rsid w:val="00011955"/>
    <w:rsid w:val="00011A5D"/>
    <w:rsid w:val="00011A64"/>
    <w:rsid w:val="00011A93"/>
    <w:rsid w:val="00011A9B"/>
    <w:rsid w:val="00011AD9"/>
    <w:rsid w:val="00011AF2"/>
    <w:rsid w:val="00011B35"/>
    <w:rsid w:val="00011B48"/>
    <w:rsid w:val="00011BC3"/>
    <w:rsid w:val="00011BF5"/>
    <w:rsid w:val="00011C25"/>
    <w:rsid w:val="00011C38"/>
    <w:rsid w:val="00011CCD"/>
    <w:rsid w:val="00011D35"/>
    <w:rsid w:val="00011D5A"/>
    <w:rsid w:val="00011DC7"/>
    <w:rsid w:val="00011DD1"/>
    <w:rsid w:val="00011DD7"/>
    <w:rsid w:val="00011E09"/>
    <w:rsid w:val="00011E15"/>
    <w:rsid w:val="00011E22"/>
    <w:rsid w:val="00011E34"/>
    <w:rsid w:val="00011E7F"/>
    <w:rsid w:val="00011E90"/>
    <w:rsid w:val="00011E98"/>
    <w:rsid w:val="00011EB6"/>
    <w:rsid w:val="00011ED6"/>
    <w:rsid w:val="00011EE2"/>
    <w:rsid w:val="00011F07"/>
    <w:rsid w:val="00011F69"/>
    <w:rsid w:val="00011F72"/>
    <w:rsid w:val="00011FB6"/>
    <w:rsid w:val="00011FD2"/>
    <w:rsid w:val="00011FEE"/>
    <w:rsid w:val="00012011"/>
    <w:rsid w:val="000120A5"/>
    <w:rsid w:val="000120C3"/>
    <w:rsid w:val="000120F7"/>
    <w:rsid w:val="0001212E"/>
    <w:rsid w:val="0001214B"/>
    <w:rsid w:val="000121A2"/>
    <w:rsid w:val="000121AC"/>
    <w:rsid w:val="000121F3"/>
    <w:rsid w:val="00012201"/>
    <w:rsid w:val="0001228F"/>
    <w:rsid w:val="000122A0"/>
    <w:rsid w:val="000122AB"/>
    <w:rsid w:val="00012318"/>
    <w:rsid w:val="00012325"/>
    <w:rsid w:val="000123EB"/>
    <w:rsid w:val="0001240B"/>
    <w:rsid w:val="0001244B"/>
    <w:rsid w:val="00012474"/>
    <w:rsid w:val="000124A0"/>
    <w:rsid w:val="000124A1"/>
    <w:rsid w:val="000124FE"/>
    <w:rsid w:val="00012609"/>
    <w:rsid w:val="00012629"/>
    <w:rsid w:val="00012670"/>
    <w:rsid w:val="000126A6"/>
    <w:rsid w:val="000126AF"/>
    <w:rsid w:val="0001271E"/>
    <w:rsid w:val="0001273F"/>
    <w:rsid w:val="0001278D"/>
    <w:rsid w:val="000127F4"/>
    <w:rsid w:val="000128CD"/>
    <w:rsid w:val="000128E9"/>
    <w:rsid w:val="00012906"/>
    <w:rsid w:val="00012937"/>
    <w:rsid w:val="00012972"/>
    <w:rsid w:val="00012A0F"/>
    <w:rsid w:val="00012A11"/>
    <w:rsid w:val="00012A1A"/>
    <w:rsid w:val="00012A32"/>
    <w:rsid w:val="00012A80"/>
    <w:rsid w:val="00012A9E"/>
    <w:rsid w:val="00012AB5"/>
    <w:rsid w:val="00012AF4"/>
    <w:rsid w:val="00012BBF"/>
    <w:rsid w:val="00012BF3"/>
    <w:rsid w:val="00012C35"/>
    <w:rsid w:val="00012C5D"/>
    <w:rsid w:val="00012C69"/>
    <w:rsid w:val="00012C7C"/>
    <w:rsid w:val="00012CC1"/>
    <w:rsid w:val="00012CE1"/>
    <w:rsid w:val="00012CEC"/>
    <w:rsid w:val="00012D14"/>
    <w:rsid w:val="00012D20"/>
    <w:rsid w:val="00012D40"/>
    <w:rsid w:val="00012DAD"/>
    <w:rsid w:val="00012DE1"/>
    <w:rsid w:val="00012DFB"/>
    <w:rsid w:val="00012E1E"/>
    <w:rsid w:val="00012E22"/>
    <w:rsid w:val="00012E26"/>
    <w:rsid w:val="00012EAB"/>
    <w:rsid w:val="00012ED3"/>
    <w:rsid w:val="00012EFA"/>
    <w:rsid w:val="00012F19"/>
    <w:rsid w:val="00012F60"/>
    <w:rsid w:val="00012F68"/>
    <w:rsid w:val="0001300B"/>
    <w:rsid w:val="0001308D"/>
    <w:rsid w:val="00013091"/>
    <w:rsid w:val="00013116"/>
    <w:rsid w:val="0001311D"/>
    <w:rsid w:val="00013125"/>
    <w:rsid w:val="000131AD"/>
    <w:rsid w:val="00013250"/>
    <w:rsid w:val="00013266"/>
    <w:rsid w:val="00013284"/>
    <w:rsid w:val="00013287"/>
    <w:rsid w:val="000132B0"/>
    <w:rsid w:val="000132C6"/>
    <w:rsid w:val="00013395"/>
    <w:rsid w:val="00013398"/>
    <w:rsid w:val="000133A2"/>
    <w:rsid w:val="000133F4"/>
    <w:rsid w:val="00013400"/>
    <w:rsid w:val="00013474"/>
    <w:rsid w:val="000134D4"/>
    <w:rsid w:val="000134F8"/>
    <w:rsid w:val="0001352E"/>
    <w:rsid w:val="00013580"/>
    <w:rsid w:val="0001358C"/>
    <w:rsid w:val="000135EE"/>
    <w:rsid w:val="000135FF"/>
    <w:rsid w:val="0001367D"/>
    <w:rsid w:val="000136D7"/>
    <w:rsid w:val="000136E6"/>
    <w:rsid w:val="00013717"/>
    <w:rsid w:val="0001372A"/>
    <w:rsid w:val="00013788"/>
    <w:rsid w:val="000137AC"/>
    <w:rsid w:val="00013854"/>
    <w:rsid w:val="000138B2"/>
    <w:rsid w:val="000138B4"/>
    <w:rsid w:val="000138B8"/>
    <w:rsid w:val="000138F1"/>
    <w:rsid w:val="00013961"/>
    <w:rsid w:val="000139B7"/>
    <w:rsid w:val="000139BE"/>
    <w:rsid w:val="000139CB"/>
    <w:rsid w:val="00013A04"/>
    <w:rsid w:val="00013A75"/>
    <w:rsid w:val="00013ACA"/>
    <w:rsid w:val="00013AE5"/>
    <w:rsid w:val="00013B14"/>
    <w:rsid w:val="00013B8B"/>
    <w:rsid w:val="00013BE8"/>
    <w:rsid w:val="00013C7D"/>
    <w:rsid w:val="00013C83"/>
    <w:rsid w:val="00013CF3"/>
    <w:rsid w:val="00013CFD"/>
    <w:rsid w:val="00013D4A"/>
    <w:rsid w:val="00013D62"/>
    <w:rsid w:val="00013D7E"/>
    <w:rsid w:val="00013D84"/>
    <w:rsid w:val="00013D94"/>
    <w:rsid w:val="00013DDB"/>
    <w:rsid w:val="00013E60"/>
    <w:rsid w:val="00013E63"/>
    <w:rsid w:val="00013F27"/>
    <w:rsid w:val="00013FA0"/>
    <w:rsid w:val="00013FA9"/>
    <w:rsid w:val="00013FCF"/>
    <w:rsid w:val="00013FDB"/>
    <w:rsid w:val="00014007"/>
    <w:rsid w:val="00014021"/>
    <w:rsid w:val="00014026"/>
    <w:rsid w:val="00014029"/>
    <w:rsid w:val="0001406F"/>
    <w:rsid w:val="0001408D"/>
    <w:rsid w:val="000140A9"/>
    <w:rsid w:val="000140AC"/>
    <w:rsid w:val="000140CF"/>
    <w:rsid w:val="0001415C"/>
    <w:rsid w:val="0001419C"/>
    <w:rsid w:val="000141B2"/>
    <w:rsid w:val="000141BB"/>
    <w:rsid w:val="000141F3"/>
    <w:rsid w:val="000141F5"/>
    <w:rsid w:val="00014205"/>
    <w:rsid w:val="0001421D"/>
    <w:rsid w:val="0001431C"/>
    <w:rsid w:val="00014324"/>
    <w:rsid w:val="0001433B"/>
    <w:rsid w:val="00014373"/>
    <w:rsid w:val="00014386"/>
    <w:rsid w:val="000143C0"/>
    <w:rsid w:val="0001440D"/>
    <w:rsid w:val="00014410"/>
    <w:rsid w:val="0001441F"/>
    <w:rsid w:val="0001444A"/>
    <w:rsid w:val="000144EC"/>
    <w:rsid w:val="000144ED"/>
    <w:rsid w:val="000144EF"/>
    <w:rsid w:val="000144FD"/>
    <w:rsid w:val="0001453E"/>
    <w:rsid w:val="00014544"/>
    <w:rsid w:val="00014577"/>
    <w:rsid w:val="00014581"/>
    <w:rsid w:val="0001459C"/>
    <w:rsid w:val="000145A9"/>
    <w:rsid w:val="00014670"/>
    <w:rsid w:val="00014679"/>
    <w:rsid w:val="00014698"/>
    <w:rsid w:val="000146C1"/>
    <w:rsid w:val="00014700"/>
    <w:rsid w:val="00014703"/>
    <w:rsid w:val="0001474E"/>
    <w:rsid w:val="00014767"/>
    <w:rsid w:val="00014775"/>
    <w:rsid w:val="0001483C"/>
    <w:rsid w:val="0001486E"/>
    <w:rsid w:val="000148E3"/>
    <w:rsid w:val="00014919"/>
    <w:rsid w:val="00014927"/>
    <w:rsid w:val="00014930"/>
    <w:rsid w:val="00014970"/>
    <w:rsid w:val="0001497F"/>
    <w:rsid w:val="00014982"/>
    <w:rsid w:val="000149EB"/>
    <w:rsid w:val="00014A07"/>
    <w:rsid w:val="00014A40"/>
    <w:rsid w:val="00014A9A"/>
    <w:rsid w:val="00014AAC"/>
    <w:rsid w:val="00014B03"/>
    <w:rsid w:val="00014B25"/>
    <w:rsid w:val="00014B90"/>
    <w:rsid w:val="00014B93"/>
    <w:rsid w:val="00014BD9"/>
    <w:rsid w:val="00014C13"/>
    <w:rsid w:val="00014C6D"/>
    <w:rsid w:val="00014C9B"/>
    <w:rsid w:val="00014CBA"/>
    <w:rsid w:val="00014CCE"/>
    <w:rsid w:val="00014D24"/>
    <w:rsid w:val="00014D4E"/>
    <w:rsid w:val="00014DA0"/>
    <w:rsid w:val="00014DA6"/>
    <w:rsid w:val="00014E32"/>
    <w:rsid w:val="00014E40"/>
    <w:rsid w:val="00014F5D"/>
    <w:rsid w:val="00014FD0"/>
    <w:rsid w:val="00014FE7"/>
    <w:rsid w:val="00015032"/>
    <w:rsid w:val="00015037"/>
    <w:rsid w:val="00015071"/>
    <w:rsid w:val="00015079"/>
    <w:rsid w:val="00015094"/>
    <w:rsid w:val="000150CE"/>
    <w:rsid w:val="000150D9"/>
    <w:rsid w:val="000150EA"/>
    <w:rsid w:val="00015107"/>
    <w:rsid w:val="00015116"/>
    <w:rsid w:val="0001512A"/>
    <w:rsid w:val="0001513F"/>
    <w:rsid w:val="000151DF"/>
    <w:rsid w:val="000151F6"/>
    <w:rsid w:val="0001524F"/>
    <w:rsid w:val="00015277"/>
    <w:rsid w:val="000152A8"/>
    <w:rsid w:val="000152C0"/>
    <w:rsid w:val="00015302"/>
    <w:rsid w:val="0001530A"/>
    <w:rsid w:val="00015325"/>
    <w:rsid w:val="00015348"/>
    <w:rsid w:val="00015360"/>
    <w:rsid w:val="00015380"/>
    <w:rsid w:val="00015398"/>
    <w:rsid w:val="0001539B"/>
    <w:rsid w:val="000153D8"/>
    <w:rsid w:val="000153FB"/>
    <w:rsid w:val="00015410"/>
    <w:rsid w:val="00015450"/>
    <w:rsid w:val="00015455"/>
    <w:rsid w:val="00015479"/>
    <w:rsid w:val="000154CB"/>
    <w:rsid w:val="000154E7"/>
    <w:rsid w:val="0001552C"/>
    <w:rsid w:val="00015543"/>
    <w:rsid w:val="00015551"/>
    <w:rsid w:val="00015554"/>
    <w:rsid w:val="00015573"/>
    <w:rsid w:val="00015614"/>
    <w:rsid w:val="000156E1"/>
    <w:rsid w:val="000156ED"/>
    <w:rsid w:val="000156F4"/>
    <w:rsid w:val="0001576D"/>
    <w:rsid w:val="000157C1"/>
    <w:rsid w:val="00015812"/>
    <w:rsid w:val="00015844"/>
    <w:rsid w:val="0001584A"/>
    <w:rsid w:val="000158F2"/>
    <w:rsid w:val="000158F3"/>
    <w:rsid w:val="0001591D"/>
    <w:rsid w:val="0001591F"/>
    <w:rsid w:val="00015923"/>
    <w:rsid w:val="00015930"/>
    <w:rsid w:val="00015955"/>
    <w:rsid w:val="00015986"/>
    <w:rsid w:val="0001599F"/>
    <w:rsid w:val="000159BE"/>
    <w:rsid w:val="000159C3"/>
    <w:rsid w:val="000159D0"/>
    <w:rsid w:val="000159E4"/>
    <w:rsid w:val="000159F0"/>
    <w:rsid w:val="000159F6"/>
    <w:rsid w:val="00015A0B"/>
    <w:rsid w:val="00015A26"/>
    <w:rsid w:val="00015A70"/>
    <w:rsid w:val="00015AA2"/>
    <w:rsid w:val="00015AFD"/>
    <w:rsid w:val="00015B19"/>
    <w:rsid w:val="00015BF5"/>
    <w:rsid w:val="00015C0E"/>
    <w:rsid w:val="00015CAF"/>
    <w:rsid w:val="00015CB1"/>
    <w:rsid w:val="00015CDA"/>
    <w:rsid w:val="00015D08"/>
    <w:rsid w:val="00015D9B"/>
    <w:rsid w:val="00015DA0"/>
    <w:rsid w:val="00015DD3"/>
    <w:rsid w:val="00015E4B"/>
    <w:rsid w:val="00015E57"/>
    <w:rsid w:val="00015EBB"/>
    <w:rsid w:val="00015EC0"/>
    <w:rsid w:val="00015ED5"/>
    <w:rsid w:val="00015F16"/>
    <w:rsid w:val="00015F49"/>
    <w:rsid w:val="00015FEB"/>
    <w:rsid w:val="0001601B"/>
    <w:rsid w:val="0001609C"/>
    <w:rsid w:val="000160B8"/>
    <w:rsid w:val="000160EF"/>
    <w:rsid w:val="00016100"/>
    <w:rsid w:val="0001611D"/>
    <w:rsid w:val="000161C2"/>
    <w:rsid w:val="000161E5"/>
    <w:rsid w:val="00016256"/>
    <w:rsid w:val="0001625B"/>
    <w:rsid w:val="000162AB"/>
    <w:rsid w:val="000162C2"/>
    <w:rsid w:val="000162C3"/>
    <w:rsid w:val="00016310"/>
    <w:rsid w:val="00016320"/>
    <w:rsid w:val="00016384"/>
    <w:rsid w:val="000163A0"/>
    <w:rsid w:val="000163A6"/>
    <w:rsid w:val="000163BF"/>
    <w:rsid w:val="000163E9"/>
    <w:rsid w:val="000163F6"/>
    <w:rsid w:val="00016438"/>
    <w:rsid w:val="000164EB"/>
    <w:rsid w:val="00016543"/>
    <w:rsid w:val="00016589"/>
    <w:rsid w:val="000165EC"/>
    <w:rsid w:val="00016602"/>
    <w:rsid w:val="0001661A"/>
    <w:rsid w:val="00016629"/>
    <w:rsid w:val="00016650"/>
    <w:rsid w:val="000166C8"/>
    <w:rsid w:val="0001670C"/>
    <w:rsid w:val="0001672B"/>
    <w:rsid w:val="00016776"/>
    <w:rsid w:val="000167BB"/>
    <w:rsid w:val="000167E3"/>
    <w:rsid w:val="00016801"/>
    <w:rsid w:val="000168D6"/>
    <w:rsid w:val="000168F5"/>
    <w:rsid w:val="00016900"/>
    <w:rsid w:val="00016939"/>
    <w:rsid w:val="0001693D"/>
    <w:rsid w:val="00016948"/>
    <w:rsid w:val="00016954"/>
    <w:rsid w:val="00016981"/>
    <w:rsid w:val="000169D4"/>
    <w:rsid w:val="000169EA"/>
    <w:rsid w:val="000169F7"/>
    <w:rsid w:val="00016A2F"/>
    <w:rsid w:val="00016A43"/>
    <w:rsid w:val="00016A84"/>
    <w:rsid w:val="00016AA4"/>
    <w:rsid w:val="00016AA6"/>
    <w:rsid w:val="00016AEF"/>
    <w:rsid w:val="00016B7A"/>
    <w:rsid w:val="00016B7F"/>
    <w:rsid w:val="00016B8B"/>
    <w:rsid w:val="00016BAE"/>
    <w:rsid w:val="00016BF3"/>
    <w:rsid w:val="00016C4C"/>
    <w:rsid w:val="00016C5B"/>
    <w:rsid w:val="00016CEB"/>
    <w:rsid w:val="00016D07"/>
    <w:rsid w:val="00016D86"/>
    <w:rsid w:val="00016E23"/>
    <w:rsid w:val="00016E31"/>
    <w:rsid w:val="00016E62"/>
    <w:rsid w:val="00016EAD"/>
    <w:rsid w:val="00016EB3"/>
    <w:rsid w:val="00016F1A"/>
    <w:rsid w:val="00016F1D"/>
    <w:rsid w:val="00016F8E"/>
    <w:rsid w:val="00016FB8"/>
    <w:rsid w:val="00016FC5"/>
    <w:rsid w:val="00017069"/>
    <w:rsid w:val="00017086"/>
    <w:rsid w:val="0001709C"/>
    <w:rsid w:val="000170AA"/>
    <w:rsid w:val="000170C6"/>
    <w:rsid w:val="00017117"/>
    <w:rsid w:val="00017136"/>
    <w:rsid w:val="00017161"/>
    <w:rsid w:val="000171CA"/>
    <w:rsid w:val="00017201"/>
    <w:rsid w:val="00017275"/>
    <w:rsid w:val="000172BC"/>
    <w:rsid w:val="000172C2"/>
    <w:rsid w:val="000172DE"/>
    <w:rsid w:val="000172E9"/>
    <w:rsid w:val="0001733F"/>
    <w:rsid w:val="00017379"/>
    <w:rsid w:val="00017383"/>
    <w:rsid w:val="000173C7"/>
    <w:rsid w:val="000173DE"/>
    <w:rsid w:val="000173E0"/>
    <w:rsid w:val="00017473"/>
    <w:rsid w:val="00017530"/>
    <w:rsid w:val="00017533"/>
    <w:rsid w:val="0001757B"/>
    <w:rsid w:val="0001757D"/>
    <w:rsid w:val="00017584"/>
    <w:rsid w:val="000175FD"/>
    <w:rsid w:val="0001761B"/>
    <w:rsid w:val="0001768B"/>
    <w:rsid w:val="000176E9"/>
    <w:rsid w:val="000176EC"/>
    <w:rsid w:val="00017704"/>
    <w:rsid w:val="0001770F"/>
    <w:rsid w:val="0001771E"/>
    <w:rsid w:val="0001773F"/>
    <w:rsid w:val="00017753"/>
    <w:rsid w:val="00017765"/>
    <w:rsid w:val="000178B0"/>
    <w:rsid w:val="000178E2"/>
    <w:rsid w:val="00017940"/>
    <w:rsid w:val="0001797C"/>
    <w:rsid w:val="000179BB"/>
    <w:rsid w:val="000179E1"/>
    <w:rsid w:val="00017A48"/>
    <w:rsid w:val="00017A68"/>
    <w:rsid w:val="00017A96"/>
    <w:rsid w:val="00017A98"/>
    <w:rsid w:val="00017A9A"/>
    <w:rsid w:val="00017AAF"/>
    <w:rsid w:val="00017AB0"/>
    <w:rsid w:val="00017B08"/>
    <w:rsid w:val="00017B3D"/>
    <w:rsid w:val="00017B43"/>
    <w:rsid w:val="00017B53"/>
    <w:rsid w:val="00017BEC"/>
    <w:rsid w:val="00017C13"/>
    <w:rsid w:val="00017C2A"/>
    <w:rsid w:val="00017C5D"/>
    <w:rsid w:val="00017D4F"/>
    <w:rsid w:val="00017D92"/>
    <w:rsid w:val="00017DC9"/>
    <w:rsid w:val="00017DDD"/>
    <w:rsid w:val="00017DE2"/>
    <w:rsid w:val="00017E5B"/>
    <w:rsid w:val="00017E71"/>
    <w:rsid w:val="00017EA1"/>
    <w:rsid w:val="00017EB6"/>
    <w:rsid w:val="00017EE5"/>
    <w:rsid w:val="00017F14"/>
    <w:rsid w:val="00017F1A"/>
    <w:rsid w:val="00017F56"/>
    <w:rsid w:val="00017F5F"/>
    <w:rsid w:val="00017FD0"/>
    <w:rsid w:val="0001A835"/>
    <w:rsid w:val="0001C8C5"/>
    <w:rsid w:val="0001EB75"/>
    <w:rsid w:val="00020058"/>
    <w:rsid w:val="00020074"/>
    <w:rsid w:val="000200CD"/>
    <w:rsid w:val="000200E0"/>
    <w:rsid w:val="00020113"/>
    <w:rsid w:val="00020119"/>
    <w:rsid w:val="00020142"/>
    <w:rsid w:val="00020170"/>
    <w:rsid w:val="00020181"/>
    <w:rsid w:val="0002018A"/>
    <w:rsid w:val="00020212"/>
    <w:rsid w:val="00020243"/>
    <w:rsid w:val="00020273"/>
    <w:rsid w:val="00020278"/>
    <w:rsid w:val="00020288"/>
    <w:rsid w:val="0002029D"/>
    <w:rsid w:val="00020308"/>
    <w:rsid w:val="0002031F"/>
    <w:rsid w:val="00020365"/>
    <w:rsid w:val="00020383"/>
    <w:rsid w:val="000203B6"/>
    <w:rsid w:val="000203D6"/>
    <w:rsid w:val="000203F8"/>
    <w:rsid w:val="00020504"/>
    <w:rsid w:val="00020535"/>
    <w:rsid w:val="00020547"/>
    <w:rsid w:val="00020549"/>
    <w:rsid w:val="00020559"/>
    <w:rsid w:val="0002056D"/>
    <w:rsid w:val="00020571"/>
    <w:rsid w:val="00020599"/>
    <w:rsid w:val="00020627"/>
    <w:rsid w:val="00020644"/>
    <w:rsid w:val="00020675"/>
    <w:rsid w:val="000206B0"/>
    <w:rsid w:val="000206ED"/>
    <w:rsid w:val="00020730"/>
    <w:rsid w:val="0002073F"/>
    <w:rsid w:val="0002074E"/>
    <w:rsid w:val="0002074F"/>
    <w:rsid w:val="00020767"/>
    <w:rsid w:val="0002076A"/>
    <w:rsid w:val="000207D3"/>
    <w:rsid w:val="000207E8"/>
    <w:rsid w:val="000207FC"/>
    <w:rsid w:val="00020819"/>
    <w:rsid w:val="00020831"/>
    <w:rsid w:val="00020878"/>
    <w:rsid w:val="00020896"/>
    <w:rsid w:val="000208A1"/>
    <w:rsid w:val="000208F4"/>
    <w:rsid w:val="00020907"/>
    <w:rsid w:val="00020914"/>
    <w:rsid w:val="0002092E"/>
    <w:rsid w:val="00020950"/>
    <w:rsid w:val="00020973"/>
    <w:rsid w:val="000209A2"/>
    <w:rsid w:val="000209A9"/>
    <w:rsid w:val="00020A37"/>
    <w:rsid w:val="00020A3C"/>
    <w:rsid w:val="00020A40"/>
    <w:rsid w:val="00020A72"/>
    <w:rsid w:val="00020A95"/>
    <w:rsid w:val="00020AE3"/>
    <w:rsid w:val="00020AFB"/>
    <w:rsid w:val="00020B16"/>
    <w:rsid w:val="00020B2E"/>
    <w:rsid w:val="00020B35"/>
    <w:rsid w:val="00020B47"/>
    <w:rsid w:val="00020BD8"/>
    <w:rsid w:val="00020C8E"/>
    <w:rsid w:val="00020C96"/>
    <w:rsid w:val="00020D15"/>
    <w:rsid w:val="00020D19"/>
    <w:rsid w:val="00020DD6"/>
    <w:rsid w:val="00020DFE"/>
    <w:rsid w:val="00020E5D"/>
    <w:rsid w:val="00020E9F"/>
    <w:rsid w:val="00020FA0"/>
    <w:rsid w:val="00020FD5"/>
    <w:rsid w:val="00020FF4"/>
    <w:rsid w:val="00021001"/>
    <w:rsid w:val="00021058"/>
    <w:rsid w:val="0002106E"/>
    <w:rsid w:val="000210AC"/>
    <w:rsid w:val="000210D3"/>
    <w:rsid w:val="000210EE"/>
    <w:rsid w:val="0002121A"/>
    <w:rsid w:val="00021283"/>
    <w:rsid w:val="000212C6"/>
    <w:rsid w:val="000212FD"/>
    <w:rsid w:val="00021334"/>
    <w:rsid w:val="00021338"/>
    <w:rsid w:val="00021375"/>
    <w:rsid w:val="00021377"/>
    <w:rsid w:val="00021396"/>
    <w:rsid w:val="000213C0"/>
    <w:rsid w:val="0002145C"/>
    <w:rsid w:val="000214EB"/>
    <w:rsid w:val="0002150F"/>
    <w:rsid w:val="0002152B"/>
    <w:rsid w:val="0002153B"/>
    <w:rsid w:val="00021561"/>
    <w:rsid w:val="00021568"/>
    <w:rsid w:val="00021571"/>
    <w:rsid w:val="00021591"/>
    <w:rsid w:val="000215B4"/>
    <w:rsid w:val="000215D8"/>
    <w:rsid w:val="00021623"/>
    <w:rsid w:val="00021654"/>
    <w:rsid w:val="0002169C"/>
    <w:rsid w:val="0002169F"/>
    <w:rsid w:val="000216AB"/>
    <w:rsid w:val="000216DC"/>
    <w:rsid w:val="0002172E"/>
    <w:rsid w:val="0002173E"/>
    <w:rsid w:val="000217A0"/>
    <w:rsid w:val="000217B5"/>
    <w:rsid w:val="000217CC"/>
    <w:rsid w:val="00021856"/>
    <w:rsid w:val="000218FD"/>
    <w:rsid w:val="00021902"/>
    <w:rsid w:val="00021907"/>
    <w:rsid w:val="00021925"/>
    <w:rsid w:val="0002192E"/>
    <w:rsid w:val="00021941"/>
    <w:rsid w:val="00021948"/>
    <w:rsid w:val="000219F7"/>
    <w:rsid w:val="00021A22"/>
    <w:rsid w:val="00021A63"/>
    <w:rsid w:val="00021ACD"/>
    <w:rsid w:val="00021AD7"/>
    <w:rsid w:val="00021AFD"/>
    <w:rsid w:val="00021B1E"/>
    <w:rsid w:val="00021B21"/>
    <w:rsid w:val="00021B41"/>
    <w:rsid w:val="00021BB6"/>
    <w:rsid w:val="00021BB7"/>
    <w:rsid w:val="00021BFB"/>
    <w:rsid w:val="00021C76"/>
    <w:rsid w:val="00021CA9"/>
    <w:rsid w:val="00021CE1"/>
    <w:rsid w:val="00021D11"/>
    <w:rsid w:val="00021D15"/>
    <w:rsid w:val="00021D75"/>
    <w:rsid w:val="00021DA7"/>
    <w:rsid w:val="00021DAB"/>
    <w:rsid w:val="00021DFF"/>
    <w:rsid w:val="00021E21"/>
    <w:rsid w:val="00021E24"/>
    <w:rsid w:val="00021E2E"/>
    <w:rsid w:val="00021E3B"/>
    <w:rsid w:val="00021EA9"/>
    <w:rsid w:val="00021EDE"/>
    <w:rsid w:val="00021EE2"/>
    <w:rsid w:val="00021F29"/>
    <w:rsid w:val="00021F55"/>
    <w:rsid w:val="00021F8F"/>
    <w:rsid w:val="00022040"/>
    <w:rsid w:val="0002209A"/>
    <w:rsid w:val="000220BD"/>
    <w:rsid w:val="000220FC"/>
    <w:rsid w:val="0002211D"/>
    <w:rsid w:val="00022138"/>
    <w:rsid w:val="00022170"/>
    <w:rsid w:val="0002225B"/>
    <w:rsid w:val="00022280"/>
    <w:rsid w:val="00022403"/>
    <w:rsid w:val="00022423"/>
    <w:rsid w:val="0002242C"/>
    <w:rsid w:val="0002245D"/>
    <w:rsid w:val="0002245E"/>
    <w:rsid w:val="000224A1"/>
    <w:rsid w:val="000224A3"/>
    <w:rsid w:val="000224B2"/>
    <w:rsid w:val="000224B7"/>
    <w:rsid w:val="000224B9"/>
    <w:rsid w:val="000224F3"/>
    <w:rsid w:val="000225A9"/>
    <w:rsid w:val="000225AA"/>
    <w:rsid w:val="000225FB"/>
    <w:rsid w:val="000225FF"/>
    <w:rsid w:val="0002268A"/>
    <w:rsid w:val="000226EB"/>
    <w:rsid w:val="000226FC"/>
    <w:rsid w:val="00022728"/>
    <w:rsid w:val="0002273E"/>
    <w:rsid w:val="00022745"/>
    <w:rsid w:val="000227B8"/>
    <w:rsid w:val="000227F9"/>
    <w:rsid w:val="00022815"/>
    <w:rsid w:val="0002285D"/>
    <w:rsid w:val="0002289B"/>
    <w:rsid w:val="0002289F"/>
    <w:rsid w:val="00022980"/>
    <w:rsid w:val="0002298A"/>
    <w:rsid w:val="00022A28"/>
    <w:rsid w:val="00022A3A"/>
    <w:rsid w:val="00022A3C"/>
    <w:rsid w:val="00022A4C"/>
    <w:rsid w:val="00022ABA"/>
    <w:rsid w:val="00022AE6"/>
    <w:rsid w:val="00022B7D"/>
    <w:rsid w:val="00022BA9"/>
    <w:rsid w:val="00022BEB"/>
    <w:rsid w:val="00022C47"/>
    <w:rsid w:val="00022C5C"/>
    <w:rsid w:val="00022C65"/>
    <w:rsid w:val="00022C99"/>
    <w:rsid w:val="00022CF1"/>
    <w:rsid w:val="00022D4B"/>
    <w:rsid w:val="00022E3E"/>
    <w:rsid w:val="00022E4C"/>
    <w:rsid w:val="00022F2C"/>
    <w:rsid w:val="00022F3E"/>
    <w:rsid w:val="00023020"/>
    <w:rsid w:val="0002307A"/>
    <w:rsid w:val="00023108"/>
    <w:rsid w:val="00023126"/>
    <w:rsid w:val="000231A8"/>
    <w:rsid w:val="000231C9"/>
    <w:rsid w:val="000231DF"/>
    <w:rsid w:val="000231E7"/>
    <w:rsid w:val="00023245"/>
    <w:rsid w:val="000232EB"/>
    <w:rsid w:val="000232FF"/>
    <w:rsid w:val="00023313"/>
    <w:rsid w:val="0002335C"/>
    <w:rsid w:val="000233CB"/>
    <w:rsid w:val="00023407"/>
    <w:rsid w:val="00023426"/>
    <w:rsid w:val="00023465"/>
    <w:rsid w:val="00023494"/>
    <w:rsid w:val="000234A2"/>
    <w:rsid w:val="000234D4"/>
    <w:rsid w:val="0002350A"/>
    <w:rsid w:val="00023536"/>
    <w:rsid w:val="00023573"/>
    <w:rsid w:val="00023580"/>
    <w:rsid w:val="000235BC"/>
    <w:rsid w:val="000235EB"/>
    <w:rsid w:val="00023666"/>
    <w:rsid w:val="00023673"/>
    <w:rsid w:val="00023694"/>
    <w:rsid w:val="000236A8"/>
    <w:rsid w:val="000236C5"/>
    <w:rsid w:val="00023739"/>
    <w:rsid w:val="000237D9"/>
    <w:rsid w:val="00023832"/>
    <w:rsid w:val="000238C6"/>
    <w:rsid w:val="000238C9"/>
    <w:rsid w:val="000238E2"/>
    <w:rsid w:val="00023900"/>
    <w:rsid w:val="00023932"/>
    <w:rsid w:val="00023989"/>
    <w:rsid w:val="000239B4"/>
    <w:rsid w:val="000239D2"/>
    <w:rsid w:val="000239F9"/>
    <w:rsid w:val="00023A06"/>
    <w:rsid w:val="00023A23"/>
    <w:rsid w:val="00023A2A"/>
    <w:rsid w:val="00023A3D"/>
    <w:rsid w:val="00023A42"/>
    <w:rsid w:val="00023A7F"/>
    <w:rsid w:val="00023AAE"/>
    <w:rsid w:val="00023ACE"/>
    <w:rsid w:val="00023AE0"/>
    <w:rsid w:val="00023B24"/>
    <w:rsid w:val="00023B2F"/>
    <w:rsid w:val="00023B32"/>
    <w:rsid w:val="00023B35"/>
    <w:rsid w:val="00023B4D"/>
    <w:rsid w:val="00023B50"/>
    <w:rsid w:val="00023B92"/>
    <w:rsid w:val="00023BB4"/>
    <w:rsid w:val="00023BD0"/>
    <w:rsid w:val="00023BD2"/>
    <w:rsid w:val="00023BE9"/>
    <w:rsid w:val="00023C24"/>
    <w:rsid w:val="00023C5F"/>
    <w:rsid w:val="00023CC3"/>
    <w:rsid w:val="00023CF9"/>
    <w:rsid w:val="00023D2C"/>
    <w:rsid w:val="00023D36"/>
    <w:rsid w:val="00023D96"/>
    <w:rsid w:val="00023DBF"/>
    <w:rsid w:val="00023E0C"/>
    <w:rsid w:val="00023E34"/>
    <w:rsid w:val="00023E48"/>
    <w:rsid w:val="00023E5A"/>
    <w:rsid w:val="00023E68"/>
    <w:rsid w:val="00023EA5"/>
    <w:rsid w:val="00023EA7"/>
    <w:rsid w:val="00023ECC"/>
    <w:rsid w:val="00023F04"/>
    <w:rsid w:val="00023F20"/>
    <w:rsid w:val="00023F2A"/>
    <w:rsid w:val="00023FD6"/>
    <w:rsid w:val="00023FE2"/>
    <w:rsid w:val="00023FE9"/>
    <w:rsid w:val="00024078"/>
    <w:rsid w:val="000240D0"/>
    <w:rsid w:val="000240E2"/>
    <w:rsid w:val="00024130"/>
    <w:rsid w:val="0002414F"/>
    <w:rsid w:val="00024197"/>
    <w:rsid w:val="000241A8"/>
    <w:rsid w:val="000241BD"/>
    <w:rsid w:val="00024215"/>
    <w:rsid w:val="0002422A"/>
    <w:rsid w:val="0002434D"/>
    <w:rsid w:val="0002434F"/>
    <w:rsid w:val="000243C3"/>
    <w:rsid w:val="000243EE"/>
    <w:rsid w:val="000243EF"/>
    <w:rsid w:val="0002444A"/>
    <w:rsid w:val="0002445D"/>
    <w:rsid w:val="00024468"/>
    <w:rsid w:val="000244B6"/>
    <w:rsid w:val="000244FC"/>
    <w:rsid w:val="00024570"/>
    <w:rsid w:val="00024584"/>
    <w:rsid w:val="000245B8"/>
    <w:rsid w:val="00024626"/>
    <w:rsid w:val="00024671"/>
    <w:rsid w:val="00024680"/>
    <w:rsid w:val="00024697"/>
    <w:rsid w:val="000246B8"/>
    <w:rsid w:val="00024709"/>
    <w:rsid w:val="0002471C"/>
    <w:rsid w:val="00024734"/>
    <w:rsid w:val="00024740"/>
    <w:rsid w:val="0002475F"/>
    <w:rsid w:val="0002476B"/>
    <w:rsid w:val="000247DB"/>
    <w:rsid w:val="000247EA"/>
    <w:rsid w:val="00024818"/>
    <w:rsid w:val="0002486C"/>
    <w:rsid w:val="0002489C"/>
    <w:rsid w:val="000248A5"/>
    <w:rsid w:val="00024928"/>
    <w:rsid w:val="00024949"/>
    <w:rsid w:val="00024952"/>
    <w:rsid w:val="00024964"/>
    <w:rsid w:val="00024975"/>
    <w:rsid w:val="0002499F"/>
    <w:rsid w:val="00024A15"/>
    <w:rsid w:val="00024A19"/>
    <w:rsid w:val="00024A40"/>
    <w:rsid w:val="00024A87"/>
    <w:rsid w:val="00024A8D"/>
    <w:rsid w:val="00024AA8"/>
    <w:rsid w:val="00024AC1"/>
    <w:rsid w:val="00024B0E"/>
    <w:rsid w:val="00024B1A"/>
    <w:rsid w:val="00024B4B"/>
    <w:rsid w:val="00024BAB"/>
    <w:rsid w:val="00024BE2"/>
    <w:rsid w:val="00024C06"/>
    <w:rsid w:val="00024C39"/>
    <w:rsid w:val="00024C3A"/>
    <w:rsid w:val="00024C7A"/>
    <w:rsid w:val="00024C8B"/>
    <w:rsid w:val="00024CC1"/>
    <w:rsid w:val="00024CF6"/>
    <w:rsid w:val="00024DA0"/>
    <w:rsid w:val="00024E53"/>
    <w:rsid w:val="00024EA2"/>
    <w:rsid w:val="00024EB1"/>
    <w:rsid w:val="00024EBD"/>
    <w:rsid w:val="00024ECF"/>
    <w:rsid w:val="00024F3D"/>
    <w:rsid w:val="00024F46"/>
    <w:rsid w:val="00024FAC"/>
    <w:rsid w:val="00024FE3"/>
    <w:rsid w:val="00024FF5"/>
    <w:rsid w:val="00025050"/>
    <w:rsid w:val="000250BA"/>
    <w:rsid w:val="000250C1"/>
    <w:rsid w:val="00025109"/>
    <w:rsid w:val="00025110"/>
    <w:rsid w:val="00025152"/>
    <w:rsid w:val="00025182"/>
    <w:rsid w:val="000251AD"/>
    <w:rsid w:val="00025223"/>
    <w:rsid w:val="00025224"/>
    <w:rsid w:val="0002523B"/>
    <w:rsid w:val="000252DB"/>
    <w:rsid w:val="00025306"/>
    <w:rsid w:val="00025307"/>
    <w:rsid w:val="00025348"/>
    <w:rsid w:val="00025376"/>
    <w:rsid w:val="00025377"/>
    <w:rsid w:val="00025404"/>
    <w:rsid w:val="0002540A"/>
    <w:rsid w:val="0002546A"/>
    <w:rsid w:val="00025503"/>
    <w:rsid w:val="00025537"/>
    <w:rsid w:val="0002555D"/>
    <w:rsid w:val="00025586"/>
    <w:rsid w:val="0002558B"/>
    <w:rsid w:val="000255A6"/>
    <w:rsid w:val="000255CF"/>
    <w:rsid w:val="000255D0"/>
    <w:rsid w:val="000255DE"/>
    <w:rsid w:val="0002562B"/>
    <w:rsid w:val="00025634"/>
    <w:rsid w:val="0002563C"/>
    <w:rsid w:val="00025654"/>
    <w:rsid w:val="000256E4"/>
    <w:rsid w:val="0002571E"/>
    <w:rsid w:val="000257B5"/>
    <w:rsid w:val="000257BB"/>
    <w:rsid w:val="000257BD"/>
    <w:rsid w:val="000257C3"/>
    <w:rsid w:val="000257D4"/>
    <w:rsid w:val="00025824"/>
    <w:rsid w:val="00025855"/>
    <w:rsid w:val="0002589F"/>
    <w:rsid w:val="000258C0"/>
    <w:rsid w:val="00025906"/>
    <w:rsid w:val="0002594D"/>
    <w:rsid w:val="00025974"/>
    <w:rsid w:val="000259A7"/>
    <w:rsid w:val="000259AF"/>
    <w:rsid w:val="000259DD"/>
    <w:rsid w:val="000259ED"/>
    <w:rsid w:val="00025A78"/>
    <w:rsid w:val="00025A9E"/>
    <w:rsid w:val="00025AF7"/>
    <w:rsid w:val="00025B32"/>
    <w:rsid w:val="00025B3C"/>
    <w:rsid w:val="00025B44"/>
    <w:rsid w:val="00025BAA"/>
    <w:rsid w:val="00025BD5"/>
    <w:rsid w:val="00025C1E"/>
    <w:rsid w:val="00025C2A"/>
    <w:rsid w:val="00025C44"/>
    <w:rsid w:val="00025C87"/>
    <w:rsid w:val="00025C8A"/>
    <w:rsid w:val="00025C94"/>
    <w:rsid w:val="00025CC9"/>
    <w:rsid w:val="00025D01"/>
    <w:rsid w:val="00025D65"/>
    <w:rsid w:val="00025D71"/>
    <w:rsid w:val="00025DE4"/>
    <w:rsid w:val="00025E01"/>
    <w:rsid w:val="00025E80"/>
    <w:rsid w:val="00025EAA"/>
    <w:rsid w:val="00025F1B"/>
    <w:rsid w:val="00025F2A"/>
    <w:rsid w:val="00025F4F"/>
    <w:rsid w:val="00025F5F"/>
    <w:rsid w:val="00025FB0"/>
    <w:rsid w:val="00025FD1"/>
    <w:rsid w:val="00026024"/>
    <w:rsid w:val="0002605A"/>
    <w:rsid w:val="00026065"/>
    <w:rsid w:val="000260AD"/>
    <w:rsid w:val="00026102"/>
    <w:rsid w:val="0002610E"/>
    <w:rsid w:val="0002611B"/>
    <w:rsid w:val="00026198"/>
    <w:rsid w:val="000261B0"/>
    <w:rsid w:val="000261DB"/>
    <w:rsid w:val="000261DE"/>
    <w:rsid w:val="000261F4"/>
    <w:rsid w:val="00026238"/>
    <w:rsid w:val="0002628A"/>
    <w:rsid w:val="00026313"/>
    <w:rsid w:val="00026367"/>
    <w:rsid w:val="000263B1"/>
    <w:rsid w:val="000263E6"/>
    <w:rsid w:val="00026425"/>
    <w:rsid w:val="00026430"/>
    <w:rsid w:val="00026436"/>
    <w:rsid w:val="0002644E"/>
    <w:rsid w:val="0002648A"/>
    <w:rsid w:val="000264F2"/>
    <w:rsid w:val="000264F9"/>
    <w:rsid w:val="0002653F"/>
    <w:rsid w:val="000265B8"/>
    <w:rsid w:val="000265C2"/>
    <w:rsid w:val="000266A9"/>
    <w:rsid w:val="0002673C"/>
    <w:rsid w:val="00026756"/>
    <w:rsid w:val="00026757"/>
    <w:rsid w:val="00026764"/>
    <w:rsid w:val="00026772"/>
    <w:rsid w:val="00026792"/>
    <w:rsid w:val="000267C0"/>
    <w:rsid w:val="000267EE"/>
    <w:rsid w:val="00026801"/>
    <w:rsid w:val="00026856"/>
    <w:rsid w:val="00026858"/>
    <w:rsid w:val="00026866"/>
    <w:rsid w:val="00026871"/>
    <w:rsid w:val="000268C8"/>
    <w:rsid w:val="000269A8"/>
    <w:rsid w:val="00026A51"/>
    <w:rsid w:val="00026A55"/>
    <w:rsid w:val="00026A91"/>
    <w:rsid w:val="00026AA1"/>
    <w:rsid w:val="00026AA3"/>
    <w:rsid w:val="00026B1A"/>
    <w:rsid w:val="00026B22"/>
    <w:rsid w:val="00026B45"/>
    <w:rsid w:val="00026B5F"/>
    <w:rsid w:val="00026B74"/>
    <w:rsid w:val="00026B9B"/>
    <w:rsid w:val="00026C2B"/>
    <w:rsid w:val="00026C35"/>
    <w:rsid w:val="00026CBF"/>
    <w:rsid w:val="00026D0B"/>
    <w:rsid w:val="00026D1B"/>
    <w:rsid w:val="00026D32"/>
    <w:rsid w:val="00026D34"/>
    <w:rsid w:val="00026D4B"/>
    <w:rsid w:val="00026D4E"/>
    <w:rsid w:val="00026D7C"/>
    <w:rsid w:val="00026D9F"/>
    <w:rsid w:val="00026DA6"/>
    <w:rsid w:val="00026E26"/>
    <w:rsid w:val="00026EB7"/>
    <w:rsid w:val="00026F11"/>
    <w:rsid w:val="00026FB4"/>
    <w:rsid w:val="00026FBB"/>
    <w:rsid w:val="00026FF2"/>
    <w:rsid w:val="00027080"/>
    <w:rsid w:val="0002708C"/>
    <w:rsid w:val="000270BE"/>
    <w:rsid w:val="000270C3"/>
    <w:rsid w:val="000270CA"/>
    <w:rsid w:val="000270FB"/>
    <w:rsid w:val="000271C5"/>
    <w:rsid w:val="000271F8"/>
    <w:rsid w:val="000271FA"/>
    <w:rsid w:val="000271FC"/>
    <w:rsid w:val="0002723C"/>
    <w:rsid w:val="00027290"/>
    <w:rsid w:val="000272CB"/>
    <w:rsid w:val="000272D4"/>
    <w:rsid w:val="00027302"/>
    <w:rsid w:val="0002730D"/>
    <w:rsid w:val="0002732C"/>
    <w:rsid w:val="0002733F"/>
    <w:rsid w:val="0002735B"/>
    <w:rsid w:val="00027369"/>
    <w:rsid w:val="0002738C"/>
    <w:rsid w:val="0002739C"/>
    <w:rsid w:val="000273AC"/>
    <w:rsid w:val="00027476"/>
    <w:rsid w:val="00027480"/>
    <w:rsid w:val="00027492"/>
    <w:rsid w:val="000274CA"/>
    <w:rsid w:val="000274FF"/>
    <w:rsid w:val="00027507"/>
    <w:rsid w:val="0002755E"/>
    <w:rsid w:val="0002755F"/>
    <w:rsid w:val="0002756E"/>
    <w:rsid w:val="000275C2"/>
    <w:rsid w:val="0002764C"/>
    <w:rsid w:val="0002766D"/>
    <w:rsid w:val="00027678"/>
    <w:rsid w:val="00027697"/>
    <w:rsid w:val="0002777F"/>
    <w:rsid w:val="00027786"/>
    <w:rsid w:val="0002779B"/>
    <w:rsid w:val="0002782C"/>
    <w:rsid w:val="000278CC"/>
    <w:rsid w:val="000278D9"/>
    <w:rsid w:val="00027903"/>
    <w:rsid w:val="0002795E"/>
    <w:rsid w:val="000279BD"/>
    <w:rsid w:val="000279C4"/>
    <w:rsid w:val="000279D1"/>
    <w:rsid w:val="000279E0"/>
    <w:rsid w:val="00027A21"/>
    <w:rsid w:val="00027A40"/>
    <w:rsid w:val="00027A9D"/>
    <w:rsid w:val="00027AAE"/>
    <w:rsid w:val="00027AB3"/>
    <w:rsid w:val="00027B57"/>
    <w:rsid w:val="00027B59"/>
    <w:rsid w:val="00027B91"/>
    <w:rsid w:val="00027BAB"/>
    <w:rsid w:val="00027BE0"/>
    <w:rsid w:val="00027BED"/>
    <w:rsid w:val="00027C0A"/>
    <w:rsid w:val="00027C20"/>
    <w:rsid w:val="00027C49"/>
    <w:rsid w:val="00027C66"/>
    <w:rsid w:val="00027CCD"/>
    <w:rsid w:val="00027CD1"/>
    <w:rsid w:val="00027D02"/>
    <w:rsid w:val="00027D3B"/>
    <w:rsid w:val="00027D67"/>
    <w:rsid w:val="00027D69"/>
    <w:rsid w:val="00027D95"/>
    <w:rsid w:val="00027DCF"/>
    <w:rsid w:val="00027E13"/>
    <w:rsid w:val="00027EAB"/>
    <w:rsid w:val="00027EB8"/>
    <w:rsid w:val="00027ED1"/>
    <w:rsid w:val="00027F28"/>
    <w:rsid w:val="00027F48"/>
    <w:rsid w:val="00027F4D"/>
    <w:rsid w:val="00027F88"/>
    <w:rsid w:val="00027F98"/>
    <w:rsid w:val="00027FB9"/>
    <w:rsid w:val="0002AB88"/>
    <w:rsid w:val="0002E6DA"/>
    <w:rsid w:val="00030004"/>
    <w:rsid w:val="00030007"/>
    <w:rsid w:val="0003000C"/>
    <w:rsid w:val="0003003B"/>
    <w:rsid w:val="00030040"/>
    <w:rsid w:val="00030066"/>
    <w:rsid w:val="00030142"/>
    <w:rsid w:val="00030182"/>
    <w:rsid w:val="0003018C"/>
    <w:rsid w:val="000301D2"/>
    <w:rsid w:val="00030231"/>
    <w:rsid w:val="00030246"/>
    <w:rsid w:val="0003025E"/>
    <w:rsid w:val="00030264"/>
    <w:rsid w:val="00030268"/>
    <w:rsid w:val="0003028F"/>
    <w:rsid w:val="000302A0"/>
    <w:rsid w:val="000302B1"/>
    <w:rsid w:val="000302D4"/>
    <w:rsid w:val="000302F3"/>
    <w:rsid w:val="0003032E"/>
    <w:rsid w:val="0003035B"/>
    <w:rsid w:val="0003035D"/>
    <w:rsid w:val="0003036A"/>
    <w:rsid w:val="00030385"/>
    <w:rsid w:val="0003039C"/>
    <w:rsid w:val="000303A7"/>
    <w:rsid w:val="000303A9"/>
    <w:rsid w:val="000303AB"/>
    <w:rsid w:val="000303CE"/>
    <w:rsid w:val="000303DB"/>
    <w:rsid w:val="000303EA"/>
    <w:rsid w:val="00030431"/>
    <w:rsid w:val="000304C2"/>
    <w:rsid w:val="000304D2"/>
    <w:rsid w:val="000304EF"/>
    <w:rsid w:val="000304F0"/>
    <w:rsid w:val="000304FA"/>
    <w:rsid w:val="00030538"/>
    <w:rsid w:val="00030540"/>
    <w:rsid w:val="00030585"/>
    <w:rsid w:val="00030595"/>
    <w:rsid w:val="000305B8"/>
    <w:rsid w:val="000305BD"/>
    <w:rsid w:val="0003062A"/>
    <w:rsid w:val="00030635"/>
    <w:rsid w:val="00030678"/>
    <w:rsid w:val="0003067B"/>
    <w:rsid w:val="00030681"/>
    <w:rsid w:val="00030682"/>
    <w:rsid w:val="000306A1"/>
    <w:rsid w:val="000306C7"/>
    <w:rsid w:val="00030717"/>
    <w:rsid w:val="0003076B"/>
    <w:rsid w:val="00030798"/>
    <w:rsid w:val="0003079C"/>
    <w:rsid w:val="000307AA"/>
    <w:rsid w:val="000307AE"/>
    <w:rsid w:val="000307C6"/>
    <w:rsid w:val="000307CE"/>
    <w:rsid w:val="0003086F"/>
    <w:rsid w:val="00030889"/>
    <w:rsid w:val="0003089E"/>
    <w:rsid w:val="000308F0"/>
    <w:rsid w:val="00030955"/>
    <w:rsid w:val="000309FE"/>
    <w:rsid w:val="00030A0E"/>
    <w:rsid w:val="00030A7C"/>
    <w:rsid w:val="00030ABA"/>
    <w:rsid w:val="00030B2E"/>
    <w:rsid w:val="00030B7E"/>
    <w:rsid w:val="00030BDC"/>
    <w:rsid w:val="00030BE9"/>
    <w:rsid w:val="00030BF2"/>
    <w:rsid w:val="00030C01"/>
    <w:rsid w:val="00030C23"/>
    <w:rsid w:val="00030C2E"/>
    <w:rsid w:val="00030C51"/>
    <w:rsid w:val="00030C72"/>
    <w:rsid w:val="00030C7C"/>
    <w:rsid w:val="00030C8E"/>
    <w:rsid w:val="00030C8F"/>
    <w:rsid w:val="00030CB5"/>
    <w:rsid w:val="00030CDF"/>
    <w:rsid w:val="00030CE1"/>
    <w:rsid w:val="00030CFF"/>
    <w:rsid w:val="00030DB8"/>
    <w:rsid w:val="00030E20"/>
    <w:rsid w:val="00030E49"/>
    <w:rsid w:val="00030EC0"/>
    <w:rsid w:val="00030ED1"/>
    <w:rsid w:val="00030F0F"/>
    <w:rsid w:val="00030F43"/>
    <w:rsid w:val="00030FC0"/>
    <w:rsid w:val="00030FEC"/>
    <w:rsid w:val="00031001"/>
    <w:rsid w:val="00031097"/>
    <w:rsid w:val="000310A7"/>
    <w:rsid w:val="000310B9"/>
    <w:rsid w:val="000310E4"/>
    <w:rsid w:val="00031130"/>
    <w:rsid w:val="00031179"/>
    <w:rsid w:val="00031195"/>
    <w:rsid w:val="0003120B"/>
    <w:rsid w:val="00031243"/>
    <w:rsid w:val="0003128C"/>
    <w:rsid w:val="000312A7"/>
    <w:rsid w:val="000312C8"/>
    <w:rsid w:val="000312EB"/>
    <w:rsid w:val="0003136B"/>
    <w:rsid w:val="00031378"/>
    <w:rsid w:val="0003140A"/>
    <w:rsid w:val="0003145F"/>
    <w:rsid w:val="00031472"/>
    <w:rsid w:val="000314BC"/>
    <w:rsid w:val="000314F3"/>
    <w:rsid w:val="0003153C"/>
    <w:rsid w:val="00031550"/>
    <w:rsid w:val="00031575"/>
    <w:rsid w:val="000315C2"/>
    <w:rsid w:val="0003165C"/>
    <w:rsid w:val="00031667"/>
    <w:rsid w:val="0003166B"/>
    <w:rsid w:val="0003166C"/>
    <w:rsid w:val="0003167C"/>
    <w:rsid w:val="00031723"/>
    <w:rsid w:val="000317D0"/>
    <w:rsid w:val="000317DD"/>
    <w:rsid w:val="00031814"/>
    <w:rsid w:val="0003183B"/>
    <w:rsid w:val="00031896"/>
    <w:rsid w:val="000318CB"/>
    <w:rsid w:val="000318EC"/>
    <w:rsid w:val="00031906"/>
    <w:rsid w:val="00031914"/>
    <w:rsid w:val="00031937"/>
    <w:rsid w:val="00031938"/>
    <w:rsid w:val="00031962"/>
    <w:rsid w:val="0003197B"/>
    <w:rsid w:val="00031989"/>
    <w:rsid w:val="0003199F"/>
    <w:rsid w:val="000319F9"/>
    <w:rsid w:val="00031A2D"/>
    <w:rsid w:val="00031A36"/>
    <w:rsid w:val="00031A57"/>
    <w:rsid w:val="00031A5B"/>
    <w:rsid w:val="00031A92"/>
    <w:rsid w:val="00031AC5"/>
    <w:rsid w:val="00031AFE"/>
    <w:rsid w:val="00031B83"/>
    <w:rsid w:val="00031BE8"/>
    <w:rsid w:val="00031BF6"/>
    <w:rsid w:val="00031C55"/>
    <w:rsid w:val="00031C6C"/>
    <w:rsid w:val="00031CA9"/>
    <w:rsid w:val="00031CE8"/>
    <w:rsid w:val="00031CF3"/>
    <w:rsid w:val="00031CFA"/>
    <w:rsid w:val="00031D11"/>
    <w:rsid w:val="00031D48"/>
    <w:rsid w:val="00031D82"/>
    <w:rsid w:val="00031DCE"/>
    <w:rsid w:val="00031E24"/>
    <w:rsid w:val="00031E30"/>
    <w:rsid w:val="00031E52"/>
    <w:rsid w:val="00031E85"/>
    <w:rsid w:val="00031EB1"/>
    <w:rsid w:val="00031EDB"/>
    <w:rsid w:val="00031F5A"/>
    <w:rsid w:val="00031FC0"/>
    <w:rsid w:val="00031FCE"/>
    <w:rsid w:val="00032010"/>
    <w:rsid w:val="00032018"/>
    <w:rsid w:val="00032022"/>
    <w:rsid w:val="0003202F"/>
    <w:rsid w:val="0003209D"/>
    <w:rsid w:val="000320E2"/>
    <w:rsid w:val="00032208"/>
    <w:rsid w:val="0003222A"/>
    <w:rsid w:val="000322D1"/>
    <w:rsid w:val="000322D4"/>
    <w:rsid w:val="00032342"/>
    <w:rsid w:val="00032354"/>
    <w:rsid w:val="00032364"/>
    <w:rsid w:val="000323A4"/>
    <w:rsid w:val="000323DD"/>
    <w:rsid w:val="000323EC"/>
    <w:rsid w:val="00032417"/>
    <w:rsid w:val="00032440"/>
    <w:rsid w:val="00032468"/>
    <w:rsid w:val="0003249E"/>
    <w:rsid w:val="0003254E"/>
    <w:rsid w:val="0003269B"/>
    <w:rsid w:val="000326E6"/>
    <w:rsid w:val="00032736"/>
    <w:rsid w:val="0003275D"/>
    <w:rsid w:val="000327A2"/>
    <w:rsid w:val="000327D9"/>
    <w:rsid w:val="00032811"/>
    <w:rsid w:val="00032849"/>
    <w:rsid w:val="00032891"/>
    <w:rsid w:val="0003289F"/>
    <w:rsid w:val="000329B1"/>
    <w:rsid w:val="000329DC"/>
    <w:rsid w:val="000329EA"/>
    <w:rsid w:val="00032A01"/>
    <w:rsid w:val="00032A15"/>
    <w:rsid w:val="00032A3D"/>
    <w:rsid w:val="00032A8F"/>
    <w:rsid w:val="00032AA8"/>
    <w:rsid w:val="00032AB7"/>
    <w:rsid w:val="00032AEC"/>
    <w:rsid w:val="00032B21"/>
    <w:rsid w:val="00032B2A"/>
    <w:rsid w:val="00032B4B"/>
    <w:rsid w:val="00032B7F"/>
    <w:rsid w:val="00032BDA"/>
    <w:rsid w:val="00032C8E"/>
    <w:rsid w:val="00032CC8"/>
    <w:rsid w:val="00032CD4"/>
    <w:rsid w:val="00032CF5"/>
    <w:rsid w:val="00032D25"/>
    <w:rsid w:val="00032DE2"/>
    <w:rsid w:val="00032DE7"/>
    <w:rsid w:val="00032E0E"/>
    <w:rsid w:val="00032E82"/>
    <w:rsid w:val="00032F0F"/>
    <w:rsid w:val="00032F3C"/>
    <w:rsid w:val="00032F3F"/>
    <w:rsid w:val="00032F70"/>
    <w:rsid w:val="00032F85"/>
    <w:rsid w:val="00032FC7"/>
    <w:rsid w:val="00033005"/>
    <w:rsid w:val="00033013"/>
    <w:rsid w:val="00033020"/>
    <w:rsid w:val="00033036"/>
    <w:rsid w:val="00033061"/>
    <w:rsid w:val="00033069"/>
    <w:rsid w:val="000330C9"/>
    <w:rsid w:val="00033128"/>
    <w:rsid w:val="0003313E"/>
    <w:rsid w:val="000331B3"/>
    <w:rsid w:val="000331C2"/>
    <w:rsid w:val="00033321"/>
    <w:rsid w:val="00033398"/>
    <w:rsid w:val="000334BF"/>
    <w:rsid w:val="00033524"/>
    <w:rsid w:val="00033527"/>
    <w:rsid w:val="0003352B"/>
    <w:rsid w:val="0003354E"/>
    <w:rsid w:val="000335AD"/>
    <w:rsid w:val="0003361B"/>
    <w:rsid w:val="0003367D"/>
    <w:rsid w:val="000336A2"/>
    <w:rsid w:val="000336C1"/>
    <w:rsid w:val="00033702"/>
    <w:rsid w:val="00033718"/>
    <w:rsid w:val="0003371B"/>
    <w:rsid w:val="00033800"/>
    <w:rsid w:val="00033870"/>
    <w:rsid w:val="0003388E"/>
    <w:rsid w:val="00033892"/>
    <w:rsid w:val="0003391D"/>
    <w:rsid w:val="00033923"/>
    <w:rsid w:val="0003393C"/>
    <w:rsid w:val="000339C3"/>
    <w:rsid w:val="00033AB2"/>
    <w:rsid w:val="00033AC5"/>
    <w:rsid w:val="00033AD1"/>
    <w:rsid w:val="00033AD6"/>
    <w:rsid w:val="00033B2C"/>
    <w:rsid w:val="00033B71"/>
    <w:rsid w:val="00033CB5"/>
    <w:rsid w:val="00033CE9"/>
    <w:rsid w:val="00033CF2"/>
    <w:rsid w:val="00033D48"/>
    <w:rsid w:val="00033D5D"/>
    <w:rsid w:val="00033D7C"/>
    <w:rsid w:val="00033D92"/>
    <w:rsid w:val="00033DB2"/>
    <w:rsid w:val="00033DBA"/>
    <w:rsid w:val="00033E40"/>
    <w:rsid w:val="00033EA4"/>
    <w:rsid w:val="00033EB9"/>
    <w:rsid w:val="00033EF6"/>
    <w:rsid w:val="00033FE3"/>
    <w:rsid w:val="00033FE8"/>
    <w:rsid w:val="00033FF9"/>
    <w:rsid w:val="00034037"/>
    <w:rsid w:val="00034045"/>
    <w:rsid w:val="00034130"/>
    <w:rsid w:val="00034166"/>
    <w:rsid w:val="00034195"/>
    <w:rsid w:val="000341B3"/>
    <w:rsid w:val="00034207"/>
    <w:rsid w:val="0003422B"/>
    <w:rsid w:val="000342AF"/>
    <w:rsid w:val="000342B6"/>
    <w:rsid w:val="000342B7"/>
    <w:rsid w:val="000342C9"/>
    <w:rsid w:val="00034308"/>
    <w:rsid w:val="00034332"/>
    <w:rsid w:val="00034382"/>
    <w:rsid w:val="000343CF"/>
    <w:rsid w:val="000343F7"/>
    <w:rsid w:val="00034438"/>
    <w:rsid w:val="00034454"/>
    <w:rsid w:val="00034496"/>
    <w:rsid w:val="000344AA"/>
    <w:rsid w:val="000344EB"/>
    <w:rsid w:val="00034502"/>
    <w:rsid w:val="0003452F"/>
    <w:rsid w:val="00034549"/>
    <w:rsid w:val="00034591"/>
    <w:rsid w:val="000345C3"/>
    <w:rsid w:val="000345CA"/>
    <w:rsid w:val="000345D8"/>
    <w:rsid w:val="00034627"/>
    <w:rsid w:val="000346DE"/>
    <w:rsid w:val="000346F3"/>
    <w:rsid w:val="00034722"/>
    <w:rsid w:val="0003473B"/>
    <w:rsid w:val="000347E8"/>
    <w:rsid w:val="00034840"/>
    <w:rsid w:val="00034859"/>
    <w:rsid w:val="000348EB"/>
    <w:rsid w:val="000348F3"/>
    <w:rsid w:val="0003493F"/>
    <w:rsid w:val="00034954"/>
    <w:rsid w:val="0003498A"/>
    <w:rsid w:val="000349D5"/>
    <w:rsid w:val="00034A5D"/>
    <w:rsid w:val="00034A8C"/>
    <w:rsid w:val="00034B4B"/>
    <w:rsid w:val="00034B83"/>
    <w:rsid w:val="00034BAC"/>
    <w:rsid w:val="00034BD8"/>
    <w:rsid w:val="00034BF6"/>
    <w:rsid w:val="00034C27"/>
    <w:rsid w:val="00034C2E"/>
    <w:rsid w:val="00034C31"/>
    <w:rsid w:val="00034C8D"/>
    <w:rsid w:val="00034CEA"/>
    <w:rsid w:val="00034CF5"/>
    <w:rsid w:val="00034D1E"/>
    <w:rsid w:val="00034D22"/>
    <w:rsid w:val="00034D3C"/>
    <w:rsid w:val="00034D75"/>
    <w:rsid w:val="00034D7E"/>
    <w:rsid w:val="00034DC6"/>
    <w:rsid w:val="00034E2B"/>
    <w:rsid w:val="00034E5E"/>
    <w:rsid w:val="00034E70"/>
    <w:rsid w:val="00034E87"/>
    <w:rsid w:val="00034E88"/>
    <w:rsid w:val="00034EAC"/>
    <w:rsid w:val="00034EEB"/>
    <w:rsid w:val="00034F21"/>
    <w:rsid w:val="00034F4A"/>
    <w:rsid w:val="00034F81"/>
    <w:rsid w:val="00034FBF"/>
    <w:rsid w:val="00034FCB"/>
    <w:rsid w:val="00034FD9"/>
    <w:rsid w:val="00035066"/>
    <w:rsid w:val="0003509D"/>
    <w:rsid w:val="000350AA"/>
    <w:rsid w:val="000350F0"/>
    <w:rsid w:val="000350FA"/>
    <w:rsid w:val="0003517C"/>
    <w:rsid w:val="000351F4"/>
    <w:rsid w:val="0003520F"/>
    <w:rsid w:val="0003521A"/>
    <w:rsid w:val="00035289"/>
    <w:rsid w:val="00035294"/>
    <w:rsid w:val="000352A1"/>
    <w:rsid w:val="000352C8"/>
    <w:rsid w:val="00035302"/>
    <w:rsid w:val="00035307"/>
    <w:rsid w:val="00035338"/>
    <w:rsid w:val="00035340"/>
    <w:rsid w:val="00035345"/>
    <w:rsid w:val="0003535C"/>
    <w:rsid w:val="00035408"/>
    <w:rsid w:val="0003540C"/>
    <w:rsid w:val="0003542C"/>
    <w:rsid w:val="0003542D"/>
    <w:rsid w:val="00035466"/>
    <w:rsid w:val="00035484"/>
    <w:rsid w:val="0003553C"/>
    <w:rsid w:val="00035575"/>
    <w:rsid w:val="000355C6"/>
    <w:rsid w:val="000355F8"/>
    <w:rsid w:val="0003562C"/>
    <w:rsid w:val="00035637"/>
    <w:rsid w:val="00035671"/>
    <w:rsid w:val="000356C8"/>
    <w:rsid w:val="000356D6"/>
    <w:rsid w:val="00035714"/>
    <w:rsid w:val="00035715"/>
    <w:rsid w:val="00035782"/>
    <w:rsid w:val="00035789"/>
    <w:rsid w:val="000357A7"/>
    <w:rsid w:val="000357F6"/>
    <w:rsid w:val="000357FA"/>
    <w:rsid w:val="00035822"/>
    <w:rsid w:val="000358BE"/>
    <w:rsid w:val="00035995"/>
    <w:rsid w:val="000359C7"/>
    <w:rsid w:val="000359F4"/>
    <w:rsid w:val="00035A11"/>
    <w:rsid w:val="00035A3F"/>
    <w:rsid w:val="00035A58"/>
    <w:rsid w:val="00035A91"/>
    <w:rsid w:val="00035AB0"/>
    <w:rsid w:val="00035AB8"/>
    <w:rsid w:val="00035AC3"/>
    <w:rsid w:val="00035AD5"/>
    <w:rsid w:val="00035AEC"/>
    <w:rsid w:val="00035B2F"/>
    <w:rsid w:val="00035B4B"/>
    <w:rsid w:val="00035BB7"/>
    <w:rsid w:val="00035C6E"/>
    <w:rsid w:val="00035C94"/>
    <w:rsid w:val="00035CF1"/>
    <w:rsid w:val="00035DF8"/>
    <w:rsid w:val="00035E79"/>
    <w:rsid w:val="00035E91"/>
    <w:rsid w:val="00035EB6"/>
    <w:rsid w:val="00035F5E"/>
    <w:rsid w:val="00035F5F"/>
    <w:rsid w:val="00035FE7"/>
    <w:rsid w:val="0003601B"/>
    <w:rsid w:val="0003601F"/>
    <w:rsid w:val="00036077"/>
    <w:rsid w:val="000360B6"/>
    <w:rsid w:val="000360F7"/>
    <w:rsid w:val="00036105"/>
    <w:rsid w:val="00036118"/>
    <w:rsid w:val="0003613D"/>
    <w:rsid w:val="0003617D"/>
    <w:rsid w:val="000361FC"/>
    <w:rsid w:val="00036235"/>
    <w:rsid w:val="00036245"/>
    <w:rsid w:val="000362F0"/>
    <w:rsid w:val="00036305"/>
    <w:rsid w:val="00036370"/>
    <w:rsid w:val="00036374"/>
    <w:rsid w:val="0003637B"/>
    <w:rsid w:val="00036398"/>
    <w:rsid w:val="000364B0"/>
    <w:rsid w:val="000364B9"/>
    <w:rsid w:val="00036528"/>
    <w:rsid w:val="0003652E"/>
    <w:rsid w:val="0003655E"/>
    <w:rsid w:val="000365EB"/>
    <w:rsid w:val="00036628"/>
    <w:rsid w:val="0003662C"/>
    <w:rsid w:val="0003664E"/>
    <w:rsid w:val="00036672"/>
    <w:rsid w:val="0003668A"/>
    <w:rsid w:val="00036691"/>
    <w:rsid w:val="00036696"/>
    <w:rsid w:val="000366E6"/>
    <w:rsid w:val="0003671D"/>
    <w:rsid w:val="0003672D"/>
    <w:rsid w:val="00036747"/>
    <w:rsid w:val="00036765"/>
    <w:rsid w:val="00036766"/>
    <w:rsid w:val="00036790"/>
    <w:rsid w:val="000367B8"/>
    <w:rsid w:val="000367D5"/>
    <w:rsid w:val="000367EB"/>
    <w:rsid w:val="0003685A"/>
    <w:rsid w:val="00036867"/>
    <w:rsid w:val="0003687F"/>
    <w:rsid w:val="00036888"/>
    <w:rsid w:val="0003688D"/>
    <w:rsid w:val="000368A4"/>
    <w:rsid w:val="000369B7"/>
    <w:rsid w:val="000369C3"/>
    <w:rsid w:val="00036A02"/>
    <w:rsid w:val="00036A1D"/>
    <w:rsid w:val="00036A6E"/>
    <w:rsid w:val="00036A86"/>
    <w:rsid w:val="00036AD0"/>
    <w:rsid w:val="00036AF5"/>
    <w:rsid w:val="00036B79"/>
    <w:rsid w:val="00036B82"/>
    <w:rsid w:val="00036C42"/>
    <w:rsid w:val="00036CE1"/>
    <w:rsid w:val="00036D00"/>
    <w:rsid w:val="00036D22"/>
    <w:rsid w:val="00036D27"/>
    <w:rsid w:val="00036D6C"/>
    <w:rsid w:val="00036E00"/>
    <w:rsid w:val="00036E7E"/>
    <w:rsid w:val="00036EAE"/>
    <w:rsid w:val="00036F32"/>
    <w:rsid w:val="00036F42"/>
    <w:rsid w:val="00036F50"/>
    <w:rsid w:val="00036FA7"/>
    <w:rsid w:val="00037001"/>
    <w:rsid w:val="00037046"/>
    <w:rsid w:val="000370EB"/>
    <w:rsid w:val="0003714E"/>
    <w:rsid w:val="00037194"/>
    <w:rsid w:val="0003719D"/>
    <w:rsid w:val="000371CC"/>
    <w:rsid w:val="0003721E"/>
    <w:rsid w:val="00037222"/>
    <w:rsid w:val="00037245"/>
    <w:rsid w:val="000372A2"/>
    <w:rsid w:val="000372ED"/>
    <w:rsid w:val="0003731F"/>
    <w:rsid w:val="00037338"/>
    <w:rsid w:val="0003734E"/>
    <w:rsid w:val="00037404"/>
    <w:rsid w:val="00037426"/>
    <w:rsid w:val="00037453"/>
    <w:rsid w:val="000375C2"/>
    <w:rsid w:val="00037639"/>
    <w:rsid w:val="0003763A"/>
    <w:rsid w:val="0003765A"/>
    <w:rsid w:val="00037668"/>
    <w:rsid w:val="00037682"/>
    <w:rsid w:val="0003768C"/>
    <w:rsid w:val="00037696"/>
    <w:rsid w:val="000376D2"/>
    <w:rsid w:val="0003785C"/>
    <w:rsid w:val="0003788E"/>
    <w:rsid w:val="000378B7"/>
    <w:rsid w:val="000378D7"/>
    <w:rsid w:val="000378F7"/>
    <w:rsid w:val="000378FE"/>
    <w:rsid w:val="0003791F"/>
    <w:rsid w:val="00037943"/>
    <w:rsid w:val="00037944"/>
    <w:rsid w:val="000379B6"/>
    <w:rsid w:val="000379D5"/>
    <w:rsid w:val="000379D9"/>
    <w:rsid w:val="00037A05"/>
    <w:rsid w:val="00037A07"/>
    <w:rsid w:val="00037A21"/>
    <w:rsid w:val="00037A34"/>
    <w:rsid w:val="00037A58"/>
    <w:rsid w:val="00037AB3"/>
    <w:rsid w:val="00037B09"/>
    <w:rsid w:val="00037B7A"/>
    <w:rsid w:val="00037BC8"/>
    <w:rsid w:val="00037C23"/>
    <w:rsid w:val="00037C65"/>
    <w:rsid w:val="00037D5D"/>
    <w:rsid w:val="00037D76"/>
    <w:rsid w:val="00037DE3"/>
    <w:rsid w:val="00037E26"/>
    <w:rsid w:val="00037E52"/>
    <w:rsid w:val="00037E56"/>
    <w:rsid w:val="00037EB1"/>
    <w:rsid w:val="00037EC2"/>
    <w:rsid w:val="00037EE5"/>
    <w:rsid w:val="00037F4F"/>
    <w:rsid w:val="00037F72"/>
    <w:rsid w:val="00037F8C"/>
    <w:rsid w:val="00037FA5"/>
    <w:rsid w:val="00037FD2"/>
    <w:rsid w:val="00037FE6"/>
    <w:rsid w:val="0003BD49"/>
    <w:rsid w:val="0004008D"/>
    <w:rsid w:val="000400DA"/>
    <w:rsid w:val="00040142"/>
    <w:rsid w:val="00040146"/>
    <w:rsid w:val="0004018C"/>
    <w:rsid w:val="000401D1"/>
    <w:rsid w:val="000401D7"/>
    <w:rsid w:val="00040217"/>
    <w:rsid w:val="00040220"/>
    <w:rsid w:val="00040237"/>
    <w:rsid w:val="00040255"/>
    <w:rsid w:val="000402EB"/>
    <w:rsid w:val="000402F9"/>
    <w:rsid w:val="000403E4"/>
    <w:rsid w:val="0004045D"/>
    <w:rsid w:val="0004045E"/>
    <w:rsid w:val="00040462"/>
    <w:rsid w:val="0004046D"/>
    <w:rsid w:val="00040473"/>
    <w:rsid w:val="0004048D"/>
    <w:rsid w:val="000404CC"/>
    <w:rsid w:val="000404EF"/>
    <w:rsid w:val="000404F1"/>
    <w:rsid w:val="0004050B"/>
    <w:rsid w:val="0004052B"/>
    <w:rsid w:val="0004056A"/>
    <w:rsid w:val="000405E8"/>
    <w:rsid w:val="000405F4"/>
    <w:rsid w:val="00040608"/>
    <w:rsid w:val="0004061C"/>
    <w:rsid w:val="00040628"/>
    <w:rsid w:val="00040651"/>
    <w:rsid w:val="000406D1"/>
    <w:rsid w:val="000406FE"/>
    <w:rsid w:val="00040713"/>
    <w:rsid w:val="0004074B"/>
    <w:rsid w:val="00040782"/>
    <w:rsid w:val="00040795"/>
    <w:rsid w:val="000407B8"/>
    <w:rsid w:val="000407CF"/>
    <w:rsid w:val="000407DD"/>
    <w:rsid w:val="000407EB"/>
    <w:rsid w:val="00040841"/>
    <w:rsid w:val="0004089A"/>
    <w:rsid w:val="000408F7"/>
    <w:rsid w:val="0004090F"/>
    <w:rsid w:val="0004093A"/>
    <w:rsid w:val="00040954"/>
    <w:rsid w:val="00040982"/>
    <w:rsid w:val="000409CD"/>
    <w:rsid w:val="000409D9"/>
    <w:rsid w:val="00040A52"/>
    <w:rsid w:val="00040A7E"/>
    <w:rsid w:val="00040A8F"/>
    <w:rsid w:val="00040AE9"/>
    <w:rsid w:val="00040B16"/>
    <w:rsid w:val="00040B25"/>
    <w:rsid w:val="00040B6F"/>
    <w:rsid w:val="00040BCD"/>
    <w:rsid w:val="00040BDE"/>
    <w:rsid w:val="00040CE1"/>
    <w:rsid w:val="00040CE5"/>
    <w:rsid w:val="00040D07"/>
    <w:rsid w:val="00040D1C"/>
    <w:rsid w:val="00040D64"/>
    <w:rsid w:val="00040DA4"/>
    <w:rsid w:val="00040DAE"/>
    <w:rsid w:val="00040DF8"/>
    <w:rsid w:val="00040E3D"/>
    <w:rsid w:val="00040E9C"/>
    <w:rsid w:val="00040ED4"/>
    <w:rsid w:val="00040ED9"/>
    <w:rsid w:val="00040EE9"/>
    <w:rsid w:val="00040EEE"/>
    <w:rsid w:val="00040F3A"/>
    <w:rsid w:val="00040F4C"/>
    <w:rsid w:val="00040F5D"/>
    <w:rsid w:val="00040F6A"/>
    <w:rsid w:val="00040F6E"/>
    <w:rsid w:val="00040FA5"/>
    <w:rsid w:val="00040FB1"/>
    <w:rsid w:val="00041023"/>
    <w:rsid w:val="00041024"/>
    <w:rsid w:val="0004106C"/>
    <w:rsid w:val="000410C3"/>
    <w:rsid w:val="00041139"/>
    <w:rsid w:val="00041182"/>
    <w:rsid w:val="00041186"/>
    <w:rsid w:val="00041190"/>
    <w:rsid w:val="000411E7"/>
    <w:rsid w:val="00041204"/>
    <w:rsid w:val="0004122E"/>
    <w:rsid w:val="0004126B"/>
    <w:rsid w:val="00041281"/>
    <w:rsid w:val="000412BC"/>
    <w:rsid w:val="000412C1"/>
    <w:rsid w:val="0004132C"/>
    <w:rsid w:val="00041345"/>
    <w:rsid w:val="00041360"/>
    <w:rsid w:val="000413A7"/>
    <w:rsid w:val="000413F9"/>
    <w:rsid w:val="0004142F"/>
    <w:rsid w:val="0004150E"/>
    <w:rsid w:val="000415B2"/>
    <w:rsid w:val="000415D1"/>
    <w:rsid w:val="000415F2"/>
    <w:rsid w:val="00041619"/>
    <w:rsid w:val="00041627"/>
    <w:rsid w:val="00041666"/>
    <w:rsid w:val="00041681"/>
    <w:rsid w:val="00041699"/>
    <w:rsid w:val="000416E0"/>
    <w:rsid w:val="000416EE"/>
    <w:rsid w:val="00041727"/>
    <w:rsid w:val="00041730"/>
    <w:rsid w:val="00041753"/>
    <w:rsid w:val="00041756"/>
    <w:rsid w:val="00041767"/>
    <w:rsid w:val="00041780"/>
    <w:rsid w:val="000417A2"/>
    <w:rsid w:val="000417D3"/>
    <w:rsid w:val="000417E4"/>
    <w:rsid w:val="000417F1"/>
    <w:rsid w:val="000417F7"/>
    <w:rsid w:val="0004189D"/>
    <w:rsid w:val="000418A7"/>
    <w:rsid w:val="000418D6"/>
    <w:rsid w:val="000418D7"/>
    <w:rsid w:val="000418E3"/>
    <w:rsid w:val="00041900"/>
    <w:rsid w:val="00041908"/>
    <w:rsid w:val="00041912"/>
    <w:rsid w:val="00041923"/>
    <w:rsid w:val="00041924"/>
    <w:rsid w:val="0004193D"/>
    <w:rsid w:val="000419DF"/>
    <w:rsid w:val="000419E4"/>
    <w:rsid w:val="000419FA"/>
    <w:rsid w:val="00041A17"/>
    <w:rsid w:val="00041A2B"/>
    <w:rsid w:val="00041A75"/>
    <w:rsid w:val="00041B17"/>
    <w:rsid w:val="00041B2F"/>
    <w:rsid w:val="00041B4D"/>
    <w:rsid w:val="00041B6C"/>
    <w:rsid w:val="00041BCC"/>
    <w:rsid w:val="00041C4A"/>
    <w:rsid w:val="00041C68"/>
    <w:rsid w:val="00041C75"/>
    <w:rsid w:val="00041C77"/>
    <w:rsid w:val="00041C94"/>
    <w:rsid w:val="00041CA9"/>
    <w:rsid w:val="00041CD3"/>
    <w:rsid w:val="00041D28"/>
    <w:rsid w:val="00041D2D"/>
    <w:rsid w:val="00041D42"/>
    <w:rsid w:val="00041D66"/>
    <w:rsid w:val="00041DED"/>
    <w:rsid w:val="00041E32"/>
    <w:rsid w:val="00041E7B"/>
    <w:rsid w:val="00041E85"/>
    <w:rsid w:val="00041EE3"/>
    <w:rsid w:val="00041F47"/>
    <w:rsid w:val="00041F83"/>
    <w:rsid w:val="00041F96"/>
    <w:rsid w:val="00041FA2"/>
    <w:rsid w:val="00041FC2"/>
    <w:rsid w:val="00041FFB"/>
    <w:rsid w:val="000420C4"/>
    <w:rsid w:val="000420E4"/>
    <w:rsid w:val="00042119"/>
    <w:rsid w:val="00042134"/>
    <w:rsid w:val="000421D1"/>
    <w:rsid w:val="00042218"/>
    <w:rsid w:val="000422B9"/>
    <w:rsid w:val="000422BB"/>
    <w:rsid w:val="00042301"/>
    <w:rsid w:val="0004230F"/>
    <w:rsid w:val="00042339"/>
    <w:rsid w:val="0004233F"/>
    <w:rsid w:val="00042344"/>
    <w:rsid w:val="0004234C"/>
    <w:rsid w:val="000423B7"/>
    <w:rsid w:val="000423BD"/>
    <w:rsid w:val="000423D9"/>
    <w:rsid w:val="000423E4"/>
    <w:rsid w:val="00042410"/>
    <w:rsid w:val="00042417"/>
    <w:rsid w:val="00042425"/>
    <w:rsid w:val="0004246C"/>
    <w:rsid w:val="00042487"/>
    <w:rsid w:val="000424D7"/>
    <w:rsid w:val="000424FE"/>
    <w:rsid w:val="000425D8"/>
    <w:rsid w:val="000425F0"/>
    <w:rsid w:val="0004264F"/>
    <w:rsid w:val="00042693"/>
    <w:rsid w:val="000426AA"/>
    <w:rsid w:val="000426B7"/>
    <w:rsid w:val="00042758"/>
    <w:rsid w:val="00042770"/>
    <w:rsid w:val="0004278A"/>
    <w:rsid w:val="000427E4"/>
    <w:rsid w:val="000427F1"/>
    <w:rsid w:val="000427F3"/>
    <w:rsid w:val="000427F5"/>
    <w:rsid w:val="000427F7"/>
    <w:rsid w:val="0004282D"/>
    <w:rsid w:val="00042846"/>
    <w:rsid w:val="00042895"/>
    <w:rsid w:val="000428BD"/>
    <w:rsid w:val="000428ED"/>
    <w:rsid w:val="0004298E"/>
    <w:rsid w:val="0004299B"/>
    <w:rsid w:val="000429A4"/>
    <w:rsid w:val="000429BA"/>
    <w:rsid w:val="000429D8"/>
    <w:rsid w:val="000429DA"/>
    <w:rsid w:val="000429F6"/>
    <w:rsid w:val="00042A2B"/>
    <w:rsid w:val="00042A4C"/>
    <w:rsid w:val="00042A8B"/>
    <w:rsid w:val="00042A97"/>
    <w:rsid w:val="00042A9D"/>
    <w:rsid w:val="00042B8B"/>
    <w:rsid w:val="00042BB7"/>
    <w:rsid w:val="00042BBC"/>
    <w:rsid w:val="00042BDF"/>
    <w:rsid w:val="00042C1C"/>
    <w:rsid w:val="00042CF2"/>
    <w:rsid w:val="00042D20"/>
    <w:rsid w:val="00042D76"/>
    <w:rsid w:val="00042DCE"/>
    <w:rsid w:val="00042DCF"/>
    <w:rsid w:val="00042E5C"/>
    <w:rsid w:val="00042E63"/>
    <w:rsid w:val="00042F06"/>
    <w:rsid w:val="00042F09"/>
    <w:rsid w:val="00042F4F"/>
    <w:rsid w:val="00042F85"/>
    <w:rsid w:val="00042FAE"/>
    <w:rsid w:val="00043046"/>
    <w:rsid w:val="00043048"/>
    <w:rsid w:val="00043050"/>
    <w:rsid w:val="00043056"/>
    <w:rsid w:val="0004306D"/>
    <w:rsid w:val="0004308B"/>
    <w:rsid w:val="000430CB"/>
    <w:rsid w:val="000430D3"/>
    <w:rsid w:val="000430D4"/>
    <w:rsid w:val="00043100"/>
    <w:rsid w:val="0004315C"/>
    <w:rsid w:val="0004316A"/>
    <w:rsid w:val="0004319D"/>
    <w:rsid w:val="0004320A"/>
    <w:rsid w:val="00043279"/>
    <w:rsid w:val="00043284"/>
    <w:rsid w:val="000432BC"/>
    <w:rsid w:val="000432D3"/>
    <w:rsid w:val="0004342D"/>
    <w:rsid w:val="0004342F"/>
    <w:rsid w:val="00043499"/>
    <w:rsid w:val="000434D6"/>
    <w:rsid w:val="00043502"/>
    <w:rsid w:val="00043586"/>
    <w:rsid w:val="000435BB"/>
    <w:rsid w:val="000435BE"/>
    <w:rsid w:val="000435E0"/>
    <w:rsid w:val="0004360E"/>
    <w:rsid w:val="00043652"/>
    <w:rsid w:val="000436C7"/>
    <w:rsid w:val="000436E1"/>
    <w:rsid w:val="00043753"/>
    <w:rsid w:val="00043756"/>
    <w:rsid w:val="00043759"/>
    <w:rsid w:val="000437AB"/>
    <w:rsid w:val="000437DC"/>
    <w:rsid w:val="00043831"/>
    <w:rsid w:val="00043867"/>
    <w:rsid w:val="0004386D"/>
    <w:rsid w:val="000438B8"/>
    <w:rsid w:val="000438E8"/>
    <w:rsid w:val="000438EE"/>
    <w:rsid w:val="000438F8"/>
    <w:rsid w:val="0004390E"/>
    <w:rsid w:val="0004392D"/>
    <w:rsid w:val="0004392F"/>
    <w:rsid w:val="00043955"/>
    <w:rsid w:val="0004395C"/>
    <w:rsid w:val="000439C0"/>
    <w:rsid w:val="00043A0C"/>
    <w:rsid w:val="00043A17"/>
    <w:rsid w:val="00043AB6"/>
    <w:rsid w:val="00043B09"/>
    <w:rsid w:val="00043B19"/>
    <w:rsid w:val="00043B21"/>
    <w:rsid w:val="00043B2F"/>
    <w:rsid w:val="00043B7A"/>
    <w:rsid w:val="00043B7D"/>
    <w:rsid w:val="00043BE6"/>
    <w:rsid w:val="00043C31"/>
    <w:rsid w:val="00043CA1"/>
    <w:rsid w:val="00043CBB"/>
    <w:rsid w:val="00043CDB"/>
    <w:rsid w:val="00043CDE"/>
    <w:rsid w:val="00043D15"/>
    <w:rsid w:val="00043D45"/>
    <w:rsid w:val="00043D8A"/>
    <w:rsid w:val="00043DA0"/>
    <w:rsid w:val="00043E00"/>
    <w:rsid w:val="00043E80"/>
    <w:rsid w:val="00043E95"/>
    <w:rsid w:val="00043E97"/>
    <w:rsid w:val="00043EA6"/>
    <w:rsid w:val="00043F5C"/>
    <w:rsid w:val="00043F61"/>
    <w:rsid w:val="00043F69"/>
    <w:rsid w:val="00043F86"/>
    <w:rsid w:val="00043FC8"/>
    <w:rsid w:val="0004404F"/>
    <w:rsid w:val="000440F6"/>
    <w:rsid w:val="00044152"/>
    <w:rsid w:val="0004417E"/>
    <w:rsid w:val="00044192"/>
    <w:rsid w:val="000441CE"/>
    <w:rsid w:val="000441EC"/>
    <w:rsid w:val="000441F0"/>
    <w:rsid w:val="0004426E"/>
    <w:rsid w:val="00044286"/>
    <w:rsid w:val="000442DB"/>
    <w:rsid w:val="00044330"/>
    <w:rsid w:val="00044334"/>
    <w:rsid w:val="00044337"/>
    <w:rsid w:val="0004433A"/>
    <w:rsid w:val="00044347"/>
    <w:rsid w:val="000443AB"/>
    <w:rsid w:val="000443B7"/>
    <w:rsid w:val="000443C6"/>
    <w:rsid w:val="000443FD"/>
    <w:rsid w:val="0004443E"/>
    <w:rsid w:val="00044488"/>
    <w:rsid w:val="00044492"/>
    <w:rsid w:val="000444B6"/>
    <w:rsid w:val="000444CF"/>
    <w:rsid w:val="000444EB"/>
    <w:rsid w:val="00044502"/>
    <w:rsid w:val="00044529"/>
    <w:rsid w:val="00044570"/>
    <w:rsid w:val="0004458E"/>
    <w:rsid w:val="000445B4"/>
    <w:rsid w:val="000445E7"/>
    <w:rsid w:val="0004468B"/>
    <w:rsid w:val="000446BB"/>
    <w:rsid w:val="000446C4"/>
    <w:rsid w:val="000446DE"/>
    <w:rsid w:val="000446E6"/>
    <w:rsid w:val="00044758"/>
    <w:rsid w:val="0004478F"/>
    <w:rsid w:val="000447A8"/>
    <w:rsid w:val="000447E2"/>
    <w:rsid w:val="000448A0"/>
    <w:rsid w:val="000448A2"/>
    <w:rsid w:val="000448BB"/>
    <w:rsid w:val="000448CA"/>
    <w:rsid w:val="00044933"/>
    <w:rsid w:val="0004493C"/>
    <w:rsid w:val="00044988"/>
    <w:rsid w:val="00044989"/>
    <w:rsid w:val="000449DC"/>
    <w:rsid w:val="000449E0"/>
    <w:rsid w:val="00044A07"/>
    <w:rsid w:val="00044A54"/>
    <w:rsid w:val="00044A62"/>
    <w:rsid w:val="00044AE2"/>
    <w:rsid w:val="00044B03"/>
    <w:rsid w:val="00044B1C"/>
    <w:rsid w:val="00044B53"/>
    <w:rsid w:val="00044B75"/>
    <w:rsid w:val="00044B89"/>
    <w:rsid w:val="00044B9B"/>
    <w:rsid w:val="00044BA1"/>
    <w:rsid w:val="00044BB8"/>
    <w:rsid w:val="00044BC1"/>
    <w:rsid w:val="00044C1D"/>
    <w:rsid w:val="00044C34"/>
    <w:rsid w:val="00044C76"/>
    <w:rsid w:val="00044C8C"/>
    <w:rsid w:val="00044CC4"/>
    <w:rsid w:val="00044CC7"/>
    <w:rsid w:val="00044D09"/>
    <w:rsid w:val="00044D46"/>
    <w:rsid w:val="00044DAC"/>
    <w:rsid w:val="00044E1E"/>
    <w:rsid w:val="00044E2D"/>
    <w:rsid w:val="00044E43"/>
    <w:rsid w:val="00044E45"/>
    <w:rsid w:val="00044E86"/>
    <w:rsid w:val="00044E90"/>
    <w:rsid w:val="00044ECE"/>
    <w:rsid w:val="00044F5C"/>
    <w:rsid w:val="00044F7F"/>
    <w:rsid w:val="00044F94"/>
    <w:rsid w:val="00044F9F"/>
    <w:rsid w:val="00044FBE"/>
    <w:rsid w:val="0004504C"/>
    <w:rsid w:val="0004507C"/>
    <w:rsid w:val="0004509A"/>
    <w:rsid w:val="000450C2"/>
    <w:rsid w:val="000450EE"/>
    <w:rsid w:val="0004518D"/>
    <w:rsid w:val="000451BC"/>
    <w:rsid w:val="00045261"/>
    <w:rsid w:val="00045270"/>
    <w:rsid w:val="000452E3"/>
    <w:rsid w:val="00045334"/>
    <w:rsid w:val="0004538B"/>
    <w:rsid w:val="000453A4"/>
    <w:rsid w:val="000453B2"/>
    <w:rsid w:val="00045402"/>
    <w:rsid w:val="00045429"/>
    <w:rsid w:val="00045444"/>
    <w:rsid w:val="0004544A"/>
    <w:rsid w:val="0004554A"/>
    <w:rsid w:val="00045597"/>
    <w:rsid w:val="000455A0"/>
    <w:rsid w:val="000455A5"/>
    <w:rsid w:val="000455BB"/>
    <w:rsid w:val="00045656"/>
    <w:rsid w:val="00045673"/>
    <w:rsid w:val="000456A3"/>
    <w:rsid w:val="000456F6"/>
    <w:rsid w:val="00045726"/>
    <w:rsid w:val="00045731"/>
    <w:rsid w:val="00045747"/>
    <w:rsid w:val="0004576D"/>
    <w:rsid w:val="00045777"/>
    <w:rsid w:val="0004579D"/>
    <w:rsid w:val="00045808"/>
    <w:rsid w:val="0004582A"/>
    <w:rsid w:val="00045842"/>
    <w:rsid w:val="000458E4"/>
    <w:rsid w:val="0004592F"/>
    <w:rsid w:val="000459B7"/>
    <w:rsid w:val="00045A0B"/>
    <w:rsid w:val="00045A1D"/>
    <w:rsid w:val="00045A72"/>
    <w:rsid w:val="00045AAB"/>
    <w:rsid w:val="00045B06"/>
    <w:rsid w:val="00045B50"/>
    <w:rsid w:val="00045B62"/>
    <w:rsid w:val="00045B82"/>
    <w:rsid w:val="00045B9C"/>
    <w:rsid w:val="00045C34"/>
    <w:rsid w:val="00045C57"/>
    <w:rsid w:val="00045C81"/>
    <w:rsid w:val="00045CA6"/>
    <w:rsid w:val="00045CBD"/>
    <w:rsid w:val="00045CD0"/>
    <w:rsid w:val="00045CF9"/>
    <w:rsid w:val="00045D0F"/>
    <w:rsid w:val="00045D38"/>
    <w:rsid w:val="00045D78"/>
    <w:rsid w:val="00045DC2"/>
    <w:rsid w:val="00045DD9"/>
    <w:rsid w:val="00045E4D"/>
    <w:rsid w:val="00045E5A"/>
    <w:rsid w:val="00045E62"/>
    <w:rsid w:val="00045E78"/>
    <w:rsid w:val="00045EDD"/>
    <w:rsid w:val="00045EDE"/>
    <w:rsid w:val="00045EFD"/>
    <w:rsid w:val="00045F19"/>
    <w:rsid w:val="00045F4D"/>
    <w:rsid w:val="00045F80"/>
    <w:rsid w:val="00045FAB"/>
    <w:rsid w:val="00046027"/>
    <w:rsid w:val="00046057"/>
    <w:rsid w:val="0004609C"/>
    <w:rsid w:val="000460A6"/>
    <w:rsid w:val="000460A9"/>
    <w:rsid w:val="000460B6"/>
    <w:rsid w:val="000460C5"/>
    <w:rsid w:val="00046116"/>
    <w:rsid w:val="00046127"/>
    <w:rsid w:val="00046143"/>
    <w:rsid w:val="00046163"/>
    <w:rsid w:val="0004618B"/>
    <w:rsid w:val="0004619C"/>
    <w:rsid w:val="0004619D"/>
    <w:rsid w:val="000461B5"/>
    <w:rsid w:val="0004620C"/>
    <w:rsid w:val="00046239"/>
    <w:rsid w:val="0004626F"/>
    <w:rsid w:val="00046277"/>
    <w:rsid w:val="0004628C"/>
    <w:rsid w:val="00046298"/>
    <w:rsid w:val="0004629B"/>
    <w:rsid w:val="0004629C"/>
    <w:rsid w:val="000462A3"/>
    <w:rsid w:val="000462B3"/>
    <w:rsid w:val="00046353"/>
    <w:rsid w:val="0004641C"/>
    <w:rsid w:val="00046455"/>
    <w:rsid w:val="0004648A"/>
    <w:rsid w:val="000464A3"/>
    <w:rsid w:val="000464AF"/>
    <w:rsid w:val="000464EC"/>
    <w:rsid w:val="000464F8"/>
    <w:rsid w:val="000464FB"/>
    <w:rsid w:val="000465CD"/>
    <w:rsid w:val="000465F3"/>
    <w:rsid w:val="00046661"/>
    <w:rsid w:val="0004666A"/>
    <w:rsid w:val="000466BB"/>
    <w:rsid w:val="000466D6"/>
    <w:rsid w:val="000466E2"/>
    <w:rsid w:val="000466F4"/>
    <w:rsid w:val="000466FA"/>
    <w:rsid w:val="00046701"/>
    <w:rsid w:val="0004678F"/>
    <w:rsid w:val="000467DF"/>
    <w:rsid w:val="000467F9"/>
    <w:rsid w:val="00046866"/>
    <w:rsid w:val="0004686E"/>
    <w:rsid w:val="000468CC"/>
    <w:rsid w:val="0004690E"/>
    <w:rsid w:val="00046943"/>
    <w:rsid w:val="00046951"/>
    <w:rsid w:val="000469AE"/>
    <w:rsid w:val="000469CC"/>
    <w:rsid w:val="00046A07"/>
    <w:rsid w:val="00046A3A"/>
    <w:rsid w:val="00046A7F"/>
    <w:rsid w:val="00046ABE"/>
    <w:rsid w:val="00046B01"/>
    <w:rsid w:val="00046B07"/>
    <w:rsid w:val="00046B1F"/>
    <w:rsid w:val="00046B3A"/>
    <w:rsid w:val="00046B77"/>
    <w:rsid w:val="00046BA1"/>
    <w:rsid w:val="00046BA6"/>
    <w:rsid w:val="00046BB0"/>
    <w:rsid w:val="00046BF8"/>
    <w:rsid w:val="00046C2C"/>
    <w:rsid w:val="00046C30"/>
    <w:rsid w:val="00046D3A"/>
    <w:rsid w:val="00046DFA"/>
    <w:rsid w:val="00046E05"/>
    <w:rsid w:val="00046E3F"/>
    <w:rsid w:val="00046E4A"/>
    <w:rsid w:val="00046EB8"/>
    <w:rsid w:val="00046F46"/>
    <w:rsid w:val="00046FC9"/>
    <w:rsid w:val="00046FDD"/>
    <w:rsid w:val="00047007"/>
    <w:rsid w:val="0004703D"/>
    <w:rsid w:val="0004704C"/>
    <w:rsid w:val="0004709D"/>
    <w:rsid w:val="000470A0"/>
    <w:rsid w:val="000470BE"/>
    <w:rsid w:val="000470BF"/>
    <w:rsid w:val="000470E6"/>
    <w:rsid w:val="000470FA"/>
    <w:rsid w:val="0004712B"/>
    <w:rsid w:val="0004716D"/>
    <w:rsid w:val="0004717C"/>
    <w:rsid w:val="00047184"/>
    <w:rsid w:val="000471E7"/>
    <w:rsid w:val="000471F7"/>
    <w:rsid w:val="00047201"/>
    <w:rsid w:val="0004726A"/>
    <w:rsid w:val="000472B4"/>
    <w:rsid w:val="000472F2"/>
    <w:rsid w:val="0004733C"/>
    <w:rsid w:val="000473A9"/>
    <w:rsid w:val="00047417"/>
    <w:rsid w:val="0004743A"/>
    <w:rsid w:val="0004748A"/>
    <w:rsid w:val="000474B2"/>
    <w:rsid w:val="000474BB"/>
    <w:rsid w:val="000474BD"/>
    <w:rsid w:val="000474C8"/>
    <w:rsid w:val="000474EE"/>
    <w:rsid w:val="00047502"/>
    <w:rsid w:val="00047510"/>
    <w:rsid w:val="00047561"/>
    <w:rsid w:val="000475D4"/>
    <w:rsid w:val="00047615"/>
    <w:rsid w:val="00047678"/>
    <w:rsid w:val="000476A2"/>
    <w:rsid w:val="000476B0"/>
    <w:rsid w:val="0004771E"/>
    <w:rsid w:val="00047729"/>
    <w:rsid w:val="00047774"/>
    <w:rsid w:val="000477AC"/>
    <w:rsid w:val="000477C8"/>
    <w:rsid w:val="000477D9"/>
    <w:rsid w:val="000477F5"/>
    <w:rsid w:val="00047817"/>
    <w:rsid w:val="00047828"/>
    <w:rsid w:val="00047873"/>
    <w:rsid w:val="0004794A"/>
    <w:rsid w:val="0004798C"/>
    <w:rsid w:val="000479FE"/>
    <w:rsid w:val="00047A0E"/>
    <w:rsid w:val="00047A2B"/>
    <w:rsid w:val="00047A77"/>
    <w:rsid w:val="00047ADD"/>
    <w:rsid w:val="00047B06"/>
    <w:rsid w:val="00047B6B"/>
    <w:rsid w:val="00047B8D"/>
    <w:rsid w:val="00047BA4"/>
    <w:rsid w:val="00047BD5"/>
    <w:rsid w:val="00047BEE"/>
    <w:rsid w:val="00047C24"/>
    <w:rsid w:val="00047CBF"/>
    <w:rsid w:val="00047CFA"/>
    <w:rsid w:val="00047D61"/>
    <w:rsid w:val="00047D75"/>
    <w:rsid w:val="00047DDD"/>
    <w:rsid w:val="00047E07"/>
    <w:rsid w:val="00047E50"/>
    <w:rsid w:val="00047E76"/>
    <w:rsid w:val="00047E9B"/>
    <w:rsid w:val="00047EC8"/>
    <w:rsid w:val="00047EE4"/>
    <w:rsid w:val="00047EE6"/>
    <w:rsid w:val="00047F18"/>
    <w:rsid w:val="00047F59"/>
    <w:rsid w:val="00047F7E"/>
    <w:rsid w:val="00050015"/>
    <w:rsid w:val="0005002B"/>
    <w:rsid w:val="0005004B"/>
    <w:rsid w:val="0005004E"/>
    <w:rsid w:val="00050079"/>
    <w:rsid w:val="0005009B"/>
    <w:rsid w:val="000500F2"/>
    <w:rsid w:val="000500F7"/>
    <w:rsid w:val="00050128"/>
    <w:rsid w:val="00050150"/>
    <w:rsid w:val="00050189"/>
    <w:rsid w:val="000501D6"/>
    <w:rsid w:val="000501E5"/>
    <w:rsid w:val="00050282"/>
    <w:rsid w:val="000502AA"/>
    <w:rsid w:val="000502C4"/>
    <w:rsid w:val="0005036A"/>
    <w:rsid w:val="0005038D"/>
    <w:rsid w:val="00050399"/>
    <w:rsid w:val="000503A6"/>
    <w:rsid w:val="000503B2"/>
    <w:rsid w:val="00050446"/>
    <w:rsid w:val="00050467"/>
    <w:rsid w:val="000504C5"/>
    <w:rsid w:val="000504DE"/>
    <w:rsid w:val="00050509"/>
    <w:rsid w:val="00050532"/>
    <w:rsid w:val="00050557"/>
    <w:rsid w:val="0005056C"/>
    <w:rsid w:val="00050573"/>
    <w:rsid w:val="000505BE"/>
    <w:rsid w:val="000505E4"/>
    <w:rsid w:val="000505FC"/>
    <w:rsid w:val="00050678"/>
    <w:rsid w:val="000506D6"/>
    <w:rsid w:val="00050732"/>
    <w:rsid w:val="00050776"/>
    <w:rsid w:val="00050784"/>
    <w:rsid w:val="000507B9"/>
    <w:rsid w:val="000507E5"/>
    <w:rsid w:val="000507FB"/>
    <w:rsid w:val="0005080F"/>
    <w:rsid w:val="0005083C"/>
    <w:rsid w:val="0005083D"/>
    <w:rsid w:val="000508BB"/>
    <w:rsid w:val="000508DA"/>
    <w:rsid w:val="000508E8"/>
    <w:rsid w:val="00050912"/>
    <w:rsid w:val="0005095A"/>
    <w:rsid w:val="000509C8"/>
    <w:rsid w:val="00050A8E"/>
    <w:rsid w:val="00050ADF"/>
    <w:rsid w:val="00050AFF"/>
    <w:rsid w:val="00050BC9"/>
    <w:rsid w:val="00050C04"/>
    <w:rsid w:val="00050C1D"/>
    <w:rsid w:val="00050C63"/>
    <w:rsid w:val="00050C69"/>
    <w:rsid w:val="00050CD7"/>
    <w:rsid w:val="00050CE1"/>
    <w:rsid w:val="00050CFE"/>
    <w:rsid w:val="00050D02"/>
    <w:rsid w:val="00050D08"/>
    <w:rsid w:val="00050D6E"/>
    <w:rsid w:val="00050DAE"/>
    <w:rsid w:val="00050DBD"/>
    <w:rsid w:val="00050DC2"/>
    <w:rsid w:val="00050E1A"/>
    <w:rsid w:val="00050EBC"/>
    <w:rsid w:val="00050F20"/>
    <w:rsid w:val="00050F90"/>
    <w:rsid w:val="00050FE9"/>
    <w:rsid w:val="0005108C"/>
    <w:rsid w:val="0005114C"/>
    <w:rsid w:val="00051175"/>
    <w:rsid w:val="0005119B"/>
    <w:rsid w:val="00051240"/>
    <w:rsid w:val="00051268"/>
    <w:rsid w:val="0005126B"/>
    <w:rsid w:val="0005126E"/>
    <w:rsid w:val="0005127A"/>
    <w:rsid w:val="0005128C"/>
    <w:rsid w:val="0005128E"/>
    <w:rsid w:val="00051372"/>
    <w:rsid w:val="00051421"/>
    <w:rsid w:val="0005144F"/>
    <w:rsid w:val="000514A8"/>
    <w:rsid w:val="000514F3"/>
    <w:rsid w:val="00051640"/>
    <w:rsid w:val="00051693"/>
    <w:rsid w:val="000516B0"/>
    <w:rsid w:val="000516F7"/>
    <w:rsid w:val="0005170B"/>
    <w:rsid w:val="0005170C"/>
    <w:rsid w:val="000517C9"/>
    <w:rsid w:val="00051860"/>
    <w:rsid w:val="00051865"/>
    <w:rsid w:val="00051866"/>
    <w:rsid w:val="00051886"/>
    <w:rsid w:val="0005188B"/>
    <w:rsid w:val="000518C1"/>
    <w:rsid w:val="000518E1"/>
    <w:rsid w:val="000518FB"/>
    <w:rsid w:val="0005190A"/>
    <w:rsid w:val="00051929"/>
    <w:rsid w:val="00051954"/>
    <w:rsid w:val="0005198E"/>
    <w:rsid w:val="000519A3"/>
    <w:rsid w:val="000519CA"/>
    <w:rsid w:val="00051AAC"/>
    <w:rsid w:val="00051ADD"/>
    <w:rsid w:val="00051B2E"/>
    <w:rsid w:val="00051B49"/>
    <w:rsid w:val="00051B87"/>
    <w:rsid w:val="00051BB8"/>
    <w:rsid w:val="00051C29"/>
    <w:rsid w:val="00051C2D"/>
    <w:rsid w:val="00051C37"/>
    <w:rsid w:val="00051C63"/>
    <w:rsid w:val="00051C64"/>
    <w:rsid w:val="00051CA4"/>
    <w:rsid w:val="00051D3B"/>
    <w:rsid w:val="00051D52"/>
    <w:rsid w:val="00051DBC"/>
    <w:rsid w:val="00051DE7"/>
    <w:rsid w:val="00051E0E"/>
    <w:rsid w:val="00051E2C"/>
    <w:rsid w:val="00051EBA"/>
    <w:rsid w:val="00051ED1"/>
    <w:rsid w:val="00051EFC"/>
    <w:rsid w:val="00051F76"/>
    <w:rsid w:val="00051F7E"/>
    <w:rsid w:val="00051F8C"/>
    <w:rsid w:val="00051F8F"/>
    <w:rsid w:val="00052005"/>
    <w:rsid w:val="0005202D"/>
    <w:rsid w:val="0005202E"/>
    <w:rsid w:val="0005206E"/>
    <w:rsid w:val="0005208C"/>
    <w:rsid w:val="000520B1"/>
    <w:rsid w:val="000520E3"/>
    <w:rsid w:val="00052118"/>
    <w:rsid w:val="0005211F"/>
    <w:rsid w:val="0005213A"/>
    <w:rsid w:val="0005214E"/>
    <w:rsid w:val="00052178"/>
    <w:rsid w:val="00052186"/>
    <w:rsid w:val="000521B7"/>
    <w:rsid w:val="000521BA"/>
    <w:rsid w:val="00052218"/>
    <w:rsid w:val="0005222D"/>
    <w:rsid w:val="0005230E"/>
    <w:rsid w:val="0005232B"/>
    <w:rsid w:val="00052334"/>
    <w:rsid w:val="00052340"/>
    <w:rsid w:val="0005234A"/>
    <w:rsid w:val="000523EA"/>
    <w:rsid w:val="000523EC"/>
    <w:rsid w:val="00052457"/>
    <w:rsid w:val="000524C4"/>
    <w:rsid w:val="00052527"/>
    <w:rsid w:val="000525F5"/>
    <w:rsid w:val="00052681"/>
    <w:rsid w:val="00052698"/>
    <w:rsid w:val="000526E6"/>
    <w:rsid w:val="000526F1"/>
    <w:rsid w:val="00052703"/>
    <w:rsid w:val="00052704"/>
    <w:rsid w:val="0005270C"/>
    <w:rsid w:val="0005273D"/>
    <w:rsid w:val="00052798"/>
    <w:rsid w:val="000527BE"/>
    <w:rsid w:val="00052825"/>
    <w:rsid w:val="00052840"/>
    <w:rsid w:val="00052848"/>
    <w:rsid w:val="00052853"/>
    <w:rsid w:val="00052938"/>
    <w:rsid w:val="000529A1"/>
    <w:rsid w:val="000529D2"/>
    <w:rsid w:val="000529E9"/>
    <w:rsid w:val="00052A19"/>
    <w:rsid w:val="00052A24"/>
    <w:rsid w:val="00052B08"/>
    <w:rsid w:val="00052B5B"/>
    <w:rsid w:val="00052B9F"/>
    <w:rsid w:val="00052BE1"/>
    <w:rsid w:val="00052BF8"/>
    <w:rsid w:val="00052C39"/>
    <w:rsid w:val="00052C5E"/>
    <w:rsid w:val="00052C65"/>
    <w:rsid w:val="00052C7D"/>
    <w:rsid w:val="00052CF0"/>
    <w:rsid w:val="00052CF2"/>
    <w:rsid w:val="00052D1F"/>
    <w:rsid w:val="00052D31"/>
    <w:rsid w:val="00052D5E"/>
    <w:rsid w:val="00052D88"/>
    <w:rsid w:val="00052DA6"/>
    <w:rsid w:val="00052E5F"/>
    <w:rsid w:val="00052EE7"/>
    <w:rsid w:val="00052F03"/>
    <w:rsid w:val="00052F68"/>
    <w:rsid w:val="00052F6D"/>
    <w:rsid w:val="00052F9B"/>
    <w:rsid w:val="00052FC2"/>
    <w:rsid w:val="00052FFB"/>
    <w:rsid w:val="00053025"/>
    <w:rsid w:val="00053087"/>
    <w:rsid w:val="000530EE"/>
    <w:rsid w:val="00053118"/>
    <w:rsid w:val="00053127"/>
    <w:rsid w:val="0005313D"/>
    <w:rsid w:val="0005314A"/>
    <w:rsid w:val="00053150"/>
    <w:rsid w:val="00053188"/>
    <w:rsid w:val="00053193"/>
    <w:rsid w:val="000531F6"/>
    <w:rsid w:val="00053200"/>
    <w:rsid w:val="00053219"/>
    <w:rsid w:val="00053230"/>
    <w:rsid w:val="0005327C"/>
    <w:rsid w:val="0005329F"/>
    <w:rsid w:val="000532A5"/>
    <w:rsid w:val="000532A7"/>
    <w:rsid w:val="000532D0"/>
    <w:rsid w:val="0005330D"/>
    <w:rsid w:val="00053323"/>
    <w:rsid w:val="0005332F"/>
    <w:rsid w:val="00053394"/>
    <w:rsid w:val="000533BF"/>
    <w:rsid w:val="000533D8"/>
    <w:rsid w:val="000533DF"/>
    <w:rsid w:val="0005347D"/>
    <w:rsid w:val="0005347E"/>
    <w:rsid w:val="0005352C"/>
    <w:rsid w:val="00053534"/>
    <w:rsid w:val="00053537"/>
    <w:rsid w:val="00053598"/>
    <w:rsid w:val="000535A6"/>
    <w:rsid w:val="000535EB"/>
    <w:rsid w:val="00053612"/>
    <w:rsid w:val="00053637"/>
    <w:rsid w:val="00053638"/>
    <w:rsid w:val="000536B8"/>
    <w:rsid w:val="000536D4"/>
    <w:rsid w:val="000536E4"/>
    <w:rsid w:val="00053735"/>
    <w:rsid w:val="0005373C"/>
    <w:rsid w:val="00053746"/>
    <w:rsid w:val="00053753"/>
    <w:rsid w:val="0005378E"/>
    <w:rsid w:val="000537BC"/>
    <w:rsid w:val="000537BE"/>
    <w:rsid w:val="000537E0"/>
    <w:rsid w:val="00053818"/>
    <w:rsid w:val="0005385C"/>
    <w:rsid w:val="00053864"/>
    <w:rsid w:val="00053870"/>
    <w:rsid w:val="0005389D"/>
    <w:rsid w:val="00053903"/>
    <w:rsid w:val="0005391A"/>
    <w:rsid w:val="00053940"/>
    <w:rsid w:val="00053948"/>
    <w:rsid w:val="0005394E"/>
    <w:rsid w:val="0005398B"/>
    <w:rsid w:val="000539AD"/>
    <w:rsid w:val="000539F7"/>
    <w:rsid w:val="00053A50"/>
    <w:rsid w:val="00053A5D"/>
    <w:rsid w:val="00053B1E"/>
    <w:rsid w:val="00053B85"/>
    <w:rsid w:val="00053B88"/>
    <w:rsid w:val="00053BD0"/>
    <w:rsid w:val="00053BD9"/>
    <w:rsid w:val="00053BF5"/>
    <w:rsid w:val="00053C0A"/>
    <w:rsid w:val="00053C11"/>
    <w:rsid w:val="00053C7D"/>
    <w:rsid w:val="00053D20"/>
    <w:rsid w:val="00053D2E"/>
    <w:rsid w:val="00053DED"/>
    <w:rsid w:val="00053E0C"/>
    <w:rsid w:val="00053E16"/>
    <w:rsid w:val="00053E1C"/>
    <w:rsid w:val="00054004"/>
    <w:rsid w:val="00054103"/>
    <w:rsid w:val="000541AA"/>
    <w:rsid w:val="000541D4"/>
    <w:rsid w:val="0005423F"/>
    <w:rsid w:val="00054274"/>
    <w:rsid w:val="00054287"/>
    <w:rsid w:val="0005429C"/>
    <w:rsid w:val="000542A6"/>
    <w:rsid w:val="000542C4"/>
    <w:rsid w:val="0005433D"/>
    <w:rsid w:val="0005437B"/>
    <w:rsid w:val="000543A2"/>
    <w:rsid w:val="000543A4"/>
    <w:rsid w:val="000543C0"/>
    <w:rsid w:val="000543CE"/>
    <w:rsid w:val="000543E3"/>
    <w:rsid w:val="0005448B"/>
    <w:rsid w:val="000544B2"/>
    <w:rsid w:val="0005452C"/>
    <w:rsid w:val="00054546"/>
    <w:rsid w:val="0005455A"/>
    <w:rsid w:val="000545D7"/>
    <w:rsid w:val="00054601"/>
    <w:rsid w:val="0005462A"/>
    <w:rsid w:val="00054672"/>
    <w:rsid w:val="00054678"/>
    <w:rsid w:val="00054682"/>
    <w:rsid w:val="0005468C"/>
    <w:rsid w:val="000546EF"/>
    <w:rsid w:val="00054729"/>
    <w:rsid w:val="0005473A"/>
    <w:rsid w:val="000547A4"/>
    <w:rsid w:val="000547B3"/>
    <w:rsid w:val="00054829"/>
    <w:rsid w:val="0005483A"/>
    <w:rsid w:val="00054893"/>
    <w:rsid w:val="000548A6"/>
    <w:rsid w:val="000548B7"/>
    <w:rsid w:val="000548D6"/>
    <w:rsid w:val="00054903"/>
    <w:rsid w:val="00054925"/>
    <w:rsid w:val="00054930"/>
    <w:rsid w:val="0005493D"/>
    <w:rsid w:val="000549D5"/>
    <w:rsid w:val="00054A55"/>
    <w:rsid w:val="00054AA6"/>
    <w:rsid w:val="00054AEC"/>
    <w:rsid w:val="00054AEF"/>
    <w:rsid w:val="00054AFC"/>
    <w:rsid w:val="00054B35"/>
    <w:rsid w:val="00054B4F"/>
    <w:rsid w:val="00054B77"/>
    <w:rsid w:val="00054BD3"/>
    <w:rsid w:val="00054C73"/>
    <w:rsid w:val="00054C7D"/>
    <w:rsid w:val="00054D11"/>
    <w:rsid w:val="00054DF8"/>
    <w:rsid w:val="00054E19"/>
    <w:rsid w:val="00054E3A"/>
    <w:rsid w:val="00054E81"/>
    <w:rsid w:val="00054E93"/>
    <w:rsid w:val="00054EC8"/>
    <w:rsid w:val="00054EE2"/>
    <w:rsid w:val="00054F2B"/>
    <w:rsid w:val="00054F2E"/>
    <w:rsid w:val="00054F7C"/>
    <w:rsid w:val="00054F89"/>
    <w:rsid w:val="00055015"/>
    <w:rsid w:val="0005504F"/>
    <w:rsid w:val="00055058"/>
    <w:rsid w:val="0005505B"/>
    <w:rsid w:val="00055092"/>
    <w:rsid w:val="000550B7"/>
    <w:rsid w:val="000550E3"/>
    <w:rsid w:val="0005510F"/>
    <w:rsid w:val="0005518E"/>
    <w:rsid w:val="000551E4"/>
    <w:rsid w:val="00055209"/>
    <w:rsid w:val="00055219"/>
    <w:rsid w:val="0005521E"/>
    <w:rsid w:val="00055289"/>
    <w:rsid w:val="00055294"/>
    <w:rsid w:val="000552D5"/>
    <w:rsid w:val="000552E2"/>
    <w:rsid w:val="00055358"/>
    <w:rsid w:val="0005537D"/>
    <w:rsid w:val="00055385"/>
    <w:rsid w:val="000553A5"/>
    <w:rsid w:val="000553A8"/>
    <w:rsid w:val="000553B1"/>
    <w:rsid w:val="000553D3"/>
    <w:rsid w:val="0005544E"/>
    <w:rsid w:val="00055489"/>
    <w:rsid w:val="00055558"/>
    <w:rsid w:val="0005559F"/>
    <w:rsid w:val="000555EF"/>
    <w:rsid w:val="00055611"/>
    <w:rsid w:val="0005561B"/>
    <w:rsid w:val="00055646"/>
    <w:rsid w:val="00055661"/>
    <w:rsid w:val="000556EC"/>
    <w:rsid w:val="00055799"/>
    <w:rsid w:val="000557C4"/>
    <w:rsid w:val="00055806"/>
    <w:rsid w:val="00055827"/>
    <w:rsid w:val="00055856"/>
    <w:rsid w:val="00055862"/>
    <w:rsid w:val="00055883"/>
    <w:rsid w:val="00055884"/>
    <w:rsid w:val="000558B6"/>
    <w:rsid w:val="000558BB"/>
    <w:rsid w:val="00055904"/>
    <w:rsid w:val="000559F1"/>
    <w:rsid w:val="000559FC"/>
    <w:rsid w:val="00055A28"/>
    <w:rsid w:val="00055A48"/>
    <w:rsid w:val="00055A7E"/>
    <w:rsid w:val="00055B01"/>
    <w:rsid w:val="00055B0D"/>
    <w:rsid w:val="00055B7B"/>
    <w:rsid w:val="00055BBD"/>
    <w:rsid w:val="00055BC5"/>
    <w:rsid w:val="00055BCD"/>
    <w:rsid w:val="00055C01"/>
    <w:rsid w:val="00055C1C"/>
    <w:rsid w:val="00055C34"/>
    <w:rsid w:val="00055C48"/>
    <w:rsid w:val="00055C87"/>
    <w:rsid w:val="00055C92"/>
    <w:rsid w:val="00055CAC"/>
    <w:rsid w:val="00055CAD"/>
    <w:rsid w:val="00055CC4"/>
    <w:rsid w:val="00055CC6"/>
    <w:rsid w:val="00055E19"/>
    <w:rsid w:val="00055E31"/>
    <w:rsid w:val="00055E4A"/>
    <w:rsid w:val="00055E82"/>
    <w:rsid w:val="00055EBA"/>
    <w:rsid w:val="00055F3B"/>
    <w:rsid w:val="00055F71"/>
    <w:rsid w:val="00055F96"/>
    <w:rsid w:val="00056020"/>
    <w:rsid w:val="0005604B"/>
    <w:rsid w:val="0005607B"/>
    <w:rsid w:val="0005608F"/>
    <w:rsid w:val="000560B0"/>
    <w:rsid w:val="000560E7"/>
    <w:rsid w:val="000560F5"/>
    <w:rsid w:val="0005612C"/>
    <w:rsid w:val="00056137"/>
    <w:rsid w:val="000561BD"/>
    <w:rsid w:val="000561C1"/>
    <w:rsid w:val="00056223"/>
    <w:rsid w:val="000562AD"/>
    <w:rsid w:val="000562E0"/>
    <w:rsid w:val="00056316"/>
    <w:rsid w:val="0005631F"/>
    <w:rsid w:val="00056364"/>
    <w:rsid w:val="000563BE"/>
    <w:rsid w:val="000563C8"/>
    <w:rsid w:val="0005641C"/>
    <w:rsid w:val="0005643E"/>
    <w:rsid w:val="00056475"/>
    <w:rsid w:val="00056479"/>
    <w:rsid w:val="0005648A"/>
    <w:rsid w:val="00056496"/>
    <w:rsid w:val="000564D8"/>
    <w:rsid w:val="000564EE"/>
    <w:rsid w:val="0005650F"/>
    <w:rsid w:val="0005653A"/>
    <w:rsid w:val="0005655F"/>
    <w:rsid w:val="000565A6"/>
    <w:rsid w:val="000565FB"/>
    <w:rsid w:val="0005661C"/>
    <w:rsid w:val="00056643"/>
    <w:rsid w:val="0005665C"/>
    <w:rsid w:val="00056679"/>
    <w:rsid w:val="000566B7"/>
    <w:rsid w:val="000566C5"/>
    <w:rsid w:val="000566CA"/>
    <w:rsid w:val="000566FA"/>
    <w:rsid w:val="00056737"/>
    <w:rsid w:val="00056761"/>
    <w:rsid w:val="00056815"/>
    <w:rsid w:val="00056859"/>
    <w:rsid w:val="0005688C"/>
    <w:rsid w:val="000568A7"/>
    <w:rsid w:val="000568AB"/>
    <w:rsid w:val="000568BA"/>
    <w:rsid w:val="000568C8"/>
    <w:rsid w:val="000568DA"/>
    <w:rsid w:val="000568EF"/>
    <w:rsid w:val="0005696D"/>
    <w:rsid w:val="0005696E"/>
    <w:rsid w:val="00056A00"/>
    <w:rsid w:val="00056A92"/>
    <w:rsid w:val="00056AD7"/>
    <w:rsid w:val="00056AD9"/>
    <w:rsid w:val="00056B7F"/>
    <w:rsid w:val="00056BC1"/>
    <w:rsid w:val="00056C48"/>
    <w:rsid w:val="00056C56"/>
    <w:rsid w:val="00056C9F"/>
    <w:rsid w:val="00056D5A"/>
    <w:rsid w:val="00056D7F"/>
    <w:rsid w:val="00056E4C"/>
    <w:rsid w:val="00056E80"/>
    <w:rsid w:val="00056E83"/>
    <w:rsid w:val="00056ED2"/>
    <w:rsid w:val="00056F6E"/>
    <w:rsid w:val="00056F6F"/>
    <w:rsid w:val="00056F72"/>
    <w:rsid w:val="00056F79"/>
    <w:rsid w:val="00056F7F"/>
    <w:rsid w:val="00056F85"/>
    <w:rsid w:val="00056FBA"/>
    <w:rsid w:val="00056FCD"/>
    <w:rsid w:val="00056FDF"/>
    <w:rsid w:val="00057006"/>
    <w:rsid w:val="0005700C"/>
    <w:rsid w:val="00057075"/>
    <w:rsid w:val="0005709B"/>
    <w:rsid w:val="000570A8"/>
    <w:rsid w:val="00057147"/>
    <w:rsid w:val="0005722F"/>
    <w:rsid w:val="00057233"/>
    <w:rsid w:val="00057274"/>
    <w:rsid w:val="0005727F"/>
    <w:rsid w:val="00057284"/>
    <w:rsid w:val="000572A6"/>
    <w:rsid w:val="000572AD"/>
    <w:rsid w:val="000572CC"/>
    <w:rsid w:val="000572D0"/>
    <w:rsid w:val="00057364"/>
    <w:rsid w:val="0005739A"/>
    <w:rsid w:val="000573A2"/>
    <w:rsid w:val="000573BD"/>
    <w:rsid w:val="00057406"/>
    <w:rsid w:val="00057440"/>
    <w:rsid w:val="00057449"/>
    <w:rsid w:val="0005747E"/>
    <w:rsid w:val="0005749F"/>
    <w:rsid w:val="000574AC"/>
    <w:rsid w:val="000574C1"/>
    <w:rsid w:val="000574CE"/>
    <w:rsid w:val="000574D7"/>
    <w:rsid w:val="000574F2"/>
    <w:rsid w:val="00057539"/>
    <w:rsid w:val="00057540"/>
    <w:rsid w:val="0005758E"/>
    <w:rsid w:val="000575CC"/>
    <w:rsid w:val="000575DB"/>
    <w:rsid w:val="00057608"/>
    <w:rsid w:val="00057614"/>
    <w:rsid w:val="0005761D"/>
    <w:rsid w:val="00057623"/>
    <w:rsid w:val="00057641"/>
    <w:rsid w:val="00057643"/>
    <w:rsid w:val="0005769F"/>
    <w:rsid w:val="00057751"/>
    <w:rsid w:val="00057758"/>
    <w:rsid w:val="000577A3"/>
    <w:rsid w:val="000577F2"/>
    <w:rsid w:val="00057810"/>
    <w:rsid w:val="0005781B"/>
    <w:rsid w:val="00057823"/>
    <w:rsid w:val="00057847"/>
    <w:rsid w:val="0005787B"/>
    <w:rsid w:val="0005788F"/>
    <w:rsid w:val="0005789C"/>
    <w:rsid w:val="000578AF"/>
    <w:rsid w:val="000578B3"/>
    <w:rsid w:val="000578C1"/>
    <w:rsid w:val="000578D2"/>
    <w:rsid w:val="00057924"/>
    <w:rsid w:val="0005795C"/>
    <w:rsid w:val="00057970"/>
    <w:rsid w:val="00057994"/>
    <w:rsid w:val="0005799E"/>
    <w:rsid w:val="000579D4"/>
    <w:rsid w:val="00057A36"/>
    <w:rsid w:val="00057A58"/>
    <w:rsid w:val="00057A97"/>
    <w:rsid w:val="00057AAE"/>
    <w:rsid w:val="00057AC9"/>
    <w:rsid w:val="00057ADB"/>
    <w:rsid w:val="00057B54"/>
    <w:rsid w:val="00057C4E"/>
    <w:rsid w:val="00057C5D"/>
    <w:rsid w:val="00057C72"/>
    <w:rsid w:val="00057CA1"/>
    <w:rsid w:val="00057CEA"/>
    <w:rsid w:val="00057CF9"/>
    <w:rsid w:val="00057D23"/>
    <w:rsid w:val="00057D93"/>
    <w:rsid w:val="00057D9C"/>
    <w:rsid w:val="00057DEF"/>
    <w:rsid w:val="00057E03"/>
    <w:rsid w:val="00057E49"/>
    <w:rsid w:val="00057E5B"/>
    <w:rsid w:val="00057E8A"/>
    <w:rsid w:val="00057F1E"/>
    <w:rsid w:val="00057F41"/>
    <w:rsid w:val="00057FBC"/>
    <w:rsid w:val="00057FE4"/>
    <w:rsid w:val="00058D4A"/>
    <w:rsid w:val="00060001"/>
    <w:rsid w:val="0006000A"/>
    <w:rsid w:val="0006001A"/>
    <w:rsid w:val="00060023"/>
    <w:rsid w:val="0006004C"/>
    <w:rsid w:val="00060093"/>
    <w:rsid w:val="000600EB"/>
    <w:rsid w:val="00060127"/>
    <w:rsid w:val="000601A4"/>
    <w:rsid w:val="000601CA"/>
    <w:rsid w:val="000601EA"/>
    <w:rsid w:val="000601F2"/>
    <w:rsid w:val="000601F8"/>
    <w:rsid w:val="00060225"/>
    <w:rsid w:val="00060287"/>
    <w:rsid w:val="000602B9"/>
    <w:rsid w:val="000602D7"/>
    <w:rsid w:val="000602EE"/>
    <w:rsid w:val="0006033A"/>
    <w:rsid w:val="00060372"/>
    <w:rsid w:val="000603D6"/>
    <w:rsid w:val="00060475"/>
    <w:rsid w:val="0006049F"/>
    <w:rsid w:val="000604D1"/>
    <w:rsid w:val="000604D8"/>
    <w:rsid w:val="000604DD"/>
    <w:rsid w:val="0006050A"/>
    <w:rsid w:val="00060592"/>
    <w:rsid w:val="0006059B"/>
    <w:rsid w:val="000605C2"/>
    <w:rsid w:val="000605C5"/>
    <w:rsid w:val="000605CA"/>
    <w:rsid w:val="000605E6"/>
    <w:rsid w:val="000605EA"/>
    <w:rsid w:val="00060611"/>
    <w:rsid w:val="0006065F"/>
    <w:rsid w:val="000606C4"/>
    <w:rsid w:val="000606CF"/>
    <w:rsid w:val="000606E9"/>
    <w:rsid w:val="000607A6"/>
    <w:rsid w:val="0006086E"/>
    <w:rsid w:val="000608A1"/>
    <w:rsid w:val="00060941"/>
    <w:rsid w:val="00060972"/>
    <w:rsid w:val="00060977"/>
    <w:rsid w:val="000609F1"/>
    <w:rsid w:val="000609F8"/>
    <w:rsid w:val="00060A03"/>
    <w:rsid w:val="00060A04"/>
    <w:rsid w:val="00060A3F"/>
    <w:rsid w:val="00060A64"/>
    <w:rsid w:val="00060A67"/>
    <w:rsid w:val="00060AA1"/>
    <w:rsid w:val="00060AEA"/>
    <w:rsid w:val="00060B18"/>
    <w:rsid w:val="00060B56"/>
    <w:rsid w:val="00060BB3"/>
    <w:rsid w:val="00060BC0"/>
    <w:rsid w:val="00060C76"/>
    <w:rsid w:val="00060C77"/>
    <w:rsid w:val="00060C9E"/>
    <w:rsid w:val="00060D0E"/>
    <w:rsid w:val="00060D20"/>
    <w:rsid w:val="00060E1C"/>
    <w:rsid w:val="00060E41"/>
    <w:rsid w:val="00060E4C"/>
    <w:rsid w:val="00060E64"/>
    <w:rsid w:val="00060E72"/>
    <w:rsid w:val="00060E98"/>
    <w:rsid w:val="00060F07"/>
    <w:rsid w:val="00060F2A"/>
    <w:rsid w:val="00060F2D"/>
    <w:rsid w:val="00060F6E"/>
    <w:rsid w:val="00060F7E"/>
    <w:rsid w:val="00060F9D"/>
    <w:rsid w:val="00060FB1"/>
    <w:rsid w:val="00060FD4"/>
    <w:rsid w:val="00061003"/>
    <w:rsid w:val="0006109E"/>
    <w:rsid w:val="000610AF"/>
    <w:rsid w:val="000610DE"/>
    <w:rsid w:val="00061172"/>
    <w:rsid w:val="000611B5"/>
    <w:rsid w:val="000611D4"/>
    <w:rsid w:val="00061272"/>
    <w:rsid w:val="0006133E"/>
    <w:rsid w:val="000613C7"/>
    <w:rsid w:val="00061460"/>
    <w:rsid w:val="0006146B"/>
    <w:rsid w:val="000614B1"/>
    <w:rsid w:val="00061514"/>
    <w:rsid w:val="00061526"/>
    <w:rsid w:val="0006154A"/>
    <w:rsid w:val="00061551"/>
    <w:rsid w:val="0006157A"/>
    <w:rsid w:val="000615E2"/>
    <w:rsid w:val="000615EB"/>
    <w:rsid w:val="00061620"/>
    <w:rsid w:val="00061689"/>
    <w:rsid w:val="000616F9"/>
    <w:rsid w:val="000616FA"/>
    <w:rsid w:val="0006177B"/>
    <w:rsid w:val="000617F5"/>
    <w:rsid w:val="00061824"/>
    <w:rsid w:val="00061847"/>
    <w:rsid w:val="00061884"/>
    <w:rsid w:val="0006189A"/>
    <w:rsid w:val="000618C6"/>
    <w:rsid w:val="000618E8"/>
    <w:rsid w:val="0006199C"/>
    <w:rsid w:val="000619F0"/>
    <w:rsid w:val="00061A67"/>
    <w:rsid w:val="00061A9D"/>
    <w:rsid w:val="00061AC8"/>
    <w:rsid w:val="00061AD9"/>
    <w:rsid w:val="00061AE5"/>
    <w:rsid w:val="00061AF0"/>
    <w:rsid w:val="00061B05"/>
    <w:rsid w:val="00061B44"/>
    <w:rsid w:val="00061B49"/>
    <w:rsid w:val="00061BCA"/>
    <w:rsid w:val="00061C1B"/>
    <w:rsid w:val="00061C6E"/>
    <w:rsid w:val="00061CE6"/>
    <w:rsid w:val="00061D4E"/>
    <w:rsid w:val="00061D91"/>
    <w:rsid w:val="00061DD4"/>
    <w:rsid w:val="00061DDC"/>
    <w:rsid w:val="00061E18"/>
    <w:rsid w:val="00061E34"/>
    <w:rsid w:val="00061E47"/>
    <w:rsid w:val="00061EFF"/>
    <w:rsid w:val="00061F07"/>
    <w:rsid w:val="00061F2F"/>
    <w:rsid w:val="00061F31"/>
    <w:rsid w:val="00061FBF"/>
    <w:rsid w:val="00062006"/>
    <w:rsid w:val="00062046"/>
    <w:rsid w:val="0006204D"/>
    <w:rsid w:val="0006204F"/>
    <w:rsid w:val="0006208A"/>
    <w:rsid w:val="00062095"/>
    <w:rsid w:val="000620A2"/>
    <w:rsid w:val="0006211F"/>
    <w:rsid w:val="0006225D"/>
    <w:rsid w:val="00062271"/>
    <w:rsid w:val="00062289"/>
    <w:rsid w:val="000622D7"/>
    <w:rsid w:val="0006231B"/>
    <w:rsid w:val="00062330"/>
    <w:rsid w:val="00062399"/>
    <w:rsid w:val="000623DE"/>
    <w:rsid w:val="00062404"/>
    <w:rsid w:val="00062446"/>
    <w:rsid w:val="00062468"/>
    <w:rsid w:val="00062473"/>
    <w:rsid w:val="0006249F"/>
    <w:rsid w:val="000624C8"/>
    <w:rsid w:val="000624DA"/>
    <w:rsid w:val="0006250A"/>
    <w:rsid w:val="00062562"/>
    <w:rsid w:val="00062579"/>
    <w:rsid w:val="0006257C"/>
    <w:rsid w:val="000625FA"/>
    <w:rsid w:val="00062647"/>
    <w:rsid w:val="0006264D"/>
    <w:rsid w:val="0006265A"/>
    <w:rsid w:val="00062684"/>
    <w:rsid w:val="00062687"/>
    <w:rsid w:val="0006269F"/>
    <w:rsid w:val="000626B5"/>
    <w:rsid w:val="000626C5"/>
    <w:rsid w:val="000626E3"/>
    <w:rsid w:val="0006271A"/>
    <w:rsid w:val="00062724"/>
    <w:rsid w:val="0006274A"/>
    <w:rsid w:val="000627D3"/>
    <w:rsid w:val="00062836"/>
    <w:rsid w:val="0006283D"/>
    <w:rsid w:val="00062878"/>
    <w:rsid w:val="0006287A"/>
    <w:rsid w:val="0006287E"/>
    <w:rsid w:val="000628A5"/>
    <w:rsid w:val="000628DA"/>
    <w:rsid w:val="000628EB"/>
    <w:rsid w:val="00062962"/>
    <w:rsid w:val="000629B8"/>
    <w:rsid w:val="000629D7"/>
    <w:rsid w:val="000629EA"/>
    <w:rsid w:val="000629FA"/>
    <w:rsid w:val="00062A16"/>
    <w:rsid w:val="00062A5C"/>
    <w:rsid w:val="00062AA8"/>
    <w:rsid w:val="00062ABB"/>
    <w:rsid w:val="00062B1B"/>
    <w:rsid w:val="00062B40"/>
    <w:rsid w:val="00062BBB"/>
    <w:rsid w:val="00062D44"/>
    <w:rsid w:val="00062D45"/>
    <w:rsid w:val="00062D5E"/>
    <w:rsid w:val="00062D73"/>
    <w:rsid w:val="00062D80"/>
    <w:rsid w:val="00062E24"/>
    <w:rsid w:val="00062E25"/>
    <w:rsid w:val="00062E70"/>
    <w:rsid w:val="00062F58"/>
    <w:rsid w:val="00062FCB"/>
    <w:rsid w:val="00063002"/>
    <w:rsid w:val="0006309C"/>
    <w:rsid w:val="0006310D"/>
    <w:rsid w:val="00063126"/>
    <w:rsid w:val="0006315F"/>
    <w:rsid w:val="00063166"/>
    <w:rsid w:val="000631AC"/>
    <w:rsid w:val="00063200"/>
    <w:rsid w:val="00063205"/>
    <w:rsid w:val="0006323B"/>
    <w:rsid w:val="00063241"/>
    <w:rsid w:val="000632C7"/>
    <w:rsid w:val="0006333C"/>
    <w:rsid w:val="0006334A"/>
    <w:rsid w:val="000633A6"/>
    <w:rsid w:val="000633D9"/>
    <w:rsid w:val="000633FD"/>
    <w:rsid w:val="000633FF"/>
    <w:rsid w:val="00063487"/>
    <w:rsid w:val="0006348F"/>
    <w:rsid w:val="00063490"/>
    <w:rsid w:val="000634C6"/>
    <w:rsid w:val="000634CE"/>
    <w:rsid w:val="000634D0"/>
    <w:rsid w:val="00063504"/>
    <w:rsid w:val="0006353A"/>
    <w:rsid w:val="0006359D"/>
    <w:rsid w:val="000635BB"/>
    <w:rsid w:val="00063605"/>
    <w:rsid w:val="00063647"/>
    <w:rsid w:val="0006364C"/>
    <w:rsid w:val="0006366E"/>
    <w:rsid w:val="00063738"/>
    <w:rsid w:val="00063791"/>
    <w:rsid w:val="000637F1"/>
    <w:rsid w:val="00063803"/>
    <w:rsid w:val="00063852"/>
    <w:rsid w:val="0006387B"/>
    <w:rsid w:val="000638AB"/>
    <w:rsid w:val="0006390E"/>
    <w:rsid w:val="000639A6"/>
    <w:rsid w:val="000639F3"/>
    <w:rsid w:val="00063A12"/>
    <w:rsid w:val="00063A48"/>
    <w:rsid w:val="00063A6D"/>
    <w:rsid w:val="00063A6E"/>
    <w:rsid w:val="00063AB3"/>
    <w:rsid w:val="00063AEA"/>
    <w:rsid w:val="00063B28"/>
    <w:rsid w:val="00063B31"/>
    <w:rsid w:val="00063BEA"/>
    <w:rsid w:val="00063C4D"/>
    <w:rsid w:val="00063CAD"/>
    <w:rsid w:val="00063CAE"/>
    <w:rsid w:val="00063CD0"/>
    <w:rsid w:val="00063CDF"/>
    <w:rsid w:val="00063D39"/>
    <w:rsid w:val="00063D75"/>
    <w:rsid w:val="00063DD0"/>
    <w:rsid w:val="00063E10"/>
    <w:rsid w:val="00063E4C"/>
    <w:rsid w:val="00063EA8"/>
    <w:rsid w:val="00063F0D"/>
    <w:rsid w:val="00063F0E"/>
    <w:rsid w:val="00063F6A"/>
    <w:rsid w:val="00063F70"/>
    <w:rsid w:val="00063FA6"/>
    <w:rsid w:val="00064009"/>
    <w:rsid w:val="00064016"/>
    <w:rsid w:val="00064021"/>
    <w:rsid w:val="00064080"/>
    <w:rsid w:val="000640E1"/>
    <w:rsid w:val="000640E6"/>
    <w:rsid w:val="00064129"/>
    <w:rsid w:val="0006412F"/>
    <w:rsid w:val="00064166"/>
    <w:rsid w:val="00064196"/>
    <w:rsid w:val="000641F0"/>
    <w:rsid w:val="00064211"/>
    <w:rsid w:val="0006423D"/>
    <w:rsid w:val="0006424B"/>
    <w:rsid w:val="0006428A"/>
    <w:rsid w:val="000642B8"/>
    <w:rsid w:val="00064307"/>
    <w:rsid w:val="000643AF"/>
    <w:rsid w:val="00064422"/>
    <w:rsid w:val="00064435"/>
    <w:rsid w:val="00064438"/>
    <w:rsid w:val="00064472"/>
    <w:rsid w:val="00064478"/>
    <w:rsid w:val="00064481"/>
    <w:rsid w:val="000644CF"/>
    <w:rsid w:val="000644F1"/>
    <w:rsid w:val="000645D9"/>
    <w:rsid w:val="0006464B"/>
    <w:rsid w:val="00064697"/>
    <w:rsid w:val="00064742"/>
    <w:rsid w:val="0006474A"/>
    <w:rsid w:val="00064759"/>
    <w:rsid w:val="00064797"/>
    <w:rsid w:val="000647F0"/>
    <w:rsid w:val="0006484D"/>
    <w:rsid w:val="0006485A"/>
    <w:rsid w:val="000648A6"/>
    <w:rsid w:val="000648CD"/>
    <w:rsid w:val="000648E3"/>
    <w:rsid w:val="0006496C"/>
    <w:rsid w:val="0006497E"/>
    <w:rsid w:val="000649C6"/>
    <w:rsid w:val="000649E6"/>
    <w:rsid w:val="000649F4"/>
    <w:rsid w:val="00064A4B"/>
    <w:rsid w:val="00064A53"/>
    <w:rsid w:val="00064A64"/>
    <w:rsid w:val="00064A9F"/>
    <w:rsid w:val="00064AA3"/>
    <w:rsid w:val="00064AB0"/>
    <w:rsid w:val="00064ADA"/>
    <w:rsid w:val="00064AE8"/>
    <w:rsid w:val="00064AF8"/>
    <w:rsid w:val="00064B0A"/>
    <w:rsid w:val="00064B17"/>
    <w:rsid w:val="00064B1D"/>
    <w:rsid w:val="00064B60"/>
    <w:rsid w:val="00064B99"/>
    <w:rsid w:val="00064BA8"/>
    <w:rsid w:val="00064BB7"/>
    <w:rsid w:val="00064CA0"/>
    <w:rsid w:val="00064D24"/>
    <w:rsid w:val="00064D39"/>
    <w:rsid w:val="00064D91"/>
    <w:rsid w:val="00064DFF"/>
    <w:rsid w:val="00064E2D"/>
    <w:rsid w:val="00064E3D"/>
    <w:rsid w:val="00064EAA"/>
    <w:rsid w:val="00064EDA"/>
    <w:rsid w:val="00064EEB"/>
    <w:rsid w:val="00064EEE"/>
    <w:rsid w:val="00064FED"/>
    <w:rsid w:val="00064FF7"/>
    <w:rsid w:val="0006504E"/>
    <w:rsid w:val="0006509D"/>
    <w:rsid w:val="000651AB"/>
    <w:rsid w:val="000651AC"/>
    <w:rsid w:val="000651B0"/>
    <w:rsid w:val="000651CE"/>
    <w:rsid w:val="0006523C"/>
    <w:rsid w:val="00065256"/>
    <w:rsid w:val="0006525C"/>
    <w:rsid w:val="00065328"/>
    <w:rsid w:val="0006533E"/>
    <w:rsid w:val="00065394"/>
    <w:rsid w:val="000653D6"/>
    <w:rsid w:val="000653DB"/>
    <w:rsid w:val="0006544B"/>
    <w:rsid w:val="0006548D"/>
    <w:rsid w:val="000654C8"/>
    <w:rsid w:val="000654D7"/>
    <w:rsid w:val="000654FC"/>
    <w:rsid w:val="0006550B"/>
    <w:rsid w:val="00065521"/>
    <w:rsid w:val="00065578"/>
    <w:rsid w:val="000655B9"/>
    <w:rsid w:val="000655C5"/>
    <w:rsid w:val="000655C6"/>
    <w:rsid w:val="000655D5"/>
    <w:rsid w:val="000655EF"/>
    <w:rsid w:val="00065622"/>
    <w:rsid w:val="00065664"/>
    <w:rsid w:val="000656B2"/>
    <w:rsid w:val="0006574A"/>
    <w:rsid w:val="00065754"/>
    <w:rsid w:val="00065774"/>
    <w:rsid w:val="000657A0"/>
    <w:rsid w:val="000657A4"/>
    <w:rsid w:val="000657F4"/>
    <w:rsid w:val="00065800"/>
    <w:rsid w:val="0006580F"/>
    <w:rsid w:val="00065819"/>
    <w:rsid w:val="0006581E"/>
    <w:rsid w:val="00065849"/>
    <w:rsid w:val="000658E2"/>
    <w:rsid w:val="000658F1"/>
    <w:rsid w:val="00065901"/>
    <w:rsid w:val="00065917"/>
    <w:rsid w:val="0006598D"/>
    <w:rsid w:val="000659BC"/>
    <w:rsid w:val="000659C9"/>
    <w:rsid w:val="000659F2"/>
    <w:rsid w:val="00065A09"/>
    <w:rsid w:val="00065A28"/>
    <w:rsid w:val="00065A4F"/>
    <w:rsid w:val="00065A50"/>
    <w:rsid w:val="00065A52"/>
    <w:rsid w:val="00065A79"/>
    <w:rsid w:val="00065A9D"/>
    <w:rsid w:val="00065AD7"/>
    <w:rsid w:val="00065B0C"/>
    <w:rsid w:val="00065B2E"/>
    <w:rsid w:val="00065B81"/>
    <w:rsid w:val="00065BB0"/>
    <w:rsid w:val="00065BB1"/>
    <w:rsid w:val="00065BB3"/>
    <w:rsid w:val="00065BD0"/>
    <w:rsid w:val="00065BD5"/>
    <w:rsid w:val="00065C1E"/>
    <w:rsid w:val="00065C59"/>
    <w:rsid w:val="00065CAD"/>
    <w:rsid w:val="00065CFB"/>
    <w:rsid w:val="00065D22"/>
    <w:rsid w:val="00065D2E"/>
    <w:rsid w:val="00065D30"/>
    <w:rsid w:val="00065D34"/>
    <w:rsid w:val="00065E0E"/>
    <w:rsid w:val="00065E36"/>
    <w:rsid w:val="00065E9E"/>
    <w:rsid w:val="00065EE2"/>
    <w:rsid w:val="00065EE7"/>
    <w:rsid w:val="00065F11"/>
    <w:rsid w:val="00065F6D"/>
    <w:rsid w:val="00065FDC"/>
    <w:rsid w:val="00065FE3"/>
    <w:rsid w:val="00065FF0"/>
    <w:rsid w:val="00065FF8"/>
    <w:rsid w:val="00066010"/>
    <w:rsid w:val="00066022"/>
    <w:rsid w:val="0006602A"/>
    <w:rsid w:val="00066055"/>
    <w:rsid w:val="00066078"/>
    <w:rsid w:val="000660A9"/>
    <w:rsid w:val="000660BA"/>
    <w:rsid w:val="0006614B"/>
    <w:rsid w:val="0006615D"/>
    <w:rsid w:val="0006619A"/>
    <w:rsid w:val="000661CC"/>
    <w:rsid w:val="000661DF"/>
    <w:rsid w:val="000661E5"/>
    <w:rsid w:val="000661E7"/>
    <w:rsid w:val="000661FD"/>
    <w:rsid w:val="00066200"/>
    <w:rsid w:val="00066213"/>
    <w:rsid w:val="0006623F"/>
    <w:rsid w:val="00066287"/>
    <w:rsid w:val="000662BF"/>
    <w:rsid w:val="000662E0"/>
    <w:rsid w:val="0006630D"/>
    <w:rsid w:val="0006639B"/>
    <w:rsid w:val="000663E5"/>
    <w:rsid w:val="00066407"/>
    <w:rsid w:val="00066435"/>
    <w:rsid w:val="0006643E"/>
    <w:rsid w:val="000664E3"/>
    <w:rsid w:val="000664F6"/>
    <w:rsid w:val="0006653A"/>
    <w:rsid w:val="0006654E"/>
    <w:rsid w:val="0006656E"/>
    <w:rsid w:val="00066588"/>
    <w:rsid w:val="00066620"/>
    <w:rsid w:val="00066639"/>
    <w:rsid w:val="0006664D"/>
    <w:rsid w:val="0006665F"/>
    <w:rsid w:val="00066661"/>
    <w:rsid w:val="00066664"/>
    <w:rsid w:val="00066667"/>
    <w:rsid w:val="000666FD"/>
    <w:rsid w:val="0006672D"/>
    <w:rsid w:val="0006672E"/>
    <w:rsid w:val="0006684A"/>
    <w:rsid w:val="00066863"/>
    <w:rsid w:val="00066896"/>
    <w:rsid w:val="0006690F"/>
    <w:rsid w:val="00066952"/>
    <w:rsid w:val="00066954"/>
    <w:rsid w:val="00066974"/>
    <w:rsid w:val="0006697E"/>
    <w:rsid w:val="000669C3"/>
    <w:rsid w:val="000669CC"/>
    <w:rsid w:val="000669D5"/>
    <w:rsid w:val="00066A27"/>
    <w:rsid w:val="00066A9D"/>
    <w:rsid w:val="00066AF8"/>
    <w:rsid w:val="00066B9D"/>
    <w:rsid w:val="00066BBA"/>
    <w:rsid w:val="00066BFB"/>
    <w:rsid w:val="00066C00"/>
    <w:rsid w:val="00066C8F"/>
    <w:rsid w:val="00066CDB"/>
    <w:rsid w:val="00066D36"/>
    <w:rsid w:val="00066D3D"/>
    <w:rsid w:val="00066D3E"/>
    <w:rsid w:val="00066D48"/>
    <w:rsid w:val="00066D69"/>
    <w:rsid w:val="00066D86"/>
    <w:rsid w:val="00066D95"/>
    <w:rsid w:val="00066DAE"/>
    <w:rsid w:val="00066DCF"/>
    <w:rsid w:val="00066DEE"/>
    <w:rsid w:val="00066DF4"/>
    <w:rsid w:val="00066E36"/>
    <w:rsid w:val="00066E7F"/>
    <w:rsid w:val="00066EAB"/>
    <w:rsid w:val="00066EEE"/>
    <w:rsid w:val="00066F2A"/>
    <w:rsid w:val="00066F37"/>
    <w:rsid w:val="00066F3F"/>
    <w:rsid w:val="00066F8D"/>
    <w:rsid w:val="00066FBA"/>
    <w:rsid w:val="00066FCC"/>
    <w:rsid w:val="00066FCE"/>
    <w:rsid w:val="00066FE4"/>
    <w:rsid w:val="00067035"/>
    <w:rsid w:val="0006703B"/>
    <w:rsid w:val="00067044"/>
    <w:rsid w:val="00067127"/>
    <w:rsid w:val="000671A2"/>
    <w:rsid w:val="000671D3"/>
    <w:rsid w:val="000672AB"/>
    <w:rsid w:val="000672B6"/>
    <w:rsid w:val="000672E0"/>
    <w:rsid w:val="0006734A"/>
    <w:rsid w:val="0006736B"/>
    <w:rsid w:val="000673B3"/>
    <w:rsid w:val="0006740E"/>
    <w:rsid w:val="000674A1"/>
    <w:rsid w:val="000674A9"/>
    <w:rsid w:val="000674BC"/>
    <w:rsid w:val="00067520"/>
    <w:rsid w:val="0006752A"/>
    <w:rsid w:val="000675A0"/>
    <w:rsid w:val="000675BB"/>
    <w:rsid w:val="000675C4"/>
    <w:rsid w:val="000675E7"/>
    <w:rsid w:val="00067612"/>
    <w:rsid w:val="0006762F"/>
    <w:rsid w:val="000676A2"/>
    <w:rsid w:val="000676D6"/>
    <w:rsid w:val="0006772B"/>
    <w:rsid w:val="00067733"/>
    <w:rsid w:val="00067734"/>
    <w:rsid w:val="0006774C"/>
    <w:rsid w:val="000677D3"/>
    <w:rsid w:val="000677E6"/>
    <w:rsid w:val="00067836"/>
    <w:rsid w:val="00067863"/>
    <w:rsid w:val="000678E2"/>
    <w:rsid w:val="00067916"/>
    <w:rsid w:val="00067953"/>
    <w:rsid w:val="00067972"/>
    <w:rsid w:val="0006799F"/>
    <w:rsid w:val="000679B4"/>
    <w:rsid w:val="000679CC"/>
    <w:rsid w:val="000679FA"/>
    <w:rsid w:val="00067A18"/>
    <w:rsid w:val="00067A28"/>
    <w:rsid w:val="00067A3B"/>
    <w:rsid w:val="00067ACA"/>
    <w:rsid w:val="00067B6C"/>
    <w:rsid w:val="00067B8A"/>
    <w:rsid w:val="00067BBC"/>
    <w:rsid w:val="00067BDE"/>
    <w:rsid w:val="00067CBB"/>
    <w:rsid w:val="00067D64"/>
    <w:rsid w:val="00067DD8"/>
    <w:rsid w:val="00067E01"/>
    <w:rsid w:val="00067E34"/>
    <w:rsid w:val="00067E4F"/>
    <w:rsid w:val="00067ECE"/>
    <w:rsid w:val="00067F6D"/>
    <w:rsid w:val="00068EF4"/>
    <w:rsid w:val="00070002"/>
    <w:rsid w:val="00070096"/>
    <w:rsid w:val="000700BB"/>
    <w:rsid w:val="00070136"/>
    <w:rsid w:val="00070181"/>
    <w:rsid w:val="000701DB"/>
    <w:rsid w:val="0007020E"/>
    <w:rsid w:val="000702B4"/>
    <w:rsid w:val="000702D4"/>
    <w:rsid w:val="0007031C"/>
    <w:rsid w:val="00070345"/>
    <w:rsid w:val="00070377"/>
    <w:rsid w:val="00070390"/>
    <w:rsid w:val="000703D1"/>
    <w:rsid w:val="0007040E"/>
    <w:rsid w:val="00070414"/>
    <w:rsid w:val="00070432"/>
    <w:rsid w:val="00070480"/>
    <w:rsid w:val="00070487"/>
    <w:rsid w:val="0007048D"/>
    <w:rsid w:val="0007049E"/>
    <w:rsid w:val="000704C2"/>
    <w:rsid w:val="00070519"/>
    <w:rsid w:val="0007058C"/>
    <w:rsid w:val="0007059C"/>
    <w:rsid w:val="00070613"/>
    <w:rsid w:val="0007061A"/>
    <w:rsid w:val="00070634"/>
    <w:rsid w:val="00070653"/>
    <w:rsid w:val="00070712"/>
    <w:rsid w:val="00070772"/>
    <w:rsid w:val="0007078B"/>
    <w:rsid w:val="000708A0"/>
    <w:rsid w:val="000708B3"/>
    <w:rsid w:val="000708B7"/>
    <w:rsid w:val="00070933"/>
    <w:rsid w:val="0007098C"/>
    <w:rsid w:val="000709B5"/>
    <w:rsid w:val="000709C1"/>
    <w:rsid w:val="000709E4"/>
    <w:rsid w:val="00070A23"/>
    <w:rsid w:val="00070A41"/>
    <w:rsid w:val="00070A81"/>
    <w:rsid w:val="00070AB8"/>
    <w:rsid w:val="00070B1B"/>
    <w:rsid w:val="00070BB5"/>
    <w:rsid w:val="00070D05"/>
    <w:rsid w:val="00070D2E"/>
    <w:rsid w:val="00070D55"/>
    <w:rsid w:val="00070DCD"/>
    <w:rsid w:val="00070DD0"/>
    <w:rsid w:val="00070DD4"/>
    <w:rsid w:val="00070E0F"/>
    <w:rsid w:val="00070E15"/>
    <w:rsid w:val="00070E38"/>
    <w:rsid w:val="00070ECE"/>
    <w:rsid w:val="00070F03"/>
    <w:rsid w:val="00070F5B"/>
    <w:rsid w:val="00070F6C"/>
    <w:rsid w:val="00070FA0"/>
    <w:rsid w:val="0007102F"/>
    <w:rsid w:val="00071042"/>
    <w:rsid w:val="00071065"/>
    <w:rsid w:val="0007106C"/>
    <w:rsid w:val="000710B9"/>
    <w:rsid w:val="000710D6"/>
    <w:rsid w:val="000710E8"/>
    <w:rsid w:val="0007110E"/>
    <w:rsid w:val="00071159"/>
    <w:rsid w:val="00071177"/>
    <w:rsid w:val="00071187"/>
    <w:rsid w:val="0007118C"/>
    <w:rsid w:val="000711B6"/>
    <w:rsid w:val="000711C4"/>
    <w:rsid w:val="0007123B"/>
    <w:rsid w:val="000712A6"/>
    <w:rsid w:val="000712E0"/>
    <w:rsid w:val="000712F7"/>
    <w:rsid w:val="000713C8"/>
    <w:rsid w:val="000713CC"/>
    <w:rsid w:val="000713FE"/>
    <w:rsid w:val="00071434"/>
    <w:rsid w:val="00071450"/>
    <w:rsid w:val="00071462"/>
    <w:rsid w:val="000714A4"/>
    <w:rsid w:val="00071512"/>
    <w:rsid w:val="00071569"/>
    <w:rsid w:val="000715C7"/>
    <w:rsid w:val="000715F2"/>
    <w:rsid w:val="0007162D"/>
    <w:rsid w:val="0007163C"/>
    <w:rsid w:val="0007163D"/>
    <w:rsid w:val="00071642"/>
    <w:rsid w:val="00071669"/>
    <w:rsid w:val="00071722"/>
    <w:rsid w:val="00071728"/>
    <w:rsid w:val="0007178D"/>
    <w:rsid w:val="000717B8"/>
    <w:rsid w:val="000717BB"/>
    <w:rsid w:val="000717DB"/>
    <w:rsid w:val="000717ED"/>
    <w:rsid w:val="0007188F"/>
    <w:rsid w:val="000718EE"/>
    <w:rsid w:val="000718F5"/>
    <w:rsid w:val="0007191F"/>
    <w:rsid w:val="00071925"/>
    <w:rsid w:val="000719D6"/>
    <w:rsid w:val="00071A4F"/>
    <w:rsid w:val="00071A6B"/>
    <w:rsid w:val="00071A9A"/>
    <w:rsid w:val="00071AA9"/>
    <w:rsid w:val="00071B4B"/>
    <w:rsid w:val="00071B53"/>
    <w:rsid w:val="00071B94"/>
    <w:rsid w:val="00071D27"/>
    <w:rsid w:val="00071D65"/>
    <w:rsid w:val="00071D95"/>
    <w:rsid w:val="00071DA7"/>
    <w:rsid w:val="00071DDF"/>
    <w:rsid w:val="00071E15"/>
    <w:rsid w:val="00071E2A"/>
    <w:rsid w:val="00071E4C"/>
    <w:rsid w:val="00071E94"/>
    <w:rsid w:val="00071EC8"/>
    <w:rsid w:val="00071EF9"/>
    <w:rsid w:val="00071F40"/>
    <w:rsid w:val="00071F75"/>
    <w:rsid w:val="00071FBE"/>
    <w:rsid w:val="00071FBF"/>
    <w:rsid w:val="00071FE2"/>
    <w:rsid w:val="00072069"/>
    <w:rsid w:val="000720A0"/>
    <w:rsid w:val="000720F1"/>
    <w:rsid w:val="000720FA"/>
    <w:rsid w:val="00072166"/>
    <w:rsid w:val="0007219D"/>
    <w:rsid w:val="000721AA"/>
    <w:rsid w:val="000721D8"/>
    <w:rsid w:val="00072205"/>
    <w:rsid w:val="0007220F"/>
    <w:rsid w:val="00072288"/>
    <w:rsid w:val="000722C7"/>
    <w:rsid w:val="000722F5"/>
    <w:rsid w:val="00072335"/>
    <w:rsid w:val="00072392"/>
    <w:rsid w:val="000723E0"/>
    <w:rsid w:val="0007240C"/>
    <w:rsid w:val="0007245C"/>
    <w:rsid w:val="00072478"/>
    <w:rsid w:val="0007247C"/>
    <w:rsid w:val="0007247E"/>
    <w:rsid w:val="0007249F"/>
    <w:rsid w:val="000724A7"/>
    <w:rsid w:val="00072514"/>
    <w:rsid w:val="00072515"/>
    <w:rsid w:val="00072526"/>
    <w:rsid w:val="00072542"/>
    <w:rsid w:val="0007254B"/>
    <w:rsid w:val="00072582"/>
    <w:rsid w:val="000725AE"/>
    <w:rsid w:val="000725DF"/>
    <w:rsid w:val="00072630"/>
    <w:rsid w:val="000726BC"/>
    <w:rsid w:val="0007271E"/>
    <w:rsid w:val="0007273B"/>
    <w:rsid w:val="000727EB"/>
    <w:rsid w:val="00072888"/>
    <w:rsid w:val="000728F1"/>
    <w:rsid w:val="00072902"/>
    <w:rsid w:val="0007290E"/>
    <w:rsid w:val="00072943"/>
    <w:rsid w:val="00072961"/>
    <w:rsid w:val="0007297D"/>
    <w:rsid w:val="000729B2"/>
    <w:rsid w:val="000729F6"/>
    <w:rsid w:val="00072A6D"/>
    <w:rsid w:val="00072A9A"/>
    <w:rsid w:val="00072AA7"/>
    <w:rsid w:val="00072B27"/>
    <w:rsid w:val="00072B47"/>
    <w:rsid w:val="00072B5C"/>
    <w:rsid w:val="00072B9C"/>
    <w:rsid w:val="00072BA7"/>
    <w:rsid w:val="00072BB3"/>
    <w:rsid w:val="00072C2C"/>
    <w:rsid w:val="00072C58"/>
    <w:rsid w:val="00072C95"/>
    <w:rsid w:val="00072CB9"/>
    <w:rsid w:val="00072CE3"/>
    <w:rsid w:val="00072CF3"/>
    <w:rsid w:val="00072D19"/>
    <w:rsid w:val="00072D1A"/>
    <w:rsid w:val="00072D5C"/>
    <w:rsid w:val="00072D5D"/>
    <w:rsid w:val="00072D86"/>
    <w:rsid w:val="00072DE3"/>
    <w:rsid w:val="00072E05"/>
    <w:rsid w:val="00072E53"/>
    <w:rsid w:val="00072E9A"/>
    <w:rsid w:val="00072EA6"/>
    <w:rsid w:val="00072EA9"/>
    <w:rsid w:val="00072EC0"/>
    <w:rsid w:val="00072EDA"/>
    <w:rsid w:val="00072EEB"/>
    <w:rsid w:val="00072EFE"/>
    <w:rsid w:val="00072F28"/>
    <w:rsid w:val="00072F50"/>
    <w:rsid w:val="00072F99"/>
    <w:rsid w:val="00072FCF"/>
    <w:rsid w:val="0007303A"/>
    <w:rsid w:val="00073043"/>
    <w:rsid w:val="00073056"/>
    <w:rsid w:val="00073081"/>
    <w:rsid w:val="000730BC"/>
    <w:rsid w:val="000730CE"/>
    <w:rsid w:val="000730E2"/>
    <w:rsid w:val="00073121"/>
    <w:rsid w:val="0007314A"/>
    <w:rsid w:val="0007319C"/>
    <w:rsid w:val="000731EF"/>
    <w:rsid w:val="00073225"/>
    <w:rsid w:val="0007324D"/>
    <w:rsid w:val="0007325D"/>
    <w:rsid w:val="00073277"/>
    <w:rsid w:val="000732BA"/>
    <w:rsid w:val="000732DD"/>
    <w:rsid w:val="000732EE"/>
    <w:rsid w:val="000732F7"/>
    <w:rsid w:val="0007330E"/>
    <w:rsid w:val="00073313"/>
    <w:rsid w:val="0007333B"/>
    <w:rsid w:val="0007337E"/>
    <w:rsid w:val="00073388"/>
    <w:rsid w:val="000733A1"/>
    <w:rsid w:val="000733AE"/>
    <w:rsid w:val="000733ED"/>
    <w:rsid w:val="000734C1"/>
    <w:rsid w:val="000734E6"/>
    <w:rsid w:val="00073519"/>
    <w:rsid w:val="000735DB"/>
    <w:rsid w:val="000735F4"/>
    <w:rsid w:val="00073608"/>
    <w:rsid w:val="0007363B"/>
    <w:rsid w:val="0007364C"/>
    <w:rsid w:val="00073676"/>
    <w:rsid w:val="000736B5"/>
    <w:rsid w:val="0007372E"/>
    <w:rsid w:val="00073757"/>
    <w:rsid w:val="00073787"/>
    <w:rsid w:val="000737D5"/>
    <w:rsid w:val="00073817"/>
    <w:rsid w:val="00073856"/>
    <w:rsid w:val="000738A7"/>
    <w:rsid w:val="000738B3"/>
    <w:rsid w:val="0007391E"/>
    <w:rsid w:val="00073929"/>
    <w:rsid w:val="00073941"/>
    <w:rsid w:val="000739B6"/>
    <w:rsid w:val="000739BA"/>
    <w:rsid w:val="000739BC"/>
    <w:rsid w:val="000739E8"/>
    <w:rsid w:val="00073A08"/>
    <w:rsid w:val="00073A2F"/>
    <w:rsid w:val="00073ADC"/>
    <w:rsid w:val="00073AE2"/>
    <w:rsid w:val="00073B0F"/>
    <w:rsid w:val="00073B83"/>
    <w:rsid w:val="00073BB0"/>
    <w:rsid w:val="00073BC0"/>
    <w:rsid w:val="00073C07"/>
    <w:rsid w:val="00073C43"/>
    <w:rsid w:val="00073C9B"/>
    <w:rsid w:val="00073D1C"/>
    <w:rsid w:val="00073D1D"/>
    <w:rsid w:val="00073D87"/>
    <w:rsid w:val="00073D98"/>
    <w:rsid w:val="00073DB6"/>
    <w:rsid w:val="00073DC2"/>
    <w:rsid w:val="00073DEB"/>
    <w:rsid w:val="00073E26"/>
    <w:rsid w:val="00073E40"/>
    <w:rsid w:val="00073E67"/>
    <w:rsid w:val="00073EB6"/>
    <w:rsid w:val="00073EF9"/>
    <w:rsid w:val="00073EFB"/>
    <w:rsid w:val="00073F1B"/>
    <w:rsid w:val="00073F4B"/>
    <w:rsid w:val="00073FC0"/>
    <w:rsid w:val="00074019"/>
    <w:rsid w:val="0007405C"/>
    <w:rsid w:val="0007407A"/>
    <w:rsid w:val="000740A7"/>
    <w:rsid w:val="00074108"/>
    <w:rsid w:val="00074119"/>
    <w:rsid w:val="0007412E"/>
    <w:rsid w:val="00074153"/>
    <w:rsid w:val="00074173"/>
    <w:rsid w:val="0007418C"/>
    <w:rsid w:val="000741A2"/>
    <w:rsid w:val="000741AA"/>
    <w:rsid w:val="00074200"/>
    <w:rsid w:val="00074282"/>
    <w:rsid w:val="000742D2"/>
    <w:rsid w:val="000742F6"/>
    <w:rsid w:val="0007432F"/>
    <w:rsid w:val="00074365"/>
    <w:rsid w:val="000743BC"/>
    <w:rsid w:val="000743CD"/>
    <w:rsid w:val="00074484"/>
    <w:rsid w:val="000744A5"/>
    <w:rsid w:val="000744BF"/>
    <w:rsid w:val="00074534"/>
    <w:rsid w:val="000745A1"/>
    <w:rsid w:val="0007462C"/>
    <w:rsid w:val="00074667"/>
    <w:rsid w:val="00074668"/>
    <w:rsid w:val="000746D0"/>
    <w:rsid w:val="0007470B"/>
    <w:rsid w:val="00074735"/>
    <w:rsid w:val="00074771"/>
    <w:rsid w:val="000747A7"/>
    <w:rsid w:val="000747C8"/>
    <w:rsid w:val="000747D6"/>
    <w:rsid w:val="000747E5"/>
    <w:rsid w:val="00074839"/>
    <w:rsid w:val="00074855"/>
    <w:rsid w:val="0007485D"/>
    <w:rsid w:val="00074876"/>
    <w:rsid w:val="0007488D"/>
    <w:rsid w:val="000748B3"/>
    <w:rsid w:val="000748D1"/>
    <w:rsid w:val="000748F4"/>
    <w:rsid w:val="00074932"/>
    <w:rsid w:val="0007494F"/>
    <w:rsid w:val="00074A1C"/>
    <w:rsid w:val="00074A6D"/>
    <w:rsid w:val="00074A83"/>
    <w:rsid w:val="00074AC1"/>
    <w:rsid w:val="00074B03"/>
    <w:rsid w:val="00074B7E"/>
    <w:rsid w:val="00074BDA"/>
    <w:rsid w:val="00074C11"/>
    <w:rsid w:val="00074C20"/>
    <w:rsid w:val="00074C87"/>
    <w:rsid w:val="00074CD7"/>
    <w:rsid w:val="00074CDA"/>
    <w:rsid w:val="00074D16"/>
    <w:rsid w:val="00074D84"/>
    <w:rsid w:val="00074E4A"/>
    <w:rsid w:val="00074ED4"/>
    <w:rsid w:val="00074F13"/>
    <w:rsid w:val="00074F48"/>
    <w:rsid w:val="00074F68"/>
    <w:rsid w:val="00074FE2"/>
    <w:rsid w:val="0007507E"/>
    <w:rsid w:val="0007516F"/>
    <w:rsid w:val="000751A3"/>
    <w:rsid w:val="000751C4"/>
    <w:rsid w:val="000751F6"/>
    <w:rsid w:val="000752EF"/>
    <w:rsid w:val="0007530F"/>
    <w:rsid w:val="00075427"/>
    <w:rsid w:val="0007542D"/>
    <w:rsid w:val="00075433"/>
    <w:rsid w:val="0007543B"/>
    <w:rsid w:val="00075449"/>
    <w:rsid w:val="00075456"/>
    <w:rsid w:val="00075475"/>
    <w:rsid w:val="000754BC"/>
    <w:rsid w:val="000754D6"/>
    <w:rsid w:val="000754E6"/>
    <w:rsid w:val="00075519"/>
    <w:rsid w:val="00075546"/>
    <w:rsid w:val="00075555"/>
    <w:rsid w:val="00075566"/>
    <w:rsid w:val="000755FF"/>
    <w:rsid w:val="00075616"/>
    <w:rsid w:val="0007561F"/>
    <w:rsid w:val="00075669"/>
    <w:rsid w:val="00075679"/>
    <w:rsid w:val="00075696"/>
    <w:rsid w:val="000756F1"/>
    <w:rsid w:val="000756F8"/>
    <w:rsid w:val="00075720"/>
    <w:rsid w:val="0007572D"/>
    <w:rsid w:val="0007572F"/>
    <w:rsid w:val="00075737"/>
    <w:rsid w:val="0007575E"/>
    <w:rsid w:val="0007579B"/>
    <w:rsid w:val="000757A6"/>
    <w:rsid w:val="000757F2"/>
    <w:rsid w:val="0007581E"/>
    <w:rsid w:val="00075836"/>
    <w:rsid w:val="00075890"/>
    <w:rsid w:val="000758CC"/>
    <w:rsid w:val="00075975"/>
    <w:rsid w:val="000759F2"/>
    <w:rsid w:val="00075A5F"/>
    <w:rsid w:val="00075A68"/>
    <w:rsid w:val="00075A7D"/>
    <w:rsid w:val="00075AB0"/>
    <w:rsid w:val="00075AFD"/>
    <w:rsid w:val="00075B3B"/>
    <w:rsid w:val="00075B76"/>
    <w:rsid w:val="00075B79"/>
    <w:rsid w:val="00075B85"/>
    <w:rsid w:val="00075B95"/>
    <w:rsid w:val="00075B9D"/>
    <w:rsid w:val="00075BA3"/>
    <w:rsid w:val="00075BBF"/>
    <w:rsid w:val="00075BC6"/>
    <w:rsid w:val="00075BD0"/>
    <w:rsid w:val="00075BF0"/>
    <w:rsid w:val="00075BFD"/>
    <w:rsid w:val="00075C21"/>
    <w:rsid w:val="00075C39"/>
    <w:rsid w:val="00075C56"/>
    <w:rsid w:val="00075C7B"/>
    <w:rsid w:val="00075C92"/>
    <w:rsid w:val="00075D1B"/>
    <w:rsid w:val="00075DB5"/>
    <w:rsid w:val="00075DC7"/>
    <w:rsid w:val="00075DE4"/>
    <w:rsid w:val="00075DED"/>
    <w:rsid w:val="00075E07"/>
    <w:rsid w:val="00075E12"/>
    <w:rsid w:val="00075E38"/>
    <w:rsid w:val="00075EBA"/>
    <w:rsid w:val="00075FA1"/>
    <w:rsid w:val="00075FBE"/>
    <w:rsid w:val="00075FE4"/>
    <w:rsid w:val="0007600D"/>
    <w:rsid w:val="0007603C"/>
    <w:rsid w:val="0007604C"/>
    <w:rsid w:val="000760F0"/>
    <w:rsid w:val="000760FF"/>
    <w:rsid w:val="0007613E"/>
    <w:rsid w:val="00076173"/>
    <w:rsid w:val="00076187"/>
    <w:rsid w:val="0007621B"/>
    <w:rsid w:val="00076294"/>
    <w:rsid w:val="0007629A"/>
    <w:rsid w:val="000762A2"/>
    <w:rsid w:val="000762DD"/>
    <w:rsid w:val="0007633F"/>
    <w:rsid w:val="00076344"/>
    <w:rsid w:val="0007634F"/>
    <w:rsid w:val="000763BA"/>
    <w:rsid w:val="000763DD"/>
    <w:rsid w:val="000763E3"/>
    <w:rsid w:val="00076478"/>
    <w:rsid w:val="00076495"/>
    <w:rsid w:val="000764F7"/>
    <w:rsid w:val="00076521"/>
    <w:rsid w:val="00076579"/>
    <w:rsid w:val="000765B3"/>
    <w:rsid w:val="000765D8"/>
    <w:rsid w:val="0007663F"/>
    <w:rsid w:val="0007664B"/>
    <w:rsid w:val="000766A7"/>
    <w:rsid w:val="000766DD"/>
    <w:rsid w:val="00076719"/>
    <w:rsid w:val="000767E4"/>
    <w:rsid w:val="000767EC"/>
    <w:rsid w:val="0007683C"/>
    <w:rsid w:val="0007687B"/>
    <w:rsid w:val="0007689E"/>
    <w:rsid w:val="000768C2"/>
    <w:rsid w:val="00076925"/>
    <w:rsid w:val="0007692F"/>
    <w:rsid w:val="0007693F"/>
    <w:rsid w:val="0007695F"/>
    <w:rsid w:val="00076981"/>
    <w:rsid w:val="000769AB"/>
    <w:rsid w:val="000769C7"/>
    <w:rsid w:val="00076A0D"/>
    <w:rsid w:val="00076A3D"/>
    <w:rsid w:val="00076A3F"/>
    <w:rsid w:val="00076A4C"/>
    <w:rsid w:val="00076A53"/>
    <w:rsid w:val="00076A71"/>
    <w:rsid w:val="00076A72"/>
    <w:rsid w:val="00076A87"/>
    <w:rsid w:val="00076AAA"/>
    <w:rsid w:val="00076AAE"/>
    <w:rsid w:val="00076AC2"/>
    <w:rsid w:val="00076AD7"/>
    <w:rsid w:val="00076ADC"/>
    <w:rsid w:val="00076B1F"/>
    <w:rsid w:val="00076B33"/>
    <w:rsid w:val="00076B4C"/>
    <w:rsid w:val="00076B93"/>
    <w:rsid w:val="00076B97"/>
    <w:rsid w:val="00076BD8"/>
    <w:rsid w:val="00076BE2"/>
    <w:rsid w:val="00076C21"/>
    <w:rsid w:val="00076C27"/>
    <w:rsid w:val="00076C33"/>
    <w:rsid w:val="00076C40"/>
    <w:rsid w:val="00076C95"/>
    <w:rsid w:val="00076CFB"/>
    <w:rsid w:val="00076D50"/>
    <w:rsid w:val="00076DA4"/>
    <w:rsid w:val="00076E16"/>
    <w:rsid w:val="00076E19"/>
    <w:rsid w:val="00076E77"/>
    <w:rsid w:val="00076ECA"/>
    <w:rsid w:val="00076F10"/>
    <w:rsid w:val="00076F6B"/>
    <w:rsid w:val="00076F82"/>
    <w:rsid w:val="00076F9C"/>
    <w:rsid w:val="00077008"/>
    <w:rsid w:val="00077078"/>
    <w:rsid w:val="00077098"/>
    <w:rsid w:val="000770EC"/>
    <w:rsid w:val="000770F9"/>
    <w:rsid w:val="00077108"/>
    <w:rsid w:val="0007713B"/>
    <w:rsid w:val="00077172"/>
    <w:rsid w:val="00077183"/>
    <w:rsid w:val="00077184"/>
    <w:rsid w:val="000772E3"/>
    <w:rsid w:val="000772F7"/>
    <w:rsid w:val="0007733F"/>
    <w:rsid w:val="000773E2"/>
    <w:rsid w:val="0007743F"/>
    <w:rsid w:val="000774B5"/>
    <w:rsid w:val="000774EC"/>
    <w:rsid w:val="0007754F"/>
    <w:rsid w:val="000775B5"/>
    <w:rsid w:val="00077607"/>
    <w:rsid w:val="0007761C"/>
    <w:rsid w:val="00077624"/>
    <w:rsid w:val="00077676"/>
    <w:rsid w:val="0007767F"/>
    <w:rsid w:val="0007768E"/>
    <w:rsid w:val="000776B8"/>
    <w:rsid w:val="000776F1"/>
    <w:rsid w:val="00077709"/>
    <w:rsid w:val="00077717"/>
    <w:rsid w:val="00077718"/>
    <w:rsid w:val="00077763"/>
    <w:rsid w:val="000777FC"/>
    <w:rsid w:val="00077888"/>
    <w:rsid w:val="0007789F"/>
    <w:rsid w:val="000778B5"/>
    <w:rsid w:val="000778FE"/>
    <w:rsid w:val="0007791A"/>
    <w:rsid w:val="000779B0"/>
    <w:rsid w:val="000779B2"/>
    <w:rsid w:val="000779C7"/>
    <w:rsid w:val="000779D9"/>
    <w:rsid w:val="000779FB"/>
    <w:rsid w:val="00077A04"/>
    <w:rsid w:val="00077A29"/>
    <w:rsid w:val="00077A4F"/>
    <w:rsid w:val="00077A73"/>
    <w:rsid w:val="00077A76"/>
    <w:rsid w:val="00077AEC"/>
    <w:rsid w:val="00077AFF"/>
    <w:rsid w:val="00077B06"/>
    <w:rsid w:val="00077B57"/>
    <w:rsid w:val="00077B99"/>
    <w:rsid w:val="00077B9E"/>
    <w:rsid w:val="00077BB1"/>
    <w:rsid w:val="00077BE0"/>
    <w:rsid w:val="00077BF5"/>
    <w:rsid w:val="00077C18"/>
    <w:rsid w:val="00077C96"/>
    <w:rsid w:val="00077CDB"/>
    <w:rsid w:val="00077D3F"/>
    <w:rsid w:val="00077D89"/>
    <w:rsid w:val="00077DC4"/>
    <w:rsid w:val="00077DED"/>
    <w:rsid w:val="00077E6A"/>
    <w:rsid w:val="00077E8B"/>
    <w:rsid w:val="00077E8E"/>
    <w:rsid w:val="00077E94"/>
    <w:rsid w:val="00077E99"/>
    <w:rsid w:val="00077EEF"/>
    <w:rsid w:val="00077F08"/>
    <w:rsid w:val="00077F31"/>
    <w:rsid w:val="0007971D"/>
    <w:rsid w:val="0008000E"/>
    <w:rsid w:val="0008008D"/>
    <w:rsid w:val="000800E9"/>
    <w:rsid w:val="00080199"/>
    <w:rsid w:val="0008019A"/>
    <w:rsid w:val="000801C2"/>
    <w:rsid w:val="000801D8"/>
    <w:rsid w:val="000801E2"/>
    <w:rsid w:val="00080201"/>
    <w:rsid w:val="0008021F"/>
    <w:rsid w:val="0008024B"/>
    <w:rsid w:val="00080275"/>
    <w:rsid w:val="000802CF"/>
    <w:rsid w:val="00080317"/>
    <w:rsid w:val="00080330"/>
    <w:rsid w:val="000803BA"/>
    <w:rsid w:val="000803CD"/>
    <w:rsid w:val="000803F8"/>
    <w:rsid w:val="00080438"/>
    <w:rsid w:val="0008044D"/>
    <w:rsid w:val="0008046B"/>
    <w:rsid w:val="0008047F"/>
    <w:rsid w:val="00080486"/>
    <w:rsid w:val="0008048D"/>
    <w:rsid w:val="0008052A"/>
    <w:rsid w:val="0008056A"/>
    <w:rsid w:val="00080573"/>
    <w:rsid w:val="0008059E"/>
    <w:rsid w:val="000805F2"/>
    <w:rsid w:val="00080675"/>
    <w:rsid w:val="00080681"/>
    <w:rsid w:val="00080699"/>
    <w:rsid w:val="000806D9"/>
    <w:rsid w:val="00080730"/>
    <w:rsid w:val="00080750"/>
    <w:rsid w:val="00080761"/>
    <w:rsid w:val="00080785"/>
    <w:rsid w:val="00080816"/>
    <w:rsid w:val="000809C2"/>
    <w:rsid w:val="000809E4"/>
    <w:rsid w:val="00080A33"/>
    <w:rsid w:val="00080A50"/>
    <w:rsid w:val="00080AA5"/>
    <w:rsid w:val="00080AE2"/>
    <w:rsid w:val="00080B34"/>
    <w:rsid w:val="00080B36"/>
    <w:rsid w:val="00080B95"/>
    <w:rsid w:val="00080B96"/>
    <w:rsid w:val="00080BD3"/>
    <w:rsid w:val="00080BE4"/>
    <w:rsid w:val="00080BEB"/>
    <w:rsid w:val="00080C0C"/>
    <w:rsid w:val="00080C60"/>
    <w:rsid w:val="00080C6C"/>
    <w:rsid w:val="00080C74"/>
    <w:rsid w:val="00080C99"/>
    <w:rsid w:val="00080CA6"/>
    <w:rsid w:val="00080CDC"/>
    <w:rsid w:val="00080CF6"/>
    <w:rsid w:val="00080D51"/>
    <w:rsid w:val="00080D72"/>
    <w:rsid w:val="00080D7F"/>
    <w:rsid w:val="00080DD4"/>
    <w:rsid w:val="00080DD7"/>
    <w:rsid w:val="00080E25"/>
    <w:rsid w:val="00080E4D"/>
    <w:rsid w:val="00080E60"/>
    <w:rsid w:val="00080E83"/>
    <w:rsid w:val="00080E84"/>
    <w:rsid w:val="00080EA6"/>
    <w:rsid w:val="00080EE5"/>
    <w:rsid w:val="00080FBF"/>
    <w:rsid w:val="00080FD2"/>
    <w:rsid w:val="00080FE7"/>
    <w:rsid w:val="00081078"/>
    <w:rsid w:val="000810C3"/>
    <w:rsid w:val="000810DF"/>
    <w:rsid w:val="000810EB"/>
    <w:rsid w:val="0008113B"/>
    <w:rsid w:val="00081196"/>
    <w:rsid w:val="00081198"/>
    <w:rsid w:val="0008119A"/>
    <w:rsid w:val="00081201"/>
    <w:rsid w:val="00081218"/>
    <w:rsid w:val="000812D5"/>
    <w:rsid w:val="00081338"/>
    <w:rsid w:val="00081349"/>
    <w:rsid w:val="00081370"/>
    <w:rsid w:val="00081390"/>
    <w:rsid w:val="0008139A"/>
    <w:rsid w:val="0008139C"/>
    <w:rsid w:val="000813F6"/>
    <w:rsid w:val="0008140A"/>
    <w:rsid w:val="00081411"/>
    <w:rsid w:val="0008145D"/>
    <w:rsid w:val="00081466"/>
    <w:rsid w:val="0008148E"/>
    <w:rsid w:val="00081491"/>
    <w:rsid w:val="000814D8"/>
    <w:rsid w:val="0008154D"/>
    <w:rsid w:val="00081561"/>
    <w:rsid w:val="00081569"/>
    <w:rsid w:val="0008156C"/>
    <w:rsid w:val="000815EB"/>
    <w:rsid w:val="000815FD"/>
    <w:rsid w:val="00081650"/>
    <w:rsid w:val="00081673"/>
    <w:rsid w:val="00081683"/>
    <w:rsid w:val="000816DF"/>
    <w:rsid w:val="00081772"/>
    <w:rsid w:val="000817F9"/>
    <w:rsid w:val="0008181F"/>
    <w:rsid w:val="00081856"/>
    <w:rsid w:val="00081880"/>
    <w:rsid w:val="000818DF"/>
    <w:rsid w:val="0008195F"/>
    <w:rsid w:val="0008196D"/>
    <w:rsid w:val="0008198F"/>
    <w:rsid w:val="000819E0"/>
    <w:rsid w:val="000819EB"/>
    <w:rsid w:val="00081A22"/>
    <w:rsid w:val="00081A7A"/>
    <w:rsid w:val="00081A89"/>
    <w:rsid w:val="00081A8E"/>
    <w:rsid w:val="00081A95"/>
    <w:rsid w:val="00081AAD"/>
    <w:rsid w:val="00081AC8"/>
    <w:rsid w:val="00081AD0"/>
    <w:rsid w:val="00081AF8"/>
    <w:rsid w:val="00081AFA"/>
    <w:rsid w:val="00081B2C"/>
    <w:rsid w:val="00081B36"/>
    <w:rsid w:val="00081B64"/>
    <w:rsid w:val="00081C6B"/>
    <w:rsid w:val="00081CCE"/>
    <w:rsid w:val="00081D7B"/>
    <w:rsid w:val="00081D9C"/>
    <w:rsid w:val="00081E15"/>
    <w:rsid w:val="00081E3D"/>
    <w:rsid w:val="00081E56"/>
    <w:rsid w:val="00081E8A"/>
    <w:rsid w:val="00081F49"/>
    <w:rsid w:val="00081F4E"/>
    <w:rsid w:val="00081F85"/>
    <w:rsid w:val="00081F98"/>
    <w:rsid w:val="00081FA1"/>
    <w:rsid w:val="00081FD2"/>
    <w:rsid w:val="00081FE6"/>
    <w:rsid w:val="0008200D"/>
    <w:rsid w:val="0008200E"/>
    <w:rsid w:val="0008204A"/>
    <w:rsid w:val="00082086"/>
    <w:rsid w:val="00082118"/>
    <w:rsid w:val="00082165"/>
    <w:rsid w:val="00082182"/>
    <w:rsid w:val="000821D5"/>
    <w:rsid w:val="00082231"/>
    <w:rsid w:val="0008223F"/>
    <w:rsid w:val="00082286"/>
    <w:rsid w:val="000822AF"/>
    <w:rsid w:val="000822FE"/>
    <w:rsid w:val="00082347"/>
    <w:rsid w:val="000823C0"/>
    <w:rsid w:val="000823E8"/>
    <w:rsid w:val="000823F2"/>
    <w:rsid w:val="00082409"/>
    <w:rsid w:val="00082451"/>
    <w:rsid w:val="00082470"/>
    <w:rsid w:val="00082474"/>
    <w:rsid w:val="000824A6"/>
    <w:rsid w:val="000824D7"/>
    <w:rsid w:val="000824F4"/>
    <w:rsid w:val="00082537"/>
    <w:rsid w:val="000825BD"/>
    <w:rsid w:val="000825F6"/>
    <w:rsid w:val="00082654"/>
    <w:rsid w:val="00082660"/>
    <w:rsid w:val="00082675"/>
    <w:rsid w:val="00082676"/>
    <w:rsid w:val="0008270C"/>
    <w:rsid w:val="00082727"/>
    <w:rsid w:val="00082740"/>
    <w:rsid w:val="00082794"/>
    <w:rsid w:val="00082815"/>
    <w:rsid w:val="00082819"/>
    <w:rsid w:val="0008283D"/>
    <w:rsid w:val="00082852"/>
    <w:rsid w:val="0008286D"/>
    <w:rsid w:val="000828AC"/>
    <w:rsid w:val="000828BF"/>
    <w:rsid w:val="000828C7"/>
    <w:rsid w:val="000828E2"/>
    <w:rsid w:val="000828EC"/>
    <w:rsid w:val="00082972"/>
    <w:rsid w:val="00082982"/>
    <w:rsid w:val="00082998"/>
    <w:rsid w:val="000829A2"/>
    <w:rsid w:val="00082A37"/>
    <w:rsid w:val="00082A4C"/>
    <w:rsid w:val="00082AAE"/>
    <w:rsid w:val="00082B86"/>
    <w:rsid w:val="00082BA0"/>
    <w:rsid w:val="00082C5B"/>
    <w:rsid w:val="00082C8C"/>
    <w:rsid w:val="00082CC7"/>
    <w:rsid w:val="00082CD3"/>
    <w:rsid w:val="00082CDD"/>
    <w:rsid w:val="00082CEC"/>
    <w:rsid w:val="00082D40"/>
    <w:rsid w:val="00082D6A"/>
    <w:rsid w:val="00082E32"/>
    <w:rsid w:val="00082F09"/>
    <w:rsid w:val="00082F7A"/>
    <w:rsid w:val="00083096"/>
    <w:rsid w:val="0008309D"/>
    <w:rsid w:val="000830C7"/>
    <w:rsid w:val="00083122"/>
    <w:rsid w:val="00083160"/>
    <w:rsid w:val="000831B3"/>
    <w:rsid w:val="000831C6"/>
    <w:rsid w:val="000831F4"/>
    <w:rsid w:val="0008323D"/>
    <w:rsid w:val="0008328E"/>
    <w:rsid w:val="000832C7"/>
    <w:rsid w:val="000832E3"/>
    <w:rsid w:val="00083361"/>
    <w:rsid w:val="0008336A"/>
    <w:rsid w:val="000833DA"/>
    <w:rsid w:val="00083486"/>
    <w:rsid w:val="000834AB"/>
    <w:rsid w:val="000834C9"/>
    <w:rsid w:val="000834DB"/>
    <w:rsid w:val="000834F6"/>
    <w:rsid w:val="0008358B"/>
    <w:rsid w:val="000835BF"/>
    <w:rsid w:val="000835C0"/>
    <w:rsid w:val="00083612"/>
    <w:rsid w:val="0008362C"/>
    <w:rsid w:val="00083630"/>
    <w:rsid w:val="0008364E"/>
    <w:rsid w:val="000836D0"/>
    <w:rsid w:val="00083703"/>
    <w:rsid w:val="00083787"/>
    <w:rsid w:val="000837A9"/>
    <w:rsid w:val="000837D4"/>
    <w:rsid w:val="000837EB"/>
    <w:rsid w:val="000837F2"/>
    <w:rsid w:val="00083818"/>
    <w:rsid w:val="0008382F"/>
    <w:rsid w:val="00083844"/>
    <w:rsid w:val="0008389C"/>
    <w:rsid w:val="000838AD"/>
    <w:rsid w:val="000838B4"/>
    <w:rsid w:val="000838C3"/>
    <w:rsid w:val="000838EE"/>
    <w:rsid w:val="00083947"/>
    <w:rsid w:val="0008399E"/>
    <w:rsid w:val="00083A33"/>
    <w:rsid w:val="00083A43"/>
    <w:rsid w:val="00083ADC"/>
    <w:rsid w:val="00083BA6"/>
    <w:rsid w:val="00083BDD"/>
    <w:rsid w:val="00083BF7"/>
    <w:rsid w:val="00083C0C"/>
    <w:rsid w:val="00083C2B"/>
    <w:rsid w:val="00083C2E"/>
    <w:rsid w:val="00083C42"/>
    <w:rsid w:val="00083C6B"/>
    <w:rsid w:val="00083C78"/>
    <w:rsid w:val="00083C7D"/>
    <w:rsid w:val="00083CC2"/>
    <w:rsid w:val="00083CCA"/>
    <w:rsid w:val="00083D5E"/>
    <w:rsid w:val="00083D62"/>
    <w:rsid w:val="00083DE6"/>
    <w:rsid w:val="00083E0B"/>
    <w:rsid w:val="00083EE2"/>
    <w:rsid w:val="00083EFA"/>
    <w:rsid w:val="00083F50"/>
    <w:rsid w:val="00083FBD"/>
    <w:rsid w:val="00083FC1"/>
    <w:rsid w:val="00083FDB"/>
    <w:rsid w:val="0008401A"/>
    <w:rsid w:val="0008401E"/>
    <w:rsid w:val="00084037"/>
    <w:rsid w:val="00084039"/>
    <w:rsid w:val="00084081"/>
    <w:rsid w:val="000840B6"/>
    <w:rsid w:val="000840BB"/>
    <w:rsid w:val="000840C9"/>
    <w:rsid w:val="000840CC"/>
    <w:rsid w:val="00084118"/>
    <w:rsid w:val="0008413B"/>
    <w:rsid w:val="000841B1"/>
    <w:rsid w:val="000841BB"/>
    <w:rsid w:val="00084268"/>
    <w:rsid w:val="0008430A"/>
    <w:rsid w:val="0008431E"/>
    <w:rsid w:val="00084338"/>
    <w:rsid w:val="00084359"/>
    <w:rsid w:val="00084402"/>
    <w:rsid w:val="0008440C"/>
    <w:rsid w:val="00084481"/>
    <w:rsid w:val="000844D1"/>
    <w:rsid w:val="000844FC"/>
    <w:rsid w:val="00084554"/>
    <w:rsid w:val="0008455C"/>
    <w:rsid w:val="0008455D"/>
    <w:rsid w:val="00084591"/>
    <w:rsid w:val="0008465E"/>
    <w:rsid w:val="00084695"/>
    <w:rsid w:val="000846B2"/>
    <w:rsid w:val="0008470A"/>
    <w:rsid w:val="0008477E"/>
    <w:rsid w:val="00084792"/>
    <w:rsid w:val="000847F8"/>
    <w:rsid w:val="000847FD"/>
    <w:rsid w:val="00084875"/>
    <w:rsid w:val="0008487A"/>
    <w:rsid w:val="00084897"/>
    <w:rsid w:val="000848A3"/>
    <w:rsid w:val="00084950"/>
    <w:rsid w:val="000849E3"/>
    <w:rsid w:val="00084A0F"/>
    <w:rsid w:val="00084A17"/>
    <w:rsid w:val="00084A83"/>
    <w:rsid w:val="00084AA0"/>
    <w:rsid w:val="00084AD1"/>
    <w:rsid w:val="00084AD7"/>
    <w:rsid w:val="00084AD8"/>
    <w:rsid w:val="00084AD9"/>
    <w:rsid w:val="00084BA7"/>
    <w:rsid w:val="00084BEE"/>
    <w:rsid w:val="00084C1B"/>
    <w:rsid w:val="00084C36"/>
    <w:rsid w:val="00084C37"/>
    <w:rsid w:val="00084C65"/>
    <w:rsid w:val="00084CC9"/>
    <w:rsid w:val="00084D83"/>
    <w:rsid w:val="00084DBE"/>
    <w:rsid w:val="00084DC9"/>
    <w:rsid w:val="00084DCC"/>
    <w:rsid w:val="00084DF2"/>
    <w:rsid w:val="00084E23"/>
    <w:rsid w:val="00084E28"/>
    <w:rsid w:val="00084E2C"/>
    <w:rsid w:val="00084E37"/>
    <w:rsid w:val="00084E52"/>
    <w:rsid w:val="00084E5B"/>
    <w:rsid w:val="00084E97"/>
    <w:rsid w:val="00084EA8"/>
    <w:rsid w:val="00084EE7"/>
    <w:rsid w:val="00084F3C"/>
    <w:rsid w:val="00084F4B"/>
    <w:rsid w:val="00084F81"/>
    <w:rsid w:val="00084F96"/>
    <w:rsid w:val="00084FBC"/>
    <w:rsid w:val="00084FDE"/>
    <w:rsid w:val="00085018"/>
    <w:rsid w:val="0008501C"/>
    <w:rsid w:val="00085045"/>
    <w:rsid w:val="00085055"/>
    <w:rsid w:val="00085075"/>
    <w:rsid w:val="00085092"/>
    <w:rsid w:val="000850EA"/>
    <w:rsid w:val="0008512E"/>
    <w:rsid w:val="0008512F"/>
    <w:rsid w:val="00085138"/>
    <w:rsid w:val="00085144"/>
    <w:rsid w:val="0008517D"/>
    <w:rsid w:val="000851EA"/>
    <w:rsid w:val="00085218"/>
    <w:rsid w:val="00085276"/>
    <w:rsid w:val="0008527D"/>
    <w:rsid w:val="00085285"/>
    <w:rsid w:val="00085289"/>
    <w:rsid w:val="0008528A"/>
    <w:rsid w:val="000852BE"/>
    <w:rsid w:val="000852F6"/>
    <w:rsid w:val="00085313"/>
    <w:rsid w:val="00085324"/>
    <w:rsid w:val="00085327"/>
    <w:rsid w:val="0008535F"/>
    <w:rsid w:val="00085362"/>
    <w:rsid w:val="000853CB"/>
    <w:rsid w:val="00085414"/>
    <w:rsid w:val="00085429"/>
    <w:rsid w:val="00085449"/>
    <w:rsid w:val="00085453"/>
    <w:rsid w:val="000854AF"/>
    <w:rsid w:val="0008552C"/>
    <w:rsid w:val="00085538"/>
    <w:rsid w:val="0008554F"/>
    <w:rsid w:val="0008555E"/>
    <w:rsid w:val="000855CE"/>
    <w:rsid w:val="000855D4"/>
    <w:rsid w:val="00085693"/>
    <w:rsid w:val="00085694"/>
    <w:rsid w:val="0008570A"/>
    <w:rsid w:val="0008570D"/>
    <w:rsid w:val="0008577B"/>
    <w:rsid w:val="00085784"/>
    <w:rsid w:val="00085787"/>
    <w:rsid w:val="0008582B"/>
    <w:rsid w:val="00085837"/>
    <w:rsid w:val="00085847"/>
    <w:rsid w:val="000858EB"/>
    <w:rsid w:val="000858EC"/>
    <w:rsid w:val="00085930"/>
    <w:rsid w:val="000859CB"/>
    <w:rsid w:val="000859CC"/>
    <w:rsid w:val="00085A02"/>
    <w:rsid w:val="00085AA5"/>
    <w:rsid w:val="00085AE0"/>
    <w:rsid w:val="00085B6C"/>
    <w:rsid w:val="00085B87"/>
    <w:rsid w:val="00085B95"/>
    <w:rsid w:val="00085BA7"/>
    <w:rsid w:val="00085BB0"/>
    <w:rsid w:val="00085BC1"/>
    <w:rsid w:val="00085BC9"/>
    <w:rsid w:val="00085C23"/>
    <w:rsid w:val="00085C37"/>
    <w:rsid w:val="00085C41"/>
    <w:rsid w:val="00085CA3"/>
    <w:rsid w:val="00085CAD"/>
    <w:rsid w:val="00085CC2"/>
    <w:rsid w:val="00085CCC"/>
    <w:rsid w:val="00085D1D"/>
    <w:rsid w:val="00085D3E"/>
    <w:rsid w:val="00085D46"/>
    <w:rsid w:val="00085D4F"/>
    <w:rsid w:val="00085D53"/>
    <w:rsid w:val="00085D5C"/>
    <w:rsid w:val="00085DA9"/>
    <w:rsid w:val="00085DCE"/>
    <w:rsid w:val="00085E1B"/>
    <w:rsid w:val="00085E2A"/>
    <w:rsid w:val="00085E7A"/>
    <w:rsid w:val="00085E95"/>
    <w:rsid w:val="00085EB9"/>
    <w:rsid w:val="00085EBC"/>
    <w:rsid w:val="00085EC5"/>
    <w:rsid w:val="00085EEA"/>
    <w:rsid w:val="00085EF0"/>
    <w:rsid w:val="00085F26"/>
    <w:rsid w:val="00085F63"/>
    <w:rsid w:val="00085FBE"/>
    <w:rsid w:val="00085FE5"/>
    <w:rsid w:val="00086010"/>
    <w:rsid w:val="0008605D"/>
    <w:rsid w:val="00086088"/>
    <w:rsid w:val="000860B9"/>
    <w:rsid w:val="000860D6"/>
    <w:rsid w:val="000860D9"/>
    <w:rsid w:val="000860F5"/>
    <w:rsid w:val="00086125"/>
    <w:rsid w:val="0008612C"/>
    <w:rsid w:val="0008615C"/>
    <w:rsid w:val="00086165"/>
    <w:rsid w:val="000861FD"/>
    <w:rsid w:val="00086201"/>
    <w:rsid w:val="00086212"/>
    <w:rsid w:val="0008628C"/>
    <w:rsid w:val="000862FF"/>
    <w:rsid w:val="00086360"/>
    <w:rsid w:val="000863AB"/>
    <w:rsid w:val="000863AF"/>
    <w:rsid w:val="000863CD"/>
    <w:rsid w:val="000863FC"/>
    <w:rsid w:val="000864C3"/>
    <w:rsid w:val="000864E9"/>
    <w:rsid w:val="00086583"/>
    <w:rsid w:val="000865B4"/>
    <w:rsid w:val="000865BF"/>
    <w:rsid w:val="000865CF"/>
    <w:rsid w:val="0008663E"/>
    <w:rsid w:val="00086648"/>
    <w:rsid w:val="0008665C"/>
    <w:rsid w:val="0008665E"/>
    <w:rsid w:val="000866E0"/>
    <w:rsid w:val="0008670A"/>
    <w:rsid w:val="0008671D"/>
    <w:rsid w:val="000867A8"/>
    <w:rsid w:val="000867F1"/>
    <w:rsid w:val="00086855"/>
    <w:rsid w:val="000868C4"/>
    <w:rsid w:val="00086913"/>
    <w:rsid w:val="0008696F"/>
    <w:rsid w:val="00086998"/>
    <w:rsid w:val="000869A8"/>
    <w:rsid w:val="000869D9"/>
    <w:rsid w:val="00086A35"/>
    <w:rsid w:val="00086A46"/>
    <w:rsid w:val="00086B67"/>
    <w:rsid w:val="00086B74"/>
    <w:rsid w:val="00086B83"/>
    <w:rsid w:val="00086BAA"/>
    <w:rsid w:val="00086BC1"/>
    <w:rsid w:val="00086BC6"/>
    <w:rsid w:val="00086BEB"/>
    <w:rsid w:val="00086BF6"/>
    <w:rsid w:val="00086C22"/>
    <w:rsid w:val="00086C35"/>
    <w:rsid w:val="00086CA9"/>
    <w:rsid w:val="00086CD9"/>
    <w:rsid w:val="00086D40"/>
    <w:rsid w:val="00086D51"/>
    <w:rsid w:val="00086D94"/>
    <w:rsid w:val="00086DAA"/>
    <w:rsid w:val="00086E68"/>
    <w:rsid w:val="00086EA0"/>
    <w:rsid w:val="00086EC2"/>
    <w:rsid w:val="00086F38"/>
    <w:rsid w:val="00086F8B"/>
    <w:rsid w:val="00086FA4"/>
    <w:rsid w:val="00086FB1"/>
    <w:rsid w:val="00086FEA"/>
    <w:rsid w:val="00086FFF"/>
    <w:rsid w:val="00087097"/>
    <w:rsid w:val="000870BD"/>
    <w:rsid w:val="00087117"/>
    <w:rsid w:val="00087137"/>
    <w:rsid w:val="000871CA"/>
    <w:rsid w:val="000871CD"/>
    <w:rsid w:val="0008721C"/>
    <w:rsid w:val="0008727D"/>
    <w:rsid w:val="000872A6"/>
    <w:rsid w:val="000872BC"/>
    <w:rsid w:val="00087305"/>
    <w:rsid w:val="00087321"/>
    <w:rsid w:val="000873AA"/>
    <w:rsid w:val="00087411"/>
    <w:rsid w:val="00087436"/>
    <w:rsid w:val="0008745D"/>
    <w:rsid w:val="00087480"/>
    <w:rsid w:val="00087485"/>
    <w:rsid w:val="000874C8"/>
    <w:rsid w:val="000874DD"/>
    <w:rsid w:val="0008756C"/>
    <w:rsid w:val="0008756F"/>
    <w:rsid w:val="0008757B"/>
    <w:rsid w:val="0008759F"/>
    <w:rsid w:val="000875BD"/>
    <w:rsid w:val="000875C9"/>
    <w:rsid w:val="000875DC"/>
    <w:rsid w:val="00087621"/>
    <w:rsid w:val="00087686"/>
    <w:rsid w:val="000876BF"/>
    <w:rsid w:val="00087740"/>
    <w:rsid w:val="0008775F"/>
    <w:rsid w:val="0008778F"/>
    <w:rsid w:val="000877F0"/>
    <w:rsid w:val="0008780F"/>
    <w:rsid w:val="0008782B"/>
    <w:rsid w:val="000878A9"/>
    <w:rsid w:val="000878E7"/>
    <w:rsid w:val="00087912"/>
    <w:rsid w:val="00087942"/>
    <w:rsid w:val="000879BB"/>
    <w:rsid w:val="000879ED"/>
    <w:rsid w:val="00087A32"/>
    <w:rsid w:val="00087A34"/>
    <w:rsid w:val="00087A45"/>
    <w:rsid w:val="00087A4A"/>
    <w:rsid w:val="00087A9A"/>
    <w:rsid w:val="00087ACA"/>
    <w:rsid w:val="00087B5E"/>
    <w:rsid w:val="00087B71"/>
    <w:rsid w:val="00087B90"/>
    <w:rsid w:val="00087C00"/>
    <w:rsid w:val="00087C4A"/>
    <w:rsid w:val="00087C53"/>
    <w:rsid w:val="00087C54"/>
    <w:rsid w:val="00087CA3"/>
    <w:rsid w:val="00087CB6"/>
    <w:rsid w:val="00087CC0"/>
    <w:rsid w:val="00087CDE"/>
    <w:rsid w:val="00087D1F"/>
    <w:rsid w:val="00087DB6"/>
    <w:rsid w:val="00087DE8"/>
    <w:rsid w:val="00087E4B"/>
    <w:rsid w:val="00087E61"/>
    <w:rsid w:val="00087E74"/>
    <w:rsid w:val="00087E9B"/>
    <w:rsid w:val="00087EA8"/>
    <w:rsid w:val="00087EBF"/>
    <w:rsid w:val="00087ED5"/>
    <w:rsid w:val="00087EE3"/>
    <w:rsid w:val="00087F62"/>
    <w:rsid w:val="00087F9C"/>
    <w:rsid w:val="00087FD9"/>
    <w:rsid w:val="00087FF2"/>
    <w:rsid w:val="0009005F"/>
    <w:rsid w:val="00090096"/>
    <w:rsid w:val="000900C6"/>
    <w:rsid w:val="00090109"/>
    <w:rsid w:val="00090132"/>
    <w:rsid w:val="00090147"/>
    <w:rsid w:val="0009017C"/>
    <w:rsid w:val="000901B6"/>
    <w:rsid w:val="00090204"/>
    <w:rsid w:val="0009022E"/>
    <w:rsid w:val="0009025B"/>
    <w:rsid w:val="0009029D"/>
    <w:rsid w:val="000902B1"/>
    <w:rsid w:val="000902F3"/>
    <w:rsid w:val="00090364"/>
    <w:rsid w:val="00090381"/>
    <w:rsid w:val="000903EF"/>
    <w:rsid w:val="00090406"/>
    <w:rsid w:val="0009041D"/>
    <w:rsid w:val="00090476"/>
    <w:rsid w:val="000904E7"/>
    <w:rsid w:val="0009054A"/>
    <w:rsid w:val="00090579"/>
    <w:rsid w:val="0009057B"/>
    <w:rsid w:val="00090588"/>
    <w:rsid w:val="000905D6"/>
    <w:rsid w:val="000905E7"/>
    <w:rsid w:val="000905F5"/>
    <w:rsid w:val="0009060F"/>
    <w:rsid w:val="00090647"/>
    <w:rsid w:val="00090697"/>
    <w:rsid w:val="000906DA"/>
    <w:rsid w:val="00090713"/>
    <w:rsid w:val="0009073E"/>
    <w:rsid w:val="0009080C"/>
    <w:rsid w:val="0009081C"/>
    <w:rsid w:val="0009081D"/>
    <w:rsid w:val="00090853"/>
    <w:rsid w:val="00090860"/>
    <w:rsid w:val="0009087F"/>
    <w:rsid w:val="000909B7"/>
    <w:rsid w:val="000909CC"/>
    <w:rsid w:val="000909CF"/>
    <w:rsid w:val="00090A1A"/>
    <w:rsid w:val="00090A3B"/>
    <w:rsid w:val="00090A59"/>
    <w:rsid w:val="00090A6E"/>
    <w:rsid w:val="00090A71"/>
    <w:rsid w:val="00090A7C"/>
    <w:rsid w:val="00090A84"/>
    <w:rsid w:val="00090A90"/>
    <w:rsid w:val="00090AA5"/>
    <w:rsid w:val="00090AE7"/>
    <w:rsid w:val="00090B30"/>
    <w:rsid w:val="00090B45"/>
    <w:rsid w:val="00090B5C"/>
    <w:rsid w:val="00090B74"/>
    <w:rsid w:val="00090B89"/>
    <w:rsid w:val="00090CA8"/>
    <w:rsid w:val="00090CED"/>
    <w:rsid w:val="00090CF4"/>
    <w:rsid w:val="00090CFB"/>
    <w:rsid w:val="00090D40"/>
    <w:rsid w:val="00090D4C"/>
    <w:rsid w:val="00090DF4"/>
    <w:rsid w:val="00090E02"/>
    <w:rsid w:val="00090E2D"/>
    <w:rsid w:val="00090EF5"/>
    <w:rsid w:val="00090EFE"/>
    <w:rsid w:val="00090FC2"/>
    <w:rsid w:val="00090FF4"/>
    <w:rsid w:val="00091034"/>
    <w:rsid w:val="0009103A"/>
    <w:rsid w:val="0009104D"/>
    <w:rsid w:val="00091057"/>
    <w:rsid w:val="000910B8"/>
    <w:rsid w:val="000910F3"/>
    <w:rsid w:val="00091119"/>
    <w:rsid w:val="0009113C"/>
    <w:rsid w:val="000911B9"/>
    <w:rsid w:val="000911C6"/>
    <w:rsid w:val="000911F1"/>
    <w:rsid w:val="00091221"/>
    <w:rsid w:val="00091315"/>
    <w:rsid w:val="00091319"/>
    <w:rsid w:val="0009134A"/>
    <w:rsid w:val="00091392"/>
    <w:rsid w:val="000913D4"/>
    <w:rsid w:val="00091417"/>
    <w:rsid w:val="000914BF"/>
    <w:rsid w:val="000914E9"/>
    <w:rsid w:val="00091504"/>
    <w:rsid w:val="0009153A"/>
    <w:rsid w:val="00091683"/>
    <w:rsid w:val="0009170A"/>
    <w:rsid w:val="00091719"/>
    <w:rsid w:val="0009172A"/>
    <w:rsid w:val="00091764"/>
    <w:rsid w:val="00091768"/>
    <w:rsid w:val="00091781"/>
    <w:rsid w:val="000917A2"/>
    <w:rsid w:val="000917F4"/>
    <w:rsid w:val="000917FB"/>
    <w:rsid w:val="0009182C"/>
    <w:rsid w:val="0009184F"/>
    <w:rsid w:val="000918D3"/>
    <w:rsid w:val="000918EC"/>
    <w:rsid w:val="000918F7"/>
    <w:rsid w:val="0009193A"/>
    <w:rsid w:val="00091963"/>
    <w:rsid w:val="00091975"/>
    <w:rsid w:val="000919A4"/>
    <w:rsid w:val="000919F5"/>
    <w:rsid w:val="00091A24"/>
    <w:rsid w:val="00091A2C"/>
    <w:rsid w:val="00091A46"/>
    <w:rsid w:val="00091A4A"/>
    <w:rsid w:val="00091A4C"/>
    <w:rsid w:val="00091A51"/>
    <w:rsid w:val="00091A5B"/>
    <w:rsid w:val="00091A5E"/>
    <w:rsid w:val="00091A85"/>
    <w:rsid w:val="00091AAA"/>
    <w:rsid w:val="00091AF0"/>
    <w:rsid w:val="00091B44"/>
    <w:rsid w:val="00091B77"/>
    <w:rsid w:val="00091B7D"/>
    <w:rsid w:val="00091BE6"/>
    <w:rsid w:val="00091BFB"/>
    <w:rsid w:val="00091D2C"/>
    <w:rsid w:val="00091DEA"/>
    <w:rsid w:val="00091DF8"/>
    <w:rsid w:val="00091E27"/>
    <w:rsid w:val="00091E55"/>
    <w:rsid w:val="00091EA6"/>
    <w:rsid w:val="00091EBA"/>
    <w:rsid w:val="00091EC3"/>
    <w:rsid w:val="00091EDB"/>
    <w:rsid w:val="00091EF9"/>
    <w:rsid w:val="00091F02"/>
    <w:rsid w:val="00091F2A"/>
    <w:rsid w:val="00091F4D"/>
    <w:rsid w:val="00091F51"/>
    <w:rsid w:val="00091F60"/>
    <w:rsid w:val="00091F95"/>
    <w:rsid w:val="00091FD7"/>
    <w:rsid w:val="0009200B"/>
    <w:rsid w:val="0009204A"/>
    <w:rsid w:val="000920BD"/>
    <w:rsid w:val="00092133"/>
    <w:rsid w:val="0009214C"/>
    <w:rsid w:val="00092164"/>
    <w:rsid w:val="00092174"/>
    <w:rsid w:val="00092205"/>
    <w:rsid w:val="00092211"/>
    <w:rsid w:val="0009224F"/>
    <w:rsid w:val="00092252"/>
    <w:rsid w:val="00092270"/>
    <w:rsid w:val="000922A9"/>
    <w:rsid w:val="000922B8"/>
    <w:rsid w:val="000922FB"/>
    <w:rsid w:val="00092352"/>
    <w:rsid w:val="000923CC"/>
    <w:rsid w:val="000923CF"/>
    <w:rsid w:val="000923D9"/>
    <w:rsid w:val="00092432"/>
    <w:rsid w:val="00092482"/>
    <w:rsid w:val="0009248A"/>
    <w:rsid w:val="000924C4"/>
    <w:rsid w:val="0009250E"/>
    <w:rsid w:val="0009251C"/>
    <w:rsid w:val="00092555"/>
    <w:rsid w:val="00092635"/>
    <w:rsid w:val="00092643"/>
    <w:rsid w:val="000926A9"/>
    <w:rsid w:val="000926EB"/>
    <w:rsid w:val="00092761"/>
    <w:rsid w:val="000927B0"/>
    <w:rsid w:val="000927BE"/>
    <w:rsid w:val="000927C0"/>
    <w:rsid w:val="00092824"/>
    <w:rsid w:val="00092840"/>
    <w:rsid w:val="0009289F"/>
    <w:rsid w:val="00092916"/>
    <w:rsid w:val="000929D7"/>
    <w:rsid w:val="000929E6"/>
    <w:rsid w:val="00092A4E"/>
    <w:rsid w:val="00092ACD"/>
    <w:rsid w:val="00092B1C"/>
    <w:rsid w:val="00092B69"/>
    <w:rsid w:val="00092BD8"/>
    <w:rsid w:val="00092BD9"/>
    <w:rsid w:val="00092C3C"/>
    <w:rsid w:val="00092C4F"/>
    <w:rsid w:val="00092C53"/>
    <w:rsid w:val="00092C61"/>
    <w:rsid w:val="00092C85"/>
    <w:rsid w:val="00092CCA"/>
    <w:rsid w:val="00092CD6"/>
    <w:rsid w:val="00092D02"/>
    <w:rsid w:val="00092D45"/>
    <w:rsid w:val="00092D5C"/>
    <w:rsid w:val="00092D89"/>
    <w:rsid w:val="00092D97"/>
    <w:rsid w:val="00092D9E"/>
    <w:rsid w:val="00092DDB"/>
    <w:rsid w:val="00092EC1"/>
    <w:rsid w:val="00092EF6"/>
    <w:rsid w:val="00092EFA"/>
    <w:rsid w:val="00092F72"/>
    <w:rsid w:val="00092F8E"/>
    <w:rsid w:val="00093041"/>
    <w:rsid w:val="00093059"/>
    <w:rsid w:val="0009308D"/>
    <w:rsid w:val="000930A4"/>
    <w:rsid w:val="00093109"/>
    <w:rsid w:val="00093124"/>
    <w:rsid w:val="0009315D"/>
    <w:rsid w:val="00093184"/>
    <w:rsid w:val="00093191"/>
    <w:rsid w:val="000931A2"/>
    <w:rsid w:val="000931CD"/>
    <w:rsid w:val="000931D3"/>
    <w:rsid w:val="000931D6"/>
    <w:rsid w:val="0009322B"/>
    <w:rsid w:val="00093244"/>
    <w:rsid w:val="00093257"/>
    <w:rsid w:val="0009325B"/>
    <w:rsid w:val="00093265"/>
    <w:rsid w:val="000932FC"/>
    <w:rsid w:val="00093331"/>
    <w:rsid w:val="0009333F"/>
    <w:rsid w:val="000933AF"/>
    <w:rsid w:val="000933BC"/>
    <w:rsid w:val="000933D6"/>
    <w:rsid w:val="000933FA"/>
    <w:rsid w:val="0009340F"/>
    <w:rsid w:val="0009348E"/>
    <w:rsid w:val="000934CE"/>
    <w:rsid w:val="00093524"/>
    <w:rsid w:val="0009352B"/>
    <w:rsid w:val="00093593"/>
    <w:rsid w:val="000935DB"/>
    <w:rsid w:val="00093628"/>
    <w:rsid w:val="00093685"/>
    <w:rsid w:val="0009375A"/>
    <w:rsid w:val="0009375E"/>
    <w:rsid w:val="0009376C"/>
    <w:rsid w:val="00093829"/>
    <w:rsid w:val="00093890"/>
    <w:rsid w:val="000938D5"/>
    <w:rsid w:val="000938E5"/>
    <w:rsid w:val="00093965"/>
    <w:rsid w:val="00093993"/>
    <w:rsid w:val="000939BA"/>
    <w:rsid w:val="00093A53"/>
    <w:rsid w:val="00093AC0"/>
    <w:rsid w:val="00093B3F"/>
    <w:rsid w:val="00093BE3"/>
    <w:rsid w:val="00093C01"/>
    <w:rsid w:val="00093C1D"/>
    <w:rsid w:val="00093C57"/>
    <w:rsid w:val="00093C85"/>
    <w:rsid w:val="00093C98"/>
    <w:rsid w:val="00093CD6"/>
    <w:rsid w:val="00093CE0"/>
    <w:rsid w:val="00093D95"/>
    <w:rsid w:val="00093DC4"/>
    <w:rsid w:val="00093DE0"/>
    <w:rsid w:val="00093DF9"/>
    <w:rsid w:val="00093E4D"/>
    <w:rsid w:val="00093EBA"/>
    <w:rsid w:val="00093EEA"/>
    <w:rsid w:val="00093EEC"/>
    <w:rsid w:val="00093F45"/>
    <w:rsid w:val="00093FA4"/>
    <w:rsid w:val="00093FB7"/>
    <w:rsid w:val="00093FC5"/>
    <w:rsid w:val="00093FE1"/>
    <w:rsid w:val="0009401B"/>
    <w:rsid w:val="0009401E"/>
    <w:rsid w:val="00094067"/>
    <w:rsid w:val="00094069"/>
    <w:rsid w:val="00094136"/>
    <w:rsid w:val="00094138"/>
    <w:rsid w:val="00094175"/>
    <w:rsid w:val="00094190"/>
    <w:rsid w:val="0009419B"/>
    <w:rsid w:val="000941DC"/>
    <w:rsid w:val="000941DE"/>
    <w:rsid w:val="000941F1"/>
    <w:rsid w:val="0009420F"/>
    <w:rsid w:val="000942E1"/>
    <w:rsid w:val="000942EB"/>
    <w:rsid w:val="000942F6"/>
    <w:rsid w:val="0009432D"/>
    <w:rsid w:val="00094367"/>
    <w:rsid w:val="0009436F"/>
    <w:rsid w:val="000943BB"/>
    <w:rsid w:val="000943BE"/>
    <w:rsid w:val="000943F5"/>
    <w:rsid w:val="0009442B"/>
    <w:rsid w:val="00094446"/>
    <w:rsid w:val="00094482"/>
    <w:rsid w:val="000944E9"/>
    <w:rsid w:val="000944F2"/>
    <w:rsid w:val="00094517"/>
    <w:rsid w:val="00094532"/>
    <w:rsid w:val="00094550"/>
    <w:rsid w:val="00094577"/>
    <w:rsid w:val="00094628"/>
    <w:rsid w:val="00094643"/>
    <w:rsid w:val="0009464A"/>
    <w:rsid w:val="00094691"/>
    <w:rsid w:val="000946A6"/>
    <w:rsid w:val="000946B5"/>
    <w:rsid w:val="000946FB"/>
    <w:rsid w:val="00094711"/>
    <w:rsid w:val="0009473A"/>
    <w:rsid w:val="000947A4"/>
    <w:rsid w:val="000947FA"/>
    <w:rsid w:val="00094855"/>
    <w:rsid w:val="0009489C"/>
    <w:rsid w:val="000948D3"/>
    <w:rsid w:val="000948E6"/>
    <w:rsid w:val="0009496A"/>
    <w:rsid w:val="0009496B"/>
    <w:rsid w:val="00094A53"/>
    <w:rsid w:val="00094A5B"/>
    <w:rsid w:val="00094A71"/>
    <w:rsid w:val="00094AF5"/>
    <w:rsid w:val="00094B55"/>
    <w:rsid w:val="00094B8C"/>
    <w:rsid w:val="00094C0E"/>
    <w:rsid w:val="00094C8F"/>
    <w:rsid w:val="00094D13"/>
    <w:rsid w:val="00094D35"/>
    <w:rsid w:val="00094DA0"/>
    <w:rsid w:val="00094DDB"/>
    <w:rsid w:val="00094DE8"/>
    <w:rsid w:val="00094E2E"/>
    <w:rsid w:val="00094EA9"/>
    <w:rsid w:val="00094F04"/>
    <w:rsid w:val="00094F22"/>
    <w:rsid w:val="00094F61"/>
    <w:rsid w:val="00094FBE"/>
    <w:rsid w:val="00095098"/>
    <w:rsid w:val="000951A3"/>
    <w:rsid w:val="000951AF"/>
    <w:rsid w:val="00095264"/>
    <w:rsid w:val="00095268"/>
    <w:rsid w:val="00095286"/>
    <w:rsid w:val="000952EC"/>
    <w:rsid w:val="000952FD"/>
    <w:rsid w:val="0009531E"/>
    <w:rsid w:val="0009532E"/>
    <w:rsid w:val="0009538A"/>
    <w:rsid w:val="000953B0"/>
    <w:rsid w:val="000953D2"/>
    <w:rsid w:val="000953E1"/>
    <w:rsid w:val="0009546F"/>
    <w:rsid w:val="00095474"/>
    <w:rsid w:val="000954DE"/>
    <w:rsid w:val="000954E0"/>
    <w:rsid w:val="000954FF"/>
    <w:rsid w:val="00095568"/>
    <w:rsid w:val="000955E5"/>
    <w:rsid w:val="00095601"/>
    <w:rsid w:val="00095640"/>
    <w:rsid w:val="00095659"/>
    <w:rsid w:val="000956AA"/>
    <w:rsid w:val="000956C2"/>
    <w:rsid w:val="000956F5"/>
    <w:rsid w:val="00095716"/>
    <w:rsid w:val="00095744"/>
    <w:rsid w:val="000957C7"/>
    <w:rsid w:val="00095806"/>
    <w:rsid w:val="00095843"/>
    <w:rsid w:val="00095882"/>
    <w:rsid w:val="000958CF"/>
    <w:rsid w:val="000958D6"/>
    <w:rsid w:val="00095953"/>
    <w:rsid w:val="00095963"/>
    <w:rsid w:val="0009598A"/>
    <w:rsid w:val="00095AA1"/>
    <w:rsid w:val="00095AD6"/>
    <w:rsid w:val="00095B04"/>
    <w:rsid w:val="00095B31"/>
    <w:rsid w:val="00095B58"/>
    <w:rsid w:val="00095B5E"/>
    <w:rsid w:val="00095B6B"/>
    <w:rsid w:val="00095B6E"/>
    <w:rsid w:val="00095B7C"/>
    <w:rsid w:val="00095B9B"/>
    <w:rsid w:val="00095BA4"/>
    <w:rsid w:val="00095BE1"/>
    <w:rsid w:val="00095C40"/>
    <w:rsid w:val="00095C7B"/>
    <w:rsid w:val="00095C95"/>
    <w:rsid w:val="00095CFF"/>
    <w:rsid w:val="00095D1C"/>
    <w:rsid w:val="00095D31"/>
    <w:rsid w:val="00095D70"/>
    <w:rsid w:val="00095D8A"/>
    <w:rsid w:val="00095D95"/>
    <w:rsid w:val="00095D9F"/>
    <w:rsid w:val="00095DE8"/>
    <w:rsid w:val="00095E0D"/>
    <w:rsid w:val="00095E2C"/>
    <w:rsid w:val="00095E67"/>
    <w:rsid w:val="00095E93"/>
    <w:rsid w:val="00095EA6"/>
    <w:rsid w:val="00095ED8"/>
    <w:rsid w:val="00095F1D"/>
    <w:rsid w:val="00095F70"/>
    <w:rsid w:val="00096004"/>
    <w:rsid w:val="0009605B"/>
    <w:rsid w:val="000960A6"/>
    <w:rsid w:val="000960F0"/>
    <w:rsid w:val="00096105"/>
    <w:rsid w:val="0009613B"/>
    <w:rsid w:val="0009614C"/>
    <w:rsid w:val="00096162"/>
    <w:rsid w:val="00096190"/>
    <w:rsid w:val="000962F0"/>
    <w:rsid w:val="000962F7"/>
    <w:rsid w:val="00096311"/>
    <w:rsid w:val="00096378"/>
    <w:rsid w:val="00096411"/>
    <w:rsid w:val="00096476"/>
    <w:rsid w:val="00096485"/>
    <w:rsid w:val="000964BB"/>
    <w:rsid w:val="00096517"/>
    <w:rsid w:val="0009653E"/>
    <w:rsid w:val="000965AA"/>
    <w:rsid w:val="000965D7"/>
    <w:rsid w:val="000965ED"/>
    <w:rsid w:val="000965EE"/>
    <w:rsid w:val="00096619"/>
    <w:rsid w:val="0009667C"/>
    <w:rsid w:val="00096707"/>
    <w:rsid w:val="00096721"/>
    <w:rsid w:val="0009673A"/>
    <w:rsid w:val="0009673B"/>
    <w:rsid w:val="00096761"/>
    <w:rsid w:val="00096771"/>
    <w:rsid w:val="00096845"/>
    <w:rsid w:val="00096854"/>
    <w:rsid w:val="00096943"/>
    <w:rsid w:val="0009695E"/>
    <w:rsid w:val="0009696F"/>
    <w:rsid w:val="0009697A"/>
    <w:rsid w:val="000969CF"/>
    <w:rsid w:val="000969F4"/>
    <w:rsid w:val="00096A23"/>
    <w:rsid w:val="00096A45"/>
    <w:rsid w:val="00096A58"/>
    <w:rsid w:val="00096A6D"/>
    <w:rsid w:val="00096B31"/>
    <w:rsid w:val="00096B5D"/>
    <w:rsid w:val="00096BEA"/>
    <w:rsid w:val="00096C72"/>
    <w:rsid w:val="00096C77"/>
    <w:rsid w:val="00096C81"/>
    <w:rsid w:val="00096D08"/>
    <w:rsid w:val="00096D2A"/>
    <w:rsid w:val="00096D4E"/>
    <w:rsid w:val="00096D58"/>
    <w:rsid w:val="00096D82"/>
    <w:rsid w:val="00096D8A"/>
    <w:rsid w:val="00096DD1"/>
    <w:rsid w:val="00096DD7"/>
    <w:rsid w:val="00096DE1"/>
    <w:rsid w:val="00096DE6"/>
    <w:rsid w:val="00096DEE"/>
    <w:rsid w:val="00096EE1"/>
    <w:rsid w:val="00096EFD"/>
    <w:rsid w:val="00096F49"/>
    <w:rsid w:val="00096F80"/>
    <w:rsid w:val="00096FA7"/>
    <w:rsid w:val="00096FA9"/>
    <w:rsid w:val="00096FFE"/>
    <w:rsid w:val="00097007"/>
    <w:rsid w:val="00097012"/>
    <w:rsid w:val="00097076"/>
    <w:rsid w:val="000970BA"/>
    <w:rsid w:val="000970BF"/>
    <w:rsid w:val="000970DD"/>
    <w:rsid w:val="00097140"/>
    <w:rsid w:val="000971D5"/>
    <w:rsid w:val="0009722D"/>
    <w:rsid w:val="0009725E"/>
    <w:rsid w:val="0009726E"/>
    <w:rsid w:val="0009728F"/>
    <w:rsid w:val="000972BC"/>
    <w:rsid w:val="000972DC"/>
    <w:rsid w:val="00097313"/>
    <w:rsid w:val="00097339"/>
    <w:rsid w:val="0009735A"/>
    <w:rsid w:val="000973B0"/>
    <w:rsid w:val="0009743D"/>
    <w:rsid w:val="00097444"/>
    <w:rsid w:val="00097542"/>
    <w:rsid w:val="0009756A"/>
    <w:rsid w:val="00097587"/>
    <w:rsid w:val="000975B1"/>
    <w:rsid w:val="000975D6"/>
    <w:rsid w:val="00097618"/>
    <w:rsid w:val="00097632"/>
    <w:rsid w:val="00097653"/>
    <w:rsid w:val="00097658"/>
    <w:rsid w:val="00097671"/>
    <w:rsid w:val="00097690"/>
    <w:rsid w:val="000976A9"/>
    <w:rsid w:val="000976CD"/>
    <w:rsid w:val="000976F6"/>
    <w:rsid w:val="0009778A"/>
    <w:rsid w:val="000977A8"/>
    <w:rsid w:val="000977C6"/>
    <w:rsid w:val="000977E3"/>
    <w:rsid w:val="00097832"/>
    <w:rsid w:val="000978BB"/>
    <w:rsid w:val="0009791F"/>
    <w:rsid w:val="0009792E"/>
    <w:rsid w:val="00097967"/>
    <w:rsid w:val="000979B1"/>
    <w:rsid w:val="00097A74"/>
    <w:rsid w:val="00097AF6"/>
    <w:rsid w:val="00097B21"/>
    <w:rsid w:val="00097B3F"/>
    <w:rsid w:val="00097BB4"/>
    <w:rsid w:val="00097BB6"/>
    <w:rsid w:val="00097C35"/>
    <w:rsid w:val="00097C8C"/>
    <w:rsid w:val="00097C91"/>
    <w:rsid w:val="00097C92"/>
    <w:rsid w:val="00097D06"/>
    <w:rsid w:val="00097D68"/>
    <w:rsid w:val="00097D83"/>
    <w:rsid w:val="00097DAB"/>
    <w:rsid w:val="00097DF2"/>
    <w:rsid w:val="00097E48"/>
    <w:rsid w:val="00097E4C"/>
    <w:rsid w:val="00097E6E"/>
    <w:rsid w:val="00097E97"/>
    <w:rsid w:val="00097EF5"/>
    <w:rsid w:val="00097F11"/>
    <w:rsid w:val="00097F12"/>
    <w:rsid w:val="00097FBC"/>
    <w:rsid w:val="00097FD3"/>
    <w:rsid w:val="00097FFB"/>
    <w:rsid w:val="00098900"/>
    <w:rsid w:val="000A003B"/>
    <w:rsid w:val="000A0044"/>
    <w:rsid w:val="000A0083"/>
    <w:rsid w:val="000A00C2"/>
    <w:rsid w:val="000A00E1"/>
    <w:rsid w:val="000A0153"/>
    <w:rsid w:val="000A015A"/>
    <w:rsid w:val="000A01B2"/>
    <w:rsid w:val="000A01D7"/>
    <w:rsid w:val="000A024A"/>
    <w:rsid w:val="000A02E2"/>
    <w:rsid w:val="000A02F9"/>
    <w:rsid w:val="000A0392"/>
    <w:rsid w:val="000A03BF"/>
    <w:rsid w:val="000A03C1"/>
    <w:rsid w:val="000A03CF"/>
    <w:rsid w:val="000A0426"/>
    <w:rsid w:val="000A046A"/>
    <w:rsid w:val="000A0472"/>
    <w:rsid w:val="000A048E"/>
    <w:rsid w:val="000A04B6"/>
    <w:rsid w:val="000A05E7"/>
    <w:rsid w:val="000A0607"/>
    <w:rsid w:val="000A064D"/>
    <w:rsid w:val="000A0705"/>
    <w:rsid w:val="000A0722"/>
    <w:rsid w:val="000A0750"/>
    <w:rsid w:val="000A0755"/>
    <w:rsid w:val="000A078C"/>
    <w:rsid w:val="000A07C2"/>
    <w:rsid w:val="000A0816"/>
    <w:rsid w:val="000A082E"/>
    <w:rsid w:val="000A086E"/>
    <w:rsid w:val="000A0887"/>
    <w:rsid w:val="000A08E0"/>
    <w:rsid w:val="000A08E9"/>
    <w:rsid w:val="000A08EE"/>
    <w:rsid w:val="000A0923"/>
    <w:rsid w:val="000A093B"/>
    <w:rsid w:val="000A0957"/>
    <w:rsid w:val="000A0983"/>
    <w:rsid w:val="000A09B5"/>
    <w:rsid w:val="000A09BF"/>
    <w:rsid w:val="000A0A6D"/>
    <w:rsid w:val="000A0AC1"/>
    <w:rsid w:val="000A0B0B"/>
    <w:rsid w:val="000A0B2A"/>
    <w:rsid w:val="000A0B8A"/>
    <w:rsid w:val="000A0C38"/>
    <w:rsid w:val="000A0C4C"/>
    <w:rsid w:val="000A0C57"/>
    <w:rsid w:val="000A0CE7"/>
    <w:rsid w:val="000A0D22"/>
    <w:rsid w:val="000A0D3E"/>
    <w:rsid w:val="000A0D8C"/>
    <w:rsid w:val="000A0D9E"/>
    <w:rsid w:val="000A0DC2"/>
    <w:rsid w:val="000A0E36"/>
    <w:rsid w:val="000A0E49"/>
    <w:rsid w:val="000A0E75"/>
    <w:rsid w:val="000A0ED8"/>
    <w:rsid w:val="000A0EF2"/>
    <w:rsid w:val="000A0FA5"/>
    <w:rsid w:val="000A0FD8"/>
    <w:rsid w:val="000A1014"/>
    <w:rsid w:val="000A10DE"/>
    <w:rsid w:val="000A1146"/>
    <w:rsid w:val="000A116D"/>
    <w:rsid w:val="000A1195"/>
    <w:rsid w:val="000A11C0"/>
    <w:rsid w:val="000A122B"/>
    <w:rsid w:val="000A1242"/>
    <w:rsid w:val="000A1268"/>
    <w:rsid w:val="000A1282"/>
    <w:rsid w:val="000A128C"/>
    <w:rsid w:val="000A129D"/>
    <w:rsid w:val="000A12B4"/>
    <w:rsid w:val="000A1334"/>
    <w:rsid w:val="000A139A"/>
    <w:rsid w:val="000A13B7"/>
    <w:rsid w:val="000A13E7"/>
    <w:rsid w:val="000A13F0"/>
    <w:rsid w:val="000A1440"/>
    <w:rsid w:val="000A1464"/>
    <w:rsid w:val="000A1472"/>
    <w:rsid w:val="000A1492"/>
    <w:rsid w:val="000A151C"/>
    <w:rsid w:val="000A1530"/>
    <w:rsid w:val="000A15B5"/>
    <w:rsid w:val="000A1627"/>
    <w:rsid w:val="000A162F"/>
    <w:rsid w:val="000A1688"/>
    <w:rsid w:val="000A16D7"/>
    <w:rsid w:val="000A1705"/>
    <w:rsid w:val="000A1713"/>
    <w:rsid w:val="000A1746"/>
    <w:rsid w:val="000A17E5"/>
    <w:rsid w:val="000A1825"/>
    <w:rsid w:val="000A1826"/>
    <w:rsid w:val="000A1885"/>
    <w:rsid w:val="000A18E9"/>
    <w:rsid w:val="000A1934"/>
    <w:rsid w:val="000A1A08"/>
    <w:rsid w:val="000A1A82"/>
    <w:rsid w:val="000A1AB2"/>
    <w:rsid w:val="000A1AF2"/>
    <w:rsid w:val="000A1B1E"/>
    <w:rsid w:val="000A1B58"/>
    <w:rsid w:val="000A1BC0"/>
    <w:rsid w:val="000A1BFD"/>
    <w:rsid w:val="000A1C32"/>
    <w:rsid w:val="000A1C5B"/>
    <w:rsid w:val="000A1C83"/>
    <w:rsid w:val="000A1C88"/>
    <w:rsid w:val="000A1C93"/>
    <w:rsid w:val="000A1CA9"/>
    <w:rsid w:val="000A1CAA"/>
    <w:rsid w:val="000A1D45"/>
    <w:rsid w:val="000A1DAE"/>
    <w:rsid w:val="000A1DC1"/>
    <w:rsid w:val="000A1DE6"/>
    <w:rsid w:val="000A1E9D"/>
    <w:rsid w:val="000A1EBB"/>
    <w:rsid w:val="000A1EEA"/>
    <w:rsid w:val="000A1F1F"/>
    <w:rsid w:val="000A1F28"/>
    <w:rsid w:val="000A1F30"/>
    <w:rsid w:val="000A1F99"/>
    <w:rsid w:val="000A1FAC"/>
    <w:rsid w:val="000A1FDA"/>
    <w:rsid w:val="000A2029"/>
    <w:rsid w:val="000A204C"/>
    <w:rsid w:val="000A205D"/>
    <w:rsid w:val="000A215E"/>
    <w:rsid w:val="000A216B"/>
    <w:rsid w:val="000A218E"/>
    <w:rsid w:val="000A21F9"/>
    <w:rsid w:val="000A2211"/>
    <w:rsid w:val="000A2249"/>
    <w:rsid w:val="000A225E"/>
    <w:rsid w:val="000A2290"/>
    <w:rsid w:val="000A22AA"/>
    <w:rsid w:val="000A2305"/>
    <w:rsid w:val="000A2306"/>
    <w:rsid w:val="000A2329"/>
    <w:rsid w:val="000A232A"/>
    <w:rsid w:val="000A2349"/>
    <w:rsid w:val="000A23C6"/>
    <w:rsid w:val="000A2430"/>
    <w:rsid w:val="000A24B6"/>
    <w:rsid w:val="000A24DB"/>
    <w:rsid w:val="000A24DD"/>
    <w:rsid w:val="000A250B"/>
    <w:rsid w:val="000A2533"/>
    <w:rsid w:val="000A2534"/>
    <w:rsid w:val="000A256A"/>
    <w:rsid w:val="000A2580"/>
    <w:rsid w:val="000A25E3"/>
    <w:rsid w:val="000A2735"/>
    <w:rsid w:val="000A274A"/>
    <w:rsid w:val="000A2758"/>
    <w:rsid w:val="000A27CD"/>
    <w:rsid w:val="000A27FA"/>
    <w:rsid w:val="000A286B"/>
    <w:rsid w:val="000A2897"/>
    <w:rsid w:val="000A28B2"/>
    <w:rsid w:val="000A299F"/>
    <w:rsid w:val="000A29C8"/>
    <w:rsid w:val="000A29CB"/>
    <w:rsid w:val="000A29E8"/>
    <w:rsid w:val="000A2A43"/>
    <w:rsid w:val="000A2A4F"/>
    <w:rsid w:val="000A2A5D"/>
    <w:rsid w:val="000A2A5E"/>
    <w:rsid w:val="000A2A65"/>
    <w:rsid w:val="000A2B5B"/>
    <w:rsid w:val="000A2B99"/>
    <w:rsid w:val="000A2BD4"/>
    <w:rsid w:val="000A2C4D"/>
    <w:rsid w:val="000A2C57"/>
    <w:rsid w:val="000A2C7A"/>
    <w:rsid w:val="000A2CC3"/>
    <w:rsid w:val="000A2D1C"/>
    <w:rsid w:val="000A2D70"/>
    <w:rsid w:val="000A2D71"/>
    <w:rsid w:val="000A2D87"/>
    <w:rsid w:val="000A2D8F"/>
    <w:rsid w:val="000A2DB7"/>
    <w:rsid w:val="000A2E0F"/>
    <w:rsid w:val="000A2E75"/>
    <w:rsid w:val="000A2EDE"/>
    <w:rsid w:val="000A2FB1"/>
    <w:rsid w:val="000A2FF0"/>
    <w:rsid w:val="000A2FF1"/>
    <w:rsid w:val="000A3032"/>
    <w:rsid w:val="000A3066"/>
    <w:rsid w:val="000A30C7"/>
    <w:rsid w:val="000A3122"/>
    <w:rsid w:val="000A31A7"/>
    <w:rsid w:val="000A31BE"/>
    <w:rsid w:val="000A31EC"/>
    <w:rsid w:val="000A3255"/>
    <w:rsid w:val="000A3259"/>
    <w:rsid w:val="000A326F"/>
    <w:rsid w:val="000A327D"/>
    <w:rsid w:val="000A32A3"/>
    <w:rsid w:val="000A32BB"/>
    <w:rsid w:val="000A32E6"/>
    <w:rsid w:val="000A32F1"/>
    <w:rsid w:val="000A3306"/>
    <w:rsid w:val="000A330A"/>
    <w:rsid w:val="000A3358"/>
    <w:rsid w:val="000A337C"/>
    <w:rsid w:val="000A337D"/>
    <w:rsid w:val="000A3384"/>
    <w:rsid w:val="000A338F"/>
    <w:rsid w:val="000A3395"/>
    <w:rsid w:val="000A33F0"/>
    <w:rsid w:val="000A33FD"/>
    <w:rsid w:val="000A3408"/>
    <w:rsid w:val="000A341C"/>
    <w:rsid w:val="000A343D"/>
    <w:rsid w:val="000A3490"/>
    <w:rsid w:val="000A34F8"/>
    <w:rsid w:val="000A350C"/>
    <w:rsid w:val="000A352D"/>
    <w:rsid w:val="000A3565"/>
    <w:rsid w:val="000A3580"/>
    <w:rsid w:val="000A35BB"/>
    <w:rsid w:val="000A363C"/>
    <w:rsid w:val="000A3654"/>
    <w:rsid w:val="000A369D"/>
    <w:rsid w:val="000A36C1"/>
    <w:rsid w:val="000A371F"/>
    <w:rsid w:val="000A375F"/>
    <w:rsid w:val="000A37B7"/>
    <w:rsid w:val="000A37D6"/>
    <w:rsid w:val="000A37E5"/>
    <w:rsid w:val="000A37EE"/>
    <w:rsid w:val="000A37F0"/>
    <w:rsid w:val="000A37F2"/>
    <w:rsid w:val="000A37F3"/>
    <w:rsid w:val="000A381F"/>
    <w:rsid w:val="000A3835"/>
    <w:rsid w:val="000A390B"/>
    <w:rsid w:val="000A391E"/>
    <w:rsid w:val="000A3955"/>
    <w:rsid w:val="000A3965"/>
    <w:rsid w:val="000A3A10"/>
    <w:rsid w:val="000A3A85"/>
    <w:rsid w:val="000A3AE7"/>
    <w:rsid w:val="000A3B0D"/>
    <w:rsid w:val="000A3B68"/>
    <w:rsid w:val="000A3B80"/>
    <w:rsid w:val="000A3BDD"/>
    <w:rsid w:val="000A3BE7"/>
    <w:rsid w:val="000A3C1E"/>
    <w:rsid w:val="000A3C21"/>
    <w:rsid w:val="000A3C28"/>
    <w:rsid w:val="000A3C32"/>
    <w:rsid w:val="000A3C47"/>
    <w:rsid w:val="000A3C8F"/>
    <w:rsid w:val="000A3C9D"/>
    <w:rsid w:val="000A3CDA"/>
    <w:rsid w:val="000A3CF9"/>
    <w:rsid w:val="000A3D3E"/>
    <w:rsid w:val="000A3D4B"/>
    <w:rsid w:val="000A3DBC"/>
    <w:rsid w:val="000A3E00"/>
    <w:rsid w:val="000A3E64"/>
    <w:rsid w:val="000A3E90"/>
    <w:rsid w:val="000A3E91"/>
    <w:rsid w:val="000A3EC6"/>
    <w:rsid w:val="000A3EE4"/>
    <w:rsid w:val="000A3EF6"/>
    <w:rsid w:val="000A3F08"/>
    <w:rsid w:val="000A3F15"/>
    <w:rsid w:val="000A3F59"/>
    <w:rsid w:val="000A3F5E"/>
    <w:rsid w:val="000A3F62"/>
    <w:rsid w:val="000A3F8C"/>
    <w:rsid w:val="000A3FAB"/>
    <w:rsid w:val="000A3FC7"/>
    <w:rsid w:val="000A402A"/>
    <w:rsid w:val="000A4038"/>
    <w:rsid w:val="000A404B"/>
    <w:rsid w:val="000A405D"/>
    <w:rsid w:val="000A4070"/>
    <w:rsid w:val="000A40D5"/>
    <w:rsid w:val="000A40DD"/>
    <w:rsid w:val="000A4112"/>
    <w:rsid w:val="000A4118"/>
    <w:rsid w:val="000A411A"/>
    <w:rsid w:val="000A4149"/>
    <w:rsid w:val="000A41FB"/>
    <w:rsid w:val="000A420C"/>
    <w:rsid w:val="000A423A"/>
    <w:rsid w:val="000A4261"/>
    <w:rsid w:val="000A4321"/>
    <w:rsid w:val="000A4335"/>
    <w:rsid w:val="000A4336"/>
    <w:rsid w:val="000A437E"/>
    <w:rsid w:val="000A438A"/>
    <w:rsid w:val="000A43C7"/>
    <w:rsid w:val="000A43DF"/>
    <w:rsid w:val="000A4439"/>
    <w:rsid w:val="000A44FA"/>
    <w:rsid w:val="000A451C"/>
    <w:rsid w:val="000A4523"/>
    <w:rsid w:val="000A45B6"/>
    <w:rsid w:val="000A45E4"/>
    <w:rsid w:val="000A45F5"/>
    <w:rsid w:val="000A465F"/>
    <w:rsid w:val="000A4689"/>
    <w:rsid w:val="000A4698"/>
    <w:rsid w:val="000A473E"/>
    <w:rsid w:val="000A478E"/>
    <w:rsid w:val="000A47F7"/>
    <w:rsid w:val="000A4813"/>
    <w:rsid w:val="000A48B7"/>
    <w:rsid w:val="000A492A"/>
    <w:rsid w:val="000A494B"/>
    <w:rsid w:val="000A494C"/>
    <w:rsid w:val="000A4950"/>
    <w:rsid w:val="000A4976"/>
    <w:rsid w:val="000A4985"/>
    <w:rsid w:val="000A49D1"/>
    <w:rsid w:val="000A49F8"/>
    <w:rsid w:val="000A4A59"/>
    <w:rsid w:val="000A4A6F"/>
    <w:rsid w:val="000A4A97"/>
    <w:rsid w:val="000A4AB6"/>
    <w:rsid w:val="000A4AD3"/>
    <w:rsid w:val="000A4AD7"/>
    <w:rsid w:val="000A4B17"/>
    <w:rsid w:val="000A4B35"/>
    <w:rsid w:val="000A4B46"/>
    <w:rsid w:val="000A4B74"/>
    <w:rsid w:val="000A4B8D"/>
    <w:rsid w:val="000A4BE0"/>
    <w:rsid w:val="000A4C07"/>
    <w:rsid w:val="000A4C14"/>
    <w:rsid w:val="000A4C6A"/>
    <w:rsid w:val="000A4CF5"/>
    <w:rsid w:val="000A4D7F"/>
    <w:rsid w:val="000A4E19"/>
    <w:rsid w:val="000A4E1C"/>
    <w:rsid w:val="000A4E47"/>
    <w:rsid w:val="000A4EBD"/>
    <w:rsid w:val="000A4EE7"/>
    <w:rsid w:val="000A4F72"/>
    <w:rsid w:val="000A5039"/>
    <w:rsid w:val="000A503A"/>
    <w:rsid w:val="000A504C"/>
    <w:rsid w:val="000A505D"/>
    <w:rsid w:val="000A50B2"/>
    <w:rsid w:val="000A5110"/>
    <w:rsid w:val="000A515A"/>
    <w:rsid w:val="000A5180"/>
    <w:rsid w:val="000A51A0"/>
    <w:rsid w:val="000A51BA"/>
    <w:rsid w:val="000A51EA"/>
    <w:rsid w:val="000A522F"/>
    <w:rsid w:val="000A5240"/>
    <w:rsid w:val="000A5298"/>
    <w:rsid w:val="000A52AD"/>
    <w:rsid w:val="000A5348"/>
    <w:rsid w:val="000A53EA"/>
    <w:rsid w:val="000A5484"/>
    <w:rsid w:val="000A548B"/>
    <w:rsid w:val="000A5496"/>
    <w:rsid w:val="000A54F8"/>
    <w:rsid w:val="000A5545"/>
    <w:rsid w:val="000A558D"/>
    <w:rsid w:val="000A55A9"/>
    <w:rsid w:val="000A55B5"/>
    <w:rsid w:val="000A55E1"/>
    <w:rsid w:val="000A564E"/>
    <w:rsid w:val="000A5670"/>
    <w:rsid w:val="000A569F"/>
    <w:rsid w:val="000A56CE"/>
    <w:rsid w:val="000A56EC"/>
    <w:rsid w:val="000A5744"/>
    <w:rsid w:val="000A576D"/>
    <w:rsid w:val="000A5773"/>
    <w:rsid w:val="000A57A7"/>
    <w:rsid w:val="000A57B4"/>
    <w:rsid w:val="000A57CD"/>
    <w:rsid w:val="000A57D8"/>
    <w:rsid w:val="000A58B7"/>
    <w:rsid w:val="000A58E6"/>
    <w:rsid w:val="000A58FA"/>
    <w:rsid w:val="000A594D"/>
    <w:rsid w:val="000A5989"/>
    <w:rsid w:val="000A59A1"/>
    <w:rsid w:val="000A59B7"/>
    <w:rsid w:val="000A59C6"/>
    <w:rsid w:val="000A59DC"/>
    <w:rsid w:val="000A5A1A"/>
    <w:rsid w:val="000A5A25"/>
    <w:rsid w:val="000A5A85"/>
    <w:rsid w:val="000A5AFF"/>
    <w:rsid w:val="000A5B8E"/>
    <w:rsid w:val="000A5BB3"/>
    <w:rsid w:val="000A5BD6"/>
    <w:rsid w:val="000A5BFA"/>
    <w:rsid w:val="000A5C2D"/>
    <w:rsid w:val="000A5C41"/>
    <w:rsid w:val="000A5C60"/>
    <w:rsid w:val="000A5C79"/>
    <w:rsid w:val="000A5C91"/>
    <w:rsid w:val="000A5CA8"/>
    <w:rsid w:val="000A5CC6"/>
    <w:rsid w:val="000A5DAC"/>
    <w:rsid w:val="000A5DE2"/>
    <w:rsid w:val="000A5E05"/>
    <w:rsid w:val="000A5E0F"/>
    <w:rsid w:val="000A5E63"/>
    <w:rsid w:val="000A5E81"/>
    <w:rsid w:val="000A5E8D"/>
    <w:rsid w:val="000A5EE2"/>
    <w:rsid w:val="000A5EEC"/>
    <w:rsid w:val="000A5F27"/>
    <w:rsid w:val="000A5F46"/>
    <w:rsid w:val="000A5F64"/>
    <w:rsid w:val="000A5F71"/>
    <w:rsid w:val="000A5FAA"/>
    <w:rsid w:val="000A6022"/>
    <w:rsid w:val="000A6027"/>
    <w:rsid w:val="000A604B"/>
    <w:rsid w:val="000A606D"/>
    <w:rsid w:val="000A6076"/>
    <w:rsid w:val="000A608E"/>
    <w:rsid w:val="000A60B8"/>
    <w:rsid w:val="000A60EA"/>
    <w:rsid w:val="000A610A"/>
    <w:rsid w:val="000A610D"/>
    <w:rsid w:val="000A6121"/>
    <w:rsid w:val="000A617B"/>
    <w:rsid w:val="000A6189"/>
    <w:rsid w:val="000A61FE"/>
    <w:rsid w:val="000A626F"/>
    <w:rsid w:val="000A62E6"/>
    <w:rsid w:val="000A635C"/>
    <w:rsid w:val="000A636B"/>
    <w:rsid w:val="000A6376"/>
    <w:rsid w:val="000A6379"/>
    <w:rsid w:val="000A6444"/>
    <w:rsid w:val="000A6479"/>
    <w:rsid w:val="000A64C6"/>
    <w:rsid w:val="000A64F6"/>
    <w:rsid w:val="000A6500"/>
    <w:rsid w:val="000A653B"/>
    <w:rsid w:val="000A6548"/>
    <w:rsid w:val="000A6569"/>
    <w:rsid w:val="000A6587"/>
    <w:rsid w:val="000A65A4"/>
    <w:rsid w:val="000A661D"/>
    <w:rsid w:val="000A6628"/>
    <w:rsid w:val="000A6630"/>
    <w:rsid w:val="000A665B"/>
    <w:rsid w:val="000A66A5"/>
    <w:rsid w:val="000A66EA"/>
    <w:rsid w:val="000A66EE"/>
    <w:rsid w:val="000A670A"/>
    <w:rsid w:val="000A6787"/>
    <w:rsid w:val="000A67A6"/>
    <w:rsid w:val="000A67B4"/>
    <w:rsid w:val="000A682E"/>
    <w:rsid w:val="000A6875"/>
    <w:rsid w:val="000A68C7"/>
    <w:rsid w:val="000A692A"/>
    <w:rsid w:val="000A6A44"/>
    <w:rsid w:val="000A6A4D"/>
    <w:rsid w:val="000A6A65"/>
    <w:rsid w:val="000A6A71"/>
    <w:rsid w:val="000A6A95"/>
    <w:rsid w:val="000A6ADE"/>
    <w:rsid w:val="000A6B96"/>
    <w:rsid w:val="000A6BCF"/>
    <w:rsid w:val="000A6BD1"/>
    <w:rsid w:val="000A6BE4"/>
    <w:rsid w:val="000A6BFF"/>
    <w:rsid w:val="000A6C04"/>
    <w:rsid w:val="000A6C08"/>
    <w:rsid w:val="000A6C28"/>
    <w:rsid w:val="000A6C71"/>
    <w:rsid w:val="000A6D11"/>
    <w:rsid w:val="000A6D27"/>
    <w:rsid w:val="000A6DC8"/>
    <w:rsid w:val="000A6E31"/>
    <w:rsid w:val="000A6E42"/>
    <w:rsid w:val="000A6EEB"/>
    <w:rsid w:val="000A6F9A"/>
    <w:rsid w:val="000A7056"/>
    <w:rsid w:val="000A705C"/>
    <w:rsid w:val="000A705F"/>
    <w:rsid w:val="000A7064"/>
    <w:rsid w:val="000A706A"/>
    <w:rsid w:val="000A708C"/>
    <w:rsid w:val="000A70AA"/>
    <w:rsid w:val="000A70D0"/>
    <w:rsid w:val="000A70D1"/>
    <w:rsid w:val="000A70EB"/>
    <w:rsid w:val="000A712D"/>
    <w:rsid w:val="000A7186"/>
    <w:rsid w:val="000A71BC"/>
    <w:rsid w:val="000A7210"/>
    <w:rsid w:val="000A7215"/>
    <w:rsid w:val="000A7276"/>
    <w:rsid w:val="000A72B5"/>
    <w:rsid w:val="000A72CE"/>
    <w:rsid w:val="000A72D1"/>
    <w:rsid w:val="000A72ED"/>
    <w:rsid w:val="000A72FF"/>
    <w:rsid w:val="000A740B"/>
    <w:rsid w:val="000A7459"/>
    <w:rsid w:val="000A7465"/>
    <w:rsid w:val="000A7484"/>
    <w:rsid w:val="000A74A6"/>
    <w:rsid w:val="000A74FE"/>
    <w:rsid w:val="000A7563"/>
    <w:rsid w:val="000A7569"/>
    <w:rsid w:val="000A75A6"/>
    <w:rsid w:val="000A75B1"/>
    <w:rsid w:val="000A75CA"/>
    <w:rsid w:val="000A75E8"/>
    <w:rsid w:val="000A7604"/>
    <w:rsid w:val="000A7617"/>
    <w:rsid w:val="000A763D"/>
    <w:rsid w:val="000A7653"/>
    <w:rsid w:val="000A7689"/>
    <w:rsid w:val="000A7699"/>
    <w:rsid w:val="000A76B3"/>
    <w:rsid w:val="000A76C1"/>
    <w:rsid w:val="000A76F0"/>
    <w:rsid w:val="000A7706"/>
    <w:rsid w:val="000A773F"/>
    <w:rsid w:val="000A7746"/>
    <w:rsid w:val="000A777D"/>
    <w:rsid w:val="000A77C2"/>
    <w:rsid w:val="000A77C5"/>
    <w:rsid w:val="000A77E7"/>
    <w:rsid w:val="000A77EE"/>
    <w:rsid w:val="000A7843"/>
    <w:rsid w:val="000A789F"/>
    <w:rsid w:val="000A78E5"/>
    <w:rsid w:val="000A7984"/>
    <w:rsid w:val="000A7996"/>
    <w:rsid w:val="000A79AA"/>
    <w:rsid w:val="000A79E1"/>
    <w:rsid w:val="000A79E2"/>
    <w:rsid w:val="000A7A0A"/>
    <w:rsid w:val="000A7A63"/>
    <w:rsid w:val="000A7A6C"/>
    <w:rsid w:val="000A7AC4"/>
    <w:rsid w:val="000A7B05"/>
    <w:rsid w:val="000A7B35"/>
    <w:rsid w:val="000A7B4D"/>
    <w:rsid w:val="000A7C26"/>
    <w:rsid w:val="000A7C7E"/>
    <w:rsid w:val="000A7C84"/>
    <w:rsid w:val="000A7C85"/>
    <w:rsid w:val="000A7C91"/>
    <w:rsid w:val="000A7CCA"/>
    <w:rsid w:val="000A7CE9"/>
    <w:rsid w:val="000A7CF2"/>
    <w:rsid w:val="000A7CFD"/>
    <w:rsid w:val="000A7D7E"/>
    <w:rsid w:val="000A7DA4"/>
    <w:rsid w:val="000A7DE2"/>
    <w:rsid w:val="000A7E59"/>
    <w:rsid w:val="000A7E5F"/>
    <w:rsid w:val="000A7E8C"/>
    <w:rsid w:val="000A7EBE"/>
    <w:rsid w:val="000A7EEB"/>
    <w:rsid w:val="000A7EFA"/>
    <w:rsid w:val="000A7EFC"/>
    <w:rsid w:val="000A7F50"/>
    <w:rsid w:val="000A7FFB"/>
    <w:rsid w:val="000AB707"/>
    <w:rsid w:val="000ACAD9"/>
    <w:rsid w:val="000B001A"/>
    <w:rsid w:val="000B0031"/>
    <w:rsid w:val="000B004D"/>
    <w:rsid w:val="000B0062"/>
    <w:rsid w:val="000B00A9"/>
    <w:rsid w:val="000B00BF"/>
    <w:rsid w:val="000B00D9"/>
    <w:rsid w:val="000B00DD"/>
    <w:rsid w:val="000B00EA"/>
    <w:rsid w:val="000B014B"/>
    <w:rsid w:val="000B015C"/>
    <w:rsid w:val="000B01AD"/>
    <w:rsid w:val="000B01E1"/>
    <w:rsid w:val="000B023D"/>
    <w:rsid w:val="000B0241"/>
    <w:rsid w:val="000B026B"/>
    <w:rsid w:val="000B0275"/>
    <w:rsid w:val="000B02D8"/>
    <w:rsid w:val="000B02EE"/>
    <w:rsid w:val="000B0306"/>
    <w:rsid w:val="000B0324"/>
    <w:rsid w:val="000B0389"/>
    <w:rsid w:val="000B0396"/>
    <w:rsid w:val="000B03AF"/>
    <w:rsid w:val="000B03CC"/>
    <w:rsid w:val="000B0487"/>
    <w:rsid w:val="000B04D8"/>
    <w:rsid w:val="000B0510"/>
    <w:rsid w:val="000B0542"/>
    <w:rsid w:val="000B0561"/>
    <w:rsid w:val="000B05AA"/>
    <w:rsid w:val="000B0656"/>
    <w:rsid w:val="000B066C"/>
    <w:rsid w:val="000B06D8"/>
    <w:rsid w:val="000B077B"/>
    <w:rsid w:val="000B0798"/>
    <w:rsid w:val="000B07A1"/>
    <w:rsid w:val="000B07BF"/>
    <w:rsid w:val="000B0804"/>
    <w:rsid w:val="000B081D"/>
    <w:rsid w:val="000B086D"/>
    <w:rsid w:val="000B08F1"/>
    <w:rsid w:val="000B0900"/>
    <w:rsid w:val="000B096D"/>
    <w:rsid w:val="000B0981"/>
    <w:rsid w:val="000B098A"/>
    <w:rsid w:val="000B098F"/>
    <w:rsid w:val="000B09A1"/>
    <w:rsid w:val="000B0A08"/>
    <w:rsid w:val="000B0A17"/>
    <w:rsid w:val="000B0B54"/>
    <w:rsid w:val="000B0C72"/>
    <w:rsid w:val="000B0CA6"/>
    <w:rsid w:val="000B0CB8"/>
    <w:rsid w:val="000B0CB9"/>
    <w:rsid w:val="000B0D01"/>
    <w:rsid w:val="000B0D19"/>
    <w:rsid w:val="000B0D8D"/>
    <w:rsid w:val="000B0DB8"/>
    <w:rsid w:val="000B0EA6"/>
    <w:rsid w:val="000B0EB4"/>
    <w:rsid w:val="000B0F07"/>
    <w:rsid w:val="000B0F1D"/>
    <w:rsid w:val="000B0F38"/>
    <w:rsid w:val="000B0F52"/>
    <w:rsid w:val="000B10AE"/>
    <w:rsid w:val="000B10B9"/>
    <w:rsid w:val="000B10BB"/>
    <w:rsid w:val="000B11A2"/>
    <w:rsid w:val="000B1205"/>
    <w:rsid w:val="000B1230"/>
    <w:rsid w:val="000B1249"/>
    <w:rsid w:val="000B1253"/>
    <w:rsid w:val="000B125D"/>
    <w:rsid w:val="000B126B"/>
    <w:rsid w:val="000B1282"/>
    <w:rsid w:val="000B128B"/>
    <w:rsid w:val="000B129E"/>
    <w:rsid w:val="000B12A9"/>
    <w:rsid w:val="000B12B7"/>
    <w:rsid w:val="000B12D7"/>
    <w:rsid w:val="000B12DD"/>
    <w:rsid w:val="000B1326"/>
    <w:rsid w:val="000B1331"/>
    <w:rsid w:val="000B1363"/>
    <w:rsid w:val="000B137B"/>
    <w:rsid w:val="000B13B5"/>
    <w:rsid w:val="000B13CC"/>
    <w:rsid w:val="000B13E1"/>
    <w:rsid w:val="000B13F0"/>
    <w:rsid w:val="000B1435"/>
    <w:rsid w:val="000B147F"/>
    <w:rsid w:val="000B14AD"/>
    <w:rsid w:val="000B1543"/>
    <w:rsid w:val="000B1550"/>
    <w:rsid w:val="000B158A"/>
    <w:rsid w:val="000B15C6"/>
    <w:rsid w:val="000B15CD"/>
    <w:rsid w:val="000B15CE"/>
    <w:rsid w:val="000B161E"/>
    <w:rsid w:val="000B1681"/>
    <w:rsid w:val="000B168C"/>
    <w:rsid w:val="000B1693"/>
    <w:rsid w:val="000B16A6"/>
    <w:rsid w:val="000B16C5"/>
    <w:rsid w:val="000B16EF"/>
    <w:rsid w:val="000B1716"/>
    <w:rsid w:val="000B1779"/>
    <w:rsid w:val="000B1791"/>
    <w:rsid w:val="000B17B3"/>
    <w:rsid w:val="000B17D1"/>
    <w:rsid w:val="000B181C"/>
    <w:rsid w:val="000B1838"/>
    <w:rsid w:val="000B1848"/>
    <w:rsid w:val="000B18AC"/>
    <w:rsid w:val="000B18B9"/>
    <w:rsid w:val="000B18CC"/>
    <w:rsid w:val="000B18E5"/>
    <w:rsid w:val="000B1930"/>
    <w:rsid w:val="000B1989"/>
    <w:rsid w:val="000B19B3"/>
    <w:rsid w:val="000B1AA5"/>
    <w:rsid w:val="000B1B01"/>
    <w:rsid w:val="000B1B16"/>
    <w:rsid w:val="000B1BA4"/>
    <w:rsid w:val="000B1BD0"/>
    <w:rsid w:val="000B1BED"/>
    <w:rsid w:val="000B1C1C"/>
    <w:rsid w:val="000B1C36"/>
    <w:rsid w:val="000B1C44"/>
    <w:rsid w:val="000B1CA8"/>
    <w:rsid w:val="000B1CFB"/>
    <w:rsid w:val="000B1D10"/>
    <w:rsid w:val="000B1D1B"/>
    <w:rsid w:val="000B1D65"/>
    <w:rsid w:val="000B1D68"/>
    <w:rsid w:val="000B1D83"/>
    <w:rsid w:val="000B1D84"/>
    <w:rsid w:val="000B1D9F"/>
    <w:rsid w:val="000B1DEA"/>
    <w:rsid w:val="000B1E21"/>
    <w:rsid w:val="000B1E4E"/>
    <w:rsid w:val="000B1E4F"/>
    <w:rsid w:val="000B1E98"/>
    <w:rsid w:val="000B1EF9"/>
    <w:rsid w:val="000B1F2F"/>
    <w:rsid w:val="000B1F4F"/>
    <w:rsid w:val="000B1FB8"/>
    <w:rsid w:val="000B200C"/>
    <w:rsid w:val="000B2020"/>
    <w:rsid w:val="000B2026"/>
    <w:rsid w:val="000B203D"/>
    <w:rsid w:val="000B2051"/>
    <w:rsid w:val="000B205C"/>
    <w:rsid w:val="000B206F"/>
    <w:rsid w:val="000B2116"/>
    <w:rsid w:val="000B212B"/>
    <w:rsid w:val="000B21ED"/>
    <w:rsid w:val="000B2235"/>
    <w:rsid w:val="000B22D2"/>
    <w:rsid w:val="000B230B"/>
    <w:rsid w:val="000B2336"/>
    <w:rsid w:val="000B238B"/>
    <w:rsid w:val="000B239D"/>
    <w:rsid w:val="000B23CC"/>
    <w:rsid w:val="000B23FB"/>
    <w:rsid w:val="000B242C"/>
    <w:rsid w:val="000B2430"/>
    <w:rsid w:val="000B2433"/>
    <w:rsid w:val="000B244D"/>
    <w:rsid w:val="000B2457"/>
    <w:rsid w:val="000B249B"/>
    <w:rsid w:val="000B249F"/>
    <w:rsid w:val="000B24A0"/>
    <w:rsid w:val="000B24AB"/>
    <w:rsid w:val="000B24D1"/>
    <w:rsid w:val="000B24E3"/>
    <w:rsid w:val="000B24F2"/>
    <w:rsid w:val="000B2508"/>
    <w:rsid w:val="000B252D"/>
    <w:rsid w:val="000B2554"/>
    <w:rsid w:val="000B25DF"/>
    <w:rsid w:val="000B26DC"/>
    <w:rsid w:val="000B26FE"/>
    <w:rsid w:val="000B2707"/>
    <w:rsid w:val="000B2736"/>
    <w:rsid w:val="000B273E"/>
    <w:rsid w:val="000B276F"/>
    <w:rsid w:val="000B278D"/>
    <w:rsid w:val="000B27A1"/>
    <w:rsid w:val="000B27AC"/>
    <w:rsid w:val="000B27F0"/>
    <w:rsid w:val="000B2863"/>
    <w:rsid w:val="000B2867"/>
    <w:rsid w:val="000B28C0"/>
    <w:rsid w:val="000B28D6"/>
    <w:rsid w:val="000B29A4"/>
    <w:rsid w:val="000B2A0E"/>
    <w:rsid w:val="000B2A4A"/>
    <w:rsid w:val="000B2A9C"/>
    <w:rsid w:val="000B2ABA"/>
    <w:rsid w:val="000B2AED"/>
    <w:rsid w:val="000B2B18"/>
    <w:rsid w:val="000B2B6D"/>
    <w:rsid w:val="000B2BBF"/>
    <w:rsid w:val="000B2BC7"/>
    <w:rsid w:val="000B2BCA"/>
    <w:rsid w:val="000B2C15"/>
    <w:rsid w:val="000B2C3D"/>
    <w:rsid w:val="000B2CAC"/>
    <w:rsid w:val="000B2CC8"/>
    <w:rsid w:val="000B2CEE"/>
    <w:rsid w:val="000B2D2B"/>
    <w:rsid w:val="000B2DD3"/>
    <w:rsid w:val="000B2E56"/>
    <w:rsid w:val="000B2E85"/>
    <w:rsid w:val="000B2EBD"/>
    <w:rsid w:val="000B2EC8"/>
    <w:rsid w:val="000B2ED3"/>
    <w:rsid w:val="000B2EE8"/>
    <w:rsid w:val="000B2F43"/>
    <w:rsid w:val="000B2F7B"/>
    <w:rsid w:val="000B305D"/>
    <w:rsid w:val="000B308D"/>
    <w:rsid w:val="000B30A8"/>
    <w:rsid w:val="000B30BA"/>
    <w:rsid w:val="000B3112"/>
    <w:rsid w:val="000B3118"/>
    <w:rsid w:val="000B3129"/>
    <w:rsid w:val="000B318D"/>
    <w:rsid w:val="000B3194"/>
    <w:rsid w:val="000B31D6"/>
    <w:rsid w:val="000B31FF"/>
    <w:rsid w:val="000B321D"/>
    <w:rsid w:val="000B3226"/>
    <w:rsid w:val="000B3251"/>
    <w:rsid w:val="000B3298"/>
    <w:rsid w:val="000B32E4"/>
    <w:rsid w:val="000B32F6"/>
    <w:rsid w:val="000B3328"/>
    <w:rsid w:val="000B3335"/>
    <w:rsid w:val="000B333F"/>
    <w:rsid w:val="000B3358"/>
    <w:rsid w:val="000B3375"/>
    <w:rsid w:val="000B33BB"/>
    <w:rsid w:val="000B33CF"/>
    <w:rsid w:val="000B33E0"/>
    <w:rsid w:val="000B33E7"/>
    <w:rsid w:val="000B343E"/>
    <w:rsid w:val="000B348B"/>
    <w:rsid w:val="000B34A4"/>
    <w:rsid w:val="000B34A8"/>
    <w:rsid w:val="000B355B"/>
    <w:rsid w:val="000B3572"/>
    <w:rsid w:val="000B35A6"/>
    <w:rsid w:val="000B35AB"/>
    <w:rsid w:val="000B35FF"/>
    <w:rsid w:val="000B3606"/>
    <w:rsid w:val="000B361A"/>
    <w:rsid w:val="000B3650"/>
    <w:rsid w:val="000B3651"/>
    <w:rsid w:val="000B3655"/>
    <w:rsid w:val="000B36BF"/>
    <w:rsid w:val="000B3745"/>
    <w:rsid w:val="000B37A3"/>
    <w:rsid w:val="000B37C3"/>
    <w:rsid w:val="000B37FA"/>
    <w:rsid w:val="000B37FB"/>
    <w:rsid w:val="000B3835"/>
    <w:rsid w:val="000B3843"/>
    <w:rsid w:val="000B392A"/>
    <w:rsid w:val="000B3943"/>
    <w:rsid w:val="000B3951"/>
    <w:rsid w:val="000B399F"/>
    <w:rsid w:val="000B39A9"/>
    <w:rsid w:val="000B39E9"/>
    <w:rsid w:val="000B3A62"/>
    <w:rsid w:val="000B3ADE"/>
    <w:rsid w:val="000B3B40"/>
    <w:rsid w:val="000B3B95"/>
    <w:rsid w:val="000B3BDE"/>
    <w:rsid w:val="000B3C2E"/>
    <w:rsid w:val="000B3C6B"/>
    <w:rsid w:val="000B3CA3"/>
    <w:rsid w:val="000B3CCF"/>
    <w:rsid w:val="000B3CE7"/>
    <w:rsid w:val="000B3CFD"/>
    <w:rsid w:val="000B3D55"/>
    <w:rsid w:val="000B3DB9"/>
    <w:rsid w:val="000B3DE4"/>
    <w:rsid w:val="000B3DE7"/>
    <w:rsid w:val="000B3E25"/>
    <w:rsid w:val="000B3E7D"/>
    <w:rsid w:val="000B3E8D"/>
    <w:rsid w:val="000B3E93"/>
    <w:rsid w:val="000B3EC7"/>
    <w:rsid w:val="000B3EEE"/>
    <w:rsid w:val="000B3F30"/>
    <w:rsid w:val="000B3F37"/>
    <w:rsid w:val="000B3FB8"/>
    <w:rsid w:val="000B4029"/>
    <w:rsid w:val="000B403D"/>
    <w:rsid w:val="000B4072"/>
    <w:rsid w:val="000B4084"/>
    <w:rsid w:val="000B4086"/>
    <w:rsid w:val="000B408B"/>
    <w:rsid w:val="000B40A9"/>
    <w:rsid w:val="000B412F"/>
    <w:rsid w:val="000B4165"/>
    <w:rsid w:val="000B41A6"/>
    <w:rsid w:val="000B41B3"/>
    <w:rsid w:val="000B420B"/>
    <w:rsid w:val="000B4215"/>
    <w:rsid w:val="000B4229"/>
    <w:rsid w:val="000B4332"/>
    <w:rsid w:val="000B4369"/>
    <w:rsid w:val="000B4377"/>
    <w:rsid w:val="000B43AE"/>
    <w:rsid w:val="000B43BB"/>
    <w:rsid w:val="000B43C1"/>
    <w:rsid w:val="000B43E6"/>
    <w:rsid w:val="000B441A"/>
    <w:rsid w:val="000B442C"/>
    <w:rsid w:val="000B4445"/>
    <w:rsid w:val="000B445C"/>
    <w:rsid w:val="000B44BA"/>
    <w:rsid w:val="000B44C6"/>
    <w:rsid w:val="000B44D1"/>
    <w:rsid w:val="000B44DF"/>
    <w:rsid w:val="000B451D"/>
    <w:rsid w:val="000B454C"/>
    <w:rsid w:val="000B45B5"/>
    <w:rsid w:val="000B45DE"/>
    <w:rsid w:val="000B45FE"/>
    <w:rsid w:val="000B4686"/>
    <w:rsid w:val="000B46BF"/>
    <w:rsid w:val="000B46DD"/>
    <w:rsid w:val="000B46E5"/>
    <w:rsid w:val="000B4718"/>
    <w:rsid w:val="000B477F"/>
    <w:rsid w:val="000B4797"/>
    <w:rsid w:val="000B4834"/>
    <w:rsid w:val="000B4880"/>
    <w:rsid w:val="000B48B0"/>
    <w:rsid w:val="000B48CD"/>
    <w:rsid w:val="000B48D6"/>
    <w:rsid w:val="000B4A13"/>
    <w:rsid w:val="000B4A17"/>
    <w:rsid w:val="000B4A5E"/>
    <w:rsid w:val="000B4A79"/>
    <w:rsid w:val="000B4AE4"/>
    <w:rsid w:val="000B4B12"/>
    <w:rsid w:val="000B4B1F"/>
    <w:rsid w:val="000B4B2A"/>
    <w:rsid w:val="000B4B44"/>
    <w:rsid w:val="000B4B4F"/>
    <w:rsid w:val="000B4BFA"/>
    <w:rsid w:val="000B4C14"/>
    <w:rsid w:val="000B4C1C"/>
    <w:rsid w:val="000B4C2B"/>
    <w:rsid w:val="000B4C83"/>
    <w:rsid w:val="000B4C8D"/>
    <w:rsid w:val="000B4CA8"/>
    <w:rsid w:val="000B4CC5"/>
    <w:rsid w:val="000B4CE9"/>
    <w:rsid w:val="000B4CEB"/>
    <w:rsid w:val="000B4D0B"/>
    <w:rsid w:val="000B4D8B"/>
    <w:rsid w:val="000B4DA5"/>
    <w:rsid w:val="000B4E3C"/>
    <w:rsid w:val="000B4E68"/>
    <w:rsid w:val="000B4F29"/>
    <w:rsid w:val="000B4F36"/>
    <w:rsid w:val="000B4F57"/>
    <w:rsid w:val="000B4F9B"/>
    <w:rsid w:val="000B4FD0"/>
    <w:rsid w:val="000B5019"/>
    <w:rsid w:val="000B5047"/>
    <w:rsid w:val="000B509C"/>
    <w:rsid w:val="000B509D"/>
    <w:rsid w:val="000B50A0"/>
    <w:rsid w:val="000B5131"/>
    <w:rsid w:val="000B516D"/>
    <w:rsid w:val="000B5188"/>
    <w:rsid w:val="000B51B3"/>
    <w:rsid w:val="000B51BD"/>
    <w:rsid w:val="000B51F9"/>
    <w:rsid w:val="000B521D"/>
    <w:rsid w:val="000B5288"/>
    <w:rsid w:val="000B529C"/>
    <w:rsid w:val="000B535E"/>
    <w:rsid w:val="000B537F"/>
    <w:rsid w:val="000B53AD"/>
    <w:rsid w:val="000B53CE"/>
    <w:rsid w:val="000B53FF"/>
    <w:rsid w:val="000B542A"/>
    <w:rsid w:val="000B54FF"/>
    <w:rsid w:val="000B5511"/>
    <w:rsid w:val="000B556A"/>
    <w:rsid w:val="000B55A8"/>
    <w:rsid w:val="000B55BB"/>
    <w:rsid w:val="000B55E4"/>
    <w:rsid w:val="000B5629"/>
    <w:rsid w:val="000B564A"/>
    <w:rsid w:val="000B569B"/>
    <w:rsid w:val="000B56A3"/>
    <w:rsid w:val="000B5719"/>
    <w:rsid w:val="000B574B"/>
    <w:rsid w:val="000B5768"/>
    <w:rsid w:val="000B5770"/>
    <w:rsid w:val="000B5778"/>
    <w:rsid w:val="000B57E8"/>
    <w:rsid w:val="000B57F6"/>
    <w:rsid w:val="000B5845"/>
    <w:rsid w:val="000B5870"/>
    <w:rsid w:val="000B58BF"/>
    <w:rsid w:val="000B58CF"/>
    <w:rsid w:val="000B595B"/>
    <w:rsid w:val="000B59B3"/>
    <w:rsid w:val="000B59BA"/>
    <w:rsid w:val="000B59BB"/>
    <w:rsid w:val="000B59F1"/>
    <w:rsid w:val="000B5A40"/>
    <w:rsid w:val="000B5A4D"/>
    <w:rsid w:val="000B5AF2"/>
    <w:rsid w:val="000B5C93"/>
    <w:rsid w:val="000B5CBC"/>
    <w:rsid w:val="000B5CBE"/>
    <w:rsid w:val="000B5CE8"/>
    <w:rsid w:val="000B5D27"/>
    <w:rsid w:val="000B5D4E"/>
    <w:rsid w:val="000B5D6F"/>
    <w:rsid w:val="000B5DC5"/>
    <w:rsid w:val="000B5E29"/>
    <w:rsid w:val="000B5E32"/>
    <w:rsid w:val="000B5E7D"/>
    <w:rsid w:val="000B5E94"/>
    <w:rsid w:val="000B5E98"/>
    <w:rsid w:val="000B5E9B"/>
    <w:rsid w:val="000B5F65"/>
    <w:rsid w:val="000B602C"/>
    <w:rsid w:val="000B60B7"/>
    <w:rsid w:val="000B6169"/>
    <w:rsid w:val="000B617D"/>
    <w:rsid w:val="000B61C3"/>
    <w:rsid w:val="000B6206"/>
    <w:rsid w:val="000B624B"/>
    <w:rsid w:val="000B6278"/>
    <w:rsid w:val="000B6292"/>
    <w:rsid w:val="000B62B6"/>
    <w:rsid w:val="000B62BA"/>
    <w:rsid w:val="000B634E"/>
    <w:rsid w:val="000B6390"/>
    <w:rsid w:val="000B6402"/>
    <w:rsid w:val="000B641C"/>
    <w:rsid w:val="000B6477"/>
    <w:rsid w:val="000B648A"/>
    <w:rsid w:val="000B6494"/>
    <w:rsid w:val="000B64C3"/>
    <w:rsid w:val="000B64DC"/>
    <w:rsid w:val="000B6506"/>
    <w:rsid w:val="000B6534"/>
    <w:rsid w:val="000B6538"/>
    <w:rsid w:val="000B659B"/>
    <w:rsid w:val="000B65C1"/>
    <w:rsid w:val="000B660A"/>
    <w:rsid w:val="000B66E5"/>
    <w:rsid w:val="000B66EC"/>
    <w:rsid w:val="000B66F1"/>
    <w:rsid w:val="000B6717"/>
    <w:rsid w:val="000B6751"/>
    <w:rsid w:val="000B67AB"/>
    <w:rsid w:val="000B67B8"/>
    <w:rsid w:val="000B67BD"/>
    <w:rsid w:val="000B687A"/>
    <w:rsid w:val="000B68B7"/>
    <w:rsid w:val="000B68C0"/>
    <w:rsid w:val="000B68CE"/>
    <w:rsid w:val="000B68EB"/>
    <w:rsid w:val="000B6914"/>
    <w:rsid w:val="000B69C0"/>
    <w:rsid w:val="000B69CC"/>
    <w:rsid w:val="000B6A14"/>
    <w:rsid w:val="000B6A84"/>
    <w:rsid w:val="000B6B33"/>
    <w:rsid w:val="000B6B59"/>
    <w:rsid w:val="000B6B70"/>
    <w:rsid w:val="000B6BE4"/>
    <w:rsid w:val="000B6C91"/>
    <w:rsid w:val="000B6CD1"/>
    <w:rsid w:val="000B6CE3"/>
    <w:rsid w:val="000B6D13"/>
    <w:rsid w:val="000B6D21"/>
    <w:rsid w:val="000B6D6C"/>
    <w:rsid w:val="000B6D75"/>
    <w:rsid w:val="000B6D76"/>
    <w:rsid w:val="000B6D81"/>
    <w:rsid w:val="000B6DA7"/>
    <w:rsid w:val="000B6E95"/>
    <w:rsid w:val="000B6EC2"/>
    <w:rsid w:val="000B6F24"/>
    <w:rsid w:val="000B6F9C"/>
    <w:rsid w:val="000B7028"/>
    <w:rsid w:val="000B703C"/>
    <w:rsid w:val="000B7057"/>
    <w:rsid w:val="000B7098"/>
    <w:rsid w:val="000B70A9"/>
    <w:rsid w:val="000B70B0"/>
    <w:rsid w:val="000B70B5"/>
    <w:rsid w:val="000B70CB"/>
    <w:rsid w:val="000B71C8"/>
    <w:rsid w:val="000B71D3"/>
    <w:rsid w:val="000B71E5"/>
    <w:rsid w:val="000B71E9"/>
    <w:rsid w:val="000B7259"/>
    <w:rsid w:val="000B7291"/>
    <w:rsid w:val="000B7293"/>
    <w:rsid w:val="000B72B2"/>
    <w:rsid w:val="000B72CB"/>
    <w:rsid w:val="000B72DB"/>
    <w:rsid w:val="000B738C"/>
    <w:rsid w:val="000B73F9"/>
    <w:rsid w:val="000B7417"/>
    <w:rsid w:val="000B7424"/>
    <w:rsid w:val="000B7441"/>
    <w:rsid w:val="000B744E"/>
    <w:rsid w:val="000B74C3"/>
    <w:rsid w:val="000B7535"/>
    <w:rsid w:val="000B7592"/>
    <w:rsid w:val="000B75C9"/>
    <w:rsid w:val="000B75CF"/>
    <w:rsid w:val="000B7713"/>
    <w:rsid w:val="000B77AC"/>
    <w:rsid w:val="000B77DE"/>
    <w:rsid w:val="000B77EF"/>
    <w:rsid w:val="000B7800"/>
    <w:rsid w:val="000B78A2"/>
    <w:rsid w:val="000B790C"/>
    <w:rsid w:val="000B792A"/>
    <w:rsid w:val="000B7954"/>
    <w:rsid w:val="000B7974"/>
    <w:rsid w:val="000B79D5"/>
    <w:rsid w:val="000B7A24"/>
    <w:rsid w:val="000B7A42"/>
    <w:rsid w:val="000B7A51"/>
    <w:rsid w:val="000B7A60"/>
    <w:rsid w:val="000B7A79"/>
    <w:rsid w:val="000B7AD2"/>
    <w:rsid w:val="000B7B4D"/>
    <w:rsid w:val="000B7B7F"/>
    <w:rsid w:val="000B7BB5"/>
    <w:rsid w:val="000B7BBA"/>
    <w:rsid w:val="000B7E10"/>
    <w:rsid w:val="000B7E35"/>
    <w:rsid w:val="000B7E58"/>
    <w:rsid w:val="000B7F1C"/>
    <w:rsid w:val="000B7F40"/>
    <w:rsid w:val="000B7F6B"/>
    <w:rsid w:val="000B9111"/>
    <w:rsid w:val="000C003A"/>
    <w:rsid w:val="000C007F"/>
    <w:rsid w:val="000C0130"/>
    <w:rsid w:val="000C0167"/>
    <w:rsid w:val="000C01C2"/>
    <w:rsid w:val="000C01E7"/>
    <w:rsid w:val="000C0214"/>
    <w:rsid w:val="000C0233"/>
    <w:rsid w:val="000C027D"/>
    <w:rsid w:val="000C0285"/>
    <w:rsid w:val="000C02F1"/>
    <w:rsid w:val="000C0303"/>
    <w:rsid w:val="000C0308"/>
    <w:rsid w:val="000C03B6"/>
    <w:rsid w:val="000C0445"/>
    <w:rsid w:val="000C04F6"/>
    <w:rsid w:val="000C0524"/>
    <w:rsid w:val="000C0541"/>
    <w:rsid w:val="000C057A"/>
    <w:rsid w:val="000C0595"/>
    <w:rsid w:val="000C0596"/>
    <w:rsid w:val="000C05D2"/>
    <w:rsid w:val="000C05EB"/>
    <w:rsid w:val="000C05F2"/>
    <w:rsid w:val="000C05FE"/>
    <w:rsid w:val="000C064B"/>
    <w:rsid w:val="000C065E"/>
    <w:rsid w:val="000C0672"/>
    <w:rsid w:val="000C068B"/>
    <w:rsid w:val="000C06B4"/>
    <w:rsid w:val="000C071A"/>
    <w:rsid w:val="000C072C"/>
    <w:rsid w:val="000C074D"/>
    <w:rsid w:val="000C0792"/>
    <w:rsid w:val="000C07B9"/>
    <w:rsid w:val="000C07D6"/>
    <w:rsid w:val="000C0829"/>
    <w:rsid w:val="000C082B"/>
    <w:rsid w:val="000C087F"/>
    <w:rsid w:val="000C088A"/>
    <w:rsid w:val="000C08D9"/>
    <w:rsid w:val="000C08F7"/>
    <w:rsid w:val="000C09A6"/>
    <w:rsid w:val="000C09E7"/>
    <w:rsid w:val="000C0A1D"/>
    <w:rsid w:val="000C0A22"/>
    <w:rsid w:val="000C0A4E"/>
    <w:rsid w:val="000C0A66"/>
    <w:rsid w:val="000C0B2B"/>
    <w:rsid w:val="000C0B85"/>
    <w:rsid w:val="000C0BC1"/>
    <w:rsid w:val="000C0BC3"/>
    <w:rsid w:val="000C0C2B"/>
    <w:rsid w:val="000C0CC1"/>
    <w:rsid w:val="000C0D37"/>
    <w:rsid w:val="000C0D53"/>
    <w:rsid w:val="000C0D5E"/>
    <w:rsid w:val="000C0D6E"/>
    <w:rsid w:val="000C0D90"/>
    <w:rsid w:val="000C0E87"/>
    <w:rsid w:val="000C0E8B"/>
    <w:rsid w:val="000C0EE0"/>
    <w:rsid w:val="000C0F85"/>
    <w:rsid w:val="000C0FBF"/>
    <w:rsid w:val="000C0FDF"/>
    <w:rsid w:val="000C103C"/>
    <w:rsid w:val="000C1059"/>
    <w:rsid w:val="000C107F"/>
    <w:rsid w:val="000C10D3"/>
    <w:rsid w:val="000C1122"/>
    <w:rsid w:val="000C113F"/>
    <w:rsid w:val="000C117C"/>
    <w:rsid w:val="000C1209"/>
    <w:rsid w:val="000C1215"/>
    <w:rsid w:val="000C1299"/>
    <w:rsid w:val="000C12AC"/>
    <w:rsid w:val="000C12CD"/>
    <w:rsid w:val="000C12EA"/>
    <w:rsid w:val="000C1300"/>
    <w:rsid w:val="000C1305"/>
    <w:rsid w:val="000C1355"/>
    <w:rsid w:val="000C136D"/>
    <w:rsid w:val="000C13A0"/>
    <w:rsid w:val="000C13B4"/>
    <w:rsid w:val="000C142B"/>
    <w:rsid w:val="000C1459"/>
    <w:rsid w:val="000C1476"/>
    <w:rsid w:val="000C14BF"/>
    <w:rsid w:val="000C14D4"/>
    <w:rsid w:val="000C14E7"/>
    <w:rsid w:val="000C14FD"/>
    <w:rsid w:val="000C1528"/>
    <w:rsid w:val="000C157F"/>
    <w:rsid w:val="000C1593"/>
    <w:rsid w:val="000C15B0"/>
    <w:rsid w:val="000C15BD"/>
    <w:rsid w:val="000C15C1"/>
    <w:rsid w:val="000C15CD"/>
    <w:rsid w:val="000C15CF"/>
    <w:rsid w:val="000C15ED"/>
    <w:rsid w:val="000C15FC"/>
    <w:rsid w:val="000C161E"/>
    <w:rsid w:val="000C1623"/>
    <w:rsid w:val="000C1627"/>
    <w:rsid w:val="000C1633"/>
    <w:rsid w:val="000C1657"/>
    <w:rsid w:val="000C166F"/>
    <w:rsid w:val="000C1679"/>
    <w:rsid w:val="000C168D"/>
    <w:rsid w:val="000C16FB"/>
    <w:rsid w:val="000C1721"/>
    <w:rsid w:val="000C17E1"/>
    <w:rsid w:val="000C1816"/>
    <w:rsid w:val="000C186D"/>
    <w:rsid w:val="000C1892"/>
    <w:rsid w:val="000C18A3"/>
    <w:rsid w:val="000C18C3"/>
    <w:rsid w:val="000C18C5"/>
    <w:rsid w:val="000C18DC"/>
    <w:rsid w:val="000C18EE"/>
    <w:rsid w:val="000C1951"/>
    <w:rsid w:val="000C1980"/>
    <w:rsid w:val="000C1982"/>
    <w:rsid w:val="000C19BC"/>
    <w:rsid w:val="000C19E2"/>
    <w:rsid w:val="000C19EE"/>
    <w:rsid w:val="000C19F5"/>
    <w:rsid w:val="000C19FD"/>
    <w:rsid w:val="000C1A07"/>
    <w:rsid w:val="000C1A2D"/>
    <w:rsid w:val="000C1A34"/>
    <w:rsid w:val="000C1A49"/>
    <w:rsid w:val="000C1A8B"/>
    <w:rsid w:val="000C1AF5"/>
    <w:rsid w:val="000C1AFA"/>
    <w:rsid w:val="000C1B2A"/>
    <w:rsid w:val="000C1B42"/>
    <w:rsid w:val="000C1BE4"/>
    <w:rsid w:val="000C1BFC"/>
    <w:rsid w:val="000C1BFF"/>
    <w:rsid w:val="000C1CAD"/>
    <w:rsid w:val="000C1CDB"/>
    <w:rsid w:val="000C1D56"/>
    <w:rsid w:val="000C1D5F"/>
    <w:rsid w:val="000C1D98"/>
    <w:rsid w:val="000C1E04"/>
    <w:rsid w:val="000C1E1C"/>
    <w:rsid w:val="000C1E9C"/>
    <w:rsid w:val="000C1EA3"/>
    <w:rsid w:val="000C1EAF"/>
    <w:rsid w:val="000C1EE6"/>
    <w:rsid w:val="000C1EFF"/>
    <w:rsid w:val="000C1F50"/>
    <w:rsid w:val="000C1F60"/>
    <w:rsid w:val="000C1FF6"/>
    <w:rsid w:val="000C203D"/>
    <w:rsid w:val="000C2044"/>
    <w:rsid w:val="000C207A"/>
    <w:rsid w:val="000C20C9"/>
    <w:rsid w:val="000C20DF"/>
    <w:rsid w:val="000C20E9"/>
    <w:rsid w:val="000C20F1"/>
    <w:rsid w:val="000C20F5"/>
    <w:rsid w:val="000C214E"/>
    <w:rsid w:val="000C2168"/>
    <w:rsid w:val="000C216F"/>
    <w:rsid w:val="000C2183"/>
    <w:rsid w:val="000C2197"/>
    <w:rsid w:val="000C21A6"/>
    <w:rsid w:val="000C2202"/>
    <w:rsid w:val="000C229D"/>
    <w:rsid w:val="000C22BA"/>
    <w:rsid w:val="000C22CF"/>
    <w:rsid w:val="000C2343"/>
    <w:rsid w:val="000C2350"/>
    <w:rsid w:val="000C239D"/>
    <w:rsid w:val="000C23A5"/>
    <w:rsid w:val="000C23A8"/>
    <w:rsid w:val="000C23D0"/>
    <w:rsid w:val="000C2408"/>
    <w:rsid w:val="000C2448"/>
    <w:rsid w:val="000C244D"/>
    <w:rsid w:val="000C24AA"/>
    <w:rsid w:val="000C24DA"/>
    <w:rsid w:val="000C2524"/>
    <w:rsid w:val="000C2531"/>
    <w:rsid w:val="000C2556"/>
    <w:rsid w:val="000C25FE"/>
    <w:rsid w:val="000C2665"/>
    <w:rsid w:val="000C266C"/>
    <w:rsid w:val="000C26E9"/>
    <w:rsid w:val="000C2723"/>
    <w:rsid w:val="000C2728"/>
    <w:rsid w:val="000C2761"/>
    <w:rsid w:val="000C2776"/>
    <w:rsid w:val="000C27E0"/>
    <w:rsid w:val="000C2809"/>
    <w:rsid w:val="000C2817"/>
    <w:rsid w:val="000C284C"/>
    <w:rsid w:val="000C2882"/>
    <w:rsid w:val="000C2898"/>
    <w:rsid w:val="000C28AF"/>
    <w:rsid w:val="000C28BD"/>
    <w:rsid w:val="000C292C"/>
    <w:rsid w:val="000C2948"/>
    <w:rsid w:val="000C2986"/>
    <w:rsid w:val="000C29A2"/>
    <w:rsid w:val="000C29AC"/>
    <w:rsid w:val="000C2A25"/>
    <w:rsid w:val="000C2AA9"/>
    <w:rsid w:val="000C2ADB"/>
    <w:rsid w:val="000C2AE9"/>
    <w:rsid w:val="000C2AF3"/>
    <w:rsid w:val="000C2B31"/>
    <w:rsid w:val="000C2B39"/>
    <w:rsid w:val="000C2B54"/>
    <w:rsid w:val="000C2B5F"/>
    <w:rsid w:val="000C2BA6"/>
    <w:rsid w:val="000C2C0A"/>
    <w:rsid w:val="000C2C2F"/>
    <w:rsid w:val="000C2C4E"/>
    <w:rsid w:val="000C2CAC"/>
    <w:rsid w:val="000C2CCE"/>
    <w:rsid w:val="000C2DBC"/>
    <w:rsid w:val="000C2DC9"/>
    <w:rsid w:val="000C2DEA"/>
    <w:rsid w:val="000C2E03"/>
    <w:rsid w:val="000C2E20"/>
    <w:rsid w:val="000C2E67"/>
    <w:rsid w:val="000C2ECA"/>
    <w:rsid w:val="000C2F35"/>
    <w:rsid w:val="000C2F78"/>
    <w:rsid w:val="000C2FA0"/>
    <w:rsid w:val="000C2FAB"/>
    <w:rsid w:val="000C2FC4"/>
    <w:rsid w:val="000C2FDA"/>
    <w:rsid w:val="000C300D"/>
    <w:rsid w:val="000C3027"/>
    <w:rsid w:val="000C3057"/>
    <w:rsid w:val="000C30A9"/>
    <w:rsid w:val="000C30B9"/>
    <w:rsid w:val="000C3100"/>
    <w:rsid w:val="000C3113"/>
    <w:rsid w:val="000C3145"/>
    <w:rsid w:val="000C315E"/>
    <w:rsid w:val="000C31D2"/>
    <w:rsid w:val="000C31F8"/>
    <w:rsid w:val="000C3205"/>
    <w:rsid w:val="000C320C"/>
    <w:rsid w:val="000C3229"/>
    <w:rsid w:val="000C3251"/>
    <w:rsid w:val="000C328B"/>
    <w:rsid w:val="000C3298"/>
    <w:rsid w:val="000C329D"/>
    <w:rsid w:val="000C32FC"/>
    <w:rsid w:val="000C3363"/>
    <w:rsid w:val="000C338D"/>
    <w:rsid w:val="000C33E3"/>
    <w:rsid w:val="000C3476"/>
    <w:rsid w:val="000C3478"/>
    <w:rsid w:val="000C3497"/>
    <w:rsid w:val="000C34C1"/>
    <w:rsid w:val="000C34EA"/>
    <w:rsid w:val="000C3510"/>
    <w:rsid w:val="000C3531"/>
    <w:rsid w:val="000C356D"/>
    <w:rsid w:val="000C3580"/>
    <w:rsid w:val="000C359B"/>
    <w:rsid w:val="000C35C0"/>
    <w:rsid w:val="000C364D"/>
    <w:rsid w:val="000C364F"/>
    <w:rsid w:val="000C3705"/>
    <w:rsid w:val="000C3706"/>
    <w:rsid w:val="000C3709"/>
    <w:rsid w:val="000C370A"/>
    <w:rsid w:val="000C370F"/>
    <w:rsid w:val="000C379C"/>
    <w:rsid w:val="000C37B4"/>
    <w:rsid w:val="000C37BD"/>
    <w:rsid w:val="000C37DC"/>
    <w:rsid w:val="000C37E7"/>
    <w:rsid w:val="000C3828"/>
    <w:rsid w:val="000C382B"/>
    <w:rsid w:val="000C388B"/>
    <w:rsid w:val="000C3896"/>
    <w:rsid w:val="000C38D6"/>
    <w:rsid w:val="000C38F1"/>
    <w:rsid w:val="000C3910"/>
    <w:rsid w:val="000C3920"/>
    <w:rsid w:val="000C3948"/>
    <w:rsid w:val="000C3951"/>
    <w:rsid w:val="000C396C"/>
    <w:rsid w:val="000C39BF"/>
    <w:rsid w:val="000C3A51"/>
    <w:rsid w:val="000C3A6A"/>
    <w:rsid w:val="000C3A80"/>
    <w:rsid w:val="000C3A93"/>
    <w:rsid w:val="000C3A94"/>
    <w:rsid w:val="000C3AA9"/>
    <w:rsid w:val="000C3ABD"/>
    <w:rsid w:val="000C3B11"/>
    <w:rsid w:val="000C3B15"/>
    <w:rsid w:val="000C3B25"/>
    <w:rsid w:val="000C3B2C"/>
    <w:rsid w:val="000C3B33"/>
    <w:rsid w:val="000C3B34"/>
    <w:rsid w:val="000C3B42"/>
    <w:rsid w:val="000C3B7E"/>
    <w:rsid w:val="000C3B88"/>
    <w:rsid w:val="000C3BFB"/>
    <w:rsid w:val="000C3C21"/>
    <w:rsid w:val="000C3C22"/>
    <w:rsid w:val="000C3C3D"/>
    <w:rsid w:val="000C3CA1"/>
    <w:rsid w:val="000C3CAF"/>
    <w:rsid w:val="000C3D34"/>
    <w:rsid w:val="000C3D79"/>
    <w:rsid w:val="000C3D9B"/>
    <w:rsid w:val="000C3DF4"/>
    <w:rsid w:val="000C3E21"/>
    <w:rsid w:val="000C3E41"/>
    <w:rsid w:val="000C3E50"/>
    <w:rsid w:val="000C3E6B"/>
    <w:rsid w:val="000C3E6D"/>
    <w:rsid w:val="000C3ED0"/>
    <w:rsid w:val="000C3EE1"/>
    <w:rsid w:val="000C3EED"/>
    <w:rsid w:val="000C3F19"/>
    <w:rsid w:val="000C3F4F"/>
    <w:rsid w:val="000C3F8C"/>
    <w:rsid w:val="000C3F8D"/>
    <w:rsid w:val="000C3FCA"/>
    <w:rsid w:val="000C3FCD"/>
    <w:rsid w:val="000C3FDE"/>
    <w:rsid w:val="000C4035"/>
    <w:rsid w:val="000C4077"/>
    <w:rsid w:val="000C408F"/>
    <w:rsid w:val="000C4091"/>
    <w:rsid w:val="000C4104"/>
    <w:rsid w:val="000C4113"/>
    <w:rsid w:val="000C4131"/>
    <w:rsid w:val="000C4175"/>
    <w:rsid w:val="000C4186"/>
    <w:rsid w:val="000C41D9"/>
    <w:rsid w:val="000C42F2"/>
    <w:rsid w:val="000C4302"/>
    <w:rsid w:val="000C4323"/>
    <w:rsid w:val="000C432F"/>
    <w:rsid w:val="000C435B"/>
    <w:rsid w:val="000C4360"/>
    <w:rsid w:val="000C4365"/>
    <w:rsid w:val="000C436E"/>
    <w:rsid w:val="000C4377"/>
    <w:rsid w:val="000C43BE"/>
    <w:rsid w:val="000C43C5"/>
    <w:rsid w:val="000C43EB"/>
    <w:rsid w:val="000C4413"/>
    <w:rsid w:val="000C4450"/>
    <w:rsid w:val="000C4465"/>
    <w:rsid w:val="000C446B"/>
    <w:rsid w:val="000C449A"/>
    <w:rsid w:val="000C44E0"/>
    <w:rsid w:val="000C450C"/>
    <w:rsid w:val="000C4571"/>
    <w:rsid w:val="000C4579"/>
    <w:rsid w:val="000C458A"/>
    <w:rsid w:val="000C4593"/>
    <w:rsid w:val="000C45A1"/>
    <w:rsid w:val="000C45BC"/>
    <w:rsid w:val="000C4607"/>
    <w:rsid w:val="000C4626"/>
    <w:rsid w:val="000C4640"/>
    <w:rsid w:val="000C467B"/>
    <w:rsid w:val="000C46CA"/>
    <w:rsid w:val="000C46E1"/>
    <w:rsid w:val="000C4701"/>
    <w:rsid w:val="000C4708"/>
    <w:rsid w:val="000C4742"/>
    <w:rsid w:val="000C4751"/>
    <w:rsid w:val="000C47C2"/>
    <w:rsid w:val="000C47F0"/>
    <w:rsid w:val="000C4842"/>
    <w:rsid w:val="000C4877"/>
    <w:rsid w:val="000C4878"/>
    <w:rsid w:val="000C488C"/>
    <w:rsid w:val="000C489E"/>
    <w:rsid w:val="000C48CC"/>
    <w:rsid w:val="000C4928"/>
    <w:rsid w:val="000C4959"/>
    <w:rsid w:val="000C495C"/>
    <w:rsid w:val="000C4960"/>
    <w:rsid w:val="000C49B2"/>
    <w:rsid w:val="000C4A1A"/>
    <w:rsid w:val="000C4A34"/>
    <w:rsid w:val="000C4A36"/>
    <w:rsid w:val="000C4A3E"/>
    <w:rsid w:val="000C4A4F"/>
    <w:rsid w:val="000C4A5F"/>
    <w:rsid w:val="000C4A9C"/>
    <w:rsid w:val="000C4AAA"/>
    <w:rsid w:val="000C4ACD"/>
    <w:rsid w:val="000C4B26"/>
    <w:rsid w:val="000C4B2D"/>
    <w:rsid w:val="000C4B3D"/>
    <w:rsid w:val="000C4B4F"/>
    <w:rsid w:val="000C4B51"/>
    <w:rsid w:val="000C4B67"/>
    <w:rsid w:val="000C4BED"/>
    <w:rsid w:val="000C4BEF"/>
    <w:rsid w:val="000C4C15"/>
    <w:rsid w:val="000C4C83"/>
    <w:rsid w:val="000C4CA5"/>
    <w:rsid w:val="000C4CE3"/>
    <w:rsid w:val="000C4CE5"/>
    <w:rsid w:val="000C4CEA"/>
    <w:rsid w:val="000C4DB1"/>
    <w:rsid w:val="000C4DC4"/>
    <w:rsid w:val="000C4DD3"/>
    <w:rsid w:val="000C4DE3"/>
    <w:rsid w:val="000C4E0C"/>
    <w:rsid w:val="000C4E36"/>
    <w:rsid w:val="000C4E65"/>
    <w:rsid w:val="000C4E6A"/>
    <w:rsid w:val="000C4E9C"/>
    <w:rsid w:val="000C4E9E"/>
    <w:rsid w:val="000C4EC2"/>
    <w:rsid w:val="000C4F35"/>
    <w:rsid w:val="000C4F38"/>
    <w:rsid w:val="000C4F3F"/>
    <w:rsid w:val="000C4F46"/>
    <w:rsid w:val="000C4F50"/>
    <w:rsid w:val="000C4F6F"/>
    <w:rsid w:val="000C4F74"/>
    <w:rsid w:val="000C4FB9"/>
    <w:rsid w:val="000C4FBB"/>
    <w:rsid w:val="000C4FC0"/>
    <w:rsid w:val="000C5004"/>
    <w:rsid w:val="000C5011"/>
    <w:rsid w:val="000C5075"/>
    <w:rsid w:val="000C50E1"/>
    <w:rsid w:val="000C5123"/>
    <w:rsid w:val="000C5166"/>
    <w:rsid w:val="000C51DF"/>
    <w:rsid w:val="000C5214"/>
    <w:rsid w:val="000C524A"/>
    <w:rsid w:val="000C524C"/>
    <w:rsid w:val="000C5264"/>
    <w:rsid w:val="000C52A6"/>
    <w:rsid w:val="000C52C8"/>
    <w:rsid w:val="000C52E1"/>
    <w:rsid w:val="000C52E4"/>
    <w:rsid w:val="000C5323"/>
    <w:rsid w:val="000C532C"/>
    <w:rsid w:val="000C533C"/>
    <w:rsid w:val="000C5352"/>
    <w:rsid w:val="000C53A4"/>
    <w:rsid w:val="000C53A8"/>
    <w:rsid w:val="000C53C2"/>
    <w:rsid w:val="000C53CA"/>
    <w:rsid w:val="000C5427"/>
    <w:rsid w:val="000C54C1"/>
    <w:rsid w:val="000C54C8"/>
    <w:rsid w:val="000C54CF"/>
    <w:rsid w:val="000C54D1"/>
    <w:rsid w:val="000C54F5"/>
    <w:rsid w:val="000C550C"/>
    <w:rsid w:val="000C551F"/>
    <w:rsid w:val="000C5524"/>
    <w:rsid w:val="000C556C"/>
    <w:rsid w:val="000C5598"/>
    <w:rsid w:val="000C5627"/>
    <w:rsid w:val="000C56BA"/>
    <w:rsid w:val="000C56BC"/>
    <w:rsid w:val="000C56DC"/>
    <w:rsid w:val="000C56FE"/>
    <w:rsid w:val="000C573F"/>
    <w:rsid w:val="000C5761"/>
    <w:rsid w:val="000C5776"/>
    <w:rsid w:val="000C5781"/>
    <w:rsid w:val="000C57C0"/>
    <w:rsid w:val="000C57C7"/>
    <w:rsid w:val="000C58A0"/>
    <w:rsid w:val="000C5912"/>
    <w:rsid w:val="000C5939"/>
    <w:rsid w:val="000C5A33"/>
    <w:rsid w:val="000C5A7E"/>
    <w:rsid w:val="000C5A81"/>
    <w:rsid w:val="000C5AAA"/>
    <w:rsid w:val="000C5AD3"/>
    <w:rsid w:val="000C5B01"/>
    <w:rsid w:val="000C5B26"/>
    <w:rsid w:val="000C5B5B"/>
    <w:rsid w:val="000C5B6F"/>
    <w:rsid w:val="000C5B7A"/>
    <w:rsid w:val="000C5BE1"/>
    <w:rsid w:val="000C5C1A"/>
    <w:rsid w:val="000C5C4A"/>
    <w:rsid w:val="000C5C4D"/>
    <w:rsid w:val="000C5C76"/>
    <w:rsid w:val="000C5CB3"/>
    <w:rsid w:val="000C5CB8"/>
    <w:rsid w:val="000C5CCB"/>
    <w:rsid w:val="000C5CCC"/>
    <w:rsid w:val="000C5D1B"/>
    <w:rsid w:val="000C5DD1"/>
    <w:rsid w:val="000C5E86"/>
    <w:rsid w:val="000C5E8F"/>
    <w:rsid w:val="000C5FCC"/>
    <w:rsid w:val="000C6040"/>
    <w:rsid w:val="000C608F"/>
    <w:rsid w:val="000C60AB"/>
    <w:rsid w:val="000C60BF"/>
    <w:rsid w:val="000C60D1"/>
    <w:rsid w:val="000C617F"/>
    <w:rsid w:val="000C618A"/>
    <w:rsid w:val="000C61E4"/>
    <w:rsid w:val="000C61F7"/>
    <w:rsid w:val="000C6205"/>
    <w:rsid w:val="000C620B"/>
    <w:rsid w:val="000C623D"/>
    <w:rsid w:val="000C626D"/>
    <w:rsid w:val="000C627A"/>
    <w:rsid w:val="000C6291"/>
    <w:rsid w:val="000C62B0"/>
    <w:rsid w:val="000C62B2"/>
    <w:rsid w:val="000C62C2"/>
    <w:rsid w:val="000C62CC"/>
    <w:rsid w:val="000C635B"/>
    <w:rsid w:val="000C6439"/>
    <w:rsid w:val="000C6462"/>
    <w:rsid w:val="000C649F"/>
    <w:rsid w:val="000C64B1"/>
    <w:rsid w:val="000C64BF"/>
    <w:rsid w:val="000C657C"/>
    <w:rsid w:val="000C6589"/>
    <w:rsid w:val="000C65B2"/>
    <w:rsid w:val="000C65C1"/>
    <w:rsid w:val="000C65CE"/>
    <w:rsid w:val="000C6629"/>
    <w:rsid w:val="000C667A"/>
    <w:rsid w:val="000C670B"/>
    <w:rsid w:val="000C6713"/>
    <w:rsid w:val="000C671E"/>
    <w:rsid w:val="000C6781"/>
    <w:rsid w:val="000C6807"/>
    <w:rsid w:val="000C6846"/>
    <w:rsid w:val="000C686F"/>
    <w:rsid w:val="000C6871"/>
    <w:rsid w:val="000C6874"/>
    <w:rsid w:val="000C688D"/>
    <w:rsid w:val="000C68B2"/>
    <w:rsid w:val="000C68BA"/>
    <w:rsid w:val="000C68DD"/>
    <w:rsid w:val="000C6911"/>
    <w:rsid w:val="000C69AA"/>
    <w:rsid w:val="000C69BE"/>
    <w:rsid w:val="000C69F3"/>
    <w:rsid w:val="000C6A47"/>
    <w:rsid w:val="000C6A4B"/>
    <w:rsid w:val="000C6B27"/>
    <w:rsid w:val="000C6BC1"/>
    <w:rsid w:val="000C6BD9"/>
    <w:rsid w:val="000C6BE5"/>
    <w:rsid w:val="000C6C3D"/>
    <w:rsid w:val="000C6C87"/>
    <w:rsid w:val="000C6D32"/>
    <w:rsid w:val="000C6D4F"/>
    <w:rsid w:val="000C6DCF"/>
    <w:rsid w:val="000C6DF8"/>
    <w:rsid w:val="000C6DFB"/>
    <w:rsid w:val="000C6EC9"/>
    <w:rsid w:val="000C6EE6"/>
    <w:rsid w:val="000C6EEF"/>
    <w:rsid w:val="000C6F70"/>
    <w:rsid w:val="000C6F73"/>
    <w:rsid w:val="000C6F8B"/>
    <w:rsid w:val="000C6F8C"/>
    <w:rsid w:val="000C6FA8"/>
    <w:rsid w:val="000C6FB4"/>
    <w:rsid w:val="000C6FB8"/>
    <w:rsid w:val="000C6FE3"/>
    <w:rsid w:val="000C7016"/>
    <w:rsid w:val="000C7019"/>
    <w:rsid w:val="000C70EF"/>
    <w:rsid w:val="000C7111"/>
    <w:rsid w:val="000C7134"/>
    <w:rsid w:val="000C714F"/>
    <w:rsid w:val="000C71AB"/>
    <w:rsid w:val="000C71D2"/>
    <w:rsid w:val="000C71E7"/>
    <w:rsid w:val="000C7210"/>
    <w:rsid w:val="000C7243"/>
    <w:rsid w:val="000C725C"/>
    <w:rsid w:val="000C7298"/>
    <w:rsid w:val="000C72B1"/>
    <w:rsid w:val="000C72D7"/>
    <w:rsid w:val="000C735A"/>
    <w:rsid w:val="000C7363"/>
    <w:rsid w:val="000C737E"/>
    <w:rsid w:val="000C747B"/>
    <w:rsid w:val="000C7580"/>
    <w:rsid w:val="000C75A5"/>
    <w:rsid w:val="000C75B3"/>
    <w:rsid w:val="000C7620"/>
    <w:rsid w:val="000C763E"/>
    <w:rsid w:val="000C7646"/>
    <w:rsid w:val="000C764A"/>
    <w:rsid w:val="000C76D0"/>
    <w:rsid w:val="000C76E6"/>
    <w:rsid w:val="000C772B"/>
    <w:rsid w:val="000C772D"/>
    <w:rsid w:val="000C773A"/>
    <w:rsid w:val="000C77AA"/>
    <w:rsid w:val="000C77E1"/>
    <w:rsid w:val="000C7814"/>
    <w:rsid w:val="000C7916"/>
    <w:rsid w:val="000C7918"/>
    <w:rsid w:val="000C7945"/>
    <w:rsid w:val="000C794B"/>
    <w:rsid w:val="000C794D"/>
    <w:rsid w:val="000C7965"/>
    <w:rsid w:val="000C79AC"/>
    <w:rsid w:val="000C79DE"/>
    <w:rsid w:val="000C7A3B"/>
    <w:rsid w:val="000C7A7C"/>
    <w:rsid w:val="000C7B00"/>
    <w:rsid w:val="000C7B17"/>
    <w:rsid w:val="000C7B25"/>
    <w:rsid w:val="000C7B81"/>
    <w:rsid w:val="000C7BEB"/>
    <w:rsid w:val="000C7C06"/>
    <w:rsid w:val="000C7C14"/>
    <w:rsid w:val="000C7C15"/>
    <w:rsid w:val="000C7C28"/>
    <w:rsid w:val="000C7C44"/>
    <w:rsid w:val="000C7C49"/>
    <w:rsid w:val="000C7CB7"/>
    <w:rsid w:val="000C7CD1"/>
    <w:rsid w:val="000C7CD8"/>
    <w:rsid w:val="000C7CEC"/>
    <w:rsid w:val="000C7D11"/>
    <w:rsid w:val="000C7D94"/>
    <w:rsid w:val="000C7DD6"/>
    <w:rsid w:val="000C7E21"/>
    <w:rsid w:val="000C7E39"/>
    <w:rsid w:val="000C7E5C"/>
    <w:rsid w:val="000C7E80"/>
    <w:rsid w:val="000C7EA8"/>
    <w:rsid w:val="000C7EA9"/>
    <w:rsid w:val="000C7EEC"/>
    <w:rsid w:val="000C7FBF"/>
    <w:rsid w:val="000C7FC1"/>
    <w:rsid w:val="000D003E"/>
    <w:rsid w:val="000D0046"/>
    <w:rsid w:val="000D007D"/>
    <w:rsid w:val="000D008F"/>
    <w:rsid w:val="000D00A7"/>
    <w:rsid w:val="000D010B"/>
    <w:rsid w:val="000D013C"/>
    <w:rsid w:val="000D01EE"/>
    <w:rsid w:val="000D0201"/>
    <w:rsid w:val="000D0232"/>
    <w:rsid w:val="000D0258"/>
    <w:rsid w:val="000D025A"/>
    <w:rsid w:val="000D025F"/>
    <w:rsid w:val="000D02A0"/>
    <w:rsid w:val="000D02E3"/>
    <w:rsid w:val="000D03CE"/>
    <w:rsid w:val="000D03E8"/>
    <w:rsid w:val="000D044A"/>
    <w:rsid w:val="000D0457"/>
    <w:rsid w:val="000D045A"/>
    <w:rsid w:val="000D045C"/>
    <w:rsid w:val="000D045D"/>
    <w:rsid w:val="000D0485"/>
    <w:rsid w:val="000D051B"/>
    <w:rsid w:val="000D0548"/>
    <w:rsid w:val="000D054A"/>
    <w:rsid w:val="000D05E9"/>
    <w:rsid w:val="000D05F2"/>
    <w:rsid w:val="000D0600"/>
    <w:rsid w:val="000D061F"/>
    <w:rsid w:val="000D0680"/>
    <w:rsid w:val="000D06C9"/>
    <w:rsid w:val="000D0737"/>
    <w:rsid w:val="000D0771"/>
    <w:rsid w:val="000D07B3"/>
    <w:rsid w:val="000D07B7"/>
    <w:rsid w:val="000D07D2"/>
    <w:rsid w:val="000D0834"/>
    <w:rsid w:val="000D084C"/>
    <w:rsid w:val="000D088A"/>
    <w:rsid w:val="000D0891"/>
    <w:rsid w:val="000D08BB"/>
    <w:rsid w:val="000D08D4"/>
    <w:rsid w:val="000D08F6"/>
    <w:rsid w:val="000D09AA"/>
    <w:rsid w:val="000D09E6"/>
    <w:rsid w:val="000D0A05"/>
    <w:rsid w:val="000D0A2A"/>
    <w:rsid w:val="000D0A4D"/>
    <w:rsid w:val="000D0A8C"/>
    <w:rsid w:val="000D0B30"/>
    <w:rsid w:val="000D0B3C"/>
    <w:rsid w:val="000D0C13"/>
    <w:rsid w:val="000D0C16"/>
    <w:rsid w:val="000D0C40"/>
    <w:rsid w:val="000D0C56"/>
    <w:rsid w:val="000D0C62"/>
    <w:rsid w:val="000D0D20"/>
    <w:rsid w:val="000D0D43"/>
    <w:rsid w:val="000D0D50"/>
    <w:rsid w:val="000D0D5C"/>
    <w:rsid w:val="000D0DB9"/>
    <w:rsid w:val="000D0DE3"/>
    <w:rsid w:val="000D0E22"/>
    <w:rsid w:val="000D0E39"/>
    <w:rsid w:val="000D0E3B"/>
    <w:rsid w:val="000D0E51"/>
    <w:rsid w:val="000D0EED"/>
    <w:rsid w:val="000D0EF5"/>
    <w:rsid w:val="000D0F2D"/>
    <w:rsid w:val="000D0FA0"/>
    <w:rsid w:val="000D0FAC"/>
    <w:rsid w:val="000D0FCD"/>
    <w:rsid w:val="000D0FDB"/>
    <w:rsid w:val="000D0FF4"/>
    <w:rsid w:val="000D1078"/>
    <w:rsid w:val="000D10EA"/>
    <w:rsid w:val="000D10F0"/>
    <w:rsid w:val="000D1120"/>
    <w:rsid w:val="000D1196"/>
    <w:rsid w:val="000D11FC"/>
    <w:rsid w:val="000D1247"/>
    <w:rsid w:val="000D1305"/>
    <w:rsid w:val="000D133E"/>
    <w:rsid w:val="000D13E4"/>
    <w:rsid w:val="000D1477"/>
    <w:rsid w:val="000D151A"/>
    <w:rsid w:val="000D15F1"/>
    <w:rsid w:val="000D162C"/>
    <w:rsid w:val="000D16B6"/>
    <w:rsid w:val="000D16F4"/>
    <w:rsid w:val="000D16FE"/>
    <w:rsid w:val="000D1722"/>
    <w:rsid w:val="000D1729"/>
    <w:rsid w:val="000D172E"/>
    <w:rsid w:val="000D1744"/>
    <w:rsid w:val="000D1755"/>
    <w:rsid w:val="000D1756"/>
    <w:rsid w:val="000D1779"/>
    <w:rsid w:val="000D177F"/>
    <w:rsid w:val="000D17B8"/>
    <w:rsid w:val="000D17CF"/>
    <w:rsid w:val="000D1812"/>
    <w:rsid w:val="000D184A"/>
    <w:rsid w:val="000D189B"/>
    <w:rsid w:val="000D194F"/>
    <w:rsid w:val="000D1958"/>
    <w:rsid w:val="000D1983"/>
    <w:rsid w:val="000D19C4"/>
    <w:rsid w:val="000D1A34"/>
    <w:rsid w:val="000D1A35"/>
    <w:rsid w:val="000D1AF7"/>
    <w:rsid w:val="000D1B02"/>
    <w:rsid w:val="000D1B09"/>
    <w:rsid w:val="000D1B1C"/>
    <w:rsid w:val="000D1B49"/>
    <w:rsid w:val="000D1BA2"/>
    <w:rsid w:val="000D1BC5"/>
    <w:rsid w:val="000D1C63"/>
    <w:rsid w:val="000D1C64"/>
    <w:rsid w:val="000D1C66"/>
    <w:rsid w:val="000D1CE1"/>
    <w:rsid w:val="000D1CF3"/>
    <w:rsid w:val="000D1D27"/>
    <w:rsid w:val="000D1D2E"/>
    <w:rsid w:val="000D1DAA"/>
    <w:rsid w:val="000D1DCF"/>
    <w:rsid w:val="000D1E74"/>
    <w:rsid w:val="000D1E7C"/>
    <w:rsid w:val="000D1E83"/>
    <w:rsid w:val="000D1E9A"/>
    <w:rsid w:val="000D1EC2"/>
    <w:rsid w:val="000D1F84"/>
    <w:rsid w:val="000D1FA9"/>
    <w:rsid w:val="000D2018"/>
    <w:rsid w:val="000D2027"/>
    <w:rsid w:val="000D2056"/>
    <w:rsid w:val="000D2058"/>
    <w:rsid w:val="000D2060"/>
    <w:rsid w:val="000D20A0"/>
    <w:rsid w:val="000D20BC"/>
    <w:rsid w:val="000D20D3"/>
    <w:rsid w:val="000D20D5"/>
    <w:rsid w:val="000D2125"/>
    <w:rsid w:val="000D2135"/>
    <w:rsid w:val="000D213E"/>
    <w:rsid w:val="000D215C"/>
    <w:rsid w:val="000D218E"/>
    <w:rsid w:val="000D2190"/>
    <w:rsid w:val="000D21B5"/>
    <w:rsid w:val="000D21EC"/>
    <w:rsid w:val="000D224A"/>
    <w:rsid w:val="000D2277"/>
    <w:rsid w:val="000D228E"/>
    <w:rsid w:val="000D22C2"/>
    <w:rsid w:val="000D22E7"/>
    <w:rsid w:val="000D2337"/>
    <w:rsid w:val="000D236B"/>
    <w:rsid w:val="000D2376"/>
    <w:rsid w:val="000D23BF"/>
    <w:rsid w:val="000D243D"/>
    <w:rsid w:val="000D2506"/>
    <w:rsid w:val="000D2521"/>
    <w:rsid w:val="000D2522"/>
    <w:rsid w:val="000D254F"/>
    <w:rsid w:val="000D25C6"/>
    <w:rsid w:val="000D265C"/>
    <w:rsid w:val="000D2681"/>
    <w:rsid w:val="000D2686"/>
    <w:rsid w:val="000D2691"/>
    <w:rsid w:val="000D26AF"/>
    <w:rsid w:val="000D26B6"/>
    <w:rsid w:val="000D26DF"/>
    <w:rsid w:val="000D270B"/>
    <w:rsid w:val="000D2714"/>
    <w:rsid w:val="000D2728"/>
    <w:rsid w:val="000D274E"/>
    <w:rsid w:val="000D2773"/>
    <w:rsid w:val="000D27BA"/>
    <w:rsid w:val="000D27C9"/>
    <w:rsid w:val="000D2803"/>
    <w:rsid w:val="000D2812"/>
    <w:rsid w:val="000D2868"/>
    <w:rsid w:val="000D2878"/>
    <w:rsid w:val="000D28B4"/>
    <w:rsid w:val="000D28BB"/>
    <w:rsid w:val="000D28DB"/>
    <w:rsid w:val="000D2914"/>
    <w:rsid w:val="000D2928"/>
    <w:rsid w:val="000D2991"/>
    <w:rsid w:val="000D2999"/>
    <w:rsid w:val="000D29B4"/>
    <w:rsid w:val="000D29D1"/>
    <w:rsid w:val="000D29E1"/>
    <w:rsid w:val="000D29F2"/>
    <w:rsid w:val="000D29F5"/>
    <w:rsid w:val="000D29F7"/>
    <w:rsid w:val="000D2A7C"/>
    <w:rsid w:val="000D2AAD"/>
    <w:rsid w:val="000D2AF3"/>
    <w:rsid w:val="000D2C07"/>
    <w:rsid w:val="000D2C3F"/>
    <w:rsid w:val="000D2CA7"/>
    <w:rsid w:val="000D2D30"/>
    <w:rsid w:val="000D2D48"/>
    <w:rsid w:val="000D2D76"/>
    <w:rsid w:val="000D2DB6"/>
    <w:rsid w:val="000D2DB8"/>
    <w:rsid w:val="000D2DFC"/>
    <w:rsid w:val="000D2E4E"/>
    <w:rsid w:val="000D2E72"/>
    <w:rsid w:val="000D2EA3"/>
    <w:rsid w:val="000D2ED6"/>
    <w:rsid w:val="000D2F5C"/>
    <w:rsid w:val="000D2FC1"/>
    <w:rsid w:val="000D3035"/>
    <w:rsid w:val="000D306F"/>
    <w:rsid w:val="000D30BF"/>
    <w:rsid w:val="000D30D3"/>
    <w:rsid w:val="000D3153"/>
    <w:rsid w:val="000D3191"/>
    <w:rsid w:val="000D31BF"/>
    <w:rsid w:val="000D31F1"/>
    <w:rsid w:val="000D321A"/>
    <w:rsid w:val="000D321D"/>
    <w:rsid w:val="000D3297"/>
    <w:rsid w:val="000D32A1"/>
    <w:rsid w:val="000D32EE"/>
    <w:rsid w:val="000D3323"/>
    <w:rsid w:val="000D3347"/>
    <w:rsid w:val="000D3375"/>
    <w:rsid w:val="000D3395"/>
    <w:rsid w:val="000D33CB"/>
    <w:rsid w:val="000D33F5"/>
    <w:rsid w:val="000D343C"/>
    <w:rsid w:val="000D3477"/>
    <w:rsid w:val="000D3487"/>
    <w:rsid w:val="000D34B5"/>
    <w:rsid w:val="000D34F7"/>
    <w:rsid w:val="000D3518"/>
    <w:rsid w:val="000D351D"/>
    <w:rsid w:val="000D35D4"/>
    <w:rsid w:val="000D361D"/>
    <w:rsid w:val="000D3659"/>
    <w:rsid w:val="000D3698"/>
    <w:rsid w:val="000D36DE"/>
    <w:rsid w:val="000D3701"/>
    <w:rsid w:val="000D3702"/>
    <w:rsid w:val="000D373B"/>
    <w:rsid w:val="000D375E"/>
    <w:rsid w:val="000D3789"/>
    <w:rsid w:val="000D3790"/>
    <w:rsid w:val="000D3825"/>
    <w:rsid w:val="000D38F4"/>
    <w:rsid w:val="000D38F6"/>
    <w:rsid w:val="000D3967"/>
    <w:rsid w:val="000D397C"/>
    <w:rsid w:val="000D3983"/>
    <w:rsid w:val="000D39E1"/>
    <w:rsid w:val="000D39E6"/>
    <w:rsid w:val="000D3A17"/>
    <w:rsid w:val="000D3A39"/>
    <w:rsid w:val="000D3A73"/>
    <w:rsid w:val="000D3A7F"/>
    <w:rsid w:val="000D3A83"/>
    <w:rsid w:val="000D3A96"/>
    <w:rsid w:val="000D3AAF"/>
    <w:rsid w:val="000D3AD6"/>
    <w:rsid w:val="000D3BBA"/>
    <w:rsid w:val="000D3BBB"/>
    <w:rsid w:val="000D3C0E"/>
    <w:rsid w:val="000D3C43"/>
    <w:rsid w:val="000D3C77"/>
    <w:rsid w:val="000D3CC5"/>
    <w:rsid w:val="000D3CD2"/>
    <w:rsid w:val="000D3D4F"/>
    <w:rsid w:val="000D3D5F"/>
    <w:rsid w:val="000D3DC8"/>
    <w:rsid w:val="000D3DEB"/>
    <w:rsid w:val="000D3E0A"/>
    <w:rsid w:val="000D3E47"/>
    <w:rsid w:val="000D3EB9"/>
    <w:rsid w:val="000D3EC4"/>
    <w:rsid w:val="000D3ED2"/>
    <w:rsid w:val="000D3ED9"/>
    <w:rsid w:val="000D3EEA"/>
    <w:rsid w:val="000D3F10"/>
    <w:rsid w:val="000D3F6C"/>
    <w:rsid w:val="000D3F78"/>
    <w:rsid w:val="000D402F"/>
    <w:rsid w:val="000D4049"/>
    <w:rsid w:val="000D404B"/>
    <w:rsid w:val="000D4082"/>
    <w:rsid w:val="000D4086"/>
    <w:rsid w:val="000D410F"/>
    <w:rsid w:val="000D4147"/>
    <w:rsid w:val="000D4160"/>
    <w:rsid w:val="000D41C7"/>
    <w:rsid w:val="000D41E7"/>
    <w:rsid w:val="000D420E"/>
    <w:rsid w:val="000D420F"/>
    <w:rsid w:val="000D424D"/>
    <w:rsid w:val="000D4251"/>
    <w:rsid w:val="000D4260"/>
    <w:rsid w:val="000D42CF"/>
    <w:rsid w:val="000D42E7"/>
    <w:rsid w:val="000D4305"/>
    <w:rsid w:val="000D4326"/>
    <w:rsid w:val="000D433A"/>
    <w:rsid w:val="000D43A4"/>
    <w:rsid w:val="000D43F8"/>
    <w:rsid w:val="000D43FE"/>
    <w:rsid w:val="000D4413"/>
    <w:rsid w:val="000D4417"/>
    <w:rsid w:val="000D441E"/>
    <w:rsid w:val="000D4431"/>
    <w:rsid w:val="000D4442"/>
    <w:rsid w:val="000D445D"/>
    <w:rsid w:val="000D44B7"/>
    <w:rsid w:val="000D455F"/>
    <w:rsid w:val="000D4572"/>
    <w:rsid w:val="000D4585"/>
    <w:rsid w:val="000D4656"/>
    <w:rsid w:val="000D46C3"/>
    <w:rsid w:val="000D46C7"/>
    <w:rsid w:val="000D46DA"/>
    <w:rsid w:val="000D46E4"/>
    <w:rsid w:val="000D478B"/>
    <w:rsid w:val="000D4797"/>
    <w:rsid w:val="000D47BA"/>
    <w:rsid w:val="000D485B"/>
    <w:rsid w:val="000D486B"/>
    <w:rsid w:val="000D48C5"/>
    <w:rsid w:val="000D48D6"/>
    <w:rsid w:val="000D48D7"/>
    <w:rsid w:val="000D490D"/>
    <w:rsid w:val="000D4964"/>
    <w:rsid w:val="000D49AB"/>
    <w:rsid w:val="000D49CB"/>
    <w:rsid w:val="000D49E1"/>
    <w:rsid w:val="000D4A09"/>
    <w:rsid w:val="000D4A18"/>
    <w:rsid w:val="000D4A3E"/>
    <w:rsid w:val="000D4A64"/>
    <w:rsid w:val="000D4A6D"/>
    <w:rsid w:val="000D4A87"/>
    <w:rsid w:val="000D4AC0"/>
    <w:rsid w:val="000D4AF2"/>
    <w:rsid w:val="000D4AF8"/>
    <w:rsid w:val="000D4B19"/>
    <w:rsid w:val="000D4B41"/>
    <w:rsid w:val="000D4BAB"/>
    <w:rsid w:val="000D4BFD"/>
    <w:rsid w:val="000D4C18"/>
    <w:rsid w:val="000D4C7C"/>
    <w:rsid w:val="000D4C9F"/>
    <w:rsid w:val="000D4CCF"/>
    <w:rsid w:val="000D4CEC"/>
    <w:rsid w:val="000D4D30"/>
    <w:rsid w:val="000D4D4C"/>
    <w:rsid w:val="000D4D95"/>
    <w:rsid w:val="000D4DCC"/>
    <w:rsid w:val="000D4DE3"/>
    <w:rsid w:val="000D4E7D"/>
    <w:rsid w:val="000D4E81"/>
    <w:rsid w:val="000D4EB7"/>
    <w:rsid w:val="000D4F15"/>
    <w:rsid w:val="000D4F3F"/>
    <w:rsid w:val="000D4F8D"/>
    <w:rsid w:val="000D5016"/>
    <w:rsid w:val="000D5059"/>
    <w:rsid w:val="000D50BD"/>
    <w:rsid w:val="000D50EA"/>
    <w:rsid w:val="000D5148"/>
    <w:rsid w:val="000D51B1"/>
    <w:rsid w:val="000D51B6"/>
    <w:rsid w:val="000D51B8"/>
    <w:rsid w:val="000D520F"/>
    <w:rsid w:val="000D5218"/>
    <w:rsid w:val="000D521C"/>
    <w:rsid w:val="000D5231"/>
    <w:rsid w:val="000D5235"/>
    <w:rsid w:val="000D529F"/>
    <w:rsid w:val="000D52CB"/>
    <w:rsid w:val="000D52DE"/>
    <w:rsid w:val="000D5331"/>
    <w:rsid w:val="000D533C"/>
    <w:rsid w:val="000D538D"/>
    <w:rsid w:val="000D53BE"/>
    <w:rsid w:val="000D53D9"/>
    <w:rsid w:val="000D53F2"/>
    <w:rsid w:val="000D542F"/>
    <w:rsid w:val="000D5458"/>
    <w:rsid w:val="000D5475"/>
    <w:rsid w:val="000D547A"/>
    <w:rsid w:val="000D548F"/>
    <w:rsid w:val="000D5497"/>
    <w:rsid w:val="000D54EA"/>
    <w:rsid w:val="000D5533"/>
    <w:rsid w:val="000D55D1"/>
    <w:rsid w:val="000D55DC"/>
    <w:rsid w:val="000D55F4"/>
    <w:rsid w:val="000D5610"/>
    <w:rsid w:val="000D5616"/>
    <w:rsid w:val="000D5656"/>
    <w:rsid w:val="000D566E"/>
    <w:rsid w:val="000D5707"/>
    <w:rsid w:val="000D5732"/>
    <w:rsid w:val="000D573E"/>
    <w:rsid w:val="000D576D"/>
    <w:rsid w:val="000D57DA"/>
    <w:rsid w:val="000D57FB"/>
    <w:rsid w:val="000D584F"/>
    <w:rsid w:val="000D5888"/>
    <w:rsid w:val="000D58B1"/>
    <w:rsid w:val="000D58B2"/>
    <w:rsid w:val="000D58EF"/>
    <w:rsid w:val="000D5913"/>
    <w:rsid w:val="000D5957"/>
    <w:rsid w:val="000D596E"/>
    <w:rsid w:val="000D5991"/>
    <w:rsid w:val="000D5A0D"/>
    <w:rsid w:val="000D5A0E"/>
    <w:rsid w:val="000D5A2B"/>
    <w:rsid w:val="000D5A79"/>
    <w:rsid w:val="000D5AA5"/>
    <w:rsid w:val="000D5AD1"/>
    <w:rsid w:val="000D5AE8"/>
    <w:rsid w:val="000D5B02"/>
    <w:rsid w:val="000D5B14"/>
    <w:rsid w:val="000D5B45"/>
    <w:rsid w:val="000D5B48"/>
    <w:rsid w:val="000D5B8D"/>
    <w:rsid w:val="000D5BDF"/>
    <w:rsid w:val="000D5BE8"/>
    <w:rsid w:val="000D5C03"/>
    <w:rsid w:val="000D5C32"/>
    <w:rsid w:val="000D5C71"/>
    <w:rsid w:val="000D5C79"/>
    <w:rsid w:val="000D5C81"/>
    <w:rsid w:val="000D5C91"/>
    <w:rsid w:val="000D5CBC"/>
    <w:rsid w:val="000D5CD7"/>
    <w:rsid w:val="000D5CDF"/>
    <w:rsid w:val="000D5CE6"/>
    <w:rsid w:val="000D5D16"/>
    <w:rsid w:val="000D5D26"/>
    <w:rsid w:val="000D5D80"/>
    <w:rsid w:val="000D5E02"/>
    <w:rsid w:val="000D5E52"/>
    <w:rsid w:val="000D5EE7"/>
    <w:rsid w:val="000D5F58"/>
    <w:rsid w:val="000D5FA4"/>
    <w:rsid w:val="000D5FB0"/>
    <w:rsid w:val="000D5FDB"/>
    <w:rsid w:val="000D6014"/>
    <w:rsid w:val="000D6019"/>
    <w:rsid w:val="000D6071"/>
    <w:rsid w:val="000D609A"/>
    <w:rsid w:val="000D6106"/>
    <w:rsid w:val="000D6121"/>
    <w:rsid w:val="000D6129"/>
    <w:rsid w:val="000D61AF"/>
    <w:rsid w:val="000D61B2"/>
    <w:rsid w:val="000D6209"/>
    <w:rsid w:val="000D633B"/>
    <w:rsid w:val="000D63A8"/>
    <w:rsid w:val="000D63BB"/>
    <w:rsid w:val="000D63FF"/>
    <w:rsid w:val="000D641D"/>
    <w:rsid w:val="000D6426"/>
    <w:rsid w:val="000D64CF"/>
    <w:rsid w:val="000D6519"/>
    <w:rsid w:val="000D652A"/>
    <w:rsid w:val="000D6618"/>
    <w:rsid w:val="000D663F"/>
    <w:rsid w:val="000D6682"/>
    <w:rsid w:val="000D66CB"/>
    <w:rsid w:val="000D66CD"/>
    <w:rsid w:val="000D66D5"/>
    <w:rsid w:val="000D66F8"/>
    <w:rsid w:val="000D672D"/>
    <w:rsid w:val="000D67A6"/>
    <w:rsid w:val="000D67AC"/>
    <w:rsid w:val="000D6832"/>
    <w:rsid w:val="000D6841"/>
    <w:rsid w:val="000D68C2"/>
    <w:rsid w:val="000D68EF"/>
    <w:rsid w:val="000D6912"/>
    <w:rsid w:val="000D69B5"/>
    <w:rsid w:val="000D69B7"/>
    <w:rsid w:val="000D69E0"/>
    <w:rsid w:val="000D6A5F"/>
    <w:rsid w:val="000D6ABB"/>
    <w:rsid w:val="000D6AE7"/>
    <w:rsid w:val="000D6B49"/>
    <w:rsid w:val="000D6B82"/>
    <w:rsid w:val="000D6B8F"/>
    <w:rsid w:val="000D6BA9"/>
    <w:rsid w:val="000D6BD3"/>
    <w:rsid w:val="000D6BD4"/>
    <w:rsid w:val="000D6C9A"/>
    <w:rsid w:val="000D6CC2"/>
    <w:rsid w:val="000D6CD5"/>
    <w:rsid w:val="000D6D63"/>
    <w:rsid w:val="000D6DD0"/>
    <w:rsid w:val="000D6DDC"/>
    <w:rsid w:val="000D6E14"/>
    <w:rsid w:val="000D6F26"/>
    <w:rsid w:val="000D6F2B"/>
    <w:rsid w:val="000D6F81"/>
    <w:rsid w:val="000D6FA0"/>
    <w:rsid w:val="000D6FBB"/>
    <w:rsid w:val="000D7040"/>
    <w:rsid w:val="000D704B"/>
    <w:rsid w:val="000D7088"/>
    <w:rsid w:val="000D7103"/>
    <w:rsid w:val="000D7192"/>
    <w:rsid w:val="000D71AD"/>
    <w:rsid w:val="000D7201"/>
    <w:rsid w:val="000D7235"/>
    <w:rsid w:val="000D7236"/>
    <w:rsid w:val="000D7238"/>
    <w:rsid w:val="000D7241"/>
    <w:rsid w:val="000D7267"/>
    <w:rsid w:val="000D726B"/>
    <w:rsid w:val="000D727A"/>
    <w:rsid w:val="000D729D"/>
    <w:rsid w:val="000D7304"/>
    <w:rsid w:val="000D735D"/>
    <w:rsid w:val="000D73C3"/>
    <w:rsid w:val="000D73EE"/>
    <w:rsid w:val="000D73FA"/>
    <w:rsid w:val="000D7405"/>
    <w:rsid w:val="000D742C"/>
    <w:rsid w:val="000D7483"/>
    <w:rsid w:val="000D74A3"/>
    <w:rsid w:val="000D7557"/>
    <w:rsid w:val="000D756D"/>
    <w:rsid w:val="000D7625"/>
    <w:rsid w:val="000D762C"/>
    <w:rsid w:val="000D7650"/>
    <w:rsid w:val="000D767A"/>
    <w:rsid w:val="000D7683"/>
    <w:rsid w:val="000D775B"/>
    <w:rsid w:val="000D7884"/>
    <w:rsid w:val="000D7931"/>
    <w:rsid w:val="000D7951"/>
    <w:rsid w:val="000D796F"/>
    <w:rsid w:val="000D79CC"/>
    <w:rsid w:val="000D79D2"/>
    <w:rsid w:val="000D79FF"/>
    <w:rsid w:val="000D7ABC"/>
    <w:rsid w:val="000D7B0C"/>
    <w:rsid w:val="000D7B1F"/>
    <w:rsid w:val="000D7B45"/>
    <w:rsid w:val="000D7B52"/>
    <w:rsid w:val="000D7B81"/>
    <w:rsid w:val="000D7B89"/>
    <w:rsid w:val="000D7B8C"/>
    <w:rsid w:val="000D7BA6"/>
    <w:rsid w:val="000D7BF3"/>
    <w:rsid w:val="000D7C45"/>
    <w:rsid w:val="000D7C82"/>
    <w:rsid w:val="000D7CBB"/>
    <w:rsid w:val="000D7D0A"/>
    <w:rsid w:val="000D7D5A"/>
    <w:rsid w:val="000D7F20"/>
    <w:rsid w:val="000D7F42"/>
    <w:rsid w:val="000D7F4C"/>
    <w:rsid w:val="000D7F79"/>
    <w:rsid w:val="000D7FCD"/>
    <w:rsid w:val="000D7FE8"/>
    <w:rsid w:val="000D7FFA"/>
    <w:rsid w:val="000DD9EC"/>
    <w:rsid w:val="000E001A"/>
    <w:rsid w:val="000E0023"/>
    <w:rsid w:val="000E0039"/>
    <w:rsid w:val="000E00B7"/>
    <w:rsid w:val="000E00E0"/>
    <w:rsid w:val="000E0100"/>
    <w:rsid w:val="000E0126"/>
    <w:rsid w:val="000E012A"/>
    <w:rsid w:val="000E013F"/>
    <w:rsid w:val="000E014B"/>
    <w:rsid w:val="000E01F5"/>
    <w:rsid w:val="000E0209"/>
    <w:rsid w:val="000E020A"/>
    <w:rsid w:val="000E023E"/>
    <w:rsid w:val="000E024B"/>
    <w:rsid w:val="000E0259"/>
    <w:rsid w:val="000E02F8"/>
    <w:rsid w:val="000E0355"/>
    <w:rsid w:val="000E0365"/>
    <w:rsid w:val="000E036B"/>
    <w:rsid w:val="000E03EE"/>
    <w:rsid w:val="000E0491"/>
    <w:rsid w:val="000E049A"/>
    <w:rsid w:val="000E04CB"/>
    <w:rsid w:val="000E04E6"/>
    <w:rsid w:val="000E04F1"/>
    <w:rsid w:val="000E05BB"/>
    <w:rsid w:val="000E05D6"/>
    <w:rsid w:val="000E05FD"/>
    <w:rsid w:val="000E0628"/>
    <w:rsid w:val="000E0631"/>
    <w:rsid w:val="000E06CC"/>
    <w:rsid w:val="000E06DB"/>
    <w:rsid w:val="000E06EC"/>
    <w:rsid w:val="000E06F4"/>
    <w:rsid w:val="000E076A"/>
    <w:rsid w:val="000E07BA"/>
    <w:rsid w:val="000E0800"/>
    <w:rsid w:val="000E0806"/>
    <w:rsid w:val="000E082C"/>
    <w:rsid w:val="000E08AA"/>
    <w:rsid w:val="000E08B5"/>
    <w:rsid w:val="000E08C3"/>
    <w:rsid w:val="000E08E4"/>
    <w:rsid w:val="000E08EF"/>
    <w:rsid w:val="000E093C"/>
    <w:rsid w:val="000E094A"/>
    <w:rsid w:val="000E0970"/>
    <w:rsid w:val="000E0971"/>
    <w:rsid w:val="000E09F4"/>
    <w:rsid w:val="000E0A88"/>
    <w:rsid w:val="000E0A8F"/>
    <w:rsid w:val="000E0AE4"/>
    <w:rsid w:val="000E0B2A"/>
    <w:rsid w:val="000E0B58"/>
    <w:rsid w:val="000E0C02"/>
    <w:rsid w:val="000E0C08"/>
    <w:rsid w:val="000E0C99"/>
    <w:rsid w:val="000E0CCF"/>
    <w:rsid w:val="000E0CE3"/>
    <w:rsid w:val="000E0D25"/>
    <w:rsid w:val="000E0D7F"/>
    <w:rsid w:val="000E0D9F"/>
    <w:rsid w:val="000E0DDF"/>
    <w:rsid w:val="000E0DF3"/>
    <w:rsid w:val="000E0E19"/>
    <w:rsid w:val="000E0E32"/>
    <w:rsid w:val="000E0E61"/>
    <w:rsid w:val="000E0E7E"/>
    <w:rsid w:val="000E0E90"/>
    <w:rsid w:val="000E0EB8"/>
    <w:rsid w:val="000E0EE3"/>
    <w:rsid w:val="000E0EF2"/>
    <w:rsid w:val="000E0F88"/>
    <w:rsid w:val="000E0FB3"/>
    <w:rsid w:val="000E0FDA"/>
    <w:rsid w:val="000E102F"/>
    <w:rsid w:val="000E105B"/>
    <w:rsid w:val="000E10B4"/>
    <w:rsid w:val="000E1116"/>
    <w:rsid w:val="000E1117"/>
    <w:rsid w:val="000E114C"/>
    <w:rsid w:val="000E1153"/>
    <w:rsid w:val="000E1176"/>
    <w:rsid w:val="000E118F"/>
    <w:rsid w:val="000E1215"/>
    <w:rsid w:val="000E126B"/>
    <w:rsid w:val="000E128F"/>
    <w:rsid w:val="000E129B"/>
    <w:rsid w:val="000E139C"/>
    <w:rsid w:val="000E152F"/>
    <w:rsid w:val="000E1550"/>
    <w:rsid w:val="000E156B"/>
    <w:rsid w:val="000E1570"/>
    <w:rsid w:val="000E15A5"/>
    <w:rsid w:val="000E15B0"/>
    <w:rsid w:val="000E15E6"/>
    <w:rsid w:val="000E1668"/>
    <w:rsid w:val="000E1684"/>
    <w:rsid w:val="000E16EE"/>
    <w:rsid w:val="000E16FE"/>
    <w:rsid w:val="000E1703"/>
    <w:rsid w:val="000E1716"/>
    <w:rsid w:val="000E171B"/>
    <w:rsid w:val="000E172E"/>
    <w:rsid w:val="000E17B0"/>
    <w:rsid w:val="000E17E0"/>
    <w:rsid w:val="000E17F4"/>
    <w:rsid w:val="000E1832"/>
    <w:rsid w:val="000E1842"/>
    <w:rsid w:val="000E187C"/>
    <w:rsid w:val="000E18E1"/>
    <w:rsid w:val="000E192C"/>
    <w:rsid w:val="000E193C"/>
    <w:rsid w:val="000E1955"/>
    <w:rsid w:val="000E1970"/>
    <w:rsid w:val="000E19DA"/>
    <w:rsid w:val="000E1A11"/>
    <w:rsid w:val="000E1A66"/>
    <w:rsid w:val="000E1AE2"/>
    <w:rsid w:val="000E1B0B"/>
    <w:rsid w:val="000E1B23"/>
    <w:rsid w:val="000E1B2C"/>
    <w:rsid w:val="000E1B90"/>
    <w:rsid w:val="000E1C8B"/>
    <w:rsid w:val="000E1CE0"/>
    <w:rsid w:val="000E1D50"/>
    <w:rsid w:val="000E1D51"/>
    <w:rsid w:val="000E1DDD"/>
    <w:rsid w:val="000E1E79"/>
    <w:rsid w:val="000E1EBE"/>
    <w:rsid w:val="000E1F4D"/>
    <w:rsid w:val="000E1F50"/>
    <w:rsid w:val="000E202E"/>
    <w:rsid w:val="000E205E"/>
    <w:rsid w:val="000E209E"/>
    <w:rsid w:val="000E20AE"/>
    <w:rsid w:val="000E2151"/>
    <w:rsid w:val="000E2209"/>
    <w:rsid w:val="000E2250"/>
    <w:rsid w:val="000E227A"/>
    <w:rsid w:val="000E2363"/>
    <w:rsid w:val="000E237B"/>
    <w:rsid w:val="000E23C8"/>
    <w:rsid w:val="000E23E1"/>
    <w:rsid w:val="000E23FD"/>
    <w:rsid w:val="000E24ED"/>
    <w:rsid w:val="000E250C"/>
    <w:rsid w:val="000E2542"/>
    <w:rsid w:val="000E255E"/>
    <w:rsid w:val="000E2600"/>
    <w:rsid w:val="000E2639"/>
    <w:rsid w:val="000E2680"/>
    <w:rsid w:val="000E271C"/>
    <w:rsid w:val="000E2750"/>
    <w:rsid w:val="000E275A"/>
    <w:rsid w:val="000E27D3"/>
    <w:rsid w:val="000E280B"/>
    <w:rsid w:val="000E282F"/>
    <w:rsid w:val="000E2876"/>
    <w:rsid w:val="000E2881"/>
    <w:rsid w:val="000E2883"/>
    <w:rsid w:val="000E2906"/>
    <w:rsid w:val="000E291A"/>
    <w:rsid w:val="000E2964"/>
    <w:rsid w:val="000E2965"/>
    <w:rsid w:val="000E29EE"/>
    <w:rsid w:val="000E2A2B"/>
    <w:rsid w:val="000E2A73"/>
    <w:rsid w:val="000E2AC4"/>
    <w:rsid w:val="000E2AC8"/>
    <w:rsid w:val="000E2AD2"/>
    <w:rsid w:val="000E2AF2"/>
    <w:rsid w:val="000E2B09"/>
    <w:rsid w:val="000E2B2B"/>
    <w:rsid w:val="000E2B5F"/>
    <w:rsid w:val="000E2B6E"/>
    <w:rsid w:val="000E2B8A"/>
    <w:rsid w:val="000E2C08"/>
    <w:rsid w:val="000E2D04"/>
    <w:rsid w:val="000E2D46"/>
    <w:rsid w:val="000E2D57"/>
    <w:rsid w:val="000E2D7D"/>
    <w:rsid w:val="000E2D95"/>
    <w:rsid w:val="000E2DBE"/>
    <w:rsid w:val="000E2DBF"/>
    <w:rsid w:val="000E2DFB"/>
    <w:rsid w:val="000E2E44"/>
    <w:rsid w:val="000E2E75"/>
    <w:rsid w:val="000E2E7F"/>
    <w:rsid w:val="000E2EA4"/>
    <w:rsid w:val="000E2EBA"/>
    <w:rsid w:val="000E2ED5"/>
    <w:rsid w:val="000E2EF3"/>
    <w:rsid w:val="000E2F0A"/>
    <w:rsid w:val="000E2F74"/>
    <w:rsid w:val="000E300D"/>
    <w:rsid w:val="000E3012"/>
    <w:rsid w:val="000E3027"/>
    <w:rsid w:val="000E3037"/>
    <w:rsid w:val="000E3062"/>
    <w:rsid w:val="000E30A9"/>
    <w:rsid w:val="000E30B7"/>
    <w:rsid w:val="000E30BE"/>
    <w:rsid w:val="000E30C4"/>
    <w:rsid w:val="000E311D"/>
    <w:rsid w:val="000E311E"/>
    <w:rsid w:val="000E312B"/>
    <w:rsid w:val="000E314C"/>
    <w:rsid w:val="000E3183"/>
    <w:rsid w:val="000E320C"/>
    <w:rsid w:val="000E321C"/>
    <w:rsid w:val="000E3220"/>
    <w:rsid w:val="000E3241"/>
    <w:rsid w:val="000E324B"/>
    <w:rsid w:val="000E325B"/>
    <w:rsid w:val="000E3282"/>
    <w:rsid w:val="000E3285"/>
    <w:rsid w:val="000E32BB"/>
    <w:rsid w:val="000E32FA"/>
    <w:rsid w:val="000E3306"/>
    <w:rsid w:val="000E3345"/>
    <w:rsid w:val="000E33DA"/>
    <w:rsid w:val="000E33F2"/>
    <w:rsid w:val="000E340B"/>
    <w:rsid w:val="000E342C"/>
    <w:rsid w:val="000E3430"/>
    <w:rsid w:val="000E3435"/>
    <w:rsid w:val="000E3454"/>
    <w:rsid w:val="000E346E"/>
    <w:rsid w:val="000E347F"/>
    <w:rsid w:val="000E34AF"/>
    <w:rsid w:val="000E351A"/>
    <w:rsid w:val="000E355F"/>
    <w:rsid w:val="000E35B1"/>
    <w:rsid w:val="000E3638"/>
    <w:rsid w:val="000E363B"/>
    <w:rsid w:val="000E366F"/>
    <w:rsid w:val="000E368A"/>
    <w:rsid w:val="000E36C7"/>
    <w:rsid w:val="000E3735"/>
    <w:rsid w:val="000E3772"/>
    <w:rsid w:val="000E38C1"/>
    <w:rsid w:val="000E38F6"/>
    <w:rsid w:val="000E392D"/>
    <w:rsid w:val="000E3991"/>
    <w:rsid w:val="000E39AC"/>
    <w:rsid w:val="000E39B3"/>
    <w:rsid w:val="000E39D5"/>
    <w:rsid w:val="000E39F0"/>
    <w:rsid w:val="000E3A2C"/>
    <w:rsid w:val="000E3A3C"/>
    <w:rsid w:val="000E3A6C"/>
    <w:rsid w:val="000E3AA6"/>
    <w:rsid w:val="000E3B3F"/>
    <w:rsid w:val="000E3B88"/>
    <w:rsid w:val="000E3BA7"/>
    <w:rsid w:val="000E3BBB"/>
    <w:rsid w:val="000E3C21"/>
    <w:rsid w:val="000E3C71"/>
    <w:rsid w:val="000E3C97"/>
    <w:rsid w:val="000E3CF8"/>
    <w:rsid w:val="000E3D04"/>
    <w:rsid w:val="000E3D3A"/>
    <w:rsid w:val="000E3DE7"/>
    <w:rsid w:val="000E3E63"/>
    <w:rsid w:val="000E3E71"/>
    <w:rsid w:val="000E3E78"/>
    <w:rsid w:val="000E3ED3"/>
    <w:rsid w:val="000E3EE2"/>
    <w:rsid w:val="000E3EE3"/>
    <w:rsid w:val="000E3F08"/>
    <w:rsid w:val="000E3F5D"/>
    <w:rsid w:val="000E3F64"/>
    <w:rsid w:val="000E3F67"/>
    <w:rsid w:val="000E3F85"/>
    <w:rsid w:val="000E403F"/>
    <w:rsid w:val="000E4088"/>
    <w:rsid w:val="000E40CC"/>
    <w:rsid w:val="000E415C"/>
    <w:rsid w:val="000E4167"/>
    <w:rsid w:val="000E41D4"/>
    <w:rsid w:val="000E41EC"/>
    <w:rsid w:val="000E424E"/>
    <w:rsid w:val="000E437F"/>
    <w:rsid w:val="000E43BE"/>
    <w:rsid w:val="000E43C3"/>
    <w:rsid w:val="000E43F4"/>
    <w:rsid w:val="000E4419"/>
    <w:rsid w:val="000E442E"/>
    <w:rsid w:val="000E4472"/>
    <w:rsid w:val="000E448A"/>
    <w:rsid w:val="000E4499"/>
    <w:rsid w:val="000E44C8"/>
    <w:rsid w:val="000E44D8"/>
    <w:rsid w:val="000E44EB"/>
    <w:rsid w:val="000E44F5"/>
    <w:rsid w:val="000E4536"/>
    <w:rsid w:val="000E4582"/>
    <w:rsid w:val="000E45DC"/>
    <w:rsid w:val="000E45E6"/>
    <w:rsid w:val="000E45EA"/>
    <w:rsid w:val="000E45EF"/>
    <w:rsid w:val="000E4629"/>
    <w:rsid w:val="000E4639"/>
    <w:rsid w:val="000E467A"/>
    <w:rsid w:val="000E46F7"/>
    <w:rsid w:val="000E4740"/>
    <w:rsid w:val="000E4741"/>
    <w:rsid w:val="000E478E"/>
    <w:rsid w:val="000E47AE"/>
    <w:rsid w:val="000E47AF"/>
    <w:rsid w:val="000E4805"/>
    <w:rsid w:val="000E480A"/>
    <w:rsid w:val="000E4885"/>
    <w:rsid w:val="000E488D"/>
    <w:rsid w:val="000E498D"/>
    <w:rsid w:val="000E498E"/>
    <w:rsid w:val="000E49B5"/>
    <w:rsid w:val="000E4A1D"/>
    <w:rsid w:val="000E4A4E"/>
    <w:rsid w:val="000E4A70"/>
    <w:rsid w:val="000E4A8E"/>
    <w:rsid w:val="000E4A9A"/>
    <w:rsid w:val="000E4AD5"/>
    <w:rsid w:val="000E4B39"/>
    <w:rsid w:val="000E4BAE"/>
    <w:rsid w:val="000E4BB7"/>
    <w:rsid w:val="000E4BD5"/>
    <w:rsid w:val="000E4BE1"/>
    <w:rsid w:val="000E4BEA"/>
    <w:rsid w:val="000E4BFE"/>
    <w:rsid w:val="000E4C18"/>
    <w:rsid w:val="000E4C24"/>
    <w:rsid w:val="000E4C8B"/>
    <w:rsid w:val="000E4D02"/>
    <w:rsid w:val="000E4D65"/>
    <w:rsid w:val="000E4D66"/>
    <w:rsid w:val="000E4E0E"/>
    <w:rsid w:val="000E4E90"/>
    <w:rsid w:val="000E4E9F"/>
    <w:rsid w:val="000E4F08"/>
    <w:rsid w:val="000E4F5F"/>
    <w:rsid w:val="000E4FC8"/>
    <w:rsid w:val="000E5005"/>
    <w:rsid w:val="000E5017"/>
    <w:rsid w:val="000E5064"/>
    <w:rsid w:val="000E5097"/>
    <w:rsid w:val="000E50C5"/>
    <w:rsid w:val="000E50FE"/>
    <w:rsid w:val="000E511B"/>
    <w:rsid w:val="000E5132"/>
    <w:rsid w:val="000E519D"/>
    <w:rsid w:val="000E522A"/>
    <w:rsid w:val="000E523B"/>
    <w:rsid w:val="000E5251"/>
    <w:rsid w:val="000E5258"/>
    <w:rsid w:val="000E5261"/>
    <w:rsid w:val="000E52ED"/>
    <w:rsid w:val="000E52FE"/>
    <w:rsid w:val="000E5308"/>
    <w:rsid w:val="000E5357"/>
    <w:rsid w:val="000E53C2"/>
    <w:rsid w:val="000E53C7"/>
    <w:rsid w:val="000E53E5"/>
    <w:rsid w:val="000E54AF"/>
    <w:rsid w:val="000E54C0"/>
    <w:rsid w:val="000E5565"/>
    <w:rsid w:val="000E5593"/>
    <w:rsid w:val="000E55BF"/>
    <w:rsid w:val="000E55D5"/>
    <w:rsid w:val="000E5619"/>
    <w:rsid w:val="000E5627"/>
    <w:rsid w:val="000E5649"/>
    <w:rsid w:val="000E566B"/>
    <w:rsid w:val="000E56C1"/>
    <w:rsid w:val="000E56D0"/>
    <w:rsid w:val="000E5725"/>
    <w:rsid w:val="000E57BD"/>
    <w:rsid w:val="000E5822"/>
    <w:rsid w:val="000E5873"/>
    <w:rsid w:val="000E5887"/>
    <w:rsid w:val="000E58DD"/>
    <w:rsid w:val="000E58F1"/>
    <w:rsid w:val="000E591B"/>
    <w:rsid w:val="000E5947"/>
    <w:rsid w:val="000E5983"/>
    <w:rsid w:val="000E598E"/>
    <w:rsid w:val="000E598F"/>
    <w:rsid w:val="000E59A2"/>
    <w:rsid w:val="000E59A5"/>
    <w:rsid w:val="000E59A6"/>
    <w:rsid w:val="000E59D9"/>
    <w:rsid w:val="000E59F1"/>
    <w:rsid w:val="000E5A0A"/>
    <w:rsid w:val="000E5A1C"/>
    <w:rsid w:val="000E5AC4"/>
    <w:rsid w:val="000E5B0A"/>
    <w:rsid w:val="000E5B52"/>
    <w:rsid w:val="000E5B5F"/>
    <w:rsid w:val="000E5BEA"/>
    <w:rsid w:val="000E5C2D"/>
    <w:rsid w:val="000E5C3A"/>
    <w:rsid w:val="000E5C69"/>
    <w:rsid w:val="000E5C6E"/>
    <w:rsid w:val="000E5CAC"/>
    <w:rsid w:val="000E5CD5"/>
    <w:rsid w:val="000E5CE8"/>
    <w:rsid w:val="000E5D24"/>
    <w:rsid w:val="000E5D4F"/>
    <w:rsid w:val="000E5D5C"/>
    <w:rsid w:val="000E5D5D"/>
    <w:rsid w:val="000E5D96"/>
    <w:rsid w:val="000E5DAF"/>
    <w:rsid w:val="000E5DC4"/>
    <w:rsid w:val="000E5E0F"/>
    <w:rsid w:val="000E5E1A"/>
    <w:rsid w:val="000E5E57"/>
    <w:rsid w:val="000E5E63"/>
    <w:rsid w:val="000E5EA8"/>
    <w:rsid w:val="000E5F65"/>
    <w:rsid w:val="000E5F89"/>
    <w:rsid w:val="000E6003"/>
    <w:rsid w:val="000E6044"/>
    <w:rsid w:val="000E6069"/>
    <w:rsid w:val="000E6135"/>
    <w:rsid w:val="000E6153"/>
    <w:rsid w:val="000E616D"/>
    <w:rsid w:val="000E6219"/>
    <w:rsid w:val="000E62C8"/>
    <w:rsid w:val="000E62CA"/>
    <w:rsid w:val="000E62E1"/>
    <w:rsid w:val="000E62F9"/>
    <w:rsid w:val="000E631F"/>
    <w:rsid w:val="000E6366"/>
    <w:rsid w:val="000E6387"/>
    <w:rsid w:val="000E639D"/>
    <w:rsid w:val="000E63C8"/>
    <w:rsid w:val="000E6482"/>
    <w:rsid w:val="000E64C7"/>
    <w:rsid w:val="000E6526"/>
    <w:rsid w:val="000E655D"/>
    <w:rsid w:val="000E6586"/>
    <w:rsid w:val="000E6589"/>
    <w:rsid w:val="000E662A"/>
    <w:rsid w:val="000E6692"/>
    <w:rsid w:val="000E66A4"/>
    <w:rsid w:val="000E6719"/>
    <w:rsid w:val="000E671C"/>
    <w:rsid w:val="000E678B"/>
    <w:rsid w:val="000E67A2"/>
    <w:rsid w:val="000E67DC"/>
    <w:rsid w:val="000E68A6"/>
    <w:rsid w:val="000E68C3"/>
    <w:rsid w:val="000E68D6"/>
    <w:rsid w:val="000E692B"/>
    <w:rsid w:val="000E6963"/>
    <w:rsid w:val="000E6979"/>
    <w:rsid w:val="000E699F"/>
    <w:rsid w:val="000E69F0"/>
    <w:rsid w:val="000E6A1A"/>
    <w:rsid w:val="000E6A42"/>
    <w:rsid w:val="000E6A7D"/>
    <w:rsid w:val="000E6B62"/>
    <w:rsid w:val="000E6B73"/>
    <w:rsid w:val="000E6B94"/>
    <w:rsid w:val="000E6BA7"/>
    <w:rsid w:val="000E6BC7"/>
    <w:rsid w:val="000E6BEB"/>
    <w:rsid w:val="000E6C22"/>
    <w:rsid w:val="000E6C28"/>
    <w:rsid w:val="000E6C3F"/>
    <w:rsid w:val="000E6C6E"/>
    <w:rsid w:val="000E6C80"/>
    <w:rsid w:val="000E6C98"/>
    <w:rsid w:val="000E6CCB"/>
    <w:rsid w:val="000E6D3C"/>
    <w:rsid w:val="000E6D43"/>
    <w:rsid w:val="000E6D6A"/>
    <w:rsid w:val="000E6D6B"/>
    <w:rsid w:val="000E6D94"/>
    <w:rsid w:val="000E6DDD"/>
    <w:rsid w:val="000E6E5D"/>
    <w:rsid w:val="000E6E73"/>
    <w:rsid w:val="000E6ED5"/>
    <w:rsid w:val="000E6F2A"/>
    <w:rsid w:val="000E6F46"/>
    <w:rsid w:val="000E6F7A"/>
    <w:rsid w:val="000E6FA2"/>
    <w:rsid w:val="000E6FA7"/>
    <w:rsid w:val="000E6FD4"/>
    <w:rsid w:val="000E705A"/>
    <w:rsid w:val="000E70A9"/>
    <w:rsid w:val="000E70D1"/>
    <w:rsid w:val="000E7107"/>
    <w:rsid w:val="000E712E"/>
    <w:rsid w:val="000E715D"/>
    <w:rsid w:val="000E719A"/>
    <w:rsid w:val="000E723D"/>
    <w:rsid w:val="000E7246"/>
    <w:rsid w:val="000E7270"/>
    <w:rsid w:val="000E7293"/>
    <w:rsid w:val="000E72BC"/>
    <w:rsid w:val="000E72F2"/>
    <w:rsid w:val="000E7332"/>
    <w:rsid w:val="000E73AD"/>
    <w:rsid w:val="000E7459"/>
    <w:rsid w:val="000E74B7"/>
    <w:rsid w:val="000E7561"/>
    <w:rsid w:val="000E7594"/>
    <w:rsid w:val="000E75A0"/>
    <w:rsid w:val="000E761F"/>
    <w:rsid w:val="000E7621"/>
    <w:rsid w:val="000E7644"/>
    <w:rsid w:val="000E769C"/>
    <w:rsid w:val="000E76AD"/>
    <w:rsid w:val="000E7733"/>
    <w:rsid w:val="000E77A6"/>
    <w:rsid w:val="000E7809"/>
    <w:rsid w:val="000E7827"/>
    <w:rsid w:val="000E78A7"/>
    <w:rsid w:val="000E78B3"/>
    <w:rsid w:val="000E7918"/>
    <w:rsid w:val="000E7947"/>
    <w:rsid w:val="000E7969"/>
    <w:rsid w:val="000E7976"/>
    <w:rsid w:val="000E7A06"/>
    <w:rsid w:val="000E7A85"/>
    <w:rsid w:val="000E7A90"/>
    <w:rsid w:val="000E7B0A"/>
    <w:rsid w:val="000E7B45"/>
    <w:rsid w:val="000E7B65"/>
    <w:rsid w:val="000E7BAA"/>
    <w:rsid w:val="000E7BB4"/>
    <w:rsid w:val="000E7BC0"/>
    <w:rsid w:val="000E7BE9"/>
    <w:rsid w:val="000E7CAF"/>
    <w:rsid w:val="000E7D3C"/>
    <w:rsid w:val="000E7D6F"/>
    <w:rsid w:val="000E7DC0"/>
    <w:rsid w:val="000E7DD3"/>
    <w:rsid w:val="000E7DF2"/>
    <w:rsid w:val="000E7E2E"/>
    <w:rsid w:val="000E7E73"/>
    <w:rsid w:val="000E7EB3"/>
    <w:rsid w:val="000E7EC3"/>
    <w:rsid w:val="000E7ED9"/>
    <w:rsid w:val="000E7F7E"/>
    <w:rsid w:val="000E7FBD"/>
    <w:rsid w:val="000E7FFE"/>
    <w:rsid w:val="000E8826"/>
    <w:rsid w:val="000EAA3D"/>
    <w:rsid w:val="000EC2F7"/>
    <w:rsid w:val="000F0030"/>
    <w:rsid w:val="000F0031"/>
    <w:rsid w:val="000F007C"/>
    <w:rsid w:val="000F00B4"/>
    <w:rsid w:val="000F0109"/>
    <w:rsid w:val="000F0114"/>
    <w:rsid w:val="000F01A3"/>
    <w:rsid w:val="000F01EC"/>
    <w:rsid w:val="000F0225"/>
    <w:rsid w:val="000F027D"/>
    <w:rsid w:val="000F02AA"/>
    <w:rsid w:val="000F02C0"/>
    <w:rsid w:val="000F0390"/>
    <w:rsid w:val="000F03D2"/>
    <w:rsid w:val="000F03FD"/>
    <w:rsid w:val="000F042C"/>
    <w:rsid w:val="000F0482"/>
    <w:rsid w:val="000F0491"/>
    <w:rsid w:val="000F0499"/>
    <w:rsid w:val="000F04B4"/>
    <w:rsid w:val="000F04B9"/>
    <w:rsid w:val="000F057C"/>
    <w:rsid w:val="000F059A"/>
    <w:rsid w:val="000F060A"/>
    <w:rsid w:val="000F060E"/>
    <w:rsid w:val="000F0617"/>
    <w:rsid w:val="000F0666"/>
    <w:rsid w:val="000F06C6"/>
    <w:rsid w:val="000F06CD"/>
    <w:rsid w:val="000F06FA"/>
    <w:rsid w:val="000F0716"/>
    <w:rsid w:val="000F0732"/>
    <w:rsid w:val="000F0767"/>
    <w:rsid w:val="000F0783"/>
    <w:rsid w:val="000F07B5"/>
    <w:rsid w:val="000F0867"/>
    <w:rsid w:val="000F0872"/>
    <w:rsid w:val="000F0890"/>
    <w:rsid w:val="000F0893"/>
    <w:rsid w:val="000F08C6"/>
    <w:rsid w:val="000F08F5"/>
    <w:rsid w:val="000F08FD"/>
    <w:rsid w:val="000F0953"/>
    <w:rsid w:val="000F0978"/>
    <w:rsid w:val="000F0997"/>
    <w:rsid w:val="000F09DA"/>
    <w:rsid w:val="000F0A4A"/>
    <w:rsid w:val="000F0A51"/>
    <w:rsid w:val="000F0AC5"/>
    <w:rsid w:val="000F0B35"/>
    <w:rsid w:val="000F0B6E"/>
    <w:rsid w:val="000F0BAC"/>
    <w:rsid w:val="000F0BD1"/>
    <w:rsid w:val="000F0BED"/>
    <w:rsid w:val="000F0C53"/>
    <w:rsid w:val="000F0C5F"/>
    <w:rsid w:val="000F0C8B"/>
    <w:rsid w:val="000F0C96"/>
    <w:rsid w:val="000F0CD0"/>
    <w:rsid w:val="000F0CD7"/>
    <w:rsid w:val="000F0D18"/>
    <w:rsid w:val="000F0D20"/>
    <w:rsid w:val="000F0E3C"/>
    <w:rsid w:val="000F0E72"/>
    <w:rsid w:val="000F0EBF"/>
    <w:rsid w:val="000F0EC5"/>
    <w:rsid w:val="000F0EFC"/>
    <w:rsid w:val="000F0F49"/>
    <w:rsid w:val="000F0F53"/>
    <w:rsid w:val="000F0F63"/>
    <w:rsid w:val="000F0F67"/>
    <w:rsid w:val="000F1024"/>
    <w:rsid w:val="000F105A"/>
    <w:rsid w:val="000F105F"/>
    <w:rsid w:val="000F107D"/>
    <w:rsid w:val="000F10FD"/>
    <w:rsid w:val="000F1148"/>
    <w:rsid w:val="000F11B0"/>
    <w:rsid w:val="000F11FF"/>
    <w:rsid w:val="000F1271"/>
    <w:rsid w:val="000F1288"/>
    <w:rsid w:val="000F128A"/>
    <w:rsid w:val="000F129B"/>
    <w:rsid w:val="000F12FE"/>
    <w:rsid w:val="000F1312"/>
    <w:rsid w:val="000F1347"/>
    <w:rsid w:val="000F1362"/>
    <w:rsid w:val="000F138D"/>
    <w:rsid w:val="000F13A2"/>
    <w:rsid w:val="000F13DA"/>
    <w:rsid w:val="000F13EE"/>
    <w:rsid w:val="000F1448"/>
    <w:rsid w:val="000F1465"/>
    <w:rsid w:val="000F1532"/>
    <w:rsid w:val="000F155D"/>
    <w:rsid w:val="000F157D"/>
    <w:rsid w:val="000F15A0"/>
    <w:rsid w:val="000F15C1"/>
    <w:rsid w:val="000F15E3"/>
    <w:rsid w:val="000F15EC"/>
    <w:rsid w:val="000F16D7"/>
    <w:rsid w:val="000F16E6"/>
    <w:rsid w:val="000F179E"/>
    <w:rsid w:val="000F17A1"/>
    <w:rsid w:val="000F17C2"/>
    <w:rsid w:val="000F183D"/>
    <w:rsid w:val="000F1845"/>
    <w:rsid w:val="000F1859"/>
    <w:rsid w:val="000F1888"/>
    <w:rsid w:val="000F188C"/>
    <w:rsid w:val="000F18D8"/>
    <w:rsid w:val="000F1907"/>
    <w:rsid w:val="000F1927"/>
    <w:rsid w:val="000F193B"/>
    <w:rsid w:val="000F196A"/>
    <w:rsid w:val="000F1981"/>
    <w:rsid w:val="000F19BD"/>
    <w:rsid w:val="000F1A5A"/>
    <w:rsid w:val="000F1AF8"/>
    <w:rsid w:val="000F1B0B"/>
    <w:rsid w:val="000F1B40"/>
    <w:rsid w:val="000F1B84"/>
    <w:rsid w:val="000F1B97"/>
    <w:rsid w:val="000F1BDE"/>
    <w:rsid w:val="000F1C1D"/>
    <w:rsid w:val="000F1C39"/>
    <w:rsid w:val="000F1CCA"/>
    <w:rsid w:val="000F1D01"/>
    <w:rsid w:val="000F1D07"/>
    <w:rsid w:val="000F1D2F"/>
    <w:rsid w:val="000F1D58"/>
    <w:rsid w:val="000F1D8E"/>
    <w:rsid w:val="000F1D98"/>
    <w:rsid w:val="000F1DAC"/>
    <w:rsid w:val="000F1E77"/>
    <w:rsid w:val="000F1F10"/>
    <w:rsid w:val="000F1F4F"/>
    <w:rsid w:val="000F1F81"/>
    <w:rsid w:val="000F1F8F"/>
    <w:rsid w:val="000F1F91"/>
    <w:rsid w:val="000F1FAF"/>
    <w:rsid w:val="000F1FF1"/>
    <w:rsid w:val="000F202A"/>
    <w:rsid w:val="000F2039"/>
    <w:rsid w:val="000F2198"/>
    <w:rsid w:val="000F21A4"/>
    <w:rsid w:val="000F21BD"/>
    <w:rsid w:val="000F21E5"/>
    <w:rsid w:val="000F2210"/>
    <w:rsid w:val="000F2245"/>
    <w:rsid w:val="000F224C"/>
    <w:rsid w:val="000F2299"/>
    <w:rsid w:val="000F229E"/>
    <w:rsid w:val="000F22D5"/>
    <w:rsid w:val="000F22EE"/>
    <w:rsid w:val="000F2324"/>
    <w:rsid w:val="000F2354"/>
    <w:rsid w:val="000F2360"/>
    <w:rsid w:val="000F236F"/>
    <w:rsid w:val="000F2370"/>
    <w:rsid w:val="000F2395"/>
    <w:rsid w:val="000F23B4"/>
    <w:rsid w:val="000F23DE"/>
    <w:rsid w:val="000F23DF"/>
    <w:rsid w:val="000F23E4"/>
    <w:rsid w:val="000F240E"/>
    <w:rsid w:val="000F2444"/>
    <w:rsid w:val="000F2446"/>
    <w:rsid w:val="000F2495"/>
    <w:rsid w:val="000F24B7"/>
    <w:rsid w:val="000F24D3"/>
    <w:rsid w:val="000F24E2"/>
    <w:rsid w:val="000F24E6"/>
    <w:rsid w:val="000F24F7"/>
    <w:rsid w:val="000F255B"/>
    <w:rsid w:val="000F2571"/>
    <w:rsid w:val="000F259D"/>
    <w:rsid w:val="000F2637"/>
    <w:rsid w:val="000F263A"/>
    <w:rsid w:val="000F263F"/>
    <w:rsid w:val="000F264C"/>
    <w:rsid w:val="000F26E0"/>
    <w:rsid w:val="000F270C"/>
    <w:rsid w:val="000F2728"/>
    <w:rsid w:val="000F275A"/>
    <w:rsid w:val="000F27C5"/>
    <w:rsid w:val="000F27ED"/>
    <w:rsid w:val="000F2821"/>
    <w:rsid w:val="000F28FA"/>
    <w:rsid w:val="000F2999"/>
    <w:rsid w:val="000F29F5"/>
    <w:rsid w:val="000F2A3F"/>
    <w:rsid w:val="000F2A54"/>
    <w:rsid w:val="000F2AA0"/>
    <w:rsid w:val="000F2AA1"/>
    <w:rsid w:val="000F2AB9"/>
    <w:rsid w:val="000F2AE0"/>
    <w:rsid w:val="000F2B03"/>
    <w:rsid w:val="000F2BEB"/>
    <w:rsid w:val="000F2C45"/>
    <w:rsid w:val="000F2C64"/>
    <w:rsid w:val="000F2C8E"/>
    <w:rsid w:val="000F2CDE"/>
    <w:rsid w:val="000F2D5E"/>
    <w:rsid w:val="000F2D7A"/>
    <w:rsid w:val="000F2D90"/>
    <w:rsid w:val="000F2DA9"/>
    <w:rsid w:val="000F2DAD"/>
    <w:rsid w:val="000F2DBB"/>
    <w:rsid w:val="000F2DC9"/>
    <w:rsid w:val="000F2DDC"/>
    <w:rsid w:val="000F2DF2"/>
    <w:rsid w:val="000F2EA4"/>
    <w:rsid w:val="000F2EB6"/>
    <w:rsid w:val="000F2EBB"/>
    <w:rsid w:val="000F2EE1"/>
    <w:rsid w:val="000F2FA0"/>
    <w:rsid w:val="000F2FB7"/>
    <w:rsid w:val="000F300F"/>
    <w:rsid w:val="000F3040"/>
    <w:rsid w:val="000F3060"/>
    <w:rsid w:val="000F3081"/>
    <w:rsid w:val="000F30A1"/>
    <w:rsid w:val="000F30B8"/>
    <w:rsid w:val="000F3111"/>
    <w:rsid w:val="000F3126"/>
    <w:rsid w:val="000F3144"/>
    <w:rsid w:val="000F317D"/>
    <w:rsid w:val="000F3185"/>
    <w:rsid w:val="000F31A6"/>
    <w:rsid w:val="000F32CE"/>
    <w:rsid w:val="000F32D0"/>
    <w:rsid w:val="000F3304"/>
    <w:rsid w:val="000F332C"/>
    <w:rsid w:val="000F3361"/>
    <w:rsid w:val="000F3395"/>
    <w:rsid w:val="000F33A3"/>
    <w:rsid w:val="000F33C4"/>
    <w:rsid w:val="000F33D1"/>
    <w:rsid w:val="000F33D6"/>
    <w:rsid w:val="000F340A"/>
    <w:rsid w:val="000F3438"/>
    <w:rsid w:val="000F3447"/>
    <w:rsid w:val="000F3478"/>
    <w:rsid w:val="000F34A2"/>
    <w:rsid w:val="000F34F2"/>
    <w:rsid w:val="000F3518"/>
    <w:rsid w:val="000F352B"/>
    <w:rsid w:val="000F3583"/>
    <w:rsid w:val="000F35B0"/>
    <w:rsid w:val="000F35C1"/>
    <w:rsid w:val="000F3619"/>
    <w:rsid w:val="000F3664"/>
    <w:rsid w:val="000F3679"/>
    <w:rsid w:val="000F36B5"/>
    <w:rsid w:val="000F3722"/>
    <w:rsid w:val="000F3732"/>
    <w:rsid w:val="000F375E"/>
    <w:rsid w:val="000F3763"/>
    <w:rsid w:val="000F3786"/>
    <w:rsid w:val="000F3791"/>
    <w:rsid w:val="000F3793"/>
    <w:rsid w:val="000F37A1"/>
    <w:rsid w:val="000F37B2"/>
    <w:rsid w:val="000F37E2"/>
    <w:rsid w:val="000F383B"/>
    <w:rsid w:val="000F3890"/>
    <w:rsid w:val="000F389C"/>
    <w:rsid w:val="000F3907"/>
    <w:rsid w:val="000F3913"/>
    <w:rsid w:val="000F392E"/>
    <w:rsid w:val="000F3954"/>
    <w:rsid w:val="000F3960"/>
    <w:rsid w:val="000F399F"/>
    <w:rsid w:val="000F39B5"/>
    <w:rsid w:val="000F39B8"/>
    <w:rsid w:val="000F3A0B"/>
    <w:rsid w:val="000F3A0E"/>
    <w:rsid w:val="000F3A17"/>
    <w:rsid w:val="000F3A86"/>
    <w:rsid w:val="000F3A88"/>
    <w:rsid w:val="000F3B3B"/>
    <w:rsid w:val="000F3B45"/>
    <w:rsid w:val="000F3B4C"/>
    <w:rsid w:val="000F3B6D"/>
    <w:rsid w:val="000F3B76"/>
    <w:rsid w:val="000F3B83"/>
    <w:rsid w:val="000F3BEB"/>
    <w:rsid w:val="000F3BF1"/>
    <w:rsid w:val="000F3C83"/>
    <w:rsid w:val="000F3CB7"/>
    <w:rsid w:val="000F3CC1"/>
    <w:rsid w:val="000F3D4C"/>
    <w:rsid w:val="000F3D91"/>
    <w:rsid w:val="000F3D94"/>
    <w:rsid w:val="000F3DBA"/>
    <w:rsid w:val="000F3DD8"/>
    <w:rsid w:val="000F3DE0"/>
    <w:rsid w:val="000F3DE1"/>
    <w:rsid w:val="000F3EA6"/>
    <w:rsid w:val="000F3FD0"/>
    <w:rsid w:val="000F4036"/>
    <w:rsid w:val="000F407D"/>
    <w:rsid w:val="000F408C"/>
    <w:rsid w:val="000F4107"/>
    <w:rsid w:val="000F414A"/>
    <w:rsid w:val="000F4181"/>
    <w:rsid w:val="000F4194"/>
    <w:rsid w:val="000F419F"/>
    <w:rsid w:val="000F41B0"/>
    <w:rsid w:val="000F4205"/>
    <w:rsid w:val="000F4230"/>
    <w:rsid w:val="000F424A"/>
    <w:rsid w:val="000F42E8"/>
    <w:rsid w:val="000F430D"/>
    <w:rsid w:val="000F4323"/>
    <w:rsid w:val="000F4345"/>
    <w:rsid w:val="000F4379"/>
    <w:rsid w:val="000F43B3"/>
    <w:rsid w:val="000F43E3"/>
    <w:rsid w:val="000F444E"/>
    <w:rsid w:val="000F44B8"/>
    <w:rsid w:val="000F451F"/>
    <w:rsid w:val="000F456C"/>
    <w:rsid w:val="000F457A"/>
    <w:rsid w:val="000F457E"/>
    <w:rsid w:val="000F458C"/>
    <w:rsid w:val="000F45AD"/>
    <w:rsid w:val="000F45FE"/>
    <w:rsid w:val="000F4641"/>
    <w:rsid w:val="000F466E"/>
    <w:rsid w:val="000F46D8"/>
    <w:rsid w:val="000F46DF"/>
    <w:rsid w:val="000F4700"/>
    <w:rsid w:val="000F4744"/>
    <w:rsid w:val="000F47C1"/>
    <w:rsid w:val="000F47C3"/>
    <w:rsid w:val="000F47D7"/>
    <w:rsid w:val="000F4823"/>
    <w:rsid w:val="000F485A"/>
    <w:rsid w:val="000F4879"/>
    <w:rsid w:val="000F488E"/>
    <w:rsid w:val="000F48A9"/>
    <w:rsid w:val="000F48BE"/>
    <w:rsid w:val="000F48CF"/>
    <w:rsid w:val="000F4904"/>
    <w:rsid w:val="000F495D"/>
    <w:rsid w:val="000F4989"/>
    <w:rsid w:val="000F49AB"/>
    <w:rsid w:val="000F49CD"/>
    <w:rsid w:val="000F49F8"/>
    <w:rsid w:val="000F4A48"/>
    <w:rsid w:val="000F4A8B"/>
    <w:rsid w:val="000F4AA3"/>
    <w:rsid w:val="000F4AC4"/>
    <w:rsid w:val="000F4B2F"/>
    <w:rsid w:val="000F4B3F"/>
    <w:rsid w:val="000F4B5F"/>
    <w:rsid w:val="000F4B82"/>
    <w:rsid w:val="000F4BAB"/>
    <w:rsid w:val="000F4BD8"/>
    <w:rsid w:val="000F4D13"/>
    <w:rsid w:val="000F4D23"/>
    <w:rsid w:val="000F4D43"/>
    <w:rsid w:val="000F4D93"/>
    <w:rsid w:val="000F4DA0"/>
    <w:rsid w:val="000F4DDB"/>
    <w:rsid w:val="000F4DE3"/>
    <w:rsid w:val="000F4E04"/>
    <w:rsid w:val="000F4E43"/>
    <w:rsid w:val="000F4F49"/>
    <w:rsid w:val="000F4F5F"/>
    <w:rsid w:val="000F4F74"/>
    <w:rsid w:val="000F4FAD"/>
    <w:rsid w:val="000F5096"/>
    <w:rsid w:val="000F509D"/>
    <w:rsid w:val="000F50AA"/>
    <w:rsid w:val="000F50B3"/>
    <w:rsid w:val="000F50E9"/>
    <w:rsid w:val="000F50EE"/>
    <w:rsid w:val="000F50F6"/>
    <w:rsid w:val="000F5141"/>
    <w:rsid w:val="000F51EB"/>
    <w:rsid w:val="000F51F7"/>
    <w:rsid w:val="000F5203"/>
    <w:rsid w:val="000F5255"/>
    <w:rsid w:val="000F535E"/>
    <w:rsid w:val="000F5394"/>
    <w:rsid w:val="000F539A"/>
    <w:rsid w:val="000F53EC"/>
    <w:rsid w:val="000F53F6"/>
    <w:rsid w:val="000F5459"/>
    <w:rsid w:val="000F5473"/>
    <w:rsid w:val="000F5480"/>
    <w:rsid w:val="000F5515"/>
    <w:rsid w:val="000F5596"/>
    <w:rsid w:val="000F55AA"/>
    <w:rsid w:val="000F55B5"/>
    <w:rsid w:val="000F55D5"/>
    <w:rsid w:val="000F55DB"/>
    <w:rsid w:val="000F55E4"/>
    <w:rsid w:val="000F5636"/>
    <w:rsid w:val="000F563A"/>
    <w:rsid w:val="000F5644"/>
    <w:rsid w:val="000F56E7"/>
    <w:rsid w:val="000F56F8"/>
    <w:rsid w:val="000F57A0"/>
    <w:rsid w:val="000F57ED"/>
    <w:rsid w:val="000F5819"/>
    <w:rsid w:val="000F5839"/>
    <w:rsid w:val="000F5861"/>
    <w:rsid w:val="000F589B"/>
    <w:rsid w:val="000F58AB"/>
    <w:rsid w:val="000F58C4"/>
    <w:rsid w:val="000F5945"/>
    <w:rsid w:val="000F5962"/>
    <w:rsid w:val="000F5971"/>
    <w:rsid w:val="000F5985"/>
    <w:rsid w:val="000F59FF"/>
    <w:rsid w:val="000F5A0F"/>
    <w:rsid w:val="000F5A67"/>
    <w:rsid w:val="000F5AED"/>
    <w:rsid w:val="000F5B24"/>
    <w:rsid w:val="000F5B38"/>
    <w:rsid w:val="000F5B54"/>
    <w:rsid w:val="000F5B55"/>
    <w:rsid w:val="000F5B5E"/>
    <w:rsid w:val="000F5B6E"/>
    <w:rsid w:val="000F5B94"/>
    <w:rsid w:val="000F5BA8"/>
    <w:rsid w:val="000F5BBC"/>
    <w:rsid w:val="000F5C08"/>
    <w:rsid w:val="000F5C54"/>
    <w:rsid w:val="000F5C81"/>
    <w:rsid w:val="000F5C83"/>
    <w:rsid w:val="000F5C86"/>
    <w:rsid w:val="000F5D23"/>
    <w:rsid w:val="000F5D28"/>
    <w:rsid w:val="000F5DC2"/>
    <w:rsid w:val="000F5E10"/>
    <w:rsid w:val="000F5E22"/>
    <w:rsid w:val="000F5E46"/>
    <w:rsid w:val="000F5E94"/>
    <w:rsid w:val="000F5EB8"/>
    <w:rsid w:val="000F5ED5"/>
    <w:rsid w:val="000F5EFB"/>
    <w:rsid w:val="000F5EFF"/>
    <w:rsid w:val="000F5F1E"/>
    <w:rsid w:val="000F5F46"/>
    <w:rsid w:val="000F5F61"/>
    <w:rsid w:val="000F5FDA"/>
    <w:rsid w:val="000F6014"/>
    <w:rsid w:val="000F6044"/>
    <w:rsid w:val="000F606D"/>
    <w:rsid w:val="000F60BA"/>
    <w:rsid w:val="000F6114"/>
    <w:rsid w:val="000F6133"/>
    <w:rsid w:val="000F613C"/>
    <w:rsid w:val="000F61F8"/>
    <w:rsid w:val="000F6205"/>
    <w:rsid w:val="000F620F"/>
    <w:rsid w:val="000F6253"/>
    <w:rsid w:val="000F629F"/>
    <w:rsid w:val="000F62AB"/>
    <w:rsid w:val="000F62CE"/>
    <w:rsid w:val="000F62EF"/>
    <w:rsid w:val="000F6310"/>
    <w:rsid w:val="000F632E"/>
    <w:rsid w:val="000F6333"/>
    <w:rsid w:val="000F63D2"/>
    <w:rsid w:val="000F63E2"/>
    <w:rsid w:val="000F6403"/>
    <w:rsid w:val="000F640F"/>
    <w:rsid w:val="000F6431"/>
    <w:rsid w:val="000F6456"/>
    <w:rsid w:val="000F6487"/>
    <w:rsid w:val="000F6494"/>
    <w:rsid w:val="000F64A8"/>
    <w:rsid w:val="000F64FD"/>
    <w:rsid w:val="000F6596"/>
    <w:rsid w:val="000F661C"/>
    <w:rsid w:val="000F6625"/>
    <w:rsid w:val="000F663C"/>
    <w:rsid w:val="000F6674"/>
    <w:rsid w:val="000F669F"/>
    <w:rsid w:val="000F6745"/>
    <w:rsid w:val="000F6760"/>
    <w:rsid w:val="000F6775"/>
    <w:rsid w:val="000F67BA"/>
    <w:rsid w:val="000F67EC"/>
    <w:rsid w:val="000F6836"/>
    <w:rsid w:val="000F685C"/>
    <w:rsid w:val="000F686A"/>
    <w:rsid w:val="000F6894"/>
    <w:rsid w:val="000F6918"/>
    <w:rsid w:val="000F692F"/>
    <w:rsid w:val="000F6937"/>
    <w:rsid w:val="000F6981"/>
    <w:rsid w:val="000F69C0"/>
    <w:rsid w:val="000F69D8"/>
    <w:rsid w:val="000F69E3"/>
    <w:rsid w:val="000F69E5"/>
    <w:rsid w:val="000F6A0E"/>
    <w:rsid w:val="000F6A12"/>
    <w:rsid w:val="000F6A60"/>
    <w:rsid w:val="000F6A74"/>
    <w:rsid w:val="000F6A9A"/>
    <w:rsid w:val="000F6AF8"/>
    <w:rsid w:val="000F6B1C"/>
    <w:rsid w:val="000F6B37"/>
    <w:rsid w:val="000F6B4E"/>
    <w:rsid w:val="000F6B53"/>
    <w:rsid w:val="000F6BD2"/>
    <w:rsid w:val="000F6BDA"/>
    <w:rsid w:val="000F6C44"/>
    <w:rsid w:val="000F6C73"/>
    <w:rsid w:val="000F6C7A"/>
    <w:rsid w:val="000F6CEA"/>
    <w:rsid w:val="000F6D39"/>
    <w:rsid w:val="000F6D40"/>
    <w:rsid w:val="000F6D58"/>
    <w:rsid w:val="000F6D7E"/>
    <w:rsid w:val="000F6D8D"/>
    <w:rsid w:val="000F6D98"/>
    <w:rsid w:val="000F6E00"/>
    <w:rsid w:val="000F6E0E"/>
    <w:rsid w:val="000F6F3A"/>
    <w:rsid w:val="000F6F64"/>
    <w:rsid w:val="000F702E"/>
    <w:rsid w:val="000F7073"/>
    <w:rsid w:val="000F707F"/>
    <w:rsid w:val="000F7083"/>
    <w:rsid w:val="000F7092"/>
    <w:rsid w:val="000F709D"/>
    <w:rsid w:val="000F70C6"/>
    <w:rsid w:val="000F70DE"/>
    <w:rsid w:val="000F71C0"/>
    <w:rsid w:val="000F7227"/>
    <w:rsid w:val="000F722B"/>
    <w:rsid w:val="000F723F"/>
    <w:rsid w:val="000F72BB"/>
    <w:rsid w:val="000F72BF"/>
    <w:rsid w:val="000F72DB"/>
    <w:rsid w:val="000F72E7"/>
    <w:rsid w:val="000F730C"/>
    <w:rsid w:val="000F7406"/>
    <w:rsid w:val="000F7497"/>
    <w:rsid w:val="000F74AD"/>
    <w:rsid w:val="000F7525"/>
    <w:rsid w:val="000F7560"/>
    <w:rsid w:val="000F7567"/>
    <w:rsid w:val="000F756A"/>
    <w:rsid w:val="000F75A3"/>
    <w:rsid w:val="000F75F3"/>
    <w:rsid w:val="000F762A"/>
    <w:rsid w:val="000F765A"/>
    <w:rsid w:val="000F7683"/>
    <w:rsid w:val="000F76D8"/>
    <w:rsid w:val="000F7704"/>
    <w:rsid w:val="000F7727"/>
    <w:rsid w:val="000F772A"/>
    <w:rsid w:val="000F774B"/>
    <w:rsid w:val="000F77EC"/>
    <w:rsid w:val="000F7819"/>
    <w:rsid w:val="000F785D"/>
    <w:rsid w:val="000F78B1"/>
    <w:rsid w:val="000F78BA"/>
    <w:rsid w:val="000F78F8"/>
    <w:rsid w:val="000F792A"/>
    <w:rsid w:val="000F793C"/>
    <w:rsid w:val="000F7946"/>
    <w:rsid w:val="000F7973"/>
    <w:rsid w:val="000F798B"/>
    <w:rsid w:val="000F799E"/>
    <w:rsid w:val="000F79A6"/>
    <w:rsid w:val="000F7A37"/>
    <w:rsid w:val="000F7A74"/>
    <w:rsid w:val="000F7A9C"/>
    <w:rsid w:val="000F7AA4"/>
    <w:rsid w:val="000F7B2F"/>
    <w:rsid w:val="000F7B93"/>
    <w:rsid w:val="000F7BC5"/>
    <w:rsid w:val="000F7BDA"/>
    <w:rsid w:val="000F7BE8"/>
    <w:rsid w:val="000F7C3A"/>
    <w:rsid w:val="000F7C4D"/>
    <w:rsid w:val="000F7D05"/>
    <w:rsid w:val="000F7D40"/>
    <w:rsid w:val="000F7D58"/>
    <w:rsid w:val="000F7D5E"/>
    <w:rsid w:val="000F7D72"/>
    <w:rsid w:val="000F7D8D"/>
    <w:rsid w:val="000F7DCC"/>
    <w:rsid w:val="000F7DD7"/>
    <w:rsid w:val="000F7DEE"/>
    <w:rsid w:val="000F7E44"/>
    <w:rsid w:val="000F7E65"/>
    <w:rsid w:val="000F7EAC"/>
    <w:rsid w:val="000F7EDB"/>
    <w:rsid w:val="000F7EFC"/>
    <w:rsid w:val="000F7F04"/>
    <w:rsid w:val="000F7F12"/>
    <w:rsid w:val="000F7F38"/>
    <w:rsid w:val="000F7FB9"/>
    <w:rsid w:val="000F7FDE"/>
    <w:rsid w:val="000F7FE4"/>
    <w:rsid w:val="00100032"/>
    <w:rsid w:val="00100107"/>
    <w:rsid w:val="00100125"/>
    <w:rsid w:val="0010017D"/>
    <w:rsid w:val="001001A9"/>
    <w:rsid w:val="001001CC"/>
    <w:rsid w:val="001001F8"/>
    <w:rsid w:val="0010023A"/>
    <w:rsid w:val="00100252"/>
    <w:rsid w:val="001002A4"/>
    <w:rsid w:val="001002CD"/>
    <w:rsid w:val="001002CF"/>
    <w:rsid w:val="001002DB"/>
    <w:rsid w:val="0010033D"/>
    <w:rsid w:val="001003AD"/>
    <w:rsid w:val="001003E8"/>
    <w:rsid w:val="0010040A"/>
    <w:rsid w:val="0010044E"/>
    <w:rsid w:val="0010047D"/>
    <w:rsid w:val="001004A2"/>
    <w:rsid w:val="001004D9"/>
    <w:rsid w:val="001004E3"/>
    <w:rsid w:val="001004E8"/>
    <w:rsid w:val="00100579"/>
    <w:rsid w:val="00100599"/>
    <w:rsid w:val="001005C4"/>
    <w:rsid w:val="001006BE"/>
    <w:rsid w:val="001006DE"/>
    <w:rsid w:val="00100763"/>
    <w:rsid w:val="001007AE"/>
    <w:rsid w:val="001007D1"/>
    <w:rsid w:val="001007E3"/>
    <w:rsid w:val="0010080A"/>
    <w:rsid w:val="0010085E"/>
    <w:rsid w:val="00100877"/>
    <w:rsid w:val="0010092A"/>
    <w:rsid w:val="0010093D"/>
    <w:rsid w:val="001009B0"/>
    <w:rsid w:val="001009F2"/>
    <w:rsid w:val="00100A25"/>
    <w:rsid w:val="00100B0F"/>
    <w:rsid w:val="00100B87"/>
    <w:rsid w:val="00100B9F"/>
    <w:rsid w:val="00100BA7"/>
    <w:rsid w:val="00100C61"/>
    <w:rsid w:val="00100C66"/>
    <w:rsid w:val="00100C77"/>
    <w:rsid w:val="00100CDF"/>
    <w:rsid w:val="00100D2A"/>
    <w:rsid w:val="00100D9F"/>
    <w:rsid w:val="00100DDB"/>
    <w:rsid w:val="00100DF5"/>
    <w:rsid w:val="00100E0E"/>
    <w:rsid w:val="00100E27"/>
    <w:rsid w:val="00100E39"/>
    <w:rsid w:val="00100E46"/>
    <w:rsid w:val="00100EB5"/>
    <w:rsid w:val="00100EB9"/>
    <w:rsid w:val="00100F34"/>
    <w:rsid w:val="00100F94"/>
    <w:rsid w:val="00100F98"/>
    <w:rsid w:val="00100F9B"/>
    <w:rsid w:val="00100FD3"/>
    <w:rsid w:val="00100FEA"/>
    <w:rsid w:val="00101036"/>
    <w:rsid w:val="00101048"/>
    <w:rsid w:val="00101053"/>
    <w:rsid w:val="00101081"/>
    <w:rsid w:val="001010A3"/>
    <w:rsid w:val="001010DA"/>
    <w:rsid w:val="0010113B"/>
    <w:rsid w:val="00101145"/>
    <w:rsid w:val="00101146"/>
    <w:rsid w:val="0010119F"/>
    <w:rsid w:val="001011CD"/>
    <w:rsid w:val="001011F1"/>
    <w:rsid w:val="001012DC"/>
    <w:rsid w:val="001012E8"/>
    <w:rsid w:val="0010133F"/>
    <w:rsid w:val="0010134D"/>
    <w:rsid w:val="00101369"/>
    <w:rsid w:val="001013DF"/>
    <w:rsid w:val="0010140E"/>
    <w:rsid w:val="00101421"/>
    <w:rsid w:val="00101424"/>
    <w:rsid w:val="00101429"/>
    <w:rsid w:val="00101442"/>
    <w:rsid w:val="0010144D"/>
    <w:rsid w:val="00101557"/>
    <w:rsid w:val="001015C6"/>
    <w:rsid w:val="001015F5"/>
    <w:rsid w:val="00101630"/>
    <w:rsid w:val="00101681"/>
    <w:rsid w:val="00101736"/>
    <w:rsid w:val="001017B0"/>
    <w:rsid w:val="001017D5"/>
    <w:rsid w:val="001017FE"/>
    <w:rsid w:val="0010186F"/>
    <w:rsid w:val="001019A8"/>
    <w:rsid w:val="001019BA"/>
    <w:rsid w:val="001019BF"/>
    <w:rsid w:val="001019C9"/>
    <w:rsid w:val="001019E5"/>
    <w:rsid w:val="001019E9"/>
    <w:rsid w:val="00101A33"/>
    <w:rsid w:val="00101A7B"/>
    <w:rsid w:val="00101A91"/>
    <w:rsid w:val="00101A94"/>
    <w:rsid w:val="00101AA3"/>
    <w:rsid w:val="00101B51"/>
    <w:rsid w:val="00101B8B"/>
    <w:rsid w:val="00101BC2"/>
    <w:rsid w:val="00101BE3"/>
    <w:rsid w:val="00101C21"/>
    <w:rsid w:val="00101C61"/>
    <w:rsid w:val="00101C81"/>
    <w:rsid w:val="00101CAE"/>
    <w:rsid w:val="00101CC7"/>
    <w:rsid w:val="00101D37"/>
    <w:rsid w:val="00101DE8"/>
    <w:rsid w:val="00101EA2"/>
    <w:rsid w:val="00101EAA"/>
    <w:rsid w:val="00101F1F"/>
    <w:rsid w:val="00101F3A"/>
    <w:rsid w:val="00101F6B"/>
    <w:rsid w:val="00101FE6"/>
    <w:rsid w:val="00101FE9"/>
    <w:rsid w:val="00102001"/>
    <w:rsid w:val="00102051"/>
    <w:rsid w:val="001020C5"/>
    <w:rsid w:val="001020E0"/>
    <w:rsid w:val="00102165"/>
    <w:rsid w:val="00102170"/>
    <w:rsid w:val="001021CA"/>
    <w:rsid w:val="001021CE"/>
    <w:rsid w:val="0010222A"/>
    <w:rsid w:val="0010225F"/>
    <w:rsid w:val="001022BC"/>
    <w:rsid w:val="001022D9"/>
    <w:rsid w:val="001022F7"/>
    <w:rsid w:val="0010236A"/>
    <w:rsid w:val="00102392"/>
    <w:rsid w:val="0010239C"/>
    <w:rsid w:val="001023E4"/>
    <w:rsid w:val="0010247B"/>
    <w:rsid w:val="00102496"/>
    <w:rsid w:val="001024A0"/>
    <w:rsid w:val="001024A3"/>
    <w:rsid w:val="00102500"/>
    <w:rsid w:val="0010251A"/>
    <w:rsid w:val="00102555"/>
    <w:rsid w:val="0010257E"/>
    <w:rsid w:val="001025DE"/>
    <w:rsid w:val="0010261B"/>
    <w:rsid w:val="00102652"/>
    <w:rsid w:val="001026AC"/>
    <w:rsid w:val="001026F4"/>
    <w:rsid w:val="001027FA"/>
    <w:rsid w:val="001028B5"/>
    <w:rsid w:val="001028D8"/>
    <w:rsid w:val="0010291A"/>
    <w:rsid w:val="00102946"/>
    <w:rsid w:val="001029D4"/>
    <w:rsid w:val="001029E9"/>
    <w:rsid w:val="001029F3"/>
    <w:rsid w:val="00102B58"/>
    <w:rsid w:val="00102B97"/>
    <w:rsid w:val="00102BD9"/>
    <w:rsid w:val="00102BF9"/>
    <w:rsid w:val="00102C37"/>
    <w:rsid w:val="00102C6B"/>
    <w:rsid w:val="00102CB2"/>
    <w:rsid w:val="00102CB6"/>
    <w:rsid w:val="00102CED"/>
    <w:rsid w:val="00102D23"/>
    <w:rsid w:val="00102DBD"/>
    <w:rsid w:val="00102DC0"/>
    <w:rsid w:val="00102E04"/>
    <w:rsid w:val="00102E39"/>
    <w:rsid w:val="00102E5E"/>
    <w:rsid w:val="00102ED9"/>
    <w:rsid w:val="00102EDF"/>
    <w:rsid w:val="00102F2A"/>
    <w:rsid w:val="00102F74"/>
    <w:rsid w:val="00102FC1"/>
    <w:rsid w:val="0010304C"/>
    <w:rsid w:val="001030AA"/>
    <w:rsid w:val="00103160"/>
    <w:rsid w:val="0010318A"/>
    <w:rsid w:val="00103190"/>
    <w:rsid w:val="0010319C"/>
    <w:rsid w:val="001031DC"/>
    <w:rsid w:val="001031EA"/>
    <w:rsid w:val="001031F1"/>
    <w:rsid w:val="00103266"/>
    <w:rsid w:val="00103282"/>
    <w:rsid w:val="001032DB"/>
    <w:rsid w:val="001032F2"/>
    <w:rsid w:val="00103335"/>
    <w:rsid w:val="00103392"/>
    <w:rsid w:val="0010339C"/>
    <w:rsid w:val="001033AD"/>
    <w:rsid w:val="001033B9"/>
    <w:rsid w:val="001033CD"/>
    <w:rsid w:val="001033D8"/>
    <w:rsid w:val="001033E3"/>
    <w:rsid w:val="001033F1"/>
    <w:rsid w:val="0010340A"/>
    <w:rsid w:val="00103412"/>
    <w:rsid w:val="001034B9"/>
    <w:rsid w:val="001034EA"/>
    <w:rsid w:val="00103558"/>
    <w:rsid w:val="00103567"/>
    <w:rsid w:val="00103593"/>
    <w:rsid w:val="001035E0"/>
    <w:rsid w:val="0010366B"/>
    <w:rsid w:val="0010367F"/>
    <w:rsid w:val="00103698"/>
    <w:rsid w:val="001036C3"/>
    <w:rsid w:val="001036C8"/>
    <w:rsid w:val="001036CF"/>
    <w:rsid w:val="00103714"/>
    <w:rsid w:val="001037BF"/>
    <w:rsid w:val="001037CD"/>
    <w:rsid w:val="00103813"/>
    <w:rsid w:val="0010383D"/>
    <w:rsid w:val="001038AA"/>
    <w:rsid w:val="001038FD"/>
    <w:rsid w:val="00103970"/>
    <w:rsid w:val="001039DB"/>
    <w:rsid w:val="00103A4F"/>
    <w:rsid w:val="00103A71"/>
    <w:rsid w:val="00103AD0"/>
    <w:rsid w:val="00103B5E"/>
    <w:rsid w:val="00103B65"/>
    <w:rsid w:val="00103B82"/>
    <w:rsid w:val="00103BAA"/>
    <w:rsid w:val="00103BB2"/>
    <w:rsid w:val="00103C11"/>
    <w:rsid w:val="00103C5C"/>
    <w:rsid w:val="00103CAE"/>
    <w:rsid w:val="00103CBE"/>
    <w:rsid w:val="00103CC8"/>
    <w:rsid w:val="00103CE0"/>
    <w:rsid w:val="00103D37"/>
    <w:rsid w:val="00103D3B"/>
    <w:rsid w:val="00103D8F"/>
    <w:rsid w:val="00103DB7"/>
    <w:rsid w:val="00103DD8"/>
    <w:rsid w:val="00103DE2"/>
    <w:rsid w:val="00103E23"/>
    <w:rsid w:val="00103E83"/>
    <w:rsid w:val="00103F34"/>
    <w:rsid w:val="00103F45"/>
    <w:rsid w:val="00103F55"/>
    <w:rsid w:val="00103FCE"/>
    <w:rsid w:val="00104046"/>
    <w:rsid w:val="00104051"/>
    <w:rsid w:val="00104074"/>
    <w:rsid w:val="001040B3"/>
    <w:rsid w:val="001040B4"/>
    <w:rsid w:val="001040BF"/>
    <w:rsid w:val="00104186"/>
    <w:rsid w:val="001041B8"/>
    <w:rsid w:val="001041E3"/>
    <w:rsid w:val="00104231"/>
    <w:rsid w:val="00104280"/>
    <w:rsid w:val="00104288"/>
    <w:rsid w:val="0010437A"/>
    <w:rsid w:val="00104388"/>
    <w:rsid w:val="001043C8"/>
    <w:rsid w:val="001043E6"/>
    <w:rsid w:val="0010441B"/>
    <w:rsid w:val="00104439"/>
    <w:rsid w:val="00104487"/>
    <w:rsid w:val="0010449E"/>
    <w:rsid w:val="001044AA"/>
    <w:rsid w:val="001044B2"/>
    <w:rsid w:val="0010451A"/>
    <w:rsid w:val="00104591"/>
    <w:rsid w:val="00104597"/>
    <w:rsid w:val="001045A2"/>
    <w:rsid w:val="001045CA"/>
    <w:rsid w:val="001045D9"/>
    <w:rsid w:val="001045F2"/>
    <w:rsid w:val="00104615"/>
    <w:rsid w:val="0010463D"/>
    <w:rsid w:val="00104654"/>
    <w:rsid w:val="00104680"/>
    <w:rsid w:val="001046E9"/>
    <w:rsid w:val="0010471C"/>
    <w:rsid w:val="00104775"/>
    <w:rsid w:val="00104797"/>
    <w:rsid w:val="0010479C"/>
    <w:rsid w:val="001047D4"/>
    <w:rsid w:val="0010480A"/>
    <w:rsid w:val="00104824"/>
    <w:rsid w:val="00104854"/>
    <w:rsid w:val="00104862"/>
    <w:rsid w:val="00104896"/>
    <w:rsid w:val="001048E9"/>
    <w:rsid w:val="0010490A"/>
    <w:rsid w:val="00104926"/>
    <w:rsid w:val="0010495C"/>
    <w:rsid w:val="0010497D"/>
    <w:rsid w:val="001049C6"/>
    <w:rsid w:val="00104A12"/>
    <w:rsid w:val="00104A46"/>
    <w:rsid w:val="00104A6A"/>
    <w:rsid w:val="00104AF4"/>
    <w:rsid w:val="00104B25"/>
    <w:rsid w:val="00104BA4"/>
    <w:rsid w:val="00104BB5"/>
    <w:rsid w:val="00104BD4"/>
    <w:rsid w:val="00104C0D"/>
    <w:rsid w:val="00104C3C"/>
    <w:rsid w:val="00104C83"/>
    <w:rsid w:val="00104CD3"/>
    <w:rsid w:val="00104CE0"/>
    <w:rsid w:val="00104D38"/>
    <w:rsid w:val="00104E18"/>
    <w:rsid w:val="00104E50"/>
    <w:rsid w:val="00104E8A"/>
    <w:rsid w:val="00104F0F"/>
    <w:rsid w:val="00104F15"/>
    <w:rsid w:val="00104F2E"/>
    <w:rsid w:val="00104F55"/>
    <w:rsid w:val="00104FB0"/>
    <w:rsid w:val="00104FD6"/>
    <w:rsid w:val="00105060"/>
    <w:rsid w:val="001050A0"/>
    <w:rsid w:val="001050A3"/>
    <w:rsid w:val="001050D8"/>
    <w:rsid w:val="001050EF"/>
    <w:rsid w:val="00105121"/>
    <w:rsid w:val="00105124"/>
    <w:rsid w:val="001051A5"/>
    <w:rsid w:val="0010520D"/>
    <w:rsid w:val="0010522A"/>
    <w:rsid w:val="0010523F"/>
    <w:rsid w:val="0010526B"/>
    <w:rsid w:val="0010529A"/>
    <w:rsid w:val="001052DF"/>
    <w:rsid w:val="00105349"/>
    <w:rsid w:val="001053ED"/>
    <w:rsid w:val="00105442"/>
    <w:rsid w:val="001054BC"/>
    <w:rsid w:val="001054CD"/>
    <w:rsid w:val="001055DB"/>
    <w:rsid w:val="001055F1"/>
    <w:rsid w:val="00105651"/>
    <w:rsid w:val="00105652"/>
    <w:rsid w:val="00105664"/>
    <w:rsid w:val="0010568D"/>
    <w:rsid w:val="00105694"/>
    <w:rsid w:val="00105698"/>
    <w:rsid w:val="001056DD"/>
    <w:rsid w:val="001056E5"/>
    <w:rsid w:val="001056FE"/>
    <w:rsid w:val="00105717"/>
    <w:rsid w:val="0010576F"/>
    <w:rsid w:val="00105770"/>
    <w:rsid w:val="00105792"/>
    <w:rsid w:val="001057E5"/>
    <w:rsid w:val="001057EA"/>
    <w:rsid w:val="001057FF"/>
    <w:rsid w:val="0010582C"/>
    <w:rsid w:val="00105886"/>
    <w:rsid w:val="001058BF"/>
    <w:rsid w:val="00105901"/>
    <w:rsid w:val="0010591B"/>
    <w:rsid w:val="001059F6"/>
    <w:rsid w:val="00105A54"/>
    <w:rsid w:val="00105A7A"/>
    <w:rsid w:val="00105A90"/>
    <w:rsid w:val="00105AD8"/>
    <w:rsid w:val="00105B84"/>
    <w:rsid w:val="00105B96"/>
    <w:rsid w:val="00105B9A"/>
    <w:rsid w:val="00105BB6"/>
    <w:rsid w:val="00105BDE"/>
    <w:rsid w:val="00105C97"/>
    <w:rsid w:val="00105CCB"/>
    <w:rsid w:val="00105CCD"/>
    <w:rsid w:val="00105D11"/>
    <w:rsid w:val="00105D62"/>
    <w:rsid w:val="00105DB1"/>
    <w:rsid w:val="00105DB7"/>
    <w:rsid w:val="00105EBE"/>
    <w:rsid w:val="00105F19"/>
    <w:rsid w:val="00105F5A"/>
    <w:rsid w:val="00105F64"/>
    <w:rsid w:val="00105FEF"/>
    <w:rsid w:val="00106047"/>
    <w:rsid w:val="00106069"/>
    <w:rsid w:val="0010607E"/>
    <w:rsid w:val="0010608B"/>
    <w:rsid w:val="001060B7"/>
    <w:rsid w:val="0010613B"/>
    <w:rsid w:val="001061B6"/>
    <w:rsid w:val="001061C3"/>
    <w:rsid w:val="001061EC"/>
    <w:rsid w:val="001061EE"/>
    <w:rsid w:val="00106251"/>
    <w:rsid w:val="001062DA"/>
    <w:rsid w:val="001062F7"/>
    <w:rsid w:val="001062F9"/>
    <w:rsid w:val="00106321"/>
    <w:rsid w:val="00106329"/>
    <w:rsid w:val="00106372"/>
    <w:rsid w:val="0010637D"/>
    <w:rsid w:val="0010638D"/>
    <w:rsid w:val="00106398"/>
    <w:rsid w:val="001063A9"/>
    <w:rsid w:val="001063B0"/>
    <w:rsid w:val="001063C3"/>
    <w:rsid w:val="0010643D"/>
    <w:rsid w:val="00106466"/>
    <w:rsid w:val="001064CE"/>
    <w:rsid w:val="00106504"/>
    <w:rsid w:val="0010651B"/>
    <w:rsid w:val="00106567"/>
    <w:rsid w:val="00106570"/>
    <w:rsid w:val="001065FA"/>
    <w:rsid w:val="00106606"/>
    <w:rsid w:val="00106694"/>
    <w:rsid w:val="001066EA"/>
    <w:rsid w:val="001066EF"/>
    <w:rsid w:val="0010670D"/>
    <w:rsid w:val="00106719"/>
    <w:rsid w:val="001067A9"/>
    <w:rsid w:val="001067AE"/>
    <w:rsid w:val="001067DD"/>
    <w:rsid w:val="0010688D"/>
    <w:rsid w:val="0010689F"/>
    <w:rsid w:val="00106921"/>
    <w:rsid w:val="00106923"/>
    <w:rsid w:val="00106974"/>
    <w:rsid w:val="001069B9"/>
    <w:rsid w:val="001069D2"/>
    <w:rsid w:val="001069E5"/>
    <w:rsid w:val="001069F5"/>
    <w:rsid w:val="00106A65"/>
    <w:rsid w:val="00106A79"/>
    <w:rsid w:val="00106AE1"/>
    <w:rsid w:val="00106B16"/>
    <w:rsid w:val="00106B95"/>
    <w:rsid w:val="00106B9B"/>
    <w:rsid w:val="00106BC3"/>
    <w:rsid w:val="00106BF4"/>
    <w:rsid w:val="00106C29"/>
    <w:rsid w:val="00106C2C"/>
    <w:rsid w:val="00106CCF"/>
    <w:rsid w:val="00106D2C"/>
    <w:rsid w:val="00106D44"/>
    <w:rsid w:val="00106D49"/>
    <w:rsid w:val="00106DF3"/>
    <w:rsid w:val="00106DFB"/>
    <w:rsid w:val="00106E85"/>
    <w:rsid w:val="00106EF6"/>
    <w:rsid w:val="00106EF7"/>
    <w:rsid w:val="00106EFD"/>
    <w:rsid w:val="00106F18"/>
    <w:rsid w:val="00106F46"/>
    <w:rsid w:val="00106F54"/>
    <w:rsid w:val="00106FC5"/>
    <w:rsid w:val="00106FC8"/>
    <w:rsid w:val="00107036"/>
    <w:rsid w:val="0010707E"/>
    <w:rsid w:val="001070EB"/>
    <w:rsid w:val="00107106"/>
    <w:rsid w:val="00107128"/>
    <w:rsid w:val="0010713C"/>
    <w:rsid w:val="001071C0"/>
    <w:rsid w:val="00107256"/>
    <w:rsid w:val="00107292"/>
    <w:rsid w:val="00107327"/>
    <w:rsid w:val="00107341"/>
    <w:rsid w:val="0010734C"/>
    <w:rsid w:val="00107364"/>
    <w:rsid w:val="001073B7"/>
    <w:rsid w:val="00107432"/>
    <w:rsid w:val="0010743A"/>
    <w:rsid w:val="0010743B"/>
    <w:rsid w:val="00107440"/>
    <w:rsid w:val="0010748B"/>
    <w:rsid w:val="001074A6"/>
    <w:rsid w:val="001074B4"/>
    <w:rsid w:val="001074E6"/>
    <w:rsid w:val="00107521"/>
    <w:rsid w:val="0010753F"/>
    <w:rsid w:val="00107565"/>
    <w:rsid w:val="0010756C"/>
    <w:rsid w:val="001075E0"/>
    <w:rsid w:val="00107637"/>
    <w:rsid w:val="0010764E"/>
    <w:rsid w:val="00107662"/>
    <w:rsid w:val="00107673"/>
    <w:rsid w:val="0010769B"/>
    <w:rsid w:val="001076C3"/>
    <w:rsid w:val="0010772A"/>
    <w:rsid w:val="00107741"/>
    <w:rsid w:val="0010778A"/>
    <w:rsid w:val="0010786B"/>
    <w:rsid w:val="0010786D"/>
    <w:rsid w:val="00107897"/>
    <w:rsid w:val="001078A7"/>
    <w:rsid w:val="001078A9"/>
    <w:rsid w:val="001078EF"/>
    <w:rsid w:val="00107978"/>
    <w:rsid w:val="001079B4"/>
    <w:rsid w:val="00107A49"/>
    <w:rsid w:val="00107A64"/>
    <w:rsid w:val="00107A77"/>
    <w:rsid w:val="00107A81"/>
    <w:rsid w:val="00107ADA"/>
    <w:rsid w:val="00107B0F"/>
    <w:rsid w:val="00107C7B"/>
    <w:rsid w:val="00107CEA"/>
    <w:rsid w:val="00107D19"/>
    <w:rsid w:val="00107D1F"/>
    <w:rsid w:val="00107D67"/>
    <w:rsid w:val="00107D93"/>
    <w:rsid w:val="00107DC9"/>
    <w:rsid w:val="00107E0E"/>
    <w:rsid w:val="00107E20"/>
    <w:rsid w:val="00107E92"/>
    <w:rsid w:val="00107EB4"/>
    <w:rsid w:val="00107ECE"/>
    <w:rsid w:val="00107ED8"/>
    <w:rsid w:val="00107F3F"/>
    <w:rsid w:val="00107F8E"/>
    <w:rsid w:val="00107FC2"/>
    <w:rsid w:val="00107FF5"/>
    <w:rsid w:val="0010AF91"/>
    <w:rsid w:val="00110001"/>
    <w:rsid w:val="00110020"/>
    <w:rsid w:val="0011003A"/>
    <w:rsid w:val="001100EF"/>
    <w:rsid w:val="00110100"/>
    <w:rsid w:val="00110121"/>
    <w:rsid w:val="0011016C"/>
    <w:rsid w:val="0011016E"/>
    <w:rsid w:val="0011018B"/>
    <w:rsid w:val="001101FD"/>
    <w:rsid w:val="00110297"/>
    <w:rsid w:val="001102B8"/>
    <w:rsid w:val="001102BE"/>
    <w:rsid w:val="001102FC"/>
    <w:rsid w:val="00110308"/>
    <w:rsid w:val="00110332"/>
    <w:rsid w:val="00110366"/>
    <w:rsid w:val="001103DB"/>
    <w:rsid w:val="001103FD"/>
    <w:rsid w:val="0011043E"/>
    <w:rsid w:val="00110475"/>
    <w:rsid w:val="00110492"/>
    <w:rsid w:val="001104C8"/>
    <w:rsid w:val="001104E5"/>
    <w:rsid w:val="0011056D"/>
    <w:rsid w:val="00110618"/>
    <w:rsid w:val="0011061D"/>
    <w:rsid w:val="00110686"/>
    <w:rsid w:val="0011068C"/>
    <w:rsid w:val="001106AD"/>
    <w:rsid w:val="001106B0"/>
    <w:rsid w:val="00110757"/>
    <w:rsid w:val="00110758"/>
    <w:rsid w:val="00110776"/>
    <w:rsid w:val="001107D7"/>
    <w:rsid w:val="001107EF"/>
    <w:rsid w:val="0011081C"/>
    <w:rsid w:val="00110830"/>
    <w:rsid w:val="00110860"/>
    <w:rsid w:val="00110872"/>
    <w:rsid w:val="00110893"/>
    <w:rsid w:val="00110918"/>
    <w:rsid w:val="0011093E"/>
    <w:rsid w:val="001109DF"/>
    <w:rsid w:val="001109E2"/>
    <w:rsid w:val="00110A14"/>
    <w:rsid w:val="00110A94"/>
    <w:rsid w:val="00110AA6"/>
    <w:rsid w:val="00110AD6"/>
    <w:rsid w:val="00110ADA"/>
    <w:rsid w:val="00110AE9"/>
    <w:rsid w:val="00110B15"/>
    <w:rsid w:val="00110B4B"/>
    <w:rsid w:val="00110B65"/>
    <w:rsid w:val="00110BA3"/>
    <w:rsid w:val="00110BD9"/>
    <w:rsid w:val="00110BF0"/>
    <w:rsid w:val="00110C15"/>
    <w:rsid w:val="00110CA4"/>
    <w:rsid w:val="00110CCA"/>
    <w:rsid w:val="00110D64"/>
    <w:rsid w:val="00110DF4"/>
    <w:rsid w:val="00110E03"/>
    <w:rsid w:val="00110E46"/>
    <w:rsid w:val="00110ECD"/>
    <w:rsid w:val="00110F0A"/>
    <w:rsid w:val="00110F33"/>
    <w:rsid w:val="0011111D"/>
    <w:rsid w:val="0011119A"/>
    <w:rsid w:val="001111A3"/>
    <w:rsid w:val="001111CE"/>
    <w:rsid w:val="001111D4"/>
    <w:rsid w:val="001111DB"/>
    <w:rsid w:val="00111200"/>
    <w:rsid w:val="00111201"/>
    <w:rsid w:val="00111229"/>
    <w:rsid w:val="0011127D"/>
    <w:rsid w:val="001112B2"/>
    <w:rsid w:val="001112E5"/>
    <w:rsid w:val="001112F2"/>
    <w:rsid w:val="0011132B"/>
    <w:rsid w:val="00111334"/>
    <w:rsid w:val="0011135A"/>
    <w:rsid w:val="0011135E"/>
    <w:rsid w:val="00111382"/>
    <w:rsid w:val="00111386"/>
    <w:rsid w:val="001113BF"/>
    <w:rsid w:val="001113E7"/>
    <w:rsid w:val="00111472"/>
    <w:rsid w:val="001114D5"/>
    <w:rsid w:val="001114FE"/>
    <w:rsid w:val="00111503"/>
    <w:rsid w:val="001115C9"/>
    <w:rsid w:val="001115FD"/>
    <w:rsid w:val="00111623"/>
    <w:rsid w:val="00111634"/>
    <w:rsid w:val="00111644"/>
    <w:rsid w:val="00111648"/>
    <w:rsid w:val="001116A2"/>
    <w:rsid w:val="001116E4"/>
    <w:rsid w:val="0011172D"/>
    <w:rsid w:val="00111739"/>
    <w:rsid w:val="001117C1"/>
    <w:rsid w:val="001117C7"/>
    <w:rsid w:val="001117F6"/>
    <w:rsid w:val="00111855"/>
    <w:rsid w:val="0011187C"/>
    <w:rsid w:val="0011189B"/>
    <w:rsid w:val="001118D0"/>
    <w:rsid w:val="001118E8"/>
    <w:rsid w:val="00111989"/>
    <w:rsid w:val="001119B3"/>
    <w:rsid w:val="001119E4"/>
    <w:rsid w:val="001119E6"/>
    <w:rsid w:val="001119E8"/>
    <w:rsid w:val="00111A20"/>
    <w:rsid w:val="00111A7F"/>
    <w:rsid w:val="00111AD6"/>
    <w:rsid w:val="00111B0E"/>
    <w:rsid w:val="00111B31"/>
    <w:rsid w:val="00111B46"/>
    <w:rsid w:val="00111B66"/>
    <w:rsid w:val="00111BA8"/>
    <w:rsid w:val="00111BC9"/>
    <w:rsid w:val="00111BE5"/>
    <w:rsid w:val="00111C2F"/>
    <w:rsid w:val="00111C37"/>
    <w:rsid w:val="00111C66"/>
    <w:rsid w:val="00111D3A"/>
    <w:rsid w:val="00111D50"/>
    <w:rsid w:val="00111D71"/>
    <w:rsid w:val="00111DB6"/>
    <w:rsid w:val="00111DF5"/>
    <w:rsid w:val="00111E5E"/>
    <w:rsid w:val="00111E6F"/>
    <w:rsid w:val="00111E85"/>
    <w:rsid w:val="00111EE4"/>
    <w:rsid w:val="00111F43"/>
    <w:rsid w:val="00111F57"/>
    <w:rsid w:val="00111F7F"/>
    <w:rsid w:val="00111F92"/>
    <w:rsid w:val="00111FBB"/>
    <w:rsid w:val="00111FFA"/>
    <w:rsid w:val="00112087"/>
    <w:rsid w:val="001120BC"/>
    <w:rsid w:val="001120DE"/>
    <w:rsid w:val="001120EF"/>
    <w:rsid w:val="0011213A"/>
    <w:rsid w:val="00112156"/>
    <w:rsid w:val="00112162"/>
    <w:rsid w:val="0011216B"/>
    <w:rsid w:val="0011217F"/>
    <w:rsid w:val="00112180"/>
    <w:rsid w:val="0011218B"/>
    <w:rsid w:val="00112194"/>
    <w:rsid w:val="001121E6"/>
    <w:rsid w:val="001121FA"/>
    <w:rsid w:val="0011225E"/>
    <w:rsid w:val="001122AC"/>
    <w:rsid w:val="001122B5"/>
    <w:rsid w:val="001122E0"/>
    <w:rsid w:val="0011230D"/>
    <w:rsid w:val="00112408"/>
    <w:rsid w:val="00112425"/>
    <w:rsid w:val="00112429"/>
    <w:rsid w:val="00112447"/>
    <w:rsid w:val="0011244D"/>
    <w:rsid w:val="00112465"/>
    <w:rsid w:val="00112475"/>
    <w:rsid w:val="001124AC"/>
    <w:rsid w:val="001124E8"/>
    <w:rsid w:val="001125A6"/>
    <w:rsid w:val="001125E7"/>
    <w:rsid w:val="001125F0"/>
    <w:rsid w:val="001126D2"/>
    <w:rsid w:val="0011273F"/>
    <w:rsid w:val="00112771"/>
    <w:rsid w:val="0011279A"/>
    <w:rsid w:val="001127FC"/>
    <w:rsid w:val="001128B4"/>
    <w:rsid w:val="001128C9"/>
    <w:rsid w:val="001128CC"/>
    <w:rsid w:val="001128E6"/>
    <w:rsid w:val="00112943"/>
    <w:rsid w:val="0011294B"/>
    <w:rsid w:val="0011299E"/>
    <w:rsid w:val="001129BC"/>
    <w:rsid w:val="00112A41"/>
    <w:rsid w:val="00112A49"/>
    <w:rsid w:val="00112A53"/>
    <w:rsid w:val="00112A81"/>
    <w:rsid w:val="00112AB2"/>
    <w:rsid w:val="00112ABB"/>
    <w:rsid w:val="00112B02"/>
    <w:rsid w:val="00112B12"/>
    <w:rsid w:val="00112B90"/>
    <w:rsid w:val="00112B95"/>
    <w:rsid w:val="00112C15"/>
    <w:rsid w:val="00112C30"/>
    <w:rsid w:val="00112C35"/>
    <w:rsid w:val="00112CA1"/>
    <w:rsid w:val="00112CAB"/>
    <w:rsid w:val="00112CAD"/>
    <w:rsid w:val="00112CCE"/>
    <w:rsid w:val="00112CDD"/>
    <w:rsid w:val="00112D14"/>
    <w:rsid w:val="00112D66"/>
    <w:rsid w:val="00112E07"/>
    <w:rsid w:val="00112E12"/>
    <w:rsid w:val="00112E3C"/>
    <w:rsid w:val="00112ECD"/>
    <w:rsid w:val="00112ED6"/>
    <w:rsid w:val="00112EEB"/>
    <w:rsid w:val="00112F4F"/>
    <w:rsid w:val="00112F5D"/>
    <w:rsid w:val="00112F63"/>
    <w:rsid w:val="00112F91"/>
    <w:rsid w:val="00112FD5"/>
    <w:rsid w:val="00112FFA"/>
    <w:rsid w:val="0011300E"/>
    <w:rsid w:val="00113031"/>
    <w:rsid w:val="00113090"/>
    <w:rsid w:val="0011309B"/>
    <w:rsid w:val="001130BA"/>
    <w:rsid w:val="001130E9"/>
    <w:rsid w:val="001131B5"/>
    <w:rsid w:val="001131BB"/>
    <w:rsid w:val="001131BF"/>
    <w:rsid w:val="001131CB"/>
    <w:rsid w:val="00113243"/>
    <w:rsid w:val="001132A1"/>
    <w:rsid w:val="001132B1"/>
    <w:rsid w:val="001132C2"/>
    <w:rsid w:val="00113305"/>
    <w:rsid w:val="00113315"/>
    <w:rsid w:val="00113391"/>
    <w:rsid w:val="001133EB"/>
    <w:rsid w:val="0011343F"/>
    <w:rsid w:val="001134AA"/>
    <w:rsid w:val="001134BE"/>
    <w:rsid w:val="001134C8"/>
    <w:rsid w:val="00113502"/>
    <w:rsid w:val="00113551"/>
    <w:rsid w:val="00113580"/>
    <w:rsid w:val="0011358C"/>
    <w:rsid w:val="001135C6"/>
    <w:rsid w:val="001135D4"/>
    <w:rsid w:val="001135EB"/>
    <w:rsid w:val="00113622"/>
    <w:rsid w:val="00113632"/>
    <w:rsid w:val="0011363B"/>
    <w:rsid w:val="00113665"/>
    <w:rsid w:val="00113673"/>
    <w:rsid w:val="001136B0"/>
    <w:rsid w:val="00113712"/>
    <w:rsid w:val="00113725"/>
    <w:rsid w:val="001137B2"/>
    <w:rsid w:val="001137B5"/>
    <w:rsid w:val="001137E4"/>
    <w:rsid w:val="00113876"/>
    <w:rsid w:val="0011388B"/>
    <w:rsid w:val="00113898"/>
    <w:rsid w:val="001138F5"/>
    <w:rsid w:val="00113907"/>
    <w:rsid w:val="00113946"/>
    <w:rsid w:val="0011395E"/>
    <w:rsid w:val="001139C8"/>
    <w:rsid w:val="001139F0"/>
    <w:rsid w:val="001139FF"/>
    <w:rsid w:val="00113ABC"/>
    <w:rsid w:val="00113B1D"/>
    <w:rsid w:val="00113B5D"/>
    <w:rsid w:val="00113B77"/>
    <w:rsid w:val="00113BC1"/>
    <w:rsid w:val="00113C23"/>
    <w:rsid w:val="00113CC9"/>
    <w:rsid w:val="00113D16"/>
    <w:rsid w:val="00113D43"/>
    <w:rsid w:val="00113D51"/>
    <w:rsid w:val="00113D8F"/>
    <w:rsid w:val="00113DAD"/>
    <w:rsid w:val="00113DAF"/>
    <w:rsid w:val="00113E28"/>
    <w:rsid w:val="00113E34"/>
    <w:rsid w:val="00113E92"/>
    <w:rsid w:val="00113E99"/>
    <w:rsid w:val="00113EA3"/>
    <w:rsid w:val="00113ECB"/>
    <w:rsid w:val="00113F46"/>
    <w:rsid w:val="00113F5B"/>
    <w:rsid w:val="00113F91"/>
    <w:rsid w:val="00113FCB"/>
    <w:rsid w:val="00113FFB"/>
    <w:rsid w:val="00113FFE"/>
    <w:rsid w:val="0011401E"/>
    <w:rsid w:val="0011408A"/>
    <w:rsid w:val="001140AB"/>
    <w:rsid w:val="001140B0"/>
    <w:rsid w:val="00114161"/>
    <w:rsid w:val="0011418C"/>
    <w:rsid w:val="001141F3"/>
    <w:rsid w:val="001142BD"/>
    <w:rsid w:val="00114321"/>
    <w:rsid w:val="00114362"/>
    <w:rsid w:val="0011436F"/>
    <w:rsid w:val="00114372"/>
    <w:rsid w:val="0011438E"/>
    <w:rsid w:val="00114394"/>
    <w:rsid w:val="001143FD"/>
    <w:rsid w:val="00114404"/>
    <w:rsid w:val="00114420"/>
    <w:rsid w:val="00114443"/>
    <w:rsid w:val="00114492"/>
    <w:rsid w:val="001144AD"/>
    <w:rsid w:val="001144F5"/>
    <w:rsid w:val="00114545"/>
    <w:rsid w:val="0011454C"/>
    <w:rsid w:val="0011454D"/>
    <w:rsid w:val="001145A4"/>
    <w:rsid w:val="00114606"/>
    <w:rsid w:val="0011461E"/>
    <w:rsid w:val="00114624"/>
    <w:rsid w:val="0011466F"/>
    <w:rsid w:val="001146A8"/>
    <w:rsid w:val="001146D7"/>
    <w:rsid w:val="001146E7"/>
    <w:rsid w:val="00114717"/>
    <w:rsid w:val="00114742"/>
    <w:rsid w:val="00114760"/>
    <w:rsid w:val="001147C0"/>
    <w:rsid w:val="001147E0"/>
    <w:rsid w:val="001147EE"/>
    <w:rsid w:val="00114886"/>
    <w:rsid w:val="001148D7"/>
    <w:rsid w:val="00114981"/>
    <w:rsid w:val="001149E7"/>
    <w:rsid w:val="00114A05"/>
    <w:rsid w:val="00114A4E"/>
    <w:rsid w:val="00114A76"/>
    <w:rsid w:val="00114A9C"/>
    <w:rsid w:val="00114AAF"/>
    <w:rsid w:val="00114AB9"/>
    <w:rsid w:val="00114AEA"/>
    <w:rsid w:val="00114AFB"/>
    <w:rsid w:val="00114B01"/>
    <w:rsid w:val="00114B3A"/>
    <w:rsid w:val="00114B46"/>
    <w:rsid w:val="00114BB0"/>
    <w:rsid w:val="00114BC5"/>
    <w:rsid w:val="00114BD9"/>
    <w:rsid w:val="00114C37"/>
    <w:rsid w:val="00114C98"/>
    <w:rsid w:val="00114CAD"/>
    <w:rsid w:val="00114CFD"/>
    <w:rsid w:val="00114D22"/>
    <w:rsid w:val="00114D6E"/>
    <w:rsid w:val="00114D7F"/>
    <w:rsid w:val="00114D8E"/>
    <w:rsid w:val="00114D91"/>
    <w:rsid w:val="00114DA1"/>
    <w:rsid w:val="00114DB5"/>
    <w:rsid w:val="00114E64"/>
    <w:rsid w:val="00114E8E"/>
    <w:rsid w:val="00114E9C"/>
    <w:rsid w:val="00114EB9"/>
    <w:rsid w:val="00114EC2"/>
    <w:rsid w:val="00114ECC"/>
    <w:rsid w:val="00114F3B"/>
    <w:rsid w:val="00114F61"/>
    <w:rsid w:val="00114F62"/>
    <w:rsid w:val="00114F84"/>
    <w:rsid w:val="00114F9E"/>
    <w:rsid w:val="00114FBE"/>
    <w:rsid w:val="00115102"/>
    <w:rsid w:val="0011510B"/>
    <w:rsid w:val="0011514A"/>
    <w:rsid w:val="00115172"/>
    <w:rsid w:val="00115178"/>
    <w:rsid w:val="0011517F"/>
    <w:rsid w:val="001151A1"/>
    <w:rsid w:val="001151B6"/>
    <w:rsid w:val="0011522E"/>
    <w:rsid w:val="0011523E"/>
    <w:rsid w:val="0011526B"/>
    <w:rsid w:val="0011529D"/>
    <w:rsid w:val="001152BA"/>
    <w:rsid w:val="001152D3"/>
    <w:rsid w:val="001152D5"/>
    <w:rsid w:val="00115315"/>
    <w:rsid w:val="00115328"/>
    <w:rsid w:val="00115367"/>
    <w:rsid w:val="001153E4"/>
    <w:rsid w:val="001153EF"/>
    <w:rsid w:val="001153F0"/>
    <w:rsid w:val="00115466"/>
    <w:rsid w:val="0011548B"/>
    <w:rsid w:val="001154B5"/>
    <w:rsid w:val="001154BE"/>
    <w:rsid w:val="001154C8"/>
    <w:rsid w:val="001154FA"/>
    <w:rsid w:val="00115505"/>
    <w:rsid w:val="00115512"/>
    <w:rsid w:val="0011558A"/>
    <w:rsid w:val="0011559E"/>
    <w:rsid w:val="001156C7"/>
    <w:rsid w:val="001156D6"/>
    <w:rsid w:val="001156EC"/>
    <w:rsid w:val="0011570B"/>
    <w:rsid w:val="00115745"/>
    <w:rsid w:val="0011576E"/>
    <w:rsid w:val="00115782"/>
    <w:rsid w:val="00115783"/>
    <w:rsid w:val="001157C2"/>
    <w:rsid w:val="001157EC"/>
    <w:rsid w:val="001157F4"/>
    <w:rsid w:val="0011582B"/>
    <w:rsid w:val="0011583D"/>
    <w:rsid w:val="001158A0"/>
    <w:rsid w:val="001158A5"/>
    <w:rsid w:val="001158F0"/>
    <w:rsid w:val="001158FF"/>
    <w:rsid w:val="0011590E"/>
    <w:rsid w:val="00115988"/>
    <w:rsid w:val="00115A0F"/>
    <w:rsid w:val="00115A80"/>
    <w:rsid w:val="00115AA0"/>
    <w:rsid w:val="00115AA9"/>
    <w:rsid w:val="00115AE5"/>
    <w:rsid w:val="00115B3F"/>
    <w:rsid w:val="00115BAD"/>
    <w:rsid w:val="00115BF2"/>
    <w:rsid w:val="00115C36"/>
    <w:rsid w:val="00115C49"/>
    <w:rsid w:val="00115C63"/>
    <w:rsid w:val="00115CCE"/>
    <w:rsid w:val="00115CE5"/>
    <w:rsid w:val="00115CF3"/>
    <w:rsid w:val="00115CF8"/>
    <w:rsid w:val="00115D46"/>
    <w:rsid w:val="00115D53"/>
    <w:rsid w:val="00115D74"/>
    <w:rsid w:val="00115D87"/>
    <w:rsid w:val="00115D89"/>
    <w:rsid w:val="00115DE4"/>
    <w:rsid w:val="00115DF3"/>
    <w:rsid w:val="00115E19"/>
    <w:rsid w:val="00115EC3"/>
    <w:rsid w:val="00115ECF"/>
    <w:rsid w:val="00115EDC"/>
    <w:rsid w:val="00115F2A"/>
    <w:rsid w:val="00115F8D"/>
    <w:rsid w:val="00115F91"/>
    <w:rsid w:val="00115FC0"/>
    <w:rsid w:val="001160A5"/>
    <w:rsid w:val="00116125"/>
    <w:rsid w:val="00116159"/>
    <w:rsid w:val="001161C0"/>
    <w:rsid w:val="001161E7"/>
    <w:rsid w:val="00116211"/>
    <w:rsid w:val="00116214"/>
    <w:rsid w:val="00116224"/>
    <w:rsid w:val="0011624A"/>
    <w:rsid w:val="0011629D"/>
    <w:rsid w:val="001162EF"/>
    <w:rsid w:val="00116309"/>
    <w:rsid w:val="00116359"/>
    <w:rsid w:val="0011636D"/>
    <w:rsid w:val="00116394"/>
    <w:rsid w:val="001163A5"/>
    <w:rsid w:val="001163CB"/>
    <w:rsid w:val="001163D4"/>
    <w:rsid w:val="0011643D"/>
    <w:rsid w:val="00116499"/>
    <w:rsid w:val="0011650C"/>
    <w:rsid w:val="00116510"/>
    <w:rsid w:val="00116530"/>
    <w:rsid w:val="00116541"/>
    <w:rsid w:val="001165F1"/>
    <w:rsid w:val="00116665"/>
    <w:rsid w:val="00116668"/>
    <w:rsid w:val="00116695"/>
    <w:rsid w:val="001166F3"/>
    <w:rsid w:val="0011670C"/>
    <w:rsid w:val="00116888"/>
    <w:rsid w:val="001168EA"/>
    <w:rsid w:val="001168F1"/>
    <w:rsid w:val="00116925"/>
    <w:rsid w:val="0011692C"/>
    <w:rsid w:val="00116A63"/>
    <w:rsid w:val="00116AB3"/>
    <w:rsid w:val="00116AE5"/>
    <w:rsid w:val="00116B23"/>
    <w:rsid w:val="00116B44"/>
    <w:rsid w:val="00116B57"/>
    <w:rsid w:val="00116B5E"/>
    <w:rsid w:val="00116BA3"/>
    <w:rsid w:val="00116BCE"/>
    <w:rsid w:val="00116BF0"/>
    <w:rsid w:val="00116C22"/>
    <w:rsid w:val="00116C8A"/>
    <w:rsid w:val="00116C96"/>
    <w:rsid w:val="00116CA2"/>
    <w:rsid w:val="00116CC3"/>
    <w:rsid w:val="00116CF4"/>
    <w:rsid w:val="00116D1D"/>
    <w:rsid w:val="00116D28"/>
    <w:rsid w:val="00116D75"/>
    <w:rsid w:val="00116D80"/>
    <w:rsid w:val="00116DBC"/>
    <w:rsid w:val="00116DE0"/>
    <w:rsid w:val="00116DE8"/>
    <w:rsid w:val="00116EB2"/>
    <w:rsid w:val="00116EDD"/>
    <w:rsid w:val="00116EE2"/>
    <w:rsid w:val="00116F2C"/>
    <w:rsid w:val="00116F4A"/>
    <w:rsid w:val="00116F76"/>
    <w:rsid w:val="00116F77"/>
    <w:rsid w:val="00116F89"/>
    <w:rsid w:val="00116F8A"/>
    <w:rsid w:val="00116FB8"/>
    <w:rsid w:val="00116FBF"/>
    <w:rsid w:val="00116FE2"/>
    <w:rsid w:val="00116FF2"/>
    <w:rsid w:val="00116FF9"/>
    <w:rsid w:val="00117005"/>
    <w:rsid w:val="00117011"/>
    <w:rsid w:val="0011703E"/>
    <w:rsid w:val="0011707D"/>
    <w:rsid w:val="0011709D"/>
    <w:rsid w:val="001170A6"/>
    <w:rsid w:val="001170EE"/>
    <w:rsid w:val="00117115"/>
    <w:rsid w:val="0011711C"/>
    <w:rsid w:val="00117151"/>
    <w:rsid w:val="001171B8"/>
    <w:rsid w:val="001171DA"/>
    <w:rsid w:val="0011724A"/>
    <w:rsid w:val="001172BD"/>
    <w:rsid w:val="001172C2"/>
    <w:rsid w:val="001172E7"/>
    <w:rsid w:val="0011733B"/>
    <w:rsid w:val="001173BB"/>
    <w:rsid w:val="001173F7"/>
    <w:rsid w:val="001174C3"/>
    <w:rsid w:val="00117517"/>
    <w:rsid w:val="00117531"/>
    <w:rsid w:val="00117595"/>
    <w:rsid w:val="001175BA"/>
    <w:rsid w:val="001175BD"/>
    <w:rsid w:val="001175DC"/>
    <w:rsid w:val="001175E4"/>
    <w:rsid w:val="00117631"/>
    <w:rsid w:val="00117663"/>
    <w:rsid w:val="0011768A"/>
    <w:rsid w:val="001176BD"/>
    <w:rsid w:val="001176EE"/>
    <w:rsid w:val="001176FC"/>
    <w:rsid w:val="00117702"/>
    <w:rsid w:val="0011779D"/>
    <w:rsid w:val="001177AB"/>
    <w:rsid w:val="001177B2"/>
    <w:rsid w:val="001177B7"/>
    <w:rsid w:val="0011780F"/>
    <w:rsid w:val="00117883"/>
    <w:rsid w:val="001178D3"/>
    <w:rsid w:val="001178FC"/>
    <w:rsid w:val="0011791D"/>
    <w:rsid w:val="0011792B"/>
    <w:rsid w:val="00117930"/>
    <w:rsid w:val="00117939"/>
    <w:rsid w:val="001179A5"/>
    <w:rsid w:val="001179C5"/>
    <w:rsid w:val="001179FF"/>
    <w:rsid w:val="00117A00"/>
    <w:rsid w:val="00117A22"/>
    <w:rsid w:val="00117A26"/>
    <w:rsid w:val="00117ACC"/>
    <w:rsid w:val="00117AFD"/>
    <w:rsid w:val="00117B0B"/>
    <w:rsid w:val="00117B26"/>
    <w:rsid w:val="00117B27"/>
    <w:rsid w:val="00117B41"/>
    <w:rsid w:val="00117B9E"/>
    <w:rsid w:val="00117BAC"/>
    <w:rsid w:val="00117BD7"/>
    <w:rsid w:val="00117BEE"/>
    <w:rsid w:val="00117C54"/>
    <w:rsid w:val="00117C8D"/>
    <w:rsid w:val="00117D1C"/>
    <w:rsid w:val="00117D32"/>
    <w:rsid w:val="00117D3A"/>
    <w:rsid w:val="00117D65"/>
    <w:rsid w:val="00117D8B"/>
    <w:rsid w:val="00117D95"/>
    <w:rsid w:val="00117DBE"/>
    <w:rsid w:val="00117DC6"/>
    <w:rsid w:val="00117E01"/>
    <w:rsid w:val="00117E3A"/>
    <w:rsid w:val="00117E5C"/>
    <w:rsid w:val="00117ECD"/>
    <w:rsid w:val="00117EF4"/>
    <w:rsid w:val="00117F0C"/>
    <w:rsid w:val="00117F26"/>
    <w:rsid w:val="00117F78"/>
    <w:rsid w:val="00117F96"/>
    <w:rsid w:val="00117FB2"/>
    <w:rsid w:val="0011B5F3"/>
    <w:rsid w:val="0012002D"/>
    <w:rsid w:val="0012003C"/>
    <w:rsid w:val="0012003F"/>
    <w:rsid w:val="001200BD"/>
    <w:rsid w:val="0012015D"/>
    <w:rsid w:val="0012017E"/>
    <w:rsid w:val="0012019B"/>
    <w:rsid w:val="0012019C"/>
    <w:rsid w:val="001201CD"/>
    <w:rsid w:val="001201D3"/>
    <w:rsid w:val="00120219"/>
    <w:rsid w:val="0012021F"/>
    <w:rsid w:val="00120303"/>
    <w:rsid w:val="0012030D"/>
    <w:rsid w:val="0012033A"/>
    <w:rsid w:val="00120351"/>
    <w:rsid w:val="0012035C"/>
    <w:rsid w:val="0012035F"/>
    <w:rsid w:val="00120373"/>
    <w:rsid w:val="0012037E"/>
    <w:rsid w:val="001203C1"/>
    <w:rsid w:val="00120474"/>
    <w:rsid w:val="001204CB"/>
    <w:rsid w:val="001204D6"/>
    <w:rsid w:val="00120556"/>
    <w:rsid w:val="00120584"/>
    <w:rsid w:val="001205C5"/>
    <w:rsid w:val="00120603"/>
    <w:rsid w:val="00120611"/>
    <w:rsid w:val="0012061A"/>
    <w:rsid w:val="00120620"/>
    <w:rsid w:val="00120630"/>
    <w:rsid w:val="0012069D"/>
    <w:rsid w:val="001206D8"/>
    <w:rsid w:val="00120722"/>
    <w:rsid w:val="00120723"/>
    <w:rsid w:val="00120728"/>
    <w:rsid w:val="001207D2"/>
    <w:rsid w:val="001207DD"/>
    <w:rsid w:val="001208F4"/>
    <w:rsid w:val="00120964"/>
    <w:rsid w:val="00120A14"/>
    <w:rsid w:val="00120A2C"/>
    <w:rsid w:val="00120A35"/>
    <w:rsid w:val="00120A5D"/>
    <w:rsid w:val="00120A6D"/>
    <w:rsid w:val="00120B16"/>
    <w:rsid w:val="00120B1D"/>
    <w:rsid w:val="00120B49"/>
    <w:rsid w:val="00120B50"/>
    <w:rsid w:val="00120B9A"/>
    <w:rsid w:val="00120BC1"/>
    <w:rsid w:val="00120C27"/>
    <w:rsid w:val="00120C7D"/>
    <w:rsid w:val="00120CE6"/>
    <w:rsid w:val="00120D37"/>
    <w:rsid w:val="00120D48"/>
    <w:rsid w:val="00120D8D"/>
    <w:rsid w:val="00120DD0"/>
    <w:rsid w:val="00120DDA"/>
    <w:rsid w:val="00120DE9"/>
    <w:rsid w:val="00120E18"/>
    <w:rsid w:val="00120E76"/>
    <w:rsid w:val="00120EDC"/>
    <w:rsid w:val="00120F57"/>
    <w:rsid w:val="00120F59"/>
    <w:rsid w:val="00120F6E"/>
    <w:rsid w:val="00120FB3"/>
    <w:rsid w:val="0012108C"/>
    <w:rsid w:val="00121090"/>
    <w:rsid w:val="001210A1"/>
    <w:rsid w:val="001210BD"/>
    <w:rsid w:val="001210F3"/>
    <w:rsid w:val="00121103"/>
    <w:rsid w:val="00121148"/>
    <w:rsid w:val="00121153"/>
    <w:rsid w:val="001211C0"/>
    <w:rsid w:val="001211D8"/>
    <w:rsid w:val="0012121E"/>
    <w:rsid w:val="0012123D"/>
    <w:rsid w:val="0012126B"/>
    <w:rsid w:val="001212B8"/>
    <w:rsid w:val="00121306"/>
    <w:rsid w:val="00121317"/>
    <w:rsid w:val="0012132A"/>
    <w:rsid w:val="00121366"/>
    <w:rsid w:val="00121383"/>
    <w:rsid w:val="00121384"/>
    <w:rsid w:val="0012138B"/>
    <w:rsid w:val="001213A7"/>
    <w:rsid w:val="001213BD"/>
    <w:rsid w:val="001213E4"/>
    <w:rsid w:val="001213F0"/>
    <w:rsid w:val="001213FC"/>
    <w:rsid w:val="001213FD"/>
    <w:rsid w:val="00121414"/>
    <w:rsid w:val="00121417"/>
    <w:rsid w:val="00121447"/>
    <w:rsid w:val="00121455"/>
    <w:rsid w:val="00121473"/>
    <w:rsid w:val="00121496"/>
    <w:rsid w:val="001214AF"/>
    <w:rsid w:val="001214E6"/>
    <w:rsid w:val="00121514"/>
    <w:rsid w:val="00121554"/>
    <w:rsid w:val="00121557"/>
    <w:rsid w:val="0012155C"/>
    <w:rsid w:val="00121651"/>
    <w:rsid w:val="001216A9"/>
    <w:rsid w:val="0012173E"/>
    <w:rsid w:val="0012176B"/>
    <w:rsid w:val="001217D5"/>
    <w:rsid w:val="001217D7"/>
    <w:rsid w:val="00121833"/>
    <w:rsid w:val="00121850"/>
    <w:rsid w:val="0012188E"/>
    <w:rsid w:val="00121928"/>
    <w:rsid w:val="0012195F"/>
    <w:rsid w:val="0012197F"/>
    <w:rsid w:val="0012199B"/>
    <w:rsid w:val="001219A8"/>
    <w:rsid w:val="00121A0C"/>
    <w:rsid w:val="00121A0E"/>
    <w:rsid w:val="00121A73"/>
    <w:rsid w:val="00121A76"/>
    <w:rsid w:val="00121A77"/>
    <w:rsid w:val="00121A83"/>
    <w:rsid w:val="00121A93"/>
    <w:rsid w:val="00121ABB"/>
    <w:rsid w:val="00121B5D"/>
    <w:rsid w:val="00121B7C"/>
    <w:rsid w:val="00121BC8"/>
    <w:rsid w:val="00121C19"/>
    <w:rsid w:val="00121C20"/>
    <w:rsid w:val="00121C27"/>
    <w:rsid w:val="00121C63"/>
    <w:rsid w:val="00121C6C"/>
    <w:rsid w:val="00121C6F"/>
    <w:rsid w:val="00121CB3"/>
    <w:rsid w:val="00121CB4"/>
    <w:rsid w:val="00121CBE"/>
    <w:rsid w:val="00121D2D"/>
    <w:rsid w:val="00121DD0"/>
    <w:rsid w:val="00121DEC"/>
    <w:rsid w:val="00121E4E"/>
    <w:rsid w:val="00121E70"/>
    <w:rsid w:val="00121F05"/>
    <w:rsid w:val="00121F24"/>
    <w:rsid w:val="00121F38"/>
    <w:rsid w:val="00121F48"/>
    <w:rsid w:val="00121F80"/>
    <w:rsid w:val="00121FAD"/>
    <w:rsid w:val="00122002"/>
    <w:rsid w:val="00122044"/>
    <w:rsid w:val="001220C3"/>
    <w:rsid w:val="001220CD"/>
    <w:rsid w:val="001220D4"/>
    <w:rsid w:val="00122140"/>
    <w:rsid w:val="00122162"/>
    <w:rsid w:val="0012218A"/>
    <w:rsid w:val="00122194"/>
    <w:rsid w:val="001221DD"/>
    <w:rsid w:val="0012222E"/>
    <w:rsid w:val="00122248"/>
    <w:rsid w:val="0012226E"/>
    <w:rsid w:val="0012227B"/>
    <w:rsid w:val="00122295"/>
    <w:rsid w:val="00122316"/>
    <w:rsid w:val="00122343"/>
    <w:rsid w:val="0012235C"/>
    <w:rsid w:val="00122417"/>
    <w:rsid w:val="0012241C"/>
    <w:rsid w:val="00122421"/>
    <w:rsid w:val="00122430"/>
    <w:rsid w:val="00122499"/>
    <w:rsid w:val="001224D0"/>
    <w:rsid w:val="001224E7"/>
    <w:rsid w:val="001225CB"/>
    <w:rsid w:val="001225CE"/>
    <w:rsid w:val="001225F7"/>
    <w:rsid w:val="00122636"/>
    <w:rsid w:val="001226BF"/>
    <w:rsid w:val="001226F3"/>
    <w:rsid w:val="001226FB"/>
    <w:rsid w:val="001227C7"/>
    <w:rsid w:val="001227DE"/>
    <w:rsid w:val="00122874"/>
    <w:rsid w:val="001228D1"/>
    <w:rsid w:val="001228FB"/>
    <w:rsid w:val="0012294B"/>
    <w:rsid w:val="0012295D"/>
    <w:rsid w:val="00122961"/>
    <w:rsid w:val="00122997"/>
    <w:rsid w:val="00122998"/>
    <w:rsid w:val="001229A0"/>
    <w:rsid w:val="001229A8"/>
    <w:rsid w:val="001229D6"/>
    <w:rsid w:val="001229E1"/>
    <w:rsid w:val="00122A7D"/>
    <w:rsid w:val="00122A9B"/>
    <w:rsid w:val="00122AB0"/>
    <w:rsid w:val="00122ADC"/>
    <w:rsid w:val="00122AFF"/>
    <w:rsid w:val="00122B17"/>
    <w:rsid w:val="00122B23"/>
    <w:rsid w:val="00122B2A"/>
    <w:rsid w:val="00122B8D"/>
    <w:rsid w:val="00122B8F"/>
    <w:rsid w:val="00122BA9"/>
    <w:rsid w:val="00122BB7"/>
    <w:rsid w:val="00122C07"/>
    <w:rsid w:val="00122D45"/>
    <w:rsid w:val="00122D90"/>
    <w:rsid w:val="00122D9D"/>
    <w:rsid w:val="00122DB9"/>
    <w:rsid w:val="00122DC0"/>
    <w:rsid w:val="00122DE8"/>
    <w:rsid w:val="00122E11"/>
    <w:rsid w:val="00122E2A"/>
    <w:rsid w:val="00122EBC"/>
    <w:rsid w:val="00122EDB"/>
    <w:rsid w:val="00122EE8"/>
    <w:rsid w:val="00122F14"/>
    <w:rsid w:val="00122F1F"/>
    <w:rsid w:val="00122F2A"/>
    <w:rsid w:val="00122F70"/>
    <w:rsid w:val="00122F85"/>
    <w:rsid w:val="00122F8E"/>
    <w:rsid w:val="00122F94"/>
    <w:rsid w:val="00122FB3"/>
    <w:rsid w:val="0012301E"/>
    <w:rsid w:val="0012304A"/>
    <w:rsid w:val="001230A0"/>
    <w:rsid w:val="001230BF"/>
    <w:rsid w:val="0012329F"/>
    <w:rsid w:val="001232CC"/>
    <w:rsid w:val="0012334D"/>
    <w:rsid w:val="00123377"/>
    <w:rsid w:val="001233B7"/>
    <w:rsid w:val="00123466"/>
    <w:rsid w:val="00123471"/>
    <w:rsid w:val="001234A3"/>
    <w:rsid w:val="001234E6"/>
    <w:rsid w:val="001234F5"/>
    <w:rsid w:val="00123574"/>
    <w:rsid w:val="001235FD"/>
    <w:rsid w:val="00123611"/>
    <w:rsid w:val="001236A1"/>
    <w:rsid w:val="0012372A"/>
    <w:rsid w:val="0012379B"/>
    <w:rsid w:val="00123820"/>
    <w:rsid w:val="0012382B"/>
    <w:rsid w:val="0012386F"/>
    <w:rsid w:val="00123893"/>
    <w:rsid w:val="001238A0"/>
    <w:rsid w:val="001238D3"/>
    <w:rsid w:val="00123914"/>
    <w:rsid w:val="00123982"/>
    <w:rsid w:val="001239D8"/>
    <w:rsid w:val="00123B5F"/>
    <w:rsid w:val="00123B75"/>
    <w:rsid w:val="00123B7E"/>
    <w:rsid w:val="00123B9C"/>
    <w:rsid w:val="00123BF3"/>
    <w:rsid w:val="00123BF7"/>
    <w:rsid w:val="00123C58"/>
    <w:rsid w:val="00123C9A"/>
    <w:rsid w:val="00123CA9"/>
    <w:rsid w:val="00123CE1"/>
    <w:rsid w:val="00123D55"/>
    <w:rsid w:val="00123D7D"/>
    <w:rsid w:val="00123D92"/>
    <w:rsid w:val="00123D9E"/>
    <w:rsid w:val="00123DB4"/>
    <w:rsid w:val="00123DEE"/>
    <w:rsid w:val="00123E17"/>
    <w:rsid w:val="00123E4E"/>
    <w:rsid w:val="00123E57"/>
    <w:rsid w:val="00123E64"/>
    <w:rsid w:val="00123E7D"/>
    <w:rsid w:val="00123E9D"/>
    <w:rsid w:val="00123F3D"/>
    <w:rsid w:val="00123F56"/>
    <w:rsid w:val="00123F8F"/>
    <w:rsid w:val="00123FB9"/>
    <w:rsid w:val="00123FBA"/>
    <w:rsid w:val="00123FC6"/>
    <w:rsid w:val="00123FCA"/>
    <w:rsid w:val="00123FCE"/>
    <w:rsid w:val="00123FD5"/>
    <w:rsid w:val="001240A6"/>
    <w:rsid w:val="001240CF"/>
    <w:rsid w:val="001240D7"/>
    <w:rsid w:val="00124109"/>
    <w:rsid w:val="00124112"/>
    <w:rsid w:val="00124125"/>
    <w:rsid w:val="00124128"/>
    <w:rsid w:val="00124148"/>
    <w:rsid w:val="00124177"/>
    <w:rsid w:val="00124203"/>
    <w:rsid w:val="00124269"/>
    <w:rsid w:val="00124286"/>
    <w:rsid w:val="0012428D"/>
    <w:rsid w:val="001242C6"/>
    <w:rsid w:val="00124329"/>
    <w:rsid w:val="00124376"/>
    <w:rsid w:val="0012439C"/>
    <w:rsid w:val="001243D7"/>
    <w:rsid w:val="00124425"/>
    <w:rsid w:val="00124470"/>
    <w:rsid w:val="00124476"/>
    <w:rsid w:val="0012449D"/>
    <w:rsid w:val="001244A3"/>
    <w:rsid w:val="001244FF"/>
    <w:rsid w:val="00124517"/>
    <w:rsid w:val="00124525"/>
    <w:rsid w:val="00124582"/>
    <w:rsid w:val="0012459F"/>
    <w:rsid w:val="001245DD"/>
    <w:rsid w:val="00124622"/>
    <w:rsid w:val="00124672"/>
    <w:rsid w:val="0012468F"/>
    <w:rsid w:val="00124738"/>
    <w:rsid w:val="00124746"/>
    <w:rsid w:val="00124782"/>
    <w:rsid w:val="001247AB"/>
    <w:rsid w:val="001247E5"/>
    <w:rsid w:val="001247F8"/>
    <w:rsid w:val="00124895"/>
    <w:rsid w:val="001248B9"/>
    <w:rsid w:val="001248E7"/>
    <w:rsid w:val="001248EA"/>
    <w:rsid w:val="001248FE"/>
    <w:rsid w:val="0012496D"/>
    <w:rsid w:val="00124976"/>
    <w:rsid w:val="001249D1"/>
    <w:rsid w:val="00124A00"/>
    <w:rsid w:val="00124AA2"/>
    <w:rsid w:val="00124ADC"/>
    <w:rsid w:val="00124AF4"/>
    <w:rsid w:val="00124BAF"/>
    <w:rsid w:val="00124CBA"/>
    <w:rsid w:val="00124D0C"/>
    <w:rsid w:val="00124D2F"/>
    <w:rsid w:val="00124D33"/>
    <w:rsid w:val="00124D52"/>
    <w:rsid w:val="00124DA1"/>
    <w:rsid w:val="00124E51"/>
    <w:rsid w:val="00124E6B"/>
    <w:rsid w:val="00124EA6"/>
    <w:rsid w:val="00124EBD"/>
    <w:rsid w:val="00124F01"/>
    <w:rsid w:val="00124F21"/>
    <w:rsid w:val="00124F4C"/>
    <w:rsid w:val="00124F60"/>
    <w:rsid w:val="00124F84"/>
    <w:rsid w:val="00124FDD"/>
    <w:rsid w:val="00124FE2"/>
    <w:rsid w:val="00125047"/>
    <w:rsid w:val="001250F8"/>
    <w:rsid w:val="00125109"/>
    <w:rsid w:val="00125127"/>
    <w:rsid w:val="00125136"/>
    <w:rsid w:val="00125176"/>
    <w:rsid w:val="00125213"/>
    <w:rsid w:val="00125225"/>
    <w:rsid w:val="00125227"/>
    <w:rsid w:val="00125252"/>
    <w:rsid w:val="001252C1"/>
    <w:rsid w:val="001252CB"/>
    <w:rsid w:val="001252EC"/>
    <w:rsid w:val="001252F6"/>
    <w:rsid w:val="00125313"/>
    <w:rsid w:val="00125334"/>
    <w:rsid w:val="00125372"/>
    <w:rsid w:val="001253A6"/>
    <w:rsid w:val="001253BF"/>
    <w:rsid w:val="00125410"/>
    <w:rsid w:val="0012545E"/>
    <w:rsid w:val="0012546A"/>
    <w:rsid w:val="0012547B"/>
    <w:rsid w:val="00125493"/>
    <w:rsid w:val="001254E1"/>
    <w:rsid w:val="00125579"/>
    <w:rsid w:val="0012558B"/>
    <w:rsid w:val="00125598"/>
    <w:rsid w:val="001255A8"/>
    <w:rsid w:val="001255E1"/>
    <w:rsid w:val="0012564E"/>
    <w:rsid w:val="0012566C"/>
    <w:rsid w:val="00125686"/>
    <w:rsid w:val="00125800"/>
    <w:rsid w:val="00125811"/>
    <w:rsid w:val="0012581F"/>
    <w:rsid w:val="0012585D"/>
    <w:rsid w:val="0012586C"/>
    <w:rsid w:val="00125882"/>
    <w:rsid w:val="00125909"/>
    <w:rsid w:val="00125954"/>
    <w:rsid w:val="00125985"/>
    <w:rsid w:val="001259B2"/>
    <w:rsid w:val="001259C6"/>
    <w:rsid w:val="001259E0"/>
    <w:rsid w:val="001259FA"/>
    <w:rsid w:val="00125A27"/>
    <w:rsid w:val="00125A52"/>
    <w:rsid w:val="00125A65"/>
    <w:rsid w:val="00125A9A"/>
    <w:rsid w:val="00125AB6"/>
    <w:rsid w:val="00125ABD"/>
    <w:rsid w:val="00125AD2"/>
    <w:rsid w:val="00125AEB"/>
    <w:rsid w:val="00125B4A"/>
    <w:rsid w:val="00125B5E"/>
    <w:rsid w:val="00125B9E"/>
    <w:rsid w:val="00125BA6"/>
    <w:rsid w:val="00125BF0"/>
    <w:rsid w:val="00125C04"/>
    <w:rsid w:val="00125CA4"/>
    <w:rsid w:val="00125CB8"/>
    <w:rsid w:val="00125CC5"/>
    <w:rsid w:val="00125D00"/>
    <w:rsid w:val="00125D3C"/>
    <w:rsid w:val="00125DB5"/>
    <w:rsid w:val="00125DC0"/>
    <w:rsid w:val="00125E19"/>
    <w:rsid w:val="00125EFC"/>
    <w:rsid w:val="00125F2A"/>
    <w:rsid w:val="00125F92"/>
    <w:rsid w:val="00125FD1"/>
    <w:rsid w:val="00125FF3"/>
    <w:rsid w:val="0012605A"/>
    <w:rsid w:val="0012605B"/>
    <w:rsid w:val="0012608D"/>
    <w:rsid w:val="001260BE"/>
    <w:rsid w:val="00126115"/>
    <w:rsid w:val="00126152"/>
    <w:rsid w:val="00126196"/>
    <w:rsid w:val="001261A1"/>
    <w:rsid w:val="001261A9"/>
    <w:rsid w:val="001261BE"/>
    <w:rsid w:val="0012629E"/>
    <w:rsid w:val="00126303"/>
    <w:rsid w:val="00126396"/>
    <w:rsid w:val="001263D6"/>
    <w:rsid w:val="001263DF"/>
    <w:rsid w:val="001263E2"/>
    <w:rsid w:val="0012643D"/>
    <w:rsid w:val="00126497"/>
    <w:rsid w:val="001264D8"/>
    <w:rsid w:val="0012655A"/>
    <w:rsid w:val="001265B6"/>
    <w:rsid w:val="001265C0"/>
    <w:rsid w:val="00126660"/>
    <w:rsid w:val="00126677"/>
    <w:rsid w:val="00126731"/>
    <w:rsid w:val="00126748"/>
    <w:rsid w:val="00126786"/>
    <w:rsid w:val="00126791"/>
    <w:rsid w:val="001267D7"/>
    <w:rsid w:val="00126805"/>
    <w:rsid w:val="0012680C"/>
    <w:rsid w:val="00126854"/>
    <w:rsid w:val="0012685E"/>
    <w:rsid w:val="0012691B"/>
    <w:rsid w:val="0012692E"/>
    <w:rsid w:val="0012698C"/>
    <w:rsid w:val="00126990"/>
    <w:rsid w:val="001269BE"/>
    <w:rsid w:val="001269D7"/>
    <w:rsid w:val="001269EB"/>
    <w:rsid w:val="00126A26"/>
    <w:rsid w:val="00126A2E"/>
    <w:rsid w:val="00126A34"/>
    <w:rsid w:val="00126A6B"/>
    <w:rsid w:val="00126AA7"/>
    <w:rsid w:val="00126AB3"/>
    <w:rsid w:val="00126AD9"/>
    <w:rsid w:val="00126AEB"/>
    <w:rsid w:val="00126B1E"/>
    <w:rsid w:val="00126B21"/>
    <w:rsid w:val="00126B6A"/>
    <w:rsid w:val="00126B93"/>
    <w:rsid w:val="00126BCF"/>
    <w:rsid w:val="00126BEC"/>
    <w:rsid w:val="00126C62"/>
    <w:rsid w:val="00126C73"/>
    <w:rsid w:val="00126C7A"/>
    <w:rsid w:val="00126C93"/>
    <w:rsid w:val="00126CCB"/>
    <w:rsid w:val="00126D15"/>
    <w:rsid w:val="00126D3B"/>
    <w:rsid w:val="00126D40"/>
    <w:rsid w:val="00126D62"/>
    <w:rsid w:val="00126D70"/>
    <w:rsid w:val="00126EA0"/>
    <w:rsid w:val="00126ED3"/>
    <w:rsid w:val="00126EFB"/>
    <w:rsid w:val="00126F1A"/>
    <w:rsid w:val="00126F40"/>
    <w:rsid w:val="00126FAB"/>
    <w:rsid w:val="00126FBB"/>
    <w:rsid w:val="0012701B"/>
    <w:rsid w:val="0012701F"/>
    <w:rsid w:val="00127023"/>
    <w:rsid w:val="00127050"/>
    <w:rsid w:val="001270A1"/>
    <w:rsid w:val="00127138"/>
    <w:rsid w:val="00127143"/>
    <w:rsid w:val="00127174"/>
    <w:rsid w:val="00127229"/>
    <w:rsid w:val="00127269"/>
    <w:rsid w:val="00127274"/>
    <w:rsid w:val="0012729C"/>
    <w:rsid w:val="001272A6"/>
    <w:rsid w:val="001272D9"/>
    <w:rsid w:val="0012732B"/>
    <w:rsid w:val="0012733F"/>
    <w:rsid w:val="00127370"/>
    <w:rsid w:val="001273E3"/>
    <w:rsid w:val="001273E8"/>
    <w:rsid w:val="001273F2"/>
    <w:rsid w:val="0012741D"/>
    <w:rsid w:val="0012747B"/>
    <w:rsid w:val="001274A1"/>
    <w:rsid w:val="001274F2"/>
    <w:rsid w:val="0012752B"/>
    <w:rsid w:val="00127562"/>
    <w:rsid w:val="0012758C"/>
    <w:rsid w:val="001275C7"/>
    <w:rsid w:val="00127611"/>
    <w:rsid w:val="0012763A"/>
    <w:rsid w:val="00127666"/>
    <w:rsid w:val="00127670"/>
    <w:rsid w:val="00127676"/>
    <w:rsid w:val="0012767E"/>
    <w:rsid w:val="001276AB"/>
    <w:rsid w:val="001276C2"/>
    <w:rsid w:val="00127725"/>
    <w:rsid w:val="001277D8"/>
    <w:rsid w:val="001277E1"/>
    <w:rsid w:val="001277F0"/>
    <w:rsid w:val="001277F2"/>
    <w:rsid w:val="001277F7"/>
    <w:rsid w:val="00127810"/>
    <w:rsid w:val="00127816"/>
    <w:rsid w:val="00127827"/>
    <w:rsid w:val="00127846"/>
    <w:rsid w:val="0012789C"/>
    <w:rsid w:val="001278CE"/>
    <w:rsid w:val="001278E4"/>
    <w:rsid w:val="00127994"/>
    <w:rsid w:val="001279F1"/>
    <w:rsid w:val="00127A31"/>
    <w:rsid w:val="00127A8D"/>
    <w:rsid w:val="00127AB8"/>
    <w:rsid w:val="00127AD4"/>
    <w:rsid w:val="00127B08"/>
    <w:rsid w:val="00127B85"/>
    <w:rsid w:val="00127BD0"/>
    <w:rsid w:val="00127BD6"/>
    <w:rsid w:val="00127BF0"/>
    <w:rsid w:val="00127BF6"/>
    <w:rsid w:val="00127C18"/>
    <w:rsid w:val="00127C51"/>
    <w:rsid w:val="00127C8C"/>
    <w:rsid w:val="00127CAA"/>
    <w:rsid w:val="00127CB3"/>
    <w:rsid w:val="00127CEC"/>
    <w:rsid w:val="00127D15"/>
    <w:rsid w:val="00127D2A"/>
    <w:rsid w:val="00127D2E"/>
    <w:rsid w:val="00127D7B"/>
    <w:rsid w:val="00127DC6"/>
    <w:rsid w:val="00127E0A"/>
    <w:rsid w:val="00127E53"/>
    <w:rsid w:val="00127E5D"/>
    <w:rsid w:val="00127EDE"/>
    <w:rsid w:val="00127EE7"/>
    <w:rsid w:val="00127EEC"/>
    <w:rsid w:val="00127F02"/>
    <w:rsid w:val="00127F23"/>
    <w:rsid w:val="00127F2C"/>
    <w:rsid w:val="00127F36"/>
    <w:rsid w:val="00127F66"/>
    <w:rsid w:val="00127FC5"/>
    <w:rsid w:val="00128709"/>
    <w:rsid w:val="00130069"/>
    <w:rsid w:val="00130104"/>
    <w:rsid w:val="0013017C"/>
    <w:rsid w:val="0013018E"/>
    <w:rsid w:val="001301D8"/>
    <w:rsid w:val="00130220"/>
    <w:rsid w:val="0013022B"/>
    <w:rsid w:val="0013022C"/>
    <w:rsid w:val="0013022D"/>
    <w:rsid w:val="0013026C"/>
    <w:rsid w:val="00130305"/>
    <w:rsid w:val="0013034A"/>
    <w:rsid w:val="001303CF"/>
    <w:rsid w:val="001303E0"/>
    <w:rsid w:val="00130403"/>
    <w:rsid w:val="0013040A"/>
    <w:rsid w:val="0013041F"/>
    <w:rsid w:val="00130476"/>
    <w:rsid w:val="001304D6"/>
    <w:rsid w:val="001304F4"/>
    <w:rsid w:val="0013051D"/>
    <w:rsid w:val="00130563"/>
    <w:rsid w:val="0013058F"/>
    <w:rsid w:val="001305BB"/>
    <w:rsid w:val="001305D6"/>
    <w:rsid w:val="00130620"/>
    <w:rsid w:val="00130634"/>
    <w:rsid w:val="001306BF"/>
    <w:rsid w:val="001306FE"/>
    <w:rsid w:val="0013076B"/>
    <w:rsid w:val="001307A2"/>
    <w:rsid w:val="001307D1"/>
    <w:rsid w:val="0013083A"/>
    <w:rsid w:val="00130849"/>
    <w:rsid w:val="001308C3"/>
    <w:rsid w:val="001308DC"/>
    <w:rsid w:val="00130915"/>
    <w:rsid w:val="00130964"/>
    <w:rsid w:val="00130969"/>
    <w:rsid w:val="0013096D"/>
    <w:rsid w:val="00130987"/>
    <w:rsid w:val="001309FF"/>
    <w:rsid w:val="00130A32"/>
    <w:rsid w:val="00130A70"/>
    <w:rsid w:val="00130A95"/>
    <w:rsid w:val="00130AA2"/>
    <w:rsid w:val="00130B05"/>
    <w:rsid w:val="00130B4F"/>
    <w:rsid w:val="00130B62"/>
    <w:rsid w:val="00130B9C"/>
    <w:rsid w:val="00130B9D"/>
    <w:rsid w:val="00130BA0"/>
    <w:rsid w:val="00130BB8"/>
    <w:rsid w:val="00130BD4"/>
    <w:rsid w:val="00130BF4"/>
    <w:rsid w:val="00130C29"/>
    <w:rsid w:val="00130C5A"/>
    <w:rsid w:val="00130C6B"/>
    <w:rsid w:val="00130C98"/>
    <w:rsid w:val="00130CAC"/>
    <w:rsid w:val="00130CC8"/>
    <w:rsid w:val="00130D1A"/>
    <w:rsid w:val="00130D21"/>
    <w:rsid w:val="00130D30"/>
    <w:rsid w:val="00130D9C"/>
    <w:rsid w:val="00130E03"/>
    <w:rsid w:val="00130E25"/>
    <w:rsid w:val="00130E5B"/>
    <w:rsid w:val="00130E61"/>
    <w:rsid w:val="00130E8F"/>
    <w:rsid w:val="00130ED4"/>
    <w:rsid w:val="00130F35"/>
    <w:rsid w:val="00130F56"/>
    <w:rsid w:val="00130F61"/>
    <w:rsid w:val="00130FED"/>
    <w:rsid w:val="00131001"/>
    <w:rsid w:val="00131003"/>
    <w:rsid w:val="00131012"/>
    <w:rsid w:val="00131021"/>
    <w:rsid w:val="00131044"/>
    <w:rsid w:val="0013108B"/>
    <w:rsid w:val="001310C3"/>
    <w:rsid w:val="001310EE"/>
    <w:rsid w:val="001310F9"/>
    <w:rsid w:val="0013110F"/>
    <w:rsid w:val="0013112F"/>
    <w:rsid w:val="00131139"/>
    <w:rsid w:val="00131177"/>
    <w:rsid w:val="001311A1"/>
    <w:rsid w:val="001311FA"/>
    <w:rsid w:val="00131201"/>
    <w:rsid w:val="0013125D"/>
    <w:rsid w:val="00131274"/>
    <w:rsid w:val="00131297"/>
    <w:rsid w:val="001312C4"/>
    <w:rsid w:val="001312CC"/>
    <w:rsid w:val="0013133A"/>
    <w:rsid w:val="00131362"/>
    <w:rsid w:val="001313C2"/>
    <w:rsid w:val="001313E4"/>
    <w:rsid w:val="00131420"/>
    <w:rsid w:val="0013143C"/>
    <w:rsid w:val="00131464"/>
    <w:rsid w:val="00131493"/>
    <w:rsid w:val="001314EC"/>
    <w:rsid w:val="0013150F"/>
    <w:rsid w:val="00131517"/>
    <w:rsid w:val="00131527"/>
    <w:rsid w:val="00131628"/>
    <w:rsid w:val="00131656"/>
    <w:rsid w:val="00131683"/>
    <w:rsid w:val="00131699"/>
    <w:rsid w:val="0013169B"/>
    <w:rsid w:val="0013169E"/>
    <w:rsid w:val="001316A0"/>
    <w:rsid w:val="001316A6"/>
    <w:rsid w:val="001316D9"/>
    <w:rsid w:val="00131712"/>
    <w:rsid w:val="0013175F"/>
    <w:rsid w:val="0013177D"/>
    <w:rsid w:val="001317D4"/>
    <w:rsid w:val="001317EA"/>
    <w:rsid w:val="00131821"/>
    <w:rsid w:val="00131829"/>
    <w:rsid w:val="00131839"/>
    <w:rsid w:val="00131890"/>
    <w:rsid w:val="00131894"/>
    <w:rsid w:val="001318DF"/>
    <w:rsid w:val="001319CD"/>
    <w:rsid w:val="001319E9"/>
    <w:rsid w:val="00131A54"/>
    <w:rsid w:val="00131A7F"/>
    <w:rsid w:val="00131AC3"/>
    <w:rsid w:val="00131AC5"/>
    <w:rsid w:val="00131AF2"/>
    <w:rsid w:val="00131B02"/>
    <w:rsid w:val="00131B3C"/>
    <w:rsid w:val="00131B70"/>
    <w:rsid w:val="00131B9E"/>
    <w:rsid w:val="00131BC1"/>
    <w:rsid w:val="00131C14"/>
    <w:rsid w:val="00131CCD"/>
    <w:rsid w:val="00131D0B"/>
    <w:rsid w:val="00131D21"/>
    <w:rsid w:val="00131DCD"/>
    <w:rsid w:val="00131DEA"/>
    <w:rsid w:val="00131E0D"/>
    <w:rsid w:val="00131E11"/>
    <w:rsid w:val="00131E19"/>
    <w:rsid w:val="00131E2A"/>
    <w:rsid w:val="00131E4B"/>
    <w:rsid w:val="00131EAD"/>
    <w:rsid w:val="00131EC8"/>
    <w:rsid w:val="00131F20"/>
    <w:rsid w:val="00131F4D"/>
    <w:rsid w:val="00131FD4"/>
    <w:rsid w:val="00131FD5"/>
    <w:rsid w:val="00131FED"/>
    <w:rsid w:val="00131FFC"/>
    <w:rsid w:val="00132010"/>
    <w:rsid w:val="00132011"/>
    <w:rsid w:val="00132043"/>
    <w:rsid w:val="0013204A"/>
    <w:rsid w:val="0013206A"/>
    <w:rsid w:val="0013210A"/>
    <w:rsid w:val="00132154"/>
    <w:rsid w:val="001321A1"/>
    <w:rsid w:val="001321A6"/>
    <w:rsid w:val="001321A8"/>
    <w:rsid w:val="00132220"/>
    <w:rsid w:val="00132230"/>
    <w:rsid w:val="00132266"/>
    <w:rsid w:val="001322B9"/>
    <w:rsid w:val="00132338"/>
    <w:rsid w:val="001323FA"/>
    <w:rsid w:val="0013240D"/>
    <w:rsid w:val="00132435"/>
    <w:rsid w:val="00132456"/>
    <w:rsid w:val="001324BF"/>
    <w:rsid w:val="001324C0"/>
    <w:rsid w:val="001324CF"/>
    <w:rsid w:val="0013252C"/>
    <w:rsid w:val="0013256C"/>
    <w:rsid w:val="0013259F"/>
    <w:rsid w:val="001325B2"/>
    <w:rsid w:val="001325D1"/>
    <w:rsid w:val="001325E2"/>
    <w:rsid w:val="00132612"/>
    <w:rsid w:val="00132655"/>
    <w:rsid w:val="001326E1"/>
    <w:rsid w:val="00132703"/>
    <w:rsid w:val="00132711"/>
    <w:rsid w:val="0013277A"/>
    <w:rsid w:val="0013279B"/>
    <w:rsid w:val="001327CC"/>
    <w:rsid w:val="001327D0"/>
    <w:rsid w:val="00132847"/>
    <w:rsid w:val="00132861"/>
    <w:rsid w:val="00132873"/>
    <w:rsid w:val="00132875"/>
    <w:rsid w:val="001328E0"/>
    <w:rsid w:val="001329A5"/>
    <w:rsid w:val="001329FC"/>
    <w:rsid w:val="00132AAB"/>
    <w:rsid w:val="00132AE6"/>
    <w:rsid w:val="00132B05"/>
    <w:rsid w:val="00132B17"/>
    <w:rsid w:val="00132B3B"/>
    <w:rsid w:val="00132BAF"/>
    <w:rsid w:val="00132C28"/>
    <w:rsid w:val="00132C46"/>
    <w:rsid w:val="00132C5D"/>
    <w:rsid w:val="00132C5E"/>
    <w:rsid w:val="00132CA5"/>
    <w:rsid w:val="00132CEA"/>
    <w:rsid w:val="00132D00"/>
    <w:rsid w:val="00132D37"/>
    <w:rsid w:val="00132D62"/>
    <w:rsid w:val="00132DA7"/>
    <w:rsid w:val="00132DFD"/>
    <w:rsid w:val="00132E8F"/>
    <w:rsid w:val="00132EB5"/>
    <w:rsid w:val="00132EB9"/>
    <w:rsid w:val="00132EC1"/>
    <w:rsid w:val="00132ECC"/>
    <w:rsid w:val="00132ED6"/>
    <w:rsid w:val="00132F2A"/>
    <w:rsid w:val="00133000"/>
    <w:rsid w:val="0013304B"/>
    <w:rsid w:val="00133076"/>
    <w:rsid w:val="001330C4"/>
    <w:rsid w:val="001330E0"/>
    <w:rsid w:val="00133102"/>
    <w:rsid w:val="00133106"/>
    <w:rsid w:val="00133113"/>
    <w:rsid w:val="0013314D"/>
    <w:rsid w:val="0013315F"/>
    <w:rsid w:val="001331AB"/>
    <w:rsid w:val="00133255"/>
    <w:rsid w:val="0013325A"/>
    <w:rsid w:val="00133271"/>
    <w:rsid w:val="00133272"/>
    <w:rsid w:val="0013327D"/>
    <w:rsid w:val="001332A4"/>
    <w:rsid w:val="001332A7"/>
    <w:rsid w:val="001332BC"/>
    <w:rsid w:val="001332C6"/>
    <w:rsid w:val="001332E3"/>
    <w:rsid w:val="001332F8"/>
    <w:rsid w:val="001333B6"/>
    <w:rsid w:val="00133400"/>
    <w:rsid w:val="0013341F"/>
    <w:rsid w:val="00133477"/>
    <w:rsid w:val="00133481"/>
    <w:rsid w:val="0013349E"/>
    <w:rsid w:val="001334A8"/>
    <w:rsid w:val="00133523"/>
    <w:rsid w:val="00133560"/>
    <w:rsid w:val="001335A7"/>
    <w:rsid w:val="001335B0"/>
    <w:rsid w:val="00133608"/>
    <w:rsid w:val="00133618"/>
    <w:rsid w:val="00133659"/>
    <w:rsid w:val="0013365C"/>
    <w:rsid w:val="001336A5"/>
    <w:rsid w:val="001336A7"/>
    <w:rsid w:val="001336C3"/>
    <w:rsid w:val="001336E6"/>
    <w:rsid w:val="00133735"/>
    <w:rsid w:val="00133784"/>
    <w:rsid w:val="0013384C"/>
    <w:rsid w:val="0013387F"/>
    <w:rsid w:val="001338B8"/>
    <w:rsid w:val="00133905"/>
    <w:rsid w:val="001339A4"/>
    <w:rsid w:val="00133A0F"/>
    <w:rsid w:val="00133A3B"/>
    <w:rsid w:val="00133A8C"/>
    <w:rsid w:val="00133A8D"/>
    <w:rsid w:val="00133AF2"/>
    <w:rsid w:val="00133B5B"/>
    <w:rsid w:val="00133BC1"/>
    <w:rsid w:val="00133BD2"/>
    <w:rsid w:val="00133C59"/>
    <w:rsid w:val="00133C5D"/>
    <w:rsid w:val="00133C71"/>
    <w:rsid w:val="00133C7F"/>
    <w:rsid w:val="00133CB4"/>
    <w:rsid w:val="00133CCC"/>
    <w:rsid w:val="00133D04"/>
    <w:rsid w:val="00133D3F"/>
    <w:rsid w:val="00133D45"/>
    <w:rsid w:val="00133D83"/>
    <w:rsid w:val="00133E4F"/>
    <w:rsid w:val="00133E59"/>
    <w:rsid w:val="00133EAE"/>
    <w:rsid w:val="00133EBF"/>
    <w:rsid w:val="00133F0D"/>
    <w:rsid w:val="00133F25"/>
    <w:rsid w:val="00133F2C"/>
    <w:rsid w:val="00133F4F"/>
    <w:rsid w:val="00133F78"/>
    <w:rsid w:val="00133FC9"/>
    <w:rsid w:val="00133FD1"/>
    <w:rsid w:val="00133FE8"/>
    <w:rsid w:val="00133FFE"/>
    <w:rsid w:val="0013408E"/>
    <w:rsid w:val="001340E8"/>
    <w:rsid w:val="0013411A"/>
    <w:rsid w:val="00134159"/>
    <w:rsid w:val="00134186"/>
    <w:rsid w:val="00134219"/>
    <w:rsid w:val="0013421F"/>
    <w:rsid w:val="00134228"/>
    <w:rsid w:val="001342AB"/>
    <w:rsid w:val="001342C0"/>
    <w:rsid w:val="001342C8"/>
    <w:rsid w:val="001342E3"/>
    <w:rsid w:val="001342F6"/>
    <w:rsid w:val="001342FE"/>
    <w:rsid w:val="0013430E"/>
    <w:rsid w:val="00134313"/>
    <w:rsid w:val="00134382"/>
    <w:rsid w:val="001343C7"/>
    <w:rsid w:val="00134434"/>
    <w:rsid w:val="00134437"/>
    <w:rsid w:val="00134439"/>
    <w:rsid w:val="0013443C"/>
    <w:rsid w:val="001344A5"/>
    <w:rsid w:val="00134502"/>
    <w:rsid w:val="00134517"/>
    <w:rsid w:val="00134565"/>
    <w:rsid w:val="0013456C"/>
    <w:rsid w:val="001345B1"/>
    <w:rsid w:val="001345CF"/>
    <w:rsid w:val="001345F6"/>
    <w:rsid w:val="0013461E"/>
    <w:rsid w:val="0013464A"/>
    <w:rsid w:val="00134694"/>
    <w:rsid w:val="001346A9"/>
    <w:rsid w:val="001346BB"/>
    <w:rsid w:val="001346CB"/>
    <w:rsid w:val="00134751"/>
    <w:rsid w:val="00134769"/>
    <w:rsid w:val="00134778"/>
    <w:rsid w:val="001347A8"/>
    <w:rsid w:val="001347B4"/>
    <w:rsid w:val="0013486C"/>
    <w:rsid w:val="00134950"/>
    <w:rsid w:val="00134957"/>
    <w:rsid w:val="00134993"/>
    <w:rsid w:val="001349A6"/>
    <w:rsid w:val="001349B2"/>
    <w:rsid w:val="001349BE"/>
    <w:rsid w:val="001349C4"/>
    <w:rsid w:val="00134A42"/>
    <w:rsid w:val="00134A70"/>
    <w:rsid w:val="00134AC1"/>
    <w:rsid w:val="00134B3F"/>
    <w:rsid w:val="00134B76"/>
    <w:rsid w:val="00134BDB"/>
    <w:rsid w:val="00134BE7"/>
    <w:rsid w:val="00134C3A"/>
    <w:rsid w:val="00134C59"/>
    <w:rsid w:val="00134C74"/>
    <w:rsid w:val="00134C75"/>
    <w:rsid w:val="00134CC9"/>
    <w:rsid w:val="00134CCA"/>
    <w:rsid w:val="00134D55"/>
    <w:rsid w:val="00134DC8"/>
    <w:rsid w:val="00134E6C"/>
    <w:rsid w:val="00134E73"/>
    <w:rsid w:val="00134EA4"/>
    <w:rsid w:val="00134EAC"/>
    <w:rsid w:val="00134F2A"/>
    <w:rsid w:val="00134FAF"/>
    <w:rsid w:val="00134FBD"/>
    <w:rsid w:val="0013504F"/>
    <w:rsid w:val="00135057"/>
    <w:rsid w:val="0013508A"/>
    <w:rsid w:val="0013509C"/>
    <w:rsid w:val="00135106"/>
    <w:rsid w:val="0013510E"/>
    <w:rsid w:val="0013513C"/>
    <w:rsid w:val="0013513E"/>
    <w:rsid w:val="001351A8"/>
    <w:rsid w:val="001351E7"/>
    <w:rsid w:val="001351EC"/>
    <w:rsid w:val="0013520D"/>
    <w:rsid w:val="00135291"/>
    <w:rsid w:val="001352A6"/>
    <w:rsid w:val="001352BE"/>
    <w:rsid w:val="00135344"/>
    <w:rsid w:val="00135348"/>
    <w:rsid w:val="0013536D"/>
    <w:rsid w:val="0013537B"/>
    <w:rsid w:val="00135423"/>
    <w:rsid w:val="00135426"/>
    <w:rsid w:val="00135447"/>
    <w:rsid w:val="00135471"/>
    <w:rsid w:val="001354A5"/>
    <w:rsid w:val="001354DC"/>
    <w:rsid w:val="001354E7"/>
    <w:rsid w:val="001354F2"/>
    <w:rsid w:val="0013561E"/>
    <w:rsid w:val="00135639"/>
    <w:rsid w:val="00135640"/>
    <w:rsid w:val="00135644"/>
    <w:rsid w:val="001356A5"/>
    <w:rsid w:val="001356B5"/>
    <w:rsid w:val="00135721"/>
    <w:rsid w:val="00135729"/>
    <w:rsid w:val="0013572A"/>
    <w:rsid w:val="0013573E"/>
    <w:rsid w:val="0013577C"/>
    <w:rsid w:val="0013578D"/>
    <w:rsid w:val="001357C3"/>
    <w:rsid w:val="001357C7"/>
    <w:rsid w:val="001357D4"/>
    <w:rsid w:val="001357D5"/>
    <w:rsid w:val="00135807"/>
    <w:rsid w:val="00135869"/>
    <w:rsid w:val="001358E3"/>
    <w:rsid w:val="001358E7"/>
    <w:rsid w:val="0013592B"/>
    <w:rsid w:val="00135984"/>
    <w:rsid w:val="001359C4"/>
    <w:rsid w:val="001359EE"/>
    <w:rsid w:val="00135A68"/>
    <w:rsid w:val="00135AEE"/>
    <w:rsid w:val="00135B2E"/>
    <w:rsid w:val="00135C12"/>
    <w:rsid w:val="00135C4E"/>
    <w:rsid w:val="00135D9A"/>
    <w:rsid w:val="00135D9B"/>
    <w:rsid w:val="00135DAA"/>
    <w:rsid w:val="00135DB2"/>
    <w:rsid w:val="00135E00"/>
    <w:rsid w:val="00135E72"/>
    <w:rsid w:val="00135E81"/>
    <w:rsid w:val="00135ED1"/>
    <w:rsid w:val="00135EF1"/>
    <w:rsid w:val="00135F05"/>
    <w:rsid w:val="00135F90"/>
    <w:rsid w:val="00135FD3"/>
    <w:rsid w:val="00135FF5"/>
    <w:rsid w:val="001360D9"/>
    <w:rsid w:val="00136173"/>
    <w:rsid w:val="00136202"/>
    <w:rsid w:val="0013624C"/>
    <w:rsid w:val="0013626F"/>
    <w:rsid w:val="001362AF"/>
    <w:rsid w:val="001362DB"/>
    <w:rsid w:val="0013630F"/>
    <w:rsid w:val="00136315"/>
    <w:rsid w:val="00136348"/>
    <w:rsid w:val="00136378"/>
    <w:rsid w:val="001363B5"/>
    <w:rsid w:val="001363BB"/>
    <w:rsid w:val="001363D4"/>
    <w:rsid w:val="001363EF"/>
    <w:rsid w:val="00136409"/>
    <w:rsid w:val="00136410"/>
    <w:rsid w:val="0013642F"/>
    <w:rsid w:val="00136440"/>
    <w:rsid w:val="00136489"/>
    <w:rsid w:val="00136558"/>
    <w:rsid w:val="00136567"/>
    <w:rsid w:val="00136575"/>
    <w:rsid w:val="001365B0"/>
    <w:rsid w:val="001365B8"/>
    <w:rsid w:val="001365BE"/>
    <w:rsid w:val="0013660F"/>
    <w:rsid w:val="0013664A"/>
    <w:rsid w:val="00136669"/>
    <w:rsid w:val="00136689"/>
    <w:rsid w:val="001366E2"/>
    <w:rsid w:val="00136730"/>
    <w:rsid w:val="001367A6"/>
    <w:rsid w:val="001367A9"/>
    <w:rsid w:val="001367AB"/>
    <w:rsid w:val="001367B5"/>
    <w:rsid w:val="0013681F"/>
    <w:rsid w:val="0013683E"/>
    <w:rsid w:val="0013689C"/>
    <w:rsid w:val="001368B5"/>
    <w:rsid w:val="001368BD"/>
    <w:rsid w:val="0013699B"/>
    <w:rsid w:val="00136A02"/>
    <w:rsid w:val="00136A1F"/>
    <w:rsid w:val="00136A47"/>
    <w:rsid w:val="00136A7F"/>
    <w:rsid w:val="00136AA9"/>
    <w:rsid w:val="00136AC1"/>
    <w:rsid w:val="00136AD2"/>
    <w:rsid w:val="00136B5F"/>
    <w:rsid w:val="00136BAD"/>
    <w:rsid w:val="00136BD2"/>
    <w:rsid w:val="00136BDC"/>
    <w:rsid w:val="00136BF7"/>
    <w:rsid w:val="00136C34"/>
    <w:rsid w:val="00136C49"/>
    <w:rsid w:val="00136C5C"/>
    <w:rsid w:val="00136C65"/>
    <w:rsid w:val="00136C71"/>
    <w:rsid w:val="00136C72"/>
    <w:rsid w:val="00136C82"/>
    <w:rsid w:val="00136C90"/>
    <w:rsid w:val="00136C9D"/>
    <w:rsid w:val="00136CAF"/>
    <w:rsid w:val="00136CD4"/>
    <w:rsid w:val="00136CF9"/>
    <w:rsid w:val="00136D3C"/>
    <w:rsid w:val="00136D83"/>
    <w:rsid w:val="00136D94"/>
    <w:rsid w:val="00136DF6"/>
    <w:rsid w:val="00136E35"/>
    <w:rsid w:val="00136E8F"/>
    <w:rsid w:val="00136F12"/>
    <w:rsid w:val="00136F25"/>
    <w:rsid w:val="00136F2A"/>
    <w:rsid w:val="00136FB0"/>
    <w:rsid w:val="0013701C"/>
    <w:rsid w:val="00137037"/>
    <w:rsid w:val="00137048"/>
    <w:rsid w:val="00137055"/>
    <w:rsid w:val="00137077"/>
    <w:rsid w:val="0013707F"/>
    <w:rsid w:val="001370B2"/>
    <w:rsid w:val="001370B7"/>
    <w:rsid w:val="001370CC"/>
    <w:rsid w:val="0013715D"/>
    <w:rsid w:val="001371AE"/>
    <w:rsid w:val="00137226"/>
    <w:rsid w:val="00137269"/>
    <w:rsid w:val="001372BD"/>
    <w:rsid w:val="001372DD"/>
    <w:rsid w:val="001372E6"/>
    <w:rsid w:val="00137334"/>
    <w:rsid w:val="00137346"/>
    <w:rsid w:val="00137397"/>
    <w:rsid w:val="001373D4"/>
    <w:rsid w:val="0013744E"/>
    <w:rsid w:val="0013745C"/>
    <w:rsid w:val="0013748F"/>
    <w:rsid w:val="00137493"/>
    <w:rsid w:val="001374DE"/>
    <w:rsid w:val="001374F3"/>
    <w:rsid w:val="00137524"/>
    <w:rsid w:val="00137540"/>
    <w:rsid w:val="0013755A"/>
    <w:rsid w:val="0013756F"/>
    <w:rsid w:val="0013758E"/>
    <w:rsid w:val="001375C8"/>
    <w:rsid w:val="001375E4"/>
    <w:rsid w:val="0013761F"/>
    <w:rsid w:val="0013763F"/>
    <w:rsid w:val="0013767A"/>
    <w:rsid w:val="001376CF"/>
    <w:rsid w:val="001376DE"/>
    <w:rsid w:val="001376EF"/>
    <w:rsid w:val="00137720"/>
    <w:rsid w:val="0013772B"/>
    <w:rsid w:val="0013774E"/>
    <w:rsid w:val="0013777F"/>
    <w:rsid w:val="0013778A"/>
    <w:rsid w:val="0013778C"/>
    <w:rsid w:val="0013779E"/>
    <w:rsid w:val="00137803"/>
    <w:rsid w:val="00137806"/>
    <w:rsid w:val="0013781E"/>
    <w:rsid w:val="0013788A"/>
    <w:rsid w:val="001378CA"/>
    <w:rsid w:val="001378D8"/>
    <w:rsid w:val="001378E2"/>
    <w:rsid w:val="00137934"/>
    <w:rsid w:val="0013794C"/>
    <w:rsid w:val="001379B9"/>
    <w:rsid w:val="00137A0F"/>
    <w:rsid w:val="00137A87"/>
    <w:rsid w:val="00137ADC"/>
    <w:rsid w:val="00137AE0"/>
    <w:rsid w:val="00137B03"/>
    <w:rsid w:val="00137B2D"/>
    <w:rsid w:val="00137B56"/>
    <w:rsid w:val="00137B9F"/>
    <w:rsid w:val="00137BCF"/>
    <w:rsid w:val="00137C4F"/>
    <w:rsid w:val="00137C5C"/>
    <w:rsid w:val="00137C86"/>
    <w:rsid w:val="00137CA4"/>
    <w:rsid w:val="00137CB3"/>
    <w:rsid w:val="00137CEC"/>
    <w:rsid w:val="00137D0B"/>
    <w:rsid w:val="00137D0F"/>
    <w:rsid w:val="00137D3B"/>
    <w:rsid w:val="00137D75"/>
    <w:rsid w:val="00137D8F"/>
    <w:rsid w:val="00137D98"/>
    <w:rsid w:val="00137DA2"/>
    <w:rsid w:val="00137DB2"/>
    <w:rsid w:val="00137DD2"/>
    <w:rsid w:val="00137E26"/>
    <w:rsid w:val="00137E52"/>
    <w:rsid w:val="00137E99"/>
    <w:rsid w:val="00137EA6"/>
    <w:rsid w:val="00137EB9"/>
    <w:rsid w:val="00137EE0"/>
    <w:rsid w:val="00137F66"/>
    <w:rsid w:val="00137FAC"/>
    <w:rsid w:val="0013B696"/>
    <w:rsid w:val="0013C371"/>
    <w:rsid w:val="00140016"/>
    <w:rsid w:val="00140020"/>
    <w:rsid w:val="00140026"/>
    <w:rsid w:val="00140032"/>
    <w:rsid w:val="00140063"/>
    <w:rsid w:val="00140066"/>
    <w:rsid w:val="001400C9"/>
    <w:rsid w:val="00140110"/>
    <w:rsid w:val="00140131"/>
    <w:rsid w:val="0014014F"/>
    <w:rsid w:val="001401A3"/>
    <w:rsid w:val="001401D9"/>
    <w:rsid w:val="001401FF"/>
    <w:rsid w:val="00140305"/>
    <w:rsid w:val="0014031B"/>
    <w:rsid w:val="0014031C"/>
    <w:rsid w:val="00140378"/>
    <w:rsid w:val="00140395"/>
    <w:rsid w:val="00140437"/>
    <w:rsid w:val="00140463"/>
    <w:rsid w:val="001404CC"/>
    <w:rsid w:val="00140567"/>
    <w:rsid w:val="00140617"/>
    <w:rsid w:val="001406AF"/>
    <w:rsid w:val="001406E7"/>
    <w:rsid w:val="001406F2"/>
    <w:rsid w:val="0014073F"/>
    <w:rsid w:val="00140767"/>
    <w:rsid w:val="00140774"/>
    <w:rsid w:val="00140781"/>
    <w:rsid w:val="001407B5"/>
    <w:rsid w:val="001407BB"/>
    <w:rsid w:val="00140859"/>
    <w:rsid w:val="001408B7"/>
    <w:rsid w:val="00140909"/>
    <w:rsid w:val="00140925"/>
    <w:rsid w:val="00140950"/>
    <w:rsid w:val="00140968"/>
    <w:rsid w:val="0014096F"/>
    <w:rsid w:val="0014097F"/>
    <w:rsid w:val="001409BC"/>
    <w:rsid w:val="00140A1E"/>
    <w:rsid w:val="00140A7F"/>
    <w:rsid w:val="00140ACD"/>
    <w:rsid w:val="00140AED"/>
    <w:rsid w:val="00140B04"/>
    <w:rsid w:val="00140B13"/>
    <w:rsid w:val="00140B3A"/>
    <w:rsid w:val="00140B4A"/>
    <w:rsid w:val="00140B83"/>
    <w:rsid w:val="00140C12"/>
    <w:rsid w:val="00140C1F"/>
    <w:rsid w:val="00140C32"/>
    <w:rsid w:val="00140C5A"/>
    <w:rsid w:val="00140C84"/>
    <w:rsid w:val="00140D32"/>
    <w:rsid w:val="00140D5C"/>
    <w:rsid w:val="00140D66"/>
    <w:rsid w:val="00140DAB"/>
    <w:rsid w:val="00140DAE"/>
    <w:rsid w:val="00140E0D"/>
    <w:rsid w:val="00140E17"/>
    <w:rsid w:val="00140E66"/>
    <w:rsid w:val="00140E89"/>
    <w:rsid w:val="00140EE4"/>
    <w:rsid w:val="00140EED"/>
    <w:rsid w:val="00140F3E"/>
    <w:rsid w:val="00140F4A"/>
    <w:rsid w:val="00140F51"/>
    <w:rsid w:val="0014103B"/>
    <w:rsid w:val="0014109F"/>
    <w:rsid w:val="001410D3"/>
    <w:rsid w:val="001410F7"/>
    <w:rsid w:val="0014110D"/>
    <w:rsid w:val="0014117B"/>
    <w:rsid w:val="001411DA"/>
    <w:rsid w:val="0014121A"/>
    <w:rsid w:val="0014121D"/>
    <w:rsid w:val="001412E0"/>
    <w:rsid w:val="0014131C"/>
    <w:rsid w:val="00141328"/>
    <w:rsid w:val="0014134C"/>
    <w:rsid w:val="001413A1"/>
    <w:rsid w:val="001413A9"/>
    <w:rsid w:val="001413B4"/>
    <w:rsid w:val="001413D7"/>
    <w:rsid w:val="0014141C"/>
    <w:rsid w:val="00141427"/>
    <w:rsid w:val="00141428"/>
    <w:rsid w:val="00141435"/>
    <w:rsid w:val="00141438"/>
    <w:rsid w:val="001414EA"/>
    <w:rsid w:val="001414F6"/>
    <w:rsid w:val="00141506"/>
    <w:rsid w:val="0014154B"/>
    <w:rsid w:val="001415DF"/>
    <w:rsid w:val="0014163D"/>
    <w:rsid w:val="00141696"/>
    <w:rsid w:val="00141746"/>
    <w:rsid w:val="00141752"/>
    <w:rsid w:val="0014175D"/>
    <w:rsid w:val="001417E8"/>
    <w:rsid w:val="00141846"/>
    <w:rsid w:val="00141853"/>
    <w:rsid w:val="0014188F"/>
    <w:rsid w:val="001418A6"/>
    <w:rsid w:val="00141903"/>
    <w:rsid w:val="00141986"/>
    <w:rsid w:val="00141994"/>
    <w:rsid w:val="001419BE"/>
    <w:rsid w:val="001419C7"/>
    <w:rsid w:val="001419C9"/>
    <w:rsid w:val="001419DF"/>
    <w:rsid w:val="00141A02"/>
    <w:rsid w:val="00141A43"/>
    <w:rsid w:val="00141AF1"/>
    <w:rsid w:val="00141B45"/>
    <w:rsid w:val="00141B5A"/>
    <w:rsid w:val="00141B7D"/>
    <w:rsid w:val="00141B8D"/>
    <w:rsid w:val="00141BC2"/>
    <w:rsid w:val="00141BF8"/>
    <w:rsid w:val="00141CC7"/>
    <w:rsid w:val="00141D05"/>
    <w:rsid w:val="00141D09"/>
    <w:rsid w:val="00141D3E"/>
    <w:rsid w:val="00141D56"/>
    <w:rsid w:val="00141D84"/>
    <w:rsid w:val="00141DDD"/>
    <w:rsid w:val="00141E05"/>
    <w:rsid w:val="00141E4A"/>
    <w:rsid w:val="00141EC8"/>
    <w:rsid w:val="00141F0B"/>
    <w:rsid w:val="00141F46"/>
    <w:rsid w:val="00141F5F"/>
    <w:rsid w:val="00141F64"/>
    <w:rsid w:val="00141FA3"/>
    <w:rsid w:val="00141FDD"/>
    <w:rsid w:val="00141FF5"/>
    <w:rsid w:val="00142018"/>
    <w:rsid w:val="0014201B"/>
    <w:rsid w:val="0014204A"/>
    <w:rsid w:val="001420B6"/>
    <w:rsid w:val="001420E1"/>
    <w:rsid w:val="00142148"/>
    <w:rsid w:val="00142202"/>
    <w:rsid w:val="00142233"/>
    <w:rsid w:val="00142272"/>
    <w:rsid w:val="00142276"/>
    <w:rsid w:val="0014227B"/>
    <w:rsid w:val="0014228D"/>
    <w:rsid w:val="00142319"/>
    <w:rsid w:val="001423BE"/>
    <w:rsid w:val="001423C2"/>
    <w:rsid w:val="001423C4"/>
    <w:rsid w:val="001423CB"/>
    <w:rsid w:val="00142425"/>
    <w:rsid w:val="0014248F"/>
    <w:rsid w:val="001424C8"/>
    <w:rsid w:val="001424D0"/>
    <w:rsid w:val="001424DA"/>
    <w:rsid w:val="00142560"/>
    <w:rsid w:val="00142562"/>
    <w:rsid w:val="001425BE"/>
    <w:rsid w:val="001425D8"/>
    <w:rsid w:val="00142636"/>
    <w:rsid w:val="001426F7"/>
    <w:rsid w:val="00142710"/>
    <w:rsid w:val="0014273A"/>
    <w:rsid w:val="0014273F"/>
    <w:rsid w:val="00142799"/>
    <w:rsid w:val="001427C0"/>
    <w:rsid w:val="00142850"/>
    <w:rsid w:val="00142898"/>
    <w:rsid w:val="001428B4"/>
    <w:rsid w:val="00142955"/>
    <w:rsid w:val="001429EB"/>
    <w:rsid w:val="00142A08"/>
    <w:rsid w:val="00142A36"/>
    <w:rsid w:val="00142A40"/>
    <w:rsid w:val="00142A99"/>
    <w:rsid w:val="00142B19"/>
    <w:rsid w:val="00142C64"/>
    <w:rsid w:val="00142C77"/>
    <w:rsid w:val="00142CAE"/>
    <w:rsid w:val="00142CDD"/>
    <w:rsid w:val="00142D1B"/>
    <w:rsid w:val="00142D2D"/>
    <w:rsid w:val="00142D8C"/>
    <w:rsid w:val="00142DB3"/>
    <w:rsid w:val="00142E10"/>
    <w:rsid w:val="00142E74"/>
    <w:rsid w:val="00142E88"/>
    <w:rsid w:val="00142E8F"/>
    <w:rsid w:val="00142F2B"/>
    <w:rsid w:val="00142F4C"/>
    <w:rsid w:val="00142F5A"/>
    <w:rsid w:val="00142F94"/>
    <w:rsid w:val="00142FBC"/>
    <w:rsid w:val="00142FC9"/>
    <w:rsid w:val="00142FCB"/>
    <w:rsid w:val="00142FD9"/>
    <w:rsid w:val="00142FED"/>
    <w:rsid w:val="00143009"/>
    <w:rsid w:val="00143021"/>
    <w:rsid w:val="00143056"/>
    <w:rsid w:val="001430A9"/>
    <w:rsid w:val="001430D2"/>
    <w:rsid w:val="001430F3"/>
    <w:rsid w:val="00143132"/>
    <w:rsid w:val="0014314B"/>
    <w:rsid w:val="00143150"/>
    <w:rsid w:val="00143165"/>
    <w:rsid w:val="00143195"/>
    <w:rsid w:val="001431C7"/>
    <w:rsid w:val="00143285"/>
    <w:rsid w:val="001432C4"/>
    <w:rsid w:val="001432E1"/>
    <w:rsid w:val="001432EE"/>
    <w:rsid w:val="0014331F"/>
    <w:rsid w:val="00143446"/>
    <w:rsid w:val="00143477"/>
    <w:rsid w:val="001434EC"/>
    <w:rsid w:val="001434F2"/>
    <w:rsid w:val="00143514"/>
    <w:rsid w:val="0014351F"/>
    <w:rsid w:val="0014356B"/>
    <w:rsid w:val="00143571"/>
    <w:rsid w:val="001435A9"/>
    <w:rsid w:val="001435BD"/>
    <w:rsid w:val="001435E9"/>
    <w:rsid w:val="0014361C"/>
    <w:rsid w:val="00143676"/>
    <w:rsid w:val="001436CF"/>
    <w:rsid w:val="00143717"/>
    <w:rsid w:val="0014373F"/>
    <w:rsid w:val="001437EC"/>
    <w:rsid w:val="0014387C"/>
    <w:rsid w:val="001438A4"/>
    <w:rsid w:val="00143947"/>
    <w:rsid w:val="0014397A"/>
    <w:rsid w:val="00143A0B"/>
    <w:rsid w:val="00143A20"/>
    <w:rsid w:val="00143A37"/>
    <w:rsid w:val="00143A5F"/>
    <w:rsid w:val="00143AD0"/>
    <w:rsid w:val="00143AD5"/>
    <w:rsid w:val="00143ADA"/>
    <w:rsid w:val="00143B1C"/>
    <w:rsid w:val="00143B71"/>
    <w:rsid w:val="00143B7B"/>
    <w:rsid w:val="00143B8B"/>
    <w:rsid w:val="00143BBA"/>
    <w:rsid w:val="00143C16"/>
    <w:rsid w:val="00143C3D"/>
    <w:rsid w:val="00143C4B"/>
    <w:rsid w:val="00143C76"/>
    <w:rsid w:val="00143CD0"/>
    <w:rsid w:val="00143CD4"/>
    <w:rsid w:val="00143D52"/>
    <w:rsid w:val="00143D55"/>
    <w:rsid w:val="00143D9B"/>
    <w:rsid w:val="00143DAC"/>
    <w:rsid w:val="00143E01"/>
    <w:rsid w:val="00143E3A"/>
    <w:rsid w:val="00143E43"/>
    <w:rsid w:val="00143E69"/>
    <w:rsid w:val="00143E6C"/>
    <w:rsid w:val="00143EA1"/>
    <w:rsid w:val="00143EA9"/>
    <w:rsid w:val="00143EC9"/>
    <w:rsid w:val="00143EE3"/>
    <w:rsid w:val="00143F2D"/>
    <w:rsid w:val="00143F5C"/>
    <w:rsid w:val="00143F64"/>
    <w:rsid w:val="00143FC5"/>
    <w:rsid w:val="00144007"/>
    <w:rsid w:val="00144054"/>
    <w:rsid w:val="0014409D"/>
    <w:rsid w:val="001440AE"/>
    <w:rsid w:val="001440B8"/>
    <w:rsid w:val="001440BA"/>
    <w:rsid w:val="001440CA"/>
    <w:rsid w:val="001440D4"/>
    <w:rsid w:val="0014410A"/>
    <w:rsid w:val="0014411C"/>
    <w:rsid w:val="00144150"/>
    <w:rsid w:val="0014417E"/>
    <w:rsid w:val="00144195"/>
    <w:rsid w:val="0014419E"/>
    <w:rsid w:val="001441B1"/>
    <w:rsid w:val="001441B6"/>
    <w:rsid w:val="00144233"/>
    <w:rsid w:val="00144236"/>
    <w:rsid w:val="0014426B"/>
    <w:rsid w:val="0014428E"/>
    <w:rsid w:val="00144297"/>
    <w:rsid w:val="00144312"/>
    <w:rsid w:val="0014433D"/>
    <w:rsid w:val="0014434B"/>
    <w:rsid w:val="0014436B"/>
    <w:rsid w:val="00144375"/>
    <w:rsid w:val="00144381"/>
    <w:rsid w:val="00144404"/>
    <w:rsid w:val="00144491"/>
    <w:rsid w:val="001444A7"/>
    <w:rsid w:val="001444D2"/>
    <w:rsid w:val="00144553"/>
    <w:rsid w:val="001445B1"/>
    <w:rsid w:val="001445C6"/>
    <w:rsid w:val="001445D2"/>
    <w:rsid w:val="001445FE"/>
    <w:rsid w:val="00144603"/>
    <w:rsid w:val="00144614"/>
    <w:rsid w:val="0014461F"/>
    <w:rsid w:val="00144630"/>
    <w:rsid w:val="00144681"/>
    <w:rsid w:val="001446A2"/>
    <w:rsid w:val="001446F4"/>
    <w:rsid w:val="00144713"/>
    <w:rsid w:val="0014471C"/>
    <w:rsid w:val="00144735"/>
    <w:rsid w:val="00144740"/>
    <w:rsid w:val="0014475C"/>
    <w:rsid w:val="00144761"/>
    <w:rsid w:val="00144823"/>
    <w:rsid w:val="00144850"/>
    <w:rsid w:val="00144874"/>
    <w:rsid w:val="0014489A"/>
    <w:rsid w:val="001448A4"/>
    <w:rsid w:val="001448F0"/>
    <w:rsid w:val="0014490A"/>
    <w:rsid w:val="00144915"/>
    <w:rsid w:val="00144954"/>
    <w:rsid w:val="0014498F"/>
    <w:rsid w:val="001449D6"/>
    <w:rsid w:val="00144A44"/>
    <w:rsid w:val="00144A58"/>
    <w:rsid w:val="00144A69"/>
    <w:rsid w:val="00144B6B"/>
    <w:rsid w:val="00144B8E"/>
    <w:rsid w:val="00144B99"/>
    <w:rsid w:val="00144BAB"/>
    <w:rsid w:val="00144BE3"/>
    <w:rsid w:val="00144C2A"/>
    <w:rsid w:val="00144C2D"/>
    <w:rsid w:val="00144C92"/>
    <w:rsid w:val="00144D0B"/>
    <w:rsid w:val="00144D36"/>
    <w:rsid w:val="00144DC6"/>
    <w:rsid w:val="00144DE1"/>
    <w:rsid w:val="00144E1D"/>
    <w:rsid w:val="00144E8B"/>
    <w:rsid w:val="00144EE1"/>
    <w:rsid w:val="00144F04"/>
    <w:rsid w:val="00144F7D"/>
    <w:rsid w:val="00144FAE"/>
    <w:rsid w:val="00145016"/>
    <w:rsid w:val="00145074"/>
    <w:rsid w:val="001450EE"/>
    <w:rsid w:val="00145181"/>
    <w:rsid w:val="00145186"/>
    <w:rsid w:val="001451A7"/>
    <w:rsid w:val="001451D8"/>
    <w:rsid w:val="001451EE"/>
    <w:rsid w:val="00145204"/>
    <w:rsid w:val="00145241"/>
    <w:rsid w:val="0014528E"/>
    <w:rsid w:val="001452A2"/>
    <w:rsid w:val="001452CB"/>
    <w:rsid w:val="001452EC"/>
    <w:rsid w:val="00145301"/>
    <w:rsid w:val="00145351"/>
    <w:rsid w:val="001453A5"/>
    <w:rsid w:val="001453C8"/>
    <w:rsid w:val="001453D8"/>
    <w:rsid w:val="00145442"/>
    <w:rsid w:val="001454F1"/>
    <w:rsid w:val="00145510"/>
    <w:rsid w:val="00145574"/>
    <w:rsid w:val="00145578"/>
    <w:rsid w:val="00145588"/>
    <w:rsid w:val="001455C3"/>
    <w:rsid w:val="001455D3"/>
    <w:rsid w:val="00145632"/>
    <w:rsid w:val="00145663"/>
    <w:rsid w:val="0014567F"/>
    <w:rsid w:val="001456FB"/>
    <w:rsid w:val="00145701"/>
    <w:rsid w:val="00145725"/>
    <w:rsid w:val="0014575B"/>
    <w:rsid w:val="00145773"/>
    <w:rsid w:val="001457DD"/>
    <w:rsid w:val="001457EC"/>
    <w:rsid w:val="00145800"/>
    <w:rsid w:val="00145872"/>
    <w:rsid w:val="0014587B"/>
    <w:rsid w:val="001458A0"/>
    <w:rsid w:val="001458AC"/>
    <w:rsid w:val="001458B3"/>
    <w:rsid w:val="00145902"/>
    <w:rsid w:val="00145918"/>
    <w:rsid w:val="00145966"/>
    <w:rsid w:val="00145976"/>
    <w:rsid w:val="00145A16"/>
    <w:rsid w:val="00145A57"/>
    <w:rsid w:val="00145B65"/>
    <w:rsid w:val="00145B9F"/>
    <w:rsid w:val="00145BFD"/>
    <w:rsid w:val="00145C1C"/>
    <w:rsid w:val="00145C6A"/>
    <w:rsid w:val="00145C71"/>
    <w:rsid w:val="00145C7E"/>
    <w:rsid w:val="00145C9E"/>
    <w:rsid w:val="00145CD1"/>
    <w:rsid w:val="00145CDE"/>
    <w:rsid w:val="00145CE7"/>
    <w:rsid w:val="00145CF6"/>
    <w:rsid w:val="00145CFF"/>
    <w:rsid w:val="00145D0B"/>
    <w:rsid w:val="00145D11"/>
    <w:rsid w:val="00145D43"/>
    <w:rsid w:val="00145D4C"/>
    <w:rsid w:val="00145D66"/>
    <w:rsid w:val="00145D72"/>
    <w:rsid w:val="00145D75"/>
    <w:rsid w:val="00145DBB"/>
    <w:rsid w:val="00145E04"/>
    <w:rsid w:val="00145E3D"/>
    <w:rsid w:val="00145ED0"/>
    <w:rsid w:val="00145EEB"/>
    <w:rsid w:val="00145F2C"/>
    <w:rsid w:val="00145F8B"/>
    <w:rsid w:val="00145FB2"/>
    <w:rsid w:val="00145FDC"/>
    <w:rsid w:val="00146047"/>
    <w:rsid w:val="001460DA"/>
    <w:rsid w:val="00146115"/>
    <w:rsid w:val="00146129"/>
    <w:rsid w:val="0014615E"/>
    <w:rsid w:val="001461CF"/>
    <w:rsid w:val="001461F7"/>
    <w:rsid w:val="0014626B"/>
    <w:rsid w:val="0014627C"/>
    <w:rsid w:val="0014632A"/>
    <w:rsid w:val="001463F1"/>
    <w:rsid w:val="00146481"/>
    <w:rsid w:val="001464CC"/>
    <w:rsid w:val="001464D9"/>
    <w:rsid w:val="001464DD"/>
    <w:rsid w:val="00146588"/>
    <w:rsid w:val="00146591"/>
    <w:rsid w:val="001465B3"/>
    <w:rsid w:val="001465F0"/>
    <w:rsid w:val="0014662A"/>
    <w:rsid w:val="00146631"/>
    <w:rsid w:val="001466AB"/>
    <w:rsid w:val="00146726"/>
    <w:rsid w:val="0014673A"/>
    <w:rsid w:val="00146753"/>
    <w:rsid w:val="0014680A"/>
    <w:rsid w:val="00146881"/>
    <w:rsid w:val="00146889"/>
    <w:rsid w:val="001468C9"/>
    <w:rsid w:val="00146905"/>
    <w:rsid w:val="00146906"/>
    <w:rsid w:val="00146934"/>
    <w:rsid w:val="00146980"/>
    <w:rsid w:val="001469FB"/>
    <w:rsid w:val="00146A13"/>
    <w:rsid w:val="00146A6E"/>
    <w:rsid w:val="00146B49"/>
    <w:rsid w:val="00146B50"/>
    <w:rsid w:val="00146C2C"/>
    <w:rsid w:val="00146C5E"/>
    <w:rsid w:val="00146C6B"/>
    <w:rsid w:val="00146CA4"/>
    <w:rsid w:val="00146CF1"/>
    <w:rsid w:val="00146CF7"/>
    <w:rsid w:val="00146D01"/>
    <w:rsid w:val="00146DC1"/>
    <w:rsid w:val="00146E49"/>
    <w:rsid w:val="00146F07"/>
    <w:rsid w:val="00146F1C"/>
    <w:rsid w:val="00146FCA"/>
    <w:rsid w:val="00146FD4"/>
    <w:rsid w:val="00147003"/>
    <w:rsid w:val="0014703B"/>
    <w:rsid w:val="00147051"/>
    <w:rsid w:val="00147071"/>
    <w:rsid w:val="00147094"/>
    <w:rsid w:val="001470BB"/>
    <w:rsid w:val="0014711A"/>
    <w:rsid w:val="0014712D"/>
    <w:rsid w:val="001471DB"/>
    <w:rsid w:val="00147235"/>
    <w:rsid w:val="00147258"/>
    <w:rsid w:val="0014725A"/>
    <w:rsid w:val="001472DB"/>
    <w:rsid w:val="00147332"/>
    <w:rsid w:val="00147356"/>
    <w:rsid w:val="00147358"/>
    <w:rsid w:val="0014742C"/>
    <w:rsid w:val="001474DD"/>
    <w:rsid w:val="001474ED"/>
    <w:rsid w:val="001474F9"/>
    <w:rsid w:val="00147579"/>
    <w:rsid w:val="001475CE"/>
    <w:rsid w:val="001475E5"/>
    <w:rsid w:val="00147601"/>
    <w:rsid w:val="00147603"/>
    <w:rsid w:val="0014767F"/>
    <w:rsid w:val="001476EC"/>
    <w:rsid w:val="001476EE"/>
    <w:rsid w:val="0014770A"/>
    <w:rsid w:val="00147785"/>
    <w:rsid w:val="0014778B"/>
    <w:rsid w:val="001477A0"/>
    <w:rsid w:val="001477BB"/>
    <w:rsid w:val="001477C3"/>
    <w:rsid w:val="001477E9"/>
    <w:rsid w:val="00147804"/>
    <w:rsid w:val="00147868"/>
    <w:rsid w:val="001478ED"/>
    <w:rsid w:val="001478F2"/>
    <w:rsid w:val="0014793A"/>
    <w:rsid w:val="0014793D"/>
    <w:rsid w:val="0014796F"/>
    <w:rsid w:val="001479E9"/>
    <w:rsid w:val="00147A01"/>
    <w:rsid w:val="00147A1E"/>
    <w:rsid w:val="00147A34"/>
    <w:rsid w:val="00147A90"/>
    <w:rsid w:val="00147ABE"/>
    <w:rsid w:val="00147ACD"/>
    <w:rsid w:val="00147AE4"/>
    <w:rsid w:val="00147B7D"/>
    <w:rsid w:val="00147B8F"/>
    <w:rsid w:val="00147BE4"/>
    <w:rsid w:val="00147BFB"/>
    <w:rsid w:val="00147C43"/>
    <w:rsid w:val="00147C45"/>
    <w:rsid w:val="00147C84"/>
    <w:rsid w:val="00147CC1"/>
    <w:rsid w:val="00147CD6"/>
    <w:rsid w:val="00147D7A"/>
    <w:rsid w:val="00147D8F"/>
    <w:rsid w:val="00147DA9"/>
    <w:rsid w:val="00147DAE"/>
    <w:rsid w:val="00147DBC"/>
    <w:rsid w:val="00147DEC"/>
    <w:rsid w:val="00147DED"/>
    <w:rsid w:val="00147DFE"/>
    <w:rsid w:val="00147E77"/>
    <w:rsid w:val="00147E95"/>
    <w:rsid w:val="00147EA8"/>
    <w:rsid w:val="00147EA9"/>
    <w:rsid w:val="00147ECF"/>
    <w:rsid w:val="00147F45"/>
    <w:rsid w:val="00147F4E"/>
    <w:rsid w:val="00147F64"/>
    <w:rsid w:val="00147F77"/>
    <w:rsid w:val="00147F8D"/>
    <w:rsid w:val="00147F8F"/>
    <w:rsid w:val="00147FF6"/>
    <w:rsid w:val="0014C578"/>
    <w:rsid w:val="00150001"/>
    <w:rsid w:val="00150013"/>
    <w:rsid w:val="00150014"/>
    <w:rsid w:val="00150044"/>
    <w:rsid w:val="00150062"/>
    <w:rsid w:val="001500B0"/>
    <w:rsid w:val="001500E5"/>
    <w:rsid w:val="001500F0"/>
    <w:rsid w:val="0015013C"/>
    <w:rsid w:val="00150180"/>
    <w:rsid w:val="001501D8"/>
    <w:rsid w:val="00150221"/>
    <w:rsid w:val="0015024C"/>
    <w:rsid w:val="00150337"/>
    <w:rsid w:val="00150352"/>
    <w:rsid w:val="00150363"/>
    <w:rsid w:val="00150379"/>
    <w:rsid w:val="00150380"/>
    <w:rsid w:val="001503CB"/>
    <w:rsid w:val="00150430"/>
    <w:rsid w:val="00150499"/>
    <w:rsid w:val="001504A7"/>
    <w:rsid w:val="0015050B"/>
    <w:rsid w:val="0015052F"/>
    <w:rsid w:val="0015053E"/>
    <w:rsid w:val="00150590"/>
    <w:rsid w:val="001505D9"/>
    <w:rsid w:val="001505DA"/>
    <w:rsid w:val="00150636"/>
    <w:rsid w:val="0015066A"/>
    <w:rsid w:val="00150695"/>
    <w:rsid w:val="001506C1"/>
    <w:rsid w:val="00150797"/>
    <w:rsid w:val="001507E0"/>
    <w:rsid w:val="00150864"/>
    <w:rsid w:val="00150885"/>
    <w:rsid w:val="00150888"/>
    <w:rsid w:val="001508BE"/>
    <w:rsid w:val="001508F6"/>
    <w:rsid w:val="0015093C"/>
    <w:rsid w:val="0015093D"/>
    <w:rsid w:val="00150943"/>
    <w:rsid w:val="0015094B"/>
    <w:rsid w:val="00150954"/>
    <w:rsid w:val="00150998"/>
    <w:rsid w:val="00150A83"/>
    <w:rsid w:val="00150AB1"/>
    <w:rsid w:val="00150AB6"/>
    <w:rsid w:val="00150AC8"/>
    <w:rsid w:val="00150AEC"/>
    <w:rsid w:val="00150B3A"/>
    <w:rsid w:val="00150B47"/>
    <w:rsid w:val="00150B68"/>
    <w:rsid w:val="00150B84"/>
    <w:rsid w:val="00150B96"/>
    <w:rsid w:val="00150BC1"/>
    <w:rsid w:val="00150C1A"/>
    <w:rsid w:val="00150C24"/>
    <w:rsid w:val="00150C50"/>
    <w:rsid w:val="00150C87"/>
    <w:rsid w:val="00150CA5"/>
    <w:rsid w:val="00150CCF"/>
    <w:rsid w:val="00150CE9"/>
    <w:rsid w:val="00150D87"/>
    <w:rsid w:val="00150DB8"/>
    <w:rsid w:val="00150DF1"/>
    <w:rsid w:val="00150E2A"/>
    <w:rsid w:val="00150E3A"/>
    <w:rsid w:val="00150E5A"/>
    <w:rsid w:val="00150F8D"/>
    <w:rsid w:val="00150F94"/>
    <w:rsid w:val="00150FCD"/>
    <w:rsid w:val="00150FFA"/>
    <w:rsid w:val="0015102F"/>
    <w:rsid w:val="0015103E"/>
    <w:rsid w:val="00151075"/>
    <w:rsid w:val="001510A1"/>
    <w:rsid w:val="001510DA"/>
    <w:rsid w:val="001510F6"/>
    <w:rsid w:val="0015110E"/>
    <w:rsid w:val="00151126"/>
    <w:rsid w:val="0015120A"/>
    <w:rsid w:val="0015120D"/>
    <w:rsid w:val="0015121D"/>
    <w:rsid w:val="001512A0"/>
    <w:rsid w:val="0015130F"/>
    <w:rsid w:val="00151324"/>
    <w:rsid w:val="00151346"/>
    <w:rsid w:val="00151355"/>
    <w:rsid w:val="001513F6"/>
    <w:rsid w:val="001513F7"/>
    <w:rsid w:val="0015144A"/>
    <w:rsid w:val="0015149B"/>
    <w:rsid w:val="001514C0"/>
    <w:rsid w:val="001514D0"/>
    <w:rsid w:val="001514E8"/>
    <w:rsid w:val="001514F4"/>
    <w:rsid w:val="00151547"/>
    <w:rsid w:val="00151572"/>
    <w:rsid w:val="001515C1"/>
    <w:rsid w:val="001515E3"/>
    <w:rsid w:val="001515FA"/>
    <w:rsid w:val="0015165F"/>
    <w:rsid w:val="00151700"/>
    <w:rsid w:val="0015173E"/>
    <w:rsid w:val="00151764"/>
    <w:rsid w:val="0015176D"/>
    <w:rsid w:val="001517AC"/>
    <w:rsid w:val="001517C4"/>
    <w:rsid w:val="0015180C"/>
    <w:rsid w:val="001518CF"/>
    <w:rsid w:val="0015198F"/>
    <w:rsid w:val="00151B1F"/>
    <w:rsid w:val="00151B4C"/>
    <w:rsid w:val="00151B56"/>
    <w:rsid w:val="00151B81"/>
    <w:rsid w:val="00151BFD"/>
    <w:rsid w:val="00151C32"/>
    <w:rsid w:val="00151C7C"/>
    <w:rsid w:val="00151CC7"/>
    <w:rsid w:val="00151CE1"/>
    <w:rsid w:val="00151CEB"/>
    <w:rsid w:val="00151D07"/>
    <w:rsid w:val="00151D24"/>
    <w:rsid w:val="00151D27"/>
    <w:rsid w:val="00151D47"/>
    <w:rsid w:val="00151DB6"/>
    <w:rsid w:val="00151DEB"/>
    <w:rsid w:val="00151E1C"/>
    <w:rsid w:val="00151E1D"/>
    <w:rsid w:val="00151E70"/>
    <w:rsid w:val="00151EBA"/>
    <w:rsid w:val="00151F07"/>
    <w:rsid w:val="00151FA9"/>
    <w:rsid w:val="00152002"/>
    <w:rsid w:val="00152079"/>
    <w:rsid w:val="00152124"/>
    <w:rsid w:val="00152134"/>
    <w:rsid w:val="00152149"/>
    <w:rsid w:val="00152163"/>
    <w:rsid w:val="0015217A"/>
    <w:rsid w:val="001521D4"/>
    <w:rsid w:val="001521EC"/>
    <w:rsid w:val="0015221B"/>
    <w:rsid w:val="00152292"/>
    <w:rsid w:val="001522B1"/>
    <w:rsid w:val="001522E6"/>
    <w:rsid w:val="00152322"/>
    <w:rsid w:val="00152336"/>
    <w:rsid w:val="00152356"/>
    <w:rsid w:val="0015237E"/>
    <w:rsid w:val="00152398"/>
    <w:rsid w:val="001523A3"/>
    <w:rsid w:val="001523A9"/>
    <w:rsid w:val="001523AB"/>
    <w:rsid w:val="001523AC"/>
    <w:rsid w:val="001523DA"/>
    <w:rsid w:val="001523F2"/>
    <w:rsid w:val="00152407"/>
    <w:rsid w:val="00152455"/>
    <w:rsid w:val="0015248C"/>
    <w:rsid w:val="001524F4"/>
    <w:rsid w:val="00152510"/>
    <w:rsid w:val="00152571"/>
    <w:rsid w:val="00152593"/>
    <w:rsid w:val="00152599"/>
    <w:rsid w:val="001525A1"/>
    <w:rsid w:val="001525BB"/>
    <w:rsid w:val="001525D5"/>
    <w:rsid w:val="001525E0"/>
    <w:rsid w:val="00152616"/>
    <w:rsid w:val="00152635"/>
    <w:rsid w:val="0015263A"/>
    <w:rsid w:val="0015264A"/>
    <w:rsid w:val="001526BC"/>
    <w:rsid w:val="00152700"/>
    <w:rsid w:val="00152724"/>
    <w:rsid w:val="0015272D"/>
    <w:rsid w:val="0015273B"/>
    <w:rsid w:val="0015275E"/>
    <w:rsid w:val="0015278B"/>
    <w:rsid w:val="001527A2"/>
    <w:rsid w:val="001527D4"/>
    <w:rsid w:val="001527FB"/>
    <w:rsid w:val="00152809"/>
    <w:rsid w:val="0015287B"/>
    <w:rsid w:val="0015288A"/>
    <w:rsid w:val="001528D8"/>
    <w:rsid w:val="00152958"/>
    <w:rsid w:val="001529C6"/>
    <w:rsid w:val="00152A1E"/>
    <w:rsid w:val="00152A74"/>
    <w:rsid w:val="00152A80"/>
    <w:rsid w:val="00152A85"/>
    <w:rsid w:val="00152AD7"/>
    <w:rsid w:val="00152B3A"/>
    <w:rsid w:val="00152BC9"/>
    <w:rsid w:val="00152C2B"/>
    <w:rsid w:val="00152C40"/>
    <w:rsid w:val="00152C59"/>
    <w:rsid w:val="00152C67"/>
    <w:rsid w:val="00152CC4"/>
    <w:rsid w:val="00152CDA"/>
    <w:rsid w:val="00152D97"/>
    <w:rsid w:val="00152D9D"/>
    <w:rsid w:val="00152DCE"/>
    <w:rsid w:val="00152E0F"/>
    <w:rsid w:val="00152E53"/>
    <w:rsid w:val="00152E75"/>
    <w:rsid w:val="00152ECE"/>
    <w:rsid w:val="00152F42"/>
    <w:rsid w:val="00152FCE"/>
    <w:rsid w:val="00152FF3"/>
    <w:rsid w:val="00153012"/>
    <w:rsid w:val="00153037"/>
    <w:rsid w:val="00153066"/>
    <w:rsid w:val="0015307C"/>
    <w:rsid w:val="0015307F"/>
    <w:rsid w:val="00153089"/>
    <w:rsid w:val="001530AD"/>
    <w:rsid w:val="001530B0"/>
    <w:rsid w:val="001530DD"/>
    <w:rsid w:val="00153116"/>
    <w:rsid w:val="00153135"/>
    <w:rsid w:val="00153159"/>
    <w:rsid w:val="001531CE"/>
    <w:rsid w:val="00153200"/>
    <w:rsid w:val="00153204"/>
    <w:rsid w:val="00153207"/>
    <w:rsid w:val="00153262"/>
    <w:rsid w:val="001532A6"/>
    <w:rsid w:val="001532E6"/>
    <w:rsid w:val="0015331B"/>
    <w:rsid w:val="0015332B"/>
    <w:rsid w:val="0015339A"/>
    <w:rsid w:val="001533EF"/>
    <w:rsid w:val="00153405"/>
    <w:rsid w:val="00153471"/>
    <w:rsid w:val="001534E5"/>
    <w:rsid w:val="001534FB"/>
    <w:rsid w:val="00153544"/>
    <w:rsid w:val="0015362A"/>
    <w:rsid w:val="00153645"/>
    <w:rsid w:val="00153671"/>
    <w:rsid w:val="00153697"/>
    <w:rsid w:val="001536E8"/>
    <w:rsid w:val="00153730"/>
    <w:rsid w:val="00153735"/>
    <w:rsid w:val="001537EE"/>
    <w:rsid w:val="0015387B"/>
    <w:rsid w:val="0015390B"/>
    <w:rsid w:val="0015392A"/>
    <w:rsid w:val="00153956"/>
    <w:rsid w:val="00153975"/>
    <w:rsid w:val="0015398C"/>
    <w:rsid w:val="0015398E"/>
    <w:rsid w:val="001539AE"/>
    <w:rsid w:val="00153A2E"/>
    <w:rsid w:val="00153A66"/>
    <w:rsid w:val="00153B50"/>
    <w:rsid w:val="00153B5D"/>
    <w:rsid w:val="00153B6D"/>
    <w:rsid w:val="00153BFB"/>
    <w:rsid w:val="00153C23"/>
    <w:rsid w:val="00153C4A"/>
    <w:rsid w:val="00153CD8"/>
    <w:rsid w:val="00153CE4"/>
    <w:rsid w:val="00153CF4"/>
    <w:rsid w:val="00153CFE"/>
    <w:rsid w:val="00153D57"/>
    <w:rsid w:val="00153D5A"/>
    <w:rsid w:val="00153DDB"/>
    <w:rsid w:val="00153DFD"/>
    <w:rsid w:val="00153E0A"/>
    <w:rsid w:val="00153E0D"/>
    <w:rsid w:val="00153E36"/>
    <w:rsid w:val="00153E3A"/>
    <w:rsid w:val="00153F02"/>
    <w:rsid w:val="00153F2E"/>
    <w:rsid w:val="00153F39"/>
    <w:rsid w:val="00153F85"/>
    <w:rsid w:val="00153FEC"/>
    <w:rsid w:val="0015405D"/>
    <w:rsid w:val="001540B1"/>
    <w:rsid w:val="001540CE"/>
    <w:rsid w:val="001540FA"/>
    <w:rsid w:val="0015412C"/>
    <w:rsid w:val="00154138"/>
    <w:rsid w:val="0015414A"/>
    <w:rsid w:val="0015416E"/>
    <w:rsid w:val="0015417B"/>
    <w:rsid w:val="00154199"/>
    <w:rsid w:val="0015420C"/>
    <w:rsid w:val="00154221"/>
    <w:rsid w:val="0015423F"/>
    <w:rsid w:val="00154286"/>
    <w:rsid w:val="001542A5"/>
    <w:rsid w:val="001542B1"/>
    <w:rsid w:val="00154300"/>
    <w:rsid w:val="0015431C"/>
    <w:rsid w:val="0015431F"/>
    <w:rsid w:val="00154370"/>
    <w:rsid w:val="001543CD"/>
    <w:rsid w:val="00154423"/>
    <w:rsid w:val="0015443E"/>
    <w:rsid w:val="00154475"/>
    <w:rsid w:val="001544A4"/>
    <w:rsid w:val="001544B6"/>
    <w:rsid w:val="001544E2"/>
    <w:rsid w:val="00154522"/>
    <w:rsid w:val="0015456E"/>
    <w:rsid w:val="00154592"/>
    <w:rsid w:val="001545AD"/>
    <w:rsid w:val="001545B7"/>
    <w:rsid w:val="00154606"/>
    <w:rsid w:val="0015467C"/>
    <w:rsid w:val="00154692"/>
    <w:rsid w:val="00154744"/>
    <w:rsid w:val="00154755"/>
    <w:rsid w:val="00154779"/>
    <w:rsid w:val="001547AE"/>
    <w:rsid w:val="001547B5"/>
    <w:rsid w:val="00154859"/>
    <w:rsid w:val="0015485B"/>
    <w:rsid w:val="001548B0"/>
    <w:rsid w:val="001548DD"/>
    <w:rsid w:val="001548E2"/>
    <w:rsid w:val="00154922"/>
    <w:rsid w:val="00154953"/>
    <w:rsid w:val="00154AAB"/>
    <w:rsid w:val="00154AB3"/>
    <w:rsid w:val="00154B5A"/>
    <w:rsid w:val="00154B74"/>
    <w:rsid w:val="00154CC6"/>
    <w:rsid w:val="00154CDD"/>
    <w:rsid w:val="00154D4F"/>
    <w:rsid w:val="00154D56"/>
    <w:rsid w:val="00154DDC"/>
    <w:rsid w:val="00154DE4"/>
    <w:rsid w:val="00154DE8"/>
    <w:rsid w:val="00154E0A"/>
    <w:rsid w:val="00154E38"/>
    <w:rsid w:val="00154E52"/>
    <w:rsid w:val="00154E54"/>
    <w:rsid w:val="00154E55"/>
    <w:rsid w:val="00154EBC"/>
    <w:rsid w:val="00154EC2"/>
    <w:rsid w:val="00154FBB"/>
    <w:rsid w:val="00154FC9"/>
    <w:rsid w:val="00154FD1"/>
    <w:rsid w:val="00154FE8"/>
    <w:rsid w:val="00155014"/>
    <w:rsid w:val="00155021"/>
    <w:rsid w:val="0015508D"/>
    <w:rsid w:val="00155095"/>
    <w:rsid w:val="001550DE"/>
    <w:rsid w:val="00155113"/>
    <w:rsid w:val="00155144"/>
    <w:rsid w:val="00155189"/>
    <w:rsid w:val="001551EC"/>
    <w:rsid w:val="001551FB"/>
    <w:rsid w:val="0015520B"/>
    <w:rsid w:val="00155298"/>
    <w:rsid w:val="001552CB"/>
    <w:rsid w:val="0015532E"/>
    <w:rsid w:val="00155353"/>
    <w:rsid w:val="0015535A"/>
    <w:rsid w:val="0015539B"/>
    <w:rsid w:val="001553AD"/>
    <w:rsid w:val="001553DA"/>
    <w:rsid w:val="001553DC"/>
    <w:rsid w:val="00155457"/>
    <w:rsid w:val="001554C1"/>
    <w:rsid w:val="001554C3"/>
    <w:rsid w:val="001554D8"/>
    <w:rsid w:val="00155567"/>
    <w:rsid w:val="001555A4"/>
    <w:rsid w:val="001555E6"/>
    <w:rsid w:val="001555FD"/>
    <w:rsid w:val="00155663"/>
    <w:rsid w:val="0015567C"/>
    <w:rsid w:val="0015568F"/>
    <w:rsid w:val="00155694"/>
    <w:rsid w:val="0015569E"/>
    <w:rsid w:val="001556F8"/>
    <w:rsid w:val="00155798"/>
    <w:rsid w:val="001557AF"/>
    <w:rsid w:val="001557DD"/>
    <w:rsid w:val="001557F0"/>
    <w:rsid w:val="00155807"/>
    <w:rsid w:val="00155811"/>
    <w:rsid w:val="00155844"/>
    <w:rsid w:val="00155859"/>
    <w:rsid w:val="0015585D"/>
    <w:rsid w:val="00155880"/>
    <w:rsid w:val="001558A5"/>
    <w:rsid w:val="001558B7"/>
    <w:rsid w:val="00155987"/>
    <w:rsid w:val="001559D6"/>
    <w:rsid w:val="001559D7"/>
    <w:rsid w:val="00155A49"/>
    <w:rsid w:val="00155A56"/>
    <w:rsid w:val="00155A85"/>
    <w:rsid w:val="00155A9E"/>
    <w:rsid w:val="00155AAA"/>
    <w:rsid w:val="00155AC8"/>
    <w:rsid w:val="00155B07"/>
    <w:rsid w:val="00155B0E"/>
    <w:rsid w:val="00155B5D"/>
    <w:rsid w:val="00155B6C"/>
    <w:rsid w:val="00155BC9"/>
    <w:rsid w:val="00155BD5"/>
    <w:rsid w:val="00155BD6"/>
    <w:rsid w:val="00155C1A"/>
    <w:rsid w:val="00155C92"/>
    <w:rsid w:val="00155D97"/>
    <w:rsid w:val="00155DA0"/>
    <w:rsid w:val="00155DAE"/>
    <w:rsid w:val="00155DF3"/>
    <w:rsid w:val="00155E69"/>
    <w:rsid w:val="00155EB6"/>
    <w:rsid w:val="00155F17"/>
    <w:rsid w:val="00155F3A"/>
    <w:rsid w:val="00155F52"/>
    <w:rsid w:val="00155F66"/>
    <w:rsid w:val="00155FB1"/>
    <w:rsid w:val="00155FD2"/>
    <w:rsid w:val="00156004"/>
    <w:rsid w:val="0015602C"/>
    <w:rsid w:val="00156034"/>
    <w:rsid w:val="00156096"/>
    <w:rsid w:val="0015612A"/>
    <w:rsid w:val="00156153"/>
    <w:rsid w:val="0015618A"/>
    <w:rsid w:val="00156195"/>
    <w:rsid w:val="001561BE"/>
    <w:rsid w:val="001561C1"/>
    <w:rsid w:val="001561E0"/>
    <w:rsid w:val="00156298"/>
    <w:rsid w:val="00156299"/>
    <w:rsid w:val="00156318"/>
    <w:rsid w:val="00156377"/>
    <w:rsid w:val="0015640C"/>
    <w:rsid w:val="0015645E"/>
    <w:rsid w:val="00156494"/>
    <w:rsid w:val="00156497"/>
    <w:rsid w:val="001564A7"/>
    <w:rsid w:val="001564AF"/>
    <w:rsid w:val="001564D4"/>
    <w:rsid w:val="001564E9"/>
    <w:rsid w:val="0015650E"/>
    <w:rsid w:val="0015657D"/>
    <w:rsid w:val="001565AD"/>
    <w:rsid w:val="00156653"/>
    <w:rsid w:val="001566CA"/>
    <w:rsid w:val="001566DD"/>
    <w:rsid w:val="001566F6"/>
    <w:rsid w:val="0015670D"/>
    <w:rsid w:val="0015674D"/>
    <w:rsid w:val="00156796"/>
    <w:rsid w:val="001567E2"/>
    <w:rsid w:val="001567EF"/>
    <w:rsid w:val="00156805"/>
    <w:rsid w:val="00156842"/>
    <w:rsid w:val="0015689B"/>
    <w:rsid w:val="001568AC"/>
    <w:rsid w:val="001568B9"/>
    <w:rsid w:val="001568D2"/>
    <w:rsid w:val="001568FD"/>
    <w:rsid w:val="00156948"/>
    <w:rsid w:val="0015699C"/>
    <w:rsid w:val="001569BD"/>
    <w:rsid w:val="001569C7"/>
    <w:rsid w:val="001569E7"/>
    <w:rsid w:val="00156A61"/>
    <w:rsid w:val="00156A77"/>
    <w:rsid w:val="00156AAC"/>
    <w:rsid w:val="00156AC0"/>
    <w:rsid w:val="00156B03"/>
    <w:rsid w:val="00156B0B"/>
    <w:rsid w:val="00156B26"/>
    <w:rsid w:val="00156C04"/>
    <w:rsid w:val="00156C5B"/>
    <w:rsid w:val="00156C5F"/>
    <w:rsid w:val="00156CE9"/>
    <w:rsid w:val="00156CEE"/>
    <w:rsid w:val="00156DB3"/>
    <w:rsid w:val="00156DDC"/>
    <w:rsid w:val="00156DE8"/>
    <w:rsid w:val="00156E04"/>
    <w:rsid w:val="00156E9A"/>
    <w:rsid w:val="00156EA0"/>
    <w:rsid w:val="00156EDF"/>
    <w:rsid w:val="00156EE0"/>
    <w:rsid w:val="00156EED"/>
    <w:rsid w:val="00156EEF"/>
    <w:rsid w:val="00156EFB"/>
    <w:rsid w:val="00156F09"/>
    <w:rsid w:val="00156F99"/>
    <w:rsid w:val="00156FD5"/>
    <w:rsid w:val="0015701A"/>
    <w:rsid w:val="00157023"/>
    <w:rsid w:val="00157057"/>
    <w:rsid w:val="00157070"/>
    <w:rsid w:val="001570F4"/>
    <w:rsid w:val="001571A2"/>
    <w:rsid w:val="001571BF"/>
    <w:rsid w:val="001571ED"/>
    <w:rsid w:val="0015723A"/>
    <w:rsid w:val="0015725A"/>
    <w:rsid w:val="00157273"/>
    <w:rsid w:val="00157338"/>
    <w:rsid w:val="0015733A"/>
    <w:rsid w:val="0015735D"/>
    <w:rsid w:val="00157365"/>
    <w:rsid w:val="00157382"/>
    <w:rsid w:val="001573BB"/>
    <w:rsid w:val="001573E6"/>
    <w:rsid w:val="0015741F"/>
    <w:rsid w:val="0015744D"/>
    <w:rsid w:val="00157461"/>
    <w:rsid w:val="001574AC"/>
    <w:rsid w:val="001575C9"/>
    <w:rsid w:val="001575D7"/>
    <w:rsid w:val="0015767D"/>
    <w:rsid w:val="0015771B"/>
    <w:rsid w:val="00157749"/>
    <w:rsid w:val="00157770"/>
    <w:rsid w:val="0015779C"/>
    <w:rsid w:val="001577AF"/>
    <w:rsid w:val="00157879"/>
    <w:rsid w:val="00157881"/>
    <w:rsid w:val="001578E0"/>
    <w:rsid w:val="001578E3"/>
    <w:rsid w:val="001578E8"/>
    <w:rsid w:val="001579B1"/>
    <w:rsid w:val="001579B3"/>
    <w:rsid w:val="00157A31"/>
    <w:rsid w:val="00157A48"/>
    <w:rsid w:val="00157A5F"/>
    <w:rsid w:val="00157B28"/>
    <w:rsid w:val="00157B30"/>
    <w:rsid w:val="00157B63"/>
    <w:rsid w:val="00157B94"/>
    <w:rsid w:val="00157B98"/>
    <w:rsid w:val="00157BCF"/>
    <w:rsid w:val="00157CAC"/>
    <w:rsid w:val="00157CC9"/>
    <w:rsid w:val="00157CD3"/>
    <w:rsid w:val="00157D42"/>
    <w:rsid w:val="00157D51"/>
    <w:rsid w:val="00157D57"/>
    <w:rsid w:val="00157DC9"/>
    <w:rsid w:val="00157DF3"/>
    <w:rsid w:val="00157E1C"/>
    <w:rsid w:val="00157E1D"/>
    <w:rsid w:val="00157EB5"/>
    <w:rsid w:val="00157EC5"/>
    <w:rsid w:val="00157F38"/>
    <w:rsid w:val="00157F4C"/>
    <w:rsid w:val="00157F65"/>
    <w:rsid w:val="00157F73"/>
    <w:rsid w:val="00157F7C"/>
    <w:rsid w:val="00157F8B"/>
    <w:rsid w:val="00157FCD"/>
    <w:rsid w:val="0016000A"/>
    <w:rsid w:val="00160035"/>
    <w:rsid w:val="0016004D"/>
    <w:rsid w:val="001600D8"/>
    <w:rsid w:val="00160116"/>
    <w:rsid w:val="001601B1"/>
    <w:rsid w:val="001601B3"/>
    <w:rsid w:val="001601BB"/>
    <w:rsid w:val="001601D3"/>
    <w:rsid w:val="00160260"/>
    <w:rsid w:val="00160265"/>
    <w:rsid w:val="0016028F"/>
    <w:rsid w:val="00160312"/>
    <w:rsid w:val="00160335"/>
    <w:rsid w:val="00160360"/>
    <w:rsid w:val="0016036D"/>
    <w:rsid w:val="001603C8"/>
    <w:rsid w:val="001603DB"/>
    <w:rsid w:val="001603DE"/>
    <w:rsid w:val="00160429"/>
    <w:rsid w:val="00160447"/>
    <w:rsid w:val="001604B0"/>
    <w:rsid w:val="001604D3"/>
    <w:rsid w:val="00160596"/>
    <w:rsid w:val="001605ED"/>
    <w:rsid w:val="00160614"/>
    <w:rsid w:val="0016064B"/>
    <w:rsid w:val="0016065A"/>
    <w:rsid w:val="0016065D"/>
    <w:rsid w:val="001606C3"/>
    <w:rsid w:val="001606C4"/>
    <w:rsid w:val="001606F8"/>
    <w:rsid w:val="00160736"/>
    <w:rsid w:val="00160809"/>
    <w:rsid w:val="0016083D"/>
    <w:rsid w:val="00160888"/>
    <w:rsid w:val="001608A1"/>
    <w:rsid w:val="001608AB"/>
    <w:rsid w:val="00160901"/>
    <w:rsid w:val="00160947"/>
    <w:rsid w:val="00160951"/>
    <w:rsid w:val="00160952"/>
    <w:rsid w:val="001609CC"/>
    <w:rsid w:val="001609E7"/>
    <w:rsid w:val="00160A20"/>
    <w:rsid w:val="00160A82"/>
    <w:rsid w:val="00160AA3"/>
    <w:rsid w:val="00160AAE"/>
    <w:rsid w:val="00160AB7"/>
    <w:rsid w:val="00160AEE"/>
    <w:rsid w:val="00160AF0"/>
    <w:rsid w:val="00160B1F"/>
    <w:rsid w:val="00160B38"/>
    <w:rsid w:val="00160B8E"/>
    <w:rsid w:val="00160BCD"/>
    <w:rsid w:val="00160BF0"/>
    <w:rsid w:val="00160C0E"/>
    <w:rsid w:val="00160CC4"/>
    <w:rsid w:val="00160D1F"/>
    <w:rsid w:val="00160DB6"/>
    <w:rsid w:val="00160DC6"/>
    <w:rsid w:val="00160DCC"/>
    <w:rsid w:val="00160DFC"/>
    <w:rsid w:val="00160E0C"/>
    <w:rsid w:val="00160E2B"/>
    <w:rsid w:val="00160E58"/>
    <w:rsid w:val="00160F39"/>
    <w:rsid w:val="00160F71"/>
    <w:rsid w:val="00160FE8"/>
    <w:rsid w:val="00160FF9"/>
    <w:rsid w:val="00161001"/>
    <w:rsid w:val="00161052"/>
    <w:rsid w:val="001610BF"/>
    <w:rsid w:val="00161135"/>
    <w:rsid w:val="00161147"/>
    <w:rsid w:val="001611CB"/>
    <w:rsid w:val="001611D3"/>
    <w:rsid w:val="00161252"/>
    <w:rsid w:val="0016127E"/>
    <w:rsid w:val="00161313"/>
    <w:rsid w:val="0016132E"/>
    <w:rsid w:val="00161355"/>
    <w:rsid w:val="0016139B"/>
    <w:rsid w:val="0016139C"/>
    <w:rsid w:val="0016142E"/>
    <w:rsid w:val="00161493"/>
    <w:rsid w:val="001614A6"/>
    <w:rsid w:val="00161526"/>
    <w:rsid w:val="00161539"/>
    <w:rsid w:val="001615DA"/>
    <w:rsid w:val="001615DD"/>
    <w:rsid w:val="0016160F"/>
    <w:rsid w:val="00161627"/>
    <w:rsid w:val="0016163B"/>
    <w:rsid w:val="00161653"/>
    <w:rsid w:val="0016167E"/>
    <w:rsid w:val="00161724"/>
    <w:rsid w:val="00161744"/>
    <w:rsid w:val="001617A0"/>
    <w:rsid w:val="001617A5"/>
    <w:rsid w:val="001617BA"/>
    <w:rsid w:val="001617F4"/>
    <w:rsid w:val="00161810"/>
    <w:rsid w:val="0016185B"/>
    <w:rsid w:val="0016189E"/>
    <w:rsid w:val="001618A5"/>
    <w:rsid w:val="001618E2"/>
    <w:rsid w:val="00161913"/>
    <w:rsid w:val="0016192B"/>
    <w:rsid w:val="00161AE6"/>
    <w:rsid w:val="00161B2A"/>
    <w:rsid w:val="00161B2E"/>
    <w:rsid w:val="00161B2F"/>
    <w:rsid w:val="00161B37"/>
    <w:rsid w:val="00161B3A"/>
    <w:rsid w:val="00161B42"/>
    <w:rsid w:val="00161B8C"/>
    <w:rsid w:val="00161BC1"/>
    <w:rsid w:val="00161BE6"/>
    <w:rsid w:val="00161BFF"/>
    <w:rsid w:val="00161C40"/>
    <w:rsid w:val="00161C4E"/>
    <w:rsid w:val="00161C76"/>
    <w:rsid w:val="00161C7B"/>
    <w:rsid w:val="00161C8A"/>
    <w:rsid w:val="00161CA9"/>
    <w:rsid w:val="00161CBD"/>
    <w:rsid w:val="00161CE2"/>
    <w:rsid w:val="00161D47"/>
    <w:rsid w:val="00161D8C"/>
    <w:rsid w:val="00161D8D"/>
    <w:rsid w:val="00161D9B"/>
    <w:rsid w:val="00161D9C"/>
    <w:rsid w:val="00161DA5"/>
    <w:rsid w:val="00161E17"/>
    <w:rsid w:val="00161E86"/>
    <w:rsid w:val="00161EDB"/>
    <w:rsid w:val="00161F90"/>
    <w:rsid w:val="00161FBF"/>
    <w:rsid w:val="00161FFA"/>
    <w:rsid w:val="00162043"/>
    <w:rsid w:val="0016206D"/>
    <w:rsid w:val="00162082"/>
    <w:rsid w:val="00162099"/>
    <w:rsid w:val="001620BB"/>
    <w:rsid w:val="0016212F"/>
    <w:rsid w:val="00162172"/>
    <w:rsid w:val="0016218F"/>
    <w:rsid w:val="0016220D"/>
    <w:rsid w:val="00162250"/>
    <w:rsid w:val="00162269"/>
    <w:rsid w:val="0016229E"/>
    <w:rsid w:val="001622D3"/>
    <w:rsid w:val="001622F4"/>
    <w:rsid w:val="001622F5"/>
    <w:rsid w:val="001622F8"/>
    <w:rsid w:val="00162309"/>
    <w:rsid w:val="00162326"/>
    <w:rsid w:val="0016232C"/>
    <w:rsid w:val="001623B1"/>
    <w:rsid w:val="001623B2"/>
    <w:rsid w:val="001623BE"/>
    <w:rsid w:val="001623F8"/>
    <w:rsid w:val="0016245A"/>
    <w:rsid w:val="001624D1"/>
    <w:rsid w:val="00162551"/>
    <w:rsid w:val="001625F0"/>
    <w:rsid w:val="0016262F"/>
    <w:rsid w:val="0016267E"/>
    <w:rsid w:val="001626A3"/>
    <w:rsid w:val="00162735"/>
    <w:rsid w:val="0016275F"/>
    <w:rsid w:val="0016276A"/>
    <w:rsid w:val="0016279F"/>
    <w:rsid w:val="001627F4"/>
    <w:rsid w:val="001627FC"/>
    <w:rsid w:val="00162814"/>
    <w:rsid w:val="0016283D"/>
    <w:rsid w:val="00162927"/>
    <w:rsid w:val="0016293F"/>
    <w:rsid w:val="0016297C"/>
    <w:rsid w:val="001629C3"/>
    <w:rsid w:val="001629D3"/>
    <w:rsid w:val="00162A02"/>
    <w:rsid w:val="00162A23"/>
    <w:rsid w:val="00162ACE"/>
    <w:rsid w:val="00162AFA"/>
    <w:rsid w:val="00162B01"/>
    <w:rsid w:val="00162B10"/>
    <w:rsid w:val="00162BAC"/>
    <w:rsid w:val="00162BAD"/>
    <w:rsid w:val="00162BBB"/>
    <w:rsid w:val="00162C16"/>
    <w:rsid w:val="00162CE2"/>
    <w:rsid w:val="00162CFA"/>
    <w:rsid w:val="00162DA7"/>
    <w:rsid w:val="00162DB6"/>
    <w:rsid w:val="00162DC1"/>
    <w:rsid w:val="00162E27"/>
    <w:rsid w:val="00162E31"/>
    <w:rsid w:val="00162E54"/>
    <w:rsid w:val="00162E67"/>
    <w:rsid w:val="00162EBE"/>
    <w:rsid w:val="00162ED0"/>
    <w:rsid w:val="00162EE2"/>
    <w:rsid w:val="00162EE5"/>
    <w:rsid w:val="00162EF0"/>
    <w:rsid w:val="00162F21"/>
    <w:rsid w:val="00162F60"/>
    <w:rsid w:val="00162F76"/>
    <w:rsid w:val="00162F79"/>
    <w:rsid w:val="00162FA1"/>
    <w:rsid w:val="00162FF9"/>
    <w:rsid w:val="00163019"/>
    <w:rsid w:val="00163040"/>
    <w:rsid w:val="0016305A"/>
    <w:rsid w:val="00163080"/>
    <w:rsid w:val="00163081"/>
    <w:rsid w:val="001630CA"/>
    <w:rsid w:val="00163115"/>
    <w:rsid w:val="00163129"/>
    <w:rsid w:val="0016314A"/>
    <w:rsid w:val="00163172"/>
    <w:rsid w:val="001631E7"/>
    <w:rsid w:val="00163217"/>
    <w:rsid w:val="00163235"/>
    <w:rsid w:val="00163257"/>
    <w:rsid w:val="001632B1"/>
    <w:rsid w:val="001632D4"/>
    <w:rsid w:val="001632D7"/>
    <w:rsid w:val="00163345"/>
    <w:rsid w:val="00163399"/>
    <w:rsid w:val="00163404"/>
    <w:rsid w:val="0016342A"/>
    <w:rsid w:val="0016344A"/>
    <w:rsid w:val="001634BC"/>
    <w:rsid w:val="001634D4"/>
    <w:rsid w:val="0016359A"/>
    <w:rsid w:val="001635D7"/>
    <w:rsid w:val="001636AD"/>
    <w:rsid w:val="0016376E"/>
    <w:rsid w:val="001637BB"/>
    <w:rsid w:val="001637D8"/>
    <w:rsid w:val="0016381D"/>
    <w:rsid w:val="0016382C"/>
    <w:rsid w:val="00163873"/>
    <w:rsid w:val="0016389F"/>
    <w:rsid w:val="001638F0"/>
    <w:rsid w:val="001638FA"/>
    <w:rsid w:val="00163902"/>
    <w:rsid w:val="0016395B"/>
    <w:rsid w:val="0016399D"/>
    <w:rsid w:val="001639A3"/>
    <w:rsid w:val="001639D8"/>
    <w:rsid w:val="001639FA"/>
    <w:rsid w:val="00163A11"/>
    <w:rsid w:val="00163A1A"/>
    <w:rsid w:val="00163A4A"/>
    <w:rsid w:val="00163A51"/>
    <w:rsid w:val="00163A56"/>
    <w:rsid w:val="00163A70"/>
    <w:rsid w:val="00163AFD"/>
    <w:rsid w:val="00163B06"/>
    <w:rsid w:val="00163B29"/>
    <w:rsid w:val="00163B70"/>
    <w:rsid w:val="00163BCA"/>
    <w:rsid w:val="00163BD9"/>
    <w:rsid w:val="00163C16"/>
    <w:rsid w:val="00163C41"/>
    <w:rsid w:val="00163C44"/>
    <w:rsid w:val="00163C61"/>
    <w:rsid w:val="00163C7A"/>
    <w:rsid w:val="00163C88"/>
    <w:rsid w:val="00163CD4"/>
    <w:rsid w:val="00163D0A"/>
    <w:rsid w:val="00163D2A"/>
    <w:rsid w:val="00163D2D"/>
    <w:rsid w:val="00163E06"/>
    <w:rsid w:val="00163E0E"/>
    <w:rsid w:val="00163E3A"/>
    <w:rsid w:val="00163E64"/>
    <w:rsid w:val="00163E7B"/>
    <w:rsid w:val="00163E90"/>
    <w:rsid w:val="00163E91"/>
    <w:rsid w:val="00163EC3"/>
    <w:rsid w:val="00163F31"/>
    <w:rsid w:val="00163F38"/>
    <w:rsid w:val="00163F50"/>
    <w:rsid w:val="00163F57"/>
    <w:rsid w:val="00163F70"/>
    <w:rsid w:val="00163F80"/>
    <w:rsid w:val="00163F89"/>
    <w:rsid w:val="00163FD2"/>
    <w:rsid w:val="0016407B"/>
    <w:rsid w:val="00164092"/>
    <w:rsid w:val="001640B0"/>
    <w:rsid w:val="001640D1"/>
    <w:rsid w:val="0016410F"/>
    <w:rsid w:val="00164195"/>
    <w:rsid w:val="001641A6"/>
    <w:rsid w:val="001641BD"/>
    <w:rsid w:val="0016421B"/>
    <w:rsid w:val="00164281"/>
    <w:rsid w:val="001642AF"/>
    <w:rsid w:val="001642FF"/>
    <w:rsid w:val="00164302"/>
    <w:rsid w:val="00164336"/>
    <w:rsid w:val="00164347"/>
    <w:rsid w:val="00164361"/>
    <w:rsid w:val="00164371"/>
    <w:rsid w:val="0016438E"/>
    <w:rsid w:val="001643C3"/>
    <w:rsid w:val="001643FC"/>
    <w:rsid w:val="00164406"/>
    <w:rsid w:val="00164426"/>
    <w:rsid w:val="00164472"/>
    <w:rsid w:val="00164478"/>
    <w:rsid w:val="0016449C"/>
    <w:rsid w:val="00164508"/>
    <w:rsid w:val="00164515"/>
    <w:rsid w:val="00164554"/>
    <w:rsid w:val="0016458F"/>
    <w:rsid w:val="001645A2"/>
    <w:rsid w:val="001645B2"/>
    <w:rsid w:val="001645BB"/>
    <w:rsid w:val="001645C5"/>
    <w:rsid w:val="001645DE"/>
    <w:rsid w:val="001645E9"/>
    <w:rsid w:val="001645FB"/>
    <w:rsid w:val="00164627"/>
    <w:rsid w:val="00164667"/>
    <w:rsid w:val="00164699"/>
    <w:rsid w:val="001646AA"/>
    <w:rsid w:val="00164715"/>
    <w:rsid w:val="0016472A"/>
    <w:rsid w:val="001647C5"/>
    <w:rsid w:val="001647FC"/>
    <w:rsid w:val="00164826"/>
    <w:rsid w:val="00164838"/>
    <w:rsid w:val="00164859"/>
    <w:rsid w:val="001648BA"/>
    <w:rsid w:val="0016491E"/>
    <w:rsid w:val="00164965"/>
    <w:rsid w:val="001649E4"/>
    <w:rsid w:val="00164A1E"/>
    <w:rsid w:val="00164AC0"/>
    <w:rsid w:val="00164AEC"/>
    <w:rsid w:val="00164B2C"/>
    <w:rsid w:val="00164B4D"/>
    <w:rsid w:val="00164B8E"/>
    <w:rsid w:val="00164C58"/>
    <w:rsid w:val="00164C8C"/>
    <w:rsid w:val="00164C96"/>
    <w:rsid w:val="00164CC4"/>
    <w:rsid w:val="00164CDB"/>
    <w:rsid w:val="00164D57"/>
    <w:rsid w:val="00164D5C"/>
    <w:rsid w:val="00164DA5"/>
    <w:rsid w:val="00164DB3"/>
    <w:rsid w:val="00164DE3"/>
    <w:rsid w:val="00164DED"/>
    <w:rsid w:val="00164E3D"/>
    <w:rsid w:val="00164E53"/>
    <w:rsid w:val="00164E76"/>
    <w:rsid w:val="00164EAB"/>
    <w:rsid w:val="00164EB6"/>
    <w:rsid w:val="00164EE1"/>
    <w:rsid w:val="00164EF6"/>
    <w:rsid w:val="00164FB7"/>
    <w:rsid w:val="00164FC1"/>
    <w:rsid w:val="00165069"/>
    <w:rsid w:val="001650BA"/>
    <w:rsid w:val="001650E2"/>
    <w:rsid w:val="00165154"/>
    <w:rsid w:val="0016515E"/>
    <w:rsid w:val="00165168"/>
    <w:rsid w:val="00165230"/>
    <w:rsid w:val="00165279"/>
    <w:rsid w:val="0016529C"/>
    <w:rsid w:val="001652AB"/>
    <w:rsid w:val="001652B8"/>
    <w:rsid w:val="001652BE"/>
    <w:rsid w:val="0016537D"/>
    <w:rsid w:val="001653EA"/>
    <w:rsid w:val="001654DA"/>
    <w:rsid w:val="0016557B"/>
    <w:rsid w:val="00165594"/>
    <w:rsid w:val="0016566D"/>
    <w:rsid w:val="0016569F"/>
    <w:rsid w:val="001656E1"/>
    <w:rsid w:val="001656E6"/>
    <w:rsid w:val="00165700"/>
    <w:rsid w:val="00165796"/>
    <w:rsid w:val="001657C7"/>
    <w:rsid w:val="00165826"/>
    <w:rsid w:val="001658B9"/>
    <w:rsid w:val="00165920"/>
    <w:rsid w:val="00165938"/>
    <w:rsid w:val="0016595A"/>
    <w:rsid w:val="00165990"/>
    <w:rsid w:val="00165AD9"/>
    <w:rsid w:val="00165B04"/>
    <w:rsid w:val="00165B5E"/>
    <w:rsid w:val="00165B82"/>
    <w:rsid w:val="00165B92"/>
    <w:rsid w:val="00165BCC"/>
    <w:rsid w:val="00165C53"/>
    <w:rsid w:val="00165C7B"/>
    <w:rsid w:val="00165CE0"/>
    <w:rsid w:val="00165D1B"/>
    <w:rsid w:val="00165D2F"/>
    <w:rsid w:val="00165D87"/>
    <w:rsid w:val="00165DB2"/>
    <w:rsid w:val="00165DBF"/>
    <w:rsid w:val="00165DC8"/>
    <w:rsid w:val="00165E5E"/>
    <w:rsid w:val="00165E87"/>
    <w:rsid w:val="00165ED3"/>
    <w:rsid w:val="00165F66"/>
    <w:rsid w:val="00165F7E"/>
    <w:rsid w:val="00165FA3"/>
    <w:rsid w:val="00165FA7"/>
    <w:rsid w:val="00166011"/>
    <w:rsid w:val="00166013"/>
    <w:rsid w:val="00166061"/>
    <w:rsid w:val="00166067"/>
    <w:rsid w:val="0016609D"/>
    <w:rsid w:val="00166183"/>
    <w:rsid w:val="00166209"/>
    <w:rsid w:val="00166283"/>
    <w:rsid w:val="00166287"/>
    <w:rsid w:val="00166290"/>
    <w:rsid w:val="001662E0"/>
    <w:rsid w:val="001662E6"/>
    <w:rsid w:val="0016630B"/>
    <w:rsid w:val="00166346"/>
    <w:rsid w:val="00166358"/>
    <w:rsid w:val="001663A4"/>
    <w:rsid w:val="001663C5"/>
    <w:rsid w:val="001664B7"/>
    <w:rsid w:val="001664F5"/>
    <w:rsid w:val="001664FA"/>
    <w:rsid w:val="0016651E"/>
    <w:rsid w:val="00166546"/>
    <w:rsid w:val="0016657E"/>
    <w:rsid w:val="001665E0"/>
    <w:rsid w:val="0016660F"/>
    <w:rsid w:val="00166645"/>
    <w:rsid w:val="001666A4"/>
    <w:rsid w:val="001666CF"/>
    <w:rsid w:val="001666DB"/>
    <w:rsid w:val="001666E4"/>
    <w:rsid w:val="00166790"/>
    <w:rsid w:val="001667AC"/>
    <w:rsid w:val="00166959"/>
    <w:rsid w:val="00166984"/>
    <w:rsid w:val="001669F9"/>
    <w:rsid w:val="00166A26"/>
    <w:rsid w:val="00166A84"/>
    <w:rsid w:val="00166AD7"/>
    <w:rsid w:val="00166AF7"/>
    <w:rsid w:val="00166B14"/>
    <w:rsid w:val="00166B51"/>
    <w:rsid w:val="00166C01"/>
    <w:rsid w:val="00166C13"/>
    <w:rsid w:val="00166C29"/>
    <w:rsid w:val="00166C31"/>
    <w:rsid w:val="00166C47"/>
    <w:rsid w:val="00166C63"/>
    <w:rsid w:val="00166C80"/>
    <w:rsid w:val="00166CB7"/>
    <w:rsid w:val="00166CF9"/>
    <w:rsid w:val="00166D24"/>
    <w:rsid w:val="00166D42"/>
    <w:rsid w:val="00166DFD"/>
    <w:rsid w:val="00166E05"/>
    <w:rsid w:val="00166E0E"/>
    <w:rsid w:val="00166E1A"/>
    <w:rsid w:val="00166E57"/>
    <w:rsid w:val="00166E76"/>
    <w:rsid w:val="00166ECF"/>
    <w:rsid w:val="00166F48"/>
    <w:rsid w:val="00166F50"/>
    <w:rsid w:val="00166FB4"/>
    <w:rsid w:val="00166FC5"/>
    <w:rsid w:val="00166FD3"/>
    <w:rsid w:val="0016702F"/>
    <w:rsid w:val="001670CE"/>
    <w:rsid w:val="00167108"/>
    <w:rsid w:val="001671B3"/>
    <w:rsid w:val="0016720F"/>
    <w:rsid w:val="00167219"/>
    <w:rsid w:val="00167221"/>
    <w:rsid w:val="00167237"/>
    <w:rsid w:val="0016725E"/>
    <w:rsid w:val="00167273"/>
    <w:rsid w:val="00167293"/>
    <w:rsid w:val="001672D6"/>
    <w:rsid w:val="001672F4"/>
    <w:rsid w:val="0016735C"/>
    <w:rsid w:val="0016743A"/>
    <w:rsid w:val="00167448"/>
    <w:rsid w:val="00167463"/>
    <w:rsid w:val="00167478"/>
    <w:rsid w:val="001674D9"/>
    <w:rsid w:val="001674F0"/>
    <w:rsid w:val="001674F2"/>
    <w:rsid w:val="00167537"/>
    <w:rsid w:val="00167542"/>
    <w:rsid w:val="0016754A"/>
    <w:rsid w:val="0016757E"/>
    <w:rsid w:val="00167659"/>
    <w:rsid w:val="001676D4"/>
    <w:rsid w:val="001676E7"/>
    <w:rsid w:val="00167715"/>
    <w:rsid w:val="00167752"/>
    <w:rsid w:val="0016775F"/>
    <w:rsid w:val="001677D4"/>
    <w:rsid w:val="001677E2"/>
    <w:rsid w:val="001677E5"/>
    <w:rsid w:val="00167812"/>
    <w:rsid w:val="0016782C"/>
    <w:rsid w:val="00167837"/>
    <w:rsid w:val="001678B8"/>
    <w:rsid w:val="001678BE"/>
    <w:rsid w:val="001678C9"/>
    <w:rsid w:val="001678E1"/>
    <w:rsid w:val="00167923"/>
    <w:rsid w:val="0016793B"/>
    <w:rsid w:val="00167959"/>
    <w:rsid w:val="001679B9"/>
    <w:rsid w:val="001679D7"/>
    <w:rsid w:val="00167A18"/>
    <w:rsid w:val="00167A1B"/>
    <w:rsid w:val="00167A33"/>
    <w:rsid w:val="00167A78"/>
    <w:rsid w:val="00167A97"/>
    <w:rsid w:val="00167AC7"/>
    <w:rsid w:val="00167AE2"/>
    <w:rsid w:val="00167AF3"/>
    <w:rsid w:val="00167B0D"/>
    <w:rsid w:val="00167B30"/>
    <w:rsid w:val="00167B33"/>
    <w:rsid w:val="00167B8D"/>
    <w:rsid w:val="00167B96"/>
    <w:rsid w:val="00167B97"/>
    <w:rsid w:val="00167BB4"/>
    <w:rsid w:val="00167BC2"/>
    <w:rsid w:val="00167BE2"/>
    <w:rsid w:val="00167C18"/>
    <w:rsid w:val="00167C9C"/>
    <w:rsid w:val="00167CA8"/>
    <w:rsid w:val="00167CDD"/>
    <w:rsid w:val="00167D14"/>
    <w:rsid w:val="00167D5A"/>
    <w:rsid w:val="00167DD2"/>
    <w:rsid w:val="00167DDB"/>
    <w:rsid w:val="00167DDE"/>
    <w:rsid w:val="00167E79"/>
    <w:rsid w:val="00167EA3"/>
    <w:rsid w:val="00167F1F"/>
    <w:rsid w:val="00167F46"/>
    <w:rsid w:val="00167F67"/>
    <w:rsid w:val="001683E2"/>
    <w:rsid w:val="00170045"/>
    <w:rsid w:val="0017006A"/>
    <w:rsid w:val="0017009E"/>
    <w:rsid w:val="001700F4"/>
    <w:rsid w:val="0017012A"/>
    <w:rsid w:val="0017014F"/>
    <w:rsid w:val="0017016B"/>
    <w:rsid w:val="0017019D"/>
    <w:rsid w:val="001701E1"/>
    <w:rsid w:val="001701ED"/>
    <w:rsid w:val="001701F9"/>
    <w:rsid w:val="00170275"/>
    <w:rsid w:val="001702EB"/>
    <w:rsid w:val="00170344"/>
    <w:rsid w:val="00170345"/>
    <w:rsid w:val="001703B6"/>
    <w:rsid w:val="0017040F"/>
    <w:rsid w:val="00170457"/>
    <w:rsid w:val="00170464"/>
    <w:rsid w:val="001704A7"/>
    <w:rsid w:val="0017055F"/>
    <w:rsid w:val="00170575"/>
    <w:rsid w:val="00170580"/>
    <w:rsid w:val="001705AF"/>
    <w:rsid w:val="001705B2"/>
    <w:rsid w:val="001705E1"/>
    <w:rsid w:val="001705F9"/>
    <w:rsid w:val="00170603"/>
    <w:rsid w:val="00170634"/>
    <w:rsid w:val="0017063E"/>
    <w:rsid w:val="00170669"/>
    <w:rsid w:val="00170764"/>
    <w:rsid w:val="0017076E"/>
    <w:rsid w:val="00170784"/>
    <w:rsid w:val="001707CA"/>
    <w:rsid w:val="00170800"/>
    <w:rsid w:val="00170840"/>
    <w:rsid w:val="0017086A"/>
    <w:rsid w:val="0017086F"/>
    <w:rsid w:val="00170885"/>
    <w:rsid w:val="001708CD"/>
    <w:rsid w:val="00170931"/>
    <w:rsid w:val="0017094B"/>
    <w:rsid w:val="00170979"/>
    <w:rsid w:val="001709C9"/>
    <w:rsid w:val="00170A1A"/>
    <w:rsid w:val="00170A32"/>
    <w:rsid w:val="00170A49"/>
    <w:rsid w:val="00170A94"/>
    <w:rsid w:val="00170AA2"/>
    <w:rsid w:val="00170ADC"/>
    <w:rsid w:val="00170AFF"/>
    <w:rsid w:val="00170B3D"/>
    <w:rsid w:val="00170B58"/>
    <w:rsid w:val="00170BE2"/>
    <w:rsid w:val="00170C20"/>
    <w:rsid w:val="00170C88"/>
    <w:rsid w:val="00170D2B"/>
    <w:rsid w:val="00170D4A"/>
    <w:rsid w:val="00170DA0"/>
    <w:rsid w:val="00170DF1"/>
    <w:rsid w:val="00170E4E"/>
    <w:rsid w:val="00170F29"/>
    <w:rsid w:val="00170F31"/>
    <w:rsid w:val="00170F37"/>
    <w:rsid w:val="00170F44"/>
    <w:rsid w:val="00170FAA"/>
    <w:rsid w:val="00171018"/>
    <w:rsid w:val="00171028"/>
    <w:rsid w:val="00171064"/>
    <w:rsid w:val="0017116E"/>
    <w:rsid w:val="001711C9"/>
    <w:rsid w:val="001711F7"/>
    <w:rsid w:val="00171207"/>
    <w:rsid w:val="0017120D"/>
    <w:rsid w:val="001713BD"/>
    <w:rsid w:val="001713F2"/>
    <w:rsid w:val="00171429"/>
    <w:rsid w:val="00171432"/>
    <w:rsid w:val="00171465"/>
    <w:rsid w:val="001714BD"/>
    <w:rsid w:val="001715BD"/>
    <w:rsid w:val="001715D0"/>
    <w:rsid w:val="001715F5"/>
    <w:rsid w:val="00171614"/>
    <w:rsid w:val="00171683"/>
    <w:rsid w:val="001716C3"/>
    <w:rsid w:val="001716CD"/>
    <w:rsid w:val="001716CF"/>
    <w:rsid w:val="00171788"/>
    <w:rsid w:val="001717DF"/>
    <w:rsid w:val="001717F5"/>
    <w:rsid w:val="00171809"/>
    <w:rsid w:val="00171849"/>
    <w:rsid w:val="001718A6"/>
    <w:rsid w:val="001718A9"/>
    <w:rsid w:val="001718BE"/>
    <w:rsid w:val="001718C6"/>
    <w:rsid w:val="001718DC"/>
    <w:rsid w:val="001719C4"/>
    <w:rsid w:val="001719D0"/>
    <w:rsid w:val="001719E6"/>
    <w:rsid w:val="00171A2A"/>
    <w:rsid w:val="00171AA6"/>
    <w:rsid w:val="00171B36"/>
    <w:rsid w:val="00171B58"/>
    <w:rsid w:val="00171B7C"/>
    <w:rsid w:val="00171B8E"/>
    <w:rsid w:val="00171C5C"/>
    <w:rsid w:val="00171CDA"/>
    <w:rsid w:val="00171D13"/>
    <w:rsid w:val="00171D1E"/>
    <w:rsid w:val="00171DD5"/>
    <w:rsid w:val="00171DFF"/>
    <w:rsid w:val="00171E1A"/>
    <w:rsid w:val="00171E5D"/>
    <w:rsid w:val="00171E73"/>
    <w:rsid w:val="00171E87"/>
    <w:rsid w:val="00171EB2"/>
    <w:rsid w:val="00171EDC"/>
    <w:rsid w:val="00171F58"/>
    <w:rsid w:val="00171FB4"/>
    <w:rsid w:val="00172049"/>
    <w:rsid w:val="00172078"/>
    <w:rsid w:val="00172138"/>
    <w:rsid w:val="0017215A"/>
    <w:rsid w:val="0017216F"/>
    <w:rsid w:val="001721A1"/>
    <w:rsid w:val="001721DF"/>
    <w:rsid w:val="001721EF"/>
    <w:rsid w:val="0017222C"/>
    <w:rsid w:val="0017226A"/>
    <w:rsid w:val="00172283"/>
    <w:rsid w:val="00172285"/>
    <w:rsid w:val="0017229C"/>
    <w:rsid w:val="001722B5"/>
    <w:rsid w:val="001722BA"/>
    <w:rsid w:val="001722DC"/>
    <w:rsid w:val="00172302"/>
    <w:rsid w:val="0017231D"/>
    <w:rsid w:val="0017233F"/>
    <w:rsid w:val="001723A9"/>
    <w:rsid w:val="001723B9"/>
    <w:rsid w:val="001723EB"/>
    <w:rsid w:val="00172402"/>
    <w:rsid w:val="001724B9"/>
    <w:rsid w:val="001724C7"/>
    <w:rsid w:val="001724F5"/>
    <w:rsid w:val="00172526"/>
    <w:rsid w:val="0017252E"/>
    <w:rsid w:val="00172563"/>
    <w:rsid w:val="00172572"/>
    <w:rsid w:val="0017263A"/>
    <w:rsid w:val="001726BA"/>
    <w:rsid w:val="001726CC"/>
    <w:rsid w:val="0017277F"/>
    <w:rsid w:val="00172788"/>
    <w:rsid w:val="00172803"/>
    <w:rsid w:val="00172862"/>
    <w:rsid w:val="001728E1"/>
    <w:rsid w:val="001728EA"/>
    <w:rsid w:val="0017291A"/>
    <w:rsid w:val="00172922"/>
    <w:rsid w:val="0017295D"/>
    <w:rsid w:val="00172995"/>
    <w:rsid w:val="001729B4"/>
    <w:rsid w:val="001729EC"/>
    <w:rsid w:val="00172A05"/>
    <w:rsid w:val="00172A18"/>
    <w:rsid w:val="00172A1E"/>
    <w:rsid w:val="00172A73"/>
    <w:rsid w:val="00172A9E"/>
    <w:rsid w:val="00172ADB"/>
    <w:rsid w:val="00172ADE"/>
    <w:rsid w:val="00172AFB"/>
    <w:rsid w:val="00172B1D"/>
    <w:rsid w:val="00172B54"/>
    <w:rsid w:val="00172B70"/>
    <w:rsid w:val="00172C14"/>
    <w:rsid w:val="00172CA3"/>
    <w:rsid w:val="00172D13"/>
    <w:rsid w:val="00172D5C"/>
    <w:rsid w:val="00172D8C"/>
    <w:rsid w:val="00172D90"/>
    <w:rsid w:val="00172D95"/>
    <w:rsid w:val="00172DF0"/>
    <w:rsid w:val="00172E03"/>
    <w:rsid w:val="00172E29"/>
    <w:rsid w:val="00172E48"/>
    <w:rsid w:val="00172E77"/>
    <w:rsid w:val="00172E90"/>
    <w:rsid w:val="00172E99"/>
    <w:rsid w:val="00172EAB"/>
    <w:rsid w:val="00172ECF"/>
    <w:rsid w:val="00172F1D"/>
    <w:rsid w:val="00172F5C"/>
    <w:rsid w:val="00172F66"/>
    <w:rsid w:val="00172F69"/>
    <w:rsid w:val="00172F77"/>
    <w:rsid w:val="00172F8E"/>
    <w:rsid w:val="00172FBD"/>
    <w:rsid w:val="0017301A"/>
    <w:rsid w:val="00173032"/>
    <w:rsid w:val="00173077"/>
    <w:rsid w:val="0017307E"/>
    <w:rsid w:val="001730BD"/>
    <w:rsid w:val="0017312C"/>
    <w:rsid w:val="001731A7"/>
    <w:rsid w:val="001731B7"/>
    <w:rsid w:val="001731BD"/>
    <w:rsid w:val="001731FF"/>
    <w:rsid w:val="00173219"/>
    <w:rsid w:val="00173233"/>
    <w:rsid w:val="0017327E"/>
    <w:rsid w:val="0017328C"/>
    <w:rsid w:val="00173308"/>
    <w:rsid w:val="00173317"/>
    <w:rsid w:val="0017331F"/>
    <w:rsid w:val="00173324"/>
    <w:rsid w:val="00173394"/>
    <w:rsid w:val="001733CA"/>
    <w:rsid w:val="001733FE"/>
    <w:rsid w:val="0017342D"/>
    <w:rsid w:val="00173458"/>
    <w:rsid w:val="00173475"/>
    <w:rsid w:val="0017348B"/>
    <w:rsid w:val="00173491"/>
    <w:rsid w:val="00173524"/>
    <w:rsid w:val="00173538"/>
    <w:rsid w:val="0017353A"/>
    <w:rsid w:val="0017354F"/>
    <w:rsid w:val="0017358A"/>
    <w:rsid w:val="00173590"/>
    <w:rsid w:val="00173591"/>
    <w:rsid w:val="0017366F"/>
    <w:rsid w:val="00173681"/>
    <w:rsid w:val="00173693"/>
    <w:rsid w:val="00173698"/>
    <w:rsid w:val="001736BD"/>
    <w:rsid w:val="001736EF"/>
    <w:rsid w:val="0017371E"/>
    <w:rsid w:val="00173746"/>
    <w:rsid w:val="001737AA"/>
    <w:rsid w:val="00173831"/>
    <w:rsid w:val="0017386A"/>
    <w:rsid w:val="00173872"/>
    <w:rsid w:val="00173890"/>
    <w:rsid w:val="00173907"/>
    <w:rsid w:val="00173923"/>
    <w:rsid w:val="001739B1"/>
    <w:rsid w:val="001739E5"/>
    <w:rsid w:val="00173A26"/>
    <w:rsid w:val="00173A4E"/>
    <w:rsid w:val="00173A68"/>
    <w:rsid w:val="00173AB5"/>
    <w:rsid w:val="00173AFC"/>
    <w:rsid w:val="00173B0F"/>
    <w:rsid w:val="00173B42"/>
    <w:rsid w:val="00173B82"/>
    <w:rsid w:val="00173B9E"/>
    <w:rsid w:val="00173BA1"/>
    <w:rsid w:val="00173BA8"/>
    <w:rsid w:val="00173C15"/>
    <w:rsid w:val="00173C29"/>
    <w:rsid w:val="00173C45"/>
    <w:rsid w:val="00173C65"/>
    <w:rsid w:val="00173C82"/>
    <w:rsid w:val="00173CAD"/>
    <w:rsid w:val="00173CD7"/>
    <w:rsid w:val="00173CED"/>
    <w:rsid w:val="00173CFB"/>
    <w:rsid w:val="00173D14"/>
    <w:rsid w:val="00173D1F"/>
    <w:rsid w:val="00173D34"/>
    <w:rsid w:val="00173D40"/>
    <w:rsid w:val="00173D46"/>
    <w:rsid w:val="00173DBD"/>
    <w:rsid w:val="00173DC6"/>
    <w:rsid w:val="00173E05"/>
    <w:rsid w:val="00173ED9"/>
    <w:rsid w:val="00173F08"/>
    <w:rsid w:val="00173F4B"/>
    <w:rsid w:val="00173FF7"/>
    <w:rsid w:val="00174004"/>
    <w:rsid w:val="00174006"/>
    <w:rsid w:val="00174034"/>
    <w:rsid w:val="0017403C"/>
    <w:rsid w:val="0017405C"/>
    <w:rsid w:val="00174087"/>
    <w:rsid w:val="001740CB"/>
    <w:rsid w:val="001740F7"/>
    <w:rsid w:val="001740FD"/>
    <w:rsid w:val="00174114"/>
    <w:rsid w:val="00174168"/>
    <w:rsid w:val="00174175"/>
    <w:rsid w:val="001741A4"/>
    <w:rsid w:val="001741E0"/>
    <w:rsid w:val="00174268"/>
    <w:rsid w:val="001742C9"/>
    <w:rsid w:val="001742E5"/>
    <w:rsid w:val="00174315"/>
    <w:rsid w:val="00174323"/>
    <w:rsid w:val="00174337"/>
    <w:rsid w:val="00174355"/>
    <w:rsid w:val="00174428"/>
    <w:rsid w:val="00174505"/>
    <w:rsid w:val="0017452B"/>
    <w:rsid w:val="00174565"/>
    <w:rsid w:val="00174591"/>
    <w:rsid w:val="001745C4"/>
    <w:rsid w:val="0017461D"/>
    <w:rsid w:val="00174674"/>
    <w:rsid w:val="001746E3"/>
    <w:rsid w:val="001746F2"/>
    <w:rsid w:val="00174738"/>
    <w:rsid w:val="00174757"/>
    <w:rsid w:val="0017475B"/>
    <w:rsid w:val="00174819"/>
    <w:rsid w:val="00174848"/>
    <w:rsid w:val="001748AB"/>
    <w:rsid w:val="001748C3"/>
    <w:rsid w:val="001748E8"/>
    <w:rsid w:val="001749A9"/>
    <w:rsid w:val="00174A13"/>
    <w:rsid w:val="00174A95"/>
    <w:rsid w:val="00174B28"/>
    <w:rsid w:val="00174B40"/>
    <w:rsid w:val="00174B7E"/>
    <w:rsid w:val="00174BE5"/>
    <w:rsid w:val="00174C68"/>
    <w:rsid w:val="00174CAA"/>
    <w:rsid w:val="00174CB7"/>
    <w:rsid w:val="00174CEF"/>
    <w:rsid w:val="00174D13"/>
    <w:rsid w:val="00174D2E"/>
    <w:rsid w:val="00174D2F"/>
    <w:rsid w:val="00174D40"/>
    <w:rsid w:val="00174DAB"/>
    <w:rsid w:val="00174DAF"/>
    <w:rsid w:val="00174DC3"/>
    <w:rsid w:val="00174ECE"/>
    <w:rsid w:val="00174EDD"/>
    <w:rsid w:val="00174F26"/>
    <w:rsid w:val="00174F88"/>
    <w:rsid w:val="00174FEB"/>
    <w:rsid w:val="00174FEF"/>
    <w:rsid w:val="00175026"/>
    <w:rsid w:val="00175076"/>
    <w:rsid w:val="00175262"/>
    <w:rsid w:val="0017527D"/>
    <w:rsid w:val="001752AA"/>
    <w:rsid w:val="001752C0"/>
    <w:rsid w:val="0017539E"/>
    <w:rsid w:val="00175410"/>
    <w:rsid w:val="0017548B"/>
    <w:rsid w:val="00175509"/>
    <w:rsid w:val="00175544"/>
    <w:rsid w:val="001755B3"/>
    <w:rsid w:val="00175600"/>
    <w:rsid w:val="00175613"/>
    <w:rsid w:val="00175669"/>
    <w:rsid w:val="00175682"/>
    <w:rsid w:val="00175691"/>
    <w:rsid w:val="001756B8"/>
    <w:rsid w:val="00175734"/>
    <w:rsid w:val="0017575A"/>
    <w:rsid w:val="00175791"/>
    <w:rsid w:val="001757B0"/>
    <w:rsid w:val="001758BE"/>
    <w:rsid w:val="001758D5"/>
    <w:rsid w:val="001758EE"/>
    <w:rsid w:val="00175925"/>
    <w:rsid w:val="0017593C"/>
    <w:rsid w:val="001759C4"/>
    <w:rsid w:val="001759E6"/>
    <w:rsid w:val="001759FF"/>
    <w:rsid w:val="00175A64"/>
    <w:rsid w:val="00175AA0"/>
    <w:rsid w:val="00175AAC"/>
    <w:rsid w:val="00175AB3"/>
    <w:rsid w:val="00175AFE"/>
    <w:rsid w:val="00175B03"/>
    <w:rsid w:val="00175B04"/>
    <w:rsid w:val="00175B0B"/>
    <w:rsid w:val="00175B14"/>
    <w:rsid w:val="00175BD8"/>
    <w:rsid w:val="00175C44"/>
    <w:rsid w:val="00175C76"/>
    <w:rsid w:val="00175CDA"/>
    <w:rsid w:val="00175CE3"/>
    <w:rsid w:val="00175D36"/>
    <w:rsid w:val="00175DE7"/>
    <w:rsid w:val="00175E5A"/>
    <w:rsid w:val="00175E7F"/>
    <w:rsid w:val="00175E8F"/>
    <w:rsid w:val="00175E91"/>
    <w:rsid w:val="00175EBC"/>
    <w:rsid w:val="00175EF6"/>
    <w:rsid w:val="00175EFC"/>
    <w:rsid w:val="00175F32"/>
    <w:rsid w:val="00175F53"/>
    <w:rsid w:val="00175F78"/>
    <w:rsid w:val="00175F90"/>
    <w:rsid w:val="00175FC9"/>
    <w:rsid w:val="00175FFB"/>
    <w:rsid w:val="00176037"/>
    <w:rsid w:val="00176066"/>
    <w:rsid w:val="001760B2"/>
    <w:rsid w:val="00176137"/>
    <w:rsid w:val="00176149"/>
    <w:rsid w:val="001761A1"/>
    <w:rsid w:val="001761A4"/>
    <w:rsid w:val="001761AE"/>
    <w:rsid w:val="001761B4"/>
    <w:rsid w:val="001761BE"/>
    <w:rsid w:val="001761DA"/>
    <w:rsid w:val="00176207"/>
    <w:rsid w:val="00176260"/>
    <w:rsid w:val="00176281"/>
    <w:rsid w:val="001762B3"/>
    <w:rsid w:val="001762D7"/>
    <w:rsid w:val="00176323"/>
    <w:rsid w:val="0017635A"/>
    <w:rsid w:val="001763B0"/>
    <w:rsid w:val="001763B3"/>
    <w:rsid w:val="001763D2"/>
    <w:rsid w:val="0017643D"/>
    <w:rsid w:val="00176449"/>
    <w:rsid w:val="001764C5"/>
    <w:rsid w:val="00176520"/>
    <w:rsid w:val="0017653A"/>
    <w:rsid w:val="00176540"/>
    <w:rsid w:val="00176561"/>
    <w:rsid w:val="0017656D"/>
    <w:rsid w:val="001765C5"/>
    <w:rsid w:val="001766B2"/>
    <w:rsid w:val="001766EB"/>
    <w:rsid w:val="001766F3"/>
    <w:rsid w:val="0017671C"/>
    <w:rsid w:val="00176728"/>
    <w:rsid w:val="00176755"/>
    <w:rsid w:val="0017678D"/>
    <w:rsid w:val="001767D9"/>
    <w:rsid w:val="001767EB"/>
    <w:rsid w:val="00176874"/>
    <w:rsid w:val="0017696C"/>
    <w:rsid w:val="001769B0"/>
    <w:rsid w:val="001769BB"/>
    <w:rsid w:val="001769DE"/>
    <w:rsid w:val="001769FF"/>
    <w:rsid w:val="00176A95"/>
    <w:rsid w:val="00176AA1"/>
    <w:rsid w:val="00176B08"/>
    <w:rsid w:val="00176B21"/>
    <w:rsid w:val="00176B42"/>
    <w:rsid w:val="00176B61"/>
    <w:rsid w:val="00176B6D"/>
    <w:rsid w:val="00176B92"/>
    <w:rsid w:val="00176BA5"/>
    <w:rsid w:val="00176BCA"/>
    <w:rsid w:val="00176BF0"/>
    <w:rsid w:val="00176BF1"/>
    <w:rsid w:val="00176C22"/>
    <w:rsid w:val="00176C2C"/>
    <w:rsid w:val="00176C69"/>
    <w:rsid w:val="00176C8B"/>
    <w:rsid w:val="00176CE3"/>
    <w:rsid w:val="00176D03"/>
    <w:rsid w:val="00176D11"/>
    <w:rsid w:val="00176D2B"/>
    <w:rsid w:val="00176DB8"/>
    <w:rsid w:val="00176DD3"/>
    <w:rsid w:val="00176DEA"/>
    <w:rsid w:val="00176E0F"/>
    <w:rsid w:val="00176E1B"/>
    <w:rsid w:val="00176E23"/>
    <w:rsid w:val="00176E50"/>
    <w:rsid w:val="00176E58"/>
    <w:rsid w:val="00176E73"/>
    <w:rsid w:val="00176E91"/>
    <w:rsid w:val="00176F0C"/>
    <w:rsid w:val="00176F1E"/>
    <w:rsid w:val="00176F29"/>
    <w:rsid w:val="00176F48"/>
    <w:rsid w:val="00176F81"/>
    <w:rsid w:val="00176FA7"/>
    <w:rsid w:val="00176FC2"/>
    <w:rsid w:val="00176FC4"/>
    <w:rsid w:val="00177064"/>
    <w:rsid w:val="001770E8"/>
    <w:rsid w:val="001770F1"/>
    <w:rsid w:val="00177171"/>
    <w:rsid w:val="0017718C"/>
    <w:rsid w:val="001771C3"/>
    <w:rsid w:val="00177209"/>
    <w:rsid w:val="001772B1"/>
    <w:rsid w:val="001772C9"/>
    <w:rsid w:val="00177308"/>
    <w:rsid w:val="0017734C"/>
    <w:rsid w:val="0017734D"/>
    <w:rsid w:val="001773B9"/>
    <w:rsid w:val="001773C2"/>
    <w:rsid w:val="00177441"/>
    <w:rsid w:val="001774A2"/>
    <w:rsid w:val="001774BA"/>
    <w:rsid w:val="00177551"/>
    <w:rsid w:val="00177557"/>
    <w:rsid w:val="0017758F"/>
    <w:rsid w:val="00177592"/>
    <w:rsid w:val="001775AB"/>
    <w:rsid w:val="001775C5"/>
    <w:rsid w:val="001775D9"/>
    <w:rsid w:val="001775F1"/>
    <w:rsid w:val="0017766F"/>
    <w:rsid w:val="0017767B"/>
    <w:rsid w:val="00177708"/>
    <w:rsid w:val="00177715"/>
    <w:rsid w:val="0017773A"/>
    <w:rsid w:val="001777AA"/>
    <w:rsid w:val="0017780B"/>
    <w:rsid w:val="0017787C"/>
    <w:rsid w:val="001778A4"/>
    <w:rsid w:val="001778E2"/>
    <w:rsid w:val="001778F8"/>
    <w:rsid w:val="0017790E"/>
    <w:rsid w:val="00177918"/>
    <w:rsid w:val="0017793F"/>
    <w:rsid w:val="00177967"/>
    <w:rsid w:val="00177969"/>
    <w:rsid w:val="0017797E"/>
    <w:rsid w:val="001779A1"/>
    <w:rsid w:val="001779E5"/>
    <w:rsid w:val="00177A0D"/>
    <w:rsid w:val="00177A82"/>
    <w:rsid w:val="00177ACC"/>
    <w:rsid w:val="00177B43"/>
    <w:rsid w:val="00177B5C"/>
    <w:rsid w:val="00177B7B"/>
    <w:rsid w:val="00177B93"/>
    <w:rsid w:val="00177BAE"/>
    <w:rsid w:val="00177BE0"/>
    <w:rsid w:val="00177C0B"/>
    <w:rsid w:val="00177C1B"/>
    <w:rsid w:val="00177C69"/>
    <w:rsid w:val="00177CCD"/>
    <w:rsid w:val="00177CEA"/>
    <w:rsid w:val="00177D0F"/>
    <w:rsid w:val="00177ED1"/>
    <w:rsid w:val="00177EE4"/>
    <w:rsid w:val="00177FD1"/>
    <w:rsid w:val="00177FD2"/>
    <w:rsid w:val="00177FFB"/>
    <w:rsid w:val="0018001C"/>
    <w:rsid w:val="00180041"/>
    <w:rsid w:val="00180108"/>
    <w:rsid w:val="0018010D"/>
    <w:rsid w:val="00180111"/>
    <w:rsid w:val="0018014F"/>
    <w:rsid w:val="001801AC"/>
    <w:rsid w:val="001801C7"/>
    <w:rsid w:val="001801DC"/>
    <w:rsid w:val="001801F3"/>
    <w:rsid w:val="0018020B"/>
    <w:rsid w:val="00180235"/>
    <w:rsid w:val="00180263"/>
    <w:rsid w:val="0018029F"/>
    <w:rsid w:val="0018030F"/>
    <w:rsid w:val="00180314"/>
    <w:rsid w:val="00180317"/>
    <w:rsid w:val="00180341"/>
    <w:rsid w:val="00180345"/>
    <w:rsid w:val="0018035D"/>
    <w:rsid w:val="001803CA"/>
    <w:rsid w:val="001803D6"/>
    <w:rsid w:val="00180409"/>
    <w:rsid w:val="00180488"/>
    <w:rsid w:val="001804EB"/>
    <w:rsid w:val="00180523"/>
    <w:rsid w:val="001805AB"/>
    <w:rsid w:val="001805D1"/>
    <w:rsid w:val="001805FC"/>
    <w:rsid w:val="00180604"/>
    <w:rsid w:val="00180648"/>
    <w:rsid w:val="00180742"/>
    <w:rsid w:val="0018077C"/>
    <w:rsid w:val="001807A9"/>
    <w:rsid w:val="001807ED"/>
    <w:rsid w:val="00180814"/>
    <w:rsid w:val="0018081F"/>
    <w:rsid w:val="00180826"/>
    <w:rsid w:val="00180866"/>
    <w:rsid w:val="0018087E"/>
    <w:rsid w:val="001808B7"/>
    <w:rsid w:val="00180905"/>
    <w:rsid w:val="00180928"/>
    <w:rsid w:val="00180935"/>
    <w:rsid w:val="00180956"/>
    <w:rsid w:val="00180991"/>
    <w:rsid w:val="001809AC"/>
    <w:rsid w:val="001809D3"/>
    <w:rsid w:val="00180A4C"/>
    <w:rsid w:val="00180A6A"/>
    <w:rsid w:val="00180A87"/>
    <w:rsid w:val="00180ACF"/>
    <w:rsid w:val="00180AFB"/>
    <w:rsid w:val="00180B4A"/>
    <w:rsid w:val="00180B6B"/>
    <w:rsid w:val="00180B73"/>
    <w:rsid w:val="00180B7C"/>
    <w:rsid w:val="00180BB3"/>
    <w:rsid w:val="00180C39"/>
    <w:rsid w:val="00180C90"/>
    <w:rsid w:val="00180C9B"/>
    <w:rsid w:val="00180D2B"/>
    <w:rsid w:val="00180D33"/>
    <w:rsid w:val="00180D5F"/>
    <w:rsid w:val="00180D76"/>
    <w:rsid w:val="00180DB4"/>
    <w:rsid w:val="00180DD1"/>
    <w:rsid w:val="00180DD2"/>
    <w:rsid w:val="00180DDA"/>
    <w:rsid w:val="00180E12"/>
    <w:rsid w:val="00180E48"/>
    <w:rsid w:val="00180E4B"/>
    <w:rsid w:val="00180E6E"/>
    <w:rsid w:val="00180E78"/>
    <w:rsid w:val="00180EBF"/>
    <w:rsid w:val="00180EF3"/>
    <w:rsid w:val="00180F15"/>
    <w:rsid w:val="00180F38"/>
    <w:rsid w:val="00180F66"/>
    <w:rsid w:val="00180F8C"/>
    <w:rsid w:val="00181004"/>
    <w:rsid w:val="00181035"/>
    <w:rsid w:val="0018104F"/>
    <w:rsid w:val="00181064"/>
    <w:rsid w:val="001810D3"/>
    <w:rsid w:val="001810F6"/>
    <w:rsid w:val="001810F7"/>
    <w:rsid w:val="0018113C"/>
    <w:rsid w:val="00181196"/>
    <w:rsid w:val="0018119A"/>
    <w:rsid w:val="0018120D"/>
    <w:rsid w:val="00181210"/>
    <w:rsid w:val="00181223"/>
    <w:rsid w:val="00181283"/>
    <w:rsid w:val="001812A9"/>
    <w:rsid w:val="001812C1"/>
    <w:rsid w:val="001812EA"/>
    <w:rsid w:val="00181372"/>
    <w:rsid w:val="001813E6"/>
    <w:rsid w:val="00181472"/>
    <w:rsid w:val="001814B3"/>
    <w:rsid w:val="001814FF"/>
    <w:rsid w:val="00181577"/>
    <w:rsid w:val="001815EF"/>
    <w:rsid w:val="00181623"/>
    <w:rsid w:val="0018163C"/>
    <w:rsid w:val="00181680"/>
    <w:rsid w:val="001816B9"/>
    <w:rsid w:val="001816CF"/>
    <w:rsid w:val="0018174F"/>
    <w:rsid w:val="00181771"/>
    <w:rsid w:val="00181795"/>
    <w:rsid w:val="001817CE"/>
    <w:rsid w:val="001817E1"/>
    <w:rsid w:val="00181834"/>
    <w:rsid w:val="0018183B"/>
    <w:rsid w:val="0018188D"/>
    <w:rsid w:val="001818C9"/>
    <w:rsid w:val="001818F5"/>
    <w:rsid w:val="0018193B"/>
    <w:rsid w:val="0018195D"/>
    <w:rsid w:val="00181A54"/>
    <w:rsid w:val="00181AB2"/>
    <w:rsid w:val="00181AD3"/>
    <w:rsid w:val="00181AFC"/>
    <w:rsid w:val="00181B3D"/>
    <w:rsid w:val="00181B65"/>
    <w:rsid w:val="00181B6A"/>
    <w:rsid w:val="00181B7B"/>
    <w:rsid w:val="00181B96"/>
    <w:rsid w:val="00181BA5"/>
    <w:rsid w:val="00181BD9"/>
    <w:rsid w:val="00181C02"/>
    <w:rsid w:val="00181C0F"/>
    <w:rsid w:val="00181C52"/>
    <w:rsid w:val="00181D23"/>
    <w:rsid w:val="00181D7E"/>
    <w:rsid w:val="00181DC6"/>
    <w:rsid w:val="00181DE7"/>
    <w:rsid w:val="00181E46"/>
    <w:rsid w:val="00181E85"/>
    <w:rsid w:val="00181E98"/>
    <w:rsid w:val="00181EAC"/>
    <w:rsid w:val="00181ECF"/>
    <w:rsid w:val="00181EEC"/>
    <w:rsid w:val="00181F20"/>
    <w:rsid w:val="00181F62"/>
    <w:rsid w:val="00181F75"/>
    <w:rsid w:val="00181FC0"/>
    <w:rsid w:val="00181FC8"/>
    <w:rsid w:val="00182025"/>
    <w:rsid w:val="0018205E"/>
    <w:rsid w:val="001820DE"/>
    <w:rsid w:val="00182170"/>
    <w:rsid w:val="00182178"/>
    <w:rsid w:val="001821CD"/>
    <w:rsid w:val="001821DA"/>
    <w:rsid w:val="0018220E"/>
    <w:rsid w:val="0018223C"/>
    <w:rsid w:val="00182264"/>
    <w:rsid w:val="0018226A"/>
    <w:rsid w:val="0018226F"/>
    <w:rsid w:val="00182295"/>
    <w:rsid w:val="001822E4"/>
    <w:rsid w:val="0018235E"/>
    <w:rsid w:val="00182377"/>
    <w:rsid w:val="0018237E"/>
    <w:rsid w:val="001823D0"/>
    <w:rsid w:val="001823D1"/>
    <w:rsid w:val="001823D7"/>
    <w:rsid w:val="00182428"/>
    <w:rsid w:val="00182430"/>
    <w:rsid w:val="00182432"/>
    <w:rsid w:val="00182442"/>
    <w:rsid w:val="00182444"/>
    <w:rsid w:val="0018248A"/>
    <w:rsid w:val="001824FC"/>
    <w:rsid w:val="00182520"/>
    <w:rsid w:val="00182528"/>
    <w:rsid w:val="00182549"/>
    <w:rsid w:val="001825C3"/>
    <w:rsid w:val="001825D7"/>
    <w:rsid w:val="001825F4"/>
    <w:rsid w:val="00182657"/>
    <w:rsid w:val="00182661"/>
    <w:rsid w:val="0018267E"/>
    <w:rsid w:val="00182697"/>
    <w:rsid w:val="001826EB"/>
    <w:rsid w:val="0018275F"/>
    <w:rsid w:val="00182763"/>
    <w:rsid w:val="00182787"/>
    <w:rsid w:val="0018279A"/>
    <w:rsid w:val="0018283D"/>
    <w:rsid w:val="00182850"/>
    <w:rsid w:val="0018287B"/>
    <w:rsid w:val="00182886"/>
    <w:rsid w:val="001828BD"/>
    <w:rsid w:val="001828C8"/>
    <w:rsid w:val="001828E1"/>
    <w:rsid w:val="00182929"/>
    <w:rsid w:val="00182935"/>
    <w:rsid w:val="00182969"/>
    <w:rsid w:val="001829B0"/>
    <w:rsid w:val="001829BC"/>
    <w:rsid w:val="001829DC"/>
    <w:rsid w:val="001829FA"/>
    <w:rsid w:val="00182AA8"/>
    <w:rsid w:val="00182AC1"/>
    <w:rsid w:val="00182ACE"/>
    <w:rsid w:val="00182ACF"/>
    <w:rsid w:val="00182AEC"/>
    <w:rsid w:val="00182AFA"/>
    <w:rsid w:val="00182B03"/>
    <w:rsid w:val="00182B21"/>
    <w:rsid w:val="00182B48"/>
    <w:rsid w:val="00182B90"/>
    <w:rsid w:val="00182BE7"/>
    <w:rsid w:val="00182C1D"/>
    <w:rsid w:val="00182C51"/>
    <w:rsid w:val="00182C97"/>
    <w:rsid w:val="00182CB6"/>
    <w:rsid w:val="00182CB8"/>
    <w:rsid w:val="00182CC8"/>
    <w:rsid w:val="00182CEE"/>
    <w:rsid w:val="00182D2A"/>
    <w:rsid w:val="00182D2F"/>
    <w:rsid w:val="00182D37"/>
    <w:rsid w:val="00182D7F"/>
    <w:rsid w:val="00182DAC"/>
    <w:rsid w:val="00182DAF"/>
    <w:rsid w:val="00182DB1"/>
    <w:rsid w:val="00182DB2"/>
    <w:rsid w:val="00182DFC"/>
    <w:rsid w:val="00182E02"/>
    <w:rsid w:val="00182E7D"/>
    <w:rsid w:val="00182EB2"/>
    <w:rsid w:val="00182EB3"/>
    <w:rsid w:val="00182F73"/>
    <w:rsid w:val="00182FE7"/>
    <w:rsid w:val="00183087"/>
    <w:rsid w:val="00183103"/>
    <w:rsid w:val="00183124"/>
    <w:rsid w:val="00183148"/>
    <w:rsid w:val="00183168"/>
    <w:rsid w:val="00183190"/>
    <w:rsid w:val="00183194"/>
    <w:rsid w:val="001831AE"/>
    <w:rsid w:val="001831DD"/>
    <w:rsid w:val="00183250"/>
    <w:rsid w:val="0018327A"/>
    <w:rsid w:val="001832FC"/>
    <w:rsid w:val="00183320"/>
    <w:rsid w:val="00183333"/>
    <w:rsid w:val="00183383"/>
    <w:rsid w:val="001833D6"/>
    <w:rsid w:val="001833DC"/>
    <w:rsid w:val="001833F5"/>
    <w:rsid w:val="001834AD"/>
    <w:rsid w:val="001834C1"/>
    <w:rsid w:val="00183511"/>
    <w:rsid w:val="00183540"/>
    <w:rsid w:val="001835A9"/>
    <w:rsid w:val="001835B4"/>
    <w:rsid w:val="001835C4"/>
    <w:rsid w:val="001835F9"/>
    <w:rsid w:val="001835FD"/>
    <w:rsid w:val="0018361C"/>
    <w:rsid w:val="0018368F"/>
    <w:rsid w:val="001836BA"/>
    <w:rsid w:val="001836D7"/>
    <w:rsid w:val="00183773"/>
    <w:rsid w:val="00183789"/>
    <w:rsid w:val="001837D1"/>
    <w:rsid w:val="001837D2"/>
    <w:rsid w:val="00183806"/>
    <w:rsid w:val="00183867"/>
    <w:rsid w:val="00183895"/>
    <w:rsid w:val="001838B1"/>
    <w:rsid w:val="001838CE"/>
    <w:rsid w:val="0018399B"/>
    <w:rsid w:val="001839B6"/>
    <w:rsid w:val="001839E2"/>
    <w:rsid w:val="00183A37"/>
    <w:rsid w:val="00183A78"/>
    <w:rsid w:val="00183ABE"/>
    <w:rsid w:val="00183AD2"/>
    <w:rsid w:val="00183AEE"/>
    <w:rsid w:val="00183B14"/>
    <w:rsid w:val="00183B31"/>
    <w:rsid w:val="00183B66"/>
    <w:rsid w:val="00183B83"/>
    <w:rsid w:val="00183BF1"/>
    <w:rsid w:val="00183C26"/>
    <w:rsid w:val="00183CB1"/>
    <w:rsid w:val="00183CB8"/>
    <w:rsid w:val="00183CED"/>
    <w:rsid w:val="00183CFA"/>
    <w:rsid w:val="00183D39"/>
    <w:rsid w:val="00183DAB"/>
    <w:rsid w:val="00183DD1"/>
    <w:rsid w:val="00183E12"/>
    <w:rsid w:val="00183E23"/>
    <w:rsid w:val="00183E5C"/>
    <w:rsid w:val="00183F33"/>
    <w:rsid w:val="00183F52"/>
    <w:rsid w:val="00183F56"/>
    <w:rsid w:val="00183F6B"/>
    <w:rsid w:val="00183F74"/>
    <w:rsid w:val="00183FBC"/>
    <w:rsid w:val="00183FC8"/>
    <w:rsid w:val="00183FDB"/>
    <w:rsid w:val="00184044"/>
    <w:rsid w:val="0018407D"/>
    <w:rsid w:val="0018409B"/>
    <w:rsid w:val="001840D3"/>
    <w:rsid w:val="001840E6"/>
    <w:rsid w:val="00184135"/>
    <w:rsid w:val="00184161"/>
    <w:rsid w:val="001841B1"/>
    <w:rsid w:val="001841C5"/>
    <w:rsid w:val="001841D3"/>
    <w:rsid w:val="001841E1"/>
    <w:rsid w:val="00184236"/>
    <w:rsid w:val="0018424E"/>
    <w:rsid w:val="00184256"/>
    <w:rsid w:val="0018426E"/>
    <w:rsid w:val="001842B5"/>
    <w:rsid w:val="00184318"/>
    <w:rsid w:val="0018432C"/>
    <w:rsid w:val="00184348"/>
    <w:rsid w:val="00184349"/>
    <w:rsid w:val="0018436D"/>
    <w:rsid w:val="00184399"/>
    <w:rsid w:val="0018439D"/>
    <w:rsid w:val="0018442C"/>
    <w:rsid w:val="00184445"/>
    <w:rsid w:val="0018445B"/>
    <w:rsid w:val="00184499"/>
    <w:rsid w:val="001844FD"/>
    <w:rsid w:val="00184506"/>
    <w:rsid w:val="00184536"/>
    <w:rsid w:val="00184579"/>
    <w:rsid w:val="00184589"/>
    <w:rsid w:val="001845C7"/>
    <w:rsid w:val="001845E4"/>
    <w:rsid w:val="00184600"/>
    <w:rsid w:val="00184650"/>
    <w:rsid w:val="0018469C"/>
    <w:rsid w:val="001846E8"/>
    <w:rsid w:val="001846FF"/>
    <w:rsid w:val="0018473F"/>
    <w:rsid w:val="00184741"/>
    <w:rsid w:val="00184813"/>
    <w:rsid w:val="0018482D"/>
    <w:rsid w:val="001848A7"/>
    <w:rsid w:val="0018490E"/>
    <w:rsid w:val="00184954"/>
    <w:rsid w:val="0018497A"/>
    <w:rsid w:val="0018498F"/>
    <w:rsid w:val="00184993"/>
    <w:rsid w:val="001849AF"/>
    <w:rsid w:val="001849BF"/>
    <w:rsid w:val="001849C7"/>
    <w:rsid w:val="00184A2B"/>
    <w:rsid w:val="00184A54"/>
    <w:rsid w:val="00184B54"/>
    <w:rsid w:val="00184B6D"/>
    <w:rsid w:val="00184BB1"/>
    <w:rsid w:val="00184C26"/>
    <w:rsid w:val="00184C54"/>
    <w:rsid w:val="00184C95"/>
    <w:rsid w:val="00184CB0"/>
    <w:rsid w:val="00184CC2"/>
    <w:rsid w:val="00184CF2"/>
    <w:rsid w:val="00184D01"/>
    <w:rsid w:val="00184D16"/>
    <w:rsid w:val="00184D29"/>
    <w:rsid w:val="00184D43"/>
    <w:rsid w:val="00184D5D"/>
    <w:rsid w:val="00184D6C"/>
    <w:rsid w:val="00184D7B"/>
    <w:rsid w:val="00184D88"/>
    <w:rsid w:val="00184DA0"/>
    <w:rsid w:val="00184DD4"/>
    <w:rsid w:val="00184EDD"/>
    <w:rsid w:val="00184EE3"/>
    <w:rsid w:val="00184EFF"/>
    <w:rsid w:val="00184F25"/>
    <w:rsid w:val="00184F3B"/>
    <w:rsid w:val="00184F69"/>
    <w:rsid w:val="00184FA0"/>
    <w:rsid w:val="00184FD3"/>
    <w:rsid w:val="001850A2"/>
    <w:rsid w:val="001850D8"/>
    <w:rsid w:val="00185141"/>
    <w:rsid w:val="00185145"/>
    <w:rsid w:val="001851E7"/>
    <w:rsid w:val="00185229"/>
    <w:rsid w:val="0018523C"/>
    <w:rsid w:val="00185369"/>
    <w:rsid w:val="00185377"/>
    <w:rsid w:val="00185398"/>
    <w:rsid w:val="0018541A"/>
    <w:rsid w:val="00185478"/>
    <w:rsid w:val="001854B0"/>
    <w:rsid w:val="001854B1"/>
    <w:rsid w:val="001854B7"/>
    <w:rsid w:val="00185548"/>
    <w:rsid w:val="00185582"/>
    <w:rsid w:val="00185590"/>
    <w:rsid w:val="00185630"/>
    <w:rsid w:val="0018569F"/>
    <w:rsid w:val="00185730"/>
    <w:rsid w:val="00185743"/>
    <w:rsid w:val="00185752"/>
    <w:rsid w:val="00185756"/>
    <w:rsid w:val="00185780"/>
    <w:rsid w:val="0018578C"/>
    <w:rsid w:val="001857F4"/>
    <w:rsid w:val="001857F7"/>
    <w:rsid w:val="00185813"/>
    <w:rsid w:val="0018582D"/>
    <w:rsid w:val="001858C9"/>
    <w:rsid w:val="001858D7"/>
    <w:rsid w:val="00185970"/>
    <w:rsid w:val="00185977"/>
    <w:rsid w:val="00185996"/>
    <w:rsid w:val="001859A6"/>
    <w:rsid w:val="001859DC"/>
    <w:rsid w:val="001859FD"/>
    <w:rsid w:val="00185A64"/>
    <w:rsid w:val="00185B13"/>
    <w:rsid w:val="00185B18"/>
    <w:rsid w:val="00185B9E"/>
    <w:rsid w:val="00185C14"/>
    <w:rsid w:val="00185C57"/>
    <w:rsid w:val="00185C7D"/>
    <w:rsid w:val="00185D09"/>
    <w:rsid w:val="00185D1E"/>
    <w:rsid w:val="00185D89"/>
    <w:rsid w:val="00185DA4"/>
    <w:rsid w:val="00185DA9"/>
    <w:rsid w:val="00185DE2"/>
    <w:rsid w:val="00185DF8"/>
    <w:rsid w:val="00185E80"/>
    <w:rsid w:val="00185EA3"/>
    <w:rsid w:val="00185EA4"/>
    <w:rsid w:val="00185EAE"/>
    <w:rsid w:val="00185EB3"/>
    <w:rsid w:val="00185F19"/>
    <w:rsid w:val="00185F50"/>
    <w:rsid w:val="00185F52"/>
    <w:rsid w:val="00185F66"/>
    <w:rsid w:val="00185F8B"/>
    <w:rsid w:val="00185F9C"/>
    <w:rsid w:val="00185FB0"/>
    <w:rsid w:val="00185FC0"/>
    <w:rsid w:val="00186012"/>
    <w:rsid w:val="00186070"/>
    <w:rsid w:val="001860AD"/>
    <w:rsid w:val="001860B3"/>
    <w:rsid w:val="001860B8"/>
    <w:rsid w:val="001860D0"/>
    <w:rsid w:val="001860F5"/>
    <w:rsid w:val="001861C6"/>
    <w:rsid w:val="001861D2"/>
    <w:rsid w:val="001861E7"/>
    <w:rsid w:val="001861F3"/>
    <w:rsid w:val="00186239"/>
    <w:rsid w:val="00186248"/>
    <w:rsid w:val="00186270"/>
    <w:rsid w:val="00186291"/>
    <w:rsid w:val="001862DC"/>
    <w:rsid w:val="00186311"/>
    <w:rsid w:val="00186338"/>
    <w:rsid w:val="0018638C"/>
    <w:rsid w:val="001863C6"/>
    <w:rsid w:val="00186424"/>
    <w:rsid w:val="00186482"/>
    <w:rsid w:val="00186487"/>
    <w:rsid w:val="001864CA"/>
    <w:rsid w:val="001864EE"/>
    <w:rsid w:val="0018650B"/>
    <w:rsid w:val="00186576"/>
    <w:rsid w:val="0018665D"/>
    <w:rsid w:val="0018665F"/>
    <w:rsid w:val="00186664"/>
    <w:rsid w:val="00186681"/>
    <w:rsid w:val="001866E7"/>
    <w:rsid w:val="001866FC"/>
    <w:rsid w:val="00186726"/>
    <w:rsid w:val="0018677E"/>
    <w:rsid w:val="00186866"/>
    <w:rsid w:val="0018687D"/>
    <w:rsid w:val="00186916"/>
    <w:rsid w:val="00186941"/>
    <w:rsid w:val="0018695E"/>
    <w:rsid w:val="00186A06"/>
    <w:rsid w:val="00186AD7"/>
    <w:rsid w:val="00186B37"/>
    <w:rsid w:val="00186B5C"/>
    <w:rsid w:val="00186B67"/>
    <w:rsid w:val="00186BA5"/>
    <w:rsid w:val="00186BA7"/>
    <w:rsid w:val="00186BCB"/>
    <w:rsid w:val="00186C36"/>
    <w:rsid w:val="00186C47"/>
    <w:rsid w:val="00186CEA"/>
    <w:rsid w:val="00186CFE"/>
    <w:rsid w:val="00186D07"/>
    <w:rsid w:val="00186D26"/>
    <w:rsid w:val="00186D5B"/>
    <w:rsid w:val="00186D9A"/>
    <w:rsid w:val="00186DAA"/>
    <w:rsid w:val="00186DC9"/>
    <w:rsid w:val="00186DD2"/>
    <w:rsid w:val="00186E02"/>
    <w:rsid w:val="00186E5A"/>
    <w:rsid w:val="00186E6A"/>
    <w:rsid w:val="00186E7A"/>
    <w:rsid w:val="00186E7E"/>
    <w:rsid w:val="00186EDE"/>
    <w:rsid w:val="00186EE1"/>
    <w:rsid w:val="00186F48"/>
    <w:rsid w:val="00186F4E"/>
    <w:rsid w:val="00186F7D"/>
    <w:rsid w:val="0018703E"/>
    <w:rsid w:val="00187081"/>
    <w:rsid w:val="001870AA"/>
    <w:rsid w:val="001870DB"/>
    <w:rsid w:val="00187129"/>
    <w:rsid w:val="00187134"/>
    <w:rsid w:val="00187189"/>
    <w:rsid w:val="00187197"/>
    <w:rsid w:val="001871B2"/>
    <w:rsid w:val="00187237"/>
    <w:rsid w:val="001872CA"/>
    <w:rsid w:val="001872EF"/>
    <w:rsid w:val="001872FA"/>
    <w:rsid w:val="0018731D"/>
    <w:rsid w:val="0018738A"/>
    <w:rsid w:val="0018739B"/>
    <w:rsid w:val="0018747E"/>
    <w:rsid w:val="001874B1"/>
    <w:rsid w:val="001874D5"/>
    <w:rsid w:val="00187508"/>
    <w:rsid w:val="0018756B"/>
    <w:rsid w:val="0018756F"/>
    <w:rsid w:val="0018758B"/>
    <w:rsid w:val="0018759C"/>
    <w:rsid w:val="001875BB"/>
    <w:rsid w:val="001875BC"/>
    <w:rsid w:val="00187629"/>
    <w:rsid w:val="001876A9"/>
    <w:rsid w:val="001876B7"/>
    <w:rsid w:val="001876C1"/>
    <w:rsid w:val="00187782"/>
    <w:rsid w:val="001877F2"/>
    <w:rsid w:val="0018783C"/>
    <w:rsid w:val="0018784B"/>
    <w:rsid w:val="00187878"/>
    <w:rsid w:val="001878A8"/>
    <w:rsid w:val="001878BC"/>
    <w:rsid w:val="001878E8"/>
    <w:rsid w:val="00187902"/>
    <w:rsid w:val="00187932"/>
    <w:rsid w:val="00187933"/>
    <w:rsid w:val="0018798D"/>
    <w:rsid w:val="00187A62"/>
    <w:rsid w:val="00187A64"/>
    <w:rsid w:val="00187A65"/>
    <w:rsid w:val="00187AB4"/>
    <w:rsid w:val="00187AF3"/>
    <w:rsid w:val="00187B0A"/>
    <w:rsid w:val="00187BD7"/>
    <w:rsid w:val="00187CCC"/>
    <w:rsid w:val="00187CF3"/>
    <w:rsid w:val="00187D18"/>
    <w:rsid w:val="00187D68"/>
    <w:rsid w:val="00187DC3"/>
    <w:rsid w:val="00187E26"/>
    <w:rsid w:val="00187E3C"/>
    <w:rsid w:val="00187E4A"/>
    <w:rsid w:val="00187EB1"/>
    <w:rsid w:val="00187EBB"/>
    <w:rsid w:val="00187EBD"/>
    <w:rsid w:val="00187ED4"/>
    <w:rsid w:val="00187ED5"/>
    <w:rsid w:val="00187EF8"/>
    <w:rsid w:val="00187F28"/>
    <w:rsid w:val="00187F34"/>
    <w:rsid w:val="00187F44"/>
    <w:rsid w:val="00187F51"/>
    <w:rsid w:val="00187FBD"/>
    <w:rsid w:val="00187FDD"/>
    <w:rsid w:val="00187FFA"/>
    <w:rsid w:val="0018902B"/>
    <w:rsid w:val="0019003A"/>
    <w:rsid w:val="00190091"/>
    <w:rsid w:val="0019009D"/>
    <w:rsid w:val="001900C0"/>
    <w:rsid w:val="001900D6"/>
    <w:rsid w:val="001900EF"/>
    <w:rsid w:val="00190153"/>
    <w:rsid w:val="0019015D"/>
    <w:rsid w:val="00190187"/>
    <w:rsid w:val="001901B5"/>
    <w:rsid w:val="001901B7"/>
    <w:rsid w:val="001901BF"/>
    <w:rsid w:val="001901E5"/>
    <w:rsid w:val="0019022E"/>
    <w:rsid w:val="00190256"/>
    <w:rsid w:val="00190284"/>
    <w:rsid w:val="001902D4"/>
    <w:rsid w:val="00190327"/>
    <w:rsid w:val="0019033F"/>
    <w:rsid w:val="00190351"/>
    <w:rsid w:val="00190354"/>
    <w:rsid w:val="00190374"/>
    <w:rsid w:val="001903A5"/>
    <w:rsid w:val="001903A7"/>
    <w:rsid w:val="001903BE"/>
    <w:rsid w:val="00190449"/>
    <w:rsid w:val="001904F5"/>
    <w:rsid w:val="00190501"/>
    <w:rsid w:val="00190527"/>
    <w:rsid w:val="0019053F"/>
    <w:rsid w:val="00190608"/>
    <w:rsid w:val="00190623"/>
    <w:rsid w:val="0019064C"/>
    <w:rsid w:val="0019068A"/>
    <w:rsid w:val="00190696"/>
    <w:rsid w:val="001906BA"/>
    <w:rsid w:val="001906DD"/>
    <w:rsid w:val="00190718"/>
    <w:rsid w:val="00190723"/>
    <w:rsid w:val="0019072E"/>
    <w:rsid w:val="001907D6"/>
    <w:rsid w:val="0019081A"/>
    <w:rsid w:val="0019083E"/>
    <w:rsid w:val="00190895"/>
    <w:rsid w:val="001908C1"/>
    <w:rsid w:val="001908CF"/>
    <w:rsid w:val="001908DF"/>
    <w:rsid w:val="001908F9"/>
    <w:rsid w:val="00190972"/>
    <w:rsid w:val="00190A17"/>
    <w:rsid w:val="00190A30"/>
    <w:rsid w:val="00190A5B"/>
    <w:rsid w:val="00190A5E"/>
    <w:rsid w:val="00190A77"/>
    <w:rsid w:val="00190ADF"/>
    <w:rsid w:val="00190AF8"/>
    <w:rsid w:val="00190B08"/>
    <w:rsid w:val="00190B1C"/>
    <w:rsid w:val="00190B67"/>
    <w:rsid w:val="00190B82"/>
    <w:rsid w:val="00190C64"/>
    <w:rsid w:val="00190C6A"/>
    <w:rsid w:val="00190D1A"/>
    <w:rsid w:val="00190D24"/>
    <w:rsid w:val="00190D63"/>
    <w:rsid w:val="00190DA6"/>
    <w:rsid w:val="00190DC8"/>
    <w:rsid w:val="00190E28"/>
    <w:rsid w:val="00190E30"/>
    <w:rsid w:val="00190E94"/>
    <w:rsid w:val="00190EA6"/>
    <w:rsid w:val="00190EBE"/>
    <w:rsid w:val="00190EBF"/>
    <w:rsid w:val="00190F0C"/>
    <w:rsid w:val="00190F65"/>
    <w:rsid w:val="00190F88"/>
    <w:rsid w:val="00190FD0"/>
    <w:rsid w:val="00190FD2"/>
    <w:rsid w:val="00191055"/>
    <w:rsid w:val="0019107A"/>
    <w:rsid w:val="001910E2"/>
    <w:rsid w:val="001910F1"/>
    <w:rsid w:val="00191146"/>
    <w:rsid w:val="0019116B"/>
    <w:rsid w:val="00191183"/>
    <w:rsid w:val="001911D9"/>
    <w:rsid w:val="00191202"/>
    <w:rsid w:val="00191235"/>
    <w:rsid w:val="001912BB"/>
    <w:rsid w:val="001912CA"/>
    <w:rsid w:val="001912EC"/>
    <w:rsid w:val="0019133F"/>
    <w:rsid w:val="0019139E"/>
    <w:rsid w:val="001913E4"/>
    <w:rsid w:val="0019146D"/>
    <w:rsid w:val="0019148B"/>
    <w:rsid w:val="001915BA"/>
    <w:rsid w:val="00191626"/>
    <w:rsid w:val="0019162E"/>
    <w:rsid w:val="00191653"/>
    <w:rsid w:val="0019166E"/>
    <w:rsid w:val="0019166F"/>
    <w:rsid w:val="001916B6"/>
    <w:rsid w:val="001916BA"/>
    <w:rsid w:val="001916D4"/>
    <w:rsid w:val="001916F6"/>
    <w:rsid w:val="0019170C"/>
    <w:rsid w:val="00191785"/>
    <w:rsid w:val="0019179E"/>
    <w:rsid w:val="001917D6"/>
    <w:rsid w:val="001917ED"/>
    <w:rsid w:val="00191830"/>
    <w:rsid w:val="0019187E"/>
    <w:rsid w:val="0019188C"/>
    <w:rsid w:val="001918AB"/>
    <w:rsid w:val="00191914"/>
    <w:rsid w:val="00191919"/>
    <w:rsid w:val="00191961"/>
    <w:rsid w:val="001919C3"/>
    <w:rsid w:val="001919E7"/>
    <w:rsid w:val="001919FC"/>
    <w:rsid w:val="00191A36"/>
    <w:rsid w:val="00191A44"/>
    <w:rsid w:val="00191A89"/>
    <w:rsid w:val="00191A9A"/>
    <w:rsid w:val="00191AE4"/>
    <w:rsid w:val="00191B3B"/>
    <w:rsid w:val="00191B51"/>
    <w:rsid w:val="00191B58"/>
    <w:rsid w:val="00191B8A"/>
    <w:rsid w:val="00191BD3"/>
    <w:rsid w:val="00191C06"/>
    <w:rsid w:val="00191C0E"/>
    <w:rsid w:val="00191C0F"/>
    <w:rsid w:val="00191C11"/>
    <w:rsid w:val="00191C1A"/>
    <w:rsid w:val="00191C81"/>
    <w:rsid w:val="00191D4B"/>
    <w:rsid w:val="00191D65"/>
    <w:rsid w:val="00191D71"/>
    <w:rsid w:val="00191DCD"/>
    <w:rsid w:val="00191DF9"/>
    <w:rsid w:val="00191E65"/>
    <w:rsid w:val="00191E87"/>
    <w:rsid w:val="00191F03"/>
    <w:rsid w:val="00191F31"/>
    <w:rsid w:val="00191F3B"/>
    <w:rsid w:val="00191FCB"/>
    <w:rsid w:val="00191FF0"/>
    <w:rsid w:val="0019205C"/>
    <w:rsid w:val="00192061"/>
    <w:rsid w:val="00192078"/>
    <w:rsid w:val="0019207D"/>
    <w:rsid w:val="001920C2"/>
    <w:rsid w:val="001920C9"/>
    <w:rsid w:val="001920F8"/>
    <w:rsid w:val="00192112"/>
    <w:rsid w:val="0019214B"/>
    <w:rsid w:val="00192188"/>
    <w:rsid w:val="00192256"/>
    <w:rsid w:val="00192278"/>
    <w:rsid w:val="0019229A"/>
    <w:rsid w:val="0019229C"/>
    <w:rsid w:val="001922CE"/>
    <w:rsid w:val="001922D8"/>
    <w:rsid w:val="0019231D"/>
    <w:rsid w:val="0019233D"/>
    <w:rsid w:val="001923B1"/>
    <w:rsid w:val="001923F0"/>
    <w:rsid w:val="00192486"/>
    <w:rsid w:val="001924A8"/>
    <w:rsid w:val="001924B9"/>
    <w:rsid w:val="00192504"/>
    <w:rsid w:val="00192557"/>
    <w:rsid w:val="001925E8"/>
    <w:rsid w:val="001925EF"/>
    <w:rsid w:val="00192622"/>
    <w:rsid w:val="00192641"/>
    <w:rsid w:val="0019264D"/>
    <w:rsid w:val="00192677"/>
    <w:rsid w:val="001926A6"/>
    <w:rsid w:val="001926E4"/>
    <w:rsid w:val="001926FB"/>
    <w:rsid w:val="00192732"/>
    <w:rsid w:val="0019276A"/>
    <w:rsid w:val="00192786"/>
    <w:rsid w:val="00192793"/>
    <w:rsid w:val="001927B8"/>
    <w:rsid w:val="001927BA"/>
    <w:rsid w:val="001927BE"/>
    <w:rsid w:val="00192844"/>
    <w:rsid w:val="0019287C"/>
    <w:rsid w:val="001928A3"/>
    <w:rsid w:val="001928BA"/>
    <w:rsid w:val="001928CD"/>
    <w:rsid w:val="0019290B"/>
    <w:rsid w:val="00192990"/>
    <w:rsid w:val="001929B0"/>
    <w:rsid w:val="001929B7"/>
    <w:rsid w:val="00192A60"/>
    <w:rsid w:val="00192A6B"/>
    <w:rsid w:val="00192A7B"/>
    <w:rsid w:val="00192AF1"/>
    <w:rsid w:val="00192AFC"/>
    <w:rsid w:val="00192B0F"/>
    <w:rsid w:val="00192B32"/>
    <w:rsid w:val="00192B36"/>
    <w:rsid w:val="00192BA3"/>
    <w:rsid w:val="00192BA5"/>
    <w:rsid w:val="00192BAC"/>
    <w:rsid w:val="00192C55"/>
    <w:rsid w:val="00192C89"/>
    <w:rsid w:val="00192D39"/>
    <w:rsid w:val="00192D7D"/>
    <w:rsid w:val="00192DBE"/>
    <w:rsid w:val="00192DD4"/>
    <w:rsid w:val="00192E54"/>
    <w:rsid w:val="00192E64"/>
    <w:rsid w:val="00192E7A"/>
    <w:rsid w:val="00192E95"/>
    <w:rsid w:val="00192E98"/>
    <w:rsid w:val="00192E9E"/>
    <w:rsid w:val="00192F95"/>
    <w:rsid w:val="00192FC4"/>
    <w:rsid w:val="001930D3"/>
    <w:rsid w:val="001930DA"/>
    <w:rsid w:val="00193113"/>
    <w:rsid w:val="0019315E"/>
    <w:rsid w:val="001931B6"/>
    <w:rsid w:val="001931CF"/>
    <w:rsid w:val="00193260"/>
    <w:rsid w:val="00193306"/>
    <w:rsid w:val="0019334C"/>
    <w:rsid w:val="00193357"/>
    <w:rsid w:val="001933A4"/>
    <w:rsid w:val="001933CC"/>
    <w:rsid w:val="001933EC"/>
    <w:rsid w:val="00193445"/>
    <w:rsid w:val="0019348A"/>
    <w:rsid w:val="001934A5"/>
    <w:rsid w:val="001934B4"/>
    <w:rsid w:val="001934D6"/>
    <w:rsid w:val="001934DB"/>
    <w:rsid w:val="0019353E"/>
    <w:rsid w:val="001935FA"/>
    <w:rsid w:val="00193617"/>
    <w:rsid w:val="00193627"/>
    <w:rsid w:val="0019362D"/>
    <w:rsid w:val="0019364A"/>
    <w:rsid w:val="0019367C"/>
    <w:rsid w:val="001936A3"/>
    <w:rsid w:val="00193709"/>
    <w:rsid w:val="001937AE"/>
    <w:rsid w:val="00193849"/>
    <w:rsid w:val="0019387C"/>
    <w:rsid w:val="00193883"/>
    <w:rsid w:val="0019392C"/>
    <w:rsid w:val="0019392F"/>
    <w:rsid w:val="0019393D"/>
    <w:rsid w:val="00193979"/>
    <w:rsid w:val="001939B0"/>
    <w:rsid w:val="001939B5"/>
    <w:rsid w:val="001939BF"/>
    <w:rsid w:val="001939C7"/>
    <w:rsid w:val="001939CF"/>
    <w:rsid w:val="00193A47"/>
    <w:rsid w:val="00193AC9"/>
    <w:rsid w:val="00193ACF"/>
    <w:rsid w:val="00193AE9"/>
    <w:rsid w:val="00193B31"/>
    <w:rsid w:val="00193B7E"/>
    <w:rsid w:val="00193BC6"/>
    <w:rsid w:val="00193C25"/>
    <w:rsid w:val="00193C47"/>
    <w:rsid w:val="00193C4A"/>
    <w:rsid w:val="00193C52"/>
    <w:rsid w:val="00193C7D"/>
    <w:rsid w:val="00193C8B"/>
    <w:rsid w:val="00193CA0"/>
    <w:rsid w:val="00193CB5"/>
    <w:rsid w:val="00193CD4"/>
    <w:rsid w:val="00193CED"/>
    <w:rsid w:val="00193CFD"/>
    <w:rsid w:val="00193D18"/>
    <w:rsid w:val="00193D64"/>
    <w:rsid w:val="00193D68"/>
    <w:rsid w:val="00193D81"/>
    <w:rsid w:val="00193DFC"/>
    <w:rsid w:val="00193E10"/>
    <w:rsid w:val="00193E13"/>
    <w:rsid w:val="00193E30"/>
    <w:rsid w:val="00193E65"/>
    <w:rsid w:val="00193E70"/>
    <w:rsid w:val="00193EB5"/>
    <w:rsid w:val="00193EDF"/>
    <w:rsid w:val="00193F5C"/>
    <w:rsid w:val="00193FA8"/>
    <w:rsid w:val="00193FAE"/>
    <w:rsid w:val="00193FE1"/>
    <w:rsid w:val="00194001"/>
    <w:rsid w:val="0019400A"/>
    <w:rsid w:val="0019408A"/>
    <w:rsid w:val="001940AD"/>
    <w:rsid w:val="001940C1"/>
    <w:rsid w:val="001940FD"/>
    <w:rsid w:val="0019413D"/>
    <w:rsid w:val="00194165"/>
    <w:rsid w:val="00194167"/>
    <w:rsid w:val="00194189"/>
    <w:rsid w:val="001941AF"/>
    <w:rsid w:val="001941B9"/>
    <w:rsid w:val="001941DB"/>
    <w:rsid w:val="001941F9"/>
    <w:rsid w:val="00194201"/>
    <w:rsid w:val="0019420E"/>
    <w:rsid w:val="0019423F"/>
    <w:rsid w:val="00194293"/>
    <w:rsid w:val="001942CB"/>
    <w:rsid w:val="001942DE"/>
    <w:rsid w:val="00194333"/>
    <w:rsid w:val="0019434C"/>
    <w:rsid w:val="00194355"/>
    <w:rsid w:val="0019435D"/>
    <w:rsid w:val="00194396"/>
    <w:rsid w:val="001943FC"/>
    <w:rsid w:val="0019443E"/>
    <w:rsid w:val="001944A6"/>
    <w:rsid w:val="001944DE"/>
    <w:rsid w:val="001944FC"/>
    <w:rsid w:val="001945CE"/>
    <w:rsid w:val="001945F2"/>
    <w:rsid w:val="00194676"/>
    <w:rsid w:val="001946C1"/>
    <w:rsid w:val="00194723"/>
    <w:rsid w:val="00194772"/>
    <w:rsid w:val="00194773"/>
    <w:rsid w:val="001947A6"/>
    <w:rsid w:val="001947CD"/>
    <w:rsid w:val="001947D1"/>
    <w:rsid w:val="0019482B"/>
    <w:rsid w:val="00194835"/>
    <w:rsid w:val="00194866"/>
    <w:rsid w:val="00194872"/>
    <w:rsid w:val="00194876"/>
    <w:rsid w:val="001948CA"/>
    <w:rsid w:val="00194912"/>
    <w:rsid w:val="00194927"/>
    <w:rsid w:val="0019493C"/>
    <w:rsid w:val="00194972"/>
    <w:rsid w:val="00194988"/>
    <w:rsid w:val="0019498D"/>
    <w:rsid w:val="001949A4"/>
    <w:rsid w:val="00194A00"/>
    <w:rsid w:val="00194A11"/>
    <w:rsid w:val="00194A71"/>
    <w:rsid w:val="00194AA4"/>
    <w:rsid w:val="00194B8C"/>
    <w:rsid w:val="00194BD2"/>
    <w:rsid w:val="00194BE3"/>
    <w:rsid w:val="00194BF6"/>
    <w:rsid w:val="00194C0F"/>
    <w:rsid w:val="00194CC5"/>
    <w:rsid w:val="00194CC6"/>
    <w:rsid w:val="00194CCA"/>
    <w:rsid w:val="00194CD4"/>
    <w:rsid w:val="00194D22"/>
    <w:rsid w:val="00194D23"/>
    <w:rsid w:val="00194D80"/>
    <w:rsid w:val="00194D9E"/>
    <w:rsid w:val="00194DEF"/>
    <w:rsid w:val="00194DF0"/>
    <w:rsid w:val="00194DFD"/>
    <w:rsid w:val="00194E03"/>
    <w:rsid w:val="00194E83"/>
    <w:rsid w:val="00194EF3"/>
    <w:rsid w:val="00194EF7"/>
    <w:rsid w:val="00194F15"/>
    <w:rsid w:val="00194F21"/>
    <w:rsid w:val="00194F29"/>
    <w:rsid w:val="00194F34"/>
    <w:rsid w:val="00194F7E"/>
    <w:rsid w:val="00194F86"/>
    <w:rsid w:val="00194FF0"/>
    <w:rsid w:val="00194FFA"/>
    <w:rsid w:val="00195000"/>
    <w:rsid w:val="00195033"/>
    <w:rsid w:val="00195053"/>
    <w:rsid w:val="00195093"/>
    <w:rsid w:val="001950E3"/>
    <w:rsid w:val="0019512D"/>
    <w:rsid w:val="0019512F"/>
    <w:rsid w:val="00195147"/>
    <w:rsid w:val="001951BD"/>
    <w:rsid w:val="00195235"/>
    <w:rsid w:val="0019526B"/>
    <w:rsid w:val="0019526F"/>
    <w:rsid w:val="0019528C"/>
    <w:rsid w:val="001952B8"/>
    <w:rsid w:val="001952D1"/>
    <w:rsid w:val="00195315"/>
    <w:rsid w:val="0019533F"/>
    <w:rsid w:val="0019536E"/>
    <w:rsid w:val="001953BA"/>
    <w:rsid w:val="001953BD"/>
    <w:rsid w:val="001953C5"/>
    <w:rsid w:val="001953EC"/>
    <w:rsid w:val="0019540C"/>
    <w:rsid w:val="00195418"/>
    <w:rsid w:val="001954C2"/>
    <w:rsid w:val="001954E5"/>
    <w:rsid w:val="001954F2"/>
    <w:rsid w:val="00195539"/>
    <w:rsid w:val="0019555D"/>
    <w:rsid w:val="0019556A"/>
    <w:rsid w:val="001955E8"/>
    <w:rsid w:val="00195650"/>
    <w:rsid w:val="00195675"/>
    <w:rsid w:val="001956A0"/>
    <w:rsid w:val="001956A3"/>
    <w:rsid w:val="001956B8"/>
    <w:rsid w:val="001956CD"/>
    <w:rsid w:val="001956EA"/>
    <w:rsid w:val="001956FF"/>
    <w:rsid w:val="00195708"/>
    <w:rsid w:val="00195756"/>
    <w:rsid w:val="00195787"/>
    <w:rsid w:val="001957AE"/>
    <w:rsid w:val="00195804"/>
    <w:rsid w:val="00195831"/>
    <w:rsid w:val="00195879"/>
    <w:rsid w:val="00195957"/>
    <w:rsid w:val="0019599B"/>
    <w:rsid w:val="001959B1"/>
    <w:rsid w:val="001959DB"/>
    <w:rsid w:val="001959EC"/>
    <w:rsid w:val="00195A22"/>
    <w:rsid w:val="00195AAA"/>
    <w:rsid w:val="00195B15"/>
    <w:rsid w:val="00195B84"/>
    <w:rsid w:val="00195C16"/>
    <w:rsid w:val="00195C20"/>
    <w:rsid w:val="00195C30"/>
    <w:rsid w:val="00195C38"/>
    <w:rsid w:val="00195C3E"/>
    <w:rsid w:val="00195C96"/>
    <w:rsid w:val="00195C9F"/>
    <w:rsid w:val="00195D56"/>
    <w:rsid w:val="00195D80"/>
    <w:rsid w:val="00195D82"/>
    <w:rsid w:val="00195DBB"/>
    <w:rsid w:val="00195DE3"/>
    <w:rsid w:val="00195E82"/>
    <w:rsid w:val="00195E84"/>
    <w:rsid w:val="00195EB9"/>
    <w:rsid w:val="00195F1B"/>
    <w:rsid w:val="00195F21"/>
    <w:rsid w:val="00195F9B"/>
    <w:rsid w:val="00195F9E"/>
    <w:rsid w:val="00195FE1"/>
    <w:rsid w:val="0019600F"/>
    <w:rsid w:val="00196012"/>
    <w:rsid w:val="00196015"/>
    <w:rsid w:val="0019601E"/>
    <w:rsid w:val="0019605E"/>
    <w:rsid w:val="001960E3"/>
    <w:rsid w:val="00196111"/>
    <w:rsid w:val="001961CB"/>
    <w:rsid w:val="00196201"/>
    <w:rsid w:val="00196208"/>
    <w:rsid w:val="00196262"/>
    <w:rsid w:val="00196282"/>
    <w:rsid w:val="001962D4"/>
    <w:rsid w:val="001962E9"/>
    <w:rsid w:val="001962ED"/>
    <w:rsid w:val="00196309"/>
    <w:rsid w:val="00196338"/>
    <w:rsid w:val="0019635F"/>
    <w:rsid w:val="001963DF"/>
    <w:rsid w:val="001963FA"/>
    <w:rsid w:val="00196408"/>
    <w:rsid w:val="00196420"/>
    <w:rsid w:val="00196440"/>
    <w:rsid w:val="0019645E"/>
    <w:rsid w:val="00196472"/>
    <w:rsid w:val="001964E4"/>
    <w:rsid w:val="00196502"/>
    <w:rsid w:val="0019655D"/>
    <w:rsid w:val="0019659E"/>
    <w:rsid w:val="001965E0"/>
    <w:rsid w:val="00196612"/>
    <w:rsid w:val="0019661D"/>
    <w:rsid w:val="00196650"/>
    <w:rsid w:val="00196681"/>
    <w:rsid w:val="001966BA"/>
    <w:rsid w:val="001966DD"/>
    <w:rsid w:val="0019678B"/>
    <w:rsid w:val="0019679B"/>
    <w:rsid w:val="001967FF"/>
    <w:rsid w:val="0019680D"/>
    <w:rsid w:val="0019685E"/>
    <w:rsid w:val="00196875"/>
    <w:rsid w:val="00196948"/>
    <w:rsid w:val="00196961"/>
    <w:rsid w:val="00196964"/>
    <w:rsid w:val="001969DA"/>
    <w:rsid w:val="001969E4"/>
    <w:rsid w:val="001969FD"/>
    <w:rsid w:val="00196A88"/>
    <w:rsid w:val="00196A9F"/>
    <w:rsid w:val="00196ACB"/>
    <w:rsid w:val="00196AF5"/>
    <w:rsid w:val="00196AFC"/>
    <w:rsid w:val="00196B39"/>
    <w:rsid w:val="00196B5A"/>
    <w:rsid w:val="00196B76"/>
    <w:rsid w:val="00196BD2"/>
    <w:rsid w:val="00196BDA"/>
    <w:rsid w:val="00196C08"/>
    <w:rsid w:val="00196C12"/>
    <w:rsid w:val="00196C95"/>
    <w:rsid w:val="00196CA5"/>
    <w:rsid w:val="00196CC5"/>
    <w:rsid w:val="00196CC7"/>
    <w:rsid w:val="00196D3F"/>
    <w:rsid w:val="00196D41"/>
    <w:rsid w:val="00196D68"/>
    <w:rsid w:val="00196D7D"/>
    <w:rsid w:val="00196DA0"/>
    <w:rsid w:val="00196DBA"/>
    <w:rsid w:val="00196DBC"/>
    <w:rsid w:val="00196DCD"/>
    <w:rsid w:val="00196DEC"/>
    <w:rsid w:val="00196E02"/>
    <w:rsid w:val="00196E2E"/>
    <w:rsid w:val="00196E39"/>
    <w:rsid w:val="00196E5A"/>
    <w:rsid w:val="00196EF0"/>
    <w:rsid w:val="00196EF7"/>
    <w:rsid w:val="00196F12"/>
    <w:rsid w:val="00196FC2"/>
    <w:rsid w:val="00197033"/>
    <w:rsid w:val="00197047"/>
    <w:rsid w:val="00197054"/>
    <w:rsid w:val="00197085"/>
    <w:rsid w:val="00197093"/>
    <w:rsid w:val="001970AA"/>
    <w:rsid w:val="001970AE"/>
    <w:rsid w:val="001970BE"/>
    <w:rsid w:val="001970EC"/>
    <w:rsid w:val="00197101"/>
    <w:rsid w:val="00197113"/>
    <w:rsid w:val="00197149"/>
    <w:rsid w:val="0019716E"/>
    <w:rsid w:val="00197198"/>
    <w:rsid w:val="001971C4"/>
    <w:rsid w:val="001971E9"/>
    <w:rsid w:val="00197208"/>
    <w:rsid w:val="0019720B"/>
    <w:rsid w:val="0019728E"/>
    <w:rsid w:val="001972DD"/>
    <w:rsid w:val="0019730F"/>
    <w:rsid w:val="00197336"/>
    <w:rsid w:val="00197354"/>
    <w:rsid w:val="00197386"/>
    <w:rsid w:val="0019739E"/>
    <w:rsid w:val="001973B2"/>
    <w:rsid w:val="001973DB"/>
    <w:rsid w:val="001973DD"/>
    <w:rsid w:val="001973EF"/>
    <w:rsid w:val="001973F8"/>
    <w:rsid w:val="0019744F"/>
    <w:rsid w:val="001974DB"/>
    <w:rsid w:val="0019750E"/>
    <w:rsid w:val="0019752C"/>
    <w:rsid w:val="00197567"/>
    <w:rsid w:val="001975D2"/>
    <w:rsid w:val="00197600"/>
    <w:rsid w:val="0019760D"/>
    <w:rsid w:val="0019762E"/>
    <w:rsid w:val="001976A9"/>
    <w:rsid w:val="001976CF"/>
    <w:rsid w:val="00197706"/>
    <w:rsid w:val="001977A3"/>
    <w:rsid w:val="001978B2"/>
    <w:rsid w:val="00197921"/>
    <w:rsid w:val="00197927"/>
    <w:rsid w:val="0019792F"/>
    <w:rsid w:val="0019795C"/>
    <w:rsid w:val="00197990"/>
    <w:rsid w:val="001979A4"/>
    <w:rsid w:val="00197A41"/>
    <w:rsid w:val="00197AA4"/>
    <w:rsid w:val="00197AAD"/>
    <w:rsid w:val="00197B03"/>
    <w:rsid w:val="00197B45"/>
    <w:rsid w:val="00197B56"/>
    <w:rsid w:val="00197B68"/>
    <w:rsid w:val="00197B75"/>
    <w:rsid w:val="00197BFE"/>
    <w:rsid w:val="00197C0D"/>
    <w:rsid w:val="00197C55"/>
    <w:rsid w:val="00197C56"/>
    <w:rsid w:val="00197C7F"/>
    <w:rsid w:val="00197CC9"/>
    <w:rsid w:val="00197CD4"/>
    <w:rsid w:val="00197D48"/>
    <w:rsid w:val="00197D8A"/>
    <w:rsid w:val="00197DB2"/>
    <w:rsid w:val="00197DFF"/>
    <w:rsid w:val="00197E14"/>
    <w:rsid w:val="00197E29"/>
    <w:rsid w:val="00197E30"/>
    <w:rsid w:val="00197E47"/>
    <w:rsid w:val="00197ECD"/>
    <w:rsid w:val="00197EE6"/>
    <w:rsid w:val="00197EF5"/>
    <w:rsid w:val="00197F1C"/>
    <w:rsid w:val="00197F27"/>
    <w:rsid w:val="00197F3C"/>
    <w:rsid w:val="00197F59"/>
    <w:rsid w:val="00197FEF"/>
    <w:rsid w:val="001A0015"/>
    <w:rsid w:val="001A001E"/>
    <w:rsid w:val="001A003A"/>
    <w:rsid w:val="001A0077"/>
    <w:rsid w:val="001A0099"/>
    <w:rsid w:val="001A00B1"/>
    <w:rsid w:val="001A00E3"/>
    <w:rsid w:val="001A0172"/>
    <w:rsid w:val="001A017E"/>
    <w:rsid w:val="001A019E"/>
    <w:rsid w:val="001A01AF"/>
    <w:rsid w:val="001A0248"/>
    <w:rsid w:val="001A025F"/>
    <w:rsid w:val="001A026D"/>
    <w:rsid w:val="001A02A6"/>
    <w:rsid w:val="001A02CA"/>
    <w:rsid w:val="001A02D1"/>
    <w:rsid w:val="001A0315"/>
    <w:rsid w:val="001A032B"/>
    <w:rsid w:val="001A0388"/>
    <w:rsid w:val="001A03D0"/>
    <w:rsid w:val="001A03EC"/>
    <w:rsid w:val="001A03FD"/>
    <w:rsid w:val="001A0454"/>
    <w:rsid w:val="001A04CB"/>
    <w:rsid w:val="001A04D6"/>
    <w:rsid w:val="001A04EE"/>
    <w:rsid w:val="001A04FC"/>
    <w:rsid w:val="001A058E"/>
    <w:rsid w:val="001A05B4"/>
    <w:rsid w:val="001A05CA"/>
    <w:rsid w:val="001A05F4"/>
    <w:rsid w:val="001A060A"/>
    <w:rsid w:val="001A060E"/>
    <w:rsid w:val="001A0626"/>
    <w:rsid w:val="001A06B5"/>
    <w:rsid w:val="001A06C6"/>
    <w:rsid w:val="001A0727"/>
    <w:rsid w:val="001A0768"/>
    <w:rsid w:val="001A0789"/>
    <w:rsid w:val="001A07C7"/>
    <w:rsid w:val="001A091E"/>
    <w:rsid w:val="001A094E"/>
    <w:rsid w:val="001A096A"/>
    <w:rsid w:val="001A096F"/>
    <w:rsid w:val="001A097D"/>
    <w:rsid w:val="001A09C3"/>
    <w:rsid w:val="001A09CA"/>
    <w:rsid w:val="001A0A21"/>
    <w:rsid w:val="001A0A2F"/>
    <w:rsid w:val="001A0A8B"/>
    <w:rsid w:val="001A0A98"/>
    <w:rsid w:val="001A0ACF"/>
    <w:rsid w:val="001A0B21"/>
    <w:rsid w:val="001A0B47"/>
    <w:rsid w:val="001A0BEB"/>
    <w:rsid w:val="001A0C6D"/>
    <w:rsid w:val="001A0C70"/>
    <w:rsid w:val="001A0C76"/>
    <w:rsid w:val="001A0C7B"/>
    <w:rsid w:val="001A0CA9"/>
    <w:rsid w:val="001A0CB7"/>
    <w:rsid w:val="001A0CD1"/>
    <w:rsid w:val="001A0CD8"/>
    <w:rsid w:val="001A0CFE"/>
    <w:rsid w:val="001A0D16"/>
    <w:rsid w:val="001A0D2C"/>
    <w:rsid w:val="001A0D39"/>
    <w:rsid w:val="001A0D64"/>
    <w:rsid w:val="001A0DCA"/>
    <w:rsid w:val="001A0E0F"/>
    <w:rsid w:val="001A0E1B"/>
    <w:rsid w:val="001A0E90"/>
    <w:rsid w:val="001A0EA5"/>
    <w:rsid w:val="001A0F28"/>
    <w:rsid w:val="001A0F35"/>
    <w:rsid w:val="001A0F5A"/>
    <w:rsid w:val="001A0F9B"/>
    <w:rsid w:val="001A0F9F"/>
    <w:rsid w:val="001A0FAA"/>
    <w:rsid w:val="001A0FB5"/>
    <w:rsid w:val="001A0FD7"/>
    <w:rsid w:val="001A0FF8"/>
    <w:rsid w:val="001A1018"/>
    <w:rsid w:val="001A1053"/>
    <w:rsid w:val="001A1068"/>
    <w:rsid w:val="001A10AE"/>
    <w:rsid w:val="001A10B0"/>
    <w:rsid w:val="001A10C0"/>
    <w:rsid w:val="001A10C5"/>
    <w:rsid w:val="001A10D5"/>
    <w:rsid w:val="001A10FD"/>
    <w:rsid w:val="001A110D"/>
    <w:rsid w:val="001A1112"/>
    <w:rsid w:val="001A111A"/>
    <w:rsid w:val="001A1140"/>
    <w:rsid w:val="001A11E6"/>
    <w:rsid w:val="001A1246"/>
    <w:rsid w:val="001A126B"/>
    <w:rsid w:val="001A1315"/>
    <w:rsid w:val="001A1326"/>
    <w:rsid w:val="001A141E"/>
    <w:rsid w:val="001A14BD"/>
    <w:rsid w:val="001A1534"/>
    <w:rsid w:val="001A1549"/>
    <w:rsid w:val="001A15EA"/>
    <w:rsid w:val="001A1627"/>
    <w:rsid w:val="001A1657"/>
    <w:rsid w:val="001A1675"/>
    <w:rsid w:val="001A16DC"/>
    <w:rsid w:val="001A176D"/>
    <w:rsid w:val="001A17B3"/>
    <w:rsid w:val="001A17C3"/>
    <w:rsid w:val="001A17FB"/>
    <w:rsid w:val="001A1839"/>
    <w:rsid w:val="001A188F"/>
    <w:rsid w:val="001A18DA"/>
    <w:rsid w:val="001A1937"/>
    <w:rsid w:val="001A196C"/>
    <w:rsid w:val="001A19EA"/>
    <w:rsid w:val="001A19EC"/>
    <w:rsid w:val="001A1A27"/>
    <w:rsid w:val="001A1A30"/>
    <w:rsid w:val="001A1A44"/>
    <w:rsid w:val="001A1A58"/>
    <w:rsid w:val="001A1A69"/>
    <w:rsid w:val="001A1A6F"/>
    <w:rsid w:val="001A1ABF"/>
    <w:rsid w:val="001A1B33"/>
    <w:rsid w:val="001A1B54"/>
    <w:rsid w:val="001A1B80"/>
    <w:rsid w:val="001A1B83"/>
    <w:rsid w:val="001A1BBB"/>
    <w:rsid w:val="001A1BE6"/>
    <w:rsid w:val="001A1BF5"/>
    <w:rsid w:val="001A1C00"/>
    <w:rsid w:val="001A1C63"/>
    <w:rsid w:val="001A1D37"/>
    <w:rsid w:val="001A1D61"/>
    <w:rsid w:val="001A1DE8"/>
    <w:rsid w:val="001A1E10"/>
    <w:rsid w:val="001A1E38"/>
    <w:rsid w:val="001A1E3B"/>
    <w:rsid w:val="001A1E3C"/>
    <w:rsid w:val="001A1E62"/>
    <w:rsid w:val="001A1F19"/>
    <w:rsid w:val="001A1F55"/>
    <w:rsid w:val="001A1F6A"/>
    <w:rsid w:val="001A2055"/>
    <w:rsid w:val="001A20C4"/>
    <w:rsid w:val="001A20CA"/>
    <w:rsid w:val="001A20E9"/>
    <w:rsid w:val="001A213A"/>
    <w:rsid w:val="001A21C9"/>
    <w:rsid w:val="001A21E7"/>
    <w:rsid w:val="001A2217"/>
    <w:rsid w:val="001A2247"/>
    <w:rsid w:val="001A2266"/>
    <w:rsid w:val="001A22BC"/>
    <w:rsid w:val="001A22F6"/>
    <w:rsid w:val="001A2304"/>
    <w:rsid w:val="001A235E"/>
    <w:rsid w:val="001A2397"/>
    <w:rsid w:val="001A23AE"/>
    <w:rsid w:val="001A23D1"/>
    <w:rsid w:val="001A23D4"/>
    <w:rsid w:val="001A23D9"/>
    <w:rsid w:val="001A2454"/>
    <w:rsid w:val="001A2486"/>
    <w:rsid w:val="001A24CE"/>
    <w:rsid w:val="001A24D9"/>
    <w:rsid w:val="001A255C"/>
    <w:rsid w:val="001A256C"/>
    <w:rsid w:val="001A2570"/>
    <w:rsid w:val="001A2592"/>
    <w:rsid w:val="001A25BA"/>
    <w:rsid w:val="001A25EA"/>
    <w:rsid w:val="001A2679"/>
    <w:rsid w:val="001A268B"/>
    <w:rsid w:val="001A26D2"/>
    <w:rsid w:val="001A270E"/>
    <w:rsid w:val="001A271C"/>
    <w:rsid w:val="001A277D"/>
    <w:rsid w:val="001A27F5"/>
    <w:rsid w:val="001A2867"/>
    <w:rsid w:val="001A2868"/>
    <w:rsid w:val="001A286A"/>
    <w:rsid w:val="001A286F"/>
    <w:rsid w:val="001A28B6"/>
    <w:rsid w:val="001A28DB"/>
    <w:rsid w:val="001A2996"/>
    <w:rsid w:val="001A29BE"/>
    <w:rsid w:val="001A29DD"/>
    <w:rsid w:val="001A2A05"/>
    <w:rsid w:val="001A2A2B"/>
    <w:rsid w:val="001A2A5F"/>
    <w:rsid w:val="001A2AB7"/>
    <w:rsid w:val="001A2AE3"/>
    <w:rsid w:val="001A2AE6"/>
    <w:rsid w:val="001A2B38"/>
    <w:rsid w:val="001A2B70"/>
    <w:rsid w:val="001A2BA0"/>
    <w:rsid w:val="001A2C12"/>
    <w:rsid w:val="001A2C63"/>
    <w:rsid w:val="001A2CE1"/>
    <w:rsid w:val="001A2D04"/>
    <w:rsid w:val="001A2D27"/>
    <w:rsid w:val="001A2E09"/>
    <w:rsid w:val="001A2E45"/>
    <w:rsid w:val="001A2E98"/>
    <w:rsid w:val="001A2EAA"/>
    <w:rsid w:val="001A2EEA"/>
    <w:rsid w:val="001A2F4A"/>
    <w:rsid w:val="001A2F55"/>
    <w:rsid w:val="001A2F88"/>
    <w:rsid w:val="001A2F9B"/>
    <w:rsid w:val="001A3029"/>
    <w:rsid w:val="001A309C"/>
    <w:rsid w:val="001A30A2"/>
    <w:rsid w:val="001A30EB"/>
    <w:rsid w:val="001A30FA"/>
    <w:rsid w:val="001A30FC"/>
    <w:rsid w:val="001A3177"/>
    <w:rsid w:val="001A31E4"/>
    <w:rsid w:val="001A3218"/>
    <w:rsid w:val="001A3254"/>
    <w:rsid w:val="001A326B"/>
    <w:rsid w:val="001A3281"/>
    <w:rsid w:val="001A3283"/>
    <w:rsid w:val="001A3285"/>
    <w:rsid w:val="001A32B3"/>
    <w:rsid w:val="001A32D3"/>
    <w:rsid w:val="001A3336"/>
    <w:rsid w:val="001A336C"/>
    <w:rsid w:val="001A3378"/>
    <w:rsid w:val="001A33FB"/>
    <w:rsid w:val="001A341F"/>
    <w:rsid w:val="001A3451"/>
    <w:rsid w:val="001A3487"/>
    <w:rsid w:val="001A34DE"/>
    <w:rsid w:val="001A34E6"/>
    <w:rsid w:val="001A34F7"/>
    <w:rsid w:val="001A3517"/>
    <w:rsid w:val="001A357C"/>
    <w:rsid w:val="001A3596"/>
    <w:rsid w:val="001A3598"/>
    <w:rsid w:val="001A35B1"/>
    <w:rsid w:val="001A35B6"/>
    <w:rsid w:val="001A3614"/>
    <w:rsid w:val="001A362A"/>
    <w:rsid w:val="001A3659"/>
    <w:rsid w:val="001A367C"/>
    <w:rsid w:val="001A36E1"/>
    <w:rsid w:val="001A3727"/>
    <w:rsid w:val="001A3758"/>
    <w:rsid w:val="001A37AC"/>
    <w:rsid w:val="001A3836"/>
    <w:rsid w:val="001A3850"/>
    <w:rsid w:val="001A3886"/>
    <w:rsid w:val="001A38C1"/>
    <w:rsid w:val="001A38E9"/>
    <w:rsid w:val="001A392E"/>
    <w:rsid w:val="001A3987"/>
    <w:rsid w:val="001A398C"/>
    <w:rsid w:val="001A39A9"/>
    <w:rsid w:val="001A39EC"/>
    <w:rsid w:val="001A3A10"/>
    <w:rsid w:val="001A3A12"/>
    <w:rsid w:val="001A3A43"/>
    <w:rsid w:val="001A3AD7"/>
    <w:rsid w:val="001A3AFA"/>
    <w:rsid w:val="001A3B4A"/>
    <w:rsid w:val="001A3C23"/>
    <w:rsid w:val="001A3C76"/>
    <w:rsid w:val="001A3C78"/>
    <w:rsid w:val="001A3C83"/>
    <w:rsid w:val="001A3C8D"/>
    <w:rsid w:val="001A3CAC"/>
    <w:rsid w:val="001A3CDE"/>
    <w:rsid w:val="001A3CF4"/>
    <w:rsid w:val="001A3D07"/>
    <w:rsid w:val="001A3D0A"/>
    <w:rsid w:val="001A3D14"/>
    <w:rsid w:val="001A3D19"/>
    <w:rsid w:val="001A3D44"/>
    <w:rsid w:val="001A3DDF"/>
    <w:rsid w:val="001A3E5C"/>
    <w:rsid w:val="001A3E99"/>
    <w:rsid w:val="001A3EC4"/>
    <w:rsid w:val="001A3F05"/>
    <w:rsid w:val="001A3F1C"/>
    <w:rsid w:val="001A3F4A"/>
    <w:rsid w:val="001A3F6B"/>
    <w:rsid w:val="001A403A"/>
    <w:rsid w:val="001A4046"/>
    <w:rsid w:val="001A404E"/>
    <w:rsid w:val="001A406A"/>
    <w:rsid w:val="001A40A4"/>
    <w:rsid w:val="001A40E4"/>
    <w:rsid w:val="001A40EC"/>
    <w:rsid w:val="001A4115"/>
    <w:rsid w:val="001A4157"/>
    <w:rsid w:val="001A4163"/>
    <w:rsid w:val="001A4173"/>
    <w:rsid w:val="001A4182"/>
    <w:rsid w:val="001A41A8"/>
    <w:rsid w:val="001A41B2"/>
    <w:rsid w:val="001A41F0"/>
    <w:rsid w:val="001A4209"/>
    <w:rsid w:val="001A423E"/>
    <w:rsid w:val="001A4257"/>
    <w:rsid w:val="001A4273"/>
    <w:rsid w:val="001A429B"/>
    <w:rsid w:val="001A42C5"/>
    <w:rsid w:val="001A430B"/>
    <w:rsid w:val="001A4369"/>
    <w:rsid w:val="001A43F2"/>
    <w:rsid w:val="001A441E"/>
    <w:rsid w:val="001A44A7"/>
    <w:rsid w:val="001A44CE"/>
    <w:rsid w:val="001A44F9"/>
    <w:rsid w:val="001A4534"/>
    <w:rsid w:val="001A45AB"/>
    <w:rsid w:val="001A45FA"/>
    <w:rsid w:val="001A4605"/>
    <w:rsid w:val="001A462C"/>
    <w:rsid w:val="001A465C"/>
    <w:rsid w:val="001A46C8"/>
    <w:rsid w:val="001A46D0"/>
    <w:rsid w:val="001A46EA"/>
    <w:rsid w:val="001A4754"/>
    <w:rsid w:val="001A476E"/>
    <w:rsid w:val="001A47AF"/>
    <w:rsid w:val="001A47FC"/>
    <w:rsid w:val="001A4805"/>
    <w:rsid w:val="001A4850"/>
    <w:rsid w:val="001A487B"/>
    <w:rsid w:val="001A4898"/>
    <w:rsid w:val="001A48D0"/>
    <w:rsid w:val="001A4909"/>
    <w:rsid w:val="001A4949"/>
    <w:rsid w:val="001A4A15"/>
    <w:rsid w:val="001A4A91"/>
    <w:rsid w:val="001A4AB4"/>
    <w:rsid w:val="001A4B09"/>
    <w:rsid w:val="001A4B2E"/>
    <w:rsid w:val="001A4B3B"/>
    <w:rsid w:val="001A4B46"/>
    <w:rsid w:val="001A4B68"/>
    <w:rsid w:val="001A4B8A"/>
    <w:rsid w:val="001A4BAA"/>
    <w:rsid w:val="001A4C52"/>
    <w:rsid w:val="001A4C58"/>
    <w:rsid w:val="001A4CB7"/>
    <w:rsid w:val="001A4CE6"/>
    <w:rsid w:val="001A4CF1"/>
    <w:rsid w:val="001A4D9E"/>
    <w:rsid w:val="001A4DF0"/>
    <w:rsid w:val="001A4DF4"/>
    <w:rsid w:val="001A4E11"/>
    <w:rsid w:val="001A4E26"/>
    <w:rsid w:val="001A4E83"/>
    <w:rsid w:val="001A4ED3"/>
    <w:rsid w:val="001A4ED6"/>
    <w:rsid w:val="001A4F38"/>
    <w:rsid w:val="001A4F4D"/>
    <w:rsid w:val="001A4FA0"/>
    <w:rsid w:val="001A4FC2"/>
    <w:rsid w:val="001A4FD4"/>
    <w:rsid w:val="001A4FEE"/>
    <w:rsid w:val="001A5030"/>
    <w:rsid w:val="001A504E"/>
    <w:rsid w:val="001A50B8"/>
    <w:rsid w:val="001A50E6"/>
    <w:rsid w:val="001A50F1"/>
    <w:rsid w:val="001A5134"/>
    <w:rsid w:val="001A5166"/>
    <w:rsid w:val="001A517C"/>
    <w:rsid w:val="001A5193"/>
    <w:rsid w:val="001A51C3"/>
    <w:rsid w:val="001A51E3"/>
    <w:rsid w:val="001A520E"/>
    <w:rsid w:val="001A5242"/>
    <w:rsid w:val="001A5254"/>
    <w:rsid w:val="001A526E"/>
    <w:rsid w:val="001A52BE"/>
    <w:rsid w:val="001A5306"/>
    <w:rsid w:val="001A530F"/>
    <w:rsid w:val="001A5339"/>
    <w:rsid w:val="001A5377"/>
    <w:rsid w:val="001A537A"/>
    <w:rsid w:val="001A53A1"/>
    <w:rsid w:val="001A53DE"/>
    <w:rsid w:val="001A5402"/>
    <w:rsid w:val="001A540D"/>
    <w:rsid w:val="001A5431"/>
    <w:rsid w:val="001A549F"/>
    <w:rsid w:val="001A54C9"/>
    <w:rsid w:val="001A54D8"/>
    <w:rsid w:val="001A54F7"/>
    <w:rsid w:val="001A555B"/>
    <w:rsid w:val="001A555F"/>
    <w:rsid w:val="001A5570"/>
    <w:rsid w:val="001A5581"/>
    <w:rsid w:val="001A55FB"/>
    <w:rsid w:val="001A5600"/>
    <w:rsid w:val="001A5683"/>
    <w:rsid w:val="001A56DE"/>
    <w:rsid w:val="001A570A"/>
    <w:rsid w:val="001A5718"/>
    <w:rsid w:val="001A5744"/>
    <w:rsid w:val="001A5746"/>
    <w:rsid w:val="001A5760"/>
    <w:rsid w:val="001A57FD"/>
    <w:rsid w:val="001A57FE"/>
    <w:rsid w:val="001A5815"/>
    <w:rsid w:val="001A5838"/>
    <w:rsid w:val="001A5865"/>
    <w:rsid w:val="001A58AA"/>
    <w:rsid w:val="001A58F9"/>
    <w:rsid w:val="001A5905"/>
    <w:rsid w:val="001A592B"/>
    <w:rsid w:val="001A5984"/>
    <w:rsid w:val="001A59A1"/>
    <w:rsid w:val="001A5A4E"/>
    <w:rsid w:val="001A5A82"/>
    <w:rsid w:val="001A5A8D"/>
    <w:rsid w:val="001A5A8F"/>
    <w:rsid w:val="001A5AA8"/>
    <w:rsid w:val="001A5AC1"/>
    <w:rsid w:val="001A5B00"/>
    <w:rsid w:val="001A5B0E"/>
    <w:rsid w:val="001A5B1B"/>
    <w:rsid w:val="001A5B53"/>
    <w:rsid w:val="001A5CA4"/>
    <w:rsid w:val="001A5D14"/>
    <w:rsid w:val="001A5D97"/>
    <w:rsid w:val="001A5D9E"/>
    <w:rsid w:val="001A5DA9"/>
    <w:rsid w:val="001A5DC2"/>
    <w:rsid w:val="001A5E6B"/>
    <w:rsid w:val="001A5E8E"/>
    <w:rsid w:val="001A5EEA"/>
    <w:rsid w:val="001A5EF2"/>
    <w:rsid w:val="001A5F2D"/>
    <w:rsid w:val="001A5F74"/>
    <w:rsid w:val="001A60CD"/>
    <w:rsid w:val="001A60FE"/>
    <w:rsid w:val="001A6168"/>
    <w:rsid w:val="001A61B1"/>
    <w:rsid w:val="001A6228"/>
    <w:rsid w:val="001A62C2"/>
    <w:rsid w:val="001A62EB"/>
    <w:rsid w:val="001A63A6"/>
    <w:rsid w:val="001A63C0"/>
    <w:rsid w:val="001A63C7"/>
    <w:rsid w:val="001A63E5"/>
    <w:rsid w:val="001A641D"/>
    <w:rsid w:val="001A6471"/>
    <w:rsid w:val="001A64FF"/>
    <w:rsid w:val="001A65BA"/>
    <w:rsid w:val="001A65E9"/>
    <w:rsid w:val="001A65F1"/>
    <w:rsid w:val="001A6626"/>
    <w:rsid w:val="001A663F"/>
    <w:rsid w:val="001A66BB"/>
    <w:rsid w:val="001A6761"/>
    <w:rsid w:val="001A67EB"/>
    <w:rsid w:val="001A682A"/>
    <w:rsid w:val="001A6838"/>
    <w:rsid w:val="001A6861"/>
    <w:rsid w:val="001A6891"/>
    <w:rsid w:val="001A6899"/>
    <w:rsid w:val="001A68AD"/>
    <w:rsid w:val="001A6906"/>
    <w:rsid w:val="001A691F"/>
    <w:rsid w:val="001A693A"/>
    <w:rsid w:val="001A694C"/>
    <w:rsid w:val="001A69A2"/>
    <w:rsid w:val="001A69A4"/>
    <w:rsid w:val="001A6A05"/>
    <w:rsid w:val="001A6A7F"/>
    <w:rsid w:val="001A6A92"/>
    <w:rsid w:val="001A6B21"/>
    <w:rsid w:val="001A6B24"/>
    <w:rsid w:val="001A6B40"/>
    <w:rsid w:val="001A6B8F"/>
    <w:rsid w:val="001A6BA3"/>
    <w:rsid w:val="001A6BB7"/>
    <w:rsid w:val="001A6BF0"/>
    <w:rsid w:val="001A6BFC"/>
    <w:rsid w:val="001A6C24"/>
    <w:rsid w:val="001A6C3F"/>
    <w:rsid w:val="001A6CA5"/>
    <w:rsid w:val="001A6CAB"/>
    <w:rsid w:val="001A6CD0"/>
    <w:rsid w:val="001A6D8A"/>
    <w:rsid w:val="001A6DB3"/>
    <w:rsid w:val="001A6DCE"/>
    <w:rsid w:val="001A6E16"/>
    <w:rsid w:val="001A6E7B"/>
    <w:rsid w:val="001A6F17"/>
    <w:rsid w:val="001A6F80"/>
    <w:rsid w:val="001A701D"/>
    <w:rsid w:val="001A70A9"/>
    <w:rsid w:val="001A70E4"/>
    <w:rsid w:val="001A70E7"/>
    <w:rsid w:val="001A71FD"/>
    <w:rsid w:val="001A7233"/>
    <w:rsid w:val="001A724A"/>
    <w:rsid w:val="001A7295"/>
    <w:rsid w:val="001A72F0"/>
    <w:rsid w:val="001A731A"/>
    <w:rsid w:val="001A7354"/>
    <w:rsid w:val="001A7372"/>
    <w:rsid w:val="001A73AA"/>
    <w:rsid w:val="001A73AE"/>
    <w:rsid w:val="001A73D3"/>
    <w:rsid w:val="001A73D8"/>
    <w:rsid w:val="001A741D"/>
    <w:rsid w:val="001A7437"/>
    <w:rsid w:val="001A743B"/>
    <w:rsid w:val="001A744D"/>
    <w:rsid w:val="001A7453"/>
    <w:rsid w:val="001A7457"/>
    <w:rsid w:val="001A74AC"/>
    <w:rsid w:val="001A74BA"/>
    <w:rsid w:val="001A74D9"/>
    <w:rsid w:val="001A7549"/>
    <w:rsid w:val="001A755F"/>
    <w:rsid w:val="001A7578"/>
    <w:rsid w:val="001A75BB"/>
    <w:rsid w:val="001A75C0"/>
    <w:rsid w:val="001A75F2"/>
    <w:rsid w:val="001A75F5"/>
    <w:rsid w:val="001A762A"/>
    <w:rsid w:val="001A764D"/>
    <w:rsid w:val="001A76B5"/>
    <w:rsid w:val="001A76EA"/>
    <w:rsid w:val="001A7761"/>
    <w:rsid w:val="001A7781"/>
    <w:rsid w:val="001A77F3"/>
    <w:rsid w:val="001A7832"/>
    <w:rsid w:val="001A7845"/>
    <w:rsid w:val="001A784E"/>
    <w:rsid w:val="001A788A"/>
    <w:rsid w:val="001A78C0"/>
    <w:rsid w:val="001A78DA"/>
    <w:rsid w:val="001A78E0"/>
    <w:rsid w:val="001A7940"/>
    <w:rsid w:val="001A7948"/>
    <w:rsid w:val="001A7981"/>
    <w:rsid w:val="001A79AA"/>
    <w:rsid w:val="001A7A20"/>
    <w:rsid w:val="001A7AA5"/>
    <w:rsid w:val="001A7AB0"/>
    <w:rsid w:val="001A7AB1"/>
    <w:rsid w:val="001A7AB4"/>
    <w:rsid w:val="001A7AC1"/>
    <w:rsid w:val="001A7B14"/>
    <w:rsid w:val="001A7B2A"/>
    <w:rsid w:val="001A7B30"/>
    <w:rsid w:val="001A7BD5"/>
    <w:rsid w:val="001A7C0D"/>
    <w:rsid w:val="001A7C4C"/>
    <w:rsid w:val="001A7CC9"/>
    <w:rsid w:val="001A7CF2"/>
    <w:rsid w:val="001A7D28"/>
    <w:rsid w:val="001A7D4D"/>
    <w:rsid w:val="001A7D51"/>
    <w:rsid w:val="001A7D5E"/>
    <w:rsid w:val="001A7D78"/>
    <w:rsid w:val="001A7D87"/>
    <w:rsid w:val="001A7D91"/>
    <w:rsid w:val="001A7DB0"/>
    <w:rsid w:val="001A7DC1"/>
    <w:rsid w:val="001A7DC6"/>
    <w:rsid w:val="001A7DCB"/>
    <w:rsid w:val="001A7F16"/>
    <w:rsid w:val="001A7F54"/>
    <w:rsid w:val="001A7F8A"/>
    <w:rsid w:val="001A7FAD"/>
    <w:rsid w:val="001A7FC0"/>
    <w:rsid w:val="001B0020"/>
    <w:rsid w:val="001B003C"/>
    <w:rsid w:val="001B0096"/>
    <w:rsid w:val="001B00A7"/>
    <w:rsid w:val="001B00CF"/>
    <w:rsid w:val="001B00EE"/>
    <w:rsid w:val="001B0135"/>
    <w:rsid w:val="001B0148"/>
    <w:rsid w:val="001B0153"/>
    <w:rsid w:val="001B016E"/>
    <w:rsid w:val="001B0203"/>
    <w:rsid w:val="001B02E2"/>
    <w:rsid w:val="001B0368"/>
    <w:rsid w:val="001B0399"/>
    <w:rsid w:val="001B03CD"/>
    <w:rsid w:val="001B040A"/>
    <w:rsid w:val="001B0414"/>
    <w:rsid w:val="001B0460"/>
    <w:rsid w:val="001B0497"/>
    <w:rsid w:val="001B04B6"/>
    <w:rsid w:val="001B04BD"/>
    <w:rsid w:val="001B04FE"/>
    <w:rsid w:val="001B050E"/>
    <w:rsid w:val="001B0544"/>
    <w:rsid w:val="001B0590"/>
    <w:rsid w:val="001B0599"/>
    <w:rsid w:val="001B05B0"/>
    <w:rsid w:val="001B05D1"/>
    <w:rsid w:val="001B05DB"/>
    <w:rsid w:val="001B05E0"/>
    <w:rsid w:val="001B061A"/>
    <w:rsid w:val="001B061F"/>
    <w:rsid w:val="001B0668"/>
    <w:rsid w:val="001B066B"/>
    <w:rsid w:val="001B06F2"/>
    <w:rsid w:val="001B073A"/>
    <w:rsid w:val="001B075C"/>
    <w:rsid w:val="001B07BD"/>
    <w:rsid w:val="001B0807"/>
    <w:rsid w:val="001B0816"/>
    <w:rsid w:val="001B081B"/>
    <w:rsid w:val="001B085B"/>
    <w:rsid w:val="001B0877"/>
    <w:rsid w:val="001B0883"/>
    <w:rsid w:val="001B08F2"/>
    <w:rsid w:val="001B094B"/>
    <w:rsid w:val="001B0957"/>
    <w:rsid w:val="001B0958"/>
    <w:rsid w:val="001B0973"/>
    <w:rsid w:val="001B09B6"/>
    <w:rsid w:val="001B09EB"/>
    <w:rsid w:val="001B0A6C"/>
    <w:rsid w:val="001B0AA9"/>
    <w:rsid w:val="001B0AAB"/>
    <w:rsid w:val="001B0B33"/>
    <w:rsid w:val="001B0BD5"/>
    <w:rsid w:val="001B0C42"/>
    <w:rsid w:val="001B0C6B"/>
    <w:rsid w:val="001B0C9C"/>
    <w:rsid w:val="001B0CFB"/>
    <w:rsid w:val="001B0D2E"/>
    <w:rsid w:val="001B0D62"/>
    <w:rsid w:val="001B0D8C"/>
    <w:rsid w:val="001B0DC5"/>
    <w:rsid w:val="001B0DC7"/>
    <w:rsid w:val="001B0DD5"/>
    <w:rsid w:val="001B0DDB"/>
    <w:rsid w:val="001B0E82"/>
    <w:rsid w:val="001B0EDA"/>
    <w:rsid w:val="001B0F68"/>
    <w:rsid w:val="001B0FB3"/>
    <w:rsid w:val="001B0FDB"/>
    <w:rsid w:val="001B0FE4"/>
    <w:rsid w:val="001B0FFF"/>
    <w:rsid w:val="001B1025"/>
    <w:rsid w:val="001B1032"/>
    <w:rsid w:val="001B1047"/>
    <w:rsid w:val="001B1095"/>
    <w:rsid w:val="001B10A5"/>
    <w:rsid w:val="001B10CD"/>
    <w:rsid w:val="001B10D1"/>
    <w:rsid w:val="001B1187"/>
    <w:rsid w:val="001B1198"/>
    <w:rsid w:val="001B11C7"/>
    <w:rsid w:val="001B120A"/>
    <w:rsid w:val="001B1278"/>
    <w:rsid w:val="001B12A1"/>
    <w:rsid w:val="001B12DD"/>
    <w:rsid w:val="001B12E6"/>
    <w:rsid w:val="001B12F0"/>
    <w:rsid w:val="001B1372"/>
    <w:rsid w:val="001B1397"/>
    <w:rsid w:val="001B144F"/>
    <w:rsid w:val="001B1459"/>
    <w:rsid w:val="001B145D"/>
    <w:rsid w:val="001B1461"/>
    <w:rsid w:val="001B14BC"/>
    <w:rsid w:val="001B14C9"/>
    <w:rsid w:val="001B14D7"/>
    <w:rsid w:val="001B14F6"/>
    <w:rsid w:val="001B156B"/>
    <w:rsid w:val="001B1597"/>
    <w:rsid w:val="001B1686"/>
    <w:rsid w:val="001B1693"/>
    <w:rsid w:val="001B16A5"/>
    <w:rsid w:val="001B16AE"/>
    <w:rsid w:val="001B16EA"/>
    <w:rsid w:val="001B1732"/>
    <w:rsid w:val="001B1740"/>
    <w:rsid w:val="001B176D"/>
    <w:rsid w:val="001B1786"/>
    <w:rsid w:val="001B17ED"/>
    <w:rsid w:val="001B186F"/>
    <w:rsid w:val="001B1876"/>
    <w:rsid w:val="001B1898"/>
    <w:rsid w:val="001B18E1"/>
    <w:rsid w:val="001B18F8"/>
    <w:rsid w:val="001B18FD"/>
    <w:rsid w:val="001B1942"/>
    <w:rsid w:val="001B199C"/>
    <w:rsid w:val="001B19A5"/>
    <w:rsid w:val="001B1A06"/>
    <w:rsid w:val="001B1A3A"/>
    <w:rsid w:val="001B1A98"/>
    <w:rsid w:val="001B1AB9"/>
    <w:rsid w:val="001B1B1A"/>
    <w:rsid w:val="001B1B1C"/>
    <w:rsid w:val="001B1B47"/>
    <w:rsid w:val="001B1C6E"/>
    <w:rsid w:val="001B1C85"/>
    <w:rsid w:val="001B1CBA"/>
    <w:rsid w:val="001B1CE5"/>
    <w:rsid w:val="001B1DA2"/>
    <w:rsid w:val="001B1DD5"/>
    <w:rsid w:val="001B1F25"/>
    <w:rsid w:val="001B1F2C"/>
    <w:rsid w:val="001B1F58"/>
    <w:rsid w:val="001B1FA3"/>
    <w:rsid w:val="001B1FC3"/>
    <w:rsid w:val="001B1FD6"/>
    <w:rsid w:val="001B1FFC"/>
    <w:rsid w:val="001B2031"/>
    <w:rsid w:val="001B2049"/>
    <w:rsid w:val="001B2098"/>
    <w:rsid w:val="001B20A7"/>
    <w:rsid w:val="001B214A"/>
    <w:rsid w:val="001B217F"/>
    <w:rsid w:val="001B218A"/>
    <w:rsid w:val="001B2223"/>
    <w:rsid w:val="001B2282"/>
    <w:rsid w:val="001B22D7"/>
    <w:rsid w:val="001B2339"/>
    <w:rsid w:val="001B234C"/>
    <w:rsid w:val="001B23D7"/>
    <w:rsid w:val="001B23DB"/>
    <w:rsid w:val="001B2487"/>
    <w:rsid w:val="001B24B8"/>
    <w:rsid w:val="001B24CD"/>
    <w:rsid w:val="001B24D2"/>
    <w:rsid w:val="001B2515"/>
    <w:rsid w:val="001B2519"/>
    <w:rsid w:val="001B2574"/>
    <w:rsid w:val="001B2602"/>
    <w:rsid w:val="001B262E"/>
    <w:rsid w:val="001B2653"/>
    <w:rsid w:val="001B2675"/>
    <w:rsid w:val="001B2688"/>
    <w:rsid w:val="001B26A0"/>
    <w:rsid w:val="001B2749"/>
    <w:rsid w:val="001B275E"/>
    <w:rsid w:val="001B2762"/>
    <w:rsid w:val="001B2764"/>
    <w:rsid w:val="001B277D"/>
    <w:rsid w:val="001B27C7"/>
    <w:rsid w:val="001B2806"/>
    <w:rsid w:val="001B2837"/>
    <w:rsid w:val="001B2970"/>
    <w:rsid w:val="001B299C"/>
    <w:rsid w:val="001B29A0"/>
    <w:rsid w:val="001B2A35"/>
    <w:rsid w:val="001B2B14"/>
    <w:rsid w:val="001B2B40"/>
    <w:rsid w:val="001B2BA7"/>
    <w:rsid w:val="001B2BB5"/>
    <w:rsid w:val="001B2BDC"/>
    <w:rsid w:val="001B2BF0"/>
    <w:rsid w:val="001B2BF1"/>
    <w:rsid w:val="001B2C47"/>
    <w:rsid w:val="001B2C82"/>
    <w:rsid w:val="001B2CC5"/>
    <w:rsid w:val="001B2CEF"/>
    <w:rsid w:val="001B2D02"/>
    <w:rsid w:val="001B2D3D"/>
    <w:rsid w:val="001B2D45"/>
    <w:rsid w:val="001B2D77"/>
    <w:rsid w:val="001B2E0E"/>
    <w:rsid w:val="001B2E28"/>
    <w:rsid w:val="001B2E55"/>
    <w:rsid w:val="001B2E8F"/>
    <w:rsid w:val="001B2EAA"/>
    <w:rsid w:val="001B2FB2"/>
    <w:rsid w:val="001B2FD2"/>
    <w:rsid w:val="001B3020"/>
    <w:rsid w:val="001B3058"/>
    <w:rsid w:val="001B306B"/>
    <w:rsid w:val="001B30A4"/>
    <w:rsid w:val="001B30C3"/>
    <w:rsid w:val="001B3119"/>
    <w:rsid w:val="001B313E"/>
    <w:rsid w:val="001B319F"/>
    <w:rsid w:val="001B31A3"/>
    <w:rsid w:val="001B31D6"/>
    <w:rsid w:val="001B3219"/>
    <w:rsid w:val="001B321B"/>
    <w:rsid w:val="001B3265"/>
    <w:rsid w:val="001B3280"/>
    <w:rsid w:val="001B32B9"/>
    <w:rsid w:val="001B32D3"/>
    <w:rsid w:val="001B32F3"/>
    <w:rsid w:val="001B32F8"/>
    <w:rsid w:val="001B3301"/>
    <w:rsid w:val="001B3302"/>
    <w:rsid w:val="001B3342"/>
    <w:rsid w:val="001B335E"/>
    <w:rsid w:val="001B3377"/>
    <w:rsid w:val="001B33BD"/>
    <w:rsid w:val="001B344F"/>
    <w:rsid w:val="001B34B5"/>
    <w:rsid w:val="001B34E9"/>
    <w:rsid w:val="001B34EF"/>
    <w:rsid w:val="001B34F8"/>
    <w:rsid w:val="001B353E"/>
    <w:rsid w:val="001B3570"/>
    <w:rsid w:val="001B357B"/>
    <w:rsid w:val="001B35B7"/>
    <w:rsid w:val="001B3680"/>
    <w:rsid w:val="001B369A"/>
    <w:rsid w:val="001B36BE"/>
    <w:rsid w:val="001B36E2"/>
    <w:rsid w:val="001B36F4"/>
    <w:rsid w:val="001B3707"/>
    <w:rsid w:val="001B372D"/>
    <w:rsid w:val="001B3737"/>
    <w:rsid w:val="001B373B"/>
    <w:rsid w:val="001B3777"/>
    <w:rsid w:val="001B3792"/>
    <w:rsid w:val="001B37FA"/>
    <w:rsid w:val="001B3811"/>
    <w:rsid w:val="001B3812"/>
    <w:rsid w:val="001B382D"/>
    <w:rsid w:val="001B3840"/>
    <w:rsid w:val="001B3862"/>
    <w:rsid w:val="001B389D"/>
    <w:rsid w:val="001B38BC"/>
    <w:rsid w:val="001B38F8"/>
    <w:rsid w:val="001B390F"/>
    <w:rsid w:val="001B39B6"/>
    <w:rsid w:val="001B39B8"/>
    <w:rsid w:val="001B39DD"/>
    <w:rsid w:val="001B39F8"/>
    <w:rsid w:val="001B3A75"/>
    <w:rsid w:val="001B3AA3"/>
    <w:rsid w:val="001B3AE6"/>
    <w:rsid w:val="001B3AF3"/>
    <w:rsid w:val="001B3B18"/>
    <w:rsid w:val="001B3B1E"/>
    <w:rsid w:val="001B3B60"/>
    <w:rsid w:val="001B3BA4"/>
    <w:rsid w:val="001B3BD1"/>
    <w:rsid w:val="001B3C15"/>
    <w:rsid w:val="001B3CAF"/>
    <w:rsid w:val="001B3CC2"/>
    <w:rsid w:val="001B3D01"/>
    <w:rsid w:val="001B3D2D"/>
    <w:rsid w:val="001B3D4F"/>
    <w:rsid w:val="001B3D85"/>
    <w:rsid w:val="001B3DA6"/>
    <w:rsid w:val="001B3DB2"/>
    <w:rsid w:val="001B3DD9"/>
    <w:rsid w:val="001B3E2A"/>
    <w:rsid w:val="001B3E2F"/>
    <w:rsid w:val="001B3E45"/>
    <w:rsid w:val="001B3E47"/>
    <w:rsid w:val="001B3E5F"/>
    <w:rsid w:val="001B3E9F"/>
    <w:rsid w:val="001B3EAF"/>
    <w:rsid w:val="001B3EBA"/>
    <w:rsid w:val="001B3F49"/>
    <w:rsid w:val="001B4009"/>
    <w:rsid w:val="001B4059"/>
    <w:rsid w:val="001B405C"/>
    <w:rsid w:val="001B4089"/>
    <w:rsid w:val="001B4095"/>
    <w:rsid w:val="001B409A"/>
    <w:rsid w:val="001B40BD"/>
    <w:rsid w:val="001B40F4"/>
    <w:rsid w:val="001B4118"/>
    <w:rsid w:val="001B4131"/>
    <w:rsid w:val="001B41BF"/>
    <w:rsid w:val="001B4257"/>
    <w:rsid w:val="001B4267"/>
    <w:rsid w:val="001B427C"/>
    <w:rsid w:val="001B4281"/>
    <w:rsid w:val="001B42E5"/>
    <w:rsid w:val="001B4321"/>
    <w:rsid w:val="001B438A"/>
    <w:rsid w:val="001B43AC"/>
    <w:rsid w:val="001B43D3"/>
    <w:rsid w:val="001B441F"/>
    <w:rsid w:val="001B442B"/>
    <w:rsid w:val="001B4490"/>
    <w:rsid w:val="001B44B1"/>
    <w:rsid w:val="001B44C7"/>
    <w:rsid w:val="001B450F"/>
    <w:rsid w:val="001B454A"/>
    <w:rsid w:val="001B4562"/>
    <w:rsid w:val="001B4578"/>
    <w:rsid w:val="001B458A"/>
    <w:rsid w:val="001B45A2"/>
    <w:rsid w:val="001B45B5"/>
    <w:rsid w:val="001B45E5"/>
    <w:rsid w:val="001B45FF"/>
    <w:rsid w:val="001B463C"/>
    <w:rsid w:val="001B4664"/>
    <w:rsid w:val="001B46D5"/>
    <w:rsid w:val="001B46E4"/>
    <w:rsid w:val="001B46ED"/>
    <w:rsid w:val="001B471C"/>
    <w:rsid w:val="001B4738"/>
    <w:rsid w:val="001B475B"/>
    <w:rsid w:val="001B477E"/>
    <w:rsid w:val="001B4796"/>
    <w:rsid w:val="001B47F3"/>
    <w:rsid w:val="001B480B"/>
    <w:rsid w:val="001B4883"/>
    <w:rsid w:val="001B4899"/>
    <w:rsid w:val="001B48A1"/>
    <w:rsid w:val="001B48E4"/>
    <w:rsid w:val="001B490B"/>
    <w:rsid w:val="001B4947"/>
    <w:rsid w:val="001B494C"/>
    <w:rsid w:val="001B4975"/>
    <w:rsid w:val="001B4A53"/>
    <w:rsid w:val="001B4A95"/>
    <w:rsid w:val="001B4A9D"/>
    <w:rsid w:val="001B4B62"/>
    <w:rsid w:val="001B4BC5"/>
    <w:rsid w:val="001B4BC6"/>
    <w:rsid w:val="001B4BED"/>
    <w:rsid w:val="001B4C17"/>
    <w:rsid w:val="001B4C39"/>
    <w:rsid w:val="001B4C5D"/>
    <w:rsid w:val="001B4CE0"/>
    <w:rsid w:val="001B4CEB"/>
    <w:rsid w:val="001B4CF5"/>
    <w:rsid w:val="001B4CF8"/>
    <w:rsid w:val="001B4D1D"/>
    <w:rsid w:val="001B4EA5"/>
    <w:rsid w:val="001B4EB2"/>
    <w:rsid w:val="001B4F14"/>
    <w:rsid w:val="001B4FB4"/>
    <w:rsid w:val="001B4FD6"/>
    <w:rsid w:val="001B4FEC"/>
    <w:rsid w:val="001B5022"/>
    <w:rsid w:val="001B5071"/>
    <w:rsid w:val="001B507D"/>
    <w:rsid w:val="001B50C1"/>
    <w:rsid w:val="001B50D8"/>
    <w:rsid w:val="001B5117"/>
    <w:rsid w:val="001B513F"/>
    <w:rsid w:val="001B516E"/>
    <w:rsid w:val="001B5177"/>
    <w:rsid w:val="001B519A"/>
    <w:rsid w:val="001B51B4"/>
    <w:rsid w:val="001B51E8"/>
    <w:rsid w:val="001B51F0"/>
    <w:rsid w:val="001B521D"/>
    <w:rsid w:val="001B522C"/>
    <w:rsid w:val="001B523D"/>
    <w:rsid w:val="001B5274"/>
    <w:rsid w:val="001B52A6"/>
    <w:rsid w:val="001B52CE"/>
    <w:rsid w:val="001B5335"/>
    <w:rsid w:val="001B5375"/>
    <w:rsid w:val="001B5475"/>
    <w:rsid w:val="001B54B8"/>
    <w:rsid w:val="001B54CF"/>
    <w:rsid w:val="001B54D2"/>
    <w:rsid w:val="001B54F3"/>
    <w:rsid w:val="001B54F4"/>
    <w:rsid w:val="001B5507"/>
    <w:rsid w:val="001B5519"/>
    <w:rsid w:val="001B5528"/>
    <w:rsid w:val="001B5534"/>
    <w:rsid w:val="001B55A6"/>
    <w:rsid w:val="001B55AF"/>
    <w:rsid w:val="001B5702"/>
    <w:rsid w:val="001B5763"/>
    <w:rsid w:val="001B5778"/>
    <w:rsid w:val="001B578B"/>
    <w:rsid w:val="001B578D"/>
    <w:rsid w:val="001B579C"/>
    <w:rsid w:val="001B584C"/>
    <w:rsid w:val="001B5884"/>
    <w:rsid w:val="001B58EB"/>
    <w:rsid w:val="001B58F8"/>
    <w:rsid w:val="001B591F"/>
    <w:rsid w:val="001B5925"/>
    <w:rsid w:val="001B5966"/>
    <w:rsid w:val="001B596C"/>
    <w:rsid w:val="001B5976"/>
    <w:rsid w:val="001B598B"/>
    <w:rsid w:val="001B5993"/>
    <w:rsid w:val="001B59A7"/>
    <w:rsid w:val="001B59B4"/>
    <w:rsid w:val="001B59DA"/>
    <w:rsid w:val="001B5A2D"/>
    <w:rsid w:val="001B5A3B"/>
    <w:rsid w:val="001B5A8E"/>
    <w:rsid w:val="001B5AC0"/>
    <w:rsid w:val="001B5ADA"/>
    <w:rsid w:val="001B5B09"/>
    <w:rsid w:val="001B5B1F"/>
    <w:rsid w:val="001B5B27"/>
    <w:rsid w:val="001B5B2C"/>
    <w:rsid w:val="001B5BC0"/>
    <w:rsid w:val="001B5BE3"/>
    <w:rsid w:val="001B5C01"/>
    <w:rsid w:val="001B5C2E"/>
    <w:rsid w:val="001B5C4F"/>
    <w:rsid w:val="001B5C5C"/>
    <w:rsid w:val="001B5C89"/>
    <w:rsid w:val="001B5C9A"/>
    <w:rsid w:val="001B5CC6"/>
    <w:rsid w:val="001B5D34"/>
    <w:rsid w:val="001B5D49"/>
    <w:rsid w:val="001B5D7A"/>
    <w:rsid w:val="001B5DA0"/>
    <w:rsid w:val="001B5DB5"/>
    <w:rsid w:val="001B5E6C"/>
    <w:rsid w:val="001B5E7F"/>
    <w:rsid w:val="001B5E86"/>
    <w:rsid w:val="001B5E89"/>
    <w:rsid w:val="001B5EC0"/>
    <w:rsid w:val="001B5F54"/>
    <w:rsid w:val="001B5F6B"/>
    <w:rsid w:val="001B5FAE"/>
    <w:rsid w:val="001B5FD9"/>
    <w:rsid w:val="001B5FEE"/>
    <w:rsid w:val="001B6013"/>
    <w:rsid w:val="001B602A"/>
    <w:rsid w:val="001B6049"/>
    <w:rsid w:val="001B6067"/>
    <w:rsid w:val="001B60AF"/>
    <w:rsid w:val="001B60E4"/>
    <w:rsid w:val="001B6133"/>
    <w:rsid w:val="001B614E"/>
    <w:rsid w:val="001B6164"/>
    <w:rsid w:val="001B618F"/>
    <w:rsid w:val="001B61BF"/>
    <w:rsid w:val="001B61CE"/>
    <w:rsid w:val="001B61D9"/>
    <w:rsid w:val="001B620B"/>
    <w:rsid w:val="001B6284"/>
    <w:rsid w:val="001B6287"/>
    <w:rsid w:val="001B628C"/>
    <w:rsid w:val="001B62AF"/>
    <w:rsid w:val="001B62EE"/>
    <w:rsid w:val="001B6307"/>
    <w:rsid w:val="001B6319"/>
    <w:rsid w:val="001B63F7"/>
    <w:rsid w:val="001B640F"/>
    <w:rsid w:val="001B641F"/>
    <w:rsid w:val="001B6463"/>
    <w:rsid w:val="001B6486"/>
    <w:rsid w:val="001B6502"/>
    <w:rsid w:val="001B6561"/>
    <w:rsid w:val="001B656E"/>
    <w:rsid w:val="001B657F"/>
    <w:rsid w:val="001B65AF"/>
    <w:rsid w:val="001B65C9"/>
    <w:rsid w:val="001B6651"/>
    <w:rsid w:val="001B6673"/>
    <w:rsid w:val="001B6684"/>
    <w:rsid w:val="001B6697"/>
    <w:rsid w:val="001B66BF"/>
    <w:rsid w:val="001B66CD"/>
    <w:rsid w:val="001B6700"/>
    <w:rsid w:val="001B671C"/>
    <w:rsid w:val="001B6733"/>
    <w:rsid w:val="001B6761"/>
    <w:rsid w:val="001B679B"/>
    <w:rsid w:val="001B68DC"/>
    <w:rsid w:val="001B691E"/>
    <w:rsid w:val="001B6949"/>
    <w:rsid w:val="001B6979"/>
    <w:rsid w:val="001B6989"/>
    <w:rsid w:val="001B69E1"/>
    <w:rsid w:val="001B69E4"/>
    <w:rsid w:val="001B6A03"/>
    <w:rsid w:val="001B6A66"/>
    <w:rsid w:val="001B6B3A"/>
    <w:rsid w:val="001B6BA9"/>
    <w:rsid w:val="001B6BB9"/>
    <w:rsid w:val="001B6BBB"/>
    <w:rsid w:val="001B6BE6"/>
    <w:rsid w:val="001B6C23"/>
    <w:rsid w:val="001B6C2F"/>
    <w:rsid w:val="001B6C6A"/>
    <w:rsid w:val="001B6D50"/>
    <w:rsid w:val="001B6D87"/>
    <w:rsid w:val="001B6DD4"/>
    <w:rsid w:val="001B6E3F"/>
    <w:rsid w:val="001B6E61"/>
    <w:rsid w:val="001B6E7B"/>
    <w:rsid w:val="001B6EBE"/>
    <w:rsid w:val="001B6EE6"/>
    <w:rsid w:val="001B6F24"/>
    <w:rsid w:val="001B6F63"/>
    <w:rsid w:val="001B6F91"/>
    <w:rsid w:val="001B6FE7"/>
    <w:rsid w:val="001B7019"/>
    <w:rsid w:val="001B7050"/>
    <w:rsid w:val="001B7055"/>
    <w:rsid w:val="001B7067"/>
    <w:rsid w:val="001B7079"/>
    <w:rsid w:val="001B70B0"/>
    <w:rsid w:val="001B70C8"/>
    <w:rsid w:val="001B719A"/>
    <w:rsid w:val="001B71A5"/>
    <w:rsid w:val="001B71E3"/>
    <w:rsid w:val="001B7247"/>
    <w:rsid w:val="001B72CC"/>
    <w:rsid w:val="001B72D6"/>
    <w:rsid w:val="001B7389"/>
    <w:rsid w:val="001B73AD"/>
    <w:rsid w:val="001B73DF"/>
    <w:rsid w:val="001B741D"/>
    <w:rsid w:val="001B743F"/>
    <w:rsid w:val="001B7456"/>
    <w:rsid w:val="001B7511"/>
    <w:rsid w:val="001B7621"/>
    <w:rsid w:val="001B7628"/>
    <w:rsid w:val="001B7656"/>
    <w:rsid w:val="001B768E"/>
    <w:rsid w:val="001B76A9"/>
    <w:rsid w:val="001B76C8"/>
    <w:rsid w:val="001B76D0"/>
    <w:rsid w:val="001B76D1"/>
    <w:rsid w:val="001B76E6"/>
    <w:rsid w:val="001B7700"/>
    <w:rsid w:val="001B7769"/>
    <w:rsid w:val="001B778F"/>
    <w:rsid w:val="001B77BB"/>
    <w:rsid w:val="001B77ED"/>
    <w:rsid w:val="001B7877"/>
    <w:rsid w:val="001B7938"/>
    <w:rsid w:val="001B7977"/>
    <w:rsid w:val="001B797C"/>
    <w:rsid w:val="001B79B8"/>
    <w:rsid w:val="001B79EF"/>
    <w:rsid w:val="001B7A39"/>
    <w:rsid w:val="001B7A40"/>
    <w:rsid w:val="001B7A7A"/>
    <w:rsid w:val="001B7A94"/>
    <w:rsid w:val="001B7A9D"/>
    <w:rsid w:val="001B7AAC"/>
    <w:rsid w:val="001B7ADA"/>
    <w:rsid w:val="001B7AE3"/>
    <w:rsid w:val="001B7AEB"/>
    <w:rsid w:val="001B7AFE"/>
    <w:rsid w:val="001B7B3F"/>
    <w:rsid w:val="001B7B41"/>
    <w:rsid w:val="001B7B5E"/>
    <w:rsid w:val="001B7B7E"/>
    <w:rsid w:val="001B7B8C"/>
    <w:rsid w:val="001B7BB2"/>
    <w:rsid w:val="001B7C28"/>
    <w:rsid w:val="001B7C56"/>
    <w:rsid w:val="001B7CEA"/>
    <w:rsid w:val="001B7D19"/>
    <w:rsid w:val="001B7D20"/>
    <w:rsid w:val="001B7D7C"/>
    <w:rsid w:val="001B7E04"/>
    <w:rsid w:val="001B7E22"/>
    <w:rsid w:val="001B7E39"/>
    <w:rsid w:val="001B7EB5"/>
    <w:rsid w:val="001B7EBB"/>
    <w:rsid w:val="001B7EDF"/>
    <w:rsid w:val="001B7EE8"/>
    <w:rsid w:val="001B7F2A"/>
    <w:rsid w:val="001B7F49"/>
    <w:rsid w:val="001B7FB6"/>
    <w:rsid w:val="001B932D"/>
    <w:rsid w:val="001BA093"/>
    <w:rsid w:val="001C0125"/>
    <w:rsid w:val="001C0145"/>
    <w:rsid w:val="001C016E"/>
    <w:rsid w:val="001C0179"/>
    <w:rsid w:val="001C0184"/>
    <w:rsid w:val="001C018E"/>
    <w:rsid w:val="001C01DD"/>
    <w:rsid w:val="001C0206"/>
    <w:rsid w:val="001C0208"/>
    <w:rsid w:val="001C020A"/>
    <w:rsid w:val="001C022C"/>
    <w:rsid w:val="001C0297"/>
    <w:rsid w:val="001C02AB"/>
    <w:rsid w:val="001C02AC"/>
    <w:rsid w:val="001C0305"/>
    <w:rsid w:val="001C0323"/>
    <w:rsid w:val="001C039F"/>
    <w:rsid w:val="001C03A5"/>
    <w:rsid w:val="001C03ED"/>
    <w:rsid w:val="001C03FC"/>
    <w:rsid w:val="001C0465"/>
    <w:rsid w:val="001C04B9"/>
    <w:rsid w:val="001C04CC"/>
    <w:rsid w:val="001C051A"/>
    <w:rsid w:val="001C0559"/>
    <w:rsid w:val="001C05D2"/>
    <w:rsid w:val="001C05FB"/>
    <w:rsid w:val="001C0616"/>
    <w:rsid w:val="001C0658"/>
    <w:rsid w:val="001C069F"/>
    <w:rsid w:val="001C06D3"/>
    <w:rsid w:val="001C0726"/>
    <w:rsid w:val="001C0765"/>
    <w:rsid w:val="001C0786"/>
    <w:rsid w:val="001C07B5"/>
    <w:rsid w:val="001C0812"/>
    <w:rsid w:val="001C0834"/>
    <w:rsid w:val="001C087C"/>
    <w:rsid w:val="001C08C1"/>
    <w:rsid w:val="001C08C3"/>
    <w:rsid w:val="001C08CC"/>
    <w:rsid w:val="001C08DD"/>
    <w:rsid w:val="001C08EE"/>
    <w:rsid w:val="001C0929"/>
    <w:rsid w:val="001C0931"/>
    <w:rsid w:val="001C093D"/>
    <w:rsid w:val="001C0954"/>
    <w:rsid w:val="001C0955"/>
    <w:rsid w:val="001C0970"/>
    <w:rsid w:val="001C0982"/>
    <w:rsid w:val="001C09A5"/>
    <w:rsid w:val="001C09BC"/>
    <w:rsid w:val="001C09E5"/>
    <w:rsid w:val="001C0A10"/>
    <w:rsid w:val="001C0A1C"/>
    <w:rsid w:val="001C0A4D"/>
    <w:rsid w:val="001C0A83"/>
    <w:rsid w:val="001C0AA1"/>
    <w:rsid w:val="001C0AEE"/>
    <w:rsid w:val="001C0B05"/>
    <w:rsid w:val="001C0B31"/>
    <w:rsid w:val="001C0B37"/>
    <w:rsid w:val="001C0B3E"/>
    <w:rsid w:val="001C0B8E"/>
    <w:rsid w:val="001C0C56"/>
    <w:rsid w:val="001C0CC2"/>
    <w:rsid w:val="001C0E40"/>
    <w:rsid w:val="001C0E94"/>
    <w:rsid w:val="001C0EDA"/>
    <w:rsid w:val="001C0F68"/>
    <w:rsid w:val="001C0F74"/>
    <w:rsid w:val="001C0FA0"/>
    <w:rsid w:val="001C1007"/>
    <w:rsid w:val="001C1026"/>
    <w:rsid w:val="001C1091"/>
    <w:rsid w:val="001C10A6"/>
    <w:rsid w:val="001C1102"/>
    <w:rsid w:val="001C124A"/>
    <w:rsid w:val="001C1263"/>
    <w:rsid w:val="001C128B"/>
    <w:rsid w:val="001C1292"/>
    <w:rsid w:val="001C12D2"/>
    <w:rsid w:val="001C139B"/>
    <w:rsid w:val="001C13C7"/>
    <w:rsid w:val="001C144B"/>
    <w:rsid w:val="001C149A"/>
    <w:rsid w:val="001C154E"/>
    <w:rsid w:val="001C155D"/>
    <w:rsid w:val="001C15C7"/>
    <w:rsid w:val="001C15E5"/>
    <w:rsid w:val="001C1684"/>
    <w:rsid w:val="001C16D1"/>
    <w:rsid w:val="001C171D"/>
    <w:rsid w:val="001C1749"/>
    <w:rsid w:val="001C1778"/>
    <w:rsid w:val="001C17B5"/>
    <w:rsid w:val="001C17FD"/>
    <w:rsid w:val="001C1844"/>
    <w:rsid w:val="001C18A6"/>
    <w:rsid w:val="001C18C4"/>
    <w:rsid w:val="001C18FC"/>
    <w:rsid w:val="001C1936"/>
    <w:rsid w:val="001C193E"/>
    <w:rsid w:val="001C1962"/>
    <w:rsid w:val="001C19FA"/>
    <w:rsid w:val="001C19FF"/>
    <w:rsid w:val="001C1A2C"/>
    <w:rsid w:val="001C1AE7"/>
    <w:rsid w:val="001C1B1C"/>
    <w:rsid w:val="001C1BAA"/>
    <w:rsid w:val="001C1BCD"/>
    <w:rsid w:val="001C1BD1"/>
    <w:rsid w:val="001C1BED"/>
    <w:rsid w:val="001C1C30"/>
    <w:rsid w:val="001C1C65"/>
    <w:rsid w:val="001C1C73"/>
    <w:rsid w:val="001C1C94"/>
    <w:rsid w:val="001C1C9E"/>
    <w:rsid w:val="001C1D09"/>
    <w:rsid w:val="001C1D57"/>
    <w:rsid w:val="001C1D5B"/>
    <w:rsid w:val="001C1D81"/>
    <w:rsid w:val="001C1DAC"/>
    <w:rsid w:val="001C1DBC"/>
    <w:rsid w:val="001C1DCC"/>
    <w:rsid w:val="001C1DE1"/>
    <w:rsid w:val="001C1E3B"/>
    <w:rsid w:val="001C1E6D"/>
    <w:rsid w:val="001C1EC9"/>
    <w:rsid w:val="001C1F24"/>
    <w:rsid w:val="001C1F5F"/>
    <w:rsid w:val="001C1F63"/>
    <w:rsid w:val="001C1FE0"/>
    <w:rsid w:val="001C1FEA"/>
    <w:rsid w:val="001C1FF7"/>
    <w:rsid w:val="001C206E"/>
    <w:rsid w:val="001C2076"/>
    <w:rsid w:val="001C20BE"/>
    <w:rsid w:val="001C20C1"/>
    <w:rsid w:val="001C2114"/>
    <w:rsid w:val="001C21C2"/>
    <w:rsid w:val="001C21FD"/>
    <w:rsid w:val="001C2254"/>
    <w:rsid w:val="001C2326"/>
    <w:rsid w:val="001C2340"/>
    <w:rsid w:val="001C2364"/>
    <w:rsid w:val="001C2385"/>
    <w:rsid w:val="001C23BD"/>
    <w:rsid w:val="001C23E6"/>
    <w:rsid w:val="001C23FD"/>
    <w:rsid w:val="001C23FF"/>
    <w:rsid w:val="001C2438"/>
    <w:rsid w:val="001C245E"/>
    <w:rsid w:val="001C246C"/>
    <w:rsid w:val="001C2472"/>
    <w:rsid w:val="001C2477"/>
    <w:rsid w:val="001C247F"/>
    <w:rsid w:val="001C2480"/>
    <w:rsid w:val="001C2493"/>
    <w:rsid w:val="001C2499"/>
    <w:rsid w:val="001C24E4"/>
    <w:rsid w:val="001C24FE"/>
    <w:rsid w:val="001C2510"/>
    <w:rsid w:val="001C251D"/>
    <w:rsid w:val="001C257A"/>
    <w:rsid w:val="001C25C0"/>
    <w:rsid w:val="001C25C9"/>
    <w:rsid w:val="001C25DA"/>
    <w:rsid w:val="001C25DB"/>
    <w:rsid w:val="001C25FD"/>
    <w:rsid w:val="001C2614"/>
    <w:rsid w:val="001C2642"/>
    <w:rsid w:val="001C26DE"/>
    <w:rsid w:val="001C2709"/>
    <w:rsid w:val="001C272C"/>
    <w:rsid w:val="001C2770"/>
    <w:rsid w:val="001C279E"/>
    <w:rsid w:val="001C27B7"/>
    <w:rsid w:val="001C27DC"/>
    <w:rsid w:val="001C283F"/>
    <w:rsid w:val="001C2894"/>
    <w:rsid w:val="001C28E0"/>
    <w:rsid w:val="001C28E1"/>
    <w:rsid w:val="001C296E"/>
    <w:rsid w:val="001C29DA"/>
    <w:rsid w:val="001C2A1B"/>
    <w:rsid w:val="001C2A34"/>
    <w:rsid w:val="001C2A9A"/>
    <w:rsid w:val="001C2AB0"/>
    <w:rsid w:val="001C2AC8"/>
    <w:rsid w:val="001C2B09"/>
    <w:rsid w:val="001C2B5D"/>
    <w:rsid w:val="001C2B77"/>
    <w:rsid w:val="001C2B82"/>
    <w:rsid w:val="001C2B91"/>
    <w:rsid w:val="001C2B93"/>
    <w:rsid w:val="001C2B97"/>
    <w:rsid w:val="001C2B9B"/>
    <w:rsid w:val="001C2BB1"/>
    <w:rsid w:val="001C2BBB"/>
    <w:rsid w:val="001C2BCA"/>
    <w:rsid w:val="001C2C49"/>
    <w:rsid w:val="001C2C65"/>
    <w:rsid w:val="001C2C7A"/>
    <w:rsid w:val="001C2C85"/>
    <w:rsid w:val="001C2CC4"/>
    <w:rsid w:val="001C2CD8"/>
    <w:rsid w:val="001C2D17"/>
    <w:rsid w:val="001C2D43"/>
    <w:rsid w:val="001C2D53"/>
    <w:rsid w:val="001C2D96"/>
    <w:rsid w:val="001C2DBA"/>
    <w:rsid w:val="001C2DDF"/>
    <w:rsid w:val="001C2DF6"/>
    <w:rsid w:val="001C2E57"/>
    <w:rsid w:val="001C2E65"/>
    <w:rsid w:val="001C2EA7"/>
    <w:rsid w:val="001C2F0D"/>
    <w:rsid w:val="001C2F20"/>
    <w:rsid w:val="001C2F22"/>
    <w:rsid w:val="001C2F4F"/>
    <w:rsid w:val="001C2F65"/>
    <w:rsid w:val="001C2F71"/>
    <w:rsid w:val="001C2F77"/>
    <w:rsid w:val="001C2FC1"/>
    <w:rsid w:val="001C3120"/>
    <w:rsid w:val="001C3131"/>
    <w:rsid w:val="001C3199"/>
    <w:rsid w:val="001C31BF"/>
    <w:rsid w:val="001C31C5"/>
    <w:rsid w:val="001C31E9"/>
    <w:rsid w:val="001C31FD"/>
    <w:rsid w:val="001C325C"/>
    <w:rsid w:val="001C3261"/>
    <w:rsid w:val="001C3291"/>
    <w:rsid w:val="001C32C0"/>
    <w:rsid w:val="001C3322"/>
    <w:rsid w:val="001C3329"/>
    <w:rsid w:val="001C333F"/>
    <w:rsid w:val="001C334C"/>
    <w:rsid w:val="001C336D"/>
    <w:rsid w:val="001C3396"/>
    <w:rsid w:val="001C339F"/>
    <w:rsid w:val="001C33A7"/>
    <w:rsid w:val="001C33B3"/>
    <w:rsid w:val="001C3406"/>
    <w:rsid w:val="001C341F"/>
    <w:rsid w:val="001C342F"/>
    <w:rsid w:val="001C3431"/>
    <w:rsid w:val="001C3490"/>
    <w:rsid w:val="001C34C8"/>
    <w:rsid w:val="001C3532"/>
    <w:rsid w:val="001C3580"/>
    <w:rsid w:val="001C3599"/>
    <w:rsid w:val="001C35AE"/>
    <w:rsid w:val="001C35C3"/>
    <w:rsid w:val="001C35CF"/>
    <w:rsid w:val="001C35EB"/>
    <w:rsid w:val="001C3681"/>
    <w:rsid w:val="001C3686"/>
    <w:rsid w:val="001C369C"/>
    <w:rsid w:val="001C36D7"/>
    <w:rsid w:val="001C3734"/>
    <w:rsid w:val="001C375F"/>
    <w:rsid w:val="001C3768"/>
    <w:rsid w:val="001C3799"/>
    <w:rsid w:val="001C37CA"/>
    <w:rsid w:val="001C3801"/>
    <w:rsid w:val="001C3862"/>
    <w:rsid w:val="001C387A"/>
    <w:rsid w:val="001C3883"/>
    <w:rsid w:val="001C38CE"/>
    <w:rsid w:val="001C390C"/>
    <w:rsid w:val="001C3911"/>
    <w:rsid w:val="001C3926"/>
    <w:rsid w:val="001C3933"/>
    <w:rsid w:val="001C3973"/>
    <w:rsid w:val="001C398D"/>
    <w:rsid w:val="001C399E"/>
    <w:rsid w:val="001C3A1C"/>
    <w:rsid w:val="001C3A2D"/>
    <w:rsid w:val="001C3A75"/>
    <w:rsid w:val="001C3AA4"/>
    <w:rsid w:val="001C3AE0"/>
    <w:rsid w:val="001C3AEB"/>
    <w:rsid w:val="001C3B57"/>
    <w:rsid w:val="001C3B83"/>
    <w:rsid w:val="001C3BAE"/>
    <w:rsid w:val="001C3BCE"/>
    <w:rsid w:val="001C3BF6"/>
    <w:rsid w:val="001C3C12"/>
    <w:rsid w:val="001C3C39"/>
    <w:rsid w:val="001C3C3A"/>
    <w:rsid w:val="001C3CE9"/>
    <w:rsid w:val="001C3D20"/>
    <w:rsid w:val="001C3D39"/>
    <w:rsid w:val="001C3D42"/>
    <w:rsid w:val="001C3D50"/>
    <w:rsid w:val="001C3D8B"/>
    <w:rsid w:val="001C3DA7"/>
    <w:rsid w:val="001C3DAA"/>
    <w:rsid w:val="001C3DC8"/>
    <w:rsid w:val="001C3DDD"/>
    <w:rsid w:val="001C3E73"/>
    <w:rsid w:val="001C3E7B"/>
    <w:rsid w:val="001C3EB3"/>
    <w:rsid w:val="001C3F0C"/>
    <w:rsid w:val="001C3F33"/>
    <w:rsid w:val="001C3F43"/>
    <w:rsid w:val="001C3F6A"/>
    <w:rsid w:val="001C3F83"/>
    <w:rsid w:val="001C3F93"/>
    <w:rsid w:val="001C3FCB"/>
    <w:rsid w:val="001C400C"/>
    <w:rsid w:val="001C4013"/>
    <w:rsid w:val="001C4030"/>
    <w:rsid w:val="001C4033"/>
    <w:rsid w:val="001C404F"/>
    <w:rsid w:val="001C40ED"/>
    <w:rsid w:val="001C40F2"/>
    <w:rsid w:val="001C411B"/>
    <w:rsid w:val="001C41B6"/>
    <w:rsid w:val="001C41DE"/>
    <w:rsid w:val="001C41FD"/>
    <w:rsid w:val="001C42D8"/>
    <w:rsid w:val="001C434C"/>
    <w:rsid w:val="001C4377"/>
    <w:rsid w:val="001C437C"/>
    <w:rsid w:val="001C43F1"/>
    <w:rsid w:val="001C4402"/>
    <w:rsid w:val="001C441B"/>
    <w:rsid w:val="001C443E"/>
    <w:rsid w:val="001C448E"/>
    <w:rsid w:val="001C44A1"/>
    <w:rsid w:val="001C44EC"/>
    <w:rsid w:val="001C4514"/>
    <w:rsid w:val="001C4563"/>
    <w:rsid w:val="001C458A"/>
    <w:rsid w:val="001C45D5"/>
    <w:rsid w:val="001C4657"/>
    <w:rsid w:val="001C46B0"/>
    <w:rsid w:val="001C46FA"/>
    <w:rsid w:val="001C4736"/>
    <w:rsid w:val="001C4796"/>
    <w:rsid w:val="001C479E"/>
    <w:rsid w:val="001C47D6"/>
    <w:rsid w:val="001C487F"/>
    <w:rsid w:val="001C4920"/>
    <w:rsid w:val="001C4987"/>
    <w:rsid w:val="001C49D9"/>
    <w:rsid w:val="001C4A1C"/>
    <w:rsid w:val="001C4A3D"/>
    <w:rsid w:val="001C4A6C"/>
    <w:rsid w:val="001C4A91"/>
    <w:rsid w:val="001C4AB4"/>
    <w:rsid w:val="001C4B57"/>
    <w:rsid w:val="001C4B65"/>
    <w:rsid w:val="001C4B7F"/>
    <w:rsid w:val="001C4B8F"/>
    <w:rsid w:val="001C4C03"/>
    <w:rsid w:val="001C4C07"/>
    <w:rsid w:val="001C4C57"/>
    <w:rsid w:val="001C4C82"/>
    <w:rsid w:val="001C4CA0"/>
    <w:rsid w:val="001C4CC7"/>
    <w:rsid w:val="001C4CFF"/>
    <w:rsid w:val="001C4D78"/>
    <w:rsid w:val="001C4D96"/>
    <w:rsid w:val="001C4DE1"/>
    <w:rsid w:val="001C4E4F"/>
    <w:rsid w:val="001C4E90"/>
    <w:rsid w:val="001C4E94"/>
    <w:rsid w:val="001C4EEF"/>
    <w:rsid w:val="001C4EF9"/>
    <w:rsid w:val="001C5008"/>
    <w:rsid w:val="001C505C"/>
    <w:rsid w:val="001C5060"/>
    <w:rsid w:val="001C507D"/>
    <w:rsid w:val="001C508C"/>
    <w:rsid w:val="001C5094"/>
    <w:rsid w:val="001C50A2"/>
    <w:rsid w:val="001C50C8"/>
    <w:rsid w:val="001C50CF"/>
    <w:rsid w:val="001C5106"/>
    <w:rsid w:val="001C5111"/>
    <w:rsid w:val="001C5166"/>
    <w:rsid w:val="001C51BC"/>
    <w:rsid w:val="001C51F3"/>
    <w:rsid w:val="001C5206"/>
    <w:rsid w:val="001C5221"/>
    <w:rsid w:val="001C5231"/>
    <w:rsid w:val="001C5255"/>
    <w:rsid w:val="001C5285"/>
    <w:rsid w:val="001C53CD"/>
    <w:rsid w:val="001C53F5"/>
    <w:rsid w:val="001C5405"/>
    <w:rsid w:val="001C5433"/>
    <w:rsid w:val="001C5482"/>
    <w:rsid w:val="001C548B"/>
    <w:rsid w:val="001C54A2"/>
    <w:rsid w:val="001C54EC"/>
    <w:rsid w:val="001C5509"/>
    <w:rsid w:val="001C5514"/>
    <w:rsid w:val="001C553B"/>
    <w:rsid w:val="001C55A8"/>
    <w:rsid w:val="001C55B2"/>
    <w:rsid w:val="001C55E8"/>
    <w:rsid w:val="001C55FB"/>
    <w:rsid w:val="001C5607"/>
    <w:rsid w:val="001C563C"/>
    <w:rsid w:val="001C5659"/>
    <w:rsid w:val="001C56C1"/>
    <w:rsid w:val="001C56EC"/>
    <w:rsid w:val="001C56EE"/>
    <w:rsid w:val="001C5748"/>
    <w:rsid w:val="001C574B"/>
    <w:rsid w:val="001C5750"/>
    <w:rsid w:val="001C5783"/>
    <w:rsid w:val="001C5803"/>
    <w:rsid w:val="001C584F"/>
    <w:rsid w:val="001C587F"/>
    <w:rsid w:val="001C5897"/>
    <w:rsid w:val="001C58A3"/>
    <w:rsid w:val="001C58D2"/>
    <w:rsid w:val="001C58DA"/>
    <w:rsid w:val="001C58E8"/>
    <w:rsid w:val="001C5900"/>
    <w:rsid w:val="001C5953"/>
    <w:rsid w:val="001C59C7"/>
    <w:rsid w:val="001C59E2"/>
    <w:rsid w:val="001C59FC"/>
    <w:rsid w:val="001C5A10"/>
    <w:rsid w:val="001C5A11"/>
    <w:rsid w:val="001C5AB6"/>
    <w:rsid w:val="001C5B26"/>
    <w:rsid w:val="001C5B8D"/>
    <w:rsid w:val="001C5BB1"/>
    <w:rsid w:val="001C5C25"/>
    <w:rsid w:val="001C5C44"/>
    <w:rsid w:val="001C5C46"/>
    <w:rsid w:val="001C5C8D"/>
    <w:rsid w:val="001C5CB0"/>
    <w:rsid w:val="001C5CB8"/>
    <w:rsid w:val="001C5D3E"/>
    <w:rsid w:val="001C5D4B"/>
    <w:rsid w:val="001C5D91"/>
    <w:rsid w:val="001C5D93"/>
    <w:rsid w:val="001C5DCE"/>
    <w:rsid w:val="001C5EB6"/>
    <w:rsid w:val="001C5EDE"/>
    <w:rsid w:val="001C5EFB"/>
    <w:rsid w:val="001C5F22"/>
    <w:rsid w:val="001C5F81"/>
    <w:rsid w:val="001C5FE8"/>
    <w:rsid w:val="001C5FEF"/>
    <w:rsid w:val="001C6001"/>
    <w:rsid w:val="001C6073"/>
    <w:rsid w:val="001C609B"/>
    <w:rsid w:val="001C616D"/>
    <w:rsid w:val="001C6198"/>
    <w:rsid w:val="001C61CA"/>
    <w:rsid w:val="001C6240"/>
    <w:rsid w:val="001C6278"/>
    <w:rsid w:val="001C629B"/>
    <w:rsid w:val="001C62CF"/>
    <w:rsid w:val="001C62FF"/>
    <w:rsid w:val="001C631A"/>
    <w:rsid w:val="001C6327"/>
    <w:rsid w:val="001C6332"/>
    <w:rsid w:val="001C6334"/>
    <w:rsid w:val="001C637D"/>
    <w:rsid w:val="001C638B"/>
    <w:rsid w:val="001C639B"/>
    <w:rsid w:val="001C63CA"/>
    <w:rsid w:val="001C63E7"/>
    <w:rsid w:val="001C6405"/>
    <w:rsid w:val="001C646D"/>
    <w:rsid w:val="001C6499"/>
    <w:rsid w:val="001C64F6"/>
    <w:rsid w:val="001C6515"/>
    <w:rsid w:val="001C658C"/>
    <w:rsid w:val="001C65AF"/>
    <w:rsid w:val="001C65E1"/>
    <w:rsid w:val="001C6605"/>
    <w:rsid w:val="001C6612"/>
    <w:rsid w:val="001C662F"/>
    <w:rsid w:val="001C6638"/>
    <w:rsid w:val="001C6665"/>
    <w:rsid w:val="001C66B4"/>
    <w:rsid w:val="001C6759"/>
    <w:rsid w:val="001C6775"/>
    <w:rsid w:val="001C67AE"/>
    <w:rsid w:val="001C67BA"/>
    <w:rsid w:val="001C6810"/>
    <w:rsid w:val="001C6831"/>
    <w:rsid w:val="001C6840"/>
    <w:rsid w:val="001C68AC"/>
    <w:rsid w:val="001C68BC"/>
    <w:rsid w:val="001C699F"/>
    <w:rsid w:val="001C69AE"/>
    <w:rsid w:val="001C69DD"/>
    <w:rsid w:val="001C69DF"/>
    <w:rsid w:val="001C69E1"/>
    <w:rsid w:val="001C6A86"/>
    <w:rsid w:val="001C6AA9"/>
    <w:rsid w:val="001C6AF0"/>
    <w:rsid w:val="001C6B10"/>
    <w:rsid w:val="001C6B6F"/>
    <w:rsid w:val="001C6B7C"/>
    <w:rsid w:val="001C6BC7"/>
    <w:rsid w:val="001C6C22"/>
    <w:rsid w:val="001C6C28"/>
    <w:rsid w:val="001C6C35"/>
    <w:rsid w:val="001C6C3F"/>
    <w:rsid w:val="001C6C70"/>
    <w:rsid w:val="001C6D67"/>
    <w:rsid w:val="001C6D71"/>
    <w:rsid w:val="001C6DE8"/>
    <w:rsid w:val="001C6DF9"/>
    <w:rsid w:val="001C6E09"/>
    <w:rsid w:val="001C6E12"/>
    <w:rsid w:val="001C6E21"/>
    <w:rsid w:val="001C6E66"/>
    <w:rsid w:val="001C6E75"/>
    <w:rsid w:val="001C6E79"/>
    <w:rsid w:val="001C6F25"/>
    <w:rsid w:val="001C6F4D"/>
    <w:rsid w:val="001C6F56"/>
    <w:rsid w:val="001C6F69"/>
    <w:rsid w:val="001C6F8C"/>
    <w:rsid w:val="001C6FD9"/>
    <w:rsid w:val="001C6FE8"/>
    <w:rsid w:val="001C6FEF"/>
    <w:rsid w:val="001C7026"/>
    <w:rsid w:val="001C702E"/>
    <w:rsid w:val="001C7042"/>
    <w:rsid w:val="001C706A"/>
    <w:rsid w:val="001C7096"/>
    <w:rsid w:val="001C709C"/>
    <w:rsid w:val="001C70BD"/>
    <w:rsid w:val="001C70CA"/>
    <w:rsid w:val="001C7145"/>
    <w:rsid w:val="001C71C8"/>
    <w:rsid w:val="001C7263"/>
    <w:rsid w:val="001C726C"/>
    <w:rsid w:val="001C7286"/>
    <w:rsid w:val="001C72C8"/>
    <w:rsid w:val="001C72E6"/>
    <w:rsid w:val="001C735B"/>
    <w:rsid w:val="001C7406"/>
    <w:rsid w:val="001C740B"/>
    <w:rsid w:val="001C74A4"/>
    <w:rsid w:val="001C74C5"/>
    <w:rsid w:val="001C74D6"/>
    <w:rsid w:val="001C7552"/>
    <w:rsid w:val="001C7601"/>
    <w:rsid w:val="001C7617"/>
    <w:rsid w:val="001C7624"/>
    <w:rsid w:val="001C764C"/>
    <w:rsid w:val="001C76E1"/>
    <w:rsid w:val="001C7765"/>
    <w:rsid w:val="001C776D"/>
    <w:rsid w:val="001C7782"/>
    <w:rsid w:val="001C77EC"/>
    <w:rsid w:val="001C786C"/>
    <w:rsid w:val="001C786F"/>
    <w:rsid w:val="001C7893"/>
    <w:rsid w:val="001C78CE"/>
    <w:rsid w:val="001C78F4"/>
    <w:rsid w:val="001C790B"/>
    <w:rsid w:val="001C7910"/>
    <w:rsid w:val="001C791E"/>
    <w:rsid w:val="001C793B"/>
    <w:rsid w:val="001C7979"/>
    <w:rsid w:val="001C79B1"/>
    <w:rsid w:val="001C7A22"/>
    <w:rsid w:val="001C7A32"/>
    <w:rsid w:val="001C7A66"/>
    <w:rsid w:val="001C7A88"/>
    <w:rsid w:val="001C7AA7"/>
    <w:rsid w:val="001C7AE8"/>
    <w:rsid w:val="001C7AF0"/>
    <w:rsid w:val="001C7B06"/>
    <w:rsid w:val="001C7B17"/>
    <w:rsid w:val="001C7B97"/>
    <w:rsid w:val="001C7CF0"/>
    <w:rsid w:val="001C7CF5"/>
    <w:rsid w:val="001C7D0C"/>
    <w:rsid w:val="001C7D2D"/>
    <w:rsid w:val="001C7E44"/>
    <w:rsid w:val="001C7F1C"/>
    <w:rsid w:val="001C7F5D"/>
    <w:rsid w:val="001C7F7B"/>
    <w:rsid w:val="001C7F94"/>
    <w:rsid w:val="001C7FBE"/>
    <w:rsid w:val="001C7FF3"/>
    <w:rsid w:val="001C7FF8"/>
    <w:rsid w:val="001D002F"/>
    <w:rsid w:val="001D005E"/>
    <w:rsid w:val="001D006B"/>
    <w:rsid w:val="001D006D"/>
    <w:rsid w:val="001D0071"/>
    <w:rsid w:val="001D00CA"/>
    <w:rsid w:val="001D00E8"/>
    <w:rsid w:val="001D00FB"/>
    <w:rsid w:val="001D0114"/>
    <w:rsid w:val="001D0126"/>
    <w:rsid w:val="001D016C"/>
    <w:rsid w:val="001D017F"/>
    <w:rsid w:val="001D019B"/>
    <w:rsid w:val="001D01F5"/>
    <w:rsid w:val="001D0235"/>
    <w:rsid w:val="001D029E"/>
    <w:rsid w:val="001D02BA"/>
    <w:rsid w:val="001D032A"/>
    <w:rsid w:val="001D0331"/>
    <w:rsid w:val="001D0343"/>
    <w:rsid w:val="001D0345"/>
    <w:rsid w:val="001D03CA"/>
    <w:rsid w:val="001D03F6"/>
    <w:rsid w:val="001D03F8"/>
    <w:rsid w:val="001D0404"/>
    <w:rsid w:val="001D04C7"/>
    <w:rsid w:val="001D04D2"/>
    <w:rsid w:val="001D0533"/>
    <w:rsid w:val="001D0578"/>
    <w:rsid w:val="001D0583"/>
    <w:rsid w:val="001D0617"/>
    <w:rsid w:val="001D0624"/>
    <w:rsid w:val="001D0640"/>
    <w:rsid w:val="001D0652"/>
    <w:rsid w:val="001D06F0"/>
    <w:rsid w:val="001D0711"/>
    <w:rsid w:val="001D0729"/>
    <w:rsid w:val="001D076F"/>
    <w:rsid w:val="001D07A2"/>
    <w:rsid w:val="001D07E6"/>
    <w:rsid w:val="001D07FC"/>
    <w:rsid w:val="001D0868"/>
    <w:rsid w:val="001D0961"/>
    <w:rsid w:val="001D09C8"/>
    <w:rsid w:val="001D09F3"/>
    <w:rsid w:val="001D0A59"/>
    <w:rsid w:val="001D0AB1"/>
    <w:rsid w:val="001D0B41"/>
    <w:rsid w:val="001D0B6C"/>
    <w:rsid w:val="001D0BDB"/>
    <w:rsid w:val="001D0C16"/>
    <w:rsid w:val="001D0C1F"/>
    <w:rsid w:val="001D0C27"/>
    <w:rsid w:val="001D0C72"/>
    <w:rsid w:val="001D0C99"/>
    <w:rsid w:val="001D0C9A"/>
    <w:rsid w:val="001D0D03"/>
    <w:rsid w:val="001D0D0E"/>
    <w:rsid w:val="001D0DD6"/>
    <w:rsid w:val="001D0DD9"/>
    <w:rsid w:val="001D0E47"/>
    <w:rsid w:val="001D0E5B"/>
    <w:rsid w:val="001D0EA2"/>
    <w:rsid w:val="001D0EE6"/>
    <w:rsid w:val="001D0F0A"/>
    <w:rsid w:val="001D0F5A"/>
    <w:rsid w:val="001D0FC4"/>
    <w:rsid w:val="001D0FEC"/>
    <w:rsid w:val="001D0FF8"/>
    <w:rsid w:val="001D1088"/>
    <w:rsid w:val="001D10D2"/>
    <w:rsid w:val="001D10E1"/>
    <w:rsid w:val="001D10EC"/>
    <w:rsid w:val="001D1139"/>
    <w:rsid w:val="001D1144"/>
    <w:rsid w:val="001D1166"/>
    <w:rsid w:val="001D11B0"/>
    <w:rsid w:val="001D11C3"/>
    <w:rsid w:val="001D11CD"/>
    <w:rsid w:val="001D11D4"/>
    <w:rsid w:val="001D11DC"/>
    <w:rsid w:val="001D1231"/>
    <w:rsid w:val="001D12E5"/>
    <w:rsid w:val="001D12FD"/>
    <w:rsid w:val="001D1302"/>
    <w:rsid w:val="001D1382"/>
    <w:rsid w:val="001D140A"/>
    <w:rsid w:val="001D1412"/>
    <w:rsid w:val="001D1456"/>
    <w:rsid w:val="001D14A6"/>
    <w:rsid w:val="001D14C2"/>
    <w:rsid w:val="001D1507"/>
    <w:rsid w:val="001D1534"/>
    <w:rsid w:val="001D153A"/>
    <w:rsid w:val="001D1663"/>
    <w:rsid w:val="001D169E"/>
    <w:rsid w:val="001D175B"/>
    <w:rsid w:val="001D177D"/>
    <w:rsid w:val="001D1780"/>
    <w:rsid w:val="001D17A0"/>
    <w:rsid w:val="001D180C"/>
    <w:rsid w:val="001D1834"/>
    <w:rsid w:val="001D189C"/>
    <w:rsid w:val="001D18B3"/>
    <w:rsid w:val="001D1926"/>
    <w:rsid w:val="001D1969"/>
    <w:rsid w:val="001D1A07"/>
    <w:rsid w:val="001D1A0D"/>
    <w:rsid w:val="001D1A40"/>
    <w:rsid w:val="001D1A77"/>
    <w:rsid w:val="001D1AA1"/>
    <w:rsid w:val="001D1AAB"/>
    <w:rsid w:val="001D1AB5"/>
    <w:rsid w:val="001D1AC0"/>
    <w:rsid w:val="001D1AD7"/>
    <w:rsid w:val="001D1B03"/>
    <w:rsid w:val="001D1B06"/>
    <w:rsid w:val="001D1B26"/>
    <w:rsid w:val="001D1B58"/>
    <w:rsid w:val="001D1B5A"/>
    <w:rsid w:val="001D1B5C"/>
    <w:rsid w:val="001D1B6A"/>
    <w:rsid w:val="001D1B84"/>
    <w:rsid w:val="001D1BC3"/>
    <w:rsid w:val="001D1BC5"/>
    <w:rsid w:val="001D1BCB"/>
    <w:rsid w:val="001D1BFA"/>
    <w:rsid w:val="001D1C15"/>
    <w:rsid w:val="001D1C75"/>
    <w:rsid w:val="001D1C88"/>
    <w:rsid w:val="001D1CB0"/>
    <w:rsid w:val="001D1CD1"/>
    <w:rsid w:val="001D1D33"/>
    <w:rsid w:val="001D1D73"/>
    <w:rsid w:val="001D1DD3"/>
    <w:rsid w:val="001D1EC8"/>
    <w:rsid w:val="001D1ED6"/>
    <w:rsid w:val="001D1F36"/>
    <w:rsid w:val="001D1F42"/>
    <w:rsid w:val="001D1F69"/>
    <w:rsid w:val="001D1F8D"/>
    <w:rsid w:val="001D1FC8"/>
    <w:rsid w:val="001D1FDB"/>
    <w:rsid w:val="001D2032"/>
    <w:rsid w:val="001D2084"/>
    <w:rsid w:val="001D2095"/>
    <w:rsid w:val="001D20AB"/>
    <w:rsid w:val="001D20D6"/>
    <w:rsid w:val="001D210D"/>
    <w:rsid w:val="001D2111"/>
    <w:rsid w:val="001D2121"/>
    <w:rsid w:val="001D2143"/>
    <w:rsid w:val="001D2144"/>
    <w:rsid w:val="001D2165"/>
    <w:rsid w:val="001D2168"/>
    <w:rsid w:val="001D217D"/>
    <w:rsid w:val="001D2190"/>
    <w:rsid w:val="001D21AB"/>
    <w:rsid w:val="001D21C3"/>
    <w:rsid w:val="001D2243"/>
    <w:rsid w:val="001D22B1"/>
    <w:rsid w:val="001D22D4"/>
    <w:rsid w:val="001D230B"/>
    <w:rsid w:val="001D2344"/>
    <w:rsid w:val="001D23A6"/>
    <w:rsid w:val="001D2411"/>
    <w:rsid w:val="001D241A"/>
    <w:rsid w:val="001D2463"/>
    <w:rsid w:val="001D255B"/>
    <w:rsid w:val="001D2563"/>
    <w:rsid w:val="001D258D"/>
    <w:rsid w:val="001D25C2"/>
    <w:rsid w:val="001D25CF"/>
    <w:rsid w:val="001D25E0"/>
    <w:rsid w:val="001D2661"/>
    <w:rsid w:val="001D2663"/>
    <w:rsid w:val="001D2690"/>
    <w:rsid w:val="001D272A"/>
    <w:rsid w:val="001D276F"/>
    <w:rsid w:val="001D2781"/>
    <w:rsid w:val="001D27E8"/>
    <w:rsid w:val="001D27FD"/>
    <w:rsid w:val="001D283B"/>
    <w:rsid w:val="001D28DD"/>
    <w:rsid w:val="001D291D"/>
    <w:rsid w:val="001D2938"/>
    <w:rsid w:val="001D29D9"/>
    <w:rsid w:val="001D2A0D"/>
    <w:rsid w:val="001D2A2A"/>
    <w:rsid w:val="001D2A58"/>
    <w:rsid w:val="001D2ABE"/>
    <w:rsid w:val="001D2B36"/>
    <w:rsid w:val="001D2B4B"/>
    <w:rsid w:val="001D2C29"/>
    <w:rsid w:val="001D2C6D"/>
    <w:rsid w:val="001D2C92"/>
    <w:rsid w:val="001D2CA9"/>
    <w:rsid w:val="001D2CC9"/>
    <w:rsid w:val="001D2CD3"/>
    <w:rsid w:val="001D2CE2"/>
    <w:rsid w:val="001D2D0D"/>
    <w:rsid w:val="001D2D5E"/>
    <w:rsid w:val="001D2DB8"/>
    <w:rsid w:val="001D2DFA"/>
    <w:rsid w:val="001D2E1E"/>
    <w:rsid w:val="001D2E29"/>
    <w:rsid w:val="001D2E56"/>
    <w:rsid w:val="001D2E73"/>
    <w:rsid w:val="001D2E8A"/>
    <w:rsid w:val="001D2E9E"/>
    <w:rsid w:val="001D2EDA"/>
    <w:rsid w:val="001D2EF2"/>
    <w:rsid w:val="001D2F0D"/>
    <w:rsid w:val="001D2F0E"/>
    <w:rsid w:val="001D2F35"/>
    <w:rsid w:val="001D2F38"/>
    <w:rsid w:val="001D2F69"/>
    <w:rsid w:val="001D2F95"/>
    <w:rsid w:val="001D2FA2"/>
    <w:rsid w:val="001D3090"/>
    <w:rsid w:val="001D30A6"/>
    <w:rsid w:val="001D30AB"/>
    <w:rsid w:val="001D30CC"/>
    <w:rsid w:val="001D30EC"/>
    <w:rsid w:val="001D3153"/>
    <w:rsid w:val="001D316F"/>
    <w:rsid w:val="001D317E"/>
    <w:rsid w:val="001D31DA"/>
    <w:rsid w:val="001D31ED"/>
    <w:rsid w:val="001D3212"/>
    <w:rsid w:val="001D3221"/>
    <w:rsid w:val="001D3222"/>
    <w:rsid w:val="001D322D"/>
    <w:rsid w:val="001D3250"/>
    <w:rsid w:val="001D32DD"/>
    <w:rsid w:val="001D32F9"/>
    <w:rsid w:val="001D337D"/>
    <w:rsid w:val="001D33A4"/>
    <w:rsid w:val="001D340E"/>
    <w:rsid w:val="001D3443"/>
    <w:rsid w:val="001D344E"/>
    <w:rsid w:val="001D344F"/>
    <w:rsid w:val="001D3457"/>
    <w:rsid w:val="001D3472"/>
    <w:rsid w:val="001D356D"/>
    <w:rsid w:val="001D35A9"/>
    <w:rsid w:val="001D35D3"/>
    <w:rsid w:val="001D35EA"/>
    <w:rsid w:val="001D3678"/>
    <w:rsid w:val="001D3698"/>
    <w:rsid w:val="001D369B"/>
    <w:rsid w:val="001D36E9"/>
    <w:rsid w:val="001D36EB"/>
    <w:rsid w:val="001D370D"/>
    <w:rsid w:val="001D3796"/>
    <w:rsid w:val="001D37A1"/>
    <w:rsid w:val="001D37B8"/>
    <w:rsid w:val="001D37FF"/>
    <w:rsid w:val="001D385F"/>
    <w:rsid w:val="001D3865"/>
    <w:rsid w:val="001D38DB"/>
    <w:rsid w:val="001D38DC"/>
    <w:rsid w:val="001D38E6"/>
    <w:rsid w:val="001D390F"/>
    <w:rsid w:val="001D3930"/>
    <w:rsid w:val="001D3952"/>
    <w:rsid w:val="001D3966"/>
    <w:rsid w:val="001D3985"/>
    <w:rsid w:val="001D3987"/>
    <w:rsid w:val="001D3995"/>
    <w:rsid w:val="001D39B7"/>
    <w:rsid w:val="001D39FA"/>
    <w:rsid w:val="001D3A2B"/>
    <w:rsid w:val="001D3A52"/>
    <w:rsid w:val="001D3A87"/>
    <w:rsid w:val="001D3AA8"/>
    <w:rsid w:val="001D3AF2"/>
    <w:rsid w:val="001D3B15"/>
    <w:rsid w:val="001D3B18"/>
    <w:rsid w:val="001D3B28"/>
    <w:rsid w:val="001D3B51"/>
    <w:rsid w:val="001D3BCC"/>
    <w:rsid w:val="001D3BFF"/>
    <w:rsid w:val="001D3C07"/>
    <w:rsid w:val="001D3C47"/>
    <w:rsid w:val="001D3C5C"/>
    <w:rsid w:val="001D3C67"/>
    <w:rsid w:val="001D3CE6"/>
    <w:rsid w:val="001D3D79"/>
    <w:rsid w:val="001D3D81"/>
    <w:rsid w:val="001D3DCA"/>
    <w:rsid w:val="001D3E07"/>
    <w:rsid w:val="001D3EA1"/>
    <w:rsid w:val="001D3EDD"/>
    <w:rsid w:val="001D3F37"/>
    <w:rsid w:val="001D3F3C"/>
    <w:rsid w:val="001D3F4C"/>
    <w:rsid w:val="001D3F59"/>
    <w:rsid w:val="001D3FC4"/>
    <w:rsid w:val="001D3FD8"/>
    <w:rsid w:val="001D3FDD"/>
    <w:rsid w:val="001D3FE8"/>
    <w:rsid w:val="001D4001"/>
    <w:rsid w:val="001D4046"/>
    <w:rsid w:val="001D4082"/>
    <w:rsid w:val="001D418C"/>
    <w:rsid w:val="001D41E0"/>
    <w:rsid w:val="001D426A"/>
    <w:rsid w:val="001D42A2"/>
    <w:rsid w:val="001D42D8"/>
    <w:rsid w:val="001D4313"/>
    <w:rsid w:val="001D434C"/>
    <w:rsid w:val="001D43B9"/>
    <w:rsid w:val="001D43CF"/>
    <w:rsid w:val="001D4456"/>
    <w:rsid w:val="001D4458"/>
    <w:rsid w:val="001D4473"/>
    <w:rsid w:val="001D44A6"/>
    <w:rsid w:val="001D44C2"/>
    <w:rsid w:val="001D4522"/>
    <w:rsid w:val="001D456D"/>
    <w:rsid w:val="001D4591"/>
    <w:rsid w:val="001D45BA"/>
    <w:rsid w:val="001D4605"/>
    <w:rsid w:val="001D4630"/>
    <w:rsid w:val="001D4661"/>
    <w:rsid w:val="001D4715"/>
    <w:rsid w:val="001D473E"/>
    <w:rsid w:val="001D4741"/>
    <w:rsid w:val="001D4746"/>
    <w:rsid w:val="001D475B"/>
    <w:rsid w:val="001D475C"/>
    <w:rsid w:val="001D4776"/>
    <w:rsid w:val="001D4798"/>
    <w:rsid w:val="001D47E8"/>
    <w:rsid w:val="001D4887"/>
    <w:rsid w:val="001D48F9"/>
    <w:rsid w:val="001D491D"/>
    <w:rsid w:val="001D4945"/>
    <w:rsid w:val="001D4954"/>
    <w:rsid w:val="001D4997"/>
    <w:rsid w:val="001D4A43"/>
    <w:rsid w:val="001D4A46"/>
    <w:rsid w:val="001D4A90"/>
    <w:rsid w:val="001D4A95"/>
    <w:rsid w:val="001D4AE3"/>
    <w:rsid w:val="001D4B43"/>
    <w:rsid w:val="001D4B50"/>
    <w:rsid w:val="001D4B89"/>
    <w:rsid w:val="001D4B8B"/>
    <w:rsid w:val="001D4B9D"/>
    <w:rsid w:val="001D4BC6"/>
    <w:rsid w:val="001D4C04"/>
    <w:rsid w:val="001D4C29"/>
    <w:rsid w:val="001D4C4D"/>
    <w:rsid w:val="001D4D35"/>
    <w:rsid w:val="001D4D54"/>
    <w:rsid w:val="001D4DB3"/>
    <w:rsid w:val="001D4DD5"/>
    <w:rsid w:val="001D4DEA"/>
    <w:rsid w:val="001D4DFE"/>
    <w:rsid w:val="001D4E1E"/>
    <w:rsid w:val="001D4E2A"/>
    <w:rsid w:val="001D4EA8"/>
    <w:rsid w:val="001D4FAB"/>
    <w:rsid w:val="001D4FD1"/>
    <w:rsid w:val="001D4FD7"/>
    <w:rsid w:val="001D5090"/>
    <w:rsid w:val="001D5092"/>
    <w:rsid w:val="001D5098"/>
    <w:rsid w:val="001D50DE"/>
    <w:rsid w:val="001D50EA"/>
    <w:rsid w:val="001D5135"/>
    <w:rsid w:val="001D5152"/>
    <w:rsid w:val="001D5154"/>
    <w:rsid w:val="001D5157"/>
    <w:rsid w:val="001D51AE"/>
    <w:rsid w:val="001D51DD"/>
    <w:rsid w:val="001D528B"/>
    <w:rsid w:val="001D52EC"/>
    <w:rsid w:val="001D5323"/>
    <w:rsid w:val="001D537E"/>
    <w:rsid w:val="001D5387"/>
    <w:rsid w:val="001D542F"/>
    <w:rsid w:val="001D5491"/>
    <w:rsid w:val="001D54C9"/>
    <w:rsid w:val="001D54EC"/>
    <w:rsid w:val="001D5530"/>
    <w:rsid w:val="001D556C"/>
    <w:rsid w:val="001D5585"/>
    <w:rsid w:val="001D55CF"/>
    <w:rsid w:val="001D55E6"/>
    <w:rsid w:val="001D560C"/>
    <w:rsid w:val="001D561E"/>
    <w:rsid w:val="001D5630"/>
    <w:rsid w:val="001D56A9"/>
    <w:rsid w:val="001D572D"/>
    <w:rsid w:val="001D5757"/>
    <w:rsid w:val="001D57D6"/>
    <w:rsid w:val="001D5844"/>
    <w:rsid w:val="001D5865"/>
    <w:rsid w:val="001D5885"/>
    <w:rsid w:val="001D589D"/>
    <w:rsid w:val="001D595D"/>
    <w:rsid w:val="001D59DA"/>
    <w:rsid w:val="001D59F6"/>
    <w:rsid w:val="001D5A4B"/>
    <w:rsid w:val="001D5AAF"/>
    <w:rsid w:val="001D5ACE"/>
    <w:rsid w:val="001D5AF7"/>
    <w:rsid w:val="001D5B02"/>
    <w:rsid w:val="001D5BC4"/>
    <w:rsid w:val="001D5BE2"/>
    <w:rsid w:val="001D5C22"/>
    <w:rsid w:val="001D5C2A"/>
    <w:rsid w:val="001D5C63"/>
    <w:rsid w:val="001D5C8E"/>
    <w:rsid w:val="001D5CDC"/>
    <w:rsid w:val="001D5D05"/>
    <w:rsid w:val="001D5D11"/>
    <w:rsid w:val="001D5D4B"/>
    <w:rsid w:val="001D5D97"/>
    <w:rsid w:val="001D5DB3"/>
    <w:rsid w:val="001D5E02"/>
    <w:rsid w:val="001D5EE4"/>
    <w:rsid w:val="001D5EE6"/>
    <w:rsid w:val="001D5EF1"/>
    <w:rsid w:val="001D5F24"/>
    <w:rsid w:val="001D5F38"/>
    <w:rsid w:val="001D5F82"/>
    <w:rsid w:val="001D601A"/>
    <w:rsid w:val="001D60BA"/>
    <w:rsid w:val="001D60F9"/>
    <w:rsid w:val="001D60FD"/>
    <w:rsid w:val="001D610B"/>
    <w:rsid w:val="001D6124"/>
    <w:rsid w:val="001D6170"/>
    <w:rsid w:val="001D61A9"/>
    <w:rsid w:val="001D61AC"/>
    <w:rsid w:val="001D61CD"/>
    <w:rsid w:val="001D61D6"/>
    <w:rsid w:val="001D620F"/>
    <w:rsid w:val="001D6274"/>
    <w:rsid w:val="001D6294"/>
    <w:rsid w:val="001D629D"/>
    <w:rsid w:val="001D62D2"/>
    <w:rsid w:val="001D62D4"/>
    <w:rsid w:val="001D62D8"/>
    <w:rsid w:val="001D6420"/>
    <w:rsid w:val="001D6428"/>
    <w:rsid w:val="001D645B"/>
    <w:rsid w:val="001D647E"/>
    <w:rsid w:val="001D6488"/>
    <w:rsid w:val="001D648E"/>
    <w:rsid w:val="001D64C9"/>
    <w:rsid w:val="001D64EA"/>
    <w:rsid w:val="001D64F5"/>
    <w:rsid w:val="001D6514"/>
    <w:rsid w:val="001D657D"/>
    <w:rsid w:val="001D65A1"/>
    <w:rsid w:val="001D65AE"/>
    <w:rsid w:val="001D65C1"/>
    <w:rsid w:val="001D65C4"/>
    <w:rsid w:val="001D65D3"/>
    <w:rsid w:val="001D65DF"/>
    <w:rsid w:val="001D65F3"/>
    <w:rsid w:val="001D6649"/>
    <w:rsid w:val="001D6662"/>
    <w:rsid w:val="001D666D"/>
    <w:rsid w:val="001D6676"/>
    <w:rsid w:val="001D667B"/>
    <w:rsid w:val="001D66B0"/>
    <w:rsid w:val="001D66E6"/>
    <w:rsid w:val="001D6755"/>
    <w:rsid w:val="001D6770"/>
    <w:rsid w:val="001D679E"/>
    <w:rsid w:val="001D6874"/>
    <w:rsid w:val="001D6924"/>
    <w:rsid w:val="001D699B"/>
    <w:rsid w:val="001D699E"/>
    <w:rsid w:val="001D69A3"/>
    <w:rsid w:val="001D69C6"/>
    <w:rsid w:val="001D69CC"/>
    <w:rsid w:val="001D69E9"/>
    <w:rsid w:val="001D6ACE"/>
    <w:rsid w:val="001D6B0D"/>
    <w:rsid w:val="001D6B1C"/>
    <w:rsid w:val="001D6B5E"/>
    <w:rsid w:val="001D6B7A"/>
    <w:rsid w:val="001D6C2A"/>
    <w:rsid w:val="001D6C4B"/>
    <w:rsid w:val="001D6C83"/>
    <w:rsid w:val="001D6D47"/>
    <w:rsid w:val="001D6D52"/>
    <w:rsid w:val="001D6D56"/>
    <w:rsid w:val="001D6D77"/>
    <w:rsid w:val="001D6DA3"/>
    <w:rsid w:val="001D6E7B"/>
    <w:rsid w:val="001D6E8B"/>
    <w:rsid w:val="001D6E90"/>
    <w:rsid w:val="001D6EAF"/>
    <w:rsid w:val="001D6F52"/>
    <w:rsid w:val="001D6FAB"/>
    <w:rsid w:val="001D6FB2"/>
    <w:rsid w:val="001D701C"/>
    <w:rsid w:val="001D7056"/>
    <w:rsid w:val="001D706F"/>
    <w:rsid w:val="001D70A8"/>
    <w:rsid w:val="001D70B3"/>
    <w:rsid w:val="001D7127"/>
    <w:rsid w:val="001D713A"/>
    <w:rsid w:val="001D7149"/>
    <w:rsid w:val="001D71D4"/>
    <w:rsid w:val="001D7249"/>
    <w:rsid w:val="001D72A1"/>
    <w:rsid w:val="001D7319"/>
    <w:rsid w:val="001D736F"/>
    <w:rsid w:val="001D739F"/>
    <w:rsid w:val="001D73C2"/>
    <w:rsid w:val="001D746E"/>
    <w:rsid w:val="001D748E"/>
    <w:rsid w:val="001D74C6"/>
    <w:rsid w:val="001D74EA"/>
    <w:rsid w:val="001D750A"/>
    <w:rsid w:val="001D7517"/>
    <w:rsid w:val="001D7529"/>
    <w:rsid w:val="001D756C"/>
    <w:rsid w:val="001D756E"/>
    <w:rsid w:val="001D7584"/>
    <w:rsid w:val="001D75A5"/>
    <w:rsid w:val="001D75BD"/>
    <w:rsid w:val="001D75D2"/>
    <w:rsid w:val="001D7620"/>
    <w:rsid w:val="001D7688"/>
    <w:rsid w:val="001D770A"/>
    <w:rsid w:val="001D7710"/>
    <w:rsid w:val="001D776D"/>
    <w:rsid w:val="001D77E7"/>
    <w:rsid w:val="001D77ED"/>
    <w:rsid w:val="001D780D"/>
    <w:rsid w:val="001D784F"/>
    <w:rsid w:val="001D78FB"/>
    <w:rsid w:val="001D7939"/>
    <w:rsid w:val="001D796C"/>
    <w:rsid w:val="001D7974"/>
    <w:rsid w:val="001D7982"/>
    <w:rsid w:val="001D7993"/>
    <w:rsid w:val="001D79E6"/>
    <w:rsid w:val="001D7A1A"/>
    <w:rsid w:val="001D7A25"/>
    <w:rsid w:val="001D7A4C"/>
    <w:rsid w:val="001D7A66"/>
    <w:rsid w:val="001D7A89"/>
    <w:rsid w:val="001D7AA8"/>
    <w:rsid w:val="001D7AC3"/>
    <w:rsid w:val="001D7BAF"/>
    <w:rsid w:val="001D7BE7"/>
    <w:rsid w:val="001D7BEA"/>
    <w:rsid w:val="001D7CA1"/>
    <w:rsid w:val="001D7CE8"/>
    <w:rsid w:val="001D7D07"/>
    <w:rsid w:val="001D7D5E"/>
    <w:rsid w:val="001D7D66"/>
    <w:rsid w:val="001D7D68"/>
    <w:rsid w:val="001D7D7E"/>
    <w:rsid w:val="001D7D8C"/>
    <w:rsid w:val="001D7DDA"/>
    <w:rsid w:val="001D7DDF"/>
    <w:rsid w:val="001D7E19"/>
    <w:rsid w:val="001D7E5C"/>
    <w:rsid w:val="001D7EE4"/>
    <w:rsid w:val="001D7EFC"/>
    <w:rsid w:val="001D7F02"/>
    <w:rsid w:val="001D7F39"/>
    <w:rsid w:val="001D7F3A"/>
    <w:rsid w:val="001D7F3F"/>
    <w:rsid w:val="001D7F5A"/>
    <w:rsid w:val="001D7F5C"/>
    <w:rsid w:val="001D7F65"/>
    <w:rsid w:val="001D7FB3"/>
    <w:rsid w:val="001D7FEA"/>
    <w:rsid w:val="001D7FFC"/>
    <w:rsid w:val="001E0031"/>
    <w:rsid w:val="001E0062"/>
    <w:rsid w:val="001E00B6"/>
    <w:rsid w:val="001E00BD"/>
    <w:rsid w:val="001E00E5"/>
    <w:rsid w:val="001E00ED"/>
    <w:rsid w:val="001E0108"/>
    <w:rsid w:val="001E0117"/>
    <w:rsid w:val="001E0153"/>
    <w:rsid w:val="001E018D"/>
    <w:rsid w:val="001E0193"/>
    <w:rsid w:val="001E01BD"/>
    <w:rsid w:val="001E02D9"/>
    <w:rsid w:val="001E030B"/>
    <w:rsid w:val="001E0336"/>
    <w:rsid w:val="001E03A5"/>
    <w:rsid w:val="001E03C6"/>
    <w:rsid w:val="001E03EB"/>
    <w:rsid w:val="001E03EF"/>
    <w:rsid w:val="001E03F7"/>
    <w:rsid w:val="001E045D"/>
    <w:rsid w:val="001E0472"/>
    <w:rsid w:val="001E0497"/>
    <w:rsid w:val="001E04C0"/>
    <w:rsid w:val="001E04D3"/>
    <w:rsid w:val="001E0526"/>
    <w:rsid w:val="001E05EC"/>
    <w:rsid w:val="001E0651"/>
    <w:rsid w:val="001E065B"/>
    <w:rsid w:val="001E0660"/>
    <w:rsid w:val="001E066C"/>
    <w:rsid w:val="001E0721"/>
    <w:rsid w:val="001E0724"/>
    <w:rsid w:val="001E07B9"/>
    <w:rsid w:val="001E07EE"/>
    <w:rsid w:val="001E0812"/>
    <w:rsid w:val="001E0884"/>
    <w:rsid w:val="001E08C6"/>
    <w:rsid w:val="001E08C9"/>
    <w:rsid w:val="001E08E9"/>
    <w:rsid w:val="001E091A"/>
    <w:rsid w:val="001E091B"/>
    <w:rsid w:val="001E0974"/>
    <w:rsid w:val="001E0992"/>
    <w:rsid w:val="001E0A8D"/>
    <w:rsid w:val="001E0A9C"/>
    <w:rsid w:val="001E0AA3"/>
    <w:rsid w:val="001E0B5F"/>
    <w:rsid w:val="001E0B88"/>
    <w:rsid w:val="001E0B95"/>
    <w:rsid w:val="001E0BA5"/>
    <w:rsid w:val="001E0C0C"/>
    <w:rsid w:val="001E0C97"/>
    <w:rsid w:val="001E0CC4"/>
    <w:rsid w:val="001E0CD5"/>
    <w:rsid w:val="001E0CED"/>
    <w:rsid w:val="001E0D07"/>
    <w:rsid w:val="001E0D17"/>
    <w:rsid w:val="001E0D56"/>
    <w:rsid w:val="001E0D68"/>
    <w:rsid w:val="001E0D78"/>
    <w:rsid w:val="001E0DD9"/>
    <w:rsid w:val="001E0DDC"/>
    <w:rsid w:val="001E0DEB"/>
    <w:rsid w:val="001E0E2B"/>
    <w:rsid w:val="001E0E39"/>
    <w:rsid w:val="001E0E50"/>
    <w:rsid w:val="001E0E7F"/>
    <w:rsid w:val="001E0EA9"/>
    <w:rsid w:val="001E0EBF"/>
    <w:rsid w:val="001E0F00"/>
    <w:rsid w:val="001E0F0C"/>
    <w:rsid w:val="001E0F3A"/>
    <w:rsid w:val="001E0F65"/>
    <w:rsid w:val="001E0FD5"/>
    <w:rsid w:val="001E1081"/>
    <w:rsid w:val="001E108A"/>
    <w:rsid w:val="001E109D"/>
    <w:rsid w:val="001E10D6"/>
    <w:rsid w:val="001E1172"/>
    <w:rsid w:val="001E11CB"/>
    <w:rsid w:val="001E11D1"/>
    <w:rsid w:val="001E11E0"/>
    <w:rsid w:val="001E1206"/>
    <w:rsid w:val="001E1253"/>
    <w:rsid w:val="001E1255"/>
    <w:rsid w:val="001E125B"/>
    <w:rsid w:val="001E125D"/>
    <w:rsid w:val="001E126A"/>
    <w:rsid w:val="001E1284"/>
    <w:rsid w:val="001E12B1"/>
    <w:rsid w:val="001E12D9"/>
    <w:rsid w:val="001E1362"/>
    <w:rsid w:val="001E1373"/>
    <w:rsid w:val="001E1396"/>
    <w:rsid w:val="001E139A"/>
    <w:rsid w:val="001E141C"/>
    <w:rsid w:val="001E141E"/>
    <w:rsid w:val="001E142B"/>
    <w:rsid w:val="001E1436"/>
    <w:rsid w:val="001E1446"/>
    <w:rsid w:val="001E1473"/>
    <w:rsid w:val="001E147F"/>
    <w:rsid w:val="001E149C"/>
    <w:rsid w:val="001E14F0"/>
    <w:rsid w:val="001E1531"/>
    <w:rsid w:val="001E1568"/>
    <w:rsid w:val="001E1584"/>
    <w:rsid w:val="001E15C5"/>
    <w:rsid w:val="001E15D7"/>
    <w:rsid w:val="001E16B0"/>
    <w:rsid w:val="001E16ED"/>
    <w:rsid w:val="001E16FB"/>
    <w:rsid w:val="001E1773"/>
    <w:rsid w:val="001E1818"/>
    <w:rsid w:val="001E1835"/>
    <w:rsid w:val="001E18F2"/>
    <w:rsid w:val="001E1946"/>
    <w:rsid w:val="001E1966"/>
    <w:rsid w:val="001E199F"/>
    <w:rsid w:val="001E1A0B"/>
    <w:rsid w:val="001E1AD4"/>
    <w:rsid w:val="001E1B0B"/>
    <w:rsid w:val="001E1B51"/>
    <w:rsid w:val="001E1B5A"/>
    <w:rsid w:val="001E1BE0"/>
    <w:rsid w:val="001E1C3F"/>
    <w:rsid w:val="001E1CA0"/>
    <w:rsid w:val="001E1D4C"/>
    <w:rsid w:val="001E1D80"/>
    <w:rsid w:val="001E1D84"/>
    <w:rsid w:val="001E1D91"/>
    <w:rsid w:val="001E1DCA"/>
    <w:rsid w:val="001E1DD2"/>
    <w:rsid w:val="001E1E83"/>
    <w:rsid w:val="001E1EB6"/>
    <w:rsid w:val="001E1EC0"/>
    <w:rsid w:val="001E1EFD"/>
    <w:rsid w:val="001E1F09"/>
    <w:rsid w:val="001E1F3E"/>
    <w:rsid w:val="001E1F5C"/>
    <w:rsid w:val="001E1F6A"/>
    <w:rsid w:val="001E1FD8"/>
    <w:rsid w:val="001E2077"/>
    <w:rsid w:val="001E2088"/>
    <w:rsid w:val="001E2136"/>
    <w:rsid w:val="001E214D"/>
    <w:rsid w:val="001E21F8"/>
    <w:rsid w:val="001E2217"/>
    <w:rsid w:val="001E2236"/>
    <w:rsid w:val="001E226D"/>
    <w:rsid w:val="001E2286"/>
    <w:rsid w:val="001E22A1"/>
    <w:rsid w:val="001E22BC"/>
    <w:rsid w:val="001E2332"/>
    <w:rsid w:val="001E2349"/>
    <w:rsid w:val="001E2382"/>
    <w:rsid w:val="001E23F5"/>
    <w:rsid w:val="001E24AD"/>
    <w:rsid w:val="001E24DC"/>
    <w:rsid w:val="001E24E1"/>
    <w:rsid w:val="001E24F4"/>
    <w:rsid w:val="001E259F"/>
    <w:rsid w:val="001E25F2"/>
    <w:rsid w:val="001E2610"/>
    <w:rsid w:val="001E2645"/>
    <w:rsid w:val="001E266A"/>
    <w:rsid w:val="001E2740"/>
    <w:rsid w:val="001E2742"/>
    <w:rsid w:val="001E2747"/>
    <w:rsid w:val="001E2767"/>
    <w:rsid w:val="001E2786"/>
    <w:rsid w:val="001E2810"/>
    <w:rsid w:val="001E282B"/>
    <w:rsid w:val="001E2884"/>
    <w:rsid w:val="001E28BF"/>
    <w:rsid w:val="001E28EB"/>
    <w:rsid w:val="001E28F6"/>
    <w:rsid w:val="001E2920"/>
    <w:rsid w:val="001E2950"/>
    <w:rsid w:val="001E2953"/>
    <w:rsid w:val="001E296E"/>
    <w:rsid w:val="001E2974"/>
    <w:rsid w:val="001E2996"/>
    <w:rsid w:val="001E2A0A"/>
    <w:rsid w:val="001E2A55"/>
    <w:rsid w:val="001E2AC2"/>
    <w:rsid w:val="001E2AF3"/>
    <w:rsid w:val="001E2B27"/>
    <w:rsid w:val="001E2B28"/>
    <w:rsid w:val="001E2B5B"/>
    <w:rsid w:val="001E2B84"/>
    <w:rsid w:val="001E2B95"/>
    <w:rsid w:val="001E2C31"/>
    <w:rsid w:val="001E2C32"/>
    <w:rsid w:val="001E2C39"/>
    <w:rsid w:val="001E2CA8"/>
    <w:rsid w:val="001E2D46"/>
    <w:rsid w:val="001E2DA7"/>
    <w:rsid w:val="001E2DE3"/>
    <w:rsid w:val="001E2E25"/>
    <w:rsid w:val="001E2E56"/>
    <w:rsid w:val="001E2E73"/>
    <w:rsid w:val="001E2EDF"/>
    <w:rsid w:val="001E2EF3"/>
    <w:rsid w:val="001E2F18"/>
    <w:rsid w:val="001E2F41"/>
    <w:rsid w:val="001E2F46"/>
    <w:rsid w:val="001E2F58"/>
    <w:rsid w:val="001E2FC1"/>
    <w:rsid w:val="001E2FCE"/>
    <w:rsid w:val="001E3094"/>
    <w:rsid w:val="001E30AD"/>
    <w:rsid w:val="001E3124"/>
    <w:rsid w:val="001E3159"/>
    <w:rsid w:val="001E31D1"/>
    <w:rsid w:val="001E3237"/>
    <w:rsid w:val="001E3245"/>
    <w:rsid w:val="001E3260"/>
    <w:rsid w:val="001E32A9"/>
    <w:rsid w:val="001E3321"/>
    <w:rsid w:val="001E333A"/>
    <w:rsid w:val="001E3418"/>
    <w:rsid w:val="001E3435"/>
    <w:rsid w:val="001E3437"/>
    <w:rsid w:val="001E3443"/>
    <w:rsid w:val="001E3473"/>
    <w:rsid w:val="001E3495"/>
    <w:rsid w:val="001E34D9"/>
    <w:rsid w:val="001E355D"/>
    <w:rsid w:val="001E359D"/>
    <w:rsid w:val="001E35CA"/>
    <w:rsid w:val="001E35E0"/>
    <w:rsid w:val="001E360A"/>
    <w:rsid w:val="001E361E"/>
    <w:rsid w:val="001E3627"/>
    <w:rsid w:val="001E3653"/>
    <w:rsid w:val="001E3678"/>
    <w:rsid w:val="001E3680"/>
    <w:rsid w:val="001E36BB"/>
    <w:rsid w:val="001E3743"/>
    <w:rsid w:val="001E3744"/>
    <w:rsid w:val="001E37BF"/>
    <w:rsid w:val="001E37CC"/>
    <w:rsid w:val="001E3827"/>
    <w:rsid w:val="001E3876"/>
    <w:rsid w:val="001E38B1"/>
    <w:rsid w:val="001E38B7"/>
    <w:rsid w:val="001E38FE"/>
    <w:rsid w:val="001E3952"/>
    <w:rsid w:val="001E395E"/>
    <w:rsid w:val="001E399A"/>
    <w:rsid w:val="001E39C2"/>
    <w:rsid w:val="001E39D8"/>
    <w:rsid w:val="001E39FD"/>
    <w:rsid w:val="001E3A41"/>
    <w:rsid w:val="001E3A4A"/>
    <w:rsid w:val="001E3A51"/>
    <w:rsid w:val="001E3A6A"/>
    <w:rsid w:val="001E3A74"/>
    <w:rsid w:val="001E3A81"/>
    <w:rsid w:val="001E3A82"/>
    <w:rsid w:val="001E3AF4"/>
    <w:rsid w:val="001E3B3B"/>
    <w:rsid w:val="001E3B93"/>
    <w:rsid w:val="001E3BA8"/>
    <w:rsid w:val="001E3BAC"/>
    <w:rsid w:val="001E3BFE"/>
    <w:rsid w:val="001E3C14"/>
    <w:rsid w:val="001E3C42"/>
    <w:rsid w:val="001E3CCD"/>
    <w:rsid w:val="001E3CD0"/>
    <w:rsid w:val="001E3D0B"/>
    <w:rsid w:val="001E3D42"/>
    <w:rsid w:val="001E3D5C"/>
    <w:rsid w:val="001E3D98"/>
    <w:rsid w:val="001E3E4A"/>
    <w:rsid w:val="001E3E6C"/>
    <w:rsid w:val="001E3F10"/>
    <w:rsid w:val="001E4078"/>
    <w:rsid w:val="001E4124"/>
    <w:rsid w:val="001E4180"/>
    <w:rsid w:val="001E419C"/>
    <w:rsid w:val="001E425F"/>
    <w:rsid w:val="001E42A6"/>
    <w:rsid w:val="001E42D2"/>
    <w:rsid w:val="001E42D9"/>
    <w:rsid w:val="001E42EC"/>
    <w:rsid w:val="001E4308"/>
    <w:rsid w:val="001E430D"/>
    <w:rsid w:val="001E432F"/>
    <w:rsid w:val="001E43DC"/>
    <w:rsid w:val="001E43FD"/>
    <w:rsid w:val="001E440B"/>
    <w:rsid w:val="001E446D"/>
    <w:rsid w:val="001E4484"/>
    <w:rsid w:val="001E4490"/>
    <w:rsid w:val="001E4495"/>
    <w:rsid w:val="001E44A6"/>
    <w:rsid w:val="001E44D6"/>
    <w:rsid w:val="001E44DD"/>
    <w:rsid w:val="001E450E"/>
    <w:rsid w:val="001E4546"/>
    <w:rsid w:val="001E4563"/>
    <w:rsid w:val="001E456A"/>
    <w:rsid w:val="001E4574"/>
    <w:rsid w:val="001E459F"/>
    <w:rsid w:val="001E45EA"/>
    <w:rsid w:val="001E45F6"/>
    <w:rsid w:val="001E45F7"/>
    <w:rsid w:val="001E4615"/>
    <w:rsid w:val="001E4631"/>
    <w:rsid w:val="001E4636"/>
    <w:rsid w:val="001E465C"/>
    <w:rsid w:val="001E46A5"/>
    <w:rsid w:val="001E46FD"/>
    <w:rsid w:val="001E4701"/>
    <w:rsid w:val="001E4733"/>
    <w:rsid w:val="001E4735"/>
    <w:rsid w:val="001E4748"/>
    <w:rsid w:val="001E478E"/>
    <w:rsid w:val="001E47B8"/>
    <w:rsid w:val="001E47C4"/>
    <w:rsid w:val="001E4810"/>
    <w:rsid w:val="001E4839"/>
    <w:rsid w:val="001E486B"/>
    <w:rsid w:val="001E48B7"/>
    <w:rsid w:val="001E48DA"/>
    <w:rsid w:val="001E48E0"/>
    <w:rsid w:val="001E4930"/>
    <w:rsid w:val="001E496A"/>
    <w:rsid w:val="001E4993"/>
    <w:rsid w:val="001E499A"/>
    <w:rsid w:val="001E4A45"/>
    <w:rsid w:val="001E4A8D"/>
    <w:rsid w:val="001E4A9F"/>
    <w:rsid w:val="001E4AC2"/>
    <w:rsid w:val="001E4B4C"/>
    <w:rsid w:val="001E4B75"/>
    <w:rsid w:val="001E4BCC"/>
    <w:rsid w:val="001E4BD4"/>
    <w:rsid w:val="001E4C38"/>
    <w:rsid w:val="001E4C57"/>
    <w:rsid w:val="001E4C6C"/>
    <w:rsid w:val="001E4CCA"/>
    <w:rsid w:val="001E4CF2"/>
    <w:rsid w:val="001E4D91"/>
    <w:rsid w:val="001E4DF0"/>
    <w:rsid w:val="001E4E49"/>
    <w:rsid w:val="001E4E54"/>
    <w:rsid w:val="001E4E5D"/>
    <w:rsid w:val="001E4E79"/>
    <w:rsid w:val="001E4EDE"/>
    <w:rsid w:val="001E4EE6"/>
    <w:rsid w:val="001E4EF6"/>
    <w:rsid w:val="001E4F1A"/>
    <w:rsid w:val="001E4F1C"/>
    <w:rsid w:val="001E4FAC"/>
    <w:rsid w:val="001E4FDD"/>
    <w:rsid w:val="001E5035"/>
    <w:rsid w:val="001E503B"/>
    <w:rsid w:val="001E5057"/>
    <w:rsid w:val="001E50BA"/>
    <w:rsid w:val="001E50D0"/>
    <w:rsid w:val="001E50D1"/>
    <w:rsid w:val="001E50F0"/>
    <w:rsid w:val="001E50F8"/>
    <w:rsid w:val="001E5149"/>
    <w:rsid w:val="001E514C"/>
    <w:rsid w:val="001E5176"/>
    <w:rsid w:val="001E51C4"/>
    <w:rsid w:val="001E526B"/>
    <w:rsid w:val="001E52D4"/>
    <w:rsid w:val="001E52DF"/>
    <w:rsid w:val="001E52EE"/>
    <w:rsid w:val="001E52F3"/>
    <w:rsid w:val="001E5327"/>
    <w:rsid w:val="001E538F"/>
    <w:rsid w:val="001E53BC"/>
    <w:rsid w:val="001E53D1"/>
    <w:rsid w:val="001E540E"/>
    <w:rsid w:val="001E548A"/>
    <w:rsid w:val="001E54AA"/>
    <w:rsid w:val="001E559F"/>
    <w:rsid w:val="001E55D5"/>
    <w:rsid w:val="001E5605"/>
    <w:rsid w:val="001E561F"/>
    <w:rsid w:val="001E5639"/>
    <w:rsid w:val="001E5677"/>
    <w:rsid w:val="001E56C1"/>
    <w:rsid w:val="001E570B"/>
    <w:rsid w:val="001E5766"/>
    <w:rsid w:val="001E5783"/>
    <w:rsid w:val="001E5810"/>
    <w:rsid w:val="001E586D"/>
    <w:rsid w:val="001E58E3"/>
    <w:rsid w:val="001E5906"/>
    <w:rsid w:val="001E5988"/>
    <w:rsid w:val="001E5998"/>
    <w:rsid w:val="001E599C"/>
    <w:rsid w:val="001E5A0B"/>
    <w:rsid w:val="001E5A19"/>
    <w:rsid w:val="001E5A4D"/>
    <w:rsid w:val="001E5A77"/>
    <w:rsid w:val="001E5A91"/>
    <w:rsid w:val="001E5AA2"/>
    <w:rsid w:val="001E5AA4"/>
    <w:rsid w:val="001E5ADE"/>
    <w:rsid w:val="001E5B01"/>
    <w:rsid w:val="001E5B41"/>
    <w:rsid w:val="001E5C13"/>
    <w:rsid w:val="001E5C7F"/>
    <w:rsid w:val="001E5C9A"/>
    <w:rsid w:val="001E5D77"/>
    <w:rsid w:val="001E5DCC"/>
    <w:rsid w:val="001E5E18"/>
    <w:rsid w:val="001E5E90"/>
    <w:rsid w:val="001E5EE3"/>
    <w:rsid w:val="001E5F22"/>
    <w:rsid w:val="001E5F2A"/>
    <w:rsid w:val="001E5F3B"/>
    <w:rsid w:val="001E6074"/>
    <w:rsid w:val="001E60A3"/>
    <w:rsid w:val="001E6141"/>
    <w:rsid w:val="001E6143"/>
    <w:rsid w:val="001E616D"/>
    <w:rsid w:val="001E6239"/>
    <w:rsid w:val="001E630B"/>
    <w:rsid w:val="001E631B"/>
    <w:rsid w:val="001E6331"/>
    <w:rsid w:val="001E636B"/>
    <w:rsid w:val="001E639A"/>
    <w:rsid w:val="001E639B"/>
    <w:rsid w:val="001E6436"/>
    <w:rsid w:val="001E64E7"/>
    <w:rsid w:val="001E64ED"/>
    <w:rsid w:val="001E64F3"/>
    <w:rsid w:val="001E6520"/>
    <w:rsid w:val="001E6523"/>
    <w:rsid w:val="001E652C"/>
    <w:rsid w:val="001E6534"/>
    <w:rsid w:val="001E6592"/>
    <w:rsid w:val="001E65AA"/>
    <w:rsid w:val="001E65C5"/>
    <w:rsid w:val="001E661C"/>
    <w:rsid w:val="001E662C"/>
    <w:rsid w:val="001E663D"/>
    <w:rsid w:val="001E664A"/>
    <w:rsid w:val="001E6660"/>
    <w:rsid w:val="001E66D1"/>
    <w:rsid w:val="001E677B"/>
    <w:rsid w:val="001E685A"/>
    <w:rsid w:val="001E6916"/>
    <w:rsid w:val="001E6947"/>
    <w:rsid w:val="001E6986"/>
    <w:rsid w:val="001E6A02"/>
    <w:rsid w:val="001E6ABE"/>
    <w:rsid w:val="001E6B10"/>
    <w:rsid w:val="001E6B80"/>
    <w:rsid w:val="001E6B83"/>
    <w:rsid w:val="001E6B84"/>
    <w:rsid w:val="001E6C1F"/>
    <w:rsid w:val="001E6C2E"/>
    <w:rsid w:val="001E6CE6"/>
    <w:rsid w:val="001E6D22"/>
    <w:rsid w:val="001E6D3E"/>
    <w:rsid w:val="001E6D8D"/>
    <w:rsid w:val="001E6DC8"/>
    <w:rsid w:val="001E6DDF"/>
    <w:rsid w:val="001E6DE0"/>
    <w:rsid w:val="001E6DE1"/>
    <w:rsid w:val="001E6E02"/>
    <w:rsid w:val="001E6E26"/>
    <w:rsid w:val="001E6E31"/>
    <w:rsid w:val="001E6E37"/>
    <w:rsid w:val="001E6F3A"/>
    <w:rsid w:val="001E6F4E"/>
    <w:rsid w:val="001E6F67"/>
    <w:rsid w:val="001E6F78"/>
    <w:rsid w:val="001E6F9C"/>
    <w:rsid w:val="001E704B"/>
    <w:rsid w:val="001E70CB"/>
    <w:rsid w:val="001E7117"/>
    <w:rsid w:val="001E712A"/>
    <w:rsid w:val="001E713F"/>
    <w:rsid w:val="001E71D6"/>
    <w:rsid w:val="001E71FB"/>
    <w:rsid w:val="001E72A0"/>
    <w:rsid w:val="001E72E6"/>
    <w:rsid w:val="001E7344"/>
    <w:rsid w:val="001E73BF"/>
    <w:rsid w:val="001E73D7"/>
    <w:rsid w:val="001E73E1"/>
    <w:rsid w:val="001E740C"/>
    <w:rsid w:val="001E7497"/>
    <w:rsid w:val="001E74D2"/>
    <w:rsid w:val="001E751D"/>
    <w:rsid w:val="001E753E"/>
    <w:rsid w:val="001E7589"/>
    <w:rsid w:val="001E759B"/>
    <w:rsid w:val="001E75C6"/>
    <w:rsid w:val="001E75DB"/>
    <w:rsid w:val="001E75DD"/>
    <w:rsid w:val="001E75F9"/>
    <w:rsid w:val="001E7686"/>
    <w:rsid w:val="001E7688"/>
    <w:rsid w:val="001E76A3"/>
    <w:rsid w:val="001E76C8"/>
    <w:rsid w:val="001E76CD"/>
    <w:rsid w:val="001E76E0"/>
    <w:rsid w:val="001E76E2"/>
    <w:rsid w:val="001E76E5"/>
    <w:rsid w:val="001E7721"/>
    <w:rsid w:val="001E7853"/>
    <w:rsid w:val="001E78B6"/>
    <w:rsid w:val="001E78D5"/>
    <w:rsid w:val="001E78DC"/>
    <w:rsid w:val="001E78FA"/>
    <w:rsid w:val="001E7912"/>
    <w:rsid w:val="001E791E"/>
    <w:rsid w:val="001E7978"/>
    <w:rsid w:val="001E79A5"/>
    <w:rsid w:val="001E79D4"/>
    <w:rsid w:val="001E7AA8"/>
    <w:rsid w:val="001E7AAB"/>
    <w:rsid w:val="001E7ACD"/>
    <w:rsid w:val="001E7AED"/>
    <w:rsid w:val="001E7B5D"/>
    <w:rsid w:val="001E7C6C"/>
    <w:rsid w:val="001E7C91"/>
    <w:rsid w:val="001E7CCB"/>
    <w:rsid w:val="001E7CF0"/>
    <w:rsid w:val="001E7D0C"/>
    <w:rsid w:val="001E7D1F"/>
    <w:rsid w:val="001E7D2B"/>
    <w:rsid w:val="001E7D3B"/>
    <w:rsid w:val="001E7DAE"/>
    <w:rsid w:val="001E7DD0"/>
    <w:rsid w:val="001E7DD5"/>
    <w:rsid w:val="001E7E1A"/>
    <w:rsid w:val="001E7E63"/>
    <w:rsid w:val="001E7ED7"/>
    <w:rsid w:val="001E7EDE"/>
    <w:rsid w:val="001E7EE0"/>
    <w:rsid w:val="001E7EE2"/>
    <w:rsid w:val="001E7F1E"/>
    <w:rsid w:val="001E7F3F"/>
    <w:rsid w:val="001E7F6E"/>
    <w:rsid w:val="001EDBEB"/>
    <w:rsid w:val="001EFE05"/>
    <w:rsid w:val="001F009B"/>
    <w:rsid w:val="001F00B5"/>
    <w:rsid w:val="001F00B8"/>
    <w:rsid w:val="001F00D5"/>
    <w:rsid w:val="001F018F"/>
    <w:rsid w:val="001F0318"/>
    <w:rsid w:val="001F0339"/>
    <w:rsid w:val="001F03CA"/>
    <w:rsid w:val="001F03CD"/>
    <w:rsid w:val="001F040D"/>
    <w:rsid w:val="001F0414"/>
    <w:rsid w:val="001F0416"/>
    <w:rsid w:val="001F0446"/>
    <w:rsid w:val="001F04BF"/>
    <w:rsid w:val="001F04EC"/>
    <w:rsid w:val="001F0522"/>
    <w:rsid w:val="001F0548"/>
    <w:rsid w:val="001F05B2"/>
    <w:rsid w:val="001F05B8"/>
    <w:rsid w:val="001F05D1"/>
    <w:rsid w:val="001F05F3"/>
    <w:rsid w:val="001F05FE"/>
    <w:rsid w:val="001F060D"/>
    <w:rsid w:val="001F061A"/>
    <w:rsid w:val="001F061D"/>
    <w:rsid w:val="001F064A"/>
    <w:rsid w:val="001F06D3"/>
    <w:rsid w:val="001F06F9"/>
    <w:rsid w:val="001F079D"/>
    <w:rsid w:val="001F07C0"/>
    <w:rsid w:val="001F07D5"/>
    <w:rsid w:val="001F0820"/>
    <w:rsid w:val="001F0867"/>
    <w:rsid w:val="001F08B6"/>
    <w:rsid w:val="001F08F1"/>
    <w:rsid w:val="001F0945"/>
    <w:rsid w:val="001F0A10"/>
    <w:rsid w:val="001F0A25"/>
    <w:rsid w:val="001F0A61"/>
    <w:rsid w:val="001F0AAF"/>
    <w:rsid w:val="001F0AB4"/>
    <w:rsid w:val="001F0ACA"/>
    <w:rsid w:val="001F0AE2"/>
    <w:rsid w:val="001F0B12"/>
    <w:rsid w:val="001F0B21"/>
    <w:rsid w:val="001F0B38"/>
    <w:rsid w:val="001F0BD0"/>
    <w:rsid w:val="001F0BED"/>
    <w:rsid w:val="001F0C7E"/>
    <w:rsid w:val="001F0CAE"/>
    <w:rsid w:val="001F0D01"/>
    <w:rsid w:val="001F0D14"/>
    <w:rsid w:val="001F0D4B"/>
    <w:rsid w:val="001F0D66"/>
    <w:rsid w:val="001F0D87"/>
    <w:rsid w:val="001F0D90"/>
    <w:rsid w:val="001F0E55"/>
    <w:rsid w:val="001F0EA8"/>
    <w:rsid w:val="001F1010"/>
    <w:rsid w:val="001F1032"/>
    <w:rsid w:val="001F1035"/>
    <w:rsid w:val="001F1066"/>
    <w:rsid w:val="001F1092"/>
    <w:rsid w:val="001F1099"/>
    <w:rsid w:val="001F110F"/>
    <w:rsid w:val="001F113F"/>
    <w:rsid w:val="001F1182"/>
    <w:rsid w:val="001F11AB"/>
    <w:rsid w:val="001F1213"/>
    <w:rsid w:val="001F1271"/>
    <w:rsid w:val="001F12A0"/>
    <w:rsid w:val="001F12AC"/>
    <w:rsid w:val="001F12D7"/>
    <w:rsid w:val="001F12DB"/>
    <w:rsid w:val="001F12DC"/>
    <w:rsid w:val="001F12DF"/>
    <w:rsid w:val="001F1320"/>
    <w:rsid w:val="001F1334"/>
    <w:rsid w:val="001F133D"/>
    <w:rsid w:val="001F134A"/>
    <w:rsid w:val="001F1368"/>
    <w:rsid w:val="001F1386"/>
    <w:rsid w:val="001F13D4"/>
    <w:rsid w:val="001F13E2"/>
    <w:rsid w:val="001F1407"/>
    <w:rsid w:val="001F1426"/>
    <w:rsid w:val="001F1430"/>
    <w:rsid w:val="001F1495"/>
    <w:rsid w:val="001F14C2"/>
    <w:rsid w:val="001F1505"/>
    <w:rsid w:val="001F1555"/>
    <w:rsid w:val="001F1577"/>
    <w:rsid w:val="001F1581"/>
    <w:rsid w:val="001F1623"/>
    <w:rsid w:val="001F1665"/>
    <w:rsid w:val="001F1670"/>
    <w:rsid w:val="001F169C"/>
    <w:rsid w:val="001F16E2"/>
    <w:rsid w:val="001F1740"/>
    <w:rsid w:val="001F1750"/>
    <w:rsid w:val="001F1768"/>
    <w:rsid w:val="001F1777"/>
    <w:rsid w:val="001F177C"/>
    <w:rsid w:val="001F1783"/>
    <w:rsid w:val="001F180B"/>
    <w:rsid w:val="001F1816"/>
    <w:rsid w:val="001F181F"/>
    <w:rsid w:val="001F1891"/>
    <w:rsid w:val="001F18E4"/>
    <w:rsid w:val="001F190F"/>
    <w:rsid w:val="001F1911"/>
    <w:rsid w:val="001F1927"/>
    <w:rsid w:val="001F1973"/>
    <w:rsid w:val="001F19AD"/>
    <w:rsid w:val="001F19C6"/>
    <w:rsid w:val="001F19EE"/>
    <w:rsid w:val="001F19FD"/>
    <w:rsid w:val="001F1A3E"/>
    <w:rsid w:val="001F1A57"/>
    <w:rsid w:val="001F1A65"/>
    <w:rsid w:val="001F1A82"/>
    <w:rsid w:val="001F1AB3"/>
    <w:rsid w:val="001F1ACC"/>
    <w:rsid w:val="001F1AE3"/>
    <w:rsid w:val="001F1B10"/>
    <w:rsid w:val="001F1B17"/>
    <w:rsid w:val="001F1B2F"/>
    <w:rsid w:val="001F1B31"/>
    <w:rsid w:val="001F1B52"/>
    <w:rsid w:val="001F1C19"/>
    <w:rsid w:val="001F1CCE"/>
    <w:rsid w:val="001F1CED"/>
    <w:rsid w:val="001F1D36"/>
    <w:rsid w:val="001F1D60"/>
    <w:rsid w:val="001F1DB4"/>
    <w:rsid w:val="001F1E2F"/>
    <w:rsid w:val="001F1E3A"/>
    <w:rsid w:val="001F1E85"/>
    <w:rsid w:val="001F1EC1"/>
    <w:rsid w:val="001F1FA5"/>
    <w:rsid w:val="001F1FAB"/>
    <w:rsid w:val="001F1FC6"/>
    <w:rsid w:val="001F2003"/>
    <w:rsid w:val="001F2008"/>
    <w:rsid w:val="001F207E"/>
    <w:rsid w:val="001F2084"/>
    <w:rsid w:val="001F20C6"/>
    <w:rsid w:val="001F2124"/>
    <w:rsid w:val="001F2195"/>
    <w:rsid w:val="001F219C"/>
    <w:rsid w:val="001F21B3"/>
    <w:rsid w:val="001F21C0"/>
    <w:rsid w:val="001F2230"/>
    <w:rsid w:val="001F2250"/>
    <w:rsid w:val="001F229C"/>
    <w:rsid w:val="001F2391"/>
    <w:rsid w:val="001F23BE"/>
    <w:rsid w:val="001F23F1"/>
    <w:rsid w:val="001F2435"/>
    <w:rsid w:val="001F24D8"/>
    <w:rsid w:val="001F24E5"/>
    <w:rsid w:val="001F253D"/>
    <w:rsid w:val="001F256A"/>
    <w:rsid w:val="001F258A"/>
    <w:rsid w:val="001F25AF"/>
    <w:rsid w:val="001F2606"/>
    <w:rsid w:val="001F260F"/>
    <w:rsid w:val="001F2649"/>
    <w:rsid w:val="001F26D2"/>
    <w:rsid w:val="001F2710"/>
    <w:rsid w:val="001F2785"/>
    <w:rsid w:val="001F2787"/>
    <w:rsid w:val="001F279E"/>
    <w:rsid w:val="001F27D6"/>
    <w:rsid w:val="001F2856"/>
    <w:rsid w:val="001F2901"/>
    <w:rsid w:val="001F290F"/>
    <w:rsid w:val="001F2926"/>
    <w:rsid w:val="001F29F1"/>
    <w:rsid w:val="001F29F5"/>
    <w:rsid w:val="001F2A10"/>
    <w:rsid w:val="001F2A2C"/>
    <w:rsid w:val="001F2A62"/>
    <w:rsid w:val="001F2A7A"/>
    <w:rsid w:val="001F2A81"/>
    <w:rsid w:val="001F2AB4"/>
    <w:rsid w:val="001F2AF6"/>
    <w:rsid w:val="001F2B12"/>
    <w:rsid w:val="001F2B2A"/>
    <w:rsid w:val="001F2B74"/>
    <w:rsid w:val="001F2B87"/>
    <w:rsid w:val="001F2B93"/>
    <w:rsid w:val="001F2BDC"/>
    <w:rsid w:val="001F2BE5"/>
    <w:rsid w:val="001F2BEC"/>
    <w:rsid w:val="001F2BF6"/>
    <w:rsid w:val="001F2C0D"/>
    <w:rsid w:val="001F2C65"/>
    <w:rsid w:val="001F2C78"/>
    <w:rsid w:val="001F2C8C"/>
    <w:rsid w:val="001F2CF3"/>
    <w:rsid w:val="001F2D22"/>
    <w:rsid w:val="001F2E20"/>
    <w:rsid w:val="001F2E25"/>
    <w:rsid w:val="001F2EE2"/>
    <w:rsid w:val="001F2F01"/>
    <w:rsid w:val="001F2F2E"/>
    <w:rsid w:val="001F2F5D"/>
    <w:rsid w:val="001F2FAA"/>
    <w:rsid w:val="001F3005"/>
    <w:rsid w:val="001F304F"/>
    <w:rsid w:val="001F3061"/>
    <w:rsid w:val="001F30D5"/>
    <w:rsid w:val="001F3152"/>
    <w:rsid w:val="001F31C8"/>
    <w:rsid w:val="001F3208"/>
    <w:rsid w:val="001F323E"/>
    <w:rsid w:val="001F323F"/>
    <w:rsid w:val="001F3258"/>
    <w:rsid w:val="001F325C"/>
    <w:rsid w:val="001F32C8"/>
    <w:rsid w:val="001F32C9"/>
    <w:rsid w:val="001F32E1"/>
    <w:rsid w:val="001F333D"/>
    <w:rsid w:val="001F33A3"/>
    <w:rsid w:val="001F33F7"/>
    <w:rsid w:val="001F3463"/>
    <w:rsid w:val="001F34C5"/>
    <w:rsid w:val="001F34CD"/>
    <w:rsid w:val="001F351B"/>
    <w:rsid w:val="001F351F"/>
    <w:rsid w:val="001F353D"/>
    <w:rsid w:val="001F3587"/>
    <w:rsid w:val="001F359A"/>
    <w:rsid w:val="001F35CD"/>
    <w:rsid w:val="001F3624"/>
    <w:rsid w:val="001F3769"/>
    <w:rsid w:val="001F37C1"/>
    <w:rsid w:val="001F3809"/>
    <w:rsid w:val="001F380B"/>
    <w:rsid w:val="001F3876"/>
    <w:rsid w:val="001F38B2"/>
    <w:rsid w:val="001F3950"/>
    <w:rsid w:val="001F399D"/>
    <w:rsid w:val="001F39CA"/>
    <w:rsid w:val="001F3AB4"/>
    <w:rsid w:val="001F3AF6"/>
    <w:rsid w:val="001F3B16"/>
    <w:rsid w:val="001F3C00"/>
    <w:rsid w:val="001F3C0A"/>
    <w:rsid w:val="001F3C20"/>
    <w:rsid w:val="001F3C24"/>
    <w:rsid w:val="001F3C92"/>
    <w:rsid w:val="001F3D2A"/>
    <w:rsid w:val="001F3E35"/>
    <w:rsid w:val="001F3EB8"/>
    <w:rsid w:val="001F3EC2"/>
    <w:rsid w:val="001F3F15"/>
    <w:rsid w:val="001F3F3E"/>
    <w:rsid w:val="001F3F8E"/>
    <w:rsid w:val="001F3FD4"/>
    <w:rsid w:val="001F4073"/>
    <w:rsid w:val="001F4090"/>
    <w:rsid w:val="001F40AC"/>
    <w:rsid w:val="001F40CE"/>
    <w:rsid w:val="001F40F8"/>
    <w:rsid w:val="001F4156"/>
    <w:rsid w:val="001F417F"/>
    <w:rsid w:val="001F41BB"/>
    <w:rsid w:val="001F41C2"/>
    <w:rsid w:val="001F435C"/>
    <w:rsid w:val="001F43A8"/>
    <w:rsid w:val="001F440B"/>
    <w:rsid w:val="001F4485"/>
    <w:rsid w:val="001F44EA"/>
    <w:rsid w:val="001F44F1"/>
    <w:rsid w:val="001F452F"/>
    <w:rsid w:val="001F4566"/>
    <w:rsid w:val="001F459A"/>
    <w:rsid w:val="001F45BB"/>
    <w:rsid w:val="001F45C4"/>
    <w:rsid w:val="001F45F4"/>
    <w:rsid w:val="001F4615"/>
    <w:rsid w:val="001F462F"/>
    <w:rsid w:val="001F4630"/>
    <w:rsid w:val="001F46D2"/>
    <w:rsid w:val="001F46D7"/>
    <w:rsid w:val="001F46F1"/>
    <w:rsid w:val="001F47E4"/>
    <w:rsid w:val="001F47F0"/>
    <w:rsid w:val="001F4863"/>
    <w:rsid w:val="001F48B7"/>
    <w:rsid w:val="001F491B"/>
    <w:rsid w:val="001F4953"/>
    <w:rsid w:val="001F49DA"/>
    <w:rsid w:val="001F4A50"/>
    <w:rsid w:val="001F4AA0"/>
    <w:rsid w:val="001F4AD8"/>
    <w:rsid w:val="001F4AE3"/>
    <w:rsid w:val="001F4AE9"/>
    <w:rsid w:val="001F4B13"/>
    <w:rsid w:val="001F4B54"/>
    <w:rsid w:val="001F4B72"/>
    <w:rsid w:val="001F4B78"/>
    <w:rsid w:val="001F4B79"/>
    <w:rsid w:val="001F4BB4"/>
    <w:rsid w:val="001F4C3F"/>
    <w:rsid w:val="001F4D0D"/>
    <w:rsid w:val="001F4D3E"/>
    <w:rsid w:val="001F4D96"/>
    <w:rsid w:val="001F4DDD"/>
    <w:rsid w:val="001F4E5B"/>
    <w:rsid w:val="001F4E61"/>
    <w:rsid w:val="001F4E6B"/>
    <w:rsid w:val="001F4E7E"/>
    <w:rsid w:val="001F4E9C"/>
    <w:rsid w:val="001F4EDF"/>
    <w:rsid w:val="001F4F07"/>
    <w:rsid w:val="001F4F37"/>
    <w:rsid w:val="001F4F48"/>
    <w:rsid w:val="001F5004"/>
    <w:rsid w:val="001F5023"/>
    <w:rsid w:val="001F507B"/>
    <w:rsid w:val="001F50A3"/>
    <w:rsid w:val="001F50DB"/>
    <w:rsid w:val="001F5109"/>
    <w:rsid w:val="001F510D"/>
    <w:rsid w:val="001F5125"/>
    <w:rsid w:val="001F5138"/>
    <w:rsid w:val="001F5153"/>
    <w:rsid w:val="001F516E"/>
    <w:rsid w:val="001F51A2"/>
    <w:rsid w:val="001F522A"/>
    <w:rsid w:val="001F525A"/>
    <w:rsid w:val="001F527B"/>
    <w:rsid w:val="001F52B3"/>
    <w:rsid w:val="001F52E9"/>
    <w:rsid w:val="001F530F"/>
    <w:rsid w:val="001F5358"/>
    <w:rsid w:val="001F538F"/>
    <w:rsid w:val="001F53AF"/>
    <w:rsid w:val="001F53D5"/>
    <w:rsid w:val="001F5420"/>
    <w:rsid w:val="001F5462"/>
    <w:rsid w:val="001F54BF"/>
    <w:rsid w:val="001F54CD"/>
    <w:rsid w:val="001F5551"/>
    <w:rsid w:val="001F5568"/>
    <w:rsid w:val="001F5578"/>
    <w:rsid w:val="001F5589"/>
    <w:rsid w:val="001F55C0"/>
    <w:rsid w:val="001F55C6"/>
    <w:rsid w:val="001F55CC"/>
    <w:rsid w:val="001F55FC"/>
    <w:rsid w:val="001F5637"/>
    <w:rsid w:val="001F5661"/>
    <w:rsid w:val="001F56BC"/>
    <w:rsid w:val="001F56DB"/>
    <w:rsid w:val="001F56F5"/>
    <w:rsid w:val="001F5741"/>
    <w:rsid w:val="001F5795"/>
    <w:rsid w:val="001F57AA"/>
    <w:rsid w:val="001F57F4"/>
    <w:rsid w:val="001F5826"/>
    <w:rsid w:val="001F5829"/>
    <w:rsid w:val="001F582B"/>
    <w:rsid w:val="001F585F"/>
    <w:rsid w:val="001F5864"/>
    <w:rsid w:val="001F5884"/>
    <w:rsid w:val="001F589B"/>
    <w:rsid w:val="001F58A2"/>
    <w:rsid w:val="001F58A7"/>
    <w:rsid w:val="001F58F8"/>
    <w:rsid w:val="001F5944"/>
    <w:rsid w:val="001F5955"/>
    <w:rsid w:val="001F599E"/>
    <w:rsid w:val="001F59A5"/>
    <w:rsid w:val="001F59ED"/>
    <w:rsid w:val="001F59FB"/>
    <w:rsid w:val="001F5A55"/>
    <w:rsid w:val="001F5A77"/>
    <w:rsid w:val="001F5AA6"/>
    <w:rsid w:val="001F5AF3"/>
    <w:rsid w:val="001F5B16"/>
    <w:rsid w:val="001F5B4A"/>
    <w:rsid w:val="001F5BC4"/>
    <w:rsid w:val="001F5BEF"/>
    <w:rsid w:val="001F5C8F"/>
    <w:rsid w:val="001F5CAA"/>
    <w:rsid w:val="001F5CB5"/>
    <w:rsid w:val="001F5CE6"/>
    <w:rsid w:val="001F5D04"/>
    <w:rsid w:val="001F5D29"/>
    <w:rsid w:val="001F5D57"/>
    <w:rsid w:val="001F5DD0"/>
    <w:rsid w:val="001F5E7A"/>
    <w:rsid w:val="001F5E7C"/>
    <w:rsid w:val="001F5EEA"/>
    <w:rsid w:val="001F5F05"/>
    <w:rsid w:val="001F5F46"/>
    <w:rsid w:val="001F5FB1"/>
    <w:rsid w:val="001F5FDD"/>
    <w:rsid w:val="001F5FE3"/>
    <w:rsid w:val="001F5FF0"/>
    <w:rsid w:val="001F6012"/>
    <w:rsid w:val="001F6017"/>
    <w:rsid w:val="001F608A"/>
    <w:rsid w:val="001F60AA"/>
    <w:rsid w:val="001F60BE"/>
    <w:rsid w:val="001F6185"/>
    <w:rsid w:val="001F6187"/>
    <w:rsid w:val="001F625B"/>
    <w:rsid w:val="001F627A"/>
    <w:rsid w:val="001F62BA"/>
    <w:rsid w:val="001F62C7"/>
    <w:rsid w:val="001F62D6"/>
    <w:rsid w:val="001F6396"/>
    <w:rsid w:val="001F6406"/>
    <w:rsid w:val="001F645F"/>
    <w:rsid w:val="001F647E"/>
    <w:rsid w:val="001F6488"/>
    <w:rsid w:val="001F64A5"/>
    <w:rsid w:val="001F64B1"/>
    <w:rsid w:val="001F6503"/>
    <w:rsid w:val="001F6504"/>
    <w:rsid w:val="001F6587"/>
    <w:rsid w:val="001F6599"/>
    <w:rsid w:val="001F65C1"/>
    <w:rsid w:val="001F668F"/>
    <w:rsid w:val="001F66AC"/>
    <w:rsid w:val="001F66B1"/>
    <w:rsid w:val="001F66EA"/>
    <w:rsid w:val="001F6738"/>
    <w:rsid w:val="001F67B0"/>
    <w:rsid w:val="001F67D9"/>
    <w:rsid w:val="001F681F"/>
    <w:rsid w:val="001F6835"/>
    <w:rsid w:val="001F68AD"/>
    <w:rsid w:val="001F68C2"/>
    <w:rsid w:val="001F68C8"/>
    <w:rsid w:val="001F68CF"/>
    <w:rsid w:val="001F68D7"/>
    <w:rsid w:val="001F68FA"/>
    <w:rsid w:val="001F6946"/>
    <w:rsid w:val="001F696B"/>
    <w:rsid w:val="001F6994"/>
    <w:rsid w:val="001F69C8"/>
    <w:rsid w:val="001F69D0"/>
    <w:rsid w:val="001F69E7"/>
    <w:rsid w:val="001F6A14"/>
    <w:rsid w:val="001F6A23"/>
    <w:rsid w:val="001F6A4F"/>
    <w:rsid w:val="001F6A66"/>
    <w:rsid w:val="001F6A67"/>
    <w:rsid w:val="001F6AA8"/>
    <w:rsid w:val="001F6AF4"/>
    <w:rsid w:val="001F6B95"/>
    <w:rsid w:val="001F6BE3"/>
    <w:rsid w:val="001F6BE9"/>
    <w:rsid w:val="001F6BF1"/>
    <w:rsid w:val="001F6C6C"/>
    <w:rsid w:val="001F6C73"/>
    <w:rsid w:val="001F6C97"/>
    <w:rsid w:val="001F6CE7"/>
    <w:rsid w:val="001F6D02"/>
    <w:rsid w:val="001F6D59"/>
    <w:rsid w:val="001F6D8D"/>
    <w:rsid w:val="001F6E87"/>
    <w:rsid w:val="001F6ECB"/>
    <w:rsid w:val="001F6ED6"/>
    <w:rsid w:val="001F6F15"/>
    <w:rsid w:val="001F6F97"/>
    <w:rsid w:val="001F6FAF"/>
    <w:rsid w:val="001F6FB7"/>
    <w:rsid w:val="001F6FC0"/>
    <w:rsid w:val="001F700D"/>
    <w:rsid w:val="001F7061"/>
    <w:rsid w:val="001F70B4"/>
    <w:rsid w:val="001F7141"/>
    <w:rsid w:val="001F718E"/>
    <w:rsid w:val="001F71D8"/>
    <w:rsid w:val="001F7271"/>
    <w:rsid w:val="001F72CE"/>
    <w:rsid w:val="001F72E5"/>
    <w:rsid w:val="001F72F1"/>
    <w:rsid w:val="001F7383"/>
    <w:rsid w:val="001F7397"/>
    <w:rsid w:val="001F73AD"/>
    <w:rsid w:val="001F73B6"/>
    <w:rsid w:val="001F73DE"/>
    <w:rsid w:val="001F74D5"/>
    <w:rsid w:val="001F74EF"/>
    <w:rsid w:val="001F7526"/>
    <w:rsid w:val="001F7599"/>
    <w:rsid w:val="001F75B8"/>
    <w:rsid w:val="001F75C5"/>
    <w:rsid w:val="001F761A"/>
    <w:rsid w:val="001F76C7"/>
    <w:rsid w:val="001F76F2"/>
    <w:rsid w:val="001F76FC"/>
    <w:rsid w:val="001F7719"/>
    <w:rsid w:val="001F7722"/>
    <w:rsid w:val="001F7724"/>
    <w:rsid w:val="001F777A"/>
    <w:rsid w:val="001F7783"/>
    <w:rsid w:val="001F77BD"/>
    <w:rsid w:val="001F77D2"/>
    <w:rsid w:val="001F77E6"/>
    <w:rsid w:val="001F77F6"/>
    <w:rsid w:val="001F7814"/>
    <w:rsid w:val="001F7851"/>
    <w:rsid w:val="001F7896"/>
    <w:rsid w:val="001F78A2"/>
    <w:rsid w:val="001F78B3"/>
    <w:rsid w:val="001F7953"/>
    <w:rsid w:val="001F797B"/>
    <w:rsid w:val="001F7A0B"/>
    <w:rsid w:val="001F7A0C"/>
    <w:rsid w:val="001F7A11"/>
    <w:rsid w:val="001F7A3D"/>
    <w:rsid w:val="001F7A50"/>
    <w:rsid w:val="001F7A51"/>
    <w:rsid w:val="001F7A76"/>
    <w:rsid w:val="001F7A94"/>
    <w:rsid w:val="001F7AB9"/>
    <w:rsid w:val="001F7ABF"/>
    <w:rsid w:val="001F7ACF"/>
    <w:rsid w:val="001F7AEF"/>
    <w:rsid w:val="001F7B0C"/>
    <w:rsid w:val="001F7B64"/>
    <w:rsid w:val="001F7B69"/>
    <w:rsid w:val="001F7B77"/>
    <w:rsid w:val="001F7B7E"/>
    <w:rsid w:val="001F7BB4"/>
    <w:rsid w:val="001F7BDD"/>
    <w:rsid w:val="001F7C7C"/>
    <w:rsid w:val="001F7C94"/>
    <w:rsid w:val="001F7C9E"/>
    <w:rsid w:val="001F7CB4"/>
    <w:rsid w:val="001F7D04"/>
    <w:rsid w:val="001F7D32"/>
    <w:rsid w:val="001F7D4D"/>
    <w:rsid w:val="001F7DF4"/>
    <w:rsid w:val="001F7DFD"/>
    <w:rsid w:val="001F7E06"/>
    <w:rsid w:val="001F7E43"/>
    <w:rsid w:val="001F7E53"/>
    <w:rsid w:val="001F7E67"/>
    <w:rsid w:val="001F7E76"/>
    <w:rsid w:val="001F7E79"/>
    <w:rsid w:val="001F7E9C"/>
    <w:rsid w:val="001F7EB6"/>
    <w:rsid w:val="001F7F42"/>
    <w:rsid w:val="001F7F69"/>
    <w:rsid w:val="001F7F78"/>
    <w:rsid w:val="001F7FA0"/>
    <w:rsid w:val="001F7FB0"/>
    <w:rsid w:val="001F9E7A"/>
    <w:rsid w:val="001FB123"/>
    <w:rsid w:val="001FBDD3"/>
    <w:rsid w:val="00200004"/>
    <w:rsid w:val="0020002C"/>
    <w:rsid w:val="00200082"/>
    <w:rsid w:val="00200083"/>
    <w:rsid w:val="00200094"/>
    <w:rsid w:val="002000D4"/>
    <w:rsid w:val="00200162"/>
    <w:rsid w:val="002001FB"/>
    <w:rsid w:val="0020022C"/>
    <w:rsid w:val="0020023C"/>
    <w:rsid w:val="0020023E"/>
    <w:rsid w:val="00200267"/>
    <w:rsid w:val="002002A3"/>
    <w:rsid w:val="002002FA"/>
    <w:rsid w:val="0020035A"/>
    <w:rsid w:val="00200383"/>
    <w:rsid w:val="00200391"/>
    <w:rsid w:val="002003DB"/>
    <w:rsid w:val="002003E2"/>
    <w:rsid w:val="0020041B"/>
    <w:rsid w:val="00200444"/>
    <w:rsid w:val="00200482"/>
    <w:rsid w:val="002004DF"/>
    <w:rsid w:val="002004F7"/>
    <w:rsid w:val="00200552"/>
    <w:rsid w:val="002005BC"/>
    <w:rsid w:val="0020063F"/>
    <w:rsid w:val="00200679"/>
    <w:rsid w:val="00200697"/>
    <w:rsid w:val="002006D9"/>
    <w:rsid w:val="002006E9"/>
    <w:rsid w:val="00200745"/>
    <w:rsid w:val="0020077F"/>
    <w:rsid w:val="00200817"/>
    <w:rsid w:val="00200882"/>
    <w:rsid w:val="002008C0"/>
    <w:rsid w:val="00200928"/>
    <w:rsid w:val="0020092E"/>
    <w:rsid w:val="00200972"/>
    <w:rsid w:val="002009A0"/>
    <w:rsid w:val="00200A69"/>
    <w:rsid w:val="00200AA1"/>
    <w:rsid w:val="00200B23"/>
    <w:rsid w:val="00200B24"/>
    <w:rsid w:val="00200B4B"/>
    <w:rsid w:val="00200BF5"/>
    <w:rsid w:val="00200C70"/>
    <w:rsid w:val="00200C81"/>
    <w:rsid w:val="00200DC4"/>
    <w:rsid w:val="00200DDE"/>
    <w:rsid w:val="00200DDF"/>
    <w:rsid w:val="00200DF3"/>
    <w:rsid w:val="00200E54"/>
    <w:rsid w:val="00200EFD"/>
    <w:rsid w:val="00200F76"/>
    <w:rsid w:val="00201030"/>
    <w:rsid w:val="002010E8"/>
    <w:rsid w:val="00201102"/>
    <w:rsid w:val="00201117"/>
    <w:rsid w:val="00201119"/>
    <w:rsid w:val="0020114C"/>
    <w:rsid w:val="0020114D"/>
    <w:rsid w:val="002011E0"/>
    <w:rsid w:val="002011EF"/>
    <w:rsid w:val="0020125B"/>
    <w:rsid w:val="00201277"/>
    <w:rsid w:val="002012B3"/>
    <w:rsid w:val="00201303"/>
    <w:rsid w:val="00201310"/>
    <w:rsid w:val="00201328"/>
    <w:rsid w:val="00201376"/>
    <w:rsid w:val="002013A8"/>
    <w:rsid w:val="002013BA"/>
    <w:rsid w:val="002013EC"/>
    <w:rsid w:val="0020141C"/>
    <w:rsid w:val="0020142A"/>
    <w:rsid w:val="00201448"/>
    <w:rsid w:val="00201469"/>
    <w:rsid w:val="00201478"/>
    <w:rsid w:val="0020148B"/>
    <w:rsid w:val="00201499"/>
    <w:rsid w:val="002014C5"/>
    <w:rsid w:val="002014D4"/>
    <w:rsid w:val="002014FA"/>
    <w:rsid w:val="00201501"/>
    <w:rsid w:val="0020152A"/>
    <w:rsid w:val="002015D1"/>
    <w:rsid w:val="0020160C"/>
    <w:rsid w:val="00201610"/>
    <w:rsid w:val="0020162F"/>
    <w:rsid w:val="0020165D"/>
    <w:rsid w:val="00201669"/>
    <w:rsid w:val="0020166D"/>
    <w:rsid w:val="002016C0"/>
    <w:rsid w:val="00201717"/>
    <w:rsid w:val="00201798"/>
    <w:rsid w:val="0020179D"/>
    <w:rsid w:val="002017A4"/>
    <w:rsid w:val="002017BF"/>
    <w:rsid w:val="002017C9"/>
    <w:rsid w:val="00201821"/>
    <w:rsid w:val="00201826"/>
    <w:rsid w:val="00201873"/>
    <w:rsid w:val="0020188E"/>
    <w:rsid w:val="00201927"/>
    <w:rsid w:val="00201937"/>
    <w:rsid w:val="0020196B"/>
    <w:rsid w:val="00201976"/>
    <w:rsid w:val="0020198B"/>
    <w:rsid w:val="0020199B"/>
    <w:rsid w:val="002019CA"/>
    <w:rsid w:val="002019F4"/>
    <w:rsid w:val="00201A46"/>
    <w:rsid w:val="00201AD0"/>
    <w:rsid w:val="00201B1C"/>
    <w:rsid w:val="00201B5F"/>
    <w:rsid w:val="00201B94"/>
    <w:rsid w:val="00201BED"/>
    <w:rsid w:val="00201C1F"/>
    <w:rsid w:val="00201C2C"/>
    <w:rsid w:val="00201C40"/>
    <w:rsid w:val="00201C7C"/>
    <w:rsid w:val="00201C80"/>
    <w:rsid w:val="00201CE7"/>
    <w:rsid w:val="00201D13"/>
    <w:rsid w:val="00201D4F"/>
    <w:rsid w:val="00201DE3"/>
    <w:rsid w:val="00201E69"/>
    <w:rsid w:val="00201EE1"/>
    <w:rsid w:val="00201F50"/>
    <w:rsid w:val="00201F7D"/>
    <w:rsid w:val="00201F7E"/>
    <w:rsid w:val="00201F8A"/>
    <w:rsid w:val="00201F9D"/>
    <w:rsid w:val="00201FA2"/>
    <w:rsid w:val="00201FAA"/>
    <w:rsid w:val="00202042"/>
    <w:rsid w:val="00202054"/>
    <w:rsid w:val="00202082"/>
    <w:rsid w:val="00202083"/>
    <w:rsid w:val="002020A7"/>
    <w:rsid w:val="002020BA"/>
    <w:rsid w:val="002020DE"/>
    <w:rsid w:val="002020EC"/>
    <w:rsid w:val="002020F5"/>
    <w:rsid w:val="00202105"/>
    <w:rsid w:val="0020211D"/>
    <w:rsid w:val="00202120"/>
    <w:rsid w:val="00202170"/>
    <w:rsid w:val="002021F7"/>
    <w:rsid w:val="0020220F"/>
    <w:rsid w:val="00202219"/>
    <w:rsid w:val="0020225B"/>
    <w:rsid w:val="0020227B"/>
    <w:rsid w:val="0020227E"/>
    <w:rsid w:val="002022F3"/>
    <w:rsid w:val="002023C9"/>
    <w:rsid w:val="00202405"/>
    <w:rsid w:val="0020240C"/>
    <w:rsid w:val="00202446"/>
    <w:rsid w:val="0020244F"/>
    <w:rsid w:val="002024E0"/>
    <w:rsid w:val="00202557"/>
    <w:rsid w:val="0020256C"/>
    <w:rsid w:val="00202572"/>
    <w:rsid w:val="002025C6"/>
    <w:rsid w:val="00202691"/>
    <w:rsid w:val="002026AA"/>
    <w:rsid w:val="00202733"/>
    <w:rsid w:val="0020273D"/>
    <w:rsid w:val="00202746"/>
    <w:rsid w:val="00202770"/>
    <w:rsid w:val="002027B7"/>
    <w:rsid w:val="002027CE"/>
    <w:rsid w:val="002027E5"/>
    <w:rsid w:val="0020281F"/>
    <w:rsid w:val="00202823"/>
    <w:rsid w:val="0020285F"/>
    <w:rsid w:val="00202879"/>
    <w:rsid w:val="00202905"/>
    <w:rsid w:val="0020292E"/>
    <w:rsid w:val="0020294F"/>
    <w:rsid w:val="0020297B"/>
    <w:rsid w:val="002029A3"/>
    <w:rsid w:val="002029B0"/>
    <w:rsid w:val="002029C0"/>
    <w:rsid w:val="002029EF"/>
    <w:rsid w:val="00202A1C"/>
    <w:rsid w:val="00202A86"/>
    <w:rsid w:val="00202A87"/>
    <w:rsid w:val="00202AED"/>
    <w:rsid w:val="00202AF6"/>
    <w:rsid w:val="00202B83"/>
    <w:rsid w:val="00202B84"/>
    <w:rsid w:val="00202BAB"/>
    <w:rsid w:val="00202C79"/>
    <w:rsid w:val="00202CF6"/>
    <w:rsid w:val="00202D2F"/>
    <w:rsid w:val="00202D3A"/>
    <w:rsid w:val="00202D43"/>
    <w:rsid w:val="00202D4E"/>
    <w:rsid w:val="00202D5B"/>
    <w:rsid w:val="00202D8B"/>
    <w:rsid w:val="00202DE0"/>
    <w:rsid w:val="00202DEB"/>
    <w:rsid w:val="00202E41"/>
    <w:rsid w:val="00202E4B"/>
    <w:rsid w:val="00202E6F"/>
    <w:rsid w:val="00202E9D"/>
    <w:rsid w:val="00202EC4"/>
    <w:rsid w:val="00202EF9"/>
    <w:rsid w:val="00202F07"/>
    <w:rsid w:val="00202F28"/>
    <w:rsid w:val="00202F64"/>
    <w:rsid w:val="00202F66"/>
    <w:rsid w:val="00202FDD"/>
    <w:rsid w:val="0020307F"/>
    <w:rsid w:val="002030A8"/>
    <w:rsid w:val="002030C9"/>
    <w:rsid w:val="002030FC"/>
    <w:rsid w:val="00203103"/>
    <w:rsid w:val="00203123"/>
    <w:rsid w:val="00203144"/>
    <w:rsid w:val="0020316F"/>
    <w:rsid w:val="002031EE"/>
    <w:rsid w:val="0020321E"/>
    <w:rsid w:val="00203291"/>
    <w:rsid w:val="002032AF"/>
    <w:rsid w:val="002032EB"/>
    <w:rsid w:val="0020333A"/>
    <w:rsid w:val="00203348"/>
    <w:rsid w:val="0020335D"/>
    <w:rsid w:val="0020336E"/>
    <w:rsid w:val="0020338C"/>
    <w:rsid w:val="002033AC"/>
    <w:rsid w:val="002033B2"/>
    <w:rsid w:val="002033CD"/>
    <w:rsid w:val="002033D9"/>
    <w:rsid w:val="002033F8"/>
    <w:rsid w:val="002033FA"/>
    <w:rsid w:val="0020342D"/>
    <w:rsid w:val="00203433"/>
    <w:rsid w:val="00203446"/>
    <w:rsid w:val="002034A0"/>
    <w:rsid w:val="002034A3"/>
    <w:rsid w:val="002034A6"/>
    <w:rsid w:val="002034C2"/>
    <w:rsid w:val="002034F2"/>
    <w:rsid w:val="0020350D"/>
    <w:rsid w:val="00203585"/>
    <w:rsid w:val="0020359E"/>
    <w:rsid w:val="002035F7"/>
    <w:rsid w:val="00203654"/>
    <w:rsid w:val="0020365C"/>
    <w:rsid w:val="0020368A"/>
    <w:rsid w:val="0020369F"/>
    <w:rsid w:val="002036A8"/>
    <w:rsid w:val="0020372B"/>
    <w:rsid w:val="00203732"/>
    <w:rsid w:val="00203742"/>
    <w:rsid w:val="0020378B"/>
    <w:rsid w:val="00203791"/>
    <w:rsid w:val="002037CF"/>
    <w:rsid w:val="00203801"/>
    <w:rsid w:val="0020388A"/>
    <w:rsid w:val="00203940"/>
    <w:rsid w:val="0020397C"/>
    <w:rsid w:val="002039AD"/>
    <w:rsid w:val="002039EF"/>
    <w:rsid w:val="002039F6"/>
    <w:rsid w:val="00203A2B"/>
    <w:rsid w:val="00203A41"/>
    <w:rsid w:val="00203A55"/>
    <w:rsid w:val="00203AC6"/>
    <w:rsid w:val="00203B23"/>
    <w:rsid w:val="00203B28"/>
    <w:rsid w:val="00203B85"/>
    <w:rsid w:val="00203C50"/>
    <w:rsid w:val="00203C58"/>
    <w:rsid w:val="00203C84"/>
    <w:rsid w:val="00203C93"/>
    <w:rsid w:val="00203D3C"/>
    <w:rsid w:val="00203D73"/>
    <w:rsid w:val="00203DE6"/>
    <w:rsid w:val="00203DF3"/>
    <w:rsid w:val="00203E1A"/>
    <w:rsid w:val="00203ED3"/>
    <w:rsid w:val="00203F13"/>
    <w:rsid w:val="00203F35"/>
    <w:rsid w:val="00203F68"/>
    <w:rsid w:val="00203FAF"/>
    <w:rsid w:val="00203FCF"/>
    <w:rsid w:val="00203FD8"/>
    <w:rsid w:val="00203FF1"/>
    <w:rsid w:val="00204061"/>
    <w:rsid w:val="0020409B"/>
    <w:rsid w:val="002040B6"/>
    <w:rsid w:val="002040F9"/>
    <w:rsid w:val="002040FC"/>
    <w:rsid w:val="00204122"/>
    <w:rsid w:val="0020413A"/>
    <w:rsid w:val="00204187"/>
    <w:rsid w:val="00204202"/>
    <w:rsid w:val="00204256"/>
    <w:rsid w:val="0020427C"/>
    <w:rsid w:val="0020433C"/>
    <w:rsid w:val="00204351"/>
    <w:rsid w:val="00204381"/>
    <w:rsid w:val="002043AF"/>
    <w:rsid w:val="002043BA"/>
    <w:rsid w:val="002043BB"/>
    <w:rsid w:val="002043F1"/>
    <w:rsid w:val="0020441B"/>
    <w:rsid w:val="00204471"/>
    <w:rsid w:val="002044BE"/>
    <w:rsid w:val="002044EA"/>
    <w:rsid w:val="00204519"/>
    <w:rsid w:val="0020451C"/>
    <w:rsid w:val="0020451F"/>
    <w:rsid w:val="00204521"/>
    <w:rsid w:val="00204530"/>
    <w:rsid w:val="00204552"/>
    <w:rsid w:val="0020457C"/>
    <w:rsid w:val="00204582"/>
    <w:rsid w:val="00204590"/>
    <w:rsid w:val="002045C0"/>
    <w:rsid w:val="002045C9"/>
    <w:rsid w:val="00204601"/>
    <w:rsid w:val="00204655"/>
    <w:rsid w:val="00204665"/>
    <w:rsid w:val="002046D6"/>
    <w:rsid w:val="00204749"/>
    <w:rsid w:val="00204755"/>
    <w:rsid w:val="00204770"/>
    <w:rsid w:val="00204779"/>
    <w:rsid w:val="002047BB"/>
    <w:rsid w:val="0020481F"/>
    <w:rsid w:val="00204830"/>
    <w:rsid w:val="0020484B"/>
    <w:rsid w:val="00204895"/>
    <w:rsid w:val="0020489B"/>
    <w:rsid w:val="002048BB"/>
    <w:rsid w:val="00204907"/>
    <w:rsid w:val="00204927"/>
    <w:rsid w:val="00204956"/>
    <w:rsid w:val="00204A03"/>
    <w:rsid w:val="00204A35"/>
    <w:rsid w:val="00204A36"/>
    <w:rsid w:val="00204A91"/>
    <w:rsid w:val="00204B0F"/>
    <w:rsid w:val="00204B5E"/>
    <w:rsid w:val="00204B7C"/>
    <w:rsid w:val="00204BFB"/>
    <w:rsid w:val="00204BFC"/>
    <w:rsid w:val="00204C23"/>
    <w:rsid w:val="00204C3C"/>
    <w:rsid w:val="00204C4B"/>
    <w:rsid w:val="00204C8C"/>
    <w:rsid w:val="00204D11"/>
    <w:rsid w:val="00204D33"/>
    <w:rsid w:val="00204D87"/>
    <w:rsid w:val="00204DA0"/>
    <w:rsid w:val="00204E03"/>
    <w:rsid w:val="00204E21"/>
    <w:rsid w:val="00204E27"/>
    <w:rsid w:val="00204E8A"/>
    <w:rsid w:val="00204E92"/>
    <w:rsid w:val="00204E9F"/>
    <w:rsid w:val="00204ED6"/>
    <w:rsid w:val="00204EEF"/>
    <w:rsid w:val="00204F09"/>
    <w:rsid w:val="00204F12"/>
    <w:rsid w:val="00204F5F"/>
    <w:rsid w:val="00204FFD"/>
    <w:rsid w:val="00205047"/>
    <w:rsid w:val="0020505C"/>
    <w:rsid w:val="0020506A"/>
    <w:rsid w:val="00205075"/>
    <w:rsid w:val="002050C5"/>
    <w:rsid w:val="002050CD"/>
    <w:rsid w:val="002050FB"/>
    <w:rsid w:val="0020513C"/>
    <w:rsid w:val="0020517E"/>
    <w:rsid w:val="002051A9"/>
    <w:rsid w:val="00205216"/>
    <w:rsid w:val="0020524A"/>
    <w:rsid w:val="00205254"/>
    <w:rsid w:val="0020527B"/>
    <w:rsid w:val="00205317"/>
    <w:rsid w:val="002053C7"/>
    <w:rsid w:val="002053DE"/>
    <w:rsid w:val="00205407"/>
    <w:rsid w:val="00205455"/>
    <w:rsid w:val="00205466"/>
    <w:rsid w:val="0020546E"/>
    <w:rsid w:val="00205495"/>
    <w:rsid w:val="002054AB"/>
    <w:rsid w:val="002054B7"/>
    <w:rsid w:val="002054D3"/>
    <w:rsid w:val="00205521"/>
    <w:rsid w:val="0020561C"/>
    <w:rsid w:val="00205632"/>
    <w:rsid w:val="002056AC"/>
    <w:rsid w:val="00205729"/>
    <w:rsid w:val="002057AA"/>
    <w:rsid w:val="002057BF"/>
    <w:rsid w:val="0020589B"/>
    <w:rsid w:val="002058B7"/>
    <w:rsid w:val="002058C5"/>
    <w:rsid w:val="0020590B"/>
    <w:rsid w:val="0020592A"/>
    <w:rsid w:val="0020596D"/>
    <w:rsid w:val="00205980"/>
    <w:rsid w:val="002059DC"/>
    <w:rsid w:val="00205A76"/>
    <w:rsid w:val="00205A84"/>
    <w:rsid w:val="00205ACA"/>
    <w:rsid w:val="00205AF1"/>
    <w:rsid w:val="00205B11"/>
    <w:rsid w:val="00205B43"/>
    <w:rsid w:val="00205B95"/>
    <w:rsid w:val="00205BAE"/>
    <w:rsid w:val="00205CD4"/>
    <w:rsid w:val="00205CF8"/>
    <w:rsid w:val="00205D02"/>
    <w:rsid w:val="00205D05"/>
    <w:rsid w:val="00205D68"/>
    <w:rsid w:val="00205D81"/>
    <w:rsid w:val="00205D84"/>
    <w:rsid w:val="00205D90"/>
    <w:rsid w:val="00205E79"/>
    <w:rsid w:val="00205F38"/>
    <w:rsid w:val="00205F81"/>
    <w:rsid w:val="00205F87"/>
    <w:rsid w:val="00205FA7"/>
    <w:rsid w:val="00205FBB"/>
    <w:rsid w:val="00205FE0"/>
    <w:rsid w:val="00206016"/>
    <w:rsid w:val="00206022"/>
    <w:rsid w:val="00206055"/>
    <w:rsid w:val="00206081"/>
    <w:rsid w:val="002060D1"/>
    <w:rsid w:val="002060E5"/>
    <w:rsid w:val="00206132"/>
    <w:rsid w:val="00206172"/>
    <w:rsid w:val="002061A2"/>
    <w:rsid w:val="002061B3"/>
    <w:rsid w:val="002061EC"/>
    <w:rsid w:val="0020621A"/>
    <w:rsid w:val="00206272"/>
    <w:rsid w:val="00206327"/>
    <w:rsid w:val="0020632A"/>
    <w:rsid w:val="00206332"/>
    <w:rsid w:val="0020636F"/>
    <w:rsid w:val="002063C6"/>
    <w:rsid w:val="002063FA"/>
    <w:rsid w:val="0020641B"/>
    <w:rsid w:val="00206424"/>
    <w:rsid w:val="0020650A"/>
    <w:rsid w:val="00206534"/>
    <w:rsid w:val="0020654D"/>
    <w:rsid w:val="00206594"/>
    <w:rsid w:val="002065B5"/>
    <w:rsid w:val="002065D7"/>
    <w:rsid w:val="002065F8"/>
    <w:rsid w:val="00206639"/>
    <w:rsid w:val="0020664A"/>
    <w:rsid w:val="0020668B"/>
    <w:rsid w:val="0020670A"/>
    <w:rsid w:val="0020670D"/>
    <w:rsid w:val="0020672C"/>
    <w:rsid w:val="0020673A"/>
    <w:rsid w:val="0020677D"/>
    <w:rsid w:val="00206785"/>
    <w:rsid w:val="002067CB"/>
    <w:rsid w:val="002067D1"/>
    <w:rsid w:val="002067DF"/>
    <w:rsid w:val="00206822"/>
    <w:rsid w:val="002068B2"/>
    <w:rsid w:val="002068BA"/>
    <w:rsid w:val="002068EC"/>
    <w:rsid w:val="0020696C"/>
    <w:rsid w:val="002069AD"/>
    <w:rsid w:val="002069C9"/>
    <w:rsid w:val="002069E7"/>
    <w:rsid w:val="00206A0D"/>
    <w:rsid w:val="00206A19"/>
    <w:rsid w:val="00206A34"/>
    <w:rsid w:val="00206A57"/>
    <w:rsid w:val="00206AF1"/>
    <w:rsid w:val="00206B01"/>
    <w:rsid w:val="00206BC0"/>
    <w:rsid w:val="00206BC1"/>
    <w:rsid w:val="00206BE2"/>
    <w:rsid w:val="00206C0B"/>
    <w:rsid w:val="00206C10"/>
    <w:rsid w:val="00206C36"/>
    <w:rsid w:val="00206CC5"/>
    <w:rsid w:val="00206CE3"/>
    <w:rsid w:val="00206D7F"/>
    <w:rsid w:val="00206DDE"/>
    <w:rsid w:val="00206DED"/>
    <w:rsid w:val="00206DFD"/>
    <w:rsid w:val="00206E0F"/>
    <w:rsid w:val="00206E20"/>
    <w:rsid w:val="00206E57"/>
    <w:rsid w:val="00206F5F"/>
    <w:rsid w:val="00206F88"/>
    <w:rsid w:val="00206FAA"/>
    <w:rsid w:val="00206FD8"/>
    <w:rsid w:val="0020701A"/>
    <w:rsid w:val="00207033"/>
    <w:rsid w:val="00207083"/>
    <w:rsid w:val="00207094"/>
    <w:rsid w:val="002070EE"/>
    <w:rsid w:val="0020719C"/>
    <w:rsid w:val="002071E7"/>
    <w:rsid w:val="00207220"/>
    <w:rsid w:val="002072A6"/>
    <w:rsid w:val="002072DF"/>
    <w:rsid w:val="002072E4"/>
    <w:rsid w:val="00207353"/>
    <w:rsid w:val="00207365"/>
    <w:rsid w:val="00207374"/>
    <w:rsid w:val="00207395"/>
    <w:rsid w:val="002073F9"/>
    <w:rsid w:val="002073FF"/>
    <w:rsid w:val="00207419"/>
    <w:rsid w:val="00207426"/>
    <w:rsid w:val="00207429"/>
    <w:rsid w:val="0020742C"/>
    <w:rsid w:val="00207449"/>
    <w:rsid w:val="00207460"/>
    <w:rsid w:val="00207483"/>
    <w:rsid w:val="002074BA"/>
    <w:rsid w:val="002074C3"/>
    <w:rsid w:val="002074E4"/>
    <w:rsid w:val="00207573"/>
    <w:rsid w:val="0020757F"/>
    <w:rsid w:val="002075B1"/>
    <w:rsid w:val="002075B7"/>
    <w:rsid w:val="002075BA"/>
    <w:rsid w:val="002075D5"/>
    <w:rsid w:val="002075D9"/>
    <w:rsid w:val="002075DA"/>
    <w:rsid w:val="00207645"/>
    <w:rsid w:val="00207651"/>
    <w:rsid w:val="00207657"/>
    <w:rsid w:val="0020768C"/>
    <w:rsid w:val="002076A8"/>
    <w:rsid w:val="002076D2"/>
    <w:rsid w:val="002076E0"/>
    <w:rsid w:val="00207755"/>
    <w:rsid w:val="00207777"/>
    <w:rsid w:val="002077EA"/>
    <w:rsid w:val="0020781D"/>
    <w:rsid w:val="00207836"/>
    <w:rsid w:val="00207855"/>
    <w:rsid w:val="002078E8"/>
    <w:rsid w:val="002078F6"/>
    <w:rsid w:val="00207930"/>
    <w:rsid w:val="00207944"/>
    <w:rsid w:val="00207957"/>
    <w:rsid w:val="0020797E"/>
    <w:rsid w:val="0020798C"/>
    <w:rsid w:val="002079C6"/>
    <w:rsid w:val="00207A09"/>
    <w:rsid w:val="00207A2F"/>
    <w:rsid w:val="00207AA8"/>
    <w:rsid w:val="00207AE2"/>
    <w:rsid w:val="00207B38"/>
    <w:rsid w:val="00207B53"/>
    <w:rsid w:val="00207B65"/>
    <w:rsid w:val="00207B69"/>
    <w:rsid w:val="00207BC7"/>
    <w:rsid w:val="00207BF0"/>
    <w:rsid w:val="00207C04"/>
    <w:rsid w:val="00207C84"/>
    <w:rsid w:val="00207CFF"/>
    <w:rsid w:val="00207D4B"/>
    <w:rsid w:val="00207D5B"/>
    <w:rsid w:val="00207D93"/>
    <w:rsid w:val="00207DA2"/>
    <w:rsid w:val="00207E7D"/>
    <w:rsid w:val="00207EBA"/>
    <w:rsid w:val="00207F6F"/>
    <w:rsid w:val="00207F83"/>
    <w:rsid w:val="00207FB9"/>
    <w:rsid w:val="0020ED33"/>
    <w:rsid w:val="00210039"/>
    <w:rsid w:val="00210049"/>
    <w:rsid w:val="0021005A"/>
    <w:rsid w:val="0021007B"/>
    <w:rsid w:val="00210119"/>
    <w:rsid w:val="00210152"/>
    <w:rsid w:val="00210184"/>
    <w:rsid w:val="00210194"/>
    <w:rsid w:val="00210204"/>
    <w:rsid w:val="0021020B"/>
    <w:rsid w:val="0021023F"/>
    <w:rsid w:val="0021028B"/>
    <w:rsid w:val="002102B5"/>
    <w:rsid w:val="00210316"/>
    <w:rsid w:val="00210382"/>
    <w:rsid w:val="002103B1"/>
    <w:rsid w:val="0021046C"/>
    <w:rsid w:val="0021046E"/>
    <w:rsid w:val="00210490"/>
    <w:rsid w:val="002104CB"/>
    <w:rsid w:val="002104E9"/>
    <w:rsid w:val="00210517"/>
    <w:rsid w:val="0021054E"/>
    <w:rsid w:val="00210611"/>
    <w:rsid w:val="00210694"/>
    <w:rsid w:val="0021069C"/>
    <w:rsid w:val="002106AD"/>
    <w:rsid w:val="002106E3"/>
    <w:rsid w:val="00210704"/>
    <w:rsid w:val="0021070F"/>
    <w:rsid w:val="00210713"/>
    <w:rsid w:val="00210730"/>
    <w:rsid w:val="00210762"/>
    <w:rsid w:val="002107AD"/>
    <w:rsid w:val="002108DA"/>
    <w:rsid w:val="0021090E"/>
    <w:rsid w:val="00210915"/>
    <w:rsid w:val="00210919"/>
    <w:rsid w:val="002109B2"/>
    <w:rsid w:val="00210A0A"/>
    <w:rsid w:val="00210A0D"/>
    <w:rsid w:val="00210A1A"/>
    <w:rsid w:val="00210A35"/>
    <w:rsid w:val="00210A68"/>
    <w:rsid w:val="00210A6D"/>
    <w:rsid w:val="00210A8F"/>
    <w:rsid w:val="00210AC8"/>
    <w:rsid w:val="00210ACB"/>
    <w:rsid w:val="00210B0D"/>
    <w:rsid w:val="00210B42"/>
    <w:rsid w:val="00210B64"/>
    <w:rsid w:val="00210BE5"/>
    <w:rsid w:val="00210C50"/>
    <w:rsid w:val="00210C55"/>
    <w:rsid w:val="00210C68"/>
    <w:rsid w:val="00210C86"/>
    <w:rsid w:val="00210D40"/>
    <w:rsid w:val="00210DA6"/>
    <w:rsid w:val="00210DD3"/>
    <w:rsid w:val="00210E4A"/>
    <w:rsid w:val="00210E70"/>
    <w:rsid w:val="00210EB3"/>
    <w:rsid w:val="00210EB7"/>
    <w:rsid w:val="00210EF7"/>
    <w:rsid w:val="00210F2B"/>
    <w:rsid w:val="00210F2F"/>
    <w:rsid w:val="00210F41"/>
    <w:rsid w:val="00210F83"/>
    <w:rsid w:val="00210FE6"/>
    <w:rsid w:val="00211012"/>
    <w:rsid w:val="002110BA"/>
    <w:rsid w:val="002110BC"/>
    <w:rsid w:val="00211136"/>
    <w:rsid w:val="00211163"/>
    <w:rsid w:val="00211189"/>
    <w:rsid w:val="00211195"/>
    <w:rsid w:val="002111FC"/>
    <w:rsid w:val="0021121A"/>
    <w:rsid w:val="002112A5"/>
    <w:rsid w:val="002112BC"/>
    <w:rsid w:val="00211302"/>
    <w:rsid w:val="002113A1"/>
    <w:rsid w:val="00211410"/>
    <w:rsid w:val="00211420"/>
    <w:rsid w:val="0021144D"/>
    <w:rsid w:val="0021146F"/>
    <w:rsid w:val="00211482"/>
    <w:rsid w:val="002114CC"/>
    <w:rsid w:val="002114D1"/>
    <w:rsid w:val="00211523"/>
    <w:rsid w:val="00211533"/>
    <w:rsid w:val="0021153A"/>
    <w:rsid w:val="00211597"/>
    <w:rsid w:val="002115B7"/>
    <w:rsid w:val="002115CB"/>
    <w:rsid w:val="002115E8"/>
    <w:rsid w:val="002115FF"/>
    <w:rsid w:val="00211633"/>
    <w:rsid w:val="00211652"/>
    <w:rsid w:val="0021168A"/>
    <w:rsid w:val="0021168B"/>
    <w:rsid w:val="002116D3"/>
    <w:rsid w:val="002116E3"/>
    <w:rsid w:val="00211705"/>
    <w:rsid w:val="00211715"/>
    <w:rsid w:val="0021171D"/>
    <w:rsid w:val="00211724"/>
    <w:rsid w:val="0021175A"/>
    <w:rsid w:val="0021177F"/>
    <w:rsid w:val="0021179E"/>
    <w:rsid w:val="002117F0"/>
    <w:rsid w:val="00211801"/>
    <w:rsid w:val="0021181B"/>
    <w:rsid w:val="0021182D"/>
    <w:rsid w:val="002118B2"/>
    <w:rsid w:val="0021196F"/>
    <w:rsid w:val="0021197A"/>
    <w:rsid w:val="002119AC"/>
    <w:rsid w:val="002119B8"/>
    <w:rsid w:val="002119BA"/>
    <w:rsid w:val="002119DC"/>
    <w:rsid w:val="00211A03"/>
    <w:rsid w:val="00211A3F"/>
    <w:rsid w:val="00211A65"/>
    <w:rsid w:val="00211A92"/>
    <w:rsid w:val="00211AC7"/>
    <w:rsid w:val="00211B11"/>
    <w:rsid w:val="00211B14"/>
    <w:rsid w:val="00211B41"/>
    <w:rsid w:val="00211B7D"/>
    <w:rsid w:val="00211BA5"/>
    <w:rsid w:val="00211BD2"/>
    <w:rsid w:val="00211BF4"/>
    <w:rsid w:val="00211C06"/>
    <w:rsid w:val="00211C17"/>
    <w:rsid w:val="00211C5C"/>
    <w:rsid w:val="00211C92"/>
    <w:rsid w:val="00211CB9"/>
    <w:rsid w:val="00211CF3"/>
    <w:rsid w:val="00211D09"/>
    <w:rsid w:val="00211D70"/>
    <w:rsid w:val="00211D73"/>
    <w:rsid w:val="00211DCD"/>
    <w:rsid w:val="00211E17"/>
    <w:rsid w:val="00211EA2"/>
    <w:rsid w:val="00211F85"/>
    <w:rsid w:val="00211FE9"/>
    <w:rsid w:val="00211FEF"/>
    <w:rsid w:val="00212007"/>
    <w:rsid w:val="00212055"/>
    <w:rsid w:val="00212059"/>
    <w:rsid w:val="002120A0"/>
    <w:rsid w:val="002120AD"/>
    <w:rsid w:val="002120C0"/>
    <w:rsid w:val="002120C9"/>
    <w:rsid w:val="00212142"/>
    <w:rsid w:val="0021215F"/>
    <w:rsid w:val="00212182"/>
    <w:rsid w:val="0021219E"/>
    <w:rsid w:val="002121DD"/>
    <w:rsid w:val="00212210"/>
    <w:rsid w:val="002122B0"/>
    <w:rsid w:val="002122C0"/>
    <w:rsid w:val="002122CA"/>
    <w:rsid w:val="00212374"/>
    <w:rsid w:val="0021237D"/>
    <w:rsid w:val="002123B7"/>
    <w:rsid w:val="0021240C"/>
    <w:rsid w:val="00212507"/>
    <w:rsid w:val="00212540"/>
    <w:rsid w:val="0021254A"/>
    <w:rsid w:val="0021254C"/>
    <w:rsid w:val="0021256A"/>
    <w:rsid w:val="00212580"/>
    <w:rsid w:val="0021258F"/>
    <w:rsid w:val="002125E5"/>
    <w:rsid w:val="002125E6"/>
    <w:rsid w:val="00212603"/>
    <w:rsid w:val="00212623"/>
    <w:rsid w:val="00212627"/>
    <w:rsid w:val="00212677"/>
    <w:rsid w:val="002126A4"/>
    <w:rsid w:val="002126CF"/>
    <w:rsid w:val="0021272E"/>
    <w:rsid w:val="00212760"/>
    <w:rsid w:val="0021276C"/>
    <w:rsid w:val="00212773"/>
    <w:rsid w:val="0021277C"/>
    <w:rsid w:val="002127BB"/>
    <w:rsid w:val="002127CF"/>
    <w:rsid w:val="002127D5"/>
    <w:rsid w:val="0021284F"/>
    <w:rsid w:val="0021285F"/>
    <w:rsid w:val="0021286E"/>
    <w:rsid w:val="002128BA"/>
    <w:rsid w:val="002128CD"/>
    <w:rsid w:val="002128CE"/>
    <w:rsid w:val="002128F8"/>
    <w:rsid w:val="0021292B"/>
    <w:rsid w:val="00212930"/>
    <w:rsid w:val="0021293D"/>
    <w:rsid w:val="0021297A"/>
    <w:rsid w:val="002129E8"/>
    <w:rsid w:val="002129F2"/>
    <w:rsid w:val="00212A4E"/>
    <w:rsid w:val="00212A57"/>
    <w:rsid w:val="00212B0E"/>
    <w:rsid w:val="00212B2B"/>
    <w:rsid w:val="00212B31"/>
    <w:rsid w:val="00212B4A"/>
    <w:rsid w:val="00212B91"/>
    <w:rsid w:val="00212BA0"/>
    <w:rsid w:val="00212BA5"/>
    <w:rsid w:val="00212C0B"/>
    <w:rsid w:val="00212C33"/>
    <w:rsid w:val="00212C59"/>
    <w:rsid w:val="00212C7C"/>
    <w:rsid w:val="00212CD1"/>
    <w:rsid w:val="00212CDF"/>
    <w:rsid w:val="00212CFD"/>
    <w:rsid w:val="00212CFE"/>
    <w:rsid w:val="00212CFF"/>
    <w:rsid w:val="00212DD8"/>
    <w:rsid w:val="00212DF2"/>
    <w:rsid w:val="00212E19"/>
    <w:rsid w:val="00212E2A"/>
    <w:rsid w:val="00212E49"/>
    <w:rsid w:val="00212E61"/>
    <w:rsid w:val="00212E6A"/>
    <w:rsid w:val="00212E9F"/>
    <w:rsid w:val="00212EF5"/>
    <w:rsid w:val="00212EFE"/>
    <w:rsid w:val="00212F00"/>
    <w:rsid w:val="00212F09"/>
    <w:rsid w:val="00212F66"/>
    <w:rsid w:val="00212F98"/>
    <w:rsid w:val="00213035"/>
    <w:rsid w:val="0021304E"/>
    <w:rsid w:val="00213062"/>
    <w:rsid w:val="002130A2"/>
    <w:rsid w:val="002130A4"/>
    <w:rsid w:val="002130F7"/>
    <w:rsid w:val="002130FE"/>
    <w:rsid w:val="00213127"/>
    <w:rsid w:val="0021319E"/>
    <w:rsid w:val="002131D9"/>
    <w:rsid w:val="002131ED"/>
    <w:rsid w:val="0021332D"/>
    <w:rsid w:val="002133B0"/>
    <w:rsid w:val="002133ED"/>
    <w:rsid w:val="0021348F"/>
    <w:rsid w:val="002134B5"/>
    <w:rsid w:val="00213514"/>
    <w:rsid w:val="00213544"/>
    <w:rsid w:val="002135C0"/>
    <w:rsid w:val="002135FC"/>
    <w:rsid w:val="0021360B"/>
    <w:rsid w:val="0021364A"/>
    <w:rsid w:val="002136CE"/>
    <w:rsid w:val="002136D1"/>
    <w:rsid w:val="002136DC"/>
    <w:rsid w:val="00213711"/>
    <w:rsid w:val="00213713"/>
    <w:rsid w:val="002137A7"/>
    <w:rsid w:val="00213833"/>
    <w:rsid w:val="00213877"/>
    <w:rsid w:val="0021389F"/>
    <w:rsid w:val="002138D7"/>
    <w:rsid w:val="00213913"/>
    <w:rsid w:val="0021395B"/>
    <w:rsid w:val="0021398B"/>
    <w:rsid w:val="0021399E"/>
    <w:rsid w:val="002139BC"/>
    <w:rsid w:val="002139CC"/>
    <w:rsid w:val="002139FE"/>
    <w:rsid w:val="00213A01"/>
    <w:rsid w:val="00213A10"/>
    <w:rsid w:val="00213A95"/>
    <w:rsid w:val="00213AD0"/>
    <w:rsid w:val="00213AD9"/>
    <w:rsid w:val="00213B14"/>
    <w:rsid w:val="00213B4C"/>
    <w:rsid w:val="00213B54"/>
    <w:rsid w:val="00213B5F"/>
    <w:rsid w:val="00213B6A"/>
    <w:rsid w:val="00213BAE"/>
    <w:rsid w:val="00213BB0"/>
    <w:rsid w:val="00213C56"/>
    <w:rsid w:val="00213C98"/>
    <w:rsid w:val="00213CA9"/>
    <w:rsid w:val="00213CD0"/>
    <w:rsid w:val="00213CD5"/>
    <w:rsid w:val="00213D0E"/>
    <w:rsid w:val="00213D18"/>
    <w:rsid w:val="00213D1B"/>
    <w:rsid w:val="00213D1F"/>
    <w:rsid w:val="00213D4C"/>
    <w:rsid w:val="00213DBE"/>
    <w:rsid w:val="00213DCA"/>
    <w:rsid w:val="00213DE4"/>
    <w:rsid w:val="00213DE9"/>
    <w:rsid w:val="00213DED"/>
    <w:rsid w:val="00213E1C"/>
    <w:rsid w:val="00213E7C"/>
    <w:rsid w:val="00213E91"/>
    <w:rsid w:val="00213E96"/>
    <w:rsid w:val="00213E9F"/>
    <w:rsid w:val="00213F42"/>
    <w:rsid w:val="00213F48"/>
    <w:rsid w:val="00213F87"/>
    <w:rsid w:val="00213F96"/>
    <w:rsid w:val="002140A8"/>
    <w:rsid w:val="002140D5"/>
    <w:rsid w:val="0021418F"/>
    <w:rsid w:val="0021419D"/>
    <w:rsid w:val="002141A4"/>
    <w:rsid w:val="002141A6"/>
    <w:rsid w:val="00214235"/>
    <w:rsid w:val="0021425E"/>
    <w:rsid w:val="0021428A"/>
    <w:rsid w:val="002142AD"/>
    <w:rsid w:val="002142EE"/>
    <w:rsid w:val="002142FC"/>
    <w:rsid w:val="0021435C"/>
    <w:rsid w:val="0021439A"/>
    <w:rsid w:val="002143D8"/>
    <w:rsid w:val="002143FC"/>
    <w:rsid w:val="00214415"/>
    <w:rsid w:val="00214444"/>
    <w:rsid w:val="00214449"/>
    <w:rsid w:val="00214455"/>
    <w:rsid w:val="00214483"/>
    <w:rsid w:val="00214508"/>
    <w:rsid w:val="0021453B"/>
    <w:rsid w:val="0021456B"/>
    <w:rsid w:val="00214598"/>
    <w:rsid w:val="002145AA"/>
    <w:rsid w:val="002145EB"/>
    <w:rsid w:val="0021460E"/>
    <w:rsid w:val="00214614"/>
    <w:rsid w:val="00214619"/>
    <w:rsid w:val="00214660"/>
    <w:rsid w:val="0021469D"/>
    <w:rsid w:val="002146C8"/>
    <w:rsid w:val="0021471D"/>
    <w:rsid w:val="0021478C"/>
    <w:rsid w:val="0021478D"/>
    <w:rsid w:val="00214792"/>
    <w:rsid w:val="002147B5"/>
    <w:rsid w:val="002147ED"/>
    <w:rsid w:val="00214859"/>
    <w:rsid w:val="0021489B"/>
    <w:rsid w:val="0021489D"/>
    <w:rsid w:val="002148B6"/>
    <w:rsid w:val="00214953"/>
    <w:rsid w:val="00214959"/>
    <w:rsid w:val="00214961"/>
    <w:rsid w:val="00214969"/>
    <w:rsid w:val="002149B4"/>
    <w:rsid w:val="002149BE"/>
    <w:rsid w:val="002149C9"/>
    <w:rsid w:val="00214AE0"/>
    <w:rsid w:val="00214AF3"/>
    <w:rsid w:val="00214B70"/>
    <w:rsid w:val="00214BAC"/>
    <w:rsid w:val="00214C6A"/>
    <w:rsid w:val="00214C6C"/>
    <w:rsid w:val="00214CE9"/>
    <w:rsid w:val="00214D01"/>
    <w:rsid w:val="00214D39"/>
    <w:rsid w:val="00214D8A"/>
    <w:rsid w:val="00214DD4"/>
    <w:rsid w:val="00214E15"/>
    <w:rsid w:val="00214E28"/>
    <w:rsid w:val="00214EED"/>
    <w:rsid w:val="00214F2E"/>
    <w:rsid w:val="00215062"/>
    <w:rsid w:val="002150CC"/>
    <w:rsid w:val="002150EA"/>
    <w:rsid w:val="00215166"/>
    <w:rsid w:val="00215185"/>
    <w:rsid w:val="002151CE"/>
    <w:rsid w:val="00215217"/>
    <w:rsid w:val="0021524D"/>
    <w:rsid w:val="00215268"/>
    <w:rsid w:val="002152BB"/>
    <w:rsid w:val="0021537C"/>
    <w:rsid w:val="002153DF"/>
    <w:rsid w:val="002153E7"/>
    <w:rsid w:val="00215405"/>
    <w:rsid w:val="00215520"/>
    <w:rsid w:val="0021553C"/>
    <w:rsid w:val="00215565"/>
    <w:rsid w:val="0021558D"/>
    <w:rsid w:val="002155B0"/>
    <w:rsid w:val="002155D0"/>
    <w:rsid w:val="0021560F"/>
    <w:rsid w:val="00215666"/>
    <w:rsid w:val="002156D1"/>
    <w:rsid w:val="00215719"/>
    <w:rsid w:val="0021572A"/>
    <w:rsid w:val="0021572C"/>
    <w:rsid w:val="00215760"/>
    <w:rsid w:val="00215788"/>
    <w:rsid w:val="002157E7"/>
    <w:rsid w:val="002157F7"/>
    <w:rsid w:val="0021581F"/>
    <w:rsid w:val="00215822"/>
    <w:rsid w:val="00215833"/>
    <w:rsid w:val="00215843"/>
    <w:rsid w:val="00215876"/>
    <w:rsid w:val="002158A8"/>
    <w:rsid w:val="002158B2"/>
    <w:rsid w:val="002158C1"/>
    <w:rsid w:val="002158D9"/>
    <w:rsid w:val="00215952"/>
    <w:rsid w:val="0021595F"/>
    <w:rsid w:val="00215981"/>
    <w:rsid w:val="002159C2"/>
    <w:rsid w:val="00215A0C"/>
    <w:rsid w:val="00215A35"/>
    <w:rsid w:val="00215AD9"/>
    <w:rsid w:val="00215C94"/>
    <w:rsid w:val="00215C9D"/>
    <w:rsid w:val="00215D39"/>
    <w:rsid w:val="00215D4B"/>
    <w:rsid w:val="00215E13"/>
    <w:rsid w:val="00215E71"/>
    <w:rsid w:val="00215EAD"/>
    <w:rsid w:val="00215F27"/>
    <w:rsid w:val="00215F51"/>
    <w:rsid w:val="00215F6F"/>
    <w:rsid w:val="00215FC7"/>
    <w:rsid w:val="00216030"/>
    <w:rsid w:val="0021609F"/>
    <w:rsid w:val="002160DF"/>
    <w:rsid w:val="0021610F"/>
    <w:rsid w:val="00216113"/>
    <w:rsid w:val="0021611C"/>
    <w:rsid w:val="00216123"/>
    <w:rsid w:val="00216128"/>
    <w:rsid w:val="002161D6"/>
    <w:rsid w:val="002161E1"/>
    <w:rsid w:val="002161F1"/>
    <w:rsid w:val="00216234"/>
    <w:rsid w:val="002162C8"/>
    <w:rsid w:val="002162D5"/>
    <w:rsid w:val="00216310"/>
    <w:rsid w:val="00216333"/>
    <w:rsid w:val="0021638A"/>
    <w:rsid w:val="002163BE"/>
    <w:rsid w:val="002163DB"/>
    <w:rsid w:val="002163F7"/>
    <w:rsid w:val="002163FC"/>
    <w:rsid w:val="0021642A"/>
    <w:rsid w:val="0021646E"/>
    <w:rsid w:val="00216550"/>
    <w:rsid w:val="00216576"/>
    <w:rsid w:val="00216581"/>
    <w:rsid w:val="002165BC"/>
    <w:rsid w:val="002165D0"/>
    <w:rsid w:val="00216639"/>
    <w:rsid w:val="00216664"/>
    <w:rsid w:val="0021666F"/>
    <w:rsid w:val="002166A6"/>
    <w:rsid w:val="002166F6"/>
    <w:rsid w:val="00216741"/>
    <w:rsid w:val="002167A8"/>
    <w:rsid w:val="002167ED"/>
    <w:rsid w:val="0021688A"/>
    <w:rsid w:val="002168BB"/>
    <w:rsid w:val="002168C4"/>
    <w:rsid w:val="002168D3"/>
    <w:rsid w:val="0021692B"/>
    <w:rsid w:val="00216967"/>
    <w:rsid w:val="0021698F"/>
    <w:rsid w:val="00216990"/>
    <w:rsid w:val="00216995"/>
    <w:rsid w:val="002169A8"/>
    <w:rsid w:val="002169F1"/>
    <w:rsid w:val="00216A88"/>
    <w:rsid w:val="00216AF9"/>
    <w:rsid w:val="00216B53"/>
    <w:rsid w:val="00216B5F"/>
    <w:rsid w:val="00216C08"/>
    <w:rsid w:val="00216C0B"/>
    <w:rsid w:val="00216C61"/>
    <w:rsid w:val="00216CB7"/>
    <w:rsid w:val="00216CFB"/>
    <w:rsid w:val="00216D35"/>
    <w:rsid w:val="00216D69"/>
    <w:rsid w:val="00216DAD"/>
    <w:rsid w:val="00216DD4"/>
    <w:rsid w:val="00216E20"/>
    <w:rsid w:val="00216E29"/>
    <w:rsid w:val="00216E35"/>
    <w:rsid w:val="00216E59"/>
    <w:rsid w:val="00216E7E"/>
    <w:rsid w:val="00216ED0"/>
    <w:rsid w:val="00216EE7"/>
    <w:rsid w:val="00216F1F"/>
    <w:rsid w:val="00216F44"/>
    <w:rsid w:val="00216F73"/>
    <w:rsid w:val="00216F96"/>
    <w:rsid w:val="00216FC9"/>
    <w:rsid w:val="00216FE1"/>
    <w:rsid w:val="00216FF1"/>
    <w:rsid w:val="0021709B"/>
    <w:rsid w:val="002170DD"/>
    <w:rsid w:val="002170F2"/>
    <w:rsid w:val="00217105"/>
    <w:rsid w:val="00217116"/>
    <w:rsid w:val="00217125"/>
    <w:rsid w:val="00217162"/>
    <w:rsid w:val="002171AF"/>
    <w:rsid w:val="002171BE"/>
    <w:rsid w:val="002171CF"/>
    <w:rsid w:val="002171D1"/>
    <w:rsid w:val="002171DF"/>
    <w:rsid w:val="00217224"/>
    <w:rsid w:val="00217251"/>
    <w:rsid w:val="00217290"/>
    <w:rsid w:val="002172C4"/>
    <w:rsid w:val="00217300"/>
    <w:rsid w:val="0021738B"/>
    <w:rsid w:val="002173DD"/>
    <w:rsid w:val="00217449"/>
    <w:rsid w:val="00217482"/>
    <w:rsid w:val="00217486"/>
    <w:rsid w:val="0021749A"/>
    <w:rsid w:val="00217504"/>
    <w:rsid w:val="00217546"/>
    <w:rsid w:val="00217556"/>
    <w:rsid w:val="00217560"/>
    <w:rsid w:val="00217564"/>
    <w:rsid w:val="0021757D"/>
    <w:rsid w:val="00217591"/>
    <w:rsid w:val="002175D1"/>
    <w:rsid w:val="0021762E"/>
    <w:rsid w:val="0021763F"/>
    <w:rsid w:val="00217655"/>
    <w:rsid w:val="00217685"/>
    <w:rsid w:val="002176DB"/>
    <w:rsid w:val="00217740"/>
    <w:rsid w:val="0021776B"/>
    <w:rsid w:val="0021776E"/>
    <w:rsid w:val="0021778C"/>
    <w:rsid w:val="002177A3"/>
    <w:rsid w:val="002177BC"/>
    <w:rsid w:val="002177CE"/>
    <w:rsid w:val="0021781B"/>
    <w:rsid w:val="00217898"/>
    <w:rsid w:val="002178F0"/>
    <w:rsid w:val="0021791C"/>
    <w:rsid w:val="00217956"/>
    <w:rsid w:val="00217969"/>
    <w:rsid w:val="0021798B"/>
    <w:rsid w:val="00217A23"/>
    <w:rsid w:val="00217A62"/>
    <w:rsid w:val="00217AD0"/>
    <w:rsid w:val="00217ADD"/>
    <w:rsid w:val="00217AED"/>
    <w:rsid w:val="00217B03"/>
    <w:rsid w:val="00217B0C"/>
    <w:rsid w:val="00217B87"/>
    <w:rsid w:val="00217B93"/>
    <w:rsid w:val="00217BC2"/>
    <w:rsid w:val="00217C0D"/>
    <w:rsid w:val="00217C1D"/>
    <w:rsid w:val="00217C6D"/>
    <w:rsid w:val="00217D01"/>
    <w:rsid w:val="00217D48"/>
    <w:rsid w:val="00217D4F"/>
    <w:rsid w:val="00217D85"/>
    <w:rsid w:val="00217D8B"/>
    <w:rsid w:val="00217DC8"/>
    <w:rsid w:val="00217E06"/>
    <w:rsid w:val="00217E1F"/>
    <w:rsid w:val="00217E2B"/>
    <w:rsid w:val="00217E8E"/>
    <w:rsid w:val="00217E91"/>
    <w:rsid w:val="00217E9F"/>
    <w:rsid w:val="00217ED0"/>
    <w:rsid w:val="00217EE5"/>
    <w:rsid w:val="00217F00"/>
    <w:rsid w:val="00217F0A"/>
    <w:rsid w:val="00217F13"/>
    <w:rsid w:val="00217F2C"/>
    <w:rsid w:val="00217F34"/>
    <w:rsid w:val="00217F95"/>
    <w:rsid w:val="00217FB6"/>
    <w:rsid w:val="00217FB8"/>
    <w:rsid w:val="00217FFB"/>
    <w:rsid w:val="00220041"/>
    <w:rsid w:val="002200B6"/>
    <w:rsid w:val="0022015F"/>
    <w:rsid w:val="002201BB"/>
    <w:rsid w:val="00220287"/>
    <w:rsid w:val="00220294"/>
    <w:rsid w:val="002202EA"/>
    <w:rsid w:val="00220318"/>
    <w:rsid w:val="00220320"/>
    <w:rsid w:val="00220383"/>
    <w:rsid w:val="002203F9"/>
    <w:rsid w:val="0022043A"/>
    <w:rsid w:val="0022043F"/>
    <w:rsid w:val="00220565"/>
    <w:rsid w:val="002205A1"/>
    <w:rsid w:val="002205A5"/>
    <w:rsid w:val="00220661"/>
    <w:rsid w:val="00220662"/>
    <w:rsid w:val="00220686"/>
    <w:rsid w:val="002206A3"/>
    <w:rsid w:val="00220758"/>
    <w:rsid w:val="00220762"/>
    <w:rsid w:val="0022076F"/>
    <w:rsid w:val="002208C6"/>
    <w:rsid w:val="002208C9"/>
    <w:rsid w:val="002208D2"/>
    <w:rsid w:val="00220911"/>
    <w:rsid w:val="0022093E"/>
    <w:rsid w:val="002209AA"/>
    <w:rsid w:val="002209AC"/>
    <w:rsid w:val="002209E6"/>
    <w:rsid w:val="00220A2E"/>
    <w:rsid w:val="00220A4F"/>
    <w:rsid w:val="00220A67"/>
    <w:rsid w:val="00220A6E"/>
    <w:rsid w:val="00220A74"/>
    <w:rsid w:val="00220A9C"/>
    <w:rsid w:val="00220ABB"/>
    <w:rsid w:val="00220AC8"/>
    <w:rsid w:val="00220AE1"/>
    <w:rsid w:val="00220B31"/>
    <w:rsid w:val="00220BA8"/>
    <w:rsid w:val="00220BBB"/>
    <w:rsid w:val="00220CAE"/>
    <w:rsid w:val="00220CCE"/>
    <w:rsid w:val="00220D2B"/>
    <w:rsid w:val="00220D5A"/>
    <w:rsid w:val="00220DA4"/>
    <w:rsid w:val="00220DB5"/>
    <w:rsid w:val="00220E63"/>
    <w:rsid w:val="00220E66"/>
    <w:rsid w:val="00220E69"/>
    <w:rsid w:val="00220EA5"/>
    <w:rsid w:val="00220F11"/>
    <w:rsid w:val="00220F14"/>
    <w:rsid w:val="00220FD1"/>
    <w:rsid w:val="0022100A"/>
    <w:rsid w:val="0022108E"/>
    <w:rsid w:val="002210D0"/>
    <w:rsid w:val="00221128"/>
    <w:rsid w:val="00221131"/>
    <w:rsid w:val="00221145"/>
    <w:rsid w:val="0022118E"/>
    <w:rsid w:val="002211E6"/>
    <w:rsid w:val="002211F4"/>
    <w:rsid w:val="002211FF"/>
    <w:rsid w:val="00221200"/>
    <w:rsid w:val="00221238"/>
    <w:rsid w:val="0022123B"/>
    <w:rsid w:val="0022123C"/>
    <w:rsid w:val="00221240"/>
    <w:rsid w:val="00221274"/>
    <w:rsid w:val="002212A7"/>
    <w:rsid w:val="002212C2"/>
    <w:rsid w:val="002212D3"/>
    <w:rsid w:val="002212E4"/>
    <w:rsid w:val="00221509"/>
    <w:rsid w:val="0022156C"/>
    <w:rsid w:val="002215FD"/>
    <w:rsid w:val="00221626"/>
    <w:rsid w:val="00221644"/>
    <w:rsid w:val="0022164C"/>
    <w:rsid w:val="002216EA"/>
    <w:rsid w:val="002216EF"/>
    <w:rsid w:val="002216FA"/>
    <w:rsid w:val="0022170E"/>
    <w:rsid w:val="002217A1"/>
    <w:rsid w:val="002217AA"/>
    <w:rsid w:val="002217AE"/>
    <w:rsid w:val="0022184F"/>
    <w:rsid w:val="002218AD"/>
    <w:rsid w:val="00221988"/>
    <w:rsid w:val="00221993"/>
    <w:rsid w:val="00221998"/>
    <w:rsid w:val="002219A5"/>
    <w:rsid w:val="002219C9"/>
    <w:rsid w:val="002219F2"/>
    <w:rsid w:val="00221A5F"/>
    <w:rsid w:val="00221A60"/>
    <w:rsid w:val="00221A78"/>
    <w:rsid w:val="00221AD5"/>
    <w:rsid w:val="00221B00"/>
    <w:rsid w:val="00221B76"/>
    <w:rsid w:val="00221BA6"/>
    <w:rsid w:val="00221BBF"/>
    <w:rsid w:val="00221BCF"/>
    <w:rsid w:val="00221BDC"/>
    <w:rsid w:val="00221C7C"/>
    <w:rsid w:val="00221C8F"/>
    <w:rsid w:val="00221CE4"/>
    <w:rsid w:val="00221CFE"/>
    <w:rsid w:val="00221D0B"/>
    <w:rsid w:val="00221D4A"/>
    <w:rsid w:val="00221D9C"/>
    <w:rsid w:val="00221DE5"/>
    <w:rsid w:val="00221E2F"/>
    <w:rsid w:val="00221E5B"/>
    <w:rsid w:val="00221E8D"/>
    <w:rsid w:val="00221EB2"/>
    <w:rsid w:val="00221EC7"/>
    <w:rsid w:val="00221EDF"/>
    <w:rsid w:val="00221EF5"/>
    <w:rsid w:val="00221F21"/>
    <w:rsid w:val="00221F23"/>
    <w:rsid w:val="00221F2E"/>
    <w:rsid w:val="00221F39"/>
    <w:rsid w:val="00221FAE"/>
    <w:rsid w:val="00221FCC"/>
    <w:rsid w:val="00222001"/>
    <w:rsid w:val="00222008"/>
    <w:rsid w:val="00222015"/>
    <w:rsid w:val="00222080"/>
    <w:rsid w:val="00222081"/>
    <w:rsid w:val="002220C0"/>
    <w:rsid w:val="002220D8"/>
    <w:rsid w:val="002220F1"/>
    <w:rsid w:val="002220FF"/>
    <w:rsid w:val="00222153"/>
    <w:rsid w:val="00222167"/>
    <w:rsid w:val="0022216E"/>
    <w:rsid w:val="00222187"/>
    <w:rsid w:val="002221A0"/>
    <w:rsid w:val="002221A5"/>
    <w:rsid w:val="00222210"/>
    <w:rsid w:val="00222244"/>
    <w:rsid w:val="002222A4"/>
    <w:rsid w:val="002222AE"/>
    <w:rsid w:val="002222C5"/>
    <w:rsid w:val="0022240B"/>
    <w:rsid w:val="00222422"/>
    <w:rsid w:val="00222452"/>
    <w:rsid w:val="00222458"/>
    <w:rsid w:val="00222468"/>
    <w:rsid w:val="00222486"/>
    <w:rsid w:val="002224E0"/>
    <w:rsid w:val="0022252D"/>
    <w:rsid w:val="00222533"/>
    <w:rsid w:val="0022253E"/>
    <w:rsid w:val="00222566"/>
    <w:rsid w:val="002225E8"/>
    <w:rsid w:val="0022262B"/>
    <w:rsid w:val="00222654"/>
    <w:rsid w:val="002226D9"/>
    <w:rsid w:val="0022272F"/>
    <w:rsid w:val="0022274A"/>
    <w:rsid w:val="002227F8"/>
    <w:rsid w:val="0022285B"/>
    <w:rsid w:val="002228AF"/>
    <w:rsid w:val="002228BF"/>
    <w:rsid w:val="002228E2"/>
    <w:rsid w:val="002228EA"/>
    <w:rsid w:val="002228F3"/>
    <w:rsid w:val="00222905"/>
    <w:rsid w:val="00222906"/>
    <w:rsid w:val="00222932"/>
    <w:rsid w:val="00222941"/>
    <w:rsid w:val="00222946"/>
    <w:rsid w:val="0022294F"/>
    <w:rsid w:val="00222974"/>
    <w:rsid w:val="002229A6"/>
    <w:rsid w:val="00222A12"/>
    <w:rsid w:val="00222A17"/>
    <w:rsid w:val="00222A28"/>
    <w:rsid w:val="00222AA4"/>
    <w:rsid w:val="00222ACD"/>
    <w:rsid w:val="00222B9D"/>
    <w:rsid w:val="00222BA9"/>
    <w:rsid w:val="00222BB2"/>
    <w:rsid w:val="00222BE1"/>
    <w:rsid w:val="00222C0E"/>
    <w:rsid w:val="00222C25"/>
    <w:rsid w:val="00222C59"/>
    <w:rsid w:val="00222C76"/>
    <w:rsid w:val="00222C85"/>
    <w:rsid w:val="00222C9D"/>
    <w:rsid w:val="00222CD6"/>
    <w:rsid w:val="00222D14"/>
    <w:rsid w:val="00222D50"/>
    <w:rsid w:val="00222D5C"/>
    <w:rsid w:val="00222D63"/>
    <w:rsid w:val="00222DB0"/>
    <w:rsid w:val="00222E0C"/>
    <w:rsid w:val="00222E5B"/>
    <w:rsid w:val="00222E74"/>
    <w:rsid w:val="00222E86"/>
    <w:rsid w:val="00222ED5"/>
    <w:rsid w:val="00222EF9"/>
    <w:rsid w:val="00222F65"/>
    <w:rsid w:val="00222FCA"/>
    <w:rsid w:val="00222FDE"/>
    <w:rsid w:val="00223061"/>
    <w:rsid w:val="00223097"/>
    <w:rsid w:val="002230B2"/>
    <w:rsid w:val="00223135"/>
    <w:rsid w:val="00223140"/>
    <w:rsid w:val="0022315D"/>
    <w:rsid w:val="00223164"/>
    <w:rsid w:val="00223194"/>
    <w:rsid w:val="002231A4"/>
    <w:rsid w:val="00223252"/>
    <w:rsid w:val="00223283"/>
    <w:rsid w:val="002232F6"/>
    <w:rsid w:val="0022330F"/>
    <w:rsid w:val="00223311"/>
    <w:rsid w:val="00223330"/>
    <w:rsid w:val="002233A9"/>
    <w:rsid w:val="002233C1"/>
    <w:rsid w:val="002233C6"/>
    <w:rsid w:val="002233FC"/>
    <w:rsid w:val="00223427"/>
    <w:rsid w:val="0022345A"/>
    <w:rsid w:val="0022345E"/>
    <w:rsid w:val="002234B4"/>
    <w:rsid w:val="0022358A"/>
    <w:rsid w:val="0022359C"/>
    <w:rsid w:val="002235B0"/>
    <w:rsid w:val="002235B3"/>
    <w:rsid w:val="002235BE"/>
    <w:rsid w:val="002235D2"/>
    <w:rsid w:val="002235EA"/>
    <w:rsid w:val="00223646"/>
    <w:rsid w:val="00223654"/>
    <w:rsid w:val="00223672"/>
    <w:rsid w:val="00223677"/>
    <w:rsid w:val="002236F7"/>
    <w:rsid w:val="00223715"/>
    <w:rsid w:val="00223728"/>
    <w:rsid w:val="002237AF"/>
    <w:rsid w:val="0022380E"/>
    <w:rsid w:val="0022385E"/>
    <w:rsid w:val="0022387B"/>
    <w:rsid w:val="002238AA"/>
    <w:rsid w:val="002238B0"/>
    <w:rsid w:val="002238BA"/>
    <w:rsid w:val="00223957"/>
    <w:rsid w:val="002239A0"/>
    <w:rsid w:val="002239A4"/>
    <w:rsid w:val="00223AEB"/>
    <w:rsid w:val="00223B1B"/>
    <w:rsid w:val="00223B5D"/>
    <w:rsid w:val="00223B9A"/>
    <w:rsid w:val="00223C27"/>
    <w:rsid w:val="00223C2E"/>
    <w:rsid w:val="00223C37"/>
    <w:rsid w:val="00223D22"/>
    <w:rsid w:val="00223D60"/>
    <w:rsid w:val="00223D82"/>
    <w:rsid w:val="00223D9C"/>
    <w:rsid w:val="00223DB2"/>
    <w:rsid w:val="00223E2A"/>
    <w:rsid w:val="00223E55"/>
    <w:rsid w:val="00223E88"/>
    <w:rsid w:val="00223EEE"/>
    <w:rsid w:val="00223F34"/>
    <w:rsid w:val="00223F37"/>
    <w:rsid w:val="00223F61"/>
    <w:rsid w:val="00223FC9"/>
    <w:rsid w:val="00224079"/>
    <w:rsid w:val="0022410E"/>
    <w:rsid w:val="00224165"/>
    <w:rsid w:val="00224178"/>
    <w:rsid w:val="0022418F"/>
    <w:rsid w:val="002241C3"/>
    <w:rsid w:val="00224206"/>
    <w:rsid w:val="00224239"/>
    <w:rsid w:val="0022424E"/>
    <w:rsid w:val="002242E6"/>
    <w:rsid w:val="002242FF"/>
    <w:rsid w:val="0022430D"/>
    <w:rsid w:val="0022435F"/>
    <w:rsid w:val="002243E6"/>
    <w:rsid w:val="0022440D"/>
    <w:rsid w:val="00224415"/>
    <w:rsid w:val="00224426"/>
    <w:rsid w:val="0022444B"/>
    <w:rsid w:val="002244EA"/>
    <w:rsid w:val="00224537"/>
    <w:rsid w:val="00224548"/>
    <w:rsid w:val="0022458E"/>
    <w:rsid w:val="0022459A"/>
    <w:rsid w:val="002245DB"/>
    <w:rsid w:val="00224619"/>
    <w:rsid w:val="0022462D"/>
    <w:rsid w:val="00224635"/>
    <w:rsid w:val="00224683"/>
    <w:rsid w:val="00224689"/>
    <w:rsid w:val="0022468C"/>
    <w:rsid w:val="002246AB"/>
    <w:rsid w:val="002246C8"/>
    <w:rsid w:val="00224725"/>
    <w:rsid w:val="0022476F"/>
    <w:rsid w:val="002247C6"/>
    <w:rsid w:val="00224815"/>
    <w:rsid w:val="00224819"/>
    <w:rsid w:val="00224822"/>
    <w:rsid w:val="00224889"/>
    <w:rsid w:val="00224896"/>
    <w:rsid w:val="0022489E"/>
    <w:rsid w:val="0022489F"/>
    <w:rsid w:val="00224989"/>
    <w:rsid w:val="0022499E"/>
    <w:rsid w:val="002249AF"/>
    <w:rsid w:val="002249F3"/>
    <w:rsid w:val="002249F7"/>
    <w:rsid w:val="002249FF"/>
    <w:rsid w:val="00224A10"/>
    <w:rsid w:val="00224A11"/>
    <w:rsid w:val="00224A6B"/>
    <w:rsid w:val="00224AB9"/>
    <w:rsid w:val="00224AC2"/>
    <w:rsid w:val="00224AD5"/>
    <w:rsid w:val="00224B4A"/>
    <w:rsid w:val="00224B51"/>
    <w:rsid w:val="00224C16"/>
    <w:rsid w:val="00224C1B"/>
    <w:rsid w:val="00224C25"/>
    <w:rsid w:val="00224C3E"/>
    <w:rsid w:val="00224C80"/>
    <w:rsid w:val="00224C92"/>
    <w:rsid w:val="00224CAC"/>
    <w:rsid w:val="00224CC4"/>
    <w:rsid w:val="00224CD6"/>
    <w:rsid w:val="00224D2E"/>
    <w:rsid w:val="00224D30"/>
    <w:rsid w:val="00224D7F"/>
    <w:rsid w:val="00224D8B"/>
    <w:rsid w:val="00224D95"/>
    <w:rsid w:val="00224DB3"/>
    <w:rsid w:val="00224DD1"/>
    <w:rsid w:val="00224DDE"/>
    <w:rsid w:val="00224E0D"/>
    <w:rsid w:val="00224E4D"/>
    <w:rsid w:val="00224E7D"/>
    <w:rsid w:val="00224ECB"/>
    <w:rsid w:val="00224F91"/>
    <w:rsid w:val="00224FB5"/>
    <w:rsid w:val="00224FDC"/>
    <w:rsid w:val="00225014"/>
    <w:rsid w:val="00225094"/>
    <w:rsid w:val="0022509A"/>
    <w:rsid w:val="002250E9"/>
    <w:rsid w:val="002250F2"/>
    <w:rsid w:val="00225107"/>
    <w:rsid w:val="00225121"/>
    <w:rsid w:val="00225140"/>
    <w:rsid w:val="002251AF"/>
    <w:rsid w:val="002251F2"/>
    <w:rsid w:val="002251F6"/>
    <w:rsid w:val="00225210"/>
    <w:rsid w:val="00225214"/>
    <w:rsid w:val="00225339"/>
    <w:rsid w:val="00225397"/>
    <w:rsid w:val="0022543D"/>
    <w:rsid w:val="0022549D"/>
    <w:rsid w:val="002254BB"/>
    <w:rsid w:val="002254CB"/>
    <w:rsid w:val="00225504"/>
    <w:rsid w:val="0022551A"/>
    <w:rsid w:val="002255A6"/>
    <w:rsid w:val="002255CC"/>
    <w:rsid w:val="002255F3"/>
    <w:rsid w:val="00225616"/>
    <w:rsid w:val="00225634"/>
    <w:rsid w:val="002256CB"/>
    <w:rsid w:val="002256FE"/>
    <w:rsid w:val="0022570D"/>
    <w:rsid w:val="0022572D"/>
    <w:rsid w:val="002257BB"/>
    <w:rsid w:val="002257CA"/>
    <w:rsid w:val="0022583F"/>
    <w:rsid w:val="002258BA"/>
    <w:rsid w:val="0022593D"/>
    <w:rsid w:val="00225947"/>
    <w:rsid w:val="002259EA"/>
    <w:rsid w:val="002259EE"/>
    <w:rsid w:val="002259F6"/>
    <w:rsid w:val="00225A3A"/>
    <w:rsid w:val="00225A5E"/>
    <w:rsid w:val="00225ADB"/>
    <w:rsid w:val="00225B20"/>
    <w:rsid w:val="00225B36"/>
    <w:rsid w:val="00225B40"/>
    <w:rsid w:val="00225B65"/>
    <w:rsid w:val="00225B6E"/>
    <w:rsid w:val="00225B8B"/>
    <w:rsid w:val="00225BF0"/>
    <w:rsid w:val="00225C4C"/>
    <w:rsid w:val="00225C88"/>
    <w:rsid w:val="00225CBB"/>
    <w:rsid w:val="00225D08"/>
    <w:rsid w:val="00225D50"/>
    <w:rsid w:val="00225D59"/>
    <w:rsid w:val="00225DB3"/>
    <w:rsid w:val="00225DCB"/>
    <w:rsid w:val="00225E65"/>
    <w:rsid w:val="00225E73"/>
    <w:rsid w:val="00225EC5"/>
    <w:rsid w:val="00225EDC"/>
    <w:rsid w:val="00225F0A"/>
    <w:rsid w:val="00225F68"/>
    <w:rsid w:val="00226005"/>
    <w:rsid w:val="00226007"/>
    <w:rsid w:val="00226033"/>
    <w:rsid w:val="0022609F"/>
    <w:rsid w:val="002260B5"/>
    <w:rsid w:val="002260F8"/>
    <w:rsid w:val="0022615E"/>
    <w:rsid w:val="0022617D"/>
    <w:rsid w:val="00226182"/>
    <w:rsid w:val="002261F7"/>
    <w:rsid w:val="002261FF"/>
    <w:rsid w:val="00226232"/>
    <w:rsid w:val="0022623C"/>
    <w:rsid w:val="00226257"/>
    <w:rsid w:val="00226270"/>
    <w:rsid w:val="0022628B"/>
    <w:rsid w:val="002262A2"/>
    <w:rsid w:val="002262B9"/>
    <w:rsid w:val="0022632A"/>
    <w:rsid w:val="00226336"/>
    <w:rsid w:val="00226366"/>
    <w:rsid w:val="00226372"/>
    <w:rsid w:val="00226398"/>
    <w:rsid w:val="002263C2"/>
    <w:rsid w:val="002263F8"/>
    <w:rsid w:val="00226482"/>
    <w:rsid w:val="002264B4"/>
    <w:rsid w:val="002264B7"/>
    <w:rsid w:val="002264B9"/>
    <w:rsid w:val="002264EA"/>
    <w:rsid w:val="00226542"/>
    <w:rsid w:val="002265A1"/>
    <w:rsid w:val="00226604"/>
    <w:rsid w:val="0022662F"/>
    <w:rsid w:val="0022665A"/>
    <w:rsid w:val="00226679"/>
    <w:rsid w:val="002266C4"/>
    <w:rsid w:val="002266F2"/>
    <w:rsid w:val="00226737"/>
    <w:rsid w:val="002267B9"/>
    <w:rsid w:val="002267F3"/>
    <w:rsid w:val="002267F8"/>
    <w:rsid w:val="00226814"/>
    <w:rsid w:val="0022682B"/>
    <w:rsid w:val="0022683B"/>
    <w:rsid w:val="0022683F"/>
    <w:rsid w:val="00226880"/>
    <w:rsid w:val="0022689B"/>
    <w:rsid w:val="002268B0"/>
    <w:rsid w:val="00226922"/>
    <w:rsid w:val="00226938"/>
    <w:rsid w:val="002269B3"/>
    <w:rsid w:val="002269F3"/>
    <w:rsid w:val="00226A0E"/>
    <w:rsid w:val="00226A47"/>
    <w:rsid w:val="00226A5C"/>
    <w:rsid w:val="00226A9C"/>
    <w:rsid w:val="00226AD2"/>
    <w:rsid w:val="00226B47"/>
    <w:rsid w:val="00226C15"/>
    <w:rsid w:val="00226CAC"/>
    <w:rsid w:val="00226CC3"/>
    <w:rsid w:val="00226CD1"/>
    <w:rsid w:val="00226CFC"/>
    <w:rsid w:val="00226DA2"/>
    <w:rsid w:val="00226DD1"/>
    <w:rsid w:val="00226DEC"/>
    <w:rsid w:val="00226E36"/>
    <w:rsid w:val="00226E47"/>
    <w:rsid w:val="00226E71"/>
    <w:rsid w:val="00226E9F"/>
    <w:rsid w:val="00226EC5"/>
    <w:rsid w:val="00226ECA"/>
    <w:rsid w:val="00226F0E"/>
    <w:rsid w:val="00226F56"/>
    <w:rsid w:val="00226F68"/>
    <w:rsid w:val="00226F85"/>
    <w:rsid w:val="00226FDD"/>
    <w:rsid w:val="00226FF1"/>
    <w:rsid w:val="00227019"/>
    <w:rsid w:val="00227042"/>
    <w:rsid w:val="0022705C"/>
    <w:rsid w:val="00227077"/>
    <w:rsid w:val="002270BD"/>
    <w:rsid w:val="002270E8"/>
    <w:rsid w:val="0022716A"/>
    <w:rsid w:val="00227176"/>
    <w:rsid w:val="002272FE"/>
    <w:rsid w:val="00227332"/>
    <w:rsid w:val="002273A4"/>
    <w:rsid w:val="002273CB"/>
    <w:rsid w:val="002273E8"/>
    <w:rsid w:val="0022740A"/>
    <w:rsid w:val="00227431"/>
    <w:rsid w:val="00227451"/>
    <w:rsid w:val="00227479"/>
    <w:rsid w:val="002274AA"/>
    <w:rsid w:val="002274C5"/>
    <w:rsid w:val="0022751C"/>
    <w:rsid w:val="0022753C"/>
    <w:rsid w:val="0022755A"/>
    <w:rsid w:val="00227573"/>
    <w:rsid w:val="0022757A"/>
    <w:rsid w:val="002275A9"/>
    <w:rsid w:val="002275F5"/>
    <w:rsid w:val="00227654"/>
    <w:rsid w:val="00227677"/>
    <w:rsid w:val="00227678"/>
    <w:rsid w:val="00227683"/>
    <w:rsid w:val="002276E2"/>
    <w:rsid w:val="002276EB"/>
    <w:rsid w:val="00227715"/>
    <w:rsid w:val="0022774E"/>
    <w:rsid w:val="002277AE"/>
    <w:rsid w:val="0022789A"/>
    <w:rsid w:val="002278B7"/>
    <w:rsid w:val="002278ED"/>
    <w:rsid w:val="0022790F"/>
    <w:rsid w:val="00227912"/>
    <w:rsid w:val="002279B3"/>
    <w:rsid w:val="002279F6"/>
    <w:rsid w:val="00227A07"/>
    <w:rsid w:val="00227A24"/>
    <w:rsid w:val="00227A8F"/>
    <w:rsid w:val="00227A92"/>
    <w:rsid w:val="00227A9E"/>
    <w:rsid w:val="00227AC5"/>
    <w:rsid w:val="00227B75"/>
    <w:rsid w:val="00227B7C"/>
    <w:rsid w:val="00227BB1"/>
    <w:rsid w:val="00227BD0"/>
    <w:rsid w:val="00227BE6"/>
    <w:rsid w:val="00227BF5"/>
    <w:rsid w:val="00227C5A"/>
    <w:rsid w:val="00227C9F"/>
    <w:rsid w:val="00227CB0"/>
    <w:rsid w:val="00227CE9"/>
    <w:rsid w:val="00227D3D"/>
    <w:rsid w:val="00227D49"/>
    <w:rsid w:val="00227D81"/>
    <w:rsid w:val="00227D89"/>
    <w:rsid w:val="00227DF0"/>
    <w:rsid w:val="00227E92"/>
    <w:rsid w:val="00227ECF"/>
    <w:rsid w:val="00227EDD"/>
    <w:rsid w:val="00227F46"/>
    <w:rsid w:val="00227FA1"/>
    <w:rsid w:val="00227FA3"/>
    <w:rsid w:val="00227FC1"/>
    <w:rsid w:val="00227FE2"/>
    <w:rsid w:val="00227FFD"/>
    <w:rsid w:val="0022C27F"/>
    <w:rsid w:val="0022D5FB"/>
    <w:rsid w:val="00230030"/>
    <w:rsid w:val="00230117"/>
    <w:rsid w:val="00230157"/>
    <w:rsid w:val="00230187"/>
    <w:rsid w:val="002301BF"/>
    <w:rsid w:val="00230218"/>
    <w:rsid w:val="00230224"/>
    <w:rsid w:val="0023024F"/>
    <w:rsid w:val="002302CF"/>
    <w:rsid w:val="00230301"/>
    <w:rsid w:val="002303BE"/>
    <w:rsid w:val="002303DE"/>
    <w:rsid w:val="0023040F"/>
    <w:rsid w:val="00230423"/>
    <w:rsid w:val="002304A3"/>
    <w:rsid w:val="002304C8"/>
    <w:rsid w:val="00230526"/>
    <w:rsid w:val="0023054D"/>
    <w:rsid w:val="002305C8"/>
    <w:rsid w:val="002305DB"/>
    <w:rsid w:val="00230604"/>
    <w:rsid w:val="0023060F"/>
    <w:rsid w:val="00230622"/>
    <w:rsid w:val="002306B2"/>
    <w:rsid w:val="002306C3"/>
    <w:rsid w:val="002306D8"/>
    <w:rsid w:val="00230704"/>
    <w:rsid w:val="00230743"/>
    <w:rsid w:val="00230750"/>
    <w:rsid w:val="00230773"/>
    <w:rsid w:val="00230775"/>
    <w:rsid w:val="002307D0"/>
    <w:rsid w:val="0023083F"/>
    <w:rsid w:val="00230859"/>
    <w:rsid w:val="00230891"/>
    <w:rsid w:val="00230896"/>
    <w:rsid w:val="002308AC"/>
    <w:rsid w:val="002308B8"/>
    <w:rsid w:val="002308C9"/>
    <w:rsid w:val="002308D3"/>
    <w:rsid w:val="00230905"/>
    <w:rsid w:val="00230977"/>
    <w:rsid w:val="00230991"/>
    <w:rsid w:val="0023099A"/>
    <w:rsid w:val="002309A2"/>
    <w:rsid w:val="002309B2"/>
    <w:rsid w:val="002309EA"/>
    <w:rsid w:val="00230A19"/>
    <w:rsid w:val="00230A59"/>
    <w:rsid w:val="00230A70"/>
    <w:rsid w:val="00230AB1"/>
    <w:rsid w:val="00230AC8"/>
    <w:rsid w:val="00230AF0"/>
    <w:rsid w:val="00230AF6"/>
    <w:rsid w:val="00230AF8"/>
    <w:rsid w:val="00230B2A"/>
    <w:rsid w:val="00230BD7"/>
    <w:rsid w:val="00230BE6"/>
    <w:rsid w:val="00230C04"/>
    <w:rsid w:val="00230C23"/>
    <w:rsid w:val="00230C4D"/>
    <w:rsid w:val="00230C58"/>
    <w:rsid w:val="00230CC9"/>
    <w:rsid w:val="00230CEF"/>
    <w:rsid w:val="00230DB2"/>
    <w:rsid w:val="00230DC0"/>
    <w:rsid w:val="00230E3B"/>
    <w:rsid w:val="00230E83"/>
    <w:rsid w:val="00230E8A"/>
    <w:rsid w:val="00230EB7"/>
    <w:rsid w:val="00230F26"/>
    <w:rsid w:val="00230F49"/>
    <w:rsid w:val="00230F50"/>
    <w:rsid w:val="00230F5A"/>
    <w:rsid w:val="00230F8B"/>
    <w:rsid w:val="00230F95"/>
    <w:rsid w:val="00230FA1"/>
    <w:rsid w:val="00230FF0"/>
    <w:rsid w:val="002310E0"/>
    <w:rsid w:val="00231183"/>
    <w:rsid w:val="00231187"/>
    <w:rsid w:val="002311B3"/>
    <w:rsid w:val="002311CB"/>
    <w:rsid w:val="002311FE"/>
    <w:rsid w:val="00231263"/>
    <w:rsid w:val="002312E3"/>
    <w:rsid w:val="00231307"/>
    <w:rsid w:val="0023132B"/>
    <w:rsid w:val="0023139A"/>
    <w:rsid w:val="002313A2"/>
    <w:rsid w:val="002313D2"/>
    <w:rsid w:val="00231423"/>
    <w:rsid w:val="00231493"/>
    <w:rsid w:val="0023149B"/>
    <w:rsid w:val="002314AB"/>
    <w:rsid w:val="002314E6"/>
    <w:rsid w:val="00231501"/>
    <w:rsid w:val="0023154A"/>
    <w:rsid w:val="0023161C"/>
    <w:rsid w:val="00231766"/>
    <w:rsid w:val="0023176D"/>
    <w:rsid w:val="00231776"/>
    <w:rsid w:val="002317BF"/>
    <w:rsid w:val="0023186D"/>
    <w:rsid w:val="00231884"/>
    <w:rsid w:val="002318B5"/>
    <w:rsid w:val="002318FD"/>
    <w:rsid w:val="00231920"/>
    <w:rsid w:val="002319D8"/>
    <w:rsid w:val="002319EF"/>
    <w:rsid w:val="00231A36"/>
    <w:rsid w:val="00231A85"/>
    <w:rsid w:val="00231AA0"/>
    <w:rsid w:val="00231ACC"/>
    <w:rsid w:val="00231B07"/>
    <w:rsid w:val="00231B1A"/>
    <w:rsid w:val="00231B72"/>
    <w:rsid w:val="00231BAC"/>
    <w:rsid w:val="00231BC3"/>
    <w:rsid w:val="00231C47"/>
    <w:rsid w:val="00231C60"/>
    <w:rsid w:val="00231C61"/>
    <w:rsid w:val="00231CC2"/>
    <w:rsid w:val="00231CE2"/>
    <w:rsid w:val="00231D18"/>
    <w:rsid w:val="00231D3F"/>
    <w:rsid w:val="00231DB0"/>
    <w:rsid w:val="00231E65"/>
    <w:rsid w:val="00231E7D"/>
    <w:rsid w:val="00231EA1"/>
    <w:rsid w:val="00231F14"/>
    <w:rsid w:val="00231F2B"/>
    <w:rsid w:val="00231F5F"/>
    <w:rsid w:val="00232006"/>
    <w:rsid w:val="00232073"/>
    <w:rsid w:val="002320AA"/>
    <w:rsid w:val="002320DC"/>
    <w:rsid w:val="002320F4"/>
    <w:rsid w:val="00232103"/>
    <w:rsid w:val="00232106"/>
    <w:rsid w:val="00232116"/>
    <w:rsid w:val="00232128"/>
    <w:rsid w:val="002321CB"/>
    <w:rsid w:val="002321E1"/>
    <w:rsid w:val="00232234"/>
    <w:rsid w:val="0023223E"/>
    <w:rsid w:val="0023225C"/>
    <w:rsid w:val="00232347"/>
    <w:rsid w:val="00232349"/>
    <w:rsid w:val="0023234B"/>
    <w:rsid w:val="0023234D"/>
    <w:rsid w:val="00232397"/>
    <w:rsid w:val="002323BF"/>
    <w:rsid w:val="002323DA"/>
    <w:rsid w:val="0023241E"/>
    <w:rsid w:val="0023245F"/>
    <w:rsid w:val="00232555"/>
    <w:rsid w:val="0023255E"/>
    <w:rsid w:val="00232567"/>
    <w:rsid w:val="0023256E"/>
    <w:rsid w:val="00232587"/>
    <w:rsid w:val="0023259E"/>
    <w:rsid w:val="002325CC"/>
    <w:rsid w:val="002325EE"/>
    <w:rsid w:val="002325F1"/>
    <w:rsid w:val="002325FA"/>
    <w:rsid w:val="002325FE"/>
    <w:rsid w:val="00232617"/>
    <w:rsid w:val="0023262F"/>
    <w:rsid w:val="0023267E"/>
    <w:rsid w:val="0023269F"/>
    <w:rsid w:val="0023277A"/>
    <w:rsid w:val="00232794"/>
    <w:rsid w:val="002327F3"/>
    <w:rsid w:val="00232811"/>
    <w:rsid w:val="00232884"/>
    <w:rsid w:val="002328D5"/>
    <w:rsid w:val="002328EB"/>
    <w:rsid w:val="0023291A"/>
    <w:rsid w:val="0023293A"/>
    <w:rsid w:val="0023295B"/>
    <w:rsid w:val="00232961"/>
    <w:rsid w:val="0023298B"/>
    <w:rsid w:val="002329C2"/>
    <w:rsid w:val="002329C4"/>
    <w:rsid w:val="00232A55"/>
    <w:rsid w:val="00232AB6"/>
    <w:rsid w:val="00232ABA"/>
    <w:rsid w:val="00232ADD"/>
    <w:rsid w:val="00232B11"/>
    <w:rsid w:val="00232B4D"/>
    <w:rsid w:val="00232B5B"/>
    <w:rsid w:val="00232BA9"/>
    <w:rsid w:val="00232C0B"/>
    <w:rsid w:val="00232C21"/>
    <w:rsid w:val="00232C6C"/>
    <w:rsid w:val="00232CAE"/>
    <w:rsid w:val="00232CD3"/>
    <w:rsid w:val="00232D44"/>
    <w:rsid w:val="00232D7D"/>
    <w:rsid w:val="00232DAA"/>
    <w:rsid w:val="00232DED"/>
    <w:rsid w:val="00232E32"/>
    <w:rsid w:val="00232E45"/>
    <w:rsid w:val="00232E7B"/>
    <w:rsid w:val="00232E82"/>
    <w:rsid w:val="00232F25"/>
    <w:rsid w:val="00232F43"/>
    <w:rsid w:val="00232F4C"/>
    <w:rsid w:val="00232FF6"/>
    <w:rsid w:val="0023304F"/>
    <w:rsid w:val="00233084"/>
    <w:rsid w:val="00233086"/>
    <w:rsid w:val="0023308B"/>
    <w:rsid w:val="002330A4"/>
    <w:rsid w:val="002330E4"/>
    <w:rsid w:val="0023313E"/>
    <w:rsid w:val="002331A9"/>
    <w:rsid w:val="002331EE"/>
    <w:rsid w:val="00233252"/>
    <w:rsid w:val="00233257"/>
    <w:rsid w:val="0023326D"/>
    <w:rsid w:val="002332C7"/>
    <w:rsid w:val="002332D2"/>
    <w:rsid w:val="00233353"/>
    <w:rsid w:val="00233391"/>
    <w:rsid w:val="002333A6"/>
    <w:rsid w:val="002333EC"/>
    <w:rsid w:val="002333EE"/>
    <w:rsid w:val="002333F8"/>
    <w:rsid w:val="0023343B"/>
    <w:rsid w:val="00233463"/>
    <w:rsid w:val="00233491"/>
    <w:rsid w:val="0023352D"/>
    <w:rsid w:val="00233530"/>
    <w:rsid w:val="00233586"/>
    <w:rsid w:val="002335EC"/>
    <w:rsid w:val="00233636"/>
    <w:rsid w:val="00233662"/>
    <w:rsid w:val="0023368D"/>
    <w:rsid w:val="00233693"/>
    <w:rsid w:val="0023369A"/>
    <w:rsid w:val="002336E1"/>
    <w:rsid w:val="002336E8"/>
    <w:rsid w:val="0023375C"/>
    <w:rsid w:val="002337B0"/>
    <w:rsid w:val="002337BB"/>
    <w:rsid w:val="00233804"/>
    <w:rsid w:val="00233859"/>
    <w:rsid w:val="0023387C"/>
    <w:rsid w:val="002338E8"/>
    <w:rsid w:val="0023391A"/>
    <w:rsid w:val="00233946"/>
    <w:rsid w:val="00233985"/>
    <w:rsid w:val="00233A4E"/>
    <w:rsid w:val="00233A58"/>
    <w:rsid w:val="00233A6C"/>
    <w:rsid w:val="00233ABA"/>
    <w:rsid w:val="00233AEB"/>
    <w:rsid w:val="00233AEF"/>
    <w:rsid w:val="00233B07"/>
    <w:rsid w:val="00233B0B"/>
    <w:rsid w:val="00233B2D"/>
    <w:rsid w:val="00233B8A"/>
    <w:rsid w:val="00233B9C"/>
    <w:rsid w:val="00233BAC"/>
    <w:rsid w:val="00233BE3"/>
    <w:rsid w:val="00233C14"/>
    <w:rsid w:val="00233C25"/>
    <w:rsid w:val="00233C75"/>
    <w:rsid w:val="00233C86"/>
    <w:rsid w:val="00233CA4"/>
    <w:rsid w:val="00233D03"/>
    <w:rsid w:val="00233D7B"/>
    <w:rsid w:val="00233D84"/>
    <w:rsid w:val="00233DD9"/>
    <w:rsid w:val="00233DFB"/>
    <w:rsid w:val="00233E0E"/>
    <w:rsid w:val="00233EB7"/>
    <w:rsid w:val="00233F69"/>
    <w:rsid w:val="00233F80"/>
    <w:rsid w:val="00233F85"/>
    <w:rsid w:val="00233FB1"/>
    <w:rsid w:val="00233FB6"/>
    <w:rsid w:val="00233FF2"/>
    <w:rsid w:val="0023407A"/>
    <w:rsid w:val="0023408F"/>
    <w:rsid w:val="002340A4"/>
    <w:rsid w:val="00234143"/>
    <w:rsid w:val="0023415F"/>
    <w:rsid w:val="00234170"/>
    <w:rsid w:val="0023422A"/>
    <w:rsid w:val="00234290"/>
    <w:rsid w:val="00234291"/>
    <w:rsid w:val="002342A4"/>
    <w:rsid w:val="002342BD"/>
    <w:rsid w:val="0023430C"/>
    <w:rsid w:val="0023430F"/>
    <w:rsid w:val="002343C1"/>
    <w:rsid w:val="00234400"/>
    <w:rsid w:val="0023446D"/>
    <w:rsid w:val="002344A5"/>
    <w:rsid w:val="002344BE"/>
    <w:rsid w:val="002344D4"/>
    <w:rsid w:val="00234572"/>
    <w:rsid w:val="002345AC"/>
    <w:rsid w:val="002345EA"/>
    <w:rsid w:val="0023461E"/>
    <w:rsid w:val="0023463B"/>
    <w:rsid w:val="00234642"/>
    <w:rsid w:val="00234652"/>
    <w:rsid w:val="002346A1"/>
    <w:rsid w:val="0023472D"/>
    <w:rsid w:val="0023472E"/>
    <w:rsid w:val="00234730"/>
    <w:rsid w:val="00234741"/>
    <w:rsid w:val="002347E0"/>
    <w:rsid w:val="002347FA"/>
    <w:rsid w:val="0023484A"/>
    <w:rsid w:val="0023488F"/>
    <w:rsid w:val="00234895"/>
    <w:rsid w:val="002348AD"/>
    <w:rsid w:val="002348D2"/>
    <w:rsid w:val="002348FA"/>
    <w:rsid w:val="002348FB"/>
    <w:rsid w:val="00234912"/>
    <w:rsid w:val="00234946"/>
    <w:rsid w:val="0023499D"/>
    <w:rsid w:val="002349B6"/>
    <w:rsid w:val="00234A37"/>
    <w:rsid w:val="00234A39"/>
    <w:rsid w:val="00234A75"/>
    <w:rsid w:val="00234B2F"/>
    <w:rsid w:val="00234B98"/>
    <w:rsid w:val="00234C03"/>
    <w:rsid w:val="00234D03"/>
    <w:rsid w:val="00234D27"/>
    <w:rsid w:val="00234D48"/>
    <w:rsid w:val="00234D5E"/>
    <w:rsid w:val="00234D92"/>
    <w:rsid w:val="00234DC9"/>
    <w:rsid w:val="00234DEF"/>
    <w:rsid w:val="00234DF9"/>
    <w:rsid w:val="00234E2E"/>
    <w:rsid w:val="00234E74"/>
    <w:rsid w:val="00234E8F"/>
    <w:rsid w:val="00234E99"/>
    <w:rsid w:val="00234EAC"/>
    <w:rsid w:val="00234F1E"/>
    <w:rsid w:val="00234F2E"/>
    <w:rsid w:val="00234F7A"/>
    <w:rsid w:val="00234F9C"/>
    <w:rsid w:val="00234FAF"/>
    <w:rsid w:val="00234FB9"/>
    <w:rsid w:val="00234FF9"/>
    <w:rsid w:val="00235013"/>
    <w:rsid w:val="00235064"/>
    <w:rsid w:val="0023508D"/>
    <w:rsid w:val="00235097"/>
    <w:rsid w:val="002350BA"/>
    <w:rsid w:val="002350E7"/>
    <w:rsid w:val="002351B9"/>
    <w:rsid w:val="002352D8"/>
    <w:rsid w:val="002352E8"/>
    <w:rsid w:val="0023530D"/>
    <w:rsid w:val="0023533F"/>
    <w:rsid w:val="00235386"/>
    <w:rsid w:val="002353D3"/>
    <w:rsid w:val="00235467"/>
    <w:rsid w:val="00235492"/>
    <w:rsid w:val="002354BC"/>
    <w:rsid w:val="002354C0"/>
    <w:rsid w:val="002354C5"/>
    <w:rsid w:val="002354FA"/>
    <w:rsid w:val="00235566"/>
    <w:rsid w:val="002355E0"/>
    <w:rsid w:val="00235604"/>
    <w:rsid w:val="002356BD"/>
    <w:rsid w:val="002356C4"/>
    <w:rsid w:val="00235719"/>
    <w:rsid w:val="00235729"/>
    <w:rsid w:val="0023575F"/>
    <w:rsid w:val="002357F5"/>
    <w:rsid w:val="00235822"/>
    <w:rsid w:val="00235862"/>
    <w:rsid w:val="00235866"/>
    <w:rsid w:val="002358F2"/>
    <w:rsid w:val="0023592C"/>
    <w:rsid w:val="00235941"/>
    <w:rsid w:val="00235944"/>
    <w:rsid w:val="00235985"/>
    <w:rsid w:val="00235990"/>
    <w:rsid w:val="0023599D"/>
    <w:rsid w:val="002359F0"/>
    <w:rsid w:val="002359FE"/>
    <w:rsid w:val="00235A15"/>
    <w:rsid w:val="00235A1F"/>
    <w:rsid w:val="00235A4E"/>
    <w:rsid w:val="00235A60"/>
    <w:rsid w:val="00235A75"/>
    <w:rsid w:val="00235AE1"/>
    <w:rsid w:val="00235B04"/>
    <w:rsid w:val="00235B2E"/>
    <w:rsid w:val="00235C1B"/>
    <w:rsid w:val="00235C38"/>
    <w:rsid w:val="00235C75"/>
    <w:rsid w:val="00235CFB"/>
    <w:rsid w:val="00235D15"/>
    <w:rsid w:val="00235D53"/>
    <w:rsid w:val="00235D7A"/>
    <w:rsid w:val="00235E0B"/>
    <w:rsid w:val="00235E29"/>
    <w:rsid w:val="00235E32"/>
    <w:rsid w:val="00235E60"/>
    <w:rsid w:val="00235E6F"/>
    <w:rsid w:val="00235E91"/>
    <w:rsid w:val="00235EB0"/>
    <w:rsid w:val="00235F1E"/>
    <w:rsid w:val="00235F1F"/>
    <w:rsid w:val="00235F34"/>
    <w:rsid w:val="00235F50"/>
    <w:rsid w:val="00235F72"/>
    <w:rsid w:val="00235F78"/>
    <w:rsid w:val="00235F9E"/>
    <w:rsid w:val="00235FEE"/>
    <w:rsid w:val="00236046"/>
    <w:rsid w:val="00236083"/>
    <w:rsid w:val="0023609B"/>
    <w:rsid w:val="002360D3"/>
    <w:rsid w:val="00236112"/>
    <w:rsid w:val="0023616A"/>
    <w:rsid w:val="0023618F"/>
    <w:rsid w:val="002361FA"/>
    <w:rsid w:val="0023620E"/>
    <w:rsid w:val="002362A6"/>
    <w:rsid w:val="002362B2"/>
    <w:rsid w:val="002362C4"/>
    <w:rsid w:val="002362CD"/>
    <w:rsid w:val="00236323"/>
    <w:rsid w:val="0023634A"/>
    <w:rsid w:val="00236380"/>
    <w:rsid w:val="00236383"/>
    <w:rsid w:val="0023638D"/>
    <w:rsid w:val="002363D6"/>
    <w:rsid w:val="00236401"/>
    <w:rsid w:val="00236416"/>
    <w:rsid w:val="0023641C"/>
    <w:rsid w:val="00236465"/>
    <w:rsid w:val="002364A2"/>
    <w:rsid w:val="002364CD"/>
    <w:rsid w:val="00236552"/>
    <w:rsid w:val="0023655E"/>
    <w:rsid w:val="00236599"/>
    <w:rsid w:val="002365BD"/>
    <w:rsid w:val="002365D6"/>
    <w:rsid w:val="002365DB"/>
    <w:rsid w:val="002365E2"/>
    <w:rsid w:val="00236634"/>
    <w:rsid w:val="00236644"/>
    <w:rsid w:val="00236682"/>
    <w:rsid w:val="002366D9"/>
    <w:rsid w:val="0023673F"/>
    <w:rsid w:val="00236779"/>
    <w:rsid w:val="00236790"/>
    <w:rsid w:val="002367C5"/>
    <w:rsid w:val="002367F5"/>
    <w:rsid w:val="00236836"/>
    <w:rsid w:val="00236858"/>
    <w:rsid w:val="00236862"/>
    <w:rsid w:val="002368BD"/>
    <w:rsid w:val="00236900"/>
    <w:rsid w:val="00236928"/>
    <w:rsid w:val="00236959"/>
    <w:rsid w:val="0023695B"/>
    <w:rsid w:val="002369E8"/>
    <w:rsid w:val="002369FC"/>
    <w:rsid w:val="00236A5C"/>
    <w:rsid w:val="00236AA7"/>
    <w:rsid w:val="00236AAD"/>
    <w:rsid w:val="00236AC0"/>
    <w:rsid w:val="00236B20"/>
    <w:rsid w:val="00236B29"/>
    <w:rsid w:val="00236B40"/>
    <w:rsid w:val="00236B42"/>
    <w:rsid w:val="00236B56"/>
    <w:rsid w:val="00236B66"/>
    <w:rsid w:val="00236BCA"/>
    <w:rsid w:val="00236C66"/>
    <w:rsid w:val="00236CC0"/>
    <w:rsid w:val="00236CD5"/>
    <w:rsid w:val="00236D0A"/>
    <w:rsid w:val="00236D4C"/>
    <w:rsid w:val="00236D97"/>
    <w:rsid w:val="00236DA8"/>
    <w:rsid w:val="00236E69"/>
    <w:rsid w:val="00236E82"/>
    <w:rsid w:val="00236E9F"/>
    <w:rsid w:val="00236ECC"/>
    <w:rsid w:val="00236EED"/>
    <w:rsid w:val="00236F14"/>
    <w:rsid w:val="00236F18"/>
    <w:rsid w:val="00236F4F"/>
    <w:rsid w:val="00236F80"/>
    <w:rsid w:val="00236FDC"/>
    <w:rsid w:val="00236FFF"/>
    <w:rsid w:val="00237003"/>
    <w:rsid w:val="00237063"/>
    <w:rsid w:val="00237088"/>
    <w:rsid w:val="00237093"/>
    <w:rsid w:val="002370A4"/>
    <w:rsid w:val="002370E5"/>
    <w:rsid w:val="00237109"/>
    <w:rsid w:val="002371ED"/>
    <w:rsid w:val="00237200"/>
    <w:rsid w:val="00237215"/>
    <w:rsid w:val="0023721A"/>
    <w:rsid w:val="00237229"/>
    <w:rsid w:val="0023724C"/>
    <w:rsid w:val="0023725D"/>
    <w:rsid w:val="00237260"/>
    <w:rsid w:val="002372E1"/>
    <w:rsid w:val="00237343"/>
    <w:rsid w:val="00237394"/>
    <w:rsid w:val="002373AC"/>
    <w:rsid w:val="002373B0"/>
    <w:rsid w:val="002373DF"/>
    <w:rsid w:val="00237485"/>
    <w:rsid w:val="002374FC"/>
    <w:rsid w:val="0023751D"/>
    <w:rsid w:val="00237530"/>
    <w:rsid w:val="0023755D"/>
    <w:rsid w:val="00237578"/>
    <w:rsid w:val="0023766D"/>
    <w:rsid w:val="002376A8"/>
    <w:rsid w:val="00237700"/>
    <w:rsid w:val="0023771D"/>
    <w:rsid w:val="00237738"/>
    <w:rsid w:val="00237741"/>
    <w:rsid w:val="002377CE"/>
    <w:rsid w:val="002377DD"/>
    <w:rsid w:val="002377E0"/>
    <w:rsid w:val="002377ED"/>
    <w:rsid w:val="00237803"/>
    <w:rsid w:val="00237835"/>
    <w:rsid w:val="002378A4"/>
    <w:rsid w:val="002378C4"/>
    <w:rsid w:val="002378D2"/>
    <w:rsid w:val="0023793E"/>
    <w:rsid w:val="0023793F"/>
    <w:rsid w:val="002379B5"/>
    <w:rsid w:val="002379C1"/>
    <w:rsid w:val="002379E9"/>
    <w:rsid w:val="00237A5B"/>
    <w:rsid w:val="00237A5D"/>
    <w:rsid w:val="00237A79"/>
    <w:rsid w:val="00237AAA"/>
    <w:rsid w:val="00237AF3"/>
    <w:rsid w:val="00237B16"/>
    <w:rsid w:val="00237B69"/>
    <w:rsid w:val="00237B70"/>
    <w:rsid w:val="00237B8E"/>
    <w:rsid w:val="00237B90"/>
    <w:rsid w:val="00237B9C"/>
    <w:rsid w:val="00237BA7"/>
    <w:rsid w:val="00237BB4"/>
    <w:rsid w:val="00237CFC"/>
    <w:rsid w:val="00237D3B"/>
    <w:rsid w:val="00237DED"/>
    <w:rsid w:val="00237E0D"/>
    <w:rsid w:val="00237E50"/>
    <w:rsid w:val="00237E53"/>
    <w:rsid w:val="00237E63"/>
    <w:rsid w:val="00237E6B"/>
    <w:rsid w:val="00237ED3"/>
    <w:rsid w:val="00237EE5"/>
    <w:rsid w:val="00237F0D"/>
    <w:rsid w:val="00237F1E"/>
    <w:rsid w:val="00237F43"/>
    <w:rsid w:val="00237F6B"/>
    <w:rsid w:val="00237FBB"/>
    <w:rsid w:val="00237FF5"/>
    <w:rsid w:val="00240009"/>
    <w:rsid w:val="0024001B"/>
    <w:rsid w:val="00240026"/>
    <w:rsid w:val="00240073"/>
    <w:rsid w:val="0024009D"/>
    <w:rsid w:val="002400AB"/>
    <w:rsid w:val="002400B2"/>
    <w:rsid w:val="002400FF"/>
    <w:rsid w:val="00240158"/>
    <w:rsid w:val="00240178"/>
    <w:rsid w:val="0024022B"/>
    <w:rsid w:val="00240271"/>
    <w:rsid w:val="00240301"/>
    <w:rsid w:val="00240336"/>
    <w:rsid w:val="00240358"/>
    <w:rsid w:val="002403CF"/>
    <w:rsid w:val="002403D2"/>
    <w:rsid w:val="0024040D"/>
    <w:rsid w:val="0024042A"/>
    <w:rsid w:val="0024045D"/>
    <w:rsid w:val="00240480"/>
    <w:rsid w:val="002404B5"/>
    <w:rsid w:val="00240515"/>
    <w:rsid w:val="0024051E"/>
    <w:rsid w:val="00240575"/>
    <w:rsid w:val="00240590"/>
    <w:rsid w:val="00240594"/>
    <w:rsid w:val="0024059D"/>
    <w:rsid w:val="002405C7"/>
    <w:rsid w:val="002405F7"/>
    <w:rsid w:val="002405F9"/>
    <w:rsid w:val="00240620"/>
    <w:rsid w:val="00240653"/>
    <w:rsid w:val="0024066D"/>
    <w:rsid w:val="0024069C"/>
    <w:rsid w:val="002406A2"/>
    <w:rsid w:val="002406C4"/>
    <w:rsid w:val="002406D3"/>
    <w:rsid w:val="00240706"/>
    <w:rsid w:val="0024071B"/>
    <w:rsid w:val="0024073A"/>
    <w:rsid w:val="0024075F"/>
    <w:rsid w:val="002407CE"/>
    <w:rsid w:val="0024081C"/>
    <w:rsid w:val="0024088E"/>
    <w:rsid w:val="00240904"/>
    <w:rsid w:val="00240A1D"/>
    <w:rsid w:val="00240B16"/>
    <w:rsid w:val="00240B40"/>
    <w:rsid w:val="00240B62"/>
    <w:rsid w:val="00240C18"/>
    <w:rsid w:val="00240C22"/>
    <w:rsid w:val="00240C91"/>
    <w:rsid w:val="00240CA3"/>
    <w:rsid w:val="00240CE3"/>
    <w:rsid w:val="00240D13"/>
    <w:rsid w:val="00240D16"/>
    <w:rsid w:val="00240D2B"/>
    <w:rsid w:val="00240D53"/>
    <w:rsid w:val="00240D8F"/>
    <w:rsid w:val="00240DDC"/>
    <w:rsid w:val="00240E57"/>
    <w:rsid w:val="00240ECB"/>
    <w:rsid w:val="00240F2F"/>
    <w:rsid w:val="00240F50"/>
    <w:rsid w:val="00240F8F"/>
    <w:rsid w:val="00240FAE"/>
    <w:rsid w:val="00240FBF"/>
    <w:rsid w:val="00240FDE"/>
    <w:rsid w:val="00240FF8"/>
    <w:rsid w:val="002410CE"/>
    <w:rsid w:val="002410DF"/>
    <w:rsid w:val="00241114"/>
    <w:rsid w:val="00241180"/>
    <w:rsid w:val="002411B9"/>
    <w:rsid w:val="002411BE"/>
    <w:rsid w:val="0024121A"/>
    <w:rsid w:val="0024127E"/>
    <w:rsid w:val="002412B0"/>
    <w:rsid w:val="002412D7"/>
    <w:rsid w:val="0024137C"/>
    <w:rsid w:val="002413DA"/>
    <w:rsid w:val="0024141A"/>
    <w:rsid w:val="0024147E"/>
    <w:rsid w:val="00241502"/>
    <w:rsid w:val="00241504"/>
    <w:rsid w:val="00241511"/>
    <w:rsid w:val="00241539"/>
    <w:rsid w:val="0024154D"/>
    <w:rsid w:val="002415AA"/>
    <w:rsid w:val="0024160E"/>
    <w:rsid w:val="002416D7"/>
    <w:rsid w:val="002416E5"/>
    <w:rsid w:val="0024171D"/>
    <w:rsid w:val="00241725"/>
    <w:rsid w:val="00241743"/>
    <w:rsid w:val="00241857"/>
    <w:rsid w:val="00241901"/>
    <w:rsid w:val="00241933"/>
    <w:rsid w:val="002419F0"/>
    <w:rsid w:val="002419F4"/>
    <w:rsid w:val="00241A50"/>
    <w:rsid w:val="00241A74"/>
    <w:rsid w:val="00241AD6"/>
    <w:rsid w:val="00241B28"/>
    <w:rsid w:val="00241B4C"/>
    <w:rsid w:val="00241B7C"/>
    <w:rsid w:val="00241BC0"/>
    <w:rsid w:val="00241BD1"/>
    <w:rsid w:val="00241C69"/>
    <w:rsid w:val="00241C6F"/>
    <w:rsid w:val="00241C8F"/>
    <w:rsid w:val="00241CB8"/>
    <w:rsid w:val="00241CCE"/>
    <w:rsid w:val="00241CD8"/>
    <w:rsid w:val="00241D27"/>
    <w:rsid w:val="00241DCC"/>
    <w:rsid w:val="00241DEF"/>
    <w:rsid w:val="00241DFE"/>
    <w:rsid w:val="00241E1A"/>
    <w:rsid w:val="00241E1B"/>
    <w:rsid w:val="00241E6D"/>
    <w:rsid w:val="00241E8A"/>
    <w:rsid w:val="00241EAC"/>
    <w:rsid w:val="00241EBF"/>
    <w:rsid w:val="00241F9D"/>
    <w:rsid w:val="00241FA7"/>
    <w:rsid w:val="00242005"/>
    <w:rsid w:val="00242022"/>
    <w:rsid w:val="0024202D"/>
    <w:rsid w:val="00242039"/>
    <w:rsid w:val="0024204D"/>
    <w:rsid w:val="002420C9"/>
    <w:rsid w:val="002420CE"/>
    <w:rsid w:val="002420FC"/>
    <w:rsid w:val="0024214A"/>
    <w:rsid w:val="00242169"/>
    <w:rsid w:val="002421A7"/>
    <w:rsid w:val="00242214"/>
    <w:rsid w:val="0024227C"/>
    <w:rsid w:val="00242374"/>
    <w:rsid w:val="002423B0"/>
    <w:rsid w:val="002423E4"/>
    <w:rsid w:val="00242477"/>
    <w:rsid w:val="00242496"/>
    <w:rsid w:val="002424A7"/>
    <w:rsid w:val="002424FD"/>
    <w:rsid w:val="0024259F"/>
    <w:rsid w:val="002425BA"/>
    <w:rsid w:val="002425C3"/>
    <w:rsid w:val="002425CE"/>
    <w:rsid w:val="002425E6"/>
    <w:rsid w:val="00242622"/>
    <w:rsid w:val="00242635"/>
    <w:rsid w:val="0024263C"/>
    <w:rsid w:val="0024263F"/>
    <w:rsid w:val="002426A8"/>
    <w:rsid w:val="002426B6"/>
    <w:rsid w:val="002426C7"/>
    <w:rsid w:val="00242725"/>
    <w:rsid w:val="0024279B"/>
    <w:rsid w:val="002427A2"/>
    <w:rsid w:val="002427AA"/>
    <w:rsid w:val="002427C5"/>
    <w:rsid w:val="002427F3"/>
    <w:rsid w:val="00242810"/>
    <w:rsid w:val="0024288B"/>
    <w:rsid w:val="00242890"/>
    <w:rsid w:val="002428AD"/>
    <w:rsid w:val="002428B1"/>
    <w:rsid w:val="002428D4"/>
    <w:rsid w:val="0024294C"/>
    <w:rsid w:val="002429F9"/>
    <w:rsid w:val="00242A56"/>
    <w:rsid w:val="00242AD8"/>
    <w:rsid w:val="00242B36"/>
    <w:rsid w:val="00242BA0"/>
    <w:rsid w:val="00242BF9"/>
    <w:rsid w:val="00242C15"/>
    <w:rsid w:val="00242C76"/>
    <w:rsid w:val="00242D5F"/>
    <w:rsid w:val="00242D96"/>
    <w:rsid w:val="00242DEF"/>
    <w:rsid w:val="00242E0E"/>
    <w:rsid w:val="00242E68"/>
    <w:rsid w:val="00242EB7"/>
    <w:rsid w:val="00242EBD"/>
    <w:rsid w:val="00242F0A"/>
    <w:rsid w:val="00242F0E"/>
    <w:rsid w:val="00242F55"/>
    <w:rsid w:val="00242F6A"/>
    <w:rsid w:val="00242FF5"/>
    <w:rsid w:val="002430C0"/>
    <w:rsid w:val="002430F7"/>
    <w:rsid w:val="0024311A"/>
    <w:rsid w:val="00243130"/>
    <w:rsid w:val="00243142"/>
    <w:rsid w:val="00243144"/>
    <w:rsid w:val="00243197"/>
    <w:rsid w:val="00243198"/>
    <w:rsid w:val="0024319B"/>
    <w:rsid w:val="0024329D"/>
    <w:rsid w:val="002432CF"/>
    <w:rsid w:val="002432D2"/>
    <w:rsid w:val="00243379"/>
    <w:rsid w:val="0024339F"/>
    <w:rsid w:val="002433AC"/>
    <w:rsid w:val="002433C8"/>
    <w:rsid w:val="00243402"/>
    <w:rsid w:val="00243429"/>
    <w:rsid w:val="00243458"/>
    <w:rsid w:val="0024346D"/>
    <w:rsid w:val="00243471"/>
    <w:rsid w:val="00243489"/>
    <w:rsid w:val="002434FE"/>
    <w:rsid w:val="00243520"/>
    <w:rsid w:val="0024355B"/>
    <w:rsid w:val="002435AB"/>
    <w:rsid w:val="002435B0"/>
    <w:rsid w:val="002435B6"/>
    <w:rsid w:val="00243639"/>
    <w:rsid w:val="0024368A"/>
    <w:rsid w:val="002436A7"/>
    <w:rsid w:val="00243727"/>
    <w:rsid w:val="00243756"/>
    <w:rsid w:val="00243778"/>
    <w:rsid w:val="0024380A"/>
    <w:rsid w:val="0024383B"/>
    <w:rsid w:val="0024383D"/>
    <w:rsid w:val="0024385E"/>
    <w:rsid w:val="0024386B"/>
    <w:rsid w:val="0024389E"/>
    <w:rsid w:val="002439B9"/>
    <w:rsid w:val="00243A33"/>
    <w:rsid w:val="00243A48"/>
    <w:rsid w:val="00243A56"/>
    <w:rsid w:val="00243A81"/>
    <w:rsid w:val="00243AB7"/>
    <w:rsid w:val="00243ACA"/>
    <w:rsid w:val="00243AE2"/>
    <w:rsid w:val="00243B7B"/>
    <w:rsid w:val="00243B85"/>
    <w:rsid w:val="00243BED"/>
    <w:rsid w:val="00243C32"/>
    <w:rsid w:val="00243C33"/>
    <w:rsid w:val="00243C5C"/>
    <w:rsid w:val="00243D06"/>
    <w:rsid w:val="00243D68"/>
    <w:rsid w:val="00243DA7"/>
    <w:rsid w:val="00243E13"/>
    <w:rsid w:val="00243ECF"/>
    <w:rsid w:val="00243F07"/>
    <w:rsid w:val="00243F0C"/>
    <w:rsid w:val="00243F32"/>
    <w:rsid w:val="00243F72"/>
    <w:rsid w:val="00243FCF"/>
    <w:rsid w:val="00243FDF"/>
    <w:rsid w:val="00243FE1"/>
    <w:rsid w:val="00244020"/>
    <w:rsid w:val="00244042"/>
    <w:rsid w:val="0024405C"/>
    <w:rsid w:val="002440F9"/>
    <w:rsid w:val="002441AC"/>
    <w:rsid w:val="00244201"/>
    <w:rsid w:val="0024424F"/>
    <w:rsid w:val="002442AA"/>
    <w:rsid w:val="002442B5"/>
    <w:rsid w:val="002442D4"/>
    <w:rsid w:val="002442E2"/>
    <w:rsid w:val="002442E5"/>
    <w:rsid w:val="002442FD"/>
    <w:rsid w:val="00244311"/>
    <w:rsid w:val="00244408"/>
    <w:rsid w:val="0024445F"/>
    <w:rsid w:val="00244477"/>
    <w:rsid w:val="00244488"/>
    <w:rsid w:val="002444E3"/>
    <w:rsid w:val="0024458D"/>
    <w:rsid w:val="0024459E"/>
    <w:rsid w:val="002445B9"/>
    <w:rsid w:val="002445E0"/>
    <w:rsid w:val="002445F1"/>
    <w:rsid w:val="00244650"/>
    <w:rsid w:val="00244678"/>
    <w:rsid w:val="0024467C"/>
    <w:rsid w:val="002446CD"/>
    <w:rsid w:val="002446CE"/>
    <w:rsid w:val="0024472D"/>
    <w:rsid w:val="00244747"/>
    <w:rsid w:val="0024477B"/>
    <w:rsid w:val="002447CF"/>
    <w:rsid w:val="002447D4"/>
    <w:rsid w:val="002447DD"/>
    <w:rsid w:val="002447FE"/>
    <w:rsid w:val="00244926"/>
    <w:rsid w:val="00244943"/>
    <w:rsid w:val="00244986"/>
    <w:rsid w:val="0024499A"/>
    <w:rsid w:val="002449A8"/>
    <w:rsid w:val="002449F2"/>
    <w:rsid w:val="00244A51"/>
    <w:rsid w:val="00244AC2"/>
    <w:rsid w:val="00244AC5"/>
    <w:rsid w:val="00244B24"/>
    <w:rsid w:val="00244B3C"/>
    <w:rsid w:val="00244B45"/>
    <w:rsid w:val="00244B95"/>
    <w:rsid w:val="00244B9A"/>
    <w:rsid w:val="00244BD1"/>
    <w:rsid w:val="00244C31"/>
    <w:rsid w:val="00244C8A"/>
    <w:rsid w:val="00244CA6"/>
    <w:rsid w:val="00244CB3"/>
    <w:rsid w:val="00244D64"/>
    <w:rsid w:val="00244D72"/>
    <w:rsid w:val="00244DC2"/>
    <w:rsid w:val="00244DCE"/>
    <w:rsid w:val="00244DCF"/>
    <w:rsid w:val="00244E02"/>
    <w:rsid w:val="00244E0A"/>
    <w:rsid w:val="00244E8C"/>
    <w:rsid w:val="00244E9B"/>
    <w:rsid w:val="00244EA9"/>
    <w:rsid w:val="00244EBF"/>
    <w:rsid w:val="00244EC0"/>
    <w:rsid w:val="00244FD3"/>
    <w:rsid w:val="00245020"/>
    <w:rsid w:val="00245067"/>
    <w:rsid w:val="002450CE"/>
    <w:rsid w:val="002450DD"/>
    <w:rsid w:val="002450EB"/>
    <w:rsid w:val="0024512D"/>
    <w:rsid w:val="00245173"/>
    <w:rsid w:val="002451CC"/>
    <w:rsid w:val="002451F1"/>
    <w:rsid w:val="0024524F"/>
    <w:rsid w:val="00245265"/>
    <w:rsid w:val="00245271"/>
    <w:rsid w:val="0024529F"/>
    <w:rsid w:val="002452D6"/>
    <w:rsid w:val="002452E4"/>
    <w:rsid w:val="00245325"/>
    <w:rsid w:val="00245342"/>
    <w:rsid w:val="00245375"/>
    <w:rsid w:val="002453A4"/>
    <w:rsid w:val="0024542E"/>
    <w:rsid w:val="00245448"/>
    <w:rsid w:val="0024544A"/>
    <w:rsid w:val="0024550A"/>
    <w:rsid w:val="0024561A"/>
    <w:rsid w:val="00245626"/>
    <w:rsid w:val="00245630"/>
    <w:rsid w:val="00245648"/>
    <w:rsid w:val="00245671"/>
    <w:rsid w:val="00245699"/>
    <w:rsid w:val="002456A8"/>
    <w:rsid w:val="002456E4"/>
    <w:rsid w:val="00245717"/>
    <w:rsid w:val="00245767"/>
    <w:rsid w:val="00245887"/>
    <w:rsid w:val="0024588F"/>
    <w:rsid w:val="002458D6"/>
    <w:rsid w:val="002458E5"/>
    <w:rsid w:val="002458FC"/>
    <w:rsid w:val="00245906"/>
    <w:rsid w:val="00245917"/>
    <w:rsid w:val="0024591A"/>
    <w:rsid w:val="0024596E"/>
    <w:rsid w:val="002459D7"/>
    <w:rsid w:val="002459ED"/>
    <w:rsid w:val="002459FF"/>
    <w:rsid w:val="00245A37"/>
    <w:rsid w:val="00245A3F"/>
    <w:rsid w:val="00245A71"/>
    <w:rsid w:val="00245A80"/>
    <w:rsid w:val="00245AC3"/>
    <w:rsid w:val="00245AD2"/>
    <w:rsid w:val="00245AF3"/>
    <w:rsid w:val="00245B1F"/>
    <w:rsid w:val="00245B4E"/>
    <w:rsid w:val="00245B6F"/>
    <w:rsid w:val="00245BC1"/>
    <w:rsid w:val="00245BD8"/>
    <w:rsid w:val="00245BDD"/>
    <w:rsid w:val="00245BF4"/>
    <w:rsid w:val="00245C6B"/>
    <w:rsid w:val="00245CE4"/>
    <w:rsid w:val="00245D7A"/>
    <w:rsid w:val="00245DB0"/>
    <w:rsid w:val="00245DC3"/>
    <w:rsid w:val="00245DCC"/>
    <w:rsid w:val="00245E8D"/>
    <w:rsid w:val="00245EB2"/>
    <w:rsid w:val="00245EE8"/>
    <w:rsid w:val="00245F0A"/>
    <w:rsid w:val="00245F4E"/>
    <w:rsid w:val="00245F5C"/>
    <w:rsid w:val="00245F86"/>
    <w:rsid w:val="00245F89"/>
    <w:rsid w:val="00245FA6"/>
    <w:rsid w:val="00245FDA"/>
    <w:rsid w:val="00246041"/>
    <w:rsid w:val="00246083"/>
    <w:rsid w:val="00246090"/>
    <w:rsid w:val="00246100"/>
    <w:rsid w:val="00246113"/>
    <w:rsid w:val="0024612B"/>
    <w:rsid w:val="002461B6"/>
    <w:rsid w:val="002461DD"/>
    <w:rsid w:val="00246211"/>
    <w:rsid w:val="00246227"/>
    <w:rsid w:val="0024625F"/>
    <w:rsid w:val="0024634D"/>
    <w:rsid w:val="002463FB"/>
    <w:rsid w:val="00246451"/>
    <w:rsid w:val="002464AF"/>
    <w:rsid w:val="002464D4"/>
    <w:rsid w:val="002464D6"/>
    <w:rsid w:val="00246506"/>
    <w:rsid w:val="00246531"/>
    <w:rsid w:val="0024654B"/>
    <w:rsid w:val="00246553"/>
    <w:rsid w:val="002465AA"/>
    <w:rsid w:val="002465E5"/>
    <w:rsid w:val="00246635"/>
    <w:rsid w:val="00246649"/>
    <w:rsid w:val="00246673"/>
    <w:rsid w:val="00246693"/>
    <w:rsid w:val="00246706"/>
    <w:rsid w:val="0024670F"/>
    <w:rsid w:val="0024673B"/>
    <w:rsid w:val="00246785"/>
    <w:rsid w:val="00246794"/>
    <w:rsid w:val="0024679C"/>
    <w:rsid w:val="002467AF"/>
    <w:rsid w:val="002467B3"/>
    <w:rsid w:val="002467D7"/>
    <w:rsid w:val="00246803"/>
    <w:rsid w:val="00246819"/>
    <w:rsid w:val="00246879"/>
    <w:rsid w:val="00246929"/>
    <w:rsid w:val="002469CC"/>
    <w:rsid w:val="002469D7"/>
    <w:rsid w:val="002469E5"/>
    <w:rsid w:val="00246A47"/>
    <w:rsid w:val="00246A75"/>
    <w:rsid w:val="00246A79"/>
    <w:rsid w:val="00246A7A"/>
    <w:rsid w:val="00246ABA"/>
    <w:rsid w:val="00246AC9"/>
    <w:rsid w:val="00246B19"/>
    <w:rsid w:val="00246B37"/>
    <w:rsid w:val="00246B3D"/>
    <w:rsid w:val="00246BB6"/>
    <w:rsid w:val="00246BCF"/>
    <w:rsid w:val="00246BDE"/>
    <w:rsid w:val="00246BF0"/>
    <w:rsid w:val="00246BF8"/>
    <w:rsid w:val="00246C04"/>
    <w:rsid w:val="00246C38"/>
    <w:rsid w:val="00246C4E"/>
    <w:rsid w:val="00246C90"/>
    <w:rsid w:val="00246C98"/>
    <w:rsid w:val="00246CF6"/>
    <w:rsid w:val="00246CF7"/>
    <w:rsid w:val="00246D3F"/>
    <w:rsid w:val="00246D6E"/>
    <w:rsid w:val="00246D78"/>
    <w:rsid w:val="00246D7F"/>
    <w:rsid w:val="00246E12"/>
    <w:rsid w:val="00246E4B"/>
    <w:rsid w:val="00246E5D"/>
    <w:rsid w:val="00246F1E"/>
    <w:rsid w:val="00246F2A"/>
    <w:rsid w:val="00246F45"/>
    <w:rsid w:val="00247018"/>
    <w:rsid w:val="00247021"/>
    <w:rsid w:val="00247070"/>
    <w:rsid w:val="00247098"/>
    <w:rsid w:val="002470C4"/>
    <w:rsid w:val="002470FD"/>
    <w:rsid w:val="0024712E"/>
    <w:rsid w:val="002471F1"/>
    <w:rsid w:val="0024726A"/>
    <w:rsid w:val="00247275"/>
    <w:rsid w:val="002472AB"/>
    <w:rsid w:val="002472C4"/>
    <w:rsid w:val="002472DD"/>
    <w:rsid w:val="002472E5"/>
    <w:rsid w:val="0024730B"/>
    <w:rsid w:val="00247352"/>
    <w:rsid w:val="00247378"/>
    <w:rsid w:val="0024738A"/>
    <w:rsid w:val="002473B7"/>
    <w:rsid w:val="002473C9"/>
    <w:rsid w:val="002473F1"/>
    <w:rsid w:val="00247404"/>
    <w:rsid w:val="00247429"/>
    <w:rsid w:val="00247470"/>
    <w:rsid w:val="00247497"/>
    <w:rsid w:val="002474B3"/>
    <w:rsid w:val="002474EF"/>
    <w:rsid w:val="00247545"/>
    <w:rsid w:val="0024754F"/>
    <w:rsid w:val="00247562"/>
    <w:rsid w:val="002475F8"/>
    <w:rsid w:val="00247612"/>
    <w:rsid w:val="0024767B"/>
    <w:rsid w:val="002476C1"/>
    <w:rsid w:val="002476DA"/>
    <w:rsid w:val="002476E0"/>
    <w:rsid w:val="0024771D"/>
    <w:rsid w:val="00247734"/>
    <w:rsid w:val="00247753"/>
    <w:rsid w:val="00247754"/>
    <w:rsid w:val="00247775"/>
    <w:rsid w:val="00247785"/>
    <w:rsid w:val="0024779A"/>
    <w:rsid w:val="00247821"/>
    <w:rsid w:val="00247829"/>
    <w:rsid w:val="00247847"/>
    <w:rsid w:val="0024784A"/>
    <w:rsid w:val="0024786E"/>
    <w:rsid w:val="00247870"/>
    <w:rsid w:val="00247880"/>
    <w:rsid w:val="00247881"/>
    <w:rsid w:val="00247892"/>
    <w:rsid w:val="002478C7"/>
    <w:rsid w:val="002478FE"/>
    <w:rsid w:val="00247908"/>
    <w:rsid w:val="00247935"/>
    <w:rsid w:val="0024793A"/>
    <w:rsid w:val="0024793F"/>
    <w:rsid w:val="0024794B"/>
    <w:rsid w:val="0024798E"/>
    <w:rsid w:val="002479CF"/>
    <w:rsid w:val="002479DE"/>
    <w:rsid w:val="00247A1D"/>
    <w:rsid w:val="00247A49"/>
    <w:rsid w:val="00247AFC"/>
    <w:rsid w:val="00247B09"/>
    <w:rsid w:val="00247B19"/>
    <w:rsid w:val="00247B41"/>
    <w:rsid w:val="00247B5A"/>
    <w:rsid w:val="00247B8D"/>
    <w:rsid w:val="00247BAB"/>
    <w:rsid w:val="00247BD9"/>
    <w:rsid w:val="00247BE8"/>
    <w:rsid w:val="00247C0C"/>
    <w:rsid w:val="00247C1B"/>
    <w:rsid w:val="00247C1F"/>
    <w:rsid w:val="00247C2E"/>
    <w:rsid w:val="00247CB6"/>
    <w:rsid w:val="00247CF1"/>
    <w:rsid w:val="00247D0D"/>
    <w:rsid w:val="00247D47"/>
    <w:rsid w:val="00247D4C"/>
    <w:rsid w:val="00247D73"/>
    <w:rsid w:val="00247DEA"/>
    <w:rsid w:val="00247E4E"/>
    <w:rsid w:val="00247E54"/>
    <w:rsid w:val="00247EB3"/>
    <w:rsid w:val="00247EBF"/>
    <w:rsid w:val="00247F0B"/>
    <w:rsid w:val="00247F3A"/>
    <w:rsid w:val="00247F40"/>
    <w:rsid w:val="00247F8E"/>
    <w:rsid w:val="00247FA8"/>
    <w:rsid w:val="00247FE4"/>
    <w:rsid w:val="00247FEA"/>
    <w:rsid w:val="0025002F"/>
    <w:rsid w:val="00250067"/>
    <w:rsid w:val="00250089"/>
    <w:rsid w:val="002500A8"/>
    <w:rsid w:val="002500BE"/>
    <w:rsid w:val="002500D4"/>
    <w:rsid w:val="002500E5"/>
    <w:rsid w:val="0025010D"/>
    <w:rsid w:val="0025014C"/>
    <w:rsid w:val="00250182"/>
    <w:rsid w:val="00250236"/>
    <w:rsid w:val="00250270"/>
    <w:rsid w:val="00250277"/>
    <w:rsid w:val="002502B3"/>
    <w:rsid w:val="002502E9"/>
    <w:rsid w:val="00250301"/>
    <w:rsid w:val="00250332"/>
    <w:rsid w:val="00250350"/>
    <w:rsid w:val="00250382"/>
    <w:rsid w:val="00250394"/>
    <w:rsid w:val="002503A4"/>
    <w:rsid w:val="002503EA"/>
    <w:rsid w:val="00250415"/>
    <w:rsid w:val="002504D6"/>
    <w:rsid w:val="0025054B"/>
    <w:rsid w:val="0025056D"/>
    <w:rsid w:val="00250598"/>
    <w:rsid w:val="002505C2"/>
    <w:rsid w:val="00250600"/>
    <w:rsid w:val="00250628"/>
    <w:rsid w:val="0025062F"/>
    <w:rsid w:val="002506A8"/>
    <w:rsid w:val="002506B5"/>
    <w:rsid w:val="002506D4"/>
    <w:rsid w:val="00250702"/>
    <w:rsid w:val="00250765"/>
    <w:rsid w:val="00250787"/>
    <w:rsid w:val="00250789"/>
    <w:rsid w:val="00250799"/>
    <w:rsid w:val="002507D5"/>
    <w:rsid w:val="002507D9"/>
    <w:rsid w:val="002507DB"/>
    <w:rsid w:val="00250837"/>
    <w:rsid w:val="00250885"/>
    <w:rsid w:val="0025088E"/>
    <w:rsid w:val="002508A4"/>
    <w:rsid w:val="002508C8"/>
    <w:rsid w:val="002508CF"/>
    <w:rsid w:val="0025090A"/>
    <w:rsid w:val="00250936"/>
    <w:rsid w:val="00250959"/>
    <w:rsid w:val="0025095A"/>
    <w:rsid w:val="002509A7"/>
    <w:rsid w:val="002509C4"/>
    <w:rsid w:val="00250A05"/>
    <w:rsid w:val="00250A14"/>
    <w:rsid w:val="00250A35"/>
    <w:rsid w:val="00250A3F"/>
    <w:rsid w:val="00250A53"/>
    <w:rsid w:val="00250A8F"/>
    <w:rsid w:val="00250A92"/>
    <w:rsid w:val="00250AD3"/>
    <w:rsid w:val="00250B00"/>
    <w:rsid w:val="00250B8B"/>
    <w:rsid w:val="00250B99"/>
    <w:rsid w:val="00250BC7"/>
    <w:rsid w:val="00250BDC"/>
    <w:rsid w:val="00250C4E"/>
    <w:rsid w:val="00250C95"/>
    <w:rsid w:val="00250CBC"/>
    <w:rsid w:val="00250D62"/>
    <w:rsid w:val="00250D63"/>
    <w:rsid w:val="00250DB2"/>
    <w:rsid w:val="00250DCF"/>
    <w:rsid w:val="00250E16"/>
    <w:rsid w:val="00250E89"/>
    <w:rsid w:val="00250EA1"/>
    <w:rsid w:val="00250EB9"/>
    <w:rsid w:val="00250EC2"/>
    <w:rsid w:val="00250FAF"/>
    <w:rsid w:val="00250FC2"/>
    <w:rsid w:val="0025102E"/>
    <w:rsid w:val="0025105E"/>
    <w:rsid w:val="002510A5"/>
    <w:rsid w:val="002510DB"/>
    <w:rsid w:val="0025110B"/>
    <w:rsid w:val="0025111C"/>
    <w:rsid w:val="0025118C"/>
    <w:rsid w:val="002511A1"/>
    <w:rsid w:val="002511AD"/>
    <w:rsid w:val="002511B9"/>
    <w:rsid w:val="00251206"/>
    <w:rsid w:val="0025120F"/>
    <w:rsid w:val="0025125F"/>
    <w:rsid w:val="0025129B"/>
    <w:rsid w:val="002512CF"/>
    <w:rsid w:val="002512DF"/>
    <w:rsid w:val="00251343"/>
    <w:rsid w:val="00251399"/>
    <w:rsid w:val="002513DA"/>
    <w:rsid w:val="00251401"/>
    <w:rsid w:val="00251448"/>
    <w:rsid w:val="0025144E"/>
    <w:rsid w:val="0025144F"/>
    <w:rsid w:val="002514A2"/>
    <w:rsid w:val="00251547"/>
    <w:rsid w:val="00251577"/>
    <w:rsid w:val="0025157D"/>
    <w:rsid w:val="00251595"/>
    <w:rsid w:val="00251689"/>
    <w:rsid w:val="0025170C"/>
    <w:rsid w:val="00251721"/>
    <w:rsid w:val="00251764"/>
    <w:rsid w:val="00251765"/>
    <w:rsid w:val="002517AF"/>
    <w:rsid w:val="00251834"/>
    <w:rsid w:val="00251843"/>
    <w:rsid w:val="00251872"/>
    <w:rsid w:val="00251896"/>
    <w:rsid w:val="002518A3"/>
    <w:rsid w:val="002518B8"/>
    <w:rsid w:val="002518D6"/>
    <w:rsid w:val="002519BC"/>
    <w:rsid w:val="00251A17"/>
    <w:rsid w:val="00251A22"/>
    <w:rsid w:val="00251A52"/>
    <w:rsid w:val="00251B18"/>
    <w:rsid w:val="00251B46"/>
    <w:rsid w:val="00251BB4"/>
    <w:rsid w:val="00251BD0"/>
    <w:rsid w:val="00251BFD"/>
    <w:rsid w:val="00251C3F"/>
    <w:rsid w:val="00251C66"/>
    <w:rsid w:val="00251CCC"/>
    <w:rsid w:val="00251D12"/>
    <w:rsid w:val="00251D1E"/>
    <w:rsid w:val="00251DCB"/>
    <w:rsid w:val="00251DD4"/>
    <w:rsid w:val="00251E08"/>
    <w:rsid w:val="00251E12"/>
    <w:rsid w:val="00251E17"/>
    <w:rsid w:val="00251E1F"/>
    <w:rsid w:val="00251E5F"/>
    <w:rsid w:val="00251E61"/>
    <w:rsid w:val="00251E73"/>
    <w:rsid w:val="00251E79"/>
    <w:rsid w:val="00251EB8"/>
    <w:rsid w:val="00251F40"/>
    <w:rsid w:val="00251F4A"/>
    <w:rsid w:val="00251F4F"/>
    <w:rsid w:val="00251FAB"/>
    <w:rsid w:val="00251FB4"/>
    <w:rsid w:val="00251FBB"/>
    <w:rsid w:val="00251FC1"/>
    <w:rsid w:val="0025203B"/>
    <w:rsid w:val="00252120"/>
    <w:rsid w:val="00252134"/>
    <w:rsid w:val="00252151"/>
    <w:rsid w:val="00252164"/>
    <w:rsid w:val="002521AF"/>
    <w:rsid w:val="00252200"/>
    <w:rsid w:val="00252224"/>
    <w:rsid w:val="00252251"/>
    <w:rsid w:val="0025225E"/>
    <w:rsid w:val="00252280"/>
    <w:rsid w:val="0025229A"/>
    <w:rsid w:val="002522E7"/>
    <w:rsid w:val="00252397"/>
    <w:rsid w:val="002523B7"/>
    <w:rsid w:val="002523D6"/>
    <w:rsid w:val="00252420"/>
    <w:rsid w:val="0025246B"/>
    <w:rsid w:val="00252543"/>
    <w:rsid w:val="002525A2"/>
    <w:rsid w:val="002525B3"/>
    <w:rsid w:val="002525D4"/>
    <w:rsid w:val="0025262F"/>
    <w:rsid w:val="00252633"/>
    <w:rsid w:val="00252654"/>
    <w:rsid w:val="00252666"/>
    <w:rsid w:val="0025266F"/>
    <w:rsid w:val="0025268A"/>
    <w:rsid w:val="002526A4"/>
    <w:rsid w:val="002526CE"/>
    <w:rsid w:val="002526E7"/>
    <w:rsid w:val="0025271C"/>
    <w:rsid w:val="00252748"/>
    <w:rsid w:val="00252790"/>
    <w:rsid w:val="002527AB"/>
    <w:rsid w:val="002527F0"/>
    <w:rsid w:val="00252806"/>
    <w:rsid w:val="0025282C"/>
    <w:rsid w:val="00252850"/>
    <w:rsid w:val="002528AF"/>
    <w:rsid w:val="002528F9"/>
    <w:rsid w:val="00252903"/>
    <w:rsid w:val="0025295A"/>
    <w:rsid w:val="0025297E"/>
    <w:rsid w:val="002529DE"/>
    <w:rsid w:val="00252A0E"/>
    <w:rsid w:val="00252A1A"/>
    <w:rsid w:val="00252A40"/>
    <w:rsid w:val="00252A4F"/>
    <w:rsid w:val="00252A89"/>
    <w:rsid w:val="00252A9F"/>
    <w:rsid w:val="00252AD8"/>
    <w:rsid w:val="00252ADB"/>
    <w:rsid w:val="00252AE1"/>
    <w:rsid w:val="00252AEF"/>
    <w:rsid w:val="00252B1D"/>
    <w:rsid w:val="00252B3E"/>
    <w:rsid w:val="00252B62"/>
    <w:rsid w:val="00252B7C"/>
    <w:rsid w:val="00252BCE"/>
    <w:rsid w:val="00252BEF"/>
    <w:rsid w:val="00252C12"/>
    <w:rsid w:val="00252C44"/>
    <w:rsid w:val="00252C5D"/>
    <w:rsid w:val="00252C7B"/>
    <w:rsid w:val="00252CCA"/>
    <w:rsid w:val="00252D19"/>
    <w:rsid w:val="00252D52"/>
    <w:rsid w:val="00252D92"/>
    <w:rsid w:val="00252D99"/>
    <w:rsid w:val="00252DD8"/>
    <w:rsid w:val="00252E06"/>
    <w:rsid w:val="00252E0F"/>
    <w:rsid w:val="00252E1F"/>
    <w:rsid w:val="00252EAB"/>
    <w:rsid w:val="00252EB2"/>
    <w:rsid w:val="00252F43"/>
    <w:rsid w:val="00252F5E"/>
    <w:rsid w:val="00252F7E"/>
    <w:rsid w:val="00252F91"/>
    <w:rsid w:val="00252FEF"/>
    <w:rsid w:val="00252FFB"/>
    <w:rsid w:val="00253009"/>
    <w:rsid w:val="0025300F"/>
    <w:rsid w:val="00253032"/>
    <w:rsid w:val="00253038"/>
    <w:rsid w:val="00253094"/>
    <w:rsid w:val="00253127"/>
    <w:rsid w:val="0025314F"/>
    <w:rsid w:val="00253177"/>
    <w:rsid w:val="00253178"/>
    <w:rsid w:val="00253192"/>
    <w:rsid w:val="002531C7"/>
    <w:rsid w:val="0025321C"/>
    <w:rsid w:val="0025325C"/>
    <w:rsid w:val="00253282"/>
    <w:rsid w:val="00253285"/>
    <w:rsid w:val="00253292"/>
    <w:rsid w:val="002532CD"/>
    <w:rsid w:val="002532D6"/>
    <w:rsid w:val="002532D8"/>
    <w:rsid w:val="002533D4"/>
    <w:rsid w:val="00253473"/>
    <w:rsid w:val="0025348B"/>
    <w:rsid w:val="002534A8"/>
    <w:rsid w:val="002534DE"/>
    <w:rsid w:val="00253542"/>
    <w:rsid w:val="00253547"/>
    <w:rsid w:val="0025355C"/>
    <w:rsid w:val="00253561"/>
    <w:rsid w:val="0025356B"/>
    <w:rsid w:val="00253571"/>
    <w:rsid w:val="002535A9"/>
    <w:rsid w:val="002535D6"/>
    <w:rsid w:val="0025360F"/>
    <w:rsid w:val="00253617"/>
    <w:rsid w:val="0025367D"/>
    <w:rsid w:val="002536A5"/>
    <w:rsid w:val="002536EE"/>
    <w:rsid w:val="00253720"/>
    <w:rsid w:val="00253728"/>
    <w:rsid w:val="0025372B"/>
    <w:rsid w:val="00253764"/>
    <w:rsid w:val="002537F5"/>
    <w:rsid w:val="00253805"/>
    <w:rsid w:val="00253850"/>
    <w:rsid w:val="002538AA"/>
    <w:rsid w:val="002538F6"/>
    <w:rsid w:val="002538FF"/>
    <w:rsid w:val="00253927"/>
    <w:rsid w:val="00253938"/>
    <w:rsid w:val="0025393C"/>
    <w:rsid w:val="00253947"/>
    <w:rsid w:val="00253956"/>
    <w:rsid w:val="00253991"/>
    <w:rsid w:val="0025399A"/>
    <w:rsid w:val="002539AE"/>
    <w:rsid w:val="00253A26"/>
    <w:rsid w:val="00253A7B"/>
    <w:rsid w:val="00253A8A"/>
    <w:rsid w:val="00253AA0"/>
    <w:rsid w:val="00253B02"/>
    <w:rsid w:val="00253B0F"/>
    <w:rsid w:val="00253B33"/>
    <w:rsid w:val="00253B64"/>
    <w:rsid w:val="00253B92"/>
    <w:rsid w:val="00253BDF"/>
    <w:rsid w:val="00253C2C"/>
    <w:rsid w:val="00253C52"/>
    <w:rsid w:val="00253C82"/>
    <w:rsid w:val="00253CC9"/>
    <w:rsid w:val="00253D06"/>
    <w:rsid w:val="00253D27"/>
    <w:rsid w:val="00253D80"/>
    <w:rsid w:val="00253E37"/>
    <w:rsid w:val="00253E58"/>
    <w:rsid w:val="00253E8B"/>
    <w:rsid w:val="00253EA8"/>
    <w:rsid w:val="00253ED0"/>
    <w:rsid w:val="00253EF6"/>
    <w:rsid w:val="00253EFF"/>
    <w:rsid w:val="00253F33"/>
    <w:rsid w:val="00253F62"/>
    <w:rsid w:val="00253FB8"/>
    <w:rsid w:val="00253FDA"/>
    <w:rsid w:val="00253FF9"/>
    <w:rsid w:val="00254067"/>
    <w:rsid w:val="0025407E"/>
    <w:rsid w:val="00254097"/>
    <w:rsid w:val="002540A8"/>
    <w:rsid w:val="0025417F"/>
    <w:rsid w:val="002541C9"/>
    <w:rsid w:val="00254210"/>
    <w:rsid w:val="00254225"/>
    <w:rsid w:val="00254278"/>
    <w:rsid w:val="002542B1"/>
    <w:rsid w:val="00254310"/>
    <w:rsid w:val="00254317"/>
    <w:rsid w:val="00254396"/>
    <w:rsid w:val="002543BC"/>
    <w:rsid w:val="002543C9"/>
    <w:rsid w:val="0025440D"/>
    <w:rsid w:val="002544BE"/>
    <w:rsid w:val="00254549"/>
    <w:rsid w:val="00254579"/>
    <w:rsid w:val="0025466A"/>
    <w:rsid w:val="002546C1"/>
    <w:rsid w:val="002546C7"/>
    <w:rsid w:val="00254720"/>
    <w:rsid w:val="00254739"/>
    <w:rsid w:val="0025473A"/>
    <w:rsid w:val="0025478D"/>
    <w:rsid w:val="00254794"/>
    <w:rsid w:val="002547C8"/>
    <w:rsid w:val="002547DA"/>
    <w:rsid w:val="00254806"/>
    <w:rsid w:val="0025487E"/>
    <w:rsid w:val="00254882"/>
    <w:rsid w:val="002548A9"/>
    <w:rsid w:val="002548CD"/>
    <w:rsid w:val="0025490B"/>
    <w:rsid w:val="0025493A"/>
    <w:rsid w:val="00254965"/>
    <w:rsid w:val="0025497F"/>
    <w:rsid w:val="002549D6"/>
    <w:rsid w:val="002549EC"/>
    <w:rsid w:val="002549FE"/>
    <w:rsid w:val="00254A12"/>
    <w:rsid w:val="00254A44"/>
    <w:rsid w:val="00254AA4"/>
    <w:rsid w:val="00254AF1"/>
    <w:rsid w:val="00254BA7"/>
    <w:rsid w:val="00254BDE"/>
    <w:rsid w:val="00254C20"/>
    <w:rsid w:val="00254CA9"/>
    <w:rsid w:val="00254D9E"/>
    <w:rsid w:val="00254DD5"/>
    <w:rsid w:val="00254DEB"/>
    <w:rsid w:val="00254E2A"/>
    <w:rsid w:val="00254E7F"/>
    <w:rsid w:val="00254EA2"/>
    <w:rsid w:val="00254EA6"/>
    <w:rsid w:val="00254F84"/>
    <w:rsid w:val="00254F8F"/>
    <w:rsid w:val="00254FA7"/>
    <w:rsid w:val="002550F0"/>
    <w:rsid w:val="00255115"/>
    <w:rsid w:val="0025513B"/>
    <w:rsid w:val="00255160"/>
    <w:rsid w:val="00255203"/>
    <w:rsid w:val="00255204"/>
    <w:rsid w:val="0025520B"/>
    <w:rsid w:val="00255213"/>
    <w:rsid w:val="0025525A"/>
    <w:rsid w:val="0025526E"/>
    <w:rsid w:val="00255282"/>
    <w:rsid w:val="002552D5"/>
    <w:rsid w:val="002552DC"/>
    <w:rsid w:val="002552FB"/>
    <w:rsid w:val="0025534A"/>
    <w:rsid w:val="0025540B"/>
    <w:rsid w:val="00255458"/>
    <w:rsid w:val="00255498"/>
    <w:rsid w:val="002554B9"/>
    <w:rsid w:val="00255576"/>
    <w:rsid w:val="00255599"/>
    <w:rsid w:val="002555AA"/>
    <w:rsid w:val="002555E9"/>
    <w:rsid w:val="002555EE"/>
    <w:rsid w:val="00255639"/>
    <w:rsid w:val="00255688"/>
    <w:rsid w:val="002556A0"/>
    <w:rsid w:val="00255716"/>
    <w:rsid w:val="00255775"/>
    <w:rsid w:val="0025579D"/>
    <w:rsid w:val="002557C8"/>
    <w:rsid w:val="002557F4"/>
    <w:rsid w:val="00255845"/>
    <w:rsid w:val="00255895"/>
    <w:rsid w:val="00255896"/>
    <w:rsid w:val="00255899"/>
    <w:rsid w:val="0025591D"/>
    <w:rsid w:val="00255978"/>
    <w:rsid w:val="00255979"/>
    <w:rsid w:val="00255986"/>
    <w:rsid w:val="002559F5"/>
    <w:rsid w:val="00255A0C"/>
    <w:rsid w:val="00255A36"/>
    <w:rsid w:val="00255A40"/>
    <w:rsid w:val="00255A88"/>
    <w:rsid w:val="00255A92"/>
    <w:rsid w:val="00255AA0"/>
    <w:rsid w:val="00255B7E"/>
    <w:rsid w:val="00255BE3"/>
    <w:rsid w:val="00255C30"/>
    <w:rsid w:val="00255C33"/>
    <w:rsid w:val="00255C69"/>
    <w:rsid w:val="00255D87"/>
    <w:rsid w:val="00255D8E"/>
    <w:rsid w:val="00255E1D"/>
    <w:rsid w:val="00255EAB"/>
    <w:rsid w:val="00255EBD"/>
    <w:rsid w:val="00255F06"/>
    <w:rsid w:val="00255FD7"/>
    <w:rsid w:val="00256133"/>
    <w:rsid w:val="002561A1"/>
    <w:rsid w:val="002561DC"/>
    <w:rsid w:val="00256203"/>
    <w:rsid w:val="0025620B"/>
    <w:rsid w:val="0025628B"/>
    <w:rsid w:val="0025628D"/>
    <w:rsid w:val="002562CE"/>
    <w:rsid w:val="00256356"/>
    <w:rsid w:val="00256377"/>
    <w:rsid w:val="002563A3"/>
    <w:rsid w:val="002563A7"/>
    <w:rsid w:val="002563B3"/>
    <w:rsid w:val="002563E1"/>
    <w:rsid w:val="002563F5"/>
    <w:rsid w:val="00256414"/>
    <w:rsid w:val="0025642F"/>
    <w:rsid w:val="0025647D"/>
    <w:rsid w:val="0025647E"/>
    <w:rsid w:val="00256497"/>
    <w:rsid w:val="002564DD"/>
    <w:rsid w:val="00256508"/>
    <w:rsid w:val="00256519"/>
    <w:rsid w:val="00256558"/>
    <w:rsid w:val="00256563"/>
    <w:rsid w:val="00256565"/>
    <w:rsid w:val="0025658C"/>
    <w:rsid w:val="002565AB"/>
    <w:rsid w:val="002565AE"/>
    <w:rsid w:val="00256617"/>
    <w:rsid w:val="0025661E"/>
    <w:rsid w:val="00256628"/>
    <w:rsid w:val="0025663A"/>
    <w:rsid w:val="0025667C"/>
    <w:rsid w:val="00256681"/>
    <w:rsid w:val="002566AE"/>
    <w:rsid w:val="002566DB"/>
    <w:rsid w:val="00256750"/>
    <w:rsid w:val="002567AA"/>
    <w:rsid w:val="002567AD"/>
    <w:rsid w:val="0025686E"/>
    <w:rsid w:val="002568A7"/>
    <w:rsid w:val="002568B7"/>
    <w:rsid w:val="002568EE"/>
    <w:rsid w:val="002568FA"/>
    <w:rsid w:val="0025694B"/>
    <w:rsid w:val="0025698C"/>
    <w:rsid w:val="00256997"/>
    <w:rsid w:val="002569AD"/>
    <w:rsid w:val="002569B2"/>
    <w:rsid w:val="002569D8"/>
    <w:rsid w:val="00256A89"/>
    <w:rsid w:val="00256B00"/>
    <w:rsid w:val="00256B6B"/>
    <w:rsid w:val="00256B7D"/>
    <w:rsid w:val="00256B7F"/>
    <w:rsid w:val="00256B85"/>
    <w:rsid w:val="00256BC1"/>
    <w:rsid w:val="00256BEA"/>
    <w:rsid w:val="00256C90"/>
    <w:rsid w:val="00256CD6"/>
    <w:rsid w:val="00256CE3"/>
    <w:rsid w:val="00256CE4"/>
    <w:rsid w:val="00256CED"/>
    <w:rsid w:val="00256D07"/>
    <w:rsid w:val="00256DA2"/>
    <w:rsid w:val="00256DF2"/>
    <w:rsid w:val="00256E23"/>
    <w:rsid w:val="00256E7B"/>
    <w:rsid w:val="00256EC3"/>
    <w:rsid w:val="00256ED5"/>
    <w:rsid w:val="00256F14"/>
    <w:rsid w:val="00256F20"/>
    <w:rsid w:val="00256F2B"/>
    <w:rsid w:val="00256F4B"/>
    <w:rsid w:val="00256F56"/>
    <w:rsid w:val="00256F69"/>
    <w:rsid w:val="00256F77"/>
    <w:rsid w:val="00256FA3"/>
    <w:rsid w:val="00256FCD"/>
    <w:rsid w:val="0025703C"/>
    <w:rsid w:val="0025708E"/>
    <w:rsid w:val="002570D7"/>
    <w:rsid w:val="00257153"/>
    <w:rsid w:val="00257191"/>
    <w:rsid w:val="0025727D"/>
    <w:rsid w:val="00257296"/>
    <w:rsid w:val="002572D6"/>
    <w:rsid w:val="00257331"/>
    <w:rsid w:val="00257337"/>
    <w:rsid w:val="00257363"/>
    <w:rsid w:val="00257385"/>
    <w:rsid w:val="002573DB"/>
    <w:rsid w:val="00257450"/>
    <w:rsid w:val="00257484"/>
    <w:rsid w:val="00257498"/>
    <w:rsid w:val="00257513"/>
    <w:rsid w:val="00257519"/>
    <w:rsid w:val="0025752F"/>
    <w:rsid w:val="0025759C"/>
    <w:rsid w:val="002575C4"/>
    <w:rsid w:val="002575C5"/>
    <w:rsid w:val="002575CB"/>
    <w:rsid w:val="00257628"/>
    <w:rsid w:val="00257689"/>
    <w:rsid w:val="00257694"/>
    <w:rsid w:val="002576AB"/>
    <w:rsid w:val="002576DF"/>
    <w:rsid w:val="00257707"/>
    <w:rsid w:val="00257714"/>
    <w:rsid w:val="0025772F"/>
    <w:rsid w:val="0025773E"/>
    <w:rsid w:val="00257745"/>
    <w:rsid w:val="00257788"/>
    <w:rsid w:val="002577CF"/>
    <w:rsid w:val="0025786D"/>
    <w:rsid w:val="0025789D"/>
    <w:rsid w:val="00257909"/>
    <w:rsid w:val="0025791D"/>
    <w:rsid w:val="00257949"/>
    <w:rsid w:val="0025794E"/>
    <w:rsid w:val="00257A09"/>
    <w:rsid w:val="00257A31"/>
    <w:rsid w:val="00257ABB"/>
    <w:rsid w:val="00257ADC"/>
    <w:rsid w:val="00257AF4"/>
    <w:rsid w:val="00257B01"/>
    <w:rsid w:val="00257B5E"/>
    <w:rsid w:val="00257B76"/>
    <w:rsid w:val="00257B7B"/>
    <w:rsid w:val="00257BA9"/>
    <w:rsid w:val="00257BBD"/>
    <w:rsid w:val="00257BDB"/>
    <w:rsid w:val="00257BE8"/>
    <w:rsid w:val="00257C14"/>
    <w:rsid w:val="00257C1A"/>
    <w:rsid w:val="00257C6F"/>
    <w:rsid w:val="00257C71"/>
    <w:rsid w:val="00257C88"/>
    <w:rsid w:val="00257C8D"/>
    <w:rsid w:val="00257CDD"/>
    <w:rsid w:val="00257CF2"/>
    <w:rsid w:val="00257D1F"/>
    <w:rsid w:val="00257D74"/>
    <w:rsid w:val="00257D95"/>
    <w:rsid w:val="00257DAE"/>
    <w:rsid w:val="00257DF5"/>
    <w:rsid w:val="00257E64"/>
    <w:rsid w:val="00257E97"/>
    <w:rsid w:val="00257EDD"/>
    <w:rsid w:val="00257EE1"/>
    <w:rsid w:val="00257EF9"/>
    <w:rsid w:val="00257F50"/>
    <w:rsid w:val="00257FC9"/>
    <w:rsid w:val="0026003E"/>
    <w:rsid w:val="00260058"/>
    <w:rsid w:val="00260093"/>
    <w:rsid w:val="002600DF"/>
    <w:rsid w:val="0026011B"/>
    <w:rsid w:val="002601AB"/>
    <w:rsid w:val="002601E7"/>
    <w:rsid w:val="00260205"/>
    <w:rsid w:val="00260208"/>
    <w:rsid w:val="0026021E"/>
    <w:rsid w:val="0026026A"/>
    <w:rsid w:val="00260288"/>
    <w:rsid w:val="002602A4"/>
    <w:rsid w:val="00260316"/>
    <w:rsid w:val="00260396"/>
    <w:rsid w:val="002603B6"/>
    <w:rsid w:val="002603C2"/>
    <w:rsid w:val="002603EF"/>
    <w:rsid w:val="00260403"/>
    <w:rsid w:val="00260430"/>
    <w:rsid w:val="0026045D"/>
    <w:rsid w:val="00260469"/>
    <w:rsid w:val="002604A3"/>
    <w:rsid w:val="002604B1"/>
    <w:rsid w:val="002604EC"/>
    <w:rsid w:val="00260531"/>
    <w:rsid w:val="00260533"/>
    <w:rsid w:val="00260541"/>
    <w:rsid w:val="00260557"/>
    <w:rsid w:val="00260588"/>
    <w:rsid w:val="002605D4"/>
    <w:rsid w:val="002605F3"/>
    <w:rsid w:val="00260614"/>
    <w:rsid w:val="00260636"/>
    <w:rsid w:val="00260659"/>
    <w:rsid w:val="002606F9"/>
    <w:rsid w:val="00260725"/>
    <w:rsid w:val="00260805"/>
    <w:rsid w:val="0026084B"/>
    <w:rsid w:val="002608FF"/>
    <w:rsid w:val="00260910"/>
    <w:rsid w:val="002609BF"/>
    <w:rsid w:val="002609DB"/>
    <w:rsid w:val="002609DE"/>
    <w:rsid w:val="002609F3"/>
    <w:rsid w:val="002609FF"/>
    <w:rsid w:val="00260A51"/>
    <w:rsid w:val="00260A7A"/>
    <w:rsid w:val="00260A98"/>
    <w:rsid w:val="00260AE7"/>
    <w:rsid w:val="00260B32"/>
    <w:rsid w:val="00260B76"/>
    <w:rsid w:val="00260C0E"/>
    <w:rsid w:val="00260C11"/>
    <w:rsid w:val="00260C17"/>
    <w:rsid w:val="00260C25"/>
    <w:rsid w:val="00260C28"/>
    <w:rsid w:val="00260C40"/>
    <w:rsid w:val="00260C99"/>
    <w:rsid w:val="00260CF9"/>
    <w:rsid w:val="00260D2C"/>
    <w:rsid w:val="00260D9E"/>
    <w:rsid w:val="00260DA5"/>
    <w:rsid w:val="00260DA8"/>
    <w:rsid w:val="00260DAC"/>
    <w:rsid w:val="00260DD9"/>
    <w:rsid w:val="00260DF5"/>
    <w:rsid w:val="00260E1E"/>
    <w:rsid w:val="00260EAD"/>
    <w:rsid w:val="00260ECB"/>
    <w:rsid w:val="00260EDD"/>
    <w:rsid w:val="00260F3D"/>
    <w:rsid w:val="00260F49"/>
    <w:rsid w:val="00260F7F"/>
    <w:rsid w:val="00260F8B"/>
    <w:rsid w:val="00260FD0"/>
    <w:rsid w:val="00260FEB"/>
    <w:rsid w:val="00260FF5"/>
    <w:rsid w:val="00261005"/>
    <w:rsid w:val="00261070"/>
    <w:rsid w:val="00261127"/>
    <w:rsid w:val="0026112A"/>
    <w:rsid w:val="00261135"/>
    <w:rsid w:val="00261159"/>
    <w:rsid w:val="0026116D"/>
    <w:rsid w:val="00261179"/>
    <w:rsid w:val="00261191"/>
    <w:rsid w:val="002611B6"/>
    <w:rsid w:val="002611C1"/>
    <w:rsid w:val="002611E1"/>
    <w:rsid w:val="002611E9"/>
    <w:rsid w:val="00261228"/>
    <w:rsid w:val="00261230"/>
    <w:rsid w:val="0026125D"/>
    <w:rsid w:val="0026128F"/>
    <w:rsid w:val="002612C1"/>
    <w:rsid w:val="002612D6"/>
    <w:rsid w:val="00261392"/>
    <w:rsid w:val="002613B3"/>
    <w:rsid w:val="00261496"/>
    <w:rsid w:val="002614BC"/>
    <w:rsid w:val="002614C4"/>
    <w:rsid w:val="00261512"/>
    <w:rsid w:val="002615C0"/>
    <w:rsid w:val="00261605"/>
    <w:rsid w:val="0026161D"/>
    <w:rsid w:val="00261625"/>
    <w:rsid w:val="00261674"/>
    <w:rsid w:val="002616FE"/>
    <w:rsid w:val="00261704"/>
    <w:rsid w:val="0026172A"/>
    <w:rsid w:val="0026177A"/>
    <w:rsid w:val="00261823"/>
    <w:rsid w:val="00261889"/>
    <w:rsid w:val="002618AB"/>
    <w:rsid w:val="00261900"/>
    <w:rsid w:val="0026191E"/>
    <w:rsid w:val="00261977"/>
    <w:rsid w:val="00261991"/>
    <w:rsid w:val="002619A5"/>
    <w:rsid w:val="002619AE"/>
    <w:rsid w:val="002619F5"/>
    <w:rsid w:val="00261A6E"/>
    <w:rsid w:val="00261AC6"/>
    <w:rsid w:val="00261AD5"/>
    <w:rsid w:val="00261AEB"/>
    <w:rsid w:val="00261B28"/>
    <w:rsid w:val="00261B2D"/>
    <w:rsid w:val="00261B75"/>
    <w:rsid w:val="00261BDB"/>
    <w:rsid w:val="00261BEA"/>
    <w:rsid w:val="00261BF9"/>
    <w:rsid w:val="00261BFA"/>
    <w:rsid w:val="00261C50"/>
    <w:rsid w:val="00261C58"/>
    <w:rsid w:val="00261C90"/>
    <w:rsid w:val="00261CA3"/>
    <w:rsid w:val="00261D36"/>
    <w:rsid w:val="00261DAB"/>
    <w:rsid w:val="00261DAD"/>
    <w:rsid w:val="00261E08"/>
    <w:rsid w:val="00261EBC"/>
    <w:rsid w:val="00261EF6"/>
    <w:rsid w:val="00261F1F"/>
    <w:rsid w:val="00261F45"/>
    <w:rsid w:val="00261F66"/>
    <w:rsid w:val="00261FA5"/>
    <w:rsid w:val="00261FA7"/>
    <w:rsid w:val="00262021"/>
    <w:rsid w:val="0026202F"/>
    <w:rsid w:val="00262030"/>
    <w:rsid w:val="00262034"/>
    <w:rsid w:val="00262057"/>
    <w:rsid w:val="00262058"/>
    <w:rsid w:val="002620F0"/>
    <w:rsid w:val="0026210F"/>
    <w:rsid w:val="00262145"/>
    <w:rsid w:val="002621C3"/>
    <w:rsid w:val="00262232"/>
    <w:rsid w:val="00262280"/>
    <w:rsid w:val="002622C1"/>
    <w:rsid w:val="002622C2"/>
    <w:rsid w:val="002622CB"/>
    <w:rsid w:val="002622F9"/>
    <w:rsid w:val="0026236E"/>
    <w:rsid w:val="002623F7"/>
    <w:rsid w:val="002623FA"/>
    <w:rsid w:val="002624E8"/>
    <w:rsid w:val="0026257A"/>
    <w:rsid w:val="00262586"/>
    <w:rsid w:val="0026259F"/>
    <w:rsid w:val="00262629"/>
    <w:rsid w:val="0026264D"/>
    <w:rsid w:val="0026268E"/>
    <w:rsid w:val="00262775"/>
    <w:rsid w:val="002627E0"/>
    <w:rsid w:val="0026280B"/>
    <w:rsid w:val="00262836"/>
    <w:rsid w:val="00262877"/>
    <w:rsid w:val="00262889"/>
    <w:rsid w:val="00262897"/>
    <w:rsid w:val="002628D5"/>
    <w:rsid w:val="002628DF"/>
    <w:rsid w:val="002628E4"/>
    <w:rsid w:val="002628FF"/>
    <w:rsid w:val="00262912"/>
    <w:rsid w:val="00262925"/>
    <w:rsid w:val="00262973"/>
    <w:rsid w:val="002629B9"/>
    <w:rsid w:val="00262A24"/>
    <w:rsid w:val="00262A57"/>
    <w:rsid w:val="00262A98"/>
    <w:rsid w:val="00262AE9"/>
    <w:rsid w:val="00262B00"/>
    <w:rsid w:val="00262B26"/>
    <w:rsid w:val="00262B87"/>
    <w:rsid w:val="00262B9C"/>
    <w:rsid w:val="00262BAF"/>
    <w:rsid w:val="00262BDC"/>
    <w:rsid w:val="00262C65"/>
    <w:rsid w:val="00262D16"/>
    <w:rsid w:val="00262D32"/>
    <w:rsid w:val="00262D79"/>
    <w:rsid w:val="00262D94"/>
    <w:rsid w:val="00262DB6"/>
    <w:rsid w:val="00262DD0"/>
    <w:rsid w:val="00262DD7"/>
    <w:rsid w:val="00262DEE"/>
    <w:rsid w:val="00262E15"/>
    <w:rsid w:val="00262E68"/>
    <w:rsid w:val="00262EA5"/>
    <w:rsid w:val="00262EB9"/>
    <w:rsid w:val="00262EFD"/>
    <w:rsid w:val="00262F0F"/>
    <w:rsid w:val="00262F3C"/>
    <w:rsid w:val="00262FBF"/>
    <w:rsid w:val="0026302E"/>
    <w:rsid w:val="00263033"/>
    <w:rsid w:val="00263049"/>
    <w:rsid w:val="002630D8"/>
    <w:rsid w:val="00263125"/>
    <w:rsid w:val="00263136"/>
    <w:rsid w:val="002631A2"/>
    <w:rsid w:val="002631A5"/>
    <w:rsid w:val="002631DB"/>
    <w:rsid w:val="002631F2"/>
    <w:rsid w:val="002631FC"/>
    <w:rsid w:val="00263200"/>
    <w:rsid w:val="00263271"/>
    <w:rsid w:val="00263286"/>
    <w:rsid w:val="0026328F"/>
    <w:rsid w:val="002632D0"/>
    <w:rsid w:val="00263309"/>
    <w:rsid w:val="00263311"/>
    <w:rsid w:val="0026331A"/>
    <w:rsid w:val="00263375"/>
    <w:rsid w:val="002633A7"/>
    <w:rsid w:val="0026340F"/>
    <w:rsid w:val="0026341C"/>
    <w:rsid w:val="00263430"/>
    <w:rsid w:val="00263447"/>
    <w:rsid w:val="00263510"/>
    <w:rsid w:val="0026354E"/>
    <w:rsid w:val="00263551"/>
    <w:rsid w:val="00263577"/>
    <w:rsid w:val="00263609"/>
    <w:rsid w:val="00263675"/>
    <w:rsid w:val="002636C4"/>
    <w:rsid w:val="002636CE"/>
    <w:rsid w:val="0026374C"/>
    <w:rsid w:val="0026377F"/>
    <w:rsid w:val="002637CF"/>
    <w:rsid w:val="002637E6"/>
    <w:rsid w:val="00263851"/>
    <w:rsid w:val="00263888"/>
    <w:rsid w:val="00263890"/>
    <w:rsid w:val="002638D8"/>
    <w:rsid w:val="00263913"/>
    <w:rsid w:val="0026391C"/>
    <w:rsid w:val="0026394E"/>
    <w:rsid w:val="00263A14"/>
    <w:rsid w:val="00263A7F"/>
    <w:rsid w:val="00263AEC"/>
    <w:rsid w:val="00263B2D"/>
    <w:rsid w:val="00263B42"/>
    <w:rsid w:val="00263B77"/>
    <w:rsid w:val="00263B81"/>
    <w:rsid w:val="00263B83"/>
    <w:rsid w:val="00263BBF"/>
    <w:rsid w:val="00263C3F"/>
    <w:rsid w:val="00263C42"/>
    <w:rsid w:val="00263CD8"/>
    <w:rsid w:val="00263CE4"/>
    <w:rsid w:val="00263D30"/>
    <w:rsid w:val="00263D73"/>
    <w:rsid w:val="00263DAF"/>
    <w:rsid w:val="00263DCE"/>
    <w:rsid w:val="00263DF1"/>
    <w:rsid w:val="00263DF7"/>
    <w:rsid w:val="00263E30"/>
    <w:rsid w:val="00263E9B"/>
    <w:rsid w:val="00263EB3"/>
    <w:rsid w:val="00263EEF"/>
    <w:rsid w:val="00263F2E"/>
    <w:rsid w:val="00263F38"/>
    <w:rsid w:val="00263F45"/>
    <w:rsid w:val="00263F50"/>
    <w:rsid w:val="00263F5E"/>
    <w:rsid w:val="00263F80"/>
    <w:rsid w:val="00263FDE"/>
    <w:rsid w:val="00263FDF"/>
    <w:rsid w:val="00263FE4"/>
    <w:rsid w:val="00264024"/>
    <w:rsid w:val="0026402B"/>
    <w:rsid w:val="00264045"/>
    <w:rsid w:val="0026408E"/>
    <w:rsid w:val="002640B6"/>
    <w:rsid w:val="002641B2"/>
    <w:rsid w:val="00264251"/>
    <w:rsid w:val="00264280"/>
    <w:rsid w:val="0026431A"/>
    <w:rsid w:val="00264338"/>
    <w:rsid w:val="0026437D"/>
    <w:rsid w:val="00264380"/>
    <w:rsid w:val="002643AE"/>
    <w:rsid w:val="002643B9"/>
    <w:rsid w:val="002643C0"/>
    <w:rsid w:val="002643C8"/>
    <w:rsid w:val="002643CC"/>
    <w:rsid w:val="002643EF"/>
    <w:rsid w:val="00264431"/>
    <w:rsid w:val="0026445A"/>
    <w:rsid w:val="00264473"/>
    <w:rsid w:val="00264489"/>
    <w:rsid w:val="00264493"/>
    <w:rsid w:val="002644BD"/>
    <w:rsid w:val="002644E5"/>
    <w:rsid w:val="00264557"/>
    <w:rsid w:val="00264578"/>
    <w:rsid w:val="0026457E"/>
    <w:rsid w:val="0026458A"/>
    <w:rsid w:val="0026458F"/>
    <w:rsid w:val="002645A8"/>
    <w:rsid w:val="002645BF"/>
    <w:rsid w:val="002645C3"/>
    <w:rsid w:val="002645DC"/>
    <w:rsid w:val="0026460C"/>
    <w:rsid w:val="00264659"/>
    <w:rsid w:val="00264673"/>
    <w:rsid w:val="002646C8"/>
    <w:rsid w:val="002646CB"/>
    <w:rsid w:val="002646DA"/>
    <w:rsid w:val="0026474C"/>
    <w:rsid w:val="00264755"/>
    <w:rsid w:val="0026478E"/>
    <w:rsid w:val="002647A7"/>
    <w:rsid w:val="002647B0"/>
    <w:rsid w:val="00264804"/>
    <w:rsid w:val="00264817"/>
    <w:rsid w:val="00264843"/>
    <w:rsid w:val="0026484C"/>
    <w:rsid w:val="0026485E"/>
    <w:rsid w:val="00264884"/>
    <w:rsid w:val="00264897"/>
    <w:rsid w:val="002648BA"/>
    <w:rsid w:val="002648CC"/>
    <w:rsid w:val="00264926"/>
    <w:rsid w:val="00264958"/>
    <w:rsid w:val="0026498B"/>
    <w:rsid w:val="002649B0"/>
    <w:rsid w:val="002649B8"/>
    <w:rsid w:val="002649C1"/>
    <w:rsid w:val="002649C4"/>
    <w:rsid w:val="002649F7"/>
    <w:rsid w:val="00264A16"/>
    <w:rsid w:val="00264A1F"/>
    <w:rsid w:val="00264A9F"/>
    <w:rsid w:val="00264ADB"/>
    <w:rsid w:val="00264B01"/>
    <w:rsid w:val="00264B3C"/>
    <w:rsid w:val="00264B52"/>
    <w:rsid w:val="00264B78"/>
    <w:rsid w:val="00264BB4"/>
    <w:rsid w:val="00264C54"/>
    <w:rsid w:val="00264C56"/>
    <w:rsid w:val="00264C84"/>
    <w:rsid w:val="00264C8A"/>
    <w:rsid w:val="00264C98"/>
    <w:rsid w:val="00264CA1"/>
    <w:rsid w:val="00264CAD"/>
    <w:rsid w:val="00264CE0"/>
    <w:rsid w:val="00264D30"/>
    <w:rsid w:val="00264D53"/>
    <w:rsid w:val="00264D54"/>
    <w:rsid w:val="00264D65"/>
    <w:rsid w:val="00264DAE"/>
    <w:rsid w:val="00264E1F"/>
    <w:rsid w:val="00264E23"/>
    <w:rsid w:val="00264E74"/>
    <w:rsid w:val="00264E97"/>
    <w:rsid w:val="00264EDF"/>
    <w:rsid w:val="00264EEE"/>
    <w:rsid w:val="00264EF5"/>
    <w:rsid w:val="00264F26"/>
    <w:rsid w:val="00264F3E"/>
    <w:rsid w:val="00264F73"/>
    <w:rsid w:val="00264F7D"/>
    <w:rsid w:val="002650AC"/>
    <w:rsid w:val="002650C5"/>
    <w:rsid w:val="002650E8"/>
    <w:rsid w:val="00265101"/>
    <w:rsid w:val="00265109"/>
    <w:rsid w:val="0026517F"/>
    <w:rsid w:val="00265193"/>
    <w:rsid w:val="002651D6"/>
    <w:rsid w:val="0026524B"/>
    <w:rsid w:val="0026527E"/>
    <w:rsid w:val="002652B6"/>
    <w:rsid w:val="002652B8"/>
    <w:rsid w:val="00265319"/>
    <w:rsid w:val="00265321"/>
    <w:rsid w:val="00265365"/>
    <w:rsid w:val="00265395"/>
    <w:rsid w:val="002653A0"/>
    <w:rsid w:val="002653CA"/>
    <w:rsid w:val="002653F0"/>
    <w:rsid w:val="002653F1"/>
    <w:rsid w:val="0026541B"/>
    <w:rsid w:val="00265440"/>
    <w:rsid w:val="00265448"/>
    <w:rsid w:val="0026544B"/>
    <w:rsid w:val="00265476"/>
    <w:rsid w:val="002654AC"/>
    <w:rsid w:val="002654C2"/>
    <w:rsid w:val="00265520"/>
    <w:rsid w:val="0026554F"/>
    <w:rsid w:val="00265575"/>
    <w:rsid w:val="002655E6"/>
    <w:rsid w:val="0026561E"/>
    <w:rsid w:val="00265621"/>
    <w:rsid w:val="00265629"/>
    <w:rsid w:val="00265634"/>
    <w:rsid w:val="00265685"/>
    <w:rsid w:val="0026568C"/>
    <w:rsid w:val="0026569D"/>
    <w:rsid w:val="002656BA"/>
    <w:rsid w:val="002656D8"/>
    <w:rsid w:val="002656F3"/>
    <w:rsid w:val="00265703"/>
    <w:rsid w:val="0026573A"/>
    <w:rsid w:val="00265744"/>
    <w:rsid w:val="0026575F"/>
    <w:rsid w:val="00265800"/>
    <w:rsid w:val="00265816"/>
    <w:rsid w:val="00265879"/>
    <w:rsid w:val="002658B9"/>
    <w:rsid w:val="002658D6"/>
    <w:rsid w:val="0026592A"/>
    <w:rsid w:val="00265941"/>
    <w:rsid w:val="00265975"/>
    <w:rsid w:val="00265997"/>
    <w:rsid w:val="00265A13"/>
    <w:rsid w:val="00265A2C"/>
    <w:rsid w:val="00265A4F"/>
    <w:rsid w:val="00265A58"/>
    <w:rsid w:val="00265A5A"/>
    <w:rsid w:val="00265A75"/>
    <w:rsid w:val="00265AF1"/>
    <w:rsid w:val="00265AF3"/>
    <w:rsid w:val="00265B1E"/>
    <w:rsid w:val="00265B33"/>
    <w:rsid w:val="00265B49"/>
    <w:rsid w:val="00265B56"/>
    <w:rsid w:val="00265BF1"/>
    <w:rsid w:val="00265C07"/>
    <w:rsid w:val="00265C45"/>
    <w:rsid w:val="00265CA0"/>
    <w:rsid w:val="00265CB2"/>
    <w:rsid w:val="00265CFF"/>
    <w:rsid w:val="00265D2D"/>
    <w:rsid w:val="00265D3E"/>
    <w:rsid w:val="00265D3F"/>
    <w:rsid w:val="00265D94"/>
    <w:rsid w:val="00265DAE"/>
    <w:rsid w:val="00265DCE"/>
    <w:rsid w:val="00265E08"/>
    <w:rsid w:val="00265E09"/>
    <w:rsid w:val="00265E11"/>
    <w:rsid w:val="00265E2D"/>
    <w:rsid w:val="00265E57"/>
    <w:rsid w:val="00265E7D"/>
    <w:rsid w:val="00265E93"/>
    <w:rsid w:val="00265F19"/>
    <w:rsid w:val="00265F2E"/>
    <w:rsid w:val="00265F63"/>
    <w:rsid w:val="00266085"/>
    <w:rsid w:val="00266094"/>
    <w:rsid w:val="00266095"/>
    <w:rsid w:val="002660A7"/>
    <w:rsid w:val="002660AE"/>
    <w:rsid w:val="002660CE"/>
    <w:rsid w:val="002660DA"/>
    <w:rsid w:val="002661C7"/>
    <w:rsid w:val="002661E1"/>
    <w:rsid w:val="00266241"/>
    <w:rsid w:val="00266247"/>
    <w:rsid w:val="00266259"/>
    <w:rsid w:val="002662F9"/>
    <w:rsid w:val="00266314"/>
    <w:rsid w:val="0026631A"/>
    <w:rsid w:val="0026631E"/>
    <w:rsid w:val="0026633C"/>
    <w:rsid w:val="0026637A"/>
    <w:rsid w:val="00266390"/>
    <w:rsid w:val="002663B0"/>
    <w:rsid w:val="002663C2"/>
    <w:rsid w:val="002663C7"/>
    <w:rsid w:val="002663DB"/>
    <w:rsid w:val="002663E5"/>
    <w:rsid w:val="002663EF"/>
    <w:rsid w:val="00266447"/>
    <w:rsid w:val="00266475"/>
    <w:rsid w:val="002664EC"/>
    <w:rsid w:val="00266511"/>
    <w:rsid w:val="00266524"/>
    <w:rsid w:val="00266549"/>
    <w:rsid w:val="0026654A"/>
    <w:rsid w:val="00266554"/>
    <w:rsid w:val="00266559"/>
    <w:rsid w:val="00266589"/>
    <w:rsid w:val="002665B3"/>
    <w:rsid w:val="002665B8"/>
    <w:rsid w:val="002665C7"/>
    <w:rsid w:val="00266609"/>
    <w:rsid w:val="00266611"/>
    <w:rsid w:val="0026661D"/>
    <w:rsid w:val="0026662B"/>
    <w:rsid w:val="00266655"/>
    <w:rsid w:val="00266692"/>
    <w:rsid w:val="0026669F"/>
    <w:rsid w:val="002666D4"/>
    <w:rsid w:val="002666DE"/>
    <w:rsid w:val="002666F4"/>
    <w:rsid w:val="00266714"/>
    <w:rsid w:val="00266747"/>
    <w:rsid w:val="002667C0"/>
    <w:rsid w:val="002667F4"/>
    <w:rsid w:val="0026680F"/>
    <w:rsid w:val="0026682D"/>
    <w:rsid w:val="0026688F"/>
    <w:rsid w:val="002669A4"/>
    <w:rsid w:val="002669F5"/>
    <w:rsid w:val="00266A53"/>
    <w:rsid w:val="00266A83"/>
    <w:rsid w:val="00266AB3"/>
    <w:rsid w:val="00266ACA"/>
    <w:rsid w:val="00266AD3"/>
    <w:rsid w:val="00266ADF"/>
    <w:rsid w:val="00266B41"/>
    <w:rsid w:val="00266B6A"/>
    <w:rsid w:val="00266B91"/>
    <w:rsid w:val="00266C16"/>
    <w:rsid w:val="00266C1B"/>
    <w:rsid w:val="00266C3D"/>
    <w:rsid w:val="00266C99"/>
    <w:rsid w:val="00266C9E"/>
    <w:rsid w:val="00266CC0"/>
    <w:rsid w:val="00266D1E"/>
    <w:rsid w:val="00266D2D"/>
    <w:rsid w:val="00266D2F"/>
    <w:rsid w:val="00266D46"/>
    <w:rsid w:val="00266D48"/>
    <w:rsid w:val="00266D5F"/>
    <w:rsid w:val="00266D7A"/>
    <w:rsid w:val="00266D85"/>
    <w:rsid w:val="00266D89"/>
    <w:rsid w:val="00266DBC"/>
    <w:rsid w:val="00266DDD"/>
    <w:rsid w:val="00266DF5"/>
    <w:rsid w:val="00266E4F"/>
    <w:rsid w:val="00266E73"/>
    <w:rsid w:val="00266E93"/>
    <w:rsid w:val="00266F15"/>
    <w:rsid w:val="00266F1B"/>
    <w:rsid w:val="00266F36"/>
    <w:rsid w:val="00267000"/>
    <w:rsid w:val="00267037"/>
    <w:rsid w:val="002670C6"/>
    <w:rsid w:val="002670DE"/>
    <w:rsid w:val="002670FF"/>
    <w:rsid w:val="00267155"/>
    <w:rsid w:val="00267175"/>
    <w:rsid w:val="00267207"/>
    <w:rsid w:val="0026722F"/>
    <w:rsid w:val="00267264"/>
    <w:rsid w:val="0026727F"/>
    <w:rsid w:val="0026729A"/>
    <w:rsid w:val="002672B7"/>
    <w:rsid w:val="002672DC"/>
    <w:rsid w:val="002672FD"/>
    <w:rsid w:val="00267316"/>
    <w:rsid w:val="00267342"/>
    <w:rsid w:val="00267396"/>
    <w:rsid w:val="00267399"/>
    <w:rsid w:val="002673DE"/>
    <w:rsid w:val="00267439"/>
    <w:rsid w:val="00267463"/>
    <w:rsid w:val="002674B4"/>
    <w:rsid w:val="002674E8"/>
    <w:rsid w:val="00267515"/>
    <w:rsid w:val="002675AA"/>
    <w:rsid w:val="002675EF"/>
    <w:rsid w:val="0026762F"/>
    <w:rsid w:val="00267635"/>
    <w:rsid w:val="00267650"/>
    <w:rsid w:val="0026766E"/>
    <w:rsid w:val="002676B8"/>
    <w:rsid w:val="002676CE"/>
    <w:rsid w:val="002676FC"/>
    <w:rsid w:val="0026774D"/>
    <w:rsid w:val="00267781"/>
    <w:rsid w:val="0026778F"/>
    <w:rsid w:val="002677A9"/>
    <w:rsid w:val="002677B8"/>
    <w:rsid w:val="00267849"/>
    <w:rsid w:val="0026784A"/>
    <w:rsid w:val="0026785F"/>
    <w:rsid w:val="00267863"/>
    <w:rsid w:val="002678A6"/>
    <w:rsid w:val="002678B4"/>
    <w:rsid w:val="00267947"/>
    <w:rsid w:val="00267951"/>
    <w:rsid w:val="0026795B"/>
    <w:rsid w:val="002679B9"/>
    <w:rsid w:val="002679F3"/>
    <w:rsid w:val="002679FA"/>
    <w:rsid w:val="00267A0E"/>
    <w:rsid w:val="00267A16"/>
    <w:rsid w:val="00267B0A"/>
    <w:rsid w:val="00267B33"/>
    <w:rsid w:val="00267B53"/>
    <w:rsid w:val="00267BAE"/>
    <w:rsid w:val="00267BE9"/>
    <w:rsid w:val="00267C1B"/>
    <w:rsid w:val="00267C2E"/>
    <w:rsid w:val="00267C6F"/>
    <w:rsid w:val="00267C9E"/>
    <w:rsid w:val="00267CE0"/>
    <w:rsid w:val="00267CFE"/>
    <w:rsid w:val="00267D34"/>
    <w:rsid w:val="00267D86"/>
    <w:rsid w:val="00267DA6"/>
    <w:rsid w:val="00267DF1"/>
    <w:rsid w:val="00267E00"/>
    <w:rsid w:val="00267E4B"/>
    <w:rsid w:val="00267E90"/>
    <w:rsid w:val="00267E97"/>
    <w:rsid w:val="00267EDE"/>
    <w:rsid w:val="00267F09"/>
    <w:rsid w:val="00267F1B"/>
    <w:rsid w:val="00267FA3"/>
    <w:rsid w:val="00270097"/>
    <w:rsid w:val="0027009A"/>
    <w:rsid w:val="002700CA"/>
    <w:rsid w:val="002700E1"/>
    <w:rsid w:val="0027010B"/>
    <w:rsid w:val="0027010D"/>
    <w:rsid w:val="0027011F"/>
    <w:rsid w:val="0027014D"/>
    <w:rsid w:val="0027015C"/>
    <w:rsid w:val="002701D8"/>
    <w:rsid w:val="002701F5"/>
    <w:rsid w:val="002701F6"/>
    <w:rsid w:val="00270214"/>
    <w:rsid w:val="00270247"/>
    <w:rsid w:val="0027026C"/>
    <w:rsid w:val="00270270"/>
    <w:rsid w:val="002702BB"/>
    <w:rsid w:val="002702CC"/>
    <w:rsid w:val="002702D0"/>
    <w:rsid w:val="002702E9"/>
    <w:rsid w:val="00270329"/>
    <w:rsid w:val="002703C5"/>
    <w:rsid w:val="00270405"/>
    <w:rsid w:val="002704C6"/>
    <w:rsid w:val="00270513"/>
    <w:rsid w:val="0027053C"/>
    <w:rsid w:val="0027057D"/>
    <w:rsid w:val="0027057E"/>
    <w:rsid w:val="002705F4"/>
    <w:rsid w:val="00270646"/>
    <w:rsid w:val="00270657"/>
    <w:rsid w:val="00270674"/>
    <w:rsid w:val="002706C5"/>
    <w:rsid w:val="002706F7"/>
    <w:rsid w:val="00270729"/>
    <w:rsid w:val="0027073A"/>
    <w:rsid w:val="0027074A"/>
    <w:rsid w:val="002707BE"/>
    <w:rsid w:val="002707E2"/>
    <w:rsid w:val="00270811"/>
    <w:rsid w:val="00270895"/>
    <w:rsid w:val="002708A4"/>
    <w:rsid w:val="002708A5"/>
    <w:rsid w:val="0027095E"/>
    <w:rsid w:val="0027097D"/>
    <w:rsid w:val="0027097E"/>
    <w:rsid w:val="002709AA"/>
    <w:rsid w:val="002709AB"/>
    <w:rsid w:val="002709EF"/>
    <w:rsid w:val="00270A5A"/>
    <w:rsid w:val="00270A64"/>
    <w:rsid w:val="00270A6A"/>
    <w:rsid w:val="00270AA5"/>
    <w:rsid w:val="00270AD3"/>
    <w:rsid w:val="00270AE0"/>
    <w:rsid w:val="00270B28"/>
    <w:rsid w:val="00270B34"/>
    <w:rsid w:val="00270B63"/>
    <w:rsid w:val="00270B9A"/>
    <w:rsid w:val="00270C3E"/>
    <w:rsid w:val="00270C88"/>
    <w:rsid w:val="00270C91"/>
    <w:rsid w:val="00270CD7"/>
    <w:rsid w:val="00270CDC"/>
    <w:rsid w:val="00270CE6"/>
    <w:rsid w:val="00270D55"/>
    <w:rsid w:val="00270D90"/>
    <w:rsid w:val="00270D93"/>
    <w:rsid w:val="00270E13"/>
    <w:rsid w:val="00270E2A"/>
    <w:rsid w:val="00270E62"/>
    <w:rsid w:val="00270EE0"/>
    <w:rsid w:val="00270F16"/>
    <w:rsid w:val="00270F35"/>
    <w:rsid w:val="00270F37"/>
    <w:rsid w:val="00270F9A"/>
    <w:rsid w:val="00270F9F"/>
    <w:rsid w:val="00270FD5"/>
    <w:rsid w:val="00270FFA"/>
    <w:rsid w:val="00270FFD"/>
    <w:rsid w:val="0027101D"/>
    <w:rsid w:val="00271029"/>
    <w:rsid w:val="00271041"/>
    <w:rsid w:val="00271056"/>
    <w:rsid w:val="0027105A"/>
    <w:rsid w:val="002710A4"/>
    <w:rsid w:val="002710BC"/>
    <w:rsid w:val="002710E6"/>
    <w:rsid w:val="002710EF"/>
    <w:rsid w:val="002710F9"/>
    <w:rsid w:val="00271154"/>
    <w:rsid w:val="00271175"/>
    <w:rsid w:val="002711A4"/>
    <w:rsid w:val="002711F1"/>
    <w:rsid w:val="00271214"/>
    <w:rsid w:val="0027126B"/>
    <w:rsid w:val="0027127D"/>
    <w:rsid w:val="0027128B"/>
    <w:rsid w:val="00271356"/>
    <w:rsid w:val="00271413"/>
    <w:rsid w:val="0027145C"/>
    <w:rsid w:val="0027149A"/>
    <w:rsid w:val="002714A0"/>
    <w:rsid w:val="002714AF"/>
    <w:rsid w:val="002714D3"/>
    <w:rsid w:val="0027154F"/>
    <w:rsid w:val="0027156F"/>
    <w:rsid w:val="0027159E"/>
    <w:rsid w:val="00271623"/>
    <w:rsid w:val="00271661"/>
    <w:rsid w:val="00271675"/>
    <w:rsid w:val="00271693"/>
    <w:rsid w:val="002716CB"/>
    <w:rsid w:val="002716D1"/>
    <w:rsid w:val="002716D3"/>
    <w:rsid w:val="0027171B"/>
    <w:rsid w:val="00271737"/>
    <w:rsid w:val="00271740"/>
    <w:rsid w:val="00271779"/>
    <w:rsid w:val="00271790"/>
    <w:rsid w:val="002717B1"/>
    <w:rsid w:val="002717FB"/>
    <w:rsid w:val="00271806"/>
    <w:rsid w:val="00271820"/>
    <w:rsid w:val="0027182A"/>
    <w:rsid w:val="0027183A"/>
    <w:rsid w:val="002718A8"/>
    <w:rsid w:val="002718AD"/>
    <w:rsid w:val="002718C2"/>
    <w:rsid w:val="00271903"/>
    <w:rsid w:val="00271933"/>
    <w:rsid w:val="002719AB"/>
    <w:rsid w:val="00271ACA"/>
    <w:rsid w:val="00271AE1"/>
    <w:rsid w:val="00271AED"/>
    <w:rsid w:val="00271B09"/>
    <w:rsid w:val="00271B1C"/>
    <w:rsid w:val="00271B36"/>
    <w:rsid w:val="00271BAD"/>
    <w:rsid w:val="00271C92"/>
    <w:rsid w:val="00271CD5"/>
    <w:rsid w:val="00271CE3"/>
    <w:rsid w:val="00271D47"/>
    <w:rsid w:val="00271D93"/>
    <w:rsid w:val="00271DB2"/>
    <w:rsid w:val="00271DE0"/>
    <w:rsid w:val="00271DEB"/>
    <w:rsid w:val="00271DF4"/>
    <w:rsid w:val="00271E11"/>
    <w:rsid w:val="00271E69"/>
    <w:rsid w:val="00271E7F"/>
    <w:rsid w:val="00271E8C"/>
    <w:rsid w:val="00271EA8"/>
    <w:rsid w:val="00271F44"/>
    <w:rsid w:val="00271F7F"/>
    <w:rsid w:val="00272010"/>
    <w:rsid w:val="00272058"/>
    <w:rsid w:val="00272078"/>
    <w:rsid w:val="0027209F"/>
    <w:rsid w:val="00272140"/>
    <w:rsid w:val="00272147"/>
    <w:rsid w:val="00272199"/>
    <w:rsid w:val="00272214"/>
    <w:rsid w:val="00272247"/>
    <w:rsid w:val="002722AA"/>
    <w:rsid w:val="00272300"/>
    <w:rsid w:val="00272391"/>
    <w:rsid w:val="00272394"/>
    <w:rsid w:val="002723BD"/>
    <w:rsid w:val="002723E8"/>
    <w:rsid w:val="0027244E"/>
    <w:rsid w:val="00272478"/>
    <w:rsid w:val="0027247A"/>
    <w:rsid w:val="00272498"/>
    <w:rsid w:val="002724D3"/>
    <w:rsid w:val="002724D5"/>
    <w:rsid w:val="002724DB"/>
    <w:rsid w:val="00272535"/>
    <w:rsid w:val="00272567"/>
    <w:rsid w:val="002725B9"/>
    <w:rsid w:val="002725E6"/>
    <w:rsid w:val="0027262E"/>
    <w:rsid w:val="00272646"/>
    <w:rsid w:val="0027264C"/>
    <w:rsid w:val="0027264D"/>
    <w:rsid w:val="00272669"/>
    <w:rsid w:val="0027266B"/>
    <w:rsid w:val="00272674"/>
    <w:rsid w:val="0027267E"/>
    <w:rsid w:val="00272680"/>
    <w:rsid w:val="002726AB"/>
    <w:rsid w:val="0027271B"/>
    <w:rsid w:val="00272736"/>
    <w:rsid w:val="0027273D"/>
    <w:rsid w:val="00272800"/>
    <w:rsid w:val="00272805"/>
    <w:rsid w:val="0027286F"/>
    <w:rsid w:val="002728BD"/>
    <w:rsid w:val="002728FC"/>
    <w:rsid w:val="00272925"/>
    <w:rsid w:val="00272934"/>
    <w:rsid w:val="00272961"/>
    <w:rsid w:val="0027298C"/>
    <w:rsid w:val="0027299C"/>
    <w:rsid w:val="002729DE"/>
    <w:rsid w:val="00272AA4"/>
    <w:rsid w:val="00272AF4"/>
    <w:rsid w:val="00272B13"/>
    <w:rsid w:val="00272B1E"/>
    <w:rsid w:val="00272B76"/>
    <w:rsid w:val="00272BEF"/>
    <w:rsid w:val="00272C16"/>
    <w:rsid w:val="00272C51"/>
    <w:rsid w:val="00272C59"/>
    <w:rsid w:val="00272CDA"/>
    <w:rsid w:val="00272D27"/>
    <w:rsid w:val="00272D3E"/>
    <w:rsid w:val="00272D44"/>
    <w:rsid w:val="00272DA0"/>
    <w:rsid w:val="00272DBC"/>
    <w:rsid w:val="00272DC2"/>
    <w:rsid w:val="00272DC7"/>
    <w:rsid w:val="00272DD6"/>
    <w:rsid w:val="00272E95"/>
    <w:rsid w:val="00272E9D"/>
    <w:rsid w:val="00272EDE"/>
    <w:rsid w:val="00272EFE"/>
    <w:rsid w:val="00272F0D"/>
    <w:rsid w:val="00272F88"/>
    <w:rsid w:val="00272FA1"/>
    <w:rsid w:val="00272FD0"/>
    <w:rsid w:val="00273031"/>
    <w:rsid w:val="0027305B"/>
    <w:rsid w:val="002730D7"/>
    <w:rsid w:val="002730E2"/>
    <w:rsid w:val="002730F1"/>
    <w:rsid w:val="00273138"/>
    <w:rsid w:val="00273166"/>
    <w:rsid w:val="002731E8"/>
    <w:rsid w:val="00273205"/>
    <w:rsid w:val="0027321C"/>
    <w:rsid w:val="002732B4"/>
    <w:rsid w:val="002732D3"/>
    <w:rsid w:val="002732E9"/>
    <w:rsid w:val="0027331A"/>
    <w:rsid w:val="00273326"/>
    <w:rsid w:val="002733F8"/>
    <w:rsid w:val="0027342B"/>
    <w:rsid w:val="0027343A"/>
    <w:rsid w:val="00273442"/>
    <w:rsid w:val="0027344C"/>
    <w:rsid w:val="00273462"/>
    <w:rsid w:val="002734A7"/>
    <w:rsid w:val="0027352B"/>
    <w:rsid w:val="0027355B"/>
    <w:rsid w:val="0027355D"/>
    <w:rsid w:val="00273572"/>
    <w:rsid w:val="002735DC"/>
    <w:rsid w:val="002735EC"/>
    <w:rsid w:val="002736B7"/>
    <w:rsid w:val="002736CD"/>
    <w:rsid w:val="002736E9"/>
    <w:rsid w:val="002736FF"/>
    <w:rsid w:val="00273727"/>
    <w:rsid w:val="00273735"/>
    <w:rsid w:val="002737A2"/>
    <w:rsid w:val="002737C3"/>
    <w:rsid w:val="002737F3"/>
    <w:rsid w:val="0027389D"/>
    <w:rsid w:val="002738FC"/>
    <w:rsid w:val="0027392A"/>
    <w:rsid w:val="00273957"/>
    <w:rsid w:val="002739F5"/>
    <w:rsid w:val="002739F8"/>
    <w:rsid w:val="002739FA"/>
    <w:rsid w:val="00273A49"/>
    <w:rsid w:val="00273A4A"/>
    <w:rsid w:val="00273B08"/>
    <w:rsid w:val="00273B16"/>
    <w:rsid w:val="00273B26"/>
    <w:rsid w:val="00273B6F"/>
    <w:rsid w:val="00273B86"/>
    <w:rsid w:val="00273B9E"/>
    <w:rsid w:val="00273BA7"/>
    <w:rsid w:val="00273C24"/>
    <w:rsid w:val="00273C27"/>
    <w:rsid w:val="00273CA5"/>
    <w:rsid w:val="00273CD8"/>
    <w:rsid w:val="00273D13"/>
    <w:rsid w:val="00273D47"/>
    <w:rsid w:val="00273D82"/>
    <w:rsid w:val="00273DAD"/>
    <w:rsid w:val="00273DE2"/>
    <w:rsid w:val="00273DF2"/>
    <w:rsid w:val="00273E06"/>
    <w:rsid w:val="00273E8B"/>
    <w:rsid w:val="00273EBD"/>
    <w:rsid w:val="00273EE0"/>
    <w:rsid w:val="00273EE9"/>
    <w:rsid w:val="00273F38"/>
    <w:rsid w:val="00273F3F"/>
    <w:rsid w:val="00273F53"/>
    <w:rsid w:val="00273F59"/>
    <w:rsid w:val="00273F6A"/>
    <w:rsid w:val="00273F84"/>
    <w:rsid w:val="00273FE6"/>
    <w:rsid w:val="00273FFE"/>
    <w:rsid w:val="00274074"/>
    <w:rsid w:val="002740A8"/>
    <w:rsid w:val="002740E4"/>
    <w:rsid w:val="00274126"/>
    <w:rsid w:val="0027416A"/>
    <w:rsid w:val="0027419E"/>
    <w:rsid w:val="0027422B"/>
    <w:rsid w:val="0027427A"/>
    <w:rsid w:val="002743A1"/>
    <w:rsid w:val="002743B5"/>
    <w:rsid w:val="002743EC"/>
    <w:rsid w:val="002743F4"/>
    <w:rsid w:val="00274426"/>
    <w:rsid w:val="002744EF"/>
    <w:rsid w:val="002744F6"/>
    <w:rsid w:val="0027457B"/>
    <w:rsid w:val="00274583"/>
    <w:rsid w:val="002745BE"/>
    <w:rsid w:val="00274610"/>
    <w:rsid w:val="0027461E"/>
    <w:rsid w:val="00274627"/>
    <w:rsid w:val="00274641"/>
    <w:rsid w:val="00274642"/>
    <w:rsid w:val="00274675"/>
    <w:rsid w:val="0027467B"/>
    <w:rsid w:val="002746A0"/>
    <w:rsid w:val="002746F0"/>
    <w:rsid w:val="00274744"/>
    <w:rsid w:val="0027474B"/>
    <w:rsid w:val="0027478E"/>
    <w:rsid w:val="00274797"/>
    <w:rsid w:val="00274798"/>
    <w:rsid w:val="0027479A"/>
    <w:rsid w:val="002747B0"/>
    <w:rsid w:val="002747BB"/>
    <w:rsid w:val="00274849"/>
    <w:rsid w:val="0027484B"/>
    <w:rsid w:val="0027486A"/>
    <w:rsid w:val="002748F3"/>
    <w:rsid w:val="002749C0"/>
    <w:rsid w:val="002749C6"/>
    <w:rsid w:val="002749E9"/>
    <w:rsid w:val="00274A75"/>
    <w:rsid w:val="00274A80"/>
    <w:rsid w:val="00274A90"/>
    <w:rsid w:val="00274AE3"/>
    <w:rsid w:val="00274B50"/>
    <w:rsid w:val="00274B85"/>
    <w:rsid w:val="00274C3B"/>
    <w:rsid w:val="00274CB0"/>
    <w:rsid w:val="00274CCB"/>
    <w:rsid w:val="00274CCE"/>
    <w:rsid w:val="00274CFB"/>
    <w:rsid w:val="00274D3F"/>
    <w:rsid w:val="00274D7B"/>
    <w:rsid w:val="00274D87"/>
    <w:rsid w:val="00274D90"/>
    <w:rsid w:val="00274DAA"/>
    <w:rsid w:val="00274DE3"/>
    <w:rsid w:val="00274E3B"/>
    <w:rsid w:val="00274E5E"/>
    <w:rsid w:val="00274F0E"/>
    <w:rsid w:val="00274FF5"/>
    <w:rsid w:val="0027500E"/>
    <w:rsid w:val="00275011"/>
    <w:rsid w:val="00275036"/>
    <w:rsid w:val="0027506B"/>
    <w:rsid w:val="0027506F"/>
    <w:rsid w:val="002750D6"/>
    <w:rsid w:val="002750ED"/>
    <w:rsid w:val="00275151"/>
    <w:rsid w:val="002751A2"/>
    <w:rsid w:val="002751AE"/>
    <w:rsid w:val="002751EC"/>
    <w:rsid w:val="002751ED"/>
    <w:rsid w:val="002751F6"/>
    <w:rsid w:val="0027526B"/>
    <w:rsid w:val="00275272"/>
    <w:rsid w:val="00275290"/>
    <w:rsid w:val="002752EF"/>
    <w:rsid w:val="00275325"/>
    <w:rsid w:val="00275340"/>
    <w:rsid w:val="00275369"/>
    <w:rsid w:val="00275448"/>
    <w:rsid w:val="00275474"/>
    <w:rsid w:val="00275478"/>
    <w:rsid w:val="00275490"/>
    <w:rsid w:val="002754E0"/>
    <w:rsid w:val="002754E7"/>
    <w:rsid w:val="00275512"/>
    <w:rsid w:val="0027552D"/>
    <w:rsid w:val="00275556"/>
    <w:rsid w:val="002755C8"/>
    <w:rsid w:val="002755DB"/>
    <w:rsid w:val="002755ED"/>
    <w:rsid w:val="00275607"/>
    <w:rsid w:val="0027562A"/>
    <w:rsid w:val="00275639"/>
    <w:rsid w:val="0027564A"/>
    <w:rsid w:val="0027566A"/>
    <w:rsid w:val="0027566C"/>
    <w:rsid w:val="0027567A"/>
    <w:rsid w:val="00275695"/>
    <w:rsid w:val="002756BB"/>
    <w:rsid w:val="00275703"/>
    <w:rsid w:val="002757BB"/>
    <w:rsid w:val="0027580D"/>
    <w:rsid w:val="00275837"/>
    <w:rsid w:val="0027587D"/>
    <w:rsid w:val="00275889"/>
    <w:rsid w:val="002758CD"/>
    <w:rsid w:val="002758D1"/>
    <w:rsid w:val="002758F1"/>
    <w:rsid w:val="002758F5"/>
    <w:rsid w:val="002758FE"/>
    <w:rsid w:val="00275919"/>
    <w:rsid w:val="00275964"/>
    <w:rsid w:val="002759DD"/>
    <w:rsid w:val="00275A54"/>
    <w:rsid w:val="00275A66"/>
    <w:rsid w:val="00275AA2"/>
    <w:rsid w:val="00275AB1"/>
    <w:rsid w:val="00275ABB"/>
    <w:rsid w:val="00275ADC"/>
    <w:rsid w:val="00275B1B"/>
    <w:rsid w:val="00275BE6"/>
    <w:rsid w:val="00275C34"/>
    <w:rsid w:val="00275C57"/>
    <w:rsid w:val="00275CA5"/>
    <w:rsid w:val="00275D1F"/>
    <w:rsid w:val="00275D61"/>
    <w:rsid w:val="00275DC2"/>
    <w:rsid w:val="00275DCB"/>
    <w:rsid w:val="00275DF3"/>
    <w:rsid w:val="00275E45"/>
    <w:rsid w:val="00275E94"/>
    <w:rsid w:val="00275ED8"/>
    <w:rsid w:val="00275F33"/>
    <w:rsid w:val="00275F81"/>
    <w:rsid w:val="00275FC3"/>
    <w:rsid w:val="00276074"/>
    <w:rsid w:val="002760B9"/>
    <w:rsid w:val="002760CE"/>
    <w:rsid w:val="002760D6"/>
    <w:rsid w:val="002760E0"/>
    <w:rsid w:val="002760F0"/>
    <w:rsid w:val="002760F6"/>
    <w:rsid w:val="00276123"/>
    <w:rsid w:val="0027614F"/>
    <w:rsid w:val="0027617B"/>
    <w:rsid w:val="002761C6"/>
    <w:rsid w:val="00276220"/>
    <w:rsid w:val="00276225"/>
    <w:rsid w:val="0027624C"/>
    <w:rsid w:val="0027626C"/>
    <w:rsid w:val="00276274"/>
    <w:rsid w:val="0027628D"/>
    <w:rsid w:val="0027632B"/>
    <w:rsid w:val="00276352"/>
    <w:rsid w:val="00276368"/>
    <w:rsid w:val="00276374"/>
    <w:rsid w:val="00276398"/>
    <w:rsid w:val="0027647E"/>
    <w:rsid w:val="002764A2"/>
    <w:rsid w:val="00276547"/>
    <w:rsid w:val="00276616"/>
    <w:rsid w:val="0027661F"/>
    <w:rsid w:val="0027664B"/>
    <w:rsid w:val="0027668D"/>
    <w:rsid w:val="002766DA"/>
    <w:rsid w:val="002766FD"/>
    <w:rsid w:val="0027676B"/>
    <w:rsid w:val="0027677D"/>
    <w:rsid w:val="00276801"/>
    <w:rsid w:val="0027687A"/>
    <w:rsid w:val="0027687C"/>
    <w:rsid w:val="002768B4"/>
    <w:rsid w:val="002768CC"/>
    <w:rsid w:val="00276954"/>
    <w:rsid w:val="0027696F"/>
    <w:rsid w:val="00276982"/>
    <w:rsid w:val="00276985"/>
    <w:rsid w:val="002769DE"/>
    <w:rsid w:val="002769E8"/>
    <w:rsid w:val="002769F2"/>
    <w:rsid w:val="00276A57"/>
    <w:rsid w:val="00276AC7"/>
    <w:rsid w:val="00276ADC"/>
    <w:rsid w:val="00276AF2"/>
    <w:rsid w:val="00276B02"/>
    <w:rsid w:val="00276B09"/>
    <w:rsid w:val="00276B32"/>
    <w:rsid w:val="00276B78"/>
    <w:rsid w:val="00276B94"/>
    <w:rsid w:val="00276BD9"/>
    <w:rsid w:val="00276C2B"/>
    <w:rsid w:val="00276CE8"/>
    <w:rsid w:val="00276D3F"/>
    <w:rsid w:val="00276D40"/>
    <w:rsid w:val="00276DE0"/>
    <w:rsid w:val="00276E2E"/>
    <w:rsid w:val="00276EE2"/>
    <w:rsid w:val="00276F1E"/>
    <w:rsid w:val="00276F25"/>
    <w:rsid w:val="00276F68"/>
    <w:rsid w:val="00276F85"/>
    <w:rsid w:val="00276FAB"/>
    <w:rsid w:val="00276FD5"/>
    <w:rsid w:val="00277056"/>
    <w:rsid w:val="00277064"/>
    <w:rsid w:val="00277065"/>
    <w:rsid w:val="002770E1"/>
    <w:rsid w:val="00277126"/>
    <w:rsid w:val="00277168"/>
    <w:rsid w:val="0027716C"/>
    <w:rsid w:val="002771D2"/>
    <w:rsid w:val="0027721E"/>
    <w:rsid w:val="00277295"/>
    <w:rsid w:val="002772E5"/>
    <w:rsid w:val="0027733A"/>
    <w:rsid w:val="0027733F"/>
    <w:rsid w:val="00277355"/>
    <w:rsid w:val="00277375"/>
    <w:rsid w:val="002774A4"/>
    <w:rsid w:val="00277532"/>
    <w:rsid w:val="00277561"/>
    <w:rsid w:val="0027756A"/>
    <w:rsid w:val="002775AB"/>
    <w:rsid w:val="00277653"/>
    <w:rsid w:val="0027767D"/>
    <w:rsid w:val="002776D4"/>
    <w:rsid w:val="002776DA"/>
    <w:rsid w:val="002776F0"/>
    <w:rsid w:val="00277700"/>
    <w:rsid w:val="00277702"/>
    <w:rsid w:val="00277707"/>
    <w:rsid w:val="00277734"/>
    <w:rsid w:val="00277767"/>
    <w:rsid w:val="00277773"/>
    <w:rsid w:val="00277794"/>
    <w:rsid w:val="002777C9"/>
    <w:rsid w:val="00277905"/>
    <w:rsid w:val="0027792D"/>
    <w:rsid w:val="0027794F"/>
    <w:rsid w:val="00277A96"/>
    <w:rsid w:val="00277B6A"/>
    <w:rsid w:val="00277BAE"/>
    <w:rsid w:val="00277BE4"/>
    <w:rsid w:val="00277C1E"/>
    <w:rsid w:val="00277C21"/>
    <w:rsid w:val="00277C40"/>
    <w:rsid w:val="00277D22"/>
    <w:rsid w:val="00277D70"/>
    <w:rsid w:val="00277D79"/>
    <w:rsid w:val="00277D9F"/>
    <w:rsid w:val="00277DB2"/>
    <w:rsid w:val="00277DBE"/>
    <w:rsid w:val="00277DE2"/>
    <w:rsid w:val="00277E5D"/>
    <w:rsid w:val="00277E76"/>
    <w:rsid w:val="00277EA5"/>
    <w:rsid w:val="00277EC9"/>
    <w:rsid w:val="00277EF9"/>
    <w:rsid w:val="00277F56"/>
    <w:rsid w:val="00277F6E"/>
    <w:rsid w:val="00277F7F"/>
    <w:rsid w:val="00277F9E"/>
    <w:rsid w:val="00277FB5"/>
    <w:rsid w:val="0027D666"/>
    <w:rsid w:val="00280042"/>
    <w:rsid w:val="00280048"/>
    <w:rsid w:val="0028009E"/>
    <w:rsid w:val="002800F9"/>
    <w:rsid w:val="0028010C"/>
    <w:rsid w:val="0028011B"/>
    <w:rsid w:val="002801A1"/>
    <w:rsid w:val="0028029E"/>
    <w:rsid w:val="002802A9"/>
    <w:rsid w:val="00280304"/>
    <w:rsid w:val="00280307"/>
    <w:rsid w:val="00280311"/>
    <w:rsid w:val="00280383"/>
    <w:rsid w:val="00280385"/>
    <w:rsid w:val="002803A7"/>
    <w:rsid w:val="002803F5"/>
    <w:rsid w:val="00280408"/>
    <w:rsid w:val="00280425"/>
    <w:rsid w:val="0028042D"/>
    <w:rsid w:val="00280441"/>
    <w:rsid w:val="0028046D"/>
    <w:rsid w:val="00280527"/>
    <w:rsid w:val="0028053B"/>
    <w:rsid w:val="0028053E"/>
    <w:rsid w:val="0028056E"/>
    <w:rsid w:val="00280572"/>
    <w:rsid w:val="00280575"/>
    <w:rsid w:val="002805B3"/>
    <w:rsid w:val="002805C6"/>
    <w:rsid w:val="0028060D"/>
    <w:rsid w:val="002806BE"/>
    <w:rsid w:val="0028071D"/>
    <w:rsid w:val="0028072C"/>
    <w:rsid w:val="00280770"/>
    <w:rsid w:val="0028087F"/>
    <w:rsid w:val="002808B4"/>
    <w:rsid w:val="00280947"/>
    <w:rsid w:val="00280976"/>
    <w:rsid w:val="00280980"/>
    <w:rsid w:val="00280997"/>
    <w:rsid w:val="00280A1F"/>
    <w:rsid w:val="00280A5F"/>
    <w:rsid w:val="00280AB6"/>
    <w:rsid w:val="00280B08"/>
    <w:rsid w:val="00280B28"/>
    <w:rsid w:val="00280B5B"/>
    <w:rsid w:val="00280B92"/>
    <w:rsid w:val="00280B9B"/>
    <w:rsid w:val="00280C56"/>
    <w:rsid w:val="00280C8C"/>
    <w:rsid w:val="00280CB8"/>
    <w:rsid w:val="00280D55"/>
    <w:rsid w:val="00280D6F"/>
    <w:rsid w:val="00280D76"/>
    <w:rsid w:val="00280DF5"/>
    <w:rsid w:val="00280E2A"/>
    <w:rsid w:val="00280E36"/>
    <w:rsid w:val="00280E4A"/>
    <w:rsid w:val="00280EB9"/>
    <w:rsid w:val="00280EBE"/>
    <w:rsid w:val="00280EEC"/>
    <w:rsid w:val="00280FBE"/>
    <w:rsid w:val="00281021"/>
    <w:rsid w:val="00281052"/>
    <w:rsid w:val="00281071"/>
    <w:rsid w:val="002810D0"/>
    <w:rsid w:val="002810E8"/>
    <w:rsid w:val="0028123C"/>
    <w:rsid w:val="002812D9"/>
    <w:rsid w:val="002812FA"/>
    <w:rsid w:val="0028133B"/>
    <w:rsid w:val="00281368"/>
    <w:rsid w:val="002814B8"/>
    <w:rsid w:val="002814BF"/>
    <w:rsid w:val="0028150A"/>
    <w:rsid w:val="0028155F"/>
    <w:rsid w:val="00281588"/>
    <w:rsid w:val="00281597"/>
    <w:rsid w:val="00281599"/>
    <w:rsid w:val="002815DB"/>
    <w:rsid w:val="00281633"/>
    <w:rsid w:val="00281637"/>
    <w:rsid w:val="00281640"/>
    <w:rsid w:val="00281641"/>
    <w:rsid w:val="00281664"/>
    <w:rsid w:val="00281668"/>
    <w:rsid w:val="00281670"/>
    <w:rsid w:val="00281677"/>
    <w:rsid w:val="002816E5"/>
    <w:rsid w:val="00281747"/>
    <w:rsid w:val="0028178C"/>
    <w:rsid w:val="002817D7"/>
    <w:rsid w:val="00281886"/>
    <w:rsid w:val="002818BB"/>
    <w:rsid w:val="002818E1"/>
    <w:rsid w:val="00281939"/>
    <w:rsid w:val="0028198B"/>
    <w:rsid w:val="002819A9"/>
    <w:rsid w:val="002819B6"/>
    <w:rsid w:val="002819C4"/>
    <w:rsid w:val="002819F0"/>
    <w:rsid w:val="00281A71"/>
    <w:rsid w:val="00281A81"/>
    <w:rsid w:val="00281A9E"/>
    <w:rsid w:val="00281ABE"/>
    <w:rsid w:val="00281AE0"/>
    <w:rsid w:val="00281AF6"/>
    <w:rsid w:val="00281B34"/>
    <w:rsid w:val="00281B38"/>
    <w:rsid w:val="00281C1D"/>
    <w:rsid w:val="00281C20"/>
    <w:rsid w:val="00281C3F"/>
    <w:rsid w:val="00281C5C"/>
    <w:rsid w:val="00281C98"/>
    <w:rsid w:val="00281C9E"/>
    <w:rsid w:val="00281CBB"/>
    <w:rsid w:val="00281CBE"/>
    <w:rsid w:val="00281DD8"/>
    <w:rsid w:val="00281DDE"/>
    <w:rsid w:val="00281EEF"/>
    <w:rsid w:val="00281F5B"/>
    <w:rsid w:val="00281F90"/>
    <w:rsid w:val="00281FA9"/>
    <w:rsid w:val="00281FC8"/>
    <w:rsid w:val="00281FF9"/>
    <w:rsid w:val="00282002"/>
    <w:rsid w:val="00282038"/>
    <w:rsid w:val="00282039"/>
    <w:rsid w:val="00282085"/>
    <w:rsid w:val="002820C8"/>
    <w:rsid w:val="002820CE"/>
    <w:rsid w:val="002820E7"/>
    <w:rsid w:val="00282143"/>
    <w:rsid w:val="0028214F"/>
    <w:rsid w:val="00282155"/>
    <w:rsid w:val="0028215F"/>
    <w:rsid w:val="00282178"/>
    <w:rsid w:val="0028217E"/>
    <w:rsid w:val="00282182"/>
    <w:rsid w:val="00282198"/>
    <w:rsid w:val="002821AC"/>
    <w:rsid w:val="002821EB"/>
    <w:rsid w:val="002821F0"/>
    <w:rsid w:val="00282227"/>
    <w:rsid w:val="0028224D"/>
    <w:rsid w:val="00282272"/>
    <w:rsid w:val="0028228F"/>
    <w:rsid w:val="002822A3"/>
    <w:rsid w:val="002822B1"/>
    <w:rsid w:val="002822FB"/>
    <w:rsid w:val="00282334"/>
    <w:rsid w:val="0028233D"/>
    <w:rsid w:val="00282347"/>
    <w:rsid w:val="00282364"/>
    <w:rsid w:val="00282375"/>
    <w:rsid w:val="0028237C"/>
    <w:rsid w:val="002823AF"/>
    <w:rsid w:val="002823CF"/>
    <w:rsid w:val="00282470"/>
    <w:rsid w:val="00282509"/>
    <w:rsid w:val="0028251E"/>
    <w:rsid w:val="00282521"/>
    <w:rsid w:val="0028255E"/>
    <w:rsid w:val="0028257B"/>
    <w:rsid w:val="00282591"/>
    <w:rsid w:val="002825AE"/>
    <w:rsid w:val="002825BB"/>
    <w:rsid w:val="00282628"/>
    <w:rsid w:val="00282644"/>
    <w:rsid w:val="0028269A"/>
    <w:rsid w:val="002826A7"/>
    <w:rsid w:val="002826BD"/>
    <w:rsid w:val="002826DD"/>
    <w:rsid w:val="002826E1"/>
    <w:rsid w:val="002826F2"/>
    <w:rsid w:val="00282731"/>
    <w:rsid w:val="00282732"/>
    <w:rsid w:val="00282741"/>
    <w:rsid w:val="00282750"/>
    <w:rsid w:val="00282759"/>
    <w:rsid w:val="00282789"/>
    <w:rsid w:val="002827D9"/>
    <w:rsid w:val="002827F1"/>
    <w:rsid w:val="00282825"/>
    <w:rsid w:val="00282853"/>
    <w:rsid w:val="00282864"/>
    <w:rsid w:val="002828AF"/>
    <w:rsid w:val="00282908"/>
    <w:rsid w:val="00282997"/>
    <w:rsid w:val="00282A23"/>
    <w:rsid w:val="00282AC6"/>
    <w:rsid w:val="00282AE3"/>
    <w:rsid w:val="00282B39"/>
    <w:rsid w:val="00282B4F"/>
    <w:rsid w:val="00282B82"/>
    <w:rsid w:val="00282BE6"/>
    <w:rsid w:val="00282C4F"/>
    <w:rsid w:val="00282C63"/>
    <w:rsid w:val="00282CA0"/>
    <w:rsid w:val="00282CA1"/>
    <w:rsid w:val="00282CA7"/>
    <w:rsid w:val="00282CB9"/>
    <w:rsid w:val="00282CEF"/>
    <w:rsid w:val="00282D21"/>
    <w:rsid w:val="00282D68"/>
    <w:rsid w:val="00282D74"/>
    <w:rsid w:val="00282D9A"/>
    <w:rsid w:val="00282DC0"/>
    <w:rsid w:val="00282DD1"/>
    <w:rsid w:val="00282DE7"/>
    <w:rsid w:val="00282E07"/>
    <w:rsid w:val="00282E08"/>
    <w:rsid w:val="00282E62"/>
    <w:rsid w:val="00282F02"/>
    <w:rsid w:val="00282F0C"/>
    <w:rsid w:val="00282F6C"/>
    <w:rsid w:val="00282FC8"/>
    <w:rsid w:val="0028303E"/>
    <w:rsid w:val="0028306F"/>
    <w:rsid w:val="00283091"/>
    <w:rsid w:val="002830C9"/>
    <w:rsid w:val="002830E3"/>
    <w:rsid w:val="002830FA"/>
    <w:rsid w:val="00283114"/>
    <w:rsid w:val="0028313B"/>
    <w:rsid w:val="002831D0"/>
    <w:rsid w:val="002831F2"/>
    <w:rsid w:val="00283331"/>
    <w:rsid w:val="00283366"/>
    <w:rsid w:val="0028337D"/>
    <w:rsid w:val="00283386"/>
    <w:rsid w:val="002833D7"/>
    <w:rsid w:val="0028347D"/>
    <w:rsid w:val="00283480"/>
    <w:rsid w:val="002834C8"/>
    <w:rsid w:val="002834DF"/>
    <w:rsid w:val="0028350A"/>
    <w:rsid w:val="00283532"/>
    <w:rsid w:val="00283560"/>
    <w:rsid w:val="002835B5"/>
    <w:rsid w:val="002835CE"/>
    <w:rsid w:val="00283650"/>
    <w:rsid w:val="00283683"/>
    <w:rsid w:val="002836E1"/>
    <w:rsid w:val="002836F3"/>
    <w:rsid w:val="0028370B"/>
    <w:rsid w:val="00283711"/>
    <w:rsid w:val="002837C6"/>
    <w:rsid w:val="002837E5"/>
    <w:rsid w:val="00283813"/>
    <w:rsid w:val="00283847"/>
    <w:rsid w:val="00283863"/>
    <w:rsid w:val="00283865"/>
    <w:rsid w:val="00283872"/>
    <w:rsid w:val="002838CC"/>
    <w:rsid w:val="00283923"/>
    <w:rsid w:val="00283952"/>
    <w:rsid w:val="00283955"/>
    <w:rsid w:val="0028395E"/>
    <w:rsid w:val="002839BE"/>
    <w:rsid w:val="00283A39"/>
    <w:rsid w:val="00283A71"/>
    <w:rsid w:val="00283B1E"/>
    <w:rsid w:val="00283B41"/>
    <w:rsid w:val="00283B4E"/>
    <w:rsid w:val="00283B5A"/>
    <w:rsid w:val="00283B83"/>
    <w:rsid w:val="00283B8D"/>
    <w:rsid w:val="00283BD2"/>
    <w:rsid w:val="00283BDA"/>
    <w:rsid w:val="00283C14"/>
    <w:rsid w:val="00283C5A"/>
    <w:rsid w:val="00283D10"/>
    <w:rsid w:val="00283D1F"/>
    <w:rsid w:val="00283D36"/>
    <w:rsid w:val="00283D4F"/>
    <w:rsid w:val="00283D92"/>
    <w:rsid w:val="00283D94"/>
    <w:rsid w:val="00283DCA"/>
    <w:rsid w:val="00283DEE"/>
    <w:rsid w:val="00283DFA"/>
    <w:rsid w:val="00283E8A"/>
    <w:rsid w:val="00283EA0"/>
    <w:rsid w:val="00283EB6"/>
    <w:rsid w:val="00283EB8"/>
    <w:rsid w:val="00283ECC"/>
    <w:rsid w:val="00283F0F"/>
    <w:rsid w:val="00283F1F"/>
    <w:rsid w:val="00283F67"/>
    <w:rsid w:val="00283F7B"/>
    <w:rsid w:val="00283FA1"/>
    <w:rsid w:val="00283FB5"/>
    <w:rsid w:val="00283FE2"/>
    <w:rsid w:val="0028406D"/>
    <w:rsid w:val="00284077"/>
    <w:rsid w:val="00284094"/>
    <w:rsid w:val="0028412B"/>
    <w:rsid w:val="002841B6"/>
    <w:rsid w:val="002841CB"/>
    <w:rsid w:val="0028422B"/>
    <w:rsid w:val="00284259"/>
    <w:rsid w:val="0028426C"/>
    <w:rsid w:val="0028426E"/>
    <w:rsid w:val="0028427F"/>
    <w:rsid w:val="002842AE"/>
    <w:rsid w:val="002842C2"/>
    <w:rsid w:val="002842E3"/>
    <w:rsid w:val="00284311"/>
    <w:rsid w:val="00284367"/>
    <w:rsid w:val="00284385"/>
    <w:rsid w:val="002843B1"/>
    <w:rsid w:val="002843B4"/>
    <w:rsid w:val="002843E0"/>
    <w:rsid w:val="00284403"/>
    <w:rsid w:val="0028445A"/>
    <w:rsid w:val="0028446F"/>
    <w:rsid w:val="002844AD"/>
    <w:rsid w:val="002844AF"/>
    <w:rsid w:val="002844B2"/>
    <w:rsid w:val="002844D6"/>
    <w:rsid w:val="002844E6"/>
    <w:rsid w:val="00284520"/>
    <w:rsid w:val="0028455C"/>
    <w:rsid w:val="00284686"/>
    <w:rsid w:val="002846F6"/>
    <w:rsid w:val="0028470A"/>
    <w:rsid w:val="0028471A"/>
    <w:rsid w:val="002847BC"/>
    <w:rsid w:val="002847E2"/>
    <w:rsid w:val="00284859"/>
    <w:rsid w:val="0028489E"/>
    <w:rsid w:val="002848DD"/>
    <w:rsid w:val="002848E6"/>
    <w:rsid w:val="002848F7"/>
    <w:rsid w:val="00284907"/>
    <w:rsid w:val="00284949"/>
    <w:rsid w:val="002849B8"/>
    <w:rsid w:val="002849BA"/>
    <w:rsid w:val="002849DF"/>
    <w:rsid w:val="002849EE"/>
    <w:rsid w:val="00284A3F"/>
    <w:rsid w:val="00284A90"/>
    <w:rsid w:val="00284B1C"/>
    <w:rsid w:val="00284B64"/>
    <w:rsid w:val="00284B8E"/>
    <w:rsid w:val="00284BD6"/>
    <w:rsid w:val="00284C1A"/>
    <w:rsid w:val="00284C23"/>
    <w:rsid w:val="00284C3E"/>
    <w:rsid w:val="00284C51"/>
    <w:rsid w:val="00284CC7"/>
    <w:rsid w:val="00284CD0"/>
    <w:rsid w:val="00284CDA"/>
    <w:rsid w:val="00284D5F"/>
    <w:rsid w:val="00284D66"/>
    <w:rsid w:val="00284D96"/>
    <w:rsid w:val="00284D9D"/>
    <w:rsid w:val="00284DF7"/>
    <w:rsid w:val="00284E4F"/>
    <w:rsid w:val="00284E67"/>
    <w:rsid w:val="00284EE8"/>
    <w:rsid w:val="00284F3C"/>
    <w:rsid w:val="00284FC6"/>
    <w:rsid w:val="00284FE1"/>
    <w:rsid w:val="00284FEE"/>
    <w:rsid w:val="00285047"/>
    <w:rsid w:val="00285068"/>
    <w:rsid w:val="002850D6"/>
    <w:rsid w:val="00285105"/>
    <w:rsid w:val="00285107"/>
    <w:rsid w:val="00285156"/>
    <w:rsid w:val="002851C3"/>
    <w:rsid w:val="00285207"/>
    <w:rsid w:val="00285216"/>
    <w:rsid w:val="0028521F"/>
    <w:rsid w:val="0028523F"/>
    <w:rsid w:val="00285249"/>
    <w:rsid w:val="0028525D"/>
    <w:rsid w:val="0028528F"/>
    <w:rsid w:val="002852ED"/>
    <w:rsid w:val="00285353"/>
    <w:rsid w:val="00285363"/>
    <w:rsid w:val="0028536B"/>
    <w:rsid w:val="00285377"/>
    <w:rsid w:val="002853B1"/>
    <w:rsid w:val="002853BA"/>
    <w:rsid w:val="002853E5"/>
    <w:rsid w:val="002853F0"/>
    <w:rsid w:val="00285401"/>
    <w:rsid w:val="0028541C"/>
    <w:rsid w:val="0028543C"/>
    <w:rsid w:val="00285447"/>
    <w:rsid w:val="002854FF"/>
    <w:rsid w:val="00285512"/>
    <w:rsid w:val="002855E8"/>
    <w:rsid w:val="0028563F"/>
    <w:rsid w:val="002856A7"/>
    <w:rsid w:val="002856C6"/>
    <w:rsid w:val="00285740"/>
    <w:rsid w:val="00285749"/>
    <w:rsid w:val="00285797"/>
    <w:rsid w:val="002857C9"/>
    <w:rsid w:val="002857DE"/>
    <w:rsid w:val="002857E7"/>
    <w:rsid w:val="002857ED"/>
    <w:rsid w:val="0028581D"/>
    <w:rsid w:val="00285821"/>
    <w:rsid w:val="00285831"/>
    <w:rsid w:val="00285853"/>
    <w:rsid w:val="00285938"/>
    <w:rsid w:val="00285987"/>
    <w:rsid w:val="002859B0"/>
    <w:rsid w:val="002859E1"/>
    <w:rsid w:val="002859E6"/>
    <w:rsid w:val="00285A44"/>
    <w:rsid w:val="00285A4B"/>
    <w:rsid w:val="00285A4F"/>
    <w:rsid w:val="00285ADF"/>
    <w:rsid w:val="00285AE3"/>
    <w:rsid w:val="00285AEF"/>
    <w:rsid w:val="00285C2D"/>
    <w:rsid w:val="00285C67"/>
    <w:rsid w:val="00285C69"/>
    <w:rsid w:val="00285D30"/>
    <w:rsid w:val="00285D3C"/>
    <w:rsid w:val="00285D54"/>
    <w:rsid w:val="00285DCB"/>
    <w:rsid w:val="00285DD4"/>
    <w:rsid w:val="00285DF2"/>
    <w:rsid w:val="00285DF4"/>
    <w:rsid w:val="00285E30"/>
    <w:rsid w:val="00285EB6"/>
    <w:rsid w:val="00285ED9"/>
    <w:rsid w:val="00285F09"/>
    <w:rsid w:val="00285F1D"/>
    <w:rsid w:val="00285F32"/>
    <w:rsid w:val="00285F58"/>
    <w:rsid w:val="00285F60"/>
    <w:rsid w:val="00285F8D"/>
    <w:rsid w:val="00285FDA"/>
    <w:rsid w:val="00285FDF"/>
    <w:rsid w:val="00285FEF"/>
    <w:rsid w:val="00285FF0"/>
    <w:rsid w:val="00286052"/>
    <w:rsid w:val="0028607C"/>
    <w:rsid w:val="00286092"/>
    <w:rsid w:val="002860A3"/>
    <w:rsid w:val="002860D9"/>
    <w:rsid w:val="00286169"/>
    <w:rsid w:val="00286178"/>
    <w:rsid w:val="002861A0"/>
    <w:rsid w:val="0028627D"/>
    <w:rsid w:val="00286292"/>
    <w:rsid w:val="00286299"/>
    <w:rsid w:val="002862C0"/>
    <w:rsid w:val="00286321"/>
    <w:rsid w:val="00286340"/>
    <w:rsid w:val="0028635A"/>
    <w:rsid w:val="0028635D"/>
    <w:rsid w:val="002863C6"/>
    <w:rsid w:val="002863E9"/>
    <w:rsid w:val="0028640D"/>
    <w:rsid w:val="0028645B"/>
    <w:rsid w:val="0028647C"/>
    <w:rsid w:val="002864F5"/>
    <w:rsid w:val="00286593"/>
    <w:rsid w:val="00286622"/>
    <w:rsid w:val="002866B9"/>
    <w:rsid w:val="00286704"/>
    <w:rsid w:val="00286714"/>
    <w:rsid w:val="0028671C"/>
    <w:rsid w:val="0028673C"/>
    <w:rsid w:val="002867D5"/>
    <w:rsid w:val="00286809"/>
    <w:rsid w:val="00286814"/>
    <w:rsid w:val="0028689C"/>
    <w:rsid w:val="002868AA"/>
    <w:rsid w:val="002868B3"/>
    <w:rsid w:val="00286918"/>
    <w:rsid w:val="0028692A"/>
    <w:rsid w:val="00286969"/>
    <w:rsid w:val="00286AA6"/>
    <w:rsid w:val="00286AA7"/>
    <w:rsid w:val="00286B54"/>
    <w:rsid w:val="00286B84"/>
    <w:rsid w:val="00286B9E"/>
    <w:rsid w:val="00286BBB"/>
    <w:rsid w:val="00286C48"/>
    <w:rsid w:val="00286C86"/>
    <w:rsid w:val="00286CB7"/>
    <w:rsid w:val="00286CE4"/>
    <w:rsid w:val="00286CF6"/>
    <w:rsid w:val="00286D35"/>
    <w:rsid w:val="00286D59"/>
    <w:rsid w:val="00286D5C"/>
    <w:rsid w:val="00286D61"/>
    <w:rsid w:val="00286E19"/>
    <w:rsid w:val="00286E20"/>
    <w:rsid w:val="00286E41"/>
    <w:rsid w:val="00286EF8"/>
    <w:rsid w:val="00286FB2"/>
    <w:rsid w:val="00286FBD"/>
    <w:rsid w:val="00286FCE"/>
    <w:rsid w:val="0028706F"/>
    <w:rsid w:val="0028707A"/>
    <w:rsid w:val="00287095"/>
    <w:rsid w:val="0028713B"/>
    <w:rsid w:val="00287176"/>
    <w:rsid w:val="002871B1"/>
    <w:rsid w:val="002871BC"/>
    <w:rsid w:val="0028721A"/>
    <w:rsid w:val="00287229"/>
    <w:rsid w:val="00287239"/>
    <w:rsid w:val="0028723D"/>
    <w:rsid w:val="0028724F"/>
    <w:rsid w:val="00287322"/>
    <w:rsid w:val="00287337"/>
    <w:rsid w:val="00287364"/>
    <w:rsid w:val="002873AB"/>
    <w:rsid w:val="002873BD"/>
    <w:rsid w:val="002873D7"/>
    <w:rsid w:val="00287400"/>
    <w:rsid w:val="0028744B"/>
    <w:rsid w:val="002874EA"/>
    <w:rsid w:val="002875AC"/>
    <w:rsid w:val="002875CD"/>
    <w:rsid w:val="002875EE"/>
    <w:rsid w:val="002876B1"/>
    <w:rsid w:val="002876CD"/>
    <w:rsid w:val="0028772C"/>
    <w:rsid w:val="00287786"/>
    <w:rsid w:val="002877B9"/>
    <w:rsid w:val="002877F5"/>
    <w:rsid w:val="00287879"/>
    <w:rsid w:val="002878CE"/>
    <w:rsid w:val="002878E5"/>
    <w:rsid w:val="00287951"/>
    <w:rsid w:val="0028795C"/>
    <w:rsid w:val="00287961"/>
    <w:rsid w:val="002879AD"/>
    <w:rsid w:val="002879E6"/>
    <w:rsid w:val="00287A02"/>
    <w:rsid w:val="00287A2B"/>
    <w:rsid w:val="00287A40"/>
    <w:rsid w:val="00287A91"/>
    <w:rsid w:val="00287B0E"/>
    <w:rsid w:val="00287B22"/>
    <w:rsid w:val="00287B8A"/>
    <w:rsid w:val="00287C83"/>
    <w:rsid w:val="00287CAD"/>
    <w:rsid w:val="00287D41"/>
    <w:rsid w:val="00287D51"/>
    <w:rsid w:val="00287E13"/>
    <w:rsid w:val="00287E67"/>
    <w:rsid w:val="00287EAA"/>
    <w:rsid w:val="00287EDD"/>
    <w:rsid w:val="00287F4D"/>
    <w:rsid w:val="00287F58"/>
    <w:rsid w:val="00287FB9"/>
    <w:rsid w:val="00287FDA"/>
    <w:rsid w:val="00287FF9"/>
    <w:rsid w:val="0028843C"/>
    <w:rsid w:val="00290011"/>
    <w:rsid w:val="00290047"/>
    <w:rsid w:val="00290058"/>
    <w:rsid w:val="00290091"/>
    <w:rsid w:val="002900C1"/>
    <w:rsid w:val="00290103"/>
    <w:rsid w:val="0029012A"/>
    <w:rsid w:val="0029014B"/>
    <w:rsid w:val="00290189"/>
    <w:rsid w:val="0029019E"/>
    <w:rsid w:val="002901C7"/>
    <w:rsid w:val="00290201"/>
    <w:rsid w:val="0029023A"/>
    <w:rsid w:val="0029028D"/>
    <w:rsid w:val="002902D3"/>
    <w:rsid w:val="00290341"/>
    <w:rsid w:val="0029035A"/>
    <w:rsid w:val="002903E6"/>
    <w:rsid w:val="002903EA"/>
    <w:rsid w:val="00290408"/>
    <w:rsid w:val="00290462"/>
    <w:rsid w:val="00290477"/>
    <w:rsid w:val="002904AF"/>
    <w:rsid w:val="002904B7"/>
    <w:rsid w:val="0029052D"/>
    <w:rsid w:val="00290536"/>
    <w:rsid w:val="00290590"/>
    <w:rsid w:val="002905AB"/>
    <w:rsid w:val="002905D3"/>
    <w:rsid w:val="00290625"/>
    <w:rsid w:val="00290637"/>
    <w:rsid w:val="0029063F"/>
    <w:rsid w:val="002906CE"/>
    <w:rsid w:val="002906F4"/>
    <w:rsid w:val="00290704"/>
    <w:rsid w:val="00290722"/>
    <w:rsid w:val="0029072E"/>
    <w:rsid w:val="002907AA"/>
    <w:rsid w:val="002907C4"/>
    <w:rsid w:val="002907EF"/>
    <w:rsid w:val="00290881"/>
    <w:rsid w:val="00290882"/>
    <w:rsid w:val="00290884"/>
    <w:rsid w:val="002908D4"/>
    <w:rsid w:val="002908FC"/>
    <w:rsid w:val="00290921"/>
    <w:rsid w:val="0029092A"/>
    <w:rsid w:val="002909C1"/>
    <w:rsid w:val="00290A65"/>
    <w:rsid w:val="00290A69"/>
    <w:rsid w:val="00290B0A"/>
    <w:rsid w:val="00290B1F"/>
    <w:rsid w:val="00290B22"/>
    <w:rsid w:val="00290B4A"/>
    <w:rsid w:val="00290BB3"/>
    <w:rsid w:val="00290BD4"/>
    <w:rsid w:val="00290C18"/>
    <w:rsid w:val="00290C6B"/>
    <w:rsid w:val="00290CA6"/>
    <w:rsid w:val="00290CB8"/>
    <w:rsid w:val="00290D66"/>
    <w:rsid w:val="00290DE2"/>
    <w:rsid w:val="00290DE5"/>
    <w:rsid w:val="00290E06"/>
    <w:rsid w:val="00290E26"/>
    <w:rsid w:val="00290EE7"/>
    <w:rsid w:val="00290F34"/>
    <w:rsid w:val="00290F8E"/>
    <w:rsid w:val="00290FBE"/>
    <w:rsid w:val="00290FBF"/>
    <w:rsid w:val="00290FCB"/>
    <w:rsid w:val="00290FDD"/>
    <w:rsid w:val="00291006"/>
    <w:rsid w:val="0029110F"/>
    <w:rsid w:val="00291160"/>
    <w:rsid w:val="00291168"/>
    <w:rsid w:val="0029129F"/>
    <w:rsid w:val="00291352"/>
    <w:rsid w:val="00291359"/>
    <w:rsid w:val="00291361"/>
    <w:rsid w:val="00291410"/>
    <w:rsid w:val="0029143C"/>
    <w:rsid w:val="00291455"/>
    <w:rsid w:val="002914B2"/>
    <w:rsid w:val="002914BB"/>
    <w:rsid w:val="002914BF"/>
    <w:rsid w:val="002914C9"/>
    <w:rsid w:val="002914D7"/>
    <w:rsid w:val="002914F3"/>
    <w:rsid w:val="00291517"/>
    <w:rsid w:val="00291560"/>
    <w:rsid w:val="00291589"/>
    <w:rsid w:val="002915A2"/>
    <w:rsid w:val="0029160A"/>
    <w:rsid w:val="00291631"/>
    <w:rsid w:val="002916C3"/>
    <w:rsid w:val="002916CA"/>
    <w:rsid w:val="002916CF"/>
    <w:rsid w:val="00291716"/>
    <w:rsid w:val="0029177A"/>
    <w:rsid w:val="00291780"/>
    <w:rsid w:val="002917A9"/>
    <w:rsid w:val="002917AA"/>
    <w:rsid w:val="002917AD"/>
    <w:rsid w:val="00291860"/>
    <w:rsid w:val="002918D3"/>
    <w:rsid w:val="0029195E"/>
    <w:rsid w:val="002919DB"/>
    <w:rsid w:val="00291A09"/>
    <w:rsid w:val="00291A34"/>
    <w:rsid w:val="00291A89"/>
    <w:rsid w:val="00291AA9"/>
    <w:rsid w:val="00291AF1"/>
    <w:rsid w:val="00291B0B"/>
    <w:rsid w:val="00291BD0"/>
    <w:rsid w:val="00291BFD"/>
    <w:rsid w:val="00291CA2"/>
    <w:rsid w:val="00291CB0"/>
    <w:rsid w:val="00291CCB"/>
    <w:rsid w:val="00291CE6"/>
    <w:rsid w:val="00291D33"/>
    <w:rsid w:val="00291D70"/>
    <w:rsid w:val="00291D9C"/>
    <w:rsid w:val="00291E00"/>
    <w:rsid w:val="00291E2C"/>
    <w:rsid w:val="00291E4E"/>
    <w:rsid w:val="00291E60"/>
    <w:rsid w:val="00291E77"/>
    <w:rsid w:val="00291ECB"/>
    <w:rsid w:val="00291F62"/>
    <w:rsid w:val="00291FC7"/>
    <w:rsid w:val="00291FE3"/>
    <w:rsid w:val="00292077"/>
    <w:rsid w:val="002920EC"/>
    <w:rsid w:val="00292121"/>
    <w:rsid w:val="0029213E"/>
    <w:rsid w:val="00292153"/>
    <w:rsid w:val="00292159"/>
    <w:rsid w:val="00292219"/>
    <w:rsid w:val="00292240"/>
    <w:rsid w:val="002922B9"/>
    <w:rsid w:val="002922C9"/>
    <w:rsid w:val="00292306"/>
    <w:rsid w:val="0029230F"/>
    <w:rsid w:val="00292326"/>
    <w:rsid w:val="00292399"/>
    <w:rsid w:val="002923A3"/>
    <w:rsid w:val="002923B0"/>
    <w:rsid w:val="002923BC"/>
    <w:rsid w:val="002923E8"/>
    <w:rsid w:val="002923FE"/>
    <w:rsid w:val="00292441"/>
    <w:rsid w:val="00292473"/>
    <w:rsid w:val="00292495"/>
    <w:rsid w:val="002924A6"/>
    <w:rsid w:val="002924C4"/>
    <w:rsid w:val="002924C6"/>
    <w:rsid w:val="00292515"/>
    <w:rsid w:val="002925C2"/>
    <w:rsid w:val="002925CF"/>
    <w:rsid w:val="00292639"/>
    <w:rsid w:val="0029264E"/>
    <w:rsid w:val="00292653"/>
    <w:rsid w:val="002926E0"/>
    <w:rsid w:val="002926EB"/>
    <w:rsid w:val="0029270A"/>
    <w:rsid w:val="00292740"/>
    <w:rsid w:val="002927B8"/>
    <w:rsid w:val="00292837"/>
    <w:rsid w:val="00292839"/>
    <w:rsid w:val="0029285D"/>
    <w:rsid w:val="00292891"/>
    <w:rsid w:val="002928AB"/>
    <w:rsid w:val="002928D8"/>
    <w:rsid w:val="00292974"/>
    <w:rsid w:val="0029298F"/>
    <w:rsid w:val="002929D9"/>
    <w:rsid w:val="002929E4"/>
    <w:rsid w:val="00292A28"/>
    <w:rsid w:val="00292A5A"/>
    <w:rsid w:val="00292A76"/>
    <w:rsid w:val="00292A99"/>
    <w:rsid w:val="00292ADE"/>
    <w:rsid w:val="00292AE2"/>
    <w:rsid w:val="00292AF3"/>
    <w:rsid w:val="00292B22"/>
    <w:rsid w:val="00292B4B"/>
    <w:rsid w:val="00292B7A"/>
    <w:rsid w:val="00292BD2"/>
    <w:rsid w:val="00292BE9"/>
    <w:rsid w:val="00292CBE"/>
    <w:rsid w:val="00292CEB"/>
    <w:rsid w:val="00292CFF"/>
    <w:rsid w:val="00292D26"/>
    <w:rsid w:val="00292E0C"/>
    <w:rsid w:val="00292E75"/>
    <w:rsid w:val="00292E78"/>
    <w:rsid w:val="00292E8D"/>
    <w:rsid w:val="00292EA9"/>
    <w:rsid w:val="00292F52"/>
    <w:rsid w:val="00292F8B"/>
    <w:rsid w:val="00292FD6"/>
    <w:rsid w:val="00293064"/>
    <w:rsid w:val="002930A1"/>
    <w:rsid w:val="002930EA"/>
    <w:rsid w:val="002930FD"/>
    <w:rsid w:val="00293125"/>
    <w:rsid w:val="002931EC"/>
    <w:rsid w:val="00293298"/>
    <w:rsid w:val="002932A2"/>
    <w:rsid w:val="002932FA"/>
    <w:rsid w:val="00293314"/>
    <w:rsid w:val="00293344"/>
    <w:rsid w:val="00293355"/>
    <w:rsid w:val="00293368"/>
    <w:rsid w:val="00293458"/>
    <w:rsid w:val="00293474"/>
    <w:rsid w:val="0029347E"/>
    <w:rsid w:val="00293506"/>
    <w:rsid w:val="00293510"/>
    <w:rsid w:val="0029353D"/>
    <w:rsid w:val="00293548"/>
    <w:rsid w:val="0029356B"/>
    <w:rsid w:val="00293587"/>
    <w:rsid w:val="002935AE"/>
    <w:rsid w:val="002935DC"/>
    <w:rsid w:val="002935E2"/>
    <w:rsid w:val="00293664"/>
    <w:rsid w:val="0029367E"/>
    <w:rsid w:val="002936A9"/>
    <w:rsid w:val="002936B3"/>
    <w:rsid w:val="0029372A"/>
    <w:rsid w:val="00293738"/>
    <w:rsid w:val="002937A2"/>
    <w:rsid w:val="0029381B"/>
    <w:rsid w:val="00293877"/>
    <w:rsid w:val="00293892"/>
    <w:rsid w:val="00293898"/>
    <w:rsid w:val="002938AD"/>
    <w:rsid w:val="00293926"/>
    <w:rsid w:val="00293953"/>
    <w:rsid w:val="00293984"/>
    <w:rsid w:val="00293A0E"/>
    <w:rsid w:val="00293AA7"/>
    <w:rsid w:val="00293AC9"/>
    <w:rsid w:val="00293AF0"/>
    <w:rsid w:val="00293B2F"/>
    <w:rsid w:val="00293B73"/>
    <w:rsid w:val="00293B83"/>
    <w:rsid w:val="00293BA3"/>
    <w:rsid w:val="00293BA8"/>
    <w:rsid w:val="00293BAA"/>
    <w:rsid w:val="00293BB9"/>
    <w:rsid w:val="00293BE0"/>
    <w:rsid w:val="00293BE1"/>
    <w:rsid w:val="00293C75"/>
    <w:rsid w:val="00293CB1"/>
    <w:rsid w:val="00293CE8"/>
    <w:rsid w:val="00293D23"/>
    <w:rsid w:val="00293D77"/>
    <w:rsid w:val="00293D8F"/>
    <w:rsid w:val="00293DF2"/>
    <w:rsid w:val="00293E0D"/>
    <w:rsid w:val="00293E3F"/>
    <w:rsid w:val="00293E86"/>
    <w:rsid w:val="00293E8B"/>
    <w:rsid w:val="00293ED4"/>
    <w:rsid w:val="00293EE5"/>
    <w:rsid w:val="00293EF8"/>
    <w:rsid w:val="00293F0C"/>
    <w:rsid w:val="00293F61"/>
    <w:rsid w:val="00293F9A"/>
    <w:rsid w:val="00294054"/>
    <w:rsid w:val="00294091"/>
    <w:rsid w:val="00294093"/>
    <w:rsid w:val="002940AF"/>
    <w:rsid w:val="00294103"/>
    <w:rsid w:val="00294104"/>
    <w:rsid w:val="00294132"/>
    <w:rsid w:val="0029413D"/>
    <w:rsid w:val="00294148"/>
    <w:rsid w:val="00294152"/>
    <w:rsid w:val="0029421D"/>
    <w:rsid w:val="0029422E"/>
    <w:rsid w:val="0029423D"/>
    <w:rsid w:val="0029426A"/>
    <w:rsid w:val="00294283"/>
    <w:rsid w:val="00294288"/>
    <w:rsid w:val="00294299"/>
    <w:rsid w:val="0029429E"/>
    <w:rsid w:val="002942A8"/>
    <w:rsid w:val="00294347"/>
    <w:rsid w:val="00294351"/>
    <w:rsid w:val="0029435C"/>
    <w:rsid w:val="00294379"/>
    <w:rsid w:val="00294391"/>
    <w:rsid w:val="002943E0"/>
    <w:rsid w:val="0029441A"/>
    <w:rsid w:val="00294426"/>
    <w:rsid w:val="00294431"/>
    <w:rsid w:val="00294452"/>
    <w:rsid w:val="00294456"/>
    <w:rsid w:val="00294487"/>
    <w:rsid w:val="002944D1"/>
    <w:rsid w:val="002944D5"/>
    <w:rsid w:val="002944E7"/>
    <w:rsid w:val="002945D6"/>
    <w:rsid w:val="002945DB"/>
    <w:rsid w:val="002945E9"/>
    <w:rsid w:val="0029463C"/>
    <w:rsid w:val="00294667"/>
    <w:rsid w:val="00294726"/>
    <w:rsid w:val="0029479E"/>
    <w:rsid w:val="002947B5"/>
    <w:rsid w:val="002947C5"/>
    <w:rsid w:val="002947CC"/>
    <w:rsid w:val="00294819"/>
    <w:rsid w:val="00294841"/>
    <w:rsid w:val="00294897"/>
    <w:rsid w:val="002948D2"/>
    <w:rsid w:val="002948E9"/>
    <w:rsid w:val="002948FE"/>
    <w:rsid w:val="00294930"/>
    <w:rsid w:val="00294955"/>
    <w:rsid w:val="002949C8"/>
    <w:rsid w:val="002949E8"/>
    <w:rsid w:val="002949FE"/>
    <w:rsid w:val="00294A11"/>
    <w:rsid w:val="00294AB5"/>
    <w:rsid w:val="00294ADE"/>
    <w:rsid w:val="00294B1A"/>
    <w:rsid w:val="00294B59"/>
    <w:rsid w:val="00294B8B"/>
    <w:rsid w:val="00294C3B"/>
    <w:rsid w:val="00294CA3"/>
    <w:rsid w:val="00294CCB"/>
    <w:rsid w:val="00294D10"/>
    <w:rsid w:val="00294D6C"/>
    <w:rsid w:val="00294D99"/>
    <w:rsid w:val="00294DBA"/>
    <w:rsid w:val="00294DD3"/>
    <w:rsid w:val="00294DF9"/>
    <w:rsid w:val="00294DFB"/>
    <w:rsid w:val="00294E1B"/>
    <w:rsid w:val="00294E1D"/>
    <w:rsid w:val="00294E8B"/>
    <w:rsid w:val="00294EA0"/>
    <w:rsid w:val="00294EC9"/>
    <w:rsid w:val="00294F6F"/>
    <w:rsid w:val="00294FC4"/>
    <w:rsid w:val="0029500F"/>
    <w:rsid w:val="00295057"/>
    <w:rsid w:val="002950FD"/>
    <w:rsid w:val="0029510F"/>
    <w:rsid w:val="00295126"/>
    <w:rsid w:val="00295175"/>
    <w:rsid w:val="00295177"/>
    <w:rsid w:val="002951C2"/>
    <w:rsid w:val="002951EA"/>
    <w:rsid w:val="0029520E"/>
    <w:rsid w:val="0029521C"/>
    <w:rsid w:val="002952A9"/>
    <w:rsid w:val="002952C5"/>
    <w:rsid w:val="00295321"/>
    <w:rsid w:val="0029533E"/>
    <w:rsid w:val="00295369"/>
    <w:rsid w:val="0029538C"/>
    <w:rsid w:val="002953F6"/>
    <w:rsid w:val="00295422"/>
    <w:rsid w:val="0029542D"/>
    <w:rsid w:val="0029544E"/>
    <w:rsid w:val="00295507"/>
    <w:rsid w:val="002955D1"/>
    <w:rsid w:val="002955EA"/>
    <w:rsid w:val="002955FB"/>
    <w:rsid w:val="00295610"/>
    <w:rsid w:val="00295617"/>
    <w:rsid w:val="00295642"/>
    <w:rsid w:val="00295651"/>
    <w:rsid w:val="00295662"/>
    <w:rsid w:val="0029568B"/>
    <w:rsid w:val="002956C4"/>
    <w:rsid w:val="002958C2"/>
    <w:rsid w:val="002958C6"/>
    <w:rsid w:val="002958E0"/>
    <w:rsid w:val="002958EB"/>
    <w:rsid w:val="00295903"/>
    <w:rsid w:val="00295907"/>
    <w:rsid w:val="0029592C"/>
    <w:rsid w:val="0029593F"/>
    <w:rsid w:val="00295944"/>
    <w:rsid w:val="0029597D"/>
    <w:rsid w:val="0029598E"/>
    <w:rsid w:val="002959A4"/>
    <w:rsid w:val="002959AA"/>
    <w:rsid w:val="002959AF"/>
    <w:rsid w:val="002959D8"/>
    <w:rsid w:val="002959EE"/>
    <w:rsid w:val="00295A71"/>
    <w:rsid w:val="00295B2F"/>
    <w:rsid w:val="00295B6B"/>
    <w:rsid w:val="00295BE3"/>
    <w:rsid w:val="00295BE8"/>
    <w:rsid w:val="00295C1A"/>
    <w:rsid w:val="00295C1E"/>
    <w:rsid w:val="00295C24"/>
    <w:rsid w:val="00295C33"/>
    <w:rsid w:val="00295C39"/>
    <w:rsid w:val="00295C49"/>
    <w:rsid w:val="00295C74"/>
    <w:rsid w:val="00295C9B"/>
    <w:rsid w:val="00295CA6"/>
    <w:rsid w:val="00295CED"/>
    <w:rsid w:val="00295D0C"/>
    <w:rsid w:val="00295D13"/>
    <w:rsid w:val="00295D5A"/>
    <w:rsid w:val="00295D9E"/>
    <w:rsid w:val="00295DF9"/>
    <w:rsid w:val="00295E3D"/>
    <w:rsid w:val="00295E45"/>
    <w:rsid w:val="00295E5E"/>
    <w:rsid w:val="00295E77"/>
    <w:rsid w:val="00295EA0"/>
    <w:rsid w:val="00295EC2"/>
    <w:rsid w:val="00295F17"/>
    <w:rsid w:val="00295F30"/>
    <w:rsid w:val="00295F73"/>
    <w:rsid w:val="00295FA2"/>
    <w:rsid w:val="002960C1"/>
    <w:rsid w:val="00296160"/>
    <w:rsid w:val="002961C1"/>
    <w:rsid w:val="00296218"/>
    <w:rsid w:val="00296225"/>
    <w:rsid w:val="0029622B"/>
    <w:rsid w:val="00296253"/>
    <w:rsid w:val="00296255"/>
    <w:rsid w:val="0029626D"/>
    <w:rsid w:val="002962D3"/>
    <w:rsid w:val="002962D5"/>
    <w:rsid w:val="002962E3"/>
    <w:rsid w:val="00296337"/>
    <w:rsid w:val="0029635B"/>
    <w:rsid w:val="00296362"/>
    <w:rsid w:val="00296371"/>
    <w:rsid w:val="002963A0"/>
    <w:rsid w:val="002963DA"/>
    <w:rsid w:val="0029643E"/>
    <w:rsid w:val="00296447"/>
    <w:rsid w:val="00296451"/>
    <w:rsid w:val="0029645C"/>
    <w:rsid w:val="00296611"/>
    <w:rsid w:val="00296690"/>
    <w:rsid w:val="0029672D"/>
    <w:rsid w:val="0029675A"/>
    <w:rsid w:val="0029676D"/>
    <w:rsid w:val="0029678A"/>
    <w:rsid w:val="002967AD"/>
    <w:rsid w:val="002967D1"/>
    <w:rsid w:val="0029686F"/>
    <w:rsid w:val="00296891"/>
    <w:rsid w:val="002968B9"/>
    <w:rsid w:val="002968D8"/>
    <w:rsid w:val="00296900"/>
    <w:rsid w:val="00296957"/>
    <w:rsid w:val="0029696B"/>
    <w:rsid w:val="0029697E"/>
    <w:rsid w:val="0029697F"/>
    <w:rsid w:val="002969F8"/>
    <w:rsid w:val="002969FD"/>
    <w:rsid w:val="00296A0D"/>
    <w:rsid w:val="00296A0F"/>
    <w:rsid w:val="00296A86"/>
    <w:rsid w:val="00296ABC"/>
    <w:rsid w:val="00296B15"/>
    <w:rsid w:val="00296B25"/>
    <w:rsid w:val="00296B52"/>
    <w:rsid w:val="00296B9E"/>
    <w:rsid w:val="00296C92"/>
    <w:rsid w:val="00296CA2"/>
    <w:rsid w:val="00296CAA"/>
    <w:rsid w:val="00296CD5"/>
    <w:rsid w:val="00296CE3"/>
    <w:rsid w:val="00296CFE"/>
    <w:rsid w:val="00296D28"/>
    <w:rsid w:val="00296D2F"/>
    <w:rsid w:val="00296D7E"/>
    <w:rsid w:val="00296E19"/>
    <w:rsid w:val="00296E27"/>
    <w:rsid w:val="00296E39"/>
    <w:rsid w:val="00296E47"/>
    <w:rsid w:val="00296E4C"/>
    <w:rsid w:val="00296E61"/>
    <w:rsid w:val="00296E62"/>
    <w:rsid w:val="00296E88"/>
    <w:rsid w:val="00296EA6"/>
    <w:rsid w:val="00296EAE"/>
    <w:rsid w:val="00296F07"/>
    <w:rsid w:val="00296F1B"/>
    <w:rsid w:val="00296F43"/>
    <w:rsid w:val="00296F63"/>
    <w:rsid w:val="00296F6D"/>
    <w:rsid w:val="00296FB1"/>
    <w:rsid w:val="00296FB6"/>
    <w:rsid w:val="00297002"/>
    <w:rsid w:val="00297008"/>
    <w:rsid w:val="0029702F"/>
    <w:rsid w:val="0029705F"/>
    <w:rsid w:val="00297084"/>
    <w:rsid w:val="0029708B"/>
    <w:rsid w:val="0029709F"/>
    <w:rsid w:val="002970AD"/>
    <w:rsid w:val="002970B6"/>
    <w:rsid w:val="00297120"/>
    <w:rsid w:val="00297171"/>
    <w:rsid w:val="00297182"/>
    <w:rsid w:val="002971F8"/>
    <w:rsid w:val="0029721D"/>
    <w:rsid w:val="00297235"/>
    <w:rsid w:val="002972D0"/>
    <w:rsid w:val="002972D7"/>
    <w:rsid w:val="002972E3"/>
    <w:rsid w:val="00297373"/>
    <w:rsid w:val="00297410"/>
    <w:rsid w:val="00297437"/>
    <w:rsid w:val="00297447"/>
    <w:rsid w:val="002974A0"/>
    <w:rsid w:val="002974C3"/>
    <w:rsid w:val="002974F4"/>
    <w:rsid w:val="00297507"/>
    <w:rsid w:val="00297517"/>
    <w:rsid w:val="00297534"/>
    <w:rsid w:val="002975DE"/>
    <w:rsid w:val="00297626"/>
    <w:rsid w:val="002976C9"/>
    <w:rsid w:val="002976D2"/>
    <w:rsid w:val="002976FE"/>
    <w:rsid w:val="0029772C"/>
    <w:rsid w:val="0029775B"/>
    <w:rsid w:val="00297785"/>
    <w:rsid w:val="002977D4"/>
    <w:rsid w:val="00297810"/>
    <w:rsid w:val="0029782B"/>
    <w:rsid w:val="00297883"/>
    <w:rsid w:val="002978DC"/>
    <w:rsid w:val="00297903"/>
    <w:rsid w:val="00297904"/>
    <w:rsid w:val="0029790D"/>
    <w:rsid w:val="00297915"/>
    <w:rsid w:val="00297969"/>
    <w:rsid w:val="00297999"/>
    <w:rsid w:val="002979AA"/>
    <w:rsid w:val="002979C9"/>
    <w:rsid w:val="002979EA"/>
    <w:rsid w:val="00297A28"/>
    <w:rsid w:val="00297A35"/>
    <w:rsid w:val="00297AB0"/>
    <w:rsid w:val="00297AE6"/>
    <w:rsid w:val="00297AF7"/>
    <w:rsid w:val="00297B0B"/>
    <w:rsid w:val="00297B24"/>
    <w:rsid w:val="00297B41"/>
    <w:rsid w:val="00297B5F"/>
    <w:rsid w:val="00297B95"/>
    <w:rsid w:val="00297C11"/>
    <w:rsid w:val="00297C18"/>
    <w:rsid w:val="00297C27"/>
    <w:rsid w:val="00297C28"/>
    <w:rsid w:val="00297C8D"/>
    <w:rsid w:val="00297CFB"/>
    <w:rsid w:val="00297D2E"/>
    <w:rsid w:val="00297D32"/>
    <w:rsid w:val="00297D65"/>
    <w:rsid w:val="00297D9B"/>
    <w:rsid w:val="00297DF2"/>
    <w:rsid w:val="00297E65"/>
    <w:rsid w:val="00297ECA"/>
    <w:rsid w:val="00297ED8"/>
    <w:rsid w:val="00297F13"/>
    <w:rsid w:val="00297F83"/>
    <w:rsid w:val="00297F86"/>
    <w:rsid w:val="00297F8F"/>
    <w:rsid w:val="00297FA2"/>
    <w:rsid w:val="00297FA3"/>
    <w:rsid w:val="00297FAB"/>
    <w:rsid w:val="00297FCB"/>
    <w:rsid w:val="00297FD5"/>
    <w:rsid w:val="0029D071"/>
    <w:rsid w:val="0029ED10"/>
    <w:rsid w:val="002A00A1"/>
    <w:rsid w:val="002A00CF"/>
    <w:rsid w:val="002A0114"/>
    <w:rsid w:val="002A013C"/>
    <w:rsid w:val="002A013E"/>
    <w:rsid w:val="002A014C"/>
    <w:rsid w:val="002A0184"/>
    <w:rsid w:val="002A0190"/>
    <w:rsid w:val="002A01BC"/>
    <w:rsid w:val="002A01C2"/>
    <w:rsid w:val="002A01FF"/>
    <w:rsid w:val="002A0223"/>
    <w:rsid w:val="002A023D"/>
    <w:rsid w:val="002A0268"/>
    <w:rsid w:val="002A0276"/>
    <w:rsid w:val="002A029A"/>
    <w:rsid w:val="002A030A"/>
    <w:rsid w:val="002A03A7"/>
    <w:rsid w:val="002A03BF"/>
    <w:rsid w:val="002A03DC"/>
    <w:rsid w:val="002A03F6"/>
    <w:rsid w:val="002A0466"/>
    <w:rsid w:val="002A04D8"/>
    <w:rsid w:val="002A0560"/>
    <w:rsid w:val="002A05C2"/>
    <w:rsid w:val="002A063D"/>
    <w:rsid w:val="002A06D3"/>
    <w:rsid w:val="002A06EF"/>
    <w:rsid w:val="002A077F"/>
    <w:rsid w:val="002A07A6"/>
    <w:rsid w:val="002A07A9"/>
    <w:rsid w:val="002A07E3"/>
    <w:rsid w:val="002A07EF"/>
    <w:rsid w:val="002A0806"/>
    <w:rsid w:val="002A0853"/>
    <w:rsid w:val="002A0861"/>
    <w:rsid w:val="002A086F"/>
    <w:rsid w:val="002A0873"/>
    <w:rsid w:val="002A08A9"/>
    <w:rsid w:val="002A08B8"/>
    <w:rsid w:val="002A08BB"/>
    <w:rsid w:val="002A08DF"/>
    <w:rsid w:val="002A08E4"/>
    <w:rsid w:val="002A0907"/>
    <w:rsid w:val="002A092C"/>
    <w:rsid w:val="002A0935"/>
    <w:rsid w:val="002A0989"/>
    <w:rsid w:val="002A09B7"/>
    <w:rsid w:val="002A09C8"/>
    <w:rsid w:val="002A09EC"/>
    <w:rsid w:val="002A0A21"/>
    <w:rsid w:val="002A0A22"/>
    <w:rsid w:val="002A0A2C"/>
    <w:rsid w:val="002A0AAA"/>
    <w:rsid w:val="002A0ADE"/>
    <w:rsid w:val="002A0AF1"/>
    <w:rsid w:val="002A0AFD"/>
    <w:rsid w:val="002A0B84"/>
    <w:rsid w:val="002A0B9E"/>
    <w:rsid w:val="002A0C2D"/>
    <w:rsid w:val="002A0C70"/>
    <w:rsid w:val="002A0CA9"/>
    <w:rsid w:val="002A0CAD"/>
    <w:rsid w:val="002A0CB1"/>
    <w:rsid w:val="002A0D2D"/>
    <w:rsid w:val="002A0D60"/>
    <w:rsid w:val="002A0DF2"/>
    <w:rsid w:val="002A0E05"/>
    <w:rsid w:val="002A0E1D"/>
    <w:rsid w:val="002A0E8E"/>
    <w:rsid w:val="002A0ED1"/>
    <w:rsid w:val="002A0EE9"/>
    <w:rsid w:val="002A0EF5"/>
    <w:rsid w:val="002A0F0E"/>
    <w:rsid w:val="002A0F1B"/>
    <w:rsid w:val="002A0F1E"/>
    <w:rsid w:val="002A0F86"/>
    <w:rsid w:val="002A0FE5"/>
    <w:rsid w:val="002A100A"/>
    <w:rsid w:val="002A103C"/>
    <w:rsid w:val="002A104B"/>
    <w:rsid w:val="002A104C"/>
    <w:rsid w:val="002A1076"/>
    <w:rsid w:val="002A10C8"/>
    <w:rsid w:val="002A1179"/>
    <w:rsid w:val="002A119B"/>
    <w:rsid w:val="002A120D"/>
    <w:rsid w:val="002A1223"/>
    <w:rsid w:val="002A1249"/>
    <w:rsid w:val="002A124F"/>
    <w:rsid w:val="002A1253"/>
    <w:rsid w:val="002A1262"/>
    <w:rsid w:val="002A127E"/>
    <w:rsid w:val="002A12E9"/>
    <w:rsid w:val="002A1361"/>
    <w:rsid w:val="002A136E"/>
    <w:rsid w:val="002A1381"/>
    <w:rsid w:val="002A13D4"/>
    <w:rsid w:val="002A1414"/>
    <w:rsid w:val="002A1422"/>
    <w:rsid w:val="002A1454"/>
    <w:rsid w:val="002A1480"/>
    <w:rsid w:val="002A14A9"/>
    <w:rsid w:val="002A14B3"/>
    <w:rsid w:val="002A14BD"/>
    <w:rsid w:val="002A14D1"/>
    <w:rsid w:val="002A1522"/>
    <w:rsid w:val="002A1568"/>
    <w:rsid w:val="002A156C"/>
    <w:rsid w:val="002A15A3"/>
    <w:rsid w:val="002A15B2"/>
    <w:rsid w:val="002A15C1"/>
    <w:rsid w:val="002A161C"/>
    <w:rsid w:val="002A1642"/>
    <w:rsid w:val="002A17A1"/>
    <w:rsid w:val="002A17A7"/>
    <w:rsid w:val="002A17A9"/>
    <w:rsid w:val="002A17B3"/>
    <w:rsid w:val="002A17C2"/>
    <w:rsid w:val="002A1867"/>
    <w:rsid w:val="002A18B9"/>
    <w:rsid w:val="002A18E8"/>
    <w:rsid w:val="002A190B"/>
    <w:rsid w:val="002A1939"/>
    <w:rsid w:val="002A193E"/>
    <w:rsid w:val="002A194B"/>
    <w:rsid w:val="002A1A01"/>
    <w:rsid w:val="002A1A19"/>
    <w:rsid w:val="002A1A48"/>
    <w:rsid w:val="002A1AA5"/>
    <w:rsid w:val="002A1AD3"/>
    <w:rsid w:val="002A1ADA"/>
    <w:rsid w:val="002A1AE3"/>
    <w:rsid w:val="002A1B0B"/>
    <w:rsid w:val="002A1B24"/>
    <w:rsid w:val="002A1B48"/>
    <w:rsid w:val="002A1B52"/>
    <w:rsid w:val="002A1B9E"/>
    <w:rsid w:val="002A1BDC"/>
    <w:rsid w:val="002A1C08"/>
    <w:rsid w:val="002A1C2D"/>
    <w:rsid w:val="002A1C60"/>
    <w:rsid w:val="002A1CF1"/>
    <w:rsid w:val="002A1D44"/>
    <w:rsid w:val="002A1D5E"/>
    <w:rsid w:val="002A1DBD"/>
    <w:rsid w:val="002A1E0A"/>
    <w:rsid w:val="002A1E44"/>
    <w:rsid w:val="002A1E9B"/>
    <w:rsid w:val="002A1EAC"/>
    <w:rsid w:val="002A1F0D"/>
    <w:rsid w:val="002A201F"/>
    <w:rsid w:val="002A203D"/>
    <w:rsid w:val="002A207A"/>
    <w:rsid w:val="002A20AC"/>
    <w:rsid w:val="002A20B1"/>
    <w:rsid w:val="002A20BD"/>
    <w:rsid w:val="002A2120"/>
    <w:rsid w:val="002A225E"/>
    <w:rsid w:val="002A227E"/>
    <w:rsid w:val="002A22B1"/>
    <w:rsid w:val="002A2308"/>
    <w:rsid w:val="002A2327"/>
    <w:rsid w:val="002A2333"/>
    <w:rsid w:val="002A237D"/>
    <w:rsid w:val="002A23AC"/>
    <w:rsid w:val="002A2442"/>
    <w:rsid w:val="002A2533"/>
    <w:rsid w:val="002A2549"/>
    <w:rsid w:val="002A2556"/>
    <w:rsid w:val="002A2572"/>
    <w:rsid w:val="002A25AF"/>
    <w:rsid w:val="002A25CF"/>
    <w:rsid w:val="002A2614"/>
    <w:rsid w:val="002A262F"/>
    <w:rsid w:val="002A2682"/>
    <w:rsid w:val="002A2747"/>
    <w:rsid w:val="002A277F"/>
    <w:rsid w:val="002A2783"/>
    <w:rsid w:val="002A27A3"/>
    <w:rsid w:val="002A27E0"/>
    <w:rsid w:val="002A282A"/>
    <w:rsid w:val="002A28ED"/>
    <w:rsid w:val="002A2905"/>
    <w:rsid w:val="002A295E"/>
    <w:rsid w:val="002A295F"/>
    <w:rsid w:val="002A298E"/>
    <w:rsid w:val="002A299A"/>
    <w:rsid w:val="002A29AB"/>
    <w:rsid w:val="002A29AC"/>
    <w:rsid w:val="002A2A64"/>
    <w:rsid w:val="002A2AC5"/>
    <w:rsid w:val="002A2AD3"/>
    <w:rsid w:val="002A2ADA"/>
    <w:rsid w:val="002A2ADC"/>
    <w:rsid w:val="002A2B14"/>
    <w:rsid w:val="002A2B3B"/>
    <w:rsid w:val="002A2B59"/>
    <w:rsid w:val="002A2B77"/>
    <w:rsid w:val="002A2B93"/>
    <w:rsid w:val="002A2B94"/>
    <w:rsid w:val="002A2BE9"/>
    <w:rsid w:val="002A2BF7"/>
    <w:rsid w:val="002A2C02"/>
    <w:rsid w:val="002A2C5A"/>
    <w:rsid w:val="002A2CA2"/>
    <w:rsid w:val="002A2CEB"/>
    <w:rsid w:val="002A2D60"/>
    <w:rsid w:val="002A2DB4"/>
    <w:rsid w:val="002A2DC1"/>
    <w:rsid w:val="002A2DDB"/>
    <w:rsid w:val="002A2DED"/>
    <w:rsid w:val="002A2E66"/>
    <w:rsid w:val="002A2E7C"/>
    <w:rsid w:val="002A2EC1"/>
    <w:rsid w:val="002A2F25"/>
    <w:rsid w:val="002A2F67"/>
    <w:rsid w:val="002A303B"/>
    <w:rsid w:val="002A3058"/>
    <w:rsid w:val="002A3103"/>
    <w:rsid w:val="002A310F"/>
    <w:rsid w:val="002A3156"/>
    <w:rsid w:val="002A3163"/>
    <w:rsid w:val="002A31A9"/>
    <w:rsid w:val="002A31AB"/>
    <w:rsid w:val="002A3218"/>
    <w:rsid w:val="002A3243"/>
    <w:rsid w:val="002A3248"/>
    <w:rsid w:val="002A327A"/>
    <w:rsid w:val="002A32A9"/>
    <w:rsid w:val="002A32AE"/>
    <w:rsid w:val="002A3338"/>
    <w:rsid w:val="002A3345"/>
    <w:rsid w:val="002A3408"/>
    <w:rsid w:val="002A343E"/>
    <w:rsid w:val="002A3480"/>
    <w:rsid w:val="002A3486"/>
    <w:rsid w:val="002A349A"/>
    <w:rsid w:val="002A353A"/>
    <w:rsid w:val="002A35BD"/>
    <w:rsid w:val="002A35CF"/>
    <w:rsid w:val="002A35FB"/>
    <w:rsid w:val="002A361F"/>
    <w:rsid w:val="002A3675"/>
    <w:rsid w:val="002A3714"/>
    <w:rsid w:val="002A373B"/>
    <w:rsid w:val="002A3752"/>
    <w:rsid w:val="002A37BB"/>
    <w:rsid w:val="002A37D6"/>
    <w:rsid w:val="002A37DF"/>
    <w:rsid w:val="002A3843"/>
    <w:rsid w:val="002A384D"/>
    <w:rsid w:val="002A3854"/>
    <w:rsid w:val="002A3870"/>
    <w:rsid w:val="002A3917"/>
    <w:rsid w:val="002A398F"/>
    <w:rsid w:val="002A39A0"/>
    <w:rsid w:val="002A39D1"/>
    <w:rsid w:val="002A39EB"/>
    <w:rsid w:val="002A3A1C"/>
    <w:rsid w:val="002A3A96"/>
    <w:rsid w:val="002A3AF8"/>
    <w:rsid w:val="002A3B10"/>
    <w:rsid w:val="002A3B46"/>
    <w:rsid w:val="002A3BAF"/>
    <w:rsid w:val="002A3C2B"/>
    <w:rsid w:val="002A3C31"/>
    <w:rsid w:val="002A3C4F"/>
    <w:rsid w:val="002A3C80"/>
    <w:rsid w:val="002A3C87"/>
    <w:rsid w:val="002A3CBF"/>
    <w:rsid w:val="002A3CEE"/>
    <w:rsid w:val="002A3D18"/>
    <w:rsid w:val="002A3D64"/>
    <w:rsid w:val="002A3D7C"/>
    <w:rsid w:val="002A3DA2"/>
    <w:rsid w:val="002A3DCD"/>
    <w:rsid w:val="002A3E1F"/>
    <w:rsid w:val="002A3E22"/>
    <w:rsid w:val="002A3E32"/>
    <w:rsid w:val="002A3EDA"/>
    <w:rsid w:val="002A3F7B"/>
    <w:rsid w:val="002A3FDD"/>
    <w:rsid w:val="002A3FFA"/>
    <w:rsid w:val="002A4046"/>
    <w:rsid w:val="002A406F"/>
    <w:rsid w:val="002A408D"/>
    <w:rsid w:val="002A410E"/>
    <w:rsid w:val="002A4113"/>
    <w:rsid w:val="002A412E"/>
    <w:rsid w:val="002A4199"/>
    <w:rsid w:val="002A41E0"/>
    <w:rsid w:val="002A421A"/>
    <w:rsid w:val="002A4249"/>
    <w:rsid w:val="002A4266"/>
    <w:rsid w:val="002A4278"/>
    <w:rsid w:val="002A4281"/>
    <w:rsid w:val="002A42BF"/>
    <w:rsid w:val="002A42E2"/>
    <w:rsid w:val="002A4350"/>
    <w:rsid w:val="002A4381"/>
    <w:rsid w:val="002A43D8"/>
    <w:rsid w:val="002A43DA"/>
    <w:rsid w:val="002A43F3"/>
    <w:rsid w:val="002A4442"/>
    <w:rsid w:val="002A4461"/>
    <w:rsid w:val="002A447C"/>
    <w:rsid w:val="002A449F"/>
    <w:rsid w:val="002A44E5"/>
    <w:rsid w:val="002A451D"/>
    <w:rsid w:val="002A458D"/>
    <w:rsid w:val="002A45D9"/>
    <w:rsid w:val="002A45E2"/>
    <w:rsid w:val="002A46B8"/>
    <w:rsid w:val="002A4704"/>
    <w:rsid w:val="002A4731"/>
    <w:rsid w:val="002A4733"/>
    <w:rsid w:val="002A4738"/>
    <w:rsid w:val="002A4743"/>
    <w:rsid w:val="002A4772"/>
    <w:rsid w:val="002A4810"/>
    <w:rsid w:val="002A485A"/>
    <w:rsid w:val="002A4871"/>
    <w:rsid w:val="002A487F"/>
    <w:rsid w:val="002A48A8"/>
    <w:rsid w:val="002A496E"/>
    <w:rsid w:val="002A49AE"/>
    <w:rsid w:val="002A4A78"/>
    <w:rsid w:val="002A4A82"/>
    <w:rsid w:val="002A4B0C"/>
    <w:rsid w:val="002A4B10"/>
    <w:rsid w:val="002A4B52"/>
    <w:rsid w:val="002A4BC6"/>
    <w:rsid w:val="002A4BC7"/>
    <w:rsid w:val="002A4BFA"/>
    <w:rsid w:val="002A4C49"/>
    <w:rsid w:val="002A4D05"/>
    <w:rsid w:val="002A4D6C"/>
    <w:rsid w:val="002A4D82"/>
    <w:rsid w:val="002A4D86"/>
    <w:rsid w:val="002A4E17"/>
    <w:rsid w:val="002A4E66"/>
    <w:rsid w:val="002A4E86"/>
    <w:rsid w:val="002A4EBA"/>
    <w:rsid w:val="002A4ED0"/>
    <w:rsid w:val="002A4F04"/>
    <w:rsid w:val="002A4F19"/>
    <w:rsid w:val="002A4F85"/>
    <w:rsid w:val="002A4FAB"/>
    <w:rsid w:val="002A4FB8"/>
    <w:rsid w:val="002A4FBB"/>
    <w:rsid w:val="002A500D"/>
    <w:rsid w:val="002A503F"/>
    <w:rsid w:val="002A5068"/>
    <w:rsid w:val="002A5070"/>
    <w:rsid w:val="002A508C"/>
    <w:rsid w:val="002A50A8"/>
    <w:rsid w:val="002A50F5"/>
    <w:rsid w:val="002A5109"/>
    <w:rsid w:val="002A513B"/>
    <w:rsid w:val="002A516D"/>
    <w:rsid w:val="002A51E6"/>
    <w:rsid w:val="002A5202"/>
    <w:rsid w:val="002A5204"/>
    <w:rsid w:val="002A5206"/>
    <w:rsid w:val="002A52BA"/>
    <w:rsid w:val="002A52E6"/>
    <w:rsid w:val="002A5320"/>
    <w:rsid w:val="002A532B"/>
    <w:rsid w:val="002A5371"/>
    <w:rsid w:val="002A5384"/>
    <w:rsid w:val="002A53C9"/>
    <w:rsid w:val="002A53CC"/>
    <w:rsid w:val="002A5430"/>
    <w:rsid w:val="002A5465"/>
    <w:rsid w:val="002A548C"/>
    <w:rsid w:val="002A54A5"/>
    <w:rsid w:val="002A54A7"/>
    <w:rsid w:val="002A54C5"/>
    <w:rsid w:val="002A5500"/>
    <w:rsid w:val="002A5502"/>
    <w:rsid w:val="002A550A"/>
    <w:rsid w:val="002A5511"/>
    <w:rsid w:val="002A5519"/>
    <w:rsid w:val="002A5542"/>
    <w:rsid w:val="002A5543"/>
    <w:rsid w:val="002A556C"/>
    <w:rsid w:val="002A55B0"/>
    <w:rsid w:val="002A55F6"/>
    <w:rsid w:val="002A5627"/>
    <w:rsid w:val="002A56CF"/>
    <w:rsid w:val="002A56DC"/>
    <w:rsid w:val="002A56F3"/>
    <w:rsid w:val="002A575E"/>
    <w:rsid w:val="002A57B3"/>
    <w:rsid w:val="002A57CB"/>
    <w:rsid w:val="002A57D8"/>
    <w:rsid w:val="002A57E5"/>
    <w:rsid w:val="002A57F4"/>
    <w:rsid w:val="002A591B"/>
    <w:rsid w:val="002A5963"/>
    <w:rsid w:val="002A5984"/>
    <w:rsid w:val="002A59C7"/>
    <w:rsid w:val="002A59CC"/>
    <w:rsid w:val="002A59DB"/>
    <w:rsid w:val="002A5A07"/>
    <w:rsid w:val="002A5A91"/>
    <w:rsid w:val="002A5AF7"/>
    <w:rsid w:val="002A5B2F"/>
    <w:rsid w:val="002A5B3B"/>
    <w:rsid w:val="002A5B45"/>
    <w:rsid w:val="002A5B80"/>
    <w:rsid w:val="002A5B94"/>
    <w:rsid w:val="002A5BF6"/>
    <w:rsid w:val="002A5C21"/>
    <w:rsid w:val="002A5C9B"/>
    <w:rsid w:val="002A5D87"/>
    <w:rsid w:val="002A5D95"/>
    <w:rsid w:val="002A5DA7"/>
    <w:rsid w:val="002A5DB9"/>
    <w:rsid w:val="002A5DCD"/>
    <w:rsid w:val="002A5E27"/>
    <w:rsid w:val="002A5E2A"/>
    <w:rsid w:val="002A5E3A"/>
    <w:rsid w:val="002A5E67"/>
    <w:rsid w:val="002A5E7A"/>
    <w:rsid w:val="002A5E7F"/>
    <w:rsid w:val="002A5ECA"/>
    <w:rsid w:val="002A5F17"/>
    <w:rsid w:val="002A5F3E"/>
    <w:rsid w:val="002A5F59"/>
    <w:rsid w:val="002A5F79"/>
    <w:rsid w:val="002A5FAE"/>
    <w:rsid w:val="002A6014"/>
    <w:rsid w:val="002A60D0"/>
    <w:rsid w:val="002A6112"/>
    <w:rsid w:val="002A611D"/>
    <w:rsid w:val="002A6138"/>
    <w:rsid w:val="002A614A"/>
    <w:rsid w:val="002A620B"/>
    <w:rsid w:val="002A6212"/>
    <w:rsid w:val="002A6213"/>
    <w:rsid w:val="002A6256"/>
    <w:rsid w:val="002A62B2"/>
    <w:rsid w:val="002A62B5"/>
    <w:rsid w:val="002A62BA"/>
    <w:rsid w:val="002A62BB"/>
    <w:rsid w:val="002A62D2"/>
    <w:rsid w:val="002A62DD"/>
    <w:rsid w:val="002A6325"/>
    <w:rsid w:val="002A632F"/>
    <w:rsid w:val="002A633B"/>
    <w:rsid w:val="002A6377"/>
    <w:rsid w:val="002A639E"/>
    <w:rsid w:val="002A642F"/>
    <w:rsid w:val="002A644C"/>
    <w:rsid w:val="002A64B2"/>
    <w:rsid w:val="002A64B8"/>
    <w:rsid w:val="002A64F7"/>
    <w:rsid w:val="002A64FF"/>
    <w:rsid w:val="002A6524"/>
    <w:rsid w:val="002A6560"/>
    <w:rsid w:val="002A65EF"/>
    <w:rsid w:val="002A667E"/>
    <w:rsid w:val="002A6696"/>
    <w:rsid w:val="002A6760"/>
    <w:rsid w:val="002A6769"/>
    <w:rsid w:val="002A677F"/>
    <w:rsid w:val="002A6784"/>
    <w:rsid w:val="002A6840"/>
    <w:rsid w:val="002A68C7"/>
    <w:rsid w:val="002A6952"/>
    <w:rsid w:val="002A69CA"/>
    <w:rsid w:val="002A6A55"/>
    <w:rsid w:val="002A6A68"/>
    <w:rsid w:val="002A6ADA"/>
    <w:rsid w:val="002A6B3D"/>
    <w:rsid w:val="002A6B99"/>
    <w:rsid w:val="002A6BD7"/>
    <w:rsid w:val="002A6CAF"/>
    <w:rsid w:val="002A6CB1"/>
    <w:rsid w:val="002A6CE4"/>
    <w:rsid w:val="002A6D14"/>
    <w:rsid w:val="002A6D41"/>
    <w:rsid w:val="002A6D49"/>
    <w:rsid w:val="002A6DA2"/>
    <w:rsid w:val="002A6E03"/>
    <w:rsid w:val="002A6E97"/>
    <w:rsid w:val="002A6F29"/>
    <w:rsid w:val="002A6F5E"/>
    <w:rsid w:val="002A7055"/>
    <w:rsid w:val="002A707E"/>
    <w:rsid w:val="002A70B2"/>
    <w:rsid w:val="002A70C6"/>
    <w:rsid w:val="002A70D2"/>
    <w:rsid w:val="002A7172"/>
    <w:rsid w:val="002A71B3"/>
    <w:rsid w:val="002A720A"/>
    <w:rsid w:val="002A7296"/>
    <w:rsid w:val="002A72CA"/>
    <w:rsid w:val="002A72D1"/>
    <w:rsid w:val="002A72E7"/>
    <w:rsid w:val="002A731F"/>
    <w:rsid w:val="002A7324"/>
    <w:rsid w:val="002A73B4"/>
    <w:rsid w:val="002A73BF"/>
    <w:rsid w:val="002A73F5"/>
    <w:rsid w:val="002A7452"/>
    <w:rsid w:val="002A74DF"/>
    <w:rsid w:val="002A7500"/>
    <w:rsid w:val="002A7590"/>
    <w:rsid w:val="002A7591"/>
    <w:rsid w:val="002A75CA"/>
    <w:rsid w:val="002A75F7"/>
    <w:rsid w:val="002A75F8"/>
    <w:rsid w:val="002A7620"/>
    <w:rsid w:val="002A765E"/>
    <w:rsid w:val="002A76BD"/>
    <w:rsid w:val="002A76C3"/>
    <w:rsid w:val="002A76C7"/>
    <w:rsid w:val="002A7749"/>
    <w:rsid w:val="002A7763"/>
    <w:rsid w:val="002A776E"/>
    <w:rsid w:val="002A7771"/>
    <w:rsid w:val="002A7775"/>
    <w:rsid w:val="002A7790"/>
    <w:rsid w:val="002A77AE"/>
    <w:rsid w:val="002A77DE"/>
    <w:rsid w:val="002A77FD"/>
    <w:rsid w:val="002A7815"/>
    <w:rsid w:val="002A781B"/>
    <w:rsid w:val="002A7831"/>
    <w:rsid w:val="002A783F"/>
    <w:rsid w:val="002A789E"/>
    <w:rsid w:val="002A78B8"/>
    <w:rsid w:val="002A78E1"/>
    <w:rsid w:val="002A7A12"/>
    <w:rsid w:val="002A7A52"/>
    <w:rsid w:val="002A7A7E"/>
    <w:rsid w:val="002A7AE6"/>
    <w:rsid w:val="002A7B20"/>
    <w:rsid w:val="002A7B85"/>
    <w:rsid w:val="002A7C77"/>
    <w:rsid w:val="002A7CB2"/>
    <w:rsid w:val="002A7CB9"/>
    <w:rsid w:val="002A7CE0"/>
    <w:rsid w:val="002A7D75"/>
    <w:rsid w:val="002A7E76"/>
    <w:rsid w:val="002A7E7C"/>
    <w:rsid w:val="002A7E9C"/>
    <w:rsid w:val="002A7EA3"/>
    <w:rsid w:val="002A7EB6"/>
    <w:rsid w:val="002A7EC1"/>
    <w:rsid w:val="002A7F30"/>
    <w:rsid w:val="002A7F35"/>
    <w:rsid w:val="002A7F72"/>
    <w:rsid w:val="002A7F82"/>
    <w:rsid w:val="002A7FC3"/>
    <w:rsid w:val="002B000D"/>
    <w:rsid w:val="002B00A0"/>
    <w:rsid w:val="002B00AC"/>
    <w:rsid w:val="002B00AE"/>
    <w:rsid w:val="002B00FC"/>
    <w:rsid w:val="002B019F"/>
    <w:rsid w:val="002B01B2"/>
    <w:rsid w:val="002B01BF"/>
    <w:rsid w:val="002B0226"/>
    <w:rsid w:val="002B0284"/>
    <w:rsid w:val="002B0310"/>
    <w:rsid w:val="002B0320"/>
    <w:rsid w:val="002B0342"/>
    <w:rsid w:val="002B0386"/>
    <w:rsid w:val="002B03B2"/>
    <w:rsid w:val="002B03D3"/>
    <w:rsid w:val="002B03EE"/>
    <w:rsid w:val="002B0425"/>
    <w:rsid w:val="002B04D0"/>
    <w:rsid w:val="002B0531"/>
    <w:rsid w:val="002B0595"/>
    <w:rsid w:val="002B05EB"/>
    <w:rsid w:val="002B0647"/>
    <w:rsid w:val="002B067B"/>
    <w:rsid w:val="002B068E"/>
    <w:rsid w:val="002B0722"/>
    <w:rsid w:val="002B0724"/>
    <w:rsid w:val="002B0798"/>
    <w:rsid w:val="002B07B5"/>
    <w:rsid w:val="002B07D9"/>
    <w:rsid w:val="002B07EA"/>
    <w:rsid w:val="002B0819"/>
    <w:rsid w:val="002B0886"/>
    <w:rsid w:val="002B0894"/>
    <w:rsid w:val="002B08C5"/>
    <w:rsid w:val="002B0907"/>
    <w:rsid w:val="002B092C"/>
    <w:rsid w:val="002B0935"/>
    <w:rsid w:val="002B0938"/>
    <w:rsid w:val="002B093B"/>
    <w:rsid w:val="002B094F"/>
    <w:rsid w:val="002B096A"/>
    <w:rsid w:val="002B0980"/>
    <w:rsid w:val="002B0989"/>
    <w:rsid w:val="002B0993"/>
    <w:rsid w:val="002B09D7"/>
    <w:rsid w:val="002B0A25"/>
    <w:rsid w:val="002B0A34"/>
    <w:rsid w:val="002B0A46"/>
    <w:rsid w:val="002B0AE3"/>
    <w:rsid w:val="002B0AE6"/>
    <w:rsid w:val="002B0AFB"/>
    <w:rsid w:val="002B0B88"/>
    <w:rsid w:val="002B0BF4"/>
    <w:rsid w:val="002B0C5C"/>
    <w:rsid w:val="002B0C67"/>
    <w:rsid w:val="002B0C86"/>
    <w:rsid w:val="002B0C90"/>
    <w:rsid w:val="002B0C99"/>
    <w:rsid w:val="002B0E4F"/>
    <w:rsid w:val="002B0E62"/>
    <w:rsid w:val="002B0E79"/>
    <w:rsid w:val="002B0ED8"/>
    <w:rsid w:val="002B0EFC"/>
    <w:rsid w:val="002B0F41"/>
    <w:rsid w:val="002B0F5C"/>
    <w:rsid w:val="002B0F65"/>
    <w:rsid w:val="002B0FA4"/>
    <w:rsid w:val="002B0FC6"/>
    <w:rsid w:val="002B0FE0"/>
    <w:rsid w:val="002B0FFE"/>
    <w:rsid w:val="002B1003"/>
    <w:rsid w:val="002B1077"/>
    <w:rsid w:val="002B10F3"/>
    <w:rsid w:val="002B1157"/>
    <w:rsid w:val="002B11A7"/>
    <w:rsid w:val="002B11CE"/>
    <w:rsid w:val="002B120D"/>
    <w:rsid w:val="002B1221"/>
    <w:rsid w:val="002B122D"/>
    <w:rsid w:val="002B1246"/>
    <w:rsid w:val="002B130D"/>
    <w:rsid w:val="002B1346"/>
    <w:rsid w:val="002B135A"/>
    <w:rsid w:val="002B139D"/>
    <w:rsid w:val="002B13A2"/>
    <w:rsid w:val="002B13DD"/>
    <w:rsid w:val="002B13F0"/>
    <w:rsid w:val="002B13FA"/>
    <w:rsid w:val="002B1464"/>
    <w:rsid w:val="002B1484"/>
    <w:rsid w:val="002B14DF"/>
    <w:rsid w:val="002B151C"/>
    <w:rsid w:val="002B153B"/>
    <w:rsid w:val="002B15AB"/>
    <w:rsid w:val="002B16D0"/>
    <w:rsid w:val="002B16E0"/>
    <w:rsid w:val="002B1710"/>
    <w:rsid w:val="002B1715"/>
    <w:rsid w:val="002B1766"/>
    <w:rsid w:val="002B17B5"/>
    <w:rsid w:val="002B17DD"/>
    <w:rsid w:val="002B17F8"/>
    <w:rsid w:val="002B188E"/>
    <w:rsid w:val="002B1892"/>
    <w:rsid w:val="002B189A"/>
    <w:rsid w:val="002B189D"/>
    <w:rsid w:val="002B18A2"/>
    <w:rsid w:val="002B18C8"/>
    <w:rsid w:val="002B18F3"/>
    <w:rsid w:val="002B192C"/>
    <w:rsid w:val="002B195A"/>
    <w:rsid w:val="002B19A6"/>
    <w:rsid w:val="002B19CC"/>
    <w:rsid w:val="002B19FE"/>
    <w:rsid w:val="002B1A0D"/>
    <w:rsid w:val="002B1A1C"/>
    <w:rsid w:val="002B1A96"/>
    <w:rsid w:val="002B1AA5"/>
    <w:rsid w:val="002B1B01"/>
    <w:rsid w:val="002B1B63"/>
    <w:rsid w:val="002B1B8F"/>
    <w:rsid w:val="002B1BAC"/>
    <w:rsid w:val="002B1BD2"/>
    <w:rsid w:val="002B1BF2"/>
    <w:rsid w:val="002B1C47"/>
    <w:rsid w:val="002B1C75"/>
    <w:rsid w:val="002B1CAB"/>
    <w:rsid w:val="002B1D00"/>
    <w:rsid w:val="002B1D17"/>
    <w:rsid w:val="002B1DA8"/>
    <w:rsid w:val="002B1DB3"/>
    <w:rsid w:val="002B1DB6"/>
    <w:rsid w:val="002B1DDA"/>
    <w:rsid w:val="002B1DFB"/>
    <w:rsid w:val="002B1E30"/>
    <w:rsid w:val="002B1E33"/>
    <w:rsid w:val="002B1E44"/>
    <w:rsid w:val="002B1E91"/>
    <w:rsid w:val="002B1ED0"/>
    <w:rsid w:val="002B1EE8"/>
    <w:rsid w:val="002B1EEC"/>
    <w:rsid w:val="002B1EF5"/>
    <w:rsid w:val="002B1EFE"/>
    <w:rsid w:val="002B1F0E"/>
    <w:rsid w:val="002B1F10"/>
    <w:rsid w:val="002B1F15"/>
    <w:rsid w:val="002B1F43"/>
    <w:rsid w:val="002B1F5F"/>
    <w:rsid w:val="002B1F7F"/>
    <w:rsid w:val="002B1F87"/>
    <w:rsid w:val="002B1F8C"/>
    <w:rsid w:val="002B1F95"/>
    <w:rsid w:val="002B2036"/>
    <w:rsid w:val="002B2080"/>
    <w:rsid w:val="002B20B7"/>
    <w:rsid w:val="002B20F5"/>
    <w:rsid w:val="002B210B"/>
    <w:rsid w:val="002B21A8"/>
    <w:rsid w:val="002B21C5"/>
    <w:rsid w:val="002B21D2"/>
    <w:rsid w:val="002B21F3"/>
    <w:rsid w:val="002B2234"/>
    <w:rsid w:val="002B2239"/>
    <w:rsid w:val="002B2248"/>
    <w:rsid w:val="002B2258"/>
    <w:rsid w:val="002B2259"/>
    <w:rsid w:val="002B2290"/>
    <w:rsid w:val="002B22C9"/>
    <w:rsid w:val="002B231D"/>
    <w:rsid w:val="002B232F"/>
    <w:rsid w:val="002B2418"/>
    <w:rsid w:val="002B2453"/>
    <w:rsid w:val="002B2498"/>
    <w:rsid w:val="002B24B3"/>
    <w:rsid w:val="002B24F2"/>
    <w:rsid w:val="002B2529"/>
    <w:rsid w:val="002B2555"/>
    <w:rsid w:val="002B258C"/>
    <w:rsid w:val="002B25A6"/>
    <w:rsid w:val="002B25D7"/>
    <w:rsid w:val="002B260F"/>
    <w:rsid w:val="002B26A3"/>
    <w:rsid w:val="002B271F"/>
    <w:rsid w:val="002B27A2"/>
    <w:rsid w:val="002B27AB"/>
    <w:rsid w:val="002B27AE"/>
    <w:rsid w:val="002B2851"/>
    <w:rsid w:val="002B28C5"/>
    <w:rsid w:val="002B2980"/>
    <w:rsid w:val="002B29A4"/>
    <w:rsid w:val="002B29CA"/>
    <w:rsid w:val="002B29D6"/>
    <w:rsid w:val="002B29DB"/>
    <w:rsid w:val="002B2A04"/>
    <w:rsid w:val="002B2A27"/>
    <w:rsid w:val="002B2A31"/>
    <w:rsid w:val="002B2A44"/>
    <w:rsid w:val="002B2A95"/>
    <w:rsid w:val="002B2AF9"/>
    <w:rsid w:val="002B2B24"/>
    <w:rsid w:val="002B2B4C"/>
    <w:rsid w:val="002B2B9E"/>
    <w:rsid w:val="002B2BED"/>
    <w:rsid w:val="002B2BFC"/>
    <w:rsid w:val="002B2C99"/>
    <w:rsid w:val="002B2CB6"/>
    <w:rsid w:val="002B2D1B"/>
    <w:rsid w:val="002B2D41"/>
    <w:rsid w:val="002B2D70"/>
    <w:rsid w:val="002B2D7C"/>
    <w:rsid w:val="002B2DDF"/>
    <w:rsid w:val="002B2E0A"/>
    <w:rsid w:val="002B2E40"/>
    <w:rsid w:val="002B2F96"/>
    <w:rsid w:val="002B2F9D"/>
    <w:rsid w:val="002B2FDF"/>
    <w:rsid w:val="002B2FF2"/>
    <w:rsid w:val="002B3007"/>
    <w:rsid w:val="002B300D"/>
    <w:rsid w:val="002B30E6"/>
    <w:rsid w:val="002B30F6"/>
    <w:rsid w:val="002B30FF"/>
    <w:rsid w:val="002B3133"/>
    <w:rsid w:val="002B3136"/>
    <w:rsid w:val="002B3160"/>
    <w:rsid w:val="002B316F"/>
    <w:rsid w:val="002B319A"/>
    <w:rsid w:val="002B31B2"/>
    <w:rsid w:val="002B31C5"/>
    <w:rsid w:val="002B31D7"/>
    <w:rsid w:val="002B31DE"/>
    <w:rsid w:val="002B321E"/>
    <w:rsid w:val="002B3228"/>
    <w:rsid w:val="002B322A"/>
    <w:rsid w:val="002B325A"/>
    <w:rsid w:val="002B3298"/>
    <w:rsid w:val="002B3384"/>
    <w:rsid w:val="002B33B2"/>
    <w:rsid w:val="002B33F4"/>
    <w:rsid w:val="002B340D"/>
    <w:rsid w:val="002B341B"/>
    <w:rsid w:val="002B341D"/>
    <w:rsid w:val="002B3420"/>
    <w:rsid w:val="002B3456"/>
    <w:rsid w:val="002B3477"/>
    <w:rsid w:val="002B34DC"/>
    <w:rsid w:val="002B3528"/>
    <w:rsid w:val="002B3565"/>
    <w:rsid w:val="002B356C"/>
    <w:rsid w:val="002B3570"/>
    <w:rsid w:val="002B358D"/>
    <w:rsid w:val="002B360E"/>
    <w:rsid w:val="002B366F"/>
    <w:rsid w:val="002B3671"/>
    <w:rsid w:val="002B36C8"/>
    <w:rsid w:val="002B36FE"/>
    <w:rsid w:val="002B3732"/>
    <w:rsid w:val="002B37B3"/>
    <w:rsid w:val="002B37CA"/>
    <w:rsid w:val="002B37D8"/>
    <w:rsid w:val="002B3820"/>
    <w:rsid w:val="002B38A4"/>
    <w:rsid w:val="002B38DE"/>
    <w:rsid w:val="002B38F5"/>
    <w:rsid w:val="002B3938"/>
    <w:rsid w:val="002B393B"/>
    <w:rsid w:val="002B3947"/>
    <w:rsid w:val="002B3982"/>
    <w:rsid w:val="002B39CA"/>
    <w:rsid w:val="002B39D5"/>
    <w:rsid w:val="002B3A6A"/>
    <w:rsid w:val="002B3AA3"/>
    <w:rsid w:val="002B3AD9"/>
    <w:rsid w:val="002B3AE5"/>
    <w:rsid w:val="002B3B6B"/>
    <w:rsid w:val="002B3BB0"/>
    <w:rsid w:val="002B3BD0"/>
    <w:rsid w:val="002B3BE4"/>
    <w:rsid w:val="002B3BFD"/>
    <w:rsid w:val="002B3BFE"/>
    <w:rsid w:val="002B3C2B"/>
    <w:rsid w:val="002B3C3C"/>
    <w:rsid w:val="002B3C93"/>
    <w:rsid w:val="002B3CFB"/>
    <w:rsid w:val="002B3D0C"/>
    <w:rsid w:val="002B3D5F"/>
    <w:rsid w:val="002B3D7B"/>
    <w:rsid w:val="002B3D80"/>
    <w:rsid w:val="002B3D91"/>
    <w:rsid w:val="002B3DB3"/>
    <w:rsid w:val="002B3DD1"/>
    <w:rsid w:val="002B3DD2"/>
    <w:rsid w:val="002B3E05"/>
    <w:rsid w:val="002B3E33"/>
    <w:rsid w:val="002B3E3B"/>
    <w:rsid w:val="002B3E6B"/>
    <w:rsid w:val="002B3EB5"/>
    <w:rsid w:val="002B3EC1"/>
    <w:rsid w:val="002B3F1C"/>
    <w:rsid w:val="002B3F94"/>
    <w:rsid w:val="002B3FB0"/>
    <w:rsid w:val="002B3FC9"/>
    <w:rsid w:val="002B3FFD"/>
    <w:rsid w:val="002B4011"/>
    <w:rsid w:val="002B4058"/>
    <w:rsid w:val="002B408A"/>
    <w:rsid w:val="002B408E"/>
    <w:rsid w:val="002B408F"/>
    <w:rsid w:val="002B40A0"/>
    <w:rsid w:val="002B4114"/>
    <w:rsid w:val="002B413D"/>
    <w:rsid w:val="002B4141"/>
    <w:rsid w:val="002B4150"/>
    <w:rsid w:val="002B4196"/>
    <w:rsid w:val="002B41B5"/>
    <w:rsid w:val="002B41C0"/>
    <w:rsid w:val="002B4216"/>
    <w:rsid w:val="002B421D"/>
    <w:rsid w:val="002B422E"/>
    <w:rsid w:val="002B42EC"/>
    <w:rsid w:val="002B42F6"/>
    <w:rsid w:val="002B43AB"/>
    <w:rsid w:val="002B4436"/>
    <w:rsid w:val="002B444A"/>
    <w:rsid w:val="002B444C"/>
    <w:rsid w:val="002B4488"/>
    <w:rsid w:val="002B44FD"/>
    <w:rsid w:val="002B4503"/>
    <w:rsid w:val="002B454B"/>
    <w:rsid w:val="002B45E4"/>
    <w:rsid w:val="002B45E8"/>
    <w:rsid w:val="002B460F"/>
    <w:rsid w:val="002B4621"/>
    <w:rsid w:val="002B465B"/>
    <w:rsid w:val="002B46A5"/>
    <w:rsid w:val="002B46BF"/>
    <w:rsid w:val="002B4719"/>
    <w:rsid w:val="002B4733"/>
    <w:rsid w:val="002B4737"/>
    <w:rsid w:val="002B475F"/>
    <w:rsid w:val="002B47B0"/>
    <w:rsid w:val="002B4829"/>
    <w:rsid w:val="002B4857"/>
    <w:rsid w:val="002B4863"/>
    <w:rsid w:val="002B48C2"/>
    <w:rsid w:val="002B4918"/>
    <w:rsid w:val="002B4999"/>
    <w:rsid w:val="002B49D2"/>
    <w:rsid w:val="002B4A13"/>
    <w:rsid w:val="002B4A16"/>
    <w:rsid w:val="002B4A4C"/>
    <w:rsid w:val="002B4A77"/>
    <w:rsid w:val="002B4A87"/>
    <w:rsid w:val="002B4B26"/>
    <w:rsid w:val="002B4B34"/>
    <w:rsid w:val="002B4B43"/>
    <w:rsid w:val="002B4B95"/>
    <w:rsid w:val="002B4BA7"/>
    <w:rsid w:val="002B4BCE"/>
    <w:rsid w:val="002B4C0C"/>
    <w:rsid w:val="002B4C9D"/>
    <w:rsid w:val="002B4CDA"/>
    <w:rsid w:val="002B4D0C"/>
    <w:rsid w:val="002B4D17"/>
    <w:rsid w:val="002B4D46"/>
    <w:rsid w:val="002B4D72"/>
    <w:rsid w:val="002B4D79"/>
    <w:rsid w:val="002B4D82"/>
    <w:rsid w:val="002B4D85"/>
    <w:rsid w:val="002B4D9B"/>
    <w:rsid w:val="002B4E0B"/>
    <w:rsid w:val="002B4E21"/>
    <w:rsid w:val="002B4E5F"/>
    <w:rsid w:val="002B4E7E"/>
    <w:rsid w:val="002B4EB9"/>
    <w:rsid w:val="002B4F28"/>
    <w:rsid w:val="002B4FA5"/>
    <w:rsid w:val="002B504D"/>
    <w:rsid w:val="002B510A"/>
    <w:rsid w:val="002B511E"/>
    <w:rsid w:val="002B5157"/>
    <w:rsid w:val="002B518F"/>
    <w:rsid w:val="002B51A5"/>
    <w:rsid w:val="002B51B0"/>
    <w:rsid w:val="002B51D4"/>
    <w:rsid w:val="002B51ED"/>
    <w:rsid w:val="002B51F6"/>
    <w:rsid w:val="002B5214"/>
    <w:rsid w:val="002B523F"/>
    <w:rsid w:val="002B5243"/>
    <w:rsid w:val="002B5244"/>
    <w:rsid w:val="002B524A"/>
    <w:rsid w:val="002B52BA"/>
    <w:rsid w:val="002B52FC"/>
    <w:rsid w:val="002B5318"/>
    <w:rsid w:val="002B5330"/>
    <w:rsid w:val="002B534B"/>
    <w:rsid w:val="002B538F"/>
    <w:rsid w:val="002B53D2"/>
    <w:rsid w:val="002B53DF"/>
    <w:rsid w:val="002B5424"/>
    <w:rsid w:val="002B549C"/>
    <w:rsid w:val="002B54A1"/>
    <w:rsid w:val="002B54B3"/>
    <w:rsid w:val="002B54D9"/>
    <w:rsid w:val="002B5511"/>
    <w:rsid w:val="002B5536"/>
    <w:rsid w:val="002B553F"/>
    <w:rsid w:val="002B5562"/>
    <w:rsid w:val="002B5576"/>
    <w:rsid w:val="002B5577"/>
    <w:rsid w:val="002B5593"/>
    <w:rsid w:val="002B55AB"/>
    <w:rsid w:val="002B55D8"/>
    <w:rsid w:val="002B55DE"/>
    <w:rsid w:val="002B560B"/>
    <w:rsid w:val="002B56E0"/>
    <w:rsid w:val="002B56F0"/>
    <w:rsid w:val="002B56F6"/>
    <w:rsid w:val="002B57FD"/>
    <w:rsid w:val="002B581A"/>
    <w:rsid w:val="002B5823"/>
    <w:rsid w:val="002B587E"/>
    <w:rsid w:val="002B5896"/>
    <w:rsid w:val="002B58A7"/>
    <w:rsid w:val="002B58CD"/>
    <w:rsid w:val="002B58F5"/>
    <w:rsid w:val="002B592F"/>
    <w:rsid w:val="002B5955"/>
    <w:rsid w:val="002B597C"/>
    <w:rsid w:val="002B59DC"/>
    <w:rsid w:val="002B59DD"/>
    <w:rsid w:val="002B5A12"/>
    <w:rsid w:val="002B5A1E"/>
    <w:rsid w:val="002B5A22"/>
    <w:rsid w:val="002B5A69"/>
    <w:rsid w:val="002B5A8A"/>
    <w:rsid w:val="002B5AD0"/>
    <w:rsid w:val="002B5AD6"/>
    <w:rsid w:val="002B5ADE"/>
    <w:rsid w:val="002B5B0D"/>
    <w:rsid w:val="002B5B2D"/>
    <w:rsid w:val="002B5B34"/>
    <w:rsid w:val="002B5B50"/>
    <w:rsid w:val="002B5B8B"/>
    <w:rsid w:val="002B5BFC"/>
    <w:rsid w:val="002B5BFF"/>
    <w:rsid w:val="002B5C31"/>
    <w:rsid w:val="002B5C69"/>
    <w:rsid w:val="002B5CE5"/>
    <w:rsid w:val="002B5CF9"/>
    <w:rsid w:val="002B5CFD"/>
    <w:rsid w:val="002B5D52"/>
    <w:rsid w:val="002B5DC0"/>
    <w:rsid w:val="002B5E0B"/>
    <w:rsid w:val="002B5E0E"/>
    <w:rsid w:val="002B5E73"/>
    <w:rsid w:val="002B5E9F"/>
    <w:rsid w:val="002B5F2E"/>
    <w:rsid w:val="002B5F4E"/>
    <w:rsid w:val="002B5F7E"/>
    <w:rsid w:val="002B5F85"/>
    <w:rsid w:val="002B5F8A"/>
    <w:rsid w:val="002B603B"/>
    <w:rsid w:val="002B6061"/>
    <w:rsid w:val="002B606F"/>
    <w:rsid w:val="002B610A"/>
    <w:rsid w:val="002B612C"/>
    <w:rsid w:val="002B6132"/>
    <w:rsid w:val="002B6190"/>
    <w:rsid w:val="002B61B9"/>
    <w:rsid w:val="002B61C2"/>
    <w:rsid w:val="002B6231"/>
    <w:rsid w:val="002B6267"/>
    <w:rsid w:val="002B6287"/>
    <w:rsid w:val="002B62A6"/>
    <w:rsid w:val="002B62F8"/>
    <w:rsid w:val="002B6330"/>
    <w:rsid w:val="002B63C0"/>
    <w:rsid w:val="002B63DA"/>
    <w:rsid w:val="002B63F7"/>
    <w:rsid w:val="002B6414"/>
    <w:rsid w:val="002B6424"/>
    <w:rsid w:val="002B648E"/>
    <w:rsid w:val="002B64D2"/>
    <w:rsid w:val="002B64E8"/>
    <w:rsid w:val="002B6509"/>
    <w:rsid w:val="002B6519"/>
    <w:rsid w:val="002B654C"/>
    <w:rsid w:val="002B654E"/>
    <w:rsid w:val="002B658A"/>
    <w:rsid w:val="002B65A2"/>
    <w:rsid w:val="002B65FC"/>
    <w:rsid w:val="002B660E"/>
    <w:rsid w:val="002B66AF"/>
    <w:rsid w:val="002B66CF"/>
    <w:rsid w:val="002B66F0"/>
    <w:rsid w:val="002B672D"/>
    <w:rsid w:val="002B6754"/>
    <w:rsid w:val="002B675F"/>
    <w:rsid w:val="002B67C7"/>
    <w:rsid w:val="002B6841"/>
    <w:rsid w:val="002B689F"/>
    <w:rsid w:val="002B68B3"/>
    <w:rsid w:val="002B690B"/>
    <w:rsid w:val="002B6934"/>
    <w:rsid w:val="002B6994"/>
    <w:rsid w:val="002B69A7"/>
    <w:rsid w:val="002B69C0"/>
    <w:rsid w:val="002B69DB"/>
    <w:rsid w:val="002B6A53"/>
    <w:rsid w:val="002B6A8C"/>
    <w:rsid w:val="002B6A97"/>
    <w:rsid w:val="002B6AC2"/>
    <w:rsid w:val="002B6ACC"/>
    <w:rsid w:val="002B6B07"/>
    <w:rsid w:val="002B6B23"/>
    <w:rsid w:val="002B6B24"/>
    <w:rsid w:val="002B6B86"/>
    <w:rsid w:val="002B6BF0"/>
    <w:rsid w:val="002B6C21"/>
    <w:rsid w:val="002B6C87"/>
    <w:rsid w:val="002B6CB5"/>
    <w:rsid w:val="002B6CE6"/>
    <w:rsid w:val="002B6D0D"/>
    <w:rsid w:val="002B6D29"/>
    <w:rsid w:val="002B6D6E"/>
    <w:rsid w:val="002B6D73"/>
    <w:rsid w:val="002B6D93"/>
    <w:rsid w:val="002B6DC8"/>
    <w:rsid w:val="002B6E3B"/>
    <w:rsid w:val="002B6E6A"/>
    <w:rsid w:val="002B6E86"/>
    <w:rsid w:val="002B6ECA"/>
    <w:rsid w:val="002B6ECD"/>
    <w:rsid w:val="002B6EE3"/>
    <w:rsid w:val="002B6F62"/>
    <w:rsid w:val="002B7031"/>
    <w:rsid w:val="002B705F"/>
    <w:rsid w:val="002B708B"/>
    <w:rsid w:val="002B70A6"/>
    <w:rsid w:val="002B70E7"/>
    <w:rsid w:val="002B7125"/>
    <w:rsid w:val="002B7196"/>
    <w:rsid w:val="002B71C2"/>
    <w:rsid w:val="002B71C6"/>
    <w:rsid w:val="002B71DB"/>
    <w:rsid w:val="002B7299"/>
    <w:rsid w:val="002B7315"/>
    <w:rsid w:val="002B731E"/>
    <w:rsid w:val="002B73AA"/>
    <w:rsid w:val="002B73B4"/>
    <w:rsid w:val="002B7438"/>
    <w:rsid w:val="002B7451"/>
    <w:rsid w:val="002B745B"/>
    <w:rsid w:val="002B74A0"/>
    <w:rsid w:val="002B74C9"/>
    <w:rsid w:val="002B74D1"/>
    <w:rsid w:val="002B74E4"/>
    <w:rsid w:val="002B74E6"/>
    <w:rsid w:val="002B7514"/>
    <w:rsid w:val="002B756E"/>
    <w:rsid w:val="002B7594"/>
    <w:rsid w:val="002B75AB"/>
    <w:rsid w:val="002B75AE"/>
    <w:rsid w:val="002B75C7"/>
    <w:rsid w:val="002B75D1"/>
    <w:rsid w:val="002B75EC"/>
    <w:rsid w:val="002B75F1"/>
    <w:rsid w:val="002B7647"/>
    <w:rsid w:val="002B7666"/>
    <w:rsid w:val="002B7677"/>
    <w:rsid w:val="002B76DF"/>
    <w:rsid w:val="002B7704"/>
    <w:rsid w:val="002B7727"/>
    <w:rsid w:val="002B773C"/>
    <w:rsid w:val="002B77E4"/>
    <w:rsid w:val="002B7815"/>
    <w:rsid w:val="002B783B"/>
    <w:rsid w:val="002B783C"/>
    <w:rsid w:val="002B7889"/>
    <w:rsid w:val="002B78A5"/>
    <w:rsid w:val="002B7908"/>
    <w:rsid w:val="002B7912"/>
    <w:rsid w:val="002B7955"/>
    <w:rsid w:val="002B798D"/>
    <w:rsid w:val="002B7A08"/>
    <w:rsid w:val="002B7A2D"/>
    <w:rsid w:val="002B7A9F"/>
    <w:rsid w:val="002B7AA6"/>
    <w:rsid w:val="002B7AB3"/>
    <w:rsid w:val="002B7AC1"/>
    <w:rsid w:val="002B7AD0"/>
    <w:rsid w:val="002B7AD9"/>
    <w:rsid w:val="002B7B1F"/>
    <w:rsid w:val="002B7B75"/>
    <w:rsid w:val="002B7C11"/>
    <w:rsid w:val="002B7C55"/>
    <w:rsid w:val="002B7CA5"/>
    <w:rsid w:val="002B7CE5"/>
    <w:rsid w:val="002B7E10"/>
    <w:rsid w:val="002B7E81"/>
    <w:rsid w:val="002B7EC9"/>
    <w:rsid w:val="002B7EDF"/>
    <w:rsid w:val="002B7F67"/>
    <w:rsid w:val="002B7F86"/>
    <w:rsid w:val="002B7FC2"/>
    <w:rsid w:val="002B7FC3"/>
    <w:rsid w:val="002B7FE8"/>
    <w:rsid w:val="002BCB9A"/>
    <w:rsid w:val="002C0003"/>
    <w:rsid w:val="002C0041"/>
    <w:rsid w:val="002C004C"/>
    <w:rsid w:val="002C0064"/>
    <w:rsid w:val="002C007C"/>
    <w:rsid w:val="002C00BE"/>
    <w:rsid w:val="002C00E2"/>
    <w:rsid w:val="002C0129"/>
    <w:rsid w:val="002C01B2"/>
    <w:rsid w:val="002C01B6"/>
    <w:rsid w:val="002C01E0"/>
    <w:rsid w:val="002C01E5"/>
    <w:rsid w:val="002C0268"/>
    <w:rsid w:val="002C0300"/>
    <w:rsid w:val="002C0378"/>
    <w:rsid w:val="002C0392"/>
    <w:rsid w:val="002C03A1"/>
    <w:rsid w:val="002C03A7"/>
    <w:rsid w:val="002C03C2"/>
    <w:rsid w:val="002C041C"/>
    <w:rsid w:val="002C0449"/>
    <w:rsid w:val="002C046F"/>
    <w:rsid w:val="002C047C"/>
    <w:rsid w:val="002C04CA"/>
    <w:rsid w:val="002C0524"/>
    <w:rsid w:val="002C0530"/>
    <w:rsid w:val="002C0534"/>
    <w:rsid w:val="002C0535"/>
    <w:rsid w:val="002C05C5"/>
    <w:rsid w:val="002C05D4"/>
    <w:rsid w:val="002C0644"/>
    <w:rsid w:val="002C06D7"/>
    <w:rsid w:val="002C0740"/>
    <w:rsid w:val="002C0781"/>
    <w:rsid w:val="002C079A"/>
    <w:rsid w:val="002C0800"/>
    <w:rsid w:val="002C0833"/>
    <w:rsid w:val="002C0840"/>
    <w:rsid w:val="002C08A9"/>
    <w:rsid w:val="002C08C1"/>
    <w:rsid w:val="002C0924"/>
    <w:rsid w:val="002C098C"/>
    <w:rsid w:val="002C09F5"/>
    <w:rsid w:val="002C0A19"/>
    <w:rsid w:val="002C0A1B"/>
    <w:rsid w:val="002C0AE8"/>
    <w:rsid w:val="002C0B05"/>
    <w:rsid w:val="002C0B0B"/>
    <w:rsid w:val="002C0B73"/>
    <w:rsid w:val="002C0B7F"/>
    <w:rsid w:val="002C0C08"/>
    <w:rsid w:val="002C0C21"/>
    <w:rsid w:val="002C0C26"/>
    <w:rsid w:val="002C0C4C"/>
    <w:rsid w:val="002C0C56"/>
    <w:rsid w:val="002C0C86"/>
    <w:rsid w:val="002C0C8B"/>
    <w:rsid w:val="002C0D20"/>
    <w:rsid w:val="002C0D33"/>
    <w:rsid w:val="002C0D38"/>
    <w:rsid w:val="002C0D41"/>
    <w:rsid w:val="002C0D7A"/>
    <w:rsid w:val="002C0D91"/>
    <w:rsid w:val="002C0D99"/>
    <w:rsid w:val="002C0DBD"/>
    <w:rsid w:val="002C0E4B"/>
    <w:rsid w:val="002C0E6D"/>
    <w:rsid w:val="002C0E7D"/>
    <w:rsid w:val="002C0E81"/>
    <w:rsid w:val="002C0EB0"/>
    <w:rsid w:val="002C0ED5"/>
    <w:rsid w:val="002C0F40"/>
    <w:rsid w:val="002C0F56"/>
    <w:rsid w:val="002C0F6B"/>
    <w:rsid w:val="002C0FB2"/>
    <w:rsid w:val="002C1011"/>
    <w:rsid w:val="002C1066"/>
    <w:rsid w:val="002C10C2"/>
    <w:rsid w:val="002C10EA"/>
    <w:rsid w:val="002C10EC"/>
    <w:rsid w:val="002C10FC"/>
    <w:rsid w:val="002C115A"/>
    <w:rsid w:val="002C1182"/>
    <w:rsid w:val="002C11AC"/>
    <w:rsid w:val="002C11FA"/>
    <w:rsid w:val="002C1206"/>
    <w:rsid w:val="002C1211"/>
    <w:rsid w:val="002C122E"/>
    <w:rsid w:val="002C125D"/>
    <w:rsid w:val="002C1340"/>
    <w:rsid w:val="002C1446"/>
    <w:rsid w:val="002C1479"/>
    <w:rsid w:val="002C147D"/>
    <w:rsid w:val="002C14ED"/>
    <w:rsid w:val="002C159B"/>
    <w:rsid w:val="002C15A4"/>
    <w:rsid w:val="002C161F"/>
    <w:rsid w:val="002C1633"/>
    <w:rsid w:val="002C1650"/>
    <w:rsid w:val="002C1665"/>
    <w:rsid w:val="002C1678"/>
    <w:rsid w:val="002C1703"/>
    <w:rsid w:val="002C170D"/>
    <w:rsid w:val="002C1711"/>
    <w:rsid w:val="002C178C"/>
    <w:rsid w:val="002C1798"/>
    <w:rsid w:val="002C17B5"/>
    <w:rsid w:val="002C180B"/>
    <w:rsid w:val="002C185C"/>
    <w:rsid w:val="002C18CD"/>
    <w:rsid w:val="002C1932"/>
    <w:rsid w:val="002C193D"/>
    <w:rsid w:val="002C198F"/>
    <w:rsid w:val="002C1994"/>
    <w:rsid w:val="002C19CE"/>
    <w:rsid w:val="002C1A1E"/>
    <w:rsid w:val="002C1A27"/>
    <w:rsid w:val="002C1A61"/>
    <w:rsid w:val="002C1A8C"/>
    <w:rsid w:val="002C1A97"/>
    <w:rsid w:val="002C1AA7"/>
    <w:rsid w:val="002C1ABB"/>
    <w:rsid w:val="002C1B09"/>
    <w:rsid w:val="002C1BFC"/>
    <w:rsid w:val="002C1C3B"/>
    <w:rsid w:val="002C1C3C"/>
    <w:rsid w:val="002C1C46"/>
    <w:rsid w:val="002C1C69"/>
    <w:rsid w:val="002C1CE3"/>
    <w:rsid w:val="002C1CEE"/>
    <w:rsid w:val="002C1D05"/>
    <w:rsid w:val="002C1D3C"/>
    <w:rsid w:val="002C1D4E"/>
    <w:rsid w:val="002C1D5A"/>
    <w:rsid w:val="002C1DE4"/>
    <w:rsid w:val="002C1E54"/>
    <w:rsid w:val="002C1EBA"/>
    <w:rsid w:val="002C1EBE"/>
    <w:rsid w:val="002C1F16"/>
    <w:rsid w:val="002C1F68"/>
    <w:rsid w:val="002C1F78"/>
    <w:rsid w:val="002C202A"/>
    <w:rsid w:val="002C2054"/>
    <w:rsid w:val="002C20C8"/>
    <w:rsid w:val="002C20E7"/>
    <w:rsid w:val="002C21DA"/>
    <w:rsid w:val="002C2227"/>
    <w:rsid w:val="002C2281"/>
    <w:rsid w:val="002C229B"/>
    <w:rsid w:val="002C2325"/>
    <w:rsid w:val="002C2383"/>
    <w:rsid w:val="002C23BA"/>
    <w:rsid w:val="002C23C0"/>
    <w:rsid w:val="002C23DB"/>
    <w:rsid w:val="002C23E2"/>
    <w:rsid w:val="002C2428"/>
    <w:rsid w:val="002C2470"/>
    <w:rsid w:val="002C247B"/>
    <w:rsid w:val="002C248F"/>
    <w:rsid w:val="002C2499"/>
    <w:rsid w:val="002C24F3"/>
    <w:rsid w:val="002C2518"/>
    <w:rsid w:val="002C2526"/>
    <w:rsid w:val="002C253C"/>
    <w:rsid w:val="002C2575"/>
    <w:rsid w:val="002C263B"/>
    <w:rsid w:val="002C265E"/>
    <w:rsid w:val="002C267D"/>
    <w:rsid w:val="002C26D4"/>
    <w:rsid w:val="002C27B0"/>
    <w:rsid w:val="002C27EF"/>
    <w:rsid w:val="002C2809"/>
    <w:rsid w:val="002C2820"/>
    <w:rsid w:val="002C2838"/>
    <w:rsid w:val="002C283C"/>
    <w:rsid w:val="002C28DF"/>
    <w:rsid w:val="002C291A"/>
    <w:rsid w:val="002C2923"/>
    <w:rsid w:val="002C2928"/>
    <w:rsid w:val="002C2948"/>
    <w:rsid w:val="002C2985"/>
    <w:rsid w:val="002C29E3"/>
    <w:rsid w:val="002C29F8"/>
    <w:rsid w:val="002C29FC"/>
    <w:rsid w:val="002C2A14"/>
    <w:rsid w:val="002C2A20"/>
    <w:rsid w:val="002C2A43"/>
    <w:rsid w:val="002C2A4A"/>
    <w:rsid w:val="002C2AA9"/>
    <w:rsid w:val="002C2ADB"/>
    <w:rsid w:val="002C2AE1"/>
    <w:rsid w:val="002C2B1A"/>
    <w:rsid w:val="002C2B57"/>
    <w:rsid w:val="002C2BA8"/>
    <w:rsid w:val="002C2C12"/>
    <w:rsid w:val="002C2C2F"/>
    <w:rsid w:val="002C2C78"/>
    <w:rsid w:val="002C2C9B"/>
    <w:rsid w:val="002C2CA5"/>
    <w:rsid w:val="002C2CC3"/>
    <w:rsid w:val="002C2D21"/>
    <w:rsid w:val="002C2D30"/>
    <w:rsid w:val="002C2D37"/>
    <w:rsid w:val="002C2D3B"/>
    <w:rsid w:val="002C2DC8"/>
    <w:rsid w:val="002C2DD4"/>
    <w:rsid w:val="002C2DE9"/>
    <w:rsid w:val="002C2E35"/>
    <w:rsid w:val="002C2E8C"/>
    <w:rsid w:val="002C2E96"/>
    <w:rsid w:val="002C2E9F"/>
    <w:rsid w:val="002C2EB3"/>
    <w:rsid w:val="002C2EBA"/>
    <w:rsid w:val="002C2EFA"/>
    <w:rsid w:val="002C2F24"/>
    <w:rsid w:val="002C2F29"/>
    <w:rsid w:val="002C2F55"/>
    <w:rsid w:val="002C2F80"/>
    <w:rsid w:val="002C3013"/>
    <w:rsid w:val="002C3054"/>
    <w:rsid w:val="002C3075"/>
    <w:rsid w:val="002C3090"/>
    <w:rsid w:val="002C30A1"/>
    <w:rsid w:val="002C30E0"/>
    <w:rsid w:val="002C30EA"/>
    <w:rsid w:val="002C3127"/>
    <w:rsid w:val="002C313C"/>
    <w:rsid w:val="002C3156"/>
    <w:rsid w:val="002C3165"/>
    <w:rsid w:val="002C3168"/>
    <w:rsid w:val="002C319B"/>
    <w:rsid w:val="002C31E1"/>
    <w:rsid w:val="002C31EA"/>
    <w:rsid w:val="002C320B"/>
    <w:rsid w:val="002C3213"/>
    <w:rsid w:val="002C3236"/>
    <w:rsid w:val="002C323E"/>
    <w:rsid w:val="002C328A"/>
    <w:rsid w:val="002C32D1"/>
    <w:rsid w:val="002C3300"/>
    <w:rsid w:val="002C3308"/>
    <w:rsid w:val="002C330A"/>
    <w:rsid w:val="002C3363"/>
    <w:rsid w:val="002C33E2"/>
    <w:rsid w:val="002C33FB"/>
    <w:rsid w:val="002C3414"/>
    <w:rsid w:val="002C341C"/>
    <w:rsid w:val="002C3464"/>
    <w:rsid w:val="002C34A4"/>
    <w:rsid w:val="002C34AF"/>
    <w:rsid w:val="002C353D"/>
    <w:rsid w:val="002C3568"/>
    <w:rsid w:val="002C356A"/>
    <w:rsid w:val="002C3595"/>
    <w:rsid w:val="002C3599"/>
    <w:rsid w:val="002C35A6"/>
    <w:rsid w:val="002C35B9"/>
    <w:rsid w:val="002C3663"/>
    <w:rsid w:val="002C3670"/>
    <w:rsid w:val="002C36AE"/>
    <w:rsid w:val="002C36B8"/>
    <w:rsid w:val="002C36D2"/>
    <w:rsid w:val="002C36F4"/>
    <w:rsid w:val="002C36FB"/>
    <w:rsid w:val="002C370B"/>
    <w:rsid w:val="002C3790"/>
    <w:rsid w:val="002C379E"/>
    <w:rsid w:val="002C37B3"/>
    <w:rsid w:val="002C37BE"/>
    <w:rsid w:val="002C37EB"/>
    <w:rsid w:val="002C3800"/>
    <w:rsid w:val="002C38E5"/>
    <w:rsid w:val="002C3906"/>
    <w:rsid w:val="002C3924"/>
    <w:rsid w:val="002C3941"/>
    <w:rsid w:val="002C3983"/>
    <w:rsid w:val="002C39B1"/>
    <w:rsid w:val="002C39D0"/>
    <w:rsid w:val="002C3A3B"/>
    <w:rsid w:val="002C3A41"/>
    <w:rsid w:val="002C3AC8"/>
    <w:rsid w:val="002C3AE9"/>
    <w:rsid w:val="002C3B06"/>
    <w:rsid w:val="002C3B1C"/>
    <w:rsid w:val="002C3BFD"/>
    <w:rsid w:val="002C3C21"/>
    <w:rsid w:val="002C3C35"/>
    <w:rsid w:val="002C3C38"/>
    <w:rsid w:val="002C3C4C"/>
    <w:rsid w:val="002C3CAE"/>
    <w:rsid w:val="002C3CDA"/>
    <w:rsid w:val="002C3CDE"/>
    <w:rsid w:val="002C3D50"/>
    <w:rsid w:val="002C3D90"/>
    <w:rsid w:val="002C3DA1"/>
    <w:rsid w:val="002C3DDA"/>
    <w:rsid w:val="002C3DDF"/>
    <w:rsid w:val="002C3F13"/>
    <w:rsid w:val="002C3F1E"/>
    <w:rsid w:val="002C3F45"/>
    <w:rsid w:val="002C3FC3"/>
    <w:rsid w:val="002C3FD8"/>
    <w:rsid w:val="002C402B"/>
    <w:rsid w:val="002C4042"/>
    <w:rsid w:val="002C407D"/>
    <w:rsid w:val="002C4083"/>
    <w:rsid w:val="002C409F"/>
    <w:rsid w:val="002C40D6"/>
    <w:rsid w:val="002C40D9"/>
    <w:rsid w:val="002C4118"/>
    <w:rsid w:val="002C4126"/>
    <w:rsid w:val="002C4152"/>
    <w:rsid w:val="002C4168"/>
    <w:rsid w:val="002C420D"/>
    <w:rsid w:val="002C421C"/>
    <w:rsid w:val="002C4259"/>
    <w:rsid w:val="002C42B5"/>
    <w:rsid w:val="002C42CB"/>
    <w:rsid w:val="002C4352"/>
    <w:rsid w:val="002C439F"/>
    <w:rsid w:val="002C43C5"/>
    <w:rsid w:val="002C442E"/>
    <w:rsid w:val="002C4467"/>
    <w:rsid w:val="002C4485"/>
    <w:rsid w:val="002C44B1"/>
    <w:rsid w:val="002C4507"/>
    <w:rsid w:val="002C452B"/>
    <w:rsid w:val="002C456C"/>
    <w:rsid w:val="002C45A2"/>
    <w:rsid w:val="002C45C4"/>
    <w:rsid w:val="002C461F"/>
    <w:rsid w:val="002C462E"/>
    <w:rsid w:val="002C463D"/>
    <w:rsid w:val="002C46D6"/>
    <w:rsid w:val="002C46E4"/>
    <w:rsid w:val="002C4798"/>
    <w:rsid w:val="002C4799"/>
    <w:rsid w:val="002C47C1"/>
    <w:rsid w:val="002C47EB"/>
    <w:rsid w:val="002C47F3"/>
    <w:rsid w:val="002C4808"/>
    <w:rsid w:val="002C4852"/>
    <w:rsid w:val="002C4883"/>
    <w:rsid w:val="002C4888"/>
    <w:rsid w:val="002C48C7"/>
    <w:rsid w:val="002C495B"/>
    <w:rsid w:val="002C49EC"/>
    <w:rsid w:val="002C4A04"/>
    <w:rsid w:val="002C4A32"/>
    <w:rsid w:val="002C4A55"/>
    <w:rsid w:val="002C4AC7"/>
    <w:rsid w:val="002C4AC8"/>
    <w:rsid w:val="002C4ADD"/>
    <w:rsid w:val="002C4B00"/>
    <w:rsid w:val="002C4B17"/>
    <w:rsid w:val="002C4B51"/>
    <w:rsid w:val="002C4B55"/>
    <w:rsid w:val="002C4B67"/>
    <w:rsid w:val="002C4B7E"/>
    <w:rsid w:val="002C4B87"/>
    <w:rsid w:val="002C4BD8"/>
    <w:rsid w:val="002C4BF8"/>
    <w:rsid w:val="002C4C15"/>
    <w:rsid w:val="002C4C89"/>
    <w:rsid w:val="002C4C9E"/>
    <w:rsid w:val="002C4CBE"/>
    <w:rsid w:val="002C4CF7"/>
    <w:rsid w:val="002C4D4D"/>
    <w:rsid w:val="002C4D8B"/>
    <w:rsid w:val="002C4DA9"/>
    <w:rsid w:val="002C4E06"/>
    <w:rsid w:val="002C4E17"/>
    <w:rsid w:val="002C4E34"/>
    <w:rsid w:val="002C4E95"/>
    <w:rsid w:val="002C4EED"/>
    <w:rsid w:val="002C4F0D"/>
    <w:rsid w:val="002C4F16"/>
    <w:rsid w:val="002C4F24"/>
    <w:rsid w:val="002C4F36"/>
    <w:rsid w:val="002C4F5E"/>
    <w:rsid w:val="002C4F90"/>
    <w:rsid w:val="002C4F9A"/>
    <w:rsid w:val="002C501D"/>
    <w:rsid w:val="002C5077"/>
    <w:rsid w:val="002C5093"/>
    <w:rsid w:val="002C50E3"/>
    <w:rsid w:val="002C510F"/>
    <w:rsid w:val="002C511B"/>
    <w:rsid w:val="002C517B"/>
    <w:rsid w:val="002C518F"/>
    <w:rsid w:val="002C51AE"/>
    <w:rsid w:val="002C51DB"/>
    <w:rsid w:val="002C51FA"/>
    <w:rsid w:val="002C5227"/>
    <w:rsid w:val="002C522E"/>
    <w:rsid w:val="002C5263"/>
    <w:rsid w:val="002C533D"/>
    <w:rsid w:val="002C5359"/>
    <w:rsid w:val="002C5390"/>
    <w:rsid w:val="002C53BC"/>
    <w:rsid w:val="002C53BF"/>
    <w:rsid w:val="002C53F1"/>
    <w:rsid w:val="002C5483"/>
    <w:rsid w:val="002C5492"/>
    <w:rsid w:val="002C54D6"/>
    <w:rsid w:val="002C54F6"/>
    <w:rsid w:val="002C5537"/>
    <w:rsid w:val="002C5540"/>
    <w:rsid w:val="002C5563"/>
    <w:rsid w:val="002C55AC"/>
    <w:rsid w:val="002C55B7"/>
    <w:rsid w:val="002C55E7"/>
    <w:rsid w:val="002C5699"/>
    <w:rsid w:val="002C56C6"/>
    <w:rsid w:val="002C570D"/>
    <w:rsid w:val="002C5778"/>
    <w:rsid w:val="002C579F"/>
    <w:rsid w:val="002C57B6"/>
    <w:rsid w:val="002C584E"/>
    <w:rsid w:val="002C58A4"/>
    <w:rsid w:val="002C58B2"/>
    <w:rsid w:val="002C5922"/>
    <w:rsid w:val="002C5927"/>
    <w:rsid w:val="002C5977"/>
    <w:rsid w:val="002C59A6"/>
    <w:rsid w:val="002C59D2"/>
    <w:rsid w:val="002C59E6"/>
    <w:rsid w:val="002C5A1E"/>
    <w:rsid w:val="002C5A44"/>
    <w:rsid w:val="002C5A80"/>
    <w:rsid w:val="002C5AF0"/>
    <w:rsid w:val="002C5B95"/>
    <w:rsid w:val="002C5C18"/>
    <w:rsid w:val="002C5CD1"/>
    <w:rsid w:val="002C5D2D"/>
    <w:rsid w:val="002C5D85"/>
    <w:rsid w:val="002C5D93"/>
    <w:rsid w:val="002C5D94"/>
    <w:rsid w:val="002C5DA8"/>
    <w:rsid w:val="002C5DE5"/>
    <w:rsid w:val="002C5DE7"/>
    <w:rsid w:val="002C5DE9"/>
    <w:rsid w:val="002C5E41"/>
    <w:rsid w:val="002C5E6A"/>
    <w:rsid w:val="002C5E7B"/>
    <w:rsid w:val="002C5EAB"/>
    <w:rsid w:val="002C5F2E"/>
    <w:rsid w:val="002C5F84"/>
    <w:rsid w:val="002C5F92"/>
    <w:rsid w:val="002C5F96"/>
    <w:rsid w:val="002C5FAC"/>
    <w:rsid w:val="002C5FE5"/>
    <w:rsid w:val="002C6092"/>
    <w:rsid w:val="002C60B5"/>
    <w:rsid w:val="002C60CC"/>
    <w:rsid w:val="002C60E0"/>
    <w:rsid w:val="002C6203"/>
    <w:rsid w:val="002C621F"/>
    <w:rsid w:val="002C6236"/>
    <w:rsid w:val="002C62B0"/>
    <w:rsid w:val="002C62CD"/>
    <w:rsid w:val="002C6323"/>
    <w:rsid w:val="002C635A"/>
    <w:rsid w:val="002C63CC"/>
    <w:rsid w:val="002C642E"/>
    <w:rsid w:val="002C6430"/>
    <w:rsid w:val="002C6450"/>
    <w:rsid w:val="002C6473"/>
    <w:rsid w:val="002C64B8"/>
    <w:rsid w:val="002C64E1"/>
    <w:rsid w:val="002C653D"/>
    <w:rsid w:val="002C653F"/>
    <w:rsid w:val="002C655F"/>
    <w:rsid w:val="002C6580"/>
    <w:rsid w:val="002C65C0"/>
    <w:rsid w:val="002C65EF"/>
    <w:rsid w:val="002C665A"/>
    <w:rsid w:val="002C66B9"/>
    <w:rsid w:val="002C66CD"/>
    <w:rsid w:val="002C66DD"/>
    <w:rsid w:val="002C66FF"/>
    <w:rsid w:val="002C6704"/>
    <w:rsid w:val="002C6751"/>
    <w:rsid w:val="002C6753"/>
    <w:rsid w:val="002C6755"/>
    <w:rsid w:val="002C676C"/>
    <w:rsid w:val="002C676F"/>
    <w:rsid w:val="002C679C"/>
    <w:rsid w:val="002C67B9"/>
    <w:rsid w:val="002C67D3"/>
    <w:rsid w:val="002C67D8"/>
    <w:rsid w:val="002C67E0"/>
    <w:rsid w:val="002C687B"/>
    <w:rsid w:val="002C687E"/>
    <w:rsid w:val="002C6915"/>
    <w:rsid w:val="002C6922"/>
    <w:rsid w:val="002C6926"/>
    <w:rsid w:val="002C6944"/>
    <w:rsid w:val="002C6973"/>
    <w:rsid w:val="002C697D"/>
    <w:rsid w:val="002C6988"/>
    <w:rsid w:val="002C69B5"/>
    <w:rsid w:val="002C6A34"/>
    <w:rsid w:val="002C6AF4"/>
    <w:rsid w:val="002C6AF5"/>
    <w:rsid w:val="002C6B3A"/>
    <w:rsid w:val="002C6BCC"/>
    <w:rsid w:val="002C6BD5"/>
    <w:rsid w:val="002C6BF5"/>
    <w:rsid w:val="002C6C0D"/>
    <w:rsid w:val="002C6C13"/>
    <w:rsid w:val="002C6C1E"/>
    <w:rsid w:val="002C6C3B"/>
    <w:rsid w:val="002C6C94"/>
    <w:rsid w:val="002C6C9D"/>
    <w:rsid w:val="002C6CA9"/>
    <w:rsid w:val="002C6CC2"/>
    <w:rsid w:val="002C6CDC"/>
    <w:rsid w:val="002C6CE1"/>
    <w:rsid w:val="002C6D0C"/>
    <w:rsid w:val="002C6D63"/>
    <w:rsid w:val="002C6DFB"/>
    <w:rsid w:val="002C6E7E"/>
    <w:rsid w:val="002C6E8E"/>
    <w:rsid w:val="002C6E94"/>
    <w:rsid w:val="002C6E99"/>
    <w:rsid w:val="002C6E9A"/>
    <w:rsid w:val="002C6EC4"/>
    <w:rsid w:val="002C6EFB"/>
    <w:rsid w:val="002C6F30"/>
    <w:rsid w:val="002C6F3E"/>
    <w:rsid w:val="002C6F67"/>
    <w:rsid w:val="002C6F85"/>
    <w:rsid w:val="002C6F94"/>
    <w:rsid w:val="002C6FC0"/>
    <w:rsid w:val="002C6FFC"/>
    <w:rsid w:val="002C701F"/>
    <w:rsid w:val="002C7055"/>
    <w:rsid w:val="002C706A"/>
    <w:rsid w:val="002C70CA"/>
    <w:rsid w:val="002C70D3"/>
    <w:rsid w:val="002C7121"/>
    <w:rsid w:val="002C712B"/>
    <w:rsid w:val="002C71B6"/>
    <w:rsid w:val="002C71BA"/>
    <w:rsid w:val="002C7228"/>
    <w:rsid w:val="002C728E"/>
    <w:rsid w:val="002C72C6"/>
    <w:rsid w:val="002C7313"/>
    <w:rsid w:val="002C7330"/>
    <w:rsid w:val="002C7353"/>
    <w:rsid w:val="002C7374"/>
    <w:rsid w:val="002C7377"/>
    <w:rsid w:val="002C7399"/>
    <w:rsid w:val="002C73DD"/>
    <w:rsid w:val="002C74AA"/>
    <w:rsid w:val="002C74B4"/>
    <w:rsid w:val="002C755F"/>
    <w:rsid w:val="002C757B"/>
    <w:rsid w:val="002C757D"/>
    <w:rsid w:val="002C7593"/>
    <w:rsid w:val="002C75A3"/>
    <w:rsid w:val="002C760E"/>
    <w:rsid w:val="002C7658"/>
    <w:rsid w:val="002C76D3"/>
    <w:rsid w:val="002C7753"/>
    <w:rsid w:val="002C7780"/>
    <w:rsid w:val="002C7795"/>
    <w:rsid w:val="002C781E"/>
    <w:rsid w:val="002C7855"/>
    <w:rsid w:val="002C7863"/>
    <w:rsid w:val="002C7879"/>
    <w:rsid w:val="002C78E0"/>
    <w:rsid w:val="002C7976"/>
    <w:rsid w:val="002C79AB"/>
    <w:rsid w:val="002C7A61"/>
    <w:rsid w:val="002C7A6D"/>
    <w:rsid w:val="002C7A88"/>
    <w:rsid w:val="002C7A93"/>
    <w:rsid w:val="002C7B2A"/>
    <w:rsid w:val="002C7B6C"/>
    <w:rsid w:val="002C7B85"/>
    <w:rsid w:val="002C7BA8"/>
    <w:rsid w:val="002C7BE1"/>
    <w:rsid w:val="002C7BFA"/>
    <w:rsid w:val="002C7C1F"/>
    <w:rsid w:val="002C7C25"/>
    <w:rsid w:val="002C7C2D"/>
    <w:rsid w:val="002C7C9F"/>
    <w:rsid w:val="002C7CDB"/>
    <w:rsid w:val="002C7CE3"/>
    <w:rsid w:val="002C7D65"/>
    <w:rsid w:val="002C7DDC"/>
    <w:rsid w:val="002C7DE9"/>
    <w:rsid w:val="002C7E04"/>
    <w:rsid w:val="002C7E38"/>
    <w:rsid w:val="002C7EA7"/>
    <w:rsid w:val="002C7EC6"/>
    <w:rsid w:val="002C7ECF"/>
    <w:rsid w:val="002C7F21"/>
    <w:rsid w:val="002C7FFD"/>
    <w:rsid w:val="002CFF67"/>
    <w:rsid w:val="002D0041"/>
    <w:rsid w:val="002D00DC"/>
    <w:rsid w:val="002D0163"/>
    <w:rsid w:val="002D01ED"/>
    <w:rsid w:val="002D023D"/>
    <w:rsid w:val="002D025D"/>
    <w:rsid w:val="002D0269"/>
    <w:rsid w:val="002D0291"/>
    <w:rsid w:val="002D0364"/>
    <w:rsid w:val="002D040D"/>
    <w:rsid w:val="002D0421"/>
    <w:rsid w:val="002D0494"/>
    <w:rsid w:val="002D050A"/>
    <w:rsid w:val="002D0517"/>
    <w:rsid w:val="002D0529"/>
    <w:rsid w:val="002D0652"/>
    <w:rsid w:val="002D0729"/>
    <w:rsid w:val="002D0737"/>
    <w:rsid w:val="002D074F"/>
    <w:rsid w:val="002D0750"/>
    <w:rsid w:val="002D0772"/>
    <w:rsid w:val="002D0775"/>
    <w:rsid w:val="002D07F0"/>
    <w:rsid w:val="002D0820"/>
    <w:rsid w:val="002D0880"/>
    <w:rsid w:val="002D0888"/>
    <w:rsid w:val="002D08A0"/>
    <w:rsid w:val="002D0910"/>
    <w:rsid w:val="002D0945"/>
    <w:rsid w:val="002D098D"/>
    <w:rsid w:val="002D0995"/>
    <w:rsid w:val="002D09DE"/>
    <w:rsid w:val="002D09F4"/>
    <w:rsid w:val="002D0A27"/>
    <w:rsid w:val="002D0A28"/>
    <w:rsid w:val="002D0A64"/>
    <w:rsid w:val="002D0A86"/>
    <w:rsid w:val="002D0AAA"/>
    <w:rsid w:val="002D0AB7"/>
    <w:rsid w:val="002D0AF3"/>
    <w:rsid w:val="002D0B20"/>
    <w:rsid w:val="002D0B22"/>
    <w:rsid w:val="002D0B4E"/>
    <w:rsid w:val="002D0B67"/>
    <w:rsid w:val="002D0C68"/>
    <w:rsid w:val="002D0C93"/>
    <w:rsid w:val="002D0CF2"/>
    <w:rsid w:val="002D0E76"/>
    <w:rsid w:val="002D0EC1"/>
    <w:rsid w:val="002D0ED9"/>
    <w:rsid w:val="002D0EFE"/>
    <w:rsid w:val="002D0F08"/>
    <w:rsid w:val="002D0F59"/>
    <w:rsid w:val="002D0F80"/>
    <w:rsid w:val="002D0FBA"/>
    <w:rsid w:val="002D103A"/>
    <w:rsid w:val="002D1045"/>
    <w:rsid w:val="002D107A"/>
    <w:rsid w:val="002D109B"/>
    <w:rsid w:val="002D10C0"/>
    <w:rsid w:val="002D11CB"/>
    <w:rsid w:val="002D129B"/>
    <w:rsid w:val="002D12C4"/>
    <w:rsid w:val="002D12D5"/>
    <w:rsid w:val="002D131F"/>
    <w:rsid w:val="002D1371"/>
    <w:rsid w:val="002D141D"/>
    <w:rsid w:val="002D1436"/>
    <w:rsid w:val="002D148C"/>
    <w:rsid w:val="002D14E8"/>
    <w:rsid w:val="002D152E"/>
    <w:rsid w:val="002D1543"/>
    <w:rsid w:val="002D15BA"/>
    <w:rsid w:val="002D167C"/>
    <w:rsid w:val="002D1688"/>
    <w:rsid w:val="002D16D8"/>
    <w:rsid w:val="002D16E0"/>
    <w:rsid w:val="002D1738"/>
    <w:rsid w:val="002D17AE"/>
    <w:rsid w:val="002D17D8"/>
    <w:rsid w:val="002D182B"/>
    <w:rsid w:val="002D1867"/>
    <w:rsid w:val="002D1898"/>
    <w:rsid w:val="002D18F1"/>
    <w:rsid w:val="002D1903"/>
    <w:rsid w:val="002D191D"/>
    <w:rsid w:val="002D195B"/>
    <w:rsid w:val="002D19B8"/>
    <w:rsid w:val="002D19C1"/>
    <w:rsid w:val="002D1A0D"/>
    <w:rsid w:val="002D1A4D"/>
    <w:rsid w:val="002D1A9C"/>
    <w:rsid w:val="002D1AB9"/>
    <w:rsid w:val="002D1B11"/>
    <w:rsid w:val="002D1B4A"/>
    <w:rsid w:val="002D1C09"/>
    <w:rsid w:val="002D1C27"/>
    <w:rsid w:val="002D1C67"/>
    <w:rsid w:val="002D1CB1"/>
    <w:rsid w:val="002D1CC3"/>
    <w:rsid w:val="002D1D51"/>
    <w:rsid w:val="002D1D80"/>
    <w:rsid w:val="002D1DCF"/>
    <w:rsid w:val="002D1E0C"/>
    <w:rsid w:val="002D1E12"/>
    <w:rsid w:val="002D1E38"/>
    <w:rsid w:val="002D1E39"/>
    <w:rsid w:val="002D1E5B"/>
    <w:rsid w:val="002D1EEC"/>
    <w:rsid w:val="002D1EF0"/>
    <w:rsid w:val="002D1EFD"/>
    <w:rsid w:val="002D1F5F"/>
    <w:rsid w:val="002D1F8A"/>
    <w:rsid w:val="002D1FB7"/>
    <w:rsid w:val="002D205B"/>
    <w:rsid w:val="002D205F"/>
    <w:rsid w:val="002D20D8"/>
    <w:rsid w:val="002D20E6"/>
    <w:rsid w:val="002D2199"/>
    <w:rsid w:val="002D21BB"/>
    <w:rsid w:val="002D2213"/>
    <w:rsid w:val="002D2268"/>
    <w:rsid w:val="002D22EB"/>
    <w:rsid w:val="002D230D"/>
    <w:rsid w:val="002D230E"/>
    <w:rsid w:val="002D231E"/>
    <w:rsid w:val="002D2341"/>
    <w:rsid w:val="002D235B"/>
    <w:rsid w:val="002D23B0"/>
    <w:rsid w:val="002D23B8"/>
    <w:rsid w:val="002D23BE"/>
    <w:rsid w:val="002D23C1"/>
    <w:rsid w:val="002D2443"/>
    <w:rsid w:val="002D24CF"/>
    <w:rsid w:val="002D24D0"/>
    <w:rsid w:val="002D2571"/>
    <w:rsid w:val="002D261F"/>
    <w:rsid w:val="002D263B"/>
    <w:rsid w:val="002D2687"/>
    <w:rsid w:val="002D26F4"/>
    <w:rsid w:val="002D271B"/>
    <w:rsid w:val="002D2742"/>
    <w:rsid w:val="002D2798"/>
    <w:rsid w:val="002D27F5"/>
    <w:rsid w:val="002D2816"/>
    <w:rsid w:val="002D281A"/>
    <w:rsid w:val="002D2825"/>
    <w:rsid w:val="002D2833"/>
    <w:rsid w:val="002D2858"/>
    <w:rsid w:val="002D289C"/>
    <w:rsid w:val="002D28AB"/>
    <w:rsid w:val="002D28C4"/>
    <w:rsid w:val="002D28D0"/>
    <w:rsid w:val="002D291E"/>
    <w:rsid w:val="002D29B4"/>
    <w:rsid w:val="002D29BD"/>
    <w:rsid w:val="002D2A0F"/>
    <w:rsid w:val="002D2A4B"/>
    <w:rsid w:val="002D2A7C"/>
    <w:rsid w:val="002D2A82"/>
    <w:rsid w:val="002D2ACF"/>
    <w:rsid w:val="002D2B12"/>
    <w:rsid w:val="002D2B1B"/>
    <w:rsid w:val="002D2B21"/>
    <w:rsid w:val="002D2B34"/>
    <w:rsid w:val="002D2B5F"/>
    <w:rsid w:val="002D2B73"/>
    <w:rsid w:val="002D2BF9"/>
    <w:rsid w:val="002D2C04"/>
    <w:rsid w:val="002D2C17"/>
    <w:rsid w:val="002D2C59"/>
    <w:rsid w:val="002D2D3E"/>
    <w:rsid w:val="002D2D49"/>
    <w:rsid w:val="002D2D53"/>
    <w:rsid w:val="002D2D67"/>
    <w:rsid w:val="002D2DC5"/>
    <w:rsid w:val="002D2DEE"/>
    <w:rsid w:val="002D2E48"/>
    <w:rsid w:val="002D2E5D"/>
    <w:rsid w:val="002D2E70"/>
    <w:rsid w:val="002D2E7B"/>
    <w:rsid w:val="002D2EDA"/>
    <w:rsid w:val="002D2EDB"/>
    <w:rsid w:val="002D2EFA"/>
    <w:rsid w:val="002D2F87"/>
    <w:rsid w:val="002D3013"/>
    <w:rsid w:val="002D3044"/>
    <w:rsid w:val="002D30A0"/>
    <w:rsid w:val="002D30F7"/>
    <w:rsid w:val="002D312B"/>
    <w:rsid w:val="002D3135"/>
    <w:rsid w:val="002D315C"/>
    <w:rsid w:val="002D3200"/>
    <w:rsid w:val="002D3249"/>
    <w:rsid w:val="002D3282"/>
    <w:rsid w:val="002D32C9"/>
    <w:rsid w:val="002D32CA"/>
    <w:rsid w:val="002D32D7"/>
    <w:rsid w:val="002D3328"/>
    <w:rsid w:val="002D332D"/>
    <w:rsid w:val="002D3333"/>
    <w:rsid w:val="002D337B"/>
    <w:rsid w:val="002D339A"/>
    <w:rsid w:val="002D33AD"/>
    <w:rsid w:val="002D33E8"/>
    <w:rsid w:val="002D3408"/>
    <w:rsid w:val="002D344B"/>
    <w:rsid w:val="002D3474"/>
    <w:rsid w:val="002D34AE"/>
    <w:rsid w:val="002D34AF"/>
    <w:rsid w:val="002D35DB"/>
    <w:rsid w:val="002D363B"/>
    <w:rsid w:val="002D3647"/>
    <w:rsid w:val="002D364B"/>
    <w:rsid w:val="002D3679"/>
    <w:rsid w:val="002D3689"/>
    <w:rsid w:val="002D36CA"/>
    <w:rsid w:val="002D3708"/>
    <w:rsid w:val="002D372E"/>
    <w:rsid w:val="002D379F"/>
    <w:rsid w:val="002D380B"/>
    <w:rsid w:val="002D380F"/>
    <w:rsid w:val="002D3833"/>
    <w:rsid w:val="002D3841"/>
    <w:rsid w:val="002D3850"/>
    <w:rsid w:val="002D3893"/>
    <w:rsid w:val="002D38A6"/>
    <w:rsid w:val="002D38AF"/>
    <w:rsid w:val="002D38EB"/>
    <w:rsid w:val="002D38F6"/>
    <w:rsid w:val="002D3958"/>
    <w:rsid w:val="002D396F"/>
    <w:rsid w:val="002D397E"/>
    <w:rsid w:val="002D399D"/>
    <w:rsid w:val="002D3A1F"/>
    <w:rsid w:val="002D3A86"/>
    <w:rsid w:val="002D3A97"/>
    <w:rsid w:val="002D3A9A"/>
    <w:rsid w:val="002D3AA5"/>
    <w:rsid w:val="002D3AD3"/>
    <w:rsid w:val="002D3B2B"/>
    <w:rsid w:val="002D3BEA"/>
    <w:rsid w:val="002D3C08"/>
    <w:rsid w:val="002D3CCD"/>
    <w:rsid w:val="002D3CD5"/>
    <w:rsid w:val="002D3CEB"/>
    <w:rsid w:val="002D3D1A"/>
    <w:rsid w:val="002D3D60"/>
    <w:rsid w:val="002D3E0A"/>
    <w:rsid w:val="002D3E6F"/>
    <w:rsid w:val="002D3E8B"/>
    <w:rsid w:val="002D3EFE"/>
    <w:rsid w:val="002D3F1A"/>
    <w:rsid w:val="002D3F2D"/>
    <w:rsid w:val="002D3F48"/>
    <w:rsid w:val="002D3F59"/>
    <w:rsid w:val="002D3F93"/>
    <w:rsid w:val="002D3FA8"/>
    <w:rsid w:val="002D3FA9"/>
    <w:rsid w:val="002D3FAD"/>
    <w:rsid w:val="002D3FAF"/>
    <w:rsid w:val="002D400D"/>
    <w:rsid w:val="002D4012"/>
    <w:rsid w:val="002D4049"/>
    <w:rsid w:val="002D404C"/>
    <w:rsid w:val="002D4063"/>
    <w:rsid w:val="002D40BC"/>
    <w:rsid w:val="002D40D8"/>
    <w:rsid w:val="002D4158"/>
    <w:rsid w:val="002D41F8"/>
    <w:rsid w:val="002D427E"/>
    <w:rsid w:val="002D434B"/>
    <w:rsid w:val="002D434D"/>
    <w:rsid w:val="002D4369"/>
    <w:rsid w:val="002D445E"/>
    <w:rsid w:val="002D4467"/>
    <w:rsid w:val="002D4492"/>
    <w:rsid w:val="002D4496"/>
    <w:rsid w:val="002D450D"/>
    <w:rsid w:val="002D451C"/>
    <w:rsid w:val="002D4569"/>
    <w:rsid w:val="002D458F"/>
    <w:rsid w:val="002D45C9"/>
    <w:rsid w:val="002D45E9"/>
    <w:rsid w:val="002D461A"/>
    <w:rsid w:val="002D46AD"/>
    <w:rsid w:val="002D46C1"/>
    <w:rsid w:val="002D4711"/>
    <w:rsid w:val="002D4713"/>
    <w:rsid w:val="002D478F"/>
    <w:rsid w:val="002D4841"/>
    <w:rsid w:val="002D4867"/>
    <w:rsid w:val="002D4919"/>
    <w:rsid w:val="002D4928"/>
    <w:rsid w:val="002D4959"/>
    <w:rsid w:val="002D4972"/>
    <w:rsid w:val="002D4980"/>
    <w:rsid w:val="002D498C"/>
    <w:rsid w:val="002D4997"/>
    <w:rsid w:val="002D49AE"/>
    <w:rsid w:val="002D49EA"/>
    <w:rsid w:val="002D4A16"/>
    <w:rsid w:val="002D4A79"/>
    <w:rsid w:val="002D4AF3"/>
    <w:rsid w:val="002D4B0C"/>
    <w:rsid w:val="002D4B30"/>
    <w:rsid w:val="002D4B33"/>
    <w:rsid w:val="002D4B3A"/>
    <w:rsid w:val="002D4B69"/>
    <w:rsid w:val="002D4B7E"/>
    <w:rsid w:val="002D4BD3"/>
    <w:rsid w:val="002D4C1A"/>
    <w:rsid w:val="002D4C1B"/>
    <w:rsid w:val="002D4C31"/>
    <w:rsid w:val="002D4C36"/>
    <w:rsid w:val="002D4CBA"/>
    <w:rsid w:val="002D4D5C"/>
    <w:rsid w:val="002D4D5E"/>
    <w:rsid w:val="002D4D68"/>
    <w:rsid w:val="002D4D8C"/>
    <w:rsid w:val="002D4DA6"/>
    <w:rsid w:val="002D4DA8"/>
    <w:rsid w:val="002D4DBC"/>
    <w:rsid w:val="002D4DCC"/>
    <w:rsid w:val="002D4E4A"/>
    <w:rsid w:val="002D4E4F"/>
    <w:rsid w:val="002D4E82"/>
    <w:rsid w:val="002D4EB1"/>
    <w:rsid w:val="002D4EEF"/>
    <w:rsid w:val="002D4F53"/>
    <w:rsid w:val="002D4F6B"/>
    <w:rsid w:val="002D4FAC"/>
    <w:rsid w:val="002D4FE9"/>
    <w:rsid w:val="002D4FEC"/>
    <w:rsid w:val="002D4FFB"/>
    <w:rsid w:val="002D5003"/>
    <w:rsid w:val="002D5064"/>
    <w:rsid w:val="002D50DE"/>
    <w:rsid w:val="002D5129"/>
    <w:rsid w:val="002D51B9"/>
    <w:rsid w:val="002D51E0"/>
    <w:rsid w:val="002D51E5"/>
    <w:rsid w:val="002D51F8"/>
    <w:rsid w:val="002D522C"/>
    <w:rsid w:val="002D523B"/>
    <w:rsid w:val="002D525B"/>
    <w:rsid w:val="002D5282"/>
    <w:rsid w:val="002D5388"/>
    <w:rsid w:val="002D538A"/>
    <w:rsid w:val="002D53E0"/>
    <w:rsid w:val="002D541B"/>
    <w:rsid w:val="002D5488"/>
    <w:rsid w:val="002D549F"/>
    <w:rsid w:val="002D54DC"/>
    <w:rsid w:val="002D5510"/>
    <w:rsid w:val="002D551B"/>
    <w:rsid w:val="002D554F"/>
    <w:rsid w:val="002D558D"/>
    <w:rsid w:val="002D55E5"/>
    <w:rsid w:val="002D562A"/>
    <w:rsid w:val="002D5643"/>
    <w:rsid w:val="002D564B"/>
    <w:rsid w:val="002D56B6"/>
    <w:rsid w:val="002D56D3"/>
    <w:rsid w:val="002D56EF"/>
    <w:rsid w:val="002D56F3"/>
    <w:rsid w:val="002D56FA"/>
    <w:rsid w:val="002D56FD"/>
    <w:rsid w:val="002D5740"/>
    <w:rsid w:val="002D578A"/>
    <w:rsid w:val="002D579A"/>
    <w:rsid w:val="002D57BC"/>
    <w:rsid w:val="002D57E4"/>
    <w:rsid w:val="002D582F"/>
    <w:rsid w:val="002D5869"/>
    <w:rsid w:val="002D58E4"/>
    <w:rsid w:val="002D5936"/>
    <w:rsid w:val="002D5945"/>
    <w:rsid w:val="002D596D"/>
    <w:rsid w:val="002D5989"/>
    <w:rsid w:val="002D5992"/>
    <w:rsid w:val="002D5A59"/>
    <w:rsid w:val="002D5A97"/>
    <w:rsid w:val="002D5AA1"/>
    <w:rsid w:val="002D5AEF"/>
    <w:rsid w:val="002D5B82"/>
    <w:rsid w:val="002D5B98"/>
    <w:rsid w:val="002D5BCF"/>
    <w:rsid w:val="002D5C42"/>
    <w:rsid w:val="002D5C43"/>
    <w:rsid w:val="002D5CCA"/>
    <w:rsid w:val="002D5CD6"/>
    <w:rsid w:val="002D5DDA"/>
    <w:rsid w:val="002D5DE7"/>
    <w:rsid w:val="002D5E13"/>
    <w:rsid w:val="002D5E2A"/>
    <w:rsid w:val="002D5E3F"/>
    <w:rsid w:val="002D5E41"/>
    <w:rsid w:val="002D5E4B"/>
    <w:rsid w:val="002D5E84"/>
    <w:rsid w:val="002D5E85"/>
    <w:rsid w:val="002D5E87"/>
    <w:rsid w:val="002D5E90"/>
    <w:rsid w:val="002D5EAF"/>
    <w:rsid w:val="002D5F44"/>
    <w:rsid w:val="002D5F74"/>
    <w:rsid w:val="002D5FAF"/>
    <w:rsid w:val="002D5FDA"/>
    <w:rsid w:val="002D6010"/>
    <w:rsid w:val="002D604F"/>
    <w:rsid w:val="002D60A1"/>
    <w:rsid w:val="002D60AC"/>
    <w:rsid w:val="002D60FA"/>
    <w:rsid w:val="002D60FF"/>
    <w:rsid w:val="002D617D"/>
    <w:rsid w:val="002D61F3"/>
    <w:rsid w:val="002D6234"/>
    <w:rsid w:val="002D631B"/>
    <w:rsid w:val="002D63A9"/>
    <w:rsid w:val="002D63F3"/>
    <w:rsid w:val="002D6445"/>
    <w:rsid w:val="002D64E9"/>
    <w:rsid w:val="002D6507"/>
    <w:rsid w:val="002D6540"/>
    <w:rsid w:val="002D6548"/>
    <w:rsid w:val="002D654E"/>
    <w:rsid w:val="002D65CE"/>
    <w:rsid w:val="002D660E"/>
    <w:rsid w:val="002D6654"/>
    <w:rsid w:val="002D6682"/>
    <w:rsid w:val="002D66A7"/>
    <w:rsid w:val="002D66AD"/>
    <w:rsid w:val="002D66E7"/>
    <w:rsid w:val="002D66FD"/>
    <w:rsid w:val="002D6751"/>
    <w:rsid w:val="002D6758"/>
    <w:rsid w:val="002D6786"/>
    <w:rsid w:val="002D67AC"/>
    <w:rsid w:val="002D68AC"/>
    <w:rsid w:val="002D6906"/>
    <w:rsid w:val="002D6930"/>
    <w:rsid w:val="002D6973"/>
    <w:rsid w:val="002D69D7"/>
    <w:rsid w:val="002D69E9"/>
    <w:rsid w:val="002D6A21"/>
    <w:rsid w:val="002D6A48"/>
    <w:rsid w:val="002D6A73"/>
    <w:rsid w:val="002D6A8E"/>
    <w:rsid w:val="002D6B53"/>
    <w:rsid w:val="002D6B9F"/>
    <w:rsid w:val="002D6BC6"/>
    <w:rsid w:val="002D6C2A"/>
    <w:rsid w:val="002D6C52"/>
    <w:rsid w:val="002D6CA4"/>
    <w:rsid w:val="002D6D28"/>
    <w:rsid w:val="002D6D2A"/>
    <w:rsid w:val="002D6D40"/>
    <w:rsid w:val="002D6D76"/>
    <w:rsid w:val="002D6D7B"/>
    <w:rsid w:val="002D6D92"/>
    <w:rsid w:val="002D6DCE"/>
    <w:rsid w:val="002D6DFD"/>
    <w:rsid w:val="002D6E20"/>
    <w:rsid w:val="002D6E38"/>
    <w:rsid w:val="002D6E61"/>
    <w:rsid w:val="002D6EC6"/>
    <w:rsid w:val="002D6EEE"/>
    <w:rsid w:val="002D6F10"/>
    <w:rsid w:val="002D6F12"/>
    <w:rsid w:val="002D6F63"/>
    <w:rsid w:val="002D6FA4"/>
    <w:rsid w:val="002D6FB8"/>
    <w:rsid w:val="002D7027"/>
    <w:rsid w:val="002D703B"/>
    <w:rsid w:val="002D7078"/>
    <w:rsid w:val="002D7085"/>
    <w:rsid w:val="002D7092"/>
    <w:rsid w:val="002D7097"/>
    <w:rsid w:val="002D70D3"/>
    <w:rsid w:val="002D70D9"/>
    <w:rsid w:val="002D70FE"/>
    <w:rsid w:val="002D7126"/>
    <w:rsid w:val="002D7132"/>
    <w:rsid w:val="002D7144"/>
    <w:rsid w:val="002D714E"/>
    <w:rsid w:val="002D719C"/>
    <w:rsid w:val="002D71BD"/>
    <w:rsid w:val="002D71BF"/>
    <w:rsid w:val="002D71D9"/>
    <w:rsid w:val="002D7242"/>
    <w:rsid w:val="002D724A"/>
    <w:rsid w:val="002D729E"/>
    <w:rsid w:val="002D72CF"/>
    <w:rsid w:val="002D73C6"/>
    <w:rsid w:val="002D74F6"/>
    <w:rsid w:val="002D7506"/>
    <w:rsid w:val="002D757F"/>
    <w:rsid w:val="002D7591"/>
    <w:rsid w:val="002D75BB"/>
    <w:rsid w:val="002D75F5"/>
    <w:rsid w:val="002D7633"/>
    <w:rsid w:val="002D764E"/>
    <w:rsid w:val="002D76F9"/>
    <w:rsid w:val="002D7732"/>
    <w:rsid w:val="002D7747"/>
    <w:rsid w:val="002D77CC"/>
    <w:rsid w:val="002D7803"/>
    <w:rsid w:val="002D7839"/>
    <w:rsid w:val="002D786F"/>
    <w:rsid w:val="002D789E"/>
    <w:rsid w:val="002D78C7"/>
    <w:rsid w:val="002D78EE"/>
    <w:rsid w:val="002D7906"/>
    <w:rsid w:val="002D7927"/>
    <w:rsid w:val="002D7943"/>
    <w:rsid w:val="002D796C"/>
    <w:rsid w:val="002D79A7"/>
    <w:rsid w:val="002D79B3"/>
    <w:rsid w:val="002D7A1A"/>
    <w:rsid w:val="002D7A25"/>
    <w:rsid w:val="002D7A38"/>
    <w:rsid w:val="002D7A59"/>
    <w:rsid w:val="002D7ACB"/>
    <w:rsid w:val="002D7B15"/>
    <w:rsid w:val="002D7B58"/>
    <w:rsid w:val="002D7B5C"/>
    <w:rsid w:val="002D7B89"/>
    <w:rsid w:val="002D7BBD"/>
    <w:rsid w:val="002D7BD4"/>
    <w:rsid w:val="002D7BDC"/>
    <w:rsid w:val="002D7C31"/>
    <w:rsid w:val="002D7C64"/>
    <w:rsid w:val="002D7C71"/>
    <w:rsid w:val="002D7D33"/>
    <w:rsid w:val="002D7D7F"/>
    <w:rsid w:val="002D7DA3"/>
    <w:rsid w:val="002D7DCA"/>
    <w:rsid w:val="002D7DE5"/>
    <w:rsid w:val="002D7E02"/>
    <w:rsid w:val="002D7E49"/>
    <w:rsid w:val="002D7E73"/>
    <w:rsid w:val="002D7F6B"/>
    <w:rsid w:val="002D7FB2"/>
    <w:rsid w:val="002D7FF6"/>
    <w:rsid w:val="002E000F"/>
    <w:rsid w:val="002E007E"/>
    <w:rsid w:val="002E00E7"/>
    <w:rsid w:val="002E00F2"/>
    <w:rsid w:val="002E011C"/>
    <w:rsid w:val="002E01E2"/>
    <w:rsid w:val="002E0260"/>
    <w:rsid w:val="002E0290"/>
    <w:rsid w:val="002E032D"/>
    <w:rsid w:val="002E046C"/>
    <w:rsid w:val="002E0492"/>
    <w:rsid w:val="002E049F"/>
    <w:rsid w:val="002E04B1"/>
    <w:rsid w:val="002E04BE"/>
    <w:rsid w:val="002E04C8"/>
    <w:rsid w:val="002E04E2"/>
    <w:rsid w:val="002E051F"/>
    <w:rsid w:val="002E0557"/>
    <w:rsid w:val="002E057E"/>
    <w:rsid w:val="002E05B7"/>
    <w:rsid w:val="002E0666"/>
    <w:rsid w:val="002E0669"/>
    <w:rsid w:val="002E0673"/>
    <w:rsid w:val="002E071B"/>
    <w:rsid w:val="002E0746"/>
    <w:rsid w:val="002E0748"/>
    <w:rsid w:val="002E076C"/>
    <w:rsid w:val="002E07B8"/>
    <w:rsid w:val="002E07EF"/>
    <w:rsid w:val="002E0810"/>
    <w:rsid w:val="002E081B"/>
    <w:rsid w:val="002E084E"/>
    <w:rsid w:val="002E08C1"/>
    <w:rsid w:val="002E08E7"/>
    <w:rsid w:val="002E0911"/>
    <w:rsid w:val="002E091A"/>
    <w:rsid w:val="002E096E"/>
    <w:rsid w:val="002E0993"/>
    <w:rsid w:val="002E0995"/>
    <w:rsid w:val="002E0A4C"/>
    <w:rsid w:val="002E0AF8"/>
    <w:rsid w:val="002E0B06"/>
    <w:rsid w:val="002E0B7D"/>
    <w:rsid w:val="002E0C5C"/>
    <w:rsid w:val="002E0CA7"/>
    <w:rsid w:val="002E0CB0"/>
    <w:rsid w:val="002E0CCD"/>
    <w:rsid w:val="002E0CE4"/>
    <w:rsid w:val="002E0D42"/>
    <w:rsid w:val="002E0D8F"/>
    <w:rsid w:val="002E0E1D"/>
    <w:rsid w:val="002E0E33"/>
    <w:rsid w:val="002E0E5E"/>
    <w:rsid w:val="002E0E76"/>
    <w:rsid w:val="002E0F77"/>
    <w:rsid w:val="002E0F9A"/>
    <w:rsid w:val="002E0FAE"/>
    <w:rsid w:val="002E101B"/>
    <w:rsid w:val="002E1054"/>
    <w:rsid w:val="002E1062"/>
    <w:rsid w:val="002E1069"/>
    <w:rsid w:val="002E10DC"/>
    <w:rsid w:val="002E10F8"/>
    <w:rsid w:val="002E10F9"/>
    <w:rsid w:val="002E10FA"/>
    <w:rsid w:val="002E1102"/>
    <w:rsid w:val="002E1151"/>
    <w:rsid w:val="002E116F"/>
    <w:rsid w:val="002E12D7"/>
    <w:rsid w:val="002E12F7"/>
    <w:rsid w:val="002E139B"/>
    <w:rsid w:val="002E1419"/>
    <w:rsid w:val="002E145A"/>
    <w:rsid w:val="002E1486"/>
    <w:rsid w:val="002E1489"/>
    <w:rsid w:val="002E150D"/>
    <w:rsid w:val="002E1521"/>
    <w:rsid w:val="002E158B"/>
    <w:rsid w:val="002E159E"/>
    <w:rsid w:val="002E1623"/>
    <w:rsid w:val="002E1683"/>
    <w:rsid w:val="002E1684"/>
    <w:rsid w:val="002E168B"/>
    <w:rsid w:val="002E1766"/>
    <w:rsid w:val="002E17AA"/>
    <w:rsid w:val="002E1832"/>
    <w:rsid w:val="002E184F"/>
    <w:rsid w:val="002E1855"/>
    <w:rsid w:val="002E18A7"/>
    <w:rsid w:val="002E18F8"/>
    <w:rsid w:val="002E1933"/>
    <w:rsid w:val="002E1941"/>
    <w:rsid w:val="002E1966"/>
    <w:rsid w:val="002E1969"/>
    <w:rsid w:val="002E196F"/>
    <w:rsid w:val="002E1983"/>
    <w:rsid w:val="002E19ED"/>
    <w:rsid w:val="002E19FD"/>
    <w:rsid w:val="002E1A20"/>
    <w:rsid w:val="002E1A3A"/>
    <w:rsid w:val="002E1A3B"/>
    <w:rsid w:val="002E1A53"/>
    <w:rsid w:val="002E1A72"/>
    <w:rsid w:val="002E1AD2"/>
    <w:rsid w:val="002E1B9C"/>
    <w:rsid w:val="002E1BA8"/>
    <w:rsid w:val="002E1BB9"/>
    <w:rsid w:val="002E1BBC"/>
    <w:rsid w:val="002E1C61"/>
    <w:rsid w:val="002E1CBA"/>
    <w:rsid w:val="002E1CCC"/>
    <w:rsid w:val="002E1D23"/>
    <w:rsid w:val="002E1D4A"/>
    <w:rsid w:val="002E1DA1"/>
    <w:rsid w:val="002E1DC3"/>
    <w:rsid w:val="002E1DC5"/>
    <w:rsid w:val="002E1E5B"/>
    <w:rsid w:val="002E1E99"/>
    <w:rsid w:val="002E1F63"/>
    <w:rsid w:val="002E1F68"/>
    <w:rsid w:val="002E1F8B"/>
    <w:rsid w:val="002E1FCA"/>
    <w:rsid w:val="002E1FF1"/>
    <w:rsid w:val="002E2008"/>
    <w:rsid w:val="002E205E"/>
    <w:rsid w:val="002E2086"/>
    <w:rsid w:val="002E20BE"/>
    <w:rsid w:val="002E20C8"/>
    <w:rsid w:val="002E20DF"/>
    <w:rsid w:val="002E20E9"/>
    <w:rsid w:val="002E20FD"/>
    <w:rsid w:val="002E21CC"/>
    <w:rsid w:val="002E2289"/>
    <w:rsid w:val="002E2296"/>
    <w:rsid w:val="002E2406"/>
    <w:rsid w:val="002E241A"/>
    <w:rsid w:val="002E243B"/>
    <w:rsid w:val="002E244F"/>
    <w:rsid w:val="002E2480"/>
    <w:rsid w:val="002E24A9"/>
    <w:rsid w:val="002E24B5"/>
    <w:rsid w:val="002E252A"/>
    <w:rsid w:val="002E2551"/>
    <w:rsid w:val="002E25E8"/>
    <w:rsid w:val="002E25FB"/>
    <w:rsid w:val="002E2605"/>
    <w:rsid w:val="002E2630"/>
    <w:rsid w:val="002E264C"/>
    <w:rsid w:val="002E2761"/>
    <w:rsid w:val="002E27CC"/>
    <w:rsid w:val="002E27FA"/>
    <w:rsid w:val="002E2801"/>
    <w:rsid w:val="002E28B6"/>
    <w:rsid w:val="002E28BE"/>
    <w:rsid w:val="002E291D"/>
    <w:rsid w:val="002E2945"/>
    <w:rsid w:val="002E297C"/>
    <w:rsid w:val="002E29FF"/>
    <w:rsid w:val="002E2A04"/>
    <w:rsid w:val="002E2A42"/>
    <w:rsid w:val="002E2A5F"/>
    <w:rsid w:val="002E2B0E"/>
    <w:rsid w:val="002E2B5C"/>
    <w:rsid w:val="002E2B60"/>
    <w:rsid w:val="002E2BC0"/>
    <w:rsid w:val="002E2BEA"/>
    <w:rsid w:val="002E2C27"/>
    <w:rsid w:val="002E2C95"/>
    <w:rsid w:val="002E2CD2"/>
    <w:rsid w:val="002E2CF8"/>
    <w:rsid w:val="002E2D0F"/>
    <w:rsid w:val="002E2D48"/>
    <w:rsid w:val="002E2D72"/>
    <w:rsid w:val="002E2DAB"/>
    <w:rsid w:val="002E2DB7"/>
    <w:rsid w:val="002E2DC6"/>
    <w:rsid w:val="002E2E23"/>
    <w:rsid w:val="002E2E53"/>
    <w:rsid w:val="002E2EE4"/>
    <w:rsid w:val="002E2EEB"/>
    <w:rsid w:val="002E2EF6"/>
    <w:rsid w:val="002E2F1C"/>
    <w:rsid w:val="002E2F5E"/>
    <w:rsid w:val="002E2F5F"/>
    <w:rsid w:val="002E2F96"/>
    <w:rsid w:val="002E2FC5"/>
    <w:rsid w:val="002E2FEE"/>
    <w:rsid w:val="002E2FEF"/>
    <w:rsid w:val="002E3010"/>
    <w:rsid w:val="002E3025"/>
    <w:rsid w:val="002E302B"/>
    <w:rsid w:val="002E303B"/>
    <w:rsid w:val="002E3043"/>
    <w:rsid w:val="002E30A4"/>
    <w:rsid w:val="002E311D"/>
    <w:rsid w:val="002E3191"/>
    <w:rsid w:val="002E31D1"/>
    <w:rsid w:val="002E31E8"/>
    <w:rsid w:val="002E3213"/>
    <w:rsid w:val="002E325E"/>
    <w:rsid w:val="002E326A"/>
    <w:rsid w:val="002E3273"/>
    <w:rsid w:val="002E328F"/>
    <w:rsid w:val="002E32AB"/>
    <w:rsid w:val="002E3307"/>
    <w:rsid w:val="002E3358"/>
    <w:rsid w:val="002E3395"/>
    <w:rsid w:val="002E3473"/>
    <w:rsid w:val="002E3474"/>
    <w:rsid w:val="002E34AA"/>
    <w:rsid w:val="002E34AE"/>
    <w:rsid w:val="002E34D6"/>
    <w:rsid w:val="002E3533"/>
    <w:rsid w:val="002E36BA"/>
    <w:rsid w:val="002E36CA"/>
    <w:rsid w:val="002E36D0"/>
    <w:rsid w:val="002E371C"/>
    <w:rsid w:val="002E372C"/>
    <w:rsid w:val="002E3739"/>
    <w:rsid w:val="002E3787"/>
    <w:rsid w:val="002E37F9"/>
    <w:rsid w:val="002E384C"/>
    <w:rsid w:val="002E386B"/>
    <w:rsid w:val="002E3885"/>
    <w:rsid w:val="002E38B0"/>
    <w:rsid w:val="002E38B5"/>
    <w:rsid w:val="002E38CD"/>
    <w:rsid w:val="002E3964"/>
    <w:rsid w:val="002E39A6"/>
    <w:rsid w:val="002E39BC"/>
    <w:rsid w:val="002E39D5"/>
    <w:rsid w:val="002E3A5B"/>
    <w:rsid w:val="002E3A67"/>
    <w:rsid w:val="002E3B39"/>
    <w:rsid w:val="002E3BB7"/>
    <w:rsid w:val="002E3BD4"/>
    <w:rsid w:val="002E3BFE"/>
    <w:rsid w:val="002E3C7C"/>
    <w:rsid w:val="002E3CF0"/>
    <w:rsid w:val="002E3DD3"/>
    <w:rsid w:val="002E3DE4"/>
    <w:rsid w:val="002E3E2E"/>
    <w:rsid w:val="002E3E79"/>
    <w:rsid w:val="002E3E82"/>
    <w:rsid w:val="002E3EB7"/>
    <w:rsid w:val="002E3F3A"/>
    <w:rsid w:val="002E3F4C"/>
    <w:rsid w:val="002E3FEB"/>
    <w:rsid w:val="002E40BC"/>
    <w:rsid w:val="002E40F2"/>
    <w:rsid w:val="002E410D"/>
    <w:rsid w:val="002E415E"/>
    <w:rsid w:val="002E41A6"/>
    <w:rsid w:val="002E41C0"/>
    <w:rsid w:val="002E4217"/>
    <w:rsid w:val="002E422B"/>
    <w:rsid w:val="002E4244"/>
    <w:rsid w:val="002E426C"/>
    <w:rsid w:val="002E428C"/>
    <w:rsid w:val="002E42AD"/>
    <w:rsid w:val="002E42C1"/>
    <w:rsid w:val="002E42C7"/>
    <w:rsid w:val="002E4360"/>
    <w:rsid w:val="002E4395"/>
    <w:rsid w:val="002E4437"/>
    <w:rsid w:val="002E4449"/>
    <w:rsid w:val="002E448E"/>
    <w:rsid w:val="002E44AE"/>
    <w:rsid w:val="002E44C3"/>
    <w:rsid w:val="002E44FD"/>
    <w:rsid w:val="002E4543"/>
    <w:rsid w:val="002E4587"/>
    <w:rsid w:val="002E45F8"/>
    <w:rsid w:val="002E4618"/>
    <w:rsid w:val="002E4643"/>
    <w:rsid w:val="002E4646"/>
    <w:rsid w:val="002E46F0"/>
    <w:rsid w:val="002E46F7"/>
    <w:rsid w:val="002E4716"/>
    <w:rsid w:val="002E4719"/>
    <w:rsid w:val="002E4781"/>
    <w:rsid w:val="002E47DB"/>
    <w:rsid w:val="002E47E4"/>
    <w:rsid w:val="002E4839"/>
    <w:rsid w:val="002E483A"/>
    <w:rsid w:val="002E4842"/>
    <w:rsid w:val="002E4845"/>
    <w:rsid w:val="002E489F"/>
    <w:rsid w:val="002E48B0"/>
    <w:rsid w:val="002E48C7"/>
    <w:rsid w:val="002E48CF"/>
    <w:rsid w:val="002E48E1"/>
    <w:rsid w:val="002E494B"/>
    <w:rsid w:val="002E494C"/>
    <w:rsid w:val="002E4996"/>
    <w:rsid w:val="002E49D5"/>
    <w:rsid w:val="002E49E5"/>
    <w:rsid w:val="002E4A18"/>
    <w:rsid w:val="002E4A1C"/>
    <w:rsid w:val="002E4A49"/>
    <w:rsid w:val="002E4A4E"/>
    <w:rsid w:val="002E4A84"/>
    <w:rsid w:val="002E4AAA"/>
    <w:rsid w:val="002E4ACF"/>
    <w:rsid w:val="002E4B05"/>
    <w:rsid w:val="002E4B19"/>
    <w:rsid w:val="002E4B2A"/>
    <w:rsid w:val="002E4B36"/>
    <w:rsid w:val="002E4B71"/>
    <w:rsid w:val="002E4B92"/>
    <w:rsid w:val="002E4BA0"/>
    <w:rsid w:val="002E4BB0"/>
    <w:rsid w:val="002E4BB7"/>
    <w:rsid w:val="002E4C38"/>
    <w:rsid w:val="002E4C4A"/>
    <w:rsid w:val="002E4C60"/>
    <w:rsid w:val="002E4C63"/>
    <w:rsid w:val="002E4C7C"/>
    <w:rsid w:val="002E4C83"/>
    <w:rsid w:val="002E4C8F"/>
    <w:rsid w:val="002E4CF1"/>
    <w:rsid w:val="002E4D04"/>
    <w:rsid w:val="002E4D05"/>
    <w:rsid w:val="002E4D45"/>
    <w:rsid w:val="002E4D46"/>
    <w:rsid w:val="002E4DA0"/>
    <w:rsid w:val="002E4DAD"/>
    <w:rsid w:val="002E4DF1"/>
    <w:rsid w:val="002E4E22"/>
    <w:rsid w:val="002E4E37"/>
    <w:rsid w:val="002E4E61"/>
    <w:rsid w:val="002E4E65"/>
    <w:rsid w:val="002E4EA1"/>
    <w:rsid w:val="002E4EDB"/>
    <w:rsid w:val="002E4F69"/>
    <w:rsid w:val="002E4F7C"/>
    <w:rsid w:val="002E4F82"/>
    <w:rsid w:val="002E4FD3"/>
    <w:rsid w:val="002E5000"/>
    <w:rsid w:val="002E500F"/>
    <w:rsid w:val="002E5028"/>
    <w:rsid w:val="002E503B"/>
    <w:rsid w:val="002E5071"/>
    <w:rsid w:val="002E5142"/>
    <w:rsid w:val="002E516B"/>
    <w:rsid w:val="002E5186"/>
    <w:rsid w:val="002E5198"/>
    <w:rsid w:val="002E528E"/>
    <w:rsid w:val="002E532A"/>
    <w:rsid w:val="002E532F"/>
    <w:rsid w:val="002E5347"/>
    <w:rsid w:val="002E53A4"/>
    <w:rsid w:val="002E5404"/>
    <w:rsid w:val="002E5420"/>
    <w:rsid w:val="002E545C"/>
    <w:rsid w:val="002E545D"/>
    <w:rsid w:val="002E5471"/>
    <w:rsid w:val="002E5492"/>
    <w:rsid w:val="002E54C4"/>
    <w:rsid w:val="002E54D9"/>
    <w:rsid w:val="002E551B"/>
    <w:rsid w:val="002E55D7"/>
    <w:rsid w:val="002E55E4"/>
    <w:rsid w:val="002E55FF"/>
    <w:rsid w:val="002E5605"/>
    <w:rsid w:val="002E5615"/>
    <w:rsid w:val="002E562A"/>
    <w:rsid w:val="002E5683"/>
    <w:rsid w:val="002E569A"/>
    <w:rsid w:val="002E56A8"/>
    <w:rsid w:val="002E56A9"/>
    <w:rsid w:val="002E56F6"/>
    <w:rsid w:val="002E571E"/>
    <w:rsid w:val="002E5721"/>
    <w:rsid w:val="002E572D"/>
    <w:rsid w:val="002E5739"/>
    <w:rsid w:val="002E573C"/>
    <w:rsid w:val="002E574A"/>
    <w:rsid w:val="002E57D8"/>
    <w:rsid w:val="002E5835"/>
    <w:rsid w:val="002E5841"/>
    <w:rsid w:val="002E584F"/>
    <w:rsid w:val="002E586F"/>
    <w:rsid w:val="002E5885"/>
    <w:rsid w:val="002E58DB"/>
    <w:rsid w:val="002E5979"/>
    <w:rsid w:val="002E59E6"/>
    <w:rsid w:val="002E59F1"/>
    <w:rsid w:val="002E5A11"/>
    <w:rsid w:val="002E5A1B"/>
    <w:rsid w:val="002E5A79"/>
    <w:rsid w:val="002E5AE5"/>
    <w:rsid w:val="002E5B24"/>
    <w:rsid w:val="002E5B5A"/>
    <w:rsid w:val="002E5B5C"/>
    <w:rsid w:val="002E5B75"/>
    <w:rsid w:val="002E5BA7"/>
    <w:rsid w:val="002E5C58"/>
    <w:rsid w:val="002E5CDB"/>
    <w:rsid w:val="002E5CE9"/>
    <w:rsid w:val="002E5D02"/>
    <w:rsid w:val="002E5D62"/>
    <w:rsid w:val="002E5D87"/>
    <w:rsid w:val="002E5DA8"/>
    <w:rsid w:val="002E5DC4"/>
    <w:rsid w:val="002E5E00"/>
    <w:rsid w:val="002E5E0A"/>
    <w:rsid w:val="002E5E60"/>
    <w:rsid w:val="002E5E80"/>
    <w:rsid w:val="002E5E85"/>
    <w:rsid w:val="002E5ED4"/>
    <w:rsid w:val="002E5EDE"/>
    <w:rsid w:val="002E5F32"/>
    <w:rsid w:val="002E5F41"/>
    <w:rsid w:val="002E5F72"/>
    <w:rsid w:val="002E5F95"/>
    <w:rsid w:val="002E5FB7"/>
    <w:rsid w:val="002E5FFD"/>
    <w:rsid w:val="002E606F"/>
    <w:rsid w:val="002E6080"/>
    <w:rsid w:val="002E60AD"/>
    <w:rsid w:val="002E60D0"/>
    <w:rsid w:val="002E60EB"/>
    <w:rsid w:val="002E60F0"/>
    <w:rsid w:val="002E611C"/>
    <w:rsid w:val="002E6147"/>
    <w:rsid w:val="002E6175"/>
    <w:rsid w:val="002E61C5"/>
    <w:rsid w:val="002E61D8"/>
    <w:rsid w:val="002E61ED"/>
    <w:rsid w:val="002E622C"/>
    <w:rsid w:val="002E6235"/>
    <w:rsid w:val="002E6255"/>
    <w:rsid w:val="002E6267"/>
    <w:rsid w:val="002E626A"/>
    <w:rsid w:val="002E6283"/>
    <w:rsid w:val="002E629A"/>
    <w:rsid w:val="002E62F9"/>
    <w:rsid w:val="002E632B"/>
    <w:rsid w:val="002E635B"/>
    <w:rsid w:val="002E6398"/>
    <w:rsid w:val="002E642C"/>
    <w:rsid w:val="002E6450"/>
    <w:rsid w:val="002E6488"/>
    <w:rsid w:val="002E655B"/>
    <w:rsid w:val="002E6566"/>
    <w:rsid w:val="002E656B"/>
    <w:rsid w:val="002E6577"/>
    <w:rsid w:val="002E657C"/>
    <w:rsid w:val="002E6580"/>
    <w:rsid w:val="002E6588"/>
    <w:rsid w:val="002E65A1"/>
    <w:rsid w:val="002E65F7"/>
    <w:rsid w:val="002E665F"/>
    <w:rsid w:val="002E668D"/>
    <w:rsid w:val="002E66C7"/>
    <w:rsid w:val="002E66F6"/>
    <w:rsid w:val="002E6702"/>
    <w:rsid w:val="002E6719"/>
    <w:rsid w:val="002E67B5"/>
    <w:rsid w:val="002E67E7"/>
    <w:rsid w:val="002E6815"/>
    <w:rsid w:val="002E6872"/>
    <w:rsid w:val="002E688B"/>
    <w:rsid w:val="002E68A0"/>
    <w:rsid w:val="002E68C5"/>
    <w:rsid w:val="002E68FF"/>
    <w:rsid w:val="002E6906"/>
    <w:rsid w:val="002E692F"/>
    <w:rsid w:val="002E696B"/>
    <w:rsid w:val="002E69CE"/>
    <w:rsid w:val="002E69DE"/>
    <w:rsid w:val="002E6A06"/>
    <w:rsid w:val="002E6A09"/>
    <w:rsid w:val="002E6A15"/>
    <w:rsid w:val="002E6A2C"/>
    <w:rsid w:val="002E6A88"/>
    <w:rsid w:val="002E6AA1"/>
    <w:rsid w:val="002E6AEB"/>
    <w:rsid w:val="002E6B09"/>
    <w:rsid w:val="002E6B15"/>
    <w:rsid w:val="002E6B1A"/>
    <w:rsid w:val="002E6B4E"/>
    <w:rsid w:val="002E6BB1"/>
    <w:rsid w:val="002E6BD0"/>
    <w:rsid w:val="002E6C32"/>
    <w:rsid w:val="002E6C34"/>
    <w:rsid w:val="002E6C67"/>
    <w:rsid w:val="002E6C77"/>
    <w:rsid w:val="002E6C7F"/>
    <w:rsid w:val="002E6DA8"/>
    <w:rsid w:val="002E6E56"/>
    <w:rsid w:val="002E6E86"/>
    <w:rsid w:val="002E6E8B"/>
    <w:rsid w:val="002E6EAD"/>
    <w:rsid w:val="002E6EDB"/>
    <w:rsid w:val="002E6F2A"/>
    <w:rsid w:val="002E6FAB"/>
    <w:rsid w:val="002E6FB5"/>
    <w:rsid w:val="002E6FCD"/>
    <w:rsid w:val="002E7006"/>
    <w:rsid w:val="002E707B"/>
    <w:rsid w:val="002E708E"/>
    <w:rsid w:val="002E715C"/>
    <w:rsid w:val="002E7180"/>
    <w:rsid w:val="002E718B"/>
    <w:rsid w:val="002E718E"/>
    <w:rsid w:val="002E71BE"/>
    <w:rsid w:val="002E71D0"/>
    <w:rsid w:val="002E71D7"/>
    <w:rsid w:val="002E71D9"/>
    <w:rsid w:val="002E7209"/>
    <w:rsid w:val="002E7215"/>
    <w:rsid w:val="002E724C"/>
    <w:rsid w:val="002E72F2"/>
    <w:rsid w:val="002E72F5"/>
    <w:rsid w:val="002E7336"/>
    <w:rsid w:val="002E73C1"/>
    <w:rsid w:val="002E73D3"/>
    <w:rsid w:val="002E7407"/>
    <w:rsid w:val="002E743F"/>
    <w:rsid w:val="002E7474"/>
    <w:rsid w:val="002E7498"/>
    <w:rsid w:val="002E74FB"/>
    <w:rsid w:val="002E74FD"/>
    <w:rsid w:val="002E752E"/>
    <w:rsid w:val="002E7538"/>
    <w:rsid w:val="002E7551"/>
    <w:rsid w:val="002E7584"/>
    <w:rsid w:val="002E75AC"/>
    <w:rsid w:val="002E766A"/>
    <w:rsid w:val="002E766B"/>
    <w:rsid w:val="002E7689"/>
    <w:rsid w:val="002E76AB"/>
    <w:rsid w:val="002E76F7"/>
    <w:rsid w:val="002E771B"/>
    <w:rsid w:val="002E7729"/>
    <w:rsid w:val="002E7776"/>
    <w:rsid w:val="002E77C2"/>
    <w:rsid w:val="002E7813"/>
    <w:rsid w:val="002E7848"/>
    <w:rsid w:val="002E7877"/>
    <w:rsid w:val="002E788A"/>
    <w:rsid w:val="002E789B"/>
    <w:rsid w:val="002E78B5"/>
    <w:rsid w:val="002E78D6"/>
    <w:rsid w:val="002E7921"/>
    <w:rsid w:val="002E792D"/>
    <w:rsid w:val="002E7969"/>
    <w:rsid w:val="002E7974"/>
    <w:rsid w:val="002E7980"/>
    <w:rsid w:val="002E7A10"/>
    <w:rsid w:val="002E7A70"/>
    <w:rsid w:val="002E7ADC"/>
    <w:rsid w:val="002E7AFB"/>
    <w:rsid w:val="002E7B44"/>
    <w:rsid w:val="002E7B5D"/>
    <w:rsid w:val="002E7BCC"/>
    <w:rsid w:val="002E7BE0"/>
    <w:rsid w:val="002E7BF3"/>
    <w:rsid w:val="002E7CD5"/>
    <w:rsid w:val="002E7D19"/>
    <w:rsid w:val="002E7D36"/>
    <w:rsid w:val="002E7D37"/>
    <w:rsid w:val="002E7D43"/>
    <w:rsid w:val="002E7DB5"/>
    <w:rsid w:val="002E7DFC"/>
    <w:rsid w:val="002E7DFF"/>
    <w:rsid w:val="002E7E04"/>
    <w:rsid w:val="002E7E25"/>
    <w:rsid w:val="002E7E2E"/>
    <w:rsid w:val="002E7E93"/>
    <w:rsid w:val="002E7ECB"/>
    <w:rsid w:val="002E7EDD"/>
    <w:rsid w:val="002E7EDF"/>
    <w:rsid w:val="002E7F91"/>
    <w:rsid w:val="002E7FC9"/>
    <w:rsid w:val="002F0024"/>
    <w:rsid w:val="002F003D"/>
    <w:rsid w:val="002F005B"/>
    <w:rsid w:val="002F005D"/>
    <w:rsid w:val="002F0072"/>
    <w:rsid w:val="002F007D"/>
    <w:rsid w:val="002F00D5"/>
    <w:rsid w:val="002F00F3"/>
    <w:rsid w:val="002F0168"/>
    <w:rsid w:val="002F0191"/>
    <w:rsid w:val="002F01A1"/>
    <w:rsid w:val="002F01B7"/>
    <w:rsid w:val="002F01E7"/>
    <w:rsid w:val="002F026B"/>
    <w:rsid w:val="002F02A7"/>
    <w:rsid w:val="002F02C7"/>
    <w:rsid w:val="002F02F7"/>
    <w:rsid w:val="002F0305"/>
    <w:rsid w:val="002F030B"/>
    <w:rsid w:val="002F0334"/>
    <w:rsid w:val="002F036C"/>
    <w:rsid w:val="002F03B1"/>
    <w:rsid w:val="002F03D2"/>
    <w:rsid w:val="002F042D"/>
    <w:rsid w:val="002F04D8"/>
    <w:rsid w:val="002F05A4"/>
    <w:rsid w:val="002F05A5"/>
    <w:rsid w:val="002F05F8"/>
    <w:rsid w:val="002F061D"/>
    <w:rsid w:val="002F0626"/>
    <w:rsid w:val="002F0630"/>
    <w:rsid w:val="002F0641"/>
    <w:rsid w:val="002F066C"/>
    <w:rsid w:val="002F0741"/>
    <w:rsid w:val="002F074E"/>
    <w:rsid w:val="002F0794"/>
    <w:rsid w:val="002F07A9"/>
    <w:rsid w:val="002F0824"/>
    <w:rsid w:val="002F0874"/>
    <w:rsid w:val="002F094D"/>
    <w:rsid w:val="002F095A"/>
    <w:rsid w:val="002F097B"/>
    <w:rsid w:val="002F09A6"/>
    <w:rsid w:val="002F09A9"/>
    <w:rsid w:val="002F09F2"/>
    <w:rsid w:val="002F09F5"/>
    <w:rsid w:val="002F0A8C"/>
    <w:rsid w:val="002F0B9F"/>
    <w:rsid w:val="002F0BBD"/>
    <w:rsid w:val="002F0C5A"/>
    <w:rsid w:val="002F0C5C"/>
    <w:rsid w:val="002F0C98"/>
    <w:rsid w:val="002F0C9F"/>
    <w:rsid w:val="002F0CB4"/>
    <w:rsid w:val="002F0CB6"/>
    <w:rsid w:val="002F0CC4"/>
    <w:rsid w:val="002F0CE6"/>
    <w:rsid w:val="002F0D43"/>
    <w:rsid w:val="002F0D48"/>
    <w:rsid w:val="002F0D54"/>
    <w:rsid w:val="002F0EF7"/>
    <w:rsid w:val="002F0F11"/>
    <w:rsid w:val="002F0F44"/>
    <w:rsid w:val="002F0F4A"/>
    <w:rsid w:val="002F0FF2"/>
    <w:rsid w:val="002F101A"/>
    <w:rsid w:val="002F1074"/>
    <w:rsid w:val="002F10B0"/>
    <w:rsid w:val="002F1105"/>
    <w:rsid w:val="002F1127"/>
    <w:rsid w:val="002F11A0"/>
    <w:rsid w:val="002F11AB"/>
    <w:rsid w:val="002F11E7"/>
    <w:rsid w:val="002F11EC"/>
    <w:rsid w:val="002F121D"/>
    <w:rsid w:val="002F1226"/>
    <w:rsid w:val="002F12F6"/>
    <w:rsid w:val="002F1349"/>
    <w:rsid w:val="002F139A"/>
    <w:rsid w:val="002F1430"/>
    <w:rsid w:val="002F1438"/>
    <w:rsid w:val="002F1439"/>
    <w:rsid w:val="002F1469"/>
    <w:rsid w:val="002F1493"/>
    <w:rsid w:val="002F1579"/>
    <w:rsid w:val="002F15B6"/>
    <w:rsid w:val="002F1600"/>
    <w:rsid w:val="002F1629"/>
    <w:rsid w:val="002F1634"/>
    <w:rsid w:val="002F163B"/>
    <w:rsid w:val="002F1685"/>
    <w:rsid w:val="002F16AC"/>
    <w:rsid w:val="002F16D7"/>
    <w:rsid w:val="002F16DA"/>
    <w:rsid w:val="002F1773"/>
    <w:rsid w:val="002F17A4"/>
    <w:rsid w:val="002F17A8"/>
    <w:rsid w:val="002F187E"/>
    <w:rsid w:val="002F18AF"/>
    <w:rsid w:val="002F18BF"/>
    <w:rsid w:val="002F1901"/>
    <w:rsid w:val="002F1973"/>
    <w:rsid w:val="002F1988"/>
    <w:rsid w:val="002F19F1"/>
    <w:rsid w:val="002F1A32"/>
    <w:rsid w:val="002F1AAE"/>
    <w:rsid w:val="002F1ABE"/>
    <w:rsid w:val="002F1ABF"/>
    <w:rsid w:val="002F1B00"/>
    <w:rsid w:val="002F1B4C"/>
    <w:rsid w:val="002F1B91"/>
    <w:rsid w:val="002F1C13"/>
    <w:rsid w:val="002F1C57"/>
    <w:rsid w:val="002F1CB6"/>
    <w:rsid w:val="002F1CEE"/>
    <w:rsid w:val="002F1CF0"/>
    <w:rsid w:val="002F1D18"/>
    <w:rsid w:val="002F1D47"/>
    <w:rsid w:val="002F1D4E"/>
    <w:rsid w:val="002F1D6A"/>
    <w:rsid w:val="002F1D8C"/>
    <w:rsid w:val="002F1DAF"/>
    <w:rsid w:val="002F1E04"/>
    <w:rsid w:val="002F1E3F"/>
    <w:rsid w:val="002F1E72"/>
    <w:rsid w:val="002F1EF3"/>
    <w:rsid w:val="002F1F56"/>
    <w:rsid w:val="002F1F5B"/>
    <w:rsid w:val="002F1FB0"/>
    <w:rsid w:val="002F2094"/>
    <w:rsid w:val="002F20B0"/>
    <w:rsid w:val="002F20DC"/>
    <w:rsid w:val="002F20DF"/>
    <w:rsid w:val="002F2101"/>
    <w:rsid w:val="002F2153"/>
    <w:rsid w:val="002F21A6"/>
    <w:rsid w:val="002F21B3"/>
    <w:rsid w:val="002F21FC"/>
    <w:rsid w:val="002F2242"/>
    <w:rsid w:val="002F2260"/>
    <w:rsid w:val="002F2312"/>
    <w:rsid w:val="002F23B9"/>
    <w:rsid w:val="002F23E3"/>
    <w:rsid w:val="002F2475"/>
    <w:rsid w:val="002F24CF"/>
    <w:rsid w:val="002F24ED"/>
    <w:rsid w:val="002F2532"/>
    <w:rsid w:val="002F254E"/>
    <w:rsid w:val="002F258F"/>
    <w:rsid w:val="002F25D1"/>
    <w:rsid w:val="002F25EA"/>
    <w:rsid w:val="002F25FF"/>
    <w:rsid w:val="002F2604"/>
    <w:rsid w:val="002F261C"/>
    <w:rsid w:val="002F26C6"/>
    <w:rsid w:val="002F26C9"/>
    <w:rsid w:val="002F26DE"/>
    <w:rsid w:val="002F26FA"/>
    <w:rsid w:val="002F2703"/>
    <w:rsid w:val="002F272B"/>
    <w:rsid w:val="002F2735"/>
    <w:rsid w:val="002F274E"/>
    <w:rsid w:val="002F2794"/>
    <w:rsid w:val="002F27E9"/>
    <w:rsid w:val="002F2835"/>
    <w:rsid w:val="002F285D"/>
    <w:rsid w:val="002F289E"/>
    <w:rsid w:val="002F28CE"/>
    <w:rsid w:val="002F28EE"/>
    <w:rsid w:val="002F2931"/>
    <w:rsid w:val="002F2957"/>
    <w:rsid w:val="002F295F"/>
    <w:rsid w:val="002F2962"/>
    <w:rsid w:val="002F2966"/>
    <w:rsid w:val="002F2989"/>
    <w:rsid w:val="002F29BF"/>
    <w:rsid w:val="002F29C4"/>
    <w:rsid w:val="002F29F4"/>
    <w:rsid w:val="002F29FF"/>
    <w:rsid w:val="002F2A28"/>
    <w:rsid w:val="002F2A3B"/>
    <w:rsid w:val="002F2AC7"/>
    <w:rsid w:val="002F2AE4"/>
    <w:rsid w:val="002F2AEF"/>
    <w:rsid w:val="002F2B19"/>
    <w:rsid w:val="002F2B2D"/>
    <w:rsid w:val="002F2B60"/>
    <w:rsid w:val="002F2BB8"/>
    <w:rsid w:val="002F2C20"/>
    <w:rsid w:val="002F2C68"/>
    <w:rsid w:val="002F2CA2"/>
    <w:rsid w:val="002F2CA3"/>
    <w:rsid w:val="002F2CCC"/>
    <w:rsid w:val="002F2CE8"/>
    <w:rsid w:val="002F2D5C"/>
    <w:rsid w:val="002F2DA4"/>
    <w:rsid w:val="002F2EAC"/>
    <w:rsid w:val="002F2EF3"/>
    <w:rsid w:val="002F2F9B"/>
    <w:rsid w:val="002F2FA8"/>
    <w:rsid w:val="002F2FC4"/>
    <w:rsid w:val="002F2FE9"/>
    <w:rsid w:val="002F2FFB"/>
    <w:rsid w:val="002F312A"/>
    <w:rsid w:val="002F3135"/>
    <w:rsid w:val="002F317A"/>
    <w:rsid w:val="002F31D7"/>
    <w:rsid w:val="002F31DA"/>
    <w:rsid w:val="002F3274"/>
    <w:rsid w:val="002F32D5"/>
    <w:rsid w:val="002F3357"/>
    <w:rsid w:val="002F335B"/>
    <w:rsid w:val="002F338D"/>
    <w:rsid w:val="002F33F8"/>
    <w:rsid w:val="002F342E"/>
    <w:rsid w:val="002F348A"/>
    <w:rsid w:val="002F34C8"/>
    <w:rsid w:val="002F34FD"/>
    <w:rsid w:val="002F3515"/>
    <w:rsid w:val="002F3526"/>
    <w:rsid w:val="002F3558"/>
    <w:rsid w:val="002F356D"/>
    <w:rsid w:val="002F3584"/>
    <w:rsid w:val="002F3588"/>
    <w:rsid w:val="002F3616"/>
    <w:rsid w:val="002F362A"/>
    <w:rsid w:val="002F3642"/>
    <w:rsid w:val="002F3652"/>
    <w:rsid w:val="002F366D"/>
    <w:rsid w:val="002F3676"/>
    <w:rsid w:val="002F369A"/>
    <w:rsid w:val="002F36B4"/>
    <w:rsid w:val="002F36DA"/>
    <w:rsid w:val="002F3727"/>
    <w:rsid w:val="002F375D"/>
    <w:rsid w:val="002F37BB"/>
    <w:rsid w:val="002F3807"/>
    <w:rsid w:val="002F3860"/>
    <w:rsid w:val="002F386D"/>
    <w:rsid w:val="002F392E"/>
    <w:rsid w:val="002F3944"/>
    <w:rsid w:val="002F399A"/>
    <w:rsid w:val="002F3A35"/>
    <w:rsid w:val="002F3A83"/>
    <w:rsid w:val="002F3AB9"/>
    <w:rsid w:val="002F3AD1"/>
    <w:rsid w:val="002F3ADA"/>
    <w:rsid w:val="002F3B11"/>
    <w:rsid w:val="002F3B38"/>
    <w:rsid w:val="002F3B75"/>
    <w:rsid w:val="002F3B7E"/>
    <w:rsid w:val="002F3BC5"/>
    <w:rsid w:val="002F3BE8"/>
    <w:rsid w:val="002F3C13"/>
    <w:rsid w:val="002F3CAF"/>
    <w:rsid w:val="002F3CB1"/>
    <w:rsid w:val="002F3D21"/>
    <w:rsid w:val="002F3D57"/>
    <w:rsid w:val="002F3D83"/>
    <w:rsid w:val="002F3DA3"/>
    <w:rsid w:val="002F3DB3"/>
    <w:rsid w:val="002F3DFD"/>
    <w:rsid w:val="002F3E4B"/>
    <w:rsid w:val="002F3E80"/>
    <w:rsid w:val="002F3E8E"/>
    <w:rsid w:val="002F3EAA"/>
    <w:rsid w:val="002F3EAF"/>
    <w:rsid w:val="002F3F03"/>
    <w:rsid w:val="002F3F0F"/>
    <w:rsid w:val="002F3F35"/>
    <w:rsid w:val="002F3FD6"/>
    <w:rsid w:val="002F3FFD"/>
    <w:rsid w:val="002F40E5"/>
    <w:rsid w:val="002F40F0"/>
    <w:rsid w:val="002F411C"/>
    <w:rsid w:val="002F414E"/>
    <w:rsid w:val="002F417A"/>
    <w:rsid w:val="002F41EF"/>
    <w:rsid w:val="002F4255"/>
    <w:rsid w:val="002F42D3"/>
    <w:rsid w:val="002F42F0"/>
    <w:rsid w:val="002F42F2"/>
    <w:rsid w:val="002F431E"/>
    <w:rsid w:val="002F43B8"/>
    <w:rsid w:val="002F43C7"/>
    <w:rsid w:val="002F43C9"/>
    <w:rsid w:val="002F43F5"/>
    <w:rsid w:val="002F4428"/>
    <w:rsid w:val="002F4459"/>
    <w:rsid w:val="002F4474"/>
    <w:rsid w:val="002F449D"/>
    <w:rsid w:val="002F44AF"/>
    <w:rsid w:val="002F44C0"/>
    <w:rsid w:val="002F44C5"/>
    <w:rsid w:val="002F455D"/>
    <w:rsid w:val="002F4578"/>
    <w:rsid w:val="002F4579"/>
    <w:rsid w:val="002F45A6"/>
    <w:rsid w:val="002F45E6"/>
    <w:rsid w:val="002F4601"/>
    <w:rsid w:val="002F4625"/>
    <w:rsid w:val="002F4648"/>
    <w:rsid w:val="002F4676"/>
    <w:rsid w:val="002F4699"/>
    <w:rsid w:val="002F46C9"/>
    <w:rsid w:val="002F46E3"/>
    <w:rsid w:val="002F46FF"/>
    <w:rsid w:val="002F47B3"/>
    <w:rsid w:val="002F47FB"/>
    <w:rsid w:val="002F484F"/>
    <w:rsid w:val="002F48BD"/>
    <w:rsid w:val="002F48F9"/>
    <w:rsid w:val="002F4989"/>
    <w:rsid w:val="002F49B2"/>
    <w:rsid w:val="002F4A4E"/>
    <w:rsid w:val="002F4AA0"/>
    <w:rsid w:val="002F4AB6"/>
    <w:rsid w:val="002F4AD7"/>
    <w:rsid w:val="002F4B6B"/>
    <w:rsid w:val="002F4BA9"/>
    <w:rsid w:val="002F4BC0"/>
    <w:rsid w:val="002F4BC6"/>
    <w:rsid w:val="002F4BE0"/>
    <w:rsid w:val="002F4BF8"/>
    <w:rsid w:val="002F4C02"/>
    <w:rsid w:val="002F4C2C"/>
    <w:rsid w:val="002F4C6A"/>
    <w:rsid w:val="002F4C8B"/>
    <w:rsid w:val="002F4CB6"/>
    <w:rsid w:val="002F4CBF"/>
    <w:rsid w:val="002F4D01"/>
    <w:rsid w:val="002F4DC2"/>
    <w:rsid w:val="002F4E14"/>
    <w:rsid w:val="002F4E42"/>
    <w:rsid w:val="002F4ECC"/>
    <w:rsid w:val="002F4EE0"/>
    <w:rsid w:val="002F4F73"/>
    <w:rsid w:val="002F4F9A"/>
    <w:rsid w:val="002F5019"/>
    <w:rsid w:val="002F5104"/>
    <w:rsid w:val="002F51B3"/>
    <w:rsid w:val="002F51F5"/>
    <w:rsid w:val="002F522C"/>
    <w:rsid w:val="002F527B"/>
    <w:rsid w:val="002F52D0"/>
    <w:rsid w:val="002F52D5"/>
    <w:rsid w:val="002F52DF"/>
    <w:rsid w:val="002F52E5"/>
    <w:rsid w:val="002F5309"/>
    <w:rsid w:val="002F53C2"/>
    <w:rsid w:val="002F5421"/>
    <w:rsid w:val="002F5427"/>
    <w:rsid w:val="002F5459"/>
    <w:rsid w:val="002F54BF"/>
    <w:rsid w:val="002F54CA"/>
    <w:rsid w:val="002F54EF"/>
    <w:rsid w:val="002F5525"/>
    <w:rsid w:val="002F5564"/>
    <w:rsid w:val="002F556D"/>
    <w:rsid w:val="002F55A6"/>
    <w:rsid w:val="002F55DB"/>
    <w:rsid w:val="002F5618"/>
    <w:rsid w:val="002F561A"/>
    <w:rsid w:val="002F5622"/>
    <w:rsid w:val="002F5635"/>
    <w:rsid w:val="002F5639"/>
    <w:rsid w:val="002F565F"/>
    <w:rsid w:val="002F567F"/>
    <w:rsid w:val="002F56B4"/>
    <w:rsid w:val="002F56C3"/>
    <w:rsid w:val="002F56DB"/>
    <w:rsid w:val="002F57C6"/>
    <w:rsid w:val="002F5851"/>
    <w:rsid w:val="002F588D"/>
    <w:rsid w:val="002F589D"/>
    <w:rsid w:val="002F58C3"/>
    <w:rsid w:val="002F5925"/>
    <w:rsid w:val="002F593E"/>
    <w:rsid w:val="002F5948"/>
    <w:rsid w:val="002F5971"/>
    <w:rsid w:val="002F5AF9"/>
    <w:rsid w:val="002F5B16"/>
    <w:rsid w:val="002F5B2B"/>
    <w:rsid w:val="002F5B84"/>
    <w:rsid w:val="002F5B85"/>
    <w:rsid w:val="002F5C2C"/>
    <w:rsid w:val="002F5CB0"/>
    <w:rsid w:val="002F5CC3"/>
    <w:rsid w:val="002F5FA9"/>
    <w:rsid w:val="002F5FD2"/>
    <w:rsid w:val="002F5FDC"/>
    <w:rsid w:val="002F6053"/>
    <w:rsid w:val="002F6064"/>
    <w:rsid w:val="002F60DC"/>
    <w:rsid w:val="002F6105"/>
    <w:rsid w:val="002F610E"/>
    <w:rsid w:val="002F6126"/>
    <w:rsid w:val="002F6146"/>
    <w:rsid w:val="002F61A5"/>
    <w:rsid w:val="002F61B3"/>
    <w:rsid w:val="002F6229"/>
    <w:rsid w:val="002F626E"/>
    <w:rsid w:val="002F6285"/>
    <w:rsid w:val="002F62F3"/>
    <w:rsid w:val="002F62FE"/>
    <w:rsid w:val="002F62FF"/>
    <w:rsid w:val="002F6302"/>
    <w:rsid w:val="002F6315"/>
    <w:rsid w:val="002F63A7"/>
    <w:rsid w:val="002F63B6"/>
    <w:rsid w:val="002F63C5"/>
    <w:rsid w:val="002F63D3"/>
    <w:rsid w:val="002F63FC"/>
    <w:rsid w:val="002F6410"/>
    <w:rsid w:val="002F643D"/>
    <w:rsid w:val="002F645B"/>
    <w:rsid w:val="002F6469"/>
    <w:rsid w:val="002F6470"/>
    <w:rsid w:val="002F647C"/>
    <w:rsid w:val="002F64B0"/>
    <w:rsid w:val="002F6597"/>
    <w:rsid w:val="002F6640"/>
    <w:rsid w:val="002F6664"/>
    <w:rsid w:val="002F66CC"/>
    <w:rsid w:val="002F66D7"/>
    <w:rsid w:val="002F66E3"/>
    <w:rsid w:val="002F675A"/>
    <w:rsid w:val="002F677C"/>
    <w:rsid w:val="002F6787"/>
    <w:rsid w:val="002F6792"/>
    <w:rsid w:val="002F67B9"/>
    <w:rsid w:val="002F67BD"/>
    <w:rsid w:val="002F67F2"/>
    <w:rsid w:val="002F67FF"/>
    <w:rsid w:val="002F6804"/>
    <w:rsid w:val="002F68D1"/>
    <w:rsid w:val="002F68EC"/>
    <w:rsid w:val="002F690C"/>
    <w:rsid w:val="002F6924"/>
    <w:rsid w:val="002F6925"/>
    <w:rsid w:val="002F696E"/>
    <w:rsid w:val="002F69FD"/>
    <w:rsid w:val="002F6A04"/>
    <w:rsid w:val="002F6A48"/>
    <w:rsid w:val="002F6A56"/>
    <w:rsid w:val="002F6A77"/>
    <w:rsid w:val="002F6AEF"/>
    <w:rsid w:val="002F6B1B"/>
    <w:rsid w:val="002F6B25"/>
    <w:rsid w:val="002F6B65"/>
    <w:rsid w:val="002F6B72"/>
    <w:rsid w:val="002F6BCA"/>
    <w:rsid w:val="002F6C40"/>
    <w:rsid w:val="002F6CBF"/>
    <w:rsid w:val="002F6CC9"/>
    <w:rsid w:val="002F6CF7"/>
    <w:rsid w:val="002F6D29"/>
    <w:rsid w:val="002F6DA4"/>
    <w:rsid w:val="002F6DCF"/>
    <w:rsid w:val="002F6E5A"/>
    <w:rsid w:val="002F6E6B"/>
    <w:rsid w:val="002F6EE8"/>
    <w:rsid w:val="002F6F02"/>
    <w:rsid w:val="002F6F1E"/>
    <w:rsid w:val="002F6F4D"/>
    <w:rsid w:val="002F6F5F"/>
    <w:rsid w:val="002F6F8A"/>
    <w:rsid w:val="002F6F8B"/>
    <w:rsid w:val="002F6FF7"/>
    <w:rsid w:val="002F718E"/>
    <w:rsid w:val="002F71B4"/>
    <w:rsid w:val="002F71E5"/>
    <w:rsid w:val="002F720D"/>
    <w:rsid w:val="002F72A6"/>
    <w:rsid w:val="002F733E"/>
    <w:rsid w:val="002F73AC"/>
    <w:rsid w:val="002F73F6"/>
    <w:rsid w:val="002F742B"/>
    <w:rsid w:val="002F7457"/>
    <w:rsid w:val="002F75C6"/>
    <w:rsid w:val="002F75FD"/>
    <w:rsid w:val="002F764A"/>
    <w:rsid w:val="002F766E"/>
    <w:rsid w:val="002F76B6"/>
    <w:rsid w:val="002F7702"/>
    <w:rsid w:val="002F7714"/>
    <w:rsid w:val="002F7766"/>
    <w:rsid w:val="002F77E4"/>
    <w:rsid w:val="002F77EF"/>
    <w:rsid w:val="002F7816"/>
    <w:rsid w:val="002F7817"/>
    <w:rsid w:val="002F7963"/>
    <w:rsid w:val="002F7980"/>
    <w:rsid w:val="002F79B7"/>
    <w:rsid w:val="002F79C3"/>
    <w:rsid w:val="002F79D1"/>
    <w:rsid w:val="002F79F6"/>
    <w:rsid w:val="002F7A36"/>
    <w:rsid w:val="002F7AAD"/>
    <w:rsid w:val="002F7AFD"/>
    <w:rsid w:val="002F7B03"/>
    <w:rsid w:val="002F7B95"/>
    <w:rsid w:val="002F7BBF"/>
    <w:rsid w:val="002F7C1E"/>
    <w:rsid w:val="002F7C63"/>
    <w:rsid w:val="002F7CD1"/>
    <w:rsid w:val="002F7D31"/>
    <w:rsid w:val="002F7D41"/>
    <w:rsid w:val="002F7D8A"/>
    <w:rsid w:val="002F7DA2"/>
    <w:rsid w:val="002F7DB3"/>
    <w:rsid w:val="002F7E51"/>
    <w:rsid w:val="002F7ED5"/>
    <w:rsid w:val="002F7EF1"/>
    <w:rsid w:val="002F7EF2"/>
    <w:rsid w:val="002F7EFF"/>
    <w:rsid w:val="002F7F0A"/>
    <w:rsid w:val="002F7F34"/>
    <w:rsid w:val="002F7F6F"/>
    <w:rsid w:val="002F7F75"/>
    <w:rsid w:val="002F7F88"/>
    <w:rsid w:val="002F7F8E"/>
    <w:rsid w:val="002F7FD9"/>
    <w:rsid w:val="002F83A3"/>
    <w:rsid w:val="002FBE5D"/>
    <w:rsid w:val="002FF280"/>
    <w:rsid w:val="00300076"/>
    <w:rsid w:val="003000B1"/>
    <w:rsid w:val="003000FB"/>
    <w:rsid w:val="00300103"/>
    <w:rsid w:val="00300175"/>
    <w:rsid w:val="0030019C"/>
    <w:rsid w:val="0030019E"/>
    <w:rsid w:val="003001CB"/>
    <w:rsid w:val="00300212"/>
    <w:rsid w:val="0030023B"/>
    <w:rsid w:val="00300264"/>
    <w:rsid w:val="00300290"/>
    <w:rsid w:val="003002CD"/>
    <w:rsid w:val="003002E4"/>
    <w:rsid w:val="00300339"/>
    <w:rsid w:val="00300374"/>
    <w:rsid w:val="003003D6"/>
    <w:rsid w:val="003003EB"/>
    <w:rsid w:val="00300426"/>
    <w:rsid w:val="0030046B"/>
    <w:rsid w:val="0030046D"/>
    <w:rsid w:val="00300495"/>
    <w:rsid w:val="003004AB"/>
    <w:rsid w:val="003004BC"/>
    <w:rsid w:val="003004D4"/>
    <w:rsid w:val="003004DD"/>
    <w:rsid w:val="00300511"/>
    <w:rsid w:val="003005B4"/>
    <w:rsid w:val="003005E1"/>
    <w:rsid w:val="0030061A"/>
    <w:rsid w:val="0030063A"/>
    <w:rsid w:val="00300645"/>
    <w:rsid w:val="00300668"/>
    <w:rsid w:val="0030069B"/>
    <w:rsid w:val="003006A6"/>
    <w:rsid w:val="003006AF"/>
    <w:rsid w:val="003006C6"/>
    <w:rsid w:val="003006FB"/>
    <w:rsid w:val="00300744"/>
    <w:rsid w:val="00300753"/>
    <w:rsid w:val="00300771"/>
    <w:rsid w:val="00300779"/>
    <w:rsid w:val="003007CC"/>
    <w:rsid w:val="003007D3"/>
    <w:rsid w:val="003007EC"/>
    <w:rsid w:val="0030080C"/>
    <w:rsid w:val="00300873"/>
    <w:rsid w:val="0030087E"/>
    <w:rsid w:val="00300887"/>
    <w:rsid w:val="003008E4"/>
    <w:rsid w:val="00300902"/>
    <w:rsid w:val="0030090B"/>
    <w:rsid w:val="0030091D"/>
    <w:rsid w:val="0030099D"/>
    <w:rsid w:val="0030099F"/>
    <w:rsid w:val="003009B0"/>
    <w:rsid w:val="003009E1"/>
    <w:rsid w:val="00300A3A"/>
    <w:rsid w:val="00300A49"/>
    <w:rsid w:val="00300A8A"/>
    <w:rsid w:val="00300AEF"/>
    <w:rsid w:val="00300B1C"/>
    <w:rsid w:val="00300B2A"/>
    <w:rsid w:val="00300B5A"/>
    <w:rsid w:val="00300B75"/>
    <w:rsid w:val="00300BA5"/>
    <w:rsid w:val="00300C46"/>
    <w:rsid w:val="00300C9F"/>
    <w:rsid w:val="00300CDE"/>
    <w:rsid w:val="00300CF5"/>
    <w:rsid w:val="00300D03"/>
    <w:rsid w:val="00300D19"/>
    <w:rsid w:val="00300D56"/>
    <w:rsid w:val="00300D67"/>
    <w:rsid w:val="00300D6A"/>
    <w:rsid w:val="00300D98"/>
    <w:rsid w:val="00300DA6"/>
    <w:rsid w:val="00300DBB"/>
    <w:rsid w:val="00300DE6"/>
    <w:rsid w:val="00300E96"/>
    <w:rsid w:val="00300F43"/>
    <w:rsid w:val="00300F73"/>
    <w:rsid w:val="00301033"/>
    <w:rsid w:val="0030106D"/>
    <w:rsid w:val="00301090"/>
    <w:rsid w:val="003010E7"/>
    <w:rsid w:val="003010EC"/>
    <w:rsid w:val="00301104"/>
    <w:rsid w:val="00301123"/>
    <w:rsid w:val="0030114E"/>
    <w:rsid w:val="0030118C"/>
    <w:rsid w:val="0030119B"/>
    <w:rsid w:val="0030119D"/>
    <w:rsid w:val="003011C1"/>
    <w:rsid w:val="0030129E"/>
    <w:rsid w:val="003012E3"/>
    <w:rsid w:val="00301333"/>
    <w:rsid w:val="0030135B"/>
    <w:rsid w:val="0030135F"/>
    <w:rsid w:val="00301434"/>
    <w:rsid w:val="0030146B"/>
    <w:rsid w:val="0030146C"/>
    <w:rsid w:val="00301490"/>
    <w:rsid w:val="00301545"/>
    <w:rsid w:val="0030158E"/>
    <w:rsid w:val="003015B2"/>
    <w:rsid w:val="003015B5"/>
    <w:rsid w:val="003015FB"/>
    <w:rsid w:val="00301620"/>
    <w:rsid w:val="0030162F"/>
    <w:rsid w:val="00301649"/>
    <w:rsid w:val="0030165F"/>
    <w:rsid w:val="00301676"/>
    <w:rsid w:val="00301696"/>
    <w:rsid w:val="003016B3"/>
    <w:rsid w:val="00301714"/>
    <w:rsid w:val="00301731"/>
    <w:rsid w:val="0030173B"/>
    <w:rsid w:val="0030175B"/>
    <w:rsid w:val="00301772"/>
    <w:rsid w:val="00301774"/>
    <w:rsid w:val="00301786"/>
    <w:rsid w:val="00301794"/>
    <w:rsid w:val="0030180C"/>
    <w:rsid w:val="0030180D"/>
    <w:rsid w:val="00301859"/>
    <w:rsid w:val="003018EA"/>
    <w:rsid w:val="0030191D"/>
    <w:rsid w:val="0030193C"/>
    <w:rsid w:val="003019FA"/>
    <w:rsid w:val="003019FE"/>
    <w:rsid w:val="00301A65"/>
    <w:rsid w:val="00301A71"/>
    <w:rsid w:val="00301A75"/>
    <w:rsid w:val="00301AF6"/>
    <w:rsid w:val="00301B28"/>
    <w:rsid w:val="00301B77"/>
    <w:rsid w:val="00301BD5"/>
    <w:rsid w:val="00301BED"/>
    <w:rsid w:val="00301C08"/>
    <w:rsid w:val="00301C41"/>
    <w:rsid w:val="00301C81"/>
    <w:rsid w:val="00301CF6"/>
    <w:rsid w:val="00301D5D"/>
    <w:rsid w:val="00301E91"/>
    <w:rsid w:val="00301E95"/>
    <w:rsid w:val="00301F6A"/>
    <w:rsid w:val="00301F87"/>
    <w:rsid w:val="00301F8F"/>
    <w:rsid w:val="00301FC5"/>
    <w:rsid w:val="00301FD0"/>
    <w:rsid w:val="0030201E"/>
    <w:rsid w:val="0030202D"/>
    <w:rsid w:val="00302035"/>
    <w:rsid w:val="00302052"/>
    <w:rsid w:val="00302062"/>
    <w:rsid w:val="003020BB"/>
    <w:rsid w:val="003020DF"/>
    <w:rsid w:val="003020E9"/>
    <w:rsid w:val="00302115"/>
    <w:rsid w:val="0030211D"/>
    <w:rsid w:val="0030215C"/>
    <w:rsid w:val="0030217C"/>
    <w:rsid w:val="0030220F"/>
    <w:rsid w:val="00302225"/>
    <w:rsid w:val="00302262"/>
    <w:rsid w:val="0030227D"/>
    <w:rsid w:val="003022B6"/>
    <w:rsid w:val="003022C8"/>
    <w:rsid w:val="003022CD"/>
    <w:rsid w:val="003022F0"/>
    <w:rsid w:val="00302378"/>
    <w:rsid w:val="0030238D"/>
    <w:rsid w:val="00302397"/>
    <w:rsid w:val="003023A2"/>
    <w:rsid w:val="003023B4"/>
    <w:rsid w:val="003023C8"/>
    <w:rsid w:val="003023FC"/>
    <w:rsid w:val="00302471"/>
    <w:rsid w:val="003024B4"/>
    <w:rsid w:val="003024D9"/>
    <w:rsid w:val="00302556"/>
    <w:rsid w:val="00302568"/>
    <w:rsid w:val="0030256B"/>
    <w:rsid w:val="00302603"/>
    <w:rsid w:val="00302639"/>
    <w:rsid w:val="00302666"/>
    <w:rsid w:val="0030269C"/>
    <w:rsid w:val="003026A4"/>
    <w:rsid w:val="003026B8"/>
    <w:rsid w:val="003026E4"/>
    <w:rsid w:val="003026EB"/>
    <w:rsid w:val="00302738"/>
    <w:rsid w:val="00302784"/>
    <w:rsid w:val="003027CD"/>
    <w:rsid w:val="00302812"/>
    <w:rsid w:val="0030281E"/>
    <w:rsid w:val="00302821"/>
    <w:rsid w:val="00302836"/>
    <w:rsid w:val="0030283E"/>
    <w:rsid w:val="003028B5"/>
    <w:rsid w:val="003028B9"/>
    <w:rsid w:val="00302929"/>
    <w:rsid w:val="00302981"/>
    <w:rsid w:val="003029AD"/>
    <w:rsid w:val="00302A2D"/>
    <w:rsid w:val="00302A3B"/>
    <w:rsid w:val="00302A8A"/>
    <w:rsid w:val="00302A8F"/>
    <w:rsid w:val="00302A94"/>
    <w:rsid w:val="00302ADD"/>
    <w:rsid w:val="00302B7E"/>
    <w:rsid w:val="00302B7F"/>
    <w:rsid w:val="00302BD9"/>
    <w:rsid w:val="00302BF9"/>
    <w:rsid w:val="00302C4F"/>
    <w:rsid w:val="00302C82"/>
    <w:rsid w:val="00302C91"/>
    <w:rsid w:val="00302C9D"/>
    <w:rsid w:val="00302CE3"/>
    <w:rsid w:val="00302D11"/>
    <w:rsid w:val="00302D62"/>
    <w:rsid w:val="00302D6A"/>
    <w:rsid w:val="00302E34"/>
    <w:rsid w:val="00302E6A"/>
    <w:rsid w:val="00302E74"/>
    <w:rsid w:val="00302F32"/>
    <w:rsid w:val="00302F56"/>
    <w:rsid w:val="00302F7D"/>
    <w:rsid w:val="00302FC1"/>
    <w:rsid w:val="00302FDB"/>
    <w:rsid w:val="00302FDD"/>
    <w:rsid w:val="00303018"/>
    <w:rsid w:val="00303019"/>
    <w:rsid w:val="0030302C"/>
    <w:rsid w:val="0030303E"/>
    <w:rsid w:val="00303059"/>
    <w:rsid w:val="00303078"/>
    <w:rsid w:val="0030309C"/>
    <w:rsid w:val="003030CE"/>
    <w:rsid w:val="00303128"/>
    <w:rsid w:val="00303163"/>
    <w:rsid w:val="0030318C"/>
    <w:rsid w:val="003031BB"/>
    <w:rsid w:val="003031D2"/>
    <w:rsid w:val="003031E7"/>
    <w:rsid w:val="00303200"/>
    <w:rsid w:val="0030321A"/>
    <w:rsid w:val="003032EB"/>
    <w:rsid w:val="00303316"/>
    <w:rsid w:val="0030333B"/>
    <w:rsid w:val="0030335E"/>
    <w:rsid w:val="003033B5"/>
    <w:rsid w:val="003033B7"/>
    <w:rsid w:val="003033DC"/>
    <w:rsid w:val="0030347F"/>
    <w:rsid w:val="00303488"/>
    <w:rsid w:val="00303492"/>
    <w:rsid w:val="003034E5"/>
    <w:rsid w:val="003034EE"/>
    <w:rsid w:val="00303522"/>
    <w:rsid w:val="0030354F"/>
    <w:rsid w:val="00303569"/>
    <w:rsid w:val="0030359C"/>
    <w:rsid w:val="003035D4"/>
    <w:rsid w:val="00303604"/>
    <w:rsid w:val="00303672"/>
    <w:rsid w:val="00303674"/>
    <w:rsid w:val="00303699"/>
    <w:rsid w:val="00303705"/>
    <w:rsid w:val="00303728"/>
    <w:rsid w:val="00303745"/>
    <w:rsid w:val="00303755"/>
    <w:rsid w:val="00303765"/>
    <w:rsid w:val="00303767"/>
    <w:rsid w:val="003037A8"/>
    <w:rsid w:val="00303813"/>
    <w:rsid w:val="00303876"/>
    <w:rsid w:val="0030392F"/>
    <w:rsid w:val="0030398F"/>
    <w:rsid w:val="0030399E"/>
    <w:rsid w:val="00303A09"/>
    <w:rsid w:val="00303A15"/>
    <w:rsid w:val="00303A7A"/>
    <w:rsid w:val="00303A8C"/>
    <w:rsid w:val="00303AC5"/>
    <w:rsid w:val="00303B0B"/>
    <w:rsid w:val="00303B1B"/>
    <w:rsid w:val="00303B3A"/>
    <w:rsid w:val="00303B6C"/>
    <w:rsid w:val="00303B87"/>
    <w:rsid w:val="00303B9F"/>
    <w:rsid w:val="00303BCB"/>
    <w:rsid w:val="00303BEC"/>
    <w:rsid w:val="00303C51"/>
    <w:rsid w:val="00303C7F"/>
    <w:rsid w:val="00303CCB"/>
    <w:rsid w:val="00303CE6"/>
    <w:rsid w:val="00303CEC"/>
    <w:rsid w:val="00303D24"/>
    <w:rsid w:val="00303D29"/>
    <w:rsid w:val="00303D30"/>
    <w:rsid w:val="00303DD8"/>
    <w:rsid w:val="00303E25"/>
    <w:rsid w:val="00303E8C"/>
    <w:rsid w:val="00303EAE"/>
    <w:rsid w:val="00303F04"/>
    <w:rsid w:val="00303F09"/>
    <w:rsid w:val="00303F32"/>
    <w:rsid w:val="00303F3C"/>
    <w:rsid w:val="00304004"/>
    <w:rsid w:val="0030400E"/>
    <w:rsid w:val="003040AB"/>
    <w:rsid w:val="003040BE"/>
    <w:rsid w:val="003040D5"/>
    <w:rsid w:val="00304169"/>
    <w:rsid w:val="0030418F"/>
    <w:rsid w:val="00304253"/>
    <w:rsid w:val="003042EA"/>
    <w:rsid w:val="003042EC"/>
    <w:rsid w:val="003042F4"/>
    <w:rsid w:val="0030431B"/>
    <w:rsid w:val="00304388"/>
    <w:rsid w:val="00304393"/>
    <w:rsid w:val="003043C4"/>
    <w:rsid w:val="003043D0"/>
    <w:rsid w:val="00304443"/>
    <w:rsid w:val="0030444F"/>
    <w:rsid w:val="00304498"/>
    <w:rsid w:val="00304504"/>
    <w:rsid w:val="00304538"/>
    <w:rsid w:val="00304543"/>
    <w:rsid w:val="00304557"/>
    <w:rsid w:val="00304586"/>
    <w:rsid w:val="0030458C"/>
    <w:rsid w:val="0030459A"/>
    <w:rsid w:val="0030459C"/>
    <w:rsid w:val="00304660"/>
    <w:rsid w:val="0030467C"/>
    <w:rsid w:val="00304697"/>
    <w:rsid w:val="0030469A"/>
    <w:rsid w:val="0030472A"/>
    <w:rsid w:val="0030473B"/>
    <w:rsid w:val="00304781"/>
    <w:rsid w:val="0030478A"/>
    <w:rsid w:val="003047BB"/>
    <w:rsid w:val="00304825"/>
    <w:rsid w:val="00304829"/>
    <w:rsid w:val="003048F3"/>
    <w:rsid w:val="00304948"/>
    <w:rsid w:val="0030499D"/>
    <w:rsid w:val="003049AA"/>
    <w:rsid w:val="003049B9"/>
    <w:rsid w:val="003049BA"/>
    <w:rsid w:val="003049F0"/>
    <w:rsid w:val="00304A0A"/>
    <w:rsid w:val="00304A10"/>
    <w:rsid w:val="00304A2F"/>
    <w:rsid w:val="00304A97"/>
    <w:rsid w:val="00304AFE"/>
    <w:rsid w:val="00304B1F"/>
    <w:rsid w:val="00304B65"/>
    <w:rsid w:val="00304B6E"/>
    <w:rsid w:val="00304BC4"/>
    <w:rsid w:val="00304BCE"/>
    <w:rsid w:val="00304BFA"/>
    <w:rsid w:val="00304C33"/>
    <w:rsid w:val="00304C7D"/>
    <w:rsid w:val="00304C95"/>
    <w:rsid w:val="00304C96"/>
    <w:rsid w:val="00304CA3"/>
    <w:rsid w:val="00304CE7"/>
    <w:rsid w:val="00304CF1"/>
    <w:rsid w:val="00304D0D"/>
    <w:rsid w:val="00304D59"/>
    <w:rsid w:val="00304D66"/>
    <w:rsid w:val="00304DF1"/>
    <w:rsid w:val="00304E13"/>
    <w:rsid w:val="00304E32"/>
    <w:rsid w:val="00304E44"/>
    <w:rsid w:val="00304E66"/>
    <w:rsid w:val="00304E84"/>
    <w:rsid w:val="00304F0D"/>
    <w:rsid w:val="00304F1A"/>
    <w:rsid w:val="00304F30"/>
    <w:rsid w:val="00304FA2"/>
    <w:rsid w:val="00304FB9"/>
    <w:rsid w:val="00304FBA"/>
    <w:rsid w:val="00304FBB"/>
    <w:rsid w:val="00305042"/>
    <w:rsid w:val="00305051"/>
    <w:rsid w:val="0030508A"/>
    <w:rsid w:val="003050A7"/>
    <w:rsid w:val="003050E6"/>
    <w:rsid w:val="00305114"/>
    <w:rsid w:val="00305126"/>
    <w:rsid w:val="00305129"/>
    <w:rsid w:val="003051B1"/>
    <w:rsid w:val="00305257"/>
    <w:rsid w:val="003052AF"/>
    <w:rsid w:val="003052E2"/>
    <w:rsid w:val="00305394"/>
    <w:rsid w:val="003053A2"/>
    <w:rsid w:val="0030540C"/>
    <w:rsid w:val="0030540F"/>
    <w:rsid w:val="00305424"/>
    <w:rsid w:val="00305441"/>
    <w:rsid w:val="00305454"/>
    <w:rsid w:val="00305461"/>
    <w:rsid w:val="00305468"/>
    <w:rsid w:val="0030549C"/>
    <w:rsid w:val="00305519"/>
    <w:rsid w:val="003055C4"/>
    <w:rsid w:val="003055C6"/>
    <w:rsid w:val="003055E7"/>
    <w:rsid w:val="00305686"/>
    <w:rsid w:val="003056A5"/>
    <w:rsid w:val="003056D5"/>
    <w:rsid w:val="0030570C"/>
    <w:rsid w:val="00305712"/>
    <w:rsid w:val="0030578D"/>
    <w:rsid w:val="003057E6"/>
    <w:rsid w:val="00305803"/>
    <w:rsid w:val="00305805"/>
    <w:rsid w:val="0030583B"/>
    <w:rsid w:val="00305890"/>
    <w:rsid w:val="003058B2"/>
    <w:rsid w:val="003058EE"/>
    <w:rsid w:val="0030590C"/>
    <w:rsid w:val="00305959"/>
    <w:rsid w:val="0030595A"/>
    <w:rsid w:val="0030598A"/>
    <w:rsid w:val="003059A2"/>
    <w:rsid w:val="003059AE"/>
    <w:rsid w:val="003059F8"/>
    <w:rsid w:val="00305A25"/>
    <w:rsid w:val="00305A8A"/>
    <w:rsid w:val="00305AA8"/>
    <w:rsid w:val="00305AF4"/>
    <w:rsid w:val="00305C1A"/>
    <w:rsid w:val="00305C1E"/>
    <w:rsid w:val="00305C2F"/>
    <w:rsid w:val="00305CAA"/>
    <w:rsid w:val="00305CDF"/>
    <w:rsid w:val="00305D06"/>
    <w:rsid w:val="00305D27"/>
    <w:rsid w:val="00305D28"/>
    <w:rsid w:val="00305D32"/>
    <w:rsid w:val="00305DF9"/>
    <w:rsid w:val="00305EA2"/>
    <w:rsid w:val="00305ED8"/>
    <w:rsid w:val="00305F29"/>
    <w:rsid w:val="00305F34"/>
    <w:rsid w:val="00305F7C"/>
    <w:rsid w:val="00305F7E"/>
    <w:rsid w:val="00305F7F"/>
    <w:rsid w:val="00305F99"/>
    <w:rsid w:val="00305FF7"/>
    <w:rsid w:val="00306036"/>
    <w:rsid w:val="00306091"/>
    <w:rsid w:val="00306094"/>
    <w:rsid w:val="003060FF"/>
    <w:rsid w:val="0030615C"/>
    <w:rsid w:val="0030616D"/>
    <w:rsid w:val="00306172"/>
    <w:rsid w:val="00306187"/>
    <w:rsid w:val="003061C6"/>
    <w:rsid w:val="003061C7"/>
    <w:rsid w:val="00306205"/>
    <w:rsid w:val="00306226"/>
    <w:rsid w:val="0030624D"/>
    <w:rsid w:val="0030625D"/>
    <w:rsid w:val="00306290"/>
    <w:rsid w:val="00306298"/>
    <w:rsid w:val="003062DC"/>
    <w:rsid w:val="0030640A"/>
    <w:rsid w:val="00306422"/>
    <w:rsid w:val="0030645A"/>
    <w:rsid w:val="0030646B"/>
    <w:rsid w:val="00306495"/>
    <w:rsid w:val="003064AB"/>
    <w:rsid w:val="003064FD"/>
    <w:rsid w:val="00306524"/>
    <w:rsid w:val="0030652C"/>
    <w:rsid w:val="003065CE"/>
    <w:rsid w:val="003065F6"/>
    <w:rsid w:val="00306610"/>
    <w:rsid w:val="00306646"/>
    <w:rsid w:val="00306657"/>
    <w:rsid w:val="003066BE"/>
    <w:rsid w:val="00306704"/>
    <w:rsid w:val="00306705"/>
    <w:rsid w:val="00306721"/>
    <w:rsid w:val="0030675D"/>
    <w:rsid w:val="003067BE"/>
    <w:rsid w:val="003067D2"/>
    <w:rsid w:val="00306825"/>
    <w:rsid w:val="00306847"/>
    <w:rsid w:val="0030684D"/>
    <w:rsid w:val="0030684E"/>
    <w:rsid w:val="0030688B"/>
    <w:rsid w:val="0030688C"/>
    <w:rsid w:val="003068C0"/>
    <w:rsid w:val="003068C2"/>
    <w:rsid w:val="0030693A"/>
    <w:rsid w:val="003069A7"/>
    <w:rsid w:val="003069C8"/>
    <w:rsid w:val="00306A07"/>
    <w:rsid w:val="00306A10"/>
    <w:rsid w:val="00306A79"/>
    <w:rsid w:val="00306A83"/>
    <w:rsid w:val="00306A9C"/>
    <w:rsid w:val="00306AD8"/>
    <w:rsid w:val="00306AE3"/>
    <w:rsid w:val="00306BD6"/>
    <w:rsid w:val="00306BD8"/>
    <w:rsid w:val="00306BDA"/>
    <w:rsid w:val="00306BF2"/>
    <w:rsid w:val="00306C21"/>
    <w:rsid w:val="00306C51"/>
    <w:rsid w:val="00306C5B"/>
    <w:rsid w:val="00306C6F"/>
    <w:rsid w:val="00306C7B"/>
    <w:rsid w:val="00306D5F"/>
    <w:rsid w:val="00306D9B"/>
    <w:rsid w:val="00306DD5"/>
    <w:rsid w:val="00306E55"/>
    <w:rsid w:val="00306EAF"/>
    <w:rsid w:val="00306EC9"/>
    <w:rsid w:val="00306F0E"/>
    <w:rsid w:val="00306F6E"/>
    <w:rsid w:val="00306F84"/>
    <w:rsid w:val="00306FF7"/>
    <w:rsid w:val="00307071"/>
    <w:rsid w:val="003070CE"/>
    <w:rsid w:val="003070F9"/>
    <w:rsid w:val="00307122"/>
    <w:rsid w:val="00307159"/>
    <w:rsid w:val="003071F8"/>
    <w:rsid w:val="0030729F"/>
    <w:rsid w:val="003072A8"/>
    <w:rsid w:val="003072B9"/>
    <w:rsid w:val="003072D5"/>
    <w:rsid w:val="00307337"/>
    <w:rsid w:val="00307340"/>
    <w:rsid w:val="00307351"/>
    <w:rsid w:val="003073B1"/>
    <w:rsid w:val="003073D4"/>
    <w:rsid w:val="003074C4"/>
    <w:rsid w:val="003074F2"/>
    <w:rsid w:val="00307526"/>
    <w:rsid w:val="00307568"/>
    <w:rsid w:val="00307620"/>
    <w:rsid w:val="003076D2"/>
    <w:rsid w:val="0030772C"/>
    <w:rsid w:val="00307758"/>
    <w:rsid w:val="0030779E"/>
    <w:rsid w:val="0030792F"/>
    <w:rsid w:val="00307974"/>
    <w:rsid w:val="0030797B"/>
    <w:rsid w:val="0030797D"/>
    <w:rsid w:val="003079D2"/>
    <w:rsid w:val="003079F2"/>
    <w:rsid w:val="00307A41"/>
    <w:rsid w:val="00307A47"/>
    <w:rsid w:val="00307A79"/>
    <w:rsid w:val="00307B65"/>
    <w:rsid w:val="00307B75"/>
    <w:rsid w:val="00307B85"/>
    <w:rsid w:val="00307BB8"/>
    <w:rsid w:val="00307C38"/>
    <w:rsid w:val="00307CE8"/>
    <w:rsid w:val="00307D70"/>
    <w:rsid w:val="00307E4F"/>
    <w:rsid w:val="00307E69"/>
    <w:rsid w:val="00307E73"/>
    <w:rsid w:val="00307EA5"/>
    <w:rsid w:val="00307EB1"/>
    <w:rsid w:val="00307EC4"/>
    <w:rsid w:val="00307F00"/>
    <w:rsid w:val="00307F4B"/>
    <w:rsid w:val="00309CC4"/>
    <w:rsid w:val="00310013"/>
    <w:rsid w:val="0031002C"/>
    <w:rsid w:val="003100DC"/>
    <w:rsid w:val="00310112"/>
    <w:rsid w:val="00310157"/>
    <w:rsid w:val="00310193"/>
    <w:rsid w:val="003101D7"/>
    <w:rsid w:val="00310209"/>
    <w:rsid w:val="00310254"/>
    <w:rsid w:val="0031025C"/>
    <w:rsid w:val="003102AA"/>
    <w:rsid w:val="003102D6"/>
    <w:rsid w:val="003102DF"/>
    <w:rsid w:val="00310337"/>
    <w:rsid w:val="00310338"/>
    <w:rsid w:val="003103E6"/>
    <w:rsid w:val="00310421"/>
    <w:rsid w:val="00310439"/>
    <w:rsid w:val="0031045B"/>
    <w:rsid w:val="00310488"/>
    <w:rsid w:val="003104B9"/>
    <w:rsid w:val="00310503"/>
    <w:rsid w:val="00310526"/>
    <w:rsid w:val="00310531"/>
    <w:rsid w:val="00310539"/>
    <w:rsid w:val="003105BF"/>
    <w:rsid w:val="003105D7"/>
    <w:rsid w:val="003105FF"/>
    <w:rsid w:val="00310628"/>
    <w:rsid w:val="00310669"/>
    <w:rsid w:val="003106E4"/>
    <w:rsid w:val="0031073D"/>
    <w:rsid w:val="003107C9"/>
    <w:rsid w:val="0031083C"/>
    <w:rsid w:val="003108E8"/>
    <w:rsid w:val="00310922"/>
    <w:rsid w:val="0031094C"/>
    <w:rsid w:val="0031098E"/>
    <w:rsid w:val="0031099E"/>
    <w:rsid w:val="003109D2"/>
    <w:rsid w:val="003109D8"/>
    <w:rsid w:val="00310A0E"/>
    <w:rsid w:val="00310A10"/>
    <w:rsid w:val="00310A3B"/>
    <w:rsid w:val="00310A4B"/>
    <w:rsid w:val="00310A6C"/>
    <w:rsid w:val="00310A7C"/>
    <w:rsid w:val="00310AB8"/>
    <w:rsid w:val="00310AD0"/>
    <w:rsid w:val="00310AFC"/>
    <w:rsid w:val="00310B14"/>
    <w:rsid w:val="00310B4B"/>
    <w:rsid w:val="00310BCF"/>
    <w:rsid w:val="00310C37"/>
    <w:rsid w:val="00310C72"/>
    <w:rsid w:val="00310C8C"/>
    <w:rsid w:val="00310CC0"/>
    <w:rsid w:val="00310CD0"/>
    <w:rsid w:val="00310CDA"/>
    <w:rsid w:val="00310DA2"/>
    <w:rsid w:val="00310DF5"/>
    <w:rsid w:val="00310E23"/>
    <w:rsid w:val="00310E5E"/>
    <w:rsid w:val="00310E6B"/>
    <w:rsid w:val="00310E9F"/>
    <w:rsid w:val="00310EE8"/>
    <w:rsid w:val="00310F11"/>
    <w:rsid w:val="00310F29"/>
    <w:rsid w:val="00310F9C"/>
    <w:rsid w:val="00310FBE"/>
    <w:rsid w:val="00311021"/>
    <w:rsid w:val="0031102B"/>
    <w:rsid w:val="0031105C"/>
    <w:rsid w:val="00311071"/>
    <w:rsid w:val="003110A8"/>
    <w:rsid w:val="003110C4"/>
    <w:rsid w:val="00311190"/>
    <w:rsid w:val="0031119F"/>
    <w:rsid w:val="003111C7"/>
    <w:rsid w:val="00311205"/>
    <w:rsid w:val="0031120C"/>
    <w:rsid w:val="0031120D"/>
    <w:rsid w:val="00311217"/>
    <w:rsid w:val="0031123B"/>
    <w:rsid w:val="003112A9"/>
    <w:rsid w:val="003112BB"/>
    <w:rsid w:val="003112D0"/>
    <w:rsid w:val="0031133F"/>
    <w:rsid w:val="00311431"/>
    <w:rsid w:val="0031144A"/>
    <w:rsid w:val="003114BE"/>
    <w:rsid w:val="003114BF"/>
    <w:rsid w:val="0031150F"/>
    <w:rsid w:val="00311526"/>
    <w:rsid w:val="00311582"/>
    <w:rsid w:val="00311593"/>
    <w:rsid w:val="003115A7"/>
    <w:rsid w:val="0031162B"/>
    <w:rsid w:val="00311644"/>
    <w:rsid w:val="00311657"/>
    <w:rsid w:val="0031165A"/>
    <w:rsid w:val="003116A5"/>
    <w:rsid w:val="003116C1"/>
    <w:rsid w:val="00311739"/>
    <w:rsid w:val="0031177D"/>
    <w:rsid w:val="0031179D"/>
    <w:rsid w:val="003117D4"/>
    <w:rsid w:val="003117F8"/>
    <w:rsid w:val="0031182D"/>
    <w:rsid w:val="0031182E"/>
    <w:rsid w:val="003118D9"/>
    <w:rsid w:val="003118DA"/>
    <w:rsid w:val="003118EE"/>
    <w:rsid w:val="003118F3"/>
    <w:rsid w:val="00311952"/>
    <w:rsid w:val="00311990"/>
    <w:rsid w:val="003119A5"/>
    <w:rsid w:val="003119B7"/>
    <w:rsid w:val="003119C2"/>
    <w:rsid w:val="003119E6"/>
    <w:rsid w:val="003119FC"/>
    <w:rsid w:val="00311A32"/>
    <w:rsid w:val="00311A50"/>
    <w:rsid w:val="00311A51"/>
    <w:rsid w:val="00311B4A"/>
    <w:rsid w:val="00311B54"/>
    <w:rsid w:val="00311B67"/>
    <w:rsid w:val="00311B7A"/>
    <w:rsid w:val="00311BC8"/>
    <w:rsid w:val="00311C2B"/>
    <w:rsid w:val="00311C2E"/>
    <w:rsid w:val="00311C45"/>
    <w:rsid w:val="00311C7A"/>
    <w:rsid w:val="00311CA1"/>
    <w:rsid w:val="00311CA8"/>
    <w:rsid w:val="00311D1C"/>
    <w:rsid w:val="00311D32"/>
    <w:rsid w:val="00311D46"/>
    <w:rsid w:val="00311D87"/>
    <w:rsid w:val="00311E76"/>
    <w:rsid w:val="00311E8E"/>
    <w:rsid w:val="00311F4C"/>
    <w:rsid w:val="00311F77"/>
    <w:rsid w:val="00311F7B"/>
    <w:rsid w:val="00311F9A"/>
    <w:rsid w:val="00311F9C"/>
    <w:rsid w:val="00312007"/>
    <w:rsid w:val="00312010"/>
    <w:rsid w:val="00312025"/>
    <w:rsid w:val="00312065"/>
    <w:rsid w:val="00312067"/>
    <w:rsid w:val="00312070"/>
    <w:rsid w:val="0031207F"/>
    <w:rsid w:val="003120FE"/>
    <w:rsid w:val="0031210A"/>
    <w:rsid w:val="0031212F"/>
    <w:rsid w:val="0031215E"/>
    <w:rsid w:val="003121BC"/>
    <w:rsid w:val="0031220D"/>
    <w:rsid w:val="00312291"/>
    <w:rsid w:val="0031229E"/>
    <w:rsid w:val="003122FB"/>
    <w:rsid w:val="00312329"/>
    <w:rsid w:val="0031236E"/>
    <w:rsid w:val="00312373"/>
    <w:rsid w:val="00312384"/>
    <w:rsid w:val="0031238B"/>
    <w:rsid w:val="003123AB"/>
    <w:rsid w:val="00312408"/>
    <w:rsid w:val="00312484"/>
    <w:rsid w:val="0031249D"/>
    <w:rsid w:val="003124BB"/>
    <w:rsid w:val="003124D3"/>
    <w:rsid w:val="003124D4"/>
    <w:rsid w:val="003124D5"/>
    <w:rsid w:val="0031252D"/>
    <w:rsid w:val="0031252F"/>
    <w:rsid w:val="0031253F"/>
    <w:rsid w:val="00312564"/>
    <w:rsid w:val="00312592"/>
    <w:rsid w:val="003125AA"/>
    <w:rsid w:val="00312606"/>
    <w:rsid w:val="0031267C"/>
    <w:rsid w:val="003126BC"/>
    <w:rsid w:val="003126C4"/>
    <w:rsid w:val="0031271D"/>
    <w:rsid w:val="00312743"/>
    <w:rsid w:val="0031275B"/>
    <w:rsid w:val="003127BE"/>
    <w:rsid w:val="003127E5"/>
    <w:rsid w:val="003127F3"/>
    <w:rsid w:val="003127F7"/>
    <w:rsid w:val="0031282C"/>
    <w:rsid w:val="00312873"/>
    <w:rsid w:val="0031287B"/>
    <w:rsid w:val="003128AC"/>
    <w:rsid w:val="003128C0"/>
    <w:rsid w:val="0031292F"/>
    <w:rsid w:val="00312943"/>
    <w:rsid w:val="00312994"/>
    <w:rsid w:val="003129A0"/>
    <w:rsid w:val="00312A4B"/>
    <w:rsid w:val="00312AD4"/>
    <w:rsid w:val="00312AFE"/>
    <w:rsid w:val="00312B46"/>
    <w:rsid w:val="00312BA2"/>
    <w:rsid w:val="00312BD9"/>
    <w:rsid w:val="00312BDA"/>
    <w:rsid w:val="00312BE8"/>
    <w:rsid w:val="00312CC7"/>
    <w:rsid w:val="00312CF6"/>
    <w:rsid w:val="00312DD1"/>
    <w:rsid w:val="00312E0C"/>
    <w:rsid w:val="00312E4D"/>
    <w:rsid w:val="00312E71"/>
    <w:rsid w:val="00312E95"/>
    <w:rsid w:val="00312EAA"/>
    <w:rsid w:val="00312F2F"/>
    <w:rsid w:val="00312F8C"/>
    <w:rsid w:val="00312FB8"/>
    <w:rsid w:val="00312FE9"/>
    <w:rsid w:val="00313064"/>
    <w:rsid w:val="003130C2"/>
    <w:rsid w:val="003130FB"/>
    <w:rsid w:val="0031311C"/>
    <w:rsid w:val="00313130"/>
    <w:rsid w:val="003131A6"/>
    <w:rsid w:val="003131D9"/>
    <w:rsid w:val="003131E9"/>
    <w:rsid w:val="0031320C"/>
    <w:rsid w:val="00313243"/>
    <w:rsid w:val="003132D7"/>
    <w:rsid w:val="003132DD"/>
    <w:rsid w:val="003133C1"/>
    <w:rsid w:val="003133D7"/>
    <w:rsid w:val="00313405"/>
    <w:rsid w:val="00313477"/>
    <w:rsid w:val="00313522"/>
    <w:rsid w:val="00313535"/>
    <w:rsid w:val="003135DD"/>
    <w:rsid w:val="003135FD"/>
    <w:rsid w:val="00313611"/>
    <w:rsid w:val="00313631"/>
    <w:rsid w:val="0031369A"/>
    <w:rsid w:val="003136A3"/>
    <w:rsid w:val="003136BD"/>
    <w:rsid w:val="003136C0"/>
    <w:rsid w:val="0031377B"/>
    <w:rsid w:val="00313954"/>
    <w:rsid w:val="0031395D"/>
    <w:rsid w:val="003139C6"/>
    <w:rsid w:val="003139E7"/>
    <w:rsid w:val="00313A5C"/>
    <w:rsid w:val="00313B31"/>
    <w:rsid w:val="00313B62"/>
    <w:rsid w:val="00313B7E"/>
    <w:rsid w:val="00313B9D"/>
    <w:rsid w:val="00313BB8"/>
    <w:rsid w:val="00313C59"/>
    <w:rsid w:val="00313C6B"/>
    <w:rsid w:val="00313CA9"/>
    <w:rsid w:val="00313CBA"/>
    <w:rsid w:val="00313CED"/>
    <w:rsid w:val="00313ED4"/>
    <w:rsid w:val="00313EFC"/>
    <w:rsid w:val="00313F34"/>
    <w:rsid w:val="00313F8D"/>
    <w:rsid w:val="00313FA7"/>
    <w:rsid w:val="00313FD8"/>
    <w:rsid w:val="00313FD9"/>
    <w:rsid w:val="00313FDD"/>
    <w:rsid w:val="00313FF6"/>
    <w:rsid w:val="0031406B"/>
    <w:rsid w:val="003140D0"/>
    <w:rsid w:val="003140E8"/>
    <w:rsid w:val="00314108"/>
    <w:rsid w:val="0031410C"/>
    <w:rsid w:val="00314113"/>
    <w:rsid w:val="0031421D"/>
    <w:rsid w:val="00314242"/>
    <w:rsid w:val="00314259"/>
    <w:rsid w:val="0031431A"/>
    <w:rsid w:val="00314332"/>
    <w:rsid w:val="003143F8"/>
    <w:rsid w:val="00314411"/>
    <w:rsid w:val="00314469"/>
    <w:rsid w:val="003144B7"/>
    <w:rsid w:val="003144C0"/>
    <w:rsid w:val="003144C9"/>
    <w:rsid w:val="003144EC"/>
    <w:rsid w:val="00314537"/>
    <w:rsid w:val="0031454B"/>
    <w:rsid w:val="00314585"/>
    <w:rsid w:val="003145A5"/>
    <w:rsid w:val="0031460D"/>
    <w:rsid w:val="003146A6"/>
    <w:rsid w:val="003146A8"/>
    <w:rsid w:val="003146AF"/>
    <w:rsid w:val="003146BB"/>
    <w:rsid w:val="00314700"/>
    <w:rsid w:val="0031471B"/>
    <w:rsid w:val="0031473F"/>
    <w:rsid w:val="0031475A"/>
    <w:rsid w:val="00314793"/>
    <w:rsid w:val="003147A4"/>
    <w:rsid w:val="003147DF"/>
    <w:rsid w:val="00314811"/>
    <w:rsid w:val="0031483C"/>
    <w:rsid w:val="00314840"/>
    <w:rsid w:val="003148DE"/>
    <w:rsid w:val="003148E8"/>
    <w:rsid w:val="0031492A"/>
    <w:rsid w:val="0031496C"/>
    <w:rsid w:val="003149C1"/>
    <w:rsid w:val="003149CB"/>
    <w:rsid w:val="00314AAB"/>
    <w:rsid w:val="00314AD5"/>
    <w:rsid w:val="00314AE8"/>
    <w:rsid w:val="00314AF5"/>
    <w:rsid w:val="00314B93"/>
    <w:rsid w:val="00314BCC"/>
    <w:rsid w:val="00314C2F"/>
    <w:rsid w:val="00314C81"/>
    <w:rsid w:val="00314C9A"/>
    <w:rsid w:val="00314CFE"/>
    <w:rsid w:val="00314D03"/>
    <w:rsid w:val="00314D1F"/>
    <w:rsid w:val="00314D28"/>
    <w:rsid w:val="00314D2B"/>
    <w:rsid w:val="00314DAA"/>
    <w:rsid w:val="00314E17"/>
    <w:rsid w:val="00314E38"/>
    <w:rsid w:val="00314E45"/>
    <w:rsid w:val="00314E5A"/>
    <w:rsid w:val="00314F11"/>
    <w:rsid w:val="00314F53"/>
    <w:rsid w:val="00314FD2"/>
    <w:rsid w:val="00314FD5"/>
    <w:rsid w:val="00315025"/>
    <w:rsid w:val="00315050"/>
    <w:rsid w:val="0031508D"/>
    <w:rsid w:val="003150A8"/>
    <w:rsid w:val="003150BE"/>
    <w:rsid w:val="0031510A"/>
    <w:rsid w:val="0031523E"/>
    <w:rsid w:val="00315241"/>
    <w:rsid w:val="0031525F"/>
    <w:rsid w:val="0031526E"/>
    <w:rsid w:val="003152B1"/>
    <w:rsid w:val="00315311"/>
    <w:rsid w:val="00315334"/>
    <w:rsid w:val="00315339"/>
    <w:rsid w:val="00315346"/>
    <w:rsid w:val="00315400"/>
    <w:rsid w:val="00315411"/>
    <w:rsid w:val="0031548E"/>
    <w:rsid w:val="003154AB"/>
    <w:rsid w:val="00315567"/>
    <w:rsid w:val="00315596"/>
    <w:rsid w:val="003155A1"/>
    <w:rsid w:val="00315651"/>
    <w:rsid w:val="00315660"/>
    <w:rsid w:val="00315698"/>
    <w:rsid w:val="003156F9"/>
    <w:rsid w:val="00315710"/>
    <w:rsid w:val="00315728"/>
    <w:rsid w:val="00315825"/>
    <w:rsid w:val="0031588A"/>
    <w:rsid w:val="00315891"/>
    <w:rsid w:val="003158A0"/>
    <w:rsid w:val="00315910"/>
    <w:rsid w:val="00315941"/>
    <w:rsid w:val="00315963"/>
    <w:rsid w:val="00315989"/>
    <w:rsid w:val="003159C2"/>
    <w:rsid w:val="00315A27"/>
    <w:rsid w:val="00315A55"/>
    <w:rsid w:val="00315AA9"/>
    <w:rsid w:val="00315AD0"/>
    <w:rsid w:val="00315AF9"/>
    <w:rsid w:val="00315B1D"/>
    <w:rsid w:val="00315B5B"/>
    <w:rsid w:val="00315B74"/>
    <w:rsid w:val="00315B8B"/>
    <w:rsid w:val="00315B93"/>
    <w:rsid w:val="00315BBF"/>
    <w:rsid w:val="00315BD8"/>
    <w:rsid w:val="00315CC8"/>
    <w:rsid w:val="00315CFF"/>
    <w:rsid w:val="00315D09"/>
    <w:rsid w:val="00315D7C"/>
    <w:rsid w:val="00315DA5"/>
    <w:rsid w:val="00315E8A"/>
    <w:rsid w:val="00315E91"/>
    <w:rsid w:val="00315E9E"/>
    <w:rsid w:val="00315EB1"/>
    <w:rsid w:val="00315EBA"/>
    <w:rsid w:val="00315EC4"/>
    <w:rsid w:val="00315EF2"/>
    <w:rsid w:val="00315F40"/>
    <w:rsid w:val="00315F84"/>
    <w:rsid w:val="00315FA2"/>
    <w:rsid w:val="00315FBE"/>
    <w:rsid w:val="00315FD1"/>
    <w:rsid w:val="00315FE3"/>
    <w:rsid w:val="00316029"/>
    <w:rsid w:val="0031607D"/>
    <w:rsid w:val="003160B2"/>
    <w:rsid w:val="003160C2"/>
    <w:rsid w:val="003160FB"/>
    <w:rsid w:val="00316106"/>
    <w:rsid w:val="0031614F"/>
    <w:rsid w:val="00316150"/>
    <w:rsid w:val="003161A3"/>
    <w:rsid w:val="003161B2"/>
    <w:rsid w:val="00316216"/>
    <w:rsid w:val="0031623A"/>
    <w:rsid w:val="003162AA"/>
    <w:rsid w:val="0031637F"/>
    <w:rsid w:val="003163A5"/>
    <w:rsid w:val="003163B7"/>
    <w:rsid w:val="00316408"/>
    <w:rsid w:val="0031641D"/>
    <w:rsid w:val="00316433"/>
    <w:rsid w:val="003164C1"/>
    <w:rsid w:val="00316513"/>
    <w:rsid w:val="00316522"/>
    <w:rsid w:val="00316561"/>
    <w:rsid w:val="0031657E"/>
    <w:rsid w:val="00316586"/>
    <w:rsid w:val="003165E4"/>
    <w:rsid w:val="00316652"/>
    <w:rsid w:val="0031665E"/>
    <w:rsid w:val="00316687"/>
    <w:rsid w:val="003166BB"/>
    <w:rsid w:val="003166C1"/>
    <w:rsid w:val="0031674B"/>
    <w:rsid w:val="00316758"/>
    <w:rsid w:val="00316790"/>
    <w:rsid w:val="003167CC"/>
    <w:rsid w:val="0031683A"/>
    <w:rsid w:val="003168C6"/>
    <w:rsid w:val="003168CE"/>
    <w:rsid w:val="003168EC"/>
    <w:rsid w:val="00316939"/>
    <w:rsid w:val="00316974"/>
    <w:rsid w:val="00316A32"/>
    <w:rsid w:val="00316A49"/>
    <w:rsid w:val="00316A69"/>
    <w:rsid w:val="00316A71"/>
    <w:rsid w:val="00316A79"/>
    <w:rsid w:val="00316AE8"/>
    <w:rsid w:val="00316B3A"/>
    <w:rsid w:val="00316BD0"/>
    <w:rsid w:val="00316C14"/>
    <w:rsid w:val="00316C9F"/>
    <w:rsid w:val="00316CCC"/>
    <w:rsid w:val="00316CD7"/>
    <w:rsid w:val="00316CE0"/>
    <w:rsid w:val="00316D56"/>
    <w:rsid w:val="00316D5E"/>
    <w:rsid w:val="00316D6C"/>
    <w:rsid w:val="00316D98"/>
    <w:rsid w:val="00316DA6"/>
    <w:rsid w:val="00316DE7"/>
    <w:rsid w:val="00316E0A"/>
    <w:rsid w:val="00316E1B"/>
    <w:rsid w:val="00316E21"/>
    <w:rsid w:val="00316E7A"/>
    <w:rsid w:val="00316E9D"/>
    <w:rsid w:val="00316EAA"/>
    <w:rsid w:val="00316F0B"/>
    <w:rsid w:val="00316F10"/>
    <w:rsid w:val="00316F36"/>
    <w:rsid w:val="00316F7E"/>
    <w:rsid w:val="00316F8F"/>
    <w:rsid w:val="00316FA2"/>
    <w:rsid w:val="00317033"/>
    <w:rsid w:val="0031703E"/>
    <w:rsid w:val="00317070"/>
    <w:rsid w:val="003170BB"/>
    <w:rsid w:val="00317184"/>
    <w:rsid w:val="0031718D"/>
    <w:rsid w:val="003171A5"/>
    <w:rsid w:val="003171AA"/>
    <w:rsid w:val="00317243"/>
    <w:rsid w:val="00317246"/>
    <w:rsid w:val="0031724C"/>
    <w:rsid w:val="0031726E"/>
    <w:rsid w:val="0031728B"/>
    <w:rsid w:val="00317293"/>
    <w:rsid w:val="00317311"/>
    <w:rsid w:val="00317314"/>
    <w:rsid w:val="0031731C"/>
    <w:rsid w:val="003173DC"/>
    <w:rsid w:val="00317414"/>
    <w:rsid w:val="00317428"/>
    <w:rsid w:val="00317473"/>
    <w:rsid w:val="00317492"/>
    <w:rsid w:val="00317506"/>
    <w:rsid w:val="0031751A"/>
    <w:rsid w:val="00317529"/>
    <w:rsid w:val="0031760F"/>
    <w:rsid w:val="00317611"/>
    <w:rsid w:val="0031764F"/>
    <w:rsid w:val="0031766C"/>
    <w:rsid w:val="00317698"/>
    <w:rsid w:val="0031769B"/>
    <w:rsid w:val="003176DB"/>
    <w:rsid w:val="0031772A"/>
    <w:rsid w:val="00317791"/>
    <w:rsid w:val="0031784F"/>
    <w:rsid w:val="00317853"/>
    <w:rsid w:val="0031789B"/>
    <w:rsid w:val="003178DD"/>
    <w:rsid w:val="00317969"/>
    <w:rsid w:val="00317973"/>
    <w:rsid w:val="00317996"/>
    <w:rsid w:val="00317999"/>
    <w:rsid w:val="00317A1A"/>
    <w:rsid w:val="00317A33"/>
    <w:rsid w:val="00317A3B"/>
    <w:rsid w:val="00317A6D"/>
    <w:rsid w:val="00317AC0"/>
    <w:rsid w:val="00317ADC"/>
    <w:rsid w:val="00317AEC"/>
    <w:rsid w:val="00317B0A"/>
    <w:rsid w:val="00317B23"/>
    <w:rsid w:val="00317B3B"/>
    <w:rsid w:val="00317B62"/>
    <w:rsid w:val="00317BE3"/>
    <w:rsid w:val="00317BEC"/>
    <w:rsid w:val="00317C53"/>
    <w:rsid w:val="00317C59"/>
    <w:rsid w:val="00317C76"/>
    <w:rsid w:val="00317C80"/>
    <w:rsid w:val="00317CE0"/>
    <w:rsid w:val="00317D0C"/>
    <w:rsid w:val="00317D17"/>
    <w:rsid w:val="00317D19"/>
    <w:rsid w:val="00317DB0"/>
    <w:rsid w:val="00317DB8"/>
    <w:rsid w:val="00317DDB"/>
    <w:rsid w:val="00317DEC"/>
    <w:rsid w:val="00317E3D"/>
    <w:rsid w:val="00317E76"/>
    <w:rsid w:val="00317EF0"/>
    <w:rsid w:val="00317F20"/>
    <w:rsid w:val="00317F39"/>
    <w:rsid w:val="00317F3A"/>
    <w:rsid w:val="00317FA3"/>
    <w:rsid w:val="0032006A"/>
    <w:rsid w:val="0032007A"/>
    <w:rsid w:val="00320084"/>
    <w:rsid w:val="003200B0"/>
    <w:rsid w:val="003200B9"/>
    <w:rsid w:val="003200BA"/>
    <w:rsid w:val="003200DD"/>
    <w:rsid w:val="00320143"/>
    <w:rsid w:val="00320163"/>
    <w:rsid w:val="00320164"/>
    <w:rsid w:val="00320231"/>
    <w:rsid w:val="0032025E"/>
    <w:rsid w:val="00320297"/>
    <w:rsid w:val="003202BD"/>
    <w:rsid w:val="00320340"/>
    <w:rsid w:val="00320390"/>
    <w:rsid w:val="003203CE"/>
    <w:rsid w:val="0032041A"/>
    <w:rsid w:val="0032044C"/>
    <w:rsid w:val="00320459"/>
    <w:rsid w:val="0032045A"/>
    <w:rsid w:val="0032047F"/>
    <w:rsid w:val="00320494"/>
    <w:rsid w:val="003204A4"/>
    <w:rsid w:val="003204EB"/>
    <w:rsid w:val="00320510"/>
    <w:rsid w:val="0032053F"/>
    <w:rsid w:val="003205AC"/>
    <w:rsid w:val="0032060E"/>
    <w:rsid w:val="0032061D"/>
    <w:rsid w:val="00320620"/>
    <w:rsid w:val="0032062E"/>
    <w:rsid w:val="00320649"/>
    <w:rsid w:val="00320658"/>
    <w:rsid w:val="00320666"/>
    <w:rsid w:val="0032072F"/>
    <w:rsid w:val="00320859"/>
    <w:rsid w:val="00320865"/>
    <w:rsid w:val="0032087E"/>
    <w:rsid w:val="0032089B"/>
    <w:rsid w:val="003208CD"/>
    <w:rsid w:val="003208E9"/>
    <w:rsid w:val="0032094C"/>
    <w:rsid w:val="00320981"/>
    <w:rsid w:val="00320A17"/>
    <w:rsid w:val="00320A18"/>
    <w:rsid w:val="00320A31"/>
    <w:rsid w:val="00320A34"/>
    <w:rsid w:val="00320A69"/>
    <w:rsid w:val="00320ABB"/>
    <w:rsid w:val="00320AEE"/>
    <w:rsid w:val="00320B2C"/>
    <w:rsid w:val="00320B3A"/>
    <w:rsid w:val="00320B68"/>
    <w:rsid w:val="00320BB0"/>
    <w:rsid w:val="00320BCC"/>
    <w:rsid w:val="00320BCF"/>
    <w:rsid w:val="00320BFD"/>
    <w:rsid w:val="00320C6A"/>
    <w:rsid w:val="00320C87"/>
    <w:rsid w:val="00320CEE"/>
    <w:rsid w:val="00320D0A"/>
    <w:rsid w:val="00320D7D"/>
    <w:rsid w:val="00320EBA"/>
    <w:rsid w:val="00320ED3"/>
    <w:rsid w:val="00320F4B"/>
    <w:rsid w:val="00320F81"/>
    <w:rsid w:val="00320F8F"/>
    <w:rsid w:val="00320FA6"/>
    <w:rsid w:val="00320FC7"/>
    <w:rsid w:val="00320FE3"/>
    <w:rsid w:val="00320FF2"/>
    <w:rsid w:val="0032102A"/>
    <w:rsid w:val="003210B2"/>
    <w:rsid w:val="003210C1"/>
    <w:rsid w:val="00321112"/>
    <w:rsid w:val="00321172"/>
    <w:rsid w:val="00321175"/>
    <w:rsid w:val="0032117B"/>
    <w:rsid w:val="00321193"/>
    <w:rsid w:val="003211B2"/>
    <w:rsid w:val="003211D8"/>
    <w:rsid w:val="003211FA"/>
    <w:rsid w:val="00321207"/>
    <w:rsid w:val="00321223"/>
    <w:rsid w:val="0032123A"/>
    <w:rsid w:val="00321243"/>
    <w:rsid w:val="00321254"/>
    <w:rsid w:val="0032129F"/>
    <w:rsid w:val="0032136F"/>
    <w:rsid w:val="0032143D"/>
    <w:rsid w:val="00321489"/>
    <w:rsid w:val="0032149F"/>
    <w:rsid w:val="0032154E"/>
    <w:rsid w:val="0032158D"/>
    <w:rsid w:val="003215E0"/>
    <w:rsid w:val="00321644"/>
    <w:rsid w:val="00321672"/>
    <w:rsid w:val="003216E2"/>
    <w:rsid w:val="003216EC"/>
    <w:rsid w:val="0032174C"/>
    <w:rsid w:val="00321818"/>
    <w:rsid w:val="00321839"/>
    <w:rsid w:val="0032183F"/>
    <w:rsid w:val="0032186D"/>
    <w:rsid w:val="00321878"/>
    <w:rsid w:val="00321879"/>
    <w:rsid w:val="00321881"/>
    <w:rsid w:val="0032189D"/>
    <w:rsid w:val="003218A0"/>
    <w:rsid w:val="003218F7"/>
    <w:rsid w:val="003218FC"/>
    <w:rsid w:val="0032191B"/>
    <w:rsid w:val="00321955"/>
    <w:rsid w:val="0032197C"/>
    <w:rsid w:val="003219F2"/>
    <w:rsid w:val="00321A18"/>
    <w:rsid w:val="00321A4F"/>
    <w:rsid w:val="00321A6F"/>
    <w:rsid w:val="00321A7F"/>
    <w:rsid w:val="00321A9F"/>
    <w:rsid w:val="00321ABF"/>
    <w:rsid w:val="00321AC1"/>
    <w:rsid w:val="00321AC2"/>
    <w:rsid w:val="00321AD9"/>
    <w:rsid w:val="00321B1D"/>
    <w:rsid w:val="00321B4B"/>
    <w:rsid w:val="00321B51"/>
    <w:rsid w:val="00321C31"/>
    <w:rsid w:val="00321C51"/>
    <w:rsid w:val="00321C81"/>
    <w:rsid w:val="00321C8D"/>
    <w:rsid w:val="00321C8F"/>
    <w:rsid w:val="00321C9D"/>
    <w:rsid w:val="00321CBF"/>
    <w:rsid w:val="00321CCD"/>
    <w:rsid w:val="00321D0F"/>
    <w:rsid w:val="00321D64"/>
    <w:rsid w:val="00321D87"/>
    <w:rsid w:val="00321D8B"/>
    <w:rsid w:val="00321D96"/>
    <w:rsid w:val="00321DA6"/>
    <w:rsid w:val="00321DE5"/>
    <w:rsid w:val="00321E5E"/>
    <w:rsid w:val="00321E65"/>
    <w:rsid w:val="00321E87"/>
    <w:rsid w:val="00321EF6"/>
    <w:rsid w:val="00321FB5"/>
    <w:rsid w:val="00322006"/>
    <w:rsid w:val="00322058"/>
    <w:rsid w:val="00322071"/>
    <w:rsid w:val="0032208C"/>
    <w:rsid w:val="003220A2"/>
    <w:rsid w:val="003220D9"/>
    <w:rsid w:val="00322114"/>
    <w:rsid w:val="0032211D"/>
    <w:rsid w:val="0032216B"/>
    <w:rsid w:val="003221B7"/>
    <w:rsid w:val="003221BD"/>
    <w:rsid w:val="003221CA"/>
    <w:rsid w:val="003221D8"/>
    <w:rsid w:val="003221FB"/>
    <w:rsid w:val="003222DC"/>
    <w:rsid w:val="003223F1"/>
    <w:rsid w:val="0032244E"/>
    <w:rsid w:val="0032246D"/>
    <w:rsid w:val="003224A3"/>
    <w:rsid w:val="003224B4"/>
    <w:rsid w:val="003224B8"/>
    <w:rsid w:val="0032254C"/>
    <w:rsid w:val="00322553"/>
    <w:rsid w:val="0032258D"/>
    <w:rsid w:val="003225BC"/>
    <w:rsid w:val="003225CC"/>
    <w:rsid w:val="00322645"/>
    <w:rsid w:val="0032264F"/>
    <w:rsid w:val="00322689"/>
    <w:rsid w:val="0032268E"/>
    <w:rsid w:val="003226D3"/>
    <w:rsid w:val="0032270A"/>
    <w:rsid w:val="0032272D"/>
    <w:rsid w:val="00322776"/>
    <w:rsid w:val="0032279A"/>
    <w:rsid w:val="0032279C"/>
    <w:rsid w:val="00322801"/>
    <w:rsid w:val="00322809"/>
    <w:rsid w:val="00322816"/>
    <w:rsid w:val="0032286A"/>
    <w:rsid w:val="0032287E"/>
    <w:rsid w:val="003228C1"/>
    <w:rsid w:val="003228D7"/>
    <w:rsid w:val="003228E0"/>
    <w:rsid w:val="00322953"/>
    <w:rsid w:val="00322987"/>
    <w:rsid w:val="00322A72"/>
    <w:rsid w:val="00322A8D"/>
    <w:rsid w:val="00322AC4"/>
    <w:rsid w:val="00322AC9"/>
    <w:rsid w:val="00322B5F"/>
    <w:rsid w:val="00322B7B"/>
    <w:rsid w:val="00322B7D"/>
    <w:rsid w:val="00322B8D"/>
    <w:rsid w:val="00322BC0"/>
    <w:rsid w:val="00322BC9"/>
    <w:rsid w:val="00322BD9"/>
    <w:rsid w:val="00322C22"/>
    <w:rsid w:val="00322C4D"/>
    <w:rsid w:val="00322CCA"/>
    <w:rsid w:val="00322D31"/>
    <w:rsid w:val="00322D74"/>
    <w:rsid w:val="00322DB4"/>
    <w:rsid w:val="00322E3A"/>
    <w:rsid w:val="00322EA5"/>
    <w:rsid w:val="00322EB2"/>
    <w:rsid w:val="00322F24"/>
    <w:rsid w:val="00322FA6"/>
    <w:rsid w:val="00322FB9"/>
    <w:rsid w:val="0032302B"/>
    <w:rsid w:val="0032306E"/>
    <w:rsid w:val="003230E4"/>
    <w:rsid w:val="003230FC"/>
    <w:rsid w:val="00323132"/>
    <w:rsid w:val="0032315B"/>
    <w:rsid w:val="00323175"/>
    <w:rsid w:val="003231AF"/>
    <w:rsid w:val="0032323C"/>
    <w:rsid w:val="00323346"/>
    <w:rsid w:val="0032335A"/>
    <w:rsid w:val="00323374"/>
    <w:rsid w:val="00323389"/>
    <w:rsid w:val="003233E6"/>
    <w:rsid w:val="00323464"/>
    <w:rsid w:val="00323482"/>
    <w:rsid w:val="00323500"/>
    <w:rsid w:val="00323534"/>
    <w:rsid w:val="0032353F"/>
    <w:rsid w:val="0032355E"/>
    <w:rsid w:val="00323573"/>
    <w:rsid w:val="003235D6"/>
    <w:rsid w:val="003235FB"/>
    <w:rsid w:val="00323615"/>
    <w:rsid w:val="00323635"/>
    <w:rsid w:val="00323675"/>
    <w:rsid w:val="003236E8"/>
    <w:rsid w:val="003236EC"/>
    <w:rsid w:val="00323724"/>
    <w:rsid w:val="00323730"/>
    <w:rsid w:val="00323759"/>
    <w:rsid w:val="00323763"/>
    <w:rsid w:val="0032378F"/>
    <w:rsid w:val="00323798"/>
    <w:rsid w:val="00323833"/>
    <w:rsid w:val="00323937"/>
    <w:rsid w:val="00323978"/>
    <w:rsid w:val="003239AC"/>
    <w:rsid w:val="003239B0"/>
    <w:rsid w:val="003239BA"/>
    <w:rsid w:val="003239FD"/>
    <w:rsid w:val="00323A42"/>
    <w:rsid w:val="00323A71"/>
    <w:rsid w:val="00323AE9"/>
    <w:rsid w:val="00323B1A"/>
    <w:rsid w:val="00323B24"/>
    <w:rsid w:val="00323BDE"/>
    <w:rsid w:val="00323C17"/>
    <w:rsid w:val="00323C19"/>
    <w:rsid w:val="00323C42"/>
    <w:rsid w:val="00323C7C"/>
    <w:rsid w:val="00323CB9"/>
    <w:rsid w:val="00323CF9"/>
    <w:rsid w:val="00323D0C"/>
    <w:rsid w:val="00323D4B"/>
    <w:rsid w:val="00323DEB"/>
    <w:rsid w:val="00323E23"/>
    <w:rsid w:val="00323E81"/>
    <w:rsid w:val="00323F09"/>
    <w:rsid w:val="00323F21"/>
    <w:rsid w:val="00323F4A"/>
    <w:rsid w:val="00323FC8"/>
    <w:rsid w:val="00323FF5"/>
    <w:rsid w:val="0032402A"/>
    <w:rsid w:val="003240A2"/>
    <w:rsid w:val="003240EF"/>
    <w:rsid w:val="00324189"/>
    <w:rsid w:val="0032418F"/>
    <w:rsid w:val="003241E5"/>
    <w:rsid w:val="00324222"/>
    <w:rsid w:val="00324224"/>
    <w:rsid w:val="00324237"/>
    <w:rsid w:val="00324257"/>
    <w:rsid w:val="0032429C"/>
    <w:rsid w:val="00324303"/>
    <w:rsid w:val="00324381"/>
    <w:rsid w:val="0032438A"/>
    <w:rsid w:val="00324405"/>
    <w:rsid w:val="0032445F"/>
    <w:rsid w:val="00324466"/>
    <w:rsid w:val="00324474"/>
    <w:rsid w:val="0032449A"/>
    <w:rsid w:val="003244BF"/>
    <w:rsid w:val="003244CD"/>
    <w:rsid w:val="003244DC"/>
    <w:rsid w:val="00324505"/>
    <w:rsid w:val="00324549"/>
    <w:rsid w:val="0032456D"/>
    <w:rsid w:val="003245CD"/>
    <w:rsid w:val="003245FB"/>
    <w:rsid w:val="00324618"/>
    <w:rsid w:val="00324656"/>
    <w:rsid w:val="00324675"/>
    <w:rsid w:val="003246E8"/>
    <w:rsid w:val="00324761"/>
    <w:rsid w:val="00324794"/>
    <w:rsid w:val="0032479B"/>
    <w:rsid w:val="003247C6"/>
    <w:rsid w:val="003247CD"/>
    <w:rsid w:val="003247ED"/>
    <w:rsid w:val="003247F0"/>
    <w:rsid w:val="0032484D"/>
    <w:rsid w:val="00324898"/>
    <w:rsid w:val="003248C5"/>
    <w:rsid w:val="0032495C"/>
    <w:rsid w:val="003249A5"/>
    <w:rsid w:val="003249B8"/>
    <w:rsid w:val="003249E6"/>
    <w:rsid w:val="003249E7"/>
    <w:rsid w:val="00324A1D"/>
    <w:rsid w:val="00324A38"/>
    <w:rsid w:val="00324A5A"/>
    <w:rsid w:val="00324A5F"/>
    <w:rsid w:val="00324A89"/>
    <w:rsid w:val="00324AB1"/>
    <w:rsid w:val="00324AE5"/>
    <w:rsid w:val="00324B14"/>
    <w:rsid w:val="00324B35"/>
    <w:rsid w:val="00324B3A"/>
    <w:rsid w:val="00324B5D"/>
    <w:rsid w:val="00324C23"/>
    <w:rsid w:val="00324C41"/>
    <w:rsid w:val="00324C4C"/>
    <w:rsid w:val="00324CA3"/>
    <w:rsid w:val="00324CF0"/>
    <w:rsid w:val="00324D00"/>
    <w:rsid w:val="00324D1F"/>
    <w:rsid w:val="00324D37"/>
    <w:rsid w:val="00324D62"/>
    <w:rsid w:val="00324DAB"/>
    <w:rsid w:val="00324DD2"/>
    <w:rsid w:val="00324DD9"/>
    <w:rsid w:val="00324E46"/>
    <w:rsid w:val="00324EA7"/>
    <w:rsid w:val="00324ECE"/>
    <w:rsid w:val="00324F2A"/>
    <w:rsid w:val="00324F4F"/>
    <w:rsid w:val="00324FA4"/>
    <w:rsid w:val="00325035"/>
    <w:rsid w:val="003250A7"/>
    <w:rsid w:val="003250BA"/>
    <w:rsid w:val="00325145"/>
    <w:rsid w:val="00325214"/>
    <w:rsid w:val="00325324"/>
    <w:rsid w:val="003253CB"/>
    <w:rsid w:val="003253FF"/>
    <w:rsid w:val="00325415"/>
    <w:rsid w:val="00325420"/>
    <w:rsid w:val="00325440"/>
    <w:rsid w:val="003254AE"/>
    <w:rsid w:val="003255BF"/>
    <w:rsid w:val="003255D1"/>
    <w:rsid w:val="003255F2"/>
    <w:rsid w:val="00325611"/>
    <w:rsid w:val="00325616"/>
    <w:rsid w:val="00325667"/>
    <w:rsid w:val="0032566F"/>
    <w:rsid w:val="003256D3"/>
    <w:rsid w:val="0032571D"/>
    <w:rsid w:val="00325731"/>
    <w:rsid w:val="00325755"/>
    <w:rsid w:val="00325778"/>
    <w:rsid w:val="0032589A"/>
    <w:rsid w:val="003258D8"/>
    <w:rsid w:val="00325915"/>
    <w:rsid w:val="00325958"/>
    <w:rsid w:val="00325978"/>
    <w:rsid w:val="00325985"/>
    <w:rsid w:val="003259D1"/>
    <w:rsid w:val="003259F6"/>
    <w:rsid w:val="00325A3B"/>
    <w:rsid w:val="00325A3E"/>
    <w:rsid w:val="00325A9B"/>
    <w:rsid w:val="00325AB5"/>
    <w:rsid w:val="00325AB8"/>
    <w:rsid w:val="00325AFA"/>
    <w:rsid w:val="00325B66"/>
    <w:rsid w:val="00325C45"/>
    <w:rsid w:val="00325CA2"/>
    <w:rsid w:val="00325CE0"/>
    <w:rsid w:val="00325CFF"/>
    <w:rsid w:val="00325D28"/>
    <w:rsid w:val="00325D49"/>
    <w:rsid w:val="00325D71"/>
    <w:rsid w:val="00325D74"/>
    <w:rsid w:val="00325DBB"/>
    <w:rsid w:val="00325E14"/>
    <w:rsid w:val="00325E1D"/>
    <w:rsid w:val="00325E2B"/>
    <w:rsid w:val="00325E7A"/>
    <w:rsid w:val="00325EA6"/>
    <w:rsid w:val="00325EC5"/>
    <w:rsid w:val="00325F20"/>
    <w:rsid w:val="00325F3B"/>
    <w:rsid w:val="00325F45"/>
    <w:rsid w:val="00325F64"/>
    <w:rsid w:val="00325F95"/>
    <w:rsid w:val="00326012"/>
    <w:rsid w:val="00326032"/>
    <w:rsid w:val="0032603B"/>
    <w:rsid w:val="00326047"/>
    <w:rsid w:val="00326074"/>
    <w:rsid w:val="00326082"/>
    <w:rsid w:val="00326171"/>
    <w:rsid w:val="003261AA"/>
    <w:rsid w:val="003261D6"/>
    <w:rsid w:val="003261E3"/>
    <w:rsid w:val="00326251"/>
    <w:rsid w:val="0032625F"/>
    <w:rsid w:val="003262B2"/>
    <w:rsid w:val="003262B4"/>
    <w:rsid w:val="003262B6"/>
    <w:rsid w:val="003262C9"/>
    <w:rsid w:val="00326332"/>
    <w:rsid w:val="00326366"/>
    <w:rsid w:val="00326396"/>
    <w:rsid w:val="003263A2"/>
    <w:rsid w:val="003263A9"/>
    <w:rsid w:val="00326412"/>
    <w:rsid w:val="00326490"/>
    <w:rsid w:val="003264CC"/>
    <w:rsid w:val="003264E2"/>
    <w:rsid w:val="00326520"/>
    <w:rsid w:val="0032656C"/>
    <w:rsid w:val="0032665A"/>
    <w:rsid w:val="00326698"/>
    <w:rsid w:val="003266A2"/>
    <w:rsid w:val="00326707"/>
    <w:rsid w:val="003267CB"/>
    <w:rsid w:val="003267F4"/>
    <w:rsid w:val="00326816"/>
    <w:rsid w:val="00326823"/>
    <w:rsid w:val="0032683A"/>
    <w:rsid w:val="00326850"/>
    <w:rsid w:val="0032685C"/>
    <w:rsid w:val="0032685E"/>
    <w:rsid w:val="0032687A"/>
    <w:rsid w:val="003268F5"/>
    <w:rsid w:val="0032691B"/>
    <w:rsid w:val="00326987"/>
    <w:rsid w:val="0032698F"/>
    <w:rsid w:val="003269B4"/>
    <w:rsid w:val="003269D8"/>
    <w:rsid w:val="003269F1"/>
    <w:rsid w:val="003269F8"/>
    <w:rsid w:val="00326A68"/>
    <w:rsid w:val="00326A7F"/>
    <w:rsid w:val="00326A85"/>
    <w:rsid w:val="00326AA6"/>
    <w:rsid w:val="00326AC0"/>
    <w:rsid w:val="00326AD5"/>
    <w:rsid w:val="00326B19"/>
    <w:rsid w:val="00326B27"/>
    <w:rsid w:val="00326B69"/>
    <w:rsid w:val="00326B78"/>
    <w:rsid w:val="00326BDB"/>
    <w:rsid w:val="00326C12"/>
    <w:rsid w:val="00326C41"/>
    <w:rsid w:val="00326CB6"/>
    <w:rsid w:val="00326CFB"/>
    <w:rsid w:val="00326CFD"/>
    <w:rsid w:val="00326CFE"/>
    <w:rsid w:val="00326D44"/>
    <w:rsid w:val="00326D4D"/>
    <w:rsid w:val="00326D50"/>
    <w:rsid w:val="00326DE2"/>
    <w:rsid w:val="00326DFC"/>
    <w:rsid w:val="00326E00"/>
    <w:rsid w:val="00326E25"/>
    <w:rsid w:val="00326E92"/>
    <w:rsid w:val="00326E9D"/>
    <w:rsid w:val="00326EAB"/>
    <w:rsid w:val="00326EFF"/>
    <w:rsid w:val="00326FBB"/>
    <w:rsid w:val="00326FBE"/>
    <w:rsid w:val="00326FED"/>
    <w:rsid w:val="00327076"/>
    <w:rsid w:val="00327088"/>
    <w:rsid w:val="0032708E"/>
    <w:rsid w:val="0032709E"/>
    <w:rsid w:val="00327184"/>
    <w:rsid w:val="00327191"/>
    <w:rsid w:val="003271ED"/>
    <w:rsid w:val="003271FF"/>
    <w:rsid w:val="00327240"/>
    <w:rsid w:val="0032724D"/>
    <w:rsid w:val="00327276"/>
    <w:rsid w:val="0032728E"/>
    <w:rsid w:val="0032730C"/>
    <w:rsid w:val="0032732C"/>
    <w:rsid w:val="00327351"/>
    <w:rsid w:val="00327389"/>
    <w:rsid w:val="00327399"/>
    <w:rsid w:val="003273AC"/>
    <w:rsid w:val="003273EF"/>
    <w:rsid w:val="003273F4"/>
    <w:rsid w:val="003273FD"/>
    <w:rsid w:val="003274A2"/>
    <w:rsid w:val="003274BD"/>
    <w:rsid w:val="0032750C"/>
    <w:rsid w:val="0032754D"/>
    <w:rsid w:val="0032756D"/>
    <w:rsid w:val="0032759B"/>
    <w:rsid w:val="003275BD"/>
    <w:rsid w:val="003275D8"/>
    <w:rsid w:val="003275F3"/>
    <w:rsid w:val="0032760E"/>
    <w:rsid w:val="003276B5"/>
    <w:rsid w:val="003276ED"/>
    <w:rsid w:val="003276F7"/>
    <w:rsid w:val="0032775D"/>
    <w:rsid w:val="0032777A"/>
    <w:rsid w:val="003277D7"/>
    <w:rsid w:val="003277DB"/>
    <w:rsid w:val="003277E8"/>
    <w:rsid w:val="003277F2"/>
    <w:rsid w:val="00327834"/>
    <w:rsid w:val="00327840"/>
    <w:rsid w:val="0032789C"/>
    <w:rsid w:val="003278BB"/>
    <w:rsid w:val="003278C0"/>
    <w:rsid w:val="003278CB"/>
    <w:rsid w:val="0032790A"/>
    <w:rsid w:val="0032795A"/>
    <w:rsid w:val="00327982"/>
    <w:rsid w:val="003279AB"/>
    <w:rsid w:val="003279BB"/>
    <w:rsid w:val="00327A03"/>
    <w:rsid w:val="00327A17"/>
    <w:rsid w:val="00327A43"/>
    <w:rsid w:val="00327A6E"/>
    <w:rsid w:val="00327A71"/>
    <w:rsid w:val="00327A9C"/>
    <w:rsid w:val="00327A9F"/>
    <w:rsid w:val="00327B01"/>
    <w:rsid w:val="00327B9B"/>
    <w:rsid w:val="00327C63"/>
    <w:rsid w:val="00327C7A"/>
    <w:rsid w:val="00327CA4"/>
    <w:rsid w:val="00327CD3"/>
    <w:rsid w:val="00327CDA"/>
    <w:rsid w:val="00327CEE"/>
    <w:rsid w:val="00327D81"/>
    <w:rsid w:val="00327DC6"/>
    <w:rsid w:val="00327DDD"/>
    <w:rsid w:val="00327E0C"/>
    <w:rsid w:val="00327E2B"/>
    <w:rsid w:val="00327E44"/>
    <w:rsid w:val="00327E4F"/>
    <w:rsid w:val="00327E7F"/>
    <w:rsid w:val="00327E82"/>
    <w:rsid w:val="00327EA2"/>
    <w:rsid w:val="00327ECB"/>
    <w:rsid w:val="00327EE1"/>
    <w:rsid w:val="00327EEB"/>
    <w:rsid w:val="00327F0C"/>
    <w:rsid w:val="00327F3C"/>
    <w:rsid w:val="00327F95"/>
    <w:rsid w:val="00327F9F"/>
    <w:rsid w:val="00327FA2"/>
    <w:rsid w:val="00329D66"/>
    <w:rsid w:val="00329DA7"/>
    <w:rsid w:val="0033007E"/>
    <w:rsid w:val="003300AB"/>
    <w:rsid w:val="003300B6"/>
    <w:rsid w:val="003300D6"/>
    <w:rsid w:val="003300EF"/>
    <w:rsid w:val="003301B4"/>
    <w:rsid w:val="003301B8"/>
    <w:rsid w:val="003301D1"/>
    <w:rsid w:val="003301DB"/>
    <w:rsid w:val="00330224"/>
    <w:rsid w:val="0033027B"/>
    <w:rsid w:val="0033029A"/>
    <w:rsid w:val="003302A2"/>
    <w:rsid w:val="003302D7"/>
    <w:rsid w:val="0033031E"/>
    <w:rsid w:val="00330327"/>
    <w:rsid w:val="00330353"/>
    <w:rsid w:val="0033036A"/>
    <w:rsid w:val="003303EC"/>
    <w:rsid w:val="00330467"/>
    <w:rsid w:val="0033049C"/>
    <w:rsid w:val="0033050F"/>
    <w:rsid w:val="00330534"/>
    <w:rsid w:val="00330545"/>
    <w:rsid w:val="00330578"/>
    <w:rsid w:val="0033059E"/>
    <w:rsid w:val="003305AB"/>
    <w:rsid w:val="00330679"/>
    <w:rsid w:val="003306C4"/>
    <w:rsid w:val="003306C5"/>
    <w:rsid w:val="003306FC"/>
    <w:rsid w:val="00330711"/>
    <w:rsid w:val="00330730"/>
    <w:rsid w:val="0033073D"/>
    <w:rsid w:val="003307C5"/>
    <w:rsid w:val="003307F2"/>
    <w:rsid w:val="003307FA"/>
    <w:rsid w:val="00330818"/>
    <w:rsid w:val="0033081E"/>
    <w:rsid w:val="0033085D"/>
    <w:rsid w:val="003308A9"/>
    <w:rsid w:val="003308D5"/>
    <w:rsid w:val="00330901"/>
    <w:rsid w:val="00330928"/>
    <w:rsid w:val="0033092D"/>
    <w:rsid w:val="00330953"/>
    <w:rsid w:val="00330990"/>
    <w:rsid w:val="003309E0"/>
    <w:rsid w:val="00330A10"/>
    <w:rsid w:val="00330A1C"/>
    <w:rsid w:val="00330A64"/>
    <w:rsid w:val="00330A92"/>
    <w:rsid w:val="00330A9F"/>
    <w:rsid w:val="00330ABA"/>
    <w:rsid w:val="00330B0E"/>
    <w:rsid w:val="00330B1D"/>
    <w:rsid w:val="00330B43"/>
    <w:rsid w:val="00330B55"/>
    <w:rsid w:val="00330C9D"/>
    <w:rsid w:val="00330CA8"/>
    <w:rsid w:val="00330CCA"/>
    <w:rsid w:val="00330CFA"/>
    <w:rsid w:val="00330D24"/>
    <w:rsid w:val="00330E2F"/>
    <w:rsid w:val="00330E84"/>
    <w:rsid w:val="00330EE5"/>
    <w:rsid w:val="00330F27"/>
    <w:rsid w:val="00330F3F"/>
    <w:rsid w:val="00330F65"/>
    <w:rsid w:val="00330F6E"/>
    <w:rsid w:val="00330F90"/>
    <w:rsid w:val="00330FAA"/>
    <w:rsid w:val="00330FBB"/>
    <w:rsid w:val="0033100E"/>
    <w:rsid w:val="00331030"/>
    <w:rsid w:val="00331042"/>
    <w:rsid w:val="00331075"/>
    <w:rsid w:val="00331095"/>
    <w:rsid w:val="00331143"/>
    <w:rsid w:val="00331179"/>
    <w:rsid w:val="003311CC"/>
    <w:rsid w:val="00331200"/>
    <w:rsid w:val="00331227"/>
    <w:rsid w:val="00331293"/>
    <w:rsid w:val="003312A6"/>
    <w:rsid w:val="003312F5"/>
    <w:rsid w:val="003312F6"/>
    <w:rsid w:val="0033131C"/>
    <w:rsid w:val="00331358"/>
    <w:rsid w:val="0033138C"/>
    <w:rsid w:val="0033140B"/>
    <w:rsid w:val="00331427"/>
    <w:rsid w:val="00331437"/>
    <w:rsid w:val="00331493"/>
    <w:rsid w:val="003315B2"/>
    <w:rsid w:val="00331624"/>
    <w:rsid w:val="00331628"/>
    <w:rsid w:val="00331655"/>
    <w:rsid w:val="0033166A"/>
    <w:rsid w:val="00331789"/>
    <w:rsid w:val="00331798"/>
    <w:rsid w:val="003317C5"/>
    <w:rsid w:val="00331859"/>
    <w:rsid w:val="00331883"/>
    <w:rsid w:val="003318BA"/>
    <w:rsid w:val="00331959"/>
    <w:rsid w:val="00331988"/>
    <w:rsid w:val="00331A7B"/>
    <w:rsid w:val="00331A89"/>
    <w:rsid w:val="00331AAB"/>
    <w:rsid w:val="00331AB6"/>
    <w:rsid w:val="00331AC1"/>
    <w:rsid w:val="00331AD3"/>
    <w:rsid w:val="00331AFF"/>
    <w:rsid w:val="00331B4C"/>
    <w:rsid w:val="00331BC6"/>
    <w:rsid w:val="00331BE9"/>
    <w:rsid w:val="00331C7B"/>
    <w:rsid w:val="00331C83"/>
    <w:rsid w:val="00331CB2"/>
    <w:rsid w:val="00331CC7"/>
    <w:rsid w:val="00331D68"/>
    <w:rsid w:val="00331DC4"/>
    <w:rsid w:val="00331DE9"/>
    <w:rsid w:val="00331DF3"/>
    <w:rsid w:val="00331E11"/>
    <w:rsid w:val="00331E30"/>
    <w:rsid w:val="00331ECC"/>
    <w:rsid w:val="00331F05"/>
    <w:rsid w:val="00331F51"/>
    <w:rsid w:val="00331F6D"/>
    <w:rsid w:val="00331FA0"/>
    <w:rsid w:val="00331FA6"/>
    <w:rsid w:val="00331FEC"/>
    <w:rsid w:val="00332024"/>
    <w:rsid w:val="003320D8"/>
    <w:rsid w:val="0033211B"/>
    <w:rsid w:val="00332148"/>
    <w:rsid w:val="00332170"/>
    <w:rsid w:val="0033218E"/>
    <w:rsid w:val="003321B6"/>
    <w:rsid w:val="00332222"/>
    <w:rsid w:val="0033225E"/>
    <w:rsid w:val="003322A1"/>
    <w:rsid w:val="003322D8"/>
    <w:rsid w:val="003322FE"/>
    <w:rsid w:val="0033230E"/>
    <w:rsid w:val="00332313"/>
    <w:rsid w:val="00332325"/>
    <w:rsid w:val="0033233B"/>
    <w:rsid w:val="00332347"/>
    <w:rsid w:val="0033235E"/>
    <w:rsid w:val="0033238C"/>
    <w:rsid w:val="00332418"/>
    <w:rsid w:val="0033241F"/>
    <w:rsid w:val="00332423"/>
    <w:rsid w:val="0033246B"/>
    <w:rsid w:val="003324AA"/>
    <w:rsid w:val="0033253A"/>
    <w:rsid w:val="00332561"/>
    <w:rsid w:val="00332571"/>
    <w:rsid w:val="00332574"/>
    <w:rsid w:val="00332590"/>
    <w:rsid w:val="003325CE"/>
    <w:rsid w:val="00332606"/>
    <w:rsid w:val="0033261C"/>
    <w:rsid w:val="0033262D"/>
    <w:rsid w:val="0033265C"/>
    <w:rsid w:val="0033266C"/>
    <w:rsid w:val="0033267C"/>
    <w:rsid w:val="00332706"/>
    <w:rsid w:val="00332708"/>
    <w:rsid w:val="0033270A"/>
    <w:rsid w:val="0033274E"/>
    <w:rsid w:val="00332785"/>
    <w:rsid w:val="003327D7"/>
    <w:rsid w:val="00332821"/>
    <w:rsid w:val="00332822"/>
    <w:rsid w:val="0033282F"/>
    <w:rsid w:val="003328C7"/>
    <w:rsid w:val="003328F0"/>
    <w:rsid w:val="00332921"/>
    <w:rsid w:val="00332940"/>
    <w:rsid w:val="00332944"/>
    <w:rsid w:val="0033294B"/>
    <w:rsid w:val="00332954"/>
    <w:rsid w:val="00332955"/>
    <w:rsid w:val="00332968"/>
    <w:rsid w:val="0033296C"/>
    <w:rsid w:val="00332993"/>
    <w:rsid w:val="003329A5"/>
    <w:rsid w:val="003329CC"/>
    <w:rsid w:val="003329E1"/>
    <w:rsid w:val="003329E4"/>
    <w:rsid w:val="003329EC"/>
    <w:rsid w:val="00332A43"/>
    <w:rsid w:val="00332A52"/>
    <w:rsid w:val="00332AE4"/>
    <w:rsid w:val="00332B44"/>
    <w:rsid w:val="00332B52"/>
    <w:rsid w:val="00332B54"/>
    <w:rsid w:val="00332B71"/>
    <w:rsid w:val="00332BA2"/>
    <w:rsid w:val="00332BD9"/>
    <w:rsid w:val="00332C2F"/>
    <w:rsid w:val="00332C32"/>
    <w:rsid w:val="00332CA0"/>
    <w:rsid w:val="00332CA2"/>
    <w:rsid w:val="00332CC4"/>
    <w:rsid w:val="00332D59"/>
    <w:rsid w:val="00332D76"/>
    <w:rsid w:val="00332D8C"/>
    <w:rsid w:val="00332DA4"/>
    <w:rsid w:val="00332DF3"/>
    <w:rsid w:val="00332DFA"/>
    <w:rsid w:val="00332E6D"/>
    <w:rsid w:val="00332E81"/>
    <w:rsid w:val="00332E86"/>
    <w:rsid w:val="00332EB2"/>
    <w:rsid w:val="00332F21"/>
    <w:rsid w:val="00332F6F"/>
    <w:rsid w:val="00332F92"/>
    <w:rsid w:val="00332FD9"/>
    <w:rsid w:val="00332FF7"/>
    <w:rsid w:val="0033303D"/>
    <w:rsid w:val="00333047"/>
    <w:rsid w:val="00333057"/>
    <w:rsid w:val="0033306C"/>
    <w:rsid w:val="003330A5"/>
    <w:rsid w:val="003330CC"/>
    <w:rsid w:val="00333139"/>
    <w:rsid w:val="003331CA"/>
    <w:rsid w:val="003331DF"/>
    <w:rsid w:val="003331FC"/>
    <w:rsid w:val="00333241"/>
    <w:rsid w:val="003332A4"/>
    <w:rsid w:val="003332CB"/>
    <w:rsid w:val="0033331D"/>
    <w:rsid w:val="0033331F"/>
    <w:rsid w:val="003333EA"/>
    <w:rsid w:val="00333404"/>
    <w:rsid w:val="00333411"/>
    <w:rsid w:val="0033342D"/>
    <w:rsid w:val="00333442"/>
    <w:rsid w:val="00333446"/>
    <w:rsid w:val="00333449"/>
    <w:rsid w:val="00333493"/>
    <w:rsid w:val="003334D7"/>
    <w:rsid w:val="003334F8"/>
    <w:rsid w:val="00333526"/>
    <w:rsid w:val="00333528"/>
    <w:rsid w:val="00333549"/>
    <w:rsid w:val="0033356D"/>
    <w:rsid w:val="00333574"/>
    <w:rsid w:val="003335E6"/>
    <w:rsid w:val="00333620"/>
    <w:rsid w:val="003336D5"/>
    <w:rsid w:val="003336E4"/>
    <w:rsid w:val="0033377F"/>
    <w:rsid w:val="00333792"/>
    <w:rsid w:val="0033379E"/>
    <w:rsid w:val="003337E7"/>
    <w:rsid w:val="003337FE"/>
    <w:rsid w:val="003337FF"/>
    <w:rsid w:val="00333804"/>
    <w:rsid w:val="0033380D"/>
    <w:rsid w:val="00333831"/>
    <w:rsid w:val="00333878"/>
    <w:rsid w:val="003338B0"/>
    <w:rsid w:val="003338FF"/>
    <w:rsid w:val="00333952"/>
    <w:rsid w:val="00333963"/>
    <w:rsid w:val="0033398B"/>
    <w:rsid w:val="003339D2"/>
    <w:rsid w:val="00333A48"/>
    <w:rsid w:val="00333A52"/>
    <w:rsid w:val="00333A97"/>
    <w:rsid w:val="00333AB2"/>
    <w:rsid w:val="00333B6B"/>
    <w:rsid w:val="00333B82"/>
    <w:rsid w:val="00333B96"/>
    <w:rsid w:val="00333B9D"/>
    <w:rsid w:val="00333BB6"/>
    <w:rsid w:val="00333BD6"/>
    <w:rsid w:val="00333C29"/>
    <w:rsid w:val="00333CD6"/>
    <w:rsid w:val="00333CE9"/>
    <w:rsid w:val="00333D04"/>
    <w:rsid w:val="00333D14"/>
    <w:rsid w:val="00333D16"/>
    <w:rsid w:val="00333D1C"/>
    <w:rsid w:val="00333D75"/>
    <w:rsid w:val="00333D9A"/>
    <w:rsid w:val="00333DE8"/>
    <w:rsid w:val="00333E1E"/>
    <w:rsid w:val="00333E5F"/>
    <w:rsid w:val="00333E7E"/>
    <w:rsid w:val="00333E82"/>
    <w:rsid w:val="00333E91"/>
    <w:rsid w:val="00333EAE"/>
    <w:rsid w:val="00333EB6"/>
    <w:rsid w:val="00333EEB"/>
    <w:rsid w:val="00333EF5"/>
    <w:rsid w:val="00333F06"/>
    <w:rsid w:val="00333F36"/>
    <w:rsid w:val="00333FC4"/>
    <w:rsid w:val="00334004"/>
    <w:rsid w:val="00334007"/>
    <w:rsid w:val="00334051"/>
    <w:rsid w:val="00334136"/>
    <w:rsid w:val="0033414F"/>
    <w:rsid w:val="00334177"/>
    <w:rsid w:val="00334186"/>
    <w:rsid w:val="0033418E"/>
    <w:rsid w:val="003341B7"/>
    <w:rsid w:val="00334207"/>
    <w:rsid w:val="00334250"/>
    <w:rsid w:val="00334294"/>
    <w:rsid w:val="003342AF"/>
    <w:rsid w:val="003342CA"/>
    <w:rsid w:val="003342E8"/>
    <w:rsid w:val="00334320"/>
    <w:rsid w:val="0033434C"/>
    <w:rsid w:val="00334364"/>
    <w:rsid w:val="00334396"/>
    <w:rsid w:val="003343A0"/>
    <w:rsid w:val="00334424"/>
    <w:rsid w:val="00334442"/>
    <w:rsid w:val="00334449"/>
    <w:rsid w:val="0033447B"/>
    <w:rsid w:val="0033448D"/>
    <w:rsid w:val="003344EF"/>
    <w:rsid w:val="00334512"/>
    <w:rsid w:val="00334513"/>
    <w:rsid w:val="0033452F"/>
    <w:rsid w:val="00334544"/>
    <w:rsid w:val="003345AD"/>
    <w:rsid w:val="0033462A"/>
    <w:rsid w:val="0033466C"/>
    <w:rsid w:val="00334714"/>
    <w:rsid w:val="00334733"/>
    <w:rsid w:val="0033473C"/>
    <w:rsid w:val="00334766"/>
    <w:rsid w:val="003347C7"/>
    <w:rsid w:val="0033480E"/>
    <w:rsid w:val="00334828"/>
    <w:rsid w:val="0033486E"/>
    <w:rsid w:val="00334884"/>
    <w:rsid w:val="003348E3"/>
    <w:rsid w:val="0033490C"/>
    <w:rsid w:val="00334920"/>
    <w:rsid w:val="0033496A"/>
    <w:rsid w:val="00334973"/>
    <w:rsid w:val="003349A4"/>
    <w:rsid w:val="003349B9"/>
    <w:rsid w:val="003349D4"/>
    <w:rsid w:val="00334A14"/>
    <w:rsid w:val="00334A2A"/>
    <w:rsid w:val="00334A75"/>
    <w:rsid w:val="00334AE1"/>
    <w:rsid w:val="00334AF7"/>
    <w:rsid w:val="00334B62"/>
    <w:rsid w:val="00334D0D"/>
    <w:rsid w:val="00334D42"/>
    <w:rsid w:val="00334D7E"/>
    <w:rsid w:val="00334D80"/>
    <w:rsid w:val="00334DBB"/>
    <w:rsid w:val="00334DC5"/>
    <w:rsid w:val="00334DEC"/>
    <w:rsid w:val="00334DEF"/>
    <w:rsid w:val="00334E13"/>
    <w:rsid w:val="00334E9A"/>
    <w:rsid w:val="00334EB1"/>
    <w:rsid w:val="00334ED2"/>
    <w:rsid w:val="00334FE6"/>
    <w:rsid w:val="00334FE7"/>
    <w:rsid w:val="0033503E"/>
    <w:rsid w:val="00335045"/>
    <w:rsid w:val="00335073"/>
    <w:rsid w:val="0033507D"/>
    <w:rsid w:val="003350D6"/>
    <w:rsid w:val="0033510C"/>
    <w:rsid w:val="0033511A"/>
    <w:rsid w:val="003351F5"/>
    <w:rsid w:val="00335261"/>
    <w:rsid w:val="00335336"/>
    <w:rsid w:val="00335367"/>
    <w:rsid w:val="0033539E"/>
    <w:rsid w:val="003353D6"/>
    <w:rsid w:val="003353FE"/>
    <w:rsid w:val="00335445"/>
    <w:rsid w:val="00335456"/>
    <w:rsid w:val="003354D3"/>
    <w:rsid w:val="00335501"/>
    <w:rsid w:val="00335514"/>
    <w:rsid w:val="00335557"/>
    <w:rsid w:val="0033555F"/>
    <w:rsid w:val="00335569"/>
    <w:rsid w:val="003355C3"/>
    <w:rsid w:val="00335632"/>
    <w:rsid w:val="0033563F"/>
    <w:rsid w:val="003356D9"/>
    <w:rsid w:val="003356EB"/>
    <w:rsid w:val="00335740"/>
    <w:rsid w:val="00335764"/>
    <w:rsid w:val="00335776"/>
    <w:rsid w:val="003357B0"/>
    <w:rsid w:val="003357CE"/>
    <w:rsid w:val="00335849"/>
    <w:rsid w:val="0033587B"/>
    <w:rsid w:val="003358A6"/>
    <w:rsid w:val="003358D0"/>
    <w:rsid w:val="00335959"/>
    <w:rsid w:val="00335973"/>
    <w:rsid w:val="00335977"/>
    <w:rsid w:val="00335A97"/>
    <w:rsid w:val="00335ABA"/>
    <w:rsid w:val="00335AE4"/>
    <w:rsid w:val="00335AF1"/>
    <w:rsid w:val="00335AF9"/>
    <w:rsid w:val="00335AFF"/>
    <w:rsid w:val="00335B06"/>
    <w:rsid w:val="00335B1C"/>
    <w:rsid w:val="00335B23"/>
    <w:rsid w:val="00335B3C"/>
    <w:rsid w:val="00335B62"/>
    <w:rsid w:val="00335C67"/>
    <w:rsid w:val="00335CAA"/>
    <w:rsid w:val="00335D2D"/>
    <w:rsid w:val="00335ED4"/>
    <w:rsid w:val="00335EE3"/>
    <w:rsid w:val="00335F53"/>
    <w:rsid w:val="00335F55"/>
    <w:rsid w:val="0033607B"/>
    <w:rsid w:val="003360C9"/>
    <w:rsid w:val="00336127"/>
    <w:rsid w:val="0033612E"/>
    <w:rsid w:val="00336141"/>
    <w:rsid w:val="00336176"/>
    <w:rsid w:val="00336180"/>
    <w:rsid w:val="00336229"/>
    <w:rsid w:val="0033625A"/>
    <w:rsid w:val="00336287"/>
    <w:rsid w:val="0033628E"/>
    <w:rsid w:val="003362CA"/>
    <w:rsid w:val="00336342"/>
    <w:rsid w:val="00336358"/>
    <w:rsid w:val="0033642F"/>
    <w:rsid w:val="00336454"/>
    <w:rsid w:val="003364BC"/>
    <w:rsid w:val="003364E1"/>
    <w:rsid w:val="003364F4"/>
    <w:rsid w:val="00336544"/>
    <w:rsid w:val="003365C5"/>
    <w:rsid w:val="0033664A"/>
    <w:rsid w:val="0033669A"/>
    <w:rsid w:val="00336700"/>
    <w:rsid w:val="00336759"/>
    <w:rsid w:val="003367AB"/>
    <w:rsid w:val="003367BB"/>
    <w:rsid w:val="003367CE"/>
    <w:rsid w:val="003367E4"/>
    <w:rsid w:val="00336825"/>
    <w:rsid w:val="00336868"/>
    <w:rsid w:val="00336878"/>
    <w:rsid w:val="00336884"/>
    <w:rsid w:val="003368A4"/>
    <w:rsid w:val="003368E8"/>
    <w:rsid w:val="003368EA"/>
    <w:rsid w:val="0033690E"/>
    <w:rsid w:val="0033699E"/>
    <w:rsid w:val="003369BC"/>
    <w:rsid w:val="00336A0C"/>
    <w:rsid w:val="00336A50"/>
    <w:rsid w:val="00336B14"/>
    <w:rsid w:val="00336B2B"/>
    <w:rsid w:val="00336B2C"/>
    <w:rsid w:val="00336B97"/>
    <w:rsid w:val="00336C05"/>
    <w:rsid w:val="00336C61"/>
    <w:rsid w:val="00336C69"/>
    <w:rsid w:val="00336D23"/>
    <w:rsid w:val="00336D70"/>
    <w:rsid w:val="00336D8B"/>
    <w:rsid w:val="00336D90"/>
    <w:rsid w:val="00336DCC"/>
    <w:rsid w:val="00336E0A"/>
    <w:rsid w:val="00336E11"/>
    <w:rsid w:val="00336E35"/>
    <w:rsid w:val="00336E69"/>
    <w:rsid w:val="00336E6F"/>
    <w:rsid w:val="00336E8C"/>
    <w:rsid w:val="00336E8F"/>
    <w:rsid w:val="00336E92"/>
    <w:rsid w:val="00336E98"/>
    <w:rsid w:val="00336ED3"/>
    <w:rsid w:val="00336EFE"/>
    <w:rsid w:val="00336F24"/>
    <w:rsid w:val="00337036"/>
    <w:rsid w:val="00337038"/>
    <w:rsid w:val="003370AB"/>
    <w:rsid w:val="003370BD"/>
    <w:rsid w:val="003370C7"/>
    <w:rsid w:val="00337102"/>
    <w:rsid w:val="00337153"/>
    <w:rsid w:val="0033715B"/>
    <w:rsid w:val="0033718B"/>
    <w:rsid w:val="0033724D"/>
    <w:rsid w:val="00337255"/>
    <w:rsid w:val="00337295"/>
    <w:rsid w:val="0033729D"/>
    <w:rsid w:val="003372AF"/>
    <w:rsid w:val="003372D9"/>
    <w:rsid w:val="003373A6"/>
    <w:rsid w:val="003373C4"/>
    <w:rsid w:val="0033741F"/>
    <w:rsid w:val="00337451"/>
    <w:rsid w:val="0033747F"/>
    <w:rsid w:val="00337484"/>
    <w:rsid w:val="00337487"/>
    <w:rsid w:val="0033748D"/>
    <w:rsid w:val="0033748F"/>
    <w:rsid w:val="003374E0"/>
    <w:rsid w:val="0033750A"/>
    <w:rsid w:val="00337512"/>
    <w:rsid w:val="00337542"/>
    <w:rsid w:val="0033755D"/>
    <w:rsid w:val="003375DA"/>
    <w:rsid w:val="00337628"/>
    <w:rsid w:val="00337646"/>
    <w:rsid w:val="003376F6"/>
    <w:rsid w:val="00337740"/>
    <w:rsid w:val="00337751"/>
    <w:rsid w:val="00337754"/>
    <w:rsid w:val="00337797"/>
    <w:rsid w:val="003377CF"/>
    <w:rsid w:val="0033780F"/>
    <w:rsid w:val="00337810"/>
    <w:rsid w:val="00337859"/>
    <w:rsid w:val="003378A5"/>
    <w:rsid w:val="003378B7"/>
    <w:rsid w:val="0033793D"/>
    <w:rsid w:val="0033795E"/>
    <w:rsid w:val="00337964"/>
    <w:rsid w:val="0033799F"/>
    <w:rsid w:val="003379DE"/>
    <w:rsid w:val="00337A13"/>
    <w:rsid w:val="00337A2A"/>
    <w:rsid w:val="00337A6C"/>
    <w:rsid w:val="00337A7C"/>
    <w:rsid w:val="00337AB5"/>
    <w:rsid w:val="00337AED"/>
    <w:rsid w:val="00337B49"/>
    <w:rsid w:val="00337B50"/>
    <w:rsid w:val="00337B55"/>
    <w:rsid w:val="00337B65"/>
    <w:rsid w:val="00337B84"/>
    <w:rsid w:val="00337B9F"/>
    <w:rsid w:val="00337BBB"/>
    <w:rsid w:val="00337CC4"/>
    <w:rsid w:val="00337D36"/>
    <w:rsid w:val="00337D95"/>
    <w:rsid w:val="00337DD2"/>
    <w:rsid w:val="00337DDE"/>
    <w:rsid w:val="00337DE9"/>
    <w:rsid w:val="00337DF6"/>
    <w:rsid w:val="00337E26"/>
    <w:rsid w:val="00337E32"/>
    <w:rsid w:val="00337E5D"/>
    <w:rsid w:val="00337E6A"/>
    <w:rsid w:val="00337E78"/>
    <w:rsid w:val="00337E88"/>
    <w:rsid w:val="00337EDC"/>
    <w:rsid w:val="00337F94"/>
    <w:rsid w:val="00337F98"/>
    <w:rsid w:val="00340009"/>
    <w:rsid w:val="00340018"/>
    <w:rsid w:val="00340025"/>
    <w:rsid w:val="0034002E"/>
    <w:rsid w:val="00340037"/>
    <w:rsid w:val="00340067"/>
    <w:rsid w:val="00340077"/>
    <w:rsid w:val="0034009C"/>
    <w:rsid w:val="00340197"/>
    <w:rsid w:val="003401DB"/>
    <w:rsid w:val="003401FF"/>
    <w:rsid w:val="00340334"/>
    <w:rsid w:val="0034033B"/>
    <w:rsid w:val="003403B5"/>
    <w:rsid w:val="003404AA"/>
    <w:rsid w:val="003404F3"/>
    <w:rsid w:val="003404F7"/>
    <w:rsid w:val="0034050C"/>
    <w:rsid w:val="00340589"/>
    <w:rsid w:val="003405A6"/>
    <w:rsid w:val="003405C4"/>
    <w:rsid w:val="003405EE"/>
    <w:rsid w:val="00340602"/>
    <w:rsid w:val="00340668"/>
    <w:rsid w:val="0034069C"/>
    <w:rsid w:val="003406DB"/>
    <w:rsid w:val="00340706"/>
    <w:rsid w:val="00340707"/>
    <w:rsid w:val="00340767"/>
    <w:rsid w:val="00340770"/>
    <w:rsid w:val="003407B5"/>
    <w:rsid w:val="003407C1"/>
    <w:rsid w:val="00340807"/>
    <w:rsid w:val="00340844"/>
    <w:rsid w:val="0034084B"/>
    <w:rsid w:val="0034098E"/>
    <w:rsid w:val="003409CF"/>
    <w:rsid w:val="00340A23"/>
    <w:rsid w:val="00340A52"/>
    <w:rsid w:val="00340A7C"/>
    <w:rsid w:val="00340A8A"/>
    <w:rsid w:val="00340AA0"/>
    <w:rsid w:val="00340AE1"/>
    <w:rsid w:val="00340B49"/>
    <w:rsid w:val="00340B7A"/>
    <w:rsid w:val="00340BA8"/>
    <w:rsid w:val="00340BDA"/>
    <w:rsid w:val="00340BDB"/>
    <w:rsid w:val="00340C0E"/>
    <w:rsid w:val="00340C3A"/>
    <w:rsid w:val="00340D2F"/>
    <w:rsid w:val="00340D78"/>
    <w:rsid w:val="00340DB4"/>
    <w:rsid w:val="00340DD1"/>
    <w:rsid w:val="00340E5A"/>
    <w:rsid w:val="00340ECB"/>
    <w:rsid w:val="00340ED7"/>
    <w:rsid w:val="00340EEE"/>
    <w:rsid w:val="00340FF3"/>
    <w:rsid w:val="00341017"/>
    <w:rsid w:val="00341050"/>
    <w:rsid w:val="00341097"/>
    <w:rsid w:val="003410F2"/>
    <w:rsid w:val="0034110C"/>
    <w:rsid w:val="00341162"/>
    <w:rsid w:val="003412E1"/>
    <w:rsid w:val="0034131D"/>
    <w:rsid w:val="0034134B"/>
    <w:rsid w:val="0034147D"/>
    <w:rsid w:val="003414A0"/>
    <w:rsid w:val="003414DF"/>
    <w:rsid w:val="0034150D"/>
    <w:rsid w:val="00341526"/>
    <w:rsid w:val="0034157B"/>
    <w:rsid w:val="003415AC"/>
    <w:rsid w:val="003415E1"/>
    <w:rsid w:val="003415F7"/>
    <w:rsid w:val="00341664"/>
    <w:rsid w:val="00341686"/>
    <w:rsid w:val="00341699"/>
    <w:rsid w:val="003416B8"/>
    <w:rsid w:val="0034172C"/>
    <w:rsid w:val="00341738"/>
    <w:rsid w:val="00341757"/>
    <w:rsid w:val="003417A0"/>
    <w:rsid w:val="00341801"/>
    <w:rsid w:val="00341861"/>
    <w:rsid w:val="0034186A"/>
    <w:rsid w:val="00341888"/>
    <w:rsid w:val="00341897"/>
    <w:rsid w:val="003418D6"/>
    <w:rsid w:val="003418FA"/>
    <w:rsid w:val="0034196B"/>
    <w:rsid w:val="003419AF"/>
    <w:rsid w:val="003419BD"/>
    <w:rsid w:val="003419CF"/>
    <w:rsid w:val="003419D5"/>
    <w:rsid w:val="003419DC"/>
    <w:rsid w:val="003419DD"/>
    <w:rsid w:val="003419FF"/>
    <w:rsid w:val="00341ABD"/>
    <w:rsid w:val="00341B20"/>
    <w:rsid w:val="00341B2D"/>
    <w:rsid w:val="00341B2E"/>
    <w:rsid w:val="00341B67"/>
    <w:rsid w:val="00341B8B"/>
    <w:rsid w:val="00341BA7"/>
    <w:rsid w:val="00341C19"/>
    <w:rsid w:val="00341C36"/>
    <w:rsid w:val="00341C80"/>
    <w:rsid w:val="00341C88"/>
    <w:rsid w:val="00341CD6"/>
    <w:rsid w:val="00341CE4"/>
    <w:rsid w:val="00341CF0"/>
    <w:rsid w:val="00341DCA"/>
    <w:rsid w:val="00341DEB"/>
    <w:rsid w:val="00341E31"/>
    <w:rsid w:val="00341E3E"/>
    <w:rsid w:val="00341E4B"/>
    <w:rsid w:val="00341E68"/>
    <w:rsid w:val="00341ED9"/>
    <w:rsid w:val="00341EFB"/>
    <w:rsid w:val="00341F2A"/>
    <w:rsid w:val="00341F34"/>
    <w:rsid w:val="00341FCA"/>
    <w:rsid w:val="00341FED"/>
    <w:rsid w:val="00342044"/>
    <w:rsid w:val="0034206E"/>
    <w:rsid w:val="003420D7"/>
    <w:rsid w:val="0034212A"/>
    <w:rsid w:val="00342135"/>
    <w:rsid w:val="003421C2"/>
    <w:rsid w:val="003421CF"/>
    <w:rsid w:val="003421E9"/>
    <w:rsid w:val="003421FB"/>
    <w:rsid w:val="00342234"/>
    <w:rsid w:val="0034223A"/>
    <w:rsid w:val="0034225B"/>
    <w:rsid w:val="0034226A"/>
    <w:rsid w:val="003422A4"/>
    <w:rsid w:val="003422B2"/>
    <w:rsid w:val="003422D1"/>
    <w:rsid w:val="003422FC"/>
    <w:rsid w:val="00342324"/>
    <w:rsid w:val="00342340"/>
    <w:rsid w:val="003423B2"/>
    <w:rsid w:val="003423F8"/>
    <w:rsid w:val="00342469"/>
    <w:rsid w:val="003424DF"/>
    <w:rsid w:val="0034252A"/>
    <w:rsid w:val="00342531"/>
    <w:rsid w:val="00342547"/>
    <w:rsid w:val="0034255D"/>
    <w:rsid w:val="00342599"/>
    <w:rsid w:val="003425B0"/>
    <w:rsid w:val="003425B6"/>
    <w:rsid w:val="003425BC"/>
    <w:rsid w:val="003425E6"/>
    <w:rsid w:val="00342616"/>
    <w:rsid w:val="00342683"/>
    <w:rsid w:val="0034274E"/>
    <w:rsid w:val="00342793"/>
    <w:rsid w:val="003427BB"/>
    <w:rsid w:val="003427D7"/>
    <w:rsid w:val="003427F1"/>
    <w:rsid w:val="0034282D"/>
    <w:rsid w:val="0034284F"/>
    <w:rsid w:val="003428F9"/>
    <w:rsid w:val="00342916"/>
    <w:rsid w:val="0034291F"/>
    <w:rsid w:val="00342921"/>
    <w:rsid w:val="0034292A"/>
    <w:rsid w:val="00342932"/>
    <w:rsid w:val="00342934"/>
    <w:rsid w:val="0034295F"/>
    <w:rsid w:val="00342965"/>
    <w:rsid w:val="003429E6"/>
    <w:rsid w:val="00342A10"/>
    <w:rsid w:val="00342AD2"/>
    <w:rsid w:val="00342AF2"/>
    <w:rsid w:val="00342B0B"/>
    <w:rsid w:val="00342B4C"/>
    <w:rsid w:val="00342B5F"/>
    <w:rsid w:val="00342B81"/>
    <w:rsid w:val="00342B9C"/>
    <w:rsid w:val="00342C00"/>
    <w:rsid w:val="00342C1B"/>
    <w:rsid w:val="00342CDD"/>
    <w:rsid w:val="00342D0A"/>
    <w:rsid w:val="00342D18"/>
    <w:rsid w:val="00342D29"/>
    <w:rsid w:val="00342D99"/>
    <w:rsid w:val="00342DE5"/>
    <w:rsid w:val="00342DE6"/>
    <w:rsid w:val="00342E99"/>
    <w:rsid w:val="00342EDB"/>
    <w:rsid w:val="00342EE9"/>
    <w:rsid w:val="00342F0F"/>
    <w:rsid w:val="00342FAF"/>
    <w:rsid w:val="00342FE0"/>
    <w:rsid w:val="0034300D"/>
    <w:rsid w:val="0034302E"/>
    <w:rsid w:val="00343052"/>
    <w:rsid w:val="0034306A"/>
    <w:rsid w:val="0034306F"/>
    <w:rsid w:val="00343089"/>
    <w:rsid w:val="003430AA"/>
    <w:rsid w:val="003430D3"/>
    <w:rsid w:val="00343188"/>
    <w:rsid w:val="003432FE"/>
    <w:rsid w:val="00343304"/>
    <w:rsid w:val="00343308"/>
    <w:rsid w:val="00343319"/>
    <w:rsid w:val="00343386"/>
    <w:rsid w:val="003433BE"/>
    <w:rsid w:val="003433D7"/>
    <w:rsid w:val="0034345E"/>
    <w:rsid w:val="00343460"/>
    <w:rsid w:val="003434C7"/>
    <w:rsid w:val="003434D7"/>
    <w:rsid w:val="00343539"/>
    <w:rsid w:val="0034354E"/>
    <w:rsid w:val="0034356D"/>
    <w:rsid w:val="00343589"/>
    <w:rsid w:val="003435AD"/>
    <w:rsid w:val="003436C5"/>
    <w:rsid w:val="003436DD"/>
    <w:rsid w:val="00343767"/>
    <w:rsid w:val="0034378F"/>
    <w:rsid w:val="0034381B"/>
    <w:rsid w:val="00343821"/>
    <w:rsid w:val="00343829"/>
    <w:rsid w:val="0034385F"/>
    <w:rsid w:val="00343861"/>
    <w:rsid w:val="00343883"/>
    <w:rsid w:val="0034389A"/>
    <w:rsid w:val="0034392B"/>
    <w:rsid w:val="00343948"/>
    <w:rsid w:val="003439B4"/>
    <w:rsid w:val="00343A03"/>
    <w:rsid w:val="00343A43"/>
    <w:rsid w:val="00343A89"/>
    <w:rsid w:val="00343AD7"/>
    <w:rsid w:val="00343AF5"/>
    <w:rsid w:val="00343B0B"/>
    <w:rsid w:val="00343B22"/>
    <w:rsid w:val="00343B39"/>
    <w:rsid w:val="00343B6D"/>
    <w:rsid w:val="00343B8A"/>
    <w:rsid w:val="00343BD5"/>
    <w:rsid w:val="00343C14"/>
    <w:rsid w:val="00343C3E"/>
    <w:rsid w:val="00343CA1"/>
    <w:rsid w:val="00343CD2"/>
    <w:rsid w:val="00343CD4"/>
    <w:rsid w:val="00343CE2"/>
    <w:rsid w:val="00343CE4"/>
    <w:rsid w:val="00343D00"/>
    <w:rsid w:val="00343D04"/>
    <w:rsid w:val="00343D35"/>
    <w:rsid w:val="00343D5B"/>
    <w:rsid w:val="00343D5C"/>
    <w:rsid w:val="00343D79"/>
    <w:rsid w:val="00343D9E"/>
    <w:rsid w:val="00343DF4"/>
    <w:rsid w:val="00343E15"/>
    <w:rsid w:val="00343E1D"/>
    <w:rsid w:val="00343E57"/>
    <w:rsid w:val="00343E75"/>
    <w:rsid w:val="00343E7C"/>
    <w:rsid w:val="00343E82"/>
    <w:rsid w:val="00343F0B"/>
    <w:rsid w:val="00343F17"/>
    <w:rsid w:val="00343F3E"/>
    <w:rsid w:val="00343FD4"/>
    <w:rsid w:val="00343FDD"/>
    <w:rsid w:val="0034400D"/>
    <w:rsid w:val="00344057"/>
    <w:rsid w:val="003440AD"/>
    <w:rsid w:val="00344145"/>
    <w:rsid w:val="00344157"/>
    <w:rsid w:val="0034415C"/>
    <w:rsid w:val="00344162"/>
    <w:rsid w:val="003441CC"/>
    <w:rsid w:val="0034422C"/>
    <w:rsid w:val="0034428A"/>
    <w:rsid w:val="00344382"/>
    <w:rsid w:val="00344384"/>
    <w:rsid w:val="00344397"/>
    <w:rsid w:val="003443F1"/>
    <w:rsid w:val="003444B5"/>
    <w:rsid w:val="003444C7"/>
    <w:rsid w:val="003444E7"/>
    <w:rsid w:val="0034455E"/>
    <w:rsid w:val="003445CB"/>
    <w:rsid w:val="003445FC"/>
    <w:rsid w:val="003445FD"/>
    <w:rsid w:val="00344602"/>
    <w:rsid w:val="00344613"/>
    <w:rsid w:val="0034466B"/>
    <w:rsid w:val="0034469C"/>
    <w:rsid w:val="00344723"/>
    <w:rsid w:val="00344747"/>
    <w:rsid w:val="00344752"/>
    <w:rsid w:val="0034479C"/>
    <w:rsid w:val="003447A0"/>
    <w:rsid w:val="00344812"/>
    <w:rsid w:val="00344828"/>
    <w:rsid w:val="00344896"/>
    <w:rsid w:val="003448A6"/>
    <w:rsid w:val="0034493E"/>
    <w:rsid w:val="00344958"/>
    <w:rsid w:val="0034495D"/>
    <w:rsid w:val="00344983"/>
    <w:rsid w:val="003449C5"/>
    <w:rsid w:val="003449FD"/>
    <w:rsid w:val="00344A79"/>
    <w:rsid w:val="00344A97"/>
    <w:rsid w:val="00344ACA"/>
    <w:rsid w:val="00344AE1"/>
    <w:rsid w:val="00344AF3"/>
    <w:rsid w:val="00344B5B"/>
    <w:rsid w:val="00344B72"/>
    <w:rsid w:val="00344BCE"/>
    <w:rsid w:val="00344BD7"/>
    <w:rsid w:val="00344C4F"/>
    <w:rsid w:val="00344C52"/>
    <w:rsid w:val="00344C65"/>
    <w:rsid w:val="00344CA7"/>
    <w:rsid w:val="00344CBB"/>
    <w:rsid w:val="00344CE8"/>
    <w:rsid w:val="00344CFB"/>
    <w:rsid w:val="00344D05"/>
    <w:rsid w:val="00344D4B"/>
    <w:rsid w:val="00344D85"/>
    <w:rsid w:val="00344DAD"/>
    <w:rsid w:val="00344DF6"/>
    <w:rsid w:val="00344EBA"/>
    <w:rsid w:val="00344EF3"/>
    <w:rsid w:val="00344F54"/>
    <w:rsid w:val="00344FFD"/>
    <w:rsid w:val="00345092"/>
    <w:rsid w:val="003450D6"/>
    <w:rsid w:val="00345115"/>
    <w:rsid w:val="00345168"/>
    <w:rsid w:val="0034516B"/>
    <w:rsid w:val="00345175"/>
    <w:rsid w:val="00345187"/>
    <w:rsid w:val="0034518A"/>
    <w:rsid w:val="0034520D"/>
    <w:rsid w:val="00345211"/>
    <w:rsid w:val="003453D2"/>
    <w:rsid w:val="00345422"/>
    <w:rsid w:val="00345430"/>
    <w:rsid w:val="0034548F"/>
    <w:rsid w:val="003454A5"/>
    <w:rsid w:val="0034552E"/>
    <w:rsid w:val="00345611"/>
    <w:rsid w:val="00345623"/>
    <w:rsid w:val="00345680"/>
    <w:rsid w:val="003456E7"/>
    <w:rsid w:val="0034570C"/>
    <w:rsid w:val="0034571D"/>
    <w:rsid w:val="0034573E"/>
    <w:rsid w:val="003457C9"/>
    <w:rsid w:val="003457FE"/>
    <w:rsid w:val="00345825"/>
    <w:rsid w:val="00345827"/>
    <w:rsid w:val="00345836"/>
    <w:rsid w:val="003458D8"/>
    <w:rsid w:val="0034590C"/>
    <w:rsid w:val="0034590E"/>
    <w:rsid w:val="0034598A"/>
    <w:rsid w:val="0034598E"/>
    <w:rsid w:val="00345995"/>
    <w:rsid w:val="0034599C"/>
    <w:rsid w:val="003459C1"/>
    <w:rsid w:val="00345A17"/>
    <w:rsid w:val="00345A50"/>
    <w:rsid w:val="00345B42"/>
    <w:rsid w:val="00345B67"/>
    <w:rsid w:val="00345B75"/>
    <w:rsid w:val="00345B85"/>
    <w:rsid w:val="00345BBC"/>
    <w:rsid w:val="00345BE7"/>
    <w:rsid w:val="00345BFC"/>
    <w:rsid w:val="00345C3B"/>
    <w:rsid w:val="00345C4F"/>
    <w:rsid w:val="00345C7D"/>
    <w:rsid w:val="00345CBD"/>
    <w:rsid w:val="00345CEC"/>
    <w:rsid w:val="00345D0F"/>
    <w:rsid w:val="00345D40"/>
    <w:rsid w:val="00345DB4"/>
    <w:rsid w:val="00345DE1"/>
    <w:rsid w:val="00345DE8"/>
    <w:rsid w:val="00345E0F"/>
    <w:rsid w:val="00345E85"/>
    <w:rsid w:val="00345E98"/>
    <w:rsid w:val="00345EA7"/>
    <w:rsid w:val="00345ED4"/>
    <w:rsid w:val="00345EE3"/>
    <w:rsid w:val="00345EE4"/>
    <w:rsid w:val="00345F10"/>
    <w:rsid w:val="00345F34"/>
    <w:rsid w:val="00345F65"/>
    <w:rsid w:val="00345F6A"/>
    <w:rsid w:val="00345F79"/>
    <w:rsid w:val="00345FBB"/>
    <w:rsid w:val="00345FC0"/>
    <w:rsid w:val="00346040"/>
    <w:rsid w:val="00346091"/>
    <w:rsid w:val="003460B7"/>
    <w:rsid w:val="003460BC"/>
    <w:rsid w:val="003460E9"/>
    <w:rsid w:val="0034613F"/>
    <w:rsid w:val="00346145"/>
    <w:rsid w:val="00346150"/>
    <w:rsid w:val="00346170"/>
    <w:rsid w:val="0034626E"/>
    <w:rsid w:val="00346275"/>
    <w:rsid w:val="00346289"/>
    <w:rsid w:val="003462AB"/>
    <w:rsid w:val="003462B0"/>
    <w:rsid w:val="003462BC"/>
    <w:rsid w:val="00346391"/>
    <w:rsid w:val="003463D3"/>
    <w:rsid w:val="003463E8"/>
    <w:rsid w:val="0034647D"/>
    <w:rsid w:val="00346481"/>
    <w:rsid w:val="003464AB"/>
    <w:rsid w:val="0034651A"/>
    <w:rsid w:val="00346568"/>
    <w:rsid w:val="003465EB"/>
    <w:rsid w:val="0034660B"/>
    <w:rsid w:val="00346617"/>
    <w:rsid w:val="00346621"/>
    <w:rsid w:val="00346634"/>
    <w:rsid w:val="00346663"/>
    <w:rsid w:val="003466BC"/>
    <w:rsid w:val="003466BE"/>
    <w:rsid w:val="003466D2"/>
    <w:rsid w:val="003466DB"/>
    <w:rsid w:val="0034671A"/>
    <w:rsid w:val="00346738"/>
    <w:rsid w:val="003467DF"/>
    <w:rsid w:val="00346800"/>
    <w:rsid w:val="0034680D"/>
    <w:rsid w:val="0034682A"/>
    <w:rsid w:val="0034682B"/>
    <w:rsid w:val="00346832"/>
    <w:rsid w:val="00346834"/>
    <w:rsid w:val="0034683C"/>
    <w:rsid w:val="0034684D"/>
    <w:rsid w:val="0034686E"/>
    <w:rsid w:val="003468F9"/>
    <w:rsid w:val="0034692C"/>
    <w:rsid w:val="0034694A"/>
    <w:rsid w:val="00346984"/>
    <w:rsid w:val="0034698A"/>
    <w:rsid w:val="003469AB"/>
    <w:rsid w:val="003469C7"/>
    <w:rsid w:val="003469CE"/>
    <w:rsid w:val="00346A55"/>
    <w:rsid w:val="00346A75"/>
    <w:rsid w:val="00346A81"/>
    <w:rsid w:val="00346A89"/>
    <w:rsid w:val="00346AFC"/>
    <w:rsid w:val="00346B04"/>
    <w:rsid w:val="00346B9D"/>
    <w:rsid w:val="00346C0C"/>
    <w:rsid w:val="00346C32"/>
    <w:rsid w:val="00346C64"/>
    <w:rsid w:val="00346C80"/>
    <w:rsid w:val="00346C8E"/>
    <w:rsid w:val="00346CD1"/>
    <w:rsid w:val="00346CE2"/>
    <w:rsid w:val="00346D50"/>
    <w:rsid w:val="00346D88"/>
    <w:rsid w:val="00346DDB"/>
    <w:rsid w:val="00346DF8"/>
    <w:rsid w:val="00346E0E"/>
    <w:rsid w:val="00346EA4"/>
    <w:rsid w:val="00346F78"/>
    <w:rsid w:val="00346FEB"/>
    <w:rsid w:val="00346FF8"/>
    <w:rsid w:val="0034700B"/>
    <w:rsid w:val="0034714C"/>
    <w:rsid w:val="0034714E"/>
    <w:rsid w:val="00347160"/>
    <w:rsid w:val="00347198"/>
    <w:rsid w:val="003471C2"/>
    <w:rsid w:val="003471DF"/>
    <w:rsid w:val="0034722B"/>
    <w:rsid w:val="003472D0"/>
    <w:rsid w:val="0034736B"/>
    <w:rsid w:val="003473BB"/>
    <w:rsid w:val="003473F0"/>
    <w:rsid w:val="00347407"/>
    <w:rsid w:val="003474A1"/>
    <w:rsid w:val="003474C8"/>
    <w:rsid w:val="003474E7"/>
    <w:rsid w:val="0034763C"/>
    <w:rsid w:val="0034763D"/>
    <w:rsid w:val="00347657"/>
    <w:rsid w:val="00347692"/>
    <w:rsid w:val="003476A3"/>
    <w:rsid w:val="003476A5"/>
    <w:rsid w:val="00347783"/>
    <w:rsid w:val="003477CC"/>
    <w:rsid w:val="0034782F"/>
    <w:rsid w:val="00347832"/>
    <w:rsid w:val="00347850"/>
    <w:rsid w:val="0034787B"/>
    <w:rsid w:val="00347888"/>
    <w:rsid w:val="00347891"/>
    <w:rsid w:val="00347968"/>
    <w:rsid w:val="00347970"/>
    <w:rsid w:val="0034799B"/>
    <w:rsid w:val="00347A1F"/>
    <w:rsid w:val="00347A64"/>
    <w:rsid w:val="00347A7F"/>
    <w:rsid w:val="00347AC7"/>
    <w:rsid w:val="00347ADB"/>
    <w:rsid w:val="00347B13"/>
    <w:rsid w:val="00347B22"/>
    <w:rsid w:val="00347B35"/>
    <w:rsid w:val="00347B46"/>
    <w:rsid w:val="00347B4E"/>
    <w:rsid w:val="00347B5A"/>
    <w:rsid w:val="00347B80"/>
    <w:rsid w:val="00347BAC"/>
    <w:rsid w:val="00347BCA"/>
    <w:rsid w:val="00347BCF"/>
    <w:rsid w:val="00347BF7"/>
    <w:rsid w:val="00347C0A"/>
    <w:rsid w:val="00347C2A"/>
    <w:rsid w:val="00347C42"/>
    <w:rsid w:val="00347C63"/>
    <w:rsid w:val="00347CB8"/>
    <w:rsid w:val="00347D6E"/>
    <w:rsid w:val="00347D86"/>
    <w:rsid w:val="00347DD2"/>
    <w:rsid w:val="00347DD3"/>
    <w:rsid w:val="00347E71"/>
    <w:rsid w:val="00347F81"/>
    <w:rsid w:val="00347FA4"/>
    <w:rsid w:val="00347FFB"/>
    <w:rsid w:val="0034A842"/>
    <w:rsid w:val="0034B13E"/>
    <w:rsid w:val="0034F585"/>
    <w:rsid w:val="00350007"/>
    <w:rsid w:val="00350036"/>
    <w:rsid w:val="003500FA"/>
    <w:rsid w:val="00350124"/>
    <w:rsid w:val="00350161"/>
    <w:rsid w:val="0035016D"/>
    <w:rsid w:val="003501BB"/>
    <w:rsid w:val="003501E8"/>
    <w:rsid w:val="00350211"/>
    <w:rsid w:val="0035021F"/>
    <w:rsid w:val="00350225"/>
    <w:rsid w:val="0035029E"/>
    <w:rsid w:val="003502F2"/>
    <w:rsid w:val="00350300"/>
    <w:rsid w:val="00350347"/>
    <w:rsid w:val="00350382"/>
    <w:rsid w:val="00350398"/>
    <w:rsid w:val="003503AF"/>
    <w:rsid w:val="003503F6"/>
    <w:rsid w:val="00350417"/>
    <w:rsid w:val="00350450"/>
    <w:rsid w:val="0035053F"/>
    <w:rsid w:val="00350592"/>
    <w:rsid w:val="003505AA"/>
    <w:rsid w:val="0035066D"/>
    <w:rsid w:val="003506A4"/>
    <w:rsid w:val="003506E5"/>
    <w:rsid w:val="003506FC"/>
    <w:rsid w:val="0035072C"/>
    <w:rsid w:val="00350739"/>
    <w:rsid w:val="003507FB"/>
    <w:rsid w:val="00350809"/>
    <w:rsid w:val="0035080C"/>
    <w:rsid w:val="00350853"/>
    <w:rsid w:val="00350868"/>
    <w:rsid w:val="003508B7"/>
    <w:rsid w:val="0035093E"/>
    <w:rsid w:val="00350967"/>
    <w:rsid w:val="003509BF"/>
    <w:rsid w:val="00350A26"/>
    <w:rsid w:val="00350A37"/>
    <w:rsid w:val="00350B28"/>
    <w:rsid w:val="00350B88"/>
    <w:rsid w:val="00350B92"/>
    <w:rsid w:val="00350B9A"/>
    <w:rsid w:val="00350BE3"/>
    <w:rsid w:val="00350BEA"/>
    <w:rsid w:val="00350C0F"/>
    <w:rsid w:val="00350C31"/>
    <w:rsid w:val="00350C48"/>
    <w:rsid w:val="00350D31"/>
    <w:rsid w:val="00350D33"/>
    <w:rsid w:val="00350D3B"/>
    <w:rsid w:val="00350D4D"/>
    <w:rsid w:val="00350DB2"/>
    <w:rsid w:val="00350DC7"/>
    <w:rsid w:val="00350DC8"/>
    <w:rsid w:val="00350E27"/>
    <w:rsid w:val="00350E29"/>
    <w:rsid w:val="00350E3D"/>
    <w:rsid w:val="00350E5A"/>
    <w:rsid w:val="00350E8F"/>
    <w:rsid w:val="00350EA8"/>
    <w:rsid w:val="00350EB7"/>
    <w:rsid w:val="00350F0B"/>
    <w:rsid w:val="00350F19"/>
    <w:rsid w:val="00350F87"/>
    <w:rsid w:val="00350FF2"/>
    <w:rsid w:val="00351171"/>
    <w:rsid w:val="00351181"/>
    <w:rsid w:val="003511E0"/>
    <w:rsid w:val="003511FF"/>
    <w:rsid w:val="00351231"/>
    <w:rsid w:val="0035127D"/>
    <w:rsid w:val="0035128F"/>
    <w:rsid w:val="0035129C"/>
    <w:rsid w:val="003512C2"/>
    <w:rsid w:val="0035130F"/>
    <w:rsid w:val="0035131D"/>
    <w:rsid w:val="00351322"/>
    <w:rsid w:val="00351410"/>
    <w:rsid w:val="0035142C"/>
    <w:rsid w:val="00351462"/>
    <w:rsid w:val="0035146C"/>
    <w:rsid w:val="00351474"/>
    <w:rsid w:val="00351490"/>
    <w:rsid w:val="003514C6"/>
    <w:rsid w:val="00351501"/>
    <w:rsid w:val="0035156D"/>
    <w:rsid w:val="003515B7"/>
    <w:rsid w:val="003515FE"/>
    <w:rsid w:val="0035164A"/>
    <w:rsid w:val="0035166D"/>
    <w:rsid w:val="0035168D"/>
    <w:rsid w:val="003516D0"/>
    <w:rsid w:val="00351715"/>
    <w:rsid w:val="00351719"/>
    <w:rsid w:val="0035173D"/>
    <w:rsid w:val="0035175B"/>
    <w:rsid w:val="003517AB"/>
    <w:rsid w:val="003517C0"/>
    <w:rsid w:val="00351839"/>
    <w:rsid w:val="003518BA"/>
    <w:rsid w:val="003518C8"/>
    <w:rsid w:val="003518FC"/>
    <w:rsid w:val="00351908"/>
    <w:rsid w:val="0035191F"/>
    <w:rsid w:val="00351925"/>
    <w:rsid w:val="00351940"/>
    <w:rsid w:val="00351AA4"/>
    <w:rsid w:val="00351B32"/>
    <w:rsid w:val="00351B38"/>
    <w:rsid w:val="00351B57"/>
    <w:rsid w:val="00351B62"/>
    <w:rsid w:val="00351B81"/>
    <w:rsid w:val="00351C3D"/>
    <w:rsid w:val="00351C4F"/>
    <w:rsid w:val="00351C76"/>
    <w:rsid w:val="00351C7A"/>
    <w:rsid w:val="00351C9E"/>
    <w:rsid w:val="00351CA7"/>
    <w:rsid w:val="00351CC3"/>
    <w:rsid w:val="00351CDE"/>
    <w:rsid w:val="00351D09"/>
    <w:rsid w:val="00351D2F"/>
    <w:rsid w:val="00351D92"/>
    <w:rsid w:val="00351DB3"/>
    <w:rsid w:val="00351DFC"/>
    <w:rsid w:val="00351E45"/>
    <w:rsid w:val="00351EA3"/>
    <w:rsid w:val="00351EA8"/>
    <w:rsid w:val="00351EC6"/>
    <w:rsid w:val="00351F1E"/>
    <w:rsid w:val="00351F23"/>
    <w:rsid w:val="00351F2D"/>
    <w:rsid w:val="00351F74"/>
    <w:rsid w:val="00351F93"/>
    <w:rsid w:val="00352079"/>
    <w:rsid w:val="003520DD"/>
    <w:rsid w:val="00352136"/>
    <w:rsid w:val="00352161"/>
    <w:rsid w:val="003521BB"/>
    <w:rsid w:val="003521FD"/>
    <w:rsid w:val="00352208"/>
    <w:rsid w:val="00352227"/>
    <w:rsid w:val="00352292"/>
    <w:rsid w:val="003522C0"/>
    <w:rsid w:val="003522E5"/>
    <w:rsid w:val="00352325"/>
    <w:rsid w:val="00352372"/>
    <w:rsid w:val="003523F5"/>
    <w:rsid w:val="00352496"/>
    <w:rsid w:val="00352498"/>
    <w:rsid w:val="003524B1"/>
    <w:rsid w:val="003524C5"/>
    <w:rsid w:val="003524DC"/>
    <w:rsid w:val="00352525"/>
    <w:rsid w:val="00352534"/>
    <w:rsid w:val="0035253B"/>
    <w:rsid w:val="00352558"/>
    <w:rsid w:val="0035255A"/>
    <w:rsid w:val="0035256B"/>
    <w:rsid w:val="003525AE"/>
    <w:rsid w:val="00352624"/>
    <w:rsid w:val="0035263F"/>
    <w:rsid w:val="00352659"/>
    <w:rsid w:val="00352677"/>
    <w:rsid w:val="003526E0"/>
    <w:rsid w:val="00352730"/>
    <w:rsid w:val="0035275E"/>
    <w:rsid w:val="0035277B"/>
    <w:rsid w:val="003527A0"/>
    <w:rsid w:val="0035280A"/>
    <w:rsid w:val="0035283F"/>
    <w:rsid w:val="0035284D"/>
    <w:rsid w:val="0035286C"/>
    <w:rsid w:val="00352979"/>
    <w:rsid w:val="00352986"/>
    <w:rsid w:val="00352988"/>
    <w:rsid w:val="003529A9"/>
    <w:rsid w:val="003529E1"/>
    <w:rsid w:val="00352AAA"/>
    <w:rsid w:val="00352AB6"/>
    <w:rsid w:val="00352AF3"/>
    <w:rsid w:val="00352B58"/>
    <w:rsid w:val="00352B8F"/>
    <w:rsid w:val="00352BED"/>
    <w:rsid w:val="00352BF3"/>
    <w:rsid w:val="00352BF5"/>
    <w:rsid w:val="00352C24"/>
    <w:rsid w:val="00352C7E"/>
    <w:rsid w:val="00352C91"/>
    <w:rsid w:val="00352CBA"/>
    <w:rsid w:val="00352CC8"/>
    <w:rsid w:val="00352CE6"/>
    <w:rsid w:val="00352D1A"/>
    <w:rsid w:val="00352D38"/>
    <w:rsid w:val="00352D5A"/>
    <w:rsid w:val="00352D8A"/>
    <w:rsid w:val="00352DBC"/>
    <w:rsid w:val="00352DDA"/>
    <w:rsid w:val="00352E31"/>
    <w:rsid w:val="00352E61"/>
    <w:rsid w:val="00352E62"/>
    <w:rsid w:val="00352E85"/>
    <w:rsid w:val="00352E94"/>
    <w:rsid w:val="00352EB6"/>
    <w:rsid w:val="00352F22"/>
    <w:rsid w:val="00352F36"/>
    <w:rsid w:val="00352F8C"/>
    <w:rsid w:val="00352FA3"/>
    <w:rsid w:val="00352FDB"/>
    <w:rsid w:val="0035300C"/>
    <w:rsid w:val="00353045"/>
    <w:rsid w:val="0035304D"/>
    <w:rsid w:val="0035306C"/>
    <w:rsid w:val="00353074"/>
    <w:rsid w:val="003530C2"/>
    <w:rsid w:val="003530EB"/>
    <w:rsid w:val="003531B8"/>
    <w:rsid w:val="003531F6"/>
    <w:rsid w:val="003532CC"/>
    <w:rsid w:val="0035336C"/>
    <w:rsid w:val="0035336F"/>
    <w:rsid w:val="0035337C"/>
    <w:rsid w:val="003533AF"/>
    <w:rsid w:val="003533B9"/>
    <w:rsid w:val="003533C1"/>
    <w:rsid w:val="0035341F"/>
    <w:rsid w:val="00353496"/>
    <w:rsid w:val="003534AD"/>
    <w:rsid w:val="00353549"/>
    <w:rsid w:val="0035359A"/>
    <w:rsid w:val="003535A3"/>
    <w:rsid w:val="0035366A"/>
    <w:rsid w:val="00353685"/>
    <w:rsid w:val="003536F8"/>
    <w:rsid w:val="00353756"/>
    <w:rsid w:val="003537BB"/>
    <w:rsid w:val="00353813"/>
    <w:rsid w:val="00353851"/>
    <w:rsid w:val="0035387B"/>
    <w:rsid w:val="003538A1"/>
    <w:rsid w:val="003538A8"/>
    <w:rsid w:val="0035390C"/>
    <w:rsid w:val="00353949"/>
    <w:rsid w:val="00353A45"/>
    <w:rsid w:val="00353AB6"/>
    <w:rsid w:val="00353AE5"/>
    <w:rsid w:val="00353B0C"/>
    <w:rsid w:val="00353B87"/>
    <w:rsid w:val="00353B98"/>
    <w:rsid w:val="00353C1B"/>
    <w:rsid w:val="00353C75"/>
    <w:rsid w:val="00353C84"/>
    <w:rsid w:val="00353CA5"/>
    <w:rsid w:val="00353CA6"/>
    <w:rsid w:val="00353CAA"/>
    <w:rsid w:val="00353D05"/>
    <w:rsid w:val="00353D3B"/>
    <w:rsid w:val="00353D97"/>
    <w:rsid w:val="00353E67"/>
    <w:rsid w:val="00353E74"/>
    <w:rsid w:val="00353F18"/>
    <w:rsid w:val="00353F4F"/>
    <w:rsid w:val="00353F8E"/>
    <w:rsid w:val="00354007"/>
    <w:rsid w:val="00354014"/>
    <w:rsid w:val="0035410D"/>
    <w:rsid w:val="00354124"/>
    <w:rsid w:val="003541A0"/>
    <w:rsid w:val="003541B9"/>
    <w:rsid w:val="003541E4"/>
    <w:rsid w:val="00354233"/>
    <w:rsid w:val="00354243"/>
    <w:rsid w:val="0035424C"/>
    <w:rsid w:val="0035428D"/>
    <w:rsid w:val="003542E7"/>
    <w:rsid w:val="00354367"/>
    <w:rsid w:val="00354377"/>
    <w:rsid w:val="0035439D"/>
    <w:rsid w:val="003544A9"/>
    <w:rsid w:val="003544AA"/>
    <w:rsid w:val="003544FE"/>
    <w:rsid w:val="00354508"/>
    <w:rsid w:val="00354538"/>
    <w:rsid w:val="00354548"/>
    <w:rsid w:val="003545CC"/>
    <w:rsid w:val="003545F9"/>
    <w:rsid w:val="00354628"/>
    <w:rsid w:val="003547F4"/>
    <w:rsid w:val="00354809"/>
    <w:rsid w:val="0035481E"/>
    <w:rsid w:val="0035484C"/>
    <w:rsid w:val="0035492D"/>
    <w:rsid w:val="00354946"/>
    <w:rsid w:val="0035494C"/>
    <w:rsid w:val="0035499E"/>
    <w:rsid w:val="003549BB"/>
    <w:rsid w:val="00354A09"/>
    <w:rsid w:val="00354A29"/>
    <w:rsid w:val="00354A9E"/>
    <w:rsid w:val="00354AD6"/>
    <w:rsid w:val="00354AE7"/>
    <w:rsid w:val="00354AF2"/>
    <w:rsid w:val="00354B84"/>
    <w:rsid w:val="00354C6D"/>
    <w:rsid w:val="00354C82"/>
    <w:rsid w:val="00354C94"/>
    <w:rsid w:val="00354D78"/>
    <w:rsid w:val="00354D7A"/>
    <w:rsid w:val="00354D91"/>
    <w:rsid w:val="00354DD1"/>
    <w:rsid w:val="00354E2E"/>
    <w:rsid w:val="00354E46"/>
    <w:rsid w:val="00354E6A"/>
    <w:rsid w:val="00354E89"/>
    <w:rsid w:val="00354EC2"/>
    <w:rsid w:val="00354F1F"/>
    <w:rsid w:val="00354F4B"/>
    <w:rsid w:val="00354F99"/>
    <w:rsid w:val="00354FA8"/>
    <w:rsid w:val="00355022"/>
    <w:rsid w:val="00355089"/>
    <w:rsid w:val="00355103"/>
    <w:rsid w:val="00355152"/>
    <w:rsid w:val="003551A4"/>
    <w:rsid w:val="003551CB"/>
    <w:rsid w:val="003551DE"/>
    <w:rsid w:val="00355223"/>
    <w:rsid w:val="003552C5"/>
    <w:rsid w:val="003552DC"/>
    <w:rsid w:val="003552F3"/>
    <w:rsid w:val="00355328"/>
    <w:rsid w:val="00355365"/>
    <w:rsid w:val="00355390"/>
    <w:rsid w:val="00355396"/>
    <w:rsid w:val="00355397"/>
    <w:rsid w:val="00355398"/>
    <w:rsid w:val="0035539D"/>
    <w:rsid w:val="003553D1"/>
    <w:rsid w:val="0035540F"/>
    <w:rsid w:val="00355432"/>
    <w:rsid w:val="003554F3"/>
    <w:rsid w:val="0035552F"/>
    <w:rsid w:val="00355542"/>
    <w:rsid w:val="00355570"/>
    <w:rsid w:val="0035558D"/>
    <w:rsid w:val="003555D6"/>
    <w:rsid w:val="003555ED"/>
    <w:rsid w:val="00355675"/>
    <w:rsid w:val="00355687"/>
    <w:rsid w:val="00355701"/>
    <w:rsid w:val="00355713"/>
    <w:rsid w:val="0035576C"/>
    <w:rsid w:val="0035583B"/>
    <w:rsid w:val="0035583F"/>
    <w:rsid w:val="00355841"/>
    <w:rsid w:val="0035584C"/>
    <w:rsid w:val="0035585E"/>
    <w:rsid w:val="0035586E"/>
    <w:rsid w:val="003558D5"/>
    <w:rsid w:val="003558E0"/>
    <w:rsid w:val="00355958"/>
    <w:rsid w:val="0035595E"/>
    <w:rsid w:val="003559A5"/>
    <w:rsid w:val="003559AB"/>
    <w:rsid w:val="003559B7"/>
    <w:rsid w:val="003559D8"/>
    <w:rsid w:val="00355A2A"/>
    <w:rsid w:val="00355AE7"/>
    <w:rsid w:val="00355BA8"/>
    <w:rsid w:val="00355C37"/>
    <w:rsid w:val="00355C7A"/>
    <w:rsid w:val="00355C8A"/>
    <w:rsid w:val="00355CB9"/>
    <w:rsid w:val="00355CFB"/>
    <w:rsid w:val="00355D5F"/>
    <w:rsid w:val="00355D74"/>
    <w:rsid w:val="00355D98"/>
    <w:rsid w:val="00355DBC"/>
    <w:rsid w:val="00355DE8"/>
    <w:rsid w:val="00355DEF"/>
    <w:rsid w:val="00355E55"/>
    <w:rsid w:val="00355E6B"/>
    <w:rsid w:val="00355E97"/>
    <w:rsid w:val="00355F0D"/>
    <w:rsid w:val="00355FA1"/>
    <w:rsid w:val="00355FDA"/>
    <w:rsid w:val="00355FDB"/>
    <w:rsid w:val="00355FF5"/>
    <w:rsid w:val="00356054"/>
    <w:rsid w:val="00356080"/>
    <w:rsid w:val="003560B2"/>
    <w:rsid w:val="003560BB"/>
    <w:rsid w:val="003560D0"/>
    <w:rsid w:val="00356108"/>
    <w:rsid w:val="00356175"/>
    <w:rsid w:val="00356202"/>
    <w:rsid w:val="00356245"/>
    <w:rsid w:val="0035624E"/>
    <w:rsid w:val="00356299"/>
    <w:rsid w:val="0035631B"/>
    <w:rsid w:val="00356335"/>
    <w:rsid w:val="0035635C"/>
    <w:rsid w:val="00356389"/>
    <w:rsid w:val="003563C6"/>
    <w:rsid w:val="003563D2"/>
    <w:rsid w:val="003563EE"/>
    <w:rsid w:val="00356416"/>
    <w:rsid w:val="0035644B"/>
    <w:rsid w:val="00356461"/>
    <w:rsid w:val="0035647C"/>
    <w:rsid w:val="003564C8"/>
    <w:rsid w:val="003565F9"/>
    <w:rsid w:val="00356610"/>
    <w:rsid w:val="00356616"/>
    <w:rsid w:val="00356617"/>
    <w:rsid w:val="00356638"/>
    <w:rsid w:val="00356656"/>
    <w:rsid w:val="00356681"/>
    <w:rsid w:val="0035669B"/>
    <w:rsid w:val="003566F7"/>
    <w:rsid w:val="0035677B"/>
    <w:rsid w:val="0035678A"/>
    <w:rsid w:val="0035679F"/>
    <w:rsid w:val="003567E1"/>
    <w:rsid w:val="003567F1"/>
    <w:rsid w:val="00356887"/>
    <w:rsid w:val="003568A1"/>
    <w:rsid w:val="00356913"/>
    <w:rsid w:val="0035697E"/>
    <w:rsid w:val="003569CF"/>
    <w:rsid w:val="00356A25"/>
    <w:rsid w:val="00356A33"/>
    <w:rsid w:val="00356A36"/>
    <w:rsid w:val="00356A88"/>
    <w:rsid w:val="00356AE4"/>
    <w:rsid w:val="00356B2A"/>
    <w:rsid w:val="00356B4F"/>
    <w:rsid w:val="00356B53"/>
    <w:rsid w:val="00356BA2"/>
    <w:rsid w:val="00356BC8"/>
    <w:rsid w:val="00356BE7"/>
    <w:rsid w:val="00356C54"/>
    <w:rsid w:val="00356CF5"/>
    <w:rsid w:val="00356D74"/>
    <w:rsid w:val="00356D86"/>
    <w:rsid w:val="00356D8B"/>
    <w:rsid w:val="00356DF0"/>
    <w:rsid w:val="00356DF7"/>
    <w:rsid w:val="00356E26"/>
    <w:rsid w:val="00356E3F"/>
    <w:rsid w:val="00356EC2"/>
    <w:rsid w:val="00356F13"/>
    <w:rsid w:val="00356F45"/>
    <w:rsid w:val="00356F72"/>
    <w:rsid w:val="00356F74"/>
    <w:rsid w:val="00356F8A"/>
    <w:rsid w:val="00356F96"/>
    <w:rsid w:val="00356F9D"/>
    <w:rsid w:val="00356FC0"/>
    <w:rsid w:val="00357005"/>
    <w:rsid w:val="0035709D"/>
    <w:rsid w:val="0035709F"/>
    <w:rsid w:val="00357110"/>
    <w:rsid w:val="00357198"/>
    <w:rsid w:val="003571CF"/>
    <w:rsid w:val="003571EB"/>
    <w:rsid w:val="00357211"/>
    <w:rsid w:val="00357224"/>
    <w:rsid w:val="0035725D"/>
    <w:rsid w:val="0035729C"/>
    <w:rsid w:val="00357313"/>
    <w:rsid w:val="00357325"/>
    <w:rsid w:val="00357328"/>
    <w:rsid w:val="0035733B"/>
    <w:rsid w:val="003573A2"/>
    <w:rsid w:val="003573A5"/>
    <w:rsid w:val="0035746E"/>
    <w:rsid w:val="003574BD"/>
    <w:rsid w:val="003574CC"/>
    <w:rsid w:val="003574ED"/>
    <w:rsid w:val="0035752F"/>
    <w:rsid w:val="003575CD"/>
    <w:rsid w:val="003575E4"/>
    <w:rsid w:val="003575EA"/>
    <w:rsid w:val="00357684"/>
    <w:rsid w:val="0035769E"/>
    <w:rsid w:val="003576E9"/>
    <w:rsid w:val="00357730"/>
    <w:rsid w:val="003577C0"/>
    <w:rsid w:val="003577CB"/>
    <w:rsid w:val="003577E3"/>
    <w:rsid w:val="00357803"/>
    <w:rsid w:val="0035780F"/>
    <w:rsid w:val="0035782B"/>
    <w:rsid w:val="00357849"/>
    <w:rsid w:val="00357874"/>
    <w:rsid w:val="003578E1"/>
    <w:rsid w:val="003578FF"/>
    <w:rsid w:val="00357922"/>
    <w:rsid w:val="0035792A"/>
    <w:rsid w:val="00357931"/>
    <w:rsid w:val="0035795E"/>
    <w:rsid w:val="003579C4"/>
    <w:rsid w:val="003579CD"/>
    <w:rsid w:val="003579E9"/>
    <w:rsid w:val="003579FF"/>
    <w:rsid w:val="00357A57"/>
    <w:rsid w:val="00357AAF"/>
    <w:rsid w:val="00357AC7"/>
    <w:rsid w:val="00357AD0"/>
    <w:rsid w:val="00357B2C"/>
    <w:rsid w:val="00357B40"/>
    <w:rsid w:val="00357B6B"/>
    <w:rsid w:val="00357B8B"/>
    <w:rsid w:val="00357BA4"/>
    <w:rsid w:val="00357BEE"/>
    <w:rsid w:val="00357C0A"/>
    <w:rsid w:val="00357C45"/>
    <w:rsid w:val="00357CBB"/>
    <w:rsid w:val="00357CFC"/>
    <w:rsid w:val="00357D04"/>
    <w:rsid w:val="00357D19"/>
    <w:rsid w:val="00357D6C"/>
    <w:rsid w:val="00357DC6"/>
    <w:rsid w:val="00357E1C"/>
    <w:rsid w:val="00357E62"/>
    <w:rsid w:val="00357E72"/>
    <w:rsid w:val="00357ED8"/>
    <w:rsid w:val="00357F23"/>
    <w:rsid w:val="00357F4B"/>
    <w:rsid w:val="00357F63"/>
    <w:rsid w:val="00357F6B"/>
    <w:rsid w:val="00357F86"/>
    <w:rsid w:val="00357F88"/>
    <w:rsid w:val="00357F9B"/>
    <w:rsid w:val="00357FA6"/>
    <w:rsid w:val="00357FAB"/>
    <w:rsid w:val="00357FD2"/>
    <w:rsid w:val="00357FDB"/>
    <w:rsid w:val="0035A3C2"/>
    <w:rsid w:val="0035D0B8"/>
    <w:rsid w:val="0035EA63"/>
    <w:rsid w:val="0036000D"/>
    <w:rsid w:val="00360046"/>
    <w:rsid w:val="00360049"/>
    <w:rsid w:val="003600AE"/>
    <w:rsid w:val="003600C4"/>
    <w:rsid w:val="00360112"/>
    <w:rsid w:val="0036011E"/>
    <w:rsid w:val="00360132"/>
    <w:rsid w:val="0036013F"/>
    <w:rsid w:val="00360160"/>
    <w:rsid w:val="0036018A"/>
    <w:rsid w:val="003601CB"/>
    <w:rsid w:val="00360209"/>
    <w:rsid w:val="0036021C"/>
    <w:rsid w:val="00360256"/>
    <w:rsid w:val="00360273"/>
    <w:rsid w:val="00360292"/>
    <w:rsid w:val="00360472"/>
    <w:rsid w:val="003604BC"/>
    <w:rsid w:val="003604C3"/>
    <w:rsid w:val="003604EB"/>
    <w:rsid w:val="003604F8"/>
    <w:rsid w:val="00360540"/>
    <w:rsid w:val="00360549"/>
    <w:rsid w:val="00360573"/>
    <w:rsid w:val="00360581"/>
    <w:rsid w:val="003605BA"/>
    <w:rsid w:val="00360639"/>
    <w:rsid w:val="0036066B"/>
    <w:rsid w:val="00360698"/>
    <w:rsid w:val="003606B7"/>
    <w:rsid w:val="003606F8"/>
    <w:rsid w:val="00360772"/>
    <w:rsid w:val="00360788"/>
    <w:rsid w:val="003607A1"/>
    <w:rsid w:val="003607DB"/>
    <w:rsid w:val="003607F2"/>
    <w:rsid w:val="003607F9"/>
    <w:rsid w:val="00360808"/>
    <w:rsid w:val="0036083B"/>
    <w:rsid w:val="0036085C"/>
    <w:rsid w:val="00360879"/>
    <w:rsid w:val="003608A9"/>
    <w:rsid w:val="003608B6"/>
    <w:rsid w:val="003608FE"/>
    <w:rsid w:val="00360A25"/>
    <w:rsid w:val="00360A46"/>
    <w:rsid w:val="00360A59"/>
    <w:rsid w:val="00360A6C"/>
    <w:rsid w:val="00360A6E"/>
    <w:rsid w:val="00360A7C"/>
    <w:rsid w:val="00360A7F"/>
    <w:rsid w:val="00360A87"/>
    <w:rsid w:val="00360A9D"/>
    <w:rsid w:val="00360AAE"/>
    <w:rsid w:val="00360AE7"/>
    <w:rsid w:val="00360B6D"/>
    <w:rsid w:val="00360BE6"/>
    <w:rsid w:val="00360C1E"/>
    <w:rsid w:val="00360C26"/>
    <w:rsid w:val="00360C86"/>
    <w:rsid w:val="00360C9D"/>
    <w:rsid w:val="00360CA2"/>
    <w:rsid w:val="00360CA4"/>
    <w:rsid w:val="00360D82"/>
    <w:rsid w:val="00360DAE"/>
    <w:rsid w:val="00360EA6"/>
    <w:rsid w:val="00360EA9"/>
    <w:rsid w:val="00360EF1"/>
    <w:rsid w:val="00360EF5"/>
    <w:rsid w:val="00360F80"/>
    <w:rsid w:val="00360F81"/>
    <w:rsid w:val="00360F95"/>
    <w:rsid w:val="0036102B"/>
    <w:rsid w:val="00361036"/>
    <w:rsid w:val="0036103A"/>
    <w:rsid w:val="0036104B"/>
    <w:rsid w:val="003610AF"/>
    <w:rsid w:val="003610B5"/>
    <w:rsid w:val="00361119"/>
    <w:rsid w:val="00361121"/>
    <w:rsid w:val="00361123"/>
    <w:rsid w:val="003611DF"/>
    <w:rsid w:val="0036121C"/>
    <w:rsid w:val="00361226"/>
    <w:rsid w:val="00361290"/>
    <w:rsid w:val="003612CD"/>
    <w:rsid w:val="003612E5"/>
    <w:rsid w:val="003612EA"/>
    <w:rsid w:val="0036133E"/>
    <w:rsid w:val="0036134A"/>
    <w:rsid w:val="00361364"/>
    <w:rsid w:val="0036139B"/>
    <w:rsid w:val="003613A0"/>
    <w:rsid w:val="003613A8"/>
    <w:rsid w:val="003613B7"/>
    <w:rsid w:val="003613C2"/>
    <w:rsid w:val="003613D6"/>
    <w:rsid w:val="003613DA"/>
    <w:rsid w:val="003613DB"/>
    <w:rsid w:val="003613FA"/>
    <w:rsid w:val="00361412"/>
    <w:rsid w:val="00361416"/>
    <w:rsid w:val="0036141A"/>
    <w:rsid w:val="0036142C"/>
    <w:rsid w:val="0036144D"/>
    <w:rsid w:val="003614A8"/>
    <w:rsid w:val="00361599"/>
    <w:rsid w:val="003615B6"/>
    <w:rsid w:val="003615B9"/>
    <w:rsid w:val="003615F8"/>
    <w:rsid w:val="00361661"/>
    <w:rsid w:val="0036173F"/>
    <w:rsid w:val="00361780"/>
    <w:rsid w:val="00361816"/>
    <w:rsid w:val="00361832"/>
    <w:rsid w:val="0036188C"/>
    <w:rsid w:val="003618B1"/>
    <w:rsid w:val="003618E4"/>
    <w:rsid w:val="0036192A"/>
    <w:rsid w:val="00361949"/>
    <w:rsid w:val="00361965"/>
    <w:rsid w:val="00361973"/>
    <w:rsid w:val="0036197C"/>
    <w:rsid w:val="003619A4"/>
    <w:rsid w:val="003619BD"/>
    <w:rsid w:val="003619DC"/>
    <w:rsid w:val="003619E2"/>
    <w:rsid w:val="00361A05"/>
    <w:rsid w:val="00361A0C"/>
    <w:rsid w:val="00361ADF"/>
    <w:rsid w:val="00361AE9"/>
    <w:rsid w:val="00361B10"/>
    <w:rsid w:val="00361B25"/>
    <w:rsid w:val="00361BCE"/>
    <w:rsid w:val="00361C32"/>
    <w:rsid w:val="00361C4F"/>
    <w:rsid w:val="00361C58"/>
    <w:rsid w:val="00361CD2"/>
    <w:rsid w:val="00361CEF"/>
    <w:rsid w:val="00361CF9"/>
    <w:rsid w:val="00361D35"/>
    <w:rsid w:val="00361D73"/>
    <w:rsid w:val="00361D7A"/>
    <w:rsid w:val="00361DAF"/>
    <w:rsid w:val="00361DBA"/>
    <w:rsid w:val="00361E33"/>
    <w:rsid w:val="00361E87"/>
    <w:rsid w:val="00361EB9"/>
    <w:rsid w:val="00361ED2"/>
    <w:rsid w:val="00361EDF"/>
    <w:rsid w:val="00361EF2"/>
    <w:rsid w:val="00361F39"/>
    <w:rsid w:val="00361F3B"/>
    <w:rsid w:val="00361F42"/>
    <w:rsid w:val="00361F5D"/>
    <w:rsid w:val="00361FCF"/>
    <w:rsid w:val="00362005"/>
    <w:rsid w:val="00362014"/>
    <w:rsid w:val="00362025"/>
    <w:rsid w:val="00362050"/>
    <w:rsid w:val="00362061"/>
    <w:rsid w:val="00362141"/>
    <w:rsid w:val="003621BD"/>
    <w:rsid w:val="003621CF"/>
    <w:rsid w:val="003621D6"/>
    <w:rsid w:val="003621F6"/>
    <w:rsid w:val="00362207"/>
    <w:rsid w:val="0036220B"/>
    <w:rsid w:val="00362239"/>
    <w:rsid w:val="00362255"/>
    <w:rsid w:val="00362264"/>
    <w:rsid w:val="0036228C"/>
    <w:rsid w:val="003622CC"/>
    <w:rsid w:val="00362337"/>
    <w:rsid w:val="00362390"/>
    <w:rsid w:val="00362419"/>
    <w:rsid w:val="0036243F"/>
    <w:rsid w:val="0036244E"/>
    <w:rsid w:val="0036245A"/>
    <w:rsid w:val="0036249F"/>
    <w:rsid w:val="003624D2"/>
    <w:rsid w:val="003624DD"/>
    <w:rsid w:val="00362502"/>
    <w:rsid w:val="0036252E"/>
    <w:rsid w:val="00362533"/>
    <w:rsid w:val="00362575"/>
    <w:rsid w:val="00362591"/>
    <w:rsid w:val="003625BD"/>
    <w:rsid w:val="003625EB"/>
    <w:rsid w:val="00362604"/>
    <w:rsid w:val="00362609"/>
    <w:rsid w:val="00362619"/>
    <w:rsid w:val="0036263F"/>
    <w:rsid w:val="00362681"/>
    <w:rsid w:val="003626CF"/>
    <w:rsid w:val="003626E5"/>
    <w:rsid w:val="00362720"/>
    <w:rsid w:val="00362751"/>
    <w:rsid w:val="00362763"/>
    <w:rsid w:val="00362769"/>
    <w:rsid w:val="00362772"/>
    <w:rsid w:val="0036282B"/>
    <w:rsid w:val="0036288F"/>
    <w:rsid w:val="0036289A"/>
    <w:rsid w:val="003628A6"/>
    <w:rsid w:val="003628BC"/>
    <w:rsid w:val="003628BF"/>
    <w:rsid w:val="003628D4"/>
    <w:rsid w:val="00362906"/>
    <w:rsid w:val="0036290E"/>
    <w:rsid w:val="0036294E"/>
    <w:rsid w:val="003629C3"/>
    <w:rsid w:val="003629C8"/>
    <w:rsid w:val="003629D8"/>
    <w:rsid w:val="003629DD"/>
    <w:rsid w:val="003629E3"/>
    <w:rsid w:val="00362A1A"/>
    <w:rsid w:val="00362A3F"/>
    <w:rsid w:val="00362A4B"/>
    <w:rsid w:val="00362A5F"/>
    <w:rsid w:val="00362A71"/>
    <w:rsid w:val="00362A72"/>
    <w:rsid w:val="00362A7D"/>
    <w:rsid w:val="00362A89"/>
    <w:rsid w:val="00362ABE"/>
    <w:rsid w:val="00362AD0"/>
    <w:rsid w:val="00362AF0"/>
    <w:rsid w:val="00362B0D"/>
    <w:rsid w:val="00362B5D"/>
    <w:rsid w:val="00362B8C"/>
    <w:rsid w:val="00362BDE"/>
    <w:rsid w:val="00362C6E"/>
    <w:rsid w:val="00362C92"/>
    <w:rsid w:val="00362CB3"/>
    <w:rsid w:val="00362CDB"/>
    <w:rsid w:val="00362D3D"/>
    <w:rsid w:val="00362D9C"/>
    <w:rsid w:val="00362DEC"/>
    <w:rsid w:val="00362ED8"/>
    <w:rsid w:val="00362F5A"/>
    <w:rsid w:val="00362F82"/>
    <w:rsid w:val="00363053"/>
    <w:rsid w:val="00363065"/>
    <w:rsid w:val="0036307B"/>
    <w:rsid w:val="003630A7"/>
    <w:rsid w:val="003630B2"/>
    <w:rsid w:val="0036310E"/>
    <w:rsid w:val="0036314B"/>
    <w:rsid w:val="003631A2"/>
    <w:rsid w:val="003631F4"/>
    <w:rsid w:val="00363212"/>
    <w:rsid w:val="00363234"/>
    <w:rsid w:val="00363261"/>
    <w:rsid w:val="003632B1"/>
    <w:rsid w:val="00363386"/>
    <w:rsid w:val="00363438"/>
    <w:rsid w:val="00363458"/>
    <w:rsid w:val="003634CC"/>
    <w:rsid w:val="00363530"/>
    <w:rsid w:val="0036353F"/>
    <w:rsid w:val="00363554"/>
    <w:rsid w:val="00363577"/>
    <w:rsid w:val="003635FB"/>
    <w:rsid w:val="00363628"/>
    <w:rsid w:val="0036363E"/>
    <w:rsid w:val="00363674"/>
    <w:rsid w:val="003636FC"/>
    <w:rsid w:val="003636FD"/>
    <w:rsid w:val="00363827"/>
    <w:rsid w:val="00363861"/>
    <w:rsid w:val="003638A8"/>
    <w:rsid w:val="00363921"/>
    <w:rsid w:val="0036394A"/>
    <w:rsid w:val="00363960"/>
    <w:rsid w:val="00363992"/>
    <w:rsid w:val="003639EE"/>
    <w:rsid w:val="00363A2F"/>
    <w:rsid w:val="00363A3B"/>
    <w:rsid w:val="00363A6B"/>
    <w:rsid w:val="00363A6C"/>
    <w:rsid w:val="00363A9A"/>
    <w:rsid w:val="00363AD0"/>
    <w:rsid w:val="00363B2C"/>
    <w:rsid w:val="00363B65"/>
    <w:rsid w:val="00363BA4"/>
    <w:rsid w:val="00363C41"/>
    <w:rsid w:val="00363C56"/>
    <w:rsid w:val="00363C78"/>
    <w:rsid w:val="00363C79"/>
    <w:rsid w:val="00363C87"/>
    <w:rsid w:val="00363CDA"/>
    <w:rsid w:val="00363D47"/>
    <w:rsid w:val="00363DE8"/>
    <w:rsid w:val="00363F50"/>
    <w:rsid w:val="00363F6D"/>
    <w:rsid w:val="00364092"/>
    <w:rsid w:val="00364094"/>
    <w:rsid w:val="0036410C"/>
    <w:rsid w:val="0036412C"/>
    <w:rsid w:val="00364141"/>
    <w:rsid w:val="00364173"/>
    <w:rsid w:val="0036425E"/>
    <w:rsid w:val="00364267"/>
    <w:rsid w:val="00364299"/>
    <w:rsid w:val="003642A9"/>
    <w:rsid w:val="003642C2"/>
    <w:rsid w:val="003642C8"/>
    <w:rsid w:val="00364320"/>
    <w:rsid w:val="0036437E"/>
    <w:rsid w:val="00364388"/>
    <w:rsid w:val="0036442A"/>
    <w:rsid w:val="00364447"/>
    <w:rsid w:val="00364573"/>
    <w:rsid w:val="00364574"/>
    <w:rsid w:val="00364593"/>
    <w:rsid w:val="00364600"/>
    <w:rsid w:val="00364607"/>
    <w:rsid w:val="0036461E"/>
    <w:rsid w:val="00364621"/>
    <w:rsid w:val="00364649"/>
    <w:rsid w:val="0036466E"/>
    <w:rsid w:val="003646D4"/>
    <w:rsid w:val="003646E0"/>
    <w:rsid w:val="00364740"/>
    <w:rsid w:val="00364745"/>
    <w:rsid w:val="003647D3"/>
    <w:rsid w:val="00364811"/>
    <w:rsid w:val="0036481E"/>
    <w:rsid w:val="00364852"/>
    <w:rsid w:val="0036485F"/>
    <w:rsid w:val="00364866"/>
    <w:rsid w:val="00364886"/>
    <w:rsid w:val="003648F1"/>
    <w:rsid w:val="003648F6"/>
    <w:rsid w:val="0036497B"/>
    <w:rsid w:val="0036498B"/>
    <w:rsid w:val="00364A11"/>
    <w:rsid w:val="00364A35"/>
    <w:rsid w:val="00364A48"/>
    <w:rsid w:val="00364A49"/>
    <w:rsid w:val="00364A5A"/>
    <w:rsid w:val="00364A63"/>
    <w:rsid w:val="00364ABE"/>
    <w:rsid w:val="00364AC4"/>
    <w:rsid w:val="00364B26"/>
    <w:rsid w:val="00364B33"/>
    <w:rsid w:val="00364BD5"/>
    <w:rsid w:val="00364C05"/>
    <w:rsid w:val="00364C11"/>
    <w:rsid w:val="00364C58"/>
    <w:rsid w:val="00364C61"/>
    <w:rsid w:val="00364DCE"/>
    <w:rsid w:val="00364E37"/>
    <w:rsid w:val="00364E7F"/>
    <w:rsid w:val="00364E9D"/>
    <w:rsid w:val="00364EC4"/>
    <w:rsid w:val="00364EFB"/>
    <w:rsid w:val="00364FA3"/>
    <w:rsid w:val="00364FE6"/>
    <w:rsid w:val="00364FF5"/>
    <w:rsid w:val="0036506E"/>
    <w:rsid w:val="0036508B"/>
    <w:rsid w:val="00365099"/>
    <w:rsid w:val="003650DC"/>
    <w:rsid w:val="003650DE"/>
    <w:rsid w:val="0036510A"/>
    <w:rsid w:val="00365204"/>
    <w:rsid w:val="00365248"/>
    <w:rsid w:val="00365277"/>
    <w:rsid w:val="003652AC"/>
    <w:rsid w:val="0036530A"/>
    <w:rsid w:val="00365389"/>
    <w:rsid w:val="003653E4"/>
    <w:rsid w:val="00365441"/>
    <w:rsid w:val="00365457"/>
    <w:rsid w:val="00365463"/>
    <w:rsid w:val="0036548B"/>
    <w:rsid w:val="0036548C"/>
    <w:rsid w:val="00365593"/>
    <w:rsid w:val="003655B7"/>
    <w:rsid w:val="003655D7"/>
    <w:rsid w:val="003655E6"/>
    <w:rsid w:val="0036561E"/>
    <w:rsid w:val="00365772"/>
    <w:rsid w:val="0036579D"/>
    <w:rsid w:val="003657B1"/>
    <w:rsid w:val="003657C0"/>
    <w:rsid w:val="003657EF"/>
    <w:rsid w:val="0036580E"/>
    <w:rsid w:val="0036587F"/>
    <w:rsid w:val="00365893"/>
    <w:rsid w:val="00365898"/>
    <w:rsid w:val="003658D0"/>
    <w:rsid w:val="00365900"/>
    <w:rsid w:val="0036590D"/>
    <w:rsid w:val="00365981"/>
    <w:rsid w:val="003659A7"/>
    <w:rsid w:val="003659D4"/>
    <w:rsid w:val="003659F6"/>
    <w:rsid w:val="003659FC"/>
    <w:rsid w:val="00365A20"/>
    <w:rsid w:val="00365A2B"/>
    <w:rsid w:val="00365A48"/>
    <w:rsid w:val="00365A53"/>
    <w:rsid w:val="00365A89"/>
    <w:rsid w:val="00365B4B"/>
    <w:rsid w:val="00365B77"/>
    <w:rsid w:val="00365BBB"/>
    <w:rsid w:val="00365C0F"/>
    <w:rsid w:val="00365C7B"/>
    <w:rsid w:val="00365CC4"/>
    <w:rsid w:val="00365CDF"/>
    <w:rsid w:val="00365D0F"/>
    <w:rsid w:val="00365D40"/>
    <w:rsid w:val="00365D4F"/>
    <w:rsid w:val="00365D8E"/>
    <w:rsid w:val="00365DD0"/>
    <w:rsid w:val="00365DD8"/>
    <w:rsid w:val="00365DE6"/>
    <w:rsid w:val="00365DFC"/>
    <w:rsid w:val="00365E0C"/>
    <w:rsid w:val="00365F25"/>
    <w:rsid w:val="00365F27"/>
    <w:rsid w:val="00365F3C"/>
    <w:rsid w:val="00365F44"/>
    <w:rsid w:val="00365F52"/>
    <w:rsid w:val="00365FCB"/>
    <w:rsid w:val="00365FE1"/>
    <w:rsid w:val="00365FF4"/>
    <w:rsid w:val="0036603A"/>
    <w:rsid w:val="0036611B"/>
    <w:rsid w:val="00366123"/>
    <w:rsid w:val="00366136"/>
    <w:rsid w:val="003661CD"/>
    <w:rsid w:val="003661F3"/>
    <w:rsid w:val="003661FF"/>
    <w:rsid w:val="00366213"/>
    <w:rsid w:val="00366239"/>
    <w:rsid w:val="00366245"/>
    <w:rsid w:val="0036627C"/>
    <w:rsid w:val="003662AA"/>
    <w:rsid w:val="003662E1"/>
    <w:rsid w:val="003662ED"/>
    <w:rsid w:val="00366410"/>
    <w:rsid w:val="00366450"/>
    <w:rsid w:val="00366563"/>
    <w:rsid w:val="0036657F"/>
    <w:rsid w:val="003665C4"/>
    <w:rsid w:val="003665C8"/>
    <w:rsid w:val="003665ED"/>
    <w:rsid w:val="003665F4"/>
    <w:rsid w:val="00366660"/>
    <w:rsid w:val="00366688"/>
    <w:rsid w:val="0036669E"/>
    <w:rsid w:val="003666A0"/>
    <w:rsid w:val="003666D4"/>
    <w:rsid w:val="00366782"/>
    <w:rsid w:val="0036679A"/>
    <w:rsid w:val="003667A1"/>
    <w:rsid w:val="003667EF"/>
    <w:rsid w:val="003667F9"/>
    <w:rsid w:val="003667FB"/>
    <w:rsid w:val="00366827"/>
    <w:rsid w:val="00366887"/>
    <w:rsid w:val="003668BD"/>
    <w:rsid w:val="003668C5"/>
    <w:rsid w:val="003668CC"/>
    <w:rsid w:val="003668DF"/>
    <w:rsid w:val="003669C4"/>
    <w:rsid w:val="003669DF"/>
    <w:rsid w:val="003669F0"/>
    <w:rsid w:val="00366A2A"/>
    <w:rsid w:val="00366A42"/>
    <w:rsid w:val="00366A49"/>
    <w:rsid w:val="00366A6F"/>
    <w:rsid w:val="00366A91"/>
    <w:rsid w:val="00366C2D"/>
    <w:rsid w:val="00366C6E"/>
    <w:rsid w:val="00366C6F"/>
    <w:rsid w:val="00366CA9"/>
    <w:rsid w:val="00366CDA"/>
    <w:rsid w:val="00366CE0"/>
    <w:rsid w:val="00366D0E"/>
    <w:rsid w:val="00366D4E"/>
    <w:rsid w:val="00366D5F"/>
    <w:rsid w:val="00366D72"/>
    <w:rsid w:val="00366E2A"/>
    <w:rsid w:val="00366E68"/>
    <w:rsid w:val="00366EF1"/>
    <w:rsid w:val="00366F66"/>
    <w:rsid w:val="00366FAD"/>
    <w:rsid w:val="00366FB1"/>
    <w:rsid w:val="00367102"/>
    <w:rsid w:val="00367116"/>
    <w:rsid w:val="00367122"/>
    <w:rsid w:val="00367164"/>
    <w:rsid w:val="00367176"/>
    <w:rsid w:val="00367186"/>
    <w:rsid w:val="003671CC"/>
    <w:rsid w:val="003671ED"/>
    <w:rsid w:val="00367223"/>
    <w:rsid w:val="00367254"/>
    <w:rsid w:val="00367255"/>
    <w:rsid w:val="0036727F"/>
    <w:rsid w:val="003672ED"/>
    <w:rsid w:val="003672F2"/>
    <w:rsid w:val="00367314"/>
    <w:rsid w:val="0036735A"/>
    <w:rsid w:val="003673B4"/>
    <w:rsid w:val="003673EA"/>
    <w:rsid w:val="0036743F"/>
    <w:rsid w:val="00367479"/>
    <w:rsid w:val="00367494"/>
    <w:rsid w:val="003674A9"/>
    <w:rsid w:val="003674E9"/>
    <w:rsid w:val="00367517"/>
    <w:rsid w:val="00367537"/>
    <w:rsid w:val="00367549"/>
    <w:rsid w:val="0036754F"/>
    <w:rsid w:val="0036755A"/>
    <w:rsid w:val="00367576"/>
    <w:rsid w:val="003675E1"/>
    <w:rsid w:val="003675E4"/>
    <w:rsid w:val="00367609"/>
    <w:rsid w:val="00367620"/>
    <w:rsid w:val="0036762C"/>
    <w:rsid w:val="003676A8"/>
    <w:rsid w:val="00367705"/>
    <w:rsid w:val="0036771D"/>
    <w:rsid w:val="00367728"/>
    <w:rsid w:val="0036775B"/>
    <w:rsid w:val="003677A6"/>
    <w:rsid w:val="003677CA"/>
    <w:rsid w:val="003677DB"/>
    <w:rsid w:val="00367814"/>
    <w:rsid w:val="00367856"/>
    <w:rsid w:val="00367867"/>
    <w:rsid w:val="00367898"/>
    <w:rsid w:val="003678AB"/>
    <w:rsid w:val="003678F2"/>
    <w:rsid w:val="0036797A"/>
    <w:rsid w:val="00367990"/>
    <w:rsid w:val="003679B1"/>
    <w:rsid w:val="003679D9"/>
    <w:rsid w:val="003679DE"/>
    <w:rsid w:val="00367A4D"/>
    <w:rsid w:val="00367A9D"/>
    <w:rsid w:val="00367AE4"/>
    <w:rsid w:val="00367BC4"/>
    <w:rsid w:val="00367BDA"/>
    <w:rsid w:val="00367C45"/>
    <w:rsid w:val="00367CE9"/>
    <w:rsid w:val="00367D8E"/>
    <w:rsid w:val="00367DA2"/>
    <w:rsid w:val="00367DA9"/>
    <w:rsid w:val="00367DDA"/>
    <w:rsid w:val="00367DE5"/>
    <w:rsid w:val="00367DEE"/>
    <w:rsid w:val="00367E06"/>
    <w:rsid w:val="00367E92"/>
    <w:rsid w:val="00367F0A"/>
    <w:rsid w:val="00367F0B"/>
    <w:rsid w:val="00367F0C"/>
    <w:rsid w:val="00367F1F"/>
    <w:rsid w:val="00367F54"/>
    <w:rsid w:val="00367F63"/>
    <w:rsid w:val="00367F98"/>
    <w:rsid w:val="00367FA8"/>
    <w:rsid w:val="00367FAD"/>
    <w:rsid w:val="00367FDD"/>
    <w:rsid w:val="00370052"/>
    <w:rsid w:val="00370083"/>
    <w:rsid w:val="0037009C"/>
    <w:rsid w:val="0037009E"/>
    <w:rsid w:val="003700B1"/>
    <w:rsid w:val="003700D0"/>
    <w:rsid w:val="00370127"/>
    <w:rsid w:val="003701CF"/>
    <w:rsid w:val="003701D6"/>
    <w:rsid w:val="003701D7"/>
    <w:rsid w:val="00370222"/>
    <w:rsid w:val="00370261"/>
    <w:rsid w:val="0037026D"/>
    <w:rsid w:val="003702B3"/>
    <w:rsid w:val="003702FE"/>
    <w:rsid w:val="0037031B"/>
    <w:rsid w:val="00370396"/>
    <w:rsid w:val="003703A5"/>
    <w:rsid w:val="003703FA"/>
    <w:rsid w:val="0037040E"/>
    <w:rsid w:val="0037041C"/>
    <w:rsid w:val="00370422"/>
    <w:rsid w:val="0037042F"/>
    <w:rsid w:val="00370449"/>
    <w:rsid w:val="0037046F"/>
    <w:rsid w:val="003704C6"/>
    <w:rsid w:val="003704CB"/>
    <w:rsid w:val="0037051C"/>
    <w:rsid w:val="0037052F"/>
    <w:rsid w:val="00370537"/>
    <w:rsid w:val="0037057C"/>
    <w:rsid w:val="003705A7"/>
    <w:rsid w:val="003705B5"/>
    <w:rsid w:val="003705D1"/>
    <w:rsid w:val="00370699"/>
    <w:rsid w:val="003706AB"/>
    <w:rsid w:val="003706CC"/>
    <w:rsid w:val="003706E2"/>
    <w:rsid w:val="0037074F"/>
    <w:rsid w:val="003707D5"/>
    <w:rsid w:val="003707DE"/>
    <w:rsid w:val="00370804"/>
    <w:rsid w:val="00370828"/>
    <w:rsid w:val="0037087B"/>
    <w:rsid w:val="003708AF"/>
    <w:rsid w:val="003708F7"/>
    <w:rsid w:val="00370928"/>
    <w:rsid w:val="003709A9"/>
    <w:rsid w:val="003709BE"/>
    <w:rsid w:val="003709BF"/>
    <w:rsid w:val="003709CF"/>
    <w:rsid w:val="00370A2E"/>
    <w:rsid w:val="00370A75"/>
    <w:rsid w:val="00370A85"/>
    <w:rsid w:val="00370AB0"/>
    <w:rsid w:val="00370AFD"/>
    <w:rsid w:val="00370B49"/>
    <w:rsid w:val="00370B73"/>
    <w:rsid w:val="00370B7B"/>
    <w:rsid w:val="00370B7D"/>
    <w:rsid w:val="00370BCB"/>
    <w:rsid w:val="00370BE2"/>
    <w:rsid w:val="00370C58"/>
    <w:rsid w:val="00370C8E"/>
    <w:rsid w:val="00370CE2"/>
    <w:rsid w:val="00370D02"/>
    <w:rsid w:val="00370D0E"/>
    <w:rsid w:val="00370D93"/>
    <w:rsid w:val="00370DC3"/>
    <w:rsid w:val="00370DCE"/>
    <w:rsid w:val="00370E39"/>
    <w:rsid w:val="00370E68"/>
    <w:rsid w:val="00370E93"/>
    <w:rsid w:val="00370EA3"/>
    <w:rsid w:val="00370F2A"/>
    <w:rsid w:val="00370F76"/>
    <w:rsid w:val="00370FD1"/>
    <w:rsid w:val="00371022"/>
    <w:rsid w:val="00371028"/>
    <w:rsid w:val="0037103D"/>
    <w:rsid w:val="00371040"/>
    <w:rsid w:val="0037106B"/>
    <w:rsid w:val="003710AE"/>
    <w:rsid w:val="003710E4"/>
    <w:rsid w:val="003710EF"/>
    <w:rsid w:val="00371128"/>
    <w:rsid w:val="00371147"/>
    <w:rsid w:val="0037117F"/>
    <w:rsid w:val="003711C1"/>
    <w:rsid w:val="00371237"/>
    <w:rsid w:val="00371243"/>
    <w:rsid w:val="003712A4"/>
    <w:rsid w:val="003712FC"/>
    <w:rsid w:val="0037138C"/>
    <w:rsid w:val="00371397"/>
    <w:rsid w:val="003713FC"/>
    <w:rsid w:val="003714E3"/>
    <w:rsid w:val="00371585"/>
    <w:rsid w:val="003715EB"/>
    <w:rsid w:val="0037160A"/>
    <w:rsid w:val="003716B1"/>
    <w:rsid w:val="00371706"/>
    <w:rsid w:val="00371724"/>
    <w:rsid w:val="0037176C"/>
    <w:rsid w:val="003717DC"/>
    <w:rsid w:val="003717ED"/>
    <w:rsid w:val="00371813"/>
    <w:rsid w:val="0037185F"/>
    <w:rsid w:val="00371984"/>
    <w:rsid w:val="003719B8"/>
    <w:rsid w:val="003719EF"/>
    <w:rsid w:val="003719F0"/>
    <w:rsid w:val="003719FB"/>
    <w:rsid w:val="00371A15"/>
    <w:rsid w:val="00371A26"/>
    <w:rsid w:val="00371A34"/>
    <w:rsid w:val="00371A52"/>
    <w:rsid w:val="00371A55"/>
    <w:rsid w:val="00371B41"/>
    <w:rsid w:val="00371BC8"/>
    <w:rsid w:val="00371BCA"/>
    <w:rsid w:val="00371BF3"/>
    <w:rsid w:val="00371C11"/>
    <w:rsid w:val="00371C67"/>
    <w:rsid w:val="00371C6B"/>
    <w:rsid w:val="00371C8A"/>
    <w:rsid w:val="00371CB3"/>
    <w:rsid w:val="00371DFB"/>
    <w:rsid w:val="00371E16"/>
    <w:rsid w:val="00371E2B"/>
    <w:rsid w:val="00371E2E"/>
    <w:rsid w:val="00371E3E"/>
    <w:rsid w:val="00371EC7"/>
    <w:rsid w:val="00371F5A"/>
    <w:rsid w:val="00371F61"/>
    <w:rsid w:val="00371FC0"/>
    <w:rsid w:val="00372033"/>
    <w:rsid w:val="0037208F"/>
    <w:rsid w:val="003720B9"/>
    <w:rsid w:val="003720CF"/>
    <w:rsid w:val="0037210B"/>
    <w:rsid w:val="0037210D"/>
    <w:rsid w:val="0037228B"/>
    <w:rsid w:val="00372296"/>
    <w:rsid w:val="003722D7"/>
    <w:rsid w:val="00372313"/>
    <w:rsid w:val="0037231D"/>
    <w:rsid w:val="00372349"/>
    <w:rsid w:val="00372350"/>
    <w:rsid w:val="00372357"/>
    <w:rsid w:val="00372397"/>
    <w:rsid w:val="003723EE"/>
    <w:rsid w:val="0037241C"/>
    <w:rsid w:val="00372422"/>
    <w:rsid w:val="003724B8"/>
    <w:rsid w:val="00372576"/>
    <w:rsid w:val="00372617"/>
    <w:rsid w:val="003726AA"/>
    <w:rsid w:val="003726C8"/>
    <w:rsid w:val="003726D5"/>
    <w:rsid w:val="003726E9"/>
    <w:rsid w:val="0037270B"/>
    <w:rsid w:val="0037273A"/>
    <w:rsid w:val="00372808"/>
    <w:rsid w:val="00372826"/>
    <w:rsid w:val="0037282C"/>
    <w:rsid w:val="00372851"/>
    <w:rsid w:val="00372853"/>
    <w:rsid w:val="003728C3"/>
    <w:rsid w:val="0037290A"/>
    <w:rsid w:val="00372922"/>
    <w:rsid w:val="0037293E"/>
    <w:rsid w:val="003729FD"/>
    <w:rsid w:val="00372A0D"/>
    <w:rsid w:val="00372A4A"/>
    <w:rsid w:val="00372AC7"/>
    <w:rsid w:val="00372ACC"/>
    <w:rsid w:val="00372AE9"/>
    <w:rsid w:val="00372B39"/>
    <w:rsid w:val="00372B7F"/>
    <w:rsid w:val="00372B9B"/>
    <w:rsid w:val="00372BD9"/>
    <w:rsid w:val="00372BE0"/>
    <w:rsid w:val="00372BF0"/>
    <w:rsid w:val="00372C23"/>
    <w:rsid w:val="00372C62"/>
    <w:rsid w:val="00372C8E"/>
    <w:rsid w:val="00372C9F"/>
    <w:rsid w:val="00372CA8"/>
    <w:rsid w:val="00372CE8"/>
    <w:rsid w:val="00372D06"/>
    <w:rsid w:val="00372D75"/>
    <w:rsid w:val="00372DE2"/>
    <w:rsid w:val="00372DF5"/>
    <w:rsid w:val="00372E02"/>
    <w:rsid w:val="00372E44"/>
    <w:rsid w:val="00372EA6"/>
    <w:rsid w:val="00372EA8"/>
    <w:rsid w:val="00372EC7"/>
    <w:rsid w:val="00372EDD"/>
    <w:rsid w:val="00372EE7"/>
    <w:rsid w:val="00372F13"/>
    <w:rsid w:val="00372F1E"/>
    <w:rsid w:val="00372F3C"/>
    <w:rsid w:val="00372F47"/>
    <w:rsid w:val="00372F65"/>
    <w:rsid w:val="00372F6E"/>
    <w:rsid w:val="0037302D"/>
    <w:rsid w:val="0037303D"/>
    <w:rsid w:val="00373040"/>
    <w:rsid w:val="00373056"/>
    <w:rsid w:val="0037305A"/>
    <w:rsid w:val="0037305C"/>
    <w:rsid w:val="00373060"/>
    <w:rsid w:val="00373099"/>
    <w:rsid w:val="003730AB"/>
    <w:rsid w:val="003730DB"/>
    <w:rsid w:val="003730F0"/>
    <w:rsid w:val="00373148"/>
    <w:rsid w:val="00373156"/>
    <w:rsid w:val="0037316D"/>
    <w:rsid w:val="003731B7"/>
    <w:rsid w:val="00373293"/>
    <w:rsid w:val="003732BA"/>
    <w:rsid w:val="0037331F"/>
    <w:rsid w:val="0037335A"/>
    <w:rsid w:val="0037342C"/>
    <w:rsid w:val="0037344C"/>
    <w:rsid w:val="00373496"/>
    <w:rsid w:val="003734CE"/>
    <w:rsid w:val="003734E0"/>
    <w:rsid w:val="003734F1"/>
    <w:rsid w:val="00373529"/>
    <w:rsid w:val="00373559"/>
    <w:rsid w:val="003735E1"/>
    <w:rsid w:val="00373650"/>
    <w:rsid w:val="003737B9"/>
    <w:rsid w:val="003737D3"/>
    <w:rsid w:val="003737E8"/>
    <w:rsid w:val="0037382B"/>
    <w:rsid w:val="003738CC"/>
    <w:rsid w:val="003738E2"/>
    <w:rsid w:val="00373930"/>
    <w:rsid w:val="00373945"/>
    <w:rsid w:val="00373955"/>
    <w:rsid w:val="00373957"/>
    <w:rsid w:val="00373963"/>
    <w:rsid w:val="0037396A"/>
    <w:rsid w:val="00373992"/>
    <w:rsid w:val="003739A7"/>
    <w:rsid w:val="003739BD"/>
    <w:rsid w:val="003739E5"/>
    <w:rsid w:val="00373A3F"/>
    <w:rsid w:val="00373A67"/>
    <w:rsid w:val="00373A9C"/>
    <w:rsid w:val="00373A9D"/>
    <w:rsid w:val="00373A9F"/>
    <w:rsid w:val="00373AA2"/>
    <w:rsid w:val="00373B45"/>
    <w:rsid w:val="00373B75"/>
    <w:rsid w:val="00373C59"/>
    <w:rsid w:val="00373C7B"/>
    <w:rsid w:val="00373CC6"/>
    <w:rsid w:val="00373CE6"/>
    <w:rsid w:val="00373CF6"/>
    <w:rsid w:val="00373CF7"/>
    <w:rsid w:val="00373D00"/>
    <w:rsid w:val="00373D81"/>
    <w:rsid w:val="00373D90"/>
    <w:rsid w:val="00373DB8"/>
    <w:rsid w:val="00373DF5"/>
    <w:rsid w:val="00373E03"/>
    <w:rsid w:val="00373E0F"/>
    <w:rsid w:val="00373E4E"/>
    <w:rsid w:val="00373E95"/>
    <w:rsid w:val="00373EAF"/>
    <w:rsid w:val="00373EDB"/>
    <w:rsid w:val="00373F0B"/>
    <w:rsid w:val="00373F47"/>
    <w:rsid w:val="00373F4B"/>
    <w:rsid w:val="00373F8D"/>
    <w:rsid w:val="00373F99"/>
    <w:rsid w:val="00373FCB"/>
    <w:rsid w:val="00373FE2"/>
    <w:rsid w:val="00373FEA"/>
    <w:rsid w:val="00374005"/>
    <w:rsid w:val="00374012"/>
    <w:rsid w:val="00374026"/>
    <w:rsid w:val="0037406B"/>
    <w:rsid w:val="00374096"/>
    <w:rsid w:val="003740A6"/>
    <w:rsid w:val="00374142"/>
    <w:rsid w:val="00374147"/>
    <w:rsid w:val="0037415E"/>
    <w:rsid w:val="0037419B"/>
    <w:rsid w:val="003741D4"/>
    <w:rsid w:val="0037424E"/>
    <w:rsid w:val="00374262"/>
    <w:rsid w:val="003742B3"/>
    <w:rsid w:val="003743BA"/>
    <w:rsid w:val="003743C4"/>
    <w:rsid w:val="00374430"/>
    <w:rsid w:val="003744BC"/>
    <w:rsid w:val="003744C4"/>
    <w:rsid w:val="003744CE"/>
    <w:rsid w:val="00374504"/>
    <w:rsid w:val="00374505"/>
    <w:rsid w:val="00374537"/>
    <w:rsid w:val="003745A0"/>
    <w:rsid w:val="003745E2"/>
    <w:rsid w:val="00374628"/>
    <w:rsid w:val="00374683"/>
    <w:rsid w:val="00374686"/>
    <w:rsid w:val="00374704"/>
    <w:rsid w:val="00374763"/>
    <w:rsid w:val="00374786"/>
    <w:rsid w:val="003747B1"/>
    <w:rsid w:val="003747B3"/>
    <w:rsid w:val="003747BC"/>
    <w:rsid w:val="003747C4"/>
    <w:rsid w:val="003747DA"/>
    <w:rsid w:val="003747ED"/>
    <w:rsid w:val="00374862"/>
    <w:rsid w:val="00374887"/>
    <w:rsid w:val="003748F9"/>
    <w:rsid w:val="00374910"/>
    <w:rsid w:val="00374913"/>
    <w:rsid w:val="00374936"/>
    <w:rsid w:val="003749B0"/>
    <w:rsid w:val="00374A06"/>
    <w:rsid w:val="00374A25"/>
    <w:rsid w:val="00374A6A"/>
    <w:rsid w:val="00374AEC"/>
    <w:rsid w:val="00374B0E"/>
    <w:rsid w:val="00374BF2"/>
    <w:rsid w:val="00374BF6"/>
    <w:rsid w:val="00374BF9"/>
    <w:rsid w:val="00374C0B"/>
    <w:rsid w:val="00374C23"/>
    <w:rsid w:val="00374C2C"/>
    <w:rsid w:val="00374C31"/>
    <w:rsid w:val="00374C71"/>
    <w:rsid w:val="00374C74"/>
    <w:rsid w:val="00374C96"/>
    <w:rsid w:val="00374D32"/>
    <w:rsid w:val="00374D36"/>
    <w:rsid w:val="00374E0A"/>
    <w:rsid w:val="00374E4A"/>
    <w:rsid w:val="00374E5C"/>
    <w:rsid w:val="00374EA7"/>
    <w:rsid w:val="00374EC8"/>
    <w:rsid w:val="00374EDE"/>
    <w:rsid w:val="00374EED"/>
    <w:rsid w:val="00374FFB"/>
    <w:rsid w:val="00375025"/>
    <w:rsid w:val="00375092"/>
    <w:rsid w:val="0037511F"/>
    <w:rsid w:val="00375165"/>
    <w:rsid w:val="00375176"/>
    <w:rsid w:val="0037519D"/>
    <w:rsid w:val="003751FC"/>
    <w:rsid w:val="0037527A"/>
    <w:rsid w:val="003752B7"/>
    <w:rsid w:val="003752C9"/>
    <w:rsid w:val="003752E0"/>
    <w:rsid w:val="0037534F"/>
    <w:rsid w:val="003753DA"/>
    <w:rsid w:val="00375454"/>
    <w:rsid w:val="00375458"/>
    <w:rsid w:val="003754B8"/>
    <w:rsid w:val="0037555D"/>
    <w:rsid w:val="003755CC"/>
    <w:rsid w:val="003755FE"/>
    <w:rsid w:val="00375600"/>
    <w:rsid w:val="00375654"/>
    <w:rsid w:val="0037566C"/>
    <w:rsid w:val="00375695"/>
    <w:rsid w:val="00375747"/>
    <w:rsid w:val="00375816"/>
    <w:rsid w:val="00375818"/>
    <w:rsid w:val="0037582B"/>
    <w:rsid w:val="00375841"/>
    <w:rsid w:val="003758B0"/>
    <w:rsid w:val="0037591F"/>
    <w:rsid w:val="00375982"/>
    <w:rsid w:val="003759C3"/>
    <w:rsid w:val="003759E3"/>
    <w:rsid w:val="00375A12"/>
    <w:rsid w:val="00375A44"/>
    <w:rsid w:val="00375A82"/>
    <w:rsid w:val="00375AAB"/>
    <w:rsid w:val="00375AB4"/>
    <w:rsid w:val="00375AEB"/>
    <w:rsid w:val="00375AF4"/>
    <w:rsid w:val="00375B04"/>
    <w:rsid w:val="00375B07"/>
    <w:rsid w:val="00375B45"/>
    <w:rsid w:val="00375B4F"/>
    <w:rsid w:val="00375B8C"/>
    <w:rsid w:val="00375B9F"/>
    <w:rsid w:val="00375BE9"/>
    <w:rsid w:val="00375BF4"/>
    <w:rsid w:val="00375C0F"/>
    <w:rsid w:val="00375C46"/>
    <w:rsid w:val="00375C4A"/>
    <w:rsid w:val="00375C51"/>
    <w:rsid w:val="00375CDF"/>
    <w:rsid w:val="00375CEB"/>
    <w:rsid w:val="00375D25"/>
    <w:rsid w:val="00375DAB"/>
    <w:rsid w:val="00375DF8"/>
    <w:rsid w:val="00375E41"/>
    <w:rsid w:val="00375EA9"/>
    <w:rsid w:val="00375F3F"/>
    <w:rsid w:val="00375F8E"/>
    <w:rsid w:val="00375FCA"/>
    <w:rsid w:val="00375FCE"/>
    <w:rsid w:val="00375FF5"/>
    <w:rsid w:val="00376044"/>
    <w:rsid w:val="0037604C"/>
    <w:rsid w:val="0037606B"/>
    <w:rsid w:val="00376104"/>
    <w:rsid w:val="00376113"/>
    <w:rsid w:val="00376125"/>
    <w:rsid w:val="003761CA"/>
    <w:rsid w:val="003761F2"/>
    <w:rsid w:val="00376226"/>
    <w:rsid w:val="00376228"/>
    <w:rsid w:val="00376237"/>
    <w:rsid w:val="0037624B"/>
    <w:rsid w:val="0037629C"/>
    <w:rsid w:val="003762CD"/>
    <w:rsid w:val="003762D1"/>
    <w:rsid w:val="003762DD"/>
    <w:rsid w:val="00376302"/>
    <w:rsid w:val="00376313"/>
    <w:rsid w:val="00376319"/>
    <w:rsid w:val="00376339"/>
    <w:rsid w:val="0037636A"/>
    <w:rsid w:val="0037639D"/>
    <w:rsid w:val="003763D0"/>
    <w:rsid w:val="003763EF"/>
    <w:rsid w:val="00376444"/>
    <w:rsid w:val="00376446"/>
    <w:rsid w:val="0037647E"/>
    <w:rsid w:val="00376496"/>
    <w:rsid w:val="003764B2"/>
    <w:rsid w:val="00376547"/>
    <w:rsid w:val="003765A6"/>
    <w:rsid w:val="003765AA"/>
    <w:rsid w:val="0037661B"/>
    <w:rsid w:val="0037662E"/>
    <w:rsid w:val="0037662F"/>
    <w:rsid w:val="00376664"/>
    <w:rsid w:val="00376666"/>
    <w:rsid w:val="003766A5"/>
    <w:rsid w:val="003766AE"/>
    <w:rsid w:val="003766D0"/>
    <w:rsid w:val="0037673C"/>
    <w:rsid w:val="00376761"/>
    <w:rsid w:val="00376763"/>
    <w:rsid w:val="0037679E"/>
    <w:rsid w:val="00376847"/>
    <w:rsid w:val="0037685A"/>
    <w:rsid w:val="00376893"/>
    <w:rsid w:val="003768AC"/>
    <w:rsid w:val="00376901"/>
    <w:rsid w:val="00376908"/>
    <w:rsid w:val="00376935"/>
    <w:rsid w:val="0037697E"/>
    <w:rsid w:val="0037698E"/>
    <w:rsid w:val="003769C6"/>
    <w:rsid w:val="003769D2"/>
    <w:rsid w:val="003769E6"/>
    <w:rsid w:val="003769F8"/>
    <w:rsid w:val="00376A20"/>
    <w:rsid w:val="00376A33"/>
    <w:rsid w:val="00376AB9"/>
    <w:rsid w:val="00376AC7"/>
    <w:rsid w:val="00376B81"/>
    <w:rsid w:val="00376BFD"/>
    <w:rsid w:val="00376C05"/>
    <w:rsid w:val="00376C0B"/>
    <w:rsid w:val="00376C16"/>
    <w:rsid w:val="00376C35"/>
    <w:rsid w:val="00376C7E"/>
    <w:rsid w:val="00376CA2"/>
    <w:rsid w:val="00376CCD"/>
    <w:rsid w:val="00376CE8"/>
    <w:rsid w:val="00376D56"/>
    <w:rsid w:val="00376D64"/>
    <w:rsid w:val="00376D89"/>
    <w:rsid w:val="00376D8D"/>
    <w:rsid w:val="00376DF5"/>
    <w:rsid w:val="00376E3F"/>
    <w:rsid w:val="00376E80"/>
    <w:rsid w:val="00376E9F"/>
    <w:rsid w:val="00376EF0"/>
    <w:rsid w:val="00377015"/>
    <w:rsid w:val="00377065"/>
    <w:rsid w:val="00377066"/>
    <w:rsid w:val="0037707B"/>
    <w:rsid w:val="00377096"/>
    <w:rsid w:val="003770FF"/>
    <w:rsid w:val="003771BD"/>
    <w:rsid w:val="003771EB"/>
    <w:rsid w:val="003771F6"/>
    <w:rsid w:val="003771F9"/>
    <w:rsid w:val="0037724E"/>
    <w:rsid w:val="0037726F"/>
    <w:rsid w:val="003772E7"/>
    <w:rsid w:val="003773C7"/>
    <w:rsid w:val="003773CA"/>
    <w:rsid w:val="00377458"/>
    <w:rsid w:val="00377485"/>
    <w:rsid w:val="003774DB"/>
    <w:rsid w:val="003774EF"/>
    <w:rsid w:val="00377534"/>
    <w:rsid w:val="00377567"/>
    <w:rsid w:val="0037757E"/>
    <w:rsid w:val="00377624"/>
    <w:rsid w:val="00377673"/>
    <w:rsid w:val="0037772B"/>
    <w:rsid w:val="0037777A"/>
    <w:rsid w:val="003777C9"/>
    <w:rsid w:val="003777FB"/>
    <w:rsid w:val="003778AD"/>
    <w:rsid w:val="00377960"/>
    <w:rsid w:val="0037798A"/>
    <w:rsid w:val="00377995"/>
    <w:rsid w:val="003779C9"/>
    <w:rsid w:val="003779DF"/>
    <w:rsid w:val="003779F4"/>
    <w:rsid w:val="00377A06"/>
    <w:rsid w:val="00377A26"/>
    <w:rsid w:val="00377A2A"/>
    <w:rsid w:val="00377A6B"/>
    <w:rsid w:val="00377A7E"/>
    <w:rsid w:val="00377AA4"/>
    <w:rsid w:val="00377B4A"/>
    <w:rsid w:val="00377B57"/>
    <w:rsid w:val="00377BA9"/>
    <w:rsid w:val="00377BC3"/>
    <w:rsid w:val="00377C3B"/>
    <w:rsid w:val="00377C3F"/>
    <w:rsid w:val="00377CC3"/>
    <w:rsid w:val="00377D09"/>
    <w:rsid w:val="00377D56"/>
    <w:rsid w:val="00377D77"/>
    <w:rsid w:val="00377D96"/>
    <w:rsid w:val="00377DA1"/>
    <w:rsid w:val="00377DAA"/>
    <w:rsid w:val="00377E10"/>
    <w:rsid w:val="00377E86"/>
    <w:rsid w:val="00377EEA"/>
    <w:rsid w:val="00377EEC"/>
    <w:rsid w:val="00377F04"/>
    <w:rsid w:val="00377F3B"/>
    <w:rsid w:val="00377F47"/>
    <w:rsid w:val="00377F51"/>
    <w:rsid w:val="00377FB3"/>
    <w:rsid w:val="00378533"/>
    <w:rsid w:val="00380005"/>
    <w:rsid w:val="00380025"/>
    <w:rsid w:val="00380040"/>
    <w:rsid w:val="0038005A"/>
    <w:rsid w:val="003800AB"/>
    <w:rsid w:val="003800AC"/>
    <w:rsid w:val="003800B8"/>
    <w:rsid w:val="003800F3"/>
    <w:rsid w:val="0038010F"/>
    <w:rsid w:val="00380133"/>
    <w:rsid w:val="0038014F"/>
    <w:rsid w:val="00380163"/>
    <w:rsid w:val="00380168"/>
    <w:rsid w:val="00380187"/>
    <w:rsid w:val="0038018E"/>
    <w:rsid w:val="003801B4"/>
    <w:rsid w:val="003801CD"/>
    <w:rsid w:val="00380210"/>
    <w:rsid w:val="00380249"/>
    <w:rsid w:val="003802BC"/>
    <w:rsid w:val="003802C4"/>
    <w:rsid w:val="003802E4"/>
    <w:rsid w:val="00380325"/>
    <w:rsid w:val="0038035D"/>
    <w:rsid w:val="003803F0"/>
    <w:rsid w:val="003803FF"/>
    <w:rsid w:val="00380439"/>
    <w:rsid w:val="00380492"/>
    <w:rsid w:val="003804D2"/>
    <w:rsid w:val="00380566"/>
    <w:rsid w:val="00380567"/>
    <w:rsid w:val="0038059C"/>
    <w:rsid w:val="003805DD"/>
    <w:rsid w:val="003805EF"/>
    <w:rsid w:val="00380633"/>
    <w:rsid w:val="00380643"/>
    <w:rsid w:val="00380660"/>
    <w:rsid w:val="00380671"/>
    <w:rsid w:val="00380683"/>
    <w:rsid w:val="003806AF"/>
    <w:rsid w:val="003806BB"/>
    <w:rsid w:val="003806D6"/>
    <w:rsid w:val="003806DD"/>
    <w:rsid w:val="0038072D"/>
    <w:rsid w:val="00380743"/>
    <w:rsid w:val="0038076A"/>
    <w:rsid w:val="003807BA"/>
    <w:rsid w:val="003807EA"/>
    <w:rsid w:val="003807ED"/>
    <w:rsid w:val="003807F8"/>
    <w:rsid w:val="0038080D"/>
    <w:rsid w:val="00380865"/>
    <w:rsid w:val="00380889"/>
    <w:rsid w:val="0038090C"/>
    <w:rsid w:val="0038091A"/>
    <w:rsid w:val="0038094B"/>
    <w:rsid w:val="00380953"/>
    <w:rsid w:val="00380977"/>
    <w:rsid w:val="00380988"/>
    <w:rsid w:val="00380A2B"/>
    <w:rsid w:val="00380A2D"/>
    <w:rsid w:val="00380AAA"/>
    <w:rsid w:val="00380B04"/>
    <w:rsid w:val="00380B20"/>
    <w:rsid w:val="00380C54"/>
    <w:rsid w:val="00380CBF"/>
    <w:rsid w:val="00380D21"/>
    <w:rsid w:val="00380D25"/>
    <w:rsid w:val="00380DE7"/>
    <w:rsid w:val="00380E3D"/>
    <w:rsid w:val="00380E8F"/>
    <w:rsid w:val="00380EB5"/>
    <w:rsid w:val="00380F55"/>
    <w:rsid w:val="00380FAF"/>
    <w:rsid w:val="00380FBE"/>
    <w:rsid w:val="00380FCE"/>
    <w:rsid w:val="00381011"/>
    <w:rsid w:val="00381012"/>
    <w:rsid w:val="00381052"/>
    <w:rsid w:val="00381074"/>
    <w:rsid w:val="00381077"/>
    <w:rsid w:val="00381086"/>
    <w:rsid w:val="00381095"/>
    <w:rsid w:val="003810C8"/>
    <w:rsid w:val="00381106"/>
    <w:rsid w:val="00381108"/>
    <w:rsid w:val="0038113D"/>
    <w:rsid w:val="00381198"/>
    <w:rsid w:val="0038119C"/>
    <w:rsid w:val="003811D2"/>
    <w:rsid w:val="00381267"/>
    <w:rsid w:val="0038126C"/>
    <w:rsid w:val="00381271"/>
    <w:rsid w:val="0038128D"/>
    <w:rsid w:val="003812A1"/>
    <w:rsid w:val="003812ED"/>
    <w:rsid w:val="003812FE"/>
    <w:rsid w:val="00381386"/>
    <w:rsid w:val="003813E1"/>
    <w:rsid w:val="00381498"/>
    <w:rsid w:val="003814AB"/>
    <w:rsid w:val="003814AC"/>
    <w:rsid w:val="003814C3"/>
    <w:rsid w:val="0038150D"/>
    <w:rsid w:val="0038151D"/>
    <w:rsid w:val="00381549"/>
    <w:rsid w:val="00381598"/>
    <w:rsid w:val="0038159C"/>
    <w:rsid w:val="003815F7"/>
    <w:rsid w:val="00381607"/>
    <w:rsid w:val="00381629"/>
    <w:rsid w:val="00381645"/>
    <w:rsid w:val="00381654"/>
    <w:rsid w:val="0038165E"/>
    <w:rsid w:val="00381679"/>
    <w:rsid w:val="00381689"/>
    <w:rsid w:val="00381699"/>
    <w:rsid w:val="003816E4"/>
    <w:rsid w:val="0038179F"/>
    <w:rsid w:val="003817F2"/>
    <w:rsid w:val="00381810"/>
    <w:rsid w:val="00381825"/>
    <w:rsid w:val="0038189F"/>
    <w:rsid w:val="003818FE"/>
    <w:rsid w:val="0038190E"/>
    <w:rsid w:val="00381939"/>
    <w:rsid w:val="00381962"/>
    <w:rsid w:val="00381967"/>
    <w:rsid w:val="003819A4"/>
    <w:rsid w:val="003819AB"/>
    <w:rsid w:val="003819D6"/>
    <w:rsid w:val="00381A37"/>
    <w:rsid w:val="00381A3A"/>
    <w:rsid w:val="00381A4E"/>
    <w:rsid w:val="00381A8B"/>
    <w:rsid w:val="00381A9C"/>
    <w:rsid w:val="00381AC3"/>
    <w:rsid w:val="00381B09"/>
    <w:rsid w:val="00381B37"/>
    <w:rsid w:val="00381B5E"/>
    <w:rsid w:val="00381BAC"/>
    <w:rsid w:val="00381BAE"/>
    <w:rsid w:val="00381C05"/>
    <w:rsid w:val="00381C7B"/>
    <w:rsid w:val="00381C88"/>
    <w:rsid w:val="00381C8B"/>
    <w:rsid w:val="00381C9B"/>
    <w:rsid w:val="00381D0A"/>
    <w:rsid w:val="00381D28"/>
    <w:rsid w:val="00381E5B"/>
    <w:rsid w:val="00381E6B"/>
    <w:rsid w:val="00381E76"/>
    <w:rsid w:val="00381EC2"/>
    <w:rsid w:val="00381EDB"/>
    <w:rsid w:val="00381EF4"/>
    <w:rsid w:val="00381F02"/>
    <w:rsid w:val="00381F17"/>
    <w:rsid w:val="0038200B"/>
    <w:rsid w:val="00382024"/>
    <w:rsid w:val="00382029"/>
    <w:rsid w:val="00382036"/>
    <w:rsid w:val="00382067"/>
    <w:rsid w:val="00382094"/>
    <w:rsid w:val="00382097"/>
    <w:rsid w:val="00382115"/>
    <w:rsid w:val="003821AD"/>
    <w:rsid w:val="003821C9"/>
    <w:rsid w:val="00382208"/>
    <w:rsid w:val="0038226E"/>
    <w:rsid w:val="003822A9"/>
    <w:rsid w:val="003822DA"/>
    <w:rsid w:val="0038235D"/>
    <w:rsid w:val="00382360"/>
    <w:rsid w:val="0038238E"/>
    <w:rsid w:val="003823DA"/>
    <w:rsid w:val="00382417"/>
    <w:rsid w:val="00382439"/>
    <w:rsid w:val="00382462"/>
    <w:rsid w:val="0038249F"/>
    <w:rsid w:val="003824BD"/>
    <w:rsid w:val="0038255F"/>
    <w:rsid w:val="00382576"/>
    <w:rsid w:val="003825F5"/>
    <w:rsid w:val="0038265A"/>
    <w:rsid w:val="0038267D"/>
    <w:rsid w:val="00382730"/>
    <w:rsid w:val="0038274F"/>
    <w:rsid w:val="00382764"/>
    <w:rsid w:val="003827A4"/>
    <w:rsid w:val="003827E1"/>
    <w:rsid w:val="00382881"/>
    <w:rsid w:val="003828CB"/>
    <w:rsid w:val="003828F4"/>
    <w:rsid w:val="003828FB"/>
    <w:rsid w:val="0038294F"/>
    <w:rsid w:val="0038295C"/>
    <w:rsid w:val="00382982"/>
    <w:rsid w:val="00382988"/>
    <w:rsid w:val="003829B3"/>
    <w:rsid w:val="003829C6"/>
    <w:rsid w:val="00382A1F"/>
    <w:rsid w:val="00382B05"/>
    <w:rsid w:val="00382B7E"/>
    <w:rsid w:val="00382D23"/>
    <w:rsid w:val="00382DB2"/>
    <w:rsid w:val="00382E2A"/>
    <w:rsid w:val="00382E2E"/>
    <w:rsid w:val="00382E4D"/>
    <w:rsid w:val="00382E70"/>
    <w:rsid w:val="00382E7E"/>
    <w:rsid w:val="00382EC0"/>
    <w:rsid w:val="00382EC2"/>
    <w:rsid w:val="00382EC6"/>
    <w:rsid w:val="00382EF8"/>
    <w:rsid w:val="00382EFB"/>
    <w:rsid w:val="00382F0F"/>
    <w:rsid w:val="00382F40"/>
    <w:rsid w:val="00382F50"/>
    <w:rsid w:val="00382F57"/>
    <w:rsid w:val="00382FDC"/>
    <w:rsid w:val="00382FE9"/>
    <w:rsid w:val="00383071"/>
    <w:rsid w:val="0038307C"/>
    <w:rsid w:val="00383080"/>
    <w:rsid w:val="0038309E"/>
    <w:rsid w:val="003830AA"/>
    <w:rsid w:val="00383109"/>
    <w:rsid w:val="00383110"/>
    <w:rsid w:val="00383119"/>
    <w:rsid w:val="003831B1"/>
    <w:rsid w:val="003831BE"/>
    <w:rsid w:val="003831E2"/>
    <w:rsid w:val="0038321B"/>
    <w:rsid w:val="0038321E"/>
    <w:rsid w:val="003832B5"/>
    <w:rsid w:val="0038331E"/>
    <w:rsid w:val="0038332F"/>
    <w:rsid w:val="00383333"/>
    <w:rsid w:val="0038336D"/>
    <w:rsid w:val="00383372"/>
    <w:rsid w:val="00383395"/>
    <w:rsid w:val="003833B8"/>
    <w:rsid w:val="003833C0"/>
    <w:rsid w:val="003833C6"/>
    <w:rsid w:val="003833C9"/>
    <w:rsid w:val="003833FE"/>
    <w:rsid w:val="0038344B"/>
    <w:rsid w:val="0038345B"/>
    <w:rsid w:val="003834A4"/>
    <w:rsid w:val="003835CE"/>
    <w:rsid w:val="00383621"/>
    <w:rsid w:val="00383641"/>
    <w:rsid w:val="0038366C"/>
    <w:rsid w:val="003836C2"/>
    <w:rsid w:val="00383703"/>
    <w:rsid w:val="003837A6"/>
    <w:rsid w:val="003837B1"/>
    <w:rsid w:val="003837C9"/>
    <w:rsid w:val="003837D9"/>
    <w:rsid w:val="00383807"/>
    <w:rsid w:val="00383845"/>
    <w:rsid w:val="00383872"/>
    <w:rsid w:val="003838FB"/>
    <w:rsid w:val="00383941"/>
    <w:rsid w:val="00383957"/>
    <w:rsid w:val="00383960"/>
    <w:rsid w:val="00383988"/>
    <w:rsid w:val="0038399E"/>
    <w:rsid w:val="003839C7"/>
    <w:rsid w:val="003839D6"/>
    <w:rsid w:val="003839DD"/>
    <w:rsid w:val="003839F5"/>
    <w:rsid w:val="00383A02"/>
    <w:rsid w:val="00383A1B"/>
    <w:rsid w:val="00383A47"/>
    <w:rsid w:val="00383A5C"/>
    <w:rsid w:val="00383ADC"/>
    <w:rsid w:val="00383AFF"/>
    <w:rsid w:val="00383B01"/>
    <w:rsid w:val="00383B0E"/>
    <w:rsid w:val="00383B18"/>
    <w:rsid w:val="00383B1F"/>
    <w:rsid w:val="00383B3A"/>
    <w:rsid w:val="00383BC2"/>
    <w:rsid w:val="00383BD8"/>
    <w:rsid w:val="00383C2A"/>
    <w:rsid w:val="00383CBD"/>
    <w:rsid w:val="00383CDB"/>
    <w:rsid w:val="00383D9E"/>
    <w:rsid w:val="00383DDA"/>
    <w:rsid w:val="00383DE1"/>
    <w:rsid w:val="00383E05"/>
    <w:rsid w:val="00383E28"/>
    <w:rsid w:val="00383E48"/>
    <w:rsid w:val="00383E93"/>
    <w:rsid w:val="00383EE3"/>
    <w:rsid w:val="00383F32"/>
    <w:rsid w:val="00383F4D"/>
    <w:rsid w:val="00383FCB"/>
    <w:rsid w:val="00383FF6"/>
    <w:rsid w:val="0038401E"/>
    <w:rsid w:val="00384020"/>
    <w:rsid w:val="003840FE"/>
    <w:rsid w:val="00384125"/>
    <w:rsid w:val="00384148"/>
    <w:rsid w:val="00384187"/>
    <w:rsid w:val="003841C7"/>
    <w:rsid w:val="003841F0"/>
    <w:rsid w:val="0038422D"/>
    <w:rsid w:val="00384285"/>
    <w:rsid w:val="00384296"/>
    <w:rsid w:val="00384304"/>
    <w:rsid w:val="00384324"/>
    <w:rsid w:val="00384392"/>
    <w:rsid w:val="003843D5"/>
    <w:rsid w:val="003843EC"/>
    <w:rsid w:val="0038442A"/>
    <w:rsid w:val="00384432"/>
    <w:rsid w:val="0038443B"/>
    <w:rsid w:val="00384459"/>
    <w:rsid w:val="003844B6"/>
    <w:rsid w:val="003844C9"/>
    <w:rsid w:val="00384524"/>
    <w:rsid w:val="003845C4"/>
    <w:rsid w:val="003845E1"/>
    <w:rsid w:val="003846DE"/>
    <w:rsid w:val="0038470B"/>
    <w:rsid w:val="003847B0"/>
    <w:rsid w:val="0038480C"/>
    <w:rsid w:val="003848A4"/>
    <w:rsid w:val="003848B8"/>
    <w:rsid w:val="003848DB"/>
    <w:rsid w:val="0038490B"/>
    <w:rsid w:val="00384921"/>
    <w:rsid w:val="00384956"/>
    <w:rsid w:val="0038495C"/>
    <w:rsid w:val="003849F0"/>
    <w:rsid w:val="00384A02"/>
    <w:rsid w:val="00384A21"/>
    <w:rsid w:val="00384B7C"/>
    <w:rsid w:val="00384C0E"/>
    <w:rsid w:val="00384C14"/>
    <w:rsid w:val="00384C87"/>
    <w:rsid w:val="00384CAB"/>
    <w:rsid w:val="00384D2D"/>
    <w:rsid w:val="00384D8E"/>
    <w:rsid w:val="00384DB4"/>
    <w:rsid w:val="00384DD8"/>
    <w:rsid w:val="00384E1E"/>
    <w:rsid w:val="00384E22"/>
    <w:rsid w:val="00384E55"/>
    <w:rsid w:val="00384E98"/>
    <w:rsid w:val="00384EE0"/>
    <w:rsid w:val="00384EFD"/>
    <w:rsid w:val="00384F06"/>
    <w:rsid w:val="00384F0C"/>
    <w:rsid w:val="00384F54"/>
    <w:rsid w:val="00385001"/>
    <w:rsid w:val="00385009"/>
    <w:rsid w:val="0038500C"/>
    <w:rsid w:val="00385029"/>
    <w:rsid w:val="00385041"/>
    <w:rsid w:val="00385047"/>
    <w:rsid w:val="0038504C"/>
    <w:rsid w:val="00385075"/>
    <w:rsid w:val="003850FB"/>
    <w:rsid w:val="0038511E"/>
    <w:rsid w:val="003851C7"/>
    <w:rsid w:val="003851E3"/>
    <w:rsid w:val="00385246"/>
    <w:rsid w:val="0038526F"/>
    <w:rsid w:val="00385281"/>
    <w:rsid w:val="003852B6"/>
    <w:rsid w:val="00385333"/>
    <w:rsid w:val="00385413"/>
    <w:rsid w:val="00385437"/>
    <w:rsid w:val="0038548A"/>
    <w:rsid w:val="003854DA"/>
    <w:rsid w:val="00385533"/>
    <w:rsid w:val="003855B2"/>
    <w:rsid w:val="00385634"/>
    <w:rsid w:val="003856B1"/>
    <w:rsid w:val="003856BB"/>
    <w:rsid w:val="003856F8"/>
    <w:rsid w:val="00385781"/>
    <w:rsid w:val="00385794"/>
    <w:rsid w:val="003857A6"/>
    <w:rsid w:val="003857AF"/>
    <w:rsid w:val="003857CF"/>
    <w:rsid w:val="003857E3"/>
    <w:rsid w:val="00385846"/>
    <w:rsid w:val="00385886"/>
    <w:rsid w:val="0038588A"/>
    <w:rsid w:val="0038591A"/>
    <w:rsid w:val="0038591E"/>
    <w:rsid w:val="00385932"/>
    <w:rsid w:val="0038597C"/>
    <w:rsid w:val="003859A2"/>
    <w:rsid w:val="003859B7"/>
    <w:rsid w:val="003859EE"/>
    <w:rsid w:val="00385AE2"/>
    <w:rsid w:val="00385B77"/>
    <w:rsid w:val="00385B7E"/>
    <w:rsid w:val="00385B81"/>
    <w:rsid w:val="00385B88"/>
    <w:rsid w:val="00385B90"/>
    <w:rsid w:val="00385BBE"/>
    <w:rsid w:val="00385BCB"/>
    <w:rsid w:val="00385C44"/>
    <w:rsid w:val="00385C8E"/>
    <w:rsid w:val="00385CD0"/>
    <w:rsid w:val="00385D02"/>
    <w:rsid w:val="00385D14"/>
    <w:rsid w:val="00385D36"/>
    <w:rsid w:val="00385D52"/>
    <w:rsid w:val="00385D6D"/>
    <w:rsid w:val="00385D86"/>
    <w:rsid w:val="00385DCF"/>
    <w:rsid w:val="00385DDD"/>
    <w:rsid w:val="00385E2C"/>
    <w:rsid w:val="00385E2D"/>
    <w:rsid w:val="00385E61"/>
    <w:rsid w:val="00385EA6"/>
    <w:rsid w:val="00385EBD"/>
    <w:rsid w:val="00385ECB"/>
    <w:rsid w:val="00385EFE"/>
    <w:rsid w:val="00385F37"/>
    <w:rsid w:val="00385F68"/>
    <w:rsid w:val="00385F86"/>
    <w:rsid w:val="00385F8F"/>
    <w:rsid w:val="00385FD7"/>
    <w:rsid w:val="00385FF8"/>
    <w:rsid w:val="00386059"/>
    <w:rsid w:val="0038606D"/>
    <w:rsid w:val="003860CE"/>
    <w:rsid w:val="003860FA"/>
    <w:rsid w:val="0038612B"/>
    <w:rsid w:val="0038616A"/>
    <w:rsid w:val="00386176"/>
    <w:rsid w:val="00386183"/>
    <w:rsid w:val="003861CF"/>
    <w:rsid w:val="003861FA"/>
    <w:rsid w:val="00386256"/>
    <w:rsid w:val="00386286"/>
    <w:rsid w:val="003862EA"/>
    <w:rsid w:val="0038633B"/>
    <w:rsid w:val="00386451"/>
    <w:rsid w:val="00386456"/>
    <w:rsid w:val="00386468"/>
    <w:rsid w:val="00386483"/>
    <w:rsid w:val="0038648C"/>
    <w:rsid w:val="00386591"/>
    <w:rsid w:val="0038659A"/>
    <w:rsid w:val="003865A1"/>
    <w:rsid w:val="003865B5"/>
    <w:rsid w:val="003865EA"/>
    <w:rsid w:val="00386605"/>
    <w:rsid w:val="0038660E"/>
    <w:rsid w:val="0038661B"/>
    <w:rsid w:val="003866E9"/>
    <w:rsid w:val="003866F7"/>
    <w:rsid w:val="0038670C"/>
    <w:rsid w:val="00386715"/>
    <w:rsid w:val="00386716"/>
    <w:rsid w:val="0038672D"/>
    <w:rsid w:val="00386752"/>
    <w:rsid w:val="00386834"/>
    <w:rsid w:val="0038683B"/>
    <w:rsid w:val="003868AD"/>
    <w:rsid w:val="003868E8"/>
    <w:rsid w:val="0038694E"/>
    <w:rsid w:val="0038697B"/>
    <w:rsid w:val="003869E3"/>
    <w:rsid w:val="00386A0B"/>
    <w:rsid w:val="00386A74"/>
    <w:rsid w:val="00386A95"/>
    <w:rsid w:val="00386AB5"/>
    <w:rsid w:val="00386B59"/>
    <w:rsid w:val="00386B6F"/>
    <w:rsid w:val="00386B88"/>
    <w:rsid w:val="00386BAF"/>
    <w:rsid w:val="00386BBA"/>
    <w:rsid w:val="00386BD6"/>
    <w:rsid w:val="00386BEA"/>
    <w:rsid w:val="00386C40"/>
    <w:rsid w:val="00386C49"/>
    <w:rsid w:val="00386C51"/>
    <w:rsid w:val="00386CF1"/>
    <w:rsid w:val="00386D28"/>
    <w:rsid w:val="00386D67"/>
    <w:rsid w:val="00386D8A"/>
    <w:rsid w:val="00386D9D"/>
    <w:rsid w:val="00386DDB"/>
    <w:rsid w:val="00386DF9"/>
    <w:rsid w:val="00386E9D"/>
    <w:rsid w:val="00386ECB"/>
    <w:rsid w:val="00386F13"/>
    <w:rsid w:val="00386F4F"/>
    <w:rsid w:val="00386F76"/>
    <w:rsid w:val="00386FB5"/>
    <w:rsid w:val="00386FC9"/>
    <w:rsid w:val="00387015"/>
    <w:rsid w:val="0038701E"/>
    <w:rsid w:val="003870A9"/>
    <w:rsid w:val="00387121"/>
    <w:rsid w:val="0038713E"/>
    <w:rsid w:val="0038715A"/>
    <w:rsid w:val="0038715F"/>
    <w:rsid w:val="003871B2"/>
    <w:rsid w:val="003871B4"/>
    <w:rsid w:val="003871FC"/>
    <w:rsid w:val="00387232"/>
    <w:rsid w:val="00387234"/>
    <w:rsid w:val="003872AD"/>
    <w:rsid w:val="003872C4"/>
    <w:rsid w:val="0038732F"/>
    <w:rsid w:val="00387331"/>
    <w:rsid w:val="0038736F"/>
    <w:rsid w:val="0038738C"/>
    <w:rsid w:val="0038739C"/>
    <w:rsid w:val="0038740D"/>
    <w:rsid w:val="00387437"/>
    <w:rsid w:val="00387462"/>
    <w:rsid w:val="003874A7"/>
    <w:rsid w:val="003874D6"/>
    <w:rsid w:val="00387514"/>
    <w:rsid w:val="003875A3"/>
    <w:rsid w:val="003875C5"/>
    <w:rsid w:val="003875EB"/>
    <w:rsid w:val="00387688"/>
    <w:rsid w:val="003876E8"/>
    <w:rsid w:val="003876F0"/>
    <w:rsid w:val="00387762"/>
    <w:rsid w:val="003877BA"/>
    <w:rsid w:val="003877ED"/>
    <w:rsid w:val="00387879"/>
    <w:rsid w:val="003878AF"/>
    <w:rsid w:val="0038794C"/>
    <w:rsid w:val="003879EE"/>
    <w:rsid w:val="00387A3C"/>
    <w:rsid w:val="00387A99"/>
    <w:rsid w:val="00387A9F"/>
    <w:rsid w:val="00387AB9"/>
    <w:rsid w:val="00387ABB"/>
    <w:rsid w:val="00387AC9"/>
    <w:rsid w:val="00387AD7"/>
    <w:rsid w:val="00387AE1"/>
    <w:rsid w:val="00387B8C"/>
    <w:rsid w:val="00387BB0"/>
    <w:rsid w:val="00387BBE"/>
    <w:rsid w:val="00387BC2"/>
    <w:rsid w:val="00387BDF"/>
    <w:rsid w:val="00387C1E"/>
    <w:rsid w:val="00387CD1"/>
    <w:rsid w:val="00387CFB"/>
    <w:rsid w:val="00387D06"/>
    <w:rsid w:val="00387D3E"/>
    <w:rsid w:val="00387D5F"/>
    <w:rsid w:val="00387D66"/>
    <w:rsid w:val="00387D78"/>
    <w:rsid w:val="00387D7C"/>
    <w:rsid w:val="00387D88"/>
    <w:rsid w:val="00387DBE"/>
    <w:rsid w:val="00387E4A"/>
    <w:rsid w:val="00387E7E"/>
    <w:rsid w:val="00387E9F"/>
    <w:rsid w:val="00387ED0"/>
    <w:rsid w:val="00387F0C"/>
    <w:rsid w:val="00387F2C"/>
    <w:rsid w:val="00387FA7"/>
    <w:rsid w:val="00387FAB"/>
    <w:rsid w:val="00387FBC"/>
    <w:rsid w:val="0038D87F"/>
    <w:rsid w:val="0038E392"/>
    <w:rsid w:val="00390011"/>
    <w:rsid w:val="0039007B"/>
    <w:rsid w:val="00390093"/>
    <w:rsid w:val="00390104"/>
    <w:rsid w:val="0039018E"/>
    <w:rsid w:val="003901C5"/>
    <w:rsid w:val="003901DA"/>
    <w:rsid w:val="003901EC"/>
    <w:rsid w:val="003902DE"/>
    <w:rsid w:val="00390359"/>
    <w:rsid w:val="0039036F"/>
    <w:rsid w:val="00390444"/>
    <w:rsid w:val="00390451"/>
    <w:rsid w:val="0039046D"/>
    <w:rsid w:val="003904A8"/>
    <w:rsid w:val="003904BC"/>
    <w:rsid w:val="00390531"/>
    <w:rsid w:val="00390597"/>
    <w:rsid w:val="003905A1"/>
    <w:rsid w:val="003905C9"/>
    <w:rsid w:val="003905EA"/>
    <w:rsid w:val="003905F8"/>
    <w:rsid w:val="0039061E"/>
    <w:rsid w:val="0039062F"/>
    <w:rsid w:val="00390644"/>
    <w:rsid w:val="003906A8"/>
    <w:rsid w:val="003907F2"/>
    <w:rsid w:val="00390820"/>
    <w:rsid w:val="00390824"/>
    <w:rsid w:val="00390850"/>
    <w:rsid w:val="00390893"/>
    <w:rsid w:val="003908AF"/>
    <w:rsid w:val="003908B9"/>
    <w:rsid w:val="003908DD"/>
    <w:rsid w:val="00390927"/>
    <w:rsid w:val="00390939"/>
    <w:rsid w:val="0039096E"/>
    <w:rsid w:val="0039099B"/>
    <w:rsid w:val="003909C3"/>
    <w:rsid w:val="003909C7"/>
    <w:rsid w:val="003909FE"/>
    <w:rsid w:val="00390A2C"/>
    <w:rsid w:val="00390A56"/>
    <w:rsid w:val="00390A90"/>
    <w:rsid w:val="00390B17"/>
    <w:rsid w:val="00390B38"/>
    <w:rsid w:val="00390B80"/>
    <w:rsid w:val="00390BAE"/>
    <w:rsid w:val="00390BC8"/>
    <w:rsid w:val="00390BD5"/>
    <w:rsid w:val="00390BE0"/>
    <w:rsid w:val="00390C02"/>
    <w:rsid w:val="00390C16"/>
    <w:rsid w:val="00390C40"/>
    <w:rsid w:val="00390C6C"/>
    <w:rsid w:val="00390C6E"/>
    <w:rsid w:val="00390C6F"/>
    <w:rsid w:val="00390CA3"/>
    <w:rsid w:val="00390DB9"/>
    <w:rsid w:val="00390DCB"/>
    <w:rsid w:val="00390EC6"/>
    <w:rsid w:val="00390ECD"/>
    <w:rsid w:val="00390EE8"/>
    <w:rsid w:val="00390F04"/>
    <w:rsid w:val="00390F33"/>
    <w:rsid w:val="00390F3C"/>
    <w:rsid w:val="00390F4F"/>
    <w:rsid w:val="00390F82"/>
    <w:rsid w:val="00390FB8"/>
    <w:rsid w:val="00390FF1"/>
    <w:rsid w:val="0039106C"/>
    <w:rsid w:val="00391097"/>
    <w:rsid w:val="003910C2"/>
    <w:rsid w:val="003910F7"/>
    <w:rsid w:val="00391105"/>
    <w:rsid w:val="0039111E"/>
    <w:rsid w:val="00391172"/>
    <w:rsid w:val="00391186"/>
    <w:rsid w:val="003911B1"/>
    <w:rsid w:val="0039124F"/>
    <w:rsid w:val="003912AB"/>
    <w:rsid w:val="003912CF"/>
    <w:rsid w:val="003912F7"/>
    <w:rsid w:val="00391303"/>
    <w:rsid w:val="00391323"/>
    <w:rsid w:val="00391324"/>
    <w:rsid w:val="0039132D"/>
    <w:rsid w:val="00391336"/>
    <w:rsid w:val="0039136C"/>
    <w:rsid w:val="003913F2"/>
    <w:rsid w:val="003913F5"/>
    <w:rsid w:val="00391411"/>
    <w:rsid w:val="00391493"/>
    <w:rsid w:val="003914CA"/>
    <w:rsid w:val="00391512"/>
    <w:rsid w:val="00391528"/>
    <w:rsid w:val="003915B0"/>
    <w:rsid w:val="0039164F"/>
    <w:rsid w:val="0039168F"/>
    <w:rsid w:val="003916AE"/>
    <w:rsid w:val="0039181F"/>
    <w:rsid w:val="0039184F"/>
    <w:rsid w:val="0039185A"/>
    <w:rsid w:val="0039186C"/>
    <w:rsid w:val="0039188B"/>
    <w:rsid w:val="003918BA"/>
    <w:rsid w:val="0039190B"/>
    <w:rsid w:val="003919C1"/>
    <w:rsid w:val="003919DB"/>
    <w:rsid w:val="003919DE"/>
    <w:rsid w:val="00391A60"/>
    <w:rsid w:val="00391B06"/>
    <w:rsid w:val="00391B8B"/>
    <w:rsid w:val="00391BF2"/>
    <w:rsid w:val="00391C2D"/>
    <w:rsid w:val="00391C96"/>
    <w:rsid w:val="00391D2A"/>
    <w:rsid w:val="00391D64"/>
    <w:rsid w:val="00391D6A"/>
    <w:rsid w:val="00391D75"/>
    <w:rsid w:val="00391D86"/>
    <w:rsid w:val="00391DCE"/>
    <w:rsid w:val="00391F06"/>
    <w:rsid w:val="00391F97"/>
    <w:rsid w:val="00391F98"/>
    <w:rsid w:val="00391FCD"/>
    <w:rsid w:val="00391FD1"/>
    <w:rsid w:val="00391FE3"/>
    <w:rsid w:val="00392077"/>
    <w:rsid w:val="003920A5"/>
    <w:rsid w:val="003920B5"/>
    <w:rsid w:val="003920B7"/>
    <w:rsid w:val="0039215A"/>
    <w:rsid w:val="0039216A"/>
    <w:rsid w:val="0039218D"/>
    <w:rsid w:val="003921BB"/>
    <w:rsid w:val="003921FD"/>
    <w:rsid w:val="00392207"/>
    <w:rsid w:val="0039220E"/>
    <w:rsid w:val="00392213"/>
    <w:rsid w:val="00392215"/>
    <w:rsid w:val="0039223E"/>
    <w:rsid w:val="00392294"/>
    <w:rsid w:val="003922C8"/>
    <w:rsid w:val="003922E5"/>
    <w:rsid w:val="0039232C"/>
    <w:rsid w:val="00392335"/>
    <w:rsid w:val="00392388"/>
    <w:rsid w:val="003923AB"/>
    <w:rsid w:val="003923F4"/>
    <w:rsid w:val="0039244F"/>
    <w:rsid w:val="00392498"/>
    <w:rsid w:val="0039251C"/>
    <w:rsid w:val="0039253C"/>
    <w:rsid w:val="00392552"/>
    <w:rsid w:val="00392567"/>
    <w:rsid w:val="00392575"/>
    <w:rsid w:val="00392582"/>
    <w:rsid w:val="003925F5"/>
    <w:rsid w:val="00392621"/>
    <w:rsid w:val="0039264C"/>
    <w:rsid w:val="0039265F"/>
    <w:rsid w:val="00392661"/>
    <w:rsid w:val="00392675"/>
    <w:rsid w:val="0039267E"/>
    <w:rsid w:val="003926DA"/>
    <w:rsid w:val="00392718"/>
    <w:rsid w:val="0039272F"/>
    <w:rsid w:val="00392737"/>
    <w:rsid w:val="0039273F"/>
    <w:rsid w:val="0039276A"/>
    <w:rsid w:val="0039278F"/>
    <w:rsid w:val="003927A2"/>
    <w:rsid w:val="003927AC"/>
    <w:rsid w:val="003927BB"/>
    <w:rsid w:val="003927D7"/>
    <w:rsid w:val="003927FD"/>
    <w:rsid w:val="00392875"/>
    <w:rsid w:val="00392933"/>
    <w:rsid w:val="00392934"/>
    <w:rsid w:val="00392A2F"/>
    <w:rsid w:val="00392A82"/>
    <w:rsid w:val="00392AB3"/>
    <w:rsid w:val="00392B4D"/>
    <w:rsid w:val="00392B5A"/>
    <w:rsid w:val="00392B8E"/>
    <w:rsid w:val="00392BE0"/>
    <w:rsid w:val="00392CEA"/>
    <w:rsid w:val="00392CEE"/>
    <w:rsid w:val="00392D1A"/>
    <w:rsid w:val="00392D20"/>
    <w:rsid w:val="00392D33"/>
    <w:rsid w:val="00392D37"/>
    <w:rsid w:val="00392DAB"/>
    <w:rsid w:val="00392DE6"/>
    <w:rsid w:val="00392DF5"/>
    <w:rsid w:val="00392E3C"/>
    <w:rsid w:val="00392E7E"/>
    <w:rsid w:val="00392E94"/>
    <w:rsid w:val="00392E96"/>
    <w:rsid w:val="00392EAC"/>
    <w:rsid w:val="00392F28"/>
    <w:rsid w:val="00392F4D"/>
    <w:rsid w:val="00392F5E"/>
    <w:rsid w:val="00392F9E"/>
    <w:rsid w:val="0039301D"/>
    <w:rsid w:val="00393021"/>
    <w:rsid w:val="003930AD"/>
    <w:rsid w:val="003930DE"/>
    <w:rsid w:val="003931F2"/>
    <w:rsid w:val="00393220"/>
    <w:rsid w:val="003932F8"/>
    <w:rsid w:val="0039331C"/>
    <w:rsid w:val="00393359"/>
    <w:rsid w:val="00393365"/>
    <w:rsid w:val="003933D6"/>
    <w:rsid w:val="003933F4"/>
    <w:rsid w:val="003933F8"/>
    <w:rsid w:val="00393424"/>
    <w:rsid w:val="00393438"/>
    <w:rsid w:val="00393452"/>
    <w:rsid w:val="00393458"/>
    <w:rsid w:val="00393491"/>
    <w:rsid w:val="00393496"/>
    <w:rsid w:val="0039359F"/>
    <w:rsid w:val="003935C6"/>
    <w:rsid w:val="003935CA"/>
    <w:rsid w:val="003935FC"/>
    <w:rsid w:val="00393610"/>
    <w:rsid w:val="00393623"/>
    <w:rsid w:val="0039362A"/>
    <w:rsid w:val="00393688"/>
    <w:rsid w:val="003936B6"/>
    <w:rsid w:val="00393703"/>
    <w:rsid w:val="00393737"/>
    <w:rsid w:val="00393742"/>
    <w:rsid w:val="0039374B"/>
    <w:rsid w:val="00393767"/>
    <w:rsid w:val="00393779"/>
    <w:rsid w:val="00393784"/>
    <w:rsid w:val="003937BF"/>
    <w:rsid w:val="0039383D"/>
    <w:rsid w:val="00393867"/>
    <w:rsid w:val="003938C4"/>
    <w:rsid w:val="00393928"/>
    <w:rsid w:val="0039394D"/>
    <w:rsid w:val="0039395B"/>
    <w:rsid w:val="00393A0D"/>
    <w:rsid w:val="00393A26"/>
    <w:rsid w:val="00393A35"/>
    <w:rsid w:val="00393ACB"/>
    <w:rsid w:val="00393B1A"/>
    <w:rsid w:val="00393BAB"/>
    <w:rsid w:val="00393BED"/>
    <w:rsid w:val="00393C15"/>
    <w:rsid w:val="00393C99"/>
    <w:rsid w:val="00393CC4"/>
    <w:rsid w:val="00393CD1"/>
    <w:rsid w:val="00393D2F"/>
    <w:rsid w:val="00393D35"/>
    <w:rsid w:val="00393D40"/>
    <w:rsid w:val="00393D5B"/>
    <w:rsid w:val="00393DB0"/>
    <w:rsid w:val="00393DB6"/>
    <w:rsid w:val="00393DC6"/>
    <w:rsid w:val="00393E47"/>
    <w:rsid w:val="00393E5B"/>
    <w:rsid w:val="00393F1B"/>
    <w:rsid w:val="00393F1E"/>
    <w:rsid w:val="00393F7A"/>
    <w:rsid w:val="00393FB0"/>
    <w:rsid w:val="00393FB3"/>
    <w:rsid w:val="00394098"/>
    <w:rsid w:val="003940A6"/>
    <w:rsid w:val="003940D5"/>
    <w:rsid w:val="0039411D"/>
    <w:rsid w:val="00394136"/>
    <w:rsid w:val="00394162"/>
    <w:rsid w:val="0039418F"/>
    <w:rsid w:val="003941CA"/>
    <w:rsid w:val="003941CB"/>
    <w:rsid w:val="003941E2"/>
    <w:rsid w:val="00394201"/>
    <w:rsid w:val="00394206"/>
    <w:rsid w:val="0039425D"/>
    <w:rsid w:val="00394264"/>
    <w:rsid w:val="00394297"/>
    <w:rsid w:val="003942D6"/>
    <w:rsid w:val="00394317"/>
    <w:rsid w:val="0039432B"/>
    <w:rsid w:val="00394346"/>
    <w:rsid w:val="003943CB"/>
    <w:rsid w:val="003943DF"/>
    <w:rsid w:val="00394422"/>
    <w:rsid w:val="003944EF"/>
    <w:rsid w:val="00394589"/>
    <w:rsid w:val="00394597"/>
    <w:rsid w:val="003945AD"/>
    <w:rsid w:val="003945DF"/>
    <w:rsid w:val="003945E2"/>
    <w:rsid w:val="003945F8"/>
    <w:rsid w:val="0039460C"/>
    <w:rsid w:val="00394618"/>
    <w:rsid w:val="00394626"/>
    <w:rsid w:val="00394668"/>
    <w:rsid w:val="003946C0"/>
    <w:rsid w:val="003946D3"/>
    <w:rsid w:val="003946E6"/>
    <w:rsid w:val="00394706"/>
    <w:rsid w:val="0039477F"/>
    <w:rsid w:val="0039478C"/>
    <w:rsid w:val="003947AE"/>
    <w:rsid w:val="003947E4"/>
    <w:rsid w:val="00394874"/>
    <w:rsid w:val="0039489A"/>
    <w:rsid w:val="00394905"/>
    <w:rsid w:val="00394906"/>
    <w:rsid w:val="00394988"/>
    <w:rsid w:val="00394995"/>
    <w:rsid w:val="00394A1A"/>
    <w:rsid w:val="00394A42"/>
    <w:rsid w:val="00394A47"/>
    <w:rsid w:val="00394A7F"/>
    <w:rsid w:val="00394B12"/>
    <w:rsid w:val="00394B79"/>
    <w:rsid w:val="00394BA3"/>
    <w:rsid w:val="00394BB5"/>
    <w:rsid w:val="00394BC9"/>
    <w:rsid w:val="00394BD4"/>
    <w:rsid w:val="00394BFE"/>
    <w:rsid w:val="00394C1D"/>
    <w:rsid w:val="00394C2F"/>
    <w:rsid w:val="00394C40"/>
    <w:rsid w:val="00394C45"/>
    <w:rsid w:val="00394CB9"/>
    <w:rsid w:val="00394CC3"/>
    <w:rsid w:val="00394CEC"/>
    <w:rsid w:val="00394D7A"/>
    <w:rsid w:val="00394D89"/>
    <w:rsid w:val="00394DD1"/>
    <w:rsid w:val="00394E2D"/>
    <w:rsid w:val="00394FAD"/>
    <w:rsid w:val="00394FB0"/>
    <w:rsid w:val="00395008"/>
    <w:rsid w:val="00395011"/>
    <w:rsid w:val="0039501B"/>
    <w:rsid w:val="0039501E"/>
    <w:rsid w:val="0039504B"/>
    <w:rsid w:val="00395063"/>
    <w:rsid w:val="00395080"/>
    <w:rsid w:val="0039509C"/>
    <w:rsid w:val="003950B7"/>
    <w:rsid w:val="00395103"/>
    <w:rsid w:val="00395124"/>
    <w:rsid w:val="00395195"/>
    <w:rsid w:val="00395201"/>
    <w:rsid w:val="00395223"/>
    <w:rsid w:val="00395235"/>
    <w:rsid w:val="00395265"/>
    <w:rsid w:val="00395266"/>
    <w:rsid w:val="0039527F"/>
    <w:rsid w:val="00395297"/>
    <w:rsid w:val="003952B7"/>
    <w:rsid w:val="003952F3"/>
    <w:rsid w:val="00395369"/>
    <w:rsid w:val="003953DD"/>
    <w:rsid w:val="00395407"/>
    <w:rsid w:val="00395429"/>
    <w:rsid w:val="0039545C"/>
    <w:rsid w:val="0039545D"/>
    <w:rsid w:val="00395491"/>
    <w:rsid w:val="0039549B"/>
    <w:rsid w:val="003954E5"/>
    <w:rsid w:val="003955B1"/>
    <w:rsid w:val="003955BF"/>
    <w:rsid w:val="003955C3"/>
    <w:rsid w:val="003955FB"/>
    <w:rsid w:val="00395623"/>
    <w:rsid w:val="003956DD"/>
    <w:rsid w:val="003956FE"/>
    <w:rsid w:val="003957AB"/>
    <w:rsid w:val="003957FB"/>
    <w:rsid w:val="0039580B"/>
    <w:rsid w:val="003958C4"/>
    <w:rsid w:val="00395937"/>
    <w:rsid w:val="00395967"/>
    <w:rsid w:val="00395974"/>
    <w:rsid w:val="003959CB"/>
    <w:rsid w:val="003959CE"/>
    <w:rsid w:val="00395A14"/>
    <w:rsid w:val="00395A40"/>
    <w:rsid w:val="00395A54"/>
    <w:rsid w:val="00395A77"/>
    <w:rsid w:val="00395AD8"/>
    <w:rsid w:val="00395AE0"/>
    <w:rsid w:val="00395BD0"/>
    <w:rsid w:val="00395C27"/>
    <w:rsid w:val="00395C5A"/>
    <w:rsid w:val="00395C8F"/>
    <w:rsid w:val="00395CB0"/>
    <w:rsid w:val="00395CC0"/>
    <w:rsid w:val="00395CDF"/>
    <w:rsid w:val="00395CEF"/>
    <w:rsid w:val="00395D06"/>
    <w:rsid w:val="00395D8A"/>
    <w:rsid w:val="00395D8E"/>
    <w:rsid w:val="00395DD2"/>
    <w:rsid w:val="00395EFC"/>
    <w:rsid w:val="00395F22"/>
    <w:rsid w:val="00396011"/>
    <w:rsid w:val="0039607A"/>
    <w:rsid w:val="003960C6"/>
    <w:rsid w:val="003960D3"/>
    <w:rsid w:val="0039610D"/>
    <w:rsid w:val="00396129"/>
    <w:rsid w:val="00396136"/>
    <w:rsid w:val="00396169"/>
    <w:rsid w:val="00396170"/>
    <w:rsid w:val="003961CC"/>
    <w:rsid w:val="003961E0"/>
    <w:rsid w:val="00396233"/>
    <w:rsid w:val="0039625E"/>
    <w:rsid w:val="00396291"/>
    <w:rsid w:val="003962D8"/>
    <w:rsid w:val="003962FB"/>
    <w:rsid w:val="0039636C"/>
    <w:rsid w:val="00396383"/>
    <w:rsid w:val="0039638A"/>
    <w:rsid w:val="0039638F"/>
    <w:rsid w:val="0039639D"/>
    <w:rsid w:val="00396429"/>
    <w:rsid w:val="0039649C"/>
    <w:rsid w:val="003964BE"/>
    <w:rsid w:val="00396514"/>
    <w:rsid w:val="0039652C"/>
    <w:rsid w:val="00396559"/>
    <w:rsid w:val="00396579"/>
    <w:rsid w:val="0039658D"/>
    <w:rsid w:val="003965A3"/>
    <w:rsid w:val="003965CA"/>
    <w:rsid w:val="00396606"/>
    <w:rsid w:val="00396609"/>
    <w:rsid w:val="00396654"/>
    <w:rsid w:val="0039667A"/>
    <w:rsid w:val="0039668F"/>
    <w:rsid w:val="003966EC"/>
    <w:rsid w:val="0039670F"/>
    <w:rsid w:val="00396737"/>
    <w:rsid w:val="003967C9"/>
    <w:rsid w:val="003967F9"/>
    <w:rsid w:val="00396838"/>
    <w:rsid w:val="0039683C"/>
    <w:rsid w:val="00396877"/>
    <w:rsid w:val="0039689C"/>
    <w:rsid w:val="00396968"/>
    <w:rsid w:val="00396A49"/>
    <w:rsid w:val="00396A5E"/>
    <w:rsid w:val="00396A65"/>
    <w:rsid w:val="00396A87"/>
    <w:rsid w:val="00396AA8"/>
    <w:rsid w:val="00396AB4"/>
    <w:rsid w:val="00396AE2"/>
    <w:rsid w:val="00396AF0"/>
    <w:rsid w:val="00396B28"/>
    <w:rsid w:val="00396B46"/>
    <w:rsid w:val="00396B47"/>
    <w:rsid w:val="00396B8B"/>
    <w:rsid w:val="00396B9F"/>
    <w:rsid w:val="00396BA7"/>
    <w:rsid w:val="00396BD4"/>
    <w:rsid w:val="00396C33"/>
    <w:rsid w:val="00396C47"/>
    <w:rsid w:val="00396C7F"/>
    <w:rsid w:val="00396C9D"/>
    <w:rsid w:val="00396CC4"/>
    <w:rsid w:val="00396CCE"/>
    <w:rsid w:val="00396CE1"/>
    <w:rsid w:val="00396D05"/>
    <w:rsid w:val="00396D4B"/>
    <w:rsid w:val="00396D63"/>
    <w:rsid w:val="00396D82"/>
    <w:rsid w:val="00396DA0"/>
    <w:rsid w:val="00396E05"/>
    <w:rsid w:val="00396E48"/>
    <w:rsid w:val="00396EE5"/>
    <w:rsid w:val="00396F71"/>
    <w:rsid w:val="00396F7E"/>
    <w:rsid w:val="00396FFD"/>
    <w:rsid w:val="0039701F"/>
    <w:rsid w:val="00397055"/>
    <w:rsid w:val="0039716F"/>
    <w:rsid w:val="00397188"/>
    <w:rsid w:val="0039718C"/>
    <w:rsid w:val="003971B3"/>
    <w:rsid w:val="00397246"/>
    <w:rsid w:val="003972A9"/>
    <w:rsid w:val="0039730B"/>
    <w:rsid w:val="0039736E"/>
    <w:rsid w:val="00397386"/>
    <w:rsid w:val="0039739D"/>
    <w:rsid w:val="003973BA"/>
    <w:rsid w:val="003973BF"/>
    <w:rsid w:val="003973FE"/>
    <w:rsid w:val="00397400"/>
    <w:rsid w:val="00397403"/>
    <w:rsid w:val="00397405"/>
    <w:rsid w:val="00397446"/>
    <w:rsid w:val="00397472"/>
    <w:rsid w:val="003974B4"/>
    <w:rsid w:val="003974CC"/>
    <w:rsid w:val="00397506"/>
    <w:rsid w:val="0039752F"/>
    <w:rsid w:val="0039754C"/>
    <w:rsid w:val="00397565"/>
    <w:rsid w:val="0039758D"/>
    <w:rsid w:val="00397614"/>
    <w:rsid w:val="00397629"/>
    <w:rsid w:val="0039768F"/>
    <w:rsid w:val="00397692"/>
    <w:rsid w:val="003976B1"/>
    <w:rsid w:val="00397712"/>
    <w:rsid w:val="00397754"/>
    <w:rsid w:val="00397813"/>
    <w:rsid w:val="0039784C"/>
    <w:rsid w:val="00397881"/>
    <w:rsid w:val="003978B0"/>
    <w:rsid w:val="00397908"/>
    <w:rsid w:val="0039792F"/>
    <w:rsid w:val="0039797F"/>
    <w:rsid w:val="0039798B"/>
    <w:rsid w:val="003979A8"/>
    <w:rsid w:val="003979BF"/>
    <w:rsid w:val="003979C5"/>
    <w:rsid w:val="003979D8"/>
    <w:rsid w:val="00397A0C"/>
    <w:rsid w:val="00397A1B"/>
    <w:rsid w:val="00397A42"/>
    <w:rsid w:val="00397A44"/>
    <w:rsid w:val="00397A81"/>
    <w:rsid w:val="00397ACE"/>
    <w:rsid w:val="00397AE6"/>
    <w:rsid w:val="00397B4A"/>
    <w:rsid w:val="00397B77"/>
    <w:rsid w:val="00397B8B"/>
    <w:rsid w:val="00397BBF"/>
    <w:rsid w:val="00397BC2"/>
    <w:rsid w:val="00397BD7"/>
    <w:rsid w:val="00397BE7"/>
    <w:rsid w:val="00397C7E"/>
    <w:rsid w:val="00397CC5"/>
    <w:rsid w:val="00397CCF"/>
    <w:rsid w:val="00397CD0"/>
    <w:rsid w:val="00397CE2"/>
    <w:rsid w:val="00397CE3"/>
    <w:rsid w:val="00397D47"/>
    <w:rsid w:val="00397D4F"/>
    <w:rsid w:val="00397D6E"/>
    <w:rsid w:val="00397D76"/>
    <w:rsid w:val="00397D89"/>
    <w:rsid w:val="00397D96"/>
    <w:rsid w:val="00397DD3"/>
    <w:rsid w:val="00397DF1"/>
    <w:rsid w:val="00397DF5"/>
    <w:rsid w:val="00397DF6"/>
    <w:rsid w:val="00397E32"/>
    <w:rsid w:val="00397E86"/>
    <w:rsid w:val="00397ECF"/>
    <w:rsid w:val="00397EF1"/>
    <w:rsid w:val="00397F61"/>
    <w:rsid w:val="00397F7D"/>
    <w:rsid w:val="00397FCC"/>
    <w:rsid w:val="003A0001"/>
    <w:rsid w:val="003A0025"/>
    <w:rsid w:val="003A0051"/>
    <w:rsid w:val="003A0090"/>
    <w:rsid w:val="003A0094"/>
    <w:rsid w:val="003A010B"/>
    <w:rsid w:val="003A01DC"/>
    <w:rsid w:val="003A0208"/>
    <w:rsid w:val="003A0224"/>
    <w:rsid w:val="003A0295"/>
    <w:rsid w:val="003A02B7"/>
    <w:rsid w:val="003A02B8"/>
    <w:rsid w:val="003A02C9"/>
    <w:rsid w:val="003A02CB"/>
    <w:rsid w:val="003A02DD"/>
    <w:rsid w:val="003A0324"/>
    <w:rsid w:val="003A032A"/>
    <w:rsid w:val="003A0344"/>
    <w:rsid w:val="003A03A0"/>
    <w:rsid w:val="003A0412"/>
    <w:rsid w:val="003A0461"/>
    <w:rsid w:val="003A0486"/>
    <w:rsid w:val="003A04FE"/>
    <w:rsid w:val="003A05C7"/>
    <w:rsid w:val="003A0609"/>
    <w:rsid w:val="003A061C"/>
    <w:rsid w:val="003A0646"/>
    <w:rsid w:val="003A06F6"/>
    <w:rsid w:val="003A075A"/>
    <w:rsid w:val="003A0771"/>
    <w:rsid w:val="003A07E2"/>
    <w:rsid w:val="003A095F"/>
    <w:rsid w:val="003A097A"/>
    <w:rsid w:val="003A09AF"/>
    <w:rsid w:val="003A0A16"/>
    <w:rsid w:val="003A0A1B"/>
    <w:rsid w:val="003A0A29"/>
    <w:rsid w:val="003A0A38"/>
    <w:rsid w:val="003A0A46"/>
    <w:rsid w:val="003A0A6E"/>
    <w:rsid w:val="003A0A7D"/>
    <w:rsid w:val="003A0AF7"/>
    <w:rsid w:val="003A0B3D"/>
    <w:rsid w:val="003A0B59"/>
    <w:rsid w:val="003A0B81"/>
    <w:rsid w:val="003A0B92"/>
    <w:rsid w:val="003A0BFD"/>
    <w:rsid w:val="003A0C26"/>
    <w:rsid w:val="003A0C46"/>
    <w:rsid w:val="003A0C6F"/>
    <w:rsid w:val="003A0C7F"/>
    <w:rsid w:val="003A0C81"/>
    <w:rsid w:val="003A0D04"/>
    <w:rsid w:val="003A0D09"/>
    <w:rsid w:val="003A0D18"/>
    <w:rsid w:val="003A0D1C"/>
    <w:rsid w:val="003A0D4C"/>
    <w:rsid w:val="003A0D5E"/>
    <w:rsid w:val="003A0DBF"/>
    <w:rsid w:val="003A0DF7"/>
    <w:rsid w:val="003A0E27"/>
    <w:rsid w:val="003A0E5E"/>
    <w:rsid w:val="003A0E70"/>
    <w:rsid w:val="003A0E8C"/>
    <w:rsid w:val="003A0EC4"/>
    <w:rsid w:val="003A0ED2"/>
    <w:rsid w:val="003A0EE5"/>
    <w:rsid w:val="003A0FA7"/>
    <w:rsid w:val="003A102C"/>
    <w:rsid w:val="003A1063"/>
    <w:rsid w:val="003A1168"/>
    <w:rsid w:val="003A11A6"/>
    <w:rsid w:val="003A11B2"/>
    <w:rsid w:val="003A1221"/>
    <w:rsid w:val="003A1222"/>
    <w:rsid w:val="003A1225"/>
    <w:rsid w:val="003A129F"/>
    <w:rsid w:val="003A12D9"/>
    <w:rsid w:val="003A12E9"/>
    <w:rsid w:val="003A1388"/>
    <w:rsid w:val="003A139B"/>
    <w:rsid w:val="003A140B"/>
    <w:rsid w:val="003A141D"/>
    <w:rsid w:val="003A14CC"/>
    <w:rsid w:val="003A15A7"/>
    <w:rsid w:val="003A1642"/>
    <w:rsid w:val="003A16A1"/>
    <w:rsid w:val="003A16B6"/>
    <w:rsid w:val="003A16C8"/>
    <w:rsid w:val="003A172A"/>
    <w:rsid w:val="003A1747"/>
    <w:rsid w:val="003A17F0"/>
    <w:rsid w:val="003A180D"/>
    <w:rsid w:val="003A1832"/>
    <w:rsid w:val="003A183B"/>
    <w:rsid w:val="003A18CA"/>
    <w:rsid w:val="003A18CB"/>
    <w:rsid w:val="003A19D6"/>
    <w:rsid w:val="003A1A23"/>
    <w:rsid w:val="003A1A4F"/>
    <w:rsid w:val="003A1AAB"/>
    <w:rsid w:val="003A1AB4"/>
    <w:rsid w:val="003A1AE8"/>
    <w:rsid w:val="003A1B77"/>
    <w:rsid w:val="003A1B92"/>
    <w:rsid w:val="003A1B9F"/>
    <w:rsid w:val="003A1BD4"/>
    <w:rsid w:val="003A1C15"/>
    <w:rsid w:val="003A1C5B"/>
    <w:rsid w:val="003A1CAC"/>
    <w:rsid w:val="003A1CF8"/>
    <w:rsid w:val="003A1CF9"/>
    <w:rsid w:val="003A1D1F"/>
    <w:rsid w:val="003A1D48"/>
    <w:rsid w:val="003A1DDE"/>
    <w:rsid w:val="003A1DE3"/>
    <w:rsid w:val="003A1DF1"/>
    <w:rsid w:val="003A1E62"/>
    <w:rsid w:val="003A1EA1"/>
    <w:rsid w:val="003A1EEE"/>
    <w:rsid w:val="003A1F00"/>
    <w:rsid w:val="003A1F10"/>
    <w:rsid w:val="003A1FAF"/>
    <w:rsid w:val="003A1FDB"/>
    <w:rsid w:val="003A1FF3"/>
    <w:rsid w:val="003A2015"/>
    <w:rsid w:val="003A202C"/>
    <w:rsid w:val="003A2045"/>
    <w:rsid w:val="003A2067"/>
    <w:rsid w:val="003A2069"/>
    <w:rsid w:val="003A206B"/>
    <w:rsid w:val="003A211B"/>
    <w:rsid w:val="003A212D"/>
    <w:rsid w:val="003A2134"/>
    <w:rsid w:val="003A2165"/>
    <w:rsid w:val="003A2211"/>
    <w:rsid w:val="003A2230"/>
    <w:rsid w:val="003A2254"/>
    <w:rsid w:val="003A2264"/>
    <w:rsid w:val="003A22A2"/>
    <w:rsid w:val="003A232A"/>
    <w:rsid w:val="003A232F"/>
    <w:rsid w:val="003A2338"/>
    <w:rsid w:val="003A23E9"/>
    <w:rsid w:val="003A2434"/>
    <w:rsid w:val="003A248E"/>
    <w:rsid w:val="003A2490"/>
    <w:rsid w:val="003A24AB"/>
    <w:rsid w:val="003A24E1"/>
    <w:rsid w:val="003A2503"/>
    <w:rsid w:val="003A250B"/>
    <w:rsid w:val="003A2544"/>
    <w:rsid w:val="003A2569"/>
    <w:rsid w:val="003A2576"/>
    <w:rsid w:val="003A25E4"/>
    <w:rsid w:val="003A2661"/>
    <w:rsid w:val="003A2688"/>
    <w:rsid w:val="003A2694"/>
    <w:rsid w:val="003A26AF"/>
    <w:rsid w:val="003A26EE"/>
    <w:rsid w:val="003A27CA"/>
    <w:rsid w:val="003A27EC"/>
    <w:rsid w:val="003A27EE"/>
    <w:rsid w:val="003A2809"/>
    <w:rsid w:val="003A2826"/>
    <w:rsid w:val="003A2869"/>
    <w:rsid w:val="003A286E"/>
    <w:rsid w:val="003A2883"/>
    <w:rsid w:val="003A28CF"/>
    <w:rsid w:val="003A28D5"/>
    <w:rsid w:val="003A28F0"/>
    <w:rsid w:val="003A2927"/>
    <w:rsid w:val="003A2985"/>
    <w:rsid w:val="003A29AC"/>
    <w:rsid w:val="003A29C7"/>
    <w:rsid w:val="003A29E5"/>
    <w:rsid w:val="003A2AB5"/>
    <w:rsid w:val="003A2AFE"/>
    <w:rsid w:val="003A2B2F"/>
    <w:rsid w:val="003A2BCE"/>
    <w:rsid w:val="003A2BF5"/>
    <w:rsid w:val="003A2BF8"/>
    <w:rsid w:val="003A2C19"/>
    <w:rsid w:val="003A2C6A"/>
    <w:rsid w:val="003A2CA9"/>
    <w:rsid w:val="003A2CD5"/>
    <w:rsid w:val="003A2D0E"/>
    <w:rsid w:val="003A2D24"/>
    <w:rsid w:val="003A2D5E"/>
    <w:rsid w:val="003A2D69"/>
    <w:rsid w:val="003A2D88"/>
    <w:rsid w:val="003A2D95"/>
    <w:rsid w:val="003A2DEF"/>
    <w:rsid w:val="003A2E0E"/>
    <w:rsid w:val="003A2E10"/>
    <w:rsid w:val="003A2E28"/>
    <w:rsid w:val="003A2E6E"/>
    <w:rsid w:val="003A2E84"/>
    <w:rsid w:val="003A2EBC"/>
    <w:rsid w:val="003A2F0C"/>
    <w:rsid w:val="003A2F20"/>
    <w:rsid w:val="003A2F32"/>
    <w:rsid w:val="003A2F40"/>
    <w:rsid w:val="003A2FF2"/>
    <w:rsid w:val="003A3010"/>
    <w:rsid w:val="003A3018"/>
    <w:rsid w:val="003A3052"/>
    <w:rsid w:val="003A30A2"/>
    <w:rsid w:val="003A30A3"/>
    <w:rsid w:val="003A30B8"/>
    <w:rsid w:val="003A30CB"/>
    <w:rsid w:val="003A30F4"/>
    <w:rsid w:val="003A312A"/>
    <w:rsid w:val="003A316B"/>
    <w:rsid w:val="003A317B"/>
    <w:rsid w:val="003A319E"/>
    <w:rsid w:val="003A31C5"/>
    <w:rsid w:val="003A31D1"/>
    <w:rsid w:val="003A31E4"/>
    <w:rsid w:val="003A323C"/>
    <w:rsid w:val="003A3253"/>
    <w:rsid w:val="003A328F"/>
    <w:rsid w:val="003A32A9"/>
    <w:rsid w:val="003A32D8"/>
    <w:rsid w:val="003A32DE"/>
    <w:rsid w:val="003A32E6"/>
    <w:rsid w:val="003A330E"/>
    <w:rsid w:val="003A3335"/>
    <w:rsid w:val="003A3346"/>
    <w:rsid w:val="003A3362"/>
    <w:rsid w:val="003A3363"/>
    <w:rsid w:val="003A3390"/>
    <w:rsid w:val="003A33A6"/>
    <w:rsid w:val="003A33B0"/>
    <w:rsid w:val="003A33D0"/>
    <w:rsid w:val="003A33E7"/>
    <w:rsid w:val="003A33EC"/>
    <w:rsid w:val="003A33EF"/>
    <w:rsid w:val="003A3400"/>
    <w:rsid w:val="003A3406"/>
    <w:rsid w:val="003A3420"/>
    <w:rsid w:val="003A3428"/>
    <w:rsid w:val="003A3437"/>
    <w:rsid w:val="003A3499"/>
    <w:rsid w:val="003A34C5"/>
    <w:rsid w:val="003A34CD"/>
    <w:rsid w:val="003A34CF"/>
    <w:rsid w:val="003A351A"/>
    <w:rsid w:val="003A352D"/>
    <w:rsid w:val="003A358E"/>
    <w:rsid w:val="003A35CC"/>
    <w:rsid w:val="003A3600"/>
    <w:rsid w:val="003A3601"/>
    <w:rsid w:val="003A365B"/>
    <w:rsid w:val="003A3689"/>
    <w:rsid w:val="003A36D9"/>
    <w:rsid w:val="003A3708"/>
    <w:rsid w:val="003A3718"/>
    <w:rsid w:val="003A372B"/>
    <w:rsid w:val="003A373A"/>
    <w:rsid w:val="003A3761"/>
    <w:rsid w:val="003A382A"/>
    <w:rsid w:val="003A38A6"/>
    <w:rsid w:val="003A38E5"/>
    <w:rsid w:val="003A38F2"/>
    <w:rsid w:val="003A38FE"/>
    <w:rsid w:val="003A3908"/>
    <w:rsid w:val="003A3937"/>
    <w:rsid w:val="003A3959"/>
    <w:rsid w:val="003A39E5"/>
    <w:rsid w:val="003A3A49"/>
    <w:rsid w:val="003A3A99"/>
    <w:rsid w:val="003A3AE6"/>
    <w:rsid w:val="003A3AEC"/>
    <w:rsid w:val="003A3B0D"/>
    <w:rsid w:val="003A3B20"/>
    <w:rsid w:val="003A3B30"/>
    <w:rsid w:val="003A3B50"/>
    <w:rsid w:val="003A3B60"/>
    <w:rsid w:val="003A3B79"/>
    <w:rsid w:val="003A3B7C"/>
    <w:rsid w:val="003A3BDA"/>
    <w:rsid w:val="003A3CA2"/>
    <w:rsid w:val="003A3CD0"/>
    <w:rsid w:val="003A3CDC"/>
    <w:rsid w:val="003A3CEB"/>
    <w:rsid w:val="003A3D29"/>
    <w:rsid w:val="003A3DD9"/>
    <w:rsid w:val="003A3E28"/>
    <w:rsid w:val="003A3E72"/>
    <w:rsid w:val="003A3E98"/>
    <w:rsid w:val="003A3F2B"/>
    <w:rsid w:val="003A3FB3"/>
    <w:rsid w:val="003A40D0"/>
    <w:rsid w:val="003A40EF"/>
    <w:rsid w:val="003A40F6"/>
    <w:rsid w:val="003A4123"/>
    <w:rsid w:val="003A414F"/>
    <w:rsid w:val="003A4155"/>
    <w:rsid w:val="003A4170"/>
    <w:rsid w:val="003A41B6"/>
    <w:rsid w:val="003A420F"/>
    <w:rsid w:val="003A422A"/>
    <w:rsid w:val="003A42C2"/>
    <w:rsid w:val="003A42E1"/>
    <w:rsid w:val="003A434E"/>
    <w:rsid w:val="003A438A"/>
    <w:rsid w:val="003A4391"/>
    <w:rsid w:val="003A4427"/>
    <w:rsid w:val="003A4443"/>
    <w:rsid w:val="003A447B"/>
    <w:rsid w:val="003A44E8"/>
    <w:rsid w:val="003A454D"/>
    <w:rsid w:val="003A45A3"/>
    <w:rsid w:val="003A45B0"/>
    <w:rsid w:val="003A45B6"/>
    <w:rsid w:val="003A45DB"/>
    <w:rsid w:val="003A45EF"/>
    <w:rsid w:val="003A4607"/>
    <w:rsid w:val="003A4610"/>
    <w:rsid w:val="003A4613"/>
    <w:rsid w:val="003A462A"/>
    <w:rsid w:val="003A462C"/>
    <w:rsid w:val="003A468A"/>
    <w:rsid w:val="003A46B8"/>
    <w:rsid w:val="003A46CF"/>
    <w:rsid w:val="003A470D"/>
    <w:rsid w:val="003A4730"/>
    <w:rsid w:val="003A4777"/>
    <w:rsid w:val="003A484E"/>
    <w:rsid w:val="003A48D5"/>
    <w:rsid w:val="003A4990"/>
    <w:rsid w:val="003A49BB"/>
    <w:rsid w:val="003A49CD"/>
    <w:rsid w:val="003A49D5"/>
    <w:rsid w:val="003A49DB"/>
    <w:rsid w:val="003A4A2B"/>
    <w:rsid w:val="003A4A2D"/>
    <w:rsid w:val="003A4A43"/>
    <w:rsid w:val="003A4A75"/>
    <w:rsid w:val="003A4A77"/>
    <w:rsid w:val="003A4A9B"/>
    <w:rsid w:val="003A4AD3"/>
    <w:rsid w:val="003A4AE3"/>
    <w:rsid w:val="003A4B83"/>
    <w:rsid w:val="003A4B9B"/>
    <w:rsid w:val="003A4BA2"/>
    <w:rsid w:val="003A4BB7"/>
    <w:rsid w:val="003A4BC4"/>
    <w:rsid w:val="003A4BEB"/>
    <w:rsid w:val="003A4BEF"/>
    <w:rsid w:val="003A4C21"/>
    <w:rsid w:val="003A4C48"/>
    <w:rsid w:val="003A4CA8"/>
    <w:rsid w:val="003A4CB1"/>
    <w:rsid w:val="003A4CD7"/>
    <w:rsid w:val="003A4CE1"/>
    <w:rsid w:val="003A4D5A"/>
    <w:rsid w:val="003A4D68"/>
    <w:rsid w:val="003A4D73"/>
    <w:rsid w:val="003A4DD6"/>
    <w:rsid w:val="003A4DDE"/>
    <w:rsid w:val="003A4E50"/>
    <w:rsid w:val="003A4E5C"/>
    <w:rsid w:val="003A4F24"/>
    <w:rsid w:val="003A4F42"/>
    <w:rsid w:val="003A4F5D"/>
    <w:rsid w:val="003A4F65"/>
    <w:rsid w:val="003A4F85"/>
    <w:rsid w:val="003A4FCB"/>
    <w:rsid w:val="003A4FE9"/>
    <w:rsid w:val="003A502E"/>
    <w:rsid w:val="003A5034"/>
    <w:rsid w:val="003A5044"/>
    <w:rsid w:val="003A5045"/>
    <w:rsid w:val="003A504E"/>
    <w:rsid w:val="003A5080"/>
    <w:rsid w:val="003A50A0"/>
    <w:rsid w:val="003A50B2"/>
    <w:rsid w:val="003A5178"/>
    <w:rsid w:val="003A5198"/>
    <w:rsid w:val="003A51DB"/>
    <w:rsid w:val="003A521F"/>
    <w:rsid w:val="003A5277"/>
    <w:rsid w:val="003A52C4"/>
    <w:rsid w:val="003A536B"/>
    <w:rsid w:val="003A53C2"/>
    <w:rsid w:val="003A53D1"/>
    <w:rsid w:val="003A5448"/>
    <w:rsid w:val="003A544E"/>
    <w:rsid w:val="003A54B7"/>
    <w:rsid w:val="003A54DE"/>
    <w:rsid w:val="003A54DF"/>
    <w:rsid w:val="003A5556"/>
    <w:rsid w:val="003A5558"/>
    <w:rsid w:val="003A555F"/>
    <w:rsid w:val="003A5595"/>
    <w:rsid w:val="003A559B"/>
    <w:rsid w:val="003A55D2"/>
    <w:rsid w:val="003A5608"/>
    <w:rsid w:val="003A562B"/>
    <w:rsid w:val="003A563F"/>
    <w:rsid w:val="003A56BC"/>
    <w:rsid w:val="003A56D2"/>
    <w:rsid w:val="003A5756"/>
    <w:rsid w:val="003A5776"/>
    <w:rsid w:val="003A5781"/>
    <w:rsid w:val="003A58A0"/>
    <w:rsid w:val="003A5979"/>
    <w:rsid w:val="003A59A9"/>
    <w:rsid w:val="003A5A0C"/>
    <w:rsid w:val="003A5A56"/>
    <w:rsid w:val="003A5A6B"/>
    <w:rsid w:val="003A5A6C"/>
    <w:rsid w:val="003A5A7D"/>
    <w:rsid w:val="003A5A7F"/>
    <w:rsid w:val="003A5AAF"/>
    <w:rsid w:val="003A5ADD"/>
    <w:rsid w:val="003A5B09"/>
    <w:rsid w:val="003A5B2A"/>
    <w:rsid w:val="003A5C1B"/>
    <w:rsid w:val="003A5C4E"/>
    <w:rsid w:val="003A5C65"/>
    <w:rsid w:val="003A5C73"/>
    <w:rsid w:val="003A5CB0"/>
    <w:rsid w:val="003A5CF5"/>
    <w:rsid w:val="003A5D3A"/>
    <w:rsid w:val="003A5D4B"/>
    <w:rsid w:val="003A5D89"/>
    <w:rsid w:val="003A5D8D"/>
    <w:rsid w:val="003A5D93"/>
    <w:rsid w:val="003A5DCD"/>
    <w:rsid w:val="003A5E12"/>
    <w:rsid w:val="003A5E37"/>
    <w:rsid w:val="003A5E45"/>
    <w:rsid w:val="003A5E81"/>
    <w:rsid w:val="003A5E8C"/>
    <w:rsid w:val="003A5E97"/>
    <w:rsid w:val="003A5E98"/>
    <w:rsid w:val="003A5EF1"/>
    <w:rsid w:val="003A5F28"/>
    <w:rsid w:val="003A5F3F"/>
    <w:rsid w:val="003A5F40"/>
    <w:rsid w:val="003A5F71"/>
    <w:rsid w:val="003A5F74"/>
    <w:rsid w:val="003A5FE2"/>
    <w:rsid w:val="003A606A"/>
    <w:rsid w:val="003A60C1"/>
    <w:rsid w:val="003A617F"/>
    <w:rsid w:val="003A61C1"/>
    <w:rsid w:val="003A62FA"/>
    <w:rsid w:val="003A6339"/>
    <w:rsid w:val="003A63E8"/>
    <w:rsid w:val="003A641A"/>
    <w:rsid w:val="003A641E"/>
    <w:rsid w:val="003A6473"/>
    <w:rsid w:val="003A64A2"/>
    <w:rsid w:val="003A6516"/>
    <w:rsid w:val="003A6551"/>
    <w:rsid w:val="003A6554"/>
    <w:rsid w:val="003A6578"/>
    <w:rsid w:val="003A65A0"/>
    <w:rsid w:val="003A65D6"/>
    <w:rsid w:val="003A65ED"/>
    <w:rsid w:val="003A661A"/>
    <w:rsid w:val="003A6631"/>
    <w:rsid w:val="003A6660"/>
    <w:rsid w:val="003A6681"/>
    <w:rsid w:val="003A6719"/>
    <w:rsid w:val="003A6729"/>
    <w:rsid w:val="003A6754"/>
    <w:rsid w:val="003A67C4"/>
    <w:rsid w:val="003A681F"/>
    <w:rsid w:val="003A6909"/>
    <w:rsid w:val="003A693A"/>
    <w:rsid w:val="003A697A"/>
    <w:rsid w:val="003A69B4"/>
    <w:rsid w:val="003A69E6"/>
    <w:rsid w:val="003A69FB"/>
    <w:rsid w:val="003A69FC"/>
    <w:rsid w:val="003A6A26"/>
    <w:rsid w:val="003A6A29"/>
    <w:rsid w:val="003A6A4D"/>
    <w:rsid w:val="003A6A4F"/>
    <w:rsid w:val="003A6B06"/>
    <w:rsid w:val="003A6BD5"/>
    <w:rsid w:val="003A6BE3"/>
    <w:rsid w:val="003A6C38"/>
    <w:rsid w:val="003A6C3E"/>
    <w:rsid w:val="003A6D23"/>
    <w:rsid w:val="003A6D2B"/>
    <w:rsid w:val="003A6D3E"/>
    <w:rsid w:val="003A6D5B"/>
    <w:rsid w:val="003A6DB6"/>
    <w:rsid w:val="003A6DC7"/>
    <w:rsid w:val="003A6E04"/>
    <w:rsid w:val="003A6E24"/>
    <w:rsid w:val="003A6E47"/>
    <w:rsid w:val="003A6E56"/>
    <w:rsid w:val="003A6E82"/>
    <w:rsid w:val="003A6ED7"/>
    <w:rsid w:val="003A6F03"/>
    <w:rsid w:val="003A6F59"/>
    <w:rsid w:val="003A6F9C"/>
    <w:rsid w:val="003A6FDA"/>
    <w:rsid w:val="003A7062"/>
    <w:rsid w:val="003A7063"/>
    <w:rsid w:val="003A7070"/>
    <w:rsid w:val="003A7081"/>
    <w:rsid w:val="003A70BC"/>
    <w:rsid w:val="003A70BD"/>
    <w:rsid w:val="003A70CD"/>
    <w:rsid w:val="003A716C"/>
    <w:rsid w:val="003A717F"/>
    <w:rsid w:val="003A7182"/>
    <w:rsid w:val="003A71CC"/>
    <w:rsid w:val="003A7202"/>
    <w:rsid w:val="003A7272"/>
    <w:rsid w:val="003A7285"/>
    <w:rsid w:val="003A728C"/>
    <w:rsid w:val="003A7297"/>
    <w:rsid w:val="003A72A3"/>
    <w:rsid w:val="003A72A4"/>
    <w:rsid w:val="003A72C2"/>
    <w:rsid w:val="003A72C3"/>
    <w:rsid w:val="003A72E1"/>
    <w:rsid w:val="003A72E4"/>
    <w:rsid w:val="003A72EC"/>
    <w:rsid w:val="003A72F3"/>
    <w:rsid w:val="003A730D"/>
    <w:rsid w:val="003A7360"/>
    <w:rsid w:val="003A737B"/>
    <w:rsid w:val="003A738A"/>
    <w:rsid w:val="003A7396"/>
    <w:rsid w:val="003A7406"/>
    <w:rsid w:val="003A74A2"/>
    <w:rsid w:val="003A7505"/>
    <w:rsid w:val="003A7567"/>
    <w:rsid w:val="003A7580"/>
    <w:rsid w:val="003A75F8"/>
    <w:rsid w:val="003A75FA"/>
    <w:rsid w:val="003A75FE"/>
    <w:rsid w:val="003A7622"/>
    <w:rsid w:val="003A7656"/>
    <w:rsid w:val="003A7679"/>
    <w:rsid w:val="003A768C"/>
    <w:rsid w:val="003A769B"/>
    <w:rsid w:val="003A76A7"/>
    <w:rsid w:val="003A76B5"/>
    <w:rsid w:val="003A76BF"/>
    <w:rsid w:val="003A7714"/>
    <w:rsid w:val="003A7736"/>
    <w:rsid w:val="003A786D"/>
    <w:rsid w:val="003A7904"/>
    <w:rsid w:val="003A796E"/>
    <w:rsid w:val="003A7990"/>
    <w:rsid w:val="003A7A0E"/>
    <w:rsid w:val="003A7A79"/>
    <w:rsid w:val="003A7A8C"/>
    <w:rsid w:val="003A7AE3"/>
    <w:rsid w:val="003A7B11"/>
    <w:rsid w:val="003A7BC4"/>
    <w:rsid w:val="003A7BD9"/>
    <w:rsid w:val="003A7BE5"/>
    <w:rsid w:val="003A7C4C"/>
    <w:rsid w:val="003A7D49"/>
    <w:rsid w:val="003A7D66"/>
    <w:rsid w:val="003A7DAF"/>
    <w:rsid w:val="003A7DB7"/>
    <w:rsid w:val="003A7DD9"/>
    <w:rsid w:val="003A7E12"/>
    <w:rsid w:val="003A7E19"/>
    <w:rsid w:val="003A7ECF"/>
    <w:rsid w:val="003A7ED5"/>
    <w:rsid w:val="003AB310"/>
    <w:rsid w:val="003AD8C7"/>
    <w:rsid w:val="003AF2C5"/>
    <w:rsid w:val="003B00A3"/>
    <w:rsid w:val="003B00B9"/>
    <w:rsid w:val="003B010C"/>
    <w:rsid w:val="003B0113"/>
    <w:rsid w:val="003B011F"/>
    <w:rsid w:val="003B0184"/>
    <w:rsid w:val="003B01AF"/>
    <w:rsid w:val="003B01C1"/>
    <w:rsid w:val="003B01E8"/>
    <w:rsid w:val="003B023B"/>
    <w:rsid w:val="003B0243"/>
    <w:rsid w:val="003B0247"/>
    <w:rsid w:val="003B0268"/>
    <w:rsid w:val="003B027E"/>
    <w:rsid w:val="003B02B9"/>
    <w:rsid w:val="003B02D8"/>
    <w:rsid w:val="003B0374"/>
    <w:rsid w:val="003B03B9"/>
    <w:rsid w:val="003B03DE"/>
    <w:rsid w:val="003B03EB"/>
    <w:rsid w:val="003B0477"/>
    <w:rsid w:val="003B0494"/>
    <w:rsid w:val="003B0584"/>
    <w:rsid w:val="003B0597"/>
    <w:rsid w:val="003B0612"/>
    <w:rsid w:val="003B0622"/>
    <w:rsid w:val="003B065B"/>
    <w:rsid w:val="003B06AD"/>
    <w:rsid w:val="003B06B7"/>
    <w:rsid w:val="003B06C6"/>
    <w:rsid w:val="003B0729"/>
    <w:rsid w:val="003B072E"/>
    <w:rsid w:val="003B0765"/>
    <w:rsid w:val="003B07D1"/>
    <w:rsid w:val="003B081F"/>
    <w:rsid w:val="003B086C"/>
    <w:rsid w:val="003B08C9"/>
    <w:rsid w:val="003B08CF"/>
    <w:rsid w:val="003B0906"/>
    <w:rsid w:val="003B093B"/>
    <w:rsid w:val="003B0949"/>
    <w:rsid w:val="003B094D"/>
    <w:rsid w:val="003B095F"/>
    <w:rsid w:val="003B0990"/>
    <w:rsid w:val="003B09A5"/>
    <w:rsid w:val="003B0A0E"/>
    <w:rsid w:val="003B0A2D"/>
    <w:rsid w:val="003B0A70"/>
    <w:rsid w:val="003B0AA3"/>
    <w:rsid w:val="003B0B31"/>
    <w:rsid w:val="003B0B3C"/>
    <w:rsid w:val="003B0B4C"/>
    <w:rsid w:val="003B0B96"/>
    <w:rsid w:val="003B0B9F"/>
    <w:rsid w:val="003B0C21"/>
    <w:rsid w:val="003B0C42"/>
    <w:rsid w:val="003B0C5B"/>
    <w:rsid w:val="003B0C6C"/>
    <w:rsid w:val="003B0C78"/>
    <w:rsid w:val="003B0C8A"/>
    <w:rsid w:val="003B0CC1"/>
    <w:rsid w:val="003B0D09"/>
    <w:rsid w:val="003B0D62"/>
    <w:rsid w:val="003B0DBA"/>
    <w:rsid w:val="003B0E5D"/>
    <w:rsid w:val="003B0E9C"/>
    <w:rsid w:val="003B0EBF"/>
    <w:rsid w:val="003B0EF1"/>
    <w:rsid w:val="003B0F33"/>
    <w:rsid w:val="003B0F43"/>
    <w:rsid w:val="003B0F6C"/>
    <w:rsid w:val="003B0F8F"/>
    <w:rsid w:val="003B0FA1"/>
    <w:rsid w:val="003B1092"/>
    <w:rsid w:val="003B10E7"/>
    <w:rsid w:val="003B10F2"/>
    <w:rsid w:val="003B1126"/>
    <w:rsid w:val="003B1134"/>
    <w:rsid w:val="003B1203"/>
    <w:rsid w:val="003B122B"/>
    <w:rsid w:val="003B124A"/>
    <w:rsid w:val="003B125D"/>
    <w:rsid w:val="003B1261"/>
    <w:rsid w:val="003B1303"/>
    <w:rsid w:val="003B13CE"/>
    <w:rsid w:val="003B1403"/>
    <w:rsid w:val="003B1433"/>
    <w:rsid w:val="003B1459"/>
    <w:rsid w:val="003B146E"/>
    <w:rsid w:val="003B14A3"/>
    <w:rsid w:val="003B14AB"/>
    <w:rsid w:val="003B14DF"/>
    <w:rsid w:val="003B14EB"/>
    <w:rsid w:val="003B14ED"/>
    <w:rsid w:val="003B14F7"/>
    <w:rsid w:val="003B152D"/>
    <w:rsid w:val="003B1532"/>
    <w:rsid w:val="003B153F"/>
    <w:rsid w:val="003B1577"/>
    <w:rsid w:val="003B1585"/>
    <w:rsid w:val="003B160B"/>
    <w:rsid w:val="003B162C"/>
    <w:rsid w:val="003B162D"/>
    <w:rsid w:val="003B1678"/>
    <w:rsid w:val="003B16D0"/>
    <w:rsid w:val="003B16E8"/>
    <w:rsid w:val="003B16FB"/>
    <w:rsid w:val="003B1701"/>
    <w:rsid w:val="003B175C"/>
    <w:rsid w:val="003B17A2"/>
    <w:rsid w:val="003B17CA"/>
    <w:rsid w:val="003B1803"/>
    <w:rsid w:val="003B180D"/>
    <w:rsid w:val="003B1815"/>
    <w:rsid w:val="003B185C"/>
    <w:rsid w:val="003B1865"/>
    <w:rsid w:val="003B18ED"/>
    <w:rsid w:val="003B18F7"/>
    <w:rsid w:val="003B190F"/>
    <w:rsid w:val="003B1926"/>
    <w:rsid w:val="003B1936"/>
    <w:rsid w:val="003B1993"/>
    <w:rsid w:val="003B1994"/>
    <w:rsid w:val="003B19C7"/>
    <w:rsid w:val="003B1A07"/>
    <w:rsid w:val="003B1A14"/>
    <w:rsid w:val="003B1A39"/>
    <w:rsid w:val="003B1A89"/>
    <w:rsid w:val="003B1A93"/>
    <w:rsid w:val="003B1ABE"/>
    <w:rsid w:val="003B1AD4"/>
    <w:rsid w:val="003B1B0B"/>
    <w:rsid w:val="003B1B1A"/>
    <w:rsid w:val="003B1B45"/>
    <w:rsid w:val="003B1B5E"/>
    <w:rsid w:val="003B1B68"/>
    <w:rsid w:val="003B1B77"/>
    <w:rsid w:val="003B1BE0"/>
    <w:rsid w:val="003B1C1C"/>
    <w:rsid w:val="003B1C28"/>
    <w:rsid w:val="003B1CBF"/>
    <w:rsid w:val="003B1D52"/>
    <w:rsid w:val="003B1D57"/>
    <w:rsid w:val="003B1DC0"/>
    <w:rsid w:val="003B1DD5"/>
    <w:rsid w:val="003B1DE8"/>
    <w:rsid w:val="003B1E09"/>
    <w:rsid w:val="003B1E10"/>
    <w:rsid w:val="003B1EC8"/>
    <w:rsid w:val="003B1EF6"/>
    <w:rsid w:val="003B1F0B"/>
    <w:rsid w:val="003B1F0D"/>
    <w:rsid w:val="003B1F19"/>
    <w:rsid w:val="003B1F6C"/>
    <w:rsid w:val="003B1F82"/>
    <w:rsid w:val="003B202C"/>
    <w:rsid w:val="003B2043"/>
    <w:rsid w:val="003B2055"/>
    <w:rsid w:val="003B2059"/>
    <w:rsid w:val="003B2076"/>
    <w:rsid w:val="003B208A"/>
    <w:rsid w:val="003B2096"/>
    <w:rsid w:val="003B20A9"/>
    <w:rsid w:val="003B212A"/>
    <w:rsid w:val="003B216E"/>
    <w:rsid w:val="003B2181"/>
    <w:rsid w:val="003B2185"/>
    <w:rsid w:val="003B21D5"/>
    <w:rsid w:val="003B21FA"/>
    <w:rsid w:val="003B2222"/>
    <w:rsid w:val="003B2256"/>
    <w:rsid w:val="003B22D0"/>
    <w:rsid w:val="003B234B"/>
    <w:rsid w:val="003B2356"/>
    <w:rsid w:val="003B2359"/>
    <w:rsid w:val="003B2442"/>
    <w:rsid w:val="003B245F"/>
    <w:rsid w:val="003B246A"/>
    <w:rsid w:val="003B2495"/>
    <w:rsid w:val="003B2563"/>
    <w:rsid w:val="003B2594"/>
    <w:rsid w:val="003B25B4"/>
    <w:rsid w:val="003B25D0"/>
    <w:rsid w:val="003B260B"/>
    <w:rsid w:val="003B26F0"/>
    <w:rsid w:val="003B2743"/>
    <w:rsid w:val="003B275D"/>
    <w:rsid w:val="003B27B2"/>
    <w:rsid w:val="003B27F2"/>
    <w:rsid w:val="003B2841"/>
    <w:rsid w:val="003B28D1"/>
    <w:rsid w:val="003B2913"/>
    <w:rsid w:val="003B2921"/>
    <w:rsid w:val="003B29BD"/>
    <w:rsid w:val="003B29CC"/>
    <w:rsid w:val="003B29E8"/>
    <w:rsid w:val="003B29F0"/>
    <w:rsid w:val="003B2A38"/>
    <w:rsid w:val="003B2A43"/>
    <w:rsid w:val="003B2A48"/>
    <w:rsid w:val="003B2A77"/>
    <w:rsid w:val="003B2A82"/>
    <w:rsid w:val="003B2B11"/>
    <w:rsid w:val="003B2B71"/>
    <w:rsid w:val="003B2B8D"/>
    <w:rsid w:val="003B2B9B"/>
    <w:rsid w:val="003B2BA2"/>
    <w:rsid w:val="003B2BF0"/>
    <w:rsid w:val="003B2C39"/>
    <w:rsid w:val="003B2C5E"/>
    <w:rsid w:val="003B2C6D"/>
    <w:rsid w:val="003B2CAD"/>
    <w:rsid w:val="003B2CBF"/>
    <w:rsid w:val="003B2CC4"/>
    <w:rsid w:val="003B2CCD"/>
    <w:rsid w:val="003B2D49"/>
    <w:rsid w:val="003B2D95"/>
    <w:rsid w:val="003B2DB5"/>
    <w:rsid w:val="003B2E1F"/>
    <w:rsid w:val="003B2F0A"/>
    <w:rsid w:val="003B2F1A"/>
    <w:rsid w:val="003B2F37"/>
    <w:rsid w:val="003B2F80"/>
    <w:rsid w:val="003B2FBF"/>
    <w:rsid w:val="003B2FDC"/>
    <w:rsid w:val="003B3021"/>
    <w:rsid w:val="003B302D"/>
    <w:rsid w:val="003B306D"/>
    <w:rsid w:val="003B3076"/>
    <w:rsid w:val="003B3097"/>
    <w:rsid w:val="003B30C6"/>
    <w:rsid w:val="003B3114"/>
    <w:rsid w:val="003B3130"/>
    <w:rsid w:val="003B3138"/>
    <w:rsid w:val="003B313D"/>
    <w:rsid w:val="003B3162"/>
    <w:rsid w:val="003B3164"/>
    <w:rsid w:val="003B317D"/>
    <w:rsid w:val="003B3218"/>
    <w:rsid w:val="003B322D"/>
    <w:rsid w:val="003B3259"/>
    <w:rsid w:val="003B3294"/>
    <w:rsid w:val="003B32CB"/>
    <w:rsid w:val="003B32D7"/>
    <w:rsid w:val="003B32ED"/>
    <w:rsid w:val="003B3313"/>
    <w:rsid w:val="003B33C7"/>
    <w:rsid w:val="003B33D0"/>
    <w:rsid w:val="003B33D9"/>
    <w:rsid w:val="003B33DA"/>
    <w:rsid w:val="003B33E0"/>
    <w:rsid w:val="003B3400"/>
    <w:rsid w:val="003B341F"/>
    <w:rsid w:val="003B34E9"/>
    <w:rsid w:val="003B350A"/>
    <w:rsid w:val="003B3527"/>
    <w:rsid w:val="003B3540"/>
    <w:rsid w:val="003B354E"/>
    <w:rsid w:val="003B3595"/>
    <w:rsid w:val="003B35A1"/>
    <w:rsid w:val="003B35CC"/>
    <w:rsid w:val="003B35D2"/>
    <w:rsid w:val="003B35E9"/>
    <w:rsid w:val="003B35EB"/>
    <w:rsid w:val="003B361E"/>
    <w:rsid w:val="003B36D2"/>
    <w:rsid w:val="003B36E4"/>
    <w:rsid w:val="003B36F6"/>
    <w:rsid w:val="003B3727"/>
    <w:rsid w:val="003B3761"/>
    <w:rsid w:val="003B3762"/>
    <w:rsid w:val="003B3770"/>
    <w:rsid w:val="003B3776"/>
    <w:rsid w:val="003B37AC"/>
    <w:rsid w:val="003B3842"/>
    <w:rsid w:val="003B3941"/>
    <w:rsid w:val="003B394F"/>
    <w:rsid w:val="003B3984"/>
    <w:rsid w:val="003B39B8"/>
    <w:rsid w:val="003B39C0"/>
    <w:rsid w:val="003B39C7"/>
    <w:rsid w:val="003B3A29"/>
    <w:rsid w:val="003B3A82"/>
    <w:rsid w:val="003B3AFF"/>
    <w:rsid w:val="003B3B14"/>
    <w:rsid w:val="003B3B28"/>
    <w:rsid w:val="003B3B3B"/>
    <w:rsid w:val="003B3BE2"/>
    <w:rsid w:val="003B3C64"/>
    <w:rsid w:val="003B3C8B"/>
    <w:rsid w:val="003B3D3A"/>
    <w:rsid w:val="003B3D9E"/>
    <w:rsid w:val="003B3DB8"/>
    <w:rsid w:val="003B3DE1"/>
    <w:rsid w:val="003B3E11"/>
    <w:rsid w:val="003B3E5E"/>
    <w:rsid w:val="003B3E63"/>
    <w:rsid w:val="003B3E89"/>
    <w:rsid w:val="003B3F70"/>
    <w:rsid w:val="003B3F99"/>
    <w:rsid w:val="003B3FB5"/>
    <w:rsid w:val="003B3FF3"/>
    <w:rsid w:val="003B410D"/>
    <w:rsid w:val="003B41A9"/>
    <w:rsid w:val="003B4215"/>
    <w:rsid w:val="003B432B"/>
    <w:rsid w:val="003B4351"/>
    <w:rsid w:val="003B4379"/>
    <w:rsid w:val="003B439C"/>
    <w:rsid w:val="003B43D0"/>
    <w:rsid w:val="003B4410"/>
    <w:rsid w:val="003B4424"/>
    <w:rsid w:val="003B4436"/>
    <w:rsid w:val="003B447A"/>
    <w:rsid w:val="003B44C6"/>
    <w:rsid w:val="003B44EB"/>
    <w:rsid w:val="003B44F6"/>
    <w:rsid w:val="003B4541"/>
    <w:rsid w:val="003B4566"/>
    <w:rsid w:val="003B4596"/>
    <w:rsid w:val="003B45C3"/>
    <w:rsid w:val="003B45CF"/>
    <w:rsid w:val="003B45F5"/>
    <w:rsid w:val="003B45FF"/>
    <w:rsid w:val="003B4613"/>
    <w:rsid w:val="003B465C"/>
    <w:rsid w:val="003B465E"/>
    <w:rsid w:val="003B4665"/>
    <w:rsid w:val="003B466D"/>
    <w:rsid w:val="003B466F"/>
    <w:rsid w:val="003B46BB"/>
    <w:rsid w:val="003B46C6"/>
    <w:rsid w:val="003B470F"/>
    <w:rsid w:val="003B4745"/>
    <w:rsid w:val="003B474D"/>
    <w:rsid w:val="003B479A"/>
    <w:rsid w:val="003B47AA"/>
    <w:rsid w:val="003B487E"/>
    <w:rsid w:val="003B48A1"/>
    <w:rsid w:val="003B48EE"/>
    <w:rsid w:val="003B4900"/>
    <w:rsid w:val="003B4938"/>
    <w:rsid w:val="003B493A"/>
    <w:rsid w:val="003B493B"/>
    <w:rsid w:val="003B4961"/>
    <w:rsid w:val="003B49CD"/>
    <w:rsid w:val="003B4A50"/>
    <w:rsid w:val="003B4A61"/>
    <w:rsid w:val="003B4A89"/>
    <w:rsid w:val="003B4A9E"/>
    <w:rsid w:val="003B4A9F"/>
    <w:rsid w:val="003B4AA9"/>
    <w:rsid w:val="003B4ABC"/>
    <w:rsid w:val="003B4B37"/>
    <w:rsid w:val="003B4B58"/>
    <w:rsid w:val="003B4B5D"/>
    <w:rsid w:val="003B4B5F"/>
    <w:rsid w:val="003B4C18"/>
    <w:rsid w:val="003B4C48"/>
    <w:rsid w:val="003B4C68"/>
    <w:rsid w:val="003B4CA8"/>
    <w:rsid w:val="003B4CBB"/>
    <w:rsid w:val="003B4D9B"/>
    <w:rsid w:val="003B4E28"/>
    <w:rsid w:val="003B4E63"/>
    <w:rsid w:val="003B4E93"/>
    <w:rsid w:val="003B4EA0"/>
    <w:rsid w:val="003B4EDF"/>
    <w:rsid w:val="003B4F39"/>
    <w:rsid w:val="003B4FD5"/>
    <w:rsid w:val="003B5005"/>
    <w:rsid w:val="003B5011"/>
    <w:rsid w:val="003B509E"/>
    <w:rsid w:val="003B50DE"/>
    <w:rsid w:val="003B5142"/>
    <w:rsid w:val="003B5149"/>
    <w:rsid w:val="003B51E7"/>
    <w:rsid w:val="003B523F"/>
    <w:rsid w:val="003B52AA"/>
    <w:rsid w:val="003B52F3"/>
    <w:rsid w:val="003B5338"/>
    <w:rsid w:val="003B53D9"/>
    <w:rsid w:val="003B5482"/>
    <w:rsid w:val="003B54B7"/>
    <w:rsid w:val="003B554A"/>
    <w:rsid w:val="003B5550"/>
    <w:rsid w:val="003B5616"/>
    <w:rsid w:val="003B561D"/>
    <w:rsid w:val="003B5622"/>
    <w:rsid w:val="003B5626"/>
    <w:rsid w:val="003B562F"/>
    <w:rsid w:val="003B5675"/>
    <w:rsid w:val="003B56BE"/>
    <w:rsid w:val="003B56C7"/>
    <w:rsid w:val="003B56DD"/>
    <w:rsid w:val="003B5752"/>
    <w:rsid w:val="003B5775"/>
    <w:rsid w:val="003B57D5"/>
    <w:rsid w:val="003B5810"/>
    <w:rsid w:val="003B5865"/>
    <w:rsid w:val="003B58B0"/>
    <w:rsid w:val="003B58EC"/>
    <w:rsid w:val="003B597D"/>
    <w:rsid w:val="003B59C5"/>
    <w:rsid w:val="003B59ED"/>
    <w:rsid w:val="003B5A93"/>
    <w:rsid w:val="003B5AB9"/>
    <w:rsid w:val="003B5AC1"/>
    <w:rsid w:val="003B5B34"/>
    <w:rsid w:val="003B5B38"/>
    <w:rsid w:val="003B5B82"/>
    <w:rsid w:val="003B5C33"/>
    <w:rsid w:val="003B5C86"/>
    <w:rsid w:val="003B5C9E"/>
    <w:rsid w:val="003B5CAB"/>
    <w:rsid w:val="003B5CD0"/>
    <w:rsid w:val="003B5CD1"/>
    <w:rsid w:val="003B5CFC"/>
    <w:rsid w:val="003B5D0A"/>
    <w:rsid w:val="003B5D1A"/>
    <w:rsid w:val="003B5D4F"/>
    <w:rsid w:val="003B5D6D"/>
    <w:rsid w:val="003B5D70"/>
    <w:rsid w:val="003B5DC6"/>
    <w:rsid w:val="003B5DDC"/>
    <w:rsid w:val="003B5E0E"/>
    <w:rsid w:val="003B5E86"/>
    <w:rsid w:val="003B5F21"/>
    <w:rsid w:val="003B5F4A"/>
    <w:rsid w:val="003B5F83"/>
    <w:rsid w:val="003B6045"/>
    <w:rsid w:val="003B6053"/>
    <w:rsid w:val="003B605C"/>
    <w:rsid w:val="003B610E"/>
    <w:rsid w:val="003B616E"/>
    <w:rsid w:val="003B6185"/>
    <w:rsid w:val="003B61C1"/>
    <w:rsid w:val="003B6215"/>
    <w:rsid w:val="003B621B"/>
    <w:rsid w:val="003B6236"/>
    <w:rsid w:val="003B6243"/>
    <w:rsid w:val="003B6262"/>
    <w:rsid w:val="003B6295"/>
    <w:rsid w:val="003B62A2"/>
    <w:rsid w:val="003B6330"/>
    <w:rsid w:val="003B6342"/>
    <w:rsid w:val="003B646B"/>
    <w:rsid w:val="003B64A5"/>
    <w:rsid w:val="003B64F1"/>
    <w:rsid w:val="003B6581"/>
    <w:rsid w:val="003B6582"/>
    <w:rsid w:val="003B65EF"/>
    <w:rsid w:val="003B661C"/>
    <w:rsid w:val="003B6665"/>
    <w:rsid w:val="003B666D"/>
    <w:rsid w:val="003B6683"/>
    <w:rsid w:val="003B66F9"/>
    <w:rsid w:val="003B6704"/>
    <w:rsid w:val="003B670E"/>
    <w:rsid w:val="003B6713"/>
    <w:rsid w:val="003B672F"/>
    <w:rsid w:val="003B67AC"/>
    <w:rsid w:val="003B67B9"/>
    <w:rsid w:val="003B67CA"/>
    <w:rsid w:val="003B67DF"/>
    <w:rsid w:val="003B683D"/>
    <w:rsid w:val="003B6841"/>
    <w:rsid w:val="003B684E"/>
    <w:rsid w:val="003B68A4"/>
    <w:rsid w:val="003B68B4"/>
    <w:rsid w:val="003B68F2"/>
    <w:rsid w:val="003B68F6"/>
    <w:rsid w:val="003B690E"/>
    <w:rsid w:val="003B6915"/>
    <w:rsid w:val="003B6919"/>
    <w:rsid w:val="003B6972"/>
    <w:rsid w:val="003B697D"/>
    <w:rsid w:val="003B69A4"/>
    <w:rsid w:val="003B69CB"/>
    <w:rsid w:val="003B6A56"/>
    <w:rsid w:val="003B6ABD"/>
    <w:rsid w:val="003B6B1D"/>
    <w:rsid w:val="003B6B46"/>
    <w:rsid w:val="003B6BA1"/>
    <w:rsid w:val="003B6BBE"/>
    <w:rsid w:val="003B6CD7"/>
    <w:rsid w:val="003B6D23"/>
    <w:rsid w:val="003B6D25"/>
    <w:rsid w:val="003B6D2A"/>
    <w:rsid w:val="003B6D31"/>
    <w:rsid w:val="003B6D61"/>
    <w:rsid w:val="003B6D77"/>
    <w:rsid w:val="003B6DA0"/>
    <w:rsid w:val="003B6DAB"/>
    <w:rsid w:val="003B6E2A"/>
    <w:rsid w:val="003B6E65"/>
    <w:rsid w:val="003B6E74"/>
    <w:rsid w:val="003B6E78"/>
    <w:rsid w:val="003B6EC9"/>
    <w:rsid w:val="003B6F0D"/>
    <w:rsid w:val="003B6FAA"/>
    <w:rsid w:val="003B6FF3"/>
    <w:rsid w:val="003B7014"/>
    <w:rsid w:val="003B7033"/>
    <w:rsid w:val="003B705E"/>
    <w:rsid w:val="003B7071"/>
    <w:rsid w:val="003B70D9"/>
    <w:rsid w:val="003B7182"/>
    <w:rsid w:val="003B71DB"/>
    <w:rsid w:val="003B7201"/>
    <w:rsid w:val="003B722C"/>
    <w:rsid w:val="003B7263"/>
    <w:rsid w:val="003B729E"/>
    <w:rsid w:val="003B72ED"/>
    <w:rsid w:val="003B732E"/>
    <w:rsid w:val="003B7343"/>
    <w:rsid w:val="003B7380"/>
    <w:rsid w:val="003B7399"/>
    <w:rsid w:val="003B73CD"/>
    <w:rsid w:val="003B7403"/>
    <w:rsid w:val="003B742A"/>
    <w:rsid w:val="003B7438"/>
    <w:rsid w:val="003B7503"/>
    <w:rsid w:val="003B751B"/>
    <w:rsid w:val="003B755C"/>
    <w:rsid w:val="003B7586"/>
    <w:rsid w:val="003B75A4"/>
    <w:rsid w:val="003B75FC"/>
    <w:rsid w:val="003B760F"/>
    <w:rsid w:val="003B7650"/>
    <w:rsid w:val="003B769C"/>
    <w:rsid w:val="003B76A5"/>
    <w:rsid w:val="003B76FB"/>
    <w:rsid w:val="003B771F"/>
    <w:rsid w:val="003B7726"/>
    <w:rsid w:val="003B775F"/>
    <w:rsid w:val="003B776C"/>
    <w:rsid w:val="003B77A4"/>
    <w:rsid w:val="003B77DD"/>
    <w:rsid w:val="003B77EE"/>
    <w:rsid w:val="003B77F1"/>
    <w:rsid w:val="003B7813"/>
    <w:rsid w:val="003B7820"/>
    <w:rsid w:val="003B7827"/>
    <w:rsid w:val="003B78AE"/>
    <w:rsid w:val="003B78FB"/>
    <w:rsid w:val="003B790F"/>
    <w:rsid w:val="003B7946"/>
    <w:rsid w:val="003B795C"/>
    <w:rsid w:val="003B79B2"/>
    <w:rsid w:val="003B79C0"/>
    <w:rsid w:val="003B79D1"/>
    <w:rsid w:val="003B79E7"/>
    <w:rsid w:val="003B7A82"/>
    <w:rsid w:val="003B7AA7"/>
    <w:rsid w:val="003B7AB7"/>
    <w:rsid w:val="003B7AC8"/>
    <w:rsid w:val="003B7AEF"/>
    <w:rsid w:val="003B7B07"/>
    <w:rsid w:val="003B7B43"/>
    <w:rsid w:val="003B7B49"/>
    <w:rsid w:val="003B7BD0"/>
    <w:rsid w:val="003B7C0A"/>
    <w:rsid w:val="003B7C28"/>
    <w:rsid w:val="003B7C4B"/>
    <w:rsid w:val="003B7CFD"/>
    <w:rsid w:val="003B7D1A"/>
    <w:rsid w:val="003B7D28"/>
    <w:rsid w:val="003B7DDB"/>
    <w:rsid w:val="003B7E71"/>
    <w:rsid w:val="003B7E7C"/>
    <w:rsid w:val="003B7E7F"/>
    <w:rsid w:val="003B7ED8"/>
    <w:rsid w:val="003B7EE3"/>
    <w:rsid w:val="003B7F31"/>
    <w:rsid w:val="003B7F6B"/>
    <w:rsid w:val="003B7F80"/>
    <w:rsid w:val="003B7FB4"/>
    <w:rsid w:val="003B95D7"/>
    <w:rsid w:val="003C0018"/>
    <w:rsid w:val="003C00A4"/>
    <w:rsid w:val="003C00AC"/>
    <w:rsid w:val="003C00FE"/>
    <w:rsid w:val="003C0128"/>
    <w:rsid w:val="003C0132"/>
    <w:rsid w:val="003C0152"/>
    <w:rsid w:val="003C0237"/>
    <w:rsid w:val="003C0264"/>
    <w:rsid w:val="003C0283"/>
    <w:rsid w:val="003C02D2"/>
    <w:rsid w:val="003C02FA"/>
    <w:rsid w:val="003C0340"/>
    <w:rsid w:val="003C0380"/>
    <w:rsid w:val="003C03A2"/>
    <w:rsid w:val="003C03B4"/>
    <w:rsid w:val="003C0440"/>
    <w:rsid w:val="003C0445"/>
    <w:rsid w:val="003C0451"/>
    <w:rsid w:val="003C048F"/>
    <w:rsid w:val="003C04AB"/>
    <w:rsid w:val="003C04F4"/>
    <w:rsid w:val="003C0501"/>
    <w:rsid w:val="003C0571"/>
    <w:rsid w:val="003C05B0"/>
    <w:rsid w:val="003C05D9"/>
    <w:rsid w:val="003C05E6"/>
    <w:rsid w:val="003C0605"/>
    <w:rsid w:val="003C0617"/>
    <w:rsid w:val="003C0684"/>
    <w:rsid w:val="003C06F0"/>
    <w:rsid w:val="003C06F1"/>
    <w:rsid w:val="003C0793"/>
    <w:rsid w:val="003C07F3"/>
    <w:rsid w:val="003C0815"/>
    <w:rsid w:val="003C0848"/>
    <w:rsid w:val="003C08BA"/>
    <w:rsid w:val="003C090A"/>
    <w:rsid w:val="003C092B"/>
    <w:rsid w:val="003C09B3"/>
    <w:rsid w:val="003C0A5C"/>
    <w:rsid w:val="003C0A6F"/>
    <w:rsid w:val="003C0AA6"/>
    <w:rsid w:val="003C0AB4"/>
    <w:rsid w:val="003C0B52"/>
    <w:rsid w:val="003C0B76"/>
    <w:rsid w:val="003C0B9B"/>
    <w:rsid w:val="003C0BCA"/>
    <w:rsid w:val="003C0BFC"/>
    <w:rsid w:val="003C0C49"/>
    <w:rsid w:val="003C0C58"/>
    <w:rsid w:val="003C0C98"/>
    <w:rsid w:val="003C0C9D"/>
    <w:rsid w:val="003C0CA9"/>
    <w:rsid w:val="003C0CF9"/>
    <w:rsid w:val="003C0D59"/>
    <w:rsid w:val="003C0D88"/>
    <w:rsid w:val="003C0DA4"/>
    <w:rsid w:val="003C0DD5"/>
    <w:rsid w:val="003C0DDB"/>
    <w:rsid w:val="003C0E60"/>
    <w:rsid w:val="003C0E92"/>
    <w:rsid w:val="003C0EA1"/>
    <w:rsid w:val="003C0EA7"/>
    <w:rsid w:val="003C0EDB"/>
    <w:rsid w:val="003C0F27"/>
    <w:rsid w:val="003C0F36"/>
    <w:rsid w:val="003C0FB4"/>
    <w:rsid w:val="003C0FB5"/>
    <w:rsid w:val="003C0FB8"/>
    <w:rsid w:val="003C0FE6"/>
    <w:rsid w:val="003C0FF3"/>
    <w:rsid w:val="003C103D"/>
    <w:rsid w:val="003C106F"/>
    <w:rsid w:val="003C10E7"/>
    <w:rsid w:val="003C118F"/>
    <w:rsid w:val="003C11C4"/>
    <w:rsid w:val="003C120B"/>
    <w:rsid w:val="003C1211"/>
    <w:rsid w:val="003C1212"/>
    <w:rsid w:val="003C1219"/>
    <w:rsid w:val="003C130C"/>
    <w:rsid w:val="003C133F"/>
    <w:rsid w:val="003C134B"/>
    <w:rsid w:val="003C136C"/>
    <w:rsid w:val="003C138B"/>
    <w:rsid w:val="003C13D1"/>
    <w:rsid w:val="003C13EC"/>
    <w:rsid w:val="003C1443"/>
    <w:rsid w:val="003C1469"/>
    <w:rsid w:val="003C148E"/>
    <w:rsid w:val="003C148F"/>
    <w:rsid w:val="003C14C4"/>
    <w:rsid w:val="003C14DE"/>
    <w:rsid w:val="003C152C"/>
    <w:rsid w:val="003C1548"/>
    <w:rsid w:val="003C161A"/>
    <w:rsid w:val="003C164F"/>
    <w:rsid w:val="003C1662"/>
    <w:rsid w:val="003C1679"/>
    <w:rsid w:val="003C1683"/>
    <w:rsid w:val="003C16B4"/>
    <w:rsid w:val="003C16C6"/>
    <w:rsid w:val="003C16F1"/>
    <w:rsid w:val="003C172E"/>
    <w:rsid w:val="003C1784"/>
    <w:rsid w:val="003C178D"/>
    <w:rsid w:val="003C1795"/>
    <w:rsid w:val="003C1879"/>
    <w:rsid w:val="003C1895"/>
    <w:rsid w:val="003C189E"/>
    <w:rsid w:val="003C1910"/>
    <w:rsid w:val="003C1973"/>
    <w:rsid w:val="003C1997"/>
    <w:rsid w:val="003C19A0"/>
    <w:rsid w:val="003C19B8"/>
    <w:rsid w:val="003C1A15"/>
    <w:rsid w:val="003C1A3B"/>
    <w:rsid w:val="003C1A93"/>
    <w:rsid w:val="003C1AAC"/>
    <w:rsid w:val="003C1AE5"/>
    <w:rsid w:val="003C1B2A"/>
    <w:rsid w:val="003C1B2B"/>
    <w:rsid w:val="003C1BA5"/>
    <w:rsid w:val="003C1BBB"/>
    <w:rsid w:val="003C1BCB"/>
    <w:rsid w:val="003C1BF7"/>
    <w:rsid w:val="003C1BFC"/>
    <w:rsid w:val="003C1C31"/>
    <w:rsid w:val="003C1D0D"/>
    <w:rsid w:val="003C1D3C"/>
    <w:rsid w:val="003C1D41"/>
    <w:rsid w:val="003C1D6E"/>
    <w:rsid w:val="003C1DA3"/>
    <w:rsid w:val="003C1E12"/>
    <w:rsid w:val="003C1E2A"/>
    <w:rsid w:val="003C1E70"/>
    <w:rsid w:val="003C1E7B"/>
    <w:rsid w:val="003C1EAB"/>
    <w:rsid w:val="003C1EBA"/>
    <w:rsid w:val="003C1F1C"/>
    <w:rsid w:val="003C1F1D"/>
    <w:rsid w:val="003C1F5D"/>
    <w:rsid w:val="003C1F63"/>
    <w:rsid w:val="003C1F72"/>
    <w:rsid w:val="003C1F8A"/>
    <w:rsid w:val="003C1F97"/>
    <w:rsid w:val="003C1F98"/>
    <w:rsid w:val="003C1FE0"/>
    <w:rsid w:val="003C20CE"/>
    <w:rsid w:val="003C20DD"/>
    <w:rsid w:val="003C21AF"/>
    <w:rsid w:val="003C2206"/>
    <w:rsid w:val="003C2265"/>
    <w:rsid w:val="003C2281"/>
    <w:rsid w:val="003C22B9"/>
    <w:rsid w:val="003C22BB"/>
    <w:rsid w:val="003C22E3"/>
    <w:rsid w:val="003C2302"/>
    <w:rsid w:val="003C232A"/>
    <w:rsid w:val="003C235A"/>
    <w:rsid w:val="003C23E2"/>
    <w:rsid w:val="003C2416"/>
    <w:rsid w:val="003C245A"/>
    <w:rsid w:val="003C2465"/>
    <w:rsid w:val="003C246C"/>
    <w:rsid w:val="003C2471"/>
    <w:rsid w:val="003C2476"/>
    <w:rsid w:val="003C2493"/>
    <w:rsid w:val="003C24A0"/>
    <w:rsid w:val="003C24C1"/>
    <w:rsid w:val="003C24C5"/>
    <w:rsid w:val="003C24D4"/>
    <w:rsid w:val="003C24E4"/>
    <w:rsid w:val="003C24FE"/>
    <w:rsid w:val="003C257A"/>
    <w:rsid w:val="003C2595"/>
    <w:rsid w:val="003C25C0"/>
    <w:rsid w:val="003C25ED"/>
    <w:rsid w:val="003C25EE"/>
    <w:rsid w:val="003C25F4"/>
    <w:rsid w:val="003C2639"/>
    <w:rsid w:val="003C26B4"/>
    <w:rsid w:val="003C26C7"/>
    <w:rsid w:val="003C2701"/>
    <w:rsid w:val="003C2757"/>
    <w:rsid w:val="003C2811"/>
    <w:rsid w:val="003C2820"/>
    <w:rsid w:val="003C282B"/>
    <w:rsid w:val="003C2860"/>
    <w:rsid w:val="003C289E"/>
    <w:rsid w:val="003C293B"/>
    <w:rsid w:val="003C29D8"/>
    <w:rsid w:val="003C29EC"/>
    <w:rsid w:val="003C2A43"/>
    <w:rsid w:val="003C2A5A"/>
    <w:rsid w:val="003C2AF1"/>
    <w:rsid w:val="003C2B18"/>
    <w:rsid w:val="003C2B54"/>
    <w:rsid w:val="003C2B93"/>
    <w:rsid w:val="003C2BD6"/>
    <w:rsid w:val="003C2BFB"/>
    <w:rsid w:val="003C2C27"/>
    <w:rsid w:val="003C2C2D"/>
    <w:rsid w:val="003C2C9D"/>
    <w:rsid w:val="003C2CAF"/>
    <w:rsid w:val="003C2D25"/>
    <w:rsid w:val="003C2D32"/>
    <w:rsid w:val="003C2D4E"/>
    <w:rsid w:val="003C2D98"/>
    <w:rsid w:val="003C2DA3"/>
    <w:rsid w:val="003C2EC9"/>
    <w:rsid w:val="003C2ED4"/>
    <w:rsid w:val="003C2EE0"/>
    <w:rsid w:val="003C2F45"/>
    <w:rsid w:val="003C2F85"/>
    <w:rsid w:val="003C2F91"/>
    <w:rsid w:val="003C2FA2"/>
    <w:rsid w:val="003C2FA7"/>
    <w:rsid w:val="003C2FB3"/>
    <w:rsid w:val="003C2FBC"/>
    <w:rsid w:val="003C2FC8"/>
    <w:rsid w:val="003C3008"/>
    <w:rsid w:val="003C3010"/>
    <w:rsid w:val="003C302A"/>
    <w:rsid w:val="003C3076"/>
    <w:rsid w:val="003C315B"/>
    <w:rsid w:val="003C3197"/>
    <w:rsid w:val="003C31B6"/>
    <w:rsid w:val="003C31C0"/>
    <w:rsid w:val="003C31F9"/>
    <w:rsid w:val="003C3250"/>
    <w:rsid w:val="003C328E"/>
    <w:rsid w:val="003C32AA"/>
    <w:rsid w:val="003C32B5"/>
    <w:rsid w:val="003C32DF"/>
    <w:rsid w:val="003C335A"/>
    <w:rsid w:val="003C336C"/>
    <w:rsid w:val="003C339A"/>
    <w:rsid w:val="003C33CF"/>
    <w:rsid w:val="003C3437"/>
    <w:rsid w:val="003C3463"/>
    <w:rsid w:val="003C349A"/>
    <w:rsid w:val="003C34CB"/>
    <w:rsid w:val="003C3547"/>
    <w:rsid w:val="003C3569"/>
    <w:rsid w:val="003C35F6"/>
    <w:rsid w:val="003C360F"/>
    <w:rsid w:val="003C3671"/>
    <w:rsid w:val="003C3676"/>
    <w:rsid w:val="003C368A"/>
    <w:rsid w:val="003C375F"/>
    <w:rsid w:val="003C3760"/>
    <w:rsid w:val="003C3784"/>
    <w:rsid w:val="003C37BC"/>
    <w:rsid w:val="003C37C3"/>
    <w:rsid w:val="003C37C9"/>
    <w:rsid w:val="003C37E6"/>
    <w:rsid w:val="003C3817"/>
    <w:rsid w:val="003C3865"/>
    <w:rsid w:val="003C3895"/>
    <w:rsid w:val="003C38B7"/>
    <w:rsid w:val="003C38CA"/>
    <w:rsid w:val="003C38DD"/>
    <w:rsid w:val="003C392A"/>
    <w:rsid w:val="003C3941"/>
    <w:rsid w:val="003C39BE"/>
    <w:rsid w:val="003C39D0"/>
    <w:rsid w:val="003C3A2D"/>
    <w:rsid w:val="003C3A4B"/>
    <w:rsid w:val="003C3A85"/>
    <w:rsid w:val="003C3AB2"/>
    <w:rsid w:val="003C3C25"/>
    <w:rsid w:val="003C3C6D"/>
    <w:rsid w:val="003C3CDD"/>
    <w:rsid w:val="003C3CEB"/>
    <w:rsid w:val="003C3CF3"/>
    <w:rsid w:val="003C3CF7"/>
    <w:rsid w:val="003C3D09"/>
    <w:rsid w:val="003C3D0C"/>
    <w:rsid w:val="003C3D1D"/>
    <w:rsid w:val="003C3D29"/>
    <w:rsid w:val="003C3D4A"/>
    <w:rsid w:val="003C3DA9"/>
    <w:rsid w:val="003C3DAA"/>
    <w:rsid w:val="003C3DBB"/>
    <w:rsid w:val="003C3DC2"/>
    <w:rsid w:val="003C3E5A"/>
    <w:rsid w:val="003C3EB1"/>
    <w:rsid w:val="003C3EBA"/>
    <w:rsid w:val="003C3EC3"/>
    <w:rsid w:val="003C3EC7"/>
    <w:rsid w:val="003C3EF4"/>
    <w:rsid w:val="003C3F9F"/>
    <w:rsid w:val="003C3FE6"/>
    <w:rsid w:val="003C4078"/>
    <w:rsid w:val="003C40D3"/>
    <w:rsid w:val="003C4129"/>
    <w:rsid w:val="003C4177"/>
    <w:rsid w:val="003C41A6"/>
    <w:rsid w:val="003C41DD"/>
    <w:rsid w:val="003C4201"/>
    <w:rsid w:val="003C4248"/>
    <w:rsid w:val="003C4274"/>
    <w:rsid w:val="003C4299"/>
    <w:rsid w:val="003C433A"/>
    <w:rsid w:val="003C4442"/>
    <w:rsid w:val="003C445A"/>
    <w:rsid w:val="003C446F"/>
    <w:rsid w:val="003C44DD"/>
    <w:rsid w:val="003C44EA"/>
    <w:rsid w:val="003C4536"/>
    <w:rsid w:val="003C4545"/>
    <w:rsid w:val="003C454C"/>
    <w:rsid w:val="003C4567"/>
    <w:rsid w:val="003C45B6"/>
    <w:rsid w:val="003C45CC"/>
    <w:rsid w:val="003C4602"/>
    <w:rsid w:val="003C461E"/>
    <w:rsid w:val="003C46A9"/>
    <w:rsid w:val="003C46BC"/>
    <w:rsid w:val="003C4712"/>
    <w:rsid w:val="003C4720"/>
    <w:rsid w:val="003C4728"/>
    <w:rsid w:val="003C4732"/>
    <w:rsid w:val="003C4765"/>
    <w:rsid w:val="003C478D"/>
    <w:rsid w:val="003C482B"/>
    <w:rsid w:val="003C4862"/>
    <w:rsid w:val="003C48D4"/>
    <w:rsid w:val="003C48F0"/>
    <w:rsid w:val="003C4911"/>
    <w:rsid w:val="003C4915"/>
    <w:rsid w:val="003C491C"/>
    <w:rsid w:val="003C4927"/>
    <w:rsid w:val="003C4936"/>
    <w:rsid w:val="003C49AD"/>
    <w:rsid w:val="003C49DA"/>
    <w:rsid w:val="003C4A48"/>
    <w:rsid w:val="003C4A9F"/>
    <w:rsid w:val="003C4ACB"/>
    <w:rsid w:val="003C4AE7"/>
    <w:rsid w:val="003C4B25"/>
    <w:rsid w:val="003C4B8D"/>
    <w:rsid w:val="003C4B90"/>
    <w:rsid w:val="003C4BC6"/>
    <w:rsid w:val="003C4BFA"/>
    <w:rsid w:val="003C4C23"/>
    <w:rsid w:val="003C4C29"/>
    <w:rsid w:val="003C4C6C"/>
    <w:rsid w:val="003C4CA2"/>
    <w:rsid w:val="003C4CF8"/>
    <w:rsid w:val="003C4D07"/>
    <w:rsid w:val="003C4DA7"/>
    <w:rsid w:val="003C4DC5"/>
    <w:rsid w:val="003C4DFC"/>
    <w:rsid w:val="003C4E12"/>
    <w:rsid w:val="003C4E13"/>
    <w:rsid w:val="003C4E1C"/>
    <w:rsid w:val="003C4E6E"/>
    <w:rsid w:val="003C4E70"/>
    <w:rsid w:val="003C4EC9"/>
    <w:rsid w:val="003C4F0A"/>
    <w:rsid w:val="003C4F70"/>
    <w:rsid w:val="003C4FB3"/>
    <w:rsid w:val="003C4FE6"/>
    <w:rsid w:val="003C506D"/>
    <w:rsid w:val="003C50C8"/>
    <w:rsid w:val="003C50CF"/>
    <w:rsid w:val="003C50E5"/>
    <w:rsid w:val="003C5101"/>
    <w:rsid w:val="003C5102"/>
    <w:rsid w:val="003C51BF"/>
    <w:rsid w:val="003C5213"/>
    <w:rsid w:val="003C522B"/>
    <w:rsid w:val="003C525E"/>
    <w:rsid w:val="003C52E3"/>
    <w:rsid w:val="003C5307"/>
    <w:rsid w:val="003C5327"/>
    <w:rsid w:val="003C5339"/>
    <w:rsid w:val="003C535F"/>
    <w:rsid w:val="003C5363"/>
    <w:rsid w:val="003C53A2"/>
    <w:rsid w:val="003C53AE"/>
    <w:rsid w:val="003C53DF"/>
    <w:rsid w:val="003C53E0"/>
    <w:rsid w:val="003C5419"/>
    <w:rsid w:val="003C541F"/>
    <w:rsid w:val="003C548A"/>
    <w:rsid w:val="003C549F"/>
    <w:rsid w:val="003C54C9"/>
    <w:rsid w:val="003C54FA"/>
    <w:rsid w:val="003C5510"/>
    <w:rsid w:val="003C55F6"/>
    <w:rsid w:val="003C5610"/>
    <w:rsid w:val="003C5637"/>
    <w:rsid w:val="003C56D3"/>
    <w:rsid w:val="003C56EB"/>
    <w:rsid w:val="003C570D"/>
    <w:rsid w:val="003C5764"/>
    <w:rsid w:val="003C5781"/>
    <w:rsid w:val="003C5782"/>
    <w:rsid w:val="003C5786"/>
    <w:rsid w:val="003C57DF"/>
    <w:rsid w:val="003C57F1"/>
    <w:rsid w:val="003C5819"/>
    <w:rsid w:val="003C5848"/>
    <w:rsid w:val="003C58E9"/>
    <w:rsid w:val="003C5909"/>
    <w:rsid w:val="003C5939"/>
    <w:rsid w:val="003C5945"/>
    <w:rsid w:val="003C5994"/>
    <w:rsid w:val="003C599B"/>
    <w:rsid w:val="003C59A4"/>
    <w:rsid w:val="003C5ADA"/>
    <w:rsid w:val="003C5AE7"/>
    <w:rsid w:val="003C5B57"/>
    <w:rsid w:val="003C5B76"/>
    <w:rsid w:val="003C5B7C"/>
    <w:rsid w:val="003C5B9C"/>
    <w:rsid w:val="003C5BA4"/>
    <w:rsid w:val="003C5C34"/>
    <w:rsid w:val="003C5C5E"/>
    <w:rsid w:val="003C5C9F"/>
    <w:rsid w:val="003C5CB2"/>
    <w:rsid w:val="003C5CD3"/>
    <w:rsid w:val="003C5CED"/>
    <w:rsid w:val="003C5D96"/>
    <w:rsid w:val="003C5DA1"/>
    <w:rsid w:val="003C5E06"/>
    <w:rsid w:val="003C5E4B"/>
    <w:rsid w:val="003C5F0C"/>
    <w:rsid w:val="003C5F28"/>
    <w:rsid w:val="003C5FD4"/>
    <w:rsid w:val="003C5FFB"/>
    <w:rsid w:val="003C6036"/>
    <w:rsid w:val="003C603A"/>
    <w:rsid w:val="003C6090"/>
    <w:rsid w:val="003C60CC"/>
    <w:rsid w:val="003C60D8"/>
    <w:rsid w:val="003C60ED"/>
    <w:rsid w:val="003C6104"/>
    <w:rsid w:val="003C612E"/>
    <w:rsid w:val="003C615B"/>
    <w:rsid w:val="003C6257"/>
    <w:rsid w:val="003C6270"/>
    <w:rsid w:val="003C62AF"/>
    <w:rsid w:val="003C62EE"/>
    <w:rsid w:val="003C633F"/>
    <w:rsid w:val="003C639C"/>
    <w:rsid w:val="003C63AD"/>
    <w:rsid w:val="003C63E1"/>
    <w:rsid w:val="003C6420"/>
    <w:rsid w:val="003C6467"/>
    <w:rsid w:val="003C648E"/>
    <w:rsid w:val="003C64D0"/>
    <w:rsid w:val="003C6523"/>
    <w:rsid w:val="003C6528"/>
    <w:rsid w:val="003C65DE"/>
    <w:rsid w:val="003C666C"/>
    <w:rsid w:val="003C66FE"/>
    <w:rsid w:val="003C674E"/>
    <w:rsid w:val="003C676A"/>
    <w:rsid w:val="003C67BE"/>
    <w:rsid w:val="003C67CC"/>
    <w:rsid w:val="003C6805"/>
    <w:rsid w:val="003C6839"/>
    <w:rsid w:val="003C6868"/>
    <w:rsid w:val="003C68F7"/>
    <w:rsid w:val="003C6906"/>
    <w:rsid w:val="003C695B"/>
    <w:rsid w:val="003C6A4C"/>
    <w:rsid w:val="003C6A65"/>
    <w:rsid w:val="003C6AEB"/>
    <w:rsid w:val="003C6B21"/>
    <w:rsid w:val="003C6B44"/>
    <w:rsid w:val="003C6B62"/>
    <w:rsid w:val="003C6BF2"/>
    <w:rsid w:val="003C6C86"/>
    <w:rsid w:val="003C6C8B"/>
    <w:rsid w:val="003C6CC2"/>
    <w:rsid w:val="003C6CF5"/>
    <w:rsid w:val="003C6D30"/>
    <w:rsid w:val="003C6D33"/>
    <w:rsid w:val="003C6D4B"/>
    <w:rsid w:val="003C6DB1"/>
    <w:rsid w:val="003C6DE1"/>
    <w:rsid w:val="003C6E92"/>
    <w:rsid w:val="003C6ECB"/>
    <w:rsid w:val="003C6F11"/>
    <w:rsid w:val="003C6F75"/>
    <w:rsid w:val="003C6F95"/>
    <w:rsid w:val="003C6FAA"/>
    <w:rsid w:val="003C6FAB"/>
    <w:rsid w:val="003C6FD6"/>
    <w:rsid w:val="003C6FD8"/>
    <w:rsid w:val="003C6FF9"/>
    <w:rsid w:val="003C7007"/>
    <w:rsid w:val="003C7068"/>
    <w:rsid w:val="003C706D"/>
    <w:rsid w:val="003C70F7"/>
    <w:rsid w:val="003C70FF"/>
    <w:rsid w:val="003C717E"/>
    <w:rsid w:val="003C7191"/>
    <w:rsid w:val="003C7241"/>
    <w:rsid w:val="003C7324"/>
    <w:rsid w:val="003C7363"/>
    <w:rsid w:val="003C736D"/>
    <w:rsid w:val="003C73C6"/>
    <w:rsid w:val="003C7403"/>
    <w:rsid w:val="003C740C"/>
    <w:rsid w:val="003C744C"/>
    <w:rsid w:val="003C7467"/>
    <w:rsid w:val="003C7477"/>
    <w:rsid w:val="003C747E"/>
    <w:rsid w:val="003C7489"/>
    <w:rsid w:val="003C748C"/>
    <w:rsid w:val="003C74DA"/>
    <w:rsid w:val="003C7545"/>
    <w:rsid w:val="003C7566"/>
    <w:rsid w:val="003C75D5"/>
    <w:rsid w:val="003C766D"/>
    <w:rsid w:val="003C76FD"/>
    <w:rsid w:val="003C771F"/>
    <w:rsid w:val="003C7735"/>
    <w:rsid w:val="003C77E1"/>
    <w:rsid w:val="003C77F0"/>
    <w:rsid w:val="003C7813"/>
    <w:rsid w:val="003C782C"/>
    <w:rsid w:val="003C78CC"/>
    <w:rsid w:val="003C7924"/>
    <w:rsid w:val="003C7928"/>
    <w:rsid w:val="003C792D"/>
    <w:rsid w:val="003C792F"/>
    <w:rsid w:val="003C7968"/>
    <w:rsid w:val="003C796F"/>
    <w:rsid w:val="003C7980"/>
    <w:rsid w:val="003C7995"/>
    <w:rsid w:val="003C79A8"/>
    <w:rsid w:val="003C79AB"/>
    <w:rsid w:val="003C7A24"/>
    <w:rsid w:val="003C7A4D"/>
    <w:rsid w:val="003C7A57"/>
    <w:rsid w:val="003C7B98"/>
    <w:rsid w:val="003C7D5D"/>
    <w:rsid w:val="003C7D6A"/>
    <w:rsid w:val="003C7D94"/>
    <w:rsid w:val="003C7DBA"/>
    <w:rsid w:val="003C7E05"/>
    <w:rsid w:val="003C7E1D"/>
    <w:rsid w:val="003C7E25"/>
    <w:rsid w:val="003C7E7E"/>
    <w:rsid w:val="003C7F37"/>
    <w:rsid w:val="003D002E"/>
    <w:rsid w:val="003D00A4"/>
    <w:rsid w:val="003D00B1"/>
    <w:rsid w:val="003D0120"/>
    <w:rsid w:val="003D013C"/>
    <w:rsid w:val="003D01A1"/>
    <w:rsid w:val="003D0239"/>
    <w:rsid w:val="003D0282"/>
    <w:rsid w:val="003D02FF"/>
    <w:rsid w:val="003D0333"/>
    <w:rsid w:val="003D0345"/>
    <w:rsid w:val="003D0373"/>
    <w:rsid w:val="003D0412"/>
    <w:rsid w:val="003D041C"/>
    <w:rsid w:val="003D0496"/>
    <w:rsid w:val="003D04A1"/>
    <w:rsid w:val="003D04CC"/>
    <w:rsid w:val="003D04D4"/>
    <w:rsid w:val="003D04F3"/>
    <w:rsid w:val="003D04FF"/>
    <w:rsid w:val="003D0509"/>
    <w:rsid w:val="003D051A"/>
    <w:rsid w:val="003D0549"/>
    <w:rsid w:val="003D0558"/>
    <w:rsid w:val="003D0578"/>
    <w:rsid w:val="003D059C"/>
    <w:rsid w:val="003D059F"/>
    <w:rsid w:val="003D05AB"/>
    <w:rsid w:val="003D0662"/>
    <w:rsid w:val="003D06B7"/>
    <w:rsid w:val="003D06B8"/>
    <w:rsid w:val="003D06FA"/>
    <w:rsid w:val="003D06FC"/>
    <w:rsid w:val="003D0718"/>
    <w:rsid w:val="003D0765"/>
    <w:rsid w:val="003D0799"/>
    <w:rsid w:val="003D07B0"/>
    <w:rsid w:val="003D07C7"/>
    <w:rsid w:val="003D07E1"/>
    <w:rsid w:val="003D0820"/>
    <w:rsid w:val="003D0877"/>
    <w:rsid w:val="003D0881"/>
    <w:rsid w:val="003D08C4"/>
    <w:rsid w:val="003D08D7"/>
    <w:rsid w:val="003D08EA"/>
    <w:rsid w:val="003D08FE"/>
    <w:rsid w:val="003D0926"/>
    <w:rsid w:val="003D0937"/>
    <w:rsid w:val="003D095A"/>
    <w:rsid w:val="003D095B"/>
    <w:rsid w:val="003D09B5"/>
    <w:rsid w:val="003D0A02"/>
    <w:rsid w:val="003D0A30"/>
    <w:rsid w:val="003D0A62"/>
    <w:rsid w:val="003D0AA2"/>
    <w:rsid w:val="003D0ABD"/>
    <w:rsid w:val="003D0B44"/>
    <w:rsid w:val="003D0B5D"/>
    <w:rsid w:val="003D0B7D"/>
    <w:rsid w:val="003D0C36"/>
    <w:rsid w:val="003D0C55"/>
    <w:rsid w:val="003D0C69"/>
    <w:rsid w:val="003D0CD5"/>
    <w:rsid w:val="003D0D77"/>
    <w:rsid w:val="003D0E56"/>
    <w:rsid w:val="003D0E83"/>
    <w:rsid w:val="003D0E9A"/>
    <w:rsid w:val="003D0EBD"/>
    <w:rsid w:val="003D0F50"/>
    <w:rsid w:val="003D0FA1"/>
    <w:rsid w:val="003D0FB4"/>
    <w:rsid w:val="003D0FC3"/>
    <w:rsid w:val="003D1020"/>
    <w:rsid w:val="003D1022"/>
    <w:rsid w:val="003D1036"/>
    <w:rsid w:val="003D10AF"/>
    <w:rsid w:val="003D10B8"/>
    <w:rsid w:val="003D10D7"/>
    <w:rsid w:val="003D1112"/>
    <w:rsid w:val="003D1124"/>
    <w:rsid w:val="003D1159"/>
    <w:rsid w:val="003D1160"/>
    <w:rsid w:val="003D1175"/>
    <w:rsid w:val="003D1186"/>
    <w:rsid w:val="003D1214"/>
    <w:rsid w:val="003D12C9"/>
    <w:rsid w:val="003D12E4"/>
    <w:rsid w:val="003D12F2"/>
    <w:rsid w:val="003D136A"/>
    <w:rsid w:val="003D138E"/>
    <w:rsid w:val="003D13B5"/>
    <w:rsid w:val="003D1417"/>
    <w:rsid w:val="003D1451"/>
    <w:rsid w:val="003D14DB"/>
    <w:rsid w:val="003D14F7"/>
    <w:rsid w:val="003D14FC"/>
    <w:rsid w:val="003D152E"/>
    <w:rsid w:val="003D152F"/>
    <w:rsid w:val="003D1555"/>
    <w:rsid w:val="003D15A9"/>
    <w:rsid w:val="003D161B"/>
    <w:rsid w:val="003D1670"/>
    <w:rsid w:val="003D1674"/>
    <w:rsid w:val="003D1687"/>
    <w:rsid w:val="003D169B"/>
    <w:rsid w:val="003D16E6"/>
    <w:rsid w:val="003D1718"/>
    <w:rsid w:val="003D1745"/>
    <w:rsid w:val="003D17A5"/>
    <w:rsid w:val="003D17FA"/>
    <w:rsid w:val="003D17FF"/>
    <w:rsid w:val="003D182A"/>
    <w:rsid w:val="003D184B"/>
    <w:rsid w:val="003D1856"/>
    <w:rsid w:val="003D1862"/>
    <w:rsid w:val="003D186B"/>
    <w:rsid w:val="003D187E"/>
    <w:rsid w:val="003D18EB"/>
    <w:rsid w:val="003D1901"/>
    <w:rsid w:val="003D190C"/>
    <w:rsid w:val="003D1919"/>
    <w:rsid w:val="003D1A4B"/>
    <w:rsid w:val="003D1AE3"/>
    <w:rsid w:val="003D1AF5"/>
    <w:rsid w:val="003D1AFF"/>
    <w:rsid w:val="003D1B84"/>
    <w:rsid w:val="003D1C26"/>
    <w:rsid w:val="003D1C2D"/>
    <w:rsid w:val="003D1C3A"/>
    <w:rsid w:val="003D1C70"/>
    <w:rsid w:val="003D1CDE"/>
    <w:rsid w:val="003D1D6B"/>
    <w:rsid w:val="003D1D84"/>
    <w:rsid w:val="003D1D8F"/>
    <w:rsid w:val="003D1DCD"/>
    <w:rsid w:val="003D1E50"/>
    <w:rsid w:val="003D1E55"/>
    <w:rsid w:val="003D1F32"/>
    <w:rsid w:val="003D1F75"/>
    <w:rsid w:val="003D1FBF"/>
    <w:rsid w:val="003D1FC6"/>
    <w:rsid w:val="003D1FDE"/>
    <w:rsid w:val="003D2033"/>
    <w:rsid w:val="003D2051"/>
    <w:rsid w:val="003D2074"/>
    <w:rsid w:val="003D20E8"/>
    <w:rsid w:val="003D20F1"/>
    <w:rsid w:val="003D213D"/>
    <w:rsid w:val="003D2142"/>
    <w:rsid w:val="003D2165"/>
    <w:rsid w:val="003D2166"/>
    <w:rsid w:val="003D2219"/>
    <w:rsid w:val="003D221E"/>
    <w:rsid w:val="003D2287"/>
    <w:rsid w:val="003D22EB"/>
    <w:rsid w:val="003D23A9"/>
    <w:rsid w:val="003D23C8"/>
    <w:rsid w:val="003D23F1"/>
    <w:rsid w:val="003D2418"/>
    <w:rsid w:val="003D242E"/>
    <w:rsid w:val="003D24A0"/>
    <w:rsid w:val="003D2518"/>
    <w:rsid w:val="003D252C"/>
    <w:rsid w:val="003D2532"/>
    <w:rsid w:val="003D2572"/>
    <w:rsid w:val="003D2586"/>
    <w:rsid w:val="003D2596"/>
    <w:rsid w:val="003D25CB"/>
    <w:rsid w:val="003D25F2"/>
    <w:rsid w:val="003D263A"/>
    <w:rsid w:val="003D263B"/>
    <w:rsid w:val="003D2655"/>
    <w:rsid w:val="003D268C"/>
    <w:rsid w:val="003D269A"/>
    <w:rsid w:val="003D2732"/>
    <w:rsid w:val="003D2779"/>
    <w:rsid w:val="003D278F"/>
    <w:rsid w:val="003D27BC"/>
    <w:rsid w:val="003D27E4"/>
    <w:rsid w:val="003D27EC"/>
    <w:rsid w:val="003D281C"/>
    <w:rsid w:val="003D283C"/>
    <w:rsid w:val="003D2866"/>
    <w:rsid w:val="003D2893"/>
    <w:rsid w:val="003D28A9"/>
    <w:rsid w:val="003D2947"/>
    <w:rsid w:val="003D297A"/>
    <w:rsid w:val="003D29F0"/>
    <w:rsid w:val="003D2B05"/>
    <w:rsid w:val="003D2B6F"/>
    <w:rsid w:val="003D2B9D"/>
    <w:rsid w:val="003D2BD5"/>
    <w:rsid w:val="003D2BEC"/>
    <w:rsid w:val="003D2C44"/>
    <w:rsid w:val="003D2C4C"/>
    <w:rsid w:val="003D2C61"/>
    <w:rsid w:val="003D2C8A"/>
    <w:rsid w:val="003D2C9A"/>
    <w:rsid w:val="003D2CAD"/>
    <w:rsid w:val="003D2CDA"/>
    <w:rsid w:val="003D2D61"/>
    <w:rsid w:val="003D2D9D"/>
    <w:rsid w:val="003D2DCE"/>
    <w:rsid w:val="003D2DE7"/>
    <w:rsid w:val="003D2DF7"/>
    <w:rsid w:val="003D2E78"/>
    <w:rsid w:val="003D2F0C"/>
    <w:rsid w:val="003D2F5A"/>
    <w:rsid w:val="003D2F5F"/>
    <w:rsid w:val="003D2FBC"/>
    <w:rsid w:val="003D2FBF"/>
    <w:rsid w:val="003D2FD3"/>
    <w:rsid w:val="003D2FF8"/>
    <w:rsid w:val="003D3012"/>
    <w:rsid w:val="003D3017"/>
    <w:rsid w:val="003D310E"/>
    <w:rsid w:val="003D3179"/>
    <w:rsid w:val="003D3196"/>
    <w:rsid w:val="003D31AE"/>
    <w:rsid w:val="003D31BA"/>
    <w:rsid w:val="003D31D3"/>
    <w:rsid w:val="003D31D4"/>
    <w:rsid w:val="003D31D6"/>
    <w:rsid w:val="003D324A"/>
    <w:rsid w:val="003D329B"/>
    <w:rsid w:val="003D32B2"/>
    <w:rsid w:val="003D32DD"/>
    <w:rsid w:val="003D3306"/>
    <w:rsid w:val="003D33D4"/>
    <w:rsid w:val="003D3408"/>
    <w:rsid w:val="003D341C"/>
    <w:rsid w:val="003D3423"/>
    <w:rsid w:val="003D34A7"/>
    <w:rsid w:val="003D34B4"/>
    <w:rsid w:val="003D34D0"/>
    <w:rsid w:val="003D34D8"/>
    <w:rsid w:val="003D34F3"/>
    <w:rsid w:val="003D3519"/>
    <w:rsid w:val="003D3528"/>
    <w:rsid w:val="003D352F"/>
    <w:rsid w:val="003D3536"/>
    <w:rsid w:val="003D355C"/>
    <w:rsid w:val="003D36E3"/>
    <w:rsid w:val="003D374C"/>
    <w:rsid w:val="003D374E"/>
    <w:rsid w:val="003D37C2"/>
    <w:rsid w:val="003D37D9"/>
    <w:rsid w:val="003D3824"/>
    <w:rsid w:val="003D3835"/>
    <w:rsid w:val="003D3869"/>
    <w:rsid w:val="003D38B4"/>
    <w:rsid w:val="003D38EA"/>
    <w:rsid w:val="003D38F6"/>
    <w:rsid w:val="003D3902"/>
    <w:rsid w:val="003D3915"/>
    <w:rsid w:val="003D3961"/>
    <w:rsid w:val="003D3982"/>
    <w:rsid w:val="003D3992"/>
    <w:rsid w:val="003D3999"/>
    <w:rsid w:val="003D39DE"/>
    <w:rsid w:val="003D3A19"/>
    <w:rsid w:val="003D3A4D"/>
    <w:rsid w:val="003D3A65"/>
    <w:rsid w:val="003D3AFB"/>
    <w:rsid w:val="003D3B81"/>
    <w:rsid w:val="003D3B82"/>
    <w:rsid w:val="003D3BE9"/>
    <w:rsid w:val="003D3BFB"/>
    <w:rsid w:val="003D3C11"/>
    <w:rsid w:val="003D3C13"/>
    <w:rsid w:val="003D3C84"/>
    <w:rsid w:val="003D3CC5"/>
    <w:rsid w:val="003D3CE4"/>
    <w:rsid w:val="003D3D2F"/>
    <w:rsid w:val="003D3D8B"/>
    <w:rsid w:val="003D3DA0"/>
    <w:rsid w:val="003D3DCB"/>
    <w:rsid w:val="003D3DE1"/>
    <w:rsid w:val="003D3E46"/>
    <w:rsid w:val="003D3F95"/>
    <w:rsid w:val="003D3F99"/>
    <w:rsid w:val="003D3FC2"/>
    <w:rsid w:val="003D3FE6"/>
    <w:rsid w:val="003D3FE8"/>
    <w:rsid w:val="003D3FEF"/>
    <w:rsid w:val="003D4010"/>
    <w:rsid w:val="003D411B"/>
    <w:rsid w:val="003D4189"/>
    <w:rsid w:val="003D41DF"/>
    <w:rsid w:val="003D41E5"/>
    <w:rsid w:val="003D4222"/>
    <w:rsid w:val="003D4227"/>
    <w:rsid w:val="003D4231"/>
    <w:rsid w:val="003D4234"/>
    <w:rsid w:val="003D4237"/>
    <w:rsid w:val="003D426D"/>
    <w:rsid w:val="003D42B5"/>
    <w:rsid w:val="003D4311"/>
    <w:rsid w:val="003D433B"/>
    <w:rsid w:val="003D437F"/>
    <w:rsid w:val="003D43B2"/>
    <w:rsid w:val="003D43C3"/>
    <w:rsid w:val="003D43C5"/>
    <w:rsid w:val="003D4418"/>
    <w:rsid w:val="003D4494"/>
    <w:rsid w:val="003D44AD"/>
    <w:rsid w:val="003D451D"/>
    <w:rsid w:val="003D45AA"/>
    <w:rsid w:val="003D45BF"/>
    <w:rsid w:val="003D4603"/>
    <w:rsid w:val="003D464D"/>
    <w:rsid w:val="003D472D"/>
    <w:rsid w:val="003D4730"/>
    <w:rsid w:val="003D4750"/>
    <w:rsid w:val="003D480A"/>
    <w:rsid w:val="003D48C4"/>
    <w:rsid w:val="003D48D8"/>
    <w:rsid w:val="003D48E0"/>
    <w:rsid w:val="003D4901"/>
    <w:rsid w:val="003D4909"/>
    <w:rsid w:val="003D4928"/>
    <w:rsid w:val="003D498A"/>
    <w:rsid w:val="003D4997"/>
    <w:rsid w:val="003D49CA"/>
    <w:rsid w:val="003D49D5"/>
    <w:rsid w:val="003D4A1A"/>
    <w:rsid w:val="003D4A5E"/>
    <w:rsid w:val="003D4AAC"/>
    <w:rsid w:val="003D4ADB"/>
    <w:rsid w:val="003D4B21"/>
    <w:rsid w:val="003D4B65"/>
    <w:rsid w:val="003D4BC7"/>
    <w:rsid w:val="003D4BCF"/>
    <w:rsid w:val="003D4C23"/>
    <w:rsid w:val="003D4C44"/>
    <w:rsid w:val="003D4C45"/>
    <w:rsid w:val="003D4D08"/>
    <w:rsid w:val="003D4D34"/>
    <w:rsid w:val="003D4D49"/>
    <w:rsid w:val="003D4DAE"/>
    <w:rsid w:val="003D4DE4"/>
    <w:rsid w:val="003D4DF3"/>
    <w:rsid w:val="003D4E0F"/>
    <w:rsid w:val="003D4ED9"/>
    <w:rsid w:val="003D4F46"/>
    <w:rsid w:val="003D4F72"/>
    <w:rsid w:val="003D4F8D"/>
    <w:rsid w:val="003D4F8E"/>
    <w:rsid w:val="003D505D"/>
    <w:rsid w:val="003D50AC"/>
    <w:rsid w:val="003D50E5"/>
    <w:rsid w:val="003D5130"/>
    <w:rsid w:val="003D5138"/>
    <w:rsid w:val="003D5146"/>
    <w:rsid w:val="003D5189"/>
    <w:rsid w:val="003D5190"/>
    <w:rsid w:val="003D51A9"/>
    <w:rsid w:val="003D51B1"/>
    <w:rsid w:val="003D51ED"/>
    <w:rsid w:val="003D522A"/>
    <w:rsid w:val="003D5260"/>
    <w:rsid w:val="003D5262"/>
    <w:rsid w:val="003D52C7"/>
    <w:rsid w:val="003D533F"/>
    <w:rsid w:val="003D534A"/>
    <w:rsid w:val="003D534C"/>
    <w:rsid w:val="003D5354"/>
    <w:rsid w:val="003D5365"/>
    <w:rsid w:val="003D5371"/>
    <w:rsid w:val="003D5381"/>
    <w:rsid w:val="003D53B6"/>
    <w:rsid w:val="003D53DC"/>
    <w:rsid w:val="003D53DD"/>
    <w:rsid w:val="003D5409"/>
    <w:rsid w:val="003D5426"/>
    <w:rsid w:val="003D5429"/>
    <w:rsid w:val="003D5490"/>
    <w:rsid w:val="003D54C6"/>
    <w:rsid w:val="003D550C"/>
    <w:rsid w:val="003D5526"/>
    <w:rsid w:val="003D5531"/>
    <w:rsid w:val="003D5549"/>
    <w:rsid w:val="003D55E6"/>
    <w:rsid w:val="003D5643"/>
    <w:rsid w:val="003D5668"/>
    <w:rsid w:val="003D567B"/>
    <w:rsid w:val="003D5827"/>
    <w:rsid w:val="003D588E"/>
    <w:rsid w:val="003D5894"/>
    <w:rsid w:val="003D58E8"/>
    <w:rsid w:val="003D5913"/>
    <w:rsid w:val="003D5944"/>
    <w:rsid w:val="003D5945"/>
    <w:rsid w:val="003D595C"/>
    <w:rsid w:val="003D5963"/>
    <w:rsid w:val="003D5969"/>
    <w:rsid w:val="003D596F"/>
    <w:rsid w:val="003D5970"/>
    <w:rsid w:val="003D59EA"/>
    <w:rsid w:val="003D59F2"/>
    <w:rsid w:val="003D59FB"/>
    <w:rsid w:val="003D5A57"/>
    <w:rsid w:val="003D5A5A"/>
    <w:rsid w:val="003D5A91"/>
    <w:rsid w:val="003D5A9D"/>
    <w:rsid w:val="003D5A9F"/>
    <w:rsid w:val="003D5AB9"/>
    <w:rsid w:val="003D5AC2"/>
    <w:rsid w:val="003D5ACF"/>
    <w:rsid w:val="003D5B0B"/>
    <w:rsid w:val="003D5B7A"/>
    <w:rsid w:val="003D5BCC"/>
    <w:rsid w:val="003D5BCF"/>
    <w:rsid w:val="003D5BE9"/>
    <w:rsid w:val="003D5C1B"/>
    <w:rsid w:val="003D5C2B"/>
    <w:rsid w:val="003D5C74"/>
    <w:rsid w:val="003D5CAD"/>
    <w:rsid w:val="003D5D1E"/>
    <w:rsid w:val="003D5D20"/>
    <w:rsid w:val="003D5D30"/>
    <w:rsid w:val="003D5D57"/>
    <w:rsid w:val="003D5D6B"/>
    <w:rsid w:val="003D5DEC"/>
    <w:rsid w:val="003D5DFC"/>
    <w:rsid w:val="003D5E0A"/>
    <w:rsid w:val="003D5E21"/>
    <w:rsid w:val="003D5E5B"/>
    <w:rsid w:val="003D5E78"/>
    <w:rsid w:val="003D5EF8"/>
    <w:rsid w:val="003D5F2F"/>
    <w:rsid w:val="003D5F91"/>
    <w:rsid w:val="003D5FCF"/>
    <w:rsid w:val="003D5FE3"/>
    <w:rsid w:val="003D6024"/>
    <w:rsid w:val="003D603C"/>
    <w:rsid w:val="003D6050"/>
    <w:rsid w:val="003D60E1"/>
    <w:rsid w:val="003D610C"/>
    <w:rsid w:val="003D6140"/>
    <w:rsid w:val="003D6196"/>
    <w:rsid w:val="003D61F3"/>
    <w:rsid w:val="003D6215"/>
    <w:rsid w:val="003D621B"/>
    <w:rsid w:val="003D62F3"/>
    <w:rsid w:val="003D631F"/>
    <w:rsid w:val="003D6327"/>
    <w:rsid w:val="003D635D"/>
    <w:rsid w:val="003D6381"/>
    <w:rsid w:val="003D63CB"/>
    <w:rsid w:val="003D6412"/>
    <w:rsid w:val="003D6435"/>
    <w:rsid w:val="003D6439"/>
    <w:rsid w:val="003D6456"/>
    <w:rsid w:val="003D6473"/>
    <w:rsid w:val="003D6503"/>
    <w:rsid w:val="003D6527"/>
    <w:rsid w:val="003D652D"/>
    <w:rsid w:val="003D659B"/>
    <w:rsid w:val="003D65CD"/>
    <w:rsid w:val="003D65EB"/>
    <w:rsid w:val="003D6619"/>
    <w:rsid w:val="003D665B"/>
    <w:rsid w:val="003D666B"/>
    <w:rsid w:val="003D667E"/>
    <w:rsid w:val="003D66AA"/>
    <w:rsid w:val="003D676E"/>
    <w:rsid w:val="003D6793"/>
    <w:rsid w:val="003D67BA"/>
    <w:rsid w:val="003D6830"/>
    <w:rsid w:val="003D68AE"/>
    <w:rsid w:val="003D68B3"/>
    <w:rsid w:val="003D68F7"/>
    <w:rsid w:val="003D6978"/>
    <w:rsid w:val="003D698A"/>
    <w:rsid w:val="003D69A3"/>
    <w:rsid w:val="003D69C7"/>
    <w:rsid w:val="003D69DF"/>
    <w:rsid w:val="003D6A20"/>
    <w:rsid w:val="003D6A2B"/>
    <w:rsid w:val="003D6A3B"/>
    <w:rsid w:val="003D6A47"/>
    <w:rsid w:val="003D6A79"/>
    <w:rsid w:val="003D6A7C"/>
    <w:rsid w:val="003D6AA4"/>
    <w:rsid w:val="003D6ACB"/>
    <w:rsid w:val="003D6B19"/>
    <w:rsid w:val="003D6B2E"/>
    <w:rsid w:val="003D6BA5"/>
    <w:rsid w:val="003D6BBD"/>
    <w:rsid w:val="003D6C24"/>
    <w:rsid w:val="003D6C82"/>
    <w:rsid w:val="003D6CD9"/>
    <w:rsid w:val="003D6CFA"/>
    <w:rsid w:val="003D6D0C"/>
    <w:rsid w:val="003D6D44"/>
    <w:rsid w:val="003D6DCD"/>
    <w:rsid w:val="003D6E85"/>
    <w:rsid w:val="003D6E8A"/>
    <w:rsid w:val="003D6EDB"/>
    <w:rsid w:val="003D6FBF"/>
    <w:rsid w:val="003D6FFB"/>
    <w:rsid w:val="003D7021"/>
    <w:rsid w:val="003D7026"/>
    <w:rsid w:val="003D702C"/>
    <w:rsid w:val="003D704C"/>
    <w:rsid w:val="003D70CA"/>
    <w:rsid w:val="003D70D4"/>
    <w:rsid w:val="003D70DD"/>
    <w:rsid w:val="003D7130"/>
    <w:rsid w:val="003D71DF"/>
    <w:rsid w:val="003D721F"/>
    <w:rsid w:val="003D7242"/>
    <w:rsid w:val="003D728A"/>
    <w:rsid w:val="003D72D7"/>
    <w:rsid w:val="003D7311"/>
    <w:rsid w:val="003D7342"/>
    <w:rsid w:val="003D7366"/>
    <w:rsid w:val="003D73B0"/>
    <w:rsid w:val="003D741C"/>
    <w:rsid w:val="003D74B8"/>
    <w:rsid w:val="003D7516"/>
    <w:rsid w:val="003D7567"/>
    <w:rsid w:val="003D759C"/>
    <w:rsid w:val="003D75C3"/>
    <w:rsid w:val="003D75C4"/>
    <w:rsid w:val="003D75F5"/>
    <w:rsid w:val="003D760E"/>
    <w:rsid w:val="003D7622"/>
    <w:rsid w:val="003D7636"/>
    <w:rsid w:val="003D765D"/>
    <w:rsid w:val="003D7683"/>
    <w:rsid w:val="003D76B6"/>
    <w:rsid w:val="003D76FA"/>
    <w:rsid w:val="003D7783"/>
    <w:rsid w:val="003D7797"/>
    <w:rsid w:val="003D77A0"/>
    <w:rsid w:val="003D77A2"/>
    <w:rsid w:val="003D77A8"/>
    <w:rsid w:val="003D77AF"/>
    <w:rsid w:val="003D77DD"/>
    <w:rsid w:val="003D7828"/>
    <w:rsid w:val="003D7843"/>
    <w:rsid w:val="003D7876"/>
    <w:rsid w:val="003D78F7"/>
    <w:rsid w:val="003D79A7"/>
    <w:rsid w:val="003D7A3E"/>
    <w:rsid w:val="003D7A75"/>
    <w:rsid w:val="003D7A7F"/>
    <w:rsid w:val="003D7A99"/>
    <w:rsid w:val="003D7AD0"/>
    <w:rsid w:val="003D7AD5"/>
    <w:rsid w:val="003D7B09"/>
    <w:rsid w:val="003D7B95"/>
    <w:rsid w:val="003D7BC5"/>
    <w:rsid w:val="003D7BD6"/>
    <w:rsid w:val="003D7BE5"/>
    <w:rsid w:val="003D7C6B"/>
    <w:rsid w:val="003D7C81"/>
    <w:rsid w:val="003D7C89"/>
    <w:rsid w:val="003D7CE5"/>
    <w:rsid w:val="003D7D0F"/>
    <w:rsid w:val="003D7D15"/>
    <w:rsid w:val="003D7D60"/>
    <w:rsid w:val="003D7D77"/>
    <w:rsid w:val="003D7D84"/>
    <w:rsid w:val="003D7DA1"/>
    <w:rsid w:val="003D7DFD"/>
    <w:rsid w:val="003D7E56"/>
    <w:rsid w:val="003D7EBC"/>
    <w:rsid w:val="003D7EFE"/>
    <w:rsid w:val="003D7F27"/>
    <w:rsid w:val="003D7F66"/>
    <w:rsid w:val="003DAF66"/>
    <w:rsid w:val="003DC192"/>
    <w:rsid w:val="003E002A"/>
    <w:rsid w:val="003E002C"/>
    <w:rsid w:val="003E002F"/>
    <w:rsid w:val="003E0030"/>
    <w:rsid w:val="003E0033"/>
    <w:rsid w:val="003E003C"/>
    <w:rsid w:val="003E00CC"/>
    <w:rsid w:val="003E00CF"/>
    <w:rsid w:val="003E010A"/>
    <w:rsid w:val="003E0162"/>
    <w:rsid w:val="003E01A3"/>
    <w:rsid w:val="003E01D7"/>
    <w:rsid w:val="003E01EE"/>
    <w:rsid w:val="003E0238"/>
    <w:rsid w:val="003E02F9"/>
    <w:rsid w:val="003E0348"/>
    <w:rsid w:val="003E0355"/>
    <w:rsid w:val="003E0379"/>
    <w:rsid w:val="003E03C0"/>
    <w:rsid w:val="003E03F5"/>
    <w:rsid w:val="003E0404"/>
    <w:rsid w:val="003E049F"/>
    <w:rsid w:val="003E04AE"/>
    <w:rsid w:val="003E04B1"/>
    <w:rsid w:val="003E04B5"/>
    <w:rsid w:val="003E0553"/>
    <w:rsid w:val="003E05A5"/>
    <w:rsid w:val="003E05AE"/>
    <w:rsid w:val="003E05FD"/>
    <w:rsid w:val="003E0642"/>
    <w:rsid w:val="003E066D"/>
    <w:rsid w:val="003E0671"/>
    <w:rsid w:val="003E0718"/>
    <w:rsid w:val="003E0721"/>
    <w:rsid w:val="003E072C"/>
    <w:rsid w:val="003E0761"/>
    <w:rsid w:val="003E076B"/>
    <w:rsid w:val="003E0787"/>
    <w:rsid w:val="003E07A9"/>
    <w:rsid w:val="003E07BF"/>
    <w:rsid w:val="003E0818"/>
    <w:rsid w:val="003E083C"/>
    <w:rsid w:val="003E08B7"/>
    <w:rsid w:val="003E098C"/>
    <w:rsid w:val="003E099A"/>
    <w:rsid w:val="003E09CB"/>
    <w:rsid w:val="003E0A2B"/>
    <w:rsid w:val="003E0A40"/>
    <w:rsid w:val="003E0A41"/>
    <w:rsid w:val="003E0A54"/>
    <w:rsid w:val="003E0ABD"/>
    <w:rsid w:val="003E0AD8"/>
    <w:rsid w:val="003E0B14"/>
    <w:rsid w:val="003E0BAC"/>
    <w:rsid w:val="003E0BD9"/>
    <w:rsid w:val="003E0C2A"/>
    <w:rsid w:val="003E0C49"/>
    <w:rsid w:val="003E0C6D"/>
    <w:rsid w:val="003E0C7A"/>
    <w:rsid w:val="003E0CB4"/>
    <w:rsid w:val="003E0CD3"/>
    <w:rsid w:val="003E0CFD"/>
    <w:rsid w:val="003E0D43"/>
    <w:rsid w:val="003E0D8C"/>
    <w:rsid w:val="003E0DC3"/>
    <w:rsid w:val="003E0DF4"/>
    <w:rsid w:val="003E0E42"/>
    <w:rsid w:val="003E0E57"/>
    <w:rsid w:val="003E0EBE"/>
    <w:rsid w:val="003E0EC4"/>
    <w:rsid w:val="003E0F16"/>
    <w:rsid w:val="003E0F4F"/>
    <w:rsid w:val="003E0F69"/>
    <w:rsid w:val="003E0F76"/>
    <w:rsid w:val="003E0FBE"/>
    <w:rsid w:val="003E1004"/>
    <w:rsid w:val="003E105C"/>
    <w:rsid w:val="003E10CB"/>
    <w:rsid w:val="003E1100"/>
    <w:rsid w:val="003E1101"/>
    <w:rsid w:val="003E110E"/>
    <w:rsid w:val="003E112E"/>
    <w:rsid w:val="003E1145"/>
    <w:rsid w:val="003E1175"/>
    <w:rsid w:val="003E117F"/>
    <w:rsid w:val="003E11AE"/>
    <w:rsid w:val="003E1215"/>
    <w:rsid w:val="003E1275"/>
    <w:rsid w:val="003E1296"/>
    <w:rsid w:val="003E1345"/>
    <w:rsid w:val="003E1365"/>
    <w:rsid w:val="003E1382"/>
    <w:rsid w:val="003E1384"/>
    <w:rsid w:val="003E13EA"/>
    <w:rsid w:val="003E1424"/>
    <w:rsid w:val="003E1448"/>
    <w:rsid w:val="003E14BA"/>
    <w:rsid w:val="003E1523"/>
    <w:rsid w:val="003E1588"/>
    <w:rsid w:val="003E158B"/>
    <w:rsid w:val="003E158E"/>
    <w:rsid w:val="003E15AE"/>
    <w:rsid w:val="003E15DF"/>
    <w:rsid w:val="003E15FD"/>
    <w:rsid w:val="003E1620"/>
    <w:rsid w:val="003E163C"/>
    <w:rsid w:val="003E1663"/>
    <w:rsid w:val="003E1684"/>
    <w:rsid w:val="003E1688"/>
    <w:rsid w:val="003E16E2"/>
    <w:rsid w:val="003E16EA"/>
    <w:rsid w:val="003E1712"/>
    <w:rsid w:val="003E17D2"/>
    <w:rsid w:val="003E1870"/>
    <w:rsid w:val="003E1878"/>
    <w:rsid w:val="003E188A"/>
    <w:rsid w:val="003E193C"/>
    <w:rsid w:val="003E1981"/>
    <w:rsid w:val="003E19B1"/>
    <w:rsid w:val="003E19C6"/>
    <w:rsid w:val="003E1A08"/>
    <w:rsid w:val="003E1A2C"/>
    <w:rsid w:val="003E1A37"/>
    <w:rsid w:val="003E1A88"/>
    <w:rsid w:val="003E1ABA"/>
    <w:rsid w:val="003E1AC6"/>
    <w:rsid w:val="003E1B00"/>
    <w:rsid w:val="003E1B16"/>
    <w:rsid w:val="003E1B27"/>
    <w:rsid w:val="003E1B51"/>
    <w:rsid w:val="003E1B5F"/>
    <w:rsid w:val="003E1B76"/>
    <w:rsid w:val="003E1C16"/>
    <w:rsid w:val="003E1C1B"/>
    <w:rsid w:val="003E1C44"/>
    <w:rsid w:val="003E1CD5"/>
    <w:rsid w:val="003E1D0A"/>
    <w:rsid w:val="003E1D19"/>
    <w:rsid w:val="003E1D45"/>
    <w:rsid w:val="003E1D81"/>
    <w:rsid w:val="003E1D90"/>
    <w:rsid w:val="003E1D9D"/>
    <w:rsid w:val="003E1DAD"/>
    <w:rsid w:val="003E1E08"/>
    <w:rsid w:val="003E1E69"/>
    <w:rsid w:val="003E1E86"/>
    <w:rsid w:val="003E1E97"/>
    <w:rsid w:val="003E1EB3"/>
    <w:rsid w:val="003E1ED3"/>
    <w:rsid w:val="003E1EDB"/>
    <w:rsid w:val="003E1F06"/>
    <w:rsid w:val="003E2044"/>
    <w:rsid w:val="003E205B"/>
    <w:rsid w:val="003E2080"/>
    <w:rsid w:val="003E2104"/>
    <w:rsid w:val="003E2129"/>
    <w:rsid w:val="003E2132"/>
    <w:rsid w:val="003E217F"/>
    <w:rsid w:val="003E21A0"/>
    <w:rsid w:val="003E21D8"/>
    <w:rsid w:val="003E2202"/>
    <w:rsid w:val="003E220B"/>
    <w:rsid w:val="003E2259"/>
    <w:rsid w:val="003E228C"/>
    <w:rsid w:val="003E22D4"/>
    <w:rsid w:val="003E2337"/>
    <w:rsid w:val="003E234C"/>
    <w:rsid w:val="003E2398"/>
    <w:rsid w:val="003E23C0"/>
    <w:rsid w:val="003E2410"/>
    <w:rsid w:val="003E242D"/>
    <w:rsid w:val="003E2435"/>
    <w:rsid w:val="003E2471"/>
    <w:rsid w:val="003E247E"/>
    <w:rsid w:val="003E2484"/>
    <w:rsid w:val="003E24AA"/>
    <w:rsid w:val="003E24BF"/>
    <w:rsid w:val="003E24E0"/>
    <w:rsid w:val="003E24E6"/>
    <w:rsid w:val="003E2553"/>
    <w:rsid w:val="003E258F"/>
    <w:rsid w:val="003E25B9"/>
    <w:rsid w:val="003E25E9"/>
    <w:rsid w:val="003E25FF"/>
    <w:rsid w:val="003E26B0"/>
    <w:rsid w:val="003E2751"/>
    <w:rsid w:val="003E281A"/>
    <w:rsid w:val="003E2843"/>
    <w:rsid w:val="003E2865"/>
    <w:rsid w:val="003E2869"/>
    <w:rsid w:val="003E28B5"/>
    <w:rsid w:val="003E2936"/>
    <w:rsid w:val="003E299A"/>
    <w:rsid w:val="003E2A29"/>
    <w:rsid w:val="003E2A51"/>
    <w:rsid w:val="003E2A6E"/>
    <w:rsid w:val="003E2B1E"/>
    <w:rsid w:val="003E2B77"/>
    <w:rsid w:val="003E2B7C"/>
    <w:rsid w:val="003E2BA8"/>
    <w:rsid w:val="003E2BB7"/>
    <w:rsid w:val="003E2BE8"/>
    <w:rsid w:val="003E2CA6"/>
    <w:rsid w:val="003E2CDC"/>
    <w:rsid w:val="003E2D2E"/>
    <w:rsid w:val="003E2DAD"/>
    <w:rsid w:val="003E2E75"/>
    <w:rsid w:val="003E2EA8"/>
    <w:rsid w:val="003E2EBA"/>
    <w:rsid w:val="003E2ED8"/>
    <w:rsid w:val="003E2EE1"/>
    <w:rsid w:val="003E2EF2"/>
    <w:rsid w:val="003E2F28"/>
    <w:rsid w:val="003E2F3A"/>
    <w:rsid w:val="003E2FC6"/>
    <w:rsid w:val="003E3014"/>
    <w:rsid w:val="003E307D"/>
    <w:rsid w:val="003E30E8"/>
    <w:rsid w:val="003E310E"/>
    <w:rsid w:val="003E31A1"/>
    <w:rsid w:val="003E31AC"/>
    <w:rsid w:val="003E31D5"/>
    <w:rsid w:val="003E3439"/>
    <w:rsid w:val="003E343D"/>
    <w:rsid w:val="003E346A"/>
    <w:rsid w:val="003E348D"/>
    <w:rsid w:val="003E34CE"/>
    <w:rsid w:val="003E34DB"/>
    <w:rsid w:val="003E34DD"/>
    <w:rsid w:val="003E34E2"/>
    <w:rsid w:val="003E34FC"/>
    <w:rsid w:val="003E3506"/>
    <w:rsid w:val="003E3539"/>
    <w:rsid w:val="003E3544"/>
    <w:rsid w:val="003E3553"/>
    <w:rsid w:val="003E3570"/>
    <w:rsid w:val="003E35C2"/>
    <w:rsid w:val="003E361B"/>
    <w:rsid w:val="003E3623"/>
    <w:rsid w:val="003E3627"/>
    <w:rsid w:val="003E3655"/>
    <w:rsid w:val="003E3675"/>
    <w:rsid w:val="003E36B7"/>
    <w:rsid w:val="003E36DA"/>
    <w:rsid w:val="003E36E7"/>
    <w:rsid w:val="003E36FA"/>
    <w:rsid w:val="003E36FB"/>
    <w:rsid w:val="003E3728"/>
    <w:rsid w:val="003E3750"/>
    <w:rsid w:val="003E377D"/>
    <w:rsid w:val="003E3785"/>
    <w:rsid w:val="003E379C"/>
    <w:rsid w:val="003E37EC"/>
    <w:rsid w:val="003E37FD"/>
    <w:rsid w:val="003E3850"/>
    <w:rsid w:val="003E38C2"/>
    <w:rsid w:val="003E38D5"/>
    <w:rsid w:val="003E38DE"/>
    <w:rsid w:val="003E391C"/>
    <w:rsid w:val="003E3937"/>
    <w:rsid w:val="003E395A"/>
    <w:rsid w:val="003E398C"/>
    <w:rsid w:val="003E398D"/>
    <w:rsid w:val="003E39A2"/>
    <w:rsid w:val="003E39A9"/>
    <w:rsid w:val="003E3A66"/>
    <w:rsid w:val="003E3A69"/>
    <w:rsid w:val="003E3B47"/>
    <w:rsid w:val="003E3B53"/>
    <w:rsid w:val="003E3BFE"/>
    <w:rsid w:val="003E3C2C"/>
    <w:rsid w:val="003E3C72"/>
    <w:rsid w:val="003E3C8B"/>
    <w:rsid w:val="003E3CBD"/>
    <w:rsid w:val="003E3CF1"/>
    <w:rsid w:val="003E3D31"/>
    <w:rsid w:val="003E3D5D"/>
    <w:rsid w:val="003E3D80"/>
    <w:rsid w:val="003E3DF2"/>
    <w:rsid w:val="003E3E42"/>
    <w:rsid w:val="003E3E5A"/>
    <w:rsid w:val="003E3EDD"/>
    <w:rsid w:val="003E3EFE"/>
    <w:rsid w:val="003E3F37"/>
    <w:rsid w:val="003E3F8D"/>
    <w:rsid w:val="003E3FA3"/>
    <w:rsid w:val="003E3FC6"/>
    <w:rsid w:val="003E3FD7"/>
    <w:rsid w:val="003E3FED"/>
    <w:rsid w:val="003E3FF5"/>
    <w:rsid w:val="003E401C"/>
    <w:rsid w:val="003E406E"/>
    <w:rsid w:val="003E4100"/>
    <w:rsid w:val="003E4121"/>
    <w:rsid w:val="003E419C"/>
    <w:rsid w:val="003E41B5"/>
    <w:rsid w:val="003E41FF"/>
    <w:rsid w:val="003E422C"/>
    <w:rsid w:val="003E42E4"/>
    <w:rsid w:val="003E4319"/>
    <w:rsid w:val="003E4348"/>
    <w:rsid w:val="003E435D"/>
    <w:rsid w:val="003E4382"/>
    <w:rsid w:val="003E4440"/>
    <w:rsid w:val="003E4467"/>
    <w:rsid w:val="003E4498"/>
    <w:rsid w:val="003E44CB"/>
    <w:rsid w:val="003E44F9"/>
    <w:rsid w:val="003E4505"/>
    <w:rsid w:val="003E4507"/>
    <w:rsid w:val="003E4513"/>
    <w:rsid w:val="003E4548"/>
    <w:rsid w:val="003E4561"/>
    <w:rsid w:val="003E456B"/>
    <w:rsid w:val="003E457F"/>
    <w:rsid w:val="003E4613"/>
    <w:rsid w:val="003E4619"/>
    <w:rsid w:val="003E4629"/>
    <w:rsid w:val="003E4640"/>
    <w:rsid w:val="003E4643"/>
    <w:rsid w:val="003E467B"/>
    <w:rsid w:val="003E46A4"/>
    <w:rsid w:val="003E46B5"/>
    <w:rsid w:val="003E46C2"/>
    <w:rsid w:val="003E46CF"/>
    <w:rsid w:val="003E46FB"/>
    <w:rsid w:val="003E47B6"/>
    <w:rsid w:val="003E47CA"/>
    <w:rsid w:val="003E47E2"/>
    <w:rsid w:val="003E4802"/>
    <w:rsid w:val="003E4845"/>
    <w:rsid w:val="003E488D"/>
    <w:rsid w:val="003E48B0"/>
    <w:rsid w:val="003E4978"/>
    <w:rsid w:val="003E49B4"/>
    <w:rsid w:val="003E4A58"/>
    <w:rsid w:val="003E4A89"/>
    <w:rsid w:val="003E4AA5"/>
    <w:rsid w:val="003E4ACA"/>
    <w:rsid w:val="003E4AE8"/>
    <w:rsid w:val="003E4AEC"/>
    <w:rsid w:val="003E4B32"/>
    <w:rsid w:val="003E4B50"/>
    <w:rsid w:val="003E4B57"/>
    <w:rsid w:val="003E4B61"/>
    <w:rsid w:val="003E4B6A"/>
    <w:rsid w:val="003E4B72"/>
    <w:rsid w:val="003E4BA0"/>
    <w:rsid w:val="003E4BFD"/>
    <w:rsid w:val="003E4C1D"/>
    <w:rsid w:val="003E4C33"/>
    <w:rsid w:val="003E4C41"/>
    <w:rsid w:val="003E4C56"/>
    <w:rsid w:val="003E4D90"/>
    <w:rsid w:val="003E4DA8"/>
    <w:rsid w:val="003E4F48"/>
    <w:rsid w:val="003E5016"/>
    <w:rsid w:val="003E504B"/>
    <w:rsid w:val="003E506E"/>
    <w:rsid w:val="003E50E7"/>
    <w:rsid w:val="003E50F6"/>
    <w:rsid w:val="003E5105"/>
    <w:rsid w:val="003E511A"/>
    <w:rsid w:val="003E512A"/>
    <w:rsid w:val="003E5137"/>
    <w:rsid w:val="003E516C"/>
    <w:rsid w:val="003E517E"/>
    <w:rsid w:val="003E5181"/>
    <w:rsid w:val="003E518F"/>
    <w:rsid w:val="003E51CC"/>
    <w:rsid w:val="003E51EA"/>
    <w:rsid w:val="003E51EF"/>
    <w:rsid w:val="003E528B"/>
    <w:rsid w:val="003E52D4"/>
    <w:rsid w:val="003E5384"/>
    <w:rsid w:val="003E53B0"/>
    <w:rsid w:val="003E53DB"/>
    <w:rsid w:val="003E5400"/>
    <w:rsid w:val="003E5446"/>
    <w:rsid w:val="003E545F"/>
    <w:rsid w:val="003E54EC"/>
    <w:rsid w:val="003E54F0"/>
    <w:rsid w:val="003E54F6"/>
    <w:rsid w:val="003E5501"/>
    <w:rsid w:val="003E550C"/>
    <w:rsid w:val="003E5512"/>
    <w:rsid w:val="003E5513"/>
    <w:rsid w:val="003E551E"/>
    <w:rsid w:val="003E554B"/>
    <w:rsid w:val="003E55BA"/>
    <w:rsid w:val="003E55FE"/>
    <w:rsid w:val="003E5672"/>
    <w:rsid w:val="003E567B"/>
    <w:rsid w:val="003E56AF"/>
    <w:rsid w:val="003E56B6"/>
    <w:rsid w:val="003E5755"/>
    <w:rsid w:val="003E577A"/>
    <w:rsid w:val="003E577E"/>
    <w:rsid w:val="003E578E"/>
    <w:rsid w:val="003E5797"/>
    <w:rsid w:val="003E57BF"/>
    <w:rsid w:val="003E57E3"/>
    <w:rsid w:val="003E57F9"/>
    <w:rsid w:val="003E584B"/>
    <w:rsid w:val="003E5894"/>
    <w:rsid w:val="003E589C"/>
    <w:rsid w:val="003E58BC"/>
    <w:rsid w:val="003E5A1C"/>
    <w:rsid w:val="003E5A5A"/>
    <w:rsid w:val="003E5A95"/>
    <w:rsid w:val="003E5AED"/>
    <w:rsid w:val="003E5B1D"/>
    <w:rsid w:val="003E5B54"/>
    <w:rsid w:val="003E5B59"/>
    <w:rsid w:val="003E5B7B"/>
    <w:rsid w:val="003E5B8D"/>
    <w:rsid w:val="003E5BD4"/>
    <w:rsid w:val="003E5C0B"/>
    <w:rsid w:val="003E5C1B"/>
    <w:rsid w:val="003E5C41"/>
    <w:rsid w:val="003E5C4B"/>
    <w:rsid w:val="003E5C8E"/>
    <w:rsid w:val="003E5C93"/>
    <w:rsid w:val="003E5CDD"/>
    <w:rsid w:val="003E5CF0"/>
    <w:rsid w:val="003E5CFD"/>
    <w:rsid w:val="003E5D09"/>
    <w:rsid w:val="003E5D3A"/>
    <w:rsid w:val="003E5D4F"/>
    <w:rsid w:val="003E5D54"/>
    <w:rsid w:val="003E5D7B"/>
    <w:rsid w:val="003E5D98"/>
    <w:rsid w:val="003E5D9D"/>
    <w:rsid w:val="003E5DD5"/>
    <w:rsid w:val="003E5DE9"/>
    <w:rsid w:val="003E5EA1"/>
    <w:rsid w:val="003E5EA8"/>
    <w:rsid w:val="003E5EB4"/>
    <w:rsid w:val="003E5F24"/>
    <w:rsid w:val="003E5F79"/>
    <w:rsid w:val="003E6002"/>
    <w:rsid w:val="003E6009"/>
    <w:rsid w:val="003E604B"/>
    <w:rsid w:val="003E6072"/>
    <w:rsid w:val="003E60AE"/>
    <w:rsid w:val="003E60E2"/>
    <w:rsid w:val="003E6141"/>
    <w:rsid w:val="003E61AC"/>
    <w:rsid w:val="003E61F7"/>
    <w:rsid w:val="003E61FF"/>
    <w:rsid w:val="003E6218"/>
    <w:rsid w:val="003E626B"/>
    <w:rsid w:val="003E62D0"/>
    <w:rsid w:val="003E6366"/>
    <w:rsid w:val="003E636C"/>
    <w:rsid w:val="003E63AA"/>
    <w:rsid w:val="003E63BD"/>
    <w:rsid w:val="003E63D4"/>
    <w:rsid w:val="003E6409"/>
    <w:rsid w:val="003E6542"/>
    <w:rsid w:val="003E6560"/>
    <w:rsid w:val="003E6575"/>
    <w:rsid w:val="003E6593"/>
    <w:rsid w:val="003E6623"/>
    <w:rsid w:val="003E6663"/>
    <w:rsid w:val="003E66AB"/>
    <w:rsid w:val="003E66BE"/>
    <w:rsid w:val="003E66CC"/>
    <w:rsid w:val="003E6759"/>
    <w:rsid w:val="003E6764"/>
    <w:rsid w:val="003E6869"/>
    <w:rsid w:val="003E6872"/>
    <w:rsid w:val="003E68E0"/>
    <w:rsid w:val="003E6908"/>
    <w:rsid w:val="003E6929"/>
    <w:rsid w:val="003E693F"/>
    <w:rsid w:val="003E694F"/>
    <w:rsid w:val="003E695A"/>
    <w:rsid w:val="003E6973"/>
    <w:rsid w:val="003E6976"/>
    <w:rsid w:val="003E69C2"/>
    <w:rsid w:val="003E69D0"/>
    <w:rsid w:val="003E69E8"/>
    <w:rsid w:val="003E69E9"/>
    <w:rsid w:val="003E69FE"/>
    <w:rsid w:val="003E6A73"/>
    <w:rsid w:val="003E6A8B"/>
    <w:rsid w:val="003E6AA2"/>
    <w:rsid w:val="003E6AA9"/>
    <w:rsid w:val="003E6AC3"/>
    <w:rsid w:val="003E6B21"/>
    <w:rsid w:val="003E6B63"/>
    <w:rsid w:val="003E6BCB"/>
    <w:rsid w:val="003E6BD0"/>
    <w:rsid w:val="003E6C4B"/>
    <w:rsid w:val="003E6C5B"/>
    <w:rsid w:val="003E6CEC"/>
    <w:rsid w:val="003E6D2D"/>
    <w:rsid w:val="003E6D2E"/>
    <w:rsid w:val="003E6D5E"/>
    <w:rsid w:val="003E6DD0"/>
    <w:rsid w:val="003E6DFE"/>
    <w:rsid w:val="003E6E39"/>
    <w:rsid w:val="003E6E80"/>
    <w:rsid w:val="003E6F17"/>
    <w:rsid w:val="003E6F2A"/>
    <w:rsid w:val="003E6F48"/>
    <w:rsid w:val="003E6F4E"/>
    <w:rsid w:val="003E6F6D"/>
    <w:rsid w:val="003E6F87"/>
    <w:rsid w:val="003E6F9C"/>
    <w:rsid w:val="003E6FA4"/>
    <w:rsid w:val="003E6FBB"/>
    <w:rsid w:val="003E6FE5"/>
    <w:rsid w:val="003E7018"/>
    <w:rsid w:val="003E70A7"/>
    <w:rsid w:val="003E713F"/>
    <w:rsid w:val="003E71BB"/>
    <w:rsid w:val="003E727B"/>
    <w:rsid w:val="003E727D"/>
    <w:rsid w:val="003E72B7"/>
    <w:rsid w:val="003E72C5"/>
    <w:rsid w:val="003E72D9"/>
    <w:rsid w:val="003E7320"/>
    <w:rsid w:val="003E7332"/>
    <w:rsid w:val="003E736E"/>
    <w:rsid w:val="003E7387"/>
    <w:rsid w:val="003E738B"/>
    <w:rsid w:val="003E73E2"/>
    <w:rsid w:val="003E73ED"/>
    <w:rsid w:val="003E7412"/>
    <w:rsid w:val="003E7433"/>
    <w:rsid w:val="003E744C"/>
    <w:rsid w:val="003E7495"/>
    <w:rsid w:val="003E7537"/>
    <w:rsid w:val="003E756D"/>
    <w:rsid w:val="003E757B"/>
    <w:rsid w:val="003E75B9"/>
    <w:rsid w:val="003E75CF"/>
    <w:rsid w:val="003E7655"/>
    <w:rsid w:val="003E7675"/>
    <w:rsid w:val="003E76A6"/>
    <w:rsid w:val="003E7713"/>
    <w:rsid w:val="003E7733"/>
    <w:rsid w:val="003E77E5"/>
    <w:rsid w:val="003E77E9"/>
    <w:rsid w:val="003E781C"/>
    <w:rsid w:val="003E781E"/>
    <w:rsid w:val="003E7857"/>
    <w:rsid w:val="003E78BE"/>
    <w:rsid w:val="003E78CB"/>
    <w:rsid w:val="003E7912"/>
    <w:rsid w:val="003E7944"/>
    <w:rsid w:val="003E7981"/>
    <w:rsid w:val="003E79B0"/>
    <w:rsid w:val="003E7AC3"/>
    <w:rsid w:val="003E7B24"/>
    <w:rsid w:val="003E7B63"/>
    <w:rsid w:val="003E7B6E"/>
    <w:rsid w:val="003E7BF8"/>
    <w:rsid w:val="003E7C1D"/>
    <w:rsid w:val="003E7C33"/>
    <w:rsid w:val="003E7C35"/>
    <w:rsid w:val="003E7C39"/>
    <w:rsid w:val="003E7C48"/>
    <w:rsid w:val="003E7C5E"/>
    <w:rsid w:val="003E7C6D"/>
    <w:rsid w:val="003E7C6F"/>
    <w:rsid w:val="003E7C80"/>
    <w:rsid w:val="003E7CAC"/>
    <w:rsid w:val="003E7CB0"/>
    <w:rsid w:val="003E7CB1"/>
    <w:rsid w:val="003E7CD6"/>
    <w:rsid w:val="003E7CEA"/>
    <w:rsid w:val="003E7CEC"/>
    <w:rsid w:val="003E7D3C"/>
    <w:rsid w:val="003E7D5C"/>
    <w:rsid w:val="003E7D6D"/>
    <w:rsid w:val="003E7DDB"/>
    <w:rsid w:val="003E7DE8"/>
    <w:rsid w:val="003E7E72"/>
    <w:rsid w:val="003E7EDA"/>
    <w:rsid w:val="003E7EE3"/>
    <w:rsid w:val="003E7EE9"/>
    <w:rsid w:val="003E7F04"/>
    <w:rsid w:val="003E7F65"/>
    <w:rsid w:val="003E7F8C"/>
    <w:rsid w:val="003F0023"/>
    <w:rsid w:val="003F0083"/>
    <w:rsid w:val="003F00E1"/>
    <w:rsid w:val="003F00FC"/>
    <w:rsid w:val="003F011C"/>
    <w:rsid w:val="003F012C"/>
    <w:rsid w:val="003F01A2"/>
    <w:rsid w:val="003F0219"/>
    <w:rsid w:val="003F0221"/>
    <w:rsid w:val="003F0223"/>
    <w:rsid w:val="003F024D"/>
    <w:rsid w:val="003F0296"/>
    <w:rsid w:val="003F029A"/>
    <w:rsid w:val="003F02C1"/>
    <w:rsid w:val="003F02C4"/>
    <w:rsid w:val="003F02D6"/>
    <w:rsid w:val="003F031D"/>
    <w:rsid w:val="003F0331"/>
    <w:rsid w:val="003F034D"/>
    <w:rsid w:val="003F0368"/>
    <w:rsid w:val="003F03FF"/>
    <w:rsid w:val="003F041D"/>
    <w:rsid w:val="003F0438"/>
    <w:rsid w:val="003F0493"/>
    <w:rsid w:val="003F04C2"/>
    <w:rsid w:val="003F04F3"/>
    <w:rsid w:val="003F05CE"/>
    <w:rsid w:val="003F05D9"/>
    <w:rsid w:val="003F05F7"/>
    <w:rsid w:val="003F05F8"/>
    <w:rsid w:val="003F067B"/>
    <w:rsid w:val="003F06A9"/>
    <w:rsid w:val="003F06E1"/>
    <w:rsid w:val="003F06F6"/>
    <w:rsid w:val="003F0788"/>
    <w:rsid w:val="003F07A0"/>
    <w:rsid w:val="003F0814"/>
    <w:rsid w:val="003F0823"/>
    <w:rsid w:val="003F0826"/>
    <w:rsid w:val="003F0832"/>
    <w:rsid w:val="003F083D"/>
    <w:rsid w:val="003F0883"/>
    <w:rsid w:val="003F0894"/>
    <w:rsid w:val="003F08A6"/>
    <w:rsid w:val="003F090C"/>
    <w:rsid w:val="003F0912"/>
    <w:rsid w:val="003F091C"/>
    <w:rsid w:val="003F096C"/>
    <w:rsid w:val="003F097A"/>
    <w:rsid w:val="003F098F"/>
    <w:rsid w:val="003F09C6"/>
    <w:rsid w:val="003F0A00"/>
    <w:rsid w:val="003F0A8D"/>
    <w:rsid w:val="003F0A9E"/>
    <w:rsid w:val="003F0AC6"/>
    <w:rsid w:val="003F0B48"/>
    <w:rsid w:val="003F0B65"/>
    <w:rsid w:val="003F0B72"/>
    <w:rsid w:val="003F0C1F"/>
    <w:rsid w:val="003F0C24"/>
    <w:rsid w:val="003F0C3F"/>
    <w:rsid w:val="003F0C8F"/>
    <w:rsid w:val="003F0D0F"/>
    <w:rsid w:val="003F0D27"/>
    <w:rsid w:val="003F0DEB"/>
    <w:rsid w:val="003F0E2C"/>
    <w:rsid w:val="003F0E37"/>
    <w:rsid w:val="003F0E93"/>
    <w:rsid w:val="003F0EBC"/>
    <w:rsid w:val="003F0EDB"/>
    <w:rsid w:val="003F0F06"/>
    <w:rsid w:val="003F0F5B"/>
    <w:rsid w:val="003F0FCC"/>
    <w:rsid w:val="003F0FDE"/>
    <w:rsid w:val="003F1005"/>
    <w:rsid w:val="003F102B"/>
    <w:rsid w:val="003F1032"/>
    <w:rsid w:val="003F103D"/>
    <w:rsid w:val="003F1080"/>
    <w:rsid w:val="003F10EB"/>
    <w:rsid w:val="003F1122"/>
    <w:rsid w:val="003F114E"/>
    <w:rsid w:val="003F1174"/>
    <w:rsid w:val="003F11BC"/>
    <w:rsid w:val="003F11D2"/>
    <w:rsid w:val="003F1226"/>
    <w:rsid w:val="003F126A"/>
    <w:rsid w:val="003F1284"/>
    <w:rsid w:val="003F12DF"/>
    <w:rsid w:val="003F1306"/>
    <w:rsid w:val="003F1327"/>
    <w:rsid w:val="003F1384"/>
    <w:rsid w:val="003F13CA"/>
    <w:rsid w:val="003F13F0"/>
    <w:rsid w:val="003F140C"/>
    <w:rsid w:val="003F1417"/>
    <w:rsid w:val="003F1480"/>
    <w:rsid w:val="003F1491"/>
    <w:rsid w:val="003F1546"/>
    <w:rsid w:val="003F154A"/>
    <w:rsid w:val="003F15F4"/>
    <w:rsid w:val="003F1623"/>
    <w:rsid w:val="003F164D"/>
    <w:rsid w:val="003F1664"/>
    <w:rsid w:val="003F170D"/>
    <w:rsid w:val="003F17E7"/>
    <w:rsid w:val="003F1836"/>
    <w:rsid w:val="003F183D"/>
    <w:rsid w:val="003F184D"/>
    <w:rsid w:val="003F1895"/>
    <w:rsid w:val="003F189B"/>
    <w:rsid w:val="003F18B6"/>
    <w:rsid w:val="003F18E7"/>
    <w:rsid w:val="003F18EE"/>
    <w:rsid w:val="003F190B"/>
    <w:rsid w:val="003F1910"/>
    <w:rsid w:val="003F193B"/>
    <w:rsid w:val="003F1960"/>
    <w:rsid w:val="003F1966"/>
    <w:rsid w:val="003F1987"/>
    <w:rsid w:val="003F19B5"/>
    <w:rsid w:val="003F19BD"/>
    <w:rsid w:val="003F19E6"/>
    <w:rsid w:val="003F1A03"/>
    <w:rsid w:val="003F1A0B"/>
    <w:rsid w:val="003F1A3E"/>
    <w:rsid w:val="003F1A4D"/>
    <w:rsid w:val="003F1ACB"/>
    <w:rsid w:val="003F1AE7"/>
    <w:rsid w:val="003F1B45"/>
    <w:rsid w:val="003F1B5A"/>
    <w:rsid w:val="003F1B7C"/>
    <w:rsid w:val="003F1B97"/>
    <w:rsid w:val="003F1BBA"/>
    <w:rsid w:val="003F1BC1"/>
    <w:rsid w:val="003F1BE1"/>
    <w:rsid w:val="003F1C51"/>
    <w:rsid w:val="003F1C74"/>
    <w:rsid w:val="003F1C7C"/>
    <w:rsid w:val="003F1CA1"/>
    <w:rsid w:val="003F1CA9"/>
    <w:rsid w:val="003F1CF5"/>
    <w:rsid w:val="003F1D2F"/>
    <w:rsid w:val="003F1D34"/>
    <w:rsid w:val="003F1D67"/>
    <w:rsid w:val="003F1E60"/>
    <w:rsid w:val="003F1E64"/>
    <w:rsid w:val="003F1E68"/>
    <w:rsid w:val="003F1E83"/>
    <w:rsid w:val="003F1F00"/>
    <w:rsid w:val="003F1F0F"/>
    <w:rsid w:val="003F1F1C"/>
    <w:rsid w:val="003F1FDA"/>
    <w:rsid w:val="003F2024"/>
    <w:rsid w:val="003F202E"/>
    <w:rsid w:val="003F2049"/>
    <w:rsid w:val="003F2072"/>
    <w:rsid w:val="003F2089"/>
    <w:rsid w:val="003F20B8"/>
    <w:rsid w:val="003F20D5"/>
    <w:rsid w:val="003F2118"/>
    <w:rsid w:val="003F2122"/>
    <w:rsid w:val="003F2165"/>
    <w:rsid w:val="003F218D"/>
    <w:rsid w:val="003F2209"/>
    <w:rsid w:val="003F225A"/>
    <w:rsid w:val="003F2288"/>
    <w:rsid w:val="003F22A5"/>
    <w:rsid w:val="003F22BC"/>
    <w:rsid w:val="003F22D3"/>
    <w:rsid w:val="003F2377"/>
    <w:rsid w:val="003F239C"/>
    <w:rsid w:val="003F23A8"/>
    <w:rsid w:val="003F23CD"/>
    <w:rsid w:val="003F240D"/>
    <w:rsid w:val="003F24C8"/>
    <w:rsid w:val="003F24F1"/>
    <w:rsid w:val="003F24F9"/>
    <w:rsid w:val="003F2503"/>
    <w:rsid w:val="003F251A"/>
    <w:rsid w:val="003F2571"/>
    <w:rsid w:val="003F2589"/>
    <w:rsid w:val="003F25F6"/>
    <w:rsid w:val="003F2603"/>
    <w:rsid w:val="003F260E"/>
    <w:rsid w:val="003F2612"/>
    <w:rsid w:val="003F2666"/>
    <w:rsid w:val="003F2677"/>
    <w:rsid w:val="003F26F8"/>
    <w:rsid w:val="003F270E"/>
    <w:rsid w:val="003F2729"/>
    <w:rsid w:val="003F2752"/>
    <w:rsid w:val="003F2763"/>
    <w:rsid w:val="003F2782"/>
    <w:rsid w:val="003F2787"/>
    <w:rsid w:val="003F2845"/>
    <w:rsid w:val="003F28E6"/>
    <w:rsid w:val="003F2920"/>
    <w:rsid w:val="003F2934"/>
    <w:rsid w:val="003F297D"/>
    <w:rsid w:val="003F298A"/>
    <w:rsid w:val="003F29AB"/>
    <w:rsid w:val="003F2A5F"/>
    <w:rsid w:val="003F2AA9"/>
    <w:rsid w:val="003F2AC0"/>
    <w:rsid w:val="003F2AE7"/>
    <w:rsid w:val="003F2B07"/>
    <w:rsid w:val="003F2B38"/>
    <w:rsid w:val="003F2B41"/>
    <w:rsid w:val="003F2BD6"/>
    <w:rsid w:val="003F2C19"/>
    <w:rsid w:val="003F2C6C"/>
    <w:rsid w:val="003F2C90"/>
    <w:rsid w:val="003F2CCB"/>
    <w:rsid w:val="003F2D5D"/>
    <w:rsid w:val="003F2DAA"/>
    <w:rsid w:val="003F2DE2"/>
    <w:rsid w:val="003F2DE5"/>
    <w:rsid w:val="003F2DEF"/>
    <w:rsid w:val="003F2DF1"/>
    <w:rsid w:val="003F2E0D"/>
    <w:rsid w:val="003F2E37"/>
    <w:rsid w:val="003F2E6A"/>
    <w:rsid w:val="003F2EB2"/>
    <w:rsid w:val="003F2ED1"/>
    <w:rsid w:val="003F2ED5"/>
    <w:rsid w:val="003F2F68"/>
    <w:rsid w:val="003F2FCD"/>
    <w:rsid w:val="003F2FF6"/>
    <w:rsid w:val="003F3029"/>
    <w:rsid w:val="003F3052"/>
    <w:rsid w:val="003F3056"/>
    <w:rsid w:val="003F30A1"/>
    <w:rsid w:val="003F3122"/>
    <w:rsid w:val="003F3132"/>
    <w:rsid w:val="003F3138"/>
    <w:rsid w:val="003F3188"/>
    <w:rsid w:val="003F319D"/>
    <w:rsid w:val="003F31F7"/>
    <w:rsid w:val="003F323D"/>
    <w:rsid w:val="003F3264"/>
    <w:rsid w:val="003F32B9"/>
    <w:rsid w:val="003F32D7"/>
    <w:rsid w:val="003F32FB"/>
    <w:rsid w:val="003F3335"/>
    <w:rsid w:val="003F3380"/>
    <w:rsid w:val="003F33BC"/>
    <w:rsid w:val="003F3464"/>
    <w:rsid w:val="003F3476"/>
    <w:rsid w:val="003F3498"/>
    <w:rsid w:val="003F351B"/>
    <w:rsid w:val="003F3529"/>
    <w:rsid w:val="003F353D"/>
    <w:rsid w:val="003F353E"/>
    <w:rsid w:val="003F35ED"/>
    <w:rsid w:val="003F3604"/>
    <w:rsid w:val="003F367D"/>
    <w:rsid w:val="003F3689"/>
    <w:rsid w:val="003F371D"/>
    <w:rsid w:val="003F3772"/>
    <w:rsid w:val="003F377A"/>
    <w:rsid w:val="003F379F"/>
    <w:rsid w:val="003F37AE"/>
    <w:rsid w:val="003F37BD"/>
    <w:rsid w:val="003F37F9"/>
    <w:rsid w:val="003F37FD"/>
    <w:rsid w:val="003F3823"/>
    <w:rsid w:val="003F384E"/>
    <w:rsid w:val="003F3852"/>
    <w:rsid w:val="003F38A1"/>
    <w:rsid w:val="003F3902"/>
    <w:rsid w:val="003F3921"/>
    <w:rsid w:val="003F39C8"/>
    <w:rsid w:val="003F3A2B"/>
    <w:rsid w:val="003F3A4F"/>
    <w:rsid w:val="003F3A66"/>
    <w:rsid w:val="003F3A85"/>
    <w:rsid w:val="003F3AB7"/>
    <w:rsid w:val="003F3AEA"/>
    <w:rsid w:val="003F3AFD"/>
    <w:rsid w:val="003F3B02"/>
    <w:rsid w:val="003F3B17"/>
    <w:rsid w:val="003F3B34"/>
    <w:rsid w:val="003F3B58"/>
    <w:rsid w:val="003F3B7C"/>
    <w:rsid w:val="003F3B9B"/>
    <w:rsid w:val="003F3BA3"/>
    <w:rsid w:val="003F3BBE"/>
    <w:rsid w:val="003F3BC3"/>
    <w:rsid w:val="003F3C1E"/>
    <w:rsid w:val="003F3C60"/>
    <w:rsid w:val="003F3CC6"/>
    <w:rsid w:val="003F3CD6"/>
    <w:rsid w:val="003F3CD8"/>
    <w:rsid w:val="003F3D11"/>
    <w:rsid w:val="003F3D35"/>
    <w:rsid w:val="003F3DA0"/>
    <w:rsid w:val="003F3DA4"/>
    <w:rsid w:val="003F3E76"/>
    <w:rsid w:val="003F3F4F"/>
    <w:rsid w:val="003F3F5B"/>
    <w:rsid w:val="003F3F8C"/>
    <w:rsid w:val="003F3FCD"/>
    <w:rsid w:val="003F4001"/>
    <w:rsid w:val="003F4097"/>
    <w:rsid w:val="003F410D"/>
    <w:rsid w:val="003F4173"/>
    <w:rsid w:val="003F41F5"/>
    <w:rsid w:val="003F426A"/>
    <w:rsid w:val="003F426E"/>
    <w:rsid w:val="003F42DE"/>
    <w:rsid w:val="003F4310"/>
    <w:rsid w:val="003F4381"/>
    <w:rsid w:val="003F4471"/>
    <w:rsid w:val="003F447A"/>
    <w:rsid w:val="003F44F4"/>
    <w:rsid w:val="003F452C"/>
    <w:rsid w:val="003F456D"/>
    <w:rsid w:val="003F456E"/>
    <w:rsid w:val="003F4650"/>
    <w:rsid w:val="003F4676"/>
    <w:rsid w:val="003F46AA"/>
    <w:rsid w:val="003F46E7"/>
    <w:rsid w:val="003F46F8"/>
    <w:rsid w:val="003F46FC"/>
    <w:rsid w:val="003F4763"/>
    <w:rsid w:val="003F4771"/>
    <w:rsid w:val="003F4799"/>
    <w:rsid w:val="003F47D3"/>
    <w:rsid w:val="003F47F0"/>
    <w:rsid w:val="003F4814"/>
    <w:rsid w:val="003F4873"/>
    <w:rsid w:val="003F489E"/>
    <w:rsid w:val="003F4919"/>
    <w:rsid w:val="003F494C"/>
    <w:rsid w:val="003F495C"/>
    <w:rsid w:val="003F49CA"/>
    <w:rsid w:val="003F49DD"/>
    <w:rsid w:val="003F49DF"/>
    <w:rsid w:val="003F4A21"/>
    <w:rsid w:val="003F4A2E"/>
    <w:rsid w:val="003F4A7A"/>
    <w:rsid w:val="003F4AA7"/>
    <w:rsid w:val="003F4AC1"/>
    <w:rsid w:val="003F4B74"/>
    <w:rsid w:val="003F4B8B"/>
    <w:rsid w:val="003F4BC7"/>
    <w:rsid w:val="003F4C72"/>
    <w:rsid w:val="003F4C7C"/>
    <w:rsid w:val="003F4C8E"/>
    <w:rsid w:val="003F4C91"/>
    <w:rsid w:val="003F4C96"/>
    <w:rsid w:val="003F4CF1"/>
    <w:rsid w:val="003F4D9D"/>
    <w:rsid w:val="003F4E70"/>
    <w:rsid w:val="003F4E78"/>
    <w:rsid w:val="003F4ECD"/>
    <w:rsid w:val="003F4EF3"/>
    <w:rsid w:val="003F4F51"/>
    <w:rsid w:val="003F4F72"/>
    <w:rsid w:val="003F4FA5"/>
    <w:rsid w:val="003F5003"/>
    <w:rsid w:val="003F5019"/>
    <w:rsid w:val="003F501E"/>
    <w:rsid w:val="003F5028"/>
    <w:rsid w:val="003F50C4"/>
    <w:rsid w:val="003F5137"/>
    <w:rsid w:val="003F513C"/>
    <w:rsid w:val="003F5192"/>
    <w:rsid w:val="003F51BE"/>
    <w:rsid w:val="003F51CA"/>
    <w:rsid w:val="003F5247"/>
    <w:rsid w:val="003F5261"/>
    <w:rsid w:val="003F527B"/>
    <w:rsid w:val="003F52BA"/>
    <w:rsid w:val="003F52BE"/>
    <w:rsid w:val="003F52C1"/>
    <w:rsid w:val="003F52DC"/>
    <w:rsid w:val="003F52F3"/>
    <w:rsid w:val="003F5301"/>
    <w:rsid w:val="003F5347"/>
    <w:rsid w:val="003F537D"/>
    <w:rsid w:val="003F53F2"/>
    <w:rsid w:val="003F5411"/>
    <w:rsid w:val="003F5428"/>
    <w:rsid w:val="003F5457"/>
    <w:rsid w:val="003F54D3"/>
    <w:rsid w:val="003F54D5"/>
    <w:rsid w:val="003F5507"/>
    <w:rsid w:val="003F553D"/>
    <w:rsid w:val="003F5587"/>
    <w:rsid w:val="003F55D0"/>
    <w:rsid w:val="003F5604"/>
    <w:rsid w:val="003F563A"/>
    <w:rsid w:val="003F5644"/>
    <w:rsid w:val="003F5663"/>
    <w:rsid w:val="003F5671"/>
    <w:rsid w:val="003F5683"/>
    <w:rsid w:val="003F5690"/>
    <w:rsid w:val="003F56D2"/>
    <w:rsid w:val="003F5841"/>
    <w:rsid w:val="003F5857"/>
    <w:rsid w:val="003F58BF"/>
    <w:rsid w:val="003F58CA"/>
    <w:rsid w:val="003F58E8"/>
    <w:rsid w:val="003F58F4"/>
    <w:rsid w:val="003F590A"/>
    <w:rsid w:val="003F5910"/>
    <w:rsid w:val="003F5945"/>
    <w:rsid w:val="003F59BA"/>
    <w:rsid w:val="003F59FD"/>
    <w:rsid w:val="003F5A0D"/>
    <w:rsid w:val="003F5A26"/>
    <w:rsid w:val="003F5A6D"/>
    <w:rsid w:val="003F5A84"/>
    <w:rsid w:val="003F5AA2"/>
    <w:rsid w:val="003F5AA6"/>
    <w:rsid w:val="003F5B1C"/>
    <w:rsid w:val="003F5B95"/>
    <w:rsid w:val="003F5C16"/>
    <w:rsid w:val="003F5C7E"/>
    <w:rsid w:val="003F5C99"/>
    <w:rsid w:val="003F5CF2"/>
    <w:rsid w:val="003F5D15"/>
    <w:rsid w:val="003F5D47"/>
    <w:rsid w:val="003F5DD0"/>
    <w:rsid w:val="003F5E4E"/>
    <w:rsid w:val="003F5EC8"/>
    <w:rsid w:val="003F5EC9"/>
    <w:rsid w:val="003F5F2A"/>
    <w:rsid w:val="003F5F4E"/>
    <w:rsid w:val="003F5F8C"/>
    <w:rsid w:val="003F5FB2"/>
    <w:rsid w:val="003F5FC6"/>
    <w:rsid w:val="003F6080"/>
    <w:rsid w:val="003F6097"/>
    <w:rsid w:val="003F60FE"/>
    <w:rsid w:val="003F616B"/>
    <w:rsid w:val="003F61A0"/>
    <w:rsid w:val="003F622D"/>
    <w:rsid w:val="003F6255"/>
    <w:rsid w:val="003F6281"/>
    <w:rsid w:val="003F629C"/>
    <w:rsid w:val="003F630F"/>
    <w:rsid w:val="003F636B"/>
    <w:rsid w:val="003F6388"/>
    <w:rsid w:val="003F63A6"/>
    <w:rsid w:val="003F63BF"/>
    <w:rsid w:val="003F63EC"/>
    <w:rsid w:val="003F63F0"/>
    <w:rsid w:val="003F63F2"/>
    <w:rsid w:val="003F6436"/>
    <w:rsid w:val="003F647B"/>
    <w:rsid w:val="003F649E"/>
    <w:rsid w:val="003F64A7"/>
    <w:rsid w:val="003F64BF"/>
    <w:rsid w:val="003F65ED"/>
    <w:rsid w:val="003F660E"/>
    <w:rsid w:val="003F6631"/>
    <w:rsid w:val="003F6639"/>
    <w:rsid w:val="003F66B2"/>
    <w:rsid w:val="003F675B"/>
    <w:rsid w:val="003F6768"/>
    <w:rsid w:val="003F67AF"/>
    <w:rsid w:val="003F67BB"/>
    <w:rsid w:val="003F67D6"/>
    <w:rsid w:val="003F67E4"/>
    <w:rsid w:val="003F6828"/>
    <w:rsid w:val="003F6893"/>
    <w:rsid w:val="003F68B0"/>
    <w:rsid w:val="003F68E9"/>
    <w:rsid w:val="003F6902"/>
    <w:rsid w:val="003F6904"/>
    <w:rsid w:val="003F690B"/>
    <w:rsid w:val="003F6980"/>
    <w:rsid w:val="003F6998"/>
    <w:rsid w:val="003F69A5"/>
    <w:rsid w:val="003F69AD"/>
    <w:rsid w:val="003F69E6"/>
    <w:rsid w:val="003F6A20"/>
    <w:rsid w:val="003F6AC7"/>
    <w:rsid w:val="003F6AD9"/>
    <w:rsid w:val="003F6B2D"/>
    <w:rsid w:val="003F6B98"/>
    <w:rsid w:val="003F6BAC"/>
    <w:rsid w:val="003F6BD2"/>
    <w:rsid w:val="003F6BF3"/>
    <w:rsid w:val="003F6CA9"/>
    <w:rsid w:val="003F6CBB"/>
    <w:rsid w:val="003F6CC2"/>
    <w:rsid w:val="003F6CE1"/>
    <w:rsid w:val="003F6D78"/>
    <w:rsid w:val="003F6D89"/>
    <w:rsid w:val="003F6DB8"/>
    <w:rsid w:val="003F6E1B"/>
    <w:rsid w:val="003F6E3A"/>
    <w:rsid w:val="003F6E5F"/>
    <w:rsid w:val="003F6E87"/>
    <w:rsid w:val="003F6F02"/>
    <w:rsid w:val="003F6FE9"/>
    <w:rsid w:val="003F7026"/>
    <w:rsid w:val="003F703A"/>
    <w:rsid w:val="003F7086"/>
    <w:rsid w:val="003F7094"/>
    <w:rsid w:val="003F70E7"/>
    <w:rsid w:val="003F7172"/>
    <w:rsid w:val="003F71E3"/>
    <w:rsid w:val="003F7245"/>
    <w:rsid w:val="003F724D"/>
    <w:rsid w:val="003F7252"/>
    <w:rsid w:val="003F72B2"/>
    <w:rsid w:val="003F72DD"/>
    <w:rsid w:val="003F72FD"/>
    <w:rsid w:val="003F7322"/>
    <w:rsid w:val="003F7334"/>
    <w:rsid w:val="003F7393"/>
    <w:rsid w:val="003F73B2"/>
    <w:rsid w:val="003F73FE"/>
    <w:rsid w:val="003F7419"/>
    <w:rsid w:val="003F746B"/>
    <w:rsid w:val="003F7485"/>
    <w:rsid w:val="003F74B5"/>
    <w:rsid w:val="003F74E4"/>
    <w:rsid w:val="003F750C"/>
    <w:rsid w:val="003F7549"/>
    <w:rsid w:val="003F7566"/>
    <w:rsid w:val="003F7576"/>
    <w:rsid w:val="003F75A6"/>
    <w:rsid w:val="003F75CB"/>
    <w:rsid w:val="003F75D2"/>
    <w:rsid w:val="003F75F0"/>
    <w:rsid w:val="003F75FB"/>
    <w:rsid w:val="003F7661"/>
    <w:rsid w:val="003F7677"/>
    <w:rsid w:val="003F76B7"/>
    <w:rsid w:val="003F76E4"/>
    <w:rsid w:val="003F76F0"/>
    <w:rsid w:val="003F76F2"/>
    <w:rsid w:val="003F7754"/>
    <w:rsid w:val="003F778D"/>
    <w:rsid w:val="003F7814"/>
    <w:rsid w:val="003F7823"/>
    <w:rsid w:val="003F784A"/>
    <w:rsid w:val="003F785A"/>
    <w:rsid w:val="003F7888"/>
    <w:rsid w:val="003F78D3"/>
    <w:rsid w:val="003F78F0"/>
    <w:rsid w:val="003F7966"/>
    <w:rsid w:val="003F7990"/>
    <w:rsid w:val="003F79A6"/>
    <w:rsid w:val="003F79EE"/>
    <w:rsid w:val="003F79FC"/>
    <w:rsid w:val="003F7A0C"/>
    <w:rsid w:val="003F7A7B"/>
    <w:rsid w:val="003F7B1F"/>
    <w:rsid w:val="003F7B31"/>
    <w:rsid w:val="003F7B4C"/>
    <w:rsid w:val="003F7B75"/>
    <w:rsid w:val="003F7B93"/>
    <w:rsid w:val="003F7BBA"/>
    <w:rsid w:val="003F7BD7"/>
    <w:rsid w:val="003F7BDF"/>
    <w:rsid w:val="003F7C2E"/>
    <w:rsid w:val="003F7C30"/>
    <w:rsid w:val="003F7CBE"/>
    <w:rsid w:val="003F7CD8"/>
    <w:rsid w:val="003F7CE7"/>
    <w:rsid w:val="003F7D48"/>
    <w:rsid w:val="003F7D6B"/>
    <w:rsid w:val="003F7D6F"/>
    <w:rsid w:val="003F7DEE"/>
    <w:rsid w:val="003F7E05"/>
    <w:rsid w:val="003F7E10"/>
    <w:rsid w:val="003F7FCC"/>
    <w:rsid w:val="00400020"/>
    <w:rsid w:val="00400058"/>
    <w:rsid w:val="0040007C"/>
    <w:rsid w:val="004000A8"/>
    <w:rsid w:val="0040010A"/>
    <w:rsid w:val="0040015F"/>
    <w:rsid w:val="00400237"/>
    <w:rsid w:val="0040023F"/>
    <w:rsid w:val="0040027C"/>
    <w:rsid w:val="0040029F"/>
    <w:rsid w:val="004003D0"/>
    <w:rsid w:val="0040043E"/>
    <w:rsid w:val="0040047A"/>
    <w:rsid w:val="0040047F"/>
    <w:rsid w:val="00400495"/>
    <w:rsid w:val="004004A6"/>
    <w:rsid w:val="004004B9"/>
    <w:rsid w:val="004004E1"/>
    <w:rsid w:val="004004F2"/>
    <w:rsid w:val="00400506"/>
    <w:rsid w:val="0040050F"/>
    <w:rsid w:val="00400554"/>
    <w:rsid w:val="0040055A"/>
    <w:rsid w:val="00400560"/>
    <w:rsid w:val="00400571"/>
    <w:rsid w:val="004005C3"/>
    <w:rsid w:val="00400665"/>
    <w:rsid w:val="0040067E"/>
    <w:rsid w:val="004006B9"/>
    <w:rsid w:val="004006D6"/>
    <w:rsid w:val="004006EC"/>
    <w:rsid w:val="00400709"/>
    <w:rsid w:val="0040071C"/>
    <w:rsid w:val="00400726"/>
    <w:rsid w:val="00400760"/>
    <w:rsid w:val="00400777"/>
    <w:rsid w:val="004007A8"/>
    <w:rsid w:val="00400814"/>
    <w:rsid w:val="004008B5"/>
    <w:rsid w:val="004008BF"/>
    <w:rsid w:val="004008F6"/>
    <w:rsid w:val="0040090E"/>
    <w:rsid w:val="0040091F"/>
    <w:rsid w:val="00400943"/>
    <w:rsid w:val="00400990"/>
    <w:rsid w:val="00400996"/>
    <w:rsid w:val="004009A7"/>
    <w:rsid w:val="004009AD"/>
    <w:rsid w:val="004009B7"/>
    <w:rsid w:val="004009C9"/>
    <w:rsid w:val="00400A1B"/>
    <w:rsid w:val="00400ADC"/>
    <w:rsid w:val="00400B39"/>
    <w:rsid w:val="00400C0B"/>
    <w:rsid w:val="00400C49"/>
    <w:rsid w:val="00400C81"/>
    <w:rsid w:val="00400CA1"/>
    <w:rsid w:val="00400CE9"/>
    <w:rsid w:val="00400D29"/>
    <w:rsid w:val="00400D56"/>
    <w:rsid w:val="00400DA6"/>
    <w:rsid w:val="00400DC4"/>
    <w:rsid w:val="00400EF7"/>
    <w:rsid w:val="00400F14"/>
    <w:rsid w:val="00400F39"/>
    <w:rsid w:val="00400F79"/>
    <w:rsid w:val="00400FC6"/>
    <w:rsid w:val="00400FDA"/>
    <w:rsid w:val="00400FEB"/>
    <w:rsid w:val="00401021"/>
    <w:rsid w:val="00401037"/>
    <w:rsid w:val="00401038"/>
    <w:rsid w:val="00401047"/>
    <w:rsid w:val="00401070"/>
    <w:rsid w:val="004010E0"/>
    <w:rsid w:val="00401149"/>
    <w:rsid w:val="0040115B"/>
    <w:rsid w:val="00401162"/>
    <w:rsid w:val="0040116E"/>
    <w:rsid w:val="004011C0"/>
    <w:rsid w:val="004011C3"/>
    <w:rsid w:val="004011ED"/>
    <w:rsid w:val="004011FE"/>
    <w:rsid w:val="00401254"/>
    <w:rsid w:val="00401258"/>
    <w:rsid w:val="0040126E"/>
    <w:rsid w:val="00401285"/>
    <w:rsid w:val="00401334"/>
    <w:rsid w:val="0040137C"/>
    <w:rsid w:val="0040143B"/>
    <w:rsid w:val="00401461"/>
    <w:rsid w:val="00401483"/>
    <w:rsid w:val="00401488"/>
    <w:rsid w:val="00401498"/>
    <w:rsid w:val="004014AE"/>
    <w:rsid w:val="00401506"/>
    <w:rsid w:val="00401509"/>
    <w:rsid w:val="00401528"/>
    <w:rsid w:val="0040153F"/>
    <w:rsid w:val="0040157A"/>
    <w:rsid w:val="00401591"/>
    <w:rsid w:val="004015A5"/>
    <w:rsid w:val="004015CB"/>
    <w:rsid w:val="004015FB"/>
    <w:rsid w:val="004016A8"/>
    <w:rsid w:val="00401710"/>
    <w:rsid w:val="00401734"/>
    <w:rsid w:val="0040176B"/>
    <w:rsid w:val="004017C7"/>
    <w:rsid w:val="004018DD"/>
    <w:rsid w:val="0040199A"/>
    <w:rsid w:val="00401A08"/>
    <w:rsid w:val="00401A2B"/>
    <w:rsid w:val="00401A2F"/>
    <w:rsid w:val="00401A40"/>
    <w:rsid w:val="00401A7F"/>
    <w:rsid w:val="00401AAB"/>
    <w:rsid w:val="00401B1F"/>
    <w:rsid w:val="00401B26"/>
    <w:rsid w:val="00401B28"/>
    <w:rsid w:val="00401B3E"/>
    <w:rsid w:val="00401BCA"/>
    <w:rsid w:val="00401C21"/>
    <w:rsid w:val="00401CD2"/>
    <w:rsid w:val="00401CD4"/>
    <w:rsid w:val="00401D2F"/>
    <w:rsid w:val="00401D3C"/>
    <w:rsid w:val="00401D3E"/>
    <w:rsid w:val="00401D77"/>
    <w:rsid w:val="00401DDC"/>
    <w:rsid w:val="00401E3A"/>
    <w:rsid w:val="00401E7D"/>
    <w:rsid w:val="00401E88"/>
    <w:rsid w:val="00401E8C"/>
    <w:rsid w:val="00401EE1"/>
    <w:rsid w:val="00401EF7"/>
    <w:rsid w:val="00401F1C"/>
    <w:rsid w:val="00401F30"/>
    <w:rsid w:val="00401F68"/>
    <w:rsid w:val="00401FB8"/>
    <w:rsid w:val="00401FE4"/>
    <w:rsid w:val="00401FFC"/>
    <w:rsid w:val="00402026"/>
    <w:rsid w:val="00402061"/>
    <w:rsid w:val="0040206C"/>
    <w:rsid w:val="0040207F"/>
    <w:rsid w:val="0040209B"/>
    <w:rsid w:val="00402186"/>
    <w:rsid w:val="004021DC"/>
    <w:rsid w:val="00402225"/>
    <w:rsid w:val="00402258"/>
    <w:rsid w:val="0040227F"/>
    <w:rsid w:val="004022BB"/>
    <w:rsid w:val="004022CC"/>
    <w:rsid w:val="004023A1"/>
    <w:rsid w:val="004024BD"/>
    <w:rsid w:val="004024D9"/>
    <w:rsid w:val="004024DF"/>
    <w:rsid w:val="00402502"/>
    <w:rsid w:val="004025D9"/>
    <w:rsid w:val="004025FD"/>
    <w:rsid w:val="00402610"/>
    <w:rsid w:val="0040261C"/>
    <w:rsid w:val="0040263D"/>
    <w:rsid w:val="00402647"/>
    <w:rsid w:val="0040264A"/>
    <w:rsid w:val="0040264F"/>
    <w:rsid w:val="00402684"/>
    <w:rsid w:val="004026AF"/>
    <w:rsid w:val="004026C1"/>
    <w:rsid w:val="004026EF"/>
    <w:rsid w:val="00402727"/>
    <w:rsid w:val="0040273E"/>
    <w:rsid w:val="00402742"/>
    <w:rsid w:val="00402793"/>
    <w:rsid w:val="004027D5"/>
    <w:rsid w:val="004027E1"/>
    <w:rsid w:val="004027E2"/>
    <w:rsid w:val="00402848"/>
    <w:rsid w:val="0040289D"/>
    <w:rsid w:val="004028C5"/>
    <w:rsid w:val="004028D6"/>
    <w:rsid w:val="004028E4"/>
    <w:rsid w:val="00402957"/>
    <w:rsid w:val="00402989"/>
    <w:rsid w:val="004029A5"/>
    <w:rsid w:val="004029B4"/>
    <w:rsid w:val="004029C0"/>
    <w:rsid w:val="004029C4"/>
    <w:rsid w:val="004029F4"/>
    <w:rsid w:val="004029F6"/>
    <w:rsid w:val="00402AAB"/>
    <w:rsid w:val="00402AAE"/>
    <w:rsid w:val="00402AD7"/>
    <w:rsid w:val="00402AFE"/>
    <w:rsid w:val="00402B1E"/>
    <w:rsid w:val="00402B39"/>
    <w:rsid w:val="00402B5D"/>
    <w:rsid w:val="00402B64"/>
    <w:rsid w:val="00402B6B"/>
    <w:rsid w:val="00402B7C"/>
    <w:rsid w:val="00402B80"/>
    <w:rsid w:val="00402B83"/>
    <w:rsid w:val="00402B90"/>
    <w:rsid w:val="00402C5B"/>
    <w:rsid w:val="00402CA3"/>
    <w:rsid w:val="00402D03"/>
    <w:rsid w:val="00402D55"/>
    <w:rsid w:val="00402D80"/>
    <w:rsid w:val="00402DB7"/>
    <w:rsid w:val="00402DFF"/>
    <w:rsid w:val="00402E07"/>
    <w:rsid w:val="00402E28"/>
    <w:rsid w:val="00402E75"/>
    <w:rsid w:val="00402E7E"/>
    <w:rsid w:val="00402EB3"/>
    <w:rsid w:val="00402F11"/>
    <w:rsid w:val="00402F58"/>
    <w:rsid w:val="00402F60"/>
    <w:rsid w:val="00402F87"/>
    <w:rsid w:val="00403066"/>
    <w:rsid w:val="004030C4"/>
    <w:rsid w:val="004030D3"/>
    <w:rsid w:val="004030E7"/>
    <w:rsid w:val="004030EF"/>
    <w:rsid w:val="00403148"/>
    <w:rsid w:val="00403149"/>
    <w:rsid w:val="0040316D"/>
    <w:rsid w:val="00403191"/>
    <w:rsid w:val="004031CE"/>
    <w:rsid w:val="004031E8"/>
    <w:rsid w:val="004031FE"/>
    <w:rsid w:val="0040328B"/>
    <w:rsid w:val="00403293"/>
    <w:rsid w:val="004032A0"/>
    <w:rsid w:val="004032F0"/>
    <w:rsid w:val="00403309"/>
    <w:rsid w:val="0040337A"/>
    <w:rsid w:val="004033A0"/>
    <w:rsid w:val="004033DB"/>
    <w:rsid w:val="004033F2"/>
    <w:rsid w:val="0040341D"/>
    <w:rsid w:val="00403454"/>
    <w:rsid w:val="00403469"/>
    <w:rsid w:val="00403493"/>
    <w:rsid w:val="004034D4"/>
    <w:rsid w:val="004035A3"/>
    <w:rsid w:val="004035B7"/>
    <w:rsid w:val="004035BD"/>
    <w:rsid w:val="004035F3"/>
    <w:rsid w:val="0040363A"/>
    <w:rsid w:val="00403681"/>
    <w:rsid w:val="00403697"/>
    <w:rsid w:val="004036AB"/>
    <w:rsid w:val="004036FA"/>
    <w:rsid w:val="00403708"/>
    <w:rsid w:val="0040370A"/>
    <w:rsid w:val="00403746"/>
    <w:rsid w:val="0040376B"/>
    <w:rsid w:val="004037B4"/>
    <w:rsid w:val="004037C2"/>
    <w:rsid w:val="004037E1"/>
    <w:rsid w:val="0040382C"/>
    <w:rsid w:val="00403831"/>
    <w:rsid w:val="00403839"/>
    <w:rsid w:val="00403871"/>
    <w:rsid w:val="0040387E"/>
    <w:rsid w:val="00403889"/>
    <w:rsid w:val="0040388A"/>
    <w:rsid w:val="004038A5"/>
    <w:rsid w:val="0040392E"/>
    <w:rsid w:val="00403946"/>
    <w:rsid w:val="00403965"/>
    <w:rsid w:val="00403A0C"/>
    <w:rsid w:val="00403A16"/>
    <w:rsid w:val="00403A50"/>
    <w:rsid w:val="00403AC1"/>
    <w:rsid w:val="00403AEA"/>
    <w:rsid w:val="00403B06"/>
    <w:rsid w:val="00403B38"/>
    <w:rsid w:val="00403B40"/>
    <w:rsid w:val="00403BB1"/>
    <w:rsid w:val="00403BB2"/>
    <w:rsid w:val="00403BD5"/>
    <w:rsid w:val="00403BDD"/>
    <w:rsid w:val="00403BEE"/>
    <w:rsid w:val="00403C30"/>
    <w:rsid w:val="00403C6C"/>
    <w:rsid w:val="00403C84"/>
    <w:rsid w:val="00403CB8"/>
    <w:rsid w:val="00403D0E"/>
    <w:rsid w:val="00403D8B"/>
    <w:rsid w:val="00403D9E"/>
    <w:rsid w:val="00403DAF"/>
    <w:rsid w:val="00403DB9"/>
    <w:rsid w:val="00403E86"/>
    <w:rsid w:val="00403EE9"/>
    <w:rsid w:val="00403F3A"/>
    <w:rsid w:val="00403F91"/>
    <w:rsid w:val="00403FC2"/>
    <w:rsid w:val="00403FD5"/>
    <w:rsid w:val="00403FE9"/>
    <w:rsid w:val="00404008"/>
    <w:rsid w:val="0040406D"/>
    <w:rsid w:val="00404074"/>
    <w:rsid w:val="00404078"/>
    <w:rsid w:val="00404091"/>
    <w:rsid w:val="004040FE"/>
    <w:rsid w:val="0040413A"/>
    <w:rsid w:val="00404149"/>
    <w:rsid w:val="0040417C"/>
    <w:rsid w:val="00404191"/>
    <w:rsid w:val="004041A9"/>
    <w:rsid w:val="00404253"/>
    <w:rsid w:val="0040425E"/>
    <w:rsid w:val="00404281"/>
    <w:rsid w:val="004042A3"/>
    <w:rsid w:val="004042F7"/>
    <w:rsid w:val="004042FB"/>
    <w:rsid w:val="0040431E"/>
    <w:rsid w:val="004043BF"/>
    <w:rsid w:val="004043C5"/>
    <w:rsid w:val="004043CE"/>
    <w:rsid w:val="00404433"/>
    <w:rsid w:val="00404434"/>
    <w:rsid w:val="0040448F"/>
    <w:rsid w:val="004044CB"/>
    <w:rsid w:val="004044E4"/>
    <w:rsid w:val="004044F9"/>
    <w:rsid w:val="004044FC"/>
    <w:rsid w:val="00404506"/>
    <w:rsid w:val="00404513"/>
    <w:rsid w:val="00404569"/>
    <w:rsid w:val="004045C7"/>
    <w:rsid w:val="004045CC"/>
    <w:rsid w:val="004045DC"/>
    <w:rsid w:val="00404600"/>
    <w:rsid w:val="00404632"/>
    <w:rsid w:val="00404640"/>
    <w:rsid w:val="0040467B"/>
    <w:rsid w:val="00404680"/>
    <w:rsid w:val="00404683"/>
    <w:rsid w:val="0040469C"/>
    <w:rsid w:val="004046C0"/>
    <w:rsid w:val="004046E2"/>
    <w:rsid w:val="00404716"/>
    <w:rsid w:val="00404744"/>
    <w:rsid w:val="00404782"/>
    <w:rsid w:val="004047F3"/>
    <w:rsid w:val="00404806"/>
    <w:rsid w:val="00404884"/>
    <w:rsid w:val="004048C2"/>
    <w:rsid w:val="00404982"/>
    <w:rsid w:val="00404987"/>
    <w:rsid w:val="00404994"/>
    <w:rsid w:val="004049A1"/>
    <w:rsid w:val="004049EB"/>
    <w:rsid w:val="00404A0C"/>
    <w:rsid w:val="00404A14"/>
    <w:rsid w:val="00404AC9"/>
    <w:rsid w:val="00404BAE"/>
    <w:rsid w:val="00404BCF"/>
    <w:rsid w:val="00404C45"/>
    <w:rsid w:val="00404CD2"/>
    <w:rsid w:val="00404D14"/>
    <w:rsid w:val="00404DF6"/>
    <w:rsid w:val="00404E07"/>
    <w:rsid w:val="00404EAB"/>
    <w:rsid w:val="00404ECB"/>
    <w:rsid w:val="00404F83"/>
    <w:rsid w:val="00404F88"/>
    <w:rsid w:val="00404FD9"/>
    <w:rsid w:val="00404FDE"/>
    <w:rsid w:val="00404FE5"/>
    <w:rsid w:val="00405040"/>
    <w:rsid w:val="00405083"/>
    <w:rsid w:val="004050DC"/>
    <w:rsid w:val="0040511C"/>
    <w:rsid w:val="00405125"/>
    <w:rsid w:val="0040515B"/>
    <w:rsid w:val="00405228"/>
    <w:rsid w:val="00405251"/>
    <w:rsid w:val="00405253"/>
    <w:rsid w:val="00405281"/>
    <w:rsid w:val="0040528C"/>
    <w:rsid w:val="004052BB"/>
    <w:rsid w:val="004052E9"/>
    <w:rsid w:val="004052F2"/>
    <w:rsid w:val="00405303"/>
    <w:rsid w:val="00405315"/>
    <w:rsid w:val="0040533A"/>
    <w:rsid w:val="00405393"/>
    <w:rsid w:val="004053A6"/>
    <w:rsid w:val="004053E8"/>
    <w:rsid w:val="004053F8"/>
    <w:rsid w:val="0040541E"/>
    <w:rsid w:val="00405452"/>
    <w:rsid w:val="00405459"/>
    <w:rsid w:val="00405463"/>
    <w:rsid w:val="0040546E"/>
    <w:rsid w:val="0040549B"/>
    <w:rsid w:val="004054C1"/>
    <w:rsid w:val="004054CD"/>
    <w:rsid w:val="004054CF"/>
    <w:rsid w:val="004054DB"/>
    <w:rsid w:val="0040555D"/>
    <w:rsid w:val="004055FB"/>
    <w:rsid w:val="00405602"/>
    <w:rsid w:val="00405661"/>
    <w:rsid w:val="00405666"/>
    <w:rsid w:val="004056A5"/>
    <w:rsid w:val="004056D4"/>
    <w:rsid w:val="004056EE"/>
    <w:rsid w:val="0040572C"/>
    <w:rsid w:val="0040575D"/>
    <w:rsid w:val="004057EC"/>
    <w:rsid w:val="004057F2"/>
    <w:rsid w:val="0040584B"/>
    <w:rsid w:val="0040584F"/>
    <w:rsid w:val="0040585E"/>
    <w:rsid w:val="00405872"/>
    <w:rsid w:val="00405928"/>
    <w:rsid w:val="0040592D"/>
    <w:rsid w:val="004059C9"/>
    <w:rsid w:val="00405A25"/>
    <w:rsid w:val="00405A9A"/>
    <w:rsid w:val="00405B4E"/>
    <w:rsid w:val="00405BC5"/>
    <w:rsid w:val="00405BFA"/>
    <w:rsid w:val="00405C10"/>
    <w:rsid w:val="00405C51"/>
    <w:rsid w:val="00405C71"/>
    <w:rsid w:val="00405CB9"/>
    <w:rsid w:val="00405CBD"/>
    <w:rsid w:val="00405D62"/>
    <w:rsid w:val="00405D8D"/>
    <w:rsid w:val="00405DAC"/>
    <w:rsid w:val="00405DED"/>
    <w:rsid w:val="00405E2A"/>
    <w:rsid w:val="00405E48"/>
    <w:rsid w:val="00405E77"/>
    <w:rsid w:val="00405E7A"/>
    <w:rsid w:val="00405F11"/>
    <w:rsid w:val="00405F1A"/>
    <w:rsid w:val="00405F1C"/>
    <w:rsid w:val="00405F2C"/>
    <w:rsid w:val="00405F36"/>
    <w:rsid w:val="00405FC0"/>
    <w:rsid w:val="00406015"/>
    <w:rsid w:val="00406020"/>
    <w:rsid w:val="004060C2"/>
    <w:rsid w:val="004060D7"/>
    <w:rsid w:val="004060E2"/>
    <w:rsid w:val="00406115"/>
    <w:rsid w:val="00406118"/>
    <w:rsid w:val="0040615A"/>
    <w:rsid w:val="004061FA"/>
    <w:rsid w:val="00406207"/>
    <w:rsid w:val="0040621D"/>
    <w:rsid w:val="00406283"/>
    <w:rsid w:val="0040628C"/>
    <w:rsid w:val="00406313"/>
    <w:rsid w:val="0040632C"/>
    <w:rsid w:val="00406334"/>
    <w:rsid w:val="00406341"/>
    <w:rsid w:val="00406377"/>
    <w:rsid w:val="004063C9"/>
    <w:rsid w:val="004063DD"/>
    <w:rsid w:val="0040640C"/>
    <w:rsid w:val="0040641B"/>
    <w:rsid w:val="00406430"/>
    <w:rsid w:val="00406436"/>
    <w:rsid w:val="0040645C"/>
    <w:rsid w:val="00406462"/>
    <w:rsid w:val="00406474"/>
    <w:rsid w:val="00406498"/>
    <w:rsid w:val="004064FE"/>
    <w:rsid w:val="00406521"/>
    <w:rsid w:val="00406548"/>
    <w:rsid w:val="0040666E"/>
    <w:rsid w:val="00406698"/>
    <w:rsid w:val="004066BB"/>
    <w:rsid w:val="0040675D"/>
    <w:rsid w:val="00406789"/>
    <w:rsid w:val="00406792"/>
    <w:rsid w:val="00406838"/>
    <w:rsid w:val="00406875"/>
    <w:rsid w:val="004068F3"/>
    <w:rsid w:val="00406948"/>
    <w:rsid w:val="00406983"/>
    <w:rsid w:val="004069A2"/>
    <w:rsid w:val="004069A6"/>
    <w:rsid w:val="004069AE"/>
    <w:rsid w:val="004069CE"/>
    <w:rsid w:val="00406A31"/>
    <w:rsid w:val="00406A3C"/>
    <w:rsid w:val="00406A42"/>
    <w:rsid w:val="00406A44"/>
    <w:rsid w:val="00406A52"/>
    <w:rsid w:val="00406A5B"/>
    <w:rsid w:val="00406A81"/>
    <w:rsid w:val="00406A99"/>
    <w:rsid w:val="00406AA6"/>
    <w:rsid w:val="00406AD3"/>
    <w:rsid w:val="00406AD7"/>
    <w:rsid w:val="00406AF1"/>
    <w:rsid w:val="00406B29"/>
    <w:rsid w:val="00406BCF"/>
    <w:rsid w:val="00406BDD"/>
    <w:rsid w:val="00406BFB"/>
    <w:rsid w:val="00406C25"/>
    <w:rsid w:val="00406C64"/>
    <w:rsid w:val="00406C8A"/>
    <w:rsid w:val="00406CA3"/>
    <w:rsid w:val="00406CAE"/>
    <w:rsid w:val="00406CB3"/>
    <w:rsid w:val="00406D0B"/>
    <w:rsid w:val="00406D6F"/>
    <w:rsid w:val="00406D8E"/>
    <w:rsid w:val="00406D96"/>
    <w:rsid w:val="00406DC0"/>
    <w:rsid w:val="00406E2E"/>
    <w:rsid w:val="00406E2F"/>
    <w:rsid w:val="00406E78"/>
    <w:rsid w:val="00406F19"/>
    <w:rsid w:val="00406F28"/>
    <w:rsid w:val="00406F73"/>
    <w:rsid w:val="00406FC6"/>
    <w:rsid w:val="00406FD9"/>
    <w:rsid w:val="00406FE0"/>
    <w:rsid w:val="00407019"/>
    <w:rsid w:val="00407037"/>
    <w:rsid w:val="0040707F"/>
    <w:rsid w:val="004070AF"/>
    <w:rsid w:val="004070B2"/>
    <w:rsid w:val="004070D1"/>
    <w:rsid w:val="0040712A"/>
    <w:rsid w:val="00407145"/>
    <w:rsid w:val="00407164"/>
    <w:rsid w:val="00407195"/>
    <w:rsid w:val="00407208"/>
    <w:rsid w:val="00407238"/>
    <w:rsid w:val="00407277"/>
    <w:rsid w:val="004072AF"/>
    <w:rsid w:val="00407300"/>
    <w:rsid w:val="00407329"/>
    <w:rsid w:val="0040732A"/>
    <w:rsid w:val="00407369"/>
    <w:rsid w:val="00407370"/>
    <w:rsid w:val="004073E2"/>
    <w:rsid w:val="004073EB"/>
    <w:rsid w:val="0040743D"/>
    <w:rsid w:val="0040748B"/>
    <w:rsid w:val="00407494"/>
    <w:rsid w:val="004074B8"/>
    <w:rsid w:val="004074D9"/>
    <w:rsid w:val="004074DA"/>
    <w:rsid w:val="004074DD"/>
    <w:rsid w:val="00407503"/>
    <w:rsid w:val="0040754B"/>
    <w:rsid w:val="00407683"/>
    <w:rsid w:val="004076BE"/>
    <w:rsid w:val="004076C7"/>
    <w:rsid w:val="004076E7"/>
    <w:rsid w:val="004076EC"/>
    <w:rsid w:val="004076F4"/>
    <w:rsid w:val="0040771F"/>
    <w:rsid w:val="00407724"/>
    <w:rsid w:val="00407763"/>
    <w:rsid w:val="004077CD"/>
    <w:rsid w:val="004077CF"/>
    <w:rsid w:val="00407803"/>
    <w:rsid w:val="00407859"/>
    <w:rsid w:val="0040786C"/>
    <w:rsid w:val="004078BD"/>
    <w:rsid w:val="004078CC"/>
    <w:rsid w:val="004078ED"/>
    <w:rsid w:val="00407968"/>
    <w:rsid w:val="00407995"/>
    <w:rsid w:val="0040799A"/>
    <w:rsid w:val="004079E0"/>
    <w:rsid w:val="00407A14"/>
    <w:rsid w:val="00407A1E"/>
    <w:rsid w:val="00407A40"/>
    <w:rsid w:val="00407A4B"/>
    <w:rsid w:val="00407A5C"/>
    <w:rsid w:val="00407A7B"/>
    <w:rsid w:val="00407AAF"/>
    <w:rsid w:val="00407AF2"/>
    <w:rsid w:val="00407B32"/>
    <w:rsid w:val="00407B54"/>
    <w:rsid w:val="00407B64"/>
    <w:rsid w:val="00407BBE"/>
    <w:rsid w:val="00407BE7"/>
    <w:rsid w:val="00407BEC"/>
    <w:rsid w:val="00407BED"/>
    <w:rsid w:val="00407C12"/>
    <w:rsid w:val="00407C2F"/>
    <w:rsid w:val="00407C7C"/>
    <w:rsid w:val="00407C9F"/>
    <w:rsid w:val="00407D21"/>
    <w:rsid w:val="00407D46"/>
    <w:rsid w:val="00407D53"/>
    <w:rsid w:val="00407DBC"/>
    <w:rsid w:val="00407DBE"/>
    <w:rsid w:val="00407DFF"/>
    <w:rsid w:val="00407E0E"/>
    <w:rsid w:val="00407E22"/>
    <w:rsid w:val="00407E44"/>
    <w:rsid w:val="00407E81"/>
    <w:rsid w:val="00407EC4"/>
    <w:rsid w:val="00407F06"/>
    <w:rsid w:val="00407F12"/>
    <w:rsid w:val="00407F22"/>
    <w:rsid w:val="00407FD0"/>
    <w:rsid w:val="00407FF6"/>
    <w:rsid w:val="00410039"/>
    <w:rsid w:val="00410044"/>
    <w:rsid w:val="00410071"/>
    <w:rsid w:val="004100D7"/>
    <w:rsid w:val="004100FA"/>
    <w:rsid w:val="00410100"/>
    <w:rsid w:val="00410130"/>
    <w:rsid w:val="0041015E"/>
    <w:rsid w:val="00410180"/>
    <w:rsid w:val="0041018A"/>
    <w:rsid w:val="004101C8"/>
    <w:rsid w:val="004101CA"/>
    <w:rsid w:val="00410218"/>
    <w:rsid w:val="0041021A"/>
    <w:rsid w:val="004102C7"/>
    <w:rsid w:val="004102E3"/>
    <w:rsid w:val="00410309"/>
    <w:rsid w:val="0041033F"/>
    <w:rsid w:val="00410381"/>
    <w:rsid w:val="0041038D"/>
    <w:rsid w:val="004103B1"/>
    <w:rsid w:val="004103E6"/>
    <w:rsid w:val="00410444"/>
    <w:rsid w:val="00410445"/>
    <w:rsid w:val="0041046F"/>
    <w:rsid w:val="004104BE"/>
    <w:rsid w:val="004104D0"/>
    <w:rsid w:val="00410524"/>
    <w:rsid w:val="0041056F"/>
    <w:rsid w:val="004105A5"/>
    <w:rsid w:val="004105BB"/>
    <w:rsid w:val="004105CB"/>
    <w:rsid w:val="00410617"/>
    <w:rsid w:val="0041067C"/>
    <w:rsid w:val="004106D2"/>
    <w:rsid w:val="004106D8"/>
    <w:rsid w:val="00410725"/>
    <w:rsid w:val="00410728"/>
    <w:rsid w:val="00410747"/>
    <w:rsid w:val="004107A4"/>
    <w:rsid w:val="004107CA"/>
    <w:rsid w:val="00410809"/>
    <w:rsid w:val="004108D7"/>
    <w:rsid w:val="00410919"/>
    <w:rsid w:val="0041091B"/>
    <w:rsid w:val="00410955"/>
    <w:rsid w:val="004109B7"/>
    <w:rsid w:val="004109BB"/>
    <w:rsid w:val="004109BF"/>
    <w:rsid w:val="00410A00"/>
    <w:rsid w:val="00410AA4"/>
    <w:rsid w:val="00410AF9"/>
    <w:rsid w:val="00410B2A"/>
    <w:rsid w:val="00410B7D"/>
    <w:rsid w:val="00410BBA"/>
    <w:rsid w:val="00410C94"/>
    <w:rsid w:val="00410CB9"/>
    <w:rsid w:val="00410D31"/>
    <w:rsid w:val="00410D8A"/>
    <w:rsid w:val="00410D8D"/>
    <w:rsid w:val="00410D96"/>
    <w:rsid w:val="00410DD5"/>
    <w:rsid w:val="00410E34"/>
    <w:rsid w:val="00410E6E"/>
    <w:rsid w:val="00410EDA"/>
    <w:rsid w:val="00410EEE"/>
    <w:rsid w:val="00410EF8"/>
    <w:rsid w:val="00410F84"/>
    <w:rsid w:val="00410FB3"/>
    <w:rsid w:val="00410FC5"/>
    <w:rsid w:val="00411030"/>
    <w:rsid w:val="004110BF"/>
    <w:rsid w:val="004110C1"/>
    <w:rsid w:val="004110D6"/>
    <w:rsid w:val="004110EF"/>
    <w:rsid w:val="004110F6"/>
    <w:rsid w:val="00411125"/>
    <w:rsid w:val="00411147"/>
    <w:rsid w:val="00411197"/>
    <w:rsid w:val="004111B2"/>
    <w:rsid w:val="004111CB"/>
    <w:rsid w:val="004111D1"/>
    <w:rsid w:val="004111F8"/>
    <w:rsid w:val="0041121E"/>
    <w:rsid w:val="00411253"/>
    <w:rsid w:val="00411283"/>
    <w:rsid w:val="004112C3"/>
    <w:rsid w:val="00411334"/>
    <w:rsid w:val="004113A2"/>
    <w:rsid w:val="004113B0"/>
    <w:rsid w:val="00411425"/>
    <w:rsid w:val="00411441"/>
    <w:rsid w:val="00411472"/>
    <w:rsid w:val="00411486"/>
    <w:rsid w:val="00411487"/>
    <w:rsid w:val="004114B9"/>
    <w:rsid w:val="0041155D"/>
    <w:rsid w:val="004115C6"/>
    <w:rsid w:val="004115D7"/>
    <w:rsid w:val="004115E6"/>
    <w:rsid w:val="004116D9"/>
    <w:rsid w:val="00411709"/>
    <w:rsid w:val="0041172B"/>
    <w:rsid w:val="0041175E"/>
    <w:rsid w:val="00411778"/>
    <w:rsid w:val="0041179C"/>
    <w:rsid w:val="004117B6"/>
    <w:rsid w:val="00411832"/>
    <w:rsid w:val="00411934"/>
    <w:rsid w:val="0041197F"/>
    <w:rsid w:val="004119B2"/>
    <w:rsid w:val="004119E8"/>
    <w:rsid w:val="00411A06"/>
    <w:rsid w:val="00411A33"/>
    <w:rsid w:val="00411A41"/>
    <w:rsid w:val="00411A7F"/>
    <w:rsid w:val="00411AC1"/>
    <w:rsid w:val="00411AE0"/>
    <w:rsid w:val="00411AE8"/>
    <w:rsid w:val="00411AF8"/>
    <w:rsid w:val="00411B05"/>
    <w:rsid w:val="00411B7E"/>
    <w:rsid w:val="00411BBA"/>
    <w:rsid w:val="00411BCF"/>
    <w:rsid w:val="00411C02"/>
    <w:rsid w:val="00411C48"/>
    <w:rsid w:val="00411C88"/>
    <w:rsid w:val="00411CF2"/>
    <w:rsid w:val="00411D02"/>
    <w:rsid w:val="00411D62"/>
    <w:rsid w:val="00411D84"/>
    <w:rsid w:val="00411DA7"/>
    <w:rsid w:val="00411DD0"/>
    <w:rsid w:val="00411DED"/>
    <w:rsid w:val="00411DF7"/>
    <w:rsid w:val="00411DF9"/>
    <w:rsid w:val="00411E61"/>
    <w:rsid w:val="00411F2E"/>
    <w:rsid w:val="00411F48"/>
    <w:rsid w:val="00411F79"/>
    <w:rsid w:val="00411FC3"/>
    <w:rsid w:val="00412037"/>
    <w:rsid w:val="00412048"/>
    <w:rsid w:val="0041204D"/>
    <w:rsid w:val="00412067"/>
    <w:rsid w:val="00412085"/>
    <w:rsid w:val="00412098"/>
    <w:rsid w:val="004120E9"/>
    <w:rsid w:val="0041216C"/>
    <w:rsid w:val="00412182"/>
    <w:rsid w:val="0041220E"/>
    <w:rsid w:val="0041229D"/>
    <w:rsid w:val="004122C1"/>
    <w:rsid w:val="0041231E"/>
    <w:rsid w:val="004123B6"/>
    <w:rsid w:val="004123CF"/>
    <w:rsid w:val="004123D8"/>
    <w:rsid w:val="004123F1"/>
    <w:rsid w:val="004123FA"/>
    <w:rsid w:val="004123FE"/>
    <w:rsid w:val="00412422"/>
    <w:rsid w:val="00412429"/>
    <w:rsid w:val="0041243C"/>
    <w:rsid w:val="0041243F"/>
    <w:rsid w:val="00412447"/>
    <w:rsid w:val="00412465"/>
    <w:rsid w:val="00412495"/>
    <w:rsid w:val="00412512"/>
    <w:rsid w:val="00412556"/>
    <w:rsid w:val="0041258E"/>
    <w:rsid w:val="004125B7"/>
    <w:rsid w:val="004125B9"/>
    <w:rsid w:val="004125C7"/>
    <w:rsid w:val="0041263B"/>
    <w:rsid w:val="00412657"/>
    <w:rsid w:val="0041266B"/>
    <w:rsid w:val="004126CD"/>
    <w:rsid w:val="004126F2"/>
    <w:rsid w:val="00412705"/>
    <w:rsid w:val="00412762"/>
    <w:rsid w:val="00412792"/>
    <w:rsid w:val="004127E3"/>
    <w:rsid w:val="00412806"/>
    <w:rsid w:val="00412827"/>
    <w:rsid w:val="0041284A"/>
    <w:rsid w:val="00412867"/>
    <w:rsid w:val="0041286B"/>
    <w:rsid w:val="0041292B"/>
    <w:rsid w:val="00412932"/>
    <w:rsid w:val="00412935"/>
    <w:rsid w:val="00412985"/>
    <w:rsid w:val="00412994"/>
    <w:rsid w:val="004129A9"/>
    <w:rsid w:val="004129B5"/>
    <w:rsid w:val="004129E0"/>
    <w:rsid w:val="00412A2D"/>
    <w:rsid w:val="00412A3D"/>
    <w:rsid w:val="00412A7B"/>
    <w:rsid w:val="00412A8E"/>
    <w:rsid w:val="00412ABB"/>
    <w:rsid w:val="00412AC2"/>
    <w:rsid w:val="00412AF8"/>
    <w:rsid w:val="00412B10"/>
    <w:rsid w:val="00412B45"/>
    <w:rsid w:val="00412B62"/>
    <w:rsid w:val="00412BB0"/>
    <w:rsid w:val="00412C19"/>
    <w:rsid w:val="00412C55"/>
    <w:rsid w:val="00412C7D"/>
    <w:rsid w:val="00412C87"/>
    <w:rsid w:val="00412CFF"/>
    <w:rsid w:val="00412D08"/>
    <w:rsid w:val="00412D46"/>
    <w:rsid w:val="00412D7A"/>
    <w:rsid w:val="00412D98"/>
    <w:rsid w:val="00412DB7"/>
    <w:rsid w:val="00412DE8"/>
    <w:rsid w:val="00412E34"/>
    <w:rsid w:val="00412E7A"/>
    <w:rsid w:val="00412EAD"/>
    <w:rsid w:val="00412EEF"/>
    <w:rsid w:val="00412FA0"/>
    <w:rsid w:val="0041304F"/>
    <w:rsid w:val="004130C2"/>
    <w:rsid w:val="004130D2"/>
    <w:rsid w:val="004130DE"/>
    <w:rsid w:val="004130E4"/>
    <w:rsid w:val="00413102"/>
    <w:rsid w:val="0041314E"/>
    <w:rsid w:val="00413178"/>
    <w:rsid w:val="00413188"/>
    <w:rsid w:val="004131AE"/>
    <w:rsid w:val="004131FE"/>
    <w:rsid w:val="0041321A"/>
    <w:rsid w:val="0041323E"/>
    <w:rsid w:val="0041325C"/>
    <w:rsid w:val="00413261"/>
    <w:rsid w:val="004132D2"/>
    <w:rsid w:val="0041330C"/>
    <w:rsid w:val="00413358"/>
    <w:rsid w:val="0041335B"/>
    <w:rsid w:val="004133A1"/>
    <w:rsid w:val="00413417"/>
    <w:rsid w:val="0041341B"/>
    <w:rsid w:val="004134A7"/>
    <w:rsid w:val="004134EA"/>
    <w:rsid w:val="004134FF"/>
    <w:rsid w:val="0041355A"/>
    <w:rsid w:val="00413588"/>
    <w:rsid w:val="004135AC"/>
    <w:rsid w:val="004135B5"/>
    <w:rsid w:val="004135D3"/>
    <w:rsid w:val="004135EE"/>
    <w:rsid w:val="004135F1"/>
    <w:rsid w:val="00413637"/>
    <w:rsid w:val="0041366D"/>
    <w:rsid w:val="004136BF"/>
    <w:rsid w:val="004136CA"/>
    <w:rsid w:val="004136EC"/>
    <w:rsid w:val="00413703"/>
    <w:rsid w:val="00413730"/>
    <w:rsid w:val="004137CC"/>
    <w:rsid w:val="0041381E"/>
    <w:rsid w:val="0041381F"/>
    <w:rsid w:val="00413861"/>
    <w:rsid w:val="0041388D"/>
    <w:rsid w:val="004138EC"/>
    <w:rsid w:val="00413918"/>
    <w:rsid w:val="00413962"/>
    <w:rsid w:val="004139D3"/>
    <w:rsid w:val="00413A40"/>
    <w:rsid w:val="00413A5C"/>
    <w:rsid w:val="00413A77"/>
    <w:rsid w:val="00413AB3"/>
    <w:rsid w:val="00413AB9"/>
    <w:rsid w:val="00413B74"/>
    <w:rsid w:val="00413BC4"/>
    <w:rsid w:val="00413C1C"/>
    <w:rsid w:val="00413C3B"/>
    <w:rsid w:val="00413C4B"/>
    <w:rsid w:val="00413C77"/>
    <w:rsid w:val="00413CCB"/>
    <w:rsid w:val="00413CDA"/>
    <w:rsid w:val="00413D58"/>
    <w:rsid w:val="00413D65"/>
    <w:rsid w:val="00413DE1"/>
    <w:rsid w:val="00413E1B"/>
    <w:rsid w:val="00413E8A"/>
    <w:rsid w:val="00413F55"/>
    <w:rsid w:val="00413F89"/>
    <w:rsid w:val="00413FF7"/>
    <w:rsid w:val="00414032"/>
    <w:rsid w:val="0041403E"/>
    <w:rsid w:val="004140AD"/>
    <w:rsid w:val="004140F8"/>
    <w:rsid w:val="0041412A"/>
    <w:rsid w:val="00414141"/>
    <w:rsid w:val="0041416B"/>
    <w:rsid w:val="00414223"/>
    <w:rsid w:val="00414243"/>
    <w:rsid w:val="00414255"/>
    <w:rsid w:val="00414273"/>
    <w:rsid w:val="00414292"/>
    <w:rsid w:val="00414305"/>
    <w:rsid w:val="00414338"/>
    <w:rsid w:val="0041434E"/>
    <w:rsid w:val="00414373"/>
    <w:rsid w:val="004143CE"/>
    <w:rsid w:val="004143E6"/>
    <w:rsid w:val="00414401"/>
    <w:rsid w:val="00414413"/>
    <w:rsid w:val="0041443B"/>
    <w:rsid w:val="00414459"/>
    <w:rsid w:val="004144FF"/>
    <w:rsid w:val="00414540"/>
    <w:rsid w:val="00414554"/>
    <w:rsid w:val="00414592"/>
    <w:rsid w:val="004145AA"/>
    <w:rsid w:val="00414618"/>
    <w:rsid w:val="00414623"/>
    <w:rsid w:val="00414667"/>
    <w:rsid w:val="004146A4"/>
    <w:rsid w:val="004146BF"/>
    <w:rsid w:val="004146FF"/>
    <w:rsid w:val="0041470A"/>
    <w:rsid w:val="0041470F"/>
    <w:rsid w:val="0041471E"/>
    <w:rsid w:val="00414782"/>
    <w:rsid w:val="00414794"/>
    <w:rsid w:val="00414800"/>
    <w:rsid w:val="0041491C"/>
    <w:rsid w:val="00414944"/>
    <w:rsid w:val="00414946"/>
    <w:rsid w:val="004149AD"/>
    <w:rsid w:val="004149AE"/>
    <w:rsid w:val="004149C0"/>
    <w:rsid w:val="004149E3"/>
    <w:rsid w:val="00414A4C"/>
    <w:rsid w:val="00414B14"/>
    <w:rsid w:val="00414B1C"/>
    <w:rsid w:val="00414B4F"/>
    <w:rsid w:val="00414B67"/>
    <w:rsid w:val="00414BF0"/>
    <w:rsid w:val="00414C01"/>
    <w:rsid w:val="00414C3B"/>
    <w:rsid w:val="00414D0A"/>
    <w:rsid w:val="00414D11"/>
    <w:rsid w:val="00414D2F"/>
    <w:rsid w:val="00414D88"/>
    <w:rsid w:val="00414DEE"/>
    <w:rsid w:val="00414E05"/>
    <w:rsid w:val="00414E51"/>
    <w:rsid w:val="00414EA2"/>
    <w:rsid w:val="00414EAE"/>
    <w:rsid w:val="00414EB1"/>
    <w:rsid w:val="00414EBA"/>
    <w:rsid w:val="00414ECC"/>
    <w:rsid w:val="00414F46"/>
    <w:rsid w:val="00414F9D"/>
    <w:rsid w:val="00415003"/>
    <w:rsid w:val="004150EA"/>
    <w:rsid w:val="0041513E"/>
    <w:rsid w:val="00415149"/>
    <w:rsid w:val="0041516E"/>
    <w:rsid w:val="00415175"/>
    <w:rsid w:val="0041519B"/>
    <w:rsid w:val="004151BA"/>
    <w:rsid w:val="0041528F"/>
    <w:rsid w:val="004152EB"/>
    <w:rsid w:val="00415394"/>
    <w:rsid w:val="004153B2"/>
    <w:rsid w:val="004153D0"/>
    <w:rsid w:val="0041541E"/>
    <w:rsid w:val="00415424"/>
    <w:rsid w:val="00415464"/>
    <w:rsid w:val="00415495"/>
    <w:rsid w:val="004154B6"/>
    <w:rsid w:val="004155A1"/>
    <w:rsid w:val="004155C2"/>
    <w:rsid w:val="004155CB"/>
    <w:rsid w:val="004155EB"/>
    <w:rsid w:val="00415611"/>
    <w:rsid w:val="00415626"/>
    <w:rsid w:val="00415694"/>
    <w:rsid w:val="004156A2"/>
    <w:rsid w:val="004156C0"/>
    <w:rsid w:val="004156C2"/>
    <w:rsid w:val="004156F2"/>
    <w:rsid w:val="0041570A"/>
    <w:rsid w:val="0041574C"/>
    <w:rsid w:val="0041575C"/>
    <w:rsid w:val="004157A4"/>
    <w:rsid w:val="004157D7"/>
    <w:rsid w:val="0041585C"/>
    <w:rsid w:val="00415860"/>
    <w:rsid w:val="004158CE"/>
    <w:rsid w:val="004158E4"/>
    <w:rsid w:val="004158E9"/>
    <w:rsid w:val="0041590F"/>
    <w:rsid w:val="00415940"/>
    <w:rsid w:val="00415946"/>
    <w:rsid w:val="00415954"/>
    <w:rsid w:val="004159F1"/>
    <w:rsid w:val="00415A42"/>
    <w:rsid w:val="00415A5B"/>
    <w:rsid w:val="00415AB9"/>
    <w:rsid w:val="00415AC8"/>
    <w:rsid w:val="00415AD0"/>
    <w:rsid w:val="00415AFE"/>
    <w:rsid w:val="00415B00"/>
    <w:rsid w:val="00415B8B"/>
    <w:rsid w:val="00415B9E"/>
    <w:rsid w:val="00415B9F"/>
    <w:rsid w:val="00415BD4"/>
    <w:rsid w:val="00415C68"/>
    <w:rsid w:val="00415C8A"/>
    <w:rsid w:val="00415CCE"/>
    <w:rsid w:val="00415CEF"/>
    <w:rsid w:val="00415D51"/>
    <w:rsid w:val="00415D63"/>
    <w:rsid w:val="00415D79"/>
    <w:rsid w:val="00415DE9"/>
    <w:rsid w:val="00415E43"/>
    <w:rsid w:val="00415E62"/>
    <w:rsid w:val="00415E90"/>
    <w:rsid w:val="00415F05"/>
    <w:rsid w:val="00415F16"/>
    <w:rsid w:val="00415F1B"/>
    <w:rsid w:val="00415F22"/>
    <w:rsid w:val="00415F5D"/>
    <w:rsid w:val="00415F6C"/>
    <w:rsid w:val="00415FFC"/>
    <w:rsid w:val="00416033"/>
    <w:rsid w:val="00416048"/>
    <w:rsid w:val="0041604B"/>
    <w:rsid w:val="00416090"/>
    <w:rsid w:val="00416098"/>
    <w:rsid w:val="004160F4"/>
    <w:rsid w:val="00416125"/>
    <w:rsid w:val="00416130"/>
    <w:rsid w:val="00416161"/>
    <w:rsid w:val="004161BB"/>
    <w:rsid w:val="00416238"/>
    <w:rsid w:val="0041629E"/>
    <w:rsid w:val="004162E3"/>
    <w:rsid w:val="00416306"/>
    <w:rsid w:val="00416312"/>
    <w:rsid w:val="00416357"/>
    <w:rsid w:val="0041636E"/>
    <w:rsid w:val="004163B6"/>
    <w:rsid w:val="0041649A"/>
    <w:rsid w:val="0041649D"/>
    <w:rsid w:val="004164E6"/>
    <w:rsid w:val="0041652E"/>
    <w:rsid w:val="00416553"/>
    <w:rsid w:val="00416568"/>
    <w:rsid w:val="0041657A"/>
    <w:rsid w:val="0041659A"/>
    <w:rsid w:val="004165FC"/>
    <w:rsid w:val="0041661B"/>
    <w:rsid w:val="0041662E"/>
    <w:rsid w:val="00416653"/>
    <w:rsid w:val="00416674"/>
    <w:rsid w:val="004166EA"/>
    <w:rsid w:val="0041679B"/>
    <w:rsid w:val="004167AD"/>
    <w:rsid w:val="004167EA"/>
    <w:rsid w:val="00416806"/>
    <w:rsid w:val="00416809"/>
    <w:rsid w:val="00416840"/>
    <w:rsid w:val="0041685E"/>
    <w:rsid w:val="00416873"/>
    <w:rsid w:val="00416890"/>
    <w:rsid w:val="0041691C"/>
    <w:rsid w:val="00416924"/>
    <w:rsid w:val="0041692E"/>
    <w:rsid w:val="0041694B"/>
    <w:rsid w:val="00416958"/>
    <w:rsid w:val="004169A4"/>
    <w:rsid w:val="004169DA"/>
    <w:rsid w:val="004169DE"/>
    <w:rsid w:val="00416A8C"/>
    <w:rsid w:val="00416AB9"/>
    <w:rsid w:val="00416AF5"/>
    <w:rsid w:val="00416B0D"/>
    <w:rsid w:val="00416B11"/>
    <w:rsid w:val="00416B29"/>
    <w:rsid w:val="00416B3E"/>
    <w:rsid w:val="00416B98"/>
    <w:rsid w:val="00416BE8"/>
    <w:rsid w:val="00416C1A"/>
    <w:rsid w:val="00416C76"/>
    <w:rsid w:val="00416C7B"/>
    <w:rsid w:val="00416C84"/>
    <w:rsid w:val="00416D16"/>
    <w:rsid w:val="00416D4A"/>
    <w:rsid w:val="00416D4D"/>
    <w:rsid w:val="00416D85"/>
    <w:rsid w:val="00416DA4"/>
    <w:rsid w:val="00416DB8"/>
    <w:rsid w:val="00416DC6"/>
    <w:rsid w:val="00416DD0"/>
    <w:rsid w:val="00416E4A"/>
    <w:rsid w:val="00416E83"/>
    <w:rsid w:val="00416EB8"/>
    <w:rsid w:val="00416ECB"/>
    <w:rsid w:val="00416EE2"/>
    <w:rsid w:val="00416F14"/>
    <w:rsid w:val="00416FB5"/>
    <w:rsid w:val="00416FB8"/>
    <w:rsid w:val="00417042"/>
    <w:rsid w:val="00417084"/>
    <w:rsid w:val="004170AD"/>
    <w:rsid w:val="004170DC"/>
    <w:rsid w:val="0041710C"/>
    <w:rsid w:val="0041712E"/>
    <w:rsid w:val="00417185"/>
    <w:rsid w:val="004171B7"/>
    <w:rsid w:val="004171FC"/>
    <w:rsid w:val="00417217"/>
    <w:rsid w:val="00417237"/>
    <w:rsid w:val="00417240"/>
    <w:rsid w:val="00417242"/>
    <w:rsid w:val="00417247"/>
    <w:rsid w:val="004172B4"/>
    <w:rsid w:val="004172BB"/>
    <w:rsid w:val="004172C6"/>
    <w:rsid w:val="004172F3"/>
    <w:rsid w:val="00417360"/>
    <w:rsid w:val="004173AD"/>
    <w:rsid w:val="00417436"/>
    <w:rsid w:val="0041745D"/>
    <w:rsid w:val="00417474"/>
    <w:rsid w:val="00417497"/>
    <w:rsid w:val="004174C0"/>
    <w:rsid w:val="00417537"/>
    <w:rsid w:val="0041753C"/>
    <w:rsid w:val="0041753D"/>
    <w:rsid w:val="00417574"/>
    <w:rsid w:val="004175E4"/>
    <w:rsid w:val="0041768D"/>
    <w:rsid w:val="004176C4"/>
    <w:rsid w:val="004176FB"/>
    <w:rsid w:val="0041775A"/>
    <w:rsid w:val="00417806"/>
    <w:rsid w:val="0041780C"/>
    <w:rsid w:val="0041785C"/>
    <w:rsid w:val="00417867"/>
    <w:rsid w:val="00417906"/>
    <w:rsid w:val="0041791A"/>
    <w:rsid w:val="004179C9"/>
    <w:rsid w:val="00417A1C"/>
    <w:rsid w:val="00417A25"/>
    <w:rsid w:val="00417A38"/>
    <w:rsid w:val="00417A79"/>
    <w:rsid w:val="00417A8D"/>
    <w:rsid w:val="00417A9F"/>
    <w:rsid w:val="00417AB2"/>
    <w:rsid w:val="00417B39"/>
    <w:rsid w:val="00417B40"/>
    <w:rsid w:val="00417B90"/>
    <w:rsid w:val="00417BAA"/>
    <w:rsid w:val="00417C5C"/>
    <w:rsid w:val="00417CB3"/>
    <w:rsid w:val="00417CBC"/>
    <w:rsid w:val="00417D9E"/>
    <w:rsid w:val="00417DC3"/>
    <w:rsid w:val="00417E1B"/>
    <w:rsid w:val="00417E2D"/>
    <w:rsid w:val="00417E9B"/>
    <w:rsid w:val="00417EB5"/>
    <w:rsid w:val="00417F10"/>
    <w:rsid w:val="00417F87"/>
    <w:rsid w:val="00417FC4"/>
    <w:rsid w:val="00420080"/>
    <w:rsid w:val="0042009C"/>
    <w:rsid w:val="004200B7"/>
    <w:rsid w:val="0042010F"/>
    <w:rsid w:val="00420120"/>
    <w:rsid w:val="0042015D"/>
    <w:rsid w:val="00420188"/>
    <w:rsid w:val="004201CC"/>
    <w:rsid w:val="004201CD"/>
    <w:rsid w:val="00420296"/>
    <w:rsid w:val="004202C9"/>
    <w:rsid w:val="004202E6"/>
    <w:rsid w:val="0042031D"/>
    <w:rsid w:val="00420363"/>
    <w:rsid w:val="00420373"/>
    <w:rsid w:val="004203C7"/>
    <w:rsid w:val="00420401"/>
    <w:rsid w:val="004204D2"/>
    <w:rsid w:val="004204EE"/>
    <w:rsid w:val="0042052C"/>
    <w:rsid w:val="0042054B"/>
    <w:rsid w:val="00420565"/>
    <w:rsid w:val="00420588"/>
    <w:rsid w:val="00420649"/>
    <w:rsid w:val="00420662"/>
    <w:rsid w:val="0042069A"/>
    <w:rsid w:val="004206A2"/>
    <w:rsid w:val="004206B3"/>
    <w:rsid w:val="004206E3"/>
    <w:rsid w:val="00420723"/>
    <w:rsid w:val="00420798"/>
    <w:rsid w:val="004207AC"/>
    <w:rsid w:val="004207F0"/>
    <w:rsid w:val="004207FB"/>
    <w:rsid w:val="00420864"/>
    <w:rsid w:val="004208B4"/>
    <w:rsid w:val="004208E3"/>
    <w:rsid w:val="004208FB"/>
    <w:rsid w:val="00420937"/>
    <w:rsid w:val="00420992"/>
    <w:rsid w:val="004209F4"/>
    <w:rsid w:val="00420A61"/>
    <w:rsid w:val="00420AB9"/>
    <w:rsid w:val="00420AD1"/>
    <w:rsid w:val="00420AF3"/>
    <w:rsid w:val="00420AF7"/>
    <w:rsid w:val="00420B00"/>
    <w:rsid w:val="00420B41"/>
    <w:rsid w:val="00420B4B"/>
    <w:rsid w:val="00420B68"/>
    <w:rsid w:val="00420B6E"/>
    <w:rsid w:val="00420B76"/>
    <w:rsid w:val="00420B78"/>
    <w:rsid w:val="00420B8E"/>
    <w:rsid w:val="00420BD2"/>
    <w:rsid w:val="00420C0C"/>
    <w:rsid w:val="00420C1A"/>
    <w:rsid w:val="00420C28"/>
    <w:rsid w:val="00420CDC"/>
    <w:rsid w:val="00420D0B"/>
    <w:rsid w:val="00420D23"/>
    <w:rsid w:val="00420D2B"/>
    <w:rsid w:val="00420D50"/>
    <w:rsid w:val="00420D9A"/>
    <w:rsid w:val="00420DDD"/>
    <w:rsid w:val="00420DEB"/>
    <w:rsid w:val="00420E20"/>
    <w:rsid w:val="00420E3E"/>
    <w:rsid w:val="00420EA3"/>
    <w:rsid w:val="00420EAF"/>
    <w:rsid w:val="00420EDB"/>
    <w:rsid w:val="00420EDF"/>
    <w:rsid w:val="00420EFB"/>
    <w:rsid w:val="00420FA7"/>
    <w:rsid w:val="00421007"/>
    <w:rsid w:val="00421029"/>
    <w:rsid w:val="00421082"/>
    <w:rsid w:val="004210E0"/>
    <w:rsid w:val="004210ED"/>
    <w:rsid w:val="0042112D"/>
    <w:rsid w:val="004211C1"/>
    <w:rsid w:val="00421205"/>
    <w:rsid w:val="00421244"/>
    <w:rsid w:val="00421267"/>
    <w:rsid w:val="0042127F"/>
    <w:rsid w:val="004212A7"/>
    <w:rsid w:val="0042130A"/>
    <w:rsid w:val="00421336"/>
    <w:rsid w:val="0042133A"/>
    <w:rsid w:val="0042134E"/>
    <w:rsid w:val="00421377"/>
    <w:rsid w:val="00421403"/>
    <w:rsid w:val="004214C4"/>
    <w:rsid w:val="004214FF"/>
    <w:rsid w:val="00421511"/>
    <w:rsid w:val="004215C2"/>
    <w:rsid w:val="004215C4"/>
    <w:rsid w:val="0042167F"/>
    <w:rsid w:val="0042169C"/>
    <w:rsid w:val="004216D5"/>
    <w:rsid w:val="00421713"/>
    <w:rsid w:val="0042175E"/>
    <w:rsid w:val="004217D3"/>
    <w:rsid w:val="004217FB"/>
    <w:rsid w:val="00421839"/>
    <w:rsid w:val="00421863"/>
    <w:rsid w:val="004218EF"/>
    <w:rsid w:val="004218F5"/>
    <w:rsid w:val="00421957"/>
    <w:rsid w:val="0042196D"/>
    <w:rsid w:val="00421993"/>
    <w:rsid w:val="004219CB"/>
    <w:rsid w:val="00421A01"/>
    <w:rsid w:val="00421A1B"/>
    <w:rsid w:val="00421A2F"/>
    <w:rsid w:val="00421A84"/>
    <w:rsid w:val="00421AB6"/>
    <w:rsid w:val="00421ADD"/>
    <w:rsid w:val="00421AE5"/>
    <w:rsid w:val="00421B3B"/>
    <w:rsid w:val="00421B43"/>
    <w:rsid w:val="00421B47"/>
    <w:rsid w:val="00421B4C"/>
    <w:rsid w:val="00421B5F"/>
    <w:rsid w:val="00421BC1"/>
    <w:rsid w:val="00421C0A"/>
    <w:rsid w:val="00421C63"/>
    <w:rsid w:val="00421D29"/>
    <w:rsid w:val="00421D3B"/>
    <w:rsid w:val="00421D49"/>
    <w:rsid w:val="00421D5B"/>
    <w:rsid w:val="00421DF3"/>
    <w:rsid w:val="00421E1E"/>
    <w:rsid w:val="00421E1F"/>
    <w:rsid w:val="00421E78"/>
    <w:rsid w:val="00421F30"/>
    <w:rsid w:val="00421F4F"/>
    <w:rsid w:val="00421F71"/>
    <w:rsid w:val="00421F87"/>
    <w:rsid w:val="00421F8B"/>
    <w:rsid w:val="00421F97"/>
    <w:rsid w:val="00421FBA"/>
    <w:rsid w:val="00421FD1"/>
    <w:rsid w:val="00421FDD"/>
    <w:rsid w:val="0042205B"/>
    <w:rsid w:val="0042206A"/>
    <w:rsid w:val="0042207C"/>
    <w:rsid w:val="00422089"/>
    <w:rsid w:val="0042208A"/>
    <w:rsid w:val="00422096"/>
    <w:rsid w:val="004220F0"/>
    <w:rsid w:val="004220FB"/>
    <w:rsid w:val="00422134"/>
    <w:rsid w:val="0042215A"/>
    <w:rsid w:val="00422196"/>
    <w:rsid w:val="0042219D"/>
    <w:rsid w:val="004221A5"/>
    <w:rsid w:val="004221AC"/>
    <w:rsid w:val="004221AF"/>
    <w:rsid w:val="004221F0"/>
    <w:rsid w:val="00422229"/>
    <w:rsid w:val="00422232"/>
    <w:rsid w:val="004222C0"/>
    <w:rsid w:val="004222E0"/>
    <w:rsid w:val="004222F3"/>
    <w:rsid w:val="00422308"/>
    <w:rsid w:val="00422333"/>
    <w:rsid w:val="00422334"/>
    <w:rsid w:val="0042234F"/>
    <w:rsid w:val="004223EB"/>
    <w:rsid w:val="00422407"/>
    <w:rsid w:val="0042242D"/>
    <w:rsid w:val="00422485"/>
    <w:rsid w:val="00422499"/>
    <w:rsid w:val="004224C9"/>
    <w:rsid w:val="00422565"/>
    <w:rsid w:val="004225FF"/>
    <w:rsid w:val="00422619"/>
    <w:rsid w:val="00422650"/>
    <w:rsid w:val="00422666"/>
    <w:rsid w:val="004226F6"/>
    <w:rsid w:val="00422738"/>
    <w:rsid w:val="00422744"/>
    <w:rsid w:val="00422784"/>
    <w:rsid w:val="0042278B"/>
    <w:rsid w:val="004227EA"/>
    <w:rsid w:val="0042280B"/>
    <w:rsid w:val="00422817"/>
    <w:rsid w:val="0042283C"/>
    <w:rsid w:val="00422864"/>
    <w:rsid w:val="004228A3"/>
    <w:rsid w:val="004228B0"/>
    <w:rsid w:val="00422913"/>
    <w:rsid w:val="00422938"/>
    <w:rsid w:val="00422944"/>
    <w:rsid w:val="00422956"/>
    <w:rsid w:val="004229B6"/>
    <w:rsid w:val="004229C4"/>
    <w:rsid w:val="004229E2"/>
    <w:rsid w:val="00422A8A"/>
    <w:rsid w:val="00422B88"/>
    <w:rsid w:val="00422BA1"/>
    <w:rsid w:val="00422BCC"/>
    <w:rsid w:val="00422BD5"/>
    <w:rsid w:val="00422C2D"/>
    <w:rsid w:val="00422C86"/>
    <w:rsid w:val="00422CBE"/>
    <w:rsid w:val="00422D35"/>
    <w:rsid w:val="00422D49"/>
    <w:rsid w:val="00422D4D"/>
    <w:rsid w:val="00422D90"/>
    <w:rsid w:val="00422DB5"/>
    <w:rsid w:val="00422DDC"/>
    <w:rsid w:val="00422E7D"/>
    <w:rsid w:val="00422E9F"/>
    <w:rsid w:val="00422ED9"/>
    <w:rsid w:val="00422EED"/>
    <w:rsid w:val="00422F17"/>
    <w:rsid w:val="00422F30"/>
    <w:rsid w:val="00422F71"/>
    <w:rsid w:val="00422FB7"/>
    <w:rsid w:val="00423017"/>
    <w:rsid w:val="00423065"/>
    <w:rsid w:val="0042306B"/>
    <w:rsid w:val="00423094"/>
    <w:rsid w:val="00423109"/>
    <w:rsid w:val="00423115"/>
    <w:rsid w:val="0042319B"/>
    <w:rsid w:val="0042319D"/>
    <w:rsid w:val="004231F0"/>
    <w:rsid w:val="00423215"/>
    <w:rsid w:val="00423244"/>
    <w:rsid w:val="004232DF"/>
    <w:rsid w:val="0042331B"/>
    <w:rsid w:val="0042333D"/>
    <w:rsid w:val="00423345"/>
    <w:rsid w:val="004233A9"/>
    <w:rsid w:val="004233BE"/>
    <w:rsid w:val="0042340A"/>
    <w:rsid w:val="0042341C"/>
    <w:rsid w:val="0042345E"/>
    <w:rsid w:val="004234D1"/>
    <w:rsid w:val="004234DF"/>
    <w:rsid w:val="00423603"/>
    <w:rsid w:val="00423608"/>
    <w:rsid w:val="0042363F"/>
    <w:rsid w:val="0042369F"/>
    <w:rsid w:val="00423734"/>
    <w:rsid w:val="00423744"/>
    <w:rsid w:val="00423794"/>
    <w:rsid w:val="004237BD"/>
    <w:rsid w:val="004237BE"/>
    <w:rsid w:val="0042381F"/>
    <w:rsid w:val="004238DA"/>
    <w:rsid w:val="00423900"/>
    <w:rsid w:val="00423938"/>
    <w:rsid w:val="00423942"/>
    <w:rsid w:val="004239B7"/>
    <w:rsid w:val="00423A06"/>
    <w:rsid w:val="00423A16"/>
    <w:rsid w:val="00423A46"/>
    <w:rsid w:val="00423AD4"/>
    <w:rsid w:val="00423AE6"/>
    <w:rsid w:val="00423B2B"/>
    <w:rsid w:val="00423B33"/>
    <w:rsid w:val="00423B36"/>
    <w:rsid w:val="00423B3E"/>
    <w:rsid w:val="00423B48"/>
    <w:rsid w:val="00423B53"/>
    <w:rsid w:val="00423B72"/>
    <w:rsid w:val="00423B73"/>
    <w:rsid w:val="00423C24"/>
    <w:rsid w:val="00423D73"/>
    <w:rsid w:val="00423DD4"/>
    <w:rsid w:val="00423E2F"/>
    <w:rsid w:val="00423E3B"/>
    <w:rsid w:val="00423EDA"/>
    <w:rsid w:val="00423F88"/>
    <w:rsid w:val="00424070"/>
    <w:rsid w:val="004240B4"/>
    <w:rsid w:val="004240FD"/>
    <w:rsid w:val="0042414B"/>
    <w:rsid w:val="00424173"/>
    <w:rsid w:val="004241A1"/>
    <w:rsid w:val="004241AC"/>
    <w:rsid w:val="004241D6"/>
    <w:rsid w:val="004241EB"/>
    <w:rsid w:val="00424200"/>
    <w:rsid w:val="00424224"/>
    <w:rsid w:val="004242C7"/>
    <w:rsid w:val="004242CB"/>
    <w:rsid w:val="004242FC"/>
    <w:rsid w:val="00424309"/>
    <w:rsid w:val="00424355"/>
    <w:rsid w:val="0042437C"/>
    <w:rsid w:val="0042438C"/>
    <w:rsid w:val="004243AB"/>
    <w:rsid w:val="004243F3"/>
    <w:rsid w:val="004243FA"/>
    <w:rsid w:val="0042440B"/>
    <w:rsid w:val="0042444E"/>
    <w:rsid w:val="00424497"/>
    <w:rsid w:val="0042449A"/>
    <w:rsid w:val="004244DC"/>
    <w:rsid w:val="00424526"/>
    <w:rsid w:val="00424559"/>
    <w:rsid w:val="0042455A"/>
    <w:rsid w:val="00424570"/>
    <w:rsid w:val="00424596"/>
    <w:rsid w:val="004245A3"/>
    <w:rsid w:val="004245E0"/>
    <w:rsid w:val="004245F6"/>
    <w:rsid w:val="0042464C"/>
    <w:rsid w:val="00424708"/>
    <w:rsid w:val="00424721"/>
    <w:rsid w:val="00424743"/>
    <w:rsid w:val="00424752"/>
    <w:rsid w:val="0042476B"/>
    <w:rsid w:val="004247A1"/>
    <w:rsid w:val="004247A9"/>
    <w:rsid w:val="004247EA"/>
    <w:rsid w:val="00424823"/>
    <w:rsid w:val="0042483B"/>
    <w:rsid w:val="00424879"/>
    <w:rsid w:val="00424953"/>
    <w:rsid w:val="00424A02"/>
    <w:rsid w:val="00424A49"/>
    <w:rsid w:val="00424A5E"/>
    <w:rsid w:val="00424A79"/>
    <w:rsid w:val="00424AA1"/>
    <w:rsid w:val="00424AC3"/>
    <w:rsid w:val="00424B2B"/>
    <w:rsid w:val="00424B9A"/>
    <w:rsid w:val="00424C08"/>
    <w:rsid w:val="00424C37"/>
    <w:rsid w:val="00424C9E"/>
    <w:rsid w:val="00424CC5"/>
    <w:rsid w:val="00424CD0"/>
    <w:rsid w:val="00424D01"/>
    <w:rsid w:val="00424D79"/>
    <w:rsid w:val="00424D86"/>
    <w:rsid w:val="00424DC9"/>
    <w:rsid w:val="00424DCF"/>
    <w:rsid w:val="00424DF4"/>
    <w:rsid w:val="00424E0A"/>
    <w:rsid w:val="00424E83"/>
    <w:rsid w:val="00424EBF"/>
    <w:rsid w:val="00424EED"/>
    <w:rsid w:val="00424EF0"/>
    <w:rsid w:val="00424EFF"/>
    <w:rsid w:val="00424F2A"/>
    <w:rsid w:val="00424F30"/>
    <w:rsid w:val="00424F46"/>
    <w:rsid w:val="00424F5E"/>
    <w:rsid w:val="00424F6F"/>
    <w:rsid w:val="00425010"/>
    <w:rsid w:val="00425034"/>
    <w:rsid w:val="0042508B"/>
    <w:rsid w:val="004250E8"/>
    <w:rsid w:val="004250EE"/>
    <w:rsid w:val="00425167"/>
    <w:rsid w:val="004251F8"/>
    <w:rsid w:val="00425260"/>
    <w:rsid w:val="00425297"/>
    <w:rsid w:val="004252B3"/>
    <w:rsid w:val="0042531A"/>
    <w:rsid w:val="0042536B"/>
    <w:rsid w:val="004253EA"/>
    <w:rsid w:val="00425437"/>
    <w:rsid w:val="0042545B"/>
    <w:rsid w:val="00425495"/>
    <w:rsid w:val="0042552C"/>
    <w:rsid w:val="00425552"/>
    <w:rsid w:val="004255A2"/>
    <w:rsid w:val="0042565B"/>
    <w:rsid w:val="00425660"/>
    <w:rsid w:val="00425676"/>
    <w:rsid w:val="004256BD"/>
    <w:rsid w:val="004256D8"/>
    <w:rsid w:val="004256DB"/>
    <w:rsid w:val="0042573C"/>
    <w:rsid w:val="0042574F"/>
    <w:rsid w:val="00425787"/>
    <w:rsid w:val="004257A3"/>
    <w:rsid w:val="004257B3"/>
    <w:rsid w:val="004257D1"/>
    <w:rsid w:val="0042580D"/>
    <w:rsid w:val="00425843"/>
    <w:rsid w:val="00425873"/>
    <w:rsid w:val="004258A9"/>
    <w:rsid w:val="004258B0"/>
    <w:rsid w:val="00425914"/>
    <w:rsid w:val="0042594A"/>
    <w:rsid w:val="00425952"/>
    <w:rsid w:val="004259B2"/>
    <w:rsid w:val="004259C1"/>
    <w:rsid w:val="004259C6"/>
    <w:rsid w:val="004259CF"/>
    <w:rsid w:val="004259E6"/>
    <w:rsid w:val="00425A1B"/>
    <w:rsid w:val="00425A33"/>
    <w:rsid w:val="00425A39"/>
    <w:rsid w:val="00425A4E"/>
    <w:rsid w:val="00425A7D"/>
    <w:rsid w:val="00425AD6"/>
    <w:rsid w:val="00425B3A"/>
    <w:rsid w:val="00425BF1"/>
    <w:rsid w:val="00425C12"/>
    <w:rsid w:val="00425CF2"/>
    <w:rsid w:val="00425D14"/>
    <w:rsid w:val="00425D71"/>
    <w:rsid w:val="00425D7D"/>
    <w:rsid w:val="00425D89"/>
    <w:rsid w:val="00425DA8"/>
    <w:rsid w:val="00425DC1"/>
    <w:rsid w:val="00425E14"/>
    <w:rsid w:val="00425E27"/>
    <w:rsid w:val="00425E79"/>
    <w:rsid w:val="00425F58"/>
    <w:rsid w:val="00425F6B"/>
    <w:rsid w:val="00425FC2"/>
    <w:rsid w:val="0042604B"/>
    <w:rsid w:val="004260A0"/>
    <w:rsid w:val="00426128"/>
    <w:rsid w:val="0042613C"/>
    <w:rsid w:val="00426164"/>
    <w:rsid w:val="0042617A"/>
    <w:rsid w:val="004261EE"/>
    <w:rsid w:val="0042622A"/>
    <w:rsid w:val="0042622E"/>
    <w:rsid w:val="0042628A"/>
    <w:rsid w:val="004262AE"/>
    <w:rsid w:val="0042631B"/>
    <w:rsid w:val="0042634D"/>
    <w:rsid w:val="004263E3"/>
    <w:rsid w:val="004263E8"/>
    <w:rsid w:val="00426425"/>
    <w:rsid w:val="00426437"/>
    <w:rsid w:val="00426460"/>
    <w:rsid w:val="0042646C"/>
    <w:rsid w:val="004264B6"/>
    <w:rsid w:val="004264B7"/>
    <w:rsid w:val="004264BA"/>
    <w:rsid w:val="004264CE"/>
    <w:rsid w:val="004264EB"/>
    <w:rsid w:val="00426540"/>
    <w:rsid w:val="004265B8"/>
    <w:rsid w:val="004265F4"/>
    <w:rsid w:val="00426601"/>
    <w:rsid w:val="0042660C"/>
    <w:rsid w:val="00426668"/>
    <w:rsid w:val="004266B6"/>
    <w:rsid w:val="00426707"/>
    <w:rsid w:val="00426727"/>
    <w:rsid w:val="00426757"/>
    <w:rsid w:val="0042677B"/>
    <w:rsid w:val="00426794"/>
    <w:rsid w:val="004267B4"/>
    <w:rsid w:val="004267DE"/>
    <w:rsid w:val="00426898"/>
    <w:rsid w:val="004268CD"/>
    <w:rsid w:val="00426927"/>
    <w:rsid w:val="0042694C"/>
    <w:rsid w:val="00426986"/>
    <w:rsid w:val="004269FF"/>
    <w:rsid w:val="00426A12"/>
    <w:rsid w:val="00426A84"/>
    <w:rsid w:val="00426AB3"/>
    <w:rsid w:val="00426AB7"/>
    <w:rsid w:val="00426ADE"/>
    <w:rsid w:val="00426B04"/>
    <w:rsid w:val="00426B1D"/>
    <w:rsid w:val="00426B21"/>
    <w:rsid w:val="00426B5B"/>
    <w:rsid w:val="00426B7D"/>
    <w:rsid w:val="00426B91"/>
    <w:rsid w:val="00426B92"/>
    <w:rsid w:val="00426B9A"/>
    <w:rsid w:val="00426BC7"/>
    <w:rsid w:val="00426C1B"/>
    <w:rsid w:val="00426C28"/>
    <w:rsid w:val="00426C48"/>
    <w:rsid w:val="00426C66"/>
    <w:rsid w:val="00426C8B"/>
    <w:rsid w:val="00426CE2"/>
    <w:rsid w:val="00426D08"/>
    <w:rsid w:val="00426D5F"/>
    <w:rsid w:val="00426D8D"/>
    <w:rsid w:val="00426D95"/>
    <w:rsid w:val="00426DA5"/>
    <w:rsid w:val="00426DAD"/>
    <w:rsid w:val="00426DB2"/>
    <w:rsid w:val="00426DC2"/>
    <w:rsid w:val="00426DED"/>
    <w:rsid w:val="00426DFD"/>
    <w:rsid w:val="00426E26"/>
    <w:rsid w:val="00426E80"/>
    <w:rsid w:val="00426EE1"/>
    <w:rsid w:val="00426EE4"/>
    <w:rsid w:val="00426EF5"/>
    <w:rsid w:val="00426EFB"/>
    <w:rsid w:val="00426F0F"/>
    <w:rsid w:val="00426F22"/>
    <w:rsid w:val="00426F53"/>
    <w:rsid w:val="00426FB5"/>
    <w:rsid w:val="00426FD6"/>
    <w:rsid w:val="00426FEE"/>
    <w:rsid w:val="00427001"/>
    <w:rsid w:val="0042700D"/>
    <w:rsid w:val="004270D6"/>
    <w:rsid w:val="004270EA"/>
    <w:rsid w:val="00427105"/>
    <w:rsid w:val="00427120"/>
    <w:rsid w:val="00427142"/>
    <w:rsid w:val="004272AD"/>
    <w:rsid w:val="004272BA"/>
    <w:rsid w:val="004272F3"/>
    <w:rsid w:val="0042735E"/>
    <w:rsid w:val="0042740B"/>
    <w:rsid w:val="0042740E"/>
    <w:rsid w:val="00427465"/>
    <w:rsid w:val="004274D7"/>
    <w:rsid w:val="004274E3"/>
    <w:rsid w:val="0042755E"/>
    <w:rsid w:val="00427580"/>
    <w:rsid w:val="00427587"/>
    <w:rsid w:val="004275AD"/>
    <w:rsid w:val="00427663"/>
    <w:rsid w:val="00427710"/>
    <w:rsid w:val="00427732"/>
    <w:rsid w:val="004277E9"/>
    <w:rsid w:val="00427814"/>
    <w:rsid w:val="0042784F"/>
    <w:rsid w:val="00427899"/>
    <w:rsid w:val="0042789E"/>
    <w:rsid w:val="004278ED"/>
    <w:rsid w:val="004279F6"/>
    <w:rsid w:val="00427A38"/>
    <w:rsid w:val="00427A8D"/>
    <w:rsid w:val="00427AE1"/>
    <w:rsid w:val="00427B0B"/>
    <w:rsid w:val="00427B25"/>
    <w:rsid w:val="00427B5B"/>
    <w:rsid w:val="00427B62"/>
    <w:rsid w:val="00427B6C"/>
    <w:rsid w:val="00427BB8"/>
    <w:rsid w:val="00427C02"/>
    <w:rsid w:val="00427C03"/>
    <w:rsid w:val="00427C4B"/>
    <w:rsid w:val="00427C60"/>
    <w:rsid w:val="00427C6C"/>
    <w:rsid w:val="00427C73"/>
    <w:rsid w:val="00427C8C"/>
    <w:rsid w:val="00427CB0"/>
    <w:rsid w:val="00427CB2"/>
    <w:rsid w:val="00427D54"/>
    <w:rsid w:val="00427D7E"/>
    <w:rsid w:val="00427DAD"/>
    <w:rsid w:val="00427DDE"/>
    <w:rsid w:val="00427DE6"/>
    <w:rsid w:val="00427E25"/>
    <w:rsid w:val="00427E68"/>
    <w:rsid w:val="00427E81"/>
    <w:rsid w:val="00427F67"/>
    <w:rsid w:val="00427F98"/>
    <w:rsid w:val="00427FE5"/>
    <w:rsid w:val="0042983E"/>
    <w:rsid w:val="0042A3A4"/>
    <w:rsid w:val="00430029"/>
    <w:rsid w:val="00430034"/>
    <w:rsid w:val="00430084"/>
    <w:rsid w:val="004300CE"/>
    <w:rsid w:val="004300F2"/>
    <w:rsid w:val="004300F7"/>
    <w:rsid w:val="00430179"/>
    <w:rsid w:val="00430229"/>
    <w:rsid w:val="0043022E"/>
    <w:rsid w:val="00430309"/>
    <w:rsid w:val="00430321"/>
    <w:rsid w:val="00430358"/>
    <w:rsid w:val="004303AE"/>
    <w:rsid w:val="004303FA"/>
    <w:rsid w:val="0043040E"/>
    <w:rsid w:val="00430446"/>
    <w:rsid w:val="00430461"/>
    <w:rsid w:val="00430479"/>
    <w:rsid w:val="0043047C"/>
    <w:rsid w:val="004304C5"/>
    <w:rsid w:val="004304E5"/>
    <w:rsid w:val="0043051B"/>
    <w:rsid w:val="0043052B"/>
    <w:rsid w:val="00430538"/>
    <w:rsid w:val="00430551"/>
    <w:rsid w:val="00430558"/>
    <w:rsid w:val="004305B6"/>
    <w:rsid w:val="004305C4"/>
    <w:rsid w:val="0043063D"/>
    <w:rsid w:val="00430640"/>
    <w:rsid w:val="0043064F"/>
    <w:rsid w:val="0043067D"/>
    <w:rsid w:val="004306B1"/>
    <w:rsid w:val="004306C4"/>
    <w:rsid w:val="004306D9"/>
    <w:rsid w:val="004306DE"/>
    <w:rsid w:val="004306E4"/>
    <w:rsid w:val="00430731"/>
    <w:rsid w:val="004307A6"/>
    <w:rsid w:val="00430844"/>
    <w:rsid w:val="00430894"/>
    <w:rsid w:val="0043089B"/>
    <w:rsid w:val="004308AD"/>
    <w:rsid w:val="004308DE"/>
    <w:rsid w:val="004308F6"/>
    <w:rsid w:val="00430947"/>
    <w:rsid w:val="00430949"/>
    <w:rsid w:val="00430953"/>
    <w:rsid w:val="00430963"/>
    <w:rsid w:val="00430983"/>
    <w:rsid w:val="0043098D"/>
    <w:rsid w:val="004309AC"/>
    <w:rsid w:val="004309AF"/>
    <w:rsid w:val="004309B0"/>
    <w:rsid w:val="00430A12"/>
    <w:rsid w:val="00430A1E"/>
    <w:rsid w:val="00430A53"/>
    <w:rsid w:val="00430B09"/>
    <w:rsid w:val="00430B93"/>
    <w:rsid w:val="00430C58"/>
    <w:rsid w:val="00430D86"/>
    <w:rsid w:val="00430D91"/>
    <w:rsid w:val="00430D98"/>
    <w:rsid w:val="00430DB2"/>
    <w:rsid w:val="00430DD3"/>
    <w:rsid w:val="00430DE8"/>
    <w:rsid w:val="00430EA9"/>
    <w:rsid w:val="00430F19"/>
    <w:rsid w:val="00430F1B"/>
    <w:rsid w:val="00430F79"/>
    <w:rsid w:val="0043102A"/>
    <w:rsid w:val="0043102D"/>
    <w:rsid w:val="00431062"/>
    <w:rsid w:val="0043106E"/>
    <w:rsid w:val="00431118"/>
    <w:rsid w:val="00431123"/>
    <w:rsid w:val="0043116E"/>
    <w:rsid w:val="0043120B"/>
    <w:rsid w:val="0043120F"/>
    <w:rsid w:val="00431234"/>
    <w:rsid w:val="0043127B"/>
    <w:rsid w:val="004312DD"/>
    <w:rsid w:val="00431329"/>
    <w:rsid w:val="0043143B"/>
    <w:rsid w:val="00431472"/>
    <w:rsid w:val="00431482"/>
    <w:rsid w:val="0043148D"/>
    <w:rsid w:val="0043149E"/>
    <w:rsid w:val="004314A6"/>
    <w:rsid w:val="004314C3"/>
    <w:rsid w:val="0043155B"/>
    <w:rsid w:val="0043165A"/>
    <w:rsid w:val="0043167C"/>
    <w:rsid w:val="00431689"/>
    <w:rsid w:val="004316CF"/>
    <w:rsid w:val="0043170E"/>
    <w:rsid w:val="0043179F"/>
    <w:rsid w:val="004317C8"/>
    <w:rsid w:val="0043185A"/>
    <w:rsid w:val="00431866"/>
    <w:rsid w:val="0043187D"/>
    <w:rsid w:val="0043188D"/>
    <w:rsid w:val="004318B3"/>
    <w:rsid w:val="004318B8"/>
    <w:rsid w:val="004318DA"/>
    <w:rsid w:val="00431905"/>
    <w:rsid w:val="0043190A"/>
    <w:rsid w:val="0043190B"/>
    <w:rsid w:val="00431914"/>
    <w:rsid w:val="0043194D"/>
    <w:rsid w:val="00431955"/>
    <w:rsid w:val="00431961"/>
    <w:rsid w:val="00431983"/>
    <w:rsid w:val="00431988"/>
    <w:rsid w:val="0043198B"/>
    <w:rsid w:val="0043199D"/>
    <w:rsid w:val="004319AD"/>
    <w:rsid w:val="00431A11"/>
    <w:rsid w:val="00431A26"/>
    <w:rsid w:val="00431A36"/>
    <w:rsid w:val="00431B27"/>
    <w:rsid w:val="00431B80"/>
    <w:rsid w:val="00431B98"/>
    <w:rsid w:val="00431BB1"/>
    <w:rsid w:val="00431BCD"/>
    <w:rsid w:val="00431C56"/>
    <w:rsid w:val="00431C8C"/>
    <w:rsid w:val="00431C95"/>
    <w:rsid w:val="00431CA4"/>
    <w:rsid w:val="00431D51"/>
    <w:rsid w:val="00431D6D"/>
    <w:rsid w:val="00431DAC"/>
    <w:rsid w:val="00431DB9"/>
    <w:rsid w:val="00431DF9"/>
    <w:rsid w:val="00431E20"/>
    <w:rsid w:val="00431E60"/>
    <w:rsid w:val="00431EAC"/>
    <w:rsid w:val="00431F0F"/>
    <w:rsid w:val="00431F1B"/>
    <w:rsid w:val="00431F90"/>
    <w:rsid w:val="00431FB0"/>
    <w:rsid w:val="00431FC5"/>
    <w:rsid w:val="00432018"/>
    <w:rsid w:val="0043206D"/>
    <w:rsid w:val="00432115"/>
    <w:rsid w:val="00432151"/>
    <w:rsid w:val="0043215E"/>
    <w:rsid w:val="0043218C"/>
    <w:rsid w:val="004321CB"/>
    <w:rsid w:val="004321FB"/>
    <w:rsid w:val="00432202"/>
    <w:rsid w:val="00432233"/>
    <w:rsid w:val="0043228D"/>
    <w:rsid w:val="00432294"/>
    <w:rsid w:val="004322F9"/>
    <w:rsid w:val="004322FF"/>
    <w:rsid w:val="0043231A"/>
    <w:rsid w:val="00432374"/>
    <w:rsid w:val="004323F1"/>
    <w:rsid w:val="004323F9"/>
    <w:rsid w:val="0043241D"/>
    <w:rsid w:val="00432474"/>
    <w:rsid w:val="004324E0"/>
    <w:rsid w:val="004324F6"/>
    <w:rsid w:val="00432588"/>
    <w:rsid w:val="004325A1"/>
    <w:rsid w:val="004326D0"/>
    <w:rsid w:val="00432719"/>
    <w:rsid w:val="00432724"/>
    <w:rsid w:val="00432725"/>
    <w:rsid w:val="00432745"/>
    <w:rsid w:val="0043274E"/>
    <w:rsid w:val="004327E1"/>
    <w:rsid w:val="0043281D"/>
    <w:rsid w:val="00432845"/>
    <w:rsid w:val="0043284E"/>
    <w:rsid w:val="00432858"/>
    <w:rsid w:val="00432880"/>
    <w:rsid w:val="00432932"/>
    <w:rsid w:val="00432950"/>
    <w:rsid w:val="00432977"/>
    <w:rsid w:val="00432A1E"/>
    <w:rsid w:val="00432A2C"/>
    <w:rsid w:val="00432AD2"/>
    <w:rsid w:val="00432ADB"/>
    <w:rsid w:val="00432B0D"/>
    <w:rsid w:val="00432B48"/>
    <w:rsid w:val="00432B82"/>
    <w:rsid w:val="00432BE4"/>
    <w:rsid w:val="00432BF8"/>
    <w:rsid w:val="00432C98"/>
    <w:rsid w:val="00432CAA"/>
    <w:rsid w:val="00432CC9"/>
    <w:rsid w:val="00432D8C"/>
    <w:rsid w:val="00432D96"/>
    <w:rsid w:val="00432DBE"/>
    <w:rsid w:val="00432DC1"/>
    <w:rsid w:val="00432EC1"/>
    <w:rsid w:val="00432F07"/>
    <w:rsid w:val="00432F0D"/>
    <w:rsid w:val="00432F2C"/>
    <w:rsid w:val="00432FA6"/>
    <w:rsid w:val="00432FBE"/>
    <w:rsid w:val="00432FF1"/>
    <w:rsid w:val="00432FF7"/>
    <w:rsid w:val="00433020"/>
    <w:rsid w:val="0043303C"/>
    <w:rsid w:val="00433040"/>
    <w:rsid w:val="0043304D"/>
    <w:rsid w:val="004330F7"/>
    <w:rsid w:val="004330FD"/>
    <w:rsid w:val="0043311F"/>
    <w:rsid w:val="0043313F"/>
    <w:rsid w:val="00433141"/>
    <w:rsid w:val="004331C2"/>
    <w:rsid w:val="004331D7"/>
    <w:rsid w:val="00433218"/>
    <w:rsid w:val="0043322A"/>
    <w:rsid w:val="00433235"/>
    <w:rsid w:val="00433262"/>
    <w:rsid w:val="00433425"/>
    <w:rsid w:val="00433499"/>
    <w:rsid w:val="004334A8"/>
    <w:rsid w:val="00433511"/>
    <w:rsid w:val="0043361F"/>
    <w:rsid w:val="00433649"/>
    <w:rsid w:val="004336C1"/>
    <w:rsid w:val="004336D3"/>
    <w:rsid w:val="004336FE"/>
    <w:rsid w:val="0043375C"/>
    <w:rsid w:val="0043377D"/>
    <w:rsid w:val="00433810"/>
    <w:rsid w:val="00433842"/>
    <w:rsid w:val="00433866"/>
    <w:rsid w:val="004338BD"/>
    <w:rsid w:val="0043394E"/>
    <w:rsid w:val="00433952"/>
    <w:rsid w:val="0043398F"/>
    <w:rsid w:val="004339D8"/>
    <w:rsid w:val="004339EB"/>
    <w:rsid w:val="00433A0E"/>
    <w:rsid w:val="00433A10"/>
    <w:rsid w:val="00433A1A"/>
    <w:rsid w:val="00433C8F"/>
    <w:rsid w:val="00433CB6"/>
    <w:rsid w:val="00433D1B"/>
    <w:rsid w:val="00433D3B"/>
    <w:rsid w:val="00433D56"/>
    <w:rsid w:val="00433D63"/>
    <w:rsid w:val="00433DBF"/>
    <w:rsid w:val="00433DD1"/>
    <w:rsid w:val="00433DF9"/>
    <w:rsid w:val="00433E80"/>
    <w:rsid w:val="00433E9B"/>
    <w:rsid w:val="00433EF6"/>
    <w:rsid w:val="00433EFD"/>
    <w:rsid w:val="00433F1D"/>
    <w:rsid w:val="00433F39"/>
    <w:rsid w:val="00433FBF"/>
    <w:rsid w:val="00433FDC"/>
    <w:rsid w:val="00434005"/>
    <w:rsid w:val="00434012"/>
    <w:rsid w:val="0043403D"/>
    <w:rsid w:val="00434056"/>
    <w:rsid w:val="00434069"/>
    <w:rsid w:val="004341A1"/>
    <w:rsid w:val="004341C8"/>
    <w:rsid w:val="004341F4"/>
    <w:rsid w:val="00434228"/>
    <w:rsid w:val="004342AA"/>
    <w:rsid w:val="00434326"/>
    <w:rsid w:val="00434329"/>
    <w:rsid w:val="00434339"/>
    <w:rsid w:val="0043433D"/>
    <w:rsid w:val="004343A1"/>
    <w:rsid w:val="004343B9"/>
    <w:rsid w:val="004343DE"/>
    <w:rsid w:val="004343EB"/>
    <w:rsid w:val="004343F4"/>
    <w:rsid w:val="00434417"/>
    <w:rsid w:val="0043446B"/>
    <w:rsid w:val="004344AD"/>
    <w:rsid w:val="00434524"/>
    <w:rsid w:val="00434587"/>
    <w:rsid w:val="00434589"/>
    <w:rsid w:val="004345BC"/>
    <w:rsid w:val="004345F1"/>
    <w:rsid w:val="00434604"/>
    <w:rsid w:val="00434649"/>
    <w:rsid w:val="00434673"/>
    <w:rsid w:val="004346B0"/>
    <w:rsid w:val="004346D6"/>
    <w:rsid w:val="004346E9"/>
    <w:rsid w:val="00434727"/>
    <w:rsid w:val="00434774"/>
    <w:rsid w:val="0043478F"/>
    <w:rsid w:val="00434798"/>
    <w:rsid w:val="0043479C"/>
    <w:rsid w:val="004347D1"/>
    <w:rsid w:val="004347DA"/>
    <w:rsid w:val="004347F6"/>
    <w:rsid w:val="004348E6"/>
    <w:rsid w:val="00434911"/>
    <w:rsid w:val="00434979"/>
    <w:rsid w:val="00434995"/>
    <w:rsid w:val="00434A66"/>
    <w:rsid w:val="00434ABE"/>
    <w:rsid w:val="00434BA1"/>
    <w:rsid w:val="00434BAD"/>
    <w:rsid w:val="00434BF1"/>
    <w:rsid w:val="00434C0A"/>
    <w:rsid w:val="00434C1B"/>
    <w:rsid w:val="00434C43"/>
    <w:rsid w:val="00434CAC"/>
    <w:rsid w:val="00434CAF"/>
    <w:rsid w:val="00434D4E"/>
    <w:rsid w:val="00434D5B"/>
    <w:rsid w:val="00434DD0"/>
    <w:rsid w:val="00434E07"/>
    <w:rsid w:val="00434E15"/>
    <w:rsid w:val="00434E41"/>
    <w:rsid w:val="00434E5B"/>
    <w:rsid w:val="00434EB4"/>
    <w:rsid w:val="00434EF0"/>
    <w:rsid w:val="00434F1F"/>
    <w:rsid w:val="00434F37"/>
    <w:rsid w:val="00434F4F"/>
    <w:rsid w:val="00434F7E"/>
    <w:rsid w:val="00434F9C"/>
    <w:rsid w:val="00434FB7"/>
    <w:rsid w:val="00434FD0"/>
    <w:rsid w:val="00435021"/>
    <w:rsid w:val="00435071"/>
    <w:rsid w:val="00435074"/>
    <w:rsid w:val="0043509F"/>
    <w:rsid w:val="004350D3"/>
    <w:rsid w:val="00435135"/>
    <w:rsid w:val="00435150"/>
    <w:rsid w:val="0043518C"/>
    <w:rsid w:val="004351F8"/>
    <w:rsid w:val="00435203"/>
    <w:rsid w:val="00435208"/>
    <w:rsid w:val="00435220"/>
    <w:rsid w:val="00435280"/>
    <w:rsid w:val="00435319"/>
    <w:rsid w:val="00435322"/>
    <w:rsid w:val="0043533A"/>
    <w:rsid w:val="004353B1"/>
    <w:rsid w:val="00435449"/>
    <w:rsid w:val="00435454"/>
    <w:rsid w:val="0043549B"/>
    <w:rsid w:val="004354C4"/>
    <w:rsid w:val="004354EE"/>
    <w:rsid w:val="0043556E"/>
    <w:rsid w:val="00435583"/>
    <w:rsid w:val="004355E4"/>
    <w:rsid w:val="004355F6"/>
    <w:rsid w:val="00435690"/>
    <w:rsid w:val="004356AB"/>
    <w:rsid w:val="00435789"/>
    <w:rsid w:val="004357BC"/>
    <w:rsid w:val="004357F9"/>
    <w:rsid w:val="0043589F"/>
    <w:rsid w:val="004358B1"/>
    <w:rsid w:val="004358BE"/>
    <w:rsid w:val="00435902"/>
    <w:rsid w:val="00435943"/>
    <w:rsid w:val="00435952"/>
    <w:rsid w:val="00435967"/>
    <w:rsid w:val="00435977"/>
    <w:rsid w:val="004359BC"/>
    <w:rsid w:val="00435A19"/>
    <w:rsid w:val="00435A72"/>
    <w:rsid w:val="00435A83"/>
    <w:rsid w:val="00435A84"/>
    <w:rsid w:val="00435AA1"/>
    <w:rsid w:val="00435AAE"/>
    <w:rsid w:val="00435AE1"/>
    <w:rsid w:val="00435B0E"/>
    <w:rsid w:val="00435B20"/>
    <w:rsid w:val="00435B7D"/>
    <w:rsid w:val="00435C5D"/>
    <w:rsid w:val="00435CAD"/>
    <w:rsid w:val="00435CB9"/>
    <w:rsid w:val="00435D88"/>
    <w:rsid w:val="00435DA6"/>
    <w:rsid w:val="00435DBB"/>
    <w:rsid w:val="00435DFC"/>
    <w:rsid w:val="00435E04"/>
    <w:rsid w:val="00435E5C"/>
    <w:rsid w:val="00435E77"/>
    <w:rsid w:val="00435EB3"/>
    <w:rsid w:val="00435EB6"/>
    <w:rsid w:val="00435F7B"/>
    <w:rsid w:val="00435F8A"/>
    <w:rsid w:val="00436008"/>
    <w:rsid w:val="0043605F"/>
    <w:rsid w:val="004360AA"/>
    <w:rsid w:val="00436194"/>
    <w:rsid w:val="004361B0"/>
    <w:rsid w:val="00436207"/>
    <w:rsid w:val="00436256"/>
    <w:rsid w:val="0043626C"/>
    <w:rsid w:val="00436280"/>
    <w:rsid w:val="00436299"/>
    <w:rsid w:val="0043629C"/>
    <w:rsid w:val="004362C9"/>
    <w:rsid w:val="00436336"/>
    <w:rsid w:val="00436348"/>
    <w:rsid w:val="00436369"/>
    <w:rsid w:val="0043637C"/>
    <w:rsid w:val="004363A3"/>
    <w:rsid w:val="004363C2"/>
    <w:rsid w:val="004363D2"/>
    <w:rsid w:val="004363F5"/>
    <w:rsid w:val="00436417"/>
    <w:rsid w:val="0043648F"/>
    <w:rsid w:val="004364AD"/>
    <w:rsid w:val="004364B2"/>
    <w:rsid w:val="004364D2"/>
    <w:rsid w:val="00436501"/>
    <w:rsid w:val="00436582"/>
    <w:rsid w:val="004366AF"/>
    <w:rsid w:val="004366DB"/>
    <w:rsid w:val="0043673B"/>
    <w:rsid w:val="0043677C"/>
    <w:rsid w:val="00436800"/>
    <w:rsid w:val="0043684B"/>
    <w:rsid w:val="00436871"/>
    <w:rsid w:val="0043689F"/>
    <w:rsid w:val="004368E6"/>
    <w:rsid w:val="004368EC"/>
    <w:rsid w:val="00436946"/>
    <w:rsid w:val="004369C9"/>
    <w:rsid w:val="004369D1"/>
    <w:rsid w:val="004369DC"/>
    <w:rsid w:val="00436A75"/>
    <w:rsid w:val="00436A8C"/>
    <w:rsid w:val="00436B54"/>
    <w:rsid w:val="00436BFF"/>
    <w:rsid w:val="00436C00"/>
    <w:rsid w:val="00436C0D"/>
    <w:rsid w:val="00436CC2"/>
    <w:rsid w:val="00436D10"/>
    <w:rsid w:val="00436D42"/>
    <w:rsid w:val="00436D47"/>
    <w:rsid w:val="00436D60"/>
    <w:rsid w:val="00436DB7"/>
    <w:rsid w:val="00436DFE"/>
    <w:rsid w:val="00436EA9"/>
    <w:rsid w:val="00436F7A"/>
    <w:rsid w:val="0043701B"/>
    <w:rsid w:val="0043703A"/>
    <w:rsid w:val="00437083"/>
    <w:rsid w:val="00437106"/>
    <w:rsid w:val="00437136"/>
    <w:rsid w:val="00437149"/>
    <w:rsid w:val="00437168"/>
    <w:rsid w:val="0043716F"/>
    <w:rsid w:val="004371B4"/>
    <w:rsid w:val="004371D2"/>
    <w:rsid w:val="00437217"/>
    <w:rsid w:val="00437256"/>
    <w:rsid w:val="004372D4"/>
    <w:rsid w:val="004372E9"/>
    <w:rsid w:val="00437326"/>
    <w:rsid w:val="00437340"/>
    <w:rsid w:val="00437347"/>
    <w:rsid w:val="00437397"/>
    <w:rsid w:val="004373BF"/>
    <w:rsid w:val="0043741B"/>
    <w:rsid w:val="0043748B"/>
    <w:rsid w:val="004374AE"/>
    <w:rsid w:val="00437562"/>
    <w:rsid w:val="004375BD"/>
    <w:rsid w:val="00437608"/>
    <w:rsid w:val="00437612"/>
    <w:rsid w:val="00437657"/>
    <w:rsid w:val="004376A4"/>
    <w:rsid w:val="004376FA"/>
    <w:rsid w:val="004376FC"/>
    <w:rsid w:val="00437706"/>
    <w:rsid w:val="00437710"/>
    <w:rsid w:val="0043773F"/>
    <w:rsid w:val="00437788"/>
    <w:rsid w:val="004377D7"/>
    <w:rsid w:val="0043780E"/>
    <w:rsid w:val="00437871"/>
    <w:rsid w:val="004378A6"/>
    <w:rsid w:val="004378AF"/>
    <w:rsid w:val="004378C8"/>
    <w:rsid w:val="00437927"/>
    <w:rsid w:val="0043795A"/>
    <w:rsid w:val="00437966"/>
    <w:rsid w:val="00437994"/>
    <w:rsid w:val="00437A98"/>
    <w:rsid w:val="00437AB3"/>
    <w:rsid w:val="00437ABC"/>
    <w:rsid w:val="00437B27"/>
    <w:rsid w:val="00437B29"/>
    <w:rsid w:val="00437B37"/>
    <w:rsid w:val="00437B39"/>
    <w:rsid w:val="00437B47"/>
    <w:rsid w:val="00437B49"/>
    <w:rsid w:val="00437B62"/>
    <w:rsid w:val="00437B99"/>
    <w:rsid w:val="00437C06"/>
    <w:rsid w:val="00437C1D"/>
    <w:rsid w:val="00437C9C"/>
    <w:rsid w:val="00437CB2"/>
    <w:rsid w:val="00437CD9"/>
    <w:rsid w:val="00437D30"/>
    <w:rsid w:val="00437D63"/>
    <w:rsid w:val="00437DCE"/>
    <w:rsid w:val="00437DD6"/>
    <w:rsid w:val="00437E65"/>
    <w:rsid w:val="00437E70"/>
    <w:rsid w:val="00437ED1"/>
    <w:rsid w:val="00437F1F"/>
    <w:rsid w:val="00437F2D"/>
    <w:rsid w:val="00437F34"/>
    <w:rsid w:val="00437F5C"/>
    <w:rsid w:val="00437FCE"/>
    <w:rsid w:val="00440031"/>
    <w:rsid w:val="0044004C"/>
    <w:rsid w:val="00440053"/>
    <w:rsid w:val="00440070"/>
    <w:rsid w:val="0044008D"/>
    <w:rsid w:val="0044010C"/>
    <w:rsid w:val="00440115"/>
    <w:rsid w:val="00440136"/>
    <w:rsid w:val="0044013A"/>
    <w:rsid w:val="00440143"/>
    <w:rsid w:val="0044015D"/>
    <w:rsid w:val="004401AB"/>
    <w:rsid w:val="004401AD"/>
    <w:rsid w:val="00440234"/>
    <w:rsid w:val="0044024F"/>
    <w:rsid w:val="00440253"/>
    <w:rsid w:val="0044025A"/>
    <w:rsid w:val="004402A2"/>
    <w:rsid w:val="004402C6"/>
    <w:rsid w:val="004402E4"/>
    <w:rsid w:val="0044039B"/>
    <w:rsid w:val="004403A8"/>
    <w:rsid w:val="00440415"/>
    <w:rsid w:val="00440445"/>
    <w:rsid w:val="004404C6"/>
    <w:rsid w:val="00440622"/>
    <w:rsid w:val="00440659"/>
    <w:rsid w:val="00440698"/>
    <w:rsid w:val="0044069C"/>
    <w:rsid w:val="004406EC"/>
    <w:rsid w:val="004406EE"/>
    <w:rsid w:val="00440709"/>
    <w:rsid w:val="0044073D"/>
    <w:rsid w:val="00440775"/>
    <w:rsid w:val="004407C8"/>
    <w:rsid w:val="004407EB"/>
    <w:rsid w:val="004407F3"/>
    <w:rsid w:val="00440822"/>
    <w:rsid w:val="00440923"/>
    <w:rsid w:val="004409CF"/>
    <w:rsid w:val="00440A3B"/>
    <w:rsid w:val="00440A73"/>
    <w:rsid w:val="00440A77"/>
    <w:rsid w:val="00440AF0"/>
    <w:rsid w:val="00440B00"/>
    <w:rsid w:val="00440B19"/>
    <w:rsid w:val="00440B2B"/>
    <w:rsid w:val="00440BB4"/>
    <w:rsid w:val="00440BCC"/>
    <w:rsid w:val="00440C02"/>
    <w:rsid w:val="00440C05"/>
    <w:rsid w:val="00440CAC"/>
    <w:rsid w:val="00440CDD"/>
    <w:rsid w:val="00440D09"/>
    <w:rsid w:val="00440D61"/>
    <w:rsid w:val="00440D63"/>
    <w:rsid w:val="00440D81"/>
    <w:rsid w:val="00440DCA"/>
    <w:rsid w:val="00440DD2"/>
    <w:rsid w:val="00440DE5"/>
    <w:rsid w:val="00440DFC"/>
    <w:rsid w:val="00440E07"/>
    <w:rsid w:val="00440E14"/>
    <w:rsid w:val="00440E99"/>
    <w:rsid w:val="00440F43"/>
    <w:rsid w:val="0044101D"/>
    <w:rsid w:val="00441027"/>
    <w:rsid w:val="0044108E"/>
    <w:rsid w:val="004410C5"/>
    <w:rsid w:val="004410D3"/>
    <w:rsid w:val="004410F1"/>
    <w:rsid w:val="0044114C"/>
    <w:rsid w:val="00441170"/>
    <w:rsid w:val="004411F8"/>
    <w:rsid w:val="0044121D"/>
    <w:rsid w:val="0044127A"/>
    <w:rsid w:val="004412BB"/>
    <w:rsid w:val="004412C3"/>
    <w:rsid w:val="004412ED"/>
    <w:rsid w:val="004412EE"/>
    <w:rsid w:val="004412FF"/>
    <w:rsid w:val="00441309"/>
    <w:rsid w:val="0044135B"/>
    <w:rsid w:val="00441381"/>
    <w:rsid w:val="004413AC"/>
    <w:rsid w:val="00441421"/>
    <w:rsid w:val="0044142E"/>
    <w:rsid w:val="00441468"/>
    <w:rsid w:val="0044149B"/>
    <w:rsid w:val="004414A9"/>
    <w:rsid w:val="004414D7"/>
    <w:rsid w:val="00441506"/>
    <w:rsid w:val="0044151C"/>
    <w:rsid w:val="00441553"/>
    <w:rsid w:val="0044157B"/>
    <w:rsid w:val="0044158A"/>
    <w:rsid w:val="004415D9"/>
    <w:rsid w:val="004415DD"/>
    <w:rsid w:val="004415E8"/>
    <w:rsid w:val="00441649"/>
    <w:rsid w:val="00441652"/>
    <w:rsid w:val="0044165A"/>
    <w:rsid w:val="00441677"/>
    <w:rsid w:val="00441697"/>
    <w:rsid w:val="004416AE"/>
    <w:rsid w:val="004416B7"/>
    <w:rsid w:val="00441736"/>
    <w:rsid w:val="0044173C"/>
    <w:rsid w:val="004417BD"/>
    <w:rsid w:val="004417E0"/>
    <w:rsid w:val="00441810"/>
    <w:rsid w:val="00441828"/>
    <w:rsid w:val="0044182E"/>
    <w:rsid w:val="00441843"/>
    <w:rsid w:val="00441874"/>
    <w:rsid w:val="0044192E"/>
    <w:rsid w:val="00441941"/>
    <w:rsid w:val="00441966"/>
    <w:rsid w:val="0044198D"/>
    <w:rsid w:val="00441995"/>
    <w:rsid w:val="00441A5C"/>
    <w:rsid w:val="00441B1B"/>
    <w:rsid w:val="00441B4F"/>
    <w:rsid w:val="00441B65"/>
    <w:rsid w:val="00441B66"/>
    <w:rsid w:val="00441B78"/>
    <w:rsid w:val="00441BBA"/>
    <w:rsid w:val="00441C5C"/>
    <w:rsid w:val="00441CD3"/>
    <w:rsid w:val="00441D0B"/>
    <w:rsid w:val="00441D2A"/>
    <w:rsid w:val="00441D6A"/>
    <w:rsid w:val="00441D71"/>
    <w:rsid w:val="00441D77"/>
    <w:rsid w:val="00441DA5"/>
    <w:rsid w:val="00441DCF"/>
    <w:rsid w:val="00441DDA"/>
    <w:rsid w:val="00441E3C"/>
    <w:rsid w:val="00441E6D"/>
    <w:rsid w:val="00441EC5"/>
    <w:rsid w:val="00441EC6"/>
    <w:rsid w:val="00441EE0"/>
    <w:rsid w:val="00441F11"/>
    <w:rsid w:val="00441F24"/>
    <w:rsid w:val="00441F29"/>
    <w:rsid w:val="00441F6F"/>
    <w:rsid w:val="00441F91"/>
    <w:rsid w:val="00441F94"/>
    <w:rsid w:val="00441FA0"/>
    <w:rsid w:val="00441FA4"/>
    <w:rsid w:val="0044203B"/>
    <w:rsid w:val="00442041"/>
    <w:rsid w:val="00442084"/>
    <w:rsid w:val="00442098"/>
    <w:rsid w:val="004420A3"/>
    <w:rsid w:val="004420B7"/>
    <w:rsid w:val="004420E4"/>
    <w:rsid w:val="00442105"/>
    <w:rsid w:val="0044210F"/>
    <w:rsid w:val="00442152"/>
    <w:rsid w:val="00442157"/>
    <w:rsid w:val="00442159"/>
    <w:rsid w:val="00442161"/>
    <w:rsid w:val="004421BC"/>
    <w:rsid w:val="004421D9"/>
    <w:rsid w:val="004421EE"/>
    <w:rsid w:val="004421F2"/>
    <w:rsid w:val="00442240"/>
    <w:rsid w:val="0044224C"/>
    <w:rsid w:val="004422CD"/>
    <w:rsid w:val="004422D1"/>
    <w:rsid w:val="004422F9"/>
    <w:rsid w:val="00442318"/>
    <w:rsid w:val="00442331"/>
    <w:rsid w:val="00442390"/>
    <w:rsid w:val="0044239E"/>
    <w:rsid w:val="004423A2"/>
    <w:rsid w:val="0044240A"/>
    <w:rsid w:val="00442453"/>
    <w:rsid w:val="0044246E"/>
    <w:rsid w:val="00442496"/>
    <w:rsid w:val="004424F0"/>
    <w:rsid w:val="004424FF"/>
    <w:rsid w:val="00442507"/>
    <w:rsid w:val="00442526"/>
    <w:rsid w:val="0044254A"/>
    <w:rsid w:val="0044255E"/>
    <w:rsid w:val="0044258B"/>
    <w:rsid w:val="004425F8"/>
    <w:rsid w:val="00442605"/>
    <w:rsid w:val="00442611"/>
    <w:rsid w:val="00442621"/>
    <w:rsid w:val="00442689"/>
    <w:rsid w:val="004426F3"/>
    <w:rsid w:val="00442758"/>
    <w:rsid w:val="0044277B"/>
    <w:rsid w:val="0044280B"/>
    <w:rsid w:val="0044281A"/>
    <w:rsid w:val="00442871"/>
    <w:rsid w:val="0044289F"/>
    <w:rsid w:val="0044293C"/>
    <w:rsid w:val="0044298C"/>
    <w:rsid w:val="004429A4"/>
    <w:rsid w:val="00442A60"/>
    <w:rsid w:val="00442A89"/>
    <w:rsid w:val="00442B0F"/>
    <w:rsid w:val="00442B36"/>
    <w:rsid w:val="00442BF5"/>
    <w:rsid w:val="00442C29"/>
    <w:rsid w:val="00442C93"/>
    <w:rsid w:val="00442C9F"/>
    <w:rsid w:val="00442CFA"/>
    <w:rsid w:val="00442D53"/>
    <w:rsid w:val="00442D69"/>
    <w:rsid w:val="00442D73"/>
    <w:rsid w:val="00442DC5"/>
    <w:rsid w:val="00442E61"/>
    <w:rsid w:val="00442E80"/>
    <w:rsid w:val="00442F31"/>
    <w:rsid w:val="00442F4C"/>
    <w:rsid w:val="00442F6F"/>
    <w:rsid w:val="00442FAD"/>
    <w:rsid w:val="00443048"/>
    <w:rsid w:val="00443049"/>
    <w:rsid w:val="0044304A"/>
    <w:rsid w:val="004430FA"/>
    <w:rsid w:val="00443103"/>
    <w:rsid w:val="0044311A"/>
    <w:rsid w:val="00443149"/>
    <w:rsid w:val="0044315E"/>
    <w:rsid w:val="004431AA"/>
    <w:rsid w:val="004431C5"/>
    <w:rsid w:val="004431C7"/>
    <w:rsid w:val="004431E7"/>
    <w:rsid w:val="0044320D"/>
    <w:rsid w:val="00443224"/>
    <w:rsid w:val="00443250"/>
    <w:rsid w:val="00443293"/>
    <w:rsid w:val="004432A0"/>
    <w:rsid w:val="004432B2"/>
    <w:rsid w:val="004432CA"/>
    <w:rsid w:val="004432F0"/>
    <w:rsid w:val="0044333E"/>
    <w:rsid w:val="004433C3"/>
    <w:rsid w:val="00443438"/>
    <w:rsid w:val="0044346C"/>
    <w:rsid w:val="00443483"/>
    <w:rsid w:val="004434D9"/>
    <w:rsid w:val="00443535"/>
    <w:rsid w:val="00443585"/>
    <w:rsid w:val="004435AE"/>
    <w:rsid w:val="00443608"/>
    <w:rsid w:val="0044362D"/>
    <w:rsid w:val="00443654"/>
    <w:rsid w:val="0044365D"/>
    <w:rsid w:val="00443671"/>
    <w:rsid w:val="0044367B"/>
    <w:rsid w:val="004436C2"/>
    <w:rsid w:val="004436F8"/>
    <w:rsid w:val="00443769"/>
    <w:rsid w:val="0044376E"/>
    <w:rsid w:val="00443857"/>
    <w:rsid w:val="00443861"/>
    <w:rsid w:val="004438DD"/>
    <w:rsid w:val="00443923"/>
    <w:rsid w:val="0044393D"/>
    <w:rsid w:val="004439A4"/>
    <w:rsid w:val="00443A4C"/>
    <w:rsid w:val="00443A8C"/>
    <w:rsid w:val="00443B35"/>
    <w:rsid w:val="00443C02"/>
    <w:rsid w:val="00443C15"/>
    <w:rsid w:val="00443C94"/>
    <w:rsid w:val="00443CCD"/>
    <w:rsid w:val="00443CF2"/>
    <w:rsid w:val="00443D2C"/>
    <w:rsid w:val="00443D41"/>
    <w:rsid w:val="00443D70"/>
    <w:rsid w:val="00443D84"/>
    <w:rsid w:val="00443DAE"/>
    <w:rsid w:val="00443DCD"/>
    <w:rsid w:val="00443E0F"/>
    <w:rsid w:val="00443E34"/>
    <w:rsid w:val="00443E41"/>
    <w:rsid w:val="00443EEC"/>
    <w:rsid w:val="00443EF8"/>
    <w:rsid w:val="00443F4B"/>
    <w:rsid w:val="00443F6F"/>
    <w:rsid w:val="00443FC3"/>
    <w:rsid w:val="00443FE4"/>
    <w:rsid w:val="00444064"/>
    <w:rsid w:val="0044406B"/>
    <w:rsid w:val="00444095"/>
    <w:rsid w:val="004440DD"/>
    <w:rsid w:val="00444113"/>
    <w:rsid w:val="00444119"/>
    <w:rsid w:val="0044411F"/>
    <w:rsid w:val="00444149"/>
    <w:rsid w:val="0044414B"/>
    <w:rsid w:val="004441BE"/>
    <w:rsid w:val="004441C3"/>
    <w:rsid w:val="0044421A"/>
    <w:rsid w:val="00444257"/>
    <w:rsid w:val="0044425A"/>
    <w:rsid w:val="004442D4"/>
    <w:rsid w:val="004442DF"/>
    <w:rsid w:val="00444328"/>
    <w:rsid w:val="0044434F"/>
    <w:rsid w:val="00444350"/>
    <w:rsid w:val="00444352"/>
    <w:rsid w:val="00444357"/>
    <w:rsid w:val="004443A1"/>
    <w:rsid w:val="004443BD"/>
    <w:rsid w:val="004443D6"/>
    <w:rsid w:val="004443E3"/>
    <w:rsid w:val="004443EA"/>
    <w:rsid w:val="00444509"/>
    <w:rsid w:val="0044453B"/>
    <w:rsid w:val="0044455B"/>
    <w:rsid w:val="00444578"/>
    <w:rsid w:val="0044457A"/>
    <w:rsid w:val="0044457B"/>
    <w:rsid w:val="004445A0"/>
    <w:rsid w:val="0044461F"/>
    <w:rsid w:val="0044466F"/>
    <w:rsid w:val="00444674"/>
    <w:rsid w:val="0044469F"/>
    <w:rsid w:val="004446B5"/>
    <w:rsid w:val="004446DE"/>
    <w:rsid w:val="0044471D"/>
    <w:rsid w:val="00444726"/>
    <w:rsid w:val="004447C8"/>
    <w:rsid w:val="00444838"/>
    <w:rsid w:val="0044484C"/>
    <w:rsid w:val="00444945"/>
    <w:rsid w:val="00444971"/>
    <w:rsid w:val="004449B1"/>
    <w:rsid w:val="004449D6"/>
    <w:rsid w:val="00444A1B"/>
    <w:rsid w:val="00444A66"/>
    <w:rsid w:val="00444A83"/>
    <w:rsid w:val="00444A98"/>
    <w:rsid w:val="00444B0B"/>
    <w:rsid w:val="00444B63"/>
    <w:rsid w:val="00444BD3"/>
    <w:rsid w:val="00444BFF"/>
    <w:rsid w:val="00444C4E"/>
    <w:rsid w:val="00444C75"/>
    <w:rsid w:val="00444C77"/>
    <w:rsid w:val="00444C8D"/>
    <w:rsid w:val="00444CA1"/>
    <w:rsid w:val="00444CA8"/>
    <w:rsid w:val="00444CB0"/>
    <w:rsid w:val="00444CD4"/>
    <w:rsid w:val="00444D20"/>
    <w:rsid w:val="00444D21"/>
    <w:rsid w:val="00444D3A"/>
    <w:rsid w:val="00444D45"/>
    <w:rsid w:val="00444D4D"/>
    <w:rsid w:val="00444D62"/>
    <w:rsid w:val="00444D6C"/>
    <w:rsid w:val="00444E06"/>
    <w:rsid w:val="00444E4C"/>
    <w:rsid w:val="00444E5F"/>
    <w:rsid w:val="00444E66"/>
    <w:rsid w:val="00444EB6"/>
    <w:rsid w:val="00444EBD"/>
    <w:rsid w:val="00444EF2"/>
    <w:rsid w:val="00444EFB"/>
    <w:rsid w:val="00444F03"/>
    <w:rsid w:val="00444F51"/>
    <w:rsid w:val="00444F76"/>
    <w:rsid w:val="00444F93"/>
    <w:rsid w:val="00445049"/>
    <w:rsid w:val="00445092"/>
    <w:rsid w:val="004450E4"/>
    <w:rsid w:val="00445124"/>
    <w:rsid w:val="00445144"/>
    <w:rsid w:val="00445158"/>
    <w:rsid w:val="00445176"/>
    <w:rsid w:val="004451D1"/>
    <w:rsid w:val="00445201"/>
    <w:rsid w:val="0044520A"/>
    <w:rsid w:val="0044520B"/>
    <w:rsid w:val="0044523E"/>
    <w:rsid w:val="00445254"/>
    <w:rsid w:val="0044529D"/>
    <w:rsid w:val="004452E5"/>
    <w:rsid w:val="004452F9"/>
    <w:rsid w:val="0044531F"/>
    <w:rsid w:val="0044532B"/>
    <w:rsid w:val="004453B5"/>
    <w:rsid w:val="004453C2"/>
    <w:rsid w:val="004453EE"/>
    <w:rsid w:val="00445419"/>
    <w:rsid w:val="00445425"/>
    <w:rsid w:val="0044543B"/>
    <w:rsid w:val="004454B4"/>
    <w:rsid w:val="00445514"/>
    <w:rsid w:val="0044552F"/>
    <w:rsid w:val="0044556E"/>
    <w:rsid w:val="004455A5"/>
    <w:rsid w:val="0044562F"/>
    <w:rsid w:val="00445631"/>
    <w:rsid w:val="00445638"/>
    <w:rsid w:val="00445678"/>
    <w:rsid w:val="0044567A"/>
    <w:rsid w:val="00445697"/>
    <w:rsid w:val="00445699"/>
    <w:rsid w:val="004456EB"/>
    <w:rsid w:val="004456FA"/>
    <w:rsid w:val="00445839"/>
    <w:rsid w:val="0044586E"/>
    <w:rsid w:val="00445872"/>
    <w:rsid w:val="00445873"/>
    <w:rsid w:val="0044588B"/>
    <w:rsid w:val="004458A2"/>
    <w:rsid w:val="004458DD"/>
    <w:rsid w:val="00445916"/>
    <w:rsid w:val="0044596E"/>
    <w:rsid w:val="004459A9"/>
    <w:rsid w:val="004459CC"/>
    <w:rsid w:val="004459D8"/>
    <w:rsid w:val="004459EC"/>
    <w:rsid w:val="004459F9"/>
    <w:rsid w:val="00445A0C"/>
    <w:rsid w:val="00445A3F"/>
    <w:rsid w:val="00445A63"/>
    <w:rsid w:val="00445AAB"/>
    <w:rsid w:val="00445B18"/>
    <w:rsid w:val="00445B25"/>
    <w:rsid w:val="00445BB4"/>
    <w:rsid w:val="00445BBD"/>
    <w:rsid w:val="00445C3A"/>
    <w:rsid w:val="00445C5E"/>
    <w:rsid w:val="00445C88"/>
    <w:rsid w:val="00445CFC"/>
    <w:rsid w:val="00445D26"/>
    <w:rsid w:val="00445D62"/>
    <w:rsid w:val="00445D89"/>
    <w:rsid w:val="00445DC3"/>
    <w:rsid w:val="00445E1D"/>
    <w:rsid w:val="00445E20"/>
    <w:rsid w:val="00445E6E"/>
    <w:rsid w:val="00445E81"/>
    <w:rsid w:val="00445E82"/>
    <w:rsid w:val="00445EB8"/>
    <w:rsid w:val="00445EC6"/>
    <w:rsid w:val="00445F03"/>
    <w:rsid w:val="00445F15"/>
    <w:rsid w:val="00445F28"/>
    <w:rsid w:val="00445F74"/>
    <w:rsid w:val="00445F80"/>
    <w:rsid w:val="00445F90"/>
    <w:rsid w:val="00445FFA"/>
    <w:rsid w:val="0044600E"/>
    <w:rsid w:val="00446011"/>
    <w:rsid w:val="00446019"/>
    <w:rsid w:val="0044601F"/>
    <w:rsid w:val="0044602B"/>
    <w:rsid w:val="00446038"/>
    <w:rsid w:val="0044608F"/>
    <w:rsid w:val="004460E0"/>
    <w:rsid w:val="0044611F"/>
    <w:rsid w:val="00446147"/>
    <w:rsid w:val="00446174"/>
    <w:rsid w:val="00446178"/>
    <w:rsid w:val="004461B2"/>
    <w:rsid w:val="004461C0"/>
    <w:rsid w:val="004462E8"/>
    <w:rsid w:val="004462EC"/>
    <w:rsid w:val="0044638B"/>
    <w:rsid w:val="004463DD"/>
    <w:rsid w:val="0044642F"/>
    <w:rsid w:val="00446448"/>
    <w:rsid w:val="00446452"/>
    <w:rsid w:val="0044646C"/>
    <w:rsid w:val="004464D2"/>
    <w:rsid w:val="004464DE"/>
    <w:rsid w:val="0044651A"/>
    <w:rsid w:val="0044652D"/>
    <w:rsid w:val="00446571"/>
    <w:rsid w:val="004465A7"/>
    <w:rsid w:val="00446623"/>
    <w:rsid w:val="00446687"/>
    <w:rsid w:val="004466B4"/>
    <w:rsid w:val="004466F9"/>
    <w:rsid w:val="00446705"/>
    <w:rsid w:val="0044672C"/>
    <w:rsid w:val="00446731"/>
    <w:rsid w:val="0044673C"/>
    <w:rsid w:val="00446749"/>
    <w:rsid w:val="0044680D"/>
    <w:rsid w:val="0044684F"/>
    <w:rsid w:val="004468AE"/>
    <w:rsid w:val="004468B2"/>
    <w:rsid w:val="004468B8"/>
    <w:rsid w:val="004468C9"/>
    <w:rsid w:val="004468D8"/>
    <w:rsid w:val="004468DA"/>
    <w:rsid w:val="00446A19"/>
    <w:rsid w:val="00446A23"/>
    <w:rsid w:val="00446A44"/>
    <w:rsid w:val="00446A7B"/>
    <w:rsid w:val="00446A8C"/>
    <w:rsid w:val="00446AA8"/>
    <w:rsid w:val="00446AAC"/>
    <w:rsid w:val="00446ACB"/>
    <w:rsid w:val="00446AD4"/>
    <w:rsid w:val="00446B24"/>
    <w:rsid w:val="00446B88"/>
    <w:rsid w:val="00446B8F"/>
    <w:rsid w:val="00446C0A"/>
    <w:rsid w:val="00446C23"/>
    <w:rsid w:val="00446C5A"/>
    <w:rsid w:val="00446C6A"/>
    <w:rsid w:val="00446C76"/>
    <w:rsid w:val="00446C9F"/>
    <w:rsid w:val="00446CAD"/>
    <w:rsid w:val="00446CAE"/>
    <w:rsid w:val="00446CCA"/>
    <w:rsid w:val="00446D17"/>
    <w:rsid w:val="00446D1B"/>
    <w:rsid w:val="00446D70"/>
    <w:rsid w:val="00446D83"/>
    <w:rsid w:val="00446D97"/>
    <w:rsid w:val="00446D9B"/>
    <w:rsid w:val="00446DF9"/>
    <w:rsid w:val="00446E0B"/>
    <w:rsid w:val="00446E3E"/>
    <w:rsid w:val="00446E9E"/>
    <w:rsid w:val="00446EDC"/>
    <w:rsid w:val="00446EFE"/>
    <w:rsid w:val="00446F8B"/>
    <w:rsid w:val="00446FD3"/>
    <w:rsid w:val="00446FE6"/>
    <w:rsid w:val="00447017"/>
    <w:rsid w:val="00447039"/>
    <w:rsid w:val="004470E6"/>
    <w:rsid w:val="004470F3"/>
    <w:rsid w:val="004470F7"/>
    <w:rsid w:val="0044715C"/>
    <w:rsid w:val="00447175"/>
    <w:rsid w:val="00447187"/>
    <w:rsid w:val="00447256"/>
    <w:rsid w:val="00447275"/>
    <w:rsid w:val="00447281"/>
    <w:rsid w:val="004472E1"/>
    <w:rsid w:val="004472FC"/>
    <w:rsid w:val="0044731C"/>
    <w:rsid w:val="00447360"/>
    <w:rsid w:val="004473A9"/>
    <w:rsid w:val="004473FF"/>
    <w:rsid w:val="0044741F"/>
    <w:rsid w:val="00447422"/>
    <w:rsid w:val="0044744C"/>
    <w:rsid w:val="00447474"/>
    <w:rsid w:val="00447490"/>
    <w:rsid w:val="0044749D"/>
    <w:rsid w:val="004474A1"/>
    <w:rsid w:val="00447511"/>
    <w:rsid w:val="004475A9"/>
    <w:rsid w:val="004475B8"/>
    <w:rsid w:val="004475C4"/>
    <w:rsid w:val="00447633"/>
    <w:rsid w:val="00447658"/>
    <w:rsid w:val="004476C1"/>
    <w:rsid w:val="004476C3"/>
    <w:rsid w:val="004476C8"/>
    <w:rsid w:val="004476F4"/>
    <w:rsid w:val="00447722"/>
    <w:rsid w:val="00447792"/>
    <w:rsid w:val="004477B9"/>
    <w:rsid w:val="004477E4"/>
    <w:rsid w:val="00447802"/>
    <w:rsid w:val="00447872"/>
    <w:rsid w:val="0044787D"/>
    <w:rsid w:val="0044789D"/>
    <w:rsid w:val="004478D5"/>
    <w:rsid w:val="00447949"/>
    <w:rsid w:val="0044794A"/>
    <w:rsid w:val="0044795C"/>
    <w:rsid w:val="00447962"/>
    <w:rsid w:val="004479A4"/>
    <w:rsid w:val="004479AF"/>
    <w:rsid w:val="004479E9"/>
    <w:rsid w:val="004479F2"/>
    <w:rsid w:val="004479F5"/>
    <w:rsid w:val="004479F9"/>
    <w:rsid w:val="00447A3E"/>
    <w:rsid w:val="00447A50"/>
    <w:rsid w:val="00447A74"/>
    <w:rsid w:val="00447A88"/>
    <w:rsid w:val="00447A91"/>
    <w:rsid w:val="00447B21"/>
    <w:rsid w:val="00447B2A"/>
    <w:rsid w:val="00447BAD"/>
    <w:rsid w:val="00447C34"/>
    <w:rsid w:val="00447C3C"/>
    <w:rsid w:val="00447C6B"/>
    <w:rsid w:val="00447C6D"/>
    <w:rsid w:val="00447C7B"/>
    <w:rsid w:val="00447CF4"/>
    <w:rsid w:val="00447CFE"/>
    <w:rsid w:val="00447D4B"/>
    <w:rsid w:val="00447D52"/>
    <w:rsid w:val="00447D6A"/>
    <w:rsid w:val="00447DB0"/>
    <w:rsid w:val="00447DEC"/>
    <w:rsid w:val="00447E39"/>
    <w:rsid w:val="00447E6B"/>
    <w:rsid w:val="00447E91"/>
    <w:rsid w:val="00447EBA"/>
    <w:rsid w:val="00447EBC"/>
    <w:rsid w:val="00447ECD"/>
    <w:rsid w:val="00447ED0"/>
    <w:rsid w:val="00447EE8"/>
    <w:rsid w:val="00447F1D"/>
    <w:rsid w:val="00447F25"/>
    <w:rsid w:val="00447F4F"/>
    <w:rsid w:val="00447F6B"/>
    <w:rsid w:val="00447F8C"/>
    <w:rsid w:val="00447F9A"/>
    <w:rsid w:val="004485A5"/>
    <w:rsid w:val="00449C8B"/>
    <w:rsid w:val="0045004A"/>
    <w:rsid w:val="0045007E"/>
    <w:rsid w:val="004500AC"/>
    <w:rsid w:val="004500E0"/>
    <w:rsid w:val="00450102"/>
    <w:rsid w:val="0045011C"/>
    <w:rsid w:val="00450170"/>
    <w:rsid w:val="004501C0"/>
    <w:rsid w:val="00450235"/>
    <w:rsid w:val="00450276"/>
    <w:rsid w:val="004502B2"/>
    <w:rsid w:val="00450319"/>
    <w:rsid w:val="00450368"/>
    <w:rsid w:val="0045040E"/>
    <w:rsid w:val="0045046E"/>
    <w:rsid w:val="00450477"/>
    <w:rsid w:val="00450484"/>
    <w:rsid w:val="004504E2"/>
    <w:rsid w:val="00450521"/>
    <w:rsid w:val="00450573"/>
    <w:rsid w:val="00450574"/>
    <w:rsid w:val="004505E1"/>
    <w:rsid w:val="004505F9"/>
    <w:rsid w:val="004506AB"/>
    <w:rsid w:val="004506B7"/>
    <w:rsid w:val="004506C0"/>
    <w:rsid w:val="004506E5"/>
    <w:rsid w:val="004506F6"/>
    <w:rsid w:val="0045070F"/>
    <w:rsid w:val="00450724"/>
    <w:rsid w:val="00450753"/>
    <w:rsid w:val="0045076D"/>
    <w:rsid w:val="004507A1"/>
    <w:rsid w:val="004507D6"/>
    <w:rsid w:val="00450800"/>
    <w:rsid w:val="00450810"/>
    <w:rsid w:val="0045088D"/>
    <w:rsid w:val="004508CC"/>
    <w:rsid w:val="00450934"/>
    <w:rsid w:val="0045096F"/>
    <w:rsid w:val="0045097A"/>
    <w:rsid w:val="00450986"/>
    <w:rsid w:val="00450990"/>
    <w:rsid w:val="00450992"/>
    <w:rsid w:val="004509AB"/>
    <w:rsid w:val="00450AAA"/>
    <w:rsid w:val="00450AC7"/>
    <w:rsid w:val="00450B37"/>
    <w:rsid w:val="00450B70"/>
    <w:rsid w:val="00450B8A"/>
    <w:rsid w:val="00450BC2"/>
    <w:rsid w:val="00450C02"/>
    <w:rsid w:val="00450C30"/>
    <w:rsid w:val="00450C32"/>
    <w:rsid w:val="00450C3B"/>
    <w:rsid w:val="00450C62"/>
    <w:rsid w:val="00450C86"/>
    <w:rsid w:val="00450C97"/>
    <w:rsid w:val="00450CA2"/>
    <w:rsid w:val="00450D31"/>
    <w:rsid w:val="00450D88"/>
    <w:rsid w:val="00450DAB"/>
    <w:rsid w:val="00450DB2"/>
    <w:rsid w:val="00450E01"/>
    <w:rsid w:val="00450E44"/>
    <w:rsid w:val="00450E7D"/>
    <w:rsid w:val="00450EA0"/>
    <w:rsid w:val="00450EBE"/>
    <w:rsid w:val="00450FA9"/>
    <w:rsid w:val="00450FBC"/>
    <w:rsid w:val="00450FBE"/>
    <w:rsid w:val="00450FCA"/>
    <w:rsid w:val="00450FF6"/>
    <w:rsid w:val="00450FF7"/>
    <w:rsid w:val="00451009"/>
    <w:rsid w:val="0045100F"/>
    <w:rsid w:val="00451030"/>
    <w:rsid w:val="0045106E"/>
    <w:rsid w:val="004510BC"/>
    <w:rsid w:val="004510BD"/>
    <w:rsid w:val="004510F5"/>
    <w:rsid w:val="00451111"/>
    <w:rsid w:val="004511AF"/>
    <w:rsid w:val="004511DC"/>
    <w:rsid w:val="004511DE"/>
    <w:rsid w:val="004511FC"/>
    <w:rsid w:val="00451235"/>
    <w:rsid w:val="00451239"/>
    <w:rsid w:val="004512BF"/>
    <w:rsid w:val="004512DB"/>
    <w:rsid w:val="004512E5"/>
    <w:rsid w:val="004512FE"/>
    <w:rsid w:val="004513C3"/>
    <w:rsid w:val="004513D2"/>
    <w:rsid w:val="00451441"/>
    <w:rsid w:val="0045146C"/>
    <w:rsid w:val="004514DD"/>
    <w:rsid w:val="0045154F"/>
    <w:rsid w:val="00451550"/>
    <w:rsid w:val="00451576"/>
    <w:rsid w:val="00451578"/>
    <w:rsid w:val="004515BF"/>
    <w:rsid w:val="004515F3"/>
    <w:rsid w:val="0045164B"/>
    <w:rsid w:val="00451660"/>
    <w:rsid w:val="00451661"/>
    <w:rsid w:val="0045166E"/>
    <w:rsid w:val="004516C9"/>
    <w:rsid w:val="004516FB"/>
    <w:rsid w:val="00451712"/>
    <w:rsid w:val="004517C5"/>
    <w:rsid w:val="004517CC"/>
    <w:rsid w:val="00451840"/>
    <w:rsid w:val="00451846"/>
    <w:rsid w:val="00451862"/>
    <w:rsid w:val="0045189E"/>
    <w:rsid w:val="004518A6"/>
    <w:rsid w:val="004518B6"/>
    <w:rsid w:val="00451926"/>
    <w:rsid w:val="00451992"/>
    <w:rsid w:val="004519A2"/>
    <w:rsid w:val="004519D5"/>
    <w:rsid w:val="004519E9"/>
    <w:rsid w:val="00451A04"/>
    <w:rsid w:val="00451ACE"/>
    <w:rsid w:val="00451AD0"/>
    <w:rsid w:val="00451AEC"/>
    <w:rsid w:val="00451C07"/>
    <w:rsid w:val="00451C38"/>
    <w:rsid w:val="00451C46"/>
    <w:rsid w:val="00451C7D"/>
    <w:rsid w:val="00451C8B"/>
    <w:rsid w:val="00451C8C"/>
    <w:rsid w:val="00451C96"/>
    <w:rsid w:val="00451C9C"/>
    <w:rsid w:val="00451CE0"/>
    <w:rsid w:val="00451D01"/>
    <w:rsid w:val="00451E01"/>
    <w:rsid w:val="00451E1E"/>
    <w:rsid w:val="00451EB5"/>
    <w:rsid w:val="00451EEB"/>
    <w:rsid w:val="00451F48"/>
    <w:rsid w:val="00451F5B"/>
    <w:rsid w:val="00451F94"/>
    <w:rsid w:val="00451FAA"/>
    <w:rsid w:val="00451FBE"/>
    <w:rsid w:val="0045207D"/>
    <w:rsid w:val="004520B5"/>
    <w:rsid w:val="004520C8"/>
    <w:rsid w:val="004520CF"/>
    <w:rsid w:val="0045212A"/>
    <w:rsid w:val="00452130"/>
    <w:rsid w:val="00452131"/>
    <w:rsid w:val="0045215A"/>
    <w:rsid w:val="004521BB"/>
    <w:rsid w:val="004521FD"/>
    <w:rsid w:val="00452228"/>
    <w:rsid w:val="00452245"/>
    <w:rsid w:val="00452277"/>
    <w:rsid w:val="004522D6"/>
    <w:rsid w:val="004522E9"/>
    <w:rsid w:val="00452309"/>
    <w:rsid w:val="0045231C"/>
    <w:rsid w:val="00452337"/>
    <w:rsid w:val="004523FE"/>
    <w:rsid w:val="00452425"/>
    <w:rsid w:val="0045242F"/>
    <w:rsid w:val="00452474"/>
    <w:rsid w:val="0045249D"/>
    <w:rsid w:val="00452503"/>
    <w:rsid w:val="00452542"/>
    <w:rsid w:val="0045256C"/>
    <w:rsid w:val="004525A1"/>
    <w:rsid w:val="004525A8"/>
    <w:rsid w:val="004525B1"/>
    <w:rsid w:val="004525C4"/>
    <w:rsid w:val="004525D0"/>
    <w:rsid w:val="004525E5"/>
    <w:rsid w:val="00452657"/>
    <w:rsid w:val="004526E5"/>
    <w:rsid w:val="004526EB"/>
    <w:rsid w:val="00452746"/>
    <w:rsid w:val="00452750"/>
    <w:rsid w:val="0045278A"/>
    <w:rsid w:val="004527C0"/>
    <w:rsid w:val="004527C8"/>
    <w:rsid w:val="004527FD"/>
    <w:rsid w:val="00452807"/>
    <w:rsid w:val="00452811"/>
    <w:rsid w:val="0045283A"/>
    <w:rsid w:val="004528AF"/>
    <w:rsid w:val="004528DC"/>
    <w:rsid w:val="004528F4"/>
    <w:rsid w:val="0045299D"/>
    <w:rsid w:val="004529FF"/>
    <w:rsid w:val="00452A74"/>
    <w:rsid w:val="00452A9A"/>
    <w:rsid w:val="00452AE5"/>
    <w:rsid w:val="00452B72"/>
    <w:rsid w:val="00452B79"/>
    <w:rsid w:val="00452C38"/>
    <w:rsid w:val="00452C80"/>
    <w:rsid w:val="00452C97"/>
    <w:rsid w:val="00452D40"/>
    <w:rsid w:val="00452D58"/>
    <w:rsid w:val="00452DAC"/>
    <w:rsid w:val="00452DC2"/>
    <w:rsid w:val="00452EA2"/>
    <w:rsid w:val="00452F30"/>
    <w:rsid w:val="00452F37"/>
    <w:rsid w:val="00452F52"/>
    <w:rsid w:val="00452F6D"/>
    <w:rsid w:val="00452F74"/>
    <w:rsid w:val="00452F9B"/>
    <w:rsid w:val="00452FD4"/>
    <w:rsid w:val="00453074"/>
    <w:rsid w:val="00453090"/>
    <w:rsid w:val="00453095"/>
    <w:rsid w:val="004530EB"/>
    <w:rsid w:val="004530EE"/>
    <w:rsid w:val="00453109"/>
    <w:rsid w:val="00453147"/>
    <w:rsid w:val="00453193"/>
    <w:rsid w:val="004531A1"/>
    <w:rsid w:val="004531A7"/>
    <w:rsid w:val="00453204"/>
    <w:rsid w:val="0045321A"/>
    <w:rsid w:val="00453287"/>
    <w:rsid w:val="004532AE"/>
    <w:rsid w:val="004532BF"/>
    <w:rsid w:val="00453366"/>
    <w:rsid w:val="00453399"/>
    <w:rsid w:val="0045339E"/>
    <w:rsid w:val="004533B4"/>
    <w:rsid w:val="0045344A"/>
    <w:rsid w:val="004534C0"/>
    <w:rsid w:val="004534C9"/>
    <w:rsid w:val="004534E3"/>
    <w:rsid w:val="004534EF"/>
    <w:rsid w:val="0045354D"/>
    <w:rsid w:val="00453579"/>
    <w:rsid w:val="00453591"/>
    <w:rsid w:val="004535AC"/>
    <w:rsid w:val="004535DD"/>
    <w:rsid w:val="00453612"/>
    <w:rsid w:val="00453642"/>
    <w:rsid w:val="0045365C"/>
    <w:rsid w:val="00453660"/>
    <w:rsid w:val="00453666"/>
    <w:rsid w:val="0045368B"/>
    <w:rsid w:val="004536B4"/>
    <w:rsid w:val="004536F4"/>
    <w:rsid w:val="00453708"/>
    <w:rsid w:val="00453777"/>
    <w:rsid w:val="0045378D"/>
    <w:rsid w:val="004537A2"/>
    <w:rsid w:val="004537B4"/>
    <w:rsid w:val="00453862"/>
    <w:rsid w:val="004538E7"/>
    <w:rsid w:val="00453903"/>
    <w:rsid w:val="00453923"/>
    <w:rsid w:val="00453A26"/>
    <w:rsid w:val="00453A27"/>
    <w:rsid w:val="00453A46"/>
    <w:rsid w:val="00453A66"/>
    <w:rsid w:val="00453A83"/>
    <w:rsid w:val="00453A99"/>
    <w:rsid w:val="00453AAB"/>
    <w:rsid w:val="00453AB0"/>
    <w:rsid w:val="00453B57"/>
    <w:rsid w:val="00453B78"/>
    <w:rsid w:val="00453BA4"/>
    <w:rsid w:val="00453BB1"/>
    <w:rsid w:val="00453BBB"/>
    <w:rsid w:val="00453BEB"/>
    <w:rsid w:val="00453BF2"/>
    <w:rsid w:val="00453C13"/>
    <w:rsid w:val="00453C1B"/>
    <w:rsid w:val="00453C21"/>
    <w:rsid w:val="00453C80"/>
    <w:rsid w:val="00453CC1"/>
    <w:rsid w:val="00453CC5"/>
    <w:rsid w:val="00453D0F"/>
    <w:rsid w:val="00453DA2"/>
    <w:rsid w:val="00453EA4"/>
    <w:rsid w:val="00453EE4"/>
    <w:rsid w:val="00453EF2"/>
    <w:rsid w:val="00453F2D"/>
    <w:rsid w:val="00453F33"/>
    <w:rsid w:val="00453F4F"/>
    <w:rsid w:val="00453F53"/>
    <w:rsid w:val="00453F68"/>
    <w:rsid w:val="00453F9C"/>
    <w:rsid w:val="00453FAF"/>
    <w:rsid w:val="00453FFF"/>
    <w:rsid w:val="00454013"/>
    <w:rsid w:val="0045403E"/>
    <w:rsid w:val="00454053"/>
    <w:rsid w:val="00454097"/>
    <w:rsid w:val="004540C9"/>
    <w:rsid w:val="00454111"/>
    <w:rsid w:val="0045411B"/>
    <w:rsid w:val="0045413F"/>
    <w:rsid w:val="00454165"/>
    <w:rsid w:val="0045417B"/>
    <w:rsid w:val="0045418F"/>
    <w:rsid w:val="004541A5"/>
    <w:rsid w:val="00454232"/>
    <w:rsid w:val="00454252"/>
    <w:rsid w:val="00454255"/>
    <w:rsid w:val="004542EE"/>
    <w:rsid w:val="004542FA"/>
    <w:rsid w:val="00454307"/>
    <w:rsid w:val="00454338"/>
    <w:rsid w:val="0045433D"/>
    <w:rsid w:val="004543A9"/>
    <w:rsid w:val="004543CB"/>
    <w:rsid w:val="00454420"/>
    <w:rsid w:val="0045443B"/>
    <w:rsid w:val="00454458"/>
    <w:rsid w:val="00454489"/>
    <w:rsid w:val="0045448D"/>
    <w:rsid w:val="00454521"/>
    <w:rsid w:val="0045455D"/>
    <w:rsid w:val="00454577"/>
    <w:rsid w:val="004545CC"/>
    <w:rsid w:val="00454650"/>
    <w:rsid w:val="00454657"/>
    <w:rsid w:val="00454663"/>
    <w:rsid w:val="00454692"/>
    <w:rsid w:val="004546AF"/>
    <w:rsid w:val="00454720"/>
    <w:rsid w:val="0045473D"/>
    <w:rsid w:val="004547A6"/>
    <w:rsid w:val="004547DB"/>
    <w:rsid w:val="004547DD"/>
    <w:rsid w:val="004547EA"/>
    <w:rsid w:val="00454894"/>
    <w:rsid w:val="00454926"/>
    <w:rsid w:val="0045493C"/>
    <w:rsid w:val="0045493F"/>
    <w:rsid w:val="00454946"/>
    <w:rsid w:val="00454A48"/>
    <w:rsid w:val="00454A5E"/>
    <w:rsid w:val="00454A66"/>
    <w:rsid w:val="00454AF1"/>
    <w:rsid w:val="00454AF6"/>
    <w:rsid w:val="00454B26"/>
    <w:rsid w:val="00454B51"/>
    <w:rsid w:val="00454B79"/>
    <w:rsid w:val="00454BBF"/>
    <w:rsid w:val="00454C87"/>
    <w:rsid w:val="00454CA3"/>
    <w:rsid w:val="00454D18"/>
    <w:rsid w:val="00454D31"/>
    <w:rsid w:val="00454D33"/>
    <w:rsid w:val="00454D7B"/>
    <w:rsid w:val="00454D8D"/>
    <w:rsid w:val="00454DDB"/>
    <w:rsid w:val="00454E00"/>
    <w:rsid w:val="00454E07"/>
    <w:rsid w:val="00454E2F"/>
    <w:rsid w:val="00454E96"/>
    <w:rsid w:val="00454EF2"/>
    <w:rsid w:val="00454F71"/>
    <w:rsid w:val="00454F8B"/>
    <w:rsid w:val="00454FAC"/>
    <w:rsid w:val="00454FF3"/>
    <w:rsid w:val="0045504B"/>
    <w:rsid w:val="00455050"/>
    <w:rsid w:val="004550CB"/>
    <w:rsid w:val="00455105"/>
    <w:rsid w:val="00455129"/>
    <w:rsid w:val="004551C1"/>
    <w:rsid w:val="004551D1"/>
    <w:rsid w:val="004551F9"/>
    <w:rsid w:val="00455202"/>
    <w:rsid w:val="00455235"/>
    <w:rsid w:val="0045523E"/>
    <w:rsid w:val="00455249"/>
    <w:rsid w:val="004552CC"/>
    <w:rsid w:val="0045530B"/>
    <w:rsid w:val="00455327"/>
    <w:rsid w:val="00455395"/>
    <w:rsid w:val="004553D8"/>
    <w:rsid w:val="004553E8"/>
    <w:rsid w:val="00455491"/>
    <w:rsid w:val="00455512"/>
    <w:rsid w:val="0045551B"/>
    <w:rsid w:val="00455570"/>
    <w:rsid w:val="004555BA"/>
    <w:rsid w:val="004555D6"/>
    <w:rsid w:val="004555EA"/>
    <w:rsid w:val="00455619"/>
    <w:rsid w:val="00455624"/>
    <w:rsid w:val="0045565C"/>
    <w:rsid w:val="0045566E"/>
    <w:rsid w:val="00455701"/>
    <w:rsid w:val="0045573F"/>
    <w:rsid w:val="00455761"/>
    <w:rsid w:val="004557A4"/>
    <w:rsid w:val="004557E0"/>
    <w:rsid w:val="00455818"/>
    <w:rsid w:val="00455891"/>
    <w:rsid w:val="004558CA"/>
    <w:rsid w:val="004558CB"/>
    <w:rsid w:val="004558EB"/>
    <w:rsid w:val="00455900"/>
    <w:rsid w:val="00455939"/>
    <w:rsid w:val="0045594D"/>
    <w:rsid w:val="0045595E"/>
    <w:rsid w:val="00455966"/>
    <w:rsid w:val="00455983"/>
    <w:rsid w:val="00455985"/>
    <w:rsid w:val="004559C9"/>
    <w:rsid w:val="004559E5"/>
    <w:rsid w:val="004559F9"/>
    <w:rsid w:val="00455A41"/>
    <w:rsid w:val="00455AA3"/>
    <w:rsid w:val="00455AC2"/>
    <w:rsid w:val="00455ADA"/>
    <w:rsid w:val="00455B03"/>
    <w:rsid w:val="00455B1F"/>
    <w:rsid w:val="00455BA6"/>
    <w:rsid w:val="00455BF6"/>
    <w:rsid w:val="00455C00"/>
    <w:rsid w:val="00455C08"/>
    <w:rsid w:val="00455C18"/>
    <w:rsid w:val="00455C72"/>
    <w:rsid w:val="00455CA3"/>
    <w:rsid w:val="00455CE3"/>
    <w:rsid w:val="00455D14"/>
    <w:rsid w:val="00455D19"/>
    <w:rsid w:val="00455DBD"/>
    <w:rsid w:val="00455DE3"/>
    <w:rsid w:val="00455E6A"/>
    <w:rsid w:val="00455E87"/>
    <w:rsid w:val="00455E91"/>
    <w:rsid w:val="00455EF6"/>
    <w:rsid w:val="00455F00"/>
    <w:rsid w:val="00455F48"/>
    <w:rsid w:val="00455F96"/>
    <w:rsid w:val="00455FCA"/>
    <w:rsid w:val="00455FE9"/>
    <w:rsid w:val="0045604C"/>
    <w:rsid w:val="00456079"/>
    <w:rsid w:val="00456085"/>
    <w:rsid w:val="004560A8"/>
    <w:rsid w:val="004560B4"/>
    <w:rsid w:val="004560B6"/>
    <w:rsid w:val="004560E5"/>
    <w:rsid w:val="004560F8"/>
    <w:rsid w:val="0045612F"/>
    <w:rsid w:val="00456174"/>
    <w:rsid w:val="00456210"/>
    <w:rsid w:val="0045623B"/>
    <w:rsid w:val="00456243"/>
    <w:rsid w:val="004562BF"/>
    <w:rsid w:val="004562E2"/>
    <w:rsid w:val="004562E5"/>
    <w:rsid w:val="00456305"/>
    <w:rsid w:val="00456313"/>
    <w:rsid w:val="00456324"/>
    <w:rsid w:val="00456326"/>
    <w:rsid w:val="0045633C"/>
    <w:rsid w:val="004564E9"/>
    <w:rsid w:val="004564F4"/>
    <w:rsid w:val="0045654C"/>
    <w:rsid w:val="00456578"/>
    <w:rsid w:val="0045657B"/>
    <w:rsid w:val="00456590"/>
    <w:rsid w:val="0045660C"/>
    <w:rsid w:val="0045662A"/>
    <w:rsid w:val="0045669A"/>
    <w:rsid w:val="004566A7"/>
    <w:rsid w:val="004566B8"/>
    <w:rsid w:val="0045672E"/>
    <w:rsid w:val="0045673E"/>
    <w:rsid w:val="00456772"/>
    <w:rsid w:val="0045677B"/>
    <w:rsid w:val="0045682E"/>
    <w:rsid w:val="00456830"/>
    <w:rsid w:val="00456833"/>
    <w:rsid w:val="00456839"/>
    <w:rsid w:val="00456869"/>
    <w:rsid w:val="0045686D"/>
    <w:rsid w:val="004568B9"/>
    <w:rsid w:val="004568DA"/>
    <w:rsid w:val="00456941"/>
    <w:rsid w:val="004569C1"/>
    <w:rsid w:val="004569CF"/>
    <w:rsid w:val="00456A2D"/>
    <w:rsid w:val="00456A38"/>
    <w:rsid w:val="00456A53"/>
    <w:rsid w:val="00456A84"/>
    <w:rsid w:val="00456AAC"/>
    <w:rsid w:val="00456AC4"/>
    <w:rsid w:val="00456AEB"/>
    <w:rsid w:val="00456B5E"/>
    <w:rsid w:val="00456B79"/>
    <w:rsid w:val="00456B8D"/>
    <w:rsid w:val="00456BCE"/>
    <w:rsid w:val="00456C2F"/>
    <w:rsid w:val="00456C58"/>
    <w:rsid w:val="00456CF6"/>
    <w:rsid w:val="00456D19"/>
    <w:rsid w:val="00456D92"/>
    <w:rsid w:val="00456D99"/>
    <w:rsid w:val="00456DC1"/>
    <w:rsid w:val="00456DCA"/>
    <w:rsid w:val="00456E0B"/>
    <w:rsid w:val="00456E6B"/>
    <w:rsid w:val="00456E74"/>
    <w:rsid w:val="00456E78"/>
    <w:rsid w:val="00456E81"/>
    <w:rsid w:val="00456EBD"/>
    <w:rsid w:val="00456ED7"/>
    <w:rsid w:val="00456F24"/>
    <w:rsid w:val="00456F39"/>
    <w:rsid w:val="00456F9C"/>
    <w:rsid w:val="00456FCC"/>
    <w:rsid w:val="00457012"/>
    <w:rsid w:val="0045701E"/>
    <w:rsid w:val="0045702E"/>
    <w:rsid w:val="004570FD"/>
    <w:rsid w:val="00457121"/>
    <w:rsid w:val="00457156"/>
    <w:rsid w:val="00457199"/>
    <w:rsid w:val="004571AF"/>
    <w:rsid w:val="004571F1"/>
    <w:rsid w:val="00457209"/>
    <w:rsid w:val="004572AA"/>
    <w:rsid w:val="0045734E"/>
    <w:rsid w:val="00457417"/>
    <w:rsid w:val="00457428"/>
    <w:rsid w:val="0045747B"/>
    <w:rsid w:val="00457488"/>
    <w:rsid w:val="004574C0"/>
    <w:rsid w:val="004574DF"/>
    <w:rsid w:val="00457518"/>
    <w:rsid w:val="0045754E"/>
    <w:rsid w:val="00457554"/>
    <w:rsid w:val="00457683"/>
    <w:rsid w:val="004576AB"/>
    <w:rsid w:val="004576E7"/>
    <w:rsid w:val="0045773F"/>
    <w:rsid w:val="00457772"/>
    <w:rsid w:val="004577CF"/>
    <w:rsid w:val="0045786A"/>
    <w:rsid w:val="00457876"/>
    <w:rsid w:val="00457969"/>
    <w:rsid w:val="0045797A"/>
    <w:rsid w:val="0045799E"/>
    <w:rsid w:val="004579D2"/>
    <w:rsid w:val="00457A09"/>
    <w:rsid w:val="00457C2B"/>
    <w:rsid w:val="00457C3D"/>
    <w:rsid w:val="00457C63"/>
    <w:rsid w:val="00457C81"/>
    <w:rsid w:val="00457D05"/>
    <w:rsid w:val="00457D3E"/>
    <w:rsid w:val="00457D64"/>
    <w:rsid w:val="00457D85"/>
    <w:rsid w:val="00457E55"/>
    <w:rsid w:val="00457EA7"/>
    <w:rsid w:val="00457EA8"/>
    <w:rsid w:val="00457EB4"/>
    <w:rsid w:val="00457F0B"/>
    <w:rsid w:val="00457F1F"/>
    <w:rsid w:val="00457F72"/>
    <w:rsid w:val="00457FAF"/>
    <w:rsid w:val="00457FD9"/>
    <w:rsid w:val="0046007A"/>
    <w:rsid w:val="00460090"/>
    <w:rsid w:val="004600F0"/>
    <w:rsid w:val="00460140"/>
    <w:rsid w:val="0046017C"/>
    <w:rsid w:val="0046019F"/>
    <w:rsid w:val="004601DB"/>
    <w:rsid w:val="004601F2"/>
    <w:rsid w:val="0046023B"/>
    <w:rsid w:val="00460264"/>
    <w:rsid w:val="0046027C"/>
    <w:rsid w:val="004602C9"/>
    <w:rsid w:val="004602D4"/>
    <w:rsid w:val="00460381"/>
    <w:rsid w:val="004603FF"/>
    <w:rsid w:val="0046040B"/>
    <w:rsid w:val="004604B2"/>
    <w:rsid w:val="004604F7"/>
    <w:rsid w:val="004605AF"/>
    <w:rsid w:val="004605E2"/>
    <w:rsid w:val="004605F9"/>
    <w:rsid w:val="00460609"/>
    <w:rsid w:val="00460610"/>
    <w:rsid w:val="00460652"/>
    <w:rsid w:val="0046069A"/>
    <w:rsid w:val="004606A1"/>
    <w:rsid w:val="004606F2"/>
    <w:rsid w:val="0046072D"/>
    <w:rsid w:val="00460748"/>
    <w:rsid w:val="0046077D"/>
    <w:rsid w:val="0046079B"/>
    <w:rsid w:val="004607CC"/>
    <w:rsid w:val="00460832"/>
    <w:rsid w:val="00460844"/>
    <w:rsid w:val="00460857"/>
    <w:rsid w:val="00460872"/>
    <w:rsid w:val="0046087A"/>
    <w:rsid w:val="004608DD"/>
    <w:rsid w:val="004608DE"/>
    <w:rsid w:val="0046090B"/>
    <w:rsid w:val="00460911"/>
    <w:rsid w:val="00460940"/>
    <w:rsid w:val="00460953"/>
    <w:rsid w:val="00460990"/>
    <w:rsid w:val="00460AB4"/>
    <w:rsid w:val="00460AF7"/>
    <w:rsid w:val="00460B36"/>
    <w:rsid w:val="00460B67"/>
    <w:rsid w:val="00460BC9"/>
    <w:rsid w:val="00460C04"/>
    <w:rsid w:val="00460C17"/>
    <w:rsid w:val="00460C36"/>
    <w:rsid w:val="00460CB1"/>
    <w:rsid w:val="00460CEF"/>
    <w:rsid w:val="00460D08"/>
    <w:rsid w:val="00460D0F"/>
    <w:rsid w:val="00460D2E"/>
    <w:rsid w:val="00460D2F"/>
    <w:rsid w:val="00460D6C"/>
    <w:rsid w:val="00460D7B"/>
    <w:rsid w:val="00460D8D"/>
    <w:rsid w:val="00460DB6"/>
    <w:rsid w:val="00460DED"/>
    <w:rsid w:val="00460E4B"/>
    <w:rsid w:val="00460E8D"/>
    <w:rsid w:val="00460EF7"/>
    <w:rsid w:val="00460F2F"/>
    <w:rsid w:val="00460FA9"/>
    <w:rsid w:val="00460FB3"/>
    <w:rsid w:val="00461031"/>
    <w:rsid w:val="00461037"/>
    <w:rsid w:val="00461094"/>
    <w:rsid w:val="0046109A"/>
    <w:rsid w:val="004610AA"/>
    <w:rsid w:val="004610BC"/>
    <w:rsid w:val="004610F3"/>
    <w:rsid w:val="00461118"/>
    <w:rsid w:val="00461125"/>
    <w:rsid w:val="00461166"/>
    <w:rsid w:val="004611F9"/>
    <w:rsid w:val="00461233"/>
    <w:rsid w:val="00461234"/>
    <w:rsid w:val="00461262"/>
    <w:rsid w:val="00461264"/>
    <w:rsid w:val="00461287"/>
    <w:rsid w:val="00461391"/>
    <w:rsid w:val="004613B4"/>
    <w:rsid w:val="004613BF"/>
    <w:rsid w:val="004613E5"/>
    <w:rsid w:val="00461407"/>
    <w:rsid w:val="00461422"/>
    <w:rsid w:val="00461471"/>
    <w:rsid w:val="0046148D"/>
    <w:rsid w:val="004614CD"/>
    <w:rsid w:val="004614DC"/>
    <w:rsid w:val="004614FA"/>
    <w:rsid w:val="00461519"/>
    <w:rsid w:val="00461591"/>
    <w:rsid w:val="004615B1"/>
    <w:rsid w:val="004615DE"/>
    <w:rsid w:val="004615F0"/>
    <w:rsid w:val="00461663"/>
    <w:rsid w:val="004616FB"/>
    <w:rsid w:val="00461715"/>
    <w:rsid w:val="004617D8"/>
    <w:rsid w:val="0046183D"/>
    <w:rsid w:val="00461853"/>
    <w:rsid w:val="0046189B"/>
    <w:rsid w:val="004618DC"/>
    <w:rsid w:val="004619E5"/>
    <w:rsid w:val="00461A27"/>
    <w:rsid w:val="00461A2C"/>
    <w:rsid w:val="00461A66"/>
    <w:rsid w:val="00461A76"/>
    <w:rsid w:val="00461AC8"/>
    <w:rsid w:val="00461AD9"/>
    <w:rsid w:val="00461B01"/>
    <w:rsid w:val="00461B1D"/>
    <w:rsid w:val="00461B3B"/>
    <w:rsid w:val="00461C01"/>
    <w:rsid w:val="00461C48"/>
    <w:rsid w:val="00461C8C"/>
    <w:rsid w:val="00461CA8"/>
    <w:rsid w:val="00461CAA"/>
    <w:rsid w:val="00461CD4"/>
    <w:rsid w:val="00461CF3"/>
    <w:rsid w:val="00461D53"/>
    <w:rsid w:val="00461D69"/>
    <w:rsid w:val="00461D6B"/>
    <w:rsid w:val="00461DEC"/>
    <w:rsid w:val="00461E12"/>
    <w:rsid w:val="00461E16"/>
    <w:rsid w:val="00461E7F"/>
    <w:rsid w:val="00461E88"/>
    <w:rsid w:val="00461E8E"/>
    <w:rsid w:val="00461E95"/>
    <w:rsid w:val="00461EAD"/>
    <w:rsid w:val="00461F15"/>
    <w:rsid w:val="00461F1E"/>
    <w:rsid w:val="00461F27"/>
    <w:rsid w:val="00461F7A"/>
    <w:rsid w:val="00461FCF"/>
    <w:rsid w:val="00462050"/>
    <w:rsid w:val="0046208D"/>
    <w:rsid w:val="004620F4"/>
    <w:rsid w:val="004620FA"/>
    <w:rsid w:val="0046211F"/>
    <w:rsid w:val="00462164"/>
    <w:rsid w:val="004621C0"/>
    <w:rsid w:val="00462228"/>
    <w:rsid w:val="0046223A"/>
    <w:rsid w:val="0046224F"/>
    <w:rsid w:val="00462251"/>
    <w:rsid w:val="0046228F"/>
    <w:rsid w:val="00462299"/>
    <w:rsid w:val="004622BA"/>
    <w:rsid w:val="004623BD"/>
    <w:rsid w:val="004623E9"/>
    <w:rsid w:val="00462465"/>
    <w:rsid w:val="00462472"/>
    <w:rsid w:val="004624C4"/>
    <w:rsid w:val="004624C6"/>
    <w:rsid w:val="0046251A"/>
    <w:rsid w:val="0046252F"/>
    <w:rsid w:val="00462566"/>
    <w:rsid w:val="004625AB"/>
    <w:rsid w:val="00462665"/>
    <w:rsid w:val="00462676"/>
    <w:rsid w:val="00462679"/>
    <w:rsid w:val="004626C2"/>
    <w:rsid w:val="004626EE"/>
    <w:rsid w:val="004626EF"/>
    <w:rsid w:val="0046270A"/>
    <w:rsid w:val="0046270E"/>
    <w:rsid w:val="00462721"/>
    <w:rsid w:val="00462738"/>
    <w:rsid w:val="00462772"/>
    <w:rsid w:val="00462791"/>
    <w:rsid w:val="004627D1"/>
    <w:rsid w:val="004627D2"/>
    <w:rsid w:val="0046282E"/>
    <w:rsid w:val="00462845"/>
    <w:rsid w:val="004628CA"/>
    <w:rsid w:val="004628CB"/>
    <w:rsid w:val="00462905"/>
    <w:rsid w:val="00462945"/>
    <w:rsid w:val="00462983"/>
    <w:rsid w:val="00462998"/>
    <w:rsid w:val="004629B7"/>
    <w:rsid w:val="00462A3D"/>
    <w:rsid w:val="00462A62"/>
    <w:rsid w:val="00462AD0"/>
    <w:rsid w:val="00462B3F"/>
    <w:rsid w:val="00462B62"/>
    <w:rsid w:val="00462B6A"/>
    <w:rsid w:val="00462B8C"/>
    <w:rsid w:val="00462BDC"/>
    <w:rsid w:val="00462C48"/>
    <w:rsid w:val="00462CB5"/>
    <w:rsid w:val="00462CDC"/>
    <w:rsid w:val="00462D77"/>
    <w:rsid w:val="00462DAD"/>
    <w:rsid w:val="00462DC3"/>
    <w:rsid w:val="00462E23"/>
    <w:rsid w:val="00462F1D"/>
    <w:rsid w:val="00462F56"/>
    <w:rsid w:val="0046301C"/>
    <w:rsid w:val="004630EA"/>
    <w:rsid w:val="0046311B"/>
    <w:rsid w:val="0046313D"/>
    <w:rsid w:val="00463240"/>
    <w:rsid w:val="004632C7"/>
    <w:rsid w:val="0046332B"/>
    <w:rsid w:val="0046333B"/>
    <w:rsid w:val="00463360"/>
    <w:rsid w:val="00463407"/>
    <w:rsid w:val="00463437"/>
    <w:rsid w:val="0046348A"/>
    <w:rsid w:val="004634C1"/>
    <w:rsid w:val="004634E2"/>
    <w:rsid w:val="0046355A"/>
    <w:rsid w:val="004635A5"/>
    <w:rsid w:val="004635D4"/>
    <w:rsid w:val="00463609"/>
    <w:rsid w:val="0046362F"/>
    <w:rsid w:val="00463658"/>
    <w:rsid w:val="004636F5"/>
    <w:rsid w:val="00463735"/>
    <w:rsid w:val="00463749"/>
    <w:rsid w:val="00463750"/>
    <w:rsid w:val="0046375A"/>
    <w:rsid w:val="0046375D"/>
    <w:rsid w:val="00463761"/>
    <w:rsid w:val="00463791"/>
    <w:rsid w:val="004637B8"/>
    <w:rsid w:val="004637C2"/>
    <w:rsid w:val="004637F6"/>
    <w:rsid w:val="0046383E"/>
    <w:rsid w:val="00463866"/>
    <w:rsid w:val="00463888"/>
    <w:rsid w:val="004638A9"/>
    <w:rsid w:val="004638B5"/>
    <w:rsid w:val="004638F4"/>
    <w:rsid w:val="004638FB"/>
    <w:rsid w:val="00463906"/>
    <w:rsid w:val="00463A1A"/>
    <w:rsid w:val="00463A41"/>
    <w:rsid w:val="00463A43"/>
    <w:rsid w:val="00463A4E"/>
    <w:rsid w:val="00463AB0"/>
    <w:rsid w:val="00463AD1"/>
    <w:rsid w:val="00463BDE"/>
    <w:rsid w:val="00463BDF"/>
    <w:rsid w:val="00463C0B"/>
    <w:rsid w:val="00463C0F"/>
    <w:rsid w:val="00463C22"/>
    <w:rsid w:val="00463D0C"/>
    <w:rsid w:val="00463D1C"/>
    <w:rsid w:val="00463D2A"/>
    <w:rsid w:val="00463D3A"/>
    <w:rsid w:val="00463D3B"/>
    <w:rsid w:val="00463D3F"/>
    <w:rsid w:val="00463DF9"/>
    <w:rsid w:val="00463F73"/>
    <w:rsid w:val="00463F81"/>
    <w:rsid w:val="00463F9F"/>
    <w:rsid w:val="00463FEE"/>
    <w:rsid w:val="00463FFB"/>
    <w:rsid w:val="00464037"/>
    <w:rsid w:val="00464053"/>
    <w:rsid w:val="004640D3"/>
    <w:rsid w:val="004640DA"/>
    <w:rsid w:val="0046410E"/>
    <w:rsid w:val="00464133"/>
    <w:rsid w:val="00464155"/>
    <w:rsid w:val="0046419D"/>
    <w:rsid w:val="00464201"/>
    <w:rsid w:val="0046421E"/>
    <w:rsid w:val="00464252"/>
    <w:rsid w:val="0046428E"/>
    <w:rsid w:val="004642DE"/>
    <w:rsid w:val="00464355"/>
    <w:rsid w:val="0046435A"/>
    <w:rsid w:val="0046436B"/>
    <w:rsid w:val="0046437B"/>
    <w:rsid w:val="004643E6"/>
    <w:rsid w:val="0046440F"/>
    <w:rsid w:val="00464417"/>
    <w:rsid w:val="00464432"/>
    <w:rsid w:val="00464444"/>
    <w:rsid w:val="004644A6"/>
    <w:rsid w:val="004644AB"/>
    <w:rsid w:val="004644C4"/>
    <w:rsid w:val="004644CB"/>
    <w:rsid w:val="004644D8"/>
    <w:rsid w:val="0046453A"/>
    <w:rsid w:val="004645B9"/>
    <w:rsid w:val="0046463F"/>
    <w:rsid w:val="0046464B"/>
    <w:rsid w:val="0046465E"/>
    <w:rsid w:val="0046466A"/>
    <w:rsid w:val="0046468B"/>
    <w:rsid w:val="0046468E"/>
    <w:rsid w:val="004646E1"/>
    <w:rsid w:val="004646F1"/>
    <w:rsid w:val="00464716"/>
    <w:rsid w:val="00464735"/>
    <w:rsid w:val="004647A8"/>
    <w:rsid w:val="004647AA"/>
    <w:rsid w:val="004647B2"/>
    <w:rsid w:val="004647F7"/>
    <w:rsid w:val="00464878"/>
    <w:rsid w:val="0046489E"/>
    <w:rsid w:val="004648C8"/>
    <w:rsid w:val="004648D5"/>
    <w:rsid w:val="00464926"/>
    <w:rsid w:val="00464943"/>
    <w:rsid w:val="00464975"/>
    <w:rsid w:val="004649DF"/>
    <w:rsid w:val="00464A74"/>
    <w:rsid w:val="00464AA9"/>
    <w:rsid w:val="00464AFB"/>
    <w:rsid w:val="00464B4E"/>
    <w:rsid w:val="00464B74"/>
    <w:rsid w:val="00464B8B"/>
    <w:rsid w:val="00464BBD"/>
    <w:rsid w:val="00464BF2"/>
    <w:rsid w:val="00464BF3"/>
    <w:rsid w:val="00464C0C"/>
    <w:rsid w:val="00464C17"/>
    <w:rsid w:val="00464C78"/>
    <w:rsid w:val="00464C88"/>
    <w:rsid w:val="00464CCB"/>
    <w:rsid w:val="00464CF3"/>
    <w:rsid w:val="00464D07"/>
    <w:rsid w:val="00464D14"/>
    <w:rsid w:val="00464D18"/>
    <w:rsid w:val="00464D21"/>
    <w:rsid w:val="00464DAC"/>
    <w:rsid w:val="00464DF5"/>
    <w:rsid w:val="00464E12"/>
    <w:rsid w:val="00464E1C"/>
    <w:rsid w:val="00464E8C"/>
    <w:rsid w:val="00464E90"/>
    <w:rsid w:val="00464EC3"/>
    <w:rsid w:val="00464ED7"/>
    <w:rsid w:val="00464EE3"/>
    <w:rsid w:val="00464EF1"/>
    <w:rsid w:val="00464EF2"/>
    <w:rsid w:val="00464EFE"/>
    <w:rsid w:val="00464F06"/>
    <w:rsid w:val="0046502E"/>
    <w:rsid w:val="00465050"/>
    <w:rsid w:val="0046505B"/>
    <w:rsid w:val="0046509F"/>
    <w:rsid w:val="004650B4"/>
    <w:rsid w:val="004650C3"/>
    <w:rsid w:val="004650D0"/>
    <w:rsid w:val="004650DC"/>
    <w:rsid w:val="004650EC"/>
    <w:rsid w:val="004650FD"/>
    <w:rsid w:val="00465103"/>
    <w:rsid w:val="00465171"/>
    <w:rsid w:val="004651AA"/>
    <w:rsid w:val="004651D9"/>
    <w:rsid w:val="004651EA"/>
    <w:rsid w:val="0046522A"/>
    <w:rsid w:val="00465390"/>
    <w:rsid w:val="00465416"/>
    <w:rsid w:val="00465466"/>
    <w:rsid w:val="004654A9"/>
    <w:rsid w:val="004654B7"/>
    <w:rsid w:val="004654C2"/>
    <w:rsid w:val="004654F0"/>
    <w:rsid w:val="004654FD"/>
    <w:rsid w:val="004655BE"/>
    <w:rsid w:val="004655E1"/>
    <w:rsid w:val="004655F8"/>
    <w:rsid w:val="00465631"/>
    <w:rsid w:val="004656E1"/>
    <w:rsid w:val="00465708"/>
    <w:rsid w:val="00465751"/>
    <w:rsid w:val="00465801"/>
    <w:rsid w:val="00465803"/>
    <w:rsid w:val="00465812"/>
    <w:rsid w:val="00465829"/>
    <w:rsid w:val="00465851"/>
    <w:rsid w:val="00465886"/>
    <w:rsid w:val="004658C2"/>
    <w:rsid w:val="004658E5"/>
    <w:rsid w:val="00465906"/>
    <w:rsid w:val="0046591E"/>
    <w:rsid w:val="004659AA"/>
    <w:rsid w:val="004659E0"/>
    <w:rsid w:val="00465A05"/>
    <w:rsid w:val="00465A34"/>
    <w:rsid w:val="00465A4E"/>
    <w:rsid w:val="00465A88"/>
    <w:rsid w:val="00465AC9"/>
    <w:rsid w:val="00465ADB"/>
    <w:rsid w:val="00465B16"/>
    <w:rsid w:val="00465B57"/>
    <w:rsid w:val="00465B99"/>
    <w:rsid w:val="00465BFE"/>
    <w:rsid w:val="00465C14"/>
    <w:rsid w:val="00465C6B"/>
    <w:rsid w:val="00465C99"/>
    <w:rsid w:val="00465CDC"/>
    <w:rsid w:val="00465D76"/>
    <w:rsid w:val="00465D79"/>
    <w:rsid w:val="00465D87"/>
    <w:rsid w:val="00465E1E"/>
    <w:rsid w:val="00465E29"/>
    <w:rsid w:val="00465EA0"/>
    <w:rsid w:val="00465EA3"/>
    <w:rsid w:val="00465EDD"/>
    <w:rsid w:val="00465EFD"/>
    <w:rsid w:val="00465F3B"/>
    <w:rsid w:val="00465FFE"/>
    <w:rsid w:val="00466001"/>
    <w:rsid w:val="0046607C"/>
    <w:rsid w:val="004660BD"/>
    <w:rsid w:val="004660D3"/>
    <w:rsid w:val="004660D6"/>
    <w:rsid w:val="0046610C"/>
    <w:rsid w:val="00466113"/>
    <w:rsid w:val="0046614F"/>
    <w:rsid w:val="00466159"/>
    <w:rsid w:val="004661A5"/>
    <w:rsid w:val="004661AA"/>
    <w:rsid w:val="004661AE"/>
    <w:rsid w:val="00466214"/>
    <w:rsid w:val="0046627F"/>
    <w:rsid w:val="00466358"/>
    <w:rsid w:val="004663A0"/>
    <w:rsid w:val="004663C1"/>
    <w:rsid w:val="004663CA"/>
    <w:rsid w:val="00466407"/>
    <w:rsid w:val="00466416"/>
    <w:rsid w:val="0046644C"/>
    <w:rsid w:val="004664F1"/>
    <w:rsid w:val="00466525"/>
    <w:rsid w:val="00466528"/>
    <w:rsid w:val="00466544"/>
    <w:rsid w:val="0046654A"/>
    <w:rsid w:val="00466563"/>
    <w:rsid w:val="00466592"/>
    <w:rsid w:val="004665AF"/>
    <w:rsid w:val="004665B3"/>
    <w:rsid w:val="004665DA"/>
    <w:rsid w:val="004665F9"/>
    <w:rsid w:val="00466626"/>
    <w:rsid w:val="00466645"/>
    <w:rsid w:val="0046666E"/>
    <w:rsid w:val="0046667D"/>
    <w:rsid w:val="004666B6"/>
    <w:rsid w:val="004666FB"/>
    <w:rsid w:val="004667A0"/>
    <w:rsid w:val="004667AA"/>
    <w:rsid w:val="004667B8"/>
    <w:rsid w:val="004667DC"/>
    <w:rsid w:val="00466814"/>
    <w:rsid w:val="0046683D"/>
    <w:rsid w:val="00466841"/>
    <w:rsid w:val="004668A0"/>
    <w:rsid w:val="004668BE"/>
    <w:rsid w:val="00466912"/>
    <w:rsid w:val="00466945"/>
    <w:rsid w:val="004669AA"/>
    <w:rsid w:val="004669B3"/>
    <w:rsid w:val="004669C3"/>
    <w:rsid w:val="004669D1"/>
    <w:rsid w:val="004669E4"/>
    <w:rsid w:val="00466A22"/>
    <w:rsid w:val="00466A33"/>
    <w:rsid w:val="00466A4C"/>
    <w:rsid w:val="00466B20"/>
    <w:rsid w:val="00466B23"/>
    <w:rsid w:val="00466BC6"/>
    <w:rsid w:val="00466C19"/>
    <w:rsid w:val="00466C62"/>
    <w:rsid w:val="00466C85"/>
    <w:rsid w:val="00466CAD"/>
    <w:rsid w:val="00466CB8"/>
    <w:rsid w:val="00466CD9"/>
    <w:rsid w:val="00466CFE"/>
    <w:rsid w:val="00466D08"/>
    <w:rsid w:val="00466D77"/>
    <w:rsid w:val="00466DF8"/>
    <w:rsid w:val="00466E31"/>
    <w:rsid w:val="00466E34"/>
    <w:rsid w:val="00466E4C"/>
    <w:rsid w:val="00466EA7"/>
    <w:rsid w:val="00466ED1"/>
    <w:rsid w:val="00466EE3"/>
    <w:rsid w:val="00466EF4"/>
    <w:rsid w:val="00466F58"/>
    <w:rsid w:val="00466F62"/>
    <w:rsid w:val="00466FA3"/>
    <w:rsid w:val="00467002"/>
    <w:rsid w:val="004670B8"/>
    <w:rsid w:val="00467116"/>
    <w:rsid w:val="00467170"/>
    <w:rsid w:val="004671A5"/>
    <w:rsid w:val="004672BE"/>
    <w:rsid w:val="004672F1"/>
    <w:rsid w:val="00467300"/>
    <w:rsid w:val="00467319"/>
    <w:rsid w:val="0046746D"/>
    <w:rsid w:val="004674E8"/>
    <w:rsid w:val="00467532"/>
    <w:rsid w:val="0046755E"/>
    <w:rsid w:val="004675E5"/>
    <w:rsid w:val="004675FF"/>
    <w:rsid w:val="00467664"/>
    <w:rsid w:val="0046766F"/>
    <w:rsid w:val="004676B3"/>
    <w:rsid w:val="004676D4"/>
    <w:rsid w:val="00467711"/>
    <w:rsid w:val="00467798"/>
    <w:rsid w:val="0046779E"/>
    <w:rsid w:val="0046781A"/>
    <w:rsid w:val="00467827"/>
    <w:rsid w:val="00467830"/>
    <w:rsid w:val="00467835"/>
    <w:rsid w:val="00467856"/>
    <w:rsid w:val="004678D9"/>
    <w:rsid w:val="004678F8"/>
    <w:rsid w:val="00467900"/>
    <w:rsid w:val="00467916"/>
    <w:rsid w:val="00467923"/>
    <w:rsid w:val="00467967"/>
    <w:rsid w:val="00467998"/>
    <w:rsid w:val="004679A3"/>
    <w:rsid w:val="004679B4"/>
    <w:rsid w:val="004679C8"/>
    <w:rsid w:val="00467A3B"/>
    <w:rsid w:val="00467A6D"/>
    <w:rsid w:val="00467A8D"/>
    <w:rsid w:val="00467AA4"/>
    <w:rsid w:val="00467B74"/>
    <w:rsid w:val="00467B8C"/>
    <w:rsid w:val="00467C9F"/>
    <w:rsid w:val="00467CD0"/>
    <w:rsid w:val="00467CD5"/>
    <w:rsid w:val="00467D7C"/>
    <w:rsid w:val="00467E65"/>
    <w:rsid w:val="00467E74"/>
    <w:rsid w:val="00467EDF"/>
    <w:rsid w:val="00467EE0"/>
    <w:rsid w:val="00467EE8"/>
    <w:rsid w:val="00467F32"/>
    <w:rsid w:val="00467F36"/>
    <w:rsid w:val="00467F3D"/>
    <w:rsid w:val="00467F53"/>
    <w:rsid w:val="00467F67"/>
    <w:rsid w:val="00467F75"/>
    <w:rsid w:val="00467F80"/>
    <w:rsid w:val="00467FA5"/>
    <w:rsid w:val="00467FD7"/>
    <w:rsid w:val="00467FDC"/>
    <w:rsid w:val="00467FF7"/>
    <w:rsid w:val="0047009D"/>
    <w:rsid w:val="00470143"/>
    <w:rsid w:val="0047019E"/>
    <w:rsid w:val="004701CA"/>
    <w:rsid w:val="004701D7"/>
    <w:rsid w:val="004701D9"/>
    <w:rsid w:val="004701E8"/>
    <w:rsid w:val="004701ED"/>
    <w:rsid w:val="004701EF"/>
    <w:rsid w:val="0047020B"/>
    <w:rsid w:val="00470215"/>
    <w:rsid w:val="0047024E"/>
    <w:rsid w:val="0047031C"/>
    <w:rsid w:val="0047036D"/>
    <w:rsid w:val="004703FA"/>
    <w:rsid w:val="00470401"/>
    <w:rsid w:val="00470475"/>
    <w:rsid w:val="00470476"/>
    <w:rsid w:val="00470491"/>
    <w:rsid w:val="004704F7"/>
    <w:rsid w:val="0047051C"/>
    <w:rsid w:val="00470592"/>
    <w:rsid w:val="004705B0"/>
    <w:rsid w:val="004705E4"/>
    <w:rsid w:val="00470603"/>
    <w:rsid w:val="0047062D"/>
    <w:rsid w:val="00470657"/>
    <w:rsid w:val="004706A6"/>
    <w:rsid w:val="004707AD"/>
    <w:rsid w:val="004707B7"/>
    <w:rsid w:val="0047080B"/>
    <w:rsid w:val="004708B1"/>
    <w:rsid w:val="004709A6"/>
    <w:rsid w:val="00470A31"/>
    <w:rsid w:val="00470A9B"/>
    <w:rsid w:val="00470AD5"/>
    <w:rsid w:val="00470B37"/>
    <w:rsid w:val="00470B96"/>
    <w:rsid w:val="00470BAA"/>
    <w:rsid w:val="00470CDE"/>
    <w:rsid w:val="00470D4D"/>
    <w:rsid w:val="00470D7B"/>
    <w:rsid w:val="00470DE2"/>
    <w:rsid w:val="00470DF5"/>
    <w:rsid w:val="00470DF8"/>
    <w:rsid w:val="00470E04"/>
    <w:rsid w:val="00470EDF"/>
    <w:rsid w:val="00470EF5"/>
    <w:rsid w:val="00470F15"/>
    <w:rsid w:val="00471053"/>
    <w:rsid w:val="004710C5"/>
    <w:rsid w:val="00471151"/>
    <w:rsid w:val="00471186"/>
    <w:rsid w:val="004711AE"/>
    <w:rsid w:val="004711CC"/>
    <w:rsid w:val="004711CF"/>
    <w:rsid w:val="004711E1"/>
    <w:rsid w:val="0047125F"/>
    <w:rsid w:val="0047127C"/>
    <w:rsid w:val="0047129D"/>
    <w:rsid w:val="0047129E"/>
    <w:rsid w:val="004712AC"/>
    <w:rsid w:val="004712AD"/>
    <w:rsid w:val="0047137F"/>
    <w:rsid w:val="0047138C"/>
    <w:rsid w:val="0047138F"/>
    <w:rsid w:val="004713A1"/>
    <w:rsid w:val="004713BF"/>
    <w:rsid w:val="004713CE"/>
    <w:rsid w:val="004713CF"/>
    <w:rsid w:val="004713E6"/>
    <w:rsid w:val="0047142D"/>
    <w:rsid w:val="00471448"/>
    <w:rsid w:val="004714DB"/>
    <w:rsid w:val="004714E0"/>
    <w:rsid w:val="0047156D"/>
    <w:rsid w:val="0047166E"/>
    <w:rsid w:val="0047168F"/>
    <w:rsid w:val="004716A4"/>
    <w:rsid w:val="0047170D"/>
    <w:rsid w:val="00471730"/>
    <w:rsid w:val="00471757"/>
    <w:rsid w:val="00471794"/>
    <w:rsid w:val="004717BE"/>
    <w:rsid w:val="004717DA"/>
    <w:rsid w:val="004717ED"/>
    <w:rsid w:val="0047184D"/>
    <w:rsid w:val="0047184F"/>
    <w:rsid w:val="00471867"/>
    <w:rsid w:val="00471882"/>
    <w:rsid w:val="0047191F"/>
    <w:rsid w:val="0047198A"/>
    <w:rsid w:val="00471994"/>
    <w:rsid w:val="004719E2"/>
    <w:rsid w:val="00471A02"/>
    <w:rsid w:val="00471A1E"/>
    <w:rsid w:val="00471A3E"/>
    <w:rsid w:val="00471ADD"/>
    <w:rsid w:val="00471AE4"/>
    <w:rsid w:val="00471AEA"/>
    <w:rsid w:val="00471AFE"/>
    <w:rsid w:val="00471B09"/>
    <w:rsid w:val="00471B53"/>
    <w:rsid w:val="00471B5C"/>
    <w:rsid w:val="00471C0F"/>
    <w:rsid w:val="00471C1D"/>
    <w:rsid w:val="00471C37"/>
    <w:rsid w:val="00471C75"/>
    <w:rsid w:val="00471CC0"/>
    <w:rsid w:val="00471D09"/>
    <w:rsid w:val="00471D1B"/>
    <w:rsid w:val="00471D29"/>
    <w:rsid w:val="00471D4C"/>
    <w:rsid w:val="00471D5D"/>
    <w:rsid w:val="00471D6E"/>
    <w:rsid w:val="00471D72"/>
    <w:rsid w:val="00471DB1"/>
    <w:rsid w:val="00471DBE"/>
    <w:rsid w:val="00471DCB"/>
    <w:rsid w:val="00471DCC"/>
    <w:rsid w:val="00471DFC"/>
    <w:rsid w:val="00471E03"/>
    <w:rsid w:val="00471E0F"/>
    <w:rsid w:val="00471E16"/>
    <w:rsid w:val="00471EBD"/>
    <w:rsid w:val="00471EC7"/>
    <w:rsid w:val="00471EDE"/>
    <w:rsid w:val="00471EED"/>
    <w:rsid w:val="00471EF7"/>
    <w:rsid w:val="00471EF8"/>
    <w:rsid w:val="00471F0E"/>
    <w:rsid w:val="00471F23"/>
    <w:rsid w:val="00471F4D"/>
    <w:rsid w:val="00471F4F"/>
    <w:rsid w:val="00471F9D"/>
    <w:rsid w:val="00471FA4"/>
    <w:rsid w:val="00471FAA"/>
    <w:rsid w:val="00471FCD"/>
    <w:rsid w:val="0047204C"/>
    <w:rsid w:val="00472051"/>
    <w:rsid w:val="00472081"/>
    <w:rsid w:val="00472088"/>
    <w:rsid w:val="004720A8"/>
    <w:rsid w:val="004720FC"/>
    <w:rsid w:val="0047212C"/>
    <w:rsid w:val="00472171"/>
    <w:rsid w:val="00472192"/>
    <w:rsid w:val="004721CC"/>
    <w:rsid w:val="004721D8"/>
    <w:rsid w:val="004721DF"/>
    <w:rsid w:val="00472239"/>
    <w:rsid w:val="00472297"/>
    <w:rsid w:val="0047229B"/>
    <w:rsid w:val="004722AC"/>
    <w:rsid w:val="004722CB"/>
    <w:rsid w:val="004722E6"/>
    <w:rsid w:val="00472340"/>
    <w:rsid w:val="00472380"/>
    <w:rsid w:val="004723E0"/>
    <w:rsid w:val="00472403"/>
    <w:rsid w:val="00472435"/>
    <w:rsid w:val="0047243C"/>
    <w:rsid w:val="00472477"/>
    <w:rsid w:val="00472535"/>
    <w:rsid w:val="00472578"/>
    <w:rsid w:val="00472579"/>
    <w:rsid w:val="0047259E"/>
    <w:rsid w:val="004725A1"/>
    <w:rsid w:val="004725A2"/>
    <w:rsid w:val="004725AC"/>
    <w:rsid w:val="004725BD"/>
    <w:rsid w:val="004725E0"/>
    <w:rsid w:val="00472614"/>
    <w:rsid w:val="0047264D"/>
    <w:rsid w:val="00472689"/>
    <w:rsid w:val="004726C3"/>
    <w:rsid w:val="004726D8"/>
    <w:rsid w:val="00472774"/>
    <w:rsid w:val="004727E8"/>
    <w:rsid w:val="00472804"/>
    <w:rsid w:val="00472835"/>
    <w:rsid w:val="00472867"/>
    <w:rsid w:val="00472890"/>
    <w:rsid w:val="004728C9"/>
    <w:rsid w:val="004728CD"/>
    <w:rsid w:val="004728D0"/>
    <w:rsid w:val="00472904"/>
    <w:rsid w:val="00472947"/>
    <w:rsid w:val="00472956"/>
    <w:rsid w:val="00472967"/>
    <w:rsid w:val="004729BD"/>
    <w:rsid w:val="004729DD"/>
    <w:rsid w:val="00472A9B"/>
    <w:rsid w:val="00472A9C"/>
    <w:rsid w:val="00472AC1"/>
    <w:rsid w:val="00472ACE"/>
    <w:rsid w:val="00472AD8"/>
    <w:rsid w:val="00472ADB"/>
    <w:rsid w:val="00472B2D"/>
    <w:rsid w:val="00472B77"/>
    <w:rsid w:val="00472B7B"/>
    <w:rsid w:val="00472B80"/>
    <w:rsid w:val="00472C27"/>
    <w:rsid w:val="00472C3E"/>
    <w:rsid w:val="00472C40"/>
    <w:rsid w:val="00472C8B"/>
    <w:rsid w:val="00472C9F"/>
    <w:rsid w:val="00472CBC"/>
    <w:rsid w:val="00472D2B"/>
    <w:rsid w:val="00472D6B"/>
    <w:rsid w:val="00472D7C"/>
    <w:rsid w:val="00472D9D"/>
    <w:rsid w:val="00472E29"/>
    <w:rsid w:val="00472E49"/>
    <w:rsid w:val="00472E4B"/>
    <w:rsid w:val="00472E8C"/>
    <w:rsid w:val="00472EEF"/>
    <w:rsid w:val="00472F23"/>
    <w:rsid w:val="00472F38"/>
    <w:rsid w:val="00472F61"/>
    <w:rsid w:val="00472F82"/>
    <w:rsid w:val="00472F88"/>
    <w:rsid w:val="00472FAE"/>
    <w:rsid w:val="00472FC1"/>
    <w:rsid w:val="00472FD8"/>
    <w:rsid w:val="00472FE0"/>
    <w:rsid w:val="00473029"/>
    <w:rsid w:val="004730A2"/>
    <w:rsid w:val="004730A9"/>
    <w:rsid w:val="004730AD"/>
    <w:rsid w:val="004730B1"/>
    <w:rsid w:val="004730B6"/>
    <w:rsid w:val="004730F1"/>
    <w:rsid w:val="0047311E"/>
    <w:rsid w:val="0047312D"/>
    <w:rsid w:val="00473171"/>
    <w:rsid w:val="00473188"/>
    <w:rsid w:val="004731D6"/>
    <w:rsid w:val="00473289"/>
    <w:rsid w:val="0047329D"/>
    <w:rsid w:val="004732B8"/>
    <w:rsid w:val="0047332B"/>
    <w:rsid w:val="0047332F"/>
    <w:rsid w:val="00473335"/>
    <w:rsid w:val="004733B8"/>
    <w:rsid w:val="004733C0"/>
    <w:rsid w:val="004733E1"/>
    <w:rsid w:val="00473403"/>
    <w:rsid w:val="00473427"/>
    <w:rsid w:val="00473433"/>
    <w:rsid w:val="00473470"/>
    <w:rsid w:val="0047347D"/>
    <w:rsid w:val="004734CC"/>
    <w:rsid w:val="00473521"/>
    <w:rsid w:val="0047354B"/>
    <w:rsid w:val="004735CF"/>
    <w:rsid w:val="00473636"/>
    <w:rsid w:val="00473685"/>
    <w:rsid w:val="004736AB"/>
    <w:rsid w:val="00473719"/>
    <w:rsid w:val="0047378A"/>
    <w:rsid w:val="0047378C"/>
    <w:rsid w:val="004737BB"/>
    <w:rsid w:val="004737EE"/>
    <w:rsid w:val="00473849"/>
    <w:rsid w:val="0047385F"/>
    <w:rsid w:val="004738B2"/>
    <w:rsid w:val="004738C3"/>
    <w:rsid w:val="0047390E"/>
    <w:rsid w:val="0047391A"/>
    <w:rsid w:val="00473920"/>
    <w:rsid w:val="00473923"/>
    <w:rsid w:val="0047395C"/>
    <w:rsid w:val="00473979"/>
    <w:rsid w:val="00473987"/>
    <w:rsid w:val="004739D9"/>
    <w:rsid w:val="004739E5"/>
    <w:rsid w:val="00473A1B"/>
    <w:rsid w:val="00473A26"/>
    <w:rsid w:val="00473A90"/>
    <w:rsid w:val="00473AA8"/>
    <w:rsid w:val="00473AEF"/>
    <w:rsid w:val="00473B25"/>
    <w:rsid w:val="00473B46"/>
    <w:rsid w:val="00473B74"/>
    <w:rsid w:val="00473BC2"/>
    <w:rsid w:val="00473BCD"/>
    <w:rsid w:val="00473C1F"/>
    <w:rsid w:val="00473C6C"/>
    <w:rsid w:val="00473C76"/>
    <w:rsid w:val="00473CA9"/>
    <w:rsid w:val="00473CC6"/>
    <w:rsid w:val="00473DA3"/>
    <w:rsid w:val="00473DE5"/>
    <w:rsid w:val="00473DEB"/>
    <w:rsid w:val="00473DEF"/>
    <w:rsid w:val="00473E0D"/>
    <w:rsid w:val="00473E50"/>
    <w:rsid w:val="00473E75"/>
    <w:rsid w:val="00473ED2"/>
    <w:rsid w:val="00473EF2"/>
    <w:rsid w:val="00473F4C"/>
    <w:rsid w:val="00473F79"/>
    <w:rsid w:val="00473FA0"/>
    <w:rsid w:val="00474005"/>
    <w:rsid w:val="00474061"/>
    <w:rsid w:val="00474093"/>
    <w:rsid w:val="004740F1"/>
    <w:rsid w:val="004740FB"/>
    <w:rsid w:val="00474149"/>
    <w:rsid w:val="00474153"/>
    <w:rsid w:val="00474160"/>
    <w:rsid w:val="00474186"/>
    <w:rsid w:val="0047419C"/>
    <w:rsid w:val="004741B8"/>
    <w:rsid w:val="00474211"/>
    <w:rsid w:val="0047423B"/>
    <w:rsid w:val="0047423C"/>
    <w:rsid w:val="0047426A"/>
    <w:rsid w:val="00474278"/>
    <w:rsid w:val="004742D1"/>
    <w:rsid w:val="004742D9"/>
    <w:rsid w:val="004742E0"/>
    <w:rsid w:val="00474312"/>
    <w:rsid w:val="00474333"/>
    <w:rsid w:val="004743AC"/>
    <w:rsid w:val="004743DC"/>
    <w:rsid w:val="00474434"/>
    <w:rsid w:val="00474506"/>
    <w:rsid w:val="00474520"/>
    <w:rsid w:val="00474551"/>
    <w:rsid w:val="004745EB"/>
    <w:rsid w:val="00474601"/>
    <w:rsid w:val="00474607"/>
    <w:rsid w:val="00474618"/>
    <w:rsid w:val="0047463E"/>
    <w:rsid w:val="00474682"/>
    <w:rsid w:val="004747AD"/>
    <w:rsid w:val="004747BD"/>
    <w:rsid w:val="00474869"/>
    <w:rsid w:val="00474872"/>
    <w:rsid w:val="00474883"/>
    <w:rsid w:val="0047488F"/>
    <w:rsid w:val="004748F4"/>
    <w:rsid w:val="00474928"/>
    <w:rsid w:val="0047497A"/>
    <w:rsid w:val="0047498A"/>
    <w:rsid w:val="004749E9"/>
    <w:rsid w:val="00474A4B"/>
    <w:rsid w:val="00474A7E"/>
    <w:rsid w:val="00474B09"/>
    <w:rsid w:val="00474B18"/>
    <w:rsid w:val="00474B24"/>
    <w:rsid w:val="00474B32"/>
    <w:rsid w:val="00474B38"/>
    <w:rsid w:val="00474B72"/>
    <w:rsid w:val="00474B81"/>
    <w:rsid w:val="00474B89"/>
    <w:rsid w:val="00474C3F"/>
    <w:rsid w:val="00474C8A"/>
    <w:rsid w:val="00474C8F"/>
    <w:rsid w:val="00474CF8"/>
    <w:rsid w:val="00474D09"/>
    <w:rsid w:val="00474D0D"/>
    <w:rsid w:val="00474D53"/>
    <w:rsid w:val="00474D57"/>
    <w:rsid w:val="00474DA0"/>
    <w:rsid w:val="00474DB1"/>
    <w:rsid w:val="00474E1A"/>
    <w:rsid w:val="00474E23"/>
    <w:rsid w:val="00474E65"/>
    <w:rsid w:val="00474F15"/>
    <w:rsid w:val="00474F30"/>
    <w:rsid w:val="00475039"/>
    <w:rsid w:val="00475085"/>
    <w:rsid w:val="00475097"/>
    <w:rsid w:val="00475098"/>
    <w:rsid w:val="0047509F"/>
    <w:rsid w:val="00475102"/>
    <w:rsid w:val="00475116"/>
    <w:rsid w:val="00475158"/>
    <w:rsid w:val="00475161"/>
    <w:rsid w:val="004751B6"/>
    <w:rsid w:val="004751BA"/>
    <w:rsid w:val="004751E4"/>
    <w:rsid w:val="00475222"/>
    <w:rsid w:val="00475267"/>
    <w:rsid w:val="004752F6"/>
    <w:rsid w:val="0047530D"/>
    <w:rsid w:val="00475317"/>
    <w:rsid w:val="00475390"/>
    <w:rsid w:val="004753B7"/>
    <w:rsid w:val="004753D8"/>
    <w:rsid w:val="004753F5"/>
    <w:rsid w:val="00475439"/>
    <w:rsid w:val="0047544A"/>
    <w:rsid w:val="00475476"/>
    <w:rsid w:val="0047549F"/>
    <w:rsid w:val="004754E3"/>
    <w:rsid w:val="0047553C"/>
    <w:rsid w:val="00475567"/>
    <w:rsid w:val="0047557C"/>
    <w:rsid w:val="0047559C"/>
    <w:rsid w:val="00475665"/>
    <w:rsid w:val="00475677"/>
    <w:rsid w:val="004756B1"/>
    <w:rsid w:val="004756CB"/>
    <w:rsid w:val="004756DB"/>
    <w:rsid w:val="004756DD"/>
    <w:rsid w:val="00475704"/>
    <w:rsid w:val="0047570D"/>
    <w:rsid w:val="0047571F"/>
    <w:rsid w:val="0047573B"/>
    <w:rsid w:val="0047575B"/>
    <w:rsid w:val="004757F5"/>
    <w:rsid w:val="004757FB"/>
    <w:rsid w:val="0047582A"/>
    <w:rsid w:val="00475837"/>
    <w:rsid w:val="00475898"/>
    <w:rsid w:val="004758BA"/>
    <w:rsid w:val="004758EE"/>
    <w:rsid w:val="00475913"/>
    <w:rsid w:val="0047591D"/>
    <w:rsid w:val="0047594C"/>
    <w:rsid w:val="00475980"/>
    <w:rsid w:val="0047599A"/>
    <w:rsid w:val="00475A03"/>
    <w:rsid w:val="00475A17"/>
    <w:rsid w:val="00475A2E"/>
    <w:rsid w:val="00475A4B"/>
    <w:rsid w:val="00475ADF"/>
    <w:rsid w:val="00475B2D"/>
    <w:rsid w:val="00475BE5"/>
    <w:rsid w:val="00475C11"/>
    <w:rsid w:val="00475C55"/>
    <w:rsid w:val="00475C84"/>
    <w:rsid w:val="00475D0C"/>
    <w:rsid w:val="00475D44"/>
    <w:rsid w:val="00475D55"/>
    <w:rsid w:val="00475DC3"/>
    <w:rsid w:val="00475DD3"/>
    <w:rsid w:val="00475E01"/>
    <w:rsid w:val="00475EF7"/>
    <w:rsid w:val="00475F12"/>
    <w:rsid w:val="00475F75"/>
    <w:rsid w:val="00475FC6"/>
    <w:rsid w:val="00475FDC"/>
    <w:rsid w:val="00476049"/>
    <w:rsid w:val="00476051"/>
    <w:rsid w:val="00476076"/>
    <w:rsid w:val="00476085"/>
    <w:rsid w:val="00476094"/>
    <w:rsid w:val="004760CC"/>
    <w:rsid w:val="0047610C"/>
    <w:rsid w:val="00476173"/>
    <w:rsid w:val="004761D3"/>
    <w:rsid w:val="00476206"/>
    <w:rsid w:val="0047620C"/>
    <w:rsid w:val="00476249"/>
    <w:rsid w:val="00476370"/>
    <w:rsid w:val="00476414"/>
    <w:rsid w:val="00476436"/>
    <w:rsid w:val="00476461"/>
    <w:rsid w:val="00476472"/>
    <w:rsid w:val="00476494"/>
    <w:rsid w:val="00476551"/>
    <w:rsid w:val="0047655B"/>
    <w:rsid w:val="0047655D"/>
    <w:rsid w:val="00476589"/>
    <w:rsid w:val="00476597"/>
    <w:rsid w:val="004765C3"/>
    <w:rsid w:val="004765C9"/>
    <w:rsid w:val="004765F6"/>
    <w:rsid w:val="0047664C"/>
    <w:rsid w:val="004766A5"/>
    <w:rsid w:val="004766AA"/>
    <w:rsid w:val="004766D4"/>
    <w:rsid w:val="00476701"/>
    <w:rsid w:val="00476731"/>
    <w:rsid w:val="0047675F"/>
    <w:rsid w:val="004767C4"/>
    <w:rsid w:val="004767E0"/>
    <w:rsid w:val="0047680D"/>
    <w:rsid w:val="00476825"/>
    <w:rsid w:val="004768A3"/>
    <w:rsid w:val="004768EF"/>
    <w:rsid w:val="00476901"/>
    <w:rsid w:val="00476908"/>
    <w:rsid w:val="0047690E"/>
    <w:rsid w:val="0047695E"/>
    <w:rsid w:val="00476973"/>
    <w:rsid w:val="00476976"/>
    <w:rsid w:val="00476989"/>
    <w:rsid w:val="004769D6"/>
    <w:rsid w:val="004769E2"/>
    <w:rsid w:val="00476A4E"/>
    <w:rsid w:val="00476A59"/>
    <w:rsid w:val="00476A5A"/>
    <w:rsid w:val="00476AB8"/>
    <w:rsid w:val="00476AB9"/>
    <w:rsid w:val="00476AC2"/>
    <w:rsid w:val="00476B0B"/>
    <w:rsid w:val="00476B15"/>
    <w:rsid w:val="00476B7E"/>
    <w:rsid w:val="00476BD2"/>
    <w:rsid w:val="00476BD9"/>
    <w:rsid w:val="00476CC4"/>
    <w:rsid w:val="00476CD9"/>
    <w:rsid w:val="00476D0C"/>
    <w:rsid w:val="00476DA8"/>
    <w:rsid w:val="00476DB4"/>
    <w:rsid w:val="00476DB7"/>
    <w:rsid w:val="00476DE8"/>
    <w:rsid w:val="00476DEC"/>
    <w:rsid w:val="00476E54"/>
    <w:rsid w:val="00476F6D"/>
    <w:rsid w:val="00476F93"/>
    <w:rsid w:val="00477052"/>
    <w:rsid w:val="00477066"/>
    <w:rsid w:val="00477082"/>
    <w:rsid w:val="0047709D"/>
    <w:rsid w:val="00477176"/>
    <w:rsid w:val="00477194"/>
    <w:rsid w:val="004771A2"/>
    <w:rsid w:val="0047721B"/>
    <w:rsid w:val="00477224"/>
    <w:rsid w:val="00477296"/>
    <w:rsid w:val="004772AB"/>
    <w:rsid w:val="004772AF"/>
    <w:rsid w:val="004772CB"/>
    <w:rsid w:val="004772DF"/>
    <w:rsid w:val="004772EA"/>
    <w:rsid w:val="004772FD"/>
    <w:rsid w:val="0047733E"/>
    <w:rsid w:val="0047734D"/>
    <w:rsid w:val="00477374"/>
    <w:rsid w:val="00477451"/>
    <w:rsid w:val="00477486"/>
    <w:rsid w:val="004774AE"/>
    <w:rsid w:val="004774AF"/>
    <w:rsid w:val="004774D9"/>
    <w:rsid w:val="0047757A"/>
    <w:rsid w:val="0047758B"/>
    <w:rsid w:val="004775DB"/>
    <w:rsid w:val="004775DC"/>
    <w:rsid w:val="0047762B"/>
    <w:rsid w:val="00477685"/>
    <w:rsid w:val="004776CE"/>
    <w:rsid w:val="00477753"/>
    <w:rsid w:val="00477764"/>
    <w:rsid w:val="00477798"/>
    <w:rsid w:val="004777CC"/>
    <w:rsid w:val="004777F0"/>
    <w:rsid w:val="00477836"/>
    <w:rsid w:val="0047783B"/>
    <w:rsid w:val="00477858"/>
    <w:rsid w:val="004778B9"/>
    <w:rsid w:val="004778BD"/>
    <w:rsid w:val="0047797F"/>
    <w:rsid w:val="004779A3"/>
    <w:rsid w:val="00477A78"/>
    <w:rsid w:val="00477AD5"/>
    <w:rsid w:val="00477B23"/>
    <w:rsid w:val="00477BBA"/>
    <w:rsid w:val="00477BD5"/>
    <w:rsid w:val="00477BE7"/>
    <w:rsid w:val="00477BF3"/>
    <w:rsid w:val="00477C4A"/>
    <w:rsid w:val="00477C4D"/>
    <w:rsid w:val="00477C70"/>
    <w:rsid w:val="00477CFA"/>
    <w:rsid w:val="00477D27"/>
    <w:rsid w:val="00477D68"/>
    <w:rsid w:val="00477D90"/>
    <w:rsid w:val="00477DE6"/>
    <w:rsid w:val="00477DF8"/>
    <w:rsid w:val="00477E20"/>
    <w:rsid w:val="00477E4B"/>
    <w:rsid w:val="00477E6C"/>
    <w:rsid w:val="00477EDF"/>
    <w:rsid w:val="00477EEB"/>
    <w:rsid w:val="00477F15"/>
    <w:rsid w:val="00477F5F"/>
    <w:rsid w:val="0048001B"/>
    <w:rsid w:val="004800D3"/>
    <w:rsid w:val="004800F0"/>
    <w:rsid w:val="00480136"/>
    <w:rsid w:val="004801A1"/>
    <w:rsid w:val="004801F5"/>
    <w:rsid w:val="004802E4"/>
    <w:rsid w:val="00480332"/>
    <w:rsid w:val="0048033E"/>
    <w:rsid w:val="00480353"/>
    <w:rsid w:val="0048037E"/>
    <w:rsid w:val="004803AC"/>
    <w:rsid w:val="004803BB"/>
    <w:rsid w:val="004803D8"/>
    <w:rsid w:val="00480428"/>
    <w:rsid w:val="00480499"/>
    <w:rsid w:val="004804BD"/>
    <w:rsid w:val="004804D4"/>
    <w:rsid w:val="004804DF"/>
    <w:rsid w:val="004805B8"/>
    <w:rsid w:val="0048060A"/>
    <w:rsid w:val="00480693"/>
    <w:rsid w:val="0048071C"/>
    <w:rsid w:val="0048072E"/>
    <w:rsid w:val="00480735"/>
    <w:rsid w:val="00480737"/>
    <w:rsid w:val="00480758"/>
    <w:rsid w:val="0048077E"/>
    <w:rsid w:val="004807D7"/>
    <w:rsid w:val="004807EF"/>
    <w:rsid w:val="0048084E"/>
    <w:rsid w:val="00480875"/>
    <w:rsid w:val="00480882"/>
    <w:rsid w:val="004808A0"/>
    <w:rsid w:val="004808AB"/>
    <w:rsid w:val="004808EE"/>
    <w:rsid w:val="00480910"/>
    <w:rsid w:val="00480920"/>
    <w:rsid w:val="0048096F"/>
    <w:rsid w:val="0048097D"/>
    <w:rsid w:val="004809AE"/>
    <w:rsid w:val="004809DF"/>
    <w:rsid w:val="00480A2B"/>
    <w:rsid w:val="00480A49"/>
    <w:rsid w:val="00480A81"/>
    <w:rsid w:val="00480B64"/>
    <w:rsid w:val="00480BA9"/>
    <w:rsid w:val="00480BCB"/>
    <w:rsid w:val="00480C21"/>
    <w:rsid w:val="00480C5C"/>
    <w:rsid w:val="00480CAA"/>
    <w:rsid w:val="00480DC3"/>
    <w:rsid w:val="00480E54"/>
    <w:rsid w:val="00480E91"/>
    <w:rsid w:val="00480EC6"/>
    <w:rsid w:val="00480EDB"/>
    <w:rsid w:val="00480F01"/>
    <w:rsid w:val="00480F25"/>
    <w:rsid w:val="00480F35"/>
    <w:rsid w:val="00480F56"/>
    <w:rsid w:val="00480F6D"/>
    <w:rsid w:val="00480FFE"/>
    <w:rsid w:val="0048101F"/>
    <w:rsid w:val="004810A2"/>
    <w:rsid w:val="004810E7"/>
    <w:rsid w:val="00481104"/>
    <w:rsid w:val="004811A4"/>
    <w:rsid w:val="004811CA"/>
    <w:rsid w:val="0048125D"/>
    <w:rsid w:val="004812A0"/>
    <w:rsid w:val="004812C9"/>
    <w:rsid w:val="004812FA"/>
    <w:rsid w:val="00481327"/>
    <w:rsid w:val="00481421"/>
    <w:rsid w:val="0048143F"/>
    <w:rsid w:val="00481442"/>
    <w:rsid w:val="0048146D"/>
    <w:rsid w:val="00481478"/>
    <w:rsid w:val="004814E7"/>
    <w:rsid w:val="00481537"/>
    <w:rsid w:val="00481562"/>
    <w:rsid w:val="00481597"/>
    <w:rsid w:val="004816A8"/>
    <w:rsid w:val="004816EF"/>
    <w:rsid w:val="00481712"/>
    <w:rsid w:val="00481756"/>
    <w:rsid w:val="00481780"/>
    <w:rsid w:val="00481793"/>
    <w:rsid w:val="004817AD"/>
    <w:rsid w:val="004817BE"/>
    <w:rsid w:val="00481833"/>
    <w:rsid w:val="0048184C"/>
    <w:rsid w:val="0048186E"/>
    <w:rsid w:val="004818A5"/>
    <w:rsid w:val="004818AE"/>
    <w:rsid w:val="004818CC"/>
    <w:rsid w:val="0048193D"/>
    <w:rsid w:val="00481949"/>
    <w:rsid w:val="00481988"/>
    <w:rsid w:val="0048199E"/>
    <w:rsid w:val="004819A8"/>
    <w:rsid w:val="00481A4C"/>
    <w:rsid w:val="00481A5D"/>
    <w:rsid w:val="00481AF6"/>
    <w:rsid w:val="00481B09"/>
    <w:rsid w:val="00481B28"/>
    <w:rsid w:val="00481B8C"/>
    <w:rsid w:val="00481B8D"/>
    <w:rsid w:val="00481BB1"/>
    <w:rsid w:val="00481BE4"/>
    <w:rsid w:val="00481C1E"/>
    <w:rsid w:val="00481C7B"/>
    <w:rsid w:val="00481C9B"/>
    <w:rsid w:val="00481CF8"/>
    <w:rsid w:val="00481D29"/>
    <w:rsid w:val="00481D6B"/>
    <w:rsid w:val="00481D88"/>
    <w:rsid w:val="00481DD1"/>
    <w:rsid w:val="00481DF6"/>
    <w:rsid w:val="00481E71"/>
    <w:rsid w:val="00481E97"/>
    <w:rsid w:val="00481F2A"/>
    <w:rsid w:val="00481F40"/>
    <w:rsid w:val="00481F52"/>
    <w:rsid w:val="00481F64"/>
    <w:rsid w:val="00481FAC"/>
    <w:rsid w:val="00481FB2"/>
    <w:rsid w:val="00481FFE"/>
    <w:rsid w:val="004820AB"/>
    <w:rsid w:val="004820B4"/>
    <w:rsid w:val="004820DC"/>
    <w:rsid w:val="0048210D"/>
    <w:rsid w:val="00482115"/>
    <w:rsid w:val="00482128"/>
    <w:rsid w:val="0048212C"/>
    <w:rsid w:val="00482140"/>
    <w:rsid w:val="0048216B"/>
    <w:rsid w:val="00482183"/>
    <w:rsid w:val="0048219C"/>
    <w:rsid w:val="004821A4"/>
    <w:rsid w:val="004821D0"/>
    <w:rsid w:val="0048220B"/>
    <w:rsid w:val="0048226C"/>
    <w:rsid w:val="00482272"/>
    <w:rsid w:val="004822AA"/>
    <w:rsid w:val="0048232F"/>
    <w:rsid w:val="00482333"/>
    <w:rsid w:val="00482335"/>
    <w:rsid w:val="00482352"/>
    <w:rsid w:val="00482355"/>
    <w:rsid w:val="0048242D"/>
    <w:rsid w:val="00482461"/>
    <w:rsid w:val="00482477"/>
    <w:rsid w:val="00482478"/>
    <w:rsid w:val="00482542"/>
    <w:rsid w:val="00482552"/>
    <w:rsid w:val="00482557"/>
    <w:rsid w:val="004825A8"/>
    <w:rsid w:val="004825E3"/>
    <w:rsid w:val="00482614"/>
    <w:rsid w:val="00482626"/>
    <w:rsid w:val="00482677"/>
    <w:rsid w:val="00482710"/>
    <w:rsid w:val="0048276C"/>
    <w:rsid w:val="004827DE"/>
    <w:rsid w:val="00482944"/>
    <w:rsid w:val="004829E9"/>
    <w:rsid w:val="00482A36"/>
    <w:rsid w:val="00482A4B"/>
    <w:rsid w:val="00482AA4"/>
    <w:rsid w:val="00482AAA"/>
    <w:rsid w:val="00482B40"/>
    <w:rsid w:val="00482B6C"/>
    <w:rsid w:val="00482BBD"/>
    <w:rsid w:val="00482BFA"/>
    <w:rsid w:val="00482C1E"/>
    <w:rsid w:val="00482C1F"/>
    <w:rsid w:val="00482C49"/>
    <w:rsid w:val="00482C6F"/>
    <w:rsid w:val="00482CA7"/>
    <w:rsid w:val="00482CB3"/>
    <w:rsid w:val="00482CB6"/>
    <w:rsid w:val="00482CC7"/>
    <w:rsid w:val="00482CEE"/>
    <w:rsid w:val="00482D00"/>
    <w:rsid w:val="00482D6E"/>
    <w:rsid w:val="00482DA8"/>
    <w:rsid w:val="00482DFF"/>
    <w:rsid w:val="00482E08"/>
    <w:rsid w:val="00482E33"/>
    <w:rsid w:val="00482E7C"/>
    <w:rsid w:val="00482E93"/>
    <w:rsid w:val="00482EAF"/>
    <w:rsid w:val="00482EC8"/>
    <w:rsid w:val="00482F84"/>
    <w:rsid w:val="00482F9E"/>
    <w:rsid w:val="00482FC1"/>
    <w:rsid w:val="00483061"/>
    <w:rsid w:val="004830AB"/>
    <w:rsid w:val="0048311D"/>
    <w:rsid w:val="00483172"/>
    <w:rsid w:val="0048317E"/>
    <w:rsid w:val="004831A5"/>
    <w:rsid w:val="004831B8"/>
    <w:rsid w:val="004831D1"/>
    <w:rsid w:val="0048320F"/>
    <w:rsid w:val="0048326C"/>
    <w:rsid w:val="0048329C"/>
    <w:rsid w:val="00483302"/>
    <w:rsid w:val="00483315"/>
    <w:rsid w:val="0048331D"/>
    <w:rsid w:val="0048332C"/>
    <w:rsid w:val="00483359"/>
    <w:rsid w:val="00483361"/>
    <w:rsid w:val="00483380"/>
    <w:rsid w:val="004833F2"/>
    <w:rsid w:val="0048340A"/>
    <w:rsid w:val="00483414"/>
    <w:rsid w:val="00483415"/>
    <w:rsid w:val="00483433"/>
    <w:rsid w:val="00483492"/>
    <w:rsid w:val="004834A7"/>
    <w:rsid w:val="004834EB"/>
    <w:rsid w:val="004834FB"/>
    <w:rsid w:val="004834FC"/>
    <w:rsid w:val="00483514"/>
    <w:rsid w:val="00483524"/>
    <w:rsid w:val="00483526"/>
    <w:rsid w:val="00483549"/>
    <w:rsid w:val="0048357C"/>
    <w:rsid w:val="004835C9"/>
    <w:rsid w:val="004835CF"/>
    <w:rsid w:val="004835DB"/>
    <w:rsid w:val="004835E4"/>
    <w:rsid w:val="00483656"/>
    <w:rsid w:val="00483673"/>
    <w:rsid w:val="004836F7"/>
    <w:rsid w:val="00483714"/>
    <w:rsid w:val="0048378B"/>
    <w:rsid w:val="0048387B"/>
    <w:rsid w:val="00483899"/>
    <w:rsid w:val="004838CD"/>
    <w:rsid w:val="004838F6"/>
    <w:rsid w:val="00483940"/>
    <w:rsid w:val="00483958"/>
    <w:rsid w:val="00483973"/>
    <w:rsid w:val="004839C9"/>
    <w:rsid w:val="004839D8"/>
    <w:rsid w:val="004839DF"/>
    <w:rsid w:val="00483A40"/>
    <w:rsid w:val="00483A9C"/>
    <w:rsid w:val="00483AC9"/>
    <w:rsid w:val="00483B02"/>
    <w:rsid w:val="00483B81"/>
    <w:rsid w:val="00483B91"/>
    <w:rsid w:val="00483B99"/>
    <w:rsid w:val="00483BBE"/>
    <w:rsid w:val="00483C0C"/>
    <w:rsid w:val="00483C84"/>
    <w:rsid w:val="00483CB6"/>
    <w:rsid w:val="00483CC4"/>
    <w:rsid w:val="00483CDA"/>
    <w:rsid w:val="00483CFD"/>
    <w:rsid w:val="00483D01"/>
    <w:rsid w:val="00483D42"/>
    <w:rsid w:val="00483DB0"/>
    <w:rsid w:val="00483E6B"/>
    <w:rsid w:val="00483EA8"/>
    <w:rsid w:val="00483EC3"/>
    <w:rsid w:val="00483EF8"/>
    <w:rsid w:val="00483F06"/>
    <w:rsid w:val="00483F08"/>
    <w:rsid w:val="00483F3A"/>
    <w:rsid w:val="00483F79"/>
    <w:rsid w:val="00483F8C"/>
    <w:rsid w:val="00483FA1"/>
    <w:rsid w:val="00483FB1"/>
    <w:rsid w:val="00483FD6"/>
    <w:rsid w:val="00484096"/>
    <w:rsid w:val="0048409D"/>
    <w:rsid w:val="004840E2"/>
    <w:rsid w:val="0048419C"/>
    <w:rsid w:val="0048419D"/>
    <w:rsid w:val="004841B0"/>
    <w:rsid w:val="004841DA"/>
    <w:rsid w:val="00484230"/>
    <w:rsid w:val="0048424E"/>
    <w:rsid w:val="00484258"/>
    <w:rsid w:val="0048429E"/>
    <w:rsid w:val="004842A5"/>
    <w:rsid w:val="0048438C"/>
    <w:rsid w:val="004843EC"/>
    <w:rsid w:val="004844C0"/>
    <w:rsid w:val="00484595"/>
    <w:rsid w:val="0048459E"/>
    <w:rsid w:val="00484602"/>
    <w:rsid w:val="00484625"/>
    <w:rsid w:val="00484648"/>
    <w:rsid w:val="0048467D"/>
    <w:rsid w:val="004846A9"/>
    <w:rsid w:val="004846E6"/>
    <w:rsid w:val="004846E8"/>
    <w:rsid w:val="0048475B"/>
    <w:rsid w:val="00484792"/>
    <w:rsid w:val="004847AE"/>
    <w:rsid w:val="004847F2"/>
    <w:rsid w:val="00484811"/>
    <w:rsid w:val="00484821"/>
    <w:rsid w:val="0048484F"/>
    <w:rsid w:val="00484884"/>
    <w:rsid w:val="004848D8"/>
    <w:rsid w:val="00484906"/>
    <w:rsid w:val="00484911"/>
    <w:rsid w:val="0048496C"/>
    <w:rsid w:val="00484A04"/>
    <w:rsid w:val="00484A40"/>
    <w:rsid w:val="00484A44"/>
    <w:rsid w:val="00484A4C"/>
    <w:rsid w:val="00484A4E"/>
    <w:rsid w:val="00484A70"/>
    <w:rsid w:val="00484A88"/>
    <w:rsid w:val="00484B5A"/>
    <w:rsid w:val="00484B7C"/>
    <w:rsid w:val="00484B90"/>
    <w:rsid w:val="00484BB8"/>
    <w:rsid w:val="00484BE9"/>
    <w:rsid w:val="00484C26"/>
    <w:rsid w:val="00484CA8"/>
    <w:rsid w:val="00484CFB"/>
    <w:rsid w:val="00484D25"/>
    <w:rsid w:val="00484D7F"/>
    <w:rsid w:val="00484D94"/>
    <w:rsid w:val="00484DAA"/>
    <w:rsid w:val="00484DB6"/>
    <w:rsid w:val="00484DBF"/>
    <w:rsid w:val="00484E15"/>
    <w:rsid w:val="00484E46"/>
    <w:rsid w:val="00484E75"/>
    <w:rsid w:val="00484E7D"/>
    <w:rsid w:val="00484EA9"/>
    <w:rsid w:val="00484EC4"/>
    <w:rsid w:val="00484F32"/>
    <w:rsid w:val="00484F56"/>
    <w:rsid w:val="00485035"/>
    <w:rsid w:val="0048504E"/>
    <w:rsid w:val="00485125"/>
    <w:rsid w:val="0048513D"/>
    <w:rsid w:val="004851A9"/>
    <w:rsid w:val="004851FF"/>
    <w:rsid w:val="00485259"/>
    <w:rsid w:val="00485275"/>
    <w:rsid w:val="00485279"/>
    <w:rsid w:val="0048527C"/>
    <w:rsid w:val="00485293"/>
    <w:rsid w:val="004852F6"/>
    <w:rsid w:val="00485311"/>
    <w:rsid w:val="00485331"/>
    <w:rsid w:val="0048543D"/>
    <w:rsid w:val="00485465"/>
    <w:rsid w:val="00485469"/>
    <w:rsid w:val="0048547D"/>
    <w:rsid w:val="004854F6"/>
    <w:rsid w:val="00485510"/>
    <w:rsid w:val="00485520"/>
    <w:rsid w:val="00485527"/>
    <w:rsid w:val="0048552D"/>
    <w:rsid w:val="00485545"/>
    <w:rsid w:val="00485555"/>
    <w:rsid w:val="004855EA"/>
    <w:rsid w:val="00485670"/>
    <w:rsid w:val="00485694"/>
    <w:rsid w:val="00485707"/>
    <w:rsid w:val="0048576E"/>
    <w:rsid w:val="00485786"/>
    <w:rsid w:val="00485797"/>
    <w:rsid w:val="004857AB"/>
    <w:rsid w:val="004857CA"/>
    <w:rsid w:val="004857E7"/>
    <w:rsid w:val="004857F6"/>
    <w:rsid w:val="0048585E"/>
    <w:rsid w:val="0048589B"/>
    <w:rsid w:val="004858BB"/>
    <w:rsid w:val="004858F4"/>
    <w:rsid w:val="00485905"/>
    <w:rsid w:val="0048593D"/>
    <w:rsid w:val="00485999"/>
    <w:rsid w:val="004859B9"/>
    <w:rsid w:val="004859C9"/>
    <w:rsid w:val="00485A09"/>
    <w:rsid w:val="00485A42"/>
    <w:rsid w:val="00485A9C"/>
    <w:rsid w:val="00485AE3"/>
    <w:rsid w:val="00485B25"/>
    <w:rsid w:val="00485B29"/>
    <w:rsid w:val="00485B74"/>
    <w:rsid w:val="00485BAA"/>
    <w:rsid w:val="00485BAB"/>
    <w:rsid w:val="00485BB8"/>
    <w:rsid w:val="00485C59"/>
    <w:rsid w:val="00485C9C"/>
    <w:rsid w:val="00485CF7"/>
    <w:rsid w:val="00485D03"/>
    <w:rsid w:val="00485D11"/>
    <w:rsid w:val="00485D1E"/>
    <w:rsid w:val="00485D35"/>
    <w:rsid w:val="00485D3A"/>
    <w:rsid w:val="00485DBB"/>
    <w:rsid w:val="00485DFF"/>
    <w:rsid w:val="00485E17"/>
    <w:rsid w:val="00485E25"/>
    <w:rsid w:val="00485E2A"/>
    <w:rsid w:val="00485E4D"/>
    <w:rsid w:val="00485E96"/>
    <w:rsid w:val="00485ECF"/>
    <w:rsid w:val="00485F44"/>
    <w:rsid w:val="00485F66"/>
    <w:rsid w:val="00485F71"/>
    <w:rsid w:val="00485FCC"/>
    <w:rsid w:val="00485FEC"/>
    <w:rsid w:val="00486006"/>
    <w:rsid w:val="00486028"/>
    <w:rsid w:val="00486065"/>
    <w:rsid w:val="00486086"/>
    <w:rsid w:val="0048608D"/>
    <w:rsid w:val="004860AE"/>
    <w:rsid w:val="004860C7"/>
    <w:rsid w:val="00486118"/>
    <w:rsid w:val="0048618C"/>
    <w:rsid w:val="004861DB"/>
    <w:rsid w:val="004861FB"/>
    <w:rsid w:val="0048623D"/>
    <w:rsid w:val="004862AC"/>
    <w:rsid w:val="004862AE"/>
    <w:rsid w:val="004862B8"/>
    <w:rsid w:val="004862F1"/>
    <w:rsid w:val="00486383"/>
    <w:rsid w:val="00486385"/>
    <w:rsid w:val="0048638B"/>
    <w:rsid w:val="00486418"/>
    <w:rsid w:val="0048646E"/>
    <w:rsid w:val="00486482"/>
    <w:rsid w:val="004864B7"/>
    <w:rsid w:val="004864B8"/>
    <w:rsid w:val="00486548"/>
    <w:rsid w:val="00486555"/>
    <w:rsid w:val="0048655E"/>
    <w:rsid w:val="0048659E"/>
    <w:rsid w:val="004865DE"/>
    <w:rsid w:val="004865E9"/>
    <w:rsid w:val="00486630"/>
    <w:rsid w:val="00486707"/>
    <w:rsid w:val="0048675F"/>
    <w:rsid w:val="00486760"/>
    <w:rsid w:val="00486794"/>
    <w:rsid w:val="004867B0"/>
    <w:rsid w:val="004867B1"/>
    <w:rsid w:val="00486807"/>
    <w:rsid w:val="0048681E"/>
    <w:rsid w:val="00486845"/>
    <w:rsid w:val="00486874"/>
    <w:rsid w:val="00486879"/>
    <w:rsid w:val="00486884"/>
    <w:rsid w:val="004868DE"/>
    <w:rsid w:val="00486911"/>
    <w:rsid w:val="00486917"/>
    <w:rsid w:val="0048691F"/>
    <w:rsid w:val="00486925"/>
    <w:rsid w:val="00486966"/>
    <w:rsid w:val="00486969"/>
    <w:rsid w:val="004869B8"/>
    <w:rsid w:val="004869C5"/>
    <w:rsid w:val="004869DE"/>
    <w:rsid w:val="00486B1C"/>
    <w:rsid w:val="00486B58"/>
    <w:rsid w:val="00486B66"/>
    <w:rsid w:val="00486BAE"/>
    <w:rsid w:val="00486BAF"/>
    <w:rsid w:val="00486BFD"/>
    <w:rsid w:val="00486C12"/>
    <w:rsid w:val="00486C20"/>
    <w:rsid w:val="00486C29"/>
    <w:rsid w:val="00486D13"/>
    <w:rsid w:val="00486D68"/>
    <w:rsid w:val="00486D84"/>
    <w:rsid w:val="00486DE0"/>
    <w:rsid w:val="00486E9C"/>
    <w:rsid w:val="00486EA6"/>
    <w:rsid w:val="00486EAE"/>
    <w:rsid w:val="00486F19"/>
    <w:rsid w:val="00486F1E"/>
    <w:rsid w:val="00486FDB"/>
    <w:rsid w:val="00487041"/>
    <w:rsid w:val="00487079"/>
    <w:rsid w:val="00487092"/>
    <w:rsid w:val="004870B8"/>
    <w:rsid w:val="004870EF"/>
    <w:rsid w:val="0048710C"/>
    <w:rsid w:val="00487110"/>
    <w:rsid w:val="00487134"/>
    <w:rsid w:val="00487138"/>
    <w:rsid w:val="00487146"/>
    <w:rsid w:val="00487152"/>
    <w:rsid w:val="00487204"/>
    <w:rsid w:val="00487248"/>
    <w:rsid w:val="0048729E"/>
    <w:rsid w:val="004872C4"/>
    <w:rsid w:val="004872C5"/>
    <w:rsid w:val="00487302"/>
    <w:rsid w:val="00487361"/>
    <w:rsid w:val="0048738F"/>
    <w:rsid w:val="00487397"/>
    <w:rsid w:val="00487423"/>
    <w:rsid w:val="00487432"/>
    <w:rsid w:val="00487471"/>
    <w:rsid w:val="00487478"/>
    <w:rsid w:val="00487488"/>
    <w:rsid w:val="004874A4"/>
    <w:rsid w:val="00487506"/>
    <w:rsid w:val="0048752D"/>
    <w:rsid w:val="00487537"/>
    <w:rsid w:val="0048754E"/>
    <w:rsid w:val="00487589"/>
    <w:rsid w:val="004875E6"/>
    <w:rsid w:val="0048766E"/>
    <w:rsid w:val="004876F4"/>
    <w:rsid w:val="0048776E"/>
    <w:rsid w:val="0048777B"/>
    <w:rsid w:val="0048777F"/>
    <w:rsid w:val="004877D7"/>
    <w:rsid w:val="004877FD"/>
    <w:rsid w:val="0048780C"/>
    <w:rsid w:val="00487876"/>
    <w:rsid w:val="004878B9"/>
    <w:rsid w:val="004878D5"/>
    <w:rsid w:val="004878D6"/>
    <w:rsid w:val="004878ED"/>
    <w:rsid w:val="004878F3"/>
    <w:rsid w:val="0048792C"/>
    <w:rsid w:val="00487961"/>
    <w:rsid w:val="0048796C"/>
    <w:rsid w:val="0048796E"/>
    <w:rsid w:val="00487985"/>
    <w:rsid w:val="0048799A"/>
    <w:rsid w:val="004879C4"/>
    <w:rsid w:val="004879D4"/>
    <w:rsid w:val="004879E3"/>
    <w:rsid w:val="004879F2"/>
    <w:rsid w:val="00487A49"/>
    <w:rsid w:val="00487A4B"/>
    <w:rsid w:val="00487A56"/>
    <w:rsid w:val="00487A91"/>
    <w:rsid w:val="00487AF1"/>
    <w:rsid w:val="00487B6F"/>
    <w:rsid w:val="00487BAA"/>
    <w:rsid w:val="00487BC9"/>
    <w:rsid w:val="00487C61"/>
    <w:rsid w:val="00487D26"/>
    <w:rsid w:val="00487D34"/>
    <w:rsid w:val="00487D64"/>
    <w:rsid w:val="00487DC0"/>
    <w:rsid w:val="00487DC4"/>
    <w:rsid w:val="00487DC5"/>
    <w:rsid w:val="00487E79"/>
    <w:rsid w:val="00487F06"/>
    <w:rsid w:val="00487F2E"/>
    <w:rsid w:val="00487F60"/>
    <w:rsid w:val="00487F81"/>
    <w:rsid w:val="00487F90"/>
    <w:rsid w:val="00487F9A"/>
    <w:rsid w:val="00487FC8"/>
    <w:rsid w:val="00487FE8"/>
    <w:rsid w:val="00488520"/>
    <w:rsid w:val="0048D762"/>
    <w:rsid w:val="0048F8B8"/>
    <w:rsid w:val="00490013"/>
    <w:rsid w:val="00490026"/>
    <w:rsid w:val="00490029"/>
    <w:rsid w:val="00490042"/>
    <w:rsid w:val="004900E6"/>
    <w:rsid w:val="004900F5"/>
    <w:rsid w:val="00490143"/>
    <w:rsid w:val="0049015D"/>
    <w:rsid w:val="0049018B"/>
    <w:rsid w:val="00490191"/>
    <w:rsid w:val="00490200"/>
    <w:rsid w:val="00490322"/>
    <w:rsid w:val="00490328"/>
    <w:rsid w:val="00490374"/>
    <w:rsid w:val="004903AA"/>
    <w:rsid w:val="004903BC"/>
    <w:rsid w:val="004903D3"/>
    <w:rsid w:val="00490485"/>
    <w:rsid w:val="00490490"/>
    <w:rsid w:val="00490491"/>
    <w:rsid w:val="004904A8"/>
    <w:rsid w:val="004904C8"/>
    <w:rsid w:val="00490550"/>
    <w:rsid w:val="00490556"/>
    <w:rsid w:val="00490587"/>
    <w:rsid w:val="004905A1"/>
    <w:rsid w:val="004905DF"/>
    <w:rsid w:val="00490610"/>
    <w:rsid w:val="0049061D"/>
    <w:rsid w:val="00490643"/>
    <w:rsid w:val="00490645"/>
    <w:rsid w:val="00490672"/>
    <w:rsid w:val="004906BC"/>
    <w:rsid w:val="004906DA"/>
    <w:rsid w:val="004906EB"/>
    <w:rsid w:val="004906FF"/>
    <w:rsid w:val="00490762"/>
    <w:rsid w:val="0049076E"/>
    <w:rsid w:val="00490793"/>
    <w:rsid w:val="004907C1"/>
    <w:rsid w:val="004907E6"/>
    <w:rsid w:val="004907F4"/>
    <w:rsid w:val="00490806"/>
    <w:rsid w:val="0049083F"/>
    <w:rsid w:val="00490842"/>
    <w:rsid w:val="0049085C"/>
    <w:rsid w:val="0049086D"/>
    <w:rsid w:val="004908C2"/>
    <w:rsid w:val="004908C5"/>
    <w:rsid w:val="00490910"/>
    <w:rsid w:val="00490A42"/>
    <w:rsid w:val="00490AE5"/>
    <w:rsid w:val="00490B05"/>
    <w:rsid w:val="00490B08"/>
    <w:rsid w:val="00490B16"/>
    <w:rsid w:val="00490B1F"/>
    <w:rsid w:val="00490B4C"/>
    <w:rsid w:val="00490B4F"/>
    <w:rsid w:val="00490B75"/>
    <w:rsid w:val="00490B90"/>
    <w:rsid w:val="00490BA4"/>
    <w:rsid w:val="00490BC1"/>
    <w:rsid w:val="00490BFB"/>
    <w:rsid w:val="00490C05"/>
    <w:rsid w:val="00490C12"/>
    <w:rsid w:val="00490C89"/>
    <w:rsid w:val="00490CC4"/>
    <w:rsid w:val="00490CCA"/>
    <w:rsid w:val="00490CD3"/>
    <w:rsid w:val="00490D8B"/>
    <w:rsid w:val="00490DE7"/>
    <w:rsid w:val="00490E19"/>
    <w:rsid w:val="00490E25"/>
    <w:rsid w:val="00490E54"/>
    <w:rsid w:val="00490EB0"/>
    <w:rsid w:val="00490EB5"/>
    <w:rsid w:val="00490EBB"/>
    <w:rsid w:val="00490F48"/>
    <w:rsid w:val="00490F4D"/>
    <w:rsid w:val="00490F95"/>
    <w:rsid w:val="00490FD0"/>
    <w:rsid w:val="00490FDC"/>
    <w:rsid w:val="00491021"/>
    <w:rsid w:val="0049102E"/>
    <w:rsid w:val="0049103C"/>
    <w:rsid w:val="00491157"/>
    <w:rsid w:val="0049115F"/>
    <w:rsid w:val="00491172"/>
    <w:rsid w:val="00491181"/>
    <w:rsid w:val="004911BE"/>
    <w:rsid w:val="004911C0"/>
    <w:rsid w:val="004911E0"/>
    <w:rsid w:val="004911FC"/>
    <w:rsid w:val="00491246"/>
    <w:rsid w:val="0049127B"/>
    <w:rsid w:val="004912B8"/>
    <w:rsid w:val="004912FF"/>
    <w:rsid w:val="0049130B"/>
    <w:rsid w:val="00491311"/>
    <w:rsid w:val="0049136E"/>
    <w:rsid w:val="0049138A"/>
    <w:rsid w:val="004913C2"/>
    <w:rsid w:val="004913D4"/>
    <w:rsid w:val="0049145E"/>
    <w:rsid w:val="00491588"/>
    <w:rsid w:val="0049159E"/>
    <w:rsid w:val="004915A7"/>
    <w:rsid w:val="00491605"/>
    <w:rsid w:val="00491610"/>
    <w:rsid w:val="00491652"/>
    <w:rsid w:val="0049166C"/>
    <w:rsid w:val="004916B3"/>
    <w:rsid w:val="004916E0"/>
    <w:rsid w:val="004916F6"/>
    <w:rsid w:val="004916FE"/>
    <w:rsid w:val="00491769"/>
    <w:rsid w:val="00491779"/>
    <w:rsid w:val="004917AF"/>
    <w:rsid w:val="004917B8"/>
    <w:rsid w:val="004917E2"/>
    <w:rsid w:val="004917E4"/>
    <w:rsid w:val="00491811"/>
    <w:rsid w:val="0049181E"/>
    <w:rsid w:val="0049182E"/>
    <w:rsid w:val="00491837"/>
    <w:rsid w:val="00491872"/>
    <w:rsid w:val="004918A6"/>
    <w:rsid w:val="004918AF"/>
    <w:rsid w:val="00491938"/>
    <w:rsid w:val="0049198B"/>
    <w:rsid w:val="00491A12"/>
    <w:rsid w:val="00491A16"/>
    <w:rsid w:val="00491AA4"/>
    <w:rsid w:val="00491B0B"/>
    <w:rsid w:val="00491B81"/>
    <w:rsid w:val="00491B92"/>
    <w:rsid w:val="00491BEC"/>
    <w:rsid w:val="00491BFC"/>
    <w:rsid w:val="00491C3C"/>
    <w:rsid w:val="00491C95"/>
    <w:rsid w:val="00491CF7"/>
    <w:rsid w:val="00491CFC"/>
    <w:rsid w:val="00491D0A"/>
    <w:rsid w:val="00491D60"/>
    <w:rsid w:val="00491E68"/>
    <w:rsid w:val="00491E96"/>
    <w:rsid w:val="00491EA6"/>
    <w:rsid w:val="00491ECF"/>
    <w:rsid w:val="00491F1C"/>
    <w:rsid w:val="00491F54"/>
    <w:rsid w:val="00491F5C"/>
    <w:rsid w:val="00491FA5"/>
    <w:rsid w:val="00491FDE"/>
    <w:rsid w:val="00492010"/>
    <w:rsid w:val="0049202F"/>
    <w:rsid w:val="00492058"/>
    <w:rsid w:val="00492098"/>
    <w:rsid w:val="00492111"/>
    <w:rsid w:val="0049211D"/>
    <w:rsid w:val="00492127"/>
    <w:rsid w:val="00492129"/>
    <w:rsid w:val="0049212F"/>
    <w:rsid w:val="004921D0"/>
    <w:rsid w:val="0049228F"/>
    <w:rsid w:val="00492298"/>
    <w:rsid w:val="004922CB"/>
    <w:rsid w:val="004923AB"/>
    <w:rsid w:val="00492427"/>
    <w:rsid w:val="0049246B"/>
    <w:rsid w:val="0049246D"/>
    <w:rsid w:val="0049247E"/>
    <w:rsid w:val="004924CC"/>
    <w:rsid w:val="004924CE"/>
    <w:rsid w:val="004924FE"/>
    <w:rsid w:val="00492525"/>
    <w:rsid w:val="0049252C"/>
    <w:rsid w:val="00492547"/>
    <w:rsid w:val="0049256D"/>
    <w:rsid w:val="0049256E"/>
    <w:rsid w:val="00492576"/>
    <w:rsid w:val="004925BD"/>
    <w:rsid w:val="004925BF"/>
    <w:rsid w:val="004925C0"/>
    <w:rsid w:val="00492627"/>
    <w:rsid w:val="00492652"/>
    <w:rsid w:val="00492680"/>
    <w:rsid w:val="0049269E"/>
    <w:rsid w:val="00492722"/>
    <w:rsid w:val="0049274A"/>
    <w:rsid w:val="00492773"/>
    <w:rsid w:val="004927D3"/>
    <w:rsid w:val="004927E8"/>
    <w:rsid w:val="004927F1"/>
    <w:rsid w:val="004927F4"/>
    <w:rsid w:val="00492828"/>
    <w:rsid w:val="00492870"/>
    <w:rsid w:val="0049288A"/>
    <w:rsid w:val="004928A3"/>
    <w:rsid w:val="004928B0"/>
    <w:rsid w:val="004928E9"/>
    <w:rsid w:val="00492907"/>
    <w:rsid w:val="0049296B"/>
    <w:rsid w:val="0049296C"/>
    <w:rsid w:val="004929BE"/>
    <w:rsid w:val="00492ADF"/>
    <w:rsid w:val="00492BB0"/>
    <w:rsid w:val="00492C67"/>
    <w:rsid w:val="00492D12"/>
    <w:rsid w:val="00492D8A"/>
    <w:rsid w:val="00492D91"/>
    <w:rsid w:val="00492DA5"/>
    <w:rsid w:val="00492DC2"/>
    <w:rsid w:val="00492DED"/>
    <w:rsid w:val="00492EF9"/>
    <w:rsid w:val="00492F2E"/>
    <w:rsid w:val="00492F42"/>
    <w:rsid w:val="0049301D"/>
    <w:rsid w:val="00493041"/>
    <w:rsid w:val="00493053"/>
    <w:rsid w:val="00493067"/>
    <w:rsid w:val="0049319A"/>
    <w:rsid w:val="004931D8"/>
    <w:rsid w:val="00493210"/>
    <w:rsid w:val="00493294"/>
    <w:rsid w:val="004932A4"/>
    <w:rsid w:val="004932DE"/>
    <w:rsid w:val="004932F0"/>
    <w:rsid w:val="00493373"/>
    <w:rsid w:val="0049337A"/>
    <w:rsid w:val="004933DB"/>
    <w:rsid w:val="00493418"/>
    <w:rsid w:val="00493445"/>
    <w:rsid w:val="0049345F"/>
    <w:rsid w:val="0049347F"/>
    <w:rsid w:val="00493489"/>
    <w:rsid w:val="004934A4"/>
    <w:rsid w:val="004934A9"/>
    <w:rsid w:val="00493551"/>
    <w:rsid w:val="00493554"/>
    <w:rsid w:val="00493561"/>
    <w:rsid w:val="0049356C"/>
    <w:rsid w:val="0049358C"/>
    <w:rsid w:val="00493592"/>
    <w:rsid w:val="0049359F"/>
    <w:rsid w:val="004935D0"/>
    <w:rsid w:val="004935F6"/>
    <w:rsid w:val="0049364A"/>
    <w:rsid w:val="00493665"/>
    <w:rsid w:val="00493679"/>
    <w:rsid w:val="00493688"/>
    <w:rsid w:val="00493689"/>
    <w:rsid w:val="004936DE"/>
    <w:rsid w:val="00493741"/>
    <w:rsid w:val="00493775"/>
    <w:rsid w:val="004937E2"/>
    <w:rsid w:val="004937E7"/>
    <w:rsid w:val="00493860"/>
    <w:rsid w:val="0049387A"/>
    <w:rsid w:val="004938AE"/>
    <w:rsid w:val="004938E5"/>
    <w:rsid w:val="004938F2"/>
    <w:rsid w:val="00493A10"/>
    <w:rsid w:val="00493A4E"/>
    <w:rsid w:val="00493A53"/>
    <w:rsid w:val="00493A64"/>
    <w:rsid w:val="00493AC4"/>
    <w:rsid w:val="00493ACE"/>
    <w:rsid w:val="00493AE5"/>
    <w:rsid w:val="00493AFA"/>
    <w:rsid w:val="00493B64"/>
    <w:rsid w:val="00493B93"/>
    <w:rsid w:val="00493BA5"/>
    <w:rsid w:val="00493BBB"/>
    <w:rsid w:val="00493BDF"/>
    <w:rsid w:val="00493C4F"/>
    <w:rsid w:val="00493C9B"/>
    <w:rsid w:val="00493CAC"/>
    <w:rsid w:val="00493CBD"/>
    <w:rsid w:val="00493CE1"/>
    <w:rsid w:val="00493D16"/>
    <w:rsid w:val="00493D72"/>
    <w:rsid w:val="00493D7B"/>
    <w:rsid w:val="00493DA2"/>
    <w:rsid w:val="00493DE2"/>
    <w:rsid w:val="00493E0B"/>
    <w:rsid w:val="00493E9A"/>
    <w:rsid w:val="00493EA6"/>
    <w:rsid w:val="00493F1D"/>
    <w:rsid w:val="00493F49"/>
    <w:rsid w:val="00493F6B"/>
    <w:rsid w:val="00493F86"/>
    <w:rsid w:val="00494017"/>
    <w:rsid w:val="0049402D"/>
    <w:rsid w:val="00494072"/>
    <w:rsid w:val="00494103"/>
    <w:rsid w:val="00494127"/>
    <w:rsid w:val="00494154"/>
    <w:rsid w:val="00494160"/>
    <w:rsid w:val="004941B6"/>
    <w:rsid w:val="004941D0"/>
    <w:rsid w:val="004941D4"/>
    <w:rsid w:val="0049422C"/>
    <w:rsid w:val="004942AA"/>
    <w:rsid w:val="004942CF"/>
    <w:rsid w:val="004942D1"/>
    <w:rsid w:val="00494348"/>
    <w:rsid w:val="00494357"/>
    <w:rsid w:val="00494415"/>
    <w:rsid w:val="004944D9"/>
    <w:rsid w:val="00494557"/>
    <w:rsid w:val="00494589"/>
    <w:rsid w:val="00494592"/>
    <w:rsid w:val="004945AA"/>
    <w:rsid w:val="004945B8"/>
    <w:rsid w:val="00494602"/>
    <w:rsid w:val="00494603"/>
    <w:rsid w:val="00494635"/>
    <w:rsid w:val="00494688"/>
    <w:rsid w:val="004946CD"/>
    <w:rsid w:val="00494765"/>
    <w:rsid w:val="00494783"/>
    <w:rsid w:val="004947AD"/>
    <w:rsid w:val="004947B1"/>
    <w:rsid w:val="00494811"/>
    <w:rsid w:val="004948BB"/>
    <w:rsid w:val="004948D8"/>
    <w:rsid w:val="004948ED"/>
    <w:rsid w:val="004948F6"/>
    <w:rsid w:val="0049490D"/>
    <w:rsid w:val="00494976"/>
    <w:rsid w:val="004949F0"/>
    <w:rsid w:val="00494A51"/>
    <w:rsid w:val="00494A6D"/>
    <w:rsid w:val="00494A86"/>
    <w:rsid w:val="00494ABC"/>
    <w:rsid w:val="00494AF8"/>
    <w:rsid w:val="00494B4C"/>
    <w:rsid w:val="00494BB2"/>
    <w:rsid w:val="00494BC1"/>
    <w:rsid w:val="00494BC6"/>
    <w:rsid w:val="00494BCF"/>
    <w:rsid w:val="00494C4A"/>
    <w:rsid w:val="00494C81"/>
    <w:rsid w:val="00494CF7"/>
    <w:rsid w:val="00494CF8"/>
    <w:rsid w:val="00494D23"/>
    <w:rsid w:val="00494D2B"/>
    <w:rsid w:val="00494D38"/>
    <w:rsid w:val="00494D42"/>
    <w:rsid w:val="00494D56"/>
    <w:rsid w:val="00494DB9"/>
    <w:rsid w:val="00494DC9"/>
    <w:rsid w:val="00494E68"/>
    <w:rsid w:val="00494E7D"/>
    <w:rsid w:val="00494EA2"/>
    <w:rsid w:val="00494EDB"/>
    <w:rsid w:val="00494EE7"/>
    <w:rsid w:val="00494F6D"/>
    <w:rsid w:val="00494FE2"/>
    <w:rsid w:val="0049501A"/>
    <w:rsid w:val="0049508C"/>
    <w:rsid w:val="004950AA"/>
    <w:rsid w:val="004950FE"/>
    <w:rsid w:val="00495138"/>
    <w:rsid w:val="00495176"/>
    <w:rsid w:val="00495186"/>
    <w:rsid w:val="004951F4"/>
    <w:rsid w:val="0049524C"/>
    <w:rsid w:val="00495274"/>
    <w:rsid w:val="00495289"/>
    <w:rsid w:val="004952B0"/>
    <w:rsid w:val="0049530E"/>
    <w:rsid w:val="00495368"/>
    <w:rsid w:val="00495374"/>
    <w:rsid w:val="004953D1"/>
    <w:rsid w:val="00495480"/>
    <w:rsid w:val="00495489"/>
    <w:rsid w:val="0049549A"/>
    <w:rsid w:val="00495579"/>
    <w:rsid w:val="0049557A"/>
    <w:rsid w:val="004955EB"/>
    <w:rsid w:val="00495671"/>
    <w:rsid w:val="004956BA"/>
    <w:rsid w:val="004956E1"/>
    <w:rsid w:val="004956EF"/>
    <w:rsid w:val="00495761"/>
    <w:rsid w:val="00495779"/>
    <w:rsid w:val="004957C7"/>
    <w:rsid w:val="004957D8"/>
    <w:rsid w:val="00495821"/>
    <w:rsid w:val="00495855"/>
    <w:rsid w:val="0049588D"/>
    <w:rsid w:val="0049589B"/>
    <w:rsid w:val="004958A0"/>
    <w:rsid w:val="004958BE"/>
    <w:rsid w:val="00495910"/>
    <w:rsid w:val="00495925"/>
    <w:rsid w:val="00495936"/>
    <w:rsid w:val="00495954"/>
    <w:rsid w:val="00495967"/>
    <w:rsid w:val="0049596D"/>
    <w:rsid w:val="0049598A"/>
    <w:rsid w:val="004959EA"/>
    <w:rsid w:val="00495A58"/>
    <w:rsid w:val="00495A6D"/>
    <w:rsid w:val="00495A71"/>
    <w:rsid w:val="00495A94"/>
    <w:rsid w:val="00495B1A"/>
    <w:rsid w:val="00495B75"/>
    <w:rsid w:val="00495BC6"/>
    <w:rsid w:val="00495C67"/>
    <w:rsid w:val="00495C7E"/>
    <w:rsid w:val="00495CF2"/>
    <w:rsid w:val="00495D29"/>
    <w:rsid w:val="00495D7E"/>
    <w:rsid w:val="00495D8A"/>
    <w:rsid w:val="00495D95"/>
    <w:rsid w:val="00495DD5"/>
    <w:rsid w:val="00495DF0"/>
    <w:rsid w:val="00495E0F"/>
    <w:rsid w:val="00495E13"/>
    <w:rsid w:val="00495E59"/>
    <w:rsid w:val="00495E89"/>
    <w:rsid w:val="00495EBA"/>
    <w:rsid w:val="00495EE4"/>
    <w:rsid w:val="00495F33"/>
    <w:rsid w:val="00495F38"/>
    <w:rsid w:val="00495F3D"/>
    <w:rsid w:val="00495F82"/>
    <w:rsid w:val="00495FA5"/>
    <w:rsid w:val="00495FDF"/>
    <w:rsid w:val="00496000"/>
    <w:rsid w:val="00496002"/>
    <w:rsid w:val="004960F8"/>
    <w:rsid w:val="0049612C"/>
    <w:rsid w:val="0049617C"/>
    <w:rsid w:val="00496187"/>
    <w:rsid w:val="0049618F"/>
    <w:rsid w:val="0049623D"/>
    <w:rsid w:val="00496268"/>
    <w:rsid w:val="0049627A"/>
    <w:rsid w:val="004962AA"/>
    <w:rsid w:val="0049632B"/>
    <w:rsid w:val="00496413"/>
    <w:rsid w:val="0049647B"/>
    <w:rsid w:val="00496531"/>
    <w:rsid w:val="00496547"/>
    <w:rsid w:val="004965D8"/>
    <w:rsid w:val="00496628"/>
    <w:rsid w:val="0049662D"/>
    <w:rsid w:val="00496661"/>
    <w:rsid w:val="0049667C"/>
    <w:rsid w:val="0049668E"/>
    <w:rsid w:val="00496696"/>
    <w:rsid w:val="004966F1"/>
    <w:rsid w:val="004966FD"/>
    <w:rsid w:val="00496709"/>
    <w:rsid w:val="0049670E"/>
    <w:rsid w:val="0049673D"/>
    <w:rsid w:val="00496777"/>
    <w:rsid w:val="00496789"/>
    <w:rsid w:val="00496847"/>
    <w:rsid w:val="0049684D"/>
    <w:rsid w:val="00496867"/>
    <w:rsid w:val="00496896"/>
    <w:rsid w:val="004968B9"/>
    <w:rsid w:val="0049698F"/>
    <w:rsid w:val="004969D6"/>
    <w:rsid w:val="00496A84"/>
    <w:rsid w:val="00496AAF"/>
    <w:rsid w:val="00496AF0"/>
    <w:rsid w:val="00496B3F"/>
    <w:rsid w:val="00496B75"/>
    <w:rsid w:val="00496C2C"/>
    <w:rsid w:val="00496CF0"/>
    <w:rsid w:val="00496D05"/>
    <w:rsid w:val="00496D24"/>
    <w:rsid w:val="00496D31"/>
    <w:rsid w:val="00496D37"/>
    <w:rsid w:val="00496D70"/>
    <w:rsid w:val="00496D95"/>
    <w:rsid w:val="00496DA5"/>
    <w:rsid w:val="00496DAD"/>
    <w:rsid w:val="00496DDD"/>
    <w:rsid w:val="00496E11"/>
    <w:rsid w:val="00496E7E"/>
    <w:rsid w:val="00496EB5"/>
    <w:rsid w:val="00496ECE"/>
    <w:rsid w:val="00496F02"/>
    <w:rsid w:val="00496F0F"/>
    <w:rsid w:val="00496F3D"/>
    <w:rsid w:val="00496F42"/>
    <w:rsid w:val="00496F4D"/>
    <w:rsid w:val="00496F7F"/>
    <w:rsid w:val="00496F99"/>
    <w:rsid w:val="00496FC3"/>
    <w:rsid w:val="00496FD3"/>
    <w:rsid w:val="00496FD4"/>
    <w:rsid w:val="00496FDB"/>
    <w:rsid w:val="00496FF7"/>
    <w:rsid w:val="0049701A"/>
    <w:rsid w:val="00497052"/>
    <w:rsid w:val="0049706D"/>
    <w:rsid w:val="00497085"/>
    <w:rsid w:val="0049712A"/>
    <w:rsid w:val="00497150"/>
    <w:rsid w:val="00497189"/>
    <w:rsid w:val="00497192"/>
    <w:rsid w:val="004971AF"/>
    <w:rsid w:val="004971D0"/>
    <w:rsid w:val="0049722F"/>
    <w:rsid w:val="00497237"/>
    <w:rsid w:val="0049725C"/>
    <w:rsid w:val="0049727D"/>
    <w:rsid w:val="004972A8"/>
    <w:rsid w:val="004972E0"/>
    <w:rsid w:val="00497355"/>
    <w:rsid w:val="0049736F"/>
    <w:rsid w:val="0049737E"/>
    <w:rsid w:val="004973BE"/>
    <w:rsid w:val="004973E1"/>
    <w:rsid w:val="00497410"/>
    <w:rsid w:val="00497436"/>
    <w:rsid w:val="0049746A"/>
    <w:rsid w:val="004974BB"/>
    <w:rsid w:val="004974CA"/>
    <w:rsid w:val="004974D0"/>
    <w:rsid w:val="00497509"/>
    <w:rsid w:val="004975E8"/>
    <w:rsid w:val="004975F1"/>
    <w:rsid w:val="0049764B"/>
    <w:rsid w:val="00497653"/>
    <w:rsid w:val="004976BA"/>
    <w:rsid w:val="004976BF"/>
    <w:rsid w:val="004976E0"/>
    <w:rsid w:val="004976EB"/>
    <w:rsid w:val="00497726"/>
    <w:rsid w:val="004977A0"/>
    <w:rsid w:val="004977B5"/>
    <w:rsid w:val="004977BB"/>
    <w:rsid w:val="004977F6"/>
    <w:rsid w:val="00497815"/>
    <w:rsid w:val="004978C9"/>
    <w:rsid w:val="00497953"/>
    <w:rsid w:val="004979D5"/>
    <w:rsid w:val="004979F2"/>
    <w:rsid w:val="00497A28"/>
    <w:rsid w:val="00497A6D"/>
    <w:rsid w:val="00497AAA"/>
    <w:rsid w:val="00497AAE"/>
    <w:rsid w:val="00497AAF"/>
    <w:rsid w:val="00497B1C"/>
    <w:rsid w:val="00497B82"/>
    <w:rsid w:val="00497BB5"/>
    <w:rsid w:val="00497BDA"/>
    <w:rsid w:val="00497C0A"/>
    <w:rsid w:val="00497C49"/>
    <w:rsid w:val="00497C97"/>
    <w:rsid w:val="00497CF9"/>
    <w:rsid w:val="00497D67"/>
    <w:rsid w:val="00497D9E"/>
    <w:rsid w:val="00497DA8"/>
    <w:rsid w:val="00497DC9"/>
    <w:rsid w:val="00497DF6"/>
    <w:rsid w:val="00497E29"/>
    <w:rsid w:val="00497E41"/>
    <w:rsid w:val="00497ED6"/>
    <w:rsid w:val="00497F05"/>
    <w:rsid w:val="00497F1D"/>
    <w:rsid w:val="00497F22"/>
    <w:rsid w:val="00497F33"/>
    <w:rsid w:val="00497F5D"/>
    <w:rsid w:val="00497F8D"/>
    <w:rsid w:val="00497FB2"/>
    <w:rsid w:val="00497FC0"/>
    <w:rsid w:val="0049E9B1"/>
    <w:rsid w:val="004A0149"/>
    <w:rsid w:val="004A017A"/>
    <w:rsid w:val="004A019B"/>
    <w:rsid w:val="004A01CF"/>
    <w:rsid w:val="004A01F8"/>
    <w:rsid w:val="004A0222"/>
    <w:rsid w:val="004A0230"/>
    <w:rsid w:val="004A0233"/>
    <w:rsid w:val="004A024A"/>
    <w:rsid w:val="004A024E"/>
    <w:rsid w:val="004A0258"/>
    <w:rsid w:val="004A028A"/>
    <w:rsid w:val="004A0332"/>
    <w:rsid w:val="004A0359"/>
    <w:rsid w:val="004A036E"/>
    <w:rsid w:val="004A0389"/>
    <w:rsid w:val="004A0393"/>
    <w:rsid w:val="004A03DF"/>
    <w:rsid w:val="004A03FF"/>
    <w:rsid w:val="004A044D"/>
    <w:rsid w:val="004A0462"/>
    <w:rsid w:val="004A0464"/>
    <w:rsid w:val="004A048D"/>
    <w:rsid w:val="004A0496"/>
    <w:rsid w:val="004A04B8"/>
    <w:rsid w:val="004A04BA"/>
    <w:rsid w:val="004A04C2"/>
    <w:rsid w:val="004A04CA"/>
    <w:rsid w:val="004A04D3"/>
    <w:rsid w:val="004A04EE"/>
    <w:rsid w:val="004A0509"/>
    <w:rsid w:val="004A0580"/>
    <w:rsid w:val="004A058B"/>
    <w:rsid w:val="004A05E7"/>
    <w:rsid w:val="004A062D"/>
    <w:rsid w:val="004A0641"/>
    <w:rsid w:val="004A0678"/>
    <w:rsid w:val="004A067B"/>
    <w:rsid w:val="004A06EF"/>
    <w:rsid w:val="004A07B1"/>
    <w:rsid w:val="004A07DE"/>
    <w:rsid w:val="004A07E9"/>
    <w:rsid w:val="004A0831"/>
    <w:rsid w:val="004A08BF"/>
    <w:rsid w:val="004A08C6"/>
    <w:rsid w:val="004A08EC"/>
    <w:rsid w:val="004A090F"/>
    <w:rsid w:val="004A0922"/>
    <w:rsid w:val="004A0930"/>
    <w:rsid w:val="004A09DA"/>
    <w:rsid w:val="004A09DF"/>
    <w:rsid w:val="004A0AA1"/>
    <w:rsid w:val="004A0ACF"/>
    <w:rsid w:val="004A0AD9"/>
    <w:rsid w:val="004A0B18"/>
    <w:rsid w:val="004A0B3B"/>
    <w:rsid w:val="004A0B5A"/>
    <w:rsid w:val="004A0B6A"/>
    <w:rsid w:val="004A0B8C"/>
    <w:rsid w:val="004A0BA2"/>
    <w:rsid w:val="004A0C2D"/>
    <w:rsid w:val="004A0C5E"/>
    <w:rsid w:val="004A0CE9"/>
    <w:rsid w:val="004A0D74"/>
    <w:rsid w:val="004A0DA4"/>
    <w:rsid w:val="004A0DCF"/>
    <w:rsid w:val="004A0E65"/>
    <w:rsid w:val="004A0E92"/>
    <w:rsid w:val="004A0EA4"/>
    <w:rsid w:val="004A0F44"/>
    <w:rsid w:val="004A0F96"/>
    <w:rsid w:val="004A0FCF"/>
    <w:rsid w:val="004A0FFF"/>
    <w:rsid w:val="004A102B"/>
    <w:rsid w:val="004A1030"/>
    <w:rsid w:val="004A1033"/>
    <w:rsid w:val="004A1092"/>
    <w:rsid w:val="004A10DB"/>
    <w:rsid w:val="004A10DF"/>
    <w:rsid w:val="004A10EC"/>
    <w:rsid w:val="004A1104"/>
    <w:rsid w:val="004A1127"/>
    <w:rsid w:val="004A1148"/>
    <w:rsid w:val="004A11AE"/>
    <w:rsid w:val="004A11DE"/>
    <w:rsid w:val="004A122C"/>
    <w:rsid w:val="004A129C"/>
    <w:rsid w:val="004A12E8"/>
    <w:rsid w:val="004A1335"/>
    <w:rsid w:val="004A1339"/>
    <w:rsid w:val="004A137A"/>
    <w:rsid w:val="004A1391"/>
    <w:rsid w:val="004A1393"/>
    <w:rsid w:val="004A139D"/>
    <w:rsid w:val="004A13E8"/>
    <w:rsid w:val="004A144B"/>
    <w:rsid w:val="004A14A4"/>
    <w:rsid w:val="004A14BF"/>
    <w:rsid w:val="004A1571"/>
    <w:rsid w:val="004A15FD"/>
    <w:rsid w:val="004A1632"/>
    <w:rsid w:val="004A169A"/>
    <w:rsid w:val="004A16BB"/>
    <w:rsid w:val="004A176E"/>
    <w:rsid w:val="004A178C"/>
    <w:rsid w:val="004A17A3"/>
    <w:rsid w:val="004A180A"/>
    <w:rsid w:val="004A1821"/>
    <w:rsid w:val="004A18AE"/>
    <w:rsid w:val="004A18CA"/>
    <w:rsid w:val="004A18E7"/>
    <w:rsid w:val="004A1929"/>
    <w:rsid w:val="004A1959"/>
    <w:rsid w:val="004A1977"/>
    <w:rsid w:val="004A199A"/>
    <w:rsid w:val="004A19AE"/>
    <w:rsid w:val="004A19ED"/>
    <w:rsid w:val="004A1AB5"/>
    <w:rsid w:val="004A1B03"/>
    <w:rsid w:val="004A1B3D"/>
    <w:rsid w:val="004A1B77"/>
    <w:rsid w:val="004A1B9A"/>
    <w:rsid w:val="004A1BA8"/>
    <w:rsid w:val="004A1BB0"/>
    <w:rsid w:val="004A1BE7"/>
    <w:rsid w:val="004A1C43"/>
    <w:rsid w:val="004A1C69"/>
    <w:rsid w:val="004A1D18"/>
    <w:rsid w:val="004A1D4E"/>
    <w:rsid w:val="004A1DBF"/>
    <w:rsid w:val="004A1DCB"/>
    <w:rsid w:val="004A1E5F"/>
    <w:rsid w:val="004A1E96"/>
    <w:rsid w:val="004A1EB5"/>
    <w:rsid w:val="004A1F02"/>
    <w:rsid w:val="004A1F5C"/>
    <w:rsid w:val="004A1F80"/>
    <w:rsid w:val="004A1F83"/>
    <w:rsid w:val="004A1FB3"/>
    <w:rsid w:val="004A2004"/>
    <w:rsid w:val="004A2030"/>
    <w:rsid w:val="004A205F"/>
    <w:rsid w:val="004A20B2"/>
    <w:rsid w:val="004A20B6"/>
    <w:rsid w:val="004A2157"/>
    <w:rsid w:val="004A2180"/>
    <w:rsid w:val="004A21B2"/>
    <w:rsid w:val="004A21BD"/>
    <w:rsid w:val="004A21FF"/>
    <w:rsid w:val="004A2202"/>
    <w:rsid w:val="004A2286"/>
    <w:rsid w:val="004A228E"/>
    <w:rsid w:val="004A22D5"/>
    <w:rsid w:val="004A22D8"/>
    <w:rsid w:val="004A22FC"/>
    <w:rsid w:val="004A2363"/>
    <w:rsid w:val="004A237A"/>
    <w:rsid w:val="004A237B"/>
    <w:rsid w:val="004A23F5"/>
    <w:rsid w:val="004A2402"/>
    <w:rsid w:val="004A2452"/>
    <w:rsid w:val="004A2461"/>
    <w:rsid w:val="004A2470"/>
    <w:rsid w:val="004A2476"/>
    <w:rsid w:val="004A2526"/>
    <w:rsid w:val="004A253F"/>
    <w:rsid w:val="004A25E3"/>
    <w:rsid w:val="004A2697"/>
    <w:rsid w:val="004A27AF"/>
    <w:rsid w:val="004A27D1"/>
    <w:rsid w:val="004A27D2"/>
    <w:rsid w:val="004A2826"/>
    <w:rsid w:val="004A2831"/>
    <w:rsid w:val="004A2892"/>
    <w:rsid w:val="004A28A2"/>
    <w:rsid w:val="004A28CF"/>
    <w:rsid w:val="004A28D1"/>
    <w:rsid w:val="004A28DE"/>
    <w:rsid w:val="004A2920"/>
    <w:rsid w:val="004A29DD"/>
    <w:rsid w:val="004A2A51"/>
    <w:rsid w:val="004A2A54"/>
    <w:rsid w:val="004A2AA8"/>
    <w:rsid w:val="004A2ABF"/>
    <w:rsid w:val="004A2AC0"/>
    <w:rsid w:val="004A2B14"/>
    <w:rsid w:val="004A2B4F"/>
    <w:rsid w:val="004A2B5C"/>
    <w:rsid w:val="004A2B66"/>
    <w:rsid w:val="004A2BC9"/>
    <w:rsid w:val="004A2BEC"/>
    <w:rsid w:val="004A2C93"/>
    <w:rsid w:val="004A2CD7"/>
    <w:rsid w:val="004A2CF3"/>
    <w:rsid w:val="004A2D41"/>
    <w:rsid w:val="004A2D9E"/>
    <w:rsid w:val="004A2DBB"/>
    <w:rsid w:val="004A2DF4"/>
    <w:rsid w:val="004A2E12"/>
    <w:rsid w:val="004A2E98"/>
    <w:rsid w:val="004A2F6B"/>
    <w:rsid w:val="004A2FB0"/>
    <w:rsid w:val="004A2FED"/>
    <w:rsid w:val="004A3052"/>
    <w:rsid w:val="004A308D"/>
    <w:rsid w:val="004A3106"/>
    <w:rsid w:val="004A3144"/>
    <w:rsid w:val="004A3169"/>
    <w:rsid w:val="004A317D"/>
    <w:rsid w:val="004A3188"/>
    <w:rsid w:val="004A319C"/>
    <w:rsid w:val="004A31D5"/>
    <w:rsid w:val="004A326A"/>
    <w:rsid w:val="004A327F"/>
    <w:rsid w:val="004A32A8"/>
    <w:rsid w:val="004A32E0"/>
    <w:rsid w:val="004A3308"/>
    <w:rsid w:val="004A331D"/>
    <w:rsid w:val="004A3354"/>
    <w:rsid w:val="004A336F"/>
    <w:rsid w:val="004A337B"/>
    <w:rsid w:val="004A340D"/>
    <w:rsid w:val="004A34A9"/>
    <w:rsid w:val="004A34B9"/>
    <w:rsid w:val="004A34CA"/>
    <w:rsid w:val="004A34E1"/>
    <w:rsid w:val="004A3512"/>
    <w:rsid w:val="004A3533"/>
    <w:rsid w:val="004A355F"/>
    <w:rsid w:val="004A3567"/>
    <w:rsid w:val="004A3579"/>
    <w:rsid w:val="004A35DE"/>
    <w:rsid w:val="004A35E1"/>
    <w:rsid w:val="004A3623"/>
    <w:rsid w:val="004A3671"/>
    <w:rsid w:val="004A36D1"/>
    <w:rsid w:val="004A36D7"/>
    <w:rsid w:val="004A36E6"/>
    <w:rsid w:val="004A36FA"/>
    <w:rsid w:val="004A3747"/>
    <w:rsid w:val="004A3755"/>
    <w:rsid w:val="004A37E9"/>
    <w:rsid w:val="004A37F3"/>
    <w:rsid w:val="004A3826"/>
    <w:rsid w:val="004A389B"/>
    <w:rsid w:val="004A3910"/>
    <w:rsid w:val="004A3964"/>
    <w:rsid w:val="004A3973"/>
    <w:rsid w:val="004A39CB"/>
    <w:rsid w:val="004A39D7"/>
    <w:rsid w:val="004A39FE"/>
    <w:rsid w:val="004A3A17"/>
    <w:rsid w:val="004A3A1B"/>
    <w:rsid w:val="004A3A49"/>
    <w:rsid w:val="004A3A51"/>
    <w:rsid w:val="004A3A99"/>
    <w:rsid w:val="004A3AAC"/>
    <w:rsid w:val="004A3ACA"/>
    <w:rsid w:val="004A3AE9"/>
    <w:rsid w:val="004A3B02"/>
    <w:rsid w:val="004A3B1E"/>
    <w:rsid w:val="004A3B21"/>
    <w:rsid w:val="004A3B65"/>
    <w:rsid w:val="004A3BC2"/>
    <w:rsid w:val="004A3BC3"/>
    <w:rsid w:val="004A3BC5"/>
    <w:rsid w:val="004A3BD4"/>
    <w:rsid w:val="004A3BEF"/>
    <w:rsid w:val="004A3C22"/>
    <w:rsid w:val="004A3C74"/>
    <w:rsid w:val="004A3CA4"/>
    <w:rsid w:val="004A3CA5"/>
    <w:rsid w:val="004A3CB2"/>
    <w:rsid w:val="004A3CE7"/>
    <w:rsid w:val="004A3D3C"/>
    <w:rsid w:val="004A3D3E"/>
    <w:rsid w:val="004A3D56"/>
    <w:rsid w:val="004A3D60"/>
    <w:rsid w:val="004A3D81"/>
    <w:rsid w:val="004A3DAF"/>
    <w:rsid w:val="004A3DB9"/>
    <w:rsid w:val="004A3DFA"/>
    <w:rsid w:val="004A3E0A"/>
    <w:rsid w:val="004A3E5C"/>
    <w:rsid w:val="004A3E6B"/>
    <w:rsid w:val="004A3EB5"/>
    <w:rsid w:val="004A3FCC"/>
    <w:rsid w:val="004A3FF3"/>
    <w:rsid w:val="004A3FFE"/>
    <w:rsid w:val="004A400C"/>
    <w:rsid w:val="004A4028"/>
    <w:rsid w:val="004A406D"/>
    <w:rsid w:val="004A4077"/>
    <w:rsid w:val="004A4089"/>
    <w:rsid w:val="004A4093"/>
    <w:rsid w:val="004A4097"/>
    <w:rsid w:val="004A40E1"/>
    <w:rsid w:val="004A4135"/>
    <w:rsid w:val="004A4193"/>
    <w:rsid w:val="004A419D"/>
    <w:rsid w:val="004A41AC"/>
    <w:rsid w:val="004A41B5"/>
    <w:rsid w:val="004A41C4"/>
    <w:rsid w:val="004A41D8"/>
    <w:rsid w:val="004A41F3"/>
    <w:rsid w:val="004A4209"/>
    <w:rsid w:val="004A4245"/>
    <w:rsid w:val="004A42CB"/>
    <w:rsid w:val="004A430F"/>
    <w:rsid w:val="004A4319"/>
    <w:rsid w:val="004A437A"/>
    <w:rsid w:val="004A43C3"/>
    <w:rsid w:val="004A43D9"/>
    <w:rsid w:val="004A441A"/>
    <w:rsid w:val="004A443D"/>
    <w:rsid w:val="004A4468"/>
    <w:rsid w:val="004A4480"/>
    <w:rsid w:val="004A4496"/>
    <w:rsid w:val="004A44A2"/>
    <w:rsid w:val="004A44E1"/>
    <w:rsid w:val="004A4508"/>
    <w:rsid w:val="004A451A"/>
    <w:rsid w:val="004A4561"/>
    <w:rsid w:val="004A45C8"/>
    <w:rsid w:val="004A4618"/>
    <w:rsid w:val="004A4646"/>
    <w:rsid w:val="004A4679"/>
    <w:rsid w:val="004A468A"/>
    <w:rsid w:val="004A4692"/>
    <w:rsid w:val="004A4703"/>
    <w:rsid w:val="004A4728"/>
    <w:rsid w:val="004A473D"/>
    <w:rsid w:val="004A4748"/>
    <w:rsid w:val="004A4764"/>
    <w:rsid w:val="004A47D9"/>
    <w:rsid w:val="004A47E3"/>
    <w:rsid w:val="004A48AD"/>
    <w:rsid w:val="004A48CB"/>
    <w:rsid w:val="004A497D"/>
    <w:rsid w:val="004A4991"/>
    <w:rsid w:val="004A4A4B"/>
    <w:rsid w:val="004A4A5E"/>
    <w:rsid w:val="004A4A9C"/>
    <w:rsid w:val="004A4B1D"/>
    <w:rsid w:val="004A4B37"/>
    <w:rsid w:val="004A4BD7"/>
    <w:rsid w:val="004A4C3D"/>
    <w:rsid w:val="004A4C47"/>
    <w:rsid w:val="004A4C4A"/>
    <w:rsid w:val="004A4C6B"/>
    <w:rsid w:val="004A4C79"/>
    <w:rsid w:val="004A4CA9"/>
    <w:rsid w:val="004A4CD9"/>
    <w:rsid w:val="004A4CE7"/>
    <w:rsid w:val="004A4D0D"/>
    <w:rsid w:val="004A4D60"/>
    <w:rsid w:val="004A4D65"/>
    <w:rsid w:val="004A4D79"/>
    <w:rsid w:val="004A4DB7"/>
    <w:rsid w:val="004A4E11"/>
    <w:rsid w:val="004A4EA0"/>
    <w:rsid w:val="004A4EAC"/>
    <w:rsid w:val="004A4F2F"/>
    <w:rsid w:val="004A4F35"/>
    <w:rsid w:val="004A4F59"/>
    <w:rsid w:val="004A4F69"/>
    <w:rsid w:val="004A4F8D"/>
    <w:rsid w:val="004A4FB0"/>
    <w:rsid w:val="004A503F"/>
    <w:rsid w:val="004A5074"/>
    <w:rsid w:val="004A50ED"/>
    <w:rsid w:val="004A50EE"/>
    <w:rsid w:val="004A50FF"/>
    <w:rsid w:val="004A5142"/>
    <w:rsid w:val="004A5153"/>
    <w:rsid w:val="004A515C"/>
    <w:rsid w:val="004A5175"/>
    <w:rsid w:val="004A518C"/>
    <w:rsid w:val="004A51EF"/>
    <w:rsid w:val="004A52A3"/>
    <w:rsid w:val="004A52E1"/>
    <w:rsid w:val="004A52F2"/>
    <w:rsid w:val="004A5310"/>
    <w:rsid w:val="004A5339"/>
    <w:rsid w:val="004A5394"/>
    <w:rsid w:val="004A5430"/>
    <w:rsid w:val="004A5465"/>
    <w:rsid w:val="004A54B7"/>
    <w:rsid w:val="004A54BA"/>
    <w:rsid w:val="004A54DF"/>
    <w:rsid w:val="004A5514"/>
    <w:rsid w:val="004A556F"/>
    <w:rsid w:val="004A55F9"/>
    <w:rsid w:val="004A5603"/>
    <w:rsid w:val="004A5624"/>
    <w:rsid w:val="004A5682"/>
    <w:rsid w:val="004A56AA"/>
    <w:rsid w:val="004A572D"/>
    <w:rsid w:val="004A5733"/>
    <w:rsid w:val="004A575B"/>
    <w:rsid w:val="004A5767"/>
    <w:rsid w:val="004A5790"/>
    <w:rsid w:val="004A57FB"/>
    <w:rsid w:val="004A5831"/>
    <w:rsid w:val="004A5839"/>
    <w:rsid w:val="004A5842"/>
    <w:rsid w:val="004A5893"/>
    <w:rsid w:val="004A58C3"/>
    <w:rsid w:val="004A58F4"/>
    <w:rsid w:val="004A591A"/>
    <w:rsid w:val="004A5947"/>
    <w:rsid w:val="004A595D"/>
    <w:rsid w:val="004A5961"/>
    <w:rsid w:val="004A59A9"/>
    <w:rsid w:val="004A5A60"/>
    <w:rsid w:val="004A5A87"/>
    <w:rsid w:val="004A5AFB"/>
    <w:rsid w:val="004A5C10"/>
    <w:rsid w:val="004A5C1A"/>
    <w:rsid w:val="004A5C24"/>
    <w:rsid w:val="004A5C34"/>
    <w:rsid w:val="004A5C37"/>
    <w:rsid w:val="004A5C66"/>
    <w:rsid w:val="004A5C6A"/>
    <w:rsid w:val="004A5C8D"/>
    <w:rsid w:val="004A5C8E"/>
    <w:rsid w:val="004A5C9F"/>
    <w:rsid w:val="004A5DD6"/>
    <w:rsid w:val="004A5E1B"/>
    <w:rsid w:val="004A5E31"/>
    <w:rsid w:val="004A5E67"/>
    <w:rsid w:val="004A5E84"/>
    <w:rsid w:val="004A5ED0"/>
    <w:rsid w:val="004A5EE5"/>
    <w:rsid w:val="004A5F2A"/>
    <w:rsid w:val="004A5F36"/>
    <w:rsid w:val="004A5F78"/>
    <w:rsid w:val="004A5FB4"/>
    <w:rsid w:val="004A5FDE"/>
    <w:rsid w:val="004A6051"/>
    <w:rsid w:val="004A6087"/>
    <w:rsid w:val="004A60B3"/>
    <w:rsid w:val="004A60EF"/>
    <w:rsid w:val="004A60FB"/>
    <w:rsid w:val="004A6104"/>
    <w:rsid w:val="004A611B"/>
    <w:rsid w:val="004A6142"/>
    <w:rsid w:val="004A6175"/>
    <w:rsid w:val="004A61B7"/>
    <w:rsid w:val="004A61DA"/>
    <w:rsid w:val="004A6237"/>
    <w:rsid w:val="004A624C"/>
    <w:rsid w:val="004A62E0"/>
    <w:rsid w:val="004A639B"/>
    <w:rsid w:val="004A63FC"/>
    <w:rsid w:val="004A643F"/>
    <w:rsid w:val="004A6444"/>
    <w:rsid w:val="004A6487"/>
    <w:rsid w:val="004A64AC"/>
    <w:rsid w:val="004A654A"/>
    <w:rsid w:val="004A65C6"/>
    <w:rsid w:val="004A664A"/>
    <w:rsid w:val="004A6661"/>
    <w:rsid w:val="004A666F"/>
    <w:rsid w:val="004A6689"/>
    <w:rsid w:val="004A66E6"/>
    <w:rsid w:val="004A66F5"/>
    <w:rsid w:val="004A6783"/>
    <w:rsid w:val="004A6785"/>
    <w:rsid w:val="004A6824"/>
    <w:rsid w:val="004A684B"/>
    <w:rsid w:val="004A688E"/>
    <w:rsid w:val="004A68E9"/>
    <w:rsid w:val="004A69E4"/>
    <w:rsid w:val="004A69E6"/>
    <w:rsid w:val="004A6A0D"/>
    <w:rsid w:val="004A6A2C"/>
    <w:rsid w:val="004A6A37"/>
    <w:rsid w:val="004A6A73"/>
    <w:rsid w:val="004A6AAC"/>
    <w:rsid w:val="004A6AAF"/>
    <w:rsid w:val="004A6AB0"/>
    <w:rsid w:val="004A6AC8"/>
    <w:rsid w:val="004A6ACA"/>
    <w:rsid w:val="004A6ADE"/>
    <w:rsid w:val="004A6ADF"/>
    <w:rsid w:val="004A6AE7"/>
    <w:rsid w:val="004A6B23"/>
    <w:rsid w:val="004A6B3E"/>
    <w:rsid w:val="004A6B48"/>
    <w:rsid w:val="004A6B56"/>
    <w:rsid w:val="004A6BE3"/>
    <w:rsid w:val="004A6BF4"/>
    <w:rsid w:val="004A6BF5"/>
    <w:rsid w:val="004A6BF8"/>
    <w:rsid w:val="004A6C09"/>
    <w:rsid w:val="004A6C42"/>
    <w:rsid w:val="004A6C7E"/>
    <w:rsid w:val="004A6CB5"/>
    <w:rsid w:val="004A6CC1"/>
    <w:rsid w:val="004A6CD8"/>
    <w:rsid w:val="004A6CF4"/>
    <w:rsid w:val="004A6D07"/>
    <w:rsid w:val="004A6D0F"/>
    <w:rsid w:val="004A6D36"/>
    <w:rsid w:val="004A6DB0"/>
    <w:rsid w:val="004A6DC4"/>
    <w:rsid w:val="004A6E2D"/>
    <w:rsid w:val="004A6E2E"/>
    <w:rsid w:val="004A6E8D"/>
    <w:rsid w:val="004A6E9B"/>
    <w:rsid w:val="004A6EDA"/>
    <w:rsid w:val="004A6EFA"/>
    <w:rsid w:val="004A6F11"/>
    <w:rsid w:val="004A6F2C"/>
    <w:rsid w:val="004A6F3A"/>
    <w:rsid w:val="004A6F3C"/>
    <w:rsid w:val="004A6F53"/>
    <w:rsid w:val="004A6FBC"/>
    <w:rsid w:val="004A6FC8"/>
    <w:rsid w:val="004A6FD1"/>
    <w:rsid w:val="004A7017"/>
    <w:rsid w:val="004A7098"/>
    <w:rsid w:val="004A70A8"/>
    <w:rsid w:val="004A70F1"/>
    <w:rsid w:val="004A70F6"/>
    <w:rsid w:val="004A728C"/>
    <w:rsid w:val="004A72A0"/>
    <w:rsid w:val="004A72B9"/>
    <w:rsid w:val="004A730C"/>
    <w:rsid w:val="004A731B"/>
    <w:rsid w:val="004A731D"/>
    <w:rsid w:val="004A7347"/>
    <w:rsid w:val="004A736A"/>
    <w:rsid w:val="004A736B"/>
    <w:rsid w:val="004A7381"/>
    <w:rsid w:val="004A7383"/>
    <w:rsid w:val="004A7410"/>
    <w:rsid w:val="004A74C5"/>
    <w:rsid w:val="004A7594"/>
    <w:rsid w:val="004A75B8"/>
    <w:rsid w:val="004A75CA"/>
    <w:rsid w:val="004A75FA"/>
    <w:rsid w:val="004A7660"/>
    <w:rsid w:val="004A7687"/>
    <w:rsid w:val="004A76A9"/>
    <w:rsid w:val="004A76B6"/>
    <w:rsid w:val="004A76C1"/>
    <w:rsid w:val="004A76EA"/>
    <w:rsid w:val="004A7711"/>
    <w:rsid w:val="004A7720"/>
    <w:rsid w:val="004A772F"/>
    <w:rsid w:val="004A7770"/>
    <w:rsid w:val="004A7787"/>
    <w:rsid w:val="004A77E1"/>
    <w:rsid w:val="004A792F"/>
    <w:rsid w:val="004A7971"/>
    <w:rsid w:val="004A7A5D"/>
    <w:rsid w:val="004A7A83"/>
    <w:rsid w:val="004A7ACC"/>
    <w:rsid w:val="004A7B41"/>
    <w:rsid w:val="004A7B69"/>
    <w:rsid w:val="004A7B8A"/>
    <w:rsid w:val="004A7BF6"/>
    <w:rsid w:val="004A7C53"/>
    <w:rsid w:val="004A7C67"/>
    <w:rsid w:val="004A7C6F"/>
    <w:rsid w:val="004A7CC0"/>
    <w:rsid w:val="004A7CD7"/>
    <w:rsid w:val="004A7D15"/>
    <w:rsid w:val="004A7D25"/>
    <w:rsid w:val="004A7D35"/>
    <w:rsid w:val="004A7DE2"/>
    <w:rsid w:val="004A7DF5"/>
    <w:rsid w:val="004A7DF6"/>
    <w:rsid w:val="004A7DF8"/>
    <w:rsid w:val="004A7E15"/>
    <w:rsid w:val="004A7E48"/>
    <w:rsid w:val="004A7ECC"/>
    <w:rsid w:val="004A7EE9"/>
    <w:rsid w:val="004A7F1F"/>
    <w:rsid w:val="004A7F45"/>
    <w:rsid w:val="004A7F4E"/>
    <w:rsid w:val="004A7F88"/>
    <w:rsid w:val="004A7F8F"/>
    <w:rsid w:val="004A7FB8"/>
    <w:rsid w:val="004A7FC2"/>
    <w:rsid w:val="004A8EDC"/>
    <w:rsid w:val="004A99DD"/>
    <w:rsid w:val="004B0000"/>
    <w:rsid w:val="004B0030"/>
    <w:rsid w:val="004B008C"/>
    <w:rsid w:val="004B009F"/>
    <w:rsid w:val="004B00E8"/>
    <w:rsid w:val="004B014F"/>
    <w:rsid w:val="004B01CA"/>
    <w:rsid w:val="004B0218"/>
    <w:rsid w:val="004B0221"/>
    <w:rsid w:val="004B022D"/>
    <w:rsid w:val="004B0248"/>
    <w:rsid w:val="004B024A"/>
    <w:rsid w:val="004B026F"/>
    <w:rsid w:val="004B028B"/>
    <w:rsid w:val="004B02F0"/>
    <w:rsid w:val="004B0307"/>
    <w:rsid w:val="004B0332"/>
    <w:rsid w:val="004B03D4"/>
    <w:rsid w:val="004B03E0"/>
    <w:rsid w:val="004B0405"/>
    <w:rsid w:val="004B040F"/>
    <w:rsid w:val="004B044A"/>
    <w:rsid w:val="004B044D"/>
    <w:rsid w:val="004B0461"/>
    <w:rsid w:val="004B04C5"/>
    <w:rsid w:val="004B0500"/>
    <w:rsid w:val="004B0511"/>
    <w:rsid w:val="004B053B"/>
    <w:rsid w:val="004B055A"/>
    <w:rsid w:val="004B058C"/>
    <w:rsid w:val="004B061B"/>
    <w:rsid w:val="004B061D"/>
    <w:rsid w:val="004B061F"/>
    <w:rsid w:val="004B0640"/>
    <w:rsid w:val="004B065A"/>
    <w:rsid w:val="004B0669"/>
    <w:rsid w:val="004B06B4"/>
    <w:rsid w:val="004B06D5"/>
    <w:rsid w:val="004B06EF"/>
    <w:rsid w:val="004B06FF"/>
    <w:rsid w:val="004B0761"/>
    <w:rsid w:val="004B0792"/>
    <w:rsid w:val="004B0815"/>
    <w:rsid w:val="004B0858"/>
    <w:rsid w:val="004B08E3"/>
    <w:rsid w:val="004B090B"/>
    <w:rsid w:val="004B0930"/>
    <w:rsid w:val="004B098F"/>
    <w:rsid w:val="004B09A1"/>
    <w:rsid w:val="004B09DC"/>
    <w:rsid w:val="004B0A26"/>
    <w:rsid w:val="004B0A36"/>
    <w:rsid w:val="004B0A76"/>
    <w:rsid w:val="004B0ABB"/>
    <w:rsid w:val="004B0AEC"/>
    <w:rsid w:val="004B0B0E"/>
    <w:rsid w:val="004B0B29"/>
    <w:rsid w:val="004B0B7C"/>
    <w:rsid w:val="004B0B91"/>
    <w:rsid w:val="004B0B95"/>
    <w:rsid w:val="004B0BC5"/>
    <w:rsid w:val="004B0BDB"/>
    <w:rsid w:val="004B0BF8"/>
    <w:rsid w:val="004B0C5C"/>
    <w:rsid w:val="004B0C6D"/>
    <w:rsid w:val="004B0CA9"/>
    <w:rsid w:val="004B0D21"/>
    <w:rsid w:val="004B0D61"/>
    <w:rsid w:val="004B0D94"/>
    <w:rsid w:val="004B0DBA"/>
    <w:rsid w:val="004B0DC1"/>
    <w:rsid w:val="004B0E97"/>
    <w:rsid w:val="004B0FBC"/>
    <w:rsid w:val="004B1041"/>
    <w:rsid w:val="004B1089"/>
    <w:rsid w:val="004B108E"/>
    <w:rsid w:val="004B10EA"/>
    <w:rsid w:val="004B112E"/>
    <w:rsid w:val="004B11D9"/>
    <w:rsid w:val="004B1212"/>
    <w:rsid w:val="004B1233"/>
    <w:rsid w:val="004B123B"/>
    <w:rsid w:val="004B123C"/>
    <w:rsid w:val="004B126F"/>
    <w:rsid w:val="004B1284"/>
    <w:rsid w:val="004B1292"/>
    <w:rsid w:val="004B12B0"/>
    <w:rsid w:val="004B12B9"/>
    <w:rsid w:val="004B12CB"/>
    <w:rsid w:val="004B12DE"/>
    <w:rsid w:val="004B12F6"/>
    <w:rsid w:val="004B1334"/>
    <w:rsid w:val="004B133C"/>
    <w:rsid w:val="004B1358"/>
    <w:rsid w:val="004B1362"/>
    <w:rsid w:val="004B1424"/>
    <w:rsid w:val="004B1434"/>
    <w:rsid w:val="004B144C"/>
    <w:rsid w:val="004B1454"/>
    <w:rsid w:val="004B1467"/>
    <w:rsid w:val="004B1481"/>
    <w:rsid w:val="004B14BA"/>
    <w:rsid w:val="004B151B"/>
    <w:rsid w:val="004B1565"/>
    <w:rsid w:val="004B1579"/>
    <w:rsid w:val="004B157E"/>
    <w:rsid w:val="004B15BA"/>
    <w:rsid w:val="004B15EC"/>
    <w:rsid w:val="004B15F6"/>
    <w:rsid w:val="004B1674"/>
    <w:rsid w:val="004B16BC"/>
    <w:rsid w:val="004B16D0"/>
    <w:rsid w:val="004B1727"/>
    <w:rsid w:val="004B1730"/>
    <w:rsid w:val="004B1734"/>
    <w:rsid w:val="004B17D0"/>
    <w:rsid w:val="004B1850"/>
    <w:rsid w:val="004B18AB"/>
    <w:rsid w:val="004B18C9"/>
    <w:rsid w:val="004B1918"/>
    <w:rsid w:val="004B1948"/>
    <w:rsid w:val="004B19A4"/>
    <w:rsid w:val="004B1A17"/>
    <w:rsid w:val="004B1A49"/>
    <w:rsid w:val="004B1A65"/>
    <w:rsid w:val="004B1A70"/>
    <w:rsid w:val="004B1AD8"/>
    <w:rsid w:val="004B1B5F"/>
    <w:rsid w:val="004B1B71"/>
    <w:rsid w:val="004B1B88"/>
    <w:rsid w:val="004B1B9A"/>
    <w:rsid w:val="004B1BC8"/>
    <w:rsid w:val="004B1C3E"/>
    <w:rsid w:val="004B1C5E"/>
    <w:rsid w:val="004B1CEA"/>
    <w:rsid w:val="004B1D1B"/>
    <w:rsid w:val="004B1D9F"/>
    <w:rsid w:val="004B1DC4"/>
    <w:rsid w:val="004B1DD0"/>
    <w:rsid w:val="004B1DEB"/>
    <w:rsid w:val="004B1E08"/>
    <w:rsid w:val="004B1E0B"/>
    <w:rsid w:val="004B1E2C"/>
    <w:rsid w:val="004B1E71"/>
    <w:rsid w:val="004B1E76"/>
    <w:rsid w:val="004B1E8C"/>
    <w:rsid w:val="004B1ECB"/>
    <w:rsid w:val="004B1EDD"/>
    <w:rsid w:val="004B1F11"/>
    <w:rsid w:val="004B1F12"/>
    <w:rsid w:val="004B1F90"/>
    <w:rsid w:val="004B1FDA"/>
    <w:rsid w:val="004B1FE8"/>
    <w:rsid w:val="004B2000"/>
    <w:rsid w:val="004B2029"/>
    <w:rsid w:val="004B205C"/>
    <w:rsid w:val="004B20F4"/>
    <w:rsid w:val="004B20FB"/>
    <w:rsid w:val="004B2136"/>
    <w:rsid w:val="004B215A"/>
    <w:rsid w:val="004B2190"/>
    <w:rsid w:val="004B221F"/>
    <w:rsid w:val="004B2240"/>
    <w:rsid w:val="004B226B"/>
    <w:rsid w:val="004B2282"/>
    <w:rsid w:val="004B22B7"/>
    <w:rsid w:val="004B230A"/>
    <w:rsid w:val="004B23A2"/>
    <w:rsid w:val="004B23D0"/>
    <w:rsid w:val="004B23FF"/>
    <w:rsid w:val="004B241E"/>
    <w:rsid w:val="004B2450"/>
    <w:rsid w:val="004B249B"/>
    <w:rsid w:val="004B249E"/>
    <w:rsid w:val="004B250C"/>
    <w:rsid w:val="004B253F"/>
    <w:rsid w:val="004B2549"/>
    <w:rsid w:val="004B257B"/>
    <w:rsid w:val="004B25B9"/>
    <w:rsid w:val="004B2612"/>
    <w:rsid w:val="004B2644"/>
    <w:rsid w:val="004B2720"/>
    <w:rsid w:val="004B2758"/>
    <w:rsid w:val="004B2771"/>
    <w:rsid w:val="004B27B4"/>
    <w:rsid w:val="004B27FE"/>
    <w:rsid w:val="004B280D"/>
    <w:rsid w:val="004B284C"/>
    <w:rsid w:val="004B2855"/>
    <w:rsid w:val="004B28FB"/>
    <w:rsid w:val="004B2904"/>
    <w:rsid w:val="004B2955"/>
    <w:rsid w:val="004B29A4"/>
    <w:rsid w:val="004B2A2C"/>
    <w:rsid w:val="004B2A66"/>
    <w:rsid w:val="004B2A69"/>
    <w:rsid w:val="004B2A71"/>
    <w:rsid w:val="004B2A88"/>
    <w:rsid w:val="004B2A99"/>
    <w:rsid w:val="004B2AE5"/>
    <w:rsid w:val="004B2B24"/>
    <w:rsid w:val="004B2B65"/>
    <w:rsid w:val="004B2BAD"/>
    <w:rsid w:val="004B2BD7"/>
    <w:rsid w:val="004B2CBB"/>
    <w:rsid w:val="004B2CBD"/>
    <w:rsid w:val="004B2D77"/>
    <w:rsid w:val="004B2D7B"/>
    <w:rsid w:val="004B2DC1"/>
    <w:rsid w:val="004B2DF5"/>
    <w:rsid w:val="004B2DF9"/>
    <w:rsid w:val="004B2E13"/>
    <w:rsid w:val="004B2E30"/>
    <w:rsid w:val="004B2E3A"/>
    <w:rsid w:val="004B2E9E"/>
    <w:rsid w:val="004B2EB3"/>
    <w:rsid w:val="004B2EC6"/>
    <w:rsid w:val="004B2F03"/>
    <w:rsid w:val="004B2FBF"/>
    <w:rsid w:val="004B3015"/>
    <w:rsid w:val="004B3038"/>
    <w:rsid w:val="004B3047"/>
    <w:rsid w:val="004B3088"/>
    <w:rsid w:val="004B30B9"/>
    <w:rsid w:val="004B313F"/>
    <w:rsid w:val="004B31D0"/>
    <w:rsid w:val="004B3249"/>
    <w:rsid w:val="004B3259"/>
    <w:rsid w:val="004B327F"/>
    <w:rsid w:val="004B3283"/>
    <w:rsid w:val="004B32A4"/>
    <w:rsid w:val="004B32BE"/>
    <w:rsid w:val="004B32D3"/>
    <w:rsid w:val="004B3308"/>
    <w:rsid w:val="004B3331"/>
    <w:rsid w:val="004B3355"/>
    <w:rsid w:val="004B34A8"/>
    <w:rsid w:val="004B34E4"/>
    <w:rsid w:val="004B350D"/>
    <w:rsid w:val="004B35A1"/>
    <w:rsid w:val="004B35DD"/>
    <w:rsid w:val="004B3662"/>
    <w:rsid w:val="004B366D"/>
    <w:rsid w:val="004B36AC"/>
    <w:rsid w:val="004B36B1"/>
    <w:rsid w:val="004B36E2"/>
    <w:rsid w:val="004B370A"/>
    <w:rsid w:val="004B370C"/>
    <w:rsid w:val="004B3747"/>
    <w:rsid w:val="004B37BA"/>
    <w:rsid w:val="004B37C9"/>
    <w:rsid w:val="004B37CC"/>
    <w:rsid w:val="004B3819"/>
    <w:rsid w:val="004B3846"/>
    <w:rsid w:val="004B38F3"/>
    <w:rsid w:val="004B391C"/>
    <w:rsid w:val="004B3943"/>
    <w:rsid w:val="004B3983"/>
    <w:rsid w:val="004B3990"/>
    <w:rsid w:val="004B3A20"/>
    <w:rsid w:val="004B3A7F"/>
    <w:rsid w:val="004B3BB7"/>
    <w:rsid w:val="004B3BBC"/>
    <w:rsid w:val="004B3BCA"/>
    <w:rsid w:val="004B3C25"/>
    <w:rsid w:val="004B3C33"/>
    <w:rsid w:val="004B3C71"/>
    <w:rsid w:val="004B3CCC"/>
    <w:rsid w:val="004B3CE7"/>
    <w:rsid w:val="004B3D49"/>
    <w:rsid w:val="004B3D57"/>
    <w:rsid w:val="004B3DBC"/>
    <w:rsid w:val="004B3DBE"/>
    <w:rsid w:val="004B3DD7"/>
    <w:rsid w:val="004B3EDF"/>
    <w:rsid w:val="004B3FA0"/>
    <w:rsid w:val="004B3FB9"/>
    <w:rsid w:val="004B3FD3"/>
    <w:rsid w:val="004B4026"/>
    <w:rsid w:val="004B40C0"/>
    <w:rsid w:val="004B4143"/>
    <w:rsid w:val="004B4166"/>
    <w:rsid w:val="004B4197"/>
    <w:rsid w:val="004B41E6"/>
    <w:rsid w:val="004B422D"/>
    <w:rsid w:val="004B423E"/>
    <w:rsid w:val="004B4277"/>
    <w:rsid w:val="004B4279"/>
    <w:rsid w:val="004B42C3"/>
    <w:rsid w:val="004B42D0"/>
    <w:rsid w:val="004B42D6"/>
    <w:rsid w:val="004B42ED"/>
    <w:rsid w:val="004B4311"/>
    <w:rsid w:val="004B4314"/>
    <w:rsid w:val="004B438D"/>
    <w:rsid w:val="004B4394"/>
    <w:rsid w:val="004B43DA"/>
    <w:rsid w:val="004B43F1"/>
    <w:rsid w:val="004B4472"/>
    <w:rsid w:val="004B448C"/>
    <w:rsid w:val="004B448F"/>
    <w:rsid w:val="004B4515"/>
    <w:rsid w:val="004B4544"/>
    <w:rsid w:val="004B458A"/>
    <w:rsid w:val="004B45C4"/>
    <w:rsid w:val="004B45DC"/>
    <w:rsid w:val="004B4614"/>
    <w:rsid w:val="004B4636"/>
    <w:rsid w:val="004B4641"/>
    <w:rsid w:val="004B465A"/>
    <w:rsid w:val="004B465F"/>
    <w:rsid w:val="004B46BA"/>
    <w:rsid w:val="004B46D9"/>
    <w:rsid w:val="004B475F"/>
    <w:rsid w:val="004B476E"/>
    <w:rsid w:val="004B4786"/>
    <w:rsid w:val="004B47AC"/>
    <w:rsid w:val="004B4822"/>
    <w:rsid w:val="004B4828"/>
    <w:rsid w:val="004B485B"/>
    <w:rsid w:val="004B4905"/>
    <w:rsid w:val="004B4933"/>
    <w:rsid w:val="004B4963"/>
    <w:rsid w:val="004B4971"/>
    <w:rsid w:val="004B498D"/>
    <w:rsid w:val="004B49EC"/>
    <w:rsid w:val="004B49F0"/>
    <w:rsid w:val="004B49F1"/>
    <w:rsid w:val="004B4A11"/>
    <w:rsid w:val="004B4A75"/>
    <w:rsid w:val="004B4A9A"/>
    <w:rsid w:val="004B4AA4"/>
    <w:rsid w:val="004B4AF0"/>
    <w:rsid w:val="004B4B1C"/>
    <w:rsid w:val="004B4B22"/>
    <w:rsid w:val="004B4B5F"/>
    <w:rsid w:val="004B4BEB"/>
    <w:rsid w:val="004B4C22"/>
    <w:rsid w:val="004B4C7C"/>
    <w:rsid w:val="004B4C82"/>
    <w:rsid w:val="004B4D35"/>
    <w:rsid w:val="004B4D6C"/>
    <w:rsid w:val="004B4DAE"/>
    <w:rsid w:val="004B4E03"/>
    <w:rsid w:val="004B4E26"/>
    <w:rsid w:val="004B4E58"/>
    <w:rsid w:val="004B4EB6"/>
    <w:rsid w:val="004B4EDA"/>
    <w:rsid w:val="004B4F23"/>
    <w:rsid w:val="004B4F4C"/>
    <w:rsid w:val="004B4F54"/>
    <w:rsid w:val="004B4FD7"/>
    <w:rsid w:val="004B4FF7"/>
    <w:rsid w:val="004B500E"/>
    <w:rsid w:val="004B5021"/>
    <w:rsid w:val="004B5068"/>
    <w:rsid w:val="004B50B4"/>
    <w:rsid w:val="004B5101"/>
    <w:rsid w:val="004B512B"/>
    <w:rsid w:val="004B51BB"/>
    <w:rsid w:val="004B51CC"/>
    <w:rsid w:val="004B520B"/>
    <w:rsid w:val="004B5214"/>
    <w:rsid w:val="004B5242"/>
    <w:rsid w:val="004B525C"/>
    <w:rsid w:val="004B52A6"/>
    <w:rsid w:val="004B52C8"/>
    <w:rsid w:val="004B5370"/>
    <w:rsid w:val="004B53AF"/>
    <w:rsid w:val="004B53EC"/>
    <w:rsid w:val="004B53F4"/>
    <w:rsid w:val="004B53FA"/>
    <w:rsid w:val="004B5450"/>
    <w:rsid w:val="004B549D"/>
    <w:rsid w:val="004B54EA"/>
    <w:rsid w:val="004B55A6"/>
    <w:rsid w:val="004B55ED"/>
    <w:rsid w:val="004B560C"/>
    <w:rsid w:val="004B561E"/>
    <w:rsid w:val="004B5631"/>
    <w:rsid w:val="004B5635"/>
    <w:rsid w:val="004B564F"/>
    <w:rsid w:val="004B5667"/>
    <w:rsid w:val="004B5762"/>
    <w:rsid w:val="004B57A7"/>
    <w:rsid w:val="004B580F"/>
    <w:rsid w:val="004B583C"/>
    <w:rsid w:val="004B5865"/>
    <w:rsid w:val="004B5892"/>
    <w:rsid w:val="004B5898"/>
    <w:rsid w:val="004B591F"/>
    <w:rsid w:val="004B5920"/>
    <w:rsid w:val="004B594A"/>
    <w:rsid w:val="004B597A"/>
    <w:rsid w:val="004B59BC"/>
    <w:rsid w:val="004B59C5"/>
    <w:rsid w:val="004B59CB"/>
    <w:rsid w:val="004B59E6"/>
    <w:rsid w:val="004B59FE"/>
    <w:rsid w:val="004B5A5B"/>
    <w:rsid w:val="004B5A7F"/>
    <w:rsid w:val="004B5A9C"/>
    <w:rsid w:val="004B5AC6"/>
    <w:rsid w:val="004B5AC9"/>
    <w:rsid w:val="004B5AF6"/>
    <w:rsid w:val="004B5B3A"/>
    <w:rsid w:val="004B5B4B"/>
    <w:rsid w:val="004B5B85"/>
    <w:rsid w:val="004B5B96"/>
    <w:rsid w:val="004B5B9A"/>
    <w:rsid w:val="004B5BEC"/>
    <w:rsid w:val="004B5C9A"/>
    <w:rsid w:val="004B5CA5"/>
    <w:rsid w:val="004B5CA8"/>
    <w:rsid w:val="004B5D1A"/>
    <w:rsid w:val="004B5D56"/>
    <w:rsid w:val="004B5D60"/>
    <w:rsid w:val="004B5D6E"/>
    <w:rsid w:val="004B5DF6"/>
    <w:rsid w:val="004B5EEB"/>
    <w:rsid w:val="004B5F18"/>
    <w:rsid w:val="004B5F1E"/>
    <w:rsid w:val="004B5F54"/>
    <w:rsid w:val="004B5F82"/>
    <w:rsid w:val="004B5F95"/>
    <w:rsid w:val="004B5FD9"/>
    <w:rsid w:val="004B603B"/>
    <w:rsid w:val="004B60FF"/>
    <w:rsid w:val="004B6144"/>
    <w:rsid w:val="004B6190"/>
    <w:rsid w:val="004B61BA"/>
    <w:rsid w:val="004B61BC"/>
    <w:rsid w:val="004B6204"/>
    <w:rsid w:val="004B6210"/>
    <w:rsid w:val="004B625D"/>
    <w:rsid w:val="004B6268"/>
    <w:rsid w:val="004B62A2"/>
    <w:rsid w:val="004B62C3"/>
    <w:rsid w:val="004B632F"/>
    <w:rsid w:val="004B635B"/>
    <w:rsid w:val="004B6368"/>
    <w:rsid w:val="004B63D3"/>
    <w:rsid w:val="004B63FE"/>
    <w:rsid w:val="004B641E"/>
    <w:rsid w:val="004B6424"/>
    <w:rsid w:val="004B6426"/>
    <w:rsid w:val="004B642B"/>
    <w:rsid w:val="004B644D"/>
    <w:rsid w:val="004B645B"/>
    <w:rsid w:val="004B64E4"/>
    <w:rsid w:val="004B64F6"/>
    <w:rsid w:val="004B6515"/>
    <w:rsid w:val="004B6580"/>
    <w:rsid w:val="004B65FD"/>
    <w:rsid w:val="004B6666"/>
    <w:rsid w:val="004B666C"/>
    <w:rsid w:val="004B66C9"/>
    <w:rsid w:val="004B66F4"/>
    <w:rsid w:val="004B6771"/>
    <w:rsid w:val="004B68CB"/>
    <w:rsid w:val="004B68E0"/>
    <w:rsid w:val="004B68E3"/>
    <w:rsid w:val="004B68E9"/>
    <w:rsid w:val="004B691A"/>
    <w:rsid w:val="004B6925"/>
    <w:rsid w:val="004B6945"/>
    <w:rsid w:val="004B6952"/>
    <w:rsid w:val="004B6985"/>
    <w:rsid w:val="004B69B9"/>
    <w:rsid w:val="004B69F1"/>
    <w:rsid w:val="004B6A05"/>
    <w:rsid w:val="004B6A1A"/>
    <w:rsid w:val="004B6B33"/>
    <w:rsid w:val="004B6B36"/>
    <w:rsid w:val="004B6B55"/>
    <w:rsid w:val="004B6B8D"/>
    <w:rsid w:val="004B6BC0"/>
    <w:rsid w:val="004B6C0E"/>
    <w:rsid w:val="004B6D1C"/>
    <w:rsid w:val="004B6D49"/>
    <w:rsid w:val="004B6D88"/>
    <w:rsid w:val="004B6E02"/>
    <w:rsid w:val="004B6E59"/>
    <w:rsid w:val="004B6E5E"/>
    <w:rsid w:val="004B6E60"/>
    <w:rsid w:val="004B6E81"/>
    <w:rsid w:val="004B6E9E"/>
    <w:rsid w:val="004B6ED8"/>
    <w:rsid w:val="004B6F03"/>
    <w:rsid w:val="004B6F37"/>
    <w:rsid w:val="004B6F60"/>
    <w:rsid w:val="004B701E"/>
    <w:rsid w:val="004B70D4"/>
    <w:rsid w:val="004B70E4"/>
    <w:rsid w:val="004B7102"/>
    <w:rsid w:val="004B7113"/>
    <w:rsid w:val="004B7231"/>
    <w:rsid w:val="004B72CD"/>
    <w:rsid w:val="004B72D2"/>
    <w:rsid w:val="004B72DA"/>
    <w:rsid w:val="004B73D8"/>
    <w:rsid w:val="004B73EC"/>
    <w:rsid w:val="004B74AE"/>
    <w:rsid w:val="004B7502"/>
    <w:rsid w:val="004B752B"/>
    <w:rsid w:val="004B754F"/>
    <w:rsid w:val="004B7560"/>
    <w:rsid w:val="004B75B1"/>
    <w:rsid w:val="004B762B"/>
    <w:rsid w:val="004B7650"/>
    <w:rsid w:val="004B765A"/>
    <w:rsid w:val="004B76C9"/>
    <w:rsid w:val="004B76D2"/>
    <w:rsid w:val="004B76E2"/>
    <w:rsid w:val="004B771E"/>
    <w:rsid w:val="004B773B"/>
    <w:rsid w:val="004B7758"/>
    <w:rsid w:val="004B77AA"/>
    <w:rsid w:val="004B77C2"/>
    <w:rsid w:val="004B77EE"/>
    <w:rsid w:val="004B7803"/>
    <w:rsid w:val="004B790E"/>
    <w:rsid w:val="004B7949"/>
    <w:rsid w:val="004B798B"/>
    <w:rsid w:val="004B79FA"/>
    <w:rsid w:val="004B79FF"/>
    <w:rsid w:val="004B7AAB"/>
    <w:rsid w:val="004B7B50"/>
    <w:rsid w:val="004B7B62"/>
    <w:rsid w:val="004B7B65"/>
    <w:rsid w:val="004B7BA1"/>
    <w:rsid w:val="004B7C7B"/>
    <w:rsid w:val="004B7D15"/>
    <w:rsid w:val="004B7D49"/>
    <w:rsid w:val="004B7D64"/>
    <w:rsid w:val="004B7D83"/>
    <w:rsid w:val="004B7DBD"/>
    <w:rsid w:val="004B7E01"/>
    <w:rsid w:val="004B7E15"/>
    <w:rsid w:val="004B7E22"/>
    <w:rsid w:val="004B7E46"/>
    <w:rsid w:val="004B7E78"/>
    <w:rsid w:val="004B7E7A"/>
    <w:rsid w:val="004B7EAD"/>
    <w:rsid w:val="004B7EBB"/>
    <w:rsid w:val="004B7EBC"/>
    <w:rsid w:val="004B7EC2"/>
    <w:rsid w:val="004B7ECA"/>
    <w:rsid w:val="004B7EF3"/>
    <w:rsid w:val="004B7FB0"/>
    <w:rsid w:val="004B838B"/>
    <w:rsid w:val="004C0062"/>
    <w:rsid w:val="004C0070"/>
    <w:rsid w:val="004C00A5"/>
    <w:rsid w:val="004C00D0"/>
    <w:rsid w:val="004C0108"/>
    <w:rsid w:val="004C0133"/>
    <w:rsid w:val="004C016C"/>
    <w:rsid w:val="004C0213"/>
    <w:rsid w:val="004C0249"/>
    <w:rsid w:val="004C0274"/>
    <w:rsid w:val="004C028D"/>
    <w:rsid w:val="004C0298"/>
    <w:rsid w:val="004C02BF"/>
    <w:rsid w:val="004C02CB"/>
    <w:rsid w:val="004C02DE"/>
    <w:rsid w:val="004C0394"/>
    <w:rsid w:val="004C03FB"/>
    <w:rsid w:val="004C041F"/>
    <w:rsid w:val="004C042F"/>
    <w:rsid w:val="004C0440"/>
    <w:rsid w:val="004C044F"/>
    <w:rsid w:val="004C0492"/>
    <w:rsid w:val="004C0497"/>
    <w:rsid w:val="004C04A1"/>
    <w:rsid w:val="004C04A6"/>
    <w:rsid w:val="004C04B2"/>
    <w:rsid w:val="004C04F6"/>
    <w:rsid w:val="004C0502"/>
    <w:rsid w:val="004C05A0"/>
    <w:rsid w:val="004C064F"/>
    <w:rsid w:val="004C068F"/>
    <w:rsid w:val="004C0699"/>
    <w:rsid w:val="004C06C6"/>
    <w:rsid w:val="004C06F0"/>
    <w:rsid w:val="004C0726"/>
    <w:rsid w:val="004C0768"/>
    <w:rsid w:val="004C0770"/>
    <w:rsid w:val="004C0795"/>
    <w:rsid w:val="004C07B3"/>
    <w:rsid w:val="004C07D8"/>
    <w:rsid w:val="004C0835"/>
    <w:rsid w:val="004C0878"/>
    <w:rsid w:val="004C0887"/>
    <w:rsid w:val="004C08EC"/>
    <w:rsid w:val="004C0920"/>
    <w:rsid w:val="004C092B"/>
    <w:rsid w:val="004C0948"/>
    <w:rsid w:val="004C0954"/>
    <w:rsid w:val="004C0959"/>
    <w:rsid w:val="004C098E"/>
    <w:rsid w:val="004C0A20"/>
    <w:rsid w:val="004C0A28"/>
    <w:rsid w:val="004C0A66"/>
    <w:rsid w:val="004C0AA7"/>
    <w:rsid w:val="004C0AB6"/>
    <w:rsid w:val="004C0ABD"/>
    <w:rsid w:val="004C0BE4"/>
    <w:rsid w:val="004C0BF5"/>
    <w:rsid w:val="004C0BF9"/>
    <w:rsid w:val="004C0C12"/>
    <w:rsid w:val="004C0CC7"/>
    <w:rsid w:val="004C0CCA"/>
    <w:rsid w:val="004C0CE8"/>
    <w:rsid w:val="004C0CEB"/>
    <w:rsid w:val="004C0D11"/>
    <w:rsid w:val="004C0D15"/>
    <w:rsid w:val="004C0D33"/>
    <w:rsid w:val="004C0D8A"/>
    <w:rsid w:val="004C0D8D"/>
    <w:rsid w:val="004C0DD2"/>
    <w:rsid w:val="004C0DDA"/>
    <w:rsid w:val="004C0E2E"/>
    <w:rsid w:val="004C0E66"/>
    <w:rsid w:val="004C0E6D"/>
    <w:rsid w:val="004C0F08"/>
    <w:rsid w:val="004C0F3D"/>
    <w:rsid w:val="004C0F6E"/>
    <w:rsid w:val="004C0FB7"/>
    <w:rsid w:val="004C0FBE"/>
    <w:rsid w:val="004C1000"/>
    <w:rsid w:val="004C105D"/>
    <w:rsid w:val="004C10A2"/>
    <w:rsid w:val="004C10F4"/>
    <w:rsid w:val="004C1119"/>
    <w:rsid w:val="004C1132"/>
    <w:rsid w:val="004C1185"/>
    <w:rsid w:val="004C118E"/>
    <w:rsid w:val="004C11A0"/>
    <w:rsid w:val="004C11B0"/>
    <w:rsid w:val="004C11B8"/>
    <w:rsid w:val="004C12F4"/>
    <w:rsid w:val="004C131B"/>
    <w:rsid w:val="004C1337"/>
    <w:rsid w:val="004C1391"/>
    <w:rsid w:val="004C1423"/>
    <w:rsid w:val="004C143C"/>
    <w:rsid w:val="004C14B4"/>
    <w:rsid w:val="004C1523"/>
    <w:rsid w:val="004C1554"/>
    <w:rsid w:val="004C1580"/>
    <w:rsid w:val="004C1593"/>
    <w:rsid w:val="004C15BD"/>
    <w:rsid w:val="004C1643"/>
    <w:rsid w:val="004C169B"/>
    <w:rsid w:val="004C16CE"/>
    <w:rsid w:val="004C179C"/>
    <w:rsid w:val="004C17E3"/>
    <w:rsid w:val="004C17EF"/>
    <w:rsid w:val="004C1881"/>
    <w:rsid w:val="004C18E9"/>
    <w:rsid w:val="004C198D"/>
    <w:rsid w:val="004C19BA"/>
    <w:rsid w:val="004C19CC"/>
    <w:rsid w:val="004C1A4F"/>
    <w:rsid w:val="004C1A70"/>
    <w:rsid w:val="004C1A71"/>
    <w:rsid w:val="004C1B45"/>
    <w:rsid w:val="004C1B62"/>
    <w:rsid w:val="004C1B68"/>
    <w:rsid w:val="004C1B83"/>
    <w:rsid w:val="004C1BCA"/>
    <w:rsid w:val="004C1C43"/>
    <w:rsid w:val="004C1C4C"/>
    <w:rsid w:val="004C1C5E"/>
    <w:rsid w:val="004C1CC8"/>
    <w:rsid w:val="004C1CD5"/>
    <w:rsid w:val="004C1D0F"/>
    <w:rsid w:val="004C1D16"/>
    <w:rsid w:val="004C1D26"/>
    <w:rsid w:val="004C1D32"/>
    <w:rsid w:val="004C1D35"/>
    <w:rsid w:val="004C1D37"/>
    <w:rsid w:val="004C1D59"/>
    <w:rsid w:val="004C1D85"/>
    <w:rsid w:val="004C1DBA"/>
    <w:rsid w:val="004C1DCC"/>
    <w:rsid w:val="004C1DD3"/>
    <w:rsid w:val="004C1DF7"/>
    <w:rsid w:val="004C1E4A"/>
    <w:rsid w:val="004C1E95"/>
    <w:rsid w:val="004C1E9F"/>
    <w:rsid w:val="004C1EC5"/>
    <w:rsid w:val="004C1F0E"/>
    <w:rsid w:val="004C1FC9"/>
    <w:rsid w:val="004C2013"/>
    <w:rsid w:val="004C202C"/>
    <w:rsid w:val="004C2053"/>
    <w:rsid w:val="004C2055"/>
    <w:rsid w:val="004C2060"/>
    <w:rsid w:val="004C209D"/>
    <w:rsid w:val="004C20B1"/>
    <w:rsid w:val="004C20C0"/>
    <w:rsid w:val="004C20E5"/>
    <w:rsid w:val="004C20FF"/>
    <w:rsid w:val="004C213B"/>
    <w:rsid w:val="004C2156"/>
    <w:rsid w:val="004C215D"/>
    <w:rsid w:val="004C215F"/>
    <w:rsid w:val="004C2178"/>
    <w:rsid w:val="004C2197"/>
    <w:rsid w:val="004C2231"/>
    <w:rsid w:val="004C22FE"/>
    <w:rsid w:val="004C231E"/>
    <w:rsid w:val="004C2336"/>
    <w:rsid w:val="004C2395"/>
    <w:rsid w:val="004C23CF"/>
    <w:rsid w:val="004C23D1"/>
    <w:rsid w:val="004C23F7"/>
    <w:rsid w:val="004C2439"/>
    <w:rsid w:val="004C243F"/>
    <w:rsid w:val="004C2459"/>
    <w:rsid w:val="004C247D"/>
    <w:rsid w:val="004C250E"/>
    <w:rsid w:val="004C2558"/>
    <w:rsid w:val="004C2586"/>
    <w:rsid w:val="004C2618"/>
    <w:rsid w:val="004C264C"/>
    <w:rsid w:val="004C2669"/>
    <w:rsid w:val="004C26AD"/>
    <w:rsid w:val="004C27D0"/>
    <w:rsid w:val="004C27E3"/>
    <w:rsid w:val="004C2876"/>
    <w:rsid w:val="004C2879"/>
    <w:rsid w:val="004C289A"/>
    <w:rsid w:val="004C28AC"/>
    <w:rsid w:val="004C28E6"/>
    <w:rsid w:val="004C28F5"/>
    <w:rsid w:val="004C28FF"/>
    <w:rsid w:val="004C2915"/>
    <w:rsid w:val="004C293B"/>
    <w:rsid w:val="004C2965"/>
    <w:rsid w:val="004C297E"/>
    <w:rsid w:val="004C2A03"/>
    <w:rsid w:val="004C2A5B"/>
    <w:rsid w:val="004C2A5E"/>
    <w:rsid w:val="004C2A69"/>
    <w:rsid w:val="004C2A6A"/>
    <w:rsid w:val="004C2AD0"/>
    <w:rsid w:val="004C2B20"/>
    <w:rsid w:val="004C2B89"/>
    <w:rsid w:val="004C2B8C"/>
    <w:rsid w:val="004C2BC0"/>
    <w:rsid w:val="004C2BD0"/>
    <w:rsid w:val="004C2C15"/>
    <w:rsid w:val="004C2C56"/>
    <w:rsid w:val="004C2C60"/>
    <w:rsid w:val="004C2CF2"/>
    <w:rsid w:val="004C2CF6"/>
    <w:rsid w:val="004C2D1D"/>
    <w:rsid w:val="004C2D27"/>
    <w:rsid w:val="004C2D28"/>
    <w:rsid w:val="004C2DA3"/>
    <w:rsid w:val="004C2E2B"/>
    <w:rsid w:val="004C2E62"/>
    <w:rsid w:val="004C2F3D"/>
    <w:rsid w:val="004C2FC0"/>
    <w:rsid w:val="004C2FEC"/>
    <w:rsid w:val="004C3014"/>
    <w:rsid w:val="004C3055"/>
    <w:rsid w:val="004C307C"/>
    <w:rsid w:val="004C3083"/>
    <w:rsid w:val="004C308B"/>
    <w:rsid w:val="004C30ED"/>
    <w:rsid w:val="004C3108"/>
    <w:rsid w:val="004C311D"/>
    <w:rsid w:val="004C312A"/>
    <w:rsid w:val="004C3193"/>
    <w:rsid w:val="004C32B3"/>
    <w:rsid w:val="004C332A"/>
    <w:rsid w:val="004C334C"/>
    <w:rsid w:val="004C334E"/>
    <w:rsid w:val="004C3395"/>
    <w:rsid w:val="004C33BD"/>
    <w:rsid w:val="004C33D4"/>
    <w:rsid w:val="004C341E"/>
    <w:rsid w:val="004C344C"/>
    <w:rsid w:val="004C3485"/>
    <w:rsid w:val="004C3501"/>
    <w:rsid w:val="004C356B"/>
    <w:rsid w:val="004C364A"/>
    <w:rsid w:val="004C3719"/>
    <w:rsid w:val="004C3745"/>
    <w:rsid w:val="004C3769"/>
    <w:rsid w:val="004C3841"/>
    <w:rsid w:val="004C386C"/>
    <w:rsid w:val="004C3877"/>
    <w:rsid w:val="004C3881"/>
    <w:rsid w:val="004C3888"/>
    <w:rsid w:val="004C38A9"/>
    <w:rsid w:val="004C38CE"/>
    <w:rsid w:val="004C38DE"/>
    <w:rsid w:val="004C38EF"/>
    <w:rsid w:val="004C38FB"/>
    <w:rsid w:val="004C38FD"/>
    <w:rsid w:val="004C3929"/>
    <w:rsid w:val="004C3965"/>
    <w:rsid w:val="004C3984"/>
    <w:rsid w:val="004C39D8"/>
    <w:rsid w:val="004C3A26"/>
    <w:rsid w:val="004C3A2F"/>
    <w:rsid w:val="004C3A9E"/>
    <w:rsid w:val="004C3ADD"/>
    <w:rsid w:val="004C3B13"/>
    <w:rsid w:val="004C3B30"/>
    <w:rsid w:val="004C3B65"/>
    <w:rsid w:val="004C3B7E"/>
    <w:rsid w:val="004C3B8A"/>
    <w:rsid w:val="004C3B9D"/>
    <w:rsid w:val="004C3BC4"/>
    <w:rsid w:val="004C3BD3"/>
    <w:rsid w:val="004C3BDA"/>
    <w:rsid w:val="004C3BE8"/>
    <w:rsid w:val="004C3C87"/>
    <w:rsid w:val="004C3CCC"/>
    <w:rsid w:val="004C3CD4"/>
    <w:rsid w:val="004C3D5E"/>
    <w:rsid w:val="004C3DCC"/>
    <w:rsid w:val="004C3DEB"/>
    <w:rsid w:val="004C3E12"/>
    <w:rsid w:val="004C3E3F"/>
    <w:rsid w:val="004C3E7F"/>
    <w:rsid w:val="004C3EFA"/>
    <w:rsid w:val="004C3F20"/>
    <w:rsid w:val="004C3F2B"/>
    <w:rsid w:val="004C3F5C"/>
    <w:rsid w:val="004C3F9E"/>
    <w:rsid w:val="004C3FD1"/>
    <w:rsid w:val="004C4006"/>
    <w:rsid w:val="004C4008"/>
    <w:rsid w:val="004C4093"/>
    <w:rsid w:val="004C409A"/>
    <w:rsid w:val="004C409D"/>
    <w:rsid w:val="004C40B1"/>
    <w:rsid w:val="004C40E3"/>
    <w:rsid w:val="004C4111"/>
    <w:rsid w:val="004C41D0"/>
    <w:rsid w:val="004C4279"/>
    <w:rsid w:val="004C427A"/>
    <w:rsid w:val="004C42B1"/>
    <w:rsid w:val="004C42BB"/>
    <w:rsid w:val="004C4307"/>
    <w:rsid w:val="004C4315"/>
    <w:rsid w:val="004C431B"/>
    <w:rsid w:val="004C432C"/>
    <w:rsid w:val="004C434A"/>
    <w:rsid w:val="004C4358"/>
    <w:rsid w:val="004C437A"/>
    <w:rsid w:val="004C437E"/>
    <w:rsid w:val="004C43A9"/>
    <w:rsid w:val="004C43AA"/>
    <w:rsid w:val="004C43CA"/>
    <w:rsid w:val="004C43D1"/>
    <w:rsid w:val="004C43FD"/>
    <w:rsid w:val="004C4437"/>
    <w:rsid w:val="004C444D"/>
    <w:rsid w:val="004C44F3"/>
    <w:rsid w:val="004C451B"/>
    <w:rsid w:val="004C4523"/>
    <w:rsid w:val="004C4573"/>
    <w:rsid w:val="004C459A"/>
    <w:rsid w:val="004C4617"/>
    <w:rsid w:val="004C4665"/>
    <w:rsid w:val="004C467D"/>
    <w:rsid w:val="004C4693"/>
    <w:rsid w:val="004C46C1"/>
    <w:rsid w:val="004C4760"/>
    <w:rsid w:val="004C4775"/>
    <w:rsid w:val="004C478C"/>
    <w:rsid w:val="004C47F5"/>
    <w:rsid w:val="004C4825"/>
    <w:rsid w:val="004C4844"/>
    <w:rsid w:val="004C486C"/>
    <w:rsid w:val="004C4877"/>
    <w:rsid w:val="004C487E"/>
    <w:rsid w:val="004C488D"/>
    <w:rsid w:val="004C488F"/>
    <w:rsid w:val="004C4891"/>
    <w:rsid w:val="004C489E"/>
    <w:rsid w:val="004C48D8"/>
    <w:rsid w:val="004C4914"/>
    <w:rsid w:val="004C492B"/>
    <w:rsid w:val="004C49BC"/>
    <w:rsid w:val="004C4A4C"/>
    <w:rsid w:val="004C4A7A"/>
    <w:rsid w:val="004C4A81"/>
    <w:rsid w:val="004C4AB4"/>
    <w:rsid w:val="004C4B03"/>
    <w:rsid w:val="004C4B15"/>
    <w:rsid w:val="004C4B5B"/>
    <w:rsid w:val="004C4B6D"/>
    <w:rsid w:val="004C4B86"/>
    <w:rsid w:val="004C4BB0"/>
    <w:rsid w:val="004C4C01"/>
    <w:rsid w:val="004C4C93"/>
    <w:rsid w:val="004C4CE2"/>
    <w:rsid w:val="004C4D00"/>
    <w:rsid w:val="004C4D28"/>
    <w:rsid w:val="004C4D90"/>
    <w:rsid w:val="004C4DD1"/>
    <w:rsid w:val="004C4E7A"/>
    <w:rsid w:val="004C4E9B"/>
    <w:rsid w:val="004C4EE9"/>
    <w:rsid w:val="004C4F1D"/>
    <w:rsid w:val="004C4F43"/>
    <w:rsid w:val="004C4F8F"/>
    <w:rsid w:val="004C4FF9"/>
    <w:rsid w:val="004C5023"/>
    <w:rsid w:val="004C50B9"/>
    <w:rsid w:val="004C5113"/>
    <w:rsid w:val="004C5145"/>
    <w:rsid w:val="004C515D"/>
    <w:rsid w:val="004C516B"/>
    <w:rsid w:val="004C517D"/>
    <w:rsid w:val="004C5183"/>
    <w:rsid w:val="004C5233"/>
    <w:rsid w:val="004C5235"/>
    <w:rsid w:val="004C5255"/>
    <w:rsid w:val="004C5275"/>
    <w:rsid w:val="004C5300"/>
    <w:rsid w:val="004C5316"/>
    <w:rsid w:val="004C532D"/>
    <w:rsid w:val="004C5341"/>
    <w:rsid w:val="004C534B"/>
    <w:rsid w:val="004C53AB"/>
    <w:rsid w:val="004C53B4"/>
    <w:rsid w:val="004C5409"/>
    <w:rsid w:val="004C5450"/>
    <w:rsid w:val="004C546B"/>
    <w:rsid w:val="004C54D0"/>
    <w:rsid w:val="004C54DD"/>
    <w:rsid w:val="004C54E9"/>
    <w:rsid w:val="004C54F1"/>
    <w:rsid w:val="004C5534"/>
    <w:rsid w:val="004C5576"/>
    <w:rsid w:val="004C55EB"/>
    <w:rsid w:val="004C55EE"/>
    <w:rsid w:val="004C55F3"/>
    <w:rsid w:val="004C55F9"/>
    <w:rsid w:val="004C5604"/>
    <w:rsid w:val="004C5638"/>
    <w:rsid w:val="004C56E7"/>
    <w:rsid w:val="004C5755"/>
    <w:rsid w:val="004C5779"/>
    <w:rsid w:val="004C577D"/>
    <w:rsid w:val="004C57CA"/>
    <w:rsid w:val="004C57CD"/>
    <w:rsid w:val="004C5823"/>
    <w:rsid w:val="004C583A"/>
    <w:rsid w:val="004C5872"/>
    <w:rsid w:val="004C589C"/>
    <w:rsid w:val="004C58A9"/>
    <w:rsid w:val="004C58FA"/>
    <w:rsid w:val="004C593D"/>
    <w:rsid w:val="004C59A3"/>
    <w:rsid w:val="004C59CA"/>
    <w:rsid w:val="004C59D6"/>
    <w:rsid w:val="004C59F8"/>
    <w:rsid w:val="004C5A18"/>
    <w:rsid w:val="004C5A26"/>
    <w:rsid w:val="004C5B4E"/>
    <w:rsid w:val="004C5B54"/>
    <w:rsid w:val="004C5B57"/>
    <w:rsid w:val="004C5BC6"/>
    <w:rsid w:val="004C5C7A"/>
    <w:rsid w:val="004C5C96"/>
    <w:rsid w:val="004C5CC1"/>
    <w:rsid w:val="004C5CD3"/>
    <w:rsid w:val="004C5CE9"/>
    <w:rsid w:val="004C5D88"/>
    <w:rsid w:val="004C5D8B"/>
    <w:rsid w:val="004C5D92"/>
    <w:rsid w:val="004C5DB2"/>
    <w:rsid w:val="004C5DB8"/>
    <w:rsid w:val="004C5DE1"/>
    <w:rsid w:val="004C5E01"/>
    <w:rsid w:val="004C5E08"/>
    <w:rsid w:val="004C5E83"/>
    <w:rsid w:val="004C5F05"/>
    <w:rsid w:val="004C5F4E"/>
    <w:rsid w:val="004C5F79"/>
    <w:rsid w:val="004C5FC7"/>
    <w:rsid w:val="004C600F"/>
    <w:rsid w:val="004C6033"/>
    <w:rsid w:val="004C604E"/>
    <w:rsid w:val="004C60E7"/>
    <w:rsid w:val="004C6111"/>
    <w:rsid w:val="004C615E"/>
    <w:rsid w:val="004C616C"/>
    <w:rsid w:val="004C61C8"/>
    <w:rsid w:val="004C620C"/>
    <w:rsid w:val="004C620D"/>
    <w:rsid w:val="004C6235"/>
    <w:rsid w:val="004C629E"/>
    <w:rsid w:val="004C62AA"/>
    <w:rsid w:val="004C62DE"/>
    <w:rsid w:val="004C63C7"/>
    <w:rsid w:val="004C647E"/>
    <w:rsid w:val="004C6514"/>
    <w:rsid w:val="004C651C"/>
    <w:rsid w:val="004C65CF"/>
    <w:rsid w:val="004C65FD"/>
    <w:rsid w:val="004C663C"/>
    <w:rsid w:val="004C6655"/>
    <w:rsid w:val="004C66FE"/>
    <w:rsid w:val="004C6708"/>
    <w:rsid w:val="004C676A"/>
    <w:rsid w:val="004C67F7"/>
    <w:rsid w:val="004C68BB"/>
    <w:rsid w:val="004C6906"/>
    <w:rsid w:val="004C6928"/>
    <w:rsid w:val="004C6949"/>
    <w:rsid w:val="004C6982"/>
    <w:rsid w:val="004C69C4"/>
    <w:rsid w:val="004C69E8"/>
    <w:rsid w:val="004C6A22"/>
    <w:rsid w:val="004C6A2F"/>
    <w:rsid w:val="004C6A73"/>
    <w:rsid w:val="004C6AA7"/>
    <w:rsid w:val="004C6B13"/>
    <w:rsid w:val="004C6B90"/>
    <w:rsid w:val="004C6BA1"/>
    <w:rsid w:val="004C6BA9"/>
    <w:rsid w:val="004C6BF5"/>
    <w:rsid w:val="004C6CBF"/>
    <w:rsid w:val="004C6CF8"/>
    <w:rsid w:val="004C6CFA"/>
    <w:rsid w:val="004C6D10"/>
    <w:rsid w:val="004C6D13"/>
    <w:rsid w:val="004C6DD2"/>
    <w:rsid w:val="004C6DFD"/>
    <w:rsid w:val="004C6E36"/>
    <w:rsid w:val="004C6E4F"/>
    <w:rsid w:val="004C6E97"/>
    <w:rsid w:val="004C6EC3"/>
    <w:rsid w:val="004C6F1A"/>
    <w:rsid w:val="004C6F8B"/>
    <w:rsid w:val="004C6FBB"/>
    <w:rsid w:val="004C6FD8"/>
    <w:rsid w:val="004C7002"/>
    <w:rsid w:val="004C7025"/>
    <w:rsid w:val="004C7034"/>
    <w:rsid w:val="004C7054"/>
    <w:rsid w:val="004C705E"/>
    <w:rsid w:val="004C7062"/>
    <w:rsid w:val="004C715F"/>
    <w:rsid w:val="004C71D3"/>
    <w:rsid w:val="004C72FE"/>
    <w:rsid w:val="004C735C"/>
    <w:rsid w:val="004C7365"/>
    <w:rsid w:val="004C736B"/>
    <w:rsid w:val="004C73FE"/>
    <w:rsid w:val="004C7408"/>
    <w:rsid w:val="004C7497"/>
    <w:rsid w:val="004C74A6"/>
    <w:rsid w:val="004C755E"/>
    <w:rsid w:val="004C7568"/>
    <w:rsid w:val="004C756D"/>
    <w:rsid w:val="004C7631"/>
    <w:rsid w:val="004C7646"/>
    <w:rsid w:val="004C7698"/>
    <w:rsid w:val="004C76F1"/>
    <w:rsid w:val="004C76FE"/>
    <w:rsid w:val="004C7734"/>
    <w:rsid w:val="004C777D"/>
    <w:rsid w:val="004C77B8"/>
    <w:rsid w:val="004C77BD"/>
    <w:rsid w:val="004C77C2"/>
    <w:rsid w:val="004C7851"/>
    <w:rsid w:val="004C7860"/>
    <w:rsid w:val="004C78DA"/>
    <w:rsid w:val="004C78E2"/>
    <w:rsid w:val="004C7931"/>
    <w:rsid w:val="004C7943"/>
    <w:rsid w:val="004C79B9"/>
    <w:rsid w:val="004C79EF"/>
    <w:rsid w:val="004C7A46"/>
    <w:rsid w:val="004C7A61"/>
    <w:rsid w:val="004C7A78"/>
    <w:rsid w:val="004C7AB2"/>
    <w:rsid w:val="004C7AD4"/>
    <w:rsid w:val="004C7AE3"/>
    <w:rsid w:val="004C7B13"/>
    <w:rsid w:val="004C7BA6"/>
    <w:rsid w:val="004C7C20"/>
    <w:rsid w:val="004C7C67"/>
    <w:rsid w:val="004C7CE3"/>
    <w:rsid w:val="004C7D4E"/>
    <w:rsid w:val="004C7D5E"/>
    <w:rsid w:val="004C7D6C"/>
    <w:rsid w:val="004C7DB2"/>
    <w:rsid w:val="004C7DB8"/>
    <w:rsid w:val="004C7DFC"/>
    <w:rsid w:val="004C7DFF"/>
    <w:rsid w:val="004C7E51"/>
    <w:rsid w:val="004C7E6F"/>
    <w:rsid w:val="004C7F4B"/>
    <w:rsid w:val="004C7F58"/>
    <w:rsid w:val="004C7F7B"/>
    <w:rsid w:val="004C7FDE"/>
    <w:rsid w:val="004C7FE6"/>
    <w:rsid w:val="004CE537"/>
    <w:rsid w:val="004D003E"/>
    <w:rsid w:val="004D006A"/>
    <w:rsid w:val="004D00A3"/>
    <w:rsid w:val="004D00B1"/>
    <w:rsid w:val="004D00D8"/>
    <w:rsid w:val="004D010E"/>
    <w:rsid w:val="004D0218"/>
    <w:rsid w:val="004D024E"/>
    <w:rsid w:val="004D0252"/>
    <w:rsid w:val="004D02A4"/>
    <w:rsid w:val="004D0303"/>
    <w:rsid w:val="004D0370"/>
    <w:rsid w:val="004D038D"/>
    <w:rsid w:val="004D03A9"/>
    <w:rsid w:val="004D03DF"/>
    <w:rsid w:val="004D03EF"/>
    <w:rsid w:val="004D0435"/>
    <w:rsid w:val="004D047A"/>
    <w:rsid w:val="004D0489"/>
    <w:rsid w:val="004D04F6"/>
    <w:rsid w:val="004D0504"/>
    <w:rsid w:val="004D050D"/>
    <w:rsid w:val="004D0539"/>
    <w:rsid w:val="004D0589"/>
    <w:rsid w:val="004D059F"/>
    <w:rsid w:val="004D05D5"/>
    <w:rsid w:val="004D061F"/>
    <w:rsid w:val="004D0625"/>
    <w:rsid w:val="004D0671"/>
    <w:rsid w:val="004D071E"/>
    <w:rsid w:val="004D072F"/>
    <w:rsid w:val="004D0733"/>
    <w:rsid w:val="004D078F"/>
    <w:rsid w:val="004D07B4"/>
    <w:rsid w:val="004D0829"/>
    <w:rsid w:val="004D082A"/>
    <w:rsid w:val="004D08BA"/>
    <w:rsid w:val="004D08BE"/>
    <w:rsid w:val="004D08FD"/>
    <w:rsid w:val="004D0904"/>
    <w:rsid w:val="004D0961"/>
    <w:rsid w:val="004D0990"/>
    <w:rsid w:val="004D0A1D"/>
    <w:rsid w:val="004D0A57"/>
    <w:rsid w:val="004D0A76"/>
    <w:rsid w:val="004D0AF8"/>
    <w:rsid w:val="004D0B2E"/>
    <w:rsid w:val="004D0B4B"/>
    <w:rsid w:val="004D0B64"/>
    <w:rsid w:val="004D0BA7"/>
    <w:rsid w:val="004D0C4B"/>
    <w:rsid w:val="004D0C4D"/>
    <w:rsid w:val="004D0C85"/>
    <w:rsid w:val="004D0C89"/>
    <w:rsid w:val="004D0CDE"/>
    <w:rsid w:val="004D0D37"/>
    <w:rsid w:val="004D0D3E"/>
    <w:rsid w:val="004D0DCB"/>
    <w:rsid w:val="004D0E77"/>
    <w:rsid w:val="004D0EEC"/>
    <w:rsid w:val="004D0F5C"/>
    <w:rsid w:val="004D0F73"/>
    <w:rsid w:val="004D0F7A"/>
    <w:rsid w:val="004D100A"/>
    <w:rsid w:val="004D1016"/>
    <w:rsid w:val="004D103E"/>
    <w:rsid w:val="004D1071"/>
    <w:rsid w:val="004D10AB"/>
    <w:rsid w:val="004D10E1"/>
    <w:rsid w:val="004D110F"/>
    <w:rsid w:val="004D1194"/>
    <w:rsid w:val="004D11CB"/>
    <w:rsid w:val="004D11E6"/>
    <w:rsid w:val="004D1221"/>
    <w:rsid w:val="004D1253"/>
    <w:rsid w:val="004D1295"/>
    <w:rsid w:val="004D12EA"/>
    <w:rsid w:val="004D12FC"/>
    <w:rsid w:val="004D1319"/>
    <w:rsid w:val="004D13FB"/>
    <w:rsid w:val="004D1422"/>
    <w:rsid w:val="004D1436"/>
    <w:rsid w:val="004D149E"/>
    <w:rsid w:val="004D1500"/>
    <w:rsid w:val="004D150D"/>
    <w:rsid w:val="004D151C"/>
    <w:rsid w:val="004D1552"/>
    <w:rsid w:val="004D1554"/>
    <w:rsid w:val="004D1567"/>
    <w:rsid w:val="004D156B"/>
    <w:rsid w:val="004D1576"/>
    <w:rsid w:val="004D15AA"/>
    <w:rsid w:val="004D15B2"/>
    <w:rsid w:val="004D15B3"/>
    <w:rsid w:val="004D15C5"/>
    <w:rsid w:val="004D1613"/>
    <w:rsid w:val="004D1622"/>
    <w:rsid w:val="004D1654"/>
    <w:rsid w:val="004D167B"/>
    <w:rsid w:val="004D16D2"/>
    <w:rsid w:val="004D1733"/>
    <w:rsid w:val="004D1761"/>
    <w:rsid w:val="004D17C9"/>
    <w:rsid w:val="004D1851"/>
    <w:rsid w:val="004D1882"/>
    <w:rsid w:val="004D1886"/>
    <w:rsid w:val="004D18B6"/>
    <w:rsid w:val="004D18DA"/>
    <w:rsid w:val="004D196F"/>
    <w:rsid w:val="004D1991"/>
    <w:rsid w:val="004D199E"/>
    <w:rsid w:val="004D19BC"/>
    <w:rsid w:val="004D19CB"/>
    <w:rsid w:val="004D19CF"/>
    <w:rsid w:val="004D19E9"/>
    <w:rsid w:val="004D19FE"/>
    <w:rsid w:val="004D1A0B"/>
    <w:rsid w:val="004D1A11"/>
    <w:rsid w:val="004D1A60"/>
    <w:rsid w:val="004D1A7D"/>
    <w:rsid w:val="004D1A8E"/>
    <w:rsid w:val="004D1AA5"/>
    <w:rsid w:val="004D1AC9"/>
    <w:rsid w:val="004D1AD8"/>
    <w:rsid w:val="004D1B55"/>
    <w:rsid w:val="004D1B7D"/>
    <w:rsid w:val="004D1BA1"/>
    <w:rsid w:val="004D1BF7"/>
    <w:rsid w:val="004D1BF9"/>
    <w:rsid w:val="004D1C00"/>
    <w:rsid w:val="004D1C4B"/>
    <w:rsid w:val="004D1C57"/>
    <w:rsid w:val="004D1D00"/>
    <w:rsid w:val="004D1D20"/>
    <w:rsid w:val="004D1D63"/>
    <w:rsid w:val="004D1D85"/>
    <w:rsid w:val="004D1D8D"/>
    <w:rsid w:val="004D1DB5"/>
    <w:rsid w:val="004D1DD2"/>
    <w:rsid w:val="004D1DF6"/>
    <w:rsid w:val="004D1DFA"/>
    <w:rsid w:val="004D1E77"/>
    <w:rsid w:val="004D1EA6"/>
    <w:rsid w:val="004D1EAB"/>
    <w:rsid w:val="004D1ECB"/>
    <w:rsid w:val="004D1EE4"/>
    <w:rsid w:val="004D1EE5"/>
    <w:rsid w:val="004D1F1B"/>
    <w:rsid w:val="004D1F59"/>
    <w:rsid w:val="004D1F96"/>
    <w:rsid w:val="004D1FA7"/>
    <w:rsid w:val="004D2040"/>
    <w:rsid w:val="004D2064"/>
    <w:rsid w:val="004D2078"/>
    <w:rsid w:val="004D208F"/>
    <w:rsid w:val="004D217A"/>
    <w:rsid w:val="004D2191"/>
    <w:rsid w:val="004D2239"/>
    <w:rsid w:val="004D225D"/>
    <w:rsid w:val="004D226A"/>
    <w:rsid w:val="004D2288"/>
    <w:rsid w:val="004D2292"/>
    <w:rsid w:val="004D2293"/>
    <w:rsid w:val="004D22D0"/>
    <w:rsid w:val="004D22DA"/>
    <w:rsid w:val="004D22EA"/>
    <w:rsid w:val="004D2310"/>
    <w:rsid w:val="004D2335"/>
    <w:rsid w:val="004D2394"/>
    <w:rsid w:val="004D23F7"/>
    <w:rsid w:val="004D249C"/>
    <w:rsid w:val="004D24A8"/>
    <w:rsid w:val="004D2570"/>
    <w:rsid w:val="004D2630"/>
    <w:rsid w:val="004D265B"/>
    <w:rsid w:val="004D2698"/>
    <w:rsid w:val="004D276C"/>
    <w:rsid w:val="004D27C4"/>
    <w:rsid w:val="004D280F"/>
    <w:rsid w:val="004D2873"/>
    <w:rsid w:val="004D289B"/>
    <w:rsid w:val="004D28F7"/>
    <w:rsid w:val="004D291D"/>
    <w:rsid w:val="004D29B4"/>
    <w:rsid w:val="004D29CD"/>
    <w:rsid w:val="004D29FF"/>
    <w:rsid w:val="004D2A52"/>
    <w:rsid w:val="004D2A6A"/>
    <w:rsid w:val="004D2A7F"/>
    <w:rsid w:val="004D2A8A"/>
    <w:rsid w:val="004D2AA7"/>
    <w:rsid w:val="004D2AB4"/>
    <w:rsid w:val="004D2ABA"/>
    <w:rsid w:val="004D2ADA"/>
    <w:rsid w:val="004D2AE0"/>
    <w:rsid w:val="004D2AED"/>
    <w:rsid w:val="004D2B30"/>
    <w:rsid w:val="004D2B4D"/>
    <w:rsid w:val="004D2BF6"/>
    <w:rsid w:val="004D2C18"/>
    <w:rsid w:val="004D2C63"/>
    <w:rsid w:val="004D2C99"/>
    <w:rsid w:val="004D2CF2"/>
    <w:rsid w:val="004D2D8E"/>
    <w:rsid w:val="004D2DED"/>
    <w:rsid w:val="004D2E17"/>
    <w:rsid w:val="004D2E18"/>
    <w:rsid w:val="004D2E67"/>
    <w:rsid w:val="004D2E6E"/>
    <w:rsid w:val="004D2E74"/>
    <w:rsid w:val="004D2E84"/>
    <w:rsid w:val="004D2E8F"/>
    <w:rsid w:val="004D2EBA"/>
    <w:rsid w:val="004D2EBB"/>
    <w:rsid w:val="004D2ED4"/>
    <w:rsid w:val="004D2F04"/>
    <w:rsid w:val="004D2F0B"/>
    <w:rsid w:val="004D2F49"/>
    <w:rsid w:val="004D2F74"/>
    <w:rsid w:val="004D2FA3"/>
    <w:rsid w:val="004D2FD8"/>
    <w:rsid w:val="004D2FDC"/>
    <w:rsid w:val="004D2FEB"/>
    <w:rsid w:val="004D303B"/>
    <w:rsid w:val="004D30B4"/>
    <w:rsid w:val="004D30D0"/>
    <w:rsid w:val="004D30D2"/>
    <w:rsid w:val="004D30E8"/>
    <w:rsid w:val="004D310E"/>
    <w:rsid w:val="004D3167"/>
    <w:rsid w:val="004D3188"/>
    <w:rsid w:val="004D31E7"/>
    <w:rsid w:val="004D3259"/>
    <w:rsid w:val="004D32EF"/>
    <w:rsid w:val="004D3319"/>
    <w:rsid w:val="004D3374"/>
    <w:rsid w:val="004D337C"/>
    <w:rsid w:val="004D337F"/>
    <w:rsid w:val="004D33A2"/>
    <w:rsid w:val="004D33A7"/>
    <w:rsid w:val="004D33F9"/>
    <w:rsid w:val="004D340C"/>
    <w:rsid w:val="004D3423"/>
    <w:rsid w:val="004D3449"/>
    <w:rsid w:val="004D34A3"/>
    <w:rsid w:val="004D34E9"/>
    <w:rsid w:val="004D3540"/>
    <w:rsid w:val="004D3568"/>
    <w:rsid w:val="004D358C"/>
    <w:rsid w:val="004D35DF"/>
    <w:rsid w:val="004D35F8"/>
    <w:rsid w:val="004D35F9"/>
    <w:rsid w:val="004D3667"/>
    <w:rsid w:val="004D369A"/>
    <w:rsid w:val="004D36FA"/>
    <w:rsid w:val="004D3718"/>
    <w:rsid w:val="004D372F"/>
    <w:rsid w:val="004D3758"/>
    <w:rsid w:val="004D3777"/>
    <w:rsid w:val="004D37A4"/>
    <w:rsid w:val="004D37CB"/>
    <w:rsid w:val="004D37EB"/>
    <w:rsid w:val="004D3825"/>
    <w:rsid w:val="004D3839"/>
    <w:rsid w:val="004D3851"/>
    <w:rsid w:val="004D3891"/>
    <w:rsid w:val="004D38AB"/>
    <w:rsid w:val="004D38F5"/>
    <w:rsid w:val="004D3925"/>
    <w:rsid w:val="004D392D"/>
    <w:rsid w:val="004D392E"/>
    <w:rsid w:val="004D39D3"/>
    <w:rsid w:val="004D3A02"/>
    <w:rsid w:val="004D3A39"/>
    <w:rsid w:val="004D3A4D"/>
    <w:rsid w:val="004D3A68"/>
    <w:rsid w:val="004D3ACA"/>
    <w:rsid w:val="004D3BB0"/>
    <w:rsid w:val="004D3BDC"/>
    <w:rsid w:val="004D3C1B"/>
    <w:rsid w:val="004D3C1C"/>
    <w:rsid w:val="004D3C1F"/>
    <w:rsid w:val="004D3C50"/>
    <w:rsid w:val="004D3C66"/>
    <w:rsid w:val="004D3D6B"/>
    <w:rsid w:val="004D3DCA"/>
    <w:rsid w:val="004D3DED"/>
    <w:rsid w:val="004D3E51"/>
    <w:rsid w:val="004D3E6E"/>
    <w:rsid w:val="004D3E73"/>
    <w:rsid w:val="004D3FBA"/>
    <w:rsid w:val="004D4026"/>
    <w:rsid w:val="004D4037"/>
    <w:rsid w:val="004D4052"/>
    <w:rsid w:val="004D4097"/>
    <w:rsid w:val="004D4098"/>
    <w:rsid w:val="004D41AA"/>
    <w:rsid w:val="004D41BA"/>
    <w:rsid w:val="004D41BC"/>
    <w:rsid w:val="004D41DE"/>
    <w:rsid w:val="004D422D"/>
    <w:rsid w:val="004D4238"/>
    <w:rsid w:val="004D42C6"/>
    <w:rsid w:val="004D4327"/>
    <w:rsid w:val="004D434D"/>
    <w:rsid w:val="004D4398"/>
    <w:rsid w:val="004D43A8"/>
    <w:rsid w:val="004D43B3"/>
    <w:rsid w:val="004D43BC"/>
    <w:rsid w:val="004D43D4"/>
    <w:rsid w:val="004D43D5"/>
    <w:rsid w:val="004D4410"/>
    <w:rsid w:val="004D441F"/>
    <w:rsid w:val="004D442E"/>
    <w:rsid w:val="004D4447"/>
    <w:rsid w:val="004D4451"/>
    <w:rsid w:val="004D4468"/>
    <w:rsid w:val="004D4471"/>
    <w:rsid w:val="004D44F8"/>
    <w:rsid w:val="004D450E"/>
    <w:rsid w:val="004D4515"/>
    <w:rsid w:val="004D4528"/>
    <w:rsid w:val="004D453F"/>
    <w:rsid w:val="004D455C"/>
    <w:rsid w:val="004D4560"/>
    <w:rsid w:val="004D45B7"/>
    <w:rsid w:val="004D45D1"/>
    <w:rsid w:val="004D4613"/>
    <w:rsid w:val="004D4653"/>
    <w:rsid w:val="004D4657"/>
    <w:rsid w:val="004D4663"/>
    <w:rsid w:val="004D467A"/>
    <w:rsid w:val="004D46E6"/>
    <w:rsid w:val="004D4714"/>
    <w:rsid w:val="004D4736"/>
    <w:rsid w:val="004D4754"/>
    <w:rsid w:val="004D475E"/>
    <w:rsid w:val="004D4781"/>
    <w:rsid w:val="004D47B3"/>
    <w:rsid w:val="004D4809"/>
    <w:rsid w:val="004D4863"/>
    <w:rsid w:val="004D48B1"/>
    <w:rsid w:val="004D48E2"/>
    <w:rsid w:val="004D48E8"/>
    <w:rsid w:val="004D490D"/>
    <w:rsid w:val="004D4949"/>
    <w:rsid w:val="004D495F"/>
    <w:rsid w:val="004D497F"/>
    <w:rsid w:val="004D4988"/>
    <w:rsid w:val="004D4A1A"/>
    <w:rsid w:val="004D4A33"/>
    <w:rsid w:val="004D4A3D"/>
    <w:rsid w:val="004D4A87"/>
    <w:rsid w:val="004D4B0F"/>
    <w:rsid w:val="004D4B61"/>
    <w:rsid w:val="004D4BC7"/>
    <w:rsid w:val="004D4BED"/>
    <w:rsid w:val="004D4C22"/>
    <w:rsid w:val="004D4C4C"/>
    <w:rsid w:val="004D4CA0"/>
    <w:rsid w:val="004D4CA4"/>
    <w:rsid w:val="004D4CB2"/>
    <w:rsid w:val="004D4CC3"/>
    <w:rsid w:val="004D4D4F"/>
    <w:rsid w:val="004D4D7B"/>
    <w:rsid w:val="004D4E0F"/>
    <w:rsid w:val="004D4E25"/>
    <w:rsid w:val="004D4E61"/>
    <w:rsid w:val="004D4E8A"/>
    <w:rsid w:val="004D4E97"/>
    <w:rsid w:val="004D4ECC"/>
    <w:rsid w:val="004D4F34"/>
    <w:rsid w:val="004D4F3D"/>
    <w:rsid w:val="004D4F43"/>
    <w:rsid w:val="004D4FBE"/>
    <w:rsid w:val="004D4FD3"/>
    <w:rsid w:val="004D5010"/>
    <w:rsid w:val="004D5032"/>
    <w:rsid w:val="004D504A"/>
    <w:rsid w:val="004D5077"/>
    <w:rsid w:val="004D50BC"/>
    <w:rsid w:val="004D5147"/>
    <w:rsid w:val="004D5157"/>
    <w:rsid w:val="004D5163"/>
    <w:rsid w:val="004D5187"/>
    <w:rsid w:val="004D51BE"/>
    <w:rsid w:val="004D51CA"/>
    <w:rsid w:val="004D51DD"/>
    <w:rsid w:val="004D5236"/>
    <w:rsid w:val="004D5241"/>
    <w:rsid w:val="004D527C"/>
    <w:rsid w:val="004D52D5"/>
    <w:rsid w:val="004D52FF"/>
    <w:rsid w:val="004D530F"/>
    <w:rsid w:val="004D5332"/>
    <w:rsid w:val="004D538B"/>
    <w:rsid w:val="004D5416"/>
    <w:rsid w:val="004D5446"/>
    <w:rsid w:val="004D548A"/>
    <w:rsid w:val="004D5582"/>
    <w:rsid w:val="004D55E0"/>
    <w:rsid w:val="004D55E9"/>
    <w:rsid w:val="004D5609"/>
    <w:rsid w:val="004D5679"/>
    <w:rsid w:val="004D56A9"/>
    <w:rsid w:val="004D56F9"/>
    <w:rsid w:val="004D5764"/>
    <w:rsid w:val="004D57DD"/>
    <w:rsid w:val="004D5840"/>
    <w:rsid w:val="004D584A"/>
    <w:rsid w:val="004D585D"/>
    <w:rsid w:val="004D585E"/>
    <w:rsid w:val="004D5864"/>
    <w:rsid w:val="004D5901"/>
    <w:rsid w:val="004D5905"/>
    <w:rsid w:val="004D5932"/>
    <w:rsid w:val="004D5943"/>
    <w:rsid w:val="004D5A44"/>
    <w:rsid w:val="004D5A51"/>
    <w:rsid w:val="004D5AB9"/>
    <w:rsid w:val="004D5ABE"/>
    <w:rsid w:val="004D5BDB"/>
    <w:rsid w:val="004D5C94"/>
    <w:rsid w:val="004D5C98"/>
    <w:rsid w:val="004D5CDE"/>
    <w:rsid w:val="004D5D03"/>
    <w:rsid w:val="004D5D31"/>
    <w:rsid w:val="004D5D85"/>
    <w:rsid w:val="004D5DB1"/>
    <w:rsid w:val="004D5E19"/>
    <w:rsid w:val="004D5F4C"/>
    <w:rsid w:val="004D5F63"/>
    <w:rsid w:val="004D5FB4"/>
    <w:rsid w:val="004D5FBD"/>
    <w:rsid w:val="004D6002"/>
    <w:rsid w:val="004D600A"/>
    <w:rsid w:val="004D601E"/>
    <w:rsid w:val="004D6061"/>
    <w:rsid w:val="004D6066"/>
    <w:rsid w:val="004D6084"/>
    <w:rsid w:val="004D60E3"/>
    <w:rsid w:val="004D60F1"/>
    <w:rsid w:val="004D611A"/>
    <w:rsid w:val="004D61B3"/>
    <w:rsid w:val="004D61B8"/>
    <w:rsid w:val="004D61CA"/>
    <w:rsid w:val="004D61CF"/>
    <w:rsid w:val="004D6243"/>
    <w:rsid w:val="004D636F"/>
    <w:rsid w:val="004D63B9"/>
    <w:rsid w:val="004D63C1"/>
    <w:rsid w:val="004D63C3"/>
    <w:rsid w:val="004D63E4"/>
    <w:rsid w:val="004D63F7"/>
    <w:rsid w:val="004D641E"/>
    <w:rsid w:val="004D6433"/>
    <w:rsid w:val="004D6455"/>
    <w:rsid w:val="004D6460"/>
    <w:rsid w:val="004D647A"/>
    <w:rsid w:val="004D6492"/>
    <w:rsid w:val="004D64B0"/>
    <w:rsid w:val="004D64C4"/>
    <w:rsid w:val="004D64E5"/>
    <w:rsid w:val="004D64FF"/>
    <w:rsid w:val="004D660A"/>
    <w:rsid w:val="004D6627"/>
    <w:rsid w:val="004D662F"/>
    <w:rsid w:val="004D668F"/>
    <w:rsid w:val="004D6690"/>
    <w:rsid w:val="004D66A5"/>
    <w:rsid w:val="004D66D0"/>
    <w:rsid w:val="004D6737"/>
    <w:rsid w:val="004D6738"/>
    <w:rsid w:val="004D6749"/>
    <w:rsid w:val="004D6791"/>
    <w:rsid w:val="004D67FD"/>
    <w:rsid w:val="004D6806"/>
    <w:rsid w:val="004D6813"/>
    <w:rsid w:val="004D6850"/>
    <w:rsid w:val="004D68B6"/>
    <w:rsid w:val="004D68E2"/>
    <w:rsid w:val="004D68E7"/>
    <w:rsid w:val="004D690E"/>
    <w:rsid w:val="004D6917"/>
    <w:rsid w:val="004D692A"/>
    <w:rsid w:val="004D697E"/>
    <w:rsid w:val="004D69BC"/>
    <w:rsid w:val="004D69CD"/>
    <w:rsid w:val="004D69E0"/>
    <w:rsid w:val="004D69E8"/>
    <w:rsid w:val="004D6A91"/>
    <w:rsid w:val="004D6AAE"/>
    <w:rsid w:val="004D6B08"/>
    <w:rsid w:val="004D6B0A"/>
    <w:rsid w:val="004D6BCC"/>
    <w:rsid w:val="004D6C05"/>
    <w:rsid w:val="004D6C4A"/>
    <w:rsid w:val="004D6C4F"/>
    <w:rsid w:val="004D6CEA"/>
    <w:rsid w:val="004D6CEC"/>
    <w:rsid w:val="004D6D89"/>
    <w:rsid w:val="004D6DB2"/>
    <w:rsid w:val="004D6DF5"/>
    <w:rsid w:val="004D6E5C"/>
    <w:rsid w:val="004D6EAB"/>
    <w:rsid w:val="004D6F22"/>
    <w:rsid w:val="004D6FC0"/>
    <w:rsid w:val="004D7017"/>
    <w:rsid w:val="004D7064"/>
    <w:rsid w:val="004D707E"/>
    <w:rsid w:val="004D7083"/>
    <w:rsid w:val="004D7092"/>
    <w:rsid w:val="004D70CA"/>
    <w:rsid w:val="004D70F1"/>
    <w:rsid w:val="004D712B"/>
    <w:rsid w:val="004D7130"/>
    <w:rsid w:val="004D7146"/>
    <w:rsid w:val="004D7175"/>
    <w:rsid w:val="004D7182"/>
    <w:rsid w:val="004D7184"/>
    <w:rsid w:val="004D71D5"/>
    <w:rsid w:val="004D720D"/>
    <w:rsid w:val="004D7234"/>
    <w:rsid w:val="004D723D"/>
    <w:rsid w:val="004D7243"/>
    <w:rsid w:val="004D7247"/>
    <w:rsid w:val="004D7260"/>
    <w:rsid w:val="004D7281"/>
    <w:rsid w:val="004D733D"/>
    <w:rsid w:val="004D733E"/>
    <w:rsid w:val="004D7354"/>
    <w:rsid w:val="004D73A4"/>
    <w:rsid w:val="004D73D6"/>
    <w:rsid w:val="004D7404"/>
    <w:rsid w:val="004D7429"/>
    <w:rsid w:val="004D743A"/>
    <w:rsid w:val="004D744F"/>
    <w:rsid w:val="004D7473"/>
    <w:rsid w:val="004D7497"/>
    <w:rsid w:val="004D74B1"/>
    <w:rsid w:val="004D74B5"/>
    <w:rsid w:val="004D74B6"/>
    <w:rsid w:val="004D74D5"/>
    <w:rsid w:val="004D74E0"/>
    <w:rsid w:val="004D7553"/>
    <w:rsid w:val="004D7564"/>
    <w:rsid w:val="004D757F"/>
    <w:rsid w:val="004D75A5"/>
    <w:rsid w:val="004D75AA"/>
    <w:rsid w:val="004D75BE"/>
    <w:rsid w:val="004D75DB"/>
    <w:rsid w:val="004D75FF"/>
    <w:rsid w:val="004D7622"/>
    <w:rsid w:val="004D763D"/>
    <w:rsid w:val="004D7654"/>
    <w:rsid w:val="004D7674"/>
    <w:rsid w:val="004D767F"/>
    <w:rsid w:val="004D76FE"/>
    <w:rsid w:val="004D7792"/>
    <w:rsid w:val="004D77BD"/>
    <w:rsid w:val="004D77FC"/>
    <w:rsid w:val="004D780C"/>
    <w:rsid w:val="004D784F"/>
    <w:rsid w:val="004D7852"/>
    <w:rsid w:val="004D7862"/>
    <w:rsid w:val="004D7879"/>
    <w:rsid w:val="004D78A8"/>
    <w:rsid w:val="004D78C2"/>
    <w:rsid w:val="004D78D2"/>
    <w:rsid w:val="004D7926"/>
    <w:rsid w:val="004D792D"/>
    <w:rsid w:val="004D79D0"/>
    <w:rsid w:val="004D7A45"/>
    <w:rsid w:val="004D7AAB"/>
    <w:rsid w:val="004D7AB5"/>
    <w:rsid w:val="004D7ACB"/>
    <w:rsid w:val="004D7B1A"/>
    <w:rsid w:val="004D7B20"/>
    <w:rsid w:val="004D7BDD"/>
    <w:rsid w:val="004D7C1C"/>
    <w:rsid w:val="004D7C31"/>
    <w:rsid w:val="004D7CD1"/>
    <w:rsid w:val="004D7CDF"/>
    <w:rsid w:val="004D7D8E"/>
    <w:rsid w:val="004D7D99"/>
    <w:rsid w:val="004D7DBF"/>
    <w:rsid w:val="004D7E24"/>
    <w:rsid w:val="004D7E4D"/>
    <w:rsid w:val="004D7EA0"/>
    <w:rsid w:val="004D7EDD"/>
    <w:rsid w:val="004D7EE1"/>
    <w:rsid w:val="004D7F4B"/>
    <w:rsid w:val="004D7F7C"/>
    <w:rsid w:val="004D7F8B"/>
    <w:rsid w:val="004D7FB6"/>
    <w:rsid w:val="004D7FC8"/>
    <w:rsid w:val="004E0065"/>
    <w:rsid w:val="004E0088"/>
    <w:rsid w:val="004E00F7"/>
    <w:rsid w:val="004E0106"/>
    <w:rsid w:val="004E010B"/>
    <w:rsid w:val="004E0198"/>
    <w:rsid w:val="004E01B2"/>
    <w:rsid w:val="004E01B7"/>
    <w:rsid w:val="004E01BF"/>
    <w:rsid w:val="004E01C7"/>
    <w:rsid w:val="004E01C8"/>
    <w:rsid w:val="004E01E3"/>
    <w:rsid w:val="004E022C"/>
    <w:rsid w:val="004E029C"/>
    <w:rsid w:val="004E02A6"/>
    <w:rsid w:val="004E031C"/>
    <w:rsid w:val="004E03C8"/>
    <w:rsid w:val="004E0435"/>
    <w:rsid w:val="004E0455"/>
    <w:rsid w:val="004E0471"/>
    <w:rsid w:val="004E0474"/>
    <w:rsid w:val="004E04D3"/>
    <w:rsid w:val="004E0537"/>
    <w:rsid w:val="004E053A"/>
    <w:rsid w:val="004E053C"/>
    <w:rsid w:val="004E0587"/>
    <w:rsid w:val="004E05C2"/>
    <w:rsid w:val="004E05FC"/>
    <w:rsid w:val="004E0607"/>
    <w:rsid w:val="004E0636"/>
    <w:rsid w:val="004E0641"/>
    <w:rsid w:val="004E0644"/>
    <w:rsid w:val="004E065F"/>
    <w:rsid w:val="004E0697"/>
    <w:rsid w:val="004E06E7"/>
    <w:rsid w:val="004E06EA"/>
    <w:rsid w:val="004E06F1"/>
    <w:rsid w:val="004E0784"/>
    <w:rsid w:val="004E0801"/>
    <w:rsid w:val="004E0830"/>
    <w:rsid w:val="004E0834"/>
    <w:rsid w:val="004E0863"/>
    <w:rsid w:val="004E0871"/>
    <w:rsid w:val="004E0886"/>
    <w:rsid w:val="004E08B3"/>
    <w:rsid w:val="004E0925"/>
    <w:rsid w:val="004E0926"/>
    <w:rsid w:val="004E093A"/>
    <w:rsid w:val="004E0975"/>
    <w:rsid w:val="004E09D6"/>
    <w:rsid w:val="004E0B33"/>
    <w:rsid w:val="004E0B41"/>
    <w:rsid w:val="004E0BA7"/>
    <w:rsid w:val="004E0C00"/>
    <w:rsid w:val="004E0C0F"/>
    <w:rsid w:val="004E0C44"/>
    <w:rsid w:val="004E0C52"/>
    <w:rsid w:val="004E0C7A"/>
    <w:rsid w:val="004E0CD9"/>
    <w:rsid w:val="004E0D05"/>
    <w:rsid w:val="004E0D09"/>
    <w:rsid w:val="004E0D92"/>
    <w:rsid w:val="004E0D9C"/>
    <w:rsid w:val="004E0DBB"/>
    <w:rsid w:val="004E0DDA"/>
    <w:rsid w:val="004E0DE5"/>
    <w:rsid w:val="004E0DF2"/>
    <w:rsid w:val="004E0E01"/>
    <w:rsid w:val="004E0E0B"/>
    <w:rsid w:val="004E0E38"/>
    <w:rsid w:val="004E0E4F"/>
    <w:rsid w:val="004E0EB6"/>
    <w:rsid w:val="004E0EE2"/>
    <w:rsid w:val="004E0EF2"/>
    <w:rsid w:val="004E0F0E"/>
    <w:rsid w:val="004E0F33"/>
    <w:rsid w:val="004E0FBD"/>
    <w:rsid w:val="004E0FEF"/>
    <w:rsid w:val="004E101D"/>
    <w:rsid w:val="004E102B"/>
    <w:rsid w:val="004E102D"/>
    <w:rsid w:val="004E102E"/>
    <w:rsid w:val="004E1044"/>
    <w:rsid w:val="004E1069"/>
    <w:rsid w:val="004E1097"/>
    <w:rsid w:val="004E10E1"/>
    <w:rsid w:val="004E118C"/>
    <w:rsid w:val="004E1210"/>
    <w:rsid w:val="004E12A4"/>
    <w:rsid w:val="004E12EB"/>
    <w:rsid w:val="004E130E"/>
    <w:rsid w:val="004E1333"/>
    <w:rsid w:val="004E1345"/>
    <w:rsid w:val="004E136D"/>
    <w:rsid w:val="004E137C"/>
    <w:rsid w:val="004E1389"/>
    <w:rsid w:val="004E142B"/>
    <w:rsid w:val="004E1430"/>
    <w:rsid w:val="004E1482"/>
    <w:rsid w:val="004E14A8"/>
    <w:rsid w:val="004E14E2"/>
    <w:rsid w:val="004E1551"/>
    <w:rsid w:val="004E15A1"/>
    <w:rsid w:val="004E15B1"/>
    <w:rsid w:val="004E15B9"/>
    <w:rsid w:val="004E15BD"/>
    <w:rsid w:val="004E1609"/>
    <w:rsid w:val="004E1610"/>
    <w:rsid w:val="004E1635"/>
    <w:rsid w:val="004E166F"/>
    <w:rsid w:val="004E1741"/>
    <w:rsid w:val="004E1756"/>
    <w:rsid w:val="004E17B5"/>
    <w:rsid w:val="004E17B9"/>
    <w:rsid w:val="004E1822"/>
    <w:rsid w:val="004E1868"/>
    <w:rsid w:val="004E188C"/>
    <w:rsid w:val="004E18C1"/>
    <w:rsid w:val="004E18E1"/>
    <w:rsid w:val="004E19D0"/>
    <w:rsid w:val="004E1A11"/>
    <w:rsid w:val="004E1A20"/>
    <w:rsid w:val="004E1A24"/>
    <w:rsid w:val="004E1A86"/>
    <w:rsid w:val="004E1AB5"/>
    <w:rsid w:val="004E1ABA"/>
    <w:rsid w:val="004E1AE3"/>
    <w:rsid w:val="004E1B8A"/>
    <w:rsid w:val="004E1B8E"/>
    <w:rsid w:val="004E1BD3"/>
    <w:rsid w:val="004E1C46"/>
    <w:rsid w:val="004E1C61"/>
    <w:rsid w:val="004E1C63"/>
    <w:rsid w:val="004E1CDC"/>
    <w:rsid w:val="004E1CF7"/>
    <w:rsid w:val="004E1D2B"/>
    <w:rsid w:val="004E1D71"/>
    <w:rsid w:val="004E1DDD"/>
    <w:rsid w:val="004E1DED"/>
    <w:rsid w:val="004E1E4B"/>
    <w:rsid w:val="004E1E68"/>
    <w:rsid w:val="004E1E78"/>
    <w:rsid w:val="004E1EA1"/>
    <w:rsid w:val="004E1EAE"/>
    <w:rsid w:val="004E1EBD"/>
    <w:rsid w:val="004E1EBF"/>
    <w:rsid w:val="004E1F4C"/>
    <w:rsid w:val="004E1F75"/>
    <w:rsid w:val="004E1F9C"/>
    <w:rsid w:val="004E202B"/>
    <w:rsid w:val="004E2084"/>
    <w:rsid w:val="004E20DE"/>
    <w:rsid w:val="004E20EF"/>
    <w:rsid w:val="004E213C"/>
    <w:rsid w:val="004E2147"/>
    <w:rsid w:val="004E2151"/>
    <w:rsid w:val="004E215E"/>
    <w:rsid w:val="004E217C"/>
    <w:rsid w:val="004E2188"/>
    <w:rsid w:val="004E21F2"/>
    <w:rsid w:val="004E2284"/>
    <w:rsid w:val="004E2339"/>
    <w:rsid w:val="004E23A8"/>
    <w:rsid w:val="004E2462"/>
    <w:rsid w:val="004E24C8"/>
    <w:rsid w:val="004E2603"/>
    <w:rsid w:val="004E2605"/>
    <w:rsid w:val="004E2667"/>
    <w:rsid w:val="004E266F"/>
    <w:rsid w:val="004E269C"/>
    <w:rsid w:val="004E26E9"/>
    <w:rsid w:val="004E2701"/>
    <w:rsid w:val="004E272E"/>
    <w:rsid w:val="004E27B6"/>
    <w:rsid w:val="004E27E1"/>
    <w:rsid w:val="004E27E6"/>
    <w:rsid w:val="004E2848"/>
    <w:rsid w:val="004E286A"/>
    <w:rsid w:val="004E28AD"/>
    <w:rsid w:val="004E2922"/>
    <w:rsid w:val="004E2991"/>
    <w:rsid w:val="004E29A1"/>
    <w:rsid w:val="004E29F6"/>
    <w:rsid w:val="004E2A8B"/>
    <w:rsid w:val="004E2AC7"/>
    <w:rsid w:val="004E2AD7"/>
    <w:rsid w:val="004E2B35"/>
    <w:rsid w:val="004E2B48"/>
    <w:rsid w:val="004E2BCC"/>
    <w:rsid w:val="004E2BD9"/>
    <w:rsid w:val="004E2BEC"/>
    <w:rsid w:val="004E2C5B"/>
    <w:rsid w:val="004E2C99"/>
    <w:rsid w:val="004E2CAE"/>
    <w:rsid w:val="004E2D37"/>
    <w:rsid w:val="004E2D53"/>
    <w:rsid w:val="004E2D99"/>
    <w:rsid w:val="004E2DB9"/>
    <w:rsid w:val="004E2DEE"/>
    <w:rsid w:val="004E2E38"/>
    <w:rsid w:val="004E2E7D"/>
    <w:rsid w:val="004E2E90"/>
    <w:rsid w:val="004E2EE8"/>
    <w:rsid w:val="004E2EFE"/>
    <w:rsid w:val="004E2F2E"/>
    <w:rsid w:val="004E2F3F"/>
    <w:rsid w:val="004E2F52"/>
    <w:rsid w:val="004E2F5C"/>
    <w:rsid w:val="004E2F8E"/>
    <w:rsid w:val="004E2FCB"/>
    <w:rsid w:val="004E2FDE"/>
    <w:rsid w:val="004E3024"/>
    <w:rsid w:val="004E307C"/>
    <w:rsid w:val="004E30A1"/>
    <w:rsid w:val="004E30AE"/>
    <w:rsid w:val="004E30EB"/>
    <w:rsid w:val="004E30F7"/>
    <w:rsid w:val="004E31DE"/>
    <w:rsid w:val="004E31EA"/>
    <w:rsid w:val="004E31F8"/>
    <w:rsid w:val="004E3211"/>
    <w:rsid w:val="004E3239"/>
    <w:rsid w:val="004E3242"/>
    <w:rsid w:val="004E32C5"/>
    <w:rsid w:val="004E32CC"/>
    <w:rsid w:val="004E3350"/>
    <w:rsid w:val="004E337D"/>
    <w:rsid w:val="004E340A"/>
    <w:rsid w:val="004E341F"/>
    <w:rsid w:val="004E3431"/>
    <w:rsid w:val="004E3451"/>
    <w:rsid w:val="004E349A"/>
    <w:rsid w:val="004E349F"/>
    <w:rsid w:val="004E34A1"/>
    <w:rsid w:val="004E34B5"/>
    <w:rsid w:val="004E34E7"/>
    <w:rsid w:val="004E352E"/>
    <w:rsid w:val="004E354E"/>
    <w:rsid w:val="004E3572"/>
    <w:rsid w:val="004E357A"/>
    <w:rsid w:val="004E3584"/>
    <w:rsid w:val="004E35D6"/>
    <w:rsid w:val="004E35E5"/>
    <w:rsid w:val="004E361C"/>
    <w:rsid w:val="004E36FC"/>
    <w:rsid w:val="004E3711"/>
    <w:rsid w:val="004E371B"/>
    <w:rsid w:val="004E3762"/>
    <w:rsid w:val="004E3789"/>
    <w:rsid w:val="004E382B"/>
    <w:rsid w:val="004E382F"/>
    <w:rsid w:val="004E385D"/>
    <w:rsid w:val="004E38B7"/>
    <w:rsid w:val="004E3912"/>
    <w:rsid w:val="004E397B"/>
    <w:rsid w:val="004E3984"/>
    <w:rsid w:val="004E398F"/>
    <w:rsid w:val="004E3A79"/>
    <w:rsid w:val="004E3A8A"/>
    <w:rsid w:val="004E3AB5"/>
    <w:rsid w:val="004E3B81"/>
    <w:rsid w:val="004E3BCF"/>
    <w:rsid w:val="004E3C0C"/>
    <w:rsid w:val="004E3C11"/>
    <w:rsid w:val="004E3C3B"/>
    <w:rsid w:val="004E3C61"/>
    <w:rsid w:val="004E3C65"/>
    <w:rsid w:val="004E3CA1"/>
    <w:rsid w:val="004E3CBD"/>
    <w:rsid w:val="004E3CFB"/>
    <w:rsid w:val="004E3D7C"/>
    <w:rsid w:val="004E3D99"/>
    <w:rsid w:val="004E3DA4"/>
    <w:rsid w:val="004E3DB8"/>
    <w:rsid w:val="004E3DBD"/>
    <w:rsid w:val="004E3DC5"/>
    <w:rsid w:val="004E3E36"/>
    <w:rsid w:val="004E3E46"/>
    <w:rsid w:val="004E3F0F"/>
    <w:rsid w:val="004E3F16"/>
    <w:rsid w:val="004E3F82"/>
    <w:rsid w:val="004E3F9A"/>
    <w:rsid w:val="004E3FB8"/>
    <w:rsid w:val="004E4039"/>
    <w:rsid w:val="004E40BD"/>
    <w:rsid w:val="004E40D5"/>
    <w:rsid w:val="004E4111"/>
    <w:rsid w:val="004E4138"/>
    <w:rsid w:val="004E4163"/>
    <w:rsid w:val="004E4165"/>
    <w:rsid w:val="004E41B3"/>
    <w:rsid w:val="004E421A"/>
    <w:rsid w:val="004E4240"/>
    <w:rsid w:val="004E4242"/>
    <w:rsid w:val="004E4257"/>
    <w:rsid w:val="004E425F"/>
    <w:rsid w:val="004E42A4"/>
    <w:rsid w:val="004E42D2"/>
    <w:rsid w:val="004E4304"/>
    <w:rsid w:val="004E4334"/>
    <w:rsid w:val="004E43A9"/>
    <w:rsid w:val="004E43AE"/>
    <w:rsid w:val="004E43CE"/>
    <w:rsid w:val="004E43F3"/>
    <w:rsid w:val="004E4410"/>
    <w:rsid w:val="004E4429"/>
    <w:rsid w:val="004E455E"/>
    <w:rsid w:val="004E4571"/>
    <w:rsid w:val="004E458E"/>
    <w:rsid w:val="004E45D6"/>
    <w:rsid w:val="004E45D9"/>
    <w:rsid w:val="004E45EC"/>
    <w:rsid w:val="004E45F1"/>
    <w:rsid w:val="004E4602"/>
    <w:rsid w:val="004E4640"/>
    <w:rsid w:val="004E4682"/>
    <w:rsid w:val="004E46F8"/>
    <w:rsid w:val="004E472C"/>
    <w:rsid w:val="004E4784"/>
    <w:rsid w:val="004E47C8"/>
    <w:rsid w:val="004E4803"/>
    <w:rsid w:val="004E4887"/>
    <w:rsid w:val="004E489A"/>
    <w:rsid w:val="004E48C0"/>
    <w:rsid w:val="004E48C2"/>
    <w:rsid w:val="004E48D1"/>
    <w:rsid w:val="004E4910"/>
    <w:rsid w:val="004E49F1"/>
    <w:rsid w:val="004E4A17"/>
    <w:rsid w:val="004E4A62"/>
    <w:rsid w:val="004E4A7D"/>
    <w:rsid w:val="004E4A86"/>
    <w:rsid w:val="004E4A8E"/>
    <w:rsid w:val="004E4A8F"/>
    <w:rsid w:val="004E4A9C"/>
    <w:rsid w:val="004E4ABA"/>
    <w:rsid w:val="004E4AC3"/>
    <w:rsid w:val="004E4AC4"/>
    <w:rsid w:val="004E4AF4"/>
    <w:rsid w:val="004E4B56"/>
    <w:rsid w:val="004E4B65"/>
    <w:rsid w:val="004E4BC6"/>
    <w:rsid w:val="004E4BED"/>
    <w:rsid w:val="004E4C66"/>
    <w:rsid w:val="004E4C87"/>
    <w:rsid w:val="004E4C96"/>
    <w:rsid w:val="004E4D6C"/>
    <w:rsid w:val="004E4D76"/>
    <w:rsid w:val="004E4D7C"/>
    <w:rsid w:val="004E4DE0"/>
    <w:rsid w:val="004E4DE4"/>
    <w:rsid w:val="004E4E7A"/>
    <w:rsid w:val="004E4E7C"/>
    <w:rsid w:val="004E4EBC"/>
    <w:rsid w:val="004E4EFF"/>
    <w:rsid w:val="004E4F09"/>
    <w:rsid w:val="004E4F0F"/>
    <w:rsid w:val="004E4F7A"/>
    <w:rsid w:val="004E4FC4"/>
    <w:rsid w:val="004E4FF2"/>
    <w:rsid w:val="004E5078"/>
    <w:rsid w:val="004E5091"/>
    <w:rsid w:val="004E5110"/>
    <w:rsid w:val="004E511B"/>
    <w:rsid w:val="004E5147"/>
    <w:rsid w:val="004E5168"/>
    <w:rsid w:val="004E516E"/>
    <w:rsid w:val="004E520A"/>
    <w:rsid w:val="004E5236"/>
    <w:rsid w:val="004E5252"/>
    <w:rsid w:val="004E52A3"/>
    <w:rsid w:val="004E52B0"/>
    <w:rsid w:val="004E533F"/>
    <w:rsid w:val="004E5391"/>
    <w:rsid w:val="004E53D2"/>
    <w:rsid w:val="004E53EC"/>
    <w:rsid w:val="004E53F9"/>
    <w:rsid w:val="004E542C"/>
    <w:rsid w:val="004E5442"/>
    <w:rsid w:val="004E54A9"/>
    <w:rsid w:val="004E557F"/>
    <w:rsid w:val="004E5582"/>
    <w:rsid w:val="004E5615"/>
    <w:rsid w:val="004E5675"/>
    <w:rsid w:val="004E5699"/>
    <w:rsid w:val="004E574C"/>
    <w:rsid w:val="004E57A6"/>
    <w:rsid w:val="004E57F4"/>
    <w:rsid w:val="004E5805"/>
    <w:rsid w:val="004E5815"/>
    <w:rsid w:val="004E5839"/>
    <w:rsid w:val="004E5861"/>
    <w:rsid w:val="004E5896"/>
    <w:rsid w:val="004E58F0"/>
    <w:rsid w:val="004E5908"/>
    <w:rsid w:val="004E5938"/>
    <w:rsid w:val="004E593D"/>
    <w:rsid w:val="004E596E"/>
    <w:rsid w:val="004E59CF"/>
    <w:rsid w:val="004E5A50"/>
    <w:rsid w:val="004E5A5A"/>
    <w:rsid w:val="004E5A7F"/>
    <w:rsid w:val="004E5B30"/>
    <w:rsid w:val="004E5B36"/>
    <w:rsid w:val="004E5B62"/>
    <w:rsid w:val="004E5B82"/>
    <w:rsid w:val="004E5B8C"/>
    <w:rsid w:val="004E5BC0"/>
    <w:rsid w:val="004E5BF0"/>
    <w:rsid w:val="004E5C23"/>
    <w:rsid w:val="004E5C60"/>
    <w:rsid w:val="004E5C89"/>
    <w:rsid w:val="004E5C9C"/>
    <w:rsid w:val="004E5CE3"/>
    <w:rsid w:val="004E5CEE"/>
    <w:rsid w:val="004E5CEF"/>
    <w:rsid w:val="004E5D70"/>
    <w:rsid w:val="004E5D74"/>
    <w:rsid w:val="004E5DCD"/>
    <w:rsid w:val="004E5DDD"/>
    <w:rsid w:val="004E5DF5"/>
    <w:rsid w:val="004E5E2F"/>
    <w:rsid w:val="004E5F3C"/>
    <w:rsid w:val="004E5FB0"/>
    <w:rsid w:val="004E5FD8"/>
    <w:rsid w:val="004E6026"/>
    <w:rsid w:val="004E6036"/>
    <w:rsid w:val="004E611D"/>
    <w:rsid w:val="004E6148"/>
    <w:rsid w:val="004E615D"/>
    <w:rsid w:val="004E61B6"/>
    <w:rsid w:val="004E61BC"/>
    <w:rsid w:val="004E61E4"/>
    <w:rsid w:val="004E622C"/>
    <w:rsid w:val="004E626F"/>
    <w:rsid w:val="004E62D3"/>
    <w:rsid w:val="004E62EA"/>
    <w:rsid w:val="004E6304"/>
    <w:rsid w:val="004E632A"/>
    <w:rsid w:val="004E6387"/>
    <w:rsid w:val="004E6390"/>
    <w:rsid w:val="004E63AC"/>
    <w:rsid w:val="004E63B8"/>
    <w:rsid w:val="004E63E0"/>
    <w:rsid w:val="004E6419"/>
    <w:rsid w:val="004E6489"/>
    <w:rsid w:val="004E649E"/>
    <w:rsid w:val="004E6559"/>
    <w:rsid w:val="004E6560"/>
    <w:rsid w:val="004E6591"/>
    <w:rsid w:val="004E65CA"/>
    <w:rsid w:val="004E65DD"/>
    <w:rsid w:val="004E65F0"/>
    <w:rsid w:val="004E6666"/>
    <w:rsid w:val="004E66C7"/>
    <w:rsid w:val="004E66D7"/>
    <w:rsid w:val="004E66FF"/>
    <w:rsid w:val="004E6738"/>
    <w:rsid w:val="004E67AF"/>
    <w:rsid w:val="004E67B8"/>
    <w:rsid w:val="004E67DA"/>
    <w:rsid w:val="004E6801"/>
    <w:rsid w:val="004E681A"/>
    <w:rsid w:val="004E6821"/>
    <w:rsid w:val="004E682C"/>
    <w:rsid w:val="004E683C"/>
    <w:rsid w:val="004E6850"/>
    <w:rsid w:val="004E6852"/>
    <w:rsid w:val="004E6885"/>
    <w:rsid w:val="004E6886"/>
    <w:rsid w:val="004E6891"/>
    <w:rsid w:val="004E6898"/>
    <w:rsid w:val="004E68B6"/>
    <w:rsid w:val="004E68BC"/>
    <w:rsid w:val="004E6925"/>
    <w:rsid w:val="004E69FD"/>
    <w:rsid w:val="004E6A18"/>
    <w:rsid w:val="004E6A82"/>
    <w:rsid w:val="004E6A86"/>
    <w:rsid w:val="004E6A92"/>
    <w:rsid w:val="004E6A97"/>
    <w:rsid w:val="004E6AA9"/>
    <w:rsid w:val="004E6AAC"/>
    <w:rsid w:val="004E6AED"/>
    <w:rsid w:val="004E6AF6"/>
    <w:rsid w:val="004E6B0E"/>
    <w:rsid w:val="004E6B82"/>
    <w:rsid w:val="004E6B98"/>
    <w:rsid w:val="004E6BA0"/>
    <w:rsid w:val="004E6C0D"/>
    <w:rsid w:val="004E6C47"/>
    <w:rsid w:val="004E6C81"/>
    <w:rsid w:val="004E6C9D"/>
    <w:rsid w:val="004E6C9F"/>
    <w:rsid w:val="004E6CAE"/>
    <w:rsid w:val="004E6D08"/>
    <w:rsid w:val="004E6D14"/>
    <w:rsid w:val="004E6D4F"/>
    <w:rsid w:val="004E6DCB"/>
    <w:rsid w:val="004E6E01"/>
    <w:rsid w:val="004E6E5E"/>
    <w:rsid w:val="004E6EF8"/>
    <w:rsid w:val="004E6EF9"/>
    <w:rsid w:val="004E6F7B"/>
    <w:rsid w:val="004E6FB9"/>
    <w:rsid w:val="004E6FC0"/>
    <w:rsid w:val="004E6FD9"/>
    <w:rsid w:val="004E707B"/>
    <w:rsid w:val="004E7090"/>
    <w:rsid w:val="004E70D1"/>
    <w:rsid w:val="004E70DA"/>
    <w:rsid w:val="004E70F2"/>
    <w:rsid w:val="004E7135"/>
    <w:rsid w:val="004E7148"/>
    <w:rsid w:val="004E718A"/>
    <w:rsid w:val="004E71AB"/>
    <w:rsid w:val="004E71FE"/>
    <w:rsid w:val="004E723C"/>
    <w:rsid w:val="004E7265"/>
    <w:rsid w:val="004E72B0"/>
    <w:rsid w:val="004E7357"/>
    <w:rsid w:val="004E736A"/>
    <w:rsid w:val="004E73C1"/>
    <w:rsid w:val="004E73CB"/>
    <w:rsid w:val="004E748A"/>
    <w:rsid w:val="004E74AE"/>
    <w:rsid w:val="004E750F"/>
    <w:rsid w:val="004E7558"/>
    <w:rsid w:val="004E757A"/>
    <w:rsid w:val="004E75EF"/>
    <w:rsid w:val="004E761C"/>
    <w:rsid w:val="004E7660"/>
    <w:rsid w:val="004E76A9"/>
    <w:rsid w:val="004E76D1"/>
    <w:rsid w:val="004E77BC"/>
    <w:rsid w:val="004E7803"/>
    <w:rsid w:val="004E7843"/>
    <w:rsid w:val="004E7894"/>
    <w:rsid w:val="004E78C9"/>
    <w:rsid w:val="004E795B"/>
    <w:rsid w:val="004E7982"/>
    <w:rsid w:val="004E79DF"/>
    <w:rsid w:val="004E79E7"/>
    <w:rsid w:val="004E7A50"/>
    <w:rsid w:val="004E7A63"/>
    <w:rsid w:val="004E7A8B"/>
    <w:rsid w:val="004E7AAA"/>
    <w:rsid w:val="004E7AD1"/>
    <w:rsid w:val="004E7AE9"/>
    <w:rsid w:val="004E7B38"/>
    <w:rsid w:val="004E7B40"/>
    <w:rsid w:val="004E7B4F"/>
    <w:rsid w:val="004E7B6D"/>
    <w:rsid w:val="004E7C06"/>
    <w:rsid w:val="004E7C07"/>
    <w:rsid w:val="004E7C45"/>
    <w:rsid w:val="004E7C63"/>
    <w:rsid w:val="004E7C7E"/>
    <w:rsid w:val="004E7CA0"/>
    <w:rsid w:val="004E7CAD"/>
    <w:rsid w:val="004E7CBA"/>
    <w:rsid w:val="004E7CBC"/>
    <w:rsid w:val="004E7CF0"/>
    <w:rsid w:val="004E7D23"/>
    <w:rsid w:val="004E7DF0"/>
    <w:rsid w:val="004E7E41"/>
    <w:rsid w:val="004E7E4B"/>
    <w:rsid w:val="004E7E89"/>
    <w:rsid w:val="004E7EAE"/>
    <w:rsid w:val="004E7EBA"/>
    <w:rsid w:val="004E7EEE"/>
    <w:rsid w:val="004E7F2B"/>
    <w:rsid w:val="004E7F4E"/>
    <w:rsid w:val="004E7F80"/>
    <w:rsid w:val="004E7FD2"/>
    <w:rsid w:val="004E7FD4"/>
    <w:rsid w:val="004E7FEC"/>
    <w:rsid w:val="004E7FFA"/>
    <w:rsid w:val="004E7FFD"/>
    <w:rsid w:val="004F001A"/>
    <w:rsid w:val="004F0046"/>
    <w:rsid w:val="004F008D"/>
    <w:rsid w:val="004F00D7"/>
    <w:rsid w:val="004F00F9"/>
    <w:rsid w:val="004F0106"/>
    <w:rsid w:val="004F0138"/>
    <w:rsid w:val="004F0171"/>
    <w:rsid w:val="004F0174"/>
    <w:rsid w:val="004F0183"/>
    <w:rsid w:val="004F018B"/>
    <w:rsid w:val="004F01FB"/>
    <w:rsid w:val="004F024A"/>
    <w:rsid w:val="004F0285"/>
    <w:rsid w:val="004F028E"/>
    <w:rsid w:val="004F02A6"/>
    <w:rsid w:val="004F030D"/>
    <w:rsid w:val="004F037A"/>
    <w:rsid w:val="004F039E"/>
    <w:rsid w:val="004F03D4"/>
    <w:rsid w:val="004F040B"/>
    <w:rsid w:val="004F041A"/>
    <w:rsid w:val="004F0434"/>
    <w:rsid w:val="004F044F"/>
    <w:rsid w:val="004F047C"/>
    <w:rsid w:val="004F051F"/>
    <w:rsid w:val="004F05EB"/>
    <w:rsid w:val="004F063F"/>
    <w:rsid w:val="004F0644"/>
    <w:rsid w:val="004F0653"/>
    <w:rsid w:val="004F0689"/>
    <w:rsid w:val="004F0690"/>
    <w:rsid w:val="004F06B9"/>
    <w:rsid w:val="004F077B"/>
    <w:rsid w:val="004F07AC"/>
    <w:rsid w:val="004F07B0"/>
    <w:rsid w:val="004F07E3"/>
    <w:rsid w:val="004F081C"/>
    <w:rsid w:val="004F087E"/>
    <w:rsid w:val="004F089B"/>
    <w:rsid w:val="004F08A1"/>
    <w:rsid w:val="004F08D3"/>
    <w:rsid w:val="004F0923"/>
    <w:rsid w:val="004F099B"/>
    <w:rsid w:val="004F099E"/>
    <w:rsid w:val="004F0A2E"/>
    <w:rsid w:val="004F0A81"/>
    <w:rsid w:val="004F0A90"/>
    <w:rsid w:val="004F0AAA"/>
    <w:rsid w:val="004F0AB0"/>
    <w:rsid w:val="004F0ACD"/>
    <w:rsid w:val="004F0ADB"/>
    <w:rsid w:val="004F0AE8"/>
    <w:rsid w:val="004F0AF3"/>
    <w:rsid w:val="004F0B5E"/>
    <w:rsid w:val="004F0BDF"/>
    <w:rsid w:val="004F0C19"/>
    <w:rsid w:val="004F0C2D"/>
    <w:rsid w:val="004F0C43"/>
    <w:rsid w:val="004F0C64"/>
    <w:rsid w:val="004F0C6B"/>
    <w:rsid w:val="004F0CF4"/>
    <w:rsid w:val="004F0D0D"/>
    <w:rsid w:val="004F0D1E"/>
    <w:rsid w:val="004F0DBE"/>
    <w:rsid w:val="004F0DC9"/>
    <w:rsid w:val="004F0E49"/>
    <w:rsid w:val="004F0EA0"/>
    <w:rsid w:val="004F0F6C"/>
    <w:rsid w:val="004F0F78"/>
    <w:rsid w:val="004F0FFB"/>
    <w:rsid w:val="004F1010"/>
    <w:rsid w:val="004F1012"/>
    <w:rsid w:val="004F101D"/>
    <w:rsid w:val="004F1030"/>
    <w:rsid w:val="004F1090"/>
    <w:rsid w:val="004F10CB"/>
    <w:rsid w:val="004F110B"/>
    <w:rsid w:val="004F1118"/>
    <w:rsid w:val="004F111E"/>
    <w:rsid w:val="004F112C"/>
    <w:rsid w:val="004F1132"/>
    <w:rsid w:val="004F1138"/>
    <w:rsid w:val="004F113B"/>
    <w:rsid w:val="004F1153"/>
    <w:rsid w:val="004F1194"/>
    <w:rsid w:val="004F119F"/>
    <w:rsid w:val="004F1213"/>
    <w:rsid w:val="004F1219"/>
    <w:rsid w:val="004F1263"/>
    <w:rsid w:val="004F126D"/>
    <w:rsid w:val="004F12DF"/>
    <w:rsid w:val="004F1308"/>
    <w:rsid w:val="004F1316"/>
    <w:rsid w:val="004F1333"/>
    <w:rsid w:val="004F137E"/>
    <w:rsid w:val="004F1402"/>
    <w:rsid w:val="004F141D"/>
    <w:rsid w:val="004F14C0"/>
    <w:rsid w:val="004F1500"/>
    <w:rsid w:val="004F1582"/>
    <w:rsid w:val="004F158B"/>
    <w:rsid w:val="004F159D"/>
    <w:rsid w:val="004F15F8"/>
    <w:rsid w:val="004F1603"/>
    <w:rsid w:val="004F1615"/>
    <w:rsid w:val="004F162E"/>
    <w:rsid w:val="004F166E"/>
    <w:rsid w:val="004F16AF"/>
    <w:rsid w:val="004F172E"/>
    <w:rsid w:val="004F1761"/>
    <w:rsid w:val="004F17D4"/>
    <w:rsid w:val="004F17E7"/>
    <w:rsid w:val="004F17EC"/>
    <w:rsid w:val="004F186A"/>
    <w:rsid w:val="004F18A1"/>
    <w:rsid w:val="004F18BA"/>
    <w:rsid w:val="004F18D0"/>
    <w:rsid w:val="004F1906"/>
    <w:rsid w:val="004F1918"/>
    <w:rsid w:val="004F193E"/>
    <w:rsid w:val="004F1956"/>
    <w:rsid w:val="004F1A1E"/>
    <w:rsid w:val="004F1A31"/>
    <w:rsid w:val="004F1A85"/>
    <w:rsid w:val="004F1AC6"/>
    <w:rsid w:val="004F1B0B"/>
    <w:rsid w:val="004F1B45"/>
    <w:rsid w:val="004F1B7E"/>
    <w:rsid w:val="004F1B88"/>
    <w:rsid w:val="004F1BE9"/>
    <w:rsid w:val="004F1C44"/>
    <w:rsid w:val="004F1C5D"/>
    <w:rsid w:val="004F1C89"/>
    <w:rsid w:val="004F1CC9"/>
    <w:rsid w:val="004F1CCF"/>
    <w:rsid w:val="004F1D49"/>
    <w:rsid w:val="004F1D78"/>
    <w:rsid w:val="004F1D97"/>
    <w:rsid w:val="004F1DF7"/>
    <w:rsid w:val="004F1E0B"/>
    <w:rsid w:val="004F1E85"/>
    <w:rsid w:val="004F1E87"/>
    <w:rsid w:val="004F1E9D"/>
    <w:rsid w:val="004F1EAA"/>
    <w:rsid w:val="004F1F38"/>
    <w:rsid w:val="004F1F4E"/>
    <w:rsid w:val="004F1F61"/>
    <w:rsid w:val="004F1F87"/>
    <w:rsid w:val="004F1FC0"/>
    <w:rsid w:val="004F1FC1"/>
    <w:rsid w:val="004F1FE0"/>
    <w:rsid w:val="004F1FE8"/>
    <w:rsid w:val="004F1FF9"/>
    <w:rsid w:val="004F2029"/>
    <w:rsid w:val="004F202E"/>
    <w:rsid w:val="004F205F"/>
    <w:rsid w:val="004F2082"/>
    <w:rsid w:val="004F20D1"/>
    <w:rsid w:val="004F2108"/>
    <w:rsid w:val="004F215B"/>
    <w:rsid w:val="004F2264"/>
    <w:rsid w:val="004F22D8"/>
    <w:rsid w:val="004F22DE"/>
    <w:rsid w:val="004F22E8"/>
    <w:rsid w:val="004F2399"/>
    <w:rsid w:val="004F23CB"/>
    <w:rsid w:val="004F23DC"/>
    <w:rsid w:val="004F23E7"/>
    <w:rsid w:val="004F23E8"/>
    <w:rsid w:val="004F2487"/>
    <w:rsid w:val="004F2490"/>
    <w:rsid w:val="004F24BE"/>
    <w:rsid w:val="004F24C3"/>
    <w:rsid w:val="004F24FD"/>
    <w:rsid w:val="004F2505"/>
    <w:rsid w:val="004F2529"/>
    <w:rsid w:val="004F2550"/>
    <w:rsid w:val="004F2575"/>
    <w:rsid w:val="004F260E"/>
    <w:rsid w:val="004F2618"/>
    <w:rsid w:val="004F266F"/>
    <w:rsid w:val="004F26B7"/>
    <w:rsid w:val="004F2728"/>
    <w:rsid w:val="004F27A1"/>
    <w:rsid w:val="004F27FC"/>
    <w:rsid w:val="004F27FF"/>
    <w:rsid w:val="004F2814"/>
    <w:rsid w:val="004F2819"/>
    <w:rsid w:val="004F285B"/>
    <w:rsid w:val="004F2895"/>
    <w:rsid w:val="004F28C5"/>
    <w:rsid w:val="004F28CA"/>
    <w:rsid w:val="004F28EB"/>
    <w:rsid w:val="004F292E"/>
    <w:rsid w:val="004F2943"/>
    <w:rsid w:val="004F2947"/>
    <w:rsid w:val="004F29C1"/>
    <w:rsid w:val="004F29F3"/>
    <w:rsid w:val="004F2A0C"/>
    <w:rsid w:val="004F2A4C"/>
    <w:rsid w:val="004F2A67"/>
    <w:rsid w:val="004F2A8E"/>
    <w:rsid w:val="004F2B24"/>
    <w:rsid w:val="004F2B27"/>
    <w:rsid w:val="004F2BDF"/>
    <w:rsid w:val="004F2C0F"/>
    <w:rsid w:val="004F2C81"/>
    <w:rsid w:val="004F2C8D"/>
    <w:rsid w:val="004F2C95"/>
    <w:rsid w:val="004F2CAD"/>
    <w:rsid w:val="004F2CB3"/>
    <w:rsid w:val="004F2CCB"/>
    <w:rsid w:val="004F2CDA"/>
    <w:rsid w:val="004F2D4F"/>
    <w:rsid w:val="004F2D62"/>
    <w:rsid w:val="004F2D6C"/>
    <w:rsid w:val="004F2D74"/>
    <w:rsid w:val="004F2DF5"/>
    <w:rsid w:val="004F2E51"/>
    <w:rsid w:val="004F2E7A"/>
    <w:rsid w:val="004F2E87"/>
    <w:rsid w:val="004F2E9F"/>
    <w:rsid w:val="004F2F1C"/>
    <w:rsid w:val="004F2FF0"/>
    <w:rsid w:val="004F2FF7"/>
    <w:rsid w:val="004F3008"/>
    <w:rsid w:val="004F3013"/>
    <w:rsid w:val="004F3028"/>
    <w:rsid w:val="004F3067"/>
    <w:rsid w:val="004F3094"/>
    <w:rsid w:val="004F30C6"/>
    <w:rsid w:val="004F312B"/>
    <w:rsid w:val="004F3173"/>
    <w:rsid w:val="004F320C"/>
    <w:rsid w:val="004F324A"/>
    <w:rsid w:val="004F3272"/>
    <w:rsid w:val="004F32A2"/>
    <w:rsid w:val="004F32E8"/>
    <w:rsid w:val="004F3332"/>
    <w:rsid w:val="004F3384"/>
    <w:rsid w:val="004F33C3"/>
    <w:rsid w:val="004F345A"/>
    <w:rsid w:val="004F3468"/>
    <w:rsid w:val="004F34DC"/>
    <w:rsid w:val="004F352E"/>
    <w:rsid w:val="004F352F"/>
    <w:rsid w:val="004F358F"/>
    <w:rsid w:val="004F3599"/>
    <w:rsid w:val="004F361E"/>
    <w:rsid w:val="004F362B"/>
    <w:rsid w:val="004F3638"/>
    <w:rsid w:val="004F3674"/>
    <w:rsid w:val="004F36D5"/>
    <w:rsid w:val="004F36D7"/>
    <w:rsid w:val="004F3702"/>
    <w:rsid w:val="004F3710"/>
    <w:rsid w:val="004F374F"/>
    <w:rsid w:val="004F3798"/>
    <w:rsid w:val="004F37D4"/>
    <w:rsid w:val="004F3861"/>
    <w:rsid w:val="004F3868"/>
    <w:rsid w:val="004F38E6"/>
    <w:rsid w:val="004F398D"/>
    <w:rsid w:val="004F39A4"/>
    <w:rsid w:val="004F39A5"/>
    <w:rsid w:val="004F39CE"/>
    <w:rsid w:val="004F39D7"/>
    <w:rsid w:val="004F3A4E"/>
    <w:rsid w:val="004F3A9B"/>
    <w:rsid w:val="004F3AD4"/>
    <w:rsid w:val="004F3AD8"/>
    <w:rsid w:val="004F3AE5"/>
    <w:rsid w:val="004F3B69"/>
    <w:rsid w:val="004F3B97"/>
    <w:rsid w:val="004F3BAE"/>
    <w:rsid w:val="004F3C11"/>
    <w:rsid w:val="004F3C98"/>
    <w:rsid w:val="004F3CD9"/>
    <w:rsid w:val="004F3CDC"/>
    <w:rsid w:val="004F3D61"/>
    <w:rsid w:val="004F3D7B"/>
    <w:rsid w:val="004F3D8D"/>
    <w:rsid w:val="004F3DD4"/>
    <w:rsid w:val="004F3E47"/>
    <w:rsid w:val="004F3E72"/>
    <w:rsid w:val="004F3E98"/>
    <w:rsid w:val="004F3ECC"/>
    <w:rsid w:val="004F3F8B"/>
    <w:rsid w:val="004F3FAA"/>
    <w:rsid w:val="004F4049"/>
    <w:rsid w:val="004F406F"/>
    <w:rsid w:val="004F4089"/>
    <w:rsid w:val="004F40A8"/>
    <w:rsid w:val="004F40E1"/>
    <w:rsid w:val="004F40E9"/>
    <w:rsid w:val="004F40F5"/>
    <w:rsid w:val="004F41D3"/>
    <w:rsid w:val="004F41F3"/>
    <w:rsid w:val="004F4212"/>
    <w:rsid w:val="004F4229"/>
    <w:rsid w:val="004F422E"/>
    <w:rsid w:val="004F424C"/>
    <w:rsid w:val="004F4263"/>
    <w:rsid w:val="004F42D6"/>
    <w:rsid w:val="004F434E"/>
    <w:rsid w:val="004F4355"/>
    <w:rsid w:val="004F4368"/>
    <w:rsid w:val="004F43A0"/>
    <w:rsid w:val="004F440D"/>
    <w:rsid w:val="004F448E"/>
    <w:rsid w:val="004F4547"/>
    <w:rsid w:val="004F455C"/>
    <w:rsid w:val="004F457A"/>
    <w:rsid w:val="004F457E"/>
    <w:rsid w:val="004F459F"/>
    <w:rsid w:val="004F4612"/>
    <w:rsid w:val="004F4623"/>
    <w:rsid w:val="004F462F"/>
    <w:rsid w:val="004F4646"/>
    <w:rsid w:val="004F4649"/>
    <w:rsid w:val="004F464B"/>
    <w:rsid w:val="004F4661"/>
    <w:rsid w:val="004F466E"/>
    <w:rsid w:val="004F46DC"/>
    <w:rsid w:val="004F4725"/>
    <w:rsid w:val="004F473A"/>
    <w:rsid w:val="004F4757"/>
    <w:rsid w:val="004F479F"/>
    <w:rsid w:val="004F47ED"/>
    <w:rsid w:val="004F483F"/>
    <w:rsid w:val="004F4841"/>
    <w:rsid w:val="004F4869"/>
    <w:rsid w:val="004F4874"/>
    <w:rsid w:val="004F49E5"/>
    <w:rsid w:val="004F4A20"/>
    <w:rsid w:val="004F4A37"/>
    <w:rsid w:val="004F4B1C"/>
    <w:rsid w:val="004F4B2A"/>
    <w:rsid w:val="004F4B47"/>
    <w:rsid w:val="004F4B5D"/>
    <w:rsid w:val="004F4BAC"/>
    <w:rsid w:val="004F4C1F"/>
    <w:rsid w:val="004F4C26"/>
    <w:rsid w:val="004F4C7A"/>
    <w:rsid w:val="004F4C9D"/>
    <w:rsid w:val="004F4CBC"/>
    <w:rsid w:val="004F4CFF"/>
    <w:rsid w:val="004F4D38"/>
    <w:rsid w:val="004F4DDF"/>
    <w:rsid w:val="004F4E31"/>
    <w:rsid w:val="004F4E6A"/>
    <w:rsid w:val="004F4E9F"/>
    <w:rsid w:val="004F4EE1"/>
    <w:rsid w:val="004F4F29"/>
    <w:rsid w:val="004F4FA7"/>
    <w:rsid w:val="004F5027"/>
    <w:rsid w:val="004F5044"/>
    <w:rsid w:val="004F5047"/>
    <w:rsid w:val="004F5056"/>
    <w:rsid w:val="004F5080"/>
    <w:rsid w:val="004F508B"/>
    <w:rsid w:val="004F509B"/>
    <w:rsid w:val="004F50AF"/>
    <w:rsid w:val="004F50E0"/>
    <w:rsid w:val="004F5102"/>
    <w:rsid w:val="004F51BD"/>
    <w:rsid w:val="004F526F"/>
    <w:rsid w:val="004F5298"/>
    <w:rsid w:val="004F5315"/>
    <w:rsid w:val="004F5344"/>
    <w:rsid w:val="004F538D"/>
    <w:rsid w:val="004F53D8"/>
    <w:rsid w:val="004F53DC"/>
    <w:rsid w:val="004F53DF"/>
    <w:rsid w:val="004F53E6"/>
    <w:rsid w:val="004F5450"/>
    <w:rsid w:val="004F54AD"/>
    <w:rsid w:val="004F54BC"/>
    <w:rsid w:val="004F54BF"/>
    <w:rsid w:val="004F5512"/>
    <w:rsid w:val="004F5584"/>
    <w:rsid w:val="004F55BD"/>
    <w:rsid w:val="004F56AD"/>
    <w:rsid w:val="004F56E8"/>
    <w:rsid w:val="004F570A"/>
    <w:rsid w:val="004F570D"/>
    <w:rsid w:val="004F5744"/>
    <w:rsid w:val="004F574C"/>
    <w:rsid w:val="004F576A"/>
    <w:rsid w:val="004F5781"/>
    <w:rsid w:val="004F578A"/>
    <w:rsid w:val="004F5792"/>
    <w:rsid w:val="004F5793"/>
    <w:rsid w:val="004F57C1"/>
    <w:rsid w:val="004F57FF"/>
    <w:rsid w:val="004F580B"/>
    <w:rsid w:val="004F58B0"/>
    <w:rsid w:val="004F5907"/>
    <w:rsid w:val="004F5921"/>
    <w:rsid w:val="004F594C"/>
    <w:rsid w:val="004F596F"/>
    <w:rsid w:val="004F599D"/>
    <w:rsid w:val="004F59CB"/>
    <w:rsid w:val="004F59E2"/>
    <w:rsid w:val="004F5A05"/>
    <w:rsid w:val="004F5A14"/>
    <w:rsid w:val="004F5A24"/>
    <w:rsid w:val="004F5A5B"/>
    <w:rsid w:val="004F5A7B"/>
    <w:rsid w:val="004F5A9E"/>
    <w:rsid w:val="004F5AD5"/>
    <w:rsid w:val="004F5AE3"/>
    <w:rsid w:val="004F5B0C"/>
    <w:rsid w:val="004F5B8D"/>
    <w:rsid w:val="004F5C26"/>
    <w:rsid w:val="004F5C69"/>
    <w:rsid w:val="004F5C6D"/>
    <w:rsid w:val="004F5C7A"/>
    <w:rsid w:val="004F5CA8"/>
    <w:rsid w:val="004F5CAD"/>
    <w:rsid w:val="004F5CC6"/>
    <w:rsid w:val="004F5CD2"/>
    <w:rsid w:val="004F5D12"/>
    <w:rsid w:val="004F5D65"/>
    <w:rsid w:val="004F5D77"/>
    <w:rsid w:val="004F5DDD"/>
    <w:rsid w:val="004F5E09"/>
    <w:rsid w:val="004F5E39"/>
    <w:rsid w:val="004F5E49"/>
    <w:rsid w:val="004F5E86"/>
    <w:rsid w:val="004F5E99"/>
    <w:rsid w:val="004F5EAB"/>
    <w:rsid w:val="004F5ECB"/>
    <w:rsid w:val="004F5EE8"/>
    <w:rsid w:val="004F5F1E"/>
    <w:rsid w:val="004F5F32"/>
    <w:rsid w:val="004F5F72"/>
    <w:rsid w:val="004F5FB9"/>
    <w:rsid w:val="004F5FCB"/>
    <w:rsid w:val="004F5FE6"/>
    <w:rsid w:val="004F6029"/>
    <w:rsid w:val="004F6043"/>
    <w:rsid w:val="004F6074"/>
    <w:rsid w:val="004F60A5"/>
    <w:rsid w:val="004F60D7"/>
    <w:rsid w:val="004F60FE"/>
    <w:rsid w:val="004F6148"/>
    <w:rsid w:val="004F6157"/>
    <w:rsid w:val="004F61A3"/>
    <w:rsid w:val="004F6207"/>
    <w:rsid w:val="004F6261"/>
    <w:rsid w:val="004F626D"/>
    <w:rsid w:val="004F627A"/>
    <w:rsid w:val="004F63AD"/>
    <w:rsid w:val="004F63F0"/>
    <w:rsid w:val="004F6476"/>
    <w:rsid w:val="004F6509"/>
    <w:rsid w:val="004F6546"/>
    <w:rsid w:val="004F6550"/>
    <w:rsid w:val="004F6575"/>
    <w:rsid w:val="004F657B"/>
    <w:rsid w:val="004F6606"/>
    <w:rsid w:val="004F6642"/>
    <w:rsid w:val="004F668C"/>
    <w:rsid w:val="004F66AD"/>
    <w:rsid w:val="004F6792"/>
    <w:rsid w:val="004F6831"/>
    <w:rsid w:val="004F6877"/>
    <w:rsid w:val="004F6887"/>
    <w:rsid w:val="004F68C8"/>
    <w:rsid w:val="004F68D0"/>
    <w:rsid w:val="004F68DF"/>
    <w:rsid w:val="004F68FF"/>
    <w:rsid w:val="004F691B"/>
    <w:rsid w:val="004F69BE"/>
    <w:rsid w:val="004F6A0C"/>
    <w:rsid w:val="004F6A22"/>
    <w:rsid w:val="004F6A39"/>
    <w:rsid w:val="004F6A60"/>
    <w:rsid w:val="004F6A92"/>
    <w:rsid w:val="004F6A96"/>
    <w:rsid w:val="004F6B32"/>
    <w:rsid w:val="004F6B89"/>
    <w:rsid w:val="004F6BB1"/>
    <w:rsid w:val="004F6C06"/>
    <w:rsid w:val="004F6C1B"/>
    <w:rsid w:val="004F6CBB"/>
    <w:rsid w:val="004F6CDD"/>
    <w:rsid w:val="004F6D47"/>
    <w:rsid w:val="004F6D98"/>
    <w:rsid w:val="004F6E64"/>
    <w:rsid w:val="004F6E7D"/>
    <w:rsid w:val="004F6EA8"/>
    <w:rsid w:val="004F6EC6"/>
    <w:rsid w:val="004F6ED8"/>
    <w:rsid w:val="004F6F15"/>
    <w:rsid w:val="004F6FD0"/>
    <w:rsid w:val="004F710A"/>
    <w:rsid w:val="004F7112"/>
    <w:rsid w:val="004F7144"/>
    <w:rsid w:val="004F7293"/>
    <w:rsid w:val="004F72A0"/>
    <w:rsid w:val="004F72BB"/>
    <w:rsid w:val="004F72E0"/>
    <w:rsid w:val="004F72F1"/>
    <w:rsid w:val="004F7312"/>
    <w:rsid w:val="004F7334"/>
    <w:rsid w:val="004F7364"/>
    <w:rsid w:val="004F738B"/>
    <w:rsid w:val="004F73AB"/>
    <w:rsid w:val="004F73AF"/>
    <w:rsid w:val="004F73FB"/>
    <w:rsid w:val="004F745E"/>
    <w:rsid w:val="004F7483"/>
    <w:rsid w:val="004F748B"/>
    <w:rsid w:val="004F74A0"/>
    <w:rsid w:val="004F74B5"/>
    <w:rsid w:val="004F752F"/>
    <w:rsid w:val="004F7544"/>
    <w:rsid w:val="004F7628"/>
    <w:rsid w:val="004F7636"/>
    <w:rsid w:val="004F764E"/>
    <w:rsid w:val="004F7662"/>
    <w:rsid w:val="004F76A4"/>
    <w:rsid w:val="004F76C6"/>
    <w:rsid w:val="004F7702"/>
    <w:rsid w:val="004F7767"/>
    <w:rsid w:val="004F7782"/>
    <w:rsid w:val="004F7793"/>
    <w:rsid w:val="004F7795"/>
    <w:rsid w:val="004F77AA"/>
    <w:rsid w:val="004F7842"/>
    <w:rsid w:val="004F786F"/>
    <w:rsid w:val="004F7911"/>
    <w:rsid w:val="004F791B"/>
    <w:rsid w:val="004F7929"/>
    <w:rsid w:val="004F7976"/>
    <w:rsid w:val="004F79B5"/>
    <w:rsid w:val="004F79FF"/>
    <w:rsid w:val="004F7A3E"/>
    <w:rsid w:val="004F7A52"/>
    <w:rsid w:val="004F7A59"/>
    <w:rsid w:val="004F7AD8"/>
    <w:rsid w:val="004F7B7B"/>
    <w:rsid w:val="004F7BBA"/>
    <w:rsid w:val="004F7C33"/>
    <w:rsid w:val="004F7C9F"/>
    <w:rsid w:val="004F7CAE"/>
    <w:rsid w:val="004F7CE3"/>
    <w:rsid w:val="004F7D23"/>
    <w:rsid w:val="004F7D49"/>
    <w:rsid w:val="004F7D62"/>
    <w:rsid w:val="004F7DE9"/>
    <w:rsid w:val="004F7E5B"/>
    <w:rsid w:val="004F7EC9"/>
    <w:rsid w:val="004F7EDE"/>
    <w:rsid w:val="004F7F53"/>
    <w:rsid w:val="004F7F5B"/>
    <w:rsid w:val="004F7F66"/>
    <w:rsid w:val="004F7FB4"/>
    <w:rsid w:val="004F7FC3"/>
    <w:rsid w:val="004FB24A"/>
    <w:rsid w:val="0050002C"/>
    <w:rsid w:val="00500048"/>
    <w:rsid w:val="0050006D"/>
    <w:rsid w:val="005000DD"/>
    <w:rsid w:val="00500182"/>
    <w:rsid w:val="005001DB"/>
    <w:rsid w:val="005001E2"/>
    <w:rsid w:val="0050028C"/>
    <w:rsid w:val="005002E4"/>
    <w:rsid w:val="005002F8"/>
    <w:rsid w:val="00500332"/>
    <w:rsid w:val="00500363"/>
    <w:rsid w:val="00500476"/>
    <w:rsid w:val="005004F6"/>
    <w:rsid w:val="0050053C"/>
    <w:rsid w:val="005005B8"/>
    <w:rsid w:val="005005CE"/>
    <w:rsid w:val="00500641"/>
    <w:rsid w:val="0050068F"/>
    <w:rsid w:val="005006AD"/>
    <w:rsid w:val="005006B0"/>
    <w:rsid w:val="005006BA"/>
    <w:rsid w:val="005007F9"/>
    <w:rsid w:val="0050084F"/>
    <w:rsid w:val="0050085C"/>
    <w:rsid w:val="00500862"/>
    <w:rsid w:val="00500887"/>
    <w:rsid w:val="00500914"/>
    <w:rsid w:val="005009BC"/>
    <w:rsid w:val="005009F4"/>
    <w:rsid w:val="005009FE"/>
    <w:rsid w:val="00500A38"/>
    <w:rsid w:val="00500AA3"/>
    <w:rsid w:val="00500AB1"/>
    <w:rsid w:val="00500B2C"/>
    <w:rsid w:val="00500B88"/>
    <w:rsid w:val="00500BBD"/>
    <w:rsid w:val="00500BBE"/>
    <w:rsid w:val="00500BD9"/>
    <w:rsid w:val="00500BF9"/>
    <w:rsid w:val="00500C13"/>
    <w:rsid w:val="00500C44"/>
    <w:rsid w:val="00500C5B"/>
    <w:rsid w:val="00500CB5"/>
    <w:rsid w:val="00500CE1"/>
    <w:rsid w:val="00500CEE"/>
    <w:rsid w:val="00500D39"/>
    <w:rsid w:val="00500D8C"/>
    <w:rsid w:val="00500D93"/>
    <w:rsid w:val="00500DA3"/>
    <w:rsid w:val="00500DBD"/>
    <w:rsid w:val="00500E47"/>
    <w:rsid w:val="00500E5E"/>
    <w:rsid w:val="00500F6C"/>
    <w:rsid w:val="00500FB9"/>
    <w:rsid w:val="00500FC9"/>
    <w:rsid w:val="00500FFA"/>
    <w:rsid w:val="00501026"/>
    <w:rsid w:val="0050103D"/>
    <w:rsid w:val="00501054"/>
    <w:rsid w:val="00501079"/>
    <w:rsid w:val="005010B3"/>
    <w:rsid w:val="005010E6"/>
    <w:rsid w:val="0050111C"/>
    <w:rsid w:val="00501131"/>
    <w:rsid w:val="00501181"/>
    <w:rsid w:val="005011F8"/>
    <w:rsid w:val="00501245"/>
    <w:rsid w:val="0050126C"/>
    <w:rsid w:val="0050128A"/>
    <w:rsid w:val="005012ED"/>
    <w:rsid w:val="00501306"/>
    <w:rsid w:val="00501348"/>
    <w:rsid w:val="005013E0"/>
    <w:rsid w:val="00501411"/>
    <w:rsid w:val="005014AB"/>
    <w:rsid w:val="005014AC"/>
    <w:rsid w:val="0050151C"/>
    <w:rsid w:val="00501527"/>
    <w:rsid w:val="00501561"/>
    <w:rsid w:val="0050159E"/>
    <w:rsid w:val="00501686"/>
    <w:rsid w:val="005016BA"/>
    <w:rsid w:val="005016CC"/>
    <w:rsid w:val="0050173E"/>
    <w:rsid w:val="00501849"/>
    <w:rsid w:val="00501897"/>
    <w:rsid w:val="0050190B"/>
    <w:rsid w:val="00501923"/>
    <w:rsid w:val="00501929"/>
    <w:rsid w:val="005019FC"/>
    <w:rsid w:val="00501A05"/>
    <w:rsid w:val="00501A24"/>
    <w:rsid w:val="00501A2B"/>
    <w:rsid w:val="00501A41"/>
    <w:rsid w:val="00501B05"/>
    <w:rsid w:val="00501B0F"/>
    <w:rsid w:val="00501B3B"/>
    <w:rsid w:val="00501B3C"/>
    <w:rsid w:val="00501B54"/>
    <w:rsid w:val="00501BA6"/>
    <w:rsid w:val="00501BE6"/>
    <w:rsid w:val="00501BF5"/>
    <w:rsid w:val="00501C09"/>
    <w:rsid w:val="00501C39"/>
    <w:rsid w:val="00501C97"/>
    <w:rsid w:val="00501C9D"/>
    <w:rsid w:val="00501CD3"/>
    <w:rsid w:val="00501D68"/>
    <w:rsid w:val="00501D86"/>
    <w:rsid w:val="00501DD5"/>
    <w:rsid w:val="00501E1E"/>
    <w:rsid w:val="00501E3A"/>
    <w:rsid w:val="00501E83"/>
    <w:rsid w:val="00501E88"/>
    <w:rsid w:val="00501EF9"/>
    <w:rsid w:val="00501F4A"/>
    <w:rsid w:val="00501F66"/>
    <w:rsid w:val="00501FB7"/>
    <w:rsid w:val="00501FB8"/>
    <w:rsid w:val="00501FE4"/>
    <w:rsid w:val="00501FFA"/>
    <w:rsid w:val="00502027"/>
    <w:rsid w:val="00502044"/>
    <w:rsid w:val="00502083"/>
    <w:rsid w:val="0050209C"/>
    <w:rsid w:val="005020BE"/>
    <w:rsid w:val="005020F9"/>
    <w:rsid w:val="0050219A"/>
    <w:rsid w:val="005021B9"/>
    <w:rsid w:val="005021FB"/>
    <w:rsid w:val="00502225"/>
    <w:rsid w:val="00502262"/>
    <w:rsid w:val="0050227A"/>
    <w:rsid w:val="00502280"/>
    <w:rsid w:val="005022BC"/>
    <w:rsid w:val="005022CC"/>
    <w:rsid w:val="00502302"/>
    <w:rsid w:val="0050231C"/>
    <w:rsid w:val="00502338"/>
    <w:rsid w:val="00502341"/>
    <w:rsid w:val="00502373"/>
    <w:rsid w:val="00502379"/>
    <w:rsid w:val="005023E6"/>
    <w:rsid w:val="00502404"/>
    <w:rsid w:val="00502406"/>
    <w:rsid w:val="00502417"/>
    <w:rsid w:val="00502431"/>
    <w:rsid w:val="00502446"/>
    <w:rsid w:val="0050248A"/>
    <w:rsid w:val="005024A9"/>
    <w:rsid w:val="005024C3"/>
    <w:rsid w:val="00502546"/>
    <w:rsid w:val="00502550"/>
    <w:rsid w:val="00502572"/>
    <w:rsid w:val="005025B8"/>
    <w:rsid w:val="005025BB"/>
    <w:rsid w:val="005025F2"/>
    <w:rsid w:val="005026E0"/>
    <w:rsid w:val="00502718"/>
    <w:rsid w:val="00502734"/>
    <w:rsid w:val="00502735"/>
    <w:rsid w:val="0050274C"/>
    <w:rsid w:val="00502802"/>
    <w:rsid w:val="00502805"/>
    <w:rsid w:val="0050280F"/>
    <w:rsid w:val="00502831"/>
    <w:rsid w:val="0050283F"/>
    <w:rsid w:val="0050291A"/>
    <w:rsid w:val="0050294E"/>
    <w:rsid w:val="0050298D"/>
    <w:rsid w:val="0050299E"/>
    <w:rsid w:val="005029DF"/>
    <w:rsid w:val="005029EC"/>
    <w:rsid w:val="00502A08"/>
    <w:rsid w:val="00502A16"/>
    <w:rsid w:val="00502A1B"/>
    <w:rsid w:val="00502A1F"/>
    <w:rsid w:val="00502A8D"/>
    <w:rsid w:val="00502AC8"/>
    <w:rsid w:val="00502B13"/>
    <w:rsid w:val="00502B23"/>
    <w:rsid w:val="00502B6F"/>
    <w:rsid w:val="00502B82"/>
    <w:rsid w:val="00502BA0"/>
    <w:rsid w:val="00502BC1"/>
    <w:rsid w:val="00502BF1"/>
    <w:rsid w:val="00502C1A"/>
    <w:rsid w:val="00502CB4"/>
    <w:rsid w:val="00502D0B"/>
    <w:rsid w:val="00502D55"/>
    <w:rsid w:val="00502DC0"/>
    <w:rsid w:val="00502DE9"/>
    <w:rsid w:val="00502E2B"/>
    <w:rsid w:val="00502E41"/>
    <w:rsid w:val="00502EC3"/>
    <w:rsid w:val="00502ED8"/>
    <w:rsid w:val="00502F42"/>
    <w:rsid w:val="00502F59"/>
    <w:rsid w:val="00502FDB"/>
    <w:rsid w:val="00502FE1"/>
    <w:rsid w:val="00502FE4"/>
    <w:rsid w:val="00503002"/>
    <w:rsid w:val="00503008"/>
    <w:rsid w:val="005030F8"/>
    <w:rsid w:val="005030FF"/>
    <w:rsid w:val="00503101"/>
    <w:rsid w:val="00503133"/>
    <w:rsid w:val="005031E0"/>
    <w:rsid w:val="0050322C"/>
    <w:rsid w:val="0050322E"/>
    <w:rsid w:val="005032D0"/>
    <w:rsid w:val="005032FE"/>
    <w:rsid w:val="0050332E"/>
    <w:rsid w:val="00503367"/>
    <w:rsid w:val="005033F5"/>
    <w:rsid w:val="00503419"/>
    <w:rsid w:val="005034BC"/>
    <w:rsid w:val="005034F3"/>
    <w:rsid w:val="005034F4"/>
    <w:rsid w:val="00503524"/>
    <w:rsid w:val="0050353E"/>
    <w:rsid w:val="0050357C"/>
    <w:rsid w:val="0050362C"/>
    <w:rsid w:val="00503639"/>
    <w:rsid w:val="00503666"/>
    <w:rsid w:val="0050368D"/>
    <w:rsid w:val="005036D8"/>
    <w:rsid w:val="005036F2"/>
    <w:rsid w:val="00503745"/>
    <w:rsid w:val="005037B0"/>
    <w:rsid w:val="005037F0"/>
    <w:rsid w:val="0050388C"/>
    <w:rsid w:val="0050389C"/>
    <w:rsid w:val="005038B3"/>
    <w:rsid w:val="005038E3"/>
    <w:rsid w:val="005038E6"/>
    <w:rsid w:val="00503926"/>
    <w:rsid w:val="00503953"/>
    <w:rsid w:val="00503968"/>
    <w:rsid w:val="00503997"/>
    <w:rsid w:val="0050399B"/>
    <w:rsid w:val="005039DB"/>
    <w:rsid w:val="00503A0B"/>
    <w:rsid w:val="00503A36"/>
    <w:rsid w:val="00503A57"/>
    <w:rsid w:val="00503A69"/>
    <w:rsid w:val="00503A89"/>
    <w:rsid w:val="00503AB8"/>
    <w:rsid w:val="00503ABF"/>
    <w:rsid w:val="00503ADC"/>
    <w:rsid w:val="00503AE9"/>
    <w:rsid w:val="00503B01"/>
    <w:rsid w:val="00503B28"/>
    <w:rsid w:val="00503B99"/>
    <w:rsid w:val="00503C84"/>
    <w:rsid w:val="00503C8E"/>
    <w:rsid w:val="00503D15"/>
    <w:rsid w:val="00503D39"/>
    <w:rsid w:val="00503D78"/>
    <w:rsid w:val="00503DA5"/>
    <w:rsid w:val="00503DBB"/>
    <w:rsid w:val="00503DCD"/>
    <w:rsid w:val="00503DF3"/>
    <w:rsid w:val="00503E40"/>
    <w:rsid w:val="00503E7F"/>
    <w:rsid w:val="00503EDB"/>
    <w:rsid w:val="00503F05"/>
    <w:rsid w:val="00503F47"/>
    <w:rsid w:val="00503F73"/>
    <w:rsid w:val="00503F82"/>
    <w:rsid w:val="00503FC3"/>
    <w:rsid w:val="00503FC5"/>
    <w:rsid w:val="00504086"/>
    <w:rsid w:val="005040E9"/>
    <w:rsid w:val="005040EC"/>
    <w:rsid w:val="00504109"/>
    <w:rsid w:val="0050410E"/>
    <w:rsid w:val="00504179"/>
    <w:rsid w:val="0050417D"/>
    <w:rsid w:val="005041D5"/>
    <w:rsid w:val="005041E6"/>
    <w:rsid w:val="00504213"/>
    <w:rsid w:val="00504225"/>
    <w:rsid w:val="00504237"/>
    <w:rsid w:val="00504252"/>
    <w:rsid w:val="005042A5"/>
    <w:rsid w:val="005042F3"/>
    <w:rsid w:val="00504328"/>
    <w:rsid w:val="00504394"/>
    <w:rsid w:val="005043DF"/>
    <w:rsid w:val="005043F6"/>
    <w:rsid w:val="00504436"/>
    <w:rsid w:val="00504454"/>
    <w:rsid w:val="0050446E"/>
    <w:rsid w:val="005044BF"/>
    <w:rsid w:val="00504594"/>
    <w:rsid w:val="005045B3"/>
    <w:rsid w:val="00504685"/>
    <w:rsid w:val="005046BF"/>
    <w:rsid w:val="00504716"/>
    <w:rsid w:val="0050473B"/>
    <w:rsid w:val="00504748"/>
    <w:rsid w:val="00504786"/>
    <w:rsid w:val="005047B2"/>
    <w:rsid w:val="005047B3"/>
    <w:rsid w:val="005047CB"/>
    <w:rsid w:val="005047D1"/>
    <w:rsid w:val="005047E7"/>
    <w:rsid w:val="005047FE"/>
    <w:rsid w:val="0050480C"/>
    <w:rsid w:val="00504842"/>
    <w:rsid w:val="00504896"/>
    <w:rsid w:val="005048A3"/>
    <w:rsid w:val="005048AC"/>
    <w:rsid w:val="00504973"/>
    <w:rsid w:val="005049BE"/>
    <w:rsid w:val="005049C3"/>
    <w:rsid w:val="005049C9"/>
    <w:rsid w:val="005049DC"/>
    <w:rsid w:val="005049E3"/>
    <w:rsid w:val="00504A1F"/>
    <w:rsid w:val="00504A7C"/>
    <w:rsid w:val="00504AB4"/>
    <w:rsid w:val="00504B46"/>
    <w:rsid w:val="00504B55"/>
    <w:rsid w:val="00504BB7"/>
    <w:rsid w:val="00504CA7"/>
    <w:rsid w:val="00504D93"/>
    <w:rsid w:val="00504DEC"/>
    <w:rsid w:val="00504E4A"/>
    <w:rsid w:val="00504E4F"/>
    <w:rsid w:val="00504ED5"/>
    <w:rsid w:val="00504ED8"/>
    <w:rsid w:val="00504EDD"/>
    <w:rsid w:val="00504F40"/>
    <w:rsid w:val="00504F64"/>
    <w:rsid w:val="00504F7F"/>
    <w:rsid w:val="00504FC5"/>
    <w:rsid w:val="00504FD5"/>
    <w:rsid w:val="00505004"/>
    <w:rsid w:val="0050501F"/>
    <w:rsid w:val="00505023"/>
    <w:rsid w:val="0050503D"/>
    <w:rsid w:val="00505051"/>
    <w:rsid w:val="005050C9"/>
    <w:rsid w:val="0050517C"/>
    <w:rsid w:val="00505198"/>
    <w:rsid w:val="005051C5"/>
    <w:rsid w:val="0050521A"/>
    <w:rsid w:val="0050524C"/>
    <w:rsid w:val="0050527C"/>
    <w:rsid w:val="0050529C"/>
    <w:rsid w:val="0050536D"/>
    <w:rsid w:val="00505386"/>
    <w:rsid w:val="0050539F"/>
    <w:rsid w:val="005053A5"/>
    <w:rsid w:val="005053B0"/>
    <w:rsid w:val="005053C4"/>
    <w:rsid w:val="00505421"/>
    <w:rsid w:val="0050542F"/>
    <w:rsid w:val="00505431"/>
    <w:rsid w:val="005054AB"/>
    <w:rsid w:val="00505562"/>
    <w:rsid w:val="00505570"/>
    <w:rsid w:val="005055F5"/>
    <w:rsid w:val="0050560B"/>
    <w:rsid w:val="00505647"/>
    <w:rsid w:val="00505671"/>
    <w:rsid w:val="00505681"/>
    <w:rsid w:val="0050573B"/>
    <w:rsid w:val="00505788"/>
    <w:rsid w:val="00505830"/>
    <w:rsid w:val="00505891"/>
    <w:rsid w:val="005058AA"/>
    <w:rsid w:val="005058C2"/>
    <w:rsid w:val="00505912"/>
    <w:rsid w:val="00505918"/>
    <w:rsid w:val="00505990"/>
    <w:rsid w:val="005059BC"/>
    <w:rsid w:val="005059D6"/>
    <w:rsid w:val="00505ABF"/>
    <w:rsid w:val="00505ACC"/>
    <w:rsid w:val="00505B1B"/>
    <w:rsid w:val="00505B4B"/>
    <w:rsid w:val="00505B51"/>
    <w:rsid w:val="00505BAD"/>
    <w:rsid w:val="00505C27"/>
    <w:rsid w:val="00505C43"/>
    <w:rsid w:val="00505C8A"/>
    <w:rsid w:val="00505C9F"/>
    <w:rsid w:val="00505D05"/>
    <w:rsid w:val="00505D29"/>
    <w:rsid w:val="00505D5F"/>
    <w:rsid w:val="00505DF1"/>
    <w:rsid w:val="00505E20"/>
    <w:rsid w:val="00505E9D"/>
    <w:rsid w:val="00505EA2"/>
    <w:rsid w:val="00505F2F"/>
    <w:rsid w:val="00505F59"/>
    <w:rsid w:val="00506047"/>
    <w:rsid w:val="005060AD"/>
    <w:rsid w:val="00506144"/>
    <w:rsid w:val="00506151"/>
    <w:rsid w:val="005061CE"/>
    <w:rsid w:val="0050620B"/>
    <w:rsid w:val="00506212"/>
    <w:rsid w:val="0050626A"/>
    <w:rsid w:val="0050627F"/>
    <w:rsid w:val="005062AC"/>
    <w:rsid w:val="005062F8"/>
    <w:rsid w:val="0050637F"/>
    <w:rsid w:val="005063B5"/>
    <w:rsid w:val="005063F4"/>
    <w:rsid w:val="0050647D"/>
    <w:rsid w:val="00506514"/>
    <w:rsid w:val="005065BA"/>
    <w:rsid w:val="005065F0"/>
    <w:rsid w:val="005065FD"/>
    <w:rsid w:val="00506634"/>
    <w:rsid w:val="0050663A"/>
    <w:rsid w:val="00506651"/>
    <w:rsid w:val="0050677D"/>
    <w:rsid w:val="005067B7"/>
    <w:rsid w:val="005067C3"/>
    <w:rsid w:val="0050681B"/>
    <w:rsid w:val="0050685F"/>
    <w:rsid w:val="00506892"/>
    <w:rsid w:val="005068E4"/>
    <w:rsid w:val="00506911"/>
    <w:rsid w:val="0050692B"/>
    <w:rsid w:val="005069F3"/>
    <w:rsid w:val="00506A28"/>
    <w:rsid w:val="00506A32"/>
    <w:rsid w:val="00506A48"/>
    <w:rsid w:val="00506AB2"/>
    <w:rsid w:val="00506AE2"/>
    <w:rsid w:val="00506AEA"/>
    <w:rsid w:val="00506B4E"/>
    <w:rsid w:val="00506BCD"/>
    <w:rsid w:val="00506BD2"/>
    <w:rsid w:val="00506C29"/>
    <w:rsid w:val="00506C71"/>
    <w:rsid w:val="00506CCF"/>
    <w:rsid w:val="00506CD5"/>
    <w:rsid w:val="00506CE1"/>
    <w:rsid w:val="00506D0A"/>
    <w:rsid w:val="00506D1C"/>
    <w:rsid w:val="00506D36"/>
    <w:rsid w:val="00506D69"/>
    <w:rsid w:val="00506D86"/>
    <w:rsid w:val="00506DCF"/>
    <w:rsid w:val="00506E19"/>
    <w:rsid w:val="00506E42"/>
    <w:rsid w:val="00506EAB"/>
    <w:rsid w:val="00506EAE"/>
    <w:rsid w:val="00506EF5"/>
    <w:rsid w:val="00506F12"/>
    <w:rsid w:val="00506F25"/>
    <w:rsid w:val="00506F45"/>
    <w:rsid w:val="00506F4A"/>
    <w:rsid w:val="00506FCF"/>
    <w:rsid w:val="0050700E"/>
    <w:rsid w:val="00507044"/>
    <w:rsid w:val="005071A1"/>
    <w:rsid w:val="00507250"/>
    <w:rsid w:val="005072B3"/>
    <w:rsid w:val="00507328"/>
    <w:rsid w:val="00507330"/>
    <w:rsid w:val="00507341"/>
    <w:rsid w:val="00507362"/>
    <w:rsid w:val="005073A2"/>
    <w:rsid w:val="005073A6"/>
    <w:rsid w:val="005073D8"/>
    <w:rsid w:val="005073F5"/>
    <w:rsid w:val="00507451"/>
    <w:rsid w:val="005074AA"/>
    <w:rsid w:val="005074B0"/>
    <w:rsid w:val="00507504"/>
    <w:rsid w:val="00507543"/>
    <w:rsid w:val="005075F4"/>
    <w:rsid w:val="00507632"/>
    <w:rsid w:val="0050765A"/>
    <w:rsid w:val="0050773C"/>
    <w:rsid w:val="00507789"/>
    <w:rsid w:val="005077C4"/>
    <w:rsid w:val="005077E0"/>
    <w:rsid w:val="0050787C"/>
    <w:rsid w:val="00507890"/>
    <w:rsid w:val="00507903"/>
    <w:rsid w:val="005079AA"/>
    <w:rsid w:val="005079AD"/>
    <w:rsid w:val="00507A0A"/>
    <w:rsid w:val="00507A11"/>
    <w:rsid w:val="00507A55"/>
    <w:rsid w:val="00507A77"/>
    <w:rsid w:val="00507B38"/>
    <w:rsid w:val="00507BBA"/>
    <w:rsid w:val="00507BC4"/>
    <w:rsid w:val="00507BD0"/>
    <w:rsid w:val="00507BFE"/>
    <w:rsid w:val="00507C1B"/>
    <w:rsid w:val="00507C29"/>
    <w:rsid w:val="00507C50"/>
    <w:rsid w:val="00507C65"/>
    <w:rsid w:val="00507C66"/>
    <w:rsid w:val="00507C88"/>
    <w:rsid w:val="00507C90"/>
    <w:rsid w:val="00507CE7"/>
    <w:rsid w:val="00507CFE"/>
    <w:rsid w:val="00507D1A"/>
    <w:rsid w:val="00507D1F"/>
    <w:rsid w:val="00507D22"/>
    <w:rsid w:val="00507D97"/>
    <w:rsid w:val="00507E0C"/>
    <w:rsid w:val="00507E6A"/>
    <w:rsid w:val="00507E94"/>
    <w:rsid w:val="00507EAA"/>
    <w:rsid w:val="00507F8A"/>
    <w:rsid w:val="00510005"/>
    <w:rsid w:val="005100F4"/>
    <w:rsid w:val="00510102"/>
    <w:rsid w:val="0051013C"/>
    <w:rsid w:val="005101CA"/>
    <w:rsid w:val="00510206"/>
    <w:rsid w:val="0051026A"/>
    <w:rsid w:val="00510291"/>
    <w:rsid w:val="005102B6"/>
    <w:rsid w:val="005102C4"/>
    <w:rsid w:val="005102CE"/>
    <w:rsid w:val="0051034F"/>
    <w:rsid w:val="005103E0"/>
    <w:rsid w:val="0051049A"/>
    <w:rsid w:val="005104C6"/>
    <w:rsid w:val="0051050D"/>
    <w:rsid w:val="005105B3"/>
    <w:rsid w:val="005105C3"/>
    <w:rsid w:val="005105CD"/>
    <w:rsid w:val="005105EF"/>
    <w:rsid w:val="005105F0"/>
    <w:rsid w:val="0051066A"/>
    <w:rsid w:val="00510679"/>
    <w:rsid w:val="005106DE"/>
    <w:rsid w:val="005106E0"/>
    <w:rsid w:val="005106E9"/>
    <w:rsid w:val="005106F9"/>
    <w:rsid w:val="00510704"/>
    <w:rsid w:val="0051080D"/>
    <w:rsid w:val="00510834"/>
    <w:rsid w:val="00510854"/>
    <w:rsid w:val="00510867"/>
    <w:rsid w:val="005108C0"/>
    <w:rsid w:val="005108C7"/>
    <w:rsid w:val="00510918"/>
    <w:rsid w:val="00510922"/>
    <w:rsid w:val="00510959"/>
    <w:rsid w:val="0051095C"/>
    <w:rsid w:val="00510970"/>
    <w:rsid w:val="005109AE"/>
    <w:rsid w:val="005109BB"/>
    <w:rsid w:val="005109D3"/>
    <w:rsid w:val="005109F0"/>
    <w:rsid w:val="00510A02"/>
    <w:rsid w:val="00510A0C"/>
    <w:rsid w:val="00510A31"/>
    <w:rsid w:val="00510A47"/>
    <w:rsid w:val="00510AB7"/>
    <w:rsid w:val="00510ACE"/>
    <w:rsid w:val="00510AE5"/>
    <w:rsid w:val="00510AFD"/>
    <w:rsid w:val="00510B25"/>
    <w:rsid w:val="00510B3B"/>
    <w:rsid w:val="00510B46"/>
    <w:rsid w:val="00510B73"/>
    <w:rsid w:val="00510B9F"/>
    <w:rsid w:val="00510C52"/>
    <w:rsid w:val="00510CDA"/>
    <w:rsid w:val="00510D61"/>
    <w:rsid w:val="00510D80"/>
    <w:rsid w:val="00510D94"/>
    <w:rsid w:val="00510DF2"/>
    <w:rsid w:val="00510DF7"/>
    <w:rsid w:val="00510E3E"/>
    <w:rsid w:val="00510E65"/>
    <w:rsid w:val="00510E6D"/>
    <w:rsid w:val="00510EC6"/>
    <w:rsid w:val="00510EDD"/>
    <w:rsid w:val="00510EF6"/>
    <w:rsid w:val="00510EF9"/>
    <w:rsid w:val="00510F2C"/>
    <w:rsid w:val="00510FE6"/>
    <w:rsid w:val="0051109E"/>
    <w:rsid w:val="005110BB"/>
    <w:rsid w:val="005110C0"/>
    <w:rsid w:val="005110FF"/>
    <w:rsid w:val="00511146"/>
    <w:rsid w:val="0051115B"/>
    <w:rsid w:val="005111B2"/>
    <w:rsid w:val="00511231"/>
    <w:rsid w:val="00511243"/>
    <w:rsid w:val="005112A1"/>
    <w:rsid w:val="005112D8"/>
    <w:rsid w:val="00511343"/>
    <w:rsid w:val="00511346"/>
    <w:rsid w:val="0051134E"/>
    <w:rsid w:val="0051134F"/>
    <w:rsid w:val="005113B5"/>
    <w:rsid w:val="0051145D"/>
    <w:rsid w:val="0051148F"/>
    <w:rsid w:val="005114C3"/>
    <w:rsid w:val="005114CB"/>
    <w:rsid w:val="005114E3"/>
    <w:rsid w:val="00511501"/>
    <w:rsid w:val="0051166A"/>
    <w:rsid w:val="0051166C"/>
    <w:rsid w:val="00511688"/>
    <w:rsid w:val="0051169A"/>
    <w:rsid w:val="005116D8"/>
    <w:rsid w:val="0051174D"/>
    <w:rsid w:val="0051174E"/>
    <w:rsid w:val="00511772"/>
    <w:rsid w:val="005117F0"/>
    <w:rsid w:val="00511854"/>
    <w:rsid w:val="00511892"/>
    <w:rsid w:val="005118BA"/>
    <w:rsid w:val="00511918"/>
    <w:rsid w:val="00511921"/>
    <w:rsid w:val="00511925"/>
    <w:rsid w:val="0051193F"/>
    <w:rsid w:val="00511A57"/>
    <w:rsid w:val="00511A89"/>
    <w:rsid w:val="00511AA6"/>
    <w:rsid w:val="00511AE3"/>
    <w:rsid w:val="00511AFD"/>
    <w:rsid w:val="00511B57"/>
    <w:rsid w:val="00511B94"/>
    <w:rsid w:val="00511C26"/>
    <w:rsid w:val="00511C4B"/>
    <w:rsid w:val="00511C4D"/>
    <w:rsid w:val="00511C72"/>
    <w:rsid w:val="00511CE4"/>
    <w:rsid w:val="00511D45"/>
    <w:rsid w:val="00511D49"/>
    <w:rsid w:val="00511D61"/>
    <w:rsid w:val="00511DC7"/>
    <w:rsid w:val="00511DF4"/>
    <w:rsid w:val="00511DFB"/>
    <w:rsid w:val="00511E15"/>
    <w:rsid w:val="00511E1F"/>
    <w:rsid w:val="00511E62"/>
    <w:rsid w:val="00511F40"/>
    <w:rsid w:val="00511F44"/>
    <w:rsid w:val="00511F48"/>
    <w:rsid w:val="00511F82"/>
    <w:rsid w:val="00511F8B"/>
    <w:rsid w:val="005120CA"/>
    <w:rsid w:val="00512100"/>
    <w:rsid w:val="0051215D"/>
    <w:rsid w:val="0051218F"/>
    <w:rsid w:val="005121C7"/>
    <w:rsid w:val="005121DE"/>
    <w:rsid w:val="005121DF"/>
    <w:rsid w:val="005121FC"/>
    <w:rsid w:val="00512241"/>
    <w:rsid w:val="00512242"/>
    <w:rsid w:val="0051225A"/>
    <w:rsid w:val="00512272"/>
    <w:rsid w:val="00512290"/>
    <w:rsid w:val="005122BE"/>
    <w:rsid w:val="005122F2"/>
    <w:rsid w:val="0051234E"/>
    <w:rsid w:val="0051236B"/>
    <w:rsid w:val="005123BB"/>
    <w:rsid w:val="005123E1"/>
    <w:rsid w:val="005123F4"/>
    <w:rsid w:val="00512407"/>
    <w:rsid w:val="00512430"/>
    <w:rsid w:val="00512461"/>
    <w:rsid w:val="00512484"/>
    <w:rsid w:val="005124AE"/>
    <w:rsid w:val="0051254F"/>
    <w:rsid w:val="00512592"/>
    <w:rsid w:val="005125D9"/>
    <w:rsid w:val="00512657"/>
    <w:rsid w:val="0051271A"/>
    <w:rsid w:val="0051271F"/>
    <w:rsid w:val="0051279D"/>
    <w:rsid w:val="005127A4"/>
    <w:rsid w:val="00512817"/>
    <w:rsid w:val="005128E4"/>
    <w:rsid w:val="005128F5"/>
    <w:rsid w:val="0051293B"/>
    <w:rsid w:val="005129FA"/>
    <w:rsid w:val="00512A12"/>
    <w:rsid w:val="00512A3F"/>
    <w:rsid w:val="00512A59"/>
    <w:rsid w:val="00512A6B"/>
    <w:rsid w:val="00512AAD"/>
    <w:rsid w:val="00512AE2"/>
    <w:rsid w:val="00512AFE"/>
    <w:rsid w:val="00512B0F"/>
    <w:rsid w:val="00512BDD"/>
    <w:rsid w:val="00512BF7"/>
    <w:rsid w:val="00512C23"/>
    <w:rsid w:val="00512C9F"/>
    <w:rsid w:val="00512D17"/>
    <w:rsid w:val="00512D1D"/>
    <w:rsid w:val="00512D3A"/>
    <w:rsid w:val="00512D40"/>
    <w:rsid w:val="00512D78"/>
    <w:rsid w:val="00512DDB"/>
    <w:rsid w:val="00512DE4"/>
    <w:rsid w:val="00512DF6"/>
    <w:rsid w:val="00512E18"/>
    <w:rsid w:val="00512EDA"/>
    <w:rsid w:val="00512F08"/>
    <w:rsid w:val="00512F0F"/>
    <w:rsid w:val="00512F29"/>
    <w:rsid w:val="00512F33"/>
    <w:rsid w:val="00512F40"/>
    <w:rsid w:val="00512F8C"/>
    <w:rsid w:val="00512FBA"/>
    <w:rsid w:val="00512FDB"/>
    <w:rsid w:val="00512FE3"/>
    <w:rsid w:val="0051304B"/>
    <w:rsid w:val="00513072"/>
    <w:rsid w:val="005130F4"/>
    <w:rsid w:val="00513104"/>
    <w:rsid w:val="0051313E"/>
    <w:rsid w:val="0051313F"/>
    <w:rsid w:val="0051321A"/>
    <w:rsid w:val="00513244"/>
    <w:rsid w:val="005132B4"/>
    <w:rsid w:val="005132DE"/>
    <w:rsid w:val="00513365"/>
    <w:rsid w:val="005133BB"/>
    <w:rsid w:val="0051342A"/>
    <w:rsid w:val="00513433"/>
    <w:rsid w:val="0051347F"/>
    <w:rsid w:val="005134B7"/>
    <w:rsid w:val="005134C5"/>
    <w:rsid w:val="00513544"/>
    <w:rsid w:val="00513575"/>
    <w:rsid w:val="0051359B"/>
    <w:rsid w:val="005135CF"/>
    <w:rsid w:val="005135DE"/>
    <w:rsid w:val="0051360B"/>
    <w:rsid w:val="00513685"/>
    <w:rsid w:val="00513699"/>
    <w:rsid w:val="005136BD"/>
    <w:rsid w:val="005136DE"/>
    <w:rsid w:val="0051371B"/>
    <w:rsid w:val="0051371D"/>
    <w:rsid w:val="00513781"/>
    <w:rsid w:val="0051381A"/>
    <w:rsid w:val="00513853"/>
    <w:rsid w:val="00513861"/>
    <w:rsid w:val="005138AB"/>
    <w:rsid w:val="00513916"/>
    <w:rsid w:val="00513917"/>
    <w:rsid w:val="00513979"/>
    <w:rsid w:val="005139D1"/>
    <w:rsid w:val="005139D4"/>
    <w:rsid w:val="005139EE"/>
    <w:rsid w:val="00513A06"/>
    <w:rsid w:val="00513A15"/>
    <w:rsid w:val="00513A6E"/>
    <w:rsid w:val="00513A78"/>
    <w:rsid w:val="00513A79"/>
    <w:rsid w:val="00513A9D"/>
    <w:rsid w:val="00513AA1"/>
    <w:rsid w:val="00513ABF"/>
    <w:rsid w:val="00513AE8"/>
    <w:rsid w:val="00513AF5"/>
    <w:rsid w:val="00513AFA"/>
    <w:rsid w:val="00513B13"/>
    <w:rsid w:val="00513B5E"/>
    <w:rsid w:val="00513B6A"/>
    <w:rsid w:val="00513BC1"/>
    <w:rsid w:val="00513BC5"/>
    <w:rsid w:val="00513C00"/>
    <w:rsid w:val="00513C7C"/>
    <w:rsid w:val="00513C9E"/>
    <w:rsid w:val="00513CBE"/>
    <w:rsid w:val="00513CE5"/>
    <w:rsid w:val="00513D3B"/>
    <w:rsid w:val="00513D60"/>
    <w:rsid w:val="00513DCA"/>
    <w:rsid w:val="00513DCC"/>
    <w:rsid w:val="00513E5C"/>
    <w:rsid w:val="00513E84"/>
    <w:rsid w:val="00513E97"/>
    <w:rsid w:val="00513EBE"/>
    <w:rsid w:val="00513F06"/>
    <w:rsid w:val="00513F6D"/>
    <w:rsid w:val="00513FE1"/>
    <w:rsid w:val="00514020"/>
    <w:rsid w:val="005140B5"/>
    <w:rsid w:val="00514123"/>
    <w:rsid w:val="00514166"/>
    <w:rsid w:val="0051418F"/>
    <w:rsid w:val="005141B4"/>
    <w:rsid w:val="005141E1"/>
    <w:rsid w:val="00514237"/>
    <w:rsid w:val="0051424B"/>
    <w:rsid w:val="0051425A"/>
    <w:rsid w:val="0051426B"/>
    <w:rsid w:val="00514270"/>
    <w:rsid w:val="005142A2"/>
    <w:rsid w:val="005142B0"/>
    <w:rsid w:val="005142D8"/>
    <w:rsid w:val="005142FA"/>
    <w:rsid w:val="00514301"/>
    <w:rsid w:val="00514323"/>
    <w:rsid w:val="00514385"/>
    <w:rsid w:val="005143AA"/>
    <w:rsid w:val="005143B3"/>
    <w:rsid w:val="005143F3"/>
    <w:rsid w:val="005143FE"/>
    <w:rsid w:val="00514448"/>
    <w:rsid w:val="00514555"/>
    <w:rsid w:val="005145F8"/>
    <w:rsid w:val="00514648"/>
    <w:rsid w:val="0051465B"/>
    <w:rsid w:val="00514672"/>
    <w:rsid w:val="00514677"/>
    <w:rsid w:val="0051467A"/>
    <w:rsid w:val="005146A9"/>
    <w:rsid w:val="005147E5"/>
    <w:rsid w:val="0051483F"/>
    <w:rsid w:val="0051487E"/>
    <w:rsid w:val="00514899"/>
    <w:rsid w:val="00514980"/>
    <w:rsid w:val="00514990"/>
    <w:rsid w:val="00514997"/>
    <w:rsid w:val="0051499C"/>
    <w:rsid w:val="0051499F"/>
    <w:rsid w:val="005149B7"/>
    <w:rsid w:val="00514A07"/>
    <w:rsid w:val="00514A3D"/>
    <w:rsid w:val="00514A49"/>
    <w:rsid w:val="00514AA1"/>
    <w:rsid w:val="00514AD5"/>
    <w:rsid w:val="00514B3D"/>
    <w:rsid w:val="00514B49"/>
    <w:rsid w:val="00514B4C"/>
    <w:rsid w:val="00514B64"/>
    <w:rsid w:val="00514BA1"/>
    <w:rsid w:val="00514BCE"/>
    <w:rsid w:val="00514BDF"/>
    <w:rsid w:val="00514BE0"/>
    <w:rsid w:val="00514C42"/>
    <w:rsid w:val="00514CC0"/>
    <w:rsid w:val="00514D26"/>
    <w:rsid w:val="00514D75"/>
    <w:rsid w:val="00514DAC"/>
    <w:rsid w:val="00514DE7"/>
    <w:rsid w:val="00514E05"/>
    <w:rsid w:val="00514EE8"/>
    <w:rsid w:val="00514F6B"/>
    <w:rsid w:val="00514FAD"/>
    <w:rsid w:val="00514FC6"/>
    <w:rsid w:val="00514FE7"/>
    <w:rsid w:val="00515026"/>
    <w:rsid w:val="00515041"/>
    <w:rsid w:val="00515042"/>
    <w:rsid w:val="0051508E"/>
    <w:rsid w:val="005150A1"/>
    <w:rsid w:val="005150CE"/>
    <w:rsid w:val="00515113"/>
    <w:rsid w:val="0051514E"/>
    <w:rsid w:val="00515154"/>
    <w:rsid w:val="005151EB"/>
    <w:rsid w:val="005151F1"/>
    <w:rsid w:val="00515208"/>
    <w:rsid w:val="00515357"/>
    <w:rsid w:val="0051535F"/>
    <w:rsid w:val="005153D3"/>
    <w:rsid w:val="0051542A"/>
    <w:rsid w:val="005154A3"/>
    <w:rsid w:val="00515522"/>
    <w:rsid w:val="0051552F"/>
    <w:rsid w:val="00515557"/>
    <w:rsid w:val="0051556B"/>
    <w:rsid w:val="0051558B"/>
    <w:rsid w:val="005155D0"/>
    <w:rsid w:val="005155F0"/>
    <w:rsid w:val="005156AD"/>
    <w:rsid w:val="005156C5"/>
    <w:rsid w:val="005156F6"/>
    <w:rsid w:val="00515709"/>
    <w:rsid w:val="00515713"/>
    <w:rsid w:val="0051571E"/>
    <w:rsid w:val="00515758"/>
    <w:rsid w:val="005157D6"/>
    <w:rsid w:val="005157FA"/>
    <w:rsid w:val="0051582F"/>
    <w:rsid w:val="00515863"/>
    <w:rsid w:val="0051587D"/>
    <w:rsid w:val="005158A0"/>
    <w:rsid w:val="005158EB"/>
    <w:rsid w:val="00515939"/>
    <w:rsid w:val="00515964"/>
    <w:rsid w:val="00515966"/>
    <w:rsid w:val="0051596B"/>
    <w:rsid w:val="005159DD"/>
    <w:rsid w:val="005159EF"/>
    <w:rsid w:val="00515A51"/>
    <w:rsid w:val="00515A8C"/>
    <w:rsid w:val="00515ACF"/>
    <w:rsid w:val="00515AF1"/>
    <w:rsid w:val="00515B01"/>
    <w:rsid w:val="00515B13"/>
    <w:rsid w:val="00515B51"/>
    <w:rsid w:val="00515C1B"/>
    <w:rsid w:val="00515C33"/>
    <w:rsid w:val="00515C41"/>
    <w:rsid w:val="00515C69"/>
    <w:rsid w:val="00515C85"/>
    <w:rsid w:val="00515C8D"/>
    <w:rsid w:val="00515CC8"/>
    <w:rsid w:val="00515D0D"/>
    <w:rsid w:val="00515D43"/>
    <w:rsid w:val="00515DAF"/>
    <w:rsid w:val="00515DD6"/>
    <w:rsid w:val="00515E46"/>
    <w:rsid w:val="00515E79"/>
    <w:rsid w:val="00515F14"/>
    <w:rsid w:val="00515F2F"/>
    <w:rsid w:val="00515F5A"/>
    <w:rsid w:val="00515F83"/>
    <w:rsid w:val="00515F9A"/>
    <w:rsid w:val="00516040"/>
    <w:rsid w:val="005160B7"/>
    <w:rsid w:val="00516143"/>
    <w:rsid w:val="005161B5"/>
    <w:rsid w:val="00516259"/>
    <w:rsid w:val="005162CC"/>
    <w:rsid w:val="005162CF"/>
    <w:rsid w:val="005162FF"/>
    <w:rsid w:val="0051632A"/>
    <w:rsid w:val="005163C8"/>
    <w:rsid w:val="0051645C"/>
    <w:rsid w:val="00516498"/>
    <w:rsid w:val="005164FB"/>
    <w:rsid w:val="005164FE"/>
    <w:rsid w:val="00516568"/>
    <w:rsid w:val="0051659A"/>
    <w:rsid w:val="005165F9"/>
    <w:rsid w:val="00516641"/>
    <w:rsid w:val="00516678"/>
    <w:rsid w:val="00516679"/>
    <w:rsid w:val="00516699"/>
    <w:rsid w:val="00516744"/>
    <w:rsid w:val="005167D5"/>
    <w:rsid w:val="00516811"/>
    <w:rsid w:val="005168AA"/>
    <w:rsid w:val="00516900"/>
    <w:rsid w:val="00516A41"/>
    <w:rsid w:val="00516AB0"/>
    <w:rsid w:val="00516AC1"/>
    <w:rsid w:val="00516AF4"/>
    <w:rsid w:val="00516B14"/>
    <w:rsid w:val="00516B3E"/>
    <w:rsid w:val="00516B4D"/>
    <w:rsid w:val="00516B6C"/>
    <w:rsid w:val="00516B7F"/>
    <w:rsid w:val="00516BC4"/>
    <w:rsid w:val="00516C14"/>
    <w:rsid w:val="00516C24"/>
    <w:rsid w:val="00516C4A"/>
    <w:rsid w:val="00516C5C"/>
    <w:rsid w:val="00516D4F"/>
    <w:rsid w:val="00516D74"/>
    <w:rsid w:val="00516D83"/>
    <w:rsid w:val="00516D85"/>
    <w:rsid w:val="00516D9C"/>
    <w:rsid w:val="00516DE1"/>
    <w:rsid w:val="00516DE3"/>
    <w:rsid w:val="00516DF3"/>
    <w:rsid w:val="00516DF4"/>
    <w:rsid w:val="00516E09"/>
    <w:rsid w:val="00516E1D"/>
    <w:rsid w:val="00516EBF"/>
    <w:rsid w:val="00516ECD"/>
    <w:rsid w:val="00516ED2"/>
    <w:rsid w:val="00516ED4"/>
    <w:rsid w:val="00516F42"/>
    <w:rsid w:val="00516F85"/>
    <w:rsid w:val="005170BB"/>
    <w:rsid w:val="005170C7"/>
    <w:rsid w:val="005170D2"/>
    <w:rsid w:val="00517138"/>
    <w:rsid w:val="00517139"/>
    <w:rsid w:val="0051713B"/>
    <w:rsid w:val="00517142"/>
    <w:rsid w:val="005171DC"/>
    <w:rsid w:val="005171E1"/>
    <w:rsid w:val="005171F5"/>
    <w:rsid w:val="00517211"/>
    <w:rsid w:val="0051723D"/>
    <w:rsid w:val="00517240"/>
    <w:rsid w:val="00517249"/>
    <w:rsid w:val="00517250"/>
    <w:rsid w:val="00517262"/>
    <w:rsid w:val="00517268"/>
    <w:rsid w:val="0051726D"/>
    <w:rsid w:val="005172A8"/>
    <w:rsid w:val="00517300"/>
    <w:rsid w:val="00517369"/>
    <w:rsid w:val="0051741B"/>
    <w:rsid w:val="00517426"/>
    <w:rsid w:val="0051744B"/>
    <w:rsid w:val="0051746E"/>
    <w:rsid w:val="005174CA"/>
    <w:rsid w:val="0051756F"/>
    <w:rsid w:val="00517583"/>
    <w:rsid w:val="005175A6"/>
    <w:rsid w:val="005175CD"/>
    <w:rsid w:val="005175EF"/>
    <w:rsid w:val="00517608"/>
    <w:rsid w:val="00517634"/>
    <w:rsid w:val="00517675"/>
    <w:rsid w:val="0051768E"/>
    <w:rsid w:val="0051769A"/>
    <w:rsid w:val="005176CE"/>
    <w:rsid w:val="00517724"/>
    <w:rsid w:val="00517761"/>
    <w:rsid w:val="005177B9"/>
    <w:rsid w:val="00517829"/>
    <w:rsid w:val="00517843"/>
    <w:rsid w:val="005178DE"/>
    <w:rsid w:val="0051790E"/>
    <w:rsid w:val="00517916"/>
    <w:rsid w:val="0051791F"/>
    <w:rsid w:val="00517978"/>
    <w:rsid w:val="0051798A"/>
    <w:rsid w:val="005179B4"/>
    <w:rsid w:val="005179CD"/>
    <w:rsid w:val="00517A06"/>
    <w:rsid w:val="00517A25"/>
    <w:rsid w:val="00517A44"/>
    <w:rsid w:val="00517A77"/>
    <w:rsid w:val="00517A7C"/>
    <w:rsid w:val="00517ABA"/>
    <w:rsid w:val="00517AC1"/>
    <w:rsid w:val="00517AC6"/>
    <w:rsid w:val="00517ACE"/>
    <w:rsid w:val="00517BE3"/>
    <w:rsid w:val="00517BF6"/>
    <w:rsid w:val="00517C01"/>
    <w:rsid w:val="00517C06"/>
    <w:rsid w:val="00517CDF"/>
    <w:rsid w:val="00517D3F"/>
    <w:rsid w:val="00517D54"/>
    <w:rsid w:val="00517D5F"/>
    <w:rsid w:val="00517E21"/>
    <w:rsid w:val="00517E2D"/>
    <w:rsid w:val="00517E89"/>
    <w:rsid w:val="00517E91"/>
    <w:rsid w:val="00517EE9"/>
    <w:rsid w:val="00517EEE"/>
    <w:rsid w:val="00517F74"/>
    <w:rsid w:val="00517F75"/>
    <w:rsid w:val="00517F76"/>
    <w:rsid w:val="00517FBA"/>
    <w:rsid w:val="00517FD6"/>
    <w:rsid w:val="00517FFC"/>
    <w:rsid w:val="00520013"/>
    <w:rsid w:val="00520047"/>
    <w:rsid w:val="0052004D"/>
    <w:rsid w:val="00520161"/>
    <w:rsid w:val="005201BB"/>
    <w:rsid w:val="0052020C"/>
    <w:rsid w:val="00520213"/>
    <w:rsid w:val="00520241"/>
    <w:rsid w:val="0052029F"/>
    <w:rsid w:val="00520316"/>
    <w:rsid w:val="00520362"/>
    <w:rsid w:val="00520387"/>
    <w:rsid w:val="005203CD"/>
    <w:rsid w:val="00520409"/>
    <w:rsid w:val="00520413"/>
    <w:rsid w:val="00520424"/>
    <w:rsid w:val="00520457"/>
    <w:rsid w:val="0052046B"/>
    <w:rsid w:val="005205EC"/>
    <w:rsid w:val="005206BE"/>
    <w:rsid w:val="005206C2"/>
    <w:rsid w:val="00520703"/>
    <w:rsid w:val="0052073A"/>
    <w:rsid w:val="00520743"/>
    <w:rsid w:val="005207C1"/>
    <w:rsid w:val="005207CB"/>
    <w:rsid w:val="005207DB"/>
    <w:rsid w:val="00520816"/>
    <w:rsid w:val="0052082F"/>
    <w:rsid w:val="0052083D"/>
    <w:rsid w:val="00520869"/>
    <w:rsid w:val="0052088B"/>
    <w:rsid w:val="005208B3"/>
    <w:rsid w:val="005208D5"/>
    <w:rsid w:val="00520927"/>
    <w:rsid w:val="00520955"/>
    <w:rsid w:val="00520998"/>
    <w:rsid w:val="00520A1F"/>
    <w:rsid w:val="00520A29"/>
    <w:rsid w:val="00520A30"/>
    <w:rsid w:val="00520A35"/>
    <w:rsid w:val="00520A65"/>
    <w:rsid w:val="00520A76"/>
    <w:rsid w:val="00520AC0"/>
    <w:rsid w:val="00520AE9"/>
    <w:rsid w:val="00520AF1"/>
    <w:rsid w:val="00520B0B"/>
    <w:rsid w:val="00520B12"/>
    <w:rsid w:val="00520BC5"/>
    <w:rsid w:val="00520C9A"/>
    <w:rsid w:val="00520CBD"/>
    <w:rsid w:val="00520CCE"/>
    <w:rsid w:val="00520D62"/>
    <w:rsid w:val="00520D70"/>
    <w:rsid w:val="00520D99"/>
    <w:rsid w:val="00520DA9"/>
    <w:rsid w:val="00520DEF"/>
    <w:rsid w:val="00520E50"/>
    <w:rsid w:val="00520E52"/>
    <w:rsid w:val="00520E82"/>
    <w:rsid w:val="00520E83"/>
    <w:rsid w:val="00520E8C"/>
    <w:rsid w:val="00520EAF"/>
    <w:rsid w:val="00520EE5"/>
    <w:rsid w:val="00520F0F"/>
    <w:rsid w:val="00520F4E"/>
    <w:rsid w:val="00520FAF"/>
    <w:rsid w:val="00520FDB"/>
    <w:rsid w:val="00521014"/>
    <w:rsid w:val="00521028"/>
    <w:rsid w:val="0052103F"/>
    <w:rsid w:val="0052105B"/>
    <w:rsid w:val="005210AA"/>
    <w:rsid w:val="005210FE"/>
    <w:rsid w:val="00521142"/>
    <w:rsid w:val="0052114F"/>
    <w:rsid w:val="0052115A"/>
    <w:rsid w:val="005211C7"/>
    <w:rsid w:val="0052120B"/>
    <w:rsid w:val="00521252"/>
    <w:rsid w:val="00521262"/>
    <w:rsid w:val="005212C2"/>
    <w:rsid w:val="005212C9"/>
    <w:rsid w:val="005212DB"/>
    <w:rsid w:val="0052134A"/>
    <w:rsid w:val="00521380"/>
    <w:rsid w:val="005213A3"/>
    <w:rsid w:val="005213F5"/>
    <w:rsid w:val="0052146A"/>
    <w:rsid w:val="00521499"/>
    <w:rsid w:val="00521500"/>
    <w:rsid w:val="0052156E"/>
    <w:rsid w:val="0052157F"/>
    <w:rsid w:val="00521605"/>
    <w:rsid w:val="00521634"/>
    <w:rsid w:val="0052169F"/>
    <w:rsid w:val="005216DB"/>
    <w:rsid w:val="00521709"/>
    <w:rsid w:val="00521722"/>
    <w:rsid w:val="0052173A"/>
    <w:rsid w:val="00521747"/>
    <w:rsid w:val="00521781"/>
    <w:rsid w:val="00521791"/>
    <w:rsid w:val="0052179A"/>
    <w:rsid w:val="005217A6"/>
    <w:rsid w:val="005217DC"/>
    <w:rsid w:val="00521811"/>
    <w:rsid w:val="00521881"/>
    <w:rsid w:val="00521885"/>
    <w:rsid w:val="00521886"/>
    <w:rsid w:val="00521902"/>
    <w:rsid w:val="00521948"/>
    <w:rsid w:val="00521984"/>
    <w:rsid w:val="005219CF"/>
    <w:rsid w:val="005219E7"/>
    <w:rsid w:val="00521A4E"/>
    <w:rsid w:val="00521A56"/>
    <w:rsid w:val="00521AA5"/>
    <w:rsid w:val="00521AB9"/>
    <w:rsid w:val="00521B39"/>
    <w:rsid w:val="00521BD9"/>
    <w:rsid w:val="00521C16"/>
    <w:rsid w:val="00521C1F"/>
    <w:rsid w:val="00521C3F"/>
    <w:rsid w:val="00521C44"/>
    <w:rsid w:val="00521C51"/>
    <w:rsid w:val="00521C5F"/>
    <w:rsid w:val="00521C69"/>
    <w:rsid w:val="00521CBA"/>
    <w:rsid w:val="00521CFF"/>
    <w:rsid w:val="00521D20"/>
    <w:rsid w:val="00521D22"/>
    <w:rsid w:val="00521D30"/>
    <w:rsid w:val="00521DEA"/>
    <w:rsid w:val="00521E5B"/>
    <w:rsid w:val="00521E98"/>
    <w:rsid w:val="00521F10"/>
    <w:rsid w:val="00521F19"/>
    <w:rsid w:val="00521F39"/>
    <w:rsid w:val="00521F94"/>
    <w:rsid w:val="00521FA7"/>
    <w:rsid w:val="00521FFF"/>
    <w:rsid w:val="00522044"/>
    <w:rsid w:val="005220C5"/>
    <w:rsid w:val="00522117"/>
    <w:rsid w:val="00522143"/>
    <w:rsid w:val="00522153"/>
    <w:rsid w:val="0052215F"/>
    <w:rsid w:val="0052217A"/>
    <w:rsid w:val="005221B5"/>
    <w:rsid w:val="005221C7"/>
    <w:rsid w:val="00522210"/>
    <w:rsid w:val="00522220"/>
    <w:rsid w:val="00522234"/>
    <w:rsid w:val="0052223D"/>
    <w:rsid w:val="00522297"/>
    <w:rsid w:val="00522298"/>
    <w:rsid w:val="005222A7"/>
    <w:rsid w:val="005222C2"/>
    <w:rsid w:val="005222C7"/>
    <w:rsid w:val="005222FB"/>
    <w:rsid w:val="00522317"/>
    <w:rsid w:val="0052231E"/>
    <w:rsid w:val="0052239A"/>
    <w:rsid w:val="005223AE"/>
    <w:rsid w:val="005223C0"/>
    <w:rsid w:val="00522412"/>
    <w:rsid w:val="00522465"/>
    <w:rsid w:val="005224DD"/>
    <w:rsid w:val="005224FC"/>
    <w:rsid w:val="0052250D"/>
    <w:rsid w:val="00522510"/>
    <w:rsid w:val="00522552"/>
    <w:rsid w:val="00522561"/>
    <w:rsid w:val="00522577"/>
    <w:rsid w:val="005225D7"/>
    <w:rsid w:val="00522605"/>
    <w:rsid w:val="00522635"/>
    <w:rsid w:val="0052263C"/>
    <w:rsid w:val="00522699"/>
    <w:rsid w:val="005226DD"/>
    <w:rsid w:val="00522731"/>
    <w:rsid w:val="0052277B"/>
    <w:rsid w:val="00522792"/>
    <w:rsid w:val="005227AE"/>
    <w:rsid w:val="005227D0"/>
    <w:rsid w:val="00522860"/>
    <w:rsid w:val="0052289E"/>
    <w:rsid w:val="005228CA"/>
    <w:rsid w:val="00522A07"/>
    <w:rsid w:val="00522A27"/>
    <w:rsid w:val="00522A48"/>
    <w:rsid w:val="00522A81"/>
    <w:rsid w:val="00522ABB"/>
    <w:rsid w:val="00522B35"/>
    <w:rsid w:val="00522B81"/>
    <w:rsid w:val="00522BD1"/>
    <w:rsid w:val="00522BDC"/>
    <w:rsid w:val="00522C04"/>
    <w:rsid w:val="00522C2B"/>
    <w:rsid w:val="00522C41"/>
    <w:rsid w:val="00522CC7"/>
    <w:rsid w:val="00522D71"/>
    <w:rsid w:val="00522D77"/>
    <w:rsid w:val="00522D9F"/>
    <w:rsid w:val="00522DA3"/>
    <w:rsid w:val="00522DA8"/>
    <w:rsid w:val="00522DFB"/>
    <w:rsid w:val="00522E1F"/>
    <w:rsid w:val="00522E22"/>
    <w:rsid w:val="00522E4C"/>
    <w:rsid w:val="00522EA0"/>
    <w:rsid w:val="00522EF1"/>
    <w:rsid w:val="00522FE4"/>
    <w:rsid w:val="00523029"/>
    <w:rsid w:val="0052302A"/>
    <w:rsid w:val="00523079"/>
    <w:rsid w:val="005230A2"/>
    <w:rsid w:val="005230A6"/>
    <w:rsid w:val="005230B3"/>
    <w:rsid w:val="005230DC"/>
    <w:rsid w:val="005230EE"/>
    <w:rsid w:val="0052310C"/>
    <w:rsid w:val="00523132"/>
    <w:rsid w:val="005231CA"/>
    <w:rsid w:val="005231CE"/>
    <w:rsid w:val="005231D3"/>
    <w:rsid w:val="005231D6"/>
    <w:rsid w:val="005231EC"/>
    <w:rsid w:val="0052325A"/>
    <w:rsid w:val="0052325F"/>
    <w:rsid w:val="005232A0"/>
    <w:rsid w:val="005232C3"/>
    <w:rsid w:val="005232CF"/>
    <w:rsid w:val="005232D4"/>
    <w:rsid w:val="00523328"/>
    <w:rsid w:val="0052335D"/>
    <w:rsid w:val="00523364"/>
    <w:rsid w:val="005233F1"/>
    <w:rsid w:val="005233F5"/>
    <w:rsid w:val="005233FD"/>
    <w:rsid w:val="00523438"/>
    <w:rsid w:val="0052343B"/>
    <w:rsid w:val="0052343D"/>
    <w:rsid w:val="0052344F"/>
    <w:rsid w:val="00523470"/>
    <w:rsid w:val="00523471"/>
    <w:rsid w:val="005234C0"/>
    <w:rsid w:val="005234E5"/>
    <w:rsid w:val="0052352D"/>
    <w:rsid w:val="0052352E"/>
    <w:rsid w:val="00523564"/>
    <w:rsid w:val="005235C6"/>
    <w:rsid w:val="005235E9"/>
    <w:rsid w:val="0052369F"/>
    <w:rsid w:val="005236D3"/>
    <w:rsid w:val="005236D7"/>
    <w:rsid w:val="00523711"/>
    <w:rsid w:val="0052372B"/>
    <w:rsid w:val="0052373B"/>
    <w:rsid w:val="0052375D"/>
    <w:rsid w:val="0052375E"/>
    <w:rsid w:val="00523780"/>
    <w:rsid w:val="005237ED"/>
    <w:rsid w:val="00523815"/>
    <w:rsid w:val="0052383B"/>
    <w:rsid w:val="00523859"/>
    <w:rsid w:val="005238BB"/>
    <w:rsid w:val="005238F5"/>
    <w:rsid w:val="0052390A"/>
    <w:rsid w:val="00523923"/>
    <w:rsid w:val="0052394B"/>
    <w:rsid w:val="00523959"/>
    <w:rsid w:val="00523976"/>
    <w:rsid w:val="0052397A"/>
    <w:rsid w:val="00523983"/>
    <w:rsid w:val="0052398C"/>
    <w:rsid w:val="00523A0D"/>
    <w:rsid w:val="00523A2F"/>
    <w:rsid w:val="00523A48"/>
    <w:rsid w:val="00523A6B"/>
    <w:rsid w:val="00523AA9"/>
    <w:rsid w:val="00523AE8"/>
    <w:rsid w:val="00523B18"/>
    <w:rsid w:val="00523B1B"/>
    <w:rsid w:val="00523B40"/>
    <w:rsid w:val="00523B9B"/>
    <w:rsid w:val="00523C21"/>
    <w:rsid w:val="00523CD4"/>
    <w:rsid w:val="00523CFF"/>
    <w:rsid w:val="00523D15"/>
    <w:rsid w:val="00523D5B"/>
    <w:rsid w:val="00523D7D"/>
    <w:rsid w:val="00523DBE"/>
    <w:rsid w:val="00523DEB"/>
    <w:rsid w:val="00523E35"/>
    <w:rsid w:val="00523E3E"/>
    <w:rsid w:val="00523E84"/>
    <w:rsid w:val="00523EA4"/>
    <w:rsid w:val="00523EBA"/>
    <w:rsid w:val="00523EE3"/>
    <w:rsid w:val="00523F02"/>
    <w:rsid w:val="00523F03"/>
    <w:rsid w:val="0052402E"/>
    <w:rsid w:val="00524090"/>
    <w:rsid w:val="005240C4"/>
    <w:rsid w:val="005240E8"/>
    <w:rsid w:val="0052416B"/>
    <w:rsid w:val="0052418E"/>
    <w:rsid w:val="0052419F"/>
    <w:rsid w:val="005241B6"/>
    <w:rsid w:val="005241E0"/>
    <w:rsid w:val="005241EB"/>
    <w:rsid w:val="00524228"/>
    <w:rsid w:val="00524229"/>
    <w:rsid w:val="00524258"/>
    <w:rsid w:val="0052426C"/>
    <w:rsid w:val="00524285"/>
    <w:rsid w:val="005242AF"/>
    <w:rsid w:val="0052432E"/>
    <w:rsid w:val="00524348"/>
    <w:rsid w:val="0052434F"/>
    <w:rsid w:val="005243A8"/>
    <w:rsid w:val="005243D0"/>
    <w:rsid w:val="0052441B"/>
    <w:rsid w:val="00524495"/>
    <w:rsid w:val="005244A0"/>
    <w:rsid w:val="005245B2"/>
    <w:rsid w:val="005245E9"/>
    <w:rsid w:val="005245F9"/>
    <w:rsid w:val="005245FD"/>
    <w:rsid w:val="00524612"/>
    <w:rsid w:val="0052467D"/>
    <w:rsid w:val="0052469F"/>
    <w:rsid w:val="005246BC"/>
    <w:rsid w:val="005246C1"/>
    <w:rsid w:val="005246CF"/>
    <w:rsid w:val="005246DB"/>
    <w:rsid w:val="005246E6"/>
    <w:rsid w:val="005246EC"/>
    <w:rsid w:val="00524715"/>
    <w:rsid w:val="00524739"/>
    <w:rsid w:val="0052476A"/>
    <w:rsid w:val="0052478B"/>
    <w:rsid w:val="005247BB"/>
    <w:rsid w:val="005247C7"/>
    <w:rsid w:val="005248B9"/>
    <w:rsid w:val="005248C5"/>
    <w:rsid w:val="005248CE"/>
    <w:rsid w:val="00524944"/>
    <w:rsid w:val="00524977"/>
    <w:rsid w:val="0052497C"/>
    <w:rsid w:val="00524980"/>
    <w:rsid w:val="005249A5"/>
    <w:rsid w:val="005249C7"/>
    <w:rsid w:val="00524AB0"/>
    <w:rsid w:val="00524AD7"/>
    <w:rsid w:val="00524AEA"/>
    <w:rsid w:val="00524AF6"/>
    <w:rsid w:val="00524B1A"/>
    <w:rsid w:val="00524B30"/>
    <w:rsid w:val="00524B49"/>
    <w:rsid w:val="00524B76"/>
    <w:rsid w:val="00524BCD"/>
    <w:rsid w:val="00524BFB"/>
    <w:rsid w:val="00524C31"/>
    <w:rsid w:val="00524C32"/>
    <w:rsid w:val="00524C78"/>
    <w:rsid w:val="00524C88"/>
    <w:rsid w:val="00524CAF"/>
    <w:rsid w:val="00524CB2"/>
    <w:rsid w:val="00524CC1"/>
    <w:rsid w:val="00524CC4"/>
    <w:rsid w:val="00524D1E"/>
    <w:rsid w:val="00524D2B"/>
    <w:rsid w:val="00524D61"/>
    <w:rsid w:val="00524E22"/>
    <w:rsid w:val="00524E6A"/>
    <w:rsid w:val="00524F3B"/>
    <w:rsid w:val="00524F3E"/>
    <w:rsid w:val="00524F46"/>
    <w:rsid w:val="00524FC6"/>
    <w:rsid w:val="0052503B"/>
    <w:rsid w:val="00525045"/>
    <w:rsid w:val="00525049"/>
    <w:rsid w:val="00525072"/>
    <w:rsid w:val="005250D4"/>
    <w:rsid w:val="00525149"/>
    <w:rsid w:val="00525178"/>
    <w:rsid w:val="00525199"/>
    <w:rsid w:val="0052523C"/>
    <w:rsid w:val="00525247"/>
    <w:rsid w:val="00525249"/>
    <w:rsid w:val="00525292"/>
    <w:rsid w:val="0052531D"/>
    <w:rsid w:val="0052532D"/>
    <w:rsid w:val="00525351"/>
    <w:rsid w:val="0052536B"/>
    <w:rsid w:val="00525387"/>
    <w:rsid w:val="005253C8"/>
    <w:rsid w:val="00525451"/>
    <w:rsid w:val="0052545E"/>
    <w:rsid w:val="005254E9"/>
    <w:rsid w:val="005254EB"/>
    <w:rsid w:val="005255B1"/>
    <w:rsid w:val="0052560A"/>
    <w:rsid w:val="0052562D"/>
    <w:rsid w:val="0052564F"/>
    <w:rsid w:val="005256AF"/>
    <w:rsid w:val="0052570C"/>
    <w:rsid w:val="00525714"/>
    <w:rsid w:val="00525758"/>
    <w:rsid w:val="0052575B"/>
    <w:rsid w:val="00525815"/>
    <w:rsid w:val="0052581D"/>
    <w:rsid w:val="00525839"/>
    <w:rsid w:val="0052583F"/>
    <w:rsid w:val="0052588F"/>
    <w:rsid w:val="00525898"/>
    <w:rsid w:val="005258C6"/>
    <w:rsid w:val="0052590E"/>
    <w:rsid w:val="0052593E"/>
    <w:rsid w:val="005259DC"/>
    <w:rsid w:val="00525A05"/>
    <w:rsid w:val="00525A0E"/>
    <w:rsid w:val="00525AB9"/>
    <w:rsid w:val="00525B1C"/>
    <w:rsid w:val="00525B50"/>
    <w:rsid w:val="00525B91"/>
    <w:rsid w:val="00525BED"/>
    <w:rsid w:val="00525BF7"/>
    <w:rsid w:val="00525C76"/>
    <w:rsid w:val="00525C88"/>
    <w:rsid w:val="00525CB2"/>
    <w:rsid w:val="00525CB9"/>
    <w:rsid w:val="00525CCB"/>
    <w:rsid w:val="00525CDD"/>
    <w:rsid w:val="00525CEB"/>
    <w:rsid w:val="00525D0C"/>
    <w:rsid w:val="00525D4E"/>
    <w:rsid w:val="00525D66"/>
    <w:rsid w:val="00525D80"/>
    <w:rsid w:val="00525D86"/>
    <w:rsid w:val="00525DAD"/>
    <w:rsid w:val="00525DBE"/>
    <w:rsid w:val="00525DEF"/>
    <w:rsid w:val="00525E00"/>
    <w:rsid w:val="00525E42"/>
    <w:rsid w:val="00525EB3"/>
    <w:rsid w:val="00525ED6"/>
    <w:rsid w:val="00525EE8"/>
    <w:rsid w:val="00525F0E"/>
    <w:rsid w:val="00525F12"/>
    <w:rsid w:val="00525F18"/>
    <w:rsid w:val="00525F5E"/>
    <w:rsid w:val="00525F6B"/>
    <w:rsid w:val="00526006"/>
    <w:rsid w:val="0052601C"/>
    <w:rsid w:val="00526023"/>
    <w:rsid w:val="0052604C"/>
    <w:rsid w:val="0052605A"/>
    <w:rsid w:val="00526070"/>
    <w:rsid w:val="005260B6"/>
    <w:rsid w:val="005260C1"/>
    <w:rsid w:val="00526131"/>
    <w:rsid w:val="0052615E"/>
    <w:rsid w:val="00526165"/>
    <w:rsid w:val="005261A6"/>
    <w:rsid w:val="00526222"/>
    <w:rsid w:val="00526247"/>
    <w:rsid w:val="005262B3"/>
    <w:rsid w:val="00526307"/>
    <w:rsid w:val="00526308"/>
    <w:rsid w:val="005263EB"/>
    <w:rsid w:val="00526443"/>
    <w:rsid w:val="00526462"/>
    <w:rsid w:val="00526564"/>
    <w:rsid w:val="00526571"/>
    <w:rsid w:val="00526591"/>
    <w:rsid w:val="005265C1"/>
    <w:rsid w:val="005265F7"/>
    <w:rsid w:val="00526605"/>
    <w:rsid w:val="00526632"/>
    <w:rsid w:val="00526640"/>
    <w:rsid w:val="0052664D"/>
    <w:rsid w:val="005266A4"/>
    <w:rsid w:val="005266C7"/>
    <w:rsid w:val="005266C8"/>
    <w:rsid w:val="005266DC"/>
    <w:rsid w:val="0052674C"/>
    <w:rsid w:val="00526784"/>
    <w:rsid w:val="005267B1"/>
    <w:rsid w:val="005267E5"/>
    <w:rsid w:val="0052682C"/>
    <w:rsid w:val="00526861"/>
    <w:rsid w:val="005268C6"/>
    <w:rsid w:val="00526949"/>
    <w:rsid w:val="00526956"/>
    <w:rsid w:val="00526A07"/>
    <w:rsid w:val="00526A2F"/>
    <w:rsid w:val="00526A72"/>
    <w:rsid w:val="00526A80"/>
    <w:rsid w:val="00526AAF"/>
    <w:rsid w:val="00526AE4"/>
    <w:rsid w:val="00526AF1"/>
    <w:rsid w:val="00526B4C"/>
    <w:rsid w:val="00526B54"/>
    <w:rsid w:val="00526B6D"/>
    <w:rsid w:val="00526B86"/>
    <w:rsid w:val="00526BA2"/>
    <w:rsid w:val="00526BA4"/>
    <w:rsid w:val="00526BB1"/>
    <w:rsid w:val="00526BBC"/>
    <w:rsid w:val="00526C20"/>
    <w:rsid w:val="00526C23"/>
    <w:rsid w:val="00526C55"/>
    <w:rsid w:val="00526CE1"/>
    <w:rsid w:val="00526D2F"/>
    <w:rsid w:val="00526D39"/>
    <w:rsid w:val="00526D40"/>
    <w:rsid w:val="00526D94"/>
    <w:rsid w:val="00526D95"/>
    <w:rsid w:val="00526DB6"/>
    <w:rsid w:val="00526DE9"/>
    <w:rsid w:val="00526DFD"/>
    <w:rsid w:val="00526E25"/>
    <w:rsid w:val="00526E4C"/>
    <w:rsid w:val="00526EA7"/>
    <w:rsid w:val="00526ECE"/>
    <w:rsid w:val="00526F20"/>
    <w:rsid w:val="00526F2B"/>
    <w:rsid w:val="00526FCA"/>
    <w:rsid w:val="00526FEA"/>
    <w:rsid w:val="00527015"/>
    <w:rsid w:val="0052701F"/>
    <w:rsid w:val="00527023"/>
    <w:rsid w:val="0052702F"/>
    <w:rsid w:val="0052703D"/>
    <w:rsid w:val="00527066"/>
    <w:rsid w:val="005270A8"/>
    <w:rsid w:val="00527124"/>
    <w:rsid w:val="00527126"/>
    <w:rsid w:val="00527147"/>
    <w:rsid w:val="00527149"/>
    <w:rsid w:val="0052715D"/>
    <w:rsid w:val="00527211"/>
    <w:rsid w:val="00527252"/>
    <w:rsid w:val="005272D0"/>
    <w:rsid w:val="0052733E"/>
    <w:rsid w:val="00527349"/>
    <w:rsid w:val="0052739E"/>
    <w:rsid w:val="00527425"/>
    <w:rsid w:val="0052748E"/>
    <w:rsid w:val="00527498"/>
    <w:rsid w:val="005274B0"/>
    <w:rsid w:val="0052758F"/>
    <w:rsid w:val="005275A4"/>
    <w:rsid w:val="005275BB"/>
    <w:rsid w:val="00527602"/>
    <w:rsid w:val="00527627"/>
    <w:rsid w:val="0052763D"/>
    <w:rsid w:val="005276FA"/>
    <w:rsid w:val="00527715"/>
    <w:rsid w:val="00527728"/>
    <w:rsid w:val="00527787"/>
    <w:rsid w:val="005277B7"/>
    <w:rsid w:val="005277C7"/>
    <w:rsid w:val="00527833"/>
    <w:rsid w:val="0052783C"/>
    <w:rsid w:val="0052783F"/>
    <w:rsid w:val="00527889"/>
    <w:rsid w:val="005278BD"/>
    <w:rsid w:val="005278E2"/>
    <w:rsid w:val="00527914"/>
    <w:rsid w:val="00527950"/>
    <w:rsid w:val="00527998"/>
    <w:rsid w:val="005279A3"/>
    <w:rsid w:val="005279C8"/>
    <w:rsid w:val="005279E0"/>
    <w:rsid w:val="005279EB"/>
    <w:rsid w:val="00527A01"/>
    <w:rsid w:val="00527A29"/>
    <w:rsid w:val="00527AA2"/>
    <w:rsid w:val="00527B00"/>
    <w:rsid w:val="00527B06"/>
    <w:rsid w:val="00527B9D"/>
    <w:rsid w:val="00527BA6"/>
    <w:rsid w:val="00527BD5"/>
    <w:rsid w:val="00527BD8"/>
    <w:rsid w:val="00527C1E"/>
    <w:rsid w:val="00527CBE"/>
    <w:rsid w:val="00527CE0"/>
    <w:rsid w:val="00527CE6"/>
    <w:rsid w:val="00527D37"/>
    <w:rsid w:val="00527D8E"/>
    <w:rsid w:val="00527D93"/>
    <w:rsid w:val="00527E1E"/>
    <w:rsid w:val="00527E3A"/>
    <w:rsid w:val="00527F42"/>
    <w:rsid w:val="00527F6E"/>
    <w:rsid w:val="00527FB6"/>
    <w:rsid w:val="00528709"/>
    <w:rsid w:val="0053006A"/>
    <w:rsid w:val="00530077"/>
    <w:rsid w:val="005300C9"/>
    <w:rsid w:val="005300CF"/>
    <w:rsid w:val="005300E9"/>
    <w:rsid w:val="005300EB"/>
    <w:rsid w:val="0053010C"/>
    <w:rsid w:val="005301A2"/>
    <w:rsid w:val="005301AB"/>
    <w:rsid w:val="00530215"/>
    <w:rsid w:val="00530258"/>
    <w:rsid w:val="0053027A"/>
    <w:rsid w:val="005302CC"/>
    <w:rsid w:val="00530310"/>
    <w:rsid w:val="0053035D"/>
    <w:rsid w:val="00530380"/>
    <w:rsid w:val="00530386"/>
    <w:rsid w:val="005303E1"/>
    <w:rsid w:val="00530403"/>
    <w:rsid w:val="0053044C"/>
    <w:rsid w:val="00530476"/>
    <w:rsid w:val="005304B7"/>
    <w:rsid w:val="005304DA"/>
    <w:rsid w:val="005304ED"/>
    <w:rsid w:val="00530507"/>
    <w:rsid w:val="00530523"/>
    <w:rsid w:val="00530548"/>
    <w:rsid w:val="00530565"/>
    <w:rsid w:val="00530577"/>
    <w:rsid w:val="0053061C"/>
    <w:rsid w:val="00530622"/>
    <w:rsid w:val="00530626"/>
    <w:rsid w:val="005306F6"/>
    <w:rsid w:val="00530781"/>
    <w:rsid w:val="005307A4"/>
    <w:rsid w:val="005307C7"/>
    <w:rsid w:val="005307EF"/>
    <w:rsid w:val="005307F8"/>
    <w:rsid w:val="00530833"/>
    <w:rsid w:val="005308C9"/>
    <w:rsid w:val="005308D4"/>
    <w:rsid w:val="00530A6F"/>
    <w:rsid w:val="00530A71"/>
    <w:rsid w:val="00530A81"/>
    <w:rsid w:val="00530AA5"/>
    <w:rsid w:val="00530AFD"/>
    <w:rsid w:val="00530B93"/>
    <w:rsid w:val="00530B94"/>
    <w:rsid w:val="00530C2B"/>
    <w:rsid w:val="00530C3A"/>
    <w:rsid w:val="00530C47"/>
    <w:rsid w:val="00530C50"/>
    <w:rsid w:val="00530C60"/>
    <w:rsid w:val="00530C64"/>
    <w:rsid w:val="00530C88"/>
    <w:rsid w:val="00530CA4"/>
    <w:rsid w:val="00530CAA"/>
    <w:rsid w:val="00530CDA"/>
    <w:rsid w:val="00530D57"/>
    <w:rsid w:val="00530DA3"/>
    <w:rsid w:val="00530DCD"/>
    <w:rsid w:val="00530DF2"/>
    <w:rsid w:val="00530E09"/>
    <w:rsid w:val="00530E19"/>
    <w:rsid w:val="00530E8B"/>
    <w:rsid w:val="00530EDE"/>
    <w:rsid w:val="00530F10"/>
    <w:rsid w:val="00530F2F"/>
    <w:rsid w:val="00530F5C"/>
    <w:rsid w:val="00530F6B"/>
    <w:rsid w:val="00530F8F"/>
    <w:rsid w:val="00530FA3"/>
    <w:rsid w:val="00530FC4"/>
    <w:rsid w:val="00530FEF"/>
    <w:rsid w:val="0053100E"/>
    <w:rsid w:val="005310D2"/>
    <w:rsid w:val="0053110B"/>
    <w:rsid w:val="0053111D"/>
    <w:rsid w:val="00531135"/>
    <w:rsid w:val="0053114C"/>
    <w:rsid w:val="005311A1"/>
    <w:rsid w:val="005311A6"/>
    <w:rsid w:val="005311AA"/>
    <w:rsid w:val="005311F2"/>
    <w:rsid w:val="00531201"/>
    <w:rsid w:val="0053124D"/>
    <w:rsid w:val="00531291"/>
    <w:rsid w:val="005312A1"/>
    <w:rsid w:val="005312C3"/>
    <w:rsid w:val="005312D4"/>
    <w:rsid w:val="0053137A"/>
    <w:rsid w:val="005313B2"/>
    <w:rsid w:val="0053140D"/>
    <w:rsid w:val="005314AE"/>
    <w:rsid w:val="005314B7"/>
    <w:rsid w:val="0053159A"/>
    <w:rsid w:val="0053159F"/>
    <w:rsid w:val="005315C2"/>
    <w:rsid w:val="00531621"/>
    <w:rsid w:val="0053162F"/>
    <w:rsid w:val="005316A5"/>
    <w:rsid w:val="005316B5"/>
    <w:rsid w:val="0053177F"/>
    <w:rsid w:val="005317DE"/>
    <w:rsid w:val="00531807"/>
    <w:rsid w:val="0053182A"/>
    <w:rsid w:val="0053185D"/>
    <w:rsid w:val="00531891"/>
    <w:rsid w:val="0053189A"/>
    <w:rsid w:val="00531981"/>
    <w:rsid w:val="00531992"/>
    <w:rsid w:val="005319A9"/>
    <w:rsid w:val="005319BB"/>
    <w:rsid w:val="00531A02"/>
    <w:rsid w:val="00531A14"/>
    <w:rsid w:val="00531AC0"/>
    <w:rsid w:val="00531B0F"/>
    <w:rsid w:val="00531B71"/>
    <w:rsid w:val="00531B93"/>
    <w:rsid w:val="00531C47"/>
    <w:rsid w:val="00531C62"/>
    <w:rsid w:val="00531C83"/>
    <w:rsid w:val="00531CB3"/>
    <w:rsid w:val="00531CC5"/>
    <w:rsid w:val="00531D71"/>
    <w:rsid w:val="00531D7E"/>
    <w:rsid w:val="00531DE2"/>
    <w:rsid w:val="00531E14"/>
    <w:rsid w:val="00531E18"/>
    <w:rsid w:val="00531E40"/>
    <w:rsid w:val="00531E68"/>
    <w:rsid w:val="00531E97"/>
    <w:rsid w:val="00531E99"/>
    <w:rsid w:val="00531EC2"/>
    <w:rsid w:val="00531EC9"/>
    <w:rsid w:val="00531EDC"/>
    <w:rsid w:val="00531F10"/>
    <w:rsid w:val="00531F32"/>
    <w:rsid w:val="00531F40"/>
    <w:rsid w:val="00531F85"/>
    <w:rsid w:val="00531FDD"/>
    <w:rsid w:val="00531FEA"/>
    <w:rsid w:val="00531FF3"/>
    <w:rsid w:val="0053206B"/>
    <w:rsid w:val="0053208A"/>
    <w:rsid w:val="005320DB"/>
    <w:rsid w:val="005320E9"/>
    <w:rsid w:val="00532133"/>
    <w:rsid w:val="0053219B"/>
    <w:rsid w:val="005321C8"/>
    <w:rsid w:val="005321E5"/>
    <w:rsid w:val="00532202"/>
    <w:rsid w:val="00532209"/>
    <w:rsid w:val="0053220E"/>
    <w:rsid w:val="00532213"/>
    <w:rsid w:val="0053229A"/>
    <w:rsid w:val="00532324"/>
    <w:rsid w:val="0053236F"/>
    <w:rsid w:val="0053238C"/>
    <w:rsid w:val="005323D2"/>
    <w:rsid w:val="005323D5"/>
    <w:rsid w:val="005324BA"/>
    <w:rsid w:val="005324D0"/>
    <w:rsid w:val="00532510"/>
    <w:rsid w:val="0053255C"/>
    <w:rsid w:val="0053255E"/>
    <w:rsid w:val="0053257F"/>
    <w:rsid w:val="00532595"/>
    <w:rsid w:val="00532636"/>
    <w:rsid w:val="005326CF"/>
    <w:rsid w:val="00532738"/>
    <w:rsid w:val="00532788"/>
    <w:rsid w:val="0053278A"/>
    <w:rsid w:val="005327B0"/>
    <w:rsid w:val="005327BE"/>
    <w:rsid w:val="005327CF"/>
    <w:rsid w:val="0053284A"/>
    <w:rsid w:val="0053285B"/>
    <w:rsid w:val="0053285F"/>
    <w:rsid w:val="005328AA"/>
    <w:rsid w:val="005328CE"/>
    <w:rsid w:val="005328D1"/>
    <w:rsid w:val="00532924"/>
    <w:rsid w:val="00532960"/>
    <w:rsid w:val="005329B3"/>
    <w:rsid w:val="005329BD"/>
    <w:rsid w:val="005329E2"/>
    <w:rsid w:val="00532A3C"/>
    <w:rsid w:val="00532A5C"/>
    <w:rsid w:val="00532AC7"/>
    <w:rsid w:val="00532ACE"/>
    <w:rsid w:val="00532AF4"/>
    <w:rsid w:val="00532B54"/>
    <w:rsid w:val="00532B66"/>
    <w:rsid w:val="00532BA4"/>
    <w:rsid w:val="00532BD1"/>
    <w:rsid w:val="00532BDF"/>
    <w:rsid w:val="00532BFE"/>
    <w:rsid w:val="00532C0E"/>
    <w:rsid w:val="00532C20"/>
    <w:rsid w:val="00532CB2"/>
    <w:rsid w:val="00532CC0"/>
    <w:rsid w:val="00532CEF"/>
    <w:rsid w:val="00532D08"/>
    <w:rsid w:val="00532D40"/>
    <w:rsid w:val="00532D9A"/>
    <w:rsid w:val="00532DCA"/>
    <w:rsid w:val="00532E1D"/>
    <w:rsid w:val="00532E91"/>
    <w:rsid w:val="00532EE9"/>
    <w:rsid w:val="00532EF3"/>
    <w:rsid w:val="00532EF9"/>
    <w:rsid w:val="00532F0B"/>
    <w:rsid w:val="00532F11"/>
    <w:rsid w:val="00532F45"/>
    <w:rsid w:val="00532F8B"/>
    <w:rsid w:val="00532F90"/>
    <w:rsid w:val="00532FB9"/>
    <w:rsid w:val="00532FCB"/>
    <w:rsid w:val="0053303E"/>
    <w:rsid w:val="005330C7"/>
    <w:rsid w:val="005330F2"/>
    <w:rsid w:val="00533160"/>
    <w:rsid w:val="00533169"/>
    <w:rsid w:val="0053316E"/>
    <w:rsid w:val="00533178"/>
    <w:rsid w:val="005331AC"/>
    <w:rsid w:val="005331E5"/>
    <w:rsid w:val="00533215"/>
    <w:rsid w:val="0053325C"/>
    <w:rsid w:val="0053326A"/>
    <w:rsid w:val="00533280"/>
    <w:rsid w:val="005332A8"/>
    <w:rsid w:val="005332B7"/>
    <w:rsid w:val="005332C1"/>
    <w:rsid w:val="005332FC"/>
    <w:rsid w:val="0053330F"/>
    <w:rsid w:val="00533343"/>
    <w:rsid w:val="0053335C"/>
    <w:rsid w:val="0053338F"/>
    <w:rsid w:val="005334CF"/>
    <w:rsid w:val="00533509"/>
    <w:rsid w:val="00533515"/>
    <w:rsid w:val="00533523"/>
    <w:rsid w:val="0053355A"/>
    <w:rsid w:val="005335BF"/>
    <w:rsid w:val="005335F4"/>
    <w:rsid w:val="00533629"/>
    <w:rsid w:val="0053365B"/>
    <w:rsid w:val="0053365E"/>
    <w:rsid w:val="00533681"/>
    <w:rsid w:val="00533751"/>
    <w:rsid w:val="00533761"/>
    <w:rsid w:val="0053377D"/>
    <w:rsid w:val="005337B0"/>
    <w:rsid w:val="005337BA"/>
    <w:rsid w:val="00533846"/>
    <w:rsid w:val="00533850"/>
    <w:rsid w:val="005338BE"/>
    <w:rsid w:val="0053392B"/>
    <w:rsid w:val="0053397C"/>
    <w:rsid w:val="005339C3"/>
    <w:rsid w:val="00533A24"/>
    <w:rsid w:val="00533A84"/>
    <w:rsid w:val="00533AD6"/>
    <w:rsid w:val="00533B6B"/>
    <w:rsid w:val="00533B85"/>
    <w:rsid w:val="00533B95"/>
    <w:rsid w:val="00533B98"/>
    <w:rsid w:val="00533C45"/>
    <w:rsid w:val="00533CAF"/>
    <w:rsid w:val="00533CDE"/>
    <w:rsid w:val="00533CE9"/>
    <w:rsid w:val="00533D01"/>
    <w:rsid w:val="00533D1D"/>
    <w:rsid w:val="00533D34"/>
    <w:rsid w:val="00533D55"/>
    <w:rsid w:val="00533D5A"/>
    <w:rsid w:val="00533D8D"/>
    <w:rsid w:val="00533D8E"/>
    <w:rsid w:val="00533D97"/>
    <w:rsid w:val="00533DB8"/>
    <w:rsid w:val="00533DC6"/>
    <w:rsid w:val="00533DD6"/>
    <w:rsid w:val="00533E09"/>
    <w:rsid w:val="00533E7E"/>
    <w:rsid w:val="00533E88"/>
    <w:rsid w:val="00533EA1"/>
    <w:rsid w:val="00533EA4"/>
    <w:rsid w:val="00533EA5"/>
    <w:rsid w:val="00533F06"/>
    <w:rsid w:val="00533F57"/>
    <w:rsid w:val="00533F8D"/>
    <w:rsid w:val="00533FA7"/>
    <w:rsid w:val="00533FB8"/>
    <w:rsid w:val="0053400F"/>
    <w:rsid w:val="00534013"/>
    <w:rsid w:val="0053401E"/>
    <w:rsid w:val="00534033"/>
    <w:rsid w:val="00534039"/>
    <w:rsid w:val="00534071"/>
    <w:rsid w:val="00534139"/>
    <w:rsid w:val="005341AC"/>
    <w:rsid w:val="005341AE"/>
    <w:rsid w:val="005341CF"/>
    <w:rsid w:val="00534217"/>
    <w:rsid w:val="0053423B"/>
    <w:rsid w:val="00534242"/>
    <w:rsid w:val="0053424B"/>
    <w:rsid w:val="0053425C"/>
    <w:rsid w:val="0053426E"/>
    <w:rsid w:val="0053428F"/>
    <w:rsid w:val="00534315"/>
    <w:rsid w:val="00534333"/>
    <w:rsid w:val="005343B8"/>
    <w:rsid w:val="00534442"/>
    <w:rsid w:val="005344D8"/>
    <w:rsid w:val="005344DC"/>
    <w:rsid w:val="0053453F"/>
    <w:rsid w:val="005345AF"/>
    <w:rsid w:val="005345D7"/>
    <w:rsid w:val="00534602"/>
    <w:rsid w:val="0053464F"/>
    <w:rsid w:val="00534660"/>
    <w:rsid w:val="0053471F"/>
    <w:rsid w:val="00534747"/>
    <w:rsid w:val="00534769"/>
    <w:rsid w:val="0053476A"/>
    <w:rsid w:val="0053478B"/>
    <w:rsid w:val="005347DC"/>
    <w:rsid w:val="00534821"/>
    <w:rsid w:val="00534828"/>
    <w:rsid w:val="00534837"/>
    <w:rsid w:val="00534858"/>
    <w:rsid w:val="0053486B"/>
    <w:rsid w:val="0053488F"/>
    <w:rsid w:val="00534896"/>
    <w:rsid w:val="00534999"/>
    <w:rsid w:val="005349BF"/>
    <w:rsid w:val="005349DF"/>
    <w:rsid w:val="00534A6B"/>
    <w:rsid w:val="00534A8E"/>
    <w:rsid w:val="00534B78"/>
    <w:rsid w:val="00534B90"/>
    <w:rsid w:val="00534BA6"/>
    <w:rsid w:val="00534BB7"/>
    <w:rsid w:val="00534BD4"/>
    <w:rsid w:val="00534BF2"/>
    <w:rsid w:val="00534C00"/>
    <w:rsid w:val="00534C15"/>
    <w:rsid w:val="00534C34"/>
    <w:rsid w:val="00534C49"/>
    <w:rsid w:val="00534C64"/>
    <w:rsid w:val="00534CB7"/>
    <w:rsid w:val="00534CEB"/>
    <w:rsid w:val="00534CF8"/>
    <w:rsid w:val="00534D16"/>
    <w:rsid w:val="00534D4E"/>
    <w:rsid w:val="00534D6A"/>
    <w:rsid w:val="00534D7A"/>
    <w:rsid w:val="00534D7D"/>
    <w:rsid w:val="00534DB4"/>
    <w:rsid w:val="00534DC5"/>
    <w:rsid w:val="00534DD3"/>
    <w:rsid w:val="00534E12"/>
    <w:rsid w:val="00534E9A"/>
    <w:rsid w:val="00534F2A"/>
    <w:rsid w:val="00534F39"/>
    <w:rsid w:val="00534F5A"/>
    <w:rsid w:val="00534F66"/>
    <w:rsid w:val="00534F8D"/>
    <w:rsid w:val="00535000"/>
    <w:rsid w:val="0053500D"/>
    <w:rsid w:val="00535015"/>
    <w:rsid w:val="00535026"/>
    <w:rsid w:val="0053504A"/>
    <w:rsid w:val="0053507F"/>
    <w:rsid w:val="005350A7"/>
    <w:rsid w:val="005350CC"/>
    <w:rsid w:val="005350E3"/>
    <w:rsid w:val="00535134"/>
    <w:rsid w:val="0053513C"/>
    <w:rsid w:val="00535194"/>
    <w:rsid w:val="005351C1"/>
    <w:rsid w:val="0053522F"/>
    <w:rsid w:val="00535279"/>
    <w:rsid w:val="0053527B"/>
    <w:rsid w:val="0053527E"/>
    <w:rsid w:val="005352D7"/>
    <w:rsid w:val="005352E6"/>
    <w:rsid w:val="005352FA"/>
    <w:rsid w:val="0053531F"/>
    <w:rsid w:val="00535343"/>
    <w:rsid w:val="005353BE"/>
    <w:rsid w:val="005353EB"/>
    <w:rsid w:val="00535401"/>
    <w:rsid w:val="00535459"/>
    <w:rsid w:val="00535470"/>
    <w:rsid w:val="005354AF"/>
    <w:rsid w:val="005354BD"/>
    <w:rsid w:val="005354FA"/>
    <w:rsid w:val="00535518"/>
    <w:rsid w:val="005356B5"/>
    <w:rsid w:val="0053577F"/>
    <w:rsid w:val="00535790"/>
    <w:rsid w:val="00535821"/>
    <w:rsid w:val="00535891"/>
    <w:rsid w:val="0053590C"/>
    <w:rsid w:val="00535944"/>
    <w:rsid w:val="00535963"/>
    <w:rsid w:val="00535A04"/>
    <w:rsid w:val="00535A1C"/>
    <w:rsid w:val="00535A27"/>
    <w:rsid w:val="00535A31"/>
    <w:rsid w:val="00535A64"/>
    <w:rsid w:val="00535A6B"/>
    <w:rsid w:val="00535AAA"/>
    <w:rsid w:val="00535AC3"/>
    <w:rsid w:val="00535ADA"/>
    <w:rsid w:val="00535AE4"/>
    <w:rsid w:val="00535B19"/>
    <w:rsid w:val="00535C2B"/>
    <w:rsid w:val="00535CBB"/>
    <w:rsid w:val="00535D52"/>
    <w:rsid w:val="00535D64"/>
    <w:rsid w:val="00535D7C"/>
    <w:rsid w:val="00535DB1"/>
    <w:rsid w:val="00535DE1"/>
    <w:rsid w:val="00535E5D"/>
    <w:rsid w:val="00535E67"/>
    <w:rsid w:val="00535E6C"/>
    <w:rsid w:val="00535EF3"/>
    <w:rsid w:val="00535F16"/>
    <w:rsid w:val="00535F21"/>
    <w:rsid w:val="00535F42"/>
    <w:rsid w:val="00535F4E"/>
    <w:rsid w:val="00535FCD"/>
    <w:rsid w:val="00536009"/>
    <w:rsid w:val="00536026"/>
    <w:rsid w:val="00536062"/>
    <w:rsid w:val="00536148"/>
    <w:rsid w:val="0053616D"/>
    <w:rsid w:val="00536187"/>
    <w:rsid w:val="00536196"/>
    <w:rsid w:val="005361F2"/>
    <w:rsid w:val="005361F5"/>
    <w:rsid w:val="005361F8"/>
    <w:rsid w:val="005361F9"/>
    <w:rsid w:val="00536254"/>
    <w:rsid w:val="005362A2"/>
    <w:rsid w:val="005362B6"/>
    <w:rsid w:val="005362CC"/>
    <w:rsid w:val="005362D7"/>
    <w:rsid w:val="0053630D"/>
    <w:rsid w:val="00536381"/>
    <w:rsid w:val="0053649B"/>
    <w:rsid w:val="005364A6"/>
    <w:rsid w:val="005364B8"/>
    <w:rsid w:val="005364F4"/>
    <w:rsid w:val="0053650B"/>
    <w:rsid w:val="0053653D"/>
    <w:rsid w:val="005365BC"/>
    <w:rsid w:val="005365CC"/>
    <w:rsid w:val="005365ED"/>
    <w:rsid w:val="005365F6"/>
    <w:rsid w:val="00536611"/>
    <w:rsid w:val="0053667D"/>
    <w:rsid w:val="005366A1"/>
    <w:rsid w:val="005366C8"/>
    <w:rsid w:val="005366F4"/>
    <w:rsid w:val="00536731"/>
    <w:rsid w:val="00536751"/>
    <w:rsid w:val="00536765"/>
    <w:rsid w:val="00536782"/>
    <w:rsid w:val="005367D0"/>
    <w:rsid w:val="005367ED"/>
    <w:rsid w:val="0053682B"/>
    <w:rsid w:val="00536830"/>
    <w:rsid w:val="00536874"/>
    <w:rsid w:val="0053687D"/>
    <w:rsid w:val="0053689C"/>
    <w:rsid w:val="005368C7"/>
    <w:rsid w:val="005368C9"/>
    <w:rsid w:val="005368DE"/>
    <w:rsid w:val="00536901"/>
    <w:rsid w:val="00536922"/>
    <w:rsid w:val="00536935"/>
    <w:rsid w:val="0053695B"/>
    <w:rsid w:val="005369C4"/>
    <w:rsid w:val="00536A4A"/>
    <w:rsid w:val="00536A69"/>
    <w:rsid w:val="00536A9E"/>
    <w:rsid w:val="00536AB3"/>
    <w:rsid w:val="00536B39"/>
    <w:rsid w:val="00536B56"/>
    <w:rsid w:val="00536B63"/>
    <w:rsid w:val="00536BA7"/>
    <w:rsid w:val="00536BB9"/>
    <w:rsid w:val="00536C33"/>
    <w:rsid w:val="00536C7C"/>
    <w:rsid w:val="00536CB2"/>
    <w:rsid w:val="00536CD2"/>
    <w:rsid w:val="00536CFC"/>
    <w:rsid w:val="00536D0B"/>
    <w:rsid w:val="00536D2E"/>
    <w:rsid w:val="00536D4D"/>
    <w:rsid w:val="00536E1E"/>
    <w:rsid w:val="00536E34"/>
    <w:rsid w:val="00536E39"/>
    <w:rsid w:val="00536E42"/>
    <w:rsid w:val="00536EF6"/>
    <w:rsid w:val="00536F5C"/>
    <w:rsid w:val="00536F5D"/>
    <w:rsid w:val="00536FEC"/>
    <w:rsid w:val="00536FFD"/>
    <w:rsid w:val="00537022"/>
    <w:rsid w:val="00537050"/>
    <w:rsid w:val="00537059"/>
    <w:rsid w:val="00537083"/>
    <w:rsid w:val="005370A1"/>
    <w:rsid w:val="005371D7"/>
    <w:rsid w:val="0053722A"/>
    <w:rsid w:val="005372AE"/>
    <w:rsid w:val="005372EE"/>
    <w:rsid w:val="00537307"/>
    <w:rsid w:val="0053731B"/>
    <w:rsid w:val="0053731F"/>
    <w:rsid w:val="0053732A"/>
    <w:rsid w:val="00537372"/>
    <w:rsid w:val="0053737C"/>
    <w:rsid w:val="005373E9"/>
    <w:rsid w:val="00537422"/>
    <w:rsid w:val="0053747D"/>
    <w:rsid w:val="00537495"/>
    <w:rsid w:val="005374BD"/>
    <w:rsid w:val="00537502"/>
    <w:rsid w:val="0053752A"/>
    <w:rsid w:val="00537671"/>
    <w:rsid w:val="0053767E"/>
    <w:rsid w:val="00537693"/>
    <w:rsid w:val="00537697"/>
    <w:rsid w:val="005376D6"/>
    <w:rsid w:val="00537728"/>
    <w:rsid w:val="00537765"/>
    <w:rsid w:val="005377CA"/>
    <w:rsid w:val="005377EE"/>
    <w:rsid w:val="005377F0"/>
    <w:rsid w:val="005377F6"/>
    <w:rsid w:val="00537812"/>
    <w:rsid w:val="00537837"/>
    <w:rsid w:val="0053784E"/>
    <w:rsid w:val="0053786F"/>
    <w:rsid w:val="005378A9"/>
    <w:rsid w:val="005378DC"/>
    <w:rsid w:val="005378E5"/>
    <w:rsid w:val="00537915"/>
    <w:rsid w:val="00537926"/>
    <w:rsid w:val="0053794F"/>
    <w:rsid w:val="0053795F"/>
    <w:rsid w:val="00537985"/>
    <w:rsid w:val="0053798F"/>
    <w:rsid w:val="00537A12"/>
    <w:rsid w:val="00537A4A"/>
    <w:rsid w:val="00537A81"/>
    <w:rsid w:val="00537A85"/>
    <w:rsid w:val="00537A90"/>
    <w:rsid w:val="00537AB8"/>
    <w:rsid w:val="00537AEA"/>
    <w:rsid w:val="00537AF4"/>
    <w:rsid w:val="00537B2A"/>
    <w:rsid w:val="00537B43"/>
    <w:rsid w:val="00537C05"/>
    <w:rsid w:val="00537C3F"/>
    <w:rsid w:val="00537C58"/>
    <w:rsid w:val="00537C66"/>
    <w:rsid w:val="00537C9F"/>
    <w:rsid w:val="00537D00"/>
    <w:rsid w:val="00537D24"/>
    <w:rsid w:val="00537D3B"/>
    <w:rsid w:val="00537D8D"/>
    <w:rsid w:val="00537DAD"/>
    <w:rsid w:val="00537DCD"/>
    <w:rsid w:val="00537DCE"/>
    <w:rsid w:val="00537DF0"/>
    <w:rsid w:val="00537E34"/>
    <w:rsid w:val="00537E61"/>
    <w:rsid w:val="00537EA1"/>
    <w:rsid w:val="00537EC9"/>
    <w:rsid w:val="00537EFE"/>
    <w:rsid w:val="00537F0B"/>
    <w:rsid w:val="00537F64"/>
    <w:rsid w:val="00537F72"/>
    <w:rsid w:val="00537F73"/>
    <w:rsid w:val="00537F97"/>
    <w:rsid w:val="00537F98"/>
    <w:rsid w:val="00537FAB"/>
    <w:rsid w:val="00537FE2"/>
    <w:rsid w:val="0053958D"/>
    <w:rsid w:val="0053D222"/>
    <w:rsid w:val="0054005E"/>
    <w:rsid w:val="005400CF"/>
    <w:rsid w:val="0054019B"/>
    <w:rsid w:val="005401D3"/>
    <w:rsid w:val="00540206"/>
    <w:rsid w:val="00540262"/>
    <w:rsid w:val="00540295"/>
    <w:rsid w:val="005402C5"/>
    <w:rsid w:val="005402D0"/>
    <w:rsid w:val="005402D2"/>
    <w:rsid w:val="005402E6"/>
    <w:rsid w:val="005403B2"/>
    <w:rsid w:val="0054042E"/>
    <w:rsid w:val="0054047D"/>
    <w:rsid w:val="00540485"/>
    <w:rsid w:val="005404C7"/>
    <w:rsid w:val="005404EB"/>
    <w:rsid w:val="00540531"/>
    <w:rsid w:val="0054056B"/>
    <w:rsid w:val="005405C6"/>
    <w:rsid w:val="005405F4"/>
    <w:rsid w:val="005405F5"/>
    <w:rsid w:val="0054060F"/>
    <w:rsid w:val="005406A8"/>
    <w:rsid w:val="00540714"/>
    <w:rsid w:val="00540751"/>
    <w:rsid w:val="005407C9"/>
    <w:rsid w:val="005407E4"/>
    <w:rsid w:val="005407FD"/>
    <w:rsid w:val="00540851"/>
    <w:rsid w:val="0054085F"/>
    <w:rsid w:val="00540893"/>
    <w:rsid w:val="00540899"/>
    <w:rsid w:val="005408F2"/>
    <w:rsid w:val="00540915"/>
    <w:rsid w:val="0054097D"/>
    <w:rsid w:val="005409C7"/>
    <w:rsid w:val="005409C9"/>
    <w:rsid w:val="00540A00"/>
    <w:rsid w:val="00540A19"/>
    <w:rsid w:val="00540A3F"/>
    <w:rsid w:val="00540A4A"/>
    <w:rsid w:val="00540AC2"/>
    <w:rsid w:val="00540AD4"/>
    <w:rsid w:val="00540AD9"/>
    <w:rsid w:val="00540ADF"/>
    <w:rsid w:val="00540AFF"/>
    <w:rsid w:val="00540B32"/>
    <w:rsid w:val="00540B69"/>
    <w:rsid w:val="00540B73"/>
    <w:rsid w:val="00540B94"/>
    <w:rsid w:val="00540C0C"/>
    <w:rsid w:val="00540CF2"/>
    <w:rsid w:val="00540D3E"/>
    <w:rsid w:val="00540D4D"/>
    <w:rsid w:val="00540D57"/>
    <w:rsid w:val="00540D6E"/>
    <w:rsid w:val="00540D9C"/>
    <w:rsid w:val="00540DAA"/>
    <w:rsid w:val="00540E16"/>
    <w:rsid w:val="00540ECC"/>
    <w:rsid w:val="00540F0B"/>
    <w:rsid w:val="00540F0E"/>
    <w:rsid w:val="00540F88"/>
    <w:rsid w:val="00540F95"/>
    <w:rsid w:val="00541071"/>
    <w:rsid w:val="00541099"/>
    <w:rsid w:val="005410D7"/>
    <w:rsid w:val="00541138"/>
    <w:rsid w:val="0054113A"/>
    <w:rsid w:val="0054118D"/>
    <w:rsid w:val="0054118E"/>
    <w:rsid w:val="005411B2"/>
    <w:rsid w:val="0054122B"/>
    <w:rsid w:val="00541239"/>
    <w:rsid w:val="005412A6"/>
    <w:rsid w:val="005412BA"/>
    <w:rsid w:val="005412BD"/>
    <w:rsid w:val="0054137E"/>
    <w:rsid w:val="005413CD"/>
    <w:rsid w:val="005413FE"/>
    <w:rsid w:val="0054140C"/>
    <w:rsid w:val="0054140E"/>
    <w:rsid w:val="00541477"/>
    <w:rsid w:val="00541494"/>
    <w:rsid w:val="005414BC"/>
    <w:rsid w:val="005414C6"/>
    <w:rsid w:val="005414DB"/>
    <w:rsid w:val="0054152D"/>
    <w:rsid w:val="0054155D"/>
    <w:rsid w:val="005415A1"/>
    <w:rsid w:val="005415BD"/>
    <w:rsid w:val="0054162F"/>
    <w:rsid w:val="00541637"/>
    <w:rsid w:val="00541693"/>
    <w:rsid w:val="00541696"/>
    <w:rsid w:val="005416DE"/>
    <w:rsid w:val="00541716"/>
    <w:rsid w:val="005417A2"/>
    <w:rsid w:val="005417A3"/>
    <w:rsid w:val="005417C1"/>
    <w:rsid w:val="005417CA"/>
    <w:rsid w:val="00541808"/>
    <w:rsid w:val="00541829"/>
    <w:rsid w:val="00541862"/>
    <w:rsid w:val="00541894"/>
    <w:rsid w:val="005418CD"/>
    <w:rsid w:val="005418CE"/>
    <w:rsid w:val="005418E5"/>
    <w:rsid w:val="0054190D"/>
    <w:rsid w:val="00541926"/>
    <w:rsid w:val="0054199D"/>
    <w:rsid w:val="005419FD"/>
    <w:rsid w:val="00541A2D"/>
    <w:rsid w:val="00541A72"/>
    <w:rsid w:val="00541AA3"/>
    <w:rsid w:val="00541ABC"/>
    <w:rsid w:val="00541ACA"/>
    <w:rsid w:val="00541AE8"/>
    <w:rsid w:val="00541AEA"/>
    <w:rsid w:val="00541B2C"/>
    <w:rsid w:val="00541BBF"/>
    <w:rsid w:val="00541BC0"/>
    <w:rsid w:val="00541C20"/>
    <w:rsid w:val="00541D31"/>
    <w:rsid w:val="00541D4F"/>
    <w:rsid w:val="00541D8C"/>
    <w:rsid w:val="00541DC4"/>
    <w:rsid w:val="00541DD4"/>
    <w:rsid w:val="00541DD5"/>
    <w:rsid w:val="00541DDE"/>
    <w:rsid w:val="00541E68"/>
    <w:rsid w:val="00541EB5"/>
    <w:rsid w:val="00541EDD"/>
    <w:rsid w:val="00541F03"/>
    <w:rsid w:val="00541F29"/>
    <w:rsid w:val="00541F49"/>
    <w:rsid w:val="00541F65"/>
    <w:rsid w:val="00541FE1"/>
    <w:rsid w:val="0054204C"/>
    <w:rsid w:val="00542061"/>
    <w:rsid w:val="0054208C"/>
    <w:rsid w:val="005420B3"/>
    <w:rsid w:val="005420B4"/>
    <w:rsid w:val="00542111"/>
    <w:rsid w:val="0054219D"/>
    <w:rsid w:val="005421AF"/>
    <w:rsid w:val="005421C9"/>
    <w:rsid w:val="00542201"/>
    <w:rsid w:val="00542227"/>
    <w:rsid w:val="0054238F"/>
    <w:rsid w:val="005423B1"/>
    <w:rsid w:val="005423CC"/>
    <w:rsid w:val="005423EE"/>
    <w:rsid w:val="005423F5"/>
    <w:rsid w:val="00542434"/>
    <w:rsid w:val="00542458"/>
    <w:rsid w:val="00542483"/>
    <w:rsid w:val="005425BA"/>
    <w:rsid w:val="005425CE"/>
    <w:rsid w:val="005425E6"/>
    <w:rsid w:val="00542642"/>
    <w:rsid w:val="00542667"/>
    <w:rsid w:val="0054268A"/>
    <w:rsid w:val="0054272E"/>
    <w:rsid w:val="0054273F"/>
    <w:rsid w:val="0054274B"/>
    <w:rsid w:val="0054276A"/>
    <w:rsid w:val="00542827"/>
    <w:rsid w:val="00542833"/>
    <w:rsid w:val="00542840"/>
    <w:rsid w:val="00542853"/>
    <w:rsid w:val="005428A8"/>
    <w:rsid w:val="005428D1"/>
    <w:rsid w:val="00542952"/>
    <w:rsid w:val="00542959"/>
    <w:rsid w:val="0054296E"/>
    <w:rsid w:val="00542990"/>
    <w:rsid w:val="00542A1E"/>
    <w:rsid w:val="00542A2B"/>
    <w:rsid w:val="00542A5C"/>
    <w:rsid w:val="00542ACB"/>
    <w:rsid w:val="00542B0A"/>
    <w:rsid w:val="00542B16"/>
    <w:rsid w:val="00542BAF"/>
    <w:rsid w:val="00542BD6"/>
    <w:rsid w:val="00542BED"/>
    <w:rsid w:val="00542BEE"/>
    <w:rsid w:val="00542BEF"/>
    <w:rsid w:val="00542D06"/>
    <w:rsid w:val="00542D39"/>
    <w:rsid w:val="00542D3F"/>
    <w:rsid w:val="00542D70"/>
    <w:rsid w:val="00542DD9"/>
    <w:rsid w:val="00542DF5"/>
    <w:rsid w:val="00542E49"/>
    <w:rsid w:val="00542EFA"/>
    <w:rsid w:val="00542F17"/>
    <w:rsid w:val="00542FB7"/>
    <w:rsid w:val="0054305B"/>
    <w:rsid w:val="00543089"/>
    <w:rsid w:val="005430D0"/>
    <w:rsid w:val="005430F2"/>
    <w:rsid w:val="005430FF"/>
    <w:rsid w:val="00543197"/>
    <w:rsid w:val="0054324A"/>
    <w:rsid w:val="00543283"/>
    <w:rsid w:val="005432E4"/>
    <w:rsid w:val="005432EA"/>
    <w:rsid w:val="0054334D"/>
    <w:rsid w:val="0054335C"/>
    <w:rsid w:val="0054337A"/>
    <w:rsid w:val="00543389"/>
    <w:rsid w:val="005433D5"/>
    <w:rsid w:val="005433EE"/>
    <w:rsid w:val="00543405"/>
    <w:rsid w:val="00543410"/>
    <w:rsid w:val="00543412"/>
    <w:rsid w:val="00543431"/>
    <w:rsid w:val="00543437"/>
    <w:rsid w:val="00543495"/>
    <w:rsid w:val="00543502"/>
    <w:rsid w:val="0054353B"/>
    <w:rsid w:val="00543541"/>
    <w:rsid w:val="00543570"/>
    <w:rsid w:val="0054357D"/>
    <w:rsid w:val="005435BA"/>
    <w:rsid w:val="005435DF"/>
    <w:rsid w:val="005435EC"/>
    <w:rsid w:val="00543646"/>
    <w:rsid w:val="0054365B"/>
    <w:rsid w:val="005436FB"/>
    <w:rsid w:val="0054377C"/>
    <w:rsid w:val="00543785"/>
    <w:rsid w:val="005437C2"/>
    <w:rsid w:val="00543834"/>
    <w:rsid w:val="0054388B"/>
    <w:rsid w:val="0054389D"/>
    <w:rsid w:val="005438A9"/>
    <w:rsid w:val="005438C4"/>
    <w:rsid w:val="005438C6"/>
    <w:rsid w:val="005438D9"/>
    <w:rsid w:val="005438E3"/>
    <w:rsid w:val="00543945"/>
    <w:rsid w:val="0054397A"/>
    <w:rsid w:val="005439A6"/>
    <w:rsid w:val="00543A52"/>
    <w:rsid w:val="00543A55"/>
    <w:rsid w:val="00543A92"/>
    <w:rsid w:val="00543AD0"/>
    <w:rsid w:val="00543B36"/>
    <w:rsid w:val="00543B61"/>
    <w:rsid w:val="00543B83"/>
    <w:rsid w:val="00543BA0"/>
    <w:rsid w:val="00543BA3"/>
    <w:rsid w:val="00543BA7"/>
    <w:rsid w:val="00543BEB"/>
    <w:rsid w:val="00543C19"/>
    <w:rsid w:val="00543C1D"/>
    <w:rsid w:val="00543C79"/>
    <w:rsid w:val="00543C87"/>
    <w:rsid w:val="00543CE5"/>
    <w:rsid w:val="00543D7A"/>
    <w:rsid w:val="00543D80"/>
    <w:rsid w:val="00543D94"/>
    <w:rsid w:val="00543E38"/>
    <w:rsid w:val="00543E6D"/>
    <w:rsid w:val="00543F11"/>
    <w:rsid w:val="00543F84"/>
    <w:rsid w:val="00543F98"/>
    <w:rsid w:val="0054401D"/>
    <w:rsid w:val="00544057"/>
    <w:rsid w:val="00544093"/>
    <w:rsid w:val="005440A4"/>
    <w:rsid w:val="005440BD"/>
    <w:rsid w:val="005440DB"/>
    <w:rsid w:val="005440DC"/>
    <w:rsid w:val="005440F0"/>
    <w:rsid w:val="0054417A"/>
    <w:rsid w:val="005441A5"/>
    <w:rsid w:val="005441C3"/>
    <w:rsid w:val="00544225"/>
    <w:rsid w:val="0054422E"/>
    <w:rsid w:val="00544310"/>
    <w:rsid w:val="00544323"/>
    <w:rsid w:val="0054437F"/>
    <w:rsid w:val="005443BF"/>
    <w:rsid w:val="005443E4"/>
    <w:rsid w:val="00544402"/>
    <w:rsid w:val="0054442C"/>
    <w:rsid w:val="00544468"/>
    <w:rsid w:val="005444A2"/>
    <w:rsid w:val="005444C3"/>
    <w:rsid w:val="005444F8"/>
    <w:rsid w:val="005444FC"/>
    <w:rsid w:val="005445AA"/>
    <w:rsid w:val="005446DC"/>
    <w:rsid w:val="00544732"/>
    <w:rsid w:val="00544789"/>
    <w:rsid w:val="00544818"/>
    <w:rsid w:val="0054488B"/>
    <w:rsid w:val="005448AC"/>
    <w:rsid w:val="0054497A"/>
    <w:rsid w:val="005449FA"/>
    <w:rsid w:val="005449FD"/>
    <w:rsid w:val="00544A08"/>
    <w:rsid w:val="00544A75"/>
    <w:rsid w:val="00544A7A"/>
    <w:rsid w:val="00544A9B"/>
    <w:rsid w:val="00544ACF"/>
    <w:rsid w:val="00544B70"/>
    <w:rsid w:val="00544B7A"/>
    <w:rsid w:val="00544BD1"/>
    <w:rsid w:val="00544C2F"/>
    <w:rsid w:val="00544C30"/>
    <w:rsid w:val="00544C31"/>
    <w:rsid w:val="00544C5E"/>
    <w:rsid w:val="00544C7D"/>
    <w:rsid w:val="00544CAE"/>
    <w:rsid w:val="00544CB2"/>
    <w:rsid w:val="00544CD0"/>
    <w:rsid w:val="00544CEC"/>
    <w:rsid w:val="00544D16"/>
    <w:rsid w:val="00544D2A"/>
    <w:rsid w:val="00544D6E"/>
    <w:rsid w:val="00544D83"/>
    <w:rsid w:val="00544E13"/>
    <w:rsid w:val="00544E3A"/>
    <w:rsid w:val="00544E62"/>
    <w:rsid w:val="00544E79"/>
    <w:rsid w:val="00544EB6"/>
    <w:rsid w:val="00544F12"/>
    <w:rsid w:val="00544F55"/>
    <w:rsid w:val="00544FB1"/>
    <w:rsid w:val="00545049"/>
    <w:rsid w:val="005450D4"/>
    <w:rsid w:val="00545110"/>
    <w:rsid w:val="00545133"/>
    <w:rsid w:val="00545196"/>
    <w:rsid w:val="0054519B"/>
    <w:rsid w:val="0054520C"/>
    <w:rsid w:val="00545247"/>
    <w:rsid w:val="00545257"/>
    <w:rsid w:val="00545276"/>
    <w:rsid w:val="005452B3"/>
    <w:rsid w:val="00545344"/>
    <w:rsid w:val="005453C4"/>
    <w:rsid w:val="00545416"/>
    <w:rsid w:val="00545436"/>
    <w:rsid w:val="0054544D"/>
    <w:rsid w:val="00545471"/>
    <w:rsid w:val="0054547F"/>
    <w:rsid w:val="00545498"/>
    <w:rsid w:val="005454D0"/>
    <w:rsid w:val="005454DF"/>
    <w:rsid w:val="00545523"/>
    <w:rsid w:val="00545559"/>
    <w:rsid w:val="005455BE"/>
    <w:rsid w:val="005455F2"/>
    <w:rsid w:val="00545642"/>
    <w:rsid w:val="0054565D"/>
    <w:rsid w:val="005456A4"/>
    <w:rsid w:val="005456B9"/>
    <w:rsid w:val="005456D9"/>
    <w:rsid w:val="005456EC"/>
    <w:rsid w:val="00545715"/>
    <w:rsid w:val="0054571B"/>
    <w:rsid w:val="00545724"/>
    <w:rsid w:val="0054578C"/>
    <w:rsid w:val="00545799"/>
    <w:rsid w:val="005457CC"/>
    <w:rsid w:val="00545852"/>
    <w:rsid w:val="0054588E"/>
    <w:rsid w:val="005458B9"/>
    <w:rsid w:val="005458E5"/>
    <w:rsid w:val="005458ED"/>
    <w:rsid w:val="005458F7"/>
    <w:rsid w:val="00545A9C"/>
    <w:rsid w:val="00545B1A"/>
    <w:rsid w:val="00545B52"/>
    <w:rsid w:val="00545B59"/>
    <w:rsid w:val="00545BB1"/>
    <w:rsid w:val="00545BB8"/>
    <w:rsid w:val="00545BD4"/>
    <w:rsid w:val="00545BE5"/>
    <w:rsid w:val="00545BFA"/>
    <w:rsid w:val="00545BFD"/>
    <w:rsid w:val="00545C1E"/>
    <w:rsid w:val="00545C43"/>
    <w:rsid w:val="00545C4E"/>
    <w:rsid w:val="00545CF0"/>
    <w:rsid w:val="00545D08"/>
    <w:rsid w:val="00545D1E"/>
    <w:rsid w:val="00545D84"/>
    <w:rsid w:val="00545D98"/>
    <w:rsid w:val="00545DA9"/>
    <w:rsid w:val="00545DCF"/>
    <w:rsid w:val="00545E1A"/>
    <w:rsid w:val="00545E4A"/>
    <w:rsid w:val="00545E81"/>
    <w:rsid w:val="00545EAD"/>
    <w:rsid w:val="00545EE3"/>
    <w:rsid w:val="00545EEA"/>
    <w:rsid w:val="00545F39"/>
    <w:rsid w:val="00545F5B"/>
    <w:rsid w:val="00545FE6"/>
    <w:rsid w:val="00545FF1"/>
    <w:rsid w:val="005460F0"/>
    <w:rsid w:val="00546113"/>
    <w:rsid w:val="00546140"/>
    <w:rsid w:val="00546188"/>
    <w:rsid w:val="005461B8"/>
    <w:rsid w:val="005461EB"/>
    <w:rsid w:val="0054621A"/>
    <w:rsid w:val="0054623D"/>
    <w:rsid w:val="00546296"/>
    <w:rsid w:val="005462AD"/>
    <w:rsid w:val="005462AF"/>
    <w:rsid w:val="005462F1"/>
    <w:rsid w:val="005462F9"/>
    <w:rsid w:val="0054635F"/>
    <w:rsid w:val="00546374"/>
    <w:rsid w:val="005463B3"/>
    <w:rsid w:val="005463D2"/>
    <w:rsid w:val="00546425"/>
    <w:rsid w:val="00546492"/>
    <w:rsid w:val="00546495"/>
    <w:rsid w:val="005464AC"/>
    <w:rsid w:val="005464D9"/>
    <w:rsid w:val="005464F3"/>
    <w:rsid w:val="00546517"/>
    <w:rsid w:val="00546587"/>
    <w:rsid w:val="00546592"/>
    <w:rsid w:val="00546631"/>
    <w:rsid w:val="00546666"/>
    <w:rsid w:val="00546685"/>
    <w:rsid w:val="005466D3"/>
    <w:rsid w:val="005466EB"/>
    <w:rsid w:val="00546700"/>
    <w:rsid w:val="00546751"/>
    <w:rsid w:val="005467D3"/>
    <w:rsid w:val="0054683C"/>
    <w:rsid w:val="00546887"/>
    <w:rsid w:val="00546934"/>
    <w:rsid w:val="00546966"/>
    <w:rsid w:val="00546976"/>
    <w:rsid w:val="00546991"/>
    <w:rsid w:val="00546AE2"/>
    <w:rsid w:val="00546B31"/>
    <w:rsid w:val="00546B3B"/>
    <w:rsid w:val="00546B5A"/>
    <w:rsid w:val="00546BE6"/>
    <w:rsid w:val="00546C1A"/>
    <w:rsid w:val="00546C7B"/>
    <w:rsid w:val="00546CE0"/>
    <w:rsid w:val="00546D40"/>
    <w:rsid w:val="00546D77"/>
    <w:rsid w:val="00546DD2"/>
    <w:rsid w:val="00546DDD"/>
    <w:rsid w:val="00546E24"/>
    <w:rsid w:val="00546E3C"/>
    <w:rsid w:val="00546E71"/>
    <w:rsid w:val="00546EBB"/>
    <w:rsid w:val="00546EEC"/>
    <w:rsid w:val="00546F25"/>
    <w:rsid w:val="00546F32"/>
    <w:rsid w:val="00546F33"/>
    <w:rsid w:val="00546F3A"/>
    <w:rsid w:val="00546F7C"/>
    <w:rsid w:val="00546FB4"/>
    <w:rsid w:val="00547029"/>
    <w:rsid w:val="0054704D"/>
    <w:rsid w:val="00547072"/>
    <w:rsid w:val="00547084"/>
    <w:rsid w:val="005470A9"/>
    <w:rsid w:val="0054711F"/>
    <w:rsid w:val="00547148"/>
    <w:rsid w:val="00547171"/>
    <w:rsid w:val="00547187"/>
    <w:rsid w:val="0054718F"/>
    <w:rsid w:val="005471CC"/>
    <w:rsid w:val="00547215"/>
    <w:rsid w:val="00547235"/>
    <w:rsid w:val="00547271"/>
    <w:rsid w:val="0054727D"/>
    <w:rsid w:val="00547286"/>
    <w:rsid w:val="00547292"/>
    <w:rsid w:val="005472F3"/>
    <w:rsid w:val="0054733E"/>
    <w:rsid w:val="0054734D"/>
    <w:rsid w:val="00547376"/>
    <w:rsid w:val="00547410"/>
    <w:rsid w:val="00547421"/>
    <w:rsid w:val="0054748B"/>
    <w:rsid w:val="005475DB"/>
    <w:rsid w:val="00547607"/>
    <w:rsid w:val="005476E2"/>
    <w:rsid w:val="005476E4"/>
    <w:rsid w:val="005476EA"/>
    <w:rsid w:val="00547714"/>
    <w:rsid w:val="0054773C"/>
    <w:rsid w:val="0054774F"/>
    <w:rsid w:val="00547786"/>
    <w:rsid w:val="005477C4"/>
    <w:rsid w:val="0054780B"/>
    <w:rsid w:val="0054784A"/>
    <w:rsid w:val="00547893"/>
    <w:rsid w:val="005478AC"/>
    <w:rsid w:val="0054792D"/>
    <w:rsid w:val="00547976"/>
    <w:rsid w:val="005479DD"/>
    <w:rsid w:val="00547A1A"/>
    <w:rsid w:val="00547A2D"/>
    <w:rsid w:val="00547A41"/>
    <w:rsid w:val="00547A54"/>
    <w:rsid w:val="00547A91"/>
    <w:rsid w:val="00547AD0"/>
    <w:rsid w:val="00547AFC"/>
    <w:rsid w:val="00547B54"/>
    <w:rsid w:val="00547B60"/>
    <w:rsid w:val="00547B6B"/>
    <w:rsid w:val="00547B6E"/>
    <w:rsid w:val="00547B8E"/>
    <w:rsid w:val="00547BD4"/>
    <w:rsid w:val="00547BD6"/>
    <w:rsid w:val="00547BD7"/>
    <w:rsid w:val="00547BF2"/>
    <w:rsid w:val="00547BFB"/>
    <w:rsid w:val="00547C06"/>
    <w:rsid w:val="00547C14"/>
    <w:rsid w:val="00547C15"/>
    <w:rsid w:val="00547C1D"/>
    <w:rsid w:val="00547C24"/>
    <w:rsid w:val="00547C78"/>
    <w:rsid w:val="00547C93"/>
    <w:rsid w:val="00547CF7"/>
    <w:rsid w:val="00547CFE"/>
    <w:rsid w:val="00547D0F"/>
    <w:rsid w:val="00547D85"/>
    <w:rsid w:val="00547D88"/>
    <w:rsid w:val="00547DCA"/>
    <w:rsid w:val="00547DE3"/>
    <w:rsid w:val="00547DE9"/>
    <w:rsid w:val="00547DFB"/>
    <w:rsid w:val="00547E14"/>
    <w:rsid w:val="00547E2D"/>
    <w:rsid w:val="00547E70"/>
    <w:rsid w:val="00547EBD"/>
    <w:rsid w:val="00547EDB"/>
    <w:rsid w:val="00547F6B"/>
    <w:rsid w:val="00547FE4"/>
    <w:rsid w:val="0054B4FF"/>
    <w:rsid w:val="00550070"/>
    <w:rsid w:val="00550085"/>
    <w:rsid w:val="005500A5"/>
    <w:rsid w:val="005500B6"/>
    <w:rsid w:val="00550155"/>
    <w:rsid w:val="005501A6"/>
    <w:rsid w:val="005501B6"/>
    <w:rsid w:val="005501E1"/>
    <w:rsid w:val="00550227"/>
    <w:rsid w:val="00550244"/>
    <w:rsid w:val="005502BD"/>
    <w:rsid w:val="005502CA"/>
    <w:rsid w:val="005502D2"/>
    <w:rsid w:val="005502E1"/>
    <w:rsid w:val="0055037A"/>
    <w:rsid w:val="00550393"/>
    <w:rsid w:val="005503C5"/>
    <w:rsid w:val="00550428"/>
    <w:rsid w:val="0055048C"/>
    <w:rsid w:val="005505A3"/>
    <w:rsid w:val="005505DA"/>
    <w:rsid w:val="00550684"/>
    <w:rsid w:val="005506A9"/>
    <w:rsid w:val="005506B9"/>
    <w:rsid w:val="005506C3"/>
    <w:rsid w:val="005506D2"/>
    <w:rsid w:val="00550721"/>
    <w:rsid w:val="0055074B"/>
    <w:rsid w:val="0055075D"/>
    <w:rsid w:val="005507B8"/>
    <w:rsid w:val="005507EB"/>
    <w:rsid w:val="0055080D"/>
    <w:rsid w:val="00550856"/>
    <w:rsid w:val="0055085F"/>
    <w:rsid w:val="005508B6"/>
    <w:rsid w:val="005508EF"/>
    <w:rsid w:val="00550905"/>
    <w:rsid w:val="0055095B"/>
    <w:rsid w:val="005509B1"/>
    <w:rsid w:val="00550A04"/>
    <w:rsid w:val="00550A29"/>
    <w:rsid w:val="00550A38"/>
    <w:rsid w:val="00550A43"/>
    <w:rsid w:val="00550A89"/>
    <w:rsid w:val="00550A9E"/>
    <w:rsid w:val="00550ACE"/>
    <w:rsid w:val="00550AF3"/>
    <w:rsid w:val="00550B12"/>
    <w:rsid w:val="00550BCB"/>
    <w:rsid w:val="00550BDD"/>
    <w:rsid w:val="00550C04"/>
    <w:rsid w:val="00550C5E"/>
    <w:rsid w:val="00550C71"/>
    <w:rsid w:val="00550CA9"/>
    <w:rsid w:val="00550CDE"/>
    <w:rsid w:val="00550CF6"/>
    <w:rsid w:val="00550D41"/>
    <w:rsid w:val="00550D65"/>
    <w:rsid w:val="00550DE7"/>
    <w:rsid w:val="00550DF2"/>
    <w:rsid w:val="00550E1C"/>
    <w:rsid w:val="00550E70"/>
    <w:rsid w:val="00550E8D"/>
    <w:rsid w:val="00550EC5"/>
    <w:rsid w:val="00550EF5"/>
    <w:rsid w:val="00550EFB"/>
    <w:rsid w:val="00550F4F"/>
    <w:rsid w:val="00550F67"/>
    <w:rsid w:val="00550F98"/>
    <w:rsid w:val="00550FA7"/>
    <w:rsid w:val="00550FF4"/>
    <w:rsid w:val="00551045"/>
    <w:rsid w:val="00551067"/>
    <w:rsid w:val="00551071"/>
    <w:rsid w:val="00551098"/>
    <w:rsid w:val="005510B8"/>
    <w:rsid w:val="00551100"/>
    <w:rsid w:val="005511A5"/>
    <w:rsid w:val="005511E6"/>
    <w:rsid w:val="00551244"/>
    <w:rsid w:val="0055126D"/>
    <w:rsid w:val="005512B5"/>
    <w:rsid w:val="005512C0"/>
    <w:rsid w:val="005512DC"/>
    <w:rsid w:val="005512E5"/>
    <w:rsid w:val="00551308"/>
    <w:rsid w:val="0055132F"/>
    <w:rsid w:val="00551399"/>
    <w:rsid w:val="005513E6"/>
    <w:rsid w:val="005513FF"/>
    <w:rsid w:val="00551427"/>
    <w:rsid w:val="0055142C"/>
    <w:rsid w:val="00551467"/>
    <w:rsid w:val="0055147B"/>
    <w:rsid w:val="005514CD"/>
    <w:rsid w:val="005514DD"/>
    <w:rsid w:val="00551525"/>
    <w:rsid w:val="00551533"/>
    <w:rsid w:val="0055155B"/>
    <w:rsid w:val="0055158F"/>
    <w:rsid w:val="005515BE"/>
    <w:rsid w:val="0055160A"/>
    <w:rsid w:val="00551619"/>
    <w:rsid w:val="00551621"/>
    <w:rsid w:val="0055166A"/>
    <w:rsid w:val="0055168E"/>
    <w:rsid w:val="005516AD"/>
    <w:rsid w:val="00551770"/>
    <w:rsid w:val="0055178F"/>
    <w:rsid w:val="005517DC"/>
    <w:rsid w:val="005517EF"/>
    <w:rsid w:val="00551810"/>
    <w:rsid w:val="0055181C"/>
    <w:rsid w:val="0055183B"/>
    <w:rsid w:val="0055187F"/>
    <w:rsid w:val="00551897"/>
    <w:rsid w:val="005518B4"/>
    <w:rsid w:val="0055190C"/>
    <w:rsid w:val="0055191F"/>
    <w:rsid w:val="00551958"/>
    <w:rsid w:val="00551976"/>
    <w:rsid w:val="00551999"/>
    <w:rsid w:val="005519F3"/>
    <w:rsid w:val="00551A13"/>
    <w:rsid w:val="00551A47"/>
    <w:rsid w:val="00551A70"/>
    <w:rsid w:val="00551A7E"/>
    <w:rsid w:val="00551A8B"/>
    <w:rsid w:val="00551ACD"/>
    <w:rsid w:val="00551ADA"/>
    <w:rsid w:val="00551B56"/>
    <w:rsid w:val="00551B7E"/>
    <w:rsid w:val="00551B84"/>
    <w:rsid w:val="00551BB4"/>
    <w:rsid w:val="00551C17"/>
    <w:rsid w:val="00551C18"/>
    <w:rsid w:val="00551C43"/>
    <w:rsid w:val="00551CBC"/>
    <w:rsid w:val="00551CC2"/>
    <w:rsid w:val="00551CD8"/>
    <w:rsid w:val="00551CF1"/>
    <w:rsid w:val="00551D49"/>
    <w:rsid w:val="00551DA9"/>
    <w:rsid w:val="00551DFA"/>
    <w:rsid w:val="00551E92"/>
    <w:rsid w:val="00551E99"/>
    <w:rsid w:val="00551EB1"/>
    <w:rsid w:val="00551EFA"/>
    <w:rsid w:val="00551F02"/>
    <w:rsid w:val="00551F2D"/>
    <w:rsid w:val="00551F7E"/>
    <w:rsid w:val="00551FF4"/>
    <w:rsid w:val="005520A4"/>
    <w:rsid w:val="005520A8"/>
    <w:rsid w:val="0055211E"/>
    <w:rsid w:val="00552145"/>
    <w:rsid w:val="0055217F"/>
    <w:rsid w:val="005521AC"/>
    <w:rsid w:val="005521B6"/>
    <w:rsid w:val="005521BD"/>
    <w:rsid w:val="005521DF"/>
    <w:rsid w:val="005521E3"/>
    <w:rsid w:val="005521F0"/>
    <w:rsid w:val="00552205"/>
    <w:rsid w:val="00552230"/>
    <w:rsid w:val="00552258"/>
    <w:rsid w:val="00552284"/>
    <w:rsid w:val="00552302"/>
    <w:rsid w:val="0055233D"/>
    <w:rsid w:val="00552342"/>
    <w:rsid w:val="00552377"/>
    <w:rsid w:val="005523E5"/>
    <w:rsid w:val="0055242F"/>
    <w:rsid w:val="00552433"/>
    <w:rsid w:val="00552461"/>
    <w:rsid w:val="005524BA"/>
    <w:rsid w:val="005524CE"/>
    <w:rsid w:val="0055250C"/>
    <w:rsid w:val="00552523"/>
    <w:rsid w:val="0055252B"/>
    <w:rsid w:val="0055252D"/>
    <w:rsid w:val="00552549"/>
    <w:rsid w:val="00552578"/>
    <w:rsid w:val="0055257F"/>
    <w:rsid w:val="00552593"/>
    <w:rsid w:val="005525BA"/>
    <w:rsid w:val="005525C7"/>
    <w:rsid w:val="005525D6"/>
    <w:rsid w:val="005525E0"/>
    <w:rsid w:val="005525E6"/>
    <w:rsid w:val="00552676"/>
    <w:rsid w:val="00552688"/>
    <w:rsid w:val="00552692"/>
    <w:rsid w:val="0055269F"/>
    <w:rsid w:val="005526E0"/>
    <w:rsid w:val="005526EC"/>
    <w:rsid w:val="005526F9"/>
    <w:rsid w:val="00552708"/>
    <w:rsid w:val="00552792"/>
    <w:rsid w:val="005527E7"/>
    <w:rsid w:val="0055280E"/>
    <w:rsid w:val="0055280F"/>
    <w:rsid w:val="00552812"/>
    <w:rsid w:val="00552840"/>
    <w:rsid w:val="0055289F"/>
    <w:rsid w:val="005528D6"/>
    <w:rsid w:val="00552943"/>
    <w:rsid w:val="00552952"/>
    <w:rsid w:val="00552953"/>
    <w:rsid w:val="005529C1"/>
    <w:rsid w:val="005529D3"/>
    <w:rsid w:val="005529FB"/>
    <w:rsid w:val="00552A2D"/>
    <w:rsid w:val="00552A8D"/>
    <w:rsid w:val="00552ACE"/>
    <w:rsid w:val="00552AEE"/>
    <w:rsid w:val="00552B1C"/>
    <w:rsid w:val="00552B2F"/>
    <w:rsid w:val="00552B3D"/>
    <w:rsid w:val="00552B4F"/>
    <w:rsid w:val="00552B77"/>
    <w:rsid w:val="00552B8B"/>
    <w:rsid w:val="00552BD6"/>
    <w:rsid w:val="00552C02"/>
    <w:rsid w:val="00552C34"/>
    <w:rsid w:val="00552D20"/>
    <w:rsid w:val="00552D75"/>
    <w:rsid w:val="00552DE0"/>
    <w:rsid w:val="00552DE8"/>
    <w:rsid w:val="00552E38"/>
    <w:rsid w:val="00552E54"/>
    <w:rsid w:val="00552E81"/>
    <w:rsid w:val="00552EEC"/>
    <w:rsid w:val="00552F88"/>
    <w:rsid w:val="00552FA1"/>
    <w:rsid w:val="00552FAC"/>
    <w:rsid w:val="00552FF9"/>
    <w:rsid w:val="00553012"/>
    <w:rsid w:val="00553018"/>
    <w:rsid w:val="0055304A"/>
    <w:rsid w:val="00553051"/>
    <w:rsid w:val="0055309E"/>
    <w:rsid w:val="005530E3"/>
    <w:rsid w:val="00553106"/>
    <w:rsid w:val="00553165"/>
    <w:rsid w:val="005531A7"/>
    <w:rsid w:val="005531CE"/>
    <w:rsid w:val="0055322E"/>
    <w:rsid w:val="005532A8"/>
    <w:rsid w:val="00553350"/>
    <w:rsid w:val="0055339D"/>
    <w:rsid w:val="005533A2"/>
    <w:rsid w:val="005533A9"/>
    <w:rsid w:val="005533DA"/>
    <w:rsid w:val="005533DD"/>
    <w:rsid w:val="005533FD"/>
    <w:rsid w:val="00553431"/>
    <w:rsid w:val="005535D7"/>
    <w:rsid w:val="00553615"/>
    <w:rsid w:val="00553678"/>
    <w:rsid w:val="00553699"/>
    <w:rsid w:val="005536B0"/>
    <w:rsid w:val="005536E7"/>
    <w:rsid w:val="005536F2"/>
    <w:rsid w:val="005536F3"/>
    <w:rsid w:val="005536F9"/>
    <w:rsid w:val="00553737"/>
    <w:rsid w:val="0055377A"/>
    <w:rsid w:val="005537A2"/>
    <w:rsid w:val="00553922"/>
    <w:rsid w:val="0055397B"/>
    <w:rsid w:val="005539F5"/>
    <w:rsid w:val="00553A0B"/>
    <w:rsid w:val="00553A1B"/>
    <w:rsid w:val="00553A1D"/>
    <w:rsid w:val="00553A2E"/>
    <w:rsid w:val="00553A49"/>
    <w:rsid w:val="00553A57"/>
    <w:rsid w:val="00553A76"/>
    <w:rsid w:val="00553A98"/>
    <w:rsid w:val="00553AC9"/>
    <w:rsid w:val="00553AD8"/>
    <w:rsid w:val="00553AE7"/>
    <w:rsid w:val="00553B0C"/>
    <w:rsid w:val="00553B39"/>
    <w:rsid w:val="00553B50"/>
    <w:rsid w:val="00553B80"/>
    <w:rsid w:val="00553BAC"/>
    <w:rsid w:val="00553BBA"/>
    <w:rsid w:val="00553BBB"/>
    <w:rsid w:val="00553BEC"/>
    <w:rsid w:val="00553C0C"/>
    <w:rsid w:val="00553C4F"/>
    <w:rsid w:val="00553C5F"/>
    <w:rsid w:val="00553C88"/>
    <w:rsid w:val="00553C89"/>
    <w:rsid w:val="00553C8B"/>
    <w:rsid w:val="00553D01"/>
    <w:rsid w:val="00553D9C"/>
    <w:rsid w:val="00553DDF"/>
    <w:rsid w:val="00553E5F"/>
    <w:rsid w:val="00553E82"/>
    <w:rsid w:val="00553EB7"/>
    <w:rsid w:val="00553EC3"/>
    <w:rsid w:val="00553EF9"/>
    <w:rsid w:val="00554008"/>
    <w:rsid w:val="0055400C"/>
    <w:rsid w:val="0055401B"/>
    <w:rsid w:val="0055404A"/>
    <w:rsid w:val="0055405C"/>
    <w:rsid w:val="005540A4"/>
    <w:rsid w:val="0055410A"/>
    <w:rsid w:val="0055411D"/>
    <w:rsid w:val="00554123"/>
    <w:rsid w:val="00554144"/>
    <w:rsid w:val="00554146"/>
    <w:rsid w:val="00554155"/>
    <w:rsid w:val="005541F3"/>
    <w:rsid w:val="005541F4"/>
    <w:rsid w:val="00554219"/>
    <w:rsid w:val="00554239"/>
    <w:rsid w:val="0055424D"/>
    <w:rsid w:val="00554271"/>
    <w:rsid w:val="005542AD"/>
    <w:rsid w:val="005542B7"/>
    <w:rsid w:val="005542BC"/>
    <w:rsid w:val="005542E2"/>
    <w:rsid w:val="00554338"/>
    <w:rsid w:val="00554340"/>
    <w:rsid w:val="00554357"/>
    <w:rsid w:val="00554365"/>
    <w:rsid w:val="005543DE"/>
    <w:rsid w:val="005543FD"/>
    <w:rsid w:val="0055445A"/>
    <w:rsid w:val="0055448D"/>
    <w:rsid w:val="00554491"/>
    <w:rsid w:val="005544AA"/>
    <w:rsid w:val="005544CE"/>
    <w:rsid w:val="005544FB"/>
    <w:rsid w:val="0055451F"/>
    <w:rsid w:val="00554563"/>
    <w:rsid w:val="00554579"/>
    <w:rsid w:val="00554582"/>
    <w:rsid w:val="005545C1"/>
    <w:rsid w:val="0055466B"/>
    <w:rsid w:val="005546B0"/>
    <w:rsid w:val="005546DA"/>
    <w:rsid w:val="0055471B"/>
    <w:rsid w:val="00554786"/>
    <w:rsid w:val="005547DA"/>
    <w:rsid w:val="005548B1"/>
    <w:rsid w:val="00554942"/>
    <w:rsid w:val="00554966"/>
    <w:rsid w:val="005549B1"/>
    <w:rsid w:val="00554A06"/>
    <w:rsid w:val="00554A19"/>
    <w:rsid w:val="00554A27"/>
    <w:rsid w:val="00554A2E"/>
    <w:rsid w:val="00554A5C"/>
    <w:rsid w:val="00554B6B"/>
    <w:rsid w:val="00554B80"/>
    <w:rsid w:val="00554C47"/>
    <w:rsid w:val="00554C5C"/>
    <w:rsid w:val="00554C92"/>
    <w:rsid w:val="00554CE5"/>
    <w:rsid w:val="00554D3E"/>
    <w:rsid w:val="00554D6D"/>
    <w:rsid w:val="00554DA3"/>
    <w:rsid w:val="00554DCE"/>
    <w:rsid w:val="00554DE7"/>
    <w:rsid w:val="00554DEA"/>
    <w:rsid w:val="00554E39"/>
    <w:rsid w:val="00554EC5"/>
    <w:rsid w:val="00554F8B"/>
    <w:rsid w:val="0055500E"/>
    <w:rsid w:val="00555014"/>
    <w:rsid w:val="0055502D"/>
    <w:rsid w:val="00555032"/>
    <w:rsid w:val="0055505A"/>
    <w:rsid w:val="005550CB"/>
    <w:rsid w:val="005550CF"/>
    <w:rsid w:val="005550D6"/>
    <w:rsid w:val="005550DB"/>
    <w:rsid w:val="005550E0"/>
    <w:rsid w:val="00555101"/>
    <w:rsid w:val="00555142"/>
    <w:rsid w:val="00555155"/>
    <w:rsid w:val="0055517F"/>
    <w:rsid w:val="0055519E"/>
    <w:rsid w:val="005551B7"/>
    <w:rsid w:val="005551F3"/>
    <w:rsid w:val="005552A7"/>
    <w:rsid w:val="005552BE"/>
    <w:rsid w:val="005552E0"/>
    <w:rsid w:val="0055530B"/>
    <w:rsid w:val="0055540D"/>
    <w:rsid w:val="00555488"/>
    <w:rsid w:val="005554B4"/>
    <w:rsid w:val="005554D2"/>
    <w:rsid w:val="005554F2"/>
    <w:rsid w:val="005554FD"/>
    <w:rsid w:val="00555521"/>
    <w:rsid w:val="0055553E"/>
    <w:rsid w:val="00555558"/>
    <w:rsid w:val="0055559A"/>
    <w:rsid w:val="005555D0"/>
    <w:rsid w:val="005555E1"/>
    <w:rsid w:val="00555627"/>
    <w:rsid w:val="0055563D"/>
    <w:rsid w:val="00555683"/>
    <w:rsid w:val="005556B3"/>
    <w:rsid w:val="005556EB"/>
    <w:rsid w:val="005556F8"/>
    <w:rsid w:val="0055573B"/>
    <w:rsid w:val="00555754"/>
    <w:rsid w:val="005557FA"/>
    <w:rsid w:val="0055585D"/>
    <w:rsid w:val="00555969"/>
    <w:rsid w:val="0055598D"/>
    <w:rsid w:val="005559D3"/>
    <w:rsid w:val="00555A3D"/>
    <w:rsid w:val="00555A41"/>
    <w:rsid w:val="00555A50"/>
    <w:rsid w:val="00555AA7"/>
    <w:rsid w:val="00555AC9"/>
    <w:rsid w:val="00555B04"/>
    <w:rsid w:val="00555B71"/>
    <w:rsid w:val="00555BC5"/>
    <w:rsid w:val="00555BCF"/>
    <w:rsid w:val="00555C32"/>
    <w:rsid w:val="00555C41"/>
    <w:rsid w:val="00555C71"/>
    <w:rsid w:val="00555C82"/>
    <w:rsid w:val="00555C8B"/>
    <w:rsid w:val="00555C96"/>
    <w:rsid w:val="00555CAE"/>
    <w:rsid w:val="00555CC8"/>
    <w:rsid w:val="00555DB3"/>
    <w:rsid w:val="00555DD0"/>
    <w:rsid w:val="00555DD7"/>
    <w:rsid w:val="00555DD8"/>
    <w:rsid w:val="00555DE1"/>
    <w:rsid w:val="00555E23"/>
    <w:rsid w:val="00555E2B"/>
    <w:rsid w:val="00555F18"/>
    <w:rsid w:val="00555F59"/>
    <w:rsid w:val="00555F80"/>
    <w:rsid w:val="00555F93"/>
    <w:rsid w:val="00556057"/>
    <w:rsid w:val="0055606E"/>
    <w:rsid w:val="005560F9"/>
    <w:rsid w:val="00556159"/>
    <w:rsid w:val="00556189"/>
    <w:rsid w:val="00556196"/>
    <w:rsid w:val="0055619B"/>
    <w:rsid w:val="00556228"/>
    <w:rsid w:val="00556285"/>
    <w:rsid w:val="005562A8"/>
    <w:rsid w:val="005562BF"/>
    <w:rsid w:val="0055639F"/>
    <w:rsid w:val="005563BB"/>
    <w:rsid w:val="005563CE"/>
    <w:rsid w:val="00556400"/>
    <w:rsid w:val="00556428"/>
    <w:rsid w:val="00556438"/>
    <w:rsid w:val="00556463"/>
    <w:rsid w:val="00556520"/>
    <w:rsid w:val="0055652A"/>
    <w:rsid w:val="0055653F"/>
    <w:rsid w:val="00556551"/>
    <w:rsid w:val="00556571"/>
    <w:rsid w:val="005565BE"/>
    <w:rsid w:val="005565F7"/>
    <w:rsid w:val="0055666A"/>
    <w:rsid w:val="005566BD"/>
    <w:rsid w:val="00556718"/>
    <w:rsid w:val="00556732"/>
    <w:rsid w:val="00556741"/>
    <w:rsid w:val="0055674D"/>
    <w:rsid w:val="005567CA"/>
    <w:rsid w:val="005567DF"/>
    <w:rsid w:val="00556861"/>
    <w:rsid w:val="005568A6"/>
    <w:rsid w:val="005568E8"/>
    <w:rsid w:val="0055690B"/>
    <w:rsid w:val="0055694F"/>
    <w:rsid w:val="00556952"/>
    <w:rsid w:val="00556994"/>
    <w:rsid w:val="005569DD"/>
    <w:rsid w:val="005569EF"/>
    <w:rsid w:val="00556A11"/>
    <w:rsid w:val="00556A41"/>
    <w:rsid w:val="00556A72"/>
    <w:rsid w:val="00556AB2"/>
    <w:rsid w:val="00556ABE"/>
    <w:rsid w:val="00556AC9"/>
    <w:rsid w:val="00556B22"/>
    <w:rsid w:val="00556B8C"/>
    <w:rsid w:val="00556B9F"/>
    <w:rsid w:val="00556BD2"/>
    <w:rsid w:val="00556BDF"/>
    <w:rsid w:val="00556C36"/>
    <w:rsid w:val="00556C88"/>
    <w:rsid w:val="00556C8E"/>
    <w:rsid w:val="00556CC0"/>
    <w:rsid w:val="00556D3C"/>
    <w:rsid w:val="00556D5C"/>
    <w:rsid w:val="00556D96"/>
    <w:rsid w:val="00556D97"/>
    <w:rsid w:val="00556DBF"/>
    <w:rsid w:val="00556DF1"/>
    <w:rsid w:val="00556E21"/>
    <w:rsid w:val="00556E7B"/>
    <w:rsid w:val="00556EBC"/>
    <w:rsid w:val="00556ED1"/>
    <w:rsid w:val="00556F0A"/>
    <w:rsid w:val="00556F12"/>
    <w:rsid w:val="00556F24"/>
    <w:rsid w:val="00556F7C"/>
    <w:rsid w:val="00556FED"/>
    <w:rsid w:val="00556FFB"/>
    <w:rsid w:val="0055703A"/>
    <w:rsid w:val="00557067"/>
    <w:rsid w:val="005570F9"/>
    <w:rsid w:val="00557141"/>
    <w:rsid w:val="00557181"/>
    <w:rsid w:val="00557189"/>
    <w:rsid w:val="0055723A"/>
    <w:rsid w:val="0055725B"/>
    <w:rsid w:val="005572A9"/>
    <w:rsid w:val="00557347"/>
    <w:rsid w:val="00557361"/>
    <w:rsid w:val="00557392"/>
    <w:rsid w:val="00557484"/>
    <w:rsid w:val="005574B3"/>
    <w:rsid w:val="005574C8"/>
    <w:rsid w:val="00557531"/>
    <w:rsid w:val="0055755C"/>
    <w:rsid w:val="005575E2"/>
    <w:rsid w:val="0055763E"/>
    <w:rsid w:val="00557658"/>
    <w:rsid w:val="005576FE"/>
    <w:rsid w:val="00557736"/>
    <w:rsid w:val="00557769"/>
    <w:rsid w:val="00557780"/>
    <w:rsid w:val="005577BE"/>
    <w:rsid w:val="005577CF"/>
    <w:rsid w:val="00557806"/>
    <w:rsid w:val="00557865"/>
    <w:rsid w:val="0055789D"/>
    <w:rsid w:val="005578B9"/>
    <w:rsid w:val="0055792A"/>
    <w:rsid w:val="0055795B"/>
    <w:rsid w:val="00557A40"/>
    <w:rsid w:val="00557A52"/>
    <w:rsid w:val="00557A5E"/>
    <w:rsid w:val="00557A7A"/>
    <w:rsid w:val="00557A9C"/>
    <w:rsid w:val="00557AE8"/>
    <w:rsid w:val="00557B85"/>
    <w:rsid w:val="00557B9D"/>
    <w:rsid w:val="00557BA2"/>
    <w:rsid w:val="00557BB9"/>
    <w:rsid w:val="00557BBD"/>
    <w:rsid w:val="00557BDD"/>
    <w:rsid w:val="00557C59"/>
    <w:rsid w:val="00557C5C"/>
    <w:rsid w:val="00557D98"/>
    <w:rsid w:val="00557DA3"/>
    <w:rsid w:val="00557E4E"/>
    <w:rsid w:val="00557E9B"/>
    <w:rsid w:val="00557F3F"/>
    <w:rsid w:val="00557F51"/>
    <w:rsid w:val="0055915F"/>
    <w:rsid w:val="005595F1"/>
    <w:rsid w:val="0055AD9B"/>
    <w:rsid w:val="00560064"/>
    <w:rsid w:val="00560085"/>
    <w:rsid w:val="00560086"/>
    <w:rsid w:val="0056008C"/>
    <w:rsid w:val="005600BD"/>
    <w:rsid w:val="005600CF"/>
    <w:rsid w:val="005600E5"/>
    <w:rsid w:val="0056018D"/>
    <w:rsid w:val="0056019F"/>
    <w:rsid w:val="005601CF"/>
    <w:rsid w:val="0056020A"/>
    <w:rsid w:val="0056023B"/>
    <w:rsid w:val="005602C9"/>
    <w:rsid w:val="005602F0"/>
    <w:rsid w:val="005602FB"/>
    <w:rsid w:val="00560322"/>
    <w:rsid w:val="005603A7"/>
    <w:rsid w:val="005603FC"/>
    <w:rsid w:val="00560408"/>
    <w:rsid w:val="0056040A"/>
    <w:rsid w:val="0056045D"/>
    <w:rsid w:val="0056047F"/>
    <w:rsid w:val="00560486"/>
    <w:rsid w:val="00560488"/>
    <w:rsid w:val="005604A5"/>
    <w:rsid w:val="005604AF"/>
    <w:rsid w:val="00560549"/>
    <w:rsid w:val="0056054C"/>
    <w:rsid w:val="005605B3"/>
    <w:rsid w:val="005605BE"/>
    <w:rsid w:val="005605C5"/>
    <w:rsid w:val="00560645"/>
    <w:rsid w:val="00560660"/>
    <w:rsid w:val="00560662"/>
    <w:rsid w:val="0056069A"/>
    <w:rsid w:val="0056071F"/>
    <w:rsid w:val="0056072A"/>
    <w:rsid w:val="0056073A"/>
    <w:rsid w:val="00560759"/>
    <w:rsid w:val="00560779"/>
    <w:rsid w:val="005607CE"/>
    <w:rsid w:val="005607F5"/>
    <w:rsid w:val="00560806"/>
    <w:rsid w:val="0056080F"/>
    <w:rsid w:val="0056082A"/>
    <w:rsid w:val="0056083A"/>
    <w:rsid w:val="005608C8"/>
    <w:rsid w:val="0056090E"/>
    <w:rsid w:val="0056093D"/>
    <w:rsid w:val="00560944"/>
    <w:rsid w:val="00560975"/>
    <w:rsid w:val="005609AC"/>
    <w:rsid w:val="005609C7"/>
    <w:rsid w:val="005609F6"/>
    <w:rsid w:val="00560A10"/>
    <w:rsid w:val="00560AD6"/>
    <w:rsid w:val="00560ADC"/>
    <w:rsid w:val="00560B01"/>
    <w:rsid w:val="00560B19"/>
    <w:rsid w:val="00560B2F"/>
    <w:rsid w:val="00560B86"/>
    <w:rsid w:val="00560BC7"/>
    <w:rsid w:val="00560BF7"/>
    <w:rsid w:val="00560CF8"/>
    <w:rsid w:val="00560D35"/>
    <w:rsid w:val="00560D50"/>
    <w:rsid w:val="00560D6F"/>
    <w:rsid w:val="00560D96"/>
    <w:rsid w:val="00560DFA"/>
    <w:rsid w:val="00560E55"/>
    <w:rsid w:val="00560EC8"/>
    <w:rsid w:val="00560F14"/>
    <w:rsid w:val="00560F4D"/>
    <w:rsid w:val="00560F7A"/>
    <w:rsid w:val="00560FBC"/>
    <w:rsid w:val="00560FC6"/>
    <w:rsid w:val="00560FE0"/>
    <w:rsid w:val="00560FF4"/>
    <w:rsid w:val="00561013"/>
    <w:rsid w:val="00561065"/>
    <w:rsid w:val="005610D7"/>
    <w:rsid w:val="005610E6"/>
    <w:rsid w:val="0056119D"/>
    <w:rsid w:val="005611C9"/>
    <w:rsid w:val="005611EE"/>
    <w:rsid w:val="005611F9"/>
    <w:rsid w:val="005611FD"/>
    <w:rsid w:val="00561237"/>
    <w:rsid w:val="00561296"/>
    <w:rsid w:val="00561337"/>
    <w:rsid w:val="00561347"/>
    <w:rsid w:val="00561372"/>
    <w:rsid w:val="0056138C"/>
    <w:rsid w:val="00561393"/>
    <w:rsid w:val="005613A6"/>
    <w:rsid w:val="00561409"/>
    <w:rsid w:val="00561414"/>
    <w:rsid w:val="0056144A"/>
    <w:rsid w:val="00561454"/>
    <w:rsid w:val="00561461"/>
    <w:rsid w:val="005614C1"/>
    <w:rsid w:val="00561570"/>
    <w:rsid w:val="0056160B"/>
    <w:rsid w:val="0056166F"/>
    <w:rsid w:val="0056169A"/>
    <w:rsid w:val="005616C6"/>
    <w:rsid w:val="005616DF"/>
    <w:rsid w:val="005616EC"/>
    <w:rsid w:val="00561738"/>
    <w:rsid w:val="005617FF"/>
    <w:rsid w:val="0056181E"/>
    <w:rsid w:val="00561836"/>
    <w:rsid w:val="005618AE"/>
    <w:rsid w:val="005618C5"/>
    <w:rsid w:val="005618CD"/>
    <w:rsid w:val="005618CE"/>
    <w:rsid w:val="0056192D"/>
    <w:rsid w:val="00561948"/>
    <w:rsid w:val="00561983"/>
    <w:rsid w:val="005619C8"/>
    <w:rsid w:val="005619DF"/>
    <w:rsid w:val="005619EE"/>
    <w:rsid w:val="005619F5"/>
    <w:rsid w:val="00561A48"/>
    <w:rsid w:val="00561A98"/>
    <w:rsid w:val="00561AD6"/>
    <w:rsid w:val="00561AED"/>
    <w:rsid w:val="00561AFB"/>
    <w:rsid w:val="00561B28"/>
    <w:rsid w:val="00561B42"/>
    <w:rsid w:val="00561B9C"/>
    <w:rsid w:val="00561BB7"/>
    <w:rsid w:val="00561BCF"/>
    <w:rsid w:val="00561BD7"/>
    <w:rsid w:val="00561C01"/>
    <w:rsid w:val="00561C63"/>
    <w:rsid w:val="00561C6C"/>
    <w:rsid w:val="00561CE3"/>
    <w:rsid w:val="00561CEB"/>
    <w:rsid w:val="00561D34"/>
    <w:rsid w:val="00561D63"/>
    <w:rsid w:val="00561DA4"/>
    <w:rsid w:val="00561DB9"/>
    <w:rsid w:val="00561E52"/>
    <w:rsid w:val="00561E58"/>
    <w:rsid w:val="00561E5F"/>
    <w:rsid w:val="00561E68"/>
    <w:rsid w:val="00561EED"/>
    <w:rsid w:val="00561F69"/>
    <w:rsid w:val="00561F6F"/>
    <w:rsid w:val="00561F77"/>
    <w:rsid w:val="00561F8C"/>
    <w:rsid w:val="00561FC5"/>
    <w:rsid w:val="00561FCE"/>
    <w:rsid w:val="00561FE6"/>
    <w:rsid w:val="00562018"/>
    <w:rsid w:val="00562057"/>
    <w:rsid w:val="0056206E"/>
    <w:rsid w:val="00562097"/>
    <w:rsid w:val="00562117"/>
    <w:rsid w:val="0056213D"/>
    <w:rsid w:val="00562163"/>
    <w:rsid w:val="00562237"/>
    <w:rsid w:val="0056223B"/>
    <w:rsid w:val="005622A9"/>
    <w:rsid w:val="005622B6"/>
    <w:rsid w:val="0056230A"/>
    <w:rsid w:val="0056231C"/>
    <w:rsid w:val="005623D3"/>
    <w:rsid w:val="00562420"/>
    <w:rsid w:val="00562451"/>
    <w:rsid w:val="0056247A"/>
    <w:rsid w:val="0056254F"/>
    <w:rsid w:val="005625E5"/>
    <w:rsid w:val="00562623"/>
    <w:rsid w:val="00562633"/>
    <w:rsid w:val="00562660"/>
    <w:rsid w:val="0056272C"/>
    <w:rsid w:val="00562894"/>
    <w:rsid w:val="005628B9"/>
    <w:rsid w:val="005628EB"/>
    <w:rsid w:val="00562952"/>
    <w:rsid w:val="0056296C"/>
    <w:rsid w:val="00562985"/>
    <w:rsid w:val="005629EC"/>
    <w:rsid w:val="00562A2F"/>
    <w:rsid w:val="00562AAD"/>
    <w:rsid w:val="00562AD9"/>
    <w:rsid w:val="00562AFB"/>
    <w:rsid w:val="00562AFD"/>
    <w:rsid w:val="00562B1E"/>
    <w:rsid w:val="00562B62"/>
    <w:rsid w:val="00562B65"/>
    <w:rsid w:val="00562BD0"/>
    <w:rsid w:val="00562BDA"/>
    <w:rsid w:val="00562C25"/>
    <w:rsid w:val="00562D60"/>
    <w:rsid w:val="00562D73"/>
    <w:rsid w:val="00562E31"/>
    <w:rsid w:val="00562EF2"/>
    <w:rsid w:val="00562F4B"/>
    <w:rsid w:val="00562F66"/>
    <w:rsid w:val="00562F75"/>
    <w:rsid w:val="00562F8A"/>
    <w:rsid w:val="00562FA6"/>
    <w:rsid w:val="00562FB7"/>
    <w:rsid w:val="00562FD9"/>
    <w:rsid w:val="00562FE9"/>
    <w:rsid w:val="005630B4"/>
    <w:rsid w:val="00563134"/>
    <w:rsid w:val="005631DD"/>
    <w:rsid w:val="005631FD"/>
    <w:rsid w:val="0056320B"/>
    <w:rsid w:val="00563225"/>
    <w:rsid w:val="00563231"/>
    <w:rsid w:val="0056323F"/>
    <w:rsid w:val="00563247"/>
    <w:rsid w:val="00563257"/>
    <w:rsid w:val="00563260"/>
    <w:rsid w:val="00563261"/>
    <w:rsid w:val="005632D8"/>
    <w:rsid w:val="005632D9"/>
    <w:rsid w:val="0056335E"/>
    <w:rsid w:val="005633AE"/>
    <w:rsid w:val="00563425"/>
    <w:rsid w:val="00563480"/>
    <w:rsid w:val="00563491"/>
    <w:rsid w:val="005634CA"/>
    <w:rsid w:val="005634D7"/>
    <w:rsid w:val="0056358C"/>
    <w:rsid w:val="005635B5"/>
    <w:rsid w:val="0056361D"/>
    <w:rsid w:val="00563648"/>
    <w:rsid w:val="00563684"/>
    <w:rsid w:val="005636DE"/>
    <w:rsid w:val="00563772"/>
    <w:rsid w:val="005637BB"/>
    <w:rsid w:val="005637D4"/>
    <w:rsid w:val="005637ED"/>
    <w:rsid w:val="0056391C"/>
    <w:rsid w:val="0056392E"/>
    <w:rsid w:val="00563938"/>
    <w:rsid w:val="00563955"/>
    <w:rsid w:val="0056395C"/>
    <w:rsid w:val="005639DA"/>
    <w:rsid w:val="00563A06"/>
    <w:rsid w:val="00563AD5"/>
    <w:rsid w:val="00563AE3"/>
    <w:rsid w:val="00563B3D"/>
    <w:rsid w:val="00563B64"/>
    <w:rsid w:val="00563B88"/>
    <w:rsid w:val="00563BD9"/>
    <w:rsid w:val="00563C39"/>
    <w:rsid w:val="00563C5A"/>
    <w:rsid w:val="00563C94"/>
    <w:rsid w:val="00563CA0"/>
    <w:rsid w:val="00563D1F"/>
    <w:rsid w:val="00563D59"/>
    <w:rsid w:val="00563DA2"/>
    <w:rsid w:val="00563E36"/>
    <w:rsid w:val="00563E3A"/>
    <w:rsid w:val="00563E56"/>
    <w:rsid w:val="00563E81"/>
    <w:rsid w:val="00563E9A"/>
    <w:rsid w:val="00563EE3"/>
    <w:rsid w:val="00563F74"/>
    <w:rsid w:val="00563F83"/>
    <w:rsid w:val="00563F9B"/>
    <w:rsid w:val="00563FAA"/>
    <w:rsid w:val="005640BB"/>
    <w:rsid w:val="00564143"/>
    <w:rsid w:val="0056416A"/>
    <w:rsid w:val="00564185"/>
    <w:rsid w:val="0056418B"/>
    <w:rsid w:val="00564196"/>
    <w:rsid w:val="0056419E"/>
    <w:rsid w:val="005641AE"/>
    <w:rsid w:val="005641B8"/>
    <w:rsid w:val="005641DE"/>
    <w:rsid w:val="005641FE"/>
    <w:rsid w:val="0056423D"/>
    <w:rsid w:val="0056424C"/>
    <w:rsid w:val="005642A3"/>
    <w:rsid w:val="005642B7"/>
    <w:rsid w:val="005642E5"/>
    <w:rsid w:val="00564359"/>
    <w:rsid w:val="00564392"/>
    <w:rsid w:val="005643E9"/>
    <w:rsid w:val="005644B7"/>
    <w:rsid w:val="00564546"/>
    <w:rsid w:val="0056455D"/>
    <w:rsid w:val="00564569"/>
    <w:rsid w:val="005645B3"/>
    <w:rsid w:val="0056461A"/>
    <w:rsid w:val="00564637"/>
    <w:rsid w:val="0056464D"/>
    <w:rsid w:val="00564654"/>
    <w:rsid w:val="00564655"/>
    <w:rsid w:val="00564664"/>
    <w:rsid w:val="005646B8"/>
    <w:rsid w:val="005646FA"/>
    <w:rsid w:val="00564731"/>
    <w:rsid w:val="00564732"/>
    <w:rsid w:val="005647E2"/>
    <w:rsid w:val="00564800"/>
    <w:rsid w:val="00564887"/>
    <w:rsid w:val="00564901"/>
    <w:rsid w:val="00564924"/>
    <w:rsid w:val="00564939"/>
    <w:rsid w:val="00564956"/>
    <w:rsid w:val="00564958"/>
    <w:rsid w:val="0056496A"/>
    <w:rsid w:val="005649F4"/>
    <w:rsid w:val="005649FD"/>
    <w:rsid w:val="00564A13"/>
    <w:rsid w:val="00564ACC"/>
    <w:rsid w:val="00564B3E"/>
    <w:rsid w:val="00564BD9"/>
    <w:rsid w:val="00564C16"/>
    <w:rsid w:val="00564C23"/>
    <w:rsid w:val="00564C54"/>
    <w:rsid w:val="00564C57"/>
    <w:rsid w:val="00564C67"/>
    <w:rsid w:val="00564C79"/>
    <w:rsid w:val="00564CEC"/>
    <w:rsid w:val="00564CF6"/>
    <w:rsid w:val="00564D7B"/>
    <w:rsid w:val="00564DCF"/>
    <w:rsid w:val="00564DDE"/>
    <w:rsid w:val="00564DE5"/>
    <w:rsid w:val="00564E3A"/>
    <w:rsid w:val="00564E40"/>
    <w:rsid w:val="00564E72"/>
    <w:rsid w:val="00564E9A"/>
    <w:rsid w:val="00564EC2"/>
    <w:rsid w:val="00564F6E"/>
    <w:rsid w:val="00564FDB"/>
    <w:rsid w:val="00564FFD"/>
    <w:rsid w:val="00565000"/>
    <w:rsid w:val="0056504C"/>
    <w:rsid w:val="00565086"/>
    <w:rsid w:val="0056508A"/>
    <w:rsid w:val="005650AD"/>
    <w:rsid w:val="005650C6"/>
    <w:rsid w:val="005650FA"/>
    <w:rsid w:val="00565133"/>
    <w:rsid w:val="00565151"/>
    <w:rsid w:val="00565196"/>
    <w:rsid w:val="005651B4"/>
    <w:rsid w:val="005651FE"/>
    <w:rsid w:val="0056520A"/>
    <w:rsid w:val="00565259"/>
    <w:rsid w:val="0056525D"/>
    <w:rsid w:val="005652CB"/>
    <w:rsid w:val="00565387"/>
    <w:rsid w:val="00565393"/>
    <w:rsid w:val="0056540B"/>
    <w:rsid w:val="0056544D"/>
    <w:rsid w:val="00565488"/>
    <w:rsid w:val="00565499"/>
    <w:rsid w:val="005654C4"/>
    <w:rsid w:val="005654C9"/>
    <w:rsid w:val="00565522"/>
    <w:rsid w:val="0056552A"/>
    <w:rsid w:val="00565568"/>
    <w:rsid w:val="00565582"/>
    <w:rsid w:val="005655BF"/>
    <w:rsid w:val="00565627"/>
    <w:rsid w:val="0056565F"/>
    <w:rsid w:val="00565685"/>
    <w:rsid w:val="005656AC"/>
    <w:rsid w:val="005656C9"/>
    <w:rsid w:val="00565734"/>
    <w:rsid w:val="0056574D"/>
    <w:rsid w:val="00565767"/>
    <w:rsid w:val="00565770"/>
    <w:rsid w:val="00565773"/>
    <w:rsid w:val="005657AE"/>
    <w:rsid w:val="005657D7"/>
    <w:rsid w:val="00565816"/>
    <w:rsid w:val="00565855"/>
    <w:rsid w:val="00565868"/>
    <w:rsid w:val="0056587D"/>
    <w:rsid w:val="00565886"/>
    <w:rsid w:val="0056588A"/>
    <w:rsid w:val="00565895"/>
    <w:rsid w:val="005658EF"/>
    <w:rsid w:val="005658F8"/>
    <w:rsid w:val="00565904"/>
    <w:rsid w:val="00565925"/>
    <w:rsid w:val="0056593E"/>
    <w:rsid w:val="00565947"/>
    <w:rsid w:val="00565970"/>
    <w:rsid w:val="005659CF"/>
    <w:rsid w:val="005659D0"/>
    <w:rsid w:val="005659D9"/>
    <w:rsid w:val="00565A2A"/>
    <w:rsid w:val="00565A72"/>
    <w:rsid w:val="00565A7D"/>
    <w:rsid w:val="00565A83"/>
    <w:rsid w:val="00565A9D"/>
    <w:rsid w:val="00565AA9"/>
    <w:rsid w:val="00565AE8"/>
    <w:rsid w:val="00565AFC"/>
    <w:rsid w:val="00565B05"/>
    <w:rsid w:val="00565B5B"/>
    <w:rsid w:val="00565B70"/>
    <w:rsid w:val="00565B9F"/>
    <w:rsid w:val="00565C23"/>
    <w:rsid w:val="00565CDD"/>
    <w:rsid w:val="00565CE4"/>
    <w:rsid w:val="00565D20"/>
    <w:rsid w:val="00565D22"/>
    <w:rsid w:val="00565D4D"/>
    <w:rsid w:val="00565D8B"/>
    <w:rsid w:val="00565D95"/>
    <w:rsid w:val="00565E3A"/>
    <w:rsid w:val="00565E5B"/>
    <w:rsid w:val="00565E64"/>
    <w:rsid w:val="00565EA2"/>
    <w:rsid w:val="00565EB3"/>
    <w:rsid w:val="00565F8C"/>
    <w:rsid w:val="00565FC5"/>
    <w:rsid w:val="00565FDC"/>
    <w:rsid w:val="00566082"/>
    <w:rsid w:val="005660C3"/>
    <w:rsid w:val="00566145"/>
    <w:rsid w:val="00566184"/>
    <w:rsid w:val="00566191"/>
    <w:rsid w:val="0056619D"/>
    <w:rsid w:val="00566205"/>
    <w:rsid w:val="00566238"/>
    <w:rsid w:val="00566281"/>
    <w:rsid w:val="005662FA"/>
    <w:rsid w:val="00566313"/>
    <w:rsid w:val="00566324"/>
    <w:rsid w:val="0056635F"/>
    <w:rsid w:val="005663A9"/>
    <w:rsid w:val="00566406"/>
    <w:rsid w:val="0056641A"/>
    <w:rsid w:val="0056644A"/>
    <w:rsid w:val="0056645B"/>
    <w:rsid w:val="0056651C"/>
    <w:rsid w:val="00566577"/>
    <w:rsid w:val="005665BC"/>
    <w:rsid w:val="0056660B"/>
    <w:rsid w:val="0056661C"/>
    <w:rsid w:val="00566676"/>
    <w:rsid w:val="005666BE"/>
    <w:rsid w:val="005666D5"/>
    <w:rsid w:val="0056672D"/>
    <w:rsid w:val="0056672F"/>
    <w:rsid w:val="00566746"/>
    <w:rsid w:val="00566884"/>
    <w:rsid w:val="00566886"/>
    <w:rsid w:val="005668AA"/>
    <w:rsid w:val="00566923"/>
    <w:rsid w:val="00566947"/>
    <w:rsid w:val="0056699D"/>
    <w:rsid w:val="0056699E"/>
    <w:rsid w:val="005669CC"/>
    <w:rsid w:val="005669D6"/>
    <w:rsid w:val="005669EB"/>
    <w:rsid w:val="00566A0E"/>
    <w:rsid w:val="00566A3C"/>
    <w:rsid w:val="00566A4E"/>
    <w:rsid w:val="00566AAA"/>
    <w:rsid w:val="00566AFC"/>
    <w:rsid w:val="00566B56"/>
    <w:rsid w:val="00566B99"/>
    <w:rsid w:val="00566C08"/>
    <w:rsid w:val="00566C50"/>
    <w:rsid w:val="00566C5B"/>
    <w:rsid w:val="00566C95"/>
    <w:rsid w:val="00566C96"/>
    <w:rsid w:val="00566D11"/>
    <w:rsid w:val="00566D4F"/>
    <w:rsid w:val="00566E98"/>
    <w:rsid w:val="00566EA4"/>
    <w:rsid w:val="00566EAD"/>
    <w:rsid w:val="00566F2E"/>
    <w:rsid w:val="00566FB7"/>
    <w:rsid w:val="00566FD1"/>
    <w:rsid w:val="00566FDA"/>
    <w:rsid w:val="00566FFD"/>
    <w:rsid w:val="0056700D"/>
    <w:rsid w:val="00567014"/>
    <w:rsid w:val="00567034"/>
    <w:rsid w:val="0056703C"/>
    <w:rsid w:val="0056705B"/>
    <w:rsid w:val="005670C1"/>
    <w:rsid w:val="005670C5"/>
    <w:rsid w:val="005670CD"/>
    <w:rsid w:val="00567138"/>
    <w:rsid w:val="00567206"/>
    <w:rsid w:val="005672B8"/>
    <w:rsid w:val="005673EB"/>
    <w:rsid w:val="00567400"/>
    <w:rsid w:val="00567431"/>
    <w:rsid w:val="00567443"/>
    <w:rsid w:val="0056748A"/>
    <w:rsid w:val="005674C4"/>
    <w:rsid w:val="005674D4"/>
    <w:rsid w:val="00567518"/>
    <w:rsid w:val="00567554"/>
    <w:rsid w:val="0056756E"/>
    <w:rsid w:val="005675E6"/>
    <w:rsid w:val="0056760B"/>
    <w:rsid w:val="0056762F"/>
    <w:rsid w:val="0056764A"/>
    <w:rsid w:val="00567675"/>
    <w:rsid w:val="005676C7"/>
    <w:rsid w:val="00567704"/>
    <w:rsid w:val="0056773E"/>
    <w:rsid w:val="005677A8"/>
    <w:rsid w:val="00567845"/>
    <w:rsid w:val="00567855"/>
    <w:rsid w:val="00567862"/>
    <w:rsid w:val="0056788F"/>
    <w:rsid w:val="005678E6"/>
    <w:rsid w:val="00567914"/>
    <w:rsid w:val="00567919"/>
    <w:rsid w:val="0056792E"/>
    <w:rsid w:val="00567949"/>
    <w:rsid w:val="00567955"/>
    <w:rsid w:val="00567989"/>
    <w:rsid w:val="005679CB"/>
    <w:rsid w:val="00567A09"/>
    <w:rsid w:val="00567A27"/>
    <w:rsid w:val="00567A3B"/>
    <w:rsid w:val="00567A67"/>
    <w:rsid w:val="00567A9D"/>
    <w:rsid w:val="00567AD6"/>
    <w:rsid w:val="00567AE8"/>
    <w:rsid w:val="00567B0C"/>
    <w:rsid w:val="00567B4E"/>
    <w:rsid w:val="00567BAA"/>
    <w:rsid w:val="00567BB6"/>
    <w:rsid w:val="00567C33"/>
    <w:rsid w:val="00567C4B"/>
    <w:rsid w:val="00567C7F"/>
    <w:rsid w:val="00567CB4"/>
    <w:rsid w:val="00567CBD"/>
    <w:rsid w:val="00567CBE"/>
    <w:rsid w:val="00567CDA"/>
    <w:rsid w:val="00567CF6"/>
    <w:rsid w:val="00567D01"/>
    <w:rsid w:val="00567D10"/>
    <w:rsid w:val="00567D49"/>
    <w:rsid w:val="00567D91"/>
    <w:rsid w:val="00567E80"/>
    <w:rsid w:val="00567EA6"/>
    <w:rsid w:val="00567EB5"/>
    <w:rsid w:val="00567EBD"/>
    <w:rsid w:val="00567EDB"/>
    <w:rsid w:val="00567EFE"/>
    <w:rsid w:val="00567F19"/>
    <w:rsid w:val="00567F3E"/>
    <w:rsid w:val="00567F5C"/>
    <w:rsid w:val="00567F8B"/>
    <w:rsid w:val="00567FA0"/>
    <w:rsid w:val="0056955C"/>
    <w:rsid w:val="0057001A"/>
    <w:rsid w:val="00570025"/>
    <w:rsid w:val="0057009E"/>
    <w:rsid w:val="005700C0"/>
    <w:rsid w:val="005700E7"/>
    <w:rsid w:val="0057015B"/>
    <w:rsid w:val="005701D6"/>
    <w:rsid w:val="005701FE"/>
    <w:rsid w:val="00570215"/>
    <w:rsid w:val="00570227"/>
    <w:rsid w:val="00570248"/>
    <w:rsid w:val="00570262"/>
    <w:rsid w:val="00570294"/>
    <w:rsid w:val="005702FC"/>
    <w:rsid w:val="00570312"/>
    <w:rsid w:val="00570313"/>
    <w:rsid w:val="0057036D"/>
    <w:rsid w:val="005703A3"/>
    <w:rsid w:val="005703C4"/>
    <w:rsid w:val="00570402"/>
    <w:rsid w:val="0057044D"/>
    <w:rsid w:val="00570463"/>
    <w:rsid w:val="00570465"/>
    <w:rsid w:val="005704C1"/>
    <w:rsid w:val="005704CB"/>
    <w:rsid w:val="0057057A"/>
    <w:rsid w:val="005705DC"/>
    <w:rsid w:val="005705E3"/>
    <w:rsid w:val="00570623"/>
    <w:rsid w:val="00570627"/>
    <w:rsid w:val="0057064C"/>
    <w:rsid w:val="00570665"/>
    <w:rsid w:val="005706A6"/>
    <w:rsid w:val="005706A7"/>
    <w:rsid w:val="0057071A"/>
    <w:rsid w:val="005707E5"/>
    <w:rsid w:val="00570831"/>
    <w:rsid w:val="0057083B"/>
    <w:rsid w:val="00570859"/>
    <w:rsid w:val="0057085A"/>
    <w:rsid w:val="005708AB"/>
    <w:rsid w:val="005708BD"/>
    <w:rsid w:val="00570925"/>
    <w:rsid w:val="0057096F"/>
    <w:rsid w:val="0057098D"/>
    <w:rsid w:val="00570A12"/>
    <w:rsid w:val="00570A27"/>
    <w:rsid w:val="00570A44"/>
    <w:rsid w:val="00570A46"/>
    <w:rsid w:val="00570A73"/>
    <w:rsid w:val="00570B19"/>
    <w:rsid w:val="00570B38"/>
    <w:rsid w:val="00570B40"/>
    <w:rsid w:val="00570B46"/>
    <w:rsid w:val="00570B77"/>
    <w:rsid w:val="00570B7E"/>
    <w:rsid w:val="00570B8A"/>
    <w:rsid w:val="00570B93"/>
    <w:rsid w:val="00570BD6"/>
    <w:rsid w:val="00570C07"/>
    <w:rsid w:val="00570CDD"/>
    <w:rsid w:val="00570CFB"/>
    <w:rsid w:val="00570D67"/>
    <w:rsid w:val="00570DBE"/>
    <w:rsid w:val="00570E41"/>
    <w:rsid w:val="00570E69"/>
    <w:rsid w:val="00570E86"/>
    <w:rsid w:val="00570EA4"/>
    <w:rsid w:val="00570EAB"/>
    <w:rsid w:val="00570EF5"/>
    <w:rsid w:val="00570F68"/>
    <w:rsid w:val="00570F9E"/>
    <w:rsid w:val="00571025"/>
    <w:rsid w:val="00571040"/>
    <w:rsid w:val="005710E0"/>
    <w:rsid w:val="0057110F"/>
    <w:rsid w:val="00571146"/>
    <w:rsid w:val="00571196"/>
    <w:rsid w:val="00571198"/>
    <w:rsid w:val="005711CD"/>
    <w:rsid w:val="005711D6"/>
    <w:rsid w:val="0057121A"/>
    <w:rsid w:val="00571258"/>
    <w:rsid w:val="0057125F"/>
    <w:rsid w:val="005712B7"/>
    <w:rsid w:val="005712EF"/>
    <w:rsid w:val="0057133E"/>
    <w:rsid w:val="00571397"/>
    <w:rsid w:val="0057139C"/>
    <w:rsid w:val="005713E0"/>
    <w:rsid w:val="00571409"/>
    <w:rsid w:val="00571414"/>
    <w:rsid w:val="00571420"/>
    <w:rsid w:val="00571433"/>
    <w:rsid w:val="00571461"/>
    <w:rsid w:val="00571498"/>
    <w:rsid w:val="005714A1"/>
    <w:rsid w:val="005714B6"/>
    <w:rsid w:val="005714FB"/>
    <w:rsid w:val="00571501"/>
    <w:rsid w:val="00571511"/>
    <w:rsid w:val="00571582"/>
    <w:rsid w:val="00571624"/>
    <w:rsid w:val="0057164A"/>
    <w:rsid w:val="00571692"/>
    <w:rsid w:val="005716C4"/>
    <w:rsid w:val="00571730"/>
    <w:rsid w:val="00571732"/>
    <w:rsid w:val="0057176A"/>
    <w:rsid w:val="00571783"/>
    <w:rsid w:val="005717BA"/>
    <w:rsid w:val="00571803"/>
    <w:rsid w:val="00571843"/>
    <w:rsid w:val="00571876"/>
    <w:rsid w:val="005718BF"/>
    <w:rsid w:val="005718CC"/>
    <w:rsid w:val="005718DA"/>
    <w:rsid w:val="005718EB"/>
    <w:rsid w:val="005718F0"/>
    <w:rsid w:val="005718F6"/>
    <w:rsid w:val="005718F7"/>
    <w:rsid w:val="00571900"/>
    <w:rsid w:val="00571955"/>
    <w:rsid w:val="00571965"/>
    <w:rsid w:val="00571994"/>
    <w:rsid w:val="005719D3"/>
    <w:rsid w:val="00571A4C"/>
    <w:rsid w:val="00571A5B"/>
    <w:rsid w:val="00571A77"/>
    <w:rsid w:val="00571ACA"/>
    <w:rsid w:val="00571B12"/>
    <w:rsid w:val="00571B1C"/>
    <w:rsid w:val="00571B28"/>
    <w:rsid w:val="00571B42"/>
    <w:rsid w:val="00571BEE"/>
    <w:rsid w:val="00571C04"/>
    <w:rsid w:val="00571C1D"/>
    <w:rsid w:val="00571C34"/>
    <w:rsid w:val="00571C68"/>
    <w:rsid w:val="00571C71"/>
    <w:rsid w:val="00571CA2"/>
    <w:rsid w:val="00571CBB"/>
    <w:rsid w:val="00571CF3"/>
    <w:rsid w:val="00571D12"/>
    <w:rsid w:val="00571D49"/>
    <w:rsid w:val="00571E18"/>
    <w:rsid w:val="00571E72"/>
    <w:rsid w:val="00571E7B"/>
    <w:rsid w:val="00571EA8"/>
    <w:rsid w:val="00571EAC"/>
    <w:rsid w:val="00571F45"/>
    <w:rsid w:val="00571F52"/>
    <w:rsid w:val="00571F58"/>
    <w:rsid w:val="00571FA3"/>
    <w:rsid w:val="00571FE5"/>
    <w:rsid w:val="0057203C"/>
    <w:rsid w:val="0057205C"/>
    <w:rsid w:val="0057209D"/>
    <w:rsid w:val="005720A4"/>
    <w:rsid w:val="005720DF"/>
    <w:rsid w:val="0057214C"/>
    <w:rsid w:val="00572169"/>
    <w:rsid w:val="005721C5"/>
    <w:rsid w:val="005721DE"/>
    <w:rsid w:val="005721E8"/>
    <w:rsid w:val="00572219"/>
    <w:rsid w:val="005722D6"/>
    <w:rsid w:val="00572317"/>
    <w:rsid w:val="00572336"/>
    <w:rsid w:val="0057233C"/>
    <w:rsid w:val="005723A6"/>
    <w:rsid w:val="005723D8"/>
    <w:rsid w:val="0057242F"/>
    <w:rsid w:val="00572430"/>
    <w:rsid w:val="00572440"/>
    <w:rsid w:val="0057247B"/>
    <w:rsid w:val="00572499"/>
    <w:rsid w:val="005724A3"/>
    <w:rsid w:val="005724C4"/>
    <w:rsid w:val="005724E7"/>
    <w:rsid w:val="00572523"/>
    <w:rsid w:val="0057253E"/>
    <w:rsid w:val="0057255A"/>
    <w:rsid w:val="0057257C"/>
    <w:rsid w:val="005725C8"/>
    <w:rsid w:val="005725D0"/>
    <w:rsid w:val="005725F8"/>
    <w:rsid w:val="00572615"/>
    <w:rsid w:val="0057263E"/>
    <w:rsid w:val="0057264B"/>
    <w:rsid w:val="0057268B"/>
    <w:rsid w:val="005726F8"/>
    <w:rsid w:val="0057275B"/>
    <w:rsid w:val="00572874"/>
    <w:rsid w:val="00572885"/>
    <w:rsid w:val="005728C8"/>
    <w:rsid w:val="00572966"/>
    <w:rsid w:val="00572978"/>
    <w:rsid w:val="00572992"/>
    <w:rsid w:val="005729A4"/>
    <w:rsid w:val="005729D8"/>
    <w:rsid w:val="005729F2"/>
    <w:rsid w:val="005729FB"/>
    <w:rsid w:val="00572A6A"/>
    <w:rsid w:val="00572ACA"/>
    <w:rsid w:val="00572B07"/>
    <w:rsid w:val="00572B48"/>
    <w:rsid w:val="00572B6C"/>
    <w:rsid w:val="00572BC2"/>
    <w:rsid w:val="00572BF3"/>
    <w:rsid w:val="00572CDA"/>
    <w:rsid w:val="00572CFF"/>
    <w:rsid w:val="00572DD9"/>
    <w:rsid w:val="00572E55"/>
    <w:rsid w:val="00572E5A"/>
    <w:rsid w:val="00572E69"/>
    <w:rsid w:val="00572EC5"/>
    <w:rsid w:val="00572EFB"/>
    <w:rsid w:val="00572F4A"/>
    <w:rsid w:val="00572F52"/>
    <w:rsid w:val="00572FA0"/>
    <w:rsid w:val="00572FC7"/>
    <w:rsid w:val="00572FF8"/>
    <w:rsid w:val="00573002"/>
    <w:rsid w:val="00573111"/>
    <w:rsid w:val="00573118"/>
    <w:rsid w:val="0057314B"/>
    <w:rsid w:val="0057315E"/>
    <w:rsid w:val="0057317A"/>
    <w:rsid w:val="00573197"/>
    <w:rsid w:val="005731C2"/>
    <w:rsid w:val="005731CC"/>
    <w:rsid w:val="00573221"/>
    <w:rsid w:val="005732AC"/>
    <w:rsid w:val="005732E9"/>
    <w:rsid w:val="00573321"/>
    <w:rsid w:val="0057334C"/>
    <w:rsid w:val="005733C5"/>
    <w:rsid w:val="00573420"/>
    <w:rsid w:val="00573458"/>
    <w:rsid w:val="0057350D"/>
    <w:rsid w:val="00573527"/>
    <w:rsid w:val="0057352B"/>
    <w:rsid w:val="0057356D"/>
    <w:rsid w:val="005735AC"/>
    <w:rsid w:val="005735E3"/>
    <w:rsid w:val="005735EE"/>
    <w:rsid w:val="005735F3"/>
    <w:rsid w:val="005735FE"/>
    <w:rsid w:val="0057365A"/>
    <w:rsid w:val="00573730"/>
    <w:rsid w:val="00573797"/>
    <w:rsid w:val="005737CB"/>
    <w:rsid w:val="005737F0"/>
    <w:rsid w:val="00573801"/>
    <w:rsid w:val="0057388B"/>
    <w:rsid w:val="005738B8"/>
    <w:rsid w:val="005738C2"/>
    <w:rsid w:val="005738D6"/>
    <w:rsid w:val="00573958"/>
    <w:rsid w:val="00573977"/>
    <w:rsid w:val="005739A0"/>
    <w:rsid w:val="00573A91"/>
    <w:rsid w:val="00573AC7"/>
    <w:rsid w:val="00573B6D"/>
    <w:rsid w:val="00573B83"/>
    <w:rsid w:val="00573BF2"/>
    <w:rsid w:val="00573C33"/>
    <w:rsid w:val="00573C4F"/>
    <w:rsid w:val="00573C75"/>
    <w:rsid w:val="00573C92"/>
    <w:rsid w:val="00573CA3"/>
    <w:rsid w:val="00573CBB"/>
    <w:rsid w:val="00573CC1"/>
    <w:rsid w:val="00573CF6"/>
    <w:rsid w:val="00573D37"/>
    <w:rsid w:val="00573D90"/>
    <w:rsid w:val="00573D95"/>
    <w:rsid w:val="00573D96"/>
    <w:rsid w:val="00573DD2"/>
    <w:rsid w:val="00573DD6"/>
    <w:rsid w:val="00573DFB"/>
    <w:rsid w:val="00573E5B"/>
    <w:rsid w:val="00573E98"/>
    <w:rsid w:val="00573E9D"/>
    <w:rsid w:val="00573EB4"/>
    <w:rsid w:val="00573ECE"/>
    <w:rsid w:val="00573F01"/>
    <w:rsid w:val="00573F25"/>
    <w:rsid w:val="00573F45"/>
    <w:rsid w:val="00573F58"/>
    <w:rsid w:val="00573F94"/>
    <w:rsid w:val="00573FA9"/>
    <w:rsid w:val="00573FAD"/>
    <w:rsid w:val="00573FB1"/>
    <w:rsid w:val="00573FBB"/>
    <w:rsid w:val="00573FDE"/>
    <w:rsid w:val="00573FE0"/>
    <w:rsid w:val="0057403A"/>
    <w:rsid w:val="0057403F"/>
    <w:rsid w:val="005740A7"/>
    <w:rsid w:val="00574158"/>
    <w:rsid w:val="00574180"/>
    <w:rsid w:val="00574184"/>
    <w:rsid w:val="00574190"/>
    <w:rsid w:val="005741B2"/>
    <w:rsid w:val="0057422F"/>
    <w:rsid w:val="0057424D"/>
    <w:rsid w:val="00574272"/>
    <w:rsid w:val="005742FE"/>
    <w:rsid w:val="0057434E"/>
    <w:rsid w:val="0057437A"/>
    <w:rsid w:val="005743BA"/>
    <w:rsid w:val="005743D4"/>
    <w:rsid w:val="00574420"/>
    <w:rsid w:val="0057444D"/>
    <w:rsid w:val="00574469"/>
    <w:rsid w:val="005744F7"/>
    <w:rsid w:val="0057451A"/>
    <w:rsid w:val="00574522"/>
    <w:rsid w:val="00574578"/>
    <w:rsid w:val="00574623"/>
    <w:rsid w:val="0057463D"/>
    <w:rsid w:val="0057465A"/>
    <w:rsid w:val="005746AD"/>
    <w:rsid w:val="005746B7"/>
    <w:rsid w:val="005746BB"/>
    <w:rsid w:val="00574781"/>
    <w:rsid w:val="00574796"/>
    <w:rsid w:val="005747B4"/>
    <w:rsid w:val="005747DD"/>
    <w:rsid w:val="005747F2"/>
    <w:rsid w:val="0057481E"/>
    <w:rsid w:val="00574833"/>
    <w:rsid w:val="00574848"/>
    <w:rsid w:val="00574874"/>
    <w:rsid w:val="0057489B"/>
    <w:rsid w:val="00574903"/>
    <w:rsid w:val="00574913"/>
    <w:rsid w:val="00574952"/>
    <w:rsid w:val="00574961"/>
    <w:rsid w:val="0057496F"/>
    <w:rsid w:val="0057498A"/>
    <w:rsid w:val="0057499B"/>
    <w:rsid w:val="005749A1"/>
    <w:rsid w:val="005749B5"/>
    <w:rsid w:val="005749E7"/>
    <w:rsid w:val="005749F1"/>
    <w:rsid w:val="00574A29"/>
    <w:rsid w:val="00574B3A"/>
    <w:rsid w:val="00574B9D"/>
    <w:rsid w:val="00574BAB"/>
    <w:rsid w:val="00574BE5"/>
    <w:rsid w:val="00574BE6"/>
    <w:rsid w:val="00574C52"/>
    <w:rsid w:val="00574C83"/>
    <w:rsid w:val="00574CA5"/>
    <w:rsid w:val="00574CAD"/>
    <w:rsid w:val="00574CCC"/>
    <w:rsid w:val="00574CD0"/>
    <w:rsid w:val="00574CEF"/>
    <w:rsid w:val="00574D28"/>
    <w:rsid w:val="00574D2A"/>
    <w:rsid w:val="00574D36"/>
    <w:rsid w:val="00574D6D"/>
    <w:rsid w:val="00574D76"/>
    <w:rsid w:val="00574E1C"/>
    <w:rsid w:val="00574E20"/>
    <w:rsid w:val="00574E8D"/>
    <w:rsid w:val="00574EB3"/>
    <w:rsid w:val="00574ED2"/>
    <w:rsid w:val="00574F3D"/>
    <w:rsid w:val="0057502B"/>
    <w:rsid w:val="00575090"/>
    <w:rsid w:val="00575093"/>
    <w:rsid w:val="005750A9"/>
    <w:rsid w:val="00575100"/>
    <w:rsid w:val="00575104"/>
    <w:rsid w:val="00575115"/>
    <w:rsid w:val="0057511A"/>
    <w:rsid w:val="00575186"/>
    <w:rsid w:val="00575187"/>
    <w:rsid w:val="0057518F"/>
    <w:rsid w:val="00575190"/>
    <w:rsid w:val="0057519A"/>
    <w:rsid w:val="005751EE"/>
    <w:rsid w:val="00575229"/>
    <w:rsid w:val="00575266"/>
    <w:rsid w:val="005752E4"/>
    <w:rsid w:val="00575330"/>
    <w:rsid w:val="00575373"/>
    <w:rsid w:val="0057538A"/>
    <w:rsid w:val="005753A2"/>
    <w:rsid w:val="005753AC"/>
    <w:rsid w:val="005753B3"/>
    <w:rsid w:val="005753C6"/>
    <w:rsid w:val="00575403"/>
    <w:rsid w:val="0057540B"/>
    <w:rsid w:val="00575436"/>
    <w:rsid w:val="00575469"/>
    <w:rsid w:val="005754C3"/>
    <w:rsid w:val="005754E1"/>
    <w:rsid w:val="005754F1"/>
    <w:rsid w:val="00575555"/>
    <w:rsid w:val="005755CE"/>
    <w:rsid w:val="005755DC"/>
    <w:rsid w:val="0057560B"/>
    <w:rsid w:val="00575658"/>
    <w:rsid w:val="0057568B"/>
    <w:rsid w:val="005756A0"/>
    <w:rsid w:val="005756EE"/>
    <w:rsid w:val="005756F2"/>
    <w:rsid w:val="0057571D"/>
    <w:rsid w:val="0057583F"/>
    <w:rsid w:val="00575869"/>
    <w:rsid w:val="005758A0"/>
    <w:rsid w:val="005758ED"/>
    <w:rsid w:val="005758FF"/>
    <w:rsid w:val="0057591B"/>
    <w:rsid w:val="00575931"/>
    <w:rsid w:val="00575964"/>
    <w:rsid w:val="005759A5"/>
    <w:rsid w:val="005759BF"/>
    <w:rsid w:val="005759EF"/>
    <w:rsid w:val="005759FA"/>
    <w:rsid w:val="00575A91"/>
    <w:rsid w:val="00575A95"/>
    <w:rsid w:val="00575B06"/>
    <w:rsid w:val="00575B0C"/>
    <w:rsid w:val="00575B57"/>
    <w:rsid w:val="00575B6B"/>
    <w:rsid w:val="00575BF9"/>
    <w:rsid w:val="00575C1F"/>
    <w:rsid w:val="00575C33"/>
    <w:rsid w:val="00575C59"/>
    <w:rsid w:val="00575C5D"/>
    <w:rsid w:val="00575CDF"/>
    <w:rsid w:val="00575CE2"/>
    <w:rsid w:val="00575D61"/>
    <w:rsid w:val="00575D75"/>
    <w:rsid w:val="00575D7B"/>
    <w:rsid w:val="00575D81"/>
    <w:rsid w:val="00575DAC"/>
    <w:rsid w:val="00575E46"/>
    <w:rsid w:val="00575E49"/>
    <w:rsid w:val="00575E87"/>
    <w:rsid w:val="00575EB5"/>
    <w:rsid w:val="00575EC1"/>
    <w:rsid w:val="00575F35"/>
    <w:rsid w:val="00575F7D"/>
    <w:rsid w:val="00575FA1"/>
    <w:rsid w:val="00575FA6"/>
    <w:rsid w:val="00575FB0"/>
    <w:rsid w:val="00575FED"/>
    <w:rsid w:val="00576004"/>
    <w:rsid w:val="0057612E"/>
    <w:rsid w:val="0057613D"/>
    <w:rsid w:val="00576146"/>
    <w:rsid w:val="005761BF"/>
    <w:rsid w:val="00576205"/>
    <w:rsid w:val="00576232"/>
    <w:rsid w:val="0057623E"/>
    <w:rsid w:val="0057624D"/>
    <w:rsid w:val="005762FD"/>
    <w:rsid w:val="00576301"/>
    <w:rsid w:val="005763A4"/>
    <w:rsid w:val="005763AF"/>
    <w:rsid w:val="005763E8"/>
    <w:rsid w:val="00576417"/>
    <w:rsid w:val="0057642A"/>
    <w:rsid w:val="0057642F"/>
    <w:rsid w:val="00576488"/>
    <w:rsid w:val="005764A1"/>
    <w:rsid w:val="005764B7"/>
    <w:rsid w:val="0057655C"/>
    <w:rsid w:val="00576589"/>
    <w:rsid w:val="005765B1"/>
    <w:rsid w:val="00576658"/>
    <w:rsid w:val="00576676"/>
    <w:rsid w:val="00576681"/>
    <w:rsid w:val="0057668C"/>
    <w:rsid w:val="005766AE"/>
    <w:rsid w:val="00576702"/>
    <w:rsid w:val="00576719"/>
    <w:rsid w:val="00576739"/>
    <w:rsid w:val="00576745"/>
    <w:rsid w:val="00576759"/>
    <w:rsid w:val="00576771"/>
    <w:rsid w:val="005767A9"/>
    <w:rsid w:val="00576807"/>
    <w:rsid w:val="00576844"/>
    <w:rsid w:val="00576849"/>
    <w:rsid w:val="0057688A"/>
    <w:rsid w:val="005768A1"/>
    <w:rsid w:val="005768AC"/>
    <w:rsid w:val="005768F2"/>
    <w:rsid w:val="00576910"/>
    <w:rsid w:val="00576925"/>
    <w:rsid w:val="0057696A"/>
    <w:rsid w:val="005769B4"/>
    <w:rsid w:val="005769F1"/>
    <w:rsid w:val="00576A81"/>
    <w:rsid w:val="00576AC1"/>
    <w:rsid w:val="00576AC6"/>
    <w:rsid w:val="00576AE2"/>
    <w:rsid w:val="00576B09"/>
    <w:rsid w:val="00576B36"/>
    <w:rsid w:val="00576B47"/>
    <w:rsid w:val="00576B8C"/>
    <w:rsid w:val="00576B8F"/>
    <w:rsid w:val="00576B94"/>
    <w:rsid w:val="00576BB8"/>
    <w:rsid w:val="00576C01"/>
    <w:rsid w:val="00576C5B"/>
    <w:rsid w:val="00576C66"/>
    <w:rsid w:val="00576C7C"/>
    <w:rsid w:val="00576C91"/>
    <w:rsid w:val="00576CA2"/>
    <w:rsid w:val="00576CC9"/>
    <w:rsid w:val="00576D79"/>
    <w:rsid w:val="00576DB7"/>
    <w:rsid w:val="00576DF8"/>
    <w:rsid w:val="00576E19"/>
    <w:rsid w:val="00576E44"/>
    <w:rsid w:val="00576E60"/>
    <w:rsid w:val="00576E66"/>
    <w:rsid w:val="00576E92"/>
    <w:rsid w:val="00576EFF"/>
    <w:rsid w:val="00576F0D"/>
    <w:rsid w:val="00576F7E"/>
    <w:rsid w:val="00576FB2"/>
    <w:rsid w:val="00576FC2"/>
    <w:rsid w:val="00576FCF"/>
    <w:rsid w:val="00577031"/>
    <w:rsid w:val="00577075"/>
    <w:rsid w:val="00577085"/>
    <w:rsid w:val="0057708B"/>
    <w:rsid w:val="005770B5"/>
    <w:rsid w:val="005770BD"/>
    <w:rsid w:val="005770CF"/>
    <w:rsid w:val="005770FB"/>
    <w:rsid w:val="00577120"/>
    <w:rsid w:val="00577161"/>
    <w:rsid w:val="005771BF"/>
    <w:rsid w:val="005771FA"/>
    <w:rsid w:val="0057721E"/>
    <w:rsid w:val="00577256"/>
    <w:rsid w:val="0057725F"/>
    <w:rsid w:val="00577283"/>
    <w:rsid w:val="0057729F"/>
    <w:rsid w:val="005772FD"/>
    <w:rsid w:val="00577334"/>
    <w:rsid w:val="0057733E"/>
    <w:rsid w:val="00577395"/>
    <w:rsid w:val="0057739E"/>
    <w:rsid w:val="005773D5"/>
    <w:rsid w:val="0057740A"/>
    <w:rsid w:val="00577427"/>
    <w:rsid w:val="00577449"/>
    <w:rsid w:val="005774AC"/>
    <w:rsid w:val="005774B3"/>
    <w:rsid w:val="005774ED"/>
    <w:rsid w:val="00577503"/>
    <w:rsid w:val="005775A6"/>
    <w:rsid w:val="005775E8"/>
    <w:rsid w:val="00577639"/>
    <w:rsid w:val="00577646"/>
    <w:rsid w:val="00577672"/>
    <w:rsid w:val="00577677"/>
    <w:rsid w:val="0057769C"/>
    <w:rsid w:val="005776B5"/>
    <w:rsid w:val="005776BC"/>
    <w:rsid w:val="005776C6"/>
    <w:rsid w:val="00577789"/>
    <w:rsid w:val="00577807"/>
    <w:rsid w:val="00577810"/>
    <w:rsid w:val="0057782C"/>
    <w:rsid w:val="00577846"/>
    <w:rsid w:val="00577849"/>
    <w:rsid w:val="0057787C"/>
    <w:rsid w:val="0057792A"/>
    <w:rsid w:val="0057795B"/>
    <w:rsid w:val="005779D8"/>
    <w:rsid w:val="00577A43"/>
    <w:rsid w:val="00577A8B"/>
    <w:rsid w:val="00577AC2"/>
    <w:rsid w:val="00577B42"/>
    <w:rsid w:val="00577B9B"/>
    <w:rsid w:val="00577C10"/>
    <w:rsid w:val="00577C63"/>
    <w:rsid w:val="00577C72"/>
    <w:rsid w:val="00577C8A"/>
    <w:rsid w:val="00577CAC"/>
    <w:rsid w:val="00577CDA"/>
    <w:rsid w:val="00577CEE"/>
    <w:rsid w:val="00577D0C"/>
    <w:rsid w:val="00577D21"/>
    <w:rsid w:val="00577D40"/>
    <w:rsid w:val="00577D4C"/>
    <w:rsid w:val="00577DDF"/>
    <w:rsid w:val="00577DEA"/>
    <w:rsid w:val="00577E1A"/>
    <w:rsid w:val="00577E23"/>
    <w:rsid w:val="00577F0D"/>
    <w:rsid w:val="00577F20"/>
    <w:rsid w:val="00577F5D"/>
    <w:rsid w:val="00577FD1"/>
    <w:rsid w:val="00577FDE"/>
    <w:rsid w:val="00577FE8"/>
    <w:rsid w:val="0057AB9B"/>
    <w:rsid w:val="0057B9F6"/>
    <w:rsid w:val="0058003C"/>
    <w:rsid w:val="00580088"/>
    <w:rsid w:val="005800D1"/>
    <w:rsid w:val="00580109"/>
    <w:rsid w:val="00580115"/>
    <w:rsid w:val="00580135"/>
    <w:rsid w:val="0058017B"/>
    <w:rsid w:val="005801CB"/>
    <w:rsid w:val="005801D1"/>
    <w:rsid w:val="005801DC"/>
    <w:rsid w:val="005801E3"/>
    <w:rsid w:val="00580203"/>
    <w:rsid w:val="00580244"/>
    <w:rsid w:val="005802A9"/>
    <w:rsid w:val="005802C3"/>
    <w:rsid w:val="005802D5"/>
    <w:rsid w:val="00580302"/>
    <w:rsid w:val="005803C4"/>
    <w:rsid w:val="005803CE"/>
    <w:rsid w:val="005803D3"/>
    <w:rsid w:val="005803E7"/>
    <w:rsid w:val="005803FE"/>
    <w:rsid w:val="00580400"/>
    <w:rsid w:val="0058040A"/>
    <w:rsid w:val="0058041D"/>
    <w:rsid w:val="00580448"/>
    <w:rsid w:val="005804BF"/>
    <w:rsid w:val="00580522"/>
    <w:rsid w:val="0058052E"/>
    <w:rsid w:val="00580572"/>
    <w:rsid w:val="005805BC"/>
    <w:rsid w:val="005805C7"/>
    <w:rsid w:val="005805EC"/>
    <w:rsid w:val="005805F1"/>
    <w:rsid w:val="005805F6"/>
    <w:rsid w:val="005806BD"/>
    <w:rsid w:val="005806CE"/>
    <w:rsid w:val="00580710"/>
    <w:rsid w:val="00580724"/>
    <w:rsid w:val="00580726"/>
    <w:rsid w:val="0058074B"/>
    <w:rsid w:val="00580761"/>
    <w:rsid w:val="00580792"/>
    <w:rsid w:val="0058079C"/>
    <w:rsid w:val="005807B8"/>
    <w:rsid w:val="00580819"/>
    <w:rsid w:val="00580877"/>
    <w:rsid w:val="0058088D"/>
    <w:rsid w:val="005808B2"/>
    <w:rsid w:val="00580906"/>
    <w:rsid w:val="00580910"/>
    <w:rsid w:val="00580914"/>
    <w:rsid w:val="00580920"/>
    <w:rsid w:val="005809D5"/>
    <w:rsid w:val="00580A17"/>
    <w:rsid w:val="00580A2D"/>
    <w:rsid w:val="00580A36"/>
    <w:rsid w:val="00580A7F"/>
    <w:rsid w:val="00580AAF"/>
    <w:rsid w:val="00580AE5"/>
    <w:rsid w:val="00580B1C"/>
    <w:rsid w:val="00580B81"/>
    <w:rsid w:val="00580B90"/>
    <w:rsid w:val="00580BC0"/>
    <w:rsid w:val="00580BE0"/>
    <w:rsid w:val="00580C2C"/>
    <w:rsid w:val="00580C2E"/>
    <w:rsid w:val="00580CAD"/>
    <w:rsid w:val="00580CB4"/>
    <w:rsid w:val="00580CEE"/>
    <w:rsid w:val="00580CF6"/>
    <w:rsid w:val="00580D03"/>
    <w:rsid w:val="00580D05"/>
    <w:rsid w:val="00580D33"/>
    <w:rsid w:val="00580D37"/>
    <w:rsid w:val="00580D69"/>
    <w:rsid w:val="00580D95"/>
    <w:rsid w:val="00580E55"/>
    <w:rsid w:val="00580E76"/>
    <w:rsid w:val="00580E85"/>
    <w:rsid w:val="00580EF9"/>
    <w:rsid w:val="00580F26"/>
    <w:rsid w:val="00580F3D"/>
    <w:rsid w:val="00580FB7"/>
    <w:rsid w:val="00581008"/>
    <w:rsid w:val="0058100D"/>
    <w:rsid w:val="00581012"/>
    <w:rsid w:val="00581096"/>
    <w:rsid w:val="005810A0"/>
    <w:rsid w:val="005810D7"/>
    <w:rsid w:val="0058111F"/>
    <w:rsid w:val="0058114D"/>
    <w:rsid w:val="00581150"/>
    <w:rsid w:val="005811CE"/>
    <w:rsid w:val="00581205"/>
    <w:rsid w:val="00581243"/>
    <w:rsid w:val="00581262"/>
    <w:rsid w:val="00581279"/>
    <w:rsid w:val="005812A3"/>
    <w:rsid w:val="005812C5"/>
    <w:rsid w:val="005812CF"/>
    <w:rsid w:val="005812E9"/>
    <w:rsid w:val="0058130F"/>
    <w:rsid w:val="00581333"/>
    <w:rsid w:val="0058133D"/>
    <w:rsid w:val="0058135D"/>
    <w:rsid w:val="0058138A"/>
    <w:rsid w:val="0058143B"/>
    <w:rsid w:val="00581451"/>
    <w:rsid w:val="0058145D"/>
    <w:rsid w:val="00581478"/>
    <w:rsid w:val="00581486"/>
    <w:rsid w:val="005814C3"/>
    <w:rsid w:val="005814C9"/>
    <w:rsid w:val="005814D3"/>
    <w:rsid w:val="0058151B"/>
    <w:rsid w:val="00581520"/>
    <w:rsid w:val="00581524"/>
    <w:rsid w:val="0058152D"/>
    <w:rsid w:val="00581551"/>
    <w:rsid w:val="0058156F"/>
    <w:rsid w:val="00581579"/>
    <w:rsid w:val="00581593"/>
    <w:rsid w:val="005815AD"/>
    <w:rsid w:val="005815D7"/>
    <w:rsid w:val="00581614"/>
    <w:rsid w:val="00581672"/>
    <w:rsid w:val="00581674"/>
    <w:rsid w:val="00581678"/>
    <w:rsid w:val="005816C3"/>
    <w:rsid w:val="005816F2"/>
    <w:rsid w:val="005816F5"/>
    <w:rsid w:val="00581706"/>
    <w:rsid w:val="0058170A"/>
    <w:rsid w:val="00581741"/>
    <w:rsid w:val="0058183B"/>
    <w:rsid w:val="00581884"/>
    <w:rsid w:val="00581893"/>
    <w:rsid w:val="005818A1"/>
    <w:rsid w:val="005818F5"/>
    <w:rsid w:val="0058191B"/>
    <w:rsid w:val="00581933"/>
    <w:rsid w:val="00581961"/>
    <w:rsid w:val="00581978"/>
    <w:rsid w:val="00581990"/>
    <w:rsid w:val="005819AB"/>
    <w:rsid w:val="005819CA"/>
    <w:rsid w:val="00581AC2"/>
    <w:rsid w:val="00581ADE"/>
    <w:rsid w:val="00581AF0"/>
    <w:rsid w:val="00581B2D"/>
    <w:rsid w:val="00581B47"/>
    <w:rsid w:val="00581B73"/>
    <w:rsid w:val="00581B8B"/>
    <w:rsid w:val="00581B94"/>
    <w:rsid w:val="00581BA9"/>
    <w:rsid w:val="00581BAF"/>
    <w:rsid w:val="00581BB2"/>
    <w:rsid w:val="00581BBD"/>
    <w:rsid w:val="00581BD4"/>
    <w:rsid w:val="00581BE7"/>
    <w:rsid w:val="00581BEE"/>
    <w:rsid w:val="00581C04"/>
    <w:rsid w:val="00581C0A"/>
    <w:rsid w:val="00581C19"/>
    <w:rsid w:val="00581C3A"/>
    <w:rsid w:val="00581C3B"/>
    <w:rsid w:val="00581C52"/>
    <w:rsid w:val="00581C85"/>
    <w:rsid w:val="00581C8E"/>
    <w:rsid w:val="00581CA3"/>
    <w:rsid w:val="00581D16"/>
    <w:rsid w:val="00581D63"/>
    <w:rsid w:val="00581DAE"/>
    <w:rsid w:val="00581DB1"/>
    <w:rsid w:val="00581DDA"/>
    <w:rsid w:val="00581E04"/>
    <w:rsid w:val="00581E14"/>
    <w:rsid w:val="00581E30"/>
    <w:rsid w:val="00581EA0"/>
    <w:rsid w:val="00581EAF"/>
    <w:rsid w:val="00581EFB"/>
    <w:rsid w:val="00581F33"/>
    <w:rsid w:val="00581F43"/>
    <w:rsid w:val="00581FA9"/>
    <w:rsid w:val="00581FD0"/>
    <w:rsid w:val="00581FEA"/>
    <w:rsid w:val="00582087"/>
    <w:rsid w:val="005820E8"/>
    <w:rsid w:val="005820EF"/>
    <w:rsid w:val="00582130"/>
    <w:rsid w:val="00582134"/>
    <w:rsid w:val="0058215F"/>
    <w:rsid w:val="00582165"/>
    <w:rsid w:val="005821A7"/>
    <w:rsid w:val="005821EA"/>
    <w:rsid w:val="00582211"/>
    <w:rsid w:val="00582215"/>
    <w:rsid w:val="00582236"/>
    <w:rsid w:val="005822A1"/>
    <w:rsid w:val="005822E5"/>
    <w:rsid w:val="005822F2"/>
    <w:rsid w:val="00582300"/>
    <w:rsid w:val="00582333"/>
    <w:rsid w:val="00582335"/>
    <w:rsid w:val="0058236E"/>
    <w:rsid w:val="0058243B"/>
    <w:rsid w:val="0058245F"/>
    <w:rsid w:val="00582524"/>
    <w:rsid w:val="0058254C"/>
    <w:rsid w:val="00582578"/>
    <w:rsid w:val="005825B0"/>
    <w:rsid w:val="005825B3"/>
    <w:rsid w:val="005825D7"/>
    <w:rsid w:val="005825DE"/>
    <w:rsid w:val="005825EA"/>
    <w:rsid w:val="005825F8"/>
    <w:rsid w:val="005826AB"/>
    <w:rsid w:val="005826ED"/>
    <w:rsid w:val="005826F1"/>
    <w:rsid w:val="005826FC"/>
    <w:rsid w:val="0058274D"/>
    <w:rsid w:val="00582781"/>
    <w:rsid w:val="005827E5"/>
    <w:rsid w:val="00582877"/>
    <w:rsid w:val="0058289A"/>
    <w:rsid w:val="005828A8"/>
    <w:rsid w:val="005828C9"/>
    <w:rsid w:val="005828CB"/>
    <w:rsid w:val="00582945"/>
    <w:rsid w:val="00582959"/>
    <w:rsid w:val="005829A5"/>
    <w:rsid w:val="005829FF"/>
    <w:rsid w:val="00582A15"/>
    <w:rsid w:val="00582A23"/>
    <w:rsid w:val="00582A3B"/>
    <w:rsid w:val="00582A40"/>
    <w:rsid w:val="00582A53"/>
    <w:rsid w:val="00582AD9"/>
    <w:rsid w:val="00582B45"/>
    <w:rsid w:val="00582B4D"/>
    <w:rsid w:val="00582B63"/>
    <w:rsid w:val="00582B76"/>
    <w:rsid w:val="00582B7D"/>
    <w:rsid w:val="00582B87"/>
    <w:rsid w:val="00582BC3"/>
    <w:rsid w:val="00582BE6"/>
    <w:rsid w:val="00582CA6"/>
    <w:rsid w:val="00582CDC"/>
    <w:rsid w:val="00582CED"/>
    <w:rsid w:val="00582D1B"/>
    <w:rsid w:val="00582D38"/>
    <w:rsid w:val="00582E17"/>
    <w:rsid w:val="00582E1A"/>
    <w:rsid w:val="00582E2E"/>
    <w:rsid w:val="00582E6B"/>
    <w:rsid w:val="00582ED0"/>
    <w:rsid w:val="00582EE5"/>
    <w:rsid w:val="00582EFD"/>
    <w:rsid w:val="00582F27"/>
    <w:rsid w:val="00582F6A"/>
    <w:rsid w:val="00582F75"/>
    <w:rsid w:val="005830B4"/>
    <w:rsid w:val="005830EE"/>
    <w:rsid w:val="00583102"/>
    <w:rsid w:val="00583107"/>
    <w:rsid w:val="0058315A"/>
    <w:rsid w:val="00583179"/>
    <w:rsid w:val="005831AD"/>
    <w:rsid w:val="005831D0"/>
    <w:rsid w:val="00583205"/>
    <w:rsid w:val="00583222"/>
    <w:rsid w:val="00583259"/>
    <w:rsid w:val="005832A5"/>
    <w:rsid w:val="005832D3"/>
    <w:rsid w:val="005832E7"/>
    <w:rsid w:val="005832F0"/>
    <w:rsid w:val="0058334A"/>
    <w:rsid w:val="005833D3"/>
    <w:rsid w:val="005833DF"/>
    <w:rsid w:val="00583484"/>
    <w:rsid w:val="0058349E"/>
    <w:rsid w:val="005834A6"/>
    <w:rsid w:val="0058353F"/>
    <w:rsid w:val="00583562"/>
    <w:rsid w:val="005835D9"/>
    <w:rsid w:val="00583654"/>
    <w:rsid w:val="00583673"/>
    <w:rsid w:val="005836AF"/>
    <w:rsid w:val="005836B7"/>
    <w:rsid w:val="005836E4"/>
    <w:rsid w:val="005837A6"/>
    <w:rsid w:val="005837AC"/>
    <w:rsid w:val="005837CF"/>
    <w:rsid w:val="005837F2"/>
    <w:rsid w:val="00583808"/>
    <w:rsid w:val="005838A0"/>
    <w:rsid w:val="00583938"/>
    <w:rsid w:val="0058395F"/>
    <w:rsid w:val="00583961"/>
    <w:rsid w:val="00583974"/>
    <w:rsid w:val="005839AE"/>
    <w:rsid w:val="005839D5"/>
    <w:rsid w:val="00583A03"/>
    <w:rsid w:val="00583A0B"/>
    <w:rsid w:val="00583A39"/>
    <w:rsid w:val="00583A96"/>
    <w:rsid w:val="00583B01"/>
    <w:rsid w:val="00583B22"/>
    <w:rsid w:val="00583B3E"/>
    <w:rsid w:val="00583BAB"/>
    <w:rsid w:val="00583BDA"/>
    <w:rsid w:val="00583C2D"/>
    <w:rsid w:val="00583C87"/>
    <w:rsid w:val="00583CBF"/>
    <w:rsid w:val="00583CFB"/>
    <w:rsid w:val="00583D36"/>
    <w:rsid w:val="00583D3A"/>
    <w:rsid w:val="00583D94"/>
    <w:rsid w:val="00583D95"/>
    <w:rsid w:val="00583E31"/>
    <w:rsid w:val="00583E44"/>
    <w:rsid w:val="00583E63"/>
    <w:rsid w:val="00583EA3"/>
    <w:rsid w:val="00583EB5"/>
    <w:rsid w:val="00583F2E"/>
    <w:rsid w:val="00583F7E"/>
    <w:rsid w:val="00583F8B"/>
    <w:rsid w:val="00583FCE"/>
    <w:rsid w:val="0058401B"/>
    <w:rsid w:val="0058404C"/>
    <w:rsid w:val="00584058"/>
    <w:rsid w:val="0058406B"/>
    <w:rsid w:val="00584093"/>
    <w:rsid w:val="0058411C"/>
    <w:rsid w:val="00584155"/>
    <w:rsid w:val="00584174"/>
    <w:rsid w:val="00584184"/>
    <w:rsid w:val="005841A6"/>
    <w:rsid w:val="005841E2"/>
    <w:rsid w:val="00584292"/>
    <w:rsid w:val="00584302"/>
    <w:rsid w:val="00584373"/>
    <w:rsid w:val="005843C5"/>
    <w:rsid w:val="00584413"/>
    <w:rsid w:val="00584414"/>
    <w:rsid w:val="00584428"/>
    <w:rsid w:val="00584429"/>
    <w:rsid w:val="0058443A"/>
    <w:rsid w:val="00584464"/>
    <w:rsid w:val="0058447C"/>
    <w:rsid w:val="00584485"/>
    <w:rsid w:val="005844B6"/>
    <w:rsid w:val="005844C0"/>
    <w:rsid w:val="00584503"/>
    <w:rsid w:val="0058451F"/>
    <w:rsid w:val="005845B2"/>
    <w:rsid w:val="00584602"/>
    <w:rsid w:val="00584627"/>
    <w:rsid w:val="0058466E"/>
    <w:rsid w:val="00584686"/>
    <w:rsid w:val="005846C5"/>
    <w:rsid w:val="005846D2"/>
    <w:rsid w:val="005846D4"/>
    <w:rsid w:val="005846D9"/>
    <w:rsid w:val="005847A9"/>
    <w:rsid w:val="005847B1"/>
    <w:rsid w:val="005847BF"/>
    <w:rsid w:val="005847E6"/>
    <w:rsid w:val="005847F1"/>
    <w:rsid w:val="0058481C"/>
    <w:rsid w:val="0058482E"/>
    <w:rsid w:val="0058483C"/>
    <w:rsid w:val="005849A6"/>
    <w:rsid w:val="005849D2"/>
    <w:rsid w:val="005849DD"/>
    <w:rsid w:val="005849E5"/>
    <w:rsid w:val="00584A11"/>
    <w:rsid w:val="00584A2D"/>
    <w:rsid w:val="00584A42"/>
    <w:rsid w:val="00584AB1"/>
    <w:rsid w:val="00584AEC"/>
    <w:rsid w:val="00584AF7"/>
    <w:rsid w:val="00584BCF"/>
    <w:rsid w:val="00584BD9"/>
    <w:rsid w:val="00584C27"/>
    <w:rsid w:val="00584C38"/>
    <w:rsid w:val="00584C82"/>
    <w:rsid w:val="00584D08"/>
    <w:rsid w:val="00584DD3"/>
    <w:rsid w:val="00584E35"/>
    <w:rsid w:val="00584E44"/>
    <w:rsid w:val="00584EBB"/>
    <w:rsid w:val="00584ED8"/>
    <w:rsid w:val="00584EF2"/>
    <w:rsid w:val="00584F20"/>
    <w:rsid w:val="00584F27"/>
    <w:rsid w:val="00584F41"/>
    <w:rsid w:val="00584F8C"/>
    <w:rsid w:val="00584F8E"/>
    <w:rsid w:val="00584FE0"/>
    <w:rsid w:val="00585004"/>
    <w:rsid w:val="0058502E"/>
    <w:rsid w:val="00585039"/>
    <w:rsid w:val="0058509A"/>
    <w:rsid w:val="0058509E"/>
    <w:rsid w:val="005850E2"/>
    <w:rsid w:val="00585145"/>
    <w:rsid w:val="00585158"/>
    <w:rsid w:val="005851FB"/>
    <w:rsid w:val="0058521E"/>
    <w:rsid w:val="0058522F"/>
    <w:rsid w:val="0058525C"/>
    <w:rsid w:val="00585298"/>
    <w:rsid w:val="005852B6"/>
    <w:rsid w:val="005852BB"/>
    <w:rsid w:val="005852CB"/>
    <w:rsid w:val="005852DE"/>
    <w:rsid w:val="0058534C"/>
    <w:rsid w:val="005853C0"/>
    <w:rsid w:val="005854E4"/>
    <w:rsid w:val="00585527"/>
    <w:rsid w:val="005855A2"/>
    <w:rsid w:val="005855AC"/>
    <w:rsid w:val="005855B2"/>
    <w:rsid w:val="005855C7"/>
    <w:rsid w:val="005855E9"/>
    <w:rsid w:val="0058560F"/>
    <w:rsid w:val="00585610"/>
    <w:rsid w:val="0058563E"/>
    <w:rsid w:val="00585640"/>
    <w:rsid w:val="00585641"/>
    <w:rsid w:val="0058564F"/>
    <w:rsid w:val="00585664"/>
    <w:rsid w:val="00585691"/>
    <w:rsid w:val="005856CD"/>
    <w:rsid w:val="005856DC"/>
    <w:rsid w:val="005856E8"/>
    <w:rsid w:val="005856EC"/>
    <w:rsid w:val="005856F1"/>
    <w:rsid w:val="00585719"/>
    <w:rsid w:val="0058571D"/>
    <w:rsid w:val="0058573C"/>
    <w:rsid w:val="00585755"/>
    <w:rsid w:val="0058577D"/>
    <w:rsid w:val="00585852"/>
    <w:rsid w:val="00585858"/>
    <w:rsid w:val="00585866"/>
    <w:rsid w:val="00585997"/>
    <w:rsid w:val="00585A01"/>
    <w:rsid w:val="00585A21"/>
    <w:rsid w:val="00585A26"/>
    <w:rsid w:val="00585A4B"/>
    <w:rsid w:val="00585AB1"/>
    <w:rsid w:val="00585B04"/>
    <w:rsid w:val="00585B3E"/>
    <w:rsid w:val="00585B9C"/>
    <w:rsid w:val="00585BAA"/>
    <w:rsid w:val="00585C39"/>
    <w:rsid w:val="00585C4E"/>
    <w:rsid w:val="00585C66"/>
    <w:rsid w:val="00585CAE"/>
    <w:rsid w:val="00585CB7"/>
    <w:rsid w:val="00585CC4"/>
    <w:rsid w:val="00585DAE"/>
    <w:rsid w:val="00585DC8"/>
    <w:rsid w:val="00585EA3"/>
    <w:rsid w:val="00585EAE"/>
    <w:rsid w:val="00585EB2"/>
    <w:rsid w:val="00585EBE"/>
    <w:rsid w:val="00585ED6"/>
    <w:rsid w:val="00585ED8"/>
    <w:rsid w:val="00585F0F"/>
    <w:rsid w:val="00585F6B"/>
    <w:rsid w:val="00586028"/>
    <w:rsid w:val="0058605F"/>
    <w:rsid w:val="0058606E"/>
    <w:rsid w:val="005860F8"/>
    <w:rsid w:val="00586127"/>
    <w:rsid w:val="0058614D"/>
    <w:rsid w:val="0058617F"/>
    <w:rsid w:val="005861FA"/>
    <w:rsid w:val="00586223"/>
    <w:rsid w:val="00586224"/>
    <w:rsid w:val="00586246"/>
    <w:rsid w:val="0058627B"/>
    <w:rsid w:val="005862C9"/>
    <w:rsid w:val="005862CF"/>
    <w:rsid w:val="005862D4"/>
    <w:rsid w:val="0058636B"/>
    <w:rsid w:val="00586387"/>
    <w:rsid w:val="005863A5"/>
    <w:rsid w:val="005863CC"/>
    <w:rsid w:val="005863DC"/>
    <w:rsid w:val="005863F9"/>
    <w:rsid w:val="0058641E"/>
    <w:rsid w:val="0058641F"/>
    <w:rsid w:val="00586427"/>
    <w:rsid w:val="00586443"/>
    <w:rsid w:val="00586489"/>
    <w:rsid w:val="00586528"/>
    <w:rsid w:val="0058655F"/>
    <w:rsid w:val="00586575"/>
    <w:rsid w:val="005865BE"/>
    <w:rsid w:val="005865FA"/>
    <w:rsid w:val="005866A0"/>
    <w:rsid w:val="00586731"/>
    <w:rsid w:val="0058676A"/>
    <w:rsid w:val="005867AB"/>
    <w:rsid w:val="005867CA"/>
    <w:rsid w:val="005868A4"/>
    <w:rsid w:val="00586936"/>
    <w:rsid w:val="00586946"/>
    <w:rsid w:val="0058695C"/>
    <w:rsid w:val="005869B7"/>
    <w:rsid w:val="005869F8"/>
    <w:rsid w:val="00586A12"/>
    <w:rsid w:val="00586A59"/>
    <w:rsid w:val="00586AAD"/>
    <w:rsid w:val="00586AE8"/>
    <w:rsid w:val="00586AF8"/>
    <w:rsid w:val="00586AF9"/>
    <w:rsid w:val="00586B55"/>
    <w:rsid w:val="00586B6B"/>
    <w:rsid w:val="00586B94"/>
    <w:rsid w:val="00586BF3"/>
    <w:rsid w:val="00586C1E"/>
    <w:rsid w:val="00586CE2"/>
    <w:rsid w:val="00586D0C"/>
    <w:rsid w:val="00586D63"/>
    <w:rsid w:val="00586D84"/>
    <w:rsid w:val="00586DC7"/>
    <w:rsid w:val="00586E01"/>
    <w:rsid w:val="00586E38"/>
    <w:rsid w:val="00586E9D"/>
    <w:rsid w:val="00586EC7"/>
    <w:rsid w:val="00586F05"/>
    <w:rsid w:val="00587045"/>
    <w:rsid w:val="0058705B"/>
    <w:rsid w:val="0058706B"/>
    <w:rsid w:val="00587071"/>
    <w:rsid w:val="005870F8"/>
    <w:rsid w:val="005870FE"/>
    <w:rsid w:val="0058710D"/>
    <w:rsid w:val="00587184"/>
    <w:rsid w:val="0058718E"/>
    <w:rsid w:val="005871A1"/>
    <w:rsid w:val="005871E9"/>
    <w:rsid w:val="005871EB"/>
    <w:rsid w:val="005871F9"/>
    <w:rsid w:val="00587214"/>
    <w:rsid w:val="0058721E"/>
    <w:rsid w:val="00587240"/>
    <w:rsid w:val="0058728A"/>
    <w:rsid w:val="005872C4"/>
    <w:rsid w:val="00587356"/>
    <w:rsid w:val="00587365"/>
    <w:rsid w:val="00587386"/>
    <w:rsid w:val="005873AE"/>
    <w:rsid w:val="005873D9"/>
    <w:rsid w:val="0058743C"/>
    <w:rsid w:val="005874DB"/>
    <w:rsid w:val="005874EF"/>
    <w:rsid w:val="0058751A"/>
    <w:rsid w:val="005875FB"/>
    <w:rsid w:val="005876B1"/>
    <w:rsid w:val="0058776E"/>
    <w:rsid w:val="005877D3"/>
    <w:rsid w:val="00587833"/>
    <w:rsid w:val="00587838"/>
    <w:rsid w:val="00587849"/>
    <w:rsid w:val="0058785C"/>
    <w:rsid w:val="0058789A"/>
    <w:rsid w:val="005878B7"/>
    <w:rsid w:val="00587923"/>
    <w:rsid w:val="00587935"/>
    <w:rsid w:val="0058796D"/>
    <w:rsid w:val="00587998"/>
    <w:rsid w:val="005879A0"/>
    <w:rsid w:val="005879FF"/>
    <w:rsid w:val="00587A48"/>
    <w:rsid w:val="00587AD8"/>
    <w:rsid w:val="00587C0B"/>
    <w:rsid w:val="00587C20"/>
    <w:rsid w:val="00587C47"/>
    <w:rsid w:val="00587C72"/>
    <w:rsid w:val="00587C9C"/>
    <w:rsid w:val="00587D13"/>
    <w:rsid w:val="00587D27"/>
    <w:rsid w:val="00587D95"/>
    <w:rsid w:val="00587DAF"/>
    <w:rsid w:val="00587DC2"/>
    <w:rsid w:val="00587DCD"/>
    <w:rsid w:val="00587DEA"/>
    <w:rsid w:val="00587E1E"/>
    <w:rsid w:val="00587E7E"/>
    <w:rsid w:val="00587EA4"/>
    <w:rsid w:val="00587EA6"/>
    <w:rsid w:val="00587EA7"/>
    <w:rsid w:val="00587ED1"/>
    <w:rsid w:val="00587F09"/>
    <w:rsid w:val="00587FF9"/>
    <w:rsid w:val="0059009A"/>
    <w:rsid w:val="005900BB"/>
    <w:rsid w:val="005900E9"/>
    <w:rsid w:val="0059016D"/>
    <w:rsid w:val="00590171"/>
    <w:rsid w:val="0059017B"/>
    <w:rsid w:val="005901A5"/>
    <w:rsid w:val="0059024D"/>
    <w:rsid w:val="00590285"/>
    <w:rsid w:val="005902BD"/>
    <w:rsid w:val="005902D6"/>
    <w:rsid w:val="005902FD"/>
    <w:rsid w:val="005903A9"/>
    <w:rsid w:val="00590447"/>
    <w:rsid w:val="0059045A"/>
    <w:rsid w:val="0059048D"/>
    <w:rsid w:val="005904C2"/>
    <w:rsid w:val="0059054E"/>
    <w:rsid w:val="0059058C"/>
    <w:rsid w:val="005905A6"/>
    <w:rsid w:val="005905C1"/>
    <w:rsid w:val="005905C8"/>
    <w:rsid w:val="005905CE"/>
    <w:rsid w:val="0059062C"/>
    <w:rsid w:val="0059067B"/>
    <w:rsid w:val="005906B3"/>
    <w:rsid w:val="005906ED"/>
    <w:rsid w:val="00590762"/>
    <w:rsid w:val="005907A7"/>
    <w:rsid w:val="005907A8"/>
    <w:rsid w:val="005907AD"/>
    <w:rsid w:val="005907AE"/>
    <w:rsid w:val="005907B5"/>
    <w:rsid w:val="005907CB"/>
    <w:rsid w:val="00590807"/>
    <w:rsid w:val="00590826"/>
    <w:rsid w:val="00590828"/>
    <w:rsid w:val="0059082B"/>
    <w:rsid w:val="00590841"/>
    <w:rsid w:val="00590873"/>
    <w:rsid w:val="0059087D"/>
    <w:rsid w:val="0059087F"/>
    <w:rsid w:val="005908B6"/>
    <w:rsid w:val="005908CC"/>
    <w:rsid w:val="005908EE"/>
    <w:rsid w:val="005908F4"/>
    <w:rsid w:val="005908F6"/>
    <w:rsid w:val="00590913"/>
    <w:rsid w:val="00590923"/>
    <w:rsid w:val="00590941"/>
    <w:rsid w:val="00590944"/>
    <w:rsid w:val="00590963"/>
    <w:rsid w:val="005909AC"/>
    <w:rsid w:val="00590AE7"/>
    <w:rsid w:val="00590B2D"/>
    <w:rsid w:val="00590B44"/>
    <w:rsid w:val="00590B4C"/>
    <w:rsid w:val="00590B83"/>
    <w:rsid w:val="00590C18"/>
    <w:rsid w:val="00590C2E"/>
    <w:rsid w:val="00590C3E"/>
    <w:rsid w:val="00590C4A"/>
    <w:rsid w:val="00590C6D"/>
    <w:rsid w:val="00590C7B"/>
    <w:rsid w:val="00590CA7"/>
    <w:rsid w:val="00590CC3"/>
    <w:rsid w:val="00590CDD"/>
    <w:rsid w:val="00590D0C"/>
    <w:rsid w:val="00590D31"/>
    <w:rsid w:val="00590D33"/>
    <w:rsid w:val="00590E27"/>
    <w:rsid w:val="00590E54"/>
    <w:rsid w:val="00590E66"/>
    <w:rsid w:val="00590E9E"/>
    <w:rsid w:val="00590EC2"/>
    <w:rsid w:val="00590F02"/>
    <w:rsid w:val="00590F26"/>
    <w:rsid w:val="00590F37"/>
    <w:rsid w:val="00590F50"/>
    <w:rsid w:val="00590F64"/>
    <w:rsid w:val="00590FF3"/>
    <w:rsid w:val="0059103F"/>
    <w:rsid w:val="00591083"/>
    <w:rsid w:val="005910AD"/>
    <w:rsid w:val="005910D1"/>
    <w:rsid w:val="00591118"/>
    <w:rsid w:val="005911A3"/>
    <w:rsid w:val="005911FC"/>
    <w:rsid w:val="0059121C"/>
    <w:rsid w:val="0059121D"/>
    <w:rsid w:val="0059122A"/>
    <w:rsid w:val="00591235"/>
    <w:rsid w:val="00591272"/>
    <w:rsid w:val="005912FC"/>
    <w:rsid w:val="00591338"/>
    <w:rsid w:val="0059134D"/>
    <w:rsid w:val="00591372"/>
    <w:rsid w:val="005913B9"/>
    <w:rsid w:val="0059141B"/>
    <w:rsid w:val="0059141E"/>
    <w:rsid w:val="00591442"/>
    <w:rsid w:val="00591486"/>
    <w:rsid w:val="0059149D"/>
    <w:rsid w:val="005914B0"/>
    <w:rsid w:val="005914D4"/>
    <w:rsid w:val="005914E0"/>
    <w:rsid w:val="005914E4"/>
    <w:rsid w:val="00591545"/>
    <w:rsid w:val="00591563"/>
    <w:rsid w:val="0059156D"/>
    <w:rsid w:val="005915B3"/>
    <w:rsid w:val="005915BE"/>
    <w:rsid w:val="0059162C"/>
    <w:rsid w:val="00591661"/>
    <w:rsid w:val="00591662"/>
    <w:rsid w:val="00591668"/>
    <w:rsid w:val="0059166B"/>
    <w:rsid w:val="00591724"/>
    <w:rsid w:val="0059176D"/>
    <w:rsid w:val="00591778"/>
    <w:rsid w:val="00591797"/>
    <w:rsid w:val="005917E6"/>
    <w:rsid w:val="0059183B"/>
    <w:rsid w:val="00591856"/>
    <w:rsid w:val="0059186F"/>
    <w:rsid w:val="005918A2"/>
    <w:rsid w:val="005918BE"/>
    <w:rsid w:val="005918E1"/>
    <w:rsid w:val="00591908"/>
    <w:rsid w:val="0059191C"/>
    <w:rsid w:val="005919C2"/>
    <w:rsid w:val="00591AD8"/>
    <w:rsid w:val="00591AF7"/>
    <w:rsid w:val="00591B22"/>
    <w:rsid w:val="00591B38"/>
    <w:rsid w:val="00591B4C"/>
    <w:rsid w:val="00591B57"/>
    <w:rsid w:val="00591BAA"/>
    <w:rsid w:val="00591BB5"/>
    <w:rsid w:val="00591BB6"/>
    <w:rsid w:val="00591C0D"/>
    <w:rsid w:val="00591C3D"/>
    <w:rsid w:val="00591CB6"/>
    <w:rsid w:val="00591CB8"/>
    <w:rsid w:val="00591D11"/>
    <w:rsid w:val="00591D71"/>
    <w:rsid w:val="00591D79"/>
    <w:rsid w:val="00591DA6"/>
    <w:rsid w:val="00591DE6"/>
    <w:rsid w:val="00591E06"/>
    <w:rsid w:val="00591E3D"/>
    <w:rsid w:val="00591E94"/>
    <w:rsid w:val="00591F1F"/>
    <w:rsid w:val="00592043"/>
    <w:rsid w:val="005920E0"/>
    <w:rsid w:val="00592121"/>
    <w:rsid w:val="0059213B"/>
    <w:rsid w:val="00592226"/>
    <w:rsid w:val="00592259"/>
    <w:rsid w:val="005922CD"/>
    <w:rsid w:val="0059231D"/>
    <w:rsid w:val="00592320"/>
    <w:rsid w:val="0059233D"/>
    <w:rsid w:val="0059235A"/>
    <w:rsid w:val="0059235E"/>
    <w:rsid w:val="00592368"/>
    <w:rsid w:val="0059238A"/>
    <w:rsid w:val="005923AF"/>
    <w:rsid w:val="005923E4"/>
    <w:rsid w:val="005923F3"/>
    <w:rsid w:val="005923FA"/>
    <w:rsid w:val="00592406"/>
    <w:rsid w:val="00592421"/>
    <w:rsid w:val="00592452"/>
    <w:rsid w:val="0059246A"/>
    <w:rsid w:val="00592476"/>
    <w:rsid w:val="005924B9"/>
    <w:rsid w:val="005924F5"/>
    <w:rsid w:val="00592539"/>
    <w:rsid w:val="005925FC"/>
    <w:rsid w:val="00592620"/>
    <w:rsid w:val="0059264B"/>
    <w:rsid w:val="005926AF"/>
    <w:rsid w:val="005926CD"/>
    <w:rsid w:val="0059271D"/>
    <w:rsid w:val="0059272A"/>
    <w:rsid w:val="0059272D"/>
    <w:rsid w:val="0059274C"/>
    <w:rsid w:val="0059277A"/>
    <w:rsid w:val="005927B6"/>
    <w:rsid w:val="005927EE"/>
    <w:rsid w:val="0059284E"/>
    <w:rsid w:val="00592893"/>
    <w:rsid w:val="005928AD"/>
    <w:rsid w:val="005928C6"/>
    <w:rsid w:val="00592903"/>
    <w:rsid w:val="00592921"/>
    <w:rsid w:val="005929A0"/>
    <w:rsid w:val="005929AE"/>
    <w:rsid w:val="00592A6F"/>
    <w:rsid w:val="00592ADA"/>
    <w:rsid w:val="00592ADC"/>
    <w:rsid w:val="00592B2A"/>
    <w:rsid w:val="00592B34"/>
    <w:rsid w:val="00592B36"/>
    <w:rsid w:val="00592B43"/>
    <w:rsid w:val="00592B57"/>
    <w:rsid w:val="00592BAC"/>
    <w:rsid w:val="00592C19"/>
    <w:rsid w:val="00592C57"/>
    <w:rsid w:val="00592C5C"/>
    <w:rsid w:val="00592D02"/>
    <w:rsid w:val="00592D25"/>
    <w:rsid w:val="00592DC8"/>
    <w:rsid w:val="00592DD4"/>
    <w:rsid w:val="00592DF8"/>
    <w:rsid w:val="00592E0A"/>
    <w:rsid w:val="00592EEC"/>
    <w:rsid w:val="00592F25"/>
    <w:rsid w:val="00593018"/>
    <w:rsid w:val="0059301D"/>
    <w:rsid w:val="0059301E"/>
    <w:rsid w:val="00593099"/>
    <w:rsid w:val="005930E4"/>
    <w:rsid w:val="0059312C"/>
    <w:rsid w:val="00593158"/>
    <w:rsid w:val="005931E8"/>
    <w:rsid w:val="00593264"/>
    <w:rsid w:val="00593286"/>
    <w:rsid w:val="005932B3"/>
    <w:rsid w:val="005932C8"/>
    <w:rsid w:val="005932E0"/>
    <w:rsid w:val="005932E5"/>
    <w:rsid w:val="005932F7"/>
    <w:rsid w:val="005933AE"/>
    <w:rsid w:val="005933B5"/>
    <w:rsid w:val="005933B9"/>
    <w:rsid w:val="0059344A"/>
    <w:rsid w:val="005934D2"/>
    <w:rsid w:val="005934E8"/>
    <w:rsid w:val="0059352E"/>
    <w:rsid w:val="005935B0"/>
    <w:rsid w:val="005936C5"/>
    <w:rsid w:val="005936F2"/>
    <w:rsid w:val="00593776"/>
    <w:rsid w:val="00593789"/>
    <w:rsid w:val="005937C9"/>
    <w:rsid w:val="005938B2"/>
    <w:rsid w:val="005938C2"/>
    <w:rsid w:val="0059397D"/>
    <w:rsid w:val="00593985"/>
    <w:rsid w:val="00593A29"/>
    <w:rsid w:val="00593A82"/>
    <w:rsid w:val="00593AF8"/>
    <w:rsid w:val="00593B1D"/>
    <w:rsid w:val="00593B5B"/>
    <w:rsid w:val="00593BA0"/>
    <w:rsid w:val="00593BB3"/>
    <w:rsid w:val="00593BCF"/>
    <w:rsid w:val="00593BE0"/>
    <w:rsid w:val="00593C7F"/>
    <w:rsid w:val="00593C8C"/>
    <w:rsid w:val="00593CF6"/>
    <w:rsid w:val="00593D02"/>
    <w:rsid w:val="00593D53"/>
    <w:rsid w:val="00593E2A"/>
    <w:rsid w:val="00593E2C"/>
    <w:rsid w:val="00593E6E"/>
    <w:rsid w:val="00593EAD"/>
    <w:rsid w:val="00593ECF"/>
    <w:rsid w:val="00593ED5"/>
    <w:rsid w:val="00593F16"/>
    <w:rsid w:val="00593F2C"/>
    <w:rsid w:val="00593F85"/>
    <w:rsid w:val="00593FA0"/>
    <w:rsid w:val="00593FD4"/>
    <w:rsid w:val="00593FE3"/>
    <w:rsid w:val="00594024"/>
    <w:rsid w:val="0059408B"/>
    <w:rsid w:val="005940B0"/>
    <w:rsid w:val="005940D5"/>
    <w:rsid w:val="005940F9"/>
    <w:rsid w:val="00594149"/>
    <w:rsid w:val="0059416B"/>
    <w:rsid w:val="00594180"/>
    <w:rsid w:val="0059419E"/>
    <w:rsid w:val="0059420E"/>
    <w:rsid w:val="00594250"/>
    <w:rsid w:val="0059425A"/>
    <w:rsid w:val="00594289"/>
    <w:rsid w:val="005943A0"/>
    <w:rsid w:val="005943E7"/>
    <w:rsid w:val="0059441D"/>
    <w:rsid w:val="00594440"/>
    <w:rsid w:val="00594454"/>
    <w:rsid w:val="0059448D"/>
    <w:rsid w:val="005944E4"/>
    <w:rsid w:val="00594568"/>
    <w:rsid w:val="00594570"/>
    <w:rsid w:val="005945B0"/>
    <w:rsid w:val="0059460C"/>
    <w:rsid w:val="00594628"/>
    <w:rsid w:val="00594678"/>
    <w:rsid w:val="0059467F"/>
    <w:rsid w:val="00594682"/>
    <w:rsid w:val="00594695"/>
    <w:rsid w:val="005946C9"/>
    <w:rsid w:val="00594702"/>
    <w:rsid w:val="0059473B"/>
    <w:rsid w:val="005947C3"/>
    <w:rsid w:val="005947DD"/>
    <w:rsid w:val="00594844"/>
    <w:rsid w:val="00594866"/>
    <w:rsid w:val="005948DA"/>
    <w:rsid w:val="00594915"/>
    <w:rsid w:val="00594916"/>
    <w:rsid w:val="005949F8"/>
    <w:rsid w:val="00594A59"/>
    <w:rsid w:val="00594AC7"/>
    <w:rsid w:val="00594AEE"/>
    <w:rsid w:val="00594B10"/>
    <w:rsid w:val="00594B47"/>
    <w:rsid w:val="00594B50"/>
    <w:rsid w:val="00594BDF"/>
    <w:rsid w:val="00594C05"/>
    <w:rsid w:val="00594C9E"/>
    <w:rsid w:val="00594CE7"/>
    <w:rsid w:val="00594CEE"/>
    <w:rsid w:val="00594D11"/>
    <w:rsid w:val="00594D51"/>
    <w:rsid w:val="00594D69"/>
    <w:rsid w:val="00594D8D"/>
    <w:rsid w:val="00594DE7"/>
    <w:rsid w:val="00594E0F"/>
    <w:rsid w:val="00594E47"/>
    <w:rsid w:val="00594EFF"/>
    <w:rsid w:val="00594F46"/>
    <w:rsid w:val="00594F87"/>
    <w:rsid w:val="00594F91"/>
    <w:rsid w:val="00594FC3"/>
    <w:rsid w:val="00594FCC"/>
    <w:rsid w:val="00594FE6"/>
    <w:rsid w:val="00595065"/>
    <w:rsid w:val="00595070"/>
    <w:rsid w:val="00595082"/>
    <w:rsid w:val="0059509C"/>
    <w:rsid w:val="005950A0"/>
    <w:rsid w:val="005950A5"/>
    <w:rsid w:val="005950BB"/>
    <w:rsid w:val="00595105"/>
    <w:rsid w:val="0059510E"/>
    <w:rsid w:val="00595136"/>
    <w:rsid w:val="00595164"/>
    <w:rsid w:val="0059516E"/>
    <w:rsid w:val="0059518D"/>
    <w:rsid w:val="00595193"/>
    <w:rsid w:val="0059519B"/>
    <w:rsid w:val="005951AE"/>
    <w:rsid w:val="005951B8"/>
    <w:rsid w:val="00595208"/>
    <w:rsid w:val="00595229"/>
    <w:rsid w:val="0059531D"/>
    <w:rsid w:val="00595392"/>
    <w:rsid w:val="00595394"/>
    <w:rsid w:val="005953CB"/>
    <w:rsid w:val="005953D9"/>
    <w:rsid w:val="0059540E"/>
    <w:rsid w:val="00595430"/>
    <w:rsid w:val="00595432"/>
    <w:rsid w:val="0059545E"/>
    <w:rsid w:val="00595479"/>
    <w:rsid w:val="00595481"/>
    <w:rsid w:val="00595483"/>
    <w:rsid w:val="00595496"/>
    <w:rsid w:val="005954CF"/>
    <w:rsid w:val="0059550D"/>
    <w:rsid w:val="0059552A"/>
    <w:rsid w:val="0059556F"/>
    <w:rsid w:val="00595579"/>
    <w:rsid w:val="005955B8"/>
    <w:rsid w:val="005955C9"/>
    <w:rsid w:val="005955D9"/>
    <w:rsid w:val="00595606"/>
    <w:rsid w:val="0059561A"/>
    <w:rsid w:val="00595638"/>
    <w:rsid w:val="0059563E"/>
    <w:rsid w:val="00595645"/>
    <w:rsid w:val="00595655"/>
    <w:rsid w:val="0059565C"/>
    <w:rsid w:val="0059569B"/>
    <w:rsid w:val="005956C8"/>
    <w:rsid w:val="005956D2"/>
    <w:rsid w:val="0059575A"/>
    <w:rsid w:val="0059575C"/>
    <w:rsid w:val="005957F4"/>
    <w:rsid w:val="005957FD"/>
    <w:rsid w:val="0059586B"/>
    <w:rsid w:val="00595890"/>
    <w:rsid w:val="005958A3"/>
    <w:rsid w:val="00595901"/>
    <w:rsid w:val="0059590A"/>
    <w:rsid w:val="00595923"/>
    <w:rsid w:val="0059592C"/>
    <w:rsid w:val="00595944"/>
    <w:rsid w:val="00595959"/>
    <w:rsid w:val="0059597B"/>
    <w:rsid w:val="00595999"/>
    <w:rsid w:val="005959A5"/>
    <w:rsid w:val="00595A38"/>
    <w:rsid w:val="00595A8D"/>
    <w:rsid w:val="00595AA9"/>
    <w:rsid w:val="00595AFA"/>
    <w:rsid w:val="00595B6D"/>
    <w:rsid w:val="00595B82"/>
    <w:rsid w:val="00595B99"/>
    <w:rsid w:val="00595C49"/>
    <w:rsid w:val="00595C80"/>
    <w:rsid w:val="00595CBF"/>
    <w:rsid w:val="00595CF6"/>
    <w:rsid w:val="00595D24"/>
    <w:rsid w:val="00595D6B"/>
    <w:rsid w:val="00595D82"/>
    <w:rsid w:val="00595D9B"/>
    <w:rsid w:val="00595DBB"/>
    <w:rsid w:val="00595DE5"/>
    <w:rsid w:val="00595E1F"/>
    <w:rsid w:val="00595E7F"/>
    <w:rsid w:val="00595E8D"/>
    <w:rsid w:val="00595E8E"/>
    <w:rsid w:val="00595E9E"/>
    <w:rsid w:val="00595EED"/>
    <w:rsid w:val="00595EFE"/>
    <w:rsid w:val="00595F59"/>
    <w:rsid w:val="00595F5E"/>
    <w:rsid w:val="00595FD7"/>
    <w:rsid w:val="00595FE7"/>
    <w:rsid w:val="00595FFB"/>
    <w:rsid w:val="0059605C"/>
    <w:rsid w:val="00596096"/>
    <w:rsid w:val="00596106"/>
    <w:rsid w:val="00596113"/>
    <w:rsid w:val="005961AE"/>
    <w:rsid w:val="005961BA"/>
    <w:rsid w:val="005961C5"/>
    <w:rsid w:val="005961E8"/>
    <w:rsid w:val="00596225"/>
    <w:rsid w:val="0059623E"/>
    <w:rsid w:val="005962FA"/>
    <w:rsid w:val="00596305"/>
    <w:rsid w:val="00596323"/>
    <w:rsid w:val="0059633D"/>
    <w:rsid w:val="0059635C"/>
    <w:rsid w:val="005963A1"/>
    <w:rsid w:val="005963AD"/>
    <w:rsid w:val="005963B2"/>
    <w:rsid w:val="005963C7"/>
    <w:rsid w:val="005964D0"/>
    <w:rsid w:val="005964E6"/>
    <w:rsid w:val="00596541"/>
    <w:rsid w:val="005965E7"/>
    <w:rsid w:val="00596679"/>
    <w:rsid w:val="00596693"/>
    <w:rsid w:val="005966A0"/>
    <w:rsid w:val="005966AD"/>
    <w:rsid w:val="005966B5"/>
    <w:rsid w:val="005966B9"/>
    <w:rsid w:val="00596704"/>
    <w:rsid w:val="00596750"/>
    <w:rsid w:val="00596754"/>
    <w:rsid w:val="00596757"/>
    <w:rsid w:val="005967E5"/>
    <w:rsid w:val="00596852"/>
    <w:rsid w:val="00596892"/>
    <w:rsid w:val="005968B2"/>
    <w:rsid w:val="005968C6"/>
    <w:rsid w:val="005968C9"/>
    <w:rsid w:val="00596954"/>
    <w:rsid w:val="00596999"/>
    <w:rsid w:val="005969A2"/>
    <w:rsid w:val="00596A07"/>
    <w:rsid w:val="00596AE6"/>
    <w:rsid w:val="00596AF7"/>
    <w:rsid w:val="00596B14"/>
    <w:rsid w:val="00596B1D"/>
    <w:rsid w:val="00596B8A"/>
    <w:rsid w:val="00596BB6"/>
    <w:rsid w:val="00596BE2"/>
    <w:rsid w:val="00596BF7"/>
    <w:rsid w:val="00596C10"/>
    <w:rsid w:val="00596C6A"/>
    <w:rsid w:val="00596C72"/>
    <w:rsid w:val="00596CC8"/>
    <w:rsid w:val="00596CDB"/>
    <w:rsid w:val="00596E14"/>
    <w:rsid w:val="00596E4E"/>
    <w:rsid w:val="00596E64"/>
    <w:rsid w:val="00596E8D"/>
    <w:rsid w:val="00596E92"/>
    <w:rsid w:val="00596F00"/>
    <w:rsid w:val="00596F13"/>
    <w:rsid w:val="00596F4C"/>
    <w:rsid w:val="00596F75"/>
    <w:rsid w:val="00596FB0"/>
    <w:rsid w:val="0059705C"/>
    <w:rsid w:val="005970E8"/>
    <w:rsid w:val="00597111"/>
    <w:rsid w:val="00597130"/>
    <w:rsid w:val="0059714F"/>
    <w:rsid w:val="00597158"/>
    <w:rsid w:val="00597193"/>
    <w:rsid w:val="005971DB"/>
    <w:rsid w:val="0059721C"/>
    <w:rsid w:val="00597229"/>
    <w:rsid w:val="00597272"/>
    <w:rsid w:val="0059727C"/>
    <w:rsid w:val="00597295"/>
    <w:rsid w:val="0059729B"/>
    <w:rsid w:val="00597356"/>
    <w:rsid w:val="00597374"/>
    <w:rsid w:val="00597388"/>
    <w:rsid w:val="00597390"/>
    <w:rsid w:val="005973EE"/>
    <w:rsid w:val="00597424"/>
    <w:rsid w:val="0059742E"/>
    <w:rsid w:val="00597447"/>
    <w:rsid w:val="0059749C"/>
    <w:rsid w:val="005974B2"/>
    <w:rsid w:val="005974DC"/>
    <w:rsid w:val="005974FA"/>
    <w:rsid w:val="005974FD"/>
    <w:rsid w:val="0059758C"/>
    <w:rsid w:val="005975B4"/>
    <w:rsid w:val="005975C0"/>
    <w:rsid w:val="005975E7"/>
    <w:rsid w:val="00597607"/>
    <w:rsid w:val="00597649"/>
    <w:rsid w:val="00597650"/>
    <w:rsid w:val="00597654"/>
    <w:rsid w:val="00597673"/>
    <w:rsid w:val="00597694"/>
    <w:rsid w:val="00597703"/>
    <w:rsid w:val="0059772B"/>
    <w:rsid w:val="00597754"/>
    <w:rsid w:val="005977CD"/>
    <w:rsid w:val="0059782B"/>
    <w:rsid w:val="00597895"/>
    <w:rsid w:val="005978A5"/>
    <w:rsid w:val="00597942"/>
    <w:rsid w:val="00597972"/>
    <w:rsid w:val="005979E2"/>
    <w:rsid w:val="005979F1"/>
    <w:rsid w:val="00597A8B"/>
    <w:rsid w:val="00597AAC"/>
    <w:rsid w:val="00597ABC"/>
    <w:rsid w:val="00597AC5"/>
    <w:rsid w:val="00597B03"/>
    <w:rsid w:val="00597B34"/>
    <w:rsid w:val="00597B36"/>
    <w:rsid w:val="00597B51"/>
    <w:rsid w:val="00597B5B"/>
    <w:rsid w:val="00597B61"/>
    <w:rsid w:val="00597B63"/>
    <w:rsid w:val="00597BF3"/>
    <w:rsid w:val="00597C32"/>
    <w:rsid w:val="00597C41"/>
    <w:rsid w:val="00597C87"/>
    <w:rsid w:val="00597CDE"/>
    <w:rsid w:val="00597D18"/>
    <w:rsid w:val="00597D24"/>
    <w:rsid w:val="00597D4A"/>
    <w:rsid w:val="00597D64"/>
    <w:rsid w:val="00597D8F"/>
    <w:rsid w:val="00597DAD"/>
    <w:rsid w:val="00597DD2"/>
    <w:rsid w:val="00597DF4"/>
    <w:rsid w:val="00597DFA"/>
    <w:rsid w:val="00597E19"/>
    <w:rsid w:val="00597E95"/>
    <w:rsid w:val="00597E9E"/>
    <w:rsid w:val="00597EB4"/>
    <w:rsid w:val="00597EC6"/>
    <w:rsid w:val="00597EEC"/>
    <w:rsid w:val="00597EEE"/>
    <w:rsid w:val="00597F2A"/>
    <w:rsid w:val="00597F4F"/>
    <w:rsid w:val="00597FB8"/>
    <w:rsid w:val="0059C7B1"/>
    <w:rsid w:val="005A001D"/>
    <w:rsid w:val="005A002E"/>
    <w:rsid w:val="005A00B7"/>
    <w:rsid w:val="005A011B"/>
    <w:rsid w:val="005A01B9"/>
    <w:rsid w:val="005A01BA"/>
    <w:rsid w:val="005A01E8"/>
    <w:rsid w:val="005A01EC"/>
    <w:rsid w:val="005A01ED"/>
    <w:rsid w:val="005A020E"/>
    <w:rsid w:val="005A0246"/>
    <w:rsid w:val="005A026E"/>
    <w:rsid w:val="005A02A4"/>
    <w:rsid w:val="005A02DF"/>
    <w:rsid w:val="005A030C"/>
    <w:rsid w:val="005A032F"/>
    <w:rsid w:val="005A034D"/>
    <w:rsid w:val="005A0383"/>
    <w:rsid w:val="005A03BB"/>
    <w:rsid w:val="005A03D7"/>
    <w:rsid w:val="005A03EF"/>
    <w:rsid w:val="005A0407"/>
    <w:rsid w:val="005A0430"/>
    <w:rsid w:val="005A04D8"/>
    <w:rsid w:val="005A0513"/>
    <w:rsid w:val="005A0522"/>
    <w:rsid w:val="005A056C"/>
    <w:rsid w:val="005A05B5"/>
    <w:rsid w:val="005A062B"/>
    <w:rsid w:val="005A063C"/>
    <w:rsid w:val="005A0685"/>
    <w:rsid w:val="005A069A"/>
    <w:rsid w:val="005A06ED"/>
    <w:rsid w:val="005A073D"/>
    <w:rsid w:val="005A074C"/>
    <w:rsid w:val="005A0752"/>
    <w:rsid w:val="005A077D"/>
    <w:rsid w:val="005A0795"/>
    <w:rsid w:val="005A07C1"/>
    <w:rsid w:val="005A07C2"/>
    <w:rsid w:val="005A07CC"/>
    <w:rsid w:val="005A0804"/>
    <w:rsid w:val="005A0862"/>
    <w:rsid w:val="005A087D"/>
    <w:rsid w:val="005A0889"/>
    <w:rsid w:val="005A08C0"/>
    <w:rsid w:val="005A0906"/>
    <w:rsid w:val="005A0918"/>
    <w:rsid w:val="005A0920"/>
    <w:rsid w:val="005A0928"/>
    <w:rsid w:val="005A096F"/>
    <w:rsid w:val="005A09B4"/>
    <w:rsid w:val="005A09FE"/>
    <w:rsid w:val="005A0A54"/>
    <w:rsid w:val="005A0A5D"/>
    <w:rsid w:val="005A0A89"/>
    <w:rsid w:val="005A0AC2"/>
    <w:rsid w:val="005A0ACF"/>
    <w:rsid w:val="005A0AD0"/>
    <w:rsid w:val="005A0B0B"/>
    <w:rsid w:val="005A0B2B"/>
    <w:rsid w:val="005A0B34"/>
    <w:rsid w:val="005A0B56"/>
    <w:rsid w:val="005A0B87"/>
    <w:rsid w:val="005A0BD8"/>
    <w:rsid w:val="005A0C36"/>
    <w:rsid w:val="005A0C4B"/>
    <w:rsid w:val="005A0C84"/>
    <w:rsid w:val="005A0C8B"/>
    <w:rsid w:val="005A0D64"/>
    <w:rsid w:val="005A0D72"/>
    <w:rsid w:val="005A0D7E"/>
    <w:rsid w:val="005A0DAA"/>
    <w:rsid w:val="005A0E04"/>
    <w:rsid w:val="005A0E1C"/>
    <w:rsid w:val="005A0E5F"/>
    <w:rsid w:val="005A0EC3"/>
    <w:rsid w:val="005A0ECF"/>
    <w:rsid w:val="005A0EF4"/>
    <w:rsid w:val="005A0F1A"/>
    <w:rsid w:val="005A0F96"/>
    <w:rsid w:val="005A0FAD"/>
    <w:rsid w:val="005A0FE1"/>
    <w:rsid w:val="005A0FFD"/>
    <w:rsid w:val="005A1015"/>
    <w:rsid w:val="005A104B"/>
    <w:rsid w:val="005A1091"/>
    <w:rsid w:val="005A109F"/>
    <w:rsid w:val="005A1112"/>
    <w:rsid w:val="005A1144"/>
    <w:rsid w:val="005A1150"/>
    <w:rsid w:val="005A11A2"/>
    <w:rsid w:val="005A1249"/>
    <w:rsid w:val="005A1295"/>
    <w:rsid w:val="005A12A3"/>
    <w:rsid w:val="005A1320"/>
    <w:rsid w:val="005A13B8"/>
    <w:rsid w:val="005A13D7"/>
    <w:rsid w:val="005A13F6"/>
    <w:rsid w:val="005A1417"/>
    <w:rsid w:val="005A142C"/>
    <w:rsid w:val="005A1436"/>
    <w:rsid w:val="005A1479"/>
    <w:rsid w:val="005A14CA"/>
    <w:rsid w:val="005A14EE"/>
    <w:rsid w:val="005A14F2"/>
    <w:rsid w:val="005A151B"/>
    <w:rsid w:val="005A154C"/>
    <w:rsid w:val="005A1551"/>
    <w:rsid w:val="005A15A6"/>
    <w:rsid w:val="005A15B8"/>
    <w:rsid w:val="005A15BB"/>
    <w:rsid w:val="005A15D1"/>
    <w:rsid w:val="005A164F"/>
    <w:rsid w:val="005A1658"/>
    <w:rsid w:val="005A16C1"/>
    <w:rsid w:val="005A1720"/>
    <w:rsid w:val="005A175D"/>
    <w:rsid w:val="005A1773"/>
    <w:rsid w:val="005A17CC"/>
    <w:rsid w:val="005A17D6"/>
    <w:rsid w:val="005A17E1"/>
    <w:rsid w:val="005A182A"/>
    <w:rsid w:val="005A1854"/>
    <w:rsid w:val="005A187E"/>
    <w:rsid w:val="005A18A3"/>
    <w:rsid w:val="005A18AD"/>
    <w:rsid w:val="005A18BC"/>
    <w:rsid w:val="005A18CC"/>
    <w:rsid w:val="005A18D4"/>
    <w:rsid w:val="005A18FC"/>
    <w:rsid w:val="005A1946"/>
    <w:rsid w:val="005A19DB"/>
    <w:rsid w:val="005A19E5"/>
    <w:rsid w:val="005A1A12"/>
    <w:rsid w:val="005A1A95"/>
    <w:rsid w:val="005A1AA9"/>
    <w:rsid w:val="005A1B50"/>
    <w:rsid w:val="005A1B9F"/>
    <w:rsid w:val="005A1BF5"/>
    <w:rsid w:val="005A1C16"/>
    <w:rsid w:val="005A1C7B"/>
    <w:rsid w:val="005A1C7E"/>
    <w:rsid w:val="005A1C91"/>
    <w:rsid w:val="005A1CA9"/>
    <w:rsid w:val="005A1CB6"/>
    <w:rsid w:val="005A1CE4"/>
    <w:rsid w:val="005A1D42"/>
    <w:rsid w:val="005A1D83"/>
    <w:rsid w:val="005A1DDB"/>
    <w:rsid w:val="005A1DE6"/>
    <w:rsid w:val="005A1DE7"/>
    <w:rsid w:val="005A1DEF"/>
    <w:rsid w:val="005A1E25"/>
    <w:rsid w:val="005A1E31"/>
    <w:rsid w:val="005A1E52"/>
    <w:rsid w:val="005A1E53"/>
    <w:rsid w:val="005A1EF4"/>
    <w:rsid w:val="005A1EF5"/>
    <w:rsid w:val="005A1F30"/>
    <w:rsid w:val="005A1F46"/>
    <w:rsid w:val="005A1F4D"/>
    <w:rsid w:val="005A1FBC"/>
    <w:rsid w:val="005A1FD1"/>
    <w:rsid w:val="005A202B"/>
    <w:rsid w:val="005A2037"/>
    <w:rsid w:val="005A203B"/>
    <w:rsid w:val="005A2042"/>
    <w:rsid w:val="005A209F"/>
    <w:rsid w:val="005A20A4"/>
    <w:rsid w:val="005A20FB"/>
    <w:rsid w:val="005A2135"/>
    <w:rsid w:val="005A2160"/>
    <w:rsid w:val="005A2183"/>
    <w:rsid w:val="005A218A"/>
    <w:rsid w:val="005A2190"/>
    <w:rsid w:val="005A21BB"/>
    <w:rsid w:val="005A21E8"/>
    <w:rsid w:val="005A2218"/>
    <w:rsid w:val="005A22F4"/>
    <w:rsid w:val="005A230F"/>
    <w:rsid w:val="005A2465"/>
    <w:rsid w:val="005A24DC"/>
    <w:rsid w:val="005A24E4"/>
    <w:rsid w:val="005A24F6"/>
    <w:rsid w:val="005A2537"/>
    <w:rsid w:val="005A253B"/>
    <w:rsid w:val="005A2575"/>
    <w:rsid w:val="005A25D1"/>
    <w:rsid w:val="005A25FA"/>
    <w:rsid w:val="005A26AE"/>
    <w:rsid w:val="005A26BD"/>
    <w:rsid w:val="005A26CD"/>
    <w:rsid w:val="005A26EC"/>
    <w:rsid w:val="005A270B"/>
    <w:rsid w:val="005A273C"/>
    <w:rsid w:val="005A2757"/>
    <w:rsid w:val="005A27B3"/>
    <w:rsid w:val="005A27EF"/>
    <w:rsid w:val="005A28A8"/>
    <w:rsid w:val="005A28C6"/>
    <w:rsid w:val="005A28FE"/>
    <w:rsid w:val="005A290F"/>
    <w:rsid w:val="005A293F"/>
    <w:rsid w:val="005A2977"/>
    <w:rsid w:val="005A29EE"/>
    <w:rsid w:val="005A2A10"/>
    <w:rsid w:val="005A2A1C"/>
    <w:rsid w:val="005A2A2D"/>
    <w:rsid w:val="005A2A60"/>
    <w:rsid w:val="005A2A7B"/>
    <w:rsid w:val="005A2ADD"/>
    <w:rsid w:val="005A2B1E"/>
    <w:rsid w:val="005A2B4A"/>
    <w:rsid w:val="005A2BBA"/>
    <w:rsid w:val="005A2BD0"/>
    <w:rsid w:val="005A2BE2"/>
    <w:rsid w:val="005A2C13"/>
    <w:rsid w:val="005A2C39"/>
    <w:rsid w:val="005A2C64"/>
    <w:rsid w:val="005A2C74"/>
    <w:rsid w:val="005A2C97"/>
    <w:rsid w:val="005A2C9E"/>
    <w:rsid w:val="005A2CF8"/>
    <w:rsid w:val="005A2D1F"/>
    <w:rsid w:val="005A2D29"/>
    <w:rsid w:val="005A2D6F"/>
    <w:rsid w:val="005A2DE9"/>
    <w:rsid w:val="005A2E98"/>
    <w:rsid w:val="005A2ED0"/>
    <w:rsid w:val="005A2ED5"/>
    <w:rsid w:val="005A2EFA"/>
    <w:rsid w:val="005A2F0E"/>
    <w:rsid w:val="005A2F2D"/>
    <w:rsid w:val="005A2F68"/>
    <w:rsid w:val="005A2F83"/>
    <w:rsid w:val="005A2F88"/>
    <w:rsid w:val="005A2FAE"/>
    <w:rsid w:val="005A2FB6"/>
    <w:rsid w:val="005A2FE9"/>
    <w:rsid w:val="005A304F"/>
    <w:rsid w:val="005A3053"/>
    <w:rsid w:val="005A3089"/>
    <w:rsid w:val="005A308F"/>
    <w:rsid w:val="005A3092"/>
    <w:rsid w:val="005A30EE"/>
    <w:rsid w:val="005A30FD"/>
    <w:rsid w:val="005A3150"/>
    <w:rsid w:val="005A31A8"/>
    <w:rsid w:val="005A324D"/>
    <w:rsid w:val="005A325F"/>
    <w:rsid w:val="005A3316"/>
    <w:rsid w:val="005A3371"/>
    <w:rsid w:val="005A33AE"/>
    <w:rsid w:val="005A341E"/>
    <w:rsid w:val="005A34BA"/>
    <w:rsid w:val="005A34E4"/>
    <w:rsid w:val="005A3533"/>
    <w:rsid w:val="005A353B"/>
    <w:rsid w:val="005A3562"/>
    <w:rsid w:val="005A358D"/>
    <w:rsid w:val="005A35A0"/>
    <w:rsid w:val="005A35F4"/>
    <w:rsid w:val="005A3613"/>
    <w:rsid w:val="005A361B"/>
    <w:rsid w:val="005A363D"/>
    <w:rsid w:val="005A371C"/>
    <w:rsid w:val="005A3729"/>
    <w:rsid w:val="005A373A"/>
    <w:rsid w:val="005A37B0"/>
    <w:rsid w:val="005A37B3"/>
    <w:rsid w:val="005A37D4"/>
    <w:rsid w:val="005A3822"/>
    <w:rsid w:val="005A3824"/>
    <w:rsid w:val="005A38A6"/>
    <w:rsid w:val="005A38D6"/>
    <w:rsid w:val="005A38E2"/>
    <w:rsid w:val="005A38EE"/>
    <w:rsid w:val="005A3911"/>
    <w:rsid w:val="005A3924"/>
    <w:rsid w:val="005A392D"/>
    <w:rsid w:val="005A3943"/>
    <w:rsid w:val="005A3955"/>
    <w:rsid w:val="005A3993"/>
    <w:rsid w:val="005A3994"/>
    <w:rsid w:val="005A3A1A"/>
    <w:rsid w:val="005A3A3D"/>
    <w:rsid w:val="005A3A7C"/>
    <w:rsid w:val="005A3A7E"/>
    <w:rsid w:val="005A3AFB"/>
    <w:rsid w:val="005A3B2A"/>
    <w:rsid w:val="005A3B46"/>
    <w:rsid w:val="005A3B62"/>
    <w:rsid w:val="005A3B9A"/>
    <w:rsid w:val="005A3C2D"/>
    <w:rsid w:val="005A3C4D"/>
    <w:rsid w:val="005A3CAA"/>
    <w:rsid w:val="005A3CE1"/>
    <w:rsid w:val="005A3D16"/>
    <w:rsid w:val="005A3D90"/>
    <w:rsid w:val="005A3DBA"/>
    <w:rsid w:val="005A3DE2"/>
    <w:rsid w:val="005A3DE7"/>
    <w:rsid w:val="005A3DF4"/>
    <w:rsid w:val="005A3DF9"/>
    <w:rsid w:val="005A3E40"/>
    <w:rsid w:val="005A3E54"/>
    <w:rsid w:val="005A3ECE"/>
    <w:rsid w:val="005A3EED"/>
    <w:rsid w:val="005A3EEF"/>
    <w:rsid w:val="005A3EF9"/>
    <w:rsid w:val="005A3FF7"/>
    <w:rsid w:val="005A40BD"/>
    <w:rsid w:val="005A4105"/>
    <w:rsid w:val="005A4115"/>
    <w:rsid w:val="005A4196"/>
    <w:rsid w:val="005A42AF"/>
    <w:rsid w:val="005A435D"/>
    <w:rsid w:val="005A43A9"/>
    <w:rsid w:val="005A43D3"/>
    <w:rsid w:val="005A442A"/>
    <w:rsid w:val="005A4490"/>
    <w:rsid w:val="005A44A8"/>
    <w:rsid w:val="005A4518"/>
    <w:rsid w:val="005A451C"/>
    <w:rsid w:val="005A4525"/>
    <w:rsid w:val="005A454A"/>
    <w:rsid w:val="005A4564"/>
    <w:rsid w:val="005A45BC"/>
    <w:rsid w:val="005A45C1"/>
    <w:rsid w:val="005A4601"/>
    <w:rsid w:val="005A466F"/>
    <w:rsid w:val="005A46C0"/>
    <w:rsid w:val="005A46C6"/>
    <w:rsid w:val="005A46D9"/>
    <w:rsid w:val="005A46EF"/>
    <w:rsid w:val="005A4751"/>
    <w:rsid w:val="005A475E"/>
    <w:rsid w:val="005A4790"/>
    <w:rsid w:val="005A47E2"/>
    <w:rsid w:val="005A47ED"/>
    <w:rsid w:val="005A4885"/>
    <w:rsid w:val="005A488D"/>
    <w:rsid w:val="005A489B"/>
    <w:rsid w:val="005A48FD"/>
    <w:rsid w:val="005A4901"/>
    <w:rsid w:val="005A493E"/>
    <w:rsid w:val="005A4955"/>
    <w:rsid w:val="005A4A0C"/>
    <w:rsid w:val="005A4A77"/>
    <w:rsid w:val="005A4A89"/>
    <w:rsid w:val="005A4A8C"/>
    <w:rsid w:val="005A4A90"/>
    <w:rsid w:val="005A4AA4"/>
    <w:rsid w:val="005A4AD1"/>
    <w:rsid w:val="005A4AE2"/>
    <w:rsid w:val="005A4B2F"/>
    <w:rsid w:val="005A4B36"/>
    <w:rsid w:val="005A4B61"/>
    <w:rsid w:val="005A4BE9"/>
    <w:rsid w:val="005A4C01"/>
    <w:rsid w:val="005A4C0A"/>
    <w:rsid w:val="005A4C1C"/>
    <w:rsid w:val="005A4C5B"/>
    <w:rsid w:val="005A4C8B"/>
    <w:rsid w:val="005A4CFD"/>
    <w:rsid w:val="005A4D20"/>
    <w:rsid w:val="005A4D2F"/>
    <w:rsid w:val="005A4D35"/>
    <w:rsid w:val="005A4D67"/>
    <w:rsid w:val="005A4DA2"/>
    <w:rsid w:val="005A4DBA"/>
    <w:rsid w:val="005A4E0C"/>
    <w:rsid w:val="005A4E5E"/>
    <w:rsid w:val="005A4E6A"/>
    <w:rsid w:val="005A4E98"/>
    <w:rsid w:val="005A4EB8"/>
    <w:rsid w:val="005A4EE2"/>
    <w:rsid w:val="005A4F61"/>
    <w:rsid w:val="005A4FA5"/>
    <w:rsid w:val="005A4FD0"/>
    <w:rsid w:val="005A5006"/>
    <w:rsid w:val="005A502F"/>
    <w:rsid w:val="005A505F"/>
    <w:rsid w:val="005A5067"/>
    <w:rsid w:val="005A506F"/>
    <w:rsid w:val="005A5079"/>
    <w:rsid w:val="005A5082"/>
    <w:rsid w:val="005A5084"/>
    <w:rsid w:val="005A5094"/>
    <w:rsid w:val="005A50AB"/>
    <w:rsid w:val="005A50D5"/>
    <w:rsid w:val="005A50F3"/>
    <w:rsid w:val="005A5147"/>
    <w:rsid w:val="005A51AE"/>
    <w:rsid w:val="005A5222"/>
    <w:rsid w:val="005A5236"/>
    <w:rsid w:val="005A5298"/>
    <w:rsid w:val="005A52F2"/>
    <w:rsid w:val="005A5319"/>
    <w:rsid w:val="005A537F"/>
    <w:rsid w:val="005A53D5"/>
    <w:rsid w:val="005A5439"/>
    <w:rsid w:val="005A543F"/>
    <w:rsid w:val="005A5475"/>
    <w:rsid w:val="005A54A7"/>
    <w:rsid w:val="005A54B6"/>
    <w:rsid w:val="005A54BA"/>
    <w:rsid w:val="005A54F7"/>
    <w:rsid w:val="005A556D"/>
    <w:rsid w:val="005A55C3"/>
    <w:rsid w:val="005A55F8"/>
    <w:rsid w:val="005A565D"/>
    <w:rsid w:val="005A5668"/>
    <w:rsid w:val="005A5678"/>
    <w:rsid w:val="005A5688"/>
    <w:rsid w:val="005A5740"/>
    <w:rsid w:val="005A574B"/>
    <w:rsid w:val="005A575A"/>
    <w:rsid w:val="005A57AF"/>
    <w:rsid w:val="005A57E8"/>
    <w:rsid w:val="005A585B"/>
    <w:rsid w:val="005A5872"/>
    <w:rsid w:val="005A5881"/>
    <w:rsid w:val="005A5884"/>
    <w:rsid w:val="005A58B1"/>
    <w:rsid w:val="005A58D8"/>
    <w:rsid w:val="005A58DD"/>
    <w:rsid w:val="005A590B"/>
    <w:rsid w:val="005A594E"/>
    <w:rsid w:val="005A5953"/>
    <w:rsid w:val="005A598D"/>
    <w:rsid w:val="005A59AF"/>
    <w:rsid w:val="005A59B0"/>
    <w:rsid w:val="005A59F3"/>
    <w:rsid w:val="005A5A17"/>
    <w:rsid w:val="005A5A1D"/>
    <w:rsid w:val="005A5A2A"/>
    <w:rsid w:val="005A5A50"/>
    <w:rsid w:val="005A5A86"/>
    <w:rsid w:val="005A5A88"/>
    <w:rsid w:val="005A5AC9"/>
    <w:rsid w:val="005A5ADB"/>
    <w:rsid w:val="005A5B6C"/>
    <w:rsid w:val="005A5B7B"/>
    <w:rsid w:val="005A5B83"/>
    <w:rsid w:val="005A5B9C"/>
    <w:rsid w:val="005A5BED"/>
    <w:rsid w:val="005A5C04"/>
    <w:rsid w:val="005A5D80"/>
    <w:rsid w:val="005A5DE4"/>
    <w:rsid w:val="005A5E1F"/>
    <w:rsid w:val="005A5E88"/>
    <w:rsid w:val="005A5E9B"/>
    <w:rsid w:val="005A5EA3"/>
    <w:rsid w:val="005A5ECC"/>
    <w:rsid w:val="005A5EDD"/>
    <w:rsid w:val="005A5F09"/>
    <w:rsid w:val="005A5F16"/>
    <w:rsid w:val="005A5F37"/>
    <w:rsid w:val="005A5FA1"/>
    <w:rsid w:val="005A5FB1"/>
    <w:rsid w:val="005A5FB8"/>
    <w:rsid w:val="005A5FFA"/>
    <w:rsid w:val="005A5FFD"/>
    <w:rsid w:val="005A6008"/>
    <w:rsid w:val="005A60A7"/>
    <w:rsid w:val="005A60A8"/>
    <w:rsid w:val="005A60B7"/>
    <w:rsid w:val="005A60E1"/>
    <w:rsid w:val="005A610F"/>
    <w:rsid w:val="005A61F5"/>
    <w:rsid w:val="005A6207"/>
    <w:rsid w:val="005A6208"/>
    <w:rsid w:val="005A625B"/>
    <w:rsid w:val="005A6274"/>
    <w:rsid w:val="005A62BD"/>
    <w:rsid w:val="005A6331"/>
    <w:rsid w:val="005A6345"/>
    <w:rsid w:val="005A6389"/>
    <w:rsid w:val="005A639C"/>
    <w:rsid w:val="005A63AB"/>
    <w:rsid w:val="005A640B"/>
    <w:rsid w:val="005A644D"/>
    <w:rsid w:val="005A6475"/>
    <w:rsid w:val="005A648F"/>
    <w:rsid w:val="005A64BC"/>
    <w:rsid w:val="005A650C"/>
    <w:rsid w:val="005A651F"/>
    <w:rsid w:val="005A6544"/>
    <w:rsid w:val="005A6557"/>
    <w:rsid w:val="005A6559"/>
    <w:rsid w:val="005A655D"/>
    <w:rsid w:val="005A6590"/>
    <w:rsid w:val="005A65E9"/>
    <w:rsid w:val="005A65EF"/>
    <w:rsid w:val="005A65F3"/>
    <w:rsid w:val="005A65F8"/>
    <w:rsid w:val="005A6697"/>
    <w:rsid w:val="005A66B4"/>
    <w:rsid w:val="005A66F9"/>
    <w:rsid w:val="005A670C"/>
    <w:rsid w:val="005A6760"/>
    <w:rsid w:val="005A677F"/>
    <w:rsid w:val="005A6844"/>
    <w:rsid w:val="005A68EB"/>
    <w:rsid w:val="005A68F9"/>
    <w:rsid w:val="005A68FE"/>
    <w:rsid w:val="005A6906"/>
    <w:rsid w:val="005A6932"/>
    <w:rsid w:val="005A6991"/>
    <w:rsid w:val="005A6A15"/>
    <w:rsid w:val="005A6A63"/>
    <w:rsid w:val="005A6AC1"/>
    <w:rsid w:val="005A6B3F"/>
    <w:rsid w:val="005A6B48"/>
    <w:rsid w:val="005A6B61"/>
    <w:rsid w:val="005A6B97"/>
    <w:rsid w:val="005A6BD4"/>
    <w:rsid w:val="005A6C03"/>
    <w:rsid w:val="005A6C2D"/>
    <w:rsid w:val="005A6C9B"/>
    <w:rsid w:val="005A6C9F"/>
    <w:rsid w:val="005A6CE6"/>
    <w:rsid w:val="005A6CE8"/>
    <w:rsid w:val="005A6D1D"/>
    <w:rsid w:val="005A6D3A"/>
    <w:rsid w:val="005A6D43"/>
    <w:rsid w:val="005A6D9A"/>
    <w:rsid w:val="005A6DA8"/>
    <w:rsid w:val="005A6DF5"/>
    <w:rsid w:val="005A6E43"/>
    <w:rsid w:val="005A6E7B"/>
    <w:rsid w:val="005A6EB9"/>
    <w:rsid w:val="005A6EC2"/>
    <w:rsid w:val="005A6F1F"/>
    <w:rsid w:val="005A6F9F"/>
    <w:rsid w:val="005A6FD6"/>
    <w:rsid w:val="005A7002"/>
    <w:rsid w:val="005A7003"/>
    <w:rsid w:val="005A7011"/>
    <w:rsid w:val="005A7023"/>
    <w:rsid w:val="005A704B"/>
    <w:rsid w:val="005A7090"/>
    <w:rsid w:val="005A70DD"/>
    <w:rsid w:val="005A70E1"/>
    <w:rsid w:val="005A70ED"/>
    <w:rsid w:val="005A70F1"/>
    <w:rsid w:val="005A70F7"/>
    <w:rsid w:val="005A7116"/>
    <w:rsid w:val="005A724C"/>
    <w:rsid w:val="005A7273"/>
    <w:rsid w:val="005A7327"/>
    <w:rsid w:val="005A7333"/>
    <w:rsid w:val="005A733B"/>
    <w:rsid w:val="005A7357"/>
    <w:rsid w:val="005A73A0"/>
    <w:rsid w:val="005A73A2"/>
    <w:rsid w:val="005A73BA"/>
    <w:rsid w:val="005A73CA"/>
    <w:rsid w:val="005A7423"/>
    <w:rsid w:val="005A7432"/>
    <w:rsid w:val="005A743E"/>
    <w:rsid w:val="005A7445"/>
    <w:rsid w:val="005A749D"/>
    <w:rsid w:val="005A7516"/>
    <w:rsid w:val="005A7540"/>
    <w:rsid w:val="005A756E"/>
    <w:rsid w:val="005A7579"/>
    <w:rsid w:val="005A75AC"/>
    <w:rsid w:val="005A75B1"/>
    <w:rsid w:val="005A75D3"/>
    <w:rsid w:val="005A75D8"/>
    <w:rsid w:val="005A761E"/>
    <w:rsid w:val="005A765C"/>
    <w:rsid w:val="005A767F"/>
    <w:rsid w:val="005A7683"/>
    <w:rsid w:val="005A7740"/>
    <w:rsid w:val="005A778E"/>
    <w:rsid w:val="005A7795"/>
    <w:rsid w:val="005A77A9"/>
    <w:rsid w:val="005A77BA"/>
    <w:rsid w:val="005A77C8"/>
    <w:rsid w:val="005A780E"/>
    <w:rsid w:val="005A7811"/>
    <w:rsid w:val="005A7816"/>
    <w:rsid w:val="005A781E"/>
    <w:rsid w:val="005A782D"/>
    <w:rsid w:val="005A78A8"/>
    <w:rsid w:val="005A78FE"/>
    <w:rsid w:val="005A7981"/>
    <w:rsid w:val="005A79B5"/>
    <w:rsid w:val="005A79CB"/>
    <w:rsid w:val="005A79D1"/>
    <w:rsid w:val="005A7A07"/>
    <w:rsid w:val="005A7A7A"/>
    <w:rsid w:val="005A7AC7"/>
    <w:rsid w:val="005A7AF3"/>
    <w:rsid w:val="005A7BD1"/>
    <w:rsid w:val="005A7BFB"/>
    <w:rsid w:val="005A7BFD"/>
    <w:rsid w:val="005A7C33"/>
    <w:rsid w:val="005A7D1A"/>
    <w:rsid w:val="005A7D3E"/>
    <w:rsid w:val="005A7D61"/>
    <w:rsid w:val="005A7D69"/>
    <w:rsid w:val="005A7E02"/>
    <w:rsid w:val="005A7E10"/>
    <w:rsid w:val="005A7E1E"/>
    <w:rsid w:val="005A7E46"/>
    <w:rsid w:val="005A7E6C"/>
    <w:rsid w:val="005A7E97"/>
    <w:rsid w:val="005A7EA5"/>
    <w:rsid w:val="005A7F83"/>
    <w:rsid w:val="005A7FB6"/>
    <w:rsid w:val="005A7FC4"/>
    <w:rsid w:val="005A7FFE"/>
    <w:rsid w:val="005AE7C2"/>
    <w:rsid w:val="005B017F"/>
    <w:rsid w:val="005B0189"/>
    <w:rsid w:val="005B0190"/>
    <w:rsid w:val="005B01BA"/>
    <w:rsid w:val="005B01F3"/>
    <w:rsid w:val="005B025E"/>
    <w:rsid w:val="005B02A6"/>
    <w:rsid w:val="005B02E9"/>
    <w:rsid w:val="005B02EB"/>
    <w:rsid w:val="005B0311"/>
    <w:rsid w:val="005B031E"/>
    <w:rsid w:val="005B0357"/>
    <w:rsid w:val="005B0369"/>
    <w:rsid w:val="005B036A"/>
    <w:rsid w:val="005B03BC"/>
    <w:rsid w:val="005B03DD"/>
    <w:rsid w:val="005B03E4"/>
    <w:rsid w:val="005B03EA"/>
    <w:rsid w:val="005B0418"/>
    <w:rsid w:val="005B0476"/>
    <w:rsid w:val="005B04B0"/>
    <w:rsid w:val="005B04B7"/>
    <w:rsid w:val="005B04D1"/>
    <w:rsid w:val="005B050C"/>
    <w:rsid w:val="005B0574"/>
    <w:rsid w:val="005B058E"/>
    <w:rsid w:val="005B05F2"/>
    <w:rsid w:val="005B068C"/>
    <w:rsid w:val="005B06A0"/>
    <w:rsid w:val="005B06A6"/>
    <w:rsid w:val="005B06F0"/>
    <w:rsid w:val="005B06FE"/>
    <w:rsid w:val="005B071F"/>
    <w:rsid w:val="005B0760"/>
    <w:rsid w:val="005B076B"/>
    <w:rsid w:val="005B0795"/>
    <w:rsid w:val="005B07C1"/>
    <w:rsid w:val="005B07C5"/>
    <w:rsid w:val="005B0802"/>
    <w:rsid w:val="005B083C"/>
    <w:rsid w:val="005B0842"/>
    <w:rsid w:val="005B086B"/>
    <w:rsid w:val="005B088E"/>
    <w:rsid w:val="005B0891"/>
    <w:rsid w:val="005B08B7"/>
    <w:rsid w:val="005B08E8"/>
    <w:rsid w:val="005B095C"/>
    <w:rsid w:val="005B097F"/>
    <w:rsid w:val="005B09A1"/>
    <w:rsid w:val="005B09DD"/>
    <w:rsid w:val="005B0A2B"/>
    <w:rsid w:val="005B0AA1"/>
    <w:rsid w:val="005B0AA7"/>
    <w:rsid w:val="005B0B18"/>
    <w:rsid w:val="005B0B1C"/>
    <w:rsid w:val="005B0B58"/>
    <w:rsid w:val="005B0B7A"/>
    <w:rsid w:val="005B0B7D"/>
    <w:rsid w:val="005B0BB4"/>
    <w:rsid w:val="005B0BFB"/>
    <w:rsid w:val="005B0C23"/>
    <w:rsid w:val="005B0C9B"/>
    <w:rsid w:val="005B0CE4"/>
    <w:rsid w:val="005B0CE6"/>
    <w:rsid w:val="005B0D02"/>
    <w:rsid w:val="005B0D0F"/>
    <w:rsid w:val="005B0D54"/>
    <w:rsid w:val="005B0E54"/>
    <w:rsid w:val="005B0E7F"/>
    <w:rsid w:val="005B0E94"/>
    <w:rsid w:val="005B0F77"/>
    <w:rsid w:val="005B0F93"/>
    <w:rsid w:val="005B0FB3"/>
    <w:rsid w:val="005B0FC9"/>
    <w:rsid w:val="005B0FCD"/>
    <w:rsid w:val="005B0FD3"/>
    <w:rsid w:val="005B0FEE"/>
    <w:rsid w:val="005B1068"/>
    <w:rsid w:val="005B1072"/>
    <w:rsid w:val="005B10ED"/>
    <w:rsid w:val="005B10EE"/>
    <w:rsid w:val="005B1132"/>
    <w:rsid w:val="005B1149"/>
    <w:rsid w:val="005B1153"/>
    <w:rsid w:val="005B119D"/>
    <w:rsid w:val="005B1218"/>
    <w:rsid w:val="005B1234"/>
    <w:rsid w:val="005B12A5"/>
    <w:rsid w:val="005B139F"/>
    <w:rsid w:val="005B143F"/>
    <w:rsid w:val="005B14BF"/>
    <w:rsid w:val="005B14F0"/>
    <w:rsid w:val="005B14FD"/>
    <w:rsid w:val="005B1501"/>
    <w:rsid w:val="005B1533"/>
    <w:rsid w:val="005B1588"/>
    <w:rsid w:val="005B15C1"/>
    <w:rsid w:val="005B15F8"/>
    <w:rsid w:val="005B1641"/>
    <w:rsid w:val="005B1649"/>
    <w:rsid w:val="005B1674"/>
    <w:rsid w:val="005B16F9"/>
    <w:rsid w:val="005B1740"/>
    <w:rsid w:val="005B176A"/>
    <w:rsid w:val="005B176F"/>
    <w:rsid w:val="005B17D2"/>
    <w:rsid w:val="005B181A"/>
    <w:rsid w:val="005B183D"/>
    <w:rsid w:val="005B1979"/>
    <w:rsid w:val="005B19DE"/>
    <w:rsid w:val="005B1AE5"/>
    <w:rsid w:val="005B1B57"/>
    <w:rsid w:val="005B1BC9"/>
    <w:rsid w:val="005B1BCB"/>
    <w:rsid w:val="005B1BF4"/>
    <w:rsid w:val="005B1C20"/>
    <w:rsid w:val="005B1C5A"/>
    <w:rsid w:val="005B1CED"/>
    <w:rsid w:val="005B1D1F"/>
    <w:rsid w:val="005B1D4A"/>
    <w:rsid w:val="005B1D71"/>
    <w:rsid w:val="005B1D82"/>
    <w:rsid w:val="005B1D99"/>
    <w:rsid w:val="005B1DD0"/>
    <w:rsid w:val="005B1E32"/>
    <w:rsid w:val="005B1E77"/>
    <w:rsid w:val="005B1F1E"/>
    <w:rsid w:val="005B1F6D"/>
    <w:rsid w:val="005B1F7B"/>
    <w:rsid w:val="005B1F9F"/>
    <w:rsid w:val="005B1FEB"/>
    <w:rsid w:val="005B2006"/>
    <w:rsid w:val="005B2078"/>
    <w:rsid w:val="005B20B0"/>
    <w:rsid w:val="005B20ED"/>
    <w:rsid w:val="005B2103"/>
    <w:rsid w:val="005B210F"/>
    <w:rsid w:val="005B212C"/>
    <w:rsid w:val="005B2142"/>
    <w:rsid w:val="005B2194"/>
    <w:rsid w:val="005B21D7"/>
    <w:rsid w:val="005B21ED"/>
    <w:rsid w:val="005B21FA"/>
    <w:rsid w:val="005B2238"/>
    <w:rsid w:val="005B22A6"/>
    <w:rsid w:val="005B22A7"/>
    <w:rsid w:val="005B22AC"/>
    <w:rsid w:val="005B236F"/>
    <w:rsid w:val="005B2376"/>
    <w:rsid w:val="005B23A8"/>
    <w:rsid w:val="005B23FC"/>
    <w:rsid w:val="005B2412"/>
    <w:rsid w:val="005B2473"/>
    <w:rsid w:val="005B24E5"/>
    <w:rsid w:val="005B255F"/>
    <w:rsid w:val="005B256E"/>
    <w:rsid w:val="005B256F"/>
    <w:rsid w:val="005B25BF"/>
    <w:rsid w:val="005B25ED"/>
    <w:rsid w:val="005B25FA"/>
    <w:rsid w:val="005B261B"/>
    <w:rsid w:val="005B263C"/>
    <w:rsid w:val="005B264E"/>
    <w:rsid w:val="005B2654"/>
    <w:rsid w:val="005B267A"/>
    <w:rsid w:val="005B270B"/>
    <w:rsid w:val="005B2717"/>
    <w:rsid w:val="005B2723"/>
    <w:rsid w:val="005B277B"/>
    <w:rsid w:val="005B27AE"/>
    <w:rsid w:val="005B27CC"/>
    <w:rsid w:val="005B27D1"/>
    <w:rsid w:val="005B2858"/>
    <w:rsid w:val="005B2868"/>
    <w:rsid w:val="005B28A1"/>
    <w:rsid w:val="005B28F1"/>
    <w:rsid w:val="005B28F7"/>
    <w:rsid w:val="005B2917"/>
    <w:rsid w:val="005B2919"/>
    <w:rsid w:val="005B2947"/>
    <w:rsid w:val="005B2969"/>
    <w:rsid w:val="005B2980"/>
    <w:rsid w:val="005B29B4"/>
    <w:rsid w:val="005B2A20"/>
    <w:rsid w:val="005B2A24"/>
    <w:rsid w:val="005B2A78"/>
    <w:rsid w:val="005B2A82"/>
    <w:rsid w:val="005B2A97"/>
    <w:rsid w:val="005B2AD5"/>
    <w:rsid w:val="005B2AE7"/>
    <w:rsid w:val="005B2B41"/>
    <w:rsid w:val="005B2B69"/>
    <w:rsid w:val="005B2B88"/>
    <w:rsid w:val="005B2BB0"/>
    <w:rsid w:val="005B2BC6"/>
    <w:rsid w:val="005B2BD4"/>
    <w:rsid w:val="005B2BE6"/>
    <w:rsid w:val="005B2BED"/>
    <w:rsid w:val="005B2BF3"/>
    <w:rsid w:val="005B2C49"/>
    <w:rsid w:val="005B2C62"/>
    <w:rsid w:val="005B2C96"/>
    <w:rsid w:val="005B2C99"/>
    <w:rsid w:val="005B2D27"/>
    <w:rsid w:val="005B2DA0"/>
    <w:rsid w:val="005B2DBC"/>
    <w:rsid w:val="005B2DCC"/>
    <w:rsid w:val="005B2DD3"/>
    <w:rsid w:val="005B2DD8"/>
    <w:rsid w:val="005B2DE1"/>
    <w:rsid w:val="005B2EA1"/>
    <w:rsid w:val="005B2F25"/>
    <w:rsid w:val="005B2F36"/>
    <w:rsid w:val="005B2F77"/>
    <w:rsid w:val="005B2FB9"/>
    <w:rsid w:val="005B2FE4"/>
    <w:rsid w:val="005B2FF3"/>
    <w:rsid w:val="005B3090"/>
    <w:rsid w:val="005B30BC"/>
    <w:rsid w:val="005B3122"/>
    <w:rsid w:val="005B3131"/>
    <w:rsid w:val="005B3187"/>
    <w:rsid w:val="005B31B1"/>
    <w:rsid w:val="005B31DD"/>
    <w:rsid w:val="005B31F9"/>
    <w:rsid w:val="005B3225"/>
    <w:rsid w:val="005B3250"/>
    <w:rsid w:val="005B3252"/>
    <w:rsid w:val="005B3278"/>
    <w:rsid w:val="005B327B"/>
    <w:rsid w:val="005B327C"/>
    <w:rsid w:val="005B32D1"/>
    <w:rsid w:val="005B3329"/>
    <w:rsid w:val="005B332A"/>
    <w:rsid w:val="005B335C"/>
    <w:rsid w:val="005B33DA"/>
    <w:rsid w:val="005B33E3"/>
    <w:rsid w:val="005B33F1"/>
    <w:rsid w:val="005B33F5"/>
    <w:rsid w:val="005B3434"/>
    <w:rsid w:val="005B347D"/>
    <w:rsid w:val="005B351F"/>
    <w:rsid w:val="005B3559"/>
    <w:rsid w:val="005B359E"/>
    <w:rsid w:val="005B35A4"/>
    <w:rsid w:val="005B35DD"/>
    <w:rsid w:val="005B360A"/>
    <w:rsid w:val="005B3624"/>
    <w:rsid w:val="005B36A6"/>
    <w:rsid w:val="005B36C9"/>
    <w:rsid w:val="005B36D3"/>
    <w:rsid w:val="005B36D8"/>
    <w:rsid w:val="005B36FF"/>
    <w:rsid w:val="005B370D"/>
    <w:rsid w:val="005B371C"/>
    <w:rsid w:val="005B3785"/>
    <w:rsid w:val="005B378F"/>
    <w:rsid w:val="005B37E4"/>
    <w:rsid w:val="005B382A"/>
    <w:rsid w:val="005B3844"/>
    <w:rsid w:val="005B3879"/>
    <w:rsid w:val="005B389F"/>
    <w:rsid w:val="005B38AC"/>
    <w:rsid w:val="005B38FC"/>
    <w:rsid w:val="005B390B"/>
    <w:rsid w:val="005B3948"/>
    <w:rsid w:val="005B396D"/>
    <w:rsid w:val="005B39F0"/>
    <w:rsid w:val="005B3A37"/>
    <w:rsid w:val="005B3A3E"/>
    <w:rsid w:val="005B3A40"/>
    <w:rsid w:val="005B3A4B"/>
    <w:rsid w:val="005B3A60"/>
    <w:rsid w:val="005B3A68"/>
    <w:rsid w:val="005B3ACF"/>
    <w:rsid w:val="005B3AFB"/>
    <w:rsid w:val="005B3B01"/>
    <w:rsid w:val="005B3BB0"/>
    <w:rsid w:val="005B3BC4"/>
    <w:rsid w:val="005B3BD9"/>
    <w:rsid w:val="005B3C58"/>
    <w:rsid w:val="005B3C9C"/>
    <w:rsid w:val="005B3CCD"/>
    <w:rsid w:val="005B3CFA"/>
    <w:rsid w:val="005B3D3B"/>
    <w:rsid w:val="005B3D88"/>
    <w:rsid w:val="005B3D95"/>
    <w:rsid w:val="005B3DB7"/>
    <w:rsid w:val="005B3DC3"/>
    <w:rsid w:val="005B3E11"/>
    <w:rsid w:val="005B3E40"/>
    <w:rsid w:val="005B3EA1"/>
    <w:rsid w:val="005B3EBC"/>
    <w:rsid w:val="005B3F18"/>
    <w:rsid w:val="005B3F21"/>
    <w:rsid w:val="005B3F53"/>
    <w:rsid w:val="005B3F5B"/>
    <w:rsid w:val="005B3F7A"/>
    <w:rsid w:val="005B3F8B"/>
    <w:rsid w:val="005B3FAC"/>
    <w:rsid w:val="005B3FB5"/>
    <w:rsid w:val="005B3FCD"/>
    <w:rsid w:val="005B403E"/>
    <w:rsid w:val="005B4065"/>
    <w:rsid w:val="005B40FD"/>
    <w:rsid w:val="005B4109"/>
    <w:rsid w:val="005B414B"/>
    <w:rsid w:val="005B415D"/>
    <w:rsid w:val="005B416C"/>
    <w:rsid w:val="005B418F"/>
    <w:rsid w:val="005B419E"/>
    <w:rsid w:val="005B41FA"/>
    <w:rsid w:val="005B4277"/>
    <w:rsid w:val="005B42A9"/>
    <w:rsid w:val="005B4348"/>
    <w:rsid w:val="005B4369"/>
    <w:rsid w:val="005B437D"/>
    <w:rsid w:val="005B43AF"/>
    <w:rsid w:val="005B4480"/>
    <w:rsid w:val="005B44BF"/>
    <w:rsid w:val="005B44F0"/>
    <w:rsid w:val="005B4516"/>
    <w:rsid w:val="005B453C"/>
    <w:rsid w:val="005B4563"/>
    <w:rsid w:val="005B4601"/>
    <w:rsid w:val="005B4645"/>
    <w:rsid w:val="005B468A"/>
    <w:rsid w:val="005B46C8"/>
    <w:rsid w:val="005B46E3"/>
    <w:rsid w:val="005B4711"/>
    <w:rsid w:val="005B471C"/>
    <w:rsid w:val="005B485C"/>
    <w:rsid w:val="005B48A2"/>
    <w:rsid w:val="005B48BD"/>
    <w:rsid w:val="005B48D6"/>
    <w:rsid w:val="005B4904"/>
    <w:rsid w:val="005B4905"/>
    <w:rsid w:val="005B4910"/>
    <w:rsid w:val="005B494D"/>
    <w:rsid w:val="005B49B0"/>
    <w:rsid w:val="005B4A08"/>
    <w:rsid w:val="005B4A25"/>
    <w:rsid w:val="005B4A38"/>
    <w:rsid w:val="005B4ABE"/>
    <w:rsid w:val="005B4AEB"/>
    <w:rsid w:val="005B4AF5"/>
    <w:rsid w:val="005B4B0B"/>
    <w:rsid w:val="005B4B95"/>
    <w:rsid w:val="005B4BAB"/>
    <w:rsid w:val="005B4BD0"/>
    <w:rsid w:val="005B4C29"/>
    <w:rsid w:val="005B4C3B"/>
    <w:rsid w:val="005B4CBA"/>
    <w:rsid w:val="005B4CBF"/>
    <w:rsid w:val="005B4CEE"/>
    <w:rsid w:val="005B4D09"/>
    <w:rsid w:val="005B4D15"/>
    <w:rsid w:val="005B4D22"/>
    <w:rsid w:val="005B4D64"/>
    <w:rsid w:val="005B4D95"/>
    <w:rsid w:val="005B4D99"/>
    <w:rsid w:val="005B4DD9"/>
    <w:rsid w:val="005B4E15"/>
    <w:rsid w:val="005B4EC2"/>
    <w:rsid w:val="005B4ED7"/>
    <w:rsid w:val="005B4F1D"/>
    <w:rsid w:val="005B4F43"/>
    <w:rsid w:val="005B4F68"/>
    <w:rsid w:val="005B4F8C"/>
    <w:rsid w:val="005B4FBD"/>
    <w:rsid w:val="005B4FE4"/>
    <w:rsid w:val="005B5008"/>
    <w:rsid w:val="005B501E"/>
    <w:rsid w:val="005B50B1"/>
    <w:rsid w:val="005B510A"/>
    <w:rsid w:val="005B512A"/>
    <w:rsid w:val="005B5142"/>
    <w:rsid w:val="005B5157"/>
    <w:rsid w:val="005B51CD"/>
    <w:rsid w:val="005B5287"/>
    <w:rsid w:val="005B52FE"/>
    <w:rsid w:val="005B533A"/>
    <w:rsid w:val="005B533C"/>
    <w:rsid w:val="005B53AC"/>
    <w:rsid w:val="005B53DA"/>
    <w:rsid w:val="005B53E3"/>
    <w:rsid w:val="005B5438"/>
    <w:rsid w:val="005B544C"/>
    <w:rsid w:val="005B54EB"/>
    <w:rsid w:val="005B54F7"/>
    <w:rsid w:val="005B552D"/>
    <w:rsid w:val="005B553B"/>
    <w:rsid w:val="005B5553"/>
    <w:rsid w:val="005B559F"/>
    <w:rsid w:val="005B55AF"/>
    <w:rsid w:val="005B5649"/>
    <w:rsid w:val="005B5658"/>
    <w:rsid w:val="005B5687"/>
    <w:rsid w:val="005B56B6"/>
    <w:rsid w:val="005B56B7"/>
    <w:rsid w:val="005B571E"/>
    <w:rsid w:val="005B577A"/>
    <w:rsid w:val="005B57E8"/>
    <w:rsid w:val="005B580A"/>
    <w:rsid w:val="005B5844"/>
    <w:rsid w:val="005B58B6"/>
    <w:rsid w:val="005B58DE"/>
    <w:rsid w:val="005B58EC"/>
    <w:rsid w:val="005B5905"/>
    <w:rsid w:val="005B5932"/>
    <w:rsid w:val="005B595B"/>
    <w:rsid w:val="005B5970"/>
    <w:rsid w:val="005B59E0"/>
    <w:rsid w:val="005B5A6E"/>
    <w:rsid w:val="005B5A7B"/>
    <w:rsid w:val="005B5ADE"/>
    <w:rsid w:val="005B5AFB"/>
    <w:rsid w:val="005B5B0F"/>
    <w:rsid w:val="005B5B43"/>
    <w:rsid w:val="005B5BF3"/>
    <w:rsid w:val="005B5C3B"/>
    <w:rsid w:val="005B5C7D"/>
    <w:rsid w:val="005B5C8D"/>
    <w:rsid w:val="005B5CC1"/>
    <w:rsid w:val="005B5CC2"/>
    <w:rsid w:val="005B5CCF"/>
    <w:rsid w:val="005B5DF0"/>
    <w:rsid w:val="005B5E1B"/>
    <w:rsid w:val="005B5F4C"/>
    <w:rsid w:val="005B5F95"/>
    <w:rsid w:val="005B5FB0"/>
    <w:rsid w:val="005B5FE9"/>
    <w:rsid w:val="005B5FEE"/>
    <w:rsid w:val="005B6019"/>
    <w:rsid w:val="005B604C"/>
    <w:rsid w:val="005B6112"/>
    <w:rsid w:val="005B613E"/>
    <w:rsid w:val="005B618E"/>
    <w:rsid w:val="005B61A1"/>
    <w:rsid w:val="005B6202"/>
    <w:rsid w:val="005B6204"/>
    <w:rsid w:val="005B6286"/>
    <w:rsid w:val="005B6292"/>
    <w:rsid w:val="005B62E3"/>
    <w:rsid w:val="005B62E9"/>
    <w:rsid w:val="005B62ED"/>
    <w:rsid w:val="005B62F2"/>
    <w:rsid w:val="005B6374"/>
    <w:rsid w:val="005B63C1"/>
    <w:rsid w:val="005B644D"/>
    <w:rsid w:val="005B6485"/>
    <w:rsid w:val="005B648C"/>
    <w:rsid w:val="005B6491"/>
    <w:rsid w:val="005B6494"/>
    <w:rsid w:val="005B64A7"/>
    <w:rsid w:val="005B660C"/>
    <w:rsid w:val="005B6652"/>
    <w:rsid w:val="005B668C"/>
    <w:rsid w:val="005B6712"/>
    <w:rsid w:val="005B67C3"/>
    <w:rsid w:val="005B6852"/>
    <w:rsid w:val="005B6856"/>
    <w:rsid w:val="005B6877"/>
    <w:rsid w:val="005B6981"/>
    <w:rsid w:val="005B69B5"/>
    <w:rsid w:val="005B69CE"/>
    <w:rsid w:val="005B6A19"/>
    <w:rsid w:val="005B6A67"/>
    <w:rsid w:val="005B6A6B"/>
    <w:rsid w:val="005B6AF8"/>
    <w:rsid w:val="005B6B3F"/>
    <w:rsid w:val="005B6B65"/>
    <w:rsid w:val="005B6BC1"/>
    <w:rsid w:val="005B6BC5"/>
    <w:rsid w:val="005B6BCC"/>
    <w:rsid w:val="005B6BCE"/>
    <w:rsid w:val="005B6BF6"/>
    <w:rsid w:val="005B6C2B"/>
    <w:rsid w:val="005B6C77"/>
    <w:rsid w:val="005B6C91"/>
    <w:rsid w:val="005B6CCD"/>
    <w:rsid w:val="005B6D0F"/>
    <w:rsid w:val="005B6D63"/>
    <w:rsid w:val="005B6DDB"/>
    <w:rsid w:val="005B6DFE"/>
    <w:rsid w:val="005B6E1F"/>
    <w:rsid w:val="005B6E91"/>
    <w:rsid w:val="005B6EE0"/>
    <w:rsid w:val="005B6EE5"/>
    <w:rsid w:val="005B6EF5"/>
    <w:rsid w:val="005B6F31"/>
    <w:rsid w:val="005B6F74"/>
    <w:rsid w:val="005B6FD1"/>
    <w:rsid w:val="005B6FD4"/>
    <w:rsid w:val="005B7047"/>
    <w:rsid w:val="005B709B"/>
    <w:rsid w:val="005B70BC"/>
    <w:rsid w:val="005B70DF"/>
    <w:rsid w:val="005B7124"/>
    <w:rsid w:val="005B7127"/>
    <w:rsid w:val="005B713A"/>
    <w:rsid w:val="005B7145"/>
    <w:rsid w:val="005B7146"/>
    <w:rsid w:val="005B716C"/>
    <w:rsid w:val="005B7178"/>
    <w:rsid w:val="005B7182"/>
    <w:rsid w:val="005B71D5"/>
    <w:rsid w:val="005B71DB"/>
    <w:rsid w:val="005B71F6"/>
    <w:rsid w:val="005B7203"/>
    <w:rsid w:val="005B723A"/>
    <w:rsid w:val="005B726D"/>
    <w:rsid w:val="005B72F7"/>
    <w:rsid w:val="005B7357"/>
    <w:rsid w:val="005B7409"/>
    <w:rsid w:val="005B745D"/>
    <w:rsid w:val="005B7483"/>
    <w:rsid w:val="005B74A2"/>
    <w:rsid w:val="005B74BD"/>
    <w:rsid w:val="005B74E8"/>
    <w:rsid w:val="005B756F"/>
    <w:rsid w:val="005B75B2"/>
    <w:rsid w:val="005B75E3"/>
    <w:rsid w:val="005B761A"/>
    <w:rsid w:val="005B7661"/>
    <w:rsid w:val="005B7664"/>
    <w:rsid w:val="005B76A9"/>
    <w:rsid w:val="005B76AB"/>
    <w:rsid w:val="005B76EE"/>
    <w:rsid w:val="005B7736"/>
    <w:rsid w:val="005B773E"/>
    <w:rsid w:val="005B773F"/>
    <w:rsid w:val="005B7775"/>
    <w:rsid w:val="005B7810"/>
    <w:rsid w:val="005B783D"/>
    <w:rsid w:val="005B78B0"/>
    <w:rsid w:val="005B7941"/>
    <w:rsid w:val="005B7957"/>
    <w:rsid w:val="005B79A2"/>
    <w:rsid w:val="005B79A4"/>
    <w:rsid w:val="005B79D4"/>
    <w:rsid w:val="005B7A11"/>
    <w:rsid w:val="005B7A13"/>
    <w:rsid w:val="005B7A50"/>
    <w:rsid w:val="005B7A5D"/>
    <w:rsid w:val="005B7A6D"/>
    <w:rsid w:val="005B7AE2"/>
    <w:rsid w:val="005B7AF6"/>
    <w:rsid w:val="005B7AF9"/>
    <w:rsid w:val="005B7B44"/>
    <w:rsid w:val="005B7B97"/>
    <w:rsid w:val="005B7BE4"/>
    <w:rsid w:val="005B7C08"/>
    <w:rsid w:val="005B7C16"/>
    <w:rsid w:val="005B7C8D"/>
    <w:rsid w:val="005B7D06"/>
    <w:rsid w:val="005B7D1E"/>
    <w:rsid w:val="005B7D70"/>
    <w:rsid w:val="005B7DAF"/>
    <w:rsid w:val="005B7DB1"/>
    <w:rsid w:val="005B7DC6"/>
    <w:rsid w:val="005B7DC8"/>
    <w:rsid w:val="005B7E3A"/>
    <w:rsid w:val="005B7E6B"/>
    <w:rsid w:val="005B7E95"/>
    <w:rsid w:val="005B7EA2"/>
    <w:rsid w:val="005B7EA7"/>
    <w:rsid w:val="005B7ECE"/>
    <w:rsid w:val="005B7F5E"/>
    <w:rsid w:val="005B7F85"/>
    <w:rsid w:val="005B7FC3"/>
    <w:rsid w:val="005B7FCA"/>
    <w:rsid w:val="005B7FEC"/>
    <w:rsid w:val="005C0041"/>
    <w:rsid w:val="005C004D"/>
    <w:rsid w:val="005C00B1"/>
    <w:rsid w:val="005C00CF"/>
    <w:rsid w:val="005C00EE"/>
    <w:rsid w:val="005C010F"/>
    <w:rsid w:val="005C011B"/>
    <w:rsid w:val="005C016B"/>
    <w:rsid w:val="005C01A5"/>
    <w:rsid w:val="005C01FD"/>
    <w:rsid w:val="005C020B"/>
    <w:rsid w:val="005C0254"/>
    <w:rsid w:val="005C0276"/>
    <w:rsid w:val="005C02C1"/>
    <w:rsid w:val="005C02FB"/>
    <w:rsid w:val="005C0338"/>
    <w:rsid w:val="005C03C7"/>
    <w:rsid w:val="005C043F"/>
    <w:rsid w:val="005C046D"/>
    <w:rsid w:val="005C0470"/>
    <w:rsid w:val="005C047D"/>
    <w:rsid w:val="005C0497"/>
    <w:rsid w:val="005C0498"/>
    <w:rsid w:val="005C0518"/>
    <w:rsid w:val="005C0555"/>
    <w:rsid w:val="005C0577"/>
    <w:rsid w:val="005C05AD"/>
    <w:rsid w:val="005C05BB"/>
    <w:rsid w:val="005C0606"/>
    <w:rsid w:val="005C060E"/>
    <w:rsid w:val="005C0688"/>
    <w:rsid w:val="005C06A3"/>
    <w:rsid w:val="005C06C6"/>
    <w:rsid w:val="005C0713"/>
    <w:rsid w:val="005C0718"/>
    <w:rsid w:val="005C0722"/>
    <w:rsid w:val="005C0728"/>
    <w:rsid w:val="005C072D"/>
    <w:rsid w:val="005C0773"/>
    <w:rsid w:val="005C07A4"/>
    <w:rsid w:val="005C07CC"/>
    <w:rsid w:val="005C07E2"/>
    <w:rsid w:val="005C0842"/>
    <w:rsid w:val="005C084D"/>
    <w:rsid w:val="005C087C"/>
    <w:rsid w:val="005C088F"/>
    <w:rsid w:val="005C08B0"/>
    <w:rsid w:val="005C08D9"/>
    <w:rsid w:val="005C08E8"/>
    <w:rsid w:val="005C0943"/>
    <w:rsid w:val="005C095A"/>
    <w:rsid w:val="005C0967"/>
    <w:rsid w:val="005C096A"/>
    <w:rsid w:val="005C0990"/>
    <w:rsid w:val="005C09FA"/>
    <w:rsid w:val="005C0A8C"/>
    <w:rsid w:val="005C0AE0"/>
    <w:rsid w:val="005C0D4C"/>
    <w:rsid w:val="005C0D5A"/>
    <w:rsid w:val="005C0D9E"/>
    <w:rsid w:val="005C0DD3"/>
    <w:rsid w:val="005C0DD6"/>
    <w:rsid w:val="005C0E00"/>
    <w:rsid w:val="005C0E2F"/>
    <w:rsid w:val="005C0E41"/>
    <w:rsid w:val="005C0E53"/>
    <w:rsid w:val="005C0E8B"/>
    <w:rsid w:val="005C0E99"/>
    <w:rsid w:val="005C0ECF"/>
    <w:rsid w:val="005C0F29"/>
    <w:rsid w:val="005C0F5F"/>
    <w:rsid w:val="005C0F8A"/>
    <w:rsid w:val="005C0FA4"/>
    <w:rsid w:val="005C0FDF"/>
    <w:rsid w:val="005C0FEB"/>
    <w:rsid w:val="005C0FFC"/>
    <w:rsid w:val="005C1018"/>
    <w:rsid w:val="005C108F"/>
    <w:rsid w:val="005C10B2"/>
    <w:rsid w:val="005C1101"/>
    <w:rsid w:val="005C1119"/>
    <w:rsid w:val="005C1174"/>
    <w:rsid w:val="005C117C"/>
    <w:rsid w:val="005C1184"/>
    <w:rsid w:val="005C11FD"/>
    <w:rsid w:val="005C1212"/>
    <w:rsid w:val="005C1225"/>
    <w:rsid w:val="005C1242"/>
    <w:rsid w:val="005C12BD"/>
    <w:rsid w:val="005C12D4"/>
    <w:rsid w:val="005C12ED"/>
    <w:rsid w:val="005C1388"/>
    <w:rsid w:val="005C13C5"/>
    <w:rsid w:val="005C13CB"/>
    <w:rsid w:val="005C13EC"/>
    <w:rsid w:val="005C1479"/>
    <w:rsid w:val="005C149A"/>
    <w:rsid w:val="005C14A1"/>
    <w:rsid w:val="005C1501"/>
    <w:rsid w:val="005C1529"/>
    <w:rsid w:val="005C1566"/>
    <w:rsid w:val="005C1595"/>
    <w:rsid w:val="005C15A0"/>
    <w:rsid w:val="005C15A5"/>
    <w:rsid w:val="005C15D6"/>
    <w:rsid w:val="005C15D8"/>
    <w:rsid w:val="005C15DD"/>
    <w:rsid w:val="005C1616"/>
    <w:rsid w:val="005C1653"/>
    <w:rsid w:val="005C16D3"/>
    <w:rsid w:val="005C1737"/>
    <w:rsid w:val="005C173B"/>
    <w:rsid w:val="005C17E6"/>
    <w:rsid w:val="005C181F"/>
    <w:rsid w:val="005C190D"/>
    <w:rsid w:val="005C19D8"/>
    <w:rsid w:val="005C19E5"/>
    <w:rsid w:val="005C19EF"/>
    <w:rsid w:val="005C1A1B"/>
    <w:rsid w:val="005C1A4A"/>
    <w:rsid w:val="005C1AAA"/>
    <w:rsid w:val="005C1AE1"/>
    <w:rsid w:val="005C1B79"/>
    <w:rsid w:val="005C1B97"/>
    <w:rsid w:val="005C1B9D"/>
    <w:rsid w:val="005C1BB4"/>
    <w:rsid w:val="005C1C15"/>
    <w:rsid w:val="005C1C16"/>
    <w:rsid w:val="005C1C6F"/>
    <w:rsid w:val="005C1CAF"/>
    <w:rsid w:val="005C1CCA"/>
    <w:rsid w:val="005C1D7C"/>
    <w:rsid w:val="005C1D95"/>
    <w:rsid w:val="005C1DB8"/>
    <w:rsid w:val="005C1DF5"/>
    <w:rsid w:val="005C1E2C"/>
    <w:rsid w:val="005C1E5A"/>
    <w:rsid w:val="005C1E7A"/>
    <w:rsid w:val="005C1F03"/>
    <w:rsid w:val="005C1F75"/>
    <w:rsid w:val="005C1FCE"/>
    <w:rsid w:val="005C1FF3"/>
    <w:rsid w:val="005C207D"/>
    <w:rsid w:val="005C2099"/>
    <w:rsid w:val="005C20A3"/>
    <w:rsid w:val="005C2118"/>
    <w:rsid w:val="005C21C6"/>
    <w:rsid w:val="005C2255"/>
    <w:rsid w:val="005C2276"/>
    <w:rsid w:val="005C22C7"/>
    <w:rsid w:val="005C22E2"/>
    <w:rsid w:val="005C2324"/>
    <w:rsid w:val="005C23ED"/>
    <w:rsid w:val="005C2434"/>
    <w:rsid w:val="005C24A6"/>
    <w:rsid w:val="005C24D1"/>
    <w:rsid w:val="005C2509"/>
    <w:rsid w:val="005C2543"/>
    <w:rsid w:val="005C25A8"/>
    <w:rsid w:val="005C25ED"/>
    <w:rsid w:val="005C2614"/>
    <w:rsid w:val="005C26AE"/>
    <w:rsid w:val="005C2702"/>
    <w:rsid w:val="005C2741"/>
    <w:rsid w:val="005C278C"/>
    <w:rsid w:val="005C2852"/>
    <w:rsid w:val="005C2854"/>
    <w:rsid w:val="005C2902"/>
    <w:rsid w:val="005C2968"/>
    <w:rsid w:val="005C2979"/>
    <w:rsid w:val="005C29A1"/>
    <w:rsid w:val="005C2A16"/>
    <w:rsid w:val="005C2A94"/>
    <w:rsid w:val="005C2AE3"/>
    <w:rsid w:val="005C2B41"/>
    <w:rsid w:val="005C2B50"/>
    <w:rsid w:val="005C2BDC"/>
    <w:rsid w:val="005C2BF3"/>
    <w:rsid w:val="005C2C08"/>
    <w:rsid w:val="005C2C56"/>
    <w:rsid w:val="005C2C7C"/>
    <w:rsid w:val="005C2CA8"/>
    <w:rsid w:val="005C2D1C"/>
    <w:rsid w:val="005C2D3C"/>
    <w:rsid w:val="005C2D4D"/>
    <w:rsid w:val="005C2D60"/>
    <w:rsid w:val="005C2D94"/>
    <w:rsid w:val="005C2DE6"/>
    <w:rsid w:val="005C2E03"/>
    <w:rsid w:val="005C2E16"/>
    <w:rsid w:val="005C2E38"/>
    <w:rsid w:val="005C2E8B"/>
    <w:rsid w:val="005C2E94"/>
    <w:rsid w:val="005C2F46"/>
    <w:rsid w:val="005C2F53"/>
    <w:rsid w:val="005C2FFF"/>
    <w:rsid w:val="005C304B"/>
    <w:rsid w:val="005C3075"/>
    <w:rsid w:val="005C3117"/>
    <w:rsid w:val="005C3147"/>
    <w:rsid w:val="005C3187"/>
    <w:rsid w:val="005C31D4"/>
    <w:rsid w:val="005C3224"/>
    <w:rsid w:val="005C324B"/>
    <w:rsid w:val="005C3299"/>
    <w:rsid w:val="005C32DC"/>
    <w:rsid w:val="005C3305"/>
    <w:rsid w:val="005C3310"/>
    <w:rsid w:val="005C3338"/>
    <w:rsid w:val="005C3355"/>
    <w:rsid w:val="005C3367"/>
    <w:rsid w:val="005C3375"/>
    <w:rsid w:val="005C33BA"/>
    <w:rsid w:val="005C3450"/>
    <w:rsid w:val="005C3483"/>
    <w:rsid w:val="005C34AA"/>
    <w:rsid w:val="005C34C8"/>
    <w:rsid w:val="005C352F"/>
    <w:rsid w:val="005C3601"/>
    <w:rsid w:val="005C3602"/>
    <w:rsid w:val="005C3631"/>
    <w:rsid w:val="005C36B5"/>
    <w:rsid w:val="005C36B9"/>
    <w:rsid w:val="005C3722"/>
    <w:rsid w:val="005C3732"/>
    <w:rsid w:val="005C3783"/>
    <w:rsid w:val="005C3795"/>
    <w:rsid w:val="005C37A4"/>
    <w:rsid w:val="005C37E8"/>
    <w:rsid w:val="005C3816"/>
    <w:rsid w:val="005C3836"/>
    <w:rsid w:val="005C3887"/>
    <w:rsid w:val="005C3920"/>
    <w:rsid w:val="005C394B"/>
    <w:rsid w:val="005C3987"/>
    <w:rsid w:val="005C3993"/>
    <w:rsid w:val="005C39DA"/>
    <w:rsid w:val="005C39F0"/>
    <w:rsid w:val="005C3A43"/>
    <w:rsid w:val="005C3A90"/>
    <w:rsid w:val="005C3AE6"/>
    <w:rsid w:val="005C3B04"/>
    <w:rsid w:val="005C3B06"/>
    <w:rsid w:val="005C3B38"/>
    <w:rsid w:val="005C3B47"/>
    <w:rsid w:val="005C3BA1"/>
    <w:rsid w:val="005C3BEC"/>
    <w:rsid w:val="005C3BEF"/>
    <w:rsid w:val="005C3C59"/>
    <w:rsid w:val="005C3C6C"/>
    <w:rsid w:val="005C3C80"/>
    <w:rsid w:val="005C3CFF"/>
    <w:rsid w:val="005C3D3A"/>
    <w:rsid w:val="005C3D9E"/>
    <w:rsid w:val="005C3DFA"/>
    <w:rsid w:val="005C3E13"/>
    <w:rsid w:val="005C3E57"/>
    <w:rsid w:val="005C3E5C"/>
    <w:rsid w:val="005C3EEC"/>
    <w:rsid w:val="005C3F06"/>
    <w:rsid w:val="005C3F47"/>
    <w:rsid w:val="005C3F69"/>
    <w:rsid w:val="005C3F7A"/>
    <w:rsid w:val="005C3FA8"/>
    <w:rsid w:val="005C3FD6"/>
    <w:rsid w:val="005C401A"/>
    <w:rsid w:val="005C4028"/>
    <w:rsid w:val="005C404E"/>
    <w:rsid w:val="005C405D"/>
    <w:rsid w:val="005C40F3"/>
    <w:rsid w:val="005C410E"/>
    <w:rsid w:val="005C4172"/>
    <w:rsid w:val="005C41A6"/>
    <w:rsid w:val="005C41A7"/>
    <w:rsid w:val="005C41C5"/>
    <w:rsid w:val="005C422F"/>
    <w:rsid w:val="005C4248"/>
    <w:rsid w:val="005C426C"/>
    <w:rsid w:val="005C4293"/>
    <w:rsid w:val="005C42A1"/>
    <w:rsid w:val="005C42D6"/>
    <w:rsid w:val="005C430F"/>
    <w:rsid w:val="005C4344"/>
    <w:rsid w:val="005C4356"/>
    <w:rsid w:val="005C4410"/>
    <w:rsid w:val="005C4417"/>
    <w:rsid w:val="005C441F"/>
    <w:rsid w:val="005C4433"/>
    <w:rsid w:val="005C4459"/>
    <w:rsid w:val="005C446C"/>
    <w:rsid w:val="005C449B"/>
    <w:rsid w:val="005C449D"/>
    <w:rsid w:val="005C44C7"/>
    <w:rsid w:val="005C44D7"/>
    <w:rsid w:val="005C44F6"/>
    <w:rsid w:val="005C4506"/>
    <w:rsid w:val="005C458C"/>
    <w:rsid w:val="005C459E"/>
    <w:rsid w:val="005C45CC"/>
    <w:rsid w:val="005C46A7"/>
    <w:rsid w:val="005C46F1"/>
    <w:rsid w:val="005C474E"/>
    <w:rsid w:val="005C47C5"/>
    <w:rsid w:val="005C4838"/>
    <w:rsid w:val="005C4868"/>
    <w:rsid w:val="005C48CD"/>
    <w:rsid w:val="005C48F6"/>
    <w:rsid w:val="005C493A"/>
    <w:rsid w:val="005C4946"/>
    <w:rsid w:val="005C495E"/>
    <w:rsid w:val="005C4978"/>
    <w:rsid w:val="005C498F"/>
    <w:rsid w:val="005C49BC"/>
    <w:rsid w:val="005C4A01"/>
    <w:rsid w:val="005C4A41"/>
    <w:rsid w:val="005C4A48"/>
    <w:rsid w:val="005C4A6A"/>
    <w:rsid w:val="005C4AD1"/>
    <w:rsid w:val="005C4ADC"/>
    <w:rsid w:val="005C4B71"/>
    <w:rsid w:val="005C4B75"/>
    <w:rsid w:val="005C4BAC"/>
    <w:rsid w:val="005C4BCA"/>
    <w:rsid w:val="005C4BD4"/>
    <w:rsid w:val="005C4C66"/>
    <w:rsid w:val="005C4C82"/>
    <w:rsid w:val="005C4CBA"/>
    <w:rsid w:val="005C4CC8"/>
    <w:rsid w:val="005C4CEB"/>
    <w:rsid w:val="005C4D0C"/>
    <w:rsid w:val="005C4D48"/>
    <w:rsid w:val="005C4D6D"/>
    <w:rsid w:val="005C4D81"/>
    <w:rsid w:val="005C4E30"/>
    <w:rsid w:val="005C4E4C"/>
    <w:rsid w:val="005C4E9D"/>
    <w:rsid w:val="005C4EAA"/>
    <w:rsid w:val="005C4EBB"/>
    <w:rsid w:val="005C4EBE"/>
    <w:rsid w:val="005C4F45"/>
    <w:rsid w:val="005C4FB6"/>
    <w:rsid w:val="005C4FE7"/>
    <w:rsid w:val="005C5009"/>
    <w:rsid w:val="005C5031"/>
    <w:rsid w:val="005C5036"/>
    <w:rsid w:val="005C506E"/>
    <w:rsid w:val="005C5075"/>
    <w:rsid w:val="005C507D"/>
    <w:rsid w:val="005C50A9"/>
    <w:rsid w:val="005C50CB"/>
    <w:rsid w:val="005C5118"/>
    <w:rsid w:val="005C51A4"/>
    <w:rsid w:val="005C51FF"/>
    <w:rsid w:val="005C5231"/>
    <w:rsid w:val="005C5232"/>
    <w:rsid w:val="005C5262"/>
    <w:rsid w:val="005C5318"/>
    <w:rsid w:val="005C5321"/>
    <w:rsid w:val="005C53E3"/>
    <w:rsid w:val="005C53F8"/>
    <w:rsid w:val="005C5417"/>
    <w:rsid w:val="005C5456"/>
    <w:rsid w:val="005C5458"/>
    <w:rsid w:val="005C5459"/>
    <w:rsid w:val="005C5479"/>
    <w:rsid w:val="005C549A"/>
    <w:rsid w:val="005C54B1"/>
    <w:rsid w:val="005C559B"/>
    <w:rsid w:val="005C55AA"/>
    <w:rsid w:val="005C563F"/>
    <w:rsid w:val="005C5698"/>
    <w:rsid w:val="005C56A2"/>
    <w:rsid w:val="005C5759"/>
    <w:rsid w:val="005C5794"/>
    <w:rsid w:val="005C57E5"/>
    <w:rsid w:val="005C57FD"/>
    <w:rsid w:val="005C5800"/>
    <w:rsid w:val="005C5842"/>
    <w:rsid w:val="005C5896"/>
    <w:rsid w:val="005C589C"/>
    <w:rsid w:val="005C58DE"/>
    <w:rsid w:val="005C58E1"/>
    <w:rsid w:val="005C5960"/>
    <w:rsid w:val="005C5989"/>
    <w:rsid w:val="005C5990"/>
    <w:rsid w:val="005C59A5"/>
    <w:rsid w:val="005C59E2"/>
    <w:rsid w:val="005C59F6"/>
    <w:rsid w:val="005C59FE"/>
    <w:rsid w:val="005C5A00"/>
    <w:rsid w:val="005C5A0D"/>
    <w:rsid w:val="005C5A65"/>
    <w:rsid w:val="005C5A6C"/>
    <w:rsid w:val="005C5AC9"/>
    <w:rsid w:val="005C5AFC"/>
    <w:rsid w:val="005C5B50"/>
    <w:rsid w:val="005C5B78"/>
    <w:rsid w:val="005C5BAB"/>
    <w:rsid w:val="005C5BB5"/>
    <w:rsid w:val="005C5BCC"/>
    <w:rsid w:val="005C5BEE"/>
    <w:rsid w:val="005C5C3C"/>
    <w:rsid w:val="005C5CB4"/>
    <w:rsid w:val="005C5CCB"/>
    <w:rsid w:val="005C5CE9"/>
    <w:rsid w:val="005C5CEB"/>
    <w:rsid w:val="005C5D19"/>
    <w:rsid w:val="005C5D52"/>
    <w:rsid w:val="005C5DB7"/>
    <w:rsid w:val="005C5DEA"/>
    <w:rsid w:val="005C5E13"/>
    <w:rsid w:val="005C5E24"/>
    <w:rsid w:val="005C5E27"/>
    <w:rsid w:val="005C5E42"/>
    <w:rsid w:val="005C5EB8"/>
    <w:rsid w:val="005C5EBA"/>
    <w:rsid w:val="005C5EF7"/>
    <w:rsid w:val="005C5EF9"/>
    <w:rsid w:val="005C5F41"/>
    <w:rsid w:val="005C5F75"/>
    <w:rsid w:val="005C5FCB"/>
    <w:rsid w:val="005C6020"/>
    <w:rsid w:val="005C6068"/>
    <w:rsid w:val="005C609B"/>
    <w:rsid w:val="005C60A3"/>
    <w:rsid w:val="005C6109"/>
    <w:rsid w:val="005C610B"/>
    <w:rsid w:val="005C61A0"/>
    <w:rsid w:val="005C61D0"/>
    <w:rsid w:val="005C620B"/>
    <w:rsid w:val="005C6215"/>
    <w:rsid w:val="005C6224"/>
    <w:rsid w:val="005C622F"/>
    <w:rsid w:val="005C6246"/>
    <w:rsid w:val="005C6253"/>
    <w:rsid w:val="005C6283"/>
    <w:rsid w:val="005C6284"/>
    <w:rsid w:val="005C6310"/>
    <w:rsid w:val="005C631A"/>
    <w:rsid w:val="005C6336"/>
    <w:rsid w:val="005C63AA"/>
    <w:rsid w:val="005C63AE"/>
    <w:rsid w:val="005C63EA"/>
    <w:rsid w:val="005C6410"/>
    <w:rsid w:val="005C6440"/>
    <w:rsid w:val="005C6448"/>
    <w:rsid w:val="005C6488"/>
    <w:rsid w:val="005C6492"/>
    <w:rsid w:val="005C6514"/>
    <w:rsid w:val="005C6530"/>
    <w:rsid w:val="005C6553"/>
    <w:rsid w:val="005C656C"/>
    <w:rsid w:val="005C65D1"/>
    <w:rsid w:val="005C65EC"/>
    <w:rsid w:val="005C666C"/>
    <w:rsid w:val="005C66DA"/>
    <w:rsid w:val="005C6770"/>
    <w:rsid w:val="005C6771"/>
    <w:rsid w:val="005C67C3"/>
    <w:rsid w:val="005C67D7"/>
    <w:rsid w:val="005C6801"/>
    <w:rsid w:val="005C680A"/>
    <w:rsid w:val="005C6857"/>
    <w:rsid w:val="005C685E"/>
    <w:rsid w:val="005C688A"/>
    <w:rsid w:val="005C68A5"/>
    <w:rsid w:val="005C68F8"/>
    <w:rsid w:val="005C68FC"/>
    <w:rsid w:val="005C690B"/>
    <w:rsid w:val="005C6996"/>
    <w:rsid w:val="005C699F"/>
    <w:rsid w:val="005C69B3"/>
    <w:rsid w:val="005C69EB"/>
    <w:rsid w:val="005C6A27"/>
    <w:rsid w:val="005C6A33"/>
    <w:rsid w:val="005C6B2D"/>
    <w:rsid w:val="005C6B87"/>
    <w:rsid w:val="005C6BAF"/>
    <w:rsid w:val="005C6BF1"/>
    <w:rsid w:val="005C6C0B"/>
    <w:rsid w:val="005C6C16"/>
    <w:rsid w:val="005C6C62"/>
    <w:rsid w:val="005C6C63"/>
    <w:rsid w:val="005C6C97"/>
    <w:rsid w:val="005C6CDB"/>
    <w:rsid w:val="005C6D0B"/>
    <w:rsid w:val="005C6D35"/>
    <w:rsid w:val="005C6D48"/>
    <w:rsid w:val="005C6E85"/>
    <w:rsid w:val="005C6E87"/>
    <w:rsid w:val="005C6ED0"/>
    <w:rsid w:val="005C6F10"/>
    <w:rsid w:val="005C6F35"/>
    <w:rsid w:val="005C6F4C"/>
    <w:rsid w:val="005C6F7E"/>
    <w:rsid w:val="005C6FA7"/>
    <w:rsid w:val="005C6FDD"/>
    <w:rsid w:val="005C70A0"/>
    <w:rsid w:val="005C7161"/>
    <w:rsid w:val="005C7181"/>
    <w:rsid w:val="005C71AB"/>
    <w:rsid w:val="005C71F0"/>
    <w:rsid w:val="005C7209"/>
    <w:rsid w:val="005C725A"/>
    <w:rsid w:val="005C7267"/>
    <w:rsid w:val="005C7273"/>
    <w:rsid w:val="005C727B"/>
    <w:rsid w:val="005C7297"/>
    <w:rsid w:val="005C72B7"/>
    <w:rsid w:val="005C72BD"/>
    <w:rsid w:val="005C7327"/>
    <w:rsid w:val="005C732E"/>
    <w:rsid w:val="005C7336"/>
    <w:rsid w:val="005C7346"/>
    <w:rsid w:val="005C7353"/>
    <w:rsid w:val="005C7376"/>
    <w:rsid w:val="005C7388"/>
    <w:rsid w:val="005C738F"/>
    <w:rsid w:val="005C73BD"/>
    <w:rsid w:val="005C73CB"/>
    <w:rsid w:val="005C73FA"/>
    <w:rsid w:val="005C7433"/>
    <w:rsid w:val="005C7457"/>
    <w:rsid w:val="005C7478"/>
    <w:rsid w:val="005C7494"/>
    <w:rsid w:val="005C74F5"/>
    <w:rsid w:val="005C751E"/>
    <w:rsid w:val="005C75C3"/>
    <w:rsid w:val="005C75E5"/>
    <w:rsid w:val="005C7608"/>
    <w:rsid w:val="005C760F"/>
    <w:rsid w:val="005C76B5"/>
    <w:rsid w:val="005C7724"/>
    <w:rsid w:val="005C775F"/>
    <w:rsid w:val="005C776D"/>
    <w:rsid w:val="005C7822"/>
    <w:rsid w:val="005C7857"/>
    <w:rsid w:val="005C785C"/>
    <w:rsid w:val="005C786E"/>
    <w:rsid w:val="005C78D6"/>
    <w:rsid w:val="005C78F2"/>
    <w:rsid w:val="005C7957"/>
    <w:rsid w:val="005C79A3"/>
    <w:rsid w:val="005C79E9"/>
    <w:rsid w:val="005C79F0"/>
    <w:rsid w:val="005C7A40"/>
    <w:rsid w:val="005C7A79"/>
    <w:rsid w:val="005C7AAC"/>
    <w:rsid w:val="005C7ABA"/>
    <w:rsid w:val="005C7AFE"/>
    <w:rsid w:val="005C7B14"/>
    <w:rsid w:val="005C7BCA"/>
    <w:rsid w:val="005C7BED"/>
    <w:rsid w:val="005C7C18"/>
    <w:rsid w:val="005C7C47"/>
    <w:rsid w:val="005C7CC0"/>
    <w:rsid w:val="005C7CE3"/>
    <w:rsid w:val="005C7DE1"/>
    <w:rsid w:val="005C7E0B"/>
    <w:rsid w:val="005C7E63"/>
    <w:rsid w:val="005C7E6B"/>
    <w:rsid w:val="005C7E92"/>
    <w:rsid w:val="005C7EB7"/>
    <w:rsid w:val="005C7EEB"/>
    <w:rsid w:val="005C7EFD"/>
    <w:rsid w:val="005C7F2A"/>
    <w:rsid w:val="005C7F48"/>
    <w:rsid w:val="005C7F70"/>
    <w:rsid w:val="005C7F7A"/>
    <w:rsid w:val="005C7F88"/>
    <w:rsid w:val="005C7FA7"/>
    <w:rsid w:val="005C7FD1"/>
    <w:rsid w:val="005D0025"/>
    <w:rsid w:val="005D0062"/>
    <w:rsid w:val="005D0092"/>
    <w:rsid w:val="005D009A"/>
    <w:rsid w:val="005D00B0"/>
    <w:rsid w:val="005D00C3"/>
    <w:rsid w:val="005D00D0"/>
    <w:rsid w:val="005D010A"/>
    <w:rsid w:val="005D0171"/>
    <w:rsid w:val="005D0180"/>
    <w:rsid w:val="005D0200"/>
    <w:rsid w:val="005D0213"/>
    <w:rsid w:val="005D023C"/>
    <w:rsid w:val="005D0255"/>
    <w:rsid w:val="005D0273"/>
    <w:rsid w:val="005D0274"/>
    <w:rsid w:val="005D02C3"/>
    <w:rsid w:val="005D0342"/>
    <w:rsid w:val="005D036B"/>
    <w:rsid w:val="005D03AD"/>
    <w:rsid w:val="005D03C4"/>
    <w:rsid w:val="005D03E4"/>
    <w:rsid w:val="005D0465"/>
    <w:rsid w:val="005D0491"/>
    <w:rsid w:val="005D055B"/>
    <w:rsid w:val="005D0582"/>
    <w:rsid w:val="005D058B"/>
    <w:rsid w:val="005D05BD"/>
    <w:rsid w:val="005D0632"/>
    <w:rsid w:val="005D063E"/>
    <w:rsid w:val="005D0648"/>
    <w:rsid w:val="005D06A2"/>
    <w:rsid w:val="005D06F5"/>
    <w:rsid w:val="005D074A"/>
    <w:rsid w:val="005D0756"/>
    <w:rsid w:val="005D07E0"/>
    <w:rsid w:val="005D0826"/>
    <w:rsid w:val="005D082C"/>
    <w:rsid w:val="005D08C8"/>
    <w:rsid w:val="005D08DA"/>
    <w:rsid w:val="005D0901"/>
    <w:rsid w:val="005D091A"/>
    <w:rsid w:val="005D09E6"/>
    <w:rsid w:val="005D0A15"/>
    <w:rsid w:val="005D0A43"/>
    <w:rsid w:val="005D0A84"/>
    <w:rsid w:val="005D0A87"/>
    <w:rsid w:val="005D0A98"/>
    <w:rsid w:val="005D0AAB"/>
    <w:rsid w:val="005D0AAF"/>
    <w:rsid w:val="005D0AD8"/>
    <w:rsid w:val="005D0B35"/>
    <w:rsid w:val="005D0B62"/>
    <w:rsid w:val="005D0B71"/>
    <w:rsid w:val="005D0BCA"/>
    <w:rsid w:val="005D0C22"/>
    <w:rsid w:val="005D0C85"/>
    <w:rsid w:val="005D0C8E"/>
    <w:rsid w:val="005D0CEE"/>
    <w:rsid w:val="005D0CFA"/>
    <w:rsid w:val="005D0D29"/>
    <w:rsid w:val="005D0D7B"/>
    <w:rsid w:val="005D0DFB"/>
    <w:rsid w:val="005D0E6B"/>
    <w:rsid w:val="005D0E8D"/>
    <w:rsid w:val="005D0E9C"/>
    <w:rsid w:val="005D0EBA"/>
    <w:rsid w:val="005D0ED9"/>
    <w:rsid w:val="005D0EF8"/>
    <w:rsid w:val="005D0F01"/>
    <w:rsid w:val="005D0F10"/>
    <w:rsid w:val="005D0F36"/>
    <w:rsid w:val="005D0F38"/>
    <w:rsid w:val="005D0F43"/>
    <w:rsid w:val="005D0F6C"/>
    <w:rsid w:val="005D0FD8"/>
    <w:rsid w:val="005D0FFC"/>
    <w:rsid w:val="005D1009"/>
    <w:rsid w:val="005D1019"/>
    <w:rsid w:val="005D101D"/>
    <w:rsid w:val="005D107E"/>
    <w:rsid w:val="005D108C"/>
    <w:rsid w:val="005D10AC"/>
    <w:rsid w:val="005D110E"/>
    <w:rsid w:val="005D1188"/>
    <w:rsid w:val="005D11B6"/>
    <w:rsid w:val="005D11D7"/>
    <w:rsid w:val="005D120A"/>
    <w:rsid w:val="005D128B"/>
    <w:rsid w:val="005D12D3"/>
    <w:rsid w:val="005D1312"/>
    <w:rsid w:val="005D136D"/>
    <w:rsid w:val="005D1380"/>
    <w:rsid w:val="005D139D"/>
    <w:rsid w:val="005D13BF"/>
    <w:rsid w:val="005D1419"/>
    <w:rsid w:val="005D1446"/>
    <w:rsid w:val="005D14A8"/>
    <w:rsid w:val="005D14AD"/>
    <w:rsid w:val="005D15C5"/>
    <w:rsid w:val="005D1610"/>
    <w:rsid w:val="005D166B"/>
    <w:rsid w:val="005D1676"/>
    <w:rsid w:val="005D16A1"/>
    <w:rsid w:val="005D16C6"/>
    <w:rsid w:val="005D16E7"/>
    <w:rsid w:val="005D16F4"/>
    <w:rsid w:val="005D171E"/>
    <w:rsid w:val="005D174E"/>
    <w:rsid w:val="005D1750"/>
    <w:rsid w:val="005D1778"/>
    <w:rsid w:val="005D179D"/>
    <w:rsid w:val="005D17F1"/>
    <w:rsid w:val="005D1815"/>
    <w:rsid w:val="005D1842"/>
    <w:rsid w:val="005D185E"/>
    <w:rsid w:val="005D18AF"/>
    <w:rsid w:val="005D18F7"/>
    <w:rsid w:val="005D190F"/>
    <w:rsid w:val="005D1915"/>
    <w:rsid w:val="005D194C"/>
    <w:rsid w:val="005D19AA"/>
    <w:rsid w:val="005D19E4"/>
    <w:rsid w:val="005D1A46"/>
    <w:rsid w:val="005D1AAD"/>
    <w:rsid w:val="005D1B2D"/>
    <w:rsid w:val="005D1B31"/>
    <w:rsid w:val="005D1B73"/>
    <w:rsid w:val="005D1B7F"/>
    <w:rsid w:val="005D1B92"/>
    <w:rsid w:val="005D1BAC"/>
    <w:rsid w:val="005D1BBD"/>
    <w:rsid w:val="005D1BDA"/>
    <w:rsid w:val="005D1C6D"/>
    <w:rsid w:val="005D1C8B"/>
    <w:rsid w:val="005D1C8F"/>
    <w:rsid w:val="005D1C97"/>
    <w:rsid w:val="005D1CB4"/>
    <w:rsid w:val="005D1CBD"/>
    <w:rsid w:val="005D1CE2"/>
    <w:rsid w:val="005D1D1E"/>
    <w:rsid w:val="005D1D26"/>
    <w:rsid w:val="005D1D3A"/>
    <w:rsid w:val="005D1D3E"/>
    <w:rsid w:val="005D1D52"/>
    <w:rsid w:val="005D1D54"/>
    <w:rsid w:val="005D1D61"/>
    <w:rsid w:val="005D1DBC"/>
    <w:rsid w:val="005D1DDD"/>
    <w:rsid w:val="005D1DF8"/>
    <w:rsid w:val="005D1E43"/>
    <w:rsid w:val="005D1EA3"/>
    <w:rsid w:val="005D1EC4"/>
    <w:rsid w:val="005D1EEA"/>
    <w:rsid w:val="005D1F3D"/>
    <w:rsid w:val="005D1F6F"/>
    <w:rsid w:val="005D1F8C"/>
    <w:rsid w:val="005D1FF3"/>
    <w:rsid w:val="005D202E"/>
    <w:rsid w:val="005D2038"/>
    <w:rsid w:val="005D2043"/>
    <w:rsid w:val="005D20E9"/>
    <w:rsid w:val="005D21E2"/>
    <w:rsid w:val="005D220B"/>
    <w:rsid w:val="005D225C"/>
    <w:rsid w:val="005D225E"/>
    <w:rsid w:val="005D22A2"/>
    <w:rsid w:val="005D22B6"/>
    <w:rsid w:val="005D22C8"/>
    <w:rsid w:val="005D2399"/>
    <w:rsid w:val="005D23DA"/>
    <w:rsid w:val="005D2455"/>
    <w:rsid w:val="005D24AB"/>
    <w:rsid w:val="005D24BB"/>
    <w:rsid w:val="005D25D3"/>
    <w:rsid w:val="005D25E4"/>
    <w:rsid w:val="005D25FA"/>
    <w:rsid w:val="005D26B7"/>
    <w:rsid w:val="005D26D5"/>
    <w:rsid w:val="005D270B"/>
    <w:rsid w:val="005D2762"/>
    <w:rsid w:val="005D27D1"/>
    <w:rsid w:val="005D27DB"/>
    <w:rsid w:val="005D27FF"/>
    <w:rsid w:val="005D281B"/>
    <w:rsid w:val="005D2832"/>
    <w:rsid w:val="005D2881"/>
    <w:rsid w:val="005D28AA"/>
    <w:rsid w:val="005D28B5"/>
    <w:rsid w:val="005D28CA"/>
    <w:rsid w:val="005D291D"/>
    <w:rsid w:val="005D292B"/>
    <w:rsid w:val="005D2972"/>
    <w:rsid w:val="005D2995"/>
    <w:rsid w:val="005D2A26"/>
    <w:rsid w:val="005D2A5E"/>
    <w:rsid w:val="005D2AA0"/>
    <w:rsid w:val="005D2AD7"/>
    <w:rsid w:val="005D2B40"/>
    <w:rsid w:val="005D2B59"/>
    <w:rsid w:val="005D2B5F"/>
    <w:rsid w:val="005D2BF4"/>
    <w:rsid w:val="005D2C01"/>
    <w:rsid w:val="005D2C0C"/>
    <w:rsid w:val="005D2C46"/>
    <w:rsid w:val="005D2C4C"/>
    <w:rsid w:val="005D2C84"/>
    <w:rsid w:val="005D2CA9"/>
    <w:rsid w:val="005D2CCD"/>
    <w:rsid w:val="005D2D26"/>
    <w:rsid w:val="005D2DBD"/>
    <w:rsid w:val="005D2E20"/>
    <w:rsid w:val="005D2EEC"/>
    <w:rsid w:val="005D2F3A"/>
    <w:rsid w:val="005D2F45"/>
    <w:rsid w:val="005D2F70"/>
    <w:rsid w:val="005D2F8A"/>
    <w:rsid w:val="005D2FA3"/>
    <w:rsid w:val="005D2FE3"/>
    <w:rsid w:val="005D3023"/>
    <w:rsid w:val="005D3078"/>
    <w:rsid w:val="005D30D7"/>
    <w:rsid w:val="005D30E3"/>
    <w:rsid w:val="005D310A"/>
    <w:rsid w:val="005D312C"/>
    <w:rsid w:val="005D317A"/>
    <w:rsid w:val="005D3187"/>
    <w:rsid w:val="005D31BD"/>
    <w:rsid w:val="005D31D8"/>
    <w:rsid w:val="005D3224"/>
    <w:rsid w:val="005D3241"/>
    <w:rsid w:val="005D329C"/>
    <w:rsid w:val="005D32F3"/>
    <w:rsid w:val="005D3352"/>
    <w:rsid w:val="005D3444"/>
    <w:rsid w:val="005D3445"/>
    <w:rsid w:val="005D3458"/>
    <w:rsid w:val="005D3468"/>
    <w:rsid w:val="005D34BA"/>
    <w:rsid w:val="005D34C3"/>
    <w:rsid w:val="005D3507"/>
    <w:rsid w:val="005D353D"/>
    <w:rsid w:val="005D3586"/>
    <w:rsid w:val="005D35B9"/>
    <w:rsid w:val="005D35ED"/>
    <w:rsid w:val="005D3605"/>
    <w:rsid w:val="005D365B"/>
    <w:rsid w:val="005D36B1"/>
    <w:rsid w:val="005D36E7"/>
    <w:rsid w:val="005D371D"/>
    <w:rsid w:val="005D376C"/>
    <w:rsid w:val="005D3788"/>
    <w:rsid w:val="005D37A5"/>
    <w:rsid w:val="005D3808"/>
    <w:rsid w:val="005D3831"/>
    <w:rsid w:val="005D384A"/>
    <w:rsid w:val="005D38D0"/>
    <w:rsid w:val="005D38E0"/>
    <w:rsid w:val="005D396E"/>
    <w:rsid w:val="005D3974"/>
    <w:rsid w:val="005D39D9"/>
    <w:rsid w:val="005D3A50"/>
    <w:rsid w:val="005D3A5F"/>
    <w:rsid w:val="005D3A7D"/>
    <w:rsid w:val="005D3AB6"/>
    <w:rsid w:val="005D3ACF"/>
    <w:rsid w:val="005D3AE2"/>
    <w:rsid w:val="005D3B30"/>
    <w:rsid w:val="005D3B64"/>
    <w:rsid w:val="005D3B87"/>
    <w:rsid w:val="005D3BAB"/>
    <w:rsid w:val="005D3BC0"/>
    <w:rsid w:val="005D3BCB"/>
    <w:rsid w:val="005D3C3A"/>
    <w:rsid w:val="005D3CA7"/>
    <w:rsid w:val="005D3CCE"/>
    <w:rsid w:val="005D3D3D"/>
    <w:rsid w:val="005D3D8D"/>
    <w:rsid w:val="005D3DE2"/>
    <w:rsid w:val="005D3E51"/>
    <w:rsid w:val="005D3F25"/>
    <w:rsid w:val="005D3F43"/>
    <w:rsid w:val="005D3FD7"/>
    <w:rsid w:val="005D3FF4"/>
    <w:rsid w:val="005D4012"/>
    <w:rsid w:val="005D402F"/>
    <w:rsid w:val="005D403F"/>
    <w:rsid w:val="005D405F"/>
    <w:rsid w:val="005D407F"/>
    <w:rsid w:val="005D415E"/>
    <w:rsid w:val="005D4167"/>
    <w:rsid w:val="005D419C"/>
    <w:rsid w:val="005D41E2"/>
    <w:rsid w:val="005D41FE"/>
    <w:rsid w:val="005D421C"/>
    <w:rsid w:val="005D4258"/>
    <w:rsid w:val="005D426C"/>
    <w:rsid w:val="005D4293"/>
    <w:rsid w:val="005D42B2"/>
    <w:rsid w:val="005D42C4"/>
    <w:rsid w:val="005D42E5"/>
    <w:rsid w:val="005D42E7"/>
    <w:rsid w:val="005D42E8"/>
    <w:rsid w:val="005D42FF"/>
    <w:rsid w:val="005D4324"/>
    <w:rsid w:val="005D4340"/>
    <w:rsid w:val="005D43B1"/>
    <w:rsid w:val="005D443E"/>
    <w:rsid w:val="005D4493"/>
    <w:rsid w:val="005D44BA"/>
    <w:rsid w:val="005D4515"/>
    <w:rsid w:val="005D4524"/>
    <w:rsid w:val="005D45DA"/>
    <w:rsid w:val="005D45E1"/>
    <w:rsid w:val="005D461B"/>
    <w:rsid w:val="005D4625"/>
    <w:rsid w:val="005D4630"/>
    <w:rsid w:val="005D463A"/>
    <w:rsid w:val="005D4649"/>
    <w:rsid w:val="005D464D"/>
    <w:rsid w:val="005D46D7"/>
    <w:rsid w:val="005D46E8"/>
    <w:rsid w:val="005D4715"/>
    <w:rsid w:val="005D4734"/>
    <w:rsid w:val="005D4772"/>
    <w:rsid w:val="005D47B4"/>
    <w:rsid w:val="005D47BA"/>
    <w:rsid w:val="005D483E"/>
    <w:rsid w:val="005D4875"/>
    <w:rsid w:val="005D4981"/>
    <w:rsid w:val="005D49AF"/>
    <w:rsid w:val="005D4A02"/>
    <w:rsid w:val="005D4A07"/>
    <w:rsid w:val="005D4A68"/>
    <w:rsid w:val="005D4A6C"/>
    <w:rsid w:val="005D4B60"/>
    <w:rsid w:val="005D4B81"/>
    <w:rsid w:val="005D4BED"/>
    <w:rsid w:val="005D4C46"/>
    <w:rsid w:val="005D4C61"/>
    <w:rsid w:val="005D4C65"/>
    <w:rsid w:val="005D4C91"/>
    <w:rsid w:val="005D4C9D"/>
    <w:rsid w:val="005D4CD7"/>
    <w:rsid w:val="005D4CFB"/>
    <w:rsid w:val="005D4D0A"/>
    <w:rsid w:val="005D4D1B"/>
    <w:rsid w:val="005D4D2B"/>
    <w:rsid w:val="005D4D35"/>
    <w:rsid w:val="005D4D37"/>
    <w:rsid w:val="005D4D6E"/>
    <w:rsid w:val="005D4D7A"/>
    <w:rsid w:val="005D4E05"/>
    <w:rsid w:val="005D4E2D"/>
    <w:rsid w:val="005D4E39"/>
    <w:rsid w:val="005D4E69"/>
    <w:rsid w:val="005D4EAC"/>
    <w:rsid w:val="005D4ECC"/>
    <w:rsid w:val="005D4F19"/>
    <w:rsid w:val="005D4FD0"/>
    <w:rsid w:val="005D4FE9"/>
    <w:rsid w:val="005D4FEA"/>
    <w:rsid w:val="005D4FF2"/>
    <w:rsid w:val="005D4FF7"/>
    <w:rsid w:val="005D4FFB"/>
    <w:rsid w:val="005D4FFE"/>
    <w:rsid w:val="005D5027"/>
    <w:rsid w:val="005D508F"/>
    <w:rsid w:val="005D50A9"/>
    <w:rsid w:val="005D510D"/>
    <w:rsid w:val="005D5137"/>
    <w:rsid w:val="005D5145"/>
    <w:rsid w:val="005D517D"/>
    <w:rsid w:val="005D5203"/>
    <w:rsid w:val="005D5204"/>
    <w:rsid w:val="005D5235"/>
    <w:rsid w:val="005D5240"/>
    <w:rsid w:val="005D5245"/>
    <w:rsid w:val="005D524B"/>
    <w:rsid w:val="005D5270"/>
    <w:rsid w:val="005D52A3"/>
    <w:rsid w:val="005D52FA"/>
    <w:rsid w:val="005D5304"/>
    <w:rsid w:val="005D531B"/>
    <w:rsid w:val="005D5337"/>
    <w:rsid w:val="005D5380"/>
    <w:rsid w:val="005D53C1"/>
    <w:rsid w:val="005D53D2"/>
    <w:rsid w:val="005D53ED"/>
    <w:rsid w:val="005D544A"/>
    <w:rsid w:val="005D5451"/>
    <w:rsid w:val="005D5455"/>
    <w:rsid w:val="005D5495"/>
    <w:rsid w:val="005D54BD"/>
    <w:rsid w:val="005D54C4"/>
    <w:rsid w:val="005D54F9"/>
    <w:rsid w:val="005D5571"/>
    <w:rsid w:val="005D55AE"/>
    <w:rsid w:val="005D55B9"/>
    <w:rsid w:val="005D55CE"/>
    <w:rsid w:val="005D5600"/>
    <w:rsid w:val="005D561C"/>
    <w:rsid w:val="005D563F"/>
    <w:rsid w:val="005D566F"/>
    <w:rsid w:val="005D56C4"/>
    <w:rsid w:val="005D579E"/>
    <w:rsid w:val="005D57A7"/>
    <w:rsid w:val="005D57E6"/>
    <w:rsid w:val="005D5821"/>
    <w:rsid w:val="005D5824"/>
    <w:rsid w:val="005D5855"/>
    <w:rsid w:val="005D5861"/>
    <w:rsid w:val="005D58A9"/>
    <w:rsid w:val="005D58EA"/>
    <w:rsid w:val="005D591D"/>
    <w:rsid w:val="005D59EC"/>
    <w:rsid w:val="005D59FF"/>
    <w:rsid w:val="005D5A08"/>
    <w:rsid w:val="005D5A69"/>
    <w:rsid w:val="005D5A6F"/>
    <w:rsid w:val="005D5A8B"/>
    <w:rsid w:val="005D5AD1"/>
    <w:rsid w:val="005D5AD2"/>
    <w:rsid w:val="005D5B77"/>
    <w:rsid w:val="005D5BB3"/>
    <w:rsid w:val="005D5C02"/>
    <w:rsid w:val="005D5C25"/>
    <w:rsid w:val="005D5C48"/>
    <w:rsid w:val="005D5C5E"/>
    <w:rsid w:val="005D5CDE"/>
    <w:rsid w:val="005D5CE1"/>
    <w:rsid w:val="005D5D00"/>
    <w:rsid w:val="005D5D5D"/>
    <w:rsid w:val="005D5D64"/>
    <w:rsid w:val="005D5D8D"/>
    <w:rsid w:val="005D5DBF"/>
    <w:rsid w:val="005D5DEF"/>
    <w:rsid w:val="005D5E1B"/>
    <w:rsid w:val="005D5E21"/>
    <w:rsid w:val="005D5E96"/>
    <w:rsid w:val="005D5EF0"/>
    <w:rsid w:val="005D5F08"/>
    <w:rsid w:val="005D5F11"/>
    <w:rsid w:val="005D5F2F"/>
    <w:rsid w:val="005D5F48"/>
    <w:rsid w:val="005D5FA8"/>
    <w:rsid w:val="005D5FAB"/>
    <w:rsid w:val="005D5FCD"/>
    <w:rsid w:val="005D605F"/>
    <w:rsid w:val="005D606A"/>
    <w:rsid w:val="005D6076"/>
    <w:rsid w:val="005D60B4"/>
    <w:rsid w:val="005D60C2"/>
    <w:rsid w:val="005D60CE"/>
    <w:rsid w:val="005D60EC"/>
    <w:rsid w:val="005D618B"/>
    <w:rsid w:val="005D61BB"/>
    <w:rsid w:val="005D61C1"/>
    <w:rsid w:val="005D61DD"/>
    <w:rsid w:val="005D61E6"/>
    <w:rsid w:val="005D6214"/>
    <w:rsid w:val="005D62AD"/>
    <w:rsid w:val="005D62AF"/>
    <w:rsid w:val="005D62C8"/>
    <w:rsid w:val="005D6308"/>
    <w:rsid w:val="005D632C"/>
    <w:rsid w:val="005D636F"/>
    <w:rsid w:val="005D6393"/>
    <w:rsid w:val="005D63E9"/>
    <w:rsid w:val="005D63EC"/>
    <w:rsid w:val="005D63EF"/>
    <w:rsid w:val="005D63F1"/>
    <w:rsid w:val="005D63F2"/>
    <w:rsid w:val="005D641E"/>
    <w:rsid w:val="005D644C"/>
    <w:rsid w:val="005D648C"/>
    <w:rsid w:val="005D6490"/>
    <w:rsid w:val="005D64A8"/>
    <w:rsid w:val="005D64ED"/>
    <w:rsid w:val="005D652E"/>
    <w:rsid w:val="005D655F"/>
    <w:rsid w:val="005D657B"/>
    <w:rsid w:val="005D663A"/>
    <w:rsid w:val="005D667F"/>
    <w:rsid w:val="005D6680"/>
    <w:rsid w:val="005D668D"/>
    <w:rsid w:val="005D66B9"/>
    <w:rsid w:val="005D682C"/>
    <w:rsid w:val="005D683B"/>
    <w:rsid w:val="005D6858"/>
    <w:rsid w:val="005D6885"/>
    <w:rsid w:val="005D68C7"/>
    <w:rsid w:val="005D6911"/>
    <w:rsid w:val="005D69B3"/>
    <w:rsid w:val="005D69E4"/>
    <w:rsid w:val="005D69F5"/>
    <w:rsid w:val="005D6A42"/>
    <w:rsid w:val="005D6A74"/>
    <w:rsid w:val="005D6A8E"/>
    <w:rsid w:val="005D6AA7"/>
    <w:rsid w:val="005D6ACF"/>
    <w:rsid w:val="005D6AFF"/>
    <w:rsid w:val="005D6BA9"/>
    <w:rsid w:val="005D6BBF"/>
    <w:rsid w:val="005D6BDE"/>
    <w:rsid w:val="005D6C38"/>
    <w:rsid w:val="005D6C3D"/>
    <w:rsid w:val="005D6C4B"/>
    <w:rsid w:val="005D6C69"/>
    <w:rsid w:val="005D6D07"/>
    <w:rsid w:val="005D6D0F"/>
    <w:rsid w:val="005D6D10"/>
    <w:rsid w:val="005D6D1B"/>
    <w:rsid w:val="005D6D2C"/>
    <w:rsid w:val="005D6D4E"/>
    <w:rsid w:val="005D6D75"/>
    <w:rsid w:val="005D6D86"/>
    <w:rsid w:val="005D6D8D"/>
    <w:rsid w:val="005D6DA9"/>
    <w:rsid w:val="005D6DE3"/>
    <w:rsid w:val="005D6DEB"/>
    <w:rsid w:val="005D6E29"/>
    <w:rsid w:val="005D6E6E"/>
    <w:rsid w:val="005D6EEB"/>
    <w:rsid w:val="005D6EF2"/>
    <w:rsid w:val="005D6EF4"/>
    <w:rsid w:val="005D6F00"/>
    <w:rsid w:val="005D6F17"/>
    <w:rsid w:val="005D6F8D"/>
    <w:rsid w:val="005D6FA7"/>
    <w:rsid w:val="005D6FAB"/>
    <w:rsid w:val="005D6FF3"/>
    <w:rsid w:val="005D7058"/>
    <w:rsid w:val="005D706E"/>
    <w:rsid w:val="005D70A3"/>
    <w:rsid w:val="005D7113"/>
    <w:rsid w:val="005D7169"/>
    <w:rsid w:val="005D7185"/>
    <w:rsid w:val="005D71AF"/>
    <w:rsid w:val="005D71B2"/>
    <w:rsid w:val="005D71C0"/>
    <w:rsid w:val="005D71CD"/>
    <w:rsid w:val="005D723C"/>
    <w:rsid w:val="005D7266"/>
    <w:rsid w:val="005D727D"/>
    <w:rsid w:val="005D72D1"/>
    <w:rsid w:val="005D72FF"/>
    <w:rsid w:val="005D730E"/>
    <w:rsid w:val="005D7325"/>
    <w:rsid w:val="005D7380"/>
    <w:rsid w:val="005D73EB"/>
    <w:rsid w:val="005D7412"/>
    <w:rsid w:val="005D7441"/>
    <w:rsid w:val="005D7497"/>
    <w:rsid w:val="005D7509"/>
    <w:rsid w:val="005D750A"/>
    <w:rsid w:val="005D7533"/>
    <w:rsid w:val="005D757E"/>
    <w:rsid w:val="005D7587"/>
    <w:rsid w:val="005D75D6"/>
    <w:rsid w:val="005D7601"/>
    <w:rsid w:val="005D762A"/>
    <w:rsid w:val="005D7681"/>
    <w:rsid w:val="005D769A"/>
    <w:rsid w:val="005D7712"/>
    <w:rsid w:val="005D7743"/>
    <w:rsid w:val="005D779D"/>
    <w:rsid w:val="005D77B9"/>
    <w:rsid w:val="005D77D8"/>
    <w:rsid w:val="005D77DB"/>
    <w:rsid w:val="005D77EF"/>
    <w:rsid w:val="005D7808"/>
    <w:rsid w:val="005D780B"/>
    <w:rsid w:val="005D7814"/>
    <w:rsid w:val="005D7815"/>
    <w:rsid w:val="005D7845"/>
    <w:rsid w:val="005D785C"/>
    <w:rsid w:val="005D788C"/>
    <w:rsid w:val="005D78A9"/>
    <w:rsid w:val="005D78CF"/>
    <w:rsid w:val="005D7945"/>
    <w:rsid w:val="005D7A15"/>
    <w:rsid w:val="005D7A37"/>
    <w:rsid w:val="005D7A7B"/>
    <w:rsid w:val="005D7A89"/>
    <w:rsid w:val="005D7ACD"/>
    <w:rsid w:val="005D7B2D"/>
    <w:rsid w:val="005D7BF3"/>
    <w:rsid w:val="005D7C3D"/>
    <w:rsid w:val="005D7CA2"/>
    <w:rsid w:val="005D7CB4"/>
    <w:rsid w:val="005D7D22"/>
    <w:rsid w:val="005D7D3D"/>
    <w:rsid w:val="005D7D83"/>
    <w:rsid w:val="005D7DA4"/>
    <w:rsid w:val="005D7DB1"/>
    <w:rsid w:val="005D7DE1"/>
    <w:rsid w:val="005D7E4D"/>
    <w:rsid w:val="005D7EC5"/>
    <w:rsid w:val="005D7EDC"/>
    <w:rsid w:val="005D7EE6"/>
    <w:rsid w:val="005D7F43"/>
    <w:rsid w:val="005D7F59"/>
    <w:rsid w:val="005DC582"/>
    <w:rsid w:val="005E003C"/>
    <w:rsid w:val="005E0074"/>
    <w:rsid w:val="005E0089"/>
    <w:rsid w:val="005E0092"/>
    <w:rsid w:val="005E00AB"/>
    <w:rsid w:val="005E0102"/>
    <w:rsid w:val="005E013A"/>
    <w:rsid w:val="005E0198"/>
    <w:rsid w:val="005E01A9"/>
    <w:rsid w:val="005E01DD"/>
    <w:rsid w:val="005E0274"/>
    <w:rsid w:val="005E0283"/>
    <w:rsid w:val="005E0329"/>
    <w:rsid w:val="005E0371"/>
    <w:rsid w:val="005E0421"/>
    <w:rsid w:val="005E0485"/>
    <w:rsid w:val="005E0487"/>
    <w:rsid w:val="005E04B1"/>
    <w:rsid w:val="005E04E7"/>
    <w:rsid w:val="005E050E"/>
    <w:rsid w:val="005E0581"/>
    <w:rsid w:val="005E05B3"/>
    <w:rsid w:val="005E05BA"/>
    <w:rsid w:val="005E05E5"/>
    <w:rsid w:val="005E05E8"/>
    <w:rsid w:val="005E0698"/>
    <w:rsid w:val="005E06DC"/>
    <w:rsid w:val="005E070F"/>
    <w:rsid w:val="005E0730"/>
    <w:rsid w:val="005E077D"/>
    <w:rsid w:val="005E0790"/>
    <w:rsid w:val="005E0792"/>
    <w:rsid w:val="005E0823"/>
    <w:rsid w:val="005E083A"/>
    <w:rsid w:val="005E08B6"/>
    <w:rsid w:val="005E08C1"/>
    <w:rsid w:val="005E08D1"/>
    <w:rsid w:val="005E08DE"/>
    <w:rsid w:val="005E0929"/>
    <w:rsid w:val="005E09BA"/>
    <w:rsid w:val="005E0A05"/>
    <w:rsid w:val="005E0A5D"/>
    <w:rsid w:val="005E0B08"/>
    <w:rsid w:val="005E0B4F"/>
    <w:rsid w:val="005E0B90"/>
    <w:rsid w:val="005E0BA0"/>
    <w:rsid w:val="005E0BA4"/>
    <w:rsid w:val="005E0BA5"/>
    <w:rsid w:val="005E0BAA"/>
    <w:rsid w:val="005E0BEF"/>
    <w:rsid w:val="005E0C19"/>
    <w:rsid w:val="005E0C52"/>
    <w:rsid w:val="005E0C6F"/>
    <w:rsid w:val="005E0C77"/>
    <w:rsid w:val="005E0CB5"/>
    <w:rsid w:val="005E0CBB"/>
    <w:rsid w:val="005E0CC5"/>
    <w:rsid w:val="005E0D03"/>
    <w:rsid w:val="005E0D33"/>
    <w:rsid w:val="005E0D3E"/>
    <w:rsid w:val="005E0D40"/>
    <w:rsid w:val="005E0D82"/>
    <w:rsid w:val="005E0D95"/>
    <w:rsid w:val="005E0DE6"/>
    <w:rsid w:val="005E0DF7"/>
    <w:rsid w:val="005E0E27"/>
    <w:rsid w:val="005E0E2A"/>
    <w:rsid w:val="005E0E39"/>
    <w:rsid w:val="005E0E50"/>
    <w:rsid w:val="005E0EBA"/>
    <w:rsid w:val="005E0EE8"/>
    <w:rsid w:val="005E0EEF"/>
    <w:rsid w:val="005E0EF8"/>
    <w:rsid w:val="005E0F4A"/>
    <w:rsid w:val="005E0F4E"/>
    <w:rsid w:val="005E0F56"/>
    <w:rsid w:val="005E0FB0"/>
    <w:rsid w:val="005E0FB5"/>
    <w:rsid w:val="005E0FB7"/>
    <w:rsid w:val="005E0FB8"/>
    <w:rsid w:val="005E0FC8"/>
    <w:rsid w:val="005E1001"/>
    <w:rsid w:val="005E1007"/>
    <w:rsid w:val="005E100C"/>
    <w:rsid w:val="005E101E"/>
    <w:rsid w:val="005E1023"/>
    <w:rsid w:val="005E107C"/>
    <w:rsid w:val="005E1094"/>
    <w:rsid w:val="005E10D5"/>
    <w:rsid w:val="005E10EC"/>
    <w:rsid w:val="005E10F9"/>
    <w:rsid w:val="005E11A3"/>
    <w:rsid w:val="005E11D4"/>
    <w:rsid w:val="005E11DB"/>
    <w:rsid w:val="005E1267"/>
    <w:rsid w:val="005E126D"/>
    <w:rsid w:val="005E1276"/>
    <w:rsid w:val="005E12A5"/>
    <w:rsid w:val="005E12B3"/>
    <w:rsid w:val="005E12E8"/>
    <w:rsid w:val="005E130B"/>
    <w:rsid w:val="005E130E"/>
    <w:rsid w:val="005E139A"/>
    <w:rsid w:val="005E13A1"/>
    <w:rsid w:val="005E13D4"/>
    <w:rsid w:val="005E13E0"/>
    <w:rsid w:val="005E13ED"/>
    <w:rsid w:val="005E140A"/>
    <w:rsid w:val="005E142D"/>
    <w:rsid w:val="005E1439"/>
    <w:rsid w:val="005E147F"/>
    <w:rsid w:val="005E1485"/>
    <w:rsid w:val="005E1486"/>
    <w:rsid w:val="005E14F9"/>
    <w:rsid w:val="005E1515"/>
    <w:rsid w:val="005E154C"/>
    <w:rsid w:val="005E1565"/>
    <w:rsid w:val="005E15D3"/>
    <w:rsid w:val="005E1666"/>
    <w:rsid w:val="005E1691"/>
    <w:rsid w:val="005E16D6"/>
    <w:rsid w:val="005E16EA"/>
    <w:rsid w:val="005E1709"/>
    <w:rsid w:val="005E17AC"/>
    <w:rsid w:val="005E17D7"/>
    <w:rsid w:val="005E17F7"/>
    <w:rsid w:val="005E1854"/>
    <w:rsid w:val="005E185B"/>
    <w:rsid w:val="005E1865"/>
    <w:rsid w:val="005E1881"/>
    <w:rsid w:val="005E1890"/>
    <w:rsid w:val="005E189A"/>
    <w:rsid w:val="005E18A4"/>
    <w:rsid w:val="005E194A"/>
    <w:rsid w:val="005E1975"/>
    <w:rsid w:val="005E1986"/>
    <w:rsid w:val="005E19F0"/>
    <w:rsid w:val="005E1A16"/>
    <w:rsid w:val="005E1A51"/>
    <w:rsid w:val="005E1A75"/>
    <w:rsid w:val="005E1A81"/>
    <w:rsid w:val="005E1A9A"/>
    <w:rsid w:val="005E1AEE"/>
    <w:rsid w:val="005E1AF2"/>
    <w:rsid w:val="005E1B19"/>
    <w:rsid w:val="005E1B39"/>
    <w:rsid w:val="005E1B3F"/>
    <w:rsid w:val="005E1B58"/>
    <w:rsid w:val="005E1B60"/>
    <w:rsid w:val="005E1B76"/>
    <w:rsid w:val="005E1B81"/>
    <w:rsid w:val="005E1C07"/>
    <w:rsid w:val="005E1C2B"/>
    <w:rsid w:val="005E1C87"/>
    <w:rsid w:val="005E1CDB"/>
    <w:rsid w:val="005E1D04"/>
    <w:rsid w:val="005E1D2B"/>
    <w:rsid w:val="005E1D3A"/>
    <w:rsid w:val="005E1D40"/>
    <w:rsid w:val="005E1D79"/>
    <w:rsid w:val="005E1DB7"/>
    <w:rsid w:val="005E1E12"/>
    <w:rsid w:val="005E1E6A"/>
    <w:rsid w:val="005E1E7C"/>
    <w:rsid w:val="005E1E8F"/>
    <w:rsid w:val="005E1EEF"/>
    <w:rsid w:val="005E1EF1"/>
    <w:rsid w:val="005E1F4F"/>
    <w:rsid w:val="005E1F73"/>
    <w:rsid w:val="005E2028"/>
    <w:rsid w:val="005E2065"/>
    <w:rsid w:val="005E207B"/>
    <w:rsid w:val="005E2088"/>
    <w:rsid w:val="005E20B2"/>
    <w:rsid w:val="005E20B6"/>
    <w:rsid w:val="005E20FB"/>
    <w:rsid w:val="005E21B1"/>
    <w:rsid w:val="005E21BF"/>
    <w:rsid w:val="005E21D9"/>
    <w:rsid w:val="005E22D0"/>
    <w:rsid w:val="005E2311"/>
    <w:rsid w:val="005E2352"/>
    <w:rsid w:val="005E23BA"/>
    <w:rsid w:val="005E2497"/>
    <w:rsid w:val="005E24FE"/>
    <w:rsid w:val="005E250B"/>
    <w:rsid w:val="005E25CC"/>
    <w:rsid w:val="005E25EC"/>
    <w:rsid w:val="005E2612"/>
    <w:rsid w:val="005E264C"/>
    <w:rsid w:val="005E2651"/>
    <w:rsid w:val="005E2670"/>
    <w:rsid w:val="005E26B1"/>
    <w:rsid w:val="005E26C5"/>
    <w:rsid w:val="005E2708"/>
    <w:rsid w:val="005E271E"/>
    <w:rsid w:val="005E273A"/>
    <w:rsid w:val="005E2743"/>
    <w:rsid w:val="005E2745"/>
    <w:rsid w:val="005E27D7"/>
    <w:rsid w:val="005E2878"/>
    <w:rsid w:val="005E28DD"/>
    <w:rsid w:val="005E28E1"/>
    <w:rsid w:val="005E28E6"/>
    <w:rsid w:val="005E28F1"/>
    <w:rsid w:val="005E290F"/>
    <w:rsid w:val="005E2920"/>
    <w:rsid w:val="005E2958"/>
    <w:rsid w:val="005E2969"/>
    <w:rsid w:val="005E2985"/>
    <w:rsid w:val="005E299B"/>
    <w:rsid w:val="005E29B6"/>
    <w:rsid w:val="005E29B9"/>
    <w:rsid w:val="005E29C4"/>
    <w:rsid w:val="005E2A06"/>
    <w:rsid w:val="005E2A95"/>
    <w:rsid w:val="005E2A9E"/>
    <w:rsid w:val="005E2B48"/>
    <w:rsid w:val="005E2BB5"/>
    <w:rsid w:val="005E2BB9"/>
    <w:rsid w:val="005E2BD8"/>
    <w:rsid w:val="005E2BE7"/>
    <w:rsid w:val="005E2BFE"/>
    <w:rsid w:val="005E2C21"/>
    <w:rsid w:val="005E2C6D"/>
    <w:rsid w:val="005E2C6F"/>
    <w:rsid w:val="005E2CD2"/>
    <w:rsid w:val="005E2CE5"/>
    <w:rsid w:val="005E2D0F"/>
    <w:rsid w:val="005E2D78"/>
    <w:rsid w:val="005E2E01"/>
    <w:rsid w:val="005E2EB0"/>
    <w:rsid w:val="005E2EF9"/>
    <w:rsid w:val="005E2F32"/>
    <w:rsid w:val="005E2FB6"/>
    <w:rsid w:val="005E3055"/>
    <w:rsid w:val="005E3069"/>
    <w:rsid w:val="005E30A1"/>
    <w:rsid w:val="005E30D8"/>
    <w:rsid w:val="005E3164"/>
    <w:rsid w:val="005E317F"/>
    <w:rsid w:val="005E318D"/>
    <w:rsid w:val="005E31D4"/>
    <w:rsid w:val="005E31F1"/>
    <w:rsid w:val="005E31F5"/>
    <w:rsid w:val="005E321F"/>
    <w:rsid w:val="005E323F"/>
    <w:rsid w:val="005E3250"/>
    <w:rsid w:val="005E3267"/>
    <w:rsid w:val="005E3293"/>
    <w:rsid w:val="005E32BA"/>
    <w:rsid w:val="005E32F8"/>
    <w:rsid w:val="005E3358"/>
    <w:rsid w:val="005E3359"/>
    <w:rsid w:val="005E3367"/>
    <w:rsid w:val="005E339C"/>
    <w:rsid w:val="005E33CE"/>
    <w:rsid w:val="005E3427"/>
    <w:rsid w:val="005E34CA"/>
    <w:rsid w:val="005E34CF"/>
    <w:rsid w:val="005E34E0"/>
    <w:rsid w:val="005E34EE"/>
    <w:rsid w:val="005E34FD"/>
    <w:rsid w:val="005E3585"/>
    <w:rsid w:val="005E3627"/>
    <w:rsid w:val="005E365E"/>
    <w:rsid w:val="005E36B7"/>
    <w:rsid w:val="005E3722"/>
    <w:rsid w:val="005E3736"/>
    <w:rsid w:val="005E37AE"/>
    <w:rsid w:val="005E37BF"/>
    <w:rsid w:val="005E37C1"/>
    <w:rsid w:val="005E37DE"/>
    <w:rsid w:val="005E384A"/>
    <w:rsid w:val="005E384F"/>
    <w:rsid w:val="005E38AF"/>
    <w:rsid w:val="005E3995"/>
    <w:rsid w:val="005E39C1"/>
    <w:rsid w:val="005E39FA"/>
    <w:rsid w:val="005E3A2A"/>
    <w:rsid w:val="005E3A45"/>
    <w:rsid w:val="005E3A63"/>
    <w:rsid w:val="005E3AD8"/>
    <w:rsid w:val="005E3AF4"/>
    <w:rsid w:val="005E3AFE"/>
    <w:rsid w:val="005E3B42"/>
    <w:rsid w:val="005E3C2D"/>
    <w:rsid w:val="005E3C60"/>
    <w:rsid w:val="005E3C8F"/>
    <w:rsid w:val="005E3CE6"/>
    <w:rsid w:val="005E3CF8"/>
    <w:rsid w:val="005E3D06"/>
    <w:rsid w:val="005E3D91"/>
    <w:rsid w:val="005E3DE6"/>
    <w:rsid w:val="005E3E41"/>
    <w:rsid w:val="005E3E4F"/>
    <w:rsid w:val="005E3E9A"/>
    <w:rsid w:val="005E3FA4"/>
    <w:rsid w:val="005E3FB9"/>
    <w:rsid w:val="005E3FBD"/>
    <w:rsid w:val="005E3FE3"/>
    <w:rsid w:val="005E3FEC"/>
    <w:rsid w:val="005E3FF1"/>
    <w:rsid w:val="005E403D"/>
    <w:rsid w:val="005E404A"/>
    <w:rsid w:val="005E404C"/>
    <w:rsid w:val="005E407E"/>
    <w:rsid w:val="005E40A6"/>
    <w:rsid w:val="005E40CD"/>
    <w:rsid w:val="005E4199"/>
    <w:rsid w:val="005E41E9"/>
    <w:rsid w:val="005E4254"/>
    <w:rsid w:val="005E4268"/>
    <w:rsid w:val="005E4274"/>
    <w:rsid w:val="005E4285"/>
    <w:rsid w:val="005E429A"/>
    <w:rsid w:val="005E42CC"/>
    <w:rsid w:val="005E42DC"/>
    <w:rsid w:val="005E4419"/>
    <w:rsid w:val="005E4421"/>
    <w:rsid w:val="005E4452"/>
    <w:rsid w:val="005E445B"/>
    <w:rsid w:val="005E44CB"/>
    <w:rsid w:val="005E44D3"/>
    <w:rsid w:val="005E44D4"/>
    <w:rsid w:val="005E44FE"/>
    <w:rsid w:val="005E453B"/>
    <w:rsid w:val="005E457D"/>
    <w:rsid w:val="005E45DB"/>
    <w:rsid w:val="005E461F"/>
    <w:rsid w:val="005E4643"/>
    <w:rsid w:val="005E4648"/>
    <w:rsid w:val="005E4684"/>
    <w:rsid w:val="005E46E0"/>
    <w:rsid w:val="005E473A"/>
    <w:rsid w:val="005E4740"/>
    <w:rsid w:val="005E4751"/>
    <w:rsid w:val="005E47EA"/>
    <w:rsid w:val="005E47FD"/>
    <w:rsid w:val="005E4806"/>
    <w:rsid w:val="005E4821"/>
    <w:rsid w:val="005E4849"/>
    <w:rsid w:val="005E48A4"/>
    <w:rsid w:val="005E48B7"/>
    <w:rsid w:val="005E4922"/>
    <w:rsid w:val="005E496A"/>
    <w:rsid w:val="005E497D"/>
    <w:rsid w:val="005E4981"/>
    <w:rsid w:val="005E49BC"/>
    <w:rsid w:val="005E4A0C"/>
    <w:rsid w:val="005E4A14"/>
    <w:rsid w:val="005E4A7F"/>
    <w:rsid w:val="005E4A8B"/>
    <w:rsid w:val="005E4A9D"/>
    <w:rsid w:val="005E4AC4"/>
    <w:rsid w:val="005E4AD8"/>
    <w:rsid w:val="005E4AEF"/>
    <w:rsid w:val="005E4B12"/>
    <w:rsid w:val="005E4B88"/>
    <w:rsid w:val="005E4BD5"/>
    <w:rsid w:val="005E4C35"/>
    <w:rsid w:val="005E4C51"/>
    <w:rsid w:val="005E4C98"/>
    <w:rsid w:val="005E4CB6"/>
    <w:rsid w:val="005E4CBF"/>
    <w:rsid w:val="005E4CC3"/>
    <w:rsid w:val="005E4CE3"/>
    <w:rsid w:val="005E4CE8"/>
    <w:rsid w:val="005E4CEA"/>
    <w:rsid w:val="005E4D2D"/>
    <w:rsid w:val="005E4DC1"/>
    <w:rsid w:val="005E4DFF"/>
    <w:rsid w:val="005E4E5C"/>
    <w:rsid w:val="005E4E76"/>
    <w:rsid w:val="005E4E83"/>
    <w:rsid w:val="005E4E86"/>
    <w:rsid w:val="005E504C"/>
    <w:rsid w:val="005E509C"/>
    <w:rsid w:val="005E50C0"/>
    <w:rsid w:val="005E510A"/>
    <w:rsid w:val="005E5146"/>
    <w:rsid w:val="005E5157"/>
    <w:rsid w:val="005E5176"/>
    <w:rsid w:val="005E522C"/>
    <w:rsid w:val="005E5246"/>
    <w:rsid w:val="005E526E"/>
    <w:rsid w:val="005E529D"/>
    <w:rsid w:val="005E52B5"/>
    <w:rsid w:val="005E52B9"/>
    <w:rsid w:val="005E52C1"/>
    <w:rsid w:val="005E5325"/>
    <w:rsid w:val="005E5368"/>
    <w:rsid w:val="005E537B"/>
    <w:rsid w:val="005E5394"/>
    <w:rsid w:val="005E539E"/>
    <w:rsid w:val="005E53FB"/>
    <w:rsid w:val="005E5409"/>
    <w:rsid w:val="005E54AB"/>
    <w:rsid w:val="005E54B5"/>
    <w:rsid w:val="005E54E7"/>
    <w:rsid w:val="005E5571"/>
    <w:rsid w:val="005E559C"/>
    <w:rsid w:val="005E55D2"/>
    <w:rsid w:val="005E55FE"/>
    <w:rsid w:val="005E5617"/>
    <w:rsid w:val="005E561A"/>
    <w:rsid w:val="005E5622"/>
    <w:rsid w:val="005E5657"/>
    <w:rsid w:val="005E566D"/>
    <w:rsid w:val="005E56C4"/>
    <w:rsid w:val="005E5734"/>
    <w:rsid w:val="005E57E1"/>
    <w:rsid w:val="005E57E9"/>
    <w:rsid w:val="005E5825"/>
    <w:rsid w:val="005E586B"/>
    <w:rsid w:val="005E598F"/>
    <w:rsid w:val="005E59F8"/>
    <w:rsid w:val="005E59F9"/>
    <w:rsid w:val="005E59FD"/>
    <w:rsid w:val="005E5A15"/>
    <w:rsid w:val="005E5A4C"/>
    <w:rsid w:val="005E5A9F"/>
    <w:rsid w:val="005E5AF3"/>
    <w:rsid w:val="005E5B57"/>
    <w:rsid w:val="005E5BC0"/>
    <w:rsid w:val="005E5BD9"/>
    <w:rsid w:val="005E5BFD"/>
    <w:rsid w:val="005E5C0D"/>
    <w:rsid w:val="005E5C26"/>
    <w:rsid w:val="005E5C3A"/>
    <w:rsid w:val="005E5C3D"/>
    <w:rsid w:val="005E5D9B"/>
    <w:rsid w:val="005E5DBC"/>
    <w:rsid w:val="005E5DE5"/>
    <w:rsid w:val="005E5E26"/>
    <w:rsid w:val="005E5EAF"/>
    <w:rsid w:val="005E5EB9"/>
    <w:rsid w:val="005E5F1F"/>
    <w:rsid w:val="005E5F62"/>
    <w:rsid w:val="005E5F65"/>
    <w:rsid w:val="005E5F96"/>
    <w:rsid w:val="005E5FA4"/>
    <w:rsid w:val="005E5FBB"/>
    <w:rsid w:val="005E5FBD"/>
    <w:rsid w:val="005E5FD8"/>
    <w:rsid w:val="005E600B"/>
    <w:rsid w:val="005E6058"/>
    <w:rsid w:val="005E60B8"/>
    <w:rsid w:val="005E60BB"/>
    <w:rsid w:val="005E610A"/>
    <w:rsid w:val="005E6157"/>
    <w:rsid w:val="005E6187"/>
    <w:rsid w:val="005E6192"/>
    <w:rsid w:val="005E6273"/>
    <w:rsid w:val="005E627E"/>
    <w:rsid w:val="005E62BF"/>
    <w:rsid w:val="005E62DD"/>
    <w:rsid w:val="005E62EA"/>
    <w:rsid w:val="005E6326"/>
    <w:rsid w:val="005E63AD"/>
    <w:rsid w:val="005E63B2"/>
    <w:rsid w:val="005E63BE"/>
    <w:rsid w:val="005E63EB"/>
    <w:rsid w:val="005E63EF"/>
    <w:rsid w:val="005E643D"/>
    <w:rsid w:val="005E6468"/>
    <w:rsid w:val="005E652B"/>
    <w:rsid w:val="005E65A2"/>
    <w:rsid w:val="005E65E7"/>
    <w:rsid w:val="005E6632"/>
    <w:rsid w:val="005E663F"/>
    <w:rsid w:val="005E6675"/>
    <w:rsid w:val="005E6710"/>
    <w:rsid w:val="005E671B"/>
    <w:rsid w:val="005E676D"/>
    <w:rsid w:val="005E677E"/>
    <w:rsid w:val="005E677F"/>
    <w:rsid w:val="005E67B2"/>
    <w:rsid w:val="005E67F5"/>
    <w:rsid w:val="005E687F"/>
    <w:rsid w:val="005E68CE"/>
    <w:rsid w:val="005E694F"/>
    <w:rsid w:val="005E6964"/>
    <w:rsid w:val="005E6983"/>
    <w:rsid w:val="005E69AE"/>
    <w:rsid w:val="005E69CE"/>
    <w:rsid w:val="005E69DE"/>
    <w:rsid w:val="005E6A7B"/>
    <w:rsid w:val="005E6AA2"/>
    <w:rsid w:val="005E6AE9"/>
    <w:rsid w:val="005E6AF5"/>
    <w:rsid w:val="005E6B7F"/>
    <w:rsid w:val="005E6BDD"/>
    <w:rsid w:val="005E6BF5"/>
    <w:rsid w:val="005E6C03"/>
    <w:rsid w:val="005E6C08"/>
    <w:rsid w:val="005E6C0A"/>
    <w:rsid w:val="005E6C64"/>
    <w:rsid w:val="005E6C8D"/>
    <w:rsid w:val="005E6CB8"/>
    <w:rsid w:val="005E6D55"/>
    <w:rsid w:val="005E6D5F"/>
    <w:rsid w:val="005E6D76"/>
    <w:rsid w:val="005E6DB4"/>
    <w:rsid w:val="005E6DD5"/>
    <w:rsid w:val="005E6DD7"/>
    <w:rsid w:val="005E6DF6"/>
    <w:rsid w:val="005E6E54"/>
    <w:rsid w:val="005E6ECD"/>
    <w:rsid w:val="005E6EF3"/>
    <w:rsid w:val="005E6EF4"/>
    <w:rsid w:val="005E6F24"/>
    <w:rsid w:val="005E6F2E"/>
    <w:rsid w:val="005E6F93"/>
    <w:rsid w:val="005E6FFA"/>
    <w:rsid w:val="005E70EE"/>
    <w:rsid w:val="005E70FB"/>
    <w:rsid w:val="005E710D"/>
    <w:rsid w:val="005E712A"/>
    <w:rsid w:val="005E715B"/>
    <w:rsid w:val="005E7191"/>
    <w:rsid w:val="005E71DA"/>
    <w:rsid w:val="005E7218"/>
    <w:rsid w:val="005E7226"/>
    <w:rsid w:val="005E7242"/>
    <w:rsid w:val="005E7287"/>
    <w:rsid w:val="005E729F"/>
    <w:rsid w:val="005E72A8"/>
    <w:rsid w:val="005E72D6"/>
    <w:rsid w:val="005E72E1"/>
    <w:rsid w:val="005E72E4"/>
    <w:rsid w:val="005E7304"/>
    <w:rsid w:val="005E736E"/>
    <w:rsid w:val="005E7374"/>
    <w:rsid w:val="005E73FA"/>
    <w:rsid w:val="005E7405"/>
    <w:rsid w:val="005E748D"/>
    <w:rsid w:val="005E7490"/>
    <w:rsid w:val="005E74C1"/>
    <w:rsid w:val="005E74C8"/>
    <w:rsid w:val="005E750C"/>
    <w:rsid w:val="005E7511"/>
    <w:rsid w:val="005E754D"/>
    <w:rsid w:val="005E7590"/>
    <w:rsid w:val="005E75BD"/>
    <w:rsid w:val="005E75BF"/>
    <w:rsid w:val="005E7617"/>
    <w:rsid w:val="005E7646"/>
    <w:rsid w:val="005E7710"/>
    <w:rsid w:val="005E7730"/>
    <w:rsid w:val="005E7753"/>
    <w:rsid w:val="005E775E"/>
    <w:rsid w:val="005E778B"/>
    <w:rsid w:val="005E778E"/>
    <w:rsid w:val="005E77E4"/>
    <w:rsid w:val="005E77F0"/>
    <w:rsid w:val="005E7813"/>
    <w:rsid w:val="005E784A"/>
    <w:rsid w:val="005E7852"/>
    <w:rsid w:val="005E789A"/>
    <w:rsid w:val="005E78B7"/>
    <w:rsid w:val="005E7905"/>
    <w:rsid w:val="005E7957"/>
    <w:rsid w:val="005E7964"/>
    <w:rsid w:val="005E79C7"/>
    <w:rsid w:val="005E79DE"/>
    <w:rsid w:val="005E7A59"/>
    <w:rsid w:val="005E7A8E"/>
    <w:rsid w:val="005E7A95"/>
    <w:rsid w:val="005E7AB0"/>
    <w:rsid w:val="005E7AC0"/>
    <w:rsid w:val="005E7AE6"/>
    <w:rsid w:val="005E7B0F"/>
    <w:rsid w:val="005E7B19"/>
    <w:rsid w:val="005E7B37"/>
    <w:rsid w:val="005E7B7F"/>
    <w:rsid w:val="005E7BE4"/>
    <w:rsid w:val="005E7BF4"/>
    <w:rsid w:val="005E7C00"/>
    <w:rsid w:val="005E7C10"/>
    <w:rsid w:val="005E7C38"/>
    <w:rsid w:val="005E7C3C"/>
    <w:rsid w:val="005E7C70"/>
    <w:rsid w:val="005E7C7D"/>
    <w:rsid w:val="005E7C85"/>
    <w:rsid w:val="005E7C99"/>
    <w:rsid w:val="005E7CB4"/>
    <w:rsid w:val="005E7CC2"/>
    <w:rsid w:val="005E7CE0"/>
    <w:rsid w:val="005E7D21"/>
    <w:rsid w:val="005E7D22"/>
    <w:rsid w:val="005E7D43"/>
    <w:rsid w:val="005E7D63"/>
    <w:rsid w:val="005E7DCF"/>
    <w:rsid w:val="005E7DD1"/>
    <w:rsid w:val="005E7DF9"/>
    <w:rsid w:val="005E7E0E"/>
    <w:rsid w:val="005E7E2A"/>
    <w:rsid w:val="005E7E3E"/>
    <w:rsid w:val="005E7E84"/>
    <w:rsid w:val="005E7ECE"/>
    <w:rsid w:val="005E7EE5"/>
    <w:rsid w:val="005E7F50"/>
    <w:rsid w:val="005E7F5C"/>
    <w:rsid w:val="005E7F64"/>
    <w:rsid w:val="005F007F"/>
    <w:rsid w:val="005F0084"/>
    <w:rsid w:val="005F0109"/>
    <w:rsid w:val="005F016C"/>
    <w:rsid w:val="005F0180"/>
    <w:rsid w:val="005F01CC"/>
    <w:rsid w:val="005F01D2"/>
    <w:rsid w:val="005F01F3"/>
    <w:rsid w:val="005F022A"/>
    <w:rsid w:val="005F0249"/>
    <w:rsid w:val="005F027A"/>
    <w:rsid w:val="005F0297"/>
    <w:rsid w:val="005F02AD"/>
    <w:rsid w:val="005F0352"/>
    <w:rsid w:val="005F0385"/>
    <w:rsid w:val="005F03A0"/>
    <w:rsid w:val="005F03CC"/>
    <w:rsid w:val="005F0497"/>
    <w:rsid w:val="005F04C4"/>
    <w:rsid w:val="005F04CA"/>
    <w:rsid w:val="005F04DC"/>
    <w:rsid w:val="005F04F0"/>
    <w:rsid w:val="005F050D"/>
    <w:rsid w:val="005F05DD"/>
    <w:rsid w:val="005F0677"/>
    <w:rsid w:val="005F06C0"/>
    <w:rsid w:val="005F0708"/>
    <w:rsid w:val="005F0741"/>
    <w:rsid w:val="005F0767"/>
    <w:rsid w:val="005F07DF"/>
    <w:rsid w:val="005F07EB"/>
    <w:rsid w:val="005F07F9"/>
    <w:rsid w:val="005F082D"/>
    <w:rsid w:val="005F08DC"/>
    <w:rsid w:val="005F08E3"/>
    <w:rsid w:val="005F0929"/>
    <w:rsid w:val="005F0949"/>
    <w:rsid w:val="005F09D9"/>
    <w:rsid w:val="005F09ED"/>
    <w:rsid w:val="005F0A1E"/>
    <w:rsid w:val="005F0A4C"/>
    <w:rsid w:val="005F0A65"/>
    <w:rsid w:val="005F0ADA"/>
    <w:rsid w:val="005F0AE5"/>
    <w:rsid w:val="005F0AFC"/>
    <w:rsid w:val="005F0BC8"/>
    <w:rsid w:val="005F0BCC"/>
    <w:rsid w:val="005F0C09"/>
    <w:rsid w:val="005F0C78"/>
    <w:rsid w:val="005F0C85"/>
    <w:rsid w:val="005F0C8A"/>
    <w:rsid w:val="005F0CA2"/>
    <w:rsid w:val="005F0D10"/>
    <w:rsid w:val="005F0D1B"/>
    <w:rsid w:val="005F0D1E"/>
    <w:rsid w:val="005F0D75"/>
    <w:rsid w:val="005F0DE9"/>
    <w:rsid w:val="005F0E2D"/>
    <w:rsid w:val="005F0E3F"/>
    <w:rsid w:val="005F0F49"/>
    <w:rsid w:val="005F0F56"/>
    <w:rsid w:val="005F0F74"/>
    <w:rsid w:val="005F103F"/>
    <w:rsid w:val="005F1084"/>
    <w:rsid w:val="005F1088"/>
    <w:rsid w:val="005F1093"/>
    <w:rsid w:val="005F10BA"/>
    <w:rsid w:val="005F1142"/>
    <w:rsid w:val="005F114C"/>
    <w:rsid w:val="005F114D"/>
    <w:rsid w:val="005F1151"/>
    <w:rsid w:val="005F119C"/>
    <w:rsid w:val="005F11B5"/>
    <w:rsid w:val="005F1202"/>
    <w:rsid w:val="005F1211"/>
    <w:rsid w:val="005F12A1"/>
    <w:rsid w:val="005F1348"/>
    <w:rsid w:val="005F1351"/>
    <w:rsid w:val="005F1377"/>
    <w:rsid w:val="005F138D"/>
    <w:rsid w:val="005F13C0"/>
    <w:rsid w:val="005F13C1"/>
    <w:rsid w:val="005F13C7"/>
    <w:rsid w:val="005F13DC"/>
    <w:rsid w:val="005F13EA"/>
    <w:rsid w:val="005F1423"/>
    <w:rsid w:val="005F14E5"/>
    <w:rsid w:val="005F14E8"/>
    <w:rsid w:val="005F14FD"/>
    <w:rsid w:val="005F15BC"/>
    <w:rsid w:val="005F15E0"/>
    <w:rsid w:val="005F16F1"/>
    <w:rsid w:val="005F1758"/>
    <w:rsid w:val="005F175B"/>
    <w:rsid w:val="005F17A2"/>
    <w:rsid w:val="005F17A5"/>
    <w:rsid w:val="005F17BC"/>
    <w:rsid w:val="005F1875"/>
    <w:rsid w:val="005F188E"/>
    <w:rsid w:val="005F18BC"/>
    <w:rsid w:val="005F18D8"/>
    <w:rsid w:val="005F1902"/>
    <w:rsid w:val="005F1930"/>
    <w:rsid w:val="005F1940"/>
    <w:rsid w:val="005F1947"/>
    <w:rsid w:val="005F1971"/>
    <w:rsid w:val="005F1A0F"/>
    <w:rsid w:val="005F1A22"/>
    <w:rsid w:val="005F1A49"/>
    <w:rsid w:val="005F1A65"/>
    <w:rsid w:val="005F1A68"/>
    <w:rsid w:val="005F1A8F"/>
    <w:rsid w:val="005F1AE3"/>
    <w:rsid w:val="005F1B05"/>
    <w:rsid w:val="005F1B16"/>
    <w:rsid w:val="005F1B73"/>
    <w:rsid w:val="005F1C78"/>
    <w:rsid w:val="005F1D60"/>
    <w:rsid w:val="005F1E01"/>
    <w:rsid w:val="005F1E49"/>
    <w:rsid w:val="005F1E6D"/>
    <w:rsid w:val="005F1E6F"/>
    <w:rsid w:val="005F1E7F"/>
    <w:rsid w:val="005F1F0B"/>
    <w:rsid w:val="005F1F21"/>
    <w:rsid w:val="005F1F2E"/>
    <w:rsid w:val="005F1F56"/>
    <w:rsid w:val="005F1F68"/>
    <w:rsid w:val="005F1FBF"/>
    <w:rsid w:val="005F1FDF"/>
    <w:rsid w:val="005F202C"/>
    <w:rsid w:val="005F2049"/>
    <w:rsid w:val="005F2050"/>
    <w:rsid w:val="005F20A5"/>
    <w:rsid w:val="005F20B4"/>
    <w:rsid w:val="005F20C7"/>
    <w:rsid w:val="005F20D4"/>
    <w:rsid w:val="005F20E1"/>
    <w:rsid w:val="005F20E8"/>
    <w:rsid w:val="005F2126"/>
    <w:rsid w:val="005F2161"/>
    <w:rsid w:val="005F21B3"/>
    <w:rsid w:val="005F221C"/>
    <w:rsid w:val="005F229E"/>
    <w:rsid w:val="005F22A1"/>
    <w:rsid w:val="005F236F"/>
    <w:rsid w:val="005F2399"/>
    <w:rsid w:val="005F23A9"/>
    <w:rsid w:val="005F23AB"/>
    <w:rsid w:val="005F23CC"/>
    <w:rsid w:val="005F2405"/>
    <w:rsid w:val="005F2450"/>
    <w:rsid w:val="005F2545"/>
    <w:rsid w:val="005F25D0"/>
    <w:rsid w:val="005F2626"/>
    <w:rsid w:val="005F2634"/>
    <w:rsid w:val="005F2692"/>
    <w:rsid w:val="005F269B"/>
    <w:rsid w:val="005F277F"/>
    <w:rsid w:val="005F27DC"/>
    <w:rsid w:val="005F2816"/>
    <w:rsid w:val="005F284E"/>
    <w:rsid w:val="005F2853"/>
    <w:rsid w:val="005F286A"/>
    <w:rsid w:val="005F2875"/>
    <w:rsid w:val="005F287B"/>
    <w:rsid w:val="005F287D"/>
    <w:rsid w:val="005F28D1"/>
    <w:rsid w:val="005F290B"/>
    <w:rsid w:val="005F2945"/>
    <w:rsid w:val="005F299A"/>
    <w:rsid w:val="005F29A4"/>
    <w:rsid w:val="005F29C4"/>
    <w:rsid w:val="005F29E8"/>
    <w:rsid w:val="005F29F0"/>
    <w:rsid w:val="005F29F4"/>
    <w:rsid w:val="005F2B44"/>
    <w:rsid w:val="005F2B6C"/>
    <w:rsid w:val="005F2BC1"/>
    <w:rsid w:val="005F2BCA"/>
    <w:rsid w:val="005F2C15"/>
    <w:rsid w:val="005F2CD9"/>
    <w:rsid w:val="005F2D49"/>
    <w:rsid w:val="005F2D82"/>
    <w:rsid w:val="005F2D9D"/>
    <w:rsid w:val="005F2DAA"/>
    <w:rsid w:val="005F2DB5"/>
    <w:rsid w:val="005F2E04"/>
    <w:rsid w:val="005F2E05"/>
    <w:rsid w:val="005F2E1A"/>
    <w:rsid w:val="005F2E23"/>
    <w:rsid w:val="005F2E77"/>
    <w:rsid w:val="005F2EB1"/>
    <w:rsid w:val="005F2ECF"/>
    <w:rsid w:val="005F2ED9"/>
    <w:rsid w:val="005F2EEC"/>
    <w:rsid w:val="005F2F25"/>
    <w:rsid w:val="005F2FB9"/>
    <w:rsid w:val="005F2FCD"/>
    <w:rsid w:val="005F3031"/>
    <w:rsid w:val="005F3056"/>
    <w:rsid w:val="005F30A6"/>
    <w:rsid w:val="005F30EA"/>
    <w:rsid w:val="005F3145"/>
    <w:rsid w:val="005F3187"/>
    <w:rsid w:val="005F31EB"/>
    <w:rsid w:val="005F3228"/>
    <w:rsid w:val="005F327A"/>
    <w:rsid w:val="005F3298"/>
    <w:rsid w:val="005F329C"/>
    <w:rsid w:val="005F32D2"/>
    <w:rsid w:val="005F32EA"/>
    <w:rsid w:val="005F335B"/>
    <w:rsid w:val="005F336A"/>
    <w:rsid w:val="005F338A"/>
    <w:rsid w:val="005F33BA"/>
    <w:rsid w:val="005F3419"/>
    <w:rsid w:val="005F3428"/>
    <w:rsid w:val="005F343D"/>
    <w:rsid w:val="005F3446"/>
    <w:rsid w:val="005F347E"/>
    <w:rsid w:val="005F34A0"/>
    <w:rsid w:val="005F34B5"/>
    <w:rsid w:val="005F3585"/>
    <w:rsid w:val="005F35D3"/>
    <w:rsid w:val="005F35FA"/>
    <w:rsid w:val="005F3624"/>
    <w:rsid w:val="005F3664"/>
    <w:rsid w:val="005F368F"/>
    <w:rsid w:val="005F3700"/>
    <w:rsid w:val="005F3719"/>
    <w:rsid w:val="005F372F"/>
    <w:rsid w:val="005F3731"/>
    <w:rsid w:val="005F3734"/>
    <w:rsid w:val="005F374B"/>
    <w:rsid w:val="005F375D"/>
    <w:rsid w:val="005F37C0"/>
    <w:rsid w:val="005F37D3"/>
    <w:rsid w:val="005F382F"/>
    <w:rsid w:val="005F383F"/>
    <w:rsid w:val="005F388E"/>
    <w:rsid w:val="005F388F"/>
    <w:rsid w:val="005F38CB"/>
    <w:rsid w:val="005F394E"/>
    <w:rsid w:val="005F3957"/>
    <w:rsid w:val="005F396D"/>
    <w:rsid w:val="005F3970"/>
    <w:rsid w:val="005F3989"/>
    <w:rsid w:val="005F3993"/>
    <w:rsid w:val="005F39AC"/>
    <w:rsid w:val="005F39C4"/>
    <w:rsid w:val="005F3A7B"/>
    <w:rsid w:val="005F3B19"/>
    <w:rsid w:val="005F3B3C"/>
    <w:rsid w:val="005F3B4F"/>
    <w:rsid w:val="005F3BA1"/>
    <w:rsid w:val="005F3BBF"/>
    <w:rsid w:val="005F3BCC"/>
    <w:rsid w:val="005F3BE8"/>
    <w:rsid w:val="005F3C0B"/>
    <w:rsid w:val="005F3C2E"/>
    <w:rsid w:val="005F3C57"/>
    <w:rsid w:val="005F3C8F"/>
    <w:rsid w:val="005F3CA6"/>
    <w:rsid w:val="005F3CAA"/>
    <w:rsid w:val="005F3E1B"/>
    <w:rsid w:val="005F3E21"/>
    <w:rsid w:val="005F3E79"/>
    <w:rsid w:val="005F3E96"/>
    <w:rsid w:val="005F3EA8"/>
    <w:rsid w:val="005F3EB9"/>
    <w:rsid w:val="005F3ED7"/>
    <w:rsid w:val="005F3F01"/>
    <w:rsid w:val="005F3F1E"/>
    <w:rsid w:val="005F3FA1"/>
    <w:rsid w:val="005F3FAF"/>
    <w:rsid w:val="005F4041"/>
    <w:rsid w:val="005F40F6"/>
    <w:rsid w:val="005F4172"/>
    <w:rsid w:val="005F417C"/>
    <w:rsid w:val="005F419A"/>
    <w:rsid w:val="005F41AF"/>
    <w:rsid w:val="005F41C2"/>
    <w:rsid w:val="005F41D2"/>
    <w:rsid w:val="005F4213"/>
    <w:rsid w:val="005F4233"/>
    <w:rsid w:val="005F4291"/>
    <w:rsid w:val="005F42C9"/>
    <w:rsid w:val="005F42CB"/>
    <w:rsid w:val="005F4322"/>
    <w:rsid w:val="005F43AF"/>
    <w:rsid w:val="005F43E7"/>
    <w:rsid w:val="005F43F1"/>
    <w:rsid w:val="005F43F2"/>
    <w:rsid w:val="005F43F5"/>
    <w:rsid w:val="005F43F6"/>
    <w:rsid w:val="005F4480"/>
    <w:rsid w:val="005F44E9"/>
    <w:rsid w:val="005F451E"/>
    <w:rsid w:val="005F452F"/>
    <w:rsid w:val="005F4560"/>
    <w:rsid w:val="005F4583"/>
    <w:rsid w:val="005F4587"/>
    <w:rsid w:val="005F4613"/>
    <w:rsid w:val="005F464B"/>
    <w:rsid w:val="005F4665"/>
    <w:rsid w:val="005F4696"/>
    <w:rsid w:val="005F46FB"/>
    <w:rsid w:val="005F4727"/>
    <w:rsid w:val="005F4795"/>
    <w:rsid w:val="005F480A"/>
    <w:rsid w:val="005F4820"/>
    <w:rsid w:val="005F4911"/>
    <w:rsid w:val="005F491D"/>
    <w:rsid w:val="005F491E"/>
    <w:rsid w:val="005F497F"/>
    <w:rsid w:val="005F49D9"/>
    <w:rsid w:val="005F49F7"/>
    <w:rsid w:val="005F4A12"/>
    <w:rsid w:val="005F4A17"/>
    <w:rsid w:val="005F4A6B"/>
    <w:rsid w:val="005F4A8F"/>
    <w:rsid w:val="005F4AC1"/>
    <w:rsid w:val="005F4AC3"/>
    <w:rsid w:val="005F4B04"/>
    <w:rsid w:val="005F4B5E"/>
    <w:rsid w:val="005F4B78"/>
    <w:rsid w:val="005F4B81"/>
    <w:rsid w:val="005F4BB9"/>
    <w:rsid w:val="005F4C8A"/>
    <w:rsid w:val="005F4CA2"/>
    <w:rsid w:val="005F4CA4"/>
    <w:rsid w:val="005F4CFA"/>
    <w:rsid w:val="005F4CFB"/>
    <w:rsid w:val="005F4D0A"/>
    <w:rsid w:val="005F4D31"/>
    <w:rsid w:val="005F4D39"/>
    <w:rsid w:val="005F4D3B"/>
    <w:rsid w:val="005F4D46"/>
    <w:rsid w:val="005F4D4C"/>
    <w:rsid w:val="005F4D51"/>
    <w:rsid w:val="005F4D5E"/>
    <w:rsid w:val="005F4D60"/>
    <w:rsid w:val="005F4D75"/>
    <w:rsid w:val="005F4D79"/>
    <w:rsid w:val="005F4D89"/>
    <w:rsid w:val="005F4D8D"/>
    <w:rsid w:val="005F4E50"/>
    <w:rsid w:val="005F4EA2"/>
    <w:rsid w:val="005F4EBB"/>
    <w:rsid w:val="005F4F47"/>
    <w:rsid w:val="005F4F5E"/>
    <w:rsid w:val="005F4F6B"/>
    <w:rsid w:val="005F4F74"/>
    <w:rsid w:val="005F504F"/>
    <w:rsid w:val="005F505D"/>
    <w:rsid w:val="005F5075"/>
    <w:rsid w:val="005F5088"/>
    <w:rsid w:val="005F50A5"/>
    <w:rsid w:val="005F50CF"/>
    <w:rsid w:val="005F50DE"/>
    <w:rsid w:val="005F519A"/>
    <w:rsid w:val="005F51FE"/>
    <w:rsid w:val="005F520D"/>
    <w:rsid w:val="005F53A1"/>
    <w:rsid w:val="005F53B3"/>
    <w:rsid w:val="005F53B6"/>
    <w:rsid w:val="005F5429"/>
    <w:rsid w:val="005F5443"/>
    <w:rsid w:val="005F544B"/>
    <w:rsid w:val="005F546F"/>
    <w:rsid w:val="005F54C0"/>
    <w:rsid w:val="005F54D4"/>
    <w:rsid w:val="005F54F1"/>
    <w:rsid w:val="005F54F3"/>
    <w:rsid w:val="005F551B"/>
    <w:rsid w:val="005F5521"/>
    <w:rsid w:val="005F558F"/>
    <w:rsid w:val="005F55B6"/>
    <w:rsid w:val="005F55CF"/>
    <w:rsid w:val="005F5627"/>
    <w:rsid w:val="005F562C"/>
    <w:rsid w:val="005F56AD"/>
    <w:rsid w:val="005F5708"/>
    <w:rsid w:val="005F5723"/>
    <w:rsid w:val="005F5768"/>
    <w:rsid w:val="005F5787"/>
    <w:rsid w:val="005F57CB"/>
    <w:rsid w:val="005F57E2"/>
    <w:rsid w:val="005F5861"/>
    <w:rsid w:val="005F5898"/>
    <w:rsid w:val="005F58AC"/>
    <w:rsid w:val="005F58E1"/>
    <w:rsid w:val="005F593E"/>
    <w:rsid w:val="005F5974"/>
    <w:rsid w:val="005F5979"/>
    <w:rsid w:val="005F59A0"/>
    <w:rsid w:val="005F59CF"/>
    <w:rsid w:val="005F59F2"/>
    <w:rsid w:val="005F59FB"/>
    <w:rsid w:val="005F5A2B"/>
    <w:rsid w:val="005F5AB1"/>
    <w:rsid w:val="005F5B1B"/>
    <w:rsid w:val="005F5B3E"/>
    <w:rsid w:val="005F5BC3"/>
    <w:rsid w:val="005F5C23"/>
    <w:rsid w:val="005F5C58"/>
    <w:rsid w:val="005F5C67"/>
    <w:rsid w:val="005F5C98"/>
    <w:rsid w:val="005F5D1A"/>
    <w:rsid w:val="005F5D4C"/>
    <w:rsid w:val="005F5E1F"/>
    <w:rsid w:val="005F5E4A"/>
    <w:rsid w:val="005F5EBD"/>
    <w:rsid w:val="005F5F3B"/>
    <w:rsid w:val="005F5F52"/>
    <w:rsid w:val="005F5F80"/>
    <w:rsid w:val="005F5FD9"/>
    <w:rsid w:val="005F5FE4"/>
    <w:rsid w:val="005F604F"/>
    <w:rsid w:val="005F6132"/>
    <w:rsid w:val="005F617F"/>
    <w:rsid w:val="005F6189"/>
    <w:rsid w:val="005F6213"/>
    <w:rsid w:val="005F629A"/>
    <w:rsid w:val="005F62A5"/>
    <w:rsid w:val="005F62C9"/>
    <w:rsid w:val="005F6334"/>
    <w:rsid w:val="005F6392"/>
    <w:rsid w:val="005F644C"/>
    <w:rsid w:val="005F644D"/>
    <w:rsid w:val="005F6453"/>
    <w:rsid w:val="005F6494"/>
    <w:rsid w:val="005F64A8"/>
    <w:rsid w:val="005F64B3"/>
    <w:rsid w:val="005F64BA"/>
    <w:rsid w:val="005F64E9"/>
    <w:rsid w:val="005F6557"/>
    <w:rsid w:val="005F655D"/>
    <w:rsid w:val="005F65A2"/>
    <w:rsid w:val="005F6631"/>
    <w:rsid w:val="005F6662"/>
    <w:rsid w:val="005F6687"/>
    <w:rsid w:val="005F66AB"/>
    <w:rsid w:val="005F6714"/>
    <w:rsid w:val="005F6754"/>
    <w:rsid w:val="005F677B"/>
    <w:rsid w:val="005F678E"/>
    <w:rsid w:val="005F67AD"/>
    <w:rsid w:val="005F67E0"/>
    <w:rsid w:val="005F6819"/>
    <w:rsid w:val="005F686E"/>
    <w:rsid w:val="005F6887"/>
    <w:rsid w:val="005F68EE"/>
    <w:rsid w:val="005F68F4"/>
    <w:rsid w:val="005F68F9"/>
    <w:rsid w:val="005F6941"/>
    <w:rsid w:val="005F6974"/>
    <w:rsid w:val="005F6987"/>
    <w:rsid w:val="005F6991"/>
    <w:rsid w:val="005F6A2D"/>
    <w:rsid w:val="005F6A69"/>
    <w:rsid w:val="005F6ADA"/>
    <w:rsid w:val="005F6B0B"/>
    <w:rsid w:val="005F6B36"/>
    <w:rsid w:val="005F6B5C"/>
    <w:rsid w:val="005F6BCE"/>
    <w:rsid w:val="005F6C04"/>
    <w:rsid w:val="005F6C10"/>
    <w:rsid w:val="005F6C17"/>
    <w:rsid w:val="005F6C29"/>
    <w:rsid w:val="005F6C31"/>
    <w:rsid w:val="005F6CAF"/>
    <w:rsid w:val="005F6D09"/>
    <w:rsid w:val="005F6D0F"/>
    <w:rsid w:val="005F6D4E"/>
    <w:rsid w:val="005F6D60"/>
    <w:rsid w:val="005F6DA7"/>
    <w:rsid w:val="005F6DD1"/>
    <w:rsid w:val="005F6DD7"/>
    <w:rsid w:val="005F6E0E"/>
    <w:rsid w:val="005F6E10"/>
    <w:rsid w:val="005F6E73"/>
    <w:rsid w:val="005F6EA5"/>
    <w:rsid w:val="005F6EC2"/>
    <w:rsid w:val="005F6ED7"/>
    <w:rsid w:val="005F6EED"/>
    <w:rsid w:val="005F6EF1"/>
    <w:rsid w:val="005F6F1E"/>
    <w:rsid w:val="005F6F6F"/>
    <w:rsid w:val="005F6FE9"/>
    <w:rsid w:val="005F6FEB"/>
    <w:rsid w:val="005F6FEE"/>
    <w:rsid w:val="005F7005"/>
    <w:rsid w:val="005F70BB"/>
    <w:rsid w:val="005F70DA"/>
    <w:rsid w:val="005F70DC"/>
    <w:rsid w:val="005F70E3"/>
    <w:rsid w:val="005F70F6"/>
    <w:rsid w:val="005F710A"/>
    <w:rsid w:val="005F71BC"/>
    <w:rsid w:val="005F724E"/>
    <w:rsid w:val="005F7259"/>
    <w:rsid w:val="005F728E"/>
    <w:rsid w:val="005F72A4"/>
    <w:rsid w:val="005F72C5"/>
    <w:rsid w:val="005F72CA"/>
    <w:rsid w:val="005F730A"/>
    <w:rsid w:val="005F730C"/>
    <w:rsid w:val="005F7323"/>
    <w:rsid w:val="005F7350"/>
    <w:rsid w:val="005F735E"/>
    <w:rsid w:val="005F736F"/>
    <w:rsid w:val="005F7371"/>
    <w:rsid w:val="005F737E"/>
    <w:rsid w:val="005F739F"/>
    <w:rsid w:val="005F73A2"/>
    <w:rsid w:val="005F73B0"/>
    <w:rsid w:val="005F73DE"/>
    <w:rsid w:val="005F73EE"/>
    <w:rsid w:val="005F7427"/>
    <w:rsid w:val="005F742A"/>
    <w:rsid w:val="005F7486"/>
    <w:rsid w:val="005F7499"/>
    <w:rsid w:val="005F74AA"/>
    <w:rsid w:val="005F74E4"/>
    <w:rsid w:val="005F750C"/>
    <w:rsid w:val="005F752D"/>
    <w:rsid w:val="005F755C"/>
    <w:rsid w:val="005F75A8"/>
    <w:rsid w:val="005F7608"/>
    <w:rsid w:val="005F7680"/>
    <w:rsid w:val="005F7683"/>
    <w:rsid w:val="005F768C"/>
    <w:rsid w:val="005F76C1"/>
    <w:rsid w:val="005F7721"/>
    <w:rsid w:val="005F7741"/>
    <w:rsid w:val="005F7750"/>
    <w:rsid w:val="005F7760"/>
    <w:rsid w:val="005F777C"/>
    <w:rsid w:val="005F785C"/>
    <w:rsid w:val="005F7905"/>
    <w:rsid w:val="005F7927"/>
    <w:rsid w:val="005F792E"/>
    <w:rsid w:val="005F793C"/>
    <w:rsid w:val="005F798A"/>
    <w:rsid w:val="005F7990"/>
    <w:rsid w:val="005F79B3"/>
    <w:rsid w:val="005F79BE"/>
    <w:rsid w:val="005F79F3"/>
    <w:rsid w:val="005F7A06"/>
    <w:rsid w:val="005F7A8C"/>
    <w:rsid w:val="005F7ABB"/>
    <w:rsid w:val="005F7AC4"/>
    <w:rsid w:val="005F7AC9"/>
    <w:rsid w:val="005F7B2E"/>
    <w:rsid w:val="005F7B84"/>
    <w:rsid w:val="005F7BA4"/>
    <w:rsid w:val="005F7BAE"/>
    <w:rsid w:val="005F7BB7"/>
    <w:rsid w:val="005F7BC3"/>
    <w:rsid w:val="005F7BE2"/>
    <w:rsid w:val="005F7C18"/>
    <w:rsid w:val="005F7C2D"/>
    <w:rsid w:val="005F7CB7"/>
    <w:rsid w:val="005F7CEE"/>
    <w:rsid w:val="005F7CFC"/>
    <w:rsid w:val="005F7D28"/>
    <w:rsid w:val="005F7DC5"/>
    <w:rsid w:val="005F7DFC"/>
    <w:rsid w:val="005F7E21"/>
    <w:rsid w:val="005F7E30"/>
    <w:rsid w:val="005F7E45"/>
    <w:rsid w:val="005F7E89"/>
    <w:rsid w:val="005F7EB2"/>
    <w:rsid w:val="005F7EF8"/>
    <w:rsid w:val="005F7F21"/>
    <w:rsid w:val="005F7FA8"/>
    <w:rsid w:val="005F7FAE"/>
    <w:rsid w:val="005F7FC1"/>
    <w:rsid w:val="005F7FC4"/>
    <w:rsid w:val="005F7FF4"/>
    <w:rsid w:val="00600002"/>
    <w:rsid w:val="00600051"/>
    <w:rsid w:val="00600054"/>
    <w:rsid w:val="006000A2"/>
    <w:rsid w:val="00600151"/>
    <w:rsid w:val="00600174"/>
    <w:rsid w:val="0060017F"/>
    <w:rsid w:val="0060019A"/>
    <w:rsid w:val="006001CE"/>
    <w:rsid w:val="006001EB"/>
    <w:rsid w:val="00600229"/>
    <w:rsid w:val="00600232"/>
    <w:rsid w:val="0060025A"/>
    <w:rsid w:val="0060025D"/>
    <w:rsid w:val="0060028C"/>
    <w:rsid w:val="006002AF"/>
    <w:rsid w:val="006002E1"/>
    <w:rsid w:val="00600357"/>
    <w:rsid w:val="006003EC"/>
    <w:rsid w:val="006003ED"/>
    <w:rsid w:val="00600420"/>
    <w:rsid w:val="00600467"/>
    <w:rsid w:val="006004AA"/>
    <w:rsid w:val="006004BB"/>
    <w:rsid w:val="00600500"/>
    <w:rsid w:val="00600522"/>
    <w:rsid w:val="00600550"/>
    <w:rsid w:val="00600616"/>
    <w:rsid w:val="00600639"/>
    <w:rsid w:val="00600663"/>
    <w:rsid w:val="006006A3"/>
    <w:rsid w:val="0060077A"/>
    <w:rsid w:val="006007B0"/>
    <w:rsid w:val="006007BA"/>
    <w:rsid w:val="006007E6"/>
    <w:rsid w:val="00600835"/>
    <w:rsid w:val="0060083C"/>
    <w:rsid w:val="00600871"/>
    <w:rsid w:val="006008CF"/>
    <w:rsid w:val="006009AB"/>
    <w:rsid w:val="00600ABF"/>
    <w:rsid w:val="00600AD5"/>
    <w:rsid w:val="00600B09"/>
    <w:rsid w:val="00600B28"/>
    <w:rsid w:val="00600B2D"/>
    <w:rsid w:val="00600BB5"/>
    <w:rsid w:val="00600BEC"/>
    <w:rsid w:val="00600C3C"/>
    <w:rsid w:val="00600C4D"/>
    <w:rsid w:val="00600C95"/>
    <w:rsid w:val="00600CA1"/>
    <w:rsid w:val="00600CB0"/>
    <w:rsid w:val="00600CD8"/>
    <w:rsid w:val="00600D5B"/>
    <w:rsid w:val="00600D6F"/>
    <w:rsid w:val="00600DCB"/>
    <w:rsid w:val="00600DFA"/>
    <w:rsid w:val="00600E23"/>
    <w:rsid w:val="00600E5F"/>
    <w:rsid w:val="00600E72"/>
    <w:rsid w:val="00600EA8"/>
    <w:rsid w:val="00600EBC"/>
    <w:rsid w:val="00600F32"/>
    <w:rsid w:val="00600FA7"/>
    <w:rsid w:val="00601028"/>
    <w:rsid w:val="00601059"/>
    <w:rsid w:val="006010DD"/>
    <w:rsid w:val="006010EE"/>
    <w:rsid w:val="006010FB"/>
    <w:rsid w:val="00601121"/>
    <w:rsid w:val="0060113E"/>
    <w:rsid w:val="00601178"/>
    <w:rsid w:val="00601273"/>
    <w:rsid w:val="006012B8"/>
    <w:rsid w:val="00601312"/>
    <w:rsid w:val="00601334"/>
    <w:rsid w:val="00601357"/>
    <w:rsid w:val="0060135F"/>
    <w:rsid w:val="00601360"/>
    <w:rsid w:val="0060138C"/>
    <w:rsid w:val="006013BB"/>
    <w:rsid w:val="006013C3"/>
    <w:rsid w:val="0060142C"/>
    <w:rsid w:val="0060146C"/>
    <w:rsid w:val="006014B9"/>
    <w:rsid w:val="006014D9"/>
    <w:rsid w:val="006014F1"/>
    <w:rsid w:val="0060151B"/>
    <w:rsid w:val="0060153A"/>
    <w:rsid w:val="00601577"/>
    <w:rsid w:val="006015A0"/>
    <w:rsid w:val="006015D2"/>
    <w:rsid w:val="006015F5"/>
    <w:rsid w:val="006015F6"/>
    <w:rsid w:val="0060160C"/>
    <w:rsid w:val="00601631"/>
    <w:rsid w:val="00601642"/>
    <w:rsid w:val="006016D0"/>
    <w:rsid w:val="00601755"/>
    <w:rsid w:val="00601766"/>
    <w:rsid w:val="00601798"/>
    <w:rsid w:val="006017D8"/>
    <w:rsid w:val="00601806"/>
    <w:rsid w:val="00601847"/>
    <w:rsid w:val="00601902"/>
    <w:rsid w:val="0060190B"/>
    <w:rsid w:val="0060190C"/>
    <w:rsid w:val="0060190D"/>
    <w:rsid w:val="0060195D"/>
    <w:rsid w:val="00601963"/>
    <w:rsid w:val="00601997"/>
    <w:rsid w:val="006019C1"/>
    <w:rsid w:val="00601A09"/>
    <w:rsid w:val="00601A40"/>
    <w:rsid w:val="00601A4B"/>
    <w:rsid w:val="00601A72"/>
    <w:rsid w:val="00601ACC"/>
    <w:rsid w:val="00601B4A"/>
    <w:rsid w:val="00601B54"/>
    <w:rsid w:val="00601BE2"/>
    <w:rsid w:val="00601C2A"/>
    <w:rsid w:val="00601D17"/>
    <w:rsid w:val="00601D32"/>
    <w:rsid w:val="00601D6F"/>
    <w:rsid w:val="00601D76"/>
    <w:rsid w:val="00601D78"/>
    <w:rsid w:val="00601D7F"/>
    <w:rsid w:val="00601D80"/>
    <w:rsid w:val="00601D87"/>
    <w:rsid w:val="00601E1F"/>
    <w:rsid w:val="00601E4C"/>
    <w:rsid w:val="00601EEB"/>
    <w:rsid w:val="00601EF2"/>
    <w:rsid w:val="00601F00"/>
    <w:rsid w:val="00601F1B"/>
    <w:rsid w:val="00601F40"/>
    <w:rsid w:val="00601FE5"/>
    <w:rsid w:val="00602019"/>
    <w:rsid w:val="00602099"/>
    <w:rsid w:val="006020E5"/>
    <w:rsid w:val="00602103"/>
    <w:rsid w:val="00602115"/>
    <w:rsid w:val="00602148"/>
    <w:rsid w:val="0060220E"/>
    <w:rsid w:val="00602225"/>
    <w:rsid w:val="0060224A"/>
    <w:rsid w:val="00602285"/>
    <w:rsid w:val="0060229F"/>
    <w:rsid w:val="006022CD"/>
    <w:rsid w:val="00602364"/>
    <w:rsid w:val="0060236E"/>
    <w:rsid w:val="00602399"/>
    <w:rsid w:val="006023A7"/>
    <w:rsid w:val="006023CD"/>
    <w:rsid w:val="0060242E"/>
    <w:rsid w:val="00602439"/>
    <w:rsid w:val="0060248C"/>
    <w:rsid w:val="006024A1"/>
    <w:rsid w:val="006024A2"/>
    <w:rsid w:val="00602553"/>
    <w:rsid w:val="0060257D"/>
    <w:rsid w:val="0060257E"/>
    <w:rsid w:val="0060259C"/>
    <w:rsid w:val="006025A3"/>
    <w:rsid w:val="006025B2"/>
    <w:rsid w:val="006025C6"/>
    <w:rsid w:val="006025CF"/>
    <w:rsid w:val="006025FC"/>
    <w:rsid w:val="00602627"/>
    <w:rsid w:val="0060263E"/>
    <w:rsid w:val="00602648"/>
    <w:rsid w:val="0060266A"/>
    <w:rsid w:val="00602708"/>
    <w:rsid w:val="0060273A"/>
    <w:rsid w:val="0060273F"/>
    <w:rsid w:val="00602756"/>
    <w:rsid w:val="00602760"/>
    <w:rsid w:val="006027D3"/>
    <w:rsid w:val="0060284E"/>
    <w:rsid w:val="00602854"/>
    <w:rsid w:val="0060285C"/>
    <w:rsid w:val="00602895"/>
    <w:rsid w:val="0060289F"/>
    <w:rsid w:val="006028F8"/>
    <w:rsid w:val="006028FF"/>
    <w:rsid w:val="0060291F"/>
    <w:rsid w:val="00602928"/>
    <w:rsid w:val="00602956"/>
    <w:rsid w:val="00602967"/>
    <w:rsid w:val="006029B6"/>
    <w:rsid w:val="006029B9"/>
    <w:rsid w:val="006029D1"/>
    <w:rsid w:val="006029ED"/>
    <w:rsid w:val="00602A7C"/>
    <w:rsid w:val="00602A91"/>
    <w:rsid w:val="00602AB6"/>
    <w:rsid w:val="00602B27"/>
    <w:rsid w:val="00602B47"/>
    <w:rsid w:val="00602B75"/>
    <w:rsid w:val="00602B7D"/>
    <w:rsid w:val="00602BA4"/>
    <w:rsid w:val="00602C01"/>
    <w:rsid w:val="00602C25"/>
    <w:rsid w:val="00602C35"/>
    <w:rsid w:val="00602CC7"/>
    <w:rsid w:val="00602D3B"/>
    <w:rsid w:val="00602D5E"/>
    <w:rsid w:val="00602D6C"/>
    <w:rsid w:val="00602DE2"/>
    <w:rsid w:val="00602E87"/>
    <w:rsid w:val="00602EC6"/>
    <w:rsid w:val="00602EEE"/>
    <w:rsid w:val="00602F09"/>
    <w:rsid w:val="00602F7A"/>
    <w:rsid w:val="0060302E"/>
    <w:rsid w:val="0060303F"/>
    <w:rsid w:val="00603045"/>
    <w:rsid w:val="00603063"/>
    <w:rsid w:val="00603067"/>
    <w:rsid w:val="00603092"/>
    <w:rsid w:val="00603098"/>
    <w:rsid w:val="0060312E"/>
    <w:rsid w:val="00603154"/>
    <w:rsid w:val="0060316B"/>
    <w:rsid w:val="00603179"/>
    <w:rsid w:val="0060317E"/>
    <w:rsid w:val="00603190"/>
    <w:rsid w:val="006031AD"/>
    <w:rsid w:val="006031C0"/>
    <w:rsid w:val="006031CF"/>
    <w:rsid w:val="00603218"/>
    <w:rsid w:val="006032E3"/>
    <w:rsid w:val="00603333"/>
    <w:rsid w:val="00603444"/>
    <w:rsid w:val="00603498"/>
    <w:rsid w:val="006034C0"/>
    <w:rsid w:val="00603508"/>
    <w:rsid w:val="0060351A"/>
    <w:rsid w:val="00603573"/>
    <w:rsid w:val="00603594"/>
    <w:rsid w:val="0060359A"/>
    <w:rsid w:val="006035DA"/>
    <w:rsid w:val="006035EA"/>
    <w:rsid w:val="00603649"/>
    <w:rsid w:val="0060366D"/>
    <w:rsid w:val="0060367C"/>
    <w:rsid w:val="00603687"/>
    <w:rsid w:val="006036AC"/>
    <w:rsid w:val="006036D8"/>
    <w:rsid w:val="006036F8"/>
    <w:rsid w:val="006036FF"/>
    <w:rsid w:val="00603705"/>
    <w:rsid w:val="0060373E"/>
    <w:rsid w:val="00603754"/>
    <w:rsid w:val="00603772"/>
    <w:rsid w:val="006037A2"/>
    <w:rsid w:val="006037F1"/>
    <w:rsid w:val="0060381F"/>
    <w:rsid w:val="0060383C"/>
    <w:rsid w:val="00603861"/>
    <w:rsid w:val="00603888"/>
    <w:rsid w:val="0060388F"/>
    <w:rsid w:val="006038D8"/>
    <w:rsid w:val="006038E3"/>
    <w:rsid w:val="006038E9"/>
    <w:rsid w:val="0060397F"/>
    <w:rsid w:val="006039C4"/>
    <w:rsid w:val="00603AB2"/>
    <w:rsid w:val="00603ACD"/>
    <w:rsid w:val="00603B56"/>
    <w:rsid w:val="00603B67"/>
    <w:rsid w:val="00603C61"/>
    <w:rsid w:val="00603C68"/>
    <w:rsid w:val="00603CD4"/>
    <w:rsid w:val="00603CFC"/>
    <w:rsid w:val="00603D4E"/>
    <w:rsid w:val="00603D89"/>
    <w:rsid w:val="00603DCA"/>
    <w:rsid w:val="00603E12"/>
    <w:rsid w:val="00603E32"/>
    <w:rsid w:val="00603EE1"/>
    <w:rsid w:val="00603EFA"/>
    <w:rsid w:val="00603F28"/>
    <w:rsid w:val="00603F61"/>
    <w:rsid w:val="00603F98"/>
    <w:rsid w:val="00603FB6"/>
    <w:rsid w:val="00604024"/>
    <w:rsid w:val="006040F0"/>
    <w:rsid w:val="006040F3"/>
    <w:rsid w:val="006040F5"/>
    <w:rsid w:val="00604152"/>
    <w:rsid w:val="006041F7"/>
    <w:rsid w:val="00604219"/>
    <w:rsid w:val="0060424B"/>
    <w:rsid w:val="006042A6"/>
    <w:rsid w:val="00604334"/>
    <w:rsid w:val="00604402"/>
    <w:rsid w:val="00604427"/>
    <w:rsid w:val="0060446B"/>
    <w:rsid w:val="006044C0"/>
    <w:rsid w:val="006044D4"/>
    <w:rsid w:val="0060456D"/>
    <w:rsid w:val="006045A5"/>
    <w:rsid w:val="006045D7"/>
    <w:rsid w:val="006045E4"/>
    <w:rsid w:val="00604607"/>
    <w:rsid w:val="0060460A"/>
    <w:rsid w:val="00604626"/>
    <w:rsid w:val="006046D7"/>
    <w:rsid w:val="0060470B"/>
    <w:rsid w:val="0060474A"/>
    <w:rsid w:val="0060480D"/>
    <w:rsid w:val="00604812"/>
    <w:rsid w:val="00604817"/>
    <w:rsid w:val="0060481D"/>
    <w:rsid w:val="00604838"/>
    <w:rsid w:val="0060487A"/>
    <w:rsid w:val="006048B4"/>
    <w:rsid w:val="006048D0"/>
    <w:rsid w:val="006048E1"/>
    <w:rsid w:val="00604944"/>
    <w:rsid w:val="006049C1"/>
    <w:rsid w:val="006049DF"/>
    <w:rsid w:val="006049E5"/>
    <w:rsid w:val="00604A4B"/>
    <w:rsid w:val="00604A8E"/>
    <w:rsid w:val="00604B6A"/>
    <w:rsid w:val="00604BF1"/>
    <w:rsid w:val="00604C36"/>
    <w:rsid w:val="00604C39"/>
    <w:rsid w:val="00604C47"/>
    <w:rsid w:val="00604C67"/>
    <w:rsid w:val="00604C9A"/>
    <w:rsid w:val="00604CD3"/>
    <w:rsid w:val="00604CD6"/>
    <w:rsid w:val="00604D30"/>
    <w:rsid w:val="00604D56"/>
    <w:rsid w:val="00604D7B"/>
    <w:rsid w:val="00604D86"/>
    <w:rsid w:val="00604DD5"/>
    <w:rsid w:val="00604DDD"/>
    <w:rsid w:val="00604E28"/>
    <w:rsid w:val="00604E33"/>
    <w:rsid w:val="00604E6D"/>
    <w:rsid w:val="00604E6F"/>
    <w:rsid w:val="00604EAA"/>
    <w:rsid w:val="00604EC4"/>
    <w:rsid w:val="00604F41"/>
    <w:rsid w:val="00604F4F"/>
    <w:rsid w:val="00604FA9"/>
    <w:rsid w:val="00604FC2"/>
    <w:rsid w:val="00604FD7"/>
    <w:rsid w:val="0060505E"/>
    <w:rsid w:val="00605078"/>
    <w:rsid w:val="00605083"/>
    <w:rsid w:val="006050DB"/>
    <w:rsid w:val="006050DE"/>
    <w:rsid w:val="006050E9"/>
    <w:rsid w:val="00605109"/>
    <w:rsid w:val="00605118"/>
    <w:rsid w:val="00605154"/>
    <w:rsid w:val="0060516D"/>
    <w:rsid w:val="006051A7"/>
    <w:rsid w:val="00605203"/>
    <w:rsid w:val="00605216"/>
    <w:rsid w:val="0060521A"/>
    <w:rsid w:val="00605222"/>
    <w:rsid w:val="00605259"/>
    <w:rsid w:val="0060526E"/>
    <w:rsid w:val="00605278"/>
    <w:rsid w:val="00605307"/>
    <w:rsid w:val="0060532E"/>
    <w:rsid w:val="00605363"/>
    <w:rsid w:val="00605382"/>
    <w:rsid w:val="006053D0"/>
    <w:rsid w:val="00605418"/>
    <w:rsid w:val="00605430"/>
    <w:rsid w:val="006054B1"/>
    <w:rsid w:val="0060550F"/>
    <w:rsid w:val="0060552B"/>
    <w:rsid w:val="00605557"/>
    <w:rsid w:val="00605573"/>
    <w:rsid w:val="006055CD"/>
    <w:rsid w:val="006055D2"/>
    <w:rsid w:val="006055F5"/>
    <w:rsid w:val="00605630"/>
    <w:rsid w:val="0060569D"/>
    <w:rsid w:val="006056DB"/>
    <w:rsid w:val="00605745"/>
    <w:rsid w:val="0060575D"/>
    <w:rsid w:val="0060578C"/>
    <w:rsid w:val="00605872"/>
    <w:rsid w:val="00605883"/>
    <w:rsid w:val="00605895"/>
    <w:rsid w:val="006058A4"/>
    <w:rsid w:val="006058CD"/>
    <w:rsid w:val="00605915"/>
    <w:rsid w:val="00605919"/>
    <w:rsid w:val="0060591B"/>
    <w:rsid w:val="0060592E"/>
    <w:rsid w:val="00605967"/>
    <w:rsid w:val="00605A42"/>
    <w:rsid w:val="00605AA0"/>
    <w:rsid w:val="00605B2B"/>
    <w:rsid w:val="00605B37"/>
    <w:rsid w:val="00605BB1"/>
    <w:rsid w:val="00605C03"/>
    <w:rsid w:val="00605C08"/>
    <w:rsid w:val="00605C35"/>
    <w:rsid w:val="00605C78"/>
    <w:rsid w:val="00605CDF"/>
    <w:rsid w:val="00605CE6"/>
    <w:rsid w:val="00605D12"/>
    <w:rsid w:val="00605D67"/>
    <w:rsid w:val="00605D7A"/>
    <w:rsid w:val="00605D96"/>
    <w:rsid w:val="00605DD3"/>
    <w:rsid w:val="00605DF9"/>
    <w:rsid w:val="00605E00"/>
    <w:rsid w:val="00605E71"/>
    <w:rsid w:val="00605E87"/>
    <w:rsid w:val="00605ED9"/>
    <w:rsid w:val="00605F5C"/>
    <w:rsid w:val="00605FE3"/>
    <w:rsid w:val="00606001"/>
    <w:rsid w:val="00606051"/>
    <w:rsid w:val="00606147"/>
    <w:rsid w:val="00606197"/>
    <w:rsid w:val="006061FB"/>
    <w:rsid w:val="00606244"/>
    <w:rsid w:val="0060628D"/>
    <w:rsid w:val="00606298"/>
    <w:rsid w:val="006063CF"/>
    <w:rsid w:val="00606419"/>
    <w:rsid w:val="00606427"/>
    <w:rsid w:val="0060644B"/>
    <w:rsid w:val="00606453"/>
    <w:rsid w:val="00606485"/>
    <w:rsid w:val="006064C6"/>
    <w:rsid w:val="00606519"/>
    <w:rsid w:val="006065FB"/>
    <w:rsid w:val="00606620"/>
    <w:rsid w:val="00606628"/>
    <w:rsid w:val="00606661"/>
    <w:rsid w:val="00606667"/>
    <w:rsid w:val="0060669B"/>
    <w:rsid w:val="006066C8"/>
    <w:rsid w:val="006066D9"/>
    <w:rsid w:val="00606730"/>
    <w:rsid w:val="006067BC"/>
    <w:rsid w:val="006067BF"/>
    <w:rsid w:val="006067CD"/>
    <w:rsid w:val="00606823"/>
    <w:rsid w:val="00606856"/>
    <w:rsid w:val="00606885"/>
    <w:rsid w:val="00606889"/>
    <w:rsid w:val="006068E5"/>
    <w:rsid w:val="00606948"/>
    <w:rsid w:val="0060698E"/>
    <w:rsid w:val="00606998"/>
    <w:rsid w:val="0060699A"/>
    <w:rsid w:val="006069CF"/>
    <w:rsid w:val="00606A4A"/>
    <w:rsid w:val="00606A65"/>
    <w:rsid w:val="00606A7A"/>
    <w:rsid w:val="00606A8C"/>
    <w:rsid w:val="00606B4C"/>
    <w:rsid w:val="00606B6C"/>
    <w:rsid w:val="00606BBC"/>
    <w:rsid w:val="00606BD8"/>
    <w:rsid w:val="00606BFD"/>
    <w:rsid w:val="00606C2C"/>
    <w:rsid w:val="00606C8C"/>
    <w:rsid w:val="00606C9A"/>
    <w:rsid w:val="00606CD1"/>
    <w:rsid w:val="00606CE6"/>
    <w:rsid w:val="00606CF7"/>
    <w:rsid w:val="00606CF9"/>
    <w:rsid w:val="00606CFC"/>
    <w:rsid w:val="00606D0F"/>
    <w:rsid w:val="00606D18"/>
    <w:rsid w:val="00606D2B"/>
    <w:rsid w:val="00606DA7"/>
    <w:rsid w:val="00606DB7"/>
    <w:rsid w:val="00606DC9"/>
    <w:rsid w:val="00606DD2"/>
    <w:rsid w:val="00606DF6"/>
    <w:rsid w:val="00606E5D"/>
    <w:rsid w:val="00606E6E"/>
    <w:rsid w:val="00606EE3"/>
    <w:rsid w:val="00606F07"/>
    <w:rsid w:val="00606F3C"/>
    <w:rsid w:val="00606F52"/>
    <w:rsid w:val="00606FD6"/>
    <w:rsid w:val="00606FDE"/>
    <w:rsid w:val="00607025"/>
    <w:rsid w:val="00607030"/>
    <w:rsid w:val="00607044"/>
    <w:rsid w:val="006070B7"/>
    <w:rsid w:val="006070ED"/>
    <w:rsid w:val="00607129"/>
    <w:rsid w:val="00607136"/>
    <w:rsid w:val="00607235"/>
    <w:rsid w:val="00607296"/>
    <w:rsid w:val="006072C5"/>
    <w:rsid w:val="006072F3"/>
    <w:rsid w:val="0060730E"/>
    <w:rsid w:val="00607354"/>
    <w:rsid w:val="00607365"/>
    <w:rsid w:val="0060736A"/>
    <w:rsid w:val="0060737C"/>
    <w:rsid w:val="006073D8"/>
    <w:rsid w:val="006073FF"/>
    <w:rsid w:val="00607451"/>
    <w:rsid w:val="00607478"/>
    <w:rsid w:val="00607482"/>
    <w:rsid w:val="006074A3"/>
    <w:rsid w:val="006074C7"/>
    <w:rsid w:val="006074D6"/>
    <w:rsid w:val="006074D7"/>
    <w:rsid w:val="006074F7"/>
    <w:rsid w:val="0060752A"/>
    <w:rsid w:val="00607532"/>
    <w:rsid w:val="006075BB"/>
    <w:rsid w:val="006075BE"/>
    <w:rsid w:val="00607617"/>
    <w:rsid w:val="00607632"/>
    <w:rsid w:val="00607649"/>
    <w:rsid w:val="00607653"/>
    <w:rsid w:val="006076A8"/>
    <w:rsid w:val="006076C3"/>
    <w:rsid w:val="00607725"/>
    <w:rsid w:val="00607740"/>
    <w:rsid w:val="006077CF"/>
    <w:rsid w:val="0060783D"/>
    <w:rsid w:val="00607842"/>
    <w:rsid w:val="00607849"/>
    <w:rsid w:val="00607865"/>
    <w:rsid w:val="0060786B"/>
    <w:rsid w:val="006078F0"/>
    <w:rsid w:val="00607908"/>
    <w:rsid w:val="0060793E"/>
    <w:rsid w:val="00607976"/>
    <w:rsid w:val="006079BB"/>
    <w:rsid w:val="006079D8"/>
    <w:rsid w:val="006079EE"/>
    <w:rsid w:val="00607A0F"/>
    <w:rsid w:val="00607A45"/>
    <w:rsid w:val="00607A54"/>
    <w:rsid w:val="00607AF4"/>
    <w:rsid w:val="00607AFC"/>
    <w:rsid w:val="00607B02"/>
    <w:rsid w:val="00607B13"/>
    <w:rsid w:val="00607B8C"/>
    <w:rsid w:val="00607B94"/>
    <w:rsid w:val="00607C5D"/>
    <w:rsid w:val="00607CE0"/>
    <w:rsid w:val="00607D5A"/>
    <w:rsid w:val="00607DF8"/>
    <w:rsid w:val="00607E16"/>
    <w:rsid w:val="00607E2D"/>
    <w:rsid w:val="00607E92"/>
    <w:rsid w:val="00607E93"/>
    <w:rsid w:val="00607EE1"/>
    <w:rsid w:val="00607EE3"/>
    <w:rsid w:val="00607EFE"/>
    <w:rsid w:val="00607F19"/>
    <w:rsid w:val="00607F25"/>
    <w:rsid w:val="00607F27"/>
    <w:rsid w:val="00607F44"/>
    <w:rsid w:val="00607F57"/>
    <w:rsid w:val="00607FA2"/>
    <w:rsid w:val="0061001C"/>
    <w:rsid w:val="0061001D"/>
    <w:rsid w:val="006101B5"/>
    <w:rsid w:val="0061020F"/>
    <w:rsid w:val="00610258"/>
    <w:rsid w:val="00610267"/>
    <w:rsid w:val="0061028F"/>
    <w:rsid w:val="006102FD"/>
    <w:rsid w:val="0061030F"/>
    <w:rsid w:val="0061037C"/>
    <w:rsid w:val="006103AF"/>
    <w:rsid w:val="006103C1"/>
    <w:rsid w:val="006103E6"/>
    <w:rsid w:val="00610426"/>
    <w:rsid w:val="0061042E"/>
    <w:rsid w:val="00610470"/>
    <w:rsid w:val="006104CF"/>
    <w:rsid w:val="006104D2"/>
    <w:rsid w:val="0061051A"/>
    <w:rsid w:val="00610528"/>
    <w:rsid w:val="006105A1"/>
    <w:rsid w:val="006105B6"/>
    <w:rsid w:val="006105DD"/>
    <w:rsid w:val="0061067C"/>
    <w:rsid w:val="00610682"/>
    <w:rsid w:val="006106C5"/>
    <w:rsid w:val="00610705"/>
    <w:rsid w:val="0061072B"/>
    <w:rsid w:val="0061074E"/>
    <w:rsid w:val="0061075B"/>
    <w:rsid w:val="0061079B"/>
    <w:rsid w:val="006107A5"/>
    <w:rsid w:val="006107AB"/>
    <w:rsid w:val="006107BB"/>
    <w:rsid w:val="006107C2"/>
    <w:rsid w:val="006107CD"/>
    <w:rsid w:val="006107DE"/>
    <w:rsid w:val="006107F0"/>
    <w:rsid w:val="00610871"/>
    <w:rsid w:val="006108BF"/>
    <w:rsid w:val="006108D1"/>
    <w:rsid w:val="006109DD"/>
    <w:rsid w:val="00610A55"/>
    <w:rsid w:val="00610A83"/>
    <w:rsid w:val="00610AFA"/>
    <w:rsid w:val="00610C00"/>
    <w:rsid w:val="00610C0C"/>
    <w:rsid w:val="00610C1E"/>
    <w:rsid w:val="00610C3A"/>
    <w:rsid w:val="00610C59"/>
    <w:rsid w:val="00610CA8"/>
    <w:rsid w:val="00610CB3"/>
    <w:rsid w:val="00610CBE"/>
    <w:rsid w:val="00610CE4"/>
    <w:rsid w:val="00610D32"/>
    <w:rsid w:val="00610D50"/>
    <w:rsid w:val="00610D56"/>
    <w:rsid w:val="00610DA4"/>
    <w:rsid w:val="00610DB9"/>
    <w:rsid w:val="00610DBB"/>
    <w:rsid w:val="00610E4D"/>
    <w:rsid w:val="00610E57"/>
    <w:rsid w:val="00610E5E"/>
    <w:rsid w:val="00610E70"/>
    <w:rsid w:val="00610E9D"/>
    <w:rsid w:val="00610EA6"/>
    <w:rsid w:val="00610EC3"/>
    <w:rsid w:val="00610F78"/>
    <w:rsid w:val="00610F85"/>
    <w:rsid w:val="00610FD1"/>
    <w:rsid w:val="00610FFF"/>
    <w:rsid w:val="00611010"/>
    <w:rsid w:val="006110B2"/>
    <w:rsid w:val="006110DC"/>
    <w:rsid w:val="00611122"/>
    <w:rsid w:val="00611163"/>
    <w:rsid w:val="0061117F"/>
    <w:rsid w:val="00611193"/>
    <w:rsid w:val="006111AD"/>
    <w:rsid w:val="006112E0"/>
    <w:rsid w:val="00611314"/>
    <w:rsid w:val="0061133E"/>
    <w:rsid w:val="00611351"/>
    <w:rsid w:val="006113B6"/>
    <w:rsid w:val="00611446"/>
    <w:rsid w:val="006114A3"/>
    <w:rsid w:val="006114BE"/>
    <w:rsid w:val="006114EB"/>
    <w:rsid w:val="0061157A"/>
    <w:rsid w:val="006115D6"/>
    <w:rsid w:val="00611605"/>
    <w:rsid w:val="00611664"/>
    <w:rsid w:val="00611689"/>
    <w:rsid w:val="0061169A"/>
    <w:rsid w:val="006116A5"/>
    <w:rsid w:val="006116A8"/>
    <w:rsid w:val="00611769"/>
    <w:rsid w:val="006117C8"/>
    <w:rsid w:val="006117D4"/>
    <w:rsid w:val="00611817"/>
    <w:rsid w:val="00611831"/>
    <w:rsid w:val="00611863"/>
    <w:rsid w:val="0061189A"/>
    <w:rsid w:val="006118BC"/>
    <w:rsid w:val="006118DC"/>
    <w:rsid w:val="006118F2"/>
    <w:rsid w:val="006118F9"/>
    <w:rsid w:val="00611908"/>
    <w:rsid w:val="006119BB"/>
    <w:rsid w:val="00611B24"/>
    <w:rsid w:val="00611B30"/>
    <w:rsid w:val="00611BA2"/>
    <w:rsid w:val="00611BD1"/>
    <w:rsid w:val="00611BDA"/>
    <w:rsid w:val="00611BE2"/>
    <w:rsid w:val="00611BF2"/>
    <w:rsid w:val="00611C10"/>
    <w:rsid w:val="00611C2C"/>
    <w:rsid w:val="00611C4C"/>
    <w:rsid w:val="00611C59"/>
    <w:rsid w:val="00611D80"/>
    <w:rsid w:val="00611DC0"/>
    <w:rsid w:val="00611DCF"/>
    <w:rsid w:val="00611E1A"/>
    <w:rsid w:val="00611E58"/>
    <w:rsid w:val="00611F05"/>
    <w:rsid w:val="00611F52"/>
    <w:rsid w:val="00611FEE"/>
    <w:rsid w:val="0061207C"/>
    <w:rsid w:val="00612085"/>
    <w:rsid w:val="0061209C"/>
    <w:rsid w:val="00612109"/>
    <w:rsid w:val="006121A4"/>
    <w:rsid w:val="00612202"/>
    <w:rsid w:val="00612212"/>
    <w:rsid w:val="006122A4"/>
    <w:rsid w:val="0061235B"/>
    <w:rsid w:val="006123D5"/>
    <w:rsid w:val="006123F1"/>
    <w:rsid w:val="0061245E"/>
    <w:rsid w:val="0061247A"/>
    <w:rsid w:val="00612507"/>
    <w:rsid w:val="00612518"/>
    <w:rsid w:val="00612521"/>
    <w:rsid w:val="006125F8"/>
    <w:rsid w:val="00612641"/>
    <w:rsid w:val="00612646"/>
    <w:rsid w:val="00612659"/>
    <w:rsid w:val="006126C2"/>
    <w:rsid w:val="006126DC"/>
    <w:rsid w:val="006126FC"/>
    <w:rsid w:val="00612722"/>
    <w:rsid w:val="00612737"/>
    <w:rsid w:val="0061273A"/>
    <w:rsid w:val="00612778"/>
    <w:rsid w:val="0061278B"/>
    <w:rsid w:val="00612819"/>
    <w:rsid w:val="006128BE"/>
    <w:rsid w:val="006128CB"/>
    <w:rsid w:val="006128F5"/>
    <w:rsid w:val="00612925"/>
    <w:rsid w:val="006129E3"/>
    <w:rsid w:val="00612A46"/>
    <w:rsid w:val="00612A49"/>
    <w:rsid w:val="00612A6A"/>
    <w:rsid w:val="00612A88"/>
    <w:rsid w:val="00612AB5"/>
    <w:rsid w:val="00612AC1"/>
    <w:rsid w:val="00612B30"/>
    <w:rsid w:val="00612B9B"/>
    <w:rsid w:val="00612BF8"/>
    <w:rsid w:val="00612C01"/>
    <w:rsid w:val="00612C5A"/>
    <w:rsid w:val="00612C6F"/>
    <w:rsid w:val="00612C8A"/>
    <w:rsid w:val="00612C90"/>
    <w:rsid w:val="00612CA0"/>
    <w:rsid w:val="00612CDA"/>
    <w:rsid w:val="00612CFC"/>
    <w:rsid w:val="00612D90"/>
    <w:rsid w:val="00612DA8"/>
    <w:rsid w:val="00612DC6"/>
    <w:rsid w:val="00612DCC"/>
    <w:rsid w:val="00612DE8"/>
    <w:rsid w:val="00612DFB"/>
    <w:rsid w:val="00612E25"/>
    <w:rsid w:val="00612E26"/>
    <w:rsid w:val="00612E38"/>
    <w:rsid w:val="00612F08"/>
    <w:rsid w:val="00612F13"/>
    <w:rsid w:val="00612F62"/>
    <w:rsid w:val="00612F6C"/>
    <w:rsid w:val="00612F72"/>
    <w:rsid w:val="00612F88"/>
    <w:rsid w:val="00612F8C"/>
    <w:rsid w:val="00612F9C"/>
    <w:rsid w:val="00612FF5"/>
    <w:rsid w:val="0061300F"/>
    <w:rsid w:val="00613069"/>
    <w:rsid w:val="006130C4"/>
    <w:rsid w:val="006130C7"/>
    <w:rsid w:val="006130F1"/>
    <w:rsid w:val="00613102"/>
    <w:rsid w:val="00613124"/>
    <w:rsid w:val="00613161"/>
    <w:rsid w:val="00613168"/>
    <w:rsid w:val="006131C2"/>
    <w:rsid w:val="006131D4"/>
    <w:rsid w:val="006131EF"/>
    <w:rsid w:val="006131F6"/>
    <w:rsid w:val="006131F7"/>
    <w:rsid w:val="00613202"/>
    <w:rsid w:val="0061321C"/>
    <w:rsid w:val="00613231"/>
    <w:rsid w:val="006132CE"/>
    <w:rsid w:val="00613311"/>
    <w:rsid w:val="0061332C"/>
    <w:rsid w:val="00613344"/>
    <w:rsid w:val="00613345"/>
    <w:rsid w:val="00613368"/>
    <w:rsid w:val="0061338B"/>
    <w:rsid w:val="006133AD"/>
    <w:rsid w:val="006133D2"/>
    <w:rsid w:val="006133EB"/>
    <w:rsid w:val="0061342E"/>
    <w:rsid w:val="00613489"/>
    <w:rsid w:val="006134B9"/>
    <w:rsid w:val="006134D2"/>
    <w:rsid w:val="006134DB"/>
    <w:rsid w:val="00613500"/>
    <w:rsid w:val="00613510"/>
    <w:rsid w:val="00613512"/>
    <w:rsid w:val="00613572"/>
    <w:rsid w:val="00613584"/>
    <w:rsid w:val="0061359C"/>
    <w:rsid w:val="006135C5"/>
    <w:rsid w:val="006135D7"/>
    <w:rsid w:val="00613657"/>
    <w:rsid w:val="0061372C"/>
    <w:rsid w:val="00613768"/>
    <w:rsid w:val="0061379F"/>
    <w:rsid w:val="006137D3"/>
    <w:rsid w:val="006137FA"/>
    <w:rsid w:val="00613806"/>
    <w:rsid w:val="00613839"/>
    <w:rsid w:val="0061383C"/>
    <w:rsid w:val="006138F7"/>
    <w:rsid w:val="00613923"/>
    <w:rsid w:val="00613930"/>
    <w:rsid w:val="0061394A"/>
    <w:rsid w:val="006139B0"/>
    <w:rsid w:val="006139B7"/>
    <w:rsid w:val="006139C3"/>
    <w:rsid w:val="006139CD"/>
    <w:rsid w:val="006139E5"/>
    <w:rsid w:val="00613A56"/>
    <w:rsid w:val="00613A87"/>
    <w:rsid w:val="00613B6C"/>
    <w:rsid w:val="00613B7A"/>
    <w:rsid w:val="00613BB6"/>
    <w:rsid w:val="00613BCE"/>
    <w:rsid w:val="00613BEC"/>
    <w:rsid w:val="00613BFB"/>
    <w:rsid w:val="00613C23"/>
    <w:rsid w:val="00613C51"/>
    <w:rsid w:val="00613C71"/>
    <w:rsid w:val="00613C80"/>
    <w:rsid w:val="00613CD0"/>
    <w:rsid w:val="00613D01"/>
    <w:rsid w:val="00613D09"/>
    <w:rsid w:val="00613D0E"/>
    <w:rsid w:val="00613D1B"/>
    <w:rsid w:val="00613D1E"/>
    <w:rsid w:val="00613D23"/>
    <w:rsid w:val="00613D9D"/>
    <w:rsid w:val="00613E67"/>
    <w:rsid w:val="00613EFB"/>
    <w:rsid w:val="00613F05"/>
    <w:rsid w:val="00613F31"/>
    <w:rsid w:val="00613F3D"/>
    <w:rsid w:val="00613FE9"/>
    <w:rsid w:val="0061406C"/>
    <w:rsid w:val="0061414A"/>
    <w:rsid w:val="0061415E"/>
    <w:rsid w:val="00614171"/>
    <w:rsid w:val="00614195"/>
    <w:rsid w:val="00614197"/>
    <w:rsid w:val="006141C5"/>
    <w:rsid w:val="006141C9"/>
    <w:rsid w:val="006141CE"/>
    <w:rsid w:val="006141DB"/>
    <w:rsid w:val="0061421D"/>
    <w:rsid w:val="0061426F"/>
    <w:rsid w:val="0061429B"/>
    <w:rsid w:val="00614396"/>
    <w:rsid w:val="006143B8"/>
    <w:rsid w:val="00614478"/>
    <w:rsid w:val="00614484"/>
    <w:rsid w:val="0061448D"/>
    <w:rsid w:val="006144B4"/>
    <w:rsid w:val="006144DA"/>
    <w:rsid w:val="0061456D"/>
    <w:rsid w:val="00614576"/>
    <w:rsid w:val="006145A4"/>
    <w:rsid w:val="00614637"/>
    <w:rsid w:val="00614665"/>
    <w:rsid w:val="00614686"/>
    <w:rsid w:val="0061469C"/>
    <w:rsid w:val="006146A1"/>
    <w:rsid w:val="0061474E"/>
    <w:rsid w:val="0061475F"/>
    <w:rsid w:val="0061479C"/>
    <w:rsid w:val="006147A0"/>
    <w:rsid w:val="006147E7"/>
    <w:rsid w:val="0061481B"/>
    <w:rsid w:val="0061481F"/>
    <w:rsid w:val="00614835"/>
    <w:rsid w:val="0061483A"/>
    <w:rsid w:val="00614866"/>
    <w:rsid w:val="006148A0"/>
    <w:rsid w:val="006148C0"/>
    <w:rsid w:val="006148EA"/>
    <w:rsid w:val="00614975"/>
    <w:rsid w:val="00614985"/>
    <w:rsid w:val="006149B0"/>
    <w:rsid w:val="00614A57"/>
    <w:rsid w:val="00614A71"/>
    <w:rsid w:val="00614AA3"/>
    <w:rsid w:val="00614ABE"/>
    <w:rsid w:val="00614B29"/>
    <w:rsid w:val="00614B57"/>
    <w:rsid w:val="00614BA8"/>
    <w:rsid w:val="00614BED"/>
    <w:rsid w:val="00614C85"/>
    <w:rsid w:val="00614C86"/>
    <w:rsid w:val="00614CA9"/>
    <w:rsid w:val="00614CBD"/>
    <w:rsid w:val="00614CC0"/>
    <w:rsid w:val="00614DD5"/>
    <w:rsid w:val="00614DFC"/>
    <w:rsid w:val="00614E2B"/>
    <w:rsid w:val="00614E4D"/>
    <w:rsid w:val="00614F0E"/>
    <w:rsid w:val="00614F84"/>
    <w:rsid w:val="00614F98"/>
    <w:rsid w:val="00614FCE"/>
    <w:rsid w:val="00615033"/>
    <w:rsid w:val="0061503B"/>
    <w:rsid w:val="0061508A"/>
    <w:rsid w:val="00615137"/>
    <w:rsid w:val="0061513A"/>
    <w:rsid w:val="00615154"/>
    <w:rsid w:val="00615156"/>
    <w:rsid w:val="0061517F"/>
    <w:rsid w:val="00615188"/>
    <w:rsid w:val="006151A7"/>
    <w:rsid w:val="006151E5"/>
    <w:rsid w:val="006151F6"/>
    <w:rsid w:val="006152D1"/>
    <w:rsid w:val="006152DB"/>
    <w:rsid w:val="00615332"/>
    <w:rsid w:val="00615361"/>
    <w:rsid w:val="00615383"/>
    <w:rsid w:val="006153A3"/>
    <w:rsid w:val="006153C6"/>
    <w:rsid w:val="006153DB"/>
    <w:rsid w:val="00615423"/>
    <w:rsid w:val="00615473"/>
    <w:rsid w:val="00615476"/>
    <w:rsid w:val="006154A3"/>
    <w:rsid w:val="006154C4"/>
    <w:rsid w:val="006154F6"/>
    <w:rsid w:val="00615507"/>
    <w:rsid w:val="0061552D"/>
    <w:rsid w:val="00615542"/>
    <w:rsid w:val="00615568"/>
    <w:rsid w:val="0061558A"/>
    <w:rsid w:val="006155B8"/>
    <w:rsid w:val="006155E6"/>
    <w:rsid w:val="00615607"/>
    <w:rsid w:val="00615610"/>
    <w:rsid w:val="00615643"/>
    <w:rsid w:val="0061569D"/>
    <w:rsid w:val="0061574C"/>
    <w:rsid w:val="006157F4"/>
    <w:rsid w:val="0061580E"/>
    <w:rsid w:val="00615817"/>
    <w:rsid w:val="0061582B"/>
    <w:rsid w:val="006158A7"/>
    <w:rsid w:val="006158F3"/>
    <w:rsid w:val="0061592B"/>
    <w:rsid w:val="006159AC"/>
    <w:rsid w:val="00615A2A"/>
    <w:rsid w:val="00615A49"/>
    <w:rsid w:val="00615AA6"/>
    <w:rsid w:val="00615AB0"/>
    <w:rsid w:val="00615AD5"/>
    <w:rsid w:val="00615AF2"/>
    <w:rsid w:val="00615AF5"/>
    <w:rsid w:val="00615B29"/>
    <w:rsid w:val="00615B34"/>
    <w:rsid w:val="00615B50"/>
    <w:rsid w:val="00615B85"/>
    <w:rsid w:val="00615BB4"/>
    <w:rsid w:val="00615BCD"/>
    <w:rsid w:val="00615BEC"/>
    <w:rsid w:val="00615C00"/>
    <w:rsid w:val="00615C5E"/>
    <w:rsid w:val="00615C74"/>
    <w:rsid w:val="00615CBF"/>
    <w:rsid w:val="00615D1B"/>
    <w:rsid w:val="00615D78"/>
    <w:rsid w:val="00615DDD"/>
    <w:rsid w:val="00615E42"/>
    <w:rsid w:val="00615E56"/>
    <w:rsid w:val="00615E81"/>
    <w:rsid w:val="00615F75"/>
    <w:rsid w:val="00615F86"/>
    <w:rsid w:val="00615FF0"/>
    <w:rsid w:val="00616007"/>
    <w:rsid w:val="0061604F"/>
    <w:rsid w:val="00616053"/>
    <w:rsid w:val="006160CF"/>
    <w:rsid w:val="00616112"/>
    <w:rsid w:val="0061617B"/>
    <w:rsid w:val="006161BB"/>
    <w:rsid w:val="0061623D"/>
    <w:rsid w:val="0061626E"/>
    <w:rsid w:val="006162CA"/>
    <w:rsid w:val="00616310"/>
    <w:rsid w:val="00616368"/>
    <w:rsid w:val="0061636E"/>
    <w:rsid w:val="006163E7"/>
    <w:rsid w:val="00616427"/>
    <w:rsid w:val="00616437"/>
    <w:rsid w:val="0061646D"/>
    <w:rsid w:val="00616492"/>
    <w:rsid w:val="006164BA"/>
    <w:rsid w:val="006164C2"/>
    <w:rsid w:val="006164D6"/>
    <w:rsid w:val="006164FB"/>
    <w:rsid w:val="0061656B"/>
    <w:rsid w:val="006165B9"/>
    <w:rsid w:val="00616645"/>
    <w:rsid w:val="00616680"/>
    <w:rsid w:val="006166AD"/>
    <w:rsid w:val="006167BA"/>
    <w:rsid w:val="006167D9"/>
    <w:rsid w:val="00616821"/>
    <w:rsid w:val="006168C2"/>
    <w:rsid w:val="00616916"/>
    <w:rsid w:val="0061691F"/>
    <w:rsid w:val="00616929"/>
    <w:rsid w:val="00616932"/>
    <w:rsid w:val="00616997"/>
    <w:rsid w:val="006169A5"/>
    <w:rsid w:val="006169B3"/>
    <w:rsid w:val="006169FB"/>
    <w:rsid w:val="00616A01"/>
    <w:rsid w:val="00616A6B"/>
    <w:rsid w:val="00616AA8"/>
    <w:rsid w:val="00616AF9"/>
    <w:rsid w:val="00616B26"/>
    <w:rsid w:val="00616B57"/>
    <w:rsid w:val="00616B79"/>
    <w:rsid w:val="00616BB2"/>
    <w:rsid w:val="00616BD9"/>
    <w:rsid w:val="00616BF0"/>
    <w:rsid w:val="00616D1A"/>
    <w:rsid w:val="00616D48"/>
    <w:rsid w:val="00616DD4"/>
    <w:rsid w:val="00616DD6"/>
    <w:rsid w:val="00616DEB"/>
    <w:rsid w:val="00616DF6"/>
    <w:rsid w:val="00616E5F"/>
    <w:rsid w:val="00616E7D"/>
    <w:rsid w:val="00616F80"/>
    <w:rsid w:val="00617029"/>
    <w:rsid w:val="00617036"/>
    <w:rsid w:val="0061703D"/>
    <w:rsid w:val="00617046"/>
    <w:rsid w:val="00617048"/>
    <w:rsid w:val="006170A0"/>
    <w:rsid w:val="006170DC"/>
    <w:rsid w:val="00617124"/>
    <w:rsid w:val="00617142"/>
    <w:rsid w:val="0061715F"/>
    <w:rsid w:val="00617196"/>
    <w:rsid w:val="006171D4"/>
    <w:rsid w:val="006171DE"/>
    <w:rsid w:val="00617348"/>
    <w:rsid w:val="00617349"/>
    <w:rsid w:val="0061734F"/>
    <w:rsid w:val="00617381"/>
    <w:rsid w:val="006173A6"/>
    <w:rsid w:val="006173A9"/>
    <w:rsid w:val="006173F8"/>
    <w:rsid w:val="00617474"/>
    <w:rsid w:val="00617481"/>
    <w:rsid w:val="0061758E"/>
    <w:rsid w:val="00617630"/>
    <w:rsid w:val="0061766E"/>
    <w:rsid w:val="00617677"/>
    <w:rsid w:val="006176A2"/>
    <w:rsid w:val="006176B4"/>
    <w:rsid w:val="006176C3"/>
    <w:rsid w:val="00617723"/>
    <w:rsid w:val="00617758"/>
    <w:rsid w:val="00617885"/>
    <w:rsid w:val="00617903"/>
    <w:rsid w:val="00617931"/>
    <w:rsid w:val="00617940"/>
    <w:rsid w:val="00617958"/>
    <w:rsid w:val="00617978"/>
    <w:rsid w:val="006179A8"/>
    <w:rsid w:val="006179BE"/>
    <w:rsid w:val="00617A42"/>
    <w:rsid w:val="00617A63"/>
    <w:rsid w:val="00617A66"/>
    <w:rsid w:val="00617A8D"/>
    <w:rsid w:val="00617AFE"/>
    <w:rsid w:val="00617B20"/>
    <w:rsid w:val="00617B3D"/>
    <w:rsid w:val="00617B57"/>
    <w:rsid w:val="00617B74"/>
    <w:rsid w:val="00617BD5"/>
    <w:rsid w:val="00617C06"/>
    <w:rsid w:val="00617C14"/>
    <w:rsid w:val="00617C3A"/>
    <w:rsid w:val="00617D4B"/>
    <w:rsid w:val="00617D8F"/>
    <w:rsid w:val="00617DB1"/>
    <w:rsid w:val="00617DD2"/>
    <w:rsid w:val="00617E73"/>
    <w:rsid w:val="00617E89"/>
    <w:rsid w:val="00617ED4"/>
    <w:rsid w:val="00617F2C"/>
    <w:rsid w:val="00617F63"/>
    <w:rsid w:val="0062001C"/>
    <w:rsid w:val="00620038"/>
    <w:rsid w:val="006200BB"/>
    <w:rsid w:val="006200E9"/>
    <w:rsid w:val="006200F1"/>
    <w:rsid w:val="0062017D"/>
    <w:rsid w:val="00620180"/>
    <w:rsid w:val="006201E5"/>
    <w:rsid w:val="006201F1"/>
    <w:rsid w:val="00620224"/>
    <w:rsid w:val="006202C8"/>
    <w:rsid w:val="006202C9"/>
    <w:rsid w:val="006202F8"/>
    <w:rsid w:val="0062030F"/>
    <w:rsid w:val="00620331"/>
    <w:rsid w:val="00620333"/>
    <w:rsid w:val="00620337"/>
    <w:rsid w:val="00620414"/>
    <w:rsid w:val="00620483"/>
    <w:rsid w:val="00620488"/>
    <w:rsid w:val="00620518"/>
    <w:rsid w:val="00620520"/>
    <w:rsid w:val="00620532"/>
    <w:rsid w:val="006205C1"/>
    <w:rsid w:val="006205CB"/>
    <w:rsid w:val="006205FC"/>
    <w:rsid w:val="00620638"/>
    <w:rsid w:val="00620640"/>
    <w:rsid w:val="00620648"/>
    <w:rsid w:val="00620668"/>
    <w:rsid w:val="006206C0"/>
    <w:rsid w:val="006206D0"/>
    <w:rsid w:val="006206E2"/>
    <w:rsid w:val="006206EF"/>
    <w:rsid w:val="00620734"/>
    <w:rsid w:val="0062074D"/>
    <w:rsid w:val="006207A9"/>
    <w:rsid w:val="006208ED"/>
    <w:rsid w:val="00620916"/>
    <w:rsid w:val="006209D6"/>
    <w:rsid w:val="006209E3"/>
    <w:rsid w:val="006209E8"/>
    <w:rsid w:val="00620A16"/>
    <w:rsid w:val="00620A41"/>
    <w:rsid w:val="00620A5E"/>
    <w:rsid w:val="00620AB6"/>
    <w:rsid w:val="00620AEC"/>
    <w:rsid w:val="00620B2B"/>
    <w:rsid w:val="00620BBF"/>
    <w:rsid w:val="00620C2D"/>
    <w:rsid w:val="00620C4B"/>
    <w:rsid w:val="00620CA0"/>
    <w:rsid w:val="00620CB4"/>
    <w:rsid w:val="00620CC0"/>
    <w:rsid w:val="00620DA6"/>
    <w:rsid w:val="00620DE5"/>
    <w:rsid w:val="00620E2A"/>
    <w:rsid w:val="00620E2D"/>
    <w:rsid w:val="00620E60"/>
    <w:rsid w:val="00620EB4"/>
    <w:rsid w:val="00620EE7"/>
    <w:rsid w:val="00620F20"/>
    <w:rsid w:val="00620F43"/>
    <w:rsid w:val="00620F96"/>
    <w:rsid w:val="00620FCF"/>
    <w:rsid w:val="00621006"/>
    <w:rsid w:val="00621017"/>
    <w:rsid w:val="0062103A"/>
    <w:rsid w:val="00621100"/>
    <w:rsid w:val="00621115"/>
    <w:rsid w:val="00621158"/>
    <w:rsid w:val="006211AA"/>
    <w:rsid w:val="006211C7"/>
    <w:rsid w:val="006211E3"/>
    <w:rsid w:val="006211F6"/>
    <w:rsid w:val="00621215"/>
    <w:rsid w:val="00621249"/>
    <w:rsid w:val="00621269"/>
    <w:rsid w:val="006212A5"/>
    <w:rsid w:val="006212C2"/>
    <w:rsid w:val="006212E7"/>
    <w:rsid w:val="006212EF"/>
    <w:rsid w:val="006213B8"/>
    <w:rsid w:val="006213DF"/>
    <w:rsid w:val="006213E7"/>
    <w:rsid w:val="00621422"/>
    <w:rsid w:val="0062146B"/>
    <w:rsid w:val="006214CB"/>
    <w:rsid w:val="006214D0"/>
    <w:rsid w:val="00621627"/>
    <w:rsid w:val="00621644"/>
    <w:rsid w:val="006216A1"/>
    <w:rsid w:val="00621705"/>
    <w:rsid w:val="00621706"/>
    <w:rsid w:val="0062173B"/>
    <w:rsid w:val="0062178B"/>
    <w:rsid w:val="006217AF"/>
    <w:rsid w:val="0062181E"/>
    <w:rsid w:val="006218C5"/>
    <w:rsid w:val="00621961"/>
    <w:rsid w:val="0062198B"/>
    <w:rsid w:val="006219B0"/>
    <w:rsid w:val="006219D0"/>
    <w:rsid w:val="006219E0"/>
    <w:rsid w:val="00621A19"/>
    <w:rsid w:val="00621A3A"/>
    <w:rsid w:val="00621A3F"/>
    <w:rsid w:val="00621B1F"/>
    <w:rsid w:val="00621B42"/>
    <w:rsid w:val="00621B47"/>
    <w:rsid w:val="00621B71"/>
    <w:rsid w:val="00621B7A"/>
    <w:rsid w:val="00621B87"/>
    <w:rsid w:val="00621BBD"/>
    <w:rsid w:val="00621BDF"/>
    <w:rsid w:val="00621C02"/>
    <w:rsid w:val="00621C16"/>
    <w:rsid w:val="00621C73"/>
    <w:rsid w:val="00621CA5"/>
    <w:rsid w:val="00621CCC"/>
    <w:rsid w:val="00621CF3"/>
    <w:rsid w:val="00621CF9"/>
    <w:rsid w:val="00621D69"/>
    <w:rsid w:val="00621E2E"/>
    <w:rsid w:val="00621E42"/>
    <w:rsid w:val="00621E87"/>
    <w:rsid w:val="00621E8F"/>
    <w:rsid w:val="00621EA4"/>
    <w:rsid w:val="00621EB2"/>
    <w:rsid w:val="00621F33"/>
    <w:rsid w:val="00621F3A"/>
    <w:rsid w:val="00621FB4"/>
    <w:rsid w:val="00621FE6"/>
    <w:rsid w:val="00622050"/>
    <w:rsid w:val="006220A2"/>
    <w:rsid w:val="006220DF"/>
    <w:rsid w:val="006220E7"/>
    <w:rsid w:val="006220F0"/>
    <w:rsid w:val="006221C9"/>
    <w:rsid w:val="006221FB"/>
    <w:rsid w:val="006221FF"/>
    <w:rsid w:val="0062222A"/>
    <w:rsid w:val="00622243"/>
    <w:rsid w:val="00622248"/>
    <w:rsid w:val="006222C4"/>
    <w:rsid w:val="00622313"/>
    <w:rsid w:val="00622342"/>
    <w:rsid w:val="006223BB"/>
    <w:rsid w:val="006223CA"/>
    <w:rsid w:val="00622411"/>
    <w:rsid w:val="00622416"/>
    <w:rsid w:val="0062241E"/>
    <w:rsid w:val="00622429"/>
    <w:rsid w:val="00622456"/>
    <w:rsid w:val="0062247E"/>
    <w:rsid w:val="00622520"/>
    <w:rsid w:val="00622540"/>
    <w:rsid w:val="006225BD"/>
    <w:rsid w:val="006225D5"/>
    <w:rsid w:val="00622648"/>
    <w:rsid w:val="006226A7"/>
    <w:rsid w:val="006226AA"/>
    <w:rsid w:val="00622724"/>
    <w:rsid w:val="0062276A"/>
    <w:rsid w:val="00622787"/>
    <w:rsid w:val="00622804"/>
    <w:rsid w:val="00622848"/>
    <w:rsid w:val="0062287A"/>
    <w:rsid w:val="0062288C"/>
    <w:rsid w:val="006228D1"/>
    <w:rsid w:val="006228D8"/>
    <w:rsid w:val="00622932"/>
    <w:rsid w:val="0062295A"/>
    <w:rsid w:val="00622979"/>
    <w:rsid w:val="0062298F"/>
    <w:rsid w:val="006229EE"/>
    <w:rsid w:val="00622A46"/>
    <w:rsid w:val="00622A5A"/>
    <w:rsid w:val="00622A5C"/>
    <w:rsid w:val="00622A64"/>
    <w:rsid w:val="00622ACA"/>
    <w:rsid w:val="00622ACE"/>
    <w:rsid w:val="00622AF5"/>
    <w:rsid w:val="00622B01"/>
    <w:rsid w:val="00622B05"/>
    <w:rsid w:val="00622B06"/>
    <w:rsid w:val="00622B35"/>
    <w:rsid w:val="00622B3C"/>
    <w:rsid w:val="00622B8B"/>
    <w:rsid w:val="00622BA2"/>
    <w:rsid w:val="00622BC3"/>
    <w:rsid w:val="00622C4E"/>
    <w:rsid w:val="00622C77"/>
    <w:rsid w:val="00622CA5"/>
    <w:rsid w:val="00622CE8"/>
    <w:rsid w:val="00622D0D"/>
    <w:rsid w:val="00622D10"/>
    <w:rsid w:val="00622D31"/>
    <w:rsid w:val="00622D9E"/>
    <w:rsid w:val="00622DE5"/>
    <w:rsid w:val="00622E06"/>
    <w:rsid w:val="00622E54"/>
    <w:rsid w:val="00622ECE"/>
    <w:rsid w:val="00622EE9"/>
    <w:rsid w:val="00622F04"/>
    <w:rsid w:val="00622F39"/>
    <w:rsid w:val="00622F60"/>
    <w:rsid w:val="00622FD2"/>
    <w:rsid w:val="0062302B"/>
    <w:rsid w:val="00623077"/>
    <w:rsid w:val="0062307C"/>
    <w:rsid w:val="00623088"/>
    <w:rsid w:val="0062309E"/>
    <w:rsid w:val="006230A0"/>
    <w:rsid w:val="006230BA"/>
    <w:rsid w:val="006230DB"/>
    <w:rsid w:val="006230DF"/>
    <w:rsid w:val="00623168"/>
    <w:rsid w:val="00623169"/>
    <w:rsid w:val="006231B4"/>
    <w:rsid w:val="00623223"/>
    <w:rsid w:val="0062325D"/>
    <w:rsid w:val="0062327C"/>
    <w:rsid w:val="00623313"/>
    <w:rsid w:val="00623314"/>
    <w:rsid w:val="00623346"/>
    <w:rsid w:val="00623368"/>
    <w:rsid w:val="0062336F"/>
    <w:rsid w:val="00623401"/>
    <w:rsid w:val="00623464"/>
    <w:rsid w:val="006234A4"/>
    <w:rsid w:val="006234D7"/>
    <w:rsid w:val="006234FD"/>
    <w:rsid w:val="00623503"/>
    <w:rsid w:val="0062353A"/>
    <w:rsid w:val="00623556"/>
    <w:rsid w:val="0062360A"/>
    <w:rsid w:val="00623622"/>
    <w:rsid w:val="00623646"/>
    <w:rsid w:val="006236A8"/>
    <w:rsid w:val="00623709"/>
    <w:rsid w:val="0062371A"/>
    <w:rsid w:val="0062374E"/>
    <w:rsid w:val="00623775"/>
    <w:rsid w:val="0062377A"/>
    <w:rsid w:val="0062378E"/>
    <w:rsid w:val="006237A5"/>
    <w:rsid w:val="006237EE"/>
    <w:rsid w:val="006238B0"/>
    <w:rsid w:val="006238B2"/>
    <w:rsid w:val="006238F9"/>
    <w:rsid w:val="00623959"/>
    <w:rsid w:val="0062399D"/>
    <w:rsid w:val="0062399F"/>
    <w:rsid w:val="006239A0"/>
    <w:rsid w:val="00623A3E"/>
    <w:rsid w:val="00623A7D"/>
    <w:rsid w:val="00623A88"/>
    <w:rsid w:val="00623ABC"/>
    <w:rsid w:val="00623AD2"/>
    <w:rsid w:val="00623B06"/>
    <w:rsid w:val="00623B0A"/>
    <w:rsid w:val="00623B19"/>
    <w:rsid w:val="00623BA7"/>
    <w:rsid w:val="00623BB0"/>
    <w:rsid w:val="00623BE6"/>
    <w:rsid w:val="00623BEF"/>
    <w:rsid w:val="00623C06"/>
    <w:rsid w:val="00623C1A"/>
    <w:rsid w:val="00623C4F"/>
    <w:rsid w:val="00623C69"/>
    <w:rsid w:val="00623CA8"/>
    <w:rsid w:val="00623D1D"/>
    <w:rsid w:val="00623D77"/>
    <w:rsid w:val="00623D84"/>
    <w:rsid w:val="00623E75"/>
    <w:rsid w:val="00623EB2"/>
    <w:rsid w:val="00623EDF"/>
    <w:rsid w:val="00623EE0"/>
    <w:rsid w:val="00623EE2"/>
    <w:rsid w:val="00623F41"/>
    <w:rsid w:val="0062400F"/>
    <w:rsid w:val="00624021"/>
    <w:rsid w:val="00624025"/>
    <w:rsid w:val="00624026"/>
    <w:rsid w:val="00624042"/>
    <w:rsid w:val="00624047"/>
    <w:rsid w:val="00624053"/>
    <w:rsid w:val="006240B7"/>
    <w:rsid w:val="00624100"/>
    <w:rsid w:val="00624131"/>
    <w:rsid w:val="006241C7"/>
    <w:rsid w:val="006241F7"/>
    <w:rsid w:val="00624213"/>
    <w:rsid w:val="00624231"/>
    <w:rsid w:val="00624287"/>
    <w:rsid w:val="006242F1"/>
    <w:rsid w:val="006243CF"/>
    <w:rsid w:val="006243DB"/>
    <w:rsid w:val="0062440A"/>
    <w:rsid w:val="00624430"/>
    <w:rsid w:val="00624431"/>
    <w:rsid w:val="00624456"/>
    <w:rsid w:val="00624469"/>
    <w:rsid w:val="006244B4"/>
    <w:rsid w:val="00624555"/>
    <w:rsid w:val="00624565"/>
    <w:rsid w:val="006245B8"/>
    <w:rsid w:val="006245E8"/>
    <w:rsid w:val="00624600"/>
    <w:rsid w:val="0062461B"/>
    <w:rsid w:val="00624642"/>
    <w:rsid w:val="0062465E"/>
    <w:rsid w:val="00624669"/>
    <w:rsid w:val="0062467A"/>
    <w:rsid w:val="0062467B"/>
    <w:rsid w:val="006246F8"/>
    <w:rsid w:val="006246FF"/>
    <w:rsid w:val="0062471E"/>
    <w:rsid w:val="00624796"/>
    <w:rsid w:val="00624802"/>
    <w:rsid w:val="0062480E"/>
    <w:rsid w:val="00624813"/>
    <w:rsid w:val="0062481E"/>
    <w:rsid w:val="00624828"/>
    <w:rsid w:val="00624860"/>
    <w:rsid w:val="0062487F"/>
    <w:rsid w:val="006248A7"/>
    <w:rsid w:val="006248E2"/>
    <w:rsid w:val="00624917"/>
    <w:rsid w:val="0062493A"/>
    <w:rsid w:val="00624948"/>
    <w:rsid w:val="00624967"/>
    <w:rsid w:val="00624A4E"/>
    <w:rsid w:val="00624A55"/>
    <w:rsid w:val="00624A84"/>
    <w:rsid w:val="00624AB1"/>
    <w:rsid w:val="00624B30"/>
    <w:rsid w:val="00624BD7"/>
    <w:rsid w:val="00624BE9"/>
    <w:rsid w:val="00624C58"/>
    <w:rsid w:val="00624CE6"/>
    <w:rsid w:val="00624D02"/>
    <w:rsid w:val="00624D57"/>
    <w:rsid w:val="00624D6C"/>
    <w:rsid w:val="00624D7D"/>
    <w:rsid w:val="00624DF2"/>
    <w:rsid w:val="00624E16"/>
    <w:rsid w:val="00624E3D"/>
    <w:rsid w:val="00624E55"/>
    <w:rsid w:val="00624E59"/>
    <w:rsid w:val="00624E76"/>
    <w:rsid w:val="00624F11"/>
    <w:rsid w:val="00624F12"/>
    <w:rsid w:val="00624F8B"/>
    <w:rsid w:val="00624F94"/>
    <w:rsid w:val="00624FDA"/>
    <w:rsid w:val="0062502D"/>
    <w:rsid w:val="0062502E"/>
    <w:rsid w:val="0062506D"/>
    <w:rsid w:val="00625089"/>
    <w:rsid w:val="006250A2"/>
    <w:rsid w:val="006250B4"/>
    <w:rsid w:val="006250E3"/>
    <w:rsid w:val="006250F2"/>
    <w:rsid w:val="0062510F"/>
    <w:rsid w:val="0062511D"/>
    <w:rsid w:val="0062511F"/>
    <w:rsid w:val="006251A7"/>
    <w:rsid w:val="006251D7"/>
    <w:rsid w:val="00625260"/>
    <w:rsid w:val="00625294"/>
    <w:rsid w:val="006252DF"/>
    <w:rsid w:val="0062532A"/>
    <w:rsid w:val="0062538D"/>
    <w:rsid w:val="006253BC"/>
    <w:rsid w:val="00625403"/>
    <w:rsid w:val="00625404"/>
    <w:rsid w:val="0062544B"/>
    <w:rsid w:val="00625461"/>
    <w:rsid w:val="0062546A"/>
    <w:rsid w:val="00625484"/>
    <w:rsid w:val="0062549E"/>
    <w:rsid w:val="00625512"/>
    <w:rsid w:val="00625528"/>
    <w:rsid w:val="0062553B"/>
    <w:rsid w:val="006255A8"/>
    <w:rsid w:val="00625607"/>
    <w:rsid w:val="0062560A"/>
    <w:rsid w:val="00625626"/>
    <w:rsid w:val="00625647"/>
    <w:rsid w:val="00625652"/>
    <w:rsid w:val="0062573C"/>
    <w:rsid w:val="00625743"/>
    <w:rsid w:val="006257D0"/>
    <w:rsid w:val="00625818"/>
    <w:rsid w:val="0062585F"/>
    <w:rsid w:val="006258D0"/>
    <w:rsid w:val="0062590A"/>
    <w:rsid w:val="0062595D"/>
    <w:rsid w:val="00625963"/>
    <w:rsid w:val="0062596A"/>
    <w:rsid w:val="0062597C"/>
    <w:rsid w:val="006259AD"/>
    <w:rsid w:val="006259C2"/>
    <w:rsid w:val="00625A17"/>
    <w:rsid w:val="00625A35"/>
    <w:rsid w:val="00625A4A"/>
    <w:rsid w:val="00625A76"/>
    <w:rsid w:val="00625AD0"/>
    <w:rsid w:val="00625AD9"/>
    <w:rsid w:val="00625ADC"/>
    <w:rsid w:val="00625B45"/>
    <w:rsid w:val="00625B8B"/>
    <w:rsid w:val="00625B8F"/>
    <w:rsid w:val="00625BDC"/>
    <w:rsid w:val="00625C3D"/>
    <w:rsid w:val="00625C5E"/>
    <w:rsid w:val="00625C73"/>
    <w:rsid w:val="00625C7B"/>
    <w:rsid w:val="00625C92"/>
    <w:rsid w:val="00625CF0"/>
    <w:rsid w:val="00625CF7"/>
    <w:rsid w:val="00625D37"/>
    <w:rsid w:val="00625D7A"/>
    <w:rsid w:val="00625D85"/>
    <w:rsid w:val="00625DAC"/>
    <w:rsid w:val="00625DFF"/>
    <w:rsid w:val="00625EC0"/>
    <w:rsid w:val="00625ED4"/>
    <w:rsid w:val="00625F99"/>
    <w:rsid w:val="0062602F"/>
    <w:rsid w:val="00626032"/>
    <w:rsid w:val="00626048"/>
    <w:rsid w:val="00626077"/>
    <w:rsid w:val="0062609E"/>
    <w:rsid w:val="00626133"/>
    <w:rsid w:val="00626169"/>
    <w:rsid w:val="0062616C"/>
    <w:rsid w:val="006261C7"/>
    <w:rsid w:val="006261D8"/>
    <w:rsid w:val="006261F4"/>
    <w:rsid w:val="00626225"/>
    <w:rsid w:val="00626241"/>
    <w:rsid w:val="0062629A"/>
    <w:rsid w:val="006262A2"/>
    <w:rsid w:val="00626329"/>
    <w:rsid w:val="00626354"/>
    <w:rsid w:val="0062646D"/>
    <w:rsid w:val="0062646F"/>
    <w:rsid w:val="00626481"/>
    <w:rsid w:val="0062648C"/>
    <w:rsid w:val="006264F7"/>
    <w:rsid w:val="00626534"/>
    <w:rsid w:val="00626537"/>
    <w:rsid w:val="00626559"/>
    <w:rsid w:val="006265D4"/>
    <w:rsid w:val="0062662B"/>
    <w:rsid w:val="00626637"/>
    <w:rsid w:val="00626650"/>
    <w:rsid w:val="00626666"/>
    <w:rsid w:val="0062666C"/>
    <w:rsid w:val="006266A8"/>
    <w:rsid w:val="006266B4"/>
    <w:rsid w:val="0062671C"/>
    <w:rsid w:val="00626722"/>
    <w:rsid w:val="00626726"/>
    <w:rsid w:val="006267A6"/>
    <w:rsid w:val="006267F9"/>
    <w:rsid w:val="00626826"/>
    <w:rsid w:val="00626859"/>
    <w:rsid w:val="00626861"/>
    <w:rsid w:val="00626879"/>
    <w:rsid w:val="0062688B"/>
    <w:rsid w:val="0062689B"/>
    <w:rsid w:val="006268AA"/>
    <w:rsid w:val="006268B9"/>
    <w:rsid w:val="006268ED"/>
    <w:rsid w:val="00626928"/>
    <w:rsid w:val="006269AB"/>
    <w:rsid w:val="006269AD"/>
    <w:rsid w:val="006269C8"/>
    <w:rsid w:val="006269EB"/>
    <w:rsid w:val="00626B13"/>
    <w:rsid w:val="00626B27"/>
    <w:rsid w:val="00626B43"/>
    <w:rsid w:val="00626B61"/>
    <w:rsid w:val="00626B80"/>
    <w:rsid w:val="00626B8C"/>
    <w:rsid w:val="00626B96"/>
    <w:rsid w:val="00626BA8"/>
    <w:rsid w:val="00626BED"/>
    <w:rsid w:val="00626C81"/>
    <w:rsid w:val="00626C93"/>
    <w:rsid w:val="00626CA4"/>
    <w:rsid w:val="00626CCD"/>
    <w:rsid w:val="00626CDD"/>
    <w:rsid w:val="00626D3F"/>
    <w:rsid w:val="00626D80"/>
    <w:rsid w:val="00626DE5"/>
    <w:rsid w:val="00626DF5"/>
    <w:rsid w:val="00626EA0"/>
    <w:rsid w:val="00626EF3"/>
    <w:rsid w:val="00626F0A"/>
    <w:rsid w:val="00626F1F"/>
    <w:rsid w:val="00626FF0"/>
    <w:rsid w:val="0062700C"/>
    <w:rsid w:val="0062702E"/>
    <w:rsid w:val="0062703C"/>
    <w:rsid w:val="00627053"/>
    <w:rsid w:val="0062709B"/>
    <w:rsid w:val="0062709E"/>
    <w:rsid w:val="006270E8"/>
    <w:rsid w:val="0062714E"/>
    <w:rsid w:val="00627178"/>
    <w:rsid w:val="0062718D"/>
    <w:rsid w:val="006271AD"/>
    <w:rsid w:val="006271EF"/>
    <w:rsid w:val="00627207"/>
    <w:rsid w:val="00627220"/>
    <w:rsid w:val="00627267"/>
    <w:rsid w:val="006272AC"/>
    <w:rsid w:val="006272C2"/>
    <w:rsid w:val="00627316"/>
    <w:rsid w:val="0062731A"/>
    <w:rsid w:val="00627324"/>
    <w:rsid w:val="0062738B"/>
    <w:rsid w:val="0062739C"/>
    <w:rsid w:val="006273E1"/>
    <w:rsid w:val="0062740D"/>
    <w:rsid w:val="00627412"/>
    <w:rsid w:val="0062741D"/>
    <w:rsid w:val="0062747A"/>
    <w:rsid w:val="006274CA"/>
    <w:rsid w:val="006274CE"/>
    <w:rsid w:val="00627504"/>
    <w:rsid w:val="0062750F"/>
    <w:rsid w:val="00627514"/>
    <w:rsid w:val="00627558"/>
    <w:rsid w:val="0062755E"/>
    <w:rsid w:val="00627579"/>
    <w:rsid w:val="0062757F"/>
    <w:rsid w:val="006275EF"/>
    <w:rsid w:val="006275FC"/>
    <w:rsid w:val="00627607"/>
    <w:rsid w:val="00627608"/>
    <w:rsid w:val="00627653"/>
    <w:rsid w:val="00627660"/>
    <w:rsid w:val="00627686"/>
    <w:rsid w:val="0062768A"/>
    <w:rsid w:val="006276FB"/>
    <w:rsid w:val="006277CF"/>
    <w:rsid w:val="006277E2"/>
    <w:rsid w:val="006277F6"/>
    <w:rsid w:val="006277F8"/>
    <w:rsid w:val="0062780E"/>
    <w:rsid w:val="0062781D"/>
    <w:rsid w:val="00627835"/>
    <w:rsid w:val="00627859"/>
    <w:rsid w:val="006278DE"/>
    <w:rsid w:val="00627919"/>
    <w:rsid w:val="00627976"/>
    <w:rsid w:val="006279AD"/>
    <w:rsid w:val="00627A1B"/>
    <w:rsid w:val="00627A22"/>
    <w:rsid w:val="00627A2D"/>
    <w:rsid w:val="00627A49"/>
    <w:rsid w:val="00627AC0"/>
    <w:rsid w:val="00627AC8"/>
    <w:rsid w:val="00627AF3"/>
    <w:rsid w:val="00627AFF"/>
    <w:rsid w:val="00627B1B"/>
    <w:rsid w:val="00627B2F"/>
    <w:rsid w:val="00627B98"/>
    <w:rsid w:val="00627BA1"/>
    <w:rsid w:val="00627BBB"/>
    <w:rsid w:val="00627C41"/>
    <w:rsid w:val="00627C99"/>
    <w:rsid w:val="00627CCA"/>
    <w:rsid w:val="00627CD7"/>
    <w:rsid w:val="00627CEF"/>
    <w:rsid w:val="00627CF9"/>
    <w:rsid w:val="00627D03"/>
    <w:rsid w:val="00627D1B"/>
    <w:rsid w:val="00627DA3"/>
    <w:rsid w:val="00627DA7"/>
    <w:rsid w:val="00627DF7"/>
    <w:rsid w:val="00627E0D"/>
    <w:rsid w:val="00627E95"/>
    <w:rsid w:val="00627F07"/>
    <w:rsid w:val="00627F5B"/>
    <w:rsid w:val="00627F82"/>
    <w:rsid w:val="00627F95"/>
    <w:rsid w:val="00627FA5"/>
    <w:rsid w:val="00627FF3"/>
    <w:rsid w:val="00627FF9"/>
    <w:rsid w:val="0062D34C"/>
    <w:rsid w:val="006300B0"/>
    <w:rsid w:val="0063012F"/>
    <w:rsid w:val="00630158"/>
    <w:rsid w:val="0063016A"/>
    <w:rsid w:val="00630173"/>
    <w:rsid w:val="00630176"/>
    <w:rsid w:val="00630199"/>
    <w:rsid w:val="006301B1"/>
    <w:rsid w:val="006301BA"/>
    <w:rsid w:val="00630204"/>
    <w:rsid w:val="0063021A"/>
    <w:rsid w:val="00630232"/>
    <w:rsid w:val="0063023B"/>
    <w:rsid w:val="00630241"/>
    <w:rsid w:val="0063026E"/>
    <w:rsid w:val="00630290"/>
    <w:rsid w:val="0063029A"/>
    <w:rsid w:val="0063029C"/>
    <w:rsid w:val="006302E9"/>
    <w:rsid w:val="00630316"/>
    <w:rsid w:val="00630336"/>
    <w:rsid w:val="00630356"/>
    <w:rsid w:val="00630373"/>
    <w:rsid w:val="006303A9"/>
    <w:rsid w:val="006303E1"/>
    <w:rsid w:val="006303FE"/>
    <w:rsid w:val="006304FD"/>
    <w:rsid w:val="0063051D"/>
    <w:rsid w:val="00630542"/>
    <w:rsid w:val="0063059C"/>
    <w:rsid w:val="0063059D"/>
    <w:rsid w:val="006305F4"/>
    <w:rsid w:val="00630604"/>
    <w:rsid w:val="00630713"/>
    <w:rsid w:val="00630720"/>
    <w:rsid w:val="00630787"/>
    <w:rsid w:val="006307CF"/>
    <w:rsid w:val="00630867"/>
    <w:rsid w:val="00630897"/>
    <w:rsid w:val="006308B5"/>
    <w:rsid w:val="006308BC"/>
    <w:rsid w:val="006308E8"/>
    <w:rsid w:val="00630908"/>
    <w:rsid w:val="00630964"/>
    <w:rsid w:val="00630982"/>
    <w:rsid w:val="006309C4"/>
    <w:rsid w:val="00630A00"/>
    <w:rsid w:val="00630A65"/>
    <w:rsid w:val="00630A8A"/>
    <w:rsid w:val="00630AF4"/>
    <w:rsid w:val="00630B7A"/>
    <w:rsid w:val="00630B7D"/>
    <w:rsid w:val="00630B81"/>
    <w:rsid w:val="00630BD0"/>
    <w:rsid w:val="00630BDA"/>
    <w:rsid w:val="00630BED"/>
    <w:rsid w:val="00630C0D"/>
    <w:rsid w:val="00630C1C"/>
    <w:rsid w:val="00630C31"/>
    <w:rsid w:val="00630C6D"/>
    <w:rsid w:val="00630C7A"/>
    <w:rsid w:val="00630C8E"/>
    <w:rsid w:val="00630C93"/>
    <w:rsid w:val="00630CEC"/>
    <w:rsid w:val="00630D3D"/>
    <w:rsid w:val="00630D46"/>
    <w:rsid w:val="00630D5E"/>
    <w:rsid w:val="00630DA8"/>
    <w:rsid w:val="00630DC2"/>
    <w:rsid w:val="00630DC6"/>
    <w:rsid w:val="00630DE5"/>
    <w:rsid w:val="00630DEF"/>
    <w:rsid w:val="00630E9E"/>
    <w:rsid w:val="00630EC9"/>
    <w:rsid w:val="00630ED0"/>
    <w:rsid w:val="00630F27"/>
    <w:rsid w:val="00630F31"/>
    <w:rsid w:val="00630F89"/>
    <w:rsid w:val="00630FE0"/>
    <w:rsid w:val="00630FFA"/>
    <w:rsid w:val="006310A4"/>
    <w:rsid w:val="006310AE"/>
    <w:rsid w:val="006310EA"/>
    <w:rsid w:val="0063110D"/>
    <w:rsid w:val="00631123"/>
    <w:rsid w:val="0063112B"/>
    <w:rsid w:val="0063112F"/>
    <w:rsid w:val="0063115E"/>
    <w:rsid w:val="0063117A"/>
    <w:rsid w:val="006311C4"/>
    <w:rsid w:val="00631236"/>
    <w:rsid w:val="0063128F"/>
    <w:rsid w:val="006312D6"/>
    <w:rsid w:val="00631304"/>
    <w:rsid w:val="00631389"/>
    <w:rsid w:val="006313C3"/>
    <w:rsid w:val="0063143E"/>
    <w:rsid w:val="0063144E"/>
    <w:rsid w:val="006314AA"/>
    <w:rsid w:val="0063153D"/>
    <w:rsid w:val="00631565"/>
    <w:rsid w:val="00631577"/>
    <w:rsid w:val="006315F8"/>
    <w:rsid w:val="00631625"/>
    <w:rsid w:val="0063164E"/>
    <w:rsid w:val="00631660"/>
    <w:rsid w:val="006316B4"/>
    <w:rsid w:val="006316CA"/>
    <w:rsid w:val="006316CF"/>
    <w:rsid w:val="006316F4"/>
    <w:rsid w:val="006316F7"/>
    <w:rsid w:val="0063170F"/>
    <w:rsid w:val="00631726"/>
    <w:rsid w:val="0063175F"/>
    <w:rsid w:val="0063177E"/>
    <w:rsid w:val="0063178A"/>
    <w:rsid w:val="0063185E"/>
    <w:rsid w:val="006318DC"/>
    <w:rsid w:val="006318F8"/>
    <w:rsid w:val="0063190F"/>
    <w:rsid w:val="00631929"/>
    <w:rsid w:val="00631968"/>
    <w:rsid w:val="006319D8"/>
    <w:rsid w:val="00631A03"/>
    <w:rsid w:val="00631A17"/>
    <w:rsid w:val="00631B6C"/>
    <w:rsid w:val="00631B81"/>
    <w:rsid w:val="00631B84"/>
    <w:rsid w:val="00631C2A"/>
    <w:rsid w:val="00631CA4"/>
    <w:rsid w:val="00631D29"/>
    <w:rsid w:val="00631D6D"/>
    <w:rsid w:val="00631D88"/>
    <w:rsid w:val="00631DBE"/>
    <w:rsid w:val="00631DCD"/>
    <w:rsid w:val="00631DEA"/>
    <w:rsid w:val="00631DF6"/>
    <w:rsid w:val="00631E11"/>
    <w:rsid w:val="00631E34"/>
    <w:rsid w:val="00631E80"/>
    <w:rsid w:val="00631E97"/>
    <w:rsid w:val="00631F2F"/>
    <w:rsid w:val="00632005"/>
    <w:rsid w:val="00632062"/>
    <w:rsid w:val="00632071"/>
    <w:rsid w:val="006321D4"/>
    <w:rsid w:val="00632287"/>
    <w:rsid w:val="00632288"/>
    <w:rsid w:val="00632291"/>
    <w:rsid w:val="0063229D"/>
    <w:rsid w:val="006322F1"/>
    <w:rsid w:val="00632311"/>
    <w:rsid w:val="00632382"/>
    <w:rsid w:val="00632399"/>
    <w:rsid w:val="006323B0"/>
    <w:rsid w:val="006323D3"/>
    <w:rsid w:val="006323FD"/>
    <w:rsid w:val="0063242A"/>
    <w:rsid w:val="00632439"/>
    <w:rsid w:val="00632440"/>
    <w:rsid w:val="0063244B"/>
    <w:rsid w:val="00632460"/>
    <w:rsid w:val="00632476"/>
    <w:rsid w:val="006324FD"/>
    <w:rsid w:val="00632539"/>
    <w:rsid w:val="0063253E"/>
    <w:rsid w:val="006325D8"/>
    <w:rsid w:val="0063263A"/>
    <w:rsid w:val="00632649"/>
    <w:rsid w:val="00632664"/>
    <w:rsid w:val="00632682"/>
    <w:rsid w:val="006326B4"/>
    <w:rsid w:val="006326C5"/>
    <w:rsid w:val="0063272F"/>
    <w:rsid w:val="0063274D"/>
    <w:rsid w:val="00632764"/>
    <w:rsid w:val="0063278D"/>
    <w:rsid w:val="00632819"/>
    <w:rsid w:val="0063282D"/>
    <w:rsid w:val="00632832"/>
    <w:rsid w:val="00632855"/>
    <w:rsid w:val="00632873"/>
    <w:rsid w:val="00632879"/>
    <w:rsid w:val="00632890"/>
    <w:rsid w:val="0063289C"/>
    <w:rsid w:val="0063292B"/>
    <w:rsid w:val="00632947"/>
    <w:rsid w:val="00632967"/>
    <w:rsid w:val="006329FC"/>
    <w:rsid w:val="00632A13"/>
    <w:rsid w:val="00632A2A"/>
    <w:rsid w:val="00632A64"/>
    <w:rsid w:val="00632A72"/>
    <w:rsid w:val="00632ACE"/>
    <w:rsid w:val="00632AFB"/>
    <w:rsid w:val="00632B18"/>
    <w:rsid w:val="00632B3A"/>
    <w:rsid w:val="00632B4E"/>
    <w:rsid w:val="00632BBE"/>
    <w:rsid w:val="00632BDB"/>
    <w:rsid w:val="00632C86"/>
    <w:rsid w:val="00632C90"/>
    <w:rsid w:val="00632CAC"/>
    <w:rsid w:val="00632CBB"/>
    <w:rsid w:val="00632CF6"/>
    <w:rsid w:val="00632D11"/>
    <w:rsid w:val="00632D30"/>
    <w:rsid w:val="00632D37"/>
    <w:rsid w:val="00632D5F"/>
    <w:rsid w:val="00632DA4"/>
    <w:rsid w:val="00632DCD"/>
    <w:rsid w:val="00632DFF"/>
    <w:rsid w:val="00632EFE"/>
    <w:rsid w:val="00632F2B"/>
    <w:rsid w:val="00632F3E"/>
    <w:rsid w:val="00632F6E"/>
    <w:rsid w:val="00632FB0"/>
    <w:rsid w:val="0063303F"/>
    <w:rsid w:val="0063306A"/>
    <w:rsid w:val="006330A3"/>
    <w:rsid w:val="0063312C"/>
    <w:rsid w:val="0063314D"/>
    <w:rsid w:val="006331DA"/>
    <w:rsid w:val="006331EC"/>
    <w:rsid w:val="006332D6"/>
    <w:rsid w:val="006332E2"/>
    <w:rsid w:val="00633305"/>
    <w:rsid w:val="00633348"/>
    <w:rsid w:val="006333E1"/>
    <w:rsid w:val="00633473"/>
    <w:rsid w:val="00633511"/>
    <w:rsid w:val="00633539"/>
    <w:rsid w:val="006335DC"/>
    <w:rsid w:val="00633603"/>
    <w:rsid w:val="00633617"/>
    <w:rsid w:val="0063368B"/>
    <w:rsid w:val="00633691"/>
    <w:rsid w:val="00633695"/>
    <w:rsid w:val="0063369A"/>
    <w:rsid w:val="006336A4"/>
    <w:rsid w:val="00633707"/>
    <w:rsid w:val="00633722"/>
    <w:rsid w:val="0063372D"/>
    <w:rsid w:val="00633742"/>
    <w:rsid w:val="00633787"/>
    <w:rsid w:val="00633817"/>
    <w:rsid w:val="0063381F"/>
    <w:rsid w:val="0063382D"/>
    <w:rsid w:val="00633835"/>
    <w:rsid w:val="00633869"/>
    <w:rsid w:val="006338C3"/>
    <w:rsid w:val="006338EF"/>
    <w:rsid w:val="00633908"/>
    <w:rsid w:val="0063390F"/>
    <w:rsid w:val="00633911"/>
    <w:rsid w:val="006339FA"/>
    <w:rsid w:val="00633A0A"/>
    <w:rsid w:val="00633A23"/>
    <w:rsid w:val="00633A63"/>
    <w:rsid w:val="00633AB8"/>
    <w:rsid w:val="00633B43"/>
    <w:rsid w:val="00633B5C"/>
    <w:rsid w:val="00633B69"/>
    <w:rsid w:val="00633B84"/>
    <w:rsid w:val="00633BE0"/>
    <w:rsid w:val="00633C5E"/>
    <w:rsid w:val="00633C60"/>
    <w:rsid w:val="00633CB5"/>
    <w:rsid w:val="00633CCC"/>
    <w:rsid w:val="00633D00"/>
    <w:rsid w:val="00633D1B"/>
    <w:rsid w:val="00633D24"/>
    <w:rsid w:val="00633D59"/>
    <w:rsid w:val="00633D65"/>
    <w:rsid w:val="00633D6C"/>
    <w:rsid w:val="00633DC4"/>
    <w:rsid w:val="00633DC7"/>
    <w:rsid w:val="00633DED"/>
    <w:rsid w:val="00633E09"/>
    <w:rsid w:val="00633E39"/>
    <w:rsid w:val="00633E54"/>
    <w:rsid w:val="00633E7C"/>
    <w:rsid w:val="00633ED0"/>
    <w:rsid w:val="00633EF0"/>
    <w:rsid w:val="00633EFB"/>
    <w:rsid w:val="00633F15"/>
    <w:rsid w:val="00633F39"/>
    <w:rsid w:val="00633F5B"/>
    <w:rsid w:val="00633F63"/>
    <w:rsid w:val="00633F97"/>
    <w:rsid w:val="00633FA6"/>
    <w:rsid w:val="00633FBD"/>
    <w:rsid w:val="00633FE1"/>
    <w:rsid w:val="00633FE2"/>
    <w:rsid w:val="00633FFA"/>
    <w:rsid w:val="0063400D"/>
    <w:rsid w:val="0063400E"/>
    <w:rsid w:val="006340A2"/>
    <w:rsid w:val="006340A3"/>
    <w:rsid w:val="006340A8"/>
    <w:rsid w:val="00634129"/>
    <w:rsid w:val="00634137"/>
    <w:rsid w:val="00634146"/>
    <w:rsid w:val="0063417C"/>
    <w:rsid w:val="0063418C"/>
    <w:rsid w:val="00634190"/>
    <w:rsid w:val="0063421B"/>
    <w:rsid w:val="00634230"/>
    <w:rsid w:val="00634243"/>
    <w:rsid w:val="0063426E"/>
    <w:rsid w:val="006342A7"/>
    <w:rsid w:val="006342F0"/>
    <w:rsid w:val="00634317"/>
    <w:rsid w:val="0063436C"/>
    <w:rsid w:val="00634374"/>
    <w:rsid w:val="006343B1"/>
    <w:rsid w:val="006343F6"/>
    <w:rsid w:val="00634425"/>
    <w:rsid w:val="00634455"/>
    <w:rsid w:val="00634484"/>
    <w:rsid w:val="0063448B"/>
    <w:rsid w:val="006344E1"/>
    <w:rsid w:val="00634551"/>
    <w:rsid w:val="00634576"/>
    <w:rsid w:val="00634587"/>
    <w:rsid w:val="0063465B"/>
    <w:rsid w:val="006346A0"/>
    <w:rsid w:val="006346E0"/>
    <w:rsid w:val="00634702"/>
    <w:rsid w:val="00634709"/>
    <w:rsid w:val="0063470B"/>
    <w:rsid w:val="0063473D"/>
    <w:rsid w:val="00634758"/>
    <w:rsid w:val="0063475E"/>
    <w:rsid w:val="006347A1"/>
    <w:rsid w:val="006347E8"/>
    <w:rsid w:val="0063485A"/>
    <w:rsid w:val="006348A5"/>
    <w:rsid w:val="006348C9"/>
    <w:rsid w:val="006348FF"/>
    <w:rsid w:val="0063492D"/>
    <w:rsid w:val="00634A2F"/>
    <w:rsid w:val="00634A66"/>
    <w:rsid w:val="00634A69"/>
    <w:rsid w:val="00634A91"/>
    <w:rsid w:val="00634A93"/>
    <w:rsid w:val="00634AB9"/>
    <w:rsid w:val="00634ACE"/>
    <w:rsid w:val="00634B02"/>
    <w:rsid w:val="00634B49"/>
    <w:rsid w:val="00634BD7"/>
    <w:rsid w:val="00634BE2"/>
    <w:rsid w:val="00634BF8"/>
    <w:rsid w:val="00634C78"/>
    <w:rsid w:val="00634C98"/>
    <w:rsid w:val="00634CB2"/>
    <w:rsid w:val="00634D1B"/>
    <w:rsid w:val="00634D62"/>
    <w:rsid w:val="00634D7C"/>
    <w:rsid w:val="00634DB0"/>
    <w:rsid w:val="00634DD4"/>
    <w:rsid w:val="00634DE5"/>
    <w:rsid w:val="00634E7F"/>
    <w:rsid w:val="00634E97"/>
    <w:rsid w:val="00634EC2"/>
    <w:rsid w:val="00634ED9"/>
    <w:rsid w:val="00634EE2"/>
    <w:rsid w:val="00634F1E"/>
    <w:rsid w:val="00634F32"/>
    <w:rsid w:val="00634F77"/>
    <w:rsid w:val="00634FC8"/>
    <w:rsid w:val="006350D6"/>
    <w:rsid w:val="00635105"/>
    <w:rsid w:val="0063511C"/>
    <w:rsid w:val="00635127"/>
    <w:rsid w:val="00635133"/>
    <w:rsid w:val="00635135"/>
    <w:rsid w:val="006351A6"/>
    <w:rsid w:val="006351EC"/>
    <w:rsid w:val="0063520F"/>
    <w:rsid w:val="00635231"/>
    <w:rsid w:val="006352C6"/>
    <w:rsid w:val="00635358"/>
    <w:rsid w:val="006353B7"/>
    <w:rsid w:val="006353D1"/>
    <w:rsid w:val="006353E0"/>
    <w:rsid w:val="00635409"/>
    <w:rsid w:val="0063540E"/>
    <w:rsid w:val="00635448"/>
    <w:rsid w:val="0063549B"/>
    <w:rsid w:val="006354B7"/>
    <w:rsid w:val="006354CF"/>
    <w:rsid w:val="006354D6"/>
    <w:rsid w:val="0063552D"/>
    <w:rsid w:val="00635568"/>
    <w:rsid w:val="006355F4"/>
    <w:rsid w:val="00635619"/>
    <w:rsid w:val="0063569C"/>
    <w:rsid w:val="00635710"/>
    <w:rsid w:val="00635748"/>
    <w:rsid w:val="006357BE"/>
    <w:rsid w:val="00635845"/>
    <w:rsid w:val="0063586A"/>
    <w:rsid w:val="0063586B"/>
    <w:rsid w:val="006358D5"/>
    <w:rsid w:val="00635914"/>
    <w:rsid w:val="00635927"/>
    <w:rsid w:val="00635968"/>
    <w:rsid w:val="0063596E"/>
    <w:rsid w:val="00635996"/>
    <w:rsid w:val="006359EF"/>
    <w:rsid w:val="00635A16"/>
    <w:rsid w:val="00635ACD"/>
    <w:rsid w:val="00635ADF"/>
    <w:rsid w:val="00635AE2"/>
    <w:rsid w:val="00635AE3"/>
    <w:rsid w:val="00635B57"/>
    <w:rsid w:val="00635B98"/>
    <w:rsid w:val="00635C7C"/>
    <w:rsid w:val="00635CAE"/>
    <w:rsid w:val="00635CDD"/>
    <w:rsid w:val="00635D21"/>
    <w:rsid w:val="00635D47"/>
    <w:rsid w:val="00635D7C"/>
    <w:rsid w:val="00635D87"/>
    <w:rsid w:val="00635E33"/>
    <w:rsid w:val="00635E39"/>
    <w:rsid w:val="00635E3F"/>
    <w:rsid w:val="00635E52"/>
    <w:rsid w:val="00635E7A"/>
    <w:rsid w:val="00635EE1"/>
    <w:rsid w:val="00635F1D"/>
    <w:rsid w:val="00635F4B"/>
    <w:rsid w:val="00636084"/>
    <w:rsid w:val="00636098"/>
    <w:rsid w:val="00636100"/>
    <w:rsid w:val="0063617A"/>
    <w:rsid w:val="0063618C"/>
    <w:rsid w:val="0063622A"/>
    <w:rsid w:val="0063623E"/>
    <w:rsid w:val="00636280"/>
    <w:rsid w:val="00636297"/>
    <w:rsid w:val="006362A3"/>
    <w:rsid w:val="006362FE"/>
    <w:rsid w:val="006363FC"/>
    <w:rsid w:val="0063640E"/>
    <w:rsid w:val="0063649D"/>
    <w:rsid w:val="006364B6"/>
    <w:rsid w:val="006365AD"/>
    <w:rsid w:val="006365DD"/>
    <w:rsid w:val="006365F9"/>
    <w:rsid w:val="0063661B"/>
    <w:rsid w:val="00636693"/>
    <w:rsid w:val="006366F3"/>
    <w:rsid w:val="006366F7"/>
    <w:rsid w:val="006366F8"/>
    <w:rsid w:val="00636760"/>
    <w:rsid w:val="006367E8"/>
    <w:rsid w:val="0063683D"/>
    <w:rsid w:val="00636841"/>
    <w:rsid w:val="00636894"/>
    <w:rsid w:val="006368A6"/>
    <w:rsid w:val="006368BB"/>
    <w:rsid w:val="006368F3"/>
    <w:rsid w:val="00636901"/>
    <w:rsid w:val="00636915"/>
    <w:rsid w:val="0063692E"/>
    <w:rsid w:val="00636960"/>
    <w:rsid w:val="006369B0"/>
    <w:rsid w:val="00636A2B"/>
    <w:rsid w:val="00636A49"/>
    <w:rsid w:val="00636A51"/>
    <w:rsid w:val="00636A5E"/>
    <w:rsid w:val="00636AA0"/>
    <w:rsid w:val="00636AC9"/>
    <w:rsid w:val="00636ADE"/>
    <w:rsid w:val="00636B47"/>
    <w:rsid w:val="00636BDE"/>
    <w:rsid w:val="00636BE6"/>
    <w:rsid w:val="00636BE7"/>
    <w:rsid w:val="00636C22"/>
    <w:rsid w:val="00636C37"/>
    <w:rsid w:val="00636C64"/>
    <w:rsid w:val="00636C69"/>
    <w:rsid w:val="00636CE1"/>
    <w:rsid w:val="00636CF8"/>
    <w:rsid w:val="00636CFC"/>
    <w:rsid w:val="00636D0F"/>
    <w:rsid w:val="00636D20"/>
    <w:rsid w:val="00636D6E"/>
    <w:rsid w:val="00636D80"/>
    <w:rsid w:val="00636E64"/>
    <w:rsid w:val="00636E66"/>
    <w:rsid w:val="00636E73"/>
    <w:rsid w:val="00636F18"/>
    <w:rsid w:val="00636F22"/>
    <w:rsid w:val="00636F3A"/>
    <w:rsid w:val="00636F73"/>
    <w:rsid w:val="00636F7C"/>
    <w:rsid w:val="006370AC"/>
    <w:rsid w:val="006370E8"/>
    <w:rsid w:val="006370FD"/>
    <w:rsid w:val="0063710F"/>
    <w:rsid w:val="0063712B"/>
    <w:rsid w:val="00637138"/>
    <w:rsid w:val="00637144"/>
    <w:rsid w:val="00637147"/>
    <w:rsid w:val="00637168"/>
    <w:rsid w:val="006371E2"/>
    <w:rsid w:val="00637212"/>
    <w:rsid w:val="00637319"/>
    <w:rsid w:val="00637320"/>
    <w:rsid w:val="00637324"/>
    <w:rsid w:val="00637333"/>
    <w:rsid w:val="00637388"/>
    <w:rsid w:val="006373AF"/>
    <w:rsid w:val="006373BE"/>
    <w:rsid w:val="006373FE"/>
    <w:rsid w:val="00637414"/>
    <w:rsid w:val="0063744D"/>
    <w:rsid w:val="006374B6"/>
    <w:rsid w:val="0063756A"/>
    <w:rsid w:val="0063757C"/>
    <w:rsid w:val="006376E6"/>
    <w:rsid w:val="0063772B"/>
    <w:rsid w:val="006377E7"/>
    <w:rsid w:val="0063780A"/>
    <w:rsid w:val="00637839"/>
    <w:rsid w:val="0063785D"/>
    <w:rsid w:val="00637900"/>
    <w:rsid w:val="00637902"/>
    <w:rsid w:val="00637934"/>
    <w:rsid w:val="006379A3"/>
    <w:rsid w:val="006379F1"/>
    <w:rsid w:val="00637A3D"/>
    <w:rsid w:val="00637A7A"/>
    <w:rsid w:val="00637A92"/>
    <w:rsid w:val="00637AAE"/>
    <w:rsid w:val="00637B3F"/>
    <w:rsid w:val="00637BF4"/>
    <w:rsid w:val="00637C39"/>
    <w:rsid w:val="00637C5B"/>
    <w:rsid w:val="00637C86"/>
    <w:rsid w:val="00637C8E"/>
    <w:rsid w:val="00637CA2"/>
    <w:rsid w:val="00637CAD"/>
    <w:rsid w:val="00637CBF"/>
    <w:rsid w:val="00637CF6"/>
    <w:rsid w:val="00637D1C"/>
    <w:rsid w:val="00637D36"/>
    <w:rsid w:val="00637D59"/>
    <w:rsid w:val="00637D91"/>
    <w:rsid w:val="00637DCE"/>
    <w:rsid w:val="00637E16"/>
    <w:rsid w:val="00637F70"/>
    <w:rsid w:val="00637FC3"/>
    <w:rsid w:val="00637FF1"/>
    <w:rsid w:val="00637FFC"/>
    <w:rsid w:val="0063F966"/>
    <w:rsid w:val="00640123"/>
    <w:rsid w:val="0064013C"/>
    <w:rsid w:val="00640178"/>
    <w:rsid w:val="006401B5"/>
    <w:rsid w:val="006402B0"/>
    <w:rsid w:val="006402C5"/>
    <w:rsid w:val="006402D2"/>
    <w:rsid w:val="006402E5"/>
    <w:rsid w:val="006402F2"/>
    <w:rsid w:val="00640304"/>
    <w:rsid w:val="0064035A"/>
    <w:rsid w:val="00640364"/>
    <w:rsid w:val="00640377"/>
    <w:rsid w:val="006403EF"/>
    <w:rsid w:val="0064041B"/>
    <w:rsid w:val="00640425"/>
    <w:rsid w:val="00640437"/>
    <w:rsid w:val="00640455"/>
    <w:rsid w:val="006404AD"/>
    <w:rsid w:val="0064050C"/>
    <w:rsid w:val="00640548"/>
    <w:rsid w:val="0064057C"/>
    <w:rsid w:val="00640639"/>
    <w:rsid w:val="0064067B"/>
    <w:rsid w:val="006406A1"/>
    <w:rsid w:val="006406EE"/>
    <w:rsid w:val="00640704"/>
    <w:rsid w:val="0064078E"/>
    <w:rsid w:val="006407B6"/>
    <w:rsid w:val="006407EA"/>
    <w:rsid w:val="0064081F"/>
    <w:rsid w:val="006408C5"/>
    <w:rsid w:val="006408F4"/>
    <w:rsid w:val="00640945"/>
    <w:rsid w:val="006409AE"/>
    <w:rsid w:val="006409E6"/>
    <w:rsid w:val="00640A03"/>
    <w:rsid w:val="00640AAA"/>
    <w:rsid w:val="00640AEB"/>
    <w:rsid w:val="00640B35"/>
    <w:rsid w:val="00640B5B"/>
    <w:rsid w:val="00640B77"/>
    <w:rsid w:val="00640BC3"/>
    <w:rsid w:val="00640BD3"/>
    <w:rsid w:val="00640BD9"/>
    <w:rsid w:val="00640C4F"/>
    <w:rsid w:val="00640CDA"/>
    <w:rsid w:val="00640D02"/>
    <w:rsid w:val="00640D0A"/>
    <w:rsid w:val="00640D14"/>
    <w:rsid w:val="00640D4C"/>
    <w:rsid w:val="00640D73"/>
    <w:rsid w:val="00640E77"/>
    <w:rsid w:val="00640E84"/>
    <w:rsid w:val="00640E8D"/>
    <w:rsid w:val="00640E8E"/>
    <w:rsid w:val="00640EA2"/>
    <w:rsid w:val="00640EBA"/>
    <w:rsid w:val="00640EC8"/>
    <w:rsid w:val="00640EDA"/>
    <w:rsid w:val="00640EF6"/>
    <w:rsid w:val="00640F72"/>
    <w:rsid w:val="00640F88"/>
    <w:rsid w:val="00640FB1"/>
    <w:rsid w:val="00640FC2"/>
    <w:rsid w:val="00640FF2"/>
    <w:rsid w:val="00641016"/>
    <w:rsid w:val="00641054"/>
    <w:rsid w:val="00641093"/>
    <w:rsid w:val="006410FC"/>
    <w:rsid w:val="00641115"/>
    <w:rsid w:val="0064115D"/>
    <w:rsid w:val="0064119C"/>
    <w:rsid w:val="006411DF"/>
    <w:rsid w:val="006411EC"/>
    <w:rsid w:val="006412A0"/>
    <w:rsid w:val="006412B3"/>
    <w:rsid w:val="006412DA"/>
    <w:rsid w:val="00641371"/>
    <w:rsid w:val="00641393"/>
    <w:rsid w:val="006413D7"/>
    <w:rsid w:val="006413F8"/>
    <w:rsid w:val="00641404"/>
    <w:rsid w:val="0064141C"/>
    <w:rsid w:val="00641432"/>
    <w:rsid w:val="0064143D"/>
    <w:rsid w:val="00641482"/>
    <w:rsid w:val="006414BE"/>
    <w:rsid w:val="006414E8"/>
    <w:rsid w:val="00641550"/>
    <w:rsid w:val="00641628"/>
    <w:rsid w:val="00641641"/>
    <w:rsid w:val="00641647"/>
    <w:rsid w:val="00641699"/>
    <w:rsid w:val="006416FA"/>
    <w:rsid w:val="00641704"/>
    <w:rsid w:val="00641716"/>
    <w:rsid w:val="00641723"/>
    <w:rsid w:val="00641733"/>
    <w:rsid w:val="00641786"/>
    <w:rsid w:val="00641789"/>
    <w:rsid w:val="00641844"/>
    <w:rsid w:val="00641888"/>
    <w:rsid w:val="0064188B"/>
    <w:rsid w:val="00641930"/>
    <w:rsid w:val="006419AF"/>
    <w:rsid w:val="006419B2"/>
    <w:rsid w:val="006419DF"/>
    <w:rsid w:val="00641A7C"/>
    <w:rsid w:val="00641AA4"/>
    <w:rsid w:val="00641AC8"/>
    <w:rsid w:val="00641B1F"/>
    <w:rsid w:val="00641B32"/>
    <w:rsid w:val="00641B3A"/>
    <w:rsid w:val="00641B5D"/>
    <w:rsid w:val="00641BC2"/>
    <w:rsid w:val="00641BC3"/>
    <w:rsid w:val="00641C06"/>
    <w:rsid w:val="00641C7B"/>
    <w:rsid w:val="00641CB0"/>
    <w:rsid w:val="00641CCD"/>
    <w:rsid w:val="00641CE7"/>
    <w:rsid w:val="00641CF6"/>
    <w:rsid w:val="00641D20"/>
    <w:rsid w:val="00641D34"/>
    <w:rsid w:val="00641D9F"/>
    <w:rsid w:val="00641DD0"/>
    <w:rsid w:val="00641E60"/>
    <w:rsid w:val="00641E78"/>
    <w:rsid w:val="00641EA1"/>
    <w:rsid w:val="00641EC3"/>
    <w:rsid w:val="00641EF9"/>
    <w:rsid w:val="00641EFC"/>
    <w:rsid w:val="00641F09"/>
    <w:rsid w:val="00641F29"/>
    <w:rsid w:val="00641F75"/>
    <w:rsid w:val="00641FA7"/>
    <w:rsid w:val="00642034"/>
    <w:rsid w:val="0064207A"/>
    <w:rsid w:val="00642101"/>
    <w:rsid w:val="00642138"/>
    <w:rsid w:val="0064214A"/>
    <w:rsid w:val="0064217A"/>
    <w:rsid w:val="006421A5"/>
    <w:rsid w:val="006421D1"/>
    <w:rsid w:val="006421E3"/>
    <w:rsid w:val="0064220A"/>
    <w:rsid w:val="00642226"/>
    <w:rsid w:val="00642229"/>
    <w:rsid w:val="0064225F"/>
    <w:rsid w:val="00642263"/>
    <w:rsid w:val="006422A2"/>
    <w:rsid w:val="006422C2"/>
    <w:rsid w:val="006422D4"/>
    <w:rsid w:val="00642398"/>
    <w:rsid w:val="006423DC"/>
    <w:rsid w:val="006423EF"/>
    <w:rsid w:val="00642400"/>
    <w:rsid w:val="00642435"/>
    <w:rsid w:val="0064247C"/>
    <w:rsid w:val="00642513"/>
    <w:rsid w:val="006425CC"/>
    <w:rsid w:val="006425D6"/>
    <w:rsid w:val="006426A0"/>
    <w:rsid w:val="006426DE"/>
    <w:rsid w:val="006426F7"/>
    <w:rsid w:val="0064285F"/>
    <w:rsid w:val="006428AE"/>
    <w:rsid w:val="006428C0"/>
    <w:rsid w:val="006428E1"/>
    <w:rsid w:val="00642971"/>
    <w:rsid w:val="006429C0"/>
    <w:rsid w:val="00642A57"/>
    <w:rsid w:val="00642A5D"/>
    <w:rsid w:val="00642B36"/>
    <w:rsid w:val="00642B46"/>
    <w:rsid w:val="00642BBD"/>
    <w:rsid w:val="00642BCE"/>
    <w:rsid w:val="00642BE1"/>
    <w:rsid w:val="00642BE6"/>
    <w:rsid w:val="00642C0A"/>
    <w:rsid w:val="00642C0E"/>
    <w:rsid w:val="00642C33"/>
    <w:rsid w:val="00642C5B"/>
    <w:rsid w:val="00642CE5"/>
    <w:rsid w:val="00642D09"/>
    <w:rsid w:val="00642D43"/>
    <w:rsid w:val="00642D9A"/>
    <w:rsid w:val="00642D9D"/>
    <w:rsid w:val="00642DC5"/>
    <w:rsid w:val="00642E0D"/>
    <w:rsid w:val="00642E3D"/>
    <w:rsid w:val="00642E8A"/>
    <w:rsid w:val="00642E8F"/>
    <w:rsid w:val="00642E9E"/>
    <w:rsid w:val="00642ED3"/>
    <w:rsid w:val="00642EFF"/>
    <w:rsid w:val="00642F1D"/>
    <w:rsid w:val="00642F89"/>
    <w:rsid w:val="00642FC8"/>
    <w:rsid w:val="00642FDE"/>
    <w:rsid w:val="00642FE6"/>
    <w:rsid w:val="00643023"/>
    <w:rsid w:val="0064309F"/>
    <w:rsid w:val="00643111"/>
    <w:rsid w:val="00643169"/>
    <w:rsid w:val="0064316B"/>
    <w:rsid w:val="006431C6"/>
    <w:rsid w:val="006431E7"/>
    <w:rsid w:val="00643200"/>
    <w:rsid w:val="0064321B"/>
    <w:rsid w:val="00643224"/>
    <w:rsid w:val="00643260"/>
    <w:rsid w:val="00643282"/>
    <w:rsid w:val="006432AC"/>
    <w:rsid w:val="006432C7"/>
    <w:rsid w:val="006432D8"/>
    <w:rsid w:val="006432DB"/>
    <w:rsid w:val="006432FE"/>
    <w:rsid w:val="0064332E"/>
    <w:rsid w:val="00643335"/>
    <w:rsid w:val="0064333D"/>
    <w:rsid w:val="0064334F"/>
    <w:rsid w:val="00643382"/>
    <w:rsid w:val="0064341C"/>
    <w:rsid w:val="0064348B"/>
    <w:rsid w:val="006434DA"/>
    <w:rsid w:val="00643547"/>
    <w:rsid w:val="00643556"/>
    <w:rsid w:val="0064357C"/>
    <w:rsid w:val="00643595"/>
    <w:rsid w:val="006435B6"/>
    <w:rsid w:val="006435BE"/>
    <w:rsid w:val="006435E1"/>
    <w:rsid w:val="00643645"/>
    <w:rsid w:val="0064364D"/>
    <w:rsid w:val="00643682"/>
    <w:rsid w:val="006436BE"/>
    <w:rsid w:val="006436C5"/>
    <w:rsid w:val="00643715"/>
    <w:rsid w:val="006437F7"/>
    <w:rsid w:val="00643857"/>
    <w:rsid w:val="00643875"/>
    <w:rsid w:val="00643910"/>
    <w:rsid w:val="00643911"/>
    <w:rsid w:val="00643927"/>
    <w:rsid w:val="00643934"/>
    <w:rsid w:val="00643973"/>
    <w:rsid w:val="006439CE"/>
    <w:rsid w:val="006439EE"/>
    <w:rsid w:val="00643A0F"/>
    <w:rsid w:val="00643A57"/>
    <w:rsid w:val="00643AA5"/>
    <w:rsid w:val="00643B78"/>
    <w:rsid w:val="00643C1A"/>
    <w:rsid w:val="00643C1C"/>
    <w:rsid w:val="00643C47"/>
    <w:rsid w:val="00643CC4"/>
    <w:rsid w:val="00643CEA"/>
    <w:rsid w:val="00643D42"/>
    <w:rsid w:val="00643D91"/>
    <w:rsid w:val="00643DF0"/>
    <w:rsid w:val="00643E29"/>
    <w:rsid w:val="00643E47"/>
    <w:rsid w:val="00643E51"/>
    <w:rsid w:val="00643E71"/>
    <w:rsid w:val="00643E80"/>
    <w:rsid w:val="00643E8A"/>
    <w:rsid w:val="00643EB0"/>
    <w:rsid w:val="00643EBC"/>
    <w:rsid w:val="00643ECF"/>
    <w:rsid w:val="00643ED2"/>
    <w:rsid w:val="00643EE5"/>
    <w:rsid w:val="00643F64"/>
    <w:rsid w:val="00643F77"/>
    <w:rsid w:val="00643FBA"/>
    <w:rsid w:val="00643FD8"/>
    <w:rsid w:val="00643FF8"/>
    <w:rsid w:val="00644012"/>
    <w:rsid w:val="00644033"/>
    <w:rsid w:val="00644074"/>
    <w:rsid w:val="00644079"/>
    <w:rsid w:val="00644088"/>
    <w:rsid w:val="00644134"/>
    <w:rsid w:val="0064417E"/>
    <w:rsid w:val="006441D6"/>
    <w:rsid w:val="006441D8"/>
    <w:rsid w:val="006441FD"/>
    <w:rsid w:val="0064422A"/>
    <w:rsid w:val="006442A9"/>
    <w:rsid w:val="006442BE"/>
    <w:rsid w:val="00644309"/>
    <w:rsid w:val="006443A3"/>
    <w:rsid w:val="006443A5"/>
    <w:rsid w:val="0064445A"/>
    <w:rsid w:val="0064449A"/>
    <w:rsid w:val="006444C1"/>
    <w:rsid w:val="006444F0"/>
    <w:rsid w:val="00644554"/>
    <w:rsid w:val="00644585"/>
    <w:rsid w:val="006445CA"/>
    <w:rsid w:val="00644663"/>
    <w:rsid w:val="0064466C"/>
    <w:rsid w:val="00644686"/>
    <w:rsid w:val="006446D4"/>
    <w:rsid w:val="006446DB"/>
    <w:rsid w:val="00644709"/>
    <w:rsid w:val="0064470A"/>
    <w:rsid w:val="0064471E"/>
    <w:rsid w:val="00644795"/>
    <w:rsid w:val="006447CC"/>
    <w:rsid w:val="006447E8"/>
    <w:rsid w:val="006447FE"/>
    <w:rsid w:val="00644844"/>
    <w:rsid w:val="0064485D"/>
    <w:rsid w:val="006448C9"/>
    <w:rsid w:val="0064490C"/>
    <w:rsid w:val="006449BD"/>
    <w:rsid w:val="00644A45"/>
    <w:rsid w:val="00644A47"/>
    <w:rsid w:val="00644AE6"/>
    <w:rsid w:val="00644B08"/>
    <w:rsid w:val="00644B2A"/>
    <w:rsid w:val="00644B44"/>
    <w:rsid w:val="00644B6B"/>
    <w:rsid w:val="00644B76"/>
    <w:rsid w:val="00644BC1"/>
    <w:rsid w:val="00644C17"/>
    <w:rsid w:val="00644C21"/>
    <w:rsid w:val="00644C68"/>
    <w:rsid w:val="00644C9A"/>
    <w:rsid w:val="00644CBE"/>
    <w:rsid w:val="00644CF3"/>
    <w:rsid w:val="00644D42"/>
    <w:rsid w:val="00644D77"/>
    <w:rsid w:val="00644DBD"/>
    <w:rsid w:val="00644DD8"/>
    <w:rsid w:val="00644DE1"/>
    <w:rsid w:val="00644EB8"/>
    <w:rsid w:val="00644EE4"/>
    <w:rsid w:val="00644EF0"/>
    <w:rsid w:val="00644F2F"/>
    <w:rsid w:val="00644F4A"/>
    <w:rsid w:val="00644F61"/>
    <w:rsid w:val="00644F7C"/>
    <w:rsid w:val="00644FB3"/>
    <w:rsid w:val="0064502B"/>
    <w:rsid w:val="0064504A"/>
    <w:rsid w:val="006450C8"/>
    <w:rsid w:val="006450CE"/>
    <w:rsid w:val="006450FE"/>
    <w:rsid w:val="00645108"/>
    <w:rsid w:val="00645114"/>
    <w:rsid w:val="00645125"/>
    <w:rsid w:val="00645148"/>
    <w:rsid w:val="00645152"/>
    <w:rsid w:val="00645160"/>
    <w:rsid w:val="0064516A"/>
    <w:rsid w:val="006451B3"/>
    <w:rsid w:val="0064521C"/>
    <w:rsid w:val="00645229"/>
    <w:rsid w:val="0064522C"/>
    <w:rsid w:val="00645236"/>
    <w:rsid w:val="006452B3"/>
    <w:rsid w:val="006452C1"/>
    <w:rsid w:val="006452E6"/>
    <w:rsid w:val="00645335"/>
    <w:rsid w:val="0064538A"/>
    <w:rsid w:val="006453D8"/>
    <w:rsid w:val="00645423"/>
    <w:rsid w:val="00645431"/>
    <w:rsid w:val="00645495"/>
    <w:rsid w:val="006454AF"/>
    <w:rsid w:val="006454EF"/>
    <w:rsid w:val="00645502"/>
    <w:rsid w:val="00645580"/>
    <w:rsid w:val="006455F4"/>
    <w:rsid w:val="00645689"/>
    <w:rsid w:val="00645690"/>
    <w:rsid w:val="006456C2"/>
    <w:rsid w:val="006456E5"/>
    <w:rsid w:val="006456F1"/>
    <w:rsid w:val="006456FC"/>
    <w:rsid w:val="006456FF"/>
    <w:rsid w:val="0064574D"/>
    <w:rsid w:val="00645813"/>
    <w:rsid w:val="0064585B"/>
    <w:rsid w:val="006458BB"/>
    <w:rsid w:val="0064592F"/>
    <w:rsid w:val="0064596D"/>
    <w:rsid w:val="00645972"/>
    <w:rsid w:val="006459B7"/>
    <w:rsid w:val="006459FF"/>
    <w:rsid w:val="00645A6A"/>
    <w:rsid w:val="00645A71"/>
    <w:rsid w:val="00645AAB"/>
    <w:rsid w:val="00645AF8"/>
    <w:rsid w:val="00645B29"/>
    <w:rsid w:val="00645B32"/>
    <w:rsid w:val="00645B7F"/>
    <w:rsid w:val="00645C20"/>
    <w:rsid w:val="00645C3A"/>
    <w:rsid w:val="00645C87"/>
    <w:rsid w:val="00645D05"/>
    <w:rsid w:val="00645D2C"/>
    <w:rsid w:val="00645D4D"/>
    <w:rsid w:val="00645DA0"/>
    <w:rsid w:val="00645DB2"/>
    <w:rsid w:val="00645DDC"/>
    <w:rsid w:val="00645E95"/>
    <w:rsid w:val="00645E96"/>
    <w:rsid w:val="00645E9D"/>
    <w:rsid w:val="00645ECD"/>
    <w:rsid w:val="00645ECF"/>
    <w:rsid w:val="00645F53"/>
    <w:rsid w:val="00645F66"/>
    <w:rsid w:val="00645F7A"/>
    <w:rsid w:val="00645F7E"/>
    <w:rsid w:val="00645FF1"/>
    <w:rsid w:val="00646014"/>
    <w:rsid w:val="0064607C"/>
    <w:rsid w:val="0064609D"/>
    <w:rsid w:val="006460B8"/>
    <w:rsid w:val="00646107"/>
    <w:rsid w:val="006461DA"/>
    <w:rsid w:val="0064622F"/>
    <w:rsid w:val="00646240"/>
    <w:rsid w:val="006462C5"/>
    <w:rsid w:val="0064633B"/>
    <w:rsid w:val="006463CC"/>
    <w:rsid w:val="006463D1"/>
    <w:rsid w:val="0064646B"/>
    <w:rsid w:val="0064648A"/>
    <w:rsid w:val="00646490"/>
    <w:rsid w:val="00646494"/>
    <w:rsid w:val="006464A4"/>
    <w:rsid w:val="006464EC"/>
    <w:rsid w:val="00646524"/>
    <w:rsid w:val="00646533"/>
    <w:rsid w:val="006465A7"/>
    <w:rsid w:val="006465C0"/>
    <w:rsid w:val="006465E0"/>
    <w:rsid w:val="006465E9"/>
    <w:rsid w:val="006465F2"/>
    <w:rsid w:val="00646634"/>
    <w:rsid w:val="00646672"/>
    <w:rsid w:val="00646750"/>
    <w:rsid w:val="006467BE"/>
    <w:rsid w:val="006467DB"/>
    <w:rsid w:val="00646808"/>
    <w:rsid w:val="0064680D"/>
    <w:rsid w:val="00646849"/>
    <w:rsid w:val="00646855"/>
    <w:rsid w:val="0064688B"/>
    <w:rsid w:val="0064688D"/>
    <w:rsid w:val="0064688E"/>
    <w:rsid w:val="00646892"/>
    <w:rsid w:val="006468D8"/>
    <w:rsid w:val="00646917"/>
    <w:rsid w:val="00646946"/>
    <w:rsid w:val="00646953"/>
    <w:rsid w:val="006469A1"/>
    <w:rsid w:val="006469AA"/>
    <w:rsid w:val="006469AB"/>
    <w:rsid w:val="00646A37"/>
    <w:rsid w:val="00646A92"/>
    <w:rsid w:val="00646A93"/>
    <w:rsid w:val="00646A98"/>
    <w:rsid w:val="00646AF6"/>
    <w:rsid w:val="00646AFE"/>
    <w:rsid w:val="00646B25"/>
    <w:rsid w:val="00646B34"/>
    <w:rsid w:val="00646B50"/>
    <w:rsid w:val="00646B90"/>
    <w:rsid w:val="00646BCB"/>
    <w:rsid w:val="00646BF9"/>
    <w:rsid w:val="00646C46"/>
    <w:rsid w:val="00646D46"/>
    <w:rsid w:val="00646D67"/>
    <w:rsid w:val="00646D98"/>
    <w:rsid w:val="00646D9C"/>
    <w:rsid w:val="00646E2E"/>
    <w:rsid w:val="00646E86"/>
    <w:rsid w:val="00646EC6"/>
    <w:rsid w:val="00646EE8"/>
    <w:rsid w:val="00646F57"/>
    <w:rsid w:val="00646FA0"/>
    <w:rsid w:val="00646FA7"/>
    <w:rsid w:val="00647004"/>
    <w:rsid w:val="00647041"/>
    <w:rsid w:val="00647073"/>
    <w:rsid w:val="006470C4"/>
    <w:rsid w:val="006470D1"/>
    <w:rsid w:val="006470F6"/>
    <w:rsid w:val="006470FF"/>
    <w:rsid w:val="00647158"/>
    <w:rsid w:val="0064716B"/>
    <w:rsid w:val="006471A1"/>
    <w:rsid w:val="006471D5"/>
    <w:rsid w:val="006471E4"/>
    <w:rsid w:val="006471E7"/>
    <w:rsid w:val="006471EB"/>
    <w:rsid w:val="00647228"/>
    <w:rsid w:val="00647260"/>
    <w:rsid w:val="00647274"/>
    <w:rsid w:val="0064728B"/>
    <w:rsid w:val="006472BE"/>
    <w:rsid w:val="006472FB"/>
    <w:rsid w:val="00647380"/>
    <w:rsid w:val="006473D9"/>
    <w:rsid w:val="006473E3"/>
    <w:rsid w:val="00647451"/>
    <w:rsid w:val="00647454"/>
    <w:rsid w:val="0064746C"/>
    <w:rsid w:val="00647472"/>
    <w:rsid w:val="006474AD"/>
    <w:rsid w:val="00647556"/>
    <w:rsid w:val="00647559"/>
    <w:rsid w:val="006475C5"/>
    <w:rsid w:val="006476D5"/>
    <w:rsid w:val="006476FC"/>
    <w:rsid w:val="0064772B"/>
    <w:rsid w:val="0064773A"/>
    <w:rsid w:val="00647746"/>
    <w:rsid w:val="006477B8"/>
    <w:rsid w:val="006477C9"/>
    <w:rsid w:val="006477F2"/>
    <w:rsid w:val="006477F3"/>
    <w:rsid w:val="00647824"/>
    <w:rsid w:val="0064782E"/>
    <w:rsid w:val="00647843"/>
    <w:rsid w:val="006478CC"/>
    <w:rsid w:val="00647934"/>
    <w:rsid w:val="00647950"/>
    <w:rsid w:val="00647978"/>
    <w:rsid w:val="0064797D"/>
    <w:rsid w:val="00647A0F"/>
    <w:rsid w:val="00647A80"/>
    <w:rsid w:val="00647A90"/>
    <w:rsid w:val="00647B57"/>
    <w:rsid w:val="00647B6A"/>
    <w:rsid w:val="00647B84"/>
    <w:rsid w:val="00647BD8"/>
    <w:rsid w:val="00647BDF"/>
    <w:rsid w:val="00647BEA"/>
    <w:rsid w:val="00647BEE"/>
    <w:rsid w:val="00647C17"/>
    <w:rsid w:val="00647C23"/>
    <w:rsid w:val="00647C52"/>
    <w:rsid w:val="00647C8B"/>
    <w:rsid w:val="00647C93"/>
    <w:rsid w:val="00647CA0"/>
    <w:rsid w:val="00647CA7"/>
    <w:rsid w:val="00647CAA"/>
    <w:rsid w:val="00647D00"/>
    <w:rsid w:val="00647D11"/>
    <w:rsid w:val="00647DE2"/>
    <w:rsid w:val="00647E16"/>
    <w:rsid w:val="00647E44"/>
    <w:rsid w:val="00647E47"/>
    <w:rsid w:val="00647EBC"/>
    <w:rsid w:val="00647F00"/>
    <w:rsid w:val="00647F12"/>
    <w:rsid w:val="00647F2F"/>
    <w:rsid w:val="00647F38"/>
    <w:rsid w:val="00647F3D"/>
    <w:rsid w:val="00647FAE"/>
    <w:rsid w:val="00647FB4"/>
    <w:rsid w:val="0064B660"/>
    <w:rsid w:val="0064D736"/>
    <w:rsid w:val="00650074"/>
    <w:rsid w:val="0065007E"/>
    <w:rsid w:val="00650081"/>
    <w:rsid w:val="00650129"/>
    <w:rsid w:val="0065014F"/>
    <w:rsid w:val="00650157"/>
    <w:rsid w:val="00650181"/>
    <w:rsid w:val="00650193"/>
    <w:rsid w:val="006501B9"/>
    <w:rsid w:val="006501DB"/>
    <w:rsid w:val="0065020D"/>
    <w:rsid w:val="00650216"/>
    <w:rsid w:val="00650236"/>
    <w:rsid w:val="0065024B"/>
    <w:rsid w:val="00650258"/>
    <w:rsid w:val="0065026C"/>
    <w:rsid w:val="00650273"/>
    <w:rsid w:val="006502F4"/>
    <w:rsid w:val="00650329"/>
    <w:rsid w:val="00650337"/>
    <w:rsid w:val="00650346"/>
    <w:rsid w:val="00650357"/>
    <w:rsid w:val="006503BE"/>
    <w:rsid w:val="00650430"/>
    <w:rsid w:val="006504A4"/>
    <w:rsid w:val="006504A7"/>
    <w:rsid w:val="0065054F"/>
    <w:rsid w:val="00650558"/>
    <w:rsid w:val="0065055C"/>
    <w:rsid w:val="00650572"/>
    <w:rsid w:val="00650589"/>
    <w:rsid w:val="0065059C"/>
    <w:rsid w:val="006505BA"/>
    <w:rsid w:val="006505C8"/>
    <w:rsid w:val="006505DE"/>
    <w:rsid w:val="00650603"/>
    <w:rsid w:val="00650637"/>
    <w:rsid w:val="0065064B"/>
    <w:rsid w:val="00650678"/>
    <w:rsid w:val="006506A9"/>
    <w:rsid w:val="006506CA"/>
    <w:rsid w:val="006506E0"/>
    <w:rsid w:val="006506F0"/>
    <w:rsid w:val="0065070C"/>
    <w:rsid w:val="0065072F"/>
    <w:rsid w:val="006507B5"/>
    <w:rsid w:val="006507B6"/>
    <w:rsid w:val="006507D2"/>
    <w:rsid w:val="006507DB"/>
    <w:rsid w:val="00650805"/>
    <w:rsid w:val="0065081C"/>
    <w:rsid w:val="0065085B"/>
    <w:rsid w:val="00650882"/>
    <w:rsid w:val="00650883"/>
    <w:rsid w:val="006509AB"/>
    <w:rsid w:val="006509D7"/>
    <w:rsid w:val="006509F0"/>
    <w:rsid w:val="00650AC5"/>
    <w:rsid w:val="00650AEE"/>
    <w:rsid w:val="00650B41"/>
    <w:rsid w:val="00650B51"/>
    <w:rsid w:val="00650B81"/>
    <w:rsid w:val="00650C07"/>
    <w:rsid w:val="00650C76"/>
    <w:rsid w:val="00650D0A"/>
    <w:rsid w:val="00650D5D"/>
    <w:rsid w:val="00650D72"/>
    <w:rsid w:val="00650D77"/>
    <w:rsid w:val="00650D7E"/>
    <w:rsid w:val="00650D7F"/>
    <w:rsid w:val="00650DAF"/>
    <w:rsid w:val="00650DB5"/>
    <w:rsid w:val="00650DFB"/>
    <w:rsid w:val="00650E03"/>
    <w:rsid w:val="00650E3D"/>
    <w:rsid w:val="00650E76"/>
    <w:rsid w:val="00650F10"/>
    <w:rsid w:val="00650F2C"/>
    <w:rsid w:val="00650F39"/>
    <w:rsid w:val="00650F6F"/>
    <w:rsid w:val="00650F8F"/>
    <w:rsid w:val="00650F95"/>
    <w:rsid w:val="00650FC1"/>
    <w:rsid w:val="00650FE4"/>
    <w:rsid w:val="00651009"/>
    <w:rsid w:val="0065103D"/>
    <w:rsid w:val="00651048"/>
    <w:rsid w:val="00651093"/>
    <w:rsid w:val="006510B2"/>
    <w:rsid w:val="0065110D"/>
    <w:rsid w:val="00651120"/>
    <w:rsid w:val="00651132"/>
    <w:rsid w:val="00651191"/>
    <w:rsid w:val="00651210"/>
    <w:rsid w:val="00651241"/>
    <w:rsid w:val="006512E7"/>
    <w:rsid w:val="00651355"/>
    <w:rsid w:val="00651368"/>
    <w:rsid w:val="00651482"/>
    <w:rsid w:val="00651484"/>
    <w:rsid w:val="0065148B"/>
    <w:rsid w:val="0065148C"/>
    <w:rsid w:val="00651490"/>
    <w:rsid w:val="00651499"/>
    <w:rsid w:val="0065149A"/>
    <w:rsid w:val="006514E4"/>
    <w:rsid w:val="00651509"/>
    <w:rsid w:val="00651514"/>
    <w:rsid w:val="0065153F"/>
    <w:rsid w:val="00651555"/>
    <w:rsid w:val="0065155E"/>
    <w:rsid w:val="00651565"/>
    <w:rsid w:val="00651568"/>
    <w:rsid w:val="006515A0"/>
    <w:rsid w:val="006515B7"/>
    <w:rsid w:val="00651677"/>
    <w:rsid w:val="0065168C"/>
    <w:rsid w:val="0065169C"/>
    <w:rsid w:val="006516BD"/>
    <w:rsid w:val="00651719"/>
    <w:rsid w:val="00651739"/>
    <w:rsid w:val="00651742"/>
    <w:rsid w:val="00651782"/>
    <w:rsid w:val="0065182B"/>
    <w:rsid w:val="0065185F"/>
    <w:rsid w:val="0065186A"/>
    <w:rsid w:val="006518CB"/>
    <w:rsid w:val="0065192D"/>
    <w:rsid w:val="00651971"/>
    <w:rsid w:val="006519CA"/>
    <w:rsid w:val="006519EC"/>
    <w:rsid w:val="00651A20"/>
    <w:rsid w:val="00651A51"/>
    <w:rsid w:val="00651A6B"/>
    <w:rsid w:val="00651AD8"/>
    <w:rsid w:val="00651ADC"/>
    <w:rsid w:val="00651AE9"/>
    <w:rsid w:val="00651AFD"/>
    <w:rsid w:val="00651AFE"/>
    <w:rsid w:val="00651B00"/>
    <w:rsid w:val="00651B22"/>
    <w:rsid w:val="00651BCF"/>
    <w:rsid w:val="00651C2B"/>
    <w:rsid w:val="00651C79"/>
    <w:rsid w:val="00651CDA"/>
    <w:rsid w:val="00651D00"/>
    <w:rsid w:val="00651D01"/>
    <w:rsid w:val="00651D24"/>
    <w:rsid w:val="00651D3A"/>
    <w:rsid w:val="00651D67"/>
    <w:rsid w:val="00651E44"/>
    <w:rsid w:val="00651E88"/>
    <w:rsid w:val="00651F14"/>
    <w:rsid w:val="00651F27"/>
    <w:rsid w:val="00651F40"/>
    <w:rsid w:val="00651F44"/>
    <w:rsid w:val="00651F56"/>
    <w:rsid w:val="00651F84"/>
    <w:rsid w:val="00651FB3"/>
    <w:rsid w:val="00651FBA"/>
    <w:rsid w:val="00651FBD"/>
    <w:rsid w:val="00651FD0"/>
    <w:rsid w:val="00652040"/>
    <w:rsid w:val="00652069"/>
    <w:rsid w:val="006520BF"/>
    <w:rsid w:val="006520C3"/>
    <w:rsid w:val="00652117"/>
    <w:rsid w:val="0065215A"/>
    <w:rsid w:val="00652168"/>
    <w:rsid w:val="00652187"/>
    <w:rsid w:val="00652192"/>
    <w:rsid w:val="006521BB"/>
    <w:rsid w:val="0065227E"/>
    <w:rsid w:val="006522AA"/>
    <w:rsid w:val="006522B4"/>
    <w:rsid w:val="00652306"/>
    <w:rsid w:val="00652323"/>
    <w:rsid w:val="00652354"/>
    <w:rsid w:val="0065239B"/>
    <w:rsid w:val="006523EA"/>
    <w:rsid w:val="00652434"/>
    <w:rsid w:val="00652446"/>
    <w:rsid w:val="00652447"/>
    <w:rsid w:val="00652488"/>
    <w:rsid w:val="006524B9"/>
    <w:rsid w:val="006524C4"/>
    <w:rsid w:val="006524C5"/>
    <w:rsid w:val="00652542"/>
    <w:rsid w:val="00652587"/>
    <w:rsid w:val="0065258E"/>
    <w:rsid w:val="0065260A"/>
    <w:rsid w:val="0065260C"/>
    <w:rsid w:val="00652634"/>
    <w:rsid w:val="00652660"/>
    <w:rsid w:val="0065266A"/>
    <w:rsid w:val="0065267A"/>
    <w:rsid w:val="006526B6"/>
    <w:rsid w:val="006526C6"/>
    <w:rsid w:val="006526D2"/>
    <w:rsid w:val="0065272D"/>
    <w:rsid w:val="00652750"/>
    <w:rsid w:val="00652759"/>
    <w:rsid w:val="00652763"/>
    <w:rsid w:val="006527B2"/>
    <w:rsid w:val="006527E4"/>
    <w:rsid w:val="006527FD"/>
    <w:rsid w:val="00652824"/>
    <w:rsid w:val="00652842"/>
    <w:rsid w:val="00652882"/>
    <w:rsid w:val="0065288E"/>
    <w:rsid w:val="006528AB"/>
    <w:rsid w:val="006528C9"/>
    <w:rsid w:val="00652959"/>
    <w:rsid w:val="006529AF"/>
    <w:rsid w:val="006529B1"/>
    <w:rsid w:val="006529CE"/>
    <w:rsid w:val="00652A0C"/>
    <w:rsid w:val="00652A1C"/>
    <w:rsid w:val="00652A7F"/>
    <w:rsid w:val="00652A92"/>
    <w:rsid w:val="00652AC8"/>
    <w:rsid w:val="00652B72"/>
    <w:rsid w:val="00652B83"/>
    <w:rsid w:val="00652B92"/>
    <w:rsid w:val="00652B93"/>
    <w:rsid w:val="00652BFB"/>
    <w:rsid w:val="00652BFF"/>
    <w:rsid w:val="00652C29"/>
    <w:rsid w:val="00652C32"/>
    <w:rsid w:val="00652D31"/>
    <w:rsid w:val="00652D34"/>
    <w:rsid w:val="00652D43"/>
    <w:rsid w:val="00652D59"/>
    <w:rsid w:val="00652D73"/>
    <w:rsid w:val="00652DC0"/>
    <w:rsid w:val="00652DC7"/>
    <w:rsid w:val="00652DCB"/>
    <w:rsid w:val="00652DF1"/>
    <w:rsid w:val="00652E12"/>
    <w:rsid w:val="00652E5B"/>
    <w:rsid w:val="00652E91"/>
    <w:rsid w:val="00652E9C"/>
    <w:rsid w:val="00652F54"/>
    <w:rsid w:val="00652F95"/>
    <w:rsid w:val="00653049"/>
    <w:rsid w:val="0065305B"/>
    <w:rsid w:val="0065314C"/>
    <w:rsid w:val="006531AE"/>
    <w:rsid w:val="006531AF"/>
    <w:rsid w:val="00653207"/>
    <w:rsid w:val="006532CD"/>
    <w:rsid w:val="006532D3"/>
    <w:rsid w:val="0065330F"/>
    <w:rsid w:val="00653319"/>
    <w:rsid w:val="006533AB"/>
    <w:rsid w:val="006533B3"/>
    <w:rsid w:val="006533D4"/>
    <w:rsid w:val="00653409"/>
    <w:rsid w:val="00653434"/>
    <w:rsid w:val="0065343D"/>
    <w:rsid w:val="00653466"/>
    <w:rsid w:val="0065346E"/>
    <w:rsid w:val="00653478"/>
    <w:rsid w:val="006534A0"/>
    <w:rsid w:val="006534A9"/>
    <w:rsid w:val="006534BE"/>
    <w:rsid w:val="006534EA"/>
    <w:rsid w:val="0065355E"/>
    <w:rsid w:val="00653579"/>
    <w:rsid w:val="006535C6"/>
    <w:rsid w:val="0065360A"/>
    <w:rsid w:val="00653626"/>
    <w:rsid w:val="0065365A"/>
    <w:rsid w:val="006536B3"/>
    <w:rsid w:val="006536C8"/>
    <w:rsid w:val="006536C9"/>
    <w:rsid w:val="00653741"/>
    <w:rsid w:val="0065377F"/>
    <w:rsid w:val="006537C4"/>
    <w:rsid w:val="006537FB"/>
    <w:rsid w:val="00653821"/>
    <w:rsid w:val="006538FB"/>
    <w:rsid w:val="006539B0"/>
    <w:rsid w:val="00653A62"/>
    <w:rsid w:val="00653A7C"/>
    <w:rsid w:val="00653B3F"/>
    <w:rsid w:val="00653B46"/>
    <w:rsid w:val="00653B51"/>
    <w:rsid w:val="00653B61"/>
    <w:rsid w:val="00653B62"/>
    <w:rsid w:val="00653B67"/>
    <w:rsid w:val="00653B85"/>
    <w:rsid w:val="00653B8A"/>
    <w:rsid w:val="00653BD1"/>
    <w:rsid w:val="00653BF5"/>
    <w:rsid w:val="00653C5C"/>
    <w:rsid w:val="00653C7B"/>
    <w:rsid w:val="00653CA9"/>
    <w:rsid w:val="00653D69"/>
    <w:rsid w:val="00653D6E"/>
    <w:rsid w:val="00653DA5"/>
    <w:rsid w:val="00653DFF"/>
    <w:rsid w:val="00653E16"/>
    <w:rsid w:val="00653E53"/>
    <w:rsid w:val="00653E96"/>
    <w:rsid w:val="00653E9A"/>
    <w:rsid w:val="00653F06"/>
    <w:rsid w:val="00653F1F"/>
    <w:rsid w:val="00653F49"/>
    <w:rsid w:val="00653F54"/>
    <w:rsid w:val="00653F8F"/>
    <w:rsid w:val="00653F96"/>
    <w:rsid w:val="00653FA5"/>
    <w:rsid w:val="00653FC5"/>
    <w:rsid w:val="00653FDE"/>
    <w:rsid w:val="00653FE1"/>
    <w:rsid w:val="00654006"/>
    <w:rsid w:val="0065403E"/>
    <w:rsid w:val="00654048"/>
    <w:rsid w:val="00654069"/>
    <w:rsid w:val="00654167"/>
    <w:rsid w:val="006541B1"/>
    <w:rsid w:val="006541B6"/>
    <w:rsid w:val="006541C5"/>
    <w:rsid w:val="006541F1"/>
    <w:rsid w:val="00654254"/>
    <w:rsid w:val="00654280"/>
    <w:rsid w:val="00654286"/>
    <w:rsid w:val="006542C2"/>
    <w:rsid w:val="00654331"/>
    <w:rsid w:val="0065435E"/>
    <w:rsid w:val="0065437C"/>
    <w:rsid w:val="00654388"/>
    <w:rsid w:val="0065439E"/>
    <w:rsid w:val="0065443D"/>
    <w:rsid w:val="0065449A"/>
    <w:rsid w:val="006544FC"/>
    <w:rsid w:val="00654546"/>
    <w:rsid w:val="0065455E"/>
    <w:rsid w:val="00654589"/>
    <w:rsid w:val="006545BE"/>
    <w:rsid w:val="00654601"/>
    <w:rsid w:val="0065464C"/>
    <w:rsid w:val="006546AD"/>
    <w:rsid w:val="006546D0"/>
    <w:rsid w:val="006546ED"/>
    <w:rsid w:val="006547A0"/>
    <w:rsid w:val="006547B0"/>
    <w:rsid w:val="0065480B"/>
    <w:rsid w:val="0065484E"/>
    <w:rsid w:val="00654861"/>
    <w:rsid w:val="0065486D"/>
    <w:rsid w:val="006548EE"/>
    <w:rsid w:val="006548F0"/>
    <w:rsid w:val="0065490D"/>
    <w:rsid w:val="0065490E"/>
    <w:rsid w:val="00654937"/>
    <w:rsid w:val="0065493B"/>
    <w:rsid w:val="00654954"/>
    <w:rsid w:val="00654970"/>
    <w:rsid w:val="006549DB"/>
    <w:rsid w:val="00654A7D"/>
    <w:rsid w:val="00654A8B"/>
    <w:rsid w:val="00654AD8"/>
    <w:rsid w:val="00654AF4"/>
    <w:rsid w:val="00654B32"/>
    <w:rsid w:val="00654B52"/>
    <w:rsid w:val="00654B73"/>
    <w:rsid w:val="00654C07"/>
    <w:rsid w:val="00654C25"/>
    <w:rsid w:val="00654C50"/>
    <w:rsid w:val="00654C63"/>
    <w:rsid w:val="00654C66"/>
    <w:rsid w:val="00654C75"/>
    <w:rsid w:val="00654C8C"/>
    <w:rsid w:val="00654CE2"/>
    <w:rsid w:val="00654DBC"/>
    <w:rsid w:val="00654DBD"/>
    <w:rsid w:val="00654DD4"/>
    <w:rsid w:val="00654E4E"/>
    <w:rsid w:val="00654E5F"/>
    <w:rsid w:val="00654E6D"/>
    <w:rsid w:val="00654EB2"/>
    <w:rsid w:val="00654F18"/>
    <w:rsid w:val="00654F28"/>
    <w:rsid w:val="00654F30"/>
    <w:rsid w:val="00654FBF"/>
    <w:rsid w:val="00654FCE"/>
    <w:rsid w:val="0065509A"/>
    <w:rsid w:val="0065513F"/>
    <w:rsid w:val="00655142"/>
    <w:rsid w:val="006551C3"/>
    <w:rsid w:val="006551CA"/>
    <w:rsid w:val="006551EC"/>
    <w:rsid w:val="00655291"/>
    <w:rsid w:val="006552C9"/>
    <w:rsid w:val="006552F5"/>
    <w:rsid w:val="00655306"/>
    <w:rsid w:val="0065535A"/>
    <w:rsid w:val="00655382"/>
    <w:rsid w:val="00655397"/>
    <w:rsid w:val="0065541D"/>
    <w:rsid w:val="0065546D"/>
    <w:rsid w:val="0065547E"/>
    <w:rsid w:val="00655491"/>
    <w:rsid w:val="006554C6"/>
    <w:rsid w:val="0065558E"/>
    <w:rsid w:val="0065562B"/>
    <w:rsid w:val="0065564B"/>
    <w:rsid w:val="00655674"/>
    <w:rsid w:val="006556B6"/>
    <w:rsid w:val="006556FB"/>
    <w:rsid w:val="00655711"/>
    <w:rsid w:val="00655734"/>
    <w:rsid w:val="0065574F"/>
    <w:rsid w:val="00655797"/>
    <w:rsid w:val="0065579D"/>
    <w:rsid w:val="006557C5"/>
    <w:rsid w:val="006557ED"/>
    <w:rsid w:val="006557F1"/>
    <w:rsid w:val="006557FF"/>
    <w:rsid w:val="0065584C"/>
    <w:rsid w:val="0065585F"/>
    <w:rsid w:val="006558BA"/>
    <w:rsid w:val="006558DC"/>
    <w:rsid w:val="006558F9"/>
    <w:rsid w:val="006559EF"/>
    <w:rsid w:val="006559F5"/>
    <w:rsid w:val="00655A3C"/>
    <w:rsid w:val="00655A67"/>
    <w:rsid w:val="00655A83"/>
    <w:rsid w:val="00655A99"/>
    <w:rsid w:val="00655A9C"/>
    <w:rsid w:val="00655B43"/>
    <w:rsid w:val="00655B81"/>
    <w:rsid w:val="00655BFD"/>
    <w:rsid w:val="00655C45"/>
    <w:rsid w:val="00655C6F"/>
    <w:rsid w:val="00655CDD"/>
    <w:rsid w:val="00655D40"/>
    <w:rsid w:val="00655D85"/>
    <w:rsid w:val="00655DC9"/>
    <w:rsid w:val="00655DE6"/>
    <w:rsid w:val="00655E23"/>
    <w:rsid w:val="00655E4D"/>
    <w:rsid w:val="00655E4E"/>
    <w:rsid w:val="00655EA6"/>
    <w:rsid w:val="00655F00"/>
    <w:rsid w:val="00655F39"/>
    <w:rsid w:val="00655F62"/>
    <w:rsid w:val="00655FA2"/>
    <w:rsid w:val="00655FED"/>
    <w:rsid w:val="00656054"/>
    <w:rsid w:val="00656057"/>
    <w:rsid w:val="0065605E"/>
    <w:rsid w:val="006560CD"/>
    <w:rsid w:val="0065611A"/>
    <w:rsid w:val="00656196"/>
    <w:rsid w:val="006561D8"/>
    <w:rsid w:val="006561F7"/>
    <w:rsid w:val="006561FE"/>
    <w:rsid w:val="0065622A"/>
    <w:rsid w:val="0065623A"/>
    <w:rsid w:val="0065629F"/>
    <w:rsid w:val="006562BE"/>
    <w:rsid w:val="00656308"/>
    <w:rsid w:val="0065632D"/>
    <w:rsid w:val="00656349"/>
    <w:rsid w:val="0065635C"/>
    <w:rsid w:val="0065637A"/>
    <w:rsid w:val="0065637D"/>
    <w:rsid w:val="006563CC"/>
    <w:rsid w:val="006563EB"/>
    <w:rsid w:val="006563EC"/>
    <w:rsid w:val="00656460"/>
    <w:rsid w:val="0065649E"/>
    <w:rsid w:val="00656528"/>
    <w:rsid w:val="0065655F"/>
    <w:rsid w:val="0065656D"/>
    <w:rsid w:val="0065657B"/>
    <w:rsid w:val="006565C4"/>
    <w:rsid w:val="00656617"/>
    <w:rsid w:val="0065661A"/>
    <w:rsid w:val="00656627"/>
    <w:rsid w:val="0065663D"/>
    <w:rsid w:val="00656664"/>
    <w:rsid w:val="00656665"/>
    <w:rsid w:val="006566A3"/>
    <w:rsid w:val="006566A5"/>
    <w:rsid w:val="006566AD"/>
    <w:rsid w:val="006566C7"/>
    <w:rsid w:val="006566EF"/>
    <w:rsid w:val="00656707"/>
    <w:rsid w:val="00656712"/>
    <w:rsid w:val="006567AB"/>
    <w:rsid w:val="006567C5"/>
    <w:rsid w:val="0065684F"/>
    <w:rsid w:val="0065685C"/>
    <w:rsid w:val="00656872"/>
    <w:rsid w:val="00656885"/>
    <w:rsid w:val="00656954"/>
    <w:rsid w:val="00656958"/>
    <w:rsid w:val="00656971"/>
    <w:rsid w:val="00656972"/>
    <w:rsid w:val="006569EE"/>
    <w:rsid w:val="00656A05"/>
    <w:rsid w:val="00656A24"/>
    <w:rsid w:val="00656A73"/>
    <w:rsid w:val="00656A7E"/>
    <w:rsid w:val="00656A97"/>
    <w:rsid w:val="00656AA1"/>
    <w:rsid w:val="00656AC3"/>
    <w:rsid w:val="00656AEE"/>
    <w:rsid w:val="00656B2B"/>
    <w:rsid w:val="00656B2C"/>
    <w:rsid w:val="00656B34"/>
    <w:rsid w:val="00656B49"/>
    <w:rsid w:val="00656C10"/>
    <w:rsid w:val="00656C2E"/>
    <w:rsid w:val="00656C56"/>
    <w:rsid w:val="00656C57"/>
    <w:rsid w:val="00656CF9"/>
    <w:rsid w:val="00656D04"/>
    <w:rsid w:val="00656D56"/>
    <w:rsid w:val="00656D84"/>
    <w:rsid w:val="00656D94"/>
    <w:rsid w:val="00656D97"/>
    <w:rsid w:val="00656DB0"/>
    <w:rsid w:val="00656DE9"/>
    <w:rsid w:val="00656E16"/>
    <w:rsid w:val="00656E7F"/>
    <w:rsid w:val="00656EB5"/>
    <w:rsid w:val="00656EE1"/>
    <w:rsid w:val="00656EE2"/>
    <w:rsid w:val="00656EE7"/>
    <w:rsid w:val="00656EF5"/>
    <w:rsid w:val="00656F1C"/>
    <w:rsid w:val="00656F4E"/>
    <w:rsid w:val="00656FDF"/>
    <w:rsid w:val="00657007"/>
    <w:rsid w:val="0065703C"/>
    <w:rsid w:val="00657076"/>
    <w:rsid w:val="00657111"/>
    <w:rsid w:val="0065711F"/>
    <w:rsid w:val="00657147"/>
    <w:rsid w:val="00657162"/>
    <w:rsid w:val="00657172"/>
    <w:rsid w:val="006571E9"/>
    <w:rsid w:val="0065724E"/>
    <w:rsid w:val="00657263"/>
    <w:rsid w:val="0065727C"/>
    <w:rsid w:val="006572CA"/>
    <w:rsid w:val="006572F3"/>
    <w:rsid w:val="006572F9"/>
    <w:rsid w:val="006572FA"/>
    <w:rsid w:val="00657309"/>
    <w:rsid w:val="00657334"/>
    <w:rsid w:val="00657343"/>
    <w:rsid w:val="006573C5"/>
    <w:rsid w:val="006573D4"/>
    <w:rsid w:val="006573EC"/>
    <w:rsid w:val="0065744B"/>
    <w:rsid w:val="00657468"/>
    <w:rsid w:val="00657473"/>
    <w:rsid w:val="00657491"/>
    <w:rsid w:val="006574AF"/>
    <w:rsid w:val="006574DA"/>
    <w:rsid w:val="0065751D"/>
    <w:rsid w:val="00657524"/>
    <w:rsid w:val="00657572"/>
    <w:rsid w:val="00657590"/>
    <w:rsid w:val="006575AA"/>
    <w:rsid w:val="006576AD"/>
    <w:rsid w:val="00657706"/>
    <w:rsid w:val="00657710"/>
    <w:rsid w:val="0065771A"/>
    <w:rsid w:val="00657780"/>
    <w:rsid w:val="006577AE"/>
    <w:rsid w:val="006577D6"/>
    <w:rsid w:val="00657836"/>
    <w:rsid w:val="00657838"/>
    <w:rsid w:val="0065785E"/>
    <w:rsid w:val="0065787D"/>
    <w:rsid w:val="00657884"/>
    <w:rsid w:val="006578AB"/>
    <w:rsid w:val="006578E0"/>
    <w:rsid w:val="00657943"/>
    <w:rsid w:val="00657988"/>
    <w:rsid w:val="006579B0"/>
    <w:rsid w:val="006579D4"/>
    <w:rsid w:val="00657A35"/>
    <w:rsid w:val="00657A49"/>
    <w:rsid w:val="00657A52"/>
    <w:rsid w:val="00657A83"/>
    <w:rsid w:val="00657A91"/>
    <w:rsid w:val="00657ADB"/>
    <w:rsid w:val="00657B53"/>
    <w:rsid w:val="00657B7C"/>
    <w:rsid w:val="00657B83"/>
    <w:rsid w:val="00657C8C"/>
    <w:rsid w:val="00657CA1"/>
    <w:rsid w:val="00657CAA"/>
    <w:rsid w:val="00657CCE"/>
    <w:rsid w:val="00657D37"/>
    <w:rsid w:val="00657D4F"/>
    <w:rsid w:val="00657D54"/>
    <w:rsid w:val="00657D70"/>
    <w:rsid w:val="00657D7D"/>
    <w:rsid w:val="00657DCA"/>
    <w:rsid w:val="00657E7C"/>
    <w:rsid w:val="00657E90"/>
    <w:rsid w:val="00657EEF"/>
    <w:rsid w:val="00657F4D"/>
    <w:rsid w:val="00657F7D"/>
    <w:rsid w:val="00657F8F"/>
    <w:rsid w:val="00657F9A"/>
    <w:rsid w:val="0065A5D2"/>
    <w:rsid w:val="0065D10F"/>
    <w:rsid w:val="00660004"/>
    <w:rsid w:val="00660050"/>
    <w:rsid w:val="0066007D"/>
    <w:rsid w:val="006600D4"/>
    <w:rsid w:val="00660133"/>
    <w:rsid w:val="00660142"/>
    <w:rsid w:val="006601F7"/>
    <w:rsid w:val="0066020C"/>
    <w:rsid w:val="0066021B"/>
    <w:rsid w:val="006602DE"/>
    <w:rsid w:val="006602EF"/>
    <w:rsid w:val="0066033E"/>
    <w:rsid w:val="0066035C"/>
    <w:rsid w:val="0066039D"/>
    <w:rsid w:val="0066047F"/>
    <w:rsid w:val="0066048A"/>
    <w:rsid w:val="006604AC"/>
    <w:rsid w:val="00660508"/>
    <w:rsid w:val="0066052D"/>
    <w:rsid w:val="00660532"/>
    <w:rsid w:val="0066053A"/>
    <w:rsid w:val="006605AA"/>
    <w:rsid w:val="006605B8"/>
    <w:rsid w:val="00660602"/>
    <w:rsid w:val="00660608"/>
    <w:rsid w:val="0066064F"/>
    <w:rsid w:val="00660676"/>
    <w:rsid w:val="006606F2"/>
    <w:rsid w:val="0066074B"/>
    <w:rsid w:val="0066076D"/>
    <w:rsid w:val="00660786"/>
    <w:rsid w:val="006607C1"/>
    <w:rsid w:val="006607E8"/>
    <w:rsid w:val="006607EA"/>
    <w:rsid w:val="00660829"/>
    <w:rsid w:val="00660847"/>
    <w:rsid w:val="0066087B"/>
    <w:rsid w:val="0066089B"/>
    <w:rsid w:val="006608D2"/>
    <w:rsid w:val="0066090B"/>
    <w:rsid w:val="0066093F"/>
    <w:rsid w:val="006609EF"/>
    <w:rsid w:val="00660BE8"/>
    <w:rsid w:val="00660C5E"/>
    <w:rsid w:val="00660C79"/>
    <w:rsid w:val="00660CDD"/>
    <w:rsid w:val="00660D09"/>
    <w:rsid w:val="00660D0D"/>
    <w:rsid w:val="00660D60"/>
    <w:rsid w:val="00660D62"/>
    <w:rsid w:val="00660D6A"/>
    <w:rsid w:val="00660D78"/>
    <w:rsid w:val="00660DE0"/>
    <w:rsid w:val="00660E63"/>
    <w:rsid w:val="00660EC0"/>
    <w:rsid w:val="00660EC5"/>
    <w:rsid w:val="00660EEB"/>
    <w:rsid w:val="00660F04"/>
    <w:rsid w:val="00660F10"/>
    <w:rsid w:val="00660F60"/>
    <w:rsid w:val="00660FC3"/>
    <w:rsid w:val="00660FC9"/>
    <w:rsid w:val="0066103D"/>
    <w:rsid w:val="0066105A"/>
    <w:rsid w:val="006610C0"/>
    <w:rsid w:val="0066110B"/>
    <w:rsid w:val="00661153"/>
    <w:rsid w:val="00661157"/>
    <w:rsid w:val="00661184"/>
    <w:rsid w:val="00661192"/>
    <w:rsid w:val="006611A6"/>
    <w:rsid w:val="006611B2"/>
    <w:rsid w:val="00661217"/>
    <w:rsid w:val="006612B6"/>
    <w:rsid w:val="006612F7"/>
    <w:rsid w:val="00661313"/>
    <w:rsid w:val="0066133D"/>
    <w:rsid w:val="006613AC"/>
    <w:rsid w:val="006613FF"/>
    <w:rsid w:val="00661476"/>
    <w:rsid w:val="006614A5"/>
    <w:rsid w:val="006614B9"/>
    <w:rsid w:val="006614C9"/>
    <w:rsid w:val="006614CE"/>
    <w:rsid w:val="006614E2"/>
    <w:rsid w:val="00661549"/>
    <w:rsid w:val="00661591"/>
    <w:rsid w:val="0066159D"/>
    <w:rsid w:val="006615D3"/>
    <w:rsid w:val="006616AD"/>
    <w:rsid w:val="006616EA"/>
    <w:rsid w:val="006616F3"/>
    <w:rsid w:val="00661730"/>
    <w:rsid w:val="0066174F"/>
    <w:rsid w:val="0066177B"/>
    <w:rsid w:val="0066179A"/>
    <w:rsid w:val="006617A1"/>
    <w:rsid w:val="006617B2"/>
    <w:rsid w:val="006617C3"/>
    <w:rsid w:val="00661810"/>
    <w:rsid w:val="00661870"/>
    <w:rsid w:val="0066188A"/>
    <w:rsid w:val="006618A7"/>
    <w:rsid w:val="006618CB"/>
    <w:rsid w:val="0066194D"/>
    <w:rsid w:val="00661958"/>
    <w:rsid w:val="006619A3"/>
    <w:rsid w:val="006619A5"/>
    <w:rsid w:val="00661AA3"/>
    <w:rsid w:val="00661ABC"/>
    <w:rsid w:val="00661AD5"/>
    <w:rsid w:val="00661B04"/>
    <w:rsid w:val="00661B0C"/>
    <w:rsid w:val="00661BA2"/>
    <w:rsid w:val="00661BB2"/>
    <w:rsid w:val="00661BC8"/>
    <w:rsid w:val="00661BD2"/>
    <w:rsid w:val="00661BD3"/>
    <w:rsid w:val="00661BF2"/>
    <w:rsid w:val="00661C17"/>
    <w:rsid w:val="00661C59"/>
    <w:rsid w:val="00661C8B"/>
    <w:rsid w:val="00661D01"/>
    <w:rsid w:val="00661D1B"/>
    <w:rsid w:val="00661D53"/>
    <w:rsid w:val="00661E2F"/>
    <w:rsid w:val="00661E3A"/>
    <w:rsid w:val="00661E8A"/>
    <w:rsid w:val="00661F26"/>
    <w:rsid w:val="00661F34"/>
    <w:rsid w:val="00662094"/>
    <w:rsid w:val="006620AB"/>
    <w:rsid w:val="00662122"/>
    <w:rsid w:val="0066213D"/>
    <w:rsid w:val="006621AA"/>
    <w:rsid w:val="006621AE"/>
    <w:rsid w:val="006621D4"/>
    <w:rsid w:val="006622BC"/>
    <w:rsid w:val="006622D7"/>
    <w:rsid w:val="006622DB"/>
    <w:rsid w:val="0066239A"/>
    <w:rsid w:val="006623BD"/>
    <w:rsid w:val="006623E3"/>
    <w:rsid w:val="00662427"/>
    <w:rsid w:val="00662432"/>
    <w:rsid w:val="0066243B"/>
    <w:rsid w:val="00662455"/>
    <w:rsid w:val="00662466"/>
    <w:rsid w:val="006624C0"/>
    <w:rsid w:val="006624F4"/>
    <w:rsid w:val="006624F5"/>
    <w:rsid w:val="00662671"/>
    <w:rsid w:val="006626C8"/>
    <w:rsid w:val="00662708"/>
    <w:rsid w:val="006627AF"/>
    <w:rsid w:val="006627D0"/>
    <w:rsid w:val="00662870"/>
    <w:rsid w:val="0066287B"/>
    <w:rsid w:val="006628A5"/>
    <w:rsid w:val="006628D9"/>
    <w:rsid w:val="006628EA"/>
    <w:rsid w:val="0066291F"/>
    <w:rsid w:val="00662936"/>
    <w:rsid w:val="00662948"/>
    <w:rsid w:val="006629DB"/>
    <w:rsid w:val="006629EA"/>
    <w:rsid w:val="00662A02"/>
    <w:rsid w:val="00662A50"/>
    <w:rsid w:val="00662A80"/>
    <w:rsid w:val="00662AC6"/>
    <w:rsid w:val="00662ADE"/>
    <w:rsid w:val="00662B11"/>
    <w:rsid w:val="00662B17"/>
    <w:rsid w:val="00662B40"/>
    <w:rsid w:val="00662B47"/>
    <w:rsid w:val="00662B62"/>
    <w:rsid w:val="00662B68"/>
    <w:rsid w:val="00662B75"/>
    <w:rsid w:val="00662BB8"/>
    <w:rsid w:val="00662BBC"/>
    <w:rsid w:val="00662BC2"/>
    <w:rsid w:val="00662BFE"/>
    <w:rsid w:val="00662C25"/>
    <w:rsid w:val="00662C2A"/>
    <w:rsid w:val="00662C2B"/>
    <w:rsid w:val="00662C5A"/>
    <w:rsid w:val="00662C75"/>
    <w:rsid w:val="00662C76"/>
    <w:rsid w:val="00662CC9"/>
    <w:rsid w:val="00662D0D"/>
    <w:rsid w:val="00662D18"/>
    <w:rsid w:val="00662D57"/>
    <w:rsid w:val="00662D5A"/>
    <w:rsid w:val="00662D5B"/>
    <w:rsid w:val="00662DA5"/>
    <w:rsid w:val="00662E1E"/>
    <w:rsid w:val="00662EC4"/>
    <w:rsid w:val="00662F03"/>
    <w:rsid w:val="00662F16"/>
    <w:rsid w:val="0066300F"/>
    <w:rsid w:val="00663080"/>
    <w:rsid w:val="006630DE"/>
    <w:rsid w:val="006630FF"/>
    <w:rsid w:val="00663105"/>
    <w:rsid w:val="0066310D"/>
    <w:rsid w:val="0066314B"/>
    <w:rsid w:val="00663182"/>
    <w:rsid w:val="006631B4"/>
    <w:rsid w:val="006631F4"/>
    <w:rsid w:val="00663209"/>
    <w:rsid w:val="00663213"/>
    <w:rsid w:val="00663241"/>
    <w:rsid w:val="0066327B"/>
    <w:rsid w:val="0066327E"/>
    <w:rsid w:val="00663291"/>
    <w:rsid w:val="006632E2"/>
    <w:rsid w:val="00663347"/>
    <w:rsid w:val="0066335B"/>
    <w:rsid w:val="006633A7"/>
    <w:rsid w:val="006633B1"/>
    <w:rsid w:val="00663414"/>
    <w:rsid w:val="00663460"/>
    <w:rsid w:val="00663461"/>
    <w:rsid w:val="0066347D"/>
    <w:rsid w:val="0066349C"/>
    <w:rsid w:val="006634A0"/>
    <w:rsid w:val="006634C1"/>
    <w:rsid w:val="00663547"/>
    <w:rsid w:val="0066358E"/>
    <w:rsid w:val="006635B0"/>
    <w:rsid w:val="00663625"/>
    <w:rsid w:val="00663633"/>
    <w:rsid w:val="0066367B"/>
    <w:rsid w:val="006636ED"/>
    <w:rsid w:val="0066371A"/>
    <w:rsid w:val="00663726"/>
    <w:rsid w:val="006637B9"/>
    <w:rsid w:val="006637CF"/>
    <w:rsid w:val="006637D3"/>
    <w:rsid w:val="00663883"/>
    <w:rsid w:val="006638A7"/>
    <w:rsid w:val="006638AF"/>
    <w:rsid w:val="006638B3"/>
    <w:rsid w:val="0066390F"/>
    <w:rsid w:val="0066395C"/>
    <w:rsid w:val="00663988"/>
    <w:rsid w:val="006639F6"/>
    <w:rsid w:val="006639FB"/>
    <w:rsid w:val="00663A13"/>
    <w:rsid w:val="00663A36"/>
    <w:rsid w:val="00663A3A"/>
    <w:rsid w:val="00663A7A"/>
    <w:rsid w:val="00663ABE"/>
    <w:rsid w:val="00663AD4"/>
    <w:rsid w:val="00663B31"/>
    <w:rsid w:val="00663B43"/>
    <w:rsid w:val="00663B5B"/>
    <w:rsid w:val="00663B7F"/>
    <w:rsid w:val="00663D2C"/>
    <w:rsid w:val="00663D66"/>
    <w:rsid w:val="00663DBB"/>
    <w:rsid w:val="00663DBE"/>
    <w:rsid w:val="00663DE5"/>
    <w:rsid w:val="00663E0E"/>
    <w:rsid w:val="00663E28"/>
    <w:rsid w:val="00663E8E"/>
    <w:rsid w:val="00663EB7"/>
    <w:rsid w:val="00663EC5"/>
    <w:rsid w:val="00663EC9"/>
    <w:rsid w:val="00663EFB"/>
    <w:rsid w:val="00663F3B"/>
    <w:rsid w:val="00663F7E"/>
    <w:rsid w:val="00663F9E"/>
    <w:rsid w:val="00663FC5"/>
    <w:rsid w:val="00663FD8"/>
    <w:rsid w:val="00663FE3"/>
    <w:rsid w:val="00663FF7"/>
    <w:rsid w:val="00664015"/>
    <w:rsid w:val="0066408D"/>
    <w:rsid w:val="00664097"/>
    <w:rsid w:val="006640D2"/>
    <w:rsid w:val="00664131"/>
    <w:rsid w:val="00664145"/>
    <w:rsid w:val="00664163"/>
    <w:rsid w:val="00664180"/>
    <w:rsid w:val="006641DF"/>
    <w:rsid w:val="0066426A"/>
    <w:rsid w:val="006642B1"/>
    <w:rsid w:val="006642DB"/>
    <w:rsid w:val="006642E2"/>
    <w:rsid w:val="00664321"/>
    <w:rsid w:val="00664366"/>
    <w:rsid w:val="0066438A"/>
    <w:rsid w:val="006643C4"/>
    <w:rsid w:val="006643CC"/>
    <w:rsid w:val="006643DC"/>
    <w:rsid w:val="006643EC"/>
    <w:rsid w:val="0066442E"/>
    <w:rsid w:val="00664432"/>
    <w:rsid w:val="00664469"/>
    <w:rsid w:val="00664492"/>
    <w:rsid w:val="006644AF"/>
    <w:rsid w:val="006644D8"/>
    <w:rsid w:val="006644EB"/>
    <w:rsid w:val="006644EE"/>
    <w:rsid w:val="00664562"/>
    <w:rsid w:val="00664565"/>
    <w:rsid w:val="0066456B"/>
    <w:rsid w:val="0066456F"/>
    <w:rsid w:val="0066459A"/>
    <w:rsid w:val="006645D6"/>
    <w:rsid w:val="0066463B"/>
    <w:rsid w:val="0066463D"/>
    <w:rsid w:val="0066467B"/>
    <w:rsid w:val="006646FB"/>
    <w:rsid w:val="0066470A"/>
    <w:rsid w:val="006647FC"/>
    <w:rsid w:val="0066484B"/>
    <w:rsid w:val="00664854"/>
    <w:rsid w:val="006648CF"/>
    <w:rsid w:val="00664938"/>
    <w:rsid w:val="0066493D"/>
    <w:rsid w:val="00664985"/>
    <w:rsid w:val="006649BE"/>
    <w:rsid w:val="00664AAD"/>
    <w:rsid w:val="00664AD5"/>
    <w:rsid w:val="00664B3F"/>
    <w:rsid w:val="00664B73"/>
    <w:rsid w:val="00664C05"/>
    <w:rsid w:val="00664C0C"/>
    <w:rsid w:val="00664C0D"/>
    <w:rsid w:val="00664C3A"/>
    <w:rsid w:val="00664C3E"/>
    <w:rsid w:val="00664C71"/>
    <w:rsid w:val="00664C87"/>
    <w:rsid w:val="00664C8F"/>
    <w:rsid w:val="00664CBA"/>
    <w:rsid w:val="00664CDE"/>
    <w:rsid w:val="00664CF9"/>
    <w:rsid w:val="00664D0A"/>
    <w:rsid w:val="00664D15"/>
    <w:rsid w:val="00664D4D"/>
    <w:rsid w:val="00664D92"/>
    <w:rsid w:val="00664D96"/>
    <w:rsid w:val="00664D97"/>
    <w:rsid w:val="00664DA7"/>
    <w:rsid w:val="00664DA9"/>
    <w:rsid w:val="00664DAF"/>
    <w:rsid w:val="00664DBD"/>
    <w:rsid w:val="00664DE2"/>
    <w:rsid w:val="00664E0A"/>
    <w:rsid w:val="00664E56"/>
    <w:rsid w:val="00664E73"/>
    <w:rsid w:val="00664EBC"/>
    <w:rsid w:val="00664EF3"/>
    <w:rsid w:val="00664F6F"/>
    <w:rsid w:val="00664F74"/>
    <w:rsid w:val="00664F7A"/>
    <w:rsid w:val="00664F81"/>
    <w:rsid w:val="00664FB3"/>
    <w:rsid w:val="0066507A"/>
    <w:rsid w:val="0066511E"/>
    <w:rsid w:val="0066512F"/>
    <w:rsid w:val="006651A5"/>
    <w:rsid w:val="006651BF"/>
    <w:rsid w:val="006651F3"/>
    <w:rsid w:val="006651FD"/>
    <w:rsid w:val="00665209"/>
    <w:rsid w:val="00665215"/>
    <w:rsid w:val="00665226"/>
    <w:rsid w:val="00665276"/>
    <w:rsid w:val="00665288"/>
    <w:rsid w:val="00665296"/>
    <w:rsid w:val="006652F3"/>
    <w:rsid w:val="006652FF"/>
    <w:rsid w:val="00665344"/>
    <w:rsid w:val="00665379"/>
    <w:rsid w:val="00665382"/>
    <w:rsid w:val="006653E0"/>
    <w:rsid w:val="00665432"/>
    <w:rsid w:val="00665437"/>
    <w:rsid w:val="00665439"/>
    <w:rsid w:val="0066552C"/>
    <w:rsid w:val="00665564"/>
    <w:rsid w:val="0066556F"/>
    <w:rsid w:val="00665596"/>
    <w:rsid w:val="006655CE"/>
    <w:rsid w:val="006655E5"/>
    <w:rsid w:val="006655E7"/>
    <w:rsid w:val="0066567A"/>
    <w:rsid w:val="0066568B"/>
    <w:rsid w:val="006656AB"/>
    <w:rsid w:val="006656D9"/>
    <w:rsid w:val="006656EF"/>
    <w:rsid w:val="006656F7"/>
    <w:rsid w:val="006657A4"/>
    <w:rsid w:val="0066582C"/>
    <w:rsid w:val="0066583E"/>
    <w:rsid w:val="006658B5"/>
    <w:rsid w:val="006658D8"/>
    <w:rsid w:val="006658F2"/>
    <w:rsid w:val="006658FE"/>
    <w:rsid w:val="00665979"/>
    <w:rsid w:val="0066598E"/>
    <w:rsid w:val="006659ED"/>
    <w:rsid w:val="006659F4"/>
    <w:rsid w:val="00665A2B"/>
    <w:rsid w:val="00665A34"/>
    <w:rsid w:val="00665A41"/>
    <w:rsid w:val="00665A54"/>
    <w:rsid w:val="00665ACD"/>
    <w:rsid w:val="00665AD1"/>
    <w:rsid w:val="00665AD7"/>
    <w:rsid w:val="00665ADE"/>
    <w:rsid w:val="00665B30"/>
    <w:rsid w:val="00665B66"/>
    <w:rsid w:val="00665B7E"/>
    <w:rsid w:val="00665B7F"/>
    <w:rsid w:val="00665B85"/>
    <w:rsid w:val="00665B90"/>
    <w:rsid w:val="00665BCC"/>
    <w:rsid w:val="00665BD0"/>
    <w:rsid w:val="00665BDF"/>
    <w:rsid w:val="00665BEB"/>
    <w:rsid w:val="00665BEF"/>
    <w:rsid w:val="00665C2D"/>
    <w:rsid w:val="00665C7C"/>
    <w:rsid w:val="00665CC1"/>
    <w:rsid w:val="00665D00"/>
    <w:rsid w:val="00665D09"/>
    <w:rsid w:val="00665D37"/>
    <w:rsid w:val="00665D42"/>
    <w:rsid w:val="00665D47"/>
    <w:rsid w:val="00665D8A"/>
    <w:rsid w:val="00665DE0"/>
    <w:rsid w:val="00665DE6"/>
    <w:rsid w:val="00665E1C"/>
    <w:rsid w:val="00665E44"/>
    <w:rsid w:val="00665E7A"/>
    <w:rsid w:val="00665E88"/>
    <w:rsid w:val="00665ECA"/>
    <w:rsid w:val="00665F0A"/>
    <w:rsid w:val="00665F0B"/>
    <w:rsid w:val="00665F29"/>
    <w:rsid w:val="00665FA6"/>
    <w:rsid w:val="00665FC9"/>
    <w:rsid w:val="006660BC"/>
    <w:rsid w:val="0066610F"/>
    <w:rsid w:val="00666125"/>
    <w:rsid w:val="0066613E"/>
    <w:rsid w:val="00666142"/>
    <w:rsid w:val="00666180"/>
    <w:rsid w:val="00666192"/>
    <w:rsid w:val="006661B9"/>
    <w:rsid w:val="006662E1"/>
    <w:rsid w:val="006662EC"/>
    <w:rsid w:val="006662FE"/>
    <w:rsid w:val="00666331"/>
    <w:rsid w:val="0066635E"/>
    <w:rsid w:val="006663AA"/>
    <w:rsid w:val="006663C8"/>
    <w:rsid w:val="006663D6"/>
    <w:rsid w:val="0066640D"/>
    <w:rsid w:val="0066640E"/>
    <w:rsid w:val="00666419"/>
    <w:rsid w:val="0066642E"/>
    <w:rsid w:val="006664A1"/>
    <w:rsid w:val="006664AD"/>
    <w:rsid w:val="006664C3"/>
    <w:rsid w:val="006664FA"/>
    <w:rsid w:val="00666510"/>
    <w:rsid w:val="006665DB"/>
    <w:rsid w:val="006665E8"/>
    <w:rsid w:val="00666631"/>
    <w:rsid w:val="00666676"/>
    <w:rsid w:val="00666695"/>
    <w:rsid w:val="006666A1"/>
    <w:rsid w:val="006666D7"/>
    <w:rsid w:val="0066671D"/>
    <w:rsid w:val="0066672C"/>
    <w:rsid w:val="00666784"/>
    <w:rsid w:val="00666818"/>
    <w:rsid w:val="00666828"/>
    <w:rsid w:val="0066682A"/>
    <w:rsid w:val="0066682F"/>
    <w:rsid w:val="00666894"/>
    <w:rsid w:val="006668D1"/>
    <w:rsid w:val="006668DA"/>
    <w:rsid w:val="0066692E"/>
    <w:rsid w:val="00666964"/>
    <w:rsid w:val="0066699F"/>
    <w:rsid w:val="006669E8"/>
    <w:rsid w:val="006669FB"/>
    <w:rsid w:val="00666A2F"/>
    <w:rsid w:val="00666A65"/>
    <w:rsid w:val="00666A74"/>
    <w:rsid w:val="00666A7E"/>
    <w:rsid w:val="00666ABF"/>
    <w:rsid w:val="00666B22"/>
    <w:rsid w:val="00666B46"/>
    <w:rsid w:val="00666B68"/>
    <w:rsid w:val="00666BBF"/>
    <w:rsid w:val="00666BCB"/>
    <w:rsid w:val="00666BF2"/>
    <w:rsid w:val="00666BF6"/>
    <w:rsid w:val="00666BFB"/>
    <w:rsid w:val="00666C1B"/>
    <w:rsid w:val="00666C5B"/>
    <w:rsid w:val="00666CBC"/>
    <w:rsid w:val="00666CC7"/>
    <w:rsid w:val="00666CD0"/>
    <w:rsid w:val="00666D15"/>
    <w:rsid w:val="00666D16"/>
    <w:rsid w:val="00666D39"/>
    <w:rsid w:val="00666D59"/>
    <w:rsid w:val="00666D77"/>
    <w:rsid w:val="00666DCA"/>
    <w:rsid w:val="00666DE3"/>
    <w:rsid w:val="00666E14"/>
    <w:rsid w:val="00666E26"/>
    <w:rsid w:val="00666E4A"/>
    <w:rsid w:val="00666E8C"/>
    <w:rsid w:val="00666EB6"/>
    <w:rsid w:val="00666F40"/>
    <w:rsid w:val="00666F8E"/>
    <w:rsid w:val="00666FA8"/>
    <w:rsid w:val="00666FB8"/>
    <w:rsid w:val="00667033"/>
    <w:rsid w:val="0066704D"/>
    <w:rsid w:val="006670BF"/>
    <w:rsid w:val="006670E1"/>
    <w:rsid w:val="00667142"/>
    <w:rsid w:val="0066714C"/>
    <w:rsid w:val="0066714D"/>
    <w:rsid w:val="0066716A"/>
    <w:rsid w:val="00667189"/>
    <w:rsid w:val="006671B1"/>
    <w:rsid w:val="006671D0"/>
    <w:rsid w:val="006671E5"/>
    <w:rsid w:val="006671E7"/>
    <w:rsid w:val="00667230"/>
    <w:rsid w:val="0066725E"/>
    <w:rsid w:val="006672A7"/>
    <w:rsid w:val="006672CF"/>
    <w:rsid w:val="006672E0"/>
    <w:rsid w:val="00667304"/>
    <w:rsid w:val="00667325"/>
    <w:rsid w:val="00667361"/>
    <w:rsid w:val="0066740D"/>
    <w:rsid w:val="00667498"/>
    <w:rsid w:val="006674B8"/>
    <w:rsid w:val="006674E1"/>
    <w:rsid w:val="006674E3"/>
    <w:rsid w:val="00667502"/>
    <w:rsid w:val="00667504"/>
    <w:rsid w:val="0066752B"/>
    <w:rsid w:val="00667569"/>
    <w:rsid w:val="006675DA"/>
    <w:rsid w:val="0066760B"/>
    <w:rsid w:val="0066761A"/>
    <w:rsid w:val="0066767E"/>
    <w:rsid w:val="006676AC"/>
    <w:rsid w:val="006676B3"/>
    <w:rsid w:val="006676DD"/>
    <w:rsid w:val="0066773C"/>
    <w:rsid w:val="006677C0"/>
    <w:rsid w:val="006677C2"/>
    <w:rsid w:val="00667863"/>
    <w:rsid w:val="006678BF"/>
    <w:rsid w:val="00667912"/>
    <w:rsid w:val="00667970"/>
    <w:rsid w:val="006679D8"/>
    <w:rsid w:val="00667A05"/>
    <w:rsid w:val="00667A13"/>
    <w:rsid w:val="00667A31"/>
    <w:rsid w:val="00667A32"/>
    <w:rsid w:val="00667A91"/>
    <w:rsid w:val="00667AB5"/>
    <w:rsid w:val="00667AD3"/>
    <w:rsid w:val="00667AE1"/>
    <w:rsid w:val="00667AF7"/>
    <w:rsid w:val="00667B0C"/>
    <w:rsid w:val="00667B1F"/>
    <w:rsid w:val="00667B71"/>
    <w:rsid w:val="00667BC6"/>
    <w:rsid w:val="00667C7D"/>
    <w:rsid w:val="00667C87"/>
    <w:rsid w:val="00667D4E"/>
    <w:rsid w:val="00667D6C"/>
    <w:rsid w:val="00667DAB"/>
    <w:rsid w:val="00667DEA"/>
    <w:rsid w:val="00667E00"/>
    <w:rsid w:val="00667E2B"/>
    <w:rsid w:val="00667E91"/>
    <w:rsid w:val="00667ED4"/>
    <w:rsid w:val="00667F10"/>
    <w:rsid w:val="00667F19"/>
    <w:rsid w:val="00667F54"/>
    <w:rsid w:val="00667F5F"/>
    <w:rsid w:val="00667F72"/>
    <w:rsid w:val="00667F79"/>
    <w:rsid w:val="00669233"/>
    <w:rsid w:val="0066997E"/>
    <w:rsid w:val="00670063"/>
    <w:rsid w:val="00670066"/>
    <w:rsid w:val="00670084"/>
    <w:rsid w:val="006700A3"/>
    <w:rsid w:val="006700EF"/>
    <w:rsid w:val="0067012F"/>
    <w:rsid w:val="006701EA"/>
    <w:rsid w:val="006701F6"/>
    <w:rsid w:val="0067020C"/>
    <w:rsid w:val="0067023D"/>
    <w:rsid w:val="006702C7"/>
    <w:rsid w:val="006702EF"/>
    <w:rsid w:val="0067032A"/>
    <w:rsid w:val="00670370"/>
    <w:rsid w:val="006703C7"/>
    <w:rsid w:val="006703DC"/>
    <w:rsid w:val="0067047D"/>
    <w:rsid w:val="006704F5"/>
    <w:rsid w:val="0067050A"/>
    <w:rsid w:val="0067056A"/>
    <w:rsid w:val="0067059B"/>
    <w:rsid w:val="006705AC"/>
    <w:rsid w:val="006705BC"/>
    <w:rsid w:val="006705ED"/>
    <w:rsid w:val="00670657"/>
    <w:rsid w:val="0067065A"/>
    <w:rsid w:val="006706FD"/>
    <w:rsid w:val="00670708"/>
    <w:rsid w:val="00670721"/>
    <w:rsid w:val="00670737"/>
    <w:rsid w:val="00670799"/>
    <w:rsid w:val="006707B3"/>
    <w:rsid w:val="006707C1"/>
    <w:rsid w:val="0067082C"/>
    <w:rsid w:val="00670859"/>
    <w:rsid w:val="006708C6"/>
    <w:rsid w:val="006708C8"/>
    <w:rsid w:val="006708D4"/>
    <w:rsid w:val="006708E4"/>
    <w:rsid w:val="0067092D"/>
    <w:rsid w:val="0067093D"/>
    <w:rsid w:val="006709DD"/>
    <w:rsid w:val="006709E3"/>
    <w:rsid w:val="00670A01"/>
    <w:rsid w:val="00670A7F"/>
    <w:rsid w:val="00670A97"/>
    <w:rsid w:val="00670AA7"/>
    <w:rsid w:val="00670AAC"/>
    <w:rsid w:val="00670AC7"/>
    <w:rsid w:val="00670B08"/>
    <w:rsid w:val="00670B12"/>
    <w:rsid w:val="00670B34"/>
    <w:rsid w:val="00670B95"/>
    <w:rsid w:val="00670BF4"/>
    <w:rsid w:val="00670C02"/>
    <w:rsid w:val="00670C15"/>
    <w:rsid w:val="00670C2F"/>
    <w:rsid w:val="00670C53"/>
    <w:rsid w:val="00670C54"/>
    <w:rsid w:val="00670C6A"/>
    <w:rsid w:val="00670C7F"/>
    <w:rsid w:val="00670CAD"/>
    <w:rsid w:val="00670CBB"/>
    <w:rsid w:val="00670CDB"/>
    <w:rsid w:val="00670D07"/>
    <w:rsid w:val="00670D19"/>
    <w:rsid w:val="00670D69"/>
    <w:rsid w:val="00670D84"/>
    <w:rsid w:val="00670DA8"/>
    <w:rsid w:val="00670DEC"/>
    <w:rsid w:val="00670E28"/>
    <w:rsid w:val="00670E53"/>
    <w:rsid w:val="00670F18"/>
    <w:rsid w:val="00670F94"/>
    <w:rsid w:val="00670FCC"/>
    <w:rsid w:val="00670FE9"/>
    <w:rsid w:val="0067102D"/>
    <w:rsid w:val="00671030"/>
    <w:rsid w:val="00671043"/>
    <w:rsid w:val="00671045"/>
    <w:rsid w:val="0067106A"/>
    <w:rsid w:val="0067108A"/>
    <w:rsid w:val="0067108F"/>
    <w:rsid w:val="006710A1"/>
    <w:rsid w:val="00671151"/>
    <w:rsid w:val="00671153"/>
    <w:rsid w:val="006711CD"/>
    <w:rsid w:val="00671314"/>
    <w:rsid w:val="00671346"/>
    <w:rsid w:val="00671418"/>
    <w:rsid w:val="0067147D"/>
    <w:rsid w:val="0067148C"/>
    <w:rsid w:val="0067155B"/>
    <w:rsid w:val="006715CA"/>
    <w:rsid w:val="006715E8"/>
    <w:rsid w:val="00671624"/>
    <w:rsid w:val="00671627"/>
    <w:rsid w:val="00671688"/>
    <w:rsid w:val="006716F1"/>
    <w:rsid w:val="00671716"/>
    <w:rsid w:val="0067173C"/>
    <w:rsid w:val="0067175A"/>
    <w:rsid w:val="00671794"/>
    <w:rsid w:val="0067179E"/>
    <w:rsid w:val="006717A9"/>
    <w:rsid w:val="006717D8"/>
    <w:rsid w:val="00671833"/>
    <w:rsid w:val="00671881"/>
    <w:rsid w:val="006718E4"/>
    <w:rsid w:val="006718F1"/>
    <w:rsid w:val="00671968"/>
    <w:rsid w:val="00671973"/>
    <w:rsid w:val="00671981"/>
    <w:rsid w:val="006719AE"/>
    <w:rsid w:val="00671A05"/>
    <w:rsid w:val="00671A3F"/>
    <w:rsid w:val="00671A51"/>
    <w:rsid w:val="00671A60"/>
    <w:rsid w:val="00671A91"/>
    <w:rsid w:val="00671AA8"/>
    <w:rsid w:val="00671AD0"/>
    <w:rsid w:val="00671AEB"/>
    <w:rsid w:val="00671B2E"/>
    <w:rsid w:val="00671B7A"/>
    <w:rsid w:val="00671B94"/>
    <w:rsid w:val="00671BDB"/>
    <w:rsid w:val="00671BE1"/>
    <w:rsid w:val="00671BF7"/>
    <w:rsid w:val="00671BFA"/>
    <w:rsid w:val="00671C1C"/>
    <w:rsid w:val="00671C25"/>
    <w:rsid w:val="00671C4A"/>
    <w:rsid w:val="00671C89"/>
    <w:rsid w:val="00671CCF"/>
    <w:rsid w:val="00671D76"/>
    <w:rsid w:val="00671DC1"/>
    <w:rsid w:val="00671DE1"/>
    <w:rsid w:val="00671E0B"/>
    <w:rsid w:val="00671E12"/>
    <w:rsid w:val="00671E1A"/>
    <w:rsid w:val="00671E23"/>
    <w:rsid w:val="00671E60"/>
    <w:rsid w:val="00671EA2"/>
    <w:rsid w:val="00671F49"/>
    <w:rsid w:val="00671FF1"/>
    <w:rsid w:val="00672005"/>
    <w:rsid w:val="00672008"/>
    <w:rsid w:val="0067201B"/>
    <w:rsid w:val="0067206F"/>
    <w:rsid w:val="00672071"/>
    <w:rsid w:val="0067208D"/>
    <w:rsid w:val="006720C0"/>
    <w:rsid w:val="006720DF"/>
    <w:rsid w:val="006720FD"/>
    <w:rsid w:val="00672107"/>
    <w:rsid w:val="00672133"/>
    <w:rsid w:val="0067217F"/>
    <w:rsid w:val="00672189"/>
    <w:rsid w:val="00672234"/>
    <w:rsid w:val="0067223C"/>
    <w:rsid w:val="0067227B"/>
    <w:rsid w:val="00672286"/>
    <w:rsid w:val="00672316"/>
    <w:rsid w:val="0067245A"/>
    <w:rsid w:val="0067247C"/>
    <w:rsid w:val="0067249C"/>
    <w:rsid w:val="006724BE"/>
    <w:rsid w:val="00672515"/>
    <w:rsid w:val="00672522"/>
    <w:rsid w:val="0067254A"/>
    <w:rsid w:val="0067254D"/>
    <w:rsid w:val="00672564"/>
    <w:rsid w:val="006725CE"/>
    <w:rsid w:val="0067266F"/>
    <w:rsid w:val="00672682"/>
    <w:rsid w:val="006726B0"/>
    <w:rsid w:val="006726D5"/>
    <w:rsid w:val="006726DC"/>
    <w:rsid w:val="00672723"/>
    <w:rsid w:val="00672731"/>
    <w:rsid w:val="00672748"/>
    <w:rsid w:val="0067275E"/>
    <w:rsid w:val="0067277A"/>
    <w:rsid w:val="0067279B"/>
    <w:rsid w:val="00672819"/>
    <w:rsid w:val="00672877"/>
    <w:rsid w:val="006728BE"/>
    <w:rsid w:val="006728EE"/>
    <w:rsid w:val="00672942"/>
    <w:rsid w:val="0067296E"/>
    <w:rsid w:val="00672978"/>
    <w:rsid w:val="006729A3"/>
    <w:rsid w:val="006729C9"/>
    <w:rsid w:val="006729F8"/>
    <w:rsid w:val="00672A0B"/>
    <w:rsid w:val="00672A2C"/>
    <w:rsid w:val="00672A70"/>
    <w:rsid w:val="00672A8A"/>
    <w:rsid w:val="00672B0C"/>
    <w:rsid w:val="00672BF5"/>
    <w:rsid w:val="00672C71"/>
    <w:rsid w:val="00672C94"/>
    <w:rsid w:val="00672CCB"/>
    <w:rsid w:val="00672CDB"/>
    <w:rsid w:val="00672CEB"/>
    <w:rsid w:val="00672D07"/>
    <w:rsid w:val="00672D11"/>
    <w:rsid w:val="00672D8D"/>
    <w:rsid w:val="00672DB9"/>
    <w:rsid w:val="00672DC6"/>
    <w:rsid w:val="00672E58"/>
    <w:rsid w:val="00672E74"/>
    <w:rsid w:val="00672E7D"/>
    <w:rsid w:val="00672E8B"/>
    <w:rsid w:val="00672E9E"/>
    <w:rsid w:val="00672F34"/>
    <w:rsid w:val="00672FB4"/>
    <w:rsid w:val="00672FB8"/>
    <w:rsid w:val="00672FE5"/>
    <w:rsid w:val="00672FFB"/>
    <w:rsid w:val="00673027"/>
    <w:rsid w:val="00673072"/>
    <w:rsid w:val="00673094"/>
    <w:rsid w:val="006730AF"/>
    <w:rsid w:val="006730CF"/>
    <w:rsid w:val="006730E1"/>
    <w:rsid w:val="00673206"/>
    <w:rsid w:val="0067328D"/>
    <w:rsid w:val="006732FB"/>
    <w:rsid w:val="00673359"/>
    <w:rsid w:val="006733A8"/>
    <w:rsid w:val="006733AE"/>
    <w:rsid w:val="006733B2"/>
    <w:rsid w:val="006733FF"/>
    <w:rsid w:val="00673427"/>
    <w:rsid w:val="0067345D"/>
    <w:rsid w:val="0067348B"/>
    <w:rsid w:val="006734B1"/>
    <w:rsid w:val="006734CE"/>
    <w:rsid w:val="006734EB"/>
    <w:rsid w:val="0067352D"/>
    <w:rsid w:val="00673539"/>
    <w:rsid w:val="006735E0"/>
    <w:rsid w:val="0067364A"/>
    <w:rsid w:val="00673667"/>
    <w:rsid w:val="006736C1"/>
    <w:rsid w:val="006736D5"/>
    <w:rsid w:val="00673737"/>
    <w:rsid w:val="00673752"/>
    <w:rsid w:val="00673771"/>
    <w:rsid w:val="006737C4"/>
    <w:rsid w:val="006737E7"/>
    <w:rsid w:val="006737F7"/>
    <w:rsid w:val="006737F8"/>
    <w:rsid w:val="00673807"/>
    <w:rsid w:val="00673860"/>
    <w:rsid w:val="006738B3"/>
    <w:rsid w:val="006738D2"/>
    <w:rsid w:val="0067390C"/>
    <w:rsid w:val="0067390E"/>
    <w:rsid w:val="0067393A"/>
    <w:rsid w:val="00673950"/>
    <w:rsid w:val="00673959"/>
    <w:rsid w:val="00673966"/>
    <w:rsid w:val="0067398A"/>
    <w:rsid w:val="006739CC"/>
    <w:rsid w:val="006739D3"/>
    <w:rsid w:val="006739D8"/>
    <w:rsid w:val="006739FC"/>
    <w:rsid w:val="00673A00"/>
    <w:rsid w:val="00673A09"/>
    <w:rsid w:val="00673A88"/>
    <w:rsid w:val="00673B57"/>
    <w:rsid w:val="00673B95"/>
    <w:rsid w:val="00673BB9"/>
    <w:rsid w:val="00673BEC"/>
    <w:rsid w:val="00673C01"/>
    <w:rsid w:val="00673C36"/>
    <w:rsid w:val="00673C4A"/>
    <w:rsid w:val="00673C68"/>
    <w:rsid w:val="00673C9C"/>
    <w:rsid w:val="00673CDC"/>
    <w:rsid w:val="00673CDD"/>
    <w:rsid w:val="00673CE1"/>
    <w:rsid w:val="00673D5B"/>
    <w:rsid w:val="00673D8F"/>
    <w:rsid w:val="00673DBB"/>
    <w:rsid w:val="00673DD0"/>
    <w:rsid w:val="00673DE7"/>
    <w:rsid w:val="00673DEA"/>
    <w:rsid w:val="00673DF1"/>
    <w:rsid w:val="00673E0F"/>
    <w:rsid w:val="00673EC3"/>
    <w:rsid w:val="00673ED1"/>
    <w:rsid w:val="00673EDC"/>
    <w:rsid w:val="00673EF4"/>
    <w:rsid w:val="00673F0A"/>
    <w:rsid w:val="00673F10"/>
    <w:rsid w:val="00673F4C"/>
    <w:rsid w:val="00673F65"/>
    <w:rsid w:val="00673F99"/>
    <w:rsid w:val="00674012"/>
    <w:rsid w:val="00674040"/>
    <w:rsid w:val="006740F6"/>
    <w:rsid w:val="0067410C"/>
    <w:rsid w:val="0067411A"/>
    <w:rsid w:val="00674167"/>
    <w:rsid w:val="006741A1"/>
    <w:rsid w:val="006741B4"/>
    <w:rsid w:val="0067425E"/>
    <w:rsid w:val="00674280"/>
    <w:rsid w:val="006742A2"/>
    <w:rsid w:val="006742AE"/>
    <w:rsid w:val="006742BE"/>
    <w:rsid w:val="006742DC"/>
    <w:rsid w:val="00674304"/>
    <w:rsid w:val="00674331"/>
    <w:rsid w:val="0067435E"/>
    <w:rsid w:val="00674381"/>
    <w:rsid w:val="00674394"/>
    <w:rsid w:val="0067439F"/>
    <w:rsid w:val="00674400"/>
    <w:rsid w:val="00674419"/>
    <w:rsid w:val="0067447E"/>
    <w:rsid w:val="006744EF"/>
    <w:rsid w:val="00674589"/>
    <w:rsid w:val="006745E0"/>
    <w:rsid w:val="00674639"/>
    <w:rsid w:val="0067465B"/>
    <w:rsid w:val="00674686"/>
    <w:rsid w:val="006746AE"/>
    <w:rsid w:val="006746EB"/>
    <w:rsid w:val="0067473D"/>
    <w:rsid w:val="0067477B"/>
    <w:rsid w:val="00674781"/>
    <w:rsid w:val="00674820"/>
    <w:rsid w:val="0067484D"/>
    <w:rsid w:val="00674855"/>
    <w:rsid w:val="00674860"/>
    <w:rsid w:val="00674873"/>
    <w:rsid w:val="0067488B"/>
    <w:rsid w:val="006748A6"/>
    <w:rsid w:val="006748B7"/>
    <w:rsid w:val="006748C6"/>
    <w:rsid w:val="006748D0"/>
    <w:rsid w:val="006748DB"/>
    <w:rsid w:val="006748E3"/>
    <w:rsid w:val="00674918"/>
    <w:rsid w:val="00674957"/>
    <w:rsid w:val="006749B2"/>
    <w:rsid w:val="006749BA"/>
    <w:rsid w:val="00674AB4"/>
    <w:rsid w:val="00674ADE"/>
    <w:rsid w:val="00674ADF"/>
    <w:rsid w:val="00674B1E"/>
    <w:rsid w:val="00674B80"/>
    <w:rsid w:val="00674BC7"/>
    <w:rsid w:val="00674BD0"/>
    <w:rsid w:val="00674BF3"/>
    <w:rsid w:val="00674BF6"/>
    <w:rsid w:val="00674C35"/>
    <w:rsid w:val="00674C3F"/>
    <w:rsid w:val="00674C61"/>
    <w:rsid w:val="00674C6E"/>
    <w:rsid w:val="00674C74"/>
    <w:rsid w:val="00674C9A"/>
    <w:rsid w:val="00674CFF"/>
    <w:rsid w:val="00674D6F"/>
    <w:rsid w:val="00674DB9"/>
    <w:rsid w:val="00674DFF"/>
    <w:rsid w:val="00674E64"/>
    <w:rsid w:val="00674E92"/>
    <w:rsid w:val="00674F85"/>
    <w:rsid w:val="00674FA3"/>
    <w:rsid w:val="00675008"/>
    <w:rsid w:val="00675024"/>
    <w:rsid w:val="00675047"/>
    <w:rsid w:val="0067507F"/>
    <w:rsid w:val="00675162"/>
    <w:rsid w:val="006751B4"/>
    <w:rsid w:val="006751E8"/>
    <w:rsid w:val="00675216"/>
    <w:rsid w:val="0067521B"/>
    <w:rsid w:val="00675257"/>
    <w:rsid w:val="00675258"/>
    <w:rsid w:val="00675289"/>
    <w:rsid w:val="0067530B"/>
    <w:rsid w:val="00675310"/>
    <w:rsid w:val="00675344"/>
    <w:rsid w:val="00675354"/>
    <w:rsid w:val="0067536F"/>
    <w:rsid w:val="00675376"/>
    <w:rsid w:val="00675413"/>
    <w:rsid w:val="00675427"/>
    <w:rsid w:val="00675475"/>
    <w:rsid w:val="006754B6"/>
    <w:rsid w:val="006754ED"/>
    <w:rsid w:val="0067553A"/>
    <w:rsid w:val="0067561A"/>
    <w:rsid w:val="0067561B"/>
    <w:rsid w:val="0067561E"/>
    <w:rsid w:val="006756E6"/>
    <w:rsid w:val="0067574F"/>
    <w:rsid w:val="0067579D"/>
    <w:rsid w:val="006757BD"/>
    <w:rsid w:val="006757BE"/>
    <w:rsid w:val="006757F0"/>
    <w:rsid w:val="00675809"/>
    <w:rsid w:val="0067581F"/>
    <w:rsid w:val="006758C5"/>
    <w:rsid w:val="00675988"/>
    <w:rsid w:val="0067598C"/>
    <w:rsid w:val="00675991"/>
    <w:rsid w:val="006759CD"/>
    <w:rsid w:val="006759D7"/>
    <w:rsid w:val="006759F9"/>
    <w:rsid w:val="00675A48"/>
    <w:rsid w:val="00675A55"/>
    <w:rsid w:val="00675A78"/>
    <w:rsid w:val="00675AD9"/>
    <w:rsid w:val="00675ADF"/>
    <w:rsid w:val="00675AF1"/>
    <w:rsid w:val="00675B39"/>
    <w:rsid w:val="00675B4F"/>
    <w:rsid w:val="00675B81"/>
    <w:rsid w:val="00675BA8"/>
    <w:rsid w:val="00675BDD"/>
    <w:rsid w:val="00675BE3"/>
    <w:rsid w:val="00675BEF"/>
    <w:rsid w:val="00675CC7"/>
    <w:rsid w:val="00675CD8"/>
    <w:rsid w:val="00675CFC"/>
    <w:rsid w:val="00675D3A"/>
    <w:rsid w:val="00675D51"/>
    <w:rsid w:val="00675D94"/>
    <w:rsid w:val="00675DA4"/>
    <w:rsid w:val="00675DB4"/>
    <w:rsid w:val="00675DB6"/>
    <w:rsid w:val="00675DF0"/>
    <w:rsid w:val="00675E3C"/>
    <w:rsid w:val="00675E67"/>
    <w:rsid w:val="00675E81"/>
    <w:rsid w:val="00675E9A"/>
    <w:rsid w:val="00675EA4"/>
    <w:rsid w:val="00675EEE"/>
    <w:rsid w:val="00675F24"/>
    <w:rsid w:val="00675F3C"/>
    <w:rsid w:val="00675F49"/>
    <w:rsid w:val="00675F4A"/>
    <w:rsid w:val="00675F66"/>
    <w:rsid w:val="00675F7B"/>
    <w:rsid w:val="00675F9D"/>
    <w:rsid w:val="00675FA7"/>
    <w:rsid w:val="00675FCD"/>
    <w:rsid w:val="00675FEC"/>
    <w:rsid w:val="00676049"/>
    <w:rsid w:val="00676081"/>
    <w:rsid w:val="00676088"/>
    <w:rsid w:val="006760E9"/>
    <w:rsid w:val="0067610B"/>
    <w:rsid w:val="00676216"/>
    <w:rsid w:val="00676233"/>
    <w:rsid w:val="0067623B"/>
    <w:rsid w:val="0067623C"/>
    <w:rsid w:val="0067626F"/>
    <w:rsid w:val="006762FA"/>
    <w:rsid w:val="00676309"/>
    <w:rsid w:val="00676341"/>
    <w:rsid w:val="0067638A"/>
    <w:rsid w:val="00676394"/>
    <w:rsid w:val="006763AC"/>
    <w:rsid w:val="00676418"/>
    <w:rsid w:val="00676452"/>
    <w:rsid w:val="00676470"/>
    <w:rsid w:val="0067649B"/>
    <w:rsid w:val="006764C7"/>
    <w:rsid w:val="0067652D"/>
    <w:rsid w:val="00676576"/>
    <w:rsid w:val="0067658F"/>
    <w:rsid w:val="0067659A"/>
    <w:rsid w:val="00676614"/>
    <w:rsid w:val="0067667C"/>
    <w:rsid w:val="006766CB"/>
    <w:rsid w:val="006766EA"/>
    <w:rsid w:val="006766FC"/>
    <w:rsid w:val="006766FE"/>
    <w:rsid w:val="0067670B"/>
    <w:rsid w:val="0067671C"/>
    <w:rsid w:val="0067674B"/>
    <w:rsid w:val="0067677C"/>
    <w:rsid w:val="00676826"/>
    <w:rsid w:val="00676843"/>
    <w:rsid w:val="0067685F"/>
    <w:rsid w:val="00676888"/>
    <w:rsid w:val="0067689B"/>
    <w:rsid w:val="006768B8"/>
    <w:rsid w:val="006768D8"/>
    <w:rsid w:val="0067690B"/>
    <w:rsid w:val="00676958"/>
    <w:rsid w:val="00676977"/>
    <w:rsid w:val="00676A03"/>
    <w:rsid w:val="00676A23"/>
    <w:rsid w:val="00676A7B"/>
    <w:rsid w:val="00676A7F"/>
    <w:rsid w:val="00676A96"/>
    <w:rsid w:val="00676AA6"/>
    <w:rsid w:val="00676B21"/>
    <w:rsid w:val="00676B42"/>
    <w:rsid w:val="00676BD9"/>
    <w:rsid w:val="00676BE2"/>
    <w:rsid w:val="00676BE8"/>
    <w:rsid w:val="00676C01"/>
    <w:rsid w:val="00676CB5"/>
    <w:rsid w:val="00676D0F"/>
    <w:rsid w:val="00676D49"/>
    <w:rsid w:val="00676D4E"/>
    <w:rsid w:val="00676D92"/>
    <w:rsid w:val="00676DA8"/>
    <w:rsid w:val="00676DCA"/>
    <w:rsid w:val="00676DD2"/>
    <w:rsid w:val="00676DFA"/>
    <w:rsid w:val="00676E19"/>
    <w:rsid w:val="00676E2E"/>
    <w:rsid w:val="00676E54"/>
    <w:rsid w:val="00676E57"/>
    <w:rsid w:val="00676E60"/>
    <w:rsid w:val="00676E83"/>
    <w:rsid w:val="00676FD4"/>
    <w:rsid w:val="00676FF2"/>
    <w:rsid w:val="00677035"/>
    <w:rsid w:val="00677063"/>
    <w:rsid w:val="006770E4"/>
    <w:rsid w:val="00677109"/>
    <w:rsid w:val="0067710A"/>
    <w:rsid w:val="00677151"/>
    <w:rsid w:val="0067717B"/>
    <w:rsid w:val="00677185"/>
    <w:rsid w:val="00677192"/>
    <w:rsid w:val="0067720E"/>
    <w:rsid w:val="00677214"/>
    <w:rsid w:val="00677220"/>
    <w:rsid w:val="0067723D"/>
    <w:rsid w:val="0067729A"/>
    <w:rsid w:val="006772A1"/>
    <w:rsid w:val="006772D4"/>
    <w:rsid w:val="0067730C"/>
    <w:rsid w:val="006773D7"/>
    <w:rsid w:val="00677458"/>
    <w:rsid w:val="00677482"/>
    <w:rsid w:val="006774B8"/>
    <w:rsid w:val="006774BD"/>
    <w:rsid w:val="006774E6"/>
    <w:rsid w:val="00677505"/>
    <w:rsid w:val="00677569"/>
    <w:rsid w:val="0067758F"/>
    <w:rsid w:val="006775C7"/>
    <w:rsid w:val="006776B6"/>
    <w:rsid w:val="006776C2"/>
    <w:rsid w:val="006776EF"/>
    <w:rsid w:val="00677758"/>
    <w:rsid w:val="00677880"/>
    <w:rsid w:val="006778C1"/>
    <w:rsid w:val="00677908"/>
    <w:rsid w:val="00677913"/>
    <w:rsid w:val="0067798B"/>
    <w:rsid w:val="0067798C"/>
    <w:rsid w:val="00677A1D"/>
    <w:rsid w:val="00677A46"/>
    <w:rsid w:val="00677A7A"/>
    <w:rsid w:val="00677A7B"/>
    <w:rsid w:val="00677AA8"/>
    <w:rsid w:val="00677AC0"/>
    <w:rsid w:val="00677AC6"/>
    <w:rsid w:val="00677B27"/>
    <w:rsid w:val="00677C2A"/>
    <w:rsid w:val="00677C3C"/>
    <w:rsid w:val="00677C5B"/>
    <w:rsid w:val="00677CBC"/>
    <w:rsid w:val="00677D58"/>
    <w:rsid w:val="00677D5A"/>
    <w:rsid w:val="00677DA0"/>
    <w:rsid w:val="00677DB7"/>
    <w:rsid w:val="00677DDE"/>
    <w:rsid w:val="00677E03"/>
    <w:rsid w:val="00677E64"/>
    <w:rsid w:val="00677EB1"/>
    <w:rsid w:val="00677F28"/>
    <w:rsid w:val="00677F50"/>
    <w:rsid w:val="00677F88"/>
    <w:rsid w:val="00677FBB"/>
    <w:rsid w:val="00680004"/>
    <w:rsid w:val="0068009B"/>
    <w:rsid w:val="006800D9"/>
    <w:rsid w:val="00680188"/>
    <w:rsid w:val="006801EF"/>
    <w:rsid w:val="00680235"/>
    <w:rsid w:val="0068024B"/>
    <w:rsid w:val="00680255"/>
    <w:rsid w:val="006802B6"/>
    <w:rsid w:val="006802E4"/>
    <w:rsid w:val="00680333"/>
    <w:rsid w:val="00680366"/>
    <w:rsid w:val="0068041B"/>
    <w:rsid w:val="00680426"/>
    <w:rsid w:val="00680429"/>
    <w:rsid w:val="00680483"/>
    <w:rsid w:val="00680493"/>
    <w:rsid w:val="0068053E"/>
    <w:rsid w:val="00680542"/>
    <w:rsid w:val="006805B9"/>
    <w:rsid w:val="006805CA"/>
    <w:rsid w:val="006805CF"/>
    <w:rsid w:val="006805DB"/>
    <w:rsid w:val="0068064D"/>
    <w:rsid w:val="0068064E"/>
    <w:rsid w:val="00680679"/>
    <w:rsid w:val="006806C7"/>
    <w:rsid w:val="006806D9"/>
    <w:rsid w:val="006806F2"/>
    <w:rsid w:val="0068070F"/>
    <w:rsid w:val="00680761"/>
    <w:rsid w:val="00680766"/>
    <w:rsid w:val="0068079B"/>
    <w:rsid w:val="006807AC"/>
    <w:rsid w:val="006807E5"/>
    <w:rsid w:val="006807FF"/>
    <w:rsid w:val="0068081A"/>
    <w:rsid w:val="0068083F"/>
    <w:rsid w:val="0068085D"/>
    <w:rsid w:val="0068088C"/>
    <w:rsid w:val="00680914"/>
    <w:rsid w:val="006809B3"/>
    <w:rsid w:val="006809FC"/>
    <w:rsid w:val="00680A13"/>
    <w:rsid w:val="00680A7A"/>
    <w:rsid w:val="00680B06"/>
    <w:rsid w:val="00680B11"/>
    <w:rsid w:val="00680BAE"/>
    <w:rsid w:val="00680BCF"/>
    <w:rsid w:val="00680C0A"/>
    <w:rsid w:val="00680C0B"/>
    <w:rsid w:val="00680C17"/>
    <w:rsid w:val="00680C68"/>
    <w:rsid w:val="00680C9D"/>
    <w:rsid w:val="00680CBE"/>
    <w:rsid w:val="00680CCE"/>
    <w:rsid w:val="00680CE2"/>
    <w:rsid w:val="00680D99"/>
    <w:rsid w:val="00680DDA"/>
    <w:rsid w:val="00680DDE"/>
    <w:rsid w:val="00680DEC"/>
    <w:rsid w:val="00680E4A"/>
    <w:rsid w:val="00680E63"/>
    <w:rsid w:val="00680E70"/>
    <w:rsid w:val="00680E75"/>
    <w:rsid w:val="00680EA0"/>
    <w:rsid w:val="00680EE0"/>
    <w:rsid w:val="00680EF4"/>
    <w:rsid w:val="00680F38"/>
    <w:rsid w:val="00680FCA"/>
    <w:rsid w:val="00680FF4"/>
    <w:rsid w:val="0068100A"/>
    <w:rsid w:val="00681025"/>
    <w:rsid w:val="0068107D"/>
    <w:rsid w:val="006810A1"/>
    <w:rsid w:val="006810ED"/>
    <w:rsid w:val="00681130"/>
    <w:rsid w:val="00681157"/>
    <w:rsid w:val="0068117A"/>
    <w:rsid w:val="006811A3"/>
    <w:rsid w:val="00681284"/>
    <w:rsid w:val="0068128A"/>
    <w:rsid w:val="0068128C"/>
    <w:rsid w:val="006812E9"/>
    <w:rsid w:val="00681330"/>
    <w:rsid w:val="0068138F"/>
    <w:rsid w:val="006813BA"/>
    <w:rsid w:val="006813F9"/>
    <w:rsid w:val="00681427"/>
    <w:rsid w:val="0068142D"/>
    <w:rsid w:val="00681446"/>
    <w:rsid w:val="00681481"/>
    <w:rsid w:val="0068152C"/>
    <w:rsid w:val="00681553"/>
    <w:rsid w:val="0068155D"/>
    <w:rsid w:val="00681578"/>
    <w:rsid w:val="006815D9"/>
    <w:rsid w:val="006815EC"/>
    <w:rsid w:val="00681601"/>
    <w:rsid w:val="0068165B"/>
    <w:rsid w:val="0068167D"/>
    <w:rsid w:val="0068168B"/>
    <w:rsid w:val="006816C8"/>
    <w:rsid w:val="006816CB"/>
    <w:rsid w:val="0068172E"/>
    <w:rsid w:val="00681749"/>
    <w:rsid w:val="006817B4"/>
    <w:rsid w:val="006817F0"/>
    <w:rsid w:val="0068183F"/>
    <w:rsid w:val="0068185C"/>
    <w:rsid w:val="006818B6"/>
    <w:rsid w:val="006818BA"/>
    <w:rsid w:val="006818DC"/>
    <w:rsid w:val="006818F6"/>
    <w:rsid w:val="006818F7"/>
    <w:rsid w:val="006818FB"/>
    <w:rsid w:val="00681912"/>
    <w:rsid w:val="00681927"/>
    <w:rsid w:val="00681946"/>
    <w:rsid w:val="006819BC"/>
    <w:rsid w:val="006819E8"/>
    <w:rsid w:val="00681A78"/>
    <w:rsid w:val="00681A89"/>
    <w:rsid w:val="00681AA7"/>
    <w:rsid w:val="00681ACE"/>
    <w:rsid w:val="00681B55"/>
    <w:rsid w:val="00681B64"/>
    <w:rsid w:val="00681B77"/>
    <w:rsid w:val="00681B7F"/>
    <w:rsid w:val="00681B8C"/>
    <w:rsid w:val="00681B9E"/>
    <w:rsid w:val="00681BAE"/>
    <w:rsid w:val="00681BF7"/>
    <w:rsid w:val="00681C20"/>
    <w:rsid w:val="00681C59"/>
    <w:rsid w:val="00681C64"/>
    <w:rsid w:val="00681CC5"/>
    <w:rsid w:val="00681CD7"/>
    <w:rsid w:val="00681D4F"/>
    <w:rsid w:val="00681DC0"/>
    <w:rsid w:val="00681DFE"/>
    <w:rsid w:val="00681E83"/>
    <w:rsid w:val="00681EB3"/>
    <w:rsid w:val="00681EC1"/>
    <w:rsid w:val="00681ECC"/>
    <w:rsid w:val="00681EEC"/>
    <w:rsid w:val="00681F1B"/>
    <w:rsid w:val="00681F96"/>
    <w:rsid w:val="00682005"/>
    <w:rsid w:val="00682025"/>
    <w:rsid w:val="00682051"/>
    <w:rsid w:val="00682061"/>
    <w:rsid w:val="0068213B"/>
    <w:rsid w:val="0068219F"/>
    <w:rsid w:val="006821F7"/>
    <w:rsid w:val="006822D5"/>
    <w:rsid w:val="006822D7"/>
    <w:rsid w:val="0068232D"/>
    <w:rsid w:val="00682342"/>
    <w:rsid w:val="00682343"/>
    <w:rsid w:val="0068238D"/>
    <w:rsid w:val="006823CC"/>
    <w:rsid w:val="006823CF"/>
    <w:rsid w:val="006823F5"/>
    <w:rsid w:val="00682408"/>
    <w:rsid w:val="00682422"/>
    <w:rsid w:val="00682472"/>
    <w:rsid w:val="00682506"/>
    <w:rsid w:val="0068250E"/>
    <w:rsid w:val="00682614"/>
    <w:rsid w:val="00682645"/>
    <w:rsid w:val="00682751"/>
    <w:rsid w:val="0068276F"/>
    <w:rsid w:val="00682833"/>
    <w:rsid w:val="00682868"/>
    <w:rsid w:val="0068287F"/>
    <w:rsid w:val="006828BB"/>
    <w:rsid w:val="006828C4"/>
    <w:rsid w:val="006828F8"/>
    <w:rsid w:val="0068291F"/>
    <w:rsid w:val="00682981"/>
    <w:rsid w:val="0068298A"/>
    <w:rsid w:val="006829AD"/>
    <w:rsid w:val="00682A29"/>
    <w:rsid w:val="00682A3E"/>
    <w:rsid w:val="00682A70"/>
    <w:rsid w:val="00682A78"/>
    <w:rsid w:val="00682AD6"/>
    <w:rsid w:val="00682B18"/>
    <w:rsid w:val="00682B56"/>
    <w:rsid w:val="00682BC1"/>
    <w:rsid w:val="00682C02"/>
    <w:rsid w:val="00682C04"/>
    <w:rsid w:val="00682C08"/>
    <w:rsid w:val="00682C85"/>
    <w:rsid w:val="00682C90"/>
    <w:rsid w:val="00682CCF"/>
    <w:rsid w:val="00682CFA"/>
    <w:rsid w:val="00682D02"/>
    <w:rsid w:val="00682D43"/>
    <w:rsid w:val="00682D44"/>
    <w:rsid w:val="00682D66"/>
    <w:rsid w:val="00682D6C"/>
    <w:rsid w:val="00682DFE"/>
    <w:rsid w:val="00682E04"/>
    <w:rsid w:val="00682E60"/>
    <w:rsid w:val="00682E90"/>
    <w:rsid w:val="00682E97"/>
    <w:rsid w:val="00682F1A"/>
    <w:rsid w:val="00682F4A"/>
    <w:rsid w:val="00682FA0"/>
    <w:rsid w:val="00682FFB"/>
    <w:rsid w:val="0068300B"/>
    <w:rsid w:val="006830CA"/>
    <w:rsid w:val="0068310A"/>
    <w:rsid w:val="0068310B"/>
    <w:rsid w:val="00683111"/>
    <w:rsid w:val="00683152"/>
    <w:rsid w:val="006831A2"/>
    <w:rsid w:val="006831B4"/>
    <w:rsid w:val="006831C7"/>
    <w:rsid w:val="006831C9"/>
    <w:rsid w:val="00683234"/>
    <w:rsid w:val="00683245"/>
    <w:rsid w:val="00683246"/>
    <w:rsid w:val="00683308"/>
    <w:rsid w:val="00683382"/>
    <w:rsid w:val="0068338A"/>
    <w:rsid w:val="006833B0"/>
    <w:rsid w:val="006833B2"/>
    <w:rsid w:val="0068340F"/>
    <w:rsid w:val="00683417"/>
    <w:rsid w:val="00683462"/>
    <w:rsid w:val="00683507"/>
    <w:rsid w:val="00683529"/>
    <w:rsid w:val="00683583"/>
    <w:rsid w:val="006835B0"/>
    <w:rsid w:val="0068360B"/>
    <w:rsid w:val="00683698"/>
    <w:rsid w:val="0068369D"/>
    <w:rsid w:val="006836A3"/>
    <w:rsid w:val="006836AE"/>
    <w:rsid w:val="006836B5"/>
    <w:rsid w:val="00683741"/>
    <w:rsid w:val="00683789"/>
    <w:rsid w:val="00683835"/>
    <w:rsid w:val="0068385F"/>
    <w:rsid w:val="0068388F"/>
    <w:rsid w:val="006838EA"/>
    <w:rsid w:val="00683903"/>
    <w:rsid w:val="0068393F"/>
    <w:rsid w:val="00683995"/>
    <w:rsid w:val="006839A9"/>
    <w:rsid w:val="006839C6"/>
    <w:rsid w:val="006839C8"/>
    <w:rsid w:val="006839E9"/>
    <w:rsid w:val="006839F0"/>
    <w:rsid w:val="006839FC"/>
    <w:rsid w:val="00683B6A"/>
    <w:rsid w:val="00683B71"/>
    <w:rsid w:val="00683B84"/>
    <w:rsid w:val="00683C22"/>
    <w:rsid w:val="00683C28"/>
    <w:rsid w:val="00683C29"/>
    <w:rsid w:val="00683CAB"/>
    <w:rsid w:val="00683CD1"/>
    <w:rsid w:val="00683CEE"/>
    <w:rsid w:val="00683CEF"/>
    <w:rsid w:val="00683D57"/>
    <w:rsid w:val="00683D70"/>
    <w:rsid w:val="00683DA5"/>
    <w:rsid w:val="00683DD5"/>
    <w:rsid w:val="00683E28"/>
    <w:rsid w:val="00683E32"/>
    <w:rsid w:val="00683E77"/>
    <w:rsid w:val="00683EC4"/>
    <w:rsid w:val="00683EE3"/>
    <w:rsid w:val="00683EE6"/>
    <w:rsid w:val="00683F3A"/>
    <w:rsid w:val="00683F92"/>
    <w:rsid w:val="00683FFE"/>
    <w:rsid w:val="00684009"/>
    <w:rsid w:val="00684037"/>
    <w:rsid w:val="00684083"/>
    <w:rsid w:val="006840B1"/>
    <w:rsid w:val="006840C7"/>
    <w:rsid w:val="006840FC"/>
    <w:rsid w:val="0068415C"/>
    <w:rsid w:val="0068415E"/>
    <w:rsid w:val="006841A1"/>
    <w:rsid w:val="006841DF"/>
    <w:rsid w:val="006841E6"/>
    <w:rsid w:val="00684239"/>
    <w:rsid w:val="006842A8"/>
    <w:rsid w:val="006842CA"/>
    <w:rsid w:val="00684312"/>
    <w:rsid w:val="00684365"/>
    <w:rsid w:val="00684383"/>
    <w:rsid w:val="006843C8"/>
    <w:rsid w:val="006843FD"/>
    <w:rsid w:val="00684467"/>
    <w:rsid w:val="00684498"/>
    <w:rsid w:val="00684584"/>
    <w:rsid w:val="00684593"/>
    <w:rsid w:val="00684618"/>
    <w:rsid w:val="00684638"/>
    <w:rsid w:val="00684639"/>
    <w:rsid w:val="00684640"/>
    <w:rsid w:val="00684690"/>
    <w:rsid w:val="006846F5"/>
    <w:rsid w:val="0068475F"/>
    <w:rsid w:val="0068478D"/>
    <w:rsid w:val="006847A0"/>
    <w:rsid w:val="006847D5"/>
    <w:rsid w:val="006847E4"/>
    <w:rsid w:val="0068481E"/>
    <w:rsid w:val="0068482A"/>
    <w:rsid w:val="0068483A"/>
    <w:rsid w:val="00684856"/>
    <w:rsid w:val="0068487C"/>
    <w:rsid w:val="00684880"/>
    <w:rsid w:val="006848C2"/>
    <w:rsid w:val="00684939"/>
    <w:rsid w:val="0068494F"/>
    <w:rsid w:val="00684968"/>
    <w:rsid w:val="006849D3"/>
    <w:rsid w:val="00684A38"/>
    <w:rsid w:val="00684AA8"/>
    <w:rsid w:val="00684AC8"/>
    <w:rsid w:val="00684AD8"/>
    <w:rsid w:val="00684AE9"/>
    <w:rsid w:val="00684AFD"/>
    <w:rsid w:val="00684B4B"/>
    <w:rsid w:val="00684BB8"/>
    <w:rsid w:val="00684BC2"/>
    <w:rsid w:val="00684C1F"/>
    <w:rsid w:val="00684C79"/>
    <w:rsid w:val="00684D28"/>
    <w:rsid w:val="00684D5B"/>
    <w:rsid w:val="00684D7C"/>
    <w:rsid w:val="00684E1C"/>
    <w:rsid w:val="00684E31"/>
    <w:rsid w:val="00684E4C"/>
    <w:rsid w:val="00684E5D"/>
    <w:rsid w:val="00684E63"/>
    <w:rsid w:val="00684E78"/>
    <w:rsid w:val="00684EE6"/>
    <w:rsid w:val="00684F43"/>
    <w:rsid w:val="00684F84"/>
    <w:rsid w:val="00684FC3"/>
    <w:rsid w:val="00684FD1"/>
    <w:rsid w:val="00685035"/>
    <w:rsid w:val="00685036"/>
    <w:rsid w:val="0068503D"/>
    <w:rsid w:val="00685040"/>
    <w:rsid w:val="00685044"/>
    <w:rsid w:val="00685066"/>
    <w:rsid w:val="00685080"/>
    <w:rsid w:val="00685095"/>
    <w:rsid w:val="006850B2"/>
    <w:rsid w:val="00685152"/>
    <w:rsid w:val="0068515C"/>
    <w:rsid w:val="0068517A"/>
    <w:rsid w:val="00685193"/>
    <w:rsid w:val="00685195"/>
    <w:rsid w:val="006851DA"/>
    <w:rsid w:val="006851E0"/>
    <w:rsid w:val="00685232"/>
    <w:rsid w:val="006852AB"/>
    <w:rsid w:val="006852C9"/>
    <w:rsid w:val="006852D1"/>
    <w:rsid w:val="006852DB"/>
    <w:rsid w:val="006852DC"/>
    <w:rsid w:val="006852FD"/>
    <w:rsid w:val="0068531E"/>
    <w:rsid w:val="0068535A"/>
    <w:rsid w:val="0068535E"/>
    <w:rsid w:val="006853A2"/>
    <w:rsid w:val="00685401"/>
    <w:rsid w:val="00685423"/>
    <w:rsid w:val="00685431"/>
    <w:rsid w:val="0068543C"/>
    <w:rsid w:val="0068546C"/>
    <w:rsid w:val="006854D0"/>
    <w:rsid w:val="006854F8"/>
    <w:rsid w:val="00685534"/>
    <w:rsid w:val="006855B7"/>
    <w:rsid w:val="006855E1"/>
    <w:rsid w:val="006855FF"/>
    <w:rsid w:val="006856CC"/>
    <w:rsid w:val="006856E6"/>
    <w:rsid w:val="006856ED"/>
    <w:rsid w:val="006856F1"/>
    <w:rsid w:val="00685786"/>
    <w:rsid w:val="006857CB"/>
    <w:rsid w:val="0068581D"/>
    <w:rsid w:val="0068588D"/>
    <w:rsid w:val="006858CA"/>
    <w:rsid w:val="0068596F"/>
    <w:rsid w:val="0068598B"/>
    <w:rsid w:val="006859F0"/>
    <w:rsid w:val="00685A86"/>
    <w:rsid w:val="00685AA7"/>
    <w:rsid w:val="00685B22"/>
    <w:rsid w:val="00685B25"/>
    <w:rsid w:val="00685B41"/>
    <w:rsid w:val="00685BA6"/>
    <w:rsid w:val="00685BD3"/>
    <w:rsid w:val="00685BF3"/>
    <w:rsid w:val="00685C2D"/>
    <w:rsid w:val="00685C39"/>
    <w:rsid w:val="00685D93"/>
    <w:rsid w:val="00685DE4"/>
    <w:rsid w:val="00685DF8"/>
    <w:rsid w:val="00685E11"/>
    <w:rsid w:val="00685E22"/>
    <w:rsid w:val="00685E2E"/>
    <w:rsid w:val="00685E3A"/>
    <w:rsid w:val="00685E52"/>
    <w:rsid w:val="00685E89"/>
    <w:rsid w:val="00685E9A"/>
    <w:rsid w:val="00685F27"/>
    <w:rsid w:val="00685F5A"/>
    <w:rsid w:val="0068603C"/>
    <w:rsid w:val="0068604C"/>
    <w:rsid w:val="006860B8"/>
    <w:rsid w:val="006860DE"/>
    <w:rsid w:val="0068614B"/>
    <w:rsid w:val="0068616E"/>
    <w:rsid w:val="0068619F"/>
    <w:rsid w:val="006861DB"/>
    <w:rsid w:val="006861F9"/>
    <w:rsid w:val="0068622E"/>
    <w:rsid w:val="0068624F"/>
    <w:rsid w:val="0068626C"/>
    <w:rsid w:val="00686293"/>
    <w:rsid w:val="006862C8"/>
    <w:rsid w:val="0068631B"/>
    <w:rsid w:val="0068638C"/>
    <w:rsid w:val="006863D9"/>
    <w:rsid w:val="0068650A"/>
    <w:rsid w:val="00686511"/>
    <w:rsid w:val="0068656D"/>
    <w:rsid w:val="0068657C"/>
    <w:rsid w:val="0068658B"/>
    <w:rsid w:val="006865D7"/>
    <w:rsid w:val="006866B5"/>
    <w:rsid w:val="006866DC"/>
    <w:rsid w:val="006867BC"/>
    <w:rsid w:val="006867D9"/>
    <w:rsid w:val="0068686B"/>
    <w:rsid w:val="006868BA"/>
    <w:rsid w:val="006868F0"/>
    <w:rsid w:val="006868FB"/>
    <w:rsid w:val="00686924"/>
    <w:rsid w:val="00686951"/>
    <w:rsid w:val="00686964"/>
    <w:rsid w:val="00686993"/>
    <w:rsid w:val="00686998"/>
    <w:rsid w:val="006869E4"/>
    <w:rsid w:val="00686A27"/>
    <w:rsid w:val="00686A49"/>
    <w:rsid w:val="00686A6D"/>
    <w:rsid w:val="00686AE1"/>
    <w:rsid w:val="00686AE5"/>
    <w:rsid w:val="00686B96"/>
    <w:rsid w:val="00686B9F"/>
    <w:rsid w:val="00686BAB"/>
    <w:rsid w:val="00686BAF"/>
    <w:rsid w:val="00686BD2"/>
    <w:rsid w:val="00686BF1"/>
    <w:rsid w:val="00686BF4"/>
    <w:rsid w:val="00686C57"/>
    <w:rsid w:val="00686C63"/>
    <w:rsid w:val="00686C9B"/>
    <w:rsid w:val="00686D5A"/>
    <w:rsid w:val="00686D67"/>
    <w:rsid w:val="00686D7E"/>
    <w:rsid w:val="00686D81"/>
    <w:rsid w:val="00686D9E"/>
    <w:rsid w:val="00686DBC"/>
    <w:rsid w:val="00686DF7"/>
    <w:rsid w:val="00686EDE"/>
    <w:rsid w:val="00686EF1"/>
    <w:rsid w:val="00686F59"/>
    <w:rsid w:val="00686F5D"/>
    <w:rsid w:val="00686FA8"/>
    <w:rsid w:val="00686FBF"/>
    <w:rsid w:val="0068700E"/>
    <w:rsid w:val="0068703C"/>
    <w:rsid w:val="00687043"/>
    <w:rsid w:val="00687065"/>
    <w:rsid w:val="006870AA"/>
    <w:rsid w:val="006870C2"/>
    <w:rsid w:val="00687113"/>
    <w:rsid w:val="00687128"/>
    <w:rsid w:val="0068714A"/>
    <w:rsid w:val="00687199"/>
    <w:rsid w:val="006871A3"/>
    <w:rsid w:val="006871CE"/>
    <w:rsid w:val="006871E2"/>
    <w:rsid w:val="00687208"/>
    <w:rsid w:val="00687256"/>
    <w:rsid w:val="006872A2"/>
    <w:rsid w:val="006872B5"/>
    <w:rsid w:val="006872DB"/>
    <w:rsid w:val="006872E8"/>
    <w:rsid w:val="006872F5"/>
    <w:rsid w:val="006872FE"/>
    <w:rsid w:val="0068731B"/>
    <w:rsid w:val="00687331"/>
    <w:rsid w:val="0068734A"/>
    <w:rsid w:val="0068737E"/>
    <w:rsid w:val="00687397"/>
    <w:rsid w:val="00687462"/>
    <w:rsid w:val="006874A4"/>
    <w:rsid w:val="006874AE"/>
    <w:rsid w:val="006874F0"/>
    <w:rsid w:val="00687571"/>
    <w:rsid w:val="0068759E"/>
    <w:rsid w:val="006875AA"/>
    <w:rsid w:val="00687669"/>
    <w:rsid w:val="00687670"/>
    <w:rsid w:val="0068767E"/>
    <w:rsid w:val="006877D4"/>
    <w:rsid w:val="00687828"/>
    <w:rsid w:val="00687840"/>
    <w:rsid w:val="00687868"/>
    <w:rsid w:val="00687959"/>
    <w:rsid w:val="00687970"/>
    <w:rsid w:val="00687988"/>
    <w:rsid w:val="006879E1"/>
    <w:rsid w:val="006879F0"/>
    <w:rsid w:val="00687A23"/>
    <w:rsid w:val="00687A27"/>
    <w:rsid w:val="00687A31"/>
    <w:rsid w:val="00687A32"/>
    <w:rsid w:val="00687A49"/>
    <w:rsid w:val="00687A72"/>
    <w:rsid w:val="00687A7E"/>
    <w:rsid w:val="00687AE7"/>
    <w:rsid w:val="00687B0F"/>
    <w:rsid w:val="00687B5F"/>
    <w:rsid w:val="00687BD0"/>
    <w:rsid w:val="00687C04"/>
    <w:rsid w:val="00687CEB"/>
    <w:rsid w:val="00687D58"/>
    <w:rsid w:val="00687D6D"/>
    <w:rsid w:val="00687D8F"/>
    <w:rsid w:val="00687DA0"/>
    <w:rsid w:val="00687DB6"/>
    <w:rsid w:val="00687DCA"/>
    <w:rsid w:val="00687DFC"/>
    <w:rsid w:val="00687E04"/>
    <w:rsid w:val="00687E33"/>
    <w:rsid w:val="00687E36"/>
    <w:rsid w:val="00687E56"/>
    <w:rsid w:val="00687E65"/>
    <w:rsid w:val="00687EED"/>
    <w:rsid w:val="00687EF9"/>
    <w:rsid w:val="00687FCB"/>
    <w:rsid w:val="00687FF4"/>
    <w:rsid w:val="00687FFC"/>
    <w:rsid w:val="006887FE"/>
    <w:rsid w:val="0068B485"/>
    <w:rsid w:val="00690053"/>
    <w:rsid w:val="0069006E"/>
    <w:rsid w:val="00690090"/>
    <w:rsid w:val="00690091"/>
    <w:rsid w:val="006900B2"/>
    <w:rsid w:val="006900BE"/>
    <w:rsid w:val="006900D0"/>
    <w:rsid w:val="00690106"/>
    <w:rsid w:val="00690111"/>
    <w:rsid w:val="00690137"/>
    <w:rsid w:val="00690159"/>
    <w:rsid w:val="00690187"/>
    <w:rsid w:val="0069018B"/>
    <w:rsid w:val="0069018D"/>
    <w:rsid w:val="006901C3"/>
    <w:rsid w:val="006901CC"/>
    <w:rsid w:val="0069024E"/>
    <w:rsid w:val="0069025F"/>
    <w:rsid w:val="0069026B"/>
    <w:rsid w:val="0069027A"/>
    <w:rsid w:val="0069028F"/>
    <w:rsid w:val="006902BA"/>
    <w:rsid w:val="006902C5"/>
    <w:rsid w:val="00690362"/>
    <w:rsid w:val="0069036C"/>
    <w:rsid w:val="006903A9"/>
    <w:rsid w:val="00690442"/>
    <w:rsid w:val="0069046E"/>
    <w:rsid w:val="0069047D"/>
    <w:rsid w:val="0069051C"/>
    <w:rsid w:val="0069052A"/>
    <w:rsid w:val="00690547"/>
    <w:rsid w:val="0069056A"/>
    <w:rsid w:val="006905D9"/>
    <w:rsid w:val="00690615"/>
    <w:rsid w:val="00690654"/>
    <w:rsid w:val="00690692"/>
    <w:rsid w:val="00690694"/>
    <w:rsid w:val="006906B3"/>
    <w:rsid w:val="006906E1"/>
    <w:rsid w:val="006906F5"/>
    <w:rsid w:val="0069072F"/>
    <w:rsid w:val="0069076C"/>
    <w:rsid w:val="0069076D"/>
    <w:rsid w:val="00690782"/>
    <w:rsid w:val="006907A6"/>
    <w:rsid w:val="006907BB"/>
    <w:rsid w:val="0069084B"/>
    <w:rsid w:val="0069088D"/>
    <w:rsid w:val="00690898"/>
    <w:rsid w:val="006908B7"/>
    <w:rsid w:val="006908ED"/>
    <w:rsid w:val="00690954"/>
    <w:rsid w:val="0069097E"/>
    <w:rsid w:val="006909BC"/>
    <w:rsid w:val="006909FC"/>
    <w:rsid w:val="00690A02"/>
    <w:rsid w:val="00690A12"/>
    <w:rsid w:val="00690A15"/>
    <w:rsid w:val="00690A46"/>
    <w:rsid w:val="00690A71"/>
    <w:rsid w:val="00690A83"/>
    <w:rsid w:val="00690AA0"/>
    <w:rsid w:val="00690AA7"/>
    <w:rsid w:val="00690ABE"/>
    <w:rsid w:val="00690AED"/>
    <w:rsid w:val="00690AFE"/>
    <w:rsid w:val="00690B00"/>
    <w:rsid w:val="00690B17"/>
    <w:rsid w:val="00690B30"/>
    <w:rsid w:val="00690B7D"/>
    <w:rsid w:val="00690BAA"/>
    <w:rsid w:val="00690BED"/>
    <w:rsid w:val="00690C2A"/>
    <w:rsid w:val="00690C75"/>
    <w:rsid w:val="00690CB1"/>
    <w:rsid w:val="00690CB8"/>
    <w:rsid w:val="00690CC7"/>
    <w:rsid w:val="00690CCB"/>
    <w:rsid w:val="00690CD3"/>
    <w:rsid w:val="00690D24"/>
    <w:rsid w:val="00690D38"/>
    <w:rsid w:val="00690D4E"/>
    <w:rsid w:val="00690D53"/>
    <w:rsid w:val="00690D84"/>
    <w:rsid w:val="00690D92"/>
    <w:rsid w:val="00690E0C"/>
    <w:rsid w:val="00690E22"/>
    <w:rsid w:val="00690E35"/>
    <w:rsid w:val="00690E61"/>
    <w:rsid w:val="00690E7C"/>
    <w:rsid w:val="00690EB7"/>
    <w:rsid w:val="00690EE1"/>
    <w:rsid w:val="00690F29"/>
    <w:rsid w:val="0069100C"/>
    <w:rsid w:val="00691029"/>
    <w:rsid w:val="006910A6"/>
    <w:rsid w:val="006910B6"/>
    <w:rsid w:val="006910D7"/>
    <w:rsid w:val="006910E7"/>
    <w:rsid w:val="006911E0"/>
    <w:rsid w:val="006911F3"/>
    <w:rsid w:val="00691201"/>
    <w:rsid w:val="0069125B"/>
    <w:rsid w:val="006912A6"/>
    <w:rsid w:val="006912FB"/>
    <w:rsid w:val="00691316"/>
    <w:rsid w:val="00691393"/>
    <w:rsid w:val="006913E3"/>
    <w:rsid w:val="006913ED"/>
    <w:rsid w:val="00691407"/>
    <w:rsid w:val="00691433"/>
    <w:rsid w:val="00691485"/>
    <w:rsid w:val="006914A4"/>
    <w:rsid w:val="006914AF"/>
    <w:rsid w:val="006914B6"/>
    <w:rsid w:val="006914C9"/>
    <w:rsid w:val="006914D4"/>
    <w:rsid w:val="00691515"/>
    <w:rsid w:val="0069154C"/>
    <w:rsid w:val="006915D8"/>
    <w:rsid w:val="0069163A"/>
    <w:rsid w:val="00691686"/>
    <w:rsid w:val="0069168C"/>
    <w:rsid w:val="00691691"/>
    <w:rsid w:val="006916BC"/>
    <w:rsid w:val="006916DA"/>
    <w:rsid w:val="0069171F"/>
    <w:rsid w:val="006917DE"/>
    <w:rsid w:val="00691813"/>
    <w:rsid w:val="006918CC"/>
    <w:rsid w:val="006918DB"/>
    <w:rsid w:val="006918F2"/>
    <w:rsid w:val="00691942"/>
    <w:rsid w:val="00691957"/>
    <w:rsid w:val="0069196D"/>
    <w:rsid w:val="006919A4"/>
    <w:rsid w:val="006919BB"/>
    <w:rsid w:val="006919BC"/>
    <w:rsid w:val="006919EB"/>
    <w:rsid w:val="00691A94"/>
    <w:rsid w:val="00691AE5"/>
    <w:rsid w:val="00691AED"/>
    <w:rsid w:val="00691B18"/>
    <w:rsid w:val="00691B5F"/>
    <w:rsid w:val="00691B8A"/>
    <w:rsid w:val="00691BA9"/>
    <w:rsid w:val="00691BB6"/>
    <w:rsid w:val="00691BEB"/>
    <w:rsid w:val="00691C03"/>
    <w:rsid w:val="00691C3D"/>
    <w:rsid w:val="00691C59"/>
    <w:rsid w:val="00691C87"/>
    <w:rsid w:val="00691C97"/>
    <w:rsid w:val="00691CF3"/>
    <w:rsid w:val="00691D0B"/>
    <w:rsid w:val="00691D75"/>
    <w:rsid w:val="00691D8C"/>
    <w:rsid w:val="00691DA3"/>
    <w:rsid w:val="00691E27"/>
    <w:rsid w:val="00691E41"/>
    <w:rsid w:val="00691E5D"/>
    <w:rsid w:val="00691E64"/>
    <w:rsid w:val="00691E69"/>
    <w:rsid w:val="00691EBD"/>
    <w:rsid w:val="00691ED9"/>
    <w:rsid w:val="00691F1E"/>
    <w:rsid w:val="00691F63"/>
    <w:rsid w:val="00691F78"/>
    <w:rsid w:val="00691F94"/>
    <w:rsid w:val="00691FE1"/>
    <w:rsid w:val="00692022"/>
    <w:rsid w:val="00692035"/>
    <w:rsid w:val="00692057"/>
    <w:rsid w:val="00692075"/>
    <w:rsid w:val="00692123"/>
    <w:rsid w:val="00692144"/>
    <w:rsid w:val="0069217D"/>
    <w:rsid w:val="006921DC"/>
    <w:rsid w:val="006921DE"/>
    <w:rsid w:val="006921F9"/>
    <w:rsid w:val="006921FF"/>
    <w:rsid w:val="00692223"/>
    <w:rsid w:val="00692238"/>
    <w:rsid w:val="00692242"/>
    <w:rsid w:val="00692247"/>
    <w:rsid w:val="00692314"/>
    <w:rsid w:val="00692385"/>
    <w:rsid w:val="00692389"/>
    <w:rsid w:val="006923C4"/>
    <w:rsid w:val="00692405"/>
    <w:rsid w:val="00692453"/>
    <w:rsid w:val="0069249C"/>
    <w:rsid w:val="006924AA"/>
    <w:rsid w:val="00692542"/>
    <w:rsid w:val="0069258F"/>
    <w:rsid w:val="006925E7"/>
    <w:rsid w:val="006925F8"/>
    <w:rsid w:val="0069264C"/>
    <w:rsid w:val="006926CA"/>
    <w:rsid w:val="006926D0"/>
    <w:rsid w:val="006926DD"/>
    <w:rsid w:val="006926E9"/>
    <w:rsid w:val="006926FC"/>
    <w:rsid w:val="00692707"/>
    <w:rsid w:val="00692733"/>
    <w:rsid w:val="0069274D"/>
    <w:rsid w:val="006927A3"/>
    <w:rsid w:val="00692817"/>
    <w:rsid w:val="0069287E"/>
    <w:rsid w:val="00692896"/>
    <w:rsid w:val="006928CD"/>
    <w:rsid w:val="0069292A"/>
    <w:rsid w:val="0069295D"/>
    <w:rsid w:val="00692A5C"/>
    <w:rsid w:val="00692A6E"/>
    <w:rsid w:val="00692A79"/>
    <w:rsid w:val="00692A80"/>
    <w:rsid w:val="00692A97"/>
    <w:rsid w:val="00692AB3"/>
    <w:rsid w:val="00692ABC"/>
    <w:rsid w:val="00692AEE"/>
    <w:rsid w:val="00692B07"/>
    <w:rsid w:val="00692B33"/>
    <w:rsid w:val="00692B47"/>
    <w:rsid w:val="00692B6A"/>
    <w:rsid w:val="00692B79"/>
    <w:rsid w:val="00692B86"/>
    <w:rsid w:val="00692C0E"/>
    <w:rsid w:val="00692C26"/>
    <w:rsid w:val="00692C37"/>
    <w:rsid w:val="00692C38"/>
    <w:rsid w:val="00692C66"/>
    <w:rsid w:val="00692CC4"/>
    <w:rsid w:val="00692D50"/>
    <w:rsid w:val="00692DA7"/>
    <w:rsid w:val="00692DE9"/>
    <w:rsid w:val="00692E1E"/>
    <w:rsid w:val="00692E30"/>
    <w:rsid w:val="00692E33"/>
    <w:rsid w:val="00692F03"/>
    <w:rsid w:val="00692F06"/>
    <w:rsid w:val="00692FAA"/>
    <w:rsid w:val="00692FB4"/>
    <w:rsid w:val="00692FD9"/>
    <w:rsid w:val="0069300E"/>
    <w:rsid w:val="00693156"/>
    <w:rsid w:val="00693224"/>
    <w:rsid w:val="00693241"/>
    <w:rsid w:val="006932E0"/>
    <w:rsid w:val="0069330A"/>
    <w:rsid w:val="00693356"/>
    <w:rsid w:val="006933A0"/>
    <w:rsid w:val="006933F7"/>
    <w:rsid w:val="00693431"/>
    <w:rsid w:val="00693474"/>
    <w:rsid w:val="0069348D"/>
    <w:rsid w:val="0069348F"/>
    <w:rsid w:val="00693598"/>
    <w:rsid w:val="006935B3"/>
    <w:rsid w:val="006935C0"/>
    <w:rsid w:val="006935DB"/>
    <w:rsid w:val="0069361A"/>
    <w:rsid w:val="00693625"/>
    <w:rsid w:val="0069363B"/>
    <w:rsid w:val="0069365B"/>
    <w:rsid w:val="00693708"/>
    <w:rsid w:val="0069371A"/>
    <w:rsid w:val="006937BB"/>
    <w:rsid w:val="00693803"/>
    <w:rsid w:val="00693812"/>
    <w:rsid w:val="0069383C"/>
    <w:rsid w:val="006938C8"/>
    <w:rsid w:val="00693988"/>
    <w:rsid w:val="006939E3"/>
    <w:rsid w:val="00693A22"/>
    <w:rsid w:val="00693A32"/>
    <w:rsid w:val="00693A56"/>
    <w:rsid w:val="00693A5A"/>
    <w:rsid w:val="00693A5C"/>
    <w:rsid w:val="00693A62"/>
    <w:rsid w:val="00693A63"/>
    <w:rsid w:val="00693A8C"/>
    <w:rsid w:val="00693A99"/>
    <w:rsid w:val="00693ABD"/>
    <w:rsid w:val="00693AC9"/>
    <w:rsid w:val="00693B00"/>
    <w:rsid w:val="00693B68"/>
    <w:rsid w:val="00693B9B"/>
    <w:rsid w:val="00693B9E"/>
    <w:rsid w:val="00693BE3"/>
    <w:rsid w:val="00693C30"/>
    <w:rsid w:val="00693CAD"/>
    <w:rsid w:val="00693D00"/>
    <w:rsid w:val="00693D07"/>
    <w:rsid w:val="00693D0A"/>
    <w:rsid w:val="00693D43"/>
    <w:rsid w:val="00693D65"/>
    <w:rsid w:val="00693D7F"/>
    <w:rsid w:val="00693DA3"/>
    <w:rsid w:val="00693DD2"/>
    <w:rsid w:val="00693DD3"/>
    <w:rsid w:val="00693E2F"/>
    <w:rsid w:val="00693E36"/>
    <w:rsid w:val="00693E3F"/>
    <w:rsid w:val="00693E7A"/>
    <w:rsid w:val="00693F25"/>
    <w:rsid w:val="00693F89"/>
    <w:rsid w:val="00693FBA"/>
    <w:rsid w:val="00694077"/>
    <w:rsid w:val="0069408E"/>
    <w:rsid w:val="006940F8"/>
    <w:rsid w:val="00694104"/>
    <w:rsid w:val="0069417D"/>
    <w:rsid w:val="00694187"/>
    <w:rsid w:val="006941A2"/>
    <w:rsid w:val="006941BF"/>
    <w:rsid w:val="00694223"/>
    <w:rsid w:val="00694248"/>
    <w:rsid w:val="006942F3"/>
    <w:rsid w:val="0069430E"/>
    <w:rsid w:val="0069434C"/>
    <w:rsid w:val="0069439C"/>
    <w:rsid w:val="006943A4"/>
    <w:rsid w:val="006943AE"/>
    <w:rsid w:val="006943D1"/>
    <w:rsid w:val="0069445D"/>
    <w:rsid w:val="00694464"/>
    <w:rsid w:val="0069447B"/>
    <w:rsid w:val="006944B3"/>
    <w:rsid w:val="006944B5"/>
    <w:rsid w:val="006944EF"/>
    <w:rsid w:val="006944F2"/>
    <w:rsid w:val="00694507"/>
    <w:rsid w:val="0069455A"/>
    <w:rsid w:val="0069455B"/>
    <w:rsid w:val="006945AA"/>
    <w:rsid w:val="006945CD"/>
    <w:rsid w:val="006945DA"/>
    <w:rsid w:val="0069461A"/>
    <w:rsid w:val="00694637"/>
    <w:rsid w:val="00694665"/>
    <w:rsid w:val="006946AB"/>
    <w:rsid w:val="006946D0"/>
    <w:rsid w:val="006946D3"/>
    <w:rsid w:val="00694745"/>
    <w:rsid w:val="0069476A"/>
    <w:rsid w:val="00694794"/>
    <w:rsid w:val="00694849"/>
    <w:rsid w:val="00694867"/>
    <w:rsid w:val="0069487F"/>
    <w:rsid w:val="0069488A"/>
    <w:rsid w:val="00694897"/>
    <w:rsid w:val="006948DC"/>
    <w:rsid w:val="0069490B"/>
    <w:rsid w:val="0069495C"/>
    <w:rsid w:val="00694A3A"/>
    <w:rsid w:val="00694A94"/>
    <w:rsid w:val="00694A9F"/>
    <w:rsid w:val="00694AAA"/>
    <w:rsid w:val="00694AE3"/>
    <w:rsid w:val="00694AEA"/>
    <w:rsid w:val="00694B1A"/>
    <w:rsid w:val="00694B87"/>
    <w:rsid w:val="00694C03"/>
    <w:rsid w:val="00694C25"/>
    <w:rsid w:val="00694C6B"/>
    <w:rsid w:val="00694C7E"/>
    <w:rsid w:val="00694CA7"/>
    <w:rsid w:val="00694D64"/>
    <w:rsid w:val="00694D7B"/>
    <w:rsid w:val="00694DDD"/>
    <w:rsid w:val="00694E11"/>
    <w:rsid w:val="00694E4A"/>
    <w:rsid w:val="00694E5A"/>
    <w:rsid w:val="00694E5C"/>
    <w:rsid w:val="00694E64"/>
    <w:rsid w:val="00694E6D"/>
    <w:rsid w:val="00694F13"/>
    <w:rsid w:val="00694F1B"/>
    <w:rsid w:val="00694F2B"/>
    <w:rsid w:val="00694F3F"/>
    <w:rsid w:val="00694F92"/>
    <w:rsid w:val="00694FE8"/>
    <w:rsid w:val="0069505B"/>
    <w:rsid w:val="006950C2"/>
    <w:rsid w:val="006950DA"/>
    <w:rsid w:val="00695108"/>
    <w:rsid w:val="00695130"/>
    <w:rsid w:val="0069518A"/>
    <w:rsid w:val="00695197"/>
    <w:rsid w:val="006951A6"/>
    <w:rsid w:val="006951C2"/>
    <w:rsid w:val="00695211"/>
    <w:rsid w:val="0069523F"/>
    <w:rsid w:val="00695266"/>
    <w:rsid w:val="0069526B"/>
    <w:rsid w:val="0069526D"/>
    <w:rsid w:val="00695280"/>
    <w:rsid w:val="006952B3"/>
    <w:rsid w:val="006952DB"/>
    <w:rsid w:val="006952EC"/>
    <w:rsid w:val="006952F5"/>
    <w:rsid w:val="00695352"/>
    <w:rsid w:val="0069536F"/>
    <w:rsid w:val="00695396"/>
    <w:rsid w:val="006953B6"/>
    <w:rsid w:val="0069542D"/>
    <w:rsid w:val="0069543A"/>
    <w:rsid w:val="0069548B"/>
    <w:rsid w:val="00695496"/>
    <w:rsid w:val="006954E2"/>
    <w:rsid w:val="00695556"/>
    <w:rsid w:val="00695577"/>
    <w:rsid w:val="006955D4"/>
    <w:rsid w:val="006955DA"/>
    <w:rsid w:val="00695638"/>
    <w:rsid w:val="0069565F"/>
    <w:rsid w:val="006956BB"/>
    <w:rsid w:val="006956D5"/>
    <w:rsid w:val="00695713"/>
    <w:rsid w:val="00695755"/>
    <w:rsid w:val="006957A6"/>
    <w:rsid w:val="006957AF"/>
    <w:rsid w:val="006957CE"/>
    <w:rsid w:val="00695810"/>
    <w:rsid w:val="0069584A"/>
    <w:rsid w:val="006958F9"/>
    <w:rsid w:val="0069592C"/>
    <w:rsid w:val="0069597B"/>
    <w:rsid w:val="006959B9"/>
    <w:rsid w:val="00695A1E"/>
    <w:rsid w:val="00695A71"/>
    <w:rsid w:val="00695A83"/>
    <w:rsid w:val="00695B17"/>
    <w:rsid w:val="00695B33"/>
    <w:rsid w:val="00695B44"/>
    <w:rsid w:val="00695B75"/>
    <w:rsid w:val="00695C1B"/>
    <w:rsid w:val="00695C45"/>
    <w:rsid w:val="00695C56"/>
    <w:rsid w:val="00695CA7"/>
    <w:rsid w:val="00695CAE"/>
    <w:rsid w:val="00695CBE"/>
    <w:rsid w:val="00695D35"/>
    <w:rsid w:val="00695D6B"/>
    <w:rsid w:val="00695D9A"/>
    <w:rsid w:val="00695DB8"/>
    <w:rsid w:val="00695DCD"/>
    <w:rsid w:val="00695E1D"/>
    <w:rsid w:val="00695E57"/>
    <w:rsid w:val="00695E68"/>
    <w:rsid w:val="00695F08"/>
    <w:rsid w:val="00695F1C"/>
    <w:rsid w:val="00695F56"/>
    <w:rsid w:val="00695F86"/>
    <w:rsid w:val="0069600B"/>
    <w:rsid w:val="0069601C"/>
    <w:rsid w:val="0069612D"/>
    <w:rsid w:val="00696211"/>
    <w:rsid w:val="00696277"/>
    <w:rsid w:val="0069628F"/>
    <w:rsid w:val="006962F2"/>
    <w:rsid w:val="00696335"/>
    <w:rsid w:val="006963B1"/>
    <w:rsid w:val="006963CC"/>
    <w:rsid w:val="006963E5"/>
    <w:rsid w:val="00696428"/>
    <w:rsid w:val="00696437"/>
    <w:rsid w:val="00696450"/>
    <w:rsid w:val="00696456"/>
    <w:rsid w:val="00696481"/>
    <w:rsid w:val="0069648D"/>
    <w:rsid w:val="006964D0"/>
    <w:rsid w:val="006964F6"/>
    <w:rsid w:val="006964F7"/>
    <w:rsid w:val="00696549"/>
    <w:rsid w:val="0069654D"/>
    <w:rsid w:val="0069656F"/>
    <w:rsid w:val="00696572"/>
    <w:rsid w:val="00696592"/>
    <w:rsid w:val="006965A3"/>
    <w:rsid w:val="006965DC"/>
    <w:rsid w:val="006965E1"/>
    <w:rsid w:val="006965EB"/>
    <w:rsid w:val="0069660C"/>
    <w:rsid w:val="00696652"/>
    <w:rsid w:val="00696654"/>
    <w:rsid w:val="00696662"/>
    <w:rsid w:val="006966C4"/>
    <w:rsid w:val="006966DF"/>
    <w:rsid w:val="00696754"/>
    <w:rsid w:val="0069676D"/>
    <w:rsid w:val="006967CC"/>
    <w:rsid w:val="006967FD"/>
    <w:rsid w:val="00696847"/>
    <w:rsid w:val="0069684A"/>
    <w:rsid w:val="0069684F"/>
    <w:rsid w:val="00696866"/>
    <w:rsid w:val="00696883"/>
    <w:rsid w:val="00696911"/>
    <w:rsid w:val="00696934"/>
    <w:rsid w:val="0069696A"/>
    <w:rsid w:val="00696987"/>
    <w:rsid w:val="00696A29"/>
    <w:rsid w:val="00696A69"/>
    <w:rsid w:val="00696A6F"/>
    <w:rsid w:val="00696A80"/>
    <w:rsid w:val="00696A93"/>
    <w:rsid w:val="00696AA6"/>
    <w:rsid w:val="00696B6E"/>
    <w:rsid w:val="00696B6F"/>
    <w:rsid w:val="00696B9C"/>
    <w:rsid w:val="00696BB3"/>
    <w:rsid w:val="00696BEE"/>
    <w:rsid w:val="00696BF6"/>
    <w:rsid w:val="00696C14"/>
    <w:rsid w:val="00696C6C"/>
    <w:rsid w:val="00696C82"/>
    <w:rsid w:val="00696CA1"/>
    <w:rsid w:val="00696CB7"/>
    <w:rsid w:val="00696D25"/>
    <w:rsid w:val="00696D41"/>
    <w:rsid w:val="00696D4A"/>
    <w:rsid w:val="00696D7E"/>
    <w:rsid w:val="00696DFD"/>
    <w:rsid w:val="00696EAC"/>
    <w:rsid w:val="00696EED"/>
    <w:rsid w:val="00696EF1"/>
    <w:rsid w:val="00696F01"/>
    <w:rsid w:val="00696FCC"/>
    <w:rsid w:val="0069700E"/>
    <w:rsid w:val="0069702C"/>
    <w:rsid w:val="0069710C"/>
    <w:rsid w:val="00697128"/>
    <w:rsid w:val="00697166"/>
    <w:rsid w:val="00697181"/>
    <w:rsid w:val="00697184"/>
    <w:rsid w:val="006971BD"/>
    <w:rsid w:val="006971CA"/>
    <w:rsid w:val="006971CD"/>
    <w:rsid w:val="00697201"/>
    <w:rsid w:val="0069725C"/>
    <w:rsid w:val="006972A9"/>
    <w:rsid w:val="006972B7"/>
    <w:rsid w:val="006972CE"/>
    <w:rsid w:val="00697324"/>
    <w:rsid w:val="0069732B"/>
    <w:rsid w:val="00697386"/>
    <w:rsid w:val="006973AD"/>
    <w:rsid w:val="006973B5"/>
    <w:rsid w:val="006973BC"/>
    <w:rsid w:val="0069740C"/>
    <w:rsid w:val="0069743C"/>
    <w:rsid w:val="00697468"/>
    <w:rsid w:val="00697497"/>
    <w:rsid w:val="00697508"/>
    <w:rsid w:val="0069750E"/>
    <w:rsid w:val="0069753A"/>
    <w:rsid w:val="00697551"/>
    <w:rsid w:val="006975C8"/>
    <w:rsid w:val="00697616"/>
    <w:rsid w:val="0069765E"/>
    <w:rsid w:val="00697685"/>
    <w:rsid w:val="00697738"/>
    <w:rsid w:val="00697742"/>
    <w:rsid w:val="006977BA"/>
    <w:rsid w:val="006977CB"/>
    <w:rsid w:val="006977F5"/>
    <w:rsid w:val="0069787E"/>
    <w:rsid w:val="00697891"/>
    <w:rsid w:val="006978A4"/>
    <w:rsid w:val="006978A5"/>
    <w:rsid w:val="006978FA"/>
    <w:rsid w:val="00697973"/>
    <w:rsid w:val="00697A1F"/>
    <w:rsid w:val="00697A36"/>
    <w:rsid w:val="00697A37"/>
    <w:rsid w:val="00697A49"/>
    <w:rsid w:val="00697A68"/>
    <w:rsid w:val="00697A6C"/>
    <w:rsid w:val="00697A7C"/>
    <w:rsid w:val="00697B11"/>
    <w:rsid w:val="00697B18"/>
    <w:rsid w:val="00697BC6"/>
    <w:rsid w:val="00697BDA"/>
    <w:rsid w:val="00697C20"/>
    <w:rsid w:val="00697C75"/>
    <w:rsid w:val="00697C76"/>
    <w:rsid w:val="00697C94"/>
    <w:rsid w:val="00697CA1"/>
    <w:rsid w:val="00697CC7"/>
    <w:rsid w:val="00697D02"/>
    <w:rsid w:val="00697D03"/>
    <w:rsid w:val="00697D41"/>
    <w:rsid w:val="00697D52"/>
    <w:rsid w:val="00697D68"/>
    <w:rsid w:val="00697D7B"/>
    <w:rsid w:val="00697DC5"/>
    <w:rsid w:val="00697DC9"/>
    <w:rsid w:val="00697DF3"/>
    <w:rsid w:val="00697DFE"/>
    <w:rsid w:val="00697E03"/>
    <w:rsid w:val="00697E19"/>
    <w:rsid w:val="00697E3A"/>
    <w:rsid w:val="00697E62"/>
    <w:rsid w:val="00697E87"/>
    <w:rsid w:val="00697EEB"/>
    <w:rsid w:val="00697F03"/>
    <w:rsid w:val="00697F6C"/>
    <w:rsid w:val="00697FEA"/>
    <w:rsid w:val="006A0079"/>
    <w:rsid w:val="006A007A"/>
    <w:rsid w:val="006A007E"/>
    <w:rsid w:val="006A00B6"/>
    <w:rsid w:val="006A0190"/>
    <w:rsid w:val="006A0211"/>
    <w:rsid w:val="006A0253"/>
    <w:rsid w:val="006A027E"/>
    <w:rsid w:val="006A028A"/>
    <w:rsid w:val="006A02B9"/>
    <w:rsid w:val="006A02C1"/>
    <w:rsid w:val="006A02EB"/>
    <w:rsid w:val="006A0303"/>
    <w:rsid w:val="006A034C"/>
    <w:rsid w:val="006A038E"/>
    <w:rsid w:val="006A03AE"/>
    <w:rsid w:val="006A03AF"/>
    <w:rsid w:val="006A0426"/>
    <w:rsid w:val="006A0445"/>
    <w:rsid w:val="006A0461"/>
    <w:rsid w:val="006A048C"/>
    <w:rsid w:val="006A0496"/>
    <w:rsid w:val="006A049F"/>
    <w:rsid w:val="006A04B0"/>
    <w:rsid w:val="006A04CF"/>
    <w:rsid w:val="006A0522"/>
    <w:rsid w:val="006A0583"/>
    <w:rsid w:val="006A0601"/>
    <w:rsid w:val="006A069F"/>
    <w:rsid w:val="006A06D0"/>
    <w:rsid w:val="006A0787"/>
    <w:rsid w:val="006A078F"/>
    <w:rsid w:val="006A07C5"/>
    <w:rsid w:val="006A07E5"/>
    <w:rsid w:val="006A0812"/>
    <w:rsid w:val="006A083E"/>
    <w:rsid w:val="006A084A"/>
    <w:rsid w:val="006A086C"/>
    <w:rsid w:val="006A0877"/>
    <w:rsid w:val="006A08A3"/>
    <w:rsid w:val="006A08BE"/>
    <w:rsid w:val="006A0933"/>
    <w:rsid w:val="006A099B"/>
    <w:rsid w:val="006A09C2"/>
    <w:rsid w:val="006A09CA"/>
    <w:rsid w:val="006A09DB"/>
    <w:rsid w:val="006A0A25"/>
    <w:rsid w:val="006A0A51"/>
    <w:rsid w:val="006A0A52"/>
    <w:rsid w:val="006A0A64"/>
    <w:rsid w:val="006A0A98"/>
    <w:rsid w:val="006A0A99"/>
    <w:rsid w:val="006A0AA5"/>
    <w:rsid w:val="006A0AB7"/>
    <w:rsid w:val="006A0AD2"/>
    <w:rsid w:val="006A0AF4"/>
    <w:rsid w:val="006A0B4C"/>
    <w:rsid w:val="006A0B5F"/>
    <w:rsid w:val="006A0B6A"/>
    <w:rsid w:val="006A0C09"/>
    <w:rsid w:val="006A0C11"/>
    <w:rsid w:val="006A0C1F"/>
    <w:rsid w:val="006A0C5B"/>
    <w:rsid w:val="006A0C8C"/>
    <w:rsid w:val="006A0CD8"/>
    <w:rsid w:val="006A0D04"/>
    <w:rsid w:val="006A0D09"/>
    <w:rsid w:val="006A0D85"/>
    <w:rsid w:val="006A0D93"/>
    <w:rsid w:val="006A0DB0"/>
    <w:rsid w:val="006A0E5E"/>
    <w:rsid w:val="006A0E75"/>
    <w:rsid w:val="006A0EB8"/>
    <w:rsid w:val="006A0F08"/>
    <w:rsid w:val="006A0F25"/>
    <w:rsid w:val="006A0F58"/>
    <w:rsid w:val="006A1004"/>
    <w:rsid w:val="006A1011"/>
    <w:rsid w:val="006A1094"/>
    <w:rsid w:val="006A1145"/>
    <w:rsid w:val="006A114D"/>
    <w:rsid w:val="006A1285"/>
    <w:rsid w:val="006A1295"/>
    <w:rsid w:val="006A12E9"/>
    <w:rsid w:val="006A1328"/>
    <w:rsid w:val="006A135A"/>
    <w:rsid w:val="006A145D"/>
    <w:rsid w:val="006A148E"/>
    <w:rsid w:val="006A14D0"/>
    <w:rsid w:val="006A14FA"/>
    <w:rsid w:val="006A155F"/>
    <w:rsid w:val="006A159B"/>
    <w:rsid w:val="006A15D4"/>
    <w:rsid w:val="006A15D8"/>
    <w:rsid w:val="006A15F2"/>
    <w:rsid w:val="006A160E"/>
    <w:rsid w:val="006A1636"/>
    <w:rsid w:val="006A1652"/>
    <w:rsid w:val="006A165D"/>
    <w:rsid w:val="006A165E"/>
    <w:rsid w:val="006A16D1"/>
    <w:rsid w:val="006A16D2"/>
    <w:rsid w:val="006A16E3"/>
    <w:rsid w:val="006A16EE"/>
    <w:rsid w:val="006A1709"/>
    <w:rsid w:val="006A1768"/>
    <w:rsid w:val="006A17D1"/>
    <w:rsid w:val="006A17D8"/>
    <w:rsid w:val="006A1811"/>
    <w:rsid w:val="006A1846"/>
    <w:rsid w:val="006A1847"/>
    <w:rsid w:val="006A1888"/>
    <w:rsid w:val="006A18A7"/>
    <w:rsid w:val="006A18BC"/>
    <w:rsid w:val="006A18CF"/>
    <w:rsid w:val="006A18D2"/>
    <w:rsid w:val="006A1908"/>
    <w:rsid w:val="006A193B"/>
    <w:rsid w:val="006A19AF"/>
    <w:rsid w:val="006A19BC"/>
    <w:rsid w:val="006A1A3F"/>
    <w:rsid w:val="006A1A5B"/>
    <w:rsid w:val="006A1A6C"/>
    <w:rsid w:val="006A1A87"/>
    <w:rsid w:val="006A1A8D"/>
    <w:rsid w:val="006A1B16"/>
    <w:rsid w:val="006A1B1E"/>
    <w:rsid w:val="006A1B29"/>
    <w:rsid w:val="006A1B43"/>
    <w:rsid w:val="006A1C27"/>
    <w:rsid w:val="006A1C41"/>
    <w:rsid w:val="006A1C67"/>
    <w:rsid w:val="006A1C93"/>
    <w:rsid w:val="006A1C94"/>
    <w:rsid w:val="006A1CCF"/>
    <w:rsid w:val="006A1CE8"/>
    <w:rsid w:val="006A1CFC"/>
    <w:rsid w:val="006A1D1C"/>
    <w:rsid w:val="006A1D27"/>
    <w:rsid w:val="006A1D54"/>
    <w:rsid w:val="006A1D57"/>
    <w:rsid w:val="006A1D97"/>
    <w:rsid w:val="006A1D9E"/>
    <w:rsid w:val="006A1D9F"/>
    <w:rsid w:val="006A1DA0"/>
    <w:rsid w:val="006A1E0B"/>
    <w:rsid w:val="006A1E73"/>
    <w:rsid w:val="006A1EC7"/>
    <w:rsid w:val="006A1F2F"/>
    <w:rsid w:val="006A1F41"/>
    <w:rsid w:val="006A1F7B"/>
    <w:rsid w:val="006A1F9C"/>
    <w:rsid w:val="006A1FB2"/>
    <w:rsid w:val="006A1FC7"/>
    <w:rsid w:val="006A1FDD"/>
    <w:rsid w:val="006A2010"/>
    <w:rsid w:val="006A2012"/>
    <w:rsid w:val="006A2032"/>
    <w:rsid w:val="006A2091"/>
    <w:rsid w:val="006A20B8"/>
    <w:rsid w:val="006A2134"/>
    <w:rsid w:val="006A214F"/>
    <w:rsid w:val="006A215F"/>
    <w:rsid w:val="006A218D"/>
    <w:rsid w:val="006A218E"/>
    <w:rsid w:val="006A21AC"/>
    <w:rsid w:val="006A228B"/>
    <w:rsid w:val="006A229A"/>
    <w:rsid w:val="006A22C7"/>
    <w:rsid w:val="006A22FD"/>
    <w:rsid w:val="006A231A"/>
    <w:rsid w:val="006A234F"/>
    <w:rsid w:val="006A2388"/>
    <w:rsid w:val="006A239E"/>
    <w:rsid w:val="006A23AF"/>
    <w:rsid w:val="006A2418"/>
    <w:rsid w:val="006A2462"/>
    <w:rsid w:val="006A24AF"/>
    <w:rsid w:val="006A24E1"/>
    <w:rsid w:val="006A2567"/>
    <w:rsid w:val="006A25E3"/>
    <w:rsid w:val="006A25EA"/>
    <w:rsid w:val="006A2638"/>
    <w:rsid w:val="006A266A"/>
    <w:rsid w:val="006A26AB"/>
    <w:rsid w:val="006A26AC"/>
    <w:rsid w:val="006A26B9"/>
    <w:rsid w:val="006A26C9"/>
    <w:rsid w:val="006A2733"/>
    <w:rsid w:val="006A2780"/>
    <w:rsid w:val="006A2787"/>
    <w:rsid w:val="006A27BA"/>
    <w:rsid w:val="006A285C"/>
    <w:rsid w:val="006A288D"/>
    <w:rsid w:val="006A2893"/>
    <w:rsid w:val="006A28CB"/>
    <w:rsid w:val="006A28DD"/>
    <w:rsid w:val="006A28E5"/>
    <w:rsid w:val="006A2911"/>
    <w:rsid w:val="006A2932"/>
    <w:rsid w:val="006A294E"/>
    <w:rsid w:val="006A2981"/>
    <w:rsid w:val="006A2A1F"/>
    <w:rsid w:val="006A2A95"/>
    <w:rsid w:val="006A2B20"/>
    <w:rsid w:val="006A2B3D"/>
    <w:rsid w:val="006A2B5D"/>
    <w:rsid w:val="006A2BA8"/>
    <w:rsid w:val="006A2BD5"/>
    <w:rsid w:val="006A2C08"/>
    <w:rsid w:val="006A2C69"/>
    <w:rsid w:val="006A2C6F"/>
    <w:rsid w:val="006A2C87"/>
    <w:rsid w:val="006A2C8C"/>
    <w:rsid w:val="006A2C9F"/>
    <w:rsid w:val="006A2CCC"/>
    <w:rsid w:val="006A2CFC"/>
    <w:rsid w:val="006A2D0A"/>
    <w:rsid w:val="006A2D39"/>
    <w:rsid w:val="006A2D4D"/>
    <w:rsid w:val="006A2DC3"/>
    <w:rsid w:val="006A2DD6"/>
    <w:rsid w:val="006A2E61"/>
    <w:rsid w:val="006A2E69"/>
    <w:rsid w:val="006A2E7B"/>
    <w:rsid w:val="006A2E95"/>
    <w:rsid w:val="006A2E9D"/>
    <w:rsid w:val="006A2F11"/>
    <w:rsid w:val="006A2F1B"/>
    <w:rsid w:val="006A2F87"/>
    <w:rsid w:val="006A2F9D"/>
    <w:rsid w:val="006A2FA0"/>
    <w:rsid w:val="006A2FF5"/>
    <w:rsid w:val="006A300D"/>
    <w:rsid w:val="006A304C"/>
    <w:rsid w:val="006A30C4"/>
    <w:rsid w:val="006A318E"/>
    <w:rsid w:val="006A31B5"/>
    <w:rsid w:val="006A31BD"/>
    <w:rsid w:val="006A31EB"/>
    <w:rsid w:val="006A31F5"/>
    <w:rsid w:val="006A3320"/>
    <w:rsid w:val="006A3322"/>
    <w:rsid w:val="006A334B"/>
    <w:rsid w:val="006A33CE"/>
    <w:rsid w:val="006A33D7"/>
    <w:rsid w:val="006A3406"/>
    <w:rsid w:val="006A3409"/>
    <w:rsid w:val="006A341B"/>
    <w:rsid w:val="006A348D"/>
    <w:rsid w:val="006A349B"/>
    <w:rsid w:val="006A34EC"/>
    <w:rsid w:val="006A34FE"/>
    <w:rsid w:val="006A3509"/>
    <w:rsid w:val="006A3584"/>
    <w:rsid w:val="006A35A1"/>
    <w:rsid w:val="006A35E5"/>
    <w:rsid w:val="006A35EC"/>
    <w:rsid w:val="006A35F5"/>
    <w:rsid w:val="006A361A"/>
    <w:rsid w:val="006A3656"/>
    <w:rsid w:val="006A369A"/>
    <w:rsid w:val="006A36C1"/>
    <w:rsid w:val="006A3762"/>
    <w:rsid w:val="006A37AB"/>
    <w:rsid w:val="006A3819"/>
    <w:rsid w:val="006A38BF"/>
    <w:rsid w:val="006A38C9"/>
    <w:rsid w:val="006A3922"/>
    <w:rsid w:val="006A3946"/>
    <w:rsid w:val="006A394C"/>
    <w:rsid w:val="006A399D"/>
    <w:rsid w:val="006A39B3"/>
    <w:rsid w:val="006A39FE"/>
    <w:rsid w:val="006A3A5E"/>
    <w:rsid w:val="006A3A62"/>
    <w:rsid w:val="006A3B0E"/>
    <w:rsid w:val="006A3C19"/>
    <w:rsid w:val="006A3C58"/>
    <w:rsid w:val="006A3CEA"/>
    <w:rsid w:val="006A3D1D"/>
    <w:rsid w:val="006A3DC3"/>
    <w:rsid w:val="006A3DD5"/>
    <w:rsid w:val="006A3E07"/>
    <w:rsid w:val="006A3E23"/>
    <w:rsid w:val="006A3E81"/>
    <w:rsid w:val="006A3F8C"/>
    <w:rsid w:val="006A3F90"/>
    <w:rsid w:val="006A4008"/>
    <w:rsid w:val="006A401E"/>
    <w:rsid w:val="006A405A"/>
    <w:rsid w:val="006A4077"/>
    <w:rsid w:val="006A40B3"/>
    <w:rsid w:val="006A4128"/>
    <w:rsid w:val="006A4131"/>
    <w:rsid w:val="006A41B9"/>
    <w:rsid w:val="006A41BA"/>
    <w:rsid w:val="006A42F5"/>
    <w:rsid w:val="006A4359"/>
    <w:rsid w:val="006A4360"/>
    <w:rsid w:val="006A4395"/>
    <w:rsid w:val="006A43C4"/>
    <w:rsid w:val="006A43C6"/>
    <w:rsid w:val="006A43E9"/>
    <w:rsid w:val="006A43F4"/>
    <w:rsid w:val="006A4423"/>
    <w:rsid w:val="006A4493"/>
    <w:rsid w:val="006A44C3"/>
    <w:rsid w:val="006A4507"/>
    <w:rsid w:val="006A454C"/>
    <w:rsid w:val="006A4573"/>
    <w:rsid w:val="006A459A"/>
    <w:rsid w:val="006A461D"/>
    <w:rsid w:val="006A461E"/>
    <w:rsid w:val="006A467C"/>
    <w:rsid w:val="006A46B8"/>
    <w:rsid w:val="006A46FB"/>
    <w:rsid w:val="006A470B"/>
    <w:rsid w:val="006A473B"/>
    <w:rsid w:val="006A474B"/>
    <w:rsid w:val="006A478A"/>
    <w:rsid w:val="006A47B7"/>
    <w:rsid w:val="006A47BF"/>
    <w:rsid w:val="006A47CC"/>
    <w:rsid w:val="006A487F"/>
    <w:rsid w:val="006A48D8"/>
    <w:rsid w:val="006A48EC"/>
    <w:rsid w:val="006A4985"/>
    <w:rsid w:val="006A49A0"/>
    <w:rsid w:val="006A49EC"/>
    <w:rsid w:val="006A4A5D"/>
    <w:rsid w:val="006A4AD5"/>
    <w:rsid w:val="006A4AF8"/>
    <w:rsid w:val="006A4B08"/>
    <w:rsid w:val="006A4B4D"/>
    <w:rsid w:val="006A4B70"/>
    <w:rsid w:val="006A4BB0"/>
    <w:rsid w:val="006A4C0E"/>
    <w:rsid w:val="006A4C12"/>
    <w:rsid w:val="006A4C18"/>
    <w:rsid w:val="006A4C64"/>
    <w:rsid w:val="006A4CA4"/>
    <w:rsid w:val="006A4D28"/>
    <w:rsid w:val="006A4D2A"/>
    <w:rsid w:val="006A4D5D"/>
    <w:rsid w:val="006A4D6F"/>
    <w:rsid w:val="006A4D72"/>
    <w:rsid w:val="006A4E01"/>
    <w:rsid w:val="006A4E25"/>
    <w:rsid w:val="006A4E4B"/>
    <w:rsid w:val="006A4E83"/>
    <w:rsid w:val="006A4EB4"/>
    <w:rsid w:val="006A4EB5"/>
    <w:rsid w:val="006A4EC9"/>
    <w:rsid w:val="006A4F42"/>
    <w:rsid w:val="006A4F8D"/>
    <w:rsid w:val="006A4FB0"/>
    <w:rsid w:val="006A4FB3"/>
    <w:rsid w:val="006A4FC8"/>
    <w:rsid w:val="006A5050"/>
    <w:rsid w:val="006A5093"/>
    <w:rsid w:val="006A50BF"/>
    <w:rsid w:val="006A50D0"/>
    <w:rsid w:val="006A50F6"/>
    <w:rsid w:val="006A5141"/>
    <w:rsid w:val="006A5193"/>
    <w:rsid w:val="006A51A8"/>
    <w:rsid w:val="006A51C3"/>
    <w:rsid w:val="006A51E2"/>
    <w:rsid w:val="006A521C"/>
    <w:rsid w:val="006A52B6"/>
    <w:rsid w:val="006A534E"/>
    <w:rsid w:val="006A538F"/>
    <w:rsid w:val="006A5390"/>
    <w:rsid w:val="006A53F2"/>
    <w:rsid w:val="006A53FB"/>
    <w:rsid w:val="006A5427"/>
    <w:rsid w:val="006A542B"/>
    <w:rsid w:val="006A5454"/>
    <w:rsid w:val="006A54E4"/>
    <w:rsid w:val="006A54EA"/>
    <w:rsid w:val="006A5561"/>
    <w:rsid w:val="006A559A"/>
    <w:rsid w:val="006A55AF"/>
    <w:rsid w:val="006A562A"/>
    <w:rsid w:val="006A563D"/>
    <w:rsid w:val="006A56A5"/>
    <w:rsid w:val="006A56B9"/>
    <w:rsid w:val="006A56CF"/>
    <w:rsid w:val="006A576A"/>
    <w:rsid w:val="006A57A5"/>
    <w:rsid w:val="006A5812"/>
    <w:rsid w:val="006A5823"/>
    <w:rsid w:val="006A5839"/>
    <w:rsid w:val="006A583C"/>
    <w:rsid w:val="006A585F"/>
    <w:rsid w:val="006A5863"/>
    <w:rsid w:val="006A588C"/>
    <w:rsid w:val="006A58E7"/>
    <w:rsid w:val="006A5907"/>
    <w:rsid w:val="006A5959"/>
    <w:rsid w:val="006A595C"/>
    <w:rsid w:val="006A59F2"/>
    <w:rsid w:val="006A5A18"/>
    <w:rsid w:val="006A5A23"/>
    <w:rsid w:val="006A5A98"/>
    <w:rsid w:val="006A5ABE"/>
    <w:rsid w:val="006A5AC8"/>
    <w:rsid w:val="006A5B59"/>
    <w:rsid w:val="006A5B60"/>
    <w:rsid w:val="006A5B8B"/>
    <w:rsid w:val="006A5B9A"/>
    <w:rsid w:val="006A5BA1"/>
    <w:rsid w:val="006A5BBF"/>
    <w:rsid w:val="006A5BD9"/>
    <w:rsid w:val="006A5C47"/>
    <w:rsid w:val="006A5CF1"/>
    <w:rsid w:val="006A5D20"/>
    <w:rsid w:val="006A5D9E"/>
    <w:rsid w:val="006A5DAC"/>
    <w:rsid w:val="006A5DC3"/>
    <w:rsid w:val="006A5E3F"/>
    <w:rsid w:val="006A5E53"/>
    <w:rsid w:val="006A5E5F"/>
    <w:rsid w:val="006A5E73"/>
    <w:rsid w:val="006A5E82"/>
    <w:rsid w:val="006A5E85"/>
    <w:rsid w:val="006A5E90"/>
    <w:rsid w:val="006A5EA4"/>
    <w:rsid w:val="006A5EAC"/>
    <w:rsid w:val="006A5EAE"/>
    <w:rsid w:val="006A5ED9"/>
    <w:rsid w:val="006A5EF5"/>
    <w:rsid w:val="006A5F1A"/>
    <w:rsid w:val="006A5F3C"/>
    <w:rsid w:val="006A5FCE"/>
    <w:rsid w:val="006A5FFC"/>
    <w:rsid w:val="006A6030"/>
    <w:rsid w:val="006A6038"/>
    <w:rsid w:val="006A6064"/>
    <w:rsid w:val="006A610D"/>
    <w:rsid w:val="006A6118"/>
    <w:rsid w:val="006A61A7"/>
    <w:rsid w:val="006A61EC"/>
    <w:rsid w:val="006A61F5"/>
    <w:rsid w:val="006A620F"/>
    <w:rsid w:val="006A6235"/>
    <w:rsid w:val="006A623B"/>
    <w:rsid w:val="006A6245"/>
    <w:rsid w:val="006A6246"/>
    <w:rsid w:val="006A624F"/>
    <w:rsid w:val="006A62A1"/>
    <w:rsid w:val="006A62B1"/>
    <w:rsid w:val="006A6328"/>
    <w:rsid w:val="006A6360"/>
    <w:rsid w:val="006A6368"/>
    <w:rsid w:val="006A63C1"/>
    <w:rsid w:val="006A641E"/>
    <w:rsid w:val="006A646E"/>
    <w:rsid w:val="006A64A5"/>
    <w:rsid w:val="006A64F6"/>
    <w:rsid w:val="006A6524"/>
    <w:rsid w:val="006A652F"/>
    <w:rsid w:val="006A6539"/>
    <w:rsid w:val="006A659B"/>
    <w:rsid w:val="006A659E"/>
    <w:rsid w:val="006A65AF"/>
    <w:rsid w:val="006A6638"/>
    <w:rsid w:val="006A66D0"/>
    <w:rsid w:val="006A675B"/>
    <w:rsid w:val="006A6794"/>
    <w:rsid w:val="006A6798"/>
    <w:rsid w:val="006A67D1"/>
    <w:rsid w:val="006A6852"/>
    <w:rsid w:val="006A6876"/>
    <w:rsid w:val="006A68C6"/>
    <w:rsid w:val="006A69DD"/>
    <w:rsid w:val="006A69E6"/>
    <w:rsid w:val="006A6A20"/>
    <w:rsid w:val="006A6A31"/>
    <w:rsid w:val="006A6A46"/>
    <w:rsid w:val="006A6A50"/>
    <w:rsid w:val="006A6B00"/>
    <w:rsid w:val="006A6B83"/>
    <w:rsid w:val="006A6B89"/>
    <w:rsid w:val="006A6C02"/>
    <w:rsid w:val="006A6C0D"/>
    <w:rsid w:val="006A6C1E"/>
    <w:rsid w:val="006A6C23"/>
    <w:rsid w:val="006A6C26"/>
    <w:rsid w:val="006A6C2D"/>
    <w:rsid w:val="006A6C33"/>
    <w:rsid w:val="006A6C59"/>
    <w:rsid w:val="006A6C5C"/>
    <w:rsid w:val="006A6C79"/>
    <w:rsid w:val="006A6C80"/>
    <w:rsid w:val="006A6CAE"/>
    <w:rsid w:val="006A6CD1"/>
    <w:rsid w:val="006A6CE6"/>
    <w:rsid w:val="006A6D32"/>
    <w:rsid w:val="006A6D34"/>
    <w:rsid w:val="006A6D42"/>
    <w:rsid w:val="006A6DE0"/>
    <w:rsid w:val="006A6DE6"/>
    <w:rsid w:val="006A6E8B"/>
    <w:rsid w:val="006A6EAD"/>
    <w:rsid w:val="006A6F30"/>
    <w:rsid w:val="006A6F32"/>
    <w:rsid w:val="006A6F43"/>
    <w:rsid w:val="006A6F57"/>
    <w:rsid w:val="006A6FE5"/>
    <w:rsid w:val="006A7007"/>
    <w:rsid w:val="006A7014"/>
    <w:rsid w:val="006A7040"/>
    <w:rsid w:val="006A7051"/>
    <w:rsid w:val="006A708E"/>
    <w:rsid w:val="006A709B"/>
    <w:rsid w:val="006A70AB"/>
    <w:rsid w:val="006A70BD"/>
    <w:rsid w:val="006A711E"/>
    <w:rsid w:val="006A7126"/>
    <w:rsid w:val="006A712F"/>
    <w:rsid w:val="006A715D"/>
    <w:rsid w:val="006A71C1"/>
    <w:rsid w:val="006A7205"/>
    <w:rsid w:val="006A7228"/>
    <w:rsid w:val="006A7231"/>
    <w:rsid w:val="006A7244"/>
    <w:rsid w:val="006A7266"/>
    <w:rsid w:val="006A72CD"/>
    <w:rsid w:val="006A72EF"/>
    <w:rsid w:val="006A73C3"/>
    <w:rsid w:val="006A73F5"/>
    <w:rsid w:val="006A73FE"/>
    <w:rsid w:val="006A7475"/>
    <w:rsid w:val="006A747D"/>
    <w:rsid w:val="006A7499"/>
    <w:rsid w:val="006A74C0"/>
    <w:rsid w:val="006A74D7"/>
    <w:rsid w:val="006A74EE"/>
    <w:rsid w:val="006A74EF"/>
    <w:rsid w:val="006A754D"/>
    <w:rsid w:val="006A756B"/>
    <w:rsid w:val="006A758B"/>
    <w:rsid w:val="006A75CC"/>
    <w:rsid w:val="006A75DC"/>
    <w:rsid w:val="006A75E2"/>
    <w:rsid w:val="006A75FD"/>
    <w:rsid w:val="006A7638"/>
    <w:rsid w:val="006A763A"/>
    <w:rsid w:val="006A7642"/>
    <w:rsid w:val="006A7668"/>
    <w:rsid w:val="006A767F"/>
    <w:rsid w:val="006A76A2"/>
    <w:rsid w:val="006A76FA"/>
    <w:rsid w:val="006A770B"/>
    <w:rsid w:val="006A7738"/>
    <w:rsid w:val="006A777F"/>
    <w:rsid w:val="006A779B"/>
    <w:rsid w:val="006A77F0"/>
    <w:rsid w:val="006A782A"/>
    <w:rsid w:val="006A785E"/>
    <w:rsid w:val="006A78A3"/>
    <w:rsid w:val="006A78DA"/>
    <w:rsid w:val="006A7968"/>
    <w:rsid w:val="006A799A"/>
    <w:rsid w:val="006A79A5"/>
    <w:rsid w:val="006A79AB"/>
    <w:rsid w:val="006A79EB"/>
    <w:rsid w:val="006A7A09"/>
    <w:rsid w:val="006A7A1A"/>
    <w:rsid w:val="006A7A22"/>
    <w:rsid w:val="006A7A49"/>
    <w:rsid w:val="006A7A63"/>
    <w:rsid w:val="006A7A7D"/>
    <w:rsid w:val="006A7AC2"/>
    <w:rsid w:val="006A7AFF"/>
    <w:rsid w:val="006A7B61"/>
    <w:rsid w:val="006A7B73"/>
    <w:rsid w:val="006A7B80"/>
    <w:rsid w:val="006A7BCA"/>
    <w:rsid w:val="006A7C12"/>
    <w:rsid w:val="006A7C62"/>
    <w:rsid w:val="006A7D27"/>
    <w:rsid w:val="006A7D33"/>
    <w:rsid w:val="006A7DB7"/>
    <w:rsid w:val="006A7E06"/>
    <w:rsid w:val="006A7E70"/>
    <w:rsid w:val="006A7E7B"/>
    <w:rsid w:val="006A7E7F"/>
    <w:rsid w:val="006A7E88"/>
    <w:rsid w:val="006B001C"/>
    <w:rsid w:val="006B0035"/>
    <w:rsid w:val="006B0081"/>
    <w:rsid w:val="006B0098"/>
    <w:rsid w:val="006B00B5"/>
    <w:rsid w:val="006B00CB"/>
    <w:rsid w:val="006B00F2"/>
    <w:rsid w:val="006B0115"/>
    <w:rsid w:val="006B012F"/>
    <w:rsid w:val="006B0130"/>
    <w:rsid w:val="006B0142"/>
    <w:rsid w:val="006B01A0"/>
    <w:rsid w:val="006B02B0"/>
    <w:rsid w:val="006B02D9"/>
    <w:rsid w:val="006B02F9"/>
    <w:rsid w:val="006B0302"/>
    <w:rsid w:val="006B030F"/>
    <w:rsid w:val="006B0314"/>
    <w:rsid w:val="006B0339"/>
    <w:rsid w:val="006B0342"/>
    <w:rsid w:val="006B0345"/>
    <w:rsid w:val="006B043C"/>
    <w:rsid w:val="006B0469"/>
    <w:rsid w:val="006B047B"/>
    <w:rsid w:val="006B04B4"/>
    <w:rsid w:val="006B0600"/>
    <w:rsid w:val="006B0645"/>
    <w:rsid w:val="006B0669"/>
    <w:rsid w:val="006B06A0"/>
    <w:rsid w:val="006B0710"/>
    <w:rsid w:val="006B0772"/>
    <w:rsid w:val="006B079D"/>
    <w:rsid w:val="006B07B0"/>
    <w:rsid w:val="006B07BF"/>
    <w:rsid w:val="006B07C8"/>
    <w:rsid w:val="006B07CD"/>
    <w:rsid w:val="006B0862"/>
    <w:rsid w:val="006B0872"/>
    <w:rsid w:val="006B087B"/>
    <w:rsid w:val="006B0886"/>
    <w:rsid w:val="006B08AA"/>
    <w:rsid w:val="006B0936"/>
    <w:rsid w:val="006B0968"/>
    <w:rsid w:val="006B0A09"/>
    <w:rsid w:val="006B0A2B"/>
    <w:rsid w:val="006B0A2F"/>
    <w:rsid w:val="006B0AE5"/>
    <w:rsid w:val="006B0B08"/>
    <w:rsid w:val="006B0B1B"/>
    <w:rsid w:val="006B0B9D"/>
    <w:rsid w:val="006B0BD3"/>
    <w:rsid w:val="006B0BE3"/>
    <w:rsid w:val="006B0BE6"/>
    <w:rsid w:val="006B0BEC"/>
    <w:rsid w:val="006B0BF1"/>
    <w:rsid w:val="006B0BF9"/>
    <w:rsid w:val="006B0C33"/>
    <w:rsid w:val="006B0C77"/>
    <w:rsid w:val="006B0CA9"/>
    <w:rsid w:val="006B0CBC"/>
    <w:rsid w:val="006B0CE1"/>
    <w:rsid w:val="006B0D16"/>
    <w:rsid w:val="006B0D49"/>
    <w:rsid w:val="006B0D6E"/>
    <w:rsid w:val="006B0D78"/>
    <w:rsid w:val="006B0D82"/>
    <w:rsid w:val="006B0D88"/>
    <w:rsid w:val="006B0DAA"/>
    <w:rsid w:val="006B0DB7"/>
    <w:rsid w:val="006B0DDE"/>
    <w:rsid w:val="006B0E0F"/>
    <w:rsid w:val="006B0E39"/>
    <w:rsid w:val="006B0F7A"/>
    <w:rsid w:val="006B0F87"/>
    <w:rsid w:val="006B0FAE"/>
    <w:rsid w:val="006B0FBA"/>
    <w:rsid w:val="006B0FC5"/>
    <w:rsid w:val="006B0FE4"/>
    <w:rsid w:val="006B0FEE"/>
    <w:rsid w:val="006B0FF4"/>
    <w:rsid w:val="006B1008"/>
    <w:rsid w:val="006B1045"/>
    <w:rsid w:val="006B1096"/>
    <w:rsid w:val="006B10DE"/>
    <w:rsid w:val="006B1126"/>
    <w:rsid w:val="006B1186"/>
    <w:rsid w:val="006B11B4"/>
    <w:rsid w:val="006B123D"/>
    <w:rsid w:val="006B125F"/>
    <w:rsid w:val="006B12A8"/>
    <w:rsid w:val="006B1374"/>
    <w:rsid w:val="006B139D"/>
    <w:rsid w:val="006B140E"/>
    <w:rsid w:val="006B1437"/>
    <w:rsid w:val="006B1449"/>
    <w:rsid w:val="006B146A"/>
    <w:rsid w:val="006B1474"/>
    <w:rsid w:val="006B14CD"/>
    <w:rsid w:val="006B1543"/>
    <w:rsid w:val="006B15B1"/>
    <w:rsid w:val="006B15BD"/>
    <w:rsid w:val="006B15E0"/>
    <w:rsid w:val="006B15E5"/>
    <w:rsid w:val="006B15F8"/>
    <w:rsid w:val="006B1614"/>
    <w:rsid w:val="006B1630"/>
    <w:rsid w:val="006B1640"/>
    <w:rsid w:val="006B16E3"/>
    <w:rsid w:val="006B1721"/>
    <w:rsid w:val="006B1723"/>
    <w:rsid w:val="006B177C"/>
    <w:rsid w:val="006B178F"/>
    <w:rsid w:val="006B17BB"/>
    <w:rsid w:val="006B185E"/>
    <w:rsid w:val="006B1878"/>
    <w:rsid w:val="006B1901"/>
    <w:rsid w:val="006B190C"/>
    <w:rsid w:val="006B191F"/>
    <w:rsid w:val="006B1928"/>
    <w:rsid w:val="006B194E"/>
    <w:rsid w:val="006B1991"/>
    <w:rsid w:val="006B1AE7"/>
    <w:rsid w:val="006B1B49"/>
    <w:rsid w:val="006B1B52"/>
    <w:rsid w:val="006B1B99"/>
    <w:rsid w:val="006B1BA8"/>
    <w:rsid w:val="006B1BCC"/>
    <w:rsid w:val="006B1BED"/>
    <w:rsid w:val="006B1BF0"/>
    <w:rsid w:val="006B1BF3"/>
    <w:rsid w:val="006B1C50"/>
    <w:rsid w:val="006B1C71"/>
    <w:rsid w:val="006B1C89"/>
    <w:rsid w:val="006B1CA8"/>
    <w:rsid w:val="006B1CEC"/>
    <w:rsid w:val="006B1D50"/>
    <w:rsid w:val="006B1D6B"/>
    <w:rsid w:val="006B1D6F"/>
    <w:rsid w:val="006B1D73"/>
    <w:rsid w:val="006B1D92"/>
    <w:rsid w:val="006B1DFC"/>
    <w:rsid w:val="006B1E06"/>
    <w:rsid w:val="006B1E1B"/>
    <w:rsid w:val="006B1EBC"/>
    <w:rsid w:val="006B1EBD"/>
    <w:rsid w:val="006B1ECA"/>
    <w:rsid w:val="006B1FB7"/>
    <w:rsid w:val="006B2026"/>
    <w:rsid w:val="006B2054"/>
    <w:rsid w:val="006B2067"/>
    <w:rsid w:val="006B207B"/>
    <w:rsid w:val="006B20A3"/>
    <w:rsid w:val="006B20C3"/>
    <w:rsid w:val="006B20DC"/>
    <w:rsid w:val="006B20F8"/>
    <w:rsid w:val="006B216B"/>
    <w:rsid w:val="006B2182"/>
    <w:rsid w:val="006B2194"/>
    <w:rsid w:val="006B21A3"/>
    <w:rsid w:val="006B21B5"/>
    <w:rsid w:val="006B21EE"/>
    <w:rsid w:val="006B2311"/>
    <w:rsid w:val="006B232A"/>
    <w:rsid w:val="006B23DD"/>
    <w:rsid w:val="006B2422"/>
    <w:rsid w:val="006B244C"/>
    <w:rsid w:val="006B244E"/>
    <w:rsid w:val="006B245C"/>
    <w:rsid w:val="006B245E"/>
    <w:rsid w:val="006B247E"/>
    <w:rsid w:val="006B2491"/>
    <w:rsid w:val="006B24E5"/>
    <w:rsid w:val="006B2504"/>
    <w:rsid w:val="006B2518"/>
    <w:rsid w:val="006B254D"/>
    <w:rsid w:val="006B2561"/>
    <w:rsid w:val="006B2571"/>
    <w:rsid w:val="006B25A8"/>
    <w:rsid w:val="006B25D9"/>
    <w:rsid w:val="006B2623"/>
    <w:rsid w:val="006B264F"/>
    <w:rsid w:val="006B2693"/>
    <w:rsid w:val="006B2702"/>
    <w:rsid w:val="006B2716"/>
    <w:rsid w:val="006B2740"/>
    <w:rsid w:val="006B2764"/>
    <w:rsid w:val="006B27B4"/>
    <w:rsid w:val="006B27BB"/>
    <w:rsid w:val="006B2814"/>
    <w:rsid w:val="006B2845"/>
    <w:rsid w:val="006B28A5"/>
    <w:rsid w:val="006B28E0"/>
    <w:rsid w:val="006B2942"/>
    <w:rsid w:val="006B294B"/>
    <w:rsid w:val="006B2965"/>
    <w:rsid w:val="006B29B3"/>
    <w:rsid w:val="006B29D8"/>
    <w:rsid w:val="006B29E1"/>
    <w:rsid w:val="006B29F7"/>
    <w:rsid w:val="006B29FE"/>
    <w:rsid w:val="006B2A68"/>
    <w:rsid w:val="006B2A9E"/>
    <w:rsid w:val="006B2AB2"/>
    <w:rsid w:val="006B2AB6"/>
    <w:rsid w:val="006B2ADB"/>
    <w:rsid w:val="006B2B33"/>
    <w:rsid w:val="006B2B69"/>
    <w:rsid w:val="006B2C13"/>
    <w:rsid w:val="006B2C5D"/>
    <w:rsid w:val="006B2C66"/>
    <w:rsid w:val="006B2CA1"/>
    <w:rsid w:val="006B2CBF"/>
    <w:rsid w:val="006B2CC1"/>
    <w:rsid w:val="006B2D3F"/>
    <w:rsid w:val="006B2D42"/>
    <w:rsid w:val="006B2D4D"/>
    <w:rsid w:val="006B2D51"/>
    <w:rsid w:val="006B2D77"/>
    <w:rsid w:val="006B2D83"/>
    <w:rsid w:val="006B2DBC"/>
    <w:rsid w:val="006B2DC9"/>
    <w:rsid w:val="006B2DF0"/>
    <w:rsid w:val="006B2E7E"/>
    <w:rsid w:val="006B2E91"/>
    <w:rsid w:val="006B2F9F"/>
    <w:rsid w:val="006B2FC7"/>
    <w:rsid w:val="006B3040"/>
    <w:rsid w:val="006B3097"/>
    <w:rsid w:val="006B30C9"/>
    <w:rsid w:val="006B30EB"/>
    <w:rsid w:val="006B30F4"/>
    <w:rsid w:val="006B30F6"/>
    <w:rsid w:val="006B30FF"/>
    <w:rsid w:val="006B313C"/>
    <w:rsid w:val="006B318B"/>
    <w:rsid w:val="006B31A4"/>
    <w:rsid w:val="006B31A5"/>
    <w:rsid w:val="006B320D"/>
    <w:rsid w:val="006B3219"/>
    <w:rsid w:val="006B3236"/>
    <w:rsid w:val="006B32A3"/>
    <w:rsid w:val="006B3307"/>
    <w:rsid w:val="006B333A"/>
    <w:rsid w:val="006B3355"/>
    <w:rsid w:val="006B3370"/>
    <w:rsid w:val="006B33A6"/>
    <w:rsid w:val="006B33B2"/>
    <w:rsid w:val="006B340C"/>
    <w:rsid w:val="006B3463"/>
    <w:rsid w:val="006B3509"/>
    <w:rsid w:val="006B351D"/>
    <w:rsid w:val="006B3543"/>
    <w:rsid w:val="006B3565"/>
    <w:rsid w:val="006B35BA"/>
    <w:rsid w:val="006B3620"/>
    <w:rsid w:val="006B3631"/>
    <w:rsid w:val="006B36ED"/>
    <w:rsid w:val="006B36F9"/>
    <w:rsid w:val="006B3709"/>
    <w:rsid w:val="006B371D"/>
    <w:rsid w:val="006B3723"/>
    <w:rsid w:val="006B375D"/>
    <w:rsid w:val="006B3777"/>
    <w:rsid w:val="006B37EE"/>
    <w:rsid w:val="006B38BD"/>
    <w:rsid w:val="006B38CA"/>
    <w:rsid w:val="006B38DE"/>
    <w:rsid w:val="006B3993"/>
    <w:rsid w:val="006B3995"/>
    <w:rsid w:val="006B3A0A"/>
    <w:rsid w:val="006B3A10"/>
    <w:rsid w:val="006B3A3C"/>
    <w:rsid w:val="006B3A60"/>
    <w:rsid w:val="006B3A6B"/>
    <w:rsid w:val="006B3A7E"/>
    <w:rsid w:val="006B3A92"/>
    <w:rsid w:val="006B3AC6"/>
    <w:rsid w:val="006B3AD0"/>
    <w:rsid w:val="006B3B5F"/>
    <w:rsid w:val="006B3B73"/>
    <w:rsid w:val="006B3BB8"/>
    <w:rsid w:val="006B3BF5"/>
    <w:rsid w:val="006B3C27"/>
    <w:rsid w:val="006B3C69"/>
    <w:rsid w:val="006B3CB3"/>
    <w:rsid w:val="006B3CD9"/>
    <w:rsid w:val="006B3DA1"/>
    <w:rsid w:val="006B3DA9"/>
    <w:rsid w:val="006B3DC8"/>
    <w:rsid w:val="006B3DDF"/>
    <w:rsid w:val="006B3DE7"/>
    <w:rsid w:val="006B3E8F"/>
    <w:rsid w:val="006B3EA3"/>
    <w:rsid w:val="006B3EC3"/>
    <w:rsid w:val="006B3F83"/>
    <w:rsid w:val="006B3F90"/>
    <w:rsid w:val="006B3FCD"/>
    <w:rsid w:val="006B3FD7"/>
    <w:rsid w:val="006B3FDA"/>
    <w:rsid w:val="006B3FF6"/>
    <w:rsid w:val="006B4020"/>
    <w:rsid w:val="006B406A"/>
    <w:rsid w:val="006B406E"/>
    <w:rsid w:val="006B4074"/>
    <w:rsid w:val="006B4090"/>
    <w:rsid w:val="006B4093"/>
    <w:rsid w:val="006B40BA"/>
    <w:rsid w:val="006B40C9"/>
    <w:rsid w:val="006B4162"/>
    <w:rsid w:val="006B4199"/>
    <w:rsid w:val="006B419E"/>
    <w:rsid w:val="006B41A8"/>
    <w:rsid w:val="006B421E"/>
    <w:rsid w:val="006B4232"/>
    <w:rsid w:val="006B4244"/>
    <w:rsid w:val="006B43B4"/>
    <w:rsid w:val="006B446B"/>
    <w:rsid w:val="006B44A8"/>
    <w:rsid w:val="006B44CE"/>
    <w:rsid w:val="006B44D9"/>
    <w:rsid w:val="006B44EC"/>
    <w:rsid w:val="006B4534"/>
    <w:rsid w:val="006B4554"/>
    <w:rsid w:val="006B4560"/>
    <w:rsid w:val="006B4571"/>
    <w:rsid w:val="006B4595"/>
    <w:rsid w:val="006B45AE"/>
    <w:rsid w:val="006B45E3"/>
    <w:rsid w:val="006B4646"/>
    <w:rsid w:val="006B464C"/>
    <w:rsid w:val="006B46E1"/>
    <w:rsid w:val="006B46FD"/>
    <w:rsid w:val="006B470E"/>
    <w:rsid w:val="006B4767"/>
    <w:rsid w:val="006B47B1"/>
    <w:rsid w:val="006B47D5"/>
    <w:rsid w:val="006B4801"/>
    <w:rsid w:val="006B4822"/>
    <w:rsid w:val="006B484B"/>
    <w:rsid w:val="006B4924"/>
    <w:rsid w:val="006B4927"/>
    <w:rsid w:val="006B49A9"/>
    <w:rsid w:val="006B49AE"/>
    <w:rsid w:val="006B49E2"/>
    <w:rsid w:val="006B49F5"/>
    <w:rsid w:val="006B4A11"/>
    <w:rsid w:val="006B4A42"/>
    <w:rsid w:val="006B4A5F"/>
    <w:rsid w:val="006B4A80"/>
    <w:rsid w:val="006B4B02"/>
    <w:rsid w:val="006B4B8D"/>
    <w:rsid w:val="006B4BA1"/>
    <w:rsid w:val="006B4BE1"/>
    <w:rsid w:val="006B4C30"/>
    <w:rsid w:val="006B4C75"/>
    <w:rsid w:val="006B4C7C"/>
    <w:rsid w:val="006B4CAE"/>
    <w:rsid w:val="006B4CF0"/>
    <w:rsid w:val="006B4D18"/>
    <w:rsid w:val="006B4D73"/>
    <w:rsid w:val="006B4DA8"/>
    <w:rsid w:val="006B4DD5"/>
    <w:rsid w:val="006B4DEE"/>
    <w:rsid w:val="006B4DFF"/>
    <w:rsid w:val="006B4E08"/>
    <w:rsid w:val="006B4E29"/>
    <w:rsid w:val="006B4E3D"/>
    <w:rsid w:val="006B4E4A"/>
    <w:rsid w:val="006B4E57"/>
    <w:rsid w:val="006B4E5E"/>
    <w:rsid w:val="006B4E91"/>
    <w:rsid w:val="006B4EFA"/>
    <w:rsid w:val="006B4F3F"/>
    <w:rsid w:val="006B4F42"/>
    <w:rsid w:val="006B4F44"/>
    <w:rsid w:val="006B4F5A"/>
    <w:rsid w:val="006B4FA3"/>
    <w:rsid w:val="006B4FC5"/>
    <w:rsid w:val="006B5020"/>
    <w:rsid w:val="006B5091"/>
    <w:rsid w:val="006B5096"/>
    <w:rsid w:val="006B50C2"/>
    <w:rsid w:val="006B50D5"/>
    <w:rsid w:val="006B50E1"/>
    <w:rsid w:val="006B50E2"/>
    <w:rsid w:val="006B5110"/>
    <w:rsid w:val="006B519D"/>
    <w:rsid w:val="006B51E5"/>
    <w:rsid w:val="006B520D"/>
    <w:rsid w:val="006B5241"/>
    <w:rsid w:val="006B52B7"/>
    <w:rsid w:val="006B52C1"/>
    <w:rsid w:val="006B52DB"/>
    <w:rsid w:val="006B5319"/>
    <w:rsid w:val="006B5419"/>
    <w:rsid w:val="006B5420"/>
    <w:rsid w:val="006B543D"/>
    <w:rsid w:val="006B545C"/>
    <w:rsid w:val="006B550D"/>
    <w:rsid w:val="006B5522"/>
    <w:rsid w:val="006B5536"/>
    <w:rsid w:val="006B5556"/>
    <w:rsid w:val="006B555B"/>
    <w:rsid w:val="006B5595"/>
    <w:rsid w:val="006B559C"/>
    <w:rsid w:val="006B55E1"/>
    <w:rsid w:val="006B5609"/>
    <w:rsid w:val="006B5614"/>
    <w:rsid w:val="006B5666"/>
    <w:rsid w:val="006B56A4"/>
    <w:rsid w:val="006B572A"/>
    <w:rsid w:val="006B5732"/>
    <w:rsid w:val="006B5733"/>
    <w:rsid w:val="006B5753"/>
    <w:rsid w:val="006B5774"/>
    <w:rsid w:val="006B5778"/>
    <w:rsid w:val="006B582E"/>
    <w:rsid w:val="006B5897"/>
    <w:rsid w:val="006B58B2"/>
    <w:rsid w:val="006B58C1"/>
    <w:rsid w:val="006B58D1"/>
    <w:rsid w:val="006B5933"/>
    <w:rsid w:val="006B59BC"/>
    <w:rsid w:val="006B59F9"/>
    <w:rsid w:val="006B5A1D"/>
    <w:rsid w:val="006B5A70"/>
    <w:rsid w:val="006B5A9D"/>
    <w:rsid w:val="006B5AB0"/>
    <w:rsid w:val="006B5B27"/>
    <w:rsid w:val="006B5B51"/>
    <w:rsid w:val="006B5BF7"/>
    <w:rsid w:val="006B5C30"/>
    <w:rsid w:val="006B5C40"/>
    <w:rsid w:val="006B5C69"/>
    <w:rsid w:val="006B5C9D"/>
    <w:rsid w:val="006B5CEC"/>
    <w:rsid w:val="006B5D50"/>
    <w:rsid w:val="006B5D7F"/>
    <w:rsid w:val="006B5DA5"/>
    <w:rsid w:val="006B5DA8"/>
    <w:rsid w:val="006B5DF5"/>
    <w:rsid w:val="006B5E3D"/>
    <w:rsid w:val="006B5E80"/>
    <w:rsid w:val="006B5EA0"/>
    <w:rsid w:val="006B5EB2"/>
    <w:rsid w:val="006B5EBF"/>
    <w:rsid w:val="006B5EE1"/>
    <w:rsid w:val="006B5F0F"/>
    <w:rsid w:val="006B5F32"/>
    <w:rsid w:val="006B5F34"/>
    <w:rsid w:val="006B5F49"/>
    <w:rsid w:val="006B5F7E"/>
    <w:rsid w:val="006B5F94"/>
    <w:rsid w:val="006B5FBD"/>
    <w:rsid w:val="006B5FD2"/>
    <w:rsid w:val="006B603A"/>
    <w:rsid w:val="006B6053"/>
    <w:rsid w:val="006B60E2"/>
    <w:rsid w:val="006B60E3"/>
    <w:rsid w:val="006B6141"/>
    <w:rsid w:val="006B6178"/>
    <w:rsid w:val="006B61DA"/>
    <w:rsid w:val="006B61EF"/>
    <w:rsid w:val="006B6218"/>
    <w:rsid w:val="006B6231"/>
    <w:rsid w:val="006B6242"/>
    <w:rsid w:val="006B6257"/>
    <w:rsid w:val="006B6268"/>
    <w:rsid w:val="006B62D0"/>
    <w:rsid w:val="006B62ED"/>
    <w:rsid w:val="006B632B"/>
    <w:rsid w:val="006B6356"/>
    <w:rsid w:val="006B63CB"/>
    <w:rsid w:val="006B63D3"/>
    <w:rsid w:val="006B6405"/>
    <w:rsid w:val="006B640F"/>
    <w:rsid w:val="006B6417"/>
    <w:rsid w:val="006B6421"/>
    <w:rsid w:val="006B6438"/>
    <w:rsid w:val="006B648F"/>
    <w:rsid w:val="006B6514"/>
    <w:rsid w:val="006B6550"/>
    <w:rsid w:val="006B6553"/>
    <w:rsid w:val="006B6589"/>
    <w:rsid w:val="006B6593"/>
    <w:rsid w:val="006B65EF"/>
    <w:rsid w:val="006B666F"/>
    <w:rsid w:val="006B66B8"/>
    <w:rsid w:val="006B66E4"/>
    <w:rsid w:val="006B66F2"/>
    <w:rsid w:val="006B66FF"/>
    <w:rsid w:val="006B675E"/>
    <w:rsid w:val="006B6771"/>
    <w:rsid w:val="006B6821"/>
    <w:rsid w:val="006B6847"/>
    <w:rsid w:val="006B687B"/>
    <w:rsid w:val="006B687F"/>
    <w:rsid w:val="006B68B2"/>
    <w:rsid w:val="006B68D6"/>
    <w:rsid w:val="006B68E6"/>
    <w:rsid w:val="006B691D"/>
    <w:rsid w:val="006B6924"/>
    <w:rsid w:val="006B6943"/>
    <w:rsid w:val="006B694E"/>
    <w:rsid w:val="006B695A"/>
    <w:rsid w:val="006B697E"/>
    <w:rsid w:val="006B6998"/>
    <w:rsid w:val="006B699C"/>
    <w:rsid w:val="006B69C3"/>
    <w:rsid w:val="006B69CD"/>
    <w:rsid w:val="006B6A05"/>
    <w:rsid w:val="006B6A2A"/>
    <w:rsid w:val="006B6A4A"/>
    <w:rsid w:val="006B6A55"/>
    <w:rsid w:val="006B6A83"/>
    <w:rsid w:val="006B6A94"/>
    <w:rsid w:val="006B6AC5"/>
    <w:rsid w:val="006B6AEC"/>
    <w:rsid w:val="006B6B2B"/>
    <w:rsid w:val="006B6B4A"/>
    <w:rsid w:val="006B6B61"/>
    <w:rsid w:val="006B6B64"/>
    <w:rsid w:val="006B6B90"/>
    <w:rsid w:val="006B6BD5"/>
    <w:rsid w:val="006B6C04"/>
    <w:rsid w:val="006B6C2B"/>
    <w:rsid w:val="006B6C44"/>
    <w:rsid w:val="006B6C58"/>
    <w:rsid w:val="006B6CB4"/>
    <w:rsid w:val="006B6CBC"/>
    <w:rsid w:val="006B6D0F"/>
    <w:rsid w:val="006B6D33"/>
    <w:rsid w:val="006B6DAC"/>
    <w:rsid w:val="006B6DB4"/>
    <w:rsid w:val="006B6DBB"/>
    <w:rsid w:val="006B6E0D"/>
    <w:rsid w:val="006B6E3E"/>
    <w:rsid w:val="006B6E4C"/>
    <w:rsid w:val="006B6E82"/>
    <w:rsid w:val="006B6E8C"/>
    <w:rsid w:val="006B6F4F"/>
    <w:rsid w:val="006B702E"/>
    <w:rsid w:val="006B7087"/>
    <w:rsid w:val="006B70C1"/>
    <w:rsid w:val="006B70E1"/>
    <w:rsid w:val="006B7102"/>
    <w:rsid w:val="006B7110"/>
    <w:rsid w:val="006B713F"/>
    <w:rsid w:val="006B71FE"/>
    <w:rsid w:val="006B7242"/>
    <w:rsid w:val="006B7273"/>
    <w:rsid w:val="006B727F"/>
    <w:rsid w:val="006B7285"/>
    <w:rsid w:val="006B72FF"/>
    <w:rsid w:val="006B7360"/>
    <w:rsid w:val="006B73E6"/>
    <w:rsid w:val="006B73EF"/>
    <w:rsid w:val="006B7426"/>
    <w:rsid w:val="006B743E"/>
    <w:rsid w:val="006B7500"/>
    <w:rsid w:val="006B75C6"/>
    <w:rsid w:val="006B75E2"/>
    <w:rsid w:val="006B75F3"/>
    <w:rsid w:val="006B75F6"/>
    <w:rsid w:val="006B7629"/>
    <w:rsid w:val="006B7656"/>
    <w:rsid w:val="006B7671"/>
    <w:rsid w:val="006B769C"/>
    <w:rsid w:val="006B76A4"/>
    <w:rsid w:val="006B7730"/>
    <w:rsid w:val="006B77D2"/>
    <w:rsid w:val="006B77F9"/>
    <w:rsid w:val="006B7816"/>
    <w:rsid w:val="006B7848"/>
    <w:rsid w:val="006B7850"/>
    <w:rsid w:val="006B7871"/>
    <w:rsid w:val="006B7880"/>
    <w:rsid w:val="006B78ED"/>
    <w:rsid w:val="006B79B5"/>
    <w:rsid w:val="006B79EF"/>
    <w:rsid w:val="006B79F5"/>
    <w:rsid w:val="006B7AB2"/>
    <w:rsid w:val="006B7ABD"/>
    <w:rsid w:val="006B7B02"/>
    <w:rsid w:val="006B7B35"/>
    <w:rsid w:val="006B7B67"/>
    <w:rsid w:val="006B7BBB"/>
    <w:rsid w:val="006B7BDB"/>
    <w:rsid w:val="006B7C1F"/>
    <w:rsid w:val="006B7C20"/>
    <w:rsid w:val="006B7C47"/>
    <w:rsid w:val="006B7C56"/>
    <w:rsid w:val="006B7CC4"/>
    <w:rsid w:val="006B7CCD"/>
    <w:rsid w:val="006B7D32"/>
    <w:rsid w:val="006B7D52"/>
    <w:rsid w:val="006B7D53"/>
    <w:rsid w:val="006B7D60"/>
    <w:rsid w:val="006B7D90"/>
    <w:rsid w:val="006B7DD0"/>
    <w:rsid w:val="006B7E0D"/>
    <w:rsid w:val="006B7E1E"/>
    <w:rsid w:val="006B7E4C"/>
    <w:rsid w:val="006B7E6A"/>
    <w:rsid w:val="006B7EBE"/>
    <w:rsid w:val="006B7ECC"/>
    <w:rsid w:val="006B7ECD"/>
    <w:rsid w:val="006B7EEE"/>
    <w:rsid w:val="006B7F15"/>
    <w:rsid w:val="006B7F1F"/>
    <w:rsid w:val="006BF814"/>
    <w:rsid w:val="006C0009"/>
    <w:rsid w:val="006C0026"/>
    <w:rsid w:val="006C0094"/>
    <w:rsid w:val="006C0113"/>
    <w:rsid w:val="006C0145"/>
    <w:rsid w:val="006C018B"/>
    <w:rsid w:val="006C0215"/>
    <w:rsid w:val="006C0217"/>
    <w:rsid w:val="006C0255"/>
    <w:rsid w:val="006C0258"/>
    <w:rsid w:val="006C0285"/>
    <w:rsid w:val="006C0289"/>
    <w:rsid w:val="006C029B"/>
    <w:rsid w:val="006C02B0"/>
    <w:rsid w:val="006C02CE"/>
    <w:rsid w:val="006C02D1"/>
    <w:rsid w:val="006C031F"/>
    <w:rsid w:val="006C0337"/>
    <w:rsid w:val="006C03AE"/>
    <w:rsid w:val="006C03BE"/>
    <w:rsid w:val="006C0414"/>
    <w:rsid w:val="006C0446"/>
    <w:rsid w:val="006C0465"/>
    <w:rsid w:val="006C04B4"/>
    <w:rsid w:val="006C052E"/>
    <w:rsid w:val="006C0534"/>
    <w:rsid w:val="006C0539"/>
    <w:rsid w:val="006C0568"/>
    <w:rsid w:val="006C0587"/>
    <w:rsid w:val="006C05D7"/>
    <w:rsid w:val="006C0636"/>
    <w:rsid w:val="006C0675"/>
    <w:rsid w:val="006C06DA"/>
    <w:rsid w:val="006C06FE"/>
    <w:rsid w:val="006C0747"/>
    <w:rsid w:val="006C077A"/>
    <w:rsid w:val="006C077B"/>
    <w:rsid w:val="006C07A1"/>
    <w:rsid w:val="006C07AC"/>
    <w:rsid w:val="006C07BB"/>
    <w:rsid w:val="006C07BC"/>
    <w:rsid w:val="006C0802"/>
    <w:rsid w:val="006C085D"/>
    <w:rsid w:val="006C08A4"/>
    <w:rsid w:val="006C08BB"/>
    <w:rsid w:val="006C094F"/>
    <w:rsid w:val="006C09EC"/>
    <w:rsid w:val="006C09F6"/>
    <w:rsid w:val="006C0A02"/>
    <w:rsid w:val="006C0A14"/>
    <w:rsid w:val="006C0A38"/>
    <w:rsid w:val="006C0A6D"/>
    <w:rsid w:val="006C0A70"/>
    <w:rsid w:val="006C0AC0"/>
    <w:rsid w:val="006C0AE4"/>
    <w:rsid w:val="006C0AEB"/>
    <w:rsid w:val="006C0AFB"/>
    <w:rsid w:val="006C0B08"/>
    <w:rsid w:val="006C0B49"/>
    <w:rsid w:val="006C0BA0"/>
    <w:rsid w:val="006C0BB2"/>
    <w:rsid w:val="006C0BF1"/>
    <w:rsid w:val="006C0C50"/>
    <w:rsid w:val="006C0CDA"/>
    <w:rsid w:val="006C0D0D"/>
    <w:rsid w:val="006C0D29"/>
    <w:rsid w:val="006C0D2C"/>
    <w:rsid w:val="006C0D30"/>
    <w:rsid w:val="006C0D8F"/>
    <w:rsid w:val="006C0DBF"/>
    <w:rsid w:val="006C0DC0"/>
    <w:rsid w:val="006C0DC4"/>
    <w:rsid w:val="006C0E43"/>
    <w:rsid w:val="006C0E5A"/>
    <w:rsid w:val="006C0ED1"/>
    <w:rsid w:val="006C0EF2"/>
    <w:rsid w:val="006C0F63"/>
    <w:rsid w:val="006C0FBF"/>
    <w:rsid w:val="006C101B"/>
    <w:rsid w:val="006C1071"/>
    <w:rsid w:val="006C10D4"/>
    <w:rsid w:val="006C1136"/>
    <w:rsid w:val="006C1147"/>
    <w:rsid w:val="006C117B"/>
    <w:rsid w:val="006C1190"/>
    <w:rsid w:val="006C120F"/>
    <w:rsid w:val="006C12A7"/>
    <w:rsid w:val="006C1302"/>
    <w:rsid w:val="006C1321"/>
    <w:rsid w:val="006C132C"/>
    <w:rsid w:val="006C1343"/>
    <w:rsid w:val="006C13AA"/>
    <w:rsid w:val="006C13FF"/>
    <w:rsid w:val="006C1401"/>
    <w:rsid w:val="006C1425"/>
    <w:rsid w:val="006C144C"/>
    <w:rsid w:val="006C147B"/>
    <w:rsid w:val="006C14F6"/>
    <w:rsid w:val="006C15CB"/>
    <w:rsid w:val="006C1630"/>
    <w:rsid w:val="006C163A"/>
    <w:rsid w:val="006C1645"/>
    <w:rsid w:val="006C1663"/>
    <w:rsid w:val="006C1679"/>
    <w:rsid w:val="006C1693"/>
    <w:rsid w:val="006C16C6"/>
    <w:rsid w:val="006C1771"/>
    <w:rsid w:val="006C17A4"/>
    <w:rsid w:val="006C17B8"/>
    <w:rsid w:val="006C17CE"/>
    <w:rsid w:val="006C1821"/>
    <w:rsid w:val="006C1869"/>
    <w:rsid w:val="006C1875"/>
    <w:rsid w:val="006C187F"/>
    <w:rsid w:val="006C18C3"/>
    <w:rsid w:val="006C1908"/>
    <w:rsid w:val="006C190C"/>
    <w:rsid w:val="006C1921"/>
    <w:rsid w:val="006C192E"/>
    <w:rsid w:val="006C1971"/>
    <w:rsid w:val="006C1997"/>
    <w:rsid w:val="006C19A0"/>
    <w:rsid w:val="006C19EB"/>
    <w:rsid w:val="006C19F3"/>
    <w:rsid w:val="006C1A4D"/>
    <w:rsid w:val="006C1A55"/>
    <w:rsid w:val="006C1A56"/>
    <w:rsid w:val="006C1AA8"/>
    <w:rsid w:val="006C1ABB"/>
    <w:rsid w:val="006C1ACB"/>
    <w:rsid w:val="006C1AF1"/>
    <w:rsid w:val="006C1B0E"/>
    <w:rsid w:val="006C1B68"/>
    <w:rsid w:val="006C1BD6"/>
    <w:rsid w:val="006C1C88"/>
    <w:rsid w:val="006C1CA7"/>
    <w:rsid w:val="006C1CAB"/>
    <w:rsid w:val="006C1D0C"/>
    <w:rsid w:val="006C1D57"/>
    <w:rsid w:val="006C1D91"/>
    <w:rsid w:val="006C1DB7"/>
    <w:rsid w:val="006C1DBB"/>
    <w:rsid w:val="006C1DCF"/>
    <w:rsid w:val="006C1E16"/>
    <w:rsid w:val="006C1E59"/>
    <w:rsid w:val="006C1EE2"/>
    <w:rsid w:val="006C1F3C"/>
    <w:rsid w:val="006C201C"/>
    <w:rsid w:val="006C2042"/>
    <w:rsid w:val="006C204E"/>
    <w:rsid w:val="006C20B4"/>
    <w:rsid w:val="006C20C9"/>
    <w:rsid w:val="006C20FE"/>
    <w:rsid w:val="006C2135"/>
    <w:rsid w:val="006C2240"/>
    <w:rsid w:val="006C2255"/>
    <w:rsid w:val="006C225F"/>
    <w:rsid w:val="006C2270"/>
    <w:rsid w:val="006C22C2"/>
    <w:rsid w:val="006C22CC"/>
    <w:rsid w:val="006C2300"/>
    <w:rsid w:val="006C233D"/>
    <w:rsid w:val="006C2373"/>
    <w:rsid w:val="006C246D"/>
    <w:rsid w:val="006C2497"/>
    <w:rsid w:val="006C24B8"/>
    <w:rsid w:val="006C24C2"/>
    <w:rsid w:val="006C2511"/>
    <w:rsid w:val="006C2595"/>
    <w:rsid w:val="006C2690"/>
    <w:rsid w:val="006C2698"/>
    <w:rsid w:val="006C269B"/>
    <w:rsid w:val="006C26BF"/>
    <w:rsid w:val="006C26C4"/>
    <w:rsid w:val="006C2708"/>
    <w:rsid w:val="006C2737"/>
    <w:rsid w:val="006C2774"/>
    <w:rsid w:val="006C2801"/>
    <w:rsid w:val="006C285F"/>
    <w:rsid w:val="006C28D4"/>
    <w:rsid w:val="006C28E7"/>
    <w:rsid w:val="006C28E8"/>
    <w:rsid w:val="006C28FB"/>
    <w:rsid w:val="006C292E"/>
    <w:rsid w:val="006C2987"/>
    <w:rsid w:val="006C29FE"/>
    <w:rsid w:val="006C2A41"/>
    <w:rsid w:val="006C2A42"/>
    <w:rsid w:val="006C2ABE"/>
    <w:rsid w:val="006C2ADA"/>
    <w:rsid w:val="006C2B30"/>
    <w:rsid w:val="006C2B4A"/>
    <w:rsid w:val="006C2B94"/>
    <w:rsid w:val="006C2BA2"/>
    <w:rsid w:val="006C2BB9"/>
    <w:rsid w:val="006C2BF0"/>
    <w:rsid w:val="006C2C8C"/>
    <w:rsid w:val="006C2CA8"/>
    <w:rsid w:val="006C2CE8"/>
    <w:rsid w:val="006C2D5E"/>
    <w:rsid w:val="006C2D7E"/>
    <w:rsid w:val="006C2D8C"/>
    <w:rsid w:val="006C2DC8"/>
    <w:rsid w:val="006C2E15"/>
    <w:rsid w:val="006C2E50"/>
    <w:rsid w:val="006C2E72"/>
    <w:rsid w:val="006C2E81"/>
    <w:rsid w:val="006C2E91"/>
    <w:rsid w:val="006C2EBA"/>
    <w:rsid w:val="006C2ECA"/>
    <w:rsid w:val="006C2F10"/>
    <w:rsid w:val="006C2F1D"/>
    <w:rsid w:val="006C2F23"/>
    <w:rsid w:val="006C2FAE"/>
    <w:rsid w:val="006C2FC7"/>
    <w:rsid w:val="006C2FD1"/>
    <w:rsid w:val="006C2FED"/>
    <w:rsid w:val="006C3006"/>
    <w:rsid w:val="006C30D3"/>
    <w:rsid w:val="006C310C"/>
    <w:rsid w:val="006C3143"/>
    <w:rsid w:val="006C3148"/>
    <w:rsid w:val="006C3174"/>
    <w:rsid w:val="006C31AD"/>
    <w:rsid w:val="006C31C2"/>
    <w:rsid w:val="006C31C7"/>
    <w:rsid w:val="006C322D"/>
    <w:rsid w:val="006C3296"/>
    <w:rsid w:val="006C32B7"/>
    <w:rsid w:val="006C331E"/>
    <w:rsid w:val="006C335A"/>
    <w:rsid w:val="006C339A"/>
    <w:rsid w:val="006C33D5"/>
    <w:rsid w:val="006C33E0"/>
    <w:rsid w:val="006C34D6"/>
    <w:rsid w:val="006C34DB"/>
    <w:rsid w:val="006C34E3"/>
    <w:rsid w:val="006C353E"/>
    <w:rsid w:val="006C3548"/>
    <w:rsid w:val="006C362A"/>
    <w:rsid w:val="006C363E"/>
    <w:rsid w:val="006C3661"/>
    <w:rsid w:val="006C370F"/>
    <w:rsid w:val="006C3727"/>
    <w:rsid w:val="006C3741"/>
    <w:rsid w:val="006C3749"/>
    <w:rsid w:val="006C3751"/>
    <w:rsid w:val="006C3770"/>
    <w:rsid w:val="006C37D5"/>
    <w:rsid w:val="006C37DB"/>
    <w:rsid w:val="006C381E"/>
    <w:rsid w:val="006C3822"/>
    <w:rsid w:val="006C3850"/>
    <w:rsid w:val="006C38BD"/>
    <w:rsid w:val="006C38BF"/>
    <w:rsid w:val="006C38DC"/>
    <w:rsid w:val="006C3975"/>
    <w:rsid w:val="006C39DC"/>
    <w:rsid w:val="006C3A78"/>
    <w:rsid w:val="006C3AAF"/>
    <w:rsid w:val="006C3AC4"/>
    <w:rsid w:val="006C3B31"/>
    <w:rsid w:val="006C3B3F"/>
    <w:rsid w:val="006C3B46"/>
    <w:rsid w:val="006C3BB1"/>
    <w:rsid w:val="006C3C24"/>
    <w:rsid w:val="006C3C50"/>
    <w:rsid w:val="006C3C58"/>
    <w:rsid w:val="006C3D4B"/>
    <w:rsid w:val="006C3DCC"/>
    <w:rsid w:val="006C3DE7"/>
    <w:rsid w:val="006C3E3F"/>
    <w:rsid w:val="006C3E73"/>
    <w:rsid w:val="006C3E8D"/>
    <w:rsid w:val="006C3ED1"/>
    <w:rsid w:val="006C3F02"/>
    <w:rsid w:val="006C3F99"/>
    <w:rsid w:val="006C3FBA"/>
    <w:rsid w:val="006C3FEC"/>
    <w:rsid w:val="006C401B"/>
    <w:rsid w:val="006C4049"/>
    <w:rsid w:val="006C407E"/>
    <w:rsid w:val="006C4096"/>
    <w:rsid w:val="006C40C2"/>
    <w:rsid w:val="006C40DB"/>
    <w:rsid w:val="006C411F"/>
    <w:rsid w:val="006C413A"/>
    <w:rsid w:val="006C4141"/>
    <w:rsid w:val="006C4176"/>
    <w:rsid w:val="006C41CC"/>
    <w:rsid w:val="006C424F"/>
    <w:rsid w:val="006C4266"/>
    <w:rsid w:val="006C427B"/>
    <w:rsid w:val="006C42B6"/>
    <w:rsid w:val="006C42D9"/>
    <w:rsid w:val="006C42EF"/>
    <w:rsid w:val="006C430B"/>
    <w:rsid w:val="006C4334"/>
    <w:rsid w:val="006C438A"/>
    <w:rsid w:val="006C43F7"/>
    <w:rsid w:val="006C4408"/>
    <w:rsid w:val="006C443B"/>
    <w:rsid w:val="006C445F"/>
    <w:rsid w:val="006C44CF"/>
    <w:rsid w:val="006C44FE"/>
    <w:rsid w:val="006C4546"/>
    <w:rsid w:val="006C454F"/>
    <w:rsid w:val="006C4551"/>
    <w:rsid w:val="006C458B"/>
    <w:rsid w:val="006C461D"/>
    <w:rsid w:val="006C4638"/>
    <w:rsid w:val="006C465D"/>
    <w:rsid w:val="006C469B"/>
    <w:rsid w:val="006C469C"/>
    <w:rsid w:val="006C4715"/>
    <w:rsid w:val="006C471A"/>
    <w:rsid w:val="006C4777"/>
    <w:rsid w:val="006C47B1"/>
    <w:rsid w:val="006C4812"/>
    <w:rsid w:val="006C48BE"/>
    <w:rsid w:val="006C48C8"/>
    <w:rsid w:val="006C48E9"/>
    <w:rsid w:val="006C4944"/>
    <w:rsid w:val="006C498A"/>
    <w:rsid w:val="006C498F"/>
    <w:rsid w:val="006C4B50"/>
    <w:rsid w:val="006C4B62"/>
    <w:rsid w:val="006C4B72"/>
    <w:rsid w:val="006C4B95"/>
    <w:rsid w:val="006C4BC5"/>
    <w:rsid w:val="006C4C01"/>
    <w:rsid w:val="006C4C1B"/>
    <w:rsid w:val="006C4CBF"/>
    <w:rsid w:val="006C4CE0"/>
    <w:rsid w:val="006C4CE5"/>
    <w:rsid w:val="006C4D1E"/>
    <w:rsid w:val="006C4D53"/>
    <w:rsid w:val="006C4DA8"/>
    <w:rsid w:val="006C4DAC"/>
    <w:rsid w:val="006C4DB6"/>
    <w:rsid w:val="006C4DC7"/>
    <w:rsid w:val="006C4E56"/>
    <w:rsid w:val="006C4EFC"/>
    <w:rsid w:val="006C4F19"/>
    <w:rsid w:val="006C4F33"/>
    <w:rsid w:val="006C4F3D"/>
    <w:rsid w:val="006C4F7C"/>
    <w:rsid w:val="006C4FBB"/>
    <w:rsid w:val="006C5090"/>
    <w:rsid w:val="006C50C8"/>
    <w:rsid w:val="006C50E3"/>
    <w:rsid w:val="006C50E8"/>
    <w:rsid w:val="006C5108"/>
    <w:rsid w:val="006C510C"/>
    <w:rsid w:val="006C5111"/>
    <w:rsid w:val="006C5130"/>
    <w:rsid w:val="006C5166"/>
    <w:rsid w:val="006C5171"/>
    <w:rsid w:val="006C5175"/>
    <w:rsid w:val="006C5177"/>
    <w:rsid w:val="006C5186"/>
    <w:rsid w:val="006C5214"/>
    <w:rsid w:val="006C5247"/>
    <w:rsid w:val="006C5294"/>
    <w:rsid w:val="006C52F6"/>
    <w:rsid w:val="006C52FA"/>
    <w:rsid w:val="006C5345"/>
    <w:rsid w:val="006C53E1"/>
    <w:rsid w:val="006C53FB"/>
    <w:rsid w:val="006C5445"/>
    <w:rsid w:val="006C5490"/>
    <w:rsid w:val="006C54A5"/>
    <w:rsid w:val="006C54D5"/>
    <w:rsid w:val="006C54DE"/>
    <w:rsid w:val="006C5546"/>
    <w:rsid w:val="006C556D"/>
    <w:rsid w:val="006C559E"/>
    <w:rsid w:val="006C561F"/>
    <w:rsid w:val="006C5621"/>
    <w:rsid w:val="006C566A"/>
    <w:rsid w:val="006C56A4"/>
    <w:rsid w:val="006C56B5"/>
    <w:rsid w:val="006C5751"/>
    <w:rsid w:val="006C57E5"/>
    <w:rsid w:val="006C57FE"/>
    <w:rsid w:val="006C5855"/>
    <w:rsid w:val="006C58C9"/>
    <w:rsid w:val="006C591B"/>
    <w:rsid w:val="006C5922"/>
    <w:rsid w:val="006C592B"/>
    <w:rsid w:val="006C5971"/>
    <w:rsid w:val="006C5973"/>
    <w:rsid w:val="006C597C"/>
    <w:rsid w:val="006C5984"/>
    <w:rsid w:val="006C59AF"/>
    <w:rsid w:val="006C59EC"/>
    <w:rsid w:val="006C5A72"/>
    <w:rsid w:val="006C5AAD"/>
    <w:rsid w:val="006C5AB9"/>
    <w:rsid w:val="006C5BC3"/>
    <w:rsid w:val="006C5BCE"/>
    <w:rsid w:val="006C5C2D"/>
    <w:rsid w:val="006C5C35"/>
    <w:rsid w:val="006C5C83"/>
    <w:rsid w:val="006C5C85"/>
    <w:rsid w:val="006C5CED"/>
    <w:rsid w:val="006C5D0C"/>
    <w:rsid w:val="006C5D6D"/>
    <w:rsid w:val="006C5DA2"/>
    <w:rsid w:val="006C5DBC"/>
    <w:rsid w:val="006C5DDB"/>
    <w:rsid w:val="006C5E15"/>
    <w:rsid w:val="006C5E91"/>
    <w:rsid w:val="006C5ECF"/>
    <w:rsid w:val="006C5F0E"/>
    <w:rsid w:val="006C5F29"/>
    <w:rsid w:val="006C5F56"/>
    <w:rsid w:val="006C5F5A"/>
    <w:rsid w:val="006C5FA4"/>
    <w:rsid w:val="006C5FCA"/>
    <w:rsid w:val="006C5FEB"/>
    <w:rsid w:val="006C5FEF"/>
    <w:rsid w:val="006C6030"/>
    <w:rsid w:val="006C6037"/>
    <w:rsid w:val="006C6078"/>
    <w:rsid w:val="006C6082"/>
    <w:rsid w:val="006C6091"/>
    <w:rsid w:val="006C60C1"/>
    <w:rsid w:val="006C614E"/>
    <w:rsid w:val="006C6180"/>
    <w:rsid w:val="006C623F"/>
    <w:rsid w:val="006C6249"/>
    <w:rsid w:val="006C632B"/>
    <w:rsid w:val="006C6370"/>
    <w:rsid w:val="006C63D1"/>
    <w:rsid w:val="006C640A"/>
    <w:rsid w:val="006C645B"/>
    <w:rsid w:val="006C6471"/>
    <w:rsid w:val="006C6478"/>
    <w:rsid w:val="006C647A"/>
    <w:rsid w:val="006C64A2"/>
    <w:rsid w:val="006C64B0"/>
    <w:rsid w:val="006C65A6"/>
    <w:rsid w:val="006C65D1"/>
    <w:rsid w:val="006C6699"/>
    <w:rsid w:val="006C6737"/>
    <w:rsid w:val="006C682D"/>
    <w:rsid w:val="006C6841"/>
    <w:rsid w:val="006C68E4"/>
    <w:rsid w:val="006C68F8"/>
    <w:rsid w:val="006C6931"/>
    <w:rsid w:val="006C6986"/>
    <w:rsid w:val="006C6A4F"/>
    <w:rsid w:val="006C6A64"/>
    <w:rsid w:val="006C6A7D"/>
    <w:rsid w:val="006C6AEF"/>
    <w:rsid w:val="006C6B49"/>
    <w:rsid w:val="006C6C0B"/>
    <w:rsid w:val="006C6C19"/>
    <w:rsid w:val="006C6C1A"/>
    <w:rsid w:val="006C6CA7"/>
    <w:rsid w:val="006C6D1D"/>
    <w:rsid w:val="006C6D6A"/>
    <w:rsid w:val="006C6D7D"/>
    <w:rsid w:val="006C6D7E"/>
    <w:rsid w:val="006C6DA6"/>
    <w:rsid w:val="006C6DB1"/>
    <w:rsid w:val="006C6DC3"/>
    <w:rsid w:val="006C6E5D"/>
    <w:rsid w:val="006C6EBC"/>
    <w:rsid w:val="006C6ED4"/>
    <w:rsid w:val="006C6EE1"/>
    <w:rsid w:val="006C6EE5"/>
    <w:rsid w:val="006C6F33"/>
    <w:rsid w:val="006C6F38"/>
    <w:rsid w:val="006C6F3F"/>
    <w:rsid w:val="006C6F40"/>
    <w:rsid w:val="006C6F63"/>
    <w:rsid w:val="006C6F79"/>
    <w:rsid w:val="006C6F7B"/>
    <w:rsid w:val="006C6F8B"/>
    <w:rsid w:val="006C700C"/>
    <w:rsid w:val="006C702B"/>
    <w:rsid w:val="006C7043"/>
    <w:rsid w:val="006C704A"/>
    <w:rsid w:val="006C7051"/>
    <w:rsid w:val="006C707D"/>
    <w:rsid w:val="006C708A"/>
    <w:rsid w:val="006C70C3"/>
    <w:rsid w:val="006C70CD"/>
    <w:rsid w:val="006C712C"/>
    <w:rsid w:val="006C7140"/>
    <w:rsid w:val="006C715A"/>
    <w:rsid w:val="006C7192"/>
    <w:rsid w:val="006C71CB"/>
    <w:rsid w:val="006C71D3"/>
    <w:rsid w:val="006C720D"/>
    <w:rsid w:val="006C7225"/>
    <w:rsid w:val="006C722C"/>
    <w:rsid w:val="006C7230"/>
    <w:rsid w:val="006C7280"/>
    <w:rsid w:val="006C7289"/>
    <w:rsid w:val="006C7299"/>
    <w:rsid w:val="006C729E"/>
    <w:rsid w:val="006C72FE"/>
    <w:rsid w:val="006C730B"/>
    <w:rsid w:val="006C731D"/>
    <w:rsid w:val="006C732D"/>
    <w:rsid w:val="006C73C4"/>
    <w:rsid w:val="006C7464"/>
    <w:rsid w:val="006C74B8"/>
    <w:rsid w:val="006C74BD"/>
    <w:rsid w:val="006C74EB"/>
    <w:rsid w:val="006C7517"/>
    <w:rsid w:val="006C751A"/>
    <w:rsid w:val="006C751E"/>
    <w:rsid w:val="006C756F"/>
    <w:rsid w:val="006C75E5"/>
    <w:rsid w:val="006C76EC"/>
    <w:rsid w:val="006C7731"/>
    <w:rsid w:val="006C7734"/>
    <w:rsid w:val="006C7742"/>
    <w:rsid w:val="006C774A"/>
    <w:rsid w:val="006C7788"/>
    <w:rsid w:val="006C77CC"/>
    <w:rsid w:val="006C77D0"/>
    <w:rsid w:val="006C7815"/>
    <w:rsid w:val="006C7837"/>
    <w:rsid w:val="006C7845"/>
    <w:rsid w:val="006C78AD"/>
    <w:rsid w:val="006C78FD"/>
    <w:rsid w:val="006C792B"/>
    <w:rsid w:val="006C7932"/>
    <w:rsid w:val="006C795A"/>
    <w:rsid w:val="006C7985"/>
    <w:rsid w:val="006C79CF"/>
    <w:rsid w:val="006C79D7"/>
    <w:rsid w:val="006C7A16"/>
    <w:rsid w:val="006C7A2F"/>
    <w:rsid w:val="006C7A49"/>
    <w:rsid w:val="006C7A73"/>
    <w:rsid w:val="006C7A87"/>
    <w:rsid w:val="006C7A8F"/>
    <w:rsid w:val="006C7B0A"/>
    <w:rsid w:val="006C7BE3"/>
    <w:rsid w:val="006C7C00"/>
    <w:rsid w:val="006C7C01"/>
    <w:rsid w:val="006C7C15"/>
    <w:rsid w:val="006C7C24"/>
    <w:rsid w:val="006C7C4E"/>
    <w:rsid w:val="006C7CA6"/>
    <w:rsid w:val="006C7CC5"/>
    <w:rsid w:val="006C7CF6"/>
    <w:rsid w:val="006C7DDE"/>
    <w:rsid w:val="006C7E0C"/>
    <w:rsid w:val="006C7E1F"/>
    <w:rsid w:val="006C7E22"/>
    <w:rsid w:val="006C7E73"/>
    <w:rsid w:val="006C7EA0"/>
    <w:rsid w:val="006C7F5F"/>
    <w:rsid w:val="006C7F67"/>
    <w:rsid w:val="006C7F8B"/>
    <w:rsid w:val="006D0003"/>
    <w:rsid w:val="006D0033"/>
    <w:rsid w:val="006D0052"/>
    <w:rsid w:val="006D0062"/>
    <w:rsid w:val="006D007A"/>
    <w:rsid w:val="006D0154"/>
    <w:rsid w:val="006D01A5"/>
    <w:rsid w:val="006D020E"/>
    <w:rsid w:val="006D0234"/>
    <w:rsid w:val="006D0237"/>
    <w:rsid w:val="006D024E"/>
    <w:rsid w:val="006D0250"/>
    <w:rsid w:val="006D028A"/>
    <w:rsid w:val="006D0292"/>
    <w:rsid w:val="006D029C"/>
    <w:rsid w:val="006D02B7"/>
    <w:rsid w:val="006D02C6"/>
    <w:rsid w:val="006D02CD"/>
    <w:rsid w:val="006D031D"/>
    <w:rsid w:val="006D0325"/>
    <w:rsid w:val="006D03DA"/>
    <w:rsid w:val="006D03F3"/>
    <w:rsid w:val="006D0426"/>
    <w:rsid w:val="006D04B4"/>
    <w:rsid w:val="006D04CD"/>
    <w:rsid w:val="006D0525"/>
    <w:rsid w:val="006D0585"/>
    <w:rsid w:val="006D05A3"/>
    <w:rsid w:val="006D05D6"/>
    <w:rsid w:val="006D05E5"/>
    <w:rsid w:val="006D0613"/>
    <w:rsid w:val="006D0681"/>
    <w:rsid w:val="006D06F8"/>
    <w:rsid w:val="006D0732"/>
    <w:rsid w:val="006D0783"/>
    <w:rsid w:val="006D0787"/>
    <w:rsid w:val="006D0898"/>
    <w:rsid w:val="006D08DB"/>
    <w:rsid w:val="006D08E5"/>
    <w:rsid w:val="006D0952"/>
    <w:rsid w:val="006D0A02"/>
    <w:rsid w:val="006D0A15"/>
    <w:rsid w:val="006D0A43"/>
    <w:rsid w:val="006D0A5E"/>
    <w:rsid w:val="006D0A67"/>
    <w:rsid w:val="006D0A84"/>
    <w:rsid w:val="006D0A9E"/>
    <w:rsid w:val="006D0A9F"/>
    <w:rsid w:val="006D0ABA"/>
    <w:rsid w:val="006D0B06"/>
    <w:rsid w:val="006D0B0C"/>
    <w:rsid w:val="006D0B0F"/>
    <w:rsid w:val="006D0B5F"/>
    <w:rsid w:val="006D0B79"/>
    <w:rsid w:val="006D0B7E"/>
    <w:rsid w:val="006D0B7F"/>
    <w:rsid w:val="006D0BA1"/>
    <w:rsid w:val="006D0BAA"/>
    <w:rsid w:val="006D0BCB"/>
    <w:rsid w:val="006D0C2F"/>
    <w:rsid w:val="006D0C4A"/>
    <w:rsid w:val="006D0C50"/>
    <w:rsid w:val="006D0CA0"/>
    <w:rsid w:val="006D0CD7"/>
    <w:rsid w:val="006D0CF8"/>
    <w:rsid w:val="006D0D44"/>
    <w:rsid w:val="006D0D5A"/>
    <w:rsid w:val="006D0D5E"/>
    <w:rsid w:val="006D0D64"/>
    <w:rsid w:val="006D0D75"/>
    <w:rsid w:val="006D0D7F"/>
    <w:rsid w:val="006D0DC1"/>
    <w:rsid w:val="006D0F10"/>
    <w:rsid w:val="006D0F3A"/>
    <w:rsid w:val="006D0FC2"/>
    <w:rsid w:val="006D0FEE"/>
    <w:rsid w:val="006D1009"/>
    <w:rsid w:val="006D103F"/>
    <w:rsid w:val="006D1067"/>
    <w:rsid w:val="006D1099"/>
    <w:rsid w:val="006D11C1"/>
    <w:rsid w:val="006D11CF"/>
    <w:rsid w:val="006D11D0"/>
    <w:rsid w:val="006D11D4"/>
    <w:rsid w:val="006D11D5"/>
    <w:rsid w:val="006D11DC"/>
    <w:rsid w:val="006D1281"/>
    <w:rsid w:val="006D12CA"/>
    <w:rsid w:val="006D1340"/>
    <w:rsid w:val="006D13AA"/>
    <w:rsid w:val="006D13BC"/>
    <w:rsid w:val="006D13C8"/>
    <w:rsid w:val="006D13D7"/>
    <w:rsid w:val="006D13DF"/>
    <w:rsid w:val="006D1471"/>
    <w:rsid w:val="006D1492"/>
    <w:rsid w:val="006D14D4"/>
    <w:rsid w:val="006D156A"/>
    <w:rsid w:val="006D1582"/>
    <w:rsid w:val="006D15C4"/>
    <w:rsid w:val="006D1623"/>
    <w:rsid w:val="006D1652"/>
    <w:rsid w:val="006D1655"/>
    <w:rsid w:val="006D1657"/>
    <w:rsid w:val="006D168B"/>
    <w:rsid w:val="006D168C"/>
    <w:rsid w:val="006D16A0"/>
    <w:rsid w:val="006D16D7"/>
    <w:rsid w:val="006D1740"/>
    <w:rsid w:val="006D1772"/>
    <w:rsid w:val="006D1773"/>
    <w:rsid w:val="006D181B"/>
    <w:rsid w:val="006D18DD"/>
    <w:rsid w:val="006D18E8"/>
    <w:rsid w:val="006D18F9"/>
    <w:rsid w:val="006D1936"/>
    <w:rsid w:val="006D194C"/>
    <w:rsid w:val="006D1954"/>
    <w:rsid w:val="006D19B2"/>
    <w:rsid w:val="006D19FB"/>
    <w:rsid w:val="006D1A48"/>
    <w:rsid w:val="006D1A90"/>
    <w:rsid w:val="006D1AAF"/>
    <w:rsid w:val="006D1AC8"/>
    <w:rsid w:val="006D1AF0"/>
    <w:rsid w:val="006D1BA4"/>
    <w:rsid w:val="006D1C5F"/>
    <w:rsid w:val="006D1C7C"/>
    <w:rsid w:val="006D1C97"/>
    <w:rsid w:val="006D1D14"/>
    <w:rsid w:val="006D1DBD"/>
    <w:rsid w:val="006D1E1E"/>
    <w:rsid w:val="006D1EC2"/>
    <w:rsid w:val="006D1EDF"/>
    <w:rsid w:val="006D1EFA"/>
    <w:rsid w:val="006D1EFC"/>
    <w:rsid w:val="006D1F2A"/>
    <w:rsid w:val="006D1F38"/>
    <w:rsid w:val="006D1F3D"/>
    <w:rsid w:val="006D1F47"/>
    <w:rsid w:val="006D1F4F"/>
    <w:rsid w:val="006D1F61"/>
    <w:rsid w:val="006D1F66"/>
    <w:rsid w:val="006D1FB7"/>
    <w:rsid w:val="006D1FF9"/>
    <w:rsid w:val="006D200F"/>
    <w:rsid w:val="006D201E"/>
    <w:rsid w:val="006D2050"/>
    <w:rsid w:val="006D206D"/>
    <w:rsid w:val="006D2086"/>
    <w:rsid w:val="006D2090"/>
    <w:rsid w:val="006D2099"/>
    <w:rsid w:val="006D20AE"/>
    <w:rsid w:val="006D2134"/>
    <w:rsid w:val="006D2140"/>
    <w:rsid w:val="006D216F"/>
    <w:rsid w:val="006D2194"/>
    <w:rsid w:val="006D21BD"/>
    <w:rsid w:val="006D2213"/>
    <w:rsid w:val="006D228F"/>
    <w:rsid w:val="006D22CB"/>
    <w:rsid w:val="006D22E9"/>
    <w:rsid w:val="006D22EC"/>
    <w:rsid w:val="006D2408"/>
    <w:rsid w:val="006D2471"/>
    <w:rsid w:val="006D24A7"/>
    <w:rsid w:val="006D24C2"/>
    <w:rsid w:val="006D24CF"/>
    <w:rsid w:val="006D24ED"/>
    <w:rsid w:val="006D2530"/>
    <w:rsid w:val="006D2638"/>
    <w:rsid w:val="006D269B"/>
    <w:rsid w:val="006D269E"/>
    <w:rsid w:val="006D26DA"/>
    <w:rsid w:val="006D2720"/>
    <w:rsid w:val="006D273D"/>
    <w:rsid w:val="006D2773"/>
    <w:rsid w:val="006D280A"/>
    <w:rsid w:val="006D2824"/>
    <w:rsid w:val="006D282B"/>
    <w:rsid w:val="006D28AF"/>
    <w:rsid w:val="006D28E2"/>
    <w:rsid w:val="006D2916"/>
    <w:rsid w:val="006D291C"/>
    <w:rsid w:val="006D2961"/>
    <w:rsid w:val="006D297D"/>
    <w:rsid w:val="006D297F"/>
    <w:rsid w:val="006D2989"/>
    <w:rsid w:val="006D298C"/>
    <w:rsid w:val="006D299C"/>
    <w:rsid w:val="006D29F4"/>
    <w:rsid w:val="006D2A77"/>
    <w:rsid w:val="006D2A88"/>
    <w:rsid w:val="006D2B04"/>
    <w:rsid w:val="006D2B83"/>
    <w:rsid w:val="006D2B9F"/>
    <w:rsid w:val="006D2BE3"/>
    <w:rsid w:val="006D2BE6"/>
    <w:rsid w:val="006D2C19"/>
    <w:rsid w:val="006D2C23"/>
    <w:rsid w:val="006D2C55"/>
    <w:rsid w:val="006D2C58"/>
    <w:rsid w:val="006D2C6A"/>
    <w:rsid w:val="006D2C6C"/>
    <w:rsid w:val="006D2C8B"/>
    <w:rsid w:val="006D2CA6"/>
    <w:rsid w:val="006D2CAD"/>
    <w:rsid w:val="006D2D32"/>
    <w:rsid w:val="006D2D5A"/>
    <w:rsid w:val="006D2E40"/>
    <w:rsid w:val="006D2E5E"/>
    <w:rsid w:val="006D2EB7"/>
    <w:rsid w:val="006D2ECA"/>
    <w:rsid w:val="006D2F21"/>
    <w:rsid w:val="006D2FB1"/>
    <w:rsid w:val="006D2FC3"/>
    <w:rsid w:val="006D3094"/>
    <w:rsid w:val="006D30D9"/>
    <w:rsid w:val="006D30E8"/>
    <w:rsid w:val="006D3105"/>
    <w:rsid w:val="006D3138"/>
    <w:rsid w:val="006D3178"/>
    <w:rsid w:val="006D31B0"/>
    <w:rsid w:val="006D3252"/>
    <w:rsid w:val="006D325D"/>
    <w:rsid w:val="006D32B9"/>
    <w:rsid w:val="006D32C2"/>
    <w:rsid w:val="006D32E9"/>
    <w:rsid w:val="006D332C"/>
    <w:rsid w:val="006D338C"/>
    <w:rsid w:val="006D339F"/>
    <w:rsid w:val="006D33D8"/>
    <w:rsid w:val="006D3414"/>
    <w:rsid w:val="006D341F"/>
    <w:rsid w:val="006D343D"/>
    <w:rsid w:val="006D3449"/>
    <w:rsid w:val="006D344F"/>
    <w:rsid w:val="006D348B"/>
    <w:rsid w:val="006D34B0"/>
    <w:rsid w:val="006D34B4"/>
    <w:rsid w:val="006D34C0"/>
    <w:rsid w:val="006D34C5"/>
    <w:rsid w:val="006D34D1"/>
    <w:rsid w:val="006D34D4"/>
    <w:rsid w:val="006D353D"/>
    <w:rsid w:val="006D3558"/>
    <w:rsid w:val="006D35C3"/>
    <w:rsid w:val="006D35C5"/>
    <w:rsid w:val="006D360F"/>
    <w:rsid w:val="006D36B2"/>
    <w:rsid w:val="006D370C"/>
    <w:rsid w:val="006D370E"/>
    <w:rsid w:val="006D3710"/>
    <w:rsid w:val="006D3791"/>
    <w:rsid w:val="006D3804"/>
    <w:rsid w:val="006D3816"/>
    <w:rsid w:val="006D3856"/>
    <w:rsid w:val="006D385C"/>
    <w:rsid w:val="006D387E"/>
    <w:rsid w:val="006D3885"/>
    <w:rsid w:val="006D38ED"/>
    <w:rsid w:val="006D392F"/>
    <w:rsid w:val="006D395B"/>
    <w:rsid w:val="006D39B9"/>
    <w:rsid w:val="006D39C7"/>
    <w:rsid w:val="006D39DC"/>
    <w:rsid w:val="006D39E4"/>
    <w:rsid w:val="006D3A05"/>
    <w:rsid w:val="006D3B74"/>
    <w:rsid w:val="006D3B7C"/>
    <w:rsid w:val="006D3B8E"/>
    <w:rsid w:val="006D3BA7"/>
    <w:rsid w:val="006D3BC2"/>
    <w:rsid w:val="006D3BEF"/>
    <w:rsid w:val="006D3C0A"/>
    <w:rsid w:val="006D3C3D"/>
    <w:rsid w:val="006D3C67"/>
    <w:rsid w:val="006D3CFC"/>
    <w:rsid w:val="006D3D10"/>
    <w:rsid w:val="006D3D38"/>
    <w:rsid w:val="006D3DAC"/>
    <w:rsid w:val="006D3DAD"/>
    <w:rsid w:val="006D3DC7"/>
    <w:rsid w:val="006D3E0E"/>
    <w:rsid w:val="006D3E7F"/>
    <w:rsid w:val="006D3EC5"/>
    <w:rsid w:val="006D3F1A"/>
    <w:rsid w:val="006D3F78"/>
    <w:rsid w:val="006D3F80"/>
    <w:rsid w:val="006D402B"/>
    <w:rsid w:val="006D4047"/>
    <w:rsid w:val="006D4062"/>
    <w:rsid w:val="006D40F3"/>
    <w:rsid w:val="006D413D"/>
    <w:rsid w:val="006D414F"/>
    <w:rsid w:val="006D417A"/>
    <w:rsid w:val="006D41A3"/>
    <w:rsid w:val="006D420D"/>
    <w:rsid w:val="006D4221"/>
    <w:rsid w:val="006D4229"/>
    <w:rsid w:val="006D422C"/>
    <w:rsid w:val="006D42A1"/>
    <w:rsid w:val="006D42E7"/>
    <w:rsid w:val="006D432B"/>
    <w:rsid w:val="006D4395"/>
    <w:rsid w:val="006D43C0"/>
    <w:rsid w:val="006D43CA"/>
    <w:rsid w:val="006D43D8"/>
    <w:rsid w:val="006D4419"/>
    <w:rsid w:val="006D4434"/>
    <w:rsid w:val="006D44A9"/>
    <w:rsid w:val="006D44E1"/>
    <w:rsid w:val="006D44E2"/>
    <w:rsid w:val="006D4534"/>
    <w:rsid w:val="006D453E"/>
    <w:rsid w:val="006D4552"/>
    <w:rsid w:val="006D4597"/>
    <w:rsid w:val="006D459D"/>
    <w:rsid w:val="006D45D2"/>
    <w:rsid w:val="006D46BD"/>
    <w:rsid w:val="006D46C5"/>
    <w:rsid w:val="006D474E"/>
    <w:rsid w:val="006D47A9"/>
    <w:rsid w:val="006D47AB"/>
    <w:rsid w:val="006D47C6"/>
    <w:rsid w:val="006D4800"/>
    <w:rsid w:val="006D4803"/>
    <w:rsid w:val="006D482A"/>
    <w:rsid w:val="006D4866"/>
    <w:rsid w:val="006D48C0"/>
    <w:rsid w:val="006D497E"/>
    <w:rsid w:val="006D499B"/>
    <w:rsid w:val="006D49A4"/>
    <w:rsid w:val="006D49CE"/>
    <w:rsid w:val="006D4A11"/>
    <w:rsid w:val="006D4A76"/>
    <w:rsid w:val="006D4AAB"/>
    <w:rsid w:val="006D4AC1"/>
    <w:rsid w:val="006D4ACC"/>
    <w:rsid w:val="006D4AF4"/>
    <w:rsid w:val="006D4AF6"/>
    <w:rsid w:val="006D4B0E"/>
    <w:rsid w:val="006D4B25"/>
    <w:rsid w:val="006D4B98"/>
    <w:rsid w:val="006D4C3A"/>
    <w:rsid w:val="006D4C54"/>
    <w:rsid w:val="006D4CA4"/>
    <w:rsid w:val="006D4CC3"/>
    <w:rsid w:val="006D4D3A"/>
    <w:rsid w:val="006D4D53"/>
    <w:rsid w:val="006D4D97"/>
    <w:rsid w:val="006D4D9D"/>
    <w:rsid w:val="006D4DA7"/>
    <w:rsid w:val="006D4DE7"/>
    <w:rsid w:val="006D4E08"/>
    <w:rsid w:val="006D4E39"/>
    <w:rsid w:val="006D4E42"/>
    <w:rsid w:val="006D4EFD"/>
    <w:rsid w:val="006D4F42"/>
    <w:rsid w:val="006D4F71"/>
    <w:rsid w:val="006D4F7D"/>
    <w:rsid w:val="006D4FA4"/>
    <w:rsid w:val="006D4FB8"/>
    <w:rsid w:val="006D5058"/>
    <w:rsid w:val="006D507B"/>
    <w:rsid w:val="006D50DE"/>
    <w:rsid w:val="006D5120"/>
    <w:rsid w:val="006D5179"/>
    <w:rsid w:val="006D51CE"/>
    <w:rsid w:val="006D51ED"/>
    <w:rsid w:val="006D5219"/>
    <w:rsid w:val="006D5225"/>
    <w:rsid w:val="006D523B"/>
    <w:rsid w:val="006D524B"/>
    <w:rsid w:val="006D5265"/>
    <w:rsid w:val="006D52B3"/>
    <w:rsid w:val="006D52DB"/>
    <w:rsid w:val="006D5357"/>
    <w:rsid w:val="006D539F"/>
    <w:rsid w:val="006D53DF"/>
    <w:rsid w:val="006D5430"/>
    <w:rsid w:val="006D5457"/>
    <w:rsid w:val="006D545E"/>
    <w:rsid w:val="006D546E"/>
    <w:rsid w:val="006D54CB"/>
    <w:rsid w:val="006D54D1"/>
    <w:rsid w:val="006D5554"/>
    <w:rsid w:val="006D5577"/>
    <w:rsid w:val="006D557B"/>
    <w:rsid w:val="006D5596"/>
    <w:rsid w:val="006D55D7"/>
    <w:rsid w:val="006D5631"/>
    <w:rsid w:val="006D56C6"/>
    <w:rsid w:val="006D56E7"/>
    <w:rsid w:val="006D56F1"/>
    <w:rsid w:val="006D571D"/>
    <w:rsid w:val="006D5726"/>
    <w:rsid w:val="006D578B"/>
    <w:rsid w:val="006D57D6"/>
    <w:rsid w:val="006D5807"/>
    <w:rsid w:val="006D580A"/>
    <w:rsid w:val="006D584D"/>
    <w:rsid w:val="006D5856"/>
    <w:rsid w:val="006D585D"/>
    <w:rsid w:val="006D5884"/>
    <w:rsid w:val="006D589C"/>
    <w:rsid w:val="006D58B7"/>
    <w:rsid w:val="006D58FD"/>
    <w:rsid w:val="006D5940"/>
    <w:rsid w:val="006D5966"/>
    <w:rsid w:val="006D59A1"/>
    <w:rsid w:val="006D5A23"/>
    <w:rsid w:val="006D5A96"/>
    <w:rsid w:val="006D5AB3"/>
    <w:rsid w:val="006D5AD3"/>
    <w:rsid w:val="006D5B86"/>
    <w:rsid w:val="006D5BAF"/>
    <w:rsid w:val="006D5BBD"/>
    <w:rsid w:val="006D5D00"/>
    <w:rsid w:val="006D5D5E"/>
    <w:rsid w:val="006D5D67"/>
    <w:rsid w:val="006D5D6C"/>
    <w:rsid w:val="006D5D92"/>
    <w:rsid w:val="006D5DC7"/>
    <w:rsid w:val="006D5DF2"/>
    <w:rsid w:val="006D5E21"/>
    <w:rsid w:val="006D5E6F"/>
    <w:rsid w:val="006D5E77"/>
    <w:rsid w:val="006D5ED3"/>
    <w:rsid w:val="006D5EEC"/>
    <w:rsid w:val="006D5EF1"/>
    <w:rsid w:val="006D5FB9"/>
    <w:rsid w:val="006D5FFB"/>
    <w:rsid w:val="006D600A"/>
    <w:rsid w:val="006D6022"/>
    <w:rsid w:val="006D6024"/>
    <w:rsid w:val="006D6079"/>
    <w:rsid w:val="006D6091"/>
    <w:rsid w:val="006D6126"/>
    <w:rsid w:val="006D6128"/>
    <w:rsid w:val="006D6136"/>
    <w:rsid w:val="006D615A"/>
    <w:rsid w:val="006D6179"/>
    <w:rsid w:val="006D618F"/>
    <w:rsid w:val="006D61AA"/>
    <w:rsid w:val="006D61D8"/>
    <w:rsid w:val="006D620F"/>
    <w:rsid w:val="006D62B6"/>
    <w:rsid w:val="006D62FF"/>
    <w:rsid w:val="006D639F"/>
    <w:rsid w:val="006D63B2"/>
    <w:rsid w:val="006D63B8"/>
    <w:rsid w:val="006D64A5"/>
    <w:rsid w:val="006D64E5"/>
    <w:rsid w:val="006D6512"/>
    <w:rsid w:val="006D654F"/>
    <w:rsid w:val="006D6578"/>
    <w:rsid w:val="006D658B"/>
    <w:rsid w:val="006D65B0"/>
    <w:rsid w:val="006D65C8"/>
    <w:rsid w:val="006D65CC"/>
    <w:rsid w:val="006D65EF"/>
    <w:rsid w:val="006D6606"/>
    <w:rsid w:val="006D6623"/>
    <w:rsid w:val="006D665F"/>
    <w:rsid w:val="006D6665"/>
    <w:rsid w:val="006D6687"/>
    <w:rsid w:val="006D66AE"/>
    <w:rsid w:val="006D66C6"/>
    <w:rsid w:val="006D6736"/>
    <w:rsid w:val="006D674F"/>
    <w:rsid w:val="006D6764"/>
    <w:rsid w:val="006D6767"/>
    <w:rsid w:val="006D679D"/>
    <w:rsid w:val="006D679F"/>
    <w:rsid w:val="006D6805"/>
    <w:rsid w:val="006D6844"/>
    <w:rsid w:val="006D6847"/>
    <w:rsid w:val="006D684A"/>
    <w:rsid w:val="006D685C"/>
    <w:rsid w:val="006D68CE"/>
    <w:rsid w:val="006D68F1"/>
    <w:rsid w:val="006D68F8"/>
    <w:rsid w:val="006D6929"/>
    <w:rsid w:val="006D6945"/>
    <w:rsid w:val="006D695A"/>
    <w:rsid w:val="006D69A1"/>
    <w:rsid w:val="006D6A83"/>
    <w:rsid w:val="006D6B13"/>
    <w:rsid w:val="006D6B3E"/>
    <w:rsid w:val="006D6BEF"/>
    <w:rsid w:val="006D6C06"/>
    <w:rsid w:val="006D6C0D"/>
    <w:rsid w:val="006D6C0F"/>
    <w:rsid w:val="006D6C6E"/>
    <w:rsid w:val="006D6CBF"/>
    <w:rsid w:val="006D6CD1"/>
    <w:rsid w:val="006D6D13"/>
    <w:rsid w:val="006D6D5D"/>
    <w:rsid w:val="006D6D83"/>
    <w:rsid w:val="006D6D97"/>
    <w:rsid w:val="006D6DA9"/>
    <w:rsid w:val="006D6DBF"/>
    <w:rsid w:val="006D6E05"/>
    <w:rsid w:val="006D6E26"/>
    <w:rsid w:val="006D6E46"/>
    <w:rsid w:val="006D6E60"/>
    <w:rsid w:val="006D6E87"/>
    <w:rsid w:val="006D6EC2"/>
    <w:rsid w:val="006D6EE6"/>
    <w:rsid w:val="006D6F1D"/>
    <w:rsid w:val="006D7017"/>
    <w:rsid w:val="006D7044"/>
    <w:rsid w:val="006D708C"/>
    <w:rsid w:val="006D70C6"/>
    <w:rsid w:val="006D7123"/>
    <w:rsid w:val="006D7168"/>
    <w:rsid w:val="006D71A4"/>
    <w:rsid w:val="006D71AA"/>
    <w:rsid w:val="006D720C"/>
    <w:rsid w:val="006D722C"/>
    <w:rsid w:val="006D7346"/>
    <w:rsid w:val="006D7382"/>
    <w:rsid w:val="006D73A0"/>
    <w:rsid w:val="006D740B"/>
    <w:rsid w:val="006D7423"/>
    <w:rsid w:val="006D743B"/>
    <w:rsid w:val="006D746E"/>
    <w:rsid w:val="006D7493"/>
    <w:rsid w:val="006D749B"/>
    <w:rsid w:val="006D74AA"/>
    <w:rsid w:val="006D74AC"/>
    <w:rsid w:val="006D7540"/>
    <w:rsid w:val="006D7553"/>
    <w:rsid w:val="006D75B1"/>
    <w:rsid w:val="006D7636"/>
    <w:rsid w:val="006D7665"/>
    <w:rsid w:val="006D76CB"/>
    <w:rsid w:val="006D76E8"/>
    <w:rsid w:val="006D7700"/>
    <w:rsid w:val="006D771E"/>
    <w:rsid w:val="006D772E"/>
    <w:rsid w:val="006D773C"/>
    <w:rsid w:val="006D7754"/>
    <w:rsid w:val="006D7764"/>
    <w:rsid w:val="006D777A"/>
    <w:rsid w:val="006D778B"/>
    <w:rsid w:val="006D7796"/>
    <w:rsid w:val="006D779B"/>
    <w:rsid w:val="006D77B5"/>
    <w:rsid w:val="006D77C5"/>
    <w:rsid w:val="006D77ED"/>
    <w:rsid w:val="006D780B"/>
    <w:rsid w:val="006D786C"/>
    <w:rsid w:val="006D78B9"/>
    <w:rsid w:val="006D78EB"/>
    <w:rsid w:val="006D7945"/>
    <w:rsid w:val="006D7996"/>
    <w:rsid w:val="006D799D"/>
    <w:rsid w:val="006D7A6B"/>
    <w:rsid w:val="006D7A77"/>
    <w:rsid w:val="006D7A87"/>
    <w:rsid w:val="006D7AD9"/>
    <w:rsid w:val="006D7B07"/>
    <w:rsid w:val="006D7BBA"/>
    <w:rsid w:val="006D7BBC"/>
    <w:rsid w:val="006D7BC7"/>
    <w:rsid w:val="006D7BE4"/>
    <w:rsid w:val="006D7C62"/>
    <w:rsid w:val="006D7CEE"/>
    <w:rsid w:val="006D7CF1"/>
    <w:rsid w:val="006D7CFF"/>
    <w:rsid w:val="006D7D46"/>
    <w:rsid w:val="006D7D78"/>
    <w:rsid w:val="006D7D89"/>
    <w:rsid w:val="006D7DAE"/>
    <w:rsid w:val="006D7DB0"/>
    <w:rsid w:val="006D7E12"/>
    <w:rsid w:val="006D7E1E"/>
    <w:rsid w:val="006D7E7C"/>
    <w:rsid w:val="006D7E93"/>
    <w:rsid w:val="006D7EC8"/>
    <w:rsid w:val="006D7EDF"/>
    <w:rsid w:val="006D7F5B"/>
    <w:rsid w:val="006D7F8C"/>
    <w:rsid w:val="006E0035"/>
    <w:rsid w:val="006E00DC"/>
    <w:rsid w:val="006E00E0"/>
    <w:rsid w:val="006E00F7"/>
    <w:rsid w:val="006E0173"/>
    <w:rsid w:val="006E01A3"/>
    <w:rsid w:val="006E01A5"/>
    <w:rsid w:val="006E01F9"/>
    <w:rsid w:val="006E021E"/>
    <w:rsid w:val="006E0232"/>
    <w:rsid w:val="006E0234"/>
    <w:rsid w:val="006E029D"/>
    <w:rsid w:val="006E02BD"/>
    <w:rsid w:val="006E02CA"/>
    <w:rsid w:val="006E02ED"/>
    <w:rsid w:val="006E0309"/>
    <w:rsid w:val="006E034A"/>
    <w:rsid w:val="006E036D"/>
    <w:rsid w:val="006E03D4"/>
    <w:rsid w:val="006E0428"/>
    <w:rsid w:val="006E0430"/>
    <w:rsid w:val="006E047A"/>
    <w:rsid w:val="006E047F"/>
    <w:rsid w:val="006E0504"/>
    <w:rsid w:val="006E050E"/>
    <w:rsid w:val="006E0522"/>
    <w:rsid w:val="006E0557"/>
    <w:rsid w:val="006E0589"/>
    <w:rsid w:val="006E05C6"/>
    <w:rsid w:val="006E05FB"/>
    <w:rsid w:val="006E0657"/>
    <w:rsid w:val="006E0685"/>
    <w:rsid w:val="006E068F"/>
    <w:rsid w:val="006E06F8"/>
    <w:rsid w:val="006E0734"/>
    <w:rsid w:val="006E0755"/>
    <w:rsid w:val="006E07E0"/>
    <w:rsid w:val="006E0883"/>
    <w:rsid w:val="006E08B1"/>
    <w:rsid w:val="006E0909"/>
    <w:rsid w:val="006E0925"/>
    <w:rsid w:val="006E0946"/>
    <w:rsid w:val="006E0958"/>
    <w:rsid w:val="006E09FC"/>
    <w:rsid w:val="006E0A14"/>
    <w:rsid w:val="006E0A32"/>
    <w:rsid w:val="006E0A43"/>
    <w:rsid w:val="006E0AE8"/>
    <w:rsid w:val="006E0AEF"/>
    <w:rsid w:val="006E0B11"/>
    <w:rsid w:val="006E0B2B"/>
    <w:rsid w:val="006E0BE0"/>
    <w:rsid w:val="006E0C16"/>
    <w:rsid w:val="006E0C20"/>
    <w:rsid w:val="006E0C9C"/>
    <w:rsid w:val="006E0C9F"/>
    <w:rsid w:val="006E0CA6"/>
    <w:rsid w:val="006E0CCC"/>
    <w:rsid w:val="006E0D0C"/>
    <w:rsid w:val="006E0D23"/>
    <w:rsid w:val="006E0D31"/>
    <w:rsid w:val="006E0D34"/>
    <w:rsid w:val="006E0D85"/>
    <w:rsid w:val="006E0DA1"/>
    <w:rsid w:val="006E0DA6"/>
    <w:rsid w:val="006E0E10"/>
    <w:rsid w:val="006E0E3C"/>
    <w:rsid w:val="006E0E80"/>
    <w:rsid w:val="006E0E84"/>
    <w:rsid w:val="006E0E8E"/>
    <w:rsid w:val="006E0F43"/>
    <w:rsid w:val="006E0F55"/>
    <w:rsid w:val="006E0F94"/>
    <w:rsid w:val="006E0FA2"/>
    <w:rsid w:val="006E0FAC"/>
    <w:rsid w:val="006E0FBF"/>
    <w:rsid w:val="006E0FCE"/>
    <w:rsid w:val="006E0FF0"/>
    <w:rsid w:val="006E0FFC"/>
    <w:rsid w:val="006E1084"/>
    <w:rsid w:val="006E1124"/>
    <w:rsid w:val="006E1163"/>
    <w:rsid w:val="006E1182"/>
    <w:rsid w:val="006E1196"/>
    <w:rsid w:val="006E11FB"/>
    <w:rsid w:val="006E1252"/>
    <w:rsid w:val="006E1258"/>
    <w:rsid w:val="006E126C"/>
    <w:rsid w:val="006E1270"/>
    <w:rsid w:val="006E12A7"/>
    <w:rsid w:val="006E131E"/>
    <w:rsid w:val="006E1346"/>
    <w:rsid w:val="006E135D"/>
    <w:rsid w:val="006E1383"/>
    <w:rsid w:val="006E13BB"/>
    <w:rsid w:val="006E13C1"/>
    <w:rsid w:val="006E1509"/>
    <w:rsid w:val="006E150F"/>
    <w:rsid w:val="006E1560"/>
    <w:rsid w:val="006E15AA"/>
    <w:rsid w:val="006E15C3"/>
    <w:rsid w:val="006E160E"/>
    <w:rsid w:val="006E1653"/>
    <w:rsid w:val="006E1673"/>
    <w:rsid w:val="006E167C"/>
    <w:rsid w:val="006E167E"/>
    <w:rsid w:val="006E169A"/>
    <w:rsid w:val="006E1708"/>
    <w:rsid w:val="006E1756"/>
    <w:rsid w:val="006E1768"/>
    <w:rsid w:val="006E1794"/>
    <w:rsid w:val="006E1802"/>
    <w:rsid w:val="006E184D"/>
    <w:rsid w:val="006E18B7"/>
    <w:rsid w:val="006E18DA"/>
    <w:rsid w:val="006E191C"/>
    <w:rsid w:val="006E1945"/>
    <w:rsid w:val="006E1998"/>
    <w:rsid w:val="006E19DD"/>
    <w:rsid w:val="006E1A39"/>
    <w:rsid w:val="006E1A63"/>
    <w:rsid w:val="006E1A84"/>
    <w:rsid w:val="006E1B0E"/>
    <w:rsid w:val="006E1B23"/>
    <w:rsid w:val="006E1B59"/>
    <w:rsid w:val="006E1B85"/>
    <w:rsid w:val="006E1BA5"/>
    <w:rsid w:val="006E1BB6"/>
    <w:rsid w:val="006E1BCF"/>
    <w:rsid w:val="006E1BFB"/>
    <w:rsid w:val="006E1C5D"/>
    <w:rsid w:val="006E1C85"/>
    <w:rsid w:val="006E1CA6"/>
    <w:rsid w:val="006E1CBC"/>
    <w:rsid w:val="006E1CC2"/>
    <w:rsid w:val="006E1CD6"/>
    <w:rsid w:val="006E1D8C"/>
    <w:rsid w:val="006E1DAC"/>
    <w:rsid w:val="006E1DD1"/>
    <w:rsid w:val="006E1E04"/>
    <w:rsid w:val="006E1E24"/>
    <w:rsid w:val="006E1E37"/>
    <w:rsid w:val="006E1E68"/>
    <w:rsid w:val="006E1E75"/>
    <w:rsid w:val="006E1EB9"/>
    <w:rsid w:val="006E1EC4"/>
    <w:rsid w:val="006E1ED8"/>
    <w:rsid w:val="006E1EF1"/>
    <w:rsid w:val="006E1F03"/>
    <w:rsid w:val="006E1FB7"/>
    <w:rsid w:val="006E1FD6"/>
    <w:rsid w:val="006E1FEC"/>
    <w:rsid w:val="006E20BF"/>
    <w:rsid w:val="006E2139"/>
    <w:rsid w:val="006E217E"/>
    <w:rsid w:val="006E21E0"/>
    <w:rsid w:val="006E222B"/>
    <w:rsid w:val="006E2260"/>
    <w:rsid w:val="006E22D7"/>
    <w:rsid w:val="006E22F2"/>
    <w:rsid w:val="006E236C"/>
    <w:rsid w:val="006E23D3"/>
    <w:rsid w:val="006E241C"/>
    <w:rsid w:val="006E244B"/>
    <w:rsid w:val="006E2472"/>
    <w:rsid w:val="006E24A6"/>
    <w:rsid w:val="006E24BE"/>
    <w:rsid w:val="006E2512"/>
    <w:rsid w:val="006E2545"/>
    <w:rsid w:val="006E2547"/>
    <w:rsid w:val="006E2549"/>
    <w:rsid w:val="006E25BD"/>
    <w:rsid w:val="006E2658"/>
    <w:rsid w:val="006E265B"/>
    <w:rsid w:val="006E2688"/>
    <w:rsid w:val="006E2713"/>
    <w:rsid w:val="006E2782"/>
    <w:rsid w:val="006E27FC"/>
    <w:rsid w:val="006E2895"/>
    <w:rsid w:val="006E28E4"/>
    <w:rsid w:val="006E28EC"/>
    <w:rsid w:val="006E28FA"/>
    <w:rsid w:val="006E29C5"/>
    <w:rsid w:val="006E29D4"/>
    <w:rsid w:val="006E2A11"/>
    <w:rsid w:val="006E2A50"/>
    <w:rsid w:val="006E2A64"/>
    <w:rsid w:val="006E2A6E"/>
    <w:rsid w:val="006E2A7B"/>
    <w:rsid w:val="006E2ABC"/>
    <w:rsid w:val="006E2AC4"/>
    <w:rsid w:val="006E2B1A"/>
    <w:rsid w:val="006E2B1E"/>
    <w:rsid w:val="006E2B34"/>
    <w:rsid w:val="006E2B61"/>
    <w:rsid w:val="006E2B80"/>
    <w:rsid w:val="006E2C74"/>
    <w:rsid w:val="006E2CB8"/>
    <w:rsid w:val="006E2CD5"/>
    <w:rsid w:val="006E2D4A"/>
    <w:rsid w:val="006E2D71"/>
    <w:rsid w:val="006E2D73"/>
    <w:rsid w:val="006E2D86"/>
    <w:rsid w:val="006E2D9F"/>
    <w:rsid w:val="006E2DAA"/>
    <w:rsid w:val="006E2DB3"/>
    <w:rsid w:val="006E2DC4"/>
    <w:rsid w:val="006E2E2D"/>
    <w:rsid w:val="006E2E3B"/>
    <w:rsid w:val="006E2EBB"/>
    <w:rsid w:val="006E2F14"/>
    <w:rsid w:val="006E2F25"/>
    <w:rsid w:val="006E2F31"/>
    <w:rsid w:val="006E2F60"/>
    <w:rsid w:val="006E2F64"/>
    <w:rsid w:val="006E2F71"/>
    <w:rsid w:val="006E2F93"/>
    <w:rsid w:val="006E2F9C"/>
    <w:rsid w:val="006E2FD5"/>
    <w:rsid w:val="006E3019"/>
    <w:rsid w:val="006E3020"/>
    <w:rsid w:val="006E3039"/>
    <w:rsid w:val="006E306A"/>
    <w:rsid w:val="006E30CC"/>
    <w:rsid w:val="006E30FF"/>
    <w:rsid w:val="006E3124"/>
    <w:rsid w:val="006E3131"/>
    <w:rsid w:val="006E3188"/>
    <w:rsid w:val="006E318B"/>
    <w:rsid w:val="006E318E"/>
    <w:rsid w:val="006E31A0"/>
    <w:rsid w:val="006E31E2"/>
    <w:rsid w:val="006E31E9"/>
    <w:rsid w:val="006E3239"/>
    <w:rsid w:val="006E324D"/>
    <w:rsid w:val="006E32C0"/>
    <w:rsid w:val="006E32DD"/>
    <w:rsid w:val="006E32EB"/>
    <w:rsid w:val="006E3350"/>
    <w:rsid w:val="006E33CD"/>
    <w:rsid w:val="006E3458"/>
    <w:rsid w:val="006E345E"/>
    <w:rsid w:val="006E34C7"/>
    <w:rsid w:val="006E34FC"/>
    <w:rsid w:val="006E34FF"/>
    <w:rsid w:val="006E3514"/>
    <w:rsid w:val="006E3516"/>
    <w:rsid w:val="006E354E"/>
    <w:rsid w:val="006E3573"/>
    <w:rsid w:val="006E35DC"/>
    <w:rsid w:val="006E3601"/>
    <w:rsid w:val="006E3617"/>
    <w:rsid w:val="006E3636"/>
    <w:rsid w:val="006E363C"/>
    <w:rsid w:val="006E364E"/>
    <w:rsid w:val="006E3672"/>
    <w:rsid w:val="006E36B5"/>
    <w:rsid w:val="006E36DC"/>
    <w:rsid w:val="006E3738"/>
    <w:rsid w:val="006E373F"/>
    <w:rsid w:val="006E3751"/>
    <w:rsid w:val="006E3767"/>
    <w:rsid w:val="006E37AC"/>
    <w:rsid w:val="006E38B1"/>
    <w:rsid w:val="006E397C"/>
    <w:rsid w:val="006E3998"/>
    <w:rsid w:val="006E39A7"/>
    <w:rsid w:val="006E39C2"/>
    <w:rsid w:val="006E39F0"/>
    <w:rsid w:val="006E3A02"/>
    <w:rsid w:val="006E3A8E"/>
    <w:rsid w:val="006E3AAB"/>
    <w:rsid w:val="006E3B09"/>
    <w:rsid w:val="006E3B4E"/>
    <w:rsid w:val="006E3BE3"/>
    <w:rsid w:val="006E3BEF"/>
    <w:rsid w:val="006E3C30"/>
    <w:rsid w:val="006E3C72"/>
    <w:rsid w:val="006E3CA2"/>
    <w:rsid w:val="006E3CB9"/>
    <w:rsid w:val="006E3CC6"/>
    <w:rsid w:val="006E3CE6"/>
    <w:rsid w:val="006E3CF3"/>
    <w:rsid w:val="006E3D2E"/>
    <w:rsid w:val="006E3D31"/>
    <w:rsid w:val="006E3D53"/>
    <w:rsid w:val="006E3D56"/>
    <w:rsid w:val="006E3D72"/>
    <w:rsid w:val="006E3DC3"/>
    <w:rsid w:val="006E3DCC"/>
    <w:rsid w:val="006E3E0A"/>
    <w:rsid w:val="006E3E10"/>
    <w:rsid w:val="006E3E92"/>
    <w:rsid w:val="006E3EE1"/>
    <w:rsid w:val="006E3F08"/>
    <w:rsid w:val="006E3F4C"/>
    <w:rsid w:val="006E3FE9"/>
    <w:rsid w:val="006E3FF7"/>
    <w:rsid w:val="006E403A"/>
    <w:rsid w:val="006E406A"/>
    <w:rsid w:val="006E406D"/>
    <w:rsid w:val="006E407F"/>
    <w:rsid w:val="006E40BB"/>
    <w:rsid w:val="006E416C"/>
    <w:rsid w:val="006E41F2"/>
    <w:rsid w:val="006E4287"/>
    <w:rsid w:val="006E42A6"/>
    <w:rsid w:val="006E42E3"/>
    <w:rsid w:val="006E42EF"/>
    <w:rsid w:val="006E42FB"/>
    <w:rsid w:val="006E4343"/>
    <w:rsid w:val="006E4376"/>
    <w:rsid w:val="006E4394"/>
    <w:rsid w:val="006E43DA"/>
    <w:rsid w:val="006E4439"/>
    <w:rsid w:val="006E444C"/>
    <w:rsid w:val="006E4461"/>
    <w:rsid w:val="006E447A"/>
    <w:rsid w:val="006E44A6"/>
    <w:rsid w:val="006E44EA"/>
    <w:rsid w:val="006E457F"/>
    <w:rsid w:val="006E45D8"/>
    <w:rsid w:val="006E45E0"/>
    <w:rsid w:val="006E460D"/>
    <w:rsid w:val="006E4625"/>
    <w:rsid w:val="006E462D"/>
    <w:rsid w:val="006E4633"/>
    <w:rsid w:val="006E4646"/>
    <w:rsid w:val="006E46D3"/>
    <w:rsid w:val="006E46DB"/>
    <w:rsid w:val="006E4798"/>
    <w:rsid w:val="006E47F3"/>
    <w:rsid w:val="006E47FA"/>
    <w:rsid w:val="006E481C"/>
    <w:rsid w:val="006E4824"/>
    <w:rsid w:val="006E488F"/>
    <w:rsid w:val="006E48CA"/>
    <w:rsid w:val="006E4951"/>
    <w:rsid w:val="006E4984"/>
    <w:rsid w:val="006E49A3"/>
    <w:rsid w:val="006E49C1"/>
    <w:rsid w:val="006E49CD"/>
    <w:rsid w:val="006E49D7"/>
    <w:rsid w:val="006E4A51"/>
    <w:rsid w:val="006E4A69"/>
    <w:rsid w:val="006E4A74"/>
    <w:rsid w:val="006E4A84"/>
    <w:rsid w:val="006E4A90"/>
    <w:rsid w:val="006E4AD0"/>
    <w:rsid w:val="006E4B67"/>
    <w:rsid w:val="006E4B76"/>
    <w:rsid w:val="006E4C50"/>
    <w:rsid w:val="006E4C51"/>
    <w:rsid w:val="006E4C8D"/>
    <w:rsid w:val="006E4CAA"/>
    <w:rsid w:val="006E4CBF"/>
    <w:rsid w:val="006E4CC7"/>
    <w:rsid w:val="006E4D30"/>
    <w:rsid w:val="006E4D36"/>
    <w:rsid w:val="006E4DBD"/>
    <w:rsid w:val="006E4DDA"/>
    <w:rsid w:val="006E4E2E"/>
    <w:rsid w:val="006E4E40"/>
    <w:rsid w:val="006E4E4C"/>
    <w:rsid w:val="006E4E5E"/>
    <w:rsid w:val="006E4E7E"/>
    <w:rsid w:val="006E4F02"/>
    <w:rsid w:val="006E4F44"/>
    <w:rsid w:val="006E4F57"/>
    <w:rsid w:val="006E4F61"/>
    <w:rsid w:val="006E4F66"/>
    <w:rsid w:val="006E4F72"/>
    <w:rsid w:val="006E4F7E"/>
    <w:rsid w:val="006E4F88"/>
    <w:rsid w:val="006E4FB4"/>
    <w:rsid w:val="006E4FF0"/>
    <w:rsid w:val="006E4FF8"/>
    <w:rsid w:val="006E5072"/>
    <w:rsid w:val="006E509D"/>
    <w:rsid w:val="006E50B6"/>
    <w:rsid w:val="006E50C4"/>
    <w:rsid w:val="006E510B"/>
    <w:rsid w:val="006E5199"/>
    <w:rsid w:val="006E51AF"/>
    <w:rsid w:val="006E51F4"/>
    <w:rsid w:val="006E521A"/>
    <w:rsid w:val="006E52A3"/>
    <w:rsid w:val="006E52C1"/>
    <w:rsid w:val="006E52D8"/>
    <w:rsid w:val="006E5307"/>
    <w:rsid w:val="006E5367"/>
    <w:rsid w:val="006E5374"/>
    <w:rsid w:val="006E53E0"/>
    <w:rsid w:val="006E53FE"/>
    <w:rsid w:val="006E544B"/>
    <w:rsid w:val="006E5453"/>
    <w:rsid w:val="006E5498"/>
    <w:rsid w:val="006E54D3"/>
    <w:rsid w:val="006E5532"/>
    <w:rsid w:val="006E5628"/>
    <w:rsid w:val="006E5642"/>
    <w:rsid w:val="006E5644"/>
    <w:rsid w:val="006E5668"/>
    <w:rsid w:val="006E572D"/>
    <w:rsid w:val="006E5768"/>
    <w:rsid w:val="006E5783"/>
    <w:rsid w:val="006E57B7"/>
    <w:rsid w:val="006E5833"/>
    <w:rsid w:val="006E583F"/>
    <w:rsid w:val="006E5878"/>
    <w:rsid w:val="006E58E2"/>
    <w:rsid w:val="006E5963"/>
    <w:rsid w:val="006E5972"/>
    <w:rsid w:val="006E59BA"/>
    <w:rsid w:val="006E5A82"/>
    <w:rsid w:val="006E5A84"/>
    <w:rsid w:val="006E5B43"/>
    <w:rsid w:val="006E5C1A"/>
    <w:rsid w:val="006E5C8E"/>
    <w:rsid w:val="006E5C9E"/>
    <w:rsid w:val="006E5CEA"/>
    <w:rsid w:val="006E5D4B"/>
    <w:rsid w:val="006E5D52"/>
    <w:rsid w:val="006E5D56"/>
    <w:rsid w:val="006E5D99"/>
    <w:rsid w:val="006E5DED"/>
    <w:rsid w:val="006E5DFE"/>
    <w:rsid w:val="006E5E21"/>
    <w:rsid w:val="006E5E48"/>
    <w:rsid w:val="006E5E9F"/>
    <w:rsid w:val="006E5EA5"/>
    <w:rsid w:val="006E5EC5"/>
    <w:rsid w:val="006E5F0B"/>
    <w:rsid w:val="006E5F61"/>
    <w:rsid w:val="006E5FDB"/>
    <w:rsid w:val="006E5FE7"/>
    <w:rsid w:val="006E6004"/>
    <w:rsid w:val="006E6074"/>
    <w:rsid w:val="006E609E"/>
    <w:rsid w:val="006E60E8"/>
    <w:rsid w:val="006E6141"/>
    <w:rsid w:val="006E61BC"/>
    <w:rsid w:val="006E6207"/>
    <w:rsid w:val="006E6263"/>
    <w:rsid w:val="006E6282"/>
    <w:rsid w:val="006E62A9"/>
    <w:rsid w:val="006E62C3"/>
    <w:rsid w:val="006E634F"/>
    <w:rsid w:val="006E6357"/>
    <w:rsid w:val="006E6387"/>
    <w:rsid w:val="006E638B"/>
    <w:rsid w:val="006E63B1"/>
    <w:rsid w:val="006E63EE"/>
    <w:rsid w:val="006E640E"/>
    <w:rsid w:val="006E6412"/>
    <w:rsid w:val="006E6521"/>
    <w:rsid w:val="006E65B0"/>
    <w:rsid w:val="006E65D2"/>
    <w:rsid w:val="006E65F4"/>
    <w:rsid w:val="006E663D"/>
    <w:rsid w:val="006E6681"/>
    <w:rsid w:val="006E6692"/>
    <w:rsid w:val="006E669C"/>
    <w:rsid w:val="006E66D2"/>
    <w:rsid w:val="006E66DE"/>
    <w:rsid w:val="006E66FD"/>
    <w:rsid w:val="006E6741"/>
    <w:rsid w:val="006E67B5"/>
    <w:rsid w:val="006E680F"/>
    <w:rsid w:val="006E68A1"/>
    <w:rsid w:val="006E68A7"/>
    <w:rsid w:val="006E68AA"/>
    <w:rsid w:val="006E68B0"/>
    <w:rsid w:val="006E691D"/>
    <w:rsid w:val="006E6935"/>
    <w:rsid w:val="006E6951"/>
    <w:rsid w:val="006E696B"/>
    <w:rsid w:val="006E6983"/>
    <w:rsid w:val="006E69B8"/>
    <w:rsid w:val="006E6A58"/>
    <w:rsid w:val="006E6A5F"/>
    <w:rsid w:val="006E6A9D"/>
    <w:rsid w:val="006E6B14"/>
    <w:rsid w:val="006E6B24"/>
    <w:rsid w:val="006E6B2E"/>
    <w:rsid w:val="006E6B3C"/>
    <w:rsid w:val="006E6B9A"/>
    <w:rsid w:val="006E6BD2"/>
    <w:rsid w:val="006E6BD7"/>
    <w:rsid w:val="006E6C5A"/>
    <w:rsid w:val="006E6CA4"/>
    <w:rsid w:val="006E6D36"/>
    <w:rsid w:val="006E6D95"/>
    <w:rsid w:val="006E6DA7"/>
    <w:rsid w:val="006E6DC3"/>
    <w:rsid w:val="006E6E20"/>
    <w:rsid w:val="006E6F00"/>
    <w:rsid w:val="006E6F05"/>
    <w:rsid w:val="006E6F19"/>
    <w:rsid w:val="006E6F26"/>
    <w:rsid w:val="006E6F2B"/>
    <w:rsid w:val="006E6F4B"/>
    <w:rsid w:val="006E6FA7"/>
    <w:rsid w:val="006E7057"/>
    <w:rsid w:val="006E709F"/>
    <w:rsid w:val="006E70C1"/>
    <w:rsid w:val="006E710C"/>
    <w:rsid w:val="006E7190"/>
    <w:rsid w:val="006E71AF"/>
    <w:rsid w:val="006E71D4"/>
    <w:rsid w:val="006E71F8"/>
    <w:rsid w:val="006E7220"/>
    <w:rsid w:val="006E7241"/>
    <w:rsid w:val="006E7256"/>
    <w:rsid w:val="006E7284"/>
    <w:rsid w:val="006E7288"/>
    <w:rsid w:val="006E72A0"/>
    <w:rsid w:val="006E72FA"/>
    <w:rsid w:val="006E7344"/>
    <w:rsid w:val="006E7352"/>
    <w:rsid w:val="006E7354"/>
    <w:rsid w:val="006E7370"/>
    <w:rsid w:val="006E73B9"/>
    <w:rsid w:val="006E7401"/>
    <w:rsid w:val="006E74C2"/>
    <w:rsid w:val="006E7505"/>
    <w:rsid w:val="006E7536"/>
    <w:rsid w:val="006E753C"/>
    <w:rsid w:val="006E755F"/>
    <w:rsid w:val="006E7578"/>
    <w:rsid w:val="006E7582"/>
    <w:rsid w:val="006E75AA"/>
    <w:rsid w:val="006E75D7"/>
    <w:rsid w:val="006E7630"/>
    <w:rsid w:val="006E76A8"/>
    <w:rsid w:val="006E773B"/>
    <w:rsid w:val="006E7747"/>
    <w:rsid w:val="006E7756"/>
    <w:rsid w:val="006E7780"/>
    <w:rsid w:val="006E778C"/>
    <w:rsid w:val="006E77C1"/>
    <w:rsid w:val="006E7805"/>
    <w:rsid w:val="006E7904"/>
    <w:rsid w:val="006E793A"/>
    <w:rsid w:val="006E7970"/>
    <w:rsid w:val="006E7990"/>
    <w:rsid w:val="006E79BF"/>
    <w:rsid w:val="006E79D6"/>
    <w:rsid w:val="006E79E7"/>
    <w:rsid w:val="006E7AB1"/>
    <w:rsid w:val="006E7ABA"/>
    <w:rsid w:val="006E7C16"/>
    <w:rsid w:val="006E7C3A"/>
    <w:rsid w:val="006E7C66"/>
    <w:rsid w:val="006E7C72"/>
    <w:rsid w:val="006E7CC9"/>
    <w:rsid w:val="006E7CE0"/>
    <w:rsid w:val="006E7CF9"/>
    <w:rsid w:val="006E7D2C"/>
    <w:rsid w:val="006E7D35"/>
    <w:rsid w:val="006E7D4F"/>
    <w:rsid w:val="006E7D74"/>
    <w:rsid w:val="006E7D77"/>
    <w:rsid w:val="006E7DF7"/>
    <w:rsid w:val="006E7E3A"/>
    <w:rsid w:val="006E7F19"/>
    <w:rsid w:val="006E7F29"/>
    <w:rsid w:val="006E7F56"/>
    <w:rsid w:val="006E7F5C"/>
    <w:rsid w:val="006E7FB4"/>
    <w:rsid w:val="006E7FE7"/>
    <w:rsid w:val="006F000E"/>
    <w:rsid w:val="006F007B"/>
    <w:rsid w:val="006F00C1"/>
    <w:rsid w:val="006F0185"/>
    <w:rsid w:val="006F01A0"/>
    <w:rsid w:val="006F01B8"/>
    <w:rsid w:val="006F022C"/>
    <w:rsid w:val="006F0247"/>
    <w:rsid w:val="006F0252"/>
    <w:rsid w:val="006F0260"/>
    <w:rsid w:val="006F028D"/>
    <w:rsid w:val="006F02B8"/>
    <w:rsid w:val="006F02E2"/>
    <w:rsid w:val="006F0327"/>
    <w:rsid w:val="006F0334"/>
    <w:rsid w:val="006F0369"/>
    <w:rsid w:val="006F0458"/>
    <w:rsid w:val="006F0459"/>
    <w:rsid w:val="006F046F"/>
    <w:rsid w:val="006F04F9"/>
    <w:rsid w:val="006F0503"/>
    <w:rsid w:val="006F0538"/>
    <w:rsid w:val="006F05BA"/>
    <w:rsid w:val="006F05F4"/>
    <w:rsid w:val="006F06B8"/>
    <w:rsid w:val="006F06C3"/>
    <w:rsid w:val="006F06EF"/>
    <w:rsid w:val="006F06F7"/>
    <w:rsid w:val="006F0706"/>
    <w:rsid w:val="006F0715"/>
    <w:rsid w:val="006F071B"/>
    <w:rsid w:val="006F0746"/>
    <w:rsid w:val="006F07EF"/>
    <w:rsid w:val="006F080C"/>
    <w:rsid w:val="006F0817"/>
    <w:rsid w:val="006F081A"/>
    <w:rsid w:val="006F0847"/>
    <w:rsid w:val="006F099D"/>
    <w:rsid w:val="006F09FD"/>
    <w:rsid w:val="006F0B63"/>
    <w:rsid w:val="006F0BE8"/>
    <w:rsid w:val="006F0C25"/>
    <w:rsid w:val="006F0C32"/>
    <w:rsid w:val="006F0D07"/>
    <w:rsid w:val="006F0D0F"/>
    <w:rsid w:val="006F0D27"/>
    <w:rsid w:val="006F0D51"/>
    <w:rsid w:val="006F0D8E"/>
    <w:rsid w:val="006F0D8F"/>
    <w:rsid w:val="006F0DB8"/>
    <w:rsid w:val="006F0DDF"/>
    <w:rsid w:val="006F0DFE"/>
    <w:rsid w:val="006F0E2F"/>
    <w:rsid w:val="006F0E57"/>
    <w:rsid w:val="006F0F09"/>
    <w:rsid w:val="006F0F0D"/>
    <w:rsid w:val="006F0F14"/>
    <w:rsid w:val="006F0F2C"/>
    <w:rsid w:val="006F0F3C"/>
    <w:rsid w:val="006F0F69"/>
    <w:rsid w:val="006F0FA5"/>
    <w:rsid w:val="006F0FBF"/>
    <w:rsid w:val="006F1081"/>
    <w:rsid w:val="006F1084"/>
    <w:rsid w:val="006F10A9"/>
    <w:rsid w:val="006F110A"/>
    <w:rsid w:val="006F1144"/>
    <w:rsid w:val="006F116F"/>
    <w:rsid w:val="006F1178"/>
    <w:rsid w:val="006F11D5"/>
    <w:rsid w:val="006F123D"/>
    <w:rsid w:val="006F12A3"/>
    <w:rsid w:val="006F12AC"/>
    <w:rsid w:val="006F12CD"/>
    <w:rsid w:val="006F12D5"/>
    <w:rsid w:val="006F1340"/>
    <w:rsid w:val="006F1347"/>
    <w:rsid w:val="006F1349"/>
    <w:rsid w:val="006F1375"/>
    <w:rsid w:val="006F137C"/>
    <w:rsid w:val="006F138D"/>
    <w:rsid w:val="006F142A"/>
    <w:rsid w:val="006F1447"/>
    <w:rsid w:val="006F147E"/>
    <w:rsid w:val="006F148C"/>
    <w:rsid w:val="006F14A2"/>
    <w:rsid w:val="006F14C1"/>
    <w:rsid w:val="006F1507"/>
    <w:rsid w:val="006F153B"/>
    <w:rsid w:val="006F1568"/>
    <w:rsid w:val="006F1575"/>
    <w:rsid w:val="006F1576"/>
    <w:rsid w:val="006F1595"/>
    <w:rsid w:val="006F15B8"/>
    <w:rsid w:val="006F1629"/>
    <w:rsid w:val="006F1646"/>
    <w:rsid w:val="006F1664"/>
    <w:rsid w:val="006F166C"/>
    <w:rsid w:val="006F16D7"/>
    <w:rsid w:val="006F16F3"/>
    <w:rsid w:val="006F16F8"/>
    <w:rsid w:val="006F171C"/>
    <w:rsid w:val="006F1744"/>
    <w:rsid w:val="006F1795"/>
    <w:rsid w:val="006F1796"/>
    <w:rsid w:val="006F17AF"/>
    <w:rsid w:val="006F181E"/>
    <w:rsid w:val="006F184D"/>
    <w:rsid w:val="006F18BF"/>
    <w:rsid w:val="006F1903"/>
    <w:rsid w:val="006F1A39"/>
    <w:rsid w:val="006F1A4A"/>
    <w:rsid w:val="006F1A5B"/>
    <w:rsid w:val="006F1A8F"/>
    <w:rsid w:val="006F1AED"/>
    <w:rsid w:val="006F1B4F"/>
    <w:rsid w:val="006F1B7A"/>
    <w:rsid w:val="006F1C38"/>
    <w:rsid w:val="006F1C56"/>
    <w:rsid w:val="006F1C7A"/>
    <w:rsid w:val="006F1C7B"/>
    <w:rsid w:val="006F1CD0"/>
    <w:rsid w:val="006F1D29"/>
    <w:rsid w:val="006F1D33"/>
    <w:rsid w:val="006F1D56"/>
    <w:rsid w:val="006F1D6B"/>
    <w:rsid w:val="006F1D93"/>
    <w:rsid w:val="006F1E66"/>
    <w:rsid w:val="006F1E81"/>
    <w:rsid w:val="006F1E83"/>
    <w:rsid w:val="006F1E84"/>
    <w:rsid w:val="006F1E86"/>
    <w:rsid w:val="006F1EE6"/>
    <w:rsid w:val="006F1EEF"/>
    <w:rsid w:val="006F1EFA"/>
    <w:rsid w:val="006F1F5A"/>
    <w:rsid w:val="006F1F7B"/>
    <w:rsid w:val="006F1F82"/>
    <w:rsid w:val="006F1F8B"/>
    <w:rsid w:val="006F1FA7"/>
    <w:rsid w:val="006F1FD2"/>
    <w:rsid w:val="006F204A"/>
    <w:rsid w:val="006F205E"/>
    <w:rsid w:val="006F20A9"/>
    <w:rsid w:val="006F20B9"/>
    <w:rsid w:val="006F20BC"/>
    <w:rsid w:val="006F2102"/>
    <w:rsid w:val="006F210E"/>
    <w:rsid w:val="006F216F"/>
    <w:rsid w:val="006F21A9"/>
    <w:rsid w:val="006F2207"/>
    <w:rsid w:val="006F223B"/>
    <w:rsid w:val="006F2266"/>
    <w:rsid w:val="006F2316"/>
    <w:rsid w:val="006F232A"/>
    <w:rsid w:val="006F23C4"/>
    <w:rsid w:val="006F23D4"/>
    <w:rsid w:val="006F2453"/>
    <w:rsid w:val="006F24CD"/>
    <w:rsid w:val="006F2514"/>
    <w:rsid w:val="006F2531"/>
    <w:rsid w:val="006F2555"/>
    <w:rsid w:val="006F2574"/>
    <w:rsid w:val="006F2597"/>
    <w:rsid w:val="006F25BB"/>
    <w:rsid w:val="006F25FD"/>
    <w:rsid w:val="006F260C"/>
    <w:rsid w:val="006F2662"/>
    <w:rsid w:val="006F269A"/>
    <w:rsid w:val="006F2723"/>
    <w:rsid w:val="006F2775"/>
    <w:rsid w:val="006F2822"/>
    <w:rsid w:val="006F283D"/>
    <w:rsid w:val="006F2841"/>
    <w:rsid w:val="006F2846"/>
    <w:rsid w:val="006F2851"/>
    <w:rsid w:val="006F2872"/>
    <w:rsid w:val="006F28C1"/>
    <w:rsid w:val="006F28DC"/>
    <w:rsid w:val="006F294C"/>
    <w:rsid w:val="006F298C"/>
    <w:rsid w:val="006F2A11"/>
    <w:rsid w:val="006F2A18"/>
    <w:rsid w:val="006F2A2F"/>
    <w:rsid w:val="006F2A62"/>
    <w:rsid w:val="006F2A7C"/>
    <w:rsid w:val="006F2A80"/>
    <w:rsid w:val="006F2A91"/>
    <w:rsid w:val="006F2ACC"/>
    <w:rsid w:val="006F2B0C"/>
    <w:rsid w:val="006F2B42"/>
    <w:rsid w:val="006F2B98"/>
    <w:rsid w:val="006F2BF3"/>
    <w:rsid w:val="006F2BFB"/>
    <w:rsid w:val="006F2BFD"/>
    <w:rsid w:val="006F2C52"/>
    <w:rsid w:val="006F2C81"/>
    <w:rsid w:val="006F2D05"/>
    <w:rsid w:val="006F2D91"/>
    <w:rsid w:val="006F2DD5"/>
    <w:rsid w:val="006F2DDA"/>
    <w:rsid w:val="006F2E6A"/>
    <w:rsid w:val="006F2F28"/>
    <w:rsid w:val="006F2F3A"/>
    <w:rsid w:val="006F2FA8"/>
    <w:rsid w:val="006F2FB4"/>
    <w:rsid w:val="006F3057"/>
    <w:rsid w:val="006F3067"/>
    <w:rsid w:val="006F3084"/>
    <w:rsid w:val="006F3176"/>
    <w:rsid w:val="006F3183"/>
    <w:rsid w:val="006F31E6"/>
    <w:rsid w:val="006F32C8"/>
    <w:rsid w:val="006F32CB"/>
    <w:rsid w:val="006F3300"/>
    <w:rsid w:val="006F3361"/>
    <w:rsid w:val="006F336B"/>
    <w:rsid w:val="006F3382"/>
    <w:rsid w:val="006F33E3"/>
    <w:rsid w:val="006F33FE"/>
    <w:rsid w:val="006F3435"/>
    <w:rsid w:val="006F3437"/>
    <w:rsid w:val="006F3470"/>
    <w:rsid w:val="006F34B1"/>
    <w:rsid w:val="006F34E4"/>
    <w:rsid w:val="006F3584"/>
    <w:rsid w:val="006F35B6"/>
    <w:rsid w:val="006F35C5"/>
    <w:rsid w:val="006F35C8"/>
    <w:rsid w:val="006F35CD"/>
    <w:rsid w:val="006F35D2"/>
    <w:rsid w:val="006F35FC"/>
    <w:rsid w:val="006F361A"/>
    <w:rsid w:val="006F367B"/>
    <w:rsid w:val="006F3688"/>
    <w:rsid w:val="006F36DA"/>
    <w:rsid w:val="006F36E0"/>
    <w:rsid w:val="006F370F"/>
    <w:rsid w:val="006F372E"/>
    <w:rsid w:val="006F3740"/>
    <w:rsid w:val="006F3762"/>
    <w:rsid w:val="006F37EE"/>
    <w:rsid w:val="006F3800"/>
    <w:rsid w:val="006F3848"/>
    <w:rsid w:val="006F385E"/>
    <w:rsid w:val="006F385F"/>
    <w:rsid w:val="006F3902"/>
    <w:rsid w:val="006F3954"/>
    <w:rsid w:val="006F3959"/>
    <w:rsid w:val="006F395F"/>
    <w:rsid w:val="006F3966"/>
    <w:rsid w:val="006F3987"/>
    <w:rsid w:val="006F3991"/>
    <w:rsid w:val="006F39B3"/>
    <w:rsid w:val="006F39CB"/>
    <w:rsid w:val="006F39CC"/>
    <w:rsid w:val="006F39E0"/>
    <w:rsid w:val="006F39EE"/>
    <w:rsid w:val="006F3A48"/>
    <w:rsid w:val="006F3A88"/>
    <w:rsid w:val="006F3AEF"/>
    <w:rsid w:val="006F3B31"/>
    <w:rsid w:val="006F3B4D"/>
    <w:rsid w:val="006F3C07"/>
    <w:rsid w:val="006F3C0E"/>
    <w:rsid w:val="006F3C31"/>
    <w:rsid w:val="006F3D10"/>
    <w:rsid w:val="006F3D39"/>
    <w:rsid w:val="006F3DD0"/>
    <w:rsid w:val="006F3DEF"/>
    <w:rsid w:val="006F3E08"/>
    <w:rsid w:val="006F3E0F"/>
    <w:rsid w:val="006F3E3B"/>
    <w:rsid w:val="006F3E83"/>
    <w:rsid w:val="006F3ECF"/>
    <w:rsid w:val="006F3F1A"/>
    <w:rsid w:val="006F3F6A"/>
    <w:rsid w:val="006F3F82"/>
    <w:rsid w:val="006F3F99"/>
    <w:rsid w:val="006F3FE5"/>
    <w:rsid w:val="006F3FF9"/>
    <w:rsid w:val="006F4028"/>
    <w:rsid w:val="006F4074"/>
    <w:rsid w:val="006F409A"/>
    <w:rsid w:val="006F40D5"/>
    <w:rsid w:val="006F40EF"/>
    <w:rsid w:val="006F411C"/>
    <w:rsid w:val="006F4121"/>
    <w:rsid w:val="006F415A"/>
    <w:rsid w:val="006F4173"/>
    <w:rsid w:val="006F41C1"/>
    <w:rsid w:val="006F41EE"/>
    <w:rsid w:val="006F420F"/>
    <w:rsid w:val="006F4238"/>
    <w:rsid w:val="006F4263"/>
    <w:rsid w:val="006F42AB"/>
    <w:rsid w:val="006F42F7"/>
    <w:rsid w:val="006F4340"/>
    <w:rsid w:val="006F43A9"/>
    <w:rsid w:val="006F43BD"/>
    <w:rsid w:val="006F4416"/>
    <w:rsid w:val="006F44B3"/>
    <w:rsid w:val="006F44B8"/>
    <w:rsid w:val="006F45A6"/>
    <w:rsid w:val="006F45D6"/>
    <w:rsid w:val="006F45EB"/>
    <w:rsid w:val="006F460B"/>
    <w:rsid w:val="006F4618"/>
    <w:rsid w:val="006F461B"/>
    <w:rsid w:val="006F4673"/>
    <w:rsid w:val="006F4679"/>
    <w:rsid w:val="006F46E0"/>
    <w:rsid w:val="006F4770"/>
    <w:rsid w:val="006F4787"/>
    <w:rsid w:val="006F47AA"/>
    <w:rsid w:val="006F47F5"/>
    <w:rsid w:val="006F4813"/>
    <w:rsid w:val="006F484F"/>
    <w:rsid w:val="006F486B"/>
    <w:rsid w:val="006F486F"/>
    <w:rsid w:val="006F48DA"/>
    <w:rsid w:val="006F493B"/>
    <w:rsid w:val="006F493C"/>
    <w:rsid w:val="006F4957"/>
    <w:rsid w:val="006F49C1"/>
    <w:rsid w:val="006F49DF"/>
    <w:rsid w:val="006F49EB"/>
    <w:rsid w:val="006F4A42"/>
    <w:rsid w:val="006F4A67"/>
    <w:rsid w:val="006F4AA5"/>
    <w:rsid w:val="006F4ABF"/>
    <w:rsid w:val="006F4AF1"/>
    <w:rsid w:val="006F4BD8"/>
    <w:rsid w:val="006F4BF5"/>
    <w:rsid w:val="006F4C0F"/>
    <w:rsid w:val="006F4C51"/>
    <w:rsid w:val="006F4C68"/>
    <w:rsid w:val="006F4CB8"/>
    <w:rsid w:val="006F4CCA"/>
    <w:rsid w:val="006F4D13"/>
    <w:rsid w:val="006F4DE9"/>
    <w:rsid w:val="006F4E1E"/>
    <w:rsid w:val="006F4E42"/>
    <w:rsid w:val="006F4F21"/>
    <w:rsid w:val="006F4F3C"/>
    <w:rsid w:val="006F4F55"/>
    <w:rsid w:val="006F4F6E"/>
    <w:rsid w:val="006F4F9B"/>
    <w:rsid w:val="006F4FAB"/>
    <w:rsid w:val="006F504E"/>
    <w:rsid w:val="006F511B"/>
    <w:rsid w:val="006F5150"/>
    <w:rsid w:val="006F5152"/>
    <w:rsid w:val="006F5177"/>
    <w:rsid w:val="006F51B5"/>
    <w:rsid w:val="006F51FB"/>
    <w:rsid w:val="006F5219"/>
    <w:rsid w:val="006F5224"/>
    <w:rsid w:val="006F5236"/>
    <w:rsid w:val="006F5238"/>
    <w:rsid w:val="006F5240"/>
    <w:rsid w:val="006F5244"/>
    <w:rsid w:val="006F5253"/>
    <w:rsid w:val="006F52D1"/>
    <w:rsid w:val="006F52F6"/>
    <w:rsid w:val="006F530A"/>
    <w:rsid w:val="006F5367"/>
    <w:rsid w:val="006F53C5"/>
    <w:rsid w:val="006F53D5"/>
    <w:rsid w:val="006F545F"/>
    <w:rsid w:val="006F54E2"/>
    <w:rsid w:val="006F555E"/>
    <w:rsid w:val="006F5589"/>
    <w:rsid w:val="006F5594"/>
    <w:rsid w:val="006F55A8"/>
    <w:rsid w:val="006F5600"/>
    <w:rsid w:val="006F56BE"/>
    <w:rsid w:val="006F57AF"/>
    <w:rsid w:val="006F57F2"/>
    <w:rsid w:val="006F5812"/>
    <w:rsid w:val="006F582C"/>
    <w:rsid w:val="006F5867"/>
    <w:rsid w:val="006F586E"/>
    <w:rsid w:val="006F58B0"/>
    <w:rsid w:val="006F5919"/>
    <w:rsid w:val="006F5925"/>
    <w:rsid w:val="006F5929"/>
    <w:rsid w:val="006F5949"/>
    <w:rsid w:val="006F594C"/>
    <w:rsid w:val="006F59E3"/>
    <w:rsid w:val="006F5A01"/>
    <w:rsid w:val="006F5A10"/>
    <w:rsid w:val="006F5A40"/>
    <w:rsid w:val="006F5A69"/>
    <w:rsid w:val="006F5A6C"/>
    <w:rsid w:val="006F5AD3"/>
    <w:rsid w:val="006F5AEF"/>
    <w:rsid w:val="006F5B17"/>
    <w:rsid w:val="006F5B1C"/>
    <w:rsid w:val="006F5B1F"/>
    <w:rsid w:val="006F5B4E"/>
    <w:rsid w:val="006F5B60"/>
    <w:rsid w:val="006F5C2E"/>
    <w:rsid w:val="006F5C30"/>
    <w:rsid w:val="006F5C37"/>
    <w:rsid w:val="006F5C41"/>
    <w:rsid w:val="006F5D01"/>
    <w:rsid w:val="006F5D23"/>
    <w:rsid w:val="006F5D4E"/>
    <w:rsid w:val="006F5D67"/>
    <w:rsid w:val="006F5DCC"/>
    <w:rsid w:val="006F5E19"/>
    <w:rsid w:val="006F5E30"/>
    <w:rsid w:val="006F5E46"/>
    <w:rsid w:val="006F5E64"/>
    <w:rsid w:val="006F5E6F"/>
    <w:rsid w:val="006F5EC2"/>
    <w:rsid w:val="006F5F64"/>
    <w:rsid w:val="006F5FC9"/>
    <w:rsid w:val="006F5FDB"/>
    <w:rsid w:val="006F605C"/>
    <w:rsid w:val="006F6126"/>
    <w:rsid w:val="006F613C"/>
    <w:rsid w:val="006F616E"/>
    <w:rsid w:val="006F61A9"/>
    <w:rsid w:val="006F6252"/>
    <w:rsid w:val="006F6256"/>
    <w:rsid w:val="006F62BC"/>
    <w:rsid w:val="006F62D1"/>
    <w:rsid w:val="006F6318"/>
    <w:rsid w:val="006F6326"/>
    <w:rsid w:val="006F638F"/>
    <w:rsid w:val="006F63F1"/>
    <w:rsid w:val="006F63F5"/>
    <w:rsid w:val="006F6428"/>
    <w:rsid w:val="006F6450"/>
    <w:rsid w:val="006F6483"/>
    <w:rsid w:val="006F6556"/>
    <w:rsid w:val="006F6566"/>
    <w:rsid w:val="006F6581"/>
    <w:rsid w:val="006F6616"/>
    <w:rsid w:val="006F6672"/>
    <w:rsid w:val="006F6684"/>
    <w:rsid w:val="006F66B2"/>
    <w:rsid w:val="006F66CA"/>
    <w:rsid w:val="006F66CD"/>
    <w:rsid w:val="006F670C"/>
    <w:rsid w:val="006F6714"/>
    <w:rsid w:val="006F6730"/>
    <w:rsid w:val="006F67B0"/>
    <w:rsid w:val="006F6811"/>
    <w:rsid w:val="006F684D"/>
    <w:rsid w:val="006F6869"/>
    <w:rsid w:val="006F686F"/>
    <w:rsid w:val="006F68A2"/>
    <w:rsid w:val="006F68A6"/>
    <w:rsid w:val="006F68F4"/>
    <w:rsid w:val="006F692A"/>
    <w:rsid w:val="006F69A7"/>
    <w:rsid w:val="006F69E6"/>
    <w:rsid w:val="006F6A0E"/>
    <w:rsid w:val="006F6A46"/>
    <w:rsid w:val="006F6A4D"/>
    <w:rsid w:val="006F6A57"/>
    <w:rsid w:val="006F6A5F"/>
    <w:rsid w:val="006F6A65"/>
    <w:rsid w:val="006F6A79"/>
    <w:rsid w:val="006F6A99"/>
    <w:rsid w:val="006F6AC9"/>
    <w:rsid w:val="006F6BC2"/>
    <w:rsid w:val="006F6BE8"/>
    <w:rsid w:val="006F6C3A"/>
    <w:rsid w:val="006F6C6B"/>
    <w:rsid w:val="006F6D4C"/>
    <w:rsid w:val="006F6D64"/>
    <w:rsid w:val="006F6DCD"/>
    <w:rsid w:val="006F6DFA"/>
    <w:rsid w:val="006F6E94"/>
    <w:rsid w:val="006F6EEB"/>
    <w:rsid w:val="006F6F38"/>
    <w:rsid w:val="006F6FB8"/>
    <w:rsid w:val="006F6FC1"/>
    <w:rsid w:val="006F6FD2"/>
    <w:rsid w:val="006F6FEF"/>
    <w:rsid w:val="006F7068"/>
    <w:rsid w:val="006F709E"/>
    <w:rsid w:val="006F7120"/>
    <w:rsid w:val="006F7156"/>
    <w:rsid w:val="006F7190"/>
    <w:rsid w:val="006F7196"/>
    <w:rsid w:val="006F71C5"/>
    <w:rsid w:val="006F71CC"/>
    <w:rsid w:val="006F71F2"/>
    <w:rsid w:val="006F7243"/>
    <w:rsid w:val="006F7246"/>
    <w:rsid w:val="006F72B0"/>
    <w:rsid w:val="006F72C0"/>
    <w:rsid w:val="006F72C2"/>
    <w:rsid w:val="006F734B"/>
    <w:rsid w:val="006F7357"/>
    <w:rsid w:val="006F737A"/>
    <w:rsid w:val="006F737F"/>
    <w:rsid w:val="006F7382"/>
    <w:rsid w:val="006F738B"/>
    <w:rsid w:val="006F73CF"/>
    <w:rsid w:val="006F7407"/>
    <w:rsid w:val="006F744B"/>
    <w:rsid w:val="006F74BF"/>
    <w:rsid w:val="006F74D4"/>
    <w:rsid w:val="006F74F1"/>
    <w:rsid w:val="006F758C"/>
    <w:rsid w:val="006F75AD"/>
    <w:rsid w:val="006F7650"/>
    <w:rsid w:val="006F7654"/>
    <w:rsid w:val="006F768C"/>
    <w:rsid w:val="006F7695"/>
    <w:rsid w:val="006F76A0"/>
    <w:rsid w:val="006F76F0"/>
    <w:rsid w:val="006F76F8"/>
    <w:rsid w:val="006F7772"/>
    <w:rsid w:val="006F7782"/>
    <w:rsid w:val="006F786C"/>
    <w:rsid w:val="006F78B7"/>
    <w:rsid w:val="006F78BF"/>
    <w:rsid w:val="006F7913"/>
    <w:rsid w:val="006F791A"/>
    <w:rsid w:val="006F7958"/>
    <w:rsid w:val="006F7992"/>
    <w:rsid w:val="006F79AB"/>
    <w:rsid w:val="006F79DB"/>
    <w:rsid w:val="006F7A02"/>
    <w:rsid w:val="006F7A47"/>
    <w:rsid w:val="006F7A65"/>
    <w:rsid w:val="006F7AAD"/>
    <w:rsid w:val="006F7ADA"/>
    <w:rsid w:val="006F7B1E"/>
    <w:rsid w:val="006F7B24"/>
    <w:rsid w:val="006F7B49"/>
    <w:rsid w:val="006F7B4C"/>
    <w:rsid w:val="006F7C50"/>
    <w:rsid w:val="006F7C56"/>
    <w:rsid w:val="006F7C97"/>
    <w:rsid w:val="006F7CE2"/>
    <w:rsid w:val="006F7D59"/>
    <w:rsid w:val="006F7DD9"/>
    <w:rsid w:val="006F7E12"/>
    <w:rsid w:val="006F7E40"/>
    <w:rsid w:val="006F7E69"/>
    <w:rsid w:val="006F7F04"/>
    <w:rsid w:val="006F7FB7"/>
    <w:rsid w:val="006F7FC1"/>
    <w:rsid w:val="006F7FEB"/>
    <w:rsid w:val="006FAAF2"/>
    <w:rsid w:val="006FCD7D"/>
    <w:rsid w:val="006FD47B"/>
    <w:rsid w:val="00700023"/>
    <w:rsid w:val="0070011C"/>
    <w:rsid w:val="00700167"/>
    <w:rsid w:val="00700186"/>
    <w:rsid w:val="00700235"/>
    <w:rsid w:val="0070024B"/>
    <w:rsid w:val="00700295"/>
    <w:rsid w:val="007002AB"/>
    <w:rsid w:val="007002D4"/>
    <w:rsid w:val="007002DE"/>
    <w:rsid w:val="00700303"/>
    <w:rsid w:val="0070030C"/>
    <w:rsid w:val="00700316"/>
    <w:rsid w:val="00700322"/>
    <w:rsid w:val="00700332"/>
    <w:rsid w:val="00700338"/>
    <w:rsid w:val="00700378"/>
    <w:rsid w:val="00700383"/>
    <w:rsid w:val="007003A3"/>
    <w:rsid w:val="007003B1"/>
    <w:rsid w:val="0070043C"/>
    <w:rsid w:val="00700483"/>
    <w:rsid w:val="007004D3"/>
    <w:rsid w:val="007004F4"/>
    <w:rsid w:val="007004FB"/>
    <w:rsid w:val="0070053D"/>
    <w:rsid w:val="0070055F"/>
    <w:rsid w:val="00700564"/>
    <w:rsid w:val="007005C9"/>
    <w:rsid w:val="007005CF"/>
    <w:rsid w:val="00700600"/>
    <w:rsid w:val="00700614"/>
    <w:rsid w:val="00700618"/>
    <w:rsid w:val="0070064D"/>
    <w:rsid w:val="00700666"/>
    <w:rsid w:val="00700678"/>
    <w:rsid w:val="007006B1"/>
    <w:rsid w:val="007006BD"/>
    <w:rsid w:val="007006C1"/>
    <w:rsid w:val="00700731"/>
    <w:rsid w:val="00700824"/>
    <w:rsid w:val="00700859"/>
    <w:rsid w:val="00700911"/>
    <w:rsid w:val="0070099F"/>
    <w:rsid w:val="007009C3"/>
    <w:rsid w:val="007009CA"/>
    <w:rsid w:val="007009E9"/>
    <w:rsid w:val="007009EC"/>
    <w:rsid w:val="00700A23"/>
    <w:rsid w:val="00700A31"/>
    <w:rsid w:val="00700A3A"/>
    <w:rsid w:val="00700A4D"/>
    <w:rsid w:val="00700A5C"/>
    <w:rsid w:val="00700AC4"/>
    <w:rsid w:val="00700B43"/>
    <w:rsid w:val="00700B70"/>
    <w:rsid w:val="00700BD1"/>
    <w:rsid w:val="00700BD3"/>
    <w:rsid w:val="00700C23"/>
    <w:rsid w:val="00700C30"/>
    <w:rsid w:val="00700C4E"/>
    <w:rsid w:val="00700CE7"/>
    <w:rsid w:val="00700D87"/>
    <w:rsid w:val="00700DED"/>
    <w:rsid w:val="00700E51"/>
    <w:rsid w:val="00700E78"/>
    <w:rsid w:val="00700E8A"/>
    <w:rsid w:val="00700EA4"/>
    <w:rsid w:val="00700EBC"/>
    <w:rsid w:val="00700F3F"/>
    <w:rsid w:val="00700F70"/>
    <w:rsid w:val="00700F89"/>
    <w:rsid w:val="00700FBE"/>
    <w:rsid w:val="00700FE0"/>
    <w:rsid w:val="00701069"/>
    <w:rsid w:val="007010C8"/>
    <w:rsid w:val="0070116D"/>
    <w:rsid w:val="00701175"/>
    <w:rsid w:val="00701189"/>
    <w:rsid w:val="00701251"/>
    <w:rsid w:val="00701290"/>
    <w:rsid w:val="007012BF"/>
    <w:rsid w:val="0070132E"/>
    <w:rsid w:val="0070134D"/>
    <w:rsid w:val="00701358"/>
    <w:rsid w:val="007013B9"/>
    <w:rsid w:val="007013CB"/>
    <w:rsid w:val="007013DE"/>
    <w:rsid w:val="007013DF"/>
    <w:rsid w:val="007013E0"/>
    <w:rsid w:val="00701414"/>
    <w:rsid w:val="007014A3"/>
    <w:rsid w:val="007014A7"/>
    <w:rsid w:val="007014B4"/>
    <w:rsid w:val="007014F4"/>
    <w:rsid w:val="0070150E"/>
    <w:rsid w:val="0070157B"/>
    <w:rsid w:val="007015B6"/>
    <w:rsid w:val="007015BA"/>
    <w:rsid w:val="007015CB"/>
    <w:rsid w:val="007015E6"/>
    <w:rsid w:val="0070169C"/>
    <w:rsid w:val="007016A9"/>
    <w:rsid w:val="007016AA"/>
    <w:rsid w:val="007016F3"/>
    <w:rsid w:val="00701726"/>
    <w:rsid w:val="00701732"/>
    <w:rsid w:val="0070178D"/>
    <w:rsid w:val="00701798"/>
    <w:rsid w:val="007017AC"/>
    <w:rsid w:val="007017F4"/>
    <w:rsid w:val="0070182B"/>
    <w:rsid w:val="00701866"/>
    <w:rsid w:val="00701898"/>
    <w:rsid w:val="007019B3"/>
    <w:rsid w:val="00701A18"/>
    <w:rsid w:val="00701A1A"/>
    <w:rsid w:val="00701A79"/>
    <w:rsid w:val="00701ABC"/>
    <w:rsid w:val="00701AC9"/>
    <w:rsid w:val="00701ACA"/>
    <w:rsid w:val="00701B62"/>
    <w:rsid w:val="00701B81"/>
    <w:rsid w:val="00701B91"/>
    <w:rsid w:val="00701BDD"/>
    <w:rsid w:val="00701C6F"/>
    <w:rsid w:val="00701D07"/>
    <w:rsid w:val="00701D12"/>
    <w:rsid w:val="00701D35"/>
    <w:rsid w:val="00701DE0"/>
    <w:rsid w:val="00701E87"/>
    <w:rsid w:val="00701EAE"/>
    <w:rsid w:val="00701EEB"/>
    <w:rsid w:val="00701EF8"/>
    <w:rsid w:val="00701FB1"/>
    <w:rsid w:val="00701FF1"/>
    <w:rsid w:val="007020D3"/>
    <w:rsid w:val="00702123"/>
    <w:rsid w:val="0070214A"/>
    <w:rsid w:val="007021D6"/>
    <w:rsid w:val="007021FD"/>
    <w:rsid w:val="0070224E"/>
    <w:rsid w:val="00702257"/>
    <w:rsid w:val="007022DD"/>
    <w:rsid w:val="007022E5"/>
    <w:rsid w:val="00702331"/>
    <w:rsid w:val="00702343"/>
    <w:rsid w:val="00702368"/>
    <w:rsid w:val="007023A3"/>
    <w:rsid w:val="007023A5"/>
    <w:rsid w:val="007023AA"/>
    <w:rsid w:val="007023EA"/>
    <w:rsid w:val="00702401"/>
    <w:rsid w:val="00702411"/>
    <w:rsid w:val="00702459"/>
    <w:rsid w:val="007024F9"/>
    <w:rsid w:val="0070251F"/>
    <w:rsid w:val="00702575"/>
    <w:rsid w:val="007025C0"/>
    <w:rsid w:val="00702610"/>
    <w:rsid w:val="00702615"/>
    <w:rsid w:val="0070263C"/>
    <w:rsid w:val="0070263F"/>
    <w:rsid w:val="0070267A"/>
    <w:rsid w:val="00702685"/>
    <w:rsid w:val="007026B6"/>
    <w:rsid w:val="007026C3"/>
    <w:rsid w:val="007026E6"/>
    <w:rsid w:val="007026ED"/>
    <w:rsid w:val="0070270E"/>
    <w:rsid w:val="0070283B"/>
    <w:rsid w:val="00702856"/>
    <w:rsid w:val="00702867"/>
    <w:rsid w:val="007028E4"/>
    <w:rsid w:val="007028E8"/>
    <w:rsid w:val="007028EC"/>
    <w:rsid w:val="007028F8"/>
    <w:rsid w:val="0070290C"/>
    <w:rsid w:val="00702A06"/>
    <w:rsid w:val="00702A0D"/>
    <w:rsid w:val="00702A13"/>
    <w:rsid w:val="00702A5E"/>
    <w:rsid w:val="00702A62"/>
    <w:rsid w:val="00702A9D"/>
    <w:rsid w:val="00702B63"/>
    <w:rsid w:val="00702BF4"/>
    <w:rsid w:val="00702C79"/>
    <w:rsid w:val="00702CC1"/>
    <w:rsid w:val="00702CC9"/>
    <w:rsid w:val="00702D18"/>
    <w:rsid w:val="00702D9C"/>
    <w:rsid w:val="00702D9D"/>
    <w:rsid w:val="00702DB2"/>
    <w:rsid w:val="00702DBB"/>
    <w:rsid w:val="00702E68"/>
    <w:rsid w:val="00702ED3"/>
    <w:rsid w:val="00702EE5"/>
    <w:rsid w:val="00702F0B"/>
    <w:rsid w:val="00702F9D"/>
    <w:rsid w:val="00702FC7"/>
    <w:rsid w:val="00702FCF"/>
    <w:rsid w:val="00702FDD"/>
    <w:rsid w:val="00702FE3"/>
    <w:rsid w:val="00703090"/>
    <w:rsid w:val="007030D1"/>
    <w:rsid w:val="0070313A"/>
    <w:rsid w:val="0070315F"/>
    <w:rsid w:val="00703186"/>
    <w:rsid w:val="007031F0"/>
    <w:rsid w:val="007031F5"/>
    <w:rsid w:val="00703219"/>
    <w:rsid w:val="0070321E"/>
    <w:rsid w:val="00703236"/>
    <w:rsid w:val="0070324C"/>
    <w:rsid w:val="00703255"/>
    <w:rsid w:val="0070327D"/>
    <w:rsid w:val="00703296"/>
    <w:rsid w:val="007032DE"/>
    <w:rsid w:val="0070331F"/>
    <w:rsid w:val="00703369"/>
    <w:rsid w:val="007033B5"/>
    <w:rsid w:val="007033BD"/>
    <w:rsid w:val="007033D3"/>
    <w:rsid w:val="00703429"/>
    <w:rsid w:val="0070343F"/>
    <w:rsid w:val="007034A7"/>
    <w:rsid w:val="007035AA"/>
    <w:rsid w:val="007035C9"/>
    <w:rsid w:val="0070361F"/>
    <w:rsid w:val="0070364E"/>
    <w:rsid w:val="00703675"/>
    <w:rsid w:val="007036C3"/>
    <w:rsid w:val="007036EF"/>
    <w:rsid w:val="00703730"/>
    <w:rsid w:val="007037AB"/>
    <w:rsid w:val="007037FC"/>
    <w:rsid w:val="0070380C"/>
    <w:rsid w:val="00703841"/>
    <w:rsid w:val="0070384F"/>
    <w:rsid w:val="0070385C"/>
    <w:rsid w:val="00703991"/>
    <w:rsid w:val="0070399F"/>
    <w:rsid w:val="007039A1"/>
    <w:rsid w:val="007039B1"/>
    <w:rsid w:val="007039DA"/>
    <w:rsid w:val="00703A64"/>
    <w:rsid w:val="00703ACD"/>
    <w:rsid w:val="00703B1A"/>
    <w:rsid w:val="00703B1B"/>
    <w:rsid w:val="00703B57"/>
    <w:rsid w:val="00703BF7"/>
    <w:rsid w:val="00703C35"/>
    <w:rsid w:val="00703C84"/>
    <w:rsid w:val="00703C97"/>
    <w:rsid w:val="00703CA0"/>
    <w:rsid w:val="00703CC4"/>
    <w:rsid w:val="00703D5B"/>
    <w:rsid w:val="00703DF6"/>
    <w:rsid w:val="00703E27"/>
    <w:rsid w:val="00703E2D"/>
    <w:rsid w:val="00703E35"/>
    <w:rsid w:val="00703E46"/>
    <w:rsid w:val="00703E4A"/>
    <w:rsid w:val="00703E93"/>
    <w:rsid w:val="00703EDB"/>
    <w:rsid w:val="00703F01"/>
    <w:rsid w:val="00703F47"/>
    <w:rsid w:val="00703F5A"/>
    <w:rsid w:val="00703F69"/>
    <w:rsid w:val="00703F6D"/>
    <w:rsid w:val="00703F81"/>
    <w:rsid w:val="00703FC0"/>
    <w:rsid w:val="00704059"/>
    <w:rsid w:val="0070405B"/>
    <w:rsid w:val="0070409A"/>
    <w:rsid w:val="007040A2"/>
    <w:rsid w:val="007040A3"/>
    <w:rsid w:val="007040C4"/>
    <w:rsid w:val="0070417F"/>
    <w:rsid w:val="00704208"/>
    <w:rsid w:val="0070422F"/>
    <w:rsid w:val="00704242"/>
    <w:rsid w:val="00704272"/>
    <w:rsid w:val="007042D9"/>
    <w:rsid w:val="007042E9"/>
    <w:rsid w:val="007042EE"/>
    <w:rsid w:val="0070433E"/>
    <w:rsid w:val="0070435D"/>
    <w:rsid w:val="00704362"/>
    <w:rsid w:val="007043B4"/>
    <w:rsid w:val="007043D8"/>
    <w:rsid w:val="0070442B"/>
    <w:rsid w:val="00704457"/>
    <w:rsid w:val="00704472"/>
    <w:rsid w:val="0070448C"/>
    <w:rsid w:val="007044A9"/>
    <w:rsid w:val="007044BE"/>
    <w:rsid w:val="007044C4"/>
    <w:rsid w:val="007044D1"/>
    <w:rsid w:val="007044EF"/>
    <w:rsid w:val="00704503"/>
    <w:rsid w:val="0070451B"/>
    <w:rsid w:val="0070452E"/>
    <w:rsid w:val="00704564"/>
    <w:rsid w:val="00704567"/>
    <w:rsid w:val="0070456D"/>
    <w:rsid w:val="0070458D"/>
    <w:rsid w:val="007045C4"/>
    <w:rsid w:val="007045D5"/>
    <w:rsid w:val="0070460A"/>
    <w:rsid w:val="0070467A"/>
    <w:rsid w:val="007046C0"/>
    <w:rsid w:val="007046DE"/>
    <w:rsid w:val="007046F7"/>
    <w:rsid w:val="00704728"/>
    <w:rsid w:val="007047BF"/>
    <w:rsid w:val="007047D1"/>
    <w:rsid w:val="00704802"/>
    <w:rsid w:val="0070480F"/>
    <w:rsid w:val="007048A7"/>
    <w:rsid w:val="007048C7"/>
    <w:rsid w:val="00704993"/>
    <w:rsid w:val="007049A4"/>
    <w:rsid w:val="00704A34"/>
    <w:rsid w:val="00704AA2"/>
    <w:rsid w:val="00704AA3"/>
    <w:rsid w:val="00704ACC"/>
    <w:rsid w:val="00704AD5"/>
    <w:rsid w:val="00704AD9"/>
    <w:rsid w:val="00704AE3"/>
    <w:rsid w:val="00704B2D"/>
    <w:rsid w:val="00704B39"/>
    <w:rsid w:val="00704B78"/>
    <w:rsid w:val="00704BE0"/>
    <w:rsid w:val="00704C12"/>
    <w:rsid w:val="00704C31"/>
    <w:rsid w:val="00704C49"/>
    <w:rsid w:val="00704C61"/>
    <w:rsid w:val="00704C63"/>
    <w:rsid w:val="00704C91"/>
    <w:rsid w:val="00704CD1"/>
    <w:rsid w:val="00704CFB"/>
    <w:rsid w:val="00704D26"/>
    <w:rsid w:val="00704D59"/>
    <w:rsid w:val="00704D62"/>
    <w:rsid w:val="00704D91"/>
    <w:rsid w:val="00704DD1"/>
    <w:rsid w:val="00704E20"/>
    <w:rsid w:val="00704E62"/>
    <w:rsid w:val="00704E63"/>
    <w:rsid w:val="00704E8E"/>
    <w:rsid w:val="00704EB6"/>
    <w:rsid w:val="00704EE7"/>
    <w:rsid w:val="00704EEE"/>
    <w:rsid w:val="00704F11"/>
    <w:rsid w:val="00704F24"/>
    <w:rsid w:val="00704F5E"/>
    <w:rsid w:val="00704FC7"/>
    <w:rsid w:val="00705017"/>
    <w:rsid w:val="007050B1"/>
    <w:rsid w:val="007050D8"/>
    <w:rsid w:val="007050F6"/>
    <w:rsid w:val="007050FA"/>
    <w:rsid w:val="00705112"/>
    <w:rsid w:val="00705137"/>
    <w:rsid w:val="0070515B"/>
    <w:rsid w:val="00705187"/>
    <w:rsid w:val="007051DF"/>
    <w:rsid w:val="0070520D"/>
    <w:rsid w:val="00705276"/>
    <w:rsid w:val="00705318"/>
    <w:rsid w:val="00705374"/>
    <w:rsid w:val="007053A9"/>
    <w:rsid w:val="007053E7"/>
    <w:rsid w:val="007053F7"/>
    <w:rsid w:val="00705402"/>
    <w:rsid w:val="00705434"/>
    <w:rsid w:val="00705468"/>
    <w:rsid w:val="007054BB"/>
    <w:rsid w:val="007054D4"/>
    <w:rsid w:val="0070556C"/>
    <w:rsid w:val="00705591"/>
    <w:rsid w:val="007055AB"/>
    <w:rsid w:val="007055D3"/>
    <w:rsid w:val="007055EC"/>
    <w:rsid w:val="007055F3"/>
    <w:rsid w:val="00705677"/>
    <w:rsid w:val="00705685"/>
    <w:rsid w:val="00705694"/>
    <w:rsid w:val="00705695"/>
    <w:rsid w:val="007056C9"/>
    <w:rsid w:val="007056DA"/>
    <w:rsid w:val="007056DF"/>
    <w:rsid w:val="00705734"/>
    <w:rsid w:val="00705746"/>
    <w:rsid w:val="007057AC"/>
    <w:rsid w:val="007057B5"/>
    <w:rsid w:val="007057C6"/>
    <w:rsid w:val="007057E8"/>
    <w:rsid w:val="007057F3"/>
    <w:rsid w:val="00705839"/>
    <w:rsid w:val="0070588F"/>
    <w:rsid w:val="007058EC"/>
    <w:rsid w:val="00705930"/>
    <w:rsid w:val="007059C9"/>
    <w:rsid w:val="007059CB"/>
    <w:rsid w:val="007059FA"/>
    <w:rsid w:val="00705A08"/>
    <w:rsid w:val="00705AF1"/>
    <w:rsid w:val="00705B00"/>
    <w:rsid w:val="00705B4F"/>
    <w:rsid w:val="00705BA9"/>
    <w:rsid w:val="00705BAA"/>
    <w:rsid w:val="00705BC5"/>
    <w:rsid w:val="00705BFA"/>
    <w:rsid w:val="00705C0C"/>
    <w:rsid w:val="00705C35"/>
    <w:rsid w:val="00705C69"/>
    <w:rsid w:val="00705C8A"/>
    <w:rsid w:val="00705C93"/>
    <w:rsid w:val="00705CF2"/>
    <w:rsid w:val="00705D0F"/>
    <w:rsid w:val="00705D17"/>
    <w:rsid w:val="00705D44"/>
    <w:rsid w:val="00705D5A"/>
    <w:rsid w:val="00705DE1"/>
    <w:rsid w:val="00705DFC"/>
    <w:rsid w:val="00705E52"/>
    <w:rsid w:val="00705E92"/>
    <w:rsid w:val="00705EB5"/>
    <w:rsid w:val="00705EC4"/>
    <w:rsid w:val="00705ECA"/>
    <w:rsid w:val="00705F04"/>
    <w:rsid w:val="00705F09"/>
    <w:rsid w:val="00705F0E"/>
    <w:rsid w:val="00705F9D"/>
    <w:rsid w:val="00705FBB"/>
    <w:rsid w:val="00706023"/>
    <w:rsid w:val="00706048"/>
    <w:rsid w:val="00706079"/>
    <w:rsid w:val="0070607A"/>
    <w:rsid w:val="0070607C"/>
    <w:rsid w:val="007060EE"/>
    <w:rsid w:val="007060F1"/>
    <w:rsid w:val="0070615E"/>
    <w:rsid w:val="0070619A"/>
    <w:rsid w:val="007061F8"/>
    <w:rsid w:val="00706230"/>
    <w:rsid w:val="007062FB"/>
    <w:rsid w:val="00706345"/>
    <w:rsid w:val="007063D0"/>
    <w:rsid w:val="007063DC"/>
    <w:rsid w:val="0070640A"/>
    <w:rsid w:val="00706446"/>
    <w:rsid w:val="007064AC"/>
    <w:rsid w:val="00706529"/>
    <w:rsid w:val="00706544"/>
    <w:rsid w:val="0070655E"/>
    <w:rsid w:val="00706566"/>
    <w:rsid w:val="0070659E"/>
    <w:rsid w:val="007065A2"/>
    <w:rsid w:val="0070660D"/>
    <w:rsid w:val="00706627"/>
    <w:rsid w:val="0070663E"/>
    <w:rsid w:val="0070663F"/>
    <w:rsid w:val="0070664C"/>
    <w:rsid w:val="0070666B"/>
    <w:rsid w:val="0070666F"/>
    <w:rsid w:val="007066CA"/>
    <w:rsid w:val="007066F1"/>
    <w:rsid w:val="00706794"/>
    <w:rsid w:val="007067EC"/>
    <w:rsid w:val="007067F3"/>
    <w:rsid w:val="0070680B"/>
    <w:rsid w:val="00706815"/>
    <w:rsid w:val="00706836"/>
    <w:rsid w:val="00706857"/>
    <w:rsid w:val="00706871"/>
    <w:rsid w:val="007068EE"/>
    <w:rsid w:val="00706918"/>
    <w:rsid w:val="0070691F"/>
    <w:rsid w:val="00706997"/>
    <w:rsid w:val="007069B0"/>
    <w:rsid w:val="007069DA"/>
    <w:rsid w:val="007069E5"/>
    <w:rsid w:val="007069EF"/>
    <w:rsid w:val="00706A71"/>
    <w:rsid w:val="00706A72"/>
    <w:rsid w:val="00706A87"/>
    <w:rsid w:val="00706A97"/>
    <w:rsid w:val="00706ACF"/>
    <w:rsid w:val="00706B33"/>
    <w:rsid w:val="00706B40"/>
    <w:rsid w:val="00706B83"/>
    <w:rsid w:val="00706BDB"/>
    <w:rsid w:val="00706C01"/>
    <w:rsid w:val="00706C2E"/>
    <w:rsid w:val="00706C39"/>
    <w:rsid w:val="00706C72"/>
    <w:rsid w:val="00706CB6"/>
    <w:rsid w:val="00706CEF"/>
    <w:rsid w:val="00706D26"/>
    <w:rsid w:val="00706D75"/>
    <w:rsid w:val="00706D87"/>
    <w:rsid w:val="00706D96"/>
    <w:rsid w:val="00706D9D"/>
    <w:rsid w:val="00706DD7"/>
    <w:rsid w:val="00706DE0"/>
    <w:rsid w:val="00706DEB"/>
    <w:rsid w:val="00706E58"/>
    <w:rsid w:val="00706EAA"/>
    <w:rsid w:val="00706ED4"/>
    <w:rsid w:val="00706FC3"/>
    <w:rsid w:val="00706FDC"/>
    <w:rsid w:val="00706FEB"/>
    <w:rsid w:val="0070701B"/>
    <w:rsid w:val="0070704A"/>
    <w:rsid w:val="0070704D"/>
    <w:rsid w:val="0070705A"/>
    <w:rsid w:val="007070C8"/>
    <w:rsid w:val="007070F3"/>
    <w:rsid w:val="00707132"/>
    <w:rsid w:val="00707166"/>
    <w:rsid w:val="0070717E"/>
    <w:rsid w:val="0070718C"/>
    <w:rsid w:val="007071D7"/>
    <w:rsid w:val="007071F6"/>
    <w:rsid w:val="00707260"/>
    <w:rsid w:val="0070729F"/>
    <w:rsid w:val="007072A6"/>
    <w:rsid w:val="007072B3"/>
    <w:rsid w:val="007072E5"/>
    <w:rsid w:val="007072F3"/>
    <w:rsid w:val="00707323"/>
    <w:rsid w:val="00707333"/>
    <w:rsid w:val="00707453"/>
    <w:rsid w:val="007074CE"/>
    <w:rsid w:val="0070754D"/>
    <w:rsid w:val="00707551"/>
    <w:rsid w:val="0070758D"/>
    <w:rsid w:val="007075A7"/>
    <w:rsid w:val="007075DA"/>
    <w:rsid w:val="00707683"/>
    <w:rsid w:val="00707684"/>
    <w:rsid w:val="00707695"/>
    <w:rsid w:val="007076BF"/>
    <w:rsid w:val="0070776B"/>
    <w:rsid w:val="00707778"/>
    <w:rsid w:val="00707780"/>
    <w:rsid w:val="00707793"/>
    <w:rsid w:val="007077E0"/>
    <w:rsid w:val="00707803"/>
    <w:rsid w:val="00707842"/>
    <w:rsid w:val="00707893"/>
    <w:rsid w:val="007078BB"/>
    <w:rsid w:val="007078DD"/>
    <w:rsid w:val="007078EB"/>
    <w:rsid w:val="0070793D"/>
    <w:rsid w:val="00707946"/>
    <w:rsid w:val="00707948"/>
    <w:rsid w:val="007079AF"/>
    <w:rsid w:val="007079E6"/>
    <w:rsid w:val="00707A63"/>
    <w:rsid w:val="00707A6E"/>
    <w:rsid w:val="00707A8D"/>
    <w:rsid w:val="00707A9D"/>
    <w:rsid w:val="00707AED"/>
    <w:rsid w:val="00707B10"/>
    <w:rsid w:val="00707B19"/>
    <w:rsid w:val="00707B50"/>
    <w:rsid w:val="00707B84"/>
    <w:rsid w:val="00707B98"/>
    <w:rsid w:val="00707C13"/>
    <w:rsid w:val="00707C5A"/>
    <w:rsid w:val="00707D0A"/>
    <w:rsid w:val="00707D94"/>
    <w:rsid w:val="00707D96"/>
    <w:rsid w:val="00707DA4"/>
    <w:rsid w:val="00707E13"/>
    <w:rsid w:val="00707E6D"/>
    <w:rsid w:val="00707E77"/>
    <w:rsid w:val="00707E7C"/>
    <w:rsid w:val="00707EA8"/>
    <w:rsid w:val="00707EC0"/>
    <w:rsid w:val="00707EF4"/>
    <w:rsid w:val="00707F65"/>
    <w:rsid w:val="00707F7A"/>
    <w:rsid w:val="00707FB7"/>
    <w:rsid w:val="00707FE7"/>
    <w:rsid w:val="00707FF3"/>
    <w:rsid w:val="0071005F"/>
    <w:rsid w:val="00710070"/>
    <w:rsid w:val="00710099"/>
    <w:rsid w:val="007100A8"/>
    <w:rsid w:val="007100AD"/>
    <w:rsid w:val="007101AE"/>
    <w:rsid w:val="007101EA"/>
    <w:rsid w:val="007101F3"/>
    <w:rsid w:val="0071020E"/>
    <w:rsid w:val="0071022C"/>
    <w:rsid w:val="0071025C"/>
    <w:rsid w:val="007102B3"/>
    <w:rsid w:val="007102EC"/>
    <w:rsid w:val="0071032E"/>
    <w:rsid w:val="00710345"/>
    <w:rsid w:val="00710368"/>
    <w:rsid w:val="007103E7"/>
    <w:rsid w:val="00710405"/>
    <w:rsid w:val="00710410"/>
    <w:rsid w:val="00710411"/>
    <w:rsid w:val="0071043E"/>
    <w:rsid w:val="0071045D"/>
    <w:rsid w:val="007104DA"/>
    <w:rsid w:val="00710567"/>
    <w:rsid w:val="00710602"/>
    <w:rsid w:val="0071060D"/>
    <w:rsid w:val="00710636"/>
    <w:rsid w:val="0071065D"/>
    <w:rsid w:val="0071066E"/>
    <w:rsid w:val="007106B3"/>
    <w:rsid w:val="007106F0"/>
    <w:rsid w:val="007106FE"/>
    <w:rsid w:val="0071072C"/>
    <w:rsid w:val="00710731"/>
    <w:rsid w:val="0071074F"/>
    <w:rsid w:val="00710777"/>
    <w:rsid w:val="00710843"/>
    <w:rsid w:val="0071084F"/>
    <w:rsid w:val="007108B3"/>
    <w:rsid w:val="007108BD"/>
    <w:rsid w:val="007108C3"/>
    <w:rsid w:val="007108D8"/>
    <w:rsid w:val="00710923"/>
    <w:rsid w:val="00710933"/>
    <w:rsid w:val="0071094D"/>
    <w:rsid w:val="0071094E"/>
    <w:rsid w:val="0071099D"/>
    <w:rsid w:val="007109D0"/>
    <w:rsid w:val="007109F4"/>
    <w:rsid w:val="00710A7C"/>
    <w:rsid w:val="00710A8A"/>
    <w:rsid w:val="00710AA7"/>
    <w:rsid w:val="00710B19"/>
    <w:rsid w:val="00710B25"/>
    <w:rsid w:val="00710B2C"/>
    <w:rsid w:val="00710B38"/>
    <w:rsid w:val="00710B55"/>
    <w:rsid w:val="00710BAC"/>
    <w:rsid w:val="00710BB7"/>
    <w:rsid w:val="00710C34"/>
    <w:rsid w:val="00710CA5"/>
    <w:rsid w:val="00710CC2"/>
    <w:rsid w:val="00710CDA"/>
    <w:rsid w:val="00710CDC"/>
    <w:rsid w:val="00710D0E"/>
    <w:rsid w:val="00710D1A"/>
    <w:rsid w:val="00710D92"/>
    <w:rsid w:val="00710DD2"/>
    <w:rsid w:val="00710DEC"/>
    <w:rsid w:val="00710DFA"/>
    <w:rsid w:val="00710E03"/>
    <w:rsid w:val="00710E28"/>
    <w:rsid w:val="00710EB3"/>
    <w:rsid w:val="00710F06"/>
    <w:rsid w:val="00710F35"/>
    <w:rsid w:val="00710F41"/>
    <w:rsid w:val="00710F56"/>
    <w:rsid w:val="00710FB6"/>
    <w:rsid w:val="00710FBD"/>
    <w:rsid w:val="00711024"/>
    <w:rsid w:val="00711056"/>
    <w:rsid w:val="00711066"/>
    <w:rsid w:val="007110AB"/>
    <w:rsid w:val="0071110A"/>
    <w:rsid w:val="0071114C"/>
    <w:rsid w:val="0071118A"/>
    <w:rsid w:val="007111A5"/>
    <w:rsid w:val="007111AB"/>
    <w:rsid w:val="00711204"/>
    <w:rsid w:val="00711213"/>
    <w:rsid w:val="00711220"/>
    <w:rsid w:val="0071128E"/>
    <w:rsid w:val="007113EA"/>
    <w:rsid w:val="007113F3"/>
    <w:rsid w:val="007114FA"/>
    <w:rsid w:val="007114FD"/>
    <w:rsid w:val="0071156A"/>
    <w:rsid w:val="007115CF"/>
    <w:rsid w:val="007115DA"/>
    <w:rsid w:val="007115E8"/>
    <w:rsid w:val="00711662"/>
    <w:rsid w:val="0071168F"/>
    <w:rsid w:val="007116A7"/>
    <w:rsid w:val="00711703"/>
    <w:rsid w:val="0071171A"/>
    <w:rsid w:val="007117EC"/>
    <w:rsid w:val="007118DB"/>
    <w:rsid w:val="007118F4"/>
    <w:rsid w:val="0071191F"/>
    <w:rsid w:val="00711932"/>
    <w:rsid w:val="0071193D"/>
    <w:rsid w:val="00711957"/>
    <w:rsid w:val="00711960"/>
    <w:rsid w:val="00711971"/>
    <w:rsid w:val="007119A0"/>
    <w:rsid w:val="007119A8"/>
    <w:rsid w:val="007119BF"/>
    <w:rsid w:val="007119CA"/>
    <w:rsid w:val="00711A60"/>
    <w:rsid w:val="00711A67"/>
    <w:rsid w:val="00711AB2"/>
    <w:rsid w:val="00711B16"/>
    <w:rsid w:val="00711B5C"/>
    <w:rsid w:val="00711B6E"/>
    <w:rsid w:val="00711BB5"/>
    <w:rsid w:val="00711BDF"/>
    <w:rsid w:val="00711BE5"/>
    <w:rsid w:val="00711BE6"/>
    <w:rsid w:val="00711C79"/>
    <w:rsid w:val="00711C7E"/>
    <w:rsid w:val="00711DA1"/>
    <w:rsid w:val="00711DDE"/>
    <w:rsid w:val="00711DEF"/>
    <w:rsid w:val="00711E68"/>
    <w:rsid w:val="00711E71"/>
    <w:rsid w:val="00711E94"/>
    <w:rsid w:val="00711EE2"/>
    <w:rsid w:val="00711F0A"/>
    <w:rsid w:val="00711F14"/>
    <w:rsid w:val="00711F15"/>
    <w:rsid w:val="00711F2D"/>
    <w:rsid w:val="00711F69"/>
    <w:rsid w:val="00711F7E"/>
    <w:rsid w:val="00711F91"/>
    <w:rsid w:val="0071200B"/>
    <w:rsid w:val="00712036"/>
    <w:rsid w:val="007120A8"/>
    <w:rsid w:val="007120BD"/>
    <w:rsid w:val="007120C3"/>
    <w:rsid w:val="007120EB"/>
    <w:rsid w:val="007120F1"/>
    <w:rsid w:val="00712157"/>
    <w:rsid w:val="007121BA"/>
    <w:rsid w:val="007121E6"/>
    <w:rsid w:val="00712204"/>
    <w:rsid w:val="00712225"/>
    <w:rsid w:val="00712244"/>
    <w:rsid w:val="00712284"/>
    <w:rsid w:val="0071228F"/>
    <w:rsid w:val="00712339"/>
    <w:rsid w:val="00712377"/>
    <w:rsid w:val="0071239A"/>
    <w:rsid w:val="0071239F"/>
    <w:rsid w:val="007123C4"/>
    <w:rsid w:val="007123C8"/>
    <w:rsid w:val="007123D5"/>
    <w:rsid w:val="0071242D"/>
    <w:rsid w:val="0071243A"/>
    <w:rsid w:val="00712445"/>
    <w:rsid w:val="00712454"/>
    <w:rsid w:val="00712500"/>
    <w:rsid w:val="00712503"/>
    <w:rsid w:val="00712515"/>
    <w:rsid w:val="00712545"/>
    <w:rsid w:val="0071259F"/>
    <w:rsid w:val="007125CE"/>
    <w:rsid w:val="00712610"/>
    <w:rsid w:val="0071261A"/>
    <w:rsid w:val="0071263D"/>
    <w:rsid w:val="007126E2"/>
    <w:rsid w:val="0071271A"/>
    <w:rsid w:val="00712785"/>
    <w:rsid w:val="0071278D"/>
    <w:rsid w:val="007127AF"/>
    <w:rsid w:val="00712818"/>
    <w:rsid w:val="0071281B"/>
    <w:rsid w:val="00712831"/>
    <w:rsid w:val="0071284A"/>
    <w:rsid w:val="00712888"/>
    <w:rsid w:val="00712894"/>
    <w:rsid w:val="007128F7"/>
    <w:rsid w:val="007129DA"/>
    <w:rsid w:val="007129DB"/>
    <w:rsid w:val="00712A0C"/>
    <w:rsid w:val="00712A67"/>
    <w:rsid w:val="00712A7E"/>
    <w:rsid w:val="00712ACA"/>
    <w:rsid w:val="00712ADD"/>
    <w:rsid w:val="00712AE7"/>
    <w:rsid w:val="00712AF8"/>
    <w:rsid w:val="00712B40"/>
    <w:rsid w:val="00712B4C"/>
    <w:rsid w:val="00712B4D"/>
    <w:rsid w:val="00712B97"/>
    <w:rsid w:val="00712BCC"/>
    <w:rsid w:val="00712C40"/>
    <w:rsid w:val="00712C96"/>
    <w:rsid w:val="00712CBC"/>
    <w:rsid w:val="00712CC7"/>
    <w:rsid w:val="00712CFA"/>
    <w:rsid w:val="00712D02"/>
    <w:rsid w:val="00712D80"/>
    <w:rsid w:val="00712DB0"/>
    <w:rsid w:val="00712DE0"/>
    <w:rsid w:val="00712DFC"/>
    <w:rsid w:val="00712E94"/>
    <w:rsid w:val="00712F40"/>
    <w:rsid w:val="00712F50"/>
    <w:rsid w:val="00712F91"/>
    <w:rsid w:val="007130DA"/>
    <w:rsid w:val="007131B7"/>
    <w:rsid w:val="00713239"/>
    <w:rsid w:val="0071327F"/>
    <w:rsid w:val="007132C0"/>
    <w:rsid w:val="007132F6"/>
    <w:rsid w:val="0071335D"/>
    <w:rsid w:val="00713378"/>
    <w:rsid w:val="007133AC"/>
    <w:rsid w:val="007133B2"/>
    <w:rsid w:val="007133DE"/>
    <w:rsid w:val="0071346D"/>
    <w:rsid w:val="00713476"/>
    <w:rsid w:val="00713485"/>
    <w:rsid w:val="00713491"/>
    <w:rsid w:val="007134B0"/>
    <w:rsid w:val="007134EB"/>
    <w:rsid w:val="00713507"/>
    <w:rsid w:val="00713570"/>
    <w:rsid w:val="00713610"/>
    <w:rsid w:val="0071362A"/>
    <w:rsid w:val="0071364A"/>
    <w:rsid w:val="00713658"/>
    <w:rsid w:val="007136C3"/>
    <w:rsid w:val="007136FF"/>
    <w:rsid w:val="0071371F"/>
    <w:rsid w:val="00713739"/>
    <w:rsid w:val="00713753"/>
    <w:rsid w:val="0071376A"/>
    <w:rsid w:val="00713784"/>
    <w:rsid w:val="007137CF"/>
    <w:rsid w:val="0071382B"/>
    <w:rsid w:val="00713885"/>
    <w:rsid w:val="007138B8"/>
    <w:rsid w:val="007138C2"/>
    <w:rsid w:val="007138C9"/>
    <w:rsid w:val="007138F7"/>
    <w:rsid w:val="007138FA"/>
    <w:rsid w:val="0071392C"/>
    <w:rsid w:val="007139C0"/>
    <w:rsid w:val="007139F5"/>
    <w:rsid w:val="00713A71"/>
    <w:rsid w:val="00713A8E"/>
    <w:rsid w:val="00713AC8"/>
    <w:rsid w:val="00713B36"/>
    <w:rsid w:val="00713B45"/>
    <w:rsid w:val="00713BA5"/>
    <w:rsid w:val="00713BDC"/>
    <w:rsid w:val="00713C9F"/>
    <w:rsid w:val="00713CC2"/>
    <w:rsid w:val="00713CDE"/>
    <w:rsid w:val="00713D0A"/>
    <w:rsid w:val="00713D0C"/>
    <w:rsid w:val="00713D64"/>
    <w:rsid w:val="00713DB7"/>
    <w:rsid w:val="00713DBC"/>
    <w:rsid w:val="00713DFD"/>
    <w:rsid w:val="00713E0A"/>
    <w:rsid w:val="00713EF8"/>
    <w:rsid w:val="00713F5E"/>
    <w:rsid w:val="00713F61"/>
    <w:rsid w:val="00713F7C"/>
    <w:rsid w:val="00713F84"/>
    <w:rsid w:val="00713F9E"/>
    <w:rsid w:val="00713FA3"/>
    <w:rsid w:val="00714091"/>
    <w:rsid w:val="0071413B"/>
    <w:rsid w:val="00714158"/>
    <w:rsid w:val="0071419D"/>
    <w:rsid w:val="007141C3"/>
    <w:rsid w:val="007141D8"/>
    <w:rsid w:val="007141F4"/>
    <w:rsid w:val="00714208"/>
    <w:rsid w:val="0071422B"/>
    <w:rsid w:val="00714283"/>
    <w:rsid w:val="007142C0"/>
    <w:rsid w:val="00714322"/>
    <w:rsid w:val="0071435F"/>
    <w:rsid w:val="0071439F"/>
    <w:rsid w:val="007143A7"/>
    <w:rsid w:val="007143BE"/>
    <w:rsid w:val="007143D6"/>
    <w:rsid w:val="007143EE"/>
    <w:rsid w:val="00714432"/>
    <w:rsid w:val="007144FA"/>
    <w:rsid w:val="0071451D"/>
    <w:rsid w:val="00714539"/>
    <w:rsid w:val="007145A1"/>
    <w:rsid w:val="007145B0"/>
    <w:rsid w:val="007145E1"/>
    <w:rsid w:val="00714620"/>
    <w:rsid w:val="00714669"/>
    <w:rsid w:val="007146B5"/>
    <w:rsid w:val="007146EA"/>
    <w:rsid w:val="0071475B"/>
    <w:rsid w:val="00714777"/>
    <w:rsid w:val="00714782"/>
    <w:rsid w:val="0071478B"/>
    <w:rsid w:val="0071478E"/>
    <w:rsid w:val="0071479E"/>
    <w:rsid w:val="007147E3"/>
    <w:rsid w:val="0071481D"/>
    <w:rsid w:val="00714824"/>
    <w:rsid w:val="00714826"/>
    <w:rsid w:val="00714848"/>
    <w:rsid w:val="00714849"/>
    <w:rsid w:val="0071486A"/>
    <w:rsid w:val="0071486D"/>
    <w:rsid w:val="0071488C"/>
    <w:rsid w:val="007148D1"/>
    <w:rsid w:val="00714904"/>
    <w:rsid w:val="00714947"/>
    <w:rsid w:val="0071499B"/>
    <w:rsid w:val="007149C7"/>
    <w:rsid w:val="00714A0F"/>
    <w:rsid w:val="00714A38"/>
    <w:rsid w:val="00714A46"/>
    <w:rsid w:val="00714AA6"/>
    <w:rsid w:val="00714B06"/>
    <w:rsid w:val="00714B18"/>
    <w:rsid w:val="00714B2E"/>
    <w:rsid w:val="00714B8B"/>
    <w:rsid w:val="00714C3C"/>
    <w:rsid w:val="00714C42"/>
    <w:rsid w:val="00714CCB"/>
    <w:rsid w:val="00714CE1"/>
    <w:rsid w:val="00714D23"/>
    <w:rsid w:val="00714E7F"/>
    <w:rsid w:val="00714EC7"/>
    <w:rsid w:val="00714EEB"/>
    <w:rsid w:val="00714F66"/>
    <w:rsid w:val="00714F7A"/>
    <w:rsid w:val="00714FCE"/>
    <w:rsid w:val="0071501D"/>
    <w:rsid w:val="00715173"/>
    <w:rsid w:val="007151FE"/>
    <w:rsid w:val="0071520A"/>
    <w:rsid w:val="00715248"/>
    <w:rsid w:val="0071526B"/>
    <w:rsid w:val="0071527E"/>
    <w:rsid w:val="007153E8"/>
    <w:rsid w:val="007153F6"/>
    <w:rsid w:val="00715400"/>
    <w:rsid w:val="0071543C"/>
    <w:rsid w:val="0071544B"/>
    <w:rsid w:val="00715471"/>
    <w:rsid w:val="007154C9"/>
    <w:rsid w:val="007154D2"/>
    <w:rsid w:val="0071551D"/>
    <w:rsid w:val="0071554C"/>
    <w:rsid w:val="0071555D"/>
    <w:rsid w:val="00715579"/>
    <w:rsid w:val="007155A8"/>
    <w:rsid w:val="00715637"/>
    <w:rsid w:val="0071563F"/>
    <w:rsid w:val="00715673"/>
    <w:rsid w:val="00715676"/>
    <w:rsid w:val="0071567C"/>
    <w:rsid w:val="007156F9"/>
    <w:rsid w:val="0071574B"/>
    <w:rsid w:val="0071575E"/>
    <w:rsid w:val="0071577F"/>
    <w:rsid w:val="007157C8"/>
    <w:rsid w:val="007157F6"/>
    <w:rsid w:val="00715808"/>
    <w:rsid w:val="00715817"/>
    <w:rsid w:val="0071581A"/>
    <w:rsid w:val="007158DD"/>
    <w:rsid w:val="0071594C"/>
    <w:rsid w:val="0071596C"/>
    <w:rsid w:val="0071597D"/>
    <w:rsid w:val="007159D5"/>
    <w:rsid w:val="00715A7F"/>
    <w:rsid w:val="00715AB3"/>
    <w:rsid w:val="00715AC9"/>
    <w:rsid w:val="00715AD5"/>
    <w:rsid w:val="00715AEC"/>
    <w:rsid w:val="00715B14"/>
    <w:rsid w:val="00715B31"/>
    <w:rsid w:val="00715BFB"/>
    <w:rsid w:val="00715CAC"/>
    <w:rsid w:val="00715CB5"/>
    <w:rsid w:val="00715CC7"/>
    <w:rsid w:val="00715D01"/>
    <w:rsid w:val="00715D4C"/>
    <w:rsid w:val="00715DCD"/>
    <w:rsid w:val="00715E66"/>
    <w:rsid w:val="00715EF4"/>
    <w:rsid w:val="00715F6A"/>
    <w:rsid w:val="00715F7F"/>
    <w:rsid w:val="00715F93"/>
    <w:rsid w:val="0071603C"/>
    <w:rsid w:val="00716069"/>
    <w:rsid w:val="00716082"/>
    <w:rsid w:val="007160BD"/>
    <w:rsid w:val="007160DB"/>
    <w:rsid w:val="0071610A"/>
    <w:rsid w:val="00716134"/>
    <w:rsid w:val="00716169"/>
    <w:rsid w:val="0071618A"/>
    <w:rsid w:val="007161B9"/>
    <w:rsid w:val="007161C2"/>
    <w:rsid w:val="007161F5"/>
    <w:rsid w:val="00716273"/>
    <w:rsid w:val="00716274"/>
    <w:rsid w:val="007162A6"/>
    <w:rsid w:val="007162CF"/>
    <w:rsid w:val="00716329"/>
    <w:rsid w:val="00716362"/>
    <w:rsid w:val="00716370"/>
    <w:rsid w:val="00716380"/>
    <w:rsid w:val="0071638F"/>
    <w:rsid w:val="007163E8"/>
    <w:rsid w:val="007163FE"/>
    <w:rsid w:val="00716446"/>
    <w:rsid w:val="0071646A"/>
    <w:rsid w:val="007164D1"/>
    <w:rsid w:val="007164FB"/>
    <w:rsid w:val="00716524"/>
    <w:rsid w:val="00716539"/>
    <w:rsid w:val="0071657B"/>
    <w:rsid w:val="007165A7"/>
    <w:rsid w:val="007165DF"/>
    <w:rsid w:val="007165F0"/>
    <w:rsid w:val="00716614"/>
    <w:rsid w:val="0071669F"/>
    <w:rsid w:val="007166EB"/>
    <w:rsid w:val="0071670D"/>
    <w:rsid w:val="0071673E"/>
    <w:rsid w:val="0071678D"/>
    <w:rsid w:val="00716792"/>
    <w:rsid w:val="007167AD"/>
    <w:rsid w:val="007167B0"/>
    <w:rsid w:val="00716928"/>
    <w:rsid w:val="00716933"/>
    <w:rsid w:val="007169D0"/>
    <w:rsid w:val="007169F5"/>
    <w:rsid w:val="00716AA4"/>
    <w:rsid w:val="00716AF8"/>
    <w:rsid w:val="00716B03"/>
    <w:rsid w:val="00716B5E"/>
    <w:rsid w:val="00716B66"/>
    <w:rsid w:val="00716BA8"/>
    <w:rsid w:val="00716C0F"/>
    <w:rsid w:val="00716C9D"/>
    <w:rsid w:val="00716CA1"/>
    <w:rsid w:val="00716CDA"/>
    <w:rsid w:val="00716CF2"/>
    <w:rsid w:val="00716D61"/>
    <w:rsid w:val="00716DDE"/>
    <w:rsid w:val="00716E1C"/>
    <w:rsid w:val="00716E75"/>
    <w:rsid w:val="00716E85"/>
    <w:rsid w:val="00716ED3"/>
    <w:rsid w:val="00716ED4"/>
    <w:rsid w:val="00716EEB"/>
    <w:rsid w:val="00716F63"/>
    <w:rsid w:val="00716F67"/>
    <w:rsid w:val="00716F98"/>
    <w:rsid w:val="00716FA3"/>
    <w:rsid w:val="00716FE3"/>
    <w:rsid w:val="00716FF2"/>
    <w:rsid w:val="007170B3"/>
    <w:rsid w:val="007170C3"/>
    <w:rsid w:val="00717111"/>
    <w:rsid w:val="00717139"/>
    <w:rsid w:val="00717144"/>
    <w:rsid w:val="0071718B"/>
    <w:rsid w:val="007171AB"/>
    <w:rsid w:val="007171DE"/>
    <w:rsid w:val="007171E0"/>
    <w:rsid w:val="00717206"/>
    <w:rsid w:val="00717225"/>
    <w:rsid w:val="00717236"/>
    <w:rsid w:val="00717249"/>
    <w:rsid w:val="00717295"/>
    <w:rsid w:val="00717303"/>
    <w:rsid w:val="0071735E"/>
    <w:rsid w:val="00717370"/>
    <w:rsid w:val="00717498"/>
    <w:rsid w:val="007174A9"/>
    <w:rsid w:val="00717548"/>
    <w:rsid w:val="0071757B"/>
    <w:rsid w:val="00717584"/>
    <w:rsid w:val="007175E9"/>
    <w:rsid w:val="00717601"/>
    <w:rsid w:val="0071762D"/>
    <w:rsid w:val="0071768F"/>
    <w:rsid w:val="007176B7"/>
    <w:rsid w:val="007176DF"/>
    <w:rsid w:val="0071770D"/>
    <w:rsid w:val="00717734"/>
    <w:rsid w:val="00717736"/>
    <w:rsid w:val="0071775A"/>
    <w:rsid w:val="00717785"/>
    <w:rsid w:val="0071778D"/>
    <w:rsid w:val="007177E1"/>
    <w:rsid w:val="007177E2"/>
    <w:rsid w:val="00717857"/>
    <w:rsid w:val="0071785C"/>
    <w:rsid w:val="0071790B"/>
    <w:rsid w:val="00717922"/>
    <w:rsid w:val="00717927"/>
    <w:rsid w:val="00717939"/>
    <w:rsid w:val="00717959"/>
    <w:rsid w:val="00717962"/>
    <w:rsid w:val="00717981"/>
    <w:rsid w:val="0071799F"/>
    <w:rsid w:val="007179D5"/>
    <w:rsid w:val="007179E7"/>
    <w:rsid w:val="007179EB"/>
    <w:rsid w:val="00717A3C"/>
    <w:rsid w:val="00717A3F"/>
    <w:rsid w:val="00717A45"/>
    <w:rsid w:val="00717AE1"/>
    <w:rsid w:val="00717B09"/>
    <w:rsid w:val="00717B1D"/>
    <w:rsid w:val="00717B5C"/>
    <w:rsid w:val="00717BB0"/>
    <w:rsid w:val="00717BC8"/>
    <w:rsid w:val="00717BDF"/>
    <w:rsid w:val="00717BE4"/>
    <w:rsid w:val="00717C18"/>
    <w:rsid w:val="00717C3C"/>
    <w:rsid w:val="00717C6D"/>
    <w:rsid w:val="00717C92"/>
    <w:rsid w:val="00717CD9"/>
    <w:rsid w:val="00717D0C"/>
    <w:rsid w:val="00717D47"/>
    <w:rsid w:val="00717D4D"/>
    <w:rsid w:val="00717D6B"/>
    <w:rsid w:val="00717D75"/>
    <w:rsid w:val="00717DEA"/>
    <w:rsid w:val="00717DF1"/>
    <w:rsid w:val="00717E50"/>
    <w:rsid w:val="00717E61"/>
    <w:rsid w:val="00717E89"/>
    <w:rsid w:val="00717EF1"/>
    <w:rsid w:val="00717F07"/>
    <w:rsid w:val="00717F43"/>
    <w:rsid w:val="00717F52"/>
    <w:rsid w:val="00717FCF"/>
    <w:rsid w:val="00717FE5"/>
    <w:rsid w:val="0071C5D1"/>
    <w:rsid w:val="0072005A"/>
    <w:rsid w:val="00720085"/>
    <w:rsid w:val="0072008D"/>
    <w:rsid w:val="007200F6"/>
    <w:rsid w:val="007200F9"/>
    <w:rsid w:val="00720123"/>
    <w:rsid w:val="0072015F"/>
    <w:rsid w:val="00720175"/>
    <w:rsid w:val="007201D2"/>
    <w:rsid w:val="0072024B"/>
    <w:rsid w:val="00720270"/>
    <w:rsid w:val="0072031F"/>
    <w:rsid w:val="00720349"/>
    <w:rsid w:val="0072036F"/>
    <w:rsid w:val="00720372"/>
    <w:rsid w:val="007203DD"/>
    <w:rsid w:val="00720422"/>
    <w:rsid w:val="0072048A"/>
    <w:rsid w:val="007204C9"/>
    <w:rsid w:val="007204D0"/>
    <w:rsid w:val="007204D2"/>
    <w:rsid w:val="0072050B"/>
    <w:rsid w:val="00720519"/>
    <w:rsid w:val="0072054F"/>
    <w:rsid w:val="007205AB"/>
    <w:rsid w:val="007205EB"/>
    <w:rsid w:val="0072063D"/>
    <w:rsid w:val="0072067A"/>
    <w:rsid w:val="007206B2"/>
    <w:rsid w:val="00720711"/>
    <w:rsid w:val="0072073B"/>
    <w:rsid w:val="00720753"/>
    <w:rsid w:val="00720775"/>
    <w:rsid w:val="00720850"/>
    <w:rsid w:val="007208CB"/>
    <w:rsid w:val="00720919"/>
    <w:rsid w:val="00720944"/>
    <w:rsid w:val="00720947"/>
    <w:rsid w:val="00720966"/>
    <w:rsid w:val="00720973"/>
    <w:rsid w:val="00720A3B"/>
    <w:rsid w:val="00720A52"/>
    <w:rsid w:val="00720A7F"/>
    <w:rsid w:val="00720A9F"/>
    <w:rsid w:val="00720ACB"/>
    <w:rsid w:val="00720BAC"/>
    <w:rsid w:val="00720C9D"/>
    <w:rsid w:val="00720C9E"/>
    <w:rsid w:val="00720D09"/>
    <w:rsid w:val="00720D48"/>
    <w:rsid w:val="00720D53"/>
    <w:rsid w:val="00720D62"/>
    <w:rsid w:val="00720D7C"/>
    <w:rsid w:val="00720D98"/>
    <w:rsid w:val="00720DF7"/>
    <w:rsid w:val="00720E5E"/>
    <w:rsid w:val="00720E96"/>
    <w:rsid w:val="00720EB1"/>
    <w:rsid w:val="00720EBE"/>
    <w:rsid w:val="00720EF0"/>
    <w:rsid w:val="00720F0B"/>
    <w:rsid w:val="00720F32"/>
    <w:rsid w:val="00720FB0"/>
    <w:rsid w:val="00720FC3"/>
    <w:rsid w:val="0072106D"/>
    <w:rsid w:val="00721076"/>
    <w:rsid w:val="00721089"/>
    <w:rsid w:val="007210AC"/>
    <w:rsid w:val="007210EA"/>
    <w:rsid w:val="0072117A"/>
    <w:rsid w:val="007211DA"/>
    <w:rsid w:val="007211FA"/>
    <w:rsid w:val="00721221"/>
    <w:rsid w:val="00721239"/>
    <w:rsid w:val="007212A6"/>
    <w:rsid w:val="0072135F"/>
    <w:rsid w:val="007213C8"/>
    <w:rsid w:val="007213EC"/>
    <w:rsid w:val="00721472"/>
    <w:rsid w:val="007214D9"/>
    <w:rsid w:val="007214E1"/>
    <w:rsid w:val="007214EF"/>
    <w:rsid w:val="0072155B"/>
    <w:rsid w:val="0072158B"/>
    <w:rsid w:val="007215BF"/>
    <w:rsid w:val="007215E7"/>
    <w:rsid w:val="007215EC"/>
    <w:rsid w:val="007215FB"/>
    <w:rsid w:val="00721607"/>
    <w:rsid w:val="007216AB"/>
    <w:rsid w:val="007216EB"/>
    <w:rsid w:val="00721705"/>
    <w:rsid w:val="007217D7"/>
    <w:rsid w:val="0072186A"/>
    <w:rsid w:val="00721990"/>
    <w:rsid w:val="007219BB"/>
    <w:rsid w:val="007219C5"/>
    <w:rsid w:val="007219E6"/>
    <w:rsid w:val="00721A3E"/>
    <w:rsid w:val="00721A45"/>
    <w:rsid w:val="00721AE9"/>
    <w:rsid w:val="00721AFE"/>
    <w:rsid w:val="00721B23"/>
    <w:rsid w:val="00721B38"/>
    <w:rsid w:val="00721B46"/>
    <w:rsid w:val="00721B53"/>
    <w:rsid w:val="00721BEA"/>
    <w:rsid w:val="00721C09"/>
    <w:rsid w:val="00721C64"/>
    <w:rsid w:val="00721C95"/>
    <w:rsid w:val="00721CB2"/>
    <w:rsid w:val="00721D0F"/>
    <w:rsid w:val="00721D88"/>
    <w:rsid w:val="00721D9A"/>
    <w:rsid w:val="00721E14"/>
    <w:rsid w:val="00721E1A"/>
    <w:rsid w:val="00721E1F"/>
    <w:rsid w:val="00721E8C"/>
    <w:rsid w:val="00721E96"/>
    <w:rsid w:val="00721F28"/>
    <w:rsid w:val="00721F8F"/>
    <w:rsid w:val="00721FAB"/>
    <w:rsid w:val="00721FCC"/>
    <w:rsid w:val="00722014"/>
    <w:rsid w:val="00722049"/>
    <w:rsid w:val="00722068"/>
    <w:rsid w:val="0072209A"/>
    <w:rsid w:val="007220CF"/>
    <w:rsid w:val="007220F8"/>
    <w:rsid w:val="00722119"/>
    <w:rsid w:val="0072211C"/>
    <w:rsid w:val="00722127"/>
    <w:rsid w:val="0072212A"/>
    <w:rsid w:val="0072213B"/>
    <w:rsid w:val="0072219F"/>
    <w:rsid w:val="00722293"/>
    <w:rsid w:val="007222B2"/>
    <w:rsid w:val="007222B7"/>
    <w:rsid w:val="007222F6"/>
    <w:rsid w:val="00722366"/>
    <w:rsid w:val="00722371"/>
    <w:rsid w:val="00722405"/>
    <w:rsid w:val="0072242B"/>
    <w:rsid w:val="0072249B"/>
    <w:rsid w:val="007224BE"/>
    <w:rsid w:val="00722512"/>
    <w:rsid w:val="0072253D"/>
    <w:rsid w:val="0072256E"/>
    <w:rsid w:val="007225A1"/>
    <w:rsid w:val="007225FD"/>
    <w:rsid w:val="0072268A"/>
    <w:rsid w:val="0072268E"/>
    <w:rsid w:val="007226B0"/>
    <w:rsid w:val="007226F9"/>
    <w:rsid w:val="00722717"/>
    <w:rsid w:val="00722737"/>
    <w:rsid w:val="00722760"/>
    <w:rsid w:val="00722786"/>
    <w:rsid w:val="00722794"/>
    <w:rsid w:val="007227DA"/>
    <w:rsid w:val="007227E0"/>
    <w:rsid w:val="007227E1"/>
    <w:rsid w:val="007227ED"/>
    <w:rsid w:val="0072281A"/>
    <w:rsid w:val="00722820"/>
    <w:rsid w:val="0072283B"/>
    <w:rsid w:val="0072283C"/>
    <w:rsid w:val="0072283E"/>
    <w:rsid w:val="0072286D"/>
    <w:rsid w:val="00722897"/>
    <w:rsid w:val="007228D8"/>
    <w:rsid w:val="007228DF"/>
    <w:rsid w:val="007228EE"/>
    <w:rsid w:val="0072295C"/>
    <w:rsid w:val="00722994"/>
    <w:rsid w:val="0072299D"/>
    <w:rsid w:val="007229ED"/>
    <w:rsid w:val="00722A2C"/>
    <w:rsid w:val="00722A60"/>
    <w:rsid w:val="00722A94"/>
    <w:rsid w:val="00722AA8"/>
    <w:rsid w:val="00722ACD"/>
    <w:rsid w:val="00722B19"/>
    <w:rsid w:val="00722B1D"/>
    <w:rsid w:val="00722B31"/>
    <w:rsid w:val="00722BAC"/>
    <w:rsid w:val="00722BBF"/>
    <w:rsid w:val="00722BF6"/>
    <w:rsid w:val="00722C07"/>
    <w:rsid w:val="00722C68"/>
    <w:rsid w:val="00722C74"/>
    <w:rsid w:val="00722C78"/>
    <w:rsid w:val="00722C8D"/>
    <w:rsid w:val="00722CB2"/>
    <w:rsid w:val="00722D2D"/>
    <w:rsid w:val="00722D53"/>
    <w:rsid w:val="00722D54"/>
    <w:rsid w:val="00722D76"/>
    <w:rsid w:val="00722D8C"/>
    <w:rsid w:val="00722D92"/>
    <w:rsid w:val="00722E21"/>
    <w:rsid w:val="00722E80"/>
    <w:rsid w:val="00722E99"/>
    <w:rsid w:val="00722E9A"/>
    <w:rsid w:val="00722F7E"/>
    <w:rsid w:val="00722FD1"/>
    <w:rsid w:val="0072303A"/>
    <w:rsid w:val="0072306E"/>
    <w:rsid w:val="007230A2"/>
    <w:rsid w:val="007230DD"/>
    <w:rsid w:val="0072310C"/>
    <w:rsid w:val="0072311E"/>
    <w:rsid w:val="0072315B"/>
    <w:rsid w:val="0072315C"/>
    <w:rsid w:val="0072319B"/>
    <w:rsid w:val="007231C0"/>
    <w:rsid w:val="007231C3"/>
    <w:rsid w:val="007231D3"/>
    <w:rsid w:val="007231DE"/>
    <w:rsid w:val="0072320B"/>
    <w:rsid w:val="00723217"/>
    <w:rsid w:val="00723218"/>
    <w:rsid w:val="00723238"/>
    <w:rsid w:val="00723280"/>
    <w:rsid w:val="007232AB"/>
    <w:rsid w:val="007232D2"/>
    <w:rsid w:val="0072330C"/>
    <w:rsid w:val="00723316"/>
    <w:rsid w:val="00723318"/>
    <w:rsid w:val="0072333B"/>
    <w:rsid w:val="00723383"/>
    <w:rsid w:val="00723386"/>
    <w:rsid w:val="0072344B"/>
    <w:rsid w:val="0072346F"/>
    <w:rsid w:val="00723495"/>
    <w:rsid w:val="007234CD"/>
    <w:rsid w:val="007234DE"/>
    <w:rsid w:val="007234F7"/>
    <w:rsid w:val="00723506"/>
    <w:rsid w:val="00723509"/>
    <w:rsid w:val="00723521"/>
    <w:rsid w:val="0072357D"/>
    <w:rsid w:val="00723591"/>
    <w:rsid w:val="007235BE"/>
    <w:rsid w:val="007235F1"/>
    <w:rsid w:val="007235F2"/>
    <w:rsid w:val="007235F4"/>
    <w:rsid w:val="0072360C"/>
    <w:rsid w:val="007236F2"/>
    <w:rsid w:val="00723863"/>
    <w:rsid w:val="00723870"/>
    <w:rsid w:val="00723878"/>
    <w:rsid w:val="00723881"/>
    <w:rsid w:val="0072390A"/>
    <w:rsid w:val="0072394B"/>
    <w:rsid w:val="00723952"/>
    <w:rsid w:val="0072398C"/>
    <w:rsid w:val="007239AD"/>
    <w:rsid w:val="007239C9"/>
    <w:rsid w:val="00723A07"/>
    <w:rsid w:val="00723A65"/>
    <w:rsid w:val="00723AAF"/>
    <w:rsid w:val="00723ADD"/>
    <w:rsid w:val="00723B44"/>
    <w:rsid w:val="00723B61"/>
    <w:rsid w:val="00723C20"/>
    <w:rsid w:val="00723C93"/>
    <w:rsid w:val="00723C9C"/>
    <w:rsid w:val="00723CC6"/>
    <w:rsid w:val="00723CE4"/>
    <w:rsid w:val="00723D03"/>
    <w:rsid w:val="00723D06"/>
    <w:rsid w:val="00723D78"/>
    <w:rsid w:val="00723E3A"/>
    <w:rsid w:val="00723E3E"/>
    <w:rsid w:val="00723E7E"/>
    <w:rsid w:val="00723F50"/>
    <w:rsid w:val="00723F76"/>
    <w:rsid w:val="00723F90"/>
    <w:rsid w:val="00723FDE"/>
    <w:rsid w:val="00723FE0"/>
    <w:rsid w:val="00723FF0"/>
    <w:rsid w:val="00723FFE"/>
    <w:rsid w:val="0072405A"/>
    <w:rsid w:val="00724072"/>
    <w:rsid w:val="00724092"/>
    <w:rsid w:val="007240DF"/>
    <w:rsid w:val="007240E5"/>
    <w:rsid w:val="00724117"/>
    <w:rsid w:val="0072412F"/>
    <w:rsid w:val="00724184"/>
    <w:rsid w:val="007241A9"/>
    <w:rsid w:val="007241BE"/>
    <w:rsid w:val="007242C2"/>
    <w:rsid w:val="00724356"/>
    <w:rsid w:val="00724360"/>
    <w:rsid w:val="00724366"/>
    <w:rsid w:val="007243E0"/>
    <w:rsid w:val="007243E3"/>
    <w:rsid w:val="00724494"/>
    <w:rsid w:val="00724525"/>
    <w:rsid w:val="0072457F"/>
    <w:rsid w:val="0072466A"/>
    <w:rsid w:val="00724685"/>
    <w:rsid w:val="007246B2"/>
    <w:rsid w:val="0072470B"/>
    <w:rsid w:val="0072472A"/>
    <w:rsid w:val="0072479A"/>
    <w:rsid w:val="007247C0"/>
    <w:rsid w:val="0072480F"/>
    <w:rsid w:val="00724813"/>
    <w:rsid w:val="00724834"/>
    <w:rsid w:val="0072484B"/>
    <w:rsid w:val="00724866"/>
    <w:rsid w:val="00724889"/>
    <w:rsid w:val="007248C1"/>
    <w:rsid w:val="00724944"/>
    <w:rsid w:val="0072498C"/>
    <w:rsid w:val="007249F1"/>
    <w:rsid w:val="00724A03"/>
    <w:rsid w:val="00724A34"/>
    <w:rsid w:val="00724A68"/>
    <w:rsid w:val="00724A9E"/>
    <w:rsid w:val="00724AAD"/>
    <w:rsid w:val="00724ADC"/>
    <w:rsid w:val="00724AFF"/>
    <w:rsid w:val="00724B68"/>
    <w:rsid w:val="00724B71"/>
    <w:rsid w:val="00724BC0"/>
    <w:rsid w:val="00724C3F"/>
    <w:rsid w:val="00724C4A"/>
    <w:rsid w:val="00724CA9"/>
    <w:rsid w:val="00724CC6"/>
    <w:rsid w:val="00724CFF"/>
    <w:rsid w:val="00724D5F"/>
    <w:rsid w:val="00724D64"/>
    <w:rsid w:val="00724DFF"/>
    <w:rsid w:val="00724E05"/>
    <w:rsid w:val="00724E90"/>
    <w:rsid w:val="00724E9C"/>
    <w:rsid w:val="00724EA6"/>
    <w:rsid w:val="00724FA0"/>
    <w:rsid w:val="00724FB6"/>
    <w:rsid w:val="0072505A"/>
    <w:rsid w:val="007250A5"/>
    <w:rsid w:val="00725126"/>
    <w:rsid w:val="0072519D"/>
    <w:rsid w:val="007251D9"/>
    <w:rsid w:val="007251EB"/>
    <w:rsid w:val="00725249"/>
    <w:rsid w:val="007252F0"/>
    <w:rsid w:val="0072532C"/>
    <w:rsid w:val="0072535B"/>
    <w:rsid w:val="00725366"/>
    <w:rsid w:val="00725381"/>
    <w:rsid w:val="007253FE"/>
    <w:rsid w:val="00725401"/>
    <w:rsid w:val="00725437"/>
    <w:rsid w:val="0072553C"/>
    <w:rsid w:val="00725546"/>
    <w:rsid w:val="00725564"/>
    <w:rsid w:val="0072558D"/>
    <w:rsid w:val="007255A6"/>
    <w:rsid w:val="007255A8"/>
    <w:rsid w:val="007255CC"/>
    <w:rsid w:val="00725636"/>
    <w:rsid w:val="0072565B"/>
    <w:rsid w:val="00725668"/>
    <w:rsid w:val="00725675"/>
    <w:rsid w:val="007256D6"/>
    <w:rsid w:val="007256E9"/>
    <w:rsid w:val="007256F8"/>
    <w:rsid w:val="0072572A"/>
    <w:rsid w:val="0072573B"/>
    <w:rsid w:val="0072578A"/>
    <w:rsid w:val="007257AA"/>
    <w:rsid w:val="007257D4"/>
    <w:rsid w:val="00725819"/>
    <w:rsid w:val="00725831"/>
    <w:rsid w:val="0072587B"/>
    <w:rsid w:val="007258A1"/>
    <w:rsid w:val="007258B9"/>
    <w:rsid w:val="00725937"/>
    <w:rsid w:val="00725957"/>
    <w:rsid w:val="0072597C"/>
    <w:rsid w:val="007259C8"/>
    <w:rsid w:val="007259DB"/>
    <w:rsid w:val="007259FF"/>
    <w:rsid w:val="00725A2D"/>
    <w:rsid w:val="00725A3D"/>
    <w:rsid w:val="00725A53"/>
    <w:rsid w:val="00725A79"/>
    <w:rsid w:val="00725A97"/>
    <w:rsid w:val="00725AD8"/>
    <w:rsid w:val="00725B01"/>
    <w:rsid w:val="00725B2A"/>
    <w:rsid w:val="00725B31"/>
    <w:rsid w:val="00725B4E"/>
    <w:rsid w:val="00725B56"/>
    <w:rsid w:val="00725C0F"/>
    <w:rsid w:val="00725C49"/>
    <w:rsid w:val="00725C74"/>
    <w:rsid w:val="00725D0E"/>
    <w:rsid w:val="00725D2E"/>
    <w:rsid w:val="00725D31"/>
    <w:rsid w:val="00725DDD"/>
    <w:rsid w:val="00725DE9"/>
    <w:rsid w:val="00725DED"/>
    <w:rsid w:val="00725E28"/>
    <w:rsid w:val="00725EAA"/>
    <w:rsid w:val="00725F0E"/>
    <w:rsid w:val="00725F1B"/>
    <w:rsid w:val="00725F64"/>
    <w:rsid w:val="00725FCA"/>
    <w:rsid w:val="00726002"/>
    <w:rsid w:val="00726005"/>
    <w:rsid w:val="00726010"/>
    <w:rsid w:val="00726014"/>
    <w:rsid w:val="00726056"/>
    <w:rsid w:val="00726093"/>
    <w:rsid w:val="007260D6"/>
    <w:rsid w:val="007260DD"/>
    <w:rsid w:val="00726123"/>
    <w:rsid w:val="00726158"/>
    <w:rsid w:val="00726177"/>
    <w:rsid w:val="007261F2"/>
    <w:rsid w:val="0072620A"/>
    <w:rsid w:val="00726237"/>
    <w:rsid w:val="00726247"/>
    <w:rsid w:val="00726251"/>
    <w:rsid w:val="0072627A"/>
    <w:rsid w:val="00726310"/>
    <w:rsid w:val="0072637E"/>
    <w:rsid w:val="007263A9"/>
    <w:rsid w:val="007263C5"/>
    <w:rsid w:val="007263F4"/>
    <w:rsid w:val="00726411"/>
    <w:rsid w:val="00726445"/>
    <w:rsid w:val="0072646A"/>
    <w:rsid w:val="0072651D"/>
    <w:rsid w:val="0072651F"/>
    <w:rsid w:val="00726544"/>
    <w:rsid w:val="00726578"/>
    <w:rsid w:val="007265A3"/>
    <w:rsid w:val="007265AF"/>
    <w:rsid w:val="007265B1"/>
    <w:rsid w:val="0072660F"/>
    <w:rsid w:val="0072665A"/>
    <w:rsid w:val="007266E2"/>
    <w:rsid w:val="00726756"/>
    <w:rsid w:val="00726803"/>
    <w:rsid w:val="0072682D"/>
    <w:rsid w:val="00726867"/>
    <w:rsid w:val="00726890"/>
    <w:rsid w:val="007268B9"/>
    <w:rsid w:val="007268EF"/>
    <w:rsid w:val="0072695D"/>
    <w:rsid w:val="007269A8"/>
    <w:rsid w:val="007269CE"/>
    <w:rsid w:val="007269DD"/>
    <w:rsid w:val="00726A69"/>
    <w:rsid w:val="00726A82"/>
    <w:rsid w:val="00726A9A"/>
    <w:rsid w:val="00726AB3"/>
    <w:rsid w:val="00726AEF"/>
    <w:rsid w:val="00726AF8"/>
    <w:rsid w:val="00726B0E"/>
    <w:rsid w:val="00726B2A"/>
    <w:rsid w:val="00726B8B"/>
    <w:rsid w:val="00726C09"/>
    <w:rsid w:val="00726C25"/>
    <w:rsid w:val="00726CB0"/>
    <w:rsid w:val="00726D8D"/>
    <w:rsid w:val="00726D92"/>
    <w:rsid w:val="00726DA9"/>
    <w:rsid w:val="00726E33"/>
    <w:rsid w:val="00726E3C"/>
    <w:rsid w:val="00726E68"/>
    <w:rsid w:val="00726ED0"/>
    <w:rsid w:val="00726EEC"/>
    <w:rsid w:val="00726F4C"/>
    <w:rsid w:val="00726F6E"/>
    <w:rsid w:val="00726F7D"/>
    <w:rsid w:val="00726FB2"/>
    <w:rsid w:val="00727021"/>
    <w:rsid w:val="0072702E"/>
    <w:rsid w:val="00727070"/>
    <w:rsid w:val="0072709D"/>
    <w:rsid w:val="0072709E"/>
    <w:rsid w:val="007270A5"/>
    <w:rsid w:val="007270B5"/>
    <w:rsid w:val="007270B8"/>
    <w:rsid w:val="00727156"/>
    <w:rsid w:val="00727170"/>
    <w:rsid w:val="00727171"/>
    <w:rsid w:val="007271A0"/>
    <w:rsid w:val="007271CF"/>
    <w:rsid w:val="00727203"/>
    <w:rsid w:val="0072721F"/>
    <w:rsid w:val="0072724B"/>
    <w:rsid w:val="0072727C"/>
    <w:rsid w:val="007272E4"/>
    <w:rsid w:val="00727341"/>
    <w:rsid w:val="00727349"/>
    <w:rsid w:val="00727369"/>
    <w:rsid w:val="0072740E"/>
    <w:rsid w:val="00727453"/>
    <w:rsid w:val="00727470"/>
    <w:rsid w:val="0072751E"/>
    <w:rsid w:val="00727538"/>
    <w:rsid w:val="00727562"/>
    <w:rsid w:val="0072756B"/>
    <w:rsid w:val="0072756D"/>
    <w:rsid w:val="0072759B"/>
    <w:rsid w:val="007275AF"/>
    <w:rsid w:val="00727622"/>
    <w:rsid w:val="0072764B"/>
    <w:rsid w:val="0072765F"/>
    <w:rsid w:val="00727672"/>
    <w:rsid w:val="0072768B"/>
    <w:rsid w:val="0072770D"/>
    <w:rsid w:val="0072774F"/>
    <w:rsid w:val="00727788"/>
    <w:rsid w:val="007277A0"/>
    <w:rsid w:val="007277CE"/>
    <w:rsid w:val="007277DB"/>
    <w:rsid w:val="00727875"/>
    <w:rsid w:val="00727888"/>
    <w:rsid w:val="007278DF"/>
    <w:rsid w:val="007278EF"/>
    <w:rsid w:val="007278FD"/>
    <w:rsid w:val="00727936"/>
    <w:rsid w:val="0072793F"/>
    <w:rsid w:val="00727953"/>
    <w:rsid w:val="00727954"/>
    <w:rsid w:val="00727958"/>
    <w:rsid w:val="007279A2"/>
    <w:rsid w:val="007279F3"/>
    <w:rsid w:val="00727A8D"/>
    <w:rsid w:val="00727AA3"/>
    <w:rsid w:val="00727ABD"/>
    <w:rsid w:val="00727B44"/>
    <w:rsid w:val="00727B47"/>
    <w:rsid w:val="00727B4F"/>
    <w:rsid w:val="00727BEF"/>
    <w:rsid w:val="00727C69"/>
    <w:rsid w:val="00727C6F"/>
    <w:rsid w:val="00727C9A"/>
    <w:rsid w:val="00727CE1"/>
    <w:rsid w:val="00727D1C"/>
    <w:rsid w:val="00727D71"/>
    <w:rsid w:val="00727D7E"/>
    <w:rsid w:val="00727DD3"/>
    <w:rsid w:val="00727DF1"/>
    <w:rsid w:val="00727DFC"/>
    <w:rsid w:val="00727E1B"/>
    <w:rsid w:val="00727E32"/>
    <w:rsid w:val="00727E5A"/>
    <w:rsid w:val="00727E5C"/>
    <w:rsid w:val="00727E89"/>
    <w:rsid w:val="00727EFE"/>
    <w:rsid w:val="00727F8C"/>
    <w:rsid w:val="00727FB6"/>
    <w:rsid w:val="00727FC3"/>
    <w:rsid w:val="00727FCE"/>
    <w:rsid w:val="0072DF5D"/>
    <w:rsid w:val="0072EC65"/>
    <w:rsid w:val="00730008"/>
    <w:rsid w:val="0073001C"/>
    <w:rsid w:val="00730037"/>
    <w:rsid w:val="0073003A"/>
    <w:rsid w:val="00730068"/>
    <w:rsid w:val="007300AD"/>
    <w:rsid w:val="0073011C"/>
    <w:rsid w:val="00730128"/>
    <w:rsid w:val="00730139"/>
    <w:rsid w:val="0073015D"/>
    <w:rsid w:val="00730172"/>
    <w:rsid w:val="007301BC"/>
    <w:rsid w:val="007301F5"/>
    <w:rsid w:val="00730217"/>
    <w:rsid w:val="00730264"/>
    <w:rsid w:val="00730277"/>
    <w:rsid w:val="007302D3"/>
    <w:rsid w:val="00730316"/>
    <w:rsid w:val="0073031C"/>
    <w:rsid w:val="0073034C"/>
    <w:rsid w:val="007303BA"/>
    <w:rsid w:val="00730457"/>
    <w:rsid w:val="007304F9"/>
    <w:rsid w:val="00730551"/>
    <w:rsid w:val="0073055E"/>
    <w:rsid w:val="007305AE"/>
    <w:rsid w:val="0073062F"/>
    <w:rsid w:val="00730729"/>
    <w:rsid w:val="00730794"/>
    <w:rsid w:val="00730813"/>
    <w:rsid w:val="00730898"/>
    <w:rsid w:val="007308B5"/>
    <w:rsid w:val="007308FC"/>
    <w:rsid w:val="00730907"/>
    <w:rsid w:val="00730948"/>
    <w:rsid w:val="00730954"/>
    <w:rsid w:val="007309EC"/>
    <w:rsid w:val="007309F1"/>
    <w:rsid w:val="00730A1F"/>
    <w:rsid w:val="00730A47"/>
    <w:rsid w:val="00730A7E"/>
    <w:rsid w:val="00730A94"/>
    <w:rsid w:val="00730B05"/>
    <w:rsid w:val="00730B3E"/>
    <w:rsid w:val="00730B43"/>
    <w:rsid w:val="00730B45"/>
    <w:rsid w:val="00730B6F"/>
    <w:rsid w:val="00730B86"/>
    <w:rsid w:val="00730C5B"/>
    <w:rsid w:val="00730C6B"/>
    <w:rsid w:val="00730C9D"/>
    <w:rsid w:val="00730CE7"/>
    <w:rsid w:val="00730CE9"/>
    <w:rsid w:val="00730CFC"/>
    <w:rsid w:val="00730D30"/>
    <w:rsid w:val="00730D88"/>
    <w:rsid w:val="00730E14"/>
    <w:rsid w:val="00730E26"/>
    <w:rsid w:val="00730E55"/>
    <w:rsid w:val="00730E79"/>
    <w:rsid w:val="00730E96"/>
    <w:rsid w:val="00730EDF"/>
    <w:rsid w:val="00730EFA"/>
    <w:rsid w:val="00730F01"/>
    <w:rsid w:val="00730F18"/>
    <w:rsid w:val="00730F27"/>
    <w:rsid w:val="00730FC8"/>
    <w:rsid w:val="00730FCE"/>
    <w:rsid w:val="0073101A"/>
    <w:rsid w:val="0073101B"/>
    <w:rsid w:val="0073101D"/>
    <w:rsid w:val="007310DB"/>
    <w:rsid w:val="007310E0"/>
    <w:rsid w:val="0073116E"/>
    <w:rsid w:val="007311F7"/>
    <w:rsid w:val="00731217"/>
    <w:rsid w:val="0073121D"/>
    <w:rsid w:val="0073124A"/>
    <w:rsid w:val="00731252"/>
    <w:rsid w:val="00731273"/>
    <w:rsid w:val="0073127D"/>
    <w:rsid w:val="00731285"/>
    <w:rsid w:val="0073128D"/>
    <w:rsid w:val="00731300"/>
    <w:rsid w:val="00731333"/>
    <w:rsid w:val="00731378"/>
    <w:rsid w:val="0073138A"/>
    <w:rsid w:val="007313AA"/>
    <w:rsid w:val="007313F4"/>
    <w:rsid w:val="007313FA"/>
    <w:rsid w:val="0073141C"/>
    <w:rsid w:val="00731445"/>
    <w:rsid w:val="00731459"/>
    <w:rsid w:val="00731471"/>
    <w:rsid w:val="007314E7"/>
    <w:rsid w:val="00731507"/>
    <w:rsid w:val="00731515"/>
    <w:rsid w:val="0073154A"/>
    <w:rsid w:val="0073159C"/>
    <w:rsid w:val="007315F5"/>
    <w:rsid w:val="007316D1"/>
    <w:rsid w:val="0073171C"/>
    <w:rsid w:val="00731720"/>
    <w:rsid w:val="00731798"/>
    <w:rsid w:val="007317FB"/>
    <w:rsid w:val="00731840"/>
    <w:rsid w:val="00731874"/>
    <w:rsid w:val="00731907"/>
    <w:rsid w:val="007319D9"/>
    <w:rsid w:val="007319EB"/>
    <w:rsid w:val="00731A08"/>
    <w:rsid w:val="00731AEF"/>
    <w:rsid w:val="00731B4A"/>
    <w:rsid w:val="00731B6B"/>
    <w:rsid w:val="00731B73"/>
    <w:rsid w:val="00731B7D"/>
    <w:rsid w:val="00731B9D"/>
    <w:rsid w:val="00731BF7"/>
    <w:rsid w:val="00731C3C"/>
    <w:rsid w:val="00731C67"/>
    <w:rsid w:val="00731C6D"/>
    <w:rsid w:val="00731CC2"/>
    <w:rsid w:val="00731D3A"/>
    <w:rsid w:val="00731D73"/>
    <w:rsid w:val="00731D74"/>
    <w:rsid w:val="00731D9B"/>
    <w:rsid w:val="00731DED"/>
    <w:rsid w:val="00731E2A"/>
    <w:rsid w:val="00731E31"/>
    <w:rsid w:val="00731E61"/>
    <w:rsid w:val="00731E6C"/>
    <w:rsid w:val="00731E7F"/>
    <w:rsid w:val="00731EAE"/>
    <w:rsid w:val="00731EC0"/>
    <w:rsid w:val="00731F30"/>
    <w:rsid w:val="00731F42"/>
    <w:rsid w:val="00731F92"/>
    <w:rsid w:val="00731FB0"/>
    <w:rsid w:val="00732006"/>
    <w:rsid w:val="00732026"/>
    <w:rsid w:val="00732030"/>
    <w:rsid w:val="00732068"/>
    <w:rsid w:val="00732088"/>
    <w:rsid w:val="007320E1"/>
    <w:rsid w:val="00732140"/>
    <w:rsid w:val="00732165"/>
    <w:rsid w:val="00732172"/>
    <w:rsid w:val="00732188"/>
    <w:rsid w:val="00732194"/>
    <w:rsid w:val="0073219A"/>
    <w:rsid w:val="0073219C"/>
    <w:rsid w:val="007321F4"/>
    <w:rsid w:val="0073220A"/>
    <w:rsid w:val="00732257"/>
    <w:rsid w:val="0073226F"/>
    <w:rsid w:val="00732279"/>
    <w:rsid w:val="00732289"/>
    <w:rsid w:val="007322A4"/>
    <w:rsid w:val="007322B7"/>
    <w:rsid w:val="00732354"/>
    <w:rsid w:val="00732429"/>
    <w:rsid w:val="00732441"/>
    <w:rsid w:val="007324A4"/>
    <w:rsid w:val="007324AF"/>
    <w:rsid w:val="007324E2"/>
    <w:rsid w:val="007324E7"/>
    <w:rsid w:val="0073254C"/>
    <w:rsid w:val="0073255A"/>
    <w:rsid w:val="007325FA"/>
    <w:rsid w:val="0073263A"/>
    <w:rsid w:val="0073263E"/>
    <w:rsid w:val="00732664"/>
    <w:rsid w:val="007326BF"/>
    <w:rsid w:val="007326E6"/>
    <w:rsid w:val="00732788"/>
    <w:rsid w:val="007327BE"/>
    <w:rsid w:val="007328A5"/>
    <w:rsid w:val="007328AE"/>
    <w:rsid w:val="007328C9"/>
    <w:rsid w:val="007328D2"/>
    <w:rsid w:val="007328E9"/>
    <w:rsid w:val="0073296B"/>
    <w:rsid w:val="0073298F"/>
    <w:rsid w:val="007329A9"/>
    <w:rsid w:val="007329C5"/>
    <w:rsid w:val="007329FD"/>
    <w:rsid w:val="00732A1C"/>
    <w:rsid w:val="00732A20"/>
    <w:rsid w:val="00732A97"/>
    <w:rsid w:val="00732AC1"/>
    <w:rsid w:val="00732AD4"/>
    <w:rsid w:val="00732B3C"/>
    <w:rsid w:val="00732B49"/>
    <w:rsid w:val="00732B89"/>
    <w:rsid w:val="00732C01"/>
    <w:rsid w:val="00732C67"/>
    <w:rsid w:val="00732C70"/>
    <w:rsid w:val="00732C87"/>
    <w:rsid w:val="00732CB2"/>
    <w:rsid w:val="00732CB9"/>
    <w:rsid w:val="00732CBC"/>
    <w:rsid w:val="00732CC0"/>
    <w:rsid w:val="00732D73"/>
    <w:rsid w:val="00732D7D"/>
    <w:rsid w:val="00732DC3"/>
    <w:rsid w:val="00732E17"/>
    <w:rsid w:val="00732E46"/>
    <w:rsid w:val="00732E49"/>
    <w:rsid w:val="00732F3C"/>
    <w:rsid w:val="00732FB6"/>
    <w:rsid w:val="0073304E"/>
    <w:rsid w:val="0073305C"/>
    <w:rsid w:val="0073307A"/>
    <w:rsid w:val="007330DF"/>
    <w:rsid w:val="0073317D"/>
    <w:rsid w:val="00733195"/>
    <w:rsid w:val="007331E1"/>
    <w:rsid w:val="007331F8"/>
    <w:rsid w:val="0073321D"/>
    <w:rsid w:val="00733273"/>
    <w:rsid w:val="00733277"/>
    <w:rsid w:val="0073333F"/>
    <w:rsid w:val="00733342"/>
    <w:rsid w:val="00733353"/>
    <w:rsid w:val="00733361"/>
    <w:rsid w:val="007333BF"/>
    <w:rsid w:val="00733415"/>
    <w:rsid w:val="0073343C"/>
    <w:rsid w:val="00733472"/>
    <w:rsid w:val="00733493"/>
    <w:rsid w:val="00733566"/>
    <w:rsid w:val="0073356D"/>
    <w:rsid w:val="0073357C"/>
    <w:rsid w:val="0073359F"/>
    <w:rsid w:val="007335A7"/>
    <w:rsid w:val="007335E3"/>
    <w:rsid w:val="00733623"/>
    <w:rsid w:val="00733676"/>
    <w:rsid w:val="0073367D"/>
    <w:rsid w:val="00733690"/>
    <w:rsid w:val="007336AD"/>
    <w:rsid w:val="007336D1"/>
    <w:rsid w:val="00733716"/>
    <w:rsid w:val="00733719"/>
    <w:rsid w:val="0073375B"/>
    <w:rsid w:val="00733785"/>
    <w:rsid w:val="00733794"/>
    <w:rsid w:val="007337AE"/>
    <w:rsid w:val="007337C8"/>
    <w:rsid w:val="007337D0"/>
    <w:rsid w:val="007337FC"/>
    <w:rsid w:val="0073383B"/>
    <w:rsid w:val="007338B3"/>
    <w:rsid w:val="00733921"/>
    <w:rsid w:val="00733970"/>
    <w:rsid w:val="00733993"/>
    <w:rsid w:val="007339BD"/>
    <w:rsid w:val="007339D0"/>
    <w:rsid w:val="007339D3"/>
    <w:rsid w:val="007339F3"/>
    <w:rsid w:val="00733A21"/>
    <w:rsid w:val="00733A82"/>
    <w:rsid w:val="00733A94"/>
    <w:rsid w:val="00733AA2"/>
    <w:rsid w:val="00733AC4"/>
    <w:rsid w:val="00733ADF"/>
    <w:rsid w:val="00733AFF"/>
    <w:rsid w:val="00733B33"/>
    <w:rsid w:val="00733B49"/>
    <w:rsid w:val="00733B66"/>
    <w:rsid w:val="00733B8E"/>
    <w:rsid w:val="00733BC2"/>
    <w:rsid w:val="00733C02"/>
    <w:rsid w:val="00733C33"/>
    <w:rsid w:val="00733C50"/>
    <w:rsid w:val="00733C54"/>
    <w:rsid w:val="00733C69"/>
    <w:rsid w:val="00733C74"/>
    <w:rsid w:val="00733CC9"/>
    <w:rsid w:val="00733CCC"/>
    <w:rsid w:val="00733D14"/>
    <w:rsid w:val="00733D27"/>
    <w:rsid w:val="00733D5F"/>
    <w:rsid w:val="00733DCD"/>
    <w:rsid w:val="00733DD6"/>
    <w:rsid w:val="00733E0A"/>
    <w:rsid w:val="00733E6A"/>
    <w:rsid w:val="00733E92"/>
    <w:rsid w:val="00733EA9"/>
    <w:rsid w:val="00733EC5"/>
    <w:rsid w:val="00733ED9"/>
    <w:rsid w:val="00733F32"/>
    <w:rsid w:val="00733F91"/>
    <w:rsid w:val="00733FA0"/>
    <w:rsid w:val="00733FF5"/>
    <w:rsid w:val="00734000"/>
    <w:rsid w:val="0073401D"/>
    <w:rsid w:val="00734040"/>
    <w:rsid w:val="00734066"/>
    <w:rsid w:val="0073407B"/>
    <w:rsid w:val="00734083"/>
    <w:rsid w:val="007340B3"/>
    <w:rsid w:val="00734131"/>
    <w:rsid w:val="00734179"/>
    <w:rsid w:val="00734180"/>
    <w:rsid w:val="007341D0"/>
    <w:rsid w:val="00734209"/>
    <w:rsid w:val="00734212"/>
    <w:rsid w:val="00734266"/>
    <w:rsid w:val="00734284"/>
    <w:rsid w:val="0073429D"/>
    <w:rsid w:val="007342B3"/>
    <w:rsid w:val="007342E9"/>
    <w:rsid w:val="00734314"/>
    <w:rsid w:val="00734399"/>
    <w:rsid w:val="007343C5"/>
    <w:rsid w:val="00734431"/>
    <w:rsid w:val="00734468"/>
    <w:rsid w:val="00734481"/>
    <w:rsid w:val="00734487"/>
    <w:rsid w:val="0073449D"/>
    <w:rsid w:val="007344AF"/>
    <w:rsid w:val="007344DD"/>
    <w:rsid w:val="007344FA"/>
    <w:rsid w:val="00734527"/>
    <w:rsid w:val="00734573"/>
    <w:rsid w:val="007345BF"/>
    <w:rsid w:val="007345E4"/>
    <w:rsid w:val="0073463E"/>
    <w:rsid w:val="00734644"/>
    <w:rsid w:val="007346C4"/>
    <w:rsid w:val="0073474F"/>
    <w:rsid w:val="0073476B"/>
    <w:rsid w:val="0073478E"/>
    <w:rsid w:val="0073479A"/>
    <w:rsid w:val="0073479E"/>
    <w:rsid w:val="007347AB"/>
    <w:rsid w:val="007347D4"/>
    <w:rsid w:val="0073481D"/>
    <w:rsid w:val="007348AB"/>
    <w:rsid w:val="007348F0"/>
    <w:rsid w:val="0073493A"/>
    <w:rsid w:val="00734A2F"/>
    <w:rsid w:val="00734A3B"/>
    <w:rsid w:val="00734A73"/>
    <w:rsid w:val="00734AA0"/>
    <w:rsid w:val="00734AE9"/>
    <w:rsid w:val="00734B1C"/>
    <w:rsid w:val="00734B29"/>
    <w:rsid w:val="00734B4E"/>
    <w:rsid w:val="00734B9A"/>
    <w:rsid w:val="00734BA1"/>
    <w:rsid w:val="00734BA5"/>
    <w:rsid w:val="00734BC6"/>
    <w:rsid w:val="00734BD7"/>
    <w:rsid w:val="00734C7B"/>
    <w:rsid w:val="00734CC0"/>
    <w:rsid w:val="00734CD1"/>
    <w:rsid w:val="00734D5B"/>
    <w:rsid w:val="00734D7F"/>
    <w:rsid w:val="00734D99"/>
    <w:rsid w:val="00734DDD"/>
    <w:rsid w:val="00734DFE"/>
    <w:rsid w:val="00734E07"/>
    <w:rsid w:val="00734E80"/>
    <w:rsid w:val="00734E8C"/>
    <w:rsid w:val="00734ED2"/>
    <w:rsid w:val="00734F2D"/>
    <w:rsid w:val="00734F8E"/>
    <w:rsid w:val="00734FA4"/>
    <w:rsid w:val="00735037"/>
    <w:rsid w:val="0073503D"/>
    <w:rsid w:val="00735060"/>
    <w:rsid w:val="00735099"/>
    <w:rsid w:val="0073509B"/>
    <w:rsid w:val="007350DB"/>
    <w:rsid w:val="007350EE"/>
    <w:rsid w:val="00735116"/>
    <w:rsid w:val="00735193"/>
    <w:rsid w:val="007351E7"/>
    <w:rsid w:val="007351EA"/>
    <w:rsid w:val="00735257"/>
    <w:rsid w:val="00735403"/>
    <w:rsid w:val="00735441"/>
    <w:rsid w:val="00735452"/>
    <w:rsid w:val="0073545C"/>
    <w:rsid w:val="00735473"/>
    <w:rsid w:val="007354CD"/>
    <w:rsid w:val="0073550E"/>
    <w:rsid w:val="0073552D"/>
    <w:rsid w:val="00735580"/>
    <w:rsid w:val="00735581"/>
    <w:rsid w:val="00735582"/>
    <w:rsid w:val="0073559D"/>
    <w:rsid w:val="007355A1"/>
    <w:rsid w:val="007355BB"/>
    <w:rsid w:val="007355BF"/>
    <w:rsid w:val="007355C7"/>
    <w:rsid w:val="007355CC"/>
    <w:rsid w:val="0073560F"/>
    <w:rsid w:val="00735636"/>
    <w:rsid w:val="00735659"/>
    <w:rsid w:val="00735664"/>
    <w:rsid w:val="0073567D"/>
    <w:rsid w:val="007356F8"/>
    <w:rsid w:val="00735735"/>
    <w:rsid w:val="00735790"/>
    <w:rsid w:val="0073579A"/>
    <w:rsid w:val="007357A8"/>
    <w:rsid w:val="007357BB"/>
    <w:rsid w:val="007357DD"/>
    <w:rsid w:val="0073583A"/>
    <w:rsid w:val="0073589D"/>
    <w:rsid w:val="007358D5"/>
    <w:rsid w:val="00735906"/>
    <w:rsid w:val="00735915"/>
    <w:rsid w:val="00735921"/>
    <w:rsid w:val="00735922"/>
    <w:rsid w:val="00735944"/>
    <w:rsid w:val="0073594D"/>
    <w:rsid w:val="00735977"/>
    <w:rsid w:val="007359C3"/>
    <w:rsid w:val="007359CF"/>
    <w:rsid w:val="00735A29"/>
    <w:rsid w:val="00735A74"/>
    <w:rsid w:val="00735AE3"/>
    <w:rsid w:val="00735B02"/>
    <w:rsid w:val="00735B34"/>
    <w:rsid w:val="00735B3F"/>
    <w:rsid w:val="00735B43"/>
    <w:rsid w:val="00735B6D"/>
    <w:rsid w:val="00735C07"/>
    <w:rsid w:val="00735C1C"/>
    <w:rsid w:val="00735C1E"/>
    <w:rsid w:val="00735C3F"/>
    <w:rsid w:val="00735C49"/>
    <w:rsid w:val="00735C52"/>
    <w:rsid w:val="00735C60"/>
    <w:rsid w:val="00735CC4"/>
    <w:rsid w:val="00735D3C"/>
    <w:rsid w:val="00735D54"/>
    <w:rsid w:val="00735D5F"/>
    <w:rsid w:val="00735D92"/>
    <w:rsid w:val="00735D94"/>
    <w:rsid w:val="00735D9A"/>
    <w:rsid w:val="00735DD9"/>
    <w:rsid w:val="00735DDA"/>
    <w:rsid w:val="00735E0A"/>
    <w:rsid w:val="00735ED1"/>
    <w:rsid w:val="00735EE7"/>
    <w:rsid w:val="00735FA3"/>
    <w:rsid w:val="00735FF5"/>
    <w:rsid w:val="00735FFC"/>
    <w:rsid w:val="0073605C"/>
    <w:rsid w:val="00736089"/>
    <w:rsid w:val="00736099"/>
    <w:rsid w:val="007360FE"/>
    <w:rsid w:val="00736185"/>
    <w:rsid w:val="00736188"/>
    <w:rsid w:val="007361B9"/>
    <w:rsid w:val="007361E7"/>
    <w:rsid w:val="00736202"/>
    <w:rsid w:val="00736260"/>
    <w:rsid w:val="007362EF"/>
    <w:rsid w:val="007362F6"/>
    <w:rsid w:val="0073636C"/>
    <w:rsid w:val="0073636E"/>
    <w:rsid w:val="0073638A"/>
    <w:rsid w:val="007363F7"/>
    <w:rsid w:val="00736431"/>
    <w:rsid w:val="00736441"/>
    <w:rsid w:val="00736472"/>
    <w:rsid w:val="007364E9"/>
    <w:rsid w:val="007364F3"/>
    <w:rsid w:val="00736526"/>
    <w:rsid w:val="00736528"/>
    <w:rsid w:val="0073657F"/>
    <w:rsid w:val="007365D2"/>
    <w:rsid w:val="007365DC"/>
    <w:rsid w:val="007365DD"/>
    <w:rsid w:val="00736630"/>
    <w:rsid w:val="007366D2"/>
    <w:rsid w:val="007366E0"/>
    <w:rsid w:val="0073679F"/>
    <w:rsid w:val="007367AB"/>
    <w:rsid w:val="007367BA"/>
    <w:rsid w:val="00736802"/>
    <w:rsid w:val="00736803"/>
    <w:rsid w:val="0073687B"/>
    <w:rsid w:val="0073688A"/>
    <w:rsid w:val="00736898"/>
    <w:rsid w:val="007368B0"/>
    <w:rsid w:val="007368D1"/>
    <w:rsid w:val="007368D2"/>
    <w:rsid w:val="0073692E"/>
    <w:rsid w:val="00736941"/>
    <w:rsid w:val="00736975"/>
    <w:rsid w:val="00736A02"/>
    <w:rsid w:val="00736A25"/>
    <w:rsid w:val="00736A50"/>
    <w:rsid w:val="00736ACD"/>
    <w:rsid w:val="00736ACE"/>
    <w:rsid w:val="00736B0A"/>
    <w:rsid w:val="00736B1C"/>
    <w:rsid w:val="00736B1D"/>
    <w:rsid w:val="00736B27"/>
    <w:rsid w:val="00736BB8"/>
    <w:rsid w:val="00736BF2"/>
    <w:rsid w:val="00736C49"/>
    <w:rsid w:val="00736C85"/>
    <w:rsid w:val="00736C95"/>
    <w:rsid w:val="00736CC0"/>
    <w:rsid w:val="00736CD5"/>
    <w:rsid w:val="00736D2B"/>
    <w:rsid w:val="00736D36"/>
    <w:rsid w:val="00736DB0"/>
    <w:rsid w:val="00736DE3"/>
    <w:rsid w:val="00736E33"/>
    <w:rsid w:val="00736EF3"/>
    <w:rsid w:val="00736F26"/>
    <w:rsid w:val="00736F38"/>
    <w:rsid w:val="00736F57"/>
    <w:rsid w:val="00736F96"/>
    <w:rsid w:val="00736FC0"/>
    <w:rsid w:val="0073703F"/>
    <w:rsid w:val="00737050"/>
    <w:rsid w:val="0073706F"/>
    <w:rsid w:val="00737070"/>
    <w:rsid w:val="007370F8"/>
    <w:rsid w:val="00737135"/>
    <w:rsid w:val="00737205"/>
    <w:rsid w:val="00737218"/>
    <w:rsid w:val="0073724D"/>
    <w:rsid w:val="007372DA"/>
    <w:rsid w:val="007372FC"/>
    <w:rsid w:val="00737311"/>
    <w:rsid w:val="007373B0"/>
    <w:rsid w:val="007373C2"/>
    <w:rsid w:val="007373E1"/>
    <w:rsid w:val="007373E7"/>
    <w:rsid w:val="00737474"/>
    <w:rsid w:val="007374A1"/>
    <w:rsid w:val="007374D5"/>
    <w:rsid w:val="007374FF"/>
    <w:rsid w:val="0073754C"/>
    <w:rsid w:val="007375AB"/>
    <w:rsid w:val="00737612"/>
    <w:rsid w:val="00737645"/>
    <w:rsid w:val="00737657"/>
    <w:rsid w:val="00737670"/>
    <w:rsid w:val="007376A3"/>
    <w:rsid w:val="007376F0"/>
    <w:rsid w:val="0073775F"/>
    <w:rsid w:val="0073778F"/>
    <w:rsid w:val="007377E0"/>
    <w:rsid w:val="00737833"/>
    <w:rsid w:val="0073787C"/>
    <w:rsid w:val="007378EB"/>
    <w:rsid w:val="00737956"/>
    <w:rsid w:val="00737975"/>
    <w:rsid w:val="00737983"/>
    <w:rsid w:val="007379C9"/>
    <w:rsid w:val="007379F9"/>
    <w:rsid w:val="00737A17"/>
    <w:rsid w:val="00737A3B"/>
    <w:rsid w:val="00737A4E"/>
    <w:rsid w:val="00737A5D"/>
    <w:rsid w:val="00737AB6"/>
    <w:rsid w:val="00737ABD"/>
    <w:rsid w:val="00737AF0"/>
    <w:rsid w:val="00737B26"/>
    <w:rsid w:val="00737B32"/>
    <w:rsid w:val="00737B4B"/>
    <w:rsid w:val="00737B4F"/>
    <w:rsid w:val="00737B6E"/>
    <w:rsid w:val="00737B90"/>
    <w:rsid w:val="00737BA5"/>
    <w:rsid w:val="00737C03"/>
    <w:rsid w:val="00737C09"/>
    <w:rsid w:val="00737C1F"/>
    <w:rsid w:val="00737C38"/>
    <w:rsid w:val="00737CF0"/>
    <w:rsid w:val="00737D20"/>
    <w:rsid w:val="00737D2B"/>
    <w:rsid w:val="00737D33"/>
    <w:rsid w:val="00737D3B"/>
    <w:rsid w:val="00737DAF"/>
    <w:rsid w:val="00737E8A"/>
    <w:rsid w:val="00737F07"/>
    <w:rsid w:val="00737F13"/>
    <w:rsid w:val="00737F59"/>
    <w:rsid w:val="00737FD4"/>
    <w:rsid w:val="00740066"/>
    <w:rsid w:val="007400A4"/>
    <w:rsid w:val="007400D7"/>
    <w:rsid w:val="007400DD"/>
    <w:rsid w:val="00740166"/>
    <w:rsid w:val="0074016A"/>
    <w:rsid w:val="0074018B"/>
    <w:rsid w:val="0074018F"/>
    <w:rsid w:val="0074019B"/>
    <w:rsid w:val="007401ED"/>
    <w:rsid w:val="00740223"/>
    <w:rsid w:val="00740254"/>
    <w:rsid w:val="00740278"/>
    <w:rsid w:val="007402C0"/>
    <w:rsid w:val="007402E1"/>
    <w:rsid w:val="00740332"/>
    <w:rsid w:val="00740384"/>
    <w:rsid w:val="00740387"/>
    <w:rsid w:val="007403A5"/>
    <w:rsid w:val="0074048E"/>
    <w:rsid w:val="0074049A"/>
    <w:rsid w:val="0074049F"/>
    <w:rsid w:val="007404B8"/>
    <w:rsid w:val="007404EF"/>
    <w:rsid w:val="00740588"/>
    <w:rsid w:val="007405B2"/>
    <w:rsid w:val="00740646"/>
    <w:rsid w:val="007406AD"/>
    <w:rsid w:val="007406F0"/>
    <w:rsid w:val="0074073D"/>
    <w:rsid w:val="00740772"/>
    <w:rsid w:val="007407D5"/>
    <w:rsid w:val="007407F9"/>
    <w:rsid w:val="00740803"/>
    <w:rsid w:val="00740821"/>
    <w:rsid w:val="00740825"/>
    <w:rsid w:val="0074088B"/>
    <w:rsid w:val="007408A8"/>
    <w:rsid w:val="007408D2"/>
    <w:rsid w:val="0074092B"/>
    <w:rsid w:val="0074092E"/>
    <w:rsid w:val="00740952"/>
    <w:rsid w:val="00740975"/>
    <w:rsid w:val="0074099E"/>
    <w:rsid w:val="007409B5"/>
    <w:rsid w:val="00740A2F"/>
    <w:rsid w:val="00740A87"/>
    <w:rsid w:val="00740A8A"/>
    <w:rsid w:val="00740A8B"/>
    <w:rsid w:val="00740A9A"/>
    <w:rsid w:val="00740A9C"/>
    <w:rsid w:val="00740B16"/>
    <w:rsid w:val="00740B8A"/>
    <w:rsid w:val="00740B9B"/>
    <w:rsid w:val="00740C82"/>
    <w:rsid w:val="00740CC3"/>
    <w:rsid w:val="00740CD9"/>
    <w:rsid w:val="00740CE0"/>
    <w:rsid w:val="00740CE7"/>
    <w:rsid w:val="00740D37"/>
    <w:rsid w:val="00740DA0"/>
    <w:rsid w:val="00740E26"/>
    <w:rsid w:val="00740E4E"/>
    <w:rsid w:val="00740E66"/>
    <w:rsid w:val="00740EAA"/>
    <w:rsid w:val="00740EB0"/>
    <w:rsid w:val="00740EE9"/>
    <w:rsid w:val="00740FAA"/>
    <w:rsid w:val="00740FDB"/>
    <w:rsid w:val="00740FF6"/>
    <w:rsid w:val="00740FFB"/>
    <w:rsid w:val="0074107B"/>
    <w:rsid w:val="00741080"/>
    <w:rsid w:val="007410AD"/>
    <w:rsid w:val="007410C2"/>
    <w:rsid w:val="00741106"/>
    <w:rsid w:val="007411B7"/>
    <w:rsid w:val="0074120F"/>
    <w:rsid w:val="00741215"/>
    <w:rsid w:val="00741254"/>
    <w:rsid w:val="00741276"/>
    <w:rsid w:val="0074134A"/>
    <w:rsid w:val="007413C7"/>
    <w:rsid w:val="007413ED"/>
    <w:rsid w:val="0074140F"/>
    <w:rsid w:val="00741426"/>
    <w:rsid w:val="00741431"/>
    <w:rsid w:val="00741455"/>
    <w:rsid w:val="00741529"/>
    <w:rsid w:val="00741553"/>
    <w:rsid w:val="007415A0"/>
    <w:rsid w:val="00741613"/>
    <w:rsid w:val="00741665"/>
    <w:rsid w:val="007416B2"/>
    <w:rsid w:val="007416C5"/>
    <w:rsid w:val="00741741"/>
    <w:rsid w:val="00741784"/>
    <w:rsid w:val="00741791"/>
    <w:rsid w:val="007417AC"/>
    <w:rsid w:val="007417C5"/>
    <w:rsid w:val="007417C8"/>
    <w:rsid w:val="007417D8"/>
    <w:rsid w:val="00741830"/>
    <w:rsid w:val="00741848"/>
    <w:rsid w:val="00741849"/>
    <w:rsid w:val="00741858"/>
    <w:rsid w:val="007418BE"/>
    <w:rsid w:val="007418F7"/>
    <w:rsid w:val="007418FD"/>
    <w:rsid w:val="0074191A"/>
    <w:rsid w:val="0074196C"/>
    <w:rsid w:val="00741A20"/>
    <w:rsid w:val="00741A93"/>
    <w:rsid w:val="00741A94"/>
    <w:rsid w:val="00741AA7"/>
    <w:rsid w:val="00741AA9"/>
    <w:rsid w:val="00741AAF"/>
    <w:rsid w:val="00741B18"/>
    <w:rsid w:val="00741B60"/>
    <w:rsid w:val="00741BBC"/>
    <w:rsid w:val="00741BD8"/>
    <w:rsid w:val="00741BDB"/>
    <w:rsid w:val="00741D4E"/>
    <w:rsid w:val="00741D9D"/>
    <w:rsid w:val="00741DE8"/>
    <w:rsid w:val="00741E22"/>
    <w:rsid w:val="00741E3F"/>
    <w:rsid w:val="00741EF0"/>
    <w:rsid w:val="00741F39"/>
    <w:rsid w:val="00741F87"/>
    <w:rsid w:val="00741FBB"/>
    <w:rsid w:val="00741FBE"/>
    <w:rsid w:val="00741FEA"/>
    <w:rsid w:val="00741FEF"/>
    <w:rsid w:val="0074207D"/>
    <w:rsid w:val="007420A2"/>
    <w:rsid w:val="007420C4"/>
    <w:rsid w:val="007420E5"/>
    <w:rsid w:val="00742127"/>
    <w:rsid w:val="00742159"/>
    <w:rsid w:val="0074215E"/>
    <w:rsid w:val="00742175"/>
    <w:rsid w:val="00742178"/>
    <w:rsid w:val="00742184"/>
    <w:rsid w:val="007421A5"/>
    <w:rsid w:val="007421AB"/>
    <w:rsid w:val="007421AC"/>
    <w:rsid w:val="0074220C"/>
    <w:rsid w:val="00742279"/>
    <w:rsid w:val="0074232F"/>
    <w:rsid w:val="0074239B"/>
    <w:rsid w:val="007423E7"/>
    <w:rsid w:val="00742430"/>
    <w:rsid w:val="007424B2"/>
    <w:rsid w:val="007424F9"/>
    <w:rsid w:val="00742534"/>
    <w:rsid w:val="007425A8"/>
    <w:rsid w:val="007425B6"/>
    <w:rsid w:val="00742629"/>
    <w:rsid w:val="00742654"/>
    <w:rsid w:val="0074266E"/>
    <w:rsid w:val="0074267B"/>
    <w:rsid w:val="007426A9"/>
    <w:rsid w:val="007426B4"/>
    <w:rsid w:val="007426FF"/>
    <w:rsid w:val="0074274B"/>
    <w:rsid w:val="007427CC"/>
    <w:rsid w:val="007427D0"/>
    <w:rsid w:val="0074286B"/>
    <w:rsid w:val="007428DE"/>
    <w:rsid w:val="00742915"/>
    <w:rsid w:val="00742926"/>
    <w:rsid w:val="00742959"/>
    <w:rsid w:val="0074296D"/>
    <w:rsid w:val="0074297C"/>
    <w:rsid w:val="007429C2"/>
    <w:rsid w:val="00742A3F"/>
    <w:rsid w:val="00742A57"/>
    <w:rsid w:val="00742A6A"/>
    <w:rsid w:val="00742A73"/>
    <w:rsid w:val="00742A87"/>
    <w:rsid w:val="00742AE8"/>
    <w:rsid w:val="00742AEF"/>
    <w:rsid w:val="00742B07"/>
    <w:rsid w:val="00742B88"/>
    <w:rsid w:val="00742BB4"/>
    <w:rsid w:val="00742BD7"/>
    <w:rsid w:val="00742C54"/>
    <w:rsid w:val="00742C8E"/>
    <w:rsid w:val="00742D0E"/>
    <w:rsid w:val="00742D10"/>
    <w:rsid w:val="00742E04"/>
    <w:rsid w:val="00742E18"/>
    <w:rsid w:val="00742E26"/>
    <w:rsid w:val="00742E44"/>
    <w:rsid w:val="00742EA7"/>
    <w:rsid w:val="00742F72"/>
    <w:rsid w:val="00742F85"/>
    <w:rsid w:val="00742FB1"/>
    <w:rsid w:val="0074306C"/>
    <w:rsid w:val="007430A1"/>
    <w:rsid w:val="007430AA"/>
    <w:rsid w:val="007430D6"/>
    <w:rsid w:val="007430EA"/>
    <w:rsid w:val="0074311E"/>
    <w:rsid w:val="00743153"/>
    <w:rsid w:val="007431AB"/>
    <w:rsid w:val="007431CF"/>
    <w:rsid w:val="00743272"/>
    <w:rsid w:val="007432EF"/>
    <w:rsid w:val="007432F9"/>
    <w:rsid w:val="00743353"/>
    <w:rsid w:val="0074339B"/>
    <w:rsid w:val="007433A8"/>
    <w:rsid w:val="007433CF"/>
    <w:rsid w:val="0074341D"/>
    <w:rsid w:val="00743437"/>
    <w:rsid w:val="0074343D"/>
    <w:rsid w:val="0074345A"/>
    <w:rsid w:val="007434B5"/>
    <w:rsid w:val="00743559"/>
    <w:rsid w:val="00743568"/>
    <w:rsid w:val="00743598"/>
    <w:rsid w:val="0074359D"/>
    <w:rsid w:val="007435C2"/>
    <w:rsid w:val="007435E9"/>
    <w:rsid w:val="007435F3"/>
    <w:rsid w:val="007435F6"/>
    <w:rsid w:val="0074367F"/>
    <w:rsid w:val="007436A4"/>
    <w:rsid w:val="007436B6"/>
    <w:rsid w:val="007436DD"/>
    <w:rsid w:val="007436E4"/>
    <w:rsid w:val="00743713"/>
    <w:rsid w:val="00743782"/>
    <w:rsid w:val="0074379F"/>
    <w:rsid w:val="00743801"/>
    <w:rsid w:val="00743811"/>
    <w:rsid w:val="0074384C"/>
    <w:rsid w:val="00743854"/>
    <w:rsid w:val="0074386B"/>
    <w:rsid w:val="007438AE"/>
    <w:rsid w:val="00743900"/>
    <w:rsid w:val="00743903"/>
    <w:rsid w:val="0074395E"/>
    <w:rsid w:val="00743967"/>
    <w:rsid w:val="0074398D"/>
    <w:rsid w:val="00743997"/>
    <w:rsid w:val="00743A1E"/>
    <w:rsid w:val="00743A44"/>
    <w:rsid w:val="00743A49"/>
    <w:rsid w:val="00743A6C"/>
    <w:rsid w:val="00743A8F"/>
    <w:rsid w:val="00743B2B"/>
    <w:rsid w:val="00743B8D"/>
    <w:rsid w:val="00743BC4"/>
    <w:rsid w:val="00743C2E"/>
    <w:rsid w:val="00743C7D"/>
    <w:rsid w:val="00743CD6"/>
    <w:rsid w:val="00743DC7"/>
    <w:rsid w:val="00743DDB"/>
    <w:rsid w:val="00743E9C"/>
    <w:rsid w:val="00743EB9"/>
    <w:rsid w:val="00743F1D"/>
    <w:rsid w:val="00743F64"/>
    <w:rsid w:val="00743F78"/>
    <w:rsid w:val="00743F89"/>
    <w:rsid w:val="00743FEC"/>
    <w:rsid w:val="00743FF2"/>
    <w:rsid w:val="00743FF8"/>
    <w:rsid w:val="0074400F"/>
    <w:rsid w:val="00744090"/>
    <w:rsid w:val="007440C8"/>
    <w:rsid w:val="00744107"/>
    <w:rsid w:val="00744130"/>
    <w:rsid w:val="0074415D"/>
    <w:rsid w:val="00744167"/>
    <w:rsid w:val="007441A1"/>
    <w:rsid w:val="00744217"/>
    <w:rsid w:val="0074421B"/>
    <w:rsid w:val="0074425A"/>
    <w:rsid w:val="0074426F"/>
    <w:rsid w:val="0074428D"/>
    <w:rsid w:val="0074435B"/>
    <w:rsid w:val="00744419"/>
    <w:rsid w:val="0074441B"/>
    <w:rsid w:val="0074442B"/>
    <w:rsid w:val="0074444A"/>
    <w:rsid w:val="007444A9"/>
    <w:rsid w:val="007444BD"/>
    <w:rsid w:val="0074459E"/>
    <w:rsid w:val="007445E3"/>
    <w:rsid w:val="00744611"/>
    <w:rsid w:val="00744642"/>
    <w:rsid w:val="00744644"/>
    <w:rsid w:val="00744659"/>
    <w:rsid w:val="00744685"/>
    <w:rsid w:val="00744758"/>
    <w:rsid w:val="0074475D"/>
    <w:rsid w:val="0074476A"/>
    <w:rsid w:val="00744773"/>
    <w:rsid w:val="007447A6"/>
    <w:rsid w:val="007447E8"/>
    <w:rsid w:val="00744807"/>
    <w:rsid w:val="0074484D"/>
    <w:rsid w:val="00744850"/>
    <w:rsid w:val="0074489E"/>
    <w:rsid w:val="007448B3"/>
    <w:rsid w:val="007448BD"/>
    <w:rsid w:val="007448E0"/>
    <w:rsid w:val="00744907"/>
    <w:rsid w:val="00744991"/>
    <w:rsid w:val="007449A6"/>
    <w:rsid w:val="007449E4"/>
    <w:rsid w:val="00744A14"/>
    <w:rsid w:val="00744A6D"/>
    <w:rsid w:val="00744AF1"/>
    <w:rsid w:val="00744B23"/>
    <w:rsid w:val="00744B32"/>
    <w:rsid w:val="00744B6E"/>
    <w:rsid w:val="00744C43"/>
    <w:rsid w:val="00744CC3"/>
    <w:rsid w:val="00744DAD"/>
    <w:rsid w:val="00744DCB"/>
    <w:rsid w:val="00744E01"/>
    <w:rsid w:val="00744E16"/>
    <w:rsid w:val="00744E7B"/>
    <w:rsid w:val="00744EB6"/>
    <w:rsid w:val="00744EF7"/>
    <w:rsid w:val="00744F52"/>
    <w:rsid w:val="00744F57"/>
    <w:rsid w:val="00744F9F"/>
    <w:rsid w:val="00744FCB"/>
    <w:rsid w:val="00744FD1"/>
    <w:rsid w:val="00744FD8"/>
    <w:rsid w:val="00745006"/>
    <w:rsid w:val="00745052"/>
    <w:rsid w:val="007450C6"/>
    <w:rsid w:val="007450D2"/>
    <w:rsid w:val="007450E9"/>
    <w:rsid w:val="007450F1"/>
    <w:rsid w:val="007450F9"/>
    <w:rsid w:val="00745109"/>
    <w:rsid w:val="00745129"/>
    <w:rsid w:val="00745141"/>
    <w:rsid w:val="00745145"/>
    <w:rsid w:val="0074516C"/>
    <w:rsid w:val="0074516E"/>
    <w:rsid w:val="0074517F"/>
    <w:rsid w:val="00745186"/>
    <w:rsid w:val="007451BE"/>
    <w:rsid w:val="007451C2"/>
    <w:rsid w:val="00745213"/>
    <w:rsid w:val="00745224"/>
    <w:rsid w:val="00745225"/>
    <w:rsid w:val="00745233"/>
    <w:rsid w:val="00745237"/>
    <w:rsid w:val="0074524D"/>
    <w:rsid w:val="0074527E"/>
    <w:rsid w:val="00745280"/>
    <w:rsid w:val="007452D1"/>
    <w:rsid w:val="00745301"/>
    <w:rsid w:val="00745334"/>
    <w:rsid w:val="007453B5"/>
    <w:rsid w:val="00745452"/>
    <w:rsid w:val="00745475"/>
    <w:rsid w:val="007454CC"/>
    <w:rsid w:val="007454D6"/>
    <w:rsid w:val="00745506"/>
    <w:rsid w:val="0074550E"/>
    <w:rsid w:val="0074554D"/>
    <w:rsid w:val="0074559A"/>
    <w:rsid w:val="007455AC"/>
    <w:rsid w:val="007455CB"/>
    <w:rsid w:val="007455FD"/>
    <w:rsid w:val="00745628"/>
    <w:rsid w:val="0074566D"/>
    <w:rsid w:val="0074572B"/>
    <w:rsid w:val="00745734"/>
    <w:rsid w:val="00745746"/>
    <w:rsid w:val="007457C3"/>
    <w:rsid w:val="007457EB"/>
    <w:rsid w:val="00745851"/>
    <w:rsid w:val="00745892"/>
    <w:rsid w:val="0074589E"/>
    <w:rsid w:val="007458A9"/>
    <w:rsid w:val="00745904"/>
    <w:rsid w:val="00745924"/>
    <w:rsid w:val="0074598D"/>
    <w:rsid w:val="007459B0"/>
    <w:rsid w:val="00745A18"/>
    <w:rsid w:val="00745A1D"/>
    <w:rsid w:val="00745A2A"/>
    <w:rsid w:val="00745A6B"/>
    <w:rsid w:val="00745A6F"/>
    <w:rsid w:val="00745A7C"/>
    <w:rsid w:val="00745AE6"/>
    <w:rsid w:val="00745B0B"/>
    <w:rsid w:val="00745B14"/>
    <w:rsid w:val="00745B79"/>
    <w:rsid w:val="00745B81"/>
    <w:rsid w:val="00745BEC"/>
    <w:rsid w:val="00745C16"/>
    <w:rsid w:val="00745CC5"/>
    <w:rsid w:val="00745CE5"/>
    <w:rsid w:val="00745CFB"/>
    <w:rsid w:val="00745D08"/>
    <w:rsid w:val="00745D32"/>
    <w:rsid w:val="00745D81"/>
    <w:rsid w:val="00745D8B"/>
    <w:rsid w:val="00745DA3"/>
    <w:rsid w:val="00745DAC"/>
    <w:rsid w:val="00745E65"/>
    <w:rsid w:val="00745EB0"/>
    <w:rsid w:val="00745EB3"/>
    <w:rsid w:val="00745EBC"/>
    <w:rsid w:val="00745ED2"/>
    <w:rsid w:val="00745F7F"/>
    <w:rsid w:val="00745F82"/>
    <w:rsid w:val="00745FAD"/>
    <w:rsid w:val="00745FDB"/>
    <w:rsid w:val="00745FDD"/>
    <w:rsid w:val="00745FED"/>
    <w:rsid w:val="00746013"/>
    <w:rsid w:val="00746093"/>
    <w:rsid w:val="0074609B"/>
    <w:rsid w:val="007460D3"/>
    <w:rsid w:val="00746121"/>
    <w:rsid w:val="00746127"/>
    <w:rsid w:val="00746128"/>
    <w:rsid w:val="00746189"/>
    <w:rsid w:val="007461D3"/>
    <w:rsid w:val="0074627F"/>
    <w:rsid w:val="007462BC"/>
    <w:rsid w:val="0074631B"/>
    <w:rsid w:val="0074637A"/>
    <w:rsid w:val="00746509"/>
    <w:rsid w:val="0074655A"/>
    <w:rsid w:val="00746568"/>
    <w:rsid w:val="007465A2"/>
    <w:rsid w:val="007465C3"/>
    <w:rsid w:val="007465E0"/>
    <w:rsid w:val="00746713"/>
    <w:rsid w:val="00746755"/>
    <w:rsid w:val="007467BC"/>
    <w:rsid w:val="00746865"/>
    <w:rsid w:val="0074687B"/>
    <w:rsid w:val="00746894"/>
    <w:rsid w:val="00746898"/>
    <w:rsid w:val="007468BE"/>
    <w:rsid w:val="00746921"/>
    <w:rsid w:val="0074692F"/>
    <w:rsid w:val="00746976"/>
    <w:rsid w:val="007469AF"/>
    <w:rsid w:val="007469C2"/>
    <w:rsid w:val="00746A08"/>
    <w:rsid w:val="00746A21"/>
    <w:rsid w:val="00746A84"/>
    <w:rsid w:val="00746B02"/>
    <w:rsid w:val="00746B1A"/>
    <w:rsid w:val="00746B20"/>
    <w:rsid w:val="00746B21"/>
    <w:rsid w:val="00746B83"/>
    <w:rsid w:val="00746B94"/>
    <w:rsid w:val="00746BB8"/>
    <w:rsid w:val="00746BD7"/>
    <w:rsid w:val="00746BE0"/>
    <w:rsid w:val="00746BF1"/>
    <w:rsid w:val="00746CAA"/>
    <w:rsid w:val="00746D4D"/>
    <w:rsid w:val="00746D85"/>
    <w:rsid w:val="00746DC7"/>
    <w:rsid w:val="00746DE5"/>
    <w:rsid w:val="00746E8E"/>
    <w:rsid w:val="00746EC9"/>
    <w:rsid w:val="00746EF4"/>
    <w:rsid w:val="00746F1A"/>
    <w:rsid w:val="00746F21"/>
    <w:rsid w:val="00746F31"/>
    <w:rsid w:val="00746F51"/>
    <w:rsid w:val="00746F63"/>
    <w:rsid w:val="00747003"/>
    <w:rsid w:val="00747015"/>
    <w:rsid w:val="0074706B"/>
    <w:rsid w:val="007470A3"/>
    <w:rsid w:val="007470B5"/>
    <w:rsid w:val="00747107"/>
    <w:rsid w:val="007471B8"/>
    <w:rsid w:val="00747242"/>
    <w:rsid w:val="00747328"/>
    <w:rsid w:val="00747330"/>
    <w:rsid w:val="00747359"/>
    <w:rsid w:val="0074735A"/>
    <w:rsid w:val="007473D4"/>
    <w:rsid w:val="00747494"/>
    <w:rsid w:val="007474CD"/>
    <w:rsid w:val="0074752C"/>
    <w:rsid w:val="00747587"/>
    <w:rsid w:val="0074761A"/>
    <w:rsid w:val="00747634"/>
    <w:rsid w:val="0074763E"/>
    <w:rsid w:val="00747641"/>
    <w:rsid w:val="00747647"/>
    <w:rsid w:val="00747666"/>
    <w:rsid w:val="00747727"/>
    <w:rsid w:val="00747740"/>
    <w:rsid w:val="00747746"/>
    <w:rsid w:val="00747749"/>
    <w:rsid w:val="00747750"/>
    <w:rsid w:val="00747783"/>
    <w:rsid w:val="00747798"/>
    <w:rsid w:val="007477C4"/>
    <w:rsid w:val="007477C7"/>
    <w:rsid w:val="007477DE"/>
    <w:rsid w:val="007477FE"/>
    <w:rsid w:val="00747805"/>
    <w:rsid w:val="00747845"/>
    <w:rsid w:val="00747894"/>
    <w:rsid w:val="007478A2"/>
    <w:rsid w:val="007478E4"/>
    <w:rsid w:val="007478E9"/>
    <w:rsid w:val="007478F1"/>
    <w:rsid w:val="00747942"/>
    <w:rsid w:val="0074795A"/>
    <w:rsid w:val="00747989"/>
    <w:rsid w:val="007479A5"/>
    <w:rsid w:val="007479FF"/>
    <w:rsid w:val="00747A1B"/>
    <w:rsid w:val="00747A27"/>
    <w:rsid w:val="00747A94"/>
    <w:rsid w:val="00747ADA"/>
    <w:rsid w:val="00747AF7"/>
    <w:rsid w:val="00747B12"/>
    <w:rsid w:val="00747B22"/>
    <w:rsid w:val="00747B46"/>
    <w:rsid w:val="00747B55"/>
    <w:rsid w:val="00747B5C"/>
    <w:rsid w:val="00747B90"/>
    <w:rsid w:val="00747BC3"/>
    <w:rsid w:val="00747BEA"/>
    <w:rsid w:val="00747BF9"/>
    <w:rsid w:val="00747C6F"/>
    <w:rsid w:val="00747CB3"/>
    <w:rsid w:val="00747CCE"/>
    <w:rsid w:val="00747D59"/>
    <w:rsid w:val="00747DC2"/>
    <w:rsid w:val="00747E54"/>
    <w:rsid w:val="00747E8D"/>
    <w:rsid w:val="00747EC5"/>
    <w:rsid w:val="00747ECA"/>
    <w:rsid w:val="00747ED8"/>
    <w:rsid w:val="00747EF7"/>
    <w:rsid w:val="00747F23"/>
    <w:rsid w:val="00747F86"/>
    <w:rsid w:val="00747FB8"/>
    <w:rsid w:val="00747FC4"/>
    <w:rsid w:val="007490D3"/>
    <w:rsid w:val="0074D3F7"/>
    <w:rsid w:val="00750032"/>
    <w:rsid w:val="0075004E"/>
    <w:rsid w:val="0075005F"/>
    <w:rsid w:val="00750065"/>
    <w:rsid w:val="00750098"/>
    <w:rsid w:val="007500B5"/>
    <w:rsid w:val="007500F2"/>
    <w:rsid w:val="00750145"/>
    <w:rsid w:val="00750150"/>
    <w:rsid w:val="00750156"/>
    <w:rsid w:val="00750157"/>
    <w:rsid w:val="00750170"/>
    <w:rsid w:val="007501A3"/>
    <w:rsid w:val="007501C5"/>
    <w:rsid w:val="0075020E"/>
    <w:rsid w:val="0075022D"/>
    <w:rsid w:val="0075023C"/>
    <w:rsid w:val="007502A7"/>
    <w:rsid w:val="007502B4"/>
    <w:rsid w:val="007502D1"/>
    <w:rsid w:val="007503DA"/>
    <w:rsid w:val="0075042F"/>
    <w:rsid w:val="0075044E"/>
    <w:rsid w:val="00750483"/>
    <w:rsid w:val="0075048A"/>
    <w:rsid w:val="007504AA"/>
    <w:rsid w:val="007504E7"/>
    <w:rsid w:val="0075050B"/>
    <w:rsid w:val="00750632"/>
    <w:rsid w:val="00750633"/>
    <w:rsid w:val="007506B2"/>
    <w:rsid w:val="007506C7"/>
    <w:rsid w:val="007506CB"/>
    <w:rsid w:val="007506DD"/>
    <w:rsid w:val="0075072C"/>
    <w:rsid w:val="0075077C"/>
    <w:rsid w:val="00750790"/>
    <w:rsid w:val="007507AF"/>
    <w:rsid w:val="007507C6"/>
    <w:rsid w:val="007507C9"/>
    <w:rsid w:val="00750841"/>
    <w:rsid w:val="00750852"/>
    <w:rsid w:val="00750891"/>
    <w:rsid w:val="007508B9"/>
    <w:rsid w:val="007508BA"/>
    <w:rsid w:val="007508C4"/>
    <w:rsid w:val="0075094D"/>
    <w:rsid w:val="007509B8"/>
    <w:rsid w:val="007509C0"/>
    <w:rsid w:val="00750A24"/>
    <w:rsid w:val="00750A35"/>
    <w:rsid w:val="00750AC8"/>
    <w:rsid w:val="00750B22"/>
    <w:rsid w:val="00750B7F"/>
    <w:rsid w:val="00750BCD"/>
    <w:rsid w:val="00750BE3"/>
    <w:rsid w:val="00750BE5"/>
    <w:rsid w:val="00750C10"/>
    <w:rsid w:val="00750C18"/>
    <w:rsid w:val="00750C6F"/>
    <w:rsid w:val="00750C97"/>
    <w:rsid w:val="00750CBA"/>
    <w:rsid w:val="00750CDB"/>
    <w:rsid w:val="00750D10"/>
    <w:rsid w:val="00750D12"/>
    <w:rsid w:val="00750D3E"/>
    <w:rsid w:val="00750DAA"/>
    <w:rsid w:val="00750DC3"/>
    <w:rsid w:val="00750DC5"/>
    <w:rsid w:val="00750DF9"/>
    <w:rsid w:val="00750E47"/>
    <w:rsid w:val="00750E67"/>
    <w:rsid w:val="00750E77"/>
    <w:rsid w:val="00750E79"/>
    <w:rsid w:val="00750E8A"/>
    <w:rsid w:val="00750EC9"/>
    <w:rsid w:val="00750F55"/>
    <w:rsid w:val="00750F9C"/>
    <w:rsid w:val="00750FCE"/>
    <w:rsid w:val="00750FE2"/>
    <w:rsid w:val="00751027"/>
    <w:rsid w:val="00751043"/>
    <w:rsid w:val="0075105A"/>
    <w:rsid w:val="0075108A"/>
    <w:rsid w:val="007510A4"/>
    <w:rsid w:val="00751121"/>
    <w:rsid w:val="00751128"/>
    <w:rsid w:val="00751133"/>
    <w:rsid w:val="00751151"/>
    <w:rsid w:val="007511B6"/>
    <w:rsid w:val="007511C2"/>
    <w:rsid w:val="0075120A"/>
    <w:rsid w:val="00751225"/>
    <w:rsid w:val="00751256"/>
    <w:rsid w:val="007512BF"/>
    <w:rsid w:val="007512CC"/>
    <w:rsid w:val="007512D6"/>
    <w:rsid w:val="007512EF"/>
    <w:rsid w:val="00751321"/>
    <w:rsid w:val="0075141B"/>
    <w:rsid w:val="00751429"/>
    <w:rsid w:val="00751434"/>
    <w:rsid w:val="0075147B"/>
    <w:rsid w:val="007514C5"/>
    <w:rsid w:val="00751512"/>
    <w:rsid w:val="0075155B"/>
    <w:rsid w:val="0075155C"/>
    <w:rsid w:val="007515A5"/>
    <w:rsid w:val="007515AD"/>
    <w:rsid w:val="0075165B"/>
    <w:rsid w:val="0075169C"/>
    <w:rsid w:val="007516AB"/>
    <w:rsid w:val="007516E8"/>
    <w:rsid w:val="00751717"/>
    <w:rsid w:val="00751778"/>
    <w:rsid w:val="00751797"/>
    <w:rsid w:val="00751819"/>
    <w:rsid w:val="0075183A"/>
    <w:rsid w:val="00751865"/>
    <w:rsid w:val="0075188D"/>
    <w:rsid w:val="007518AA"/>
    <w:rsid w:val="007518D0"/>
    <w:rsid w:val="007518D6"/>
    <w:rsid w:val="007518ED"/>
    <w:rsid w:val="00751924"/>
    <w:rsid w:val="0075193D"/>
    <w:rsid w:val="00751940"/>
    <w:rsid w:val="0075199A"/>
    <w:rsid w:val="007519DD"/>
    <w:rsid w:val="00751A69"/>
    <w:rsid w:val="00751A87"/>
    <w:rsid w:val="00751AAE"/>
    <w:rsid w:val="00751AD9"/>
    <w:rsid w:val="00751AE1"/>
    <w:rsid w:val="00751AF5"/>
    <w:rsid w:val="00751B20"/>
    <w:rsid w:val="00751BA1"/>
    <w:rsid w:val="00751BC3"/>
    <w:rsid w:val="00751BCE"/>
    <w:rsid w:val="00751BFC"/>
    <w:rsid w:val="00751C15"/>
    <w:rsid w:val="00751C3C"/>
    <w:rsid w:val="00751C44"/>
    <w:rsid w:val="00751C77"/>
    <w:rsid w:val="00751C7D"/>
    <w:rsid w:val="00751CD8"/>
    <w:rsid w:val="00751CF8"/>
    <w:rsid w:val="00751D02"/>
    <w:rsid w:val="00751D1E"/>
    <w:rsid w:val="00751D92"/>
    <w:rsid w:val="00751DAD"/>
    <w:rsid w:val="00751DBD"/>
    <w:rsid w:val="00751DDD"/>
    <w:rsid w:val="00751E6C"/>
    <w:rsid w:val="00751E8E"/>
    <w:rsid w:val="00751F52"/>
    <w:rsid w:val="00751F5F"/>
    <w:rsid w:val="00751FC0"/>
    <w:rsid w:val="00751FF8"/>
    <w:rsid w:val="00752009"/>
    <w:rsid w:val="00752061"/>
    <w:rsid w:val="007520B0"/>
    <w:rsid w:val="007520B7"/>
    <w:rsid w:val="007520CD"/>
    <w:rsid w:val="007520F2"/>
    <w:rsid w:val="007520FE"/>
    <w:rsid w:val="00752183"/>
    <w:rsid w:val="0075218A"/>
    <w:rsid w:val="00752231"/>
    <w:rsid w:val="00752261"/>
    <w:rsid w:val="00752287"/>
    <w:rsid w:val="00752288"/>
    <w:rsid w:val="00752322"/>
    <w:rsid w:val="0075233C"/>
    <w:rsid w:val="00752354"/>
    <w:rsid w:val="00752365"/>
    <w:rsid w:val="007523FB"/>
    <w:rsid w:val="00752437"/>
    <w:rsid w:val="007524D9"/>
    <w:rsid w:val="007524F0"/>
    <w:rsid w:val="0075251A"/>
    <w:rsid w:val="00752569"/>
    <w:rsid w:val="00752623"/>
    <w:rsid w:val="0075262C"/>
    <w:rsid w:val="00752647"/>
    <w:rsid w:val="00752668"/>
    <w:rsid w:val="007526B9"/>
    <w:rsid w:val="007526C2"/>
    <w:rsid w:val="007526DE"/>
    <w:rsid w:val="00752726"/>
    <w:rsid w:val="0075273C"/>
    <w:rsid w:val="007527D8"/>
    <w:rsid w:val="007527E9"/>
    <w:rsid w:val="00752825"/>
    <w:rsid w:val="00752876"/>
    <w:rsid w:val="007528C3"/>
    <w:rsid w:val="007528C9"/>
    <w:rsid w:val="007528F0"/>
    <w:rsid w:val="007528F6"/>
    <w:rsid w:val="0075297F"/>
    <w:rsid w:val="007529BD"/>
    <w:rsid w:val="007529D3"/>
    <w:rsid w:val="007529DE"/>
    <w:rsid w:val="007529E1"/>
    <w:rsid w:val="007529E7"/>
    <w:rsid w:val="00752A16"/>
    <w:rsid w:val="00752A40"/>
    <w:rsid w:val="00752A6B"/>
    <w:rsid w:val="00752A79"/>
    <w:rsid w:val="00752A82"/>
    <w:rsid w:val="00752A88"/>
    <w:rsid w:val="00752ABC"/>
    <w:rsid w:val="00752AC1"/>
    <w:rsid w:val="00752AE3"/>
    <w:rsid w:val="00752B38"/>
    <w:rsid w:val="00752B3E"/>
    <w:rsid w:val="00752B4C"/>
    <w:rsid w:val="00752B5C"/>
    <w:rsid w:val="00752B89"/>
    <w:rsid w:val="00752BCC"/>
    <w:rsid w:val="00752BF1"/>
    <w:rsid w:val="00752BF6"/>
    <w:rsid w:val="00752C1F"/>
    <w:rsid w:val="00752C3A"/>
    <w:rsid w:val="00752C50"/>
    <w:rsid w:val="00752C58"/>
    <w:rsid w:val="00752C5B"/>
    <w:rsid w:val="00752CB7"/>
    <w:rsid w:val="00752D01"/>
    <w:rsid w:val="00752D4E"/>
    <w:rsid w:val="00752D9E"/>
    <w:rsid w:val="00752DAB"/>
    <w:rsid w:val="00752DDA"/>
    <w:rsid w:val="00752E12"/>
    <w:rsid w:val="00752E25"/>
    <w:rsid w:val="00752E27"/>
    <w:rsid w:val="00752E33"/>
    <w:rsid w:val="00752EC4"/>
    <w:rsid w:val="00752ECB"/>
    <w:rsid w:val="00752F55"/>
    <w:rsid w:val="00752F57"/>
    <w:rsid w:val="00752F60"/>
    <w:rsid w:val="00752F66"/>
    <w:rsid w:val="00752F7C"/>
    <w:rsid w:val="00752FC8"/>
    <w:rsid w:val="00752FF3"/>
    <w:rsid w:val="00753027"/>
    <w:rsid w:val="00753072"/>
    <w:rsid w:val="0075309B"/>
    <w:rsid w:val="007530A0"/>
    <w:rsid w:val="007530B0"/>
    <w:rsid w:val="007530D3"/>
    <w:rsid w:val="007530DC"/>
    <w:rsid w:val="0075320A"/>
    <w:rsid w:val="0075320E"/>
    <w:rsid w:val="0075324B"/>
    <w:rsid w:val="00753280"/>
    <w:rsid w:val="0075328B"/>
    <w:rsid w:val="0075338D"/>
    <w:rsid w:val="007533CE"/>
    <w:rsid w:val="00753474"/>
    <w:rsid w:val="00753483"/>
    <w:rsid w:val="007534BA"/>
    <w:rsid w:val="007534EA"/>
    <w:rsid w:val="0075351C"/>
    <w:rsid w:val="00753564"/>
    <w:rsid w:val="007535D1"/>
    <w:rsid w:val="007535F3"/>
    <w:rsid w:val="0075368E"/>
    <w:rsid w:val="007536DC"/>
    <w:rsid w:val="00753753"/>
    <w:rsid w:val="00753763"/>
    <w:rsid w:val="00753791"/>
    <w:rsid w:val="007537A6"/>
    <w:rsid w:val="007538AC"/>
    <w:rsid w:val="007538BE"/>
    <w:rsid w:val="007538E3"/>
    <w:rsid w:val="00753974"/>
    <w:rsid w:val="00753A78"/>
    <w:rsid w:val="00753A89"/>
    <w:rsid w:val="00753AE6"/>
    <w:rsid w:val="00753B16"/>
    <w:rsid w:val="00753B68"/>
    <w:rsid w:val="00753BAA"/>
    <w:rsid w:val="00753C12"/>
    <w:rsid w:val="00753C1E"/>
    <w:rsid w:val="00753CA3"/>
    <w:rsid w:val="00753CBE"/>
    <w:rsid w:val="00753CCC"/>
    <w:rsid w:val="00753D31"/>
    <w:rsid w:val="00753D44"/>
    <w:rsid w:val="00753D98"/>
    <w:rsid w:val="00753DDF"/>
    <w:rsid w:val="00753DFA"/>
    <w:rsid w:val="00753E0A"/>
    <w:rsid w:val="00753E3F"/>
    <w:rsid w:val="00753E71"/>
    <w:rsid w:val="00753E83"/>
    <w:rsid w:val="00753E91"/>
    <w:rsid w:val="00753E9F"/>
    <w:rsid w:val="00753F14"/>
    <w:rsid w:val="00753F8E"/>
    <w:rsid w:val="00753FE7"/>
    <w:rsid w:val="00753FFC"/>
    <w:rsid w:val="00754028"/>
    <w:rsid w:val="0075406E"/>
    <w:rsid w:val="00754096"/>
    <w:rsid w:val="00754098"/>
    <w:rsid w:val="007540B5"/>
    <w:rsid w:val="007540D4"/>
    <w:rsid w:val="00754103"/>
    <w:rsid w:val="00754110"/>
    <w:rsid w:val="00754126"/>
    <w:rsid w:val="0075417C"/>
    <w:rsid w:val="007541F3"/>
    <w:rsid w:val="0075420F"/>
    <w:rsid w:val="00754236"/>
    <w:rsid w:val="0075425A"/>
    <w:rsid w:val="00754265"/>
    <w:rsid w:val="0075429C"/>
    <w:rsid w:val="007542A5"/>
    <w:rsid w:val="007542A8"/>
    <w:rsid w:val="0075432B"/>
    <w:rsid w:val="007543AA"/>
    <w:rsid w:val="007543CD"/>
    <w:rsid w:val="007543E5"/>
    <w:rsid w:val="007543E8"/>
    <w:rsid w:val="00754400"/>
    <w:rsid w:val="00754442"/>
    <w:rsid w:val="0075454A"/>
    <w:rsid w:val="0075454D"/>
    <w:rsid w:val="0075455D"/>
    <w:rsid w:val="00754585"/>
    <w:rsid w:val="0075458B"/>
    <w:rsid w:val="007545BA"/>
    <w:rsid w:val="007545C0"/>
    <w:rsid w:val="00754609"/>
    <w:rsid w:val="0075463C"/>
    <w:rsid w:val="00754656"/>
    <w:rsid w:val="0075468F"/>
    <w:rsid w:val="007546AC"/>
    <w:rsid w:val="007546B9"/>
    <w:rsid w:val="00754705"/>
    <w:rsid w:val="00754708"/>
    <w:rsid w:val="00754726"/>
    <w:rsid w:val="007547A8"/>
    <w:rsid w:val="007547F0"/>
    <w:rsid w:val="007547F8"/>
    <w:rsid w:val="00754813"/>
    <w:rsid w:val="0075484C"/>
    <w:rsid w:val="0075487C"/>
    <w:rsid w:val="00754888"/>
    <w:rsid w:val="007548A9"/>
    <w:rsid w:val="00754919"/>
    <w:rsid w:val="00754932"/>
    <w:rsid w:val="00754999"/>
    <w:rsid w:val="007549AD"/>
    <w:rsid w:val="007549CC"/>
    <w:rsid w:val="00754A05"/>
    <w:rsid w:val="00754A18"/>
    <w:rsid w:val="00754AA2"/>
    <w:rsid w:val="00754AD7"/>
    <w:rsid w:val="00754B12"/>
    <w:rsid w:val="00754B74"/>
    <w:rsid w:val="00754B81"/>
    <w:rsid w:val="00754B97"/>
    <w:rsid w:val="00754BC2"/>
    <w:rsid w:val="00754BFC"/>
    <w:rsid w:val="00754C16"/>
    <w:rsid w:val="00754C37"/>
    <w:rsid w:val="00754C38"/>
    <w:rsid w:val="00754C4D"/>
    <w:rsid w:val="00754C65"/>
    <w:rsid w:val="00754CBD"/>
    <w:rsid w:val="00754CE0"/>
    <w:rsid w:val="00754CF5"/>
    <w:rsid w:val="00754D33"/>
    <w:rsid w:val="00754D8C"/>
    <w:rsid w:val="00754D9B"/>
    <w:rsid w:val="00754DA6"/>
    <w:rsid w:val="00754DB4"/>
    <w:rsid w:val="00754DD4"/>
    <w:rsid w:val="00754E0C"/>
    <w:rsid w:val="00754EAA"/>
    <w:rsid w:val="00754EC6"/>
    <w:rsid w:val="00754F37"/>
    <w:rsid w:val="00754F60"/>
    <w:rsid w:val="00754F69"/>
    <w:rsid w:val="00754F9C"/>
    <w:rsid w:val="00754FD9"/>
    <w:rsid w:val="0075500E"/>
    <w:rsid w:val="00755090"/>
    <w:rsid w:val="007550D9"/>
    <w:rsid w:val="0075511D"/>
    <w:rsid w:val="0075512C"/>
    <w:rsid w:val="0075512E"/>
    <w:rsid w:val="00755141"/>
    <w:rsid w:val="00755174"/>
    <w:rsid w:val="007551BF"/>
    <w:rsid w:val="007551D5"/>
    <w:rsid w:val="007551DD"/>
    <w:rsid w:val="0075520D"/>
    <w:rsid w:val="0075524B"/>
    <w:rsid w:val="00755262"/>
    <w:rsid w:val="0075527C"/>
    <w:rsid w:val="007552BB"/>
    <w:rsid w:val="007552E9"/>
    <w:rsid w:val="00755403"/>
    <w:rsid w:val="0075540B"/>
    <w:rsid w:val="007554BC"/>
    <w:rsid w:val="007554FC"/>
    <w:rsid w:val="007554FE"/>
    <w:rsid w:val="00755528"/>
    <w:rsid w:val="00755544"/>
    <w:rsid w:val="0075558E"/>
    <w:rsid w:val="00755593"/>
    <w:rsid w:val="007555BF"/>
    <w:rsid w:val="00755619"/>
    <w:rsid w:val="0075563D"/>
    <w:rsid w:val="0075566C"/>
    <w:rsid w:val="0075568A"/>
    <w:rsid w:val="00755714"/>
    <w:rsid w:val="00755727"/>
    <w:rsid w:val="00755742"/>
    <w:rsid w:val="007557C1"/>
    <w:rsid w:val="007557C9"/>
    <w:rsid w:val="007557D6"/>
    <w:rsid w:val="00755818"/>
    <w:rsid w:val="0075581F"/>
    <w:rsid w:val="0075582A"/>
    <w:rsid w:val="00755862"/>
    <w:rsid w:val="0075587C"/>
    <w:rsid w:val="00755977"/>
    <w:rsid w:val="0075597F"/>
    <w:rsid w:val="0075599A"/>
    <w:rsid w:val="00755A61"/>
    <w:rsid w:val="00755AC4"/>
    <w:rsid w:val="00755B61"/>
    <w:rsid w:val="00755BB4"/>
    <w:rsid w:val="00755C40"/>
    <w:rsid w:val="00755C99"/>
    <w:rsid w:val="00755D03"/>
    <w:rsid w:val="00755DDC"/>
    <w:rsid w:val="00755DED"/>
    <w:rsid w:val="00755E56"/>
    <w:rsid w:val="00755F65"/>
    <w:rsid w:val="00755F74"/>
    <w:rsid w:val="00755FA0"/>
    <w:rsid w:val="00755FF9"/>
    <w:rsid w:val="00755FFF"/>
    <w:rsid w:val="00756051"/>
    <w:rsid w:val="007560CC"/>
    <w:rsid w:val="007560DC"/>
    <w:rsid w:val="00756151"/>
    <w:rsid w:val="00756183"/>
    <w:rsid w:val="007561B2"/>
    <w:rsid w:val="00756200"/>
    <w:rsid w:val="00756212"/>
    <w:rsid w:val="00756222"/>
    <w:rsid w:val="00756243"/>
    <w:rsid w:val="0075625D"/>
    <w:rsid w:val="007562CA"/>
    <w:rsid w:val="00756304"/>
    <w:rsid w:val="0075630E"/>
    <w:rsid w:val="0075633A"/>
    <w:rsid w:val="0075636D"/>
    <w:rsid w:val="00756382"/>
    <w:rsid w:val="007563A5"/>
    <w:rsid w:val="007563F2"/>
    <w:rsid w:val="00756471"/>
    <w:rsid w:val="007564D5"/>
    <w:rsid w:val="00756503"/>
    <w:rsid w:val="00756514"/>
    <w:rsid w:val="00756530"/>
    <w:rsid w:val="0075656E"/>
    <w:rsid w:val="0075657B"/>
    <w:rsid w:val="00756585"/>
    <w:rsid w:val="007565EF"/>
    <w:rsid w:val="00756602"/>
    <w:rsid w:val="0075660E"/>
    <w:rsid w:val="00756678"/>
    <w:rsid w:val="007566BA"/>
    <w:rsid w:val="007566C3"/>
    <w:rsid w:val="007566D7"/>
    <w:rsid w:val="00756787"/>
    <w:rsid w:val="0075678A"/>
    <w:rsid w:val="00756826"/>
    <w:rsid w:val="0075682B"/>
    <w:rsid w:val="00756859"/>
    <w:rsid w:val="00756921"/>
    <w:rsid w:val="0075697A"/>
    <w:rsid w:val="007569DE"/>
    <w:rsid w:val="00756A02"/>
    <w:rsid w:val="00756A34"/>
    <w:rsid w:val="00756A47"/>
    <w:rsid w:val="00756A6F"/>
    <w:rsid w:val="00756A72"/>
    <w:rsid w:val="00756AB6"/>
    <w:rsid w:val="00756AB8"/>
    <w:rsid w:val="00756AD0"/>
    <w:rsid w:val="00756AF2"/>
    <w:rsid w:val="00756B34"/>
    <w:rsid w:val="00756B95"/>
    <w:rsid w:val="00756B99"/>
    <w:rsid w:val="00756BB5"/>
    <w:rsid w:val="00756BF9"/>
    <w:rsid w:val="00756C0F"/>
    <w:rsid w:val="00756C84"/>
    <w:rsid w:val="00756CDA"/>
    <w:rsid w:val="00756D0C"/>
    <w:rsid w:val="00756D53"/>
    <w:rsid w:val="00756D65"/>
    <w:rsid w:val="00756D66"/>
    <w:rsid w:val="00756DB7"/>
    <w:rsid w:val="00756DFD"/>
    <w:rsid w:val="00756E1D"/>
    <w:rsid w:val="00756E1E"/>
    <w:rsid w:val="00756E68"/>
    <w:rsid w:val="00756E6E"/>
    <w:rsid w:val="00756EA9"/>
    <w:rsid w:val="00756EE6"/>
    <w:rsid w:val="00756EF4"/>
    <w:rsid w:val="00756F36"/>
    <w:rsid w:val="00756F72"/>
    <w:rsid w:val="00756F94"/>
    <w:rsid w:val="00756FEC"/>
    <w:rsid w:val="00757003"/>
    <w:rsid w:val="0075701E"/>
    <w:rsid w:val="0075703E"/>
    <w:rsid w:val="007570B7"/>
    <w:rsid w:val="007570C2"/>
    <w:rsid w:val="007570E3"/>
    <w:rsid w:val="007570E6"/>
    <w:rsid w:val="00757139"/>
    <w:rsid w:val="0075715F"/>
    <w:rsid w:val="007571BC"/>
    <w:rsid w:val="007571DD"/>
    <w:rsid w:val="00757203"/>
    <w:rsid w:val="007572D9"/>
    <w:rsid w:val="00757349"/>
    <w:rsid w:val="00757371"/>
    <w:rsid w:val="0075740B"/>
    <w:rsid w:val="00757413"/>
    <w:rsid w:val="00757440"/>
    <w:rsid w:val="00757481"/>
    <w:rsid w:val="007574CC"/>
    <w:rsid w:val="007574D1"/>
    <w:rsid w:val="00757521"/>
    <w:rsid w:val="00757541"/>
    <w:rsid w:val="0075756E"/>
    <w:rsid w:val="007575AE"/>
    <w:rsid w:val="007575E4"/>
    <w:rsid w:val="00757635"/>
    <w:rsid w:val="0075765D"/>
    <w:rsid w:val="0075772A"/>
    <w:rsid w:val="00757735"/>
    <w:rsid w:val="007577D8"/>
    <w:rsid w:val="007577F0"/>
    <w:rsid w:val="007577F9"/>
    <w:rsid w:val="0075782A"/>
    <w:rsid w:val="0075787D"/>
    <w:rsid w:val="0075791A"/>
    <w:rsid w:val="00757927"/>
    <w:rsid w:val="00757958"/>
    <w:rsid w:val="00757978"/>
    <w:rsid w:val="0075797A"/>
    <w:rsid w:val="00757988"/>
    <w:rsid w:val="00757AB2"/>
    <w:rsid w:val="00757AB5"/>
    <w:rsid w:val="00757AE0"/>
    <w:rsid w:val="00757B05"/>
    <w:rsid w:val="00757B33"/>
    <w:rsid w:val="00757B96"/>
    <w:rsid w:val="00757B99"/>
    <w:rsid w:val="00757C68"/>
    <w:rsid w:val="00757C7E"/>
    <w:rsid w:val="00757CB4"/>
    <w:rsid w:val="00757D2F"/>
    <w:rsid w:val="00757D5D"/>
    <w:rsid w:val="00757D69"/>
    <w:rsid w:val="00757E5E"/>
    <w:rsid w:val="00757EFF"/>
    <w:rsid w:val="00757F0B"/>
    <w:rsid w:val="00757F31"/>
    <w:rsid w:val="00757F54"/>
    <w:rsid w:val="00757F73"/>
    <w:rsid w:val="00757F99"/>
    <w:rsid w:val="00757FDF"/>
    <w:rsid w:val="0075ACE6"/>
    <w:rsid w:val="0075F387"/>
    <w:rsid w:val="0076000E"/>
    <w:rsid w:val="00760014"/>
    <w:rsid w:val="00760030"/>
    <w:rsid w:val="007600B0"/>
    <w:rsid w:val="007600BD"/>
    <w:rsid w:val="007600DE"/>
    <w:rsid w:val="007600E9"/>
    <w:rsid w:val="00760109"/>
    <w:rsid w:val="0076011A"/>
    <w:rsid w:val="0076013F"/>
    <w:rsid w:val="0076016D"/>
    <w:rsid w:val="007601C2"/>
    <w:rsid w:val="007601CF"/>
    <w:rsid w:val="007601D9"/>
    <w:rsid w:val="007601E2"/>
    <w:rsid w:val="007603C2"/>
    <w:rsid w:val="007603CF"/>
    <w:rsid w:val="0076046E"/>
    <w:rsid w:val="007604A5"/>
    <w:rsid w:val="007604BE"/>
    <w:rsid w:val="00760521"/>
    <w:rsid w:val="007605E9"/>
    <w:rsid w:val="0076061E"/>
    <w:rsid w:val="0076064F"/>
    <w:rsid w:val="00760655"/>
    <w:rsid w:val="00760674"/>
    <w:rsid w:val="0076069F"/>
    <w:rsid w:val="00760724"/>
    <w:rsid w:val="00760730"/>
    <w:rsid w:val="0076079C"/>
    <w:rsid w:val="007607AC"/>
    <w:rsid w:val="00760807"/>
    <w:rsid w:val="00760816"/>
    <w:rsid w:val="0076085C"/>
    <w:rsid w:val="00760875"/>
    <w:rsid w:val="00760895"/>
    <w:rsid w:val="007608B1"/>
    <w:rsid w:val="00760959"/>
    <w:rsid w:val="00760971"/>
    <w:rsid w:val="00760983"/>
    <w:rsid w:val="00760986"/>
    <w:rsid w:val="0076099C"/>
    <w:rsid w:val="007609B0"/>
    <w:rsid w:val="007609C5"/>
    <w:rsid w:val="00760A36"/>
    <w:rsid w:val="00760A56"/>
    <w:rsid w:val="00760A5B"/>
    <w:rsid w:val="00760A7A"/>
    <w:rsid w:val="00760ABF"/>
    <w:rsid w:val="00760ACB"/>
    <w:rsid w:val="00760AD0"/>
    <w:rsid w:val="00760B0E"/>
    <w:rsid w:val="00760B50"/>
    <w:rsid w:val="00760B76"/>
    <w:rsid w:val="00760B7B"/>
    <w:rsid w:val="00760C10"/>
    <w:rsid w:val="00760C3B"/>
    <w:rsid w:val="00760C4E"/>
    <w:rsid w:val="00760C61"/>
    <w:rsid w:val="00760C62"/>
    <w:rsid w:val="00760C87"/>
    <w:rsid w:val="00760CAC"/>
    <w:rsid w:val="00760CC0"/>
    <w:rsid w:val="00760CDE"/>
    <w:rsid w:val="00760D86"/>
    <w:rsid w:val="00760D91"/>
    <w:rsid w:val="00760D9A"/>
    <w:rsid w:val="00760E0A"/>
    <w:rsid w:val="00760E16"/>
    <w:rsid w:val="00760E9A"/>
    <w:rsid w:val="00760EAB"/>
    <w:rsid w:val="00760ED5"/>
    <w:rsid w:val="00760F76"/>
    <w:rsid w:val="00760FEA"/>
    <w:rsid w:val="0076104D"/>
    <w:rsid w:val="00761089"/>
    <w:rsid w:val="007610BD"/>
    <w:rsid w:val="00761134"/>
    <w:rsid w:val="0076114D"/>
    <w:rsid w:val="0076118D"/>
    <w:rsid w:val="00761195"/>
    <w:rsid w:val="007611A8"/>
    <w:rsid w:val="007611B8"/>
    <w:rsid w:val="00761231"/>
    <w:rsid w:val="00761275"/>
    <w:rsid w:val="0076130A"/>
    <w:rsid w:val="00761371"/>
    <w:rsid w:val="00761377"/>
    <w:rsid w:val="007613C8"/>
    <w:rsid w:val="007613D4"/>
    <w:rsid w:val="007613E1"/>
    <w:rsid w:val="007613F6"/>
    <w:rsid w:val="007613F9"/>
    <w:rsid w:val="0076141F"/>
    <w:rsid w:val="00761491"/>
    <w:rsid w:val="007614D4"/>
    <w:rsid w:val="007614DA"/>
    <w:rsid w:val="0076156A"/>
    <w:rsid w:val="00761593"/>
    <w:rsid w:val="007615D5"/>
    <w:rsid w:val="007615E5"/>
    <w:rsid w:val="00761625"/>
    <w:rsid w:val="00761643"/>
    <w:rsid w:val="00761691"/>
    <w:rsid w:val="007616A7"/>
    <w:rsid w:val="007616B6"/>
    <w:rsid w:val="00761704"/>
    <w:rsid w:val="00761705"/>
    <w:rsid w:val="00761713"/>
    <w:rsid w:val="00761774"/>
    <w:rsid w:val="00761781"/>
    <w:rsid w:val="0076178C"/>
    <w:rsid w:val="00761887"/>
    <w:rsid w:val="00761908"/>
    <w:rsid w:val="00761911"/>
    <w:rsid w:val="00761920"/>
    <w:rsid w:val="00761946"/>
    <w:rsid w:val="007619ED"/>
    <w:rsid w:val="00761A16"/>
    <w:rsid w:val="00761A17"/>
    <w:rsid w:val="00761A19"/>
    <w:rsid w:val="00761A70"/>
    <w:rsid w:val="00761AA9"/>
    <w:rsid w:val="00761ACE"/>
    <w:rsid w:val="00761AE4"/>
    <w:rsid w:val="00761AF8"/>
    <w:rsid w:val="00761B26"/>
    <w:rsid w:val="00761B31"/>
    <w:rsid w:val="00761C0E"/>
    <w:rsid w:val="00761C29"/>
    <w:rsid w:val="00761D17"/>
    <w:rsid w:val="00761D49"/>
    <w:rsid w:val="00761D6E"/>
    <w:rsid w:val="00761D80"/>
    <w:rsid w:val="00761D94"/>
    <w:rsid w:val="00761DCD"/>
    <w:rsid w:val="00761DDD"/>
    <w:rsid w:val="00761E08"/>
    <w:rsid w:val="00761E51"/>
    <w:rsid w:val="00761EDA"/>
    <w:rsid w:val="00761EDD"/>
    <w:rsid w:val="00761F71"/>
    <w:rsid w:val="00761F8E"/>
    <w:rsid w:val="00761F96"/>
    <w:rsid w:val="00761FAF"/>
    <w:rsid w:val="00761FC4"/>
    <w:rsid w:val="00761FCA"/>
    <w:rsid w:val="00761FD3"/>
    <w:rsid w:val="00762001"/>
    <w:rsid w:val="007620B6"/>
    <w:rsid w:val="00762159"/>
    <w:rsid w:val="007621A6"/>
    <w:rsid w:val="007621B9"/>
    <w:rsid w:val="007621FA"/>
    <w:rsid w:val="00762248"/>
    <w:rsid w:val="00762260"/>
    <w:rsid w:val="00762276"/>
    <w:rsid w:val="0076231B"/>
    <w:rsid w:val="007623FB"/>
    <w:rsid w:val="00762406"/>
    <w:rsid w:val="00762426"/>
    <w:rsid w:val="00762434"/>
    <w:rsid w:val="00762445"/>
    <w:rsid w:val="00762493"/>
    <w:rsid w:val="007624C0"/>
    <w:rsid w:val="007624F1"/>
    <w:rsid w:val="00762542"/>
    <w:rsid w:val="00762555"/>
    <w:rsid w:val="00762594"/>
    <w:rsid w:val="00762595"/>
    <w:rsid w:val="00762602"/>
    <w:rsid w:val="007626F5"/>
    <w:rsid w:val="00762707"/>
    <w:rsid w:val="00762779"/>
    <w:rsid w:val="007628C7"/>
    <w:rsid w:val="007628CC"/>
    <w:rsid w:val="0076295A"/>
    <w:rsid w:val="0076298E"/>
    <w:rsid w:val="007629AE"/>
    <w:rsid w:val="007629B1"/>
    <w:rsid w:val="007629EC"/>
    <w:rsid w:val="00762A13"/>
    <w:rsid w:val="00762A14"/>
    <w:rsid w:val="00762A1B"/>
    <w:rsid w:val="00762ABF"/>
    <w:rsid w:val="00762AC4"/>
    <w:rsid w:val="00762B5D"/>
    <w:rsid w:val="00762B78"/>
    <w:rsid w:val="00762B83"/>
    <w:rsid w:val="00762B8A"/>
    <w:rsid w:val="00762BA7"/>
    <w:rsid w:val="00762BC3"/>
    <w:rsid w:val="00762BDC"/>
    <w:rsid w:val="00762BFA"/>
    <w:rsid w:val="00762C00"/>
    <w:rsid w:val="00762C1B"/>
    <w:rsid w:val="00762C2D"/>
    <w:rsid w:val="00762C48"/>
    <w:rsid w:val="00762C6C"/>
    <w:rsid w:val="00762C83"/>
    <w:rsid w:val="00762C90"/>
    <w:rsid w:val="00762CC0"/>
    <w:rsid w:val="00762CD0"/>
    <w:rsid w:val="00762D61"/>
    <w:rsid w:val="00762D99"/>
    <w:rsid w:val="00762DBA"/>
    <w:rsid w:val="00762DCB"/>
    <w:rsid w:val="00762DCE"/>
    <w:rsid w:val="00762DD8"/>
    <w:rsid w:val="00762E95"/>
    <w:rsid w:val="00762EDC"/>
    <w:rsid w:val="00762EE7"/>
    <w:rsid w:val="00762F30"/>
    <w:rsid w:val="00762F9D"/>
    <w:rsid w:val="00762FC3"/>
    <w:rsid w:val="00762FCB"/>
    <w:rsid w:val="0076308C"/>
    <w:rsid w:val="0076308E"/>
    <w:rsid w:val="00763119"/>
    <w:rsid w:val="0076312B"/>
    <w:rsid w:val="0076312F"/>
    <w:rsid w:val="00763194"/>
    <w:rsid w:val="007631EF"/>
    <w:rsid w:val="00763205"/>
    <w:rsid w:val="0076320E"/>
    <w:rsid w:val="0076322A"/>
    <w:rsid w:val="0076323A"/>
    <w:rsid w:val="0076330F"/>
    <w:rsid w:val="0076334F"/>
    <w:rsid w:val="00763356"/>
    <w:rsid w:val="00763358"/>
    <w:rsid w:val="0076335E"/>
    <w:rsid w:val="00763366"/>
    <w:rsid w:val="0076339A"/>
    <w:rsid w:val="007633B5"/>
    <w:rsid w:val="0076340E"/>
    <w:rsid w:val="00763410"/>
    <w:rsid w:val="0076343A"/>
    <w:rsid w:val="00763461"/>
    <w:rsid w:val="00763476"/>
    <w:rsid w:val="00763477"/>
    <w:rsid w:val="007634A7"/>
    <w:rsid w:val="007634D2"/>
    <w:rsid w:val="007634DF"/>
    <w:rsid w:val="00763511"/>
    <w:rsid w:val="00763539"/>
    <w:rsid w:val="00763581"/>
    <w:rsid w:val="007635CB"/>
    <w:rsid w:val="007635DA"/>
    <w:rsid w:val="007635FA"/>
    <w:rsid w:val="00763601"/>
    <w:rsid w:val="0076360C"/>
    <w:rsid w:val="0076363E"/>
    <w:rsid w:val="00763649"/>
    <w:rsid w:val="0076366A"/>
    <w:rsid w:val="00763676"/>
    <w:rsid w:val="007636A9"/>
    <w:rsid w:val="0076370E"/>
    <w:rsid w:val="0076372E"/>
    <w:rsid w:val="00763736"/>
    <w:rsid w:val="0076374A"/>
    <w:rsid w:val="00763784"/>
    <w:rsid w:val="007637C8"/>
    <w:rsid w:val="0076383F"/>
    <w:rsid w:val="007638B8"/>
    <w:rsid w:val="0076393C"/>
    <w:rsid w:val="0076394C"/>
    <w:rsid w:val="0076395C"/>
    <w:rsid w:val="007639AF"/>
    <w:rsid w:val="007639C6"/>
    <w:rsid w:val="00763A04"/>
    <w:rsid w:val="00763A50"/>
    <w:rsid w:val="00763A69"/>
    <w:rsid w:val="00763A96"/>
    <w:rsid w:val="00763ABC"/>
    <w:rsid w:val="00763AC5"/>
    <w:rsid w:val="00763AE2"/>
    <w:rsid w:val="00763B4B"/>
    <w:rsid w:val="00763B95"/>
    <w:rsid w:val="00763BD1"/>
    <w:rsid w:val="00763C44"/>
    <w:rsid w:val="00763C71"/>
    <w:rsid w:val="00763C86"/>
    <w:rsid w:val="00763CA5"/>
    <w:rsid w:val="00763CAD"/>
    <w:rsid w:val="00763CD4"/>
    <w:rsid w:val="00763CE1"/>
    <w:rsid w:val="00763CFF"/>
    <w:rsid w:val="00763D21"/>
    <w:rsid w:val="00763D45"/>
    <w:rsid w:val="00763D85"/>
    <w:rsid w:val="00763DA8"/>
    <w:rsid w:val="00763E0D"/>
    <w:rsid w:val="00763E5B"/>
    <w:rsid w:val="00763EA8"/>
    <w:rsid w:val="00763EE3"/>
    <w:rsid w:val="00763EF7"/>
    <w:rsid w:val="00763EFD"/>
    <w:rsid w:val="00763FEA"/>
    <w:rsid w:val="0076400E"/>
    <w:rsid w:val="0076403A"/>
    <w:rsid w:val="007640AB"/>
    <w:rsid w:val="007640C6"/>
    <w:rsid w:val="00764196"/>
    <w:rsid w:val="007641A3"/>
    <w:rsid w:val="007641A7"/>
    <w:rsid w:val="007641AD"/>
    <w:rsid w:val="007641B2"/>
    <w:rsid w:val="007641C2"/>
    <w:rsid w:val="007641F1"/>
    <w:rsid w:val="007641FE"/>
    <w:rsid w:val="00764239"/>
    <w:rsid w:val="0076428A"/>
    <w:rsid w:val="0076429E"/>
    <w:rsid w:val="007642A3"/>
    <w:rsid w:val="007642B6"/>
    <w:rsid w:val="007642BF"/>
    <w:rsid w:val="007642C2"/>
    <w:rsid w:val="007642E7"/>
    <w:rsid w:val="007642EF"/>
    <w:rsid w:val="007642F4"/>
    <w:rsid w:val="00764330"/>
    <w:rsid w:val="0076437A"/>
    <w:rsid w:val="00764383"/>
    <w:rsid w:val="0076439F"/>
    <w:rsid w:val="007643B6"/>
    <w:rsid w:val="00764431"/>
    <w:rsid w:val="00764440"/>
    <w:rsid w:val="00764470"/>
    <w:rsid w:val="007644BC"/>
    <w:rsid w:val="007644F4"/>
    <w:rsid w:val="007644FD"/>
    <w:rsid w:val="00764504"/>
    <w:rsid w:val="00764560"/>
    <w:rsid w:val="0076457C"/>
    <w:rsid w:val="00764585"/>
    <w:rsid w:val="007645B1"/>
    <w:rsid w:val="007645BC"/>
    <w:rsid w:val="007645E6"/>
    <w:rsid w:val="007645F8"/>
    <w:rsid w:val="00764648"/>
    <w:rsid w:val="0076467F"/>
    <w:rsid w:val="00764698"/>
    <w:rsid w:val="007646DF"/>
    <w:rsid w:val="00764705"/>
    <w:rsid w:val="00764781"/>
    <w:rsid w:val="007647AE"/>
    <w:rsid w:val="007647B0"/>
    <w:rsid w:val="007647BF"/>
    <w:rsid w:val="0076483F"/>
    <w:rsid w:val="00764843"/>
    <w:rsid w:val="00764864"/>
    <w:rsid w:val="0076486A"/>
    <w:rsid w:val="0076486F"/>
    <w:rsid w:val="0076488F"/>
    <w:rsid w:val="0076490D"/>
    <w:rsid w:val="00764943"/>
    <w:rsid w:val="00764969"/>
    <w:rsid w:val="00764977"/>
    <w:rsid w:val="00764A34"/>
    <w:rsid w:val="00764A35"/>
    <w:rsid w:val="00764A4E"/>
    <w:rsid w:val="00764A63"/>
    <w:rsid w:val="00764A9E"/>
    <w:rsid w:val="00764AA9"/>
    <w:rsid w:val="00764ABA"/>
    <w:rsid w:val="00764B74"/>
    <w:rsid w:val="00764B7C"/>
    <w:rsid w:val="00764BF3"/>
    <w:rsid w:val="00764C45"/>
    <w:rsid w:val="00764C4A"/>
    <w:rsid w:val="00764C6E"/>
    <w:rsid w:val="00764CB7"/>
    <w:rsid w:val="00764CE9"/>
    <w:rsid w:val="00764DCD"/>
    <w:rsid w:val="00764DEE"/>
    <w:rsid w:val="00764E07"/>
    <w:rsid w:val="00764E4A"/>
    <w:rsid w:val="00764EA8"/>
    <w:rsid w:val="00764EF4"/>
    <w:rsid w:val="00764F5A"/>
    <w:rsid w:val="00764F98"/>
    <w:rsid w:val="00764FB0"/>
    <w:rsid w:val="00764FD2"/>
    <w:rsid w:val="00765002"/>
    <w:rsid w:val="00765003"/>
    <w:rsid w:val="007650CD"/>
    <w:rsid w:val="007650CF"/>
    <w:rsid w:val="007650FF"/>
    <w:rsid w:val="00765110"/>
    <w:rsid w:val="00765126"/>
    <w:rsid w:val="00765129"/>
    <w:rsid w:val="00765132"/>
    <w:rsid w:val="00765183"/>
    <w:rsid w:val="007651BD"/>
    <w:rsid w:val="00765205"/>
    <w:rsid w:val="0076526D"/>
    <w:rsid w:val="007652D9"/>
    <w:rsid w:val="007652E7"/>
    <w:rsid w:val="007652FF"/>
    <w:rsid w:val="00765343"/>
    <w:rsid w:val="007653A8"/>
    <w:rsid w:val="007653D9"/>
    <w:rsid w:val="007653FD"/>
    <w:rsid w:val="00765464"/>
    <w:rsid w:val="00765483"/>
    <w:rsid w:val="00765487"/>
    <w:rsid w:val="00765498"/>
    <w:rsid w:val="007654DA"/>
    <w:rsid w:val="007654DC"/>
    <w:rsid w:val="007654E0"/>
    <w:rsid w:val="007654EA"/>
    <w:rsid w:val="007654EC"/>
    <w:rsid w:val="00765500"/>
    <w:rsid w:val="00765515"/>
    <w:rsid w:val="00765547"/>
    <w:rsid w:val="0076557B"/>
    <w:rsid w:val="007655C1"/>
    <w:rsid w:val="0076565F"/>
    <w:rsid w:val="00765669"/>
    <w:rsid w:val="007656A3"/>
    <w:rsid w:val="007656E7"/>
    <w:rsid w:val="0076572A"/>
    <w:rsid w:val="00765751"/>
    <w:rsid w:val="00765768"/>
    <w:rsid w:val="007657DA"/>
    <w:rsid w:val="00765840"/>
    <w:rsid w:val="00765855"/>
    <w:rsid w:val="0076589A"/>
    <w:rsid w:val="0076589C"/>
    <w:rsid w:val="007658A8"/>
    <w:rsid w:val="007658BB"/>
    <w:rsid w:val="007658D4"/>
    <w:rsid w:val="00765918"/>
    <w:rsid w:val="00765923"/>
    <w:rsid w:val="00765927"/>
    <w:rsid w:val="00765949"/>
    <w:rsid w:val="00765986"/>
    <w:rsid w:val="007659AB"/>
    <w:rsid w:val="007659D1"/>
    <w:rsid w:val="007659FE"/>
    <w:rsid w:val="00765A94"/>
    <w:rsid w:val="00765AD2"/>
    <w:rsid w:val="00765AE2"/>
    <w:rsid w:val="00765AF7"/>
    <w:rsid w:val="00765B62"/>
    <w:rsid w:val="00765B70"/>
    <w:rsid w:val="00765BC7"/>
    <w:rsid w:val="00765BD5"/>
    <w:rsid w:val="00765BF9"/>
    <w:rsid w:val="00765C51"/>
    <w:rsid w:val="00765C78"/>
    <w:rsid w:val="00765C82"/>
    <w:rsid w:val="00765C85"/>
    <w:rsid w:val="00765C99"/>
    <w:rsid w:val="00765CED"/>
    <w:rsid w:val="00765D09"/>
    <w:rsid w:val="00765D3D"/>
    <w:rsid w:val="00765D9A"/>
    <w:rsid w:val="00765DD1"/>
    <w:rsid w:val="00765E34"/>
    <w:rsid w:val="00765E40"/>
    <w:rsid w:val="00765E44"/>
    <w:rsid w:val="00765E7C"/>
    <w:rsid w:val="00765EE6"/>
    <w:rsid w:val="00765EEC"/>
    <w:rsid w:val="00765F33"/>
    <w:rsid w:val="00765F63"/>
    <w:rsid w:val="00765F67"/>
    <w:rsid w:val="00765FAA"/>
    <w:rsid w:val="00765FD8"/>
    <w:rsid w:val="00766002"/>
    <w:rsid w:val="00766014"/>
    <w:rsid w:val="0076601A"/>
    <w:rsid w:val="00766031"/>
    <w:rsid w:val="0076608A"/>
    <w:rsid w:val="007660C6"/>
    <w:rsid w:val="0076610A"/>
    <w:rsid w:val="00766113"/>
    <w:rsid w:val="00766135"/>
    <w:rsid w:val="007661A3"/>
    <w:rsid w:val="007661AD"/>
    <w:rsid w:val="007661C6"/>
    <w:rsid w:val="00766212"/>
    <w:rsid w:val="0076621D"/>
    <w:rsid w:val="0076624C"/>
    <w:rsid w:val="00766287"/>
    <w:rsid w:val="007662A4"/>
    <w:rsid w:val="007662B9"/>
    <w:rsid w:val="00766304"/>
    <w:rsid w:val="00766345"/>
    <w:rsid w:val="00766356"/>
    <w:rsid w:val="0076640A"/>
    <w:rsid w:val="0076640F"/>
    <w:rsid w:val="0076642D"/>
    <w:rsid w:val="00766456"/>
    <w:rsid w:val="00766492"/>
    <w:rsid w:val="007664E2"/>
    <w:rsid w:val="007664E7"/>
    <w:rsid w:val="00766511"/>
    <w:rsid w:val="00766563"/>
    <w:rsid w:val="0076656A"/>
    <w:rsid w:val="0076657C"/>
    <w:rsid w:val="00766599"/>
    <w:rsid w:val="007665EC"/>
    <w:rsid w:val="00766616"/>
    <w:rsid w:val="00766625"/>
    <w:rsid w:val="0076666D"/>
    <w:rsid w:val="007666B1"/>
    <w:rsid w:val="007666DB"/>
    <w:rsid w:val="00766701"/>
    <w:rsid w:val="00766706"/>
    <w:rsid w:val="00766726"/>
    <w:rsid w:val="00766732"/>
    <w:rsid w:val="007667EF"/>
    <w:rsid w:val="0076683C"/>
    <w:rsid w:val="007668B5"/>
    <w:rsid w:val="007669AE"/>
    <w:rsid w:val="007669E0"/>
    <w:rsid w:val="007669E7"/>
    <w:rsid w:val="007669F4"/>
    <w:rsid w:val="00766ABC"/>
    <w:rsid w:val="00766AE0"/>
    <w:rsid w:val="00766B19"/>
    <w:rsid w:val="00766B53"/>
    <w:rsid w:val="00766B61"/>
    <w:rsid w:val="00766C0E"/>
    <w:rsid w:val="00766C10"/>
    <w:rsid w:val="00766C7B"/>
    <w:rsid w:val="00766D42"/>
    <w:rsid w:val="00766D4E"/>
    <w:rsid w:val="00766D82"/>
    <w:rsid w:val="00766DAF"/>
    <w:rsid w:val="00766DF9"/>
    <w:rsid w:val="00766E2F"/>
    <w:rsid w:val="00766E31"/>
    <w:rsid w:val="00766E36"/>
    <w:rsid w:val="00766E44"/>
    <w:rsid w:val="00766E86"/>
    <w:rsid w:val="00766EC1"/>
    <w:rsid w:val="00766ECE"/>
    <w:rsid w:val="00766F06"/>
    <w:rsid w:val="00766FC3"/>
    <w:rsid w:val="00766FD3"/>
    <w:rsid w:val="0076707E"/>
    <w:rsid w:val="007670B7"/>
    <w:rsid w:val="0076711D"/>
    <w:rsid w:val="0076717A"/>
    <w:rsid w:val="007671D9"/>
    <w:rsid w:val="00767211"/>
    <w:rsid w:val="0076724D"/>
    <w:rsid w:val="00767257"/>
    <w:rsid w:val="00767297"/>
    <w:rsid w:val="007672B0"/>
    <w:rsid w:val="007672BD"/>
    <w:rsid w:val="007672DE"/>
    <w:rsid w:val="007672F3"/>
    <w:rsid w:val="007672F5"/>
    <w:rsid w:val="007672F7"/>
    <w:rsid w:val="00767306"/>
    <w:rsid w:val="00767386"/>
    <w:rsid w:val="007673C3"/>
    <w:rsid w:val="00767408"/>
    <w:rsid w:val="00767419"/>
    <w:rsid w:val="00767443"/>
    <w:rsid w:val="00767497"/>
    <w:rsid w:val="0076749D"/>
    <w:rsid w:val="007674AE"/>
    <w:rsid w:val="0076752D"/>
    <w:rsid w:val="00767539"/>
    <w:rsid w:val="0076757E"/>
    <w:rsid w:val="00767588"/>
    <w:rsid w:val="007675C5"/>
    <w:rsid w:val="007675CD"/>
    <w:rsid w:val="0076761A"/>
    <w:rsid w:val="0076761B"/>
    <w:rsid w:val="00767665"/>
    <w:rsid w:val="00767677"/>
    <w:rsid w:val="00767682"/>
    <w:rsid w:val="007676E1"/>
    <w:rsid w:val="00767705"/>
    <w:rsid w:val="0076773E"/>
    <w:rsid w:val="0076776C"/>
    <w:rsid w:val="00767830"/>
    <w:rsid w:val="007678EB"/>
    <w:rsid w:val="0076797B"/>
    <w:rsid w:val="007679AC"/>
    <w:rsid w:val="00767A26"/>
    <w:rsid w:val="00767A62"/>
    <w:rsid w:val="00767A74"/>
    <w:rsid w:val="00767AEB"/>
    <w:rsid w:val="00767B00"/>
    <w:rsid w:val="00767B05"/>
    <w:rsid w:val="00767B2F"/>
    <w:rsid w:val="00767B58"/>
    <w:rsid w:val="00767C7B"/>
    <w:rsid w:val="00767D0E"/>
    <w:rsid w:val="00767D86"/>
    <w:rsid w:val="00767DC7"/>
    <w:rsid w:val="00767DF2"/>
    <w:rsid w:val="00767E3F"/>
    <w:rsid w:val="00767E5E"/>
    <w:rsid w:val="00767EC3"/>
    <w:rsid w:val="00767EF6"/>
    <w:rsid w:val="00767F18"/>
    <w:rsid w:val="00767F63"/>
    <w:rsid w:val="00767FC5"/>
    <w:rsid w:val="00767FC9"/>
    <w:rsid w:val="00767FD7"/>
    <w:rsid w:val="00767FD9"/>
    <w:rsid w:val="00770017"/>
    <w:rsid w:val="0077011F"/>
    <w:rsid w:val="0077012B"/>
    <w:rsid w:val="00770141"/>
    <w:rsid w:val="007701BB"/>
    <w:rsid w:val="007701F2"/>
    <w:rsid w:val="00770266"/>
    <w:rsid w:val="00770286"/>
    <w:rsid w:val="007702B1"/>
    <w:rsid w:val="007702DA"/>
    <w:rsid w:val="00770346"/>
    <w:rsid w:val="00770368"/>
    <w:rsid w:val="00770374"/>
    <w:rsid w:val="007703C0"/>
    <w:rsid w:val="007703D5"/>
    <w:rsid w:val="00770416"/>
    <w:rsid w:val="00770531"/>
    <w:rsid w:val="00770655"/>
    <w:rsid w:val="0077067C"/>
    <w:rsid w:val="007706A1"/>
    <w:rsid w:val="007706A2"/>
    <w:rsid w:val="007706C2"/>
    <w:rsid w:val="007706C7"/>
    <w:rsid w:val="007706E8"/>
    <w:rsid w:val="007706EF"/>
    <w:rsid w:val="0077071C"/>
    <w:rsid w:val="00770747"/>
    <w:rsid w:val="00770795"/>
    <w:rsid w:val="007707DB"/>
    <w:rsid w:val="00770800"/>
    <w:rsid w:val="00770823"/>
    <w:rsid w:val="0077083A"/>
    <w:rsid w:val="00770867"/>
    <w:rsid w:val="007708C5"/>
    <w:rsid w:val="007708D5"/>
    <w:rsid w:val="00770951"/>
    <w:rsid w:val="00770959"/>
    <w:rsid w:val="00770964"/>
    <w:rsid w:val="00770A27"/>
    <w:rsid w:val="00770A4C"/>
    <w:rsid w:val="00770A4D"/>
    <w:rsid w:val="00770A54"/>
    <w:rsid w:val="00770AAA"/>
    <w:rsid w:val="00770AB3"/>
    <w:rsid w:val="00770ABE"/>
    <w:rsid w:val="00770AE7"/>
    <w:rsid w:val="00770AF3"/>
    <w:rsid w:val="00770B08"/>
    <w:rsid w:val="00770B6B"/>
    <w:rsid w:val="00770B89"/>
    <w:rsid w:val="00770B92"/>
    <w:rsid w:val="00770C42"/>
    <w:rsid w:val="00770C4C"/>
    <w:rsid w:val="00770C81"/>
    <w:rsid w:val="00770C9D"/>
    <w:rsid w:val="00770CA0"/>
    <w:rsid w:val="00770CD6"/>
    <w:rsid w:val="00770D06"/>
    <w:rsid w:val="00770D0D"/>
    <w:rsid w:val="00770D2B"/>
    <w:rsid w:val="00770D74"/>
    <w:rsid w:val="00770D85"/>
    <w:rsid w:val="00770DA7"/>
    <w:rsid w:val="00770DF0"/>
    <w:rsid w:val="00770DF5"/>
    <w:rsid w:val="00770F6A"/>
    <w:rsid w:val="00770FA1"/>
    <w:rsid w:val="00770FB3"/>
    <w:rsid w:val="00770FD4"/>
    <w:rsid w:val="0077107A"/>
    <w:rsid w:val="0077107C"/>
    <w:rsid w:val="0077108F"/>
    <w:rsid w:val="007710AB"/>
    <w:rsid w:val="007710BE"/>
    <w:rsid w:val="007710D1"/>
    <w:rsid w:val="007710DE"/>
    <w:rsid w:val="0077113D"/>
    <w:rsid w:val="00771158"/>
    <w:rsid w:val="0077116C"/>
    <w:rsid w:val="00771176"/>
    <w:rsid w:val="00771255"/>
    <w:rsid w:val="00771264"/>
    <w:rsid w:val="00771291"/>
    <w:rsid w:val="007712B4"/>
    <w:rsid w:val="007712D6"/>
    <w:rsid w:val="00771325"/>
    <w:rsid w:val="00771336"/>
    <w:rsid w:val="0077136F"/>
    <w:rsid w:val="0077137A"/>
    <w:rsid w:val="00771381"/>
    <w:rsid w:val="0077141C"/>
    <w:rsid w:val="00771477"/>
    <w:rsid w:val="0077148C"/>
    <w:rsid w:val="0077156B"/>
    <w:rsid w:val="007715AE"/>
    <w:rsid w:val="007715FC"/>
    <w:rsid w:val="00771607"/>
    <w:rsid w:val="0077160E"/>
    <w:rsid w:val="0077163E"/>
    <w:rsid w:val="00771646"/>
    <w:rsid w:val="00771662"/>
    <w:rsid w:val="007716AD"/>
    <w:rsid w:val="007716B3"/>
    <w:rsid w:val="007716CC"/>
    <w:rsid w:val="007716E0"/>
    <w:rsid w:val="00771751"/>
    <w:rsid w:val="00771768"/>
    <w:rsid w:val="007717A1"/>
    <w:rsid w:val="0077188A"/>
    <w:rsid w:val="00771899"/>
    <w:rsid w:val="007718AA"/>
    <w:rsid w:val="007718B8"/>
    <w:rsid w:val="007718BF"/>
    <w:rsid w:val="007718C0"/>
    <w:rsid w:val="007718EE"/>
    <w:rsid w:val="007719C8"/>
    <w:rsid w:val="007719C9"/>
    <w:rsid w:val="007719DD"/>
    <w:rsid w:val="007719EE"/>
    <w:rsid w:val="00771AC4"/>
    <w:rsid w:val="00771B39"/>
    <w:rsid w:val="00771B46"/>
    <w:rsid w:val="00771B58"/>
    <w:rsid w:val="00771B69"/>
    <w:rsid w:val="00771C76"/>
    <w:rsid w:val="00771D45"/>
    <w:rsid w:val="00771DD2"/>
    <w:rsid w:val="00771DE8"/>
    <w:rsid w:val="00771E0E"/>
    <w:rsid w:val="00771EFA"/>
    <w:rsid w:val="00771EFF"/>
    <w:rsid w:val="00772020"/>
    <w:rsid w:val="00772023"/>
    <w:rsid w:val="00772081"/>
    <w:rsid w:val="007720F7"/>
    <w:rsid w:val="00772137"/>
    <w:rsid w:val="00772180"/>
    <w:rsid w:val="007721AF"/>
    <w:rsid w:val="0077220E"/>
    <w:rsid w:val="00772259"/>
    <w:rsid w:val="007722AD"/>
    <w:rsid w:val="0077232D"/>
    <w:rsid w:val="00772331"/>
    <w:rsid w:val="0077237A"/>
    <w:rsid w:val="007723C5"/>
    <w:rsid w:val="007723F5"/>
    <w:rsid w:val="00772416"/>
    <w:rsid w:val="00772444"/>
    <w:rsid w:val="007724B6"/>
    <w:rsid w:val="007724C2"/>
    <w:rsid w:val="0077250A"/>
    <w:rsid w:val="0077250D"/>
    <w:rsid w:val="00772574"/>
    <w:rsid w:val="007725EC"/>
    <w:rsid w:val="00772605"/>
    <w:rsid w:val="00772617"/>
    <w:rsid w:val="00772622"/>
    <w:rsid w:val="0077264F"/>
    <w:rsid w:val="0077267A"/>
    <w:rsid w:val="007726A5"/>
    <w:rsid w:val="00772741"/>
    <w:rsid w:val="0077276B"/>
    <w:rsid w:val="007727A2"/>
    <w:rsid w:val="007727C3"/>
    <w:rsid w:val="0077283B"/>
    <w:rsid w:val="00772846"/>
    <w:rsid w:val="007728B7"/>
    <w:rsid w:val="007728DF"/>
    <w:rsid w:val="007728E3"/>
    <w:rsid w:val="0077293B"/>
    <w:rsid w:val="00772968"/>
    <w:rsid w:val="00772986"/>
    <w:rsid w:val="007729B6"/>
    <w:rsid w:val="007729E4"/>
    <w:rsid w:val="007729EF"/>
    <w:rsid w:val="00772A19"/>
    <w:rsid w:val="00772A2C"/>
    <w:rsid w:val="00772A51"/>
    <w:rsid w:val="00772AB8"/>
    <w:rsid w:val="00772B09"/>
    <w:rsid w:val="00772B25"/>
    <w:rsid w:val="00772B62"/>
    <w:rsid w:val="00772B82"/>
    <w:rsid w:val="00772B98"/>
    <w:rsid w:val="00772C52"/>
    <w:rsid w:val="00772C8C"/>
    <w:rsid w:val="00772CA4"/>
    <w:rsid w:val="00772CBD"/>
    <w:rsid w:val="00772D4C"/>
    <w:rsid w:val="00772D5B"/>
    <w:rsid w:val="00772E60"/>
    <w:rsid w:val="00772E90"/>
    <w:rsid w:val="00772F77"/>
    <w:rsid w:val="00773080"/>
    <w:rsid w:val="007730B0"/>
    <w:rsid w:val="007730E8"/>
    <w:rsid w:val="007730EA"/>
    <w:rsid w:val="007730F9"/>
    <w:rsid w:val="007731C9"/>
    <w:rsid w:val="007731DE"/>
    <w:rsid w:val="00773265"/>
    <w:rsid w:val="007732F3"/>
    <w:rsid w:val="00773306"/>
    <w:rsid w:val="00773339"/>
    <w:rsid w:val="00773354"/>
    <w:rsid w:val="00773368"/>
    <w:rsid w:val="00773391"/>
    <w:rsid w:val="007733BD"/>
    <w:rsid w:val="007733BE"/>
    <w:rsid w:val="007733D6"/>
    <w:rsid w:val="007733F3"/>
    <w:rsid w:val="00773405"/>
    <w:rsid w:val="00773474"/>
    <w:rsid w:val="007734A5"/>
    <w:rsid w:val="007734D1"/>
    <w:rsid w:val="007734E3"/>
    <w:rsid w:val="00773586"/>
    <w:rsid w:val="00773609"/>
    <w:rsid w:val="0077361C"/>
    <w:rsid w:val="00773629"/>
    <w:rsid w:val="00773687"/>
    <w:rsid w:val="007736DD"/>
    <w:rsid w:val="007736FB"/>
    <w:rsid w:val="00773789"/>
    <w:rsid w:val="007737AC"/>
    <w:rsid w:val="00773827"/>
    <w:rsid w:val="007738AF"/>
    <w:rsid w:val="007738F3"/>
    <w:rsid w:val="007738F8"/>
    <w:rsid w:val="00773902"/>
    <w:rsid w:val="0077391F"/>
    <w:rsid w:val="0077396A"/>
    <w:rsid w:val="007739CC"/>
    <w:rsid w:val="007739E0"/>
    <w:rsid w:val="00773A4A"/>
    <w:rsid w:val="00773A5C"/>
    <w:rsid w:val="00773A69"/>
    <w:rsid w:val="00773AE7"/>
    <w:rsid w:val="00773C9D"/>
    <w:rsid w:val="00773CD7"/>
    <w:rsid w:val="00773D08"/>
    <w:rsid w:val="00773D0F"/>
    <w:rsid w:val="00773D25"/>
    <w:rsid w:val="00773D33"/>
    <w:rsid w:val="00773D45"/>
    <w:rsid w:val="00773E5B"/>
    <w:rsid w:val="00773E5F"/>
    <w:rsid w:val="00773E7F"/>
    <w:rsid w:val="00773EB2"/>
    <w:rsid w:val="00774009"/>
    <w:rsid w:val="00774010"/>
    <w:rsid w:val="0077401E"/>
    <w:rsid w:val="00774082"/>
    <w:rsid w:val="007740CB"/>
    <w:rsid w:val="007740DD"/>
    <w:rsid w:val="00774114"/>
    <w:rsid w:val="0077414D"/>
    <w:rsid w:val="0077414E"/>
    <w:rsid w:val="0077419A"/>
    <w:rsid w:val="00774257"/>
    <w:rsid w:val="00774282"/>
    <w:rsid w:val="007742AF"/>
    <w:rsid w:val="007742F3"/>
    <w:rsid w:val="0077430C"/>
    <w:rsid w:val="00774336"/>
    <w:rsid w:val="0077438B"/>
    <w:rsid w:val="007743A7"/>
    <w:rsid w:val="007743C9"/>
    <w:rsid w:val="00774469"/>
    <w:rsid w:val="0077446D"/>
    <w:rsid w:val="007744C9"/>
    <w:rsid w:val="007744CF"/>
    <w:rsid w:val="007744EF"/>
    <w:rsid w:val="007744F5"/>
    <w:rsid w:val="007745ED"/>
    <w:rsid w:val="00774624"/>
    <w:rsid w:val="00774643"/>
    <w:rsid w:val="007746B0"/>
    <w:rsid w:val="0077474E"/>
    <w:rsid w:val="0077474F"/>
    <w:rsid w:val="007747D5"/>
    <w:rsid w:val="007747E4"/>
    <w:rsid w:val="00774829"/>
    <w:rsid w:val="00774845"/>
    <w:rsid w:val="0077489C"/>
    <w:rsid w:val="007748D1"/>
    <w:rsid w:val="007748F9"/>
    <w:rsid w:val="007748FA"/>
    <w:rsid w:val="00774926"/>
    <w:rsid w:val="00774934"/>
    <w:rsid w:val="00774945"/>
    <w:rsid w:val="0077497E"/>
    <w:rsid w:val="0077497F"/>
    <w:rsid w:val="007749AC"/>
    <w:rsid w:val="00774A45"/>
    <w:rsid w:val="00774A9C"/>
    <w:rsid w:val="00774AAC"/>
    <w:rsid w:val="00774AB4"/>
    <w:rsid w:val="00774ACC"/>
    <w:rsid w:val="00774B14"/>
    <w:rsid w:val="00774B24"/>
    <w:rsid w:val="00774B82"/>
    <w:rsid w:val="00774BA7"/>
    <w:rsid w:val="00774BDF"/>
    <w:rsid w:val="00774BE1"/>
    <w:rsid w:val="00774C5B"/>
    <w:rsid w:val="00774C81"/>
    <w:rsid w:val="00774CB0"/>
    <w:rsid w:val="00774CE8"/>
    <w:rsid w:val="00774D0E"/>
    <w:rsid w:val="00774E06"/>
    <w:rsid w:val="00774E40"/>
    <w:rsid w:val="00774E4F"/>
    <w:rsid w:val="00774F0C"/>
    <w:rsid w:val="00774F13"/>
    <w:rsid w:val="00774F25"/>
    <w:rsid w:val="00774F34"/>
    <w:rsid w:val="00774F49"/>
    <w:rsid w:val="00774FFB"/>
    <w:rsid w:val="00775008"/>
    <w:rsid w:val="00775023"/>
    <w:rsid w:val="00775041"/>
    <w:rsid w:val="0077510B"/>
    <w:rsid w:val="00775117"/>
    <w:rsid w:val="0077517F"/>
    <w:rsid w:val="0077518A"/>
    <w:rsid w:val="007751A7"/>
    <w:rsid w:val="007751BF"/>
    <w:rsid w:val="00775292"/>
    <w:rsid w:val="0077533F"/>
    <w:rsid w:val="0077534F"/>
    <w:rsid w:val="00775350"/>
    <w:rsid w:val="00775378"/>
    <w:rsid w:val="007753F6"/>
    <w:rsid w:val="007753FD"/>
    <w:rsid w:val="00775435"/>
    <w:rsid w:val="0077546B"/>
    <w:rsid w:val="007754B8"/>
    <w:rsid w:val="0077556D"/>
    <w:rsid w:val="007755A2"/>
    <w:rsid w:val="007755AD"/>
    <w:rsid w:val="007755DE"/>
    <w:rsid w:val="007755E3"/>
    <w:rsid w:val="007755E8"/>
    <w:rsid w:val="00775619"/>
    <w:rsid w:val="00775632"/>
    <w:rsid w:val="00775720"/>
    <w:rsid w:val="0077575F"/>
    <w:rsid w:val="00775776"/>
    <w:rsid w:val="00775779"/>
    <w:rsid w:val="0077580A"/>
    <w:rsid w:val="00775821"/>
    <w:rsid w:val="00775831"/>
    <w:rsid w:val="00775865"/>
    <w:rsid w:val="007758A1"/>
    <w:rsid w:val="007758C0"/>
    <w:rsid w:val="007758D4"/>
    <w:rsid w:val="00775951"/>
    <w:rsid w:val="007759AA"/>
    <w:rsid w:val="007759CF"/>
    <w:rsid w:val="00775A27"/>
    <w:rsid w:val="00775A46"/>
    <w:rsid w:val="00775A4F"/>
    <w:rsid w:val="00775A56"/>
    <w:rsid w:val="00775AAF"/>
    <w:rsid w:val="00775AC1"/>
    <w:rsid w:val="00775AD0"/>
    <w:rsid w:val="00775ADB"/>
    <w:rsid w:val="00775ADE"/>
    <w:rsid w:val="00775B4E"/>
    <w:rsid w:val="00775BB3"/>
    <w:rsid w:val="00775BB4"/>
    <w:rsid w:val="00775BC0"/>
    <w:rsid w:val="00775BFC"/>
    <w:rsid w:val="00775C18"/>
    <w:rsid w:val="00775C34"/>
    <w:rsid w:val="00775C3E"/>
    <w:rsid w:val="00775C4A"/>
    <w:rsid w:val="00775C64"/>
    <w:rsid w:val="00775C7D"/>
    <w:rsid w:val="00775C94"/>
    <w:rsid w:val="00775CE8"/>
    <w:rsid w:val="00775CF4"/>
    <w:rsid w:val="00775D36"/>
    <w:rsid w:val="00775DA4"/>
    <w:rsid w:val="00775DB3"/>
    <w:rsid w:val="00775DC5"/>
    <w:rsid w:val="00775E72"/>
    <w:rsid w:val="00775E75"/>
    <w:rsid w:val="00775E7F"/>
    <w:rsid w:val="00775E8C"/>
    <w:rsid w:val="00775F0A"/>
    <w:rsid w:val="00775F1B"/>
    <w:rsid w:val="00775F2A"/>
    <w:rsid w:val="00775F3C"/>
    <w:rsid w:val="00775F5C"/>
    <w:rsid w:val="00775F81"/>
    <w:rsid w:val="00775FB0"/>
    <w:rsid w:val="00775FD8"/>
    <w:rsid w:val="0077601E"/>
    <w:rsid w:val="0077603F"/>
    <w:rsid w:val="0077608C"/>
    <w:rsid w:val="007760E7"/>
    <w:rsid w:val="00776169"/>
    <w:rsid w:val="00776198"/>
    <w:rsid w:val="0077622D"/>
    <w:rsid w:val="00776277"/>
    <w:rsid w:val="00776289"/>
    <w:rsid w:val="007762AA"/>
    <w:rsid w:val="007762FA"/>
    <w:rsid w:val="0077631B"/>
    <w:rsid w:val="00776322"/>
    <w:rsid w:val="00776340"/>
    <w:rsid w:val="0077638D"/>
    <w:rsid w:val="007763DB"/>
    <w:rsid w:val="007763F5"/>
    <w:rsid w:val="00776411"/>
    <w:rsid w:val="00776412"/>
    <w:rsid w:val="00776427"/>
    <w:rsid w:val="00776525"/>
    <w:rsid w:val="00776538"/>
    <w:rsid w:val="007765D9"/>
    <w:rsid w:val="007765DF"/>
    <w:rsid w:val="00776608"/>
    <w:rsid w:val="007766A4"/>
    <w:rsid w:val="007767E8"/>
    <w:rsid w:val="007767EC"/>
    <w:rsid w:val="007767EE"/>
    <w:rsid w:val="00776812"/>
    <w:rsid w:val="00776815"/>
    <w:rsid w:val="0077682E"/>
    <w:rsid w:val="00776868"/>
    <w:rsid w:val="00776873"/>
    <w:rsid w:val="0077687C"/>
    <w:rsid w:val="0077689C"/>
    <w:rsid w:val="007768A9"/>
    <w:rsid w:val="007768BD"/>
    <w:rsid w:val="007768E1"/>
    <w:rsid w:val="00776A3B"/>
    <w:rsid w:val="00776A8A"/>
    <w:rsid w:val="00776A9B"/>
    <w:rsid w:val="00776AF8"/>
    <w:rsid w:val="00776B1F"/>
    <w:rsid w:val="00776BB3"/>
    <w:rsid w:val="00776BCC"/>
    <w:rsid w:val="00776BE4"/>
    <w:rsid w:val="00776C13"/>
    <w:rsid w:val="00776CBD"/>
    <w:rsid w:val="00776CEC"/>
    <w:rsid w:val="00776D02"/>
    <w:rsid w:val="00776D22"/>
    <w:rsid w:val="00776D81"/>
    <w:rsid w:val="00776DED"/>
    <w:rsid w:val="00776E6D"/>
    <w:rsid w:val="00776F2E"/>
    <w:rsid w:val="00776F42"/>
    <w:rsid w:val="00776F43"/>
    <w:rsid w:val="00776F62"/>
    <w:rsid w:val="00776F6A"/>
    <w:rsid w:val="00776FEB"/>
    <w:rsid w:val="0077700E"/>
    <w:rsid w:val="00777013"/>
    <w:rsid w:val="00777078"/>
    <w:rsid w:val="007770F3"/>
    <w:rsid w:val="007770F5"/>
    <w:rsid w:val="00777142"/>
    <w:rsid w:val="00777143"/>
    <w:rsid w:val="00777147"/>
    <w:rsid w:val="00777169"/>
    <w:rsid w:val="00777187"/>
    <w:rsid w:val="007771DE"/>
    <w:rsid w:val="0077729D"/>
    <w:rsid w:val="007772DB"/>
    <w:rsid w:val="0077734F"/>
    <w:rsid w:val="00777372"/>
    <w:rsid w:val="007773BF"/>
    <w:rsid w:val="007773C9"/>
    <w:rsid w:val="007773F1"/>
    <w:rsid w:val="0077742E"/>
    <w:rsid w:val="0077745F"/>
    <w:rsid w:val="00777478"/>
    <w:rsid w:val="00777485"/>
    <w:rsid w:val="007774AC"/>
    <w:rsid w:val="007774B1"/>
    <w:rsid w:val="007774C3"/>
    <w:rsid w:val="00777545"/>
    <w:rsid w:val="00777557"/>
    <w:rsid w:val="007775BD"/>
    <w:rsid w:val="007775C2"/>
    <w:rsid w:val="007775E2"/>
    <w:rsid w:val="007775F0"/>
    <w:rsid w:val="0077763C"/>
    <w:rsid w:val="00777646"/>
    <w:rsid w:val="00777674"/>
    <w:rsid w:val="00777683"/>
    <w:rsid w:val="007776FD"/>
    <w:rsid w:val="0077778C"/>
    <w:rsid w:val="007777A8"/>
    <w:rsid w:val="007777D2"/>
    <w:rsid w:val="0077790E"/>
    <w:rsid w:val="007779BC"/>
    <w:rsid w:val="007779C4"/>
    <w:rsid w:val="00777A05"/>
    <w:rsid w:val="00777A93"/>
    <w:rsid w:val="00777ADC"/>
    <w:rsid w:val="00777B27"/>
    <w:rsid w:val="00777B33"/>
    <w:rsid w:val="00777B58"/>
    <w:rsid w:val="00777B6B"/>
    <w:rsid w:val="00777B90"/>
    <w:rsid w:val="00777BAD"/>
    <w:rsid w:val="00777BDA"/>
    <w:rsid w:val="00777C23"/>
    <w:rsid w:val="00777CD1"/>
    <w:rsid w:val="00777CD6"/>
    <w:rsid w:val="00777CF1"/>
    <w:rsid w:val="00777CF3"/>
    <w:rsid w:val="00777D28"/>
    <w:rsid w:val="00777D62"/>
    <w:rsid w:val="00777D65"/>
    <w:rsid w:val="00777D6E"/>
    <w:rsid w:val="00777E27"/>
    <w:rsid w:val="00777E3F"/>
    <w:rsid w:val="00777E5E"/>
    <w:rsid w:val="00777E61"/>
    <w:rsid w:val="00777E98"/>
    <w:rsid w:val="00777EE2"/>
    <w:rsid w:val="00777EE3"/>
    <w:rsid w:val="00777EFF"/>
    <w:rsid w:val="00777F24"/>
    <w:rsid w:val="00777F3D"/>
    <w:rsid w:val="00777FE5"/>
    <w:rsid w:val="00777FFC"/>
    <w:rsid w:val="0077DC5C"/>
    <w:rsid w:val="00780072"/>
    <w:rsid w:val="007800AE"/>
    <w:rsid w:val="007800B7"/>
    <w:rsid w:val="007800CB"/>
    <w:rsid w:val="00780223"/>
    <w:rsid w:val="00780287"/>
    <w:rsid w:val="0078029B"/>
    <w:rsid w:val="007802EF"/>
    <w:rsid w:val="007802FC"/>
    <w:rsid w:val="007803B6"/>
    <w:rsid w:val="007803C7"/>
    <w:rsid w:val="007803D0"/>
    <w:rsid w:val="007803FB"/>
    <w:rsid w:val="0078040E"/>
    <w:rsid w:val="00780443"/>
    <w:rsid w:val="0078044A"/>
    <w:rsid w:val="0078044B"/>
    <w:rsid w:val="00780461"/>
    <w:rsid w:val="0078049F"/>
    <w:rsid w:val="007804DF"/>
    <w:rsid w:val="0078050B"/>
    <w:rsid w:val="0078051B"/>
    <w:rsid w:val="00780547"/>
    <w:rsid w:val="00780559"/>
    <w:rsid w:val="0078055A"/>
    <w:rsid w:val="007805E0"/>
    <w:rsid w:val="0078066C"/>
    <w:rsid w:val="0078069B"/>
    <w:rsid w:val="007806B7"/>
    <w:rsid w:val="00780708"/>
    <w:rsid w:val="00780749"/>
    <w:rsid w:val="0078075F"/>
    <w:rsid w:val="00780765"/>
    <w:rsid w:val="0078078F"/>
    <w:rsid w:val="007807C7"/>
    <w:rsid w:val="007808BD"/>
    <w:rsid w:val="007808D1"/>
    <w:rsid w:val="00780922"/>
    <w:rsid w:val="00780948"/>
    <w:rsid w:val="0078094A"/>
    <w:rsid w:val="00780980"/>
    <w:rsid w:val="00780995"/>
    <w:rsid w:val="007809B4"/>
    <w:rsid w:val="007809C8"/>
    <w:rsid w:val="00780A56"/>
    <w:rsid w:val="00780AA2"/>
    <w:rsid w:val="00780ACF"/>
    <w:rsid w:val="00780AEF"/>
    <w:rsid w:val="00780AF3"/>
    <w:rsid w:val="00780B25"/>
    <w:rsid w:val="00780B30"/>
    <w:rsid w:val="00780B3A"/>
    <w:rsid w:val="00780B43"/>
    <w:rsid w:val="00780B5F"/>
    <w:rsid w:val="00780B63"/>
    <w:rsid w:val="00780BE2"/>
    <w:rsid w:val="00780BE3"/>
    <w:rsid w:val="00780BF6"/>
    <w:rsid w:val="00780C23"/>
    <w:rsid w:val="00780C95"/>
    <w:rsid w:val="00780D93"/>
    <w:rsid w:val="00780DC6"/>
    <w:rsid w:val="00780DE6"/>
    <w:rsid w:val="00780E26"/>
    <w:rsid w:val="00780E3E"/>
    <w:rsid w:val="00780E42"/>
    <w:rsid w:val="00780E73"/>
    <w:rsid w:val="00780E8D"/>
    <w:rsid w:val="00780EB9"/>
    <w:rsid w:val="00780EC5"/>
    <w:rsid w:val="00780EE2"/>
    <w:rsid w:val="00780EF0"/>
    <w:rsid w:val="00780EF2"/>
    <w:rsid w:val="00780F10"/>
    <w:rsid w:val="00780F51"/>
    <w:rsid w:val="00780F76"/>
    <w:rsid w:val="00780FD4"/>
    <w:rsid w:val="00781020"/>
    <w:rsid w:val="00781022"/>
    <w:rsid w:val="00781118"/>
    <w:rsid w:val="00781120"/>
    <w:rsid w:val="007811A3"/>
    <w:rsid w:val="007811B9"/>
    <w:rsid w:val="007811CF"/>
    <w:rsid w:val="007811DB"/>
    <w:rsid w:val="0078121B"/>
    <w:rsid w:val="007812B6"/>
    <w:rsid w:val="007812DB"/>
    <w:rsid w:val="0078131E"/>
    <w:rsid w:val="00781323"/>
    <w:rsid w:val="0078132D"/>
    <w:rsid w:val="00781332"/>
    <w:rsid w:val="00781353"/>
    <w:rsid w:val="00781388"/>
    <w:rsid w:val="007813D2"/>
    <w:rsid w:val="007813DD"/>
    <w:rsid w:val="007813F7"/>
    <w:rsid w:val="00781466"/>
    <w:rsid w:val="00781497"/>
    <w:rsid w:val="007814B2"/>
    <w:rsid w:val="007814CA"/>
    <w:rsid w:val="007814CB"/>
    <w:rsid w:val="007814CE"/>
    <w:rsid w:val="0078155A"/>
    <w:rsid w:val="007815A2"/>
    <w:rsid w:val="007815CE"/>
    <w:rsid w:val="007815F3"/>
    <w:rsid w:val="007815F5"/>
    <w:rsid w:val="0078166C"/>
    <w:rsid w:val="00781689"/>
    <w:rsid w:val="007816C7"/>
    <w:rsid w:val="00781707"/>
    <w:rsid w:val="00781715"/>
    <w:rsid w:val="00781733"/>
    <w:rsid w:val="00781771"/>
    <w:rsid w:val="0078178D"/>
    <w:rsid w:val="007817E7"/>
    <w:rsid w:val="007817EF"/>
    <w:rsid w:val="007817FB"/>
    <w:rsid w:val="0078184A"/>
    <w:rsid w:val="00781879"/>
    <w:rsid w:val="0078187B"/>
    <w:rsid w:val="007818AC"/>
    <w:rsid w:val="00781928"/>
    <w:rsid w:val="00781940"/>
    <w:rsid w:val="0078198A"/>
    <w:rsid w:val="0078198F"/>
    <w:rsid w:val="007819E9"/>
    <w:rsid w:val="00781A5B"/>
    <w:rsid w:val="00781A6A"/>
    <w:rsid w:val="00781A7C"/>
    <w:rsid w:val="00781B13"/>
    <w:rsid w:val="00781B29"/>
    <w:rsid w:val="00781B2D"/>
    <w:rsid w:val="00781B60"/>
    <w:rsid w:val="00781BAC"/>
    <w:rsid w:val="00781C49"/>
    <w:rsid w:val="00781C67"/>
    <w:rsid w:val="00781C8D"/>
    <w:rsid w:val="00781D0B"/>
    <w:rsid w:val="00781D1B"/>
    <w:rsid w:val="00781D68"/>
    <w:rsid w:val="00781D97"/>
    <w:rsid w:val="00781E07"/>
    <w:rsid w:val="00781E4C"/>
    <w:rsid w:val="00781E52"/>
    <w:rsid w:val="00781E58"/>
    <w:rsid w:val="00781E5F"/>
    <w:rsid w:val="00781E60"/>
    <w:rsid w:val="00781E73"/>
    <w:rsid w:val="00781F4E"/>
    <w:rsid w:val="00781F61"/>
    <w:rsid w:val="00781F77"/>
    <w:rsid w:val="00781F8D"/>
    <w:rsid w:val="00781FC9"/>
    <w:rsid w:val="00781FD0"/>
    <w:rsid w:val="00782065"/>
    <w:rsid w:val="007820EF"/>
    <w:rsid w:val="00782152"/>
    <w:rsid w:val="00782170"/>
    <w:rsid w:val="007821F5"/>
    <w:rsid w:val="00782220"/>
    <w:rsid w:val="0078222C"/>
    <w:rsid w:val="00782230"/>
    <w:rsid w:val="00782237"/>
    <w:rsid w:val="0078224C"/>
    <w:rsid w:val="0078226F"/>
    <w:rsid w:val="007822D9"/>
    <w:rsid w:val="00782385"/>
    <w:rsid w:val="0078238F"/>
    <w:rsid w:val="0078239B"/>
    <w:rsid w:val="007823D1"/>
    <w:rsid w:val="007823EE"/>
    <w:rsid w:val="00782431"/>
    <w:rsid w:val="0078246D"/>
    <w:rsid w:val="007824D1"/>
    <w:rsid w:val="007824EE"/>
    <w:rsid w:val="00782534"/>
    <w:rsid w:val="0078253B"/>
    <w:rsid w:val="007825A4"/>
    <w:rsid w:val="00782610"/>
    <w:rsid w:val="00782616"/>
    <w:rsid w:val="00782648"/>
    <w:rsid w:val="00782654"/>
    <w:rsid w:val="00782665"/>
    <w:rsid w:val="0078267A"/>
    <w:rsid w:val="0078269E"/>
    <w:rsid w:val="007826F6"/>
    <w:rsid w:val="00782708"/>
    <w:rsid w:val="00782723"/>
    <w:rsid w:val="007827BE"/>
    <w:rsid w:val="007827E8"/>
    <w:rsid w:val="00782842"/>
    <w:rsid w:val="00782846"/>
    <w:rsid w:val="00782863"/>
    <w:rsid w:val="00782873"/>
    <w:rsid w:val="007828E4"/>
    <w:rsid w:val="007828EB"/>
    <w:rsid w:val="00782914"/>
    <w:rsid w:val="00782926"/>
    <w:rsid w:val="00782938"/>
    <w:rsid w:val="0078294D"/>
    <w:rsid w:val="007829F2"/>
    <w:rsid w:val="00782A13"/>
    <w:rsid w:val="00782A27"/>
    <w:rsid w:val="00782A50"/>
    <w:rsid w:val="00782A7D"/>
    <w:rsid w:val="00782B1E"/>
    <w:rsid w:val="00782B41"/>
    <w:rsid w:val="00782BB2"/>
    <w:rsid w:val="00782BF6"/>
    <w:rsid w:val="00782BF8"/>
    <w:rsid w:val="00782C03"/>
    <w:rsid w:val="00782CBA"/>
    <w:rsid w:val="00782D2F"/>
    <w:rsid w:val="00782D96"/>
    <w:rsid w:val="00782DB9"/>
    <w:rsid w:val="00782DCF"/>
    <w:rsid w:val="00782E23"/>
    <w:rsid w:val="00782E7C"/>
    <w:rsid w:val="00782E86"/>
    <w:rsid w:val="00782F10"/>
    <w:rsid w:val="00782F17"/>
    <w:rsid w:val="00782F1F"/>
    <w:rsid w:val="00782F93"/>
    <w:rsid w:val="00782FC2"/>
    <w:rsid w:val="00783071"/>
    <w:rsid w:val="0078308E"/>
    <w:rsid w:val="00783144"/>
    <w:rsid w:val="00783155"/>
    <w:rsid w:val="00783187"/>
    <w:rsid w:val="007831A1"/>
    <w:rsid w:val="007831AC"/>
    <w:rsid w:val="007831C0"/>
    <w:rsid w:val="00783200"/>
    <w:rsid w:val="0078320C"/>
    <w:rsid w:val="00783253"/>
    <w:rsid w:val="00783288"/>
    <w:rsid w:val="0078328D"/>
    <w:rsid w:val="00783305"/>
    <w:rsid w:val="007833D0"/>
    <w:rsid w:val="00783400"/>
    <w:rsid w:val="007834BE"/>
    <w:rsid w:val="00783546"/>
    <w:rsid w:val="0078354B"/>
    <w:rsid w:val="0078357A"/>
    <w:rsid w:val="007835A7"/>
    <w:rsid w:val="007835CD"/>
    <w:rsid w:val="007835E5"/>
    <w:rsid w:val="0078362E"/>
    <w:rsid w:val="0078367D"/>
    <w:rsid w:val="00783682"/>
    <w:rsid w:val="00783694"/>
    <w:rsid w:val="007836BF"/>
    <w:rsid w:val="0078379D"/>
    <w:rsid w:val="007837DB"/>
    <w:rsid w:val="00783811"/>
    <w:rsid w:val="00783843"/>
    <w:rsid w:val="0078384A"/>
    <w:rsid w:val="007838E6"/>
    <w:rsid w:val="0078390D"/>
    <w:rsid w:val="00783913"/>
    <w:rsid w:val="00783929"/>
    <w:rsid w:val="00783959"/>
    <w:rsid w:val="0078398C"/>
    <w:rsid w:val="007839D7"/>
    <w:rsid w:val="00783A2B"/>
    <w:rsid w:val="00783A2C"/>
    <w:rsid w:val="00783A34"/>
    <w:rsid w:val="00783A3B"/>
    <w:rsid w:val="00783AB5"/>
    <w:rsid w:val="00783B11"/>
    <w:rsid w:val="00783B44"/>
    <w:rsid w:val="00783B52"/>
    <w:rsid w:val="00783B67"/>
    <w:rsid w:val="00783B9E"/>
    <w:rsid w:val="00783BBD"/>
    <w:rsid w:val="00783BCE"/>
    <w:rsid w:val="00783BE6"/>
    <w:rsid w:val="00783C23"/>
    <w:rsid w:val="00783C27"/>
    <w:rsid w:val="00783C97"/>
    <w:rsid w:val="00783CA5"/>
    <w:rsid w:val="00783CE8"/>
    <w:rsid w:val="00783D24"/>
    <w:rsid w:val="00783D39"/>
    <w:rsid w:val="00783D50"/>
    <w:rsid w:val="00783D8E"/>
    <w:rsid w:val="00783D8F"/>
    <w:rsid w:val="00783DAB"/>
    <w:rsid w:val="00783E17"/>
    <w:rsid w:val="00783E53"/>
    <w:rsid w:val="00783E9B"/>
    <w:rsid w:val="00783F0D"/>
    <w:rsid w:val="00783F3E"/>
    <w:rsid w:val="00783F54"/>
    <w:rsid w:val="00783FA4"/>
    <w:rsid w:val="00783FDB"/>
    <w:rsid w:val="0078401C"/>
    <w:rsid w:val="00784085"/>
    <w:rsid w:val="007840EE"/>
    <w:rsid w:val="00784135"/>
    <w:rsid w:val="00784146"/>
    <w:rsid w:val="00784167"/>
    <w:rsid w:val="00784186"/>
    <w:rsid w:val="007841A8"/>
    <w:rsid w:val="00784201"/>
    <w:rsid w:val="0078426F"/>
    <w:rsid w:val="0078429B"/>
    <w:rsid w:val="007842B7"/>
    <w:rsid w:val="007842CA"/>
    <w:rsid w:val="0078432F"/>
    <w:rsid w:val="0078434A"/>
    <w:rsid w:val="00784383"/>
    <w:rsid w:val="00784414"/>
    <w:rsid w:val="0078441D"/>
    <w:rsid w:val="00784430"/>
    <w:rsid w:val="007844C5"/>
    <w:rsid w:val="007844D6"/>
    <w:rsid w:val="007844E5"/>
    <w:rsid w:val="00784516"/>
    <w:rsid w:val="0078451C"/>
    <w:rsid w:val="007845E0"/>
    <w:rsid w:val="007845E3"/>
    <w:rsid w:val="00784619"/>
    <w:rsid w:val="00784659"/>
    <w:rsid w:val="0078468B"/>
    <w:rsid w:val="007846C8"/>
    <w:rsid w:val="007846DD"/>
    <w:rsid w:val="007846E2"/>
    <w:rsid w:val="00784711"/>
    <w:rsid w:val="0078475E"/>
    <w:rsid w:val="00784766"/>
    <w:rsid w:val="0078477A"/>
    <w:rsid w:val="0078477E"/>
    <w:rsid w:val="00784813"/>
    <w:rsid w:val="00784825"/>
    <w:rsid w:val="0078482A"/>
    <w:rsid w:val="00784837"/>
    <w:rsid w:val="00784843"/>
    <w:rsid w:val="00784857"/>
    <w:rsid w:val="00784873"/>
    <w:rsid w:val="0078489F"/>
    <w:rsid w:val="007848A7"/>
    <w:rsid w:val="0078490D"/>
    <w:rsid w:val="00784952"/>
    <w:rsid w:val="00784997"/>
    <w:rsid w:val="00784A02"/>
    <w:rsid w:val="00784AE8"/>
    <w:rsid w:val="00784B2C"/>
    <w:rsid w:val="00784B40"/>
    <w:rsid w:val="00784B4D"/>
    <w:rsid w:val="00784B98"/>
    <w:rsid w:val="00784BCE"/>
    <w:rsid w:val="00784BFF"/>
    <w:rsid w:val="00784C3F"/>
    <w:rsid w:val="00784C87"/>
    <w:rsid w:val="00784C99"/>
    <w:rsid w:val="00784CAE"/>
    <w:rsid w:val="00784CD7"/>
    <w:rsid w:val="00784D22"/>
    <w:rsid w:val="00784D30"/>
    <w:rsid w:val="00784D32"/>
    <w:rsid w:val="00784DAF"/>
    <w:rsid w:val="00784DDE"/>
    <w:rsid w:val="00784DF6"/>
    <w:rsid w:val="00784DFC"/>
    <w:rsid w:val="00784EFA"/>
    <w:rsid w:val="00784F15"/>
    <w:rsid w:val="00784F6D"/>
    <w:rsid w:val="00784FC2"/>
    <w:rsid w:val="00784FC5"/>
    <w:rsid w:val="00784FC8"/>
    <w:rsid w:val="00785007"/>
    <w:rsid w:val="00785014"/>
    <w:rsid w:val="00785083"/>
    <w:rsid w:val="0078512F"/>
    <w:rsid w:val="0078517C"/>
    <w:rsid w:val="007851A7"/>
    <w:rsid w:val="007851CD"/>
    <w:rsid w:val="007851DD"/>
    <w:rsid w:val="007851DE"/>
    <w:rsid w:val="00785205"/>
    <w:rsid w:val="0078524F"/>
    <w:rsid w:val="007852A7"/>
    <w:rsid w:val="007852B3"/>
    <w:rsid w:val="007852E2"/>
    <w:rsid w:val="0078531F"/>
    <w:rsid w:val="0078537C"/>
    <w:rsid w:val="0078541B"/>
    <w:rsid w:val="0078542B"/>
    <w:rsid w:val="00785453"/>
    <w:rsid w:val="0078545B"/>
    <w:rsid w:val="0078548F"/>
    <w:rsid w:val="007854A5"/>
    <w:rsid w:val="007854AC"/>
    <w:rsid w:val="007854ED"/>
    <w:rsid w:val="007854F0"/>
    <w:rsid w:val="00785504"/>
    <w:rsid w:val="0078550E"/>
    <w:rsid w:val="00785510"/>
    <w:rsid w:val="00785521"/>
    <w:rsid w:val="0078552A"/>
    <w:rsid w:val="007855B5"/>
    <w:rsid w:val="007855B7"/>
    <w:rsid w:val="007855C2"/>
    <w:rsid w:val="00785618"/>
    <w:rsid w:val="007856E1"/>
    <w:rsid w:val="00785700"/>
    <w:rsid w:val="007857CC"/>
    <w:rsid w:val="00785831"/>
    <w:rsid w:val="00785880"/>
    <w:rsid w:val="00785882"/>
    <w:rsid w:val="0078589D"/>
    <w:rsid w:val="00785919"/>
    <w:rsid w:val="0078593B"/>
    <w:rsid w:val="00785943"/>
    <w:rsid w:val="00785956"/>
    <w:rsid w:val="0078596C"/>
    <w:rsid w:val="00785988"/>
    <w:rsid w:val="0078599A"/>
    <w:rsid w:val="007859CA"/>
    <w:rsid w:val="007859CD"/>
    <w:rsid w:val="007859DB"/>
    <w:rsid w:val="007859E8"/>
    <w:rsid w:val="00785A6B"/>
    <w:rsid w:val="00785AB1"/>
    <w:rsid w:val="00785AD4"/>
    <w:rsid w:val="00785AE7"/>
    <w:rsid w:val="00785B30"/>
    <w:rsid w:val="00785BD2"/>
    <w:rsid w:val="00785BFE"/>
    <w:rsid w:val="00785C14"/>
    <w:rsid w:val="00785C19"/>
    <w:rsid w:val="00785C2C"/>
    <w:rsid w:val="00785C41"/>
    <w:rsid w:val="00785C47"/>
    <w:rsid w:val="00785C7C"/>
    <w:rsid w:val="00785D46"/>
    <w:rsid w:val="00785D77"/>
    <w:rsid w:val="00785D8A"/>
    <w:rsid w:val="00785D95"/>
    <w:rsid w:val="00785D9A"/>
    <w:rsid w:val="00785DAC"/>
    <w:rsid w:val="00785DE0"/>
    <w:rsid w:val="00785E03"/>
    <w:rsid w:val="00785E4F"/>
    <w:rsid w:val="00785E7F"/>
    <w:rsid w:val="00785EA5"/>
    <w:rsid w:val="00785EDA"/>
    <w:rsid w:val="00785EE6"/>
    <w:rsid w:val="00785EFE"/>
    <w:rsid w:val="00785F3D"/>
    <w:rsid w:val="00785F7A"/>
    <w:rsid w:val="00785FFB"/>
    <w:rsid w:val="00786088"/>
    <w:rsid w:val="007860C2"/>
    <w:rsid w:val="007860F9"/>
    <w:rsid w:val="00786110"/>
    <w:rsid w:val="00786181"/>
    <w:rsid w:val="007862D5"/>
    <w:rsid w:val="00786325"/>
    <w:rsid w:val="0078635A"/>
    <w:rsid w:val="00786370"/>
    <w:rsid w:val="007863AF"/>
    <w:rsid w:val="007863EC"/>
    <w:rsid w:val="007863FB"/>
    <w:rsid w:val="0078640A"/>
    <w:rsid w:val="0078640D"/>
    <w:rsid w:val="00786412"/>
    <w:rsid w:val="00786446"/>
    <w:rsid w:val="0078644D"/>
    <w:rsid w:val="007864DA"/>
    <w:rsid w:val="007864E3"/>
    <w:rsid w:val="007864E5"/>
    <w:rsid w:val="007864FD"/>
    <w:rsid w:val="00786515"/>
    <w:rsid w:val="0078651B"/>
    <w:rsid w:val="0078656C"/>
    <w:rsid w:val="007865AC"/>
    <w:rsid w:val="0078667A"/>
    <w:rsid w:val="0078668A"/>
    <w:rsid w:val="007866CD"/>
    <w:rsid w:val="007866F3"/>
    <w:rsid w:val="007866FF"/>
    <w:rsid w:val="0078671F"/>
    <w:rsid w:val="00786753"/>
    <w:rsid w:val="007867A4"/>
    <w:rsid w:val="007867D8"/>
    <w:rsid w:val="007867F2"/>
    <w:rsid w:val="0078682A"/>
    <w:rsid w:val="00786870"/>
    <w:rsid w:val="00786874"/>
    <w:rsid w:val="00786890"/>
    <w:rsid w:val="007868F4"/>
    <w:rsid w:val="0078692E"/>
    <w:rsid w:val="0078697C"/>
    <w:rsid w:val="00786989"/>
    <w:rsid w:val="007869C1"/>
    <w:rsid w:val="007869CE"/>
    <w:rsid w:val="00786A1B"/>
    <w:rsid w:val="00786A4E"/>
    <w:rsid w:val="00786A71"/>
    <w:rsid w:val="00786A87"/>
    <w:rsid w:val="00786A91"/>
    <w:rsid w:val="00786A9C"/>
    <w:rsid w:val="00786AD4"/>
    <w:rsid w:val="00786ADD"/>
    <w:rsid w:val="00786B1B"/>
    <w:rsid w:val="00786B26"/>
    <w:rsid w:val="00786B79"/>
    <w:rsid w:val="00786BC0"/>
    <w:rsid w:val="00786C1A"/>
    <w:rsid w:val="00786C32"/>
    <w:rsid w:val="00786C37"/>
    <w:rsid w:val="00786C7E"/>
    <w:rsid w:val="00786C8C"/>
    <w:rsid w:val="00786CBD"/>
    <w:rsid w:val="00786CCA"/>
    <w:rsid w:val="00786D10"/>
    <w:rsid w:val="00786D6D"/>
    <w:rsid w:val="00786DF7"/>
    <w:rsid w:val="00786E3A"/>
    <w:rsid w:val="00786E3E"/>
    <w:rsid w:val="00786E4D"/>
    <w:rsid w:val="00786E60"/>
    <w:rsid w:val="00786E76"/>
    <w:rsid w:val="00786E9B"/>
    <w:rsid w:val="00786E9F"/>
    <w:rsid w:val="0078701D"/>
    <w:rsid w:val="00787058"/>
    <w:rsid w:val="007870EC"/>
    <w:rsid w:val="00787103"/>
    <w:rsid w:val="00787113"/>
    <w:rsid w:val="007871C5"/>
    <w:rsid w:val="007871FE"/>
    <w:rsid w:val="00787211"/>
    <w:rsid w:val="00787213"/>
    <w:rsid w:val="0078727C"/>
    <w:rsid w:val="00787288"/>
    <w:rsid w:val="007872B3"/>
    <w:rsid w:val="007872C5"/>
    <w:rsid w:val="007872D1"/>
    <w:rsid w:val="007872D8"/>
    <w:rsid w:val="007872E2"/>
    <w:rsid w:val="0078731D"/>
    <w:rsid w:val="00787382"/>
    <w:rsid w:val="007873A9"/>
    <w:rsid w:val="007873B0"/>
    <w:rsid w:val="007873D1"/>
    <w:rsid w:val="007873F1"/>
    <w:rsid w:val="00787445"/>
    <w:rsid w:val="00787455"/>
    <w:rsid w:val="0078746B"/>
    <w:rsid w:val="007874FA"/>
    <w:rsid w:val="0078752B"/>
    <w:rsid w:val="00787568"/>
    <w:rsid w:val="0078757C"/>
    <w:rsid w:val="007875DA"/>
    <w:rsid w:val="0078771F"/>
    <w:rsid w:val="00787731"/>
    <w:rsid w:val="007877CD"/>
    <w:rsid w:val="007877D7"/>
    <w:rsid w:val="00787838"/>
    <w:rsid w:val="0078786E"/>
    <w:rsid w:val="0078786F"/>
    <w:rsid w:val="00787903"/>
    <w:rsid w:val="00787944"/>
    <w:rsid w:val="00787A1A"/>
    <w:rsid w:val="00787A2D"/>
    <w:rsid w:val="00787A3B"/>
    <w:rsid w:val="00787A59"/>
    <w:rsid w:val="00787A85"/>
    <w:rsid w:val="00787AFE"/>
    <w:rsid w:val="00787B17"/>
    <w:rsid w:val="00787B31"/>
    <w:rsid w:val="00787B5E"/>
    <w:rsid w:val="00787B98"/>
    <w:rsid w:val="00787BA5"/>
    <w:rsid w:val="00787BC6"/>
    <w:rsid w:val="00787BFB"/>
    <w:rsid w:val="00787C2F"/>
    <w:rsid w:val="00787C40"/>
    <w:rsid w:val="00787C4B"/>
    <w:rsid w:val="00787C52"/>
    <w:rsid w:val="00787C62"/>
    <w:rsid w:val="00787CDB"/>
    <w:rsid w:val="00787CF5"/>
    <w:rsid w:val="00787DD6"/>
    <w:rsid w:val="00787E42"/>
    <w:rsid w:val="00787E89"/>
    <w:rsid w:val="00787EF3"/>
    <w:rsid w:val="00787F67"/>
    <w:rsid w:val="00787FAB"/>
    <w:rsid w:val="00787FBE"/>
    <w:rsid w:val="00787FF2"/>
    <w:rsid w:val="0079000C"/>
    <w:rsid w:val="00790024"/>
    <w:rsid w:val="00790051"/>
    <w:rsid w:val="00790060"/>
    <w:rsid w:val="00790064"/>
    <w:rsid w:val="007900AF"/>
    <w:rsid w:val="007900C8"/>
    <w:rsid w:val="007900EE"/>
    <w:rsid w:val="007900F2"/>
    <w:rsid w:val="00790154"/>
    <w:rsid w:val="00790158"/>
    <w:rsid w:val="00790165"/>
    <w:rsid w:val="00790172"/>
    <w:rsid w:val="007901B2"/>
    <w:rsid w:val="007901DE"/>
    <w:rsid w:val="00790221"/>
    <w:rsid w:val="00790243"/>
    <w:rsid w:val="0079024C"/>
    <w:rsid w:val="00790267"/>
    <w:rsid w:val="007902B0"/>
    <w:rsid w:val="007902BF"/>
    <w:rsid w:val="007902C3"/>
    <w:rsid w:val="007902F7"/>
    <w:rsid w:val="0079030D"/>
    <w:rsid w:val="00790369"/>
    <w:rsid w:val="00790373"/>
    <w:rsid w:val="0079038A"/>
    <w:rsid w:val="007903E8"/>
    <w:rsid w:val="007903EB"/>
    <w:rsid w:val="0079041B"/>
    <w:rsid w:val="0079045D"/>
    <w:rsid w:val="007904E6"/>
    <w:rsid w:val="00790521"/>
    <w:rsid w:val="00790578"/>
    <w:rsid w:val="007905EF"/>
    <w:rsid w:val="007905F1"/>
    <w:rsid w:val="007905FB"/>
    <w:rsid w:val="00790607"/>
    <w:rsid w:val="00790750"/>
    <w:rsid w:val="0079078A"/>
    <w:rsid w:val="00790790"/>
    <w:rsid w:val="007907B0"/>
    <w:rsid w:val="007907F3"/>
    <w:rsid w:val="00790839"/>
    <w:rsid w:val="00790840"/>
    <w:rsid w:val="00790867"/>
    <w:rsid w:val="00790869"/>
    <w:rsid w:val="0079086C"/>
    <w:rsid w:val="00790920"/>
    <w:rsid w:val="00790999"/>
    <w:rsid w:val="007909E9"/>
    <w:rsid w:val="00790A1F"/>
    <w:rsid w:val="00790A4D"/>
    <w:rsid w:val="00790A63"/>
    <w:rsid w:val="00790AA9"/>
    <w:rsid w:val="00790B0E"/>
    <w:rsid w:val="00790B18"/>
    <w:rsid w:val="00790B68"/>
    <w:rsid w:val="00790B73"/>
    <w:rsid w:val="00790BA3"/>
    <w:rsid w:val="00790BAC"/>
    <w:rsid w:val="00790BB4"/>
    <w:rsid w:val="00790BB8"/>
    <w:rsid w:val="00790BBC"/>
    <w:rsid w:val="00790CD7"/>
    <w:rsid w:val="00790CE6"/>
    <w:rsid w:val="00790CEB"/>
    <w:rsid w:val="00790D12"/>
    <w:rsid w:val="00790D1E"/>
    <w:rsid w:val="00790D36"/>
    <w:rsid w:val="00790D4B"/>
    <w:rsid w:val="00790D51"/>
    <w:rsid w:val="00790D89"/>
    <w:rsid w:val="00790DBC"/>
    <w:rsid w:val="00790E6E"/>
    <w:rsid w:val="00790E91"/>
    <w:rsid w:val="00790E99"/>
    <w:rsid w:val="00790EBE"/>
    <w:rsid w:val="00790ED1"/>
    <w:rsid w:val="00790EF0"/>
    <w:rsid w:val="00790F04"/>
    <w:rsid w:val="00790F0B"/>
    <w:rsid w:val="00790F2B"/>
    <w:rsid w:val="00790F3F"/>
    <w:rsid w:val="00790F54"/>
    <w:rsid w:val="00790F8E"/>
    <w:rsid w:val="00790FB4"/>
    <w:rsid w:val="00790FE0"/>
    <w:rsid w:val="00791024"/>
    <w:rsid w:val="00791030"/>
    <w:rsid w:val="00791041"/>
    <w:rsid w:val="00791043"/>
    <w:rsid w:val="0079105D"/>
    <w:rsid w:val="0079108D"/>
    <w:rsid w:val="0079108E"/>
    <w:rsid w:val="0079109F"/>
    <w:rsid w:val="0079110D"/>
    <w:rsid w:val="0079110F"/>
    <w:rsid w:val="0079117E"/>
    <w:rsid w:val="0079119B"/>
    <w:rsid w:val="007911BA"/>
    <w:rsid w:val="00791218"/>
    <w:rsid w:val="00791257"/>
    <w:rsid w:val="0079125F"/>
    <w:rsid w:val="007912AB"/>
    <w:rsid w:val="007912B6"/>
    <w:rsid w:val="0079131B"/>
    <w:rsid w:val="00791347"/>
    <w:rsid w:val="00791361"/>
    <w:rsid w:val="007913BB"/>
    <w:rsid w:val="007913D8"/>
    <w:rsid w:val="007913DF"/>
    <w:rsid w:val="0079145B"/>
    <w:rsid w:val="007914DA"/>
    <w:rsid w:val="00791546"/>
    <w:rsid w:val="007915CA"/>
    <w:rsid w:val="007915EB"/>
    <w:rsid w:val="00791688"/>
    <w:rsid w:val="0079168C"/>
    <w:rsid w:val="007916CF"/>
    <w:rsid w:val="007916E9"/>
    <w:rsid w:val="007916F3"/>
    <w:rsid w:val="0079171D"/>
    <w:rsid w:val="0079171F"/>
    <w:rsid w:val="00791731"/>
    <w:rsid w:val="00791769"/>
    <w:rsid w:val="0079178D"/>
    <w:rsid w:val="007917A2"/>
    <w:rsid w:val="007917B1"/>
    <w:rsid w:val="007917B4"/>
    <w:rsid w:val="007917D7"/>
    <w:rsid w:val="007917E5"/>
    <w:rsid w:val="0079180B"/>
    <w:rsid w:val="00791834"/>
    <w:rsid w:val="007918C1"/>
    <w:rsid w:val="00791900"/>
    <w:rsid w:val="0079191C"/>
    <w:rsid w:val="00791998"/>
    <w:rsid w:val="0079199B"/>
    <w:rsid w:val="007919C6"/>
    <w:rsid w:val="007919DD"/>
    <w:rsid w:val="00791A7B"/>
    <w:rsid w:val="00791A96"/>
    <w:rsid w:val="00791AEF"/>
    <w:rsid w:val="00791B61"/>
    <w:rsid w:val="00791B6F"/>
    <w:rsid w:val="00791BC6"/>
    <w:rsid w:val="00791C82"/>
    <w:rsid w:val="00791CB3"/>
    <w:rsid w:val="00791CCE"/>
    <w:rsid w:val="00791CE2"/>
    <w:rsid w:val="00791CEA"/>
    <w:rsid w:val="00791D62"/>
    <w:rsid w:val="00791D64"/>
    <w:rsid w:val="00791D6B"/>
    <w:rsid w:val="00791DCA"/>
    <w:rsid w:val="00791DDF"/>
    <w:rsid w:val="00791E5A"/>
    <w:rsid w:val="00791E73"/>
    <w:rsid w:val="00791E88"/>
    <w:rsid w:val="00791E9B"/>
    <w:rsid w:val="00791EC1"/>
    <w:rsid w:val="00791EE2"/>
    <w:rsid w:val="00791EFF"/>
    <w:rsid w:val="00791F75"/>
    <w:rsid w:val="00791FA7"/>
    <w:rsid w:val="00791FAC"/>
    <w:rsid w:val="00791FD6"/>
    <w:rsid w:val="00791FD8"/>
    <w:rsid w:val="0079201D"/>
    <w:rsid w:val="0079206A"/>
    <w:rsid w:val="007920B7"/>
    <w:rsid w:val="007920C8"/>
    <w:rsid w:val="00792190"/>
    <w:rsid w:val="007921A7"/>
    <w:rsid w:val="007921A9"/>
    <w:rsid w:val="007921D5"/>
    <w:rsid w:val="007921EA"/>
    <w:rsid w:val="0079220E"/>
    <w:rsid w:val="0079226A"/>
    <w:rsid w:val="0079228D"/>
    <w:rsid w:val="007922A7"/>
    <w:rsid w:val="007922A8"/>
    <w:rsid w:val="007922BD"/>
    <w:rsid w:val="00792312"/>
    <w:rsid w:val="0079232A"/>
    <w:rsid w:val="00792353"/>
    <w:rsid w:val="00792397"/>
    <w:rsid w:val="00792398"/>
    <w:rsid w:val="007923B3"/>
    <w:rsid w:val="007923C3"/>
    <w:rsid w:val="007923CB"/>
    <w:rsid w:val="00792421"/>
    <w:rsid w:val="007924FF"/>
    <w:rsid w:val="007925B7"/>
    <w:rsid w:val="00792600"/>
    <w:rsid w:val="0079260D"/>
    <w:rsid w:val="00792663"/>
    <w:rsid w:val="00792680"/>
    <w:rsid w:val="00792682"/>
    <w:rsid w:val="00792697"/>
    <w:rsid w:val="007926AA"/>
    <w:rsid w:val="007926AD"/>
    <w:rsid w:val="007926B9"/>
    <w:rsid w:val="007926D2"/>
    <w:rsid w:val="007926E9"/>
    <w:rsid w:val="00792700"/>
    <w:rsid w:val="0079271D"/>
    <w:rsid w:val="00792751"/>
    <w:rsid w:val="007927A8"/>
    <w:rsid w:val="007927C1"/>
    <w:rsid w:val="00792830"/>
    <w:rsid w:val="00792856"/>
    <w:rsid w:val="00792904"/>
    <w:rsid w:val="0079299B"/>
    <w:rsid w:val="007929EB"/>
    <w:rsid w:val="00792A1F"/>
    <w:rsid w:val="00792A27"/>
    <w:rsid w:val="00792A58"/>
    <w:rsid w:val="00792A69"/>
    <w:rsid w:val="00792AD9"/>
    <w:rsid w:val="00792AE9"/>
    <w:rsid w:val="00792B8F"/>
    <w:rsid w:val="00792BA9"/>
    <w:rsid w:val="00792BE6"/>
    <w:rsid w:val="00792BE9"/>
    <w:rsid w:val="00792C07"/>
    <w:rsid w:val="00792C26"/>
    <w:rsid w:val="00792C62"/>
    <w:rsid w:val="00792CBD"/>
    <w:rsid w:val="00792CE8"/>
    <w:rsid w:val="00792D31"/>
    <w:rsid w:val="00792D46"/>
    <w:rsid w:val="00792D51"/>
    <w:rsid w:val="00792DB6"/>
    <w:rsid w:val="00792F10"/>
    <w:rsid w:val="00792F3F"/>
    <w:rsid w:val="00792FBB"/>
    <w:rsid w:val="00792FE9"/>
    <w:rsid w:val="00792FF6"/>
    <w:rsid w:val="00793020"/>
    <w:rsid w:val="00793031"/>
    <w:rsid w:val="00793046"/>
    <w:rsid w:val="0079306A"/>
    <w:rsid w:val="0079307E"/>
    <w:rsid w:val="007930BC"/>
    <w:rsid w:val="0079314D"/>
    <w:rsid w:val="0079316E"/>
    <w:rsid w:val="007931A0"/>
    <w:rsid w:val="0079326D"/>
    <w:rsid w:val="0079328F"/>
    <w:rsid w:val="007932E1"/>
    <w:rsid w:val="0079334F"/>
    <w:rsid w:val="0079336F"/>
    <w:rsid w:val="0079337A"/>
    <w:rsid w:val="00793392"/>
    <w:rsid w:val="007933E8"/>
    <w:rsid w:val="007933FE"/>
    <w:rsid w:val="0079340C"/>
    <w:rsid w:val="0079341D"/>
    <w:rsid w:val="0079343A"/>
    <w:rsid w:val="00793443"/>
    <w:rsid w:val="0079345C"/>
    <w:rsid w:val="007934A9"/>
    <w:rsid w:val="007934AF"/>
    <w:rsid w:val="007934F1"/>
    <w:rsid w:val="00793623"/>
    <w:rsid w:val="00793625"/>
    <w:rsid w:val="00793680"/>
    <w:rsid w:val="007936A8"/>
    <w:rsid w:val="007936D1"/>
    <w:rsid w:val="007936D9"/>
    <w:rsid w:val="00793749"/>
    <w:rsid w:val="00793752"/>
    <w:rsid w:val="0079375B"/>
    <w:rsid w:val="0079377A"/>
    <w:rsid w:val="00793804"/>
    <w:rsid w:val="0079385D"/>
    <w:rsid w:val="007938AA"/>
    <w:rsid w:val="007938B2"/>
    <w:rsid w:val="007938B6"/>
    <w:rsid w:val="007938CF"/>
    <w:rsid w:val="007938E4"/>
    <w:rsid w:val="00793912"/>
    <w:rsid w:val="0079394C"/>
    <w:rsid w:val="00793974"/>
    <w:rsid w:val="007939C7"/>
    <w:rsid w:val="007939CF"/>
    <w:rsid w:val="00793AE3"/>
    <w:rsid w:val="00793B60"/>
    <w:rsid w:val="00793B71"/>
    <w:rsid w:val="00793B87"/>
    <w:rsid w:val="00793B99"/>
    <w:rsid w:val="00793BB5"/>
    <w:rsid w:val="00793BFB"/>
    <w:rsid w:val="00793C4A"/>
    <w:rsid w:val="00793C93"/>
    <w:rsid w:val="00793C9F"/>
    <w:rsid w:val="00793CA9"/>
    <w:rsid w:val="00793CC9"/>
    <w:rsid w:val="00793CDA"/>
    <w:rsid w:val="00793CF8"/>
    <w:rsid w:val="00793D2C"/>
    <w:rsid w:val="00793DB2"/>
    <w:rsid w:val="00793DBB"/>
    <w:rsid w:val="00793DE3"/>
    <w:rsid w:val="00793DE6"/>
    <w:rsid w:val="00793DFA"/>
    <w:rsid w:val="00793E1A"/>
    <w:rsid w:val="00793E50"/>
    <w:rsid w:val="00793E6F"/>
    <w:rsid w:val="00793EE0"/>
    <w:rsid w:val="00793F20"/>
    <w:rsid w:val="00793F29"/>
    <w:rsid w:val="00793F2B"/>
    <w:rsid w:val="00793F76"/>
    <w:rsid w:val="00793F7A"/>
    <w:rsid w:val="00793F7D"/>
    <w:rsid w:val="00793FB6"/>
    <w:rsid w:val="00793FC6"/>
    <w:rsid w:val="00793FCB"/>
    <w:rsid w:val="00794028"/>
    <w:rsid w:val="0079402F"/>
    <w:rsid w:val="00794047"/>
    <w:rsid w:val="0079405C"/>
    <w:rsid w:val="0079408A"/>
    <w:rsid w:val="007940AB"/>
    <w:rsid w:val="007940CC"/>
    <w:rsid w:val="0079412C"/>
    <w:rsid w:val="00794140"/>
    <w:rsid w:val="00794147"/>
    <w:rsid w:val="0079416B"/>
    <w:rsid w:val="007941BA"/>
    <w:rsid w:val="00794272"/>
    <w:rsid w:val="0079429D"/>
    <w:rsid w:val="007943E4"/>
    <w:rsid w:val="00794433"/>
    <w:rsid w:val="00794451"/>
    <w:rsid w:val="007944AF"/>
    <w:rsid w:val="00794525"/>
    <w:rsid w:val="00794535"/>
    <w:rsid w:val="0079456E"/>
    <w:rsid w:val="00794594"/>
    <w:rsid w:val="00794649"/>
    <w:rsid w:val="00794651"/>
    <w:rsid w:val="00794661"/>
    <w:rsid w:val="007946A1"/>
    <w:rsid w:val="007946E7"/>
    <w:rsid w:val="007946FB"/>
    <w:rsid w:val="0079471A"/>
    <w:rsid w:val="00794753"/>
    <w:rsid w:val="00794795"/>
    <w:rsid w:val="007947A2"/>
    <w:rsid w:val="007947C1"/>
    <w:rsid w:val="007948E0"/>
    <w:rsid w:val="0079498A"/>
    <w:rsid w:val="00794995"/>
    <w:rsid w:val="007949A3"/>
    <w:rsid w:val="007949E5"/>
    <w:rsid w:val="00794A32"/>
    <w:rsid w:val="00794A54"/>
    <w:rsid w:val="00794A72"/>
    <w:rsid w:val="00794A82"/>
    <w:rsid w:val="00794AF6"/>
    <w:rsid w:val="00794B4B"/>
    <w:rsid w:val="00794B54"/>
    <w:rsid w:val="00794B63"/>
    <w:rsid w:val="00794BA9"/>
    <w:rsid w:val="00794BF7"/>
    <w:rsid w:val="00794C16"/>
    <w:rsid w:val="00794C1B"/>
    <w:rsid w:val="00794C2D"/>
    <w:rsid w:val="00794C67"/>
    <w:rsid w:val="00794CBC"/>
    <w:rsid w:val="00794CFE"/>
    <w:rsid w:val="00794D09"/>
    <w:rsid w:val="00794D25"/>
    <w:rsid w:val="00794D4F"/>
    <w:rsid w:val="00794D64"/>
    <w:rsid w:val="00794DD4"/>
    <w:rsid w:val="00794DFB"/>
    <w:rsid w:val="00794E2E"/>
    <w:rsid w:val="00794E5B"/>
    <w:rsid w:val="00794EB8"/>
    <w:rsid w:val="00794EFE"/>
    <w:rsid w:val="00794F05"/>
    <w:rsid w:val="00794F19"/>
    <w:rsid w:val="00794FB1"/>
    <w:rsid w:val="00794FBC"/>
    <w:rsid w:val="00794FDA"/>
    <w:rsid w:val="0079501E"/>
    <w:rsid w:val="0079503A"/>
    <w:rsid w:val="00795055"/>
    <w:rsid w:val="007950AD"/>
    <w:rsid w:val="00795105"/>
    <w:rsid w:val="00795110"/>
    <w:rsid w:val="007951B2"/>
    <w:rsid w:val="00795203"/>
    <w:rsid w:val="00795229"/>
    <w:rsid w:val="00795267"/>
    <w:rsid w:val="0079528E"/>
    <w:rsid w:val="007952DA"/>
    <w:rsid w:val="0079534B"/>
    <w:rsid w:val="007953A3"/>
    <w:rsid w:val="00795429"/>
    <w:rsid w:val="00795462"/>
    <w:rsid w:val="0079546B"/>
    <w:rsid w:val="007954AB"/>
    <w:rsid w:val="007954B6"/>
    <w:rsid w:val="0079550F"/>
    <w:rsid w:val="00795513"/>
    <w:rsid w:val="00795523"/>
    <w:rsid w:val="00795527"/>
    <w:rsid w:val="0079554C"/>
    <w:rsid w:val="00795571"/>
    <w:rsid w:val="0079562A"/>
    <w:rsid w:val="0079566D"/>
    <w:rsid w:val="007956A1"/>
    <w:rsid w:val="00795709"/>
    <w:rsid w:val="00795730"/>
    <w:rsid w:val="0079574A"/>
    <w:rsid w:val="007957C2"/>
    <w:rsid w:val="007957D0"/>
    <w:rsid w:val="0079581B"/>
    <w:rsid w:val="00795823"/>
    <w:rsid w:val="00795856"/>
    <w:rsid w:val="00795862"/>
    <w:rsid w:val="00795864"/>
    <w:rsid w:val="007958CC"/>
    <w:rsid w:val="00795944"/>
    <w:rsid w:val="00795963"/>
    <w:rsid w:val="0079598E"/>
    <w:rsid w:val="007959A4"/>
    <w:rsid w:val="007959EA"/>
    <w:rsid w:val="00795A37"/>
    <w:rsid w:val="00795A5B"/>
    <w:rsid w:val="00795A8F"/>
    <w:rsid w:val="00795B30"/>
    <w:rsid w:val="00795B35"/>
    <w:rsid w:val="00795B93"/>
    <w:rsid w:val="00795BF1"/>
    <w:rsid w:val="00795C65"/>
    <w:rsid w:val="00795C70"/>
    <w:rsid w:val="00795CB5"/>
    <w:rsid w:val="00795D30"/>
    <w:rsid w:val="00795D47"/>
    <w:rsid w:val="00795D58"/>
    <w:rsid w:val="00795D5F"/>
    <w:rsid w:val="00795DBF"/>
    <w:rsid w:val="00795DC1"/>
    <w:rsid w:val="00795DC2"/>
    <w:rsid w:val="00795DE4"/>
    <w:rsid w:val="00795E01"/>
    <w:rsid w:val="00795E31"/>
    <w:rsid w:val="00795E50"/>
    <w:rsid w:val="00795E79"/>
    <w:rsid w:val="00795E7E"/>
    <w:rsid w:val="00795EA6"/>
    <w:rsid w:val="00795EAA"/>
    <w:rsid w:val="00795EB4"/>
    <w:rsid w:val="00795ED6"/>
    <w:rsid w:val="00795EEC"/>
    <w:rsid w:val="00795F37"/>
    <w:rsid w:val="00795FFF"/>
    <w:rsid w:val="00796085"/>
    <w:rsid w:val="00796093"/>
    <w:rsid w:val="0079609C"/>
    <w:rsid w:val="007960B4"/>
    <w:rsid w:val="00796157"/>
    <w:rsid w:val="007961B2"/>
    <w:rsid w:val="007961D4"/>
    <w:rsid w:val="007961D8"/>
    <w:rsid w:val="00796219"/>
    <w:rsid w:val="00796242"/>
    <w:rsid w:val="007962A3"/>
    <w:rsid w:val="007962CB"/>
    <w:rsid w:val="00796345"/>
    <w:rsid w:val="0079634C"/>
    <w:rsid w:val="00796405"/>
    <w:rsid w:val="00796408"/>
    <w:rsid w:val="0079641C"/>
    <w:rsid w:val="00796424"/>
    <w:rsid w:val="0079645D"/>
    <w:rsid w:val="007964DD"/>
    <w:rsid w:val="007964DE"/>
    <w:rsid w:val="0079650B"/>
    <w:rsid w:val="00796514"/>
    <w:rsid w:val="0079651C"/>
    <w:rsid w:val="0079652B"/>
    <w:rsid w:val="0079655A"/>
    <w:rsid w:val="00796569"/>
    <w:rsid w:val="007965A0"/>
    <w:rsid w:val="00796627"/>
    <w:rsid w:val="0079662E"/>
    <w:rsid w:val="0079663C"/>
    <w:rsid w:val="0079667C"/>
    <w:rsid w:val="0079668D"/>
    <w:rsid w:val="007966A5"/>
    <w:rsid w:val="007966B9"/>
    <w:rsid w:val="007966FA"/>
    <w:rsid w:val="00796735"/>
    <w:rsid w:val="0079673A"/>
    <w:rsid w:val="00796779"/>
    <w:rsid w:val="007967ED"/>
    <w:rsid w:val="00796801"/>
    <w:rsid w:val="00796824"/>
    <w:rsid w:val="0079682C"/>
    <w:rsid w:val="00796879"/>
    <w:rsid w:val="007968A9"/>
    <w:rsid w:val="007968CB"/>
    <w:rsid w:val="007968F1"/>
    <w:rsid w:val="007968FE"/>
    <w:rsid w:val="0079690C"/>
    <w:rsid w:val="00796954"/>
    <w:rsid w:val="00796958"/>
    <w:rsid w:val="00796A1D"/>
    <w:rsid w:val="00796AB7"/>
    <w:rsid w:val="00796B33"/>
    <w:rsid w:val="00796BA0"/>
    <w:rsid w:val="00796BBC"/>
    <w:rsid w:val="00796C01"/>
    <w:rsid w:val="00796C25"/>
    <w:rsid w:val="00796C30"/>
    <w:rsid w:val="00796C63"/>
    <w:rsid w:val="00796C8E"/>
    <w:rsid w:val="00796CC8"/>
    <w:rsid w:val="00796CCD"/>
    <w:rsid w:val="00796D01"/>
    <w:rsid w:val="00796D3A"/>
    <w:rsid w:val="00796F00"/>
    <w:rsid w:val="00796F10"/>
    <w:rsid w:val="00796F39"/>
    <w:rsid w:val="00796F43"/>
    <w:rsid w:val="00796F51"/>
    <w:rsid w:val="00796F96"/>
    <w:rsid w:val="00796FD0"/>
    <w:rsid w:val="0079702F"/>
    <w:rsid w:val="00797064"/>
    <w:rsid w:val="007970C0"/>
    <w:rsid w:val="007970C1"/>
    <w:rsid w:val="0079712A"/>
    <w:rsid w:val="0079714D"/>
    <w:rsid w:val="00797192"/>
    <w:rsid w:val="007971A9"/>
    <w:rsid w:val="007971C4"/>
    <w:rsid w:val="007971C5"/>
    <w:rsid w:val="00797215"/>
    <w:rsid w:val="00797216"/>
    <w:rsid w:val="00797258"/>
    <w:rsid w:val="007972E8"/>
    <w:rsid w:val="0079732B"/>
    <w:rsid w:val="0079734E"/>
    <w:rsid w:val="00797352"/>
    <w:rsid w:val="0079739F"/>
    <w:rsid w:val="007973B3"/>
    <w:rsid w:val="007973DD"/>
    <w:rsid w:val="007973E3"/>
    <w:rsid w:val="007973FD"/>
    <w:rsid w:val="00797441"/>
    <w:rsid w:val="00797491"/>
    <w:rsid w:val="007974B6"/>
    <w:rsid w:val="007975CB"/>
    <w:rsid w:val="007975EC"/>
    <w:rsid w:val="007975F8"/>
    <w:rsid w:val="0079760D"/>
    <w:rsid w:val="00797649"/>
    <w:rsid w:val="0079764D"/>
    <w:rsid w:val="00797690"/>
    <w:rsid w:val="007976C1"/>
    <w:rsid w:val="007976E1"/>
    <w:rsid w:val="0079771A"/>
    <w:rsid w:val="0079772E"/>
    <w:rsid w:val="00797767"/>
    <w:rsid w:val="00797786"/>
    <w:rsid w:val="007977C9"/>
    <w:rsid w:val="007977DC"/>
    <w:rsid w:val="00797804"/>
    <w:rsid w:val="0079780B"/>
    <w:rsid w:val="00797823"/>
    <w:rsid w:val="00797853"/>
    <w:rsid w:val="0079789D"/>
    <w:rsid w:val="007978F2"/>
    <w:rsid w:val="00797938"/>
    <w:rsid w:val="007979BB"/>
    <w:rsid w:val="007979DD"/>
    <w:rsid w:val="007979ED"/>
    <w:rsid w:val="00797AD1"/>
    <w:rsid w:val="00797AE6"/>
    <w:rsid w:val="00797B36"/>
    <w:rsid w:val="00797B43"/>
    <w:rsid w:val="00797B57"/>
    <w:rsid w:val="00797C15"/>
    <w:rsid w:val="00797C7D"/>
    <w:rsid w:val="00797CB6"/>
    <w:rsid w:val="00797D14"/>
    <w:rsid w:val="00797D98"/>
    <w:rsid w:val="00797E23"/>
    <w:rsid w:val="00797E35"/>
    <w:rsid w:val="00797E36"/>
    <w:rsid w:val="00797EF9"/>
    <w:rsid w:val="00797F24"/>
    <w:rsid w:val="00797F49"/>
    <w:rsid w:val="007A0021"/>
    <w:rsid w:val="007A0036"/>
    <w:rsid w:val="007A00AA"/>
    <w:rsid w:val="007A00B4"/>
    <w:rsid w:val="007A00FA"/>
    <w:rsid w:val="007A012E"/>
    <w:rsid w:val="007A0148"/>
    <w:rsid w:val="007A015A"/>
    <w:rsid w:val="007A0191"/>
    <w:rsid w:val="007A01BC"/>
    <w:rsid w:val="007A01DD"/>
    <w:rsid w:val="007A01FD"/>
    <w:rsid w:val="007A0217"/>
    <w:rsid w:val="007A0273"/>
    <w:rsid w:val="007A02CA"/>
    <w:rsid w:val="007A02D5"/>
    <w:rsid w:val="007A031D"/>
    <w:rsid w:val="007A042B"/>
    <w:rsid w:val="007A043B"/>
    <w:rsid w:val="007A044C"/>
    <w:rsid w:val="007A0482"/>
    <w:rsid w:val="007A04B5"/>
    <w:rsid w:val="007A04E7"/>
    <w:rsid w:val="007A04EC"/>
    <w:rsid w:val="007A04ED"/>
    <w:rsid w:val="007A04FA"/>
    <w:rsid w:val="007A0508"/>
    <w:rsid w:val="007A0536"/>
    <w:rsid w:val="007A053C"/>
    <w:rsid w:val="007A0542"/>
    <w:rsid w:val="007A0558"/>
    <w:rsid w:val="007A0622"/>
    <w:rsid w:val="007A0654"/>
    <w:rsid w:val="007A0665"/>
    <w:rsid w:val="007A0690"/>
    <w:rsid w:val="007A06A7"/>
    <w:rsid w:val="007A06B8"/>
    <w:rsid w:val="007A06D5"/>
    <w:rsid w:val="007A06D6"/>
    <w:rsid w:val="007A06E8"/>
    <w:rsid w:val="007A06FA"/>
    <w:rsid w:val="007A071C"/>
    <w:rsid w:val="007A0727"/>
    <w:rsid w:val="007A072B"/>
    <w:rsid w:val="007A0777"/>
    <w:rsid w:val="007A07B1"/>
    <w:rsid w:val="007A07C0"/>
    <w:rsid w:val="007A07CC"/>
    <w:rsid w:val="007A07CD"/>
    <w:rsid w:val="007A07E5"/>
    <w:rsid w:val="007A080B"/>
    <w:rsid w:val="007A085E"/>
    <w:rsid w:val="007A0874"/>
    <w:rsid w:val="007A088A"/>
    <w:rsid w:val="007A08E5"/>
    <w:rsid w:val="007A08F2"/>
    <w:rsid w:val="007A0908"/>
    <w:rsid w:val="007A0926"/>
    <w:rsid w:val="007A0929"/>
    <w:rsid w:val="007A0939"/>
    <w:rsid w:val="007A097B"/>
    <w:rsid w:val="007A09C8"/>
    <w:rsid w:val="007A09CC"/>
    <w:rsid w:val="007A09E2"/>
    <w:rsid w:val="007A0A84"/>
    <w:rsid w:val="007A0AEB"/>
    <w:rsid w:val="007A0B51"/>
    <w:rsid w:val="007A0B85"/>
    <w:rsid w:val="007A0B8E"/>
    <w:rsid w:val="007A0B99"/>
    <w:rsid w:val="007A0C04"/>
    <w:rsid w:val="007A0C9E"/>
    <w:rsid w:val="007A0CB9"/>
    <w:rsid w:val="007A0CFE"/>
    <w:rsid w:val="007A0D1C"/>
    <w:rsid w:val="007A0D22"/>
    <w:rsid w:val="007A0DB3"/>
    <w:rsid w:val="007A0DBF"/>
    <w:rsid w:val="007A0E29"/>
    <w:rsid w:val="007A0E3F"/>
    <w:rsid w:val="007A0E9B"/>
    <w:rsid w:val="007A0EA0"/>
    <w:rsid w:val="007A0EC7"/>
    <w:rsid w:val="007A0F07"/>
    <w:rsid w:val="007A0F52"/>
    <w:rsid w:val="007A0F8A"/>
    <w:rsid w:val="007A0FA2"/>
    <w:rsid w:val="007A1056"/>
    <w:rsid w:val="007A10AD"/>
    <w:rsid w:val="007A10D6"/>
    <w:rsid w:val="007A1135"/>
    <w:rsid w:val="007A1142"/>
    <w:rsid w:val="007A117D"/>
    <w:rsid w:val="007A11A3"/>
    <w:rsid w:val="007A11F5"/>
    <w:rsid w:val="007A1268"/>
    <w:rsid w:val="007A127D"/>
    <w:rsid w:val="007A1282"/>
    <w:rsid w:val="007A1292"/>
    <w:rsid w:val="007A12D8"/>
    <w:rsid w:val="007A130B"/>
    <w:rsid w:val="007A1368"/>
    <w:rsid w:val="007A136D"/>
    <w:rsid w:val="007A13BC"/>
    <w:rsid w:val="007A13EA"/>
    <w:rsid w:val="007A13FD"/>
    <w:rsid w:val="007A1422"/>
    <w:rsid w:val="007A1489"/>
    <w:rsid w:val="007A14AD"/>
    <w:rsid w:val="007A14C1"/>
    <w:rsid w:val="007A14CF"/>
    <w:rsid w:val="007A1552"/>
    <w:rsid w:val="007A15AC"/>
    <w:rsid w:val="007A168E"/>
    <w:rsid w:val="007A16A3"/>
    <w:rsid w:val="007A16E7"/>
    <w:rsid w:val="007A16FA"/>
    <w:rsid w:val="007A1709"/>
    <w:rsid w:val="007A1769"/>
    <w:rsid w:val="007A1807"/>
    <w:rsid w:val="007A1863"/>
    <w:rsid w:val="007A188E"/>
    <w:rsid w:val="007A18D0"/>
    <w:rsid w:val="007A18FC"/>
    <w:rsid w:val="007A1906"/>
    <w:rsid w:val="007A193C"/>
    <w:rsid w:val="007A1991"/>
    <w:rsid w:val="007A1A4E"/>
    <w:rsid w:val="007A1B66"/>
    <w:rsid w:val="007A1B68"/>
    <w:rsid w:val="007A1B78"/>
    <w:rsid w:val="007A1BCF"/>
    <w:rsid w:val="007A1BD3"/>
    <w:rsid w:val="007A1BD8"/>
    <w:rsid w:val="007A1BDC"/>
    <w:rsid w:val="007A1BE2"/>
    <w:rsid w:val="007A1C13"/>
    <w:rsid w:val="007A1C19"/>
    <w:rsid w:val="007A1CE2"/>
    <w:rsid w:val="007A1CE6"/>
    <w:rsid w:val="007A1D0A"/>
    <w:rsid w:val="007A1D40"/>
    <w:rsid w:val="007A1DE0"/>
    <w:rsid w:val="007A1E07"/>
    <w:rsid w:val="007A1E10"/>
    <w:rsid w:val="007A1E14"/>
    <w:rsid w:val="007A1E17"/>
    <w:rsid w:val="007A1E21"/>
    <w:rsid w:val="007A1E39"/>
    <w:rsid w:val="007A1E48"/>
    <w:rsid w:val="007A1E86"/>
    <w:rsid w:val="007A1ED2"/>
    <w:rsid w:val="007A1ED9"/>
    <w:rsid w:val="007A1EFA"/>
    <w:rsid w:val="007A1F14"/>
    <w:rsid w:val="007A1F29"/>
    <w:rsid w:val="007A1F31"/>
    <w:rsid w:val="007A1F49"/>
    <w:rsid w:val="007A1F65"/>
    <w:rsid w:val="007A1F67"/>
    <w:rsid w:val="007A204D"/>
    <w:rsid w:val="007A2070"/>
    <w:rsid w:val="007A2101"/>
    <w:rsid w:val="007A2121"/>
    <w:rsid w:val="007A217D"/>
    <w:rsid w:val="007A2226"/>
    <w:rsid w:val="007A22E9"/>
    <w:rsid w:val="007A2342"/>
    <w:rsid w:val="007A234A"/>
    <w:rsid w:val="007A234C"/>
    <w:rsid w:val="007A2376"/>
    <w:rsid w:val="007A24B3"/>
    <w:rsid w:val="007A24BC"/>
    <w:rsid w:val="007A2551"/>
    <w:rsid w:val="007A2571"/>
    <w:rsid w:val="007A25BC"/>
    <w:rsid w:val="007A2630"/>
    <w:rsid w:val="007A2666"/>
    <w:rsid w:val="007A266A"/>
    <w:rsid w:val="007A26D5"/>
    <w:rsid w:val="007A2700"/>
    <w:rsid w:val="007A2723"/>
    <w:rsid w:val="007A2766"/>
    <w:rsid w:val="007A2795"/>
    <w:rsid w:val="007A27A1"/>
    <w:rsid w:val="007A27AE"/>
    <w:rsid w:val="007A27C1"/>
    <w:rsid w:val="007A27D0"/>
    <w:rsid w:val="007A2832"/>
    <w:rsid w:val="007A2839"/>
    <w:rsid w:val="007A2851"/>
    <w:rsid w:val="007A28BE"/>
    <w:rsid w:val="007A28DB"/>
    <w:rsid w:val="007A28FC"/>
    <w:rsid w:val="007A292B"/>
    <w:rsid w:val="007A294C"/>
    <w:rsid w:val="007A2972"/>
    <w:rsid w:val="007A29B8"/>
    <w:rsid w:val="007A2A12"/>
    <w:rsid w:val="007A2A3A"/>
    <w:rsid w:val="007A2A91"/>
    <w:rsid w:val="007A2AA5"/>
    <w:rsid w:val="007A2AB0"/>
    <w:rsid w:val="007A2B39"/>
    <w:rsid w:val="007A2B47"/>
    <w:rsid w:val="007A2B54"/>
    <w:rsid w:val="007A2B8C"/>
    <w:rsid w:val="007A2BAF"/>
    <w:rsid w:val="007A2C11"/>
    <w:rsid w:val="007A2C38"/>
    <w:rsid w:val="007A2C78"/>
    <w:rsid w:val="007A2C79"/>
    <w:rsid w:val="007A2C81"/>
    <w:rsid w:val="007A2CC5"/>
    <w:rsid w:val="007A2CE1"/>
    <w:rsid w:val="007A2D08"/>
    <w:rsid w:val="007A2D79"/>
    <w:rsid w:val="007A2DE0"/>
    <w:rsid w:val="007A2E4F"/>
    <w:rsid w:val="007A2E55"/>
    <w:rsid w:val="007A2E6F"/>
    <w:rsid w:val="007A2EA7"/>
    <w:rsid w:val="007A2EDF"/>
    <w:rsid w:val="007A2F1A"/>
    <w:rsid w:val="007A2F4E"/>
    <w:rsid w:val="007A2F5B"/>
    <w:rsid w:val="007A2F71"/>
    <w:rsid w:val="007A2F8F"/>
    <w:rsid w:val="007A2FBA"/>
    <w:rsid w:val="007A3021"/>
    <w:rsid w:val="007A308E"/>
    <w:rsid w:val="007A30D7"/>
    <w:rsid w:val="007A3134"/>
    <w:rsid w:val="007A3146"/>
    <w:rsid w:val="007A3155"/>
    <w:rsid w:val="007A316A"/>
    <w:rsid w:val="007A3178"/>
    <w:rsid w:val="007A3189"/>
    <w:rsid w:val="007A3248"/>
    <w:rsid w:val="007A326D"/>
    <w:rsid w:val="007A32FD"/>
    <w:rsid w:val="007A3322"/>
    <w:rsid w:val="007A336B"/>
    <w:rsid w:val="007A3450"/>
    <w:rsid w:val="007A34CC"/>
    <w:rsid w:val="007A3541"/>
    <w:rsid w:val="007A3556"/>
    <w:rsid w:val="007A3589"/>
    <w:rsid w:val="007A35BB"/>
    <w:rsid w:val="007A35EE"/>
    <w:rsid w:val="007A35FF"/>
    <w:rsid w:val="007A3651"/>
    <w:rsid w:val="007A36E8"/>
    <w:rsid w:val="007A36F0"/>
    <w:rsid w:val="007A36F1"/>
    <w:rsid w:val="007A372D"/>
    <w:rsid w:val="007A379B"/>
    <w:rsid w:val="007A37AA"/>
    <w:rsid w:val="007A37E1"/>
    <w:rsid w:val="007A3802"/>
    <w:rsid w:val="007A3828"/>
    <w:rsid w:val="007A3851"/>
    <w:rsid w:val="007A3952"/>
    <w:rsid w:val="007A39BD"/>
    <w:rsid w:val="007A3A0F"/>
    <w:rsid w:val="007A3A24"/>
    <w:rsid w:val="007A3A88"/>
    <w:rsid w:val="007A3A93"/>
    <w:rsid w:val="007A3AAC"/>
    <w:rsid w:val="007A3AC6"/>
    <w:rsid w:val="007A3AC8"/>
    <w:rsid w:val="007A3AF1"/>
    <w:rsid w:val="007A3B14"/>
    <w:rsid w:val="007A3B6A"/>
    <w:rsid w:val="007A3BB7"/>
    <w:rsid w:val="007A3C1B"/>
    <w:rsid w:val="007A3C4E"/>
    <w:rsid w:val="007A3C6D"/>
    <w:rsid w:val="007A3CEB"/>
    <w:rsid w:val="007A3D15"/>
    <w:rsid w:val="007A3D4A"/>
    <w:rsid w:val="007A3D81"/>
    <w:rsid w:val="007A3DF2"/>
    <w:rsid w:val="007A3E54"/>
    <w:rsid w:val="007A3E80"/>
    <w:rsid w:val="007A3E82"/>
    <w:rsid w:val="007A3EE0"/>
    <w:rsid w:val="007A3F62"/>
    <w:rsid w:val="007A3F90"/>
    <w:rsid w:val="007A3FA8"/>
    <w:rsid w:val="007A400E"/>
    <w:rsid w:val="007A4047"/>
    <w:rsid w:val="007A40C3"/>
    <w:rsid w:val="007A40D4"/>
    <w:rsid w:val="007A40F3"/>
    <w:rsid w:val="007A4118"/>
    <w:rsid w:val="007A4125"/>
    <w:rsid w:val="007A4132"/>
    <w:rsid w:val="007A415D"/>
    <w:rsid w:val="007A41E9"/>
    <w:rsid w:val="007A42AA"/>
    <w:rsid w:val="007A42BE"/>
    <w:rsid w:val="007A4326"/>
    <w:rsid w:val="007A435B"/>
    <w:rsid w:val="007A438C"/>
    <w:rsid w:val="007A43EC"/>
    <w:rsid w:val="007A43F7"/>
    <w:rsid w:val="007A4465"/>
    <w:rsid w:val="007A44A7"/>
    <w:rsid w:val="007A44B8"/>
    <w:rsid w:val="007A44FB"/>
    <w:rsid w:val="007A4514"/>
    <w:rsid w:val="007A455C"/>
    <w:rsid w:val="007A4579"/>
    <w:rsid w:val="007A45B3"/>
    <w:rsid w:val="007A4608"/>
    <w:rsid w:val="007A462F"/>
    <w:rsid w:val="007A46A1"/>
    <w:rsid w:val="007A46C2"/>
    <w:rsid w:val="007A4719"/>
    <w:rsid w:val="007A471A"/>
    <w:rsid w:val="007A4720"/>
    <w:rsid w:val="007A4796"/>
    <w:rsid w:val="007A47AE"/>
    <w:rsid w:val="007A47C3"/>
    <w:rsid w:val="007A4804"/>
    <w:rsid w:val="007A4809"/>
    <w:rsid w:val="007A4814"/>
    <w:rsid w:val="007A481E"/>
    <w:rsid w:val="007A4825"/>
    <w:rsid w:val="007A4849"/>
    <w:rsid w:val="007A484A"/>
    <w:rsid w:val="007A4884"/>
    <w:rsid w:val="007A4976"/>
    <w:rsid w:val="007A4991"/>
    <w:rsid w:val="007A49DC"/>
    <w:rsid w:val="007A4A11"/>
    <w:rsid w:val="007A4A68"/>
    <w:rsid w:val="007A4AD3"/>
    <w:rsid w:val="007A4AD7"/>
    <w:rsid w:val="007A4B1A"/>
    <w:rsid w:val="007A4B65"/>
    <w:rsid w:val="007A4B81"/>
    <w:rsid w:val="007A4BF2"/>
    <w:rsid w:val="007A4C2C"/>
    <w:rsid w:val="007A4CA9"/>
    <w:rsid w:val="007A4CEB"/>
    <w:rsid w:val="007A4D2E"/>
    <w:rsid w:val="007A4D98"/>
    <w:rsid w:val="007A4DAA"/>
    <w:rsid w:val="007A4DEB"/>
    <w:rsid w:val="007A4E70"/>
    <w:rsid w:val="007A4E72"/>
    <w:rsid w:val="007A4E8F"/>
    <w:rsid w:val="007A4F3C"/>
    <w:rsid w:val="007A4F47"/>
    <w:rsid w:val="007A4F51"/>
    <w:rsid w:val="007A4F5B"/>
    <w:rsid w:val="007A4FA6"/>
    <w:rsid w:val="007A4FBB"/>
    <w:rsid w:val="007A4FC0"/>
    <w:rsid w:val="007A4FF0"/>
    <w:rsid w:val="007A5018"/>
    <w:rsid w:val="007A5029"/>
    <w:rsid w:val="007A5086"/>
    <w:rsid w:val="007A50D4"/>
    <w:rsid w:val="007A5217"/>
    <w:rsid w:val="007A524B"/>
    <w:rsid w:val="007A5253"/>
    <w:rsid w:val="007A526B"/>
    <w:rsid w:val="007A52A3"/>
    <w:rsid w:val="007A52A5"/>
    <w:rsid w:val="007A52F7"/>
    <w:rsid w:val="007A5328"/>
    <w:rsid w:val="007A534E"/>
    <w:rsid w:val="007A5390"/>
    <w:rsid w:val="007A53BF"/>
    <w:rsid w:val="007A53CE"/>
    <w:rsid w:val="007A541B"/>
    <w:rsid w:val="007A547E"/>
    <w:rsid w:val="007A5493"/>
    <w:rsid w:val="007A54A3"/>
    <w:rsid w:val="007A54CB"/>
    <w:rsid w:val="007A54D2"/>
    <w:rsid w:val="007A5504"/>
    <w:rsid w:val="007A5507"/>
    <w:rsid w:val="007A552E"/>
    <w:rsid w:val="007A5580"/>
    <w:rsid w:val="007A558D"/>
    <w:rsid w:val="007A558F"/>
    <w:rsid w:val="007A5611"/>
    <w:rsid w:val="007A566E"/>
    <w:rsid w:val="007A568F"/>
    <w:rsid w:val="007A56A3"/>
    <w:rsid w:val="007A56D5"/>
    <w:rsid w:val="007A56F2"/>
    <w:rsid w:val="007A5715"/>
    <w:rsid w:val="007A5751"/>
    <w:rsid w:val="007A5755"/>
    <w:rsid w:val="007A575F"/>
    <w:rsid w:val="007A57A2"/>
    <w:rsid w:val="007A57BD"/>
    <w:rsid w:val="007A585C"/>
    <w:rsid w:val="007A5872"/>
    <w:rsid w:val="007A5897"/>
    <w:rsid w:val="007A5956"/>
    <w:rsid w:val="007A5966"/>
    <w:rsid w:val="007A59C2"/>
    <w:rsid w:val="007A5A8B"/>
    <w:rsid w:val="007A5AA4"/>
    <w:rsid w:val="007A5AC2"/>
    <w:rsid w:val="007A5ADA"/>
    <w:rsid w:val="007A5AE1"/>
    <w:rsid w:val="007A5B21"/>
    <w:rsid w:val="007A5B3E"/>
    <w:rsid w:val="007A5B40"/>
    <w:rsid w:val="007A5C1B"/>
    <w:rsid w:val="007A5C4C"/>
    <w:rsid w:val="007A5C6C"/>
    <w:rsid w:val="007A5CA4"/>
    <w:rsid w:val="007A5CC6"/>
    <w:rsid w:val="007A5CE3"/>
    <w:rsid w:val="007A5D38"/>
    <w:rsid w:val="007A5D4B"/>
    <w:rsid w:val="007A5D7A"/>
    <w:rsid w:val="007A5DA0"/>
    <w:rsid w:val="007A5DCD"/>
    <w:rsid w:val="007A5DE3"/>
    <w:rsid w:val="007A5E20"/>
    <w:rsid w:val="007A5EA3"/>
    <w:rsid w:val="007A5ED2"/>
    <w:rsid w:val="007A5F02"/>
    <w:rsid w:val="007A5F37"/>
    <w:rsid w:val="007A5F38"/>
    <w:rsid w:val="007A5F68"/>
    <w:rsid w:val="007A5FB2"/>
    <w:rsid w:val="007A5FD4"/>
    <w:rsid w:val="007A6041"/>
    <w:rsid w:val="007A605E"/>
    <w:rsid w:val="007A60DF"/>
    <w:rsid w:val="007A6135"/>
    <w:rsid w:val="007A613E"/>
    <w:rsid w:val="007A6167"/>
    <w:rsid w:val="007A61D5"/>
    <w:rsid w:val="007A61DA"/>
    <w:rsid w:val="007A6226"/>
    <w:rsid w:val="007A623C"/>
    <w:rsid w:val="007A6281"/>
    <w:rsid w:val="007A629A"/>
    <w:rsid w:val="007A62AC"/>
    <w:rsid w:val="007A63AD"/>
    <w:rsid w:val="007A63CF"/>
    <w:rsid w:val="007A63D3"/>
    <w:rsid w:val="007A63DA"/>
    <w:rsid w:val="007A6424"/>
    <w:rsid w:val="007A642F"/>
    <w:rsid w:val="007A646F"/>
    <w:rsid w:val="007A6480"/>
    <w:rsid w:val="007A64CC"/>
    <w:rsid w:val="007A64D5"/>
    <w:rsid w:val="007A64EE"/>
    <w:rsid w:val="007A6507"/>
    <w:rsid w:val="007A65FF"/>
    <w:rsid w:val="007A6620"/>
    <w:rsid w:val="007A6655"/>
    <w:rsid w:val="007A66A1"/>
    <w:rsid w:val="007A66A6"/>
    <w:rsid w:val="007A66D3"/>
    <w:rsid w:val="007A6748"/>
    <w:rsid w:val="007A6811"/>
    <w:rsid w:val="007A683B"/>
    <w:rsid w:val="007A6847"/>
    <w:rsid w:val="007A6853"/>
    <w:rsid w:val="007A685C"/>
    <w:rsid w:val="007A6869"/>
    <w:rsid w:val="007A68AA"/>
    <w:rsid w:val="007A68DC"/>
    <w:rsid w:val="007A692C"/>
    <w:rsid w:val="007A6980"/>
    <w:rsid w:val="007A69E8"/>
    <w:rsid w:val="007A6A3E"/>
    <w:rsid w:val="007A6ABD"/>
    <w:rsid w:val="007A6B05"/>
    <w:rsid w:val="007A6B33"/>
    <w:rsid w:val="007A6B5B"/>
    <w:rsid w:val="007A6B61"/>
    <w:rsid w:val="007A6B95"/>
    <w:rsid w:val="007A6BB0"/>
    <w:rsid w:val="007A6C2E"/>
    <w:rsid w:val="007A6C90"/>
    <w:rsid w:val="007A6CAA"/>
    <w:rsid w:val="007A6CD8"/>
    <w:rsid w:val="007A6D07"/>
    <w:rsid w:val="007A6D75"/>
    <w:rsid w:val="007A6D9B"/>
    <w:rsid w:val="007A6DDB"/>
    <w:rsid w:val="007A6DF0"/>
    <w:rsid w:val="007A6E05"/>
    <w:rsid w:val="007A6E1E"/>
    <w:rsid w:val="007A6E2A"/>
    <w:rsid w:val="007A6E68"/>
    <w:rsid w:val="007A6E89"/>
    <w:rsid w:val="007A6E96"/>
    <w:rsid w:val="007A6EE1"/>
    <w:rsid w:val="007A6F2B"/>
    <w:rsid w:val="007A6F4A"/>
    <w:rsid w:val="007A6F94"/>
    <w:rsid w:val="007A7037"/>
    <w:rsid w:val="007A7055"/>
    <w:rsid w:val="007A70E3"/>
    <w:rsid w:val="007A7107"/>
    <w:rsid w:val="007A7167"/>
    <w:rsid w:val="007A716A"/>
    <w:rsid w:val="007A7170"/>
    <w:rsid w:val="007A719F"/>
    <w:rsid w:val="007A721A"/>
    <w:rsid w:val="007A7263"/>
    <w:rsid w:val="007A7320"/>
    <w:rsid w:val="007A73D6"/>
    <w:rsid w:val="007A7463"/>
    <w:rsid w:val="007A74BA"/>
    <w:rsid w:val="007A74D3"/>
    <w:rsid w:val="007A74E7"/>
    <w:rsid w:val="007A754A"/>
    <w:rsid w:val="007A758F"/>
    <w:rsid w:val="007A759B"/>
    <w:rsid w:val="007A75B4"/>
    <w:rsid w:val="007A75C0"/>
    <w:rsid w:val="007A7613"/>
    <w:rsid w:val="007A7617"/>
    <w:rsid w:val="007A767A"/>
    <w:rsid w:val="007A769C"/>
    <w:rsid w:val="007A76C5"/>
    <w:rsid w:val="007A76E8"/>
    <w:rsid w:val="007A773C"/>
    <w:rsid w:val="007A7761"/>
    <w:rsid w:val="007A7774"/>
    <w:rsid w:val="007A777D"/>
    <w:rsid w:val="007A778F"/>
    <w:rsid w:val="007A77E0"/>
    <w:rsid w:val="007A77FC"/>
    <w:rsid w:val="007A7837"/>
    <w:rsid w:val="007A7866"/>
    <w:rsid w:val="007A78A6"/>
    <w:rsid w:val="007A797E"/>
    <w:rsid w:val="007A79EA"/>
    <w:rsid w:val="007A79EB"/>
    <w:rsid w:val="007A7A2E"/>
    <w:rsid w:val="007A7A8A"/>
    <w:rsid w:val="007A7A9B"/>
    <w:rsid w:val="007A7AB9"/>
    <w:rsid w:val="007A7B09"/>
    <w:rsid w:val="007A7B0B"/>
    <w:rsid w:val="007A7B16"/>
    <w:rsid w:val="007A7C19"/>
    <w:rsid w:val="007A7D00"/>
    <w:rsid w:val="007A7D54"/>
    <w:rsid w:val="007A7D6A"/>
    <w:rsid w:val="007A7D88"/>
    <w:rsid w:val="007A7DAF"/>
    <w:rsid w:val="007A7DC9"/>
    <w:rsid w:val="007A7DF5"/>
    <w:rsid w:val="007A7DF8"/>
    <w:rsid w:val="007A7E16"/>
    <w:rsid w:val="007A7E18"/>
    <w:rsid w:val="007A7E81"/>
    <w:rsid w:val="007A7EE1"/>
    <w:rsid w:val="007A7F09"/>
    <w:rsid w:val="007A7F20"/>
    <w:rsid w:val="007A7F26"/>
    <w:rsid w:val="007A7F28"/>
    <w:rsid w:val="007A7F7D"/>
    <w:rsid w:val="007A7FA6"/>
    <w:rsid w:val="007A7FB2"/>
    <w:rsid w:val="007B0001"/>
    <w:rsid w:val="007B0015"/>
    <w:rsid w:val="007B001C"/>
    <w:rsid w:val="007B0085"/>
    <w:rsid w:val="007B014C"/>
    <w:rsid w:val="007B015D"/>
    <w:rsid w:val="007B016F"/>
    <w:rsid w:val="007B0191"/>
    <w:rsid w:val="007B0251"/>
    <w:rsid w:val="007B028E"/>
    <w:rsid w:val="007B02C3"/>
    <w:rsid w:val="007B02FE"/>
    <w:rsid w:val="007B035D"/>
    <w:rsid w:val="007B035F"/>
    <w:rsid w:val="007B03B4"/>
    <w:rsid w:val="007B0457"/>
    <w:rsid w:val="007B047B"/>
    <w:rsid w:val="007B04AA"/>
    <w:rsid w:val="007B05C5"/>
    <w:rsid w:val="007B05E1"/>
    <w:rsid w:val="007B0667"/>
    <w:rsid w:val="007B069F"/>
    <w:rsid w:val="007B06BD"/>
    <w:rsid w:val="007B06C3"/>
    <w:rsid w:val="007B07A5"/>
    <w:rsid w:val="007B07A6"/>
    <w:rsid w:val="007B07F3"/>
    <w:rsid w:val="007B0852"/>
    <w:rsid w:val="007B0914"/>
    <w:rsid w:val="007B095F"/>
    <w:rsid w:val="007B0982"/>
    <w:rsid w:val="007B0997"/>
    <w:rsid w:val="007B09F1"/>
    <w:rsid w:val="007B0A74"/>
    <w:rsid w:val="007B0A83"/>
    <w:rsid w:val="007B0A92"/>
    <w:rsid w:val="007B0AB3"/>
    <w:rsid w:val="007B0ADD"/>
    <w:rsid w:val="007B0AFA"/>
    <w:rsid w:val="007B0B39"/>
    <w:rsid w:val="007B0B55"/>
    <w:rsid w:val="007B0B7B"/>
    <w:rsid w:val="007B0B91"/>
    <w:rsid w:val="007B0C58"/>
    <w:rsid w:val="007B0C6A"/>
    <w:rsid w:val="007B0D27"/>
    <w:rsid w:val="007B0D47"/>
    <w:rsid w:val="007B0DBE"/>
    <w:rsid w:val="007B0DC6"/>
    <w:rsid w:val="007B0E7B"/>
    <w:rsid w:val="007B0E8E"/>
    <w:rsid w:val="007B0E94"/>
    <w:rsid w:val="007B0EA4"/>
    <w:rsid w:val="007B0EA7"/>
    <w:rsid w:val="007B0EF9"/>
    <w:rsid w:val="007B0F36"/>
    <w:rsid w:val="007B0F55"/>
    <w:rsid w:val="007B0F61"/>
    <w:rsid w:val="007B0F64"/>
    <w:rsid w:val="007B0F77"/>
    <w:rsid w:val="007B1002"/>
    <w:rsid w:val="007B1049"/>
    <w:rsid w:val="007B10E4"/>
    <w:rsid w:val="007B10FC"/>
    <w:rsid w:val="007B111D"/>
    <w:rsid w:val="007B119E"/>
    <w:rsid w:val="007B11AA"/>
    <w:rsid w:val="007B11C6"/>
    <w:rsid w:val="007B1203"/>
    <w:rsid w:val="007B129E"/>
    <w:rsid w:val="007B1323"/>
    <w:rsid w:val="007B1331"/>
    <w:rsid w:val="007B13E4"/>
    <w:rsid w:val="007B1412"/>
    <w:rsid w:val="007B145B"/>
    <w:rsid w:val="007B14DD"/>
    <w:rsid w:val="007B1504"/>
    <w:rsid w:val="007B1524"/>
    <w:rsid w:val="007B1596"/>
    <w:rsid w:val="007B15D6"/>
    <w:rsid w:val="007B15D7"/>
    <w:rsid w:val="007B15DD"/>
    <w:rsid w:val="007B15FF"/>
    <w:rsid w:val="007B162D"/>
    <w:rsid w:val="007B1683"/>
    <w:rsid w:val="007B1696"/>
    <w:rsid w:val="007B16A2"/>
    <w:rsid w:val="007B16DF"/>
    <w:rsid w:val="007B170D"/>
    <w:rsid w:val="007B1740"/>
    <w:rsid w:val="007B177F"/>
    <w:rsid w:val="007B1794"/>
    <w:rsid w:val="007B17A3"/>
    <w:rsid w:val="007B17AD"/>
    <w:rsid w:val="007B17EC"/>
    <w:rsid w:val="007B185C"/>
    <w:rsid w:val="007B18DA"/>
    <w:rsid w:val="007B198F"/>
    <w:rsid w:val="007B19A3"/>
    <w:rsid w:val="007B19B2"/>
    <w:rsid w:val="007B19E6"/>
    <w:rsid w:val="007B1A69"/>
    <w:rsid w:val="007B1A7E"/>
    <w:rsid w:val="007B1A8F"/>
    <w:rsid w:val="007B1AA8"/>
    <w:rsid w:val="007B1AC0"/>
    <w:rsid w:val="007B1B50"/>
    <w:rsid w:val="007B1B78"/>
    <w:rsid w:val="007B1BB9"/>
    <w:rsid w:val="007B1BF9"/>
    <w:rsid w:val="007B1C07"/>
    <w:rsid w:val="007B1C0A"/>
    <w:rsid w:val="007B1C28"/>
    <w:rsid w:val="007B1C4F"/>
    <w:rsid w:val="007B1C8D"/>
    <w:rsid w:val="007B1CAA"/>
    <w:rsid w:val="007B1CBD"/>
    <w:rsid w:val="007B1CF7"/>
    <w:rsid w:val="007B1D1E"/>
    <w:rsid w:val="007B1D21"/>
    <w:rsid w:val="007B1D37"/>
    <w:rsid w:val="007B1D4A"/>
    <w:rsid w:val="007B1DE2"/>
    <w:rsid w:val="007B1E34"/>
    <w:rsid w:val="007B1E48"/>
    <w:rsid w:val="007B1E58"/>
    <w:rsid w:val="007B1F0D"/>
    <w:rsid w:val="007B1F8B"/>
    <w:rsid w:val="007B1F98"/>
    <w:rsid w:val="007B1FD1"/>
    <w:rsid w:val="007B202D"/>
    <w:rsid w:val="007B2046"/>
    <w:rsid w:val="007B2050"/>
    <w:rsid w:val="007B20E7"/>
    <w:rsid w:val="007B20E9"/>
    <w:rsid w:val="007B2138"/>
    <w:rsid w:val="007B21C6"/>
    <w:rsid w:val="007B2229"/>
    <w:rsid w:val="007B222C"/>
    <w:rsid w:val="007B2243"/>
    <w:rsid w:val="007B226D"/>
    <w:rsid w:val="007B22EA"/>
    <w:rsid w:val="007B2303"/>
    <w:rsid w:val="007B2304"/>
    <w:rsid w:val="007B2355"/>
    <w:rsid w:val="007B2357"/>
    <w:rsid w:val="007B2395"/>
    <w:rsid w:val="007B23AE"/>
    <w:rsid w:val="007B23C4"/>
    <w:rsid w:val="007B2445"/>
    <w:rsid w:val="007B245A"/>
    <w:rsid w:val="007B2468"/>
    <w:rsid w:val="007B248F"/>
    <w:rsid w:val="007B24B3"/>
    <w:rsid w:val="007B24D0"/>
    <w:rsid w:val="007B24F2"/>
    <w:rsid w:val="007B2517"/>
    <w:rsid w:val="007B2524"/>
    <w:rsid w:val="007B2562"/>
    <w:rsid w:val="007B2583"/>
    <w:rsid w:val="007B2599"/>
    <w:rsid w:val="007B25F3"/>
    <w:rsid w:val="007B2614"/>
    <w:rsid w:val="007B2694"/>
    <w:rsid w:val="007B2708"/>
    <w:rsid w:val="007B2718"/>
    <w:rsid w:val="007B2719"/>
    <w:rsid w:val="007B2728"/>
    <w:rsid w:val="007B2746"/>
    <w:rsid w:val="007B278B"/>
    <w:rsid w:val="007B27FF"/>
    <w:rsid w:val="007B2804"/>
    <w:rsid w:val="007B2876"/>
    <w:rsid w:val="007B2888"/>
    <w:rsid w:val="007B28AB"/>
    <w:rsid w:val="007B28C3"/>
    <w:rsid w:val="007B2938"/>
    <w:rsid w:val="007B2942"/>
    <w:rsid w:val="007B294E"/>
    <w:rsid w:val="007B295A"/>
    <w:rsid w:val="007B299B"/>
    <w:rsid w:val="007B29FB"/>
    <w:rsid w:val="007B2A23"/>
    <w:rsid w:val="007B2A72"/>
    <w:rsid w:val="007B2A77"/>
    <w:rsid w:val="007B2AAA"/>
    <w:rsid w:val="007B2AC8"/>
    <w:rsid w:val="007B2AFC"/>
    <w:rsid w:val="007B2B2B"/>
    <w:rsid w:val="007B2B81"/>
    <w:rsid w:val="007B2B87"/>
    <w:rsid w:val="007B2B99"/>
    <w:rsid w:val="007B2C31"/>
    <w:rsid w:val="007B2C39"/>
    <w:rsid w:val="007B2C72"/>
    <w:rsid w:val="007B2CF1"/>
    <w:rsid w:val="007B2CF3"/>
    <w:rsid w:val="007B2D09"/>
    <w:rsid w:val="007B2D62"/>
    <w:rsid w:val="007B2DAD"/>
    <w:rsid w:val="007B2E41"/>
    <w:rsid w:val="007B2E5A"/>
    <w:rsid w:val="007B2E73"/>
    <w:rsid w:val="007B2E86"/>
    <w:rsid w:val="007B2EDF"/>
    <w:rsid w:val="007B2F0B"/>
    <w:rsid w:val="007B2F8C"/>
    <w:rsid w:val="007B3010"/>
    <w:rsid w:val="007B3045"/>
    <w:rsid w:val="007B305E"/>
    <w:rsid w:val="007B30E6"/>
    <w:rsid w:val="007B3103"/>
    <w:rsid w:val="007B3122"/>
    <w:rsid w:val="007B3162"/>
    <w:rsid w:val="007B3181"/>
    <w:rsid w:val="007B31E8"/>
    <w:rsid w:val="007B321A"/>
    <w:rsid w:val="007B323E"/>
    <w:rsid w:val="007B32E0"/>
    <w:rsid w:val="007B3312"/>
    <w:rsid w:val="007B3315"/>
    <w:rsid w:val="007B331D"/>
    <w:rsid w:val="007B332A"/>
    <w:rsid w:val="007B3337"/>
    <w:rsid w:val="007B33A8"/>
    <w:rsid w:val="007B33D4"/>
    <w:rsid w:val="007B33EF"/>
    <w:rsid w:val="007B34A8"/>
    <w:rsid w:val="007B34B9"/>
    <w:rsid w:val="007B34F8"/>
    <w:rsid w:val="007B3511"/>
    <w:rsid w:val="007B3570"/>
    <w:rsid w:val="007B35BD"/>
    <w:rsid w:val="007B360C"/>
    <w:rsid w:val="007B3624"/>
    <w:rsid w:val="007B3629"/>
    <w:rsid w:val="007B3651"/>
    <w:rsid w:val="007B365D"/>
    <w:rsid w:val="007B366C"/>
    <w:rsid w:val="007B36AE"/>
    <w:rsid w:val="007B3702"/>
    <w:rsid w:val="007B3717"/>
    <w:rsid w:val="007B373B"/>
    <w:rsid w:val="007B3754"/>
    <w:rsid w:val="007B377E"/>
    <w:rsid w:val="007B37AA"/>
    <w:rsid w:val="007B37E6"/>
    <w:rsid w:val="007B380A"/>
    <w:rsid w:val="007B3928"/>
    <w:rsid w:val="007B3938"/>
    <w:rsid w:val="007B3994"/>
    <w:rsid w:val="007B3995"/>
    <w:rsid w:val="007B39CC"/>
    <w:rsid w:val="007B3A20"/>
    <w:rsid w:val="007B3ACE"/>
    <w:rsid w:val="007B3AF2"/>
    <w:rsid w:val="007B3B06"/>
    <w:rsid w:val="007B3B2B"/>
    <w:rsid w:val="007B3B2C"/>
    <w:rsid w:val="007B3B57"/>
    <w:rsid w:val="007B3B58"/>
    <w:rsid w:val="007B3BB3"/>
    <w:rsid w:val="007B3BC5"/>
    <w:rsid w:val="007B3BC7"/>
    <w:rsid w:val="007B3C48"/>
    <w:rsid w:val="007B3C83"/>
    <w:rsid w:val="007B3CA1"/>
    <w:rsid w:val="007B3CB8"/>
    <w:rsid w:val="007B3CC6"/>
    <w:rsid w:val="007B3D29"/>
    <w:rsid w:val="007B3D44"/>
    <w:rsid w:val="007B3DAD"/>
    <w:rsid w:val="007B3DAE"/>
    <w:rsid w:val="007B3E3D"/>
    <w:rsid w:val="007B3E63"/>
    <w:rsid w:val="007B3E67"/>
    <w:rsid w:val="007B3E6C"/>
    <w:rsid w:val="007B3E73"/>
    <w:rsid w:val="007B3E98"/>
    <w:rsid w:val="007B3EB3"/>
    <w:rsid w:val="007B3EC3"/>
    <w:rsid w:val="007B3EFC"/>
    <w:rsid w:val="007B3F1A"/>
    <w:rsid w:val="007B3F1F"/>
    <w:rsid w:val="007B3F24"/>
    <w:rsid w:val="007B3F29"/>
    <w:rsid w:val="007B4024"/>
    <w:rsid w:val="007B4041"/>
    <w:rsid w:val="007B4050"/>
    <w:rsid w:val="007B40C0"/>
    <w:rsid w:val="007B40C1"/>
    <w:rsid w:val="007B4105"/>
    <w:rsid w:val="007B4168"/>
    <w:rsid w:val="007B4235"/>
    <w:rsid w:val="007B423B"/>
    <w:rsid w:val="007B423D"/>
    <w:rsid w:val="007B42BB"/>
    <w:rsid w:val="007B42DE"/>
    <w:rsid w:val="007B4316"/>
    <w:rsid w:val="007B433D"/>
    <w:rsid w:val="007B43A8"/>
    <w:rsid w:val="007B444C"/>
    <w:rsid w:val="007B4471"/>
    <w:rsid w:val="007B4478"/>
    <w:rsid w:val="007B44C5"/>
    <w:rsid w:val="007B44DA"/>
    <w:rsid w:val="007B44F3"/>
    <w:rsid w:val="007B451B"/>
    <w:rsid w:val="007B4540"/>
    <w:rsid w:val="007B4557"/>
    <w:rsid w:val="007B455E"/>
    <w:rsid w:val="007B4561"/>
    <w:rsid w:val="007B4575"/>
    <w:rsid w:val="007B45A1"/>
    <w:rsid w:val="007B4661"/>
    <w:rsid w:val="007B46DB"/>
    <w:rsid w:val="007B46F3"/>
    <w:rsid w:val="007B478D"/>
    <w:rsid w:val="007B47A5"/>
    <w:rsid w:val="007B4827"/>
    <w:rsid w:val="007B4848"/>
    <w:rsid w:val="007B4880"/>
    <w:rsid w:val="007B48D3"/>
    <w:rsid w:val="007B4900"/>
    <w:rsid w:val="007B491E"/>
    <w:rsid w:val="007B4942"/>
    <w:rsid w:val="007B4951"/>
    <w:rsid w:val="007B4967"/>
    <w:rsid w:val="007B4971"/>
    <w:rsid w:val="007B4A3B"/>
    <w:rsid w:val="007B4AB0"/>
    <w:rsid w:val="007B4B26"/>
    <w:rsid w:val="007B4B31"/>
    <w:rsid w:val="007B4B87"/>
    <w:rsid w:val="007B4C26"/>
    <w:rsid w:val="007B4C95"/>
    <w:rsid w:val="007B4CE2"/>
    <w:rsid w:val="007B4CEE"/>
    <w:rsid w:val="007B4D21"/>
    <w:rsid w:val="007B4D8D"/>
    <w:rsid w:val="007B4DDD"/>
    <w:rsid w:val="007B4DE1"/>
    <w:rsid w:val="007B4DF6"/>
    <w:rsid w:val="007B4E30"/>
    <w:rsid w:val="007B4EA6"/>
    <w:rsid w:val="007B4EDC"/>
    <w:rsid w:val="007B4F62"/>
    <w:rsid w:val="007B4F82"/>
    <w:rsid w:val="007B5042"/>
    <w:rsid w:val="007B5058"/>
    <w:rsid w:val="007B5089"/>
    <w:rsid w:val="007B50C7"/>
    <w:rsid w:val="007B50D3"/>
    <w:rsid w:val="007B50E8"/>
    <w:rsid w:val="007B513A"/>
    <w:rsid w:val="007B5140"/>
    <w:rsid w:val="007B514E"/>
    <w:rsid w:val="007B5183"/>
    <w:rsid w:val="007B51C0"/>
    <w:rsid w:val="007B51C9"/>
    <w:rsid w:val="007B51CD"/>
    <w:rsid w:val="007B5214"/>
    <w:rsid w:val="007B5224"/>
    <w:rsid w:val="007B5253"/>
    <w:rsid w:val="007B5263"/>
    <w:rsid w:val="007B52BE"/>
    <w:rsid w:val="007B52C1"/>
    <w:rsid w:val="007B52CF"/>
    <w:rsid w:val="007B52F0"/>
    <w:rsid w:val="007B52F8"/>
    <w:rsid w:val="007B5333"/>
    <w:rsid w:val="007B5368"/>
    <w:rsid w:val="007B537D"/>
    <w:rsid w:val="007B53A5"/>
    <w:rsid w:val="007B53FB"/>
    <w:rsid w:val="007B544C"/>
    <w:rsid w:val="007B54A2"/>
    <w:rsid w:val="007B54B9"/>
    <w:rsid w:val="007B551A"/>
    <w:rsid w:val="007B553F"/>
    <w:rsid w:val="007B5583"/>
    <w:rsid w:val="007B5595"/>
    <w:rsid w:val="007B55AA"/>
    <w:rsid w:val="007B55DF"/>
    <w:rsid w:val="007B56C9"/>
    <w:rsid w:val="007B573F"/>
    <w:rsid w:val="007B574D"/>
    <w:rsid w:val="007B5829"/>
    <w:rsid w:val="007B588E"/>
    <w:rsid w:val="007B589B"/>
    <w:rsid w:val="007B58B5"/>
    <w:rsid w:val="007B58BF"/>
    <w:rsid w:val="007B58FC"/>
    <w:rsid w:val="007B590F"/>
    <w:rsid w:val="007B5A17"/>
    <w:rsid w:val="007B5A34"/>
    <w:rsid w:val="007B5AA7"/>
    <w:rsid w:val="007B5AD1"/>
    <w:rsid w:val="007B5AFD"/>
    <w:rsid w:val="007B5B5A"/>
    <w:rsid w:val="007B5B8D"/>
    <w:rsid w:val="007B5BB9"/>
    <w:rsid w:val="007B5BC7"/>
    <w:rsid w:val="007B5C0A"/>
    <w:rsid w:val="007B5C0D"/>
    <w:rsid w:val="007B5C38"/>
    <w:rsid w:val="007B5CA1"/>
    <w:rsid w:val="007B5CC3"/>
    <w:rsid w:val="007B5CDF"/>
    <w:rsid w:val="007B5CE0"/>
    <w:rsid w:val="007B5D22"/>
    <w:rsid w:val="007B5D4D"/>
    <w:rsid w:val="007B5D5F"/>
    <w:rsid w:val="007B5DB2"/>
    <w:rsid w:val="007B5DBD"/>
    <w:rsid w:val="007B5DD6"/>
    <w:rsid w:val="007B5E2C"/>
    <w:rsid w:val="007B5EA0"/>
    <w:rsid w:val="007B5EB2"/>
    <w:rsid w:val="007B5EBD"/>
    <w:rsid w:val="007B5ED7"/>
    <w:rsid w:val="007B5F61"/>
    <w:rsid w:val="007B5F64"/>
    <w:rsid w:val="007B5F66"/>
    <w:rsid w:val="007B5F7D"/>
    <w:rsid w:val="007B5F93"/>
    <w:rsid w:val="007B5FAC"/>
    <w:rsid w:val="007B5FB7"/>
    <w:rsid w:val="007B603E"/>
    <w:rsid w:val="007B60A4"/>
    <w:rsid w:val="007B60A8"/>
    <w:rsid w:val="007B60DF"/>
    <w:rsid w:val="007B6127"/>
    <w:rsid w:val="007B612B"/>
    <w:rsid w:val="007B61C7"/>
    <w:rsid w:val="007B61E9"/>
    <w:rsid w:val="007B621D"/>
    <w:rsid w:val="007B6222"/>
    <w:rsid w:val="007B6229"/>
    <w:rsid w:val="007B6242"/>
    <w:rsid w:val="007B627E"/>
    <w:rsid w:val="007B6292"/>
    <w:rsid w:val="007B6327"/>
    <w:rsid w:val="007B6335"/>
    <w:rsid w:val="007B63B5"/>
    <w:rsid w:val="007B63F7"/>
    <w:rsid w:val="007B6456"/>
    <w:rsid w:val="007B646C"/>
    <w:rsid w:val="007B64A9"/>
    <w:rsid w:val="007B653B"/>
    <w:rsid w:val="007B6566"/>
    <w:rsid w:val="007B658D"/>
    <w:rsid w:val="007B65E4"/>
    <w:rsid w:val="007B665C"/>
    <w:rsid w:val="007B6663"/>
    <w:rsid w:val="007B6670"/>
    <w:rsid w:val="007B668B"/>
    <w:rsid w:val="007B66BC"/>
    <w:rsid w:val="007B66CB"/>
    <w:rsid w:val="007B6740"/>
    <w:rsid w:val="007B6799"/>
    <w:rsid w:val="007B67D4"/>
    <w:rsid w:val="007B67DC"/>
    <w:rsid w:val="007B6865"/>
    <w:rsid w:val="007B686D"/>
    <w:rsid w:val="007B6896"/>
    <w:rsid w:val="007B68FD"/>
    <w:rsid w:val="007B6910"/>
    <w:rsid w:val="007B6938"/>
    <w:rsid w:val="007B6992"/>
    <w:rsid w:val="007B6998"/>
    <w:rsid w:val="007B69BF"/>
    <w:rsid w:val="007B6A69"/>
    <w:rsid w:val="007B6AE8"/>
    <w:rsid w:val="007B6AF7"/>
    <w:rsid w:val="007B6B13"/>
    <w:rsid w:val="007B6B81"/>
    <w:rsid w:val="007B6BB3"/>
    <w:rsid w:val="007B6BBB"/>
    <w:rsid w:val="007B6BC9"/>
    <w:rsid w:val="007B6BDC"/>
    <w:rsid w:val="007B6C03"/>
    <w:rsid w:val="007B6C0B"/>
    <w:rsid w:val="007B6C4A"/>
    <w:rsid w:val="007B6C80"/>
    <w:rsid w:val="007B6C85"/>
    <w:rsid w:val="007B6CCF"/>
    <w:rsid w:val="007B6D05"/>
    <w:rsid w:val="007B6D50"/>
    <w:rsid w:val="007B6D55"/>
    <w:rsid w:val="007B6D80"/>
    <w:rsid w:val="007B6DED"/>
    <w:rsid w:val="007B6E13"/>
    <w:rsid w:val="007B6E18"/>
    <w:rsid w:val="007B6E19"/>
    <w:rsid w:val="007B6E30"/>
    <w:rsid w:val="007B6EC7"/>
    <w:rsid w:val="007B6EEA"/>
    <w:rsid w:val="007B6EFB"/>
    <w:rsid w:val="007B6F15"/>
    <w:rsid w:val="007B6F2E"/>
    <w:rsid w:val="007B6F47"/>
    <w:rsid w:val="007B6F83"/>
    <w:rsid w:val="007B6FBA"/>
    <w:rsid w:val="007B7056"/>
    <w:rsid w:val="007B70AC"/>
    <w:rsid w:val="007B70DD"/>
    <w:rsid w:val="007B712E"/>
    <w:rsid w:val="007B71A7"/>
    <w:rsid w:val="007B71F5"/>
    <w:rsid w:val="007B7219"/>
    <w:rsid w:val="007B724E"/>
    <w:rsid w:val="007B7271"/>
    <w:rsid w:val="007B7276"/>
    <w:rsid w:val="007B727B"/>
    <w:rsid w:val="007B72A3"/>
    <w:rsid w:val="007B72B3"/>
    <w:rsid w:val="007B72BE"/>
    <w:rsid w:val="007B72E0"/>
    <w:rsid w:val="007B731C"/>
    <w:rsid w:val="007B7383"/>
    <w:rsid w:val="007B73BC"/>
    <w:rsid w:val="007B7442"/>
    <w:rsid w:val="007B7470"/>
    <w:rsid w:val="007B74A3"/>
    <w:rsid w:val="007B752A"/>
    <w:rsid w:val="007B7596"/>
    <w:rsid w:val="007B75B1"/>
    <w:rsid w:val="007B75E8"/>
    <w:rsid w:val="007B7629"/>
    <w:rsid w:val="007B762D"/>
    <w:rsid w:val="007B7692"/>
    <w:rsid w:val="007B769A"/>
    <w:rsid w:val="007B76C7"/>
    <w:rsid w:val="007B76F4"/>
    <w:rsid w:val="007B76F6"/>
    <w:rsid w:val="007B7709"/>
    <w:rsid w:val="007B770D"/>
    <w:rsid w:val="007B7729"/>
    <w:rsid w:val="007B77C9"/>
    <w:rsid w:val="007B77CB"/>
    <w:rsid w:val="007B77D9"/>
    <w:rsid w:val="007B77EE"/>
    <w:rsid w:val="007B7812"/>
    <w:rsid w:val="007B781E"/>
    <w:rsid w:val="007B7823"/>
    <w:rsid w:val="007B7890"/>
    <w:rsid w:val="007B789E"/>
    <w:rsid w:val="007B78D9"/>
    <w:rsid w:val="007B78DA"/>
    <w:rsid w:val="007B7952"/>
    <w:rsid w:val="007B795F"/>
    <w:rsid w:val="007B79BD"/>
    <w:rsid w:val="007B79C6"/>
    <w:rsid w:val="007B79DC"/>
    <w:rsid w:val="007B79E7"/>
    <w:rsid w:val="007B7A1D"/>
    <w:rsid w:val="007B7A7E"/>
    <w:rsid w:val="007B7AD3"/>
    <w:rsid w:val="007B7B83"/>
    <w:rsid w:val="007B7B86"/>
    <w:rsid w:val="007B7C10"/>
    <w:rsid w:val="007B7C36"/>
    <w:rsid w:val="007B7C39"/>
    <w:rsid w:val="007B7C79"/>
    <w:rsid w:val="007B7C8F"/>
    <w:rsid w:val="007B7CA5"/>
    <w:rsid w:val="007B7D07"/>
    <w:rsid w:val="007B7D25"/>
    <w:rsid w:val="007B7D3A"/>
    <w:rsid w:val="007B7D78"/>
    <w:rsid w:val="007B7DC2"/>
    <w:rsid w:val="007B7DC6"/>
    <w:rsid w:val="007B7DD9"/>
    <w:rsid w:val="007B7E02"/>
    <w:rsid w:val="007B7E06"/>
    <w:rsid w:val="007B7E38"/>
    <w:rsid w:val="007B7E93"/>
    <w:rsid w:val="007B7E9B"/>
    <w:rsid w:val="007B7F03"/>
    <w:rsid w:val="007B7F4A"/>
    <w:rsid w:val="007B7F4D"/>
    <w:rsid w:val="007B7FFE"/>
    <w:rsid w:val="007C0100"/>
    <w:rsid w:val="007C0145"/>
    <w:rsid w:val="007C0149"/>
    <w:rsid w:val="007C0157"/>
    <w:rsid w:val="007C019A"/>
    <w:rsid w:val="007C01E9"/>
    <w:rsid w:val="007C022E"/>
    <w:rsid w:val="007C025B"/>
    <w:rsid w:val="007C02A7"/>
    <w:rsid w:val="007C02BA"/>
    <w:rsid w:val="007C02FE"/>
    <w:rsid w:val="007C032D"/>
    <w:rsid w:val="007C03CF"/>
    <w:rsid w:val="007C03F6"/>
    <w:rsid w:val="007C0419"/>
    <w:rsid w:val="007C0427"/>
    <w:rsid w:val="007C042C"/>
    <w:rsid w:val="007C0482"/>
    <w:rsid w:val="007C049A"/>
    <w:rsid w:val="007C04A5"/>
    <w:rsid w:val="007C04B5"/>
    <w:rsid w:val="007C04BB"/>
    <w:rsid w:val="007C0566"/>
    <w:rsid w:val="007C05B9"/>
    <w:rsid w:val="007C05CD"/>
    <w:rsid w:val="007C05EE"/>
    <w:rsid w:val="007C0692"/>
    <w:rsid w:val="007C06ED"/>
    <w:rsid w:val="007C072A"/>
    <w:rsid w:val="007C076B"/>
    <w:rsid w:val="007C0776"/>
    <w:rsid w:val="007C07E9"/>
    <w:rsid w:val="007C0816"/>
    <w:rsid w:val="007C0820"/>
    <w:rsid w:val="007C082A"/>
    <w:rsid w:val="007C082F"/>
    <w:rsid w:val="007C088A"/>
    <w:rsid w:val="007C088D"/>
    <w:rsid w:val="007C08B4"/>
    <w:rsid w:val="007C0920"/>
    <w:rsid w:val="007C0930"/>
    <w:rsid w:val="007C0942"/>
    <w:rsid w:val="007C0953"/>
    <w:rsid w:val="007C0A0F"/>
    <w:rsid w:val="007C0A92"/>
    <w:rsid w:val="007C0AA2"/>
    <w:rsid w:val="007C0AAE"/>
    <w:rsid w:val="007C0B1C"/>
    <w:rsid w:val="007C0B3B"/>
    <w:rsid w:val="007C0B97"/>
    <w:rsid w:val="007C0BA2"/>
    <w:rsid w:val="007C0C7B"/>
    <w:rsid w:val="007C0C7E"/>
    <w:rsid w:val="007C0CA2"/>
    <w:rsid w:val="007C0CBA"/>
    <w:rsid w:val="007C0CD6"/>
    <w:rsid w:val="007C0CF8"/>
    <w:rsid w:val="007C0D0F"/>
    <w:rsid w:val="007C0D2D"/>
    <w:rsid w:val="007C0D46"/>
    <w:rsid w:val="007C0D4C"/>
    <w:rsid w:val="007C0D51"/>
    <w:rsid w:val="007C0E22"/>
    <w:rsid w:val="007C0E77"/>
    <w:rsid w:val="007C0EC2"/>
    <w:rsid w:val="007C0EC7"/>
    <w:rsid w:val="007C0ED9"/>
    <w:rsid w:val="007C0EDF"/>
    <w:rsid w:val="007C0F63"/>
    <w:rsid w:val="007C0F9D"/>
    <w:rsid w:val="007C0FB7"/>
    <w:rsid w:val="007C0FEB"/>
    <w:rsid w:val="007C1023"/>
    <w:rsid w:val="007C104D"/>
    <w:rsid w:val="007C1084"/>
    <w:rsid w:val="007C109F"/>
    <w:rsid w:val="007C10ED"/>
    <w:rsid w:val="007C1127"/>
    <w:rsid w:val="007C11A1"/>
    <w:rsid w:val="007C11A3"/>
    <w:rsid w:val="007C123E"/>
    <w:rsid w:val="007C124B"/>
    <w:rsid w:val="007C12CE"/>
    <w:rsid w:val="007C12CF"/>
    <w:rsid w:val="007C1303"/>
    <w:rsid w:val="007C131E"/>
    <w:rsid w:val="007C1363"/>
    <w:rsid w:val="007C13CF"/>
    <w:rsid w:val="007C13DE"/>
    <w:rsid w:val="007C1403"/>
    <w:rsid w:val="007C1410"/>
    <w:rsid w:val="007C1424"/>
    <w:rsid w:val="007C1477"/>
    <w:rsid w:val="007C14D6"/>
    <w:rsid w:val="007C14E8"/>
    <w:rsid w:val="007C15DC"/>
    <w:rsid w:val="007C15FD"/>
    <w:rsid w:val="007C162B"/>
    <w:rsid w:val="007C164A"/>
    <w:rsid w:val="007C16D2"/>
    <w:rsid w:val="007C16DA"/>
    <w:rsid w:val="007C170E"/>
    <w:rsid w:val="007C1749"/>
    <w:rsid w:val="007C17B6"/>
    <w:rsid w:val="007C17E6"/>
    <w:rsid w:val="007C1800"/>
    <w:rsid w:val="007C1822"/>
    <w:rsid w:val="007C186E"/>
    <w:rsid w:val="007C18BC"/>
    <w:rsid w:val="007C18DA"/>
    <w:rsid w:val="007C1929"/>
    <w:rsid w:val="007C193B"/>
    <w:rsid w:val="007C1968"/>
    <w:rsid w:val="007C19AB"/>
    <w:rsid w:val="007C19B2"/>
    <w:rsid w:val="007C19B8"/>
    <w:rsid w:val="007C1A15"/>
    <w:rsid w:val="007C1A26"/>
    <w:rsid w:val="007C1AA2"/>
    <w:rsid w:val="007C1AAE"/>
    <w:rsid w:val="007C1B24"/>
    <w:rsid w:val="007C1B57"/>
    <w:rsid w:val="007C1B8D"/>
    <w:rsid w:val="007C1B8F"/>
    <w:rsid w:val="007C1B9F"/>
    <w:rsid w:val="007C1BA2"/>
    <w:rsid w:val="007C1BBE"/>
    <w:rsid w:val="007C1BE8"/>
    <w:rsid w:val="007C1C18"/>
    <w:rsid w:val="007C1C41"/>
    <w:rsid w:val="007C1C71"/>
    <w:rsid w:val="007C1C95"/>
    <w:rsid w:val="007C1CCA"/>
    <w:rsid w:val="007C1CD6"/>
    <w:rsid w:val="007C1CE0"/>
    <w:rsid w:val="007C1D11"/>
    <w:rsid w:val="007C1D29"/>
    <w:rsid w:val="007C1D50"/>
    <w:rsid w:val="007C1D5C"/>
    <w:rsid w:val="007C1D5E"/>
    <w:rsid w:val="007C1D73"/>
    <w:rsid w:val="007C1DEB"/>
    <w:rsid w:val="007C1E47"/>
    <w:rsid w:val="007C1E6A"/>
    <w:rsid w:val="007C1FD6"/>
    <w:rsid w:val="007C1FFC"/>
    <w:rsid w:val="007C2001"/>
    <w:rsid w:val="007C205C"/>
    <w:rsid w:val="007C2063"/>
    <w:rsid w:val="007C2075"/>
    <w:rsid w:val="007C2090"/>
    <w:rsid w:val="007C209A"/>
    <w:rsid w:val="007C20DB"/>
    <w:rsid w:val="007C2107"/>
    <w:rsid w:val="007C2120"/>
    <w:rsid w:val="007C2121"/>
    <w:rsid w:val="007C2135"/>
    <w:rsid w:val="007C2160"/>
    <w:rsid w:val="007C2177"/>
    <w:rsid w:val="007C2181"/>
    <w:rsid w:val="007C2271"/>
    <w:rsid w:val="007C229A"/>
    <w:rsid w:val="007C22A2"/>
    <w:rsid w:val="007C22E0"/>
    <w:rsid w:val="007C22EB"/>
    <w:rsid w:val="007C231B"/>
    <w:rsid w:val="007C2359"/>
    <w:rsid w:val="007C23C1"/>
    <w:rsid w:val="007C23C9"/>
    <w:rsid w:val="007C2438"/>
    <w:rsid w:val="007C249C"/>
    <w:rsid w:val="007C24BE"/>
    <w:rsid w:val="007C251D"/>
    <w:rsid w:val="007C2527"/>
    <w:rsid w:val="007C2533"/>
    <w:rsid w:val="007C253C"/>
    <w:rsid w:val="007C257B"/>
    <w:rsid w:val="007C25B9"/>
    <w:rsid w:val="007C25BA"/>
    <w:rsid w:val="007C26EB"/>
    <w:rsid w:val="007C2795"/>
    <w:rsid w:val="007C279B"/>
    <w:rsid w:val="007C27AA"/>
    <w:rsid w:val="007C27FF"/>
    <w:rsid w:val="007C2808"/>
    <w:rsid w:val="007C2827"/>
    <w:rsid w:val="007C2848"/>
    <w:rsid w:val="007C28E1"/>
    <w:rsid w:val="007C2906"/>
    <w:rsid w:val="007C2976"/>
    <w:rsid w:val="007C2979"/>
    <w:rsid w:val="007C2995"/>
    <w:rsid w:val="007C29DC"/>
    <w:rsid w:val="007C2A3D"/>
    <w:rsid w:val="007C2AA8"/>
    <w:rsid w:val="007C2AB4"/>
    <w:rsid w:val="007C2ADB"/>
    <w:rsid w:val="007C2B05"/>
    <w:rsid w:val="007C2B38"/>
    <w:rsid w:val="007C2B46"/>
    <w:rsid w:val="007C2BA9"/>
    <w:rsid w:val="007C2BEB"/>
    <w:rsid w:val="007C2C03"/>
    <w:rsid w:val="007C2C3E"/>
    <w:rsid w:val="007C2CA8"/>
    <w:rsid w:val="007C2CAE"/>
    <w:rsid w:val="007C2CE2"/>
    <w:rsid w:val="007C2CF0"/>
    <w:rsid w:val="007C2D55"/>
    <w:rsid w:val="007C2D78"/>
    <w:rsid w:val="007C2D8F"/>
    <w:rsid w:val="007C2D93"/>
    <w:rsid w:val="007C2DED"/>
    <w:rsid w:val="007C2E19"/>
    <w:rsid w:val="007C2E60"/>
    <w:rsid w:val="007C2E97"/>
    <w:rsid w:val="007C2F45"/>
    <w:rsid w:val="007C2F58"/>
    <w:rsid w:val="007C2FD2"/>
    <w:rsid w:val="007C30FC"/>
    <w:rsid w:val="007C311B"/>
    <w:rsid w:val="007C31F6"/>
    <w:rsid w:val="007C3268"/>
    <w:rsid w:val="007C32EF"/>
    <w:rsid w:val="007C3314"/>
    <w:rsid w:val="007C3332"/>
    <w:rsid w:val="007C3356"/>
    <w:rsid w:val="007C3357"/>
    <w:rsid w:val="007C3371"/>
    <w:rsid w:val="007C3431"/>
    <w:rsid w:val="007C3449"/>
    <w:rsid w:val="007C345D"/>
    <w:rsid w:val="007C346F"/>
    <w:rsid w:val="007C352B"/>
    <w:rsid w:val="007C354B"/>
    <w:rsid w:val="007C3558"/>
    <w:rsid w:val="007C3593"/>
    <w:rsid w:val="007C360B"/>
    <w:rsid w:val="007C367A"/>
    <w:rsid w:val="007C3699"/>
    <w:rsid w:val="007C369E"/>
    <w:rsid w:val="007C36E0"/>
    <w:rsid w:val="007C36E2"/>
    <w:rsid w:val="007C36F2"/>
    <w:rsid w:val="007C3722"/>
    <w:rsid w:val="007C3726"/>
    <w:rsid w:val="007C37EF"/>
    <w:rsid w:val="007C3809"/>
    <w:rsid w:val="007C3825"/>
    <w:rsid w:val="007C3827"/>
    <w:rsid w:val="007C385C"/>
    <w:rsid w:val="007C386C"/>
    <w:rsid w:val="007C386E"/>
    <w:rsid w:val="007C387B"/>
    <w:rsid w:val="007C389C"/>
    <w:rsid w:val="007C38A0"/>
    <w:rsid w:val="007C38BC"/>
    <w:rsid w:val="007C3956"/>
    <w:rsid w:val="007C3957"/>
    <w:rsid w:val="007C39E0"/>
    <w:rsid w:val="007C3A22"/>
    <w:rsid w:val="007C3A3A"/>
    <w:rsid w:val="007C3A43"/>
    <w:rsid w:val="007C3A4D"/>
    <w:rsid w:val="007C3A85"/>
    <w:rsid w:val="007C3A86"/>
    <w:rsid w:val="007C3AAF"/>
    <w:rsid w:val="007C3B2F"/>
    <w:rsid w:val="007C3B88"/>
    <w:rsid w:val="007C3B8B"/>
    <w:rsid w:val="007C3C40"/>
    <w:rsid w:val="007C3C78"/>
    <w:rsid w:val="007C3C8F"/>
    <w:rsid w:val="007C3D5C"/>
    <w:rsid w:val="007C3D7A"/>
    <w:rsid w:val="007C3D9B"/>
    <w:rsid w:val="007C3E21"/>
    <w:rsid w:val="007C3E33"/>
    <w:rsid w:val="007C3E53"/>
    <w:rsid w:val="007C3E6A"/>
    <w:rsid w:val="007C3EE5"/>
    <w:rsid w:val="007C3F52"/>
    <w:rsid w:val="007C3F8F"/>
    <w:rsid w:val="007C3F96"/>
    <w:rsid w:val="007C3FD3"/>
    <w:rsid w:val="007C400E"/>
    <w:rsid w:val="007C406F"/>
    <w:rsid w:val="007C409D"/>
    <w:rsid w:val="007C4137"/>
    <w:rsid w:val="007C417A"/>
    <w:rsid w:val="007C41B3"/>
    <w:rsid w:val="007C4276"/>
    <w:rsid w:val="007C431E"/>
    <w:rsid w:val="007C4377"/>
    <w:rsid w:val="007C439E"/>
    <w:rsid w:val="007C43D7"/>
    <w:rsid w:val="007C43FC"/>
    <w:rsid w:val="007C441D"/>
    <w:rsid w:val="007C444E"/>
    <w:rsid w:val="007C4458"/>
    <w:rsid w:val="007C4463"/>
    <w:rsid w:val="007C44F5"/>
    <w:rsid w:val="007C452F"/>
    <w:rsid w:val="007C45F7"/>
    <w:rsid w:val="007C4634"/>
    <w:rsid w:val="007C4652"/>
    <w:rsid w:val="007C4680"/>
    <w:rsid w:val="007C46E7"/>
    <w:rsid w:val="007C470E"/>
    <w:rsid w:val="007C47F1"/>
    <w:rsid w:val="007C482A"/>
    <w:rsid w:val="007C48A0"/>
    <w:rsid w:val="007C48BC"/>
    <w:rsid w:val="007C48D8"/>
    <w:rsid w:val="007C4909"/>
    <w:rsid w:val="007C493A"/>
    <w:rsid w:val="007C4974"/>
    <w:rsid w:val="007C4997"/>
    <w:rsid w:val="007C49BE"/>
    <w:rsid w:val="007C49C9"/>
    <w:rsid w:val="007C49E0"/>
    <w:rsid w:val="007C49E1"/>
    <w:rsid w:val="007C4A12"/>
    <w:rsid w:val="007C4AC6"/>
    <w:rsid w:val="007C4AF4"/>
    <w:rsid w:val="007C4B0B"/>
    <w:rsid w:val="007C4B6F"/>
    <w:rsid w:val="007C4BA9"/>
    <w:rsid w:val="007C4BD8"/>
    <w:rsid w:val="007C4BFE"/>
    <w:rsid w:val="007C4C03"/>
    <w:rsid w:val="007C4C3E"/>
    <w:rsid w:val="007C4C6B"/>
    <w:rsid w:val="007C4CA6"/>
    <w:rsid w:val="007C4CFA"/>
    <w:rsid w:val="007C4D23"/>
    <w:rsid w:val="007C4D57"/>
    <w:rsid w:val="007C4DAB"/>
    <w:rsid w:val="007C4E1F"/>
    <w:rsid w:val="007C4E5C"/>
    <w:rsid w:val="007C4E63"/>
    <w:rsid w:val="007C4E8B"/>
    <w:rsid w:val="007C4ECB"/>
    <w:rsid w:val="007C4EE0"/>
    <w:rsid w:val="007C4F69"/>
    <w:rsid w:val="007C4F8C"/>
    <w:rsid w:val="007C4FDE"/>
    <w:rsid w:val="007C510C"/>
    <w:rsid w:val="007C5182"/>
    <w:rsid w:val="007C51A4"/>
    <w:rsid w:val="007C51B7"/>
    <w:rsid w:val="007C51CF"/>
    <w:rsid w:val="007C5222"/>
    <w:rsid w:val="007C5264"/>
    <w:rsid w:val="007C5281"/>
    <w:rsid w:val="007C52B7"/>
    <w:rsid w:val="007C52E8"/>
    <w:rsid w:val="007C5305"/>
    <w:rsid w:val="007C531C"/>
    <w:rsid w:val="007C536A"/>
    <w:rsid w:val="007C5407"/>
    <w:rsid w:val="007C5414"/>
    <w:rsid w:val="007C5429"/>
    <w:rsid w:val="007C54AD"/>
    <w:rsid w:val="007C55B5"/>
    <w:rsid w:val="007C55C3"/>
    <w:rsid w:val="007C55C7"/>
    <w:rsid w:val="007C55E5"/>
    <w:rsid w:val="007C5637"/>
    <w:rsid w:val="007C5641"/>
    <w:rsid w:val="007C5642"/>
    <w:rsid w:val="007C5670"/>
    <w:rsid w:val="007C567C"/>
    <w:rsid w:val="007C5689"/>
    <w:rsid w:val="007C56A7"/>
    <w:rsid w:val="007C56DE"/>
    <w:rsid w:val="007C56E0"/>
    <w:rsid w:val="007C56FE"/>
    <w:rsid w:val="007C57D4"/>
    <w:rsid w:val="007C5805"/>
    <w:rsid w:val="007C581E"/>
    <w:rsid w:val="007C5850"/>
    <w:rsid w:val="007C586D"/>
    <w:rsid w:val="007C58A9"/>
    <w:rsid w:val="007C58BD"/>
    <w:rsid w:val="007C58E8"/>
    <w:rsid w:val="007C5922"/>
    <w:rsid w:val="007C596D"/>
    <w:rsid w:val="007C59ED"/>
    <w:rsid w:val="007C59F8"/>
    <w:rsid w:val="007C5A6D"/>
    <w:rsid w:val="007C5AE5"/>
    <w:rsid w:val="007C5B27"/>
    <w:rsid w:val="007C5B78"/>
    <w:rsid w:val="007C5B79"/>
    <w:rsid w:val="007C5B8F"/>
    <w:rsid w:val="007C5C13"/>
    <w:rsid w:val="007C5C19"/>
    <w:rsid w:val="007C5C48"/>
    <w:rsid w:val="007C5C67"/>
    <w:rsid w:val="007C5CC7"/>
    <w:rsid w:val="007C5D44"/>
    <w:rsid w:val="007C5D6F"/>
    <w:rsid w:val="007C5E2F"/>
    <w:rsid w:val="007C5E4B"/>
    <w:rsid w:val="007C5E51"/>
    <w:rsid w:val="007C5E55"/>
    <w:rsid w:val="007C5E7A"/>
    <w:rsid w:val="007C5EDF"/>
    <w:rsid w:val="007C5F79"/>
    <w:rsid w:val="007C5F81"/>
    <w:rsid w:val="007C5F84"/>
    <w:rsid w:val="007C5F96"/>
    <w:rsid w:val="007C5FA0"/>
    <w:rsid w:val="007C5FD5"/>
    <w:rsid w:val="007C6025"/>
    <w:rsid w:val="007C6053"/>
    <w:rsid w:val="007C605D"/>
    <w:rsid w:val="007C60B0"/>
    <w:rsid w:val="007C60B1"/>
    <w:rsid w:val="007C6123"/>
    <w:rsid w:val="007C6154"/>
    <w:rsid w:val="007C6159"/>
    <w:rsid w:val="007C6197"/>
    <w:rsid w:val="007C61E2"/>
    <w:rsid w:val="007C6230"/>
    <w:rsid w:val="007C6232"/>
    <w:rsid w:val="007C6242"/>
    <w:rsid w:val="007C625C"/>
    <w:rsid w:val="007C6290"/>
    <w:rsid w:val="007C62A8"/>
    <w:rsid w:val="007C6352"/>
    <w:rsid w:val="007C6369"/>
    <w:rsid w:val="007C6392"/>
    <w:rsid w:val="007C6394"/>
    <w:rsid w:val="007C63AA"/>
    <w:rsid w:val="007C63B7"/>
    <w:rsid w:val="007C63CF"/>
    <w:rsid w:val="007C63E4"/>
    <w:rsid w:val="007C63E5"/>
    <w:rsid w:val="007C64B4"/>
    <w:rsid w:val="007C64BD"/>
    <w:rsid w:val="007C650A"/>
    <w:rsid w:val="007C654F"/>
    <w:rsid w:val="007C65A4"/>
    <w:rsid w:val="007C6606"/>
    <w:rsid w:val="007C66D8"/>
    <w:rsid w:val="007C66F7"/>
    <w:rsid w:val="007C6700"/>
    <w:rsid w:val="007C676E"/>
    <w:rsid w:val="007C67E5"/>
    <w:rsid w:val="007C682A"/>
    <w:rsid w:val="007C688F"/>
    <w:rsid w:val="007C68CF"/>
    <w:rsid w:val="007C68D1"/>
    <w:rsid w:val="007C6924"/>
    <w:rsid w:val="007C69C2"/>
    <w:rsid w:val="007C69E5"/>
    <w:rsid w:val="007C6AC4"/>
    <w:rsid w:val="007C6B0A"/>
    <w:rsid w:val="007C6B18"/>
    <w:rsid w:val="007C6B28"/>
    <w:rsid w:val="007C6B52"/>
    <w:rsid w:val="007C6B68"/>
    <w:rsid w:val="007C6BD6"/>
    <w:rsid w:val="007C6C27"/>
    <w:rsid w:val="007C6C28"/>
    <w:rsid w:val="007C6C5A"/>
    <w:rsid w:val="007C6C91"/>
    <w:rsid w:val="007C6C9A"/>
    <w:rsid w:val="007C6D69"/>
    <w:rsid w:val="007C6DCA"/>
    <w:rsid w:val="007C6EA1"/>
    <w:rsid w:val="007C6EA7"/>
    <w:rsid w:val="007C6EBE"/>
    <w:rsid w:val="007C6EDD"/>
    <w:rsid w:val="007C6EDF"/>
    <w:rsid w:val="007C6EF8"/>
    <w:rsid w:val="007C6F3F"/>
    <w:rsid w:val="007C6F44"/>
    <w:rsid w:val="007C6F49"/>
    <w:rsid w:val="007C6F7B"/>
    <w:rsid w:val="007C6F9E"/>
    <w:rsid w:val="007C6FBB"/>
    <w:rsid w:val="007C70E4"/>
    <w:rsid w:val="007C7167"/>
    <w:rsid w:val="007C7169"/>
    <w:rsid w:val="007C719A"/>
    <w:rsid w:val="007C71D5"/>
    <w:rsid w:val="007C71F1"/>
    <w:rsid w:val="007C7202"/>
    <w:rsid w:val="007C7204"/>
    <w:rsid w:val="007C721B"/>
    <w:rsid w:val="007C7263"/>
    <w:rsid w:val="007C7265"/>
    <w:rsid w:val="007C72E2"/>
    <w:rsid w:val="007C7367"/>
    <w:rsid w:val="007C74B1"/>
    <w:rsid w:val="007C74D1"/>
    <w:rsid w:val="007C74EE"/>
    <w:rsid w:val="007C7518"/>
    <w:rsid w:val="007C758B"/>
    <w:rsid w:val="007C75A7"/>
    <w:rsid w:val="007C75AF"/>
    <w:rsid w:val="007C75E0"/>
    <w:rsid w:val="007C7641"/>
    <w:rsid w:val="007C7645"/>
    <w:rsid w:val="007C76A9"/>
    <w:rsid w:val="007C771B"/>
    <w:rsid w:val="007C7776"/>
    <w:rsid w:val="007C77D9"/>
    <w:rsid w:val="007C77F4"/>
    <w:rsid w:val="007C783D"/>
    <w:rsid w:val="007C78BF"/>
    <w:rsid w:val="007C7909"/>
    <w:rsid w:val="007C795F"/>
    <w:rsid w:val="007C79B2"/>
    <w:rsid w:val="007C79C9"/>
    <w:rsid w:val="007C79F9"/>
    <w:rsid w:val="007C7A28"/>
    <w:rsid w:val="007C7A4D"/>
    <w:rsid w:val="007C7A7E"/>
    <w:rsid w:val="007C7AB4"/>
    <w:rsid w:val="007C7AC8"/>
    <w:rsid w:val="007C7ACD"/>
    <w:rsid w:val="007C7B61"/>
    <w:rsid w:val="007C7B68"/>
    <w:rsid w:val="007C7B7A"/>
    <w:rsid w:val="007C7C85"/>
    <w:rsid w:val="007C7C9C"/>
    <w:rsid w:val="007C7C9F"/>
    <w:rsid w:val="007C7CAC"/>
    <w:rsid w:val="007C7CBC"/>
    <w:rsid w:val="007C7CC6"/>
    <w:rsid w:val="007C7CE4"/>
    <w:rsid w:val="007C7CF2"/>
    <w:rsid w:val="007C7D01"/>
    <w:rsid w:val="007C7D0A"/>
    <w:rsid w:val="007C7D10"/>
    <w:rsid w:val="007C7D23"/>
    <w:rsid w:val="007C7D82"/>
    <w:rsid w:val="007C7D98"/>
    <w:rsid w:val="007C7DE6"/>
    <w:rsid w:val="007C7E00"/>
    <w:rsid w:val="007C7E77"/>
    <w:rsid w:val="007C7E78"/>
    <w:rsid w:val="007C7EE7"/>
    <w:rsid w:val="007C7EEA"/>
    <w:rsid w:val="007C7F66"/>
    <w:rsid w:val="007C7F94"/>
    <w:rsid w:val="007D0020"/>
    <w:rsid w:val="007D003D"/>
    <w:rsid w:val="007D0075"/>
    <w:rsid w:val="007D00AD"/>
    <w:rsid w:val="007D00D3"/>
    <w:rsid w:val="007D0114"/>
    <w:rsid w:val="007D012E"/>
    <w:rsid w:val="007D013E"/>
    <w:rsid w:val="007D0175"/>
    <w:rsid w:val="007D0197"/>
    <w:rsid w:val="007D01A1"/>
    <w:rsid w:val="007D01AE"/>
    <w:rsid w:val="007D01BA"/>
    <w:rsid w:val="007D0214"/>
    <w:rsid w:val="007D023E"/>
    <w:rsid w:val="007D029C"/>
    <w:rsid w:val="007D02CC"/>
    <w:rsid w:val="007D02D7"/>
    <w:rsid w:val="007D0350"/>
    <w:rsid w:val="007D03BF"/>
    <w:rsid w:val="007D042D"/>
    <w:rsid w:val="007D0441"/>
    <w:rsid w:val="007D044B"/>
    <w:rsid w:val="007D0454"/>
    <w:rsid w:val="007D0542"/>
    <w:rsid w:val="007D0551"/>
    <w:rsid w:val="007D05C5"/>
    <w:rsid w:val="007D05EC"/>
    <w:rsid w:val="007D05FB"/>
    <w:rsid w:val="007D0645"/>
    <w:rsid w:val="007D064C"/>
    <w:rsid w:val="007D06DB"/>
    <w:rsid w:val="007D071E"/>
    <w:rsid w:val="007D0729"/>
    <w:rsid w:val="007D0730"/>
    <w:rsid w:val="007D0788"/>
    <w:rsid w:val="007D07B7"/>
    <w:rsid w:val="007D07C9"/>
    <w:rsid w:val="007D07FE"/>
    <w:rsid w:val="007D084B"/>
    <w:rsid w:val="007D0868"/>
    <w:rsid w:val="007D08A2"/>
    <w:rsid w:val="007D08F7"/>
    <w:rsid w:val="007D08F8"/>
    <w:rsid w:val="007D099E"/>
    <w:rsid w:val="007D09E0"/>
    <w:rsid w:val="007D0A3B"/>
    <w:rsid w:val="007D0AC1"/>
    <w:rsid w:val="007D0B4D"/>
    <w:rsid w:val="007D0BCF"/>
    <w:rsid w:val="007D0BD0"/>
    <w:rsid w:val="007D0BF6"/>
    <w:rsid w:val="007D0C20"/>
    <w:rsid w:val="007D0C3D"/>
    <w:rsid w:val="007D0C99"/>
    <w:rsid w:val="007D0CD7"/>
    <w:rsid w:val="007D0D71"/>
    <w:rsid w:val="007D0D84"/>
    <w:rsid w:val="007D0DB2"/>
    <w:rsid w:val="007D0DC8"/>
    <w:rsid w:val="007D0DD1"/>
    <w:rsid w:val="007D0E22"/>
    <w:rsid w:val="007D0E3F"/>
    <w:rsid w:val="007D0EB4"/>
    <w:rsid w:val="007D0EC6"/>
    <w:rsid w:val="007D0EC8"/>
    <w:rsid w:val="007D0EDB"/>
    <w:rsid w:val="007D0F28"/>
    <w:rsid w:val="007D0F35"/>
    <w:rsid w:val="007D0F4A"/>
    <w:rsid w:val="007D0F72"/>
    <w:rsid w:val="007D0F8B"/>
    <w:rsid w:val="007D0F97"/>
    <w:rsid w:val="007D1019"/>
    <w:rsid w:val="007D10B6"/>
    <w:rsid w:val="007D110A"/>
    <w:rsid w:val="007D114C"/>
    <w:rsid w:val="007D11DE"/>
    <w:rsid w:val="007D11DF"/>
    <w:rsid w:val="007D11E4"/>
    <w:rsid w:val="007D12B7"/>
    <w:rsid w:val="007D12BE"/>
    <w:rsid w:val="007D12ED"/>
    <w:rsid w:val="007D1329"/>
    <w:rsid w:val="007D1345"/>
    <w:rsid w:val="007D136A"/>
    <w:rsid w:val="007D13A1"/>
    <w:rsid w:val="007D1443"/>
    <w:rsid w:val="007D1452"/>
    <w:rsid w:val="007D1461"/>
    <w:rsid w:val="007D149E"/>
    <w:rsid w:val="007D14D3"/>
    <w:rsid w:val="007D1566"/>
    <w:rsid w:val="007D15B9"/>
    <w:rsid w:val="007D1610"/>
    <w:rsid w:val="007D163D"/>
    <w:rsid w:val="007D169C"/>
    <w:rsid w:val="007D1718"/>
    <w:rsid w:val="007D177B"/>
    <w:rsid w:val="007D1845"/>
    <w:rsid w:val="007D186F"/>
    <w:rsid w:val="007D1892"/>
    <w:rsid w:val="007D1897"/>
    <w:rsid w:val="007D189E"/>
    <w:rsid w:val="007D18B8"/>
    <w:rsid w:val="007D18DD"/>
    <w:rsid w:val="007D192A"/>
    <w:rsid w:val="007D193C"/>
    <w:rsid w:val="007D198D"/>
    <w:rsid w:val="007D19AA"/>
    <w:rsid w:val="007D1A00"/>
    <w:rsid w:val="007D1A06"/>
    <w:rsid w:val="007D1A69"/>
    <w:rsid w:val="007D1A96"/>
    <w:rsid w:val="007D1A9D"/>
    <w:rsid w:val="007D1AE4"/>
    <w:rsid w:val="007D1B06"/>
    <w:rsid w:val="007D1B71"/>
    <w:rsid w:val="007D1B9C"/>
    <w:rsid w:val="007D1BA3"/>
    <w:rsid w:val="007D1BE9"/>
    <w:rsid w:val="007D1C8A"/>
    <w:rsid w:val="007D1CC0"/>
    <w:rsid w:val="007D1D7C"/>
    <w:rsid w:val="007D1E1D"/>
    <w:rsid w:val="007D1EAD"/>
    <w:rsid w:val="007D1EDA"/>
    <w:rsid w:val="007D1EEF"/>
    <w:rsid w:val="007D1EF0"/>
    <w:rsid w:val="007D1FE8"/>
    <w:rsid w:val="007D204C"/>
    <w:rsid w:val="007D2059"/>
    <w:rsid w:val="007D20B6"/>
    <w:rsid w:val="007D20F5"/>
    <w:rsid w:val="007D20F8"/>
    <w:rsid w:val="007D20FF"/>
    <w:rsid w:val="007D2134"/>
    <w:rsid w:val="007D2165"/>
    <w:rsid w:val="007D21B6"/>
    <w:rsid w:val="007D21FC"/>
    <w:rsid w:val="007D224B"/>
    <w:rsid w:val="007D2293"/>
    <w:rsid w:val="007D229E"/>
    <w:rsid w:val="007D22E2"/>
    <w:rsid w:val="007D2321"/>
    <w:rsid w:val="007D236E"/>
    <w:rsid w:val="007D2375"/>
    <w:rsid w:val="007D23C4"/>
    <w:rsid w:val="007D23F7"/>
    <w:rsid w:val="007D246D"/>
    <w:rsid w:val="007D24BD"/>
    <w:rsid w:val="007D24C6"/>
    <w:rsid w:val="007D2518"/>
    <w:rsid w:val="007D2549"/>
    <w:rsid w:val="007D256A"/>
    <w:rsid w:val="007D25A7"/>
    <w:rsid w:val="007D25F3"/>
    <w:rsid w:val="007D25FF"/>
    <w:rsid w:val="007D262A"/>
    <w:rsid w:val="007D26CB"/>
    <w:rsid w:val="007D26D8"/>
    <w:rsid w:val="007D26E1"/>
    <w:rsid w:val="007D2712"/>
    <w:rsid w:val="007D273B"/>
    <w:rsid w:val="007D275A"/>
    <w:rsid w:val="007D276C"/>
    <w:rsid w:val="007D27BE"/>
    <w:rsid w:val="007D282C"/>
    <w:rsid w:val="007D28A1"/>
    <w:rsid w:val="007D28CF"/>
    <w:rsid w:val="007D28F5"/>
    <w:rsid w:val="007D292D"/>
    <w:rsid w:val="007D2945"/>
    <w:rsid w:val="007D29A3"/>
    <w:rsid w:val="007D29AC"/>
    <w:rsid w:val="007D29B4"/>
    <w:rsid w:val="007D29EA"/>
    <w:rsid w:val="007D2A03"/>
    <w:rsid w:val="007D2A3B"/>
    <w:rsid w:val="007D2A51"/>
    <w:rsid w:val="007D2A77"/>
    <w:rsid w:val="007D2A80"/>
    <w:rsid w:val="007D2A9C"/>
    <w:rsid w:val="007D2A9F"/>
    <w:rsid w:val="007D2AA5"/>
    <w:rsid w:val="007D2AD8"/>
    <w:rsid w:val="007D2BF3"/>
    <w:rsid w:val="007D2C0B"/>
    <w:rsid w:val="007D2C22"/>
    <w:rsid w:val="007D2C2C"/>
    <w:rsid w:val="007D2C4A"/>
    <w:rsid w:val="007D2C82"/>
    <w:rsid w:val="007D2CAB"/>
    <w:rsid w:val="007D2D0F"/>
    <w:rsid w:val="007D2D3B"/>
    <w:rsid w:val="007D2D4B"/>
    <w:rsid w:val="007D2DA1"/>
    <w:rsid w:val="007D2DF4"/>
    <w:rsid w:val="007D2DF8"/>
    <w:rsid w:val="007D2DF9"/>
    <w:rsid w:val="007D2E09"/>
    <w:rsid w:val="007D2E24"/>
    <w:rsid w:val="007D2E2A"/>
    <w:rsid w:val="007D2EB3"/>
    <w:rsid w:val="007D2EB4"/>
    <w:rsid w:val="007D2EDB"/>
    <w:rsid w:val="007D2EF7"/>
    <w:rsid w:val="007D2F00"/>
    <w:rsid w:val="007D2F7A"/>
    <w:rsid w:val="007D2FDD"/>
    <w:rsid w:val="007D3012"/>
    <w:rsid w:val="007D302E"/>
    <w:rsid w:val="007D308A"/>
    <w:rsid w:val="007D30D7"/>
    <w:rsid w:val="007D3144"/>
    <w:rsid w:val="007D31A8"/>
    <w:rsid w:val="007D31BE"/>
    <w:rsid w:val="007D31CB"/>
    <w:rsid w:val="007D3210"/>
    <w:rsid w:val="007D3277"/>
    <w:rsid w:val="007D3289"/>
    <w:rsid w:val="007D3299"/>
    <w:rsid w:val="007D32AA"/>
    <w:rsid w:val="007D331E"/>
    <w:rsid w:val="007D332C"/>
    <w:rsid w:val="007D3357"/>
    <w:rsid w:val="007D339F"/>
    <w:rsid w:val="007D33A4"/>
    <w:rsid w:val="007D33DB"/>
    <w:rsid w:val="007D34AD"/>
    <w:rsid w:val="007D351A"/>
    <w:rsid w:val="007D3524"/>
    <w:rsid w:val="007D358E"/>
    <w:rsid w:val="007D35B8"/>
    <w:rsid w:val="007D35BE"/>
    <w:rsid w:val="007D3647"/>
    <w:rsid w:val="007D3653"/>
    <w:rsid w:val="007D36A5"/>
    <w:rsid w:val="007D36BC"/>
    <w:rsid w:val="007D3733"/>
    <w:rsid w:val="007D3736"/>
    <w:rsid w:val="007D3740"/>
    <w:rsid w:val="007D3794"/>
    <w:rsid w:val="007D384B"/>
    <w:rsid w:val="007D3868"/>
    <w:rsid w:val="007D3877"/>
    <w:rsid w:val="007D3892"/>
    <w:rsid w:val="007D38E5"/>
    <w:rsid w:val="007D38ED"/>
    <w:rsid w:val="007D38F4"/>
    <w:rsid w:val="007D38FA"/>
    <w:rsid w:val="007D3975"/>
    <w:rsid w:val="007D3978"/>
    <w:rsid w:val="007D398F"/>
    <w:rsid w:val="007D3A2F"/>
    <w:rsid w:val="007D3AD3"/>
    <w:rsid w:val="007D3B73"/>
    <w:rsid w:val="007D3B7A"/>
    <w:rsid w:val="007D3C1A"/>
    <w:rsid w:val="007D3C6A"/>
    <w:rsid w:val="007D3C75"/>
    <w:rsid w:val="007D3C7C"/>
    <w:rsid w:val="007D3C9B"/>
    <w:rsid w:val="007D3D00"/>
    <w:rsid w:val="007D3D4E"/>
    <w:rsid w:val="007D3D78"/>
    <w:rsid w:val="007D3D94"/>
    <w:rsid w:val="007D3DCE"/>
    <w:rsid w:val="007D3E18"/>
    <w:rsid w:val="007D3E2C"/>
    <w:rsid w:val="007D3E43"/>
    <w:rsid w:val="007D3E92"/>
    <w:rsid w:val="007D3EA2"/>
    <w:rsid w:val="007D3EAF"/>
    <w:rsid w:val="007D3F07"/>
    <w:rsid w:val="007D3F0F"/>
    <w:rsid w:val="007D3F11"/>
    <w:rsid w:val="007D3F35"/>
    <w:rsid w:val="007D3F37"/>
    <w:rsid w:val="007D3F78"/>
    <w:rsid w:val="007D3F85"/>
    <w:rsid w:val="007D3FD7"/>
    <w:rsid w:val="007D4061"/>
    <w:rsid w:val="007D4099"/>
    <w:rsid w:val="007D40B8"/>
    <w:rsid w:val="007D4105"/>
    <w:rsid w:val="007D4171"/>
    <w:rsid w:val="007D4185"/>
    <w:rsid w:val="007D41FE"/>
    <w:rsid w:val="007D4211"/>
    <w:rsid w:val="007D4268"/>
    <w:rsid w:val="007D42B4"/>
    <w:rsid w:val="007D4383"/>
    <w:rsid w:val="007D43DD"/>
    <w:rsid w:val="007D43FF"/>
    <w:rsid w:val="007D4410"/>
    <w:rsid w:val="007D4436"/>
    <w:rsid w:val="007D4445"/>
    <w:rsid w:val="007D445C"/>
    <w:rsid w:val="007D4468"/>
    <w:rsid w:val="007D44D7"/>
    <w:rsid w:val="007D4524"/>
    <w:rsid w:val="007D4527"/>
    <w:rsid w:val="007D45FF"/>
    <w:rsid w:val="007D468D"/>
    <w:rsid w:val="007D46DB"/>
    <w:rsid w:val="007D46E4"/>
    <w:rsid w:val="007D4745"/>
    <w:rsid w:val="007D4756"/>
    <w:rsid w:val="007D4777"/>
    <w:rsid w:val="007D4792"/>
    <w:rsid w:val="007D47AF"/>
    <w:rsid w:val="007D47E1"/>
    <w:rsid w:val="007D4866"/>
    <w:rsid w:val="007D4889"/>
    <w:rsid w:val="007D489F"/>
    <w:rsid w:val="007D48A4"/>
    <w:rsid w:val="007D48C0"/>
    <w:rsid w:val="007D48DB"/>
    <w:rsid w:val="007D4916"/>
    <w:rsid w:val="007D4919"/>
    <w:rsid w:val="007D4922"/>
    <w:rsid w:val="007D494A"/>
    <w:rsid w:val="007D49E3"/>
    <w:rsid w:val="007D4A56"/>
    <w:rsid w:val="007D4A76"/>
    <w:rsid w:val="007D4B09"/>
    <w:rsid w:val="007D4B7B"/>
    <w:rsid w:val="007D4C35"/>
    <w:rsid w:val="007D4C52"/>
    <w:rsid w:val="007D4C78"/>
    <w:rsid w:val="007D4C92"/>
    <w:rsid w:val="007D4CEC"/>
    <w:rsid w:val="007D4D2A"/>
    <w:rsid w:val="007D4D4B"/>
    <w:rsid w:val="007D4D6A"/>
    <w:rsid w:val="007D4D78"/>
    <w:rsid w:val="007D4D8F"/>
    <w:rsid w:val="007D4D9C"/>
    <w:rsid w:val="007D4DD2"/>
    <w:rsid w:val="007D4E7F"/>
    <w:rsid w:val="007D4E9B"/>
    <w:rsid w:val="007D4EC5"/>
    <w:rsid w:val="007D4F94"/>
    <w:rsid w:val="007D4F98"/>
    <w:rsid w:val="007D4FC9"/>
    <w:rsid w:val="007D5040"/>
    <w:rsid w:val="007D5080"/>
    <w:rsid w:val="007D5103"/>
    <w:rsid w:val="007D5108"/>
    <w:rsid w:val="007D5186"/>
    <w:rsid w:val="007D5188"/>
    <w:rsid w:val="007D51B0"/>
    <w:rsid w:val="007D524B"/>
    <w:rsid w:val="007D525F"/>
    <w:rsid w:val="007D526E"/>
    <w:rsid w:val="007D52CB"/>
    <w:rsid w:val="007D52DF"/>
    <w:rsid w:val="007D5318"/>
    <w:rsid w:val="007D53A7"/>
    <w:rsid w:val="007D53B9"/>
    <w:rsid w:val="007D53D1"/>
    <w:rsid w:val="007D53E3"/>
    <w:rsid w:val="007D53FB"/>
    <w:rsid w:val="007D5405"/>
    <w:rsid w:val="007D5413"/>
    <w:rsid w:val="007D5473"/>
    <w:rsid w:val="007D54B4"/>
    <w:rsid w:val="007D54B6"/>
    <w:rsid w:val="007D54BC"/>
    <w:rsid w:val="007D54C9"/>
    <w:rsid w:val="007D5562"/>
    <w:rsid w:val="007D5583"/>
    <w:rsid w:val="007D5596"/>
    <w:rsid w:val="007D55AA"/>
    <w:rsid w:val="007D55D0"/>
    <w:rsid w:val="007D5616"/>
    <w:rsid w:val="007D5647"/>
    <w:rsid w:val="007D565F"/>
    <w:rsid w:val="007D5690"/>
    <w:rsid w:val="007D569C"/>
    <w:rsid w:val="007D56F2"/>
    <w:rsid w:val="007D56F8"/>
    <w:rsid w:val="007D5719"/>
    <w:rsid w:val="007D5790"/>
    <w:rsid w:val="007D57D9"/>
    <w:rsid w:val="007D57E9"/>
    <w:rsid w:val="007D57F9"/>
    <w:rsid w:val="007D5820"/>
    <w:rsid w:val="007D584C"/>
    <w:rsid w:val="007D5890"/>
    <w:rsid w:val="007D589D"/>
    <w:rsid w:val="007D58EF"/>
    <w:rsid w:val="007D5914"/>
    <w:rsid w:val="007D5926"/>
    <w:rsid w:val="007D5A6D"/>
    <w:rsid w:val="007D5AA9"/>
    <w:rsid w:val="007D5AAB"/>
    <w:rsid w:val="007D5AE6"/>
    <w:rsid w:val="007D5B51"/>
    <w:rsid w:val="007D5B93"/>
    <w:rsid w:val="007D5BF0"/>
    <w:rsid w:val="007D5BF7"/>
    <w:rsid w:val="007D5C67"/>
    <w:rsid w:val="007D5C69"/>
    <w:rsid w:val="007D5C82"/>
    <w:rsid w:val="007D5C91"/>
    <w:rsid w:val="007D5CDF"/>
    <w:rsid w:val="007D5D2A"/>
    <w:rsid w:val="007D5D4E"/>
    <w:rsid w:val="007D5D63"/>
    <w:rsid w:val="007D5D71"/>
    <w:rsid w:val="007D5D76"/>
    <w:rsid w:val="007D5D7F"/>
    <w:rsid w:val="007D5D89"/>
    <w:rsid w:val="007D5DEE"/>
    <w:rsid w:val="007D5DF8"/>
    <w:rsid w:val="007D5E0C"/>
    <w:rsid w:val="007D5E36"/>
    <w:rsid w:val="007D5E86"/>
    <w:rsid w:val="007D5EAF"/>
    <w:rsid w:val="007D5F08"/>
    <w:rsid w:val="007D5F12"/>
    <w:rsid w:val="007D5F35"/>
    <w:rsid w:val="007D5F96"/>
    <w:rsid w:val="007D601B"/>
    <w:rsid w:val="007D604C"/>
    <w:rsid w:val="007D6051"/>
    <w:rsid w:val="007D60D5"/>
    <w:rsid w:val="007D60E0"/>
    <w:rsid w:val="007D60FA"/>
    <w:rsid w:val="007D6182"/>
    <w:rsid w:val="007D6185"/>
    <w:rsid w:val="007D6188"/>
    <w:rsid w:val="007D618B"/>
    <w:rsid w:val="007D61DA"/>
    <w:rsid w:val="007D6204"/>
    <w:rsid w:val="007D628C"/>
    <w:rsid w:val="007D628F"/>
    <w:rsid w:val="007D62E1"/>
    <w:rsid w:val="007D6313"/>
    <w:rsid w:val="007D6364"/>
    <w:rsid w:val="007D6376"/>
    <w:rsid w:val="007D642F"/>
    <w:rsid w:val="007D643B"/>
    <w:rsid w:val="007D646A"/>
    <w:rsid w:val="007D6527"/>
    <w:rsid w:val="007D657F"/>
    <w:rsid w:val="007D6624"/>
    <w:rsid w:val="007D6700"/>
    <w:rsid w:val="007D6715"/>
    <w:rsid w:val="007D6727"/>
    <w:rsid w:val="007D6758"/>
    <w:rsid w:val="007D6778"/>
    <w:rsid w:val="007D6808"/>
    <w:rsid w:val="007D682E"/>
    <w:rsid w:val="007D6839"/>
    <w:rsid w:val="007D6847"/>
    <w:rsid w:val="007D684A"/>
    <w:rsid w:val="007D6860"/>
    <w:rsid w:val="007D686A"/>
    <w:rsid w:val="007D6881"/>
    <w:rsid w:val="007D6894"/>
    <w:rsid w:val="007D68BC"/>
    <w:rsid w:val="007D6957"/>
    <w:rsid w:val="007D69AA"/>
    <w:rsid w:val="007D69D0"/>
    <w:rsid w:val="007D6A07"/>
    <w:rsid w:val="007D6A1A"/>
    <w:rsid w:val="007D6A49"/>
    <w:rsid w:val="007D6A55"/>
    <w:rsid w:val="007D6A93"/>
    <w:rsid w:val="007D6A9F"/>
    <w:rsid w:val="007D6AB8"/>
    <w:rsid w:val="007D6AFB"/>
    <w:rsid w:val="007D6B75"/>
    <w:rsid w:val="007D6BCE"/>
    <w:rsid w:val="007D6BF2"/>
    <w:rsid w:val="007D6C25"/>
    <w:rsid w:val="007D6C44"/>
    <w:rsid w:val="007D6C4A"/>
    <w:rsid w:val="007D6C5E"/>
    <w:rsid w:val="007D6C62"/>
    <w:rsid w:val="007D6CC6"/>
    <w:rsid w:val="007D6D45"/>
    <w:rsid w:val="007D6D82"/>
    <w:rsid w:val="007D6D87"/>
    <w:rsid w:val="007D6DDF"/>
    <w:rsid w:val="007D6DF7"/>
    <w:rsid w:val="007D6E2C"/>
    <w:rsid w:val="007D6E5C"/>
    <w:rsid w:val="007D6EB8"/>
    <w:rsid w:val="007D6EE2"/>
    <w:rsid w:val="007D6EE5"/>
    <w:rsid w:val="007D6F2A"/>
    <w:rsid w:val="007D6F3F"/>
    <w:rsid w:val="007D6F95"/>
    <w:rsid w:val="007D6FD0"/>
    <w:rsid w:val="007D6FF6"/>
    <w:rsid w:val="007D7005"/>
    <w:rsid w:val="007D7069"/>
    <w:rsid w:val="007D70A5"/>
    <w:rsid w:val="007D70B8"/>
    <w:rsid w:val="007D70C3"/>
    <w:rsid w:val="007D7116"/>
    <w:rsid w:val="007D7123"/>
    <w:rsid w:val="007D7131"/>
    <w:rsid w:val="007D713F"/>
    <w:rsid w:val="007D71B9"/>
    <w:rsid w:val="007D71E9"/>
    <w:rsid w:val="007D71F5"/>
    <w:rsid w:val="007D7205"/>
    <w:rsid w:val="007D72AC"/>
    <w:rsid w:val="007D72DC"/>
    <w:rsid w:val="007D72E4"/>
    <w:rsid w:val="007D72F8"/>
    <w:rsid w:val="007D7327"/>
    <w:rsid w:val="007D737C"/>
    <w:rsid w:val="007D7423"/>
    <w:rsid w:val="007D742E"/>
    <w:rsid w:val="007D7512"/>
    <w:rsid w:val="007D7540"/>
    <w:rsid w:val="007D7552"/>
    <w:rsid w:val="007D7576"/>
    <w:rsid w:val="007D7577"/>
    <w:rsid w:val="007D75A7"/>
    <w:rsid w:val="007D760F"/>
    <w:rsid w:val="007D7613"/>
    <w:rsid w:val="007D761C"/>
    <w:rsid w:val="007D7645"/>
    <w:rsid w:val="007D76AF"/>
    <w:rsid w:val="007D76C7"/>
    <w:rsid w:val="007D76E0"/>
    <w:rsid w:val="007D7710"/>
    <w:rsid w:val="007D7717"/>
    <w:rsid w:val="007D774B"/>
    <w:rsid w:val="007D779E"/>
    <w:rsid w:val="007D77D1"/>
    <w:rsid w:val="007D781D"/>
    <w:rsid w:val="007D7868"/>
    <w:rsid w:val="007D7885"/>
    <w:rsid w:val="007D7937"/>
    <w:rsid w:val="007D7940"/>
    <w:rsid w:val="007D7945"/>
    <w:rsid w:val="007D796D"/>
    <w:rsid w:val="007D79F0"/>
    <w:rsid w:val="007D7A88"/>
    <w:rsid w:val="007D7ABA"/>
    <w:rsid w:val="007D7B4B"/>
    <w:rsid w:val="007D7BE2"/>
    <w:rsid w:val="007D7C55"/>
    <w:rsid w:val="007D7C5F"/>
    <w:rsid w:val="007D7D12"/>
    <w:rsid w:val="007D7D6D"/>
    <w:rsid w:val="007D7D84"/>
    <w:rsid w:val="007D7DBE"/>
    <w:rsid w:val="007D7E1D"/>
    <w:rsid w:val="007D7EAF"/>
    <w:rsid w:val="007D7F00"/>
    <w:rsid w:val="007D7F01"/>
    <w:rsid w:val="007D7F07"/>
    <w:rsid w:val="007D7F6E"/>
    <w:rsid w:val="007D7F7C"/>
    <w:rsid w:val="007D7FCC"/>
    <w:rsid w:val="007D7FDF"/>
    <w:rsid w:val="007D7FE8"/>
    <w:rsid w:val="007E005A"/>
    <w:rsid w:val="007E0096"/>
    <w:rsid w:val="007E0098"/>
    <w:rsid w:val="007E00D1"/>
    <w:rsid w:val="007E015D"/>
    <w:rsid w:val="007E018F"/>
    <w:rsid w:val="007E029A"/>
    <w:rsid w:val="007E02BC"/>
    <w:rsid w:val="007E02CA"/>
    <w:rsid w:val="007E02CC"/>
    <w:rsid w:val="007E0325"/>
    <w:rsid w:val="007E0388"/>
    <w:rsid w:val="007E039A"/>
    <w:rsid w:val="007E03B0"/>
    <w:rsid w:val="007E03D7"/>
    <w:rsid w:val="007E03E0"/>
    <w:rsid w:val="007E0485"/>
    <w:rsid w:val="007E0489"/>
    <w:rsid w:val="007E055B"/>
    <w:rsid w:val="007E05CA"/>
    <w:rsid w:val="007E064C"/>
    <w:rsid w:val="007E0655"/>
    <w:rsid w:val="007E067D"/>
    <w:rsid w:val="007E0692"/>
    <w:rsid w:val="007E06D5"/>
    <w:rsid w:val="007E0725"/>
    <w:rsid w:val="007E076A"/>
    <w:rsid w:val="007E07B1"/>
    <w:rsid w:val="007E0864"/>
    <w:rsid w:val="007E0876"/>
    <w:rsid w:val="007E091A"/>
    <w:rsid w:val="007E091E"/>
    <w:rsid w:val="007E0920"/>
    <w:rsid w:val="007E0921"/>
    <w:rsid w:val="007E093A"/>
    <w:rsid w:val="007E0967"/>
    <w:rsid w:val="007E09E3"/>
    <w:rsid w:val="007E0A86"/>
    <w:rsid w:val="007E0B4A"/>
    <w:rsid w:val="007E0B94"/>
    <w:rsid w:val="007E0BC9"/>
    <w:rsid w:val="007E0BF1"/>
    <w:rsid w:val="007E0CB2"/>
    <w:rsid w:val="007E0CD7"/>
    <w:rsid w:val="007E0D19"/>
    <w:rsid w:val="007E0D31"/>
    <w:rsid w:val="007E0D40"/>
    <w:rsid w:val="007E0D4E"/>
    <w:rsid w:val="007E0DBE"/>
    <w:rsid w:val="007E0E17"/>
    <w:rsid w:val="007E0E22"/>
    <w:rsid w:val="007E0E3E"/>
    <w:rsid w:val="007E0E54"/>
    <w:rsid w:val="007E0EB6"/>
    <w:rsid w:val="007E0ED8"/>
    <w:rsid w:val="007E0F20"/>
    <w:rsid w:val="007E0F27"/>
    <w:rsid w:val="007E0F42"/>
    <w:rsid w:val="007E0F47"/>
    <w:rsid w:val="007E100A"/>
    <w:rsid w:val="007E1034"/>
    <w:rsid w:val="007E1043"/>
    <w:rsid w:val="007E1055"/>
    <w:rsid w:val="007E1066"/>
    <w:rsid w:val="007E1094"/>
    <w:rsid w:val="007E10AE"/>
    <w:rsid w:val="007E10BE"/>
    <w:rsid w:val="007E1126"/>
    <w:rsid w:val="007E113B"/>
    <w:rsid w:val="007E11A4"/>
    <w:rsid w:val="007E11AE"/>
    <w:rsid w:val="007E1267"/>
    <w:rsid w:val="007E12E5"/>
    <w:rsid w:val="007E1393"/>
    <w:rsid w:val="007E13A6"/>
    <w:rsid w:val="007E13BB"/>
    <w:rsid w:val="007E1440"/>
    <w:rsid w:val="007E144F"/>
    <w:rsid w:val="007E1475"/>
    <w:rsid w:val="007E14A6"/>
    <w:rsid w:val="007E1520"/>
    <w:rsid w:val="007E1521"/>
    <w:rsid w:val="007E1540"/>
    <w:rsid w:val="007E158F"/>
    <w:rsid w:val="007E1590"/>
    <w:rsid w:val="007E15B2"/>
    <w:rsid w:val="007E15BE"/>
    <w:rsid w:val="007E15ED"/>
    <w:rsid w:val="007E162E"/>
    <w:rsid w:val="007E1699"/>
    <w:rsid w:val="007E16DC"/>
    <w:rsid w:val="007E170C"/>
    <w:rsid w:val="007E171A"/>
    <w:rsid w:val="007E1727"/>
    <w:rsid w:val="007E1728"/>
    <w:rsid w:val="007E175F"/>
    <w:rsid w:val="007E177D"/>
    <w:rsid w:val="007E17C0"/>
    <w:rsid w:val="007E17DA"/>
    <w:rsid w:val="007E1831"/>
    <w:rsid w:val="007E1877"/>
    <w:rsid w:val="007E1886"/>
    <w:rsid w:val="007E18C3"/>
    <w:rsid w:val="007E18C8"/>
    <w:rsid w:val="007E1920"/>
    <w:rsid w:val="007E197D"/>
    <w:rsid w:val="007E1A13"/>
    <w:rsid w:val="007E1A25"/>
    <w:rsid w:val="007E1A54"/>
    <w:rsid w:val="007E1A5C"/>
    <w:rsid w:val="007E1A7C"/>
    <w:rsid w:val="007E1AB8"/>
    <w:rsid w:val="007E1AC9"/>
    <w:rsid w:val="007E1AD7"/>
    <w:rsid w:val="007E1AF9"/>
    <w:rsid w:val="007E1B59"/>
    <w:rsid w:val="007E1B72"/>
    <w:rsid w:val="007E1C34"/>
    <w:rsid w:val="007E1C3C"/>
    <w:rsid w:val="007E1CB9"/>
    <w:rsid w:val="007E1D12"/>
    <w:rsid w:val="007E1D3C"/>
    <w:rsid w:val="007E1D50"/>
    <w:rsid w:val="007E1D5B"/>
    <w:rsid w:val="007E1D5C"/>
    <w:rsid w:val="007E1D64"/>
    <w:rsid w:val="007E1DD5"/>
    <w:rsid w:val="007E1E86"/>
    <w:rsid w:val="007E1EA9"/>
    <w:rsid w:val="007E1EC7"/>
    <w:rsid w:val="007E1EF9"/>
    <w:rsid w:val="007E1F08"/>
    <w:rsid w:val="007E1F48"/>
    <w:rsid w:val="007E1F57"/>
    <w:rsid w:val="007E1F8C"/>
    <w:rsid w:val="007E1F93"/>
    <w:rsid w:val="007E1F9C"/>
    <w:rsid w:val="007E2068"/>
    <w:rsid w:val="007E2099"/>
    <w:rsid w:val="007E20E1"/>
    <w:rsid w:val="007E214B"/>
    <w:rsid w:val="007E21B4"/>
    <w:rsid w:val="007E21B5"/>
    <w:rsid w:val="007E21E9"/>
    <w:rsid w:val="007E21EF"/>
    <w:rsid w:val="007E228E"/>
    <w:rsid w:val="007E229C"/>
    <w:rsid w:val="007E22D8"/>
    <w:rsid w:val="007E22E3"/>
    <w:rsid w:val="007E2451"/>
    <w:rsid w:val="007E246A"/>
    <w:rsid w:val="007E24CC"/>
    <w:rsid w:val="007E24FE"/>
    <w:rsid w:val="007E252B"/>
    <w:rsid w:val="007E2536"/>
    <w:rsid w:val="007E25AC"/>
    <w:rsid w:val="007E2610"/>
    <w:rsid w:val="007E2650"/>
    <w:rsid w:val="007E2695"/>
    <w:rsid w:val="007E26B9"/>
    <w:rsid w:val="007E26E8"/>
    <w:rsid w:val="007E26EE"/>
    <w:rsid w:val="007E26F6"/>
    <w:rsid w:val="007E2707"/>
    <w:rsid w:val="007E272D"/>
    <w:rsid w:val="007E2757"/>
    <w:rsid w:val="007E2775"/>
    <w:rsid w:val="007E2795"/>
    <w:rsid w:val="007E27C1"/>
    <w:rsid w:val="007E27D7"/>
    <w:rsid w:val="007E27DE"/>
    <w:rsid w:val="007E280E"/>
    <w:rsid w:val="007E2895"/>
    <w:rsid w:val="007E293D"/>
    <w:rsid w:val="007E2943"/>
    <w:rsid w:val="007E294F"/>
    <w:rsid w:val="007E295B"/>
    <w:rsid w:val="007E297E"/>
    <w:rsid w:val="007E2986"/>
    <w:rsid w:val="007E2988"/>
    <w:rsid w:val="007E29C9"/>
    <w:rsid w:val="007E29CB"/>
    <w:rsid w:val="007E29D0"/>
    <w:rsid w:val="007E29FD"/>
    <w:rsid w:val="007E2A41"/>
    <w:rsid w:val="007E2A4C"/>
    <w:rsid w:val="007E2A5A"/>
    <w:rsid w:val="007E2AFB"/>
    <w:rsid w:val="007E2B68"/>
    <w:rsid w:val="007E2B78"/>
    <w:rsid w:val="007E2B7E"/>
    <w:rsid w:val="007E2BA8"/>
    <w:rsid w:val="007E2BFF"/>
    <w:rsid w:val="007E2C53"/>
    <w:rsid w:val="007E2C55"/>
    <w:rsid w:val="007E2C6A"/>
    <w:rsid w:val="007E2C89"/>
    <w:rsid w:val="007E2D07"/>
    <w:rsid w:val="007E2D3A"/>
    <w:rsid w:val="007E2D52"/>
    <w:rsid w:val="007E2D6F"/>
    <w:rsid w:val="007E2DBE"/>
    <w:rsid w:val="007E2DFC"/>
    <w:rsid w:val="007E2E08"/>
    <w:rsid w:val="007E2E48"/>
    <w:rsid w:val="007E2E59"/>
    <w:rsid w:val="007E2E6B"/>
    <w:rsid w:val="007E2E8F"/>
    <w:rsid w:val="007E2EDE"/>
    <w:rsid w:val="007E2F3D"/>
    <w:rsid w:val="007E2FA9"/>
    <w:rsid w:val="007E2FE7"/>
    <w:rsid w:val="007E3061"/>
    <w:rsid w:val="007E3072"/>
    <w:rsid w:val="007E3074"/>
    <w:rsid w:val="007E3079"/>
    <w:rsid w:val="007E30E1"/>
    <w:rsid w:val="007E3133"/>
    <w:rsid w:val="007E31F5"/>
    <w:rsid w:val="007E3238"/>
    <w:rsid w:val="007E327C"/>
    <w:rsid w:val="007E32CE"/>
    <w:rsid w:val="007E3348"/>
    <w:rsid w:val="007E3389"/>
    <w:rsid w:val="007E33A1"/>
    <w:rsid w:val="007E33C3"/>
    <w:rsid w:val="007E33E2"/>
    <w:rsid w:val="007E344F"/>
    <w:rsid w:val="007E346D"/>
    <w:rsid w:val="007E34A0"/>
    <w:rsid w:val="007E34B6"/>
    <w:rsid w:val="007E34BC"/>
    <w:rsid w:val="007E34CF"/>
    <w:rsid w:val="007E34DE"/>
    <w:rsid w:val="007E3519"/>
    <w:rsid w:val="007E353E"/>
    <w:rsid w:val="007E3549"/>
    <w:rsid w:val="007E3586"/>
    <w:rsid w:val="007E35C7"/>
    <w:rsid w:val="007E35D0"/>
    <w:rsid w:val="007E35DF"/>
    <w:rsid w:val="007E35F5"/>
    <w:rsid w:val="007E3613"/>
    <w:rsid w:val="007E3640"/>
    <w:rsid w:val="007E3689"/>
    <w:rsid w:val="007E3691"/>
    <w:rsid w:val="007E36CB"/>
    <w:rsid w:val="007E36F9"/>
    <w:rsid w:val="007E3741"/>
    <w:rsid w:val="007E3787"/>
    <w:rsid w:val="007E37B9"/>
    <w:rsid w:val="007E37C8"/>
    <w:rsid w:val="007E3819"/>
    <w:rsid w:val="007E3848"/>
    <w:rsid w:val="007E38AC"/>
    <w:rsid w:val="007E390B"/>
    <w:rsid w:val="007E3953"/>
    <w:rsid w:val="007E3960"/>
    <w:rsid w:val="007E3972"/>
    <w:rsid w:val="007E3985"/>
    <w:rsid w:val="007E3995"/>
    <w:rsid w:val="007E3A06"/>
    <w:rsid w:val="007E3A23"/>
    <w:rsid w:val="007E3AA8"/>
    <w:rsid w:val="007E3AC3"/>
    <w:rsid w:val="007E3AF2"/>
    <w:rsid w:val="007E3B87"/>
    <w:rsid w:val="007E3BC3"/>
    <w:rsid w:val="007E3BE8"/>
    <w:rsid w:val="007E3C4E"/>
    <w:rsid w:val="007E3C85"/>
    <w:rsid w:val="007E3C97"/>
    <w:rsid w:val="007E3CD6"/>
    <w:rsid w:val="007E3D64"/>
    <w:rsid w:val="007E3D70"/>
    <w:rsid w:val="007E3E38"/>
    <w:rsid w:val="007E3F12"/>
    <w:rsid w:val="007E3F13"/>
    <w:rsid w:val="007E3F1A"/>
    <w:rsid w:val="007E3F38"/>
    <w:rsid w:val="007E3F50"/>
    <w:rsid w:val="007E3F54"/>
    <w:rsid w:val="007E3F83"/>
    <w:rsid w:val="007E3FA4"/>
    <w:rsid w:val="007E3FB1"/>
    <w:rsid w:val="007E3FD7"/>
    <w:rsid w:val="007E401E"/>
    <w:rsid w:val="007E4075"/>
    <w:rsid w:val="007E40A8"/>
    <w:rsid w:val="007E40C9"/>
    <w:rsid w:val="007E40DD"/>
    <w:rsid w:val="007E40E1"/>
    <w:rsid w:val="007E40F1"/>
    <w:rsid w:val="007E411D"/>
    <w:rsid w:val="007E4131"/>
    <w:rsid w:val="007E4174"/>
    <w:rsid w:val="007E41A7"/>
    <w:rsid w:val="007E41AF"/>
    <w:rsid w:val="007E41CB"/>
    <w:rsid w:val="007E4265"/>
    <w:rsid w:val="007E428E"/>
    <w:rsid w:val="007E4295"/>
    <w:rsid w:val="007E42A5"/>
    <w:rsid w:val="007E435E"/>
    <w:rsid w:val="007E4368"/>
    <w:rsid w:val="007E437B"/>
    <w:rsid w:val="007E4390"/>
    <w:rsid w:val="007E43F1"/>
    <w:rsid w:val="007E43FE"/>
    <w:rsid w:val="007E440F"/>
    <w:rsid w:val="007E4451"/>
    <w:rsid w:val="007E449D"/>
    <w:rsid w:val="007E44F1"/>
    <w:rsid w:val="007E450D"/>
    <w:rsid w:val="007E456D"/>
    <w:rsid w:val="007E4597"/>
    <w:rsid w:val="007E45AC"/>
    <w:rsid w:val="007E45E9"/>
    <w:rsid w:val="007E4607"/>
    <w:rsid w:val="007E461D"/>
    <w:rsid w:val="007E4666"/>
    <w:rsid w:val="007E4732"/>
    <w:rsid w:val="007E476E"/>
    <w:rsid w:val="007E4776"/>
    <w:rsid w:val="007E4799"/>
    <w:rsid w:val="007E47BA"/>
    <w:rsid w:val="007E47F0"/>
    <w:rsid w:val="007E47FA"/>
    <w:rsid w:val="007E485C"/>
    <w:rsid w:val="007E4879"/>
    <w:rsid w:val="007E48D7"/>
    <w:rsid w:val="007E4972"/>
    <w:rsid w:val="007E4973"/>
    <w:rsid w:val="007E49CF"/>
    <w:rsid w:val="007E4A38"/>
    <w:rsid w:val="007E4A80"/>
    <w:rsid w:val="007E4A8A"/>
    <w:rsid w:val="007E4AC2"/>
    <w:rsid w:val="007E4B14"/>
    <w:rsid w:val="007E4B79"/>
    <w:rsid w:val="007E4BCF"/>
    <w:rsid w:val="007E4C1D"/>
    <w:rsid w:val="007E4C22"/>
    <w:rsid w:val="007E4C29"/>
    <w:rsid w:val="007E4C4A"/>
    <w:rsid w:val="007E4C5E"/>
    <w:rsid w:val="007E4C80"/>
    <w:rsid w:val="007E4D13"/>
    <w:rsid w:val="007E4D20"/>
    <w:rsid w:val="007E4D2C"/>
    <w:rsid w:val="007E4DC6"/>
    <w:rsid w:val="007E4DCD"/>
    <w:rsid w:val="007E4DE0"/>
    <w:rsid w:val="007E4DE8"/>
    <w:rsid w:val="007E4E22"/>
    <w:rsid w:val="007E4E28"/>
    <w:rsid w:val="007E4E71"/>
    <w:rsid w:val="007E4E86"/>
    <w:rsid w:val="007E4EA4"/>
    <w:rsid w:val="007E4FB0"/>
    <w:rsid w:val="007E5020"/>
    <w:rsid w:val="007E5060"/>
    <w:rsid w:val="007E50C4"/>
    <w:rsid w:val="007E5110"/>
    <w:rsid w:val="007E5224"/>
    <w:rsid w:val="007E529E"/>
    <w:rsid w:val="007E529F"/>
    <w:rsid w:val="007E52AA"/>
    <w:rsid w:val="007E52AE"/>
    <w:rsid w:val="007E530C"/>
    <w:rsid w:val="007E5318"/>
    <w:rsid w:val="007E531C"/>
    <w:rsid w:val="007E5359"/>
    <w:rsid w:val="007E5367"/>
    <w:rsid w:val="007E53C2"/>
    <w:rsid w:val="007E5461"/>
    <w:rsid w:val="007E549F"/>
    <w:rsid w:val="007E54FC"/>
    <w:rsid w:val="007E5502"/>
    <w:rsid w:val="007E551A"/>
    <w:rsid w:val="007E5599"/>
    <w:rsid w:val="007E55E0"/>
    <w:rsid w:val="007E564C"/>
    <w:rsid w:val="007E5664"/>
    <w:rsid w:val="007E56A2"/>
    <w:rsid w:val="007E56D1"/>
    <w:rsid w:val="007E56DA"/>
    <w:rsid w:val="007E56F8"/>
    <w:rsid w:val="007E5730"/>
    <w:rsid w:val="007E5760"/>
    <w:rsid w:val="007E5762"/>
    <w:rsid w:val="007E57C6"/>
    <w:rsid w:val="007E57E0"/>
    <w:rsid w:val="007E57E2"/>
    <w:rsid w:val="007E580E"/>
    <w:rsid w:val="007E583E"/>
    <w:rsid w:val="007E5845"/>
    <w:rsid w:val="007E5861"/>
    <w:rsid w:val="007E5886"/>
    <w:rsid w:val="007E590D"/>
    <w:rsid w:val="007E591A"/>
    <w:rsid w:val="007E5921"/>
    <w:rsid w:val="007E5935"/>
    <w:rsid w:val="007E5979"/>
    <w:rsid w:val="007E59C3"/>
    <w:rsid w:val="007E59DD"/>
    <w:rsid w:val="007E5A0E"/>
    <w:rsid w:val="007E5A0F"/>
    <w:rsid w:val="007E5A76"/>
    <w:rsid w:val="007E5AC0"/>
    <w:rsid w:val="007E5AD8"/>
    <w:rsid w:val="007E5B03"/>
    <w:rsid w:val="007E5B2A"/>
    <w:rsid w:val="007E5B69"/>
    <w:rsid w:val="007E5BA3"/>
    <w:rsid w:val="007E5BF6"/>
    <w:rsid w:val="007E5C82"/>
    <w:rsid w:val="007E5C8A"/>
    <w:rsid w:val="007E5CD4"/>
    <w:rsid w:val="007E5D53"/>
    <w:rsid w:val="007E5D71"/>
    <w:rsid w:val="007E5DA3"/>
    <w:rsid w:val="007E5DC9"/>
    <w:rsid w:val="007E5DE0"/>
    <w:rsid w:val="007E5E12"/>
    <w:rsid w:val="007E5EC4"/>
    <w:rsid w:val="007E5EEC"/>
    <w:rsid w:val="007E5F1A"/>
    <w:rsid w:val="007E5F1E"/>
    <w:rsid w:val="007E5F21"/>
    <w:rsid w:val="007E5FB3"/>
    <w:rsid w:val="007E5FCB"/>
    <w:rsid w:val="007E603A"/>
    <w:rsid w:val="007E60A0"/>
    <w:rsid w:val="007E60DA"/>
    <w:rsid w:val="007E60FF"/>
    <w:rsid w:val="007E614A"/>
    <w:rsid w:val="007E6172"/>
    <w:rsid w:val="007E61C7"/>
    <w:rsid w:val="007E61E2"/>
    <w:rsid w:val="007E61E3"/>
    <w:rsid w:val="007E6258"/>
    <w:rsid w:val="007E6289"/>
    <w:rsid w:val="007E6298"/>
    <w:rsid w:val="007E629B"/>
    <w:rsid w:val="007E630C"/>
    <w:rsid w:val="007E630F"/>
    <w:rsid w:val="007E6337"/>
    <w:rsid w:val="007E63DE"/>
    <w:rsid w:val="007E640D"/>
    <w:rsid w:val="007E6427"/>
    <w:rsid w:val="007E642E"/>
    <w:rsid w:val="007E6431"/>
    <w:rsid w:val="007E643B"/>
    <w:rsid w:val="007E6453"/>
    <w:rsid w:val="007E64A6"/>
    <w:rsid w:val="007E64B5"/>
    <w:rsid w:val="007E64C3"/>
    <w:rsid w:val="007E64DF"/>
    <w:rsid w:val="007E64EF"/>
    <w:rsid w:val="007E64F9"/>
    <w:rsid w:val="007E6557"/>
    <w:rsid w:val="007E655A"/>
    <w:rsid w:val="007E655D"/>
    <w:rsid w:val="007E65CD"/>
    <w:rsid w:val="007E65DE"/>
    <w:rsid w:val="007E6641"/>
    <w:rsid w:val="007E6667"/>
    <w:rsid w:val="007E6704"/>
    <w:rsid w:val="007E670E"/>
    <w:rsid w:val="007E6740"/>
    <w:rsid w:val="007E675F"/>
    <w:rsid w:val="007E6775"/>
    <w:rsid w:val="007E67A3"/>
    <w:rsid w:val="007E6892"/>
    <w:rsid w:val="007E68CD"/>
    <w:rsid w:val="007E68D3"/>
    <w:rsid w:val="007E68DE"/>
    <w:rsid w:val="007E68FA"/>
    <w:rsid w:val="007E6913"/>
    <w:rsid w:val="007E6965"/>
    <w:rsid w:val="007E6967"/>
    <w:rsid w:val="007E698B"/>
    <w:rsid w:val="007E69A9"/>
    <w:rsid w:val="007E6AA3"/>
    <w:rsid w:val="007E6AA5"/>
    <w:rsid w:val="007E6B94"/>
    <w:rsid w:val="007E6BFB"/>
    <w:rsid w:val="007E6C4F"/>
    <w:rsid w:val="007E6C9F"/>
    <w:rsid w:val="007E6CA2"/>
    <w:rsid w:val="007E6CDD"/>
    <w:rsid w:val="007E6CF2"/>
    <w:rsid w:val="007E6DF7"/>
    <w:rsid w:val="007E6E6D"/>
    <w:rsid w:val="007E6EEB"/>
    <w:rsid w:val="007E6F5C"/>
    <w:rsid w:val="007E6F80"/>
    <w:rsid w:val="007E6FE4"/>
    <w:rsid w:val="007E703B"/>
    <w:rsid w:val="007E7044"/>
    <w:rsid w:val="007E710C"/>
    <w:rsid w:val="007E7152"/>
    <w:rsid w:val="007E71CC"/>
    <w:rsid w:val="007E71D7"/>
    <w:rsid w:val="007E7233"/>
    <w:rsid w:val="007E7265"/>
    <w:rsid w:val="007E7366"/>
    <w:rsid w:val="007E7377"/>
    <w:rsid w:val="007E7391"/>
    <w:rsid w:val="007E73AF"/>
    <w:rsid w:val="007E73E4"/>
    <w:rsid w:val="007E73F4"/>
    <w:rsid w:val="007E7439"/>
    <w:rsid w:val="007E7495"/>
    <w:rsid w:val="007E74EA"/>
    <w:rsid w:val="007E750A"/>
    <w:rsid w:val="007E7536"/>
    <w:rsid w:val="007E758F"/>
    <w:rsid w:val="007E75E2"/>
    <w:rsid w:val="007E7634"/>
    <w:rsid w:val="007E766F"/>
    <w:rsid w:val="007E7694"/>
    <w:rsid w:val="007E7744"/>
    <w:rsid w:val="007E7762"/>
    <w:rsid w:val="007E77B9"/>
    <w:rsid w:val="007E77DD"/>
    <w:rsid w:val="007E7810"/>
    <w:rsid w:val="007E7816"/>
    <w:rsid w:val="007E781C"/>
    <w:rsid w:val="007E786E"/>
    <w:rsid w:val="007E7899"/>
    <w:rsid w:val="007E78D3"/>
    <w:rsid w:val="007E7960"/>
    <w:rsid w:val="007E7968"/>
    <w:rsid w:val="007E79F3"/>
    <w:rsid w:val="007E7A03"/>
    <w:rsid w:val="007E7A10"/>
    <w:rsid w:val="007E7A16"/>
    <w:rsid w:val="007E7A73"/>
    <w:rsid w:val="007E7A9C"/>
    <w:rsid w:val="007E7AC1"/>
    <w:rsid w:val="007E7AC6"/>
    <w:rsid w:val="007E7B32"/>
    <w:rsid w:val="007E7B48"/>
    <w:rsid w:val="007E7B8A"/>
    <w:rsid w:val="007E7BBF"/>
    <w:rsid w:val="007E7C66"/>
    <w:rsid w:val="007E7CFB"/>
    <w:rsid w:val="007E7D96"/>
    <w:rsid w:val="007E7E17"/>
    <w:rsid w:val="007E7E30"/>
    <w:rsid w:val="007E7E51"/>
    <w:rsid w:val="007E7E7C"/>
    <w:rsid w:val="007E7ED9"/>
    <w:rsid w:val="007E7FBF"/>
    <w:rsid w:val="007E7FD2"/>
    <w:rsid w:val="007E7FF8"/>
    <w:rsid w:val="007E94A3"/>
    <w:rsid w:val="007F004B"/>
    <w:rsid w:val="007F0056"/>
    <w:rsid w:val="007F0073"/>
    <w:rsid w:val="007F0087"/>
    <w:rsid w:val="007F0125"/>
    <w:rsid w:val="007F0128"/>
    <w:rsid w:val="007F0162"/>
    <w:rsid w:val="007F01DC"/>
    <w:rsid w:val="007F024E"/>
    <w:rsid w:val="007F02EC"/>
    <w:rsid w:val="007F02F9"/>
    <w:rsid w:val="007F032B"/>
    <w:rsid w:val="007F0330"/>
    <w:rsid w:val="007F0331"/>
    <w:rsid w:val="007F035B"/>
    <w:rsid w:val="007F03B7"/>
    <w:rsid w:val="007F03BB"/>
    <w:rsid w:val="007F03FD"/>
    <w:rsid w:val="007F03FE"/>
    <w:rsid w:val="007F0430"/>
    <w:rsid w:val="007F0451"/>
    <w:rsid w:val="007F046B"/>
    <w:rsid w:val="007F048F"/>
    <w:rsid w:val="007F04D8"/>
    <w:rsid w:val="007F04E4"/>
    <w:rsid w:val="007F05A0"/>
    <w:rsid w:val="007F05AE"/>
    <w:rsid w:val="007F05B4"/>
    <w:rsid w:val="007F0653"/>
    <w:rsid w:val="007F066D"/>
    <w:rsid w:val="007F06C9"/>
    <w:rsid w:val="007F0717"/>
    <w:rsid w:val="007F076A"/>
    <w:rsid w:val="007F0778"/>
    <w:rsid w:val="007F07AC"/>
    <w:rsid w:val="007F07C5"/>
    <w:rsid w:val="007F07DD"/>
    <w:rsid w:val="007F0878"/>
    <w:rsid w:val="007F088C"/>
    <w:rsid w:val="007F08DE"/>
    <w:rsid w:val="007F0949"/>
    <w:rsid w:val="007F09C8"/>
    <w:rsid w:val="007F09E3"/>
    <w:rsid w:val="007F0A6A"/>
    <w:rsid w:val="007F0B55"/>
    <w:rsid w:val="007F0B71"/>
    <w:rsid w:val="007F0B80"/>
    <w:rsid w:val="007F0B8B"/>
    <w:rsid w:val="007F0B8E"/>
    <w:rsid w:val="007F0B97"/>
    <w:rsid w:val="007F0BED"/>
    <w:rsid w:val="007F0BF8"/>
    <w:rsid w:val="007F0C00"/>
    <w:rsid w:val="007F0C25"/>
    <w:rsid w:val="007F0C44"/>
    <w:rsid w:val="007F0C7A"/>
    <w:rsid w:val="007F0C8D"/>
    <w:rsid w:val="007F0C93"/>
    <w:rsid w:val="007F0CED"/>
    <w:rsid w:val="007F0D24"/>
    <w:rsid w:val="007F0D8E"/>
    <w:rsid w:val="007F0DB5"/>
    <w:rsid w:val="007F0DD7"/>
    <w:rsid w:val="007F0DD8"/>
    <w:rsid w:val="007F0DEC"/>
    <w:rsid w:val="007F0E5B"/>
    <w:rsid w:val="007F0E80"/>
    <w:rsid w:val="007F0E85"/>
    <w:rsid w:val="007F0E93"/>
    <w:rsid w:val="007F0E94"/>
    <w:rsid w:val="007F0E9B"/>
    <w:rsid w:val="007F0EBE"/>
    <w:rsid w:val="007F0ED9"/>
    <w:rsid w:val="007F0EE6"/>
    <w:rsid w:val="007F0F06"/>
    <w:rsid w:val="007F0F4D"/>
    <w:rsid w:val="007F0F89"/>
    <w:rsid w:val="007F102B"/>
    <w:rsid w:val="007F1075"/>
    <w:rsid w:val="007F1150"/>
    <w:rsid w:val="007F116B"/>
    <w:rsid w:val="007F11D8"/>
    <w:rsid w:val="007F12F6"/>
    <w:rsid w:val="007F12F7"/>
    <w:rsid w:val="007F1316"/>
    <w:rsid w:val="007F1319"/>
    <w:rsid w:val="007F1358"/>
    <w:rsid w:val="007F1386"/>
    <w:rsid w:val="007F1419"/>
    <w:rsid w:val="007F1491"/>
    <w:rsid w:val="007F156C"/>
    <w:rsid w:val="007F15C8"/>
    <w:rsid w:val="007F15DB"/>
    <w:rsid w:val="007F15E9"/>
    <w:rsid w:val="007F15F1"/>
    <w:rsid w:val="007F1641"/>
    <w:rsid w:val="007F167A"/>
    <w:rsid w:val="007F16B9"/>
    <w:rsid w:val="007F16C2"/>
    <w:rsid w:val="007F172E"/>
    <w:rsid w:val="007F175C"/>
    <w:rsid w:val="007F175D"/>
    <w:rsid w:val="007F177C"/>
    <w:rsid w:val="007F1783"/>
    <w:rsid w:val="007F1789"/>
    <w:rsid w:val="007F17F1"/>
    <w:rsid w:val="007F17F6"/>
    <w:rsid w:val="007F1817"/>
    <w:rsid w:val="007F1884"/>
    <w:rsid w:val="007F189A"/>
    <w:rsid w:val="007F193D"/>
    <w:rsid w:val="007F1960"/>
    <w:rsid w:val="007F1961"/>
    <w:rsid w:val="007F1989"/>
    <w:rsid w:val="007F19D9"/>
    <w:rsid w:val="007F1A35"/>
    <w:rsid w:val="007F1AE6"/>
    <w:rsid w:val="007F1BCA"/>
    <w:rsid w:val="007F1C33"/>
    <w:rsid w:val="007F1C73"/>
    <w:rsid w:val="007F1CC0"/>
    <w:rsid w:val="007F1CC5"/>
    <w:rsid w:val="007F1CD5"/>
    <w:rsid w:val="007F1CE4"/>
    <w:rsid w:val="007F1CF9"/>
    <w:rsid w:val="007F1D18"/>
    <w:rsid w:val="007F1D35"/>
    <w:rsid w:val="007F1D6F"/>
    <w:rsid w:val="007F1D9E"/>
    <w:rsid w:val="007F1DEE"/>
    <w:rsid w:val="007F1E0C"/>
    <w:rsid w:val="007F1E76"/>
    <w:rsid w:val="007F1EE3"/>
    <w:rsid w:val="007F1F2E"/>
    <w:rsid w:val="007F1FA1"/>
    <w:rsid w:val="007F1FC9"/>
    <w:rsid w:val="007F1FD5"/>
    <w:rsid w:val="007F2007"/>
    <w:rsid w:val="007F2071"/>
    <w:rsid w:val="007F2094"/>
    <w:rsid w:val="007F2125"/>
    <w:rsid w:val="007F212D"/>
    <w:rsid w:val="007F21B2"/>
    <w:rsid w:val="007F21BA"/>
    <w:rsid w:val="007F2228"/>
    <w:rsid w:val="007F2246"/>
    <w:rsid w:val="007F2297"/>
    <w:rsid w:val="007F22EB"/>
    <w:rsid w:val="007F2310"/>
    <w:rsid w:val="007F233B"/>
    <w:rsid w:val="007F2350"/>
    <w:rsid w:val="007F238B"/>
    <w:rsid w:val="007F239F"/>
    <w:rsid w:val="007F23C0"/>
    <w:rsid w:val="007F23F1"/>
    <w:rsid w:val="007F2419"/>
    <w:rsid w:val="007F247D"/>
    <w:rsid w:val="007F248E"/>
    <w:rsid w:val="007F24D6"/>
    <w:rsid w:val="007F2507"/>
    <w:rsid w:val="007F25AF"/>
    <w:rsid w:val="007F264A"/>
    <w:rsid w:val="007F2683"/>
    <w:rsid w:val="007F26E3"/>
    <w:rsid w:val="007F2706"/>
    <w:rsid w:val="007F274E"/>
    <w:rsid w:val="007F279E"/>
    <w:rsid w:val="007F27C3"/>
    <w:rsid w:val="007F27CA"/>
    <w:rsid w:val="007F27FD"/>
    <w:rsid w:val="007F28A8"/>
    <w:rsid w:val="007F28E4"/>
    <w:rsid w:val="007F28FC"/>
    <w:rsid w:val="007F2917"/>
    <w:rsid w:val="007F2919"/>
    <w:rsid w:val="007F2969"/>
    <w:rsid w:val="007F2973"/>
    <w:rsid w:val="007F29A7"/>
    <w:rsid w:val="007F29E7"/>
    <w:rsid w:val="007F2A5B"/>
    <w:rsid w:val="007F2A80"/>
    <w:rsid w:val="007F2A87"/>
    <w:rsid w:val="007F2ACD"/>
    <w:rsid w:val="007F2B52"/>
    <w:rsid w:val="007F2BAC"/>
    <w:rsid w:val="007F2C8A"/>
    <w:rsid w:val="007F2CDC"/>
    <w:rsid w:val="007F2DEA"/>
    <w:rsid w:val="007F2E09"/>
    <w:rsid w:val="007F2E41"/>
    <w:rsid w:val="007F2E4E"/>
    <w:rsid w:val="007F2EA0"/>
    <w:rsid w:val="007F2EDC"/>
    <w:rsid w:val="007F2F5C"/>
    <w:rsid w:val="007F2F9D"/>
    <w:rsid w:val="007F301D"/>
    <w:rsid w:val="007F3065"/>
    <w:rsid w:val="007F30C6"/>
    <w:rsid w:val="007F30DE"/>
    <w:rsid w:val="007F314B"/>
    <w:rsid w:val="007F314F"/>
    <w:rsid w:val="007F319E"/>
    <w:rsid w:val="007F31D7"/>
    <w:rsid w:val="007F3204"/>
    <w:rsid w:val="007F324E"/>
    <w:rsid w:val="007F327A"/>
    <w:rsid w:val="007F3289"/>
    <w:rsid w:val="007F32A6"/>
    <w:rsid w:val="007F32FF"/>
    <w:rsid w:val="007F3337"/>
    <w:rsid w:val="007F3353"/>
    <w:rsid w:val="007F3406"/>
    <w:rsid w:val="007F3424"/>
    <w:rsid w:val="007F343F"/>
    <w:rsid w:val="007F3459"/>
    <w:rsid w:val="007F348F"/>
    <w:rsid w:val="007F3582"/>
    <w:rsid w:val="007F35AD"/>
    <w:rsid w:val="007F35B6"/>
    <w:rsid w:val="007F35C1"/>
    <w:rsid w:val="007F361C"/>
    <w:rsid w:val="007F3640"/>
    <w:rsid w:val="007F368C"/>
    <w:rsid w:val="007F36A3"/>
    <w:rsid w:val="007F374A"/>
    <w:rsid w:val="007F375F"/>
    <w:rsid w:val="007F376D"/>
    <w:rsid w:val="007F380A"/>
    <w:rsid w:val="007F3817"/>
    <w:rsid w:val="007F3909"/>
    <w:rsid w:val="007F391C"/>
    <w:rsid w:val="007F3939"/>
    <w:rsid w:val="007F3996"/>
    <w:rsid w:val="007F39B9"/>
    <w:rsid w:val="007F39F8"/>
    <w:rsid w:val="007F3A36"/>
    <w:rsid w:val="007F3A5B"/>
    <w:rsid w:val="007F3AA0"/>
    <w:rsid w:val="007F3AB4"/>
    <w:rsid w:val="007F3AE6"/>
    <w:rsid w:val="007F3AEB"/>
    <w:rsid w:val="007F3B3A"/>
    <w:rsid w:val="007F3B56"/>
    <w:rsid w:val="007F3B79"/>
    <w:rsid w:val="007F3B93"/>
    <w:rsid w:val="007F3C31"/>
    <w:rsid w:val="007F3C54"/>
    <w:rsid w:val="007F3C5D"/>
    <w:rsid w:val="007F3C5E"/>
    <w:rsid w:val="007F3CAD"/>
    <w:rsid w:val="007F3D77"/>
    <w:rsid w:val="007F3D91"/>
    <w:rsid w:val="007F3DB9"/>
    <w:rsid w:val="007F3E3B"/>
    <w:rsid w:val="007F3E61"/>
    <w:rsid w:val="007F3E6C"/>
    <w:rsid w:val="007F3E95"/>
    <w:rsid w:val="007F3ED2"/>
    <w:rsid w:val="007F3F06"/>
    <w:rsid w:val="007F3F66"/>
    <w:rsid w:val="007F3F68"/>
    <w:rsid w:val="007F3FE0"/>
    <w:rsid w:val="007F4024"/>
    <w:rsid w:val="007F40AE"/>
    <w:rsid w:val="007F40C7"/>
    <w:rsid w:val="007F4112"/>
    <w:rsid w:val="007F41DE"/>
    <w:rsid w:val="007F4214"/>
    <w:rsid w:val="007F4224"/>
    <w:rsid w:val="007F4225"/>
    <w:rsid w:val="007F4245"/>
    <w:rsid w:val="007F4251"/>
    <w:rsid w:val="007F429C"/>
    <w:rsid w:val="007F42FE"/>
    <w:rsid w:val="007F4345"/>
    <w:rsid w:val="007F434F"/>
    <w:rsid w:val="007F4363"/>
    <w:rsid w:val="007F441D"/>
    <w:rsid w:val="007F442B"/>
    <w:rsid w:val="007F4441"/>
    <w:rsid w:val="007F4456"/>
    <w:rsid w:val="007F4462"/>
    <w:rsid w:val="007F448C"/>
    <w:rsid w:val="007F44B0"/>
    <w:rsid w:val="007F44B9"/>
    <w:rsid w:val="007F44DA"/>
    <w:rsid w:val="007F453F"/>
    <w:rsid w:val="007F4570"/>
    <w:rsid w:val="007F4575"/>
    <w:rsid w:val="007F4589"/>
    <w:rsid w:val="007F45AE"/>
    <w:rsid w:val="007F45C0"/>
    <w:rsid w:val="007F45C7"/>
    <w:rsid w:val="007F45CC"/>
    <w:rsid w:val="007F45D6"/>
    <w:rsid w:val="007F45ED"/>
    <w:rsid w:val="007F45FB"/>
    <w:rsid w:val="007F460F"/>
    <w:rsid w:val="007F4681"/>
    <w:rsid w:val="007F46A4"/>
    <w:rsid w:val="007F46A6"/>
    <w:rsid w:val="007F46EB"/>
    <w:rsid w:val="007F4709"/>
    <w:rsid w:val="007F4714"/>
    <w:rsid w:val="007F4737"/>
    <w:rsid w:val="007F47A1"/>
    <w:rsid w:val="007F47AF"/>
    <w:rsid w:val="007F47F0"/>
    <w:rsid w:val="007F4840"/>
    <w:rsid w:val="007F486F"/>
    <w:rsid w:val="007F4885"/>
    <w:rsid w:val="007F48D0"/>
    <w:rsid w:val="007F48E1"/>
    <w:rsid w:val="007F492E"/>
    <w:rsid w:val="007F4986"/>
    <w:rsid w:val="007F4996"/>
    <w:rsid w:val="007F49B0"/>
    <w:rsid w:val="007F49DA"/>
    <w:rsid w:val="007F4A01"/>
    <w:rsid w:val="007F4A53"/>
    <w:rsid w:val="007F4ACE"/>
    <w:rsid w:val="007F4AF0"/>
    <w:rsid w:val="007F4B6E"/>
    <w:rsid w:val="007F4B6F"/>
    <w:rsid w:val="007F4B74"/>
    <w:rsid w:val="007F4BB8"/>
    <w:rsid w:val="007F4BCF"/>
    <w:rsid w:val="007F4BFD"/>
    <w:rsid w:val="007F4C1E"/>
    <w:rsid w:val="007F4C57"/>
    <w:rsid w:val="007F4CC2"/>
    <w:rsid w:val="007F4CD4"/>
    <w:rsid w:val="007F4D52"/>
    <w:rsid w:val="007F4D94"/>
    <w:rsid w:val="007F4E30"/>
    <w:rsid w:val="007F4EDE"/>
    <w:rsid w:val="007F4EDF"/>
    <w:rsid w:val="007F4F72"/>
    <w:rsid w:val="007F4F92"/>
    <w:rsid w:val="007F4FBA"/>
    <w:rsid w:val="007F5064"/>
    <w:rsid w:val="007F5069"/>
    <w:rsid w:val="007F5084"/>
    <w:rsid w:val="007F5130"/>
    <w:rsid w:val="007F513A"/>
    <w:rsid w:val="007F5163"/>
    <w:rsid w:val="007F516B"/>
    <w:rsid w:val="007F5175"/>
    <w:rsid w:val="007F5192"/>
    <w:rsid w:val="007F51C4"/>
    <w:rsid w:val="007F51E9"/>
    <w:rsid w:val="007F528D"/>
    <w:rsid w:val="007F52E5"/>
    <w:rsid w:val="007F538F"/>
    <w:rsid w:val="007F539A"/>
    <w:rsid w:val="007F53C9"/>
    <w:rsid w:val="007F53ED"/>
    <w:rsid w:val="007F5482"/>
    <w:rsid w:val="007F548F"/>
    <w:rsid w:val="007F54D4"/>
    <w:rsid w:val="007F54EB"/>
    <w:rsid w:val="007F55B7"/>
    <w:rsid w:val="007F55D4"/>
    <w:rsid w:val="007F5650"/>
    <w:rsid w:val="007F5662"/>
    <w:rsid w:val="007F5666"/>
    <w:rsid w:val="007F5677"/>
    <w:rsid w:val="007F5687"/>
    <w:rsid w:val="007F568E"/>
    <w:rsid w:val="007F56A8"/>
    <w:rsid w:val="007F56B5"/>
    <w:rsid w:val="007F5700"/>
    <w:rsid w:val="007F576B"/>
    <w:rsid w:val="007F5772"/>
    <w:rsid w:val="007F5785"/>
    <w:rsid w:val="007F57A6"/>
    <w:rsid w:val="007F57BE"/>
    <w:rsid w:val="007F5919"/>
    <w:rsid w:val="007F59B6"/>
    <w:rsid w:val="007F59C8"/>
    <w:rsid w:val="007F59FD"/>
    <w:rsid w:val="007F5A15"/>
    <w:rsid w:val="007F5A43"/>
    <w:rsid w:val="007F5A8B"/>
    <w:rsid w:val="007F5AA6"/>
    <w:rsid w:val="007F5AB4"/>
    <w:rsid w:val="007F5AEA"/>
    <w:rsid w:val="007F5B0F"/>
    <w:rsid w:val="007F5B21"/>
    <w:rsid w:val="007F5B40"/>
    <w:rsid w:val="007F5B83"/>
    <w:rsid w:val="007F5BD2"/>
    <w:rsid w:val="007F5BD5"/>
    <w:rsid w:val="007F5BE3"/>
    <w:rsid w:val="007F5C09"/>
    <w:rsid w:val="007F5C9A"/>
    <w:rsid w:val="007F5CA5"/>
    <w:rsid w:val="007F5CEA"/>
    <w:rsid w:val="007F5D21"/>
    <w:rsid w:val="007F5DF1"/>
    <w:rsid w:val="007F5E11"/>
    <w:rsid w:val="007F5E3E"/>
    <w:rsid w:val="007F5E54"/>
    <w:rsid w:val="007F5E67"/>
    <w:rsid w:val="007F5E7E"/>
    <w:rsid w:val="007F5EA1"/>
    <w:rsid w:val="007F5EA2"/>
    <w:rsid w:val="007F5EC7"/>
    <w:rsid w:val="007F5ECF"/>
    <w:rsid w:val="007F5FB7"/>
    <w:rsid w:val="007F5FF1"/>
    <w:rsid w:val="007F6024"/>
    <w:rsid w:val="007F6092"/>
    <w:rsid w:val="007F60FC"/>
    <w:rsid w:val="007F60FE"/>
    <w:rsid w:val="007F612E"/>
    <w:rsid w:val="007F6166"/>
    <w:rsid w:val="007F616E"/>
    <w:rsid w:val="007F61B4"/>
    <w:rsid w:val="007F61D3"/>
    <w:rsid w:val="007F61E9"/>
    <w:rsid w:val="007F6282"/>
    <w:rsid w:val="007F6284"/>
    <w:rsid w:val="007F62A1"/>
    <w:rsid w:val="007F62D9"/>
    <w:rsid w:val="007F6338"/>
    <w:rsid w:val="007F633F"/>
    <w:rsid w:val="007F636A"/>
    <w:rsid w:val="007F639C"/>
    <w:rsid w:val="007F63C0"/>
    <w:rsid w:val="007F63CE"/>
    <w:rsid w:val="007F63D8"/>
    <w:rsid w:val="007F6421"/>
    <w:rsid w:val="007F6423"/>
    <w:rsid w:val="007F6490"/>
    <w:rsid w:val="007F6569"/>
    <w:rsid w:val="007F65C9"/>
    <w:rsid w:val="007F6613"/>
    <w:rsid w:val="007F6693"/>
    <w:rsid w:val="007F66FC"/>
    <w:rsid w:val="007F67DA"/>
    <w:rsid w:val="007F6817"/>
    <w:rsid w:val="007F683F"/>
    <w:rsid w:val="007F68A2"/>
    <w:rsid w:val="007F68C7"/>
    <w:rsid w:val="007F68D5"/>
    <w:rsid w:val="007F68F0"/>
    <w:rsid w:val="007F694F"/>
    <w:rsid w:val="007F6999"/>
    <w:rsid w:val="007F69A8"/>
    <w:rsid w:val="007F69AE"/>
    <w:rsid w:val="007F6A56"/>
    <w:rsid w:val="007F6A5D"/>
    <w:rsid w:val="007F6A69"/>
    <w:rsid w:val="007F6AF6"/>
    <w:rsid w:val="007F6AF8"/>
    <w:rsid w:val="007F6B10"/>
    <w:rsid w:val="007F6B4B"/>
    <w:rsid w:val="007F6B4D"/>
    <w:rsid w:val="007F6BB4"/>
    <w:rsid w:val="007F6BE3"/>
    <w:rsid w:val="007F6C6A"/>
    <w:rsid w:val="007F6CD4"/>
    <w:rsid w:val="007F6CE0"/>
    <w:rsid w:val="007F6CF3"/>
    <w:rsid w:val="007F6CFF"/>
    <w:rsid w:val="007F6D25"/>
    <w:rsid w:val="007F6D2E"/>
    <w:rsid w:val="007F6D84"/>
    <w:rsid w:val="007F6D95"/>
    <w:rsid w:val="007F6DF1"/>
    <w:rsid w:val="007F6E7F"/>
    <w:rsid w:val="007F6EA3"/>
    <w:rsid w:val="007F6EB0"/>
    <w:rsid w:val="007F6EB7"/>
    <w:rsid w:val="007F6ECC"/>
    <w:rsid w:val="007F6EE5"/>
    <w:rsid w:val="007F6EF1"/>
    <w:rsid w:val="007F6F43"/>
    <w:rsid w:val="007F6F62"/>
    <w:rsid w:val="007F6F6E"/>
    <w:rsid w:val="007F7042"/>
    <w:rsid w:val="007F7053"/>
    <w:rsid w:val="007F70CC"/>
    <w:rsid w:val="007F70DD"/>
    <w:rsid w:val="007F712D"/>
    <w:rsid w:val="007F71A2"/>
    <w:rsid w:val="007F71B1"/>
    <w:rsid w:val="007F71DF"/>
    <w:rsid w:val="007F7244"/>
    <w:rsid w:val="007F7267"/>
    <w:rsid w:val="007F726A"/>
    <w:rsid w:val="007F7283"/>
    <w:rsid w:val="007F7337"/>
    <w:rsid w:val="007F73CE"/>
    <w:rsid w:val="007F73D6"/>
    <w:rsid w:val="007F73DB"/>
    <w:rsid w:val="007F7400"/>
    <w:rsid w:val="007F7409"/>
    <w:rsid w:val="007F7469"/>
    <w:rsid w:val="007F7485"/>
    <w:rsid w:val="007F74B1"/>
    <w:rsid w:val="007F74C6"/>
    <w:rsid w:val="007F7518"/>
    <w:rsid w:val="007F7527"/>
    <w:rsid w:val="007F753C"/>
    <w:rsid w:val="007F758D"/>
    <w:rsid w:val="007F75C0"/>
    <w:rsid w:val="007F75E7"/>
    <w:rsid w:val="007F7637"/>
    <w:rsid w:val="007F766A"/>
    <w:rsid w:val="007F76CC"/>
    <w:rsid w:val="007F76D9"/>
    <w:rsid w:val="007F76EB"/>
    <w:rsid w:val="007F7731"/>
    <w:rsid w:val="007F7795"/>
    <w:rsid w:val="007F7799"/>
    <w:rsid w:val="007F77A5"/>
    <w:rsid w:val="007F7834"/>
    <w:rsid w:val="007F7854"/>
    <w:rsid w:val="007F786A"/>
    <w:rsid w:val="007F787C"/>
    <w:rsid w:val="007F78B5"/>
    <w:rsid w:val="007F78C5"/>
    <w:rsid w:val="007F78FB"/>
    <w:rsid w:val="007F7937"/>
    <w:rsid w:val="007F7941"/>
    <w:rsid w:val="007F7966"/>
    <w:rsid w:val="007F79B4"/>
    <w:rsid w:val="007F79D4"/>
    <w:rsid w:val="007F79D7"/>
    <w:rsid w:val="007F7A93"/>
    <w:rsid w:val="007F7AAB"/>
    <w:rsid w:val="007F7AFB"/>
    <w:rsid w:val="007F7B08"/>
    <w:rsid w:val="007F7B1E"/>
    <w:rsid w:val="007F7B46"/>
    <w:rsid w:val="007F7B9B"/>
    <w:rsid w:val="007F7BA9"/>
    <w:rsid w:val="007F7BE2"/>
    <w:rsid w:val="007F7C0D"/>
    <w:rsid w:val="007F7C10"/>
    <w:rsid w:val="007F7C85"/>
    <w:rsid w:val="007F7C87"/>
    <w:rsid w:val="007F7D20"/>
    <w:rsid w:val="007F7D92"/>
    <w:rsid w:val="007F7DC2"/>
    <w:rsid w:val="007F7E4D"/>
    <w:rsid w:val="007F7E55"/>
    <w:rsid w:val="007F7E80"/>
    <w:rsid w:val="007F7ED5"/>
    <w:rsid w:val="007F7F20"/>
    <w:rsid w:val="007F7F39"/>
    <w:rsid w:val="007F7FDF"/>
    <w:rsid w:val="007F7FEB"/>
    <w:rsid w:val="007F819C"/>
    <w:rsid w:val="007FF5C1"/>
    <w:rsid w:val="0080003F"/>
    <w:rsid w:val="00800044"/>
    <w:rsid w:val="00800077"/>
    <w:rsid w:val="0080009B"/>
    <w:rsid w:val="008000D1"/>
    <w:rsid w:val="00800119"/>
    <w:rsid w:val="008001AA"/>
    <w:rsid w:val="00800236"/>
    <w:rsid w:val="0080023D"/>
    <w:rsid w:val="0080027E"/>
    <w:rsid w:val="00800289"/>
    <w:rsid w:val="0080029D"/>
    <w:rsid w:val="0080032C"/>
    <w:rsid w:val="00800350"/>
    <w:rsid w:val="0080036B"/>
    <w:rsid w:val="0080038E"/>
    <w:rsid w:val="008003E5"/>
    <w:rsid w:val="008004F0"/>
    <w:rsid w:val="00800511"/>
    <w:rsid w:val="00800556"/>
    <w:rsid w:val="00800561"/>
    <w:rsid w:val="008005B7"/>
    <w:rsid w:val="008005C9"/>
    <w:rsid w:val="00800689"/>
    <w:rsid w:val="0080068E"/>
    <w:rsid w:val="008006BB"/>
    <w:rsid w:val="008006EF"/>
    <w:rsid w:val="00800701"/>
    <w:rsid w:val="00800707"/>
    <w:rsid w:val="00800762"/>
    <w:rsid w:val="008007A9"/>
    <w:rsid w:val="008007B1"/>
    <w:rsid w:val="008007FB"/>
    <w:rsid w:val="0080080D"/>
    <w:rsid w:val="00800826"/>
    <w:rsid w:val="008008CF"/>
    <w:rsid w:val="00800934"/>
    <w:rsid w:val="008009B1"/>
    <w:rsid w:val="00800A20"/>
    <w:rsid w:val="00800A37"/>
    <w:rsid w:val="00800A59"/>
    <w:rsid w:val="00800AA5"/>
    <w:rsid w:val="00800AA8"/>
    <w:rsid w:val="00800AD4"/>
    <w:rsid w:val="00800AE7"/>
    <w:rsid w:val="00800B22"/>
    <w:rsid w:val="00800B89"/>
    <w:rsid w:val="00800BF2"/>
    <w:rsid w:val="00800C13"/>
    <w:rsid w:val="00800C89"/>
    <w:rsid w:val="00800CD2"/>
    <w:rsid w:val="00800D00"/>
    <w:rsid w:val="00800D07"/>
    <w:rsid w:val="00800D1F"/>
    <w:rsid w:val="00800D25"/>
    <w:rsid w:val="00800D26"/>
    <w:rsid w:val="00800D76"/>
    <w:rsid w:val="00800DAF"/>
    <w:rsid w:val="00800DD0"/>
    <w:rsid w:val="00800DE9"/>
    <w:rsid w:val="00800DF7"/>
    <w:rsid w:val="00800E28"/>
    <w:rsid w:val="00800E44"/>
    <w:rsid w:val="00800E86"/>
    <w:rsid w:val="00800E9F"/>
    <w:rsid w:val="00800EFD"/>
    <w:rsid w:val="00800F0D"/>
    <w:rsid w:val="00800F4E"/>
    <w:rsid w:val="00800F54"/>
    <w:rsid w:val="00800F6A"/>
    <w:rsid w:val="00800FB8"/>
    <w:rsid w:val="00801006"/>
    <w:rsid w:val="00801036"/>
    <w:rsid w:val="0080104F"/>
    <w:rsid w:val="0080106C"/>
    <w:rsid w:val="00801076"/>
    <w:rsid w:val="00801096"/>
    <w:rsid w:val="00801112"/>
    <w:rsid w:val="00801115"/>
    <w:rsid w:val="00801162"/>
    <w:rsid w:val="00801165"/>
    <w:rsid w:val="008011A0"/>
    <w:rsid w:val="008011AA"/>
    <w:rsid w:val="008011B5"/>
    <w:rsid w:val="008011CF"/>
    <w:rsid w:val="008011F1"/>
    <w:rsid w:val="0080120F"/>
    <w:rsid w:val="00801219"/>
    <w:rsid w:val="00801225"/>
    <w:rsid w:val="0080122C"/>
    <w:rsid w:val="00801247"/>
    <w:rsid w:val="00801254"/>
    <w:rsid w:val="00801265"/>
    <w:rsid w:val="0080128D"/>
    <w:rsid w:val="008012C6"/>
    <w:rsid w:val="00801326"/>
    <w:rsid w:val="00801344"/>
    <w:rsid w:val="00801345"/>
    <w:rsid w:val="008013AB"/>
    <w:rsid w:val="008013B3"/>
    <w:rsid w:val="008013BE"/>
    <w:rsid w:val="008013D7"/>
    <w:rsid w:val="008013E1"/>
    <w:rsid w:val="008013F2"/>
    <w:rsid w:val="00801429"/>
    <w:rsid w:val="00801457"/>
    <w:rsid w:val="008014A5"/>
    <w:rsid w:val="008014B6"/>
    <w:rsid w:val="008014DF"/>
    <w:rsid w:val="008014F9"/>
    <w:rsid w:val="00801594"/>
    <w:rsid w:val="008015A8"/>
    <w:rsid w:val="008015F1"/>
    <w:rsid w:val="00801606"/>
    <w:rsid w:val="00801614"/>
    <w:rsid w:val="0080161A"/>
    <w:rsid w:val="00801660"/>
    <w:rsid w:val="00801684"/>
    <w:rsid w:val="008016EB"/>
    <w:rsid w:val="0080170E"/>
    <w:rsid w:val="0080176B"/>
    <w:rsid w:val="008017C5"/>
    <w:rsid w:val="008017CF"/>
    <w:rsid w:val="00801854"/>
    <w:rsid w:val="008018A8"/>
    <w:rsid w:val="00801904"/>
    <w:rsid w:val="00801919"/>
    <w:rsid w:val="00801923"/>
    <w:rsid w:val="0080198D"/>
    <w:rsid w:val="008019A5"/>
    <w:rsid w:val="00801A13"/>
    <w:rsid w:val="00801A3D"/>
    <w:rsid w:val="00801A4F"/>
    <w:rsid w:val="00801AA0"/>
    <w:rsid w:val="00801AD1"/>
    <w:rsid w:val="00801AE4"/>
    <w:rsid w:val="00801B48"/>
    <w:rsid w:val="00801B95"/>
    <w:rsid w:val="00801BC5"/>
    <w:rsid w:val="00801BEC"/>
    <w:rsid w:val="00801C18"/>
    <w:rsid w:val="00801C8D"/>
    <w:rsid w:val="00801CE7"/>
    <w:rsid w:val="00801CFC"/>
    <w:rsid w:val="00801D0C"/>
    <w:rsid w:val="00801D58"/>
    <w:rsid w:val="00801DD2"/>
    <w:rsid w:val="00801DFA"/>
    <w:rsid w:val="00801E52"/>
    <w:rsid w:val="00801E65"/>
    <w:rsid w:val="00801E6F"/>
    <w:rsid w:val="00801EBF"/>
    <w:rsid w:val="00801ECE"/>
    <w:rsid w:val="00801ED1"/>
    <w:rsid w:val="00801EE2"/>
    <w:rsid w:val="00801F4A"/>
    <w:rsid w:val="00801F8E"/>
    <w:rsid w:val="00801F96"/>
    <w:rsid w:val="00801FB3"/>
    <w:rsid w:val="00801FC6"/>
    <w:rsid w:val="00801FFE"/>
    <w:rsid w:val="0080200F"/>
    <w:rsid w:val="00802042"/>
    <w:rsid w:val="0080204A"/>
    <w:rsid w:val="00802051"/>
    <w:rsid w:val="008020CE"/>
    <w:rsid w:val="008020F3"/>
    <w:rsid w:val="00802101"/>
    <w:rsid w:val="00802228"/>
    <w:rsid w:val="00802235"/>
    <w:rsid w:val="00802258"/>
    <w:rsid w:val="0080225D"/>
    <w:rsid w:val="00802275"/>
    <w:rsid w:val="00802302"/>
    <w:rsid w:val="00802317"/>
    <w:rsid w:val="0080231E"/>
    <w:rsid w:val="0080233D"/>
    <w:rsid w:val="008023D1"/>
    <w:rsid w:val="008023D8"/>
    <w:rsid w:val="00802409"/>
    <w:rsid w:val="0080240C"/>
    <w:rsid w:val="00802439"/>
    <w:rsid w:val="00802483"/>
    <w:rsid w:val="00802492"/>
    <w:rsid w:val="008024F0"/>
    <w:rsid w:val="00802509"/>
    <w:rsid w:val="00802514"/>
    <w:rsid w:val="0080253A"/>
    <w:rsid w:val="008025F4"/>
    <w:rsid w:val="00802618"/>
    <w:rsid w:val="00802690"/>
    <w:rsid w:val="00802694"/>
    <w:rsid w:val="00802696"/>
    <w:rsid w:val="00802713"/>
    <w:rsid w:val="0080275C"/>
    <w:rsid w:val="00802762"/>
    <w:rsid w:val="008027CB"/>
    <w:rsid w:val="008027FD"/>
    <w:rsid w:val="00802819"/>
    <w:rsid w:val="00802896"/>
    <w:rsid w:val="008028AD"/>
    <w:rsid w:val="00802906"/>
    <w:rsid w:val="0080291B"/>
    <w:rsid w:val="00802922"/>
    <w:rsid w:val="008029EC"/>
    <w:rsid w:val="00802A0B"/>
    <w:rsid w:val="00802A16"/>
    <w:rsid w:val="00802A3B"/>
    <w:rsid w:val="00802A81"/>
    <w:rsid w:val="00802A9D"/>
    <w:rsid w:val="00802AB6"/>
    <w:rsid w:val="00802ABF"/>
    <w:rsid w:val="00802AC2"/>
    <w:rsid w:val="00802B08"/>
    <w:rsid w:val="00802B0A"/>
    <w:rsid w:val="00802B19"/>
    <w:rsid w:val="00802B74"/>
    <w:rsid w:val="00802BD5"/>
    <w:rsid w:val="00802BDB"/>
    <w:rsid w:val="00802BFD"/>
    <w:rsid w:val="00802C02"/>
    <w:rsid w:val="00802C6D"/>
    <w:rsid w:val="00802C87"/>
    <w:rsid w:val="00802CB0"/>
    <w:rsid w:val="00802D05"/>
    <w:rsid w:val="00802D17"/>
    <w:rsid w:val="00802D1E"/>
    <w:rsid w:val="00802D31"/>
    <w:rsid w:val="00802D54"/>
    <w:rsid w:val="00802E2E"/>
    <w:rsid w:val="00802E45"/>
    <w:rsid w:val="00802E7B"/>
    <w:rsid w:val="00802EA2"/>
    <w:rsid w:val="00802F22"/>
    <w:rsid w:val="00802F57"/>
    <w:rsid w:val="00802F67"/>
    <w:rsid w:val="00802FEC"/>
    <w:rsid w:val="00803006"/>
    <w:rsid w:val="00803051"/>
    <w:rsid w:val="0080305C"/>
    <w:rsid w:val="008030E7"/>
    <w:rsid w:val="00803105"/>
    <w:rsid w:val="00803125"/>
    <w:rsid w:val="00803165"/>
    <w:rsid w:val="0080317B"/>
    <w:rsid w:val="0080319C"/>
    <w:rsid w:val="008031BC"/>
    <w:rsid w:val="00803204"/>
    <w:rsid w:val="0080325A"/>
    <w:rsid w:val="00803267"/>
    <w:rsid w:val="008032AB"/>
    <w:rsid w:val="008032DA"/>
    <w:rsid w:val="008032FB"/>
    <w:rsid w:val="00803324"/>
    <w:rsid w:val="00803406"/>
    <w:rsid w:val="00803411"/>
    <w:rsid w:val="00803419"/>
    <w:rsid w:val="00803447"/>
    <w:rsid w:val="0080344D"/>
    <w:rsid w:val="0080344F"/>
    <w:rsid w:val="0080346C"/>
    <w:rsid w:val="00803474"/>
    <w:rsid w:val="00803486"/>
    <w:rsid w:val="008034DB"/>
    <w:rsid w:val="008034DF"/>
    <w:rsid w:val="00803517"/>
    <w:rsid w:val="00803554"/>
    <w:rsid w:val="00803576"/>
    <w:rsid w:val="008035AF"/>
    <w:rsid w:val="008035C5"/>
    <w:rsid w:val="0080360E"/>
    <w:rsid w:val="00803631"/>
    <w:rsid w:val="00803707"/>
    <w:rsid w:val="00803724"/>
    <w:rsid w:val="00803777"/>
    <w:rsid w:val="008037C7"/>
    <w:rsid w:val="0080381C"/>
    <w:rsid w:val="00803820"/>
    <w:rsid w:val="00803839"/>
    <w:rsid w:val="00803866"/>
    <w:rsid w:val="00803869"/>
    <w:rsid w:val="0080387B"/>
    <w:rsid w:val="0080389F"/>
    <w:rsid w:val="00803915"/>
    <w:rsid w:val="00803925"/>
    <w:rsid w:val="0080393E"/>
    <w:rsid w:val="00803A37"/>
    <w:rsid w:val="00803A65"/>
    <w:rsid w:val="00803AB9"/>
    <w:rsid w:val="00803B49"/>
    <w:rsid w:val="00803B4F"/>
    <w:rsid w:val="00803B9F"/>
    <w:rsid w:val="00803BE2"/>
    <w:rsid w:val="00803CAF"/>
    <w:rsid w:val="00803CBD"/>
    <w:rsid w:val="00803CC1"/>
    <w:rsid w:val="00803CDB"/>
    <w:rsid w:val="00803CF0"/>
    <w:rsid w:val="00803DBC"/>
    <w:rsid w:val="00803E07"/>
    <w:rsid w:val="00803E2C"/>
    <w:rsid w:val="00803E65"/>
    <w:rsid w:val="00803EE7"/>
    <w:rsid w:val="00803EF6"/>
    <w:rsid w:val="00803FA4"/>
    <w:rsid w:val="00803FE3"/>
    <w:rsid w:val="00804086"/>
    <w:rsid w:val="0080408A"/>
    <w:rsid w:val="008040C7"/>
    <w:rsid w:val="00804108"/>
    <w:rsid w:val="00804124"/>
    <w:rsid w:val="00804261"/>
    <w:rsid w:val="00804294"/>
    <w:rsid w:val="008042DA"/>
    <w:rsid w:val="008042E2"/>
    <w:rsid w:val="008042FC"/>
    <w:rsid w:val="0080432F"/>
    <w:rsid w:val="00804333"/>
    <w:rsid w:val="00804342"/>
    <w:rsid w:val="0080438D"/>
    <w:rsid w:val="0080438E"/>
    <w:rsid w:val="008043D1"/>
    <w:rsid w:val="008043E5"/>
    <w:rsid w:val="00804433"/>
    <w:rsid w:val="0080446D"/>
    <w:rsid w:val="008044B6"/>
    <w:rsid w:val="008044C9"/>
    <w:rsid w:val="008044D0"/>
    <w:rsid w:val="008044E0"/>
    <w:rsid w:val="0080451D"/>
    <w:rsid w:val="00804531"/>
    <w:rsid w:val="0080459C"/>
    <w:rsid w:val="008045C6"/>
    <w:rsid w:val="008045CB"/>
    <w:rsid w:val="00804606"/>
    <w:rsid w:val="0080460C"/>
    <w:rsid w:val="0080462B"/>
    <w:rsid w:val="00804632"/>
    <w:rsid w:val="00804652"/>
    <w:rsid w:val="008046CC"/>
    <w:rsid w:val="008047E4"/>
    <w:rsid w:val="008047FE"/>
    <w:rsid w:val="00804820"/>
    <w:rsid w:val="00804825"/>
    <w:rsid w:val="0080483A"/>
    <w:rsid w:val="0080483D"/>
    <w:rsid w:val="00804853"/>
    <w:rsid w:val="008048C5"/>
    <w:rsid w:val="008048C9"/>
    <w:rsid w:val="008048E0"/>
    <w:rsid w:val="008048EA"/>
    <w:rsid w:val="00804921"/>
    <w:rsid w:val="008049CE"/>
    <w:rsid w:val="00804A0C"/>
    <w:rsid w:val="00804A38"/>
    <w:rsid w:val="00804A4B"/>
    <w:rsid w:val="00804A4C"/>
    <w:rsid w:val="00804A5E"/>
    <w:rsid w:val="00804A74"/>
    <w:rsid w:val="00804A79"/>
    <w:rsid w:val="00804A91"/>
    <w:rsid w:val="00804ABD"/>
    <w:rsid w:val="00804B70"/>
    <w:rsid w:val="00804B8C"/>
    <w:rsid w:val="00804B96"/>
    <w:rsid w:val="00804B9A"/>
    <w:rsid w:val="00804B9B"/>
    <w:rsid w:val="00804BA8"/>
    <w:rsid w:val="00804BAA"/>
    <w:rsid w:val="00804C0F"/>
    <w:rsid w:val="00804C57"/>
    <w:rsid w:val="00804C5E"/>
    <w:rsid w:val="00804C68"/>
    <w:rsid w:val="00804C8C"/>
    <w:rsid w:val="00804C9A"/>
    <w:rsid w:val="00804CA9"/>
    <w:rsid w:val="00804CB7"/>
    <w:rsid w:val="00804D1C"/>
    <w:rsid w:val="00804D32"/>
    <w:rsid w:val="00804DDA"/>
    <w:rsid w:val="00804DF8"/>
    <w:rsid w:val="00804E03"/>
    <w:rsid w:val="00804E28"/>
    <w:rsid w:val="00804E71"/>
    <w:rsid w:val="00804EC1"/>
    <w:rsid w:val="00804ECC"/>
    <w:rsid w:val="00804EFA"/>
    <w:rsid w:val="00804F61"/>
    <w:rsid w:val="00804F90"/>
    <w:rsid w:val="00804FBA"/>
    <w:rsid w:val="00804FBE"/>
    <w:rsid w:val="00805093"/>
    <w:rsid w:val="00805123"/>
    <w:rsid w:val="008051EA"/>
    <w:rsid w:val="00805272"/>
    <w:rsid w:val="0080528B"/>
    <w:rsid w:val="008052EA"/>
    <w:rsid w:val="00805348"/>
    <w:rsid w:val="00805397"/>
    <w:rsid w:val="008053D5"/>
    <w:rsid w:val="008053FC"/>
    <w:rsid w:val="00805425"/>
    <w:rsid w:val="0080545C"/>
    <w:rsid w:val="00805467"/>
    <w:rsid w:val="00805471"/>
    <w:rsid w:val="00805481"/>
    <w:rsid w:val="00805521"/>
    <w:rsid w:val="0080555B"/>
    <w:rsid w:val="0080559D"/>
    <w:rsid w:val="008055C4"/>
    <w:rsid w:val="008055C7"/>
    <w:rsid w:val="00805634"/>
    <w:rsid w:val="00805647"/>
    <w:rsid w:val="008056D9"/>
    <w:rsid w:val="008056E6"/>
    <w:rsid w:val="0080573B"/>
    <w:rsid w:val="0080574A"/>
    <w:rsid w:val="00805792"/>
    <w:rsid w:val="00805799"/>
    <w:rsid w:val="0080584F"/>
    <w:rsid w:val="00805891"/>
    <w:rsid w:val="008058F0"/>
    <w:rsid w:val="0080591C"/>
    <w:rsid w:val="00805932"/>
    <w:rsid w:val="00805968"/>
    <w:rsid w:val="00805972"/>
    <w:rsid w:val="0080598C"/>
    <w:rsid w:val="008059B7"/>
    <w:rsid w:val="00805A83"/>
    <w:rsid w:val="00805ADB"/>
    <w:rsid w:val="00805B24"/>
    <w:rsid w:val="00805B94"/>
    <w:rsid w:val="00805B9D"/>
    <w:rsid w:val="00805BA0"/>
    <w:rsid w:val="00805BDB"/>
    <w:rsid w:val="00805BDC"/>
    <w:rsid w:val="00805BE7"/>
    <w:rsid w:val="00805C23"/>
    <w:rsid w:val="00805C5A"/>
    <w:rsid w:val="00805C5B"/>
    <w:rsid w:val="00805C6E"/>
    <w:rsid w:val="00805C78"/>
    <w:rsid w:val="00805CB2"/>
    <w:rsid w:val="00805CB8"/>
    <w:rsid w:val="00805D26"/>
    <w:rsid w:val="00805D73"/>
    <w:rsid w:val="00805D74"/>
    <w:rsid w:val="00805DB4"/>
    <w:rsid w:val="00805DBA"/>
    <w:rsid w:val="00805DFD"/>
    <w:rsid w:val="00805F60"/>
    <w:rsid w:val="00805F8F"/>
    <w:rsid w:val="00805FA7"/>
    <w:rsid w:val="00805FC5"/>
    <w:rsid w:val="00805FEF"/>
    <w:rsid w:val="00805FFF"/>
    <w:rsid w:val="008060BE"/>
    <w:rsid w:val="008060C8"/>
    <w:rsid w:val="008060E2"/>
    <w:rsid w:val="00806151"/>
    <w:rsid w:val="0080615C"/>
    <w:rsid w:val="0080615D"/>
    <w:rsid w:val="008061BF"/>
    <w:rsid w:val="008061D3"/>
    <w:rsid w:val="008061F1"/>
    <w:rsid w:val="00806231"/>
    <w:rsid w:val="0080628D"/>
    <w:rsid w:val="00806302"/>
    <w:rsid w:val="00806337"/>
    <w:rsid w:val="0080634E"/>
    <w:rsid w:val="00806375"/>
    <w:rsid w:val="008063B4"/>
    <w:rsid w:val="008063B5"/>
    <w:rsid w:val="008063E2"/>
    <w:rsid w:val="0080641B"/>
    <w:rsid w:val="008064A7"/>
    <w:rsid w:val="008064E4"/>
    <w:rsid w:val="0080653F"/>
    <w:rsid w:val="00806551"/>
    <w:rsid w:val="00806565"/>
    <w:rsid w:val="0080656F"/>
    <w:rsid w:val="00806583"/>
    <w:rsid w:val="008065B7"/>
    <w:rsid w:val="00806608"/>
    <w:rsid w:val="0080663D"/>
    <w:rsid w:val="00806660"/>
    <w:rsid w:val="00806694"/>
    <w:rsid w:val="0080669A"/>
    <w:rsid w:val="008066BA"/>
    <w:rsid w:val="00806725"/>
    <w:rsid w:val="0080672D"/>
    <w:rsid w:val="00806742"/>
    <w:rsid w:val="008067D9"/>
    <w:rsid w:val="008067F1"/>
    <w:rsid w:val="008067F7"/>
    <w:rsid w:val="00806804"/>
    <w:rsid w:val="0080681A"/>
    <w:rsid w:val="0080684B"/>
    <w:rsid w:val="00806876"/>
    <w:rsid w:val="008068C3"/>
    <w:rsid w:val="008068CC"/>
    <w:rsid w:val="00806922"/>
    <w:rsid w:val="0080694D"/>
    <w:rsid w:val="00806993"/>
    <w:rsid w:val="008069A1"/>
    <w:rsid w:val="008069D8"/>
    <w:rsid w:val="00806A64"/>
    <w:rsid w:val="00806A76"/>
    <w:rsid w:val="00806A7F"/>
    <w:rsid w:val="00806A8C"/>
    <w:rsid w:val="00806ABB"/>
    <w:rsid w:val="00806AF9"/>
    <w:rsid w:val="00806B02"/>
    <w:rsid w:val="00806B0E"/>
    <w:rsid w:val="00806B6C"/>
    <w:rsid w:val="00806B7D"/>
    <w:rsid w:val="00806BAD"/>
    <w:rsid w:val="00806BB4"/>
    <w:rsid w:val="00806BF0"/>
    <w:rsid w:val="00806C93"/>
    <w:rsid w:val="00806CA9"/>
    <w:rsid w:val="00806D21"/>
    <w:rsid w:val="00806D4D"/>
    <w:rsid w:val="00806D94"/>
    <w:rsid w:val="00806DB6"/>
    <w:rsid w:val="00806DDD"/>
    <w:rsid w:val="00806DED"/>
    <w:rsid w:val="00806E35"/>
    <w:rsid w:val="00806EF7"/>
    <w:rsid w:val="00806F30"/>
    <w:rsid w:val="00806F34"/>
    <w:rsid w:val="00806F35"/>
    <w:rsid w:val="00806FA0"/>
    <w:rsid w:val="00806FF2"/>
    <w:rsid w:val="00807003"/>
    <w:rsid w:val="00807007"/>
    <w:rsid w:val="0080701B"/>
    <w:rsid w:val="0080701F"/>
    <w:rsid w:val="00807023"/>
    <w:rsid w:val="0080702F"/>
    <w:rsid w:val="00807045"/>
    <w:rsid w:val="00807076"/>
    <w:rsid w:val="00807097"/>
    <w:rsid w:val="0080709F"/>
    <w:rsid w:val="0080711F"/>
    <w:rsid w:val="00807139"/>
    <w:rsid w:val="00807175"/>
    <w:rsid w:val="008071BB"/>
    <w:rsid w:val="008071ED"/>
    <w:rsid w:val="00807205"/>
    <w:rsid w:val="0080722E"/>
    <w:rsid w:val="008072B7"/>
    <w:rsid w:val="008072B8"/>
    <w:rsid w:val="008073B2"/>
    <w:rsid w:val="008073DC"/>
    <w:rsid w:val="0080744E"/>
    <w:rsid w:val="00807462"/>
    <w:rsid w:val="008074CD"/>
    <w:rsid w:val="008074FF"/>
    <w:rsid w:val="00807549"/>
    <w:rsid w:val="00807579"/>
    <w:rsid w:val="008075EC"/>
    <w:rsid w:val="00807606"/>
    <w:rsid w:val="00807619"/>
    <w:rsid w:val="00807690"/>
    <w:rsid w:val="008076A0"/>
    <w:rsid w:val="008076DB"/>
    <w:rsid w:val="00807712"/>
    <w:rsid w:val="0080771A"/>
    <w:rsid w:val="00807749"/>
    <w:rsid w:val="00807838"/>
    <w:rsid w:val="00807839"/>
    <w:rsid w:val="00807871"/>
    <w:rsid w:val="00807873"/>
    <w:rsid w:val="0080787E"/>
    <w:rsid w:val="00807899"/>
    <w:rsid w:val="0080789C"/>
    <w:rsid w:val="008078AA"/>
    <w:rsid w:val="008078EB"/>
    <w:rsid w:val="0080794B"/>
    <w:rsid w:val="008079EA"/>
    <w:rsid w:val="008079EC"/>
    <w:rsid w:val="00807A03"/>
    <w:rsid w:val="00807A75"/>
    <w:rsid w:val="00807A79"/>
    <w:rsid w:val="00807A7F"/>
    <w:rsid w:val="00807A86"/>
    <w:rsid w:val="00807AA4"/>
    <w:rsid w:val="00807B7D"/>
    <w:rsid w:val="00807BB1"/>
    <w:rsid w:val="00807C22"/>
    <w:rsid w:val="00807C25"/>
    <w:rsid w:val="00807C88"/>
    <w:rsid w:val="00807CBB"/>
    <w:rsid w:val="00807CBD"/>
    <w:rsid w:val="00807CFB"/>
    <w:rsid w:val="00807D2C"/>
    <w:rsid w:val="00807DAA"/>
    <w:rsid w:val="00807DF7"/>
    <w:rsid w:val="00807E09"/>
    <w:rsid w:val="00807E35"/>
    <w:rsid w:val="00807E39"/>
    <w:rsid w:val="00807E9D"/>
    <w:rsid w:val="00807EA3"/>
    <w:rsid w:val="00807EDD"/>
    <w:rsid w:val="00807F30"/>
    <w:rsid w:val="00807F39"/>
    <w:rsid w:val="00807F48"/>
    <w:rsid w:val="00807F4E"/>
    <w:rsid w:val="00807F4F"/>
    <w:rsid w:val="00807FCD"/>
    <w:rsid w:val="0081000B"/>
    <w:rsid w:val="00810070"/>
    <w:rsid w:val="00810087"/>
    <w:rsid w:val="00810166"/>
    <w:rsid w:val="0081016D"/>
    <w:rsid w:val="0081019A"/>
    <w:rsid w:val="008101AC"/>
    <w:rsid w:val="008101F9"/>
    <w:rsid w:val="0081022E"/>
    <w:rsid w:val="00810255"/>
    <w:rsid w:val="00810271"/>
    <w:rsid w:val="008102AA"/>
    <w:rsid w:val="008102B1"/>
    <w:rsid w:val="008102CB"/>
    <w:rsid w:val="00810364"/>
    <w:rsid w:val="008103CD"/>
    <w:rsid w:val="00810439"/>
    <w:rsid w:val="008104BD"/>
    <w:rsid w:val="008104C9"/>
    <w:rsid w:val="008104E1"/>
    <w:rsid w:val="0081051F"/>
    <w:rsid w:val="0081055D"/>
    <w:rsid w:val="008105AE"/>
    <w:rsid w:val="008105CD"/>
    <w:rsid w:val="008105F2"/>
    <w:rsid w:val="0081062F"/>
    <w:rsid w:val="0081064D"/>
    <w:rsid w:val="008106E7"/>
    <w:rsid w:val="0081070C"/>
    <w:rsid w:val="0081073A"/>
    <w:rsid w:val="00810744"/>
    <w:rsid w:val="0081074D"/>
    <w:rsid w:val="00810765"/>
    <w:rsid w:val="00810788"/>
    <w:rsid w:val="00810792"/>
    <w:rsid w:val="0081079F"/>
    <w:rsid w:val="008107C4"/>
    <w:rsid w:val="008107D3"/>
    <w:rsid w:val="008107D4"/>
    <w:rsid w:val="008107E1"/>
    <w:rsid w:val="008107EC"/>
    <w:rsid w:val="00810805"/>
    <w:rsid w:val="0081080D"/>
    <w:rsid w:val="00810811"/>
    <w:rsid w:val="00810837"/>
    <w:rsid w:val="00810863"/>
    <w:rsid w:val="00810875"/>
    <w:rsid w:val="00810877"/>
    <w:rsid w:val="0081088A"/>
    <w:rsid w:val="00810897"/>
    <w:rsid w:val="008108A7"/>
    <w:rsid w:val="00810915"/>
    <w:rsid w:val="00810989"/>
    <w:rsid w:val="008109A6"/>
    <w:rsid w:val="00810A17"/>
    <w:rsid w:val="00810A1A"/>
    <w:rsid w:val="00810A62"/>
    <w:rsid w:val="00810A66"/>
    <w:rsid w:val="00810A6C"/>
    <w:rsid w:val="00810AB8"/>
    <w:rsid w:val="00810AFB"/>
    <w:rsid w:val="00810B8A"/>
    <w:rsid w:val="00810BA8"/>
    <w:rsid w:val="00810C3D"/>
    <w:rsid w:val="00810CF2"/>
    <w:rsid w:val="00810D49"/>
    <w:rsid w:val="00810D68"/>
    <w:rsid w:val="00810D91"/>
    <w:rsid w:val="00810DDC"/>
    <w:rsid w:val="00810DE2"/>
    <w:rsid w:val="00810E09"/>
    <w:rsid w:val="00810E6B"/>
    <w:rsid w:val="00810E88"/>
    <w:rsid w:val="00810EF8"/>
    <w:rsid w:val="00810F0A"/>
    <w:rsid w:val="00810F5A"/>
    <w:rsid w:val="00810F61"/>
    <w:rsid w:val="00810FBE"/>
    <w:rsid w:val="0081101C"/>
    <w:rsid w:val="0081102C"/>
    <w:rsid w:val="00811042"/>
    <w:rsid w:val="00811092"/>
    <w:rsid w:val="008110B0"/>
    <w:rsid w:val="0081119B"/>
    <w:rsid w:val="008111A1"/>
    <w:rsid w:val="008111F8"/>
    <w:rsid w:val="00811299"/>
    <w:rsid w:val="008112B7"/>
    <w:rsid w:val="00811335"/>
    <w:rsid w:val="0081134E"/>
    <w:rsid w:val="0081138B"/>
    <w:rsid w:val="0081139D"/>
    <w:rsid w:val="00811465"/>
    <w:rsid w:val="0081149C"/>
    <w:rsid w:val="008114EE"/>
    <w:rsid w:val="0081151F"/>
    <w:rsid w:val="00811579"/>
    <w:rsid w:val="00811582"/>
    <w:rsid w:val="008115D1"/>
    <w:rsid w:val="008115F6"/>
    <w:rsid w:val="0081163D"/>
    <w:rsid w:val="00811669"/>
    <w:rsid w:val="008116B3"/>
    <w:rsid w:val="008116D9"/>
    <w:rsid w:val="00811724"/>
    <w:rsid w:val="00811762"/>
    <w:rsid w:val="0081178B"/>
    <w:rsid w:val="008117F8"/>
    <w:rsid w:val="00811812"/>
    <w:rsid w:val="0081182B"/>
    <w:rsid w:val="0081187F"/>
    <w:rsid w:val="0081189C"/>
    <w:rsid w:val="008118E0"/>
    <w:rsid w:val="008118E3"/>
    <w:rsid w:val="0081190D"/>
    <w:rsid w:val="008119AC"/>
    <w:rsid w:val="008119DC"/>
    <w:rsid w:val="00811A25"/>
    <w:rsid w:val="00811A37"/>
    <w:rsid w:val="00811A3E"/>
    <w:rsid w:val="00811A5C"/>
    <w:rsid w:val="00811AB9"/>
    <w:rsid w:val="00811AE6"/>
    <w:rsid w:val="00811B0F"/>
    <w:rsid w:val="00811B95"/>
    <w:rsid w:val="00811BC2"/>
    <w:rsid w:val="00811BF0"/>
    <w:rsid w:val="00811C24"/>
    <w:rsid w:val="00811C9B"/>
    <w:rsid w:val="00811CC2"/>
    <w:rsid w:val="00811CD6"/>
    <w:rsid w:val="00811D41"/>
    <w:rsid w:val="00811D49"/>
    <w:rsid w:val="00811E0E"/>
    <w:rsid w:val="00811E57"/>
    <w:rsid w:val="00811E66"/>
    <w:rsid w:val="00811E72"/>
    <w:rsid w:val="00811EA0"/>
    <w:rsid w:val="00811EAC"/>
    <w:rsid w:val="00811F4E"/>
    <w:rsid w:val="00811F67"/>
    <w:rsid w:val="00811F78"/>
    <w:rsid w:val="00811F98"/>
    <w:rsid w:val="00811FE4"/>
    <w:rsid w:val="0081201A"/>
    <w:rsid w:val="00812020"/>
    <w:rsid w:val="008120A7"/>
    <w:rsid w:val="008120BF"/>
    <w:rsid w:val="0081210F"/>
    <w:rsid w:val="00812186"/>
    <w:rsid w:val="008121B8"/>
    <w:rsid w:val="008121DA"/>
    <w:rsid w:val="0081223C"/>
    <w:rsid w:val="0081225B"/>
    <w:rsid w:val="00812273"/>
    <w:rsid w:val="00812280"/>
    <w:rsid w:val="00812282"/>
    <w:rsid w:val="008122B9"/>
    <w:rsid w:val="00812323"/>
    <w:rsid w:val="008123A8"/>
    <w:rsid w:val="00812437"/>
    <w:rsid w:val="00812443"/>
    <w:rsid w:val="0081246A"/>
    <w:rsid w:val="008124C2"/>
    <w:rsid w:val="008124E4"/>
    <w:rsid w:val="00812510"/>
    <w:rsid w:val="00812578"/>
    <w:rsid w:val="008125CE"/>
    <w:rsid w:val="008125E5"/>
    <w:rsid w:val="008125FE"/>
    <w:rsid w:val="00812619"/>
    <w:rsid w:val="00812646"/>
    <w:rsid w:val="00812669"/>
    <w:rsid w:val="008126A7"/>
    <w:rsid w:val="008126AB"/>
    <w:rsid w:val="008126C4"/>
    <w:rsid w:val="00812708"/>
    <w:rsid w:val="00812714"/>
    <w:rsid w:val="008127A1"/>
    <w:rsid w:val="00812839"/>
    <w:rsid w:val="008128B9"/>
    <w:rsid w:val="008128FC"/>
    <w:rsid w:val="0081291B"/>
    <w:rsid w:val="0081292B"/>
    <w:rsid w:val="00812936"/>
    <w:rsid w:val="00812A0F"/>
    <w:rsid w:val="00812A30"/>
    <w:rsid w:val="00812A6D"/>
    <w:rsid w:val="00812ADD"/>
    <w:rsid w:val="00812AFF"/>
    <w:rsid w:val="00812B23"/>
    <w:rsid w:val="00812B43"/>
    <w:rsid w:val="00812B5D"/>
    <w:rsid w:val="00812BC7"/>
    <w:rsid w:val="00812C13"/>
    <w:rsid w:val="00812C38"/>
    <w:rsid w:val="00812C61"/>
    <w:rsid w:val="00812CA1"/>
    <w:rsid w:val="00812D4A"/>
    <w:rsid w:val="00812D69"/>
    <w:rsid w:val="00812DA6"/>
    <w:rsid w:val="00812DF5"/>
    <w:rsid w:val="00812E47"/>
    <w:rsid w:val="00812E8F"/>
    <w:rsid w:val="00812EE4"/>
    <w:rsid w:val="00812F7A"/>
    <w:rsid w:val="00813031"/>
    <w:rsid w:val="00813090"/>
    <w:rsid w:val="0081311D"/>
    <w:rsid w:val="00813159"/>
    <w:rsid w:val="0081316E"/>
    <w:rsid w:val="0081318F"/>
    <w:rsid w:val="00813192"/>
    <w:rsid w:val="008131D1"/>
    <w:rsid w:val="008131D4"/>
    <w:rsid w:val="00813202"/>
    <w:rsid w:val="00813223"/>
    <w:rsid w:val="0081322F"/>
    <w:rsid w:val="00813261"/>
    <w:rsid w:val="0081329D"/>
    <w:rsid w:val="0081329F"/>
    <w:rsid w:val="00813344"/>
    <w:rsid w:val="0081335E"/>
    <w:rsid w:val="0081337A"/>
    <w:rsid w:val="008133B0"/>
    <w:rsid w:val="008133C2"/>
    <w:rsid w:val="008133EF"/>
    <w:rsid w:val="0081345D"/>
    <w:rsid w:val="0081346D"/>
    <w:rsid w:val="0081348D"/>
    <w:rsid w:val="0081359D"/>
    <w:rsid w:val="0081360F"/>
    <w:rsid w:val="00813620"/>
    <w:rsid w:val="00813662"/>
    <w:rsid w:val="00813699"/>
    <w:rsid w:val="008136B3"/>
    <w:rsid w:val="0081370D"/>
    <w:rsid w:val="0081370F"/>
    <w:rsid w:val="00813781"/>
    <w:rsid w:val="00813783"/>
    <w:rsid w:val="00813831"/>
    <w:rsid w:val="00813857"/>
    <w:rsid w:val="00813862"/>
    <w:rsid w:val="008138BF"/>
    <w:rsid w:val="008138CB"/>
    <w:rsid w:val="008138ED"/>
    <w:rsid w:val="008138F6"/>
    <w:rsid w:val="0081390B"/>
    <w:rsid w:val="00813943"/>
    <w:rsid w:val="00813970"/>
    <w:rsid w:val="008139C3"/>
    <w:rsid w:val="008139D5"/>
    <w:rsid w:val="00813A98"/>
    <w:rsid w:val="00813AB6"/>
    <w:rsid w:val="00813AB8"/>
    <w:rsid w:val="00813AB9"/>
    <w:rsid w:val="00813ACD"/>
    <w:rsid w:val="00813B24"/>
    <w:rsid w:val="00813B9B"/>
    <w:rsid w:val="00813BA1"/>
    <w:rsid w:val="00813BB6"/>
    <w:rsid w:val="00813BE7"/>
    <w:rsid w:val="00813BEE"/>
    <w:rsid w:val="00813C29"/>
    <w:rsid w:val="00813C43"/>
    <w:rsid w:val="00813C6F"/>
    <w:rsid w:val="00813CC0"/>
    <w:rsid w:val="00813CE0"/>
    <w:rsid w:val="00813D46"/>
    <w:rsid w:val="00813D6E"/>
    <w:rsid w:val="00813D9D"/>
    <w:rsid w:val="00813DFE"/>
    <w:rsid w:val="00813E3D"/>
    <w:rsid w:val="00813E58"/>
    <w:rsid w:val="00813E84"/>
    <w:rsid w:val="00813E92"/>
    <w:rsid w:val="00813EC6"/>
    <w:rsid w:val="00813F1C"/>
    <w:rsid w:val="00813F35"/>
    <w:rsid w:val="00813F37"/>
    <w:rsid w:val="00813F41"/>
    <w:rsid w:val="00813F79"/>
    <w:rsid w:val="00813FD5"/>
    <w:rsid w:val="00813FFC"/>
    <w:rsid w:val="0081403C"/>
    <w:rsid w:val="00814046"/>
    <w:rsid w:val="00814076"/>
    <w:rsid w:val="00814085"/>
    <w:rsid w:val="008140DB"/>
    <w:rsid w:val="00814115"/>
    <w:rsid w:val="00814133"/>
    <w:rsid w:val="0081416D"/>
    <w:rsid w:val="0081418F"/>
    <w:rsid w:val="008141A3"/>
    <w:rsid w:val="008141C9"/>
    <w:rsid w:val="008141E3"/>
    <w:rsid w:val="00814205"/>
    <w:rsid w:val="00814244"/>
    <w:rsid w:val="00814248"/>
    <w:rsid w:val="008142AC"/>
    <w:rsid w:val="008142E5"/>
    <w:rsid w:val="00814302"/>
    <w:rsid w:val="00814340"/>
    <w:rsid w:val="0081439F"/>
    <w:rsid w:val="008143BE"/>
    <w:rsid w:val="00814421"/>
    <w:rsid w:val="00814453"/>
    <w:rsid w:val="008144C4"/>
    <w:rsid w:val="008144E9"/>
    <w:rsid w:val="0081450E"/>
    <w:rsid w:val="00814548"/>
    <w:rsid w:val="00814562"/>
    <w:rsid w:val="00814610"/>
    <w:rsid w:val="0081463B"/>
    <w:rsid w:val="00814682"/>
    <w:rsid w:val="008146E7"/>
    <w:rsid w:val="008146F8"/>
    <w:rsid w:val="00814731"/>
    <w:rsid w:val="00814748"/>
    <w:rsid w:val="00814772"/>
    <w:rsid w:val="008147BE"/>
    <w:rsid w:val="008147CF"/>
    <w:rsid w:val="008147F5"/>
    <w:rsid w:val="008147F7"/>
    <w:rsid w:val="00814822"/>
    <w:rsid w:val="00814876"/>
    <w:rsid w:val="0081488C"/>
    <w:rsid w:val="0081489C"/>
    <w:rsid w:val="008148B6"/>
    <w:rsid w:val="008148D3"/>
    <w:rsid w:val="008148DB"/>
    <w:rsid w:val="00814902"/>
    <w:rsid w:val="0081490D"/>
    <w:rsid w:val="00814946"/>
    <w:rsid w:val="0081498E"/>
    <w:rsid w:val="008149A3"/>
    <w:rsid w:val="00814A63"/>
    <w:rsid w:val="00814A67"/>
    <w:rsid w:val="00814AD7"/>
    <w:rsid w:val="00814AFC"/>
    <w:rsid w:val="00814B14"/>
    <w:rsid w:val="00814B44"/>
    <w:rsid w:val="00814B4A"/>
    <w:rsid w:val="00814B70"/>
    <w:rsid w:val="00814B82"/>
    <w:rsid w:val="00814BEB"/>
    <w:rsid w:val="00814C0F"/>
    <w:rsid w:val="00814C26"/>
    <w:rsid w:val="00814C47"/>
    <w:rsid w:val="00814CC4"/>
    <w:rsid w:val="00814CC6"/>
    <w:rsid w:val="00814CFE"/>
    <w:rsid w:val="00814D0B"/>
    <w:rsid w:val="00814D2E"/>
    <w:rsid w:val="00814D32"/>
    <w:rsid w:val="00814D65"/>
    <w:rsid w:val="00814D75"/>
    <w:rsid w:val="00814DA8"/>
    <w:rsid w:val="00814DAF"/>
    <w:rsid w:val="00814DB9"/>
    <w:rsid w:val="00814E3E"/>
    <w:rsid w:val="00814E70"/>
    <w:rsid w:val="00814F31"/>
    <w:rsid w:val="00814F9F"/>
    <w:rsid w:val="00814FA5"/>
    <w:rsid w:val="00814FCF"/>
    <w:rsid w:val="00814FDB"/>
    <w:rsid w:val="00814FFD"/>
    <w:rsid w:val="0081505B"/>
    <w:rsid w:val="008150AD"/>
    <w:rsid w:val="008150D2"/>
    <w:rsid w:val="008150DD"/>
    <w:rsid w:val="0081512F"/>
    <w:rsid w:val="00815165"/>
    <w:rsid w:val="008151CC"/>
    <w:rsid w:val="008151CE"/>
    <w:rsid w:val="00815236"/>
    <w:rsid w:val="0081523C"/>
    <w:rsid w:val="0081527B"/>
    <w:rsid w:val="00815283"/>
    <w:rsid w:val="008152DE"/>
    <w:rsid w:val="00815316"/>
    <w:rsid w:val="0081531C"/>
    <w:rsid w:val="008153D0"/>
    <w:rsid w:val="00815411"/>
    <w:rsid w:val="00815468"/>
    <w:rsid w:val="008154B0"/>
    <w:rsid w:val="008154B5"/>
    <w:rsid w:val="008154F7"/>
    <w:rsid w:val="00815524"/>
    <w:rsid w:val="00815531"/>
    <w:rsid w:val="008155C6"/>
    <w:rsid w:val="00815668"/>
    <w:rsid w:val="008156EE"/>
    <w:rsid w:val="0081571D"/>
    <w:rsid w:val="00815784"/>
    <w:rsid w:val="008157DA"/>
    <w:rsid w:val="008157FC"/>
    <w:rsid w:val="00815903"/>
    <w:rsid w:val="00815919"/>
    <w:rsid w:val="0081592D"/>
    <w:rsid w:val="00815A97"/>
    <w:rsid w:val="00815A9C"/>
    <w:rsid w:val="00815B08"/>
    <w:rsid w:val="00815B2D"/>
    <w:rsid w:val="00815B5D"/>
    <w:rsid w:val="00815B61"/>
    <w:rsid w:val="00815B63"/>
    <w:rsid w:val="00815B7C"/>
    <w:rsid w:val="00815B99"/>
    <w:rsid w:val="00815BA4"/>
    <w:rsid w:val="00815BC0"/>
    <w:rsid w:val="00815BE5"/>
    <w:rsid w:val="00815C2E"/>
    <w:rsid w:val="00815C44"/>
    <w:rsid w:val="00815C4F"/>
    <w:rsid w:val="00815C61"/>
    <w:rsid w:val="00815C88"/>
    <w:rsid w:val="00815CA2"/>
    <w:rsid w:val="00815CA6"/>
    <w:rsid w:val="00815CC7"/>
    <w:rsid w:val="00815CE6"/>
    <w:rsid w:val="00815CF2"/>
    <w:rsid w:val="00815CF4"/>
    <w:rsid w:val="00815CF5"/>
    <w:rsid w:val="00815D50"/>
    <w:rsid w:val="00815E3B"/>
    <w:rsid w:val="00815E67"/>
    <w:rsid w:val="00815E86"/>
    <w:rsid w:val="00815EA6"/>
    <w:rsid w:val="00815EB2"/>
    <w:rsid w:val="00815EBF"/>
    <w:rsid w:val="00815F46"/>
    <w:rsid w:val="00815FBE"/>
    <w:rsid w:val="00815FC6"/>
    <w:rsid w:val="00815FD0"/>
    <w:rsid w:val="0081601A"/>
    <w:rsid w:val="00816045"/>
    <w:rsid w:val="00816069"/>
    <w:rsid w:val="008160BB"/>
    <w:rsid w:val="00816117"/>
    <w:rsid w:val="0081614E"/>
    <w:rsid w:val="008161D9"/>
    <w:rsid w:val="008161DC"/>
    <w:rsid w:val="008161E6"/>
    <w:rsid w:val="008161F4"/>
    <w:rsid w:val="008161F7"/>
    <w:rsid w:val="00816276"/>
    <w:rsid w:val="008162B2"/>
    <w:rsid w:val="008162B7"/>
    <w:rsid w:val="00816385"/>
    <w:rsid w:val="0081639F"/>
    <w:rsid w:val="008163D6"/>
    <w:rsid w:val="008163E0"/>
    <w:rsid w:val="00816423"/>
    <w:rsid w:val="0081645E"/>
    <w:rsid w:val="008164BA"/>
    <w:rsid w:val="00816521"/>
    <w:rsid w:val="00816556"/>
    <w:rsid w:val="008165BB"/>
    <w:rsid w:val="008165C1"/>
    <w:rsid w:val="008165E0"/>
    <w:rsid w:val="008165F0"/>
    <w:rsid w:val="00816613"/>
    <w:rsid w:val="0081665D"/>
    <w:rsid w:val="00816687"/>
    <w:rsid w:val="008166B3"/>
    <w:rsid w:val="00816796"/>
    <w:rsid w:val="008167FD"/>
    <w:rsid w:val="00816831"/>
    <w:rsid w:val="00816856"/>
    <w:rsid w:val="0081687D"/>
    <w:rsid w:val="0081688D"/>
    <w:rsid w:val="008168B9"/>
    <w:rsid w:val="008168CB"/>
    <w:rsid w:val="008168DE"/>
    <w:rsid w:val="008168FD"/>
    <w:rsid w:val="00816902"/>
    <w:rsid w:val="00816907"/>
    <w:rsid w:val="00816909"/>
    <w:rsid w:val="00816925"/>
    <w:rsid w:val="00816930"/>
    <w:rsid w:val="00816945"/>
    <w:rsid w:val="00816978"/>
    <w:rsid w:val="008169E3"/>
    <w:rsid w:val="00816A13"/>
    <w:rsid w:val="00816A5A"/>
    <w:rsid w:val="00816A71"/>
    <w:rsid w:val="00816A84"/>
    <w:rsid w:val="00816AA8"/>
    <w:rsid w:val="00816B24"/>
    <w:rsid w:val="00816B34"/>
    <w:rsid w:val="00816B6C"/>
    <w:rsid w:val="00816BAB"/>
    <w:rsid w:val="00816BC5"/>
    <w:rsid w:val="00816BD9"/>
    <w:rsid w:val="00816CB0"/>
    <w:rsid w:val="00816CC0"/>
    <w:rsid w:val="00816CD1"/>
    <w:rsid w:val="00816CE0"/>
    <w:rsid w:val="00816CF9"/>
    <w:rsid w:val="00816D12"/>
    <w:rsid w:val="00816D14"/>
    <w:rsid w:val="00816D27"/>
    <w:rsid w:val="00816D45"/>
    <w:rsid w:val="00816D99"/>
    <w:rsid w:val="00816DC4"/>
    <w:rsid w:val="00816E52"/>
    <w:rsid w:val="00816E77"/>
    <w:rsid w:val="00816E97"/>
    <w:rsid w:val="00816ED1"/>
    <w:rsid w:val="00816EEB"/>
    <w:rsid w:val="00816EFC"/>
    <w:rsid w:val="00816F01"/>
    <w:rsid w:val="00816F39"/>
    <w:rsid w:val="00816F73"/>
    <w:rsid w:val="00816FC0"/>
    <w:rsid w:val="00816FC4"/>
    <w:rsid w:val="00816FD3"/>
    <w:rsid w:val="00816FEB"/>
    <w:rsid w:val="00817099"/>
    <w:rsid w:val="008170BB"/>
    <w:rsid w:val="008170DC"/>
    <w:rsid w:val="008170DE"/>
    <w:rsid w:val="00817121"/>
    <w:rsid w:val="0081719F"/>
    <w:rsid w:val="008171F4"/>
    <w:rsid w:val="008171F6"/>
    <w:rsid w:val="0081720D"/>
    <w:rsid w:val="0081723D"/>
    <w:rsid w:val="008172CD"/>
    <w:rsid w:val="00817316"/>
    <w:rsid w:val="0081733C"/>
    <w:rsid w:val="00817358"/>
    <w:rsid w:val="0081736B"/>
    <w:rsid w:val="008173A4"/>
    <w:rsid w:val="008173C5"/>
    <w:rsid w:val="008173D2"/>
    <w:rsid w:val="008173E3"/>
    <w:rsid w:val="008173E8"/>
    <w:rsid w:val="00817408"/>
    <w:rsid w:val="00817410"/>
    <w:rsid w:val="00817433"/>
    <w:rsid w:val="0081749D"/>
    <w:rsid w:val="008174CC"/>
    <w:rsid w:val="008174CE"/>
    <w:rsid w:val="008174EF"/>
    <w:rsid w:val="0081751F"/>
    <w:rsid w:val="0081752A"/>
    <w:rsid w:val="0081755E"/>
    <w:rsid w:val="00817567"/>
    <w:rsid w:val="008175B4"/>
    <w:rsid w:val="008175FE"/>
    <w:rsid w:val="0081763B"/>
    <w:rsid w:val="0081765C"/>
    <w:rsid w:val="0081766D"/>
    <w:rsid w:val="0081767C"/>
    <w:rsid w:val="008176E9"/>
    <w:rsid w:val="008176F6"/>
    <w:rsid w:val="00817708"/>
    <w:rsid w:val="0081770A"/>
    <w:rsid w:val="00817728"/>
    <w:rsid w:val="00817730"/>
    <w:rsid w:val="0081773F"/>
    <w:rsid w:val="00817742"/>
    <w:rsid w:val="00817767"/>
    <w:rsid w:val="00817772"/>
    <w:rsid w:val="008177DE"/>
    <w:rsid w:val="008177E3"/>
    <w:rsid w:val="0081785E"/>
    <w:rsid w:val="0081788B"/>
    <w:rsid w:val="008178B5"/>
    <w:rsid w:val="008178D1"/>
    <w:rsid w:val="00817913"/>
    <w:rsid w:val="00817919"/>
    <w:rsid w:val="00817922"/>
    <w:rsid w:val="0081795B"/>
    <w:rsid w:val="008179C2"/>
    <w:rsid w:val="008179F2"/>
    <w:rsid w:val="00817A35"/>
    <w:rsid w:val="00817A6E"/>
    <w:rsid w:val="00817AC5"/>
    <w:rsid w:val="00817AE5"/>
    <w:rsid w:val="00817B01"/>
    <w:rsid w:val="00817B11"/>
    <w:rsid w:val="00817B3A"/>
    <w:rsid w:val="00817B52"/>
    <w:rsid w:val="00817B53"/>
    <w:rsid w:val="00817B66"/>
    <w:rsid w:val="00817B6F"/>
    <w:rsid w:val="00817BF2"/>
    <w:rsid w:val="00817C0F"/>
    <w:rsid w:val="00817C3D"/>
    <w:rsid w:val="00817C42"/>
    <w:rsid w:val="00817CE3"/>
    <w:rsid w:val="00817D44"/>
    <w:rsid w:val="00817D94"/>
    <w:rsid w:val="00817DE7"/>
    <w:rsid w:val="00817DFD"/>
    <w:rsid w:val="00817E18"/>
    <w:rsid w:val="00817E37"/>
    <w:rsid w:val="00817E8B"/>
    <w:rsid w:val="00817FA5"/>
    <w:rsid w:val="00817FE8"/>
    <w:rsid w:val="0081FF74"/>
    <w:rsid w:val="0082000B"/>
    <w:rsid w:val="0082002D"/>
    <w:rsid w:val="00820074"/>
    <w:rsid w:val="008200D7"/>
    <w:rsid w:val="008200E9"/>
    <w:rsid w:val="00820111"/>
    <w:rsid w:val="00820246"/>
    <w:rsid w:val="00820262"/>
    <w:rsid w:val="00820283"/>
    <w:rsid w:val="00820284"/>
    <w:rsid w:val="0082029E"/>
    <w:rsid w:val="008202BD"/>
    <w:rsid w:val="008202EF"/>
    <w:rsid w:val="00820302"/>
    <w:rsid w:val="00820324"/>
    <w:rsid w:val="0082038A"/>
    <w:rsid w:val="00820465"/>
    <w:rsid w:val="008204A7"/>
    <w:rsid w:val="008204E5"/>
    <w:rsid w:val="008204E8"/>
    <w:rsid w:val="0082051F"/>
    <w:rsid w:val="00820552"/>
    <w:rsid w:val="008205F6"/>
    <w:rsid w:val="00820624"/>
    <w:rsid w:val="00820632"/>
    <w:rsid w:val="008206A7"/>
    <w:rsid w:val="008206AC"/>
    <w:rsid w:val="008206B5"/>
    <w:rsid w:val="0082070F"/>
    <w:rsid w:val="00820765"/>
    <w:rsid w:val="00820772"/>
    <w:rsid w:val="008207A8"/>
    <w:rsid w:val="008207CE"/>
    <w:rsid w:val="008207F8"/>
    <w:rsid w:val="00820857"/>
    <w:rsid w:val="0082085A"/>
    <w:rsid w:val="00820874"/>
    <w:rsid w:val="008208CA"/>
    <w:rsid w:val="0082093C"/>
    <w:rsid w:val="0082097C"/>
    <w:rsid w:val="008209B6"/>
    <w:rsid w:val="00820A1F"/>
    <w:rsid w:val="00820A3A"/>
    <w:rsid w:val="00820A85"/>
    <w:rsid w:val="00820AAC"/>
    <w:rsid w:val="00820AF3"/>
    <w:rsid w:val="00820B18"/>
    <w:rsid w:val="00820B31"/>
    <w:rsid w:val="00820B34"/>
    <w:rsid w:val="00820BAE"/>
    <w:rsid w:val="00820BBD"/>
    <w:rsid w:val="00820BE7"/>
    <w:rsid w:val="00820CBB"/>
    <w:rsid w:val="00820CF0"/>
    <w:rsid w:val="00820D46"/>
    <w:rsid w:val="00820D84"/>
    <w:rsid w:val="00820D99"/>
    <w:rsid w:val="00820DAF"/>
    <w:rsid w:val="00820DD4"/>
    <w:rsid w:val="00820E02"/>
    <w:rsid w:val="00820E08"/>
    <w:rsid w:val="00820E0C"/>
    <w:rsid w:val="00820E42"/>
    <w:rsid w:val="00820E48"/>
    <w:rsid w:val="00820F4C"/>
    <w:rsid w:val="00820F55"/>
    <w:rsid w:val="00820F86"/>
    <w:rsid w:val="00820F8C"/>
    <w:rsid w:val="00820FE6"/>
    <w:rsid w:val="00821089"/>
    <w:rsid w:val="008210C1"/>
    <w:rsid w:val="00821173"/>
    <w:rsid w:val="0082117F"/>
    <w:rsid w:val="00821192"/>
    <w:rsid w:val="008211B0"/>
    <w:rsid w:val="008211BB"/>
    <w:rsid w:val="008211CD"/>
    <w:rsid w:val="0082121A"/>
    <w:rsid w:val="00821238"/>
    <w:rsid w:val="00821282"/>
    <w:rsid w:val="00821290"/>
    <w:rsid w:val="00821308"/>
    <w:rsid w:val="0082131E"/>
    <w:rsid w:val="00821346"/>
    <w:rsid w:val="0082136F"/>
    <w:rsid w:val="00821381"/>
    <w:rsid w:val="008213B9"/>
    <w:rsid w:val="008213FD"/>
    <w:rsid w:val="0082140F"/>
    <w:rsid w:val="0082147E"/>
    <w:rsid w:val="0082148A"/>
    <w:rsid w:val="008214C4"/>
    <w:rsid w:val="008214D1"/>
    <w:rsid w:val="008214D6"/>
    <w:rsid w:val="008214E2"/>
    <w:rsid w:val="00821519"/>
    <w:rsid w:val="00821544"/>
    <w:rsid w:val="00821559"/>
    <w:rsid w:val="0082156E"/>
    <w:rsid w:val="00821589"/>
    <w:rsid w:val="0082159C"/>
    <w:rsid w:val="008215CC"/>
    <w:rsid w:val="0082162E"/>
    <w:rsid w:val="00821638"/>
    <w:rsid w:val="008216A9"/>
    <w:rsid w:val="0082175A"/>
    <w:rsid w:val="00821776"/>
    <w:rsid w:val="00821799"/>
    <w:rsid w:val="008217A0"/>
    <w:rsid w:val="008217CC"/>
    <w:rsid w:val="008217F7"/>
    <w:rsid w:val="00821813"/>
    <w:rsid w:val="00821883"/>
    <w:rsid w:val="0082188F"/>
    <w:rsid w:val="008218A0"/>
    <w:rsid w:val="008218C4"/>
    <w:rsid w:val="008218E0"/>
    <w:rsid w:val="008218F6"/>
    <w:rsid w:val="00821926"/>
    <w:rsid w:val="00821A54"/>
    <w:rsid w:val="00821A75"/>
    <w:rsid w:val="00821A88"/>
    <w:rsid w:val="00821ACF"/>
    <w:rsid w:val="00821AD6"/>
    <w:rsid w:val="00821B16"/>
    <w:rsid w:val="00821B4B"/>
    <w:rsid w:val="00821B5C"/>
    <w:rsid w:val="00821B6B"/>
    <w:rsid w:val="00821B84"/>
    <w:rsid w:val="00821B86"/>
    <w:rsid w:val="00821BA5"/>
    <w:rsid w:val="00821C04"/>
    <w:rsid w:val="00821C57"/>
    <w:rsid w:val="00821C58"/>
    <w:rsid w:val="00821C63"/>
    <w:rsid w:val="00821D01"/>
    <w:rsid w:val="00821D24"/>
    <w:rsid w:val="00821D8D"/>
    <w:rsid w:val="00821D93"/>
    <w:rsid w:val="00821DB8"/>
    <w:rsid w:val="00821DD9"/>
    <w:rsid w:val="00821E09"/>
    <w:rsid w:val="00821E2A"/>
    <w:rsid w:val="00821E60"/>
    <w:rsid w:val="00821E63"/>
    <w:rsid w:val="00821E6D"/>
    <w:rsid w:val="00821EAE"/>
    <w:rsid w:val="00821EC2"/>
    <w:rsid w:val="00821F14"/>
    <w:rsid w:val="00821F38"/>
    <w:rsid w:val="00821F7D"/>
    <w:rsid w:val="00821F8D"/>
    <w:rsid w:val="00821F98"/>
    <w:rsid w:val="00821FA9"/>
    <w:rsid w:val="00822020"/>
    <w:rsid w:val="00822067"/>
    <w:rsid w:val="00822071"/>
    <w:rsid w:val="008220A1"/>
    <w:rsid w:val="0082216A"/>
    <w:rsid w:val="008221AF"/>
    <w:rsid w:val="008221E2"/>
    <w:rsid w:val="0082220B"/>
    <w:rsid w:val="0082223A"/>
    <w:rsid w:val="00822243"/>
    <w:rsid w:val="00822296"/>
    <w:rsid w:val="008222AC"/>
    <w:rsid w:val="008222D4"/>
    <w:rsid w:val="00822360"/>
    <w:rsid w:val="008223A4"/>
    <w:rsid w:val="0082243B"/>
    <w:rsid w:val="0082245B"/>
    <w:rsid w:val="0082246D"/>
    <w:rsid w:val="008224E3"/>
    <w:rsid w:val="00822531"/>
    <w:rsid w:val="0082253B"/>
    <w:rsid w:val="00822568"/>
    <w:rsid w:val="00822587"/>
    <w:rsid w:val="0082259A"/>
    <w:rsid w:val="0082259F"/>
    <w:rsid w:val="008225E4"/>
    <w:rsid w:val="00822605"/>
    <w:rsid w:val="00822606"/>
    <w:rsid w:val="008226B3"/>
    <w:rsid w:val="008226B4"/>
    <w:rsid w:val="008226E7"/>
    <w:rsid w:val="0082271A"/>
    <w:rsid w:val="00822781"/>
    <w:rsid w:val="00822812"/>
    <w:rsid w:val="00822828"/>
    <w:rsid w:val="00822870"/>
    <w:rsid w:val="008228CF"/>
    <w:rsid w:val="008228DB"/>
    <w:rsid w:val="008228FD"/>
    <w:rsid w:val="00822927"/>
    <w:rsid w:val="0082295F"/>
    <w:rsid w:val="00822964"/>
    <w:rsid w:val="008229AC"/>
    <w:rsid w:val="008229C2"/>
    <w:rsid w:val="00822A05"/>
    <w:rsid w:val="00822A0B"/>
    <w:rsid w:val="00822ACA"/>
    <w:rsid w:val="00822ADC"/>
    <w:rsid w:val="00822AE8"/>
    <w:rsid w:val="00822B1F"/>
    <w:rsid w:val="00822B7D"/>
    <w:rsid w:val="00822C0A"/>
    <w:rsid w:val="00822C23"/>
    <w:rsid w:val="00822C29"/>
    <w:rsid w:val="00822C8C"/>
    <w:rsid w:val="00822CA8"/>
    <w:rsid w:val="00822D5A"/>
    <w:rsid w:val="00822DAD"/>
    <w:rsid w:val="00822DAE"/>
    <w:rsid w:val="00822DC4"/>
    <w:rsid w:val="00822DFD"/>
    <w:rsid w:val="00822E34"/>
    <w:rsid w:val="00822E60"/>
    <w:rsid w:val="00822E76"/>
    <w:rsid w:val="00822EB9"/>
    <w:rsid w:val="00822F10"/>
    <w:rsid w:val="00822F43"/>
    <w:rsid w:val="00822F58"/>
    <w:rsid w:val="00822F76"/>
    <w:rsid w:val="00822F94"/>
    <w:rsid w:val="00823036"/>
    <w:rsid w:val="0082305D"/>
    <w:rsid w:val="0082307F"/>
    <w:rsid w:val="0082308F"/>
    <w:rsid w:val="008230C3"/>
    <w:rsid w:val="008230D2"/>
    <w:rsid w:val="008230D3"/>
    <w:rsid w:val="008230D7"/>
    <w:rsid w:val="008230ED"/>
    <w:rsid w:val="0082316E"/>
    <w:rsid w:val="008231A4"/>
    <w:rsid w:val="008231AC"/>
    <w:rsid w:val="008231AE"/>
    <w:rsid w:val="008231C5"/>
    <w:rsid w:val="008231FE"/>
    <w:rsid w:val="00823261"/>
    <w:rsid w:val="0082326E"/>
    <w:rsid w:val="00823288"/>
    <w:rsid w:val="0082328A"/>
    <w:rsid w:val="0082329D"/>
    <w:rsid w:val="008232A7"/>
    <w:rsid w:val="008232AB"/>
    <w:rsid w:val="008232BE"/>
    <w:rsid w:val="0082336A"/>
    <w:rsid w:val="008233AD"/>
    <w:rsid w:val="008233EA"/>
    <w:rsid w:val="0082342D"/>
    <w:rsid w:val="00823457"/>
    <w:rsid w:val="00823493"/>
    <w:rsid w:val="008234C7"/>
    <w:rsid w:val="008234D9"/>
    <w:rsid w:val="00823514"/>
    <w:rsid w:val="00823540"/>
    <w:rsid w:val="0082358C"/>
    <w:rsid w:val="008235A8"/>
    <w:rsid w:val="008235AA"/>
    <w:rsid w:val="00823658"/>
    <w:rsid w:val="008236A2"/>
    <w:rsid w:val="0082372B"/>
    <w:rsid w:val="008237A6"/>
    <w:rsid w:val="00823814"/>
    <w:rsid w:val="00823847"/>
    <w:rsid w:val="00823866"/>
    <w:rsid w:val="008238BD"/>
    <w:rsid w:val="008238E0"/>
    <w:rsid w:val="00823924"/>
    <w:rsid w:val="0082396E"/>
    <w:rsid w:val="00823981"/>
    <w:rsid w:val="008239AF"/>
    <w:rsid w:val="008239F3"/>
    <w:rsid w:val="008239F7"/>
    <w:rsid w:val="00823A5B"/>
    <w:rsid w:val="00823A77"/>
    <w:rsid w:val="00823A81"/>
    <w:rsid w:val="00823A84"/>
    <w:rsid w:val="00823A87"/>
    <w:rsid w:val="00823AC7"/>
    <w:rsid w:val="00823B4F"/>
    <w:rsid w:val="00823BBE"/>
    <w:rsid w:val="00823BCC"/>
    <w:rsid w:val="00823BEB"/>
    <w:rsid w:val="00823C10"/>
    <w:rsid w:val="00823C7B"/>
    <w:rsid w:val="00823C81"/>
    <w:rsid w:val="00823C84"/>
    <w:rsid w:val="00823CB7"/>
    <w:rsid w:val="00823D41"/>
    <w:rsid w:val="00823D65"/>
    <w:rsid w:val="00823D9C"/>
    <w:rsid w:val="00823DE5"/>
    <w:rsid w:val="00823DFF"/>
    <w:rsid w:val="00823E51"/>
    <w:rsid w:val="00823EDE"/>
    <w:rsid w:val="00823EDF"/>
    <w:rsid w:val="00823F03"/>
    <w:rsid w:val="00823F34"/>
    <w:rsid w:val="00823F55"/>
    <w:rsid w:val="00823FCE"/>
    <w:rsid w:val="00824049"/>
    <w:rsid w:val="00824050"/>
    <w:rsid w:val="0082409A"/>
    <w:rsid w:val="008240BA"/>
    <w:rsid w:val="008240F4"/>
    <w:rsid w:val="00824131"/>
    <w:rsid w:val="0082413C"/>
    <w:rsid w:val="00824153"/>
    <w:rsid w:val="0082419C"/>
    <w:rsid w:val="0082424C"/>
    <w:rsid w:val="008242C7"/>
    <w:rsid w:val="00824308"/>
    <w:rsid w:val="00824325"/>
    <w:rsid w:val="0082432E"/>
    <w:rsid w:val="00824425"/>
    <w:rsid w:val="0082444F"/>
    <w:rsid w:val="00824458"/>
    <w:rsid w:val="0082446B"/>
    <w:rsid w:val="00824482"/>
    <w:rsid w:val="008244B2"/>
    <w:rsid w:val="00824505"/>
    <w:rsid w:val="00824551"/>
    <w:rsid w:val="008245AF"/>
    <w:rsid w:val="008245B4"/>
    <w:rsid w:val="0082464D"/>
    <w:rsid w:val="0082467D"/>
    <w:rsid w:val="008246AE"/>
    <w:rsid w:val="00824717"/>
    <w:rsid w:val="00824727"/>
    <w:rsid w:val="00824729"/>
    <w:rsid w:val="00824767"/>
    <w:rsid w:val="00824772"/>
    <w:rsid w:val="008247C1"/>
    <w:rsid w:val="008247D9"/>
    <w:rsid w:val="00824804"/>
    <w:rsid w:val="00824818"/>
    <w:rsid w:val="00824880"/>
    <w:rsid w:val="008248AD"/>
    <w:rsid w:val="008248C6"/>
    <w:rsid w:val="008248EE"/>
    <w:rsid w:val="00824927"/>
    <w:rsid w:val="00824945"/>
    <w:rsid w:val="00824947"/>
    <w:rsid w:val="0082494A"/>
    <w:rsid w:val="00824951"/>
    <w:rsid w:val="008249A4"/>
    <w:rsid w:val="008249FB"/>
    <w:rsid w:val="00824A05"/>
    <w:rsid w:val="00824A65"/>
    <w:rsid w:val="00824AAA"/>
    <w:rsid w:val="00824AAF"/>
    <w:rsid w:val="00824B02"/>
    <w:rsid w:val="00824B08"/>
    <w:rsid w:val="00824B75"/>
    <w:rsid w:val="00824BA9"/>
    <w:rsid w:val="00824BBD"/>
    <w:rsid w:val="00824C5F"/>
    <w:rsid w:val="00824C7B"/>
    <w:rsid w:val="00824C85"/>
    <w:rsid w:val="00824C93"/>
    <w:rsid w:val="00824C95"/>
    <w:rsid w:val="00824D0C"/>
    <w:rsid w:val="00824D75"/>
    <w:rsid w:val="00824D90"/>
    <w:rsid w:val="00824DE3"/>
    <w:rsid w:val="00824E46"/>
    <w:rsid w:val="00824EA0"/>
    <w:rsid w:val="00824EC7"/>
    <w:rsid w:val="00824F0E"/>
    <w:rsid w:val="00824F52"/>
    <w:rsid w:val="00824F9F"/>
    <w:rsid w:val="00824FCA"/>
    <w:rsid w:val="00824FE1"/>
    <w:rsid w:val="00825058"/>
    <w:rsid w:val="008250F9"/>
    <w:rsid w:val="00825114"/>
    <w:rsid w:val="00825127"/>
    <w:rsid w:val="0082513D"/>
    <w:rsid w:val="00825142"/>
    <w:rsid w:val="00825143"/>
    <w:rsid w:val="00825184"/>
    <w:rsid w:val="008251B9"/>
    <w:rsid w:val="008251E5"/>
    <w:rsid w:val="008251FE"/>
    <w:rsid w:val="0082525D"/>
    <w:rsid w:val="0082526C"/>
    <w:rsid w:val="008252B8"/>
    <w:rsid w:val="0082530B"/>
    <w:rsid w:val="00825324"/>
    <w:rsid w:val="00825329"/>
    <w:rsid w:val="0082532D"/>
    <w:rsid w:val="0082534E"/>
    <w:rsid w:val="00825351"/>
    <w:rsid w:val="008253AB"/>
    <w:rsid w:val="00825410"/>
    <w:rsid w:val="00825430"/>
    <w:rsid w:val="00825449"/>
    <w:rsid w:val="0082545D"/>
    <w:rsid w:val="00825471"/>
    <w:rsid w:val="00825482"/>
    <w:rsid w:val="00825536"/>
    <w:rsid w:val="0082556A"/>
    <w:rsid w:val="00825574"/>
    <w:rsid w:val="00825584"/>
    <w:rsid w:val="008255F8"/>
    <w:rsid w:val="0082562D"/>
    <w:rsid w:val="00825672"/>
    <w:rsid w:val="00825688"/>
    <w:rsid w:val="00825702"/>
    <w:rsid w:val="00825717"/>
    <w:rsid w:val="0082571C"/>
    <w:rsid w:val="00825737"/>
    <w:rsid w:val="0082579A"/>
    <w:rsid w:val="008257D4"/>
    <w:rsid w:val="00825800"/>
    <w:rsid w:val="00825875"/>
    <w:rsid w:val="008258A2"/>
    <w:rsid w:val="0082598F"/>
    <w:rsid w:val="008259A6"/>
    <w:rsid w:val="00825A27"/>
    <w:rsid w:val="00825A39"/>
    <w:rsid w:val="00825ACA"/>
    <w:rsid w:val="00825B14"/>
    <w:rsid w:val="00825B1B"/>
    <w:rsid w:val="00825B36"/>
    <w:rsid w:val="00825B3E"/>
    <w:rsid w:val="00825BD3"/>
    <w:rsid w:val="00825BFC"/>
    <w:rsid w:val="00825C39"/>
    <w:rsid w:val="00825C7D"/>
    <w:rsid w:val="00825CBD"/>
    <w:rsid w:val="00825CC5"/>
    <w:rsid w:val="00825CE1"/>
    <w:rsid w:val="00825D21"/>
    <w:rsid w:val="00825D39"/>
    <w:rsid w:val="00825D74"/>
    <w:rsid w:val="00825D85"/>
    <w:rsid w:val="00825D94"/>
    <w:rsid w:val="00825DA1"/>
    <w:rsid w:val="00825DFC"/>
    <w:rsid w:val="00825E1B"/>
    <w:rsid w:val="00825E2B"/>
    <w:rsid w:val="00825E2F"/>
    <w:rsid w:val="00825E6A"/>
    <w:rsid w:val="00825E7B"/>
    <w:rsid w:val="00825EA0"/>
    <w:rsid w:val="00825F1F"/>
    <w:rsid w:val="00825F6E"/>
    <w:rsid w:val="00825F83"/>
    <w:rsid w:val="00825F98"/>
    <w:rsid w:val="00826007"/>
    <w:rsid w:val="00826045"/>
    <w:rsid w:val="0082605A"/>
    <w:rsid w:val="008260F9"/>
    <w:rsid w:val="00826105"/>
    <w:rsid w:val="00826110"/>
    <w:rsid w:val="00826112"/>
    <w:rsid w:val="00826134"/>
    <w:rsid w:val="00826172"/>
    <w:rsid w:val="0082617D"/>
    <w:rsid w:val="00826188"/>
    <w:rsid w:val="00826266"/>
    <w:rsid w:val="008262AC"/>
    <w:rsid w:val="008262B8"/>
    <w:rsid w:val="008262C6"/>
    <w:rsid w:val="008262F8"/>
    <w:rsid w:val="00826373"/>
    <w:rsid w:val="00826382"/>
    <w:rsid w:val="008263BD"/>
    <w:rsid w:val="008263C3"/>
    <w:rsid w:val="008263C9"/>
    <w:rsid w:val="008263D0"/>
    <w:rsid w:val="008263D5"/>
    <w:rsid w:val="00826403"/>
    <w:rsid w:val="00826445"/>
    <w:rsid w:val="0082646B"/>
    <w:rsid w:val="0082647A"/>
    <w:rsid w:val="00826491"/>
    <w:rsid w:val="008264BC"/>
    <w:rsid w:val="00826533"/>
    <w:rsid w:val="0082653C"/>
    <w:rsid w:val="008265A8"/>
    <w:rsid w:val="008265BB"/>
    <w:rsid w:val="008265C1"/>
    <w:rsid w:val="008265D8"/>
    <w:rsid w:val="008265F1"/>
    <w:rsid w:val="008265F9"/>
    <w:rsid w:val="0082666B"/>
    <w:rsid w:val="0082666F"/>
    <w:rsid w:val="00826677"/>
    <w:rsid w:val="0082667A"/>
    <w:rsid w:val="00826696"/>
    <w:rsid w:val="008266E2"/>
    <w:rsid w:val="008266E6"/>
    <w:rsid w:val="00826719"/>
    <w:rsid w:val="008267BB"/>
    <w:rsid w:val="00826856"/>
    <w:rsid w:val="0082685C"/>
    <w:rsid w:val="008268C5"/>
    <w:rsid w:val="008268D3"/>
    <w:rsid w:val="00826989"/>
    <w:rsid w:val="00826A15"/>
    <w:rsid w:val="00826A19"/>
    <w:rsid w:val="00826A38"/>
    <w:rsid w:val="00826A5D"/>
    <w:rsid w:val="00826A66"/>
    <w:rsid w:val="00826A95"/>
    <w:rsid w:val="00826AEE"/>
    <w:rsid w:val="00826B1C"/>
    <w:rsid w:val="00826BA0"/>
    <w:rsid w:val="00826BC2"/>
    <w:rsid w:val="00826BF1"/>
    <w:rsid w:val="00826C07"/>
    <w:rsid w:val="00826C34"/>
    <w:rsid w:val="00826C4A"/>
    <w:rsid w:val="00826C62"/>
    <w:rsid w:val="00826C7C"/>
    <w:rsid w:val="00826CC0"/>
    <w:rsid w:val="00826D44"/>
    <w:rsid w:val="00826DF4"/>
    <w:rsid w:val="00826E14"/>
    <w:rsid w:val="00826E3C"/>
    <w:rsid w:val="00826E5D"/>
    <w:rsid w:val="00826E71"/>
    <w:rsid w:val="00826E88"/>
    <w:rsid w:val="00826EC9"/>
    <w:rsid w:val="00826EE4"/>
    <w:rsid w:val="00826EF6"/>
    <w:rsid w:val="00826F09"/>
    <w:rsid w:val="00826F7D"/>
    <w:rsid w:val="00826F9B"/>
    <w:rsid w:val="00826FE6"/>
    <w:rsid w:val="0082701D"/>
    <w:rsid w:val="0082706B"/>
    <w:rsid w:val="0082708F"/>
    <w:rsid w:val="00827116"/>
    <w:rsid w:val="00827160"/>
    <w:rsid w:val="008271F9"/>
    <w:rsid w:val="0082720E"/>
    <w:rsid w:val="00827243"/>
    <w:rsid w:val="008272D2"/>
    <w:rsid w:val="008272D7"/>
    <w:rsid w:val="008272E5"/>
    <w:rsid w:val="008272EE"/>
    <w:rsid w:val="0082733B"/>
    <w:rsid w:val="00827393"/>
    <w:rsid w:val="008273AE"/>
    <w:rsid w:val="008273E7"/>
    <w:rsid w:val="0082742E"/>
    <w:rsid w:val="0082744B"/>
    <w:rsid w:val="0082748F"/>
    <w:rsid w:val="0082749D"/>
    <w:rsid w:val="008274A9"/>
    <w:rsid w:val="0082750F"/>
    <w:rsid w:val="008275FB"/>
    <w:rsid w:val="00827611"/>
    <w:rsid w:val="00827694"/>
    <w:rsid w:val="008276A6"/>
    <w:rsid w:val="008276E3"/>
    <w:rsid w:val="008276E8"/>
    <w:rsid w:val="0082770E"/>
    <w:rsid w:val="0082772D"/>
    <w:rsid w:val="008277B1"/>
    <w:rsid w:val="008277DC"/>
    <w:rsid w:val="00827805"/>
    <w:rsid w:val="00827843"/>
    <w:rsid w:val="00827844"/>
    <w:rsid w:val="00827879"/>
    <w:rsid w:val="008278FC"/>
    <w:rsid w:val="00827929"/>
    <w:rsid w:val="00827930"/>
    <w:rsid w:val="00827932"/>
    <w:rsid w:val="00827979"/>
    <w:rsid w:val="00827997"/>
    <w:rsid w:val="008279B5"/>
    <w:rsid w:val="008279CE"/>
    <w:rsid w:val="008279D4"/>
    <w:rsid w:val="008279FE"/>
    <w:rsid w:val="00827A0F"/>
    <w:rsid w:val="00827A61"/>
    <w:rsid w:val="00827AA0"/>
    <w:rsid w:val="00827B80"/>
    <w:rsid w:val="00827BF0"/>
    <w:rsid w:val="00827C14"/>
    <w:rsid w:val="00827C3D"/>
    <w:rsid w:val="00827D18"/>
    <w:rsid w:val="00827D44"/>
    <w:rsid w:val="00827D4D"/>
    <w:rsid w:val="00827D8C"/>
    <w:rsid w:val="00827D90"/>
    <w:rsid w:val="00827D9C"/>
    <w:rsid w:val="00827DBB"/>
    <w:rsid w:val="00827DE4"/>
    <w:rsid w:val="00827DFC"/>
    <w:rsid w:val="00827E1F"/>
    <w:rsid w:val="00827E24"/>
    <w:rsid w:val="00827E6E"/>
    <w:rsid w:val="00827E6F"/>
    <w:rsid w:val="00827F08"/>
    <w:rsid w:val="00827F1C"/>
    <w:rsid w:val="00827F3D"/>
    <w:rsid w:val="00827F5D"/>
    <w:rsid w:val="00827F8F"/>
    <w:rsid w:val="00827FC9"/>
    <w:rsid w:val="00827FDE"/>
    <w:rsid w:val="00827FFE"/>
    <w:rsid w:val="00830008"/>
    <w:rsid w:val="00830017"/>
    <w:rsid w:val="0083006F"/>
    <w:rsid w:val="008300C1"/>
    <w:rsid w:val="008300DB"/>
    <w:rsid w:val="00830133"/>
    <w:rsid w:val="00830166"/>
    <w:rsid w:val="0083017F"/>
    <w:rsid w:val="008301F6"/>
    <w:rsid w:val="00830269"/>
    <w:rsid w:val="0083033D"/>
    <w:rsid w:val="0083035F"/>
    <w:rsid w:val="00830396"/>
    <w:rsid w:val="008303A5"/>
    <w:rsid w:val="008303CD"/>
    <w:rsid w:val="00830435"/>
    <w:rsid w:val="00830463"/>
    <w:rsid w:val="00830495"/>
    <w:rsid w:val="008304E0"/>
    <w:rsid w:val="008304E1"/>
    <w:rsid w:val="008304E6"/>
    <w:rsid w:val="0083050B"/>
    <w:rsid w:val="0083051A"/>
    <w:rsid w:val="008305A2"/>
    <w:rsid w:val="008305B7"/>
    <w:rsid w:val="008305D2"/>
    <w:rsid w:val="008305F0"/>
    <w:rsid w:val="0083066E"/>
    <w:rsid w:val="008306A3"/>
    <w:rsid w:val="0083071C"/>
    <w:rsid w:val="0083074F"/>
    <w:rsid w:val="008307A0"/>
    <w:rsid w:val="008307A3"/>
    <w:rsid w:val="00830813"/>
    <w:rsid w:val="00830860"/>
    <w:rsid w:val="00830862"/>
    <w:rsid w:val="00830896"/>
    <w:rsid w:val="008308F5"/>
    <w:rsid w:val="00830905"/>
    <w:rsid w:val="00830941"/>
    <w:rsid w:val="00830948"/>
    <w:rsid w:val="0083095E"/>
    <w:rsid w:val="00830964"/>
    <w:rsid w:val="00830995"/>
    <w:rsid w:val="00830997"/>
    <w:rsid w:val="00830A41"/>
    <w:rsid w:val="00830A8B"/>
    <w:rsid w:val="00830ACF"/>
    <w:rsid w:val="00830B1E"/>
    <w:rsid w:val="00830B60"/>
    <w:rsid w:val="00830B76"/>
    <w:rsid w:val="00830B81"/>
    <w:rsid w:val="00830BC6"/>
    <w:rsid w:val="00830BF5"/>
    <w:rsid w:val="00830C2D"/>
    <w:rsid w:val="00830C67"/>
    <w:rsid w:val="00830C78"/>
    <w:rsid w:val="00830D1C"/>
    <w:rsid w:val="00830D36"/>
    <w:rsid w:val="00830D44"/>
    <w:rsid w:val="00830D4E"/>
    <w:rsid w:val="00830D5B"/>
    <w:rsid w:val="00830D9F"/>
    <w:rsid w:val="00830DD6"/>
    <w:rsid w:val="00830DF9"/>
    <w:rsid w:val="00830E13"/>
    <w:rsid w:val="00830E19"/>
    <w:rsid w:val="00830E26"/>
    <w:rsid w:val="00830E60"/>
    <w:rsid w:val="00830EF4"/>
    <w:rsid w:val="00830F04"/>
    <w:rsid w:val="00830F4D"/>
    <w:rsid w:val="00830FA9"/>
    <w:rsid w:val="00830FDC"/>
    <w:rsid w:val="00831017"/>
    <w:rsid w:val="0083102E"/>
    <w:rsid w:val="0083103C"/>
    <w:rsid w:val="00831047"/>
    <w:rsid w:val="00831066"/>
    <w:rsid w:val="00831087"/>
    <w:rsid w:val="008310B8"/>
    <w:rsid w:val="008310E5"/>
    <w:rsid w:val="00831185"/>
    <w:rsid w:val="008311C5"/>
    <w:rsid w:val="008311DE"/>
    <w:rsid w:val="00831213"/>
    <w:rsid w:val="0083124D"/>
    <w:rsid w:val="00831250"/>
    <w:rsid w:val="00831251"/>
    <w:rsid w:val="00831353"/>
    <w:rsid w:val="0083136A"/>
    <w:rsid w:val="0083138A"/>
    <w:rsid w:val="0083145D"/>
    <w:rsid w:val="0083146A"/>
    <w:rsid w:val="008314A2"/>
    <w:rsid w:val="008314E2"/>
    <w:rsid w:val="008314FA"/>
    <w:rsid w:val="00831549"/>
    <w:rsid w:val="008315E2"/>
    <w:rsid w:val="00831638"/>
    <w:rsid w:val="00831660"/>
    <w:rsid w:val="00831681"/>
    <w:rsid w:val="008316B6"/>
    <w:rsid w:val="008316CF"/>
    <w:rsid w:val="00831769"/>
    <w:rsid w:val="00831789"/>
    <w:rsid w:val="008317AF"/>
    <w:rsid w:val="008317C9"/>
    <w:rsid w:val="0083186E"/>
    <w:rsid w:val="00831871"/>
    <w:rsid w:val="0083189F"/>
    <w:rsid w:val="008318C1"/>
    <w:rsid w:val="00831920"/>
    <w:rsid w:val="00831924"/>
    <w:rsid w:val="00831981"/>
    <w:rsid w:val="00831986"/>
    <w:rsid w:val="00831997"/>
    <w:rsid w:val="008319A8"/>
    <w:rsid w:val="008319BC"/>
    <w:rsid w:val="00831A51"/>
    <w:rsid w:val="00831A76"/>
    <w:rsid w:val="00831A85"/>
    <w:rsid w:val="00831AE3"/>
    <w:rsid w:val="00831AFD"/>
    <w:rsid w:val="00831B61"/>
    <w:rsid w:val="00831BBD"/>
    <w:rsid w:val="00831BE3"/>
    <w:rsid w:val="00831BEF"/>
    <w:rsid w:val="00831BF5"/>
    <w:rsid w:val="00831BF9"/>
    <w:rsid w:val="00831C0E"/>
    <w:rsid w:val="00831C87"/>
    <w:rsid w:val="00831C8E"/>
    <w:rsid w:val="00831D06"/>
    <w:rsid w:val="00831D4B"/>
    <w:rsid w:val="00831D64"/>
    <w:rsid w:val="00831D7F"/>
    <w:rsid w:val="00831DC4"/>
    <w:rsid w:val="00831DF5"/>
    <w:rsid w:val="00831E11"/>
    <w:rsid w:val="00831E84"/>
    <w:rsid w:val="00831EA9"/>
    <w:rsid w:val="00831EC4"/>
    <w:rsid w:val="00831F26"/>
    <w:rsid w:val="00831F48"/>
    <w:rsid w:val="00831F4C"/>
    <w:rsid w:val="00831F59"/>
    <w:rsid w:val="00831F72"/>
    <w:rsid w:val="00831FA4"/>
    <w:rsid w:val="00831FAB"/>
    <w:rsid w:val="00831FD5"/>
    <w:rsid w:val="00831FE2"/>
    <w:rsid w:val="0083203E"/>
    <w:rsid w:val="008320AA"/>
    <w:rsid w:val="0083211D"/>
    <w:rsid w:val="0083213F"/>
    <w:rsid w:val="00832157"/>
    <w:rsid w:val="00832184"/>
    <w:rsid w:val="0083219E"/>
    <w:rsid w:val="008321D9"/>
    <w:rsid w:val="00832248"/>
    <w:rsid w:val="0083229F"/>
    <w:rsid w:val="008322D0"/>
    <w:rsid w:val="008322D5"/>
    <w:rsid w:val="0083230B"/>
    <w:rsid w:val="00832352"/>
    <w:rsid w:val="00832359"/>
    <w:rsid w:val="00832387"/>
    <w:rsid w:val="00832390"/>
    <w:rsid w:val="00832398"/>
    <w:rsid w:val="008323A9"/>
    <w:rsid w:val="008324CA"/>
    <w:rsid w:val="008324DF"/>
    <w:rsid w:val="00832538"/>
    <w:rsid w:val="00832546"/>
    <w:rsid w:val="0083256B"/>
    <w:rsid w:val="00832587"/>
    <w:rsid w:val="008325CB"/>
    <w:rsid w:val="008325D4"/>
    <w:rsid w:val="00832609"/>
    <w:rsid w:val="00832670"/>
    <w:rsid w:val="008326F0"/>
    <w:rsid w:val="0083273B"/>
    <w:rsid w:val="00832765"/>
    <w:rsid w:val="00832779"/>
    <w:rsid w:val="008327D5"/>
    <w:rsid w:val="0083282D"/>
    <w:rsid w:val="00832885"/>
    <w:rsid w:val="008328AE"/>
    <w:rsid w:val="00832934"/>
    <w:rsid w:val="0083294F"/>
    <w:rsid w:val="0083297C"/>
    <w:rsid w:val="00832997"/>
    <w:rsid w:val="008329F5"/>
    <w:rsid w:val="00832A30"/>
    <w:rsid w:val="00832ACA"/>
    <w:rsid w:val="00832AD1"/>
    <w:rsid w:val="00832ADF"/>
    <w:rsid w:val="00832B53"/>
    <w:rsid w:val="00832B55"/>
    <w:rsid w:val="00832B7A"/>
    <w:rsid w:val="00832BCB"/>
    <w:rsid w:val="00832C01"/>
    <w:rsid w:val="00832C02"/>
    <w:rsid w:val="00832C60"/>
    <w:rsid w:val="00832C7C"/>
    <w:rsid w:val="00832CAF"/>
    <w:rsid w:val="00832CC8"/>
    <w:rsid w:val="00832CCF"/>
    <w:rsid w:val="00832CD0"/>
    <w:rsid w:val="00832D2C"/>
    <w:rsid w:val="00832D3F"/>
    <w:rsid w:val="00832D55"/>
    <w:rsid w:val="00832D77"/>
    <w:rsid w:val="00832D79"/>
    <w:rsid w:val="00832DB6"/>
    <w:rsid w:val="00832DCF"/>
    <w:rsid w:val="00832DDC"/>
    <w:rsid w:val="00832DF9"/>
    <w:rsid w:val="00832E5F"/>
    <w:rsid w:val="00832E76"/>
    <w:rsid w:val="00832EA2"/>
    <w:rsid w:val="00832F28"/>
    <w:rsid w:val="00832F5E"/>
    <w:rsid w:val="00832F97"/>
    <w:rsid w:val="00832FB6"/>
    <w:rsid w:val="00832FBA"/>
    <w:rsid w:val="00832FC1"/>
    <w:rsid w:val="00832FF4"/>
    <w:rsid w:val="0083306D"/>
    <w:rsid w:val="0083308B"/>
    <w:rsid w:val="008330B9"/>
    <w:rsid w:val="008330E4"/>
    <w:rsid w:val="0083312F"/>
    <w:rsid w:val="00833147"/>
    <w:rsid w:val="00833158"/>
    <w:rsid w:val="00833168"/>
    <w:rsid w:val="0083317B"/>
    <w:rsid w:val="00833243"/>
    <w:rsid w:val="0083328E"/>
    <w:rsid w:val="008332FA"/>
    <w:rsid w:val="0083333D"/>
    <w:rsid w:val="00833371"/>
    <w:rsid w:val="00833380"/>
    <w:rsid w:val="00833384"/>
    <w:rsid w:val="008333A1"/>
    <w:rsid w:val="008333DE"/>
    <w:rsid w:val="0083343E"/>
    <w:rsid w:val="00833463"/>
    <w:rsid w:val="0083349B"/>
    <w:rsid w:val="008334B8"/>
    <w:rsid w:val="008334BA"/>
    <w:rsid w:val="008334BB"/>
    <w:rsid w:val="008334CA"/>
    <w:rsid w:val="008334EF"/>
    <w:rsid w:val="00833501"/>
    <w:rsid w:val="0083351B"/>
    <w:rsid w:val="008335A8"/>
    <w:rsid w:val="008335BE"/>
    <w:rsid w:val="008335C9"/>
    <w:rsid w:val="008335DF"/>
    <w:rsid w:val="00833652"/>
    <w:rsid w:val="00833683"/>
    <w:rsid w:val="00833690"/>
    <w:rsid w:val="008336BE"/>
    <w:rsid w:val="00833717"/>
    <w:rsid w:val="00833751"/>
    <w:rsid w:val="00833759"/>
    <w:rsid w:val="00833783"/>
    <w:rsid w:val="008337B2"/>
    <w:rsid w:val="008337B5"/>
    <w:rsid w:val="008337DB"/>
    <w:rsid w:val="008337E4"/>
    <w:rsid w:val="008337EF"/>
    <w:rsid w:val="008337FD"/>
    <w:rsid w:val="00833801"/>
    <w:rsid w:val="00833806"/>
    <w:rsid w:val="00833814"/>
    <w:rsid w:val="00833828"/>
    <w:rsid w:val="00833833"/>
    <w:rsid w:val="0083383B"/>
    <w:rsid w:val="00833868"/>
    <w:rsid w:val="00833878"/>
    <w:rsid w:val="00833895"/>
    <w:rsid w:val="008338A5"/>
    <w:rsid w:val="008338B3"/>
    <w:rsid w:val="008338B4"/>
    <w:rsid w:val="008338F4"/>
    <w:rsid w:val="00833905"/>
    <w:rsid w:val="00833919"/>
    <w:rsid w:val="00833923"/>
    <w:rsid w:val="0083392E"/>
    <w:rsid w:val="00833959"/>
    <w:rsid w:val="008339AA"/>
    <w:rsid w:val="008339B4"/>
    <w:rsid w:val="00833A16"/>
    <w:rsid w:val="00833A30"/>
    <w:rsid w:val="00833AC3"/>
    <w:rsid w:val="00833B33"/>
    <w:rsid w:val="00833B39"/>
    <w:rsid w:val="00833B51"/>
    <w:rsid w:val="00833B9D"/>
    <w:rsid w:val="00833C30"/>
    <w:rsid w:val="00833CA5"/>
    <w:rsid w:val="00833CDA"/>
    <w:rsid w:val="00833CFB"/>
    <w:rsid w:val="00833D01"/>
    <w:rsid w:val="00833D23"/>
    <w:rsid w:val="00833D69"/>
    <w:rsid w:val="00833DA0"/>
    <w:rsid w:val="00833DF9"/>
    <w:rsid w:val="00833DFB"/>
    <w:rsid w:val="00833E32"/>
    <w:rsid w:val="00833E35"/>
    <w:rsid w:val="00833E5A"/>
    <w:rsid w:val="00833E5F"/>
    <w:rsid w:val="00833E92"/>
    <w:rsid w:val="00833ED8"/>
    <w:rsid w:val="00833F69"/>
    <w:rsid w:val="00833F74"/>
    <w:rsid w:val="00833F82"/>
    <w:rsid w:val="00833FFD"/>
    <w:rsid w:val="00834024"/>
    <w:rsid w:val="0083403C"/>
    <w:rsid w:val="00834040"/>
    <w:rsid w:val="00834093"/>
    <w:rsid w:val="008340B2"/>
    <w:rsid w:val="00834159"/>
    <w:rsid w:val="0083418B"/>
    <w:rsid w:val="008341D7"/>
    <w:rsid w:val="0083424C"/>
    <w:rsid w:val="00834276"/>
    <w:rsid w:val="0083429D"/>
    <w:rsid w:val="0083432F"/>
    <w:rsid w:val="0083435E"/>
    <w:rsid w:val="0083437B"/>
    <w:rsid w:val="00834391"/>
    <w:rsid w:val="008343C0"/>
    <w:rsid w:val="008343E3"/>
    <w:rsid w:val="008343F5"/>
    <w:rsid w:val="0083448F"/>
    <w:rsid w:val="008344AC"/>
    <w:rsid w:val="008344D0"/>
    <w:rsid w:val="008344E7"/>
    <w:rsid w:val="00834509"/>
    <w:rsid w:val="00834565"/>
    <w:rsid w:val="008345B8"/>
    <w:rsid w:val="008345C5"/>
    <w:rsid w:val="008345D1"/>
    <w:rsid w:val="008345F3"/>
    <w:rsid w:val="0083467D"/>
    <w:rsid w:val="008346A3"/>
    <w:rsid w:val="008346F8"/>
    <w:rsid w:val="008346FF"/>
    <w:rsid w:val="00834744"/>
    <w:rsid w:val="00834762"/>
    <w:rsid w:val="008347B6"/>
    <w:rsid w:val="00834808"/>
    <w:rsid w:val="00834825"/>
    <w:rsid w:val="00834862"/>
    <w:rsid w:val="0083486F"/>
    <w:rsid w:val="00834889"/>
    <w:rsid w:val="008348A6"/>
    <w:rsid w:val="008348BC"/>
    <w:rsid w:val="008348C1"/>
    <w:rsid w:val="008348EB"/>
    <w:rsid w:val="00834923"/>
    <w:rsid w:val="00834924"/>
    <w:rsid w:val="00834979"/>
    <w:rsid w:val="008349A5"/>
    <w:rsid w:val="008349AA"/>
    <w:rsid w:val="008349BF"/>
    <w:rsid w:val="008349FB"/>
    <w:rsid w:val="00834A2B"/>
    <w:rsid w:val="00834A4E"/>
    <w:rsid w:val="00834B04"/>
    <w:rsid w:val="00834BA4"/>
    <w:rsid w:val="00834BE6"/>
    <w:rsid w:val="00834BF3"/>
    <w:rsid w:val="00834BFD"/>
    <w:rsid w:val="00834C4A"/>
    <w:rsid w:val="00834C72"/>
    <w:rsid w:val="00834CB6"/>
    <w:rsid w:val="00834CC0"/>
    <w:rsid w:val="00834CCA"/>
    <w:rsid w:val="00834D1F"/>
    <w:rsid w:val="00834DE0"/>
    <w:rsid w:val="00834E2A"/>
    <w:rsid w:val="00834E53"/>
    <w:rsid w:val="00834EA8"/>
    <w:rsid w:val="00834F81"/>
    <w:rsid w:val="00834FC0"/>
    <w:rsid w:val="00834FD7"/>
    <w:rsid w:val="0083507F"/>
    <w:rsid w:val="008350DD"/>
    <w:rsid w:val="0083514F"/>
    <w:rsid w:val="00835171"/>
    <w:rsid w:val="00835176"/>
    <w:rsid w:val="008351A0"/>
    <w:rsid w:val="008351A1"/>
    <w:rsid w:val="008351A4"/>
    <w:rsid w:val="008351C6"/>
    <w:rsid w:val="00835200"/>
    <w:rsid w:val="00835274"/>
    <w:rsid w:val="00835288"/>
    <w:rsid w:val="008352D3"/>
    <w:rsid w:val="0083539A"/>
    <w:rsid w:val="008353CB"/>
    <w:rsid w:val="008353DA"/>
    <w:rsid w:val="0083541F"/>
    <w:rsid w:val="00835453"/>
    <w:rsid w:val="00835484"/>
    <w:rsid w:val="00835494"/>
    <w:rsid w:val="008354B8"/>
    <w:rsid w:val="008354E0"/>
    <w:rsid w:val="0083551F"/>
    <w:rsid w:val="0083554A"/>
    <w:rsid w:val="00835557"/>
    <w:rsid w:val="00835588"/>
    <w:rsid w:val="008355C3"/>
    <w:rsid w:val="008355D3"/>
    <w:rsid w:val="008355E2"/>
    <w:rsid w:val="0083564C"/>
    <w:rsid w:val="00835660"/>
    <w:rsid w:val="00835699"/>
    <w:rsid w:val="00835705"/>
    <w:rsid w:val="00835729"/>
    <w:rsid w:val="0083573D"/>
    <w:rsid w:val="0083574D"/>
    <w:rsid w:val="008357CC"/>
    <w:rsid w:val="008357FA"/>
    <w:rsid w:val="00835802"/>
    <w:rsid w:val="0083586E"/>
    <w:rsid w:val="008358A9"/>
    <w:rsid w:val="008358DC"/>
    <w:rsid w:val="0083593B"/>
    <w:rsid w:val="0083597E"/>
    <w:rsid w:val="00835991"/>
    <w:rsid w:val="008359D8"/>
    <w:rsid w:val="00835A4B"/>
    <w:rsid w:val="00835AAE"/>
    <w:rsid w:val="00835B35"/>
    <w:rsid w:val="00835B76"/>
    <w:rsid w:val="00835B9E"/>
    <w:rsid w:val="00835BA5"/>
    <w:rsid w:val="00835C13"/>
    <w:rsid w:val="00835C32"/>
    <w:rsid w:val="00835C35"/>
    <w:rsid w:val="00835C69"/>
    <w:rsid w:val="00835CBC"/>
    <w:rsid w:val="00835CC2"/>
    <w:rsid w:val="00835D24"/>
    <w:rsid w:val="00835DE5"/>
    <w:rsid w:val="00835DE6"/>
    <w:rsid w:val="00835DF1"/>
    <w:rsid w:val="00835E15"/>
    <w:rsid w:val="00835E91"/>
    <w:rsid w:val="00835E94"/>
    <w:rsid w:val="00835E9C"/>
    <w:rsid w:val="00835F50"/>
    <w:rsid w:val="00835F78"/>
    <w:rsid w:val="00835F96"/>
    <w:rsid w:val="0083601B"/>
    <w:rsid w:val="0083601D"/>
    <w:rsid w:val="00836020"/>
    <w:rsid w:val="00836052"/>
    <w:rsid w:val="0083605D"/>
    <w:rsid w:val="0083610A"/>
    <w:rsid w:val="00836177"/>
    <w:rsid w:val="00836187"/>
    <w:rsid w:val="0083618A"/>
    <w:rsid w:val="008361E0"/>
    <w:rsid w:val="00836202"/>
    <w:rsid w:val="008362CA"/>
    <w:rsid w:val="00836330"/>
    <w:rsid w:val="0083637D"/>
    <w:rsid w:val="0083638A"/>
    <w:rsid w:val="008363C0"/>
    <w:rsid w:val="008363CA"/>
    <w:rsid w:val="008363F3"/>
    <w:rsid w:val="00836424"/>
    <w:rsid w:val="0083642D"/>
    <w:rsid w:val="00836457"/>
    <w:rsid w:val="0083646A"/>
    <w:rsid w:val="00836529"/>
    <w:rsid w:val="00836549"/>
    <w:rsid w:val="00836555"/>
    <w:rsid w:val="0083655A"/>
    <w:rsid w:val="00836580"/>
    <w:rsid w:val="008365EE"/>
    <w:rsid w:val="00836607"/>
    <w:rsid w:val="00836688"/>
    <w:rsid w:val="008366AE"/>
    <w:rsid w:val="008366E3"/>
    <w:rsid w:val="008366E7"/>
    <w:rsid w:val="00836722"/>
    <w:rsid w:val="00836745"/>
    <w:rsid w:val="0083677C"/>
    <w:rsid w:val="00836782"/>
    <w:rsid w:val="00836790"/>
    <w:rsid w:val="008367C3"/>
    <w:rsid w:val="008367CE"/>
    <w:rsid w:val="008368FF"/>
    <w:rsid w:val="00836909"/>
    <w:rsid w:val="00836927"/>
    <w:rsid w:val="00836932"/>
    <w:rsid w:val="0083696E"/>
    <w:rsid w:val="00836974"/>
    <w:rsid w:val="00836994"/>
    <w:rsid w:val="00836A51"/>
    <w:rsid w:val="00836A55"/>
    <w:rsid w:val="00836A9B"/>
    <w:rsid w:val="00836AC0"/>
    <w:rsid w:val="00836AEB"/>
    <w:rsid w:val="00836B58"/>
    <w:rsid w:val="00836C13"/>
    <w:rsid w:val="00836C3E"/>
    <w:rsid w:val="00836CA5"/>
    <w:rsid w:val="00836CAE"/>
    <w:rsid w:val="00836CC7"/>
    <w:rsid w:val="00836CCF"/>
    <w:rsid w:val="00836D93"/>
    <w:rsid w:val="00836DE8"/>
    <w:rsid w:val="00836DED"/>
    <w:rsid w:val="00836E0E"/>
    <w:rsid w:val="00836E85"/>
    <w:rsid w:val="00836EA5"/>
    <w:rsid w:val="00836EDC"/>
    <w:rsid w:val="00836F20"/>
    <w:rsid w:val="00836F60"/>
    <w:rsid w:val="00836F79"/>
    <w:rsid w:val="00836FC3"/>
    <w:rsid w:val="00836FF0"/>
    <w:rsid w:val="00836FF3"/>
    <w:rsid w:val="00837062"/>
    <w:rsid w:val="008370B5"/>
    <w:rsid w:val="008370C5"/>
    <w:rsid w:val="008370F8"/>
    <w:rsid w:val="00837153"/>
    <w:rsid w:val="00837168"/>
    <w:rsid w:val="008371E1"/>
    <w:rsid w:val="00837244"/>
    <w:rsid w:val="00837281"/>
    <w:rsid w:val="008372C0"/>
    <w:rsid w:val="0083738C"/>
    <w:rsid w:val="0083738D"/>
    <w:rsid w:val="00837399"/>
    <w:rsid w:val="008373AE"/>
    <w:rsid w:val="00837418"/>
    <w:rsid w:val="00837440"/>
    <w:rsid w:val="0083744D"/>
    <w:rsid w:val="0083745B"/>
    <w:rsid w:val="00837488"/>
    <w:rsid w:val="008374AB"/>
    <w:rsid w:val="008374BE"/>
    <w:rsid w:val="008374CC"/>
    <w:rsid w:val="0083755B"/>
    <w:rsid w:val="008375B4"/>
    <w:rsid w:val="008375E9"/>
    <w:rsid w:val="008375F8"/>
    <w:rsid w:val="0083763D"/>
    <w:rsid w:val="00837640"/>
    <w:rsid w:val="00837686"/>
    <w:rsid w:val="008376DF"/>
    <w:rsid w:val="00837745"/>
    <w:rsid w:val="0083774D"/>
    <w:rsid w:val="008377B2"/>
    <w:rsid w:val="008377D5"/>
    <w:rsid w:val="00837858"/>
    <w:rsid w:val="0083785B"/>
    <w:rsid w:val="008378D3"/>
    <w:rsid w:val="00837901"/>
    <w:rsid w:val="008379A9"/>
    <w:rsid w:val="008379B9"/>
    <w:rsid w:val="00837A5F"/>
    <w:rsid w:val="00837A66"/>
    <w:rsid w:val="00837A92"/>
    <w:rsid w:val="00837AB0"/>
    <w:rsid w:val="00837ADF"/>
    <w:rsid w:val="00837B95"/>
    <w:rsid w:val="00837BBF"/>
    <w:rsid w:val="00837C97"/>
    <w:rsid w:val="00837CA0"/>
    <w:rsid w:val="00837CAC"/>
    <w:rsid w:val="00837CF1"/>
    <w:rsid w:val="00837D35"/>
    <w:rsid w:val="00837D36"/>
    <w:rsid w:val="00837D66"/>
    <w:rsid w:val="00837DA4"/>
    <w:rsid w:val="00837DE0"/>
    <w:rsid w:val="00837E72"/>
    <w:rsid w:val="00837E79"/>
    <w:rsid w:val="00837F3A"/>
    <w:rsid w:val="00837F4C"/>
    <w:rsid w:val="00837F6D"/>
    <w:rsid w:val="00837F8C"/>
    <w:rsid w:val="00837FB9"/>
    <w:rsid w:val="00837FEE"/>
    <w:rsid w:val="00840010"/>
    <w:rsid w:val="008400B0"/>
    <w:rsid w:val="00840113"/>
    <w:rsid w:val="008401C5"/>
    <w:rsid w:val="008401D3"/>
    <w:rsid w:val="008401DA"/>
    <w:rsid w:val="008401EB"/>
    <w:rsid w:val="008401FA"/>
    <w:rsid w:val="008402AA"/>
    <w:rsid w:val="008402C7"/>
    <w:rsid w:val="008402CD"/>
    <w:rsid w:val="008402E4"/>
    <w:rsid w:val="0084031A"/>
    <w:rsid w:val="00840320"/>
    <w:rsid w:val="00840339"/>
    <w:rsid w:val="008403EE"/>
    <w:rsid w:val="008403F5"/>
    <w:rsid w:val="00840403"/>
    <w:rsid w:val="0084040E"/>
    <w:rsid w:val="00840454"/>
    <w:rsid w:val="008404AD"/>
    <w:rsid w:val="008404D9"/>
    <w:rsid w:val="00840523"/>
    <w:rsid w:val="00840569"/>
    <w:rsid w:val="00840573"/>
    <w:rsid w:val="0084059D"/>
    <w:rsid w:val="008405EF"/>
    <w:rsid w:val="0084061E"/>
    <w:rsid w:val="0084064A"/>
    <w:rsid w:val="00840692"/>
    <w:rsid w:val="008406AE"/>
    <w:rsid w:val="008407ED"/>
    <w:rsid w:val="008407F1"/>
    <w:rsid w:val="00840803"/>
    <w:rsid w:val="00840875"/>
    <w:rsid w:val="00840885"/>
    <w:rsid w:val="008408B3"/>
    <w:rsid w:val="00840932"/>
    <w:rsid w:val="0084094C"/>
    <w:rsid w:val="00840971"/>
    <w:rsid w:val="00840987"/>
    <w:rsid w:val="00840988"/>
    <w:rsid w:val="008409B8"/>
    <w:rsid w:val="008409BD"/>
    <w:rsid w:val="008409C1"/>
    <w:rsid w:val="00840A44"/>
    <w:rsid w:val="00840A52"/>
    <w:rsid w:val="00840AA6"/>
    <w:rsid w:val="00840ADF"/>
    <w:rsid w:val="00840AE1"/>
    <w:rsid w:val="00840B2C"/>
    <w:rsid w:val="00840B5F"/>
    <w:rsid w:val="00840B6B"/>
    <w:rsid w:val="00840B7E"/>
    <w:rsid w:val="00840BEB"/>
    <w:rsid w:val="00840C10"/>
    <w:rsid w:val="00840CB5"/>
    <w:rsid w:val="00840CDD"/>
    <w:rsid w:val="00840CE2"/>
    <w:rsid w:val="00840CFF"/>
    <w:rsid w:val="00840D5B"/>
    <w:rsid w:val="00840D94"/>
    <w:rsid w:val="00840DAB"/>
    <w:rsid w:val="00840DCA"/>
    <w:rsid w:val="00840E2C"/>
    <w:rsid w:val="00840E38"/>
    <w:rsid w:val="00840E68"/>
    <w:rsid w:val="00840E87"/>
    <w:rsid w:val="00840EB9"/>
    <w:rsid w:val="00840ED7"/>
    <w:rsid w:val="00840EF3"/>
    <w:rsid w:val="00840F0C"/>
    <w:rsid w:val="00840F26"/>
    <w:rsid w:val="00840F37"/>
    <w:rsid w:val="00840F64"/>
    <w:rsid w:val="00840F76"/>
    <w:rsid w:val="00840F95"/>
    <w:rsid w:val="00840FB8"/>
    <w:rsid w:val="00840FBA"/>
    <w:rsid w:val="00840FEC"/>
    <w:rsid w:val="00841047"/>
    <w:rsid w:val="00841049"/>
    <w:rsid w:val="008410C7"/>
    <w:rsid w:val="0084115B"/>
    <w:rsid w:val="008411D0"/>
    <w:rsid w:val="0084123B"/>
    <w:rsid w:val="0084124D"/>
    <w:rsid w:val="008412B7"/>
    <w:rsid w:val="008412D7"/>
    <w:rsid w:val="0084131E"/>
    <w:rsid w:val="00841328"/>
    <w:rsid w:val="00841335"/>
    <w:rsid w:val="00841344"/>
    <w:rsid w:val="00841356"/>
    <w:rsid w:val="00841372"/>
    <w:rsid w:val="008413A9"/>
    <w:rsid w:val="008413B6"/>
    <w:rsid w:val="00841442"/>
    <w:rsid w:val="0084145E"/>
    <w:rsid w:val="00841488"/>
    <w:rsid w:val="008414C7"/>
    <w:rsid w:val="00841580"/>
    <w:rsid w:val="008415C7"/>
    <w:rsid w:val="00841669"/>
    <w:rsid w:val="0084169E"/>
    <w:rsid w:val="008416BB"/>
    <w:rsid w:val="008416EB"/>
    <w:rsid w:val="008416F2"/>
    <w:rsid w:val="0084180B"/>
    <w:rsid w:val="00841875"/>
    <w:rsid w:val="00841888"/>
    <w:rsid w:val="0084190B"/>
    <w:rsid w:val="0084192C"/>
    <w:rsid w:val="00841950"/>
    <w:rsid w:val="00841966"/>
    <w:rsid w:val="00841991"/>
    <w:rsid w:val="008419B9"/>
    <w:rsid w:val="008419BA"/>
    <w:rsid w:val="008419F2"/>
    <w:rsid w:val="00841A43"/>
    <w:rsid w:val="00841A8B"/>
    <w:rsid w:val="00841B99"/>
    <w:rsid w:val="00841BF2"/>
    <w:rsid w:val="00841C07"/>
    <w:rsid w:val="00841C0F"/>
    <w:rsid w:val="00841C25"/>
    <w:rsid w:val="00841C54"/>
    <w:rsid w:val="00841C58"/>
    <w:rsid w:val="00841C8C"/>
    <w:rsid w:val="00841CCF"/>
    <w:rsid w:val="00841D1F"/>
    <w:rsid w:val="00841D81"/>
    <w:rsid w:val="00841E0D"/>
    <w:rsid w:val="00841E28"/>
    <w:rsid w:val="00841E30"/>
    <w:rsid w:val="00841E37"/>
    <w:rsid w:val="00841EA8"/>
    <w:rsid w:val="00841F02"/>
    <w:rsid w:val="00841F75"/>
    <w:rsid w:val="00841FDF"/>
    <w:rsid w:val="00842021"/>
    <w:rsid w:val="00842038"/>
    <w:rsid w:val="008420D6"/>
    <w:rsid w:val="008420E9"/>
    <w:rsid w:val="008420FE"/>
    <w:rsid w:val="0084212A"/>
    <w:rsid w:val="00842151"/>
    <w:rsid w:val="00842163"/>
    <w:rsid w:val="0084216D"/>
    <w:rsid w:val="00842172"/>
    <w:rsid w:val="008421A8"/>
    <w:rsid w:val="0084226E"/>
    <w:rsid w:val="00842361"/>
    <w:rsid w:val="008423EC"/>
    <w:rsid w:val="00842420"/>
    <w:rsid w:val="0084244F"/>
    <w:rsid w:val="00842488"/>
    <w:rsid w:val="0084249B"/>
    <w:rsid w:val="008424AC"/>
    <w:rsid w:val="008424D6"/>
    <w:rsid w:val="008424EB"/>
    <w:rsid w:val="0084254C"/>
    <w:rsid w:val="00842561"/>
    <w:rsid w:val="00842571"/>
    <w:rsid w:val="008425CE"/>
    <w:rsid w:val="008425EE"/>
    <w:rsid w:val="008425FA"/>
    <w:rsid w:val="00842610"/>
    <w:rsid w:val="00842675"/>
    <w:rsid w:val="0084269C"/>
    <w:rsid w:val="0084269F"/>
    <w:rsid w:val="0084272E"/>
    <w:rsid w:val="00842773"/>
    <w:rsid w:val="0084277B"/>
    <w:rsid w:val="00842790"/>
    <w:rsid w:val="0084280A"/>
    <w:rsid w:val="00842829"/>
    <w:rsid w:val="0084284D"/>
    <w:rsid w:val="00842863"/>
    <w:rsid w:val="00842866"/>
    <w:rsid w:val="00842872"/>
    <w:rsid w:val="00842890"/>
    <w:rsid w:val="008428CB"/>
    <w:rsid w:val="008428E3"/>
    <w:rsid w:val="008428FB"/>
    <w:rsid w:val="00842912"/>
    <w:rsid w:val="00842956"/>
    <w:rsid w:val="00842957"/>
    <w:rsid w:val="008429C7"/>
    <w:rsid w:val="008429D3"/>
    <w:rsid w:val="008429DE"/>
    <w:rsid w:val="008429FC"/>
    <w:rsid w:val="00842A24"/>
    <w:rsid w:val="00842A4D"/>
    <w:rsid w:val="00842A86"/>
    <w:rsid w:val="00842AA6"/>
    <w:rsid w:val="00842AC7"/>
    <w:rsid w:val="00842ADD"/>
    <w:rsid w:val="00842AF6"/>
    <w:rsid w:val="00842C14"/>
    <w:rsid w:val="00842CA1"/>
    <w:rsid w:val="00842CAA"/>
    <w:rsid w:val="00842CBD"/>
    <w:rsid w:val="00842CFF"/>
    <w:rsid w:val="00842D42"/>
    <w:rsid w:val="00842D98"/>
    <w:rsid w:val="00842E2C"/>
    <w:rsid w:val="00842E62"/>
    <w:rsid w:val="00842E88"/>
    <w:rsid w:val="00842EBB"/>
    <w:rsid w:val="00842ECB"/>
    <w:rsid w:val="00842F57"/>
    <w:rsid w:val="00842FA7"/>
    <w:rsid w:val="00842FD0"/>
    <w:rsid w:val="00842FD6"/>
    <w:rsid w:val="00842FD8"/>
    <w:rsid w:val="00842FE1"/>
    <w:rsid w:val="00843054"/>
    <w:rsid w:val="00843062"/>
    <w:rsid w:val="0084306F"/>
    <w:rsid w:val="008430BD"/>
    <w:rsid w:val="00843119"/>
    <w:rsid w:val="00843128"/>
    <w:rsid w:val="0084312C"/>
    <w:rsid w:val="00843145"/>
    <w:rsid w:val="008431B4"/>
    <w:rsid w:val="008431D5"/>
    <w:rsid w:val="00843213"/>
    <w:rsid w:val="0084321B"/>
    <w:rsid w:val="00843222"/>
    <w:rsid w:val="0084336C"/>
    <w:rsid w:val="008433F8"/>
    <w:rsid w:val="00843421"/>
    <w:rsid w:val="00843422"/>
    <w:rsid w:val="00843445"/>
    <w:rsid w:val="00843483"/>
    <w:rsid w:val="0084348B"/>
    <w:rsid w:val="008434F8"/>
    <w:rsid w:val="0084355A"/>
    <w:rsid w:val="00843585"/>
    <w:rsid w:val="00843596"/>
    <w:rsid w:val="0084360B"/>
    <w:rsid w:val="008436D6"/>
    <w:rsid w:val="008436F1"/>
    <w:rsid w:val="008437E4"/>
    <w:rsid w:val="008438DE"/>
    <w:rsid w:val="00843968"/>
    <w:rsid w:val="0084399F"/>
    <w:rsid w:val="00843A03"/>
    <w:rsid w:val="00843A47"/>
    <w:rsid w:val="00843A7F"/>
    <w:rsid w:val="00843A8C"/>
    <w:rsid w:val="00843AA3"/>
    <w:rsid w:val="00843ABA"/>
    <w:rsid w:val="00843AD9"/>
    <w:rsid w:val="00843AE9"/>
    <w:rsid w:val="00843B06"/>
    <w:rsid w:val="00843B4D"/>
    <w:rsid w:val="00843B6A"/>
    <w:rsid w:val="00843B9C"/>
    <w:rsid w:val="00843BBD"/>
    <w:rsid w:val="00843BDC"/>
    <w:rsid w:val="00843BF2"/>
    <w:rsid w:val="00843C11"/>
    <w:rsid w:val="00843C17"/>
    <w:rsid w:val="00843C57"/>
    <w:rsid w:val="00843C96"/>
    <w:rsid w:val="00843C9C"/>
    <w:rsid w:val="00843D1D"/>
    <w:rsid w:val="00843D9C"/>
    <w:rsid w:val="00843DA5"/>
    <w:rsid w:val="00843DCA"/>
    <w:rsid w:val="00843DE1"/>
    <w:rsid w:val="00843E1D"/>
    <w:rsid w:val="00843EB2"/>
    <w:rsid w:val="00843ED3"/>
    <w:rsid w:val="00843F4E"/>
    <w:rsid w:val="00843F89"/>
    <w:rsid w:val="00844047"/>
    <w:rsid w:val="0084406B"/>
    <w:rsid w:val="00844074"/>
    <w:rsid w:val="00844081"/>
    <w:rsid w:val="008440C7"/>
    <w:rsid w:val="008440C9"/>
    <w:rsid w:val="00844212"/>
    <w:rsid w:val="00844294"/>
    <w:rsid w:val="008442BC"/>
    <w:rsid w:val="008442DD"/>
    <w:rsid w:val="008442E8"/>
    <w:rsid w:val="0084432B"/>
    <w:rsid w:val="00844345"/>
    <w:rsid w:val="00844390"/>
    <w:rsid w:val="008443BE"/>
    <w:rsid w:val="00844408"/>
    <w:rsid w:val="0084440B"/>
    <w:rsid w:val="00844452"/>
    <w:rsid w:val="0084445C"/>
    <w:rsid w:val="00844466"/>
    <w:rsid w:val="00844491"/>
    <w:rsid w:val="00844492"/>
    <w:rsid w:val="008444A9"/>
    <w:rsid w:val="00844535"/>
    <w:rsid w:val="008445DC"/>
    <w:rsid w:val="008445E1"/>
    <w:rsid w:val="00844640"/>
    <w:rsid w:val="00844668"/>
    <w:rsid w:val="00844762"/>
    <w:rsid w:val="008447F3"/>
    <w:rsid w:val="00844814"/>
    <w:rsid w:val="0084481C"/>
    <w:rsid w:val="0084481D"/>
    <w:rsid w:val="0084485C"/>
    <w:rsid w:val="008448B0"/>
    <w:rsid w:val="008448B2"/>
    <w:rsid w:val="008448BB"/>
    <w:rsid w:val="008448BE"/>
    <w:rsid w:val="008448ED"/>
    <w:rsid w:val="008448F4"/>
    <w:rsid w:val="00844905"/>
    <w:rsid w:val="00844907"/>
    <w:rsid w:val="0084491E"/>
    <w:rsid w:val="0084491F"/>
    <w:rsid w:val="0084494C"/>
    <w:rsid w:val="008449AC"/>
    <w:rsid w:val="008449B6"/>
    <w:rsid w:val="008449BA"/>
    <w:rsid w:val="00844ACA"/>
    <w:rsid w:val="00844AF0"/>
    <w:rsid w:val="00844B56"/>
    <w:rsid w:val="00844B5A"/>
    <w:rsid w:val="00844BCE"/>
    <w:rsid w:val="00844C14"/>
    <w:rsid w:val="00844C39"/>
    <w:rsid w:val="00844C3B"/>
    <w:rsid w:val="00844C3C"/>
    <w:rsid w:val="00844CB5"/>
    <w:rsid w:val="00844D8E"/>
    <w:rsid w:val="00844DAE"/>
    <w:rsid w:val="00844DE2"/>
    <w:rsid w:val="00844DEC"/>
    <w:rsid w:val="00844DF4"/>
    <w:rsid w:val="00844DF9"/>
    <w:rsid w:val="00844E24"/>
    <w:rsid w:val="00844E98"/>
    <w:rsid w:val="00844ECD"/>
    <w:rsid w:val="00844EF2"/>
    <w:rsid w:val="00844F06"/>
    <w:rsid w:val="00844F6A"/>
    <w:rsid w:val="00844F7B"/>
    <w:rsid w:val="00844F84"/>
    <w:rsid w:val="0084500C"/>
    <w:rsid w:val="0084502D"/>
    <w:rsid w:val="0084502E"/>
    <w:rsid w:val="00845036"/>
    <w:rsid w:val="0084504E"/>
    <w:rsid w:val="0084505D"/>
    <w:rsid w:val="00845060"/>
    <w:rsid w:val="0084506C"/>
    <w:rsid w:val="00845099"/>
    <w:rsid w:val="008450CF"/>
    <w:rsid w:val="0084510C"/>
    <w:rsid w:val="00845146"/>
    <w:rsid w:val="00845147"/>
    <w:rsid w:val="00845198"/>
    <w:rsid w:val="008451C1"/>
    <w:rsid w:val="00845227"/>
    <w:rsid w:val="00845250"/>
    <w:rsid w:val="0084528D"/>
    <w:rsid w:val="008452F3"/>
    <w:rsid w:val="0084530B"/>
    <w:rsid w:val="0084532A"/>
    <w:rsid w:val="00845373"/>
    <w:rsid w:val="008453B2"/>
    <w:rsid w:val="00845426"/>
    <w:rsid w:val="0084543C"/>
    <w:rsid w:val="0084544E"/>
    <w:rsid w:val="008454E0"/>
    <w:rsid w:val="00845538"/>
    <w:rsid w:val="00845562"/>
    <w:rsid w:val="008455DE"/>
    <w:rsid w:val="008455F3"/>
    <w:rsid w:val="0084563C"/>
    <w:rsid w:val="0084568E"/>
    <w:rsid w:val="008456AB"/>
    <w:rsid w:val="008456D4"/>
    <w:rsid w:val="0084577F"/>
    <w:rsid w:val="00845783"/>
    <w:rsid w:val="0084579E"/>
    <w:rsid w:val="008457A0"/>
    <w:rsid w:val="008457A2"/>
    <w:rsid w:val="00845840"/>
    <w:rsid w:val="0084584F"/>
    <w:rsid w:val="00845852"/>
    <w:rsid w:val="008458CA"/>
    <w:rsid w:val="008458D4"/>
    <w:rsid w:val="008458FF"/>
    <w:rsid w:val="00845920"/>
    <w:rsid w:val="00845927"/>
    <w:rsid w:val="0084594C"/>
    <w:rsid w:val="0084595A"/>
    <w:rsid w:val="00845979"/>
    <w:rsid w:val="008459D7"/>
    <w:rsid w:val="008459E6"/>
    <w:rsid w:val="00845A24"/>
    <w:rsid w:val="00845A40"/>
    <w:rsid w:val="00845A7B"/>
    <w:rsid w:val="00845A83"/>
    <w:rsid w:val="00845A9B"/>
    <w:rsid w:val="00845AEC"/>
    <w:rsid w:val="00845B03"/>
    <w:rsid w:val="00845BA6"/>
    <w:rsid w:val="00845BD2"/>
    <w:rsid w:val="00845CAA"/>
    <w:rsid w:val="00845CC6"/>
    <w:rsid w:val="00845CF7"/>
    <w:rsid w:val="00845CFF"/>
    <w:rsid w:val="00845D2A"/>
    <w:rsid w:val="00845D52"/>
    <w:rsid w:val="00845D5F"/>
    <w:rsid w:val="00845D6B"/>
    <w:rsid w:val="00845D85"/>
    <w:rsid w:val="00845E75"/>
    <w:rsid w:val="00845E79"/>
    <w:rsid w:val="00845E97"/>
    <w:rsid w:val="00845E9D"/>
    <w:rsid w:val="00845E9F"/>
    <w:rsid w:val="00845EB9"/>
    <w:rsid w:val="00845F13"/>
    <w:rsid w:val="00845FD2"/>
    <w:rsid w:val="0084600C"/>
    <w:rsid w:val="00846027"/>
    <w:rsid w:val="0084604D"/>
    <w:rsid w:val="0084607D"/>
    <w:rsid w:val="00846100"/>
    <w:rsid w:val="00846136"/>
    <w:rsid w:val="0084615D"/>
    <w:rsid w:val="00846188"/>
    <w:rsid w:val="00846189"/>
    <w:rsid w:val="00846195"/>
    <w:rsid w:val="008461AC"/>
    <w:rsid w:val="008461B0"/>
    <w:rsid w:val="00846225"/>
    <w:rsid w:val="00846239"/>
    <w:rsid w:val="0084626C"/>
    <w:rsid w:val="008463B8"/>
    <w:rsid w:val="008463D3"/>
    <w:rsid w:val="008463DC"/>
    <w:rsid w:val="0084640A"/>
    <w:rsid w:val="0084649A"/>
    <w:rsid w:val="008464CE"/>
    <w:rsid w:val="008464D8"/>
    <w:rsid w:val="00846517"/>
    <w:rsid w:val="0084654E"/>
    <w:rsid w:val="00846552"/>
    <w:rsid w:val="00846553"/>
    <w:rsid w:val="008465CF"/>
    <w:rsid w:val="008465F0"/>
    <w:rsid w:val="00846629"/>
    <w:rsid w:val="0084666B"/>
    <w:rsid w:val="00846729"/>
    <w:rsid w:val="00846744"/>
    <w:rsid w:val="00846769"/>
    <w:rsid w:val="0084676D"/>
    <w:rsid w:val="0084677A"/>
    <w:rsid w:val="008467A5"/>
    <w:rsid w:val="008467D8"/>
    <w:rsid w:val="0084682E"/>
    <w:rsid w:val="00846844"/>
    <w:rsid w:val="00846873"/>
    <w:rsid w:val="0084687D"/>
    <w:rsid w:val="008468B9"/>
    <w:rsid w:val="008468CC"/>
    <w:rsid w:val="008468E9"/>
    <w:rsid w:val="00846966"/>
    <w:rsid w:val="008469A7"/>
    <w:rsid w:val="008469BF"/>
    <w:rsid w:val="008469E7"/>
    <w:rsid w:val="00846A41"/>
    <w:rsid w:val="00846A55"/>
    <w:rsid w:val="00846A66"/>
    <w:rsid w:val="00846ACD"/>
    <w:rsid w:val="00846ADA"/>
    <w:rsid w:val="00846AF5"/>
    <w:rsid w:val="00846B0F"/>
    <w:rsid w:val="00846B36"/>
    <w:rsid w:val="00846B4B"/>
    <w:rsid w:val="00846B52"/>
    <w:rsid w:val="00846B5E"/>
    <w:rsid w:val="00846B8A"/>
    <w:rsid w:val="00846BB0"/>
    <w:rsid w:val="00846BC4"/>
    <w:rsid w:val="00846BD9"/>
    <w:rsid w:val="00846C92"/>
    <w:rsid w:val="00846CC3"/>
    <w:rsid w:val="00846CC6"/>
    <w:rsid w:val="00846CEE"/>
    <w:rsid w:val="00846D2E"/>
    <w:rsid w:val="00846D71"/>
    <w:rsid w:val="00846D9E"/>
    <w:rsid w:val="00846DF6"/>
    <w:rsid w:val="00846EB7"/>
    <w:rsid w:val="00846F9E"/>
    <w:rsid w:val="00846FD7"/>
    <w:rsid w:val="00847068"/>
    <w:rsid w:val="0084707B"/>
    <w:rsid w:val="008470C7"/>
    <w:rsid w:val="00847103"/>
    <w:rsid w:val="00847107"/>
    <w:rsid w:val="0084711A"/>
    <w:rsid w:val="0084712F"/>
    <w:rsid w:val="00847132"/>
    <w:rsid w:val="00847146"/>
    <w:rsid w:val="008471F1"/>
    <w:rsid w:val="008471F8"/>
    <w:rsid w:val="00847211"/>
    <w:rsid w:val="00847284"/>
    <w:rsid w:val="00847332"/>
    <w:rsid w:val="0084739F"/>
    <w:rsid w:val="008473C1"/>
    <w:rsid w:val="008473C3"/>
    <w:rsid w:val="00847421"/>
    <w:rsid w:val="00847456"/>
    <w:rsid w:val="0084756A"/>
    <w:rsid w:val="008475C6"/>
    <w:rsid w:val="008475F2"/>
    <w:rsid w:val="0084768E"/>
    <w:rsid w:val="008476A8"/>
    <w:rsid w:val="008476BE"/>
    <w:rsid w:val="008476CF"/>
    <w:rsid w:val="008476D7"/>
    <w:rsid w:val="008476D8"/>
    <w:rsid w:val="00847768"/>
    <w:rsid w:val="0084778B"/>
    <w:rsid w:val="008477A3"/>
    <w:rsid w:val="008477BE"/>
    <w:rsid w:val="008477F9"/>
    <w:rsid w:val="00847811"/>
    <w:rsid w:val="00847890"/>
    <w:rsid w:val="008478CF"/>
    <w:rsid w:val="008478E1"/>
    <w:rsid w:val="0084790D"/>
    <w:rsid w:val="00847932"/>
    <w:rsid w:val="0084793C"/>
    <w:rsid w:val="00847999"/>
    <w:rsid w:val="008479A5"/>
    <w:rsid w:val="00847A75"/>
    <w:rsid w:val="00847A95"/>
    <w:rsid w:val="00847AB1"/>
    <w:rsid w:val="00847ADC"/>
    <w:rsid w:val="00847B25"/>
    <w:rsid w:val="00847B29"/>
    <w:rsid w:val="00847B2D"/>
    <w:rsid w:val="00847B53"/>
    <w:rsid w:val="00847B9C"/>
    <w:rsid w:val="00847C39"/>
    <w:rsid w:val="00847C74"/>
    <w:rsid w:val="00847C8A"/>
    <w:rsid w:val="00847CB6"/>
    <w:rsid w:val="00847CB8"/>
    <w:rsid w:val="00847CDC"/>
    <w:rsid w:val="00847D13"/>
    <w:rsid w:val="00847D7D"/>
    <w:rsid w:val="00847DC6"/>
    <w:rsid w:val="00847DFF"/>
    <w:rsid w:val="00847E11"/>
    <w:rsid w:val="00847E16"/>
    <w:rsid w:val="00847E23"/>
    <w:rsid w:val="00847E4A"/>
    <w:rsid w:val="00847E58"/>
    <w:rsid w:val="00847E7C"/>
    <w:rsid w:val="00847E89"/>
    <w:rsid w:val="00847F5E"/>
    <w:rsid w:val="00847F5F"/>
    <w:rsid w:val="00847FAB"/>
    <w:rsid w:val="00850002"/>
    <w:rsid w:val="00850047"/>
    <w:rsid w:val="0085005A"/>
    <w:rsid w:val="00850067"/>
    <w:rsid w:val="00850163"/>
    <w:rsid w:val="0085016A"/>
    <w:rsid w:val="008501A9"/>
    <w:rsid w:val="008501B6"/>
    <w:rsid w:val="008501DA"/>
    <w:rsid w:val="00850210"/>
    <w:rsid w:val="00850228"/>
    <w:rsid w:val="0085027F"/>
    <w:rsid w:val="008502A3"/>
    <w:rsid w:val="008502AC"/>
    <w:rsid w:val="008502D7"/>
    <w:rsid w:val="008502E7"/>
    <w:rsid w:val="00850306"/>
    <w:rsid w:val="0085038B"/>
    <w:rsid w:val="008503EE"/>
    <w:rsid w:val="00850421"/>
    <w:rsid w:val="0085042E"/>
    <w:rsid w:val="0085044B"/>
    <w:rsid w:val="00850482"/>
    <w:rsid w:val="0085052E"/>
    <w:rsid w:val="00850584"/>
    <w:rsid w:val="00850602"/>
    <w:rsid w:val="0085062E"/>
    <w:rsid w:val="00850658"/>
    <w:rsid w:val="008506C4"/>
    <w:rsid w:val="008506DF"/>
    <w:rsid w:val="00850720"/>
    <w:rsid w:val="00850731"/>
    <w:rsid w:val="00850770"/>
    <w:rsid w:val="008507F0"/>
    <w:rsid w:val="00850831"/>
    <w:rsid w:val="00850891"/>
    <w:rsid w:val="00850899"/>
    <w:rsid w:val="008508A4"/>
    <w:rsid w:val="008508CE"/>
    <w:rsid w:val="008509EC"/>
    <w:rsid w:val="00850A03"/>
    <w:rsid w:val="00850A0B"/>
    <w:rsid w:val="00850AB0"/>
    <w:rsid w:val="00850ABD"/>
    <w:rsid w:val="00850ACE"/>
    <w:rsid w:val="00850ACF"/>
    <w:rsid w:val="00850AD7"/>
    <w:rsid w:val="00850B0B"/>
    <w:rsid w:val="00850B1F"/>
    <w:rsid w:val="00850B3F"/>
    <w:rsid w:val="00850BB0"/>
    <w:rsid w:val="00850BB2"/>
    <w:rsid w:val="00850BFA"/>
    <w:rsid w:val="00850C1D"/>
    <w:rsid w:val="00850C55"/>
    <w:rsid w:val="00850CA2"/>
    <w:rsid w:val="00850D29"/>
    <w:rsid w:val="00850D58"/>
    <w:rsid w:val="00850D6A"/>
    <w:rsid w:val="00850D8F"/>
    <w:rsid w:val="00850D9B"/>
    <w:rsid w:val="00850DA8"/>
    <w:rsid w:val="00850DAC"/>
    <w:rsid w:val="00850E20"/>
    <w:rsid w:val="00850EE2"/>
    <w:rsid w:val="00850F36"/>
    <w:rsid w:val="00850F6C"/>
    <w:rsid w:val="00850FB8"/>
    <w:rsid w:val="00850FF9"/>
    <w:rsid w:val="0085106F"/>
    <w:rsid w:val="008510C2"/>
    <w:rsid w:val="008510CC"/>
    <w:rsid w:val="00851133"/>
    <w:rsid w:val="00851136"/>
    <w:rsid w:val="00851190"/>
    <w:rsid w:val="00851199"/>
    <w:rsid w:val="008511AC"/>
    <w:rsid w:val="008511DB"/>
    <w:rsid w:val="00851208"/>
    <w:rsid w:val="0085122C"/>
    <w:rsid w:val="00851295"/>
    <w:rsid w:val="008512BE"/>
    <w:rsid w:val="008512DB"/>
    <w:rsid w:val="00851352"/>
    <w:rsid w:val="008513AA"/>
    <w:rsid w:val="00851404"/>
    <w:rsid w:val="00851428"/>
    <w:rsid w:val="008514CC"/>
    <w:rsid w:val="008514E2"/>
    <w:rsid w:val="00851541"/>
    <w:rsid w:val="00851588"/>
    <w:rsid w:val="00851595"/>
    <w:rsid w:val="008515A1"/>
    <w:rsid w:val="008515B5"/>
    <w:rsid w:val="00851615"/>
    <w:rsid w:val="00851664"/>
    <w:rsid w:val="0085166C"/>
    <w:rsid w:val="00851698"/>
    <w:rsid w:val="008516F3"/>
    <w:rsid w:val="00851723"/>
    <w:rsid w:val="00851739"/>
    <w:rsid w:val="0085174F"/>
    <w:rsid w:val="008517BA"/>
    <w:rsid w:val="008517E8"/>
    <w:rsid w:val="008517F4"/>
    <w:rsid w:val="00851827"/>
    <w:rsid w:val="00851836"/>
    <w:rsid w:val="00851878"/>
    <w:rsid w:val="00851885"/>
    <w:rsid w:val="008518A2"/>
    <w:rsid w:val="0085193D"/>
    <w:rsid w:val="00851952"/>
    <w:rsid w:val="00851A8B"/>
    <w:rsid w:val="00851A9F"/>
    <w:rsid w:val="00851ABE"/>
    <w:rsid w:val="00851B09"/>
    <w:rsid w:val="00851B9F"/>
    <w:rsid w:val="00851BC9"/>
    <w:rsid w:val="00851BCA"/>
    <w:rsid w:val="00851C44"/>
    <w:rsid w:val="00851C49"/>
    <w:rsid w:val="00851C6C"/>
    <w:rsid w:val="00851CA7"/>
    <w:rsid w:val="00851D4C"/>
    <w:rsid w:val="00851D52"/>
    <w:rsid w:val="00851D68"/>
    <w:rsid w:val="00851D93"/>
    <w:rsid w:val="00851DAB"/>
    <w:rsid w:val="00851DAE"/>
    <w:rsid w:val="00851DBE"/>
    <w:rsid w:val="00851E09"/>
    <w:rsid w:val="00851E99"/>
    <w:rsid w:val="00851E9F"/>
    <w:rsid w:val="00851ED2"/>
    <w:rsid w:val="00851F2B"/>
    <w:rsid w:val="00851F48"/>
    <w:rsid w:val="00851F6D"/>
    <w:rsid w:val="00851F90"/>
    <w:rsid w:val="00851FE1"/>
    <w:rsid w:val="00851FE5"/>
    <w:rsid w:val="00851FF4"/>
    <w:rsid w:val="00852001"/>
    <w:rsid w:val="00852004"/>
    <w:rsid w:val="00852015"/>
    <w:rsid w:val="0085203C"/>
    <w:rsid w:val="0085204B"/>
    <w:rsid w:val="00852054"/>
    <w:rsid w:val="00852075"/>
    <w:rsid w:val="0085209B"/>
    <w:rsid w:val="008520A3"/>
    <w:rsid w:val="008520A7"/>
    <w:rsid w:val="00852149"/>
    <w:rsid w:val="0085218F"/>
    <w:rsid w:val="008521A4"/>
    <w:rsid w:val="00852236"/>
    <w:rsid w:val="0085223E"/>
    <w:rsid w:val="00852269"/>
    <w:rsid w:val="0085226A"/>
    <w:rsid w:val="00852295"/>
    <w:rsid w:val="008522CE"/>
    <w:rsid w:val="008522D5"/>
    <w:rsid w:val="00852342"/>
    <w:rsid w:val="008523B7"/>
    <w:rsid w:val="008523C2"/>
    <w:rsid w:val="008523D3"/>
    <w:rsid w:val="008523EE"/>
    <w:rsid w:val="00852400"/>
    <w:rsid w:val="0085241A"/>
    <w:rsid w:val="00852435"/>
    <w:rsid w:val="00852462"/>
    <w:rsid w:val="00852482"/>
    <w:rsid w:val="00852498"/>
    <w:rsid w:val="008524A5"/>
    <w:rsid w:val="008524AA"/>
    <w:rsid w:val="008524D5"/>
    <w:rsid w:val="00852504"/>
    <w:rsid w:val="00852568"/>
    <w:rsid w:val="00852598"/>
    <w:rsid w:val="008525AD"/>
    <w:rsid w:val="008525F9"/>
    <w:rsid w:val="008525FB"/>
    <w:rsid w:val="00852673"/>
    <w:rsid w:val="00852686"/>
    <w:rsid w:val="008526A9"/>
    <w:rsid w:val="008526AA"/>
    <w:rsid w:val="008526F5"/>
    <w:rsid w:val="0085273B"/>
    <w:rsid w:val="0085274D"/>
    <w:rsid w:val="00852803"/>
    <w:rsid w:val="00852806"/>
    <w:rsid w:val="00852822"/>
    <w:rsid w:val="00852835"/>
    <w:rsid w:val="0085283C"/>
    <w:rsid w:val="00852846"/>
    <w:rsid w:val="0085285F"/>
    <w:rsid w:val="008528F4"/>
    <w:rsid w:val="008528F5"/>
    <w:rsid w:val="0085296D"/>
    <w:rsid w:val="00852989"/>
    <w:rsid w:val="008529B6"/>
    <w:rsid w:val="008529C6"/>
    <w:rsid w:val="00852A5E"/>
    <w:rsid w:val="00852A9D"/>
    <w:rsid w:val="00852AA8"/>
    <w:rsid w:val="00852AC1"/>
    <w:rsid w:val="00852AD0"/>
    <w:rsid w:val="00852AF7"/>
    <w:rsid w:val="00852B1D"/>
    <w:rsid w:val="00852B50"/>
    <w:rsid w:val="00852B80"/>
    <w:rsid w:val="00852BE5"/>
    <w:rsid w:val="00852CBE"/>
    <w:rsid w:val="00852D0B"/>
    <w:rsid w:val="00852D20"/>
    <w:rsid w:val="00852D55"/>
    <w:rsid w:val="00852D61"/>
    <w:rsid w:val="00852DE1"/>
    <w:rsid w:val="00852E23"/>
    <w:rsid w:val="00852EAC"/>
    <w:rsid w:val="00852ED7"/>
    <w:rsid w:val="00852F31"/>
    <w:rsid w:val="00852F4D"/>
    <w:rsid w:val="00852F57"/>
    <w:rsid w:val="00852FA3"/>
    <w:rsid w:val="00852FB0"/>
    <w:rsid w:val="00852FDC"/>
    <w:rsid w:val="00852FF1"/>
    <w:rsid w:val="00853022"/>
    <w:rsid w:val="0085304B"/>
    <w:rsid w:val="00853153"/>
    <w:rsid w:val="00853179"/>
    <w:rsid w:val="00853181"/>
    <w:rsid w:val="0085318E"/>
    <w:rsid w:val="008531F4"/>
    <w:rsid w:val="00853217"/>
    <w:rsid w:val="0085328C"/>
    <w:rsid w:val="008532F3"/>
    <w:rsid w:val="00853343"/>
    <w:rsid w:val="008533B2"/>
    <w:rsid w:val="008533ED"/>
    <w:rsid w:val="0085344A"/>
    <w:rsid w:val="00853490"/>
    <w:rsid w:val="008534C0"/>
    <w:rsid w:val="00853531"/>
    <w:rsid w:val="0085353E"/>
    <w:rsid w:val="0085354C"/>
    <w:rsid w:val="00853580"/>
    <w:rsid w:val="00853598"/>
    <w:rsid w:val="008535CD"/>
    <w:rsid w:val="008535DC"/>
    <w:rsid w:val="008535DF"/>
    <w:rsid w:val="008535F1"/>
    <w:rsid w:val="0085362D"/>
    <w:rsid w:val="008536AF"/>
    <w:rsid w:val="008536CB"/>
    <w:rsid w:val="0085371A"/>
    <w:rsid w:val="0085379C"/>
    <w:rsid w:val="008537D0"/>
    <w:rsid w:val="00853824"/>
    <w:rsid w:val="00853847"/>
    <w:rsid w:val="00853862"/>
    <w:rsid w:val="00853875"/>
    <w:rsid w:val="00853918"/>
    <w:rsid w:val="0085393F"/>
    <w:rsid w:val="0085395E"/>
    <w:rsid w:val="00853976"/>
    <w:rsid w:val="008539C7"/>
    <w:rsid w:val="008539E4"/>
    <w:rsid w:val="00853A2A"/>
    <w:rsid w:val="00853A30"/>
    <w:rsid w:val="00853A80"/>
    <w:rsid w:val="00853A8A"/>
    <w:rsid w:val="00853ABF"/>
    <w:rsid w:val="00853AE1"/>
    <w:rsid w:val="00853AEA"/>
    <w:rsid w:val="00853B42"/>
    <w:rsid w:val="00853B5F"/>
    <w:rsid w:val="00853BA7"/>
    <w:rsid w:val="00853BEE"/>
    <w:rsid w:val="00853C1B"/>
    <w:rsid w:val="00853C26"/>
    <w:rsid w:val="00853CBE"/>
    <w:rsid w:val="00853CC0"/>
    <w:rsid w:val="00853E0F"/>
    <w:rsid w:val="00853E44"/>
    <w:rsid w:val="00853EB2"/>
    <w:rsid w:val="00853F04"/>
    <w:rsid w:val="00853F19"/>
    <w:rsid w:val="00853F5B"/>
    <w:rsid w:val="00853F72"/>
    <w:rsid w:val="0085400C"/>
    <w:rsid w:val="00854026"/>
    <w:rsid w:val="0085403A"/>
    <w:rsid w:val="00854041"/>
    <w:rsid w:val="0085408E"/>
    <w:rsid w:val="0085412F"/>
    <w:rsid w:val="0085415D"/>
    <w:rsid w:val="00854171"/>
    <w:rsid w:val="008541AD"/>
    <w:rsid w:val="008541B6"/>
    <w:rsid w:val="008541FB"/>
    <w:rsid w:val="0085423B"/>
    <w:rsid w:val="00854280"/>
    <w:rsid w:val="008542C5"/>
    <w:rsid w:val="0085431C"/>
    <w:rsid w:val="00854389"/>
    <w:rsid w:val="008543C5"/>
    <w:rsid w:val="008543E2"/>
    <w:rsid w:val="008543E7"/>
    <w:rsid w:val="008543EE"/>
    <w:rsid w:val="00854405"/>
    <w:rsid w:val="00854421"/>
    <w:rsid w:val="0085444F"/>
    <w:rsid w:val="008544A8"/>
    <w:rsid w:val="008544AC"/>
    <w:rsid w:val="00854546"/>
    <w:rsid w:val="0085455E"/>
    <w:rsid w:val="00854578"/>
    <w:rsid w:val="00854579"/>
    <w:rsid w:val="008545CB"/>
    <w:rsid w:val="008545CC"/>
    <w:rsid w:val="008545ED"/>
    <w:rsid w:val="0085460E"/>
    <w:rsid w:val="00854649"/>
    <w:rsid w:val="00854654"/>
    <w:rsid w:val="00854672"/>
    <w:rsid w:val="008546A5"/>
    <w:rsid w:val="00854782"/>
    <w:rsid w:val="008547D6"/>
    <w:rsid w:val="008547F0"/>
    <w:rsid w:val="0085484E"/>
    <w:rsid w:val="0085486F"/>
    <w:rsid w:val="008548CE"/>
    <w:rsid w:val="008548D3"/>
    <w:rsid w:val="008548F7"/>
    <w:rsid w:val="0085492D"/>
    <w:rsid w:val="00854940"/>
    <w:rsid w:val="008549B2"/>
    <w:rsid w:val="00854A1B"/>
    <w:rsid w:val="00854A43"/>
    <w:rsid w:val="00854ADC"/>
    <w:rsid w:val="00854B1B"/>
    <w:rsid w:val="00854B1C"/>
    <w:rsid w:val="00854B36"/>
    <w:rsid w:val="00854B90"/>
    <w:rsid w:val="00854B94"/>
    <w:rsid w:val="00854BC4"/>
    <w:rsid w:val="00854BDB"/>
    <w:rsid w:val="00854BF7"/>
    <w:rsid w:val="00854C29"/>
    <w:rsid w:val="00854C86"/>
    <w:rsid w:val="00854CA8"/>
    <w:rsid w:val="00854CE0"/>
    <w:rsid w:val="00854D11"/>
    <w:rsid w:val="00854D48"/>
    <w:rsid w:val="00854D67"/>
    <w:rsid w:val="00854D9D"/>
    <w:rsid w:val="00854DAE"/>
    <w:rsid w:val="00854DB9"/>
    <w:rsid w:val="00854DD2"/>
    <w:rsid w:val="00854E3A"/>
    <w:rsid w:val="00854E40"/>
    <w:rsid w:val="00854EC8"/>
    <w:rsid w:val="00854F3C"/>
    <w:rsid w:val="00854F85"/>
    <w:rsid w:val="00854FAB"/>
    <w:rsid w:val="00854FD0"/>
    <w:rsid w:val="00855029"/>
    <w:rsid w:val="00855035"/>
    <w:rsid w:val="00855040"/>
    <w:rsid w:val="00855046"/>
    <w:rsid w:val="0085509B"/>
    <w:rsid w:val="00855151"/>
    <w:rsid w:val="0085515C"/>
    <w:rsid w:val="0085516A"/>
    <w:rsid w:val="0085518B"/>
    <w:rsid w:val="008551BE"/>
    <w:rsid w:val="008551C0"/>
    <w:rsid w:val="008551C8"/>
    <w:rsid w:val="008551FC"/>
    <w:rsid w:val="00855221"/>
    <w:rsid w:val="00855242"/>
    <w:rsid w:val="0085525A"/>
    <w:rsid w:val="0085526E"/>
    <w:rsid w:val="008552D3"/>
    <w:rsid w:val="008552DD"/>
    <w:rsid w:val="008552E6"/>
    <w:rsid w:val="00855345"/>
    <w:rsid w:val="008553BB"/>
    <w:rsid w:val="008553F6"/>
    <w:rsid w:val="00855443"/>
    <w:rsid w:val="0085544E"/>
    <w:rsid w:val="0085545C"/>
    <w:rsid w:val="008554D0"/>
    <w:rsid w:val="008554F9"/>
    <w:rsid w:val="00855507"/>
    <w:rsid w:val="0085552B"/>
    <w:rsid w:val="00855543"/>
    <w:rsid w:val="00855587"/>
    <w:rsid w:val="00855590"/>
    <w:rsid w:val="008555BD"/>
    <w:rsid w:val="008555FE"/>
    <w:rsid w:val="0085560D"/>
    <w:rsid w:val="00855610"/>
    <w:rsid w:val="00855677"/>
    <w:rsid w:val="008556D8"/>
    <w:rsid w:val="008556EA"/>
    <w:rsid w:val="00855700"/>
    <w:rsid w:val="00855719"/>
    <w:rsid w:val="0085574F"/>
    <w:rsid w:val="0085577E"/>
    <w:rsid w:val="008557AA"/>
    <w:rsid w:val="00855832"/>
    <w:rsid w:val="00855869"/>
    <w:rsid w:val="00855931"/>
    <w:rsid w:val="0085593D"/>
    <w:rsid w:val="008559B1"/>
    <w:rsid w:val="008559B4"/>
    <w:rsid w:val="008559BD"/>
    <w:rsid w:val="00855A23"/>
    <w:rsid w:val="00855A8F"/>
    <w:rsid w:val="00855B08"/>
    <w:rsid w:val="00855B63"/>
    <w:rsid w:val="00855B78"/>
    <w:rsid w:val="00855BBE"/>
    <w:rsid w:val="00855BDA"/>
    <w:rsid w:val="00855BDB"/>
    <w:rsid w:val="00855C6A"/>
    <w:rsid w:val="00855C8C"/>
    <w:rsid w:val="00855C96"/>
    <w:rsid w:val="00855CC0"/>
    <w:rsid w:val="00855CE7"/>
    <w:rsid w:val="00855CEA"/>
    <w:rsid w:val="00855DE1"/>
    <w:rsid w:val="00855E0B"/>
    <w:rsid w:val="00855E93"/>
    <w:rsid w:val="00855E9C"/>
    <w:rsid w:val="00855EA6"/>
    <w:rsid w:val="00855EB6"/>
    <w:rsid w:val="00855EDC"/>
    <w:rsid w:val="00855F12"/>
    <w:rsid w:val="00856069"/>
    <w:rsid w:val="00856075"/>
    <w:rsid w:val="008560DC"/>
    <w:rsid w:val="0085613E"/>
    <w:rsid w:val="0085618B"/>
    <w:rsid w:val="008561AD"/>
    <w:rsid w:val="008561D2"/>
    <w:rsid w:val="0085622C"/>
    <w:rsid w:val="0085633D"/>
    <w:rsid w:val="008563AC"/>
    <w:rsid w:val="00856434"/>
    <w:rsid w:val="00856471"/>
    <w:rsid w:val="00856482"/>
    <w:rsid w:val="00856503"/>
    <w:rsid w:val="00856562"/>
    <w:rsid w:val="00856583"/>
    <w:rsid w:val="0085659E"/>
    <w:rsid w:val="008565A4"/>
    <w:rsid w:val="00856646"/>
    <w:rsid w:val="0085665E"/>
    <w:rsid w:val="00856678"/>
    <w:rsid w:val="00856689"/>
    <w:rsid w:val="0085678C"/>
    <w:rsid w:val="008567C1"/>
    <w:rsid w:val="008567ED"/>
    <w:rsid w:val="0085685A"/>
    <w:rsid w:val="00856883"/>
    <w:rsid w:val="00856895"/>
    <w:rsid w:val="00856899"/>
    <w:rsid w:val="0085693A"/>
    <w:rsid w:val="0085696B"/>
    <w:rsid w:val="00856985"/>
    <w:rsid w:val="00856A0A"/>
    <w:rsid w:val="00856A16"/>
    <w:rsid w:val="00856A61"/>
    <w:rsid w:val="00856A69"/>
    <w:rsid w:val="00856A9A"/>
    <w:rsid w:val="00856AF9"/>
    <w:rsid w:val="00856B29"/>
    <w:rsid w:val="00856B4F"/>
    <w:rsid w:val="00856B7B"/>
    <w:rsid w:val="00856BB8"/>
    <w:rsid w:val="00856BBD"/>
    <w:rsid w:val="00856C46"/>
    <w:rsid w:val="00856C78"/>
    <w:rsid w:val="00856C7E"/>
    <w:rsid w:val="00856C9B"/>
    <w:rsid w:val="00856CD4"/>
    <w:rsid w:val="00856CDD"/>
    <w:rsid w:val="00856CE5"/>
    <w:rsid w:val="00856D18"/>
    <w:rsid w:val="00856D3C"/>
    <w:rsid w:val="00856DC5"/>
    <w:rsid w:val="00856DE5"/>
    <w:rsid w:val="00856DEB"/>
    <w:rsid w:val="00856DEF"/>
    <w:rsid w:val="00856DFB"/>
    <w:rsid w:val="00856E3A"/>
    <w:rsid w:val="00856E68"/>
    <w:rsid w:val="00856E96"/>
    <w:rsid w:val="00856E99"/>
    <w:rsid w:val="00856F1A"/>
    <w:rsid w:val="00856F3E"/>
    <w:rsid w:val="00856F85"/>
    <w:rsid w:val="00856FA5"/>
    <w:rsid w:val="00856FD3"/>
    <w:rsid w:val="00856FFD"/>
    <w:rsid w:val="00857033"/>
    <w:rsid w:val="00857069"/>
    <w:rsid w:val="008570EE"/>
    <w:rsid w:val="008570FB"/>
    <w:rsid w:val="0085713F"/>
    <w:rsid w:val="0085714B"/>
    <w:rsid w:val="00857189"/>
    <w:rsid w:val="008571A6"/>
    <w:rsid w:val="008571AC"/>
    <w:rsid w:val="008571BC"/>
    <w:rsid w:val="008571D5"/>
    <w:rsid w:val="00857207"/>
    <w:rsid w:val="00857236"/>
    <w:rsid w:val="008572CB"/>
    <w:rsid w:val="00857311"/>
    <w:rsid w:val="00857391"/>
    <w:rsid w:val="008573AB"/>
    <w:rsid w:val="0085740A"/>
    <w:rsid w:val="0085745A"/>
    <w:rsid w:val="00857485"/>
    <w:rsid w:val="008574A1"/>
    <w:rsid w:val="008574D1"/>
    <w:rsid w:val="008574E1"/>
    <w:rsid w:val="008574F1"/>
    <w:rsid w:val="008574F4"/>
    <w:rsid w:val="00857512"/>
    <w:rsid w:val="00857516"/>
    <w:rsid w:val="00857538"/>
    <w:rsid w:val="0085753D"/>
    <w:rsid w:val="0085758C"/>
    <w:rsid w:val="0085761D"/>
    <w:rsid w:val="00857659"/>
    <w:rsid w:val="00857673"/>
    <w:rsid w:val="0085767D"/>
    <w:rsid w:val="0085769B"/>
    <w:rsid w:val="008576EB"/>
    <w:rsid w:val="008576F0"/>
    <w:rsid w:val="00857746"/>
    <w:rsid w:val="008577B0"/>
    <w:rsid w:val="008577DD"/>
    <w:rsid w:val="00857818"/>
    <w:rsid w:val="00857857"/>
    <w:rsid w:val="0085787C"/>
    <w:rsid w:val="008578EE"/>
    <w:rsid w:val="00857908"/>
    <w:rsid w:val="00857968"/>
    <w:rsid w:val="008579A0"/>
    <w:rsid w:val="008579A8"/>
    <w:rsid w:val="008579DF"/>
    <w:rsid w:val="008579ED"/>
    <w:rsid w:val="00857A8F"/>
    <w:rsid w:val="00857AC2"/>
    <w:rsid w:val="00857ADC"/>
    <w:rsid w:val="00857B1B"/>
    <w:rsid w:val="00857B33"/>
    <w:rsid w:val="00857B48"/>
    <w:rsid w:val="00857B67"/>
    <w:rsid w:val="00857B78"/>
    <w:rsid w:val="00857B8E"/>
    <w:rsid w:val="00857BB5"/>
    <w:rsid w:val="00857C81"/>
    <w:rsid w:val="00857C9D"/>
    <w:rsid w:val="00857CBA"/>
    <w:rsid w:val="00857CF8"/>
    <w:rsid w:val="00857CFC"/>
    <w:rsid w:val="00857D59"/>
    <w:rsid w:val="00857D9C"/>
    <w:rsid w:val="00857DB7"/>
    <w:rsid w:val="00857DDB"/>
    <w:rsid w:val="00857DEA"/>
    <w:rsid w:val="00857E01"/>
    <w:rsid w:val="00857E2E"/>
    <w:rsid w:val="00857E7D"/>
    <w:rsid w:val="00857E95"/>
    <w:rsid w:val="00857ECF"/>
    <w:rsid w:val="00857F07"/>
    <w:rsid w:val="00857F36"/>
    <w:rsid w:val="00857F7C"/>
    <w:rsid w:val="00857FA0"/>
    <w:rsid w:val="00857FA3"/>
    <w:rsid w:val="00860004"/>
    <w:rsid w:val="0086001E"/>
    <w:rsid w:val="00860028"/>
    <w:rsid w:val="00860068"/>
    <w:rsid w:val="00860089"/>
    <w:rsid w:val="0086009D"/>
    <w:rsid w:val="008600BB"/>
    <w:rsid w:val="008600E7"/>
    <w:rsid w:val="008600FE"/>
    <w:rsid w:val="00860124"/>
    <w:rsid w:val="00860138"/>
    <w:rsid w:val="00860150"/>
    <w:rsid w:val="0086016E"/>
    <w:rsid w:val="008601E1"/>
    <w:rsid w:val="008601FA"/>
    <w:rsid w:val="00860222"/>
    <w:rsid w:val="0086022E"/>
    <w:rsid w:val="00860233"/>
    <w:rsid w:val="00860245"/>
    <w:rsid w:val="0086026B"/>
    <w:rsid w:val="00860327"/>
    <w:rsid w:val="008603C4"/>
    <w:rsid w:val="008603F6"/>
    <w:rsid w:val="008603FC"/>
    <w:rsid w:val="00860406"/>
    <w:rsid w:val="0086041E"/>
    <w:rsid w:val="00860430"/>
    <w:rsid w:val="00860445"/>
    <w:rsid w:val="0086048D"/>
    <w:rsid w:val="008604E7"/>
    <w:rsid w:val="008604EB"/>
    <w:rsid w:val="008604FB"/>
    <w:rsid w:val="00860545"/>
    <w:rsid w:val="0086055B"/>
    <w:rsid w:val="0086057A"/>
    <w:rsid w:val="00860587"/>
    <w:rsid w:val="008605FA"/>
    <w:rsid w:val="00860669"/>
    <w:rsid w:val="00860672"/>
    <w:rsid w:val="00860681"/>
    <w:rsid w:val="008606D7"/>
    <w:rsid w:val="008606E9"/>
    <w:rsid w:val="008606F5"/>
    <w:rsid w:val="00860702"/>
    <w:rsid w:val="008607B5"/>
    <w:rsid w:val="008607F9"/>
    <w:rsid w:val="00860834"/>
    <w:rsid w:val="0086083F"/>
    <w:rsid w:val="00860846"/>
    <w:rsid w:val="00860848"/>
    <w:rsid w:val="0086084D"/>
    <w:rsid w:val="008608D6"/>
    <w:rsid w:val="008608E5"/>
    <w:rsid w:val="008608EB"/>
    <w:rsid w:val="0086092A"/>
    <w:rsid w:val="00860989"/>
    <w:rsid w:val="0086098B"/>
    <w:rsid w:val="008609A3"/>
    <w:rsid w:val="008609CC"/>
    <w:rsid w:val="00860A29"/>
    <w:rsid w:val="00860A34"/>
    <w:rsid w:val="00860AAA"/>
    <w:rsid w:val="00860AD2"/>
    <w:rsid w:val="00860BC2"/>
    <w:rsid w:val="00860C19"/>
    <w:rsid w:val="00860C49"/>
    <w:rsid w:val="00860C8F"/>
    <w:rsid w:val="00860C92"/>
    <w:rsid w:val="00860C97"/>
    <w:rsid w:val="00860CD2"/>
    <w:rsid w:val="00860CE6"/>
    <w:rsid w:val="00860D36"/>
    <w:rsid w:val="00860D4D"/>
    <w:rsid w:val="00860D5A"/>
    <w:rsid w:val="00860DFF"/>
    <w:rsid w:val="00860E3A"/>
    <w:rsid w:val="00860EA7"/>
    <w:rsid w:val="00860EDE"/>
    <w:rsid w:val="00860F1D"/>
    <w:rsid w:val="00860FD3"/>
    <w:rsid w:val="0086105C"/>
    <w:rsid w:val="008610B5"/>
    <w:rsid w:val="008610D1"/>
    <w:rsid w:val="0086111D"/>
    <w:rsid w:val="0086113C"/>
    <w:rsid w:val="00861148"/>
    <w:rsid w:val="008611AB"/>
    <w:rsid w:val="008611F1"/>
    <w:rsid w:val="00861204"/>
    <w:rsid w:val="00861226"/>
    <w:rsid w:val="00861229"/>
    <w:rsid w:val="00861241"/>
    <w:rsid w:val="0086125B"/>
    <w:rsid w:val="00861282"/>
    <w:rsid w:val="008612EE"/>
    <w:rsid w:val="008613AA"/>
    <w:rsid w:val="008613D0"/>
    <w:rsid w:val="008613EA"/>
    <w:rsid w:val="00861401"/>
    <w:rsid w:val="00861402"/>
    <w:rsid w:val="00861456"/>
    <w:rsid w:val="008614BC"/>
    <w:rsid w:val="008614F9"/>
    <w:rsid w:val="00861503"/>
    <w:rsid w:val="00861544"/>
    <w:rsid w:val="0086155D"/>
    <w:rsid w:val="0086155F"/>
    <w:rsid w:val="0086157B"/>
    <w:rsid w:val="008615C3"/>
    <w:rsid w:val="008615C6"/>
    <w:rsid w:val="00861611"/>
    <w:rsid w:val="00861631"/>
    <w:rsid w:val="0086164A"/>
    <w:rsid w:val="0086166D"/>
    <w:rsid w:val="00861680"/>
    <w:rsid w:val="008616AC"/>
    <w:rsid w:val="008616B8"/>
    <w:rsid w:val="00861750"/>
    <w:rsid w:val="00861759"/>
    <w:rsid w:val="008617C5"/>
    <w:rsid w:val="008617F2"/>
    <w:rsid w:val="008617FA"/>
    <w:rsid w:val="008618BD"/>
    <w:rsid w:val="008618C5"/>
    <w:rsid w:val="008618DF"/>
    <w:rsid w:val="00861966"/>
    <w:rsid w:val="00861970"/>
    <w:rsid w:val="008619B5"/>
    <w:rsid w:val="008619DE"/>
    <w:rsid w:val="00861A35"/>
    <w:rsid w:val="00861A6F"/>
    <w:rsid w:val="00861A89"/>
    <w:rsid w:val="00861AAD"/>
    <w:rsid w:val="00861B14"/>
    <w:rsid w:val="00861B2F"/>
    <w:rsid w:val="00861B42"/>
    <w:rsid w:val="00861B69"/>
    <w:rsid w:val="00861BA9"/>
    <w:rsid w:val="00861BCA"/>
    <w:rsid w:val="00861BF1"/>
    <w:rsid w:val="00861CFB"/>
    <w:rsid w:val="00861DA1"/>
    <w:rsid w:val="00861DE4"/>
    <w:rsid w:val="00861DE8"/>
    <w:rsid w:val="00861ED3"/>
    <w:rsid w:val="00861ED4"/>
    <w:rsid w:val="00861F21"/>
    <w:rsid w:val="00861F35"/>
    <w:rsid w:val="00861F86"/>
    <w:rsid w:val="00861FC3"/>
    <w:rsid w:val="00861FD0"/>
    <w:rsid w:val="00861FF1"/>
    <w:rsid w:val="0086201A"/>
    <w:rsid w:val="00862028"/>
    <w:rsid w:val="0086202F"/>
    <w:rsid w:val="00862032"/>
    <w:rsid w:val="008620A8"/>
    <w:rsid w:val="008620BD"/>
    <w:rsid w:val="008620BE"/>
    <w:rsid w:val="008620C2"/>
    <w:rsid w:val="008620D4"/>
    <w:rsid w:val="008620DD"/>
    <w:rsid w:val="008620E8"/>
    <w:rsid w:val="0086210C"/>
    <w:rsid w:val="0086217C"/>
    <w:rsid w:val="0086217F"/>
    <w:rsid w:val="0086218E"/>
    <w:rsid w:val="008621AC"/>
    <w:rsid w:val="0086223E"/>
    <w:rsid w:val="0086225B"/>
    <w:rsid w:val="00862272"/>
    <w:rsid w:val="00862276"/>
    <w:rsid w:val="008622B9"/>
    <w:rsid w:val="008622C7"/>
    <w:rsid w:val="008622DF"/>
    <w:rsid w:val="00862327"/>
    <w:rsid w:val="00862353"/>
    <w:rsid w:val="00862354"/>
    <w:rsid w:val="0086237F"/>
    <w:rsid w:val="008623F0"/>
    <w:rsid w:val="00862404"/>
    <w:rsid w:val="00862415"/>
    <w:rsid w:val="00862435"/>
    <w:rsid w:val="00862544"/>
    <w:rsid w:val="0086256D"/>
    <w:rsid w:val="008625A5"/>
    <w:rsid w:val="008625EB"/>
    <w:rsid w:val="008625FA"/>
    <w:rsid w:val="0086262B"/>
    <w:rsid w:val="008626DA"/>
    <w:rsid w:val="00862720"/>
    <w:rsid w:val="0086272D"/>
    <w:rsid w:val="00862734"/>
    <w:rsid w:val="00862739"/>
    <w:rsid w:val="00862789"/>
    <w:rsid w:val="00862794"/>
    <w:rsid w:val="008627D5"/>
    <w:rsid w:val="008627EF"/>
    <w:rsid w:val="00862896"/>
    <w:rsid w:val="0086290C"/>
    <w:rsid w:val="00862945"/>
    <w:rsid w:val="008629A1"/>
    <w:rsid w:val="008629CB"/>
    <w:rsid w:val="00862A03"/>
    <w:rsid w:val="00862A0B"/>
    <w:rsid w:val="00862A8C"/>
    <w:rsid w:val="00862AB9"/>
    <w:rsid w:val="00862AFD"/>
    <w:rsid w:val="00862B3E"/>
    <w:rsid w:val="00862B68"/>
    <w:rsid w:val="00862B74"/>
    <w:rsid w:val="00862BC6"/>
    <w:rsid w:val="00862C01"/>
    <w:rsid w:val="00862C13"/>
    <w:rsid w:val="00862C1C"/>
    <w:rsid w:val="00862C34"/>
    <w:rsid w:val="00862C77"/>
    <w:rsid w:val="00862C91"/>
    <w:rsid w:val="00862CBF"/>
    <w:rsid w:val="00862CDB"/>
    <w:rsid w:val="00862CF5"/>
    <w:rsid w:val="00862D12"/>
    <w:rsid w:val="00862D7E"/>
    <w:rsid w:val="00862D86"/>
    <w:rsid w:val="00862DBF"/>
    <w:rsid w:val="00862DF6"/>
    <w:rsid w:val="00862E2E"/>
    <w:rsid w:val="00862E44"/>
    <w:rsid w:val="00862E9F"/>
    <w:rsid w:val="00862EB8"/>
    <w:rsid w:val="00862EC9"/>
    <w:rsid w:val="00862F12"/>
    <w:rsid w:val="00862F5B"/>
    <w:rsid w:val="00862F7F"/>
    <w:rsid w:val="00862F90"/>
    <w:rsid w:val="00862FC1"/>
    <w:rsid w:val="00862FE2"/>
    <w:rsid w:val="00862FE8"/>
    <w:rsid w:val="00863063"/>
    <w:rsid w:val="008630FC"/>
    <w:rsid w:val="0086310C"/>
    <w:rsid w:val="0086316C"/>
    <w:rsid w:val="0086318F"/>
    <w:rsid w:val="008631FA"/>
    <w:rsid w:val="00863204"/>
    <w:rsid w:val="00863212"/>
    <w:rsid w:val="0086323B"/>
    <w:rsid w:val="00863339"/>
    <w:rsid w:val="00863366"/>
    <w:rsid w:val="008633C1"/>
    <w:rsid w:val="00863420"/>
    <w:rsid w:val="00863422"/>
    <w:rsid w:val="00863445"/>
    <w:rsid w:val="00863453"/>
    <w:rsid w:val="0086349D"/>
    <w:rsid w:val="0086350E"/>
    <w:rsid w:val="00863521"/>
    <w:rsid w:val="00863522"/>
    <w:rsid w:val="00863547"/>
    <w:rsid w:val="00863578"/>
    <w:rsid w:val="0086358D"/>
    <w:rsid w:val="0086358E"/>
    <w:rsid w:val="008635F0"/>
    <w:rsid w:val="0086360D"/>
    <w:rsid w:val="00863698"/>
    <w:rsid w:val="008636E3"/>
    <w:rsid w:val="0086375E"/>
    <w:rsid w:val="00863765"/>
    <w:rsid w:val="00863828"/>
    <w:rsid w:val="0086382F"/>
    <w:rsid w:val="00863899"/>
    <w:rsid w:val="008638AE"/>
    <w:rsid w:val="008638D8"/>
    <w:rsid w:val="008638DA"/>
    <w:rsid w:val="008638EB"/>
    <w:rsid w:val="00863964"/>
    <w:rsid w:val="008639ED"/>
    <w:rsid w:val="00863A0A"/>
    <w:rsid w:val="00863A31"/>
    <w:rsid w:val="00863A4C"/>
    <w:rsid w:val="00863AC8"/>
    <w:rsid w:val="00863B16"/>
    <w:rsid w:val="00863B29"/>
    <w:rsid w:val="00863B42"/>
    <w:rsid w:val="00863B4E"/>
    <w:rsid w:val="00863BCE"/>
    <w:rsid w:val="00863BE5"/>
    <w:rsid w:val="00863C2E"/>
    <w:rsid w:val="00863CD4"/>
    <w:rsid w:val="00863CF5"/>
    <w:rsid w:val="00863D16"/>
    <w:rsid w:val="00863D36"/>
    <w:rsid w:val="00863D4A"/>
    <w:rsid w:val="00863D5D"/>
    <w:rsid w:val="00863DDB"/>
    <w:rsid w:val="00863E1E"/>
    <w:rsid w:val="00863E4D"/>
    <w:rsid w:val="00863E5E"/>
    <w:rsid w:val="00863E6F"/>
    <w:rsid w:val="00863E73"/>
    <w:rsid w:val="00863F06"/>
    <w:rsid w:val="00863F5E"/>
    <w:rsid w:val="00863F69"/>
    <w:rsid w:val="00863F95"/>
    <w:rsid w:val="00863FAC"/>
    <w:rsid w:val="00863FBA"/>
    <w:rsid w:val="00863FF6"/>
    <w:rsid w:val="00864005"/>
    <w:rsid w:val="00864014"/>
    <w:rsid w:val="00864109"/>
    <w:rsid w:val="00864136"/>
    <w:rsid w:val="00864175"/>
    <w:rsid w:val="0086417C"/>
    <w:rsid w:val="00864196"/>
    <w:rsid w:val="008641B8"/>
    <w:rsid w:val="00864271"/>
    <w:rsid w:val="00864294"/>
    <w:rsid w:val="008642B5"/>
    <w:rsid w:val="008642C3"/>
    <w:rsid w:val="008642D4"/>
    <w:rsid w:val="008642E9"/>
    <w:rsid w:val="0086434A"/>
    <w:rsid w:val="00864354"/>
    <w:rsid w:val="00864359"/>
    <w:rsid w:val="0086438E"/>
    <w:rsid w:val="008643BE"/>
    <w:rsid w:val="008643CF"/>
    <w:rsid w:val="008643E5"/>
    <w:rsid w:val="008643EB"/>
    <w:rsid w:val="008643F7"/>
    <w:rsid w:val="00864417"/>
    <w:rsid w:val="00864469"/>
    <w:rsid w:val="008644D8"/>
    <w:rsid w:val="00864516"/>
    <w:rsid w:val="00864529"/>
    <w:rsid w:val="00864574"/>
    <w:rsid w:val="0086457E"/>
    <w:rsid w:val="0086459C"/>
    <w:rsid w:val="008645CA"/>
    <w:rsid w:val="00864656"/>
    <w:rsid w:val="008646DA"/>
    <w:rsid w:val="0086470B"/>
    <w:rsid w:val="00864780"/>
    <w:rsid w:val="00864792"/>
    <w:rsid w:val="0086479A"/>
    <w:rsid w:val="008647C2"/>
    <w:rsid w:val="008647DA"/>
    <w:rsid w:val="008647E7"/>
    <w:rsid w:val="00864811"/>
    <w:rsid w:val="0086481A"/>
    <w:rsid w:val="00864843"/>
    <w:rsid w:val="008648AF"/>
    <w:rsid w:val="00864925"/>
    <w:rsid w:val="0086497C"/>
    <w:rsid w:val="0086497D"/>
    <w:rsid w:val="00864981"/>
    <w:rsid w:val="00864982"/>
    <w:rsid w:val="00864A3A"/>
    <w:rsid w:val="00864A73"/>
    <w:rsid w:val="00864A93"/>
    <w:rsid w:val="00864AB5"/>
    <w:rsid w:val="00864AC0"/>
    <w:rsid w:val="00864AC3"/>
    <w:rsid w:val="00864B90"/>
    <w:rsid w:val="00864C25"/>
    <w:rsid w:val="00864C4E"/>
    <w:rsid w:val="00864C70"/>
    <w:rsid w:val="00864CA8"/>
    <w:rsid w:val="00864CF6"/>
    <w:rsid w:val="00864D2A"/>
    <w:rsid w:val="00864D31"/>
    <w:rsid w:val="00864D33"/>
    <w:rsid w:val="00864D5C"/>
    <w:rsid w:val="00864D6A"/>
    <w:rsid w:val="00864DBE"/>
    <w:rsid w:val="00864DC4"/>
    <w:rsid w:val="00864E0A"/>
    <w:rsid w:val="00864E2B"/>
    <w:rsid w:val="00864E4D"/>
    <w:rsid w:val="00864EF6"/>
    <w:rsid w:val="00864F0B"/>
    <w:rsid w:val="00864F56"/>
    <w:rsid w:val="00864FB8"/>
    <w:rsid w:val="00864FC9"/>
    <w:rsid w:val="00864FEA"/>
    <w:rsid w:val="00865095"/>
    <w:rsid w:val="008650BF"/>
    <w:rsid w:val="008650FD"/>
    <w:rsid w:val="0086514B"/>
    <w:rsid w:val="00865154"/>
    <w:rsid w:val="00865178"/>
    <w:rsid w:val="008651A2"/>
    <w:rsid w:val="008651D0"/>
    <w:rsid w:val="00865221"/>
    <w:rsid w:val="0086522E"/>
    <w:rsid w:val="0086525C"/>
    <w:rsid w:val="00865269"/>
    <w:rsid w:val="0086529A"/>
    <w:rsid w:val="008652B6"/>
    <w:rsid w:val="008652EF"/>
    <w:rsid w:val="008652F1"/>
    <w:rsid w:val="00865356"/>
    <w:rsid w:val="00865381"/>
    <w:rsid w:val="00865397"/>
    <w:rsid w:val="008653A3"/>
    <w:rsid w:val="008653BE"/>
    <w:rsid w:val="008653BF"/>
    <w:rsid w:val="00865465"/>
    <w:rsid w:val="0086552B"/>
    <w:rsid w:val="00865537"/>
    <w:rsid w:val="00865559"/>
    <w:rsid w:val="0086556A"/>
    <w:rsid w:val="00865577"/>
    <w:rsid w:val="008655A3"/>
    <w:rsid w:val="008655A4"/>
    <w:rsid w:val="008655A6"/>
    <w:rsid w:val="008655B3"/>
    <w:rsid w:val="008655B8"/>
    <w:rsid w:val="0086560B"/>
    <w:rsid w:val="00865610"/>
    <w:rsid w:val="00865660"/>
    <w:rsid w:val="00865674"/>
    <w:rsid w:val="00865692"/>
    <w:rsid w:val="008656A8"/>
    <w:rsid w:val="008656D0"/>
    <w:rsid w:val="008656D7"/>
    <w:rsid w:val="00865737"/>
    <w:rsid w:val="00865748"/>
    <w:rsid w:val="0086574A"/>
    <w:rsid w:val="008657AC"/>
    <w:rsid w:val="008657CB"/>
    <w:rsid w:val="008657D1"/>
    <w:rsid w:val="00865811"/>
    <w:rsid w:val="00865832"/>
    <w:rsid w:val="0086583F"/>
    <w:rsid w:val="008658EF"/>
    <w:rsid w:val="0086593B"/>
    <w:rsid w:val="0086596B"/>
    <w:rsid w:val="00865995"/>
    <w:rsid w:val="008659AC"/>
    <w:rsid w:val="008659F0"/>
    <w:rsid w:val="00865A6E"/>
    <w:rsid w:val="00865AA0"/>
    <w:rsid w:val="00865AD2"/>
    <w:rsid w:val="00865AEB"/>
    <w:rsid w:val="00865B2C"/>
    <w:rsid w:val="00865B51"/>
    <w:rsid w:val="00865BAE"/>
    <w:rsid w:val="00865BF0"/>
    <w:rsid w:val="00865C01"/>
    <w:rsid w:val="00865C03"/>
    <w:rsid w:val="00865CB5"/>
    <w:rsid w:val="00865CE0"/>
    <w:rsid w:val="00865CF0"/>
    <w:rsid w:val="00865D3A"/>
    <w:rsid w:val="00865D3C"/>
    <w:rsid w:val="00865DA7"/>
    <w:rsid w:val="00865DE2"/>
    <w:rsid w:val="00865E02"/>
    <w:rsid w:val="00865E1E"/>
    <w:rsid w:val="00865E52"/>
    <w:rsid w:val="00865F55"/>
    <w:rsid w:val="00865F59"/>
    <w:rsid w:val="00865F79"/>
    <w:rsid w:val="00865F8E"/>
    <w:rsid w:val="00865FC9"/>
    <w:rsid w:val="00865FF9"/>
    <w:rsid w:val="00866084"/>
    <w:rsid w:val="008660BB"/>
    <w:rsid w:val="008660F4"/>
    <w:rsid w:val="008660FD"/>
    <w:rsid w:val="008660FE"/>
    <w:rsid w:val="00866135"/>
    <w:rsid w:val="0086616B"/>
    <w:rsid w:val="00866179"/>
    <w:rsid w:val="0086619C"/>
    <w:rsid w:val="008661BA"/>
    <w:rsid w:val="008661D0"/>
    <w:rsid w:val="008661FC"/>
    <w:rsid w:val="0086626A"/>
    <w:rsid w:val="0086627D"/>
    <w:rsid w:val="008662A6"/>
    <w:rsid w:val="008662DD"/>
    <w:rsid w:val="0086633B"/>
    <w:rsid w:val="00866359"/>
    <w:rsid w:val="0086635D"/>
    <w:rsid w:val="0086639A"/>
    <w:rsid w:val="008663D6"/>
    <w:rsid w:val="00866408"/>
    <w:rsid w:val="008664A0"/>
    <w:rsid w:val="008664D6"/>
    <w:rsid w:val="0086650D"/>
    <w:rsid w:val="00866529"/>
    <w:rsid w:val="0086654B"/>
    <w:rsid w:val="0086657C"/>
    <w:rsid w:val="008665C4"/>
    <w:rsid w:val="0086662D"/>
    <w:rsid w:val="0086665A"/>
    <w:rsid w:val="0086668F"/>
    <w:rsid w:val="00866775"/>
    <w:rsid w:val="008667A0"/>
    <w:rsid w:val="008667BA"/>
    <w:rsid w:val="00866805"/>
    <w:rsid w:val="0086682B"/>
    <w:rsid w:val="0086688B"/>
    <w:rsid w:val="00866913"/>
    <w:rsid w:val="008669A0"/>
    <w:rsid w:val="008669D6"/>
    <w:rsid w:val="00866A0E"/>
    <w:rsid w:val="00866A20"/>
    <w:rsid w:val="00866A5C"/>
    <w:rsid w:val="00866A7C"/>
    <w:rsid w:val="00866A9B"/>
    <w:rsid w:val="00866A9C"/>
    <w:rsid w:val="00866B38"/>
    <w:rsid w:val="00866BAD"/>
    <w:rsid w:val="00866C13"/>
    <w:rsid w:val="00866C35"/>
    <w:rsid w:val="00866C36"/>
    <w:rsid w:val="00866C77"/>
    <w:rsid w:val="00866C93"/>
    <w:rsid w:val="00866CD8"/>
    <w:rsid w:val="00866D70"/>
    <w:rsid w:val="00866DBD"/>
    <w:rsid w:val="00866E36"/>
    <w:rsid w:val="00866E73"/>
    <w:rsid w:val="00866E88"/>
    <w:rsid w:val="00866E9E"/>
    <w:rsid w:val="00866F15"/>
    <w:rsid w:val="00866F35"/>
    <w:rsid w:val="00866F3D"/>
    <w:rsid w:val="00866F58"/>
    <w:rsid w:val="00866FAE"/>
    <w:rsid w:val="0086700C"/>
    <w:rsid w:val="00867019"/>
    <w:rsid w:val="0086701C"/>
    <w:rsid w:val="00867026"/>
    <w:rsid w:val="0086710C"/>
    <w:rsid w:val="00867147"/>
    <w:rsid w:val="00867169"/>
    <w:rsid w:val="00867238"/>
    <w:rsid w:val="0086728A"/>
    <w:rsid w:val="008672AD"/>
    <w:rsid w:val="008672C2"/>
    <w:rsid w:val="00867301"/>
    <w:rsid w:val="00867337"/>
    <w:rsid w:val="00867351"/>
    <w:rsid w:val="008673B6"/>
    <w:rsid w:val="0086747E"/>
    <w:rsid w:val="008674AA"/>
    <w:rsid w:val="008674DF"/>
    <w:rsid w:val="008674E8"/>
    <w:rsid w:val="00867513"/>
    <w:rsid w:val="00867542"/>
    <w:rsid w:val="0086757D"/>
    <w:rsid w:val="008675E2"/>
    <w:rsid w:val="00867600"/>
    <w:rsid w:val="00867616"/>
    <w:rsid w:val="00867620"/>
    <w:rsid w:val="00867645"/>
    <w:rsid w:val="00867652"/>
    <w:rsid w:val="008676A1"/>
    <w:rsid w:val="008676AE"/>
    <w:rsid w:val="008676F0"/>
    <w:rsid w:val="008676FB"/>
    <w:rsid w:val="008677C9"/>
    <w:rsid w:val="0086780B"/>
    <w:rsid w:val="00867833"/>
    <w:rsid w:val="00867839"/>
    <w:rsid w:val="008678EC"/>
    <w:rsid w:val="008679AA"/>
    <w:rsid w:val="008679B2"/>
    <w:rsid w:val="00867AFC"/>
    <w:rsid w:val="00867B26"/>
    <w:rsid w:val="00867B41"/>
    <w:rsid w:val="00867B89"/>
    <w:rsid w:val="00867BA5"/>
    <w:rsid w:val="00867BAA"/>
    <w:rsid w:val="00867C2D"/>
    <w:rsid w:val="00867C9C"/>
    <w:rsid w:val="00867CD9"/>
    <w:rsid w:val="00867CE4"/>
    <w:rsid w:val="00867CFB"/>
    <w:rsid w:val="00867D10"/>
    <w:rsid w:val="00867D9F"/>
    <w:rsid w:val="00867DCC"/>
    <w:rsid w:val="00867E2C"/>
    <w:rsid w:val="00867EDC"/>
    <w:rsid w:val="00867F30"/>
    <w:rsid w:val="00867F34"/>
    <w:rsid w:val="00867F49"/>
    <w:rsid w:val="00867F4B"/>
    <w:rsid w:val="00867F6E"/>
    <w:rsid w:val="00867F84"/>
    <w:rsid w:val="0086B036"/>
    <w:rsid w:val="0086DCEA"/>
    <w:rsid w:val="00870017"/>
    <w:rsid w:val="00870036"/>
    <w:rsid w:val="0087006A"/>
    <w:rsid w:val="00870086"/>
    <w:rsid w:val="008700AD"/>
    <w:rsid w:val="008700B7"/>
    <w:rsid w:val="008700B9"/>
    <w:rsid w:val="008700C5"/>
    <w:rsid w:val="008700EE"/>
    <w:rsid w:val="0087011F"/>
    <w:rsid w:val="00870145"/>
    <w:rsid w:val="00870146"/>
    <w:rsid w:val="00870173"/>
    <w:rsid w:val="0087018E"/>
    <w:rsid w:val="008701F8"/>
    <w:rsid w:val="0087026A"/>
    <w:rsid w:val="008702B6"/>
    <w:rsid w:val="008702D8"/>
    <w:rsid w:val="008702EC"/>
    <w:rsid w:val="0087033B"/>
    <w:rsid w:val="008703C9"/>
    <w:rsid w:val="008703F3"/>
    <w:rsid w:val="0087042F"/>
    <w:rsid w:val="008704DB"/>
    <w:rsid w:val="00870515"/>
    <w:rsid w:val="00870528"/>
    <w:rsid w:val="0087056A"/>
    <w:rsid w:val="0087057D"/>
    <w:rsid w:val="008705A1"/>
    <w:rsid w:val="008705CE"/>
    <w:rsid w:val="00870644"/>
    <w:rsid w:val="0087066D"/>
    <w:rsid w:val="008706A8"/>
    <w:rsid w:val="008706D1"/>
    <w:rsid w:val="0087072B"/>
    <w:rsid w:val="00870747"/>
    <w:rsid w:val="00870762"/>
    <w:rsid w:val="008707DE"/>
    <w:rsid w:val="00870846"/>
    <w:rsid w:val="0087095E"/>
    <w:rsid w:val="00870988"/>
    <w:rsid w:val="008709B0"/>
    <w:rsid w:val="008709CB"/>
    <w:rsid w:val="00870A24"/>
    <w:rsid w:val="00870A49"/>
    <w:rsid w:val="00870A65"/>
    <w:rsid w:val="00870A95"/>
    <w:rsid w:val="00870A9C"/>
    <w:rsid w:val="00870ADB"/>
    <w:rsid w:val="00870AE0"/>
    <w:rsid w:val="00870B3C"/>
    <w:rsid w:val="00870BA9"/>
    <w:rsid w:val="00870C07"/>
    <w:rsid w:val="00870C09"/>
    <w:rsid w:val="00870C65"/>
    <w:rsid w:val="00870C7D"/>
    <w:rsid w:val="00870C89"/>
    <w:rsid w:val="00870CA8"/>
    <w:rsid w:val="00870DA2"/>
    <w:rsid w:val="00870E4B"/>
    <w:rsid w:val="00870E77"/>
    <w:rsid w:val="00870E99"/>
    <w:rsid w:val="00870EBA"/>
    <w:rsid w:val="00870F28"/>
    <w:rsid w:val="00870F3E"/>
    <w:rsid w:val="00870FC5"/>
    <w:rsid w:val="00870FEE"/>
    <w:rsid w:val="00871001"/>
    <w:rsid w:val="00871018"/>
    <w:rsid w:val="0087104A"/>
    <w:rsid w:val="00871086"/>
    <w:rsid w:val="008710CB"/>
    <w:rsid w:val="00871181"/>
    <w:rsid w:val="00871226"/>
    <w:rsid w:val="008712AC"/>
    <w:rsid w:val="00871300"/>
    <w:rsid w:val="00871316"/>
    <w:rsid w:val="00871381"/>
    <w:rsid w:val="00871382"/>
    <w:rsid w:val="00871399"/>
    <w:rsid w:val="008713B7"/>
    <w:rsid w:val="008713D3"/>
    <w:rsid w:val="0087146A"/>
    <w:rsid w:val="008714DE"/>
    <w:rsid w:val="008714DF"/>
    <w:rsid w:val="00871571"/>
    <w:rsid w:val="00871574"/>
    <w:rsid w:val="008715B5"/>
    <w:rsid w:val="00871616"/>
    <w:rsid w:val="00871635"/>
    <w:rsid w:val="008716B3"/>
    <w:rsid w:val="008716D0"/>
    <w:rsid w:val="00871709"/>
    <w:rsid w:val="0087170D"/>
    <w:rsid w:val="00871757"/>
    <w:rsid w:val="008717C5"/>
    <w:rsid w:val="0087181F"/>
    <w:rsid w:val="00871867"/>
    <w:rsid w:val="0087186C"/>
    <w:rsid w:val="0087187A"/>
    <w:rsid w:val="008718A7"/>
    <w:rsid w:val="008718C7"/>
    <w:rsid w:val="0087199F"/>
    <w:rsid w:val="008719D4"/>
    <w:rsid w:val="008719FA"/>
    <w:rsid w:val="00871AAB"/>
    <w:rsid w:val="00871B2C"/>
    <w:rsid w:val="00871B63"/>
    <w:rsid w:val="00871B7D"/>
    <w:rsid w:val="00871B80"/>
    <w:rsid w:val="00871BF0"/>
    <w:rsid w:val="00871C4A"/>
    <w:rsid w:val="00871C7C"/>
    <w:rsid w:val="00871C7E"/>
    <w:rsid w:val="00871C7F"/>
    <w:rsid w:val="00871C96"/>
    <w:rsid w:val="00871D1D"/>
    <w:rsid w:val="00871EA7"/>
    <w:rsid w:val="00871F42"/>
    <w:rsid w:val="00871F60"/>
    <w:rsid w:val="00871F8E"/>
    <w:rsid w:val="00871FC4"/>
    <w:rsid w:val="0087201C"/>
    <w:rsid w:val="0087206E"/>
    <w:rsid w:val="0087207B"/>
    <w:rsid w:val="008720A1"/>
    <w:rsid w:val="008720C0"/>
    <w:rsid w:val="008720C8"/>
    <w:rsid w:val="008720D5"/>
    <w:rsid w:val="008720DD"/>
    <w:rsid w:val="008720DE"/>
    <w:rsid w:val="00872101"/>
    <w:rsid w:val="00872141"/>
    <w:rsid w:val="0087219B"/>
    <w:rsid w:val="008721A7"/>
    <w:rsid w:val="008721B2"/>
    <w:rsid w:val="008721DC"/>
    <w:rsid w:val="008721EE"/>
    <w:rsid w:val="00872216"/>
    <w:rsid w:val="0087225A"/>
    <w:rsid w:val="00872270"/>
    <w:rsid w:val="0087227F"/>
    <w:rsid w:val="00872330"/>
    <w:rsid w:val="00872340"/>
    <w:rsid w:val="00872387"/>
    <w:rsid w:val="008723B8"/>
    <w:rsid w:val="00872400"/>
    <w:rsid w:val="0087240E"/>
    <w:rsid w:val="0087244B"/>
    <w:rsid w:val="00872471"/>
    <w:rsid w:val="008724BF"/>
    <w:rsid w:val="008724C8"/>
    <w:rsid w:val="0087250D"/>
    <w:rsid w:val="00872528"/>
    <w:rsid w:val="0087252D"/>
    <w:rsid w:val="00872533"/>
    <w:rsid w:val="00872574"/>
    <w:rsid w:val="008725D9"/>
    <w:rsid w:val="00872626"/>
    <w:rsid w:val="0087266A"/>
    <w:rsid w:val="00872732"/>
    <w:rsid w:val="0087278F"/>
    <w:rsid w:val="008727AB"/>
    <w:rsid w:val="008727B5"/>
    <w:rsid w:val="00872829"/>
    <w:rsid w:val="00872851"/>
    <w:rsid w:val="0087285A"/>
    <w:rsid w:val="0087285F"/>
    <w:rsid w:val="00872860"/>
    <w:rsid w:val="00872862"/>
    <w:rsid w:val="00872890"/>
    <w:rsid w:val="00872905"/>
    <w:rsid w:val="00872927"/>
    <w:rsid w:val="00872994"/>
    <w:rsid w:val="00872A3F"/>
    <w:rsid w:val="00872A64"/>
    <w:rsid w:val="00872AA6"/>
    <w:rsid w:val="00872AE5"/>
    <w:rsid w:val="00872B4A"/>
    <w:rsid w:val="00872B63"/>
    <w:rsid w:val="00872B68"/>
    <w:rsid w:val="00872B72"/>
    <w:rsid w:val="00872B8A"/>
    <w:rsid w:val="00872BC1"/>
    <w:rsid w:val="00872BDA"/>
    <w:rsid w:val="00872BE1"/>
    <w:rsid w:val="00872BE4"/>
    <w:rsid w:val="00872BFE"/>
    <w:rsid w:val="00872C22"/>
    <w:rsid w:val="00872C59"/>
    <w:rsid w:val="00872CB9"/>
    <w:rsid w:val="00872CD0"/>
    <w:rsid w:val="00872CF7"/>
    <w:rsid w:val="00872D25"/>
    <w:rsid w:val="00872D30"/>
    <w:rsid w:val="00872D63"/>
    <w:rsid w:val="00872DCD"/>
    <w:rsid w:val="00872DE9"/>
    <w:rsid w:val="00872E25"/>
    <w:rsid w:val="00872EB5"/>
    <w:rsid w:val="00872EC9"/>
    <w:rsid w:val="00872EE7"/>
    <w:rsid w:val="00872FBB"/>
    <w:rsid w:val="00873036"/>
    <w:rsid w:val="00873047"/>
    <w:rsid w:val="0087305D"/>
    <w:rsid w:val="00873062"/>
    <w:rsid w:val="008730BA"/>
    <w:rsid w:val="00873122"/>
    <w:rsid w:val="0087315F"/>
    <w:rsid w:val="008731A8"/>
    <w:rsid w:val="00873218"/>
    <w:rsid w:val="00873241"/>
    <w:rsid w:val="00873258"/>
    <w:rsid w:val="0087325E"/>
    <w:rsid w:val="00873266"/>
    <w:rsid w:val="00873279"/>
    <w:rsid w:val="0087328F"/>
    <w:rsid w:val="008732AC"/>
    <w:rsid w:val="008732C0"/>
    <w:rsid w:val="0087331A"/>
    <w:rsid w:val="0087336B"/>
    <w:rsid w:val="0087338B"/>
    <w:rsid w:val="008733C2"/>
    <w:rsid w:val="008733D9"/>
    <w:rsid w:val="008733DD"/>
    <w:rsid w:val="008733EB"/>
    <w:rsid w:val="008733F4"/>
    <w:rsid w:val="00873471"/>
    <w:rsid w:val="008734CC"/>
    <w:rsid w:val="0087359E"/>
    <w:rsid w:val="008735DD"/>
    <w:rsid w:val="00873620"/>
    <w:rsid w:val="0087363D"/>
    <w:rsid w:val="00873655"/>
    <w:rsid w:val="008736D3"/>
    <w:rsid w:val="008736E9"/>
    <w:rsid w:val="008736FD"/>
    <w:rsid w:val="00873711"/>
    <w:rsid w:val="00873724"/>
    <w:rsid w:val="008737AB"/>
    <w:rsid w:val="008737C9"/>
    <w:rsid w:val="008737CA"/>
    <w:rsid w:val="008737EB"/>
    <w:rsid w:val="00873803"/>
    <w:rsid w:val="0087380C"/>
    <w:rsid w:val="00873827"/>
    <w:rsid w:val="00873837"/>
    <w:rsid w:val="0087386F"/>
    <w:rsid w:val="008738A4"/>
    <w:rsid w:val="008738A5"/>
    <w:rsid w:val="008738D3"/>
    <w:rsid w:val="008738E3"/>
    <w:rsid w:val="008738F6"/>
    <w:rsid w:val="00873952"/>
    <w:rsid w:val="00873995"/>
    <w:rsid w:val="008739EB"/>
    <w:rsid w:val="00873A0F"/>
    <w:rsid w:val="00873A46"/>
    <w:rsid w:val="00873A69"/>
    <w:rsid w:val="00873AC4"/>
    <w:rsid w:val="00873AEA"/>
    <w:rsid w:val="00873B2A"/>
    <w:rsid w:val="00873B2B"/>
    <w:rsid w:val="00873B73"/>
    <w:rsid w:val="00873BB7"/>
    <w:rsid w:val="00873BBD"/>
    <w:rsid w:val="00873BEE"/>
    <w:rsid w:val="00873BF6"/>
    <w:rsid w:val="00873C50"/>
    <w:rsid w:val="00873C97"/>
    <w:rsid w:val="00873C98"/>
    <w:rsid w:val="00873D10"/>
    <w:rsid w:val="00873D59"/>
    <w:rsid w:val="00873D8A"/>
    <w:rsid w:val="00873D9E"/>
    <w:rsid w:val="00873E38"/>
    <w:rsid w:val="00873E54"/>
    <w:rsid w:val="00873E79"/>
    <w:rsid w:val="0087400A"/>
    <w:rsid w:val="00874073"/>
    <w:rsid w:val="0087407C"/>
    <w:rsid w:val="008740B2"/>
    <w:rsid w:val="008741C2"/>
    <w:rsid w:val="00874216"/>
    <w:rsid w:val="00874231"/>
    <w:rsid w:val="00874255"/>
    <w:rsid w:val="008742A0"/>
    <w:rsid w:val="008742CF"/>
    <w:rsid w:val="00874309"/>
    <w:rsid w:val="00874312"/>
    <w:rsid w:val="008743D5"/>
    <w:rsid w:val="008743F7"/>
    <w:rsid w:val="00874416"/>
    <w:rsid w:val="0087445B"/>
    <w:rsid w:val="00874496"/>
    <w:rsid w:val="008744FD"/>
    <w:rsid w:val="008744FF"/>
    <w:rsid w:val="0087454A"/>
    <w:rsid w:val="00874561"/>
    <w:rsid w:val="00874568"/>
    <w:rsid w:val="0087457E"/>
    <w:rsid w:val="008745C9"/>
    <w:rsid w:val="008745CB"/>
    <w:rsid w:val="008745FF"/>
    <w:rsid w:val="00874607"/>
    <w:rsid w:val="0087461F"/>
    <w:rsid w:val="00874633"/>
    <w:rsid w:val="0087469E"/>
    <w:rsid w:val="008746D7"/>
    <w:rsid w:val="00874726"/>
    <w:rsid w:val="0087473B"/>
    <w:rsid w:val="00874751"/>
    <w:rsid w:val="0087476A"/>
    <w:rsid w:val="0087477E"/>
    <w:rsid w:val="00874784"/>
    <w:rsid w:val="008747DF"/>
    <w:rsid w:val="008747E4"/>
    <w:rsid w:val="00874812"/>
    <w:rsid w:val="00874835"/>
    <w:rsid w:val="00874877"/>
    <w:rsid w:val="0087487E"/>
    <w:rsid w:val="00874885"/>
    <w:rsid w:val="008749EE"/>
    <w:rsid w:val="00874AA8"/>
    <w:rsid w:val="00874ABC"/>
    <w:rsid w:val="00874AC9"/>
    <w:rsid w:val="00874AE5"/>
    <w:rsid w:val="00874B01"/>
    <w:rsid w:val="00874B13"/>
    <w:rsid w:val="00874B33"/>
    <w:rsid w:val="00874B4E"/>
    <w:rsid w:val="00874B54"/>
    <w:rsid w:val="00874B6C"/>
    <w:rsid w:val="00874C73"/>
    <w:rsid w:val="00874C7B"/>
    <w:rsid w:val="00874C7E"/>
    <w:rsid w:val="00874C91"/>
    <w:rsid w:val="00874CA9"/>
    <w:rsid w:val="00874CAA"/>
    <w:rsid w:val="00874CB2"/>
    <w:rsid w:val="00874DAB"/>
    <w:rsid w:val="00874E7F"/>
    <w:rsid w:val="00874E9C"/>
    <w:rsid w:val="00874E9D"/>
    <w:rsid w:val="00874EA3"/>
    <w:rsid w:val="00874EB1"/>
    <w:rsid w:val="00874ECC"/>
    <w:rsid w:val="00874F0D"/>
    <w:rsid w:val="00874F1A"/>
    <w:rsid w:val="00874F31"/>
    <w:rsid w:val="00874F5A"/>
    <w:rsid w:val="00874FB8"/>
    <w:rsid w:val="00874FD7"/>
    <w:rsid w:val="00874FF7"/>
    <w:rsid w:val="0087500E"/>
    <w:rsid w:val="00875036"/>
    <w:rsid w:val="00875064"/>
    <w:rsid w:val="008750C4"/>
    <w:rsid w:val="008750E6"/>
    <w:rsid w:val="008750E8"/>
    <w:rsid w:val="0087514C"/>
    <w:rsid w:val="008751AC"/>
    <w:rsid w:val="008751EB"/>
    <w:rsid w:val="00875209"/>
    <w:rsid w:val="00875210"/>
    <w:rsid w:val="0087524B"/>
    <w:rsid w:val="0087529D"/>
    <w:rsid w:val="008752AF"/>
    <w:rsid w:val="008752B2"/>
    <w:rsid w:val="008752F5"/>
    <w:rsid w:val="008752FD"/>
    <w:rsid w:val="00875339"/>
    <w:rsid w:val="0087535A"/>
    <w:rsid w:val="008753D0"/>
    <w:rsid w:val="008753F9"/>
    <w:rsid w:val="0087540D"/>
    <w:rsid w:val="00875454"/>
    <w:rsid w:val="0087545A"/>
    <w:rsid w:val="00875465"/>
    <w:rsid w:val="008754A6"/>
    <w:rsid w:val="008754B0"/>
    <w:rsid w:val="008754B3"/>
    <w:rsid w:val="00875549"/>
    <w:rsid w:val="00875581"/>
    <w:rsid w:val="00875585"/>
    <w:rsid w:val="00875721"/>
    <w:rsid w:val="00875723"/>
    <w:rsid w:val="00875736"/>
    <w:rsid w:val="00875737"/>
    <w:rsid w:val="00875782"/>
    <w:rsid w:val="008757B4"/>
    <w:rsid w:val="008757B8"/>
    <w:rsid w:val="008757C5"/>
    <w:rsid w:val="008757DF"/>
    <w:rsid w:val="0087580F"/>
    <w:rsid w:val="00875813"/>
    <w:rsid w:val="00875817"/>
    <w:rsid w:val="00875863"/>
    <w:rsid w:val="008758B5"/>
    <w:rsid w:val="0087596C"/>
    <w:rsid w:val="00875A15"/>
    <w:rsid w:val="00875A70"/>
    <w:rsid w:val="00875AEE"/>
    <w:rsid w:val="00875B21"/>
    <w:rsid w:val="00875B49"/>
    <w:rsid w:val="00875B7F"/>
    <w:rsid w:val="00875BBA"/>
    <w:rsid w:val="00875BC9"/>
    <w:rsid w:val="00875C04"/>
    <w:rsid w:val="00875C4B"/>
    <w:rsid w:val="00875D1E"/>
    <w:rsid w:val="00875D26"/>
    <w:rsid w:val="00875DBD"/>
    <w:rsid w:val="00875DDC"/>
    <w:rsid w:val="00875DE2"/>
    <w:rsid w:val="00875E26"/>
    <w:rsid w:val="00875E48"/>
    <w:rsid w:val="00875E6D"/>
    <w:rsid w:val="00875EB6"/>
    <w:rsid w:val="00875ECC"/>
    <w:rsid w:val="00875F1C"/>
    <w:rsid w:val="00875FE4"/>
    <w:rsid w:val="00876010"/>
    <w:rsid w:val="00876054"/>
    <w:rsid w:val="00876062"/>
    <w:rsid w:val="008760D3"/>
    <w:rsid w:val="008760DB"/>
    <w:rsid w:val="0087615A"/>
    <w:rsid w:val="00876174"/>
    <w:rsid w:val="0087617B"/>
    <w:rsid w:val="008761F8"/>
    <w:rsid w:val="0087624C"/>
    <w:rsid w:val="00876269"/>
    <w:rsid w:val="0087626C"/>
    <w:rsid w:val="008762CD"/>
    <w:rsid w:val="008762DE"/>
    <w:rsid w:val="0087631B"/>
    <w:rsid w:val="0087634A"/>
    <w:rsid w:val="0087639A"/>
    <w:rsid w:val="008763C1"/>
    <w:rsid w:val="0087649E"/>
    <w:rsid w:val="008764BA"/>
    <w:rsid w:val="008764E0"/>
    <w:rsid w:val="008764EF"/>
    <w:rsid w:val="00876505"/>
    <w:rsid w:val="00876510"/>
    <w:rsid w:val="0087651F"/>
    <w:rsid w:val="0087653D"/>
    <w:rsid w:val="0087658E"/>
    <w:rsid w:val="008765D2"/>
    <w:rsid w:val="00876643"/>
    <w:rsid w:val="00876648"/>
    <w:rsid w:val="00876684"/>
    <w:rsid w:val="0087668A"/>
    <w:rsid w:val="008766E4"/>
    <w:rsid w:val="008766EA"/>
    <w:rsid w:val="0087671D"/>
    <w:rsid w:val="00876722"/>
    <w:rsid w:val="0087673A"/>
    <w:rsid w:val="00876779"/>
    <w:rsid w:val="008767D5"/>
    <w:rsid w:val="0087685B"/>
    <w:rsid w:val="008768B3"/>
    <w:rsid w:val="008768CF"/>
    <w:rsid w:val="0087691C"/>
    <w:rsid w:val="008769D4"/>
    <w:rsid w:val="008769F7"/>
    <w:rsid w:val="00876A33"/>
    <w:rsid w:val="00876A3C"/>
    <w:rsid w:val="00876AF6"/>
    <w:rsid w:val="00876B1A"/>
    <w:rsid w:val="00876B26"/>
    <w:rsid w:val="00876B2C"/>
    <w:rsid w:val="00876B56"/>
    <w:rsid w:val="00876B65"/>
    <w:rsid w:val="00876BAC"/>
    <w:rsid w:val="00876BC5"/>
    <w:rsid w:val="00876BFB"/>
    <w:rsid w:val="00876C3F"/>
    <w:rsid w:val="00876C64"/>
    <w:rsid w:val="00876D07"/>
    <w:rsid w:val="00876D11"/>
    <w:rsid w:val="00876D4F"/>
    <w:rsid w:val="00876D86"/>
    <w:rsid w:val="00876E14"/>
    <w:rsid w:val="00876E1F"/>
    <w:rsid w:val="00876E2D"/>
    <w:rsid w:val="00876E91"/>
    <w:rsid w:val="00876E97"/>
    <w:rsid w:val="00876EA5"/>
    <w:rsid w:val="00876F26"/>
    <w:rsid w:val="00876F9C"/>
    <w:rsid w:val="00876FB2"/>
    <w:rsid w:val="00876FC5"/>
    <w:rsid w:val="0087708E"/>
    <w:rsid w:val="008770CD"/>
    <w:rsid w:val="00877100"/>
    <w:rsid w:val="008771F0"/>
    <w:rsid w:val="00877221"/>
    <w:rsid w:val="00877226"/>
    <w:rsid w:val="0087725A"/>
    <w:rsid w:val="00877274"/>
    <w:rsid w:val="00877297"/>
    <w:rsid w:val="008772BE"/>
    <w:rsid w:val="008772DC"/>
    <w:rsid w:val="008772E7"/>
    <w:rsid w:val="008773A4"/>
    <w:rsid w:val="0087741E"/>
    <w:rsid w:val="0087742F"/>
    <w:rsid w:val="008774FA"/>
    <w:rsid w:val="00877510"/>
    <w:rsid w:val="00877547"/>
    <w:rsid w:val="0087754F"/>
    <w:rsid w:val="0087756C"/>
    <w:rsid w:val="008775A9"/>
    <w:rsid w:val="008775C6"/>
    <w:rsid w:val="008775C8"/>
    <w:rsid w:val="0087762C"/>
    <w:rsid w:val="0087765D"/>
    <w:rsid w:val="0087769B"/>
    <w:rsid w:val="008776A8"/>
    <w:rsid w:val="008776DF"/>
    <w:rsid w:val="00877740"/>
    <w:rsid w:val="0087776B"/>
    <w:rsid w:val="0087776D"/>
    <w:rsid w:val="008777AB"/>
    <w:rsid w:val="008777DF"/>
    <w:rsid w:val="008777EE"/>
    <w:rsid w:val="0087780F"/>
    <w:rsid w:val="00877853"/>
    <w:rsid w:val="008778AC"/>
    <w:rsid w:val="008778EA"/>
    <w:rsid w:val="00877919"/>
    <w:rsid w:val="0087797A"/>
    <w:rsid w:val="008779CE"/>
    <w:rsid w:val="008779DC"/>
    <w:rsid w:val="008779DD"/>
    <w:rsid w:val="00877A11"/>
    <w:rsid w:val="00877AB0"/>
    <w:rsid w:val="00877B0F"/>
    <w:rsid w:val="00877B83"/>
    <w:rsid w:val="00877BA4"/>
    <w:rsid w:val="00877BCB"/>
    <w:rsid w:val="00877BDC"/>
    <w:rsid w:val="00877BF2"/>
    <w:rsid w:val="00877C01"/>
    <w:rsid w:val="00877C05"/>
    <w:rsid w:val="00877C96"/>
    <w:rsid w:val="00877C9E"/>
    <w:rsid w:val="00877CCC"/>
    <w:rsid w:val="00877DC8"/>
    <w:rsid w:val="00877DC9"/>
    <w:rsid w:val="00877E83"/>
    <w:rsid w:val="00877F2A"/>
    <w:rsid w:val="00877F31"/>
    <w:rsid w:val="00877F8A"/>
    <w:rsid w:val="00877FB3"/>
    <w:rsid w:val="00880014"/>
    <w:rsid w:val="00880032"/>
    <w:rsid w:val="00880051"/>
    <w:rsid w:val="00880058"/>
    <w:rsid w:val="0088005B"/>
    <w:rsid w:val="008800AE"/>
    <w:rsid w:val="008800CA"/>
    <w:rsid w:val="00880138"/>
    <w:rsid w:val="00880139"/>
    <w:rsid w:val="008801F7"/>
    <w:rsid w:val="00880248"/>
    <w:rsid w:val="0088027F"/>
    <w:rsid w:val="00880296"/>
    <w:rsid w:val="008802AA"/>
    <w:rsid w:val="008802F3"/>
    <w:rsid w:val="0088030F"/>
    <w:rsid w:val="0088032D"/>
    <w:rsid w:val="00880349"/>
    <w:rsid w:val="00880395"/>
    <w:rsid w:val="008803A2"/>
    <w:rsid w:val="008803B7"/>
    <w:rsid w:val="008803BE"/>
    <w:rsid w:val="008803F0"/>
    <w:rsid w:val="008803F3"/>
    <w:rsid w:val="0088040B"/>
    <w:rsid w:val="00880472"/>
    <w:rsid w:val="008804BD"/>
    <w:rsid w:val="008804DC"/>
    <w:rsid w:val="008804E1"/>
    <w:rsid w:val="008804F8"/>
    <w:rsid w:val="0088050E"/>
    <w:rsid w:val="0088051E"/>
    <w:rsid w:val="00880595"/>
    <w:rsid w:val="008805E2"/>
    <w:rsid w:val="008805EA"/>
    <w:rsid w:val="00880639"/>
    <w:rsid w:val="00880685"/>
    <w:rsid w:val="008806C1"/>
    <w:rsid w:val="00880786"/>
    <w:rsid w:val="00880787"/>
    <w:rsid w:val="00880795"/>
    <w:rsid w:val="008807AC"/>
    <w:rsid w:val="008807B0"/>
    <w:rsid w:val="008807C0"/>
    <w:rsid w:val="00880815"/>
    <w:rsid w:val="00880822"/>
    <w:rsid w:val="00880854"/>
    <w:rsid w:val="008808CB"/>
    <w:rsid w:val="008808D9"/>
    <w:rsid w:val="0088090B"/>
    <w:rsid w:val="008809DB"/>
    <w:rsid w:val="00880A0B"/>
    <w:rsid w:val="00880A16"/>
    <w:rsid w:val="00880A17"/>
    <w:rsid w:val="00880A26"/>
    <w:rsid w:val="00880A3C"/>
    <w:rsid w:val="00880A42"/>
    <w:rsid w:val="00880A46"/>
    <w:rsid w:val="00880A54"/>
    <w:rsid w:val="00880A93"/>
    <w:rsid w:val="00880AC1"/>
    <w:rsid w:val="00880ACE"/>
    <w:rsid w:val="00880ADB"/>
    <w:rsid w:val="00880B21"/>
    <w:rsid w:val="00880B94"/>
    <w:rsid w:val="00880BCC"/>
    <w:rsid w:val="00880BD3"/>
    <w:rsid w:val="00880BFE"/>
    <w:rsid w:val="00880C1A"/>
    <w:rsid w:val="00880C2B"/>
    <w:rsid w:val="00880CA5"/>
    <w:rsid w:val="00880CB9"/>
    <w:rsid w:val="00880D4E"/>
    <w:rsid w:val="00880D63"/>
    <w:rsid w:val="00880D96"/>
    <w:rsid w:val="00880DD5"/>
    <w:rsid w:val="00880DD8"/>
    <w:rsid w:val="00880DF8"/>
    <w:rsid w:val="00880E30"/>
    <w:rsid w:val="00880E84"/>
    <w:rsid w:val="00880EA7"/>
    <w:rsid w:val="00880EB5"/>
    <w:rsid w:val="00880F0D"/>
    <w:rsid w:val="00880F94"/>
    <w:rsid w:val="00880FA7"/>
    <w:rsid w:val="00880FE4"/>
    <w:rsid w:val="00880FF8"/>
    <w:rsid w:val="00881055"/>
    <w:rsid w:val="0088108D"/>
    <w:rsid w:val="00881153"/>
    <w:rsid w:val="0088119A"/>
    <w:rsid w:val="00881221"/>
    <w:rsid w:val="0088122C"/>
    <w:rsid w:val="0088124E"/>
    <w:rsid w:val="0088128E"/>
    <w:rsid w:val="00881292"/>
    <w:rsid w:val="008812BC"/>
    <w:rsid w:val="008812CB"/>
    <w:rsid w:val="0088131D"/>
    <w:rsid w:val="0088133F"/>
    <w:rsid w:val="00881356"/>
    <w:rsid w:val="008813C3"/>
    <w:rsid w:val="00881477"/>
    <w:rsid w:val="0088147B"/>
    <w:rsid w:val="00881491"/>
    <w:rsid w:val="008814EA"/>
    <w:rsid w:val="00881523"/>
    <w:rsid w:val="00881563"/>
    <w:rsid w:val="008815AB"/>
    <w:rsid w:val="008815C0"/>
    <w:rsid w:val="008815CA"/>
    <w:rsid w:val="00881627"/>
    <w:rsid w:val="00881635"/>
    <w:rsid w:val="00881659"/>
    <w:rsid w:val="008816D1"/>
    <w:rsid w:val="008816D8"/>
    <w:rsid w:val="00881720"/>
    <w:rsid w:val="00881732"/>
    <w:rsid w:val="0088177C"/>
    <w:rsid w:val="0088179B"/>
    <w:rsid w:val="008817A7"/>
    <w:rsid w:val="008817CA"/>
    <w:rsid w:val="008817D5"/>
    <w:rsid w:val="00881821"/>
    <w:rsid w:val="00881824"/>
    <w:rsid w:val="00881864"/>
    <w:rsid w:val="00881868"/>
    <w:rsid w:val="00881908"/>
    <w:rsid w:val="00881974"/>
    <w:rsid w:val="00881994"/>
    <w:rsid w:val="008819C9"/>
    <w:rsid w:val="00881A0E"/>
    <w:rsid w:val="00881A19"/>
    <w:rsid w:val="00881A37"/>
    <w:rsid w:val="00881A5D"/>
    <w:rsid w:val="00881AA7"/>
    <w:rsid w:val="00881AFD"/>
    <w:rsid w:val="00881B06"/>
    <w:rsid w:val="00881B18"/>
    <w:rsid w:val="00881B54"/>
    <w:rsid w:val="00881BCC"/>
    <w:rsid w:val="00881C2A"/>
    <w:rsid w:val="00881C69"/>
    <w:rsid w:val="00881CD1"/>
    <w:rsid w:val="00881CF3"/>
    <w:rsid w:val="00881D38"/>
    <w:rsid w:val="00881D53"/>
    <w:rsid w:val="00881DDE"/>
    <w:rsid w:val="00881DF4"/>
    <w:rsid w:val="00881E42"/>
    <w:rsid w:val="00881E82"/>
    <w:rsid w:val="00881E88"/>
    <w:rsid w:val="00881EE0"/>
    <w:rsid w:val="00881F34"/>
    <w:rsid w:val="00881F55"/>
    <w:rsid w:val="00881FD2"/>
    <w:rsid w:val="00882035"/>
    <w:rsid w:val="008820C2"/>
    <w:rsid w:val="008820D7"/>
    <w:rsid w:val="0088210E"/>
    <w:rsid w:val="0088211C"/>
    <w:rsid w:val="00882122"/>
    <w:rsid w:val="008821B4"/>
    <w:rsid w:val="00882231"/>
    <w:rsid w:val="00882293"/>
    <w:rsid w:val="00882327"/>
    <w:rsid w:val="00882343"/>
    <w:rsid w:val="0088242B"/>
    <w:rsid w:val="00882449"/>
    <w:rsid w:val="00882451"/>
    <w:rsid w:val="0088248F"/>
    <w:rsid w:val="0088249E"/>
    <w:rsid w:val="008824B3"/>
    <w:rsid w:val="008824B7"/>
    <w:rsid w:val="008824D2"/>
    <w:rsid w:val="008824D9"/>
    <w:rsid w:val="0088251E"/>
    <w:rsid w:val="00882584"/>
    <w:rsid w:val="008825D8"/>
    <w:rsid w:val="008825E2"/>
    <w:rsid w:val="0088260D"/>
    <w:rsid w:val="0088261D"/>
    <w:rsid w:val="0088266D"/>
    <w:rsid w:val="00882677"/>
    <w:rsid w:val="0088267D"/>
    <w:rsid w:val="008826AA"/>
    <w:rsid w:val="008826F3"/>
    <w:rsid w:val="0088277F"/>
    <w:rsid w:val="008827F2"/>
    <w:rsid w:val="00882807"/>
    <w:rsid w:val="00882838"/>
    <w:rsid w:val="00882842"/>
    <w:rsid w:val="00882879"/>
    <w:rsid w:val="008828FB"/>
    <w:rsid w:val="0088290D"/>
    <w:rsid w:val="00882966"/>
    <w:rsid w:val="00882985"/>
    <w:rsid w:val="00882A0F"/>
    <w:rsid w:val="00882A1D"/>
    <w:rsid w:val="00882A44"/>
    <w:rsid w:val="00882A60"/>
    <w:rsid w:val="00882A8F"/>
    <w:rsid w:val="00882AB6"/>
    <w:rsid w:val="00882ABC"/>
    <w:rsid w:val="00882B14"/>
    <w:rsid w:val="00882B22"/>
    <w:rsid w:val="00882B2A"/>
    <w:rsid w:val="00882B6D"/>
    <w:rsid w:val="00882B72"/>
    <w:rsid w:val="00882BB7"/>
    <w:rsid w:val="00882BF5"/>
    <w:rsid w:val="00882C12"/>
    <w:rsid w:val="00882C34"/>
    <w:rsid w:val="00882C6D"/>
    <w:rsid w:val="00882C6F"/>
    <w:rsid w:val="00882C83"/>
    <w:rsid w:val="00882C9D"/>
    <w:rsid w:val="00882CD0"/>
    <w:rsid w:val="00882CE5"/>
    <w:rsid w:val="00882CEF"/>
    <w:rsid w:val="00882CFF"/>
    <w:rsid w:val="00882D16"/>
    <w:rsid w:val="00882D1C"/>
    <w:rsid w:val="00882D1E"/>
    <w:rsid w:val="00882D2A"/>
    <w:rsid w:val="00882D5E"/>
    <w:rsid w:val="00882D7A"/>
    <w:rsid w:val="00882DC9"/>
    <w:rsid w:val="00882DD0"/>
    <w:rsid w:val="00882E4F"/>
    <w:rsid w:val="00882E58"/>
    <w:rsid w:val="00882E68"/>
    <w:rsid w:val="00882E90"/>
    <w:rsid w:val="00882ECE"/>
    <w:rsid w:val="00882F29"/>
    <w:rsid w:val="00882F5B"/>
    <w:rsid w:val="00882FA1"/>
    <w:rsid w:val="00882FDD"/>
    <w:rsid w:val="00883007"/>
    <w:rsid w:val="0088301B"/>
    <w:rsid w:val="0088301F"/>
    <w:rsid w:val="008830D6"/>
    <w:rsid w:val="00883103"/>
    <w:rsid w:val="0088310A"/>
    <w:rsid w:val="00883110"/>
    <w:rsid w:val="00883174"/>
    <w:rsid w:val="008831D3"/>
    <w:rsid w:val="00883213"/>
    <w:rsid w:val="00883234"/>
    <w:rsid w:val="008832CF"/>
    <w:rsid w:val="00883340"/>
    <w:rsid w:val="00883354"/>
    <w:rsid w:val="00883357"/>
    <w:rsid w:val="0088335B"/>
    <w:rsid w:val="008833C4"/>
    <w:rsid w:val="008833F1"/>
    <w:rsid w:val="008833F4"/>
    <w:rsid w:val="0088341B"/>
    <w:rsid w:val="008834A2"/>
    <w:rsid w:val="008835EE"/>
    <w:rsid w:val="0088361D"/>
    <w:rsid w:val="00883694"/>
    <w:rsid w:val="008836B4"/>
    <w:rsid w:val="008836DE"/>
    <w:rsid w:val="00883712"/>
    <w:rsid w:val="00883730"/>
    <w:rsid w:val="00883737"/>
    <w:rsid w:val="00883758"/>
    <w:rsid w:val="00883792"/>
    <w:rsid w:val="008837C1"/>
    <w:rsid w:val="008837E1"/>
    <w:rsid w:val="00883839"/>
    <w:rsid w:val="0088384D"/>
    <w:rsid w:val="00883876"/>
    <w:rsid w:val="008838A7"/>
    <w:rsid w:val="008838BD"/>
    <w:rsid w:val="008838D0"/>
    <w:rsid w:val="00883907"/>
    <w:rsid w:val="00883908"/>
    <w:rsid w:val="0088391D"/>
    <w:rsid w:val="00883921"/>
    <w:rsid w:val="00883975"/>
    <w:rsid w:val="0088397F"/>
    <w:rsid w:val="008839B1"/>
    <w:rsid w:val="008839D7"/>
    <w:rsid w:val="00883A0F"/>
    <w:rsid w:val="00883A19"/>
    <w:rsid w:val="00883A3F"/>
    <w:rsid w:val="00883A41"/>
    <w:rsid w:val="00883AAB"/>
    <w:rsid w:val="00883AF5"/>
    <w:rsid w:val="00883AFB"/>
    <w:rsid w:val="00883B08"/>
    <w:rsid w:val="00883B15"/>
    <w:rsid w:val="00883B1A"/>
    <w:rsid w:val="00883B97"/>
    <w:rsid w:val="00883BAD"/>
    <w:rsid w:val="00883BCF"/>
    <w:rsid w:val="00883BDA"/>
    <w:rsid w:val="00883BE1"/>
    <w:rsid w:val="00883BEB"/>
    <w:rsid w:val="00883C4F"/>
    <w:rsid w:val="00883D65"/>
    <w:rsid w:val="00883D6B"/>
    <w:rsid w:val="00883DCF"/>
    <w:rsid w:val="00883DDC"/>
    <w:rsid w:val="00883E2A"/>
    <w:rsid w:val="00883E49"/>
    <w:rsid w:val="00883EA8"/>
    <w:rsid w:val="00883EC3"/>
    <w:rsid w:val="00883F3B"/>
    <w:rsid w:val="00883F76"/>
    <w:rsid w:val="00883FB3"/>
    <w:rsid w:val="00883FB7"/>
    <w:rsid w:val="00883FCA"/>
    <w:rsid w:val="00884007"/>
    <w:rsid w:val="00884024"/>
    <w:rsid w:val="0088403C"/>
    <w:rsid w:val="0088403E"/>
    <w:rsid w:val="00884082"/>
    <w:rsid w:val="00884105"/>
    <w:rsid w:val="00884142"/>
    <w:rsid w:val="00884170"/>
    <w:rsid w:val="0088417D"/>
    <w:rsid w:val="00884181"/>
    <w:rsid w:val="00884187"/>
    <w:rsid w:val="0088423D"/>
    <w:rsid w:val="00884242"/>
    <w:rsid w:val="00884243"/>
    <w:rsid w:val="008842D5"/>
    <w:rsid w:val="00884309"/>
    <w:rsid w:val="00884396"/>
    <w:rsid w:val="0088439C"/>
    <w:rsid w:val="008843B2"/>
    <w:rsid w:val="008843F0"/>
    <w:rsid w:val="00884410"/>
    <w:rsid w:val="00884479"/>
    <w:rsid w:val="008844AD"/>
    <w:rsid w:val="00884504"/>
    <w:rsid w:val="0088452E"/>
    <w:rsid w:val="00884532"/>
    <w:rsid w:val="00884584"/>
    <w:rsid w:val="008845AE"/>
    <w:rsid w:val="008845FA"/>
    <w:rsid w:val="0088460A"/>
    <w:rsid w:val="0088465C"/>
    <w:rsid w:val="0088465E"/>
    <w:rsid w:val="0088469A"/>
    <w:rsid w:val="008846BF"/>
    <w:rsid w:val="008846FB"/>
    <w:rsid w:val="0088471E"/>
    <w:rsid w:val="0088475F"/>
    <w:rsid w:val="00884784"/>
    <w:rsid w:val="008847C2"/>
    <w:rsid w:val="008847FA"/>
    <w:rsid w:val="00884804"/>
    <w:rsid w:val="00884805"/>
    <w:rsid w:val="0088480F"/>
    <w:rsid w:val="0088482A"/>
    <w:rsid w:val="0088489A"/>
    <w:rsid w:val="008848A1"/>
    <w:rsid w:val="008848D0"/>
    <w:rsid w:val="008848EF"/>
    <w:rsid w:val="00884980"/>
    <w:rsid w:val="008849E2"/>
    <w:rsid w:val="008849E8"/>
    <w:rsid w:val="00884A0B"/>
    <w:rsid w:val="00884A25"/>
    <w:rsid w:val="00884A28"/>
    <w:rsid w:val="00884A2C"/>
    <w:rsid w:val="00884A6E"/>
    <w:rsid w:val="00884A77"/>
    <w:rsid w:val="00884AC8"/>
    <w:rsid w:val="00884AD6"/>
    <w:rsid w:val="00884B03"/>
    <w:rsid w:val="00884BC1"/>
    <w:rsid w:val="00884C5C"/>
    <w:rsid w:val="00884C76"/>
    <w:rsid w:val="00884C95"/>
    <w:rsid w:val="00884C9D"/>
    <w:rsid w:val="00884CAD"/>
    <w:rsid w:val="00884CC3"/>
    <w:rsid w:val="00884CE9"/>
    <w:rsid w:val="00884D01"/>
    <w:rsid w:val="00884D43"/>
    <w:rsid w:val="00884D4B"/>
    <w:rsid w:val="00884D5F"/>
    <w:rsid w:val="00884E16"/>
    <w:rsid w:val="00884E68"/>
    <w:rsid w:val="00884EB7"/>
    <w:rsid w:val="00884ECD"/>
    <w:rsid w:val="00884F07"/>
    <w:rsid w:val="00884F53"/>
    <w:rsid w:val="00884FA7"/>
    <w:rsid w:val="00885031"/>
    <w:rsid w:val="00885050"/>
    <w:rsid w:val="0088506D"/>
    <w:rsid w:val="008850C4"/>
    <w:rsid w:val="008850D7"/>
    <w:rsid w:val="008850F1"/>
    <w:rsid w:val="0088513E"/>
    <w:rsid w:val="00885159"/>
    <w:rsid w:val="00885173"/>
    <w:rsid w:val="008851BE"/>
    <w:rsid w:val="008851FE"/>
    <w:rsid w:val="00885260"/>
    <w:rsid w:val="008852A6"/>
    <w:rsid w:val="008852E2"/>
    <w:rsid w:val="0088531C"/>
    <w:rsid w:val="0088536F"/>
    <w:rsid w:val="0088540A"/>
    <w:rsid w:val="0088543D"/>
    <w:rsid w:val="00885454"/>
    <w:rsid w:val="00885491"/>
    <w:rsid w:val="00885497"/>
    <w:rsid w:val="008854BD"/>
    <w:rsid w:val="008854D5"/>
    <w:rsid w:val="0088555C"/>
    <w:rsid w:val="0088565F"/>
    <w:rsid w:val="008856B0"/>
    <w:rsid w:val="00885725"/>
    <w:rsid w:val="008857B0"/>
    <w:rsid w:val="008857F6"/>
    <w:rsid w:val="0088582A"/>
    <w:rsid w:val="00885833"/>
    <w:rsid w:val="00885846"/>
    <w:rsid w:val="00885889"/>
    <w:rsid w:val="0088588E"/>
    <w:rsid w:val="0088591D"/>
    <w:rsid w:val="00885953"/>
    <w:rsid w:val="00885959"/>
    <w:rsid w:val="00885973"/>
    <w:rsid w:val="0088598A"/>
    <w:rsid w:val="008859A1"/>
    <w:rsid w:val="008859BC"/>
    <w:rsid w:val="008859BF"/>
    <w:rsid w:val="00885A56"/>
    <w:rsid w:val="00885A7E"/>
    <w:rsid w:val="00885A9A"/>
    <w:rsid w:val="00885A9F"/>
    <w:rsid w:val="00885AA0"/>
    <w:rsid w:val="00885AA2"/>
    <w:rsid w:val="00885ACC"/>
    <w:rsid w:val="00885AD7"/>
    <w:rsid w:val="00885B49"/>
    <w:rsid w:val="00885C48"/>
    <w:rsid w:val="00885C54"/>
    <w:rsid w:val="00885C6E"/>
    <w:rsid w:val="00885CE5"/>
    <w:rsid w:val="00885D2F"/>
    <w:rsid w:val="00885D51"/>
    <w:rsid w:val="00885D7F"/>
    <w:rsid w:val="00885D85"/>
    <w:rsid w:val="00885E10"/>
    <w:rsid w:val="00885E24"/>
    <w:rsid w:val="00885E74"/>
    <w:rsid w:val="00885E8B"/>
    <w:rsid w:val="00885EC7"/>
    <w:rsid w:val="00885EE9"/>
    <w:rsid w:val="00885EF9"/>
    <w:rsid w:val="00885F37"/>
    <w:rsid w:val="00885FA6"/>
    <w:rsid w:val="00885FA8"/>
    <w:rsid w:val="00885FD1"/>
    <w:rsid w:val="00886051"/>
    <w:rsid w:val="0088607B"/>
    <w:rsid w:val="008860C8"/>
    <w:rsid w:val="008860EC"/>
    <w:rsid w:val="008860F5"/>
    <w:rsid w:val="0088611C"/>
    <w:rsid w:val="00886161"/>
    <w:rsid w:val="00886164"/>
    <w:rsid w:val="008861EB"/>
    <w:rsid w:val="0088626F"/>
    <w:rsid w:val="0088628E"/>
    <w:rsid w:val="008862BF"/>
    <w:rsid w:val="008862D2"/>
    <w:rsid w:val="00886390"/>
    <w:rsid w:val="0088639E"/>
    <w:rsid w:val="008863D8"/>
    <w:rsid w:val="00886466"/>
    <w:rsid w:val="008864D8"/>
    <w:rsid w:val="008864F8"/>
    <w:rsid w:val="00886555"/>
    <w:rsid w:val="0088656F"/>
    <w:rsid w:val="0088659A"/>
    <w:rsid w:val="0088659F"/>
    <w:rsid w:val="0088663C"/>
    <w:rsid w:val="0088668D"/>
    <w:rsid w:val="00886703"/>
    <w:rsid w:val="0088670F"/>
    <w:rsid w:val="00886716"/>
    <w:rsid w:val="00886748"/>
    <w:rsid w:val="0088674E"/>
    <w:rsid w:val="008867DF"/>
    <w:rsid w:val="00886873"/>
    <w:rsid w:val="0088692F"/>
    <w:rsid w:val="008869B0"/>
    <w:rsid w:val="00886A16"/>
    <w:rsid w:val="00886A2F"/>
    <w:rsid w:val="00886A42"/>
    <w:rsid w:val="00886A74"/>
    <w:rsid w:val="00886A98"/>
    <w:rsid w:val="00886AB2"/>
    <w:rsid w:val="00886ADD"/>
    <w:rsid w:val="00886AEC"/>
    <w:rsid w:val="00886AF0"/>
    <w:rsid w:val="00886B00"/>
    <w:rsid w:val="00886B29"/>
    <w:rsid w:val="00886BD2"/>
    <w:rsid w:val="00886BE1"/>
    <w:rsid w:val="00886BEE"/>
    <w:rsid w:val="00886C0C"/>
    <w:rsid w:val="00886C6F"/>
    <w:rsid w:val="00886C93"/>
    <w:rsid w:val="00886D0D"/>
    <w:rsid w:val="00886D43"/>
    <w:rsid w:val="00886D48"/>
    <w:rsid w:val="00886D4F"/>
    <w:rsid w:val="00886DCF"/>
    <w:rsid w:val="00886DF5"/>
    <w:rsid w:val="00886E05"/>
    <w:rsid w:val="00886E29"/>
    <w:rsid w:val="00886E4D"/>
    <w:rsid w:val="00886E7B"/>
    <w:rsid w:val="00886EA0"/>
    <w:rsid w:val="00886F73"/>
    <w:rsid w:val="00886FC9"/>
    <w:rsid w:val="00886FCB"/>
    <w:rsid w:val="00886FCC"/>
    <w:rsid w:val="00887025"/>
    <w:rsid w:val="00887068"/>
    <w:rsid w:val="008870D3"/>
    <w:rsid w:val="008870E7"/>
    <w:rsid w:val="00887169"/>
    <w:rsid w:val="0088717E"/>
    <w:rsid w:val="00887191"/>
    <w:rsid w:val="008871E2"/>
    <w:rsid w:val="00887239"/>
    <w:rsid w:val="00887251"/>
    <w:rsid w:val="0088725B"/>
    <w:rsid w:val="0088730D"/>
    <w:rsid w:val="00887337"/>
    <w:rsid w:val="008873B2"/>
    <w:rsid w:val="008873C5"/>
    <w:rsid w:val="008873D5"/>
    <w:rsid w:val="008873DF"/>
    <w:rsid w:val="0088742C"/>
    <w:rsid w:val="008874CF"/>
    <w:rsid w:val="008874DE"/>
    <w:rsid w:val="00887505"/>
    <w:rsid w:val="00887595"/>
    <w:rsid w:val="008875BD"/>
    <w:rsid w:val="008875F2"/>
    <w:rsid w:val="0088764B"/>
    <w:rsid w:val="008876E4"/>
    <w:rsid w:val="00887700"/>
    <w:rsid w:val="00887702"/>
    <w:rsid w:val="00887732"/>
    <w:rsid w:val="00887747"/>
    <w:rsid w:val="0088776F"/>
    <w:rsid w:val="00887779"/>
    <w:rsid w:val="00887792"/>
    <w:rsid w:val="008878D8"/>
    <w:rsid w:val="008878EF"/>
    <w:rsid w:val="00887918"/>
    <w:rsid w:val="00887921"/>
    <w:rsid w:val="008879DF"/>
    <w:rsid w:val="008879FB"/>
    <w:rsid w:val="00887A26"/>
    <w:rsid w:val="00887A7E"/>
    <w:rsid w:val="00887A95"/>
    <w:rsid w:val="00887AB1"/>
    <w:rsid w:val="00887AC1"/>
    <w:rsid w:val="00887AE9"/>
    <w:rsid w:val="00887AFE"/>
    <w:rsid w:val="00887B65"/>
    <w:rsid w:val="00887B74"/>
    <w:rsid w:val="00887BE3"/>
    <w:rsid w:val="00887BE7"/>
    <w:rsid w:val="00887C13"/>
    <w:rsid w:val="00887C19"/>
    <w:rsid w:val="00887CC5"/>
    <w:rsid w:val="00887CC6"/>
    <w:rsid w:val="00887CD1"/>
    <w:rsid w:val="00887D9C"/>
    <w:rsid w:val="00887DB8"/>
    <w:rsid w:val="00887DD7"/>
    <w:rsid w:val="00887DEB"/>
    <w:rsid w:val="00887DF4"/>
    <w:rsid w:val="00887EC6"/>
    <w:rsid w:val="00887F66"/>
    <w:rsid w:val="00887F6A"/>
    <w:rsid w:val="00887F83"/>
    <w:rsid w:val="0088E601"/>
    <w:rsid w:val="008900A2"/>
    <w:rsid w:val="008900D9"/>
    <w:rsid w:val="00890100"/>
    <w:rsid w:val="008901D6"/>
    <w:rsid w:val="008901DD"/>
    <w:rsid w:val="0089021F"/>
    <w:rsid w:val="00890234"/>
    <w:rsid w:val="00890277"/>
    <w:rsid w:val="008902B6"/>
    <w:rsid w:val="008902BA"/>
    <w:rsid w:val="008902E5"/>
    <w:rsid w:val="008902E6"/>
    <w:rsid w:val="008902F7"/>
    <w:rsid w:val="0089031B"/>
    <w:rsid w:val="00890325"/>
    <w:rsid w:val="0089036F"/>
    <w:rsid w:val="00890382"/>
    <w:rsid w:val="0089038E"/>
    <w:rsid w:val="00890401"/>
    <w:rsid w:val="00890499"/>
    <w:rsid w:val="008904CB"/>
    <w:rsid w:val="008904EA"/>
    <w:rsid w:val="0089055F"/>
    <w:rsid w:val="0089057D"/>
    <w:rsid w:val="008905BA"/>
    <w:rsid w:val="0089061B"/>
    <w:rsid w:val="00890676"/>
    <w:rsid w:val="0089073F"/>
    <w:rsid w:val="00890756"/>
    <w:rsid w:val="00890761"/>
    <w:rsid w:val="008907EA"/>
    <w:rsid w:val="008907EF"/>
    <w:rsid w:val="00890863"/>
    <w:rsid w:val="00890866"/>
    <w:rsid w:val="008908AD"/>
    <w:rsid w:val="0089090F"/>
    <w:rsid w:val="00890960"/>
    <w:rsid w:val="0089096F"/>
    <w:rsid w:val="008909A6"/>
    <w:rsid w:val="008909CD"/>
    <w:rsid w:val="008909E1"/>
    <w:rsid w:val="00890A1B"/>
    <w:rsid w:val="00890A7D"/>
    <w:rsid w:val="00890A85"/>
    <w:rsid w:val="00890A93"/>
    <w:rsid w:val="00890B5A"/>
    <w:rsid w:val="00890B82"/>
    <w:rsid w:val="00890BA1"/>
    <w:rsid w:val="00890BEA"/>
    <w:rsid w:val="00890BF4"/>
    <w:rsid w:val="00890C08"/>
    <w:rsid w:val="00890C6E"/>
    <w:rsid w:val="00890CC9"/>
    <w:rsid w:val="00890CFC"/>
    <w:rsid w:val="00890CFE"/>
    <w:rsid w:val="00890D03"/>
    <w:rsid w:val="00890D8D"/>
    <w:rsid w:val="00890D8F"/>
    <w:rsid w:val="00890E4B"/>
    <w:rsid w:val="00890F2E"/>
    <w:rsid w:val="00890F48"/>
    <w:rsid w:val="00890F71"/>
    <w:rsid w:val="00890FC9"/>
    <w:rsid w:val="00890FED"/>
    <w:rsid w:val="00891000"/>
    <w:rsid w:val="0089102F"/>
    <w:rsid w:val="008910C1"/>
    <w:rsid w:val="008910EA"/>
    <w:rsid w:val="0089111A"/>
    <w:rsid w:val="0089112E"/>
    <w:rsid w:val="00891196"/>
    <w:rsid w:val="008911B6"/>
    <w:rsid w:val="008911BC"/>
    <w:rsid w:val="008911CB"/>
    <w:rsid w:val="00891247"/>
    <w:rsid w:val="0089129B"/>
    <w:rsid w:val="0089132D"/>
    <w:rsid w:val="00891334"/>
    <w:rsid w:val="0089134E"/>
    <w:rsid w:val="00891362"/>
    <w:rsid w:val="00891365"/>
    <w:rsid w:val="00891403"/>
    <w:rsid w:val="00891412"/>
    <w:rsid w:val="0089141F"/>
    <w:rsid w:val="00891429"/>
    <w:rsid w:val="0089151C"/>
    <w:rsid w:val="008915B9"/>
    <w:rsid w:val="008915BD"/>
    <w:rsid w:val="008915CE"/>
    <w:rsid w:val="0089169B"/>
    <w:rsid w:val="008916A0"/>
    <w:rsid w:val="008916C8"/>
    <w:rsid w:val="00891720"/>
    <w:rsid w:val="00891721"/>
    <w:rsid w:val="00891785"/>
    <w:rsid w:val="008917CA"/>
    <w:rsid w:val="00891833"/>
    <w:rsid w:val="00891854"/>
    <w:rsid w:val="00891915"/>
    <w:rsid w:val="008919ED"/>
    <w:rsid w:val="00891A46"/>
    <w:rsid w:val="00891AA7"/>
    <w:rsid w:val="00891AAA"/>
    <w:rsid w:val="00891B29"/>
    <w:rsid w:val="00891B40"/>
    <w:rsid w:val="00891B59"/>
    <w:rsid w:val="00891BAC"/>
    <w:rsid w:val="00891BB4"/>
    <w:rsid w:val="00891C05"/>
    <w:rsid w:val="00891C16"/>
    <w:rsid w:val="00891C26"/>
    <w:rsid w:val="00891C2B"/>
    <w:rsid w:val="00891C2F"/>
    <w:rsid w:val="00891C32"/>
    <w:rsid w:val="00891CC7"/>
    <w:rsid w:val="00891D0B"/>
    <w:rsid w:val="00891D2F"/>
    <w:rsid w:val="00891D5C"/>
    <w:rsid w:val="00891D9C"/>
    <w:rsid w:val="00891DD9"/>
    <w:rsid w:val="00891DFA"/>
    <w:rsid w:val="00891E00"/>
    <w:rsid w:val="00891E03"/>
    <w:rsid w:val="00891E59"/>
    <w:rsid w:val="00891E6F"/>
    <w:rsid w:val="00891F0B"/>
    <w:rsid w:val="00891F15"/>
    <w:rsid w:val="00891F16"/>
    <w:rsid w:val="00891F36"/>
    <w:rsid w:val="00891F6E"/>
    <w:rsid w:val="00891F89"/>
    <w:rsid w:val="00891FB2"/>
    <w:rsid w:val="00891FD6"/>
    <w:rsid w:val="008920C7"/>
    <w:rsid w:val="00892169"/>
    <w:rsid w:val="008921ED"/>
    <w:rsid w:val="00892203"/>
    <w:rsid w:val="00892250"/>
    <w:rsid w:val="0089229E"/>
    <w:rsid w:val="00892333"/>
    <w:rsid w:val="0089235D"/>
    <w:rsid w:val="00892378"/>
    <w:rsid w:val="008923B2"/>
    <w:rsid w:val="0089240B"/>
    <w:rsid w:val="0089240C"/>
    <w:rsid w:val="00892411"/>
    <w:rsid w:val="00892420"/>
    <w:rsid w:val="008924E8"/>
    <w:rsid w:val="00892534"/>
    <w:rsid w:val="0089255F"/>
    <w:rsid w:val="008925AC"/>
    <w:rsid w:val="008925D9"/>
    <w:rsid w:val="00892642"/>
    <w:rsid w:val="00892651"/>
    <w:rsid w:val="008926F9"/>
    <w:rsid w:val="0089270B"/>
    <w:rsid w:val="0089271C"/>
    <w:rsid w:val="00892730"/>
    <w:rsid w:val="00892746"/>
    <w:rsid w:val="00892763"/>
    <w:rsid w:val="00892773"/>
    <w:rsid w:val="008927FD"/>
    <w:rsid w:val="00892830"/>
    <w:rsid w:val="00892836"/>
    <w:rsid w:val="00892837"/>
    <w:rsid w:val="008928B8"/>
    <w:rsid w:val="008928F8"/>
    <w:rsid w:val="0089290E"/>
    <w:rsid w:val="00892955"/>
    <w:rsid w:val="00892970"/>
    <w:rsid w:val="00892971"/>
    <w:rsid w:val="00892979"/>
    <w:rsid w:val="008929D4"/>
    <w:rsid w:val="00892A29"/>
    <w:rsid w:val="00892B04"/>
    <w:rsid w:val="00892B43"/>
    <w:rsid w:val="00892B58"/>
    <w:rsid w:val="00892B75"/>
    <w:rsid w:val="00892BE7"/>
    <w:rsid w:val="00892C2F"/>
    <w:rsid w:val="00892C8F"/>
    <w:rsid w:val="00892CAB"/>
    <w:rsid w:val="00892CDF"/>
    <w:rsid w:val="00892CE3"/>
    <w:rsid w:val="00892D01"/>
    <w:rsid w:val="00892D03"/>
    <w:rsid w:val="00892DB4"/>
    <w:rsid w:val="00892DC3"/>
    <w:rsid w:val="00892E2D"/>
    <w:rsid w:val="00892E52"/>
    <w:rsid w:val="00892E6D"/>
    <w:rsid w:val="00892E84"/>
    <w:rsid w:val="00892EDE"/>
    <w:rsid w:val="00893042"/>
    <w:rsid w:val="00893046"/>
    <w:rsid w:val="0089305F"/>
    <w:rsid w:val="00893080"/>
    <w:rsid w:val="00893101"/>
    <w:rsid w:val="00893129"/>
    <w:rsid w:val="008931BD"/>
    <w:rsid w:val="008931E9"/>
    <w:rsid w:val="0089321D"/>
    <w:rsid w:val="00893247"/>
    <w:rsid w:val="0089325D"/>
    <w:rsid w:val="00893292"/>
    <w:rsid w:val="008932C9"/>
    <w:rsid w:val="0089339A"/>
    <w:rsid w:val="008933D3"/>
    <w:rsid w:val="008933F2"/>
    <w:rsid w:val="00893414"/>
    <w:rsid w:val="0089342F"/>
    <w:rsid w:val="0089344C"/>
    <w:rsid w:val="00893477"/>
    <w:rsid w:val="00893492"/>
    <w:rsid w:val="008934D5"/>
    <w:rsid w:val="008934FF"/>
    <w:rsid w:val="00893535"/>
    <w:rsid w:val="00893596"/>
    <w:rsid w:val="008935B9"/>
    <w:rsid w:val="008935C7"/>
    <w:rsid w:val="008935F1"/>
    <w:rsid w:val="008935F4"/>
    <w:rsid w:val="00893641"/>
    <w:rsid w:val="0089364E"/>
    <w:rsid w:val="00893660"/>
    <w:rsid w:val="008936AC"/>
    <w:rsid w:val="008936B5"/>
    <w:rsid w:val="0089373B"/>
    <w:rsid w:val="00893772"/>
    <w:rsid w:val="00893789"/>
    <w:rsid w:val="0089378A"/>
    <w:rsid w:val="0089378F"/>
    <w:rsid w:val="0089380F"/>
    <w:rsid w:val="0089383E"/>
    <w:rsid w:val="00893867"/>
    <w:rsid w:val="00893900"/>
    <w:rsid w:val="0089395A"/>
    <w:rsid w:val="00893962"/>
    <w:rsid w:val="00893986"/>
    <w:rsid w:val="0089398A"/>
    <w:rsid w:val="00893A22"/>
    <w:rsid w:val="00893A2F"/>
    <w:rsid w:val="00893A33"/>
    <w:rsid w:val="00893A5C"/>
    <w:rsid w:val="00893B05"/>
    <w:rsid w:val="00893B37"/>
    <w:rsid w:val="00893B52"/>
    <w:rsid w:val="00893B9F"/>
    <w:rsid w:val="00893BBE"/>
    <w:rsid w:val="00893BD5"/>
    <w:rsid w:val="00893BDA"/>
    <w:rsid w:val="00893BF4"/>
    <w:rsid w:val="00893C3C"/>
    <w:rsid w:val="00893C5B"/>
    <w:rsid w:val="00893CCC"/>
    <w:rsid w:val="00893CEF"/>
    <w:rsid w:val="00893D02"/>
    <w:rsid w:val="00893D38"/>
    <w:rsid w:val="00893D5E"/>
    <w:rsid w:val="00893D62"/>
    <w:rsid w:val="00893DA0"/>
    <w:rsid w:val="00893E32"/>
    <w:rsid w:val="00893E35"/>
    <w:rsid w:val="00893E46"/>
    <w:rsid w:val="00893ECE"/>
    <w:rsid w:val="00893F22"/>
    <w:rsid w:val="00893FCF"/>
    <w:rsid w:val="00893FD2"/>
    <w:rsid w:val="00893FDC"/>
    <w:rsid w:val="00894086"/>
    <w:rsid w:val="0089413B"/>
    <w:rsid w:val="00894152"/>
    <w:rsid w:val="0089418D"/>
    <w:rsid w:val="008941B2"/>
    <w:rsid w:val="008941F8"/>
    <w:rsid w:val="0089428B"/>
    <w:rsid w:val="008942BA"/>
    <w:rsid w:val="008942CF"/>
    <w:rsid w:val="008942D4"/>
    <w:rsid w:val="008942D8"/>
    <w:rsid w:val="0089438E"/>
    <w:rsid w:val="008943C7"/>
    <w:rsid w:val="0089444B"/>
    <w:rsid w:val="008944F1"/>
    <w:rsid w:val="008944F3"/>
    <w:rsid w:val="00894549"/>
    <w:rsid w:val="00894550"/>
    <w:rsid w:val="00894569"/>
    <w:rsid w:val="008945B2"/>
    <w:rsid w:val="008945B3"/>
    <w:rsid w:val="008945B5"/>
    <w:rsid w:val="00894607"/>
    <w:rsid w:val="0089461A"/>
    <w:rsid w:val="0089461E"/>
    <w:rsid w:val="00894657"/>
    <w:rsid w:val="0089467C"/>
    <w:rsid w:val="008946E6"/>
    <w:rsid w:val="008946ED"/>
    <w:rsid w:val="00894719"/>
    <w:rsid w:val="0089474B"/>
    <w:rsid w:val="0089475C"/>
    <w:rsid w:val="008947F0"/>
    <w:rsid w:val="0089482A"/>
    <w:rsid w:val="0089483E"/>
    <w:rsid w:val="00894847"/>
    <w:rsid w:val="0089487A"/>
    <w:rsid w:val="00894884"/>
    <w:rsid w:val="00894889"/>
    <w:rsid w:val="0089488D"/>
    <w:rsid w:val="008948A6"/>
    <w:rsid w:val="008948C0"/>
    <w:rsid w:val="008948EB"/>
    <w:rsid w:val="008948F6"/>
    <w:rsid w:val="008948F9"/>
    <w:rsid w:val="00894972"/>
    <w:rsid w:val="008949CD"/>
    <w:rsid w:val="00894A03"/>
    <w:rsid w:val="00894A61"/>
    <w:rsid w:val="00894ABF"/>
    <w:rsid w:val="00894AE4"/>
    <w:rsid w:val="00894B10"/>
    <w:rsid w:val="00894B11"/>
    <w:rsid w:val="00894B33"/>
    <w:rsid w:val="00894B5C"/>
    <w:rsid w:val="00894B78"/>
    <w:rsid w:val="00894B7C"/>
    <w:rsid w:val="00894BA1"/>
    <w:rsid w:val="00894C4E"/>
    <w:rsid w:val="00894D8E"/>
    <w:rsid w:val="00894DD2"/>
    <w:rsid w:val="00894E25"/>
    <w:rsid w:val="00894E3D"/>
    <w:rsid w:val="00894E90"/>
    <w:rsid w:val="00894E9C"/>
    <w:rsid w:val="00894EC6"/>
    <w:rsid w:val="00894EE7"/>
    <w:rsid w:val="00894EFE"/>
    <w:rsid w:val="00894F27"/>
    <w:rsid w:val="00894FBF"/>
    <w:rsid w:val="00894FCE"/>
    <w:rsid w:val="00895071"/>
    <w:rsid w:val="008950D0"/>
    <w:rsid w:val="00895116"/>
    <w:rsid w:val="00895124"/>
    <w:rsid w:val="00895187"/>
    <w:rsid w:val="008951F6"/>
    <w:rsid w:val="00895203"/>
    <w:rsid w:val="00895257"/>
    <w:rsid w:val="00895280"/>
    <w:rsid w:val="00895308"/>
    <w:rsid w:val="008953CA"/>
    <w:rsid w:val="0089541E"/>
    <w:rsid w:val="0089542A"/>
    <w:rsid w:val="008954B8"/>
    <w:rsid w:val="008954D9"/>
    <w:rsid w:val="0089550C"/>
    <w:rsid w:val="00895526"/>
    <w:rsid w:val="00895528"/>
    <w:rsid w:val="00895576"/>
    <w:rsid w:val="008955FD"/>
    <w:rsid w:val="0089560D"/>
    <w:rsid w:val="00895619"/>
    <w:rsid w:val="00895631"/>
    <w:rsid w:val="008956E1"/>
    <w:rsid w:val="008956EC"/>
    <w:rsid w:val="008956F4"/>
    <w:rsid w:val="0089578C"/>
    <w:rsid w:val="008957DD"/>
    <w:rsid w:val="008957E3"/>
    <w:rsid w:val="00895844"/>
    <w:rsid w:val="0089585C"/>
    <w:rsid w:val="0089585D"/>
    <w:rsid w:val="008958B6"/>
    <w:rsid w:val="008958BA"/>
    <w:rsid w:val="008958D7"/>
    <w:rsid w:val="008958F5"/>
    <w:rsid w:val="00895915"/>
    <w:rsid w:val="0089593B"/>
    <w:rsid w:val="00895950"/>
    <w:rsid w:val="008959B8"/>
    <w:rsid w:val="008959CF"/>
    <w:rsid w:val="008959DA"/>
    <w:rsid w:val="008959EB"/>
    <w:rsid w:val="008959F6"/>
    <w:rsid w:val="00895A0A"/>
    <w:rsid w:val="00895A67"/>
    <w:rsid w:val="00895A7A"/>
    <w:rsid w:val="00895AAD"/>
    <w:rsid w:val="00895ADC"/>
    <w:rsid w:val="00895B06"/>
    <w:rsid w:val="00895B1E"/>
    <w:rsid w:val="00895B26"/>
    <w:rsid w:val="00895B88"/>
    <w:rsid w:val="00895BA4"/>
    <w:rsid w:val="00895C19"/>
    <w:rsid w:val="00895C3F"/>
    <w:rsid w:val="00895C6C"/>
    <w:rsid w:val="00895D0A"/>
    <w:rsid w:val="00895D90"/>
    <w:rsid w:val="00895DB7"/>
    <w:rsid w:val="00895E2F"/>
    <w:rsid w:val="00895EAC"/>
    <w:rsid w:val="00895EB4"/>
    <w:rsid w:val="00895EC6"/>
    <w:rsid w:val="00895EDC"/>
    <w:rsid w:val="00895F06"/>
    <w:rsid w:val="00895F90"/>
    <w:rsid w:val="00895FD1"/>
    <w:rsid w:val="0089605A"/>
    <w:rsid w:val="00896080"/>
    <w:rsid w:val="00896134"/>
    <w:rsid w:val="0089616B"/>
    <w:rsid w:val="00896187"/>
    <w:rsid w:val="008961CD"/>
    <w:rsid w:val="008961F2"/>
    <w:rsid w:val="008961FA"/>
    <w:rsid w:val="00896215"/>
    <w:rsid w:val="00896219"/>
    <w:rsid w:val="0089624D"/>
    <w:rsid w:val="0089626B"/>
    <w:rsid w:val="008962B7"/>
    <w:rsid w:val="008962C4"/>
    <w:rsid w:val="00896318"/>
    <w:rsid w:val="00896331"/>
    <w:rsid w:val="00896339"/>
    <w:rsid w:val="008963A3"/>
    <w:rsid w:val="00896439"/>
    <w:rsid w:val="00896456"/>
    <w:rsid w:val="00896475"/>
    <w:rsid w:val="0089649A"/>
    <w:rsid w:val="008964BD"/>
    <w:rsid w:val="008964EF"/>
    <w:rsid w:val="00896532"/>
    <w:rsid w:val="00896573"/>
    <w:rsid w:val="00896576"/>
    <w:rsid w:val="00896579"/>
    <w:rsid w:val="008965BF"/>
    <w:rsid w:val="00896609"/>
    <w:rsid w:val="00896675"/>
    <w:rsid w:val="008966BB"/>
    <w:rsid w:val="008966C4"/>
    <w:rsid w:val="008966F7"/>
    <w:rsid w:val="00896755"/>
    <w:rsid w:val="00896757"/>
    <w:rsid w:val="008967BB"/>
    <w:rsid w:val="0089682A"/>
    <w:rsid w:val="0089684D"/>
    <w:rsid w:val="008968C1"/>
    <w:rsid w:val="008968DE"/>
    <w:rsid w:val="008968FE"/>
    <w:rsid w:val="00896907"/>
    <w:rsid w:val="0089694F"/>
    <w:rsid w:val="0089698D"/>
    <w:rsid w:val="008969BF"/>
    <w:rsid w:val="008969D7"/>
    <w:rsid w:val="008969F1"/>
    <w:rsid w:val="00896A95"/>
    <w:rsid w:val="00896A9C"/>
    <w:rsid w:val="00896AA5"/>
    <w:rsid w:val="00896ABE"/>
    <w:rsid w:val="00896ADD"/>
    <w:rsid w:val="00896B08"/>
    <w:rsid w:val="00896B16"/>
    <w:rsid w:val="00896BBD"/>
    <w:rsid w:val="00896C11"/>
    <w:rsid w:val="00896C2A"/>
    <w:rsid w:val="00896C47"/>
    <w:rsid w:val="00896C78"/>
    <w:rsid w:val="00896CC0"/>
    <w:rsid w:val="00896CFF"/>
    <w:rsid w:val="00896D0E"/>
    <w:rsid w:val="00896D68"/>
    <w:rsid w:val="00896DA2"/>
    <w:rsid w:val="00896E0C"/>
    <w:rsid w:val="00896E55"/>
    <w:rsid w:val="00896E5B"/>
    <w:rsid w:val="00896E87"/>
    <w:rsid w:val="00896EB5"/>
    <w:rsid w:val="00897010"/>
    <w:rsid w:val="0089701C"/>
    <w:rsid w:val="0089705D"/>
    <w:rsid w:val="008970DE"/>
    <w:rsid w:val="0089710E"/>
    <w:rsid w:val="0089717A"/>
    <w:rsid w:val="00897184"/>
    <w:rsid w:val="008971C6"/>
    <w:rsid w:val="0089724F"/>
    <w:rsid w:val="0089726C"/>
    <w:rsid w:val="008972D2"/>
    <w:rsid w:val="00897309"/>
    <w:rsid w:val="00897324"/>
    <w:rsid w:val="0089733A"/>
    <w:rsid w:val="0089742B"/>
    <w:rsid w:val="0089742C"/>
    <w:rsid w:val="008974C8"/>
    <w:rsid w:val="008974CA"/>
    <w:rsid w:val="0089751F"/>
    <w:rsid w:val="00897534"/>
    <w:rsid w:val="0089755B"/>
    <w:rsid w:val="00897587"/>
    <w:rsid w:val="00897592"/>
    <w:rsid w:val="00897594"/>
    <w:rsid w:val="008975E7"/>
    <w:rsid w:val="00897660"/>
    <w:rsid w:val="00897678"/>
    <w:rsid w:val="0089769A"/>
    <w:rsid w:val="008976B9"/>
    <w:rsid w:val="00897714"/>
    <w:rsid w:val="00897722"/>
    <w:rsid w:val="0089775B"/>
    <w:rsid w:val="008977CA"/>
    <w:rsid w:val="00897873"/>
    <w:rsid w:val="008978A1"/>
    <w:rsid w:val="0089790B"/>
    <w:rsid w:val="0089790E"/>
    <w:rsid w:val="00897920"/>
    <w:rsid w:val="0089792E"/>
    <w:rsid w:val="00897963"/>
    <w:rsid w:val="008979BB"/>
    <w:rsid w:val="008979BE"/>
    <w:rsid w:val="00897A2E"/>
    <w:rsid w:val="00897B43"/>
    <w:rsid w:val="00897B5A"/>
    <w:rsid w:val="00897B77"/>
    <w:rsid w:val="00897BF7"/>
    <w:rsid w:val="00897C18"/>
    <w:rsid w:val="00897C51"/>
    <w:rsid w:val="00897C5D"/>
    <w:rsid w:val="00897C67"/>
    <w:rsid w:val="00897C6B"/>
    <w:rsid w:val="00897C83"/>
    <w:rsid w:val="00897C88"/>
    <w:rsid w:val="00897CFD"/>
    <w:rsid w:val="00897D41"/>
    <w:rsid w:val="00897D81"/>
    <w:rsid w:val="00897DF9"/>
    <w:rsid w:val="00897E2E"/>
    <w:rsid w:val="00897E57"/>
    <w:rsid w:val="00897E60"/>
    <w:rsid w:val="00897F81"/>
    <w:rsid w:val="00899473"/>
    <w:rsid w:val="0089BC59"/>
    <w:rsid w:val="0089F03A"/>
    <w:rsid w:val="008A007C"/>
    <w:rsid w:val="008A0094"/>
    <w:rsid w:val="008A00D3"/>
    <w:rsid w:val="008A00E1"/>
    <w:rsid w:val="008A0107"/>
    <w:rsid w:val="008A0148"/>
    <w:rsid w:val="008A0152"/>
    <w:rsid w:val="008A0155"/>
    <w:rsid w:val="008A01AE"/>
    <w:rsid w:val="008A01BC"/>
    <w:rsid w:val="008A0265"/>
    <w:rsid w:val="008A026A"/>
    <w:rsid w:val="008A02CB"/>
    <w:rsid w:val="008A02E3"/>
    <w:rsid w:val="008A0377"/>
    <w:rsid w:val="008A037A"/>
    <w:rsid w:val="008A038D"/>
    <w:rsid w:val="008A0463"/>
    <w:rsid w:val="008A04FA"/>
    <w:rsid w:val="008A0525"/>
    <w:rsid w:val="008A0556"/>
    <w:rsid w:val="008A055A"/>
    <w:rsid w:val="008A0561"/>
    <w:rsid w:val="008A0566"/>
    <w:rsid w:val="008A056C"/>
    <w:rsid w:val="008A05A4"/>
    <w:rsid w:val="008A05BF"/>
    <w:rsid w:val="008A05E3"/>
    <w:rsid w:val="008A0686"/>
    <w:rsid w:val="008A06CB"/>
    <w:rsid w:val="008A06FF"/>
    <w:rsid w:val="008A0765"/>
    <w:rsid w:val="008A0786"/>
    <w:rsid w:val="008A0798"/>
    <w:rsid w:val="008A0816"/>
    <w:rsid w:val="008A0896"/>
    <w:rsid w:val="008A08B6"/>
    <w:rsid w:val="008A08FE"/>
    <w:rsid w:val="008A090F"/>
    <w:rsid w:val="008A093E"/>
    <w:rsid w:val="008A099B"/>
    <w:rsid w:val="008A099C"/>
    <w:rsid w:val="008A09AF"/>
    <w:rsid w:val="008A09F9"/>
    <w:rsid w:val="008A0A13"/>
    <w:rsid w:val="008A0A25"/>
    <w:rsid w:val="008A0A83"/>
    <w:rsid w:val="008A0A8A"/>
    <w:rsid w:val="008A0AB5"/>
    <w:rsid w:val="008A0AED"/>
    <w:rsid w:val="008A0B3F"/>
    <w:rsid w:val="008A0B4F"/>
    <w:rsid w:val="008A0B53"/>
    <w:rsid w:val="008A0BB2"/>
    <w:rsid w:val="008A0BF7"/>
    <w:rsid w:val="008A0C7E"/>
    <w:rsid w:val="008A0C85"/>
    <w:rsid w:val="008A0C9E"/>
    <w:rsid w:val="008A0D00"/>
    <w:rsid w:val="008A0D31"/>
    <w:rsid w:val="008A0DDA"/>
    <w:rsid w:val="008A0E15"/>
    <w:rsid w:val="008A0E23"/>
    <w:rsid w:val="008A0E9B"/>
    <w:rsid w:val="008A0EB2"/>
    <w:rsid w:val="008A0F26"/>
    <w:rsid w:val="008A0F46"/>
    <w:rsid w:val="008A0F72"/>
    <w:rsid w:val="008A0FDA"/>
    <w:rsid w:val="008A0FFF"/>
    <w:rsid w:val="008A1026"/>
    <w:rsid w:val="008A10DC"/>
    <w:rsid w:val="008A10E4"/>
    <w:rsid w:val="008A1122"/>
    <w:rsid w:val="008A112E"/>
    <w:rsid w:val="008A118D"/>
    <w:rsid w:val="008A11DD"/>
    <w:rsid w:val="008A11F0"/>
    <w:rsid w:val="008A11FF"/>
    <w:rsid w:val="008A1202"/>
    <w:rsid w:val="008A1275"/>
    <w:rsid w:val="008A1293"/>
    <w:rsid w:val="008A12E6"/>
    <w:rsid w:val="008A1306"/>
    <w:rsid w:val="008A1310"/>
    <w:rsid w:val="008A131A"/>
    <w:rsid w:val="008A132A"/>
    <w:rsid w:val="008A142B"/>
    <w:rsid w:val="008A143F"/>
    <w:rsid w:val="008A1443"/>
    <w:rsid w:val="008A147E"/>
    <w:rsid w:val="008A14AE"/>
    <w:rsid w:val="008A14C0"/>
    <w:rsid w:val="008A14E1"/>
    <w:rsid w:val="008A14F1"/>
    <w:rsid w:val="008A14F3"/>
    <w:rsid w:val="008A1508"/>
    <w:rsid w:val="008A1512"/>
    <w:rsid w:val="008A1514"/>
    <w:rsid w:val="008A152B"/>
    <w:rsid w:val="008A1534"/>
    <w:rsid w:val="008A158D"/>
    <w:rsid w:val="008A15D7"/>
    <w:rsid w:val="008A15D8"/>
    <w:rsid w:val="008A1604"/>
    <w:rsid w:val="008A1607"/>
    <w:rsid w:val="008A1681"/>
    <w:rsid w:val="008A16B6"/>
    <w:rsid w:val="008A1726"/>
    <w:rsid w:val="008A1796"/>
    <w:rsid w:val="008A179C"/>
    <w:rsid w:val="008A1811"/>
    <w:rsid w:val="008A1812"/>
    <w:rsid w:val="008A181F"/>
    <w:rsid w:val="008A183A"/>
    <w:rsid w:val="008A1868"/>
    <w:rsid w:val="008A1899"/>
    <w:rsid w:val="008A189E"/>
    <w:rsid w:val="008A18C5"/>
    <w:rsid w:val="008A18E7"/>
    <w:rsid w:val="008A191C"/>
    <w:rsid w:val="008A193B"/>
    <w:rsid w:val="008A19EE"/>
    <w:rsid w:val="008A1A1C"/>
    <w:rsid w:val="008A1A49"/>
    <w:rsid w:val="008A1A78"/>
    <w:rsid w:val="008A1A95"/>
    <w:rsid w:val="008A1B33"/>
    <w:rsid w:val="008A1B66"/>
    <w:rsid w:val="008A1BE4"/>
    <w:rsid w:val="008A1C85"/>
    <w:rsid w:val="008A1CAC"/>
    <w:rsid w:val="008A1D48"/>
    <w:rsid w:val="008A1D5D"/>
    <w:rsid w:val="008A1D7D"/>
    <w:rsid w:val="008A1DA5"/>
    <w:rsid w:val="008A1DAC"/>
    <w:rsid w:val="008A1DD0"/>
    <w:rsid w:val="008A1DEA"/>
    <w:rsid w:val="008A1E0C"/>
    <w:rsid w:val="008A1E20"/>
    <w:rsid w:val="008A1E3D"/>
    <w:rsid w:val="008A1E8D"/>
    <w:rsid w:val="008A1EBB"/>
    <w:rsid w:val="008A1EC8"/>
    <w:rsid w:val="008A1F09"/>
    <w:rsid w:val="008A1F36"/>
    <w:rsid w:val="008A1F42"/>
    <w:rsid w:val="008A1FA3"/>
    <w:rsid w:val="008A1FAE"/>
    <w:rsid w:val="008A1FEA"/>
    <w:rsid w:val="008A1FF3"/>
    <w:rsid w:val="008A2047"/>
    <w:rsid w:val="008A2051"/>
    <w:rsid w:val="008A2052"/>
    <w:rsid w:val="008A206D"/>
    <w:rsid w:val="008A2075"/>
    <w:rsid w:val="008A207C"/>
    <w:rsid w:val="008A20A4"/>
    <w:rsid w:val="008A2125"/>
    <w:rsid w:val="008A21F5"/>
    <w:rsid w:val="008A225B"/>
    <w:rsid w:val="008A2293"/>
    <w:rsid w:val="008A22DB"/>
    <w:rsid w:val="008A2342"/>
    <w:rsid w:val="008A23DE"/>
    <w:rsid w:val="008A2469"/>
    <w:rsid w:val="008A247A"/>
    <w:rsid w:val="008A24B3"/>
    <w:rsid w:val="008A2511"/>
    <w:rsid w:val="008A25AE"/>
    <w:rsid w:val="008A25B9"/>
    <w:rsid w:val="008A25CD"/>
    <w:rsid w:val="008A25EB"/>
    <w:rsid w:val="008A269B"/>
    <w:rsid w:val="008A26A0"/>
    <w:rsid w:val="008A26C7"/>
    <w:rsid w:val="008A2710"/>
    <w:rsid w:val="008A2714"/>
    <w:rsid w:val="008A2746"/>
    <w:rsid w:val="008A277E"/>
    <w:rsid w:val="008A27F4"/>
    <w:rsid w:val="008A27FB"/>
    <w:rsid w:val="008A2802"/>
    <w:rsid w:val="008A281F"/>
    <w:rsid w:val="008A284B"/>
    <w:rsid w:val="008A28CC"/>
    <w:rsid w:val="008A2915"/>
    <w:rsid w:val="008A294D"/>
    <w:rsid w:val="008A2966"/>
    <w:rsid w:val="008A2A2E"/>
    <w:rsid w:val="008A2A8B"/>
    <w:rsid w:val="008A2AA6"/>
    <w:rsid w:val="008A2AD3"/>
    <w:rsid w:val="008A2B65"/>
    <w:rsid w:val="008A2B6E"/>
    <w:rsid w:val="008A2B6F"/>
    <w:rsid w:val="008A2B8B"/>
    <w:rsid w:val="008A2BB5"/>
    <w:rsid w:val="008A2C0D"/>
    <w:rsid w:val="008A2C24"/>
    <w:rsid w:val="008A2C3B"/>
    <w:rsid w:val="008A2C49"/>
    <w:rsid w:val="008A2C69"/>
    <w:rsid w:val="008A2C99"/>
    <w:rsid w:val="008A2CEB"/>
    <w:rsid w:val="008A2D23"/>
    <w:rsid w:val="008A2D5A"/>
    <w:rsid w:val="008A2D6A"/>
    <w:rsid w:val="008A2D77"/>
    <w:rsid w:val="008A2DB5"/>
    <w:rsid w:val="008A2DF0"/>
    <w:rsid w:val="008A2E2C"/>
    <w:rsid w:val="008A2EEC"/>
    <w:rsid w:val="008A2F4A"/>
    <w:rsid w:val="008A2F9D"/>
    <w:rsid w:val="008A2FA5"/>
    <w:rsid w:val="008A2FCE"/>
    <w:rsid w:val="008A3025"/>
    <w:rsid w:val="008A305F"/>
    <w:rsid w:val="008A30B2"/>
    <w:rsid w:val="008A30B7"/>
    <w:rsid w:val="008A30BD"/>
    <w:rsid w:val="008A3140"/>
    <w:rsid w:val="008A314C"/>
    <w:rsid w:val="008A317E"/>
    <w:rsid w:val="008A31DC"/>
    <w:rsid w:val="008A31EC"/>
    <w:rsid w:val="008A321C"/>
    <w:rsid w:val="008A3265"/>
    <w:rsid w:val="008A3269"/>
    <w:rsid w:val="008A326D"/>
    <w:rsid w:val="008A3299"/>
    <w:rsid w:val="008A3466"/>
    <w:rsid w:val="008A34B9"/>
    <w:rsid w:val="008A3527"/>
    <w:rsid w:val="008A356D"/>
    <w:rsid w:val="008A35E0"/>
    <w:rsid w:val="008A35E9"/>
    <w:rsid w:val="008A3607"/>
    <w:rsid w:val="008A364B"/>
    <w:rsid w:val="008A36AB"/>
    <w:rsid w:val="008A36E1"/>
    <w:rsid w:val="008A36E8"/>
    <w:rsid w:val="008A3728"/>
    <w:rsid w:val="008A3741"/>
    <w:rsid w:val="008A376D"/>
    <w:rsid w:val="008A3826"/>
    <w:rsid w:val="008A3830"/>
    <w:rsid w:val="008A3836"/>
    <w:rsid w:val="008A3877"/>
    <w:rsid w:val="008A3890"/>
    <w:rsid w:val="008A389F"/>
    <w:rsid w:val="008A38B8"/>
    <w:rsid w:val="008A38BB"/>
    <w:rsid w:val="008A3923"/>
    <w:rsid w:val="008A392A"/>
    <w:rsid w:val="008A3980"/>
    <w:rsid w:val="008A39A4"/>
    <w:rsid w:val="008A39A8"/>
    <w:rsid w:val="008A39B9"/>
    <w:rsid w:val="008A39BE"/>
    <w:rsid w:val="008A39C1"/>
    <w:rsid w:val="008A3A03"/>
    <w:rsid w:val="008A3A68"/>
    <w:rsid w:val="008A3A86"/>
    <w:rsid w:val="008A3AB6"/>
    <w:rsid w:val="008A3B34"/>
    <w:rsid w:val="008A3B53"/>
    <w:rsid w:val="008A3B5D"/>
    <w:rsid w:val="008A3B8C"/>
    <w:rsid w:val="008A3BDE"/>
    <w:rsid w:val="008A3C36"/>
    <w:rsid w:val="008A3C76"/>
    <w:rsid w:val="008A3CE2"/>
    <w:rsid w:val="008A3D03"/>
    <w:rsid w:val="008A3D29"/>
    <w:rsid w:val="008A3D94"/>
    <w:rsid w:val="008A3DDF"/>
    <w:rsid w:val="008A3ED9"/>
    <w:rsid w:val="008A3EE4"/>
    <w:rsid w:val="008A3F0F"/>
    <w:rsid w:val="008A3F12"/>
    <w:rsid w:val="008A3F2C"/>
    <w:rsid w:val="008A3F46"/>
    <w:rsid w:val="008A3F57"/>
    <w:rsid w:val="008A3F8D"/>
    <w:rsid w:val="008A3F91"/>
    <w:rsid w:val="008A3FD3"/>
    <w:rsid w:val="008A4007"/>
    <w:rsid w:val="008A4017"/>
    <w:rsid w:val="008A4018"/>
    <w:rsid w:val="008A4021"/>
    <w:rsid w:val="008A405E"/>
    <w:rsid w:val="008A409B"/>
    <w:rsid w:val="008A40A1"/>
    <w:rsid w:val="008A4138"/>
    <w:rsid w:val="008A4142"/>
    <w:rsid w:val="008A4171"/>
    <w:rsid w:val="008A418E"/>
    <w:rsid w:val="008A419E"/>
    <w:rsid w:val="008A41D3"/>
    <w:rsid w:val="008A4218"/>
    <w:rsid w:val="008A4299"/>
    <w:rsid w:val="008A42C8"/>
    <w:rsid w:val="008A430A"/>
    <w:rsid w:val="008A439D"/>
    <w:rsid w:val="008A43C8"/>
    <w:rsid w:val="008A4472"/>
    <w:rsid w:val="008A4497"/>
    <w:rsid w:val="008A44D7"/>
    <w:rsid w:val="008A44F8"/>
    <w:rsid w:val="008A4537"/>
    <w:rsid w:val="008A4546"/>
    <w:rsid w:val="008A4588"/>
    <w:rsid w:val="008A45C0"/>
    <w:rsid w:val="008A4644"/>
    <w:rsid w:val="008A46FB"/>
    <w:rsid w:val="008A4774"/>
    <w:rsid w:val="008A4776"/>
    <w:rsid w:val="008A486A"/>
    <w:rsid w:val="008A486F"/>
    <w:rsid w:val="008A48AD"/>
    <w:rsid w:val="008A48D4"/>
    <w:rsid w:val="008A4903"/>
    <w:rsid w:val="008A497D"/>
    <w:rsid w:val="008A4A88"/>
    <w:rsid w:val="008A4A8A"/>
    <w:rsid w:val="008A4ABA"/>
    <w:rsid w:val="008A4AC0"/>
    <w:rsid w:val="008A4AD5"/>
    <w:rsid w:val="008A4B3D"/>
    <w:rsid w:val="008A4BA5"/>
    <w:rsid w:val="008A4BAD"/>
    <w:rsid w:val="008A4BD0"/>
    <w:rsid w:val="008A4BD4"/>
    <w:rsid w:val="008A4BF6"/>
    <w:rsid w:val="008A4C3B"/>
    <w:rsid w:val="008A4C4B"/>
    <w:rsid w:val="008A4C6D"/>
    <w:rsid w:val="008A4C7F"/>
    <w:rsid w:val="008A4CCB"/>
    <w:rsid w:val="008A4CE6"/>
    <w:rsid w:val="008A4CF2"/>
    <w:rsid w:val="008A4D1F"/>
    <w:rsid w:val="008A4D46"/>
    <w:rsid w:val="008A4DDC"/>
    <w:rsid w:val="008A4DE4"/>
    <w:rsid w:val="008A4DF5"/>
    <w:rsid w:val="008A4E2E"/>
    <w:rsid w:val="008A4E61"/>
    <w:rsid w:val="008A4E63"/>
    <w:rsid w:val="008A4EC2"/>
    <w:rsid w:val="008A4F12"/>
    <w:rsid w:val="008A4F17"/>
    <w:rsid w:val="008A4F57"/>
    <w:rsid w:val="008A4FF5"/>
    <w:rsid w:val="008A5095"/>
    <w:rsid w:val="008A50A4"/>
    <w:rsid w:val="008A50C9"/>
    <w:rsid w:val="008A50D0"/>
    <w:rsid w:val="008A512C"/>
    <w:rsid w:val="008A5213"/>
    <w:rsid w:val="008A526A"/>
    <w:rsid w:val="008A5296"/>
    <w:rsid w:val="008A52C2"/>
    <w:rsid w:val="008A5336"/>
    <w:rsid w:val="008A535E"/>
    <w:rsid w:val="008A5363"/>
    <w:rsid w:val="008A53C3"/>
    <w:rsid w:val="008A53C7"/>
    <w:rsid w:val="008A53E6"/>
    <w:rsid w:val="008A53FF"/>
    <w:rsid w:val="008A541E"/>
    <w:rsid w:val="008A5427"/>
    <w:rsid w:val="008A5497"/>
    <w:rsid w:val="008A54CB"/>
    <w:rsid w:val="008A54D6"/>
    <w:rsid w:val="008A5539"/>
    <w:rsid w:val="008A5555"/>
    <w:rsid w:val="008A556E"/>
    <w:rsid w:val="008A559A"/>
    <w:rsid w:val="008A55DE"/>
    <w:rsid w:val="008A55E7"/>
    <w:rsid w:val="008A55EA"/>
    <w:rsid w:val="008A560E"/>
    <w:rsid w:val="008A563E"/>
    <w:rsid w:val="008A567C"/>
    <w:rsid w:val="008A5680"/>
    <w:rsid w:val="008A5685"/>
    <w:rsid w:val="008A5695"/>
    <w:rsid w:val="008A56BF"/>
    <w:rsid w:val="008A56D4"/>
    <w:rsid w:val="008A5707"/>
    <w:rsid w:val="008A579A"/>
    <w:rsid w:val="008A57AE"/>
    <w:rsid w:val="008A57D1"/>
    <w:rsid w:val="008A57E0"/>
    <w:rsid w:val="008A57E3"/>
    <w:rsid w:val="008A5813"/>
    <w:rsid w:val="008A581C"/>
    <w:rsid w:val="008A5824"/>
    <w:rsid w:val="008A5840"/>
    <w:rsid w:val="008A588A"/>
    <w:rsid w:val="008A58D0"/>
    <w:rsid w:val="008A59DF"/>
    <w:rsid w:val="008A5A57"/>
    <w:rsid w:val="008A5A92"/>
    <w:rsid w:val="008A5ABB"/>
    <w:rsid w:val="008A5B32"/>
    <w:rsid w:val="008A5B65"/>
    <w:rsid w:val="008A5B83"/>
    <w:rsid w:val="008A5BC3"/>
    <w:rsid w:val="008A5CAC"/>
    <w:rsid w:val="008A5CD3"/>
    <w:rsid w:val="008A5CE6"/>
    <w:rsid w:val="008A5D31"/>
    <w:rsid w:val="008A5D8C"/>
    <w:rsid w:val="008A5DE5"/>
    <w:rsid w:val="008A5E72"/>
    <w:rsid w:val="008A5ECC"/>
    <w:rsid w:val="008A5ECE"/>
    <w:rsid w:val="008A5EE5"/>
    <w:rsid w:val="008A5F05"/>
    <w:rsid w:val="008A5F42"/>
    <w:rsid w:val="008A5F44"/>
    <w:rsid w:val="008A5FF9"/>
    <w:rsid w:val="008A5FFA"/>
    <w:rsid w:val="008A6003"/>
    <w:rsid w:val="008A600B"/>
    <w:rsid w:val="008A6024"/>
    <w:rsid w:val="008A603F"/>
    <w:rsid w:val="008A6085"/>
    <w:rsid w:val="008A60FE"/>
    <w:rsid w:val="008A6151"/>
    <w:rsid w:val="008A6219"/>
    <w:rsid w:val="008A6236"/>
    <w:rsid w:val="008A6255"/>
    <w:rsid w:val="008A625C"/>
    <w:rsid w:val="008A6265"/>
    <w:rsid w:val="008A6317"/>
    <w:rsid w:val="008A6380"/>
    <w:rsid w:val="008A6384"/>
    <w:rsid w:val="008A63AC"/>
    <w:rsid w:val="008A63C6"/>
    <w:rsid w:val="008A63C7"/>
    <w:rsid w:val="008A63DE"/>
    <w:rsid w:val="008A63EC"/>
    <w:rsid w:val="008A63ED"/>
    <w:rsid w:val="008A6430"/>
    <w:rsid w:val="008A6488"/>
    <w:rsid w:val="008A64F8"/>
    <w:rsid w:val="008A653D"/>
    <w:rsid w:val="008A65EB"/>
    <w:rsid w:val="008A660C"/>
    <w:rsid w:val="008A660E"/>
    <w:rsid w:val="008A663D"/>
    <w:rsid w:val="008A6686"/>
    <w:rsid w:val="008A6736"/>
    <w:rsid w:val="008A6745"/>
    <w:rsid w:val="008A674C"/>
    <w:rsid w:val="008A677E"/>
    <w:rsid w:val="008A67A0"/>
    <w:rsid w:val="008A6817"/>
    <w:rsid w:val="008A6829"/>
    <w:rsid w:val="008A6872"/>
    <w:rsid w:val="008A693B"/>
    <w:rsid w:val="008A698E"/>
    <w:rsid w:val="008A69D0"/>
    <w:rsid w:val="008A69EA"/>
    <w:rsid w:val="008A69F7"/>
    <w:rsid w:val="008A6A74"/>
    <w:rsid w:val="008A6BB9"/>
    <w:rsid w:val="008A6BC5"/>
    <w:rsid w:val="008A6BE5"/>
    <w:rsid w:val="008A6C06"/>
    <w:rsid w:val="008A6C12"/>
    <w:rsid w:val="008A6C25"/>
    <w:rsid w:val="008A6C6E"/>
    <w:rsid w:val="008A6CA1"/>
    <w:rsid w:val="008A6DC9"/>
    <w:rsid w:val="008A6DEE"/>
    <w:rsid w:val="008A6E01"/>
    <w:rsid w:val="008A6E6F"/>
    <w:rsid w:val="008A6E7F"/>
    <w:rsid w:val="008A6E82"/>
    <w:rsid w:val="008A6E85"/>
    <w:rsid w:val="008A6E9D"/>
    <w:rsid w:val="008A6EDA"/>
    <w:rsid w:val="008A6EF8"/>
    <w:rsid w:val="008A6EF9"/>
    <w:rsid w:val="008A6F44"/>
    <w:rsid w:val="008A6F71"/>
    <w:rsid w:val="008A6F8E"/>
    <w:rsid w:val="008A7025"/>
    <w:rsid w:val="008A7043"/>
    <w:rsid w:val="008A705D"/>
    <w:rsid w:val="008A708B"/>
    <w:rsid w:val="008A70E5"/>
    <w:rsid w:val="008A7101"/>
    <w:rsid w:val="008A714B"/>
    <w:rsid w:val="008A7171"/>
    <w:rsid w:val="008A71C3"/>
    <w:rsid w:val="008A72AF"/>
    <w:rsid w:val="008A733E"/>
    <w:rsid w:val="008A7399"/>
    <w:rsid w:val="008A73E7"/>
    <w:rsid w:val="008A7418"/>
    <w:rsid w:val="008A7457"/>
    <w:rsid w:val="008A746A"/>
    <w:rsid w:val="008A74A9"/>
    <w:rsid w:val="008A7501"/>
    <w:rsid w:val="008A7536"/>
    <w:rsid w:val="008A7577"/>
    <w:rsid w:val="008A7595"/>
    <w:rsid w:val="008A75AD"/>
    <w:rsid w:val="008A75C7"/>
    <w:rsid w:val="008A75F0"/>
    <w:rsid w:val="008A7643"/>
    <w:rsid w:val="008A7694"/>
    <w:rsid w:val="008A76EE"/>
    <w:rsid w:val="008A771E"/>
    <w:rsid w:val="008A773D"/>
    <w:rsid w:val="008A77F7"/>
    <w:rsid w:val="008A7814"/>
    <w:rsid w:val="008A7822"/>
    <w:rsid w:val="008A782D"/>
    <w:rsid w:val="008A782F"/>
    <w:rsid w:val="008A786D"/>
    <w:rsid w:val="008A786E"/>
    <w:rsid w:val="008A787E"/>
    <w:rsid w:val="008A7887"/>
    <w:rsid w:val="008A78BD"/>
    <w:rsid w:val="008A7967"/>
    <w:rsid w:val="008A79B0"/>
    <w:rsid w:val="008A79DD"/>
    <w:rsid w:val="008A7A18"/>
    <w:rsid w:val="008A7A1D"/>
    <w:rsid w:val="008A7A3C"/>
    <w:rsid w:val="008A7A91"/>
    <w:rsid w:val="008A7ADD"/>
    <w:rsid w:val="008A7B51"/>
    <w:rsid w:val="008A7B54"/>
    <w:rsid w:val="008A7B7E"/>
    <w:rsid w:val="008A7BB0"/>
    <w:rsid w:val="008A7BEB"/>
    <w:rsid w:val="008A7D00"/>
    <w:rsid w:val="008A7D13"/>
    <w:rsid w:val="008A7D57"/>
    <w:rsid w:val="008A7D5F"/>
    <w:rsid w:val="008A7E10"/>
    <w:rsid w:val="008A7E32"/>
    <w:rsid w:val="008A7E53"/>
    <w:rsid w:val="008A7E84"/>
    <w:rsid w:val="008A7ECC"/>
    <w:rsid w:val="008A7ECF"/>
    <w:rsid w:val="008A7F08"/>
    <w:rsid w:val="008A7F4C"/>
    <w:rsid w:val="008AD344"/>
    <w:rsid w:val="008B000D"/>
    <w:rsid w:val="008B008D"/>
    <w:rsid w:val="008B0127"/>
    <w:rsid w:val="008B0133"/>
    <w:rsid w:val="008B015B"/>
    <w:rsid w:val="008B01D1"/>
    <w:rsid w:val="008B01DF"/>
    <w:rsid w:val="008B01E5"/>
    <w:rsid w:val="008B0207"/>
    <w:rsid w:val="008B020A"/>
    <w:rsid w:val="008B0216"/>
    <w:rsid w:val="008B0217"/>
    <w:rsid w:val="008B023C"/>
    <w:rsid w:val="008B0247"/>
    <w:rsid w:val="008B027A"/>
    <w:rsid w:val="008B027B"/>
    <w:rsid w:val="008B0288"/>
    <w:rsid w:val="008B02AA"/>
    <w:rsid w:val="008B02BE"/>
    <w:rsid w:val="008B02C0"/>
    <w:rsid w:val="008B02F5"/>
    <w:rsid w:val="008B0329"/>
    <w:rsid w:val="008B0340"/>
    <w:rsid w:val="008B0350"/>
    <w:rsid w:val="008B04F0"/>
    <w:rsid w:val="008B0533"/>
    <w:rsid w:val="008B054E"/>
    <w:rsid w:val="008B0557"/>
    <w:rsid w:val="008B05A0"/>
    <w:rsid w:val="008B05B1"/>
    <w:rsid w:val="008B05CC"/>
    <w:rsid w:val="008B05D0"/>
    <w:rsid w:val="008B05D9"/>
    <w:rsid w:val="008B069A"/>
    <w:rsid w:val="008B069D"/>
    <w:rsid w:val="008B06A5"/>
    <w:rsid w:val="008B06AA"/>
    <w:rsid w:val="008B06D9"/>
    <w:rsid w:val="008B06EF"/>
    <w:rsid w:val="008B0730"/>
    <w:rsid w:val="008B07F8"/>
    <w:rsid w:val="008B0831"/>
    <w:rsid w:val="008B0861"/>
    <w:rsid w:val="008B089B"/>
    <w:rsid w:val="008B094E"/>
    <w:rsid w:val="008B09A7"/>
    <w:rsid w:val="008B0A25"/>
    <w:rsid w:val="008B0A52"/>
    <w:rsid w:val="008B0AC3"/>
    <w:rsid w:val="008B0B0F"/>
    <w:rsid w:val="008B0BC4"/>
    <w:rsid w:val="008B0BC9"/>
    <w:rsid w:val="008B0C0F"/>
    <w:rsid w:val="008B0C4B"/>
    <w:rsid w:val="008B0CDF"/>
    <w:rsid w:val="008B0CFC"/>
    <w:rsid w:val="008B0D03"/>
    <w:rsid w:val="008B0D3E"/>
    <w:rsid w:val="008B0D49"/>
    <w:rsid w:val="008B0D4B"/>
    <w:rsid w:val="008B0DBF"/>
    <w:rsid w:val="008B0DCA"/>
    <w:rsid w:val="008B0E1F"/>
    <w:rsid w:val="008B0E48"/>
    <w:rsid w:val="008B0EA2"/>
    <w:rsid w:val="008B0EE2"/>
    <w:rsid w:val="008B0FE0"/>
    <w:rsid w:val="008B1027"/>
    <w:rsid w:val="008B105D"/>
    <w:rsid w:val="008B1062"/>
    <w:rsid w:val="008B1070"/>
    <w:rsid w:val="008B1215"/>
    <w:rsid w:val="008B1227"/>
    <w:rsid w:val="008B123B"/>
    <w:rsid w:val="008B1249"/>
    <w:rsid w:val="008B1277"/>
    <w:rsid w:val="008B1293"/>
    <w:rsid w:val="008B12C7"/>
    <w:rsid w:val="008B12D8"/>
    <w:rsid w:val="008B12F9"/>
    <w:rsid w:val="008B136E"/>
    <w:rsid w:val="008B139B"/>
    <w:rsid w:val="008B13A5"/>
    <w:rsid w:val="008B13AB"/>
    <w:rsid w:val="008B13B0"/>
    <w:rsid w:val="008B13DC"/>
    <w:rsid w:val="008B13FE"/>
    <w:rsid w:val="008B1442"/>
    <w:rsid w:val="008B1466"/>
    <w:rsid w:val="008B146F"/>
    <w:rsid w:val="008B14BA"/>
    <w:rsid w:val="008B1529"/>
    <w:rsid w:val="008B154D"/>
    <w:rsid w:val="008B1589"/>
    <w:rsid w:val="008B158C"/>
    <w:rsid w:val="008B16B1"/>
    <w:rsid w:val="008B173B"/>
    <w:rsid w:val="008B176D"/>
    <w:rsid w:val="008B1773"/>
    <w:rsid w:val="008B179B"/>
    <w:rsid w:val="008B17BB"/>
    <w:rsid w:val="008B17F8"/>
    <w:rsid w:val="008B17FD"/>
    <w:rsid w:val="008B1818"/>
    <w:rsid w:val="008B1822"/>
    <w:rsid w:val="008B1880"/>
    <w:rsid w:val="008B1914"/>
    <w:rsid w:val="008B193A"/>
    <w:rsid w:val="008B193B"/>
    <w:rsid w:val="008B1973"/>
    <w:rsid w:val="008B1976"/>
    <w:rsid w:val="008B1983"/>
    <w:rsid w:val="008B199D"/>
    <w:rsid w:val="008B19E4"/>
    <w:rsid w:val="008B1A55"/>
    <w:rsid w:val="008B1A74"/>
    <w:rsid w:val="008B1AB0"/>
    <w:rsid w:val="008B1ACE"/>
    <w:rsid w:val="008B1AD4"/>
    <w:rsid w:val="008B1AFC"/>
    <w:rsid w:val="008B1B25"/>
    <w:rsid w:val="008B1BAA"/>
    <w:rsid w:val="008B1BB5"/>
    <w:rsid w:val="008B1BC9"/>
    <w:rsid w:val="008B1BCA"/>
    <w:rsid w:val="008B1BF8"/>
    <w:rsid w:val="008B1C29"/>
    <w:rsid w:val="008B1CAF"/>
    <w:rsid w:val="008B1CB8"/>
    <w:rsid w:val="008B1D18"/>
    <w:rsid w:val="008B1D54"/>
    <w:rsid w:val="008B1D74"/>
    <w:rsid w:val="008B1D84"/>
    <w:rsid w:val="008B1D96"/>
    <w:rsid w:val="008B1D9D"/>
    <w:rsid w:val="008B1DFA"/>
    <w:rsid w:val="008B1E4E"/>
    <w:rsid w:val="008B1EBD"/>
    <w:rsid w:val="008B1EF7"/>
    <w:rsid w:val="008B1F7E"/>
    <w:rsid w:val="008B1FAA"/>
    <w:rsid w:val="008B1FB5"/>
    <w:rsid w:val="008B1FB6"/>
    <w:rsid w:val="008B1FF1"/>
    <w:rsid w:val="008B200E"/>
    <w:rsid w:val="008B201A"/>
    <w:rsid w:val="008B2061"/>
    <w:rsid w:val="008B2105"/>
    <w:rsid w:val="008B2109"/>
    <w:rsid w:val="008B2121"/>
    <w:rsid w:val="008B21A2"/>
    <w:rsid w:val="008B21A6"/>
    <w:rsid w:val="008B21D3"/>
    <w:rsid w:val="008B21EC"/>
    <w:rsid w:val="008B224E"/>
    <w:rsid w:val="008B227A"/>
    <w:rsid w:val="008B22D2"/>
    <w:rsid w:val="008B22E3"/>
    <w:rsid w:val="008B22F7"/>
    <w:rsid w:val="008B23E4"/>
    <w:rsid w:val="008B2402"/>
    <w:rsid w:val="008B2460"/>
    <w:rsid w:val="008B2477"/>
    <w:rsid w:val="008B2478"/>
    <w:rsid w:val="008B24AC"/>
    <w:rsid w:val="008B24E5"/>
    <w:rsid w:val="008B252F"/>
    <w:rsid w:val="008B2541"/>
    <w:rsid w:val="008B256E"/>
    <w:rsid w:val="008B2578"/>
    <w:rsid w:val="008B25DD"/>
    <w:rsid w:val="008B269D"/>
    <w:rsid w:val="008B269F"/>
    <w:rsid w:val="008B26B6"/>
    <w:rsid w:val="008B26DE"/>
    <w:rsid w:val="008B2703"/>
    <w:rsid w:val="008B278C"/>
    <w:rsid w:val="008B2795"/>
    <w:rsid w:val="008B27AB"/>
    <w:rsid w:val="008B27FD"/>
    <w:rsid w:val="008B283D"/>
    <w:rsid w:val="008B28D4"/>
    <w:rsid w:val="008B294E"/>
    <w:rsid w:val="008B298B"/>
    <w:rsid w:val="008B299A"/>
    <w:rsid w:val="008B2A0A"/>
    <w:rsid w:val="008B2A15"/>
    <w:rsid w:val="008B2A38"/>
    <w:rsid w:val="008B2A4A"/>
    <w:rsid w:val="008B2A55"/>
    <w:rsid w:val="008B2AD4"/>
    <w:rsid w:val="008B2AF0"/>
    <w:rsid w:val="008B2AF4"/>
    <w:rsid w:val="008B2AF7"/>
    <w:rsid w:val="008B2B04"/>
    <w:rsid w:val="008B2B80"/>
    <w:rsid w:val="008B2B89"/>
    <w:rsid w:val="008B2BBA"/>
    <w:rsid w:val="008B2C7B"/>
    <w:rsid w:val="008B2C7C"/>
    <w:rsid w:val="008B2C93"/>
    <w:rsid w:val="008B2CA6"/>
    <w:rsid w:val="008B2CDE"/>
    <w:rsid w:val="008B2D13"/>
    <w:rsid w:val="008B2D22"/>
    <w:rsid w:val="008B2D92"/>
    <w:rsid w:val="008B2E2E"/>
    <w:rsid w:val="008B2E40"/>
    <w:rsid w:val="008B2E53"/>
    <w:rsid w:val="008B2E59"/>
    <w:rsid w:val="008B2E71"/>
    <w:rsid w:val="008B2EA1"/>
    <w:rsid w:val="008B2EE5"/>
    <w:rsid w:val="008B2F36"/>
    <w:rsid w:val="008B2F4D"/>
    <w:rsid w:val="008B2F5F"/>
    <w:rsid w:val="008B2F7A"/>
    <w:rsid w:val="008B2F8E"/>
    <w:rsid w:val="008B2FC2"/>
    <w:rsid w:val="008B301B"/>
    <w:rsid w:val="008B3041"/>
    <w:rsid w:val="008B306B"/>
    <w:rsid w:val="008B3166"/>
    <w:rsid w:val="008B319E"/>
    <w:rsid w:val="008B31A1"/>
    <w:rsid w:val="008B31B3"/>
    <w:rsid w:val="008B31B4"/>
    <w:rsid w:val="008B31EC"/>
    <w:rsid w:val="008B3207"/>
    <w:rsid w:val="008B320A"/>
    <w:rsid w:val="008B3224"/>
    <w:rsid w:val="008B3264"/>
    <w:rsid w:val="008B3277"/>
    <w:rsid w:val="008B32D0"/>
    <w:rsid w:val="008B32EC"/>
    <w:rsid w:val="008B334C"/>
    <w:rsid w:val="008B3382"/>
    <w:rsid w:val="008B33EC"/>
    <w:rsid w:val="008B3486"/>
    <w:rsid w:val="008B3490"/>
    <w:rsid w:val="008B34B0"/>
    <w:rsid w:val="008B34B7"/>
    <w:rsid w:val="008B3575"/>
    <w:rsid w:val="008B35A3"/>
    <w:rsid w:val="008B3600"/>
    <w:rsid w:val="008B3609"/>
    <w:rsid w:val="008B361C"/>
    <w:rsid w:val="008B3654"/>
    <w:rsid w:val="008B365B"/>
    <w:rsid w:val="008B367B"/>
    <w:rsid w:val="008B3698"/>
    <w:rsid w:val="008B36FB"/>
    <w:rsid w:val="008B3756"/>
    <w:rsid w:val="008B37AC"/>
    <w:rsid w:val="008B37D5"/>
    <w:rsid w:val="008B3838"/>
    <w:rsid w:val="008B383A"/>
    <w:rsid w:val="008B3843"/>
    <w:rsid w:val="008B3856"/>
    <w:rsid w:val="008B3857"/>
    <w:rsid w:val="008B385F"/>
    <w:rsid w:val="008B3870"/>
    <w:rsid w:val="008B38A1"/>
    <w:rsid w:val="008B38A3"/>
    <w:rsid w:val="008B38A4"/>
    <w:rsid w:val="008B38C4"/>
    <w:rsid w:val="008B38CF"/>
    <w:rsid w:val="008B3902"/>
    <w:rsid w:val="008B3951"/>
    <w:rsid w:val="008B395A"/>
    <w:rsid w:val="008B395B"/>
    <w:rsid w:val="008B3962"/>
    <w:rsid w:val="008B39B6"/>
    <w:rsid w:val="008B39BA"/>
    <w:rsid w:val="008B39E3"/>
    <w:rsid w:val="008B3A4A"/>
    <w:rsid w:val="008B3A59"/>
    <w:rsid w:val="008B3A9C"/>
    <w:rsid w:val="008B3A9E"/>
    <w:rsid w:val="008B3AB0"/>
    <w:rsid w:val="008B3B07"/>
    <w:rsid w:val="008B3B55"/>
    <w:rsid w:val="008B3B60"/>
    <w:rsid w:val="008B3BC1"/>
    <w:rsid w:val="008B3BF6"/>
    <w:rsid w:val="008B3C1E"/>
    <w:rsid w:val="008B3C28"/>
    <w:rsid w:val="008B3C5A"/>
    <w:rsid w:val="008B3C79"/>
    <w:rsid w:val="008B3C95"/>
    <w:rsid w:val="008B3CBF"/>
    <w:rsid w:val="008B3CE2"/>
    <w:rsid w:val="008B3CF3"/>
    <w:rsid w:val="008B3D5B"/>
    <w:rsid w:val="008B3D62"/>
    <w:rsid w:val="008B3DA0"/>
    <w:rsid w:val="008B3DE1"/>
    <w:rsid w:val="008B3E04"/>
    <w:rsid w:val="008B3E55"/>
    <w:rsid w:val="008B3EAE"/>
    <w:rsid w:val="008B3EC3"/>
    <w:rsid w:val="008B3F5B"/>
    <w:rsid w:val="008B3F91"/>
    <w:rsid w:val="008B3FCC"/>
    <w:rsid w:val="008B3FCE"/>
    <w:rsid w:val="008B4009"/>
    <w:rsid w:val="008B4010"/>
    <w:rsid w:val="008B401D"/>
    <w:rsid w:val="008B4065"/>
    <w:rsid w:val="008B4080"/>
    <w:rsid w:val="008B4087"/>
    <w:rsid w:val="008B409C"/>
    <w:rsid w:val="008B4120"/>
    <w:rsid w:val="008B4155"/>
    <w:rsid w:val="008B4169"/>
    <w:rsid w:val="008B416F"/>
    <w:rsid w:val="008B4197"/>
    <w:rsid w:val="008B41B8"/>
    <w:rsid w:val="008B41E2"/>
    <w:rsid w:val="008B41EE"/>
    <w:rsid w:val="008B41F2"/>
    <w:rsid w:val="008B420D"/>
    <w:rsid w:val="008B42F5"/>
    <w:rsid w:val="008B434B"/>
    <w:rsid w:val="008B43AF"/>
    <w:rsid w:val="008B43C4"/>
    <w:rsid w:val="008B445D"/>
    <w:rsid w:val="008B448B"/>
    <w:rsid w:val="008B44BC"/>
    <w:rsid w:val="008B44C1"/>
    <w:rsid w:val="008B44C5"/>
    <w:rsid w:val="008B45B4"/>
    <w:rsid w:val="008B45B7"/>
    <w:rsid w:val="008B4644"/>
    <w:rsid w:val="008B465C"/>
    <w:rsid w:val="008B4685"/>
    <w:rsid w:val="008B46B4"/>
    <w:rsid w:val="008B46C2"/>
    <w:rsid w:val="008B470D"/>
    <w:rsid w:val="008B470E"/>
    <w:rsid w:val="008B4743"/>
    <w:rsid w:val="008B4776"/>
    <w:rsid w:val="008B477F"/>
    <w:rsid w:val="008B479A"/>
    <w:rsid w:val="008B47AD"/>
    <w:rsid w:val="008B47C4"/>
    <w:rsid w:val="008B4814"/>
    <w:rsid w:val="008B481C"/>
    <w:rsid w:val="008B4855"/>
    <w:rsid w:val="008B489B"/>
    <w:rsid w:val="008B48D9"/>
    <w:rsid w:val="008B48F5"/>
    <w:rsid w:val="008B4907"/>
    <w:rsid w:val="008B4926"/>
    <w:rsid w:val="008B494C"/>
    <w:rsid w:val="008B4987"/>
    <w:rsid w:val="008B4A47"/>
    <w:rsid w:val="008B4A86"/>
    <w:rsid w:val="008B4B0B"/>
    <w:rsid w:val="008B4B98"/>
    <w:rsid w:val="008B4B9B"/>
    <w:rsid w:val="008B4BEC"/>
    <w:rsid w:val="008B4C0B"/>
    <w:rsid w:val="008B4C43"/>
    <w:rsid w:val="008B4C57"/>
    <w:rsid w:val="008B4CA4"/>
    <w:rsid w:val="008B4CCE"/>
    <w:rsid w:val="008B4CE4"/>
    <w:rsid w:val="008B4CE5"/>
    <w:rsid w:val="008B4D13"/>
    <w:rsid w:val="008B4D1C"/>
    <w:rsid w:val="008B4D68"/>
    <w:rsid w:val="008B4DDE"/>
    <w:rsid w:val="008B4E04"/>
    <w:rsid w:val="008B4E22"/>
    <w:rsid w:val="008B4EEA"/>
    <w:rsid w:val="008B4F01"/>
    <w:rsid w:val="008B4F85"/>
    <w:rsid w:val="008B4FBA"/>
    <w:rsid w:val="008B5018"/>
    <w:rsid w:val="008B507E"/>
    <w:rsid w:val="008B50B9"/>
    <w:rsid w:val="008B50F0"/>
    <w:rsid w:val="008B50F9"/>
    <w:rsid w:val="008B5105"/>
    <w:rsid w:val="008B518E"/>
    <w:rsid w:val="008B51A3"/>
    <w:rsid w:val="008B51B4"/>
    <w:rsid w:val="008B51ED"/>
    <w:rsid w:val="008B51F5"/>
    <w:rsid w:val="008B5220"/>
    <w:rsid w:val="008B5227"/>
    <w:rsid w:val="008B522A"/>
    <w:rsid w:val="008B528B"/>
    <w:rsid w:val="008B52A8"/>
    <w:rsid w:val="008B534B"/>
    <w:rsid w:val="008B5375"/>
    <w:rsid w:val="008B53C5"/>
    <w:rsid w:val="008B542D"/>
    <w:rsid w:val="008B54C8"/>
    <w:rsid w:val="008B54FB"/>
    <w:rsid w:val="008B555C"/>
    <w:rsid w:val="008B5564"/>
    <w:rsid w:val="008B5574"/>
    <w:rsid w:val="008B558F"/>
    <w:rsid w:val="008B559A"/>
    <w:rsid w:val="008B55BB"/>
    <w:rsid w:val="008B55F8"/>
    <w:rsid w:val="008B562E"/>
    <w:rsid w:val="008B5645"/>
    <w:rsid w:val="008B5678"/>
    <w:rsid w:val="008B56B0"/>
    <w:rsid w:val="008B56DF"/>
    <w:rsid w:val="008B576F"/>
    <w:rsid w:val="008B5785"/>
    <w:rsid w:val="008B57E0"/>
    <w:rsid w:val="008B584E"/>
    <w:rsid w:val="008B5891"/>
    <w:rsid w:val="008B58BB"/>
    <w:rsid w:val="008B58D1"/>
    <w:rsid w:val="008B58E8"/>
    <w:rsid w:val="008B58F7"/>
    <w:rsid w:val="008B5920"/>
    <w:rsid w:val="008B5955"/>
    <w:rsid w:val="008B5A1C"/>
    <w:rsid w:val="008B5A5D"/>
    <w:rsid w:val="008B5AF5"/>
    <w:rsid w:val="008B5B5A"/>
    <w:rsid w:val="008B5B69"/>
    <w:rsid w:val="008B5BC4"/>
    <w:rsid w:val="008B5BC9"/>
    <w:rsid w:val="008B5BCC"/>
    <w:rsid w:val="008B5BD8"/>
    <w:rsid w:val="008B5BED"/>
    <w:rsid w:val="008B5C1D"/>
    <w:rsid w:val="008B5C24"/>
    <w:rsid w:val="008B5C50"/>
    <w:rsid w:val="008B5CFA"/>
    <w:rsid w:val="008B5D3C"/>
    <w:rsid w:val="008B5D80"/>
    <w:rsid w:val="008B5DB4"/>
    <w:rsid w:val="008B5DED"/>
    <w:rsid w:val="008B5DF5"/>
    <w:rsid w:val="008B5E1D"/>
    <w:rsid w:val="008B5E31"/>
    <w:rsid w:val="008B5E96"/>
    <w:rsid w:val="008B5EC1"/>
    <w:rsid w:val="008B5EE6"/>
    <w:rsid w:val="008B5F19"/>
    <w:rsid w:val="008B5F1A"/>
    <w:rsid w:val="008B5F48"/>
    <w:rsid w:val="008B5F5B"/>
    <w:rsid w:val="008B5FE0"/>
    <w:rsid w:val="008B5FE7"/>
    <w:rsid w:val="008B6037"/>
    <w:rsid w:val="008B6055"/>
    <w:rsid w:val="008B605A"/>
    <w:rsid w:val="008B606D"/>
    <w:rsid w:val="008B6070"/>
    <w:rsid w:val="008B60A3"/>
    <w:rsid w:val="008B6144"/>
    <w:rsid w:val="008B6210"/>
    <w:rsid w:val="008B627C"/>
    <w:rsid w:val="008B6280"/>
    <w:rsid w:val="008B6294"/>
    <w:rsid w:val="008B62AC"/>
    <w:rsid w:val="008B62BF"/>
    <w:rsid w:val="008B62C3"/>
    <w:rsid w:val="008B62DB"/>
    <w:rsid w:val="008B6376"/>
    <w:rsid w:val="008B638A"/>
    <w:rsid w:val="008B639A"/>
    <w:rsid w:val="008B63CB"/>
    <w:rsid w:val="008B63E6"/>
    <w:rsid w:val="008B640B"/>
    <w:rsid w:val="008B6445"/>
    <w:rsid w:val="008B64E2"/>
    <w:rsid w:val="008B651F"/>
    <w:rsid w:val="008B6529"/>
    <w:rsid w:val="008B653F"/>
    <w:rsid w:val="008B6540"/>
    <w:rsid w:val="008B6555"/>
    <w:rsid w:val="008B65FB"/>
    <w:rsid w:val="008B6606"/>
    <w:rsid w:val="008B6696"/>
    <w:rsid w:val="008B66F2"/>
    <w:rsid w:val="008B66FE"/>
    <w:rsid w:val="008B672D"/>
    <w:rsid w:val="008B6741"/>
    <w:rsid w:val="008B6742"/>
    <w:rsid w:val="008B6765"/>
    <w:rsid w:val="008B676C"/>
    <w:rsid w:val="008B6786"/>
    <w:rsid w:val="008B67BE"/>
    <w:rsid w:val="008B6859"/>
    <w:rsid w:val="008B6862"/>
    <w:rsid w:val="008B68D2"/>
    <w:rsid w:val="008B68F6"/>
    <w:rsid w:val="008B6987"/>
    <w:rsid w:val="008B6997"/>
    <w:rsid w:val="008B69A6"/>
    <w:rsid w:val="008B69B8"/>
    <w:rsid w:val="008B69D6"/>
    <w:rsid w:val="008B69F5"/>
    <w:rsid w:val="008B6A4F"/>
    <w:rsid w:val="008B6B39"/>
    <w:rsid w:val="008B6B98"/>
    <w:rsid w:val="008B6B9C"/>
    <w:rsid w:val="008B6BF9"/>
    <w:rsid w:val="008B6C1A"/>
    <w:rsid w:val="008B6C3B"/>
    <w:rsid w:val="008B6C44"/>
    <w:rsid w:val="008B6C67"/>
    <w:rsid w:val="008B6D0E"/>
    <w:rsid w:val="008B6D26"/>
    <w:rsid w:val="008B6DDA"/>
    <w:rsid w:val="008B6DED"/>
    <w:rsid w:val="008B6DFC"/>
    <w:rsid w:val="008B6E36"/>
    <w:rsid w:val="008B6E73"/>
    <w:rsid w:val="008B6EAD"/>
    <w:rsid w:val="008B6ECD"/>
    <w:rsid w:val="008B6F34"/>
    <w:rsid w:val="008B6F3A"/>
    <w:rsid w:val="008B6F42"/>
    <w:rsid w:val="008B6FD8"/>
    <w:rsid w:val="008B7015"/>
    <w:rsid w:val="008B704D"/>
    <w:rsid w:val="008B70A3"/>
    <w:rsid w:val="008B70D3"/>
    <w:rsid w:val="008B70FF"/>
    <w:rsid w:val="008B7135"/>
    <w:rsid w:val="008B713B"/>
    <w:rsid w:val="008B7148"/>
    <w:rsid w:val="008B7186"/>
    <w:rsid w:val="008B71A4"/>
    <w:rsid w:val="008B71DB"/>
    <w:rsid w:val="008B71F2"/>
    <w:rsid w:val="008B71FC"/>
    <w:rsid w:val="008B7229"/>
    <w:rsid w:val="008B7242"/>
    <w:rsid w:val="008B7278"/>
    <w:rsid w:val="008B7306"/>
    <w:rsid w:val="008B7320"/>
    <w:rsid w:val="008B73A3"/>
    <w:rsid w:val="008B741B"/>
    <w:rsid w:val="008B7426"/>
    <w:rsid w:val="008B743D"/>
    <w:rsid w:val="008B7454"/>
    <w:rsid w:val="008B7480"/>
    <w:rsid w:val="008B7483"/>
    <w:rsid w:val="008B748E"/>
    <w:rsid w:val="008B749B"/>
    <w:rsid w:val="008B74B2"/>
    <w:rsid w:val="008B75F1"/>
    <w:rsid w:val="008B765D"/>
    <w:rsid w:val="008B7663"/>
    <w:rsid w:val="008B7691"/>
    <w:rsid w:val="008B76B1"/>
    <w:rsid w:val="008B76D3"/>
    <w:rsid w:val="008B76DF"/>
    <w:rsid w:val="008B76F4"/>
    <w:rsid w:val="008B76F7"/>
    <w:rsid w:val="008B7714"/>
    <w:rsid w:val="008B7751"/>
    <w:rsid w:val="008B77F3"/>
    <w:rsid w:val="008B7845"/>
    <w:rsid w:val="008B785F"/>
    <w:rsid w:val="008B7936"/>
    <w:rsid w:val="008B793A"/>
    <w:rsid w:val="008B798C"/>
    <w:rsid w:val="008B7A09"/>
    <w:rsid w:val="008B7A46"/>
    <w:rsid w:val="008B7A4F"/>
    <w:rsid w:val="008B7A5D"/>
    <w:rsid w:val="008B7A62"/>
    <w:rsid w:val="008B7A66"/>
    <w:rsid w:val="008B7AAE"/>
    <w:rsid w:val="008B7AD4"/>
    <w:rsid w:val="008B7AD5"/>
    <w:rsid w:val="008B7AFC"/>
    <w:rsid w:val="008B7B6B"/>
    <w:rsid w:val="008B7B99"/>
    <w:rsid w:val="008B7BD4"/>
    <w:rsid w:val="008B7BE2"/>
    <w:rsid w:val="008B7BE3"/>
    <w:rsid w:val="008B7C02"/>
    <w:rsid w:val="008B7C0A"/>
    <w:rsid w:val="008B7C5C"/>
    <w:rsid w:val="008B7C65"/>
    <w:rsid w:val="008B7C75"/>
    <w:rsid w:val="008B7C91"/>
    <w:rsid w:val="008B7CA7"/>
    <w:rsid w:val="008B7CE4"/>
    <w:rsid w:val="008B7D11"/>
    <w:rsid w:val="008B7D21"/>
    <w:rsid w:val="008B7D68"/>
    <w:rsid w:val="008B7DE8"/>
    <w:rsid w:val="008B7E1D"/>
    <w:rsid w:val="008B7E5E"/>
    <w:rsid w:val="008B7E76"/>
    <w:rsid w:val="008B7E9B"/>
    <w:rsid w:val="008B7F04"/>
    <w:rsid w:val="008B7F99"/>
    <w:rsid w:val="008B7FD2"/>
    <w:rsid w:val="008B8287"/>
    <w:rsid w:val="008B86F4"/>
    <w:rsid w:val="008BCBAC"/>
    <w:rsid w:val="008BD393"/>
    <w:rsid w:val="008C005E"/>
    <w:rsid w:val="008C006C"/>
    <w:rsid w:val="008C007B"/>
    <w:rsid w:val="008C0080"/>
    <w:rsid w:val="008C00DA"/>
    <w:rsid w:val="008C010C"/>
    <w:rsid w:val="008C0119"/>
    <w:rsid w:val="008C0158"/>
    <w:rsid w:val="008C0164"/>
    <w:rsid w:val="008C0172"/>
    <w:rsid w:val="008C01AE"/>
    <w:rsid w:val="008C0265"/>
    <w:rsid w:val="008C02AB"/>
    <w:rsid w:val="008C02D4"/>
    <w:rsid w:val="008C0302"/>
    <w:rsid w:val="008C0340"/>
    <w:rsid w:val="008C03A4"/>
    <w:rsid w:val="008C0427"/>
    <w:rsid w:val="008C0429"/>
    <w:rsid w:val="008C0451"/>
    <w:rsid w:val="008C04A8"/>
    <w:rsid w:val="008C04D2"/>
    <w:rsid w:val="008C04D6"/>
    <w:rsid w:val="008C04FD"/>
    <w:rsid w:val="008C0502"/>
    <w:rsid w:val="008C051B"/>
    <w:rsid w:val="008C051D"/>
    <w:rsid w:val="008C051E"/>
    <w:rsid w:val="008C053E"/>
    <w:rsid w:val="008C0575"/>
    <w:rsid w:val="008C057E"/>
    <w:rsid w:val="008C05A4"/>
    <w:rsid w:val="008C05C8"/>
    <w:rsid w:val="008C06E1"/>
    <w:rsid w:val="008C06E9"/>
    <w:rsid w:val="008C0706"/>
    <w:rsid w:val="008C0791"/>
    <w:rsid w:val="008C0796"/>
    <w:rsid w:val="008C07AD"/>
    <w:rsid w:val="008C07C6"/>
    <w:rsid w:val="008C08D1"/>
    <w:rsid w:val="008C0949"/>
    <w:rsid w:val="008C0988"/>
    <w:rsid w:val="008C09C3"/>
    <w:rsid w:val="008C0A0B"/>
    <w:rsid w:val="008C0A1B"/>
    <w:rsid w:val="008C0A4A"/>
    <w:rsid w:val="008C0AD4"/>
    <w:rsid w:val="008C0B4D"/>
    <w:rsid w:val="008C0C38"/>
    <w:rsid w:val="008C0C52"/>
    <w:rsid w:val="008C0C6D"/>
    <w:rsid w:val="008C0C8A"/>
    <w:rsid w:val="008C0D00"/>
    <w:rsid w:val="008C0D05"/>
    <w:rsid w:val="008C0D27"/>
    <w:rsid w:val="008C0D2C"/>
    <w:rsid w:val="008C0D7D"/>
    <w:rsid w:val="008C0DB2"/>
    <w:rsid w:val="008C0DC7"/>
    <w:rsid w:val="008C0DFA"/>
    <w:rsid w:val="008C0E39"/>
    <w:rsid w:val="008C0EEC"/>
    <w:rsid w:val="008C0F01"/>
    <w:rsid w:val="008C0F41"/>
    <w:rsid w:val="008C0F64"/>
    <w:rsid w:val="008C0FAD"/>
    <w:rsid w:val="008C0FCE"/>
    <w:rsid w:val="008C1008"/>
    <w:rsid w:val="008C1040"/>
    <w:rsid w:val="008C1068"/>
    <w:rsid w:val="008C1093"/>
    <w:rsid w:val="008C10CC"/>
    <w:rsid w:val="008C10FA"/>
    <w:rsid w:val="008C1137"/>
    <w:rsid w:val="008C1170"/>
    <w:rsid w:val="008C1204"/>
    <w:rsid w:val="008C1231"/>
    <w:rsid w:val="008C123D"/>
    <w:rsid w:val="008C1291"/>
    <w:rsid w:val="008C12C3"/>
    <w:rsid w:val="008C12D3"/>
    <w:rsid w:val="008C12EE"/>
    <w:rsid w:val="008C12F8"/>
    <w:rsid w:val="008C133D"/>
    <w:rsid w:val="008C1366"/>
    <w:rsid w:val="008C137C"/>
    <w:rsid w:val="008C139C"/>
    <w:rsid w:val="008C13BE"/>
    <w:rsid w:val="008C13D5"/>
    <w:rsid w:val="008C13DA"/>
    <w:rsid w:val="008C13E7"/>
    <w:rsid w:val="008C13EF"/>
    <w:rsid w:val="008C1483"/>
    <w:rsid w:val="008C1486"/>
    <w:rsid w:val="008C14A4"/>
    <w:rsid w:val="008C14AA"/>
    <w:rsid w:val="008C14DD"/>
    <w:rsid w:val="008C1508"/>
    <w:rsid w:val="008C1549"/>
    <w:rsid w:val="008C154F"/>
    <w:rsid w:val="008C1564"/>
    <w:rsid w:val="008C1565"/>
    <w:rsid w:val="008C1571"/>
    <w:rsid w:val="008C15F6"/>
    <w:rsid w:val="008C1600"/>
    <w:rsid w:val="008C1669"/>
    <w:rsid w:val="008C16A5"/>
    <w:rsid w:val="008C16A6"/>
    <w:rsid w:val="008C16C8"/>
    <w:rsid w:val="008C16D8"/>
    <w:rsid w:val="008C17A2"/>
    <w:rsid w:val="008C1813"/>
    <w:rsid w:val="008C185C"/>
    <w:rsid w:val="008C187E"/>
    <w:rsid w:val="008C1898"/>
    <w:rsid w:val="008C18B4"/>
    <w:rsid w:val="008C1938"/>
    <w:rsid w:val="008C1945"/>
    <w:rsid w:val="008C194D"/>
    <w:rsid w:val="008C19D8"/>
    <w:rsid w:val="008C19F8"/>
    <w:rsid w:val="008C1A0D"/>
    <w:rsid w:val="008C1A2E"/>
    <w:rsid w:val="008C1A8E"/>
    <w:rsid w:val="008C1B01"/>
    <w:rsid w:val="008C1B20"/>
    <w:rsid w:val="008C1C47"/>
    <w:rsid w:val="008C1C85"/>
    <w:rsid w:val="008C1CA6"/>
    <w:rsid w:val="008C1CB0"/>
    <w:rsid w:val="008C1D22"/>
    <w:rsid w:val="008C1D30"/>
    <w:rsid w:val="008C1D3C"/>
    <w:rsid w:val="008C1D53"/>
    <w:rsid w:val="008C1D66"/>
    <w:rsid w:val="008C1DA0"/>
    <w:rsid w:val="008C1E0C"/>
    <w:rsid w:val="008C1E2B"/>
    <w:rsid w:val="008C1E50"/>
    <w:rsid w:val="008C1E62"/>
    <w:rsid w:val="008C1EA2"/>
    <w:rsid w:val="008C1F59"/>
    <w:rsid w:val="008C1F88"/>
    <w:rsid w:val="008C1F9C"/>
    <w:rsid w:val="008C1F9F"/>
    <w:rsid w:val="008C2012"/>
    <w:rsid w:val="008C203B"/>
    <w:rsid w:val="008C2077"/>
    <w:rsid w:val="008C2086"/>
    <w:rsid w:val="008C209B"/>
    <w:rsid w:val="008C20BD"/>
    <w:rsid w:val="008C2208"/>
    <w:rsid w:val="008C2234"/>
    <w:rsid w:val="008C2268"/>
    <w:rsid w:val="008C2271"/>
    <w:rsid w:val="008C2287"/>
    <w:rsid w:val="008C22E2"/>
    <w:rsid w:val="008C230F"/>
    <w:rsid w:val="008C233C"/>
    <w:rsid w:val="008C23E2"/>
    <w:rsid w:val="008C244A"/>
    <w:rsid w:val="008C247B"/>
    <w:rsid w:val="008C2497"/>
    <w:rsid w:val="008C24B4"/>
    <w:rsid w:val="008C2524"/>
    <w:rsid w:val="008C2542"/>
    <w:rsid w:val="008C2589"/>
    <w:rsid w:val="008C25B5"/>
    <w:rsid w:val="008C25D3"/>
    <w:rsid w:val="008C2651"/>
    <w:rsid w:val="008C2673"/>
    <w:rsid w:val="008C267D"/>
    <w:rsid w:val="008C26A6"/>
    <w:rsid w:val="008C26B5"/>
    <w:rsid w:val="008C2700"/>
    <w:rsid w:val="008C2750"/>
    <w:rsid w:val="008C277C"/>
    <w:rsid w:val="008C27A5"/>
    <w:rsid w:val="008C27BC"/>
    <w:rsid w:val="008C27E5"/>
    <w:rsid w:val="008C2813"/>
    <w:rsid w:val="008C281B"/>
    <w:rsid w:val="008C2820"/>
    <w:rsid w:val="008C2829"/>
    <w:rsid w:val="008C2845"/>
    <w:rsid w:val="008C2881"/>
    <w:rsid w:val="008C288A"/>
    <w:rsid w:val="008C29DD"/>
    <w:rsid w:val="008C2A28"/>
    <w:rsid w:val="008C2AD4"/>
    <w:rsid w:val="008C2B4D"/>
    <w:rsid w:val="008C2B9E"/>
    <w:rsid w:val="008C2BBD"/>
    <w:rsid w:val="008C2BFF"/>
    <w:rsid w:val="008C2C3A"/>
    <w:rsid w:val="008C2C40"/>
    <w:rsid w:val="008C2C5E"/>
    <w:rsid w:val="008C2C7B"/>
    <w:rsid w:val="008C2C87"/>
    <w:rsid w:val="008C2C9C"/>
    <w:rsid w:val="008C2CA1"/>
    <w:rsid w:val="008C2CC0"/>
    <w:rsid w:val="008C2CE7"/>
    <w:rsid w:val="008C2D3F"/>
    <w:rsid w:val="008C2D63"/>
    <w:rsid w:val="008C2D91"/>
    <w:rsid w:val="008C2E3D"/>
    <w:rsid w:val="008C2E5E"/>
    <w:rsid w:val="008C2E9A"/>
    <w:rsid w:val="008C2EB5"/>
    <w:rsid w:val="008C2EE4"/>
    <w:rsid w:val="008C2F1F"/>
    <w:rsid w:val="008C2F35"/>
    <w:rsid w:val="008C2F61"/>
    <w:rsid w:val="008C2FAB"/>
    <w:rsid w:val="008C2FB2"/>
    <w:rsid w:val="008C2FD2"/>
    <w:rsid w:val="008C2FFA"/>
    <w:rsid w:val="008C3037"/>
    <w:rsid w:val="008C3063"/>
    <w:rsid w:val="008C307D"/>
    <w:rsid w:val="008C3088"/>
    <w:rsid w:val="008C3137"/>
    <w:rsid w:val="008C3141"/>
    <w:rsid w:val="008C3168"/>
    <w:rsid w:val="008C319E"/>
    <w:rsid w:val="008C31AE"/>
    <w:rsid w:val="008C31B0"/>
    <w:rsid w:val="008C31D7"/>
    <w:rsid w:val="008C31D8"/>
    <w:rsid w:val="008C31DB"/>
    <w:rsid w:val="008C323E"/>
    <w:rsid w:val="008C3279"/>
    <w:rsid w:val="008C328D"/>
    <w:rsid w:val="008C3299"/>
    <w:rsid w:val="008C32C5"/>
    <w:rsid w:val="008C32EE"/>
    <w:rsid w:val="008C3321"/>
    <w:rsid w:val="008C3342"/>
    <w:rsid w:val="008C33B1"/>
    <w:rsid w:val="008C33F8"/>
    <w:rsid w:val="008C33FC"/>
    <w:rsid w:val="008C3412"/>
    <w:rsid w:val="008C3487"/>
    <w:rsid w:val="008C3507"/>
    <w:rsid w:val="008C353B"/>
    <w:rsid w:val="008C3633"/>
    <w:rsid w:val="008C3664"/>
    <w:rsid w:val="008C368B"/>
    <w:rsid w:val="008C36DA"/>
    <w:rsid w:val="008C372E"/>
    <w:rsid w:val="008C3755"/>
    <w:rsid w:val="008C3761"/>
    <w:rsid w:val="008C37DE"/>
    <w:rsid w:val="008C380A"/>
    <w:rsid w:val="008C383C"/>
    <w:rsid w:val="008C38EB"/>
    <w:rsid w:val="008C390E"/>
    <w:rsid w:val="008C3918"/>
    <w:rsid w:val="008C3940"/>
    <w:rsid w:val="008C3955"/>
    <w:rsid w:val="008C3983"/>
    <w:rsid w:val="008C3993"/>
    <w:rsid w:val="008C39AA"/>
    <w:rsid w:val="008C39B5"/>
    <w:rsid w:val="008C3A2A"/>
    <w:rsid w:val="008C3A2B"/>
    <w:rsid w:val="008C3A38"/>
    <w:rsid w:val="008C3A7D"/>
    <w:rsid w:val="008C3AB1"/>
    <w:rsid w:val="008C3AD5"/>
    <w:rsid w:val="008C3B76"/>
    <w:rsid w:val="008C3BDB"/>
    <w:rsid w:val="008C3C30"/>
    <w:rsid w:val="008C3C40"/>
    <w:rsid w:val="008C3C83"/>
    <w:rsid w:val="008C3C94"/>
    <w:rsid w:val="008C3CE2"/>
    <w:rsid w:val="008C3D06"/>
    <w:rsid w:val="008C3D07"/>
    <w:rsid w:val="008C3D23"/>
    <w:rsid w:val="008C3D77"/>
    <w:rsid w:val="008C3DDF"/>
    <w:rsid w:val="008C3E36"/>
    <w:rsid w:val="008C3E4F"/>
    <w:rsid w:val="008C3E60"/>
    <w:rsid w:val="008C3E7A"/>
    <w:rsid w:val="008C3E91"/>
    <w:rsid w:val="008C3F59"/>
    <w:rsid w:val="008C4054"/>
    <w:rsid w:val="008C406E"/>
    <w:rsid w:val="008C409D"/>
    <w:rsid w:val="008C40CB"/>
    <w:rsid w:val="008C4125"/>
    <w:rsid w:val="008C4146"/>
    <w:rsid w:val="008C414E"/>
    <w:rsid w:val="008C418A"/>
    <w:rsid w:val="008C4196"/>
    <w:rsid w:val="008C41AD"/>
    <w:rsid w:val="008C41B7"/>
    <w:rsid w:val="008C4210"/>
    <w:rsid w:val="008C4211"/>
    <w:rsid w:val="008C4239"/>
    <w:rsid w:val="008C423B"/>
    <w:rsid w:val="008C42B1"/>
    <w:rsid w:val="008C42E8"/>
    <w:rsid w:val="008C42EC"/>
    <w:rsid w:val="008C4344"/>
    <w:rsid w:val="008C43A0"/>
    <w:rsid w:val="008C4460"/>
    <w:rsid w:val="008C44E5"/>
    <w:rsid w:val="008C44F3"/>
    <w:rsid w:val="008C4521"/>
    <w:rsid w:val="008C4555"/>
    <w:rsid w:val="008C455B"/>
    <w:rsid w:val="008C4582"/>
    <w:rsid w:val="008C45A6"/>
    <w:rsid w:val="008C45AD"/>
    <w:rsid w:val="008C45D6"/>
    <w:rsid w:val="008C4662"/>
    <w:rsid w:val="008C46C8"/>
    <w:rsid w:val="008C4736"/>
    <w:rsid w:val="008C474F"/>
    <w:rsid w:val="008C4767"/>
    <w:rsid w:val="008C4797"/>
    <w:rsid w:val="008C47DB"/>
    <w:rsid w:val="008C485F"/>
    <w:rsid w:val="008C487B"/>
    <w:rsid w:val="008C48A0"/>
    <w:rsid w:val="008C48B5"/>
    <w:rsid w:val="008C48DC"/>
    <w:rsid w:val="008C48E7"/>
    <w:rsid w:val="008C48E8"/>
    <w:rsid w:val="008C4950"/>
    <w:rsid w:val="008C499A"/>
    <w:rsid w:val="008C49B2"/>
    <w:rsid w:val="008C49ED"/>
    <w:rsid w:val="008C49F7"/>
    <w:rsid w:val="008C4A07"/>
    <w:rsid w:val="008C4AAB"/>
    <w:rsid w:val="008C4AE9"/>
    <w:rsid w:val="008C4B13"/>
    <w:rsid w:val="008C4B1A"/>
    <w:rsid w:val="008C4B1B"/>
    <w:rsid w:val="008C4B26"/>
    <w:rsid w:val="008C4B62"/>
    <w:rsid w:val="008C4B63"/>
    <w:rsid w:val="008C4BB5"/>
    <w:rsid w:val="008C4BD4"/>
    <w:rsid w:val="008C4BD6"/>
    <w:rsid w:val="008C4BDE"/>
    <w:rsid w:val="008C4BE6"/>
    <w:rsid w:val="008C4BF9"/>
    <w:rsid w:val="008C4C06"/>
    <w:rsid w:val="008C4C0F"/>
    <w:rsid w:val="008C4C30"/>
    <w:rsid w:val="008C4C86"/>
    <w:rsid w:val="008C4CA5"/>
    <w:rsid w:val="008C4CC7"/>
    <w:rsid w:val="008C4CCB"/>
    <w:rsid w:val="008C4CD9"/>
    <w:rsid w:val="008C4CE4"/>
    <w:rsid w:val="008C4CF4"/>
    <w:rsid w:val="008C4D51"/>
    <w:rsid w:val="008C4D82"/>
    <w:rsid w:val="008C4D9A"/>
    <w:rsid w:val="008C4D9D"/>
    <w:rsid w:val="008C4DE4"/>
    <w:rsid w:val="008C4E77"/>
    <w:rsid w:val="008C4EBC"/>
    <w:rsid w:val="008C4ED6"/>
    <w:rsid w:val="008C4EE0"/>
    <w:rsid w:val="008C4EE6"/>
    <w:rsid w:val="008C4F09"/>
    <w:rsid w:val="008C4F79"/>
    <w:rsid w:val="008C4FB1"/>
    <w:rsid w:val="008C4FB8"/>
    <w:rsid w:val="008C4FC9"/>
    <w:rsid w:val="008C4FD4"/>
    <w:rsid w:val="008C4FD9"/>
    <w:rsid w:val="008C504A"/>
    <w:rsid w:val="008C507B"/>
    <w:rsid w:val="008C50AA"/>
    <w:rsid w:val="008C5119"/>
    <w:rsid w:val="008C5121"/>
    <w:rsid w:val="008C513E"/>
    <w:rsid w:val="008C5149"/>
    <w:rsid w:val="008C5193"/>
    <w:rsid w:val="008C51FF"/>
    <w:rsid w:val="008C5246"/>
    <w:rsid w:val="008C5268"/>
    <w:rsid w:val="008C5273"/>
    <w:rsid w:val="008C52F9"/>
    <w:rsid w:val="008C530B"/>
    <w:rsid w:val="008C5328"/>
    <w:rsid w:val="008C5345"/>
    <w:rsid w:val="008C5358"/>
    <w:rsid w:val="008C5383"/>
    <w:rsid w:val="008C539F"/>
    <w:rsid w:val="008C53AB"/>
    <w:rsid w:val="008C53D1"/>
    <w:rsid w:val="008C5446"/>
    <w:rsid w:val="008C54B3"/>
    <w:rsid w:val="008C54F3"/>
    <w:rsid w:val="008C5503"/>
    <w:rsid w:val="008C5533"/>
    <w:rsid w:val="008C5539"/>
    <w:rsid w:val="008C554B"/>
    <w:rsid w:val="008C557B"/>
    <w:rsid w:val="008C5591"/>
    <w:rsid w:val="008C55C7"/>
    <w:rsid w:val="008C5652"/>
    <w:rsid w:val="008C567C"/>
    <w:rsid w:val="008C5728"/>
    <w:rsid w:val="008C5771"/>
    <w:rsid w:val="008C5788"/>
    <w:rsid w:val="008C57CC"/>
    <w:rsid w:val="008C58AA"/>
    <w:rsid w:val="008C58FF"/>
    <w:rsid w:val="008C59EF"/>
    <w:rsid w:val="008C5A9C"/>
    <w:rsid w:val="008C5B0F"/>
    <w:rsid w:val="008C5B86"/>
    <w:rsid w:val="008C5BCE"/>
    <w:rsid w:val="008C5BE1"/>
    <w:rsid w:val="008C5BF2"/>
    <w:rsid w:val="008C5C05"/>
    <w:rsid w:val="008C5C1D"/>
    <w:rsid w:val="008C5C60"/>
    <w:rsid w:val="008C5CDF"/>
    <w:rsid w:val="008C5D6A"/>
    <w:rsid w:val="008C5DAC"/>
    <w:rsid w:val="008C5DD4"/>
    <w:rsid w:val="008C5E14"/>
    <w:rsid w:val="008C5E33"/>
    <w:rsid w:val="008C5EFF"/>
    <w:rsid w:val="008C5F04"/>
    <w:rsid w:val="008C6009"/>
    <w:rsid w:val="008C606A"/>
    <w:rsid w:val="008C608A"/>
    <w:rsid w:val="008C60B0"/>
    <w:rsid w:val="008C60DE"/>
    <w:rsid w:val="008C614F"/>
    <w:rsid w:val="008C6167"/>
    <w:rsid w:val="008C61B2"/>
    <w:rsid w:val="008C6235"/>
    <w:rsid w:val="008C6239"/>
    <w:rsid w:val="008C6276"/>
    <w:rsid w:val="008C6284"/>
    <w:rsid w:val="008C62DF"/>
    <w:rsid w:val="008C62E2"/>
    <w:rsid w:val="008C6317"/>
    <w:rsid w:val="008C6331"/>
    <w:rsid w:val="008C6341"/>
    <w:rsid w:val="008C63C2"/>
    <w:rsid w:val="008C6444"/>
    <w:rsid w:val="008C64B6"/>
    <w:rsid w:val="008C64C6"/>
    <w:rsid w:val="008C64CB"/>
    <w:rsid w:val="008C6527"/>
    <w:rsid w:val="008C652A"/>
    <w:rsid w:val="008C6538"/>
    <w:rsid w:val="008C654A"/>
    <w:rsid w:val="008C6552"/>
    <w:rsid w:val="008C6577"/>
    <w:rsid w:val="008C6593"/>
    <w:rsid w:val="008C660B"/>
    <w:rsid w:val="008C675C"/>
    <w:rsid w:val="008C676C"/>
    <w:rsid w:val="008C6796"/>
    <w:rsid w:val="008C6799"/>
    <w:rsid w:val="008C67BD"/>
    <w:rsid w:val="008C6800"/>
    <w:rsid w:val="008C6876"/>
    <w:rsid w:val="008C68E4"/>
    <w:rsid w:val="008C68F8"/>
    <w:rsid w:val="008C6928"/>
    <w:rsid w:val="008C6943"/>
    <w:rsid w:val="008C6977"/>
    <w:rsid w:val="008C698F"/>
    <w:rsid w:val="008C6A2E"/>
    <w:rsid w:val="008C6A47"/>
    <w:rsid w:val="008C6A6A"/>
    <w:rsid w:val="008C6ADA"/>
    <w:rsid w:val="008C6B07"/>
    <w:rsid w:val="008C6B0D"/>
    <w:rsid w:val="008C6BD6"/>
    <w:rsid w:val="008C6BD8"/>
    <w:rsid w:val="008C6C2C"/>
    <w:rsid w:val="008C6C3D"/>
    <w:rsid w:val="008C6CA6"/>
    <w:rsid w:val="008C6CB2"/>
    <w:rsid w:val="008C6D08"/>
    <w:rsid w:val="008C6D89"/>
    <w:rsid w:val="008C6E79"/>
    <w:rsid w:val="008C6F10"/>
    <w:rsid w:val="008C6F40"/>
    <w:rsid w:val="008C6F92"/>
    <w:rsid w:val="008C6F9F"/>
    <w:rsid w:val="008C6FA2"/>
    <w:rsid w:val="008C7089"/>
    <w:rsid w:val="008C7094"/>
    <w:rsid w:val="008C709F"/>
    <w:rsid w:val="008C70EF"/>
    <w:rsid w:val="008C70F7"/>
    <w:rsid w:val="008C711A"/>
    <w:rsid w:val="008C717D"/>
    <w:rsid w:val="008C72A2"/>
    <w:rsid w:val="008C72C7"/>
    <w:rsid w:val="008C7350"/>
    <w:rsid w:val="008C738A"/>
    <w:rsid w:val="008C73A0"/>
    <w:rsid w:val="008C746B"/>
    <w:rsid w:val="008C748A"/>
    <w:rsid w:val="008C74DB"/>
    <w:rsid w:val="008C7546"/>
    <w:rsid w:val="008C75A3"/>
    <w:rsid w:val="008C75C9"/>
    <w:rsid w:val="008C7683"/>
    <w:rsid w:val="008C768C"/>
    <w:rsid w:val="008C76AC"/>
    <w:rsid w:val="008C76B3"/>
    <w:rsid w:val="008C76B4"/>
    <w:rsid w:val="008C76C9"/>
    <w:rsid w:val="008C76E7"/>
    <w:rsid w:val="008C770A"/>
    <w:rsid w:val="008C773D"/>
    <w:rsid w:val="008C774B"/>
    <w:rsid w:val="008C7771"/>
    <w:rsid w:val="008C777F"/>
    <w:rsid w:val="008C7808"/>
    <w:rsid w:val="008C7855"/>
    <w:rsid w:val="008C7864"/>
    <w:rsid w:val="008C7878"/>
    <w:rsid w:val="008C78B0"/>
    <w:rsid w:val="008C78C2"/>
    <w:rsid w:val="008C79C5"/>
    <w:rsid w:val="008C79DD"/>
    <w:rsid w:val="008C79E1"/>
    <w:rsid w:val="008C7A96"/>
    <w:rsid w:val="008C7AAD"/>
    <w:rsid w:val="008C7AC1"/>
    <w:rsid w:val="008C7AEE"/>
    <w:rsid w:val="008C7B00"/>
    <w:rsid w:val="008C7B20"/>
    <w:rsid w:val="008C7B7D"/>
    <w:rsid w:val="008C7BD9"/>
    <w:rsid w:val="008C7C48"/>
    <w:rsid w:val="008C7CDD"/>
    <w:rsid w:val="008C7D43"/>
    <w:rsid w:val="008C7D61"/>
    <w:rsid w:val="008C7DA1"/>
    <w:rsid w:val="008C7DED"/>
    <w:rsid w:val="008C7E1F"/>
    <w:rsid w:val="008C7E3B"/>
    <w:rsid w:val="008C7E80"/>
    <w:rsid w:val="008C7EC3"/>
    <w:rsid w:val="008C7F0D"/>
    <w:rsid w:val="008C7F30"/>
    <w:rsid w:val="008C7F50"/>
    <w:rsid w:val="008C7F87"/>
    <w:rsid w:val="008C7FD4"/>
    <w:rsid w:val="008CB0D0"/>
    <w:rsid w:val="008CD8D9"/>
    <w:rsid w:val="008CEFAF"/>
    <w:rsid w:val="008D0047"/>
    <w:rsid w:val="008D004D"/>
    <w:rsid w:val="008D006C"/>
    <w:rsid w:val="008D0070"/>
    <w:rsid w:val="008D0099"/>
    <w:rsid w:val="008D00F6"/>
    <w:rsid w:val="008D0172"/>
    <w:rsid w:val="008D017C"/>
    <w:rsid w:val="008D018E"/>
    <w:rsid w:val="008D01D7"/>
    <w:rsid w:val="008D0215"/>
    <w:rsid w:val="008D0264"/>
    <w:rsid w:val="008D0265"/>
    <w:rsid w:val="008D029E"/>
    <w:rsid w:val="008D02D3"/>
    <w:rsid w:val="008D02F7"/>
    <w:rsid w:val="008D0304"/>
    <w:rsid w:val="008D0306"/>
    <w:rsid w:val="008D031F"/>
    <w:rsid w:val="008D0367"/>
    <w:rsid w:val="008D036C"/>
    <w:rsid w:val="008D03D8"/>
    <w:rsid w:val="008D0413"/>
    <w:rsid w:val="008D04DD"/>
    <w:rsid w:val="008D04EE"/>
    <w:rsid w:val="008D051E"/>
    <w:rsid w:val="008D05A3"/>
    <w:rsid w:val="008D063D"/>
    <w:rsid w:val="008D0655"/>
    <w:rsid w:val="008D0715"/>
    <w:rsid w:val="008D0772"/>
    <w:rsid w:val="008D07F2"/>
    <w:rsid w:val="008D07F4"/>
    <w:rsid w:val="008D07FF"/>
    <w:rsid w:val="008D0840"/>
    <w:rsid w:val="008D0853"/>
    <w:rsid w:val="008D087E"/>
    <w:rsid w:val="008D08AD"/>
    <w:rsid w:val="008D0933"/>
    <w:rsid w:val="008D0998"/>
    <w:rsid w:val="008D09BA"/>
    <w:rsid w:val="008D09C3"/>
    <w:rsid w:val="008D09C9"/>
    <w:rsid w:val="008D0A04"/>
    <w:rsid w:val="008D0A86"/>
    <w:rsid w:val="008D0AA6"/>
    <w:rsid w:val="008D0AEC"/>
    <w:rsid w:val="008D0B01"/>
    <w:rsid w:val="008D0B28"/>
    <w:rsid w:val="008D0B5D"/>
    <w:rsid w:val="008D0B8B"/>
    <w:rsid w:val="008D0C05"/>
    <w:rsid w:val="008D0C07"/>
    <w:rsid w:val="008D0C2B"/>
    <w:rsid w:val="008D0C32"/>
    <w:rsid w:val="008D0C4E"/>
    <w:rsid w:val="008D0C66"/>
    <w:rsid w:val="008D0CA4"/>
    <w:rsid w:val="008D0CC5"/>
    <w:rsid w:val="008D0D3E"/>
    <w:rsid w:val="008D0D52"/>
    <w:rsid w:val="008D0DAF"/>
    <w:rsid w:val="008D0DB7"/>
    <w:rsid w:val="008D0DC4"/>
    <w:rsid w:val="008D0EB9"/>
    <w:rsid w:val="008D0EC3"/>
    <w:rsid w:val="008D0F23"/>
    <w:rsid w:val="008D0F86"/>
    <w:rsid w:val="008D0F96"/>
    <w:rsid w:val="008D0FC1"/>
    <w:rsid w:val="008D10A9"/>
    <w:rsid w:val="008D10DC"/>
    <w:rsid w:val="008D10DD"/>
    <w:rsid w:val="008D110B"/>
    <w:rsid w:val="008D111A"/>
    <w:rsid w:val="008D1122"/>
    <w:rsid w:val="008D117D"/>
    <w:rsid w:val="008D1196"/>
    <w:rsid w:val="008D119A"/>
    <w:rsid w:val="008D119F"/>
    <w:rsid w:val="008D11A6"/>
    <w:rsid w:val="008D11D1"/>
    <w:rsid w:val="008D11D7"/>
    <w:rsid w:val="008D11FA"/>
    <w:rsid w:val="008D120E"/>
    <w:rsid w:val="008D1218"/>
    <w:rsid w:val="008D1280"/>
    <w:rsid w:val="008D1307"/>
    <w:rsid w:val="008D130D"/>
    <w:rsid w:val="008D138A"/>
    <w:rsid w:val="008D1404"/>
    <w:rsid w:val="008D1488"/>
    <w:rsid w:val="008D14AA"/>
    <w:rsid w:val="008D14B3"/>
    <w:rsid w:val="008D14C0"/>
    <w:rsid w:val="008D14CB"/>
    <w:rsid w:val="008D14D4"/>
    <w:rsid w:val="008D14DA"/>
    <w:rsid w:val="008D151C"/>
    <w:rsid w:val="008D153B"/>
    <w:rsid w:val="008D1551"/>
    <w:rsid w:val="008D1601"/>
    <w:rsid w:val="008D1603"/>
    <w:rsid w:val="008D1648"/>
    <w:rsid w:val="008D1664"/>
    <w:rsid w:val="008D167D"/>
    <w:rsid w:val="008D167E"/>
    <w:rsid w:val="008D16D5"/>
    <w:rsid w:val="008D16D7"/>
    <w:rsid w:val="008D1768"/>
    <w:rsid w:val="008D1790"/>
    <w:rsid w:val="008D17D3"/>
    <w:rsid w:val="008D17F8"/>
    <w:rsid w:val="008D180B"/>
    <w:rsid w:val="008D182A"/>
    <w:rsid w:val="008D1850"/>
    <w:rsid w:val="008D18B7"/>
    <w:rsid w:val="008D18EB"/>
    <w:rsid w:val="008D1903"/>
    <w:rsid w:val="008D195D"/>
    <w:rsid w:val="008D19D9"/>
    <w:rsid w:val="008D19F5"/>
    <w:rsid w:val="008D1A43"/>
    <w:rsid w:val="008D1A57"/>
    <w:rsid w:val="008D1B15"/>
    <w:rsid w:val="008D1B20"/>
    <w:rsid w:val="008D1BB4"/>
    <w:rsid w:val="008D1BFC"/>
    <w:rsid w:val="008D1C6C"/>
    <w:rsid w:val="008D1C78"/>
    <w:rsid w:val="008D1CB1"/>
    <w:rsid w:val="008D1D56"/>
    <w:rsid w:val="008D1D6B"/>
    <w:rsid w:val="008D1D99"/>
    <w:rsid w:val="008D1DEC"/>
    <w:rsid w:val="008D1E60"/>
    <w:rsid w:val="008D1EBC"/>
    <w:rsid w:val="008D1F15"/>
    <w:rsid w:val="008D1F6D"/>
    <w:rsid w:val="008D1FCE"/>
    <w:rsid w:val="008D204C"/>
    <w:rsid w:val="008D20C1"/>
    <w:rsid w:val="008D20CA"/>
    <w:rsid w:val="008D2148"/>
    <w:rsid w:val="008D215B"/>
    <w:rsid w:val="008D2184"/>
    <w:rsid w:val="008D218B"/>
    <w:rsid w:val="008D21B0"/>
    <w:rsid w:val="008D21E2"/>
    <w:rsid w:val="008D21FC"/>
    <w:rsid w:val="008D2276"/>
    <w:rsid w:val="008D22CA"/>
    <w:rsid w:val="008D2355"/>
    <w:rsid w:val="008D23D7"/>
    <w:rsid w:val="008D2424"/>
    <w:rsid w:val="008D2438"/>
    <w:rsid w:val="008D2442"/>
    <w:rsid w:val="008D2469"/>
    <w:rsid w:val="008D254A"/>
    <w:rsid w:val="008D261F"/>
    <w:rsid w:val="008D2677"/>
    <w:rsid w:val="008D26AE"/>
    <w:rsid w:val="008D275F"/>
    <w:rsid w:val="008D27EF"/>
    <w:rsid w:val="008D27F3"/>
    <w:rsid w:val="008D27F4"/>
    <w:rsid w:val="008D2823"/>
    <w:rsid w:val="008D282C"/>
    <w:rsid w:val="008D2877"/>
    <w:rsid w:val="008D288C"/>
    <w:rsid w:val="008D28E2"/>
    <w:rsid w:val="008D293A"/>
    <w:rsid w:val="008D2945"/>
    <w:rsid w:val="008D296F"/>
    <w:rsid w:val="008D2985"/>
    <w:rsid w:val="008D29C4"/>
    <w:rsid w:val="008D29CC"/>
    <w:rsid w:val="008D29D3"/>
    <w:rsid w:val="008D29F4"/>
    <w:rsid w:val="008D29FF"/>
    <w:rsid w:val="008D2A0F"/>
    <w:rsid w:val="008D2A4A"/>
    <w:rsid w:val="008D2A52"/>
    <w:rsid w:val="008D2A60"/>
    <w:rsid w:val="008D2A89"/>
    <w:rsid w:val="008D2AA4"/>
    <w:rsid w:val="008D2BFC"/>
    <w:rsid w:val="008D2C21"/>
    <w:rsid w:val="008D2C5A"/>
    <w:rsid w:val="008D2CE5"/>
    <w:rsid w:val="008D2D0C"/>
    <w:rsid w:val="008D2D2B"/>
    <w:rsid w:val="008D2D34"/>
    <w:rsid w:val="008D2D41"/>
    <w:rsid w:val="008D2D57"/>
    <w:rsid w:val="008D2D6E"/>
    <w:rsid w:val="008D2DD7"/>
    <w:rsid w:val="008D2E1B"/>
    <w:rsid w:val="008D2E20"/>
    <w:rsid w:val="008D2E6A"/>
    <w:rsid w:val="008D2E83"/>
    <w:rsid w:val="008D2ECA"/>
    <w:rsid w:val="008D2EF6"/>
    <w:rsid w:val="008D2F21"/>
    <w:rsid w:val="008D2F42"/>
    <w:rsid w:val="008D2F52"/>
    <w:rsid w:val="008D2FA1"/>
    <w:rsid w:val="008D2FA9"/>
    <w:rsid w:val="008D2FAD"/>
    <w:rsid w:val="008D2FC2"/>
    <w:rsid w:val="008D2FCA"/>
    <w:rsid w:val="008D2FCC"/>
    <w:rsid w:val="008D2FF9"/>
    <w:rsid w:val="008D3015"/>
    <w:rsid w:val="008D3050"/>
    <w:rsid w:val="008D30BA"/>
    <w:rsid w:val="008D30CA"/>
    <w:rsid w:val="008D311C"/>
    <w:rsid w:val="008D3148"/>
    <w:rsid w:val="008D3173"/>
    <w:rsid w:val="008D3193"/>
    <w:rsid w:val="008D31F0"/>
    <w:rsid w:val="008D3287"/>
    <w:rsid w:val="008D32A8"/>
    <w:rsid w:val="008D32A9"/>
    <w:rsid w:val="008D32E4"/>
    <w:rsid w:val="008D32E6"/>
    <w:rsid w:val="008D333A"/>
    <w:rsid w:val="008D3432"/>
    <w:rsid w:val="008D3476"/>
    <w:rsid w:val="008D34D7"/>
    <w:rsid w:val="008D34F1"/>
    <w:rsid w:val="008D3574"/>
    <w:rsid w:val="008D35A6"/>
    <w:rsid w:val="008D362C"/>
    <w:rsid w:val="008D3689"/>
    <w:rsid w:val="008D36B6"/>
    <w:rsid w:val="008D3793"/>
    <w:rsid w:val="008D37C2"/>
    <w:rsid w:val="008D37C6"/>
    <w:rsid w:val="008D3881"/>
    <w:rsid w:val="008D38D0"/>
    <w:rsid w:val="008D38E1"/>
    <w:rsid w:val="008D38EE"/>
    <w:rsid w:val="008D3911"/>
    <w:rsid w:val="008D39AE"/>
    <w:rsid w:val="008D39C0"/>
    <w:rsid w:val="008D39F3"/>
    <w:rsid w:val="008D3A15"/>
    <w:rsid w:val="008D3A7C"/>
    <w:rsid w:val="008D3AB7"/>
    <w:rsid w:val="008D3B01"/>
    <w:rsid w:val="008D3B36"/>
    <w:rsid w:val="008D3B46"/>
    <w:rsid w:val="008D3B56"/>
    <w:rsid w:val="008D3BC8"/>
    <w:rsid w:val="008D3C36"/>
    <w:rsid w:val="008D3C3F"/>
    <w:rsid w:val="008D3C46"/>
    <w:rsid w:val="008D3CC8"/>
    <w:rsid w:val="008D3CFE"/>
    <w:rsid w:val="008D3DBE"/>
    <w:rsid w:val="008D3DC4"/>
    <w:rsid w:val="008D3E4F"/>
    <w:rsid w:val="008D3EBC"/>
    <w:rsid w:val="008D3EBE"/>
    <w:rsid w:val="008D3EFE"/>
    <w:rsid w:val="008D3F02"/>
    <w:rsid w:val="008D3F5C"/>
    <w:rsid w:val="008D3F9C"/>
    <w:rsid w:val="008D3FA5"/>
    <w:rsid w:val="008D3FAE"/>
    <w:rsid w:val="008D40AC"/>
    <w:rsid w:val="008D40BF"/>
    <w:rsid w:val="008D40DC"/>
    <w:rsid w:val="008D40F6"/>
    <w:rsid w:val="008D4126"/>
    <w:rsid w:val="008D4157"/>
    <w:rsid w:val="008D419F"/>
    <w:rsid w:val="008D41AE"/>
    <w:rsid w:val="008D41CA"/>
    <w:rsid w:val="008D41E7"/>
    <w:rsid w:val="008D41EC"/>
    <w:rsid w:val="008D41F9"/>
    <w:rsid w:val="008D4248"/>
    <w:rsid w:val="008D426D"/>
    <w:rsid w:val="008D42A1"/>
    <w:rsid w:val="008D42A4"/>
    <w:rsid w:val="008D42B6"/>
    <w:rsid w:val="008D42B7"/>
    <w:rsid w:val="008D4308"/>
    <w:rsid w:val="008D4312"/>
    <w:rsid w:val="008D4339"/>
    <w:rsid w:val="008D437F"/>
    <w:rsid w:val="008D4381"/>
    <w:rsid w:val="008D43BA"/>
    <w:rsid w:val="008D43C0"/>
    <w:rsid w:val="008D44B2"/>
    <w:rsid w:val="008D44E8"/>
    <w:rsid w:val="008D450F"/>
    <w:rsid w:val="008D4544"/>
    <w:rsid w:val="008D4557"/>
    <w:rsid w:val="008D4578"/>
    <w:rsid w:val="008D4592"/>
    <w:rsid w:val="008D45C5"/>
    <w:rsid w:val="008D45D8"/>
    <w:rsid w:val="008D45E2"/>
    <w:rsid w:val="008D4605"/>
    <w:rsid w:val="008D4639"/>
    <w:rsid w:val="008D46BC"/>
    <w:rsid w:val="008D46E1"/>
    <w:rsid w:val="008D474A"/>
    <w:rsid w:val="008D4775"/>
    <w:rsid w:val="008D47B3"/>
    <w:rsid w:val="008D4804"/>
    <w:rsid w:val="008D480C"/>
    <w:rsid w:val="008D4815"/>
    <w:rsid w:val="008D487A"/>
    <w:rsid w:val="008D48AA"/>
    <w:rsid w:val="008D48DA"/>
    <w:rsid w:val="008D48E5"/>
    <w:rsid w:val="008D48F6"/>
    <w:rsid w:val="008D490E"/>
    <w:rsid w:val="008D494D"/>
    <w:rsid w:val="008D4951"/>
    <w:rsid w:val="008D4A1D"/>
    <w:rsid w:val="008D4A26"/>
    <w:rsid w:val="008D4A52"/>
    <w:rsid w:val="008D4AED"/>
    <w:rsid w:val="008D4B30"/>
    <w:rsid w:val="008D4B34"/>
    <w:rsid w:val="008D4B5C"/>
    <w:rsid w:val="008D4B7E"/>
    <w:rsid w:val="008D4B83"/>
    <w:rsid w:val="008D4B85"/>
    <w:rsid w:val="008D4B9B"/>
    <w:rsid w:val="008D4C2D"/>
    <w:rsid w:val="008D4C73"/>
    <w:rsid w:val="008D4C96"/>
    <w:rsid w:val="008D4CAB"/>
    <w:rsid w:val="008D4CB6"/>
    <w:rsid w:val="008D4CD8"/>
    <w:rsid w:val="008D4D5D"/>
    <w:rsid w:val="008D4D71"/>
    <w:rsid w:val="008D4D94"/>
    <w:rsid w:val="008D4DEA"/>
    <w:rsid w:val="008D4DFF"/>
    <w:rsid w:val="008D4E43"/>
    <w:rsid w:val="008D4E70"/>
    <w:rsid w:val="008D4E7C"/>
    <w:rsid w:val="008D4EE9"/>
    <w:rsid w:val="008D4F11"/>
    <w:rsid w:val="008D4F82"/>
    <w:rsid w:val="008D4FA9"/>
    <w:rsid w:val="008D4FEC"/>
    <w:rsid w:val="008D5017"/>
    <w:rsid w:val="008D5057"/>
    <w:rsid w:val="008D5087"/>
    <w:rsid w:val="008D50B0"/>
    <w:rsid w:val="008D50D0"/>
    <w:rsid w:val="008D50E9"/>
    <w:rsid w:val="008D5127"/>
    <w:rsid w:val="008D512B"/>
    <w:rsid w:val="008D514B"/>
    <w:rsid w:val="008D5190"/>
    <w:rsid w:val="008D51C6"/>
    <w:rsid w:val="008D51EB"/>
    <w:rsid w:val="008D5226"/>
    <w:rsid w:val="008D5255"/>
    <w:rsid w:val="008D5287"/>
    <w:rsid w:val="008D528B"/>
    <w:rsid w:val="008D528D"/>
    <w:rsid w:val="008D52D2"/>
    <w:rsid w:val="008D5306"/>
    <w:rsid w:val="008D5330"/>
    <w:rsid w:val="008D5379"/>
    <w:rsid w:val="008D5391"/>
    <w:rsid w:val="008D53CC"/>
    <w:rsid w:val="008D53E7"/>
    <w:rsid w:val="008D5471"/>
    <w:rsid w:val="008D548A"/>
    <w:rsid w:val="008D549F"/>
    <w:rsid w:val="008D5508"/>
    <w:rsid w:val="008D550E"/>
    <w:rsid w:val="008D5526"/>
    <w:rsid w:val="008D55D1"/>
    <w:rsid w:val="008D55DE"/>
    <w:rsid w:val="008D56D9"/>
    <w:rsid w:val="008D56EE"/>
    <w:rsid w:val="008D56F0"/>
    <w:rsid w:val="008D5728"/>
    <w:rsid w:val="008D57B2"/>
    <w:rsid w:val="008D588A"/>
    <w:rsid w:val="008D5892"/>
    <w:rsid w:val="008D58A5"/>
    <w:rsid w:val="008D59FA"/>
    <w:rsid w:val="008D5A44"/>
    <w:rsid w:val="008D5A5F"/>
    <w:rsid w:val="008D5A81"/>
    <w:rsid w:val="008D5AB4"/>
    <w:rsid w:val="008D5AEC"/>
    <w:rsid w:val="008D5AED"/>
    <w:rsid w:val="008D5B05"/>
    <w:rsid w:val="008D5B10"/>
    <w:rsid w:val="008D5B48"/>
    <w:rsid w:val="008D5B6F"/>
    <w:rsid w:val="008D5B85"/>
    <w:rsid w:val="008D5BA7"/>
    <w:rsid w:val="008D5C20"/>
    <w:rsid w:val="008D5CDF"/>
    <w:rsid w:val="008D5D69"/>
    <w:rsid w:val="008D5D6F"/>
    <w:rsid w:val="008D5DF6"/>
    <w:rsid w:val="008D5DFD"/>
    <w:rsid w:val="008D5E44"/>
    <w:rsid w:val="008D5E5D"/>
    <w:rsid w:val="008D5EFF"/>
    <w:rsid w:val="008D5F1D"/>
    <w:rsid w:val="008D5F65"/>
    <w:rsid w:val="008D5F71"/>
    <w:rsid w:val="008D5F91"/>
    <w:rsid w:val="008D5FA0"/>
    <w:rsid w:val="008D5FC7"/>
    <w:rsid w:val="008D603C"/>
    <w:rsid w:val="008D6098"/>
    <w:rsid w:val="008D6129"/>
    <w:rsid w:val="008D6144"/>
    <w:rsid w:val="008D6145"/>
    <w:rsid w:val="008D614A"/>
    <w:rsid w:val="008D616E"/>
    <w:rsid w:val="008D617D"/>
    <w:rsid w:val="008D6185"/>
    <w:rsid w:val="008D61BF"/>
    <w:rsid w:val="008D6217"/>
    <w:rsid w:val="008D623B"/>
    <w:rsid w:val="008D62AB"/>
    <w:rsid w:val="008D62AC"/>
    <w:rsid w:val="008D62CD"/>
    <w:rsid w:val="008D6335"/>
    <w:rsid w:val="008D634B"/>
    <w:rsid w:val="008D63A9"/>
    <w:rsid w:val="008D63AE"/>
    <w:rsid w:val="008D6445"/>
    <w:rsid w:val="008D6494"/>
    <w:rsid w:val="008D64CD"/>
    <w:rsid w:val="008D64EE"/>
    <w:rsid w:val="008D64FA"/>
    <w:rsid w:val="008D6527"/>
    <w:rsid w:val="008D652E"/>
    <w:rsid w:val="008D6576"/>
    <w:rsid w:val="008D6594"/>
    <w:rsid w:val="008D65CE"/>
    <w:rsid w:val="008D6627"/>
    <w:rsid w:val="008D6631"/>
    <w:rsid w:val="008D669D"/>
    <w:rsid w:val="008D6704"/>
    <w:rsid w:val="008D6748"/>
    <w:rsid w:val="008D67B6"/>
    <w:rsid w:val="008D67C8"/>
    <w:rsid w:val="008D67E2"/>
    <w:rsid w:val="008D67E8"/>
    <w:rsid w:val="008D67F0"/>
    <w:rsid w:val="008D6836"/>
    <w:rsid w:val="008D6841"/>
    <w:rsid w:val="008D684A"/>
    <w:rsid w:val="008D685C"/>
    <w:rsid w:val="008D686C"/>
    <w:rsid w:val="008D687E"/>
    <w:rsid w:val="008D68D8"/>
    <w:rsid w:val="008D691D"/>
    <w:rsid w:val="008D6923"/>
    <w:rsid w:val="008D6925"/>
    <w:rsid w:val="008D6938"/>
    <w:rsid w:val="008D693C"/>
    <w:rsid w:val="008D6957"/>
    <w:rsid w:val="008D69B3"/>
    <w:rsid w:val="008D69D6"/>
    <w:rsid w:val="008D69E6"/>
    <w:rsid w:val="008D6A45"/>
    <w:rsid w:val="008D6A52"/>
    <w:rsid w:val="008D6A98"/>
    <w:rsid w:val="008D6B6D"/>
    <w:rsid w:val="008D6B84"/>
    <w:rsid w:val="008D6BAD"/>
    <w:rsid w:val="008D6C2D"/>
    <w:rsid w:val="008D6C94"/>
    <w:rsid w:val="008D6CBE"/>
    <w:rsid w:val="008D6CC0"/>
    <w:rsid w:val="008D6CE7"/>
    <w:rsid w:val="008D6D07"/>
    <w:rsid w:val="008D6D22"/>
    <w:rsid w:val="008D6D4A"/>
    <w:rsid w:val="008D6D7F"/>
    <w:rsid w:val="008D6DA2"/>
    <w:rsid w:val="008D6E0C"/>
    <w:rsid w:val="008D6E89"/>
    <w:rsid w:val="008D6E98"/>
    <w:rsid w:val="008D6EB0"/>
    <w:rsid w:val="008D6F44"/>
    <w:rsid w:val="008D6F89"/>
    <w:rsid w:val="008D6FBE"/>
    <w:rsid w:val="008D6FE7"/>
    <w:rsid w:val="008D6FF9"/>
    <w:rsid w:val="008D7044"/>
    <w:rsid w:val="008D7076"/>
    <w:rsid w:val="008D7114"/>
    <w:rsid w:val="008D7163"/>
    <w:rsid w:val="008D7170"/>
    <w:rsid w:val="008D7198"/>
    <w:rsid w:val="008D71E2"/>
    <w:rsid w:val="008D7237"/>
    <w:rsid w:val="008D7294"/>
    <w:rsid w:val="008D730F"/>
    <w:rsid w:val="008D7326"/>
    <w:rsid w:val="008D7332"/>
    <w:rsid w:val="008D737C"/>
    <w:rsid w:val="008D73CF"/>
    <w:rsid w:val="008D7441"/>
    <w:rsid w:val="008D74D7"/>
    <w:rsid w:val="008D7558"/>
    <w:rsid w:val="008D7569"/>
    <w:rsid w:val="008D759B"/>
    <w:rsid w:val="008D75C7"/>
    <w:rsid w:val="008D75CD"/>
    <w:rsid w:val="008D75DE"/>
    <w:rsid w:val="008D7640"/>
    <w:rsid w:val="008D76AA"/>
    <w:rsid w:val="008D76B4"/>
    <w:rsid w:val="008D76DB"/>
    <w:rsid w:val="008D772F"/>
    <w:rsid w:val="008D7799"/>
    <w:rsid w:val="008D782A"/>
    <w:rsid w:val="008D7848"/>
    <w:rsid w:val="008D7889"/>
    <w:rsid w:val="008D789A"/>
    <w:rsid w:val="008D789E"/>
    <w:rsid w:val="008D78B6"/>
    <w:rsid w:val="008D7923"/>
    <w:rsid w:val="008D793D"/>
    <w:rsid w:val="008D797B"/>
    <w:rsid w:val="008D7986"/>
    <w:rsid w:val="008D79A8"/>
    <w:rsid w:val="008D79D5"/>
    <w:rsid w:val="008D7A2E"/>
    <w:rsid w:val="008D7A4B"/>
    <w:rsid w:val="008D7A9B"/>
    <w:rsid w:val="008D7AA0"/>
    <w:rsid w:val="008D7AD3"/>
    <w:rsid w:val="008D7ADA"/>
    <w:rsid w:val="008D7B0E"/>
    <w:rsid w:val="008D7B16"/>
    <w:rsid w:val="008D7B1D"/>
    <w:rsid w:val="008D7B5A"/>
    <w:rsid w:val="008D7B7A"/>
    <w:rsid w:val="008D7BAD"/>
    <w:rsid w:val="008D7BB7"/>
    <w:rsid w:val="008D7BD1"/>
    <w:rsid w:val="008D7C49"/>
    <w:rsid w:val="008D7C83"/>
    <w:rsid w:val="008D7C9D"/>
    <w:rsid w:val="008D7D2F"/>
    <w:rsid w:val="008D7DD0"/>
    <w:rsid w:val="008D7E54"/>
    <w:rsid w:val="008D7E5E"/>
    <w:rsid w:val="008D7E7F"/>
    <w:rsid w:val="008D7E82"/>
    <w:rsid w:val="008D7EF7"/>
    <w:rsid w:val="008D7F1E"/>
    <w:rsid w:val="008D7F92"/>
    <w:rsid w:val="008D7FA9"/>
    <w:rsid w:val="008D7FCD"/>
    <w:rsid w:val="008DF6D6"/>
    <w:rsid w:val="008E0012"/>
    <w:rsid w:val="008E006E"/>
    <w:rsid w:val="008E00BB"/>
    <w:rsid w:val="008E00BC"/>
    <w:rsid w:val="008E00E1"/>
    <w:rsid w:val="008E0129"/>
    <w:rsid w:val="008E0153"/>
    <w:rsid w:val="008E017D"/>
    <w:rsid w:val="008E0214"/>
    <w:rsid w:val="008E02CA"/>
    <w:rsid w:val="008E02CC"/>
    <w:rsid w:val="008E031D"/>
    <w:rsid w:val="008E03C7"/>
    <w:rsid w:val="008E03CB"/>
    <w:rsid w:val="008E03DC"/>
    <w:rsid w:val="008E03F4"/>
    <w:rsid w:val="008E045B"/>
    <w:rsid w:val="008E0474"/>
    <w:rsid w:val="008E047B"/>
    <w:rsid w:val="008E04AA"/>
    <w:rsid w:val="008E04F9"/>
    <w:rsid w:val="008E0553"/>
    <w:rsid w:val="008E05A5"/>
    <w:rsid w:val="008E05B9"/>
    <w:rsid w:val="008E05BA"/>
    <w:rsid w:val="008E05C0"/>
    <w:rsid w:val="008E05EF"/>
    <w:rsid w:val="008E05F8"/>
    <w:rsid w:val="008E0648"/>
    <w:rsid w:val="008E064A"/>
    <w:rsid w:val="008E06B8"/>
    <w:rsid w:val="008E06F5"/>
    <w:rsid w:val="008E0734"/>
    <w:rsid w:val="008E07A2"/>
    <w:rsid w:val="008E082B"/>
    <w:rsid w:val="008E0873"/>
    <w:rsid w:val="008E0891"/>
    <w:rsid w:val="008E089E"/>
    <w:rsid w:val="008E089F"/>
    <w:rsid w:val="008E08E8"/>
    <w:rsid w:val="008E095A"/>
    <w:rsid w:val="008E0973"/>
    <w:rsid w:val="008E097C"/>
    <w:rsid w:val="008E09E4"/>
    <w:rsid w:val="008E09E6"/>
    <w:rsid w:val="008E0A0B"/>
    <w:rsid w:val="008E0A1B"/>
    <w:rsid w:val="008E0A31"/>
    <w:rsid w:val="008E0A71"/>
    <w:rsid w:val="008E0A7D"/>
    <w:rsid w:val="008E0A81"/>
    <w:rsid w:val="008E0AC0"/>
    <w:rsid w:val="008E0B19"/>
    <w:rsid w:val="008E0B1B"/>
    <w:rsid w:val="008E0B47"/>
    <w:rsid w:val="008E0B4C"/>
    <w:rsid w:val="008E0B5C"/>
    <w:rsid w:val="008E0C58"/>
    <w:rsid w:val="008E0CAE"/>
    <w:rsid w:val="008E0CAF"/>
    <w:rsid w:val="008E0CC2"/>
    <w:rsid w:val="008E0CDA"/>
    <w:rsid w:val="008E0D0C"/>
    <w:rsid w:val="008E0D48"/>
    <w:rsid w:val="008E0D7C"/>
    <w:rsid w:val="008E0D7E"/>
    <w:rsid w:val="008E0DCE"/>
    <w:rsid w:val="008E0DDE"/>
    <w:rsid w:val="008E0E2D"/>
    <w:rsid w:val="008E0EB2"/>
    <w:rsid w:val="008E0EE3"/>
    <w:rsid w:val="008E0FA4"/>
    <w:rsid w:val="008E0FBA"/>
    <w:rsid w:val="008E0FD5"/>
    <w:rsid w:val="008E104C"/>
    <w:rsid w:val="008E1054"/>
    <w:rsid w:val="008E1072"/>
    <w:rsid w:val="008E108D"/>
    <w:rsid w:val="008E10A8"/>
    <w:rsid w:val="008E10CE"/>
    <w:rsid w:val="008E1150"/>
    <w:rsid w:val="008E1192"/>
    <w:rsid w:val="008E11A3"/>
    <w:rsid w:val="008E11A8"/>
    <w:rsid w:val="008E11DE"/>
    <w:rsid w:val="008E11E3"/>
    <w:rsid w:val="008E11FC"/>
    <w:rsid w:val="008E1229"/>
    <w:rsid w:val="008E125A"/>
    <w:rsid w:val="008E12EC"/>
    <w:rsid w:val="008E1307"/>
    <w:rsid w:val="008E135E"/>
    <w:rsid w:val="008E1378"/>
    <w:rsid w:val="008E137B"/>
    <w:rsid w:val="008E1399"/>
    <w:rsid w:val="008E1406"/>
    <w:rsid w:val="008E1463"/>
    <w:rsid w:val="008E1479"/>
    <w:rsid w:val="008E1487"/>
    <w:rsid w:val="008E14C2"/>
    <w:rsid w:val="008E14EB"/>
    <w:rsid w:val="008E1501"/>
    <w:rsid w:val="008E1537"/>
    <w:rsid w:val="008E15B5"/>
    <w:rsid w:val="008E15BB"/>
    <w:rsid w:val="008E15EC"/>
    <w:rsid w:val="008E1625"/>
    <w:rsid w:val="008E169C"/>
    <w:rsid w:val="008E16A9"/>
    <w:rsid w:val="008E16B8"/>
    <w:rsid w:val="008E16D8"/>
    <w:rsid w:val="008E1711"/>
    <w:rsid w:val="008E171F"/>
    <w:rsid w:val="008E1740"/>
    <w:rsid w:val="008E175E"/>
    <w:rsid w:val="008E183B"/>
    <w:rsid w:val="008E18B3"/>
    <w:rsid w:val="008E18EF"/>
    <w:rsid w:val="008E1912"/>
    <w:rsid w:val="008E1934"/>
    <w:rsid w:val="008E1935"/>
    <w:rsid w:val="008E1983"/>
    <w:rsid w:val="008E19B5"/>
    <w:rsid w:val="008E19C4"/>
    <w:rsid w:val="008E19C5"/>
    <w:rsid w:val="008E1A61"/>
    <w:rsid w:val="008E1ABA"/>
    <w:rsid w:val="008E1AF9"/>
    <w:rsid w:val="008E1B0A"/>
    <w:rsid w:val="008E1B11"/>
    <w:rsid w:val="008E1B52"/>
    <w:rsid w:val="008E1B63"/>
    <w:rsid w:val="008E1B72"/>
    <w:rsid w:val="008E1BDD"/>
    <w:rsid w:val="008E1C18"/>
    <w:rsid w:val="008E1C66"/>
    <w:rsid w:val="008E1CB4"/>
    <w:rsid w:val="008E1CFE"/>
    <w:rsid w:val="008E1D43"/>
    <w:rsid w:val="008E1DBC"/>
    <w:rsid w:val="008E1E33"/>
    <w:rsid w:val="008E1E49"/>
    <w:rsid w:val="008E1E9C"/>
    <w:rsid w:val="008E1EA5"/>
    <w:rsid w:val="008E1EB8"/>
    <w:rsid w:val="008E1EE7"/>
    <w:rsid w:val="008E1F52"/>
    <w:rsid w:val="008E1F90"/>
    <w:rsid w:val="008E1F9C"/>
    <w:rsid w:val="008E1FB2"/>
    <w:rsid w:val="008E1FFD"/>
    <w:rsid w:val="008E2009"/>
    <w:rsid w:val="008E201F"/>
    <w:rsid w:val="008E205D"/>
    <w:rsid w:val="008E2062"/>
    <w:rsid w:val="008E20DE"/>
    <w:rsid w:val="008E20FD"/>
    <w:rsid w:val="008E2103"/>
    <w:rsid w:val="008E2115"/>
    <w:rsid w:val="008E2127"/>
    <w:rsid w:val="008E2159"/>
    <w:rsid w:val="008E21B2"/>
    <w:rsid w:val="008E21CF"/>
    <w:rsid w:val="008E21E6"/>
    <w:rsid w:val="008E223B"/>
    <w:rsid w:val="008E2251"/>
    <w:rsid w:val="008E22BB"/>
    <w:rsid w:val="008E22BC"/>
    <w:rsid w:val="008E22DF"/>
    <w:rsid w:val="008E22E6"/>
    <w:rsid w:val="008E231F"/>
    <w:rsid w:val="008E235A"/>
    <w:rsid w:val="008E2395"/>
    <w:rsid w:val="008E23D5"/>
    <w:rsid w:val="008E240B"/>
    <w:rsid w:val="008E248A"/>
    <w:rsid w:val="008E24E1"/>
    <w:rsid w:val="008E252A"/>
    <w:rsid w:val="008E253D"/>
    <w:rsid w:val="008E258F"/>
    <w:rsid w:val="008E25F0"/>
    <w:rsid w:val="008E2624"/>
    <w:rsid w:val="008E2626"/>
    <w:rsid w:val="008E2639"/>
    <w:rsid w:val="008E263D"/>
    <w:rsid w:val="008E2652"/>
    <w:rsid w:val="008E26C7"/>
    <w:rsid w:val="008E272F"/>
    <w:rsid w:val="008E2742"/>
    <w:rsid w:val="008E2755"/>
    <w:rsid w:val="008E27BC"/>
    <w:rsid w:val="008E27CB"/>
    <w:rsid w:val="008E2816"/>
    <w:rsid w:val="008E286A"/>
    <w:rsid w:val="008E28DC"/>
    <w:rsid w:val="008E28E1"/>
    <w:rsid w:val="008E2913"/>
    <w:rsid w:val="008E2931"/>
    <w:rsid w:val="008E296C"/>
    <w:rsid w:val="008E29C9"/>
    <w:rsid w:val="008E29CE"/>
    <w:rsid w:val="008E29FD"/>
    <w:rsid w:val="008E2A39"/>
    <w:rsid w:val="008E2A4D"/>
    <w:rsid w:val="008E2A6B"/>
    <w:rsid w:val="008E2A7A"/>
    <w:rsid w:val="008E2B0D"/>
    <w:rsid w:val="008E2B5A"/>
    <w:rsid w:val="008E2BBD"/>
    <w:rsid w:val="008E2BDF"/>
    <w:rsid w:val="008E2C11"/>
    <w:rsid w:val="008E2C33"/>
    <w:rsid w:val="008E2C44"/>
    <w:rsid w:val="008E2C65"/>
    <w:rsid w:val="008E2C6F"/>
    <w:rsid w:val="008E2CD7"/>
    <w:rsid w:val="008E2D08"/>
    <w:rsid w:val="008E2D24"/>
    <w:rsid w:val="008E2D2C"/>
    <w:rsid w:val="008E2D49"/>
    <w:rsid w:val="008E2D4B"/>
    <w:rsid w:val="008E2D76"/>
    <w:rsid w:val="008E2E36"/>
    <w:rsid w:val="008E2E62"/>
    <w:rsid w:val="008E2E69"/>
    <w:rsid w:val="008E2E6A"/>
    <w:rsid w:val="008E2E71"/>
    <w:rsid w:val="008E2E9D"/>
    <w:rsid w:val="008E2EE6"/>
    <w:rsid w:val="008E2F0A"/>
    <w:rsid w:val="008E2F1A"/>
    <w:rsid w:val="008E2F29"/>
    <w:rsid w:val="008E2F69"/>
    <w:rsid w:val="008E2FD2"/>
    <w:rsid w:val="008E2FE0"/>
    <w:rsid w:val="008E2FE2"/>
    <w:rsid w:val="008E2FF0"/>
    <w:rsid w:val="008E2FF8"/>
    <w:rsid w:val="008E3072"/>
    <w:rsid w:val="008E3090"/>
    <w:rsid w:val="008E30A6"/>
    <w:rsid w:val="008E3114"/>
    <w:rsid w:val="008E31EC"/>
    <w:rsid w:val="008E320C"/>
    <w:rsid w:val="008E321E"/>
    <w:rsid w:val="008E3231"/>
    <w:rsid w:val="008E3241"/>
    <w:rsid w:val="008E3283"/>
    <w:rsid w:val="008E32E5"/>
    <w:rsid w:val="008E339D"/>
    <w:rsid w:val="008E33A8"/>
    <w:rsid w:val="008E33AF"/>
    <w:rsid w:val="008E33DA"/>
    <w:rsid w:val="008E33F1"/>
    <w:rsid w:val="008E3466"/>
    <w:rsid w:val="008E3495"/>
    <w:rsid w:val="008E34E6"/>
    <w:rsid w:val="008E3505"/>
    <w:rsid w:val="008E353D"/>
    <w:rsid w:val="008E3550"/>
    <w:rsid w:val="008E3637"/>
    <w:rsid w:val="008E3668"/>
    <w:rsid w:val="008E3674"/>
    <w:rsid w:val="008E36EA"/>
    <w:rsid w:val="008E3735"/>
    <w:rsid w:val="008E376D"/>
    <w:rsid w:val="008E379B"/>
    <w:rsid w:val="008E37B6"/>
    <w:rsid w:val="008E37BD"/>
    <w:rsid w:val="008E37D0"/>
    <w:rsid w:val="008E3808"/>
    <w:rsid w:val="008E3817"/>
    <w:rsid w:val="008E381B"/>
    <w:rsid w:val="008E386B"/>
    <w:rsid w:val="008E38C6"/>
    <w:rsid w:val="008E38CF"/>
    <w:rsid w:val="008E3947"/>
    <w:rsid w:val="008E3979"/>
    <w:rsid w:val="008E39CB"/>
    <w:rsid w:val="008E3A3E"/>
    <w:rsid w:val="008E3A3F"/>
    <w:rsid w:val="008E3A69"/>
    <w:rsid w:val="008E3AA2"/>
    <w:rsid w:val="008E3ACA"/>
    <w:rsid w:val="008E3B50"/>
    <w:rsid w:val="008E3B5C"/>
    <w:rsid w:val="008E3B69"/>
    <w:rsid w:val="008E3B73"/>
    <w:rsid w:val="008E3C77"/>
    <w:rsid w:val="008E3CAD"/>
    <w:rsid w:val="008E3CB0"/>
    <w:rsid w:val="008E3CBC"/>
    <w:rsid w:val="008E3CD4"/>
    <w:rsid w:val="008E3CD5"/>
    <w:rsid w:val="008E3CEE"/>
    <w:rsid w:val="008E3DA1"/>
    <w:rsid w:val="008E3DB1"/>
    <w:rsid w:val="008E3DB8"/>
    <w:rsid w:val="008E3E1A"/>
    <w:rsid w:val="008E3E7A"/>
    <w:rsid w:val="008E3E97"/>
    <w:rsid w:val="008E3EDB"/>
    <w:rsid w:val="008E3EF7"/>
    <w:rsid w:val="008E3F06"/>
    <w:rsid w:val="008E3F29"/>
    <w:rsid w:val="008E3F74"/>
    <w:rsid w:val="008E3FBD"/>
    <w:rsid w:val="008E3FCB"/>
    <w:rsid w:val="008E40A6"/>
    <w:rsid w:val="008E40C6"/>
    <w:rsid w:val="008E4180"/>
    <w:rsid w:val="008E418D"/>
    <w:rsid w:val="008E4215"/>
    <w:rsid w:val="008E4224"/>
    <w:rsid w:val="008E4238"/>
    <w:rsid w:val="008E423D"/>
    <w:rsid w:val="008E425D"/>
    <w:rsid w:val="008E42A1"/>
    <w:rsid w:val="008E432E"/>
    <w:rsid w:val="008E43C5"/>
    <w:rsid w:val="008E43C6"/>
    <w:rsid w:val="008E43CC"/>
    <w:rsid w:val="008E43F2"/>
    <w:rsid w:val="008E4430"/>
    <w:rsid w:val="008E4491"/>
    <w:rsid w:val="008E44F6"/>
    <w:rsid w:val="008E459E"/>
    <w:rsid w:val="008E462D"/>
    <w:rsid w:val="008E467F"/>
    <w:rsid w:val="008E4681"/>
    <w:rsid w:val="008E4731"/>
    <w:rsid w:val="008E4743"/>
    <w:rsid w:val="008E4758"/>
    <w:rsid w:val="008E4763"/>
    <w:rsid w:val="008E4768"/>
    <w:rsid w:val="008E47BB"/>
    <w:rsid w:val="008E47C6"/>
    <w:rsid w:val="008E47EA"/>
    <w:rsid w:val="008E4804"/>
    <w:rsid w:val="008E4894"/>
    <w:rsid w:val="008E48EB"/>
    <w:rsid w:val="008E48F5"/>
    <w:rsid w:val="008E4944"/>
    <w:rsid w:val="008E495E"/>
    <w:rsid w:val="008E4967"/>
    <w:rsid w:val="008E49A5"/>
    <w:rsid w:val="008E49B5"/>
    <w:rsid w:val="008E4A71"/>
    <w:rsid w:val="008E4A7E"/>
    <w:rsid w:val="008E4A93"/>
    <w:rsid w:val="008E4AA4"/>
    <w:rsid w:val="008E4AA8"/>
    <w:rsid w:val="008E4ABA"/>
    <w:rsid w:val="008E4AF0"/>
    <w:rsid w:val="008E4B60"/>
    <w:rsid w:val="008E4BD8"/>
    <w:rsid w:val="008E4C05"/>
    <w:rsid w:val="008E4C2C"/>
    <w:rsid w:val="008E4C36"/>
    <w:rsid w:val="008E4C3B"/>
    <w:rsid w:val="008E4C79"/>
    <w:rsid w:val="008E4C84"/>
    <w:rsid w:val="008E4CDC"/>
    <w:rsid w:val="008E4CF0"/>
    <w:rsid w:val="008E4D3F"/>
    <w:rsid w:val="008E4D84"/>
    <w:rsid w:val="008E4DF9"/>
    <w:rsid w:val="008E4E66"/>
    <w:rsid w:val="008E4E6C"/>
    <w:rsid w:val="008E4ED4"/>
    <w:rsid w:val="008E4F41"/>
    <w:rsid w:val="008E4F46"/>
    <w:rsid w:val="008E5054"/>
    <w:rsid w:val="008E506A"/>
    <w:rsid w:val="008E50B2"/>
    <w:rsid w:val="008E50C8"/>
    <w:rsid w:val="008E50D8"/>
    <w:rsid w:val="008E50EE"/>
    <w:rsid w:val="008E5128"/>
    <w:rsid w:val="008E517D"/>
    <w:rsid w:val="008E5180"/>
    <w:rsid w:val="008E51E1"/>
    <w:rsid w:val="008E52C5"/>
    <w:rsid w:val="008E5345"/>
    <w:rsid w:val="008E5424"/>
    <w:rsid w:val="008E546C"/>
    <w:rsid w:val="008E547B"/>
    <w:rsid w:val="008E54C3"/>
    <w:rsid w:val="008E5505"/>
    <w:rsid w:val="008E5533"/>
    <w:rsid w:val="008E554A"/>
    <w:rsid w:val="008E561F"/>
    <w:rsid w:val="008E567D"/>
    <w:rsid w:val="008E5686"/>
    <w:rsid w:val="008E56CB"/>
    <w:rsid w:val="008E56CD"/>
    <w:rsid w:val="008E5760"/>
    <w:rsid w:val="008E57A7"/>
    <w:rsid w:val="008E57B0"/>
    <w:rsid w:val="008E57DD"/>
    <w:rsid w:val="008E57E4"/>
    <w:rsid w:val="008E5838"/>
    <w:rsid w:val="008E5938"/>
    <w:rsid w:val="008E5A35"/>
    <w:rsid w:val="008E5B16"/>
    <w:rsid w:val="008E5B17"/>
    <w:rsid w:val="008E5B1F"/>
    <w:rsid w:val="008E5B36"/>
    <w:rsid w:val="008E5B6D"/>
    <w:rsid w:val="008E5BA5"/>
    <w:rsid w:val="008E5C33"/>
    <w:rsid w:val="008E5CDD"/>
    <w:rsid w:val="008E5CF8"/>
    <w:rsid w:val="008E5D0D"/>
    <w:rsid w:val="008E5D1F"/>
    <w:rsid w:val="008E5D2B"/>
    <w:rsid w:val="008E5D51"/>
    <w:rsid w:val="008E5D6A"/>
    <w:rsid w:val="008E5D93"/>
    <w:rsid w:val="008E5E1D"/>
    <w:rsid w:val="008E5E4B"/>
    <w:rsid w:val="008E5E4D"/>
    <w:rsid w:val="008E5E4F"/>
    <w:rsid w:val="008E5E7F"/>
    <w:rsid w:val="008E5E9F"/>
    <w:rsid w:val="008E5F94"/>
    <w:rsid w:val="008E5FA3"/>
    <w:rsid w:val="008E5FBB"/>
    <w:rsid w:val="008E5FC1"/>
    <w:rsid w:val="008E5FF5"/>
    <w:rsid w:val="008E605E"/>
    <w:rsid w:val="008E6070"/>
    <w:rsid w:val="008E6119"/>
    <w:rsid w:val="008E6136"/>
    <w:rsid w:val="008E619A"/>
    <w:rsid w:val="008E621D"/>
    <w:rsid w:val="008E6263"/>
    <w:rsid w:val="008E636A"/>
    <w:rsid w:val="008E6395"/>
    <w:rsid w:val="008E63A2"/>
    <w:rsid w:val="008E63E5"/>
    <w:rsid w:val="008E63E6"/>
    <w:rsid w:val="008E63F6"/>
    <w:rsid w:val="008E6423"/>
    <w:rsid w:val="008E642E"/>
    <w:rsid w:val="008E6448"/>
    <w:rsid w:val="008E6450"/>
    <w:rsid w:val="008E648A"/>
    <w:rsid w:val="008E656A"/>
    <w:rsid w:val="008E659E"/>
    <w:rsid w:val="008E65C6"/>
    <w:rsid w:val="008E6604"/>
    <w:rsid w:val="008E6619"/>
    <w:rsid w:val="008E6625"/>
    <w:rsid w:val="008E664E"/>
    <w:rsid w:val="008E66A5"/>
    <w:rsid w:val="008E673F"/>
    <w:rsid w:val="008E67EF"/>
    <w:rsid w:val="008E6804"/>
    <w:rsid w:val="008E6838"/>
    <w:rsid w:val="008E683D"/>
    <w:rsid w:val="008E6864"/>
    <w:rsid w:val="008E6884"/>
    <w:rsid w:val="008E6952"/>
    <w:rsid w:val="008E698C"/>
    <w:rsid w:val="008E69D0"/>
    <w:rsid w:val="008E6A1C"/>
    <w:rsid w:val="008E6A2E"/>
    <w:rsid w:val="008E6A4C"/>
    <w:rsid w:val="008E6A8B"/>
    <w:rsid w:val="008E6B59"/>
    <w:rsid w:val="008E6BC8"/>
    <w:rsid w:val="008E6C43"/>
    <w:rsid w:val="008E6C55"/>
    <w:rsid w:val="008E6C79"/>
    <w:rsid w:val="008E6DDC"/>
    <w:rsid w:val="008E6E0D"/>
    <w:rsid w:val="008E6E57"/>
    <w:rsid w:val="008E6E8E"/>
    <w:rsid w:val="008E6E9C"/>
    <w:rsid w:val="008E6EA2"/>
    <w:rsid w:val="008E6EBC"/>
    <w:rsid w:val="008E6EE1"/>
    <w:rsid w:val="008E6F3C"/>
    <w:rsid w:val="008E6F4E"/>
    <w:rsid w:val="008E6FA0"/>
    <w:rsid w:val="008E7001"/>
    <w:rsid w:val="008E7021"/>
    <w:rsid w:val="008E7045"/>
    <w:rsid w:val="008E704C"/>
    <w:rsid w:val="008E70B4"/>
    <w:rsid w:val="008E70D7"/>
    <w:rsid w:val="008E70ED"/>
    <w:rsid w:val="008E7118"/>
    <w:rsid w:val="008E714D"/>
    <w:rsid w:val="008E715B"/>
    <w:rsid w:val="008E71BF"/>
    <w:rsid w:val="008E7243"/>
    <w:rsid w:val="008E724D"/>
    <w:rsid w:val="008E7274"/>
    <w:rsid w:val="008E72B0"/>
    <w:rsid w:val="008E72B9"/>
    <w:rsid w:val="008E734E"/>
    <w:rsid w:val="008E73A3"/>
    <w:rsid w:val="008E73D4"/>
    <w:rsid w:val="008E7449"/>
    <w:rsid w:val="008E7486"/>
    <w:rsid w:val="008E749A"/>
    <w:rsid w:val="008E7541"/>
    <w:rsid w:val="008E7559"/>
    <w:rsid w:val="008E757F"/>
    <w:rsid w:val="008E758A"/>
    <w:rsid w:val="008E759D"/>
    <w:rsid w:val="008E759E"/>
    <w:rsid w:val="008E7603"/>
    <w:rsid w:val="008E765C"/>
    <w:rsid w:val="008E7682"/>
    <w:rsid w:val="008E76C0"/>
    <w:rsid w:val="008E76C6"/>
    <w:rsid w:val="008E76CD"/>
    <w:rsid w:val="008E771F"/>
    <w:rsid w:val="008E7727"/>
    <w:rsid w:val="008E774A"/>
    <w:rsid w:val="008E7773"/>
    <w:rsid w:val="008E779E"/>
    <w:rsid w:val="008E78BC"/>
    <w:rsid w:val="008E78E8"/>
    <w:rsid w:val="008E78EB"/>
    <w:rsid w:val="008E7904"/>
    <w:rsid w:val="008E790B"/>
    <w:rsid w:val="008E7949"/>
    <w:rsid w:val="008E7992"/>
    <w:rsid w:val="008E79AA"/>
    <w:rsid w:val="008E79F0"/>
    <w:rsid w:val="008E7A72"/>
    <w:rsid w:val="008E7A7F"/>
    <w:rsid w:val="008E7AC5"/>
    <w:rsid w:val="008E7B84"/>
    <w:rsid w:val="008E7B9C"/>
    <w:rsid w:val="008E7BB4"/>
    <w:rsid w:val="008E7BB8"/>
    <w:rsid w:val="008E7C1F"/>
    <w:rsid w:val="008E7C57"/>
    <w:rsid w:val="008E7C93"/>
    <w:rsid w:val="008E7C9E"/>
    <w:rsid w:val="008E7D6D"/>
    <w:rsid w:val="008E7D81"/>
    <w:rsid w:val="008E7D94"/>
    <w:rsid w:val="008E7DA4"/>
    <w:rsid w:val="008E7DB7"/>
    <w:rsid w:val="008E7E1B"/>
    <w:rsid w:val="008E7E3F"/>
    <w:rsid w:val="008E7EE1"/>
    <w:rsid w:val="008E7FB1"/>
    <w:rsid w:val="008E7FC4"/>
    <w:rsid w:val="008ED0C4"/>
    <w:rsid w:val="008F001A"/>
    <w:rsid w:val="008F0026"/>
    <w:rsid w:val="008F0045"/>
    <w:rsid w:val="008F0049"/>
    <w:rsid w:val="008F009A"/>
    <w:rsid w:val="008F00A1"/>
    <w:rsid w:val="008F0134"/>
    <w:rsid w:val="008F0149"/>
    <w:rsid w:val="008F014B"/>
    <w:rsid w:val="008F017B"/>
    <w:rsid w:val="008F01A9"/>
    <w:rsid w:val="008F01B7"/>
    <w:rsid w:val="008F024D"/>
    <w:rsid w:val="008F025A"/>
    <w:rsid w:val="008F026C"/>
    <w:rsid w:val="008F031D"/>
    <w:rsid w:val="008F0369"/>
    <w:rsid w:val="008F0371"/>
    <w:rsid w:val="008F038B"/>
    <w:rsid w:val="008F03C2"/>
    <w:rsid w:val="008F03D9"/>
    <w:rsid w:val="008F044F"/>
    <w:rsid w:val="008F04AE"/>
    <w:rsid w:val="008F04B6"/>
    <w:rsid w:val="008F04DD"/>
    <w:rsid w:val="008F053E"/>
    <w:rsid w:val="008F05B8"/>
    <w:rsid w:val="008F0666"/>
    <w:rsid w:val="008F069D"/>
    <w:rsid w:val="008F06AA"/>
    <w:rsid w:val="008F0749"/>
    <w:rsid w:val="008F0775"/>
    <w:rsid w:val="008F079C"/>
    <w:rsid w:val="008F07B4"/>
    <w:rsid w:val="008F07D8"/>
    <w:rsid w:val="008F0849"/>
    <w:rsid w:val="008F0892"/>
    <w:rsid w:val="008F0924"/>
    <w:rsid w:val="008F095A"/>
    <w:rsid w:val="008F0986"/>
    <w:rsid w:val="008F0A1B"/>
    <w:rsid w:val="008F0A48"/>
    <w:rsid w:val="008F0A6B"/>
    <w:rsid w:val="008F0AEC"/>
    <w:rsid w:val="008F0B4C"/>
    <w:rsid w:val="008F0B87"/>
    <w:rsid w:val="008F0BAE"/>
    <w:rsid w:val="008F0BB1"/>
    <w:rsid w:val="008F0CA4"/>
    <w:rsid w:val="008F0CE1"/>
    <w:rsid w:val="008F0CE3"/>
    <w:rsid w:val="008F0CF5"/>
    <w:rsid w:val="008F0CF8"/>
    <w:rsid w:val="008F0D3E"/>
    <w:rsid w:val="008F0DA3"/>
    <w:rsid w:val="008F0DF8"/>
    <w:rsid w:val="008F0E27"/>
    <w:rsid w:val="008F0F02"/>
    <w:rsid w:val="008F0F8B"/>
    <w:rsid w:val="008F0FD6"/>
    <w:rsid w:val="008F107B"/>
    <w:rsid w:val="008F108E"/>
    <w:rsid w:val="008F10E5"/>
    <w:rsid w:val="008F116B"/>
    <w:rsid w:val="008F1193"/>
    <w:rsid w:val="008F12A8"/>
    <w:rsid w:val="008F12F9"/>
    <w:rsid w:val="008F1319"/>
    <w:rsid w:val="008F1389"/>
    <w:rsid w:val="008F138A"/>
    <w:rsid w:val="008F13CF"/>
    <w:rsid w:val="008F13F8"/>
    <w:rsid w:val="008F141E"/>
    <w:rsid w:val="008F142B"/>
    <w:rsid w:val="008F1430"/>
    <w:rsid w:val="008F144D"/>
    <w:rsid w:val="008F149A"/>
    <w:rsid w:val="008F149B"/>
    <w:rsid w:val="008F14C5"/>
    <w:rsid w:val="008F14CA"/>
    <w:rsid w:val="008F14CC"/>
    <w:rsid w:val="008F14E9"/>
    <w:rsid w:val="008F150B"/>
    <w:rsid w:val="008F1542"/>
    <w:rsid w:val="008F1580"/>
    <w:rsid w:val="008F1584"/>
    <w:rsid w:val="008F158E"/>
    <w:rsid w:val="008F1621"/>
    <w:rsid w:val="008F1663"/>
    <w:rsid w:val="008F168B"/>
    <w:rsid w:val="008F16A5"/>
    <w:rsid w:val="008F16C4"/>
    <w:rsid w:val="008F16FE"/>
    <w:rsid w:val="008F1735"/>
    <w:rsid w:val="008F1743"/>
    <w:rsid w:val="008F174B"/>
    <w:rsid w:val="008F17AC"/>
    <w:rsid w:val="008F180E"/>
    <w:rsid w:val="008F181C"/>
    <w:rsid w:val="008F185A"/>
    <w:rsid w:val="008F191F"/>
    <w:rsid w:val="008F198E"/>
    <w:rsid w:val="008F1AE4"/>
    <w:rsid w:val="008F1AFA"/>
    <w:rsid w:val="008F1B17"/>
    <w:rsid w:val="008F1B5A"/>
    <w:rsid w:val="008F1BB9"/>
    <w:rsid w:val="008F1BBF"/>
    <w:rsid w:val="008F1C02"/>
    <w:rsid w:val="008F1C71"/>
    <w:rsid w:val="008F1CDE"/>
    <w:rsid w:val="008F1D15"/>
    <w:rsid w:val="008F1DEE"/>
    <w:rsid w:val="008F1E08"/>
    <w:rsid w:val="008F1F37"/>
    <w:rsid w:val="008F1F8C"/>
    <w:rsid w:val="008F1F9B"/>
    <w:rsid w:val="008F1FC3"/>
    <w:rsid w:val="008F1FCE"/>
    <w:rsid w:val="008F1FDB"/>
    <w:rsid w:val="008F1FDF"/>
    <w:rsid w:val="008F2042"/>
    <w:rsid w:val="008F204C"/>
    <w:rsid w:val="008F20C7"/>
    <w:rsid w:val="008F20D7"/>
    <w:rsid w:val="008F20EA"/>
    <w:rsid w:val="008F2108"/>
    <w:rsid w:val="008F213B"/>
    <w:rsid w:val="008F2163"/>
    <w:rsid w:val="008F216E"/>
    <w:rsid w:val="008F218D"/>
    <w:rsid w:val="008F21F1"/>
    <w:rsid w:val="008F2238"/>
    <w:rsid w:val="008F2251"/>
    <w:rsid w:val="008F2270"/>
    <w:rsid w:val="008F22AC"/>
    <w:rsid w:val="008F237C"/>
    <w:rsid w:val="008F237F"/>
    <w:rsid w:val="008F2382"/>
    <w:rsid w:val="008F23C8"/>
    <w:rsid w:val="008F23D1"/>
    <w:rsid w:val="008F242B"/>
    <w:rsid w:val="008F2431"/>
    <w:rsid w:val="008F243C"/>
    <w:rsid w:val="008F2478"/>
    <w:rsid w:val="008F2487"/>
    <w:rsid w:val="008F2497"/>
    <w:rsid w:val="008F24D6"/>
    <w:rsid w:val="008F2548"/>
    <w:rsid w:val="008F2553"/>
    <w:rsid w:val="008F255F"/>
    <w:rsid w:val="008F2560"/>
    <w:rsid w:val="008F259D"/>
    <w:rsid w:val="008F25A0"/>
    <w:rsid w:val="008F25F9"/>
    <w:rsid w:val="008F2622"/>
    <w:rsid w:val="008F263C"/>
    <w:rsid w:val="008F267F"/>
    <w:rsid w:val="008F26E1"/>
    <w:rsid w:val="008F271F"/>
    <w:rsid w:val="008F274E"/>
    <w:rsid w:val="008F27B4"/>
    <w:rsid w:val="008F27D7"/>
    <w:rsid w:val="008F27E3"/>
    <w:rsid w:val="008F28B1"/>
    <w:rsid w:val="008F28C2"/>
    <w:rsid w:val="008F2972"/>
    <w:rsid w:val="008F2974"/>
    <w:rsid w:val="008F298E"/>
    <w:rsid w:val="008F29AD"/>
    <w:rsid w:val="008F29E2"/>
    <w:rsid w:val="008F29EB"/>
    <w:rsid w:val="008F29ED"/>
    <w:rsid w:val="008F29F0"/>
    <w:rsid w:val="008F29F7"/>
    <w:rsid w:val="008F2A17"/>
    <w:rsid w:val="008F2A4B"/>
    <w:rsid w:val="008F2A81"/>
    <w:rsid w:val="008F2AAC"/>
    <w:rsid w:val="008F2AAD"/>
    <w:rsid w:val="008F2AC5"/>
    <w:rsid w:val="008F2AC6"/>
    <w:rsid w:val="008F2AE0"/>
    <w:rsid w:val="008F2AEA"/>
    <w:rsid w:val="008F2B10"/>
    <w:rsid w:val="008F2B41"/>
    <w:rsid w:val="008F2B56"/>
    <w:rsid w:val="008F2B74"/>
    <w:rsid w:val="008F2B7D"/>
    <w:rsid w:val="008F2C3A"/>
    <w:rsid w:val="008F2C71"/>
    <w:rsid w:val="008F2C86"/>
    <w:rsid w:val="008F2CA7"/>
    <w:rsid w:val="008F2CFD"/>
    <w:rsid w:val="008F2D1A"/>
    <w:rsid w:val="008F2D2D"/>
    <w:rsid w:val="008F2D3E"/>
    <w:rsid w:val="008F2D90"/>
    <w:rsid w:val="008F2E3A"/>
    <w:rsid w:val="008F2E4A"/>
    <w:rsid w:val="008F2EB3"/>
    <w:rsid w:val="008F2EC5"/>
    <w:rsid w:val="008F2ED9"/>
    <w:rsid w:val="008F2EDD"/>
    <w:rsid w:val="008F2F18"/>
    <w:rsid w:val="008F2F3F"/>
    <w:rsid w:val="008F2F54"/>
    <w:rsid w:val="008F2F90"/>
    <w:rsid w:val="008F2FAE"/>
    <w:rsid w:val="008F2FC2"/>
    <w:rsid w:val="008F2FCD"/>
    <w:rsid w:val="008F2FDA"/>
    <w:rsid w:val="008F303A"/>
    <w:rsid w:val="008F30C1"/>
    <w:rsid w:val="008F3159"/>
    <w:rsid w:val="008F315C"/>
    <w:rsid w:val="008F3188"/>
    <w:rsid w:val="008F31DB"/>
    <w:rsid w:val="008F3221"/>
    <w:rsid w:val="008F322D"/>
    <w:rsid w:val="008F323E"/>
    <w:rsid w:val="008F326A"/>
    <w:rsid w:val="008F3288"/>
    <w:rsid w:val="008F32B2"/>
    <w:rsid w:val="008F32B9"/>
    <w:rsid w:val="008F32C9"/>
    <w:rsid w:val="008F32E1"/>
    <w:rsid w:val="008F32EC"/>
    <w:rsid w:val="008F3330"/>
    <w:rsid w:val="008F33BC"/>
    <w:rsid w:val="008F345B"/>
    <w:rsid w:val="008F3509"/>
    <w:rsid w:val="008F3558"/>
    <w:rsid w:val="008F3568"/>
    <w:rsid w:val="008F3590"/>
    <w:rsid w:val="008F35A3"/>
    <w:rsid w:val="008F3613"/>
    <w:rsid w:val="008F3642"/>
    <w:rsid w:val="008F366D"/>
    <w:rsid w:val="008F3807"/>
    <w:rsid w:val="008F3917"/>
    <w:rsid w:val="008F3942"/>
    <w:rsid w:val="008F3987"/>
    <w:rsid w:val="008F39DF"/>
    <w:rsid w:val="008F39E5"/>
    <w:rsid w:val="008F3A0F"/>
    <w:rsid w:val="008F3A4E"/>
    <w:rsid w:val="008F3A71"/>
    <w:rsid w:val="008F3A97"/>
    <w:rsid w:val="008F3AC8"/>
    <w:rsid w:val="008F3B8C"/>
    <w:rsid w:val="008F3BA8"/>
    <w:rsid w:val="008F3BC9"/>
    <w:rsid w:val="008F3BD6"/>
    <w:rsid w:val="008F3C4A"/>
    <w:rsid w:val="008F3C5F"/>
    <w:rsid w:val="008F3C75"/>
    <w:rsid w:val="008F3CA2"/>
    <w:rsid w:val="008F3CAA"/>
    <w:rsid w:val="008F3CD3"/>
    <w:rsid w:val="008F3D00"/>
    <w:rsid w:val="008F3D45"/>
    <w:rsid w:val="008F3D77"/>
    <w:rsid w:val="008F3DB2"/>
    <w:rsid w:val="008F3DCB"/>
    <w:rsid w:val="008F3DE4"/>
    <w:rsid w:val="008F3DEB"/>
    <w:rsid w:val="008F3EB2"/>
    <w:rsid w:val="008F3F54"/>
    <w:rsid w:val="008F3F8F"/>
    <w:rsid w:val="008F3FB5"/>
    <w:rsid w:val="008F3FE6"/>
    <w:rsid w:val="008F4039"/>
    <w:rsid w:val="008F40D0"/>
    <w:rsid w:val="008F40E2"/>
    <w:rsid w:val="008F4183"/>
    <w:rsid w:val="008F418F"/>
    <w:rsid w:val="008F41A5"/>
    <w:rsid w:val="008F41B5"/>
    <w:rsid w:val="008F41B9"/>
    <w:rsid w:val="008F4227"/>
    <w:rsid w:val="008F4233"/>
    <w:rsid w:val="008F4267"/>
    <w:rsid w:val="008F428B"/>
    <w:rsid w:val="008F42CA"/>
    <w:rsid w:val="008F42ED"/>
    <w:rsid w:val="008F42F9"/>
    <w:rsid w:val="008F4326"/>
    <w:rsid w:val="008F436F"/>
    <w:rsid w:val="008F4371"/>
    <w:rsid w:val="008F4401"/>
    <w:rsid w:val="008F4471"/>
    <w:rsid w:val="008F449F"/>
    <w:rsid w:val="008F44D9"/>
    <w:rsid w:val="008F4535"/>
    <w:rsid w:val="008F4543"/>
    <w:rsid w:val="008F455B"/>
    <w:rsid w:val="008F458E"/>
    <w:rsid w:val="008F4595"/>
    <w:rsid w:val="008F45E6"/>
    <w:rsid w:val="008F4603"/>
    <w:rsid w:val="008F4616"/>
    <w:rsid w:val="008F462D"/>
    <w:rsid w:val="008F463F"/>
    <w:rsid w:val="008F4659"/>
    <w:rsid w:val="008F466E"/>
    <w:rsid w:val="008F475F"/>
    <w:rsid w:val="008F4787"/>
    <w:rsid w:val="008F47AC"/>
    <w:rsid w:val="008F47B1"/>
    <w:rsid w:val="008F481F"/>
    <w:rsid w:val="008F4847"/>
    <w:rsid w:val="008F48AE"/>
    <w:rsid w:val="008F48B8"/>
    <w:rsid w:val="008F48BA"/>
    <w:rsid w:val="008F48D2"/>
    <w:rsid w:val="008F4907"/>
    <w:rsid w:val="008F4923"/>
    <w:rsid w:val="008F49D0"/>
    <w:rsid w:val="008F49D3"/>
    <w:rsid w:val="008F49FD"/>
    <w:rsid w:val="008F4A4E"/>
    <w:rsid w:val="008F4AC4"/>
    <w:rsid w:val="008F4AC6"/>
    <w:rsid w:val="008F4B0E"/>
    <w:rsid w:val="008F4B2A"/>
    <w:rsid w:val="008F4B58"/>
    <w:rsid w:val="008F4B5D"/>
    <w:rsid w:val="008F4B65"/>
    <w:rsid w:val="008F4BA4"/>
    <w:rsid w:val="008F4BC0"/>
    <w:rsid w:val="008F4BC9"/>
    <w:rsid w:val="008F4C0A"/>
    <w:rsid w:val="008F4C68"/>
    <w:rsid w:val="008F4CBB"/>
    <w:rsid w:val="008F4CED"/>
    <w:rsid w:val="008F4CF4"/>
    <w:rsid w:val="008F4D18"/>
    <w:rsid w:val="008F4D60"/>
    <w:rsid w:val="008F4D7F"/>
    <w:rsid w:val="008F4E3F"/>
    <w:rsid w:val="008F4E6B"/>
    <w:rsid w:val="008F4E9C"/>
    <w:rsid w:val="008F4EBB"/>
    <w:rsid w:val="008F4F52"/>
    <w:rsid w:val="008F4F95"/>
    <w:rsid w:val="008F5003"/>
    <w:rsid w:val="008F5010"/>
    <w:rsid w:val="008F5075"/>
    <w:rsid w:val="008F50D1"/>
    <w:rsid w:val="008F50E8"/>
    <w:rsid w:val="008F5121"/>
    <w:rsid w:val="008F51DA"/>
    <w:rsid w:val="008F51F6"/>
    <w:rsid w:val="008F523B"/>
    <w:rsid w:val="008F523F"/>
    <w:rsid w:val="008F5267"/>
    <w:rsid w:val="008F52C0"/>
    <w:rsid w:val="008F52D1"/>
    <w:rsid w:val="008F52EB"/>
    <w:rsid w:val="008F52F5"/>
    <w:rsid w:val="008F5353"/>
    <w:rsid w:val="008F53B2"/>
    <w:rsid w:val="008F542D"/>
    <w:rsid w:val="008F5443"/>
    <w:rsid w:val="008F5463"/>
    <w:rsid w:val="008F5482"/>
    <w:rsid w:val="008F54E4"/>
    <w:rsid w:val="008F5519"/>
    <w:rsid w:val="008F5540"/>
    <w:rsid w:val="008F5567"/>
    <w:rsid w:val="008F55F5"/>
    <w:rsid w:val="008F560F"/>
    <w:rsid w:val="008F56A8"/>
    <w:rsid w:val="008F56D7"/>
    <w:rsid w:val="008F56DD"/>
    <w:rsid w:val="008F56F0"/>
    <w:rsid w:val="008F5702"/>
    <w:rsid w:val="008F573C"/>
    <w:rsid w:val="008F57BC"/>
    <w:rsid w:val="008F57D7"/>
    <w:rsid w:val="008F57FE"/>
    <w:rsid w:val="008F5841"/>
    <w:rsid w:val="008F5847"/>
    <w:rsid w:val="008F5867"/>
    <w:rsid w:val="008F586A"/>
    <w:rsid w:val="008F5874"/>
    <w:rsid w:val="008F589A"/>
    <w:rsid w:val="008F58B1"/>
    <w:rsid w:val="008F5904"/>
    <w:rsid w:val="008F593D"/>
    <w:rsid w:val="008F59A6"/>
    <w:rsid w:val="008F59BA"/>
    <w:rsid w:val="008F59CD"/>
    <w:rsid w:val="008F5A8B"/>
    <w:rsid w:val="008F5A8E"/>
    <w:rsid w:val="008F5A9A"/>
    <w:rsid w:val="008F5AD8"/>
    <w:rsid w:val="008F5B53"/>
    <w:rsid w:val="008F5BAC"/>
    <w:rsid w:val="008F5BDE"/>
    <w:rsid w:val="008F5C6D"/>
    <w:rsid w:val="008F5C7E"/>
    <w:rsid w:val="008F5C89"/>
    <w:rsid w:val="008F5CD0"/>
    <w:rsid w:val="008F5D0F"/>
    <w:rsid w:val="008F5D80"/>
    <w:rsid w:val="008F5DCC"/>
    <w:rsid w:val="008F5DE7"/>
    <w:rsid w:val="008F5E42"/>
    <w:rsid w:val="008F5E83"/>
    <w:rsid w:val="008F5E93"/>
    <w:rsid w:val="008F5EB3"/>
    <w:rsid w:val="008F5F0A"/>
    <w:rsid w:val="008F5F0D"/>
    <w:rsid w:val="008F5F15"/>
    <w:rsid w:val="008F5F3B"/>
    <w:rsid w:val="008F5F5B"/>
    <w:rsid w:val="008F5F77"/>
    <w:rsid w:val="008F5F92"/>
    <w:rsid w:val="008F5FD5"/>
    <w:rsid w:val="008F6002"/>
    <w:rsid w:val="008F6005"/>
    <w:rsid w:val="008F6056"/>
    <w:rsid w:val="008F606A"/>
    <w:rsid w:val="008F608F"/>
    <w:rsid w:val="008F60E6"/>
    <w:rsid w:val="008F6108"/>
    <w:rsid w:val="008F61F2"/>
    <w:rsid w:val="008F6266"/>
    <w:rsid w:val="008F6297"/>
    <w:rsid w:val="008F634E"/>
    <w:rsid w:val="008F636C"/>
    <w:rsid w:val="008F638F"/>
    <w:rsid w:val="008F639A"/>
    <w:rsid w:val="008F63A4"/>
    <w:rsid w:val="008F63C3"/>
    <w:rsid w:val="008F63EB"/>
    <w:rsid w:val="008F63F2"/>
    <w:rsid w:val="008F643A"/>
    <w:rsid w:val="008F6465"/>
    <w:rsid w:val="008F6486"/>
    <w:rsid w:val="008F649F"/>
    <w:rsid w:val="008F6579"/>
    <w:rsid w:val="008F6612"/>
    <w:rsid w:val="008F665F"/>
    <w:rsid w:val="008F6675"/>
    <w:rsid w:val="008F667C"/>
    <w:rsid w:val="008F66C0"/>
    <w:rsid w:val="008F66DD"/>
    <w:rsid w:val="008F66FF"/>
    <w:rsid w:val="008F6713"/>
    <w:rsid w:val="008F6763"/>
    <w:rsid w:val="008F67BC"/>
    <w:rsid w:val="008F67C0"/>
    <w:rsid w:val="008F684D"/>
    <w:rsid w:val="008F6854"/>
    <w:rsid w:val="008F68AE"/>
    <w:rsid w:val="008F68BA"/>
    <w:rsid w:val="008F691F"/>
    <w:rsid w:val="008F694B"/>
    <w:rsid w:val="008F6965"/>
    <w:rsid w:val="008F69A2"/>
    <w:rsid w:val="008F69AB"/>
    <w:rsid w:val="008F69AE"/>
    <w:rsid w:val="008F6A26"/>
    <w:rsid w:val="008F6A30"/>
    <w:rsid w:val="008F6A45"/>
    <w:rsid w:val="008F6AA7"/>
    <w:rsid w:val="008F6AB6"/>
    <w:rsid w:val="008F6ACB"/>
    <w:rsid w:val="008F6B1B"/>
    <w:rsid w:val="008F6B7D"/>
    <w:rsid w:val="008F6BC9"/>
    <w:rsid w:val="008F6C8F"/>
    <w:rsid w:val="008F6CEC"/>
    <w:rsid w:val="008F6DED"/>
    <w:rsid w:val="008F6E51"/>
    <w:rsid w:val="008F6E53"/>
    <w:rsid w:val="008F6E86"/>
    <w:rsid w:val="008F6E97"/>
    <w:rsid w:val="008F6F3D"/>
    <w:rsid w:val="008F6F6D"/>
    <w:rsid w:val="008F6FB7"/>
    <w:rsid w:val="008F6FC0"/>
    <w:rsid w:val="008F6FDC"/>
    <w:rsid w:val="008F7004"/>
    <w:rsid w:val="008F7007"/>
    <w:rsid w:val="008F7027"/>
    <w:rsid w:val="008F709F"/>
    <w:rsid w:val="008F70DB"/>
    <w:rsid w:val="008F70EA"/>
    <w:rsid w:val="008F7164"/>
    <w:rsid w:val="008F71B1"/>
    <w:rsid w:val="008F71C8"/>
    <w:rsid w:val="008F71D0"/>
    <w:rsid w:val="008F71FA"/>
    <w:rsid w:val="008F7202"/>
    <w:rsid w:val="008F7236"/>
    <w:rsid w:val="008F7262"/>
    <w:rsid w:val="008F7265"/>
    <w:rsid w:val="008F7316"/>
    <w:rsid w:val="008F7379"/>
    <w:rsid w:val="008F73A7"/>
    <w:rsid w:val="008F73B3"/>
    <w:rsid w:val="008F73E3"/>
    <w:rsid w:val="008F73F5"/>
    <w:rsid w:val="008F7418"/>
    <w:rsid w:val="008F746E"/>
    <w:rsid w:val="008F74D2"/>
    <w:rsid w:val="008F758A"/>
    <w:rsid w:val="008F75C4"/>
    <w:rsid w:val="008F7657"/>
    <w:rsid w:val="008F7664"/>
    <w:rsid w:val="008F7673"/>
    <w:rsid w:val="008F76A8"/>
    <w:rsid w:val="008F7714"/>
    <w:rsid w:val="008F7739"/>
    <w:rsid w:val="008F777F"/>
    <w:rsid w:val="008F77E3"/>
    <w:rsid w:val="008F7866"/>
    <w:rsid w:val="008F7871"/>
    <w:rsid w:val="008F788F"/>
    <w:rsid w:val="008F78DC"/>
    <w:rsid w:val="008F794E"/>
    <w:rsid w:val="008F7A0A"/>
    <w:rsid w:val="008F7A58"/>
    <w:rsid w:val="008F7ADA"/>
    <w:rsid w:val="008F7B1F"/>
    <w:rsid w:val="008F7B32"/>
    <w:rsid w:val="008F7B3B"/>
    <w:rsid w:val="008F7BB5"/>
    <w:rsid w:val="008F7BE0"/>
    <w:rsid w:val="008F7C24"/>
    <w:rsid w:val="008F7C2B"/>
    <w:rsid w:val="008F7D2D"/>
    <w:rsid w:val="008F7D3C"/>
    <w:rsid w:val="008F7D5C"/>
    <w:rsid w:val="008F7D72"/>
    <w:rsid w:val="008F7D76"/>
    <w:rsid w:val="008F7DD2"/>
    <w:rsid w:val="008F7E35"/>
    <w:rsid w:val="008F7E7A"/>
    <w:rsid w:val="008F7EFB"/>
    <w:rsid w:val="008F7F12"/>
    <w:rsid w:val="008F7F64"/>
    <w:rsid w:val="008F7F9A"/>
    <w:rsid w:val="008F7FBC"/>
    <w:rsid w:val="008F7FC0"/>
    <w:rsid w:val="008F9338"/>
    <w:rsid w:val="008F93EF"/>
    <w:rsid w:val="009000B4"/>
    <w:rsid w:val="00900120"/>
    <w:rsid w:val="009001E3"/>
    <w:rsid w:val="0090022B"/>
    <w:rsid w:val="0090026D"/>
    <w:rsid w:val="009002B6"/>
    <w:rsid w:val="00900305"/>
    <w:rsid w:val="0090037C"/>
    <w:rsid w:val="009003DF"/>
    <w:rsid w:val="009003E9"/>
    <w:rsid w:val="009003FD"/>
    <w:rsid w:val="0090041F"/>
    <w:rsid w:val="009004A2"/>
    <w:rsid w:val="00900523"/>
    <w:rsid w:val="0090056A"/>
    <w:rsid w:val="009005E3"/>
    <w:rsid w:val="0090066E"/>
    <w:rsid w:val="009006A5"/>
    <w:rsid w:val="009006C6"/>
    <w:rsid w:val="009006CD"/>
    <w:rsid w:val="0090072C"/>
    <w:rsid w:val="0090073C"/>
    <w:rsid w:val="00900792"/>
    <w:rsid w:val="0090079E"/>
    <w:rsid w:val="009007D4"/>
    <w:rsid w:val="00900811"/>
    <w:rsid w:val="00900875"/>
    <w:rsid w:val="009008C0"/>
    <w:rsid w:val="009008C6"/>
    <w:rsid w:val="009008F7"/>
    <w:rsid w:val="00900915"/>
    <w:rsid w:val="00900918"/>
    <w:rsid w:val="00900951"/>
    <w:rsid w:val="009009DE"/>
    <w:rsid w:val="00900A2B"/>
    <w:rsid w:val="00900A60"/>
    <w:rsid w:val="00900A89"/>
    <w:rsid w:val="00900A9D"/>
    <w:rsid w:val="00900B78"/>
    <w:rsid w:val="00900B84"/>
    <w:rsid w:val="00900B97"/>
    <w:rsid w:val="00900BB7"/>
    <w:rsid w:val="00900C1C"/>
    <w:rsid w:val="00900C70"/>
    <w:rsid w:val="00900C99"/>
    <w:rsid w:val="00900D1A"/>
    <w:rsid w:val="00900D41"/>
    <w:rsid w:val="00900D84"/>
    <w:rsid w:val="00900DBA"/>
    <w:rsid w:val="00900DCF"/>
    <w:rsid w:val="00900E26"/>
    <w:rsid w:val="00900E3A"/>
    <w:rsid w:val="00900E43"/>
    <w:rsid w:val="00900E4C"/>
    <w:rsid w:val="00900E7D"/>
    <w:rsid w:val="00900E9B"/>
    <w:rsid w:val="00900EA5"/>
    <w:rsid w:val="00900EAD"/>
    <w:rsid w:val="00900ECD"/>
    <w:rsid w:val="00900EE4"/>
    <w:rsid w:val="00900F04"/>
    <w:rsid w:val="00900F37"/>
    <w:rsid w:val="00900F59"/>
    <w:rsid w:val="00900F64"/>
    <w:rsid w:val="00900F71"/>
    <w:rsid w:val="00900F75"/>
    <w:rsid w:val="00900FB4"/>
    <w:rsid w:val="00900FE9"/>
    <w:rsid w:val="0090104F"/>
    <w:rsid w:val="0090106D"/>
    <w:rsid w:val="009010EE"/>
    <w:rsid w:val="009010F4"/>
    <w:rsid w:val="0090110B"/>
    <w:rsid w:val="0090113F"/>
    <w:rsid w:val="0090119F"/>
    <w:rsid w:val="009011B8"/>
    <w:rsid w:val="009011F6"/>
    <w:rsid w:val="009012E9"/>
    <w:rsid w:val="009012FF"/>
    <w:rsid w:val="00901311"/>
    <w:rsid w:val="00901327"/>
    <w:rsid w:val="00901367"/>
    <w:rsid w:val="009013FD"/>
    <w:rsid w:val="0090141B"/>
    <w:rsid w:val="00901459"/>
    <w:rsid w:val="009014F8"/>
    <w:rsid w:val="00901523"/>
    <w:rsid w:val="00901599"/>
    <w:rsid w:val="0090159F"/>
    <w:rsid w:val="0090161B"/>
    <w:rsid w:val="0090168E"/>
    <w:rsid w:val="0090169A"/>
    <w:rsid w:val="009016B1"/>
    <w:rsid w:val="009016E7"/>
    <w:rsid w:val="00901738"/>
    <w:rsid w:val="0090176D"/>
    <w:rsid w:val="0090177E"/>
    <w:rsid w:val="00901844"/>
    <w:rsid w:val="00901854"/>
    <w:rsid w:val="009018B9"/>
    <w:rsid w:val="009018DB"/>
    <w:rsid w:val="009018E7"/>
    <w:rsid w:val="009018FD"/>
    <w:rsid w:val="00901981"/>
    <w:rsid w:val="009019E7"/>
    <w:rsid w:val="00901A05"/>
    <w:rsid w:val="00901A36"/>
    <w:rsid w:val="00901A85"/>
    <w:rsid w:val="00901AC0"/>
    <w:rsid w:val="00901AE6"/>
    <w:rsid w:val="00901AE7"/>
    <w:rsid w:val="00901B41"/>
    <w:rsid w:val="00901BF5"/>
    <w:rsid w:val="00901C02"/>
    <w:rsid w:val="00901C1D"/>
    <w:rsid w:val="00901C3C"/>
    <w:rsid w:val="00901C81"/>
    <w:rsid w:val="00901C92"/>
    <w:rsid w:val="00901CD9"/>
    <w:rsid w:val="00901D07"/>
    <w:rsid w:val="00901D15"/>
    <w:rsid w:val="00901D56"/>
    <w:rsid w:val="00901D73"/>
    <w:rsid w:val="00901D99"/>
    <w:rsid w:val="00901DBD"/>
    <w:rsid w:val="00901E1D"/>
    <w:rsid w:val="00901E4A"/>
    <w:rsid w:val="00901E51"/>
    <w:rsid w:val="00901E66"/>
    <w:rsid w:val="00901EC9"/>
    <w:rsid w:val="00901EE2"/>
    <w:rsid w:val="00901F0B"/>
    <w:rsid w:val="00901F6E"/>
    <w:rsid w:val="00901FA3"/>
    <w:rsid w:val="00901FA4"/>
    <w:rsid w:val="00901FFF"/>
    <w:rsid w:val="00902067"/>
    <w:rsid w:val="00902071"/>
    <w:rsid w:val="009020E7"/>
    <w:rsid w:val="0090210B"/>
    <w:rsid w:val="0090215B"/>
    <w:rsid w:val="009021C9"/>
    <w:rsid w:val="009021D9"/>
    <w:rsid w:val="009021EE"/>
    <w:rsid w:val="00902253"/>
    <w:rsid w:val="0090226A"/>
    <w:rsid w:val="009022B1"/>
    <w:rsid w:val="009022FE"/>
    <w:rsid w:val="00902366"/>
    <w:rsid w:val="0090238A"/>
    <w:rsid w:val="009023CC"/>
    <w:rsid w:val="00902402"/>
    <w:rsid w:val="00902465"/>
    <w:rsid w:val="0090246E"/>
    <w:rsid w:val="0090249C"/>
    <w:rsid w:val="009024BA"/>
    <w:rsid w:val="009024C9"/>
    <w:rsid w:val="009024CA"/>
    <w:rsid w:val="009024D1"/>
    <w:rsid w:val="00902538"/>
    <w:rsid w:val="00902550"/>
    <w:rsid w:val="0090257D"/>
    <w:rsid w:val="009025B1"/>
    <w:rsid w:val="0090262A"/>
    <w:rsid w:val="009026E5"/>
    <w:rsid w:val="009027DF"/>
    <w:rsid w:val="009027E5"/>
    <w:rsid w:val="00902856"/>
    <w:rsid w:val="0090285F"/>
    <w:rsid w:val="00902893"/>
    <w:rsid w:val="009028C7"/>
    <w:rsid w:val="009028E9"/>
    <w:rsid w:val="00902976"/>
    <w:rsid w:val="0090298A"/>
    <w:rsid w:val="009029E9"/>
    <w:rsid w:val="00902A10"/>
    <w:rsid w:val="00902A19"/>
    <w:rsid w:val="00902A66"/>
    <w:rsid w:val="00902AAD"/>
    <w:rsid w:val="00902B4F"/>
    <w:rsid w:val="00902B76"/>
    <w:rsid w:val="00902C09"/>
    <w:rsid w:val="00902C5A"/>
    <w:rsid w:val="00902C62"/>
    <w:rsid w:val="00902C84"/>
    <w:rsid w:val="00902D31"/>
    <w:rsid w:val="00902D81"/>
    <w:rsid w:val="00902D97"/>
    <w:rsid w:val="00902DB7"/>
    <w:rsid w:val="00902DF1"/>
    <w:rsid w:val="00902DFA"/>
    <w:rsid w:val="00902E0C"/>
    <w:rsid w:val="00902E2D"/>
    <w:rsid w:val="00902E57"/>
    <w:rsid w:val="00902E5B"/>
    <w:rsid w:val="00902EA2"/>
    <w:rsid w:val="00902EBB"/>
    <w:rsid w:val="00902EE5"/>
    <w:rsid w:val="00902EEB"/>
    <w:rsid w:val="00902F5A"/>
    <w:rsid w:val="00902FF4"/>
    <w:rsid w:val="0090300C"/>
    <w:rsid w:val="00903048"/>
    <w:rsid w:val="00903078"/>
    <w:rsid w:val="0090308D"/>
    <w:rsid w:val="00903094"/>
    <w:rsid w:val="009030B5"/>
    <w:rsid w:val="009030C1"/>
    <w:rsid w:val="009030D0"/>
    <w:rsid w:val="0090312F"/>
    <w:rsid w:val="00903154"/>
    <w:rsid w:val="00903156"/>
    <w:rsid w:val="009031A3"/>
    <w:rsid w:val="00903219"/>
    <w:rsid w:val="00903278"/>
    <w:rsid w:val="0090327D"/>
    <w:rsid w:val="009032D6"/>
    <w:rsid w:val="009032F7"/>
    <w:rsid w:val="009032FF"/>
    <w:rsid w:val="00903301"/>
    <w:rsid w:val="00903311"/>
    <w:rsid w:val="00903363"/>
    <w:rsid w:val="00903372"/>
    <w:rsid w:val="0090339B"/>
    <w:rsid w:val="0090339F"/>
    <w:rsid w:val="009033C5"/>
    <w:rsid w:val="00903407"/>
    <w:rsid w:val="00903413"/>
    <w:rsid w:val="00903482"/>
    <w:rsid w:val="009034AE"/>
    <w:rsid w:val="009034D3"/>
    <w:rsid w:val="009034D4"/>
    <w:rsid w:val="00903515"/>
    <w:rsid w:val="009035A1"/>
    <w:rsid w:val="0090362E"/>
    <w:rsid w:val="0090366D"/>
    <w:rsid w:val="009036CE"/>
    <w:rsid w:val="009036DE"/>
    <w:rsid w:val="009037A0"/>
    <w:rsid w:val="009038A9"/>
    <w:rsid w:val="009038C4"/>
    <w:rsid w:val="009038DE"/>
    <w:rsid w:val="0090390B"/>
    <w:rsid w:val="00903A02"/>
    <w:rsid w:val="00903A0A"/>
    <w:rsid w:val="00903A52"/>
    <w:rsid w:val="00903A66"/>
    <w:rsid w:val="00903A7D"/>
    <w:rsid w:val="00903B08"/>
    <w:rsid w:val="00903B64"/>
    <w:rsid w:val="00903BAE"/>
    <w:rsid w:val="00903C04"/>
    <w:rsid w:val="00903C07"/>
    <w:rsid w:val="00903C1C"/>
    <w:rsid w:val="00903C2C"/>
    <w:rsid w:val="00903C2D"/>
    <w:rsid w:val="00903CAB"/>
    <w:rsid w:val="00903D41"/>
    <w:rsid w:val="00903D6B"/>
    <w:rsid w:val="00903D8A"/>
    <w:rsid w:val="00903E00"/>
    <w:rsid w:val="00903E08"/>
    <w:rsid w:val="00903E56"/>
    <w:rsid w:val="00903E62"/>
    <w:rsid w:val="00903E6B"/>
    <w:rsid w:val="00903EB7"/>
    <w:rsid w:val="00903EBC"/>
    <w:rsid w:val="00903EC6"/>
    <w:rsid w:val="00903EE5"/>
    <w:rsid w:val="00903F5B"/>
    <w:rsid w:val="00903F69"/>
    <w:rsid w:val="00903FC9"/>
    <w:rsid w:val="00904003"/>
    <w:rsid w:val="0090400C"/>
    <w:rsid w:val="00904024"/>
    <w:rsid w:val="00904030"/>
    <w:rsid w:val="00904084"/>
    <w:rsid w:val="0090409B"/>
    <w:rsid w:val="009040D1"/>
    <w:rsid w:val="009040E1"/>
    <w:rsid w:val="00904121"/>
    <w:rsid w:val="0090418E"/>
    <w:rsid w:val="00904270"/>
    <w:rsid w:val="009042A7"/>
    <w:rsid w:val="009042B2"/>
    <w:rsid w:val="00904304"/>
    <w:rsid w:val="00904377"/>
    <w:rsid w:val="009043B2"/>
    <w:rsid w:val="009043F7"/>
    <w:rsid w:val="00904405"/>
    <w:rsid w:val="00904407"/>
    <w:rsid w:val="00904418"/>
    <w:rsid w:val="00904464"/>
    <w:rsid w:val="009044AB"/>
    <w:rsid w:val="009044C8"/>
    <w:rsid w:val="009045AB"/>
    <w:rsid w:val="00904689"/>
    <w:rsid w:val="009046A4"/>
    <w:rsid w:val="009046B6"/>
    <w:rsid w:val="009046B7"/>
    <w:rsid w:val="009046C6"/>
    <w:rsid w:val="00904751"/>
    <w:rsid w:val="009047E4"/>
    <w:rsid w:val="0090485D"/>
    <w:rsid w:val="00904954"/>
    <w:rsid w:val="00904979"/>
    <w:rsid w:val="00904A48"/>
    <w:rsid w:val="00904A52"/>
    <w:rsid w:val="00904AB6"/>
    <w:rsid w:val="00904AF1"/>
    <w:rsid w:val="00904B00"/>
    <w:rsid w:val="00904B1B"/>
    <w:rsid w:val="00904B4F"/>
    <w:rsid w:val="00904B54"/>
    <w:rsid w:val="00904B62"/>
    <w:rsid w:val="00904BBE"/>
    <w:rsid w:val="00904BE1"/>
    <w:rsid w:val="00904C56"/>
    <w:rsid w:val="00904C8E"/>
    <w:rsid w:val="00904C8F"/>
    <w:rsid w:val="00904D47"/>
    <w:rsid w:val="00904D68"/>
    <w:rsid w:val="00904D91"/>
    <w:rsid w:val="00904DCA"/>
    <w:rsid w:val="00904DED"/>
    <w:rsid w:val="00904DF6"/>
    <w:rsid w:val="00904E15"/>
    <w:rsid w:val="00904EB8"/>
    <w:rsid w:val="00904EC3"/>
    <w:rsid w:val="00904EEF"/>
    <w:rsid w:val="00904F04"/>
    <w:rsid w:val="00904F76"/>
    <w:rsid w:val="00904F95"/>
    <w:rsid w:val="00904FAF"/>
    <w:rsid w:val="00904FB5"/>
    <w:rsid w:val="00904FD4"/>
    <w:rsid w:val="00904FDA"/>
    <w:rsid w:val="0090500C"/>
    <w:rsid w:val="00905015"/>
    <w:rsid w:val="00905018"/>
    <w:rsid w:val="00905058"/>
    <w:rsid w:val="0090509A"/>
    <w:rsid w:val="009050A9"/>
    <w:rsid w:val="00905115"/>
    <w:rsid w:val="0090511E"/>
    <w:rsid w:val="00905121"/>
    <w:rsid w:val="009051A5"/>
    <w:rsid w:val="009051D7"/>
    <w:rsid w:val="009051DF"/>
    <w:rsid w:val="009051E9"/>
    <w:rsid w:val="009051ED"/>
    <w:rsid w:val="00905233"/>
    <w:rsid w:val="0090527E"/>
    <w:rsid w:val="00905299"/>
    <w:rsid w:val="009052FE"/>
    <w:rsid w:val="0090541E"/>
    <w:rsid w:val="00905479"/>
    <w:rsid w:val="0090549B"/>
    <w:rsid w:val="009054A6"/>
    <w:rsid w:val="009054C6"/>
    <w:rsid w:val="00905525"/>
    <w:rsid w:val="00905532"/>
    <w:rsid w:val="0090557D"/>
    <w:rsid w:val="00905599"/>
    <w:rsid w:val="009055B7"/>
    <w:rsid w:val="009055E8"/>
    <w:rsid w:val="009055F3"/>
    <w:rsid w:val="00905632"/>
    <w:rsid w:val="00905671"/>
    <w:rsid w:val="009056D3"/>
    <w:rsid w:val="00905735"/>
    <w:rsid w:val="009057ED"/>
    <w:rsid w:val="009057EF"/>
    <w:rsid w:val="0090580E"/>
    <w:rsid w:val="00905854"/>
    <w:rsid w:val="00905880"/>
    <w:rsid w:val="00905934"/>
    <w:rsid w:val="00905945"/>
    <w:rsid w:val="00905968"/>
    <w:rsid w:val="009059F7"/>
    <w:rsid w:val="009059FD"/>
    <w:rsid w:val="00905A2D"/>
    <w:rsid w:val="00905A34"/>
    <w:rsid w:val="00905A5D"/>
    <w:rsid w:val="00905AC1"/>
    <w:rsid w:val="00905AF5"/>
    <w:rsid w:val="00905B00"/>
    <w:rsid w:val="00905B12"/>
    <w:rsid w:val="00905B20"/>
    <w:rsid w:val="00905B3C"/>
    <w:rsid w:val="00905B9B"/>
    <w:rsid w:val="00905BD2"/>
    <w:rsid w:val="00905BE2"/>
    <w:rsid w:val="00905C08"/>
    <w:rsid w:val="00905C43"/>
    <w:rsid w:val="00905D03"/>
    <w:rsid w:val="00905D6F"/>
    <w:rsid w:val="00905DE3"/>
    <w:rsid w:val="00905DF0"/>
    <w:rsid w:val="00905E26"/>
    <w:rsid w:val="00905EC3"/>
    <w:rsid w:val="00905EE1"/>
    <w:rsid w:val="00905EED"/>
    <w:rsid w:val="00905EF4"/>
    <w:rsid w:val="00905F25"/>
    <w:rsid w:val="00905F4F"/>
    <w:rsid w:val="0090604D"/>
    <w:rsid w:val="00906059"/>
    <w:rsid w:val="0090606E"/>
    <w:rsid w:val="00906080"/>
    <w:rsid w:val="009060B8"/>
    <w:rsid w:val="0090610B"/>
    <w:rsid w:val="00906169"/>
    <w:rsid w:val="009061B0"/>
    <w:rsid w:val="0090621A"/>
    <w:rsid w:val="00906282"/>
    <w:rsid w:val="009062AC"/>
    <w:rsid w:val="00906300"/>
    <w:rsid w:val="0090630D"/>
    <w:rsid w:val="0090631E"/>
    <w:rsid w:val="009063C6"/>
    <w:rsid w:val="009063D4"/>
    <w:rsid w:val="009063DC"/>
    <w:rsid w:val="0090642A"/>
    <w:rsid w:val="00906441"/>
    <w:rsid w:val="009064A0"/>
    <w:rsid w:val="009064DE"/>
    <w:rsid w:val="0090651B"/>
    <w:rsid w:val="0090652D"/>
    <w:rsid w:val="00906538"/>
    <w:rsid w:val="0090653C"/>
    <w:rsid w:val="009065B2"/>
    <w:rsid w:val="009065DD"/>
    <w:rsid w:val="009065F6"/>
    <w:rsid w:val="00906613"/>
    <w:rsid w:val="00906666"/>
    <w:rsid w:val="009066C0"/>
    <w:rsid w:val="00906700"/>
    <w:rsid w:val="00906738"/>
    <w:rsid w:val="0090675C"/>
    <w:rsid w:val="00906778"/>
    <w:rsid w:val="0090677B"/>
    <w:rsid w:val="00906822"/>
    <w:rsid w:val="009068E1"/>
    <w:rsid w:val="009068F9"/>
    <w:rsid w:val="00906908"/>
    <w:rsid w:val="00906924"/>
    <w:rsid w:val="0090695D"/>
    <w:rsid w:val="0090696C"/>
    <w:rsid w:val="00906980"/>
    <w:rsid w:val="00906987"/>
    <w:rsid w:val="009069B2"/>
    <w:rsid w:val="00906A2B"/>
    <w:rsid w:val="00906A8F"/>
    <w:rsid w:val="00906A94"/>
    <w:rsid w:val="00906AB1"/>
    <w:rsid w:val="00906AF0"/>
    <w:rsid w:val="00906B08"/>
    <w:rsid w:val="00906B2C"/>
    <w:rsid w:val="00906B7F"/>
    <w:rsid w:val="00906BF2"/>
    <w:rsid w:val="00906C0B"/>
    <w:rsid w:val="00906C14"/>
    <w:rsid w:val="00906C53"/>
    <w:rsid w:val="00906C80"/>
    <w:rsid w:val="00906D29"/>
    <w:rsid w:val="00906E0F"/>
    <w:rsid w:val="00906E4A"/>
    <w:rsid w:val="00906E69"/>
    <w:rsid w:val="00906E6E"/>
    <w:rsid w:val="00906E7F"/>
    <w:rsid w:val="00906E9A"/>
    <w:rsid w:val="00906ED4"/>
    <w:rsid w:val="00906F36"/>
    <w:rsid w:val="00906F38"/>
    <w:rsid w:val="00906F4E"/>
    <w:rsid w:val="00906F65"/>
    <w:rsid w:val="00906FAC"/>
    <w:rsid w:val="00906FBB"/>
    <w:rsid w:val="00906FBD"/>
    <w:rsid w:val="00907049"/>
    <w:rsid w:val="0090704D"/>
    <w:rsid w:val="00907052"/>
    <w:rsid w:val="00907063"/>
    <w:rsid w:val="00907067"/>
    <w:rsid w:val="009070FA"/>
    <w:rsid w:val="0090712A"/>
    <w:rsid w:val="0090712C"/>
    <w:rsid w:val="0090725E"/>
    <w:rsid w:val="00907270"/>
    <w:rsid w:val="0090731F"/>
    <w:rsid w:val="00907344"/>
    <w:rsid w:val="009073BF"/>
    <w:rsid w:val="009073DC"/>
    <w:rsid w:val="0090741F"/>
    <w:rsid w:val="009074D1"/>
    <w:rsid w:val="00907513"/>
    <w:rsid w:val="0090752A"/>
    <w:rsid w:val="00907558"/>
    <w:rsid w:val="0090755A"/>
    <w:rsid w:val="009075BC"/>
    <w:rsid w:val="009075CC"/>
    <w:rsid w:val="00907658"/>
    <w:rsid w:val="00907686"/>
    <w:rsid w:val="00907763"/>
    <w:rsid w:val="00907785"/>
    <w:rsid w:val="0090779D"/>
    <w:rsid w:val="009077F6"/>
    <w:rsid w:val="00907842"/>
    <w:rsid w:val="00907855"/>
    <w:rsid w:val="00907877"/>
    <w:rsid w:val="009078CA"/>
    <w:rsid w:val="0090792A"/>
    <w:rsid w:val="00907936"/>
    <w:rsid w:val="00907957"/>
    <w:rsid w:val="0090797A"/>
    <w:rsid w:val="009079A1"/>
    <w:rsid w:val="009079BB"/>
    <w:rsid w:val="009079C3"/>
    <w:rsid w:val="009079E1"/>
    <w:rsid w:val="00907A4A"/>
    <w:rsid w:val="00907AE4"/>
    <w:rsid w:val="00907B17"/>
    <w:rsid w:val="00907BB3"/>
    <w:rsid w:val="00907BC7"/>
    <w:rsid w:val="00907BC8"/>
    <w:rsid w:val="00907C51"/>
    <w:rsid w:val="00907CD5"/>
    <w:rsid w:val="00907CE4"/>
    <w:rsid w:val="00907CFE"/>
    <w:rsid w:val="00907D2F"/>
    <w:rsid w:val="00907D3A"/>
    <w:rsid w:val="00907D8A"/>
    <w:rsid w:val="00907D92"/>
    <w:rsid w:val="00907DAE"/>
    <w:rsid w:val="00907DE9"/>
    <w:rsid w:val="00907E28"/>
    <w:rsid w:val="00907E61"/>
    <w:rsid w:val="00907E6F"/>
    <w:rsid w:val="00907E79"/>
    <w:rsid w:val="00907E8C"/>
    <w:rsid w:val="00907E95"/>
    <w:rsid w:val="00907EF7"/>
    <w:rsid w:val="00907EFD"/>
    <w:rsid w:val="00907F2B"/>
    <w:rsid w:val="00907F73"/>
    <w:rsid w:val="00907F89"/>
    <w:rsid w:val="00907FB8"/>
    <w:rsid w:val="00907FF7"/>
    <w:rsid w:val="0091002D"/>
    <w:rsid w:val="0091004F"/>
    <w:rsid w:val="009100D2"/>
    <w:rsid w:val="009100D3"/>
    <w:rsid w:val="00910110"/>
    <w:rsid w:val="009101C8"/>
    <w:rsid w:val="00910209"/>
    <w:rsid w:val="00910308"/>
    <w:rsid w:val="009103C1"/>
    <w:rsid w:val="009103F0"/>
    <w:rsid w:val="00910412"/>
    <w:rsid w:val="00910453"/>
    <w:rsid w:val="0091052B"/>
    <w:rsid w:val="00910563"/>
    <w:rsid w:val="009105AF"/>
    <w:rsid w:val="009105B9"/>
    <w:rsid w:val="009105BA"/>
    <w:rsid w:val="0091060A"/>
    <w:rsid w:val="00910644"/>
    <w:rsid w:val="0091066B"/>
    <w:rsid w:val="0091069B"/>
    <w:rsid w:val="009106C3"/>
    <w:rsid w:val="0091073D"/>
    <w:rsid w:val="00910741"/>
    <w:rsid w:val="0091076A"/>
    <w:rsid w:val="00910792"/>
    <w:rsid w:val="00910799"/>
    <w:rsid w:val="009107BE"/>
    <w:rsid w:val="009107DC"/>
    <w:rsid w:val="0091086B"/>
    <w:rsid w:val="00910924"/>
    <w:rsid w:val="0091093D"/>
    <w:rsid w:val="00910979"/>
    <w:rsid w:val="009109A4"/>
    <w:rsid w:val="009109AC"/>
    <w:rsid w:val="009109EE"/>
    <w:rsid w:val="009109EF"/>
    <w:rsid w:val="009109F1"/>
    <w:rsid w:val="00910A08"/>
    <w:rsid w:val="00910A49"/>
    <w:rsid w:val="00910A69"/>
    <w:rsid w:val="00910B12"/>
    <w:rsid w:val="00910B19"/>
    <w:rsid w:val="00910BE6"/>
    <w:rsid w:val="00910C22"/>
    <w:rsid w:val="00910CBE"/>
    <w:rsid w:val="00910CC1"/>
    <w:rsid w:val="00910CE5"/>
    <w:rsid w:val="00910CF9"/>
    <w:rsid w:val="00910D2C"/>
    <w:rsid w:val="00910D2D"/>
    <w:rsid w:val="00910D6A"/>
    <w:rsid w:val="00910D77"/>
    <w:rsid w:val="00910DC1"/>
    <w:rsid w:val="00910E29"/>
    <w:rsid w:val="00910E63"/>
    <w:rsid w:val="00910EBC"/>
    <w:rsid w:val="00910EF5"/>
    <w:rsid w:val="00910F5C"/>
    <w:rsid w:val="00910F80"/>
    <w:rsid w:val="00910FAB"/>
    <w:rsid w:val="00910FB2"/>
    <w:rsid w:val="00910FCE"/>
    <w:rsid w:val="00910FFA"/>
    <w:rsid w:val="0091101B"/>
    <w:rsid w:val="0091105E"/>
    <w:rsid w:val="009110CA"/>
    <w:rsid w:val="00911107"/>
    <w:rsid w:val="0091110F"/>
    <w:rsid w:val="00911131"/>
    <w:rsid w:val="0091115D"/>
    <w:rsid w:val="009111B1"/>
    <w:rsid w:val="009111E9"/>
    <w:rsid w:val="0091121A"/>
    <w:rsid w:val="0091121C"/>
    <w:rsid w:val="00911238"/>
    <w:rsid w:val="00911246"/>
    <w:rsid w:val="0091124C"/>
    <w:rsid w:val="00911252"/>
    <w:rsid w:val="00911255"/>
    <w:rsid w:val="009112C2"/>
    <w:rsid w:val="009112D6"/>
    <w:rsid w:val="00911310"/>
    <w:rsid w:val="0091135B"/>
    <w:rsid w:val="00911399"/>
    <w:rsid w:val="009113CA"/>
    <w:rsid w:val="009113E3"/>
    <w:rsid w:val="00911404"/>
    <w:rsid w:val="00911416"/>
    <w:rsid w:val="00911426"/>
    <w:rsid w:val="0091142C"/>
    <w:rsid w:val="00911434"/>
    <w:rsid w:val="00911459"/>
    <w:rsid w:val="0091145D"/>
    <w:rsid w:val="009114A9"/>
    <w:rsid w:val="009114DA"/>
    <w:rsid w:val="009114DD"/>
    <w:rsid w:val="009114F2"/>
    <w:rsid w:val="0091150C"/>
    <w:rsid w:val="00911537"/>
    <w:rsid w:val="009115AF"/>
    <w:rsid w:val="009115BC"/>
    <w:rsid w:val="009115E9"/>
    <w:rsid w:val="0091162B"/>
    <w:rsid w:val="00911630"/>
    <w:rsid w:val="0091163C"/>
    <w:rsid w:val="009116A5"/>
    <w:rsid w:val="009116BB"/>
    <w:rsid w:val="009116EE"/>
    <w:rsid w:val="00911789"/>
    <w:rsid w:val="009117A5"/>
    <w:rsid w:val="009117C4"/>
    <w:rsid w:val="009117E3"/>
    <w:rsid w:val="00911854"/>
    <w:rsid w:val="009118C7"/>
    <w:rsid w:val="009118E1"/>
    <w:rsid w:val="009118F7"/>
    <w:rsid w:val="009118FB"/>
    <w:rsid w:val="00911935"/>
    <w:rsid w:val="00911964"/>
    <w:rsid w:val="0091198F"/>
    <w:rsid w:val="009119AA"/>
    <w:rsid w:val="009119CC"/>
    <w:rsid w:val="009119E8"/>
    <w:rsid w:val="00911A54"/>
    <w:rsid w:val="00911A66"/>
    <w:rsid w:val="00911A78"/>
    <w:rsid w:val="00911A89"/>
    <w:rsid w:val="00911AC1"/>
    <w:rsid w:val="00911AD6"/>
    <w:rsid w:val="00911AE0"/>
    <w:rsid w:val="00911B32"/>
    <w:rsid w:val="00911B60"/>
    <w:rsid w:val="00911C21"/>
    <w:rsid w:val="00911C3B"/>
    <w:rsid w:val="00911C4F"/>
    <w:rsid w:val="00911CE4"/>
    <w:rsid w:val="00911D03"/>
    <w:rsid w:val="00911D46"/>
    <w:rsid w:val="00911DAA"/>
    <w:rsid w:val="00911DE5"/>
    <w:rsid w:val="00911E22"/>
    <w:rsid w:val="00911E80"/>
    <w:rsid w:val="00911EA4"/>
    <w:rsid w:val="00911F0F"/>
    <w:rsid w:val="00911F3E"/>
    <w:rsid w:val="00911F42"/>
    <w:rsid w:val="00911FF9"/>
    <w:rsid w:val="0091200D"/>
    <w:rsid w:val="00912065"/>
    <w:rsid w:val="009120C6"/>
    <w:rsid w:val="00912139"/>
    <w:rsid w:val="00912226"/>
    <w:rsid w:val="00912230"/>
    <w:rsid w:val="00912234"/>
    <w:rsid w:val="0091225D"/>
    <w:rsid w:val="00912277"/>
    <w:rsid w:val="0091232D"/>
    <w:rsid w:val="0091233C"/>
    <w:rsid w:val="0091233F"/>
    <w:rsid w:val="00912356"/>
    <w:rsid w:val="0091235F"/>
    <w:rsid w:val="0091238D"/>
    <w:rsid w:val="009123D2"/>
    <w:rsid w:val="009123FC"/>
    <w:rsid w:val="00912419"/>
    <w:rsid w:val="0091242E"/>
    <w:rsid w:val="0091243F"/>
    <w:rsid w:val="00912455"/>
    <w:rsid w:val="009124BA"/>
    <w:rsid w:val="00912522"/>
    <w:rsid w:val="0091254C"/>
    <w:rsid w:val="00912575"/>
    <w:rsid w:val="009125A1"/>
    <w:rsid w:val="009125C0"/>
    <w:rsid w:val="009125EA"/>
    <w:rsid w:val="0091260F"/>
    <w:rsid w:val="00912613"/>
    <w:rsid w:val="00912630"/>
    <w:rsid w:val="009126B0"/>
    <w:rsid w:val="009126D5"/>
    <w:rsid w:val="009126E3"/>
    <w:rsid w:val="009126E7"/>
    <w:rsid w:val="009126ED"/>
    <w:rsid w:val="00912730"/>
    <w:rsid w:val="00912740"/>
    <w:rsid w:val="00912797"/>
    <w:rsid w:val="009127BA"/>
    <w:rsid w:val="009127C1"/>
    <w:rsid w:val="00912843"/>
    <w:rsid w:val="0091288A"/>
    <w:rsid w:val="00912894"/>
    <w:rsid w:val="009128D4"/>
    <w:rsid w:val="0091293A"/>
    <w:rsid w:val="0091295F"/>
    <w:rsid w:val="00912975"/>
    <w:rsid w:val="009129EE"/>
    <w:rsid w:val="009129FA"/>
    <w:rsid w:val="009129FD"/>
    <w:rsid w:val="00912A29"/>
    <w:rsid w:val="00912A4A"/>
    <w:rsid w:val="00912A62"/>
    <w:rsid w:val="00912B33"/>
    <w:rsid w:val="00912B5C"/>
    <w:rsid w:val="00912B8F"/>
    <w:rsid w:val="00912BCF"/>
    <w:rsid w:val="00912BF3"/>
    <w:rsid w:val="00912C6E"/>
    <w:rsid w:val="00912C7B"/>
    <w:rsid w:val="00912D0B"/>
    <w:rsid w:val="00912D2B"/>
    <w:rsid w:val="00912E05"/>
    <w:rsid w:val="00912E48"/>
    <w:rsid w:val="00912E65"/>
    <w:rsid w:val="00912E9E"/>
    <w:rsid w:val="00912EBB"/>
    <w:rsid w:val="00912EDC"/>
    <w:rsid w:val="00912EF3"/>
    <w:rsid w:val="00912F59"/>
    <w:rsid w:val="00912F82"/>
    <w:rsid w:val="00912FBC"/>
    <w:rsid w:val="00912FD0"/>
    <w:rsid w:val="00912FEF"/>
    <w:rsid w:val="00913006"/>
    <w:rsid w:val="00913027"/>
    <w:rsid w:val="00913057"/>
    <w:rsid w:val="00913079"/>
    <w:rsid w:val="0091309D"/>
    <w:rsid w:val="009130AC"/>
    <w:rsid w:val="009130BF"/>
    <w:rsid w:val="00913120"/>
    <w:rsid w:val="0091317A"/>
    <w:rsid w:val="009131A5"/>
    <w:rsid w:val="00913212"/>
    <w:rsid w:val="00913216"/>
    <w:rsid w:val="0091327E"/>
    <w:rsid w:val="009132F3"/>
    <w:rsid w:val="00913333"/>
    <w:rsid w:val="0091336E"/>
    <w:rsid w:val="00913394"/>
    <w:rsid w:val="009133A9"/>
    <w:rsid w:val="009133DC"/>
    <w:rsid w:val="009133FA"/>
    <w:rsid w:val="00913403"/>
    <w:rsid w:val="0091340D"/>
    <w:rsid w:val="00913420"/>
    <w:rsid w:val="0091343C"/>
    <w:rsid w:val="00913449"/>
    <w:rsid w:val="00913454"/>
    <w:rsid w:val="0091349D"/>
    <w:rsid w:val="009134EE"/>
    <w:rsid w:val="0091350D"/>
    <w:rsid w:val="00913578"/>
    <w:rsid w:val="009135F6"/>
    <w:rsid w:val="00913619"/>
    <w:rsid w:val="00913636"/>
    <w:rsid w:val="0091365F"/>
    <w:rsid w:val="00913669"/>
    <w:rsid w:val="009136F8"/>
    <w:rsid w:val="00913708"/>
    <w:rsid w:val="0091371A"/>
    <w:rsid w:val="0091373C"/>
    <w:rsid w:val="0091373F"/>
    <w:rsid w:val="00913765"/>
    <w:rsid w:val="00913798"/>
    <w:rsid w:val="00913824"/>
    <w:rsid w:val="0091382D"/>
    <w:rsid w:val="00913833"/>
    <w:rsid w:val="00913899"/>
    <w:rsid w:val="009138C2"/>
    <w:rsid w:val="00913916"/>
    <w:rsid w:val="00913921"/>
    <w:rsid w:val="0091397A"/>
    <w:rsid w:val="00913997"/>
    <w:rsid w:val="00913A11"/>
    <w:rsid w:val="00913A32"/>
    <w:rsid w:val="00913A37"/>
    <w:rsid w:val="00913A8A"/>
    <w:rsid w:val="00913A98"/>
    <w:rsid w:val="00913A9C"/>
    <w:rsid w:val="00913B28"/>
    <w:rsid w:val="00913B40"/>
    <w:rsid w:val="00913B4D"/>
    <w:rsid w:val="00913B53"/>
    <w:rsid w:val="00913B72"/>
    <w:rsid w:val="00913B8A"/>
    <w:rsid w:val="00913BF8"/>
    <w:rsid w:val="00913C09"/>
    <w:rsid w:val="00913C36"/>
    <w:rsid w:val="00913C43"/>
    <w:rsid w:val="00913CC2"/>
    <w:rsid w:val="00913CED"/>
    <w:rsid w:val="00913D10"/>
    <w:rsid w:val="00913D1A"/>
    <w:rsid w:val="00913DCB"/>
    <w:rsid w:val="00913DE2"/>
    <w:rsid w:val="00913DEC"/>
    <w:rsid w:val="00913DF0"/>
    <w:rsid w:val="00913EB0"/>
    <w:rsid w:val="00913F04"/>
    <w:rsid w:val="00913F42"/>
    <w:rsid w:val="00913FA9"/>
    <w:rsid w:val="00913FD2"/>
    <w:rsid w:val="00913FF7"/>
    <w:rsid w:val="0091403E"/>
    <w:rsid w:val="00914068"/>
    <w:rsid w:val="0091407E"/>
    <w:rsid w:val="00914106"/>
    <w:rsid w:val="0091410D"/>
    <w:rsid w:val="00914123"/>
    <w:rsid w:val="00914146"/>
    <w:rsid w:val="0091417E"/>
    <w:rsid w:val="009141C4"/>
    <w:rsid w:val="009141F6"/>
    <w:rsid w:val="00914205"/>
    <w:rsid w:val="0091422B"/>
    <w:rsid w:val="0091429F"/>
    <w:rsid w:val="009142B3"/>
    <w:rsid w:val="009142B8"/>
    <w:rsid w:val="009142F3"/>
    <w:rsid w:val="00914345"/>
    <w:rsid w:val="0091434C"/>
    <w:rsid w:val="00914378"/>
    <w:rsid w:val="00914478"/>
    <w:rsid w:val="00914485"/>
    <w:rsid w:val="00914487"/>
    <w:rsid w:val="00914503"/>
    <w:rsid w:val="00914526"/>
    <w:rsid w:val="0091452A"/>
    <w:rsid w:val="0091453C"/>
    <w:rsid w:val="0091456C"/>
    <w:rsid w:val="00914578"/>
    <w:rsid w:val="009145F3"/>
    <w:rsid w:val="0091460D"/>
    <w:rsid w:val="00914685"/>
    <w:rsid w:val="0091468A"/>
    <w:rsid w:val="009146B6"/>
    <w:rsid w:val="00914751"/>
    <w:rsid w:val="00914756"/>
    <w:rsid w:val="0091476B"/>
    <w:rsid w:val="009147F3"/>
    <w:rsid w:val="0091480B"/>
    <w:rsid w:val="0091482F"/>
    <w:rsid w:val="009148DF"/>
    <w:rsid w:val="009148E3"/>
    <w:rsid w:val="00914929"/>
    <w:rsid w:val="00914978"/>
    <w:rsid w:val="009149DB"/>
    <w:rsid w:val="00914A28"/>
    <w:rsid w:val="00914A5C"/>
    <w:rsid w:val="00914ACA"/>
    <w:rsid w:val="00914AF9"/>
    <w:rsid w:val="00914AFB"/>
    <w:rsid w:val="00914B53"/>
    <w:rsid w:val="00914B87"/>
    <w:rsid w:val="00914BBB"/>
    <w:rsid w:val="00914BFE"/>
    <w:rsid w:val="00914C14"/>
    <w:rsid w:val="00914C20"/>
    <w:rsid w:val="00914C3D"/>
    <w:rsid w:val="00914C52"/>
    <w:rsid w:val="00914C64"/>
    <w:rsid w:val="00914C80"/>
    <w:rsid w:val="00914CB1"/>
    <w:rsid w:val="00914CBB"/>
    <w:rsid w:val="00914DCC"/>
    <w:rsid w:val="00914E04"/>
    <w:rsid w:val="00914E24"/>
    <w:rsid w:val="00914E2A"/>
    <w:rsid w:val="00914E43"/>
    <w:rsid w:val="00914E70"/>
    <w:rsid w:val="00914E86"/>
    <w:rsid w:val="00914E9E"/>
    <w:rsid w:val="00914F20"/>
    <w:rsid w:val="00914F5D"/>
    <w:rsid w:val="00914F72"/>
    <w:rsid w:val="00914FA7"/>
    <w:rsid w:val="00914FD9"/>
    <w:rsid w:val="00914FE8"/>
    <w:rsid w:val="00914FF3"/>
    <w:rsid w:val="0091501B"/>
    <w:rsid w:val="00915024"/>
    <w:rsid w:val="00915049"/>
    <w:rsid w:val="00915078"/>
    <w:rsid w:val="00915111"/>
    <w:rsid w:val="0091512C"/>
    <w:rsid w:val="00915132"/>
    <w:rsid w:val="00915245"/>
    <w:rsid w:val="00915254"/>
    <w:rsid w:val="0091526E"/>
    <w:rsid w:val="0091527A"/>
    <w:rsid w:val="0091528A"/>
    <w:rsid w:val="00915291"/>
    <w:rsid w:val="009152C4"/>
    <w:rsid w:val="009152CE"/>
    <w:rsid w:val="009152E2"/>
    <w:rsid w:val="00915353"/>
    <w:rsid w:val="0091537E"/>
    <w:rsid w:val="009153DC"/>
    <w:rsid w:val="009153DE"/>
    <w:rsid w:val="009154AC"/>
    <w:rsid w:val="00915503"/>
    <w:rsid w:val="00915558"/>
    <w:rsid w:val="00915583"/>
    <w:rsid w:val="009155E3"/>
    <w:rsid w:val="009155E8"/>
    <w:rsid w:val="009155E9"/>
    <w:rsid w:val="009155EC"/>
    <w:rsid w:val="00915603"/>
    <w:rsid w:val="0091564B"/>
    <w:rsid w:val="00915689"/>
    <w:rsid w:val="009156E9"/>
    <w:rsid w:val="00915740"/>
    <w:rsid w:val="009157E7"/>
    <w:rsid w:val="00915865"/>
    <w:rsid w:val="0091587D"/>
    <w:rsid w:val="009158BC"/>
    <w:rsid w:val="009158C7"/>
    <w:rsid w:val="009158DA"/>
    <w:rsid w:val="00915960"/>
    <w:rsid w:val="00915972"/>
    <w:rsid w:val="009159AC"/>
    <w:rsid w:val="009159CA"/>
    <w:rsid w:val="009159EA"/>
    <w:rsid w:val="00915A2A"/>
    <w:rsid w:val="00915A83"/>
    <w:rsid w:val="00915BEA"/>
    <w:rsid w:val="00915BFE"/>
    <w:rsid w:val="00915C16"/>
    <w:rsid w:val="00915C45"/>
    <w:rsid w:val="00915C82"/>
    <w:rsid w:val="00915D19"/>
    <w:rsid w:val="00915D2F"/>
    <w:rsid w:val="00915D6E"/>
    <w:rsid w:val="00915D74"/>
    <w:rsid w:val="00915D77"/>
    <w:rsid w:val="00915DA3"/>
    <w:rsid w:val="00915DE3"/>
    <w:rsid w:val="00915E21"/>
    <w:rsid w:val="00915E47"/>
    <w:rsid w:val="00915EB4"/>
    <w:rsid w:val="00915F06"/>
    <w:rsid w:val="00915F14"/>
    <w:rsid w:val="00915F48"/>
    <w:rsid w:val="00915F72"/>
    <w:rsid w:val="00915FA3"/>
    <w:rsid w:val="00916019"/>
    <w:rsid w:val="00916025"/>
    <w:rsid w:val="009160DD"/>
    <w:rsid w:val="009160F2"/>
    <w:rsid w:val="009161A3"/>
    <w:rsid w:val="009161DC"/>
    <w:rsid w:val="009161F4"/>
    <w:rsid w:val="009161F6"/>
    <w:rsid w:val="00916224"/>
    <w:rsid w:val="00916274"/>
    <w:rsid w:val="00916285"/>
    <w:rsid w:val="00916288"/>
    <w:rsid w:val="009162C0"/>
    <w:rsid w:val="009162E0"/>
    <w:rsid w:val="0091636F"/>
    <w:rsid w:val="009163AA"/>
    <w:rsid w:val="00916448"/>
    <w:rsid w:val="00916452"/>
    <w:rsid w:val="00916455"/>
    <w:rsid w:val="00916465"/>
    <w:rsid w:val="00916477"/>
    <w:rsid w:val="009164A5"/>
    <w:rsid w:val="009164B2"/>
    <w:rsid w:val="009165BC"/>
    <w:rsid w:val="009165C9"/>
    <w:rsid w:val="00916657"/>
    <w:rsid w:val="00916660"/>
    <w:rsid w:val="0091666E"/>
    <w:rsid w:val="0091666F"/>
    <w:rsid w:val="009166AC"/>
    <w:rsid w:val="009166F1"/>
    <w:rsid w:val="00916707"/>
    <w:rsid w:val="00916790"/>
    <w:rsid w:val="009167B5"/>
    <w:rsid w:val="00916863"/>
    <w:rsid w:val="009168E3"/>
    <w:rsid w:val="00916923"/>
    <w:rsid w:val="00916947"/>
    <w:rsid w:val="009169A0"/>
    <w:rsid w:val="009169CE"/>
    <w:rsid w:val="009169F8"/>
    <w:rsid w:val="00916A50"/>
    <w:rsid w:val="00916A78"/>
    <w:rsid w:val="00916A88"/>
    <w:rsid w:val="00916A9B"/>
    <w:rsid w:val="00916AD6"/>
    <w:rsid w:val="00916ADC"/>
    <w:rsid w:val="00916AE5"/>
    <w:rsid w:val="00916B17"/>
    <w:rsid w:val="00916B3D"/>
    <w:rsid w:val="00916C06"/>
    <w:rsid w:val="00916C52"/>
    <w:rsid w:val="00916C7B"/>
    <w:rsid w:val="00916D29"/>
    <w:rsid w:val="00916D49"/>
    <w:rsid w:val="00916D58"/>
    <w:rsid w:val="00916D81"/>
    <w:rsid w:val="00916D86"/>
    <w:rsid w:val="00916D8A"/>
    <w:rsid w:val="00916DC5"/>
    <w:rsid w:val="00916DE6"/>
    <w:rsid w:val="00916E1D"/>
    <w:rsid w:val="00916E51"/>
    <w:rsid w:val="00916E63"/>
    <w:rsid w:val="00916E74"/>
    <w:rsid w:val="00916ED9"/>
    <w:rsid w:val="00916EE1"/>
    <w:rsid w:val="00916F23"/>
    <w:rsid w:val="00916F8C"/>
    <w:rsid w:val="00916F92"/>
    <w:rsid w:val="00916FC8"/>
    <w:rsid w:val="00916FE3"/>
    <w:rsid w:val="00916FF7"/>
    <w:rsid w:val="00917033"/>
    <w:rsid w:val="00917082"/>
    <w:rsid w:val="009170BA"/>
    <w:rsid w:val="009170F9"/>
    <w:rsid w:val="0091716C"/>
    <w:rsid w:val="0091718E"/>
    <w:rsid w:val="009171CE"/>
    <w:rsid w:val="009171F4"/>
    <w:rsid w:val="00917202"/>
    <w:rsid w:val="00917248"/>
    <w:rsid w:val="00917265"/>
    <w:rsid w:val="00917275"/>
    <w:rsid w:val="00917311"/>
    <w:rsid w:val="0091732E"/>
    <w:rsid w:val="0091733D"/>
    <w:rsid w:val="00917357"/>
    <w:rsid w:val="00917378"/>
    <w:rsid w:val="009173C9"/>
    <w:rsid w:val="009173EE"/>
    <w:rsid w:val="00917412"/>
    <w:rsid w:val="0091749B"/>
    <w:rsid w:val="009174A2"/>
    <w:rsid w:val="009174CD"/>
    <w:rsid w:val="00917511"/>
    <w:rsid w:val="0091753B"/>
    <w:rsid w:val="00917554"/>
    <w:rsid w:val="009175BD"/>
    <w:rsid w:val="009175CD"/>
    <w:rsid w:val="009175D5"/>
    <w:rsid w:val="0091762C"/>
    <w:rsid w:val="00917631"/>
    <w:rsid w:val="0091764F"/>
    <w:rsid w:val="0091767D"/>
    <w:rsid w:val="009176CD"/>
    <w:rsid w:val="0091772F"/>
    <w:rsid w:val="00917784"/>
    <w:rsid w:val="0091779A"/>
    <w:rsid w:val="009177D1"/>
    <w:rsid w:val="009177D2"/>
    <w:rsid w:val="009177DA"/>
    <w:rsid w:val="009177EB"/>
    <w:rsid w:val="009177ED"/>
    <w:rsid w:val="009177F2"/>
    <w:rsid w:val="00917804"/>
    <w:rsid w:val="00917864"/>
    <w:rsid w:val="00917875"/>
    <w:rsid w:val="009178AA"/>
    <w:rsid w:val="009178B3"/>
    <w:rsid w:val="009178D2"/>
    <w:rsid w:val="00917902"/>
    <w:rsid w:val="00917925"/>
    <w:rsid w:val="0091797A"/>
    <w:rsid w:val="009179CA"/>
    <w:rsid w:val="009179E0"/>
    <w:rsid w:val="00917A06"/>
    <w:rsid w:val="00917A20"/>
    <w:rsid w:val="00917A5B"/>
    <w:rsid w:val="00917AB0"/>
    <w:rsid w:val="00917AB4"/>
    <w:rsid w:val="00917B0A"/>
    <w:rsid w:val="00917B63"/>
    <w:rsid w:val="00917B9E"/>
    <w:rsid w:val="00917BC5"/>
    <w:rsid w:val="00917BF8"/>
    <w:rsid w:val="00917C64"/>
    <w:rsid w:val="00917CD0"/>
    <w:rsid w:val="00917CE4"/>
    <w:rsid w:val="00917D4E"/>
    <w:rsid w:val="00917D54"/>
    <w:rsid w:val="00917E0D"/>
    <w:rsid w:val="00917E40"/>
    <w:rsid w:val="00917E62"/>
    <w:rsid w:val="00917E7B"/>
    <w:rsid w:val="00917E8F"/>
    <w:rsid w:val="00917F0F"/>
    <w:rsid w:val="00917F2D"/>
    <w:rsid w:val="00917F46"/>
    <w:rsid w:val="00917F5E"/>
    <w:rsid w:val="00917F6E"/>
    <w:rsid w:val="00917FB8"/>
    <w:rsid w:val="00917FD1"/>
    <w:rsid w:val="00917FDF"/>
    <w:rsid w:val="0091BDC6"/>
    <w:rsid w:val="00920004"/>
    <w:rsid w:val="00920011"/>
    <w:rsid w:val="00920080"/>
    <w:rsid w:val="009200ED"/>
    <w:rsid w:val="00920155"/>
    <w:rsid w:val="009201A1"/>
    <w:rsid w:val="00920213"/>
    <w:rsid w:val="0092021A"/>
    <w:rsid w:val="009202C5"/>
    <w:rsid w:val="009202CC"/>
    <w:rsid w:val="009202F9"/>
    <w:rsid w:val="00920312"/>
    <w:rsid w:val="0092034F"/>
    <w:rsid w:val="0092035F"/>
    <w:rsid w:val="00920360"/>
    <w:rsid w:val="00920365"/>
    <w:rsid w:val="00920388"/>
    <w:rsid w:val="009203B0"/>
    <w:rsid w:val="009203C9"/>
    <w:rsid w:val="00920412"/>
    <w:rsid w:val="00920478"/>
    <w:rsid w:val="009204D3"/>
    <w:rsid w:val="009204E3"/>
    <w:rsid w:val="009204F4"/>
    <w:rsid w:val="00920510"/>
    <w:rsid w:val="00920543"/>
    <w:rsid w:val="009205C8"/>
    <w:rsid w:val="009205E8"/>
    <w:rsid w:val="00920699"/>
    <w:rsid w:val="009206BD"/>
    <w:rsid w:val="009206BE"/>
    <w:rsid w:val="009206E2"/>
    <w:rsid w:val="0092075F"/>
    <w:rsid w:val="00920760"/>
    <w:rsid w:val="00920780"/>
    <w:rsid w:val="00920791"/>
    <w:rsid w:val="009207FD"/>
    <w:rsid w:val="009207FE"/>
    <w:rsid w:val="0092081E"/>
    <w:rsid w:val="0092082D"/>
    <w:rsid w:val="00920833"/>
    <w:rsid w:val="00920853"/>
    <w:rsid w:val="0092085B"/>
    <w:rsid w:val="00920864"/>
    <w:rsid w:val="00920882"/>
    <w:rsid w:val="009208DB"/>
    <w:rsid w:val="00920916"/>
    <w:rsid w:val="00920930"/>
    <w:rsid w:val="009209BA"/>
    <w:rsid w:val="009209C4"/>
    <w:rsid w:val="00920A07"/>
    <w:rsid w:val="00920A19"/>
    <w:rsid w:val="00920A42"/>
    <w:rsid w:val="00920B82"/>
    <w:rsid w:val="00920B84"/>
    <w:rsid w:val="00920BFE"/>
    <w:rsid w:val="00920C61"/>
    <w:rsid w:val="00920CED"/>
    <w:rsid w:val="00920CF0"/>
    <w:rsid w:val="00920D3E"/>
    <w:rsid w:val="00920D42"/>
    <w:rsid w:val="00920D61"/>
    <w:rsid w:val="00920DA2"/>
    <w:rsid w:val="00920E38"/>
    <w:rsid w:val="00920E41"/>
    <w:rsid w:val="00920E4A"/>
    <w:rsid w:val="00920EA7"/>
    <w:rsid w:val="00920EBD"/>
    <w:rsid w:val="00920EF7"/>
    <w:rsid w:val="00920FA5"/>
    <w:rsid w:val="00920FDF"/>
    <w:rsid w:val="00920FF8"/>
    <w:rsid w:val="0092101A"/>
    <w:rsid w:val="00921030"/>
    <w:rsid w:val="009210BE"/>
    <w:rsid w:val="009210D2"/>
    <w:rsid w:val="009210D4"/>
    <w:rsid w:val="00921176"/>
    <w:rsid w:val="0092117B"/>
    <w:rsid w:val="0092119B"/>
    <w:rsid w:val="009211C1"/>
    <w:rsid w:val="009211E0"/>
    <w:rsid w:val="00921226"/>
    <w:rsid w:val="00921240"/>
    <w:rsid w:val="00921248"/>
    <w:rsid w:val="00921260"/>
    <w:rsid w:val="00921285"/>
    <w:rsid w:val="009213C7"/>
    <w:rsid w:val="009213E4"/>
    <w:rsid w:val="009213E5"/>
    <w:rsid w:val="009213F0"/>
    <w:rsid w:val="009213FE"/>
    <w:rsid w:val="00921461"/>
    <w:rsid w:val="00921473"/>
    <w:rsid w:val="00921496"/>
    <w:rsid w:val="009214E5"/>
    <w:rsid w:val="009214F9"/>
    <w:rsid w:val="00921531"/>
    <w:rsid w:val="0092153D"/>
    <w:rsid w:val="009215BA"/>
    <w:rsid w:val="00921617"/>
    <w:rsid w:val="0092163D"/>
    <w:rsid w:val="00921669"/>
    <w:rsid w:val="009216FA"/>
    <w:rsid w:val="00921728"/>
    <w:rsid w:val="0092173D"/>
    <w:rsid w:val="00921745"/>
    <w:rsid w:val="0092185E"/>
    <w:rsid w:val="00921897"/>
    <w:rsid w:val="009218EB"/>
    <w:rsid w:val="00921946"/>
    <w:rsid w:val="00921985"/>
    <w:rsid w:val="009219A7"/>
    <w:rsid w:val="009219D1"/>
    <w:rsid w:val="009219D3"/>
    <w:rsid w:val="00921A62"/>
    <w:rsid w:val="00921A89"/>
    <w:rsid w:val="00921AA2"/>
    <w:rsid w:val="00921AED"/>
    <w:rsid w:val="00921B4C"/>
    <w:rsid w:val="00921B55"/>
    <w:rsid w:val="00921B5B"/>
    <w:rsid w:val="00921B7E"/>
    <w:rsid w:val="00921B87"/>
    <w:rsid w:val="00921B92"/>
    <w:rsid w:val="00921B98"/>
    <w:rsid w:val="00921BA9"/>
    <w:rsid w:val="00921BC3"/>
    <w:rsid w:val="00921BC7"/>
    <w:rsid w:val="00921BD0"/>
    <w:rsid w:val="00921BF7"/>
    <w:rsid w:val="00921C00"/>
    <w:rsid w:val="00921C22"/>
    <w:rsid w:val="00921C40"/>
    <w:rsid w:val="00921C4F"/>
    <w:rsid w:val="00921C69"/>
    <w:rsid w:val="00921C74"/>
    <w:rsid w:val="00921CDA"/>
    <w:rsid w:val="00921D3B"/>
    <w:rsid w:val="00921D43"/>
    <w:rsid w:val="00921D5B"/>
    <w:rsid w:val="00921DB8"/>
    <w:rsid w:val="00921DBF"/>
    <w:rsid w:val="00921E15"/>
    <w:rsid w:val="00921E9B"/>
    <w:rsid w:val="00921EA8"/>
    <w:rsid w:val="00921ECA"/>
    <w:rsid w:val="00921F1E"/>
    <w:rsid w:val="00921F23"/>
    <w:rsid w:val="00921FC5"/>
    <w:rsid w:val="00922086"/>
    <w:rsid w:val="009220B3"/>
    <w:rsid w:val="009220CB"/>
    <w:rsid w:val="009220CF"/>
    <w:rsid w:val="009220D5"/>
    <w:rsid w:val="009220EB"/>
    <w:rsid w:val="0092214C"/>
    <w:rsid w:val="00922181"/>
    <w:rsid w:val="00922211"/>
    <w:rsid w:val="00922268"/>
    <w:rsid w:val="009222C7"/>
    <w:rsid w:val="0092230B"/>
    <w:rsid w:val="0092232F"/>
    <w:rsid w:val="00922345"/>
    <w:rsid w:val="0092239E"/>
    <w:rsid w:val="009223BD"/>
    <w:rsid w:val="009223EC"/>
    <w:rsid w:val="009224FE"/>
    <w:rsid w:val="0092250A"/>
    <w:rsid w:val="00922533"/>
    <w:rsid w:val="0092255D"/>
    <w:rsid w:val="0092258D"/>
    <w:rsid w:val="009225B8"/>
    <w:rsid w:val="009225BE"/>
    <w:rsid w:val="0092260B"/>
    <w:rsid w:val="0092262F"/>
    <w:rsid w:val="00922648"/>
    <w:rsid w:val="00922655"/>
    <w:rsid w:val="0092265F"/>
    <w:rsid w:val="00922675"/>
    <w:rsid w:val="0092267D"/>
    <w:rsid w:val="009226A6"/>
    <w:rsid w:val="009226FD"/>
    <w:rsid w:val="00922706"/>
    <w:rsid w:val="0092270D"/>
    <w:rsid w:val="0092275C"/>
    <w:rsid w:val="009227AE"/>
    <w:rsid w:val="00922803"/>
    <w:rsid w:val="0092280E"/>
    <w:rsid w:val="00922816"/>
    <w:rsid w:val="00922819"/>
    <w:rsid w:val="0092288A"/>
    <w:rsid w:val="009228D8"/>
    <w:rsid w:val="00922960"/>
    <w:rsid w:val="0092298B"/>
    <w:rsid w:val="009229C3"/>
    <w:rsid w:val="00922A34"/>
    <w:rsid w:val="00922A3C"/>
    <w:rsid w:val="00922A58"/>
    <w:rsid w:val="00922B1F"/>
    <w:rsid w:val="00922B3A"/>
    <w:rsid w:val="00922B66"/>
    <w:rsid w:val="00922B6B"/>
    <w:rsid w:val="00922BDB"/>
    <w:rsid w:val="00922C0D"/>
    <w:rsid w:val="00922C16"/>
    <w:rsid w:val="00922C23"/>
    <w:rsid w:val="00922C42"/>
    <w:rsid w:val="00922CFC"/>
    <w:rsid w:val="00922CFF"/>
    <w:rsid w:val="00922D08"/>
    <w:rsid w:val="00922DD9"/>
    <w:rsid w:val="00922DDE"/>
    <w:rsid w:val="00922DDF"/>
    <w:rsid w:val="00922DE1"/>
    <w:rsid w:val="00922DEF"/>
    <w:rsid w:val="00922DFE"/>
    <w:rsid w:val="00922E09"/>
    <w:rsid w:val="00922E1B"/>
    <w:rsid w:val="00922E38"/>
    <w:rsid w:val="00922E91"/>
    <w:rsid w:val="00922E9D"/>
    <w:rsid w:val="00922ED0"/>
    <w:rsid w:val="00922F70"/>
    <w:rsid w:val="00922F91"/>
    <w:rsid w:val="00922FA0"/>
    <w:rsid w:val="00922FE3"/>
    <w:rsid w:val="00922FF4"/>
    <w:rsid w:val="00923016"/>
    <w:rsid w:val="0092303E"/>
    <w:rsid w:val="009230A2"/>
    <w:rsid w:val="009230BA"/>
    <w:rsid w:val="009230C4"/>
    <w:rsid w:val="00923131"/>
    <w:rsid w:val="00923132"/>
    <w:rsid w:val="009231E9"/>
    <w:rsid w:val="0092327D"/>
    <w:rsid w:val="009232A7"/>
    <w:rsid w:val="009232CD"/>
    <w:rsid w:val="009232E4"/>
    <w:rsid w:val="00923331"/>
    <w:rsid w:val="00923391"/>
    <w:rsid w:val="009233BC"/>
    <w:rsid w:val="009233D6"/>
    <w:rsid w:val="009233F3"/>
    <w:rsid w:val="0092340B"/>
    <w:rsid w:val="0092344F"/>
    <w:rsid w:val="00923487"/>
    <w:rsid w:val="009234F8"/>
    <w:rsid w:val="00923520"/>
    <w:rsid w:val="0092352D"/>
    <w:rsid w:val="00923541"/>
    <w:rsid w:val="00923593"/>
    <w:rsid w:val="009235F3"/>
    <w:rsid w:val="00923616"/>
    <w:rsid w:val="00923660"/>
    <w:rsid w:val="009236DE"/>
    <w:rsid w:val="009236E7"/>
    <w:rsid w:val="00923732"/>
    <w:rsid w:val="00923786"/>
    <w:rsid w:val="0092379E"/>
    <w:rsid w:val="00923814"/>
    <w:rsid w:val="00923888"/>
    <w:rsid w:val="009238A9"/>
    <w:rsid w:val="009238B2"/>
    <w:rsid w:val="009238EA"/>
    <w:rsid w:val="00923A1E"/>
    <w:rsid w:val="00923A24"/>
    <w:rsid w:val="00923A8F"/>
    <w:rsid w:val="00923A9B"/>
    <w:rsid w:val="00923AC7"/>
    <w:rsid w:val="00923AFB"/>
    <w:rsid w:val="00923B0F"/>
    <w:rsid w:val="00923B76"/>
    <w:rsid w:val="00923BDC"/>
    <w:rsid w:val="00923C00"/>
    <w:rsid w:val="00923C1E"/>
    <w:rsid w:val="00923C25"/>
    <w:rsid w:val="00923C3D"/>
    <w:rsid w:val="00923C77"/>
    <w:rsid w:val="00923C7C"/>
    <w:rsid w:val="00923C86"/>
    <w:rsid w:val="00923C9C"/>
    <w:rsid w:val="00923CD0"/>
    <w:rsid w:val="00923CE2"/>
    <w:rsid w:val="00923CEF"/>
    <w:rsid w:val="00923D37"/>
    <w:rsid w:val="00923D74"/>
    <w:rsid w:val="00923DCA"/>
    <w:rsid w:val="00923DEF"/>
    <w:rsid w:val="00923DF2"/>
    <w:rsid w:val="00923E09"/>
    <w:rsid w:val="00923E0F"/>
    <w:rsid w:val="00923E33"/>
    <w:rsid w:val="00923E9B"/>
    <w:rsid w:val="00923EA3"/>
    <w:rsid w:val="00923EAF"/>
    <w:rsid w:val="00923F16"/>
    <w:rsid w:val="00923F28"/>
    <w:rsid w:val="00923F4F"/>
    <w:rsid w:val="00923F7D"/>
    <w:rsid w:val="00923F9F"/>
    <w:rsid w:val="00923FC4"/>
    <w:rsid w:val="00923FE3"/>
    <w:rsid w:val="00923FEE"/>
    <w:rsid w:val="00924012"/>
    <w:rsid w:val="00924023"/>
    <w:rsid w:val="00924060"/>
    <w:rsid w:val="00924063"/>
    <w:rsid w:val="009240AF"/>
    <w:rsid w:val="009240BE"/>
    <w:rsid w:val="009240D6"/>
    <w:rsid w:val="00924101"/>
    <w:rsid w:val="0092414A"/>
    <w:rsid w:val="00924154"/>
    <w:rsid w:val="009241CC"/>
    <w:rsid w:val="009241D8"/>
    <w:rsid w:val="00924245"/>
    <w:rsid w:val="009242AB"/>
    <w:rsid w:val="009242D6"/>
    <w:rsid w:val="0092434A"/>
    <w:rsid w:val="00924375"/>
    <w:rsid w:val="00924394"/>
    <w:rsid w:val="009243B0"/>
    <w:rsid w:val="009243B6"/>
    <w:rsid w:val="009243D6"/>
    <w:rsid w:val="009243F1"/>
    <w:rsid w:val="00924415"/>
    <w:rsid w:val="00924420"/>
    <w:rsid w:val="00924426"/>
    <w:rsid w:val="00924450"/>
    <w:rsid w:val="00924483"/>
    <w:rsid w:val="009244D0"/>
    <w:rsid w:val="009244FB"/>
    <w:rsid w:val="00924553"/>
    <w:rsid w:val="00924568"/>
    <w:rsid w:val="0092457A"/>
    <w:rsid w:val="0092460A"/>
    <w:rsid w:val="00924629"/>
    <w:rsid w:val="00924652"/>
    <w:rsid w:val="00924655"/>
    <w:rsid w:val="009246DD"/>
    <w:rsid w:val="009246ED"/>
    <w:rsid w:val="009246F6"/>
    <w:rsid w:val="00924746"/>
    <w:rsid w:val="0092479F"/>
    <w:rsid w:val="009247C5"/>
    <w:rsid w:val="009247D2"/>
    <w:rsid w:val="009248B9"/>
    <w:rsid w:val="009248D9"/>
    <w:rsid w:val="00924900"/>
    <w:rsid w:val="0092491A"/>
    <w:rsid w:val="0092494F"/>
    <w:rsid w:val="00924982"/>
    <w:rsid w:val="009249FC"/>
    <w:rsid w:val="00924A5E"/>
    <w:rsid w:val="00924A6B"/>
    <w:rsid w:val="00924A73"/>
    <w:rsid w:val="00924A8D"/>
    <w:rsid w:val="00924AC4"/>
    <w:rsid w:val="00924B67"/>
    <w:rsid w:val="00924B7A"/>
    <w:rsid w:val="00924B97"/>
    <w:rsid w:val="00924BA2"/>
    <w:rsid w:val="00924C36"/>
    <w:rsid w:val="00924C74"/>
    <w:rsid w:val="00924C8E"/>
    <w:rsid w:val="00924CC4"/>
    <w:rsid w:val="00924D08"/>
    <w:rsid w:val="00924D49"/>
    <w:rsid w:val="00924D5E"/>
    <w:rsid w:val="00924D79"/>
    <w:rsid w:val="00924D90"/>
    <w:rsid w:val="00924D96"/>
    <w:rsid w:val="00924DA6"/>
    <w:rsid w:val="00924DC4"/>
    <w:rsid w:val="00924DCF"/>
    <w:rsid w:val="00924E00"/>
    <w:rsid w:val="00924E5E"/>
    <w:rsid w:val="00924E81"/>
    <w:rsid w:val="00924EA4"/>
    <w:rsid w:val="00924EF9"/>
    <w:rsid w:val="00924F56"/>
    <w:rsid w:val="00924FAD"/>
    <w:rsid w:val="00924FD0"/>
    <w:rsid w:val="00924FEA"/>
    <w:rsid w:val="0092502A"/>
    <w:rsid w:val="0092506A"/>
    <w:rsid w:val="009250F3"/>
    <w:rsid w:val="00925168"/>
    <w:rsid w:val="009251D8"/>
    <w:rsid w:val="009251E8"/>
    <w:rsid w:val="00925229"/>
    <w:rsid w:val="00925252"/>
    <w:rsid w:val="0092528B"/>
    <w:rsid w:val="009252BD"/>
    <w:rsid w:val="009252DC"/>
    <w:rsid w:val="009252FC"/>
    <w:rsid w:val="00925331"/>
    <w:rsid w:val="009253A6"/>
    <w:rsid w:val="00925451"/>
    <w:rsid w:val="009254A8"/>
    <w:rsid w:val="009254AF"/>
    <w:rsid w:val="009254D9"/>
    <w:rsid w:val="009254F1"/>
    <w:rsid w:val="0092550E"/>
    <w:rsid w:val="0092552B"/>
    <w:rsid w:val="00925547"/>
    <w:rsid w:val="00925597"/>
    <w:rsid w:val="00925600"/>
    <w:rsid w:val="0092561A"/>
    <w:rsid w:val="00925698"/>
    <w:rsid w:val="009256BB"/>
    <w:rsid w:val="009256E0"/>
    <w:rsid w:val="0092578E"/>
    <w:rsid w:val="009257E1"/>
    <w:rsid w:val="0092580A"/>
    <w:rsid w:val="00925862"/>
    <w:rsid w:val="0092586C"/>
    <w:rsid w:val="00925870"/>
    <w:rsid w:val="009258DE"/>
    <w:rsid w:val="0092591D"/>
    <w:rsid w:val="00925925"/>
    <w:rsid w:val="0092593D"/>
    <w:rsid w:val="0092596E"/>
    <w:rsid w:val="009259BD"/>
    <w:rsid w:val="009259CE"/>
    <w:rsid w:val="009259D1"/>
    <w:rsid w:val="009259FF"/>
    <w:rsid w:val="00925A01"/>
    <w:rsid w:val="00925A2C"/>
    <w:rsid w:val="00925A50"/>
    <w:rsid w:val="00925A72"/>
    <w:rsid w:val="00925A76"/>
    <w:rsid w:val="00925B41"/>
    <w:rsid w:val="00925B7E"/>
    <w:rsid w:val="00925BBB"/>
    <w:rsid w:val="00925BC7"/>
    <w:rsid w:val="00925C00"/>
    <w:rsid w:val="00925C37"/>
    <w:rsid w:val="00925C91"/>
    <w:rsid w:val="00925CA3"/>
    <w:rsid w:val="00925CDF"/>
    <w:rsid w:val="00925D28"/>
    <w:rsid w:val="00925D2B"/>
    <w:rsid w:val="00925D52"/>
    <w:rsid w:val="00925D9E"/>
    <w:rsid w:val="00925DA3"/>
    <w:rsid w:val="00925DE0"/>
    <w:rsid w:val="00925DE3"/>
    <w:rsid w:val="00925DF2"/>
    <w:rsid w:val="00925DF3"/>
    <w:rsid w:val="00925E38"/>
    <w:rsid w:val="00925E5C"/>
    <w:rsid w:val="00925E6E"/>
    <w:rsid w:val="00925E9D"/>
    <w:rsid w:val="00925EBA"/>
    <w:rsid w:val="00925EE5"/>
    <w:rsid w:val="00925F84"/>
    <w:rsid w:val="00925FDE"/>
    <w:rsid w:val="00925FDF"/>
    <w:rsid w:val="00926012"/>
    <w:rsid w:val="0092602E"/>
    <w:rsid w:val="00926045"/>
    <w:rsid w:val="00926072"/>
    <w:rsid w:val="0092607B"/>
    <w:rsid w:val="009260D9"/>
    <w:rsid w:val="00926278"/>
    <w:rsid w:val="009262B7"/>
    <w:rsid w:val="009262C9"/>
    <w:rsid w:val="00926343"/>
    <w:rsid w:val="00926386"/>
    <w:rsid w:val="009263D0"/>
    <w:rsid w:val="009263F9"/>
    <w:rsid w:val="00926498"/>
    <w:rsid w:val="00926515"/>
    <w:rsid w:val="00926530"/>
    <w:rsid w:val="0092659A"/>
    <w:rsid w:val="00926615"/>
    <w:rsid w:val="00926622"/>
    <w:rsid w:val="00926631"/>
    <w:rsid w:val="0092669D"/>
    <w:rsid w:val="009266AA"/>
    <w:rsid w:val="009266CA"/>
    <w:rsid w:val="00926766"/>
    <w:rsid w:val="0092679D"/>
    <w:rsid w:val="009267D2"/>
    <w:rsid w:val="009267F4"/>
    <w:rsid w:val="0092680B"/>
    <w:rsid w:val="00926813"/>
    <w:rsid w:val="00926857"/>
    <w:rsid w:val="00926864"/>
    <w:rsid w:val="009268D6"/>
    <w:rsid w:val="009268E4"/>
    <w:rsid w:val="009268E7"/>
    <w:rsid w:val="00926966"/>
    <w:rsid w:val="0092699B"/>
    <w:rsid w:val="009269B9"/>
    <w:rsid w:val="009269D7"/>
    <w:rsid w:val="009269F2"/>
    <w:rsid w:val="00926A08"/>
    <w:rsid w:val="00926AEA"/>
    <w:rsid w:val="00926B90"/>
    <w:rsid w:val="00926BA3"/>
    <w:rsid w:val="00926C2D"/>
    <w:rsid w:val="00926C31"/>
    <w:rsid w:val="00926C37"/>
    <w:rsid w:val="00926C43"/>
    <w:rsid w:val="00926C54"/>
    <w:rsid w:val="00926C70"/>
    <w:rsid w:val="00926C85"/>
    <w:rsid w:val="00926CA1"/>
    <w:rsid w:val="00926CA6"/>
    <w:rsid w:val="00926CE3"/>
    <w:rsid w:val="00926D03"/>
    <w:rsid w:val="00926D69"/>
    <w:rsid w:val="00926D84"/>
    <w:rsid w:val="00926DC7"/>
    <w:rsid w:val="00926DF6"/>
    <w:rsid w:val="00926E15"/>
    <w:rsid w:val="00926E50"/>
    <w:rsid w:val="00926E53"/>
    <w:rsid w:val="00926E70"/>
    <w:rsid w:val="00926E8A"/>
    <w:rsid w:val="00926E9E"/>
    <w:rsid w:val="00926EC1"/>
    <w:rsid w:val="00926ED7"/>
    <w:rsid w:val="00926EE4"/>
    <w:rsid w:val="00926F32"/>
    <w:rsid w:val="00926FBD"/>
    <w:rsid w:val="00926FE7"/>
    <w:rsid w:val="00926FF3"/>
    <w:rsid w:val="00927002"/>
    <w:rsid w:val="00927020"/>
    <w:rsid w:val="0092707E"/>
    <w:rsid w:val="0092708C"/>
    <w:rsid w:val="009270B0"/>
    <w:rsid w:val="009270C0"/>
    <w:rsid w:val="0092710E"/>
    <w:rsid w:val="00927132"/>
    <w:rsid w:val="00927134"/>
    <w:rsid w:val="009271D9"/>
    <w:rsid w:val="00927211"/>
    <w:rsid w:val="00927234"/>
    <w:rsid w:val="0092723D"/>
    <w:rsid w:val="00927246"/>
    <w:rsid w:val="0092726C"/>
    <w:rsid w:val="009272D3"/>
    <w:rsid w:val="0092737B"/>
    <w:rsid w:val="009273DA"/>
    <w:rsid w:val="009273E4"/>
    <w:rsid w:val="00927431"/>
    <w:rsid w:val="00927441"/>
    <w:rsid w:val="00927454"/>
    <w:rsid w:val="009274CD"/>
    <w:rsid w:val="009274D7"/>
    <w:rsid w:val="00927560"/>
    <w:rsid w:val="00927577"/>
    <w:rsid w:val="00927642"/>
    <w:rsid w:val="00927691"/>
    <w:rsid w:val="009276EA"/>
    <w:rsid w:val="009276EB"/>
    <w:rsid w:val="00927784"/>
    <w:rsid w:val="00927797"/>
    <w:rsid w:val="009277AF"/>
    <w:rsid w:val="009277B4"/>
    <w:rsid w:val="00927821"/>
    <w:rsid w:val="009278EB"/>
    <w:rsid w:val="0092790B"/>
    <w:rsid w:val="00927959"/>
    <w:rsid w:val="009279A0"/>
    <w:rsid w:val="009279FE"/>
    <w:rsid w:val="00927A12"/>
    <w:rsid w:val="00927A2B"/>
    <w:rsid w:val="00927A5D"/>
    <w:rsid w:val="00927A7A"/>
    <w:rsid w:val="00927A8A"/>
    <w:rsid w:val="00927A8F"/>
    <w:rsid w:val="00927ABF"/>
    <w:rsid w:val="00927B06"/>
    <w:rsid w:val="00927BBF"/>
    <w:rsid w:val="00927BD4"/>
    <w:rsid w:val="00927BF5"/>
    <w:rsid w:val="00927C0D"/>
    <w:rsid w:val="00927C5B"/>
    <w:rsid w:val="00927C88"/>
    <w:rsid w:val="00927CA3"/>
    <w:rsid w:val="00927CDA"/>
    <w:rsid w:val="00927D01"/>
    <w:rsid w:val="00927D02"/>
    <w:rsid w:val="00927D0E"/>
    <w:rsid w:val="00927D1D"/>
    <w:rsid w:val="00927D20"/>
    <w:rsid w:val="00927D78"/>
    <w:rsid w:val="00927DA9"/>
    <w:rsid w:val="00927DBA"/>
    <w:rsid w:val="00927DBD"/>
    <w:rsid w:val="00927DD7"/>
    <w:rsid w:val="00927DE0"/>
    <w:rsid w:val="00927E12"/>
    <w:rsid w:val="00927F39"/>
    <w:rsid w:val="00927F45"/>
    <w:rsid w:val="00927F5D"/>
    <w:rsid w:val="00927F6A"/>
    <w:rsid w:val="00927F9C"/>
    <w:rsid w:val="0092BFBA"/>
    <w:rsid w:val="00930008"/>
    <w:rsid w:val="00930020"/>
    <w:rsid w:val="00930099"/>
    <w:rsid w:val="009300D7"/>
    <w:rsid w:val="00930101"/>
    <w:rsid w:val="0093011D"/>
    <w:rsid w:val="00930152"/>
    <w:rsid w:val="00930154"/>
    <w:rsid w:val="00930155"/>
    <w:rsid w:val="0093017B"/>
    <w:rsid w:val="009301A8"/>
    <w:rsid w:val="009301BA"/>
    <w:rsid w:val="0093025B"/>
    <w:rsid w:val="00930378"/>
    <w:rsid w:val="009303A2"/>
    <w:rsid w:val="009303EE"/>
    <w:rsid w:val="0093040E"/>
    <w:rsid w:val="0093041F"/>
    <w:rsid w:val="009304DE"/>
    <w:rsid w:val="00930579"/>
    <w:rsid w:val="0093058D"/>
    <w:rsid w:val="009305CA"/>
    <w:rsid w:val="009306FE"/>
    <w:rsid w:val="00930741"/>
    <w:rsid w:val="0093079D"/>
    <w:rsid w:val="009307A3"/>
    <w:rsid w:val="009307C4"/>
    <w:rsid w:val="009307CA"/>
    <w:rsid w:val="009307E6"/>
    <w:rsid w:val="009307F9"/>
    <w:rsid w:val="00930829"/>
    <w:rsid w:val="00930882"/>
    <w:rsid w:val="009308A4"/>
    <w:rsid w:val="009308C2"/>
    <w:rsid w:val="009308C7"/>
    <w:rsid w:val="009309B4"/>
    <w:rsid w:val="009309BC"/>
    <w:rsid w:val="009309DA"/>
    <w:rsid w:val="009309F6"/>
    <w:rsid w:val="00930A08"/>
    <w:rsid w:val="00930A48"/>
    <w:rsid w:val="00930A7D"/>
    <w:rsid w:val="00930A92"/>
    <w:rsid w:val="00930A96"/>
    <w:rsid w:val="00930AE8"/>
    <w:rsid w:val="00930B38"/>
    <w:rsid w:val="00930B9C"/>
    <w:rsid w:val="00930C27"/>
    <w:rsid w:val="00930CA6"/>
    <w:rsid w:val="00930CD6"/>
    <w:rsid w:val="00930D48"/>
    <w:rsid w:val="00930D5C"/>
    <w:rsid w:val="00930DB9"/>
    <w:rsid w:val="00930DCD"/>
    <w:rsid w:val="00930E00"/>
    <w:rsid w:val="00930E36"/>
    <w:rsid w:val="00930E58"/>
    <w:rsid w:val="00930E65"/>
    <w:rsid w:val="00930E90"/>
    <w:rsid w:val="00930EA2"/>
    <w:rsid w:val="00930EB1"/>
    <w:rsid w:val="00930F77"/>
    <w:rsid w:val="00930FD2"/>
    <w:rsid w:val="00930FEF"/>
    <w:rsid w:val="00931040"/>
    <w:rsid w:val="0093108F"/>
    <w:rsid w:val="009310E2"/>
    <w:rsid w:val="00931127"/>
    <w:rsid w:val="009311C0"/>
    <w:rsid w:val="0093120C"/>
    <w:rsid w:val="0093124D"/>
    <w:rsid w:val="00931279"/>
    <w:rsid w:val="009312C2"/>
    <w:rsid w:val="009312D6"/>
    <w:rsid w:val="00931321"/>
    <w:rsid w:val="00931329"/>
    <w:rsid w:val="00931338"/>
    <w:rsid w:val="00931340"/>
    <w:rsid w:val="0093135F"/>
    <w:rsid w:val="00931364"/>
    <w:rsid w:val="009313CD"/>
    <w:rsid w:val="009313E4"/>
    <w:rsid w:val="0093149B"/>
    <w:rsid w:val="009314C8"/>
    <w:rsid w:val="00931500"/>
    <w:rsid w:val="00931514"/>
    <w:rsid w:val="00931526"/>
    <w:rsid w:val="009315DD"/>
    <w:rsid w:val="009315E4"/>
    <w:rsid w:val="0093161D"/>
    <w:rsid w:val="009316D6"/>
    <w:rsid w:val="009316F7"/>
    <w:rsid w:val="00931703"/>
    <w:rsid w:val="0093171B"/>
    <w:rsid w:val="0093173C"/>
    <w:rsid w:val="0093190F"/>
    <w:rsid w:val="00931988"/>
    <w:rsid w:val="009319A7"/>
    <w:rsid w:val="009319E2"/>
    <w:rsid w:val="00931A5F"/>
    <w:rsid w:val="00931A78"/>
    <w:rsid w:val="00931A7A"/>
    <w:rsid w:val="00931A96"/>
    <w:rsid w:val="00931AF8"/>
    <w:rsid w:val="00931B15"/>
    <w:rsid w:val="00931B5C"/>
    <w:rsid w:val="00931B75"/>
    <w:rsid w:val="00931BF9"/>
    <w:rsid w:val="00931C2F"/>
    <w:rsid w:val="00931CBF"/>
    <w:rsid w:val="00931D0A"/>
    <w:rsid w:val="00931DBF"/>
    <w:rsid w:val="00931DD1"/>
    <w:rsid w:val="00931DF3"/>
    <w:rsid w:val="00931E2A"/>
    <w:rsid w:val="00931EF6"/>
    <w:rsid w:val="00931F63"/>
    <w:rsid w:val="00931FE3"/>
    <w:rsid w:val="009320BD"/>
    <w:rsid w:val="00932129"/>
    <w:rsid w:val="00932132"/>
    <w:rsid w:val="00932187"/>
    <w:rsid w:val="0093219D"/>
    <w:rsid w:val="009321AA"/>
    <w:rsid w:val="009321DA"/>
    <w:rsid w:val="0093220F"/>
    <w:rsid w:val="0093223B"/>
    <w:rsid w:val="0093226D"/>
    <w:rsid w:val="0093228B"/>
    <w:rsid w:val="009322BD"/>
    <w:rsid w:val="009322FA"/>
    <w:rsid w:val="00932335"/>
    <w:rsid w:val="00932368"/>
    <w:rsid w:val="00932396"/>
    <w:rsid w:val="009323B9"/>
    <w:rsid w:val="009323BD"/>
    <w:rsid w:val="009323C6"/>
    <w:rsid w:val="00932404"/>
    <w:rsid w:val="00932421"/>
    <w:rsid w:val="00932435"/>
    <w:rsid w:val="009324EC"/>
    <w:rsid w:val="009324F4"/>
    <w:rsid w:val="0093254A"/>
    <w:rsid w:val="009325BB"/>
    <w:rsid w:val="009325D4"/>
    <w:rsid w:val="009325E8"/>
    <w:rsid w:val="00932642"/>
    <w:rsid w:val="00932651"/>
    <w:rsid w:val="00932669"/>
    <w:rsid w:val="0093267F"/>
    <w:rsid w:val="0093269B"/>
    <w:rsid w:val="009326CD"/>
    <w:rsid w:val="009326E7"/>
    <w:rsid w:val="009326F9"/>
    <w:rsid w:val="00932728"/>
    <w:rsid w:val="00932743"/>
    <w:rsid w:val="0093275A"/>
    <w:rsid w:val="00932767"/>
    <w:rsid w:val="00932779"/>
    <w:rsid w:val="00932794"/>
    <w:rsid w:val="009327B2"/>
    <w:rsid w:val="009327E2"/>
    <w:rsid w:val="00932853"/>
    <w:rsid w:val="00932875"/>
    <w:rsid w:val="009328A6"/>
    <w:rsid w:val="00932950"/>
    <w:rsid w:val="0093298D"/>
    <w:rsid w:val="00932A1C"/>
    <w:rsid w:val="00932AAE"/>
    <w:rsid w:val="00932AD2"/>
    <w:rsid w:val="00932AD3"/>
    <w:rsid w:val="00932AF8"/>
    <w:rsid w:val="00932B38"/>
    <w:rsid w:val="00932B8F"/>
    <w:rsid w:val="00932B9E"/>
    <w:rsid w:val="00932BF2"/>
    <w:rsid w:val="00932C0E"/>
    <w:rsid w:val="00932C2E"/>
    <w:rsid w:val="00932C57"/>
    <w:rsid w:val="00932CFF"/>
    <w:rsid w:val="00932D54"/>
    <w:rsid w:val="00932D69"/>
    <w:rsid w:val="00932DBC"/>
    <w:rsid w:val="00932DC5"/>
    <w:rsid w:val="00932DD5"/>
    <w:rsid w:val="00932E0C"/>
    <w:rsid w:val="00932E46"/>
    <w:rsid w:val="00932E73"/>
    <w:rsid w:val="00932E77"/>
    <w:rsid w:val="00932E85"/>
    <w:rsid w:val="00932ED5"/>
    <w:rsid w:val="00932EE9"/>
    <w:rsid w:val="00932F51"/>
    <w:rsid w:val="00932FB8"/>
    <w:rsid w:val="00932FC9"/>
    <w:rsid w:val="00932FEA"/>
    <w:rsid w:val="00932FFE"/>
    <w:rsid w:val="0093302A"/>
    <w:rsid w:val="0093304E"/>
    <w:rsid w:val="00933087"/>
    <w:rsid w:val="009330F2"/>
    <w:rsid w:val="00933107"/>
    <w:rsid w:val="0093312C"/>
    <w:rsid w:val="00933144"/>
    <w:rsid w:val="0093315E"/>
    <w:rsid w:val="00933211"/>
    <w:rsid w:val="0093321B"/>
    <w:rsid w:val="00933263"/>
    <w:rsid w:val="00933295"/>
    <w:rsid w:val="009332BD"/>
    <w:rsid w:val="009332BF"/>
    <w:rsid w:val="009332E3"/>
    <w:rsid w:val="0093332E"/>
    <w:rsid w:val="0093337C"/>
    <w:rsid w:val="009333CD"/>
    <w:rsid w:val="00933420"/>
    <w:rsid w:val="00933441"/>
    <w:rsid w:val="0093344F"/>
    <w:rsid w:val="00933451"/>
    <w:rsid w:val="00933462"/>
    <w:rsid w:val="009334C2"/>
    <w:rsid w:val="0093351C"/>
    <w:rsid w:val="00933549"/>
    <w:rsid w:val="0093354D"/>
    <w:rsid w:val="0093354E"/>
    <w:rsid w:val="00933581"/>
    <w:rsid w:val="009335DE"/>
    <w:rsid w:val="009335F0"/>
    <w:rsid w:val="0093362D"/>
    <w:rsid w:val="00933648"/>
    <w:rsid w:val="00933680"/>
    <w:rsid w:val="009336C4"/>
    <w:rsid w:val="00933737"/>
    <w:rsid w:val="0093375C"/>
    <w:rsid w:val="009337B1"/>
    <w:rsid w:val="009337F2"/>
    <w:rsid w:val="00933841"/>
    <w:rsid w:val="0093387B"/>
    <w:rsid w:val="0093387E"/>
    <w:rsid w:val="009338ED"/>
    <w:rsid w:val="00933907"/>
    <w:rsid w:val="00933953"/>
    <w:rsid w:val="00933977"/>
    <w:rsid w:val="00933A28"/>
    <w:rsid w:val="00933AA5"/>
    <w:rsid w:val="00933AA6"/>
    <w:rsid w:val="00933AD3"/>
    <w:rsid w:val="00933AFD"/>
    <w:rsid w:val="00933B38"/>
    <w:rsid w:val="00933B46"/>
    <w:rsid w:val="00933B7A"/>
    <w:rsid w:val="00933BA1"/>
    <w:rsid w:val="00933BBA"/>
    <w:rsid w:val="00933C52"/>
    <w:rsid w:val="00933C75"/>
    <w:rsid w:val="00933CE9"/>
    <w:rsid w:val="00933D88"/>
    <w:rsid w:val="00933E11"/>
    <w:rsid w:val="00933E12"/>
    <w:rsid w:val="00933E2A"/>
    <w:rsid w:val="00933E2E"/>
    <w:rsid w:val="00933E40"/>
    <w:rsid w:val="00933E59"/>
    <w:rsid w:val="00933E96"/>
    <w:rsid w:val="00933E97"/>
    <w:rsid w:val="00933EC3"/>
    <w:rsid w:val="00933EE5"/>
    <w:rsid w:val="00933FCC"/>
    <w:rsid w:val="00934044"/>
    <w:rsid w:val="0093404E"/>
    <w:rsid w:val="0093405C"/>
    <w:rsid w:val="009340B3"/>
    <w:rsid w:val="009340D6"/>
    <w:rsid w:val="009340E1"/>
    <w:rsid w:val="009340F3"/>
    <w:rsid w:val="00934152"/>
    <w:rsid w:val="009341BA"/>
    <w:rsid w:val="009341BF"/>
    <w:rsid w:val="0093421D"/>
    <w:rsid w:val="00934238"/>
    <w:rsid w:val="0093426E"/>
    <w:rsid w:val="0093427D"/>
    <w:rsid w:val="00934293"/>
    <w:rsid w:val="009342D9"/>
    <w:rsid w:val="00934337"/>
    <w:rsid w:val="0093434C"/>
    <w:rsid w:val="009343B0"/>
    <w:rsid w:val="009343EA"/>
    <w:rsid w:val="00934443"/>
    <w:rsid w:val="0093444A"/>
    <w:rsid w:val="00934524"/>
    <w:rsid w:val="00934574"/>
    <w:rsid w:val="009345C4"/>
    <w:rsid w:val="00934603"/>
    <w:rsid w:val="00934685"/>
    <w:rsid w:val="0093469A"/>
    <w:rsid w:val="009346AE"/>
    <w:rsid w:val="00934728"/>
    <w:rsid w:val="0093477C"/>
    <w:rsid w:val="0093478B"/>
    <w:rsid w:val="0093479D"/>
    <w:rsid w:val="009347AF"/>
    <w:rsid w:val="009347B8"/>
    <w:rsid w:val="009347C4"/>
    <w:rsid w:val="00934815"/>
    <w:rsid w:val="0093482E"/>
    <w:rsid w:val="00934845"/>
    <w:rsid w:val="00934850"/>
    <w:rsid w:val="009348FF"/>
    <w:rsid w:val="00934929"/>
    <w:rsid w:val="0093497F"/>
    <w:rsid w:val="009349A4"/>
    <w:rsid w:val="009349BA"/>
    <w:rsid w:val="009349C5"/>
    <w:rsid w:val="009349D4"/>
    <w:rsid w:val="009349F6"/>
    <w:rsid w:val="00934A90"/>
    <w:rsid w:val="00934AB2"/>
    <w:rsid w:val="00934AD5"/>
    <w:rsid w:val="00934AD9"/>
    <w:rsid w:val="00934ADD"/>
    <w:rsid w:val="00934AE7"/>
    <w:rsid w:val="00934B0E"/>
    <w:rsid w:val="00934B3B"/>
    <w:rsid w:val="00934B3D"/>
    <w:rsid w:val="00934BB5"/>
    <w:rsid w:val="00934C2C"/>
    <w:rsid w:val="00934C5F"/>
    <w:rsid w:val="00934C63"/>
    <w:rsid w:val="00934C7E"/>
    <w:rsid w:val="00934CD0"/>
    <w:rsid w:val="00934CF3"/>
    <w:rsid w:val="00934D07"/>
    <w:rsid w:val="00934D31"/>
    <w:rsid w:val="00934D9F"/>
    <w:rsid w:val="00934DBD"/>
    <w:rsid w:val="00934DE4"/>
    <w:rsid w:val="00934DE8"/>
    <w:rsid w:val="00934E01"/>
    <w:rsid w:val="00934E06"/>
    <w:rsid w:val="00934E48"/>
    <w:rsid w:val="00934E55"/>
    <w:rsid w:val="00934EC1"/>
    <w:rsid w:val="00934EC6"/>
    <w:rsid w:val="00934ECE"/>
    <w:rsid w:val="00934EF3"/>
    <w:rsid w:val="00934F09"/>
    <w:rsid w:val="00934F4B"/>
    <w:rsid w:val="00934F4C"/>
    <w:rsid w:val="00934F4D"/>
    <w:rsid w:val="00934F58"/>
    <w:rsid w:val="00934FAF"/>
    <w:rsid w:val="00934FE1"/>
    <w:rsid w:val="00935066"/>
    <w:rsid w:val="009350A7"/>
    <w:rsid w:val="009350D0"/>
    <w:rsid w:val="00935203"/>
    <w:rsid w:val="0093523E"/>
    <w:rsid w:val="00935251"/>
    <w:rsid w:val="009352AF"/>
    <w:rsid w:val="009352B3"/>
    <w:rsid w:val="009352FA"/>
    <w:rsid w:val="0093533B"/>
    <w:rsid w:val="0093535F"/>
    <w:rsid w:val="00935363"/>
    <w:rsid w:val="00935396"/>
    <w:rsid w:val="009353D2"/>
    <w:rsid w:val="00935447"/>
    <w:rsid w:val="00935450"/>
    <w:rsid w:val="0093545C"/>
    <w:rsid w:val="00935460"/>
    <w:rsid w:val="009354D9"/>
    <w:rsid w:val="00935554"/>
    <w:rsid w:val="009355A0"/>
    <w:rsid w:val="009355A5"/>
    <w:rsid w:val="009355C2"/>
    <w:rsid w:val="00935604"/>
    <w:rsid w:val="00935633"/>
    <w:rsid w:val="00935648"/>
    <w:rsid w:val="00935651"/>
    <w:rsid w:val="00935698"/>
    <w:rsid w:val="009356AC"/>
    <w:rsid w:val="009356BC"/>
    <w:rsid w:val="00935704"/>
    <w:rsid w:val="0093571A"/>
    <w:rsid w:val="00935728"/>
    <w:rsid w:val="00935739"/>
    <w:rsid w:val="00935755"/>
    <w:rsid w:val="009357F1"/>
    <w:rsid w:val="009357F8"/>
    <w:rsid w:val="00935844"/>
    <w:rsid w:val="00935845"/>
    <w:rsid w:val="0093584F"/>
    <w:rsid w:val="00935860"/>
    <w:rsid w:val="00935866"/>
    <w:rsid w:val="00935882"/>
    <w:rsid w:val="009358B1"/>
    <w:rsid w:val="009358CE"/>
    <w:rsid w:val="009358F8"/>
    <w:rsid w:val="00935934"/>
    <w:rsid w:val="0093595F"/>
    <w:rsid w:val="009359DC"/>
    <w:rsid w:val="009359F1"/>
    <w:rsid w:val="00935AE0"/>
    <w:rsid w:val="00935AE2"/>
    <w:rsid w:val="00935AFB"/>
    <w:rsid w:val="00935B0D"/>
    <w:rsid w:val="00935B0F"/>
    <w:rsid w:val="00935B21"/>
    <w:rsid w:val="00935B25"/>
    <w:rsid w:val="00935B99"/>
    <w:rsid w:val="00935BC9"/>
    <w:rsid w:val="00935BD9"/>
    <w:rsid w:val="00935BE1"/>
    <w:rsid w:val="00935C29"/>
    <w:rsid w:val="00935C5C"/>
    <w:rsid w:val="00935C6A"/>
    <w:rsid w:val="00935C6B"/>
    <w:rsid w:val="00935C94"/>
    <w:rsid w:val="00935C95"/>
    <w:rsid w:val="00935CE2"/>
    <w:rsid w:val="00935D2A"/>
    <w:rsid w:val="00935D9B"/>
    <w:rsid w:val="00935DAC"/>
    <w:rsid w:val="00935DB9"/>
    <w:rsid w:val="00935DED"/>
    <w:rsid w:val="00935DEF"/>
    <w:rsid w:val="00935E5D"/>
    <w:rsid w:val="00935E7D"/>
    <w:rsid w:val="00935EB2"/>
    <w:rsid w:val="00935F86"/>
    <w:rsid w:val="00935FC2"/>
    <w:rsid w:val="00935FFF"/>
    <w:rsid w:val="00936070"/>
    <w:rsid w:val="0093609F"/>
    <w:rsid w:val="009360D1"/>
    <w:rsid w:val="00936132"/>
    <w:rsid w:val="00936157"/>
    <w:rsid w:val="00936164"/>
    <w:rsid w:val="0093616B"/>
    <w:rsid w:val="00936175"/>
    <w:rsid w:val="00936180"/>
    <w:rsid w:val="009361D5"/>
    <w:rsid w:val="009361E5"/>
    <w:rsid w:val="00936267"/>
    <w:rsid w:val="009362A6"/>
    <w:rsid w:val="009362DA"/>
    <w:rsid w:val="0093633D"/>
    <w:rsid w:val="009363A1"/>
    <w:rsid w:val="009363A9"/>
    <w:rsid w:val="009363E9"/>
    <w:rsid w:val="009363FB"/>
    <w:rsid w:val="00936407"/>
    <w:rsid w:val="00936410"/>
    <w:rsid w:val="00936437"/>
    <w:rsid w:val="00936441"/>
    <w:rsid w:val="00936483"/>
    <w:rsid w:val="0093648E"/>
    <w:rsid w:val="0093651C"/>
    <w:rsid w:val="0093654C"/>
    <w:rsid w:val="00936593"/>
    <w:rsid w:val="009365CF"/>
    <w:rsid w:val="0093660D"/>
    <w:rsid w:val="0093667C"/>
    <w:rsid w:val="009366DE"/>
    <w:rsid w:val="009366F5"/>
    <w:rsid w:val="00936716"/>
    <w:rsid w:val="0093672F"/>
    <w:rsid w:val="0093679F"/>
    <w:rsid w:val="00936853"/>
    <w:rsid w:val="0093693B"/>
    <w:rsid w:val="0093694C"/>
    <w:rsid w:val="00936959"/>
    <w:rsid w:val="00936976"/>
    <w:rsid w:val="009369AD"/>
    <w:rsid w:val="009369AE"/>
    <w:rsid w:val="00936A5A"/>
    <w:rsid w:val="00936A68"/>
    <w:rsid w:val="00936A8E"/>
    <w:rsid w:val="00936ACA"/>
    <w:rsid w:val="00936B3E"/>
    <w:rsid w:val="00936B47"/>
    <w:rsid w:val="00936B4F"/>
    <w:rsid w:val="00936C49"/>
    <w:rsid w:val="00936C5C"/>
    <w:rsid w:val="00936C85"/>
    <w:rsid w:val="00936CA9"/>
    <w:rsid w:val="00936CE1"/>
    <w:rsid w:val="00936CEF"/>
    <w:rsid w:val="00936D39"/>
    <w:rsid w:val="00936D49"/>
    <w:rsid w:val="00936D53"/>
    <w:rsid w:val="00936D74"/>
    <w:rsid w:val="00936D81"/>
    <w:rsid w:val="00936E04"/>
    <w:rsid w:val="00936E30"/>
    <w:rsid w:val="00936E34"/>
    <w:rsid w:val="00936E58"/>
    <w:rsid w:val="00936E8D"/>
    <w:rsid w:val="00936EC2"/>
    <w:rsid w:val="00936F4A"/>
    <w:rsid w:val="00936F4B"/>
    <w:rsid w:val="00936F59"/>
    <w:rsid w:val="00936F60"/>
    <w:rsid w:val="00936F6C"/>
    <w:rsid w:val="00936FB3"/>
    <w:rsid w:val="00937042"/>
    <w:rsid w:val="00937056"/>
    <w:rsid w:val="0093705E"/>
    <w:rsid w:val="00937074"/>
    <w:rsid w:val="009370BB"/>
    <w:rsid w:val="009370C1"/>
    <w:rsid w:val="009370C2"/>
    <w:rsid w:val="00937112"/>
    <w:rsid w:val="0093713A"/>
    <w:rsid w:val="009371A6"/>
    <w:rsid w:val="009371AF"/>
    <w:rsid w:val="009371D8"/>
    <w:rsid w:val="009371DC"/>
    <w:rsid w:val="00937234"/>
    <w:rsid w:val="00937235"/>
    <w:rsid w:val="0093726E"/>
    <w:rsid w:val="009372E6"/>
    <w:rsid w:val="009372F2"/>
    <w:rsid w:val="009372F5"/>
    <w:rsid w:val="009372F7"/>
    <w:rsid w:val="00937309"/>
    <w:rsid w:val="0093738C"/>
    <w:rsid w:val="00937419"/>
    <w:rsid w:val="00937431"/>
    <w:rsid w:val="00937449"/>
    <w:rsid w:val="009374DF"/>
    <w:rsid w:val="00937520"/>
    <w:rsid w:val="00937560"/>
    <w:rsid w:val="00937584"/>
    <w:rsid w:val="00937590"/>
    <w:rsid w:val="009375A5"/>
    <w:rsid w:val="009375F7"/>
    <w:rsid w:val="00937601"/>
    <w:rsid w:val="00937607"/>
    <w:rsid w:val="0093763A"/>
    <w:rsid w:val="00937640"/>
    <w:rsid w:val="00937689"/>
    <w:rsid w:val="009376AD"/>
    <w:rsid w:val="009376B0"/>
    <w:rsid w:val="009376DB"/>
    <w:rsid w:val="00937704"/>
    <w:rsid w:val="0093777A"/>
    <w:rsid w:val="00937784"/>
    <w:rsid w:val="00937797"/>
    <w:rsid w:val="009377CE"/>
    <w:rsid w:val="00937839"/>
    <w:rsid w:val="009378D3"/>
    <w:rsid w:val="009378FA"/>
    <w:rsid w:val="00937938"/>
    <w:rsid w:val="00937956"/>
    <w:rsid w:val="00937972"/>
    <w:rsid w:val="0093799F"/>
    <w:rsid w:val="009379AF"/>
    <w:rsid w:val="009379F0"/>
    <w:rsid w:val="00937A24"/>
    <w:rsid w:val="00937A25"/>
    <w:rsid w:val="00937A2A"/>
    <w:rsid w:val="00937ABA"/>
    <w:rsid w:val="00937ABF"/>
    <w:rsid w:val="00937AD0"/>
    <w:rsid w:val="00937AE3"/>
    <w:rsid w:val="00937BBB"/>
    <w:rsid w:val="00937C1F"/>
    <w:rsid w:val="00937C6A"/>
    <w:rsid w:val="00937C78"/>
    <w:rsid w:val="00937CB1"/>
    <w:rsid w:val="00937CC7"/>
    <w:rsid w:val="00937D21"/>
    <w:rsid w:val="00937D44"/>
    <w:rsid w:val="00937D53"/>
    <w:rsid w:val="00937E27"/>
    <w:rsid w:val="00937EA3"/>
    <w:rsid w:val="00937EB1"/>
    <w:rsid w:val="00937F74"/>
    <w:rsid w:val="00937FC0"/>
    <w:rsid w:val="00937FC4"/>
    <w:rsid w:val="00937FE4"/>
    <w:rsid w:val="00937FE7"/>
    <w:rsid w:val="00937FEB"/>
    <w:rsid w:val="0093EE52"/>
    <w:rsid w:val="00940028"/>
    <w:rsid w:val="00940074"/>
    <w:rsid w:val="00940079"/>
    <w:rsid w:val="0094008D"/>
    <w:rsid w:val="009400D5"/>
    <w:rsid w:val="009400FB"/>
    <w:rsid w:val="00940135"/>
    <w:rsid w:val="0094018E"/>
    <w:rsid w:val="0094019E"/>
    <w:rsid w:val="009401A1"/>
    <w:rsid w:val="009401C9"/>
    <w:rsid w:val="009401CB"/>
    <w:rsid w:val="00940212"/>
    <w:rsid w:val="00940215"/>
    <w:rsid w:val="00940230"/>
    <w:rsid w:val="0094026A"/>
    <w:rsid w:val="0094026E"/>
    <w:rsid w:val="00940281"/>
    <w:rsid w:val="0094028B"/>
    <w:rsid w:val="009402AA"/>
    <w:rsid w:val="0094030E"/>
    <w:rsid w:val="00940310"/>
    <w:rsid w:val="0094034D"/>
    <w:rsid w:val="0094038A"/>
    <w:rsid w:val="0094043D"/>
    <w:rsid w:val="00940495"/>
    <w:rsid w:val="0094049B"/>
    <w:rsid w:val="009404CB"/>
    <w:rsid w:val="0094059E"/>
    <w:rsid w:val="009405F2"/>
    <w:rsid w:val="009406C9"/>
    <w:rsid w:val="009406FF"/>
    <w:rsid w:val="0094072F"/>
    <w:rsid w:val="00940743"/>
    <w:rsid w:val="0094074C"/>
    <w:rsid w:val="0094075C"/>
    <w:rsid w:val="0094076E"/>
    <w:rsid w:val="00940786"/>
    <w:rsid w:val="009407E9"/>
    <w:rsid w:val="009407FE"/>
    <w:rsid w:val="00940802"/>
    <w:rsid w:val="00940810"/>
    <w:rsid w:val="00940858"/>
    <w:rsid w:val="00940883"/>
    <w:rsid w:val="00940908"/>
    <w:rsid w:val="00940927"/>
    <w:rsid w:val="0094097A"/>
    <w:rsid w:val="00940983"/>
    <w:rsid w:val="009409AC"/>
    <w:rsid w:val="009409B2"/>
    <w:rsid w:val="009409BB"/>
    <w:rsid w:val="00940A27"/>
    <w:rsid w:val="00940A77"/>
    <w:rsid w:val="00940AAB"/>
    <w:rsid w:val="00940AB3"/>
    <w:rsid w:val="00940AC8"/>
    <w:rsid w:val="00940B09"/>
    <w:rsid w:val="00940B3A"/>
    <w:rsid w:val="00940B72"/>
    <w:rsid w:val="00940B85"/>
    <w:rsid w:val="00940B8E"/>
    <w:rsid w:val="00940B97"/>
    <w:rsid w:val="00940B9D"/>
    <w:rsid w:val="00940BB4"/>
    <w:rsid w:val="00940C12"/>
    <w:rsid w:val="00940C14"/>
    <w:rsid w:val="00940C15"/>
    <w:rsid w:val="00940C53"/>
    <w:rsid w:val="00940CB6"/>
    <w:rsid w:val="00940CD2"/>
    <w:rsid w:val="00940CD8"/>
    <w:rsid w:val="00940D4A"/>
    <w:rsid w:val="00940D4D"/>
    <w:rsid w:val="00940D8B"/>
    <w:rsid w:val="00940DC1"/>
    <w:rsid w:val="00940DD3"/>
    <w:rsid w:val="00940DD6"/>
    <w:rsid w:val="00940DFA"/>
    <w:rsid w:val="00940E2A"/>
    <w:rsid w:val="00940E8E"/>
    <w:rsid w:val="00940ED6"/>
    <w:rsid w:val="00940F3F"/>
    <w:rsid w:val="00941040"/>
    <w:rsid w:val="00941046"/>
    <w:rsid w:val="0094108D"/>
    <w:rsid w:val="00941096"/>
    <w:rsid w:val="009410FC"/>
    <w:rsid w:val="00941125"/>
    <w:rsid w:val="00941139"/>
    <w:rsid w:val="009411A5"/>
    <w:rsid w:val="009411BE"/>
    <w:rsid w:val="009411D0"/>
    <w:rsid w:val="009411D7"/>
    <w:rsid w:val="009412BE"/>
    <w:rsid w:val="009412C4"/>
    <w:rsid w:val="009412CF"/>
    <w:rsid w:val="00941342"/>
    <w:rsid w:val="0094135E"/>
    <w:rsid w:val="0094145A"/>
    <w:rsid w:val="0094145F"/>
    <w:rsid w:val="00941484"/>
    <w:rsid w:val="009414C6"/>
    <w:rsid w:val="009414E3"/>
    <w:rsid w:val="00941505"/>
    <w:rsid w:val="0094158E"/>
    <w:rsid w:val="009415C7"/>
    <w:rsid w:val="009415E2"/>
    <w:rsid w:val="009415F4"/>
    <w:rsid w:val="00941613"/>
    <w:rsid w:val="00941638"/>
    <w:rsid w:val="00941676"/>
    <w:rsid w:val="00941706"/>
    <w:rsid w:val="00941711"/>
    <w:rsid w:val="00941725"/>
    <w:rsid w:val="0094173A"/>
    <w:rsid w:val="009417BA"/>
    <w:rsid w:val="009417DE"/>
    <w:rsid w:val="0094182E"/>
    <w:rsid w:val="00941888"/>
    <w:rsid w:val="00941911"/>
    <w:rsid w:val="00941914"/>
    <w:rsid w:val="009419DF"/>
    <w:rsid w:val="00941A00"/>
    <w:rsid w:val="00941A0A"/>
    <w:rsid w:val="00941A2B"/>
    <w:rsid w:val="00941A46"/>
    <w:rsid w:val="00941A6E"/>
    <w:rsid w:val="00941A95"/>
    <w:rsid w:val="00941AE6"/>
    <w:rsid w:val="00941B35"/>
    <w:rsid w:val="00941BC8"/>
    <w:rsid w:val="00941C10"/>
    <w:rsid w:val="00941CAC"/>
    <w:rsid w:val="00941CB2"/>
    <w:rsid w:val="00941CB7"/>
    <w:rsid w:val="00941CE4"/>
    <w:rsid w:val="00941CFF"/>
    <w:rsid w:val="00941D11"/>
    <w:rsid w:val="00941D71"/>
    <w:rsid w:val="00941D9B"/>
    <w:rsid w:val="00941DAC"/>
    <w:rsid w:val="00941DDD"/>
    <w:rsid w:val="00941E26"/>
    <w:rsid w:val="00941E35"/>
    <w:rsid w:val="00941E7D"/>
    <w:rsid w:val="00941E86"/>
    <w:rsid w:val="00941ED3"/>
    <w:rsid w:val="00941ED4"/>
    <w:rsid w:val="00941EDC"/>
    <w:rsid w:val="00941F20"/>
    <w:rsid w:val="00941F25"/>
    <w:rsid w:val="00941F29"/>
    <w:rsid w:val="00941F65"/>
    <w:rsid w:val="00941FD2"/>
    <w:rsid w:val="00941FFF"/>
    <w:rsid w:val="00942017"/>
    <w:rsid w:val="0094206E"/>
    <w:rsid w:val="00942089"/>
    <w:rsid w:val="009420B1"/>
    <w:rsid w:val="009420D7"/>
    <w:rsid w:val="009421B2"/>
    <w:rsid w:val="009421BA"/>
    <w:rsid w:val="009421BD"/>
    <w:rsid w:val="0094223E"/>
    <w:rsid w:val="00942255"/>
    <w:rsid w:val="009422FA"/>
    <w:rsid w:val="00942311"/>
    <w:rsid w:val="00942337"/>
    <w:rsid w:val="0094239C"/>
    <w:rsid w:val="009423A1"/>
    <w:rsid w:val="009423C0"/>
    <w:rsid w:val="009423C6"/>
    <w:rsid w:val="0094240A"/>
    <w:rsid w:val="00942415"/>
    <w:rsid w:val="0094242E"/>
    <w:rsid w:val="00942450"/>
    <w:rsid w:val="00942483"/>
    <w:rsid w:val="0094248F"/>
    <w:rsid w:val="00942538"/>
    <w:rsid w:val="00942571"/>
    <w:rsid w:val="00942606"/>
    <w:rsid w:val="00942647"/>
    <w:rsid w:val="00942687"/>
    <w:rsid w:val="009426AA"/>
    <w:rsid w:val="009426D9"/>
    <w:rsid w:val="00942719"/>
    <w:rsid w:val="00942738"/>
    <w:rsid w:val="0094280A"/>
    <w:rsid w:val="009428AB"/>
    <w:rsid w:val="009428F5"/>
    <w:rsid w:val="00942957"/>
    <w:rsid w:val="00942959"/>
    <w:rsid w:val="009429CE"/>
    <w:rsid w:val="009429F1"/>
    <w:rsid w:val="009429F6"/>
    <w:rsid w:val="00942A1C"/>
    <w:rsid w:val="00942A1E"/>
    <w:rsid w:val="00942A49"/>
    <w:rsid w:val="00942A4A"/>
    <w:rsid w:val="00942A76"/>
    <w:rsid w:val="00942AD6"/>
    <w:rsid w:val="00942B47"/>
    <w:rsid w:val="00942B6A"/>
    <w:rsid w:val="00942B7A"/>
    <w:rsid w:val="00942B9D"/>
    <w:rsid w:val="00942BD6"/>
    <w:rsid w:val="00942BF5"/>
    <w:rsid w:val="00942C34"/>
    <w:rsid w:val="00942C71"/>
    <w:rsid w:val="00942C73"/>
    <w:rsid w:val="00942CE7"/>
    <w:rsid w:val="00942CED"/>
    <w:rsid w:val="00942CF7"/>
    <w:rsid w:val="00942D3B"/>
    <w:rsid w:val="00942DA7"/>
    <w:rsid w:val="00942F31"/>
    <w:rsid w:val="00942FA4"/>
    <w:rsid w:val="00943018"/>
    <w:rsid w:val="009430D1"/>
    <w:rsid w:val="009430D6"/>
    <w:rsid w:val="009430DA"/>
    <w:rsid w:val="009430DC"/>
    <w:rsid w:val="00943109"/>
    <w:rsid w:val="00943160"/>
    <w:rsid w:val="009431DB"/>
    <w:rsid w:val="00943215"/>
    <w:rsid w:val="0094321D"/>
    <w:rsid w:val="009432C7"/>
    <w:rsid w:val="009432FD"/>
    <w:rsid w:val="00943375"/>
    <w:rsid w:val="0094337A"/>
    <w:rsid w:val="009433A8"/>
    <w:rsid w:val="00943408"/>
    <w:rsid w:val="0094345E"/>
    <w:rsid w:val="00943466"/>
    <w:rsid w:val="0094347B"/>
    <w:rsid w:val="0094350C"/>
    <w:rsid w:val="00943575"/>
    <w:rsid w:val="00943621"/>
    <w:rsid w:val="00943630"/>
    <w:rsid w:val="00943670"/>
    <w:rsid w:val="0094369E"/>
    <w:rsid w:val="00943750"/>
    <w:rsid w:val="00943759"/>
    <w:rsid w:val="00943777"/>
    <w:rsid w:val="00943782"/>
    <w:rsid w:val="009437B0"/>
    <w:rsid w:val="009437B7"/>
    <w:rsid w:val="009437CE"/>
    <w:rsid w:val="0094384D"/>
    <w:rsid w:val="00943885"/>
    <w:rsid w:val="0094388F"/>
    <w:rsid w:val="009438E9"/>
    <w:rsid w:val="009438FA"/>
    <w:rsid w:val="009438FF"/>
    <w:rsid w:val="00943917"/>
    <w:rsid w:val="0094394D"/>
    <w:rsid w:val="00943982"/>
    <w:rsid w:val="00943988"/>
    <w:rsid w:val="009439B4"/>
    <w:rsid w:val="009439D1"/>
    <w:rsid w:val="009439FF"/>
    <w:rsid w:val="00943A86"/>
    <w:rsid w:val="00943AA8"/>
    <w:rsid w:val="00943AFC"/>
    <w:rsid w:val="00943BBD"/>
    <w:rsid w:val="00943C17"/>
    <w:rsid w:val="00943C21"/>
    <w:rsid w:val="00943C6B"/>
    <w:rsid w:val="00943C6E"/>
    <w:rsid w:val="00943D4D"/>
    <w:rsid w:val="00943DCA"/>
    <w:rsid w:val="00943ECC"/>
    <w:rsid w:val="00943EE8"/>
    <w:rsid w:val="00943F24"/>
    <w:rsid w:val="00943FC0"/>
    <w:rsid w:val="0094400F"/>
    <w:rsid w:val="00944013"/>
    <w:rsid w:val="0094402E"/>
    <w:rsid w:val="0094403D"/>
    <w:rsid w:val="00944063"/>
    <w:rsid w:val="00944071"/>
    <w:rsid w:val="00944074"/>
    <w:rsid w:val="0094408B"/>
    <w:rsid w:val="00944118"/>
    <w:rsid w:val="00944129"/>
    <w:rsid w:val="0094425F"/>
    <w:rsid w:val="0094427D"/>
    <w:rsid w:val="009442C5"/>
    <w:rsid w:val="009442EF"/>
    <w:rsid w:val="0094433D"/>
    <w:rsid w:val="009443F9"/>
    <w:rsid w:val="009443FC"/>
    <w:rsid w:val="00944464"/>
    <w:rsid w:val="0094446E"/>
    <w:rsid w:val="009444AB"/>
    <w:rsid w:val="009444AD"/>
    <w:rsid w:val="009444CD"/>
    <w:rsid w:val="009444F7"/>
    <w:rsid w:val="0094451F"/>
    <w:rsid w:val="0094452A"/>
    <w:rsid w:val="0094453D"/>
    <w:rsid w:val="0094456B"/>
    <w:rsid w:val="00944591"/>
    <w:rsid w:val="00944592"/>
    <w:rsid w:val="009445CE"/>
    <w:rsid w:val="009445D4"/>
    <w:rsid w:val="009445D6"/>
    <w:rsid w:val="009445E5"/>
    <w:rsid w:val="0094463D"/>
    <w:rsid w:val="00944698"/>
    <w:rsid w:val="009446A4"/>
    <w:rsid w:val="009446EC"/>
    <w:rsid w:val="00944712"/>
    <w:rsid w:val="0094472B"/>
    <w:rsid w:val="00944783"/>
    <w:rsid w:val="009447AE"/>
    <w:rsid w:val="009447DD"/>
    <w:rsid w:val="0094480C"/>
    <w:rsid w:val="00944869"/>
    <w:rsid w:val="009448A3"/>
    <w:rsid w:val="009448CE"/>
    <w:rsid w:val="0094493A"/>
    <w:rsid w:val="00944971"/>
    <w:rsid w:val="00944986"/>
    <w:rsid w:val="0094498A"/>
    <w:rsid w:val="009449C0"/>
    <w:rsid w:val="00944A48"/>
    <w:rsid w:val="00944A6F"/>
    <w:rsid w:val="00944A72"/>
    <w:rsid w:val="00944AA2"/>
    <w:rsid w:val="00944AAC"/>
    <w:rsid w:val="00944BA1"/>
    <w:rsid w:val="00944BD8"/>
    <w:rsid w:val="00944C56"/>
    <w:rsid w:val="00944CA8"/>
    <w:rsid w:val="00944CC8"/>
    <w:rsid w:val="00944D2F"/>
    <w:rsid w:val="00944D67"/>
    <w:rsid w:val="00944DAA"/>
    <w:rsid w:val="00944DB8"/>
    <w:rsid w:val="00944E11"/>
    <w:rsid w:val="00944E38"/>
    <w:rsid w:val="00944E3C"/>
    <w:rsid w:val="00944E97"/>
    <w:rsid w:val="00944EE7"/>
    <w:rsid w:val="00944EEC"/>
    <w:rsid w:val="00944F0D"/>
    <w:rsid w:val="00944F1A"/>
    <w:rsid w:val="00944F72"/>
    <w:rsid w:val="00944FBF"/>
    <w:rsid w:val="0094501A"/>
    <w:rsid w:val="0094507F"/>
    <w:rsid w:val="009450D0"/>
    <w:rsid w:val="0094511E"/>
    <w:rsid w:val="00945142"/>
    <w:rsid w:val="00945160"/>
    <w:rsid w:val="0094518B"/>
    <w:rsid w:val="009451AB"/>
    <w:rsid w:val="009451F0"/>
    <w:rsid w:val="00945216"/>
    <w:rsid w:val="00945261"/>
    <w:rsid w:val="0094531F"/>
    <w:rsid w:val="00945322"/>
    <w:rsid w:val="00945325"/>
    <w:rsid w:val="00945341"/>
    <w:rsid w:val="00945343"/>
    <w:rsid w:val="009453DD"/>
    <w:rsid w:val="00945437"/>
    <w:rsid w:val="0094545B"/>
    <w:rsid w:val="009454B3"/>
    <w:rsid w:val="009454D3"/>
    <w:rsid w:val="00945520"/>
    <w:rsid w:val="00945562"/>
    <w:rsid w:val="00945566"/>
    <w:rsid w:val="00945591"/>
    <w:rsid w:val="00945595"/>
    <w:rsid w:val="009455F0"/>
    <w:rsid w:val="00945600"/>
    <w:rsid w:val="00945608"/>
    <w:rsid w:val="009456A3"/>
    <w:rsid w:val="00945714"/>
    <w:rsid w:val="0094571A"/>
    <w:rsid w:val="0094572D"/>
    <w:rsid w:val="00945777"/>
    <w:rsid w:val="009457AE"/>
    <w:rsid w:val="009457EF"/>
    <w:rsid w:val="00945801"/>
    <w:rsid w:val="00945805"/>
    <w:rsid w:val="00945806"/>
    <w:rsid w:val="0094586A"/>
    <w:rsid w:val="00945874"/>
    <w:rsid w:val="009458A7"/>
    <w:rsid w:val="009458AB"/>
    <w:rsid w:val="009458E0"/>
    <w:rsid w:val="009458EB"/>
    <w:rsid w:val="0094595D"/>
    <w:rsid w:val="0094597A"/>
    <w:rsid w:val="009459AF"/>
    <w:rsid w:val="009459B9"/>
    <w:rsid w:val="009459CE"/>
    <w:rsid w:val="009459EC"/>
    <w:rsid w:val="00945B83"/>
    <w:rsid w:val="00945B8E"/>
    <w:rsid w:val="00945C0F"/>
    <w:rsid w:val="00945C29"/>
    <w:rsid w:val="00945CA8"/>
    <w:rsid w:val="00945D01"/>
    <w:rsid w:val="00945D08"/>
    <w:rsid w:val="00945D36"/>
    <w:rsid w:val="00945D5E"/>
    <w:rsid w:val="00945D60"/>
    <w:rsid w:val="00945D6E"/>
    <w:rsid w:val="00945DC5"/>
    <w:rsid w:val="00945E41"/>
    <w:rsid w:val="00945E83"/>
    <w:rsid w:val="00945EA2"/>
    <w:rsid w:val="00945EA7"/>
    <w:rsid w:val="00945F53"/>
    <w:rsid w:val="00945F8E"/>
    <w:rsid w:val="00945FD1"/>
    <w:rsid w:val="00945FD6"/>
    <w:rsid w:val="00946007"/>
    <w:rsid w:val="00946097"/>
    <w:rsid w:val="009460B2"/>
    <w:rsid w:val="009460EF"/>
    <w:rsid w:val="00946116"/>
    <w:rsid w:val="00946146"/>
    <w:rsid w:val="00946152"/>
    <w:rsid w:val="009461E9"/>
    <w:rsid w:val="00946222"/>
    <w:rsid w:val="0094625C"/>
    <w:rsid w:val="00946266"/>
    <w:rsid w:val="00946282"/>
    <w:rsid w:val="00946301"/>
    <w:rsid w:val="0094634A"/>
    <w:rsid w:val="0094634D"/>
    <w:rsid w:val="009463DA"/>
    <w:rsid w:val="00946404"/>
    <w:rsid w:val="00946472"/>
    <w:rsid w:val="009464F1"/>
    <w:rsid w:val="00946519"/>
    <w:rsid w:val="0094651D"/>
    <w:rsid w:val="00946521"/>
    <w:rsid w:val="00946527"/>
    <w:rsid w:val="0094654D"/>
    <w:rsid w:val="0094656C"/>
    <w:rsid w:val="009465C3"/>
    <w:rsid w:val="00946653"/>
    <w:rsid w:val="00946678"/>
    <w:rsid w:val="0094667E"/>
    <w:rsid w:val="009466B5"/>
    <w:rsid w:val="009466B8"/>
    <w:rsid w:val="009466BB"/>
    <w:rsid w:val="0094672B"/>
    <w:rsid w:val="00946765"/>
    <w:rsid w:val="009467F3"/>
    <w:rsid w:val="009467FD"/>
    <w:rsid w:val="00946805"/>
    <w:rsid w:val="00946842"/>
    <w:rsid w:val="0094685B"/>
    <w:rsid w:val="0094689A"/>
    <w:rsid w:val="009468D6"/>
    <w:rsid w:val="009468E6"/>
    <w:rsid w:val="00946970"/>
    <w:rsid w:val="00946999"/>
    <w:rsid w:val="00946A0B"/>
    <w:rsid w:val="00946A31"/>
    <w:rsid w:val="00946A3B"/>
    <w:rsid w:val="00946A69"/>
    <w:rsid w:val="00946A77"/>
    <w:rsid w:val="00946A9E"/>
    <w:rsid w:val="00946ACF"/>
    <w:rsid w:val="00946B0C"/>
    <w:rsid w:val="00946B31"/>
    <w:rsid w:val="00946B58"/>
    <w:rsid w:val="00946B5E"/>
    <w:rsid w:val="00946BCD"/>
    <w:rsid w:val="00946BCF"/>
    <w:rsid w:val="00946C19"/>
    <w:rsid w:val="00946C32"/>
    <w:rsid w:val="00946C76"/>
    <w:rsid w:val="00946C9C"/>
    <w:rsid w:val="00946CAA"/>
    <w:rsid w:val="00946CB3"/>
    <w:rsid w:val="00946CC1"/>
    <w:rsid w:val="00946CCC"/>
    <w:rsid w:val="00946CE8"/>
    <w:rsid w:val="00946D37"/>
    <w:rsid w:val="00946D8C"/>
    <w:rsid w:val="00946DF2"/>
    <w:rsid w:val="00946DF3"/>
    <w:rsid w:val="00946E03"/>
    <w:rsid w:val="00946E9B"/>
    <w:rsid w:val="00946ECD"/>
    <w:rsid w:val="00946EE4"/>
    <w:rsid w:val="00946EFB"/>
    <w:rsid w:val="00946F4A"/>
    <w:rsid w:val="00946F50"/>
    <w:rsid w:val="00946F6E"/>
    <w:rsid w:val="00946FD5"/>
    <w:rsid w:val="0094700C"/>
    <w:rsid w:val="0094701A"/>
    <w:rsid w:val="0094703F"/>
    <w:rsid w:val="00947048"/>
    <w:rsid w:val="00947051"/>
    <w:rsid w:val="0094708E"/>
    <w:rsid w:val="009470DD"/>
    <w:rsid w:val="009470EE"/>
    <w:rsid w:val="009470F1"/>
    <w:rsid w:val="00947149"/>
    <w:rsid w:val="0094717D"/>
    <w:rsid w:val="009471E2"/>
    <w:rsid w:val="0094725F"/>
    <w:rsid w:val="00947287"/>
    <w:rsid w:val="00947290"/>
    <w:rsid w:val="0094730E"/>
    <w:rsid w:val="00947316"/>
    <w:rsid w:val="009473B0"/>
    <w:rsid w:val="009473B4"/>
    <w:rsid w:val="009473C6"/>
    <w:rsid w:val="009473F6"/>
    <w:rsid w:val="0094741F"/>
    <w:rsid w:val="00947424"/>
    <w:rsid w:val="00947488"/>
    <w:rsid w:val="009474CE"/>
    <w:rsid w:val="0094751A"/>
    <w:rsid w:val="00947528"/>
    <w:rsid w:val="00947548"/>
    <w:rsid w:val="00947684"/>
    <w:rsid w:val="0094768A"/>
    <w:rsid w:val="0094768E"/>
    <w:rsid w:val="009476DA"/>
    <w:rsid w:val="00947713"/>
    <w:rsid w:val="00947762"/>
    <w:rsid w:val="00947780"/>
    <w:rsid w:val="00947783"/>
    <w:rsid w:val="009477A8"/>
    <w:rsid w:val="009477E7"/>
    <w:rsid w:val="00947867"/>
    <w:rsid w:val="0094789B"/>
    <w:rsid w:val="009478D7"/>
    <w:rsid w:val="0094791E"/>
    <w:rsid w:val="009479C3"/>
    <w:rsid w:val="009479DF"/>
    <w:rsid w:val="009479F1"/>
    <w:rsid w:val="009479FC"/>
    <w:rsid w:val="00947A17"/>
    <w:rsid w:val="00947A41"/>
    <w:rsid w:val="00947A52"/>
    <w:rsid w:val="00947A65"/>
    <w:rsid w:val="00947A7B"/>
    <w:rsid w:val="00947AA3"/>
    <w:rsid w:val="00947ACC"/>
    <w:rsid w:val="00947BF9"/>
    <w:rsid w:val="00947C1E"/>
    <w:rsid w:val="00947C3B"/>
    <w:rsid w:val="00947D26"/>
    <w:rsid w:val="00947D8E"/>
    <w:rsid w:val="00947DBB"/>
    <w:rsid w:val="00947DBF"/>
    <w:rsid w:val="00947DC0"/>
    <w:rsid w:val="00947E0C"/>
    <w:rsid w:val="00947E3B"/>
    <w:rsid w:val="00947E4C"/>
    <w:rsid w:val="00947E7D"/>
    <w:rsid w:val="00947E8B"/>
    <w:rsid w:val="00947EA7"/>
    <w:rsid w:val="00947EF9"/>
    <w:rsid w:val="00947F1D"/>
    <w:rsid w:val="00947F29"/>
    <w:rsid w:val="00947F68"/>
    <w:rsid w:val="00947FA6"/>
    <w:rsid w:val="00947FC4"/>
    <w:rsid w:val="00947FE6"/>
    <w:rsid w:val="0094A87C"/>
    <w:rsid w:val="0094B22D"/>
    <w:rsid w:val="0094F204"/>
    <w:rsid w:val="00950057"/>
    <w:rsid w:val="009500E4"/>
    <w:rsid w:val="00950119"/>
    <w:rsid w:val="00950124"/>
    <w:rsid w:val="0095015C"/>
    <w:rsid w:val="00950165"/>
    <w:rsid w:val="009501BE"/>
    <w:rsid w:val="009501EE"/>
    <w:rsid w:val="0095026C"/>
    <w:rsid w:val="0095026F"/>
    <w:rsid w:val="009502C1"/>
    <w:rsid w:val="009502E7"/>
    <w:rsid w:val="009502FA"/>
    <w:rsid w:val="0095030F"/>
    <w:rsid w:val="00950344"/>
    <w:rsid w:val="00950345"/>
    <w:rsid w:val="00950389"/>
    <w:rsid w:val="0095039F"/>
    <w:rsid w:val="009503B8"/>
    <w:rsid w:val="009503CA"/>
    <w:rsid w:val="009503E7"/>
    <w:rsid w:val="009503EE"/>
    <w:rsid w:val="00950403"/>
    <w:rsid w:val="0095041F"/>
    <w:rsid w:val="0095044D"/>
    <w:rsid w:val="00950453"/>
    <w:rsid w:val="009504B1"/>
    <w:rsid w:val="0095059F"/>
    <w:rsid w:val="009505BC"/>
    <w:rsid w:val="0095064D"/>
    <w:rsid w:val="009506BC"/>
    <w:rsid w:val="009506E9"/>
    <w:rsid w:val="00950742"/>
    <w:rsid w:val="0095077F"/>
    <w:rsid w:val="009507B5"/>
    <w:rsid w:val="009507CA"/>
    <w:rsid w:val="009507F0"/>
    <w:rsid w:val="00950828"/>
    <w:rsid w:val="0095084B"/>
    <w:rsid w:val="0095087D"/>
    <w:rsid w:val="009508AB"/>
    <w:rsid w:val="009508C2"/>
    <w:rsid w:val="0095090F"/>
    <w:rsid w:val="0095094A"/>
    <w:rsid w:val="00950970"/>
    <w:rsid w:val="009509F5"/>
    <w:rsid w:val="00950A3B"/>
    <w:rsid w:val="00950A52"/>
    <w:rsid w:val="00950A7A"/>
    <w:rsid w:val="00950A91"/>
    <w:rsid w:val="00950AA4"/>
    <w:rsid w:val="00950AF8"/>
    <w:rsid w:val="00950B42"/>
    <w:rsid w:val="00950B74"/>
    <w:rsid w:val="00950B80"/>
    <w:rsid w:val="00950B8D"/>
    <w:rsid w:val="00950C34"/>
    <w:rsid w:val="00950C5B"/>
    <w:rsid w:val="00950C7A"/>
    <w:rsid w:val="00950CA8"/>
    <w:rsid w:val="00950D36"/>
    <w:rsid w:val="00950DF0"/>
    <w:rsid w:val="00950E4D"/>
    <w:rsid w:val="00950EA5"/>
    <w:rsid w:val="00950EB3"/>
    <w:rsid w:val="00950EC0"/>
    <w:rsid w:val="00950EEF"/>
    <w:rsid w:val="00950F0C"/>
    <w:rsid w:val="00950F13"/>
    <w:rsid w:val="00950F76"/>
    <w:rsid w:val="00950FD5"/>
    <w:rsid w:val="00951013"/>
    <w:rsid w:val="0095103D"/>
    <w:rsid w:val="00951080"/>
    <w:rsid w:val="009510A1"/>
    <w:rsid w:val="009510DE"/>
    <w:rsid w:val="009510ED"/>
    <w:rsid w:val="00951110"/>
    <w:rsid w:val="0095112F"/>
    <w:rsid w:val="0095118B"/>
    <w:rsid w:val="0095119B"/>
    <w:rsid w:val="0095122F"/>
    <w:rsid w:val="009512B6"/>
    <w:rsid w:val="009512F1"/>
    <w:rsid w:val="0095134E"/>
    <w:rsid w:val="009513D7"/>
    <w:rsid w:val="0095152B"/>
    <w:rsid w:val="00951547"/>
    <w:rsid w:val="00951580"/>
    <w:rsid w:val="009515B3"/>
    <w:rsid w:val="009515DB"/>
    <w:rsid w:val="0095162F"/>
    <w:rsid w:val="0095168F"/>
    <w:rsid w:val="00951740"/>
    <w:rsid w:val="0095174A"/>
    <w:rsid w:val="00951783"/>
    <w:rsid w:val="0095178D"/>
    <w:rsid w:val="0095179D"/>
    <w:rsid w:val="00951800"/>
    <w:rsid w:val="00951821"/>
    <w:rsid w:val="00951844"/>
    <w:rsid w:val="0095184B"/>
    <w:rsid w:val="009518AB"/>
    <w:rsid w:val="009518B9"/>
    <w:rsid w:val="00951947"/>
    <w:rsid w:val="00951969"/>
    <w:rsid w:val="009519A6"/>
    <w:rsid w:val="009519D8"/>
    <w:rsid w:val="009519E8"/>
    <w:rsid w:val="009519F6"/>
    <w:rsid w:val="00951A05"/>
    <w:rsid w:val="00951A2E"/>
    <w:rsid w:val="00951A55"/>
    <w:rsid w:val="00951A5F"/>
    <w:rsid w:val="00951A85"/>
    <w:rsid w:val="00951AA8"/>
    <w:rsid w:val="00951AD5"/>
    <w:rsid w:val="00951AD7"/>
    <w:rsid w:val="00951B56"/>
    <w:rsid w:val="00951BBC"/>
    <w:rsid w:val="00951C05"/>
    <w:rsid w:val="00951C42"/>
    <w:rsid w:val="00951C81"/>
    <w:rsid w:val="00951C93"/>
    <w:rsid w:val="00951CED"/>
    <w:rsid w:val="00951D88"/>
    <w:rsid w:val="00951D96"/>
    <w:rsid w:val="00951DF1"/>
    <w:rsid w:val="00951E29"/>
    <w:rsid w:val="00951EA0"/>
    <w:rsid w:val="00951ED9"/>
    <w:rsid w:val="00951EDA"/>
    <w:rsid w:val="00951F17"/>
    <w:rsid w:val="00951F91"/>
    <w:rsid w:val="00951FC1"/>
    <w:rsid w:val="00951FDA"/>
    <w:rsid w:val="0095200B"/>
    <w:rsid w:val="0095200E"/>
    <w:rsid w:val="00952042"/>
    <w:rsid w:val="009520D9"/>
    <w:rsid w:val="009520DB"/>
    <w:rsid w:val="009520E2"/>
    <w:rsid w:val="0095216B"/>
    <w:rsid w:val="009521A2"/>
    <w:rsid w:val="009521AD"/>
    <w:rsid w:val="009521B4"/>
    <w:rsid w:val="009521E4"/>
    <w:rsid w:val="00952203"/>
    <w:rsid w:val="00952204"/>
    <w:rsid w:val="0095220B"/>
    <w:rsid w:val="0095223C"/>
    <w:rsid w:val="0095224D"/>
    <w:rsid w:val="0095225D"/>
    <w:rsid w:val="0095226E"/>
    <w:rsid w:val="009523F9"/>
    <w:rsid w:val="00952447"/>
    <w:rsid w:val="0095248A"/>
    <w:rsid w:val="009524A5"/>
    <w:rsid w:val="009524DD"/>
    <w:rsid w:val="009524F9"/>
    <w:rsid w:val="0095251D"/>
    <w:rsid w:val="00952585"/>
    <w:rsid w:val="009525D7"/>
    <w:rsid w:val="0095260C"/>
    <w:rsid w:val="00952644"/>
    <w:rsid w:val="009526A2"/>
    <w:rsid w:val="00952722"/>
    <w:rsid w:val="0095273A"/>
    <w:rsid w:val="00952752"/>
    <w:rsid w:val="009527BC"/>
    <w:rsid w:val="009527C3"/>
    <w:rsid w:val="009527E1"/>
    <w:rsid w:val="00952805"/>
    <w:rsid w:val="00952846"/>
    <w:rsid w:val="00952884"/>
    <w:rsid w:val="00952886"/>
    <w:rsid w:val="009528AC"/>
    <w:rsid w:val="009528F1"/>
    <w:rsid w:val="0095293A"/>
    <w:rsid w:val="0095296C"/>
    <w:rsid w:val="00952972"/>
    <w:rsid w:val="0095299E"/>
    <w:rsid w:val="009529B2"/>
    <w:rsid w:val="009529D2"/>
    <w:rsid w:val="009529D6"/>
    <w:rsid w:val="00952A2C"/>
    <w:rsid w:val="00952A45"/>
    <w:rsid w:val="00952A54"/>
    <w:rsid w:val="00952A74"/>
    <w:rsid w:val="00952AA2"/>
    <w:rsid w:val="00952AC4"/>
    <w:rsid w:val="00952B1C"/>
    <w:rsid w:val="00952B63"/>
    <w:rsid w:val="00952C11"/>
    <w:rsid w:val="00952C24"/>
    <w:rsid w:val="00952D22"/>
    <w:rsid w:val="00952D27"/>
    <w:rsid w:val="00952D32"/>
    <w:rsid w:val="00952D3F"/>
    <w:rsid w:val="00952D96"/>
    <w:rsid w:val="00952D9F"/>
    <w:rsid w:val="00952DF0"/>
    <w:rsid w:val="00952E53"/>
    <w:rsid w:val="00952EA9"/>
    <w:rsid w:val="00952EB3"/>
    <w:rsid w:val="00952EEF"/>
    <w:rsid w:val="00952F45"/>
    <w:rsid w:val="00952F6B"/>
    <w:rsid w:val="00952FDB"/>
    <w:rsid w:val="00953011"/>
    <w:rsid w:val="0095301E"/>
    <w:rsid w:val="00953075"/>
    <w:rsid w:val="009530C9"/>
    <w:rsid w:val="00953110"/>
    <w:rsid w:val="00953183"/>
    <w:rsid w:val="0095318E"/>
    <w:rsid w:val="009531DD"/>
    <w:rsid w:val="00953284"/>
    <w:rsid w:val="0095329C"/>
    <w:rsid w:val="009532FF"/>
    <w:rsid w:val="00953386"/>
    <w:rsid w:val="00953433"/>
    <w:rsid w:val="0095343D"/>
    <w:rsid w:val="0095346B"/>
    <w:rsid w:val="00953496"/>
    <w:rsid w:val="009534BF"/>
    <w:rsid w:val="00953512"/>
    <w:rsid w:val="00953516"/>
    <w:rsid w:val="00953567"/>
    <w:rsid w:val="0095356C"/>
    <w:rsid w:val="009535AA"/>
    <w:rsid w:val="009536A4"/>
    <w:rsid w:val="009536AE"/>
    <w:rsid w:val="009536DB"/>
    <w:rsid w:val="00953714"/>
    <w:rsid w:val="009537BB"/>
    <w:rsid w:val="009537E8"/>
    <w:rsid w:val="0095381C"/>
    <w:rsid w:val="00953848"/>
    <w:rsid w:val="00953992"/>
    <w:rsid w:val="00953997"/>
    <w:rsid w:val="009539A8"/>
    <w:rsid w:val="009539AA"/>
    <w:rsid w:val="009539EC"/>
    <w:rsid w:val="009539F9"/>
    <w:rsid w:val="00953A3C"/>
    <w:rsid w:val="00953AAA"/>
    <w:rsid w:val="00953AB5"/>
    <w:rsid w:val="00953AE9"/>
    <w:rsid w:val="00953B5D"/>
    <w:rsid w:val="00953B7E"/>
    <w:rsid w:val="00953B88"/>
    <w:rsid w:val="00953B9D"/>
    <w:rsid w:val="00953C59"/>
    <w:rsid w:val="00953D00"/>
    <w:rsid w:val="00953D01"/>
    <w:rsid w:val="00953D34"/>
    <w:rsid w:val="00953D9F"/>
    <w:rsid w:val="00953DE7"/>
    <w:rsid w:val="00953EBB"/>
    <w:rsid w:val="00953F7B"/>
    <w:rsid w:val="00953FE9"/>
    <w:rsid w:val="00953FF2"/>
    <w:rsid w:val="0095403D"/>
    <w:rsid w:val="00954060"/>
    <w:rsid w:val="00954064"/>
    <w:rsid w:val="0095406F"/>
    <w:rsid w:val="009540FE"/>
    <w:rsid w:val="00954191"/>
    <w:rsid w:val="009541AA"/>
    <w:rsid w:val="009541B8"/>
    <w:rsid w:val="009541E0"/>
    <w:rsid w:val="009541E4"/>
    <w:rsid w:val="009541F1"/>
    <w:rsid w:val="00954258"/>
    <w:rsid w:val="0095425C"/>
    <w:rsid w:val="00954288"/>
    <w:rsid w:val="009542A2"/>
    <w:rsid w:val="009542EC"/>
    <w:rsid w:val="00954327"/>
    <w:rsid w:val="00954361"/>
    <w:rsid w:val="0095439A"/>
    <w:rsid w:val="0095441A"/>
    <w:rsid w:val="0095447D"/>
    <w:rsid w:val="009544AD"/>
    <w:rsid w:val="009544CD"/>
    <w:rsid w:val="009544D3"/>
    <w:rsid w:val="009544E4"/>
    <w:rsid w:val="009544E5"/>
    <w:rsid w:val="009544EF"/>
    <w:rsid w:val="009544F7"/>
    <w:rsid w:val="00954509"/>
    <w:rsid w:val="00954519"/>
    <w:rsid w:val="0095451F"/>
    <w:rsid w:val="00954530"/>
    <w:rsid w:val="0095457C"/>
    <w:rsid w:val="009545F2"/>
    <w:rsid w:val="00954606"/>
    <w:rsid w:val="009546F7"/>
    <w:rsid w:val="00954705"/>
    <w:rsid w:val="00954745"/>
    <w:rsid w:val="00954784"/>
    <w:rsid w:val="00954797"/>
    <w:rsid w:val="009547DD"/>
    <w:rsid w:val="009547E2"/>
    <w:rsid w:val="009547EE"/>
    <w:rsid w:val="0095480A"/>
    <w:rsid w:val="00954838"/>
    <w:rsid w:val="0095483E"/>
    <w:rsid w:val="00954854"/>
    <w:rsid w:val="00954865"/>
    <w:rsid w:val="00954898"/>
    <w:rsid w:val="009548DE"/>
    <w:rsid w:val="00954924"/>
    <w:rsid w:val="00954930"/>
    <w:rsid w:val="0095499C"/>
    <w:rsid w:val="009549C0"/>
    <w:rsid w:val="009549F6"/>
    <w:rsid w:val="009549FE"/>
    <w:rsid w:val="00954A0B"/>
    <w:rsid w:val="00954A6F"/>
    <w:rsid w:val="00954ACB"/>
    <w:rsid w:val="00954B27"/>
    <w:rsid w:val="00954B3C"/>
    <w:rsid w:val="00954B79"/>
    <w:rsid w:val="00954B9E"/>
    <w:rsid w:val="00954C4C"/>
    <w:rsid w:val="00954C82"/>
    <w:rsid w:val="00954C8E"/>
    <w:rsid w:val="00954CB0"/>
    <w:rsid w:val="00954CD0"/>
    <w:rsid w:val="00954D78"/>
    <w:rsid w:val="00954DE7"/>
    <w:rsid w:val="00954E21"/>
    <w:rsid w:val="00954E2E"/>
    <w:rsid w:val="00954F21"/>
    <w:rsid w:val="00954F2B"/>
    <w:rsid w:val="00954F4A"/>
    <w:rsid w:val="00954F50"/>
    <w:rsid w:val="00954F53"/>
    <w:rsid w:val="00954F69"/>
    <w:rsid w:val="00954F86"/>
    <w:rsid w:val="00954F8B"/>
    <w:rsid w:val="00954FC6"/>
    <w:rsid w:val="00954FD5"/>
    <w:rsid w:val="00954FE9"/>
    <w:rsid w:val="00955038"/>
    <w:rsid w:val="00955084"/>
    <w:rsid w:val="009550E9"/>
    <w:rsid w:val="00955168"/>
    <w:rsid w:val="0095516E"/>
    <w:rsid w:val="009551AA"/>
    <w:rsid w:val="009551E9"/>
    <w:rsid w:val="009551EB"/>
    <w:rsid w:val="0095523A"/>
    <w:rsid w:val="00955260"/>
    <w:rsid w:val="00955287"/>
    <w:rsid w:val="009552F6"/>
    <w:rsid w:val="00955326"/>
    <w:rsid w:val="00955338"/>
    <w:rsid w:val="009553E0"/>
    <w:rsid w:val="00955427"/>
    <w:rsid w:val="0095544F"/>
    <w:rsid w:val="009554A5"/>
    <w:rsid w:val="009554A7"/>
    <w:rsid w:val="009554F8"/>
    <w:rsid w:val="0095550C"/>
    <w:rsid w:val="0095552C"/>
    <w:rsid w:val="00955552"/>
    <w:rsid w:val="0095557A"/>
    <w:rsid w:val="009555D5"/>
    <w:rsid w:val="009555D9"/>
    <w:rsid w:val="009555E0"/>
    <w:rsid w:val="009555EC"/>
    <w:rsid w:val="00955614"/>
    <w:rsid w:val="00955616"/>
    <w:rsid w:val="00955625"/>
    <w:rsid w:val="00955631"/>
    <w:rsid w:val="00955632"/>
    <w:rsid w:val="00955667"/>
    <w:rsid w:val="0095568D"/>
    <w:rsid w:val="00955753"/>
    <w:rsid w:val="0095576B"/>
    <w:rsid w:val="0095578A"/>
    <w:rsid w:val="009557BB"/>
    <w:rsid w:val="009557E6"/>
    <w:rsid w:val="00955829"/>
    <w:rsid w:val="00955863"/>
    <w:rsid w:val="009558A3"/>
    <w:rsid w:val="009558F6"/>
    <w:rsid w:val="0095590C"/>
    <w:rsid w:val="0095595F"/>
    <w:rsid w:val="0095599D"/>
    <w:rsid w:val="009559C2"/>
    <w:rsid w:val="009559E8"/>
    <w:rsid w:val="00955A1B"/>
    <w:rsid w:val="00955A28"/>
    <w:rsid w:val="00955A55"/>
    <w:rsid w:val="00955A6C"/>
    <w:rsid w:val="00955A7E"/>
    <w:rsid w:val="00955A8C"/>
    <w:rsid w:val="00955AB2"/>
    <w:rsid w:val="00955AB7"/>
    <w:rsid w:val="00955AD0"/>
    <w:rsid w:val="00955AFE"/>
    <w:rsid w:val="00955B03"/>
    <w:rsid w:val="00955B1C"/>
    <w:rsid w:val="00955B22"/>
    <w:rsid w:val="00955B2B"/>
    <w:rsid w:val="00955BC7"/>
    <w:rsid w:val="00955C1F"/>
    <w:rsid w:val="00955C72"/>
    <w:rsid w:val="00955C74"/>
    <w:rsid w:val="00955C7D"/>
    <w:rsid w:val="00955CD4"/>
    <w:rsid w:val="00955CEE"/>
    <w:rsid w:val="00955CF9"/>
    <w:rsid w:val="00955D2E"/>
    <w:rsid w:val="00955D71"/>
    <w:rsid w:val="00955DEA"/>
    <w:rsid w:val="00955E3E"/>
    <w:rsid w:val="00955EAA"/>
    <w:rsid w:val="00955F2F"/>
    <w:rsid w:val="00955F8D"/>
    <w:rsid w:val="00955F96"/>
    <w:rsid w:val="00955FF5"/>
    <w:rsid w:val="00956055"/>
    <w:rsid w:val="009560A9"/>
    <w:rsid w:val="009560E2"/>
    <w:rsid w:val="009560EA"/>
    <w:rsid w:val="0095612B"/>
    <w:rsid w:val="00956166"/>
    <w:rsid w:val="00956178"/>
    <w:rsid w:val="0095619E"/>
    <w:rsid w:val="009561D9"/>
    <w:rsid w:val="009561E9"/>
    <w:rsid w:val="00956217"/>
    <w:rsid w:val="00956324"/>
    <w:rsid w:val="00956339"/>
    <w:rsid w:val="00956381"/>
    <w:rsid w:val="009563EE"/>
    <w:rsid w:val="00956410"/>
    <w:rsid w:val="00956433"/>
    <w:rsid w:val="0095645E"/>
    <w:rsid w:val="00956488"/>
    <w:rsid w:val="009564EA"/>
    <w:rsid w:val="00956513"/>
    <w:rsid w:val="00956514"/>
    <w:rsid w:val="00956532"/>
    <w:rsid w:val="0095653E"/>
    <w:rsid w:val="00956561"/>
    <w:rsid w:val="009565E5"/>
    <w:rsid w:val="00956615"/>
    <w:rsid w:val="00956639"/>
    <w:rsid w:val="00956663"/>
    <w:rsid w:val="00956680"/>
    <w:rsid w:val="009566C9"/>
    <w:rsid w:val="009566E2"/>
    <w:rsid w:val="00956779"/>
    <w:rsid w:val="009567A1"/>
    <w:rsid w:val="009567C6"/>
    <w:rsid w:val="009567DC"/>
    <w:rsid w:val="009567E1"/>
    <w:rsid w:val="009567E9"/>
    <w:rsid w:val="009567F8"/>
    <w:rsid w:val="00956818"/>
    <w:rsid w:val="00956832"/>
    <w:rsid w:val="00956872"/>
    <w:rsid w:val="009568BC"/>
    <w:rsid w:val="009568D3"/>
    <w:rsid w:val="009568E5"/>
    <w:rsid w:val="00956963"/>
    <w:rsid w:val="009569F3"/>
    <w:rsid w:val="00956A04"/>
    <w:rsid w:val="00956A42"/>
    <w:rsid w:val="00956A63"/>
    <w:rsid w:val="00956A84"/>
    <w:rsid w:val="00956AE6"/>
    <w:rsid w:val="00956AEF"/>
    <w:rsid w:val="00956AF0"/>
    <w:rsid w:val="00956B73"/>
    <w:rsid w:val="00956B79"/>
    <w:rsid w:val="00956CF1"/>
    <w:rsid w:val="00956D5E"/>
    <w:rsid w:val="00956DAD"/>
    <w:rsid w:val="00956DDC"/>
    <w:rsid w:val="00956E1E"/>
    <w:rsid w:val="00956E36"/>
    <w:rsid w:val="00956E3B"/>
    <w:rsid w:val="00956E45"/>
    <w:rsid w:val="00956EA2"/>
    <w:rsid w:val="00956EA6"/>
    <w:rsid w:val="00956EDE"/>
    <w:rsid w:val="00956F1B"/>
    <w:rsid w:val="00956F78"/>
    <w:rsid w:val="00956FD1"/>
    <w:rsid w:val="00957016"/>
    <w:rsid w:val="0095709C"/>
    <w:rsid w:val="009570B8"/>
    <w:rsid w:val="009570D0"/>
    <w:rsid w:val="009570DC"/>
    <w:rsid w:val="0095710F"/>
    <w:rsid w:val="00957112"/>
    <w:rsid w:val="0095711E"/>
    <w:rsid w:val="00957164"/>
    <w:rsid w:val="009571D6"/>
    <w:rsid w:val="009571E4"/>
    <w:rsid w:val="009571EC"/>
    <w:rsid w:val="0095726B"/>
    <w:rsid w:val="00957278"/>
    <w:rsid w:val="00957298"/>
    <w:rsid w:val="009572A0"/>
    <w:rsid w:val="009572B9"/>
    <w:rsid w:val="009572C8"/>
    <w:rsid w:val="009572D3"/>
    <w:rsid w:val="0095730A"/>
    <w:rsid w:val="0095736F"/>
    <w:rsid w:val="009573AF"/>
    <w:rsid w:val="00957427"/>
    <w:rsid w:val="00957430"/>
    <w:rsid w:val="00957473"/>
    <w:rsid w:val="00957493"/>
    <w:rsid w:val="009574B5"/>
    <w:rsid w:val="009574C7"/>
    <w:rsid w:val="009574D1"/>
    <w:rsid w:val="00957564"/>
    <w:rsid w:val="009575AA"/>
    <w:rsid w:val="009575E2"/>
    <w:rsid w:val="009575EB"/>
    <w:rsid w:val="0095761B"/>
    <w:rsid w:val="0095763B"/>
    <w:rsid w:val="00957642"/>
    <w:rsid w:val="00957670"/>
    <w:rsid w:val="009576B5"/>
    <w:rsid w:val="009576C1"/>
    <w:rsid w:val="0095772D"/>
    <w:rsid w:val="00957744"/>
    <w:rsid w:val="0095775B"/>
    <w:rsid w:val="00957766"/>
    <w:rsid w:val="00957774"/>
    <w:rsid w:val="009577A4"/>
    <w:rsid w:val="00957837"/>
    <w:rsid w:val="0095784D"/>
    <w:rsid w:val="0095788E"/>
    <w:rsid w:val="009578E7"/>
    <w:rsid w:val="00957944"/>
    <w:rsid w:val="009579A3"/>
    <w:rsid w:val="009579AA"/>
    <w:rsid w:val="00957AD5"/>
    <w:rsid w:val="00957AE8"/>
    <w:rsid w:val="00957AEE"/>
    <w:rsid w:val="00957B06"/>
    <w:rsid w:val="00957B39"/>
    <w:rsid w:val="00957B81"/>
    <w:rsid w:val="00957B89"/>
    <w:rsid w:val="00957BB7"/>
    <w:rsid w:val="00957C7C"/>
    <w:rsid w:val="00957CDF"/>
    <w:rsid w:val="00957CE7"/>
    <w:rsid w:val="00957D82"/>
    <w:rsid w:val="00957D8A"/>
    <w:rsid w:val="00957DC1"/>
    <w:rsid w:val="00957DE0"/>
    <w:rsid w:val="00957EAE"/>
    <w:rsid w:val="00957EB2"/>
    <w:rsid w:val="00957EB4"/>
    <w:rsid w:val="00957EF2"/>
    <w:rsid w:val="00957EF5"/>
    <w:rsid w:val="00957FAC"/>
    <w:rsid w:val="00957FC3"/>
    <w:rsid w:val="0095FAE6"/>
    <w:rsid w:val="00960079"/>
    <w:rsid w:val="009600E2"/>
    <w:rsid w:val="00960148"/>
    <w:rsid w:val="00960161"/>
    <w:rsid w:val="009601A2"/>
    <w:rsid w:val="009601C7"/>
    <w:rsid w:val="009601E2"/>
    <w:rsid w:val="00960224"/>
    <w:rsid w:val="0096023C"/>
    <w:rsid w:val="00960292"/>
    <w:rsid w:val="009602B3"/>
    <w:rsid w:val="009602B9"/>
    <w:rsid w:val="009602E8"/>
    <w:rsid w:val="009602FD"/>
    <w:rsid w:val="0096035E"/>
    <w:rsid w:val="00960373"/>
    <w:rsid w:val="0096039F"/>
    <w:rsid w:val="009603F2"/>
    <w:rsid w:val="00960424"/>
    <w:rsid w:val="0096042B"/>
    <w:rsid w:val="00960446"/>
    <w:rsid w:val="009604CC"/>
    <w:rsid w:val="0096054B"/>
    <w:rsid w:val="009605D5"/>
    <w:rsid w:val="009605E9"/>
    <w:rsid w:val="00960686"/>
    <w:rsid w:val="0096069A"/>
    <w:rsid w:val="009606A6"/>
    <w:rsid w:val="009606B2"/>
    <w:rsid w:val="0096072F"/>
    <w:rsid w:val="00960738"/>
    <w:rsid w:val="00960747"/>
    <w:rsid w:val="0096074F"/>
    <w:rsid w:val="009607DB"/>
    <w:rsid w:val="009607E7"/>
    <w:rsid w:val="00960885"/>
    <w:rsid w:val="0096088E"/>
    <w:rsid w:val="00960893"/>
    <w:rsid w:val="00960894"/>
    <w:rsid w:val="0096089F"/>
    <w:rsid w:val="009608CB"/>
    <w:rsid w:val="009608DF"/>
    <w:rsid w:val="009608E9"/>
    <w:rsid w:val="0096090F"/>
    <w:rsid w:val="0096092C"/>
    <w:rsid w:val="0096099B"/>
    <w:rsid w:val="009609A0"/>
    <w:rsid w:val="009609C3"/>
    <w:rsid w:val="009609D3"/>
    <w:rsid w:val="00960A73"/>
    <w:rsid w:val="00960AEE"/>
    <w:rsid w:val="00960B53"/>
    <w:rsid w:val="00960BA4"/>
    <w:rsid w:val="00960C16"/>
    <w:rsid w:val="00960C42"/>
    <w:rsid w:val="00960CEC"/>
    <w:rsid w:val="00960D19"/>
    <w:rsid w:val="00960D3B"/>
    <w:rsid w:val="00960D50"/>
    <w:rsid w:val="00960D71"/>
    <w:rsid w:val="00960D7E"/>
    <w:rsid w:val="00960D88"/>
    <w:rsid w:val="00960EFE"/>
    <w:rsid w:val="00960F00"/>
    <w:rsid w:val="00960F42"/>
    <w:rsid w:val="00960F4B"/>
    <w:rsid w:val="00960FBD"/>
    <w:rsid w:val="00960FD2"/>
    <w:rsid w:val="00960FE1"/>
    <w:rsid w:val="00960FED"/>
    <w:rsid w:val="00960FF2"/>
    <w:rsid w:val="0096108F"/>
    <w:rsid w:val="009610F4"/>
    <w:rsid w:val="009610FE"/>
    <w:rsid w:val="00961131"/>
    <w:rsid w:val="00961132"/>
    <w:rsid w:val="00961173"/>
    <w:rsid w:val="009611A7"/>
    <w:rsid w:val="009611AF"/>
    <w:rsid w:val="0096122E"/>
    <w:rsid w:val="00961251"/>
    <w:rsid w:val="009612A1"/>
    <w:rsid w:val="009612C9"/>
    <w:rsid w:val="00961367"/>
    <w:rsid w:val="009613F4"/>
    <w:rsid w:val="00961423"/>
    <w:rsid w:val="00961427"/>
    <w:rsid w:val="00961470"/>
    <w:rsid w:val="00961480"/>
    <w:rsid w:val="009614AF"/>
    <w:rsid w:val="00961593"/>
    <w:rsid w:val="009615A4"/>
    <w:rsid w:val="009615C8"/>
    <w:rsid w:val="009615CC"/>
    <w:rsid w:val="009615D3"/>
    <w:rsid w:val="009615E0"/>
    <w:rsid w:val="009615F0"/>
    <w:rsid w:val="00961633"/>
    <w:rsid w:val="00961649"/>
    <w:rsid w:val="00961653"/>
    <w:rsid w:val="00961687"/>
    <w:rsid w:val="00961693"/>
    <w:rsid w:val="009616B3"/>
    <w:rsid w:val="0096171B"/>
    <w:rsid w:val="00961722"/>
    <w:rsid w:val="0096172E"/>
    <w:rsid w:val="00961736"/>
    <w:rsid w:val="0096173E"/>
    <w:rsid w:val="0096173F"/>
    <w:rsid w:val="00961755"/>
    <w:rsid w:val="009617AB"/>
    <w:rsid w:val="009617D2"/>
    <w:rsid w:val="009617DA"/>
    <w:rsid w:val="0096182A"/>
    <w:rsid w:val="00961851"/>
    <w:rsid w:val="009618F9"/>
    <w:rsid w:val="009618FC"/>
    <w:rsid w:val="0096199E"/>
    <w:rsid w:val="009619F9"/>
    <w:rsid w:val="00961A57"/>
    <w:rsid w:val="00961A60"/>
    <w:rsid w:val="00961A6C"/>
    <w:rsid w:val="00961B37"/>
    <w:rsid w:val="00961B49"/>
    <w:rsid w:val="00961C22"/>
    <w:rsid w:val="00961C62"/>
    <w:rsid w:val="00961C79"/>
    <w:rsid w:val="00961CAE"/>
    <w:rsid w:val="00961CD9"/>
    <w:rsid w:val="00961D3D"/>
    <w:rsid w:val="00961D71"/>
    <w:rsid w:val="00961D80"/>
    <w:rsid w:val="00961D82"/>
    <w:rsid w:val="00961D83"/>
    <w:rsid w:val="00961DA1"/>
    <w:rsid w:val="00961E0B"/>
    <w:rsid w:val="00961E18"/>
    <w:rsid w:val="00961E3F"/>
    <w:rsid w:val="00961E51"/>
    <w:rsid w:val="00961E60"/>
    <w:rsid w:val="00961E65"/>
    <w:rsid w:val="00961E8D"/>
    <w:rsid w:val="00961F52"/>
    <w:rsid w:val="00961F5D"/>
    <w:rsid w:val="00961F6C"/>
    <w:rsid w:val="00961FC2"/>
    <w:rsid w:val="00961FC9"/>
    <w:rsid w:val="00961FCA"/>
    <w:rsid w:val="0096203A"/>
    <w:rsid w:val="009620ED"/>
    <w:rsid w:val="009620EE"/>
    <w:rsid w:val="00962146"/>
    <w:rsid w:val="00962199"/>
    <w:rsid w:val="009621A7"/>
    <w:rsid w:val="009621D4"/>
    <w:rsid w:val="00962244"/>
    <w:rsid w:val="0096227B"/>
    <w:rsid w:val="009622F2"/>
    <w:rsid w:val="00962331"/>
    <w:rsid w:val="009623BE"/>
    <w:rsid w:val="009623D9"/>
    <w:rsid w:val="009623E9"/>
    <w:rsid w:val="009623EB"/>
    <w:rsid w:val="009623F3"/>
    <w:rsid w:val="00962400"/>
    <w:rsid w:val="00962487"/>
    <w:rsid w:val="00962497"/>
    <w:rsid w:val="00962506"/>
    <w:rsid w:val="00962531"/>
    <w:rsid w:val="00962533"/>
    <w:rsid w:val="00962536"/>
    <w:rsid w:val="00962547"/>
    <w:rsid w:val="00962548"/>
    <w:rsid w:val="0096256A"/>
    <w:rsid w:val="00962576"/>
    <w:rsid w:val="009625ED"/>
    <w:rsid w:val="00962624"/>
    <w:rsid w:val="0096263D"/>
    <w:rsid w:val="00962665"/>
    <w:rsid w:val="00962693"/>
    <w:rsid w:val="0096269D"/>
    <w:rsid w:val="009626DA"/>
    <w:rsid w:val="009626F8"/>
    <w:rsid w:val="009627D6"/>
    <w:rsid w:val="00962806"/>
    <w:rsid w:val="0096282A"/>
    <w:rsid w:val="0096284B"/>
    <w:rsid w:val="00962884"/>
    <w:rsid w:val="009628A1"/>
    <w:rsid w:val="009628C6"/>
    <w:rsid w:val="009628DD"/>
    <w:rsid w:val="009628F5"/>
    <w:rsid w:val="00962917"/>
    <w:rsid w:val="00962925"/>
    <w:rsid w:val="00962958"/>
    <w:rsid w:val="00962978"/>
    <w:rsid w:val="00962998"/>
    <w:rsid w:val="00962A4C"/>
    <w:rsid w:val="00962A63"/>
    <w:rsid w:val="00962A86"/>
    <w:rsid w:val="00962A98"/>
    <w:rsid w:val="00962B08"/>
    <w:rsid w:val="00962B47"/>
    <w:rsid w:val="00962BCC"/>
    <w:rsid w:val="00962C4C"/>
    <w:rsid w:val="00962C67"/>
    <w:rsid w:val="00962C71"/>
    <w:rsid w:val="00962CFE"/>
    <w:rsid w:val="00962D02"/>
    <w:rsid w:val="00962D0A"/>
    <w:rsid w:val="00962D0D"/>
    <w:rsid w:val="00962D1C"/>
    <w:rsid w:val="00962D72"/>
    <w:rsid w:val="00962DB4"/>
    <w:rsid w:val="00962DBE"/>
    <w:rsid w:val="00962DC9"/>
    <w:rsid w:val="00962E0C"/>
    <w:rsid w:val="00962E57"/>
    <w:rsid w:val="00962E72"/>
    <w:rsid w:val="00962E94"/>
    <w:rsid w:val="00962EAD"/>
    <w:rsid w:val="00962F01"/>
    <w:rsid w:val="00962F85"/>
    <w:rsid w:val="00962FA0"/>
    <w:rsid w:val="00962FFF"/>
    <w:rsid w:val="00963006"/>
    <w:rsid w:val="00963045"/>
    <w:rsid w:val="009630B5"/>
    <w:rsid w:val="009630E8"/>
    <w:rsid w:val="00963106"/>
    <w:rsid w:val="00963144"/>
    <w:rsid w:val="00963187"/>
    <w:rsid w:val="009631D9"/>
    <w:rsid w:val="009631E2"/>
    <w:rsid w:val="009631F3"/>
    <w:rsid w:val="00963231"/>
    <w:rsid w:val="00963240"/>
    <w:rsid w:val="00963253"/>
    <w:rsid w:val="0096325C"/>
    <w:rsid w:val="009632C0"/>
    <w:rsid w:val="009632D7"/>
    <w:rsid w:val="00963376"/>
    <w:rsid w:val="009633E6"/>
    <w:rsid w:val="0096341A"/>
    <w:rsid w:val="0096341D"/>
    <w:rsid w:val="00963424"/>
    <w:rsid w:val="009634EE"/>
    <w:rsid w:val="009634F4"/>
    <w:rsid w:val="00963551"/>
    <w:rsid w:val="0096357A"/>
    <w:rsid w:val="0096357C"/>
    <w:rsid w:val="00963586"/>
    <w:rsid w:val="009635D5"/>
    <w:rsid w:val="00963601"/>
    <w:rsid w:val="00963652"/>
    <w:rsid w:val="00963662"/>
    <w:rsid w:val="00963664"/>
    <w:rsid w:val="00963679"/>
    <w:rsid w:val="009636B0"/>
    <w:rsid w:val="009636DC"/>
    <w:rsid w:val="00963763"/>
    <w:rsid w:val="009637C6"/>
    <w:rsid w:val="009637D0"/>
    <w:rsid w:val="009637D2"/>
    <w:rsid w:val="009637E4"/>
    <w:rsid w:val="009637E7"/>
    <w:rsid w:val="0096380E"/>
    <w:rsid w:val="00963942"/>
    <w:rsid w:val="00963956"/>
    <w:rsid w:val="00963965"/>
    <w:rsid w:val="00963984"/>
    <w:rsid w:val="009639BA"/>
    <w:rsid w:val="009639BD"/>
    <w:rsid w:val="009639EA"/>
    <w:rsid w:val="00963A02"/>
    <w:rsid w:val="00963A6D"/>
    <w:rsid w:val="00963A91"/>
    <w:rsid w:val="00963A9D"/>
    <w:rsid w:val="00963B9A"/>
    <w:rsid w:val="00963BA5"/>
    <w:rsid w:val="00963BD0"/>
    <w:rsid w:val="00963BF1"/>
    <w:rsid w:val="00963C02"/>
    <w:rsid w:val="00963C51"/>
    <w:rsid w:val="00963C7C"/>
    <w:rsid w:val="00963CAD"/>
    <w:rsid w:val="00963CC6"/>
    <w:rsid w:val="00963CC7"/>
    <w:rsid w:val="00963D3B"/>
    <w:rsid w:val="00963DB1"/>
    <w:rsid w:val="00963DD8"/>
    <w:rsid w:val="00963E4F"/>
    <w:rsid w:val="00963E63"/>
    <w:rsid w:val="00963E92"/>
    <w:rsid w:val="00963EDC"/>
    <w:rsid w:val="00963F26"/>
    <w:rsid w:val="00963F93"/>
    <w:rsid w:val="0096402B"/>
    <w:rsid w:val="0096405E"/>
    <w:rsid w:val="0096408C"/>
    <w:rsid w:val="00964096"/>
    <w:rsid w:val="009640B0"/>
    <w:rsid w:val="009640B6"/>
    <w:rsid w:val="00964104"/>
    <w:rsid w:val="0096410B"/>
    <w:rsid w:val="0096411E"/>
    <w:rsid w:val="00964187"/>
    <w:rsid w:val="009641A2"/>
    <w:rsid w:val="00964211"/>
    <w:rsid w:val="00964217"/>
    <w:rsid w:val="00964265"/>
    <w:rsid w:val="00964269"/>
    <w:rsid w:val="00964299"/>
    <w:rsid w:val="009642FA"/>
    <w:rsid w:val="0096432B"/>
    <w:rsid w:val="0096436C"/>
    <w:rsid w:val="009643A1"/>
    <w:rsid w:val="009643BE"/>
    <w:rsid w:val="009643DC"/>
    <w:rsid w:val="0096444D"/>
    <w:rsid w:val="00964564"/>
    <w:rsid w:val="009645AA"/>
    <w:rsid w:val="009645C9"/>
    <w:rsid w:val="009645CF"/>
    <w:rsid w:val="009645F7"/>
    <w:rsid w:val="0096464F"/>
    <w:rsid w:val="00964678"/>
    <w:rsid w:val="00964683"/>
    <w:rsid w:val="009646B7"/>
    <w:rsid w:val="009646C5"/>
    <w:rsid w:val="00964700"/>
    <w:rsid w:val="00964704"/>
    <w:rsid w:val="00964747"/>
    <w:rsid w:val="00964771"/>
    <w:rsid w:val="0096478D"/>
    <w:rsid w:val="00964791"/>
    <w:rsid w:val="009647A5"/>
    <w:rsid w:val="009647C9"/>
    <w:rsid w:val="009647CF"/>
    <w:rsid w:val="009647D5"/>
    <w:rsid w:val="00964800"/>
    <w:rsid w:val="00964813"/>
    <w:rsid w:val="00964828"/>
    <w:rsid w:val="00964946"/>
    <w:rsid w:val="00964973"/>
    <w:rsid w:val="0096498D"/>
    <w:rsid w:val="009649B5"/>
    <w:rsid w:val="009649D0"/>
    <w:rsid w:val="009649D2"/>
    <w:rsid w:val="00964A54"/>
    <w:rsid w:val="00964A64"/>
    <w:rsid w:val="00964A8B"/>
    <w:rsid w:val="00964B38"/>
    <w:rsid w:val="00964B9C"/>
    <w:rsid w:val="00964BAB"/>
    <w:rsid w:val="00964BB7"/>
    <w:rsid w:val="00964BD7"/>
    <w:rsid w:val="00964CB5"/>
    <w:rsid w:val="00964D8D"/>
    <w:rsid w:val="00964DBA"/>
    <w:rsid w:val="00964DEC"/>
    <w:rsid w:val="00964E02"/>
    <w:rsid w:val="00964E37"/>
    <w:rsid w:val="00964E38"/>
    <w:rsid w:val="00964EA6"/>
    <w:rsid w:val="00964EC5"/>
    <w:rsid w:val="00964EE2"/>
    <w:rsid w:val="00964EEF"/>
    <w:rsid w:val="00964F2A"/>
    <w:rsid w:val="00964F41"/>
    <w:rsid w:val="00964F4A"/>
    <w:rsid w:val="00964F6C"/>
    <w:rsid w:val="00964FCF"/>
    <w:rsid w:val="00964FD7"/>
    <w:rsid w:val="0096500A"/>
    <w:rsid w:val="0096501A"/>
    <w:rsid w:val="00965030"/>
    <w:rsid w:val="00965044"/>
    <w:rsid w:val="0096508D"/>
    <w:rsid w:val="0096510D"/>
    <w:rsid w:val="0096511C"/>
    <w:rsid w:val="0096514F"/>
    <w:rsid w:val="00965188"/>
    <w:rsid w:val="009651AF"/>
    <w:rsid w:val="009651CF"/>
    <w:rsid w:val="009651E4"/>
    <w:rsid w:val="0096521F"/>
    <w:rsid w:val="00965245"/>
    <w:rsid w:val="0096525F"/>
    <w:rsid w:val="0096528F"/>
    <w:rsid w:val="00965294"/>
    <w:rsid w:val="009652BB"/>
    <w:rsid w:val="00965389"/>
    <w:rsid w:val="009653A4"/>
    <w:rsid w:val="00965409"/>
    <w:rsid w:val="0096543C"/>
    <w:rsid w:val="00965461"/>
    <w:rsid w:val="00965470"/>
    <w:rsid w:val="009654B1"/>
    <w:rsid w:val="009654B8"/>
    <w:rsid w:val="009654F1"/>
    <w:rsid w:val="0096554F"/>
    <w:rsid w:val="0096556B"/>
    <w:rsid w:val="009655A7"/>
    <w:rsid w:val="009655AC"/>
    <w:rsid w:val="009655B2"/>
    <w:rsid w:val="009655CD"/>
    <w:rsid w:val="009655E9"/>
    <w:rsid w:val="009655FC"/>
    <w:rsid w:val="00965600"/>
    <w:rsid w:val="00965675"/>
    <w:rsid w:val="00965683"/>
    <w:rsid w:val="009656BE"/>
    <w:rsid w:val="00965784"/>
    <w:rsid w:val="00965795"/>
    <w:rsid w:val="00965805"/>
    <w:rsid w:val="0096581E"/>
    <w:rsid w:val="00965860"/>
    <w:rsid w:val="00965876"/>
    <w:rsid w:val="00965879"/>
    <w:rsid w:val="009658E4"/>
    <w:rsid w:val="00965990"/>
    <w:rsid w:val="009659C4"/>
    <w:rsid w:val="009659E4"/>
    <w:rsid w:val="00965A10"/>
    <w:rsid w:val="00965AC7"/>
    <w:rsid w:val="00965AD9"/>
    <w:rsid w:val="00965AF8"/>
    <w:rsid w:val="00965B05"/>
    <w:rsid w:val="00965B12"/>
    <w:rsid w:val="00965B27"/>
    <w:rsid w:val="00965B83"/>
    <w:rsid w:val="00965B87"/>
    <w:rsid w:val="00965B8E"/>
    <w:rsid w:val="00965BB5"/>
    <w:rsid w:val="00965BE9"/>
    <w:rsid w:val="00965C97"/>
    <w:rsid w:val="00965CD1"/>
    <w:rsid w:val="00965CF5"/>
    <w:rsid w:val="00965D76"/>
    <w:rsid w:val="00965E14"/>
    <w:rsid w:val="00965E85"/>
    <w:rsid w:val="00965EDC"/>
    <w:rsid w:val="00965F00"/>
    <w:rsid w:val="00965F21"/>
    <w:rsid w:val="00965F46"/>
    <w:rsid w:val="00965FBB"/>
    <w:rsid w:val="0096602B"/>
    <w:rsid w:val="009660B0"/>
    <w:rsid w:val="009660D5"/>
    <w:rsid w:val="009660E4"/>
    <w:rsid w:val="0096611C"/>
    <w:rsid w:val="00966134"/>
    <w:rsid w:val="00966149"/>
    <w:rsid w:val="0096616B"/>
    <w:rsid w:val="0096621C"/>
    <w:rsid w:val="0096626F"/>
    <w:rsid w:val="009662A7"/>
    <w:rsid w:val="009662E7"/>
    <w:rsid w:val="00966338"/>
    <w:rsid w:val="0096633D"/>
    <w:rsid w:val="00966346"/>
    <w:rsid w:val="0096636F"/>
    <w:rsid w:val="009663A8"/>
    <w:rsid w:val="009663DF"/>
    <w:rsid w:val="0096640E"/>
    <w:rsid w:val="0096641C"/>
    <w:rsid w:val="00966465"/>
    <w:rsid w:val="009664D2"/>
    <w:rsid w:val="0096652D"/>
    <w:rsid w:val="0096655A"/>
    <w:rsid w:val="00966565"/>
    <w:rsid w:val="009665A4"/>
    <w:rsid w:val="009665A7"/>
    <w:rsid w:val="00966603"/>
    <w:rsid w:val="0096667F"/>
    <w:rsid w:val="00966702"/>
    <w:rsid w:val="0096673A"/>
    <w:rsid w:val="009667D9"/>
    <w:rsid w:val="009667E8"/>
    <w:rsid w:val="00966810"/>
    <w:rsid w:val="0096689F"/>
    <w:rsid w:val="009668AB"/>
    <w:rsid w:val="009668E6"/>
    <w:rsid w:val="009668FC"/>
    <w:rsid w:val="00966948"/>
    <w:rsid w:val="009669AB"/>
    <w:rsid w:val="009669D6"/>
    <w:rsid w:val="009669E3"/>
    <w:rsid w:val="00966A2A"/>
    <w:rsid w:val="00966A46"/>
    <w:rsid w:val="00966A58"/>
    <w:rsid w:val="00966A6C"/>
    <w:rsid w:val="00966B01"/>
    <w:rsid w:val="00966B58"/>
    <w:rsid w:val="00966B60"/>
    <w:rsid w:val="00966B82"/>
    <w:rsid w:val="00966BB5"/>
    <w:rsid w:val="00966BC1"/>
    <w:rsid w:val="00966C71"/>
    <w:rsid w:val="00966CD8"/>
    <w:rsid w:val="00966CD9"/>
    <w:rsid w:val="00966CE3"/>
    <w:rsid w:val="00966D25"/>
    <w:rsid w:val="00966D9C"/>
    <w:rsid w:val="00966DAE"/>
    <w:rsid w:val="00966E05"/>
    <w:rsid w:val="00966E19"/>
    <w:rsid w:val="00966E20"/>
    <w:rsid w:val="00966E6E"/>
    <w:rsid w:val="00966E71"/>
    <w:rsid w:val="00966EAE"/>
    <w:rsid w:val="00966EBC"/>
    <w:rsid w:val="00966ED5"/>
    <w:rsid w:val="00966F1B"/>
    <w:rsid w:val="00966F33"/>
    <w:rsid w:val="00966FBB"/>
    <w:rsid w:val="0096700C"/>
    <w:rsid w:val="00967022"/>
    <w:rsid w:val="00967036"/>
    <w:rsid w:val="0096708C"/>
    <w:rsid w:val="009670CA"/>
    <w:rsid w:val="00967144"/>
    <w:rsid w:val="009671C1"/>
    <w:rsid w:val="00967288"/>
    <w:rsid w:val="009672A4"/>
    <w:rsid w:val="00967322"/>
    <w:rsid w:val="00967326"/>
    <w:rsid w:val="0096737B"/>
    <w:rsid w:val="009673A0"/>
    <w:rsid w:val="009673B3"/>
    <w:rsid w:val="009673EE"/>
    <w:rsid w:val="00967496"/>
    <w:rsid w:val="00967527"/>
    <w:rsid w:val="0096754A"/>
    <w:rsid w:val="0096756C"/>
    <w:rsid w:val="00967652"/>
    <w:rsid w:val="009676BE"/>
    <w:rsid w:val="0096771B"/>
    <w:rsid w:val="0096772E"/>
    <w:rsid w:val="00967798"/>
    <w:rsid w:val="009677AE"/>
    <w:rsid w:val="009677EC"/>
    <w:rsid w:val="009677FC"/>
    <w:rsid w:val="00967810"/>
    <w:rsid w:val="00967843"/>
    <w:rsid w:val="009678F2"/>
    <w:rsid w:val="00967925"/>
    <w:rsid w:val="00967980"/>
    <w:rsid w:val="0096798F"/>
    <w:rsid w:val="00967A08"/>
    <w:rsid w:val="00967A1C"/>
    <w:rsid w:val="00967A24"/>
    <w:rsid w:val="00967AC3"/>
    <w:rsid w:val="00967AEE"/>
    <w:rsid w:val="00967BCE"/>
    <w:rsid w:val="00967BDF"/>
    <w:rsid w:val="00967BE7"/>
    <w:rsid w:val="00967C31"/>
    <w:rsid w:val="00967C68"/>
    <w:rsid w:val="00967C6B"/>
    <w:rsid w:val="00967C91"/>
    <w:rsid w:val="00967CE1"/>
    <w:rsid w:val="00967CE2"/>
    <w:rsid w:val="00967D0F"/>
    <w:rsid w:val="00967D44"/>
    <w:rsid w:val="00967DDF"/>
    <w:rsid w:val="00967DED"/>
    <w:rsid w:val="00967DF1"/>
    <w:rsid w:val="00967DFD"/>
    <w:rsid w:val="00967E14"/>
    <w:rsid w:val="00967E5B"/>
    <w:rsid w:val="00967E9E"/>
    <w:rsid w:val="00967EBF"/>
    <w:rsid w:val="00967F1F"/>
    <w:rsid w:val="00967F92"/>
    <w:rsid w:val="0096D588"/>
    <w:rsid w:val="00970052"/>
    <w:rsid w:val="009700AD"/>
    <w:rsid w:val="009700ED"/>
    <w:rsid w:val="00970106"/>
    <w:rsid w:val="0097010A"/>
    <w:rsid w:val="00970155"/>
    <w:rsid w:val="009701ED"/>
    <w:rsid w:val="0097022D"/>
    <w:rsid w:val="00970259"/>
    <w:rsid w:val="0097026B"/>
    <w:rsid w:val="0097027A"/>
    <w:rsid w:val="009702FD"/>
    <w:rsid w:val="009703F9"/>
    <w:rsid w:val="0097043C"/>
    <w:rsid w:val="00970468"/>
    <w:rsid w:val="00970491"/>
    <w:rsid w:val="009704A3"/>
    <w:rsid w:val="009704ED"/>
    <w:rsid w:val="00970542"/>
    <w:rsid w:val="009705B3"/>
    <w:rsid w:val="009705BF"/>
    <w:rsid w:val="009705CD"/>
    <w:rsid w:val="00970605"/>
    <w:rsid w:val="0097066B"/>
    <w:rsid w:val="0097067C"/>
    <w:rsid w:val="00970696"/>
    <w:rsid w:val="009706A4"/>
    <w:rsid w:val="009706C4"/>
    <w:rsid w:val="009706CD"/>
    <w:rsid w:val="009706D7"/>
    <w:rsid w:val="0097073C"/>
    <w:rsid w:val="0097074F"/>
    <w:rsid w:val="009707CE"/>
    <w:rsid w:val="00970878"/>
    <w:rsid w:val="00970892"/>
    <w:rsid w:val="009708B1"/>
    <w:rsid w:val="009708CE"/>
    <w:rsid w:val="00970910"/>
    <w:rsid w:val="009709E6"/>
    <w:rsid w:val="00970A6A"/>
    <w:rsid w:val="00970AA5"/>
    <w:rsid w:val="00970B1B"/>
    <w:rsid w:val="00970B88"/>
    <w:rsid w:val="00970BE7"/>
    <w:rsid w:val="00970C8B"/>
    <w:rsid w:val="00970C8E"/>
    <w:rsid w:val="00970CFA"/>
    <w:rsid w:val="00970D8F"/>
    <w:rsid w:val="00970D9F"/>
    <w:rsid w:val="00970DB8"/>
    <w:rsid w:val="00970DDA"/>
    <w:rsid w:val="00970DF4"/>
    <w:rsid w:val="00970E22"/>
    <w:rsid w:val="00970E47"/>
    <w:rsid w:val="00970E6D"/>
    <w:rsid w:val="00970EB6"/>
    <w:rsid w:val="00970F1C"/>
    <w:rsid w:val="00970F54"/>
    <w:rsid w:val="00970FEA"/>
    <w:rsid w:val="0097101F"/>
    <w:rsid w:val="009710D0"/>
    <w:rsid w:val="009710E8"/>
    <w:rsid w:val="009710F6"/>
    <w:rsid w:val="00971121"/>
    <w:rsid w:val="00971131"/>
    <w:rsid w:val="00971138"/>
    <w:rsid w:val="0097116A"/>
    <w:rsid w:val="00971197"/>
    <w:rsid w:val="009711F3"/>
    <w:rsid w:val="00971220"/>
    <w:rsid w:val="00971242"/>
    <w:rsid w:val="0097125D"/>
    <w:rsid w:val="00971293"/>
    <w:rsid w:val="00971440"/>
    <w:rsid w:val="0097145B"/>
    <w:rsid w:val="0097147A"/>
    <w:rsid w:val="00971491"/>
    <w:rsid w:val="009714B1"/>
    <w:rsid w:val="009714F5"/>
    <w:rsid w:val="00971515"/>
    <w:rsid w:val="00971517"/>
    <w:rsid w:val="00971528"/>
    <w:rsid w:val="00971542"/>
    <w:rsid w:val="00971549"/>
    <w:rsid w:val="009715CE"/>
    <w:rsid w:val="0097167A"/>
    <w:rsid w:val="00971684"/>
    <w:rsid w:val="009716C7"/>
    <w:rsid w:val="009716E8"/>
    <w:rsid w:val="0097177C"/>
    <w:rsid w:val="0097177F"/>
    <w:rsid w:val="00971796"/>
    <w:rsid w:val="009717B9"/>
    <w:rsid w:val="009717FC"/>
    <w:rsid w:val="00971893"/>
    <w:rsid w:val="009718D5"/>
    <w:rsid w:val="009718D9"/>
    <w:rsid w:val="00971924"/>
    <w:rsid w:val="009719AD"/>
    <w:rsid w:val="009719D4"/>
    <w:rsid w:val="00971A21"/>
    <w:rsid w:val="00971A38"/>
    <w:rsid w:val="00971A53"/>
    <w:rsid w:val="00971A5D"/>
    <w:rsid w:val="00971A64"/>
    <w:rsid w:val="00971A92"/>
    <w:rsid w:val="00971AF5"/>
    <w:rsid w:val="00971B1E"/>
    <w:rsid w:val="00971B93"/>
    <w:rsid w:val="00971B95"/>
    <w:rsid w:val="00971CA5"/>
    <w:rsid w:val="00971D1B"/>
    <w:rsid w:val="00971D83"/>
    <w:rsid w:val="00971D9B"/>
    <w:rsid w:val="00971DAF"/>
    <w:rsid w:val="00971E0C"/>
    <w:rsid w:val="00971E6F"/>
    <w:rsid w:val="00971EC8"/>
    <w:rsid w:val="00971F0A"/>
    <w:rsid w:val="00971F40"/>
    <w:rsid w:val="00971F47"/>
    <w:rsid w:val="00971F7E"/>
    <w:rsid w:val="00971FCC"/>
    <w:rsid w:val="00971FFD"/>
    <w:rsid w:val="00972055"/>
    <w:rsid w:val="00972061"/>
    <w:rsid w:val="009720AA"/>
    <w:rsid w:val="009720B3"/>
    <w:rsid w:val="009720D0"/>
    <w:rsid w:val="00972145"/>
    <w:rsid w:val="00972150"/>
    <w:rsid w:val="00972190"/>
    <w:rsid w:val="009721F7"/>
    <w:rsid w:val="0097222E"/>
    <w:rsid w:val="00972242"/>
    <w:rsid w:val="0097227F"/>
    <w:rsid w:val="00972288"/>
    <w:rsid w:val="009722CC"/>
    <w:rsid w:val="0097235C"/>
    <w:rsid w:val="009723D9"/>
    <w:rsid w:val="00972401"/>
    <w:rsid w:val="00972512"/>
    <w:rsid w:val="009725C4"/>
    <w:rsid w:val="00972634"/>
    <w:rsid w:val="00972638"/>
    <w:rsid w:val="00972644"/>
    <w:rsid w:val="0097268F"/>
    <w:rsid w:val="00972696"/>
    <w:rsid w:val="009726AE"/>
    <w:rsid w:val="0097272F"/>
    <w:rsid w:val="00972747"/>
    <w:rsid w:val="0097277F"/>
    <w:rsid w:val="009727A8"/>
    <w:rsid w:val="009727D9"/>
    <w:rsid w:val="0097280F"/>
    <w:rsid w:val="0097283F"/>
    <w:rsid w:val="0097286A"/>
    <w:rsid w:val="00972893"/>
    <w:rsid w:val="009728E3"/>
    <w:rsid w:val="00972906"/>
    <w:rsid w:val="0097293C"/>
    <w:rsid w:val="009729A8"/>
    <w:rsid w:val="009729DB"/>
    <w:rsid w:val="00972A03"/>
    <w:rsid w:val="00972A07"/>
    <w:rsid w:val="00972A7F"/>
    <w:rsid w:val="00972AC7"/>
    <w:rsid w:val="00972AD8"/>
    <w:rsid w:val="00972B24"/>
    <w:rsid w:val="00972B45"/>
    <w:rsid w:val="00972BBD"/>
    <w:rsid w:val="00972BE3"/>
    <w:rsid w:val="00972C0B"/>
    <w:rsid w:val="00972C5A"/>
    <w:rsid w:val="00972C86"/>
    <w:rsid w:val="00972C8C"/>
    <w:rsid w:val="00972CBF"/>
    <w:rsid w:val="00972D54"/>
    <w:rsid w:val="00972D9C"/>
    <w:rsid w:val="00972E9E"/>
    <w:rsid w:val="00972F66"/>
    <w:rsid w:val="00972F8D"/>
    <w:rsid w:val="009730C6"/>
    <w:rsid w:val="00973108"/>
    <w:rsid w:val="0097310F"/>
    <w:rsid w:val="00973121"/>
    <w:rsid w:val="0097318C"/>
    <w:rsid w:val="009731B3"/>
    <w:rsid w:val="009731FA"/>
    <w:rsid w:val="00973304"/>
    <w:rsid w:val="00973316"/>
    <w:rsid w:val="00973327"/>
    <w:rsid w:val="0097335C"/>
    <w:rsid w:val="009733A2"/>
    <w:rsid w:val="009733ED"/>
    <w:rsid w:val="00973418"/>
    <w:rsid w:val="0097342E"/>
    <w:rsid w:val="0097345D"/>
    <w:rsid w:val="00973482"/>
    <w:rsid w:val="00973491"/>
    <w:rsid w:val="009734AF"/>
    <w:rsid w:val="00973512"/>
    <w:rsid w:val="00973530"/>
    <w:rsid w:val="00973536"/>
    <w:rsid w:val="00973542"/>
    <w:rsid w:val="00973569"/>
    <w:rsid w:val="0097356A"/>
    <w:rsid w:val="009735F1"/>
    <w:rsid w:val="009735FD"/>
    <w:rsid w:val="00973649"/>
    <w:rsid w:val="00973696"/>
    <w:rsid w:val="009736E7"/>
    <w:rsid w:val="009736EF"/>
    <w:rsid w:val="009736FD"/>
    <w:rsid w:val="0097372A"/>
    <w:rsid w:val="009737EE"/>
    <w:rsid w:val="0097388A"/>
    <w:rsid w:val="0097393A"/>
    <w:rsid w:val="00973959"/>
    <w:rsid w:val="00973968"/>
    <w:rsid w:val="00973987"/>
    <w:rsid w:val="00973988"/>
    <w:rsid w:val="00973A0E"/>
    <w:rsid w:val="00973A11"/>
    <w:rsid w:val="00973A49"/>
    <w:rsid w:val="00973AFF"/>
    <w:rsid w:val="00973B5A"/>
    <w:rsid w:val="00973BA5"/>
    <w:rsid w:val="00973BC1"/>
    <w:rsid w:val="00973BD1"/>
    <w:rsid w:val="00973C35"/>
    <w:rsid w:val="00973C3E"/>
    <w:rsid w:val="00973C75"/>
    <w:rsid w:val="00973C76"/>
    <w:rsid w:val="00973CB3"/>
    <w:rsid w:val="00973CDB"/>
    <w:rsid w:val="00973D34"/>
    <w:rsid w:val="00973D35"/>
    <w:rsid w:val="00973D9C"/>
    <w:rsid w:val="00973E3A"/>
    <w:rsid w:val="00973E74"/>
    <w:rsid w:val="00973E83"/>
    <w:rsid w:val="00973E85"/>
    <w:rsid w:val="00973E93"/>
    <w:rsid w:val="00973EB2"/>
    <w:rsid w:val="00973ED9"/>
    <w:rsid w:val="00973EF2"/>
    <w:rsid w:val="00973F0D"/>
    <w:rsid w:val="00973F61"/>
    <w:rsid w:val="00973FC3"/>
    <w:rsid w:val="00974003"/>
    <w:rsid w:val="00974055"/>
    <w:rsid w:val="0097414F"/>
    <w:rsid w:val="00974175"/>
    <w:rsid w:val="0097417A"/>
    <w:rsid w:val="00974186"/>
    <w:rsid w:val="0097422A"/>
    <w:rsid w:val="0097428E"/>
    <w:rsid w:val="009742EA"/>
    <w:rsid w:val="009742F7"/>
    <w:rsid w:val="0097430A"/>
    <w:rsid w:val="00974347"/>
    <w:rsid w:val="0097438D"/>
    <w:rsid w:val="009743AF"/>
    <w:rsid w:val="009743D1"/>
    <w:rsid w:val="00974429"/>
    <w:rsid w:val="0097442E"/>
    <w:rsid w:val="00974432"/>
    <w:rsid w:val="009744FF"/>
    <w:rsid w:val="0097452E"/>
    <w:rsid w:val="0097453A"/>
    <w:rsid w:val="00974587"/>
    <w:rsid w:val="009745DD"/>
    <w:rsid w:val="0097460B"/>
    <w:rsid w:val="00974638"/>
    <w:rsid w:val="0097464C"/>
    <w:rsid w:val="00974661"/>
    <w:rsid w:val="009746CB"/>
    <w:rsid w:val="009746E9"/>
    <w:rsid w:val="009746EF"/>
    <w:rsid w:val="00974714"/>
    <w:rsid w:val="0097478A"/>
    <w:rsid w:val="00974797"/>
    <w:rsid w:val="009747CF"/>
    <w:rsid w:val="0097484B"/>
    <w:rsid w:val="00974855"/>
    <w:rsid w:val="00974884"/>
    <w:rsid w:val="009748AE"/>
    <w:rsid w:val="009748BD"/>
    <w:rsid w:val="0097491E"/>
    <w:rsid w:val="00974939"/>
    <w:rsid w:val="00974954"/>
    <w:rsid w:val="0097496A"/>
    <w:rsid w:val="0097498D"/>
    <w:rsid w:val="009749E3"/>
    <w:rsid w:val="00974A09"/>
    <w:rsid w:val="00974A62"/>
    <w:rsid w:val="00974A71"/>
    <w:rsid w:val="00974A7D"/>
    <w:rsid w:val="00974AA2"/>
    <w:rsid w:val="00974AE7"/>
    <w:rsid w:val="00974AFC"/>
    <w:rsid w:val="00974BBE"/>
    <w:rsid w:val="00974CEF"/>
    <w:rsid w:val="00974CF0"/>
    <w:rsid w:val="00974D16"/>
    <w:rsid w:val="00974D5F"/>
    <w:rsid w:val="00974D63"/>
    <w:rsid w:val="00974D79"/>
    <w:rsid w:val="00974D83"/>
    <w:rsid w:val="00974E69"/>
    <w:rsid w:val="00974E95"/>
    <w:rsid w:val="00974F15"/>
    <w:rsid w:val="00974F46"/>
    <w:rsid w:val="00974F4D"/>
    <w:rsid w:val="00974F6B"/>
    <w:rsid w:val="00974FA8"/>
    <w:rsid w:val="00975069"/>
    <w:rsid w:val="00975071"/>
    <w:rsid w:val="0097507F"/>
    <w:rsid w:val="00975100"/>
    <w:rsid w:val="0097519E"/>
    <w:rsid w:val="009751FD"/>
    <w:rsid w:val="0097521F"/>
    <w:rsid w:val="00975256"/>
    <w:rsid w:val="00975269"/>
    <w:rsid w:val="009752B9"/>
    <w:rsid w:val="00975411"/>
    <w:rsid w:val="0097541F"/>
    <w:rsid w:val="00975466"/>
    <w:rsid w:val="0097547C"/>
    <w:rsid w:val="0097554D"/>
    <w:rsid w:val="00975556"/>
    <w:rsid w:val="00975561"/>
    <w:rsid w:val="0097558D"/>
    <w:rsid w:val="009755A8"/>
    <w:rsid w:val="009755E7"/>
    <w:rsid w:val="009755ED"/>
    <w:rsid w:val="009756CF"/>
    <w:rsid w:val="00975733"/>
    <w:rsid w:val="00975784"/>
    <w:rsid w:val="009757C3"/>
    <w:rsid w:val="009757FE"/>
    <w:rsid w:val="0097580F"/>
    <w:rsid w:val="00975819"/>
    <w:rsid w:val="009758D6"/>
    <w:rsid w:val="009758F9"/>
    <w:rsid w:val="00975912"/>
    <w:rsid w:val="00975931"/>
    <w:rsid w:val="00975939"/>
    <w:rsid w:val="00975946"/>
    <w:rsid w:val="0097599C"/>
    <w:rsid w:val="009759AD"/>
    <w:rsid w:val="009759D5"/>
    <w:rsid w:val="009759FE"/>
    <w:rsid w:val="00975A5C"/>
    <w:rsid w:val="00975ADA"/>
    <w:rsid w:val="00975B12"/>
    <w:rsid w:val="00975B98"/>
    <w:rsid w:val="00975C0D"/>
    <w:rsid w:val="00975C0E"/>
    <w:rsid w:val="00975C71"/>
    <w:rsid w:val="00975C81"/>
    <w:rsid w:val="00975CF4"/>
    <w:rsid w:val="00975DBF"/>
    <w:rsid w:val="00975DCE"/>
    <w:rsid w:val="00975DF3"/>
    <w:rsid w:val="00975E5A"/>
    <w:rsid w:val="00975E61"/>
    <w:rsid w:val="00975EF3"/>
    <w:rsid w:val="00975F21"/>
    <w:rsid w:val="00975FD8"/>
    <w:rsid w:val="00976000"/>
    <w:rsid w:val="00976079"/>
    <w:rsid w:val="00976094"/>
    <w:rsid w:val="009760A7"/>
    <w:rsid w:val="009760BE"/>
    <w:rsid w:val="0097613C"/>
    <w:rsid w:val="00976148"/>
    <w:rsid w:val="00976158"/>
    <w:rsid w:val="00976165"/>
    <w:rsid w:val="0097616F"/>
    <w:rsid w:val="009761AE"/>
    <w:rsid w:val="009761B1"/>
    <w:rsid w:val="009761E3"/>
    <w:rsid w:val="00976200"/>
    <w:rsid w:val="0097624A"/>
    <w:rsid w:val="0097626D"/>
    <w:rsid w:val="009762A8"/>
    <w:rsid w:val="009762B5"/>
    <w:rsid w:val="009762CD"/>
    <w:rsid w:val="00976308"/>
    <w:rsid w:val="00976323"/>
    <w:rsid w:val="00976389"/>
    <w:rsid w:val="009763B4"/>
    <w:rsid w:val="009763C5"/>
    <w:rsid w:val="00976429"/>
    <w:rsid w:val="0097649A"/>
    <w:rsid w:val="0097652F"/>
    <w:rsid w:val="0097654A"/>
    <w:rsid w:val="00976564"/>
    <w:rsid w:val="00976585"/>
    <w:rsid w:val="009765A3"/>
    <w:rsid w:val="009765C2"/>
    <w:rsid w:val="009765FD"/>
    <w:rsid w:val="00976636"/>
    <w:rsid w:val="00976644"/>
    <w:rsid w:val="00976646"/>
    <w:rsid w:val="0097666B"/>
    <w:rsid w:val="0097669A"/>
    <w:rsid w:val="0097669B"/>
    <w:rsid w:val="00976730"/>
    <w:rsid w:val="00976738"/>
    <w:rsid w:val="0097673F"/>
    <w:rsid w:val="009767FF"/>
    <w:rsid w:val="0097680B"/>
    <w:rsid w:val="00976818"/>
    <w:rsid w:val="00976852"/>
    <w:rsid w:val="009768B6"/>
    <w:rsid w:val="009768B7"/>
    <w:rsid w:val="00976945"/>
    <w:rsid w:val="00976964"/>
    <w:rsid w:val="009769A2"/>
    <w:rsid w:val="009769A7"/>
    <w:rsid w:val="009769C0"/>
    <w:rsid w:val="00976AB3"/>
    <w:rsid w:val="00976ADD"/>
    <w:rsid w:val="00976AEC"/>
    <w:rsid w:val="00976B21"/>
    <w:rsid w:val="00976BCA"/>
    <w:rsid w:val="00976C08"/>
    <w:rsid w:val="00976C38"/>
    <w:rsid w:val="00976C54"/>
    <w:rsid w:val="00976C80"/>
    <w:rsid w:val="00976CBA"/>
    <w:rsid w:val="00976CDF"/>
    <w:rsid w:val="00976D16"/>
    <w:rsid w:val="00976DB4"/>
    <w:rsid w:val="00976E54"/>
    <w:rsid w:val="00976E55"/>
    <w:rsid w:val="00976E7A"/>
    <w:rsid w:val="00976E95"/>
    <w:rsid w:val="00976ECC"/>
    <w:rsid w:val="00976F9E"/>
    <w:rsid w:val="00976FC1"/>
    <w:rsid w:val="00977009"/>
    <w:rsid w:val="0097701A"/>
    <w:rsid w:val="0097707D"/>
    <w:rsid w:val="00977083"/>
    <w:rsid w:val="0097712F"/>
    <w:rsid w:val="00977172"/>
    <w:rsid w:val="00977173"/>
    <w:rsid w:val="0097719C"/>
    <w:rsid w:val="009771AA"/>
    <w:rsid w:val="009771AD"/>
    <w:rsid w:val="009771B1"/>
    <w:rsid w:val="009771FE"/>
    <w:rsid w:val="00977289"/>
    <w:rsid w:val="009772C9"/>
    <w:rsid w:val="009772DB"/>
    <w:rsid w:val="009772E5"/>
    <w:rsid w:val="0097732C"/>
    <w:rsid w:val="00977339"/>
    <w:rsid w:val="009773E8"/>
    <w:rsid w:val="009773E9"/>
    <w:rsid w:val="009773F7"/>
    <w:rsid w:val="009773FF"/>
    <w:rsid w:val="00977419"/>
    <w:rsid w:val="00977431"/>
    <w:rsid w:val="0097747B"/>
    <w:rsid w:val="00977486"/>
    <w:rsid w:val="00977493"/>
    <w:rsid w:val="009774C5"/>
    <w:rsid w:val="009774F9"/>
    <w:rsid w:val="0097755C"/>
    <w:rsid w:val="009775CA"/>
    <w:rsid w:val="009775E7"/>
    <w:rsid w:val="0097762F"/>
    <w:rsid w:val="0097763A"/>
    <w:rsid w:val="009776BC"/>
    <w:rsid w:val="009776BF"/>
    <w:rsid w:val="009776F1"/>
    <w:rsid w:val="0097772D"/>
    <w:rsid w:val="00977752"/>
    <w:rsid w:val="0097777F"/>
    <w:rsid w:val="009777AC"/>
    <w:rsid w:val="009777F8"/>
    <w:rsid w:val="00977821"/>
    <w:rsid w:val="009778AA"/>
    <w:rsid w:val="009778AD"/>
    <w:rsid w:val="009778C4"/>
    <w:rsid w:val="00977942"/>
    <w:rsid w:val="0097796E"/>
    <w:rsid w:val="00977A0A"/>
    <w:rsid w:val="00977A8C"/>
    <w:rsid w:val="00977ADE"/>
    <w:rsid w:val="00977AEC"/>
    <w:rsid w:val="00977B35"/>
    <w:rsid w:val="00977B5A"/>
    <w:rsid w:val="00977B65"/>
    <w:rsid w:val="00977B9F"/>
    <w:rsid w:val="00977BB0"/>
    <w:rsid w:val="00977BED"/>
    <w:rsid w:val="00977BF5"/>
    <w:rsid w:val="00977C21"/>
    <w:rsid w:val="00977C2B"/>
    <w:rsid w:val="00977C33"/>
    <w:rsid w:val="00977C39"/>
    <w:rsid w:val="00977C6B"/>
    <w:rsid w:val="00977C71"/>
    <w:rsid w:val="00977D24"/>
    <w:rsid w:val="00977D64"/>
    <w:rsid w:val="00977DAF"/>
    <w:rsid w:val="00977DCC"/>
    <w:rsid w:val="00977DD9"/>
    <w:rsid w:val="00977E04"/>
    <w:rsid w:val="00977E97"/>
    <w:rsid w:val="00977E9D"/>
    <w:rsid w:val="00977EEB"/>
    <w:rsid w:val="00977EF0"/>
    <w:rsid w:val="00977F1D"/>
    <w:rsid w:val="00977F2F"/>
    <w:rsid w:val="00977F5D"/>
    <w:rsid w:val="00977F97"/>
    <w:rsid w:val="00977FA6"/>
    <w:rsid w:val="00977FB1"/>
    <w:rsid w:val="00977FD6"/>
    <w:rsid w:val="00977FEA"/>
    <w:rsid w:val="00978070"/>
    <w:rsid w:val="0097F063"/>
    <w:rsid w:val="0097F15D"/>
    <w:rsid w:val="00980010"/>
    <w:rsid w:val="009800A4"/>
    <w:rsid w:val="009800C0"/>
    <w:rsid w:val="009800EF"/>
    <w:rsid w:val="00980110"/>
    <w:rsid w:val="00980188"/>
    <w:rsid w:val="009801AB"/>
    <w:rsid w:val="009801CE"/>
    <w:rsid w:val="0098025F"/>
    <w:rsid w:val="0098036C"/>
    <w:rsid w:val="009803AC"/>
    <w:rsid w:val="009803DF"/>
    <w:rsid w:val="009803E8"/>
    <w:rsid w:val="009803F6"/>
    <w:rsid w:val="0098045B"/>
    <w:rsid w:val="0098046F"/>
    <w:rsid w:val="0098047A"/>
    <w:rsid w:val="0098047B"/>
    <w:rsid w:val="0098049A"/>
    <w:rsid w:val="009804A8"/>
    <w:rsid w:val="009804D7"/>
    <w:rsid w:val="009804F5"/>
    <w:rsid w:val="00980502"/>
    <w:rsid w:val="00980536"/>
    <w:rsid w:val="009805BE"/>
    <w:rsid w:val="009805FB"/>
    <w:rsid w:val="00980625"/>
    <w:rsid w:val="00980672"/>
    <w:rsid w:val="009806AF"/>
    <w:rsid w:val="00980760"/>
    <w:rsid w:val="0098076F"/>
    <w:rsid w:val="0098079B"/>
    <w:rsid w:val="009807A7"/>
    <w:rsid w:val="009807C0"/>
    <w:rsid w:val="009807D8"/>
    <w:rsid w:val="009807F7"/>
    <w:rsid w:val="009807FE"/>
    <w:rsid w:val="00980820"/>
    <w:rsid w:val="00980836"/>
    <w:rsid w:val="0098088B"/>
    <w:rsid w:val="009808C7"/>
    <w:rsid w:val="0098093C"/>
    <w:rsid w:val="0098094E"/>
    <w:rsid w:val="00980950"/>
    <w:rsid w:val="0098095E"/>
    <w:rsid w:val="009809A4"/>
    <w:rsid w:val="009809BD"/>
    <w:rsid w:val="009809BE"/>
    <w:rsid w:val="00980A58"/>
    <w:rsid w:val="00980B9B"/>
    <w:rsid w:val="00980BE7"/>
    <w:rsid w:val="00980C1D"/>
    <w:rsid w:val="00980C2D"/>
    <w:rsid w:val="00980C31"/>
    <w:rsid w:val="00980C53"/>
    <w:rsid w:val="00980C81"/>
    <w:rsid w:val="00980C90"/>
    <w:rsid w:val="00980CA9"/>
    <w:rsid w:val="00980CFC"/>
    <w:rsid w:val="00980D76"/>
    <w:rsid w:val="00980DA0"/>
    <w:rsid w:val="00980DC1"/>
    <w:rsid w:val="00980DD5"/>
    <w:rsid w:val="00980E6A"/>
    <w:rsid w:val="00980EB0"/>
    <w:rsid w:val="00980ECD"/>
    <w:rsid w:val="00980F0A"/>
    <w:rsid w:val="00980F18"/>
    <w:rsid w:val="00980F47"/>
    <w:rsid w:val="00980F69"/>
    <w:rsid w:val="00980F76"/>
    <w:rsid w:val="00980F7E"/>
    <w:rsid w:val="00980FA9"/>
    <w:rsid w:val="00980FF6"/>
    <w:rsid w:val="00981013"/>
    <w:rsid w:val="0098101F"/>
    <w:rsid w:val="0098102C"/>
    <w:rsid w:val="00981047"/>
    <w:rsid w:val="00981107"/>
    <w:rsid w:val="0098117A"/>
    <w:rsid w:val="009811B7"/>
    <w:rsid w:val="009811CE"/>
    <w:rsid w:val="009811EA"/>
    <w:rsid w:val="009811EB"/>
    <w:rsid w:val="009811F5"/>
    <w:rsid w:val="00981237"/>
    <w:rsid w:val="0098124B"/>
    <w:rsid w:val="00981275"/>
    <w:rsid w:val="009812E8"/>
    <w:rsid w:val="0098131A"/>
    <w:rsid w:val="00981343"/>
    <w:rsid w:val="0098134F"/>
    <w:rsid w:val="0098135E"/>
    <w:rsid w:val="00981361"/>
    <w:rsid w:val="00981386"/>
    <w:rsid w:val="009813C9"/>
    <w:rsid w:val="009813EF"/>
    <w:rsid w:val="00981493"/>
    <w:rsid w:val="009814C7"/>
    <w:rsid w:val="0098152A"/>
    <w:rsid w:val="00981582"/>
    <w:rsid w:val="009815C5"/>
    <w:rsid w:val="00981641"/>
    <w:rsid w:val="0098164A"/>
    <w:rsid w:val="0098165E"/>
    <w:rsid w:val="00981688"/>
    <w:rsid w:val="009816A0"/>
    <w:rsid w:val="009816AD"/>
    <w:rsid w:val="00981752"/>
    <w:rsid w:val="0098178E"/>
    <w:rsid w:val="009817A5"/>
    <w:rsid w:val="009817AD"/>
    <w:rsid w:val="00981815"/>
    <w:rsid w:val="00981820"/>
    <w:rsid w:val="0098183C"/>
    <w:rsid w:val="0098185E"/>
    <w:rsid w:val="00981885"/>
    <w:rsid w:val="009818CB"/>
    <w:rsid w:val="009818D4"/>
    <w:rsid w:val="009818D6"/>
    <w:rsid w:val="009818FA"/>
    <w:rsid w:val="009818FF"/>
    <w:rsid w:val="0098190D"/>
    <w:rsid w:val="0098192F"/>
    <w:rsid w:val="0098194E"/>
    <w:rsid w:val="0098195A"/>
    <w:rsid w:val="009819BC"/>
    <w:rsid w:val="009819CE"/>
    <w:rsid w:val="009819E6"/>
    <w:rsid w:val="009819E9"/>
    <w:rsid w:val="00981A9F"/>
    <w:rsid w:val="00981B03"/>
    <w:rsid w:val="00981B14"/>
    <w:rsid w:val="00981B2A"/>
    <w:rsid w:val="00981BD7"/>
    <w:rsid w:val="00981BE7"/>
    <w:rsid w:val="00981C8F"/>
    <w:rsid w:val="00981CB3"/>
    <w:rsid w:val="00981D93"/>
    <w:rsid w:val="00981DA3"/>
    <w:rsid w:val="00981DC2"/>
    <w:rsid w:val="00981DCF"/>
    <w:rsid w:val="00981DE8"/>
    <w:rsid w:val="00981DEA"/>
    <w:rsid w:val="00981DFC"/>
    <w:rsid w:val="00981E43"/>
    <w:rsid w:val="00981E72"/>
    <w:rsid w:val="00981ECD"/>
    <w:rsid w:val="00982051"/>
    <w:rsid w:val="00982062"/>
    <w:rsid w:val="00982078"/>
    <w:rsid w:val="0098210B"/>
    <w:rsid w:val="00982125"/>
    <w:rsid w:val="00982145"/>
    <w:rsid w:val="009821A9"/>
    <w:rsid w:val="009821DD"/>
    <w:rsid w:val="0098220F"/>
    <w:rsid w:val="009822F8"/>
    <w:rsid w:val="009823B7"/>
    <w:rsid w:val="00982410"/>
    <w:rsid w:val="00982428"/>
    <w:rsid w:val="00982436"/>
    <w:rsid w:val="0098243C"/>
    <w:rsid w:val="0098245F"/>
    <w:rsid w:val="0098249F"/>
    <w:rsid w:val="009824E1"/>
    <w:rsid w:val="009825AB"/>
    <w:rsid w:val="009825FB"/>
    <w:rsid w:val="00982600"/>
    <w:rsid w:val="00982686"/>
    <w:rsid w:val="00982693"/>
    <w:rsid w:val="009826DB"/>
    <w:rsid w:val="009826DE"/>
    <w:rsid w:val="00982703"/>
    <w:rsid w:val="0098273C"/>
    <w:rsid w:val="0098279F"/>
    <w:rsid w:val="00982829"/>
    <w:rsid w:val="0098287C"/>
    <w:rsid w:val="00982903"/>
    <w:rsid w:val="009829B0"/>
    <w:rsid w:val="009829E3"/>
    <w:rsid w:val="00982A09"/>
    <w:rsid w:val="00982A3F"/>
    <w:rsid w:val="00982A66"/>
    <w:rsid w:val="00982AEE"/>
    <w:rsid w:val="00982B0A"/>
    <w:rsid w:val="00982B16"/>
    <w:rsid w:val="00982B36"/>
    <w:rsid w:val="00982B67"/>
    <w:rsid w:val="00982B6F"/>
    <w:rsid w:val="00982B73"/>
    <w:rsid w:val="00982BC0"/>
    <w:rsid w:val="00982C9C"/>
    <w:rsid w:val="00982CEE"/>
    <w:rsid w:val="00982D6F"/>
    <w:rsid w:val="00982D78"/>
    <w:rsid w:val="00982D99"/>
    <w:rsid w:val="00982DBD"/>
    <w:rsid w:val="00982DC9"/>
    <w:rsid w:val="00982DCA"/>
    <w:rsid w:val="00982DFD"/>
    <w:rsid w:val="00982E08"/>
    <w:rsid w:val="00982E5C"/>
    <w:rsid w:val="00982EA6"/>
    <w:rsid w:val="00982F5B"/>
    <w:rsid w:val="00982F7B"/>
    <w:rsid w:val="00982F7F"/>
    <w:rsid w:val="00982F81"/>
    <w:rsid w:val="00982F92"/>
    <w:rsid w:val="00982FF2"/>
    <w:rsid w:val="00982FFF"/>
    <w:rsid w:val="00983015"/>
    <w:rsid w:val="00983017"/>
    <w:rsid w:val="00983035"/>
    <w:rsid w:val="00983038"/>
    <w:rsid w:val="0098304E"/>
    <w:rsid w:val="00983152"/>
    <w:rsid w:val="009831AB"/>
    <w:rsid w:val="009831CD"/>
    <w:rsid w:val="009831E5"/>
    <w:rsid w:val="00983201"/>
    <w:rsid w:val="0098325A"/>
    <w:rsid w:val="00983263"/>
    <w:rsid w:val="009832C8"/>
    <w:rsid w:val="009832D8"/>
    <w:rsid w:val="009832FD"/>
    <w:rsid w:val="00983307"/>
    <w:rsid w:val="00983318"/>
    <w:rsid w:val="00983359"/>
    <w:rsid w:val="0098335D"/>
    <w:rsid w:val="00983381"/>
    <w:rsid w:val="0098340C"/>
    <w:rsid w:val="00983425"/>
    <w:rsid w:val="00983474"/>
    <w:rsid w:val="009834B0"/>
    <w:rsid w:val="0098350B"/>
    <w:rsid w:val="00983556"/>
    <w:rsid w:val="00983617"/>
    <w:rsid w:val="0098364A"/>
    <w:rsid w:val="009836A1"/>
    <w:rsid w:val="009836E6"/>
    <w:rsid w:val="009836EB"/>
    <w:rsid w:val="00983705"/>
    <w:rsid w:val="00983717"/>
    <w:rsid w:val="0098371E"/>
    <w:rsid w:val="009837E4"/>
    <w:rsid w:val="00983805"/>
    <w:rsid w:val="00983817"/>
    <w:rsid w:val="009838AE"/>
    <w:rsid w:val="009838FF"/>
    <w:rsid w:val="00983930"/>
    <w:rsid w:val="00983932"/>
    <w:rsid w:val="00983962"/>
    <w:rsid w:val="0098397D"/>
    <w:rsid w:val="009839AA"/>
    <w:rsid w:val="00983A55"/>
    <w:rsid w:val="00983A60"/>
    <w:rsid w:val="00983A69"/>
    <w:rsid w:val="00983A8D"/>
    <w:rsid w:val="00983AF3"/>
    <w:rsid w:val="00983B8E"/>
    <w:rsid w:val="00983B9F"/>
    <w:rsid w:val="00983BAA"/>
    <w:rsid w:val="00983BD3"/>
    <w:rsid w:val="00983BD4"/>
    <w:rsid w:val="00983BDF"/>
    <w:rsid w:val="00983BFD"/>
    <w:rsid w:val="00983C27"/>
    <w:rsid w:val="00983C42"/>
    <w:rsid w:val="00983C80"/>
    <w:rsid w:val="00983CBF"/>
    <w:rsid w:val="00983D2A"/>
    <w:rsid w:val="00983DC2"/>
    <w:rsid w:val="00983DC5"/>
    <w:rsid w:val="00983E27"/>
    <w:rsid w:val="00983E47"/>
    <w:rsid w:val="00983E58"/>
    <w:rsid w:val="00983E9B"/>
    <w:rsid w:val="00983EC2"/>
    <w:rsid w:val="00983ECD"/>
    <w:rsid w:val="00983EF6"/>
    <w:rsid w:val="00983F34"/>
    <w:rsid w:val="00983F3F"/>
    <w:rsid w:val="00983F47"/>
    <w:rsid w:val="00983FDE"/>
    <w:rsid w:val="009840E6"/>
    <w:rsid w:val="00984176"/>
    <w:rsid w:val="009841A3"/>
    <w:rsid w:val="009841FB"/>
    <w:rsid w:val="0098420B"/>
    <w:rsid w:val="00984279"/>
    <w:rsid w:val="009842DB"/>
    <w:rsid w:val="009842DF"/>
    <w:rsid w:val="00984314"/>
    <w:rsid w:val="00984325"/>
    <w:rsid w:val="00984330"/>
    <w:rsid w:val="0098435C"/>
    <w:rsid w:val="00984367"/>
    <w:rsid w:val="009843B5"/>
    <w:rsid w:val="009843C8"/>
    <w:rsid w:val="009843DE"/>
    <w:rsid w:val="00984484"/>
    <w:rsid w:val="009844E9"/>
    <w:rsid w:val="009844F1"/>
    <w:rsid w:val="0098450F"/>
    <w:rsid w:val="00984526"/>
    <w:rsid w:val="0098453E"/>
    <w:rsid w:val="0098456F"/>
    <w:rsid w:val="0098457D"/>
    <w:rsid w:val="00984580"/>
    <w:rsid w:val="00984592"/>
    <w:rsid w:val="009845B8"/>
    <w:rsid w:val="0098464D"/>
    <w:rsid w:val="0098466E"/>
    <w:rsid w:val="00984685"/>
    <w:rsid w:val="009846D4"/>
    <w:rsid w:val="009846DF"/>
    <w:rsid w:val="0098471A"/>
    <w:rsid w:val="0098482B"/>
    <w:rsid w:val="00984839"/>
    <w:rsid w:val="00984842"/>
    <w:rsid w:val="0098484E"/>
    <w:rsid w:val="00984870"/>
    <w:rsid w:val="00984885"/>
    <w:rsid w:val="009848EE"/>
    <w:rsid w:val="00984901"/>
    <w:rsid w:val="00984946"/>
    <w:rsid w:val="00984986"/>
    <w:rsid w:val="009849C9"/>
    <w:rsid w:val="00984A86"/>
    <w:rsid w:val="00984AD4"/>
    <w:rsid w:val="00984B6D"/>
    <w:rsid w:val="00984BA0"/>
    <w:rsid w:val="00984C09"/>
    <w:rsid w:val="00984C5C"/>
    <w:rsid w:val="00984D81"/>
    <w:rsid w:val="00984D8E"/>
    <w:rsid w:val="00984DFE"/>
    <w:rsid w:val="00984E64"/>
    <w:rsid w:val="00984EBF"/>
    <w:rsid w:val="00984ECD"/>
    <w:rsid w:val="00984EFF"/>
    <w:rsid w:val="00984F08"/>
    <w:rsid w:val="00984F0D"/>
    <w:rsid w:val="00984F38"/>
    <w:rsid w:val="00984F6F"/>
    <w:rsid w:val="00984FD4"/>
    <w:rsid w:val="00984FEC"/>
    <w:rsid w:val="00985091"/>
    <w:rsid w:val="009850CC"/>
    <w:rsid w:val="00985137"/>
    <w:rsid w:val="00985196"/>
    <w:rsid w:val="009851A3"/>
    <w:rsid w:val="009851B7"/>
    <w:rsid w:val="009851DA"/>
    <w:rsid w:val="00985207"/>
    <w:rsid w:val="00985289"/>
    <w:rsid w:val="009852A0"/>
    <w:rsid w:val="009852B5"/>
    <w:rsid w:val="009852FD"/>
    <w:rsid w:val="0098534A"/>
    <w:rsid w:val="0098539D"/>
    <w:rsid w:val="009854B6"/>
    <w:rsid w:val="009854FE"/>
    <w:rsid w:val="00985517"/>
    <w:rsid w:val="0098553D"/>
    <w:rsid w:val="009855D0"/>
    <w:rsid w:val="009855E9"/>
    <w:rsid w:val="00985616"/>
    <w:rsid w:val="00985682"/>
    <w:rsid w:val="0098570E"/>
    <w:rsid w:val="00985722"/>
    <w:rsid w:val="0098574F"/>
    <w:rsid w:val="00985769"/>
    <w:rsid w:val="009857A3"/>
    <w:rsid w:val="009857A8"/>
    <w:rsid w:val="009857E4"/>
    <w:rsid w:val="00985840"/>
    <w:rsid w:val="00985897"/>
    <w:rsid w:val="009858C0"/>
    <w:rsid w:val="009858E5"/>
    <w:rsid w:val="0098593A"/>
    <w:rsid w:val="009859CC"/>
    <w:rsid w:val="009859E8"/>
    <w:rsid w:val="00985AE4"/>
    <w:rsid w:val="00985B1A"/>
    <w:rsid w:val="00985B41"/>
    <w:rsid w:val="00985B7E"/>
    <w:rsid w:val="00985B8E"/>
    <w:rsid w:val="00985C32"/>
    <w:rsid w:val="00985CAB"/>
    <w:rsid w:val="00985CB0"/>
    <w:rsid w:val="00985D01"/>
    <w:rsid w:val="00985D47"/>
    <w:rsid w:val="00985D64"/>
    <w:rsid w:val="00985D6D"/>
    <w:rsid w:val="00985D7A"/>
    <w:rsid w:val="00985DA7"/>
    <w:rsid w:val="00985DFF"/>
    <w:rsid w:val="00985EE5"/>
    <w:rsid w:val="00985F0B"/>
    <w:rsid w:val="00985F19"/>
    <w:rsid w:val="00985F80"/>
    <w:rsid w:val="00985FA3"/>
    <w:rsid w:val="00985FD8"/>
    <w:rsid w:val="00985FE6"/>
    <w:rsid w:val="0098603E"/>
    <w:rsid w:val="009860AE"/>
    <w:rsid w:val="009860BA"/>
    <w:rsid w:val="00986115"/>
    <w:rsid w:val="0098611A"/>
    <w:rsid w:val="00986122"/>
    <w:rsid w:val="0098616C"/>
    <w:rsid w:val="009861D3"/>
    <w:rsid w:val="009861F6"/>
    <w:rsid w:val="00986269"/>
    <w:rsid w:val="009862D0"/>
    <w:rsid w:val="009862F0"/>
    <w:rsid w:val="0098630E"/>
    <w:rsid w:val="00986327"/>
    <w:rsid w:val="00986363"/>
    <w:rsid w:val="0098637D"/>
    <w:rsid w:val="0098639C"/>
    <w:rsid w:val="009863CA"/>
    <w:rsid w:val="009863F9"/>
    <w:rsid w:val="009863FF"/>
    <w:rsid w:val="00986423"/>
    <w:rsid w:val="0098647A"/>
    <w:rsid w:val="00986485"/>
    <w:rsid w:val="00986499"/>
    <w:rsid w:val="0098649F"/>
    <w:rsid w:val="009864A4"/>
    <w:rsid w:val="009864E3"/>
    <w:rsid w:val="009864E7"/>
    <w:rsid w:val="00986520"/>
    <w:rsid w:val="00986556"/>
    <w:rsid w:val="00986568"/>
    <w:rsid w:val="0098656C"/>
    <w:rsid w:val="009865E8"/>
    <w:rsid w:val="00986676"/>
    <w:rsid w:val="00986681"/>
    <w:rsid w:val="009866A8"/>
    <w:rsid w:val="009866E8"/>
    <w:rsid w:val="00986725"/>
    <w:rsid w:val="00986743"/>
    <w:rsid w:val="009867CA"/>
    <w:rsid w:val="00986800"/>
    <w:rsid w:val="00986831"/>
    <w:rsid w:val="00986866"/>
    <w:rsid w:val="0098690D"/>
    <w:rsid w:val="00986911"/>
    <w:rsid w:val="00986938"/>
    <w:rsid w:val="009869C1"/>
    <w:rsid w:val="009869D5"/>
    <w:rsid w:val="00986A38"/>
    <w:rsid w:val="00986A7A"/>
    <w:rsid w:val="00986AA5"/>
    <w:rsid w:val="00986AB8"/>
    <w:rsid w:val="00986ACB"/>
    <w:rsid w:val="00986B06"/>
    <w:rsid w:val="00986B59"/>
    <w:rsid w:val="00986B60"/>
    <w:rsid w:val="00986BDE"/>
    <w:rsid w:val="00986C43"/>
    <w:rsid w:val="00986C4A"/>
    <w:rsid w:val="00986CB7"/>
    <w:rsid w:val="00986CCF"/>
    <w:rsid w:val="00986CF9"/>
    <w:rsid w:val="00986D2A"/>
    <w:rsid w:val="00986D2B"/>
    <w:rsid w:val="00986DBE"/>
    <w:rsid w:val="00986DFD"/>
    <w:rsid w:val="00986E13"/>
    <w:rsid w:val="00986E75"/>
    <w:rsid w:val="00986EA6"/>
    <w:rsid w:val="00986ED5"/>
    <w:rsid w:val="00986EED"/>
    <w:rsid w:val="00986FDE"/>
    <w:rsid w:val="009870CD"/>
    <w:rsid w:val="00987164"/>
    <w:rsid w:val="0098717E"/>
    <w:rsid w:val="00987187"/>
    <w:rsid w:val="0098718A"/>
    <w:rsid w:val="00987194"/>
    <w:rsid w:val="009871FB"/>
    <w:rsid w:val="00987245"/>
    <w:rsid w:val="0098724F"/>
    <w:rsid w:val="00987280"/>
    <w:rsid w:val="0098728D"/>
    <w:rsid w:val="009872BC"/>
    <w:rsid w:val="009872CB"/>
    <w:rsid w:val="009872F0"/>
    <w:rsid w:val="00987321"/>
    <w:rsid w:val="00987344"/>
    <w:rsid w:val="00987386"/>
    <w:rsid w:val="009873A6"/>
    <w:rsid w:val="009873C1"/>
    <w:rsid w:val="009873E0"/>
    <w:rsid w:val="0098742E"/>
    <w:rsid w:val="00987471"/>
    <w:rsid w:val="0098749A"/>
    <w:rsid w:val="009874D8"/>
    <w:rsid w:val="0098750E"/>
    <w:rsid w:val="0098751D"/>
    <w:rsid w:val="00987523"/>
    <w:rsid w:val="00987561"/>
    <w:rsid w:val="009875E1"/>
    <w:rsid w:val="0098765F"/>
    <w:rsid w:val="0098766B"/>
    <w:rsid w:val="0098768E"/>
    <w:rsid w:val="009876FB"/>
    <w:rsid w:val="00987717"/>
    <w:rsid w:val="0098772A"/>
    <w:rsid w:val="0098776C"/>
    <w:rsid w:val="009877A5"/>
    <w:rsid w:val="009877B0"/>
    <w:rsid w:val="009877D3"/>
    <w:rsid w:val="009877F6"/>
    <w:rsid w:val="009878B6"/>
    <w:rsid w:val="009878BA"/>
    <w:rsid w:val="009878DD"/>
    <w:rsid w:val="009878E9"/>
    <w:rsid w:val="00987908"/>
    <w:rsid w:val="0098790F"/>
    <w:rsid w:val="00987913"/>
    <w:rsid w:val="00987933"/>
    <w:rsid w:val="009879B1"/>
    <w:rsid w:val="009879F3"/>
    <w:rsid w:val="009879FA"/>
    <w:rsid w:val="00987A08"/>
    <w:rsid w:val="00987A14"/>
    <w:rsid w:val="00987B14"/>
    <w:rsid w:val="00987B20"/>
    <w:rsid w:val="00987B32"/>
    <w:rsid w:val="00987B4F"/>
    <w:rsid w:val="00987B8E"/>
    <w:rsid w:val="00987BC9"/>
    <w:rsid w:val="00987BF6"/>
    <w:rsid w:val="00987C4C"/>
    <w:rsid w:val="00987C65"/>
    <w:rsid w:val="00987CB7"/>
    <w:rsid w:val="00987D38"/>
    <w:rsid w:val="00987D61"/>
    <w:rsid w:val="00987D62"/>
    <w:rsid w:val="00987DB4"/>
    <w:rsid w:val="00987DDC"/>
    <w:rsid w:val="00987DED"/>
    <w:rsid w:val="00987DF6"/>
    <w:rsid w:val="00987E0E"/>
    <w:rsid w:val="00987E8E"/>
    <w:rsid w:val="00987EA8"/>
    <w:rsid w:val="00987F08"/>
    <w:rsid w:val="00987F56"/>
    <w:rsid w:val="00987F71"/>
    <w:rsid w:val="00987F8E"/>
    <w:rsid w:val="0098ED3A"/>
    <w:rsid w:val="00990053"/>
    <w:rsid w:val="0099008F"/>
    <w:rsid w:val="009900B2"/>
    <w:rsid w:val="009900E5"/>
    <w:rsid w:val="00990105"/>
    <w:rsid w:val="0099010F"/>
    <w:rsid w:val="0099012B"/>
    <w:rsid w:val="0099012F"/>
    <w:rsid w:val="00990143"/>
    <w:rsid w:val="00990161"/>
    <w:rsid w:val="009901E9"/>
    <w:rsid w:val="00990291"/>
    <w:rsid w:val="009902A0"/>
    <w:rsid w:val="009902BD"/>
    <w:rsid w:val="009902F0"/>
    <w:rsid w:val="00990311"/>
    <w:rsid w:val="0099032C"/>
    <w:rsid w:val="00990375"/>
    <w:rsid w:val="0099038D"/>
    <w:rsid w:val="009903E2"/>
    <w:rsid w:val="0099042A"/>
    <w:rsid w:val="009904A2"/>
    <w:rsid w:val="009904BC"/>
    <w:rsid w:val="009904F8"/>
    <w:rsid w:val="00990561"/>
    <w:rsid w:val="009905B5"/>
    <w:rsid w:val="009905EC"/>
    <w:rsid w:val="0099060E"/>
    <w:rsid w:val="0099063A"/>
    <w:rsid w:val="0099066B"/>
    <w:rsid w:val="0099066F"/>
    <w:rsid w:val="00990672"/>
    <w:rsid w:val="0099067B"/>
    <w:rsid w:val="00990696"/>
    <w:rsid w:val="009906C6"/>
    <w:rsid w:val="0099073E"/>
    <w:rsid w:val="009907B1"/>
    <w:rsid w:val="009907DA"/>
    <w:rsid w:val="009907EE"/>
    <w:rsid w:val="009908A6"/>
    <w:rsid w:val="009908C9"/>
    <w:rsid w:val="00990983"/>
    <w:rsid w:val="009909DA"/>
    <w:rsid w:val="009909E7"/>
    <w:rsid w:val="009909F4"/>
    <w:rsid w:val="00990A03"/>
    <w:rsid w:val="00990A3F"/>
    <w:rsid w:val="00990A5A"/>
    <w:rsid w:val="00990A79"/>
    <w:rsid w:val="00990AA9"/>
    <w:rsid w:val="00990AC2"/>
    <w:rsid w:val="00990B7D"/>
    <w:rsid w:val="00990BD2"/>
    <w:rsid w:val="00990BFD"/>
    <w:rsid w:val="00990C33"/>
    <w:rsid w:val="00990C5A"/>
    <w:rsid w:val="00990C89"/>
    <w:rsid w:val="00990CDC"/>
    <w:rsid w:val="00990CFB"/>
    <w:rsid w:val="00990D59"/>
    <w:rsid w:val="00990DB8"/>
    <w:rsid w:val="00990DDF"/>
    <w:rsid w:val="00990DEC"/>
    <w:rsid w:val="00990E0A"/>
    <w:rsid w:val="00990E0F"/>
    <w:rsid w:val="00990E3E"/>
    <w:rsid w:val="00990E4C"/>
    <w:rsid w:val="00990E78"/>
    <w:rsid w:val="00990E8E"/>
    <w:rsid w:val="00990EC2"/>
    <w:rsid w:val="00990ED9"/>
    <w:rsid w:val="00990EE0"/>
    <w:rsid w:val="00990F13"/>
    <w:rsid w:val="00990FD1"/>
    <w:rsid w:val="00990FFD"/>
    <w:rsid w:val="00991014"/>
    <w:rsid w:val="0099103F"/>
    <w:rsid w:val="0099105F"/>
    <w:rsid w:val="00991063"/>
    <w:rsid w:val="00991067"/>
    <w:rsid w:val="0099108C"/>
    <w:rsid w:val="009910ED"/>
    <w:rsid w:val="009910FE"/>
    <w:rsid w:val="00991112"/>
    <w:rsid w:val="00991133"/>
    <w:rsid w:val="0099116D"/>
    <w:rsid w:val="0099119F"/>
    <w:rsid w:val="009911AE"/>
    <w:rsid w:val="00991333"/>
    <w:rsid w:val="00991385"/>
    <w:rsid w:val="009913CC"/>
    <w:rsid w:val="0099140E"/>
    <w:rsid w:val="00991412"/>
    <w:rsid w:val="0099143F"/>
    <w:rsid w:val="00991485"/>
    <w:rsid w:val="00991494"/>
    <w:rsid w:val="009914A4"/>
    <w:rsid w:val="009914BA"/>
    <w:rsid w:val="009914CE"/>
    <w:rsid w:val="009914ED"/>
    <w:rsid w:val="009914F0"/>
    <w:rsid w:val="00991517"/>
    <w:rsid w:val="00991519"/>
    <w:rsid w:val="00991560"/>
    <w:rsid w:val="0099157C"/>
    <w:rsid w:val="00991588"/>
    <w:rsid w:val="00991630"/>
    <w:rsid w:val="0099164D"/>
    <w:rsid w:val="00991651"/>
    <w:rsid w:val="00991679"/>
    <w:rsid w:val="009916A7"/>
    <w:rsid w:val="009916EA"/>
    <w:rsid w:val="00991738"/>
    <w:rsid w:val="00991793"/>
    <w:rsid w:val="009917E4"/>
    <w:rsid w:val="009917E8"/>
    <w:rsid w:val="009917F1"/>
    <w:rsid w:val="009917F5"/>
    <w:rsid w:val="00991800"/>
    <w:rsid w:val="00991862"/>
    <w:rsid w:val="0099188E"/>
    <w:rsid w:val="0099188F"/>
    <w:rsid w:val="0099189D"/>
    <w:rsid w:val="009918BB"/>
    <w:rsid w:val="00991955"/>
    <w:rsid w:val="00991993"/>
    <w:rsid w:val="009919C5"/>
    <w:rsid w:val="009919E4"/>
    <w:rsid w:val="00991A00"/>
    <w:rsid w:val="00991A54"/>
    <w:rsid w:val="00991A7B"/>
    <w:rsid w:val="00991AF6"/>
    <w:rsid w:val="00991B10"/>
    <w:rsid w:val="00991B15"/>
    <w:rsid w:val="00991B32"/>
    <w:rsid w:val="00991B45"/>
    <w:rsid w:val="00991B66"/>
    <w:rsid w:val="00991B81"/>
    <w:rsid w:val="00991B90"/>
    <w:rsid w:val="00991BB5"/>
    <w:rsid w:val="00991BEC"/>
    <w:rsid w:val="00991BF9"/>
    <w:rsid w:val="00991C0D"/>
    <w:rsid w:val="00991C33"/>
    <w:rsid w:val="00991C44"/>
    <w:rsid w:val="00991C70"/>
    <w:rsid w:val="00991C9B"/>
    <w:rsid w:val="00991CF4"/>
    <w:rsid w:val="00991CF6"/>
    <w:rsid w:val="00991D42"/>
    <w:rsid w:val="00991D51"/>
    <w:rsid w:val="00991D61"/>
    <w:rsid w:val="00991E9F"/>
    <w:rsid w:val="00991EB5"/>
    <w:rsid w:val="00991F1B"/>
    <w:rsid w:val="00992028"/>
    <w:rsid w:val="00992077"/>
    <w:rsid w:val="00992080"/>
    <w:rsid w:val="009920AB"/>
    <w:rsid w:val="009920D0"/>
    <w:rsid w:val="009920DD"/>
    <w:rsid w:val="009920F6"/>
    <w:rsid w:val="009920F9"/>
    <w:rsid w:val="0099212E"/>
    <w:rsid w:val="00992170"/>
    <w:rsid w:val="0099217D"/>
    <w:rsid w:val="00992193"/>
    <w:rsid w:val="009921C7"/>
    <w:rsid w:val="009921F5"/>
    <w:rsid w:val="009921FC"/>
    <w:rsid w:val="0099223F"/>
    <w:rsid w:val="00992253"/>
    <w:rsid w:val="009922CD"/>
    <w:rsid w:val="009922F6"/>
    <w:rsid w:val="00992300"/>
    <w:rsid w:val="00992309"/>
    <w:rsid w:val="00992324"/>
    <w:rsid w:val="009923AE"/>
    <w:rsid w:val="009923DE"/>
    <w:rsid w:val="00992414"/>
    <w:rsid w:val="00992452"/>
    <w:rsid w:val="00992455"/>
    <w:rsid w:val="0099249E"/>
    <w:rsid w:val="009924B1"/>
    <w:rsid w:val="009924B3"/>
    <w:rsid w:val="00992544"/>
    <w:rsid w:val="0099256F"/>
    <w:rsid w:val="009925DE"/>
    <w:rsid w:val="0099267C"/>
    <w:rsid w:val="009926A1"/>
    <w:rsid w:val="009926B3"/>
    <w:rsid w:val="0099270D"/>
    <w:rsid w:val="0099271E"/>
    <w:rsid w:val="0099272C"/>
    <w:rsid w:val="00992768"/>
    <w:rsid w:val="009927A9"/>
    <w:rsid w:val="009927B1"/>
    <w:rsid w:val="0099280E"/>
    <w:rsid w:val="00992885"/>
    <w:rsid w:val="00992892"/>
    <w:rsid w:val="009928D9"/>
    <w:rsid w:val="0099297B"/>
    <w:rsid w:val="00992981"/>
    <w:rsid w:val="0099299C"/>
    <w:rsid w:val="009929E9"/>
    <w:rsid w:val="009929F1"/>
    <w:rsid w:val="00992AD9"/>
    <w:rsid w:val="00992AE5"/>
    <w:rsid w:val="00992AED"/>
    <w:rsid w:val="00992B02"/>
    <w:rsid w:val="00992B14"/>
    <w:rsid w:val="00992B44"/>
    <w:rsid w:val="00992BB0"/>
    <w:rsid w:val="00992BC2"/>
    <w:rsid w:val="00992C24"/>
    <w:rsid w:val="00992C96"/>
    <w:rsid w:val="00992CC4"/>
    <w:rsid w:val="00992CDD"/>
    <w:rsid w:val="00992D48"/>
    <w:rsid w:val="00992DB9"/>
    <w:rsid w:val="00992E2A"/>
    <w:rsid w:val="00992E4D"/>
    <w:rsid w:val="00992E6B"/>
    <w:rsid w:val="00992F01"/>
    <w:rsid w:val="00992F80"/>
    <w:rsid w:val="00992F93"/>
    <w:rsid w:val="00992FB2"/>
    <w:rsid w:val="0099302C"/>
    <w:rsid w:val="0099308E"/>
    <w:rsid w:val="009930CF"/>
    <w:rsid w:val="0099310D"/>
    <w:rsid w:val="0099311E"/>
    <w:rsid w:val="0099311F"/>
    <w:rsid w:val="00993124"/>
    <w:rsid w:val="0099313D"/>
    <w:rsid w:val="00993167"/>
    <w:rsid w:val="00993175"/>
    <w:rsid w:val="009931CE"/>
    <w:rsid w:val="009931F5"/>
    <w:rsid w:val="00993232"/>
    <w:rsid w:val="009932A6"/>
    <w:rsid w:val="009932D7"/>
    <w:rsid w:val="00993373"/>
    <w:rsid w:val="009933AB"/>
    <w:rsid w:val="009933AE"/>
    <w:rsid w:val="00993413"/>
    <w:rsid w:val="00993425"/>
    <w:rsid w:val="0099350C"/>
    <w:rsid w:val="0099351F"/>
    <w:rsid w:val="0099352C"/>
    <w:rsid w:val="00993580"/>
    <w:rsid w:val="00993586"/>
    <w:rsid w:val="009935B4"/>
    <w:rsid w:val="009935CA"/>
    <w:rsid w:val="009935D8"/>
    <w:rsid w:val="00993630"/>
    <w:rsid w:val="00993648"/>
    <w:rsid w:val="009936D9"/>
    <w:rsid w:val="0099370D"/>
    <w:rsid w:val="00993733"/>
    <w:rsid w:val="00993746"/>
    <w:rsid w:val="00993757"/>
    <w:rsid w:val="009937BE"/>
    <w:rsid w:val="00993898"/>
    <w:rsid w:val="009938AF"/>
    <w:rsid w:val="009938E1"/>
    <w:rsid w:val="009938E6"/>
    <w:rsid w:val="00993911"/>
    <w:rsid w:val="00993912"/>
    <w:rsid w:val="00993945"/>
    <w:rsid w:val="00993947"/>
    <w:rsid w:val="00993988"/>
    <w:rsid w:val="009939F0"/>
    <w:rsid w:val="00993A40"/>
    <w:rsid w:val="00993A45"/>
    <w:rsid w:val="00993A5B"/>
    <w:rsid w:val="00993A69"/>
    <w:rsid w:val="00993ACE"/>
    <w:rsid w:val="00993B44"/>
    <w:rsid w:val="00993B56"/>
    <w:rsid w:val="00993B60"/>
    <w:rsid w:val="00993B9D"/>
    <w:rsid w:val="00993BD8"/>
    <w:rsid w:val="00993C36"/>
    <w:rsid w:val="00993C46"/>
    <w:rsid w:val="00993C65"/>
    <w:rsid w:val="00993CD1"/>
    <w:rsid w:val="00993D32"/>
    <w:rsid w:val="00993D36"/>
    <w:rsid w:val="00993D8F"/>
    <w:rsid w:val="00993DC3"/>
    <w:rsid w:val="00993DD8"/>
    <w:rsid w:val="00993E01"/>
    <w:rsid w:val="00993E5E"/>
    <w:rsid w:val="00993E80"/>
    <w:rsid w:val="00993E83"/>
    <w:rsid w:val="00993F51"/>
    <w:rsid w:val="00993F6C"/>
    <w:rsid w:val="00993F8A"/>
    <w:rsid w:val="00993F90"/>
    <w:rsid w:val="00994030"/>
    <w:rsid w:val="00994069"/>
    <w:rsid w:val="00994113"/>
    <w:rsid w:val="00994149"/>
    <w:rsid w:val="00994161"/>
    <w:rsid w:val="009941E7"/>
    <w:rsid w:val="00994225"/>
    <w:rsid w:val="00994232"/>
    <w:rsid w:val="00994258"/>
    <w:rsid w:val="0099429F"/>
    <w:rsid w:val="009942FE"/>
    <w:rsid w:val="00994316"/>
    <w:rsid w:val="00994328"/>
    <w:rsid w:val="0099434E"/>
    <w:rsid w:val="00994351"/>
    <w:rsid w:val="0099437C"/>
    <w:rsid w:val="00994387"/>
    <w:rsid w:val="00994399"/>
    <w:rsid w:val="009943E1"/>
    <w:rsid w:val="009943EB"/>
    <w:rsid w:val="0099441B"/>
    <w:rsid w:val="00994429"/>
    <w:rsid w:val="00994439"/>
    <w:rsid w:val="0099446C"/>
    <w:rsid w:val="0099448B"/>
    <w:rsid w:val="00994493"/>
    <w:rsid w:val="0099449D"/>
    <w:rsid w:val="00994502"/>
    <w:rsid w:val="0099453C"/>
    <w:rsid w:val="00994568"/>
    <w:rsid w:val="00994590"/>
    <w:rsid w:val="009945A6"/>
    <w:rsid w:val="00994629"/>
    <w:rsid w:val="00994641"/>
    <w:rsid w:val="0099466C"/>
    <w:rsid w:val="00994675"/>
    <w:rsid w:val="0099468C"/>
    <w:rsid w:val="00994691"/>
    <w:rsid w:val="00994700"/>
    <w:rsid w:val="00994705"/>
    <w:rsid w:val="00994766"/>
    <w:rsid w:val="0099477C"/>
    <w:rsid w:val="009947B0"/>
    <w:rsid w:val="0099481C"/>
    <w:rsid w:val="0099481F"/>
    <w:rsid w:val="0099487D"/>
    <w:rsid w:val="0099488B"/>
    <w:rsid w:val="0099488F"/>
    <w:rsid w:val="00994937"/>
    <w:rsid w:val="009949A4"/>
    <w:rsid w:val="009949DB"/>
    <w:rsid w:val="00994A02"/>
    <w:rsid w:val="00994A04"/>
    <w:rsid w:val="00994A58"/>
    <w:rsid w:val="00994AD0"/>
    <w:rsid w:val="00994B3A"/>
    <w:rsid w:val="00994B5B"/>
    <w:rsid w:val="00994B8E"/>
    <w:rsid w:val="00994B8F"/>
    <w:rsid w:val="00994BE9"/>
    <w:rsid w:val="00994BFB"/>
    <w:rsid w:val="00994C00"/>
    <w:rsid w:val="00994C40"/>
    <w:rsid w:val="00994C77"/>
    <w:rsid w:val="00994D08"/>
    <w:rsid w:val="00994D38"/>
    <w:rsid w:val="00994D62"/>
    <w:rsid w:val="00994D73"/>
    <w:rsid w:val="00994D85"/>
    <w:rsid w:val="00994D97"/>
    <w:rsid w:val="00994DB0"/>
    <w:rsid w:val="00994DD4"/>
    <w:rsid w:val="00994E1A"/>
    <w:rsid w:val="00994E2F"/>
    <w:rsid w:val="00994EE0"/>
    <w:rsid w:val="00994EE9"/>
    <w:rsid w:val="00994EFD"/>
    <w:rsid w:val="00994F5C"/>
    <w:rsid w:val="00994F6A"/>
    <w:rsid w:val="00994FB3"/>
    <w:rsid w:val="00994FC5"/>
    <w:rsid w:val="00995010"/>
    <w:rsid w:val="0099501B"/>
    <w:rsid w:val="0099502F"/>
    <w:rsid w:val="009950D9"/>
    <w:rsid w:val="009950E3"/>
    <w:rsid w:val="00995157"/>
    <w:rsid w:val="009951B1"/>
    <w:rsid w:val="009951BC"/>
    <w:rsid w:val="009951FD"/>
    <w:rsid w:val="0099528A"/>
    <w:rsid w:val="009952AC"/>
    <w:rsid w:val="009952DF"/>
    <w:rsid w:val="00995321"/>
    <w:rsid w:val="0099532C"/>
    <w:rsid w:val="00995337"/>
    <w:rsid w:val="009953BD"/>
    <w:rsid w:val="00995437"/>
    <w:rsid w:val="0099545E"/>
    <w:rsid w:val="009954D2"/>
    <w:rsid w:val="009954D9"/>
    <w:rsid w:val="009954F3"/>
    <w:rsid w:val="00995551"/>
    <w:rsid w:val="009955AE"/>
    <w:rsid w:val="009955D1"/>
    <w:rsid w:val="00995603"/>
    <w:rsid w:val="0099564A"/>
    <w:rsid w:val="00995721"/>
    <w:rsid w:val="00995727"/>
    <w:rsid w:val="009957CB"/>
    <w:rsid w:val="009957DA"/>
    <w:rsid w:val="00995826"/>
    <w:rsid w:val="0099591F"/>
    <w:rsid w:val="00995941"/>
    <w:rsid w:val="009959B6"/>
    <w:rsid w:val="009959B9"/>
    <w:rsid w:val="009959FC"/>
    <w:rsid w:val="00995A02"/>
    <w:rsid w:val="00995AA6"/>
    <w:rsid w:val="00995B02"/>
    <w:rsid w:val="00995B31"/>
    <w:rsid w:val="00995B49"/>
    <w:rsid w:val="00995BC3"/>
    <w:rsid w:val="00995C0E"/>
    <w:rsid w:val="00995C22"/>
    <w:rsid w:val="00995C47"/>
    <w:rsid w:val="00995C5C"/>
    <w:rsid w:val="00995C64"/>
    <w:rsid w:val="00995C93"/>
    <w:rsid w:val="00995CC0"/>
    <w:rsid w:val="00995D01"/>
    <w:rsid w:val="00995D02"/>
    <w:rsid w:val="00995D19"/>
    <w:rsid w:val="00995D2C"/>
    <w:rsid w:val="00995D66"/>
    <w:rsid w:val="00995D9D"/>
    <w:rsid w:val="00995DD4"/>
    <w:rsid w:val="00995DE0"/>
    <w:rsid w:val="00995E8C"/>
    <w:rsid w:val="00995E8F"/>
    <w:rsid w:val="00995E90"/>
    <w:rsid w:val="00995E96"/>
    <w:rsid w:val="00995EDA"/>
    <w:rsid w:val="00995F1C"/>
    <w:rsid w:val="00995F5C"/>
    <w:rsid w:val="00995F5F"/>
    <w:rsid w:val="00995FAD"/>
    <w:rsid w:val="00995FCF"/>
    <w:rsid w:val="00996078"/>
    <w:rsid w:val="00996079"/>
    <w:rsid w:val="009960C9"/>
    <w:rsid w:val="009960CF"/>
    <w:rsid w:val="009960E3"/>
    <w:rsid w:val="009960F2"/>
    <w:rsid w:val="00996172"/>
    <w:rsid w:val="00996183"/>
    <w:rsid w:val="0099619B"/>
    <w:rsid w:val="009961A1"/>
    <w:rsid w:val="009961A4"/>
    <w:rsid w:val="009961ED"/>
    <w:rsid w:val="00996239"/>
    <w:rsid w:val="00996267"/>
    <w:rsid w:val="009962A9"/>
    <w:rsid w:val="009962CD"/>
    <w:rsid w:val="00996335"/>
    <w:rsid w:val="0099637F"/>
    <w:rsid w:val="009963EB"/>
    <w:rsid w:val="00996461"/>
    <w:rsid w:val="00996466"/>
    <w:rsid w:val="00996483"/>
    <w:rsid w:val="009964B9"/>
    <w:rsid w:val="00996504"/>
    <w:rsid w:val="0099652F"/>
    <w:rsid w:val="009965A2"/>
    <w:rsid w:val="009965C0"/>
    <w:rsid w:val="0099662D"/>
    <w:rsid w:val="00996650"/>
    <w:rsid w:val="00996683"/>
    <w:rsid w:val="009966A7"/>
    <w:rsid w:val="009966F0"/>
    <w:rsid w:val="00996706"/>
    <w:rsid w:val="00996712"/>
    <w:rsid w:val="0099674B"/>
    <w:rsid w:val="00996752"/>
    <w:rsid w:val="009967CB"/>
    <w:rsid w:val="00996886"/>
    <w:rsid w:val="0099689A"/>
    <w:rsid w:val="009968EC"/>
    <w:rsid w:val="0099694F"/>
    <w:rsid w:val="0099699F"/>
    <w:rsid w:val="009969A3"/>
    <w:rsid w:val="009969B0"/>
    <w:rsid w:val="009969CA"/>
    <w:rsid w:val="00996A1E"/>
    <w:rsid w:val="00996A96"/>
    <w:rsid w:val="00996AF7"/>
    <w:rsid w:val="00996B23"/>
    <w:rsid w:val="00996BE5"/>
    <w:rsid w:val="00996C09"/>
    <w:rsid w:val="00996C38"/>
    <w:rsid w:val="00996C9A"/>
    <w:rsid w:val="00996CB1"/>
    <w:rsid w:val="00996CCC"/>
    <w:rsid w:val="00996CF7"/>
    <w:rsid w:val="00996D19"/>
    <w:rsid w:val="00996D1F"/>
    <w:rsid w:val="00996D31"/>
    <w:rsid w:val="00996DDB"/>
    <w:rsid w:val="00996E37"/>
    <w:rsid w:val="00996E7F"/>
    <w:rsid w:val="00996E82"/>
    <w:rsid w:val="00996E95"/>
    <w:rsid w:val="00996EA3"/>
    <w:rsid w:val="00996EBC"/>
    <w:rsid w:val="00996F25"/>
    <w:rsid w:val="00996F27"/>
    <w:rsid w:val="00996F4D"/>
    <w:rsid w:val="00996F68"/>
    <w:rsid w:val="00996FC1"/>
    <w:rsid w:val="00997064"/>
    <w:rsid w:val="00997096"/>
    <w:rsid w:val="009970BF"/>
    <w:rsid w:val="0099710F"/>
    <w:rsid w:val="00997155"/>
    <w:rsid w:val="00997181"/>
    <w:rsid w:val="00997188"/>
    <w:rsid w:val="009971F2"/>
    <w:rsid w:val="0099722A"/>
    <w:rsid w:val="009972A1"/>
    <w:rsid w:val="009972AD"/>
    <w:rsid w:val="009972B3"/>
    <w:rsid w:val="009972D0"/>
    <w:rsid w:val="009972EE"/>
    <w:rsid w:val="00997373"/>
    <w:rsid w:val="009973B8"/>
    <w:rsid w:val="009973CD"/>
    <w:rsid w:val="0099744B"/>
    <w:rsid w:val="00997454"/>
    <w:rsid w:val="00997460"/>
    <w:rsid w:val="00997477"/>
    <w:rsid w:val="00997483"/>
    <w:rsid w:val="00997499"/>
    <w:rsid w:val="009974CA"/>
    <w:rsid w:val="00997569"/>
    <w:rsid w:val="00997601"/>
    <w:rsid w:val="00997616"/>
    <w:rsid w:val="00997624"/>
    <w:rsid w:val="0099763D"/>
    <w:rsid w:val="0099764A"/>
    <w:rsid w:val="00997653"/>
    <w:rsid w:val="009976CC"/>
    <w:rsid w:val="009976F8"/>
    <w:rsid w:val="00997701"/>
    <w:rsid w:val="00997722"/>
    <w:rsid w:val="00997752"/>
    <w:rsid w:val="0099776D"/>
    <w:rsid w:val="0099780C"/>
    <w:rsid w:val="009978AE"/>
    <w:rsid w:val="00997917"/>
    <w:rsid w:val="00997962"/>
    <w:rsid w:val="00997968"/>
    <w:rsid w:val="009979B2"/>
    <w:rsid w:val="009979C2"/>
    <w:rsid w:val="009979F0"/>
    <w:rsid w:val="009979F6"/>
    <w:rsid w:val="00997A2B"/>
    <w:rsid w:val="00997A38"/>
    <w:rsid w:val="00997A4B"/>
    <w:rsid w:val="00997A5A"/>
    <w:rsid w:val="00997B13"/>
    <w:rsid w:val="00997C4C"/>
    <w:rsid w:val="00997C54"/>
    <w:rsid w:val="00997C5D"/>
    <w:rsid w:val="00997C65"/>
    <w:rsid w:val="00997C78"/>
    <w:rsid w:val="00997C7B"/>
    <w:rsid w:val="00997CB2"/>
    <w:rsid w:val="00997CBB"/>
    <w:rsid w:val="00997CE9"/>
    <w:rsid w:val="00997D0C"/>
    <w:rsid w:val="00997D1D"/>
    <w:rsid w:val="00997D23"/>
    <w:rsid w:val="00997D4D"/>
    <w:rsid w:val="00997D87"/>
    <w:rsid w:val="00997DA4"/>
    <w:rsid w:val="00997DC5"/>
    <w:rsid w:val="00997DD9"/>
    <w:rsid w:val="00997DFB"/>
    <w:rsid w:val="00997E1D"/>
    <w:rsid w:val="00997E44"/>
    <w:rsid w:val="00997E84"/>
    <w:rsid w:val="00997E9F"/>
    <w:rsid w:val="00997F1F"/>
    <w:rsid w:val="00997FA1"/>
    <w:rsid w:val="00999F41"/>
    <w:rsid w:val="0099A909"/>
    <w:rsid w:val="009A0008"/>
    <w:rsid w:val="009A0033"/>
    <w:rsid w:val="009A0037"/>
    <w:rsid w:val="009A00C2"/>
    <w:rsid w:val="009A00CF"/>
    <w:rsid w:val="009A00DB"/>
    <w:rsid w:val="009A00DC"/>
    <w:rsid w:val="009A00F1"/>
    <w:rsid w:val="009A0123"/>
    <w:rsid w:val="009A0184"/>
    <w:rsid w:val="009A0203"/>
    <w:rsid w:val="009A0210"/>
    <w:rsid w:val="009A022C"/>
    <w:rsid w:val="009A0239"/>
    <w:rsid w:val="009A0252"/>
    <w:rsid w:val="009A0313"/>
    <w:rsid w:val="009A03BF"/>
    <w:rsid w:val="009A03CD"/>
    <w:rsid w:val="009A03CE"/>
    <w:rsid w:val="009A03E9"/>
    <w:rsid w:val="009A03F5"/>
    <w:rsid w:val="009A0417"/>
    <w:rsid w:val="009A041D"/>
    <w:rsid w:val="009A0430"/>
    <w:rsid w:val="009A0446"/>
    <w:rsid w:val="009A0451"/>
    <w:rsid w:val="009A0464"/>
    <w:rsid w:val="009A052F"/>
    <w:rsid w:val="009A0535"/>
    <w:rsid w:val="009A054F"/>
    <w:rsid w:val="009A055A"/>
    <w:rsid w:val="009A055F"/>
    <w:rsid w:val="009A057C"/>
    <w:rsid w:val="009A065C"/>
    <w:rsid w:val="009A06AF"/>
    <w:rsid w:val="009A06B3"/>
    <w:rsid w:val="009A06C8"/>
    <w:rsid w:val="009A06DE"/>
    <w:rsid w:val="009A06F8"/>
    <w:rsid w:val="009A06FD"/>
    <w:rsid w:val="009A07D3"/>
    <w:rsid w:val="009A07DC"/>
    <w:rsid w:val="009A085E"/>
    <w:rsid w:val="009A087C"/>
    <w:rsid w:val="009A0896"/>
    <w:rsid w:val="009A08C7"/>
    <w:rsid w:val="009A08D6"/>
    <w:rsid w:val="009A08E9"/>
    <w:rsid w:val="009A0928"/>
    <w:rsid w:val="009A0994"/>
    <w:rsid w:val="009A09E8"/>
    <w:rsid w:val="009A0A14"/>
    <w:rsid w:val="009A0A7D"/>
    <w:rsid w:val="009A0A91"/>
    <w:rsid w:val="009A0A9F"/>
    <w:rsid w:val="009A0AEA"/>
    <w:rsid w:val="009A0B0C"/>
    <w:rsid w:val="009A0B4A"/>
    <w:rsid w:val="009A0B71"/>
    <w:rsid w:val="009A0B89"/>
    <w:rsid w:val="009A0B94"/>
    <w:rsid w:val="009A0BF7"/>
    <w:rsid w:val="009A0BF8"/>
    <w:rsid w:val="009A0C0B"/>
    <w:rsid w:val="009A0C20"/>
    <w:rsid w:val="009A0CE1"/>
    <w:rsid w:val="009A0CF8"/>
    <w:rsid w:val="009A0D03"/>
    <w:rsid w:val="009A0D0D"/>
    <w:rsid w:val="009A0D0F"/>
    <w:rsid w:val="009A0D2A"/>
    <w:rsid w:val="009A0DC9"/>
    <w:rsid w:val="009A0E23"/>
    <w:rsid w:val="009A0E6F"/>
    <w:rsid w:val="009A0EB3"/>
    <w:rsid w:val="009A0ECE"/>
    <w:rsid w:val="009A0F68"/>
    <w:rsid w:val="009A0F6E"/>
    <w:rsid w:val="009A1052"/>
    <w:rsid w:val="009A109E"/>
    <w:rsid w:val="009A1131"/>
    <w:rsid w:val="009A1139"/>
    <w:rsid w:val="009A116B"/>
    <w:rsid w:val="009A1237"/>
    <w:rsid w:val="009A1264"/>
    <w:rsid w:val="009A12C6"/>
    <w:rsid w:val="009A12F8"/>
    <w:rsid w:val="009A131F"/>
    <w:rsid w:val="009A135A"/>
    <w:rsid w:val="009A13AB"/>
    <w:rsid w:val="009A141D"/>
    <w:rsid w:val="009A1420"/>
    <w:rsid w:val="009A148B"/>
    <w:rsid w:val="009A1498"/>
    <w:rsid w:val="009A14C1"/>
    <w:rsid w:val="009A14CA"/>
    <w:rsid w:val="009A14E2"/>
    <w:rsid w:val="009A1523"/>
    <w:rsid w:val="009A1543"/>
    <w:rsid w:val="009A1546"/>
    <w:rsid w:val="009A1549"/>
    <w:rsid w:val="009A1567"/>
    <w:rsid w:val="009A15AB"/>
    <w:rsid w:val="009A15AF"/>
    <w:rsid w:val="009A15C2"/>
    <w:rsid w:val="009A15E8"/>
    <w:rsid w:val="009A1600"/>
    <w:rsid w:val="009A1604"/>
    <w:rsid w:val="009A1627"/>
    <w:rsid w:val="009A1683"/>
    <w:rsid w:val="009A1698"/>
    <w:rsid w:val="009A16B4"/>
    <w:rsid w:val="009A16C5"/>
    <w:rsid w:val="009A16CF"/>
    <w:rsid w:val="009A16FE"/>
    <w:rsid w:val="009A1872"/>
    <w:rsid w:val="009A18FC"/>
    <w:rsid w:val="009A1911"/>
    <w:rsid w:val="009A1913"/>
    <w:rsid w:val="009A1921"/>
    <w:rsid w:val="009A194D"/>
    <w:rsid w:val="009A195F"/>
    <w:rsid w:val="009A196B"/>
    <w:rsid w:val="009A197C"/>
    <w:rsid w:val="009A19AE"/>
    <w:rsid w:val="009A1A14"/>
    <w:rsid w:val="009A1A3F"/>
    <w:rsid w:val="009A1A66"/>
    <w:rsid w:val="009A1A6C"/>
    <w:rsid w:val="009A1ADA"/>
    <w:rsid w:val="009A1B92"/>
    <w:rsid w:val="009A1C71"/>
    <w:rsid w:val="009A1CCD"/>
    <w:rsid w:val="009A1CDA"/>
    <w:rsid w:val="009A1D83"/>
    <w:rsid w:val="009A1DC5"/>
    <w:rsid w:val="009A1DE9"/>
    <w:rsid w:val="009A1E6F"/>
    <w:rsid w:val="009A1E86"/>
    <w:rsid w:val="009A1E90"/>
    <w:rsid w:val="009A1EC0"/>
    <w:rsid w:val="009A1FCD"/>
    <w:rsid w:val="009A1FE3"/>
    <w:rsid w:val="009A2036"/>
    <w:rsid w:val="009A207D"/>
    <w:rsid w:val="009A213A"/>
    <w:rsid w:val="009A2158"/>
    <w:rsid w:val="009A2171"/>
    <w:rsid w:val="009A221E"/>
    <w:rsid w:val="009A2278"/>
    <w:rsid w:val="009A22A5"/>
    <w:rsid w:val="009A22F8"/>
    <w:rsid w:val="009A238E"/>
    <w:rsid w:val="009A23D7"/>
    <w:rsid w:val="009A23E6"/>
    <w:rsid w:val="009A2434"/>
    <w:rsid w:val="009A2462"/>
    <w:rsid w:val="009A246A"/>
    <w:rsid w:val="009A24D7"/>
    <w:rsid w:val="009A24E5"/>
    <w:rsid w:val="009A2505"/>
    <w:rsid w:val="009A257A"/>
    <w:rsid w:val="009A257D"/>
    <w:rsid w:val="009A25E0"/>
    <w:rsid w:val="009A263A"/>
    <w:rsid w:val="009A2649"/>
    <w:rsid w:val="009A2685"/>
    <w:rsid w:val="009A26B1"/>
    <w:rsid w:val="009A270E"/>
    <w:rsid w:val="009A276D"/>
    <w:rsid w:val="009A2828"/>
    <w:rsid w:val="009A285B"/>
    <w:rsid w:val="009A2950"/>
    <w:rsid w:val="009A2956"/>
    <w:rsid w:val="009A2974"/>
    <w:rsid w:val="009A2996"/>
    <w:rsid w:val="009A29EA"/>
    <w:rsid w:val="009A2A6A"/>
    <w:rsid w:val="009A2AA5"/>
    <w:rsid w:val="009A2AE6"/>
    <w:rsid w:val="009A2BCA"/>
    <w:rsid w:val="009A2BCB"/>
    <w:rsid w:val="009A2C33"/>
    <w:rsid w:val="009A2C82"/>
    <w:rsid w:val="009A2C93"/>
    <w:rsid w:val="009A2C94"/>
    <w:rsid w:val="009A2CED"/>
    <w:rsid w:val="009A2D23"/>
    <w:rsid w:val="009A2D31"/>
    <w:rsid w:val="009A2D4A"/>
    <w:rsid w:val="009A2E1D"/>
    <w:rsid w:val="009A2E73"/>
    <w:rsid w:val="009A2F16"/>
    <w:rsid w:val="009A2F8E"/>
    <w:rsid w:val="009A3021"/>
    <w:rsid w:val="009A3024"/>
    <w:rsid w:val="009A3044"/>
    <w:rsid w:val="009A3067"/>
    <w:rsid w:val="009A306F"/>
    <w:rsid w:val="009A30BF"/>
    <w:rsid w:val="009A30C2"/>
    <w:rsid w:val="009A30E7"/>
    <w:rsid w:val="009A30E9"/>
    <w:rsid w:val="009A30FF"/>
    <w:rsid w:val="009A3179"/>
    <w:rsid w:val="009A31AD"/>
    <w:rsid w:val="009A31AF"/>
    <w:rsid w:val="009A31B8"/>
    <w:rsid w:val="009A31CB"/>
    <w:rsid w:val="009A31CD"/>
    <w:rsid w:val="009A31F1"/>
    <w:rsid w:val="009A31FF"/>
    <w:rsid w:val="009A321D"/>
    <w:rsid w:val="009A3238"/>
    <w:rsid w:val="009A3262"/>
    <w:rsid w:val="009A32AB"/>
    <w:rsid w:val="009A32FB"/>
    <w:rsid w:val="009A32FD"/>
    <w:rsid w:val="009A340D"/>
    <w:rsid w:val="009A3441"/>
    <w:rsid w:val="009A3488"/>
    <w:rsid w:val="009A34CF"/>
    <w:rsid w:val="009A34E1"/>
    <w:rsid w:val="009A34F3"/>
    <w:rsid w:val="009A3536"/>
    <w:rsid w:val="009A357E"/>
    <w:rsid w:val="009A35EB"/>
    <w:rsid w:val="009A3604"/>
    <w:rsid w:val="009A3645"/>
    <w:rsid w:val="009A3649"/>
    <w:rsid w:val="009A367C"/>
    <w:rsid w:val="009A36C8"/>
    <w:rsid w:val="009A36EC"/>
    <w:rsid w:val="009A36FD"/>
    <w:rsid w:val="009A3768"/>
    <w:rsid w:val="009A3770"/>
    <w:rsid w:val="009A37E3"/>
    <w:rsid w:val="009A37E6"/>
    <w:rsid w:val="009A37F0"/>
    <w:rsid w:val="009A3844"/>
    <w:rsid w:val="009A384E"/>
    <w:rsid w:val="009A385C"/>
    <w:rsid w:val="009A38C3"/>
    <w:rsid w:val="009A391E"/>
    <w:rsid w:val="009A396E"/>
    <w:rsid w:val="009A3987"/>
    <w:rsid w:val="009A39CC"/>
    <w:rsid w:val="009A3A7F"/>
    <w:rsid w:val="009A3AB4"/>
    <w:rsid w:val="009A3AF0"/>
    <w:rsid w:val="009A3B2F"/>
    <w:rsid w:val="009A3B50"/>
    <w:rsid w:val="009A3B5B"/>
    <w:rsid w:val="009A3B5E"/>
    <w:rsid w:val="009A3B76"/>
    <w:rsid w:val="009A3BEC"/>
    <w:rsid w:val="009A3D03"/>
    <w:rsid w:val="009A3D5C"/>
    <w:rsid w:val="009A3DEE"/>
    <w:rsid w:val="009A3E18"/>
    <w:rsid w:val="009A3E3D"/>
    <w:rsid w:val="009A3E44"/>
    <w:rsid w:val="009A3E7F"/>
    <w:rsid w:val="009A3E86"/>
    <w:rsid w:val="009A3E8B"/>
    <w:rsid w:val="009A3EC9"/>
    <w:rsid w:val="009A3F69"/>
    <w:rsid w:val="009A3F70"/>
    <w:rsid w:val="009A3F7C"/>
    <w:rsid w:val="009A3FC0"/>
    <w:rsid w:val="009A3FCA"/>
    <w:rsid w:val="009A3FF3"/>
    <w:rsid w:val="009A400E"/>
    <w:rsid w:val="009A4072"/>
    <w:rsid w:val="009A4086"/>
    <w:rsid w:val="009A41AB"/>
    <w:rsid w:val="009A41B6"/>
    <w:rsid w:val="009A41C9"/>
    <w:rsid w:val="009A41DB"/>
    <w:rsid w:val="009A4217"/>
    <w:rsid w:val="009A425B"/>
    <w:rsid w:val="009A428D"/>
    <w:rsid w:val="009A429E"/>
    <w:rsid w:val="009A42DA"/>
    <w:rsid w:val="009A43AA"/>
    <w:rsid w:val="009A441D"/>
    <w:rsid w:val="009A4449"/>
    <w:rsid w:val="009A4457"/>
    <w:rsid w:val="009A44D4"/>
    <w:rsid w:val="009A44F5"/>
    <w:rsid w:val="009A453C"/>
    <w:rsid w:val="009A45BB"/>
    <w:rsid w:val="009A4662"/>
    <w:rsid w:val="009A468B"/>
    <w:rsid w:val="009A4690"/>
    <w:rsid w:val="009A4691"/>
    <w:rsid w:val="009A46A7"/>
    <w:rsid w:val="009A46FF"/>
    <w:rsid w:val="009A4707"/>
    <w:rsid w:val="009A4722"/>
    <w:rsid w:val="009A47B0"/>
    <w:rsid w:val="009A4844"/>
    <w:rsid w:val="009A4888"/>
    <w:rsid w:val="009A48B6"/>
    <w:rsid w:val="009A4972"/>
    <w:rsid w:val="009A4988"/>
    <w:rsid w:val="009A499C"/>
    <w:rsid w:val="009A49A1"/>
    <w:rsid w:val="009A4A4F"/>
    <w:rsid w:val="009A4AAC"/>
    <w:rsid w:val="009A4AC3"/>
    <w:rsid w:val="009A4AD2"/>
    <w:rsid w:val="009A4AF6"/>
    <w:rsid w:val="009A4B89"/>
    <w:rsid w:val="009A4BA7"/>
    <w:rsid w:val="009A4C0B"/>
    <w:rsid w:val="009A4C23"/>
    <w:rsid w:val="009A4C37"/>
    <w:rsid w:val="009A4C85"/>
    <w:rsid w:val="009A4C87"/>
    <w:rsid w:val="009A4D23"/>
    <w:rsid w:val="009A4D39"/>
    <w:rsid w:val="009A4D69"/>
    <w:rsid w:val="009A4D77"/>
    <w:rsid w:val="009A4D7F"/>
    <w:rsid w:val="009A4DBF"/>
    <w:rsid w:val="009A4E62"/>
    <w:rsid w:val="009A4F06"/>
    <w:rsid w:val="009A4F6C"/>
    <w:rsid w:val="009A4FA2"/>
    <w:rsid w:val="009A4FAF"/>
    <w:rsid w:val="009A4FDD"/>
    <w:rsid w:val="009A4FEC"/>
    <w:rsid w:val="009A5003"/>
    <w:rsid w:val="009A500F"/>
    <w:rsid w:val="009A5019"/>
    <w:rsid w:val="009A5030"/>
    <w:rsid w:val="009A5148"/>
    <w:rsid w:val="009A5152"/>
    <w:rsid w:val="009A51AC"/>
    <w:rsid w:val="009A51C2"/>
    <w:rsid w:val="009A51C3"/>
    <w:rsid w:val="009A51DF"/>
    <w:rsid w:val="009A51FB"/>
    <w:rsid w:val="009A5256"/>
    <w:rsid w:val="009A52EB"/>
    <w:rsid w:val="009A5380"/>
    <w:rsid w:val="009A5389"/>
    <w:rsid w:val="009A5410"/>
    <w:rsid w:val="009A5423"/>
    <w:rsid w:val="009A5428"/>
    <w:rsid w:val="009A5453"/>
    <w:rsid w:val="009A5455"/>
    <w:rsid w:val="009A5460"/>
    <w:rsid w:val="009A550E"/>
    <w:rsid w:val="009A5523"/>
    <w:rsid w:val="009A554D"/>
    <w:rsid w:val="009A5587"/>
    <w:rsid w:val="009A5624"/>
    <w:rsid w:val="009A56A6"/>
    <w:rsid w:val="009A56B6"/>
    <w:rsid w:val="009A5739"/>
    <w:rsid w:val="009A574A"/>
    <w:rsid w:val="009A5755"/>
    <w:rsid w:val="009A57A7"/>
    <w:rsid w:val="009A57BF"/>
    <w:rsid w:val="009A57FE"/>
    <w:rsid w:val="009A58A0"/>
    <w:rsid w:val="009A58F0"/>
    <w:rsid w:val="009A591D"/>
    <w:rsid w:val="009A5989"/>
    <w:rsid w:val="009A59A8"/>
    <w:rsid w:val="009A59BB"/>
    <w:rsid w:val="009A59F5"/>
    <w:rsid w:val="009A59F6"/>
    <w:rsid w:val="009A59F9"/>
    <w:rsid w:val="009A5A57"/>
    <w:rsid w:val="009A5A71"/>
    <w:rsid w:val="009A5AA0"/>
    <w:rsid w:val="009A5B8D"/>
    <w:rsid w:val="009A5B8F"/>
    <w:rsid w:val="009A5C06"/>
    <w:rsid w:val="009A5C72"/>
    <w:rsid w:val="009A5C7A"/>
    <w:rsid w:val="009A5D39"/>
    <w:rsid w:val="009A5D53"/>
    <w:rsid w:val="009A5DAB"/>
    <w:rsid w:val="009A5DAC"/>
    <w:rsid w:val="009A5DB0"/>
    <w:rsid w:val="009A5E16"/>
    <w:rsid w:val="009A5E21"/>
    <w:rsid w:val="009A5F03"/>
    <w:rsid w:val="009A5F1C"/>
    <w:rsid w:val="009A5F60"/>
    <w:rsid w:val="009A5F68"/>
    <w:rsid w:val="009A5FC1"/>
    <w:rsid w:val="009A5FEC"/>
    <w:rsid w:val="009A600B"/>
    <w:rsid w:val="009A6041"/>
    <w:rsid w:val="009A6044"/>
    <w:rsid w:val="009A6111"/>
    <w:rsid w:val="009A6158"/>
    <w:rsid w:val="009A6165"/>
    <w:rsid w:val="009A617B"/>
    <w:rsid w:val="009A61C8"/>
    <w:rsid w:val="009A61F5"/>
    <w:rsid w:val="009A61FC"/>
    <w:rsid w:val="009A6246"/>
    <w:rsid w:val="009A6319"/>
    <w:rsid w:val="009A631F"/>
    <w:rsid w:val="009A635E"/>
    <w:rsid w:val="009A638A"/>
    <w:rsid w:val="009A638C"/>
    <w:rsid w:val="009A63A0"/>
    <w:rsid w:val="009A641B"/>
    <w:rsid w:val="009A6442"/>
    <w:rsid w:val="009A644E"/>
    <w:rsid w:val="009A645B"/>
    <w:rsid w:val="009A6472"/>
    <w:rsid w:val="009A648C"/>
    <w:rsid w:val="009A64AE"/>
    <w:rsid w:val="009A64B2"/>
    <w:rsid w:val="009A64C4"/>
    <w:rsid w:val="009A64C9"/>
    <w:rsid w:val="009A64CA"/>
    <w:rsid w:val="009A64CE"/>
    <w:rsid w:val="009A64E2"/>
    <w:rsid w:val="009A64F3"/>
    <w:rsid w:val="009A659C"/>
    <w:rsid w:val="009A65AC"/>
    <w:rsid w:val="009A65B2"/>
    <w:rsid w:val="009A65C2"/>
    <w:rsid w:val="009A6602"/>
    <w:rsid w:val="009A662F"/>
    <w:rsid w:val="009A6663"/>
    <w:rsid w:val="009A66A2"/>
    <w:rsid w:val="009A678F"/>
    <w:rsid w:val="009A67B7"/>
    <w:rsid w:val="009A6844"/>
    <w:rsid w:val="009A68E9"/>
    <w:rsid w:val="009A68F3"/>
    <w:rsid w:val="009A68F9"/>
    <w:rsid w:val="009A68FD"/>
    <w:rsid w:val="009A6A52"/>
    <w:rsid w:val="009A6A86"/>
    <w:rsid w:val="009A6AB2"/>
    <w:rsid w:val="009A6B6E"/>
    <w:rsid w:val="009A6C44"/>
    <w:rsid w:val="009A6C6E"/>
    <w:rsid w:val="009A6C8E"/>
    <w:rsid w:val="009A6D1D"/>
    <w:rsid w:val="009A6D3F"/>
    <w:rsid w:val="009A6D47"/>
    <w:rsid w:val="009A6D67"/>
    <w:rsid w:val="009A6D6D"/>
    <w:rsid w:val="009A6D78"/>
    <w:rsid w:val="009A6D79"/>
    <w:rsid w:val="009A6DA5"/>
    <w:rsid w:val="009A6DC6"/>
    <w:rsid w:val="009A6E3E"/>
    <w:rsid w:val="009A6E73"/>
    <w:rsid w:val="009A6EA8"/>
    <w:rsid w:val="009A6EB1"/>
    <w:rsid w:val="009A6ECB"/>
    <w:rsid w:val="009A6EEB"/>
    <w:rsid w:val="009A6EF6"/>
    <w:rsid w:val="009A6F27"/>
    <w:rsid w:val="009A6F29"/>
    <w:rsid w:val="009A6F63"/>
    <w:rsid w:val="009A6F79"/>
    <w:rsid w:val="009A6F87"/>
    <w:rsid w:val="009A6FED"/>
    <w:rsid w:val="009A6FFA"/>
    <w:rsid w:val="009A7003"/>
    <w:rsid w:val="009A7014"/>
    <w:rsid w:val="009A7061"/>
    <w:rsid w:val="009A7073"/>
    <w:rsid w:val="009A7099"/>
    <w:rsid w:val="009A70BF"/>
    <w:rsid w:val="009A70E8"/>
    <w:rsid w:val="009A70FD"/>
    <w:rsid w:val="009A7149"/>
    <w:rsid w:val="009A7173"/>
    <w:rsid w:val="009A71AB"/>
    <w:rsid w:val="009A71C7"/>
    <w:rsid w:val="009A71E3"/>
    <w:rsid w:val="009A7229"/>
    <w:rsid w:val="009A7234"/>
    <w:rsid w:val="009A726F"/>
    <w:rsid w:val="009A72E7"/>
    <w:rsid w:val="009A72EE"/>
    <w:rsid w:val="009A7310"/>
    <w:rsid w:val="009A7339"/>
    <w:rsid w:val="009A73F8"/>
    <w:rsid w:val="009A742F"/>
    <w:rsid w:val="009A746F"/>
    <w:rsid w:val="009A74A3"/>
    <w:rsid w:val="009A74C9"/>
    <w:rsid w:val="009A74DF"/>
    <w:rsid w:val="009A75E8"/>
    <w:rsid w:val="009A761F"/>
    <w:rsid w:val="009A763E"/>
    <w:rsid w:val="009A7681"/>
    <w:rsid w:val="009A76C4"/>
    <w:rsid w:val="009A7720"/>
    <w:rsid w:val="009A7763"/>
    <w:rsid w:val="009A78AD"/>
    <w:rsid w:val="009A78B3"/>
    <w:rsid w:val="009A78C8"/>
    <w:rsid w:val="009A78CD"/>
    <w:rsid w:val="009A78D6"/>
    <w:rsid w:val="009A78E7"/>
    <w:rsid w:val="009A78F7"/>
    <w:rsid w:val="009A7979"/>
    <w:rsid w:val="009A79AA"/>
    <w:rsid w:val="009A7ABB"/>
    <w:rsid w:val="009A7AC5"/>
    <w:rsid w:val="009A7B2D"/>
    <w:rsid w:val="009A7B6A"/>
    <w:rsid w:val="009A7BA2"/>
    <w:rsid w:val="009A7BC2"/>
    <w:rsid w:val="009A7BF3"/>
    <w:rsid w:val="009A7C76"/>
    <w:rsid w:val="009A7CB2"/>
    <w:rsid w:val="009A7D2B"/>
    <w:rsid w:val="009A7D6B"/>
    <w:rsid w:val="009A7D8D"/>
    <w:rsid w:val="009A7DE4"/>
    <w:rsid w:val="009A7E12"/>
    <w:rsid w:val="009A7E58"/>
    <w:rsid w:val="009A7E70"/>
    <w:rsid w:val="009A7E86"/>
    <w:rsid w:val="009A7F3C"/>
    <w:rsid w:val="009A7F53"/>
    <w:rsid w:val="009A7FA6"/>
    <w:rsid w:val="009A7FB5"/>
    <w:rsid w:val="009A7FC1"/>
    <w:rsid w:val="009A7FD1"/>
    <w:rsid w:val="009A7FF1"/>
    <w:rsid w:val="009AA6AE"/>
    <w:rsid w:val="009AD6E3"/>
    <w:rsid w:val="009B006E"/>
    <w:rsid w:val="009B008C"/>
    <w:rsid w:val="009B00F4"/>
    <w:rsid w:val="009B0114"/>
    <w:rsid w:val="009B0164"/>
    <w:rsid w:val="009B01C6"/>
    <w:rsid w:val="009B0201"/>
    <w:rsid w:val="009B02AD"/>
    <w:rsid w:val="009B02CA"/>
    <w:rsid w:val="009B0353"/>
    <w:rsid w:val="009B0394"/>
    <w:rsid w:val="009B03B7"/>
    <w:rsid w:val="009B0491"/>
    <w:rsid w:val="009B04B1"/>
    <w:rsid w:val="009B04BF"/>
    <w:rsid w:val="009B04D5"/>
    <w:rsid w:val="009B04DE"/>
    <w:rsid w:val="009B0590"/>
    <w:rsid w:val="009B05CB"/>
    <w:rsid w:val="009B05E4"/>
    <w:rsid w:val="009B0634"/>
    <w:rsid w:val="009B0670"/>
    <w:rsid w:val="009B06AB"/>
    <w:rsid w:val="009B06B6"/>
    <w:rsid w:val="009B07D1"/>
    <w:rsid w:val="009B07F0"/>
    <w:rsid w:val="009B0817"/>
    <w:rsid w:val="009B086A"/>
    <w:rsid w:val="009B087C"/>
    <w:rsid w:val="009B0912"/>
    <w:rsid w:val="009B0957"/>
    <w:rsid w:val="009B0963"/>
    <w:rsid w:val="009B09AF"/>
    <w:rsid w:val="009B09E3"/>
    <w:rsid w:val="009B09F2"/>
    <w:rsid w:val="009B0A42"/>
    <w:rsid w:val="009B0A87"/>
    <w:rsid w:val="009B0AE1"/>
    <w:rsid w:val="009B0B50"/>
    <w:rsid w:val="009B0B62"/>
    <w:rsid w:val="009B0B8A"/>
    <w:rsid w:val="009B0C0E"/>
    <w:rsid w:val="009B0CCB"/>
    <w:rsid w:val="009B0CD6"/>
    <w:rsid w:val="009B0CE3"/>
    <w:rsid w:val="009B0D49"/>
    <w:rsid w:val="009B0D79"/>
    <w:rsid w:val="009B0DCB"/>
    <w:rsid w:val="009B0E61"/>
    <w:rsid w:val="009B0EA5"/>
    <w:rsid w:val="009B0EB9"/>
    <w:rsid w:val="009B0EBB"/>
    <w:rsid w:val="009B0F0C"/>
    <w:rsid w:val="009B0F3F"/>
    <w:rsid w:val="009B0FA2"/>
    <w:rsid w:val="009B0FDF"/>
    <w:rsid w:val="009B106D"/>
    <w:rsid w:val="009B1074"/>
    <w:rsid w:val="009B10B4"/>
    <w:rsid w:val="009B10CE"/>
    <w:rsid w:val="009B10D0"/>
    <w:rsid w:val="009B1136"/>
    <w:rsid w:val="009B115D"/>
    <w:rsid w:val="009B1163"/>
    <w:rsid w:val="009B1168"/>
    <w:rsid w:val="009B1172"/>
    <w:rsid w:val="009B11AE"/>
    <w:rsid w:val="009B11FC"/>
    <w:rsid w:val="009B124B"/>
    <w:rsid w:val="009B1250"/>
    <w:rsid w:val="009B12C6"/>
    <w:rsid w:val="009B1329"/>
    <w:rsid w:val="009B13B9"/>
    <w:rsid w:val="009B1418"/>
    <w:rsid w:val="009B143C"/>
    <w:rsid w:val="009B144A"/>
    <w:rsid w:val="009B1461"/>
    <w:rsid w:val="009B14A0"/>
    <w:rsid w:val="009B14AC"/>
    <w:rsid w:val="009B14CB"/>
    <w:rsid w:val="009B14DC"/>
    <w:rsid w:val="009B14DE"/>
    <w:rsid w:val="009B14FB"/>
    <w:rsid w:val="009B1501"/>
    <w:rsid w:val="009B1560"/>
    <w:rsid w:val="009B1566"/>
    <w:rsid w:val="009B15F0"/>
    <w:rsid w:val="009B15F4"/>
    <w:rsid w:val="009B162C"/>
    <w:rsid w:val="009B164C"/>
    <w:rsid w:val="009B16A3"/>
    <w:rsid w:val="009B1711"/>
    <w:rsid w:val="009B1754"/>
    <w:rsid w:val="009B1767"/>
    <w:rsid w:val="009B181B"/>
    <w:rsid w:val="009B18A2"/>
    <w:rsid w:val="009B18C1"/>
    <w:rsid w:val="009B191B"/>
    <w:rsid w:val="009B198A"/>
    <w:rsid w:val="009B1992"/>
    <w:rsid w:val="009B19DB"/>
    <w:rsid w:val="009B1A24"/>
    <w:rsid w:val="009B1AAF"/>
    <w:rsid w:val="009B1AB2"/>
    <w:rsid w:val="009B1AC6"/>
    <w:rsid w:val="009B1AEE"/>
    <w:rsid w:val="009B1B59"/>
    <w:rsid w:val="009B1B78"/>
    <w:rsid w:val="009B1B93"/>
    <w:rsid w:val="009B1C4C"/>
    <w:rsid w:val="009B1C4E"/>
    <w:rsid w:val="009B1C6D"/>
    <w:rsid w:val="009B1CDF"/>
    <w:rsid w:val="009B1D02"/>
    <w:rsid w:val="009B1D4D"/>
    <w:rsid w:val="009B1DAC"/>
    <w:rsid w:val="009B1DEE"/>
    <w:rsid w:val="009B1DFB"/>
    <w:rsid w:val="009B1E14"/>
    <w:rsid w:val="009B1E49"/>
    <w:rsid w:val="009B1E55"/>
    <w:rsid w:val="009B1E64"/>
    <w:rsid w:val="009B1E98"/>
    <w:rsid w:val="009B1E9D"/>
    <w:rsid w:val="009B1EA1"/>
    <w:rsid w:val="009B1EC2"/>
    <w:rsid w:val="009B1EEB"/>
    <w:rsid w:val="009B1F35"/>
    <w:rsid w:val="009B1F42"/>
    <w:rsid w:val="009B1FC1"/>
    <w:rsid w:val="009B1FFA"/>
    <w:rsid w:val="009B200D"/>
    <w:rsid w:val="009B202D"/>
    <w:rsid w:val="009B206B"/>
    <w:rsid w:val="009B20C9"/>
    <w:rsid w:val="009B2102"/>
    <w:rsid w:val="009B2178"/>
    <w:rsid w:val="009B2195"/>
    <w:rsid w:val="009B21B2"/>
    <w:rsid w:val="009B21F7"/>
    <w:rsid w:val="009B222E"/>
    <w:rsid w:val="009B2238"/>
    <w:rsid w:val="009B2259"/>
    <w:rsid w:val="009B2289"/>
    <w:rsid w:val="009B22A5"/>
    <w:rsid w:val="009B2314"/>
    <w:rsid w:val="009B2375"/>
    <w:rsid w:val="009B2438"/>
    <w:rsid w:val="009B244C"/>
    <w:rsid w:val="009B2491"/>
    <w:rsid w:val="009B24D4"/>
    <w:rsid w:val="009B24DB"/>
    <w:rsid w:val="009B250F"/>
    <w:rsid w:val="009B2533"/>
    <w:rsid w:val="009B25A4"/>
    <w:rsid w:val="009B25FF"/>
    <w:rsid w:val="009B2612"/>
    <w:rsid w:val="009B2643"/>
    <w:rsid w:val="009B2654"/>
    <w:rsid w:val="009B2677"/>
    <w:rsid w:val="009B26A7"/>
    <w:rsid w:val="009B26D6"/>
    <w:rsid w:val="009B26DB"/>
    <w:rsid w:val="009B26E3"/>
    <w:rsid w:val="009B26EF"/>
    <w:rsid w:val="009B2706"/>
    <w:rsid w:val="009B2719"/>
    <w:rsid w:val="009B27B7"/>
    <w:rsid w:val="009B27CA"/>
    <w:rsid w:val="009B27E1"/>
    <w:rsid w:val="009B27F1"/>
    <w:rsid w:val="009B27F4"/>
    <w:rsid w:val="009B2841"/>
    <w:rsid w:val="009B28AD"/>
    <w:rsid w:val="009B28D3"/>
    <w:rsid w:val="009B28D8"/>
    <w:rsid w:val="009B296E"/>
    <w:rsid w:val="009B29A7"/>
    <w:rsid w:val="009B29CB"/>
    <w:rsid w:val="009B2A38"/>
    <w:rsid w:val="009B2A8F"/>
    <w:rsid w:val="009B2ABB"/>
    <w:rsid w:val="009B2B7F"/>
    <w:rsid w:val="009B2C0D"/>
    <w:rsid w:val="009B2C25"/>
    <w:rsid w:val="009B2C7D"/>
    <w:rsid w:val="009B2C89"/>
    <w:rsid w:val="009B2CCD"/>
    <w:rsid w:val="009B2D54"/>
    <w:rsid w:val="009B2D7B"/>
    <w:rsid w:val="009B2DC5"/>
    <w:rsid w:val="009B2DFD"/>
    <w:rsid w:val="009B2E16"/>
    <w:rsid w:val="009B2E54"/>
    <w:rsid w:val="009B2EE9"/>
    <w:rsid w:val="009B3001"/>
    <w:rsid w:val="009B3031"/>
    <w:rsid w:val="009B307B"/>
    <w:rsid w:val="009B3094"/>
    <w:rsid w:val="009B30DC"/>
    <w:rsid w:val="009B3124"/>
    <w:rsid w:val="009B3138"/>
    <w:rsid w:val="009B3141"/>
    <w:rsid w:val="009B3162"/>
    <w:rsid w:val="009B3196"/>
    <w:rsid w:val="009B31CC"/>
    <w:rsid w:val="009B31FE"/>
    <w:rsid w:val="009B320C"/>
    <w:rsid w:val="009B3227"/>
    <w:rsid w:val="009B3269"/>
    <w:rsid w:val="009B3296"/>
    <w:rsid w:val="009B32BD"/>
    <w:rsid w:val="009B3339"/>
    <w:rsid w:val="009B3349"/>
    <w:rsid w:val="009B3372"/>
    <w:rsid w:val="009B33C8"/>
    <w:rsid w:val="009B3432"/>
    <w:rsid w:val="009B3439"/>
    <w:rsid w:val="009B3450"/>
    <w:rsid w:val="009B34BA"/>
    <w:rsid w:val="009B34DE"/>
    <w:rsid w:val="009B3516"/>
    <w:rsid w:val="009B352D"/>
    <w:rsid w:val="009B357D"/>
    <w:rsid w:val="009B35D3"/>
    <w:rsid w:val="009B35E4"/>
    <w:rsid w:val="009B35FB"/>
    <w:rsid w:val="009B361D"/>
    <w:rsid w:val="009B3629"/>
    <w:rsid w:val="009B369C"/>
    <w:rsid w:val="009B36AF"/>
    <w:rsid w:val="009B36B7"/>
    <w:rsid w:val="009B36D9"/>
    <w:rsid w:val="009B372D"/>
    <w:rsid w:val="009B373C"/>
    <w:rsid w:val="009B3773"/>
    <w:rsid w:val="009B379E"/>
    <w:rsid w:val="009B37A3"/>
    <w:rsid w:val="009B37BB"/>
    <w:rsid w:val="009B37EB"/>
    <w:rsid w:val="009B384B"/>
    <w:rsid w:val="009B3860"/>
    <w:rsid w:val="009B38B5"/>
    <w:rsid w:val="009B38C7"/>
    <w:rsid w:val="009B38D0"/>
    <w:rsid w:val="009B38D8"/>
    <w:rsid w:val="009B397B"/>
    <w:rsid w:val="009B39D4"/>
    <w:rsid w:val="009B39D9"/>
    <w:rsid w:val="009B39F7"/>
    <w:rsid w:val="009B3A0E"/>
    <w:rsid w:val="009B3A4F"/>
    <w:rsid w:val="009B3AA9"/>
    <w:rsid w:val="009B3AC9"/>
    <w:rsid w:val="009B3AE3"/>
    <w:rsid w:val="009B3B41"/>
    <w:rsid w:val="009B3BB5"/>
    <w:rsid w:val="009B3BCF"/>
    <w:rsid w:val="009B3CBE"/>
    <w:rsid w:val="009B3DB6"/>
    <w:rsid w:val="009B3E38"/>
    <w:rsid w:val="009B3E3D"/>
    <w:rsid w:val="009B3E66"/>
    <w:rsid w:val="009B3E74"/>
    <w:rsid w:val="009B3F2B"/>
    <w:rsid w:val="009B3F3F"/>
    <w:rsid w:val="009B3F47"/>
    <w:rsid w:val="009B3F70"/>
    <w:rsid w:val="009B3FAB"/>
    <w:rsid w:val="009B3FAF"/>
    <w:rsid w:val="009B3FB8"/>
    <w:rsid w:val="009B4001"/>
    <w:rsid w:val="009B4008"/>
    <w:rsid w:val="009B4039"/>
    <w:rsid w:val="009B4054"/>
    <w:rsid w:val="009B40A7"/>
    <w:rsid w:val="009B40DA"/>
    <w:rsid w:val="009B40F0"/>
    <w:rsid w:val="009B4150"/>
    <w:rsid w:val="009B415C"/>
    <w:rsid w:val="009B4196"/>
    <w:rsid w:val="009B41B1"/>
    <w:rsid w:val="009B41E4"/>
    <w:rsid w:val="009B4250"/>
    <w:rsid w:val="009B425C"/>
    <w:rsid w:val="009B427D"/>
    <w:rsid w:val="009B42B0"/>
    <w:rsid w:val="009B42C3"/>
    <w:rsid w:val="009B433D"/>
    <w:rsid w:val="009B4341"/>
    <w:rsid w:val="009B4357"/>
    <w:rsid w:val="009B4381"/>
    <w:rsid w:val="009B4397"/>
    <w:rsid w:val="009B43F3"/>
    <w:rsid w:val="009B4419"/>
    <w:rsid w:val="009B441D"/>
    <w:rsid w:val="009B448B"/>
    <w:rsid w:val="009B44AB"/>
    <w:rsid w:val="009B44EC"/>
    <w:rsid w:val="009B44F4"/>
    <w:rsid w:val="009B452A"/>
    <w:rsid w:val="009B453D"/>
    <w:rsid w:val="009B4584"/>
    <w:rsid w:val="009B4599"/>
    <w:rsid w:val="009B4622"/>
    <w:rsid w:val="009B466C"/>
    <w:rsid w:val="009B46B5"/>
    <w:rsid w:val="009B46EA"/>
    <w:rsid w:val="009B4726"/>
    <w:rsid w:val="009B478D"/>
    <w:rsid w:val="009B478E"/>
    <w:rsid w:val="009B47AD"/>
    <w:rsid w:val="009B4825"/>
    <w:rsid w:val="009B4866"/>
    <w:rsid w:val="009B48AF"/>
    <w:rsid w:val="009B48C7"/>
    <w:rsid w:val="009B4985"/>
    <w:rsid w:val="009B49D6"/>
    <w:rsid w:val="009B49E4"/>
    <w:rsid w:val="009B49FF"/>
    <w:rsid w:val="009B4A22"/>
    <w:rsid w:val="009B4A42"/>
    <w:rsid w:val="009B4ABE"/>
    <w:rsid w:val="009B4AC0"/>
    <w:rsid w:val="009B4AEC"/>
    <w:rsid w:val="009B4AF4"/>
    <w:rsid w:val="009B4B19"/>
    <w:rsid w:val="009B4B25"/>
    <w:rsid w:val="009B4B7B"/>
    <w:rsid w:val="009B4C28"/>
    <w:rsid w:val="009B4C30"/>
    <w:rsid w:val="009B4C4A"/>
    <w:rsid w:val="009B4CC6"/>
    <w:rsid w:val="009B4D31"/>
    <w:rsid w:val="009B4DCD"/>
    <w:rsid w:val="009B4E04"/>
    <w:rsid w:val="009B4E24"/>
    <w:rsid w:val="009B4E61"/>
    <w:rsid w:val="009B4E82"/>
    <w:rsid w:val="009B4ED9"/>
    <w:rsid w:val="009B4F0D"/>
    <w:rsid w:val="009B4F2C"/>
    <w:rsid w:val="009B4F44"/>
    <w:rsid w:val="009B4F6C"/>
    <w:rsid w:val="009B4F6E"/>
    <w:rsid w:val="009B4F88"/>
    <w:rsid w:val="009B4FC8"/>
    <w:rsid w:val="009B4FED"/>
    <w:rsid w:val="009B501F"/>
    <w:rsid w:val="009B5094"/>
    <w:rsid w:val="009B50CA"/>
    <w:rsid w:val="009B50DD"/>
    <w:rsid w:val="009B513B"/>
    <w:rsid w:val="009B5157"/>
    <w:rsid w:val="009B5181"/>
    <w:rsid w:val="009B5195"/>
    <w:rsid w:val="009B51A6"/>
    <w:rsid w:val="009B520A"/>
    <w:rsid w:val="009B520F"/>
    <w:rsid w:val="009B5340"/>
    <w:rsid w:val="009B5349"/>
    <w:rsid w:val="009B5365"/>
    <w:rsid w:val="009B53A4"/>
    <w:rsid w:val="009B53F4"/>
    <w:rsid w:val="009B5401"/>
    <w:rsid w:val="009B544F"/>
    <w:rsid w:val="009B54E0"/>
    <w:rsid w:val="009B5518"/>
    <w:rsid w:val="009B5522"/>
    <w:rsid w:val="009B5532"/>
    <w:rsid w:val="009B553B"/>
    <w:rsid w:val="009B5583"/>
    <w:rsid w:val="009B5586"/>
    <w:rsid w:val="009B5594"/>
    <w:rsid w:val="009B55AB"/>
    <w:rsid w:val="009B5601"/>
    <w:rsid w:val="009B560F"/>
    <w:rsid w:val="009B5636"/>
    <w:rsid w:val="009B5644"/>
    <w:rsid w:val="009B5688"/>
    <w:rsid w:val="009B56D4"/>
    <w:rsid w:val="009B56DD"/>
    <w:rsid w:val="009B571B"/>
    <w:rsid w:val="009B5720"/>
    <w:rsid w:val="009B5766"/>
    <w:rsid w:val="009B57D0"/>
    <w:rsid w:val="009B57E7"/>
    <w:rsid w:val="009B57F3"/>
    <w:rsid w:val="009B5814"/>
    <w:rsid w:val="009B5844"/>
    <w:rsid w:val="009B585B"/>
    <w:rsid w:val="009B587C"/>
    <w:rsid w:val="009B5909"/>
    <w:rsid w:val="009B591B"/>
    <w:rsid w:val="009B59AD"/>
    <w:rsid w:val="009B59AE"/>
    <w:rsid w:val="009B59FB"/>
    <w:rsid w:val="009B5A02"/>
    <w:rsid w:val="009B5A12"/>
    <w:rsid w:val="009B5A18"/>
    <w:rsid w:val="009B5A7C"/>
    <w:rsid w:val="009B5AA5"/>
    <w:rsid w:val="009B5AD6"/>
    <w:rsid w:val="009B5AEF"/>
    <w:rsid w:val="009B5B45"/>
    <w:rsid w:val="009B5B49"/>
    <w:rsid w:val="009B5B4D"/>
    <w:rsid w:val="009B5B6C"/>
    <w:rsid w:val="009B5BB0"/>
    <w:rsid w:val="009B5BC4"/>
    <w:rsid w:val="009B5BE0"/>
    <w:rsid w:val="009B5BF0"/>
    <w:rsid w:val="009B5C29"/>
    <w:rsid w:val="009B5C72"/>
    <w:rsid w:val="009B5C9F"/>
    <w:rsid w:val="009B5D02"/>
    <w:rsid w:val="009B5D2A"/>
    <w:rsid w:val="009B5D38"/>
    <w:rsid w:val="009B5D83"/>
    <w:rsid w:val="009B5D9A"/>
    <w:rsid w:val="009B5E31"/>
    <w:rsid w:val="009B5E78"/>
    <w:rsid w:val="009B5EC0"/>
    <w:rsid w:val="009B5EDB"/>
    <w:rsid w:val="009B5F55"/>
    <w:rsid w:val="009B5FC8"/>
    <w:rsid w:val="009B5FF6"/>
    <w:rsid w:val="009B6050"/>
    <w:rsid w:val="009B6058"/>
    <w:rsid w:val="009B615D"/>
    <w:rsid w:val="009B6182"/>
    <w:rsid w:val="009B61D6"/>
    <w:rsid w:val="009B621E"/>
    <w:rsid w:val="009B6226"/>
    <w:rsid w:val="009B6289"/>
    <w:rsid w:val="009B629E"/>
    <w:rsid w:val="009B62C9"/>
    <w:rsid w:val="009B6322"/>
    <w:rsid w:val="009B633D"/>
    <w:rsid w:val="009B6374"/>
    <w:rsid w:val="009B6388"/>
    <w:rsid w:val="009B638C"/>
    <w:rsid w:val="009B63BB"/>
    <w:rsid w:val="009B63C6"/>
    <w:rsid w:val="009B64EB"/>
    <w:rsid w:val="009B64F2"/>
    <w:rsid w:val="009B651B"/>
    <w:rsid w:val="009B65B1"/>
    <w:rsid w:val="009B65B3"/>
    <w:rsid w:val="009B65DD"/>
    <w:rsid w:val="009B6649"/>
    <w:rsid w:val="009B6650"/>
    <w:rsid w:val="009B6651"/>
    <w:rsid w:val="009B669A"/>
    <w:rsid w:val="009B6710"/>
    <w:rsid w:val="009B6772"/>
    <w:rsid w:val="009B678F"/>
    <w:rsid w:val="009B6798"/>
    <w:rsid w:val="009B680E"/>
    <w:rsid w:val="009B68CA"/>
    <w:rsid w:val="009B68DF"/>
    <w:rsid w:val="009B68F0"/>
    <w:rsid w:val="009B693E"/>
    <w:rsid w:val="009B6974"/>
    <w:rsid w:val="009B6985"/>
    <w:rsid w:val="009B69AE"/>
    <w:rsid w:val="009B69B1"/>
    <w:rsid w:val="009B69DD"/>
    <w:rsid w:val="009B6AA9"/>
    <w:rsid w:val="009B6AD6"/>
    <w:rsid w:val="009B6B0E"/>
    <w:rsid w:val="009B6B19"/>
    <w:rsid w:val="009B6B8A"/>
    <w:rsid w:val="009B6BCB"/>
    <w:rsid w:val="009B6C3B"/>
    <w:rsid w:val="009B6C68"/>
    <w:rsid w:val="009B6C93"/>
    <w:rsid w:val="009B6CC2"/>
    <w:rsid w:val="009B6D87"/>
    <w:rsid w:val="009B6E17"/>
    <w:rsid w:val="009B6E5D"/>
    <w:rsid w:val="009B6ECA"/>
    <w:rsid w:val="009B6F40"/>
    <w:rsid w:val="009B6F44"/>
    <w:rsid w:val="009B6F4E"/>
    <w:rsid w:val="009B6F54"/>
    <w:rsid w:val="009B6F73"/>
    <w:rsid w:val="009B6FB5"/>
    <w:rsid w:val="009B6FB7"/>
    <w:rsid w:val="009B6FD4"/>
    <w:rsid w:val="009B6FE1"/>
    <w:rsid w:val="009B701E"/>
    <w:rsid w:val="009B7062"/>
    <w:rsid w:val="009B707A"/>
    <w:rsid w:val="009B70F8"/>
    <w:rsid w:val="009B7166"/>
    <w:rsid w:val="009B7189"/>
    <w:rsid w:val="009B724C"/>
    <w:rsid w:val="009B727F"/>
    <w:rsid w:val="009B7286"/>
    <w:rsid w:val="009B7294"/>
    <w:rsid w:val="009B72BB"/>
    <w:rsid w:val="009B730A"/>
    <w:rsid w:val="009B730C"/>
    <w:rsid w:val="009B7384"/>
    <w:rsid w:val="009B73B3"/>
    <w:rsid w:val="009B7431"/>
    <w:rsid w:val="009B746F"/>
    <w:rsid w:val="009B74B1"/>
    <w:rsid w:val="009B74BF"/>
    <w:rsid w:val="009B7532"/>
    <w:rsid w:val="009B758F"/>
    <w:rsid w:val="009B75D9"/>
    <w:rsid w:val="009B75DE"/>
    <w:rsid w:val="009B75F2"/>
    <w:rsid w:val="009B7621"/>
    <w:rsid w:val="009B7673"/>
    <w:rsid w:val="009B768A"/>
    <w:rsid w:val="009B76C0"/>
    <w:rsid w:val="009B76DB"/>
    <w:rsid w:val="009B7753"/>
    <w:rsid w:val="009B7767"/>
    <w:rsid w:val="009B777F"/>
    <w:rsid w:val="009B77D6"/>
    <w:rsid w:val="009B77FB"/>
    <w:rsid w:val="009B7820"/>
    <w:rsid w:val="009B7829"/>
    <w:rsid w:val="009B7846"/>
    <w:rsid w:val="009B794E"/>
    <w:rsid w:val="009B7961"/>
    <w:rsid w:val="009B796D"/>
    <w:rsid w:val="009B79A1"/>
    <w:rsid w:val="009B79A3"/>
    <w:rsid w:val="009B79B5"/>
    <w:rsid w:val="009B79CF"/>
    <w:rsid w:val="009B7A78"/>
    <w:rsid w:val="009B7A79"/>
    <w:rsid w:val="009B7AC4"/>
    <w:rsid w:val="009B7AE6"/>
    <w:rsid w:val="009B7B01"/>
    <w:rsid w:val="009B7B1A"/>
    <w:rsid w:val="009B7B27"/>
    <w:rsid w:val="009B7B32"/>
    <w:rsid w:val="009B7B33"/>
    <w:rsid w:val="009B7BC8"/>
    <w:rsid w:val="009B7C2A"/>
    <w:rsid w:val="009B7C53"/>
    <w:rsid w:val="009B7CCE"/>
    <w:rsid w:val="009B7CCF"/>
    <w:rsid w:val="009B7CD0"/>
    <w:rsid w:val="009B7D2F"/>
    <w:rsid w:val="009B7D37"/>
    <w:rsid w:val="009B7D6A"/>
    <w:rsid w:val="009B7D7A"/>
    <w:rsid w:val="009B7DE7"/>
    <w:rsid w:val="009B7E78"/>
    <w:rsid w:val="009B7EE6"/>
    <w:rsid w:val="009B7EF3"/>
    <w:rsid w:val="009B7F0C"/>
    <w:rsid w:val="009B7F78"/>
    <w:rsid w:val="009B7F82"/>
    <w:rsid w:val="009B7F83"/>
    <w:rsid w:val="009B7FC7"/>
    <w:rsid w:val="009B7FDB"/>
    <w:rsid w:val="009BD1F7"/>
    <w:rsid w:val="009C005F"/>
    <w:rsid w:val="009C006B"/>
    <w:rsid w:val="009C00CE"/>
    <w:rsid w:val="009C017C"/>
    <w:rsid w:val="009C019F"/>
    <w:rsid w:val="009C0221"/>
    <w:rsid w:val="009C0239"/>
    <w:rsid w:val="009C0257"/>
    <w:rsid w:val="009C026A"/>
    <w:rsid w:val="009C02D3"/>
    <w:rsid w:val="009C02FF"/>
    <w:rsid w:val="009C0315"/>
    <w:rsid w:val="009C034C"/>
    <w:rsid w:val="009C034E"/>
    <w:rsid w:val="009C03A4"/>
    <w:rsid w:val="009C03BF"/>
    <w:rsid w:val="009C03FD"/>
    <w:rsid w:val="009C040B"/>
    <w:rsid w:val="009C042B"/>
    <w:rsid w:val="009C0450"/>
    <w:rsid w:val="009C047A"/>
    <w:rsid w:val="009C047D"/>
    <w:rsid w:val="009C0486"/>
    <w:rsid w:val="009C04AD"/>
    <w:rsid w:val="009C04FE"/>
    <w:rsid w:val="009C0542"/>
    <w:rsid w:val="009C057D"/>
    <w:rsid w:val="009C05CC"/>
    <w:rsid w:val="009C05EB"/>
    <w:rsid w:val="009C0661"/>
    <w:rsid w:val="009C0689"/>
    <w:rsid w:val="009C0693"/>
    <w:rsid w:val="009C06A6"/>
    <w:rsid w:val="009C0709"/>
    <w:rsid w:val="009C0713"/>
    <w:rsid w:val="009C074B"/>
    <w:rsid w:val="009C07D2"/>
    <w:rsid w:val="009C07F3"/>
    <w:rsid w:val="009C0879"/>
    <w:rsid w:val="009C0893"/>
    <w:rsid w:val="009C08AB"/>
    <w:rsid w:val="009C08E3"/>
    <w:rsid w:val="009C08E9"/>
    <w:rsid w:val="009C0904"/>
    <w:rsid w:val="009C090B"/>
    <w:rsid w:val="009C0961"/>
    <w:rsid w:val="009C09AA"/>
    <w:rsid w:val="009C0A09"/>
    <w:rsid w:val="009C0A0E"/>
    <w:rsid w:val="009C0A4E"/>
    <w:rsid w:val="009C0A8E"/>
    <w:rsid w:val="009C0A94"/>
    <w:rsid w:val="009C0AAE"/>
    <w:rsid w:val="009C0B0E"/>
    <w:rsid w:val="009C0B5D"/>
    <w:rsid w:val="009C0B61"/>
    <w:rsid w:val="009C0B6C"/>
    <w:rsid w:val="009C0BBA"/>
    <w:rsid w:val="009C0BDE"/>
    <w:rsid w:val="009C0BFB"/>
    <w:rsid w:val="009C0C32"/>
    <w:rsid w:val="009C0C4B"/>
    <w:rsid w:val="009C0C5A"/>
    <w:rsid w:val="009C0C91"/>
    <w:rsid w:val="009C0CB6"/>
    <w:rsid w:val="009C0CC3"/>
    <w:rsid w:val="009C0CF7"/>
    <w:rsid w:val="009C0D15"/>
    <w:rsid w:val="009C0D44"/>
    <w:rsid w:val="009C0D4A"/>
    <w:rsid w:val="009C0D85"/>
    <w:rsid w:val="009C0DC1"/>
    <w:rsid w:val="009C0DE1"/>
    <w:rsid w:val="009C0E0B"/>
    <w:rsid w:val="009C0E20"/>
    <w:rsid w:val="009C0E36"/>
    <w:rsid w:val="009C0E57"/>
    <w:rsid w:val="009C0E84"/>
    <w:rsid w:val="009C0F0F"/>
    <w:rsid w:val="009C0F26"/>
    <w:rsid w:val="009C0F72"/>
    <w:rsid w:val="009C0F7A"/>
    <w:rsid w:val="009C0F88"/>
    <w:rsid w:val="009C0FA2"/>
    <w:rsid w:val="009C0FE1"/>
    <w:rsid w:val="009C101B"/>
    <w:rsid w:val="009C102B"/>
    <w:rsid w:val="009C1032"/>
    <w:rsid w:val="009C106C"/>
    <w:rsid w:val="009C1071"/>
    <w:rsid w:val="009C107F"/>
    <w:rsid w:val="009C1092"/>
    <w:rsid w:val="009C10CE"/>
    <w:rsid w:val="009C1183"/>
    <w:rsid w:val="009C11C6"/>
    <w:rsid w:val="009C1217"/>
    <w:rsid w:val="009C12B5"/>
    <w:rsid w:val="009C12C5"/>
    <w:rsid w:val="009C12C8"/>
    <w:rsid w:val="009C12D8"/>
    <w:rsid w:val="009C12F5"/>
    <w:rsid w:val="009C1389"/>
    <w:rsid w:val="009C1403"/>
    <w:rsid w:val="009C1407"/>
    <w:rsid w:val="009C144B"/>
    <w:rsid w:val="009C1489"/>
    <w:rsid w:val="009C14A3"/>
    <w:rsid w:val="009C153C"/>
    <w:rsid w:val="009C155A"/>
    <w:rsid w:val="009C1572"/>
    <w:rsid w:val="009C15BD"/>
    <w:rsid w:val="009C1675"/>
    <w:rsid w:val="009C169B"/>
    <w:rsid w:val="009C16A7"/>
    <w:rsid w:val="009C171F"/>
    <w:rsid w:val="009C1739"/>
    <w:rsid w:val="009C176E"/>
    <w:rsid w:val="009C1787"/>
    <w:rsid w:val="009C178F"/>
    <w:rsid w:val="009C17CB"/>
    <w:rsid w:val="009C1875"/>
    <w:rsid w:val="009C187E"/>
    <w:rsid w:val="009C1885"/>
    <w:rsid w:val="009C188B"/>
    <w:rsid w:val="009C18A6"/>
    <w:rsid w:val="009C18F6"/>
    <w:rsid w:val="009C1A09"/>
    <w:rsid w:val="009C1A0B"/>
    <w:rsid w:val="009C1A0C"/>
    <w:rsid w:val="009C1A20"/>
    <w:rsid w:val="009C1A7C"/>
    <w:rsid w:val="009C1A99"/>
    <w:rsid w:val="009C1A9F"/>
    <w:rsid w:val="009C1B11"/>
    <w:rsid w:val="009C1B14"/>
    <w:rsid w:val="009C1B1D"/>
    <w:rsid w:val="009C1B40"/>
    <w:rsid w:val="009C1B4E"/>
    <w:rsid w:val="009C1BC9"/>
    <w:rsid w:val="009C1BD0"/>
    <w:rsid w:val="009C1C00"/>
    <w:rsid w:val="009C1C04"/>
    <w:rsid w:val="009C1C4C"/>
    <w:rsid w:val="009C1C54"/>
    <w:rsid w:val="009C1C5A"/>
    <w:rsid w:val="009C1C5B"/>
    <w:rsid w:val="009C1C5E"/>
    <w:rsid w:val="009C1CB6"/>
    <w:rsid w:val="009C1D07"/>
    <w:rsid w:val="009C1D65"/>
    <w:rsid w:val="009C1D8E"/>
    <w:rsid w:val="009C1DA4"/>
    <w:rsid w:val="009C1DA7"/>
    <w:rsid w:val="009C1DE4"/>
    <w:rsid w:val="009C1DEF"/>
    <w:rsid w:val="009C1E74"/>
    <w:rsid w:val="009C1E75"/>
    <w:rsid w:val="009C1ED1"/>
    <w:rsid w:val="009C1EE5"/>
    <w:rsid w:val="009C1EEE"/>
    <w:rsid w:val="009C1F2A"/>
    <w:rsid w:val="009C1F4D"/>
    <w:rsid w:val="009C200D"/>
    <w:rsid w:val="009C2088"/>
    <w:rsid w:val="009C20C7"/>
    <w:rsid w:val="009C20FF"/>
    <w:rsid w:val="009C21A7"/>
    <w:rsid w:val="009C21B3"/>
    <w:rsid w:val="009C2225"/>
    <w:rsid w:val="009C2259"/>
    <w:rsid w:val="009C2263"/>
    <w:rsid w:val="009C2278"/>
    <w:rsid w:val="009C2288"/>
    <w:rsid w:val="009C2297"/>
    <w:rsid w:val="009C22EB"/>
    <w:rsid w:val="009C235C"/>
    <w:rsid w:val="009C2363"/>
    <w:rsid w:val="009C2376"/>
    <w:rsid w:val="009C23C1"/>
    <w:rsid w:val="009C2401"/>
    <w:rsid w:val="009C2441"/>
    <w:rsid w:val="009C246C"/>
    <w:rsid w:val="009C249B"/>
    <w:rsid w:val="009C24A4"/>
    <w:rsid w:val="009C24CB"/>
    <w:rsid w:val="009C2504"/>
    <w:rsid w:val="009C2548"/>
    <w:rsid w:val="009C2551"/>
    <w:rsid w:val="009C256A"/>
    <w:rsid w:val="009C25B8"/>
    <w:rsid w:val="009C25C4"/>
    <w:rsid w:val="009C2695"/>
    <w:rsid w:val="009C26C5"/>
    <w:rsid w:val="009C26DB"/>
    <w:rsid w:val="009C278A"/>
    <w:rsid w:val="009C2793"/>
    <w:rsid w:val="009C27B7"/>
    <w:rsid w:val="009C2903"/>
    <w:rsid w:val="009C2927"/>
    <w:rsid w:val="009C296C"/>
    <w:rsid w:val="009C2996"/>
    <w:rsid w:val="009C29D6"/>
    <w:rsid w:val="009C29D8"/>
    <w:rsid w:val="009C29DA"/>
    <w:rsid w:val="009C2A22"/>
    <w:rsid w:val="009C2A61"/>
    <w:rsid w:val="009C2A6C"/>
    <w:rsid w:val="009C2A8D"/>
    <w:rsid w:val="009C2ABD"/>
    <w:rsid w:val="009C2AE5"/>
    <w:rsid w:val="009C2AF2"/>
    <w:rsid w:val="009C2B78"/>
    <w:rsid w:val="009C2BB5"/>
    <w:rsid w:val="009C2BD2"/>
    <w:rsid w:val="009C2C11"/>
    <w:rsid w:val="009C2C2F"/>
    <w:rsid w:val="009C2C7F"/>
    <w:rsid w:val="009C2CB3"/>
    <w:rsid w:val="009C2D17"/>
    <w:rsid w:val="009C2D98"/>
    <w:rsid w:val="009C2DA4"/>
    <w:rsid w:val="009C2DA9"/>
    <w:rsid w:val="009C2DE8"/>
    <w:rsid w:val="009C2DFC"/>
    <w:rsid w:val="009C2E02"/>
    <w:rsid w:val="009C2E2C"/>
    <w:rsid w:val="009C2E34"/>
    <w:rsid w:val="009C2E66"/>
    <w:rsid w:val="009C2EBD"/>
    <w:rsid w:val="009C2EC3"/>
    <w:rsid w:val="009C2ED6"/>
    <w:rsid w:val="009C2EDF"/>
    <w:rsid w:val="009C2EF2"/>
    <w:rsid w:val="009C2FAE"/>
    <w:rsid w:val="009C2FFE"/>
    <w:rsid w:val="009C300C"/>
    <w:rsid w:val="009C300D"/>
    <w:rsid w:val="009C3015"/>
    <w:rsid w:val="009C301D"/>
    <w:rsid w:val="009C3032"/>
    <w:rsid w:val="009C3043"/>
    <w:rsid w:val="009C3063"/>
    <w:rsid w:val="009C3093"/>
    <w:rsid w:val="009C309E"/>
    <w:rsid w:val="009C310B"/>
    <w:rsid w:val="009C3166"/>
    <w:rsid w:val="009C3172"/>
    <w:rsid w:val="009C318C"/>
    <w:rsid w:val="009C31A8"/>
    <w:rsid w:val="009C31E4"/>
    <w:rsid w:val="009C323F"/>
    <w:rsid w:val="009C3245"/>
    <w:rsid w:val="009C325A"/>
    <w:rsid w:val="009C3297"/>
    <w:rsid w:val="009C330D"/>
    <w:rsid w:val="009C3340"/>
    <w:rsid w:val="009C3386"/>
    <w:rsid w:val="009C33AD"/>
    <w:rsid w:val="009C33F1"/>
    <w:rsid w:val="009C340A"/>
    <w:rsid w:val="009C341C"/>
    <w:rsid w:val="009C3462"/>
    <w:rsid w:val="009C347F"/>
    <w:rsid w:val="009C34A4"/>
    <w:rsid w:val="009C34BC"/>
    <w:rsid w:val="009C34CC"/>
    <w:rsid w:val="009C34D4"/>
    <w:rsid w:val="009C34E0"/>
    <w:rsid w:val="009C34F5"/>
    <w:rsid w:val="009C34FE"/>
    <w:rsid w:val="009C3530"/>
    <w:rsid w:val="009C3558"/>
    <w:rsid w:val="009C3572"/>
    <w:rsid w:val="009C3584"/>
    <w:rsid w:val="009C35B2"/>
    <w:rsid w:val="009C362E"/>
    <w:rsid w:val="009C36B2"/>
    <w:rsid w:val="009C36D6"/>
    <w:rsid w:val="009C36F8"/>
    <w:rsid w:val="009C37A7"/>
    <w:rsid w:val="009C37F3"/>
    <w:rsid w:val="009C384B"/>
    <w:rsid w:val="009C3895"/>
    <w:rsid w:val="009C38DF"/>
    <w:rsid w:val="009C38FD"/>
    <w:rsid w:val="009C3923"/>
    <w:rsid w:val="009C3937"/>
    <w:rsid w:val="009C3951"/>
    <w:rsid w:val="009C39B7"/>
    <w:rsid w:val="009C39B9"/>
    <w:rsid w:val="009C39D8"/>
    <w:rsid w:val="009C39ED"/>
    <w:rsid w:val="009C39FD"/>
    <w:rsid w:val="009C3A63"/>
    <w:rsid w:val="009C3A72"/>
    <w:rsid w:val="009C3B77"/>
    <w:rsid w:val="009C3B94"/>
    <w:rsid w:val="009C3C09"/>
    <w:rsid w:val="009C3C79"/>
    <w:rsid w:val="009C3C88"/>
    <w:rsid w:val="009C3C8B"/>
    <w:rsid w:val="009C3CD1"/>
    <w:rsid w:val="009C3CD2"/>
    <w:rsid w:val="009C3D35"/>
    <w:rsid w:val="009C3DA9"/>
    <w:rsid w:val="009C3DAD"/>
    <w:rsid w:val="009C3DB3"/>
    <w:rsid w:val="009C3DC0"/>
    <w:rsid w:val="009C3DE4"/>
    <w:rsid w:val="009C3E35"/>
    <w:rsid w:val="009C3E4E"/>
    <w:rsid w:val="009C3E5D"/>
    <w:rsid w:val="009C3E72"/>
    <w:rsid w:val="009C3EAF"/>
    <w:rsid w:val="009C3EB9"/>
    <w:rsid w:val="009C3EFF"/>
    <w:rsid w:val="009C3F05"/>
    <w:rsid w:val="009C3F20"/>
    <w:rsid w:val="009C3F9A"/>
    <w:rsid w:val="009C3FB2"/>
    <w:rsid w:val="009C3FCC"/>
    <w:rsid w:val="009C4022"/>
    <w:rsid w:val="009C402E"/>
    <w:rsid w:val="009C4058"/>
    <w:rsid w:val="009C40A6"/>
    <w:rsid w:val="009C4104"/>
    <w:rsid w:val="009C414F"/>
    <w:rsid w:val="009C41EA"/>
    <w:rsid w:val="009C4258"/>
    <w:rsid w:val="009C42CB"/>
    <w:rsid w:val="009C436E"/>
    <w:rsid w:val="009C43CA"/>
    <w:rsid w:val="009C440D"/>
    <w:rsid w:val="009C4459"/>
    <w:rsid w:val="009C449C"/>
    <w:rsid w:val="009C44A3"/>
    <w:rsid w:val="009C44C7"/>
    <w:rsid w:val="009C44F0"/>
    <w:rsid w:val="009C44F3"/>
    <w:rsid w:val="009C452D"/>
    <w:rsid w:val="009C4535"/>
    <w:rsid w:val="009C454B"/>
    <w:rsid w:val="009C45D0"/>
    <w:rsid w:val="009C4605"/>
    <w:rsid w:val="009C4668"/>
    <w:rsid w:val="009C4682"/>
    <w:rsid w:val="009C469B"/>
    <w:rsid w:val="009C46D8"/>
    <w:rsid w:val="009C46DB"/>
    <w:rsid w:val="009C46DE"/>
    <w:rsid w:val="009C46E5"/>
    <w:rsid w:val="009C4787"/>
    <w:rsid w:val="009C47E6"/>
    <w:rsid w:val="009C47F6"/>
    <w:rsid w:val="009C4876"/>
    <w:rsid w:val="009C487A"/>
    <w:rsid w:val="009C48AF"/>
    <w:rsid w:val="009C48E9"/>
    <w:rsid w:val="009C496A"/>
    <w:rsid w:val="009C497A"/>
    <w:rsid w:val="009C49C2"/>
    <w:rsid w:val="009C4A36"/>
    <w:rsid w:val="009C4A43"/>
    <w:rsid w:val="009C4A97"/>
    <w:rsid w:val="009C4AF1"/>
    <w:rsid w:val="009C4B05"/>
    <w:rsid w:val="009C4B2F"/>
    <w:rsid w:val="009C4B31"/>
    <w:rsid w:val="009C4B84"/>
    <w:rsid w:val="009C4B8E"/>
    <w:rsid w:val="009C4BC0"/>
    <w:rsid w:val="009C4C9A"/>
    <w:rsid w:val="009C4CC8"/>
    <w:rsid w:val="009C4D0D"/>
    <w:rsid w:val="009C4DCA"/>
    <w:rsid w:val="009C4DF5"/>
    <w:rsid w:val="009C4E03"/>
    <w:rsid w:val="009C4E0E"/>
    <w:rsid w:val="009C4E38"/>
    <w:rsid w:val="009C4E39"/>
    <w:rsid w:val="009C4E88"/>
    <w:rsid w:val="009C4ECD"/>
    <w:rsid w:val="009C4ED2"/>
    <w:rsid w:val="009C4F15"/>
    <w:rsid w:val="009C4F5F"/>
    <w:rsid w:val="009C4FA6"/>
    <w:rsid w:val="009C4FE6"/>
    <w:rsid w:val="009C5037"/>
    <w:rsid w:val="009C5047"/>
    <w:rsid w:val="009C505A"/>
    <w:rsid w:val="009C50E4"/>
    <w:rsid w:val="009C50FE"/>
    <w:rsid w:val="009C5168"/>
    <w:rsid w:val="009C5258"/>
    <w:rsid w:val="009C5278"/>
    <w:rsid w:val="009C527A"/>
    <w:rsid w:val="009C536E"/>
    <w:rsid w:val="009C539E"/>
    <w:rsid w:val="009C541B"/>
    <w:rsid w:val="009C5431"/>
    <w:rsid w:val="009C54A6"/>
    <w:rsid w:val="009C5512"/>
    <w:rsid w:val="009C5561"/>
    <w:rsid w:val="009C55BC"/>
    <w:rsid w:val="009C55F1"/>
    <w:rsid w:val="009C562A"/>
    <w:rsid w:val="009C5640"/>
    <w:rsid w:val="009C5666"/>
    <w:rsid w:val="009C566D"/>
    <w:rsid w:val="009C566E"/>
    <w:rsid w:val="009C567D"/>
    <w:rsid w:val="009C5685"/>
    <w:rsid w:val="009C577A"/>
    <w:rsid w:val="009C57EC"/>
    <w:rsid w:val="009C5879"/>
    <w:rsid w:val="009C58A3"/>
    <w:rsid w:val="009C58CD"/>
    <w:rsid w:val="009C5916"/>
    <w:rsid w:val="009C5A1E"/>
    <w:rsid w:val="009C5A20"/>
    <w:rsid w:val="009C5A96"/>
    <w:rsid w:val="009C5ADB"/>
    <w:rsid w:val="009C5AE2"/>
    <w:rsid w:val="009C5B45"/>
    <w:rsid w:val="009C5B9A"/>
    <w:rsid w:val="009C5BA5"/>
    <w:rsid w:val="009C5BDE"/>
    <w:rsid w:val="009C5BFB"/>
    <w:rsid w:val="009C5C01"/>
    <w:rsid w:val="009C5C0D"/>
    <w:rsid w:val="009C5C2B"/>
    <w:rsid w:val="009C5C41"/>
    <w:rsid w:val="009C5C8A"/>
    <w:rsid w:val="009C5CD0"/>
    <w:rsid w:val="009C5CD2"/>
    <w:rsid w:val="009C5CD5"/>
    <w:rsid w:val="009C5CE3"/>
    <w:rsid w:val="009C5D11"/>
    <w:rsid w:val="009C5D14"/>
    <w:rsid w:val="009C5D4A"/>
    <w:rsid w:val="009C5D63"/>
    <w:rsid w:val="009C5DCF"/>
    <w:rsid w:val="009C5DD4"/>
    <w:rsid w:val="009C5EB3"/>
    <w:rsid w:val="009C5F0F"/>
    <w:rsid w:val="009C5F4F"/>
    <w:rsid w:val="009C5FA1"/>
    <w:rsid w:val="009C5FD9"/>
    <w:rsid w:val="009C5FDF"/>
    <w:rsid w:val="009C6003"/>
    <w:rsid w:val="009C60B2"/>
    <w:rsid w:val="009C60C4"/>
    <w:rsid w:val="009C60D0"/>
    <w:rsid w:val="009C6105"/>
    <w:rsid w:val="009C611B"/>
    <w:rsid w:val="009C6159"/>
    <w:rsid w:val="009C618C"/>
    <w:rsid w:val="009C61BA"/>
    <w:rsid w:val="009C61DF"/>
    <w:rsid w:val="009C622E"/>
    <w:rsid w:val="009C6279"/>
    <w:rsid w:val="009C629E"/>
    <w:rsid w:val="009C62BD"/>
    <w:rsid w:val="009C6342"/>
    <w:rsid w:val="009C6345"/>
    <w:rsid w:val="009C635A"/>
    <w:rsid w:val="009C6387"/>
    <w:rsid w:val="009C638F"/>
    <w:rsid w:val="009C6397"/>
    <w:rsid w:val="009C63A8"/>
    <w:rsid w:val="009C6475"/>
    <w:rsid w:val="009C64B0"/>
    <w:rsid w:val="009C6520"/>
    <w:rsid w:val="009C6532"/>
    <w:rsid w:val="009C6544"/>
    <w:rsid w:val="009C655D"/>
    <w:rsid w:val="009C65BC"/>
    <w:rsid w:val="009C65F9"/>
    <w:rsid w:val="009C6640"/>
    <w:rsid w:val="009C664B"/>
    <w:rsid w:val="009C666E"/>
    <w:rsid w:val="009C66B0"/>
    <w:rsid w:val="009C66CB"/>
    <w:rsid w:val="009C6705"/>
    <w:rsid w:val="009C679F"/>
    <w:rsid w:val="009C67C8"/>
    <w:rsid w:val="009C67EE"/>
    <w:rsid w:val="009C686B"/>
    <w:rsid w:val="009C68B1"/>
    <w:rsid w:val="009C68B4"/>
    <w:rsid w:val="009C6908"/>
    <w:rsid w:val="009C6967"/>
    <w:rsid w:val="009C6990"/>
    <w:rsid w:val="009C6996"/>
    <w:rsid w:val="009C69DA"/>
    <w:rsid w:val="009C6A02"/>
    <w:rsid w:val="009C6A23"/>
    <w:rsid w:val="009C6A3B"/>
    <w:rsid w:val="009C6A7E"/>
    <w:rsid w:val="009C6ADD"/>
    <w:rsid w:val="009C6AE4"/>
    <w:rsid w:val="009C6AFF"/>
    <w:rsid w:val="009C6B12"/>
    <w:rsid w:val="009C6B23"/>
    <w:rsid w:val="009C6B35"/>
    <w:rsid w:val="009C6B3A"/>
    <w:rsid w:val="009C6B4E"/>
    <w:rsid w:val="009C6BB3"/>
    <w:rsid w:val="009C6BDA"/>
    <w:rsid w:val="009C6C8A"/>
    <w:rsid w:val="009C6C8D"/>
    <w:rsid w:val="009C6D77"/>
    <w:rsid w:val="009C6D96"/>
    <w:rsid w:val="009C6D99"/>
    <w:rsid w:val="009C6DA1"/>
    <w:rsid w:val="009C6DB8"/>
    <w:rsid w:val="009C6DF6"/>
    <w:rsid w:val="009C6E0F"/>
    <w:rsid w:val="009C6EA2"/>
    <w:rsid w:val="009C6F10"/>
    <w:rsid w:val="009C6F49"/>
    <w:rsid w:val="009C6F69"/>
    <w:rsid w:val="009C6FAF"/>
    <w:rsid w:val="009C6FB9"/>
    <w:rsid w:val="009C6FF0"/>
    <w:rsid w:val="009C7008"/>
    <w:rsid w:val="009C7062"/>
    <w:rsid w:val="009C707F"/>
    <w:rsid w:val="009C7188"/>
    <w:rsid w:val="009C71D2"/>
    <w:rsid w:val="009C71DD"/>
    <w:rsid w:val="009C71DE"/>
    <w:rsid w:val="009C724E"/>
    <w:rsid w:val="009C726B"/>
    <w:rsid w:val="009C726C"/>
    <w:rsid w:val="009C7285"/>
    <w:rsid w:val="009C72B5"/>
    <w:rsid w:val="009C7342"/>
    <w:rsid w:val="009C7388"/>
    <w:rsid w:val="009C73D8"/>
    <w:rsid w:val="009C745B"/>
    <w:rsid w:val="009C7554"/>
    <w:rsid w:val="009C7597"/>
    <w:rsid w:val="009C7622"/>
    <w:rsid w:val="009C768A"/>
    <w:rsid w:val="009C76AD"/>
    <w:rsid w:val="009C76CE"/>
    <w:rsid w:val="009C76D6"/>
    <w:rsid w:val="009C770E"/>
    <w:rsid w:val="009C7722"/>
    <w:rsid w:val="009C7770"/>
    <w:rsid w:val="009C777C"/>
    <w:rsid w:val="009C7781"/>
    <w:rsid w:val="009C77EC"/>
    <w:rsid w:val="009C77F3"/>
    <w:rsid w:val="009C7803"/>
    <w:rsid w:val="009C780D"/>
    <w:rsid w:val="009C78D2"/>
    <w:rsid w:val="009C78ED"/>
    <w:rsid w:val="009C7907"/>
    <w:rsid w:val="009C791F"/>
    <w:rsid w:val="009C7986"/>
    <w:rsid w:val="009C798C"/>
    <w:rsid w:val="009C79B3"/>
    <w:rsid w:val="009C79BC"/>
    <w:rsid w:val="009C79D3"/>
    <w:rsid w:val="009C79DD"/>
    <w:rsid w:val="009C7A2D"/>
    <w:rsid w:val="009C7A6E"/>
    <w:rsid w:val="009C7A77"/>
    <w:rsid w:val="009C7A8B"/>
    <w:rsid w:val="009C7ACD"/>
    <w:rsid w:val="009C7AD3"/>
    <w:rsid w:val="009C7AF0"/>
    <w:rsid w:val="009C7AFA"/>
    <w:rsid w:val="009C7B18"/>
    <w:rsid w:val="009C7B1D"/>
    <w:rsid w:val="009C7B4D"/>
    <w:rsid w:val="009C7B9E"/>
    <w:rsid w:val="009C7C20"/>
    <w:rsid w:val="009C7C2A"/>
    <w:rsid w:val="009C7C96"/>
    <w:rsid w:val="009C7C9C"/>
    <w:rsid w:val="009C7CF1"/>
    <w:rsid w:val="009C7D47"/>
    <w:rsid w:val="009C7D54"/>
    <w:rsid w:val="009C7D58"/>
    <w:rsid w:val="009C7D7D"/>
    <w:rsid w:val="009C7DA6"/>
    <w:rsid w:val="009C7E0E"/>
    <w:rsid w:val="009C7E34"/>
    <w:rsid w:val="009C7EBB"/>
    <w:rsid w:val="009C7EC6"/>
    <w:rsid w:val="009C7F18"/>
    <w:rsid w:val="009C7F7C"/>
    <w:rsid w:val="009C7F90"/>
    <w:rsid w:val="009C7FAB"/>
    <w:rsid w:val="009C7FBD"/>
    <w:rsid w:val="009C7FE1"/>
    <w:rsid w:val="009D001C"/>
    <w:rsid w:val="009D00BC"/>
    <w:rsid w:val="009D00CF"/>
    <w:rsid w:val="009D00E3"/>
    <w:rsid w:val="009D00E7"/>
    <w:rsid w:val="009D010B"/>
    <w:rsid w:val="009D0127"/>
    <w:rsid w:val="009D0148"/>
    <w:rsid w:val="009D014B"/>
    <w:rsid w:val="009D018B"/>
    <w:rsid w:val="009D01DA"/>
    <w:rsid w:val="009D022D"/>
    <w:rsid w:val="009D0239"/>
    <w:rsid w:val="009D0268"/>
    <w:rsid w:val="009D0270"/>
    <w:rsid w:val="009D02CD"/>
    <w:rsid w:val="009D02E9"/>
    <w:rsid w:val="009D02F7"/>
    <w:rsid w:val="009D0316"/>
    <w:rsid w:val="009D033E"/>
    <w:rsid w:val="009D0364"/>
    <w:rsid w:val="009D03AA"/>
    <w:rsid w:val="009D03ED"/>
    <w:rsid w:val="009D040F"/>
    <w:rsid w:val="009D0437"/>
    <w:rsid w:val="009D0460"/>
    <w:rsid w:val="009D0472"/>
    <w:rsid w:val="009D04BF"/>
    <w:rsid w:val="009D04DE"/>
    <w:rsid w:val="009D051B"/>
    <w:rsid w:val="009D0527"/>
    <w:rsid w:val="009D0537"/>
    <w:rsid w:val="009D059D"/>
    <w:rsid w:val="009D05B5"/>
    <w:rsid w:val="009D05C6"/>
    <w:rsid w:val="009D0652"/>
    <w:rsid w:val="009D0686"/>
    <w:rsid w:val="009D06BC"/>
    <w:rsid w:val="009D0724"/>
    <w:rsid w:val="009D0770"/>
    <w:rsid w:val="009D078B"/>
    <w:rsid w:val="009D079F"/>
    <w:rsid w:val="009D07D9"/>
    <w:rsid w:val="009D0867"/>
    <w:rsid w:val="009D086C"/>
    <w:rsid w:val="009D087A"/>
    <w:rsid w:val="009D0888"/>
    <w:rsid w:val="009D088D"/>
    <w:rsid w:val="009D088F"/>
    <w:rsid w:val="009D08D2"/>
    <w:rsid w:val="009D08D8"/>
    <w:rsid w:val="009D08FE"/>
    <w:rsid w:val="009D093B"/>
    <w:rsid w:val="009D0942"/>
    <w:rsid w:val="009D09AF"/>
    <w:rsid w:val="009D09FF"/>
    <w:rsid w:val="009D0A01"/>
    <w:rsid w:val="009D0A1B"/>
    <w:rsid w:val="009D0A4B"/>
    <w:rsid w:val="009D0AA6"/>
    <w:rsid w:val="009D0B49"/>
    <w:rsid w:val="009D0B8B"/>
    <w:rsid w:val="009D0C36"/>
    <w:rsid w:val="009D0C37"/>
    <w:rsid w:val="009D0C49"/>
    <w:rsid w:val="009D0C83"/>
    <w:rsid w:val="009D0CAD"/>
    <w:rsid w:val="009D0D03"/>
    <w:rsid w:val="009D0D42"/>
    <w:rsid w:val="009D0DD8"/>
    <w:rsid w:val="009D0E6E"/>
    <w:rsid w:val="009D0EC6"/>
    <w:rsid w:val="009D0F01"/>
    <w:rsid w:val="009D0F03"/>
    <w:rsid w:val="009D0F1A"/>
    <w:rsid w:val="009D0F24"/>
    <w:rsid w:val="009D0F3A"/>
    <w:rsid w:val="009D0F54"/>
    <w:rsid w:val="009D1002"/>
    <w:rsid w:val="009D1054"/>
    <w:rsid w:val="009D1064"/>
    <w:rsid w:val="009D117E"/>
    <w:rsid w:val="009D11E8"/>
    <w:rsid w:val="009D1233"/>
    <w:rsid w:val="009D1257"/>
    <w:rsid w:val="009D12A3"/>
    <w:rsid w:val="009D12A8"/>
    <w:rsid w:val="009D12FD"/>
    <w:rsid w:val="009D1302"/>
    <w:rsid w:val="009D130B"/>
    <w:rsid w:val="009D1319"/>
    <w:rsid w:val="009D131C"/>
    <w:rsid w:val="009D13C9"/>
    <w:rsid w:val="009D13DF"/>
    <w:rsid w:val="009D140E"/>
    <w:rsid w:val="009D147D"/>
    <w:rsid w:val="009D148D"/>
    <w:rsid w:val="009D14C4"/>
    <w:rsid w:val="009D14E1"/>
    <w:rsid w:val="009D1510"/>
    <w:rsid w:val="009D153E"/>
    <w:rsid w:val="009D1546"/>
    <w:rsid w:val="009D156F"/>
    <w:rsid w:val="009D1596"/>
    <w:rsid w:val="009D15AF"/>
    <w:rsid w:val="009D15B9"/>
    <w:rsid w:val="009D15E1"/>
    <w:rsid w:val="009D1610"/>
    <w:rsid w:val="009D1634"/>
    <w:rsid w:val="009D16B4"/>
    <w:rsid w:val="009D16FA"/>
    <w:rsid w:val="009D170F"/>
    <w:rsid w:val="009D1728"/>
    <w:rsid w:val="009D1734"/>
    <w:rsid w:val="009D179B"/>
    <w:rsid w:val="009D17B0"/>
    <w:rsid w:val="009D17FD"/>
    <w:rsid w:val="009D1805"/>
    <w:rsid w:val="009D181D"/>
    <w:rsid w:val="009D1837"/>
    <w:rsid w:val="009D189E"/>
    <w:rsid w:val="009D18E5"/>
    <w:rsid w:val="009D18E8"/>
    <w:rsid w:val="009D18F1"/>
    <w:rsid w:val="009D18F7"/>
    <w:rsid w:val="009D1904"/>
    <w:rsid w:val="009D1908"/>
    <w:rsid w:val="009D1929"/>
    <w:rsid w:val="009D192E"/>
    <w:rsid w:val="009D1948"/>
    <w:rsid w:val="009D1965"/>
    <w:rsid w:val="009D196E"/>
    <w:rsid w:val="009D19A7"/>
    <w:rsid w:val="009D19C4"/>
    <w:rsid w:val="009D19E8"/>
    <w:rsid w:val="009D1A5A"/>
    <w:rsid w:val="009D1ACB"/>
    <w:rsid w:val="009D1ACF"/>
    <w:rsid w:val="009D1B14"/>
    <w:rsid w:val="009D1B82"/>
    <w:rsid w:val="009D1B8A"/>
    <w:rsid w:val="009D1BB2"/>
    <w:rsid w:val="009D1BB6"/>
    <w:rsid w:val="009D1BD0"/>
    <w:rsid w:val="009D1BFC"/>
    <w:rsid w:val="009D1C1D"/>
    <w:rsid w:val="009D1CB4"/>
    <w:rsid w:val="009D1D22"/>
    <w:rsid w:val="009D1D2B"/>
    <w:rsid w:val="009D1D3B"/>
    <w:rsid w:val="009D1D6E"/>
    <w:rsid w:val="009D1D93"/>
    <w:rsid w:val="009D1DEA"/>
    <w:rsid w:val="009D1DEF"/>
    <w:rsid w:val="009D1E12"/>
    <w:rsid w:val="009D1E25"/>
    <w:rsid w:val="009D1E2A"/>
    <w:rsid w:val="009D1E51"/>
    <w:rsid w:val="009D1E72"/>
    <w:rsid w:val="009D1F06"/>
    <w:rsid w:val="009D1F69"/>
    <w:rsid w:val="009D1F6B"/>
    <w:rsid w:val="009D1FA5"/>
    <w:rsid w:val="009D1FC0"/>
    <w:rsid w:val="009D1FE7"/>
    <w:rsid w:val="009D210B"/>
    <w:rsid w:val="009D222A"/>
    <w:rsid w:val="009D2238"/>
    <w:rsid w:val="009D2259"/>
    <w:rsid w:val="009D22DF"/>
    <w:rsid w:val="009D22EA"/>
    <w:rsid w:val="009D22F9"/>
    <w:rsid w:val="009D2366"/>
    <w:rsid w:val="009D23A6"/>
    <w:rsid w:val="009D23BC"/>
    <w:rsid w:val="009D23E0"/>
    <w:rsid w:val="009D2455"/>
    <w:rsid w:val="009D245E"/>
    <w:rsid w:val="009D24A2"/>
    <w:rsid w:val="009D254E"/>
    <w:rsid w:val="009D2593"/>
    <w:rsid w:val="009D25FD"/>
    <w:rsid w:val="009D2604"/>
    <w:rsid w:val="009D2725"/>
    <w:rsid w:val="009D2772"/>
    <w:rsid w:val="009D27A9"/>
    <w:rsid w:val="009D27CF"/>
    <w:rsid w:val="009D27D3"/>
    <w:rsid w:val="009D27D5"/>
    <w:rsid w:val="009D2827"/>
    <w:rsid w:val="009D285E"/>
    <w:rsid w:val="009D28E8"/>
    <w:rsid w:val="009D28EF"/>
    <w:rsid w:val="009D2902"/>
    <w:rsid w:val="009D290B"/>
    <w:rsid w:val="009D292E"/>
    <w:rsid w:val="009D2944"/>
    <w:rsid w:val="009D29C7"/>
    <w:rsid w:val="009D29D7"/>
    <w:rsid w:val="009D29FE"/>
    <w:rsid w:val="009D2A21"/>
    <w:rsid w:val="009D2A37"/>
    <w:rsid w:val="009D2A5B"/>
    <w:rsid w:val="009D2A83"/>
    <w:rsid w:val="009D2ABB"/>
    <w:rsid w:val="009D2B43"/>
    <w:rsid w:val="009D2B71"/>
    <w:rsid w:val="009D2BC7"/>
    <w:rsid w:val="009D2C7A"/>
    <w:rsid w:val="009D2C80"/>
    <w:rsid w:val="009D2CBD"/>
    <w:rsid w:val="009D2CC7"/>
    <w:rsid w:val="009D2D30"/>
    <w:rsid w:val="009D2D42"/>
    <w:rsid w:val="009D2D46"/>
    <w:rsid w:val="009D2D54"/>
    <w:rsid w:val="009D2D56"/>
    <w:rsid w:val="009D2D6F"/>
    <w:rsid w:val="009D2D98"/>
    <w:rsid w:val="009D2DC6"/>
    <w:rsid w:val="009D2DCA"/>
    <w:rsid w:val="009D2DFE"/>
    <w:rsid w:val="009D2E41"/>
    <w:rsid w:val="009D2E5E"/>
    <w:rsid w:val="009D2EA2"/>
    <w:rsid w:val="009D2EAB"/>
    <w:rsid w:val="009D2ED9"/>
    <w:rsid w:val="009D2F6B"/>
    <w:rsid w:val="009D2FCB"/>
    <w:rsid w:val="009D3009"/>
    <w:rsid w:val="009D301C"/>
    <w:rsid w:val="009D302C"/>
    <w:rsid w:val="009D30ED"/>
    <w:rsid w:val="009D317D"/>
    <w:rsid w:val="009D31CB"/>
    <w:rsid w:val="009D31F7"/>
    <w:rsid w:val="009D3267"/>
    <w:rsid w:val="009D32A7"/>
    <w:rsid w:val="009D32BE"/>
    <w:rsid w:val="009D32C5"/>
    <w:rsid w:val="009D3318"/>
    <w:rsid w:val="009D3365"/>
    <w:rsid w:val="009D33AD"/>
    <w:rsid w:val="009D34A8"/>
    <w:rsid w:val="009D34BC"/>
    <w:rsid w:val="009D34C9"/>
    <w:rsid w:val="009D34E3"/>
    <w:rsid w:val="009D34ED"/>
    <w:rsid w:val="009D352E"/>
    <w:rsid w:val="009D360E"/>
    <w:rsid w:val="009D363A"/>
    <w:rsid w:val="009D3682"/>
    <w:rsid w:val="009D36C8"/>
    <w:rsid w:val="009D36D9"/>
    <w:rsid w:val="009D3727"/>
    <w:rsid w:val="009D3728"/>
    <w:rsid w:val="009D377B"/>
    <w:rsid w:val="009D3795"/>
    <w:rsid w:val="009D3836"/>
    <w:rsid w:val="009D388C"/>
    <w:rsid w:val="009D38C5"/>
    <w:rsid w:val="009D3910"/>
    <w:rsid w:val="009D3957"/>
    <w:rsid w:val="009D3A79"/>
    <w:rsid w:val="009D3A99"/>
    <w:rsid w:val="009D3ADA"/>
    <w:rsid w:val="009D3B82"/>
    <w:rsid w:val="009D3BAA"/>
    <w:rsid w:val="009D3BB0"/>
    <w:rsid w:val="009D3C23"/>
    <w:rsid w:val="009D3C6B"/>
    <w:rsid w:val="009D3C7C"/>
    <w:rsid w:val="009D3CB0"/>
    <w:rsid w:val="009D3CBE"/>
    <w:rsid w:val="009D3CE1"/>
    <w:rsid w:val="009D3CE3"/>
    <w:rsid w:val="009D3D16"/>
    <w:rsid w:val="009D3D75"/>
    <w:rsid w:val="009D3D78"/>
    <w:rsid w:val="009D3D9C"/>
    <w:rsid w:val="009D3DA1"/>
    <w:rsid w:val="009D3DB6"/>
    <w:rsid w:val="009D3DF6"/>
    <w:rsid w:val="009D3E41"/>
    <w:rsid w:val="009D3E7C"/>
    <w:rsid w:val="009D3E8B"/>
    <w:rsid w:val="009D3F1A"/>
    <w:rsid w:val="009D3F51"/>
    <w:rsid w:val="009D3F9C"/>
    <w:rsid w:val="009D3FEE"/>
    <w:rsid w:val="009D4076"/>
    <w:rsid w:val="009D4083"/>
    <w:rsid w:val="009D40A6"/>
    <w:rsid w:val="009D40B9"/>
    <w:rsid w:val="009D4149"/>
    <w:rsid w:val="009D41B2"/>
    <w:rsid w:val="009D41D3"/>
    <w:rsid w:val="009D4203"/>
    <w:rsid w:val="009D4233"/>
    <w:rsid w:val="009D427B"/>
    <w:rsid w:val="009D42C5"/>
    <w:rsid w:val="009D42CE"/>
    <w:rsid w:val="009D4309"/>
    <w:rsid w:val="009D4363"/>
    <w:rsid w:val="009D43B3"/>
    <w:rsid w:val="009D43D4"/>
    <w:rsid w:val="009D43E0"/>
    <w:rsid w:val="009D445B"/>
    <w:rsid w:val="009D4499"/>
    <w:rsid w:val="009D44A7"/>
    <w:rsid w:val="009D4552"/>
    <w:rsid w:val="009D4601"/>
    <w:rsid w:val="009D471E"/>
    <w:rsid w:val="009D472E"/>
    <w:rsid w:val="009D4736"/>
    <w:rsid w:val="009D4791"/>
    <w:rsid w:val="009D47AE"/>
    <w:rsid w:val="009D480F"/>
    <w:rsid w:val="009D4818"/>
    <w:rsid w:val="009D4828"/>
    <w:rsid w:val="009D4858"/>
    <w:rsid w:val="009D488D"/>
    <w:rsid w:val="009D488F"/>
    <w:rsid w:val="009D48C3"/>
    <w:rsid w:val="009D48D2"/>
    <w:rsid w:val="009D48E5"/>
    <w:rsid w:val="009D4917"/>
    <w:rsid w:val="009D494F"/>
    <w:rsid w:val="009D4955"/>
    <w:rsid w:val="009D4967"/>
    <w:rsid w:val="009D4983"/>
    <w:rsid w:val="009D4993"/>
    <w:rsid w:val="009D49A3"/>
    <w:rsid w:val="009D49E1"/>
    <w:rsid w:val="009D49F9"/>
    <w:rsid w:val="009D4A12"/>
    <w:rsid w:val="009D4A55"/>
    <w:rsid w:val="009D4A57"/>
    <w:rsid w:val="009D4A97"/>
    <w:rsid w:val="009D4AB7"/>
    <w:rsid w:val="009D4B5A"/>
    <w:rsid w:val="009D4BC6"/>
    <w:rsid w:val="009D4BD8"/>
    <w:rsid w:val="009D4BF0"/>
    <w:rsid w:val="009D4C67"/>
    <w:rsid w:val="009D4C6B"/>
    <w:rsid w:val="009D4C8A"/>
    <w:rsid w:val="009D4C9E"/>
    <w:rsid w:val="009D4CA1"/>
    <w:rsid w:val="009D4CD3"/>
    <w:rsid w:val="009D4CFE"/>
    <w:rsid w:val="009D4D04"/>
    <w:rsid w:val="009D4D25"/>
    <w:rsid w:val="009D4D2A"/>
    <w:rsid w:val="009D4D3A"/>
    <w:rsid w:val="009D4DBA"/>
    <w:rsid w:val="009D4DC2"/>
    <w:rsid w:val="009D4DF6"/>
    <w:rsid w:val="009D4E55"/>
    <w:rsid w:val="009D4E86"/>
    <w:rsid w:val="009D4E98"/>
    <w:rsid w:val="009D4F0E"/>
    <w:rsid w:val="009D4F34"/>
    <w:rsid w:val="009D4F8E"/>
    <w:rsid w:val="009D4FA1"/>
    <w:rsid w:val="009D509E"/>
    <w:rsid w:val="009D50F5"/>
    <w:rsid w:val="009D5123"/>
    <w:rsid w:val="009D516B"/>
    <w:rsid w:val="009D51A4"/>
    <w:rsid w:val="009D520A"/>
    <w:rsid w:val="009D522E"/>
    <w:rsid w:val="009D5268"/>
    <w:rsid w:val="009D526D"/>
    <w:rsid w:val="009D52B7"/>
    <w:rsid w:val="009D5314"/>
    <w:rsid w:val="009D537F"/>
    <w:rsid w:val="009D5389"/>
    <w:rsid w:val="009D53CF"/>
    <w:rsid w:val="009D5415"/>
    <w:rsid w:val="009D5439"/>
    <w:rsid w:val="009D54A8"/>
    <w:rsid w:val="009D5503"/>
    <w:rsid w:val="009D553D"/>
    <w:rsid w:val="009D5551"/>
    <w:rsid w:val="009D555E"/>
    <w:rsid w:val="009D5593"/>
    <w:rsid w:val="009D55AB"/>
    <w:rsid w:val="009D55D5"/>
    <w:rsid w:val="009D5613"/>
    <w:rsid w:val="009D5660"/>
    <w:rsid w:val="009D5685"/>
    <w:rsid w:val="009D5686"/>
    <w:rsid w:val="009D5701"/>
    <w:rsid w:val="009D5724"/>
    <w:rsid w:val="009D5738"/>
    <w:rsid w:val="009D5739"/>
    <w:rsid w:val="009D573C"/>
    <w:rsid w:val="009D575E"/>
    <w:rsid w:val="009D57B9"/>
    <w:rsid w:val="009D57CC"/>
    <w:rsid w:val="009D57DF"/>
    <w:rsid w:val="009D5800"/>
    <w:rsid w:val="009D5842"/>
    <w:rsid w:val="009D584D"/>
    <w:rsid w:val="009D5859"/>
    <w:rsid w:val="009D58BF"/>
    <w:rsid w:val="009D58FC"/>
    <w:rsid w:val="009D58FD"/>
    <w:rsid w:val="009D591F"/>
    <w:rsid w:val="009D595B"/>
    <w:rsid w:val="009D5976"/>
    <w:rsid w:val="009D5A19"/>
    <w:rsid w:val="009D5A2B"/>
    <w:rsid w:val="009D5A4A"/>
    <w:rsid w:val="009D5A7C"/>
    <w:rsid w:val="009D5A87"/>
    <w:rsid w:val="009D5AA2"/>
    <w:rsid w:val="009D5ACF"/>
    <w:rsid w:val="009D5B05"/>
    <w:rsid w:val="009D5B54"/>
    <w:rsid w:val="009D5BAA"/>
    <w:rsid w:val="009D5C2A"/>
    <w:rsid w:val="009D5C2E"/>
    <w:rsid w:val="009D5C6A"/>
    <w:rsid w:val="009D5C86"/>
    <w:rsid w:val="009D5D6A"/>
    <w:rsid w:val="009D5D7A"/>
    <w:rsid w:val="009D5D9D"/>
    <w:rsid w:val="009D5DE1"/>
    <w:rsid w:val="009D5E08"/>
    <w:rsid w:val="009D5E0C"/>
    <w:rsid w:val="009D5E1C"/>
    <w:rsid w:val="009D5E3C"/>
    <w:rsid w:val="009D5E43"/>
    <w:rsid w:val="009D5E51"/>
    <w:rsid w:val="009D5E7C"/>
    <w:rsid w:val="009D5E9C"/>
    <w:rsid w:val="009D5EA0"/>
    <w:rsid w:val="009D5EA8"/>
    <w:rsid w:val="009D5EB1"/>
    <w:rsid w:val="009D5ED4"/>
    <w:rsid w:val="009D5F0B"/>
    <w:rsid w:val="009D5F0F"/>
    <w:rsid w:val="009D5F16"/>
    <w:rsid w:val="009D5F3A"/>
    <w:rsid w:val="009D5F47"/>
    <w:rsid w:val="009D5F8D"/>
    <w:rsid w:val="009D5F8E"/>
    <w:rsid w:val="009D5FAE"/>
    <w:rsid w:val="009D5FAF"/>
    <w:rsid w:val="009D5FE3"/>
    <w:rsid w:val="009D601E"/>
    <w:rsid w:val="009D6023"/>
    <w:rsid w:val="009D6067"/>
    <w:rsid w:val="009D6080"/>
    <w:rsid w:val="009D6081"/>
    <w:rsid w:val="009D6087"/>
    <w:rsid w:val="009D60A6"/>
    <w:rsid w:val="009D60C5"/>
    <w:rsid w:val="009D60D6"/>
    <w:rsid w:val="009D6158"/>
    <w:rsid w:val="009D616A"/>
    <w:rsid w:val="009D6177"/>
    <w:rsid w:val="009D617C"/>
    <w:rsid w:val="009D61DC"/>
    <w:rsid w:val="009D621D"/>
    <w:rsid w:val="009D6271"/>
    <w:rsid w:val="009D62AE"/>
    <w:rsid w:val="009D62C0"/>
    <w:rsid w:val="009D6379"/>
    <w:rsid w:val="009D639D"/>
    <w:rsid w:val="009D63DF"/>
    <w:rsid w:val="009D6403"/>
    <w:rsid w:val="009D6437"/>
    <w:rsid w:val="009D6491"/>
    <w:rsid w:val="009D6493"/>
    <w:rsid w:val="009D6501"/>
    <w:rsid w:val="009D6509"/>
    <w:rsid w:val="009D65E9"/>
    <w:rsid w:val="009D6656"/>
    <w:rsid w:val="009D66A0"/>
    <w:rsid w:val="009D66AC"/>
    <w:rsid w:val="009D671B"/>
    <w:rsid w:val="009D6720"/>
    <w:rsid w:val="009D675E"/>
    <w:rsid w:val="009D676A"/>
    <w:rsid w:val="009D6790"/>
    <w:rsid w:val="009D67C2"/>
    <w:rsid w:val="009D682E"/>
    <w:rsid w:val="009D683F"/>
    <w:rsid w:val="009D685D"/>
    <w:rsid w:val="009D685E"/>
    <w:rsid w:val="009D6910"/>
    <w:rsid w:val="009D6969"/>
    <w:rsid w:val="009D69D3"/>
    <w:rsid w:val="009D6A1E"/>
    <w:rsid w:val="009D6A40"/>
    <w:rsid w:val="009D6A61"/>
    <w:rsid w:val="009D6AB8"/>
    <w:rsid w:val="009D6AD8"/>
    <w:rsid w:val="009D6B06"/>
    <w:rsid w:val="009D6B7A"/>
    <w:rsid w:val="009D6BEC"/>
    <w:rsid w:val="009D6C2D"/>
    <w:rsid w:val="009D6C2F"/>
    <w:rsid w:val="009D6C42"/>
    <w:rsid w:val="009D6C77"/>
    <w:rsid w:val="009D6CB1"/>
    <w:rsid w:val="009D6CCC"/>
    <w:rsid w:val="009D6D0A"/>
    <w:rsid w:val="009D6D22"/>
    <w:rsid w:val="009D6D4F"/>
    <w:rsid w:val="009D6D89"/>
    <w:rsid w:val="009D6DBC"/>
    <w:rsid w:val="009D6DC3"/>
    <w:rsid w:val="009D6DC5"/>
    <w:rsid w:val="009D6DCA"/>
    <w:rsid w:val="009D6DD9"/>
    <w:rsid w:val="009D6DE9"/>
    <w:rsid w:val="009D6DFC"/>
    <w:rsid w:val="009D6E06"/>
    <w:rsid w:val="009D6EA3"/>
    <w:rsid w:val="009D6ECA"/>
    <w:rsid w:val="009D6ECF"/>
    <w:rsid w:val="009D6EEC"/>
    <w:rsid w:val="009D6F1B"/>
    <w:rsid w:val="009D6F35"/>
    <w:rsid w:val="009D6F4B"/>
    <w:rsid w:val="009D6F5C"/>
    <w:rsid w:val="009D701F"/>
    <w:rsid w:val="009D7023"/>
    <w:rsid w:val="009D7069"/>
    <w:rsid w:val="009D7073"/>
    <w:rsid w:val="009D707A"/>
    <w:rsid w:val="009D70D0"/>
    <w:rsid w:val="009D7134"/>
    <w:rsid w:val="009D716D"/>
    <w:rsid w:val="009D71D5"/>
    <w:rsid w:val="009D7201"/>
    <w:rsid w:val="009D7209"/>
    <w:rsid w:val="009D723E"/>
    <w:rsid w:val="009D7240"/>
    <w:rsid w:val="009D7293"/>
    <w:rsid w:val="009D735C"/>
    <w:rsid w:val="009D738F"/>
    <w:rsid w:val="009D73A8"/>
    <w:rsid w:val="009D73E1"/>
    <w:rsid w:val="009D7430"/>
    <w:rsid w:val="009D74A8"/>
    <w:rsid w:val="009D74B6"/>
    <w:rsid w:val="009D7512"/>
    <w:rsid w:val="009D7523"/>
    <w:rsid w:val="009D752C"/>
    <w:rsid w:val="009D7577"/>
    <w:rsid w:val="009D7589"/>
    <w:rsid w:val="009D75A5"/>
    <w:rsid w:val="009D75C4"/>
    <w:rsid w:val="009D760E"/>
    <w:rsid w:val="009D768C"/>
    <w:rsid w:val="009D76B7"/>
    <w:rsid w:val="009D771A"/>
    <w:rsid w:val="009D777A"/>
    <w:rsid w:val="009D7785"/>
    <w:rsid w:val="009D77C1"/>
    <w:rsid w:val="009D781C"/>
    <w:rsid w:val="009D7838"/>
    <w:rsid w:val="009D788E"/>
    <w:rsid w:val="009D7914"/>
    <w:rsid w:val="009D7943"/>
    <w:rsid w:val="009D7990"/>
    <w:rsid w:val="009D7A00"/>
    <w:rsid w:val="009D7A35"/>
    <w:rsid w:val="009D7A40"/>
    <w:rsid w:val="009D7A5F"/>
    <w:rsid w:val="009D7AAD"/>
    <w:rsid w:val="009D7ABD"/>
    <w:rsid w:val="009D7AE8"/>
    <w:rsid w:val="009D7B09"/>
    <w:rsid w:val="009D7B56"/>
    <w:rsid w:val="009D7BAB"/>
    <w:rsid w:val="009D7BCA"/>
    <w:rsid w:val="009D7C0A"/>
    <w:rsid w:val="009D7C19"/>
    <w:rsid w:val="009D7C40"/>
    <w:rsid w:val="009D7CA2"/>
    <w:rsid w:val="009D7CAC"/>
    <w:rsid w:val="009D7CCA"/>
    <w:rsid w:val="009D7CD1"/>
    <w:rsid w:val="009D7CD5"/>
    <w:rsid w:val="009D7CE9"/>
    <w:rsid w:val="009D7D27"/>
    <w:rsid w:val="009D7DAE"/>
    <w:rsid w:val="009D7DDD"/>
    <w:rsid w:val="009D7E61"/>
    <w:rsid w:val="009D7E67"/>
    <w:rsid w:val="009D7EC9"/>
    <w:rsid w:val="009D7EF5"/>
    <w:rsid w:val="009D7F08"/>
    <w:rsid w:val="009D7F18"/>
    <w:rsid w:val="009D7F32"/>
    <w:rsid w:val="009D7F58"/>
    <w:rsid w:val="009D7F78"/>
    <w:rsid w:val="009D7F7F"/>
    <w:rsid w:val="009D7FD6"/>
    <w:rsid w:val="009D89BD"/>
    <w:rsid w:val="009D9DFA"/>
    <w:rsid w:val="009DC829"/>
    <w:rsid w:val="009E005C"/>
    <w:rsid w:val="009E00A3"/>
    <w:rsid w:val="009E00F1"/>
    <w:rsid w:val="009E0139"/>
    <w:rsid w:val="009E015C"/>
    <w:rsid w:val="009E015D"/>
    <w:rsid w:val="009E017A"/>
    <w:rsid w:val="009E01AE"/>
    <w:rsid w:val="009E01C3"/>
    <w:rsid w:val="009E0253"/>
    <w:rsid w:val="009E027A"/>
    <w:rsid w:val="009E02AF"/>
    <w:rsid w:val="009E02D5"/>
    <w:rsid w:val="009E0311"/>
    <w:rsid w:val="009E0319"/>
    <w:rsid w:val="009E034C"/>
    <w:rsid w:val="009E0479"/>
    <w:rsid w:val="009E04A0"/>
    <w:rsid w:val="009E04C1"/>
    <w:rsid w:val="009E04FB"/>
    <w:rsid w:val="009E0505"/>
    <w:rsid w:val="009E0507"/>
    <w:rsid w:val="009E050D"/>
    <w:rsid w:val="009E0565"/>
    <w:rsid w:val="009E0570"/>
    <w:rsid w:val="009E05B1"/>
    <w:rsid w:val="009E061F"/>
    <w:rsid w:val="009E0698"/>
    <w:rsid w:val="009E06FF"/>
    <w:rsid w:val="009E0746"/>
    <w:rsid w:val="009E0747"/>
    <w:rsid w:val="009E0766"/>
    <w:rsid w:val="009E076C"/>
    <w:rsid w:val="009E077C"/>
    <w:rsid w:val="009E0788"/>
    <w:rsid w:val="009E07B1"/>
    <w:rsid w:val="009E07BC"/>
    <w:rsid w:val="009E080D"/>
    <w:rsid w:val="009E0819"/>
    <w:rsid w:val="009E08F5"/>
    <w:rsid w:val="009E093B"/>
    <w:rsid w:val="009E093D"/>
    <w:rsid w:val="009E0947"/>
    <w:rsid w:val="009E0978"/>
    <w:rsid w:val="009E09FA"/>
    <w:rsid w:val="009E0A04"/>
    <w:rsid w:val="009E0A4B"/>
    <w:rsid w:val="009E0ADF"/>
    <w:rsid w:val="009E0B36"/>
    <w:rsid w:val="009E0B40"/>
    <w:rsid w:val="009E0B4B"/>
    <w:rsid w:val="009E0B79"/>
    <w:rsid w:val="009E0BB7"/>
    <w:rsid w:val="009E0BBC"/>
    <w:rsid w:val="009E0BE4"/>
    <w:rsid w:val="009E0C1E"/>
    <w:rsid w:val="009E0C76"/>
    <w:rsid w:val="009E0C9E"/>
    <w:rsid w:val="009E0CBC"/>
    <w:rsid w:val="009E0CEC"/>
    <w:rsid w:val="009E0D38"/>
    <w:rsid w:val="009E0D3C"/>
    <w:rsid w:val="009E0D78"/>
    <w:rsid w:val="009E0D91"/>
    <w:rsid w:val="009E0D97"/>
    <w:rsid w:val="009E0D9E"/>
    <w:rsid w:val="009E0DBC"/>
    <w:rsid w:val="009E0DE7"/>
    <w:rsid w:val="009E0DED"/>
    <w:rsid w:val="009E0E49"/>
    <w:rsid w:val="009E0E52"/>
    <w:rsid w:val="009E0E8A"/>
    <w:rsid w:val="009E0EA2"/>
    <w:rsid w:val="009E0EE1"/>
    <w:rsid w:val="009E0F22"/>
    <w:rsid w:val="009E0F3F"/>
    <w:rsid w:val="009E0FCE"/>
    <w:rsid w:val="009E10C6"/>
    <w:rsid w:val="009E1106"/>
    <w:rsid w:val="009E1111"/>
    <w:rsid w:val="009E113C"/>
    <w:rsid w:val="009E1151"/>
    <w:rsid w:val="009E1159"/>
    <w:rsid w:val="009E1190"/>
    <w:rsid w:val="009E1250"/>
    <w:rsid w:val="009E126D"/>
    <w:rsid w:val="009E12E0"/>
    <w:rsid w:val="009E12FD"/>
    <w:rsid w:val="009E1302"/>
    <w:rsid w:val="009E134B"/>
    <w:rsid w:val="009E1351"/>
    <w:rsid w:val="009E137F"/>
    <w:rsid w:val="009E1397"/>
    <w:rsid w:val="009E150D"/>
    <w:rsid w:val="009E1514"/>
    <w:rsid w:val="009E1526"/>
    <w:rsid w:val="009E1566"/>
    <w:rsid w:val="009E157D"/>
    <w:rsid w:val="009E1591"/>
    <w:rsid w:val="009E15CF"/>
    <w:rsid w:val="009E15D2"/>
    <w:rsid w:val="009E161B"/>
    <w:rsid w:val="009E16A0"/>
    <w:rsid w:val="009E16AD"/>
    <w:rsid w:val="009E173E"/>
    <w:rsid w:val="009E1789"/>
    <w:rsid w:val="009E179D"/>
    <w:rsid w:val="009E17D8"/>
    <w:rsid w:val="009E17D9"/>
    <w:rsid w:val="009E17F2"/>
    <w:rsid w:val="009E1806"/>
    <w:rsid w:val="009E184B"/>
    <w:rsid w:val="009E1855"/>
    <w:rsid w:val="009E18B4"/>
    <w:rsid w:val="009E18EF"/>
    <w:rsid w:val="009E19B8"/>
    <w:rsid w:val="009E19D9"/>
    <w:rsid w:val="009E19E8"/>
    <w:rsid w:val="009E19F2"/>
    <w:rsid w:val="009E19F6"/>
    <w:rsid w:val="009E1A04"/>
    <w:rsid w:val="009E1A11"/>
    <w:rsid w:val="009E1A60"/>
    <w:rsid w:val="009E1AC3"/>
    <w:rsid w:val="009E1B1E"/>
    <w:rsid w:val="009E1B28"/>
    <w:rsid w:val="009E1B93"/>
    <w:rsid w:val="009E1BB3"/>
    <w:rsid w:val="009E1BFE"/>
    <w:rsid w:val="009E1C76"/>
    <w:rsid w:val="009E1CE2"/>
    <w:rsid w:val="009E1D38"/>
    <w:rsid w:val="009E1D75"/>
    <w:rsid w:val="009E1D8B"/>
    <w:rsid w:val="009E1DE9"/>
    <w:rsid w:val="009E1DFB"/>
    <w:rsid w:val="009E1DFF"/>
    <w:rsid w:val="009E1E34"/>
    <w:rsid w:val="009E1E3B"/>
    <w:rsid w:val="009E1E3D"/>
    <w:rsid w:val="009E1E58"/>
    <w:rsid w:val="009E1E7D"/>
    <w:rsid w:val="009E1F32"/>
    <w:rsid w:val="009E1F79"/>
    <w:rsid w:val="009E1FA8"/>
    <w:rsid w:val="009E1FAD"/>
    <w:rsid w:val="009E201D"/>
    <w:rsid w:val="009E2022"/>
    <w:rsid w:val="009E2039"/>
    <w:rsid w:val="009E209B"/>
    <w:rsid w:val="009E20A0"/>
    <w:rsid w:val="009E20AE"/>
    <w:rsid w:val="009E2186"/>
    <w:rsid w:val="009E21F1"/>
    <w:rsid w:val="009E2206"/>
    <w:rsid w:val="009E223D"/>
    <w:rsid w:val="009E224D"/>
    <w:rsid w:val="009E225E"/>
    <w:rsid w:val="009E229F"/>
    <w:rsid w:val="009E22BF"/>
    <w:rsid w:val="009E23BA"/>
    <w:rsid w:val="009E23DB"/>
    <w:rsid w:val="009E23E0"/>
    <w:rsid w:val="009E242A"/>
    <w:rsid w:val="009E245E"/>
    <w:rsid w:val="009E24E3"/>
    <w:rsid w:val="009E24F4"/>
    <w:rsid w:val="009E2515"/>
    <w:rsid w:val="009E2543"/>
    <w:rsid w:val="009E254F"/>
    <w:rsid w:val="009E25EB"/>
    <w:rsid w:val="009E2613"/>
    <w:rsid w:val="009E2637"/>
    <w:rsid w:val="009E26B9"/>
    <w:rsid w:val="009E278A"/>
    <w:rsid w:val="009E2815"/>
    <w:rsid w:val="009E281F"/>
    <w:rsid w:val="009E2885"/>
    <w:rsid w:val="009E28BB"/>
    <w:rsid w:val="009E28D8"/>
    <w:rsid w:val="009E290C"/>
    <w:rsid w:val="009E2929"/>
    <w:rsid w:val="009E2952"/>
    <w:rsid w:val="009E2A90"/>
    <w:rsid w:val="009E2AC1"/>
    <w:rsid w:val="009E2AD4"/>
    <w:rsid w:val="009E2AEB"/>
    <w:rsid w:val="009E2AFF"/>
    <w:rsid w:val="009E2C22"/>
    <w:rsid w:val="009E2C3B"/>
    <w:rsid w:val="009E2C74"/>
    <w:rsid w:val="009E2D07"/>
    <w:rsid w:val="009E2D4E"/>
    <w:rsid w:val="009E2D76"/>
    <w:rsid w:val="009E2E0D"/>
    <w:rsid w:val="009E2E1A"/>
    <w:rsid w:val="009E2E1B"/>
    <w:rsid w:val="009E2EB2"/>
    <w:rsid w:val="009E3008"/>
    <w:rsid w:val="009E30FD"/>
    <w:rsid w:val="009E3139"/>
    <w:rsid w:val="009E3147"/>
    <w:rsid w:val="009E3153"/>
    <w:rsid w:val="009E3169"/>
    <w:rsid w:val="009E318E"/>
    <w:rsid w:val="009E31C1"/>
    <w:rsid w:val="009E31DF"/>
    <w:rsid w:val="009E3231"/>
    <w:rsid w:val="009E329F"/>
    <w:rsid w:val="009E32B7"/>
    <w:rsid w:val="009E330C"/>
    <w:rsid w:val="009E334F"/>
    <w:rsid w:val="009E3354"/>
    <w:rsid w:val="009E3369"/>
    <w:rsid w:val="009E33D5"/>
    <w:rsid w:val="009E33F5"/>
    <w:rsid w:val="009E3408"/>
    <w:rsid w:val="009E3444"/>
    <w:rsid w:val="009E346B"/>
    <w:rsid w:val="009E346D"/>
    <w:rsid w:val="009E34B0"/>
    <w:rsid w:val="009E356E"/>
    <w:rsid w:val="009E35B1"/>
    <w:rsid w:val="009E35BF"/>
    <w:rsid w:val="009E3625"/>
    <w:rsid w:val="009E3644"/>
    <w:rsid w:val="009E3690"/>
    <w:rsid w:val="009E369F"/>
    <w:rsid w:val="009E36B5"/>
    <w:rsid w:val="009E36F5"/>
    <w:rsid w:val="009E36FE"/>
    <w:rsid w:val="009E3712"/>
    <w:rsid w:val="009E378B"/>
    <w:rsid w:val="009E37A7"/>
    <w:rsid w:val="009E37F8"/>
    <w:rsid w:val="009E3905"/>
    <w:rsid w:val="009E395C"/>
    <w:rsid w:val="009E39A5"/>
    <w:rsid w:val="009E39BE"/>
    <w:rsid w:val="009E39C8"/>
    <w:rsid w:val="009E39E8"/>
    <w:rsid w:val="009E3A86"/>
    <w:rsid w:val="009E3B38"/>
    <w:rsid w:val="009E3B3C"/>
    <w:rsid w:val="009E3B67"/>
    <w:rsid w:val="009E3B77"/>
    <w:rsid w:val="009E3BA9"/>
    <w:rsid w:val="009E3C45"/>
    <w:rsid w:val="009E3C5D"/>
    <w:rsid w:val="009E3C78"/>
    <w:rsid w:val="009E3C8F"/>
    <w:rsid w:val="009E3C95"/>
    <w:rsid w:val="009E3CA5"/>
    <w:rsid w:val="009E3CBF"/>
    <w:rsid w:val="009E3D60"/>
    <w:rsid w:val="009E3D82"/>
    <w:rsid w:val="009E3D8C"/>
    <w:rsid w:val="009E3DC6"/>
    <w:rsid w:val="009E3DD7"/>
    <w:rsid w:val="009E3DE1"/>
    <w:rsid w:val="009E3E0D"/>
    <w:rsid w:val="009E3EED"/>
    <w:rsid w:val="009E3F5F"/>
    <w:rsid w:val="009E3F8E"/>
    <w:rsid w:val="009E3FB6"/>
    <w:rsid w:val="009E3FE8"/>
    <w:rsid w:val="009E4053"/>
    <w:rsid w:val="009E40D3"/>
    <w:rsid w:val="009E40EE"/>
    <w:rsid w:val="009E4162"/>
    <w:rsid w:val="009E417C"/>
    <w:rsid w:val="009E418A"/>
    <w:rsid w:val="009E4275"/>
    <w:rsid w:val="009E42E1"/>
    <w:rsid w:val="009E433C"/>
    <w:rsid w:val="009E4343"/>
    <w:rsid w:val="009E4358"/>
    <w:rsid w:val="009E437E"/>
    <w:rsid w:val="009E43C0"/>
    <w:rsid w:val="009E43DC"/>
    <w:rsid w:val="009E43E5"/>
    <w:rsid w:val="009E4402"/>
    <w:rsid w:val="009E4442"/>
    <w:rsid w:val="009E444E"/>
    <w:rsid w:val="009E4454"/>
    <w:rsid w:val="009E44DB"/>
    <w:rsid w:val="009E451A"/>
    <w:rsid w:val="009E4551"/>
    <w:rsid w:val="009E4593"/>
    <w:rsid w:val="009E45C0"/>
    <w:rsid w:val="009E45DA"/>
    <w:rsid w:val="009E460B"/>
    <w:rsid w:val="009E4653"/>
    <w:rsid w:val="009E4672"/>
    <w:rsid w:val="009E469D"/>
    <w:rsid w:val="009E46A1"/>
    <w:rsid w:val="009E46B1"/>
    <w:rsid w:val="009E46B4"/>
    <w:rsid w:val="009E46CB"/>
    <w:rsid w:val="009E4739"/>
    <w:rsid w:val="009E473E"/>
    <w:rsid w:val="009E477D"/>
    <w:rsid w:val="009E47AE"/>
    <w:rsid w:val="009E47CA"/>
    <w:rsid w:val="009E47F7"/>
    <w:rsid w:val="009E4874"/>
    <w:rsid w:val="009E4887"/>
    <w:rsid w:val="009E4892"/>
    <w:rsid w:val="009E4917"/>
    <w:rsid w:val="009E4935"/>
    <w:rsid w:val="009E4956"/>
    <w:rsid w:val="009E4983"/>
    <w:rsid w:val="009E49BC"/>
    <w:rsid w:val="009E4A1C"/>
    <w:rsid w:val="009E4A39"/>
    <w:rsid w:val="009E4A84"/>
    <w:rsid w:val="009E4B20"/>
    <w:rsid w:val="009E4B2E"/>
    <w:rsid w:val="009E4BF8"/>
    <w:rsid w:val="009E4C03"/>
    <w:rsid w:val="009E4C6B"/>
    <w:rsid w:val="009E4D06"/>
    <w:rsid w:val="009E4D2D"/>
    <w:rsid w:val="009E4D67"/>
    <w:rsid w:val="009E4D9D"/>
    <w:rsid w:val="009E4D9E"/>
    <w:rsid w:val="009E4DF1"/>
    <w:rsid w:val="009E4DF7"/>
    <w:rsid w:val="009E4E1D"/>
    <w:rsid w:val="009E4E5C"/>
    <w:rsid w:val="009E4EC9"/>
    <w:rsid w:val="009E4F91"/>
    <w:rsid w:val="009E4FDF"/>
    <w:rsid w:val="009E5094"/>
    <w:rsid w:val="009E50AF"/>
    <w:rsid w:val="009E50D0"/>
    <w:rsid w:val="009E50DE"/>
    <w:rsid w:val="009E50F3"/>
    <w:rsid w:val="009E5172"/>
    <w:rsid w:val="009E5173"/>
    <w:rsid w:val="009E51DD"/>
    <w:rsid w:val="009E5201"/>
    <w:rsid w:val="009E5237"/>
    <w:rsid w:val="009E52BC"/>
    <w:rsid w:val="009E52C1"/>
    <w:rsid w:val="009E52D6"/>
    <w:rsid w:val="009E52E0"/>
    <w:rsid w:val="009E52F8"/>
    <w:rsid w:val="009E5325"/>
    <w:rsid w:val="009E5370"/>
    <w:rsid w:val="009E53B7"/>
    <w:rsid w:val="009E53ED"/>
    <w:rsid w:val="009E540B"/>
    <w:rsid w:val="009E541E"/>
    <w:rsid w:val="009E5423"/>
    <w:rsid w:val="009E542B"/>
    <w:rsid w:val="009E5488"/>
    <w:rsid w:val="009E54C2"/>
    <w:rsid w:val="009E5534"/>
    <w:rsid w:val="009E554A"/>
    <w:rsid w:val="009E55E0"/>
    <w:rsid w:val="009E5608"/>
    <w:rsid w:val="009E5609"/>
    <w:rsid w:val="009E5671"/>
    <w:rsid w:val="009E5687"/>
    <w:rsid w:val="009E569D"/>
    <w:rsid w:val="009E56A0"/>
    <w:rsid w:val="009E5777"/>
    <w:rsid w:val="009E5779"/>
    <w:rsid w:val="009E57A9"/>
    <w:rsid w:val="009E581D"/>
    <w:rsid w:val="009E5888"/>
    <w:rsid w:val="009E588C"/>
    <w:rsid w:val="009E58AF"/>
    <w:rsid w:val="009E58CC"/>
    <w:rsid w:val="009E58D0"/>
    <w:rsid w:val="009E58D1"/>
    <w:rsid w:val="009E591A"/>
    <w:rsid w:val="009E5969"/>
    <w:rsid w:val="009E5984"/>
    <w:rsid w:val="009E598D"/>
    <w:rsid w:val="009E59C7"/>
    <w:rsid w:val="009E59FC"/>
    <w:rsid w:val="009E5A09"/>
    <w:rsid w:val="009E5A26"/>
    <w:rsid w:val="009E5A2B"/>
    <w:rsid w:val="009E5A4F"/>
    <w:rsid w:val="009E5A52"/>
    <w:rsid w:val="009E5B04"/>
    <w:rsid w:val="009E5B06"/>
    <w:rsid w:val="009E5B1C"/>
    <w:rsid w:val="009E5B1F"/>
    <w:rsid w:val="009E5B40"/>
    <w:rsid w:val="009E5B97"/>
    <w:rsid w:val="009E5C59"/>
    <w:rsid w:val="009E5C82"/>
    <w:rsid w:val="009E5CB5"/>
    <w:rsid w:val="009E5CC6"/>
    <w:rsid w:val="009E5D2B"/>
    <w:rsid w:val="009E5D44"/>
    <w:rsid w:val="009E5D50"/>
    <w:rsid w:val="009E5D6B"/>
    <w:rsid w:val="009E5D7F"/>
    <w:rsid w:val="009E5D9D"/>
    <w:rsid w:val="009E5E7F"/>
    <w:rsid w:val="009E5EA8"/>
    <w:rsid w:val="009E5EB5"/>
    <w:rsid w:val="009E5EBB"/>
    <w:rsid w:val="009E5EEE"/>
    <w:rsid w:val="009E5EF3"/>
    <w:rsid w:val="009E5F2C"/>
    <w:rsid w:val="009E5FAC"/>
    <w:rsid w:val="009E5FAE"/>
    <w:rsid w:val="009E5FFA"/>
    <w:rsid w:val="009E6006"/>
    <w:rsid w:val="009E603C"/>
    <w:rsid w:val="009E604A"/>
    <w:rsid w:val="009E6050"/>
    <w:rsid w:val="009E607B"/>
    <w:rsid w:val="009E6085"/>
    <w:rsid w:val="009E60A4"/>
    <w:rsid w:val="009E60A8"/>
    <w:rsid w:val="009E60EA"/>
    <w:rsid w:val="009E610F"/>
    <w:rsid w:val="009E6126"/>
    <w:rsid w:val="009E619F"/>
    <w:rsid w:val="009E61EE"/>
    <w:rsid w:val="009E6220"/>
    <w:rsid w:val="009E62F5"/>
    <w:rsid w:val="009E6388"/>
    <w:rsid w:val="009E63A8"/>
    <w:rsid w:val="009E6425"/>
    <w:rsid w:val="009E649E"/>
    <w:rsid w:val="009E64ED"/>
    <w:rsid w:val="009E6543"/>
    <w:rsid w:val="009E6573"/>
    <w:rsid w:val="009E657A"/>
    <w:rsid w:val="009E65FF"/>
    <w:rsid w:val="009E6602"/>
    <w:rsid w:val="009E6607"/>
    <w:rsid w:val="009E6628"/>
    <w:rsid w:val="009E6644"/>
    <w:rsid w:val="009E66C0"/>
    <w:rsid w:val="009E66D9"/>
    <w:rsid w:val="009E6722"/>
    <w:rsid w:val="009E674B"/>
    <w:rsid w:val="009E67BA"/>
    <w:rsid w:val="009E6818"/>
    <w:rsid w:val="009E6832"/>
    <w:rsid w:val="009E683E"/>
    <w:rsid w:val="009E683F"/>
    <w:rsid w:val="009E684D"/>
    <w:rsid w:val="009E6856"/>
    <w:rsid w:val="009E689C"/>
    <w:rsid w:val="009E68A4"/>
    <w:rsid w:val="009E68CB"/>
    <w:rsid w:val="009E68D3"/>
    <w:rsid w:val="009E68DD"/>
    <w:rsid w:val="009E68E0"/>
    <w:rsid w:val="009E6951"/>
    <w:rsid w:val="009E699A"/>
    <w:rsid w:val="009E69AA"/>
    <w:rsid w:val="009E6A4B"/>
    <w:rsid w:val="009E6A8B"/>
    <w:rsid w:val="009E6A8D"/>
    <w:rsid w:val="009E6AA4"/>
    <w:rsid w:val="009E6AC3"/>
    <w:rsid w:val="009E6B04"/>
    <w:rsid w:val="009E6B32"/>
    <w:rsid w:val="009E6BE4"/>
    <w:rsid w:val="009E6BF0"/>
    <w:rsid w:val="009E6C4C"/>
    <w:rsid w:val="009E6C53"/>
    <w:rsid w:val="009E6C70"/>
    <w:rsid w:val="009E6CA7"/>
    <w:rsid w:val="009E6CA8"/>
    <w:rsid w:val="009E6CDA"/>
    <w:rsid w:val="009E6D11"/>
    <w:rsid w:val="009E6D27"/>
    <w:rsid w:val="009E6D32"/>
    <w:rsid w:val="009E6D8D"/>
    <w:rsid w:val="009E6D9C"/>
    <w:rsid w:val="009E6DB1"/>
    <w:rsid w:val="009E6DE6"/>
    <w:rsid w:val="009E6E35"/>
    <w:rsid w:val="009E6E60"/>
    <w:rsid w:val="009E6E78"/>
    <w:rsid w:val="009E6ED9"/>
    <w:rsid w:val="009E6F24"/>
    <w:rsid w:val="009E6F3D"/>
    <w:rsid w:val="009E6F43"/>
    <w:rsid w:val="009E6F64"/>
    <w:rsid w:val="009E6F7E"/>
    <w:rsid w:val="009E6F85"/>
    <w:rsid w:val="009E6FB3"/>
    <w:rsid w:val="009E7045"/>
    <w:rsid w:val="009E70B1"/>
    <w:rsid w:val="009E70E3"/>
    <w:rsid w:val="009E719C"/>
    <w:rsid w:val="009E71B7"/>
    <w:rsid w:val="009E71C5"/>
    <w:rsid w:val="009E72E7"/>
    <w:rsid w:val="009E72EA"/>
    <w:rsid w:val="009E734F"/>
    <w:rsid w:val="009E73EA"/>
    <w:rsid w:val="009E7413"/>
    <w:rsid w:val="009E74E9"/>
    <w:rsid w:val="009E758B"/>
    <w:rsid w:val="009E75AB"/>
    <w:rsid w:val="009E75BA"/>
    <w:rsid w:val="009E7721"/>
    <w:rsid w:val="009E7752"/>
    <w:rsid w:val="009E7756"/>
    <w:rsid w:val="009E7766"/>
    <w:rsid w:val="009E77F1"/>
    <w:rsid w:val="009E780A"/>
    <w:rsid w:val="009E780E"/>
    <w:rsid w:val="009E7855"/>
    <w:rsid w:val="009E7893"/>
    <w:rsid w:val="009E789D"/>
    <w:rsid w:val="009E78B3"/>
    <w:rsid w:val="009E78B8"/>
    <w:rsid w:val="009E78D9"/>
    <w:rsid w:val="009E793F"/>
    <w:rsid w:val="009E79B0"/>
    <w:rsid w:val="009E79E1"/>
    <w:rsid w:val="009E79ED"/>
    <w:rsid w:val="009E79F6"/>
    <w:rsid w:val="009E7A68"/>
    <w:rsid w:val="009E7A6B"/>
    <w:rsid w:val="009E7AAF"/>
    <w:rsid w:val="009E7ABB"/>
    <w:rsid w:val="009E7B02"/>
    <w:rsid w:val="009E7B29"/>
    <w:rsid w:val="009E7B70"/>
    <w:rsid w:val="009E7BDD"/>
    <w:rsid w:val="009E7C17"/>
    <w:rsid w:val="009E7CD5"/>
    <w:rsid w:val="009E7CD6"/>
    <w:rsid w:val="009E7D46"/>
    <w:rsid w:val="009E7DBE"/>
    <w:rsid w:val="009E7DDD"/>
    <w:rsid w:val="009E7E21"/>
    <w:rsid w:val="009E7E4B"/>
    <w:rsid w:val="009E7E5E"/>
    <w:rsid w:val="009E7FAB"/>
    <w:rsid w:val="009E7FE8"/>
    <w:rsid w:val="009EDA6B"/>
    <w:rsid w:val="009F0001"/>
    <w:rsid w:val="009F0021"/>
    <w:rsid w:val="009F003D"/>
    <w:rsid w:val="009F0057"/>
    <w:rsid w:val="009F007A"/>
    <w:rsid w:val="009F009E"/>
    <w:rsid w:val="009F00A1"/>
    <w:rsid w:val="009F00D0"/>
    <w:rsid w:val="009F00F5"/>
    <w:rsid w:val="009F016C"/>
    <w:rsid w:val="009F0208"/>
    <w:rsid w:val="009F0237"/>
    <w:rsid w:val="009F023F"/>
    <w:rsid w:val="009F02A2"/>
    <w:rsid w:val="009F0308"/>
    <w:rsid w:val="009F0375"/>
    <w:rsid w:val="009F0380"/>
    <w:rsid w:val="009F0390"/>
    <w:rsid w:val="009F0396"/>
    <w:rsid w:val="009F041F"/>
    <w:rsid w:val="009F042A"/>
    <w:rsid w:val="009F042B"/>
    <w:rsid w:val="009F042F"/>
    <w:rsid w:val="009F044B"/>
    <w:rsid w:val="009F0480"/>
    <w:rsid w:val="009F04B2"/>
    <w:rsid w:val="009F04DB"/>
    <w:rsid w:val="009F0500"/>
    <w:rsid w:val="009F051D"/>
    <w:rsid w:val="009F052F"/>
    <w:rsid w:val="009F0570"/>
    <w:rsid w:val="009F05C6"/>
    <w:rsid w:val="009F066A"/>
    <w:rsid w:val="009F0677"/>
    <w:rsid w:val="009F069C"/>
    <w:rsid w:val="009F06AD"/>
    <w:rsid w:val="009F07AE"/>
    <w:rsid w:val="009F07E0"/>
    <w:rsid w:val="009F082E"/>
    <w:rsid w:val="009F082F"/>
    <w:rsid w:val="009F0841"/>
    <w:rsid w:val="009F090B"/>
    <w:rsid w:val="009F0930"/>
    <w:rsid w:val="009F0935"/>
    <w:rsid w:val="009F093E"/>
    <w:rsid w:val="009F0999"/>
    <w:rsid w:val="009F09DB"/>
    <w:rsid w:val="009F0AE9"/>
    <w:rsid w:val="009F0B0A"/>
    <w:rsid w:val="009F0B53"/>
    <w:rsid w:val="009F0B95"/>
    <w:rsid w:val="009F0BDB"/>
    <w:rsid w:val="009F0BFC"/>
    <w:rsid w:val="009F0C46"/>
    <w:rsid w:val="009F0C6D"/>
    <w:rsid w:val="009F0CE2"/>
    <w:rsid w:val="009F0D0D"/>
    <w:rsid w:val="009F0D4C"/>
    <w:rsid w:val="009F0DA7"/>
    <w:rsid w:val="009F0E30"/>
    <w:rsid w:val="009F0E33"/>
    <w:rsid w:val="009F0E62"/>
    <w:rsid w:val="009F0E68"/>
    <w:rsid w:val="009F0E79"/>
    <w:rsid w:val="009F0E97"/>
    <w:rsid w:val="009F0EA7"/>
    <w:rsid w:val="009F0EBA"/>
    <w:rsid w:val="009F0EEE"/>
    <w:rsid w:val="009F0EFA"/>
    <w:rsid w:val="009F0F13"/>
    <w:rsid w:val="009F0F34"/>
    <w:rsid w:val="009F0F64"/>
    <w:rsid w:val="009F0F8F"/>
    <w:rsid w:val="009F0F9D"/>
    <w:rsid w:val="009F0FAC"/>
    <w:rsid w:val="009F100D"/>
    <w:rsid w:val="009F1016"/>
    <w:rsid w:val="009F1048"/>
    <w:rsid w:val="009F1066"/>
    <w:rsid w:val="009F107D"/>
    <w:rsid w:val="009F10FB"/>
    <w:rsid w:val="009F110D"/>
    <w:rsid w:val="009F1126"/>
    <w:rsid w:val="009F1132"/>
    <w:rsid w:val="009F118E"/>
    <w:rsid w:val="009F11C2"/>
    <w:rsid w:val="009F11C4"/>
    <w:rsid w:val="009F120A"/>
    <w:rsid w:val="009F126C"/>
    <w:rsid w:val="009F1349"/>
    <w:rsid w:val="009F13AF"/>
    <w:rsid w:val="009F13C1"/>
    <w:rsid w:val="009F13E8"/>
    <w:rsid w:val="009F1413"/>
    <w:rsid w:val="009F1416"/>
    <w:rsid w:val="009F1424"/>
    <w:rsid w:val="009F148E"/>
    <w:rsid w:val="009F14F4"/>
    <w:rsid w:val="009F1514"/>
    <w:rsid w:val="009F1525"/>
    <w:rsid w:val="009F154A"/>
    <w:rsid w:val="009F1569"/>
    <w:rsid w:val="009F1597"/>
    <w:rsid w:val="009F15A4"/>
    <w:rsid w:val="009F15AA"/>
    <w:rsid w:val="009F15C4"/>
    <w:rsid w:val="009F1626"/>
    <w:rsid w:val="009F1672"/>
    <w:rsid w:val="009F169C"/>
    <w:rsid w:val="009F16E7"/>
    <w:rsid w:val="009F171C"/>
    <w:rsid w:val="009F176B"/>
    <w:rsid w:val="009F1784"/>
    <w:rsid w:val="009F17A5"/>
    <w:rsid w:val="009F17EE"/>
    <w:rsid w:val="009F1874"/>
    <w:rsid w:val="009F1883"/>
    <w:rsid w:val="009F18A4"/>
    <w:rsid w:val="009F18E8"/>
    <w:rsid w:val="009F1959"/>
    <w:rsid w:val="009F1973"/>
    <w:rsid w:val="009F197E"/>
    <w:rsid w:val="009F19B2"/>
    <w:rsid w:val="009F19E4"/>
    <w:rsid w:val="009F19F0"/>
    <w:rsid w:val="009F1A28"/>
    <w:rsid w:val="009F1A3B"/>
    <w:rsid w:val="009F1AAF"/>
    <w:rsid w:val="009F1B04"/>
    <w:rsid w:val="009F1B0D"/>
    <w:rsid w:val="009F1B6C"/>
    <w:rsid w:val="009F1BB2"/>
    <w:rsid w:val="009F1BE2"/>
    <w:rsid w:val="009F1C15"/>
    <w:rsid w:val="009F1C4D"/>
    <w:rsid w:val="009F1C4E"/>
    <w:rsid w:val="009F1C6C"/>
    <w:rsid w:val="009F1C72"/>
    <w:rsid w:val="009F1C79"/>
    <w:rsid w:val="009F1D20"/>
    <w:rsid w:val="009F1D2A"/>
    <w:rsid w:val="009F1D85"/>
    <w:rsid w:val="009F1DEC"/>
    <w:rsid w:val="009F1E55"/>
    <w:rsid w:val="009F1E8B"/>
    <w:rsid w:val="009F1EA5"/>
    <w:rsid w:val="009F1ECC"/>
    <w:rsid w:val="009F1F38"/>
    <w:rsid w:val="009F1F42"/>
    <w:rsid w:val="009F1F7A"/>
    <w:rsid w:val="009F1FC5"/>
    <w:rsid w:val="009F1FCC"/>
    <w:rsid w:val="009F1FCF"/>
    <w:rsid w:val="009F206E"/>
    <w:rsid w:val="009F2074"/>
    <w:rsid w:val="009F2098"/>
    <w:rsid w:val="009F20BB"/>
    <w:rsid w:val="009F20E0"/>
    <w:rsid w:val="009F20E9"/>
    <w:rsid w:val="009F21C5"/>
    <w:rsid w:val="009F21C7"/>
    <w:rsid w:val="009F2207"/>
    <w:rsid w:val="009F221B"/>
    <w:rsid w:val="009F22D4"/>
    <w:rsid w:val="009F22F6"/>
    <w:rsid w:val="009F2347"/>
    <w:rsid w:val="009F235B"/>
    <w:rsid w:val="009F238D"/>
    <w:rsid w:val="009F23C8"/>
    <w:rsid w:val="009F23E6"/>
    <w:rsid w:val="009F23E8"/>
    <w:rsid w:val="009F23F4"/>
    <w:rsid w:val="009F2429"/>
    <w:rsid w:val="009F2474"/>
    <w:rsid w:val="009F24E6"/>
    <w:rsid w:val="009F2517"/>
    <w:rsid w:val="009F256F"/>
    <w:rsid w:val="009F259B"/>
    <w:rsid w:val="009F25B1"/>
    <w:rsid w:val="009F25D2"/>
    <w:rsid w:val="009F25EA"/>
    <w:rsid w:val="009F2633"/>
    <w:rsid w:val="009F26C7"/>
    <w:rsid w:val="009F26D0"/>
    <w:rsid w:val="009F26EB"/>
    <w:rsid w:val="009F2761"/>
    <w:rsid w:val="009F279C"/>
    <w:rsid w:val="009F2830"/>
    <w:rsid w:val="009F28E8"/>
    <w:rsid w:val="009F291F"/>
    <w:rsid w:val="009F29CE"/>
    <w:rsid w:val="009F29F1"/>
    <w:rsid w:val="009F2A2E"/>
    <w:rsid w:val="009F2A6C"/>
    <w:rsid w:val="009F2A97"/>
    <w:rsid w:val="009F2AB0"/>
    <w:rsid w:val="009F2AB3"/>
    <w:rsid w:val="009F2AFC"/>
    <w:rsid w:val="009F2B39"/>
    <w:rsid w:val="009F2B72"/>
    <w:rsid w:val="009F2BAB"/>
    <w:rsid w:val="009F2C15"/>
    <w:rsid w:val="009F2C6A"/>
    <w:rsid w:val="009F2C7C"/>
    <w:rsid w:val="009F2C97"/>
    <w:rsid w:val="009F2C98"/>
    <w:rsid w:val="009F2D2F"/>
    <w:rsid w:val="009F2DC7"/>
    <w:rsid w:val="009F2E4C"/>
    <w:rsid w:val="009F2E60"/>
    <w:rsid w:val="009F2ECE"/>
    <w:rsid w:val="009F2F2D"/>
    <w:rsid w:val="009F2FAD"/>
    <w:rsid w:val="009F302A"/>
    <w:rsid w:val="009F30C2"/>
    <w:rsid w:val="009F30F0"/>
    <w:rsid w:val="009F3117"/>
    <w:rsid w:val="009F31F0"/>
    <w:rsid w:val="009F31F9"/>
    <w:rsid w:val="009F3231"/>
    <w:rsid w:val="009F327F"/>
    <w:rsid w:val="009F32AF"/>
    <w:rsid w:val="009F32D6"/>
    <w:rsid w:val="009F335B"/>
    <w:rsid w:val="009F337A"/>
    <w:rsid w:val="009F3386"/>
    <w:rsid w:val="009F33B2"/>
    <w:rsid w:val="009F341F"/>
    <w:rsid w:val="009F3458"/>
    <w:rsid w:val="009F34A5"/>
    <w:rsid w:val="009F34A8"/>
    <w:rsid w:val="009F356B"/>
    <w:rsid w:val="009F3586"/>
    <w:rsid w:val="009F35E9"/>
    <w:rsid w:val="009F360E"/>
    <w:rsid w:val="009F366C"/>
    <w:rsid w:val="009F3682"/>
    <w:rsid w:val="009F3691"/>
    <w:rsid w:val="009F36F8"/>
    <w:rsid w:val="009F372E"/>
    <w:rsid w:val="009F3739"/>
    <w:rsid w:val="009F376C"/>
    <w:rsid w:val="009F37E5"/>
    <w:rsid w:val="009F37E9"/>
    <w:rsid w:val="009F37EF"/>
    <w:rsid w:val="009F381F"/>
    <w:rsid w:val="009F3828"/>
    <w:rsid w:val="009F385E"/>
    <w:rsid w:val="009F3925"/>
    <w:rsid w:val="009F393F"/>
    <w:rsid w:val="009F3950"/>
    <w:rsid w:val="009F399E"/>
    <w:rsid w:val="009F39AC"/>
    <w:rsid w:val="009F39C2"/>
    <w:rsid w:val="009F39F4"/>
    <w:rsid w:val="009F3AE3"/>
    <w:rsid w:val="009F3AE7"/>
    <w:rsid w:val="009F3BB5"/>
    <w:rsid w:val="009F3BCB"/>
    <w:rsid w:val="009F3CE2"/>
    <w:rsid w:val="009F3D0F"/>
    <w:rsid w:val="009F3D14"/>
    <w:rsid w:val="009F3D35"/>
    <w:rsid w:val="009F3D45"/>
    <w:rsid w:val="009F3D58"/>
    <w:rsid w:val="009F3D60"/>
    <w:rsid w:val="009F3D6A"/>
    <w:rsid w:val="009F3D9E"/>
    <w:rsid w:val="009F3DCE"/>
    <w:rsid w:val="009F3E71"/>
    <w:rsid w:val="009F3E7D"/>
    <w:rsid w:val="009F3E88"/>
    <w:rsid w:val="009F3E94"/>
    <w:rsid w:val="009F3EAB"/>
    <w:rsid w:val="009F3ECF"/>
    <w:rsid w:val="009F3EDB"/>
    <w:rsid w:val="009F3F03"/>
    <w:rsid w:val="009F3F45"/>
    <w:rsid w:val="009F3FAC"/>
    <w:rsid w:val="009F402D"/>
    <w:rsid w:val="009F407F"/>
    <w:rsid w:val="009F4080"/>
    <w:rsid w:val="009F4081"/>
    <w:rsid w:val="009F40ED"/>
    <w:rsid w:val="009F412E"/>
    <w:rsid w:val="009F41A9"/>
    <w:rsid w:val="009F41B2"/>
    <w:rsid w:val="009F41D8"/>
    <w:rsid w:val="009F4238"/>
    <w:rsid w:val="009F423D"/>
    <w:rsid w:val="009F42A2"/>
    <w:rsid w:val="009F42D5"/>
    <w:rsid w:val="009F430C"/>
    <w:rsid w:val="009F432D"/>
    <w:rsid w:val="009F4331"/>
    <w:rsid w:val="009F434E"/>
    <w:rsid w:val="009F4372"/>
    <w:rsid w:val="009F4381"/>
    <w:rsid w:val="009F4388"/>
    <w:rsid w:val="009F44EE"/>
    <w:rsid w:val="009F4504"/>
    <w:rsid w:val="009F456D"/>
    <w:rsid w:val="009F457C"/>
    <w:rsid w:val="009F4611"/>
    <w:rsid w:val="009F4614"/>
    <w:rsid w:val="009F4623"/>
    <w:rsid w:val="009F4674"/>
    <w:rsid w:val="009F46B5"/>
    <w:rsid w:val="009F46FA"/>
    <w:rsid w:val="009F4748"/>
    <w:rsid w:val="009F4792"/>
    <w:rsid w:val="009F4794"/>
    <w:rsid w:val="009F47DE"/>
    <w:rsid w:val="009F4897"/>
    <w:rsid w:val="009F48A4"/>
    <w:rsid w:val="009F48AF"/>
    <w:rsid w:val="009F4911"/>
    <w:rsid w:val="009F4933"/>
    <w:rsid w:val="009F493A"/>
    <w:rsid w:val="009F4942"/>
    <w:rsid w:val="009F4972"/>
    <w:rsid w:val="009F49A2"/>
    <w:rsid w:val="009F4A1B"/>
    <w:rsid w:val="009F4A48"/>
    <w:rsid w:val="009F4AC2"/>
    <w:rsid w:val="009F4AEE"/>
    <w:rsid w:val="009F4AFB"/>
    <w:rsid w:val="009F4B22"/>
    <w:rsid w:val="009F4B2D"/>
    <w:rsid w:val="009F4B5D"/>
    <w:rsid w:val="009F4B70"/>
    <w:rsid w:val="009F4B85"/>
    <w:rsid w:val="009F4BDA"/>
    <w:rsid w:val="009F4BF2"/>
    <w:rsid w:val="009F4C05"/>
    <w:rsid w:val="009F4C14"/>
    <w:rsid w:val="009F4C44"/>
    <w:rsid w:val="009F4C64"/>
    <w:rsid w:val="009F4CAA"/>
    <w:rsid w:val="009F4CE2"/>
    <w:rsid w:val="009F4D05"/>
    <w:rsid w:val="009F4D0F"/>
    <w:rsid w:val="009F4D4B"/>
    <w:rsid w:val="009F4D59"/>
    <w:rsid w:val="009F4D64"/>
    <w:rsid w:val="009F4DCA"/>
    <w:rsid w:val="009F4DCE"/>
    <w:rsid w:val="009F4DD8"/>
    <w:rsid w:val="009F4DEB"/>
    <w:rsid w:val="009F4DF8"/>
    <w:rsid w:val="009F4E35"/>
    <w:rsid w:val="009F4E41"/>
    <w:rsid w:val="009F4E71"/>
    <w:rsid w:val="009F4EC6"/>
    <w:rsid w:val="009F4ECC"/>
    <w:rsid w:val="009F4ECE"/>
    <w:rsid w:val="009F4EDC"/>
    <w:rsid w:val="009F4F02"/>
    <w:rsid w:val="009F4F10"/>
    <w:rsid w:val="009F4FA2"/>
    <w:rsid w:val="009F4FA6"/>
    <w:rsid w:val="009F4FBA"/>
    <w:rsid w:val="009F5018"/>
    <w:rsid w:val="009F5023"/>
    <w:rsid w:val="009F5060"/>
    <w:rsid w:val="009F507A"/>
    <w:rsid w:val="009F507B"/>
    <w:rsid w:val="009F5088"/>
    <w:rsid w:val="009F50DF"/>
    <w:rsid w:val="009F514A"/>
    <w:rsid w:val="009F51A1"/>
    <w:rsid w:val="009F51AE"/>
    <w:rsid w:val="009F51B3"/>
    <w:rsid w:val="009F520F"/>
    <w:rsid w:val="009F5221"/>
    <w:rsid w:val="009F528E"/>
    <w:rsid w:val="009F52B5"/>
    <w:rsid w:val="009F5337"/>
    <w:rsid w:val="009F5349"/>
    <w:rsid w:val="009F5356"/>
    <w:rsid w:val="009F5377"/>
    <w:rsid w:val="009F5396"/>
    <w:rsid w:val="009F53A1"/>
    <w:rsid w:val="009F541C"/>
    <w:rsid w:val="009F5437"/>
    <w:rsid w:val="009F5471"/>
    <w:rsid w:val="009F5482"/>
    <w:rsid w:val="009F54C8"/>
    <w:rsid w:val="009F54E7"/>
    <w:rsid w:val="009F54E8"/>
    <w:rsid w:val="009F552A"/>
    <w:rsid w:val="009F5557"/>
    <w:rsid w:val="009F5572"/>
    <w:rsid w:val="009F564E"/>
    <w:rsid w:val="009F5651"/>
    <w:rsid w:val="009F565F"/>
    <w:rsid w:val="009F5718"/>
    <w:rsid w:val="009F57DF"/>
    <w:rsid w:val="009F5805"/>
    <w:rsid w:val="009F581D"/>
    <w:rsid w:val="009F5821"/>
    <w:rsid w:val="009F5843"/>
    <w:rsid w:val="009F588C"/>
    <w:rsid w:val="009F58A9"/>
    <w:rsid w:val="009F58B1"/>
    <w:rsid w:val="009F58E4"/>
    <w:rsid w:val="009F5931"/>
    <w:rsid w:val="009F5972"/>
    <w:rsid w:val="009F5A3F"/>
    <w:rsid w:val="009F5A55"/>
    <w:rsid w:val="009F5A88"/>
    <w:rsid w:val="009F5A8D"/>
    <w:rsid w:val="009F5B9F"/>
    <w:rsid w:val="009F5C0C"/>
    <w:rsid w:val="009F5C32"/>
    <w:rsid w:val="009F5C71"/>
    <w:rsid w:val="009F5C77"/>
    <w:rsid w:val="009F5CA4"/>
    <w:rsid w:val="009F5CA7"/>
    <w:rsid w:val="009F5D19"/>
    <w:rsid w:val="009F5D29"/>
    <w:rsid w:val="009F5D41"/>
    <w:rsid w:val="009F5D8F"/>
    <w:rsid w:val="009F5D97"/>
    <w:rsid w:val="009F5DB5"/>
    <w:rsid w:val="009F5DCF"/>
    <w:rsid w:val="009F5E53"/>
    <w:rsid w:val="009F5E75"/>
    <w:rsid w:val="009F5EB4"/>
    <w:rsid w:val="009F5F47"/>
    <w:rsid w:val="009F5F52"/>
    <w:rsid w:val="009F5FC5"/>
    <w:rsid w:val="009F6094"/>
    <w:rsid w:val="009F60AB"/>
    <w:rsid w:val="009F60F4"/>
    <w:rsid w:val="009F6119"/>
    <w:rsid w:val="009F6137"/>
    <w:rsid w:val="009F6151"/>
    <w:rsid w:val="009F61A6"/>
    <w:rsid w:val="009F6233"/>
    <w:rsid w:val="009F6266"/>
    <w:rsid w:val="009F627C"/>
    <w:rsid w:val="009F62A4"/>
    <w:rsid w:val="009F6307"/>
    <w:rsid w:val="009F6318"/>
    <w:rsid w:val="009F6324"/>
    <w:rsid w:val="009F639F"/>
    <w:rsid w:val="009F63C0"/>
    <w:rsid w:val="009F63C5"/>
    <w:rsid w:val="009F63E7"/>
    <w:rsid w:val="009F63EB"/>
    <w:rsid w:val="009F6404"/>
    <w:rsid w:val="009F64A6"/>
    <w:rsid w:val="009F64C3"/>
    <w:rsid w:val="009F64D3"/>
    <w:rsid w:val="009F64E3"/>
    <w:rsid w:val="009F6510"/>
    <w:rsid w:val="009F6522"/>
    <w:rsid w:val="009F6598"/>
    <w:rsid w:val="009F65A3"/>
    <w:rsid w:val="009F660B"/>
    <w:rsid w:val="009F6631"/>
    <w:rsid w:val="009F667A"/>
    <w:rsid w:val="009F67AE"/>
    <w:rsid w:val="009F67F6"/>
    <w:rsid w:val="009F6839"/>
    <w:rsid w:val="009F6861"/>
    <w:rsid w:val="009F691D"/>
    <w:rsid w:val="009F695D"/>
    <w:rsid w:val="009F69CC"/>
    <w:rsid w:val="009F6A19"/>
    <w:rsid w:val="009F6B0D"/>
    <w:rsid w:val="009F6B45"/>
    <w:rsid w:val="009F6B5B"/>
    <w:rsid w:val="009F6BD2"/>
    <w:rsid w:val="009F6BE6"/>
    <w:rsid w:val="009F6C11"/>
    <w:rsid w:val="009F6C1A"/>
    <w:rsid w:val="009F6C27"/>
    <w:rsid w:val="009F6C58"/>
    <w:rsid w:val="009F6C6D"/>
    <w:rsid w:val="009F6C7A"/>
    <w:rsid w:val="009F6CB9"/>
    <w:rsid w:val="009F6CCF"/>
    <w:rsid w:val="009F6CF1"/>
    <w:rsid w:val="009F6D10"/>
    <w:rsid w:val="009F6D93"/>
    <w:rsid w:val="009F6D9C"/>
    <w:rsid w:val="009F6DA0"/>
    <w:rsid w:val="009F6DB0"/>
    <w:rsid w:val="009F6E23"/>
    <w:rsid w:val="009F6E3E"/>
    <w:rsid w:val="009F6F52"/>
    <w:rsid w:val="009F6F6B"/>
    <w:rsid w:val="009F6F9F"/>
    <w:rsid w:val="009F6FBC"/>
    <w:rsid w:val="009F6FCF"/>
    <w:rsid w:val="009F6FEB"/>
    <w:rsid w:val="009F7034"/>
    <w:rsid w:val="009F7071"/>
    <w:rsid w:val="009F7098"/>
    <w:rsid w:val="009F70EA"/>
    <w:rsid w:val="009F7153"/>
    <w:rsid w:val="009F719C"/>
    <w:rsid w:val="009F71A9"/>
    <w:rsid w:val="009F71BD"/>
    <w:rsid w:val="009F71CF"/>
    <w:rsid w:val="009F7224"/>
    <w:rsid w:val="009F72CA"/>
    <w:rsid w:val="009F72D8"/>
    <w:rsid w:val="009F7422"/>
    <w:rsid w:val="009F7438"/>
    <w:rsid w:val="009F746D"/>
    <w:rsid w:val="009F7477"/>
    <w:rsid w:val="009F7510"/>
    <w:rsid w:val="009F7530"/>
    <w:rsid w:val="009F7537"/>
    <w:rsid w:val="009F756C"/>
    <w:rsid w:val="009F75E1"/>
    <w:rsid w:val="009F764E"/>
    <w:rsid w:val="009F7710"/>
    <w:rsid w:val="009F77B0"/>
    <w:rsid w:val="009F77CE"/>
    <w:rsid w:val="009F77F7"/>
    <w:rsid w:val="009F784B"/>
    <w:rsid w:val="009F7856"/>
    <w:rsid w:val="009F7875"/>
    <w:rsid w:val="009F78C9"/>
    <w:rsid w:val="009F78EA"/>
    <w:rsid w:val="009F795A"/>
    <w:rsid w:val="009F79F9"/>
    <w:rsid w:val="009F7A63"/>
    <w:rsid w:val="009F7B02"/>
    <w:rsid w:val="009F7B18"/>
    <w:rsid w:val="009F7B80"/>
    <w:rsid w:val="009F7C07"/>
    <w:rsid w:val="009F7D25"/>
    <w:rsid w:val="009F7D38"/>
    <w:rsid w:val="009F7DCC"/>
    <w:rsid w:val="009F7DF0"/>
    <w:rsid w:val="009F7E21"/>
    <w:rsid w:val="009F7E7A"/>
    <w:rsid w:val="009F7EA4"/>
    <w:rsid w:val="009F7EBE"/>
    <w:rsid w:val="009F7ED1"/>
    <w:rsid w:val="009F7EE4"/>
    <w:rsid w:val="009F7EFC"/>
    <w:rsid w:val="009F7F0A"/>
    <w:rsid w:val="009F7F83"/>
    <w:rsid w:val="009F7F8F"/>
    <w:rsid w:val="009F7F94"/>
    <w:rsid w:val="009F7F96"/>
    <w:rsid w:val="009F7FA2"/>
    <w:rsid w:val="009F7FBC"/>
    <w:rsid w:val="009F7FC9"/>
    <w:rsid w:val="009F7FF4"/>
    <w:rsid w:val="00A00046"/>
    <w:rsid w:val="00A0007A"/>
    <w:rsid w:val="00A000CF"/>
    <w:rsid w:val="00A000DF"/>
    <w:rsid w:val="00A0011F"/>
    <w:rsid w:val="00A00151"/>
    <w:rsid w:val="00A0016D"/>
    <w:rsid w:val="00A00193"/>
    <w:rsid w:val="00A001EC"/>
    <w:rsid w:val="00A0020C"/>
    <w:rsid w:val="00A0020D"/>
    <w:rsid w:val="00A00231"/>
    <w:rsid w:val="00A00272"/>
    <w:rsid w:val="00A00334"/>
    <w:rsid w:val="00A003C4"/>
    <w:rsid w:val="00A003E6"/>
    <w:rsid w:val="00A003E9"/>
    <w:rsid w:val="00A00463"/>
    <w:rsid w:val="00A00467"/>
    <w:rsid w:val="00A004CE"/>
    <w:rsid w:val="00A004D0"/>
    <w:rsid w:val="00A004DC"/>
    <w:rsid w:val="00A005B8"/>
    <w:rsid w:val="00A0060C"/>
    <w:rsid w:val="00A0064B"/>
    <w:rsid w:val="00A0065A"/>
    <w:rsid w:val="00A0068E"/>
    <w:rsid w:val="00A00722"/>
    <w:rsid w:val="00A00737"/>
    <w:rsid w:val="00A00772"/>
    <w:rsid w:val="00A00775"/>
    <w:rsid w:val="00A00786"/>
    <w:rsid w:val="00A007D5"/>
    <w:rsid w:val="00A00802"/>
    <w:rsid w:val="00A0087F"/>
    <w:rsid w:val="00A0097A"/>
    <w:rsid w:val="00A009A2"/>
    <w:rsid w:val="00A00A14"/>
    <w:rsid w:val="00A00A82"/>
    <w:rsid w:val="00A00AAA"/>
    <w:rsid w:val="00A00B81"/>
    <w:rsid w:val="00A00BD7"/>
    <w:rsid w:val="00A00BDC"/>
    <w:rsid w:val="00A00C2D"/>
    <w:rsid w:val="00A00C66"/>
    <w:rsid w:val="00A00C6D"/>
    <w:rsid w:val="00A00C7F"/>
    <w:rsid w:val="00A00CB4"/>
    <w:rsid w:val="00A00D33"/>
    <w:rsid w:val="00A00D3C"/>
    <w:rsid w:val="00A00DAF"/>
    <w:rsid w:val="00A00DB3"/>
    <w:rsid w:val="00A00EBF"/>
    <w:rsid w:val="00A00F10"/>
    <w:rsid w:val="00A00F13"/>
    <w:rsid w:val="00A00F1F"/>
    <w:rsid w:val="00A00F53"/>
    <w:rsid w:val="00A0101A"/>
    <w:rsid w:val="00A0108E"/>
    <w:rsid w:val="00A01098"/>
    <w:rsid w:val="00A011E6"/>
    <w:rsid w:val="00A01297"/>
    <w:rsid w:val="00A012C4"/>
    <w:rsid w:val="00A01307"/>
    <w:rsid w:val="00A0130C"/>
    <w:rsid w:val="00A0137F"/>
    <w:rsid w:val="00A0138B"/>
    <w:rsid w:val="00A013A9"/>
    <w:rsid w:val="00A013D6"/>
    <w:rsid w:val="00A013DB"/>
    <w:rsid w:val="00A013EE"/>
    <w:rsid w:val="00A01496"/>
    <w:rsid w:val="00A014B2"/>
    <w:rsid w:val="00A014E8"/>
    <w:rsid w:val="00A014FA"/>
    <w:rsid w:val="00A01528"/>
    <w:rsid w:val="00A0155E"/>
    <w:rsid w:val="00A01580"/>
    <w:rsid w:val="00A015F9"/>
    <w:rsid w:val="00A01628"/>
    <w:rsid w:val="00A01664"/>
    <w:rsid w:val="00A016A1"/>
    <w:rsid w:val="00A016C4"/>
    <w:rsid w:val="00A0172B"/>
    <w:rsid w:val="00A017F3"/>
    <w:rsid w:val="00A01837"/>
    <w:rsid w:val="00A01883"/>
    <w:rsid w:val="00A0191A"/>
    <w:rsid w:val="00A01941"/>
    <w:rsid w:val="00A0194D"/>
    <w:rsid w:val="00A019AF"/>
    <w:rsid w:val="00A019B0"/>
    <w:rsid w:val="00A019CC"/>
    <w:rsid w:val="00A019E6"/>
    <w:rsid w:val="00A019ED"/>
    <w:rsid w:val="00A01B0A"/>
    <w:rsid w:val="00A01B29"/>
    <w:rsid w:val="00A01B4A"/>
    <w:rsid w:val="00A01BC1"/>
    <w:rsid w:val="00A01C21"/>
    <w:rsid w:val="00A01C2C"/>
    <w:rsid w:val="00A01C4C"/>
    <w:rsid w:val="00A01C93"/>
    <w:rsid w:val="00A01CBA"/>
    <w:rsid w:val="00A01CBD"/>
    <w:rsid w:val="00A01D24"/>
    <w:rsid w:val="00A01DCD"/>
    <w:rsid w:val="00A01E2B"/>
    <w:rsid w:val="00A01E41"/>
    <w:rsid w:val="00A01E5D"/>
    <w:rsid w:val="00A01EB7"/>
    <w:rsid w:val="00A01EF4"/>
    <w:rsid w:val="00A01F3F"/>
    <w:rsid w:val="00A01F4A"/>
    <w:rsid w:val="00A01F67"/>
    <w:rsid w:val="00A01FA5"/>
    <w:rsid w:val="00A01FA6"/>
    <w:rsid w:val="00A01FB1"/>
    <w:rsid w:val="00A01FD4"/>
    <w:rsid w:val="00A02026"/>
    <w:rsid w:val="00A02083"/>
    <w:rsid w:val="00A020B8"/>
    <w:rsid w:val="00A02101"/>
    <w:rsid w:val="00A02129"/>
    <w:rsid w:val="00A02169"/>
    <w:rsid w:val="00A02183"/>
    <w:rsid w:val="00A021B0"/>
    <w:rsid w:val="00A021BB"/>
    <w:rsid w:val="00A021BF"/>
    <w:rsid w:val="00A021E7"/>
    <w:rsid w:val="00A02206"/>
    <w:rsid w:val="00A02281"/>
    <w:rsid w:val="00A022B7"/>
    <w:rsid w:val="00A022C3"/>
    <w:rsid w:val="00A02370"/>
    <w:rsid w:val="00A0238C"/>
    <w:rsid w:val="00A02399"/>
    <w:rsid w:val="00A023AA"/>
    <w:rsid w:val="00A023BF"/>
    <w:rsid w:val="00A023C4"/>
    <w:rsid w:val="00A02425"/>
    <w:rsid w:val="00A02431"/>
    <w:rsid w:val="00A0246C"/>
    <w:rsid w:val="00A02478"/>
    <w:rsid w:val="00A024C5"/>
    <w:rsid w:val="00A024F4"/>
    <w:rsid w:val="00A025A2"/>
    <w:rsid w:val="00A0260C"/>
    <w:rsid w:val="00A0263E"/>
    <w:rsid w:val="00A02654"/>
    <w:rsid w:val="00A02669"/>
    <w:rsid w:val="00A0266C"/>
    <w:rsid w:val="00A0267C"/>
    <w:rsid w:val="00A02684"/>
    <w:rsid w:val="00A026DE"/>
    <w:rsid w:val="00A026E2"/>
    <w:rsid w:val="00A026ED"/>
    <w:rsid w:val="00A027E9"/>
    <w:rsid w:val="00A027F1"/>
    <w:rsid w:val="00A027FA"/>
    <w:rsid w:val="00A02833"/>
    <w:rsid w:val="00A0286E"/>
    <w:rsid w:val="00A02888"/>
    <w:rsid w:val="00A028B6"/>
    <w:rsid w:val="00A028E4"/>
    <w:rsid w:val="00A0296B"/>
    <w:rsid w:val="00A0296D"/>
    <w:rsid w:val="00A02996"/>
    <w:rsid w:val="00A029DD"/>
    <w:rsid w:val="00A029FD"/>
    <w:rsid w:val="00A02A12"/>
    <w:rsid w:val="00A02A29"/>
    <w:rsid w:val="00A02A32"/>
    <w:rsid w:val="00A02A3C"/>
    <w:rsid w:val="00A02A3E"/>
    <w:rsid w:val="00A02A7A"/>
    <w:rsid w:val="00A02AB6"/>
    <w:rsid w:val="00A02B3F"/>
    <w:rsid w:val="00A02BB2"/>
    <w:rsid w:val="00A02BD1"/>
    <w:rsid w:val="00A02BDA"/>
    <w:rsid w:val="00A02BF7"/>
    <w:rsid w:val="00A02C18"/>
    <w:rsid w:val="00A02C52"/>
    <w:rsid w:val="00A02C5A"/>
    <w:rsid w:val="00A02CC2"/>
    <w:rsid w:val="00A02CED"/>
    <w:rsid w:val="00A02CF6"/>
    <w:rsid w:val="00A02D0A"/>
    <w:rsid w:val="00A02D28"/>
    <w:rsid w:val="00A02D31"/>
    <w:rsid w:val="00A02D6A"/>
    <w:rsid w:val="00A02D6D"/>
    <w:rsid w:val="00A02D77"/>
    <w:rsid w:val="00A02D89"/>
    <w:rsid w:val="00A02D9F"/>
    <w:rsid w:val="00A02DAC"/>
    <w:rsid w:val="00A02DCB"/>
    <w:rsid w:val="00A02DFE"/>
    <w:rsid w:val="00A02E43"/>
    <w:rsid w:val="00A02EB6"/>
    <w:rsid w:val="00A02ECC"/>
    <w:rsid w:val="00A02ED3"/>
    <w:rsid w:val="00A02F15"/>
    <w:rsid w:val="00A02F75"/>
    <w:rsid w:val="00A02F90"/>
    <w:rsid w:val="00A02FC5"/>
    <w:rsid w:val="00A02FD5"/>
    <w:rsid w:val="00A03006"/>
    <w:rsid w:val="00A0300B"/>
    <w:rsid w:val="00A03068"/>
    <w:rsid w:val="00A0306A"/>
    <w:rsid w:val="00A0306D"/>
    <w:rsid w:val="00A03086"/>
    <w:rsid w:val="00A0308A"/>
    <w:rsid w:val="00A030CB"/>
    <w:rsid w:val="00A030D6"/>
    <w:rsid w:val="00A03122"/>
    <w:rsid w:val="00A03186"/>
    <w:rsid w:val="00A031A1"/>
    <w:rsid w:val="00A031A7"/>
    <w:rsid w:val="00A031E1"/>
    <w:rsid w:val="00A031EC"/>
    <w:rsid w:val="00A031FA"/>
    <w:rsid w:val="00A031FF"/>
    <w:rsid w:val="00A032C7"/>
    <w:rsid w:val="00A03357"/>
    <w:rsid w:val="00A03382"/>
    <w:rsid w:val="00A03384"/>
    <w:rsid w:val="00A0339C"/>
    <w:rsid w:val="00A033A0"/>
    <w:rsid w:val="00A033D2"/>
    <w:rsid w:val="00A03409"/>
    <w:rsid w:val="00A03417"/>
    <w:rsid w:val="00A0343E"/>
    <w:rsid w:val="00A034F6"/>
    <w:rsid w:val="00A03556"/>
    <w:rsid w:val="00A03599"/>
    <w:rsid w:val="00A035AF"/>
    <w:rsid w:val="00A035B2"/>
    <w:rsid w:val="00A035B4"/>
    <w:rsid w:val="00A035E9"/>
    <w:rsid w:val="00A03619"/>
    <w:rsid w:val="00A0362A"/>
    <w:rsid w:val="00A036EF"/>
    <w:rsid w:val="00A036F9"/>
    <w:rsid w:val="00A0370E"/>
    <w:rsid w:val="00A03731"/>
    <w:rsid w:val="00A03736"/>
    <w:rsid w:val="00A0375F"/>
    <w:rsid w:val="00A0376B"/>
    <w:rsid w:val="00A037A5"/>
    <w:rsid w:val="00A037EF"/>
    <w:rsid w:val="00A037FC"/>
    <w:rsid w:val="00A03804"/>
    <w:rsid w:val="00A0382D"/>
    <w:rsid w:val="00A03839"/>
    <w:rsid w:val="00A038CA"/>
    <w:rsid w:val="00A038F9"/>
    <w:rsid w:val="00A03908"/>
    <w:rsid w:val="00A03939"/>
    <w:rsid w:val="00A039BC"/>
    <w:rsid w:val="00A039F8"/>
    <w:rsid w:val="00A03A51"/>
    <w:rsid w:val="00A03A54"/>
    <w:rsid w:val="00A03A98"/>
    <w:rsid w:val="00A03AC8"/>
    <w:rsid w:val="00A03B9D"/>
    <w:rsid w:val="00A03BF2"/>
    <w:rsid w:val="00A03C5C"/>
    <w:rsid w:val="00A03CA3"/>
    <w:rsid w:val="00A03CC0"/>
    <w:rsid w:val="00A03CDA"/>
    <w:rsid w:val="00A03CDD"/>
    <w:rsid w:val="00A03D56"/>
    <w:rsid w:val="00A03D69"/>
    <w:rsid w:val="00A03D85"/>
    <w:rsid w:val="00A03DCA"/>
    <w:rsid w:val="00A03E9A"/>
    <w:rsid w:val="00A03EA2"/>
    <w:rsid w:val="00A03F17"/>
    <w:rsid w:val="00A03F18"/>
    <w:rsid w:val="00A03F24"/>
    <w:rsid w:val="00A03F76"/>
    <w:rsid w:val="00A03FE2"/>
    <w:rsid w:val="00A04011"/>
    <w:rsid w:val="00A04020"/>
    <w:rsid w:val="00A0405E"/>
    <w:rsid w:val="00A04080"/>
    <w:rsid w:val="00A04082"/>
    <w:rsid w:val="00A04091"/>
    <w:rsid w:val="00A040D7"/>
    <w:rsid w:val="00A04111"/>
    <w:rsid w:val="00A04130"/>
    <w:rsid w:val="00A04182"/>
    <w:rsid w:val="00A04197"/>
    <w:rsid w:val="00A041B1"/>
    <w:rsid w:val="00A041CE"/>
    <w:rsid w:val="00A041EE"/>
    <w:rsid w:val="00A0420C"/>
    <w:rsid w:val="00A04245"/>
    <w:rsid w:val="00A04291"/>
    <w:rsid w:val="00A04294"/>
    <w:rsid w:val="00A042A4"/>
    <w:rsid w:val="00A042BC"/>
    <w:rsid w:val="00A04303"/>
    <w:rsid w:val="00A04368"/>
    <w:rsid w:val="00A0439F"/>
    <w:rsid w:val="00A043A5"/>
    <w:rsid w:val="00A043C6"/>
    <w:rsid w:val="00A04414"/>
    <w:rsid w:val="00A04434"/>
    <w:rsid w:val="00A04454"/>
    <w:rsid w:val="00A0447A"/>
    <w:rsid w:val="00A044D6"/>
    <w:rsid w:val="00A044FB"/>
    <w:rsid w:val="00A04530"/>
    <w:rsid w:val="00A04583"/>
    <w:rsid w:val="00A0458C"/>
    <w:rsid w:val="00A04598"/>
    <w:rsid w:val="00A0459B"/>
    <w:rsid w:val="00A04665"/>
    <w:rsid w:val="00A046F1"/>
    <w:rsid w:val="00A04796"/>
    <w:rsid w:val="00A04887"/>
    <w:rsid w:val="00A0488B"/>
    <w:rsid w:val="00A0488C"/>
    <w:rsid w:val="00A048A2"/>
    <w:rsid w:val="00A048B5"/>
    <w:rsid w:val="00A04900"/>
    <w:rsid w:val="00A0495D"/>
    <w:rsid w:val="00A04987"/>
    <w:rsid w:val="00A04988"/>
    <w:rsid w:val="00A049B2"/>
    <w:rsid w:val="00A049CD"/>
    <w:rsid w:val="00A04A10"/>
    <w:rsid w:val="00A04A26"/>
    <w:rsid w:val="00A04A52"/>
    <w:rsid w:val="00A04A78"/>
    <w:rsid w:val="00A04AB9"/>
    <w:rsid w:val="00A04ACD"/>
    <w:rsid w:val="00A04B05"/>
    <w:rsid w:val="00A04BBA"/>
    <w:rsid w:val="00A04BE9"/>
    <w:rsid w:val="00A04C6E"/>
    <w:rsid w:val="00A04C83"/>
    <w:rsid w:val="00A04CBF"/>
    <w:rsid w:val="00A04D57"/>
    <w:rsid w:val="00A04D9C"/>
    <w:rsid w:val="00A04DA7"/>
    <w:rsid w:val="00A04DDA"/>
    <w:rsid w:val="00A04DDC"/>
    <w:rsid w:val="00A04DFE"/>
    <w:rsid w:val="00A04E46"/>
    <w:rsid w:val="00A04EB9"/>
    <w:rsid w:val="00A04EC0"/>
    <w:rsid w:val="00A04EF8"/>
    <w:rsid w:val="00A04EFB"/>
    <w:rsid w:val="00A04F0A"/>
    <w:rsid w:val="00A04F16"/>
    <w:rsid w:val="00A04F7D"/>
    <w:rsid w:val="00A04FA7"/>
    <w:rsid w:val="00A04FE4"/>
    <w:rsid w:val="00A04FF0"/>
    <w:rsid w:val="00A05023"/>
    <w:rsid w:val="00A050D6"/>
    <w:rsid w:val="00A050DA"/>
    <w:rsid w:val="00A050DE"/>
    <w:rsid w:val="00A05100"/>
    <w:rsid w:val="00A05111"/>
    <w:rsid w:val="00A05180"/>
    <w:rsid w:val="00A051BA"/>
    <w:rsid w:val="00A0523D"/>
    <w:rsid w:val="00A05275"/>
    <w:rsid w:val="00A052A6"/>
    <w:rsid w:val="00A052EC"/>
    <w:rsid w:val="00A0534F"/>
    <w:rsid w:val="00A05377"/>
    <w:rsid w:val="00A05378"/>
    <w:rsid w:val="00A05430"/>
    <w:rsid w:val="00A054B9"/>
    <w:rsid w:val="00A0552A"/>
    <w:rsid w:val="00A0553B"/>
    <w:rsid w:val="00A05568"/>
    <w:rsid w:val="00A05577"/>
    <w:rsid w:val="00A0558E"/>
    <w:rsid w:val="00A05594"/>
    <w:rsid w:val="00A055DE"/>
    <w:rsid w:val="00A05655"/>
    <w:rsid w:val="00A05677"/>
    <w:rsid w:val="00A056C7"/>
    <w:rsid w:val="00A056E2"/>
    <w:rsid w:val="00A05711"/>
    <w:rsid w:val="00A0576B"/>
    <w:rsid w:val="00A057C9"/>
    <w:rsid w:val="00A057EC"/>
    <w:rsid w:val="00A057FC"/>
    <w:rsid w:val="00A0582E"/>
    <w:rsid w:val="00A0584C"/>
    <w:rsid w:val="00A0589E"/>
    <w:rsid w:val="00A058B9"/>
    <w:rsid w:val="00A058BB"/>
    <w:rsid w:val="00A058D4"/>
    <w:rsid w:val="00A058E1"/>
    <w:rsid w:val="00A05916"/>
    <w:rsid w:val="00A0591F"/>
    <w:rsid w:val="00A05948"/>
    <w:rsid w:val="00A059C4"/>
    <w:rsid w:val="00A05AAE"/>
    <w:rsid w:val="00A05AD3"/>
    <w:rsid w:val="00A05AEA"/>
    <w:rsid w:val="00A05AF1"/>
    <w:rsid w:val="00A05B50"/>
    <w:rsid w:val="00A05B70"/>
    <w:rsid w:val="00A05BB8"/>
    <w:rsid w:val="00A05BBC"/>
    <w:rsid w:val="00A05C00"/>
    <w:rsid w:val="00A05C26"/>
    <w:rsid w:val="00A05C60"/>
    <w:rsid w:val="00A05C80"/>
    <w:rsid w:val="00A05D24"/>
    <w:rsid w:val="00A05D48"/>
    <w:rsid w:val="00A05D50"/>
    <w:rsid w:val="00A05D54"/>
    <w:rsid w:val="00A05D77"/>
    <w:rsid w:val="00A05D8B"/>
    <w:rsid w:val="00A05D9E"/>
    <w:rsid w:val="00A05DA5"/>
    <w:rsid w:val="00A05E2A"/>
    <w:rsid w:val="00A05E57"/>
    <w:rsid w:val="00A05E66"/>
    <w:rsid w:val="00A05E9F"/>
    <w:rsid w:val="00A05EBA"/>
    <w:rsid w:val="00A05F0B"/>
    <w:rsid w:val="00A05F17"/>
    <w:rsid w:val="00A05F4B"/>
    <w:rsid w:val="00A05F7E"/>
    <w:rsid w:val="00A05FBE"/>
    <w:rsid w:val="00A05FC3"/>
    <w:rsid w:val="00A05FDE"/>
    <w:rsid w:val="00A0600A"/>
    <w:rsid w:val="00A0602D"/>
    <w:rsid w:val="00A06030"/>
    <w:rsid w:val="00A06032"/>
    <w:rsid w:val="00A06078"/>
    <w:rsid w:val="00A0618E"/>
    <w:rsid w:val="00A06275"/>
    <w:rsid w:val="00A06289"/>
    <w:rsid w:val="00A062CD"/>
    <w:rsid w:val="00A06319"/>
    <w:rsid w:val="00A06485"/>
    <w:rsid w:val="00A064B8"/>
    <w:rsid w:val="00A064FA"/>
    <w:rsid w:val="00A06540"/>
    <w:rsid w:val="00A06565"/>
    <w:rsid w:val="00A0659C"/>
    <w:rsid w:val="00A065B2"/>
    <w:rsid w:val="00A06611"/>
    <w:rsid w:val="00A06636"/>
    <w:rsid w:val="00A0667A"/>
    <w:rsid w:val="00A06683"/>
    <w:rsid w:val="00A06689"/>
    <w:rsid w:val="00A066B0"/>
    <w:rsid w:val="00A06736"/>
    <w:rsid w:val="00A06756"/>
    <w:rsid w:val="00A06763"/>
    <w:rsid w:val="00A0677F"/>
    <w:rsid w:val="00A0678B"/>
    <w:rsid w:val="00A0679D"/>
    <w:rsid w:val="00A067AF"/>
    <w:rsid w:val="00A067D5"/>
    <w:rsid w:val="00A06823"/>
    <w:rsid w:val="00A06842"/>
    <w:rsid w:val="00A0688D"/>
    <w:rsid w:val="00A06896"/>
    <w:rsid w:val="00A068F7"/>
    <w:rsid w:val="00A06909"/>
    <w:rsid w:val="00A06954"/>
    <w:rsid w:val="00A069B9"/>
    <w:rsid w:val="00A069C0"/>
    <w:rsid w:val="00A069CA"/>
    <w:rsid w:val="00A069D7"/>
    <w:rsid w:val="00A06A38"/>
    <w:rsid w:val="00A06A8D"/>
    <w:rsid w:val="00A06AB8"/>
    <w:rsid w:val="00A06AD9"/>
    <w:rsid w:val="00A06B78"/>
    <w:rsid w:val="00A06BDB"/>
    <w:rsid w:val="00A06C27"/>
    <w:rsid w:val="00A06C9F"/>
    <w:rsid w:val="00A06CD2"/>
    <w:rsid w:val="00A06D21"/>
    <w:rsid w:val="00A06D38"/>
    <w:rsid w:val="00A06D47"/>
    <w:rsid w:val="00A06D63"/>
    <w:rsid w:val="00A06D98"/>
    <w:rsid w:val="00A06DC0"/>
    <w:rsid w:val="00A06DC1"/>
    <w:rsid w:val="00A06EE4"/>
    <w:rsid w:val="00A06F04"/>
    <w:rsid w:val="00A06F14"/>
    <w:rsid w:val="00A06F47"/>
    <w:rsid w:val="00A06F48"/>
    <w:rsid w:val="00A06F5E"/>
    <w:rsid w:val="00A06FBC"/>
    <w:rsid w:val="00A06FC4"/>
    <w:rsid w:val="00A07000"/>
    <w:rsid w:val="00A07008"/>
    <w:rsid w:val="00A07029"/>
    <w:rsid w:val="00A07030"/>
    <w:rsid w:val="00A07041"/>
    <w:rsid w:val="00A070E8"/>
    <w:rsid w:val="00A07163"/>
    <w:rsid w:val="00A071A6"/>
    <w:rsid w:val="00A071B3"/>
    <w:rsid w:val="00A071D6"/>
    <w:rsid w:val="00A071F6"/>
    <w:rsid w:val="00A071F7"/>
    <w:rsid w:val="00A0736C"/>
    <w:rsid w:val="00A073A8"/>
    <w:rsid w:val="00A073D7"/>
    <w:rsid w:val="00A0740F"/>
    <w:rsid w:val="00A07445"/>
    <w:rsid w:val="00A0748C"/>
    <w:rsid w:val="00A0749B"/>
    <w:rsid w:val="00A074E9"/>
    <w:rsid w:val="00A0751C"/>
    <w:rsid w:val="00A0752F"/>
    <w:rsid w:val="00A07577"/>
    <w:rsid w:val="00A075DD"/>
    <w:rsid w:val="00A07699"/>
    <w:rsid w:val="00A076B8"/>
    <w:rsid w:val="00A076BE"/>
    <w:rsid w:val="00A076D2"/>
    <w:rsid w:val="00A07777"/>
    <w:rsid w:val="00A07783"/>
    <w:rsid w:val="00A077D5"/>
    <w:rsid w:val="00A0784F"/>
    <w:rsid w:val="00A07876"/>
    <w:rsid w:val="00A0787C"/>
    <w:rsid w:val="00A078A0"/>
    <w:rsid w:val="00A078E5"/>
    <w:rsid w:val="00A07977"/>
    <w:rsid w:val="00A07A04"/>
    <w:rsid w:val="00A07A05"/>
    <w:rsid w:val="00A07A56"/>
    <w:rsid w:val="00A07A71"/>
    <w:rsid w:val="00A07A8F"/>
    <w:rsid w:val="00A07AF3"/>
    <w:rsid w:val="00A07AFE"/>
    <w:rsid w:val="00A07B48"/>
    <w:rsid w:val="00A07C7E"/>
    <w:rsid w:val="00A07C91"/>
    <w:rsid w:val="00A07CBB"/>
    <w:rsid w:val="00A07D2E"/>
    <w:rsid w:val="00A07DD5"/>
    <w:rsid w:val="00A07E3D"/>
    <w:rsid w:val="00A07E55"/>
    <w:rsid w:val="00A07EE2"/>
    <w:rsid w:val="00A07F16"/>
    <w:rsid w:val="00A07F1A"/>
    <w:rsid w:val="00A07F88"/>
    <w:rsid w:val="00A07F9F"/>
    <w:rsid w:val="00A07FA9"/>
    <w:rsid w:val="00A07FE0"/>
    <w:rsid w:val="00A08AB9"/>
    <w:rsid w:val="00A100D1"/>
    <w:rsid w:val="00A100D2"/>
    <w:rsid w:val="00A101F2"/>
    <w:rsid w:val="00A10252"/>
    <w:rsid w:val="00A10292"/>
    <w:rsid w:val="00A102AD"/>
    <w:rsid w:val="00A102BD"/>
    <w:rsid w:val="00A10314"/>
    <w:rsid w:val="00A1032B"/>
    <w:rsid w:val="00A1032C"/>
    <w:rsid w:val="00A10390"/>
    <w:rsid w:val="00A103AB"/>
    <w:rsid w:val="00A103C6"/>
    <w:rsid w:val="00A1041A"/>
    <w:rsid w:val="00A1041C"/>
    <w:rsid w:val="00A10444"/>
    <w:rsid w:val="00A1046F"/>
    <w:rsid w:val="00A104A3"/>
    <w:rsid w:val="00A104E1"/>
    <w:rsid w:val="00A1050F"/>
    <w:rsid w:val="00A10594"/>
    <w:rsid w:val="00A105B0"/>
    <w:rsid w:val="00A105EB"/>
    <w:rsid w:val="00A10626"/>
    <w:rsid w:val="00A1064E"/>
    <w:rsid w:val="00A10682"/>
    <w:rsid w:val="00A106F8"/>
    <w:rsid w:val="00A10705"/>
    <w:rsid w:val="00A10714"/>
    <w:rsid w:val="00A10727"/>
    <w:rsid w:val="00A107A9"/>
    <w:rsid w:val="00A10802"/>
    <w:rsid w:val="00A10815"/>
    <w:rsid w:val="00A10858"/>
    <w:rsid w:val="00A108E3"/>
    <w:rsid w:val="00A108EA"/>
    <w:rsid w:val="00A1090E"/>
    <w:rsid w:val="00A10936"/>
    <w:rsid w:val="00A10937"/>
    <w:rsid w:val="00A10950"/>
    <w:rsid w:val="00A1099C"/>
    <w:rsid w:val="00A10A61"/>
    <w:rsid w:val="00A10A64"/>
    <w:rsid w:val="00A10A93"/>
    <w:rsid w:val="00A10A9F"/>
    <w:rsid w:val="00A10C4B"/>
    <w:rsid w:val="00A10CBD"/>
    <w:rsid w:val="00A10CD5"/>
    <w:rsid w:val="00A10D84"/>
    <w:rsid w:val="00A10DBB"/>
    <w:rsid w:val="00A10DC1"/>
    <w:rsid w:val="00A10DDC"/>
    <w:rsid w:val="00A10E0B"/>
    <w:rsid w:val="00A10E0F"/>
    <w:rsid w:val="00A10E20"/>
    <w:rsid w:val="00A10E4E"/>
    <w:rsid w:val="00A10E55"/>
    <w:rsid w:val="00A10E70"/>
    <w:rsid w:val="00A10EC9"/>
    <w:rsid w:val="00A10FA5"/>
    <w:rsid w:val="00A10FB7"/>
    <w:rsid w:val="00A10FF1"/>
    <w:rsid w:val="00A1108C"/>
    <w:rsid w:val="00A1108F"/>
    <w:rsid w:val="00A110C1"/>
    <w:rsid w:val="00A11131"/>
    <w:rsid w:val="00A11139"/>
    <w:rsid w:val="00A1113D"/>
    <w:rsid w:val="00A11144"/>
    <w:rsid w:val="00A11152"/>
    <w:rsid w:val="00A11164"/>
    <w:rsid w:val="00A11199"/>
    <w:rsid w:val="00A111CC"/>
    <w:rsid w:val="00A111EA"/>
    <w:rsid w:val="00A11200"/>
    <w:rsid w:val="00A11266"/>
    <w:rsid w:val="00A1126F"/>
    <w:rsid w:val="00A11277"/>
    <w:rsid w:val="00A112A8"/>
    <w:rsid w:val="00A1131F"/>
    <w:rsid w:val="00A11325"/>
    <w:rsid w:val="00A1132E"/>
    <w:rsid w:val="00A11354"/>
    <w:rsid w:val="00A113A9"/>
    <w:rsid w:val="00A113C1"/>
    <w:rsid w:val="00A113C8"/>
    <w:rsid w:val="00A113DB"/>
    <w:rsid w:val="00A11439"/>
    <w:rsid w:val="00A1147F"/>
    <w:rsid w:val="00A114AF"/>
    <w:rsid w:val="00A114BA"/>
    <w:rsid w:val="00A114BB"/>
    <w:rsid w:val="00A114BC"/>
    <w:rsid w:val="00A114D3"/>
    <w:rsid w:val="00A114F3"/>
    <w:rsid w:val="00A11536"/>
    <w:rsid w:val="00A11537"/>
    <w:rsid w:val="00A11538"/>
    <w:rsid w:val="00A11587"/>
    <w:rsid w:val="00A115BE"/>
    <w:rsid w:val="00A115C2"/>
    <w:rsid w:val="00A115E2"/>
    <w:rsid w:val="00A1167C"/>
    <w:rsid w:val="00A116B5"/>
    <w:rsid w:val="00A116E2"/>
    <w:rsid w:val="00A1172A"/>
    <w:rsid w:val="00A1173A"/>
    <w:rsid w:val="00A11745"/>
    <w:rsid w:val="00A117CA"/>
    <w:rsid w:val="00A117EF"/>
    <w:rsid w:val="00A117F3"/>
    <w:rsid w:val="00A11878"/>
    <w:rsid w:val="00A1187B"/>
    <w:rsid w:val="00A1189C"/>
    <w:rsid w:val="00A118FC"/>
    <w:rsid w:val="00A11913"/>
    <w:rsid w:val="00A1192D"/>
    <w:rsid w:val="00A11947"/>
    <w:rsid w:val="00A11972"/>
    <w:rsid w:val="00A11A04"/>
    <w:rsid w:val="00A11A20"/>
    <w:rsid w:val="00A11A97"/>
    <w:rsid w:val="00A11B21"/>
    <w:rsid w:val="00A11BC3"/>
    <w:rsid w:val="00A11BE8"/>
    <w:rsid w:val="00A11BEA"/>
    <w:rsid w:val="00A11BF9"/>
    <w:rsid w:val="00A11C15"/>
    <w:rsid w:val="00A11C3E"/>
    <w:rsid w:val="00A11C54"/>
    <w:rsid w:val="00A11C9F"/>
    <w:rsid w:val="00A11CE7"/>
    <w:rsid w:val="00A11CE8"/>
    <w:rsid w:val="00A11D69"/>
    <w:rsid w:val="00A11DC8"/>
    <w:rsid w:val="00A11DF0"/>
    <w:rsid w:val="00A11E70"/>
    <w:rsid w:val="00A11EF1"/>
    <w:rsid w:val="00A11EFB"/>
    <w:rsid w:val="00A11F15"/>
    <w:rsid w:val="00A11F2A"/>
    <w:rsid w:val="00A11F2C"/>
    <w:rsid w:val="00A11F4A"/>
    <w:rsid w:val="00A11F54"/>
    <w:rsid w:val="00A11F8E"/>
    <w:rsid w:val="00A11FD3"/>
    <w:rsid w:val="00A12018"/>
    <w:rsid w:val="00A1204D"/>
    <w:rsid w:val="00A12071"/>
    <w:rsid w:val="00A120C3"/>
    <w:rsid w:val="00A120D8"/>
    <w:rsid w:val="00A12196"/>
    <w:rsid w:val="00A121B3"/>
    <w:rsid w:val="00A12248"/>
    <w:rsid w:val="00A12251"/>
    <w:rsid w:val="00A1225F"/>
    <w:rsid w:val="00A1226C"/>
    <w:rsid w:val="00A122C6"/>
    <w:rsid w:val="00A122D3"/>
    <w:rsid w:val="00A122E2"/>
    <w:rsid w:val="00A12322"/>
    <w:rsid w:val="00A123F1"/>
    <w:rsid w:val="00A12435"/>
    <w:rsid w:val="00A12497"/>
    <w:rsid w:val="00A124E5"/>
    <w:rsid w:val="00A124F5"/>
    <w:rsid w:val="00A1250B"/>
    <w:rsid w:val="00A12519"/>
    <w:rsid w:val="00A12545"/>
    <w:rsid w:val="00A12566"/>
    <w:rsid w:val="00A12568"/>
    <w:rsid w:val="00A12589"/>
    <w:rsid w:val="00A1259F"/>
    <w:rsid w:val="00A125A5"/>
    <w:rsid w:val="00A125C3"/>
    <w:rsid w:val="00A125E3"/>
    <w:rsid w:val="00A125F0"/>
    <w:rsid w:val="00A12643"/>
    <w:rsid w:val="00A12666"/>
    <w:rsid w:val="00A12671"/>
    <w:rsid w:val="00A12686"/>
    <w:rsid w:val="00A12689"/>
    <w:rsid w:val="00A1268A"/>
    <w:rsid w:val="00A1269C"/>
    <w:rsid w:val="00A12759"/>
    <w:rsid w:val="00A1275B"/>
    <w:rsid w:val="00A1276E"/>
    <w:rsid w:val="00A1279F"/>
    <w:rsid w:val="00A127A5"/>
    <w:rsid w:val="00A1282B"/>
    <w:rsid w:val="00A12854"/>
    <w:rsid w:val="00A12863"/>
    <w:rsid w:val="00A128C1"/>
    <w:rsid w:val="00A128CD"/>
    <w:rsid w:val="00A12960"/>
    <w:rsid w:val="00A12968"/>
    <w:rsid w:val="00A1297E"/>
    <w:rsid w:val="00A129B6"/>
    <w:rsid w:val="00A129EF"/>
    <w:rsid w:val="00A129F1"/>
    <w:rsid w:val="00A12A07"/>
    <w:rsid w:val="00A12A4E"/>
    <w:rsid w:val="00A12B6A"/>
    <w:rsid w:val="00A12C08"/>
    <w:rsid w:val="00A12C4D"/>
    <w:rsid w:val="00A12C75"/>
    <w:rsid w:val="00A12C78"/>
    <w:rsid w:val="00A12C7F"/>
    <w:rsid w:val="00A12C9B"/>
    <w:rsid w:val="00A12CBA"/>
    <w:rsid w:val="00A12CBF"/>
    <w:rsid w:val="00A12D1E"/>
    <w:rsid w:val="00A12D79"/>
    <w:rsid w:val="00A12DA1"/>
    <w:rsid w:val="00A12E50"/>
    <w:rsid w:val="00A12E79"/>
    <w:rsid w:val="00A12E8A"/>
    <w:rsid w:val="00A12E8F"/>
    <w:rsid w:val="00A12EC9"/>
    <w:rsid w:val="00A12EEA"/>
    <w:rsid w:val="00A12F28"/>
    <w:rsid w:val="00A12F41"/>
    <w:rsid w:val="00A12F98"/>
    <w:rsid w:val="00A12FA6"/>
    <w:rsid w:val="00A12FE2"/>
    <w:rsid w:val="00A13005"/>
    <w:rsid w:val="00A13016"/>
    <w:rsid w:val="00A1312C"/>
    <w:rsid w:val="00A1313D"/>
    <w:rsid w:val="00A1319D"/>
    <w:rsid w:val="00A131D3"/>
    <w:rsid w:val="00A131E5"/>
    <w:rsid w:val="00A131E7"/>
    <w:rsid w:val="00A13223"/>
    <w:rsid w:val="00A13255"/>
    <w:rsid w:val="00A1327C"/>
    <w:rsid w:val="00A13304"/>
    <w:rsid w:val="00A1331C"/>
    <w:rsid w:val="00A13325"/>
    <w:rsid w:val="00A13365"/>
    <w:rsid w:val="00A1340F"/>
    <w:rsid w:val="00A13411"/>
    <w:rsid w:val="00A1346B"/>
    <w:rsid w:val="00A134B6"/>
    <w:rsid w:val="00A13501"/>
    <w:rsid w:val="00A1350C"/>
    <w:rsid w:val="00A135FD"/>
    <w:rsid w:val="00A13609"/>
    <w:rsid w:val="00A1361C"/>
    <w:rsid w:val="00A1362F"/>
    <w:rsid w:val="00A13663"/>
    <w:rsid w:val="00A136BA"/>
    <w:rsid w:val="00A136CC"/>
    <w:rsid w:val="00A136D5"/>
    <w:rsid w:val="00A13710"/>
    <w:rsid w:val="00A1373B"/>
    <w:rsid w:val="00A1374A"/>
    <w:rsid w:val="00A13765"/>
    <w:rsid w:val="00A137E3"/>
    <w:rsid w:val="00A137F8"/>
    <w:rsid w:val="00A1381E"/>
    <w:rsid w:val="00A13838"/>
    <w:rsid w:val="00A1386F"/>
    <w:rsid w:val="00A138B6"/>
    <w:rsid w:val="00A13918"/>
    <w:rsid w:val="00A1392B"/>
    <w:rsid w:val="00A13954"/>
    <w:rsid w:val="00A1395B"/>
    <w:rsid w:val="00A13963"/>
    <w:rsid w:val="00A139A5"/>
    <w:rsid w:val="00A139BB"/>
    <w:rsid w:val="00A139CB"/>
    <w:rsid w:val="00A139E4"/>
    <w:rsid w:val="00A139EB"/>
    <w:rsid w:val="00A13A03"/>
    <w:rsid w:val="00A13A11"/>
    <w:rsid w:val="00A13AA9"/>
    <w:rsid w:val="00A13AB1"/>
    <w:rsid w:val="00A13AC0"/>
    <w:rsid w:val="00A13AE3"/>
    <w:rsid w:val="00A13B09"/>
    <w:rsid w:val="00A13B2B"/>
    <w:rsid w:val="00A13B74"/>
    <w:rsid w:val="00A13B91"/>
    <w:rsid w:val="00A13BC5"/>
    <w:rsid w:val="00A13BCC"/>
    <w:rsid w:val="00A13BFD"/>
    <w:rsid w:val="00A13C11"/>
    <w:rsid w:val="00A13C51"/>
    <w:rsid w:val="00A13CB0"/>
    <w:rsid w:val="00A13DBF"/>
    <w:rsid w:val="00A13DF4"/>
    <w:rsid w:val="00A13E43"/>
    <w:rsid w:val="00A13E8C"/>
    <w:rsid w:val="00A13EAC"/>
    <w:rsid w:val="00A13F2E"/>
    <w:rsid w:val="00A13F37"/>
    <w:rsid w:val="00A13F51"/>
    <w:rsid w:val="00A13F78"/>
    <w:rsid w:val="00A13FFF"/>
    <w:rsid w:val="00A1404D"/>
    <w:rsid w:val="00A14098"/>
    <w:rsid w:val="00A14160"/>
    <w:rsid w:val="00A14169"/>
    <w:rsid w:val="00A14187"/>
    <w:rsid w:val="00A14193"/>
    <w:rsid w:val="00A1422B"/>
    <w:rsid w:val="00A14237"/>
    <w:rsid w:val="00A14254"/>
    <w:rsid w:val="00A14288"/>
    <w:rsid w:val="00A14322"/>
    <w:rsid w:val="00A14351"/>
    <w:rsid w:val="00A1438F"/>
    <w:rsid w:val="00A143B1"/>
    <w:rsid w:val="00A143B3"/>
    <w:rsid w:val="00A143E1"/>
    <w:rsid w:val="00A143FA"/>
    <w:rsid w:val="00A1440C"/>
    <w:rsid w:val="00A1441E"/>
    <w:rsid w:val="00A14435"/>
    <w:rsid w:val="00A1444A"/>
    <w:rsid w:val="00A144A0"/>
    <w:rsid w:val="00A144B5"/>
    <w:rsid w:val="00A144C3"/>
    <w:rsid w:val="00A1450D"/>
    <w:rsid w:val="00A14522"/>
    <w:rsid w:val="00A1453C"/>
    <w:rsid w:val="00A145BE"/>
    <w:rsid w:val="00A145ED"/>
    <w:rsid w:val="00A1462A"/>
    <w:rsid w:val="00A1462E"/>
    <w:rsid w:val="00A1465B"/>
    <w:rsid w:val="00A14671"/>
    <w:rsid w:val="00A14678"/>
    <w:rsid w:val="00A14686"/>
    <w:rsid w:val="00A146D5"/>
    <w:rsid w:val="00A14737"/>
    <w:rsid w:val="00A14840"/>
    <w:rsid w:val="00A1484B"/>
    <w:rsid w:val="00A1487D"/>
    <w:rsid w:val="00A14884"/>
    <w:rsid w:val="00A14919"/>
    <w:rsid w:val="00A14933"/>
    <w:rsid w:val="00A14963"/>
    <w:rsid w:val="00A1498C"/>
    <w:rsid w:val="00A14998"/>
    <w:rsid w:val="00A149CA"/>
    <w:rsid w:val="00A149E1"/>
    <w:rsid w:val="00A149E5"/>
    <w:rsid w:val="00A149F2"/>
    <w:rsid w:val="00A14A03"/>
    <w:rsid w:val="00A14A0F"/>
    <w:rsid w:val="00A14AC6"/>
    <w:rsid w:val="00A14B44"/>
    <w:rsid w:val="00A14B8C"/>
    <w:rsid w:val="00A14C26"/>
    <w:rsid w:val="00A14C2E"/>
    <w:rsid w:val="00A14C30"/>
    <w:rsid w:val="00A14C39"/>
    <w:rsid w:val="00A14C5F"/>
    <w:rsid w:val="00A14CB7"/>
    <w:rsid w:val="00A14D83"/>
    <w:rsid w:val="00A14D84"/>
    <w:rsid w:val="00A14DBD"/>
    <w:rsid w:val="00A14DC0"/>
    <w:rsid w:val="00A14DE5"/>
    <w:rsid w:val="00A14E60"/>
    <w:rsid w:val="00A14E71"/>
    <w:rsid w:val="00A14EC1"/>
    <w:rsid w:val="00A14F15"/>
    <w:rsid w:val="00A14F1C"/>
    <w:rsid w:val="00A14F21"/>
    <w:rsid w:val="00A14F65"/>
    <w:rsid w:val="00A14F76"/>
    <w:rsid w:val="00A14FA4"/>
    <w:rsid w:val="00A1502A"/>
    <w:rsid w:val="00A15043"/>
    <w:rsid w:val="00A1508F"/>
    <w:rsid w:val="00A1509E"/>
    <w:rsid w:val="00A1509F"/>
    <w:rsid w:val="00A150A8"/>
    <w:rsid w:val="00A150DF"/>
    <w:rsid w:val="00A150EB"/>
    <w:rsid w:val="00A150EF"/>
    <w:rsid w:val="00A150FF"/>
    <w:rsid w:val="00A1513D"/>
    <w:rsid w:val="00A1513F"/>
    <w:rsid w:val="00A15180"/>
    <w:rsid w:val="00A15193"/>
    <w:rsid w:val="00A1519D"/>
    <w:rsid w:val="00A151F5"/>
    <w:rsid w:val="00A15207"/>
    <w:rsid w:val="00A15246"/>
    <w:rsid w:val="00A15250"/>
    <w:rsid w:val="00A15252"/>
    <w:rsid w:val="00A1527A"/>
    <w:rsid w:val="00A15294"/>
    <w:rsid w:val="00A152EE"/>
    <w:rsid w:val="00A1532A"/>
    <w:rsid w:val="00A15366"/>
    <w:rsid w:val="00A1536F"/>
    <w:rsid w:val="00A15412"/>
    <w:rsid w:val="00A154D4"/>
    <w:rsid w:val="00A15522"/>
    <w:rsid w:val="00A1555E"/>
    <w:rsid w:val="00A155E8"/>
    <w:rsid w:val="00A1561F"/>
    <w:rsid w:val="00A1562D"/>
    <w:rsid w:val="00A1563D"/>
    <w:rsid w:val="00A156A4"/>
    <w:rsid w:val="00A156B9"/>
    <w:rsid w:val="00A156BB"/>
    <w:rsid w:val="00A156E2"/>
    <w:rsid w:val="00A15720"/>
    <w:rsid w:val="00A157C6"/>
    <w:rsid w:val="00A157D1"/>
    <w:rsid w:val="00A157D3"/>
    <w:rsid w:val="00A15842"/>
    <w:rsid w:val="00A15843"/>
    <w:rsid w:val="00A1586C"/>
    <w:rsid w:val="00A158B4"/>
    <w:rsid w:val="00A158C5"/>
    <w:rsid w:val="00A1599B"/>
    <w:rsid w:val="00A159AA"/>
    <w:rsid w:val="00A159DF"/>
    <w:rsid w:val="00A15A15"/>
    <w:rsid w:val="00A15A61"/>
    <w:rsid w:val="00A15A7E"/>
    <w:rsid w:val="00A15AB3"/>
    <w:rsid w:val="00A15ADD"/>
    <w:rsid w:val="00A15B7E"/>
    <w:rsid w:val="00A15B82"/>
    <w:rsid w:val="00A15BA5"/>
    <w:rsid w:val="00A15C00"/>
    <w:rsid w:val="00A15C19"/>
    <w:rsid w:val="00A15C3A"/>
    <w:rsid w:val="00A15C3C"/>
    <w:rsid w:val="00A15CE6"/>
    <w:rsid w:val="00A15D04"/>
    <w:rsid w:val="00A15D73"/>
    <w:rsid w:val="00A15D7B"/>
    <w:rsid w:val="00A15DB3"/>
    <w:rsid w:val="00A15DFB"/>
    <w:rsid w:val="00A15E00"/>
    <w:rsid w:val="00A15E0A"/>
    <w:rsid w:val="00A15E45"/>
    <w:rsid w:val="00A15E52"/>
    <w:rsid w:val="00A15F9E"/>
    <w:rsid w:val="00A15FB5"/>
    <w:rsid w:val="00A16000"/>
    <w:rsid w:val="00A16002"/>
    <w:rsid w:val="00A16004"/>
    <w:rsid w:val="00A1600C"/>
    <w:rsid w:val="00A1602D"/>
    <w:rsid w:val="00A16049"/>
    <w:rsid w:val="00A160CE"/>
    <w:rsid w:val="00A1610D"/>
    <w:rsid w:val="00A16115"/>
    <w:rsid w:val="00A1613F"/>
    <w:rsid w:val="00A1617B"/>
    <w:rsid w:val="00A1618B"/>
    <w:rsid w:val="00A1618D"/>
    <w:rsid w:val="00A161C1"/>
    <w:rsid w:val="00A1621C"/>
    <w:rsid w:val="00A16252"/>
    <w:rsid w:val="00A16274"/>
    <w:rsid w:val="00A162CC"/>
    <w:rsid w:val="00A162D6"/>
    <w:rsid w:val="00A1631C"/>
    <w:rsid w:val="00A16367"/>
    <w:rsid w:val="00A163CC"/>
    <w:rsid w:val="00A1646D"/>
    <w:rsid w:val="00A164C9"/>
    <w:rsid w:val="00A164DD"/>
    <w:rsid w:val="00A16577"/>
    <w:rsid w:val="00A16579"/>
    <w:rsid w:val="00A165C4"/>
    <w:rsid w:val="00A165F6"/>
    <w:rsid w:val="00A166C4"/>
    <w:rsid w:val="00A166F3"/>
    <w:rsid w:val="00A16700"/>
    <w:rsid w:val="00A16711"/>
    <w:rsid w:val="00A16731"/>
    <w:rsid w:val="00A1677B"/>
    <w:rsid w:val="00A167CA"/>
    <w:rsid w:val="00A167F1"/>
    <w:rsid w:val="00A16806"/>
    <w:rsid w:val="00A16854"/>
    <w:rsid w:val="00A16864"/>
    <w:rsid w:val="00A1686A"/>
    <w:rsid w:val="00A1686D"/>
    <w:rsid w:val="00A16896"/>
    <w:rsid w:val="00A16916"/>
    <w:rsid w:val="00A1691E"/>
    <w:rsid w:val="00A16945"/>
    <w:rsid w:val="00A169B3"/>
    <w:rsid w:val="00A169E0"/>
    <w:rsid w:val="00A16A06"/>
    <w:rsid w:val="00A16A17"/>
    <w:rsid w:val="00A16A22"/>
    <w:rsid w:val="00A16A41"/>
    <w:rsid w:val="00A16AB6"/>
    <w:rsid w:val="00A16ACB"/>
    <w:rsid w:val="00A16B0F"/>
    <w:rsid w:val="00A16B27"/>
    <w:rsid w:val="00A16B31"/>
    <w:rsid w:val="00A16BDE"/>
    <w:rsid w:val="00A16BE7"/>
    <w:rsid w:val="00A16BF5"/>
    <w:rsid w:val="00A16BFD"/>
    <w:rsid w:val="00A16C66"/>
    <w:rsid w:val="00A16CAC"/>
    <w:rsid w:val="00A16CC5"/>
    <w:rsid w:val="00A16CD1"/>
    <w:rsid w:val="00A16CDE"/>
    <w:rsid w:val="00A16D39"/>
    <w:rsid w:val="00A16D95"/>
    <w:rsid w:val="00A16D97"/>
    <w:rsid w:val="00A16E27"/>
    <w:rsid w:val="00A16E3B"/>
    <w:rsid w:val="00A16E52"/>
    <w:rsid w:val="00A16E6A"/>
    <w:rsid w:val="00A16E89"/>
    <w:rsid w:val="00A16E9E"/>
    <w:rsid w:val="00A16EB5"/>
    <w:rsid w:val="00A16ECD"/>
    <w:rsid w:val="00A16EDC"/>
    <w:rsid w:val="00A16EDE"/>
    <w:rsid w:val="00A16F0E"/>
    <w:rsid w:val="00A16F35"/>
    <w:rsid w:val="00A16F57"/>
    <w:rsid w:val="00A16F5B"/>
    <w:rsid w:val="00A16FD5"/>
    <w:rsid w:val="00A1704C"/>
    <w:rsid w:val="00A1705A"/>
    <w:rsid w:val="00A17067"/>
    <w:rsid w:val="00A1707B"/>
    <w:rsid w:val="00A17089"/>
    <w:rsid w:val="00A170B5"/>
    <w:rsid w:val="00A17135"/>
    <w:rsid w:val="00A1717B"/>
    <w:rsid w:val="00A1719D"/>
    <w:rsid w:val="00A171C5"/>
    <w:rsid w:val="00A1723F"/>
    <w:rsid w:val="00A17290"/>
    <w:rsid w:val="00A17327"/>
    <w:rsid w:val="00A17419"/>
    <w:rsid w:val="00A17481"/>
    <w:rsid w:val="00A1748A"/>
    <w:rsid w:val="00A174F2"/>
    <w:rsid w:val="00A17503"/>
    <w:rsid w:val="00A1750F"/>
    <w:rsid w:val="00A1751B"/>
    <w:rsid w:val="00A1752A"/>
    <w:rsid w:val="00A17574"/>
    <w:rsid w:val="00A17598"/>
    <w:rsid w:val="00A175FD"/>
    <w:rsid w:val="00A1763F"/>
    <w:rsid w:val="00A17691"/>
    <w:rsid w:val="00A1770F"/>
    <w:rsid w:val="00A1772D"/>
    <w:rsid w:val="00A17761"/>
    <w:rsid w:val="00A177CF"/>
    <w:rsid w:val="00A177D4"/>
    <w:rsid w:val="00A177D5"/>
    <w:rsid w:val="00A17817"/>
    <w:rsid w:val="00A178BE"/>
    <w:rsid w:val="00A17931"/>
    <w:rsid w:val="00A17943"/>
    <w:rsid w:val="00A17957"/>
    <w:rsid w:val="00A17984"/>
    <w:rsid w:val="00A17A03"/>
    <w:rsid w:val="00A17A2D"/>
    <w:rsid w:val="00A17A6C"/>
    <w:rsid w:val="00A17A96"/>
    <w:rsid w:val="00A17AB5"/>
    <w:rsid w:val="00A17B26"/>
    <w:rsid w:val="00A17B28"/>
    <w:rsid w:val="00A17B44"/>
    <w:rsid w:val="00A17B76"/>
    <w:rsid w:val="00A17B77"/>
    <w:rsid w:val="00A17BAD"/>
    <w:rsid w:val="00A17BEF"/>
    <w:rsid w:val="00A17BFA"/>
    <w:rsid w:val="00A17BFC"/>
    <w:rsid w:val="00A17C6D"/>
    <w:rsid w:val="00A17CAE"/>
    <w:rsid w:val="00A17CBF"/>
    <w:rsid w:val="00A17D52"/>
    <w:rsid w:val="00A17DF8"/>
    <w:rsid w:val="00A17E01"/>
    <w:rsid w:val="00A17E87"/>
    <w:rsid w:val="00A17EB2"/>
    <w:rsid w:val="00A17F65"/>
    <w:rsid w:val="00A17FA2"/>
    <w:rsid w:val="00A17FD2"/>
    <w:rsid w:val="00A1C1D4"/>
    <w:rsid w:val="00A1CD55"/>
    <w:rsid w:val="00A1DC66"/>
    <w:rsid w:val="00A1E5C7"/>
    <w:rsid w:val="00A2003F"/>
    <w:rsid w:val="00A2017A"/>
    <w:rsid w:val="00A2018B"/>
    <w:rsid w:val="00A2018F"/>
    <w:rsid w:val="00A2019A"/>
    <w:rsid w:val="00A2020D"/>
    <w:rsid w:val="00A2024E"/>
    <w:rsid w:val="00A20261"/>
    <w:rsid w:val="00A20268"/>
    <w:rsid w:val="00A202C0"/>
    <w:rsid w:val="00A20311"/>
    <w:rsid w:val="00A20316"/>
    <w:rsid w:val="00A2036C"/>
    <w:rsid w:val="00A203B6"/>
    <w:rsid w:val="00A2042B"/>
    <w:rsid w:val="00A20453"/>
    <w:rsid w:val="00A20467"/>
    <w:rsid w:val="00A2046D"/>
    <w:rsid w:val="00A20486"/>
    <w:rsid w:val="00A204A6"/>
    <w:rsid w:val="00A204F6"/>
    <w:rsid w:val="00A2052A"/>
    <w:rsid w:val="00A20542"/>
    <w:rsid w:val="00A20551"/>
    <w:rsid w:val="00A205A1"/>
    <w:rsid w:val="00A205AA"/>
    <w:rsid w:val="00A205BD"/>
    <w:rsid w:val="00A205EE"/>
    <w:rsid w:val="00A205F3"/>
    <w:rsid w:val="00A2068A"/>
    <w:rsid w:val="00A20696"/>
    <w:rsid w:val="00A206A2"/>
    <w:rsid w:val="00A20803"/>
    <w:rsid w:val="00A20852"/>
    <w:rsid w:val="00A208AF"/>
    <w:rsid w:val="00A20935"/>
    <w:rsid w:val="00A20A14"/>
    <w:rsid w:val="00A20A17"/>
    <w:rsid w:val="00A20AE9"/>
    <w:rsid w:val="00A20B16"/>
    <w:rsid w:val="00A20B7B"/>
    <w:rsid w:val="00A20BA7"/>
    <w:rsid w:val="00A20BAD"/>
    <w:rsid w:val="00A20CC1"/>
    <w:rsid w:val="00A20CF6"/>
    <w:rsid w:val="00A20D14"/>
    <w:rsid w:val="00A20D2E"/>
    <w:rsid w:val="00A20D60"/>
    <w:rsid w:val="00A20D8F"/>
    <w:rsid w:val="00A20E45"/>
    <w:rsid w:val="00A20EA4"/>
    <w:rsid w:val="00A20FB0"/>
    <w:rsid w:val="00A2102B"/>
    <w:rsid w:val="00A210A6"/>
    <w:rsid w:val="00A210D4"/>
    <w:rsid w:val="00A210DE"/>
    <w:rsid w:val="00A210DF"/>
    <w:rsid w:val="00A210E8"/>
    <w:rsid w:val="00A2116A"/>
    <w:rsid w:val="00A21176"/>
    <w:rsid w:val="00A21193"/>
    <w:rsid w:val="00A211B3"/>
    <w:rsid w:val="00A211D3"/>
    <w:rsid w:val="00A211D8"/>
    <w:rsid w:val="00A211F9"/>
    <w:rsid w:val="00A21275"/>
    <w:rsid w:val="00A212BF"/>
    <w:rsid w:val="00A21301"/>
    <w:rsid w:val="00A21302"/>
    <w:rsid w:val="00A21308"/>
    <w:rsid w:val="00A21314"/>
    <w:rsid w:val="00A21318"/>
    <w:rsid w:val="00A21330"/>
    <w:rsid w:val="00A21394"/>
    <w:rsid w:val="00A213BC"/>
    <w:rsid w:val="00A213EE"/>
    <w:rsid w:val="00A21427"/>
    <w:rsid w:val="00A2144D"/>
    <w:rsid w:val="00A21567"/>
    <w:rsid w:val="00A215A8"/>
    <w:rsid w:val="00A215D9"/>
    <w:rsid w:val="00A21621"/>
    <w:rsid w:val="00A2163F"/>
    <w:rsid w:val="00A2166B"/>
    <w:rsid w:val="00A2168C"/>
    <w:rsid w:val="00A216A1"/>
    <w:rsid w:val="00A216C1"/>
    <w:rsid w:val="00A216EB"/>
    <w:rsid w:val="00A21704"/>
    <w:rsid w:val="00A21709"/>
    <w:rsid w:val="00A21711"/>
    <w:rsid w:val="00A21759"/>
    <w:rsid w:val="00A217A0"/>
    <w:rsid w:val="00A21880"/>
    <w:rsid w:val="00A218C1"/>
    <w:rsid w:val="00A21905"/>
    <w:rsid w:val="00A21974"/>
    <w:rsid w:val="00A219F0"/>
    <w:rsid w:val="00A21A08"/>
    <w:rsid w:val="00A21A2C"/>
    <w:rsid w:val="00A21A2E"/>
    <w:rsid w:val="00A21A6A"/>
    <w:rsid w:val="00A21ADD"/>
    <w:rsid w:val="00A21B11"/>
    <w:rsid w:val="00A21B57"/>
    <w:rsid w:val="00A21BD3"/>
    <w:rsid w:val="00A21BD8"/>
    <w:rsid w:val="00A21BFC"/>
    <w:rsid w:val="00A21C00"/>
    <w:rsid w:val="00A21C3D"/>
    <w:rsid w:val="00A21C4B"/>
    <w:rsid w:val="00A21CA6"/>
    <w:rsid w:val="00A21CB9"/>
    <w:rsid w:val="00A21D36"/>
    <w:rsid w:val="00A21D41"/>
    <w:rsid w:val="00A21DB2"/>
    <w:rsid w:val="00A21DC1"/>
    <w:rsid w:val="00A21DD9"/>
    <w:rsid w:val="00A21DF0"/>
    <w:rsid w:val="00A21DF8"/>
    <w:rsid w:val="00A21E05"/>
    <w:rsid w:val="00A21E17"/>
    <w:rsid w:val="00A21E46"/>
    <w:rsid w:val="00A21E47"/>
    <w:rsid w:val="00A21E66"/>
    <w:rsid w:val="00A21E9B"/>
    <w:rsid w:val="00A21EDB"/>
    <w:rsid w:val="00A21F02"/>
    <w:rsid w:val="00A21F1A"/>
    <w:rsid w:val="00A21F8A"/>
    <w:rsid w:val="00A21FDB"/>
    <w:rsid w:val="00A21FF1"/>
    <w:rsid w:val="00A22047"/>
    <w:rsid w:val="00A22072"/>
    <w:rsid w:val="00A2209B"/>
    <w:rsid w:val="00A220B9"/>
    <w:rsid w:val="00A220C2"/>
    <w:rsid w:val="00A220D6"/>
    <w:rsid w:val="00A22128"/>
    <w:rsid w:val="00A2212F"/>
    <w:rsid w:val="00A221E1"/>
    <w:rsid w:val="00A22219"/>
    <w:rsid w:val="00A22229"/>
    <w:rsid w:val="00A22264"/>
    <w:rsid w:val="00A22293"/>
    <w:rsid w:val="00A22304"/>
    <w:rsid w:val="00A22368"/>
    <w:rsid w:val="00A22384"/>
    <w:rsid w:val="00A2238A"/>
    <w:rsid w:val="00A223BF"/>
    <w:rsid w:val="00A223C7"/>
    <w:rsid w:val="00A223D6"/>
    <w:rsid w:val="00A22410"/>
    <w:rsid w:val="00A22440"/>
    <w:rsid w:val="00A2247C"/>
    <w:rsid w:val="00A2248D"/>
    <w:rsid w:val="00A22511"/>
    <w:rsid w:val="00A22530"/>
    <w:rsid w:val="00A22547"/>
    <w:rsid w:val="00A22557"/>
    <w:rsid w:val="00A22586"/>
    <w:rsid w:val="00A22673"/>
    <w:rsid w:val="00A22685"/>
    <w:rsid w:val="00A226BB"/>
    <w:rsid w:val="00A226BC"/>
    <w:rsid w:val="00A226F0"/>
    <w:rsid w:val="00A22713"/>
    <w:rsid w:val="00A22722"/>
    <w:rsid w:val="00A2272A"/>
    <w:rsid w:val="00A22799"/>
    <w:rsid w:val="00A227DE"/>
    <w:rsid w:val="00A22800"/>
    <w:rsid w:val="00A228AB"/>
    <w:rsid w:val="00A22929"/>
    <w:rsid w:val="00A2293E"/>
    <w:rsid w:val="00A229FE"/>
    <w:rsid w:val="00A22AAC"/>
    <w:rsid w:val="00A22AAD"/>
    <w:rsid w:val="00A22AB3"/>
    <w:rsid w:val="00A22AB9"/>
    <w:rsid w:val="00A22AF2"/>
    <w:rsid w:val="00A22B30"/>
    <w:rsid w:val="00A22B42"/>
    <w:rsid w:val="00A22B86"/>
    <w:rsid w:val="00A22B9A"/>
    <w:rsid w:val="00A22B9E"/>
    <w:rsid w:val="00A22C0F"/>
    <w:rsid w:val="00A22C4F"/>
    <w:rsid w:val="00A22C6E"/>
    <w:rsid w:val="00A22C77"/>
    <w:rsid w:val="00A22C94"/>
    <w:rsid w:val="00A22CF7"/>
    <w:rsid w:val="00A22CF8"/>
    <w:rsid w:val="00A22D0E"/>
    <w:rsid w:val="00A22D10"/>
    <w:rsid w:val="00A22D50"/>
    <w:rsid w:val="00A22DF3"/>
    <w:rsid w:val="00A22E3F"/>
    <w:rsid w:val="00A22E44"/>
    <w:rsid w:val="00A22E54"/>
    <w:rsid w:val="00A22EC8"/>
    <w:rsid w:val="00A22F48"/>
    <w:rsid w:val="00A22F59"/>
    <w:rsid w:val="00A22F91"/>
    <w:rsid w:val="00A22F96"/>
    <w:rsid w:val="00A22FBD"/>
    <w:rsid w:val="00A2300D"/>
    <w:rsid w:val="00A230EC"/>
    <w:rsid w:val="00A2310F"/>
    <w:rsid w:val="00A23177"/>
    <w:rsid w:val="00A231C4"/>
    <w:rsid w:val="00A23218"/>
    <w:rsid w:val="00A23240"/>
    <w:rsid w:val="00A2327E"/>
    <w:rsid w:val="00A23293"/>
    <w:rsid w:val="00A232B4"/>
    <w:rsid w:val="00A232EF"/>
    <w:rsid w:val="00A233B0"/>
    <w:rsid w:val="00A233BC"/>
    <w:rsid w:val="00A233D0"/>
    <w:rsid w:val="00A23405"/>
    <w:rsid w:val="00A2340F"/>
    <w:rsid w:val="00A2344A"/>
    <w:rsid w:val="00A2348C"/>
    <w:rsid w:val="00A234A4"/>
    <w:rsid w:val="00A23538"/>
    <w:rsid w:val="00A2353E"/>
    <w:rsid w:val="00A23587"/>
    <w:rsid w:val="00A2359E"/>
    <w:rsid w:val="00A235B7"/>
    <w:rsid w:val="00A235F5"/>
    <w:rsid w:val="00A23632"/>
    <w:rsid w:val="00A236B7"/>
    <w:rsid w:val="00A236CB"/>
    <w:rsid w:val="00A236E3"/>
    <w:rsid w:val="00A23786"/>
    <w:rsid w:val="00A2378F"/>
    <w:rsid w:val="00A2379F"/>
    <w:rsid w:val="00A237C4"/>
    <w:rsid w:val="00A237CA"/>
    <w:rsid w:val="00A23800"/>
    <w:rsid w:val="00A2385D"/>
    <w:rsid w:val="00A238AD"/>
    <w:rsid w:val="00A238D0"/>
    <w:rsid w:val="00A238EF"/>
    <w:rsid w:val="00A23900"/>
    <w:rsid w:val="00A23914"/>
    <w:rsid w:val="00A2391A"/>
    <w:rsid w:val="00A23923"/>
    <w:rsid w:val="00A23978"/>
    <w:rsid w:val="00A239D4"/>
    <w:rsid w:val="00A239F8"/>
    <w:rsid w:val="00A23A01"/>
    <w:rsid w:val="00A23A30"/>
    <w:rsid w:val="00A23A5F"/>
    <w:rsid w:val="00A23B2A"/>
    <w:rsid w:val="00A23B44"/>
    <w:rsid w:val="00A23B5F"/>
    <w:rsid w:val="00A23B6F"/>
    <w:rsid w:val="00A23B85"/>
    <w:rsid w:val="00A23B8F"/>
    <w:rsid w:val="00A23B96"/>
    <w:rsid w:val="00A23C0C"/>
    <w:rsid w:val="00A23C37"/>
    <w:rsid w:val="00A23C39"/>
    <w:rsid w:val="00A23C9E"/>
    <w:rsid w:val="00A23D22"/>
    <w:rsid w:val="00A23D2B"/>
    <w:rsid w:val="00A23D6F"/>
    <w:rsid w:val="00A23DAA"/>
    <w:rsid w:val="00A23DDF"/>
    <w:rsid w:val="00A23E3B"/>
    <w:rsid w:val="00A23E7E"/>
    <w:rsid w:val="00A23F5B"/>
    <w:rsid w:val="00A23F9A"/>
    <w:rsid w:val="00A24018"/>
    <w:rsid w:val="00A2401C"/>
    <w:rsid w:val="00A24054"/>
    <w:rsid w:val="00A2407B"/>
    <w:rsid w:val="00A2408A"/>
    <w:rsid w:val="00A240ED"/>
    <w:rsid w:val="00A240FA"/>
    <w:rsid w:val="00A24102"/>
    <w:rsid w:val="00A24127"/>
    <w:rsid w:val="00A2413B"/>
    <w:rsid w:val="00A2417F"/>
    <w:rsid w:val="00A241B0"/>
    <w:rsid w:val="00A241D5"/>
    <w:rsid w:val="00A24229"/>
    <w:rsid w:val="00A24293"/>
    <w:rsid w:val="00A242D9"/>
    <w:rsid w:val="00A24312"/>
    <w:rsid w:val="00A24347"/>
    <w:rsid w:val="00A243B2"/>
    <w:rsid w:val="00A243E2"/>
    <w:rsid w:val="00A24400"/>
    <w:rsid w:val="00A24440"/>
    <w:rsid w:val="00A24451"/>
    <w:rsid w:val="00A2445B"/>
    <w:rsid w:val="00A2446A"/>
    <w:rsid w:val="00A244B7"/>
    <w:rsid w:val="00A244E3"/>
    <w:rsid w:val="00A24505"/>
    <w:rsid w:val="00A24520"/>
    <w:rsid w:val="00A24528"/>
    <w:rsid w:val="00A2458F"/>
    <w:rsid w:val="00A245EF"/>
    <w:rsid w:val="00A2460C"/>
    <w:rsid w:val="00A24677"/>
    <w:rsid w:val="00A246A6"/>
    <w:rsid w:val="00A246B9"/>
    <w:rsid w:val="00A246E1"/>
    <w:rsid w:val="00A24721"/>
    <w:rsid w:val="00A2475F"/>
    <w:rsid w:val="00A247F5"/>
    <w:rsid w:val="00A2481E"/>
    <w:rsid w:val="00A2484E"/>
    <w:rsid w:val="00A24858"/>
    <w:rsid w:val="00A24869"/>
    <w:rsid w:val="00A24890"/>
    <w:rsid w:val="00A248D9"/>
    <w:rsid w:val="00A248F6"/>
    <w:rsid w:val="00A2494C"/>
    <w:rsid w:val="00A249C8"/>
    <w:rsid w:val="00A24A12"/>
    <w:rsid w:val="00A24A48"/>
    <w:rsid w:val="00A24A4C"/>
    <w:rsid w:val="00A24A5B"/>
    <w:rsid w:val="00A24AE4"/>
    <w:rsid w:val="00A24B14"/>
    <w:rsid w:val="00A24BD1"/>
    <w:rsid w:val="00A24C09"/>
    <w:rsid w:val="00A24C13"/>
    <w:rsid w:val="00A24C88"/>
    <w:rsid w:val="00A24CE9"/>
    <w:rsid w:val="00A24D20"/>
    <w:rsid w:val="00A24D37"/>
    <w:rsid w:val="00A24E2C"/>
    <w:rsid w:val="00A24E9A"/>
    <w:rsid w:val="00A24ED5"/>
    <w:rsid w:val="00A24EE0"/>
    <w:rsid w:val="00A24F24"/>
    <w:rsid w:val="00A24F55"/>
    <w:rsid w:val="00A24F56"/>
    <w:rsid w:val="00A24FCC"/>
    <w:rsid w:val="00A24FE4"/>
    <w:rsid w:val="00A24FF1"/>
    <w:rsid w:val="00A24FFE"/>
    <w:rsid w:val="00A25000"/>
    <w:rsid w:val="00A25024"/>
    <w:rsid w:val="00A2504B"/>
    <w:rsid w:val="00A2508A"/>
    <w:rsid w:val="00A250DB"/>
    <w:rsid w:val="00A2510F"/>
    <w:rsid w:val="00A25176"/>
    <w:rsid w:val="00A2518D"/>
    <w:rsid w:val="00A25191"/>
    <w:rsid w:val="00A251B2"/>
    <w:rsid w:val="00A251C7"/>
    <w:rsid w:val="00A251DB"/>
    <w:rsid w:val="00A251DE"/>
    <w:rsid w:val="00A251EA"/>
    <w:rsid w:val="00A25237"/>
    <w:rsid w:val="00A25266"/>
    <w:rsid w:val="00A25294"/>
    <w:rsid w:val="00A252AA"/>
    <w:rsid w:val="00A252E0"/>
    <w:rsid w:val="00A25342"/>
    <w:rsid w:val="00A25371"/>
    <w:rsid w:val="00A25394"/>
    <w:rsid w:val="00A253D4"/>
    <w:rsid w:val="00A25405"/>
    <w:rsid w:val="00A25480"/>
    <w:rsid w:val="00A2549A"/>
    <w:rsid w:val="00A254F8"/>
    <w:rsid w:val="00A25508"/>
    <w:rsid w:val="00A2555A"/>
    <w:rsid w:val="00A255B3"/>
    <w:rsid w:val="00A255CE"/>
    <w:rsid w:val="00A255E2"/>
    <w:rsid w:val="00A255E3"/>
    <w:rsid w:val="00A25619"/>
    <w:rsid w:val="00A2563E"/>
    <w:rsid w:val="00A2565B"/>
    <w:rsid w:val="00A25662"/>
    <w:rsid w:val="00A256E3"/>
    <w:rsid w:val="00A256E8"/>
    <w:rsid w:val="00A2578A"/>
    <w:rsid w:val="00A2578B"/>
    <w:rsid w:val="00A257EE"/>
    <w:rsid w:val="00A25829"/>
    <w:rsid w:val="00A2588B"/>
    <w:rsid w:val="00A2589E"/>
    <w:rsid w:val="00A258A8"/>
    <w:rsid w:val="00A258C1"/>
    <w:rsid w:val="00A258F5"/>
    <w:rsid w:val="00A2591F"/>
    <w:rsid w:val="00A25934"/>
    <w:rsid w:val="00A2597E"/>
    <w:rsid w:val="00A25991"/>
    <w:rsid w:val="00A259B0"/>
    <w:rsid w:val="00A25A1D"/>
    <w:rsid w:val="00A25A29"/>
    <w:rsid w:val="00A25A9D"/>
    <w:rsid w:val="00A25ADF"/>
    <w:rsid w:val="00A25B08"/>
    <w:rsid w:val="00A25B09"/>
    <w:rsid w:val="00A25B17"/>
    <w:rsid w:val="00A25B48"/>
    <w:rsid w:val="00A25B5F"/>
    <w:rsid w:val="00A25B70"/>
    <w:rsid w:val="00A25B86"/>
    <w:rsid w:val="00A25B94"/>
    <w:rsid w:val="00A25B96"/>
    <w:rsid w:val="00A25C5D"/>
    <w:rsid w:val="00A25CCB"/>
    <w:rsid w:val="00A25D35"/>
    <w:rsid w:val="00A25D3B"/>
    <w:rsid w:val="00A25D78"/>
    <w:rsid w:val="00A25DC5"/>
    <w:rsid w:val="00A25DD0"/>
    <w:rsid w:val="00A25DD1"/>
    <w:rsid w:val="00A25DDB"/>
    <w:rsid w:val="00A25E0F"/>
    <w:rsid w:val="00A25E24"/>
    <w:rsid w:val="00A25E26"/>
    <w:rsid w:val="00A25E37"/>
    <w:rsid w:val="00A25E3E"/>
    <w:rsid w:val="00A25E54"/>
    <w:rsid w:val="00A25EC2"/>
    <w:rsid w:val="00A25ED5"/>
    <w:rsid w:val="00A25F6B"/>
    <w:rsid w:val="00A26112"/>
    <w:rsid w:val="00A2615F"/>
    <w:rsid w:val="00A261D5"/>
    <w:rsid w:val="00A26253"/>
    <w:rsid w:val="00A26262"/>
    <w:rsid w:val="00A262FA"/>
    <w:rsid w:val="00A2632A"/>
    <w:rsid w:val="00A2634F"/>
    <w:rsid w:val="00A2638F"/>
    <w:rsid w:val="00A263CA"/>
    <w:rsid w:val="00A26401"/>
    <w:rsid w:val="00A26413"/>
    <w:rsid w:val="00A26475"/>
    <w:rsid w:val="00A264BC"/>
    <w:rsid w:val="00A264FD"/>
    <w:rsid w:val="00A26553"/>
    <w:rsid w:val="00A26561"/>
    <w:rsid w:val="00A26596"/>
    <w:rsid w:val="00A265A6"/>
    <w:rsid w:val="00A2661A"/>
    <w:rsid w:val="00A26630"/>
    <w:rsid w:val="00A26649"/>
    <w:rsid w:val="00A26653"/>
    <w:rsid w:val="00A266E8"/>
    <w:rsid w:val="00A26776"/>
    <w:rsid w:val="00A26780"/>
    <w:rsid w:val="00A2678A"/>
    <w:rsid w:val="00A2678F"/>
    <w:rsid w:val="00A267C5"/>
    <w:rsid w:val="00A267D3"/>
    <w:rsid w:val="00A2682F"/>
    <w:rsid w:val="00A26857"/>
    <w:rsid w:val="00A2686E"/>
    <w:rsid w:val="00A26875"/>
    <w:rsid w:val="00A268B5"/>
    <w:rsid w:val="00A268C0"/>
    <w:rsid w:val="00A2691A"/>
    <w:rsid w:val="00A26925"/>
    <w:rsid w:val="00A26941"/>
    <w:rsid w:val="00A26954"/>
    <w:rsid w:val="00A2695E"/>
    <w:rsid w:val="00A2698C"/>
    <w:rsid w:val="00A26990"/>
    <w:rsid w:val="00A269F4"/>
    <w:rsid w:val="00A269F8"/>
    <w:rsid w:val="00A26A87"/>
    <w:rsid w:val="00A26ADB"/>
    <w:rsid w:val="00A26AF1"/>
    <w:rsid w:val="00A26B9B"/>
    <w:rsid w:val="00A26BB2"/>
    <w:rsid w:val="00A26C82"/>
    <w:rsid w:val="00A26CAD"/>
    <w:rsid w:val="00A26CBD"/>
    <w:rsid w:val="00A26CE5"/>
    <w:rsid w:val="00A26CEE"/>
    <w:rsid w:val="00A26D33"/>
    <w:rsid w:val="00A26DFD"/>
    <w:rsid w:val="00A26E0A"/>
    <w:rsid w:val="00A26E9A"/>
    <w:rsid w:val="00A26EAE"/>
    <w:rsid w:val="00A26F1A"/>
    <w:rsid w:val="00A26F3A"/>
    <w:rsid w:val="00A2701E"/>
    <w:rsid w:val="00A2707C"/>
    <w:rsid w:val="00A27084"/>
    <w:rsid w:val="00A270A9"/>
    <w:rsid w:val="00A270B6"/>
    <w:rsid w:val="00A270CF"/>
    <w:rsid w:val="00A2711F"/>
    <w:rsid w:val="00A27169"/>
    <w:rsid w:val="00A2717E"/>
    <w:rsid w:val="00A271A6"/>
    <w:rsid w:val="00A272AD"/>
    <w:rsid w:val="00A272E8"/>
    <w:rsid w:val="00A2730E"/>
    <w:rsid w:val="00A2732A"/>
    <w:rsid w:val="00A27369"/>
    <w:rsid w:val="00A273A1"/>
    <w:rsid w:val="00A273E6"/>
    <w:rsid w:val="00A27451"/>
    <w:rsid w:val="00A27467"/>
    <w:rsid w:val="00A274F2"/>
    <w:rsid w:val="00A2752E"/>
    <w:rsid w:val="00A27571"/>
    <w:rsid w:val="00A27581"/>
    <w:rsid w:val="00A27584"/>
    <w:rsid w:val="00A275A3"/>
    <w:rsid w:val="00A275B0"/>
    <w:rsid w:val="00A275D4"/>
    <w:rsid w:val="00A275F7"/>
    <w:rsid w:val="00A275F8"/>
    <w:rsid w:val="00A27625"/>
    <w:rsid w:val="00A2762E"/>
    <w:rsid w:val="00A27654"/>
    <w:rsid w:val="00A27655"/>
    <w:rsid w:val="00A2766A"/>
    <w:rsid w:val="00A27698"/>
    <w:rsid w:val="00A276B2"/>
    <w:rsid w:val="00A276D2"/>
    <w:rsid w:val="00A27707"/>
    <w:rsid w:val="00A27716"/>
    <w:rsid w:val="00A277D8"/>
    <w:rsid w:val="00A278D0"/>
    <w:rsid w:val="00A278DE"/>
    <w:rsid w:val="00A278F2"/>
    <w:rsid w:val="00A2797B"/>
    <w:rsid w:val="00A27990"/>
    <w:rsid w:val="00A279D0"/>
    <w:rsid w:val="00A279F4"/>
    <w:rsid w:val="00A27A0F"/>
    <w:rsid w:val="00A27A2F"/>
    <w:rsid w:val="00A27A38"/>
    <w:rsid w:val="00A27A3E"/>
    <w:rsid w:val="00A27A54"/>
    <w:rsid w:val="00A27AB3"/>
    <w:rsid w:val="00A27B4E"/>
    <w:rsid w:val="00A27C04"/>
    <w:rsid w:val="00A27C19"/>
    <w:rsid w:val="00A27C4D"/>
    <w:rsid w:val="00A27C5A"/>
    <w:rsid w:val="00A27C9D"/>
    <w:rsid w:val="00A27CD1"/>
    <w:rsid w:val="00A27CD5"/>
    <w:rsid w:val="00A27CE0"/>
    <w:rsid w:val="00A27D09"/>
    <w:rsid w:val="00A27D1C"/>
    <w:rsid w:val="00A27D45"/>
    <w:rsid w:val="00A27D46"/>
    <w:rsid w:val="00A27D4F"/>
    <w:rsid w:val="00A27D5E"/>
    <w:rsid w:val="00A27D70"/>
    <w:rsid w:val="00A27DA2"/>
    <w:rsid w:val="00A27DE6"/>
    <w:rsid w:val="00A27E5A"/>
    <w:rsid w:val="00A27E74"/>
    <w:rsid w:val="00A27EDC"/>
    <w:rsid w:val="00A27EE1"/>
    <w:rsid w:val="00A27EE9"/>
    <w:rsid w:val="00A27EEC"/>
    <w:rsid w:val="00A27F1A"/>
    <w:rsid w:val="00A27F22"/>
    <w:rsid w:val="00A27F3A"/>
    <w:rsid w:val="00A27F7D"/>
    <w:rsid w:val="00A27FC4"/>
    <w:rsid w:val="00A27FF2"/>
    <w:rsid w:val="00A2AD9A"/>
    <w:rsid w:val="00A300B4"/>
    <w:rsid w:val="00A30115"/>
    <w:rsid w:val="00A30127"/>
    <w:rsid w:val="00A30128"/>
    <w:rsid w:val="00A3015C"/>
    <w:rsid w:val="00A3021F"/>
    <w:rsid w:val="00A30250"/>
    <w:rsid w:val="00A30269"/>
    <w:rsid w:val="00A302B0"/>
    <w:rsid w:val="00A302B3"/>
    <w:rsid w:val="00A302CC"/>
    <w:rsid w:val="00A30333"/>
    <w:rsid w:val="00A30338"/>
    <w:rsid w:val="00A30340"/>
    <w:rsid w:val="00A30393"/>
    <w:rsid w:val="00A303BF"/>
    <w:rsid w:val="00A3040C"/>
    <w:rsid w:val="00A30442"/>
    <w:rsid w:val="00A30455"/>
    <w:rsid w:val="00A3046A"/>
    <w:rsid w:val="00A3048E"/>
    <w:rsid w:val="00A304AE"/>
    <w:rsid w:val="00A304CB"/>
    <w:rsid w:val="00A304E9"/>
    <w:rsid w:val="00A3054B"/>
    <w:rsid w:val="00A3057B"/>
    <w:rsid w:val="00A30585"/>
    <w:rsid w:val="00A30625"/>
    <w:rsid w:val="00A306B4"/>
    <w:rsid w:val="00A306C7"/>
    <w:rsid w:val="00A3070E"/>
    <w:rsid w:val="00A30713"/>
    <w:rsid w:val="00A30741"/>
    <w:rsid w:val="00A3074C"/>
    <w:rsid w:val="00A307AA"/>
    <w:rsid w:val="00A307CD"/>
    <w:rsid w:val="00A307F5"/>
    <w:rsid w:val="00A308CF"/>
    <w:rsid w:val="00A308F2"/>
    <w:rsid w:val="00A30922"/>
    <w:rsid w:val="00A30929"/>
    <w:rsid w:val="00A3093B"/>
    <w:rsid w:val="00A30976"/>
    <w:rsid w:val="00A309B5"/>
    <w:rsid w:val="00A30A52"/>
    <w:rsid w:val="00A30A61"/>
    <w:rsid w:val="00A30AB5"/>
    <w:rsid w:val="00A30AC7"/>
    <w:rsid w:val="00A30B23"/>
    <w:rsid w:val="00A30B6A"/>
    <w:rsid w:val="00A30B8A"/>
    <w:rsid w:val="00A30B90"/>
    <w:rsid w:val="00A30C2F"/>
    <w:rsid w:val="00A30C5E"/>
    <w:rsid w:val="00A30C5F"/>
    <w:rsid w:val="00A30C6C"/>
    <w:rsid w:val="00A30CB6"/>
    <w:rsid w:val="00A30CD6"/>
    <w:rsid w:val="00A30CD9"/>
    <w:rsid w:val="00A30CE0"/>
    <w:rsid w:val="00A30D05"/>
    <w:rsid w:val="00A30D0F"/>
    <w:rsid w:val="00A30D16"/>
    <w:rsid w:val="00A30D52"/>
    <w:rsid w:val="00A30DBF"/>
    <w:rsid w:val="00A30DEA"/>
    <w:rsid w:val="00A30DF4"/>
    <w:rsid w:val="00A30E37"/>
    <w:rsid w:val="00A30E9E"/>
    <w:rsid w:val="00A30F01"/>
    <w:rsid w:val="00A30F3E"/>
    <w:rsid w:val="00A30F43"/>
    <w:rsid w:val="00A31026"/>
    <w:rsid w:val="00A31035"/>
    <w:rsid w:val="00A3104C"/>
    <w:rsid w:val="00A3108C"/>
    <w:rsid w:val="00A310FE"/>
    <w:rsid w:val="00A31122"/>
    <w:rsid w:val="00A31132"/>
    <w:rsid w:val="00A3115C"/>
    <w:rsid w:val="00A3125A"/>
    <w:rsid w:val="00A31261"/>
    <w:rsid w:val="00A31272"/>
    <w:rsid w:val="00A3128A"/>
    <w:rsid w:val="00A312CF"/>
    <w:rsid w:val="00A31309"/>
    <w:rsid w:val="00A3133F"/>
    <w:rsid w:val="00A31346"/>
    <w:rsid w:val="00A3136F"/>
    <w:rsid w:val="00A31394"/>
    <w:rsid w:val="00A313AE"/>
    <w:rsid w:val="00A313CE"/>
    <w:rsid w:val="00A313E9"/>
    <w:rsid w:val="00A31470"/>
    <w:rsid w:val="00A31484"/>
    <w:rsid w:val="00A31499"/>
    <w:rsid w:val="00A3149C"/>
    <w:rsid w:val="00A314AF"/>
    <w:rsid w:val="00A314D3"/>
    <w:rsid w:val="00A3153A"/>
    <w:rsid w:val="00A3158C"/>
    <w:rsid w:val="00A315A2"/>
    <w:rsid w:val="00A315D9"/>
    <w:rsid w:val="00A315F2"/>
    <w:rsid w:val="00A31633"/>
    <w:rsid w:val="00A31679"/>
    <w:rsid w:val="00A3167A"/>
    <w:rsid w:val="00A31738"/>
    <w:rsid w:val="00A317B5"/>
    <w:rsid w:val="00A317BE"/>
    <w:rsid w:val="00A317D5"/>
    <w:rsid w:val="00A317DB"/>
    <w:rsid w:val="00A3181F"/>
    <w:rsid w:val="00A31853"/>
    <w:rsid w:val="00A3185A"/>
    <w:rsid w:val="00A318CB"/>
    <w:rsid w:val="00A318CE"/>
    <w:rsid w:val="00A31918"/>
    <w:rsid w:val="00A31937"/>
    <w:rsid w:val="00A3196A"/>
    <w:rsid w:val="00A31983"/>
    <w:rsid w:val="00A3198A"/>
    <w:rsid w:val="00A31997"/>
    <w:rsid w:val="00A319CB"/>
    <w:rsid w:val="00A319FA"/>
    <w:rsid w:val="00A31A36"/>
    <w:rsid w:val="00A31A4A"/>
    <w:rsid w:val="00A31A62"/>
    <w:rsid w:val="00A31A6E"/>
    <w:rsid w:val="00A31A75"/>
    <w:rsid w:val="00A31A83"/>
    <w:rsid w:val="00A31B66"/>
    <w:rsid w:val="00A31B87"/>
    <w:rsid w:val="00A31B8A"/>
    <w:rsid w:val="00A31BD0"/>
    <w:rsid w:val="00A31C64"/>
    <w:rsid w:val="00A31C6E"/>
    <w:rsid w:val="00A31C76"/>
    <w:rsid w:val="00A31CF9"/>
    <w:rsid w:val="00A31D36"/>
    <w:rsid w:val="00A31D54"/>
    <w:rsid w:val="00A31D7E"/>
    <w:rsid w:val="00A31DAD"/>
    <w:rsid w:val="00A31E1C"/>
    <w:rsid w:val="00A31E3C"/>
    <w:rsid w:val="00A31EA1"/>
    <w:rsid w:val="00A31F1C"/>
    <w:rsid w:val="00A31F23"/>
    <w:rsid w:val="00A31F34"/>
    <w:rsid w:val="00A31F3D"/>
    <w:rsid w:val="00A31F58"/>
    <w:rsid w:val="00A31FBB"/>
    <w:rsid w:val="00A31FF4"/>
    <w:rsid w:val="00A32077"/>
    <w:rsid w:val="00A320BE"/>
    <w:rsid w:val="00A320C5"/>
    <w:rsid w:val="00A320F0"/>
    <w:rsid w:val="00A3213E"/>
    <w:rsid w:val="00A3214D"/>
    <w:rsid w:val="00A32191"/>
    <w:rsid w:val="00A321E1"/>
    <w:rsid w:val="00A321E4"/>
    <w:rsid w:val="00A321F9"/>
    <w:rsid w:val="00A3222F"/>
    <w:rsid w:val="00A322B0"/>
    <w:rsid w:val="00A322EF"/>
    <w:rsid w:val="00A3230E"/>
    <w:rsid w:val="00A32336"/>
    <w:rsid w:val="00A3235C"/>
    <w:rsid w:val="00A32379"/>
    <w:rsid w:val="00A323D2"/>
    <w:rsid w:val="00A323F0"/>
    <w:rsid w:val="00A32421"/>
    <w:rsid w:val="00A3246A"/>
    <w:rsid w:val="00A32497"/>
    <w:rsid w:val="00A32501"/>
    <w:rsid w:val="00A32558"/>
    <w:rsid w:val="00A32585"/>
    <w:rsid w:val="00A325C7"/>
    <w:rsid w:val="00A32723"/>
    <w:rsid w:val="00A32787"/>
    <w:rsid w:val="00A3278F"/>
    <w:rsid w:val="00A32797"/>
    <w:rsid w:val="00A327C1"/>
    <w:rsid w:val="00A32849"/>
    <w:rsid w:val="00A32895"/>
    <w:rsid w:val="00A3289B"/>
    <w:rsid w:val="00A3291E"/>
    <w:rsid w:val="00A32934"/>
    <w:rsid w:val="00A32A0F"/>
    <w:rsid w:val="00A32A2B"/>
    <w:rsid w:val="00A32A2E"/>
    <w:rsid w:val="00A32A33"/>
    <w:rsid w:val="00A32A60"/>
    <w:rsid w:val="00A32A61"/>
    <w:rsid w:val="00A32A6D"/>
    <w:rsid w:val="00A32A72"/>
    <w:rsid w:val="00A32AC3"/>
    <w:rsid w:val="00A32B34"/>
    <w:rsid w:val="00A32B47"/>
    <w:rsid w:val="00A32B86"/>
    <w:rsid w:val="00A32BA6"/>
    <w:rsid w:val="00A32C64"/>
    <w:rsid w:val="00A32C9C"/>
    <w:rsid w:val="00A32D19"/>
    <w:rsid w:val="00A32D4A"/>
    <w:rsid w:val="00A32D5E"/>
    <w:rsid w:val="00A32D6A"/>
    <w:rsid w:val="00A32D89"/>
    <w:rsid w:val="00A32DA8"/>
    <w:rsid w:val="00A32E21"/>
    <w:rsid w:val="00A32E2D"/>
    <w:rsid w:val="00A32E4F"/>
    <w:rsid w:val="00A32E87"/>
    <w:rsid w:val="00A32ECF"/>
    <w:rsid w:val="00A32F39"/>
    <w:rsid w:val="00A33001"/>
    <w:rsid w:val="00A33048"/>
    <w:rsid w:val="00A33054"/>
    <w:rsid w:val="00A330AD"/>
    <w:rsid w:val="00A330F9"/>
    <w:rsid w:val="00A33162"/>
    <w:rsid w:val="00A33171"/>
    <w:rsid w:val="00A33246"/>
    <w:rsid w:val="00A332CE"/>
    <w:rsid w:val="00A33329"/>
    <w:rsid w:val="00A33365"/>
    <w:rsid w:val="00A3337A"/>
    <w:rsid w:val="00A333A7"/>
    <w:rsid w:val="00A333B8"/>
    <w:rsid w:val="00A333E0"/>
    <w:rsid w:val="00A33478"/>
    <w:rsid w:val="00A3347D"/>
    <w:rsid w:val="00A3347E"/>
    <w:rsid w:val="00A334AA"/>
    <w:rsid w:val="00A334B8"/>
    <w:rsid w:val="00A334CB"/>
    <w:rsid w:val="00A334ED"/>
    <w:rsid w:val="00A33501"/>
    <w:rsid w:val="00A3351A"/>
    <w:rsid w:val="00A3355E"/>
    <w:rsid w:val="00A33569"/>
    <w:rsid w:val="00A33588"/>
    <w:rsid w:val="00A335D8"/>
    <w:rsid w:val="00A335E8"/>
    <w:rsid w:val="00A335EA"/>
    <w:rsid w:val="00A33627"/>
    <w:rsid w:val="00A336AF"/>
    <w:rsid w:val="00A336F0"/>
    <w:rsid w:val="00A336FB"/>
    <w:rsid w:val="00A33748"/>
    <w:rsid w:val="00A3378C"/>
    <w:rsid w:val="00A337BA"/>
    <w:rsid w:val="00A337BE"/>
    <w:rsid w:val="00A337D9"/>
    <w:rsid w:val="00A3380E"/>
    <w:rsid w:val="00A338F9"/>
    <w:rsid w:val="00A33932"/>
    <w:rsid w:val="00A3393D"/>
    <w:rsid w:val="00A33960"/>
    <w:rsid w:val="00A3397B"/>
    <w:rsid w:val="00A339A0"/>
    <w:rsid w:val="00A339C2"/>
    <w:rsid w:val="00A339CD"/>
    <w:rsid w:val="00A339D8"/>
    <w:rsid w:val="00A339EF"/>
    <w:rsid w:val="00A339F4"/>
    <w:rsid w:val="00A33A04"/>
    <w:rsid w:val="00A33A0C"/>
    <w:rsid w:val="00A33A3B"/>
    <w:rsid w:val="00A33A47"/>
    <w:rsid w:val="00A33A57"/>
    <w:rsid w:val="00A33B01"/>
    <w:rsid w:val="00A33B4F"/>
    <w:rsid w:val="00A33BF0"/>
    <w:rsid w:val="00A33C1A"/>
    <w:rsid w:val="00A33C54"/>
    <w:rsid w:val="00A33CCF"/>
    <w:rsid w:val="00A33D10"/>
    <w:rsid w:val="00A33D17"/>
    <w:rsid w:val="00A33D28"/>
    <w:rsid w:val="00A33D50"/>
    <w:rsid w:val="00A33D60"/>
    <w:rsid w:val="00A33E18"/>
    <w:rsid w:val="00A33E1D"/>
    <w:rsid w:val="00A33E23"/>
    <w:rsid w:val="00A33E36"/>
    <w:rsid w:val="00A33EE7"/>
    <w:rsid w:val="00A33EFB"/>
    <w:rsid w:val="00A33F92"/>
    <w:rsid w:val="00A34089"/>
    <w:rsid w:val="00A340D2"/>
    <w:rsid w:val="00A340F8"/>
    <w:rsid w:val="00A34189"/>
    <w:rsid w:val="00A3420E"/>
    <w:rsid w:val="00A3421A"/>
    <w:rsid w:val="00A34259"/>
    <w:rsid w:val="00A342AE"/>
    <w:rsid w:val="00A342CB"/>
    <w:rsid w:val="00A342F8"/>
    <w:rsid w:val="00A34312"/>
    <w:rsid w:val="00A3431B"/>
    <w:rsid w:val="00A343B6"/>
    <w:rsid w:val="00A343D2"/>
    <w:rsid w:val="00A343D9"/>
    <w:rsid w:val="00A3448D"/>
    <w:rsid w:val="00A344AE"/>
    <w:rsid w:val="00A344FE"/>
    <w:rsid w:val="00A34576"/>
    <w:rsid w:val="00A345A6"/>
    <w:rsid w:val="00A345B7"/>
    <w:rsid w:val="00A3460E"/>
    <w:rsid w:val="00A3461A"/>
    <w:rsid w:val="00A34620"/>
    <w:rsid w:val="00A3462F"/>
    <w:rsid w:val="00A34692"/>
    <w:rsid w:val="00A346C7"/>
    <w:rsid w:val="00A346CE"/>
    <w:rsid w:val="00A346FA"/>
    <w:rsid w:val="00A3471B"/>
    <w:rsid w:val="00A3477F"/>
    <w:rsid w:val="00A34795"/>
    <w:rsid w:val="00A347B2"/>
    <w:rsid w:val="00A347DC"/>
    <w:rsid w:val="00A347F3"/>
    <w:rsid w:val="00A3483E"/>
    <w:rsid w:val="00A348BC"/>
    <w:rsid w:val="00A348F2"/>
    <w:rsid w:val="00A348FA"/>
    <w:rsid w:val="00A34915"/>
    <w:rsid w:val="00A3497A"/>
    <w:rsid w:val="00A349BE"/>
    <w:rsid w:val="00A349E3"/>
    <w:rsid w:val="00A34A19"/>
    <w:rsid w:val="00A34A40"/>
    <w:rsid w:val="00A34A54"/>
    <w:rsid w:val="00A34AEF"/>
    <w:rsid w:val="00A34AFE"/>
    <w:rsid w:val="00A34B22"/>
    <w:rsid w:val="00A34B23"/>
    <w:rsid w:val="00A34B31"/>
    <w:rsid w:val="00A34B3B"/>
    <w:rsid w:val="00A34BE0"/>
    <w:rsid w:val="00A34BEA"/>
    <w:rsid w:val="00A34C15"/>
    <w:rsid w:val="00A34C7A"/>
    <w:rsid w:val="00A34C92"/>
    <w:rsid w:val="00A34CD1"/>
    <w:rsid w:val="00A34CFE"/>
    <w:rsid w:val="00A34D13"/>
    <w:rsid w:val="00A34D17"/>
    <w:rsid w:val="00A34D73"/>
    <w:rsid w:val="00A34D7B"/>
    <w:rsid w:val="00A34D8B"/>
    <w:rsid w:val="00A34E31"/>
    <w:rsid w:val="00A34EBC"/>
    <w:rsid w:val="00A34EDB"/>
    <w:rsid w:val="00A34F0B"/>
    <w:rsid w:val="00A34F67"/>
    <w:rsid w:val="00A34F7B"/>
    <w:rsid w:val="00A34FCE"/>
    <w:rsid w:val="00A34FFC"/>
    <w:rsid w:val="00A35027"/>
    <w:rsid w:val="00A35044"/>
    <w:rsid w:val="00A35067"/>
    <w:rsid w:val="00A350B0"/>
    <w:rsid w:val="00A350BB"/>
    <w:rsid w:val="00A350E2"/>
    <w:rsid w:val="00A350EA"/>
    <w:rsid w:val="00A350EB"/>
    <w:rsid w:val="00A35111"/>
    <w:rsid w:val="00A351E4"/>
    <w:rsid w:val="00A351EB"/>
    <w:rsid w:val="00A351FD"/>
    <w:rsid w:val="00A35215"/>
    <w:rsid w:val="00A3524A"/>
    <w:rsid w:val="00A3525E"/>
    <w:rsid w:val="00A35267"/>
    <w:rsid w:val="00A3529C"/>
    <w:rsid w:val="00A352E8"/>
    <w:rsid w:val="00A3533E"/>
    <w:rsid w:val="00A35347"/>
    <w:rsid w:val="00A35350"/>
    <w:rsid w:val="00A35382"/>
    <w:rsid w:val="00A353AC"/>
    <w:rsid w:val="00A353B9"/>
    <w:rsid w:val="00A353FA"/>
    <w:rsid w:val="00A35404"/>
    <w:rsid w:val="00A3544B"/>
    <w:rsid w:val="00A354B9"/>
    <w:rsid w:val="00A354D6"/>
    <w:rsid w:val="00A354E5"/>
    <w:rsid w:val="00A354E9"/>
    <w:rsid w:val="00A35502"/>
    <w:rsid w:val="00A35505"/>
    <w:rsid w:val="00A35511"/>
    <w:rsid w:val="00A35580"/>
    <w:rsid w:val="00A3558B"/>
    <w:rsid w:val="00A355E3"/>
    <w:rsid w:val="00A35623"/>
    <w:rsid w:val="00A356BE"/>
    <w:rsid w:val="00A356CF"/>
    <w:rsid w:val="00A356D0"/>
    <w:rsid w:val="00A356FA"/>
    <w:rsid w:val="00A3577F"/>
    <w:rsid w:val="00A357C2"/>
    <w:rsid w:val="00A357F1"/>
    <w:rsid w:val="00A357F9"/>
    <w:rsid w:val="00A35814"/>
    <w:rsid w:val="00A35831"/>
    <w:rsid w:val="00A35838"/>
    <w:rsid w:val="00A3585D"/>
    <w:rsid w:val="00A35884"/>
    <w:rsid w:val="00A35887"/>
    <w:rsid w:val="00A3589A"/>
    <w:rsid w:val="00A358A1"/>
    <w:rsid w:val="00A358D7"/>
    <w:rsid w:val="00A35934"/>
    <w:rsid w:val="00A3598F"/>
    <w:rsid w:val="00A35A78"/>
    <w:rsid w:val="00A35AD6"/>
    <w:rsid w:val="00A35B0E"/>
    <w:rsid w:val="00A35B2D"/>
    <w:rsid w:val="00A35B5E"/>
    <w:rsid w:val="00A35BB5"/>
    <w:rsid w:val="00A35C5A"/>
    <w:rsid w:val="00A35CB5"/>
    <w:rsid w:val="00A35CD3"/>
    <w:rsid w:val="00A35D26"/>
    <w:rsid w:val="00A35D3F"/>
    <w:rsid w:val="00A35D51"/>
    <w:rsid w:val="00A35D69"/>
    <w:rsid w:val="00A35E5D"/>
    <w:rsid w:val="00A35E63"/>
    <w:rsid w:val="00A35EAA"/>
    <w:rsid w:val="00A35EB6"/>
    <w:rsid w:val="00A35EC9"/>
    <w:rsid w:val="00A35ED6"/>
    <w:rsid w:val="00A35F42"/>
    <w:rsid w:val="00A35F52"/>
    <w:rsid w:val="00A35F68"/>
    <w:rsid w:val="00A35F8D"/>
    <w:rsid w:val="00A35FD2"/>
    <w:rsid w:val="00A36037"/>
    <w:rsid w:val="00A36051"/>
    <w:rsid w:val="00A36057"/>
    <w:rsid w:val="00A3607E"/>
    <w:rsid w:val="00A360C4"/>
    <w:rsid w:val="00A3613C"/>
    <w:rsid w:val="00A361F9"/>
    <w:rsid w:val="00A36256"/>
    <w:rsid w:val="00A36260"/>
    <w:rsid w:val="00A3626E"/>
    <w:rsid w:val="00A36270"/>
    <w:rsid w:val="00A36277"/>
    <w:rsid w:val="00A3627C"/>
    <w:rsid w:val="00A36291"/>
    <w:rsid w:val="00A36309"/>
    <w:rsid w:val="00A36312"/>
    <w:rsid w:val="00A36316"/>
    <w:rsid w:val="00A36421"/>
    <w:rsid w:val="00A364D6"/>
    <w:rsid w:val="00A36582"/>
    <w:rsid w:val="00A365AA"/>
    <w:rsid w:val="00A365E4"/>
    <w:rsid w:val="00A365FB"/>
    <w:rsid w:val="00A36610"/>
    <w:rsid w:val="00A36628"/>
    <w:rsid w:val="00A3664E"/>
    <w:rsid w:val="00A36669"/>
    <w:rsid w:val="00A36683"/>
    <w:rsid w:val="00A36687"/>
    <w:rsid w:val="00A3669E"/>
    <w:rsid w:val="00A366D4"/>
    <w:rsid w:val="00A3670C"/>
    <w:rsid w:val="00A3673A"/>
    <w:rsid w:val="00A3673F"/>
    <w:rsid w:val="00A36753"/>
    <w:rsid w:val="00A36818"/>
    <w:rsid w:val="00A36838"/>
    <w:rsid w:val="00A368EA"/>
    <w:rsid w:val="00A36996"/>
    <w:rsid w:val="00A36999"/>
    <w:rsid w:val="00A36A58"/>
    <w:rsid w:val="00A36A92"/>
    <w:rsid w:val="00A36AEF"/>
    <w:rsid w:val="00A36B09"/>
    <w:rsid w:val="00A36B21"/>
    <w:rsid w:val="00A36B64"/>
    <w:rsid w:val="00A36B8F"/>
    <w:rsid w:val="00A36B9E"/>
    <w:rsid w:val="00A36BA4"/>
    <w:rsid w:val="00A36BA6"/>
    <w:rsid w:val="00A36BCA"/>
    <w:rsid w:val="00A36BF4"/>
    <w:rsid w:val="00A36C64"/>
    <w:rsid w:val="00A36CB9"/>
    <w:rsid w:val="00A36CBA"/>
    <w:rsid w:val="00A36D09"/>
    <w:rsid w:val="00A36D24"/>
    <w:rsid w:val="00A36DD4"/>
    <w:rsid w:val="00A36DD7"/>
    <w:rsid w:val="00A36DE1"/>
    <w:rsid w:val="00A36E23"/>
    <w:rsid w:val="00A36E6B"/>
    <w:rsid w:val="00A36F51"/>
    <w:rsid w:val="00A36F62"/>
    <w:rsid w:val="00A36FAA"/>
    <w:rsid w:val="00A37032"/>
    <w:rsid w:val="00A370A1"/>
    <w:rsid w:val="00A370B4"/>
    <w:rsid w:val="00A370B6"/>
    <w:rsid w:val="00A370BF"/>
    <w:rsid w:val="00A371A0"/>
    <w:rsid w:val="00A371B0"/>
    <w:rsid w:val="00A3728D"/>
    <w:rsid w:val="00A372DD"/>
    <w:rsid w:val="00A372E1"/>
    <w:rsid w:val="00A372E3"/>
    <w:rsid w:val="00A3733A"/>
    <w:rsid w:val="00A3733B"/>
    <w:rsid w:val="00A37361"/>
    <w:rsid w:val="00A3736A"/>
    <w:rsid w:val="00A3739B"/>
    <w:rsid w:val="00A373A0"/>
    <w:rsid w:val="00A373CC"/>
    <w:rsid w:val="00A373CF"/>
    <w:rsid w:val="00A373FE"/>
    <w:rsid w:val="00A3741A"/>
    <w:rsid w:val="00A37448"/>
    <w:rsid w:val="00A3747C"/>
    <w:rsid w:val="00A3747F"/>
    <w:rsid w:val="00A37536"/>
    <w:rsid w:val="00A37572"/>
    <w:rsid w:val="00A375AA"/>
    <w:rsid w:val="00A3760E"/>
    <w:rsid w:val="00A376B5"/>
    <w:rsid w:val="00A376BC"/>
    <w:rsid w:val="00A376D1"/>
    <w:rsid w:val="00A37703"/>
    <w:rsid w:val="00A3770E"/>
    <w:rsid w:val="00A37714"/>
    <w:rsid w:val="00A3771F"/>
    <w:rsid w:val="00A37739"/>
    <w:rsid w:val="00A3774B"/>
    <w:rsid w:val="00A3775E"/>
    <w:rsid w:val="00A377D4"/>
    <w:rsid w:val="00A37817"/>
    <w:rsid w:val="00A37878"/>
    <w:rsid w:val="00A37880"/>
    <w:rsid w:val="00A378AA"/>
    <w:rsid w:val="00A378EA"/>
    <w:rsid w:val="00A3790E"/>
    <w:rsid w:val="00A37980"/>
    <w:rsid w:val="00A37981"/>
    <w:rsid w:val="00A37A0A"/>
    <w:rsid w:val="00A37AD7"/>
    <w:rsid w:val="00A37B19"/>
    <w:rsid w:val="00A37BBE"/>
    <w:rsid w:val="00A37BC9"/>
    <w:rsid w:val="00A37BF3"/>
    <w:rsid w:val="00A37BFC"/>
    <w:rsid w:val="00A37C20"/>
    <w:rsid w:val="00A37C2B"/>
    <w:rsid w:val="00A37C3B"/>
    <w:rsid w:val="00A37C4A"/>
    <w:rsid w:val="00A37C8C"/>
    <w:rsid w:val="00A37CA0"/>
    <w:rsid w:val="00A37CA8"/>
    <w:rsid w:val="00A37D49"/>
    <w:rsid w:val="00A37D68"/>
    <w:rsid w:val="00A37DB3"/>
    <w:rsid w:val="00A37DCD"/>
    <w:rsid w:val="00A37E7A"/>
    <w:rsid w:val="00A37EAB"/>
    <w:rsid w:val="00A37EB1"/>
    <w:rsid w:val="00A37F03"/>
    <w:rsid w:val="00A37F06"/>
    <w:rsid w:val="00A37F43"/>
    <w:rsid w:val="00A37F63"/>
    <w:rsid w:val="00A37F6D"/>
    <w:rsid w:val="00A37F7C"/>
    <w:rsid w:val="00A37F8A"/>
    <w:rsid w:val="00A37F8B"/>
    <w:rsid w:val="00A37FE3"/>
    <w:rsid w:val="00A3D400"/>
    <w:rsid w:val="00A400A0"/>
    <w:rsid w:val="00A400E9"/>
    <w:rsid w:val="00A40101"/>
    <w:rsid w:val="00A4013F"/>
    <w:rsid w:val="00A401AE"/>
    <w:rsid w:val="00A401CF"/>
    <w:rsid w:val="00A40270"/>
    <w:rsid w:val="00A4027B"/>
    <w:rsid w:val="00A40284"/>
    <w:rsid w:val="00A402B1"/>
    <w:rsid w:val="00A402C4"/>
    <w:rsid w:val="00A40346"/>
    <w:rsid w:val="00A4038D"/>
    <w:rsid w:val="00A40482"/>
    <w:rsid w:val="00A4049C"/>
    <w:rsid w:val="00A404DD"/>
    <w:rsid w:val="00A404F2"/>
    <w:rsid w:val="00A404F8"/>
    <w:rsid w:val="00A40512"/>
    <w:rsid w:val="00A40514"/>
    <w:rsid w:val="00A40529"/>
    <w:rsid w:val="00A40561"/>
    <w:rsid w:val="00A40573"/>
    <w:rsid w:val="00A40590"/>
    <w:rsid w:val="00A405A3"/>
    <w:rsid w:val="00A4061C"/>
    <w:rsid w:val="00A4063C"/>
    <w:rsid w:val="00A40650"/>
    <w:rsid w:val="00A406BD"/>
    <w:rsid w:val="00A406C6"/>
    <w:rsid w:val="00A406D0"/>
    <w:rsid w:val="00A406ED"/>
    <w:rsid w:val="00A406EE"/>
    <w:rsid w:val="00A406FC"/>
    <w:rsid w:val="00A40702"/>
    <w:rsid w:val="00A40724"/>
    <w:rsid w:val="00A40740"/>
    <w:rsid w:val="00A4077C"/>
    <w:rsid w:val="00A407AC"/>
    <w:rsid w:val="00A407B2"/>
    <w:rsid w:val="00A40871"/>
    <w:rsid w:val="00A40884"/>
    <w:rsid w:val="00A40885"/>
    <w:rsid w:val="00A408A6"/>
    <w:rsid w:val="00A408CA"/>
    <w:rsid w:val="00A4090D"/>
    <w:rsid w:val="00A40930"/>
    <w:rsid w:val="00A40968"/>
    <w:rsid w:val="00A4098B"/>
    <w:rsid w:val="00A409FC"/>
    <w:rsid w:val="00A40A44"/>
    <w:rsid w:val="00A40A4E"/>
    <w:rsid w:val="00A40A51"/>
    <w:rsid w:val="00A40A75"/>
    <w:rsid w:val="00A40A77"/>
    <w:rsid w:val="00A40AC2"/>
    <w:rsid w:val="00A40B0C"/>
    <w:rsid w:val="00A40B86"/>
    <w:rsid w:val="00A40C31"/>
    <w:rsid w:val="00A40C7E"/>
    <w:rsid w:val="00A40CAA"/>
    <w:rsid w:val="00A40CB3"/>
    <w:rsid w:val="00A40CD1"/>
    <w:rsid w:val="00A40CFA"/>
    <w:rsid w:val="00A40D21"/>
    <w:rsid w:val="00A40D26"/>
    <w:rsid w:val="00A40D3E"/>
    <w:rsid w:val="00A40D61"/>
    <w:rsid w:val="00A40D87"/>
    <w:rsid w:val="00A40DE5"/>
    <w:rsid w:val="00A40E89"/>
    <w:rsid w:val="00A40E90"/>
    <w:rsid w:val="00A40F08"/>
    <w:rsid w:val="00A40F16"/>
    <w:rsid w:val="00A40F44"/>
    <w:rsid w:val="00A40F84"/>
    <w:rsid w:val="00A40FF4"/>
    <w:rsid w:val="00A4107E"/>
    <w:rsid w:val="00A410B8"/>
    <w:rsid w:val="00A410C9"/>
    <w:rsid w:val="00A410E0"/>
    <w:rsid w:val="00A41102"/>
    <w:rsid w:val="00A41103"/>
    <w:rsid w:val="00A41104"/>
    <w:rsid w:val="00A4116E"/>
    <w:rsid w:val="00A411B9"/>
    <w:rsid w:val="00A41209"/>
    <w:rsid w:val="00A4121B"/>
    <w:rsid w:val="00A41220"/>
    <w:rsid w:val="00A41237"/>
    <w:rsid w:val="00A41282"/>
    <w:rsid w:val="00A4130A"/>
    <w:rsid w:val="00A4134B"/>
    <w:rsid w:val="00A413FB"/>
    <w:rsid w:val="00A41423"/>
    <w:rsid w:val="00A41437"/>
    <w:rsid w:val="00A41490"/>
    <w:rsid w:val="00A414BC"/>
    <w:rsid w:val="00A414F3"/>
    <w:rsid w:val="00A41534"/>
    <w:rsid w:val="00A4155A"/>
    <w:rsid w:val="00A41592"/>
    <w:rsid w:val="00A415B6"/>
    <w:rsid w:val="00A41617"/>
    <w:rsid w:val="00A41629"/>
    <w:rsid w:val="00A4168F"/>
    <w:rsid w:val="00A4169A"/>
    <w:rsid w:val="00A41799"/>
    <w:rsid w:val="00A4179E"/>
    <w:rsid w:val="00A417AB"/>
    <w:rsid w:val="00A417FD"/>
    <w:rsid w:val="00A41820"/>
    <w:rsid w:val="00A4185A"/>
    <w:rsid w:val="00A41892"/>
    <w:rsid w:val="00A418D9"/>
    <w:rsid w:val="00A418ED"/>
    <w:rsid w:val="00A4190C"/>
    <w:rsid w:val="00A41910"/>
    <w:rsid w:val="00A4193D"/>
    <w:rsid w:val="00A41980"/>
    <w:rsid w:val="00A419D5"/>
    <w:rsid w:val="00A41A65"/>
    <w:rsid w:val="00A41A6D"/>
    <w:rsid w:val="00A41A84"/>
    <w:rsid w:val="00A41A96"/>
    <w:rsid w:val="00A41ABE"/>
    <w:rsid w:val="00A41B01"/>
    <w:rsid w:val="00A41B1D"/>
    <w:rsid w:val="00A41B5C"/>
    <w:rsid w:val="00A41B75"/>
    <w:rsid w:val="00A41B91"/>
    <w:rsid w:val="00A41BC6"/>
    <w:rsid w:val="00A41BD4"/>
    <w:rsid w:val="00A41C1D"/>
    <w:rsid w:val="00A41C28"/>
    <w:rsid w:val="00A41C3B"/>
    <w:rsid w:val="00A41C65"/>
    <w:rsid w:val="00A41C6C"/>
    <w:rsid w:val="00A41C7D"/>
    <w:rsid w:val="00A41C9B"/>
    <w:rsid w:val="00A41D16"/>
    <w:rsid w:val="00A41D92"/>
    <w:rsid w:val="00A41DB8"/>
    <w:rsid w:val="00A41DBD"/>
    <w:rsid w:val="00A41E75"/>
    <w:rsid w:val="00A41ECE"/>
    <w:rsid w:val="00A41F51"/>
    <w:rsid w:val="00A41FC2"/>
    <w:rsid w:val="00A41FE8"/>
    <w:rsid w:val="00A420EA"/>
    <w:rsid w:val="00A4211F"/>
    <w:rsid w:val="00A421BE"/>
    <w:rsid w:val="00A42221"/>
    <w:rsid w:val="00A42236"/>
    <w:rsid w:val="00A42245"/>
    <w:rsid w:val="00A42248"/>
    <w:rsid w:val="00A422A7"/>
    <w:rsid w:val="00A422DD"/>
    <w:rsid w:val="00A422F0"/>
    <w:rsid w:val="00A42313"/>
    <w:rsid w:val="00A42365"/>
    <w:rsid w:val="00A42395"/>
    <w:rsid w:val="00A423E7"/>
    <w:rsid w:val="00A4240A"/>
    <w:rsid w:val="00A4240C"/>
    <w:rsid w:val="00A42418"/>
    <w:rsid w:val="00A42435"/>
    <w:rsid w:val="00A4243D"/>
    <w:rsid w:val="00A4245B"/>
    <w:rsid w:val="00A4248C"/>
    <w:rsid w:val="00A424BE"/>
    <w:rsid w:val="00A42530"/>
    <w:rsid w:val="00A42563"/>
    <w:rsid w:val="00A42595"/>
    <w:rsid w:val="00A425AB"/>
    <w:rsid w:val="00A425F6"/>
    <w:rsid w:val="00A425FD"/>
    <w:rsid w:val="00A42629"/>
    <w:rsid w:val="00A426D7"/>
    <w:rsid w:val="00A426EF"/>
    <w:rsid w:val="00A4276D"/>
    <w:rsid w:val="00A427A6"/>
    <w:rsid w:val="00A427E6"/>
    <w:rsid w:val="00A42831"/>
    <w:rsid w:val="00A42844"/>
    <w:rsid w:val="00A428DF"/>
    <w:rsid w:val="00A42937"/>
    <w:rsid w:val="00A429AF"/>
    <w:rsid w:val="00A429C6"/>
    <w:rsid w:val="00A42A38"/>
    <w:rsid w:val="00A42AAD"/>
    <w:rsid w:val="00A42ABD"/>
    <w:rsid w:val="00A42AC5"/>
    <w:rsid w:val="00A42AF2"/>
    <w:rsid w:val="00A42C32"/>
    <w:rsid w:val="00A42D44"/>
    <w:rsid w:val="00A42D79"/>
    <w:rsid w:val="00A42D90"/>
    <w:rsid w:val="00A42DAC"/>
    <w:rsid w:val="00A42DBD"/>
    <w:rsid w:val="00A42DF5"/>
    <w:rsid w:val="00A42DF7"/>
    <w:rsid w:val="00A42DFC"/>
    <w:rsid w:val="00A42E78"/>
    <w:rsid w:val="00A42E83"/>
    <w:rsid w:val="00A42E9B"/>
    <w:rsid w:val="00A42EFB"/>
    <w:rsid w:val="00A42F0B"/>
    <w:rsid w:val="00A42F45"/>
    <w:rsid w:val="00A42F4F"/>
    <w:rsid w:val="00A42F54"/>
    <w:rsid w:val="00A42F9A"/>
    <w:rsid w:val="00A43090"/>
    <w:rsid w:val="00A430A2"/>
    <w:rsid w:val="00A430B2"/>
    <w:rsid w:val="00A4313B"/>
    <w:rsid w:val="00A4316F"/>
    <w:rsid w:val="00A43186"/>
    <w:rsid w:val="00A431AA"/>
    <w:rsid w:val="00A4324A"/>
    <w:rsid w:val="00A43345"/>
    <w:rsid w:val="00A43356"/>
    <w:rsid w:val="00A433F0"/>
    <w:rsid w:val="00A4340C"/>
    <w:rsid w:val="00A434B0"/>
    <w:rsid w:val="00A43521"/>
    <w:rsid w:val="00A4353F"/>
    <w:rsid w:val="00A43568"/>
    <w:rsid w:val="00A435DB"/>
    <w:rsid w:val="00A43639"/>
    <w:rsid w:val="00A4370C"/>
    <w:rsid w:val="00A43738"/>
    <w:rsid w:val="00A43783"/>
    <w:rsid w:val="00A437B1"/>
    <w:rsid w:val="00A4381E"/>
    <w:rsid w:val="00A43905"/>
    <w:rsid w:val="00A4394B"/>
    <w:rsid w:val="00A439B2"/>
    <w:rsid w:val="00A439DA"/>
    <w:rsid w:val="00A43A5F"/>
    <w:rsid w:val="00A43AEC"/>
    <w:rsid w:val="00A43B0A"/>
    <w:rsid w:val="00A43B25"/>
    <w:rsid w:val="00A43B75"/>
    <w:rsid w:val="00A43B8A"/>
    <w:rsid w:val="00A43B90"/>
    <w:rsid w:val="00A43BB2"/>
    <w:rsid w:val="00A43BE5"/>
    <w:rsid w:val="00A43C92"/>
    <w:rsid w:val="00A43CFC"/>
    <w:rsid w:val="00A43D0F"/>
    <w:rsid w:val="00A43D21"/>
    <w:rsid w:val="00A43D7C"/>
    <w:rsid w:val="00A43E07"/>
    <w:rsid w:val="00A43E1A"/>
    <w:rsid w:val="00A43E21"/>
    <w:rsid w:val="00A43E24"/>
    <w:rsid w:val="00A43E2D"/>
    <w:rsid w:val="00A43E3B"/>
    <w:rsid w:val="00A43E4A"/>
    <w:rsid w:val="00A43E9F"/>
    <w:rsid w:val="00A43EB3"/>
    <w:rsid w:val="00A43EC0"/>
    <w:rsid w:val="00A43ECB"/>
    <w:rsid w:val="00A43ED0"/>
    <w:rsid w:val="00A43EDD"/>
    <w:rsid w:val="00A43F83"/>
    <w:rsid w:val="00A43F89"/>
    <w:rsid w:val="00A43F92"/>
    <w:rsid w:val="00A43F9D"/>
    <w:rsid w:val="00A43FBF"/>
    <w:rsid w:val="00A43FDA"/>
    <w:rsid w:val="00A44017"/>
    <w:rsid w:val="00A4401E"/>
    <w:rsid w:val="00A4406E"/>
    <w:rsid w:val="00A440A3"/>
    <w:rsid w:val="00A440E1"/>
    <w:rsid w:val="00A4410D"/>
    <w:rsid w:val="00A441AA"/>
    <w:rsid w:val="00A441DD"/>
    <w:rsid w:val="00A44283"/>
    <w:rsid w:val="00A44296"/>
    <w:rsid w:val="00A44310"/>
    <w:rsid w:val="00A44346"/>
    <w:rsid w:val="00A44359"/>
    <w:rsid w:val="00A44372"/>
    <w:rsid w:val="00A4438E"/>
    <w:rsid w:val="00A443D3"/>
    <w:rsid w:val="00A443DA"/>
    <w:rsid w:val="00A44402"/>
    <w:rsid w:val="00A44435"/>
    <w:rsid w:val="00A4452B"/>
    <w:rsid w:val="00A44548"/>
    <w:rsid w:val="00A44552"/>
    <w:rsid w:val="00A4458D"/>
    <w:rsid w:val="00A445B7"/>
    <w:rsid w:val="00A445C5"/>
    <w:rsid w:val="00A445E1"/>
    <w:rsid w:val="00A445E4"/>
    <w:rsid w:val="00A445FF"/>
    <w:rsid w:val="00A44613"/>
    <w:rsid w:val="00A4465D"/>
    <w:rsid w:val="00A44686"/>
    <w:rsid w:val="00A446CA"/>
    <w:rsid w:val="00A446F1"/>
    <w:rsid w:val="00A44702"/>
    <w:rsid w:val="00A44713"/>
    <w:rsid w:val="00A44733"/>
    <w:rsid w:val="00A4476C"/>
    <w:rsid w:val="00A447CA"/>
    <w:rsid w:val="00A447D3"/>
    <w:rsid w:val="00A447E7"/>
    <w:rsid w:val="00A4482C"/>
    <w:rsid w:val="00A44877"/>
    <w:rsid w:val="00A448AB"/>
    <w:rsid w:val="00A448BB"/>
    <w:rsid w:val="00A448D1"/>
    <w:rsid w:val="00A448E3"/>
    <w:rsid w:val="00A44906"/>
    <w:rsid w:val="00A44917"/>
    <w:rsid w:val="00A44928"/>
    <w:rsid w:val="00A4497A"/>
    <w:rsid w:val="00A44A06"/>
    <w:rsid w:val="00A44A5A"/>
    <w:rsid w:val="00A44A86"/>
    <w:rsid w:val="00A44AA1"/>
    <w:rsid w:val="00A44AC6"/>
    <w:rsid w:val="00A44B33"/>
    <w:rsid w:val="00A44C11"/>
    <w:rsid w:val="00A44C4E"/>
    <w:rsid w:val="00A44C81"/>
    <w:rsid w:val="00A44DA9"/>
    <w:rsid w:val="00A44DAC"/>
    <w:rsid w:val="00A44ED1"/>
    <w:rsid w:val="00A44EEB"/>
    <w:rsid w:val="00A44EFB"/>
    <w:rsid w:val="00A44F9B"/>
    <w:rsid w:val="00A44FB6"/>
    <w:rsid w:val="00A4500B"/>
    <w:rsid w:val="00A4501C"/>
    <w:rsid w:val="00A4508E"/>
    <w:rsid w:val="00A450C7"/>
    <w:rsid w:val="00A450CE"/>
    <w:rsid w:val="00A450FA"/>
    <w:rsid w:val="00A45121"/>
    <w:rsid w:val="00A4513B"/>
    <w:rsid w:val="00A45154"/>
    <w:rsid w:val="00A45169"/>
    <w:rsid w:val="00A451B4"/>
    <w:rsid w:val="00A451CF"/>
    <w:rsid w:val="00A4522D"/>
    <w:rsid w:val="00A45243"/>
    <w:rsid w:val="00A45247"/>
    <w:rsid w:val="00A4524B"/>
    <w:rsid w:val="00A452A6"/>
    <w:rsid w:val="00A452DC"/>
    <w:rsid w:val="00A452F4"/>
    <w:rsid w:val="00A45315"/>
    <w:rsid w:val="00A4532E"/>
    <w:rsid w:val="00A45331"/>
    <w:rsid w:val="00A453A7"/>
    <w:rsid w:val="00A453B3"/>
    <w:rsid w:val="00A453F2"/>
    <w:rsid w:val="00A45408"/>
    <w:rsid w:val="00A45476"/>
    <w:rsid w:val="00A454EE"/>
    <w:rsid w:val="00A45563"/>
    <w:rsid w:val="00A45589"/>
    <w:rsid w:val="00A455B5"/>
    <w:rsid w:val="00A455D7"/>
    <w:rsid w:val="00A4561D"/>
    <w:rsid w:val="00A4562B"/>
    <w:rsid w:val="00A45659"/>
    <w:rsid w:val="00A4565B"/>
    <w:rsid w:val="00A45760"/>
    <w:rsid w:val="00A45769"/>
    <w:rsid w:val="00A45779"/>
    <w:rsid w:val="00A457BD"/>
    <w:rsid w:val="00A457E7"/>
    <w:rsid w:val="00A457F1"/>
    <w:rsid w:val="00A457F6"/>
    <w:rsid w:val="00A45839"/>
    <w:rsid w:val="00A458B0"/>
    <w:rsid w:val="00A4598E"/>
    <w:rsid w:val="00A459E9"/>
    <w:rsid w:val="00A459EC"/>
    <w:rsid w:val="00A459F3"/>
    <w:rsid w:val="00A45A26"/>
    <w:rsid w:val="00A45A2B"/>
    <w:rsid w:val="00A45A31"/>
    <w:rsid w:val="00A45A4A"/>
    <w:rsid w:val="00A45A6B"/>
    <w:rsid w:val="00A45AD0"/>
    <w:rsid w:val="00A45AF4"/>
    <w:rsid w:val="00A45B91"/>
    <w:rsid w:val="00A45BB4"/>
    <w:rsid w:val="00A45BBA"/>
    <w:rsid w:val="00A45C49"/>
    <w:rsid w:val="00A45C54"/>
    <w:rsid w:val="00A45C57"/>
    <w:rsid w:val="00A45D18"/>
    <w:rsid w:val="00A45D28"/>
    <w:rsid w:val="00A45DC6"/>
    <w:rsid w:val="00A45E2A"/>
    <w:rsid w:val="00A45E2E"/>
    <w:rsid w:val="00A45E35"/>
    <w:rsid w:val="00A45E3B"/>
    <w:rsid w:val="00A45EBB"/>
    <w:rsid w:val="00A45ECC"/>
    <w:rsid w:val="00A45F18"/>
    <w:rsid w:val="00A45F6B"/>
    <w:rsid w:val="00A45F9B"/>
    <w:rsid w:val="00A45FE3"/>
    <w:rsid w:val="00A46033"/>
    <w:rsid w:val="00A46044"/>
    <w:rsid w:val="00A46057"/>
    <w:rsid w:val="00A4606F"/>
    <w:rsid w:val="00A4609C"/>
    <w:rsid w:val="00A460E9"/>
    <w:rsid w:val="00A460F1"/>
    <w:rsid w:val="00A46124"/>
    <w:rsid w:val="00A46156"/>
    <w:rsid w:val="00A46178"/>
    <w:rsid w:val="00A4618B"/>
    <w:rsid w:val="00A461BB"/>
    <w:rsid w:val="00A461DC"/>
    <w:rsid w:val="00A46258"/>
    <w:rsid w:val="00A4625A"/>
    <w:rsid w:val="00A46275"/>
    <w:rsid w:val="00A462BB"/>
    <w:rsid w:val="00A462C9"/>
    <w:rsid w:val="00A462ED"/>
    <w:rsid w:val="00A46337"/>
    <w:rsid w:val="00A4634F"/>
    <w:rsid w:val="00A46366"/>
    <w:rsid w:val="00A4637B"/>
    <w:rsid w:val="00A463CB"/>
    <w:rsid w:val="00A463E4"/>
    <w:rsid w:val="00A4642A"/>
    <w:rsid w:val="00A46453"/>
    <w:rsid w:val="00A464A9"/>
    <w:rsid w:val="00A464AE"/>
    <w:rsid w:val="00A464B8"/>
    <w:rsid w:val="00A464CA"/>
    <w:rsid w:val="00A464D7"/>
    <w:rsid w:val="00A464ED"/>
    <w:rsid w:val="00A46540"/>
    <w:rsid w:val="00A4659E"/>
    <w:rsid w:val="00A465BE"/>
    <w:rsid w:val="00A465C1"/>
    <w:rsid w:val="00A4666D"/>
    <w:rsid w:val="00A466C3"/>
    <w:rsid w:val="00A46701"/>
    <w:rsid w:val="00A4670C"/>
    <w:rsid w:val="00A46733"/>
    <w:rsid w:val="00A4676D"/>
    <w:rsid w:val="00A46789"/>
    <w:rsid w:val="00A4678B"/>
    <w:rsid w:val="00A46844"/>
    <w:rsid w:val="00A46851"/>
    <w:rsid w:val="00A46883"/>
    <w:rsid w:val="00A468A6"/>
    <w:rsid w:val="00A4696B"/>
    <w:rsid w:val="00A46997"/>
    <w:rsid w:val="00A469A8"/>
    <w:rsid w:val="00A469AA"/>
    <w:rsid w:val="00A469D9"/>
    <w:rsid w:val="00A46A30"/>
    <w:rsid w:val="00A46A3C"/>
    <w:rsid w:val="00A46A5B"/>
    <w:rsid w:val="00A46A5F"/>
    <w:rsid w:val="00A46AEF"/>
    <w:rsid w:val="00A46B33"/>
    <w:rsid w:val="00A46B6C"/>
    <w:rsid w:val="00A46C5C"/>
    <w:rsid w:val="00A46C6E"/>
    <w:rsid w:val="00A46C82"/>
    <w:rsid w:val="00A46C89"/>
    <w:rsid w:val="00A46C92"/>
    <w:rsid w:val="00A46CDC"/>
    <w:rsid w:val="00A46CFB"/>
    <w:rsid w:val="00A46D20"/>
    <w:rsid w:val="00A46D50"/>
    <w:rsid w:val="00A46D58"/>
    <w:rsid w:val="00A46DE3"/>
    <w:rsid w:val="00A46E07"/>
    <w:rsid w:val="00A46E0E"/>
    <w:rsid w:val="00A46E31"/>
    <w:rsid w:val="00A46E66"/>
    <w:rsid w:val="00A46EC9"/>
    <w:rsid w:val="00A46F23"/>
    <w:rsid w:val="00A46F2F"/>
    <w:rsid w:val="00A46F36"/>
    <w:rsid w:val="00A46F43"/>
    <w:rsid w:val="00A46F55"/>
    <w:rsid w:val="00A46F7C"/>
    <w:rsid w:val="00A46FD5"/>
    <w:rsid w:val="00A46FE9"/>
    <w:rsid w:val="00A47055"/>
    <w:rsid w:val="00A470CA"/>
    <w:rsid w:val="00A470FB"/>
    <w:rsid w:val="00A4714A"/>
    <w:rsid w:val="00A471FA"/>
    <w:rsid w:val="00A4723E"/>
    <w:rsid w:val="00A47240"/>
    <w:rsid w:val="00A4724A"/>
    <w:rsid w:val="00A47322"/>
    <w:rsid w:val="00A4732F"/>
    <w:rsid w:val="00A4743D"/>
    <w:rsid w:val="00A474B7"/>
    <w:rsid w:val="00A474C5"/>
    <w:rsid w:val="00A4750A"/>
    <w:rsid w:val="00A47522"/>
    <w:rsid w:val="00A4754C"/>
    <w:rsid w:val="00A47588"/>
    <w:rsid w:val="00A475B6"/>
    <w:rsid w:val="00A475CB"/>
    <w:rsid w:val="00A47607"/>
    <w:rsid w:val="00A47694"/>
    <w:rsid w:val="00A4769E"/>
    <w:rsid w:val="00A476D2"/>
    <w:rsid w:val="00A4770B"/>
    <w:rsid w:val="00A4777F"/>
    <w:rsid w:val="00A4779D"/>
    <w:rsid w:val="00A477E8"/>
    <w:rsid w:val="00A477EF"/>
    <w:rsid w:val="00A47804"/>
    <w:rsid w:val="00A4783A"/>
    <w:rsid w:val="00A4791C"/>
    <w:rsid w:val="00A47936"/>
    <w:rsid w:val="00A47955"/>
    <w:rsid w:val="00A479B5"/>
    <w:rsid w:val="00A479B9"/>
    <w:rsid w:val="00A479DC"/>
    <w:rsid w:val="00A47A0B"/>
    <w:rsid w:val="00A47A53"/>
    <w:rsid w:val="00A47A84"/>
    <w:rsid w:val="00A47A88"/>
    <w:rsid w:val="00A47AEF"/>
    <w:rsid w:val="00A47B1C"/>
    <w:rsid w:val="00A47B2B"/>
    <w:rsid w:val="00A47B30"/>
    <w:rsid w:val="00A47B3B"/>
    <w:rsid w:val="00A47B4C"/>
    <w:rsid w:val="00A47B53"/>
    <w:rsid w:val="00A47BA6"/>
    <w:rsid w:val="00A47CA5"/>
    <w:rsid w:val="00A47CB5"/>
    <w:rsid w:val="00A47CF7"/>
    <w:rsid w:val="00A47D59"/>
    <w:rsid w:val="00A47DD3"/>
    <w:rsid w:val="00A47DD8"/>
    <w:rsid w:val="00A47DDB"/>
    <w:rsid w:val="00A47DDC"/>
    <w:rsid w:val="00A47DEB"/>
    <w:rsid w:val="00A47E3A"/>
    <w:rsid w:val="00A47E63"/>
    <w:rsid w:val="00A47F2A"/>
    <w:rsid w:val="00A47F38"/>
    <w:rsid w:val="00A47F42"/>
    <w:rsid w:val="00A47F4D"/>
    <w:rsid w:val="00A47F5F"/>
    <w:rsid w:val="00A47FC7"/>
    <w:rsid w:val="00A47FED"/>
    <w:rsid w:val="00A4BA01"/>
    <w:rsid w:val="00A50029"/>
    <w:rsid w:val="00A500D0"/>
    <w:rsid w:val="00A50150"/>
    <w:rsid w:val="00A5015C"/>
    <w:rsid w:val="00A5017B"/>
    <w:rsid w:val="00A5017E"/>
    <w:rsid w:val="00A50186"/>
    <w:rsid w:val="00A501AB"/>
    <w:rsid w:val="00A501E6"/>
    <w:rsid w:val="00A5022A"/>
    <w:rsid w:val="00A502F4"/>
    <w:rsid w:val="00A50324"/>
    <w:rsid w:val="00A5035E"/>
    <w:rsid w:val="00A50364"/>
    <w:rsid w:val="00A503A5"/>
    <w:rsid w:val="00A50433"/>
    <w:rsid w:val="00A50437"/>
    <w:rsid w:val="00A5048E"/>
    <w:rsid w:val="00A504FC"/>
    <w:rsid w:val="00A5051A"/>
    <w:rsid w:val="00A50558"/>
    <w:rsid w:val="00A5055B"/>
    <w:rsid w:val="00A50579"/>
    <w:rsid w:val="00A505F3"/>
    <w:rsid w:val="00A5060C"/>
    <w:rsid w:val="00A5060D"/>
    <w:rsid w:val="00A506A2"/>
    <w:rsid w:val="00A506AE"/>
    <w:rsid w:val="00A506D2"/>
    <w:rsid w:val="00A506DB"/>
    <w:rsid w:val="00A50714"/>
    <w:rsid w:val="00A50742"/>
    <w:rsid w:val="00A5074B"/>
    <w:rsid w:val="00A5074D"/>
    <w:rsid w:val="00A507AB"/>
    <w:rsid w:val="00A507DD"/>
    <w:rsid w:val="00A507F3"/>
    <w:rsid w:val="00A508B5"/>
    <w:rsid w:val="00A508BF"/>
    <w:rsid w:val="00A508F1"/>
    <w:rsid w:val="00A5094D"/>
    <w:rsid w:val="00A50A4F"/>
    <w:rsid w:val="00A50A5E"/>
    <w:rsid w:val="00A50A77"/>
    <w:rsid w:val="00A50A7C"/>
    <w:rsid w:val="00A50A85"/>
    <w:rsid w:val="00A50B21"/>
    <w:rsid w:val="00A50B3B"/>
    <w:rsid w:val="00A50B3F"/>
    <w:rsid w:val="00A50B65"/>
    <w:rsid w:val="00A50B70"/>
    <w:rsid w:val="00A50C2E"/>
    <w:rsid w:val="00A50CF1"/>
    <w:rsid w:val="00A50CF6"/>
    <w:rsid w:val="00A50D15"/>
    <w:rsid w:val="00A50D1C"/>
    <w:rsid w:val="00A50D28"/>
    <w:rsid w:val="00A50D4D"/>
    <w:rsid w:val="00A50DE9"/>
    <w:rsid w:val="00A50E0C"/>
    <w:rsid w:val="00A50E2F"/>
    <w:rsid w:val="00A50E3B"/>
    <w:rsid w:val="00A50E58"/>
    <w:rsid w:val="00A50E86"/>
    <w:rsid w:val="00A50E87"/>
    <w:rsid w:val="00A50F00"/>
    <w:rsid w:val="00A50F28"/>
    <w:rsid w:val="00A50F31"/>
    <w:rsid w:val="00A50F97"/>
    <w:rsid w:val="00A50FAA"/>
    <w:rsid w:val="00A50FB0"/>
    <w:rsid w:val="00A50FBF"/>
    <w:rsid w:val="00A50FDD"/>
    <w:rsid w:val="00A51012"/>
    <w:rsid w:val="00A51037"/>
    <w:rsid w:val="00A51061"/>
    <w:rsid w:val="00A51077"/>
    <w:rsid w:val="00A510C4"/>
    <w:rsid w:val="00A510CF"/>
    <w:rsid w:val="00A5113D"/>
    <w:rsid w:val="00A51164"/>
    <w:rsid w:val="00A51169"/>
    <w:rsid w:val="00A5117A"/>
    <w:rsid w:val="00A5119B"/>
    <w:rsid w:val="00A51227"/>
    <w:rsid w:val="00A5122B"/>
    <w:rsid w:val="00A51236"/>
    <w:rsid w:val="00A51242"/>
    <w:rsid w:val="00A5126D"/>
    <w:rsid w:val="00A51275"/>
    <w:rsid w:val="00A5129E"/>
    <w:rsid w:val="00A512BA"/>
    <w:rsid w:val="00A512CA"/>
    <w:rsid w:val="00A512CC"/>
    <w:rsid w:val="00A51311"/>
    <w:rsid w:val="00A51327"/>
    <w:rsid w:val="00A5132D"/>
    <w:rsid w:val="00A5133F"/>
    <w:rsid w:val="00A51363"/>
    <w:rsid w:val="00A51364"/>
    <w:rsid w:val="00A513C1"/>
    <w:rsid w:val="00A51466"/>
    <w:rsid w:val="00A51475"/>
    <w:rsid w:val="00A51488"/>
    <w:rsid w:val="00A514E0"/>
    <w:rsid w:val="00A514EF"/>
    <w:rsid w:val="00A51507"/>
    <w:rsid w:val="00A515C9"/>
    <w:rsid w:val="00A515D0"/>
    <w:rsid w:val="00A51639"/>
    <w:rsid w:val="00A5163B"/>
    <w:rsid w:val="00A516B6"/>
    <w:rsid w:val="00A516C6"/>
    <w:rsid w:val="00A51704"/>
    <w:rsid w:val="00A5173D"/>
    <w:rsid w:val="00A51785"/>
    <w:rsid w:val="00A517A8"/>
    <w:rsid w:val="00A517CB"/>
    <w:rsid w:val="00A517D3"/>
    <w:rsid w:val="00A517E4"/>
    <w:rsid w:val="00A517EC"/>
    <w:rsid w:val="00A51821"/>
    <w:rsid w:val="00A51871"/>
    <w:rsid w:val="00A51880"/>
    <w:rsid w:val="00A518B0"/>
    <w:rsid w:val="00A518D9"/>
    <w:rsid w:val="00A518E2"/>
    <w:rsid w:val="00A51906"/>
    <w:rsid w:val="00A51945"/>
    <w:rsid w:val="00A5196B"/>
    <w:rsid w:val="00A51982"/>
    <w:rsid w:val="00A519B0"/>
    <w:rsid w:val="00A519B7"/>
    <w:rsid w:val="00A519C0"/>
    <w:rsid w:val="00A519C1"/>
    <w:rsid w:val="00A519C8"/>
    <w:rsid w:val="00A519FB"/>
    <w:rsid w:val="00A51A22"/>
    <w:rsid w:val="00A51A3E"/>
    <w:rsid w:val="00A51A70"/>
    <w:rsid w:val="00A51AC5"/>
    <w:rsid w:val="00A51AEB"/>
    <w:rsid w:val="00A51AF0"/>
    <w:rsid w:val="00A51B2E"/>
    <w:rsid w:val="00A51B54"/>
    <w:rsid w:val="00A51B99"/>
    <w:rsid w:val="00A51C22"/>
    <w:rsid w:val="00A51C2F"/>
    <w:rsid w:val="00A51C32"/>
    <w:rsid w:val="00A51C33"/>
    <w:rsid w:val="00A51C66"/>
    <w:rsid w:val="00A51CA2"/>
    <w:rsid w:val="00A51CB7"/>
    <w:rsid w:val="00A51CD2"/>
    <w:rsid w:val="00A51D46"/>
    <w:rsid w:val="00A51D90"/>
    <w:rsid w:val="00A51DEC"/>
    <w:rsid w:val="00A51DFF"/>
    <w:rsid w:val="00A51E3F"/>
    <w:rsid w:val="00A51E51"/>
    <w:rsid w:val="00A51E52"/>
    <w:rsid w:val="00A51E6E"/>
    <w:rsid w:val="00A51E84"/>
    <w:rsid w:val="00A51EA9"/>
    <w:rsid w:val="00A51EE0"/>
    <w:rsid w:val="00A51EF1"/>
    <w:rsid w:val="00A51F01"/>
    <w:rsid w:val="00A51F99"/>
    <w:rsid w:val="00A51FA2"/>
    <w:rsid w:val="00A51FB4"/>
    <w:rsid w:val="00A51FD4"/>
    <w:rsid w:val="00A51FDD"/>
    <w:rsid w:val="00A520EA"/>
    <w:rsid w:val="00A521D1"/>
    <w:rsid w:val="00A5220E"/>
    <w:rsid w:val="00A52242"/>
    <w:rsid w:val="00A5225E"/>
    <w:rsid w:val="00A52289"/>
    <w:rsid w:val="00A5228A"/>
    <w:rsid w:val="00A522BF"/>
    <w:rsid w:val="00A522E7"/>
    <w:rsid w:val="00A52304"/>
    <w:rsid w:val="00A52348"/>
    <w:rsid w:val="00A52358"/>
    <w:rsid w:val="00A5236C"/>
    <w:rsid w:val="00A52384"/>
    <w:rsid w:val="00A523CC"/>
    <w:rsid w:val="00A523D0"/>
    <w:rsid w:val="00A523D6"/>
    <w:rsid w:val="00A524C2"/>
    <w:rsid w:val="00A524C3"/>
    <w:rsid w:val="00A524F7"/>
    <w:rsid w:val="00A5253C"/>
    <w:rsid w:val="00A5256F"/>
    <w:rsid w:val="00A525B7"/>
    <w:rsid w:val="00A525E3"/>
    <w:rsid w:val="00A5260E"/>
    <w:rsid w:val="00A52630"/>
    <w:rsid w:val="00A5266E"/>
    <w:rsid w:val="00A526C3"/>
    <w:rsid w:val="00A52745"/>
    <w:rsid w:val="00A527B5"/>
    <w:rsid w:val="00A52873"/>
    <w:rsid w:val="00A52892"/>
    <w:rsid w:val="00A528BC"/>
    <w:rsid w:val="00A528E5"/>
    <w:rsid w:val="00A52926"/>
    <w:rsid w:val="00A5292C"/>
    <w:rsid w:val="00A5295C"/>
    <w:rsid w:val="00A52964"/>
    <w:rsid w:val="00A529CB"/>
    <w:rsid w:val="00A529DD"/>
    <w:rsid w:val="00A52A6A"/>
    <w:rsid w:val="00A52A6B"/>
    <w:rsid w:val="00A52A8B"/>
    <w:rsid w:val="00A52AC7"/>
    <w:rsid w:val="00A52B03"/>
    <w:rsid w:val="00A52B2C"/>
    <w:rsid w:val="00A52B77"/>
    <w:rsid w:val="00A52BAD"/>
    <w:rsid w:val="00A52BC5"/>
    <w:rsid w:val="00A52C51"/>
    <w:rsid w:val="00A52CDD"/>
    <w:rsid w:val="00A52D10"/>
    <w:rsid w:val="00A52D16"/>
    <w:rsid w:val="00A52D3C"/>
    <w:rsid w:val="00A52D71"/>
    <w:rsid w:val="00A52DAC"/>
    <w:rsid w:val="00A52DFE"/>
    <w:rsid w:val="00A52E4F"/>
    <w:rsid w:val="00A52E83"/>
    <w:rsid w:val="00A52EE8"/>
    <w:rsid w:val="00A52F5A"/>
    <w:rsid w:val="00A52FE2"/>
    <w:rsid w:val="00A53001"/>
    <w:rsid w:val="00A5307B"/>
    <w:rsid w:val="00A530BC"/>
    <w:rsid w:val="00A5313C"/>
    <w:rsid w:val="00A53156"/>
    <w:rsid w:val="00A5317E"/>
    <w:rsid w:val="00A5318D"/>
    <w:rsid w:val="00A5319B"/>
    <w:rsid w:val="00A53206"/>
    <w:rsid w:val="00A5329B"/>
    <w:rsid w:val="00A532AE"/>
    <w:rsid w:val="00A532D4"/>
    <w:rsid w:val="00A53405"/>
    <w:rsid w:val="00A53431"/>
    <w:rsid w:val="00A5347C"/>
    <w:rsid w:val="00A53488"/>
    <w:rsid w:val="00A534B8"/>
    <w:rsid w:val="00A53512"/>
    <w:rsid w:val="00A5352E"/>
    <w:rsid w:val="00A53565"/>
    <w:rsid w:val="00A53566"/>
    <w:rsid w:val="00A535AD"/>
    <w:rsid w:val="00A5360B"/>
    <w:rsid w:val="00A5367D"/>
    <w:rsid w:val="00A536F1"/>
    <w:rsid w:val="00A536F8"/>
    <w:rsid w:val="00A5371F"/>
    <w:rsid w:val="00A53727"/>
    <w:rsid w:val="00A537C9"/>
    <w:rsid w:val="00A5382B"/>
    <w:rsid w:val="00A53833"/>
    <w:rsid w:val="00A53908"/>
    <w:rsid w:val="00A53954"/>
    <w:rsid w:val="00A53998"/>
    <w:rsid w:val="00A539AD"/>
    <w:rsid w:val="00A53A04"/>
    <w:rsid w:val="00A53AB0"/>
    <w:rsid w:val="00A53AB3"/>
    <w:rsid w:val="00A53AB6"/>
    <w:rsid w:val="00A53B17"/>
    <w:rsid w:val="00A53B4C"/>
    <w:rsid w:val="00A53BA9"/>
    <w:rsid w:val="00A53BB5"/>
    <w:rsid w:val="00A53BBE"/>
    <w:rsid w:val="00A53CD1"/>
    <w:rsid w:val="00A53D56"/>
    <w:rsid w:val="00A53DCE"/>
    <w:rsid w:val="00A53E04"/>
    <w:rsid w:val="00A53E19"/>
    <w:rsid w:val="00A53E56"/>
    <w:rsid w:val="00A53EA0"/>
    <w:rsid w:val="00A53EDB"/>
    <w:rsid w:val="00A53EE7"/>
    <w:rsid w:val="00A53F31"/>
    <w:rsid w:val="00A53F45"/>
    <w:rsid w:val="00A53FBA"/>
    <w:rsid w:val="00A53FD8"/>
    <w:rsid w:val="00A53FDE"/>
    <w:rsid w:val="00A54007"/>
    <w:rsid w:val="00A5402C"/>
    <w:rsid w:val="00A54073"/>
    <w:rsid w:val="00A5408A"/>
    <w:rsid w:val="00A54097"/>
    <w:rsid w:val="00A5414B"/>
    <w:rsid w:val="00A541B0"/>
    <w:rsid w:val="00A541CD"/>
    <w:rsid w:val="00A5421B"/>
    <w:rsid w:val="00A5430F"/>
    <w:rsid w:val="00A5433C"/>
    <w:rsid w:val="00A5436B"/>
    <w:rsid w:val="00A54379"/>
    <w:rsid w:val="00A5446F"/>
    <w:rsid w:val="00A54479"/>
    <w:rsid w:val="00A5447E"/>
    <w:rsid w:val="00A5448B"/>
    <w:rsid w:val="00A544B5"/>
    <w:rsid w:val="00A54525"/>
    <w:rsid w:val="00A5453B"/>
    <w:rsid w:val="00A5456B"/>
    <w:rsid w:val="00A5458B"/>
    <w:rsid w:val="00A5464B"/>
    <w:rsid w:val="00A5466A"/>
    <w:rsid w:val="00A546B9"/>
    <w:rsid w:val="00A54709"/>
    <w:rsid w:val="00A5473D"/>
    <w:rsid w:val="00A5475C"/>
    <w:rsid w:val="00A5479C"/>
    <w:rsid w:val="00A547CF"/>
    <w:rsid w:val="00A54817"/>
    <w:rsid w:val="00A548F9"/>
    <w:rsid w:val="00A54914"/>
    <w:rsid w:val="00A5494C"/>
    <w:rsid w:val="00A54955"/>
    <w:rsid w:val="00A54960"/>
    <w:rsid w:val="00A54988"/>
    <w:rsid w:val="00A5498E"/>
    <w:rsid w:val="00A549B0"/>
    <w:rsid w:val="00A54A33"/>
    <w:rsid w:val="00A54A5E"/>
    <w:rsid w:val="00A54A5F"/>
    <w:rsid w:val="00A54A9E"/>
    <w:rsid w:val="00A54AE0"/>
    <w:rsid w:val="00A54BD2"/>
    <w:rsid w:val="00A54CC0"/>
    <w:rsid w:val="00A54D19"/>
    <w:rsid w:val="00A54D32"/>
    <w:rsid w:val="00A54D8D"/>
    <w:rsid w:val="00A54DB8"/>
    <w:rsid w:val="00A54DC5"/>
    <w:rsid w:val="00A54E76"/>
    <w:rsid w:val="00A54E7B"/>
    <w:rsid w:val="00A54EB2"/>
    <w:rsid w:val="00A54ECA"/>
    <w:rsid w:val="00A54F06"/>
    <w:rsid w:val="00A54F54"/>
    <w:rsid w:val="00A54F6F"/>
    <w:rsid w:val="00A54F74"/>
    <w:rsid w:val="00A54F8E"/>
    <w:rsid w:val="00A54FBE"/>
    <w:rsid w:val="00A54FCC"/>
    <w:rsid w:val="00A54FFF"/>
    <w:rsid w:val="00A55031"/>
    <w:rsid w:val="00A55045"/>
    <w:rsid w:val="00A5504B"/>
    <w:rsid w:val="00A55054"/>
    <w:rsid w:val="00A5509C"/>
    <w:rsid w:val="00A550AB"/>
    <w:rsid w:val="00A550D0"/>
    <w:rsid w:val="00A55105"/>
    <w:rsid w:val="00A5511C"/>
    <w:rsid w:val="00A5511D"/>
    <w:rsid w:val="00A55140"/>
    <w:rsid w:val="00A5515E"/>
    <w:rsid w:val="00A55188"/>
    <w:rsid w:val="00A551A5"/>
    <w:rsid w:val="00A551FB"/>
    <w:rsid w:val="00A55230"/>
    <w:rsid w:val="00A55280"/>
    <w:rsid w:val="00A552CB"/>
    <w:rsid w:val="00A552D6"/>
    <w:rsid w:val="00A552DA"/>
    <w:rsid w:val="00A552E6"/>
    <w:rsid w:val="00A55331"/>
    <w:rsid w:val="00A55361"/>
    <w:rsid w:val="00A55374"/>
    <w:rsid w:val="00A553BB"/>
    <w:rsid w:val="00A5545A"/>
    <w:rsid w:val="00A554A1"/>
    <w:rsid w:val="00A554E8"/>
    <w:rsid w:val="00A554FE"/>
    <w:rsid w:val="00A55522"/>
    <w:rsid w:val="00A555B3"/>
    <w:rsid w:val="00A55687"/>
    <w:rsid w:val="00A556EA"/>
    <w:rsid w:val="00A5571A"/>
    <w:rsid w:val="00A55787"/>
    <w:rsid w:val="00A55799"/>
    <w:rsid w:val="00A557A5"/>
    <w:rsid w:val="00A557E8"/>
    <w:rsid w:val="00A557EC"/>
    <w:rsid w:val="00A557F9"/>
    <w:rsid w:val="00A55899"/>
    <w:rsid w:val="00A55905"/>
    <w:rsid w:val="00A5593C"/>
    <w:rsid w:val="00A55971"/>
    <w:rsid w:val="00A5597C"/>
    <w:rsid w:val="00A55A15"/>
    <w:rsid w:val="00A55A4B"/>
    <w:rsid w:val="00A55A8B"/>
    <w:rsid w:val="00A55AD1"/>
    <w:rsid w:val="00A55ADB"/>
    <w:rsid w:val="00A55ADC"/>
    <w:rsid w:val="00A55BA3"/>
    <w:rsid w:val="00A55BB0"/>
    <w:rsid w:val="00A55BEE"/>
    <w:rsid w:val="00A55C1A"/>
    <w:rsid w:val="00A55C41"/>
    <w:rsid w:val="00A55D04"/>
    <w:rsid w:val="00A55D1F"/>
    <w:rsid w:val="00A55D2E"/>
    <w:rsid w:val="00A55D87"/>
    <w:rsid w:val="00A55DD5"/>
    <w:rsid w:val="00A55DD7"/>
    <w:rsid w:val="00A55DDB"/>
    <w:rsid w:val="00A55DE0"/>
    <w:rsid w:val="00A55E4C"/>
    <w:rsid w:val="00A55E9A"/>
    <w:rsid w:val="00A55EAD"/>
    <w:rsid w:val="00A55EC4"/>
    <w:rsid w:val="00A55EE5"/>
    <w:rsid w:val="00A55F74"/>
    <w:rsid w:val="00A55FA1"/>
    <w:rsid w:val="00A55FBF"/>
    <w:rsid w:val="00A55FC6"/>
    <w:rsid w:val="00A5604D"/>
    <w:rsid w:val="00A5607C"/>
    <w:rsid w:val="00A560B7"/>
    <w:rsid w:val="00A560F8"/>
    <w:rsid w:val="00A56146"/>
    <w:rsid w:val="00A5615E"/>
    <w:rsid w:val="00A5616F"/>
    <w:rsid w:val="00A56184"/>
    <w:rsid w:val="00A561DD"/>
    <w:rsid w:val="00A561E0"/>
    <w:rsid w:val="00A561E8"/>
    <w:rsid w:val="00A56200"/>
    <w:rsid w:val="00A56254"/>
    <w:rsid w:val="00A5626F"/>
    <w:rsid w:val="00A56286"/>
    <w:rsid w:val="00A5628A"/>
    <w:rsid w:val="00A56346"/>
    <w:rsid w:val="00A56348"/>
    <w:rsid w:val="00A5634C"/>
    <w:rsid w:val="00A56445"/>
    <w:rsid w:val="00A56461"/>
    <w:rsid w:val="00A56561"/>
    <w:rsid w:val="00A56571"/>
    <w:rsid w:val="00A5657F"/>
    <w:rsid w:val="00A5658B"/>
    <w:rsid w:val="00A565BA"/>
    <w:rsid w:val="00A565CA"/>
    <w:rsid w:val="00A565EB"/>
    <w:rsid w:val="00A566A5"/>
    <w:rsid w:val="00A566E1"/>
    <w:rsid w:val="00A56709"/>
    <w:rsid w:val="00A5670A"/>
    <w:rsid w:val="00A567AD"/>
    <w:rsid w:val="00A567B0"/>
    <w:rsid w:val="00A567EF"/>
    <w:rsid w:val="00A567F9"/>
    <w:rsid w:val="00A5680B"/>
    <w:rsid w:val="00A5680F"/>
    <w:rsid w:val="00A5687C"/>
    <w:rsid w:val="00A568A9"/>
    <w:rsid w:val="00A56911"/>
    <w:rsid w:val="00A5697F"/>
    <w:rsid w:val="00A5698A"/>
    <w:rsid w:val="00A569B4"/>
    <w:rsid w:val="00A56A0B"/>
    <w:rsid w:val="00A56A9C"/>
    <w:rsid w:val="00A56AED"/>
    <w:rsid w:val="00A56B14"/>
    <w:rsid w:val="00A56B35"/>
    <w:rsid w:val="00A56B3F"/>
    <w:rsid w:val="00A56B46"/>
    <w:rsid w:val="00A56B9E"/>
    <w:rsid w:val="00A56C10"/>
    <w:rsid w:val="00A56C70"/>
    <w:rsid w:val="00A56C81"/>
    <w:rsid w:val="00A56CB0"/>
    <w:rsid w:val="00A56CE2"/>
    <w:rsid w:val="00A56D00"/>
    <w:rsid w:val="00A56D4F"/>
    <w:rsid w:val="00A56DC6"/>
    <w:rsid w:val="00A56E28"/>
    <w:rsid w:val="00A56E2C"/>
    <w:rsid w:val="00A56E60"/>
    <w:rsid w:val="00A56E8B"/>
    <w:rsid w:val="00A56E8C"/>
    <w:rsid w:val="00A56E95"/>
    <w:rsid w:val="00A56E9D"/>
    <w:rsid w:val="00A56F1E"/>
    <w:rsid w:val="00A56F20"/>
    <w:rsid w:val="00A56F22"/>
    <w:rsid w:val="00A56F24"/>
    <w:rsid w:val="00A56F74"/>
    <w:rsid w:val="00A56FF9"/>
    <w:rsid w:val="00A57025"/>
    <w:rsid w:val="00A57027"/>
    <w:rsid w:val="00A5705C"/>
    <w:rsid w:val="00A57086"/>
    <w:rsid w:val="00A570D8"/>
    <w:rsid w:val="00A570DE"/>
    <w:rsid w:val="00A570EB"/>
    <w:rsid w:val="00A570F0"/>
    <w:rsid w:val="00A5712E"/>
    <w:rsid w:val="00A57167"/>
    <w:rsid w:val="00A5716F"/>
    <w:rsid w:val="00A571BF"/>
    <w:rsid w:val="00A57216"/>
    <w:rsid w:val="00A5721D"/>
    <w:rsid w:val="00A57228"/>
    <w:rsid w:val="00A57245"/>
    <w:rsid w:val="00A572A3"/>
    <w:rsid w:val="00A57303"/>
    <w:rsid w:val="00A57336"/>
    <w:rsid w:val="00A57391"/>
    <w:rsid w:val="00A573B7"/>
    <w:rsid w:val="00A5746D"/>
    <w:rsid w:val="00A574B3"/>
    <w:rsid w:val="00A57507"/>
    <w:rsid w:val="00A57514"/>
    <w:rsid w:val="00A57529"/>
    <w:rsid w:val="00A57593"/>
    <w:rsid w:val="00A575EB"/>
    <w:rsid w:val="00A575F4"/>
    <w:rsid w:val="00A57613"/>
    <w:rsid w:val="00A576C1"/>
    <w:rsid w:val="00A5770A"/>
    <w:rsid w:val="00A57773"/>
    <w:rsid w:val="00A57780"/>
    <w:rsid w:val="00A577CB"/>
    <w:rsid w:val="00A577DF"/>
    <w:rsid w:val="00A57813"/>
    <w:rsid w:val="00A578A7"/>
    <w:rsid w:val="00A578C7"/>
    <w:rsid w:val="00A57915"/>
    <w:rsid w:val="00A57929"/>
    <w:rsid w:val="00A57932"/>
    <w:rsid w:val="00A579A1"/>
    <w:rsid w:val="00A579F3"/>
    <w:rsid w:val="00A57A12"/>
    <w:rsid w:val="00A57A2E"/>
    <w:rsid w:val="00A57A5D"/>
    <w:rsid w:val="00A57A68"/>
    <w:rsid w:val="00A57AD0"/>
    <w:rsid w:val="00A57B04"/>
    <w:rsid w:val="00A57B09"/>
    <w:rsid w:val="00A57B1E"/>
    <w:rsid w:val="00A57B20"/>
    <w:rsid w:val="00A57B2D"/>
    <w:rsid w:val="00A57BF1"/>
    <w:rsid w:val="00A57CF8"/>
    <w:rsid w:val="00A57E03"/>
    <w:rsid w:val="00A57E21"/>
    <w:rsid w:val="00A57E55"/>
    <w:rsid w:val="00A57E62"/>
    <w:rsid w:val="00A57EA0"/>
    <w:rsid w:val="00A57EA3"/>
    <w:rsid w:val="00A57EA4"/>
    <w:rsid w:val="00A57EC5"/>
    <w:rsid w:val="00A57EE2"/>
    <w:rsid w:val="00A57EF4"/>
    <w:rsid w:val="00A57F57"/>
    <w:rsid w:val="00A57FA1"/>
    <w:rsid w:val="00A57FB1"/>
    <w:rsid w:val="00A57FFA"/>
    <w:rsid w:val="00A5E817"/>
    <w:rsid w:val="00A5FF3E"/>
    <w:rsid w:val="00A60015"/>
    <w:rsid w:val="00A60081"/>
    <w:rsid w:val="00A600E0"/>
    <w:rsid w:val="00A60103"/>
    <w:rsid w:val="00A6010A"/>
    <w:rsid w:val="00A60175"/>
    <w:rsid w:val="00A60196"/>
    <w:rsid w:val="00A601BB"/>
    <w:rsid w:val="00A60211"/>
    <w:rsid w:val="00A60238"/>
    <w:rsid w:val="00A60278"/>
    <w:rsid w:val="00A6027B"/>
    <w:rsid w:val="00A602B3"/>
    <w:rsid w:val="00A60302"/>
    <w:rsid w:val="00A60307"/>
    <w:rsid w:val="00A60308"/>
    <w:rsid w:val="00A60375"/>
    <w:rsid w:val="00A603C8"/>
    <w:rsid w:val="00A6040E"/>
    <w:rsid w:val="00A60469"/>
    <w:rsid w:val="00A60477"/>
    <w:rsid w:val="00A60515"/>
    <w:rsid w:val="00A60562"/>
    <w:rsid w:val="00A6056F"/>
    <w:rsid w:val="00A60594"/>
    <w:rsid w:val="00A6064C"/>
    <w:rsid w:val="00A60692"/>
    <w:rsid w:val="00A606BD"/>
    <w:rsid w:val="00A606CB"/>
    <w:rsid w:val="00A60772"/>
    <w:rsid w:val="00A6077D"/>
    <w:rsid w:val="00A607C5"/>
    <w:rsid w:val="00A607EC"/>
    <w:rsid w:val="00A60807"/>
    <w:rsid w:val="00A6080E"/>
    <w:rsid w:val="00A60851"/>
    <w:rsid w:val="00A608C9"/>
    <w:rsid w:val="00A608D9"/>
    <w:rsid w:val="00A608F4"/>
    <w:rsid w:val="00A6091C"/>
    <w:rsid w:val="00A6091F"/>
    <w:rsid w:val="00A6095D"/>
    <w:rsid w:val="00A6095E"/>
    <w:rsid w:val="00A6096E"/>
    <w:rsid w:val="00A609F0"/>
    <w:rsid w:val="00A60A5B"/>
    <w:rsid w:val="00A60AD6"/>
    <w:rsid w:val="00A60AF9"/>
    <w:rsid w:val="00A60B45"/>
    <w:rsid w:val="00A60B5C"/>
    <w:rsid w:val="00A60B6E"/>
    <w:rsid w:val="00A60B95"/>
    <w:rsid w:val="00A60C13"/>
    <w:rsid w:val="00A60C15"/>
    <w:rsid w:val="00A60C4F"/>
    <w:rsid w:val="00A60CA5"/>
    <w:rsid w:val="00A60CEF"/>
    <w:rsid w:val="00A60CF3"/>
    <w:rsid w:val="00A60D37"/>
    <w:rsid w:val="00A60D3F"/>
    <w:rsid w:val="00A60D5A"/>
    <w:rsid w:val="00A60D5F"/>
    <w:rsid w:val="00A60E17"/>
    <w:rsid w:val="00A60E33"/>
    <w:rsid w:val="00A60E4E"/>
    <w:rsid w:val="00A60E53"/>
    <w:rsid w:val="00A60E56"/>
    <w:rsid w:val="00A60E9B"/>
    <w:rsid w:val="00A60EA0"/>
    <w:rsid w:val="00A60F1F"/>
    <w:rsid w:val="00A60F5D"/>
    <w:rsid w:val="00A60FB7"/>
    <w:rsid w:val="00A60FBC"/>
    <w:rsid w:val="00A60FC2"/>
    <w:rsid w:val="00A6107F"/>
    <w:rsid w:val="00A61083"/>
    <w:rsid w:val="00A6109C"/>
    <w:rsid w:val="00A610A2"/>
    <w:rsid w:val="00A610A8"/>
    <w:rsid w:val="00A61194"/>
    <w:rsid w:val="00A611D1"/>
    <w:rsid w:val="00A612AA"/>
    <w:rsid w:val="00A612C5"/>
    <w:rsid w:val="00A612F2"/>
    <w:rsid w:val="00A61393"/>
    <w:rsid w:val="00A61499"/>
    <w:rsid w:val="00A614AC"/>
    <w:rsid w:val="00A614B5"/>
    <w:rsid w:val="00A614C6"/>
    <w:rsid w:val="00A614CE"/>
    <w:rsid w:val="00A61520"/>
    <w:rsid w:val="00A61528"/>
    <w:rsid w:val="00A6156C"/>
    <w:rsid w:val="00A61585"/>
    <w:rsid w:val="00A615A4"/>
    <w:rsid w:val="00A615A6"/>
    <w:rsid w:val="00A61636"/>
    <w:rsid w:val="00A61637"/>
    <w:rsid w:val="00A6164A"/>
    <w:rsid w:val="00A61666"/>
    <w:rsid w:val="00A616C7"/>
    <w:rsid w:val="00A61707"/>
    <w:rsid w:val="00A6176A"/>
    <w:rsid w:val="00A61807"/>
    <w:rsid w:val="00A61845"/>
    <w:rsid w:val="00A618A7"/>
    <w:rsid w:val="00A618C1"/>
    <w:rsid w:val="00A618E3"/>
    <w:rsid w:val="00A618F8"/>
    <w:rsid w:val="00A61983"/>
    <w:rsid w:val="00A619C1"/>
    <w:rsid w:val="00A619C6"/>
    <w:rsid w:val="00A619C7"/>
    <w:rsid w:val="00A61AB7"/>
    <w:rsid w:val="00A61AC5"/>
    <w:rsid w:val="00A61B02"/>
    <w:rsid w:val="00A61B48"/>
    <w:rsid w:val="00A61B7F"/>
    <w:rsid w:val="00A61BDA"/>
    <w:rsid w:val="00A61BE2"/>
    <w:rsid w:val="00A61C00"/>
    <w:rsid w:val="00A61C12"/>
    <w:rsid w:val="00A61CAB"/>
    <w:rsid w:val="00A61CD5"/>
    <w:rsid w:val="00A61D09"/>
    <w:rsid w:val="00A61D2E"/>
    <w:rsid w:val="00A61D38"/>
    <w:rsid w:val="00A61D84"/>
    <w:rsid w:val="00A61DDB"/>
    <w:rsid w:val="00A61E30"/>
    <w:rsid w:val="00A61EBE"/>
    <w:rsid w:val="00A61EEF"/>
    <w:rsid w:val="00A61F2B"/>
    <w:rsid w:val="00A61F32"/>
    <w:rsid w:val="00A61F57"/>
    <w:rsid w:val="00A61FA2"/>
    <w:rsid w:val="00A61FCB"/>
    <w:rsid w:val="00A61FE7"/>
    <w:rsid w:val="00A6201A"/>
    <w:rsid w:val="00A62029"/>
    <w:rsid w:val="00A6202A"/>
    <w:rsid w:val="00A62050"/>
    <w:rsid w:val="00A62072"/>
    <w:rsid w:val="00A620A3"/>
    <w:rsid w:val="00A620DF"/>
    <w:rsid w:val="00A620ED"/>
    <w:rsid w:val="00A62108"/>
    <w:rsid w:val="00A62134"/>
    <w:rsid w:val="00A62169"/>
    <w:rsid w:val="00A621C5"/>
    <w:rsid w:val="00A621F6"/>
    <w:rsid w:val="00A62216"/>
    <w:rsid w:val="00A622A9"/>
    <w:rsid w:val="00A622D2"/>
    <w:rsid w:val="00A6237C"/>
    <w:rsid w:val="00A6239E"/>
    <w:rsid w:val="00A623B0"/>
    <w:rsid w:val="00A623C5"/>
    <w:rsid w:val="00A623CD"/>
    <w:rsid w:val="00A623CE"/>
    <w:rsid w:val="00A62418"/>
    <w:rsid w:val="00A62444"/>
    <w:rsid w:val="00A624BC"/>
    <w:rsid w:val="00A624E6"/>
    <w:rsid w:val="00A624ED"/>
    <w:rsid w:val="00A6253E"/>
    <w:rsid w:val="00A62549"/>
    <w:rsid w:val="00A625BD"/>
    <w:rsid w:val="00A625C3"/>
    <w:rsid w:val="00A625E8"/>
    <w:rsid w:val="00A625ED"/>
    <w:rsid w:val="00A6269B"/>
    <w:rsid w:val="00A626CD"/>
    <w:rsid w:val="00A626E1"/>
    <w:rsid w:val="00A626F9"/>
    <w:rsid w:val="00A6270A"/>
    <w:rsid w:val="00A62752"/>
    <w:rsid w:val="00A6275B"/>
    <w:rsid w:val="00A62794"/>
    <w:rsid w:val="00A62795"/>
    <w:rsid w:val="00A627C9"/>
    <w:rsid w:val="00A62804"/>
    <w:rsid w:val="00A6285B"/>
    <w:rsid w:val="00A62867"/>
    <w:rsid w:val="00A628C6"/>
    <w:rsid w:val="00A628FD"/>
    <w:rsid w:val="00A62912"/>
    <w:rsid w:val="00A62921"/>
    <w:rsid w:val="00A6294B"/>
    <w:rsid w:val="00A629C2"/>
    <w:rsid w:val="00A629EA"/>
    <w:rsid w:val="00A629EF"/>
    <w:rsid w:val="00A62A28"/>
    <w:rsid w:val="00A62A32"/>
    <w:rsid w:val="00A62A97"/>
    <w:rsid w:val="00A62ADB"/>
    <w:rsid w:val="00A62AEC"/>
    <w:rsid w:val="00A62B0F"/>
    <w:rsid w:val="00A62B35"/>
    <w:rsid w:val="00A62B88"/>
    <w:rsid w:val="00A62BDB"/>
    <w:rsid w:val="00A62BFD"/>
    <w:rsid w:val="00A62C5E"/>
    <w:rsid w:val="00A62D47"/>
    <w:rsid w:val="00A62DE5"/>
    <w:rsid w:val="00A62E0D"/>
    <w:rsid w:val="00A62E17"/>
    <w:rsid w:val="00A62E21"/>
    <w:rsid w:val="00A62E3E"/>
    <w:rsid w:val="00A62E45"/>
    <w:rsid w:val="00A62E52"/>
    <w:rsid w:val="00A62EE9"/>
    <w:rsid w:val="00A62F5B"/>
    <w:rsid w:val="00A62F97"/>
    <w:rsid w:val="00A62F9D"/>
    <w:rsid w:val="00A62FDD"/>
    <w:rsid w:val="00A63021"/>
    <w:rsid w:val="00A630E8"/>
    <w:rsid w:val="00A63112"/>
    <w:rsid w:val="00A63121"/>
    <w:rsid w:val="00A6324C"/>
    <w:rsid w:val="00A63271"/>
    <w:rsid w:val="00A63283"/>
    <w:rsid w:val="00A632CC"/>
    <w:rsid w:val="00A63327"/>
    <w:rsid w:val="00A63344"/>
    <w:rsid w:val="00A63394"/>
    <w:rsid w:val="00A633A8"/>
    <w:rsid w:val="00A634A6"/>
    <w:rsid w:val="00A63559"/>
    <w:rsid w:val="00A635D3"/>
    <w:rsid w:val="00A635EF"/>
    <w:rsid w:val="00A635F3"/>
    <w:rsid w:val="00A63600"/>
    <w:rsid w:val="00A63647"/>
    <w:rsid w:val="00A63677"/>
    <w:rsid w:val="00A636C7"/>
    <w:rsid w:val="00A63704"/>
    <w:rsid w:val="00A6373D"/>
    <w:rsid w:val="00A63775"/>
    <w:rsid w:val="00A6379A"/>
    <w:rsid w:val="00A6381B"/>
    <w:rsid w:val="00A6384E"/>
    <w:rsid w:val="00A63856"/>
    <w:rsid w:val="00A63866"/>
    <w:rsid w:val="00A638C6"/>
    <w:rsid w:val="00A63940"/>
    <w:rsid w:val="00A6397C"/>
    <w:rsid w:val="00A639D8"/>
    <w:rsid w:val="00A63A35"/>
    <w:rsid w:val="00A63AD8"/>
    <w:rsid w:val="00A63AF0"/>
    <w:rsid w:val="00A63B40"/>
    <w:rsid w:val="00A63BC8"/>
    <w:rsid w:val="00A63BDB"/>
    <w:rsid w:val="00A63BDD"/>
    <w:rsid w:val="00A63BEF"/>
    <w:rsid w:val="00A63C2B"/>
    <w:rsid w:val="00A63C43"/>
    <w:rsid w:val="00A63C79"/>
    <w:rsid w:val="00A63C8A"/>
    <w:rsid w:val="00A63CCD"/>
    <w:rsid w:val="00A63CDD"/>
    <w:rsid w:val="00A63D08"/>
    <w:rsid w:val="00A63D1D"/>
    <w:rsid w:val="00A63D24"/>
    <w:rsid w:val="00A63D38"/>
    <w:rsid w:val="00A63D4C"/>
    <w:rsid w:val="00A63D5F"/>
    <w:rsid w:val="00A63D8D"/>
    <w:rsid w:val="00A63DBB"/>
    <w:rsid w:val="00A63F02"/>
    <w:rsid w:val="00A63F22"/>
    <w:rsid w:val="00A63F45"/>
    <w:rsid w:val="00A63F54"/>
    <w:rsid w:val="00A63F67"/>
    <w:rsid w:val="00A63FB2"/>
    <w:rsid w:val="00A63FBA"/>
    <w:rsid w:val="00A63FFF"/>
    <w:rsid w:val="00A64033"/>
    <w:rsid w:val="00A64065"/>
    <w:rsid w:val="00A64167"/>
    <w:rsid w:val="00A6417B"/>
    <w:rsid w:val="00A6418D"/>
    <w:rsid w:val="00A641CF"/>
    <w:rsid w:val="00A64294"/>
    <w:rsid w:val="00A642AC"/>
    <w:rsid w:val="00A642B2"/>
    <w:rsid w:val="00A642DD"/>
    <w:rsid w:val="00A64329"/>
    <w:rsid w:val="00A6438D"/>
    <w:rsid w:val="00A64391"/>
    <w:rsid w:val="00A643B1"/>
    <w:rsid w:val="00A643B7"/>
    <w:rsid w:val="00A6444B"/>
    <w:rsid w:val="00A64454"/>
    <w:rsid w:val="00A6448D"/>
    <w:rsid w:val="00A64513"/>
    <w:rsid w:val="00A64525"/>
    <w:rsid w:val="00A64581"/>
    <w:rsid w:val="00A645AD"/>
    <w:rsid w:val="00A645C1"/>
    <w:rsid w:val="00A645C6"/>
    <w:rsid w:val="00A645F5"/>
    <w:rsid w:val="00A645FB"/>
    <w:rsid w:val="00A64611"/>
    <w:rsid w:val="00A64619"/>
    <w:rsid w:val="00A64690"/>
    <w:rsid w:val="00A6478A"/>
    <w:rsid w:val="00A647A7"/>
    <w:rsid w:val="00A647C0"/>
    <w:rsid w:val="00A647CD"/>
    <w:rsid w:val="00A647F4"/>
    <w:rsid w:val="00A64810"/>
    <w:rsid w:val="00A64875"/>
    <w:rsid w:val="00A64879"/>
    <w:rsid w:val="00A64944"/>
    <w:rsid w:val="00A649A2"/>
    <w:rsid w:val="00A649AD"/>
    <w:rsid w:val="00A649B0"/>
    <w:rsid w:val="00A649B5"/>
    <w:rsid w:val="00A649D4"/>
    <w:rsid w:val="00A649FF"/>
    <w:rsid w:val="00A64A04"/>
    <w:rsid w:val="00A64A08"/>
    <w:rsid w:val="00A64A5B"/>
    <w:rsid w:val="00A64AB7"/>
    <w:rsid w:val="00A64B32"/>
    <w:rsid w:val="00A64BB5"/>
    <w:rsid w:val="00A64BC6"/>
    <w:rsid w:val="00A64BF1"/>
    <w:rsid w:val="00A64BF3"/>
    <w:rsid w:val="00A64C1F"/>
    <w:rsid w:val="00A64C25"/>
    <w:rsid w:val="00A64C4B"/>
    <w:rsid w:val="00A64C65"/>
    <w:rsid w:val="00A64C90"/>
    <w:rsid w:val="00A64CA8"/>
    <w:rsid w:val="00A64CF2"/>
    <w:rsid w:val="00A64D26"/>
    <w:rsid w:val="00A64D4E"/>
    <w:rsid w:val="00A64DBD"/>
    <w:rsid w:val="00A64DF0"/>
    <w:rsid w:val="00A64E02"/>
    <w:rsid w:val="00A64E25"/>
    <w:rsid w:val="00A64E58"/>
    <w:rsid w:val="00A64E6E"/>
    <w:rsid w:val="00A64E95"/>
    <w:rsid w:val="00A64F2F"/>
    <w:rsid w:val="00A64F54"/>
    <w:rsid w:val="00A64FAD"/>
    <w:rsid w:val="00A64FCD"/>
    <w:rsid w:val="00A65050"/>
    <w:rsid w:val="00A650CB"/>
    <w:rsid w:val="00A650E6"/>
    <w:rsid w:val="00A6513D"/>
    <w:rsid w:val="00A651AE"/>
    <w:rsid w:val="00A651BD"/>
    <w:rsid w:val="00A65230"/>
    <w:rsid w:val="00A6526D"/>
    <w:rsid w:val="00A65298"/>
    <w:rsid w:val="00A652CE"/>
    <w:rsid w:val="00A652E2"/>
    <w:rsid w:val="00A6536A"/>
    <w:rsid w:val="00A65380"/>
    <w:rsid w:val="00A653A1"/>
    <w:rsid w:val="00A653D6"/>
    <w:rsid w:val="00A654A5"/>
    <w:rsid w:val="00A654B1"/>
    <w:rsid w:val="00A654B8"/>
    <w:rsid w:val="00A654BB"/>
    <w:rsid w:val="00A654D4"/>
    <w:rsid w:val="00A6554B"/>
    <w:rsid w:val="00A65566"/>
    <w:rsid w:val="00A6563D"/>
    <w:rsid w:val="00A65649"/>
    <w:rsid w:val="00A65708"/>
    <w:rsid w:val="00A6572D"/>
    <w:rsid w:val="00A65770"/>
    <w:rsid w:val="00A65825"/>
    <w:rsid w:val="00A65846"/>
    <w:rsid w:val="00A6587E"/>
    <w:rsid w:val="00A658DF"/>
    <w:rsid w:val="00A658E3"/>
    <w:rsid w:val="00A65936"/>
    <w:rsid w:val="00A6595D"/>
    <w:rsid w:val="00A65990"/>
    <w:rsid w:val="00A6599C"/>
    <w:rsid w:val="00A659BC"/>
    <w:rsid w:val="00A659C6"/>
    <w:rsid w:val="00A659C9"/>
    <w:rsid w:val="00A659CD"/>
    <w:rsid w:val="00A65A62"/>
    <w:rsid w:val="00A65A94"/>
    <w:rsid w:val="00A65A9F"/>
    <w:rsid w:val="00A65AAA"/>
    <w:rsid w:val="00A65B58"/>
    <w:rsid w:val="00A65B7B"/>
    <w:rsid w:val="00A65BA7"/>
    <w:rsid w:val="00A65BB1"/>
    <w:rsid w:val="00A65BB4"/>
    <w:rsid w:val="00A65BBE"/>
    <w:rsid w:val="00A65BD8"/>
    <w:rsid w:val="00A65C19"/>
    <w:rsid w:val="00A65C1E"/>
    <w:rsid w:val="00A65C88"/>
    <w:rsid w:val="00A65C98"/>
    <w:rsid w:val="00A65CC4"/>
    <w:rsid w:val="00A65D86"/>
    <w:rsid w:val="00A65DBF"/>
    <w:rsid w:val="00A65DE9"/>
    <w:rsid w:val="00A65DF3"/>
    <w:rsid w:val="00A65E58"/>
    <w:rsid w:val="00A65E59"/>
    <w:rsid w:val="00A65E65"/>
    <w:rsid w:val="00A65FD3"/>
    <w:rsid w:val="00A6603C"/>
    <w:rsid w:val="00A6604D"/>
    <w:rsid w:val="00A66063"/>
    <w:rsid w:val="00A66080"/>
    <w:rsid w:val="00A6615F"/>
    <w:rsid w:val="00A66192"/>
    <w:rsid w:val="00A66219"/>
    <w:rsid w:val="00A662FC"/>
    <w:rsid w:val="00A66308"/>
    <w:rsid w:val="00A6636F"/>
    <w:rsid w:val="00A663B7"/>
    <w:rsid w:val="00A663ED"/>
    <w:rsid w:val="00A663FA"/>
    <w:rsid w:val="00A66457"/>
    <w:rsid w:val="00A66469"/>
    <w:rsid w:val="00A664CD"/>
    <w:rsid w:val="00A664FF"/>
    <w:rsid w:val="00A6661E"/>
    <w:rsid w:val="00A6663B"/>
    <w:rsid w:val="00A66690"/>
    <w:rsid w:val="00A666C1"/>
    <w:rsid w:val="00A667A1"/>
    <w:rsid w:val="00A667F7"/>
    <w:rsid w:val="00A6680A"/>
    <w:rsid w:val="00A66855"/>
    <w:rsid w:val="00A66894"/>
    <w:rsid w:val="00A66898"/>
    <w:rsid w:val="00A668CD"/>
    <w:rsid w:val="00A6694B"/>
    <w:rsid w:val="00A66953"/>
    <w:rsid w:val="00A669B7"/>
    <w:rsid w:val="00A669FD"/>
    <w:rsid w:val="00A66A5A"/>
    <w:rsid w:val="00A66A71"/>
    <w:rsid w:val="00A66A8B"/>
    <w:rsid w:val="00A66ABD"/>
    <w:rsid w:val="00A66B24"/>
    <w:rsid w:val="00A66B28"/>
    <w:rsid w:val="00A66B38"/>
    <w:rsid w:val="00A66BC2"/>
    <w:rsid w:val="00A66BC6"/>
    <w:rsid w:val="00A66C38"/>
    <w:rsid w:val="00A66C7E"/>
    <w:rsid w:val="00A66C9D"/>
    <w:rsid w:val="00A66CCD"/>
    <w:rsid w:val="00A66CE3"/>
    <w:rsid w:val="00A66D27"/>
    <w:rsid w:val="00A66D5F"/>
    <w:rsid w:val="00A66DD4"/>
    <w:rsid w:val="00A66DE2"/>
    <w:rsid w:val="00A66DF6"/>
    <w:rsid w:val="00A66F92"/>
    <w:rsid w:val="00A66FDD"/>
    <w:rsid w:val="00A66FE8"/>
    <w:rsid w:val="00A66FF6"/>
    <w:rsid w:val="00A6704D"/>
    <w:rsid w:val="00A67062"/>
    <w:rsid w:val="00A67066"/>
    <w:rsid w:val="00A670CF"/>
    <w:rsid w:val="00A670E6"/>
    <w:rsid w:val="00A67127"/>
    <w:rsid w:val="00A67139"/>
    <w:rsid w:val="00A67155"/>
    <w:rsid w:val="00A67254"/>
    <w:rsid w:val="00A672AB"/>
    <w:rsid w:val="00A672D0"/>
    <w:rsid w:val="00A672D2"/>
    <w:rsid w:val="00A672EC"/>
    <w:rsid w:val="00A672F9"/>
    <w:rsid w:val="00A6732D"/>
    <w:rsid w:val="00A6733B"/>
    <w:rsid w:val="00A67346"/>
    <w:rsid w:val="00A6734C"/>
    <w:rsid w:val="00A67367"/>
    <w:rsid w:val="00A6737C"/>
    <w:rsid w:val="00A673C5"/>
    <w:rsid w:val="00A67419"/>
    <w:rsid w:val="00A6741D"/>
    <w:rsid w:val="00A6747A"/>
    <w:rsid w:val="00A6747B"/>
    <w:rsid w:val="00A67482"/>
    <w:rsid w:val="00A67497"/>
    <w:rsid w:val="00A674A1"/>
    <w:rsid w:val="00A67553"/>
    <w:rsid w:val="00A675A8"/>
    <w:rsid w:val="00A675B5"/>
    <w:rsid w:val="00A675C3"/>
    <w:rsid w:val="00A67605"/>
    <w:rsid w:val="00A6761D"/>
    <w:rsid w:val="00A67642"/>
    <w:rsid w:val="00A67667"/>
    <w:rsid w:val="00A6766F"/>
    <w:rsid w:val="00A67688"/>
    <w:rsid w:val="00A676B7"/>
    <w:rsid w:val="00A676CF"/>
    <w:rsid w:val="00A6770A"/>
    <w:rsid w:val="00A6775E"/>
    <w:rsid w:val="00A67780"/>
    <w:rsid w:val="00A677A3"/>
    <w:rsid w:val="00A677C2"/>
    <w:rsid w:val="00A677C9"/>
    <w:rsid w:val="00A677D5"/>
    <w:rsid w:val="00A677F5"/>
    <w:rsid w:val="00A6781E"/>
    <w:rsid w:val="00A67865"/>
    <w:rsid w:val="00A67867"/>
    <w:rsid w:val="00A6787A"/>
    <w:rsid w:val="00A67920"/>
    <w:rsid w:val="00A6792C"/>
    <w:rsid w:val="00A67991"/>
    <w:rsid w:val="00A67A2B"/>
    <w:rsid w:val="00A67A35"/>
    <w:rsid w:val="00A67A36"/>
    <w:rsid w:val="00A67A82"/>
    <w:rsid w:val="00A67A9A"/>
    <w:rsid w:val="00A67B51"/>
    <w:rsid w:val="00A67B6B"/>
    <w:rsid w:val="00A67B6F"/>
    <w:rsid w:val="00A67BD7"/>
    <w:rsid w:val="00A67BE0"/>
    <w:rsid w:val="00A67C32"/>
    <w:rsid w:val="00A67C67"/>
    <w:rsid w:val="00A67C82"/>
    <w:rsid w:val="00A67CCC"/>
    <w:rsid w:val="00A67D58"/>
    <w:rsid w:val="00A67DD8"/>
    <w:rsid w:val="00A67DDA"/>
    <w:rsid w:val="00A67DE1"/>
    <w:rsid w:val="00A67E2E"/>
    <w:rsid w:val="00A67E7E"/>
    <w:rsid w:val="00A67EA2"/>
    <w:rsid w:val="00A67F50"/>
    <w:rsid w:val="00A67FA0"/>
    <w:rsid w:val="00A67FA7"/>
    <w:rsid w:val="00A67FC4"/>
    <w:rsid w:val="00A67FD2"/>
    <w:rsid w:val="00A67FE9"/>
    <w:rsid w:val="00A70034"/>
    <w:rsid w:val="00A700A2"/>
    <w:rsid w:val="00A700DC"/>
    <w:rsid w:val="00A700F2"/>
    <w:rsid w:val="00A7012A"/>
    <w:rsid w:val="00A7016A"/>
    <w:rsid w:val="00A70182"/>
    <w:rsid w:val="00A7022A"/>
    <w:rsid w:val="00A70272"/>
    <w:rsid w:val="00A70277"/>
    <w:rsid w:val="00A70298"/>
    <w:rsid w:val="00A702D4"/>
    <w:rsid w:val="00A702FA"/>
    <w:rsid w:val="00A70352"/>
    <w:rsid w:val="00A703A5"/>
    <w:rsid w:val="00A703F8"/>
    <w:rsid w:val="00A7041E"/>
    <w:rsid w:val="00A70468"/>
    <w:rsid w:val="00A70496"/>
    <w:rsid w:val="00A704BB"/>
    <w:rsid w:val="00A705A7"/>
    <w:rsid w:val="00A7064E"/>
    <w:rsid w:val="00A706A0"/>
    <w:rsid w:val="00A706D1"/>
    <w:rsid w:val="00A706F0"/>
    <w:rsid w:val="00A7071A"/>
    <w:rsid w:val="00A70741"/>
    <w:rsid w:val="00A7077E"/>
    <w:rsid w:val="00A70793"/>
    <w:rsid w:val="00A707B1"/>
    <w:rsid w:val="00A707F0"/>
    <w:rsid w:val="00A708D7"/>
    <w:rsid w:val="00A708EE"/>
    <w:rsid w:val="00A70902"/>
    <w:rsid w:val="00A70923"/>
    <w:rsid w:val="00A70934"/>
    <w:rsid w:val="00A709C3"/>
    <w:rsid w:val="00A709D7"/>
    <w:rsid w:val="00A70A10"/>
    <w:rsid w:val="00A70A58"/>
    <w:rsid w:val="00A70A62"/>
    <w:rsid w:val="00A70A95"/>
    <w:rsid w:val="00A70AD7"/>
    <w:rsid w:val="00A70B4F"/>
    <w:rsid w:val="00A70BAC"/>
    <w:rsid w:val="00A70C52"/>
    <w:rsid w:val="00A70C60"/>
    <w:rsid w:val="00A70C9D"/>
    <w:rsid w:val="00A70CA0"/>
    <w:rsid w:val="00A70CA2"/>
    <w:rsid w:val="00A70CC2"/>
    <w:rsid w:val="00A70CD2"/>
    <w:rsid w:val="00A70D39"/>
    <w:rsid w:val="00A70D93"/>
    <w:rsid w:val="00A70E12"/>
    <w:rsid w:val="00A70E28"/>
    <w:rsid w:val="00A70EA0"/>
    <w:rsid w:val="00A70EA5"/>
    <w:rsid w:val="00A70EF4"/>
    <w:rsid w:val="00A70EF6"/>
    <w:rsid w:val="00A70F36"/>
    <w:rsid w:val="00A70F68"/>
    <w:rsid w:val="00A70F76"/>
    <w:rsid w:val="00A70F7D"/>
    <w:rsid w:val="00A70F89"/>
    <w:rsid w:val="00A70FC0"/>
    <w:rsid w:val="00A70FF6"/>
    <w:rsid w:val="00A71008"/>
    <w:rsid w:val="00A71016"/>
    <w:rsid w:val="00A7101A"/>
    <w:rsid w:val="00A71094"/>
    <w:rsid w:val="00A710D0"/>
    <w:rsid w:val="00A7115B"/>
    <w:rsid w:val="00A71220"/>
    <w:rsid w:val="00A71231"/>
    <w:rsid w:val="00A7124B"/>
    <w:rsid w:val="00A71270"/>
    <w:rsid w:val="00A7127B"/>
    <w:rsid w:val="00A71297"/>
    <w:rsid w:val="00A7131E"/>
    <w:rsid w:val="00A7132C"/>
    <w:rsid w:val="00A71353"/>
    <w:rsid w:val="00A71364"/>
    <w:rsid w:val="00A7143A"/>
    <w:rsid w:val="00A71482"/>
    <w:rsid w:val="00A714E4"/>
    <w:rsid w:val="00A7153B"/>
    <w:rsid w:val="00A71558"/>
    <w:rsid w:val="00A7156A"/>
    <w:rsid w:val="00A71574"/>
    <w:rsid w:val="00A7159B"/>
    <w:rsid w:val="00A7159C"/>
    <w:rsid w:val="00A71635"/>
    <w:rsid w:val="00A7163A"/>
    <w:rsid w:val="00A71645"/>
    <w:rsid w:val="00A71655"/>
    <w:rsid w:val="00A71685"/>
    <w:rsid w:val="00A71692"/>
    <w:rsid w:val="00A7169C"/>
    <w:rsid w:val="00A716C3"/>
    <w:rsid w:val="00A71721"/>
    <w:rsid w:val="00A7176D"/>
    <w:rsid w:val="00A71812"/>
    <w:rsid w:val="00A71832"/>
    <w:rsid w:val="00A7186E"/>
    <w:rsid w:val="00A71886"/>
    <w:rsid w:val="00A71892"/>
    <w:rsid w:val="00A718EF"/>
    <w:rsid w:val="00A71904"/>
    <w:rsid w:val="00A7197C"/>
    <w:rsid w:val="00A71989"/>
    <w:rsid w:val="00A719D1"/>
    <w:rsid w:val="00A71B44"/>
    <w:rsid w:val="00A71B59"/>
    <w:rsid w:val="00A71B68"/>
    <w:rsid w:val="00A71B85"/>
    <w:rsid w:val="00A71C4C"/>
    <w:rsid w:val="00A71C52"/>
    <w:rsid w:val="00A71C65"/>
    <w:rsid w:val="00A71CBC"/>
    <w:rsid w:val="00A71D70"/>
    <w:rsid w:val="00A71DC4"/>
    <w:rsid w:val="00A71E96"/>
    <w:rsid w:val="00A71EB8"/>
    <w:rsid w:val="00A71EC6"/>
    <w:rsid w:val="00A71FB8"/>
    <w:rsid w:val="00A72048"/>
    <w:rsid w:val="00A7209C"/>
    <w:rsid w:val="00A72101"/>
    <w:rsid w:val="00A7214A"/>
    <w:rsid w:val="00A7215C"/>
    <w:rsid w:val="00A72164"/>
    <w:rsid w:val="00A721C3"/>
    <w:rsid w:val="00A721EB"/>
    <w:rsid w:val="00A721ED"/>
    <w:rsid w:val="00A72209"/>
    <w:rsid w:val="00A72239"/>
    <w:rsid w:val="00A72283"/>
    <w:rsid w:val="00A722D1"/>
    <w:rsid w:val="00A72370"/>
    <w:rsid w:val="00A723DF"/>
    <w:rsid w:val="00A723E4"/>
    <w:rsid w:val="00A723F3"/>
    <w:rsid w:val="00A723F7"/>
    <w:rsid w:val="00A7240F"/>
    <w:rsid w:val="00A72414"/>
    <w:rsid w:val="00A7247E"/>
    <w:rsid w:val="00A724A0"/>
    <w:rsid w:val="00A724D7"/>
    <w:rsid w:val="00A72503"/>
    <w:rsid w:val="00A725DB"/>
    <w:rsid w:val="00A725FA"/>
    <w:rsid w:val="00A7261D"/>
    <w:rsid w:val="00A7268E"/>
    <w:rsid w:val="00A726AE"/>
    <w:rsid w:val="00A726B9"/>
    <w:rsid w:val="00A72730"/>
    <w:rsid w:val="00A7279D"/>
    <w:rsid w:val="00A727A9"/>
    <w:rsid w:val="00A727E4"/>
    <w:rsid w:val="00A727E7"/>
    <w:rsid w:val="00A727EB"/>
    <w:rsid w:val="00A7285B"/>
    <w:rsid w:val="00A72881"/>
    <w:rsid w:val="00A728A7"/>
    <w:rsid w:val="00A72924"/>
    <w:rsid w:val="00A72925"/>
    <w:rsid w:val="00A7292F"/>
    <w:rsid w:val="00A72943"/>
    <w:rsid w:val="00A72990"/>
    <w:rsid w:val="00A729D0"/>
    <w:rsid w:val="00A72A2A"/>
    <w:rsid w:val="00A72A32"/>
    <w:rsid w:val="00A72AD0"/>
    <w:rsid w:val="00A72AD9"/>
    <w:rsid w:val="00A72ADF"/>
    <w:rsid w:val="00A72B02"/>
    <w:rsid w:val="00A72B4C"/>
    <w:rsid w:val="00A72B6A"/>
    <w:rsid w:val="00A72B80"/>
    <w:rsid w:val="00A72B83"/>
    <w:rsid w:val="00A72C72"/>
    <w:rsid w:val="00A72C77"/>
    <w:rsid w:val="00A72C85"/>
    <w:rsid w:val="00A72CD9"/>
    <w:rsid w:val="00A72CF8"/>
    <w:rsid w:val="00A72D08"/>
    <w:rsid w:val="00A72D10"/>
    <w:rsid w:val="00A72D4E"/>
    <w:rsid w:val="00A72DA6"/>
    <w:rsid w:val="00A72DB7"/>
    <w:rsid w:val="00A72DDD"/>
    <w:rsid w:val="00A72E91"/>
    <w:rsid w:val="00A72EEE"/>
    <w:rsid w:val="00A72EEF"/>
    <w:rsid w:val="00A72EFF"/>
    <w:rsid w:val="00A72F5F"/>
    <w:rsid w:val="00A72F80"/>
    <w:rsid w:val="00A72F8F"/>
    <w:rsid w:val="00A72F9F"/>
    <w:rsid w:val="00A72FA6"/>
    <w:rsid w:val="00A72FB7"/>
    <w:rsid w:val="00A72FE7"/>
    <w:rsid w:val="00A72FF6"/>
    <w:rsid w:val="00A730C2"/>
    <w:rsid w:val="00A730C5"/>
    <w:rsid w:val="00A730EE"/>
    <w:rsid w:val="00A73158"/>
    <w:rsid w:val="00A731B7"/>
    <w:rsid w:val="00A731BA"/>
    <w:rsid w:val="00A731BC"/>
    <w:rsid w:val="00A731F1"/>
    <w:rsid w:val="00A73231"/>
    <w:rsid w:val="00A73244"/>
    <w:rsid w:val="00A73294"/>
    <w:rsid w:val="00A732FB"/>
    <w:rsid w:val="00A7331D"/>
    <w:rsid w:val="00A733E8"/>
    <w:rsid w:val="00A73416"/>
    <w:rsid w:val="00A73426"/>
    <w:rsid w:val="00A73458"/>
    <w:rsid w:val="00A73545"/>
    <w:rsid w:val="00A735F7"/>
    <w:rsid w:val="00A736C1"/>
    <w:rsid w:val="00A736FE"/>
    <w:rsid w:val="00A7372E"/>
    <w:rsid w:val="00A73735"/>
    <w:rsid w:val="00A73750"/>
    <w:rsid w:val="00A73797"/>
    <w:rsid w:val="00A737FA"/>
    <w:rsid w:val="00A73804"/>
    <w:rsid w:val="00A73843"/>
    <w:rsid w:val="00A7385C"/>
    <w:rsid w:val="00A73883"/>
    <w:rsid w:val="00A7388E"/>
    <w:rsid w:val="00A738A6"/>
    <w:rsid w:val="00A738D0"/>
    <w:rsid w:val="00A738DD"/>
    <w:rsid w:val="00A7392F"/>
    <w:rsid w:val="00A739F5"/>
    <w:rsid w:val="00A73A03"/>
    <w:rsid w:val="00A73A0B"/>
    <w:rsid w:val="00A73A0D"/>
    <w:rsid w:val="00A73A3F"/>
    <w:rsid w:val="00A73A49"/>
    <w:rsid w:val="00A73AA2"/>
    <w:rsid w:val="00A73ACC"/>
    <w:rsid w:val="00A73B3B"/>
    <w:rsid w:val="00A73BA1"/>
    <w:rsid w:val="00A73BE3"/>
    <w:rsid w:val="00A73BF7"/>
    <w:rsid w:val="00A73C27"/>
    <w:rsid w:val="00A73C37"/>
    <w:rsid w:val="00A73C57"/>
    <w:rsid w:val="00A73C72"/>
    <w:rsid w:val="00A73C78"/>
    <w:rsid w:val="00A73CAC"/>
    <w:rsid w:val="00A73D2C"/>
    <w:rsid w:val="00A73D68"/>
    <w:rsid w:val="00A73DED"/>
    <w:rsid w:val="00A73E09"/>
    <w:rsid w:val="00A73E6B"/>
    <w:rsid w:val="00A73EA7"/>
    <w:rsid w:val="00A73EB4"/>
    <w:rsid w:val="00A73EFD"/>
    <w:rsid w:val="00A73F2C"/>
    <w:rsid w:val="00A73F5A"/>
    <w:rsid w:val="00A73F62"/>
    <w:rsid w:val="00A73F72"/>
    <w:rsid w:val="00A73F76"/>
    <w:rsid w:val="00A74012"/>
    <w:rsid w:val="00A74086"/>
    <w:rsid w:val="00A740C5"/>
    <w:rsid w:val="00A740E7"/>
    <w:rsid w:val="00A74142"/>
    <w:rsid w:val="00A74147"/>
    <w:rsid w:val="00A74169"/>
    <w:rsid w:val="00A74186"/>
    <w:rsid w:val="00A741A1"/>
    <w:rsid w:val="00A741B2"/>
    <w:rsid w:val="00A741CC"/>
    <w:rsid w:val="00A741D4"/>
    <w:rsid w:val="00A741F4"/>
    <w:rsid w:val="00A74212"/>
    <w:rsid w:val="00A74233"/>
    <w:rsid w:val="00A74271"/>
    <w:rsid w:val="00A74308"/>
    <w:rsid w:val="00A74336"/>
    <w:rsid w:val="00A7435F"/>
    <w:rsid w:val="00A743A4"/>
    <w:rsid w:val="00A743E7"/>
    <w:rsid w:val="00A743FA"/>
    <w:rsid w:val="00A7442A"/>
    <w:rsid w:val="00A74455"/>
    <w:rsid w:val="00A744B8"/>
    <w:rsid w:val="00A744DB"/>
    <w:rsid w:val="00A744F7"/>
    <w:rsid w:val="00A74515"/>
    <w:rsid w:val="00A74549"/>
    <w:rsid w:val="00A7459C"/>
    <w:rsid w:val="00A745BB"/>
    <w:rsid w:val="00A745D0"/>
    <w:rsid w:val="00A74626"/>
    <w:rsid w:val="00A74643"/>
    <w:rsid w:val="00A74646"/>
    <w:rsid w:val="00A74677"/>
    <w:rsid w:val="00A7468B"/>
    <w:rsid w:val="00A74691"/>
    <w:rsid w:val="00A746E6"/>
    <w:rsid w:val="00A746F5"/>
    <w:rsid w:val="00A7470A"/>
    <w:rsid w:val="00A7475D"/>
    <w:rsid w:val="00A7476C"/>
    <w:rsid w:val="00A747C4"/>
    <w:rsid w:val="00A748E0"/>
    <w:rsid w:val="00A7490E"/>
    <w:rsid w:val="00A74932"/>
    <w:rsid w:val="00A7497D"/>
    <w:rsid w:val="00A749A8"/>
    <w:rsid w:val="00A749EB"/>
    <w:rsid w:val="00A74AE1"/>
    <w:rsid w:val="00A74B3B"/>
    <w:rsid w:val="00A74B4F"/>
    <w:rsid w:val="00A74B57"/>
    <w:rsid w:val="00A74B68"/>
    <w:rsid w:val="00A74B7E"/>
    <w:rsid w:val="00A74C34"/>
    <w:rsid w:val="00A74C9F"/>
    <w:rsid w:val="00A74CD7"/>
    <w:rsid w:val="00A74D41"/>
    <w:rsid w:val="00A74D86"/>
    <w:rsid w:val="00A74D94"/>
    <w:rsid w:val="00A74DB1"/>
    <w:rsid w:val="00A74DC6"/>
    <w:rsid w:val="00A74DD3"/>
    <w:rsid w:val="00A74E03"/>
    <w:rsid w:val="00A74E1C"/>
    <w:rsid w:val="00A74E2C"/>
    <w:rsid w:val="00A74E6E"/>
    <w:rsid w:val="00A74E91"/>
    <w:rsid w:val="00A74F3C"/>
    <w:rsid w:val="00A74F84"/>
    <w:rsid w:val="00A74F8B"/>
    <w:rsid w:val="00A74FBD"/>
    <w:rsid w:val="00A74FCA"/>
    <w:rsid w:val="00A7501A"/>
    <w:rsid w:val="00A75027"/>
    <w:rsid w:val="00A7502B"/>
    <w:rsid w:val="00A75040"/>
    <w:rsid w:val="00A7506D"/>
    <w:rsid w:val="00A750E3"/>
    <w:rsid w:val="00A750FA"/>
    <w:rsid w:val="00A750FE"/>
    <w:rsid w:val="00A75197"/>
    <w:rsid w:val="00A751B5"/>
    <w:rsid w:val="00A751D2"/>
    <w:rsid w:val="00A75200"/>
    <w:rsid w:val="00A7524A"/>
    <w:rsid w:val="00A752CA"/>
    <w:rsid w:val="00A752FB"/>
    <w:rsid w:val="00A7533E"/>
    <w:rsid w:val="00A7534E"/>
    <w:rsid w:val="00A7538D"/>
    <w:rsid w:val="00A75396"/>
    <w:rsid w:val="00A753BF"/>
    <w:rsid w:val="00A753F1"/>
    <w:rsid w:val="00A7542B"/>
    <w:rsid w:val="00A75467"/>
    <w:rsid w:val="00A75473"/>
    <w:rsid w:val="00A75499"/>
    <w:rsid w:val="00A7549C"/>
    <w:rsid w:val="00A754A5"/>
    <w:rsid w:val="00A75534"/>
    <w:rsid w:val="00A7553B"/>
    <w:rsid w:val="00A75562"/>
    <w:rsid w:val="00A755A5"/>
    <w:rsid w:val="00A755BE"/>
    <w:rsid w:val="00A755C5"/>
    <w:rsid w:val="00A755EE"/>
    <w:rsid w:val="00A7569D"/>
    <w:rsid w:val="00A756A4"/>
    <w:rsid w:val="00A756B2"/>
    <w:rsid w:val="00A75809"/>
    <w:rsid w:val="00A758AF"/>
    <w:rsid w:val="00A75906"/>
    <w:rsid w:val="00A75928"/>
    <w:rsid w:val="00A7592D"/>
    <w:rsid w:val="00A75992"/>
    <w:rsid w:val="00A759A4"/>
    <w:rsid w:val="00A759A8"/>
    <w:rsid w:val="00A759AC"/>
    <w:rsid w:val="00A759E5"/>
    <w:rsid w:val="00A759FD"/>
    <w:rsid w:val="00A75A9A"/>
    <w:rsid w:val="00A75ACC"/>
    <w:rsid w:val="00A75AD1"/>
    <w:rsid w:val="00A75AF7"/>
    <w:rsid w:val="00A75AFE"/>
    <w:rsid w:val="00A75B20"/>
    <w:rsid w:val="00A75CDE"/>
    <w:rsid w:val="00A75DA2"/>
    <w:rsid w:val="00A75E05"/>
    <w:rsid w:val="00A75E14"/>
    <w:rsid w:val="00A75E22"/>
    <w:rsid w:val="00A75E44"/>
    <w:rsid w:val="00A75EAE"/>
    <w:rsid w:val="00A75ED9"/>
    <w:rsid w:val="00A75F1F"/>
    <w:rsid w:val="00A75F39"/>
    <w:rsid w:val="00A75F5D"/>
    <w:rsid w:val="00A75F70"/>
    <w:rsid w:val="00A75F9E"/>
    <w:rsid w:val="00A76032"/>
    <w:rsid w:val="00A76052"/>
    <w:rsid w:val="00A76065"/>
    <w:rsid w:val="00A760E3"/>
    <w:rsid w:val="00A760FA"/>
    <w:rsid w:val="00A761CB"/>
    <w:rsid w:val="00A761DF"/>
    <w:rsid w:val="00A7622E"/>
    <w:rsid w:val="00A76264"/>
    <w:rsid w:val="00A762E0"/>
    <w:rsid w:val="00A762E5"/>
    <w:rsid w:val="00A76331"/>
    <w:rsid w:val="00A7634E"/>
    <w:rsid w:val="00A763BA"/>
    <w:rsid w:val="00A763D5"/>
    <w:rsid w:val="00A76463"/>
    <w:rsid w:val="00A764A0"/>
    <w:rsid w:val="00A764C1"/>
    <w:rsid w:val="00A76596"/>
    <w:rsid w:val="00A76625"/>
    <w:rsid w:val="00A76657"/>
    <w:rsid w:val="00A766F2"/>
    <w:rsid w:val="00A76740"/>
    <w:rsid w:val="00A7677F"/>
    <w:rsid w:val="00A7678A"/>
    <w:rsid w:val="00A767A4"/>
    <w:rsid w:val="00A7680E"/>
    <w:rsid w:val="00A76826"/>
    <w:rsid w:val="00A76831"/>
    <w:rsid w:val="00A7683E"/>
    <w:rsid w:val="00A768EC"/>
    <w:rsid w:val="00A768F3"/>
    <w:rsid w:val="00A769EC"/>
    <w:rsid w:val="00A769FD"/>
    <w:rsid w:val="00A76A3C"/>
    <w:rsid w:val="00A76A62"/>
    <w:rsid w:val="00A76BCA"/>
    <w:rsid w:val="00A76C77"/>
    <w:rsid w:val="00A76CC6"/>
    <w:rsid w:val="00A76CC7"/>
    <w:rsid w:val="00A76CEC"/>
    <w:rsid w:val="00A76D05"/>
    <w:rsid w:val="00A76D08"/>
    <w:rsid w:val="00A76D15"/>
    <w:rsid w:val="00A76D4C"/>
    <w:rsid w:val="00A76D62"/>
    <w:rsid w:val="00A76D86"/>
    <w:rsid w:val="00A76D8D"/>
    <w:rsid w:val="00A76D9C"/>
    <w:rsid w:val="00A76DAA"/>
    <w:rsid w:val="00A76DCC"/>
    <w:rsid w:val="00A76E2E"/>
    <w:rsid w:val="00A76E30"/>
    <w:rsid w:val="00A76E65"/>
    <w:rsid w:val="00A76EAC"/>
    <w:rsid w:val="00A76F56"/>
    <w:rsid w:val="00A76F5D"/>
    <w:rsid w:val="00A76F6D"/>
    <w:rsid w:val="00A76FB0"/>
    <w:rsid w:val="00A76FCC"/>
    <w:rsid w:val="00A76FDB"/>
    <w:rsid w:val="00A76FE3"/>
    <w:rsid w:val="00A77019"/>
    <w:rsid w:val="00A77113"/>
    <w:rsid w:val="00A771A0"/>
    <w:rsid w:val="00A771C0"/>
    <w:rsid w:val="00A77224"/>
    <w:rsid w:val="00A77297"/>
    <w:rsid w:val="00A772D0"/>
    <w:rsid w:val="00A77322"/>
    <w:rsid w:val="00A77330"/>
    <w:rsid w:val="00A77375"/>
    <w:rsid w:val="00A773C6"/>
    <w:rsid w:val="00A773E1"/>
    <w:rsid w:val="00A773E9"/>
    <w:rsid w:val="00A77433"/>
    <w:rsid w:val="00A7743D"/>
    <w:rsid w:val="00A77448"/>
    <w:rsid w:val="00A7747F"/>
    <w:rsid w:val="00A77509"/>
    <w:rsid w:val="00A77547"/>
    <w:rsid w:val="00A77572"/>
    <w:rsid w:val="00A77594"/>
    <w:rsid w:val="00A77598"/>
    <w:rsid w:val="00A7759C"/>
    <w:rsid w:val="00A775F8"/>
    <w:rsid w:val="00A77638"/>
    <w:rsid w:val="00A77640"/>
    <w:rsid w:val="00A7767F"/>
    <w:rsid w:val="00A776A5"/>
    <w:rsid w:val="00A776E7"/>
    <w:rsid w:val="00A77709"/>
    <w:rsid w:val="00A77746"/>
    <w:rsid w:val="00A777BE"/>
    <w:rsid w:val="00A777E7"/>
    <w:rsid w:val="00A777FC"/>
    <w:rsid w:val="00A77821"/>
    <w:rsid w:val="00A77851"/>
    <w:rsid w:val="00A7785B"/>
    <w:rsid w:val="00A77893"/>
    <w:rsid w:val="00A778BE"/>
    <w:rsid w:val="00A778C7"/>
    <w:rsid w:val="00A778F5"/>
    <w:rsid w:val="00A77904"/>
    <w:rsid w:val="00A77951"/>
    <w:rsid w:val="00A7797F"/>
    <w:rsid w:val="00A779A3"/>
    <w:rsid w:val="00A779B6"/>
    <w:rsid w:val="00A779C9"/>
    <w:rsid w:val="00A779D3"/>
    <w:rsid w:val="00A77A03"/>
    <w:rsid w:val="00A77A0B"/>
    <w:rsid w:val="00A77A8D"/>
    <w:rsid w:val="00A77AA6"/>
    <w:rsid w:val="00A77B27"/>
    <w:rsid w:val="00A77B38"/>
    <w:rsid w:val="00A77B47"/>
    <w:rsid w:val="00A77BAC"/>
    <w:rsid w:val="00A77BE0"/>
    <w:rsid w:val="00A77C01"/>
    <w:rsid w:val="00A77C2D"/>
    <w:rsid w:val="00A77C56"/>
    <w:rsid w:val="00A77C82"/>
    <w:rsid w:val="00A77C98"/>
    <w:rsid w:val="00A77CBF"/>
    <w:rsid w:val="00A77CEB"/>
    <w:rsid w:val="00A77D01"/>
    <w:rsid w:val="00A77D54"/>
    <w:rsid w:val="00A77D7C"/>
    <w:rsid w:val="00A77E1B"/>
    <w:rsid w:val="00A77E33"/>
    <w:rsid w:val="00A77E6E"/>
    <w:rsid w:val="00A77E8B"/>
    <w:rsid w:val="00A77EB8"/>
    <w:rsid w:val="00A77ECE"/>
    <w:rsid w:val="00A77F03"/>
    <w:rsid w:val="00A77F50"/>
    <w:rsid w:val="00A77F52"/>
    <w:rsid w:val="00A77F6A"/>
    <w:rsid w:val="00A77F6D"/>
    <w:rsid w:val="00A77F91"/>
    <w:rsid w:val="00A77F9C"/>
    <w:rsid w:val="00A77FAA"/>
    <w:rsid w:val="00A77FD7"/>
    <w:rsid w:val="00A7C850"/>
    <w:rsid w:val="00A8003B"/>
    <w:rsid w:val="00A8009D"/>
    <w:rsid w:val="00A800DA"/>
    <w:rsid w:val="00A8018E"/>
    <w:rsid w:val="00A80192"/>
    <w:rsid w:val="00A801A6"/>
    <w:rsid w:val="00A8022A"/>
    <w:rsid w:val="00A80232"/>
    <w:rsid w:val="00A802AC"/>
    <w:rsid w:val="00A802EA"/>
    <w:rsid w:val="00A80316"/>
    <w:rsid w:val="00A80372"/>
    <w:rsid w:val="00A80390"/>
    <w:rsid w:val="00A80399"/>
    <w:rsid w:val="00A803BD"/>
    <w:rsid w:val="00A803D8"/>
    <w:rsid w:val="00A8043F"/>
    <w:rsid w:val="00A80448"/>
    <w:rsid w:val="00A80453"/>
    <w:rsid w:val="00A8045E"/>
    <w:rsid w:val="00A8047E"/>
    <w:rsid w:val="00A804B8"/>
    <w:rsid w:val="00A804CA"/>
    <w:rsid w:val="00A804F4"/>
    <w:rsid w:val="00A80565"/>
    <w:rsid w:val="00A805C2"/>
    <w:rsid w:val="00A80671"/>
    <w:rsid w:val="00A806B7"/>
    <w:rsid w:val="00A806FE"/>
    <w:rsid w:val="00A80745"/>
    <w:rsid w:val="00A80753"/>
    <w:rsid w:val="00A807F8"/>
    <w:rsid w:val="00A80801"/>
    <w:rsid w:val="00A8081D"/>
    <w:rsid w:val="00A8082A"/>
    <w:rsid w:val="00A80838"/>
    <w:rsid w:val="00A8084D"/>
    <w:rsid w:val="00A80914"/>
    <w:rsid w:val="00A80915"/>
    <w:rsid w:val="00A809D2"/>
    <w:rsid w:val="00A809DB"/>
    <w:rsid w:val="00A809EE"/>
    <w:rsid w:val="00A80A28"/>
    <w:rsid w:val="00A80A4D"/>
    <w:rsid w:val="00A80A58"/>
    <w:rsid w:val="00A80A72"/>
    <w:rsid w:val="00A80A9A"/>
    <w:rsid w:val="00A80AA1"/>
    <w:rsid w:val="00A80B26"/>
    <w:rsid w:val="00A80B37"/>
    <w:rsid w:val="00A80BC8"/>
    <w:rsid w:val="00A80C63"/>
    <w:rsid w:val="00A80C74"/>
    <w:rsid w:val="00A80CAA"/>
    <w:rsid w:val="00A80CE8"/>
    <w:rsid w:val="00A80CF1"/>
    <w:rsid w:val="00A80D37"/>
    <w:rsid w:val="00A80DB9"/>
    <w:rsid w:val="00A80DC4"/>
    <w:rsid w:val="00A80DF9"/>
    <w:rsid w:val="00A80E10"/>
    <w:rsid w:val="00A80E44"/>
    <w:rsid w:val="00A80EF1"/>
    <w:rsid w:val="00A80FB5"/>
    <w:rsid w:val="00A80FD9"/>
    <w:rsid w:val="00A80FEC"/>
    <w:rsid w:val="00A810EA"/>
    <w:rsid w:val="00A810FE"/>
    <w:rsid w:val="00A81159"/>
    <w:rsid w:val="00A81176"/>
    <w:rsid w:val="00A8122F"/>
    <w:rsid w:val="00A81258"/>
    <w:rsid w:val="00A81274"/>
    <w:rsid w:val="00A8127E"/>
    <w:rsid w:val="00A81294"/>
    <w:rsid w:val="00A8132F"/>
    <w:rsid w:val="00A81340"/>
    <w:rsid w:val="00A81381"/>
    <w:rsid w:val="00A813D8"/>
    <w:rsid w:val="00A813E6"/>
    <w:rsid w:val="00A813F5"/>
    <w:rsid w:val="00A81404"/>
    <w:rsid w:val="00A8143C"/>
    <w:rsid w:val="00A81455"/>
    <w:rsid w:val="00A8145D"/>
    <w:rsid w:val="00A814B5"/>
    <w:rsid w:val="00A814C5"/>
    <w:rsid w:val="00A81509"/>
    <w:rsid w:val="00A8157A"/>
    <w:rsid w:val="00A8158B"/>
    <w:rsid w:val="00A8159C"/>
    <w:rsid w:val="00A815A8"/>
    <w:rsid w:val="00A815AF"/>
    <w:rsid w:val="00A81611"/>
    <w:rsid w:val="00A8163C"/>
    <w:rsid w:val="00A8163D"/>
    <w:rsid w:val="00A81676"/>
    <w:rsid w:val="00A81690"/>
    <w:rsid w:val="00A816B0"/>
    <w:rsid w:val="00A816CA"/>
    <w:rsid w:val="00A8170D"/>
    <w:rsid w:val="00A81742"/>
    <w:rsid w:val="00A81768"/>
    <w:rsid w:val="00A81789"/>
    <w:rsid w:val="00A817C6"/>
    <w:rsid w:val="00A817DD"/>
    <w:rsid w:val="00A81844"/>
    <w:rsid w:val="00A81850"/>
    <w:rsid w:val="00A8185B"/>
    <w:rsid w:val="00A818A6"/>
    <w:rsid w:val="00A818B2"/>
    <w:rsid w:val="00A81917"/>
    <w:rsid w:val="00A81949"/>
    <w:rsid w:val="00A81A20"/>
    <w:rsid w:val="00A81A44"/>
    <w:rsid w:val="00A81A5C"/>
    <w:rsid w:val="00A81AC4"/>
    <w:rsid w:val="00A81AE6"/>
    <w:rsid w:val="00A81B04"/>
    <w:rsid w:val="00A81B7D"/>
    <w:rsid w:val="00A81BA1"/>
    <w:rsid w:val="00A81BAB"/>
    <w:rsid w:val="00A81BD1"/>
    <w:rsid w:val="00A81CC3"/>
    <w:rsid w:val="00A81D68"/>
    <w:rsid w:val="00A81D99"/>
    <w:rsid w:val="00A81DE4"/>
    <w:rsid w:val="00A81E3B"/>
    <w:rsid w:val="00A81E43"/>
    <w:rsid w:val="00A81E45"/>
    <w:rsid w:val="00A81E55"/>
    <w:rsid w:val="00A81E56"/>
    <w:rsid w:val="00A81E66"/>
    <w:rsid w:val="00A81E96"/>
    <w:rsid w:val="00A81F20"/>
    <w:rsid w:val="00A81F33"/>
    <w:rsid w:val="00A81FBC"/>
    <w:rsid w:val="00A81FDF"/>
    <w:rsid w:val="00A8204A"/>
    <w:rsid w:val="00A82108"/>
    <w:rsid w:val="00A82145"/>
    <w:rsid w:val="00A821BC"/>
    <w:rsid w:val="00A82206"/>
    <w:rsid w:val="00A8222E"/>
    <w:rsid w:val="00A82232"/>
    <w:rsid w:val="00A823CE"/>
    <w:rsid w:val="00A823F5"/>
    <w:rsid w:val="00A8241B"/>
    <w:rsid w:val="00A82435"/>
    <w:rsid w:val="00A82458"/>
    <w:rsid w:val="00A824BD"/>
    <w:rsid w:val="00A824ED"/>
    <w:rsid w:val="00A82576"/>
    <w:rsid w:val="00A825CB"/>
    <w:rsid w:val="00A82608"/>
    <w:rsid w:val="00A8261D"/>
    <w:rsid w:val="00A82649"/>
    <w:rsid w:val="00A82650"/>
    <w:rsid w:val="00A8267C"/>
    <w:rsid w:val="00A826B1"/>
    <w:rsid w:val="00A826CB"/>
    <w:rsid w:val="00A826F8"/>
    <w:rsid w:val="00A82719"/>
    <w:rsid w:val="00A82727"/>
    <w:rsid w:val="00A8279E"/>
    <w:rsid w:val="00A82858"/>
    <w:rsid w:val="00A8286A"/>
    <w:rsid w:val="00A828CC"/>
    <w:rsid w:val="00A828D2"/>
    <w:rsid w:val="00A828E7"/>
    <w:rsid w:val="00A828FA"/>
    <w:rsid w:val="00A82903"/>
    <w:rsid w:val="00A8298E"/>
    <w:rsid w:val="00A829B1"/>
    <w:rsid w:val="00A829C6"/>
    <w:rsid w:val="00A829CF"/>
    <w:rsid w:val="00A82A00"/>
    <w:rsid w:val="00A82A51"/>
    <w:rsid w:val="00A82A59"/>
    <w:rsid w:val="00A82A94"/>
    <w:rsid w:val="00A82AD7"/>
    <w:rsid w:val="00A82AF3"/>
    <w:rsid w:val="00A82B13"/>
    <w:rsid w:val="00A82B17"/>
    <w:rsid w:val="00A82BA4"/>
    <w:rsid w:val="00A82BC7"/>
    <w:rsid w:val="00A82BD9"/>
    <w:rsid w:val="00A82BEA"/>
    <w:rsid w:val="00A82C04"/>
    <w:rsid w:val="00A82C0A"/>
    <w:rsid w:val="00A82C55"/>
    <w:rsid w:val="00A82C6F"/>
    <w:rsid w:val="00A82C8D"/>
    <w:rsid w:val="00A82C98"/>
    <w:rsid w:val="00A82CCF"/>
    <w:rsid w:val="00A82CDF"/>
    <w:rsid w:val="00A82CEC"/>
    <w:rsid w:val="00A82D0D"/>
    <w:rsid w:val="00A82DAE"/>
    <w:rsid w:val="00A82DF3"/>
    <w:rsid w:val="00A82E6D"/>
    <w:rsid w:val="00A82E92"/>
    <w:rsid w:val="00A82ECF"/>
    <w:rsid w:val="00A82EE2"/>
    <w:rsid w:val="00A82EE3"/>
    <w:rsid w:val="00A82EF4"/>
    <w:rsid w:val="00A82F44"/>
    <w:rsid w:val="00A82F6F"/>
    <w:rsid w:val="00A82F8E"/>
    <w:rsid w:val="00A82FD4"/>
    <w:rsid w:val="00A82FE6"/>
    <w:rsid w:val="00A83008"/>
    <w:rsid w:val="00A830AD"/>
    <w:rsid w:val="00A83105"/>
    <w:rsid w:val="00A83109"/>
    <w:rsid w:val="00A83150"/>
    <w:rsid w:val="00A83188"/>
    <w:rsid w:val="00A831FB"/>
    <w:rsid w:val="00A83275"/>
    <w:rsid w:val="00A8327C"/>
    <w:rsid w:val="00A83290"/>
    <w:rsid w:val="00A832A0"/>
    <w:rsid w:val="00A832FB"/>
    <w:rsid w:val="00A83300"/>
    <w:rsid w:val="00A83333"/>
    <w:rsid w:val="00A8335E"/>
    <w:rsid w:val="00A8335F"/>
    <w:rsid w:val="00A83377"/>
    <w:rsid w:val="00A8337C"/>
    <w:rsid w:val="00A833D0"/>
    <w:rsid w:val="00A833EF"/>
    <w:rsid w:val="00A83422"/>
    <w:rsid w:val="00A83447"/>
    <w:rsid w:val="00A834F8"/>
    <w:rsid w:val="00A8351E"/>
    <w:rsid w:val="00A83542"/>
    <w:rsid w:val="00A83575"/>
    <w:rsid w:val="00A835C2"/>
    <w:rsid w:val="00A835E1"/>
    <w:rsid w:val="00A83600"/>
    <w:rsid w:val="00A83605"/>
    <w:rsid w:val="00A83628"/>
    <w:rsid w:val="00A83638"/>
    <w:rsid w:val="00A83654"/>
    <w:rsid w:val="00A83693"/>
    <w:rsid w:val="00A836DE"/>
    <w:rsid w:val="00A83745"/>
    <w:rsid w:val="00A83781"/>
    <w:rsid w:val="00A837C8"/>
    <w:rsid w:val="00A83868"/>
    <w:rsid w:val="00A83885"/>
    <w:rsid w:val="00A838DA"/>
    <w:rsid w:val="00A838E4"/>
    <w:rsid w:val="00A83906"/>
    <w:rsid w:val="00A83954"/>
    <w:rsid w:val="00A839B7"/>
    <w:rsid w:val="00A839E1"/>
    <w:rsid w:val="00A839EC"/>
    <w:rsid w:val="00A83AA6"/>
    <w:rsid w:val="00A83AAA"/>
    <w:rsid w:val="00A83ABC"/>
    <w:rsid w:val="00A83ADD"/>
    <w:rsid w:val="00A83AEE"/>
    <w:rsid w:val="00A83B0F"/>
    <w:rsid w:val="00A83B37"/>
    <w:rsid w:val="00A83B56"/>
    <w:rsid w:val="00A83B5F"/>
    <w:rsid w:val="00A83BDE"/>
    <w:rsid w:val="00A83BFC"/>
    <w:rsid w:val="00A83C52"/>
    <w:rsid w:val="00A83C6B"/>
    <w:rsid w:val="00A83C74"/>
    <w:rsid w:val="00A83C82"/>
    <w:rsid w:val="00A83CD9"/>
    <w:rsid w:val="00A83CDF"/>
    <w:rsid w:val="00A83D13"/>
    <w:rsid w:val="00A83D1D"/>
    <w:rsid w:val="00A83D3D"/>
    <w:rsid w:val="00A83D8B"/>
    <w:rsid w:val="00A83DF0"/>
    <w:rsid w:val="00A83E1A"/>
    <w:rsid w:val="00A83E34"/>
    <w:rsid w:val="00A83E9F"/>
    <w:rsid w:val="00A83EE7"/>
    <w:rsid w:val="00A83F20"/>
    <w:rsid w:val="00A83F28"/>
    <w:rsid w:val="00A83F37"/>
    <w:rsid w:val="00A83F9F"/>
    <w:rsid w:val="00A84052"/>
    <w:rsid w:val="00A840C9"/>
    <w:rsid w:val="00A84104"/>
    <w:rsid w:val="00A8410F"/>
    <w:rsid w:val="00A84160"/>
    <w:rsid w:val="00A84188"/>
    <w:rsid w:val="00A8419E"/>
    <w:rsid w:val="00A841AD"/>
    <w:rsid w:val="00A84250"/>
    <w:rsid w:val="00A84257"/>
    <w:rsid w:val="00A8429A"/>
    <w:rsid w:val="00A842B8"/>
    <w:rsid w:val="00A8435F"/>
    <w:rsid w:val="00A8437D"/>
    <w:rsid w:val="00A8438C"/>
    <w:rsid w:val="00A843C8"/>
    <w:rsid w:val="00A843E4"/>
    <w:rsid w:val="00A843E7"/>
    <w:rsid w:val="00A843FD"/>
    <w:rsid w:val="00A8441A"/>
    <w:rsid w:val="00A844A7"/>
    <w:rsid w:val="00A844DE"/>
    <w:rsid w:val="00A844FA"/>
    <w:rsid w:val="00A84528"/>
    <w:rsid w:val="00A84537"/>
    <w:rsid w:val="00A8455D"/>
    <w:rsid w:val="00A84564"/>
    <w:rsid w:val="00A8457F"/>
    <w:rsid w:val="00A84634"/>
    <w:rsid w:val="00A84671"/>
    <w:rsid w:val="00A846FF"/>
    <w:rsid w:val="00A84727"/>
    <w:rsid w:val="00A84777"/>
    <w:rsid w:val="00A84778"/>
    <w:rsid w:val="00A847C7"/>
    <w:rsid w:val="00A8480D"/>
    <w:rsid w:val="00A848BC"/>
    <w:rsid w:val="00A84900"/>
    <w:rsid w:val="00A84907"/>
    <w:rsid w:val="00A8490B"/>
    <w:rsid w:val="00A8499C"/>
    <w:rsid w:val="00A849B3"/>
    <w:rsid w:val="00A84A40"/>
    <w:rsid w:val="00A84A48"/>
    <w:rsid w:val="00A84A4B"/>
    <w:rsid w:val="00A84A5F"/>
    <w:rsid w:val="00A84AD3"/>
    <w:rsid w:val="00A84AF8"/>
    <w:rsid w:val="00A84B14"/>
    <w:rsid w:val="00A84B50"/>
    <w:rsid w:val="00A84B8D"/>
    <w:rsid w:val="00A84B8E"/>
    <w:rsid w:val="00A84B9E"/>
    <w:rsid w:val="00A84BB0"/>
    <w:rsid w:val="00A84C3C"/>
    <w:rsid w:val="00A84C3E"/>
    <w:rsid w:val="00A84C81"/>
    <w:rsid w:val="00A84CF2"/>
    <w:rsid w:val="00A84D37"/>
    <w:rsid w:val="00A84D74"/>
    <w:rsid w:val="00A84DD7"/>
    <w:rsid w:val="00A84DDD"/>
    <w:rsid w:val="00A84DF1"/>
    <w:rsid w:val="00A84E19"/>
    <w:rsid w:val="00A84E85"/>
    <w:rsid w:val="00A84EAA"/>
    <w:rsid w:val="00A84F06"/>
    <w:rsid w:val="00A84F12"/>
    <w:rsid w:val="00A85022"/>
    <w:rsid w:val="00A85033"/>
    <w:rsid w:val="00A8503F"/>
    <w:rsid w:val="00A8505A"/>
    <w:rsid w:val="00A8505F"/>
    <w:rsid w:val="00A8508C"/>
    <w:rsid w:val="00A85106"/>
    <w:rsid w:val="00A8512A"/>
    <w:rsid w:val="00A8516A"/>
    <w:rsid w:val="00A85195"/>
    <w:rsid w:val="00A851B7"/>
    <w:rsid w:val="00A851B9"/>
    <w:rsid w:val="00A851BD"/>
    <w:rsid w:val="00A851D1"/>
    <w:rsid w:val="00A85220"/>
    <w:rsid w:val="00A85264"/>
    <w:rsid w:val="00A85285"/>
    <w:rsid w:val="00A852E8"/>
    <w:rsid w:val="00A852FE"/>
    <w:rsid w:val="00A85307"/>
    <w:rsid w:val="00A85370"/>
    <w:rsid w:val="00A85390"/>
    <w:rsid w:val="00A853A3"/>
    <w:rsid w:val="00A853F4"/>
    <w:rsid w:val="00A85450"/>
    <w:rsid w:val="00A85482"/>
    <w:rsid w:val="00A854CF"/>
    <w:rsid w:val="00A854D5"/>
    <w:rsid w:val="00A85541"/>
    <w:rsid w:val="00A85560"/>
    <w:rsid w:val="00A855A0"/>
    <w:rsid w:val="00A855A8"/>
    <w:rsid w:val="00A85604"/>
    <w:rsid w:val="00A85605"/>
    <w:rsid w:val="00A85609"/>
    <w:rsid w:val="00A85635"/>
    <w:rsid w:val="00A8564D"/>
    <w:rsid w:val="00A856A7"/>
    <w:rsid w:val="00A856AA"/>
    <w:rsid w:val="00A856E9"/>
    <w:rsid w:val="00A856F8"/>
    <w:rsid w:val="00A85709"/>
    <w:rsid w:val="00A85719"/>
    <w:rsid w:val="00A85732"/>
    <w:rsid w:val="00A85748"/>
    <w:rsid w:val="00A85786"/>
    <w:rsid w:val="00A85824"/>
    <w:rsid w:val="00A85864"/>
    <w:rsid w:val="00A85878"/>
    <w:rsid w:val="00A85897"/>
    <w:rsid w:val="00A85898"/>
    <w:rsid w:val="00A8592E"/>
    <w:rsid w:val="00A8594B"/>
    <w:rsid w:val="00A85979"/>
    <w:rsid w:val="00A8597D"/>
    <w:rsid w:val="00A85995"/>
    <w:rsid w:val="00A859CC"/>
    <w:rsid w:val="00A85A2B"/>
    <w:rsid w:val="00A85A58"/>
    <w:rsid w:val="00A85A5F"/>
    <w:rsid w:val="00A85AAE"/>
    <w:rsid w:val="00A85B0F"/>
    <w:rsid w:val="00A85B8C"/>
    <w:rsid w:val="00A85BE9"/>
    <w:rsid w:val="00A85BFE"/>
    <w:rsid w:val="00A85C10"/>
    <w:rsid w:val="00A85C2B"/>
    <w:rsid w:val="00A85C4D"/>
    <w:rsid w:val="00A85C88"/>
    <w:rsid w:val="00A85CA2"/>
    <w:rsid w:val="00A85CF0"/>
    <w:rsid w:val="00A85D69"/>
    <w:rsid w:val="00A85DB3"/>
    <w:rsid w:val="00A85E0A"/>
    <w:rsid w:val="00A85E36"/>
    <w:rsid w:val="00A85E40"/>
    <w:rsid w:val="00A85E82"/>
    <w:rsid w:val="00A85EE8"/>
    <w:rsid w:val="00A85EF2"/>
    <w:rsid w:val="00A85EF8"/>
    <w:rsid w:val="00A85F14"/>
    <w:rsid w:val="00A85F33"/>
    <w:rsid w:val="00A85F87"/>
    <w:rsid w:val="00A85F8D"/>
    <w:rsid w:val="00A85FB9"/>
    <w:rsid w:val="00A85FE3"/>
    <w:rsid w:val="00A8600F"/>
    <w:rsid w:val="00A8608F"/>
    <w:rsid w:val="00A8609E"/>
    <w:rsid w:val="00A86105"/>
    <w:rsid w:val="00A8618E"/>
    <w:rsid w:val="00A861A8"/>
    <w:rsid w:val="00A861AD"/>
    <w:rsid w:val="00A861AE"/>
    <w:rsid w:val="00A861BA"/>
    <w:rsid w:val="00A861D6"/>
    <w:rsid w:val="00A861FE"/>
    <w:rsid w:val="00A8624B"/>
    <w:rsid w:val="00A86303"/>
    <w:rsid w:val="00A86307"/>
    <w:rsid w:val="00A8632A"/>
    <w:rsid w:val="00A86349"/>
    <w:rsid w:val="00A86397"/>
    <w:rsid w:val="00A8640F"/>
    <w:rsid w:val="00A8643B"/>
    <w:rsid w:val="00A86443"/>
    <w:rsid w:val="00A86460"/>
    <w:rsid w:val="00A8647D"/>
    <w:rsid w:val="00A864B5"/>
    <w:rsid w:val="00A8650A"/>
    <w:rsid w:val="00A86512"/>
    <w:rsid w:val="00A86654"/>
    <w:rsid w:val="00A86667"/>
    <w:rsid w:val="00A8667B"/>
    <w:rsid w:val="00A866E0"/>
    <w:rsid w:val="00A8673B"/>
    <w:rsid w:val="00A867ED"/>
    <w:rsid w:val="00A86803"/>
    <w:rsid w:val="00A8680C"/>
    <w:rsid w:val="00A86821"/>
    <w:rsid w:val="00A8690B"/>
    <w:rsid w:val="00A86925"/>
    <w:rsid w:val="00A8694C"/>
    <w:rsid w:val="00A86960"/>
    <w:rsid w:val="00A86999"/>
    <w:rsid w:val="00A86A19"/>
    <w:rsid w:val="00A86A67"/>
    <w:rsid w:val="00A86A93"/>
    <w:rsid w:val="00A86A98"/>
    <w:rsid w:val="00A86AA6"/>
    <w:rsid w:val="00A86B5A"/>
    <w:rsid w:val="00A86B63"/>
    <w:rsid w:val="00A86BAE"/>
    <w:rsid w:val="00A86BF6"/>
    <w:rsid w:val="00A86C20"/>
    <w:rsid w:val="00A86D16"/>
    <w:rsid w:val="00A86D1F"/>
    <w:rsid w:val="00A86D62"/>
    <w:rsid w:val="00A86DCD"/>
    <w:rsid w:val="00A86E11"/>
    <w:rsid w:val="00A86E4C"/>
    <w:rsid w:val="00A86E84"/>
    <w:rsid w:val="00A86EB7"/>
    <w:rsid w:val="00A86F02"/>
    <w:rsid w:val="00A8704A"/>
    <w:rsid w:val="00A8705E"/>
    <w:rsid w:val="00A87082"/>
    <w:rsid w:val="00A870A1"/>
    <w:rsid w:val="00A870A9"/>
    <w:rsid w:val="00A870B9"/>
    <w:rsid w:val="00A87122"/>
    <w:rsid w:val="00A871A0"/>
    <w:rsid w:val="00A871BA"/>
    <w:rsid w:val="00A8721F"/>
    <w:rsid w:val="00A8722E"/>
    <w:rsid w:val="00A8726D"/>
    <w:rsid w:val="00A872AD"/>
    <w:rsid w:val="00A872E7"/>
    <w:rsid w:val="00A8730D"/>
    <w:rsid w:val="00A87324"/>
    <w:rsid w:val="00A87333"/>
    <w:rsid w:val="00A873AF"/>
    <w:rsid w:val="00A873F5"/>
    <w:rsid w:val="00A87436"/>
    <w:rsid w:val="00A87449"/>
    <w:rsid w:val="00A874C8"/>
    <w:rsid w:val="00A87520"/>
    <w:rsid w:val="00A8755B"/>
    <w:rsid w:val="00A87564"/>
    <w:rsid w:val="00A875C4"/>
    <w:rsid w:val="00A875DF"/>
    <w:rsid w:val="00A875FF"/>
    <w:rsid w:val="00A87645"/>
    <w:rsid w:val="00A8767D"/>
    <w:rsid w:val="00A876E3"/>
    <w:rsid w:val="00A8778D"/>
    <w:rsid w:val="00A87798"/>
    <w:rsid w:val="00A877BB"/>
    <w:rsid w:val="00A8783F"/>
    <w:rsid w:val="00A87855"/>
    <w:rsid w:val="00A8786A"/>
    <w:rsid w:val="00A878BF"/>
    <w:rsid w:val="00A878E4"/>
    <w:rsid w:val="00A87928"/>
    <w:rsid w:val="00A87982"/>
    <w:rsid w:val="00A879CD"/>
    <w:rsid w:val="00A87A57"/>
    <w:rsid w:val="00A87A98"/>
    <w:rsid w:val="00A87AA4"/>
    <w:rsid w:val="00A87AC7"/>
    <w:rsid w:val="00A87ACA"/>
    <w:rsid w:val="00A87ACE"/>
    <w:rsid w:val="00A87AE6"/>
    <w:rsid w:val="00A87B28"/>
    <w:rsid w:val="00A87B49"/>
    <w:rsid w:val="00A87BD9"/>
    <w:rsid w:val="00A87BEA"/>
    <w:rsid w:val="00A87C0F"/>
    <w:rsid w:val="00A87C1B"/>
    <w:rsid w:val="00A87C71"/>
    <w:rsid w:val="00A87C7F"/>
    <w:rsid w:val="00A87CF7"/>
    <w:rsid w:val="00A87CFB"/>
    <w:rsid w:val="00A87D04"/>
    <w:rsid w:val="00A87D0E"/>
    <w:rsid w:val="00A87D40"/>
    <w:rsid w:val="00A87D53"/>
    <w:rsid w:val="00A87D88"/>
    <w:rsid w:val="00A87DF4"/>
    <w:rsid w:val="00A87E01"/>
    <w:rsid w:val="00A87E09"/>
    <w:rsid w:val="00A87E2B"/>
    <w:rsid w:val="00A87E9C"/>
    <w:rsid w:val="00A87EB6"/>
    <w:rsid w:val="00A87F1C"/>
    <w:rsid w:val="00A87F2E"/>
    <w:rsid w:val="00A87F82"/>
    <w:rsid w:val="00A87F8C"/>
    <w:rsid w:val="00A87FB4"/>
    <w:rsid w:val="00A87FCC"/>
    <w:rsid w:val="00A8A604"/>
    <w:rsid w:val="00A8B188"/>
    <w:rsid w:val="00A9007E"/>
    <w:rsid w:val="00A900CE"/>
    <w:rsid w:val="00A900F9"/>
    <w:rsid w:val="00A9010C"/>
    <w:rsid w:val="00A90116"/>
    <w:rsid w:val="00A90135"/>
    <w:rsid w:val="00A90143"/>
    <w:rsid w:val="00A90174"/>
    <w:rsid w:val="00A901E1"/>
    <w:rsid w:val="00A90253"/>
    <w:rsid w:val="00A90287"/>
    <w:rsid w:val="00A90289"/>
    <w:rsid w:val="00A902BA"/>
    <w:rsid w:val="00A902C9"/>
    <w:rsid w:val="00A902DB"/>
    <w:rsid w:val="00A90340"/>
    <w:rsid w:val="00A90346"/>
    <w:rsid w:val="00A90389"/>
    <w:rsid w:val="00A903C6"/>
    <w:rsid w:val="00A903D5"/>
    <w:rsid w:val="00A903DA"/>
    <w:rsid w:val="00A903E3"/>
    <w:rsid w:val="00A90403"/>
    <w:rsid w:val="00A90410"/>
    <w:rsid w:val="00A90422"/>
    <w:rsid w:val="00A90491"/>
    <w:rsid w:val="00A904CE"/>
    <w:rsid w:val="00A90528"/>
    <w:rsid w:val="00A90545"/>
    <w:rsid w:val="00A905DA"/>
    <w:rsid w:val="00A90621"/>
    <w:rsid w:val="00A90626"/>
    <w:rsid w:val="00A90662"/>
    <w:rsid w:val="00A90673"/>
    <w:rsid w:val="00A90677"/>
    <w:rsid w:val="00A9067A"/>
    <w:rsid w:val="00A90693"/>
    <w:rsid w:val="00A90696"/>
    <w:rsid w:val="00A906DF"/>
    <w:rsid w:val="00A907ED"/>
    <w:rsid w:val="00A90829"/>
    <w:rsid w:val="00A9084C"/>
    <w:rsid w:val="00A9084F"/>
    <w:rsid w:val="00A90874"/>
    <w:rsid w:val="00A908AD"/>
    <w:rsid w:val="00A908D3"/>
    <w:rsid w:val="00A9096A"/>
    <w:rsid w:val="00A909A6"/>
    <w:rsid w:val="00A909A8"/>
    <w:rsid w:val="00A909B1"/>
    <w:rsid w:val="00A909D6"/>
    <w:rsid w:val="00A90A31"/>
    <w:rsid w:val="00A90AB2"/>
    <w:rsid w:val="00A90AB5"/>
    <w:rsid w:val="00A90ADA"/>
    <w:rsid w:val="00A90B14"/>
    <w:rsid w:val="00A90B2A"/>
    <w:rsid w:val="00A90B44"/>
    <w:rsid w:val="00A90B68"/>
    <w:rsid w:val="00A90B6C"/>
    <w:rsid w:val="00A90B7E"/>
    <w:rsid w:val="00A90BED"/>
    <w:rsid w:val="00A90C0A"/>
    <w:rsid w:val="00A90C42"/>
    <w:rsid w:val="00A90C4A"/>
    <w:rsid w:val="00A90C4B"/>
    <w:rsid w:val="00A90C86"/>
    <w:rsid w:val="00A90CEC"/>
    <w:rsid w:val="00A90CEF"/>
    <w:rsid w:val="00A90CF2"/>
    <w:rsid w:val="00A90D3C"/>
    <w:rsid w:val="00A90D79"/>
    <w:rsid w:val="00A90D86"/>
    <w:rsid w:val="00A90E78"/>
    <w:rsid w:val="00A90E96"/>
    <w:rsid w:val="00A90EA1"/>
    <w:rsid w:val="00A90EB3"/>
    <w:rsid w:val="00A90EFE"/>
    <w:rsid w:val="00A90F09"/>
    <w:rsid w:val="00A90F17"/>
    <w:rsid w:val="00A90F4F"/>
    <w:rsid w:val="00A90F6A"/>
    <w:rsid w:val="00A90FED"/>
    <w:rsid w:val="00A90FFB"/>
    <w:rsid w:val="00A91005"/>
    <w:rsid w:val="00A9100B"/>
    <w:rsid w:val="00A91048"/>
    <w:rsid w:val="00A91094"/>
    <w:rsid w:val="00A910A3"/>
    <w:rsid w:val="00A910AE"/>
    <w:rsid w:val="00A910F1"/>
    <w:rsid w:val="00A9110E"/>
    <w:rsid w:val="00A9112A"/>
    <w:rsid w:val="00A911B5"/>
    <w:rsid w:val="00A911DA"/>
    <w:rsid w:val="00A91247"/>
    <w:rsid w:val="00A91268"/>
    <w:rsid w:val="00A9137D"/>
    <w:rsid w:val="00A91473"/>
    <w:rsid w:val="00A91497"/>
    <w:rsid w:val="00A914F0"/>
    <w:rsid w:val="00A9151E"/>
    <w:rsid w:val="00A91582"/>
    <w:rsid w:val="00A9158B"/>
    <w:rsid w:val="00A915D6"/>
    <w:rsid w:val="00A915F6"/>
    <w:rsid w:val="00A91600"/>
    <w:rsid w:val="00A91699"/>
    <w:rsid w:val="00A916EC"/>
    <w:rsid w:val="00A91743"/>
    <w:rsid w:val="00A9175A"/>
    <w:rsid w:val="00A9176E"/>
    <w:rsid w:val="00A91793"/>
    <w:rsid w:val="00A917AD"/>
    <w:rsid w:val="00A917B0"/>
    <w:rsid w:val="00A9180A"/>
    <w:rsid w:val="00A9180C"/>
    <w:rsid w:val="00A91823"/>
    <w:rsid w:val="00A9182D"/>
    <w:rsid w:val="00A91837"/>
    <w:rsid w:val="00A91872"/>
    <w:rsid w:val="00A91885"/>
    <w:rsid w:val="00A918B2"/>
    <w:rsid w:val="00A918E4"/>
    <w:rsid w:val="00A91967"/>
    <w:rsid w:val="00A9198A"/>
    <w:rsid w:val="00A919C4"/>
    <w:rsid w:val="00A91A56"/>
    <w:rsid w:val="00A91A98"/>
    <w:rsid w:val="00A91ADD"/>
    <w:rsid w:val="00A91AE1"/>
    <w:rsid w:val="00A91AFB"/>
    <w:rsid w:val="00A91AFF"/>
    <w:rsid w:val="00A91B9B"/>
    <w:rsid w:val="00A91B9C"/>
    <w:rsid w:val="00A91BA7"/>
    <w:rsid w:val="00A91BAB"/>
    <w:rsid w:val="00A91BF9"/>
    <w:rsid w:val="00A91C3D"/>
    <w:rsid w:val="00A91C9D"/>
    <w:rsid w:val="00A91CBF"/>
    <w:rsid w:val="00A91CC2"/>
    <w:rsid w:val="00A91CC6"/>
    <w:rsid w:val="00A91D0D"/>
    <w:rsid w:val="00A91D10"/>
    <w:rsid w:val="00A91D8E"/>
    <w:rsid w:val="00A91DBF"/>
    <w:rsid w:val="00A91DD3"/>
    <w:rsid w:val="00A91DDA"/>
    <w:rsid w:val="00A91E15"/>
    <w:rsid w:val="00A91E1A"/>
    <w:rsid w:val="00A91EB3"/>
    <w:rsid w:val="00A91EC2"/>
    <w:rsid w:val="00A91EC9"/>
    <w:rsid w:val="00A91F4E"/>
    <w:rsid w:val="00A91F6B"/>
    <w:rsid w:val="00A91FB9"/>
    <w:rsid w:val="00A91FC1"/>
    <w:rsid w:val="00A91FEE"/>
    <w:rsid w:val="00A91FF2"/>
    <w:rsid w:val="00A9200B"/>
    <w:rsid w:val="00A9202D"/>
    <w:rsid w:val="00A92063"/>
    <w:rsid w:val="00A920B1"/>
    <w:rsid w:val="00A920EB"/>
    <w:rsid w:val="00A921E9"/>
    <w:rsid w:val="00A92216"/>
    <w:rsid w:val="00A922BD"/>
    <w:rsid w:val="00A922CF"/>
    <w:rsid w:val="00A922D2"/>
    <w:rsid w:val="00A922DA"/>
    <w:rsid w:val="00A922E1"/>
    <w:rsid w:val="00A922E4"/>
    <w:rsid w:val="00A92308"/>
    <w:rsid w:val="00A92313"/>
    <w:rsid w:val="00A9233D"/>
    <w:rsid w:val="00A9234B"/>
    <w:rsid w:val="00A923DA"/>
    <w:rsid w:val="00A9244F"/>
    <w:rsid w:val="00A9246F"/>
    <w:rsid w:val="00A92478"/>
    <w:rsid w:val="00A92497"/>
    <w:rsid w:val="00A9249C"/>
    <w:rsid w:val="00A924DE"/>
    <w:rsid w:val="00A92524"/>
    <w:rsid w:val="00A9255E"/>
    <w:rsid w:val="00A9256F"/>
    <w:rsid w:val="00A92573"/>
    <w:rsid w:val="00A92583"/>
    <w:rsid w:val="00A92594"/>
    <w:rsid w:val="00A92596"/>
    <w:rsid w:val="00A925F7"/>
    <w:rsid w:val="00A9264B"/>
    <w:rsid w:val="00A926B7"/>
    <w:rsid w:val="00A92716"/>
    <w:rsid w:val="00A9274A"/>
    <w:rsid w:val="00A9278B"/>
    <w:rsid w:val="00A927D2"/>
    <w:rsid w:val="00A92865"/>
    <w:rsid w:val="00A92893"/>
    <w:rsid w:val="00A928E5"/>
    <w:rsid w:val="00A928EF"/>
    <w:rsid w:val="00A92959"/>
    <w:rsid w:val="00A92990"/>
    <w:rsid w:val="00A929C9"/>
    <w:rsid w:val="00A929D1"/>
    <w:rsid w:val="00A929D5"/>
    <w:rsid w:val="00A92A0A"/>
    <w:rsid w:val="00A92A97"/>
    <w:rsid w:val="00A92AB6"/>
    <w:rsid w:val="00A92B1B"/>
    <w:rsid w:val="00A92B60"/>
    <w:rsid w:val="00A92B91"/>
    <w:rsid w:val="00A92B94"/>
    <w:rsid w:val="00A92B9F"/>
    <w:rsid w:val="00A92C25"/>
    <w:rsid w:val="00A92C77"/>
    <w:rsid w:val="00A92D5A"/>
    <w:rsid w:val="00A92D7F"/>
    <w:rsid w:val="00A92DC4"/>
    <w:rsid w:val="00A92DDF"/>
    <w:rsid w:val="00A92E17"/>
    <w:rsid w:val="00A92E2D"/>
    <w:rsid w:val="00A92E43"/>
    <w:rsid w:val="00A92E50"/>
    <w:rsid w:val="00A92E56"/>
    <w:rsid w:val="00A92E59"/>
    <w:rsid w:val="00A92E87"/>
    <w:rsid w:val="00A92EA7"/>
    <w:rsid w:val="00A92EDD"/>
    <w:rsid w:val="00A92EFE"/>
    <w:rsid w:val="00A92F42"/>
    <w:rsid w:val="00A92F7F"/>
    <w:rsid w:val="00A92F9A"/>
    <w:rsid w:val="00A93054"/>
    <w:rsid w:val="00A93076"/>
    <w:rsid w:val="00A930D6"/>
    <w:rsid w:val="00A930FB"/>
    <w:rsid w:val="00A93137"/>
    <w:rsid w:val="00A93185"/>
    <w:rsid w:val="00A931B3"/>
    <w:rsid w:val="00A93286"/>
    <w:rsid w:val="00A932CB"/>
    <w:rsid w:val="00A93369"/>
    <w:rsid w:val="00A93382"/>
    <w:rsid w:val="00A93385"/>
    <w:rsid w:val="00A933C6"/>
    <w:rsid w:val="00A9340C"/>
    <w:rsid w:val="00A93485"/>
    <w:rsid w:val="00A934DF"/>
    <w:rsid w:val="00A9351A"/>
    <w:rsid w:val="00A93529"/>
    <w:rsid w:val="00A93538"/>
    <w:rsid w:val="00A9358B"/>
    <w:rsid w:val="00A935C5"/>
    <w:rsid w:val="00A935D9"/>
    <w:rsid w:val="00A93607"/>
    <w:rsid w:val="00A93638"/>
    <w:rsid w:val="00A93648"/>
    <w:rsid w:val="00A9365A"/>
    <w:rsid w:val="00A93727"/>
    <w:rsid w:val="00A93770"/>
    <w:rsid w:val="00A9378A"/>
    <w:rsid w:val="00A93875"/>
    <w:rsid w:val="00A93891"/>
    <w:rsid w:val="00A938B2"/>
    <w:rsid w:val="00A938FB"/>
    <w:rsid w:val="00A9394C"/>
    <w:rsid w:val="00A93962"/>
    <w:rsid w:val="00A93992"/>
    <w:rsid w:val="00A939B9"/>
    <w:rsid w:val="00A939F3"/>
    <w:rsid w:val="00A939FD"/>
    <w:rsid w:val="00A93A50"/>
    <w:rsid w:val="00A93A7E"/>
    <w:rsid w:val="00A93AAE"/>
    <w:rsid w:val="00A93B1A"/>
    <w:rsid w:val="00A93B7B"/>
    <w:rsid w:val="00A93BBD"/>
    <w:rsid w:val="00A93BDC"/>
    <w:rsid w:val="00A93C4A"/>
    <w:rsid w:val="00A93CB2"/>
    <w:rsid w:val="00A93CFC"/>
    <w:rsid w:val="00A93D02"/>
    <w:rsid w:val="00A93D2A"/>
    <w:rsid w:val="00A93D72"/>
    <w:rsid w:val="00A93D92"/>
    <w:rsid w:val="00A93DC3"/>
    <w:rsid w:val="00A93E77"/>
    <w:rsid w:val="00A93EDD"/>
    <w:rsid w:val="00A93F01"/>
    <w:rsid w:val="00A93F88"/>
    <w:rsid w:val="00A93FA4"/>
    <w:rsid w:val="00A93FFF"/>
    <w:rsid w:val="00A940A2"/>
    <w:rsid w:val="00A940E5"/>
    <w:rsid w:val="00A94127"/>
    <w:rsid w:val="00A9417B"/>
    <w:rsid w:val="00A941D2"/>
    <w:rsid w:val="00A94206"/>
    <w:rsid w:val="00A9421D"/>
    <w:rsid w:val="00A9428D"/>
    <w:rsid w:val="00A942AC"/>
    <w:rsid w:val="00A9435C"/>
    <w:rsid w:val="00A9438F"/>
    <w:rsid w:val="00A943AB"/>
    <w:rsid w:val="00A943B2"/>
    <w:rsid w:val="00A943BA"/>
    <w:rsid w:val="00A94405"/>
    <w:rsid w:val="00A94443"/>
    <w:rsid w:val="00A94482"/>
    <w:rsid w:val="00A94523"/>
    <w:rsid w:val="00A9455E"/>
    <w:rsid w:val="00A94588"/>
    <w:rsid w:val="00A946A3"/>
    <w:rsid w:val="00A946E5"/>
    <w:rsid w:val="00A94704"/>
    <w:rsid w:val="00A94722"/>
    <w:rsid w:val="00A94749"/>
    <w:rsid w:val="00A94757"/>
    <w:rsid w:val="00A9477C"/>
    <w:rsid w:val="00A947D0"/>
    <w:rsid w:val="00A947F5"/>
    <w:rsid w:val="00A9486D"/>
    <w:rsid w:val="00A94883"/>
    <w:rsid w:val="00A94887"/>
    <w:rsid w:val="00A948D1"/>
    <w:rsid w:val="00A948EE"/>
    <w:rsid w:val="00A948F8"/>
    <w:rsid w:val="00A9499E"/>
    <w:rsid w:val="00A949A0"/>
    <w:rsid w:val="00A949E1"/>
    <w:rsid w:val="00A94A63"/>
    <w:rsid w:val="00A94AF6"/>
    <w:rsid w:val="00A94B35"/>
    <w:rsid w:val="00A94B40"/>
    <w:rsid w:val="00A94B43"/>
    <w:rsid w:val="00A94B84"/>
    <w:rsid w:val="00A94B89"/>
    <w:rsid w:val="00A94C06"/>
    <w:rsid w:val="00A94C58"/>
    <w:rsid w:val="00A94C6B"/>
    <w:rsid w:val="00A94CA8"/>
    <w:rsid w:val="00A94D1A"/>
    <w:rsid w:val="00A94D24"/>
    <w:rsid w:val="00A94D45"/>
    <w:rsid w:val="00A94E6F"/>
    <w:rsid w:val="00A94E91"/>
    <w:rsid w:val="00A94EE7"/>
    <w:rsid w:val="00A94F3A"/>
    <w:rsid w:val="00A94F80"/>
    <w:rsid w:val="00A94FB0"/>
    <w:rsid w:val="00A94FDF"/>
    <w:rsid w:val="00A95007"/>
    <w:rsid w:val="00A9505C"/>
    <w:rsid w:val="00A950AC"/>
    <w:rsid w:val="00A95146"/>
    <w:rsid w:val="00A9514A"/>
    <w:rsid w:val="00A951A3"/>
    <w:rsid w:val="00A951AF"/>
    <w:rsid w:val="00A951E6"/>
    <w:rsid w:val="00A95292"/>
    <w:rsid w:val="00A9533F"/>
    <w:rsid w:val="00A95340"/>
    <w:rsid w:val="00A95369"/>
    <w:rsid w:val="00A953AB"/>
    <w:rsid w:val="00A953B0"/>
    <w:rsid w:val="00A953BF"/>
    <w:rsid w:val="00A9540C"/>
    <w:rsid w:val="00A9541A"/>
    <w:rsid w:val="00A95483"/>
    <w:rsid w:val="00A954B0"/>
    <w:rsid w:val="00A954F0"/>
    <w:rsid w:val="00A95525"/>
    <w:rsid w:val="00A9559F"/>
    <w:rsid w:val="00A955D2"/>
    <w:rsid w:val="00A955D8"/>
    <w:rsid w:val="00A955EC"/>
    <w:rsid w:val="00A9561A"/>
    <w:rsid w:val="00A95672"/>
    <w:rsid w:val="00A956BB"/>
    <w:rsid w:val="00A95707"/>
    <w:rsid w:val="00A9576F"/>
    <w:rsid w:val="00A9579C"/>
    <w:rsid w:val="00A957CE"/>
    <w:rsid w:val="00A95835"/>
    <w:rsid w:val="00A95883"/>
    <w:rsid w:val="00A958DE"/>
    <w:rsid w:val="00A9593C"/>
    <w:rsid w:val="00A95943"/>
    <w:rsid w:val="00A95944"/>
    <w:rsid w:val="00A95970"/>
    <w:rsid w:val="00A959B9"/>
    <w:rsid w:val="00A959C3"/>
    <w:rsid w:val="00A959C9"/>
    <w:rsid w:val="00A959EB"/>
    <w:rsid w:val="00A95A05"/>
    <w:rsid w:val="00A95A6B"/>
    <w:rsid w:val="00A95A99"/>
    <w:rsid w:val="00A95AF7"/>
    <w:rsid w:val="00A95B4F"/>
    <w:rsid w:val="00A95B57"/>
    <w:rsid w:val="00A95B73"/>
    <w:rsid w:val="00A95B78"/>
    <w:rsid w:val="00A95BB0"/>
    <w:rsid w:val="00A95BEE"/>
    <w:rsid w:val="00A95C1E"/>
    <w:rsid w:val="00A95C24"/>
    <w:rsid w:val="00A95C91"/>
    <w:rsid w:val="00A95CD8"/>
    <w:rsid w:val="00A95D03"/>
    <w:rsid w:val="00A95D54"/>
    <w:rsid w:val="00A95DAA"/>
    <w:rsid w:val="00A95DD8"/>
    <w:rsid w:val="00A95E02"/>
    <w:rsid w:val="00A95E04"/>
    <w:rsid w:val="00A95E10"/>
    <w:rsid w:val="00A95E2E"/>
    <w:rsid w:val="00A95EA7"/>
    <w:rsid w:val="00A95EEB"/>
    <w:rsid w:val="00A95EF2"/>
    <w:rsid w:val="00A95F93"/>
    <w:rsid w:val="00A95FA7"/>
    <w:rsid w:val="00A95FAF"/>
    <w:rsid w:val="00A95FC2"/>
    <w:rsid w:val="00A95FF4"/>
    <w:rsid w:val="00A96007"/>
    <w:rsid w:val="00A96064"/>
    <w:rsid w:val="00A960D0"/>
    <w:rsid w:val="00A9612C"/>
    <w:rsid w:val="00A96137"/>
    <w:rsid w:val="00A9615D"/>
    <w:rsid w:val="00A96184"/>
    <w:rsid w:val="00A961D6"/>
    <w:rsid w:val="00A961F5"/>
    <w:rsid w:val="00A96219"/>
    <w:rsid w:val="00A9625E"/>
    <w:rsid w:val="00A96295"/>
    <w:rsid w:val="00A962B9"/>
    <w:rsid w:val="00A962D6"/>
    <w:rsid w:val="00A962F1"/>
    <w:rsid w:val="00A96305"/>
    <w:rsid w:val="00A96370"/>
    <w:rsid w:val="00A9646B"/>
    <w:rsid w:val="00A964C4"/>
    <w:rsid w:val="00A9658C"/>
    <w:rsid w:val="00A965C8"/>
    <w:rsid w:val="00A965D0"/>
    <w:rsid w:val="00A965DA"/>
    <w:rsid w:val="00A965DD"/>
    <w:rsid w:val="00A966B6"/>
    <w:rsid w:val="00A966D2"/>
    <w:rsid w:val="00A966D7"/>
    <w:rsid w:val="00A966FA"/>
    <w:rsid w:val="00A96730"/>
    <w:rsid w:val="00A96744"/>
    <w:rsid w:val="00A96770"/>
    <w:rsid w:val="00A96780"/>
    <w:rsid w:val="00A96797"/>
    <w:rsid w:val="00A967EE"/>
    <w:rsid w:val="00A96815"/>
    <w:rsid w:val="00A96874"/>
    <w:rsid w:val="00A9689F"/>
    <w:rsid w:val="00A968A0"/>
    <w:rsid w:val="00A968A7"/>
    <w:rsid w:val="00A968EB"/>
    <w:rsid w:val="00A9696D"/>
    <w:rsid w:val="00A96971"/>
    <w:rsid w:val="00A969DF"/>
    <w:rsid w:val="00A969E7"/>
    <w:rsid w:val="00A969FA"/>
    <w:rsid w:val="00A96A5D"/>
    <w:rsid w:val="00A96A9F"/>
    <w:rsid w:val="00A96AB6"/>
    <w:rsid w:val="00A96AB9"/>
    <w:rsid w:val="00A96B2E"/>
    <w:rsid w:val="00A96B31"/>
    <w:rsid w:val="00A96B32"/>
    <w:rsid w:val="00A96B3B"/>
    <w:rsid w:val="00A96B54"/>
    <w:rsid w:val="00A96B60"/>
    <w:rsid w:val="00A96B80"/>
    <w:rsid w:val="00A96B86"/>
    <w:rsid w:val="00A96C7F"/>
    <w:rsid w:val="00A96D31"/>
    <w:rsid w:val="00A96E3E"/>
    <w:rsid w:val="00A96EAC"/>
    <w:rsid w:val="00A96F3A"/>
    <w:rsid w:val="00A96F4A"/>
    <w:rsid w:val="00A96F4F"/>
    <w:rsid w:val="00A96F5F"/>
    <w:rsid w:val="00A96F8C"/>
    <w:rsid w:val="00A97070"/>
    <w:rsid w:val="00A970BE"/>
    <w:rsid w:val="00A970F3"/>
    <w:rsid w:val="00A97111"/>
    <w:rsid w:val="00A97152"/>
    <w:rsid w:val="00A97156"/>
    <w:rsid w:val="00A97174"/>
    <w:rsid w:val="00A97187"/>
    <w:rsid w:val="00A9719E"/>
    <w:rsid w:val="00A971A6"/>
    <w:rsid w:val="00A971DE"/>
    <w:rsid w:val="00A9722D"/>
    <w:rsid w:val="00A97285"/>
    <w:rsid w:val="00A9728F"/>
    <w:rsid w:val="00A972C1"/>
    <w:rsid w:val="00A972CB"/>
    <w:rsid w:val="00A97334"/>
    <w:rsid w:val="00A97351"/>
    <w:rsid w:val="00A97352"/>
    <w:rsid w:val="00A97353"/>
    <w:rsid w:val="00A973D1"/>
    <w:rsid w:val="00A97418"/>
    <w:rsid w:val="00A9741E"/>
    <w:rsid w:val="00A9742F"/>
    <w:rsid w:val="00A97435"/>
    <w:rsid w:val="00A9747F"/>
    <w:rsid w:val="00A97488"/>
    <w:rsid w:val="00A9749B"/>
    <w:rsid w:val="00A974AE"/>
    <w:rsid w:val="00A974BC"/>
    <w:rsid w:val="00A9750E"/>
    <w:rsid w:val="00A9753A"/>
    <w:rsid w:val="00A97555"/>
    <w:rsid w:val="00A97577"/>
    <w:rsid w:val="00A97583"/>
    <w:rsid w:val="00A97678"/>
    <w:rsid w:val="00A9768B"/>
    <w:rsid w:val="00A976D1"/>
    <w:rsid w:val="00A97704"/>
    <w:rsid w:val="00A97734"/>
    <w:rsid w:val="00A97752"/>
    <w:rsid w:val="00A9778C"/>
    <w:rsid w:val="00A977CE"/>
    <w:rsid w:val="00A97831"/>
    <w:rsid w:val="00A978BC"/>
    <w:rsid w:val="00A9790C"/>
    <w:rsid w:val="00A9795E"/>
    <w:rsid w:val="00A979AE"/>
    <w:rsid w:val="00A979D1"/>
    <w:rsid w:val="00A97A2A"/>
    <w:rsid w:val="00A97ADF"/>
    <w:rsid w:val="00A97AF4"/>
    <w:rsid w:val="00A97B23"/>
    <w:rsid w:val="00A97B81"/>
    <w:rsid w:val="00A97BA2"/>
    <w:rsid w:val="00A97BB0"/>
    <w:rsid w:val="00A97CB2"/>
    <w:rsid w:val="00A97CB8"/>
    <w:rsid w:val="00A97D64"/>
    <w:rsid w:val="00A97D8A"/>
    <w:rsid w:val="00A97D96"/>
    <w:rsid w:val="00A97E0D"/>
    <w:rsid w:val="00A97E38"/>
    <w:rsid w:val="00A97E5C"/>
    <w:rsid w:val="00A97E6A"/>
    <w:rsid w:val="00A97E6B"/>
    <w:rsid w:val="00A97E7B"/>
    <w:rsid w:val="00A97F0A"/>
    <w:rsid w:val="00A97F3B"/>
    <w:rsid w:val="00A97F96"/>
    <w:rsid w:val="00A97FAB"/>
    <w:rsid w:val="00A996D8"/>
    <w:rsid w:val="00AA007A"/>
    <w:rsid w:val="00AA0084"/>
    <w:rsid w:val="00AA0092"/>
    <w:rsid w:val="00AA00A9"/>
    <w:rsid w:val="00AA00C8"/>
    <w:rsid w:val="00AA0119"/>
    <w:rsid w:val="00AA0138"/>
    <w:rsid w:val="00AA0189"/>
    <w:rsid w:val="00AA01BB"/>
    <w:rsid w:val="00AA01C8"/>
    <w:rsid w:val="00AA0236"/>
    <w:rsid w:val="00AA02AB"/>
    <w:rsid w:val="00AA034F"/>
    <w:rsid w:val="00AA037A"/>
    <w:rsid w:val="00AA03B7"/>
    <w:rsid w:val="00AA03C5"/>
    <w:rsid w:val="00AA044A"/>
    <w:rsid w:val="00AA0497"/>
    <w:rsid w:val="00AA04C2"/>
    <w:rsid w:val="00AA04CD"/>
    <w:rsid w:val="00AA0514"/>
    <w:rsid w:val="00AA0527"/>
    <w:rsid w:val="00AA0528"/>
    <w:rsid w:val="00AA0555"/>
    <w:rsid w:val="00AA0557"/>
    <w:rsid w:val="00AA0586"/>
    <w:rsid w:val="00AA058B"/>
    <w:rsid w:val="00AA05A9"/>
    <w:rsid w:val="00AA0605"/>
    <w:rsid w:val="00AA062A"/>
    <w:rsid w:val="00AA0633"/>
    <w:rsid w:val="00AA0690"/>
    <w:rsid w:val="00AA0717"/>
    <w:rsid w:val="00AA0722"/>
    <w:rsid w:val="00AA0749"/>
    <w:rsid w:val="00AA0761"/>
    <w:rsid w:val="00AA07E3"/>
    <w:rsid w:val="00AA081B"/>
    <w:rsid w:val="00AA0857"/>
    <w:rsid w:val="00AA086A"/>
    <w:rsid w:val="00AA0876"/>
    <w:rsid w:val="00AA08A6"/>
    <w:rsid w:val="00AA08AE"/>
    <w:rsid w:val="00AA08E2"/>
    <w:rsid w:val="00AA092E"/>
    <w:rsid w:val="00AA092F"/>
    <w:rsid w:val="00AA096C"/>
    <w:rsid w:val="00AA0975"/>
    <w:rsid w:val="00AA09DD"/>
    <w:rsid w:val="00AA0A29"/>
    <w:rsid w:val="00AA0A84"/>
    <w:rsid w:val="00AA0A88"/>
    <w:rsid w:val="00AA0ABA"/>
    <w:rsid w:val="00AA0ADA"/>
    <w:rsid w:val="00AA0AE6"/>
    <w:rsid w:val="00AA0B22"/>
    <w:rsid w:val="00AA0B28"/>
    <w:rsid w:val="00AA0BF7"/>
    <w:rsid w:val="00AA0C42"/>
    <w:rsid w:val="00AA0C68"/>
    <w:rsid w:val="00AA0CB0"/>
    <w:rsid w:val="00AA0CBF"/>
    <w:rsid w:val="00AA0D4B"/>
    <w:rsid w:val="00AA0D5A"/>
    <w:rsid w:val="00AA0E17"/>
    <w:rsid w:val="00AA0E34"/>
    <w:rsid w:val="00AA0E63"/>
    <w:rsid w:val="00AA0E8A"/>
    <w:rsid w:val="00AA0EBF"/>
    <w:rsid w:val="00AA0F3D"/>
    <w:rsid w:val="00AA0F4F"/>
    <w:rsid w:val="00AA0F58"/>
    <w:rsid w:val="00AA0FAC"/>
    <w:rsid w:val="00AA1029"/>
    <w:rsid w:val="00AA109C"/>
    <w:rsid w:val="00AA10AB"/>
    <w:rsid w:val="00AA10E6"/>
    <w:rsid w:val="00AA1146"/>
    <w:rsid w:val="00AA118A"/>
    <w:rsid w:val="00AA11A3"/>
    <w:rsid w:val="00AA11B3"/>
    <w:rsid w:val="00AA1209"/>
    <w:rsid w:val="00AA1252"/>
    <w:rsid w:val="00AA126E"/>
    <w:rsid w:val="00AA127D"/>
    <w:rsid w:val="00AA1284"/>
    <w:rsid w:val="00AA138E"/>
    <w:rsid w:val="00AA139C"/>
    <w:rsid w:val="00AA13B0"/>
    <w:rsid w:val="00AA13D0"/>
    <w:rsid w:val="00AA142E"/>
    <w:rsid w:val="00AA145E"/>
    <w:rsid w:val="00AA1463"/>
    <w:rsid w:val="00AA148C"/>
    <w:rsid w:val="00AA1527"/>
    <w:rsid w:val="00AA1532"/>
    <w:rsid w:val="00AA1571"/>
    <w:rsid w:val="00AA15C7"/>
    <w:rsid w:val="00AA15FE"/>
    <w:rsid w:val="00AA1633"/>
    <w:rsid w:val="00AA163F"/>
    <w:rsid w:val="00AA16CE"/>
    <w:rsid w:val="00AA1702"/>
    <w:rsid w:val="00AA1809"/>
    <w:rsid w:val="00AA181B"/>
    <w:rsid w:val="00AA1832"/>
    <w:rsid w:val="00AA184D"/>
    <w:rsid w:val="00AA1885"/>
    <w:rsid w:val="00AA188E"/>
    <w:rsid w:val="00AA189C"/>
    <w:rsid w:val="00AA1925"/>
    <w:rsid w:val="00AA1A13"/>
    <w:rsid w:val="00AA1A76"/>
    <w:rsid w:val="00AA1A7F"/>
    <w:rsid w:val="00AA1A9A"/>
    <w:rsid w:val="00AA1AC5"/>
    <w:rsid w:val="00AA1AD9"/>
    <w:rsid w:val="00AA1B21"/>
    <w:rsid w:val="00AA1B5C"/>
    <w:rsid w:val="00AA1B72"/>
    <w:rsid w:val="00AA1B90"/>
    <w:rsid w:val="00AA1BC9"/>
    <w:rsid w:val="00AA1BDB"/>
    <w:rsid w:val="00AA1C03"/>
    <w:rsid w:val="00AA1C4F"/>
    <w:rsid w:val="00AA1C59"/>
    <w:rsid w:val="00AA1C7D"/>
    <w:rsid w:val="00AA1C8C"/>
    <w:rsid w:val="00AA1CA1"/>
    <w:rsid w:val="00AA1D3E"/>
    <w:rsid w:val="00AA1D61"/>
    <w:rsid w:val="00AA1D6F"/>
    <w:rsid w:val="00AA1DA8"/>
    <w:rsid w:val="00AA1DC4"/>
    <w:rsid w:val="00AA1E24"/>
    <w:rsid w:val="00AA1EC9"/>
    <w:rsid w:val="00AA1EE9"/>
    <w:rsid w:val="00AA1EF2"/>
    <w:rsid w:val="00AA1F17"/>
    <w:rsid w:val="00AA1F9E"/>
    <w:rsid w:val="00AA2014"/>
    <w:rsid w:val="00AA2092"/>
    <w:rsid w:val="00AA209B"/>
    <w:rsid w:val="00AA2150"/>
    <w:rsid w:val="00AA218F"/>
    <w:rsid w:val="00AA219D"/>
    <w:rsid w:val="00AA21BC"/>
    <w:rsid w:val="00AA21D6"/>
    <w:rsid w:val="00AA222C"/>
    <w:rsid w:val="00AA234F"/>
    <w:rsid w:val="00AA238A"/>
    <w:rsid w:val="00AA2400"/>
    <w:rsid w:val="00AA2426"/>
    <w:rsid w:val="00AA24F2"/>
    <w:rsid w:val="00AA250C"/>
    <w:rsid w:val="00AA2551"/>
    <w:rsid w:val="00AA2564"/>
    <w:rsid w:val="00AA25D5"/>
    <w:rsid w:val="00AA25D7"/>
    <w:rsid w:val="00AA25F3"/>
    <w:rsid w:val="00AA2641"/>
    <w:rsid w:val="00AA2667"/>
    <w:rsid w:val="00AA26BC"/>
    <w:rsid w:val="00AA26CC"/>
    <w:rsid w:val="00AA279C"/>
    <w:rsid w:val="00AA27AF"/>
    <w:rsid w:val="00AA27E3"/>
    <w:rsid w:val="00AA284B"/>
    <w:rsid w:val="00AA2857"/>
    <w:rsid w:val="00AA2859"/>
    <w:rsid w:val="00AA2881"/>
    <w:rsid w:val="00AA28BC"/>
    <w:rsid w:val="00AA29AE"/>
    <w:rsid w:val="00AA29B5"/>
    <w:rsid w:val="00AA29DA"/>
    <w:rsid w:val="00AA2A31"/>
    <w:rsid w:val="00AA2A96"/>
    <w:rsid w:val="00AA2AA6"/>
    <w:rsid w:val="00AA2AB7"/>
    <w:rsid w:val="00AA2AC2"/>
    <w:rsid w:val="00AA2AC8"/>
    <w:rsid w:val="00AA2B6C"/>
    <w:rsid w:val="00AA2B7D"/>
    <w:rsid w:val="00AA2BB2"/>
    <w:rsid w:val="00AA2BB5"/>
    <w:rsid w:val="00AA2BCF"/>
    <w:rsid w:val="00AA2BFA"/>
    <w:rsid w:val="00AA2BFE"/>
    <w:rsid w:val="00AA2CE3"/>
    <w:rsid w:val="00AA2CE9"/>
    <w:rsid w:val="00AA2D63"/>
    <w:rsid w:val="00AA2DC3"/>
    <w:rsid w:val="00AA2DCD"/>
    <w:rsid w:val="00AA2E6D"/>
    <w:rsid w:val="00AA2EA1"/>
    <w:rsid w:val="00AA2EAB"/>
    <w:rsid w:val="00AA2F01"/>
    <w:rsid w:val="00AA2F3A"/>
    <w:rsid w:val="00AA2F61"/>
    <w:rsid w:val="00AA2F6C"/>
    <w:rsid w:val="00AA2F9F"/>
    <w:rsid w:val="00AA2FA7"/>
    <w:rsid w:val="00AA2FE0"/>
    <w:rsid w:val="00AA2FE9"/>
    <w:rsid w:val="00AA3015"/>
    <w:rsid w:val="00AA3027"/>
    <w:rsid w:val="00AA303F"/>
    <w:rsid w:val="00AA3042"/>
    <w:rsid w:val="00AA3053"/>
    <w:rsid w:val="00AA3078"/>
    <w:rsid w:val="00AA307A"/>
    <w:rsid w:val="00AA3087"/>
    <w:rsid w:val="00AA3094"/>
    <w:rsid w:val="00AA30D6"/>
    <w:rsid w:val="00AA30FA"/>
    <w:rsid w:val="00AA30FB"/>
    <w:rsid w:val="00AA311E"/>
    <w:rsid w:val="00AA3173"/>
    <w:rsid w:val="00AA322A"/>
    <w:rsid w:val="00AA3261"/>
    <w:rsid w:val="00AA32AB"/>
    <w:rsid w:val="00AA32D7"/>
    <w:rsid w:val="00AA32F1"/>
    <w:rsid w:val="00AA3327"/>
    <w:rsid w:val="00AA333F"/>
    <w:rsid w:val="00AA3391"/>
    <w:rsid w:val="00AA3428"/>
    <w:rsid w:val="00AA3455"/>
    <w:rsid w:val="00AA347C"/>
    <w:rsid w:val="00AA34BE"/>
    <w:rsid w:val="00AA34C6"/>
    <w:rsid w:val="00AA34E4"/>
    <w:rsid w:val="00AA34EB"/>
    <w:rsid w:val="00AA3580"/>
    <w:rsid w:val="00AA3610"/>
    <w:rsid w:val="00AA3644"/>
    <w:rsid w:val="00AA365D"/>
    <w:rsid w:val="00AA3661"/>
    <w:rsid w:val="00AA369E"/>
    <w:rsid w:val="00AA36B5"/>
    <w:rsid w:val="00AA36F1"/>
    <w:rsid w:val="00AA3713"/>
    <w:rsid w:val="00AA382A"/>
    <w:rsid w:val="00AA383E"/>
    <w:rsid w:val="00AA3851"/>
    <w:rsid w:val="00AA387C"/>
    <w:rsid w:val="00AA3889"/>
    <w:rsid w:val="00AA3899"/>
    <w:rsid w:val="00AA38A5"/>
    <w:rsid w:val="00AA38BA"/>
    <w:rsid w:val="00AA3962"/>
    <w:rsid w:val="00AA397D"/>
    <w:rsid w:val="00AA3992"/>
    <w:rsid w:val="00AA39B3"/>
    <w:rsid w:val="00AA39B7"/>
    <w:rsid w:val="00AA39EC"/>
    <w:rsid w:val="00AA39F9"/>
    <w:rsid w:val="00AA3A61"/>
    <w:rsid w:val="00AA3B20"/>
    <w:rsid w:val="00AA3BFD"/>
    <w:rsid w:val="00AA3C3E"/>
    <w:rsid w:val="00AA3C4A"/>
    <w:rsid w:val="00AA3C6A"/>
    <w:rsid w:val="00AA3CCB"/>
    <w:rsid w:val="00AA3CEF"/>
    <w:rsid w:val="00AA3D08"/>
    <w:rsid w:val="00AA3D73"/>
    <w:rsid w:val="00AA3D9A"/>
    <w:rsid w:val="00AA3DCE"/>
    <w:rsid w:val="00AA3DFA"/>
    <w:rsid w:val="00AA3E0B"/>
    <w:rsid w:val="00AA3E29"/>
    <w:rsid w:val="00AA3E64"/>
    <w:rsid w:val="00AA3F1E"/>
    <w:rsid w:val="00AA3FBF"/>
    <w:rsid w:val="00AA3FC4"/>
    <w:rsid w:val="00AA3FDE"/>
    <w:rsid w:val="00AA4044"/>
    <w:rsid w:val="00AA4064"/>
    <w:rsid w:val="00AA40B2"/>
    <w:rsid w:val="00AA41A5"/>
    <w:rsid w:val="00AA41AF"/>
    <w:rsid w:val="00AA41D8"/>
    <w:rsid w:val="00AA41DD"/>
    <w:rsid w:val="00AA41F0"/>
    <w:rsid w:val="00AA426E"/>
    <w:rsid w:val="00AA4312"/>
    <w:rsid w:val="00AA4333"/>
    <w:rsid w:val="00AA4397"/>
    <w:rsid w:val="00AA43DC"/>
    <w:rsid w:val="00AA4405"/>
    <w:rsid w:val="00AA4460"/>
    <w:rsid w:val="00AA4475"/>
    <w:rsid w:val="00AA448F"/>
    <w:rsid w:val="00AA44A3"/>
    <w:rsid w:val="00AA4553"/>
    <w:rsid w:val="00AA4597"/>
    <w:rsid w:val="00AA45D1"/>
    <w:rsid w:val="00AA4631"/>
    <w:rsid w:val="00AA465D"/>
    <w:rsid w:val="00AA46C3"/>
    <w:rsid w:val="00AA4755"/>
    <w:rsid w:val="00AA47CA"/>
    <w:rsid w:val="00AA4804"/>
    <w:rsid w:val="00AA48A9"/>
    <w:rsid w:val="00AA48FB"/>
    <w:rsid w:val="00AA4961"/>
    <w:rsid w:val="00AA496F"/>
    <w:rsid w:val="00AA4982"/>
    <w:rsid w:val="00AA49A6"/>
    <w:rsid w:val="00AA49D0"/>
    <w:rsid w:val="00AA49EC"/>
    <w:rsid w:val="00AA4A2E"/>
    <w:rsid w:val="00AA4A34"/>
    <w:rsid w:val="00AA4A89"/>
    <w:rsid w:val="00AA4B41"/>
    <w:rsid w:val="00AA4BA2"/>
    <w:rsid w:val="00AA4BB4"/>
    <w:rsid w:val="00AA4BDE"/>
    <w:rsid w:val="00AA4BF2"/>
    <w:rsid w:val="00AA4C0A"/>
    <w:rsid w:val="00AA4C1D"/>
    <w:rsid w:val="00AA4C42"/>
    <w:rsid w:val="00AA4C46"/>
    <w:rsid w:val="00AA4C51"/>
    <w:rsid w:val="00AA4CDF"/>
    <w:rsid w:val="00AA4D2C"/>
    <w:rsid w:val="00AA4D2F"/>
    <w:rsid w:val="00AA4D3C"/>
    <w:rsid w:val="00AA4D47"/>
    <w:rsid w:val="00AA4D83"/>
    <w:rsid w:val="00AA4D9C"/>
    <w:rsid w:val="00AA4D9E"/>
    <w:rsid w:val="00AA4DA8"/>
    <w:rsid w:val="00AA4DAB"/>
    <w:rsid w:val="00AA4DB0"/>
    <w:rsid w:val="00AA4DC4"/>
    <w:rsid w:val="00AA4E0C"/>
    <w:rsid w:val="00AA4E8C"/>
    <w:rsid w:val="00AA4EA8"/>
    <w:rsid w:val="00AA4EB6"/>
    <w:rsid w:val="00AA4EBC"/>
    <w:rsid w:val="00AA4EF4"/>
    <w:rsid w:val="00AA4F23"/>
    <w:rsid w:val="00AA4F58"/>
    <w:rsid w:val="00AA4F80"/>
    <w:rsid w:val="00AA500F"/>
    <w:rsid w:val="00AA503F"/>
    <w:rsid w:val="00AA505D"/>
    <w:rsid w:val="00AA5083"/>
    <w:rsid w:val="00AA508F"/>
    <w:rsid w:val="00AA50BD"/>
    <w:rsid w:val="00AA5192"/>
    <w:rsid w:val="00AA519F"/>
    <w:rsid w:val="00AA51C3"/>
    <w:rsid w:val="00AA5238"/>
    <w:rsid w:val="00AA5300"/>
    <w:rsid w:val="00AA5303"/>
    <w:rsid w:val="00AA5354"/>
    <w:rsid w:val="00AA535A"/>
    <w:rsid w:val="00AA5369"/>
    <w:rsid w:val="00AA53B1"/>
    <w:rsid w:val="00AA5403"/>
    <w:rsid w:val="00AA5446"/>
    <w:rsid w:val="00AA544E"/>
    <w:rsid w:val="00AA546E"/>
    <w:rsid w:val="00AA549D"/>
    <w:rsid w:val="00AA54A9"/>
    <w:rsid w:val="00AA54E5"/>
    <w:rsid w:val="00AA5504"/>
    <w:rsid w:val="00AA5524"/>
    <w:rsid w:val="00AA5531"/>
    <w:rsid w:val="00AA5573"/>
    <w:rsid w:val="00AA55A5"/>
    <w:rsid w:val="00AA55D4"/>
    <w:rsid w:val="00AA55FC"/>
    <w:rsid w:val="00AA5631"/>
    <w:rsid w:val="00AA5635"/>
    <w:rsid w:val="00AA5684"/>
    <w:rsid w:val="00AA568B"/>
    <w:rsid w:val="00AA56AA"/>
    <w:rsid w:val="00AA5746"/>
    <w:rsid w:val="00AA5763"/>
    <w:rsid w:val="00AA576D"/>
    <w:rsid w:val="00AA578A"/>
    <w:rsid w:val="00AA578D"/>
    <w:rsid w:val="00AA57B0"/>
    <w:rsid w:val="00AA57C5"/>
    <w:rsid w:val="00AA5895"/>
    <w:rsid w:val="00AA58B3"/>
    <w:rsid w:val="00AA591B"/>
    <w:rsid w:val="00AA59DB"/>
    <w:rsid w:val="00AA5A12"/>
    <w:rsid w:val="00AA5A18"/>
    <w:rsid w:val="00AA5A69"/>
    <w:rsid w:val="00AA5A83"/>
    <w:rsid w:val="00AA5AED"/>
    <w:rsid w:val="00AA5B3A"/>
    <w:rsid w:val="00AA5B57"/>
    <w:rsid w:val="00AA5B6B"/>
    <w:rsid w:val="00AA5B9A"/>
    <w:rsid w:val="00AA5C03"/>
    <w:rsid w:val="00AA5C0A"/>
    <w:rsid w:val="00AA5C33"/>
    <w:rsid w:val="00AA5C84"/>
    <w:rsid w:val="00AA5C8C"/>
    <w:rsid w:val="00AA5C95"/>
    <w:rsid w:val="00AA5D1E"/>
    <w:rsid w:val="00AA5D37"/>
    <w:rsid w:val="00AA5D7E"/>
    <w:rsid w:val="00AA5D8C"/>
    <w:rsid w:val="00AA5DA4"/>
    <w:rsid w:val="00AA5DCA"/>
    <w:rsid w:val="00AA5DCC"/>
    <w:rsid w:val="00AA5DEE"/>
    <w:rsid w:val="00AA5DFA"/>
    <w:rsid w:val="00AA5E31"/>
    <w:rsid w:val="00AA5E74"/>
    <w:rsid w:val="00AA5ED1"/>
    <w:rsid w:val="00AA5F17"/>
    <w:rsid w:val="00AA5F38"/>
    <w:rsid w:val="00AA5F3F"/>
    <w:rsid w:val="00AA5F50"/>
    <w:rsid w:val="00AA5F71"/>
    <w:rsid w:val="00AA5FD8"/>
    <w:rsid w:val="00AA6022"/>
    <w:rsid w:val="00AA6039"/>
    <w:rsid w:val="00AA603A"/>
    <w:rsid w:val="00AA6041"/>
    <w:rsid w:val="00AA6057"/>
    <w:rsid w:val="00AA608E"/>
    <w:rsid w:val="00AA60D6"/>
    <w:rsid w:val="00AA60D7"/>
    <w:rsid w:val="00AA611D"/>
    <w:rsid w:val="00AA6120"/>
    <w:rsid w:val="00AA614C"/>
    <w:rsid w:val="00AA615D"/>
    <w:rsid w:val="00AA6194"/>
    <w:rsid w:val="00AA6198"/>
    <w:rsid w:val="00AA61FB"/>
    <w:rsid w:val="00AA6252"/>
    <w:rsid w:val="00AA6270"/>
    <w:rsid w:val="00AA62A1"/>
    <w:rsid w:val="00AA62AF"/>
    <w:rsid w:val="00AA62DF"/>
    <w:rsid w:val="00AA62ED"/>
    <w:rsid w:val="00AA6330"/>
    <w:rsid w:val="00AA6372"/>
    <w:rsid w:val="00AA6390"/>
    <w:rsid w:val="00AA63B7"/>
    <w:rsid w:val="00AA63CB"/>
    <w:rsid w:val="00AA6407"/>
    <w:rsid w:val="00AA6424"/>
    <w:rsid w:val="00AA64E9"/>
    <w:rsid w:val="00AA64EC"/>
    <w:rsid w:val="00AA6502"/>
    <w:rsid w:val="00AA6513"/>
    <w:rsid w:val="00AA6541"/>
    <w:rsid w:val="00AA65ED"/>
    <w:rsid w:val="00AA660E"/>
    <w:rsid w:val="00AA6629"/>
    <w:rsid w:val="00AA6646"/>
    <w:rsid w:val="00AA66EC"/>
    <w:rsid w:val="00AA6704"/>
    <w:rsid w:val="00AA6709"/>
    <w:rsid w:val="00AA671F"/>
    <w:rsid w:val="00AA6727"/>
    <w:rsid w:val="00AA6765"/>
    <w:rsid w:val="00AA6766"/>
    <w:rsid w:val="00AA67CB"/>
    <w:rsid w:val="00AA67F9"/>
    <w:rsid w:val="00AA6824"/>
    <w:rsid w:val="00AA6847"/>
    <w:rsid w:val="00AA6862"/>
    <w:rsid w:val="00AA68EB"/>
    <w:rsid w:val="00AA68F9"/>
    <w:rsid w:val="00AA6922"/>
    <w:rsid w:val="00AA6955"/>
    <w:rsid w:val="00AA6962"/>
    <w:rsid w:val="00AA69AF"/>
    <w:rsid w:val="00AA69DF"/>
    <w:rsid w:val="00AA69E3"/>
    <w:rsid w:val="00AA69E4"/>
    <w:rsid w:val="00AA6A40"/>
    <w:rsid w:val="00AA6A5D"/>
    <w:rsid w:val="00AA6B40"/>
    <w:rsid w:val="00AA6B8E"/>
    <w:rsid w:val="00AA6BBF"/>
    <w:rsid w:val="00AA6BDE"/>
    <w:rsid w:val="00AA6C00"/>
    <w:rsid w:val="00AA6CE5"/>
    <w:rsid w:val="00AA6D3B"/>
    <w:rsid w:val="00AA6D74"/>
    <w:rsid w:val="00AA6DBF"/>
    <w:rsid w:val="00AA6E1F"/>
    <w:rsid w:val="00AA6E23"/>
    <w:rsid w:val="00AA6E5F"/>
    <w:rsid w:val="00AA6E68"/>
    <w:rsid w:val="00AA6E82"/>
    <w:rsid w:val="00AA6EAD"/>
    <w:rsid w:val="00AA6EC4"/>
    <w:rsid w:val="00AA6ED6"/>
    <w:rsid w:val="00AA6F53"/>
    <w:rsid w:val="00AA6FB7"/>
    <w:rsid w:val="00AA6FBE"/>
    <w:rsid w:val="00AA7008"/>
    <w:rsid w:val="00AA702F"/>
    <w:rsid w:val="00AA7039"/>
    <w:rsid w:val="00AA7065"/>
    <w:rsid w:val="00AA7163"/>
    <w:rsid w:val="00AA718A"/>
    <w:rsid w:val="00AA718D"/>
    <w:rsid w:val="00AA71A4"/>
    <w:rsid w:val="00AA71B8"/>
    <w:rsid w:val="00AA71F0"/>
    <w:rsid w:val="00AA727F"/>
    <w:rsid w:val="00AA7282"/>
    <w:rsid w:val="00AA72CF"/>
    <w:rsid w:val="00AA731E"/>
    <w:rsid w:val="00AA733E"/>
    <w:rsid w:val="00AA7364"/>
    <w:rsid w:val="00AA7365"/>
    <w:rsid w:val="00AA7367"/>
    <w:rsid w:val="00AA7373"/>
    <w:rsid w:val="00AA7393"/>
    <w:rsid w:val="00AA73CD"/>
    <w:rsid w:val="00AA743F"/>
    <w:rsid w:val="00AA744F"/>
    <w:rsid w:val="00AA746E"/>
    <w:rsid w:val="00AA749D"/>
    <w:rsid w:val="00AA74DA"/>
    <w:rsid w:val="00AA7516"/>
    <w:rsid w:val="00AA7517"/>
    <w:rsid w:val="00AA7593"/>
    <w:rsid w:val="00AA75C4"/>
    <w:rsid w:val="00AA75E6"/>
    <w:rsid w:val="00AA75F2"/>
    <w:rsid w:val="00AA7626"/>
    <w:rsid w:val="00AA7662"/>
    <w:rsid w:val="00AA7682"/>
    <w:rsid w:val="00AA7708"/>
    <w:rsid w:val="00AA7709"/>
    <w:rsid w:val="00AA7738"/>
    <w:rsid w:val="00AA7743"/>
    <w:rsid w:val="00AA778B"/>
    <w:rsid w:val="00AA7790"/>
    <w:rsid w:val="00AA785C"/>
    <w:rsid w:val="00AA785E"/>
    <w:rsid w:val="00AA7888"/>
    <w:rsid w:val="00AA78C1"/>
    <w:rsid w:val="00AA78E8"/>
    <w:rsid w:val="00AA790D"/>
    <w:rsid w:val="00AA7941"/>
    <w:rsid w:val="00AA7956"/>
    <w:rsid w:val="00AA799E"/>
    <w:rsid w:val="00AA79D1"/>
    <w:rsid w:val="00AA7A27"/>
    <w:rsid w:val="00AA7B0A"/>
    <w:rsid w:val="00AA7B0F"/>
    <w:rsid w:val="00AA7B28"/>
    <w:rsid w:val="00AA7B93"/>
    <w:rsid w:val="00AA7C10"/>
    <w:rsid w:val="00AA7C61"/>
    <w:rsid w:val="00AA7C74"/>
    <w:rsid w:val="00AA7D24"/>
    <w:rsid w:val="00AA7E04"/>
    <w:rsid w:val="00AA7E1B"/>
    <w:rsid w:val="00AA7E1D"/>
    <w:rsid w:val="00AA7E6B"/>
    <w:rsid w:val="00AA7EE9"/>
    <w:rsid w:val="00AA7EF3"/>
    <w:rsid w:val="00AA7F4F"/>
    <w:rsid w:val="00AA7FDD"/>
    <w:rsid w:val="00AA7FF7"/>
    <w:rsid w:val="00AA94A1"/>
    <w:rsid w:val="00AAF68D"/>
    <w:rsid w:val="00AB004A"/>
    <w:rsid w:val="00AB0075"/>
    <w:rsid w:val="00AB00AF"/>
    <w:rsid w:val="00AB00CC"/>
    <w:rsid w:val="00AB0105"/>
    <w:rsid w:val="00AB015D"/>
    <w:rsid w:val="00AB01A2"/>
    <w:rsid w:val="00AB01E8"/>
    <w:rsid w:val="00AB01F8"/>
    <w:rsid w:val="00AB023F"/>
    <w:rsid w:val="00AB0268"/>
    <w:rsid w:val="00AB0286"/>
    <w:rsid w:val="00AB02AE"/>
    <w:rsid w:val="00AB0331"/>
    <w:rsid w:val="00AB033E"/>
    <w:rsid w:val="00AB0366"/>
    <w:rsid w:val="00AB03E6"/>
    <w:rsid w:val="00AB0403"/>
    <w:rsid w:val="00AB0487"/>
    <w:rsid w:val="00AB048D"/>
    <w:rsid w:val="00AB04AC"/>
    <w:rsid w:val="00AB04D1"/>
    <w:rsid w:val="00AB0520"/>
    <w:rsid w:val="00AB05A7"/>
    <w:rsid w:val="00AB05D9"/>
    <w:rsid w:val="00AB0640"/>
    <w:rsid w:val="00AB0643"/>
    <w:rsid w:val="00AB0644"/>
    <w:rsid w:val="00AB0683"/>
    <w:rsid w:val="00AB0715"/>
    <w:rsid w:val="00AB0778"/>
    <w:rsid w:val="00AB07AB"/>
    <w:rsid w:val="00AB0847"/>
    <w:rsid w:val="00AB0885"/>
    <w:rsid w:val="00AB088D"/>
    <w:rsid w:val="00AB08B0"/>
    <w:rsid w:val="00AB08E8"/>
    <w:rsid w:val="00AB095B"/>
    <w:rsid w:val="00AB097C"/>
    <w:rsid w:val="00AB09AE"/>
    <w:rsid w:val="00AB09F0"/>
    <w:rsid w:val="00AB09FF"/>
    <w:rsid w:val="00AB0A0C"/>
    <w:rsid w:val="00AB0A71"/>
    <w:rsid w:val="00AB0A7E"/>
    <w:rsid w:val="00AB0AAE"/>
    <w:rsid w:val="00AB0AAF"/>
    <w:rsid w:val="00AB0AD4"/>
    <w:rsid w:val="00AB0AF7"/>
    <w:rsid w:val="00AB0B08"/>
    <w:rsid w:val="00AB0B50"/>
    <w:rsid w:val="00AB0BA6"/>
    <w:rsid w:val="00AB0C47"/>
    <w:rsid w:val="00AB0C5B"/>
    <w:rsid w:val="00AB0C61"/>
    <w:rsid w:val="00AB0C9B"/>
    <w:rsid w:val="00AB0CB1"/>
    <w:rsid w:val="00AB0CB8"/>
    <w:rsid w:val="00AB0CE4"/>
    <w:rsid w:val="00AB0D3B"/>
    <w:rsid w:val="00AB0D3F"/>
    <w:rsid w:val="00AB0D49"/>
    <w:rsid w:val="00AB0D69"/>
    <w:rsid w:val="00AB0D75"/>
    <w:rsid w:val="00AB0DA8"/>
    <w:rsid w:val="00AB0DC2"/>
    <w:rsid w:val="00AB0DF6"/>
    <w:rsid w:val="00AB0E0A"/>
    <w:rsid w:val="00AB0E0F"/>
    <w:rsid w:val="00AB0E40"/>
    <w:rsid w:val="00AB0E74"/>
    <w:rsid w:val="00AB0EA2"/>
    <w:rsid w:val="00AB0EA3"/>
    <w:rsid w:val="00AB0EB1"/>
    <w:rsid w:val="00AB0EBC"/>
    <w:rsid w:val="00AB0EFC"/>
    <w:rsid w:val="00AB0F44"/>
    <w:rsid w:val="00AB0FB6"/>
    <w:rsid w:val="00AB0FC3"/>
    <w:rsid w:val="00AB0FE4"/>
    <w:rsid w:val="00AB1011"/>
    <w:rsid w:val="00AB1049"/>
    <w:rsid w:val="00AB105F"/>
    <w:rsid w:val="00AB107A"/>
    <w:rsid w:val="00AB10B3"/>
    <w:rsid w:val="00AB110A"/>
    <w:rsid w:val="00AB114F"/>
    <w:rsid w:val="00AB1167"/>
    <w:rsid w:val="00AB11E4"/>
    <w:rsid w:val="00AB1289"/>
    <w:rsid w:val="00AB128F"/>
    <w:rsid w:val="00AB12CA"/>
    <w:rsid w:val="00AB12F1"/>
    <w:rsid w:val="00AB1323"/>
    <w:rsid w:val="00AB134E"/>
    <w:rsid w:val="00AB1379"/>
    <w:rsid w:val="00AB137B"/>
    <w:rsid w:val="00AB13BE"/>
    <w:rsid w:val="00AB13C8"/>
    <w:rsid w:val="00AB1413"/>
    <w:rsid w:val="00AB143A"/>
    <w:rsid w:val="00AB145F"/>
    <w:rsid w:val="00AB14DE"/>
    <w:rsid w:val="00AB14E9"/>
    <w:rsid w:val="00AB14F6"/>
    <w:rsid w:val="00AB1586"/>
    <w:rsid w:val="00AB15AD"/>
    <w:rsid w:val="00AB1603"/>
    <w:rsid w:val="00AB1624"/>
    <w:rsid w:val="00AB1694"/>
    <w:rsid w:val="00AB16CD"/>
    <w:rsid w:val="00AB1724"/>
    <w:rsid w:val="00AB1773"/>
    <w:rsid w:val="00AB1785"/>
    <w:rsid w:val="00AB1859"/>
    <w:rsid w:val="00AB1876"/>
    <w:rsid w:val="00AB1895"/>
    <w:rsid w:val="00AB18A7"/>
    <w:rsid w:val="00AB1905"/>
    <w:rsid w:val="00AB1937"/>
    <w:rsid w:val="00AB1961"/>
    <w:rsid w:val="00AB1972"/>
    <w:rsid w:val="00AB19F5"/>
    <w:rsid w:val="00AB1A05"/>
    <w:rsid w:val="00AB1A0D"/>
    <w:rsid w:val="00AB1A17"/>
    <w:rsid w:val="00AB1AB3"/>
    <w:rsid w:val="00AB1ACE"/>
    <w:rsid w:val="00AB1B52"/>
    <w:rsid w:val="00AB1B5B"/>
    <w:rsid w:val="00AB1BAA"/>
    <w:rsid w:val="00AB1BB8"/>
    <w:rsid w:val="00AB1BED"/>
    <w:rsid w:val="00AB1BEE"/>
    <w:rsid w:val="00AB1C10"/>
    <w:rsid w:val="00AB1C81"/>
    <w:rsid w:val="00AB1CF7"/>
    <w:rsid w:val="00AB1D6D"/>
    <w:rsid w:val="00AB1D74"/>
    <w:rsid w:val="00AB1E0C"/>
    <w:rsid w:val="00AB1E1E"/>
    <w:rsid w:val="00AB1E78"/>
    <w:rsid w:val="00AB1E95"/>
    <w:rsid w:val="00AB1EE4"/>
    <w:rsid w:val="00AB1F07"/>
    <w:rsid w:val="00AB1F53"/>
    <w:rsid w:val="00AB1FC0"/>
    <w:rsid w:val="00AB1FE1"/>
    <w:rsid w:val="00AB2002"/>
    <w:rsid w:val="00AB2018"/>
    <w:rsid w:val="00AB2057"/>
    <w:rsid w:val="00AB20BF"/>
    <w:rsid w:val="00AB20D6"/>
    <w:rsid w:val="00AB20E2"/>
    <w:rsid w:val="00AB20F7"/>
    <w:rsid w:val="00AB2155"/>
    <w:rsid w:val="00AB2177"/>
    <w:rsid w:val="00AB21DD"/>
    <w:rsid w:val="00AB21FE"/>
    <w:rsid w:val="00AB2213"/>
    <w:rsid w:val="00AB2230"/>
    <w:rsid w:val="00AB2276"/>
    <w:rsid w:val="00AB227A"/>
    <w:rsid w:val="00AB227D"/>
    <w:rsid w:val="00AB22D2"/>
    <w:rsid w:val="00AB22F6"/>
    <w:rsid w:val="00AB2322"/>
    <w:rsid w:val="00AB2337"/>
    <w:rsid w:val="00AB233D"/>
    <w:rsid w:val="00AB239E"/>
    <w:rsid w:val="00AB23C1"/>
    <w:rsid w:val="00AB2409"/>
    <w:rsid w:val="00AB2484"/>
    <w:rsid w:val="00AB24AE"/>
    <w:rsid w:val="00AB2506"/>
    <w:rsid w:val="00AB25DA"/>
    <w:rsid w:val="00AB25EA"/>
    <w:rsid w:val="00AB2607"/>
    <w:rsid w:val="00AB26B0"/>
    <w:rsid w:val="00AB2707"/>
    <w:rsid w:val="00AB2747"/>
    <w:rsid w:val="00AB274D"/>
    <w:rsid w:val="00AB2754"/>
    <w:rsid w:val="00AB2784"/>
    <w:rsid w:val="00AB27A5"/>
    <w:rsid w:val="00AB27AB"/>
    <w:rsid w:val="00AB281F"/>
    <w:rsid w:val="00AB2825"/>
    <w:rsid w:val="00AB287B"/>
    <w:rsid w:val="00AB28A4"/>
    <w:rsid w:val="00AB28A7"/>
    <w:rsid w:val="00AB2941"/>
    <w:rsid w:val="00AB2943"/>
    <w:rsid w:val="00AB2993"/>
    <w:rsid w:val="00AB2A1E"/>
    <w:rsid w:val="00AB2A2B"/>
    <w:rsid w:val="00AB2B24"/>
    <w:rsid w:val="00AB2B35"/>
    <w:rsid w:val="00AB2B3D"/>
    <w:rsid w:val="00AB2B87"/>
    <w:rsid w:val="00AB2BC7"/>
    <w:rsid w:val="00AB2C8E"/>
    <w:rsid w:val="00AB2C92"/>
    <w:rsid w:val="00AB2CF3"/>
    <w:rsid w:val="00AB2D28"/>
    <w:rsid w:val="00AB2D9A"/>
    <w:rsid w:val="00AB2DBA"/>
    <w:rsid w:val="00AB2DD2"/>
    <w:rsid w:val="00AB2E64"/>
    <w:rsid w:val="00AB2EBA"/>
    <w:rsid w:val="00AB2EC2"/>
    <w:rsid w:val="00AB2EEE"/>
    <w:rsid w:val="00AB2EF6"/>
    <w:rsid w:val="00AB2F23"/>
    <w:rsid w:val="00AB2F39"/>
    <w:rsid w:val="00AB2F6A"/>
    <w:rsid w:val="00AB2F83"/>
    <w:rsid w:val="00AB2F8D"/>
    <w:rsid w:val="00AB2FF2"/>
    <w:rsid w:val="00AB3011"/>
    <w:rsid w:val="00AB301C"/>
    <w:rsid w:val="00AB306F"/>
    <w:rsid w:val="00AB3078"/>
    <w:rsid w:val="00AB3100"/>
    <w:rsid w:val="00AB3144"/>
    <w:rsid w:val="00AB3150"/>
    <w:rsid w:val="00AB318E"/>
    <w:rsid w:val="00AB319A"/>
    <w:rsid w:val="00AB319C"/>
    <w:rsid w:val="00AB31A2"/>
    <w:rsid w:val="00AB31A3"/>
    <w:rsid w:val="00AB31BA"/>
    <w:rsid w:val="00AB31FE"/>
    <w:rsid w:val="00AB3201"/>
    <w:rsid w:val="00AB3205"/>
    <w:rsid w:val="00AB3233"/>
    <w:rsid w:val="00AB325D"/>
    <w:rsid w:val="00AB32C6"/>
    <w:rsid w:val="00AB32C9"/>
    <w:rsid w:val="00AB32CC"/>
    <w:rsid w:val="00AB32E4"/>
    <w:rsid w:val="00AB3308"/>
    <w:rsid w:val="00AB332F"/>
    <w:rsid w:val="00AB3343"/>
    <w:rsid w:val="00AB342B"/>
    <w:rsid w:val="00AB3489"/>
    <w:rsid w:val="00AB352F"/>
    <w:rsid w:val="00AB356E"/>
    <w:rsid w:val="00AB3572"/>
    <w:rsid w:val="00AB35B6"/>
    <w:rsid w:val="00AB35F2"/>
    <w:rsid w:val="00AB3610"/>
    <w:rsid w:val="00AB361D"/>
    <w:rsid w:val="00AB363F"/>
    <w:rsid w:val="00AB3663"/>
    <w:rsid w:val="00AB3665"/>
    <w:rsid w:val="00AB36A8"/>
    <w:rsid w:val="00AB3711"/>
    <w:rsid w:val="00AB378D"/>
    <w:rsid w:val="00AB379D"/>
    <w:rsid w:val="00AB37CB"/>
    <w:rsid w:val="00AB37D0"/>
    <w:rsid w:val="00AB3825"/>
    <w:rsid w:val="00AB3854"/>
    <w:rsid w:val="00AB3858"/>
    <w:rsid w:val="00AB385C"/>
    <w:rsid w:val="00AB3863"/>
    <w:rsid w:val="00AB387A"/>
    <w:rsid w:val="00AB38E4"/>
    <w:rsid w:val="00AB3906"/>
    <w:rsid w:val="00AB3945"/>
    <w:rsid w:val="00AB39A0"/>
    <w:rsid w:val="00AB39AD"/>
    <w:rsid w:val="00AB3A53"/>
    <w:rsid w:val="00AB3A7E"/>
    <w:rsid w:val="00AB3A92"/>
    <w:rsid w:val="00AB3AF3"/>
    <w:rsid w:val="00AB3B22"/>
    <w:rsid w:val="00AB3B29"/>
    <w:rsid w:val="00AB3B37"/>
    <w:rsid w:val="00AB3B79"/>
    <w:rsid w:val="00AB3B96"/>
    <w:rsid w:val="00AB3BAF"/>
    <w:rsid w:val="00AB3BB5"/>
    <w:rsid w:val="00AB3BEF"/>
    <w:rsid w:val="00AB3C06"/>
    <w:rsid w:val="00AB3C39"/>
    <w:rsid w:val="00AB3C50"/>
    <w:rsid w:val="00AB3C97"/>
    <w:rsid w:val="00AB3CA7"/>
    <w:rsid w:val="00AB3CBA"/>
    <w:rsid w:val="00AB3CC7"/>
    <w:rsid w:val="00AB3CE0"/>
    <w:rsid w:val="00AB3CFC"/>
    <w:rsid w:val="00AB3D4F"/>
    <w:rsid w:val="00AB3D59"/>
    <w:rsid w:val="00AB3DBD"/>
    <w:rsid w:val="00AB3E0D"/>
    <w:rsid w:val="00AB3E24"/>
    <w:rsid w:val="00AB3E4B"/>
    <w:rsid w:val="00AB3E51"/>
    <w:rsid w:val="00AB3E65"/>
    <w:rsid w:val="00AB3E7E"/>
    <w:rsid w:val="00AB3EC0"/>
    <w:rsid w:val="00AB3ECA"/>
    <w:rsid w:val="00AB3ECC"/>
    <w:rsid w:val="00AB3ED5"/>
    <w:rsid w:val="00AB3EDD"/>
    <w:rsid w:val="00AB3EF7"/>
    <w:rsid w:val="00AB3F33"/>
    <w:rsid w:val="00AB3FB3"/>
    <w:rsid w:val="00AB3FC5"/>
    <w:rsid w:val="00AB3FC6"/>
    <w:rsid w:val="00AB4002"/>
    <w:rsid w:val="00AB4026"/>
    <w:rsid w:val="00AB40A9"/>
    <w:rsid w:val="00AB4151"/>
    <w:rsid w:val="00AB4177"/>
    <w:rsid w:val="00AB418C"/>
    <w:rsid w:val="00AB41A5"/>
    <w:rsid w:val="00AB41C7"/>
    <w:rsid w:val="00AB41D6"/>
    <w:rsid w:val="00AB41E0"/>
    <w:rsid w:val="00AB4241"/>
    <w:rsid w:val="00AB424D"/>
    <w:rsid w:val="00AB4276"/>
    <w:rsid w:val="00AB42A8"/>
    <w:rsid w:val="00AB42BF"/>
    <w:rsid w:val="00AB42DC"/>
    <w:rsid w:val="00AB4338"/>
    <w:rsid w:val="00AB434A"/>
    <w:rsid w:val="00AB4384"/>
    <w:rsid w:val="00AB4417"/>
    <w:rsid w:val="00AB4466"/>
    <w:rsid w:val="00AB4477"/>
    <w:rsid w:val="00AB4546"/>
    <w:rsid w:val="00AB4551"/>
    <w:rsid w:val="00AB4579"/>
    <w:rsid w:val="00AB45A2"/>
    <w:rsid w:val="00AB461C"/>
    <w:rsid w:val="00AB4631"/>
    <w:rsid w:val="00AB4642"/>
    <w:rsid w:val="00AB4651"/>
    <w:rsid w:val="00AB4684"/>
    <w:rsid w:val="00AB46C9"/>
    <w:rsid w:val="00AB4700"/>
    <w:rsid w:val="00AB4714"/>
    <w:rsid w:val="00AB4757"/>
    <w:rsid w:val="00AB47D7"/>
    <w:rsid w:val="00AB47EE"/>
    <w:rsid w:val="00AB484E"/>
    <w:rsid w:val="00AB4856"/>
    <w:rsid w:val="00AB4888"/>
    <w:rsid w:val="00AB489B"/>
    <w:rsid w:val="00AB48B4"/>
    <w:rsid w:val="00AB490A"/>
    <w:rsid w:val="00AB4933"/>
    <w:rsid w:val="00AB493F"/>
    <w:rsid w:val="00AB4958"/>
    <w:rsid w:val="00AB49A6"/>
    <w:rsid w:val="00AB4A25"/>
    <w:rsid w:val="00AB4A6B"/>
    <w:rsid w:val="00AB4A91"/>
    <w:rsid w:val="00AB4AC6"/>
    <w:rsid w:val="00AB4B49"/>
    <w:rsid w:val="00AB4B95"/>
    <w:rsid w:val="00AB4BA1"/>
    <w:rsid w:val="00AB4BBD"/>
    <w:rsid w:val="00AB4BE3"/>
    <w:rsid w:val="00AB4BE7"/>
    <w:rsid w:val="00AB4C2E"/>
    <w:rsid w:val="00AB4C3B"/>
    <w:rsid w:val="00AB4C75"/>
    <w:rsid w:val="00AB4D2F"/>
    <w:rsid w:val="00AB4D49"/>
    <w:rsid w:val="00AB4D8B"/>
    <w:rsid w:val="00AB4D8E"/>
    <w:rsid w:val="00AB4DB1"/>
    <w:rsid w:val="00AB4DD1"/>
    <w:rsid w:val="00AB4E3B"/>
    <w:rsid w:val="00AB4E80"/>
    <w:rsid w:val="00AB4E8E"/>
    <w:rsid w:val="00AB4EAA"/>
    <w:rsid w:val="00AB4F01"/>
    <w:rsid w:val="00AB4F16"/>
    <w:rsid w:val="00AB4F9C"/>
    <w:rsid w:val="00AB4FFC"/>
    <w:rsid w:val="00AB5019"/>
    <w:rsid w:val="00AB503C"/>
    <w:rsid w:val="00AB5055"/>
    <w:rsid w:val="00AB5059"/>
    <w:rsid w:val="00AB505E"/>
    <w:rsid w:val="00AB5061"/>
    <w:rsid w:val="00AB508C"/>
    <w:rsid w:val="00AB50C8"/>
    <w:rsid w:val="00AB5109"/>
    <w:rsid w:val="00AB5165"/>
    <w:rsid w:val="00AB51C8"/>
    <w:rsid w:val="00AB51DD"/>
    <w:rsid w:val="00AB5229"/>
    <w:rsid w:val="00AB523C"/>
    <w:rsid w:val="00AB5248"/>
    <w:rsid w:val="00AB5262"/>
    <w:rsid w:val="00AB5263"/>
    <w:rsid w:val="00AB528F"/>
    <w:rsid w:val="00AB52C2"/>
    <w:rsid w:val="00AB52F0"/>
    <w:rsid w:val="00AB52F2"/>
    <w:rsid w:val="00AB5345"/>
    <w:rsid w:val="00AB534F"/>
    <w:rsid w:val="00AB53B7"/>
    <w:rsid w:val="00AB53C5"/>
    <w:rsid w:val="00AB5421"/>
    <w:rsid w:val="00AB5446"/>
    <w:rsid w:val="00AB5497"/>
    <w:rsid w:val="00AB5498"/>
    <w:rsid w:val="00AB54D7"/>
    <w:rsid w:val="00AB54DE"/>
    <w:rsid w:val="00AB553F"/>
    <w:rsid w:val="00AB5566"/>
    <w:rsid w:val="00AB560A"/>
    <w:rsid w:val="00AB5661"/>
    <w:rsid w:val="00AB5694"/>
    <w:rsid w:val="00AB5695"/>
    <w:rsid w:val="00AB5697"/>
    <w:rsid w:val="00AB56CD"/>
    <w:rsid w:val="00AB56F3"/>
    <w:rsid w:val="00AB56FE"/>
    <w:rsid w:val="00AB5701"/>
    <w:rsid w:val="00AB5733"/>
    <w:rsid w:val="00AB573D"/>
    <w:rsid w:val="00AB5750"/>
    <w:rsid w:val="00AB5788"/>
    <w:rsid w:val="00AB57CB"/>
    <w:rsid w:val="00AB580D"/>
    <w:rsid w:val="00AB581D"/>
    <w:rsid w:val="00AB582E"/>
    <w:rsid w:val="00AB5868"/>
    <w:rsid w:val="00AB58E3"/>
    <w:rsid w:val="00AB58EA"/>
    <w:rsid w:val="00AB593B"/>
    <w:rsid w:val="00AB5972"/>
    <w:rsid w:val="00AB5987"/>
    <w:rsid w:val="00AB598E"/>
    <w:rsid w:val="00AB59AB"/>
    <w:rsid w:val="00AB59DA"/>
    <w:rsid w:val="00AB5A07"/>
    <w:rsid w:val="00AB5A65"/>
    <w:rsid w:val="00AB5AA8"/>
    <w:rsid w:val="00AB5ACF"/>
    <w:rsid w:val="00AB5B20"/>
    <w:rsid w:val="00AB5B5C"/>
    <w:rsid w:val="00AB5B96"/>
    <w:rsid w:val="00AB5BA0"/>
    <w:rsid w:val="00AB5BAF"/>
    <w:rsid w:val="00AB5BFD"/>
    <w:rsid w:val="00AB5C01"/>
    <w:rsid w:val="00AB5C27"/>
    <w:rsid w:val="00AB5C49"/>
    <w:rsid w:val="00AB5C6B"/>
    <w:rsid w:val="00AB5CA1"/>
    <w:rsid w:val="00AB5CC5"/>
    <w:rsid w:val="00AB5CE7"/>
    <w:rsid w:val="00AB5D1B"/>
    <w:rsid w:val="00AB5D84"/>
    <w:rsid w:val="00AB5E1B"/>
    <w:rsid w:val="00AB5E71"/>
    <w:rsid w:val="00AB5F41"/>
    <w:rsid w:val="00AB5F73"/>
    <w:rsid w:val="00AB5FB6"/>
    <w:rsid w:val="00AB6024"/>
    <w:rsid w:val="00AB6083"/>
    <w:rsid w:val="00AB60A8"/>
    <w:rsid w:val="00AB60E4"/>
    <w:rsid w:val="00AB612B"/>
    <w:rsid w:val="00AB6134"/>
    <w:rsid w:val="00AB61DD"/>
    <w:rsid w:val="00AB61E2"/>
    <w:rsid w:val="00AB620F"/>
    <w:rsid w:val="00AB621C"/>
    <w:rsid w:val="00AB623A"/>
    <w:rsid w:val="00AB6269"/>
    <w:rsid w:val="00AB6281"/>
    <w:rsid w:val="00AB6288"/>
    <w:rsid w:val="00AB6294"/>
    <w:rsid w:val="00AB62BD"/>
    <w:rsid w:val="00AB62CF"/>
    <w:rsid w:val="00AB6315"/>
    <w:rsid w:val="00AB6387"/>
    <w:rsid w:val="00AB639E"/>
    <w:rsid w:val="00AB63DC"/>
    <w:rsid w:val="00AB640F"/>
    <w:rsid w:val="00AB6443"/>
    <w:rsid w:val="00AB64A8"/>
    <w:rsid w:val="00AB64AB"/>
    <w:rsid w:val="00AB650F"/>
    <w:rsid w:val="00AB653A"/>
    <w:rsid w:val="00AB654D"/>
    <w:rsid w:val="00AB657C"/>
    <w:rsid w:val="00AB65BE"/>
    <w:rsid w:val="00AB65EA"/>
    <w:rsid w:val="00AB65FF"/>
    <w:rsid w:val="00AB6654"/>
    <w:rsid w:val="00AB6699"/>
    <w:rsid w:val="00AB669A"/>
    <w:rsid w:val="00AB678C"/>
    <w:rsid w:val="00AB67AC"/>
    <w:rsid w:val="00AB67B7"/>
    <w:rsid w:val="00AB6835"/>
    <w:rsid w:val="00AB68C5"/>
    <w:rsid w:val="00AB68E8"/>
    <w:rsid w:val="00AB68F5"/>
    <w:rsid w:val="00AB6914"/>
    <w:rsid w:val="00AB6921"/>
    <w:rsid w:val="00AB6981"/>
    <w:rsid w:val="00AB69BE"/>
    <w:rsid w:val="00AB69E2"/>
    <w:rsid w:val="00AB69FA"/>
    <w:rsid w:val="00AB6A13"/>
    <w:rsid w:val="00AB6AB9"/>
    <w:rsid w:val="00AB6AF2"/>
    <w:rsid w:val="00AB6B7B"/>
    <w:rsid w:val="00AB6BA4"/>
    <w:rsid w:val="00AB6BC1"/>
    <w:rsid w:val="00AB6BD2"/>
    <w:rsid w:val="00AB6C38"/>
    <w:rsid w:val="00AB6C68"/>
    <w:rsid w:val="00AB6CA3"/>
    <w:rsid w:val="00AB6D39"/>
    <w:rsid w:val="00AB6D51"/>
    <w:rsid w:val="00AB6D61"/>
    <w:rsid w:val="00AB6DED"/>
    <w:rsid w:val="00AB6DFD"/>
    <w:rsid w:val="00AB6E21"/>
    <w:rsid w:val="00AB6E30"/>
    <w:rsid w:val="00AB6E3A"/>
    <w:rsid w:val="00AB6ECE"/>
    <w:rsid w:val="00AB6F22"/>
    <w:rsid w:val="00AB6FFE"/>
    <w:rsid w:val="00AB7041"/>
    <w:rsid w:val="00AB7056"/>
    <w:rsid w:val="00AB70DA"/>
    <w:rsid w:val="00AB70F1"/>
    <w:rsid w:val="00AB71A0"/>
    <w:rsid w:val="00AB71EF"/>
    <w:rsid w:val="00AB71F4"/>
    <w:rsid w:val="00AB72C9"/>
    <w:rsid w:val="00AB7306"/>
    <w:rsid w:val="00AB734B"/>
    <w:rsid w:val="00AB735B"/>
    <w:rsid w:val="00AB7391"/>
    <w:rsid w:val="00AB73DE"/>
    <w:rsid w:val="00AB73F4"/>
    <w:rsid w:val="00AB7408"/>
    <w:rsid w:val="00AB74C6"/>
    <w:rsid w:val="00AB754F"/>
    <w:rsid w:val="00AB7555"/>
    <w:rsid w:val="00AB75D3"/>
    <w:rsid w:val="00AB75D4"/>
    <w:rsid w:val="00AB75E4"/>
    <w:rsid w:val="00AB75EB"/>
    <w:rsid w:val="00AB75F7"/>
    <w:rsid w:val="00AB763F"/>
    <w:rsid w:val="00AB764D"/>
    <w:rsid w:val="00AB769B"/>
    <w:rsid w:val="00AB7702"/>
    <w:rsid w:val="00AB777A"/>
    <w:rsid w:val="00AB77C3"/>
    <w:rsid w:val="00AB77DF"/>
    <w:rsid w:val="00AB7815"/>
    <w:rsid w:val="00AB781D"/>
    <w:rsid w:val="00AB7828"/>
    <w:rsid w:val="00AB784C"/>
    <w:rsid w:val="00AB7864"/>
    <w:rsid w:val="00AB78A8"/>
    <w:rsid w:val="00AB78CA"/>
    <w:rsid w:val="00AB78D7"/>
    <w:rsid w:val="00AB78E6"/>
    <w:rsid w:val="00AB7928"/>
    <w:rsid w:val="00AB799E"/>
    <w:rsid w:val="00AB79A5"/>
    <w:rsid w:val="00AB79B2"/>
    <w:rsid w:val="00AB79B4"/>
    <w:rsid w:val="00AB7A28"/>
    <w:rsid w:val="00AB7A39"/>
    <w:rsid w:val="00AB7AA9"/>
    <w:rsid w:val="00AB7AAD"/>
    <w:rsid w:val="00AB7AD6"/>
    <w:rsid w:val="00AB7B28"/>
    <w:rsid w:val="00AB7B5A"/>
    <w:rsid w:val="00AB7B73"/>
    <w:rsid w:val="00AB7BA9"/>
    <w:rsid w:val="00AB7C02"/>
    <w:rsid w:val="00AB7C08"/>
    <w:rsid w:val="00AB7C1B"/>
    <w:rsid w:val="00AB7D2F"/>
    <w:rsid w:val="00AB7D7F"/>
    <w:rsid w:val="00AB7E77"/>
    <w:rsid w:val="00AB7EBE"/>
    <w:rsid w:val="00AB7EF5"/>
    <w:rsid w:val="00AB7F78"/>
    <w:rsid w:val="00AB7FDA"/>
    <w:rsid w:val="00ABD45F"/>
    <w:rsid w:val="00AC0036"/>
    <w:rsid w:val="00AC003D"/>
    <w:rsid w:val="00AC004A"/>
    <w:rsid w:val="00AC005B"/>
    <w:rsid w:val="00AC00C5"/>
    <w:rsid w:val="00AC00DE"/>
    <w:rsid w:val="00AC01A0"/>
    <w:rsid w:val="00AC01C2"/>
    <w:rsid w:val="00AC0236"/>
    <w:rsid w:val="00AC029D"/>
    <w:rsid w:val="00AC02B9"/>
    <w:rsid w:val="00AC030B"/>
    <w:rsid w:val="00AC032A"/>
    <w:rsid w:val="00AC03EA"/>
    <w:rsid w:val="00AC03FB"/>
    <w:rsid w:val="00AC0476"/>
    <w:rsid w:val="00AC04CD"/>
    <w:rsid w:val="00AC04FA"/>
    <w:rsid w:val="00AC0529"/>
    <w:rsid w:val="00AC0532"/>
    <w:rsid w:val="00AC053F"/>
    <w:rsid w:val="00AC05D6"/>
    <w:rsid w:val="00AC0607"/>
    <w:rsid w:val="00AC0690"/>
    <w:rsid w:val="00AC06D2"/>
    <w:rsid w:val="00AC06E2"/>
    <w:rsid w:val="00AC06ED"/>
    <w:rsid w:val="00AC0746"/>
    <w:rsid w:val="00AC07CA"/>
    <w:rsid w:val="00AC07D4"/>
    <w:rsid w:val="00AC07E3"/>
    <w:rsid w:val="00AC0817"/>
    <w:rsid w:val="00AC0820"/>
    <w:rsid w:val="00AC085E"/>
    <w:rsid w:val="00AC0900"/>
    <w:rsid w:val="00AC0902"/>
    <w:rsid w:val="00AC096C"/>
    <w:rsid w:val="00AC09BD"/>
    <w:rsid w:val="00AC09F0"/>
    <w:rsid w:val="00AC0A51"/>
    <w:rsid w:val="00AC0A6B"/>
    <w:rsid w:val="00AC0A7A"/>
    <w:rsid w:val="00AC0A80"/>
    <w:rsid w:val="00AC0AC6"/>
    <w:rsid w:val="00AC0B36"/>
    <w:rsid w:val="00AC0B74"/>
    <w:rsid w:val="00AC0B7B"/>
    <w:rsid w:val="00AC0BDA"/>
    <w:rsid w:val="00AC0C4C"/>
    <w:rsid w:val="00AC0CA0"/>
    <w:rsid w:val="00AC0CE3"/>
    <w:rsid w:val="00AC0D3B"/>
    <w:rsid w:val="00AC0D3C"/>
    <w:rsid w:val="00AC0D3E"/>
    <w:rsid w:val="00AC0D59"/>
    <w:rsid w:val="00AC0DB1"/>
    <w:rsid w:val="00AC0E04"/>
    <w:rsid w:val="00AC0F5C"/>
    <w:rsid w:val="00AC0F6F"/>
    <w:rsid w:val="00AC0FAF"/>
    <w:rsid w:val="00AC0FCE"/>
    <w:rsid w:val="00AC100C"/>
    <w:rsid w:val="00AC1019"/>
    <w:rsid w:val="00AC1021"/>
    <w:rsid w:val="00AC106D"/>
    <w:rsid w:val="00AC10C1"/>
    <w:rsid w:val="00AC10D8"/>
    <w:rsid w:val="00AC10E6"/>
    <w:rsid w:val="00AC10F6"/>
    <w:rsid w:val="00AC10F9"/>
    <w:rsid w:val="00AC112C"/>
    <w:rsid w:val="00AC113A"/>
    <w:rsid w:val="00AC1241"/>
    <w:rsid w:val="00AC1248"/>
    <w:rsid w:val="00AC124C"/>
    <w:rsid w:val="00AC124E"/>
    <w:rsid w:val="00AC1295"/>
    <w:rsid w:val="00AC12D8"/>
    <w:rsid w:val="00AC12FF"/>
    <w:rsid w:val="00AC1311"/>
    <w:rsid w:val="00AC131F"/>
    <w:rsid w:val="00AC1327"/>
    <w:rsid w:val="00AC1334"/>
    <w:rsid w:val="00AC13E8"/>
    <w:rsid w:val="00AC142D"/>
    <w:rsid w:val="00AC145D"/>
    <w:rsid w:val="00AC1487"/>
    <w:rsid w:val="00AC14CF"/>
    <w:rsid w:val="00AC1528"/>
    <w:rsid w:val="00AC1533"/>
    <w:rsid w:val="00AC1535"/>
    <w:rsid w:val="00AC15C3"/>
    <w:rsid w:val="00AC15D1"/>
    <w:rsid w:val="00AC1606"/>
    <w:rsid w:val="00AC1641"/>
    <w:rsid w:val="00AC16A5"/>
    <w:rsid w:val="00AC16C5"/>
    <w:rsid w:val="00AC16D1"/>
    <w:rsid w:val="00AC16D9"/>
    <w:rsid w:val="00AC16EF"/>
    <w:rsid w:val="00AC170F"/>
    <w:rsid w:val="00AC1718"/>
    <w:rsid w:val="00AC1748"/>
    <w:rsid w:val="00AC1793"/>
    <w:rsid w:val="00AC17B1"/>
    <w:rsid w:val="00AC17B5"/>
    <w:rsid w:val="00AC17FD"/>
    <w:rsid w:val="00AC181A"/>
    <w:rsid w:val="00AC1845"/>
    <w:rsid w:val="00AC1886"/>
    <w:rsid w:val="00AC18A6"/>
    <w:rsid w:val="00AC18B6"/>
    <w:rsid w:val="00AC18E0"/>
    <w:rsid w:val="00AC18F8"/>
    <w:rsid w:val="00AC194F"/>
    <w:rsid w:val="00AC1984"/>
    <w:rsid w:val="00AC198B"/>
    <w:rsid w:val="00AC1992"/>
    <w:rsid w:val="00AC1A09"/>
    <w:rsid w:val="00AC1A2E"/>
    <w:rsid w:val="00AC1A34"/>
    <w:rsid w:val="00AC1A3C"/>
    <w:rsid w:val="00AC1B39"/>
    <w:rsid w:val="00AC1B3D"/>
    <w:rsid w:val="00AC1B63"/>
    <w:rsid w:val="00AC1B74"/>
    <w:rsid w:val="00AC1B8D"/>
    <w:rsid w:val="00AC1B98"/>
    <w:rsid w:val="00AC1BAC"/>
    <w:rsid w:val="00AC1BC6"/>
    <w:rsid w:val="00AC1BC8"/>
    <w:rsid w:val="00AC1D16"/>
    <w:rsid w:val="00AC1D2D"/>
    <w:rsid w:val="00AC1D9F"/>
    <w:rsid w:val="00AC1DA7"/>
    <w:rsid w:val="00AC1DAF"/>
    <w:rsid w:val="00AC1DCC"/>
    <w:rsid w:val="00AC1DDE"/>
    <w:rsid w:val="00AC1EB8"/>
    <w:rsid w:val="00AC1EC0"/>
    <w:rsid w:val="00AC1EC1"/>
    <w:rsid w:val="00AC1EFA"/>
    <w:rsid w:val="00AC1EFC"/>
    <w:rsid w:val="00AC1EFD"/>
    <w:rsid w:val="00AC1F09"/>
    <w:rsid w:val="00AC1F62"/>
    <w:rsid w:val="00AC1F9D"/>
    <w:rsid w:val="00AC1FAE"/>
    <w:rsid w:val="00AC1FC9"/>
    <w:rsid w:val="00AC1FE0"/>
    <w:rsid w:val="00AC2054"/>
    <w:rsid w:val="00AC2098"/>
    <w:rsid w:val="00AC20CA"/>
    <w:rsid w:val="00AC213F"/>
    <w:rsid w:val="00AC219D"/>
    <w:rsid w:val="00AC21CC"/>
    <w:rsid w:val="00AC21D6"/>
    <w:rsid w:val="00AC220F"/>
    <w:rsid w:val="00AC2250"/>
    <w:rsid w:val="00AC22F7"/>
    <w:rsid w:val="00AC2315"/>
    <w:rsid w:val="00AC2370"/>
    <w:rsid w:val="00AC2379"/>
    <w:rsid w:val="00AC2401"/>
    <w:rsid w:val="00AC2402"/>
    <w:rsid w:val="00AC2465"/>
    <w:rsid w:val="00AC2516"/>
    <w:rsid w:val="00AC2523"/>
    <w:rsid w:val="00AC2545"/>
    <w:rsid w:val="00AC2546"/>
    <w:rsid w:val="00AC2552"/>
    <w:rsid w:val="00AC256B"/>
    <w:rsid w:val="00AC259A"/>
    <w:rsid w:val="00AC25EE"/>
    <w:rsid w:val="00AC2611"/>
    <w:rsid w:val="00AC261D"/>
    <w:rsid w:val="00AC2653"/>
    <w:rsid w:val="00AC2672"/>
    <w:rsid w:val="00AC26AA"/>
    <w:rsid w:val="00AC26F9"/>
    <w:rsid w:val="00AC2768"/>
    <w:rsid w:val="00AC2773"/>
    <w:rsid w:val="00AC279F"/>
    <w:rsid w:val="00AC27A8"/>
    <w:rsid w:val="00AC282A"/>
    <w:rsid w:val="00AC2841"/>
    <w:rsid w:val="00AC2894"/>
    <w:rsid w:val="00AC289D"/>
    <w:rsid w:val="00AC28A4"/>
    <w:rsid w:val="00AC28BD"/>
    <w:rsid w:val="00AC2928"/>
    <w:rsid w:val="00AC2930"/>
    <w:rsid w:val="00AC2A16"/>
    <w:rsid w:val="00AC2A21"/>
    <w:rsid w:val="00AC2A74"/>
    <w:rsid w:val="00AC2AE2"/>
    <w:rsid w:val="00AC2B4F"/>
    <w:rsid w:val="00AC2B58"/>
    <w:rsid w:val="00AC2BCE"/>
    <w:rsid w:val="00AC2C32"/>
    <w:rsid w:val="00AC2C7C"/>
    <w:rsid w:val="00AC2CA2"/>
    <w:rsid w:val="00AC2CC7"/>
    <w:rsid w:val="00AC2CD9"/>
    <w:rsid w:val="00AC2CE8"/>
    <w:rsid w:val="00AC2D02"/>
    <w:rsid w:val="00AC2D31"/>
    <w:rsid w:val="00AC2D69"/>
    <w:rsid w:val="00AC2D7C"/>
    <w:rsid w:val="00AC2D90"/>
    <w:rsid w:val="00AC2DA4"/>
    <w:rsid w:val="00AC2DBD"/>
    <w:rsid w:val="00AC2E6D"/>
    <w:rsid w:val="00AC2E7F"/>
    <w:rsid w:val="00AC2F23"/>
    <w:rsid w:val="00AC2F79"/>
    <w:rsid w:val="00AC2F8F"/>
    <w:rsid w:val="00AC2FA7"/>
    <w:rsid w:val="00AC2FF0"/>
    <w:rsid w:val="00AC3012"/>
    <w:rsid w:val="00AC3046"/>
    <w:rsid w:val="00AC3056"/>
    <w:rsid w:val="00AC3183"/>
    <w:rsid w:val="00AC31A1"/>
    <w:rsid w:val="00AC31F1"/>
    <w:rsid w:val="00AC31FE"/>
    <w:rsid w:val="00AC3220"/>
    <w:rsid w:val="00AC3247"/>
    <w:rsid w:val="00AC3311"/>
    <w:rsid w:val="00AC3320"/>
    <w:rsid w:val="00AC33E2"/>
    <w:rsid w:val="00AC33FE"/>
    <w:rsid w:val="00AC3413"/>
    <w:rsid w:val="00AC342E"/>
    <w:rsid w:val="00AC3449"/>
    <w:rsid w:val="00AC34BB"/>
    <w:rsid w:val="00AC34D6"/>
    <w:rsid w:val="00AC3529"/>
    <w:rsid w:val="00AC354C"/>
    <w:rsid w:val="00AC360B"/>
    <w:rsid w:val="00AC363D"/>
    <w:rsid w:val="00AC3670"/>
    <w:rsid w:val="00AC36A0"/>
    <w:rsid w:val="00AC3736"/>
    <w:rsid w:val="00AC3783"/>
    <w:rsid w:val="00AC3797"/>
    <w:rsid w:val="00AC37EB"/>
    <w:rsid w:val="00AC37FD"/>
    <w:rsid w:val="00AC3803"/>
    <w:rsid w:val="00AC3887"/>
    <w:rsid w:val="00AC38AB"/>
    <w:rsid w:val="00AC38C4"/>
    <w:rsid w:val="00AC38F8"/>
    <w:rsid w:val="00AC38FD"/>
    <w:rsid w:val="00AC393E"/>
    <w:rsid w:val="00AC394B"/>
    <w:rsid w:val="00AC3955"/>
    <w:rsid w:val="00AC39BA"/>
    <w:rsid w:val="00AC39F5"/>
    <w:rsid w:val="00AC3A56"/>
    <w:rsid w:val="00AC3A66"/>
    <w:rsid w:val="00AC3A7B"/>
    <w:rsid w:val="00AC3B48"/>
    <w:rsid w:val="00AC3B49"/>
    <w:rsid w:val="00AC3B85"/>
    <w:rsid w:val="00AC3BA6"/>
    <w:rsid w:val="00AC3C17"/>
    <w:rsid w:val="00AC3C28"/>
    <w:rsid w:val="00AC3C46"/>
    <w:rsid w:val="00AC3D0E"/>
    <w:rsid w:val="00AC3D13"/>
    <w:rsid w:val="00AC3D51"/>
    <w:rsid w:val="00AC3D54"/>
    <w:rsid w:val="00AC3D57"/>
    <w:rsid w:val="00AC3DA4"/>
    <w:rsid w:val="00AC3DB0"/>
    <w:rsid w:val="00AC3DDF"/>
    <w:rsid w:val="00AC3DF9"/>
    <w:rsid w:val="00AC3E25"/>
    <w:rsid w:val="00AC3EDD"/>
    <w:rsid w:val="00AC3EEC"/>
    <w:rsid w:val="00AC3F0B"/>
    <w:rsid w:val="00AC3FA3"/>
    <w:rsid w:val="00AC4003"/>
    <w:rsid w:val="00AC402C"/>
    <w:rsid w:val="00AC405E"/>
    <w:rsid w:val="00AC4078"/>
    <w:rsid w:val="00AC413E"/>
    <w:rsid w:val="00AC4152"/>
    <w:rsid w:val="00AC4160"/>
    <w:rsid w:val="00AC4176"/>
    <w:rsid w:val="00AC41CF"/>
    <w:rsid w:val="00AC421D"/>
    <w:rsid w:val="00AC42D3"/>
    <w:rsid w:val="00AC42FB"/>
    <w:rsid w:val="00AC4322"/>
    <w:rsid w:val="00AC434E"/>
    <w:rsid w:val="00AC4389"/>
    <w:rsid w:val="00AC43B4"/>
    <w:rsid w:val="00AC4413"/>
    <w:rsid w:val="00AC444C"/>
    <w:rsid w:val="00AC4454"/>
    <w:rsid w:val="00AC4471"/>
    <w:rsid w:val="00AC449F"/>
    <w:rsid w:val="00AC44AA"/>
    <w:rsid w:val="00AC44D4"/>
    <w:rsid w:val="00AC457F"/>
    <w:rsid w:val="00AC45B8"/>
    <w:rsid w:val="00AC45F1"/>
    <w:rsid w:val="00AC4620"/>
    <w:rsid w:val="00AC4623"/>
    <w:rsid w:val="00AC4642"/>
    <w:rsid w:val="00AC4691"/>
    <w:rsid w:val="00AC46A3"/>
    <w:rsid w:val="00AC46CE"/>
    <w:rsid w:val="00AC46D5"/>
    <w:rsid w:val="00AC4721"/>
    <w:rsid w:val="00AC4766"/>
    <w:rsid w:val="00AC4793"/>
    <w:rsid w:val="00AC47B5"/>
    <w:rsid w:val="00AC47B7"/>
    <w:rsid w:val="00AC47BD"/>
    <w:rsid w:val="00AC47FC"/>
    <w:rsid w:val="00AC47FD"/>
    <w:rsid w:val="00AC4829"/>
    <w:rsid w:val="00AC4881"/>
    <w:rsid w:val="00AC4882"/>
    <w:rsid w:val="00AC48C4"/>
    <w:rsid w:val="00AC48DE"/>
    <w:rsid w:val="00AC48E8"/>
    <w:rsid w:val="00AC498C"/>
    <w:rsid w:val="00AC4A06"/>
    <w:rsid w:val="00AC4A49"/>
    <w:rsid w:val="00AC4A55"/>
    <w:rsid w:val="00AC4B1E"/>
    <w:rsid w:val="00AC4B2E"/>
    <w:rsid w:val="00AC4B44"/>
    <w:rsid w:val="00AC4BB6"/>
    <w:rsid w:val="00AC4C44"/>
    <w:rsid w:val="00AC4CAE"/>
    <w:rsid w:val="00AC4CB1"/>
    <w:rsid w:val="00AC4CD9"/>
    <w:rsid w:val="00AC4DD4"/>
    <w:rsid w:val="00AC4DDE"/>
    <w:rsid w:val="00AC4DE9"/>
    <w:rsid w:val="00AC4E40"/>
    <w:rsid w:val="00AC4E4D"/>
    <w:rsid w:val="00AC4EA2"/>
    <w:rsid w:val="00AC4F86"/>
    <w:rsid w:val="00AC4FB4"/>
    <w:rsid w:val="00AC4FCE"/>
    <w:rsid w:val="00AC5020"/>
    <w:rsid w:val="00AC5032"/>
    <w:rsid w:val="00AC506B"/>
    <w:rsid w:val="00AC5112"/>
    <w:rsid w:val="00AC511F"/>
    <w:rsid w:val="00AC5198"/>
    <w:rsid w:val="00AC51B8"/>
    <w:rsid w:val="00AC51BF"/>
    <w:rsid w:val="00AC51D1"/>
    <w:rsid w:val="00AC523E"/>
    <w:rsid w:val="00AC52C2"/>
    <w:rsid w:val="00AC531C"/>
    <w:rsid w:val="00AC5331"/>
    <w:rsid w:val="00AC53C3"/>
    <w:rsid w:val="00AC53E2"/>
    <w:rsid w:val="00AC53E9"/>
    <w:rsid w:val="00AC5415"/>
    <w:rsid w:val="00AC547C"/>
    <w:rsid w:val="00AC54B6"/>
    <w:rsid w:val="00AC54E3"/>
    <w:rsid w:val="00AC54F0"/>
    <w:rsid w:val="00AC5532"/>
    <w:rsid w:val="00AC55AE"/>
    <w:rsid w:val="00AC55B7"/>
    <w:rsid w:val="00AC55FD"/>
    <w:rsid w:val="00AC5604"/>
    <w:rsid w:val="00AC560F"/>
    <w:rsid w:val="00AC5682"/>
    <w:rsid w:val="00AC5686"/>
    <w:rsid w:val="00AC5687"/>
    <w:rsid w:val="00AC569B"/>
    <w:rsid w:val="00AC56B4"/>
    <w:rsid w:val="00AC56CB"/>
    <w:rsid w:val="00AC56DB"/>
    <w:rsid w:val="00AC5751"/>
    <w:rsid w:val="00AC57CB"/>
    <w:rsid w:val="00AC584F"/>
    <w:rsid w:val="00AC586A"/>
    <w:rsid w:val="00AC58F3"/>
    <w:rsid w:val="00AC5902"/>
    <w:rsid w:val="00AC5923"/>
    <w:rsid w:val="00AC5966"/>
    <w:rsid w:val="00AC59A7"/>
    <w:rsid w:val="00AC59B8"/>
    <w:rsid w:val="00AC5A07"/>
    <w:rsid w:val="00AC5A95"/>
    <w:rsid w:val="00AC5AD2"/>
    <w:rsid w:val="00AC5B25"/>
    <w:rsid w:val="00AC5B4C"/>
    <w:rsid w:val="00AC5B8A"/>
    <w:rsid w:val="00AC5BCC"/>
    <w:rsid w:val="00AC5BFE"/>
    <w:rsid w:val="00AC5C76"/>
    <w:rsid w:val="00AC5C80"/>
    <w:rsid w:val="00AC5CD6"/>
    <w:rsid w:val="00AC5CE7"/>
    <w:rsid w:val="00AC5D9A"/>
    <w:rsid w:val="00AC5DBD"/>
    <w:rsid w:val="00AC5DCF"/>
    <w:rsid w:val="00AC5E13"/>
    <w:rsid w:val="00AC5E23"/>
    <w:rsid w:val="00AC5E35"/>
    <w:rsid w:val="00AC5E50"/>
    <w:rsid w:val="00AC5E9E"/>
    <w:rsid w:val="00AC5F02"/>
    <w:rsid w:val="00AC5F0E"/>
    <w:rsid w:val="00AC5F36"/>
    <w:rsid w:val="00AC5F82"/>
    <w:rsid w:val="00AC5FAF"/>
    <w:rsid w:val="00AC5FDA"/>
    <w:rsid w:val="00AC602B"/>
    <w:rsid w:val="00AC6070"/>
    <w:rsid w:val="00AC607D"/>
    <w:rsid w:val="00AC60D1"/>
    <w:rsid w:val="00AC60DF"/>
    <w:rsid w:val="00AC60E2"/>
    <w:rsid w:val="00AC60FC"/>
    <w:rsid w:val="00AC6190"/>
    <w:rsid w:val="00AC61D6"/>
    <w:rsid w:val="00AC61EB"/>
    <w:rsid w:val="00AC6206"/>
    <w:rsid w:val="00AC6230"/>
    <w:rsid w:val="00AC6242"/>
    <w:rsid w:val="00AC6243"/>
    <w:rsid w:val="00AC625E"/>
    <w:rsid w:val="00AC627C"/>
    <w:rsid w:val="00AC628F"/>
    <w:rsid w:val="00AC62C1"/>
    <w:rsid w:val="00AC631A"/>
    <w:rsid w:val="00AC6384"/>
    <w:rsid w:val="00AC63B4"/>
    <w:rsid w:val="00AC63FB"/>
    <w:rsid w:val="00AC640F"/>
    <w:rsid w:val="00AC6443"/>
    <w:rsid w:val="00AC644B"/>
    <w:rsid w:val="00AC6500"/>
    <w:rsid w:val="00AC6565"/>
    <w:rsid w:val="00AC65E7"/>
    <w:rsid w:val="00AC6606"/>
    <w:rsid w:val="00AC6625"/>
    <w:rsid w:val="00AC6626"/>
    <w:rsid w:val="00AC667B"/>
    <w:rsid w:val="00AC66AC"/>
    <w:rsid w:val="00AC66D4"/>
    <w:rsid w:val="00AC6715"/>
    <w:rsid w:val="00AC6725"/>
    <w:rsid w:val="00AC675C"/>
    <w:rsid w:val="00AC6766"/>
    <w:rsid w:val="00AC67B0"/>
    <w:rsid w:val="00AC6807"/>
    <w:rsid w:val="00AC6835"/>
    <w:rsid w:val="00AC68AB"/>
    <w:rsid w:val="00AC696A"/>
    <w:rsid w:val="00AC6982"/>
    <w:rsid w:val="00AC699C"/>
    <w:rsid w:val="00AC69A0"/>
    <w:rsid w:val="00AC69C1"/>
    <w:rsid w:val="00AC69DF"/>
    <w:rsid w:val="00AC6A7B"/>
    <w:rsid w:val="00AC6A8E"/>
    <w:rsid w:val="00AC6AB2"/>
    <w:rsid w:val="00AC6ACC"/>
    <w:rsid w:val="00AC6AFA"/>
    <w:rsid w:val="00AC6B2B"/>
    <w:rsid w:val="00AC6BCA"/>
    <w:rsid w:val="00AC6C36"/>
    <w:rsid w:val="00AC6C81"/>
    <w:rsid w:val="00AC6CC7"/>
    <w:rsid w:val="00AC6CF0"/>
    <w:rsid w:val="00AC6D29"/>
    <w:rsid w:val="00AC6D59"/>
    <w:rsid w:val="00AC6D6B"/>
    <w:rsid w:val="00AC6DB8"/>
    <w:rsid w:val="00AC6E51"/>
    <w:rsid w:val="00AC6E91"/>
    <w:rsid w:val="00AC6E98"/>
    <w:rsid w:val="00AC6F04"/>
    <w:rsid w:val="00AC6F1C"/>
    <w:rsid w:val="00AC6F2E"/>
    <w:rsid w:val="00AC6F6A"/>
    <w:rsid w:val="00AC6FBB"/>
    <w:rsid w:val="00AC6FD1"/>
    <w:rsid w:val="00AC6FEE"/>
    <w:rsid w:val="00AC6FFA"/>
    <w:rsid w:val="00AC6FFD"/>
    <w:rsid w:val="00AC7006"/>
    <w:rsid w:val="00AC704B"/>
    <w:rsid w:val="00AC7061"/>
    <w:rsid w:val="00AC7067"/>
    <w:rsid w:val="00AC70F3"/>
    <w:rsid w:val="00AC7111"/>
    <w:rsid w:val="00AC7180"/>
    <w:rsid w:val="00AC71B9"/>
    <w:rsid w:val="00AC7208"/>
    <w:rsid w:val="00AC720B"/>
    <w:rsid w:val="00AC7240"/>
    <w:rsid w:val="00AC7261"/>
    <w:rsid w:val="00AC729E"/>
    <w:rsid w:val="00AC72AB"/>
    <w:rsid w:val="00AC72BE"/>
    <w:rsid w:val="00AC7331"/>
    <w:rsid w:val="00AC7340"/>
    <w:rsid w:val="00AC7352"/>
    <w:rsid w:val="00AC736F"/>
    <w:rsid w:val="00AC739F"/>
    <w:rsid w:val="00AC73C3"/>
    <w:rsid w:val="00AC73E3"/>
    <w:rsid w:val="00AC73F2"/>
    <w:rsid w:val="00AC7409"/>
    <w:rsid w:val="00AC7441"/>
    <w:rsid w:val="00AC7457"/>
    <w:rsid w:val="00AC7479"/>
    <w:rsid w:val="00AC74CA"/>
    <w:rsid w:val="00AC74D1"/>
    <w:rsid w:val="00AC75D7"/>
    <w:rsid w:val="00AC75F1"/>
    <w:rsid w:val="00AC760C"/>
    <w:rsid w:val="00AC7628"/>
    <w:rsid w:val="00AC7659"/>
    <w:rsid w:val="00AC767E"/>
    <w:rsid w:val="00AC7698"/>
    <w:rsid w:val="00AC76E6"/>
    <w:rsid w:val="00AC7719"/>
    <w:rsid w:val="00AC775A"/>
    <w:rsid w:val="00AC77C2"/>
    <w:rsid w:val="00AC77EA"/>
    <w:rsid w:val="00AC7814"/>
    <w:rsid w:val="00AC7817"/>
    <w:rsid w:val="00AC7820"/>
    <w:rsid w:val="00AC785F"/>
    <w:rsid w:val="00AC7886"/>
    <w:rsid w:val="00AC788A"/>
    <w:rsid w:val="00AC788C"/>
    <w:rsid w:val="00AC78CE"/>
    <w:rsid w:val="00AC792A"/>
    <w:rsid w:val="00AC79A6"/>
    <w:rsid w:val="00AC79AC"/>
    <w:rsid w:val="00AC79D4"/>
    <w:rsid w:val="00AC7A4A"/>
    <w:rsid w:val="00AC7A68"/>
    <w:rsid w:val="00AC7AC3"/>
    <w:rsid w:val="00AC7AC5"/>
    <w:rsid w:val="00AC7AE7"/>
    <w:rsid w:val="00AC7BAC"/>
    <w:rsid w:val="00AC7C17"/>
    <w:rsid w:val="00AC7C1E"/>
    <w:rsid w:val="00AC7C95"/>
    <w:rsid w:val="00AC7CA0"/>
    <w:rsid w:val="00AC7CE5"/>
    <w:rsid w:val="00AC7D60"/>
    <w:rsid w:val="00AC7DB1"/>
    <w:rsid w:val="00AC7DD4"/>
    <w:rsid w:val="00AC7DD9"/>
    <w:rsid w:val="00AC7DF9"/>
    <w:rsid w:val="00AC7E17"/>
    <w:rsid w:val="00AC7F10"/>
    <w:rsid w:val="00AC7F15"/>
    <w:rsid w:val="00AC7F3C"/>
    <w:rsid w:val="00AC7F83"/>
    <w:rsid w:val="00AC7F89"/>
    <w:rsid w:val="00AC7FFE"/>
    <w:rsid w:val="00ACB6C3"/>
    <w:rsid w:val="00AD0001"/>
    <w:rsid w:val="00AD0017"/>
    <w:rsid w:val="00AD005D"/>
    <w:rsid w:val="00AD005F"/>
    <w:rsid w:val="00AD0071"/>
    <w:rsid w:val="00AD0089"/>
    <w:rsid w:val="00AD0103"/>
    <w:rsid w:val="00AD0148"/>
    <w:rsid w:val="00AD015F"/>
    <w:rsid w:val="00AD0179"/>
    <w:rsid w:val="00AD01B8"/>
    <w:rsid w:val="00AD01D9"/>
    <w:rsid w:val="00AD01EC"/>
    <w:rsid w:val="00AD025D"/>
    <w:rsid w:val="00AD026F"/>
    <w:rsid w:val="00AD0272"/>
    <w:rsid w:val="00AD0297"/>
    <w:rsid w:val="00AD02B0"/>
    <w:rsid w:val="00AD02FA"/>
    <w:rsid w:val="00AD03E8"/>
    <w:rsid w:val="00AD03EE"/>
    <w:rsid w:val="00AD0440"/>
    <w:rsid w:val="00AD0442"/>
    <w:rsid w:val="00AD04DC"/>
    <w:rsid w:val="00AD04DF"/>
    <w:rsid w:val="00AD051C"/>
    <w:rsid w:val="00AD0595"/>
    <w:rsid w:val="00AD059A"/>
    <w:rsid w:val="00AD05A3"/>
    <w:rsid w:val="00AD05C6"/>
    <w:rsid w:val="00AD05D5"/>
    <w:rsid w:val="00AD05DC"/>
    <w:rsid w:val="00AD0641"/>
    <w:rsid w:val="00AD065F"/>
    <w:rsid w:val="00AD068E"/>
    <w:rsid w:val="00AD0694"/>
    <w:rsid w:val="00AD06A4"/>
    <w:rsid w:val="00AD06B4"/>
    <w:rsid w:val="00AD06CD"/>
    <w:rsid w:val="00AD06E7"/>
    <w:rsid w:val="00AD0760"/>
    <w:rsid w:val="00AD07A5"/>
    <w:rsid w:val="00AD0819"/>
    <w:rsid w:val="00AD088A"/>
    <w:rsid w:val="00AD090A"/>
    <w:rsid w:val="00AD0929"/>
    <w:rsid w:val="00AD093B"/>
    <w:rsid w:val="00AD09AB"/>
    <w:rsid w:val="00AD09C6"/>
    <w:rsid w:val="00AD0A1A"/>
    <w:rsid w:val="00AD0A1F"/>
    <w:rsid w:val="00AD0A7A"/>
    <w:rsid w:val="00AD0B30"/>
    <w:rsid w:val="00AD0B36"/>
    <w:rsid w:val="00AD0B41"/>
    <w:rsid w:val="00AD0B71"/>
    <w:rsid w:val="00AD0B82"/>
    <w:rsid w:val="00AD0BF7"/>
    <w:rsid w:val="00AD0C2F"/>
    <w:rsid w:val="00AD0C32"/>
    <w:rsid w:val="00AD0C7E"/>
    <w:rsid w:val="00AD0C8C"/>
    <w:rsid w:val="00AD0CC5"/>
    <w:rsid w:val="00AD0CC6"/>
    <w:rsid w:val="00AD0CD4"/>
    <w:rsid w:val="00AD0D84"/>
    <w:rsid w:val="00AD0D8C"/>
    <w:rsid w:val="00AD0D8D"/>
    <w:rsid w:val="00AD0DA9"/>
    <w:rsid w:val="00AD0DD3"/>
    <w:rsid w:val="00AD0DEA"/>
    <w:rsid w:val="00AD0E43"/>
    <w:rsid w:val="00AD0EA1"/>
    <w:rsid w:val="00AD0EC4"/>
    <w:rsid w:val="00AD0ECE"/>
    <w:rsid w:val="00AD0F00"/>
    <w:rsid w:val="00AD0F18"/>
    <w:rsid w:val="00AD0F5A"/>
    <w:rsid w:val="00AD0F61"/>
    <w:rsid w:val="00AD1000"/>
    <w:rsid w:val="00AD1025"/>
    <w:rsid w:val="00AD1052"/>
    <w:rsid w:val="00AD10A0"/>
    <w:rsid w:val="00AD10F2"/>
    <w:rsid w:val="00AD1128"/>
    <w:rsid w:val="00AD118D"/>
    <w:rsid w:val="00AD1194"/>
    <w:rsid w:val="00AD11B5"/>
    <w:rsid w:val="00AD11FE"/>
    <w:rsid w:val="00AD1205"/>
    <w:rsid w:val="00AD1283"/>
    <w:rsid w:val="00AD12B5"/>
    <w:rsid w:val="00AD12CF"/>
    <w:rsid w:val="00AD135C"/>
    <w:rsid w:val="00AD1383"/>
    <w:rsid w:val="00AD14C5"/>
    <w:rsid w:val="00AD1566"/>
    <w:rsid w:val="00AD156A"/>
    <w:rsid w:val="00AD1571"/>
    <w:rsid w:val="00AD15A6"/>
    <w:rsid w:val="00AD15B1"/>
    <w:rsid w:val="00AD1682"/>
    <w:rsid w:val="00AD16BB"/>
    <w:rsid w:val="00AD1720"/>
    <w:rsid w:val="00AD1724"/>
    <w:rsid w:val="00AD1752"/>
    <w:rsid w:val="00AD17A0"/>
    <w:rsid w:val="00AD17C3"/>
    <w:rsid w:val="00AD1834"/>
    <w:rsid w:val="00AD184F"/>
    <w:rsid w:val="00AD187B"/>
    <w:rsid w:val="00AD1881"/>
    <w:rsid w:val="00AD18A3"/>
    <w:rsid w:val="00AD18B2"/>
    <w:rsid w:val="00AD18B9"/>
    <w:rsid w:val="00AD1904"/>
    <w:rsid w:val="00AD190D"/>
    <w:rsid w:val="00AD1923"/>
    <w:rsid w:val="00AD192F"/>
    <w:rsid w:val="00AD1960"/>
    <w:rsid w:val="00AD196D"/>
    <w:rsid w:val="00AD1994"/>
    <w:rsid w:val="00AD19A2"/>
    <w:rsid w:val="00AD19AF"/>
    <w:rsid w:val="00AD19B0"/>
    <w:rsid w:val="00AD19D4"/>
    <w:rsid w:val="00AD19F0"/>
    <w:rsid w:val="00AD19F1"/>
    <w:rsid w:val="00AD1A17"/>
    <w:rsid w:val="00AD1A62"/>
    <w:rsid w:val="00AD1A98"/>
    <w:rsid w:val="00AD1AB6"/>
    <w:rsid w:val="00AD1AD9"/>
    <w:rsid w:val="00AD1B01"/>
    <w:rsid w:val="00AD1B67"/>
    <w:rsid w:val="00AD1B7A"/>
    <w:rsid w:val="00AD1BC1"/>
    <w:rsid w:val="00AD1BDC"/>
    <w:rsid w:val="00AD1BEF"/>
    <w:rsid w:val="00AD1C26"/>
    <w:rsid w:val="00AD1C28"/>
    <w:rsid w:val="00AD1C6C"/>
    <w:rsid w:val="00AD1C72"/>
    <w:rsid w:val="00AD1C77"/>
    <w:rsid w:val="00AD1CD0"/>
    <w:rsid w:val="00AD1CFA"/>
    <w:rsid w:val="00AD1D16"/>
    <w:rsid w:val="00AD1D54"/>
    <w:rsid w:val="00AD1D6A"/>
    <w:rsid w:val="00AD1DDB"/>
    <w:rsid w:val="00AD1E02"/>
    <w:rsid w:val="00AD1E14"/>
    <w:rsid w:val="00AD1E74"/>
    <w:rsid w:val="00AD1E80"/>
    <w:rsid w:val="00AD1ECF"/>
    <w:rsid w:val="00AD1EDB"/>
    <w:rsid w:val="00AD1F66"/>
    <w:rsid w:val="00AD1F72"/>
    <w:rsid w:val="00AD2097"/>
    <w:rsid w:val="00AD2098"/>
    <w:rsid w:val="00AD209C"/>
    <w:rsid w:val="00AD209E"/>
    <w:rsid w:val="00AD20E4"/>
    <w:rsid w:val="00AD20FA"/>
    <w:rsid w:val="00AD20FE"/>
    <w:rsid w:val="00AD21A9"/>
    <w:rsid w:val="00AD21CC"/>
    <w:rsid w:val="00AD21D5"/>
    <w:rsid w:val="00AD2202"/>
    <w:rsid w:val="00AD2269"/>
    <w:rsid w:val="00AD22AA"/>
    <w:rsid w:val="00AD2318"/>
    <w:rsid w:val="00AD235E"/>
    <w:rsid w:val="00AD238A"/>
    <w:rsid w:val="00AD240D"/>
    <w:rsid w:val="00AD2454"/>
    <w:rsid w:val="00AD2477"/>
    <w:rsid w:val="00AD24CB"/>
    <w:rsid w:val="00AD24D6"/>
    <w:rsid w:val="00AD253E"/>
    <w:rsid w:val="00AD2549"/>
    <w:rsid w:val="00AD255E"/>
    <w:rsid w:val="00AD25D1"/>
    <w:rsid w:val="00AD2618"/>
    <w:rsid w:val="00AD262F"/>
    <w:rsid w:val="00AD2637"/>
    <w:rsid w:val="00AD264F"/>
    <w:rsid w:val="00AD2660"/>
    <w:rsid w:val="00AD2681"/>
    <w:rsid w:val="00AD2686"/>
    <w:rsid w:val="00AD2707"/>
    <w:rsid w:val="00AD2730"/>
    <w:rsid w:val="00AD2776"/>
    <w:rsid w:val="00AD2789"/>
    <w:rsid w:val="00AD27E7"/>
    <w:rsid w:val="00AD2815"/>
    <w:rsid w:val="00AD2843"/>
    <w:rsid w:val="00AD2869"/>
    <w:rsid w:val="00AD28CF"/>
    <w:rsid w:val="00AD28D8"/>
    <w:rsid w:val="00AD298B"/>
    <w:rsid w:val="00AD29B0"/>
    <w:rsid w:val="00AD29BD"/>
    <w:rsid w:val="00AD29D6"/>
    <w:rsid w:val="00AD29F8"/>
    <w:rsid w:val="00AD2A56"/>
    <w:rsid w:val="00AD2A65"/>
    <w:rsid w:val="00AD2A8C"/>
    <w:rsid w:val="00AD2AEB"/>
    <w:rsid w:val="00AD2B03"/>
    <w:rsid w:val="00AD2B35"/>
    <w:rsid w:val="00AD2B39"/>
    <w:rsid w:val="00AD2B4E"/>
    <w:rsid w:val="00AD2B8A"/>
    <w:rsid w:val="00AD2BC9"/>
    <w:rsid w:val="00AD2BD7"/>
    <w:rsid w:val="00AD2BF0"/>
    <w:rsid w:val="00AD2BF6"/>
    <w:rsid w:val="00AD2C6D"/>
    <w:rsid w:val="00AD2CBA"/>
    <w:rsid w:val="00AD2CD7"/>
    <w:rsid w:val="00AD2D1B"/>
    <w:rsid w:val="00AD2D45"/>
    <w:rsid w:val="00AD2D91"/>
    <w:rsid w:val="00AD2DCC"/>
    <w:rsid w:val="00AD2DD2"/>
    <w:rsid w:val="00AD2DE0"/>
    <w:rsid w:val="00AD2DE1"/>
    <w:rsid w:val="00AD2DE5"/>
    <w:rsid w:val="00AD2E1D"/>
    <w:rsid w:val="00AD2E54"/>
    <w:rsid w:val="00AD2E66"/>
    <w:rsid w:val="00AD2E6F"/>
    <w:rsid w:val="00AD2E7A"/>
    <w:rsid w:val="00AD2EEB"/>
    <w:rsid w:val="00AD2F32"/>
    <w:rsid w:val="00AD2F80"/>
    <w:rsid w:val="00AD2F93"/>
    <w:rsid w:val="00AD2FA5"/>
    <w:rsid w:val="00AD2FC7"/>
    <w:rsid w:val="00AD3045"/>
    <w:rsid w:val="00AD306A"/>
    <w:rsid w:val="00AD3077"/>
    <w:rsid w:val="00AD3158"/>
    <w:rsid w:val="00AD316A"/>
    <w:rsid w:val="00AD3229"/>
    <w:rsid w:val="00AD32AD"/>
    <w:rsid w:val="00AD330B"/>
    <w:rsid w:val="00AD3328"/>
    <w:rsid w:val="00AD332C"/>
    <w:rsid w:val="00AD3332"/>
    <w:rsid w:val="00AD334E"/>
    <w:rsid w:val="00AD3370"/>
    <w:rsid w:val="00AD338A"/>
    <w:rsid w:val="00AD3396"/>
    <w:rsid w:val="00AD33A3"/>
    <w:rsid w:val="00AD33CE"/>
    <w:rsid w:val="00AD33F0"/>
    <w:rsid w:val="00AD340A"/>
    <w:rsid w:val="00AD342A"/>
    <w:rsid w:val="00AD343C"/>
    <w:rsid w:val="00AD343F"/>
    <w:rsid w:val="00AD3454"/>
    <w:rsid w:val="00AD34B4"/>
    <w:rsid w:val="00AD34E9"/>
    <w:rsid w:val="00AD3509"/>
    <w:rsid w:val="00AD355C"/>
    <w:rsid w:val="00AD3560"/>
    <w:rsid w:val="00AD3569"/>
    <w:rsid w:val="00AD35A5"/>
    <w:rsid w:val="00AD35C0"/>
    <w:rsid w:val="00AD35CA"/>
    <w:rsid w:val="00AD35D6"/>
    <w:rsid w:val="00AD3657"/>
    <w:rsid w:val="00AD367A"/>
    <w:rsid w:val="00AD36AD"/>
    <w:rsid w:val="00AD36C3"/>
    <w:rsid w:val="00AD372F"/>
    <w:rsid w:val="00AD3757"/>
    <w:rsid w:val="00AD3798"/>
    <w:rsid w:val="00AD37B1"/>
    <w:rsid w:val="00AD37BF"/>
    <w:rsid w:val="00AD37F3"/>
    <w:rsid w:val="00AD382C"/>
    <w:rsid w:val="00AD38A9"/>
    <w:rsid w:val="00AD38D2"/>
    <w:rsid w:val="00AD38DD"/>
    <w:rsid w:val="00AD397B"/>
    <w:rsid w:val="00AD39AF"/>
    <w:rsid w:val="00AD39D2"/>
    <w:rsid w:val="00AD3A31"/>
    <w:rsid w:val="00AD3A4D"/>
    <w:rsid w:val="00AD3A94"/>
    <w:rsid w:val="00AD3ABD"/>
    <w:rsid w:val="00AD3B07"/>
    <w:rsid w:val="00AD3B0E"/>
    <w:rsid w:val="00AD3B13"/>
    <w:rsid w:val="00AD3B2C"/>
    <w:rsid w:val="00AD3B84"/>
    <w:rsid w:val="00AD3B94"/>
    <w:rsid w:val="00AD3BFE"/>
    <w:rsid w:val="00AD3C26"/>
    <w:rsid w:val="00AD3C27"/>
    <w:rsid w:val="00AD3C80"/>
    <w:rsid w:val="00AD3CC7"/>
    <w:rsid w:val="00AD3CED"/>
    <w:rsid w:val="00AD3D93"/>
    <w:rsid w:val="00AD3DA2"/>
    <w:rsid w:val="00AD3DAA"/>
    <w:rsid w:val="00AD3E35"/>
    <w:rsid w:val="00AD3E5B"/>
    <w:rsid w:val="00AD3E75"/>
    <w:rsid w:val="00AD3EB1"/>
    <w:rsid w:val="00AD3EE1"/>
    <w:rsid w:val="00AD3FA3"/>
    <w:rsid w:val="00AD3FD8"/>
    <w:rsid w:val="00AD4055"/>
    <w:rsid w:val="00AD405B"/>
    <w:rsid w:val="00AD4079"/>
    <w:rsid w:val="00AD40B8"/>
    <w:rsid w:val="00AD40C1"/>
    <w:rsid w:val="00AD40F5"/>
    <w:rsid w:val="00AD411C"/>
    <w:rsid w:val="00AD4120"/>
    <w:rsid w:val="00AD415F"/>
    <w:rsid w:val="00AD41AD"/>
    <w:rsid w:val="00AD41D3"/>
    <w:rsid w:val="00AD41E0"/>
    <w:rsid w:val="00AD4201"/>
    <w:rsid w:val="00AD4225"/>
    <w:rsid w:val="00AD42D8"/>
    <w:rsid w:val="00AD4339"/>
    <w:rsid w:val="00AD4356"/>
    <w:rsid w:val="00AD436E"/>
    <w:rsid w:val="00AD43FD"/>
    <w:rsid w:val="00AD4437"/>
    <w:rsid w:val="00AD447D"/>
    <w:rsid w:val="00AD4499"/>
    <w:rsid w:val="00AD44C0"/>
    <w:rsid w:val="00AD44C4"/>
    <w:rsid w:val="00AD44E3"/>
    <w:rsid w:val="00AD451D"/>
    <w:rsid w:val="00AD4553"/>
    <w:rsid w:val="00AD4578"/>
    <w:rsid w:val="00AD4582"/>
    <w:rsid w:val="00AD45B2"/>
    <w:rsid w:val="00AD45B5"/>
    <w:rsid w:val="00AD45E5"/>
    <w:rsid w:val="00AD4602"/>
    <w:rsid w:val="00AD4606"/>
    <w:rsid w:val="00AD461D"/>
    <w:rsid w:val="00AD4627"/>
    <w:rsid w:val="00AD4632"/>
    <w:rsid w:val="00AD46A7"/>
    <w:rsid w:val="00AD4701"/>
    <w:rsid w:val="00AD4704"/>
    <w:rsid w:val="00AD4732"/>
    <w:rsid w:val="00AD475B"/>
    <w:rsid w:val="00AD475E"/>
    <w:rsid w:val="00AD47A3"/>
    <w:rsid w:val="00AD47CB"/>
    <w:rsid w:val="00AD47DE"/>
    <w:rsid w:val="00AD47E2"/>
    <w:rsid w:val="00AD47FB"/>
    <w:rsid w:val="00AD480F"/>
    <w:rsid w:val="00AD482B"/>
    <w:rsid w:val="00AD48C4"/>
    <w:rsid w:val="00AD4996"/>
    <w:rsid w:val="00AD49A4"/>
    <w:rsid w:val="00AD49AE"/>
    <w:rsid w:val="00AD49C0"/>
    <w:rsid w:val="00AD49D1"/>
    <w:rsid w:val="00AD49F1"/>
    <w:rsid w:val="00AD49F2"/>
    <w:rsid w:val="00AD4A06"/>
    <w:rsid w:val="00AD4A6B"/>
    <w:rsid w:val="00AD4AA8"/>
    <w:rsid w:val="00AD4ACF"/>
    <w:rsid w:val="00AD4B6D"/>
    <w:rsid w:val="00AD4BC5"/>
    <w:rsid w:val="00AD4C78"/>
    <w:rsid w:val="00AD4C7F"/>
    <w:rsid w:val="00AD4C82"/>
    <w:rsid w:val="00AD4C86"/>
    <w:rsid w:val="00AD4D0E"/>
    <w:rsid w:val="00AD4D8F"/>
    <w:rsid w:val="00AD4DA0"/>
    <w:rsid w:val="00AD4DBB"/>
    <w:rsid w:val="00AD4DC9"/>
    <w:rsid w:val="00AD4DD6"/>
    <w:rsid w:val="00AD4DE2"/>
    <w:rsid w:val="00AD4DE8"/>
    <w:rsid w:val="00AD4DF0"/>
    <w:rsid w:val="00AD4E83"/>
    <w:rsid w:val="00AD4E84"/>
    <w:rsid w:val="00AD4F08"/>
    <w:rsid w:val="00AD4F0C"/>
    <w:rsid w:val="00AD4F70"/>
    <w:rsid w:val="00AD505B"/>
    <w:rsid w:val="00AD50AD"/>
    <w:rsid w:val="00AD50E3"/>
    <w:rsid w:val="00AD5133"/>
    <w:rsid w:val="00AD5151"/>
    <w:rsid w:val="00AD5199"/>
    <w:rsid w:val="00AD51BE"/>
    <w:rsid w:val="00AD527D"/>
    <w:rsid w:val="00AD529A"/>
    <w:rsid w:val="00AD52BA"/>
    <w:rsid w:val="00AD5304"/>
    <w:rsid w:val="00AD5397"/>
    <w:rsid w:val="00AD54AC"/>
    <w:rsid w:val="00AD5511"/>
    <w:rsid w:val="00AD551C"/>
    <w:rsid w:val="00AD5581"/>
    <w:rsid w:val="00AD55BC"/>
    <w:rsid w:val="00AD55DE"/>
    <w:rsid w:val="00AD5644"/>
    <w:rsid w:val="00AD567F"/>
    <w:rsid w:val="00AD56C0"/>
    <w:rsid w:val="00AD5707"/>
    <w:rsid w:val="00AD57B2"/>
    <w:rsid w:val="00AD57F5"/>
    <w:rsid w:val="00AD5804"/>
    <w:rsid w:val="00AD5830"/>
    <w:rsid w:val="00AD58B2"/>
    <w:rsid w:val="00AD58F1"/>
    <w:rsid w:val="00AD599F"/>
    <w:rsid w:val="00AD59B5"/>
    <w:rsid w:val="00AD59FE"/>
    <w:rsid w:val="00AD5A17"/>
    <w:rsid w:val="00AD5A1D"/>
    <w:rsid w:val="00AD5A26"/>
    <w:rsid w:val="00AD5A4F"/>
    <w:rsid w:val="00AD5AD1"/>
    <w:rsid w:val="00AD5AE8"/>
    <w:rsid w:val="00AD5B7A"/>
    <w:rsid w:val="00AD5B8C"/>
    <w:rsid w:val="00AD5BAF"/>
    <w:rsid w:val="00AD5BD4"/>
    <w:rsid w:val="00AD5C48"/>
    <w:rsid w:val="00AD5C9A"/>
    <w:rsid w:val="00AD5CAD"/>
    <w:rsid w:val="00AD5CFE"/>
    <w:rsid w:val="00AD5D36"/>
    <w:rsid w:val="00AD5D8C"/>
    <w:rsid w:val="00AD5DAB"/>
    <w:rsid w:val="00AD5EF4"/>
    <w:rsid w:val="00AD5F29"/>
    <w:rsid w:val="00AD5F2A"/>
    <w:rsid w:val="00AD5F43"/>
    <w:rsid w:val="00AD5FAC"/>
    <w:rsid w:val="00AD6017"/>
    <w:rsid w:val="00AD6018"/>
    <w:rsid w:val="00AD6039"/>
    <w:rsid w:val="00AD6063"/>
    <w:rsid w:val="00AD6072"/>
    <w:rsid w:val="00AD6079"/>
    <w:rsid w:val="00AD60FB"/>
    <w:rsid w:val="00AD6159"/>
    <w:rsid w:val="00AD616A"/>
    <w:rsid w:val="00AD6172"/>
    <w:rsid w:val="00AD617F"/>
    <w:rsid w:val="00AD61E6"/>
    <w:rsid w:val="00AD61F5"/>
    <w:rsid w:val="00AD6204"/>
    <w:rsid w:val="00AD6299"/>
    <w:rsid w:val="00AD62DF"/>
    <w:rsid w:val="00AD630D"/>
    <w:rsid w:val="00AD6334"/>
    <w:rsid w:val="00AD635F"/>
    <w:rsid w:val="00AD63A6"/>
    <w:rsid w:val="00AD63BA"/>
    <w:rsid w:val="00AD6419"/>
    <w:rsid w:val="00AD644F"/>
    <w:rsid w:val="00AD64B9"/>
    <w:rsid w:val="00AD64EB"/>
    <w:rsid w:val="00AD6511"/>
    <w:rsid w:val="00AD6512"/>
    <w:rsid w:val="00AD6526"/>
    <w:rsid w:val="00AD655E"/>
    <w:rsid w:val="00AD65FD"/>
    <w:rsid w:val="00AD66EA"/>
    <w:rsid w:val="00AD6725"/>
    <w:rsid w:val="00AD673E"/>
    <w:rsid w:val="00AD675A"/>
    <w:rsid w:val="00AD67D8"/>
    <w:rsid w:val="00AD6868"/>
    <w:rsid w:val="00AD68F4"/>
    <w:rsid w:val="00AD6A09"/>
    <w:rsid w:val="00AD6A27"/>
    <w:rsid w:val="00AD6A98"/>
    <w:rsid w:val="00AD6B65"/>
    <w:rsid w:val="00AD6BBB"/>
    <w:rsid w:val="00AD6C03"/>
    <w:rsid w:val="00AD6C38"/>
    <w:rsid w:val="00AD6C4D"/>
    <w:rsid w:val="00AD6CC7"/>
    <w:rsid w:val="00AD6D00"/>
    <w:rsid w:val="00AD6D2D"/>
    <w:rsid w:val="00AD6D34"/>
    <w:rsid w:val="00AD6D3A"/>
    <w:rsid w:val="00AD6E09"/>
    <w:rsid w:val="00AD6E16"/>
    <w:rsid w:val="00AD6E21"/>
    <w:rsid w:val="00AD6E35"/>
    <w:rsid w:val="00AD6E6C"/>
    <w:rsid w:val="00AD6E88"/>
    <w:rsid w:val="00AD6E95"/>
    <w:rsid w:val="00AD6ED7"/>
    <w:rsid w:val="00AD6F01"/>
    <w:rsid w:val="00AD6F50"/>
    <w:rsid w:val="00AD6F5A"/>
    <w:rsid w:val="00AD6F5C"/>
    <w:rsid w:val="00AD6F60"/>
    <w:rsid w:val="00AD6F78"/>
    <w:rsid w:val="00AD6F7D"/>
    <w:rsid w:val="00AD6F94"/>
    <w:rsid w:val="00AD7014"/>
    <w:rsid w:val="00AD7079"/>
    <w:rsid w:val="00AD7082"/>
    <w:rsid w:val="00AD708F"/>
    <w:rsid w:val="00AD70E6"/>
    <w:rsid w:val="00AD7103"/>
    <w:rsid w:val="00AD710C"/>
    <w:rsid w:val="00AD7127"/>
    <w:rsid w:val="00AD7128"/>
    <w:rsid w:val="00AD71C7"/>
    <w:rsid w:val="00AD71CD"/>
    <w:rsid w:val="00AD721C"/>
    <w:rsid w:val="00AD7275"/>
    <w:rsid w:val="00AD728B"/>
    <w:rsid w:val="00AD72D0"/>
    <w:rsid w:val="00AD7329"/>
    <w:rsid w:val="00AD732C"/>
    <w:rsid w:val="00AD733A"/>
    <w:rsid w:val="00AD7340"/>
    <w:rsid w:val="00AD7367"/>
    <w:rsid w:val="00AD736F"/>
    <w:rsid w:val="00AD7376"/>
    <w:rsid w:val="00AD73B2"/>
    <w:rsid w:val="00AD7453"/>
    <w:rsid w:val="00AD746B"/>
    <w:rsid w:val="00AD7473"/>
    <w:rsid w:val="00AD74A6"/>
    <w:rsid w:val="00AD74C8"/>
    <w:rsid w:val="00AD753F"/>
    <w:rsid w:val="00AD7541"/>
    <w:rsid w:val="00AD755C"/>
    <w:rsid w:val="00AD7603"/>
    <w:rsid w:val="00AD7654"/>
    <w:rsid w:val="00AD768C"/>
    <w:rsid w:val="00AD76DA"/>
    <w:rsid w:val="00AD76F2"/>
    <w:rsid w:val="00AD76FF"/>
    <w:rsid w:val="00AD7741"/>
    <w:rsid w:val="00AD776F"/>
    <w:rsid w:val="00AD77A5"/>
    <w:rsid w:val="00AD77D7"/>
    <w:rsid w:val="00AD77ED"/>
    <w:rsid w:val="00AD784A"/>
    <w:rsid w:val="00AD78CB"/>
    <w:rsid w:val="00AD78F5"/>
    <w:rsid w:val="00AD791B"/>
    <w:rsid w:val="00AD791F"/>
    <w:rsid w:val="00AD7929"/>
    <w:rsid w:val="00AD7950"/>
    <w:rsid w:val="00AD795C"/>
    <w:rsid w:val="00AD7990"/>
    <w:rsid w:val="00AD79F9"/>
    <w:rsid w:val="00AD7A10"/>
    <w:rsid w:val="00AD7A2E"/>
    <w:rsid w:val="00AD7A4D"/>
    <w:rsid w:val="00AD7A6C"/>
    <w:rsid w:val="00AD7A80"/>
    <w:rsid w:val="00AD7B3A"/>
    <w:rsid w:val="00AD7B54"/>
    <w:rsid w:val="00AD7B8B"/>
    <w:rsid w:val="00AD7BCC"/>
    <w:rsid w:val="00AD7C84"/>
    <w:rsid w:val="00AD7CDF"/>
    <w:rsid w:val="00AD7D66"/>
    <w:rsid w:val="00AD7D6E"/>
    <w:rsid w:val="00AD7F43"/>
    <w:rsid w:val="00AD7FDA"/>
    <w:rsid w:val="00AD7FEF"/>
    <w:rsid w:val="00AE0051"/>
    <w:rsid w:val="00AE00AC"/>
    <w:rsid w:val="00AE00F6"/>
    <w:rsid w:val="00AE010D"/>
    <w:rsid w:val="00AE015E"/>
    <w:rsid w:val="00AE0177"/>
    <w:rsid w:val="00AE01C8"/>
    <w:rsid w:val="00AE01DD"/>
    <w:rsid w:val="00AE01E3"/>
    <w:rsid w:val="00AE020D"/>
    <w:rsid w:val="00AE022B"/>
    <w:rsid w:val="00AE02F0"/>
    <w:rsid w:val="00AE0328"/>
    <w:rsid w:val="00AE03E6"/>
    <w:rsid w:val="00AE046A"/>
    <w:rsid w:val="00AE04AC"/>
    <w:rsid w:val="00AE04AF"/>
    <w:rsid w:val="00AE04FA"/>
    <w:rsid w:val="00AE051A"/>
    <w:rsid w:val="00AE0550"/>
    <w:rsid w:val="00AE055D"/>
    <w:rsid w:val="00AE05F9"/>
    <w:rsid w:val="00AE062B"/>
    <w:rsid w:val="00AE065B"/>
    <w:rsid w:val="00AE06C5"/>
    <w:rsid w:val="00AE06DA"/>
    <w:rsid w:val="00AE075C"/>
    <w:rsid w:val="00AE07A0"/>
    <w:rsid w:val="00AE081E"/>
    <w:rsid w:val="00AE0A23"/>
    <w:rsid w:val="00AE0A75"/>
    <w:rsid w:val="00AE0B1B"/>
    <w:rsid w:val="00AE0B4E"/>
    <w:rsid w:val="00AE0B51"/>
    <w:rsid w:val="00AE0B64"/>
    <w:rsid w:val="00AE0BAC"/>
    <w:rsid w:val="00AE0BEF"/>
    <w:rsid w:val="00AE0BF2"/>
    <w:rsid w:val="00AE0C17"/>
    <w:rsid w:val="00AE0C20"/>
    <w:rsid w:val="00AE0C32"/>
    <w:rsid w:val="00AE0C84"/>
    <w:rsid w:val="00AE0CBE"/>
    <w:rsid w:val="00AE0CEF"/>
    <w:rsid w:val="00AE0DA1"/>
    <w:rsid w:val="00AE0DB5"/>
    <w:rsid w:val="00AE0EA4"/>
    <w:rsid w:val="00AE0F5B"/>
    <w:rsid w:val="00AE0F7E"/>
    <w:rsid w:val="00AE0FAD"/>
    <w:rsid w:val="00AE0FB6"/>
    <w:rsid w:val="00AE1024"/>
    <w:rsid w:val="00AE1066"/>
    <w:rsid w:val="00AE107C"/>
    <w:rsid w:val="00AE1083"/>
    <w:rsid w:val="00AE1084"/>
    <w:rsid w:val="00AE1110"/>
    <w:rsid w:val="00AE1150"/>
    <w:rsid w:val="00AE118A"/>
    <w:rsid w:val="00AE125A"/>
    <w:rsid w:val="00AE1290"/>
    <w:rsid w:val="00AE12A3"/>
    <w:rsid w:val="00AE12D2"/>
    <w:rsid w:val="00AE12E0"/>
    <w:rsid w:val="00AE138E"/>
    <w:rsid w:val="00AE13A4"/>
    <w:rsid w:val="00AE142E"/>
    <w:rsid w:val="00AE1434"/>
    <w:rsid w:val="00AE143D"/>
    <w:rsid w:val="00AE1483"/>
    <w:rsid w:val="00AE14B2"/>
    <w:rsid w:val="00AE14C7"/>
    <w:rsid w:val="00AE1518"/>
    <w:rsid w:val="00AE1670"/>
    <w:rsid w:val="00AE168E"/>
    <w:rsid w:val="00AE1695"/>
    <w:rsid w:val="00AE16CA"/>
    <w:rsid w:val="00AE16E2"/>
    <w:rsid w:val="00AE175D"/>
    <w:rsid w:val="00AE1774"/>
    <w:rsid w:val="00AE177B"/>
    <w:rsid w:val="00AE1791"/>
    <w:rsid w:val="00AE17C0"/>
    <w:rsid w:val="00AE1874"/>
    <w:rsid w:val="00AE187C"/>
    <w:rsid w:val="00AE1928"/>
    <w:rsid w:val="00AE1A81"/>
    <w:rsid w:val="00AE1A95"/>
    <w:rsid w:val="00AE1B1A"/>
    <w:rsid w:val="00AE1B26"/>
    <w:rsid w:val="00AE1B6D"/>
    <w:rsid w:val="00AE1B9F"/>
    <w:rsid w:val="00AE1BAD"/>
    <w:rsid w:val="00AE1BDD"/>
    <w:rsid w:val="00AE1C0E"/>
    <w:rsid w:val="00AE1C15"/>
    <w:rsid w:val="00AE1CBD"/>
    <w:rsid w:val="00AE1D0F"/>
    <w:rsid w:val="00AE1D11"/>
    <w:rsid w:val="00AE1D2E"/>
    <w:rsid w:val="00AE1D8A"/>
    <w:rsid w:val="00AE1DD8"/>
    <w:rsid w:val="00AE1E01"/>
    <w:rsid w:val="00AE1E4E"/>
    <w:rsid w:val="00AE1E81"/>
    <w:rsid w:val="00AE1E83"/>
    <w:rsid w:val="00AE1EC3"/>
    <w:rsid w:val="00AE1EE2"/>
    <w:rsid w:val="00AE1EEC"/>
    <w:rsid w:val="00AE1F67"/>
    <w:rsid w:val="00AE1FA3"/>
    <w:rsid w:val="00AE2004"/>
    <w:rsid w:val="00AE2038"/>
    <w:rsid w:val="00AE204C"/>
    <w:rsid w:val="00AE20B4"/>
    <w:rsid w:val="00AE20B6"/>
    <w:rsid w:val="00AE20CE"/>
    <w:rsid w:val="00AE20E6"/>
    <w:rsid w:val="00AE2104"/>
    <w:rsid w:val="00AE210F"/>
    <w:rsid w:val="00AE2126"/>
    <w:rsid w:val="00AE2127"/>
    <w:rsid w:val="00AE2132"/>
    <w:rsid w:val="00AE214D"/>
    <w:rsid w:val="00AE217B"/>
    <w:rsid w:val="00AE21EB"/>
    <w:rsid w:val="00AE2222"/>
    <w:rsid w:val="00AE2265"/>
    <w:rsid w:val="00AE2298"/>
    <w:rsid w:val="00AE2311"/>
    <w:rsid w:val="00AE2346"/>
    <w:rsid w:val="00AE2422"/>
    <w:rsid w:val="00AE244A"/>
    <w:rsid w:val="00AE24C2"/>
    <w:rsid w:val="00AE24F5"/>
    <w:rsid w:val="00AE2500"/>
    <w:rsid w:val="00AE251A"/>
    <w:rsid w:val="00AE25B5"/>
    <w:rsid w:val="00AE25D7"/>
    <w:rsid w:val="00AE25DB"/>
    <w:rsid w:val="00AE25E9"/>
    <w:rsid w:val="00AE25F9"/>
    <w:rsid w:val="00AE25FA"/>
    <w:rsid w:val="00AE2612"/>
    <w:rsid w:val="00AE271D"/>
    <w:rsid w:val="00AE273E"/>
    <w:rsid w:val="00AE2784"/>
    <w:rsid w:val="00AE2791"/>
    <w:rsid w:val="00AE2825"/>
    <w:rsid w:val="00AE284B"/>
    <w:rsid w:val="00AE2864"/>
    <w:rsid w:val="00AE2872"/>
    <w:rsid w:val="00AE289F"/>
    <w:rsid w:val="00AE28E9"/>
    <w:rsid w:val="00AE2913"/>
    <w:rsid w:val="00AE2968"/>
    <w:rsid w:val="00AE2980"/>
    <w:rsid w:val="00AE299B"/>
    <w:rsid w:val="00AE29EF"/>
    <w:rsid w:val="00AE29F6"/>
    <w:rsid w:val="00AE2A43"/>
    <w:rsid w:val="00AE2A5A"/>
    <w:rsid w:val="00AE2A62"/>
    <w:rsid w:val="00AE2AED"/>
    <w:rsid w:val="00AE2B20"/>
    <w:rsid w:val="00AE2B59"/>
    <w:rsid w:val="00AE2B61"/>
    <w:rsid w:val="00AE2B78"/>
    <w:rsid w:val="00AE2BA4"/>
    <w:rsid w:val="00AE2BD5"/>
    <w:rsid w:val="00AE2C46"/>
    <w:rsid w:val="00AE2C65"/>
    <w:rsid w:val="00AE2C6C"/>
    <w:rsid w:val="00AE2C7B"/>
    <w:rsid w:val="00AE2CE0"/>
    <w:rsid w:val="00AE2DE0"/>
    <w:rsid w:val="00AE2E31"/>
    <w:rsid w:val="00AE2E3F"/>
    <w:rsid w:val="00AE2E5A"/>
    <w:rsid w:val="00AE2F5E"/>
    <w:rsid w:val="00AE2F60"/>
    <w:rsid w:val="00AE2FE4"/>
    <w:rsid w:val="00AE304D"/>
    <w:rsid w:val="00AE3066"/>
    <w:rsid w:val="00AE3072"/>
    <w:rsid w:val="00AE3094"/>
    <w:rsid w:val="00AE30B2"/>
    <w:rsid w:val="00AE31CB"/>
    <w:rsid w:val="00AE31E9"/>
    <w:rsid w:val="00AE3208"/>
    <w:rsid w:val="00AE322A"/>
    <w:rsid w:val="00AE3289"/>
    <w:rsid w:val="00AE32A2"/>
    <w:rsid w:val="00AE32D1"/>
    <w:rsid w:val="00AE3314"/>
    <w:rsid w:val="00AE331B"/>
    <w:rsid w:val="00AE336E"/>
    <w:rsid w:val="00AE338A"/>
    <w:rsid w:val="00AE33D9"/>
    <w:rsid w:val="00AE33E3"/>
    <w:rsid w:val="00AE33E6"/>
    <w:rsid w:val="00AE33EB"/>
    <w:rsid w:val="00AE33ED"/>
    <w:rsid w:val="00AE344D"/>
    <w:rsid w:val="00AE34BE"/>
    <w:rsid w:val="00AE34C4"/>
    <w:rsid w:val="00AE3527"/>
    <w:rsid w:val="00AE3561"/>
    <w:rsid w:val="00AE3570"/>
    <w:rsid w:val="00AE3597"/>
    <w:rsid w:val="00AE35A7"/>
    <w:rsid w:val="00AE35AD"/>
    <w:rsid w:val="00AE3616"/>
    <w:rsid w:val="00AE3626"/>
    <w:rsid w:val="00AE3628"/>
    <w:rsid w:val="00AE3686"/>
    <w:rsid w:val="00AE36BC"/>
    <w:rsid w:val="00AE36CB"/>
    <w:rsid w:val="00AE36DB"/>
    <w:rsid w:val="00AE3752"/>
    <w:rsid w:val="00AE3781"/>
    <w:rsid w:val="00AE378F"/>
    <w:rsid w:val="00AE37BA"/>
    <w:rsid w:val="00AE37E0"/>
    <w:rsid w:val="00AE37E5"/>
    <w:rsid w:val="00AE380A"/>
    <w:rsid w:val="00AE3830"/>
    <w:rsid w:val="00AE3838"/>
    <w:rsid w:val="00AE3885"/>
    <w:rsid w:val="00AE390A"/>
    <w:rsid w:val="00AE3941"/>
    <w:rsid w:val="00AE3960"/>
    <w:rsid w:val="00AE396B"/>
    <w:rsid w:val="00AE3989"/>
    <w:rsid w:val="00AE3995"/>
    <w:rsid w:val="00AE399B"/>
    <w:rsid w:val="00AE39B8"/>
    <w:rsid w:val="00AE39E6"/>
    <w:rsid w:val="00AE3A37"/>
    <w:rsid w:val="00AE3A9A"/>
    <w:rsid w:val="00AE3AD0"/>
    <w:rsid w:val="00AE3B34"/>
    <w:rsid w:val="00AE3B8C"/>
    <w:rsid w:val="00AE3BCD"/>
    <w:rsid w:val="00AE3C0D"/>
    <w:rsid w:val="00AE3C6C"/>
    <w:rsid w:val="00AE3C8C"/>
    <w:rsid w:val="00AE3CC1"/>
    <w:rsid w:val="00AE3CC4"/>
    <w:rsid w:val="00AE3D0B"/>
    <w:rsid w:val="00AE3D48"/>
    <w:rsid w:val="00AE3DA6"/>
    <w:rsid w:val="00AE3E2E"/>
    <w:rsid w:val="00AE3E36"/>
    <w:rsid w:val="00AE3E41"/>
    <w:rsid w:val="00AE3E52"/>
    <w:rsid w:val="00AE3E56"/>
    <w:rsid w:val="00AE3E6A"/>
    <w:rsid w:val="00AE3E91"/>
    <w:rsid w:val="00AE3E93"/>
    <w:rsid w:val="00AE3E9F"/>
    <w:rsid w:val="00AE3ECC"/>
    <w:rsid w:val="00AE3F4F"/>
    <w:rsid w:val="00AE3F57"/>
    <w:rsid w:val="00AE3F5B"/>
    <w:rsid w:val="00AE3FEF"/>
    <w:rsid w:val="00AE4002"/>
    <w:rsid w:val="00AE4042"/>
    <w:rsid w:val="00AE4046"/>
    <w:rsid w:val="00AE4051"/>
    <w:rsid w:val="00AE405F"/>
    <w:rsid w:val="00AE4080"/>
    <w:rsid w:val="00AE40A2"/>
    <w:rsid w:val="00AE40C9"/>
    <w:rsid w:val="00AE40EB"/>
    <w:rsid w:val="00AE410A"/>
    <w:rsid w:val="00AE4115"/>
    <w:rsid w:val="00AE4124"/>
    <w:rsid w:val="00AE41BB"/>
    <w:rsid w:val="00AE41E2"/>
    <w:rsid w:val="00AE41E4"/>
    <w:rsid w:val="00AE41F7"/>
    <w:rsid w:val="00AE4205"/>
    <w:rsid w:val="00AE428C"/>
    <w:rsid w:val="00AE429B"/>
    <w:rsid w:val="00AE42B7"/>
    <w:rsid w:val="00AE4377"/>
    <w:rsid w:val="00AE43EB"/>
    <w:rsid w:val="00AE4412"/>
    <w:rsid w:val="00AE4431"/>
    <w:rsid w:val="00AE4489"/>
    <w:rsid w:val="00AE44CD"/>
    <w:rsid w:val="00AE44D0"/>
    <w:rsid w:val="00AE44DF"/>
    <w:rsid w:val="00AE44E7"/>
    <w:rsid w:val="00AE4528"/>
    <w:rsid w:val="00AE4559"/>
    <w:rsid w:val="00AE4648"/>
    <w:rsid w:val="00AE464D"/>
    <w:rsid w:val="00AE46EA"/>
    <w:rsid w:val="00AE4728"/>
    <w:rsid w:val="00AE4737"/>
    <w:rsid w:val="00AE474C"/>
    <w:rsid w:val="00AE4773"/>
    <w:rsid w:val="00AE4799"/>
    <w:rsid w:val="00AE479E"/>
    <w:rsid w:val="00AE47C5"/>
    <w:rsid w:val="00AE4843"/>
    <w:rsid w:val="00AE4873"/>
    <w:rsid w:val="00AE4890"/>
    <w:rsid w:val="00AE48A8"/>
    <w:rsid w:val="00AE48E3"/>
    <w:rsid w:val="00AE492E"/>
    <w:rsid w:val="00AE4970"/>
    <w:rsid w:val="00AE49AA"/>
    <w:rsid w:val="00AE49AE"/>
    <w:rsid w:val="00AE49E8"/>
    <w:rsid w:val="00AE4A84"/>
    <w:rsid w:val="00AE4B0D"/>
    <w:rsid w:val="00AE4B3F"/>
    <w:rsid w:val="00AE4B5F"/>
    <w:rsid w:val="00AE4B8C"/>
    <w:rsid w:val="00AE4BA1"/>
    <w:rsid w:val="00AE4C4B"/>
    <w:rsid w:val="00AE4C52"/>
    <w:rsid w:val="00AE4C71"/>
    <w:rsid w:val="00AE4C89"/>
    <w:rsid w:val="00AE4CC6"/>
    <w:rsid w:val="00AE4CD0"/>
    <w:rsid w:val="00AE4CDB"/>
    <w:rsid w:val="00AE4D12"/>
    <w:rsid w:val="00AE4D67"/>
    <w:rsid w:val="00AE4D8E"/>
    <w:rsid w:val="00AE4D95"/>
    <w:rsid w:val="00AE4E03"/>
    <w:rsid w:val="00AE4F6C"/>
    <w:rsid w:val="00AE4FD5"/>
    <w:rsid w:val="00AE5020"/>
    <w:rsid w:val="00AE5035"/>
    <w:rsid w:val="00AE5049"/>
    <w:rsid w:val="00AE504F"/>
    <w:rsid w:val="00AE505D"/>
    <w:rsid w:val="00AE506C"/>
    <w:rsid w:val="00AE50BE"/>
    <w:rsid w:val="00AE5140"/>
    <w:rsid w:val="00AE515D"/>
    <w:rsid w:val="00AE5167"/>
    <w:rsid w:val="00AE51A3"/>
    <w:rsid w:val="00AE520C"/>
    <w:rsid w:val="00AE523A"/>
    <w:rsid w:val="00AE529F"/>
    <w:rsid w:val="00AE52AC"/>
    <w:rsid w:val="00AE53B3"/>
    <w:rsid w:val="00AE540D"/>
    <w:rsid w:val="00AE5485"/>
    <w:rsid w:val="00AE551C"/>
    <w:rsid w:val="00AE5548"/>
    <w:rsid w:val="00AE5558"/>
    <w:rsid w:val="00AE5561"/>
    <w:rsid w:val="00AE5577"/>
    <w:rsid w:val="00AE5589"/>
    <w:rsid w:val="00AE5593"/>
    <w:rsid w:val="00AE5599"/>
    <w:rsid w:val="00AE55B1"/>
    <w:rsid w:val="00AE55C3"/>
    <w:rsid w:val="00AE560C"/>
    <w:rsid w:val="00AE5610"/>
    <w:rsid w:val="00AE5671"/>
    <w:rsid w:val="00AE56A9"/>
    <w:rsid w:val="00AE56D3"/>
    <w:rsid w:val="00AE5718"/>
    <w:rsid w:val="00AE5779"/>
    <w:rsid w:val="00AE579D"/>
    <w:rsid w:val="00AE57FE"/>
    <w:rsid w:val="00AE58B8"/>
    <w:rsid w:val="00AE58BC"/>
    <w:rsid w:val="00AE58D4"/>
    <w:rsid w:val="00AE58FF"/>
    <w:rsid w:val="00AE592A"/>
    <w:rsid w:val="00AE59AE"/>
    <w:rsid w:val="00AE59AF"/>
    <w:rsid w:val="00AE59E8"/>
    <w:rsid w:val="00AE59F6"/>
    <w:rsid w:val="00AE5A0C"/>
    <w:rsid w:val="00AE5A0F"/>
    <w:rsid w:val="00AE5A10"/>
    <w:rsid w:val="00AE5A3D"/>
    <w:rsid w:val="00AE5A46"/>
    <w:rsid w:val="00AE5A9D"/>
    <w:rsid w:val="00AE5AEC"/>
    <w:rsid w:val="00AE5AED"/>
    <w:rsid w:val="00AE5B5D"/>
    <w:rsid w:val="00AE5BB2"/>
    <w:rsid w:val="00AE5BB7"/>
    <w:rsid w:val="00AE5BEF"/>
    <w:rsid w:val="00AE5C0F"/>
    <w:rsid w:val="00AE5C4F"/>
    <w:rsid w:val="00AE5C91"/>
    <w:rsid w:val="00AE5D63"/>
    <w:rsid w:val="00AE5D77"/>
    <w:rsid w:val="00AE5D7D"/>
    <w:rsid w:val="00AE5DAA"/>
    <w:rsid w:val="00AE5DB5"/>
    <w:rsid w:val="00AE5DC6"/>
    <w:rsid w:val="00AE5E37"/>
    <w:rsid w:val="00AE5EB2"/>
    <w:rsid w:val="00AE5EB6"/>
    <w:rsid w:val="00AE5EE8"/>
    <w:rsid w:val="00AE5F08"/>
    <w:rsid w:val="00AE5F33"/>
    <w:rsid w:val="00AE5F45"/>
    <w:rsid w:val="00AE5F67"/>
    <w:rsid w:val="00AE5FA7"/>
    <w:rsid w:val="00AE605D"/>
    <w:rsid w:val="00AE6095"/>
    <w:rsid w:val="00AE60FC"/>
    <w:rsid w:val="00AE6117"/>
    <w:rsid w:val="00AE6121"/>
    <w:rsid w:val="00AE6141"/>
    <w:rsid w:val="00AE616C"/>
    <w:rsid w:val="00AE61AA"/>
    <w:rsid w:val="00AE61C9"/>
    <w:rsid w:val="00AE625E"/>
    <w:rsid w:val="00AE62A0"/>
    <w:rsid w:val="00AE62FC"/>
    <w:rsid w:val="00AE6303"/>
    <w:rsid w:val="00AE641B"/>
    <w:rsid w:val="00AE6452"/>
    <w:rsid w:val="00AE647B"/>
    <w:rsid w:val="00AE650D"/>
    <w:rsid w:val="00AE651E"/>
    <w:rsid w:val="00AE652E"/>
    <w:rsid w:val="00AE6532"/>
    <w:rsid w:val="00AE6570"/>
    <w:rsid w:val="00AE6576"/>
    <w:rsid w:val="00AE65A4"/>
    <w:rsid w:val="00AE65C0"/>
    <w:rsid w:val="00AE666A"/>
    <w:rsid w:val="00AE667D"/>
    <w:rsid w:val="00AE66C5"/>
    <w:rsid w:val="00AE66EE"/>
    <w:rsid w:val="00AE6710"/>
    <w:rsid w:val="00AE67AF"/>
    <w:rsid w:val="00AE67BB"/>
    <w:rsid w:val="00AE67F8"/>
    <w:rsid w:val="00AE683A"/>
    <w:rsid w:val="00AE6868"/>
    <w:rsid w:val="00AE686C"/>
    <w:rsid w:val="00AE68EF"/>
    <w:rsid w:val="00AE692C"/>
    <w:rsid w:val="00AE692E"/>
    <w:rsid w:val="00AE6945"/>
    <w:rsid w:val="00AE6950"/>
    <w:rsid w:val="00AE69CE"/>
    <w:rsid w:val="00AE69F2"/>
    <w:rsid w:val="00AE6A2B"/>
    <w:rsid w:val="00AE6A7B"/>
    <w:rsid w:val="00AE6A8F"/>
    <w:rsid w:val="00AE6ADE"/>
    <w:rsid w:val="00AE6AF8"/>
    <w:rsid w:val="00AE6B23"/>
    <w:rsid w:val="00AE6B3E"/>
    <w:rsid w:val="00AE6B55"/>
    <w:rsid w:val="00AE6B63"/>
    <w:rsid w:val="00AE6B80"/>
    <w:rsid w:val="00AE6BDB"/>
    <w:rsid w:val="00AE6BE6"/>
    <w:rsid w:val="00AE6C63"/>
    <w:rsid w:val="00AE6C6E"/>
    <w:rsid w:val="00AE6D36"/>
    <w:rsid w:val="00AE6D9A"/>
    <w:rsid w:val="00AE6DAF"/>
    <w:rsid w:val="00AE6DD9"/>
    <w:rsid w:val="00AE6E2D"/>
    <w:rsid w:val="00AE6E5A"/>
    <w:rsid w:val="00AE6E6A"/>
    <w:rsid w:val="00AE6E91"/>
    <w:rsid w:val="00AE6EAD"/>
    <w:rsid w:val="00AE6EB9"/>
    <w:rsid w:val="00AE6EDF"/>
    <w:rsid w:val="00AE6F07"/>
    <w:rsid w:val="00AE6F5D"/>
    <w:rsid w:val="00AE6FC6"/>
    <w:rsid w:val="00AE6FF1"/>
    <w:rsid w:val="00AE7028"/>
    <w:rsid w:val="00AE7068"/>
    <w:rsid w:val="00AE70B3"/>
    <w:rsid w:val="00AE70F2"/>
    <w:rsid w:val="00AE711F"/>
    <w:rsid w:val="00AE714F"/>
    <w:rsid w:val="00AE71C3"/>
    <w:rsid w:val="00AE71CB"/>
    <w:rsid w:val="00AE7236"/>
    <w:rsid w:val="00AE7256"/>
    <w:rsid w:val="00AE7281"/>
    <w:rsid w:val="00AE7313"/>
    <w:rsid w:val="00AE7340"/>
    <w:rsid w:val="00AE7349"/>
    <w:rsid w:val="00AE7357"/>
    <w:rsid w:val="00AE73C1"/>
    <w:rsid w:val="00AE73EB"/>
    <w:rsid w:val="00AE7411"/>
    <w:rsid w:val="00AE7443"/>
    <w:rsid w:val="00AE7459"/>
    <w:rsid w:val="00AE7511"/>
    <w:rsid w:val="00AE7524"/>
    <w:rsid w:val="00AE7541"/>
    <w:rsid w:val="00AE7555"/>
    <w:rsid w:val="00AE75AE"/>
    <w:rsid w:val="00AE75F7"/>
    <w:rsid w:val="00AE7602"/>
    <w:rsid w:val="00AE7606"/>
    <w:rsid w:val="00AE7661"/>
    <w:rsid w:val="00AE768F"/>
    <w:rsid w:val="00AE7693"/>
    <w:rsid w:val="00AE76A9"/>
    <w:rsid w:val="00AE776A"/>
    <w:rsid w:val="00AE7774"/>
    <w:rsid w:val="00AE7819"/>
    <w:rsid w:val="00AE7825"/>
    <w:rsid w:val="00AE783E"/>
    <w:rsid w:val="00AE7845"/>
    <w:rsid w:val="00AE78B6"/>
    <w:rsid w:val="00AE78EA"/>
    <w:rsid w:val="00AE78FB"/>
    <w:rsid w:val="00AE78FE"/>
    <w:rsid w:val="00AE798E"/>
    <w:rsid w:val="00AE7A0D"/>
    <w:rsid w:val="00AE7A69"/>
    <w:rsid w:val="00AE7A76"/>
    <w:rsid w:val="00AE7AA3"/>
    <w:rsid w:val="00AE7AB1"/>
    <w:rsid w:val="00AE7B19"/>
    <w:rsid w:val="00AE7B2B"/>
    <w:rsid w:val="00AE7B89"/>
    <w:rsid w:val="00AE7B99"/>
    <w:rsid w:val="00AE7C32"/>
    <w:rsid w:val="00AE7C3A"/>
    <w:rsid w:val="00AE7C3E"/>
    <w:rsid w:val="00AE7C6D"/>
    <w:rsid w:val="00AE7CE1"/>
    <w:rsid w:val="00AE7D1E"/>
    <w:rsid w:val="00AE7D76"/>
    <w:rsid w:val="00AE7D87"/>
    <w:rsid w:val="00AE7DA6"/>
    <w:rsid w:val="00AE7DC2"/>
    <w:rsid w:val="00AE7DD0"/>
    <w:rsid w:val="00AE7DDD"/>
    <w:rsid w:val="00AE7E24"/>
    <w:rsid w:val="00AE7ED8"/>
    <w:rsid w:val="00AE7EF7"/>
    <w:rsid w:val="00AE7F98"/>
    <w:rsid w:val="00AF0058"/>
    <w:rsid w:val="00AF006F"/>
    <w:rsid w:val="00AF0070"/>
    <w:rsid w:val="00AF00A4"/>
    <w:rsid w:val="00AF013D"/>
    <w:rsid w:val="00AF0141"/>
    <w:rsid w:val="00AF0187"/>
    <w:rsid w:val="00AF0192"/>
    <w:rsid w:val="00AF019A"/>
    <w:rsid w:val="00AF024F"/>
    <w:rsid w:val="00AF0280"/>
    <w:rsid w:val="00AF0292"/>
    <w:rsid w:val="00AF02C2"/>
    <w:rsid w:val="00AF0321"/>
    <w:rsid w:val="00AF032B"/>
    <w:rsid w:val="00AF034A"/>
    <w:rsid w:val="00AF038A"/>
    <w:rsid w:val="00AF04C0"/>
    <w:rsid w:val="00AF04FC"/>
    <w:rsid w:val="00AF04FD"/>
    <w:rsid w:val="00AF0503"/>
    <w:rsid w:val="00AF056E"/>
    <w:rsid w:val="00AF059D"/>
    <w:rsid w:val="00AF05FE"/>
    <w:rsid w:val="00AF0612"/>
    <w:rsid w:val="00AF062B"/>
    <w:rsid w:val="00AF064F"/>
    <w:rsid w:val="00AF06A9"/>
    <w:rsid w:val="00AF06B2"/>
    <w:rsid w:val="00AF06FB"/>
    <w:rsid w:val="00AF075F"/>
    <w:rsid w:val="00AF07C7"/>
    <w:rsid w:val="00AF07CB"/>
    <w:rsid w:val="00AF07E5"/>
    <w:rsid w:val="00AF07EB"/>
    <w:rsid w:val="00AF07FF"/>
    <w:rsid w:val="00AF0810"/>
    <w:rsid w:val="00AF0899"/>
    <w:rsid w:val="00AF08CF"/>
    <w:rsid w:val="00AF08D4"/>
    <w:rsid w:val="00AF08DB"/>
    <w:rsid w:val="00AF09E1"/>
    <w:rsid w:val="00AF0A69"/>
    <w:rsid w:val="00AF0ACE"/>
    <w:rsid w:val="00AF0AE9"/>
    <w:rsid w:val="00AF0AED"/>
    <w:rsid w:val="00AF0AF9"/>
    <w:rsid w:val="00AF0B00"/>
    <w:rsid w:val="00AF0B0B"/>
    <w:rsid w:val="00AF0B20"/>
    <w:rsid w:val="00AF0B94"/>
    <w:rsid w:val="00AF0BE1"/>
    <w:rsid w:val="00AF0C50"/>
    <w:rsid w:val="00AF0C7E"/>
    <w:rsid w:val="00AF0C8C"/>
    <w:rsid w:val="00AF0CD4"/>
    <w:rsid w:val="00AF0D55"/>
    <w:rsid w:val="00AF0D6A"/>
    <w:rsid w:val="00AF0DA2"/>
    <w:rsid w:val="00AF0DB6"/>
    <w:rsid w:val="00AF0DB8"/>
    <w:rsid w:val="00AF0E0D"/>
    <w:rsid w:val="00AF0EB4"/>
    <w:rsid w:val="00AF0ED3"/>
    <w:rsid w:val="00AF0EEE"/>
    <w:rsid w:val="00AF0EF1"/>
    <w:rsid w:val="00AF107F"/>
    <w:rsid w:val="00AF1089"/>
    <w:rsid w:val="00AF10A3"/>
    <w:rsid w:val="00AF10AC"/>
    <w:rsid w:val="00AF10B5"/>
    <w:rsid w:val="00AF10E8"/>
    <w:rsid w:val="00AF110B"/>
    <w:rsid w:val="00AF112D"/>
    <w:rsid w:val="00AF113C"/>
    <w:rsid w:val="00AF1170"/>
    <w:rsid w:val="00AF11C7"/>
    <w:rsid w:val="00AF122E"/>
    <w:rsid w:val="00AF1249"/>
    <w:rsid w:val="00AF1261"/>
    <w:rsid w:val="00AF12CB"/>
    <w:rsid w:val="00AF12CE"/>
    <w:rsid w:val="00AF12F8"/>
    <w:rsid w:val="00AF1365"/>
    <w:rsid w:val="00AF136F"/>
    <w:rsid w:val="00AF13A2"/>
    <w:rsid w:val="00AF13B0"/>
    <w:rsid w:val="00AF13DE"/>
    <w:rsid w:val="00AF1422"/>
    <w:rsid w:val="00AF142A"/>
    <w:rsid w:val="00AF1452"/>
    <w:rsid w:val="00AF14AC"/>
    <w:rsid w:val="00AF14B7"/>
    <w:rsid w:val="00AF14F2"/>
    <w:rsid w:val="00AF1579"/>
    <w:rsid w:val="00AF15F4"/>
    <w:rsid w:val="00AF1664"/>
    <w:rsid w:val="00AF16A7"/>
    <w:rsid w:val="00AF16A8"/>
    <w:rsid w:val="00AF16F8"/>
    <w:rsid w:val="00AF1753"/>
    <w:rsid w:val="00AF1770"/>
    <w:rsid w:val="00AF1785"/>
    <w:rsid w:val="00AF17C4"/>
    <w:rsid w:val="00AF17D4"/>
    <w:rsid w:val="00AF17EE"/>
    <w:rsid w:val="00AF17F5"/>
    <w:rsid w:val="00AF1862"/>
    <w:rsid w:val="00AF1866"/>
    <w:rsid w:val="00AF188B"/>
    <w:rsid w:val="00AF18D2"/>
    <w:rsid w:val="00AF18ED"/>
    <w:rsid w:val="00AF191C"/>
    <w:rsid w:val="00AF194C"/>
    <w:rsid w:val="00AF1963"/>
    <w:rsid w:val="00AF19A9"/>
    <w:rsid w:val="00AF19EF"/>
    <w:rsid w:val="00AF1A31"/>
    <w:rsid w:val="00AF1A41"/>
    <w:rsid w:val="00AF1A9B"/>
    <w:rsid w:val="00AF1AE9"/>
    <w:rsid w:val="00AF1AFC"/>
    <w:rsid w:val="00AF1B45"/>
    <w:rsid w:val="00AF1B64"/>
    <w:rsid w:val="00AF1BA3"/>
    <w:rsid w:val="00AF1BF6"/>
    <w:rsid w:val="00AF1C43"/>
    <w:rsid w:val="00AF1C90"/>
    <w:rsid w:val="00AF1C9B"/>
    <w:rsid w:val="00AF1CBC"/>
    <w:rsid w:val="00AF1CDD"/>
    <w:rsid w:val="00AF1CFC"/>
    <w:rsid w:val="00AF1D03"/>
    <w:rsid w:val="00AF1D53"/>
    <w:rsid w:val="00AF1D57"/>
    <w:rsid w:val="00AF1D90"/>
    <w:rsid w:val="00AF1E67"/>
    <w:rsid w:val="00AF1E96"/>
    <w:rsid w:val="00AF1E99"/>
    <w:rsid w:val="00AF1EA0"/>
    <w:rsid w:val="00AF1EB0"/>
    <w:rsid w:val="00AF1EBC"/>
    <w:rsid w:val="00AF1ED0"/>
    <w:rsid w:val="00AF1EE5"/>
    <w:rsid w:val="00AF1F27"/>
    <w:rsid w:val="00AF1FBB"/>
    <w:rsid w:val="00AF2009"/>
    <w:rsid w:val="00AF2022"/>
    <w:rsid w:val="00AF20A0"/>
    <w:rsid w:val="00AF20AD"/>
    <w:rsid w:val="00AF20C4"/>
    <w:rsid w:val="00AF2146"/>
    <w:rsid w:val="00AF2151"/>
    <w:rsid w:val="00AF21A6"/>
    <w:rsid w:val="00AF21C7"/>
    <w:rsid w:val="00AF21EB"/>
    <w:rsid w:val="00AF224C"/>
    <w:rsid w:val="00AF2251"/>
    <w:rsid w:val="00AF229A"/>
    <w:rsid w:val="00AF22A6"/>
    <w:rsid w:val="00AF22C9"/>
    <w:rsid w:val="00AF22F6"/>
    <w:rsid w:val="00AF2312"/>
    <w:rsid w:val="00AF235F"/>
    <w:rsid w:val="00AF246A"/>
    <w:rsid w:val="00AF24B7"/>
    <w:rsid w:val="00AF24B8"/>
    <w:rsid w:val="00AF24CF"/>
    <w:rsid w:val="00AF259B"/>
    <w:rsid w:val="00AF25C8"/>
    <w:rsid w:val="00AF264B"/>
    <w:rsid w:val="00AF2650"/>
    <w:rsid w:val="00AF2727"/>
    <w:rsid w:val="00AF273C"/>
    <w:rsid w:val="00AF2759"/>
    <w:rsid w:val="00AF2766"/>
    <w:rsid w:val="00AF285A"/>
    <w:rsid w:val="00AF2867"/>
    <w:rsid w:val="00AF286A"/>
    <w:rsid w:val="00AF287A"/>
    <w:rsid w:val="00AF2913"/>
    <w:rsid w:val="00AF293F"/>
    <w:rsid w:val="00AF2976"/>
    <w:rsid w:val="00AF29B6"/>
    <w:rsid w:val="00AF29E9"/>
    <w:rsid w:val="00AF29FF"/>
    <w:rsid w:val="00AF2A1A"/>
    <w:rsid w:val="00AF2B12"/>
    <w:rsid w:val="00AF2B33"/>
    <w:rsid w:val="00AF2B79"/>
    <w:rsid w:val="00AF2C0B"/>
    <w:rsid w:val="00AF2C17"/>
    <w:rsid w:val="00AF2C1B"/>
    <w:rsid w:val="00AF2C7B"/>
    <w:rsid w:val="00AF2C82"/>
    <w:rsid w:val="00AF2CC6"/>
    <w:rsid w:val="00AF2CEB"/>
    <w:rsid w:val="00AF2D4E"/>
    <w:rsid w:val="00AF2D72"/>
    <w:rsid w:val="00AF2DA2"/>
    <w:rsid w:val="00AF2E07"/>
    <w:rsid w:val="00AF2E4B"/>
    <w:rsid w:val="00AF2E4E"/>
    <w:rsid w:val="00AF2E82"/>
    <w:rsid w:val="00AF2EDB"/>
    <w:rsid w:val="00AF2F30"/>
    <w:rsid w:val="00AF2F96"/>
    <w:rsid w:val="00AF2F9B"/>
    <w:rsid w:val="00AF2FB9"/>
    <w:rsid w:val="00AF3025"/>
    <w:rsid w:val="00AF302A"/>
    <w:rsid w:val="00AF3049"/>
    <w:rsid w:val="00AF3065"/>
    <w:rsid w:val="00AF307D"/>
    <w:rsid w:val="00AF30FD"/>
    <w:rsid w:val="00AF314E"/>
    <w:rsid w:val="00AF3156"/>
    <w:rsid w:val="00AF316D"/>
    <w:rsid w:val="00AF318B"/>
    <w:rsid w:val="00AF31A6"/>
    <w:rsid w:val="00AF31D5"/>
    <w:rsid w:val="00AF3250"/>
    <w:rsid w:val="00AF3281"/>
    <w:rsid w:val="00AF32B1"/>
    <w:rsid w:val="00AF32B5"/>
    <w:rsid w:val="00AF3334"/>
    <w:rsid w:val="00AF336E"/>
    <w:rsid w:val="00AF345B"/>
    <w:rsid w:val="00AF3499"/>
    <w:rsid w:val="00AF349F"/>
    <w:rsid w:val="00AF34AF"/>
    <w:rsid w:val="00AF34B0"/>
    <w:rsid w:val="00AF34EA"/>
    <w:rsid w:val="00AF34FA"/>
    <w:rsid w:val="00AF3522"/>
    <w:rsid w:val="00AF3532"/>
    <w:rsid w:val="00AF3588"/>
    <w:rsid w:val="00AF35D8"/>
    <w:rsid w:val="00AF35EA"/>
    <w:rsid w:val="00AF361F"/>
    <w:rsid w:val="00AF3621"/>
    <w:rsid w:val="00AF3651"/>
    <w:rsid w:val="00AF3666"/>
    <w:rsid w:val="00AF36A4"/>
    <w:rsid w:val="00AF36B1"/>
    <w:rsid w:val="00AF36D4"/>
    <w:rsid w:val="00AF36DB"/>
    <w:rsid w:val="00AF36ED"/>
    <w:rsid w:val="00AF374B"/>
    <w:rsid w:val="00AF37B9"/>
    <w:rsid w:val="00AF3827"/>
    <w:rsid w:val="00AF38DF"/>
    <w:rsid w:val="00AF3948"/>
    <w:rsid w:val="00AF3963"/>
    <w:rsid w:val="00AF3981"/>
    <w:rsid w:val="00AF39CB"/>
    <w:rsid w:val="00AF3A0C"/>
    <w:rsid w:val="00AF3A3F"/>
    <w:rsid w:val="00AF3A40"/>
    <w:rsid w:val="00AF3A77"/>
    <w:rsid w:val="00AF3AC6"/>
    <w:rsid w:val="00AF3ACA"/>
    <w:rsid w:val="00AF3AEA"/>
    <w:rsid w:val="00AF3AFE"/>
    <w:rsid w:val="00AF3B11"/>
    <w:rsid w:val="00AF3B2B"/>
    <w:rsid w:val="00AF3BA6"/>
    <w:rsid w:val="00AF3BB2"/>
    <w:rsid w:val="00AF3BCE"/>
    <w:rsid w:val="00AF3BD5"/>
    <w:rsid w:val="00AF3C28"/>
    <w:rsid w:val="00AF3C7B"/>
    <w:rsid w:val="00AF3CA1"/>
    <w:rsid w:val="00AF3CED"/>
    <w:rsid w:val="00AF3D5A"/>
    <w:rsid w:val="00AF3D61"/>
    <w:rsid w:val="00AF3DA6"/>
    <w:rsid w:val="00AF3DED"/>
    <w:rsid w:val="00AF3DF5"/>
    <w:rsid w:val="00AF3E30"/>
    <w:rsid w:val="00AF3EE9"/>
    <w:rsid w:val="00AF3F1C"/>
    <w:rsid w:val="00AF3FA2"/>
    <w:rsid w:val="00AF3FA3"/>
    <w:rsid w:val="00AF3FBB"/>
    <w:rsid w:val="00AF40D8"/>
    <w:rsid w:val="00AF4109"/>
    <w:rsid w:val="00AF412E"/>
    <w:rsid w:val="00AF4153"/>
    <w:rsid w:val="00AF416E"/>
    <w:rsid w:val="00AF4186"/>
    <w:rsid w:val="00AF418B"/>
    <w:rsid w:val="00AF4196"/>
    <w:rsid w:val="00AF41C9"/>
    <w:rsid w:val="00AF41D1"/>
    <w:rsid w:val="00AF41F3"/>
    <w:rsid w:val="00AF420D"/>
    <w:rsid w:val="00AF42FA"/>
    <w:rsid w:val="00AF436F"/>
    <w:rsid w:val="00AF4387"/>
    <w:rsid w:val="00AF43B1"/>
    <w:rsid w:val="00AF43EB"/>
    <w:rsid w:val="00AF4498"/>
    <w:rsid w:val="00AF449F"/>
    <w:rsid w:val="00AF44BC"/>
    <w:rsid w:val="00AF44FB"/>
    <w:rsid w:val="00AF4548"/>
    <w:rsid w:val="00AF454D"/>
    <w:rsid w:val="00AF456F"/>
    <w:rsid w:val="00AF4601"/>
    <w:rsid w:val="00AF4630"/>
    <w:rsid w:val="00AF4680"/>
    <w:rsid w:val="00AF4727"/>
    <w:rsid w:val="00AF475C"/>
    <w:rsid w:val="00AF4787"/>
    <w:rsid w:val="00AF479A"/>
    <w:rsid w:val="00AF47B9"/>
    <w:rsid w:val="00AF47C2"/>
    <w:rsid w:val="00AF47F0"/>
    <w:rsid w:val="00AF481F"/>
    <w:rsid w:val="00AF483E"/>
    <w:rsid w:val="00AF4873"/>
    <w:rsid w:val="00AF4875"/>
    <w:rsid w:val="00AF488D"/>
    <w:rsid w:val="00AF48F5"/>
    <w:rsid w:val="00AF4904"/>
    <w:rsid w:val="00AF4920"/>
    <w:rsid w:val="00AF4968"/>
    <w:rsid w:val="00AF4970"/>
    <w:rsid w:val="00AF49B8"/>
    <w:rsid w:val="00AF49C1"/>
    <w:rsid w:val="00AF4AA4"/>
    <w:rsid w:val="00AF4ADD"/>
    <w:rsid w:val="00AF4B09"/>
    <w:rsid w:val="00AF4B2B"/>
    <w:rsid w:val="00AF4BB0"/>
    <w:rsid w:val="00AF4BD4"/>
    <w:rsid w:val="00AF4BF2"/>
    <w:rsid w:val="00AF4BF4"/>
    <w:rsid w:val="00AF4C0D"/>
    <w:rsid w:val="00AF4C3C"/>
    <w:rsid w:val="00AF4C49"/>
    <w:rsid w:val="00AF4C5E"/>
    <w:rsid w:val="00AF4C6D"/>
    <w:rsid w:val="00AF4C9D"/>
    <w:rsid w:val="00AF4CB6"/>
    <w:rsid w:val="00AF4CF0"/>
    <w:rsid w:val="00AF4CF5"/>
    <w:rsid w:val="00AF4CF6"/>
    <w:rsid w:val="00AF4D28"/>
    <w:rsid w:val="00AF4D3D"/>
    <w:rsid w:val="00AF4D6D"/>
    <w:rsid w:val="00AF4DAD"/>
    <w:rsid w:val="00AF4DB7"/>
    <w:rsid w:val="00AF4DD2"/>
    <w:rsid w:val="00AF4E01"/>
    <w:rsid w:val="00AF4E13"/>
    <w:rsid w:val="00AF4E28"/>
    <w:rsid w:val="00AF4E9C"/>
    <w:rsid w:val="00AF4F17"/>
    <w:rsid w:val="00AF4F5D"/>
    <w:rsid w:val="00AF4F8D"/>
    <w:rsid w:val="00AF4F9C"/>
    <w:rsid w:val="00AF4FD4"/>
    <w:rsid w:val="00AF5038"/>
    <w:rsid w:val="00AF5042"/>
    <w:rsid w:val="00AF5089"/>
    <w:rsid w:val="00AF50DA"/>
    <w:rsid w:val="00AF50F6"/>
    <w:rsid w:val="00AF51BF"/>
    <w:rsid w:val="00AF520A"/>
    <w:rsid w:val="00AF5261"/>
    <w:rsid w:val="00AF5263"/>
    <w:rsid w:val="00AF528C"/>
    <w:rsid w:val="00AF52D9"/>
    <w:rsid w:val="00AF52DC"/>
    <w:rsid w:val="00AF52F5"/>
    <w:rsid w:val="00AF5319"/>
    <w:rsid w:val="00AF531C"/>
    <w:rsid w:val="00AF534D"/>
    <w:rsid w:val="00AF535E"/>
    <w:rsid w:val="00AF5391"/>
    <w:rsid w:val="00AF53D9"/>
    <w:rsid w:val="00AF5490"/>
    <w:rsid w:val="00AF54B6"/>
    <w:rsid w:val="00AF54F8"/>
    <w:rsid w:val="00AF556D"/>
    <w:rsid w:val="00AF55A2"/>
    <w:rsid w:val="00AF55AD"/>
    <w:rsid w:val="00AF55C3"/>
    <w:rsid w:val="00AF5605"/>
    <w:rsid w:val="00AF56BE"/>
    <w:rsid w:val="00AF5703"/>
    <w:rsid w:val="00AF5781"/>
    <w:rsid w:val="00AF57B1"/>
    <w:rsid w:val="00AF57B8"/>
    <w:rsid w:val="00AF57C1"/>
    <w:rsid w:val="00AF5800"/>
    <w:rsid w:val="00AF5837"/>
    <w:rsid w:val="00AF5887"/>
    <w:rsid w:val="00AF58DB"/>
    <w:rsid w:val="00AF590F"/>
    <w:rsid w:val="00AF5A96"/>
    <w:rsid w:val="00AF5AC7"/>
    <w:rsid w:val="00AF5ACF"/>
    <w:rsid w:val="00AF5AE4"/>
    <w:rsid w:val="00AF5B0A"/>
    <w:rsid w:val="00AF5B61"/>
    <w:rsid w:val="00AF5BF6"/>
    <w:rsid w:val="00AF5C4A"/>
    <w:rsid w:val="00AF5D0B"/>
    <w:rsid w:val="00AF5D26"/>
    <w:rsid w:val="00AF5D6D"/>
    <w:rsid w:val="00AF5DC6"/>
    <w:rsid w:val="00AF5DE8"/>
    <w:rsid w:val="00AF5E18"/>
    <w:rsid w:val="00AF5E72"/>
    <w:rsid w:val="00AF5E77"/>
    <w:rsid w:val="00AF5E87"/>
    <w:rsid w:val="00AF5EDC"/>
    <w:rsid w:val="00AF5EE0"/>
    <w:rsid w:val="00AF5EF1"/>
    <w:rsid w:val="00AF5F11"/>
    <w:rsid w:val="00AF5F1A"/>
    <w:rsid w:val="00AF5F5C"/>
    <w:rsid w:val="00AF5FDD"/>
    <w:rsid w:val="00AF5FE0"/>
    <w:rsid w:val="00AF5FE6"/>
    <w:rsid w:val="00AF6001"/>
    <w:rsid w:val="00AF602F"/>
    <w:rsid w:val="00AF606E"/>
    <w:rsid w:val="00AF6077"/>
    <w:rsid w:val="00AF60CA"/>
    <w:rsid w:val="00AF60E4"/>
    <w:rsid w:val="00AF6149"/>
    <w:rsid w:val="00AF6193"/>
    <w:rsid w:val="00AF619A"/>
    <w:rsid w:val="00AF61DC"/>
    <w:rsid w:val="00AF6208"/>
    <w:rsid w:val="00AF6242"/>
    <w:rsid w:val="00AF62AE"/>
    <w:rsid w:val="00AF631A"/>
    <w:rsid w:val="00AF6333"/>
    <w:rsid w:val="00AF634D"/>
    <w:rsid w:val="00AF6389"/>
    <w:rsid w:val="00AF638B"/>
    <w:rsid w:val="00AF6395"/>
    <w:rsid w:val="00AF63A5"/>
    <w:rsid w:val="00AF63A6"/>
    <w:rsid w:val="00AF63BD"/>
    <w:rsid w:val="00AF6426"/>
    <w:rsid w:val="00AF6471"/>
    <w:rsid w:val="00AF64B4"/>
    <w:rsid w:val="00AF64E6"/>
    <w:rsid w:val="00AF651E"/>
    <w:rsid w:val="00AF6568"/>
    <w:rsid w:val="00AF658D"/>
    <w:rsid w:val="00AF65C0"/>
    <w:rsid w:val="00AF65C1"/>
    <w:rsid w:val="00AF65E7"/>
    <w:rsid w:val="00AF660C"/>
    <w:rsid w:val="00AF6746"/>
    <w:rsid w:val="00AF676B"/>
    <w:rsid w:val="00AF677B"/>
    <w:rsid w:val="00AF67C0"/>
    <w:rsid w:val="00AF67E1"/>
    <w:rsid w:val="00AF67FE"/>
    <w:rsid w:val="00AF6856"/>
    <w:rsid w:val="00AF6873"/>
    <w:rsid w:val="00AF689F"/>
    <w:rsid w:val="00AF6917"/>
    <w:rsid w:val="00AF6936"/>
    <w:rsid w:val="00AF693A"/>
    <w:rsid w:val="00AF6998"/>
    <w:rsid w:val="00AF69B8"/>
    <w:rsid w:val="00AF69CC"/>
    <w:rsid w:val="00AF6A15"/>
    <w:rsid w:val="00AF6A21"/>
    <w:rsid w:val="00AF6A24"/>
    <w:rsid w:val="00AF6A45"/>
    <w:rsid w:val="00AF6A5B"/>
    <w:rsid w:val="00AF6A6F"/>
    <w:rsid w:val="00AF6AB6"/>
    <w:rsid w:val="00AF6ADC"/>
    <w:rsid w:val="00AF6B1A"/>
    <w:rsid w:val="00AF6B33"/>
    <w:rsid w:val="00AF6B63"/>
    <w:rsid w:val="00AF6BBC"/>
    <w:rsid w:val="00AF6BF0"/>
    <w:rsid w:val="00AF6C20"/>
    <w:rsid w:val="00AF6C4F"/>
    <w:rsid w:val="00AF6C5F"/>
    <w:rsid w:val="00AF6CAA"/>
    <w:rsid w:val="00AF6CD2"/>
    <w:rsid w:val="00AF6D5F"/>
    <w:rsid w:val="00AF6DA1"/>
    <w:rsid w:val="00AF6DEB"/>
    <w:rsid w:val="00AF6E09"/>
    <w:rsid w:val="00AF6E2F"/>
    <w:rsid w:val="00AF6E33"/>
    <w:rsid w:val="00AF6E4B"/>
    <w:rsid w:val="00AF6EAE"/>
    <w:rsid w:val="00AF6EEC"/>
    <w:rsid w:val="00AF6F0C"/>
    <w:rsid w:val="00AF6F5A"/>
    <w:rsid w:val="00AF6FB2"/>
    <w:rsid w:val="00AF6FD9"/>
    <w:rsid w:val="00AF6FE5"/>
    <w:rsid w:val="00AF7038"/>
    <w:rsid w:val="00AF705F"/>
    <w:rsid w:val="00AF7118"/>
    <w:rsid w:val="00AF713E"/>
    <w:rsid w:val="00AF715C"/>
    <w:rsid w:val="00AF715E"/>
    <w:rsid w:val="00AF71E1"/>
    <w:rsid w:val="00AF727E"/>
    <w:rsid w:val="00AF72F3"/>
    <w:rsid w:val="00AF7351"/>
    <w:rsid w:val="00AF7378"/>
    <w:rsid w:val="00AF7386"/>
    <w:rsid w:val="00AF73AD"/>
    <w:rsid w:val="00AF73D6"/>
    <w:rsid w:val="00AF73DF"/>
    <w:rsid w:val="00AF73EA"/>
    <w:rsid w:val="00AF73F1"/>
    <w:rsid w:val="00AF742D"/>
    <w:rsid w:val="00AF7463"/>
    <w:rsid w:val="00AF74BE"/>
    <w:rsid w:val="00AF74F1"/>
    <w:rsid w:val="00AF7540"/>
    <w:rsid w:val="00AF7552"/>
    <w:rsid w:val="00AF756F"/>
    <w:rsid w:val="00AF760F"/>
    <w:rsid w:val="00AF7624"/>
    <w:rsid w:val="00AF7679"/>
    <w:rsid w:val="00AF7692"/>
    <w:rsid w:val="00AF76A0"/>
    <w:rsid w:val="00AF76A1"/>
    <w:rsid w:val="00AF76AA"/>
    <w:rsid w:val="00AF76BF"/>
    <w:rsid w:val="00AF76D7"/>
    <w:rsid w:val="00AF777D"/>
    <w:rsid w:val="00AF788C"/>
    <w:rsid w:val="00AF788F"/>
    <w:rsid w:val="00AF78DB"/>
    <w:rsid w:val="00AF7916"/>
    <w:rsid w:val="00AF792A"/>
    <w:rsid w:val="00AF794F"/>
    <w:rsid w:val="00AF79A4"/>
    <w:rsid w:val="00AF79AE"/>
    <w:rsid w:val="00AF79E2"/>
    <w:rsid w:val="00AF79E8"/>
    <w:rsid w:val="00AF7A30"/>
    <w:rsid w:val="00AF7A36"/>
    <w:rsid w:val="00AF7A48"/>
    <w:rsid w:val="00AF7A8F"/>
    <w:rsid w:val="00AF7B88"/>
    <w:rsid w:val="00AF7BB6"/>
    <w:rsid w:val="00AF7BDD"/>
    <w:rsid w:val="00AF7C8E"/>
    <w:rsid w:val="00AF7C92"/>
    <w:rsid w:val="00AF7CD2"/>
    <w:rsid w:val="00AF7CD3"/>
    <w:rsid w:val="00AF7CE0"/>
    <w:rsid w:val="00AF7CEE"/>
    <w:rsid w:val="00AF7CEF"/>
    <w:rsid w:val="00AF7CF8"/>
    <w:rsid w:val="00AF7CFE"/>
    <w:rsid w:val="00AF7D10"/>
    <w:rsid w:val="00AF7D1D"/>
    <w:rsid w:val="00AF7D22"/>
    <w:rsid w:val="00AF7D43"/>
    <w:rsid w:val="00AF7D59"/>
    <w:rsid w:val="00AF7DB9"/>
    <w:rsid w:val="00AF7DCA"/>
    <w:rsid w:val="00AF7DCC"/>
    <w:rsid w:val="00AF7DCF"/>
    <w:rsid w:val="00AF7DEE"/>
    <w:rsid w:val="00AF7E6B"/>
    <w:rsid w:val="00AF7E9C"/>
    <w:rsid w:val="00AF7F69"/>
    <w:rsid w:val="00AF7F97"/>
    <w:rsid w:val="00AF7FD8"/>
    <w:rsid w:val="00AF7FF3"/>
    <w:rsid w:val="00B00056"/>
    <w:rsid w:val="00B0005A"/>
    <w:rsid w:val="00B0009A"/>
    <w:rsid w:val="00B000C5"/>
    <w:rsid w:val="00B00179"/>
    <w:rsid w:val="00B001DD"/>
    <w:rsid w:val="00B0028A"/>
    <w:rsid w:val="00B0029F"/>
    <w:rsid w:val="00B002FA"/>
    <w:rsid w:val="00B0035F"/>
    <w:rsid w:val="00B0037E"/>
    <w:rsid w:val="00B00394"/>
    <w:rsid w:val="00B003E4"/>
    <w:rsid w:val="00B0044C"/>
    <w:rsid w:val="00B00500"/>
    <w:rsid w:val="00B0055C"/>
    <w:rsid w:val="00B0058E"/>
    <w:rsid w:val="00B005AC"/>
    <w:rsid w:val="00B005FF"/>
    <w:rsid w:val="00B00639"/>
    <w:rsid w:val="00B0066A"/>
    <w:rsid w:val="00B0069A"/>
    <w:rsid w:val="00B006E6"/>
    <w:rsid w:val="00B006F3"/>
    <w:rsid w:val="00B0075D"/>
    <w:rsid w:val="00B007A7"/>
    <w:rsid w:val="00B007EC"/>
    <w:rsid w:val="00B0082F"/>
    <w:rsid w:val="00B00862"/>
    <w:rsid w:val="00B008D8"/>
    <w:rsid w:val="00B008DB"/>
    <w:rsid w:val="00B00945"/>
    <w:rsid w:val="00B0095D"/>
    <w:rsid w:val="00B009A9"/>
    <w:rsid w:val="00B009C7"/>
    <w:rsid w:val="00B00AD3"/>
    <w:rsid w:val="00B00BA3"/>
    <w:rsid w:val="00B00BAB"/>
    <w:rsid w:val="00B00C12"/>
    <w:rsid w:val="00B00C1A"/>
    <w:rsid w:val="00B00C96"/>
    <w:rsid w:val="00B00CA4"/>
    <w:rsid w:val="00B00CB8"/>
    <w:rsid w:val="00B00CD8"/>
    <w:rsid w:val="00B00D0F"/>
    <w:rsid w:val="00B00D3B"/>
    <w:rsid w:val="00B00D59"/>
    <w:rsid w:val="00B00D8E"/>
    <w:rsid w:val="00B00D9A"/>
    <w:rsid w:val="00B00DA2"/>
    <w:rsid w:val="00B00E01"/>
    <w:rsid w:val="00B00E08"/>
    <w:rsid w:val="00B00E46"/>
    <w:rsid w:val="00B00E49"/>
    <w:rsid w:val="00B00EB5"/>
    <w:rsid w:val="00B00EE2"/>
    <w:rsid w:val="00B00EEE"/>
    <w:rsid w:val="00B00F06"/>
    <w:rsid w:val="00B00F4A"/>
    <w:rsid w:val="00B00F7F"/>
    <w:rsid w:val="00B00F9A"/>
    <w:rsid w:val="00B00FAF"/>
    <w:rsid w:val="00B00FD2"/>
    <w:rsid w:val="00B0105D"/>
    <w:rsid w:val="00B01066"/>
    <w:rsid w:val="00B0108F"/>
    <w:rsid w:val="00B010A6"/>
    <w:rsid w:val="00B010D6"/>
    <w:rsid w:val="00B01115"/>
    <w:rsid w:val="00B01125"/>
    <w:rsid w:val="00B01168"/>
    <w:rsid w:val="00B0121E"/>
    <w:rsid w:val="00B01233"/>
    <w:rsid w:val="00B012B4"/>
    <w:rsid w:val="00B01335"/>
    <w:rsid w:val="00B01373"/>
    <w:rsid w:val="00B013D2"/>
    <w:rsid w:val="00B013DE"/>
    <w:rsid w:val="00B01403"/>
    <w:rsid w:val="00B01442"/>
    <w:rsid w:val="00B0145B"/>
    <w:rsid w:val="00B014C1"/>
    <w:rsid w:val="00B0155C"/>
    <w:rsid w:val="00B01571"/>
    <w:rsid w:val="00B01580"/>
    <w:rsid w:val="00B015EF"/>
    <w:rsid w:val="00B016D7"/>
    <w:rsid w:val="00B01717"/>
    <w:rsid w:val="00B0171A"/>
    <w:rsid w:val="00B01760"/>
    <w:rsid w:val="00B017BF"/>
    <w:rsid w:val="00B01810"/>
    <w:rsid w:val="00B01865"/>
    <w:rsid w:val="00B0188B"/>
    <w:rsid w:val="00B0188C"/>
    <w:rsid w:val="00B018AA"/>
    <w:rsid w:val="00B018CF"/>
    <w:rsid w:val="00B01968"/>
    <w:rsid w:val="00B0199A"/>
    <w:rsid w:val="00B01A78"/>
    <w:rsid w:val="00B01B44"/>
    <w:rsid w:val="00B01B69"/>
    <w:rsid w:val="00B01BD5"/>
    <w:rsid w:val="00B01BFB"/>
    <w:rsid w:val="00B01C27"/>
    <w:rsid w:val="00B01C3C"/>
    <w:rsid w:val="00B01C5E"/>
    <w:rsid w:val="00B01C7A"/>
    <w:rsid w:val="00B01D2F"/>
    <w:rsid w:val="00B01D3E"/>
    <w:rsid w:val="00B01D85"/>
    <w:rsid w:val="00B01DA1"/>
    <w:rsid w:val="00B01E2C"/>
    <w:rsid w:val="00B01E68"/>
    <w:rsid w:val="00B01E72"/>
    <w:rsid w:val="00B01EB5"/>
    <w:rsid w:val="00B01EF3"/>
    <w:rsid w:val="00B01F0F"/>
    <w:rsid w:val="00B01F2D"/>
    <w:rsid w:val="00B01F8C"/>
    <w:rsid w:val="00B0201A"/>
    <w:rsid w:val="00B02032"/>
    <w:rsid w:val="00B0204F"/>
    <w:rsid w:val="00B020EA"/>
    <w:rsid w:val="00B02118"/>
    <w:rsid w:val="00B02150"/>
    <w:rsid w:val="00B021BF"/>
    <w:rsid w:val="00B021E6"/>
    <w:rsid w:val="00B02201"/>
    <w:rsid w:val="00B0224C"/>
    <w:rsid w:val="00B022B0"/>
    <w:rsid w:val="00B0233B"/>
    <w:rsid w:val="00B02374"/>
    <w:rsid w:val="00B023D7"/>
    <w:rsid w:val="00B02422"/>
    <w:rsid w:val="00B02444"/>
    <w:rsid w:val="00B0244D"/>
    <w:rsid w:val="00B0245A"/>
    <w:rsid w:val="00B02460"/>
    <w:rsid w:val="00B024C0"/>
    <w:rsid w:val="00B02561"/>
    <w:rsid w:val="00B02582"/>
    <w:rsid w:val="00B025FC"/>
    <w:rsid w:val="00B02604"/>
    <w:rsid w:val="00B02606"/>
    <w:rsid w:val="00B02643"/>
    <w:rsid w:val="00B026F8"/>
    <w:rsid w:val="00B027E4"/>
    <w:rsid w:val="00B02847"/>
    <w:rsid w:val="00B02850"/>
    <w:rsid w:val="00B0289A"/>
    <w:rsid w:val="00B0289F"/>
    <w:rsid w:val="00B028A8"/>
    <w:rsid w:val="00B028B6"/>
    <w:rsid w:val="00B028EF"/>
    <w:rsid w:val="00B02904"/>
    <w:rsid w:val="00B02937"/>
    <w:rsid w:val="00B02955"/>
    <w:rsid w:val="00B02A04"/>
    <w:rsid w:val="00B02A1A"/>
    <w:rsid w:val="00B02A1F"/>
    <w:rsid w:val="00B02A5D"/>
    <w:rsid w:val="00B02A63"/>
    <w:rsid w:val="00B02ACD"/>
    <w:rsid w:val="00B02B45"/>
    <w:rsid w:val="00B02B67"/>
    <w:rsid w:val="00B02B7B"/>
    <w:rsid w:val="00B02BAC"/>
    <w:rsid w:val="00B02BBE"/>
    <w:rsid w:val="00B02BD3"/>
    <w:rsid w:val="00B02C17"/>
    <w:rsid w:val="00B02C4D"/>
    <w:rsid w:val="00B02CF6"/>
    <w:rsid w:val="00B02CFA"/>
    <w:rsid w:val="00B02D34"/>
    <w:rsid w:val="00B02D6F"/>
    <w:rsid w:val="00B02DB7"/>
    <w:rsid w:val="00B02DD8"/>
    <w:rsid w:val="00B02DDA"/>
    <w:rsid w:val="00B02E18"/>
    <w:rsid w:val="00B02E5A"/>
    <w:rsid w:val="00B02E99"/>
    <w:rsid w:val="00B02EA0"/>
    <w:rsid w:val="00B02EE9"/>
    <w:rsid w:val="00B02F02"/>
    <w:rsid w:val="00B02F0E"/>
    <w:rsid w:val="00B02F23"/>
    <w:rsid w:val="00B02F3A"/>
    <w:rsid w:val="00B02FBE"/>
    <w:rsid w:val="00B02FE2"/>
    <w:rsid w:val="00B0307D"/>
    <w:rsid w:val="00B03093"/>
    <w:rsid w:val="00B030BF"/>
    <w:rsid w:val="00B030F8"/>
    <w:rsid w:val="00B03142"/>
    <w:rsid w:val="00B03179"/>
    <w:rsid w:val="00B0318A"/>
    <w:rsid w:val="00B031B9"/>
    <w:rsid w:val="00B03201"/>
    <w:rsid w:val="00B03223"/>
    <w:rsid w:val="00B0325C"/>
    <w:rsid w:val="00B032C6"/>
    <w:rsid w:val="00B032DE"/>
    <w:rsid w:val="00B032F1"/>
    <w:rsid w:val="00B03304"/>
    <w:rsid w:val="00B03309"/>
    <w:rsid w:val="00B03359"/>
    <w:rsid w:val="00B0336C"/>
    <w:rsid w:val="00B0337C"/>
    <w:rsid w:val="00B03380"/>
    <w:rsid w:val="00B0339E"/>
    <w:rsid w:val="00B033D9"/>
    <w:rsid w:val="00B03400"/>
    <w:rsid w:val="00B03463"/>
    <w:rsid w:val="00B03488"/>
    <w:rsid w:val="00B034F6"/>
    <w:rsid w:val="00B03509"/>
    <w:rsid w:val="00B0351B"/>
    <w:rsid w:val="00B03584"/>
    <w:rsid w:val="00B0359E"/>
    <w:rsid w:val="00B035A3"/>
    <w:rsid w:val="00B035D6"/>
    <w:rsid w:val="00B035E0"/>
    <w:rsid w:val="00B035F9"/>
    <w:rsid w:val="00B036B4"/>
    <w:rsid w:val="00B036E7"/>
    <w:rsid w:val="00B03712"/>
    <w:rsid w:val="00B0373F"/>
    <w:rsid w:val="00B03780"/>
    <w:rsid w:val="00B03796"/>
    <w:rsid w:val="00B037A6"/>
    <w:rsid w:val="00B037FB"/>
    <w:rsid w:val="00B0388A"/>
    <w:rsid w:val="00B038E8"/>
    <w:rsid w:val="00B03948"/>
    <w:rsid w:val="00B03995"/>
    <w:rsid w:val="00B039CE"/>
    <w:rsid w:val="00B039E9"/>
    <w:rsid w:val="00B03A05"/>
    <w:rsid w:val="00B03A24"/>
    <w:rsid w:val="00B03A26"/>
    <w:rsid w:val="00B03A61"/>
    <w:rsid w:val="00B03A84"/>
    <w:rsid w:val="00B03AC5"/>
    <w:rsid w:val="00B03AF6"/>
    <w:rsid w:val="00B03B1E"/>
    <w:rsid w:val="00B03BA7"/>
    <w:rsid w:val="00B03BB7"/>
    <w:rsid w:val="00B03BD0"/>
    <w:rsid w:val="00B03BFA"/>
    <w:rsid w:val="00B03C3D"/>
    <w:rsid w:val="00B03C73"/>
    <w:rsid w:val="00B03CB1"/>
    <w:rsid w:val="00B03CBD"/>
    <w:rsid w:val="00B03CDD"/>
    <w:rsid w:val="00B03CE4"/>
    <w:rsid w:val="00B03D3C"/>
    <w:rsid w:val="00B03DE5"/>
    <w:rsid w:val="00B03E11"/>
    <w:rsid w:val="00B03E19"/>
    <w:rsid w:val="00B03E1C"/>
    <w:rsid w:val="00B03E87"/>
    <w:rsid w:val="00B03EB1"/>
    <w:rsid w:val="00B03EDC"/>
    <w:rsid w:val="00B03F00"/>
    <w:rsid w:val="00B03F10"/>
    <w:rsid w:val="00B03FDC"/>
    <w:rsid w:val="00B04010"/>
    <w:rsid w:val="00B04021"/>
    <w:rsid w:val="00B0409C"/>
    <w:rsid w:val="00B040AA"/>
    <w:rsid w:val="00B040AC"/>
    <w:rsid w:val="00B040AD"/>
    <w:rsid w:val="00B040C0"/>
    <w:rsid w:val="00B040D4"/>
    <w:rsid w:val="00B0410A"/>
    <w:rsid w:val="00B04172"/>
    <w:rsid w:val="00B041FB"/>
    <w:rsid w:val="00B04205"/>
    <w:rsid w:val="00B04242"/>
    <w:rsid w:val="00B04278"/>
    <w:rsid w:val="00B0431C"/>
    <w:rsid w:val="00B043A1"/>
    <w:rsid w:val="00B043C6"/>
    <w:rsid w:val="00B043F3"/>
    <w:rsid w:val="00B04421"/>
    <w:rsid w:val="00B044A4"/>
    <w:rsid w:val="00B044A6"/>
    <w:rsid w:val="00B044DF"/>
    <w:rsid w:val="00B04533"/>
    <w:rsid w:val="00B0455B"/>
    <w:rsid w:val="00B04592"/>
    <w:rsid w:val="00B045F7"/>
    <w:rsid w:val="00B04611"/>
    <w:rsid w:val="00B04646"/>
    <w:rsid w:val="00B04657"/>
    <w:rsid w:val="00B0466D"/>
    <w:rsid w:val="00B04683"/>
    <w:rsid w:val="00B046B9"/>
    <w:rsid w:val="00B046EF"/>
    <w:rsid w:val="00B046F8"/>
    <w:rsid w:val="00B04727"/>
    <w:rsid w:val="00B04740"/>
    <w:rsid w:val="00B04753"/>
    <w:rsid w:val="00B04777"/>
    <w:rsid w:val="00B04789"/>
    <w:rsid w:val="00B04792"/>
    <w:rsid w:val="00B047B4"/>
    <w:rsid w:val="00B047D2"/>
    <w:rsid w:val="00B04841"/>
    <w:rsid w:val="00B04849"/>
    <w:rsid w:val="00B04864"/>
    <w:rsid w:val="00B048C7"/>
    <w:rsid w:val="00B048D5"/>
    <w:rsid w:val="00B04904"/>
    <w:rsid w:val="00B04976"/>
    <w:rsid w:val="00B049CB"/>
    <w:rsid w:val="00B049F7"/>
    <w:rsid w:val="00B049F8"/>
    <w:rsid w:val="00B04A29"/>
    <w:rsid w:val="00B04AB1"/>
    <w:rsid w:val="00B04AF3"/>
    <w:rsid w:val="00B04B15"/>
    <w:rsid w:val="00B04B6F"/>
    <w:rsid w:val="00B04BA1"/>
    <w:rsid w:val="00B04BA4"/>
    <w:rsid w:val="00B04BBC"/>
    <w:rsid w:val="00B04BDC"/>
    <w:rsid w:val="00B04BFE"/>
    <w:rsid w:val="00B04D23"/>
    <w:rsid w:val="00B04D61"/>
    <w:rsid w:val="00B04D70"/>
    <w:rsid w:val="00B04D9B"/>
    <w:rsid w:val="00B04E19"/>
    <w:rsid w:val="00B04E46"/>
    <w:rsid w:val="00B04E76"/>
    <w:rsid w:val="00B04EE2"/>
    <w:rsid w:val="00B04EFF"/>
    <w:rsid w:val="00B04F96"/>
    <w:rsid w:val="00B04F99"/>
    <w:rsid w:val="00B04F9C"/>
    <w:rsid w:val="00B04FC1"/>
    <w:rsid w:val="00B04FE0"/>
    <w:rsid w:val="00B04FED"/>
    <w:rsid w:val="00B04FFB"/>
    <w:rsid w:val="00B05039"/>
    <w:rsid w:val="00B0505F"/>
    <w:rsid w:val="00B05068"/>
    <w:rsid w:val="00B050C1"/>
    <w:rsid w:val="00B050CA"/>
    <w:rsid w:val="00B050F4"/>
    <w:rsid w:val="00B0514E"/>
    <w:rsid w:val="00B05163"/>
    <w:rsid w:val="00B0516D"/>
    <w:rsid w:val="00B05194"/>
    <w:rsid w:val="00B051F4"/>
    <w:rsid w:val="00B0529F"/>
    <w:rsid w:val="00B052AA"/>
    <w:rsid w:val="00B052AC"/>
    <w:rsid w:val="00B0538E"/>
    <w:rsid w:val="00B053E9"/>
    <w:rsid w:val="00B0547C"/>
    <w:rsid w:val="00B054A1"/>
    <w:rsid w:val="00B054C8"/>
    <w:rsid w:val="00B054D3"/>
    <w:rsid w:val="00B054EE"/>
    <w:rsid w:val="00B054F9"/>
    <w:rsid w:val="00B05503"/>
    <w:rsid w:val="00B05506"/>
    <w:rsid w:val="00B05558"/>
    <w:rsid w:val="00B05575"/>
    <w:rsid w:val="00B055B4"/>
    <w:rsid w:val="00B055FB"/>
    <w:rsid w:val="00B05613"/>
    <w:rsid w:val="00B05627"/>
    <w:rsid w:val="00B05630"/>
    <w:rsid w:val="00B0563A"/>
    <w:rsid w:val="00B05648"/>
    <w:rsid w:val="00B0564E"/>
    <w:rsid w:val="00B05654"/>
    <w:rsid w:val="00B05681"/>
    <w:rsid w:val="00B0569B"/>
    <w:rsid w:val="00B056B2"/>
    <w:rsid w:val="00B056ED"/>
    <w:rsid w:val="00B05736"/>
    <w:rsid w:val="00B05748"/>
    <w:rsid w:val="00B05762"/>
    <w:rsid w:val="00B05858"/>
    <w:rsid w:val="00B058D4"/>
    <w:rsid w:val="00B05901"/>
    <w:rsid w:val="00B05952"/>
    <w:rsid w:val="00B05954"/>
    <w:rsid w:val="00B0599B"/>
    <w:rsid w:val="00B059C7"/>
    <w:rsid w:val="00B059D2"/>
    <w:rsid w:val="00B059E7"/>
    <w:rsid w:val="00B059FF"/>
    <w:rsid w:val="00B05AB4"/>
    <w:rsid w:val="00B05AC5"/>
    <w:rsid w:val="00B05AF6"/>
    <w:rsid w:val="00B05AFC"/>
    <w:rsid w:val="00B05B3A"/>
    <w:rsid w:val="00B05B6C"/>
    <w:rsid w:val="00B05B8E"/>
    <w:rsid w:val="00B05C1C"/>
    <w:rsid w:val="00B05C24"/>
    <w:rsid w:val="00B05C4A"/>
    <w:rsid w:val="00B05C5F"/>
    <w:rsid w:val="00B05CAB"/>
    <w:rsid w:val="00B05CC0"/>
    <w:rsid w:val="00B05D02"/>
    <w:rsid w:val="00B05D3B"/>
    <w:rsid w:val="00B05E21"/>
    <w:rsid w:val="00B05E48"/>
    <w:rsid w:val="00B05E57"/>
    <w:rsid w:val="00B05E63"/>
    <w:rsid w:val="00B05E69"/>
    <w:rsid w:val="00B05E6B"/>
    <w:rsid w:val="00B05E8E"/>
    <w:rsid w:val="00B05EBF"/>
    <w:rsid w:val="00B05EE4"/>
    <w:rsid w:val="00B05F69"/>
    <w:rsid w:val="00B05F93"/>
    <w:rsid w:val="00B05FB8"/>
    <w:rsid w:val="00B05FBB"/>
    <w:rsid w:val="00B06021"/>
    <w:rsid w:val="00B0602F"/>
    <w:rsid w:val="00B06030"/>
    <w:rsid w:val="00B06080"/>
    <w:rsid w:val="00B0609D"/>
    <w:rsid w:val="00B060EF"/>
    <w:rsid w:val="00B0615C"/>
    <w:rsid w:val="00B0620F"/>
    <w:rsid w:val="00B06240"/>
    <w:rsid w:val="00B062A0"/>
    <w:rsid w:val="00B062BE"/>
    <w:rsid w:val="00B062C1"/>
    <w:rsid w:val="00B062F5"/>
    <w:rsid w:val="00B062FB"/>
    <w:rsid w:val="00B06307"/>
    <w:rsid w:val="00B0630C"/>
    <w:rsid w:val="00B06343"/>
    <w:rsid w:val="00B0636A"/>
    <w:rsid w:val="00B06378"/>
    <w:rsid w:val="00B06394"/>
    <w:rsid w:val="00B06398"/>
    <w:rsid w:val="00B063E1"/>
    <w:rsid w:val="00B0640E"/>
    <w:rsid w:val="00B06417"/>
    <w:rsid w:val="00B0641B"/>
    <w:rsid w:val="00B0641D"/>
    <w:rsid w:val="00B0645C"/>
    <w:rsid w:val="00B0646C"/>
    <w:rsid w:val="00B06564"/>
    <w:rsid w:val="00B065BA"/>
    <w:rsid w:val="00B065E7"/>
    <w:rsid w:val="00B0661C"/>
    <w:rsid w:val="00B06664"/>
    <w:rsid w:val="00B0666D"/>
    <w:rsid w:val="00B0667E"/>
    <w:rsid w:val="00B066D8"/>
    <w:rsid w:val="00B0670D"/>
    <w:rsid w:val="00B06755"/>
    <w:rsid w:val="00B06761"/>
    <w:rsid w:val="00B0678F"/>
    <w:rsid w:val="00B067B2"/>
    <w:rsid w:val="00B067CC"/>
    <w:rsid w:val="00B06814"/>
    <w:rsid w:val="00B06824"/>
    <w:rsid w:val="00B06869"/>
    <w:rsid w:val="00B068A1"/>
    <w:rsid w:val="00B068A5"/>
    <w:rsid w:val="00B068CB"/>
    <w:rsid w:val="00B068DB"/>
    <w:rsid w:val="00B06A49"/>
    <w:rsid w:val="00B06A61"/>
    <w:rsid w:val="00B06AD3"/>
    <w:rsid w:val="00B06B50"/>
    <w:rsid w:val="00B06BF5"/>
    <w:rsid w:val="00B06C53"/>
    <w:rsid w:val="00B06C72"/>
    <w:rsid w:val="00B06C9C"/>
    <w:rsid w:val="00B06CD3"/>
    <w:rsid w:val="00B06CDB"/>
    <w:rsid w:val="00B06CF5"/>
    <w:rsid w:val="00B06D11"/>
    <w:rsid w:val="00B06D15"/>
    <w:rsid w:val="00B06DE0"/>
    <w:rsid w:val="00B06E5D"/>
    <w:rsid w:val="00B06E96"/>
    <w:rsid w:val="00B06E97"/>
    <w:rsid w:val="00B06EBC"/>
    <w:rsid w:val="00B06ECF"/>
    <w:rsid w:val="00B06ED0"/>
    <w:rsid w:val="00B06ED9"/>
    <w:rsid w:val="00B06EDD"/>
    <w:rsid w:val="00B06EDF"/>
    <w:rsid w:val="00B06F25"/>
    <w:rsid w:val="00B06F55"/>
    <w:rsid w:val="00B06F8C"/>
    <w:rsid w:val="00B06FFB"/>
    <w:rsid w:val="00B07038"/>
    <w:rsid w:val="00B07045"/>
    <w:rsid w:val="00B070B2"/>
    <w:rsid w:val="00B070C6"/>
    <w:rsid w:val="00B070CF"/>
    <w:rsid w:val="00B0712B"/>
    <w:rsid w:val="00B0713A"/>
    <w:rsid w:val="00B0716E"/>
    <w:rsid w:val="00B0718C"/>
    <w:rsid w:val="00B07192"/>
    <w:rsid w:val="00B071BC"/>
    <w:rsid w:val="00B071DB"/>
    <w:rsid w:val="00B07237"/>
    <w:rsid w:val="00B07245"/>
    <w:rsid w:val="00B07261"/>
    <w:rsid w:val="00B0726D"/>
    <w:rsid w:val="00B072D0"/>
    <w:rsid w:val="00B072D3"/>
    <w:rsid w:val="00B072E8"/>
    <w:rsid w:val="00B072EA"/>
    <w:rsid w:val="00B073A9"/>
    <w:rsid w:val="00B073AB"/>
    <w:rsid w:val="00B073BB"/>
    <w:rsid w:val="00B073CE"/>
    <w:rsid w:val="00B073DE"/>
    <w:rsid w:val="00B07404"/>
    <w:rsid w:val="00B0740A"/>
    <w:rsid w:val="00B0740F"/>
    <w:rsid w:val="00B07413"/>
    <w:rsid w:val="00B07502"/>
    <w:rsid w:val="00B0751F"/>
    <w:rsid w:val="00B07597"/>
    <w:rsid w:val="00B075A2"/>
    <w:rsid w:val="00B075AD"/>
    <w:rsid w:val="00B075B4"/>
    <w:rsid w:val="00B075E4"/>
    <w:rsid w:val="00B075EE"/>
    <w:rsid w:val="00B0763F"/>
    <w:rsid w:val="00B076AE"/>
    <w:rsid w:val="00B076DE"/>
    <w:rsid w:val="00B0776A"/>
    <w:rsid w:val="00B077B3"/>
    <w:rsid w:val="00B07865"/>
    <w:rsid w:val="00B078D3"/>
    <w:rsid w:val="00B0793D"/>
    <w:rsid w:val="00B07A5A"/>
    <w:rsid w:val="00B07A5D"/>
    <w:rsid w:val="00B07A91"/>
    <w:rsid w:val="00B07B18"/>
    <w:rsid w:val="00B07B63"/>
    <w:rsid w:val="00B07B7E"/>
    <w:rsid w:val="00B07BB5"/>
    <w:rsid w:val="00B07BEA"/>
    <w:rsid w:val="00B07BFF"/>
    <w:rsid w:val="00B07C17"/>
    <w:rsid w:val="00B07C5A"/>
    <w:rsid w:val="00B07C5D"/>
    <w:rsid w:val="00B07C6E"/>
    <w:rsid w:val="00B07CD0"/>
    <w:rsid w:val="00B07CE6"/>
    <w:rsid w:val="00B07CEE"/>
    <w:rsid w:val="00B07CF3"/>
    <w:rsid w:val="00B07CFA"/>
    <w:rsid w:val="00B07D3B"/>
    <w:rsid w:val="00B07D64"/>
    <w:rsid w:val="00B07D93"/>
    <w:rsid w:val="00B07EA2"/>
    <w:rsid w:val="00B07F45"/>
    <w:rsid w:val="00B07F55"/>
    <w:rsid w:val="00B07F99"/>
    <w:rsid w:val="00B07FC6"/>
    <w:rsid w:val="00B07FCC"/>
    <w:rsid w:val="00B10016"/>
    <w:rsid w:val="00B10098"/>
    <w:rsid w:val="00B10145"/>
    <w:rsid w:val="00B101F5"/>
    <w:rsid w:val="00B10201"/>
    <w:rsid w:val="00B1022D"/>
    <w:rsid w:val="00B10236"/>
    <w:rsid w:val="00B10239"/>
    <w:rsid w:val="00B1023C"/>
    <w:rsid w:val="00B10278"/>
    <w:rsid w:val="00B102AA"/>
    <w:rsid w:val="00B102D5"/>
    <w:rsid w:val="00B1030A"/>
    <w:rsid w:val="00B10324"/>
    <w:rsid w:val="00B10349"/>
    <w:rsid w:val="00B10372"/>
    <w:rsid w:val="00B10410"/>
    <w:rsid w:val="00B10459"/>
    <w:rsid w:val="00B1045E"/>
    <w:rsid w:val="00B10466"/>
    <w:rsid w:val="00B10492"/>
    <w:rsid w:val="00B1049C"/>
    <w:rsid w:val="00B10580"/>
    <w:rsid w:val="00B10588"/>
    <w:rsid w:val="00B10603"/>
    <w:rsid w:val="00B1062A"/>
    <w:rsid w:val="00B10648"/>
    <w:rsid w:val="00B1064D"/>
    <w:rsid w:val="00B10693"/>
    <w:rsid w:val="00B106AD"/>
    <w:rsid w:val="00B10756"/>
    <w:rsid w:val="00B107C2"/>
    <w:rsid w:val="00B107CB"/>
    <w:rsid w:val="00B107EC"/>
    <w:rsid w:val="00B10851"/>
    <w:rsid w:val="00B10874"/>
    <w:rsid w:val="00B10885"/>
    <w:rsid w:val="00B10894"/>
    <w:rsid w:val="00B108E6"/>
    <w:rsid w:val="00B10915"/>
    <w:rsid w:val="00B1092B"/>
    <w:rsid w:val="00B1092C"/>
    <w:rsid w:val="00B1094A"/>
    <w:rsid w:val="00B10986"/>
    <w:rsid w:val="00B1098E"/>
    <w:rsid w:val="00B109DA"/>
    <w:rsid w:val="00B10A73"/>
    <w:rsid w:val="00B10AC7"/>
    <w:rsid w:val="00B10AE6"/>
    <w:rsid w:val="00B10B3A"/>
    <w:rsid w:val="00B10B53"/>
    <w:rsid w:val="00B10B61"/>
    <w:rsid w:val="00B10B83"/>
    <w:rsid w:val="00B10BDF"/>
    <w:rsid w:val="00B10BFF"/>
    <w:rsid w:val="00B10C39"/>
    <w:rsid w:val="00B10C81"/>
    <w:rsid w:val="00B10CF5"/>
    <w:rsid w:val="00B10D30"/>
    <w:rsid w:val="00B10D38"/>
    <w:rsid w:val="00B10D8B"/>
    <w:rsid w:val="00B10D93"/>
    <w:rsid w:val="00B10DDA"/>
    <w:rsid w:val="00B10E2E"/>
    <w:rsid w:val="00B10E53"/>
    <w:rsid w:val="00B10E69"/>
    <w:rsid w:val="00B10EC4"/>
    <w:rsid w:val="00B10F23"/>
    <w:rsid w:val="00B10F6B"/>
    <w:rsid w:val="00B10F7B"/>
    <w:rsid w:val="00B10F81"/>
    <w:rsid w:val="00B10FB4"/>
    <w:rsid w:val="00B10FBB"/>
    <w:rsid w:val="00B10FC5"/>
    <w:rsid w:val="00B10FD7"/>
    <w:rsid w:val="00B10FDB"/>
    <w:rsid w:val="00B1100D"/>
    <w:rsid w:val="00B11057"/>
    <w:rsid w:val="00B110C1"/>
    <w:rsid w:val="00B110F1"/>
    <w:rsid w:val="00B110F4"/>
    <w:rsid w:val="00B110F5"/>
    <w:rsid w:val="00B11103"/>
    <w:rsid w:val="00B11180"/>
    <w:rsid w:val="00B11184"/>
    <w:rsid w:val="00B111BB"/>
    <w:rsid w:val="00B11225"/>
    <w:rsid w:val="00B11294"/>
    <w:rsid w:val="00B112B1"/>
    <w:rsid w:val="00B11348"/>
    <w:rsid w:val="00B11354"/>
    <w:rsid w:val="00B1135D"/>
    <w:rsid w:val="00B1136B"/>
    <w:rsid w:val="00B11383"/>
    <w:rsid w:val="00B11386"/>
    <w:rsid w:val="00B11405"/>
    <w:rsid w:val="00B11409"/>
    <w:rsid w:val="00B11420"/>
    <w:rsid w:val="00B11488"/>
    <w:rsid w:val="00B1149A"/>
    <w:rsid w:val="00B1154A"/>
    <w:rsid w:val="00B11570"/>
    <w:rsid w:val="00B11573"/>
    <w:rsid w:val="00B115C4"/>
    <w:rsid w:val="00B11607"/>
    <w:rsid w:val="00B11633"/>
    <w:rsid w:val="00B1164B"/>
    <w:rsid w:val="00B11663"/>
    <w:rsid w:val="00B11676"/>
    <w:rsid w:val="00B116F8"/>
    <w:rsid w:val="00B11748"/>
    <w:rsid w:val="00B11796"/>
    <w:rsid w:val="00B11869"/>
    <w:rsid w:val="00B118A1"/>
    <w:rsid w:val="00B1190C"/>
    <w:rsid w:val="00B1196D"/>
    <w:rsid w:val="00B119F2"/>
    <w:rsid w:val="00B11A3E"/>
    <w:rsid w:val="00B11AAF"/>
    <w:rsid w:val="00B11B07"/>
    <w:rsid w:val="00B11B21"/>
    <w:rsid w:val="00B11B48"/>
    <w:rsid w:val="00B11BF4"/>
    <w:rsid w:val="00B11C1B"/>
    <w:rsid w:val="00B11C3F"/>
    <w:rsid w:val="00B11C9F"/>
    <w:rsid w:val="00B11CA7"/>
    <w:rsid w:val="00B11CC8"/>
    <w:rsid w:val="00B11CEE"/>
    <w:rsid w:val="00B11D17"/>
    <w:rsid w:val="00B11D3C"/>
    <w:rsid w:val="00B11D51"/>
    <w:rsid w:val="00B11D8D"/>
    <w:rsid w:val="00B11DDA"/>
    <w:rsid w:val="00B11E4D"/>
    <w:rsid w:val="00B11E78"/>
    <w:rsid w:val="00B11F12"/>
    <w:rsid w:val="00B11F38"/>
    <w:rsid w:val="00B11FA2"/>
    <w:rsid w:val="00B11FBE"/>
    <w:rsid w:val="00B1201D"/>
    <w:rsid w:val="00B120C8"/>
    <w:rsid w:val="00B120D0"/>
    <w:rsid w:val="00B120E8"/>
    <w:rsid w:val="00B120F3"/>
    <w:rsid w:val="00B12150"/>
    <w:rsid w:val="00B12178"/>
    <w:rsid w:val="00B121A8"/>
    <w:rsid w:val="00B121BF"/>
    <w:rsid w:val="00B12277"/>
    <w:rsid w:val="00B12370"/>
    <w:rsid w:val="00B123AB"/>
    <w:rsid w:val="00B123EA"/>
    <w:rsid w:val="00B1246E"/>
    <w:rsid w:val="00B124BD"/>
    <w:rsid w:val="00B124C1"/>
    <w:rsid w:val="00B124CE"/>
    <w:rsid w:val="00B124F2"/>
    <w:rsid w:val="00B12537"/>
    <w:rsid w:val="00B1256A"/>
    <w:rsid w:val="00B1258C"/>
    <w:rsid w:val="00B125A8"/>
    <w:rsid w:val="00B125AB"/>
    <w:rsid w:val="00B125C3"/>
    <w:rsid w:val="00B125F7"/>
    <w:rsid w:val="00B12624"/>
    <w:rsid w:val="00B126AB"/>
    <w:rsid w:val="00B126C7"/>
    <w:rsid w:val="00B126F5"/>
    <w:rsid w:val="00B126F7"/>
    <w:rsid w:val="00B12730"/>
    <w:rsid w:val="00B12769"/>
    <w:rsid w:val="00B1279A"/>
    <w:rsid w:val="00B12804"/>
    <w:rsid w:val="00B12813"/>
    <w:rsid w:val="00B12826"/>
    <w:rsid w:val="00B12860"/>
    <w:rsid w:val="00B128B6"/>
    <w:rsid w:val="00B128F9"/>
    <w:rsid w:val="00B1293A"/>
    <w:rsid w:val="00B1293F"/>
    <w:rsid w:val="00B1296C"/>
    <w:rsid w:val="00B12A14"/>
    <w:rsid w:val="00B12A2E"/>
    <w:rsid w:val="00B12A39"/>
    <w:rsid w:val="00B12A6D"/>
    <w:rsid w:val="00B12A97"/>
    <w:rsid w:val="00B12AC4"/>
    <w:rsid w:val="00B12AE1"/>
    <w:rsid w:val="00B12AE6"/>
    <w:rsid w:val="00B12B16"/>
    <w:rsid w:val="00B12B75"/>
    <w:rsid w:val="00B12B94"/>
    <w:rsid w:val="00B12B98"/>
    <w:rsid w:val="00B12BDC"/>
    <w:rsid w:val="00B12C0B"/>
    <w:rsid w:val="00B12C48"/>
    <w:rsid w:val="00B12CC3"/>
    <w:rsid w:val="00B12CFE"/>
    <w:rsid w:val="00B12D17"/>
    <w:rsid w:val="00B12D1C"/>
    <w:rsid w:val="00B12D74"/>
    <w:rsid w:val="00B12DD5"/>
    <w:rsid w:val="00B12E01"/>
    <w:rsid w:val="00B12EBD"/>
    <w:rsid w:val="00B12EC4"/>
    <w:rsid w:val="00B12ED7"/>
    <w:rsid w:val="00B12EF2"/>
    <w:rsid w:val="00B12F4A"/>
    <w:rsid w:val="00B12F91"/>
    <w:rsid w:val="00B12FA6"/>
    <w:rsid w:val="00B12FAA"/>
    <w:rsid w:val="00B12FB7"/>
    <w:rsid w:val="00B12FFD"/>
    <w:rsid w:val="00B12FFF"/>
    <w:rsid w:val="00B13021"/>
    <w:rsid w:val="00B1305B"/>
    <w:rsid w:val="00B130AF"/>
    <w:rsid w:val="00B130D4"/>
    <w:rsid w:val="00B13134"/>
    <w:rsid w:val="00B1314E"/>
    <w:rsid w:val="00B13152"/>
    <w:rsid w:val="00B13153"/>
    <w:rsid w:val="00B13187"/>
    <w:rsid w:val="00B131DA"/>
    <w:rsid w:val="00B1325B"/>
    <w:rsid w:val="00B1325F"/>
    <w:rsid w:val="00B13309"/>
    <w:rsid w:val="00B1338A"/>
    <w:rsid w:val="00B13390"/>
    <w:rsid w:val="00B133B2"/>
    <w:rsid w:val="00B133D8"/>
    <w:rsid w:val="00B1341A"/>
    <w:rsid w:val="00B13562"/>
    <w:rsid w:val="00B1357C"/>
    <w:rsid w:val="00B1358E"/>
    <w:rsid w:val="00B1360B"/>
    <w:rsid w:val="00B13630"/>
    <w:rsid w:val="00B13638"/>
    <w:rsid w:val="00B1371C"/>
    <w:rsid w:val="00B1373D"/>
    <w:rsid w:val="00B13766"/>
    <w:rsid w:val="00B137DA"/>
    <w:rsid w:val="00B1380D"/>
    <w:rsid w:val="00B13812"/>
    <w:rsid w:val="00B13823"/>
    <w:rsid w:val="00B1388D"/>
    <w:rsid w:val="00B13892"/>
    <w:rsid w:val="00B138AC"/>
    <w:rsid w:val="00B138AF"/>
    <w:rsid w:val="00B138DA"/>
    <w:rsid w:val="00B139AC"/>
    <w:rsid w:val="00B139B0"/>
    <w:rsid w:val="00B139F5"/>
    <w:rsid w:val="00B13A37"/>
    <w:rsid w:val="00B13A44"/>
    <w:rsid w:val="00B13A52"/>
    <w:rsid w:val="00B13A5F"/>
    <w:rsid w:val="00B13A73"/>
    <w:rsid w:val="00B13AC8"/>
    <w:rsid w:val="00B13AF5"/>
    <w:rsid w:val="00B13B6F"/>
    <w:rsid w:val="00B13C06"/>
    <w:rsid w:val="00B13CC3"/>
    <w:rsid w:val="00B13CE0"/>
    <w:rsid w:val="00B13D43"/>
    <w:rsid w:val="00B13D61"/>
    <w:rsid w:val="00B13D83"/>
    <w:rsid w:val="00B13D8A"/>
    <w:rsid w:val="00B13DB6"/>
    <w:rsid w:val="00B13DB7"/>
    <w:rsid w:val="00B13DD3"/>
    <w:rsid w:val="00B13E53"/>
    <w:rsid w:val="00B13E8B"/>
    <w:rsid w:val="00B13F41"/>
    <w:rsid w:val="00B14033"/>
    <w:rsid w:val="00B14054"/>
    <w:rsid w:val="00B14081"/>
    <w:rsid w:val="00B140A2"/>
    <w:rsid w:val="00B140B9"/>
    <w:rsid w:val="00B1411C"/>
    <w:rsid w:val="00B141A9"/>
    <w:rsid w:val="00B141B0"/>
    <w:rsid w:val="00B141BF"/>
    <w:rsid w:val="00B14231"/>
    <w:rsid w:val="00B1426A"/>
    <w:rsid w:val="00B1426B"/>
    <w:rsid w:val="00B14282"/>
    <w:rsid w:val="00B142DA"/>
    <w:rsid w:val="00B142DB"/>
    <w:rsid w:val="00B14304"/>
    <w:rsid w:val="00B1430B"/>
    <w:rsid w:val="00B1431B"/>
    <w:rsid w:val="00B14328"/>
    <w:rsid w:val="00B1433E"/>
    <w:rsid w:val="00B1433F"/>
    <w:rsid w:val="00B14367"/>
    <w:rsid w:val="00B143A5"/>
    <w:rsid w:val="00B143D3"/>
    <w:rsid w:val="00B14401"/>
    <w:rsid w:val="00B14424"/>
    <w:rsid w:val="00B14456"/>
    <w:rsid w:val="00B144AB"/>
    <w:rsid w:val="00B144B0"/>
    <w:rsid w:val="00B144E2"/>
    <w:rsid w:val="00B1455D"/>
    <w:rsid w:val="00B1456A"/>
    <w:rsid w:val="00B145E0"/>
    <w:rsid w:val="00B14611"/>
    <w:rsid w:val="00B14634"/>
    <w:rsid w:val="00B1464A"/>
    <w:rsid w:val="00B14663"/>
    <w:rsid w:val="00B146A1"/>
    <w:rsid w:val="00B14704"/>
    <w:rsid w:val="00B14797"/>
    <w:rsid w:val="00B147B5"/>
    <w:rsid w:val="00B147C2"/>
    <w:rsid w:val="00B147E3"/>
    <w:rsid w:val="00B14805"/>
    <w:rsid w:val="00B14837"/>
    <w:rsid w:val="00B1483C"/>
    <w:rsid w:val="00B14853"/>
    <w:rsid w:val="00B14857"/>
    <w:rsid w:val="00B1487D"/>
    <w:rsid w:val="00B1488C"/>
    <w:rsid w:val="00B148CD"/>
    <w:rsid w:val="00B148E8"/>
    <w:rsid w:val="00B14945"/>
    <w:rsid w:val="00B14957"/>
    <w:rsid w:val="00B149D7"/>
    <w:rsid w:val="00B149F1"/>
    <w:rsid w:val="00B149F3"/>
    <w:rsid w:val="00B14A2D"/>
    <w:rsid w:val="00B14A46"/>
    <w:rsid w:val="00B14A49"/>
    <w:rsid w:val="00B14AB2"/>
    <w:rsid w:val="00B14ABA"/>
    <w:rsid w:val="00B14B61"/>
    <w:rsid w:val="00B14B64"/>
    <w:rsid w:val="00B14B86"/>
    <w:rsid w:val="00B14C69"/>
    <w:rsid w:val="00B14C70"/>
    <w:rsid w:val="00B14D1B"/>
    <w:rsid w:val="00B14D61"/>
    <w:rsid w:val="00B14DA4"/>
    <w:rsid w:val="00B14DDC"/>
    <w:rsid w:val="00B14E23"/>
    <w:rsid w:val="00B14E30"/>
    <w:rsid w:val="00B14EA8"/>
    <w:rsid w:val="00B14EAC"/>
    <w:rsid w:val="00B14EC8"/>
    <w:rsid w:val="00B14ECA"/>
    <w:rsid w:val="00B14ECF"/>
    <w:rsid w:val="00B14EF8"/>
    <w:rsid w:val="00B14F26"/>
    <w:rsid w:val="00B14F53"/>
    <w:rsid w:val="00B14F72"/>
    <w:rsid w:val="00B15032"/>
    <w:rsid w:val="00B15091"/>
    <w:rsid w:val="00B150B3"/>
    <w:rsid w:val="00B150C8"/>
    <w:rsid w:val="00B150E5"/>
    <w:rsid w:val="00B150F4"/>
    <w:rsid w:val="00B1514C"/>
    <w:rsid w:val="00B15196"/>
    <w:rsid w:val="00B151A8"/>
    <w:rsid w:val="00B151C1"/>
    <w:rsid w:val="00B151D3"/>
    <w:rsid w:val="00B151E7"/>
    <w:rsid w:val="00B1520C"/>
    <w:rsid w:val="00B15219"/>
    <w:rsid w:val="00B15252"/>
    <w:rsid w:val="00B1525E"/>
    <w:rsid w:val="00B15293"/>
    <w:rsid w:val="00B152B6"/>
    <w:rsid w:val="00B152EA"/>
    <w:rsid w:val="00B15334"/>
    <w:rsid w:val="00B1534A"/>
    <w:rsid w:val="00B15352"/>
    <w:rsid w:val="00B15357"/>
    <w:rsid w:val="00B15366"/>
    <w:rsid w:val="00B153A0"/>
    <w:rsid w:val="00B153A6"/>
    <w:rsid w:val="00B15412"/>
    <w:rsid w:val="00B154EC"/>
    <w:rsid w:val="00B15507"/>
    <w:rsid w:val="00B1554B"/>
    <w:rsid w:val="00B1556A"/>
    <w:rsid w:val="00B1557C"/>
    <w:rsid w:val="00B155E8"/>
    <w:rsid w:val="00B15619"/>
    <w:rsid w:val="00B1565C"/>
    <w:rsid w:val="00B15661"/>
    <w:rsid w:val="00B15689"/>
    <w:rsid w:val="00B156B3"/>
    <w:rsid w:val="00B15711"/>
    <w:rsid w:val="00B15738"/>
    <w:rsid w:val="00B15783"/>
    <w:rsid w:val="00B157D0"/>
    <w:rsid w:val="00B15859"/>
    <w:rsid w:val="00B158B9"/>
    <w:rsid w:val="00B15931"/>
    <w:rsid w:val="00B15966"/>
    <w:rsid w:val="00B15981"/>
    <w:rsid w:val="00B159A7"/>
    <w:rsid w:val="00B159B5"/>
    <w:rsid w:val="00B159F5"/>
    <w:rsid w:val="00B159FD"/>
    <w:rsid w:val="00B15A08"/>
    <w:rsid w:val="00B15A36"/>
    <w:rsid w:val="00B15A97"/>
    <w:rsid w:val="00B15B11"/>
    <w:rsid w:val="00B15B14"/>
    <w:rsid w:val="00B15B34"/>
    <w:rsid w:val="00B15B66"/>
    <w:rsid w:val="00B15B7C"/>
    <w:rsid w:val="00B15C33"/>
    <w:rsid w:val="00B15C48"/>
    <w:rsid w:val="00B15C7B"/>
    <w:rsid w:val="00B15D27"/>
    <w:rsid w:val="00B15DA1"/>
    <w:rsid w:val="00B15DA8"/>
    <w:rsid w:val="00B15DBE"/>
    <w:rsid w:val="00B15DD9"/>
    <w:rsid w:val="00B15DF7"/>
    <w:rsid w:val="00B15E49"/>
    <w:rsid w:val="00B15EB2"/>
    <w:rsid w:val="00B15EFE"/>
    <w:rsid w:val="00B15F05"/>
    <w:rsid w:val="00B15F20"/>
    <w:rsid w:val="00B15F42"/>
    <w:rsid w:val="00B15F45"/>
    <w:rsid w:val="00B15F64"/>
    <w:rsid w:val="00B15FA1"/>
    <w:rsid w:val="00B15FBF"/>
    <w:rsid w:val="00B15FD2"/>
    <w:rsid w:val="00B15FEB"/>
    <w:rsid w:val="00B16060"/>
    <w:rsid w:val="00B1606B"/>
    <w:rsid w:val="00B16087"/>
    <w:rsid w:val="00B160BD"/>
    <w:rsid w:val="00B16141"/>
    <w:rsid w:val="00B16167"/>
    <w:rsid w:val="00B161E6"/>
    <w:rsid w:val="00B161EE"/>
    <w:rsid w:val="00B16200"/>
    <w:rsid w:val="00B162B3"/>
    <w:rsid w:val="00B162D4"/>
    <w:rsid w:val="00B162E4"/>
    <w:rsid w:val="00B162FB"/>
    <w:rsid w:val="00B16358"/>
    <w:rsid w:val="00B16391"/>
    <w:rsid w:val="00B16409"/>
    <w:rsid w:val="00B16442"/>
    <w:rsid w:val="00B16460"/>
    <w:rsid w:val="00B1649A"/>
    <w:rsid w:val="00B164E9"/>
    <w:rsid w:val="00B16516"/>
    <w:rsid w:val="00B1655B"/>
    <w:rsid w:val="00B16576"/>
    <w:rsid w:val="00B1657D"/>
    <w:rsid w:val="00B165CD"/>
    <w:rsid w:val="00B1663C"/>
    <w:rsid w:val="00B16641"/>
    <w:rsid w:val="00B16653"/>
    <w:rsid w:val="00B16689"/>
    <w:rsid w:val="00B166F2"/>
    <w:rsid w:val="00B16707"/>
    <w:rsid w:val="00B16741"/>
    <w:rsid w:val="00B16759"/>
    <w:rsid w:val="00B16767"/>
    <w:rsid w:val="00B167CA"/>
    <w:rsid w:val="00B167D0"/>
    <w:rsid w:val="00B167D2"/>
    <w:rsid w:val="00B16848"/>
    <w:rsid w:val="00B168D5"/>
    <w:rsid w:val="00B16964"/>
    <w:rsid w:val="00B16965"/>
    <w:rsid w:val="00B169A4"/>
    <w:rsid w:val="00B169CF"/>
    <w:rsid w:val="00B16A34"/>
    <w:rsid w:val="00B16A3E"/>
    <w:rsid w:val="00B16A49"/>
    <w:rsid w:val="00B16A68"/>
    <w:rsid w:val="00B16A8C"/>
    <w:rsid w:val="00B16AF3"/>
    <w:rsid w:val="00B16B54"/>
    <w:rsid w:val="00B16BB5"/>
    <w:rsid w:val="00B16BBD"/>
    <w:rsid w:val="00B16BC9"/>
    <w:rsid w:val="00B16CD5"/>
    <w:rsid w:val="00B16D2A"/>
    <w:rsid w:val="00B16D37"/>
    <w:rsid w:val="00B16D77"/>
    <w:rsid w:val="00B16E10"/>
    <w:rsid w:val="00B16E38"/>
    <w:rsid w:val="00B16E3A"/>
    <w:rsid w:val="00B16E81"/>
    <w:rsid w:val="00B16EE9"/>
    <w:rsid w:val="00B16EF7"/>
    <w:rsid w:val="00B16F51"/>
    <w:rsid w:val="00B16F52"/>
    <w:rsid w:val="00B16F77"/>
    <w:rsid w:val="00B16F7D"/>
    <w:rsid w:val="00B16F7F"/>
    <w:rsid w:val="00B16FA8"/>
    <w:rsid w:val="00B16FFB"/>
    <w:rsid w:val="00B1703E"/>
    <w:rsid w:val="00B1704E"/>
    <w:rsid w:val="00B17067"/>
    <w:rsid w:val="00B170C1"/>
    <w:rsid w:val="00B170DD"/>
    <w:rsid w:val="00B170FF"/>
    <w:rsid w:val="00B17103"/>
    <w:rsid w:val="00B17124"/>
    <w:rsid w:val="00B171B5"/>
    <w:rsid w:val="00B17239"/>
    <w:rsid w:val="00B1724B"/>
    <w:rsid w:val="00B1725A"/>
    <w:rsid w:val="00B17286"/>
    <w:rsid w:val="00B172BC"/>
    <w:rsid w:val="00B1730A"/>
    <w:rsid w:val="00B17316"/>
    <w:rsid w:val="00B17367"/>
    <w:rsid w:val="00B173AC"/>
    <w:rsid w:val="00B1744B"/>
    <w:rsid w:val="00B174CE"/>
    <w:rsid w:val="00B174F0"/>
    <w:rsid w:val="00B17518"/>
    <w:rsid w:val="00B175BE"/>
    <w:rsid w:val="00B1760A"/>
    <w:rsid w:val="00B1765B"/>
    <w:rsid w:val="00B17681"/>
    <w:rsid w:val="00B176CC"/>
    <w:rsid w:val="00B176EB"/>
    <w:rsid w:val="00B1770D"/>
    <w:rsid w:val="00B1772D"/>
    <w:rsid w:val="00B1774F"/>
    <w:rsid w:val="00B1775C"/>
    <w:rsid w:val="00B1777C"/>
    <w:rsid w:val="00B177DF"/>
    <w:rsid w:val="00B17853"/>
    <w:rsid w:val="00B17858"/>
    <w:rsid w:val="00B17864"/>
    <w:rsid w:val="00B178BA"/>
    <w:rsid w:val="00B178E1"/>
    <w:rsid w:val="00B17910"/>
    <w:rsid w:val="00B1796F"/>
    <w:rsid w:val="00B1797A"/>
    <w:rsid w:val="00B17982"/>
    <w:rsid w:val="00B179B7"/>
    <w:rsid w:val="00B179DB"/>
    <w:rsid w:val="00B179FD"/>
    <w:rsid w:val="00B17ABD"/>
    <w:rsid w:val="00B17B9B"/>
    <w:rsid w:val="00B17BC9"/>
    <w:rsid w:val="00B17C2A"/>
    <w:rsid w:val="00B17C94"/>
    <w:rsid w:val="00B17CE8"/>
    <w:rsid w:val="00B17D0B"/>
    <w:rsid w:val="00B17D27"/>
    <w:rsid w:val="00B17D4B"/>
    <w:rsid w:val="00B17D9D"/>
    <w:rsid w:val="00B17DA4"/>
    <w:rsid w:val="00B17EA2"/>
    <w:rsid w:val="00B17ED8"/>
    <w:rsid w:val="00B17EFA"/>
    <w:rsid w:val="00B17F0D"/>
    <w:rsid w:val="00B17F0F"/>
    <w:rsid w:val="00B17F1E"/>
    <w:rsid w:val="00B17F2F"/>
    <w:rsid w:val="00B17FB4"/>
    <w:rsid w:val="00B18EE7"/>
    <w:rsid w:val="00B1BA79"/>
    <w:rsid w:val="00B1F923"/>
    <w:rsid w:val="00B20020"/>
    <w:rsid w:val="00B20061"/>
    <w:rsid w:val="00B200A9"/>
    <w:rsid w:val="00B20112"/>
    <w:rsid w:val="00B2014D"/>
    <w:rsid w:val="00B20150"/>
    <w:rsid w:val="00B201C7"/>
    <w:rsid w:val="00B201D8"/>
    <w:rsid w:val="00B201E7"/>
    <w:rsid w:val="00B20210"/>
    <w:rsid w:val="00B20258"/>
    <w:rsid w:val="00B20262"/>
    <w:rsid w:val="00B202AF"/>
    <w:rsid w:val="00B202E2"/>
    <w:rsid w:val="00B202F2"/>
    <w:rsid w:val="00B20309"/>
    <w:rsid w:val="00B20313"/>
    <w:rsid w:val="00B20336"/>
    <w:rsid w:val="00B20337"/>
    <w:rsid w:val="00B20362"/>
    <w:rsid w:val="00B20363"/>
    <w:rsid w:val="00B2046E"/>
    <w:rsid w:val="00B20573"/>
    <w:rsid w:val="00B205B6"/>
    <w:rsid w:val="00B205ED"/>
    <w:rsid w:val="00B205F4"/>
    <w:rsid w:val="00B2062D"/>
    <w:rsid w:val="00B2068A"/>
    <w:rsid w:val="00B2069B"/>
    <w:rsid w:val="00B206FC"/>
    <w:rsid w:val="00B2070C"/>
    <w:rsid w:val="00B20726"/>
    <w:rsid w:val="00B20731"/>
    <w:rsid w:val="00B20798"/>
    <w:rsid w:val="00B20837"/>
    <w:rsid w:val="00B2083D"/>
    <w:rsid w:val="00B20854"/>
    <w:rsid w:val="00B208B7"/>
    <w:rsid w:val="00B20968"/>
    <w:rsid w:val="00B20998"/>
    <w:rsid w:val="00B20AC9"/>
    <w:rsid w:val="00B20B71"/>
    <w:rsid w:val="00B20B88"/>
    <w:rsid w:val="00B20BB2"/>
    <w:rsid w:val="00B20C1A"/>
    <w:rsid w:val="00B20C3D"/>
    <w:rsid w:val="00B20C3E"/>
    <w:rsid w:val="00B20C61"/>
    <w:rsid w:val="00B20C70"/>
    <w:rsid w:val="00B20C72"/>
    <w:rsid w:val="00B20CB7"/>
    <w:rsid w:val="00B20CDF"/>
    <w:rsid w:val="00B20D0C"/>
    <w:rsid w:val="00B20D2D"/>
    <w:rsid w:val="00B20DF4"/>
    <w:rsid w:val="00B20EAB"/>
    <w:rsid w:val="00B20EF6"/>
    <w:rsid w:val="00B20F1A"/>
    <w:rsid w:val="00B20F2B"/>
    <w:rsid w:val="00B20F75"/>
    <w:rsid w:val="00B20FA8"/>
    <w:rsid w:val="00B20FBF"/>
    <w:rsid w:val="00B20FEC"/>
    <w:rsid w:val="00B20FF7"/>
    <w:rsid w:val="00B2100F"/>
    <w:rsid w:val="00B210CE"/>
    <w:rsid w:val="00B210F9"/>
    <w:rsid w:val="00B21135"/>
    <w:rsid w:val="00B2116A"/>
    <w:rsid w:val="00B211A9"/>
    <w:rsid w:val="00B211AB"/>
    <w:rsid w:val="00B211C3"/>
    <w:rsid w:val="00B211D6"/>
    <w:rsid w:val="00B211E3"/>
    <w:rsid w:val="00B211F5"/>
    <w:rsid w:val="00B21247"/>
    <w:rsid w:val="00B2125A"/>
    <w:rsid w:val="00B2125B"/>
    <w:rsid w:val="00B21267"/>
    <w:rsid w:val="00B2126B"/>
    <w:rsid w:val="00B21285"/>
    <w:rsid w:val="00B21311"/>
    <w:rsid w:val="00B2133B"/>
    <w:rsid w:val="00B21349"/>
    <w:rsid w:val="00B21365"/>
    <w:rsid w:val="00B21396"/>
    <w:rsid w:val="00B21410"/>
    <w:rsid w:val="00B214AE"/>
    <w:rsid w:val="00B21508"/>
    <w:rsid w:val="00B21579"/>
    <w:rsid w:val="00B215E1"/>
    <w:rsid w:val="00B215EB"/>
    <w:rsid w:val="00B21608"/>
    <w:rsid w:val="00B2161F"/>
    <w:rsid w:val="00B2170D"/>
    <w:rsid w:val="00B21752"/>
    <w:rsid w:val="00B2176E"/>
    <w:rsid w:val="00B21774"/>
    <w:rsid w:val="00B217B9"/>
    <w:rsid w:val="00B217D3"/>
    <w:rsid w:val="00B217E7"/>
    <w:rsid w:val="00B2184A"/>
    <w:rsid w:val="00B2185A"/>
    <w:rsid w:val="00B21891"/>
    <w:rsid w:val="00B218C7"/>
    <w:rsid w:val="00B218DD"/>
    <w:rsid w:val="00B21929"/>
    <w:rsid w:val="00B21977"/>
    <w:rsid w:val="00B21987"/>
    <w:rsid w:val="00B219B5"/>
    <w:rsid w:val="00B219C5"/>
    <w:rsid w:val="00B219FE"/>
    <w:rsid w:val="00B21A0C"/>
    <w:rsid w:val="00B21A6F"/>
    <w:rsid w:val="00B21A98"/>
    <w:rsid w:val="00B21AC0"/>
    <w:rsid w:val="00B21B12"/>
    <w:rsid w:val="00B21B1E"/>
    <w:rsid w:val="00B21B76"/>
    <w:rsid w:val="00B21B82"/>
    <w:rsid w:val="00B21BA9"/>
    <w:rsid w:val="00B21C0F"/>
    <w:rsid w:val="00B21C42"/>
    <w:rsid w:val="00B21C4C"/>
    <w:rsid w:val="00B21D15"/>
    <w:rsid w:val="00B21D16"/>
    <w:rsid w:val="00B21D28"/>
    <w:rsid w:val="00B21D48"/>
    <w:rsid w:val="00B21DE9"/>
    <w:rsid w:val="00B21EB6"/>
    <w:rsid w:val="00B21EB9"/>
    <w:rsid w:val="00B21ED5"/>
    <w:rsid w:val="00B21EE5"/>
    <w:rsid w:val="00B21F02"/>
    <w:rsid w:val="00B21F1A"/>
    <w:rsid w:val="00B21FC8"/>
    <w:rsid w:val="00B21FCE"/>
    <w:rsid w:val="00B21FF8"/>
    <w:rsid w:val="00B22086"/>
    <w:rsid w:val="00B22091"/>
    <w:rsid w:val="00B22138"/>
    <w:rsid w:val="00B221CB"/>
    <w:rsid w:val="00B221E0"/>
    <w:rsid w:val="00B221F7"/>
    <w:rsid w:val="00B22214"/>
    <w:rsid w:val="00B22225"/>
    <w:rsid w:val="00B22244"/>
    <w:rsid w:val="00B22250"/>
    <w:rsid w:val="00B222E1"/>
    <w:rsid w:val="00B222F3"/>
    <w:rsid w:val="00B22316"/>
    <w:rsid w:val="00B2239F"/>
    <w:rsid w:val="00B223B1"/>
    <w:rsid w:val="00B223C0"/>
    <w:rsid w:val="00B223CA"/>
    <w:rsid w:val="00B223CE"/>
    <w:rsid w:val="00B223D3"/>
    <w:rsid w:val="00B22465"/>
    <w:rsid w:val="00B2248C"/>
    <w:rsid w:val="00B224B4"/>
    <w:rsid w:val="00B224C0"/>
    <w:rsid w:val="00B224C2"/>
    <w:rsid w:val="00B224E8"/>
    <w:rsid w:val="00B224FF"/>
    <w:rsid w:val="00B22516"/>
    <w:rsid w:val="00B22540"/>
    <w:rsid w:val="00B2256D"/>
    <w:rsid w:val="00B22581"/>
    <w:rsid w:val="00B22582"/>
    <w:rsid w:val="00B225AA"/>
    <w:rsid w:val="00B225E1"/>
    <w:rsid w:val="00B22613"/>
    <w:rsid w:val="00B2266D"/>
    <w:rsid w:val="00B22690"/>
    <w:rsid w:val="00B226CD"/>
    <w:rsid w:val="00B22710"/>
    <w:rsid w:val="00B22777"/>
    <w:rsid w:val="00B2277E"/>
    <w:rsid w:val="00B22784"/>
    <w:rsid w:val="00B227C3"/>
    <w:rsid w:val="00B227CB"/>
    <w:rsid w:val="00B22804"/>
    <w:rsid w:val="00B22813"/>
    <w:rsid w:val="00B228E9"/>
    <w:rsid w:val="00B2293E"/>
    <w:rsid w:val="00B22949"/>
    <w:rsid w:val="00B22982"/>
    <w:rsid w:val="00B229F9"/>
    <w:rsid w:val="00B22A0A"/>
    <w:rsid w:val="00B22A6D"/>
    <w:rsid w:val="00B22A85"/>
    <w:rsid w:val="00B22AD6"/>
    <w:rsid w:val="00B22B27"/>
    <w:rsid w:val="00B22BCF"/>
    <w:rsid w:val="00B22C4D"/>
    <w:rsid w:val="00B22C7B"/>
    <w:rsid w:val="00B22CCF"/>
    <w:rsid w:val="00B22D0F"/>
    <w:rsid w:val="00B22D35"/>
    <w:rsid w:val="00B22D8E"/>
    <w:rsid w:val="00B22E8A"/>
    <w:rsid w:val="00B22E8B"/>
    <w:rsid w:val="00B22E8C"/>
    <w:rsid w:val="00B22E92"/>
    <w:rsid w:val="00B22EDE"/>
    <w:rsid w:val="00B22EE0"/>
    <w:rsid w:val="00B22F9C"/>
    <w:rsid w:val="00B23023"/>
    <w:rsid w:val="00B2303F"/>
    <w:rsid w:val="00B2306D"/>
    <w:rsid w:val="00B23099"/>
    <w:rsid w:val="00B230B2"/>
    <w:rsid w:val="00B230EF"/>
    <w:rsid w:val="00B2316D"/>
    <w:rsid w:val="00B2317E"/>
    <w:rsid w:val="00B231E5"/>
    <w:rsid w:val="00B231F2"/>
    <w:rsid w:val="00B231F5"/>
    <w:rsid w:val="00B232BD"/>
    <w:rsid w:val="00B232C6"/>
    <w:rsid w:val="00B232D4"/>
    <w:rsid w:val="00B232F1"/>
    <w:rsid w:val="00B232FC"/>
    <w:rsid w:val="00B23358"/>
    <w:rsid w:val="00B23377"/>
    <w:rsid w:val="00B23385"/>
    <w:rsid w:val="00B233B1"/>
    <w:rsid w:val="00B233D3"/>
    <w:rsid w:val="00B23468"/>
    <w:rsid w:val="00B23491"/>
    <w:rsid w:val="00B234F5"/>
    <w:rsid w:val="00B234FE"/>
    <w:rsid w:val="00B2354C"/>
    <w:rsid w:val="00B23564"/>
    <w:rsid w:val="00B2358B"/>
    <w:rsid w:val="00B235A6"/>
    <w:rsid w:val="00B235A9"/>
    <w:rsid w:val="00B235D3"/>
    <w:rsid w:val="00B23605"/>
    <w:rsid w:val="00B23652"/>
    <w:rsid w:val="00B2370E"/>
    <w:rsid w:val="00B23730"/>
    <w:rsid w:val="00B23785"/>
    <w:rsid w:val="00B2380B"/>
    <w:rsid w:val="00B23864"/>
    <w:rsid w:val="00B23865"/>
    <w:rsid w:val="00B238ED"/>
    <w:rsid w:val="00B238F7"/>
    <w:rsid w:val="00B23939"/>
    <w:rsid w:val="00B2397F"/>
    <w:rsid w:val="00B23983"/>
    <w:rsid w:val="00B239F6"/>
    <w:rsid w:val="00B23A2C"/>
    <w:rsid w:val="00B23A41"/>
    <w:rsid w:val="00B23AC7"/>
    <w:rsid w:val="00B23AF6"/>
    <w:rsid w:val="00B23B5F"/>
    <w:rsid w:val="00B23B72"/>
    <w:rsid w:val="00B23B83"/>
    <w:rsid w:val="00B23BD3"/>
    <w:rsid w:val="00B23C5E"/>
    <w:rsid w:val="00B23C7E"/>
    <w:rsid w:val="00B23C82"/>
    <w:rsid w:val="00B23C87"/>
    <w:rsid w:val="00B23C98"/>
    <w:rsid w:val="00B23C9D"/>
    <w:rsid w:val="00B23CAB"/>
    <w:rsid w:val="00B23CF3"/>
    <w:rsid w:val="00B23CFA"/>
    <w:rsid w:val="00B23D45"/>
    <w:rsid w:val="00B23D60"/>
    <w:rsid w:val="00B23DBA"/>
    <w:rsid w:val="00B23DE7"/>
    <w:rsid w:val="00B23E11"/>
    <w:rsid w:val="00B23E1C"/>
    <w:rsid w:val="00B23E29"/>
    <w:rsid w:val="00B23E2F"/>
    <w:rsid w:val="00B23E35"/>
    <w:rsid w:val="00B23F1A"/>
    <w:rsid w:val="00B23F27"/>
    <w:rsid w:val="00B23F65"/>
    <w:rsid w:val="00B23FB8"/>
    <w:rsid w:val="00B23FF0"/>
    <w:rsid w:val="00B23FF1"/>
    <w:rsid w:val="00B2404B"/>
    <w:rsid w:val="00B24079"/>
    <w:rsid w:val="00B2408C"/>
    <w:rsid w:val="00B240A2"/>
    <w:rsid w:val="00B240A7"/>
    <w:rsid w:val="00B240B1"/>
    <w:rsid w:val="00B240E0"/>
    <w:rsid w:val="00B240F9"/>
    <w:rsid w:val="00B24100"/>
    <w:rsid w:val="00B24145"/>
    <w:rsid w:val="00B24178"/>
    <w:rsid w:val="00B2417B"/>
    <w:rsid w:val="00B241F9"/>
    <w:rsid w:val="00B2422C"/>
    <w:rsid w:val="00B24274"/>
    <w:rsid w:val="00B24287"/>
    <w:rsid w:val="00B242C3"/>
    <w:rsid w:val="00B242D9"/>
    <w:rsid w:val="00B242F4"/>
    <w:rsid w:val="00B242FC"/>
    <w:rsid w:val="00B24324"/>
    <w:rsid w:val="00B24377"/>
    <w:rsid w:val="00B243EE"/>
    <w:rsid w:val="00B2442A"/>
    <w:rsid w:val="00B24498"/>
    <w:rsid w:val="00B244B6"/>
    <w:rsid w:val="00B244EF"/>
    <w:rsid w:val="00B244F6"/>
    <w:rsid w:val="00B24584"/>
    <w:rsid w:val="00B245F4"/>
    <w:rsid w:val="00B24631"/>
    <w:rsid w:val="00B24677"/>
    <w:rsid w:val="00B24691"/>
    <w:rsid w:val="00B24694"/>
    <w:rsid w:val="00B246A5"/>
    <w:rsid w:val="00B2472B"/>
    <w:rsid w:val="00B24746"/>
    <w:rsid w:val="00B247D9"/>
    <w:rsid w:val="00B247FD"/>
    <w:rsid w:val="00B2481A"/>
    <w:rsid w:val="00B2488F"/>
    <w:rsid w:val="00B2489A"/>
    <w:rsid w:val="00B248E6"/>
    <w:rsid w:val="00B2494C"/>
    <w:rsid w:val="00B24957"/>
    <w:rsid w:val="00B24967"/>
    <w:rsid w:val="00B24970"/>
    <w:rsid w:val="00B24982"/>
    <w:rsid w:val="00B24985"/>
    <w:rsid w:val="00B2499A"/>
    <w:rsid w:val="00B24A0F"/>
    <w:rsid w:val="00B24A4E"/>
    <w:rsid w:val="00B24B15"/>
    <w:rsid w:val="00B24B34"/>
    <w:rsid w:val="00B24B8A"/>
    <w:rsid w:val="00B24BEB"/>
    <w:rsid w:val="00B24BFB"/>
    <w:rsid w:val="00B24C0E"/>
    <w:rsid w:val="00B24C21"/>
    <w:rsid w:val="00B24C27"/>
    <w:rsid w:val="00B24C40"/>
    <w:rsid w:val="00B24D73"/>
    <w:rsid w:val="00B24DE8"/>
    <w:rsid w:val="00B24DFC"/>
    <w:rsid w:val="00B24E22"/>
    <w:rsid w:val="00B24E38"/>
    <w:rsid w:val="00B24E3B"/>
    <w:rsid w:val="00B24F0C"/>
    <w:rsid w:val="00B24F79"/>
    <w:rsid w:val="00B24F7F"/>
    <w:rsid w:val="00B24F8D"/>
    <w:rsid w:val="00B2505A"/>
    <w:rsid w:val="00B250BD"/>
    <w:rsid w:val="00B250F6"/>
    <w:rsid w:val="00B2515D"/>
    <w:rsid w:val="00B2516D"/>
    <w:rsid w:val="00B25196"/>
    <w:rsid w:val="00B2519F"/>
    <w:rsid w:val="00B251A4"/>
    <w:rsid w:val="00B251AE"/>
    <w:rsid w:val="00B251D1"/>
    <w:rsid w:val="00B251E9"/>
    <w:rsid w:val="00B251FB"/>
    <w:rsid w:val="00B252C1"/>
    <w:rsid w:val="00B25375"/>
    <w:rsid w:val="00B253C3"/>
    <w:rsid w:val="00B25426"/>
    <w:rsid w:val="00B2544F"/>
    <w:rsid w:val="00B25462"/>
    <w:rsid w:val="00B254D8"/>
    <w:rsid w:val="00B25519"/>
    <w:rsid w:val="00B25573"/>
    <w:rsid w:val="00B25605"/>
    <w:rsid w:val="00B256A8"/>
    <w:rsid w:val="00B256DD"/>
    <w:rsid w:val="00B25730"/>
    <w:rsid w:val="00B2574B"/>
    <w:rsid w:val="00B2578C"/>
    <w:rsid w:val="00B2586D"/>
    <w:rsid w:val="00B25893"/>
    <w:rsid w:val="00B258AE"/>
    <w:rsid w:val="00B258ED"/>
    <w:rsid w:val="00B2595C"/>
    <w:rsid w:val="00B25980"/>
    <w:rsid w:val="00B2598B"/>
    <w:rsid w:val="00B259D2"/>
    <w:rsid w:val="00B259DC"/>
    <w:rsid w:val="00B25A4D"/>
    <w:rsid w:val="00B25A60"/>
    <w:rsid w:val="00B25A8C"/>
    <w:rsid w:val="00B25A94"/>
    <w:rsid w:val="00B25AAB"/>
    <w:rsid w:val="00B25AC6"/>
    <w:rsid w:val="00B25AEB"/>
    <w:rsid w:val="00B25AFD"/>
    <w:rsid w:val="00B25B40"/>
    <w:rsid w:val="00B25B4A"/>
    <w:rsid w:val="00B25B52"/>
    <w:rsid w:val="00B25B6D"/>
    <w:rsid w:val="00B25B72"/>
    <w:rsid w:val="00B25B95"/>
    <w:rsid w:val="00B25B9F"/>
    <w:rsid w:val="00B25BBE"/>
    <w:rsid w:val="00B25CEC"/>
    <w:rsid w:val="00B25D20"/>
    <w:rsid w:val="00B25D2C"/>
    <w:rsid w:val="00B25D32"/>
    <w:rsid w:val="00B25DA0"/>
    <w:rsid w:val="00B25DD1"/>
    <w:rsid w:val="00B25E34"/>
    <w:rsid w:val="00B25EAF"/>
    <w:rsid w:val="00B25EBF"/>
    <w:rsid w:val="00B25F21"/>
    <w:rsid w:val="00B25F9A"/>
    <w:rsid w:val="00B25FC9"/>
    <w:rsid w:val="00B25FF9"/>
    <w:rsid w:val="00B2601C"/>
    <w:rsid w:val="00B2604D"/>
    <w:rsid w:val="00B260E3"/>
    <w:rsid w:val="00B26180"/>
    <w:rsid w:val="00B2618E"/>
    <w:rsid w:val="00B261C7"/>
    <w:rsid w:val="00B261D7"/>
    <w:rsid w:val="00B26249"/>
    <w:rsid w:val="00B26291"/>
    <w:rsid w:val="00B262EC"/>
    <w:rsid w:val="00B26310"/>
    <w:rsid w:val="00B2633B"/>
    <w:rsid w:val="00B26380"/>
    <w:rsid w:val="00B263C9"/>
    <w:rsid w:val="00B26406"/>
    <w:rsid w:val="00B2641C"/>
    <w:rsid w:val="00B26487"/>
    <w:rsid w:val="00B26493"/>
    <w:rsid w:val="00B264DF"/>
    <w:rsid w:val="00B2653E"/>
    <w:rsid w:val="00B26591"/>
    <w:rsid w:val="00B265BF"/>
    <w:rsid w:val="00B26704"/>
    <w:rsid w:val="00B26705"/>
    <w:rsid w:val="00B26770"/>
    <w:rsid w:val="00B267AE"/>
    <w:rsid w:val="00B267D8"/>
    <w:rsid w:val="00B267E1"/>
    <w:rsid w:val="00B26812"/>
    <w:rsid w:val="00B268BC"/>
    <w:rsid w:val="00B268C2"/>
    <w:rsid w:val="00B2691A"/>
    <w:rsid w:val="00B26940"/>
    <w:rsid w:val="00B26963"/>
    <w:rsid w:val="00B26986"/>
    <w:rsid w:val="00B269FD"/>
    <w:rsid w:val="00B26A4A"/>
    <w:rsid w:val="00B26A75"/>
    <w:rsid w:val="00B26A79"/>
    <w:rsid w:val="00B26A80"/>
    <w:rsid w:val="00B26A84"/>
    <w:rsid w:val="00B26B04"/>
    <w:rsid w:val="00B26B41"/>
    <w:rsid w:val="00B26B69"/>
    <w:rsid w:val="00B26B70"/>
    <w:rsid w:val="00B26B71"/>
    <w:rsid w:val="00B26B95"/>
    <w:rsid w:val="00B26BEC"/>
    <w:rsid w:val="00B26C14"/>
    <w:rsid w:val="00B26C23"/>
    <w:rsid w:val="00B26C2D"/>
    <w:rsid w:val="00B26C3E"/>
    <w:rsid w:val="00B26C52"/>
    <w:rsid w:val="00B26C64"/>
    <w:rsid w:val="00B26CA2"/>
    <w:rsid w:val="00B26CAD"/>
    <w:rsid w:val="00B26CAF"/>
    <w:rsid w:val="00B26CDC"/>
    <w:rsid w:val="00B26D23"/>
    <w:rsid w:val="00B26D2B"/>
    <w:rsid w:val="00B26D87"/>
    <w:rsid w:val="00B26DD7"/>
    <w:rsid w:val="00B26DF3"/>
    <w:rsid w:val="00B26EE5"/>
    <w:rsid w:val="00B26EE7"/>
    <w:rsid w:val="00B26EF2"/>
    <w:rsid w:val="00B26F02"/>
    <w:rsid w:val="00B26F07"/>
    <w:rsid w:val="00B26F12"/>
    <w:rsid w:val="00B26F13"/>
    <w:rsid w:val="00B26F39"/>
    <w:rsid w:val="00B26F57"/>
    <w:rsid w:val="00B26F82"/>
    <w:rsid w:val="00B26FB9"/>
    <w:rsid w:val="00B26FC4"/>
    <w:rsid w:val="00B26FF6"/>
    <w:rsid w:val="00B27071"/>
    <w:rsid w:val="00B27076"/>
    <w:rsid w:val="00B270CB"/>
    <w:rsid w:val="00B270CF"/>
    <w:rsid w:val="00B270F4"/>
    <w:rsid w:val="00B27106"/>
    <w:rsid w:val="00B27113"/>
    <w:rsid w:val="00B2715D"/>
    <w:rsid w:val="00B271A5"/>
    <w:rsid w:val="00B271CC"/>
    <w:rsid w:val="00B271EF"/>
    <w:rsid w:val="00B271FA"/>
    <w:rsid w:val="00B2725A"/>
    <w:rsid w:val="00B272A4"/>
    <w:rsid w:val="00B272A7"/>
    <w:rsid w:val="00B272D7"/>
    <w:rsid w:val="00B272DB"/>
    <w:rsid w:val="00B27320"/>
    <w:rsid w:val="00B27396"/>
    <w:rsid w:val="00B273B1"/>
    <w:rsid w:val="00B273D2"/>
    <w:rsid w:val="00B2741D"/>
    <w:rsid w:val="00B2743C"/>
    <w:rsid w:val="00B2745C"/>
    <w:rsid w:val="00B2747C"/>
    <w:rsid w:val="00B27481"/>
    <w:rsid w:val="00B274CA"/>
    <w:rsid w:val="00B27523"/>
    <w:rsid w:val="00B27529"/>
    <w:rsid w:val="00B27557"/>
    <w:rsid w:val="00B275EC"/>
    <w:rsid w:val="00B275FB"/>
    <w:rsid w:val="00B2769F"/>
    <w:rsid w:val="00B27789"/>
    <w:rsid w:val="00B2780C"/>
    <w:rsid w:val="00B2783E"/>
    <w:rsid w:val="00B2786E"/>
    <w:rsid w:val="00B27880"/>
    <w:rsid w:val="00B27884"/>
    <w:rsid w:val="00B278CC"/>
    <w:rsid w:val="00B278FE"/>
    <w:rsid w:val="00B2799D"/>
    <w:rsid w:val="00B279DB"/>
    <w:rsid w:val="00B27A0F"/>
    <w:rsid w:val="00B27A93"/>
    <w:rsid w:val="00B27ADD"/>
    <w:rsid w:val="00B27AEB"/>
    <w:rsid w:val="00B27B1D"/>
    <w:rsid w:val="00B27B90"/>
    <w:rsid w:val="00B27C0D"/>
    <w:rsid w:val="00B27C4C"/>
    <w:rsid w:val="00B27D09"/>
    <w:rsid w:val="00B27D30"/>
    <w:rsid w:val="00B27D75"/>
    <w:rsid w:val="00B27D87"/>
    <w:rsid w:val="00B27D8C"/>
    <w:rsid w:val="00B27EB0"/>
    <w:rsid w:val="00B27EC0"/>
    <w:rsid w:val="00B27EEC"/>
    <w:rsid w:val="00B27EF9"/>
    <w:rsid w:val="00B27F4A"/>
    <w:rsid w:val="00B27FF6"/>
    <w:rsid w:val="00B2898E"/>
    <w:rsid w:val="00B2C697"/>
    <w:rsid w:val="00B2D27D"/>
    <w:rsid w:val="00B3002F"/>
    <w:rsid w:val="00B30066"/>
    <w:rsid w:val="00B3008A"/>
    <w:rsid w:val="00B3009D"/>
    <w:rsid w:val="00B3010D"/>
    <w:rsid w:val="00B30143"/>
    <w:rsid w:val="00B30166"/>
    <w:rsid w:val="00B301D4"/>
    <w:rsid w:val="00B301D7"/>
    <w:rsid w:val="00B301ED"/>
    <w:rsid w:val="00B302D1"/>
    <w:rsid w:val="00B302FB"/>
    <w:rsid w:val="00B302FD"/>
    <w:rsid w:val="00B3031A"/>
    <w:rsid w:val="00B3033E"/>
    <w:rsid w:val="00B30372"/>
    <w:rsid w:val="00B303CA"/>
    <w:rsid w:val="00B3040F"/>
    <w:rsid w:val="00B3044C"/>
    <w:rsid w:val="00B304D6"/>
    <w:rsid w:val="00B30528"/>
    <w:rsid w:val="00B30549"/>
    <w:rsid w:val="00B30631"/>
    <w:rsid w:val="00B3063C"/>
    <w:rsid w:val="00B3065C"/>
    <w:rsid w:val="00B30666"/>
    <w:rsid w:val="00B3066D"/>
    <w:rsid w:val="00B30724"/>
    <w:rsid w:val="00B3072C"/>
    <w:rsid w:val="00B30741"/>
    <w:rsid w:val="00B30758"/>
    <w:rsid w:val="00B307EE"/>
    <w:rsid w:val="00B3082D"/>
    <w:rsid w:val="00B3087B"/>
    <w:rsid w:val="00B3087F"/>
    <w:rsid w:val="00B3097A"/>
    <w:rsid w:val="00B309FD"/>
    <w:rsid w:val="00B30A02"/>
    <w:rsid w:val="00B30A52"/>
    <w:rsid w:val="00B30A5A"/>
    <w:rsid w:val="00B30A7F"/>
    <w:rsid w:val="00B30AC3"/>
    <w:rsid w:val="00B30AF1"/>
    <w:rsid w:val="00B30B47"/>
    <w:rsid w:val="00B30B86"/>
    <w:rsid w:val="00B30BB8"/>
    <w:rsid w:val="00B30BD6"/>
    <w:rsid w:val="00B30C13"/>
    <w:rsid w:val="00B30C4E"/>
    <w:rsid w:val="00B30CB2"/>
    <w:rsid w:val="00B30CBB"/>
    <w:rsid w:val="00B30D67"/>
    <w:rsid w:val="00B30D96"/>
    <w:rsid w:val="00B30DC1"/>
    <w:rsid w:val="00B30E11"/>
    <w:rsid w:val="00B30E2B"/>
    <w:rsid w:val="00B30E46"/>
    <w:rsid w:val="00B30EED"/>
    <w:rsid w:val="00B30EFF"/>
    <w:rsid w:val="00B30F02"/>
    <w:rsid w:val="00B30FC4"/>
    <w:rsid w:val="00B30FD4"/>
    <w:rsid w:val="00B3104A"/>
    <w:rsid w:val="00B3104E"/>
    <w:rsid w:val="00B310A3"/>
    <w:rsid w:val="00B310A7"/>
    <w:rsid w:val="00B310B1"/>
    <w:rsid w:val="00B310FD"/>
    <w:rsid w:val="00B310FF"/>
    <w:rsid w:val="00B3110C"/>
    <w:rsid w:val="00B31171"/>
    <w:rsid w:val="00B31172"/>
    <w:rsid w:val="00B311AC"/>
    <w:rsid w:val="00B311E1"/>
    <w:rsid w:val="00B312DB"/>
    <w:rsid w:val="00B31319"/>
    <w:rsid w:val="00B3135A"/>
    <w:rsid w:val="00B31371"/>
    <w:rsid w:val="00B3150D"/>
    <w:rsid w:val="00B31528"/>
    <w:rsid w:val="00B31538"/>
    <w:rsid w:val="00B3153D"/>
    <w:rsid w:val="00B31553"/>
    <w:rsid w:val="00B3156B"/>
    <w:rsid w:val="00B315CB"/>
    <w:rsid w:val="00B315EA"/>
    <w:rsid w:val="00B31627"/>
    <w:rsid w:val="00B31646"/>
    <w:rsid w:val="00B316D5"/>
    <w:rsid w:val="00B31709"/>
    <w:rsid w:val="00B3187C"/>
    <w:rsid w:val="00B318E6"/>
    <w:rsid w:val="00B318FF"/>
    <w:rsid w:val="00B3193E"/>
    <w:rsid w:val="00B31962"/>
    <w:rsid w:val="00B31975"/>
    <w:rsid w:val="00B31A2B"/>
    <w:rsid w:val="00B31A42"/>
    <w:rsid w:val="00B31A56"/>
    <w:rsid w:val="00B31A6B"/>
    <w:rsid w:val="00B31AD2"/>
    <w:rsid w:val="00B31ADD"/>
    <w:rsid w:val="00B31B13"/>
    <w:rsid w:val="00B31B1D"/>
    <w:rsid w:val="00B31B36"/>
    <w:rsid w:val="00B31B4C"/>
    <w:rsid w:val="00B31B6D"/>
    <w:rsid w:val="00B31BB1"/>
    <w:rsid w:val="00B31BD4"/>
    <w:rsid w:val="00B31BF6"/>
    <w:rsid w:val="00B31BF9"/>
    <w:rsid w:val="00B31C39"/>
    <w:rsid w:val="00B31C6E"/>
    <w:rsid w:val="00B31CC8"/>
    <w:rsid w:val="00B31CE4"/>
    <w:rsid w:val="00B31D8A"/>
    <w:rsid w:val="00B31E38"/>
    <w:rsid w:val="00B31E3A"/>
    <w:rsid w:val="00B31E98"/>
    <w:rsid w:val="00B31EBE"/>
    <w:rsid w:val="00B31EC1"/>
    <w:rsid w:val="00B31EC4"/>
    <w:rsid w:val="00B31ECD"/>
    <w:rsid w:val="00B31F35"/>
    <w:rsid w:val="00B31F6C"/>
    <w:rsid w:val="00B31F7B"/>
    <w:rsid w:val="00B31FBC"/>
    <w:rsid w:val="00B3201F"/>
    <w:rsid w:val="00B32064"/>
    <w:rsid w:val="00B320B2"/>
    <w:rsid w:val="00B320B4"/>
    <w:rsid w:val="00B320C6"/>
    <w:rsid w:val="00B3214B"/>
    <w:rsid w:val="00B3218F"/>
    <w:rsid w:val="00B321BF"/>
    <w:rsid w:val="00B32223"/>
    <w:rsid w:val="00B32256"/>
    <w:rsid w:val="00B32257"/>
    <w:rsid w:val="00B32269"/>
    <w:rsid w:val="00B32288"/>
    <w:rsid w:val="00B322A6"/>
    <w:rsid w:val="00B322D4"/>
    <w:rsid w:val="00B322E5"/>
    <w:rsid w:val="00B32350"/>
    <w:rsid w:val="00B323A0"/>
    <w:rsid w:val="00B32419"/>
    <w:rsid w:val="00B324A5"/>
    <w:rsid w:val="00B324D5"/>
    <w:rsid w:val="00B324D9"/>
    <w:rsid w:val="00B324E8"/>
    <w:rsid w:val="00B324E9"/>
    <w:rsid w:val="00B32556"/>
    <w:rsid w:val="00B32559"/>
    <w:rsid w:val="00B325C8"/>
    <w:rsid w:val="00B325CD"/>
    <w:rsid w:val="00B32612"/>
    <w:rsid w:val="00B32642"/>
    <w:rsid w:val="00B32652"/>
    <w:rsid w:val="00B327A0"/>
    <w:rsid w:val="00B327E9"/>
    <w:rsid w:val="00B32837"/>
    <w:rsid w:val="00B3286B"/>
    <w:rsid w:val="00B32885"/>
    <w:rsid w:val="00B328D7"/>
    <w:rsid w:val="00B3293E"/>
    <w:rsid w:val="00B32991"/>
    <w:rsid w:val="00B329A0"/>
    <w:rsid w:val="00B32A36"/>
    <w:rsid w:val="00B32A90"/>
    <w:rsid w:val="00B32AC9"/>
    <w:rsid w:val="00B32ADB"/>
    <w:rsid w:val="00B32B3A"/>
    <w:rsid w:val="00B32BAA"/>
    <w:rsid w:val="00B32BEC"/>
    <w:rsid w:val="00B32C23"/>
    <w:rsid w:val="00B32C9B"/>
    <w:rsid w:val="00B32D2A"/>
    <w:rsid w:val="00B32D8D"/>
    <w:rsid w:val="00B32DBE"/>
    <w:rsid w:val="00B32DD1"/>
    <w:rsid w:val="00B32E03"/>
    <w:rsid w:val="00B32E0A"/>
    <w:rsid w:val="00B32E1B"/>
    <w:rsid w:val="00B32EA5"/>
    <w:rsid w:val="00B32EEF"/>
    <w:rsid w:val="00B32F4C"/>
    <w:rsid w:val="00B32F67"/>
    <w:rsid w:val="00B32FF7"/>
    <w:rsid w:val="00B33035"/>
    <w:rsid w:val="00B330C8"/>
    <w:rsid w:val="00B33103"/>
    <w:rsid w:val="00B33110"/>
    <w:rsid w:val="00B331E1"/>
    <w:rsid w:val="00B332DF"/>
    <w:rsid w:val="00B33307"/>
    <w:rsid w:val="00B3330E"/>
    <w:rsid w:val="00B3334B"/>
    <w:rsid w:val="00B333C8"/>
    <w:rsid w:val="00B333E8"/>
    <w:rsid w:val="00B333FE"/>
    <w:rsid w:val="00B33419"/>
    <w:rsid w:val="00B33445"/>
    <w:rsid w:val="00B33475"/>
    <w:rsid w:val="00B334A4"/>
    <w:rsid w:val="00B334EC"/>
    <w:rsid w:val="00B334F3"/>
    <w:rsid w:val="00B335AB"/>
    <w:rsid w:val="00B335C3"/>
    <w:rsid w:val="00B335F8"/>
    <w:rsid w:val="00B3360F"/>
    <w:rsid w:val="00B3362C"/>
    <w:rsid w:val="00B3366B"/>
    <w:rsid w:val="00B33672"/>
    <w:rsid w:val="00B336C8"/>
    <w:rsid w:val="00B336D3"/>
    <w:rsid w:val="00B336DC"/>
    <w:rsid w:val="00B336E0"/>
    <w:rsid w:val="00B336F8"/>
    <w:rsid w:val="00B3370F"/>
    <w:rsid w:val="00B33733"/>
    <w:rsid w:val="00B3374F"/>
    <w:rsid w:val="00B33759"/>
    <w:rsid w:val="00B337BF"/>
    <w:rsid w:val="00B337DF"/>
    <w:rsid w:val="00B3382C"/>
    <w:rsid w:val="00B33852"/>
    <w:rsid w:val="00B33859"/>
    <w:rsid w:val="00B33867"/>
    <w:rsid w:val="00B33869"/>
    <w:rsid w:val="00B3386C"/>
    <w:rsid w:val="00B338E6"/>
    <w:rsid w:val="00B3399E"/>
    <w:rsid w:val="00B339AC"/>
    <w:rsid w:val="00B339CB"/>
    <w:rsid w:val="00B339F0"/>
    <w:rsid w:val="00B33A4D"/>
    <w:rsid w:val="00B33A89"/>
    <w:rsid w:val="00B33A8E"/>
    <w:rsid w:val="00B33AB7"/>
    <w:rsid w:val="00B33AD2"/>
    <w:rsid w:val="00B33B54"/>
    <w:rsid w:val="00B33B72"/>
    <w:rsid w:val="00B33B7E"/>
    <w:rsid w:val="00B33BC3"/>
    <w:rsid w:val="00B33C00"/>
    <w:rsid w:val="00B33C05"/>
    <w:rsid w:val="00B33CD0"/>
    <w:rsid w:val="00B33D05"/>
    <w:rsid w:val="00B33D2C"/>
    <w:rsid w:val="00B33D58"/>
    <w:rsid w:val="00B33D66"/>
    <w:rsid w:val="00B33DDD"/>
    <w:rsid w:val="00B33E10"/>
    <w:rsid w:val="00B33E17"/>
    <w:rsid w:val="00B33E8B"/>
    <w:rsid w:val="00B33EC6"/>
    <w:rsid w:val="00B33ED2"/>
    <w:rsid w:val="00B33F3F"/>
    <w:rsid w:val="00B33F54"/>
    <w:rsid w:val="00B33F65"/>
    <w:rsid w:val="00B33F70"/>
    <w:rsid w:val="00B33F82"/>
    <w:rsid w:val="00B33FAB"/>
    <w:rsid w:val="00B33FBA"/>
    <w:rsid w:val="00B33FC7"/>
    <w:rsid w:val="00B3404C"/>
    <w:rsid w:val="00B34054"/>
    <w:rsid w:val="00B34099"/>
    <w:rsid w:val="00B340D1"/>
    <w:rsid w:val="00B340D5"/>
    <w:rsid w:val="00B340F4"/>
    <w:rsid w:val="00B34127"/>
    <w:rsid w:val="00B3414E"/>
    <w:rsid w:val="00B34157"/>
    <w:rsid w:val="00B341A2"/>
    <w:rsid w:val="00B341B8"/>
    <w:rsid w:val="00B341CD"/>
    <w:rsid w:val="00B34202"/>
    <w:rsid w:val="00B34224"/>
    <w:rsid w:val="00B3424F"/>
    <w:rsid w:val="00B34266"/>
    <w:rsid w:val="00B342A5"/>
    <w:rsid w:val="00B342CA"/>
    <w:rsid w:val="00B34324"/>
    <w:rsid w:val="00B34337"/>
    <w:rsid w:val="00B3433B"/>
    <w:rsid w:val="00B34368"/>
    <w:rsid w:val="00B343A0"/>
    <w:rsid w:val="00B3441C"/>
    <w:rsid w:val="00B34425"/>
    <w:rsid w:val="00B3443B"/>
    <w:rsid w:val="00B3445A"/>
    <w:rsid w:val="00B34550"/>
    <w:rsid w:val="00B345D6"/>
    <w:rsid w:val="00B3461D"/>
    <w:rsid w:val="00B34645"/>
    <w:rsid w:val="00B34697"/>
    <w:rsid w:val="00B346AF"/>
    <w:rsid w:val="00B34720"/>
    <w:rsid w:val="00B3473C"/>
    <w:rsid w:val="00B3476D"/>
    <w:rsid w:val="00B34783"/>
    <w:rsid w:val="00B34789"/>
    <w:rsid w:val="00B3479D"/>
    <w:rsid w:val="00B347C4"/>
    <w:rsid w:val="00B347E7"/>
    <w:rsid w:val="00B347F5"/>
    <w:rsid w:val="00B3481B"/>
    <w:rsid w:val="00B34844"/>
    <w:rsid w:val="00B348A6"/>
    <w:rsid w:val="00B348C4"/>
    <w:rsid w:val="00B34943"/>
    <w:rsid w:val="00B3495F"/>
    <w:rsid w:val="00B3497B"/>
    <w:rsid w:val="00B3497D"/>
    <w:rsid w:val="00B34989"/>
    <w:rsid w:val="00B34A23"/>
    <w:rsid w:val="00B34A30"/>
    <w:rsid w:val="00B34A41"/>
    <w:rsid w:val="00B34ACE"/>
    <w:rsid w:val="00B34AEC"/>
    <w:rsid w:val="00B34BC8"/>
    <w:rsid w:val="00B34BDE"/>
    <w:rsid w:val="00B34CC8"/>
    <w:rsid w:val="00B34D73"/>
    <w:rsid w:val="00B34DA3"/>
    <w:rsid w:val="00B34DAD"/>
    <w:rsid w:val="00B34DF3"/>
    <w:rsid w:val="00B34DF8"/>
    <w:rsid w:val="00B34E1B"/>
    <w:rsid w:val="00B34E7B"/>
    <w:rsid w:val="00B34EAE"/>
    <w:rsid w:val="00B34F20"/>
    <w:rsid w:val="00B34F6A"/>
    <w:rsid w:val="00B34F70"/>
    <w:rsid w:val="00B34FA4"/>
    <w:rsid w:val="00B34FA7"/>
    <w:rsid w:val="00B34FAC"/>
    <w:rsid w:val="00B34FF4"/>
    <w:rsid w:val="00B35006"/>
    <w:rsid w:val="00B35035"/>
    <w:rsid w:val="00B35062"/>
    <w:rsid w:val="00B35070"/>
    <w:rsid w:val="00B350F9"/>
    <w:rsid w:val="00B3513D"/>
    <w:rsid w:val="00B351C1"/>
    <w:rsid w:val="00B351E2"/>
    <w:rsid w:val="00B35240"/>
    <w:rsid w:val="00B3529A"/>
    <w:rsid w:val="00B352A2"/>
    <w:rsid w:val="00B352C4"/>
    <w:rsid w:val="00B352C9"/>
    <w:rsid w:val="00B352F9"/>
    <w:rsid w:val="00B3533E"/>
    <w:rsid w:val="00B35383"/>
    <w:rsid w:val="00B353C2"/>
    <w:rsid w:val="00B35481"/>
    <w:rsid w:val="00B354B1"/>
    <w:rsid w:val="00B3555E"/>
    <w:rsid w:val="00B35562"/>
    <w:rsid w:val="00B35589"/>
    <w:rsid w:val="00B355A4"/>
    <w:rsid w:val="00B355B7"/>
    <w:rsid w:val="00B355C6"/>
    <w:rsid w:val="00B3564D"/>
    <w:rsid w:val="00B3569A"/>
    <w:rsid w:val="00B356ED"/>
    <w:rsid w:val="00B3571E"/>
    <w:rsid w:val="00B3573B"/>
    <w:rsid w:val="00B3575D"/>
    <w:rsid w:val="00B35765"/>
    <w:rsid w:val="00B357A4"/>
    <w:rsid w:val="00B357AD"/>
    <w:rsid w:val="00B3581F"/>
    <w:rsid w:val="00B35837"/>
    <w:rsid w:val="00B35888"/>
    <w:rsid w:val="00B35892"/>
    <w:rsid w:val="00B358CE"/>
    <w:rsid w:val="00B3590A"/>
    <w:rsid w:val="00B3591E"/>
    <w:rsid w:val="00B35967"/>
    <w:rsid w:val="00B3597A"/>
    <w:rsid w:val="00B359DF"/>
    <w:rsid w:val="00B35A10"/>
    <w:rsid w:val="00B35A45"/>
    <w:rsid w:val="00B35A89"/>
    <w:rsid w:val="00B35AD8"/>
    <w:rsid w:val="00B35AEE"/>
    <w:rsid w:val="00B35AEF"/>
    <w:rsid w:val="00B35C19"/>
    <w:rsid w:val="00B35C77"/>
    <w:rsid w:val="00B35C85"/>
    <w:rsid w:val="00B35CBA"/>
    <w:rsid w:val="00B35CE2"/>
    <w:rsid w:val="00B35CEC"/>
    <w:rsid w:val="00B35D22"/>
    <w:rsid w:val="00B35D24"/>
    <w:rsid w:val="00B35D37"/>
    <w:rsid w:val="00B35E44"/>
    <w:rsid w:val="00B35E4C"/>
    <w:rsid w:val="00B35E75"/>
    <w:rsid w:val="00B35F6F"/>
    <w:rsid w:val="00B35FA2"/>
    <w:rsid w:val="00B35FAB"/>
    <w:rsid w:val="00B35FB8"/>
    <w:rsid w:val="00B35FBE"/>
    <w:rsid w:val="00B35FE1"/>
    <w:rsid w:val="00B3604D"/>
    <w:rsid w:val="00B36069"/>
    <w:rsid w:val="00B360D3"/>
    <w:rsid w:val="00B36113"/>
    <w:rsid w:val="00B36132"/>
    <w:rsid w:val="00B3617A"/>
    <w:rsid w:val="00B36184"/>
    <w:rsid w:val="00B361D9"/>
    <w:rsid w:val="00B3621D"/>
    <w:rsid w:val="00B36236"/>
    <w:rsid w:val="00B36239"/>
    <w:rsid w:val="00B3626F"/>
    <w:rsid w:val="00B36280"/>
    <w:rsid w:val="00B362B9"/>
    <w:rsid w:val="00B363A9"/>
    <w:rsid w:val="00B363CB"/>
    <w:rsid w:val="00B36492"/>
    <w:rsid w:val="00B364CE"/>
    <w:rsid w:val="00B364EC"/>
    <w:rsid w:val="00B36556"/>
    <w:rsid w:val="00B3656A"/>
    <w:rsid w:val="00B3659D"/>
    <w:rsid w:val="00B365BD"/>
    <w:rsid w:val="00B365CA"/>
    <w:rsid w:val="00B365DE"/>
    <w:rsid w:val="00B36664"/>
    <w:rsid w:val="00B366B5"/>
    <w:rsid w:val="00B366FE"/>
    <w:rsid w:val="00B3672C"/>
    <w:rsid w:val="00B367BD"/>
    <w:rsid w:val="00B367F6"/>
    <w:rsid w:val="00B36812"/>
    <w:rsid w:val="00B3682C"/>
    <w:rsid w:val="00B36927"/>
    <w:rsid w:val="00B36929"/>
    <w:rsid w:val="00B36958"/>
    <w:rsid w:val="00B36987"/>
    <w:rsid w:val="00B3698B"/>
    <w:rsid w:val="00B369E5"/>
    <w:rsid w:val="00B369E6"/>
    <w:rsid w:val="00B369EC"/>
    <w:rsid w:val="00B36A61"/>
    <w:rsid w:val="00B36ACA"/>
    <w:rsid w:val="00B36AD6"/>
    <w:rsid w:val="00B36B22"/>
    <w:rsid w:val="00B36B27"/>
    <w:rsid w:val="00B36B65"/>
    <w:rsid w:val="00B36C05"/>
    <w:rsid w:val="00B36C0E"/>
    <w:rsid w:val="00B36C16"/>
    <w:rsid w:val="00B36C3E"/>
    <w:rsid w:val="00B36CA5"/>
    <w:rsid w:val="00B36CCB"/>
    <w:rsid w:val="00B36D70"/>
    <w:rsid w:val="00B36DB0"/>
    <w:rsid w:val="00B36DE3"/>
    <w:rsid w:val="00B36E2B"/>
    <w:rsid w:val="00B36E41"/>
    <w:rsid w:val="00B36E64"/>
    <w:rsid w:val="00B36EC1"/>
    <w:rsid w:val="00B36FC7"/>
    <w:rsid w:val="00B36FE4"/>
    <w:rsid w:val="00B37058"/>
    <w:rsid w:val="00B37060"/>
    <w:rsid w:val="00B3706E"/>
    <w:rsid w:val="00B3708E"/>
    <w:rsid w:val="00B370A2"/>
    <w:rsid w:val="00B37177"/>
    <w:rsid w:val="00B37194"/>
    <w:rsid w:val="00B371A6"/>
    <w:rsid w:val="00B37240"/>
    <w:rsid w:val="00B37259"/>
    <w:rsid w:val="00B37293"/>
    <w:rsid w:val="00B372B3"/>
    <w:rsid w:val="00B372D5"/>
    <w:rsid w:val="00B37313"/>
    <w:rsid w:val="00B37333"/>
    <w:rsid w:val="00B37374"/>
    <w:rsid w:val="00B37388"/>
    <w:rsid w:val="00B373AC"/>
    <w:rsid w:val="00B373C8"/>
    <w:rsid w:val="00B373D8"/>
    <w:rsid w:val="00B37407"/>
    <w:rsid w:val="00B37415"/>
    <w:rsid w:val="00B3743E"/>
    <w:rsid w:val="00B3744B"/>
    <w:rsid w:val="00B37452"/>
    <w:rsid w:val="00B37481"/>
    <w:rsid w:val="00B37483"/>
    <w:rsid w:val="00B37485"/>
    <w:rsid w:val="00B37491"/>
    <w:rsid w:val="00B374AD"/>
    <w:rsid w:val="00B37502"/>
    <w:rsid w:val="00B3750E"/>
    <w:rsid w:val="00B37543"/>
    <w:rsid w:val="00B375F6"/>
    <w:rsid w:val="00B3761D"/>
    <w:rsid w:val="00B37623"/>
    <w:rsid w:val="00B376AC"/>
    <w:rsid w:val="00B376F7"/>
    <w:rsid w:val="00B3770C"/>
    <w:rsid w:val="00B377A3"/>
    <w:rsid w:val="00B377B1"/>
    <w:rsid w:val="00B377B8"/>
    <w:rsid w:val="00B377E3"/>
    <w:rsid w:val="00B377EE"/>
    <w:rsid w:val="00B3782C"/>
    <w:rsid w:val="00B3784F"/>
    <w:rsid w:val="00B3786B"/>
    <w:rsid w:val="00B3793C"/>
    <w:rsid w:val="00B37A06"/>
    <w:rsid w:val="00B37A41"/>
    <w:rsid w:val="00B37A44"/>
    <w:rsid w:val="00B37A74"/>
    <w:rsid w:val="00B37A8A"/>
    <w:rsid w:val="00B37AF5"/>
    <w:rsid w:val="00B37B2B"/>
    <w:rsid w:val="00B37B4A"/>
    <w:rsid w:val="00B37B4D"/>
    <w:rsid w:val="00B37B60"/>
    <w:rsid w:val="00B37BBB"/>
    <w:rsid w:val="00B37C44"/>
    <w:rsid w:val="00B37C83"/>
    <w:rsid w:val="00B37CB7"/>
    <w:rsid w:val="00B37CFC"/>
    <w:rsid w:val="00B37D44"/>
    <w:rsid w:val="00B37D4A"/>
    <w:rsid w:val="00B37D4F"/>
    <w:rsid w:val="00B37D79"/>
    <w:rsid w:val="00B37DBC"/>
    <w:rsid w:val="00B37DFF"/>
    <w:rsid w:val="00B37E09"/>
    <w:rsid w:val="00B37E4B"/>
    <w:rsid w:val="00B37E75"/>
    <w:rsid w:val="00B37EC4"/>
    <w:rsid w:val="00B37EC8"/>
    <w:rsid w:val="00B37ED0"/>
    <w:rsid w:val="00B37F9C"/>
    <w:rsid w:val="00B37FB9"/>
    <w:rsid w:val="00B37FF9"/>
    <w:rsid w:val="00B38295"/>
    <w:rsid w:val="00B3C880"/>
    <w:rsid w:val="00B40022"/>
    <w:rsid w:val="00B400B2"/>
    <w:rsid w:val="00B40170"/>
    <w:rsid w:val="00B4019C"/>
    <w:rsid w:val="00B401D8"/>
    <w:rsid w:val="00B4023D"/>
    <w:rsid w:val="00B40258"/>
    <w:rsid w:val="00B4025F"/>
    <w:rsid w:val="00B40264"/>
    <w:rsid w:val="00B402C0"/>
    <w:rsid w:val="00B402EC"/>
    <w:rsid w:val="00B4037B"/>
    <w:rsid w:val="00B4038F"/>
    <w:rsid w:val="00B403ED"/>
    <w:rsid w:val="00B40408"/>
    <w:rsid w:val="00B4047D"/>
    <w:rsid w:val="00B404C8"/>
    <w:rsid w:val="00B404D7"/>
    <w:rsid w:val="00B40544"/>
    <w:rsid w:val="00B4058A"/>
    <w:rsid w:val="00B40599"/>
    <w:rsid w:val="00B4061A"/>
    <w:rsid w:val="00B40642"/>
    <w:rsid w:val="00B406BE"/>
    <w:rsid w:val="00B406D0"/>
    <w:rsid w:val="00B406D3"/>
    <w:rsid w:val="00B406DC"/>
    <w:rsid w:val="00B406DF"/>
    <w:rsid w:val="00B4077A"/>
    <w:rsid w:val="00B407CB"/>
    <w:rsid w:val="00B407E6"/>
    <w:rsid w:val="00B40822"/>
    <w:rsid w:val="00B40829"/>
    <w:rsid w:val="00B408FB"/>
    <w:rsid w:val="00B40974"/>
    <w:rsid w:val="00B4098A"/>
    <w:rsid w:val="00B409CA"/>
    <w:rsid w:val="00B409D5"/>
    <w:rsid w:val="00B409F7"/>
    <w:rsid w:val="00B409FC"/>
    <w:rsid w:val="00B40A24"/>
    <w:rsid w:val="00B40A5B"/>
    <w:rsid w:val="00B40AC5"/>
    <w:rsid w:val="00B40B06"/>
    <w:rsid w:val="00B40B31"/>
    <w:rsid w:val="00B40B38"/>
    <w:rsid w:val="00B40B57"/>
    <w:rsid w:val="00B40B98"/>
    <w:rsid w:val="00B40BD2"/>
    <w:rsid w:val="00B40C67"/>
    <w:rsid w:val="00B40CA3"/>
    <w:rsid w:val="00B40D1B"/>
    <w:rsid w:val="00B40D31"/>
    <w:rsid w:val="00B40D6C"/>
    <w:rsid w:val="00B40D6F"/>
    <w:rsid w:val="00B40D86"/>
    <w:rsid w:val="00B40DA7"/>
    <w:rsid w:val="00B40DB9"/>
    <w:rsid w:val="00B40E0F"/>
    <w:rsid w:val="00B40E16"/>
    <w:rsid w:val="00B40E6E"/>
    <w:rsid w:val="00B40E74"/>
    <w:rsid w:val="00B40EDA"/>
    <w:rsid w:val="00B40F2F"/>
    <w:rsid w:val="00B40FE7"/>
    <w:rsid w:val="00B4101F"/>
    <w:rsid w:val="00B41065"/>
    <w:rsid w:val="00B410CE"/>
    <w:rsid w:val="00B4111B"/>
    <w:rsid w:val="00B41128"/>
    <w:rsid w:val="00B41155"/>
    <w:rsid w:val="00B41181"/>
    <w:rsid w:val="00B411B8"/>
    <w:rsid w:val="00B41229"/>
    <w:rsid w:val="00B4122F"/>
    <w:rsid w:val="00B41244"/>
    <w:rsid w:val="00B4126D"/>
    <w:rsid w:val="00B41299"/>
    <w:rsid w:val="00B412A7"/>
    <w:rsid w:val="00B412F4"/>
    <w:rsid w:val="00B41373"/>
    <w:rsid w:val="00B4139D"/>
    <w:rsid w:val="00B413DE"/>
    <w:rsid w:val="00B413E3"/>
    <w:rsid w:val="00B413FA"/>
    <w:rsid w:val="00B413FD"/>
    <w:rsid w:val="00B41404"/>
    <w:rsid w:val="00B4149B"/>
    <w:rsid w:val="00B414B9"/>
    <w:rsid w:val="00B414D4"/>
    <w:rsid w:val="00B414FF"/>
    <w:rsid w:val="00B41517"/>
    <w:rsid w:val="00B41530"/>
    <w:rsid w:val="00B41553"/>
    <w:rsid w:val="00B415C0"/>
    <w:rsid w:val="00B415C3"/>
    <w:rsid w:val="00B415EB"/>
    <w:rsid w:val="00B415F9"/>
    <w:rsid w:val="00B4163F"/>
    <w:rsid w:val="00B41714"/>
    <w:rsid w:val="00B4179A"/>
    <w:rsid w:val="00B417AB"/>
    <w:rsid w:val="00B417D7"/>
    <w:rsid w:val="00B41866"/>
    <w:rsid w:val="00B41886"/>
    <w:rsid w:val="00B418B1"/>
    <w:rsid w:val="00B418C2"/>
    <w:rsid w:val="00B41900"/>
    <w:rsid w:val="00B4194D"/>
    <w:rsid w:val="00B41951"/>
    <w:rsid w:val="00B419B4"/>
    <w:rsid w:val="00B419B7"/>
    <w:rsid w:val="00B419D3"/>
    <w:rsid w:val="00B419F6"/>
    <w:rsid w:val="00B41A26"/>
    <w:rsid w:val="00B41AAC"/>
    <w:rsid w:val="00B41AE0"/>
    <w:rsid w:val="00B41AED"/>
    <w:rsid w:val="00B41AF3"/>
    <w:rsid w:val="00B41AFD"/>
    <w:rsid w:val="00B41BAC"/>
    <w:rsid w:val="00B41BC6"/>
    <w:rsid w:val="00B41BD6"/>
    <w:rsid w:val="00B41C04"/>
    <w:rsid w:val="00B41C1E"/>
    <w:rsid w:val="00B41C87"/>
    <w:rsid w:val="00B41C89"/>
    <w:rsid w:val="00B41C8C"/>
    <w:rsid w:val="00B41CB0"/>
    <w:rsid w:val="00B41CD1"/>
    <w:rsid w:val="00B41D10"/>
    <w:rsid w:val="00B41D1C"/>
    <w:rsid w:val="00B41D81"/>
    <w:rsid w:val="00B41D89"/>
    <w:rsid w:val="00B41DCB"/>
    <w:rsid w:val="00B41E0C"/>
    <w:rsid w:val="00B41E19"/>
    <w:rsid w:val="00B41E1E"/>
    <w:rsid w:val="00B41EEA"/>
    <w:rsid w:val="00B41EF9"/>
    <w:rsid w:val="00B41F06"/>
    <w:rsid w:val="00B41F1D"/>
    <w:rsid w:val="00B41F67"/>
    <w:rsid w:val="00B41F6B"/>
    <w:rsid w:val="00B4205F"/>
    <w:rsid w:val="00B42074"/>
    <w:rsid w:val="00B420D4"/>
    <w:rsid w:val="00B420E1"/>
    <w:rsid w:val="00B4210B"/>
    <w:rsid w:val="00B42111"/>
    <w:rsid w:val="00B4215D"/>
    <w:rsid w:val="00B4215E"/>
    <w:rsid w:val="00B42161"/>
    <w:rsid w:val="00B42167"/>
    <w:rsid w:val="00B4216F"/>
    <w:rsid w:val="00B421CE"/>
    <w:rsid w:val="00B42237"/>
    <w:rsid w:val="00B422A0"/>
    <w:rsid w:val="00B422D2"/>
    <w:rsid w:val="00B42332"/>
    <w:rsid w:val="00B4234D"/>
    <w:rsid w:val="00B423AE"/>
    <w:rsid w:val="00B423F0"/>
    <w:rsid w:val="00B4240E"/>
    <w:rsid w:val="00B42432"/>
    <w:rsid w:val="00B42470"/>
    <w:rsid w:val="00B424A1"/>
    <w:rsid w:val="00B424BA"/>
    <w:rsid w:val="00B424BD"/>
    <w:rsid w:val="00B424C7"/>
    <w:rsid w:val="00B424F2"/>
    <w:rsid w:val="00B424F3"/>
    <w:rsid w:val="00B42503"/>
    <w:rsid w:val="00B42532"/>
    <w:rsid w:val="00B4258C"/>
    <w:rsid w:val="00B425B0"/>
    <w:rsid w:val="00B4263E"/>
    <w:rsid w:val="00B426AA"/>
    <w:rsid w:val="00B42718"/>
    <w:rsid w:val="00B42779"/>
    <w:rsid w:val="00B427BB"/>
    <w:rsid w:val="00B42811"/>
    <w:rsid w:val="00B42857"/>
    <w:rsid w:val="00B4287F"/>
    <w:rsid w:val="00B42904"/>
    <w:rsid w:val="00B42934"/>
    <w:rsid w:val="00B42969"/>
    <w:rsid w:val="00B42972"/>
    <w:rsid w:val="00B4297F"/>
    <w:rsid w:val="00B429AC"/>
    <w:rsid w:val="00B42A24"/>
    <w:rsid w:val="00B42A6B"/>
    <w:rsid w:val="00B42A96"/>
    <w:rsid w:val="00B42AE3"/>
    <w:rsid w:val="00B42B03"/>
    <w:rsid w:val="00B42B22"/>
    <w:rsid w:val="00B42BC0"/>
    <w:rsid w:val="00B42C8B"/>
    <w:rsid w:val="00B42D2C"/>
    <w:rsid w:val="00B42D60"/>
    <w:rsid w:val="00B42D62"/>
    <w:rsid w:val="00B42D72"/>
    <w:rsid w:val="00B42D74"/>
    <w:rsid w:val="00B42D9B"/>
    <w:rsid w:val="00B42DDA"/>
    <w:rsid w:val="00B42DDE"/>
    <w:rsid w:val="00B42DE9"/>
    <w:rsid w:val="00B42DFE"/>
    <w:rsid w:val="00B42E22"/>
    <w:rsid w:val="00B42ECD"/>
    <w:rsid w:val="00B42EE0"/>
    <w:rsid w:val="00B42F02"/>
    <w:rsid w:val="00B42F2F"/>
    <w:rsid w:val="00B42F32"/>
    <w:rsid w:val="00B42FA5"/>
    <w:rsid w:val="00B42FD6"/>
    <w:rsid w:val="00B4300A"/>
    <w:rsid w:val="00B4302D"/>
    <w:rsid w:val="00B43053"/>
    <w:rsid w:val="00B43073"/>
    <w:rsid w:val="00B4307A"/>
    <w:rsid w:val="00B43145"/>
    <w:rsid w:val="00B4318D"/>
    <w:rsid w:val="00B43261"/>
    <w:rsid w:val="00B432A4"/>
    <w:rsid w:val="00B432C3"/>
    <w:rsid w:val="00B432CE"/>
    <w:rsid w:val="00B432D5"/>
    <w:rsid w:val="00B43320"/>
    <w:rsid w:val="00B43375"/>
    <w:rsid w:val="00B433E6"/>
    <w:rsid w:val="00B433EE"/>
    <w:rsid w:val="00B4349F"/>
    <w:rsid w:val="00B434EF"/>
    <w:rsid w:val="00B43500"/>
    <w:rsid w:val="00B4356C"/>
    <w:rsid w:val="00B43579"/>
    <w:rsid w:val="00B4360F"/>
    <w:rsid w:val="00B43645"/>
    <w:rsid w:val="00B4364A"/>
    <w:rsid w:val="00B43682"/>
    <w:rsid w:val="00B4369C"/>
    <w:rsid w:val="00B436A7"/>
    <w:rsid w:val="00B436B7"/>
    <w:rsid w:val="00B4374E"/>
    <w:rsid w:val="00B43761"/>
    <w:rsid w:val="00B4378E"/>
    <w:rsid w:val="00B4384B"/>
    <w:rsid w:val="00B43888"/>
    <w:rsid w:val="00B438BE"/>
    <w:rsid w:val="00B43912"/>
    <w:rsid w:val="00B4397A"/>
    <w:rsid w:val="00B439A1"/>
    <w:rsid w:val="00B43A7D"/>
    <w:rsid w:val="00B43AC7"/>
    <w:rsid w:val="00B43AE6"/>
    <w:rsid w:val="00B43B1F"/>
    <w:rsid w:val="00B43B21"/>
    <w:rsid w:val="00B43BA7"/>
    <w:rsid w:val="00B43C8E"/>
    <w:rsid w:val="00B43D54"/>
    <w:rsid w:val="00B43D5C"/>
    <w:rsid w:val="00B43D75"/>
    <w:rsid w:val="00B43D93"/>
    <w:rsid w:val="00B43DA7"/>
    <w:rsid w:val="00B43DB1"/>
    <w:rsid w:val="00B43E40"/>
    <w:rsid w:val="00B43E5E"/>
    <w:rsid w:val="00B43E6C"/>
    <w:rsid w:val="00B43EC0"/>
    <w:rsid w:val="00B43ED8"/>
    <w:rsid w:val="00B43F1C"/>
    <w:rsid w:val="00B43F25"/>
    <w:rsid w:val="00B43F76"/>
    <w:rsid w:val="00B43F7F"/>
    <w:rsid w:val="00B43FD1"/>
    <w:rsid w:val="00B43FFB"/>
    <w:rsid w:val="00B43FFC"/>
    <w:rsid w:val="00B4404B"/>
    <w:rsid w:val="00B44058"/>
    <w:rsid w:val="00B44081"/>
    <w:rsid w:val="00B4413F"/>
    <w:rsid w:val="00B4414B"/>
    <w:rsid w:val="00B441DA"/>
    <w:rsid w:val="00B4421C"/>
    <w:rsid w:val="00B44268"/>
    <w:rsid w:val="00B442BE"/>
    <w:rsid w:val="00B44305"/>
    <w:rsid w:val="00B4431D"/>
    <w:rsid w:val="00B44361"/>
    <w:rsid w:val="00B443CB"/>
    <w:rsid w:val="00B443CE"/>
    <w:rsid w:val="00B443FD"/>
    <w:rsid w:val="00B4444E"/>
    <w:rsid w:val="00B44464"/>
    <w:rsid w:val="00B44502"/>
    <w:rsid w:val="00B4450A"/>
    <w:rsid w:val="00B44551"/>
    <w:rsid w:val="00B44578"/>
    <w:rsid w:val="00B44588"/>
    <w:rsid w:val="00B445A0"/>
    <w:rsid w:val="00B445BB"/>
    <w:rsid w:val="00B4465A"/>
    <w:rsid w:val="00B4467D"/>
    <w:rsid w:val="00B446A2"/>
    <w:rsid w:val="00B446D7"/>
    <w:rsid w:val="00B4471B"/>
    <w:rsid w:val="00B44739"/>
    <w:rsid w:val="00B44769"/>
    <w:rsid w:val="00B447B7"/>
    <w:rsid w:val="00B447C8"/>
    <w:rsid w:val="00B447EB"/>
    <w:rsid w:val="00B44807"/>
    <w:rsid w:val="00B4486E"/>
    <w:rsid w:val="00B44871"/>
    <w:rsid w:val="00B448A2"/>
    <w:rsid w:val="00B448CB"/>
    <w:rsid w:val="00B44970"/>
    <w:rsid w:val="00B4497A"/>
    <w:rsid w:val="00B449C2"/>
    <w:rsid w:val="00B449C8"/>
    <w:rsid w:val="00B44A4C"/>
    <w:rsid w:val="00B44A53"/>
    <w:rsid w:val="00B44A5D"/>
    <w:rsid w:val="00B44ABA"/>
    <w:rsid w:val="00B44AFD"/>
    <w:rsid w:val="00B44B51"/>
    <w:rsid w:val="00B44B80"/>
    <w:rsid w:val="00B44B96"/>
    <w:rsid w:val="00B44BBA"/>
    <w:rsid w:val="00B44BDA"/>
    <w:rsid w:val="00B44BE5"/>
    <w:rsid w:val="00B44C3F"/>
    <w:rsid w:val="00B44C50"/>
    <w:rsid w:val="00B44CE2"/>
    <w:rsid w:val="00B44CE3"/>
    <w:rsid w:val="00B44CE9"/>
    <w:rsid w:val="00B44CEB"/>
    <w:rsid w:val="00B44CFC"/>
    <w:rsid w:val="00B44D0F"/>
    <w:rsid w:val="00B44E33"/>
    <w:rsid w:val="00B44E42"/>
    <w:rsid w:val="00B44E84"/>
    <w:rsid w:val="00B44EAE"/>
    <w:rsid w:val="00B44F60"/>
    <w:rsid w:val="00B45003"/>
    <w:rsid w:val="00B4507F"/>
    <w:rsid w:val="00B4509B"/>
    <w:rsid w:val="00B450AA"/>
    <w:rsid w:val="00B450CC"/>
    <w:rsid w:val="00B450F0"/>
    <w:rsid w:val="00B45104"/>
    <w:rsid w:val="00B4512D"/>
    <w:rsid w:val="00B451F4"/>
    <w:rsid w:val="00B451FF"/>
    <w:rsid w:val="00B45200"/>
    <w:rsid w:val="00B4523C"/>
    <w:rsid w:val="00B45247"/>
    <w:rsid w:val="00B4525A"/>
    <w:rsid w:val="00B4531D"/>
    <w:rsid w:val="00B45462"/>
    <w:rsid w:val="00B454A7"/>
    <w:rsid w:val="00B4551C"/>
    <w:rsid w:val="00B4558B"/>
    <w:rsid w:val="00B4559A"/>
    <w:rsid w:val="00B455CE"/>
    <w:rsid w:val="00B45606"/>
    <w:rsid w:val="00B4562D"/>
    <w:rsid w:val="00B4562F"/>
    <w:rsid w:val="00B45647"/>
    <w:rsid w:val="00B45672"/>
    <w:rsid w:val="00B456A4"/>
    <w:rsid w:val="00B456F4"/>
    <w:rsid w:val="00B45716"/>
    <w:rsid w:val="00B45774"/>
    <w:rsid w:val="00B45797"/>
    <w:rsid w:val="00B457A1"/>
    <w:rsid w:val="00B457B2"/>
    <w:rsid w:val="00B4584E"/>
    <w:rsid w:val="00B4588C"/>
    <w:rsid w:val="00B458C1"/>
    <w:rsid w:val="00B458F6"/>
    <w:rsid w:val="00B45914"/>
    <w:rsid w:val="00B4592C"/>
    <w:rsid w:val="00B4593A"/>
    <w:rsid w:val="00B45945"/>
    <w:rsid w:val="00B45982"/>
    <w:rsid w:val="00B4599A"/>
    <w:rsid w:val="00B45A58"/>
    <w:rsid w:val="00B45A6D"/>
    <w:rsid w:val="00B45AA1"/>
    <w:rsid w:val="00B45ACB"/>
    <w:rsid w:val="00B45BC1"/>
    <w:rsid w:val="00B45BD4"/>
    <w:rsid w:val="00B45C24"/>
    <w:rsid w:val="00B45C79"/>
    <w:rsid w:val="00B45C99"/>
    <w:rsid w:val="00B45CD1"/>
    <w:rsid w:val="00B45CD3"/>
    <w:rsid w:val="00B45D0D"/>
    <w:rsid w:val="00B45D39"/>
    <w:rsid w:val="00B45D4C"/>
    <w:rsid w:val="00B45DB2"/>
    <w:rsid w:val="00B45DD6"/>
    <w:rsid w:val="00B45DE0"/>
    <w:rsid w:val="00B45E17"/>
    <w:rsid w:val="00B45E4E"/>
    <w:rsid w:val="00B45E58"/>
    <w:rsid w:val="00B45E80"/>
    <w:rsid w:val="00B45E90"/>
    <w:rsid w:val="00B45EAC"/>
    <w:rsid w:val="00B45EC1"/>
    <w:rsid w:val="00B45EE9"/>
    <w:rsid w:val="00B45F5D"/>
    <w:rsid w:val="00B45F88"/>
    <w:rsid w:val="00B45FD7"/>
    <w:rsid w:val="00B46081"/>
    <w:rsid w:val="00B460A3"/>
    <w:rsid w:val="00B460E7"/>
    <w:rsid w:val="00B46121"/>
    <w:rsid w:val="00B46146"/>
    <w:rsid w:val="00B4614E"/>
    <w:rsid w:val="00B461D0"/>
    <w:rsid w:val="00B461E6"/>
    <w:rsid w:val="00B46235"/>
    <w:rsid w:val="00B46280"/>
    <w:rsid w:val="00B46298"/>
    <w:rsid w:val="00B462CD"/>
    <w:rsid w:val="00B4630C"/>
    <w:rsid w:val="00B46319"/>
    <w:rsid w:val="00B4631E"/>
    <w:rsid w:val="00B4635D"/>
    <w:rsid w:val="00B463C7"/>
    <w:rsid w:val="00B463CA"/>
    <w:rsid w:val="00B463D7"/>
    <w:rsid w:val="00B46409"/>
    <w:rsid w:val="00B4642F"/>
    <w:rsid w:val="00B464F6"/>
    <w:rsid w:val="00B464FB"/>
    <w:rsid w:val="00B4653D"/>
    <w:rsid w:val="00B46546"/>
    <w:rsid w:val="00B46567"/>
    <w:rsid w:val="00B4663A"/>
    <w:rsid w:val="00B46642"/>
    <w:rsid w:val="00B46669"/>
    <w:rsid w:val="00B466A3"/>
    <w:rsid w:val="00B466AB"/>
    <w:rsid w:val="00B466BB"/>
    <w:rsid w:val="00B466F5"/>
    <w:rsid w:val="00B46757"/>
    <w:rsid w:val="00B46766"/>
    <w:rsid w:val="00B467E0"/>
    <w:rsid w:val="00B467F6"/>
    <w:rsid w:val="00B46805"/>
    <w:rsid w:val="00B46857"/>
    <w:rsid w:val="00B46875"/>
    <w:rsid w:val="00B4689A"/>
    <w:rsid w:val="00B468BC"/>
    <w:rsid w:val="00B468F6"/>
    <w:rsid w:val="00B46903"/>
    <w:rsid w:val="00B46924"/>
    <w:rsid w:val="00B46930"/>
    <w:rsid w:val="00B46946"/>
    <w:rsid w:val="00B46998"/>
    <w:rsid w:val="00B4699E"/>
    <w:rsid w:val="00B46A02"/>
    <w:rsid w:val="00B46A3D"/>
    <w:rsid w:val="00B46A58"/>
    <w:rsid w:val="00B46A5E"/>
    <w:rsid w:val="00B46A6C"/>
    <w:rsid w:val="00B46A71"/>
    <w:rsid w:val="00B46A76"/>
    <w:rsid w:val="00B46A78"/>
    <w:rsid w:val="00B46AF4"/>
    <w:rsid w:val="00B46BAD"/>
    <w:rsid w:val="00B46BCC"/>
    <w:rsid w:val="00B46C97"/>
    <w:rsid w:val="00B46D21"/>
    <w:rsid w:val="00B46D8F"/>
    <w:rsid w:val="00B46DF6"/>
    <w:rsid w:val="00B46DF7"/>
    <w:rsid w:val="00B46EA7"/>
    <w:rsid w:val="00B46EBB"/>
    <w:rsid w:val="00B46ECF"/>
    <w:rsid w:val="00B46F01"/>
    <w:rsid w:val="00B46F20"/>
    <w:rsid w:val="00B46F55"/>
    <w:rsid w:val="00B46F61"/>
    <w:rsid w:val="00B46FD9"/>
    <w:rsid w:val="00B4703F"/>
    <w:rsid w:val="00B4705D"/>
    <w:rsid w:val="00B47071"/>
    <w:rsid w:val="00B470D8"/>
    <w:rsid w:val="00B47120"/>
    <w:rsid w:val="00B471A8"/>
    <w:rsid w:val="00B471C4"/>
    <w:rsid w:val="00B471E0"/>
    <w:rsid w:val="00B472BA"/>
    <w:rsid w:val="00B472E6"/>
    <w:rsid w:val="00B472FD"/>
    <w:rsid w:val="00B47301"/>
    <w:rsid w:val="00B47381"/>
    <w:rsid w:val="00B47388"/>
    <w:rsid w:val="00B473A6"/>
    <w:rsid w:val="00B473DC"/>
    <w:rsid w:val="00B4746C"/>
    <w:rsid w:val="00B474C4"/>
    <w:rsid w:val="00B474CB"/>
    <w:rsid w:val="00B4751E"/>
    <w:rsid w:val="00B47523"/>
    <w:rsid w:val="00B4754A"/>
    <w:rsid w:val="00B4756C"/>
    <w:rsid w:val="00B475B0"/>
    <w:rsid w:val="00B475DB"/>
    <w:rsid w:val="00B47607"/>
    <w:rsid w:val="00B47627"/>
    <w:rsid w:val="00B4762C"/>
    <w:rsid w:val="00B4762F"/>
    <w:rsid w:val="00B47669"/>
    <w:rsid w:val="00B476D0"/>
    <w:rsid w:val="00B47721"/>
    <w:rsid w:val="00B47749"/>
    <w:rsid w:val="00B47774"/>
    <w:rsid w:val="00B477A5"/>
    <w:rsid w:val="00B477BE"/>
    <w:rsid w:val="00B477F6"/>
    <w:rsid w:val="00B47861"/>
    <w:rsid w:val="00B47914"/>
    <w:rsid w:val="00B47927"/>
    <w:rsid w:val="00B4792E"/>
    <w:rsid w:val="00B4794D"/>
    <w:rsid w:val="00B47954"/>
    <w:rsid w:val="00B479AE"/>
    <w:rsid w:val="00B479BB"/>
    <w:rsid w:val="00B479D3"/>
    <w:rsid w:val="00B479E0"/>
    <w:rsid w:val="00B47A17"/>
    <w:rsid w:val="00B47AD8"/>
    <w:rsid w:val="00B47AEA"/>
    <w:rsid w:val="00B47B48"/>
    <w:rsid w:val="00B47B9C"/>
    <w:rsid w:val="00B47BD9"/>
    <w:rsid w:val="00B47C3C"/>
    <w:rsid w:val="00B47C43"/>
    <w:rsid w:val="00B47C45"/>
    <w:rsid w:val="00B47D13"/>
    <w:rsid w:val="00B47D2C"/>
    <w:rsid w:val="00B47D6D"/>
    <w:rsid w:val="00B47DAC"/>
    <w:rsid w:val="00B47DD2"/>
    <w:rsid w:val="00B47E2D"/>
    <w:rsid w:val="00B47E75"/>
    <w:rsid w:val="00B47E7A"/>
    <w:rsid w:val="00B47E92"/>
    <w:rsid w:val="00B47EE1"/>
    <w:rsid w:val="00B47EF0"/>
    <w:rsid w:val="00B47EF1"/>
    <w:rsid w:val="00B47EF7"/>
    <w:rsid w:val="00B47EFC"/>
    <w:rsid w:val="00B47F08"/>
    <w:rsid w:val="00B47F28"/>
    <w:rsid w:val="00B47F2A"/>
    <w:rsid w:val="00B480DD"/>
    <w:rsid w:val="00B4B8DD"/>
    <w:rsid w:val="00B50002"/>
    <w:rsid w:val="00B5002F"/>
    <w:rsid w:val="00B500A3"/>
    <w:rsid w:val="00B500B1"/>
    <w:rsid w:val="00B500CF"/>
    <w:rsid w:val="00B500E9"/>
    <w:rsid w:val="00B500FD"/>
    <w:rsid w:val="00B5010D"/>
    <w:rsid w:val="00B5010F"/>
    <w:rsid w:val="00B5012A"/>
    <w:rsid w:val="00B5012F"/>
    <w:rsid w:val="00B50184"/>
    <w:rsid w:val="00B501ED"/>
    <w:rsid w:val="00B50294"/>
    <w:rsid w:val="00B502E5"/>
    <w:rsid w:val="00B502F3"/>
    <w:rsid w:val="00B50306"/>
    <w:rsid w:val="00B50337"/>
    <w:rsid w:val="00B5034C"/>
    <w:rsid w:val="00B5036E"/>
    <w:rsid w:val="00B503A1"/>
    <w:rsid w:val="00B5040E"/>
    <w:rsid w:val="00B50414"/>
    <w:rsid w:val="00B50440"/>
    <w:rsid w:val="00B50450"/>
    <w:rsid w:val="00B50472"/>
    <w:rsid w:val="00B50498"/>
    <w:rsid w:val="00B504B2"/>
    <w:rsid w:val="00B504BA"/>
    <w:rsid w:val="00B504F1"/>
    <w:rsid w:val="00B5050E"/>
    <w:rsid w:val="00B50511"/>
    <w:rsid w:val="00B5053B"/>
    <w:rsid w:val="00B505BF"/>
    <w:rsid w:val="00B505E3"/>
    <w:rsid w:val="00B505E6"/>
    <w:rsid w:val="00B505EE"/>
    <w:rsid w:val="00B50638"/>
    <w:rsid w:val="00B50648"/>
    <w:rsid w:val="00B506E5"/>
    <w:rsid w:val="00B50747"/>
    <w:rsid w:val="00B50789"/>
    <w:rsid w:val="00B507C1"/>
    <w:rsid w:val="00B5084B"/>
    <w:rsid w:val="00B5085D"/>
    <w:rsid w:val="00B5088E"/>
    <w:rsid w:val="00B5088F"/>
    <w:rsid w:val="00B50892"/>
    <w:rsid w:val="00B508CE"/>
    <w:rsid w:val="00B5091D"/>
    <w:rsid w:val="00B50953"/>
    <w:rsid w:val="00B5095C"/>
    <w:rsid w:val="00B5098F"/>
    <w:rsid w:val="00B509A1"/>
    <w:rsid w:val="00B50A4B"/>
    <w:rsid w:val="00B50A51"/>
    <w:rsid w:val="00B50A62"/>
    <w:rsid w:val="00B50AE2"/>
    <w:rsid w:val="00B50B25"/>
    <w:rsid w:val="00B50B87"/>
    <w:rsid w:val="00B50B9F"/>
    <w:rsid w:val="00B50BC9"/>
    <w:rsid w:val="00B50BCA"/>
    <w:rsid w:val="00B50BF5"/>
    <w:rsid w:val="00B50C15"/>
    <w:rsid w:val="00B50C68"/>
    <w:rsid w:val="00B50C6B"/>
    <w:rsid w:val="00B50C89"/>
    <w:rsid w:val="00B50CCB"/>
    <w:rsid w:val="00B50CF5"/>
    <w:rsid w:val="00B50D18"/>
    <w:rsid w:val="00B50D63"/>
    <w:rsid w:val="00B50D99"/>
    <w:rsid w:val="00B50D9B"/>
    <w:rsid w:val="00B50D9D"/>
    <w:rsid w:val="00B50DBC"/>
    <w:rsid w:val="00B50DD9"/>
    <w:rsid w:val="00B50E6E"/>
    <w:rsid w:val="00B50E9F"/>
    <w:rsid w:val="00B50EAA"/>
    <w:rsid w:val="00B50EB4"/>
    <w:rsid w:val="00B50F26"/>
    <w:rsid w:val="00B50F53"/>
    <w:rsid w:val="00B50F9F"/>
    <w:rsid w:val="00B50FE4"/>
    <w:rsid w:val="00B5100C"/>
    <w:rsid w:val="00B5101E"/>
    <w:rsid w:val="00B510B7"/>
    <w:rsid w:val="00B510C4"/>
    <w:rsid w:val="00B510EC"/>
    <w:rsid w:val="00B51106"/>
    <w:rsid w:val="00B51116"/>
    <w:rsid w:val="00B5111C"/>
    <w:rsid w:val="00B5115C"/>
    <w:rsid w:val="00B51162"/>
    <w:rsid w:val="00B51175"/>
    <w:rsid w:val="00B511C4"/>
    <w:rsid w:val="00B511CC"/>
    <w:rsid w:val="00B5122A"/>
    <w:rsid w:val="00B5126D"/>
    <w:rsid w:val="00B51297"/>
    <w:rsid w:val="00B512FA"/>
    <w:rsid w:val="00B51312"/>
    <w:rsid w:val="00B51324"/>
    <w:rsid w:val="00B51359"/>
    <w:rsid w:val="00B51367"/>
    <w:rsid w:val="00B5138D"/>
    <w:rsid w:val="00B5138F"/>
    <w:rsid w:val="00B513CA"/>
    <w:rsid w:val="00B513EE"/>
    <w:rsid w:val="00B513F3"/>
    <w:rsid w:val="00B51401"/>
    <w:rsid w:val="00B51406"/>
    <w:rsid w:val="00B5142B"/>
    <w:rsid w:val="00B51437"/>
    <w:rsid w:val="00B5143D"/>
    <w:rsid w:val="00B514A1"/>
    <w:rsid w:val="00B51534"/>
    <w:rsid w:val="00B51581"/>
    <w:rsid w:val="00B51609"/>
    <w:rsid w:val="00B5160B"/>
    <w:rsid w:val="00B51686"/>
    <w:rsid w:val="00B51689"/>
    <w:rsid w:val="00B51703"/>
    <w:rsid w:val="00B51706"/>
    <w:rsid w:val="00B51750"/>
    <w:rsid w:val="00B51814"/>
    <w:rsid w:val="00B51822"/>
    <w:rsid w:val="00B5182F"/>
    <w:rsid w:val="00B51843"/>
    <w:rsid w:val="00B51883"/>
    <w:rsid w:val="00B518C9"/>
    <w:rsid w:val="00B518E8"/>
    <w:rsid w:val="00B518F2"/>
    <w:rsid w:val="00B518FF"/>
    <w:rsid w:val="00B519C6"/>
    <w:rsid w:val="00B519EC"/>
    <w:rsid w:val="00B51A1C"/>
    <w:rsid w:val="00B51ADE"/>
    <w:rsid w:val="00B51B29"/>
    <w:rsid w:val="00B51B60"/>
    <w:rsid w:val="00B51BA9"/>
    <w:rsid w:val="00B51BF1"/>
    <w:rsid w:val="00B51C48"/>
    <w:rsid w:val="00B51C9D"/>
    <w:rsid w:val="00B51CF3"/>
    <w:rsid w:val="00B51D03"/>
    <w:rsid w:val="00B51D0F"/>
    <w:rsid w:val="00B51D19"/>
    <w:rsid w:val="00B51D3D"/>
    <w:rsid w:val="00B51D51"/>
    <w:rsid w:val="00B51D76"/>
    <w:rsid w:val="00B51D8A"/>
    <w:rsid w:val="00B51DAA"/>
    <w:rsid w:val="00B51E45"/>
    <w:rsid w:val="00B51EA6"/>
    <w:rsid w:val="00B51EBE"/>
    <w:rsid w:val="00B51ED8"/>
    <w:rsid w:val="00B51EF9"/>
    <w:rsid w:val="00B51F17"/>
    <w:rsid w:val="00B51F56"/>
    <w:rsid w:val="00B51FAE"/>
    <w:rsid w:val="00B51FBC"/>
    <w:rsid w:val="00B51FE0"/>
    <w:rsid w:val="00B5200E"/>
    <w:rsid w:val="00B5206D"/>
    <w:rsid w:val="00B5208E"/>
    <w:rsid w:val="00B520ED"/>
    <w:rsid w:val="00B52110"/>
    <w:rsid w:val="00B5211D"/>
    <w:rsid w:val="00B5211E"/>
    <w:rsid w:val="00B52135"/>
    <w:rsid w:val="00B52188"/>
    <w:rsid w:val="00B521FD"/>
    <w:rsid w:val="00B52220"/>
    <w:rsid w:val="00B52252"/>
    <w:rsid w:val="00B52262"/>
    <w:rsid w:val="00B5229D"/>
    <w:rsid w:val="00B522FC"/>
    <w:rsid w:val="00B5239C"/>
    <w:rsid w:val="00B523EE"/>
    <w:rsid w:val="00B52467"/>
    <w:rsid w:val="00B52495"/>
    <w:rsid w:val="00B52523"/>
    <w:rsid w:val="00B52533"/>
    <w:rsid w:val="00B52549"/>
    <w:rsid w:val="00B525AA"/>
    <w:rsid w:val="00B525BE"/>
    <w:rsid w:val="00B525C0"/>
    <w:rsid w:val="00B525CB"/>
    <w:rsid w:val="00B52647"/>
    <w:rsid w:val="00B52666"/>
    <w:rsid w:val="00B52675"/>
    <w:rsid w:val="00B526B7"/>
    <w:rsid w:val="00B526BC"/>
    <w:rsid w:val="00B52775"/>
    <w:rsid w:val="00B52797"/>
    <w:rsid w:val="00B527D4"/>
    <w:rsid w:val="00B52807"/>
    <w:rsid w:val="00B52810"/>
    <w:rsid w:val="00B52816"/>
    <w:rsid w:val="00B52854"/>
    <w:rsid w:val="00B52888"/>
    <w:rsid w:val="00B528EA"/>
    <w:rsid w:val="00B528F5"/>
    <w:rsid w:val="00B52926"/>
    <w:rsid w:val="00B5296E"/>
    <w:rsid w:val="00B5298D"/>
    <w:rsid w:val="00B529C0"/>
    <w:rsid w:val="00B529C8"/>
    <w:rsid w:val="00B529E8"/>
    <w:rsid w:val="00B52A34"/>
    <w:rsid w:val="00B52A37"/>
    <w:rsid w:val="00B52A70"/>
    <w:rsid w:val="00B52AA6"/>
    <w:rsid w:val="00B52AAC"/>
    <w:rsid w:val="00B52AC8"/>
    <w:rsid w:val="00B52ADB"/>
    <w:rsid w:val="00B52AF6"/>
    <w:rsid w:val="00B52AFA"/>
    <w:rsid w:val="00B52B01"/>
    <w:rsid w:val="00B52B1E"/>
    <w:rsid w:val="00B52B66"/>
    <w:rsid w:val="00B52B75"/>
    <w:rsid w:val="00B52BA3"/>
    <w:rsid w:val="00B52BE7"/>
    <w:rsid w:val="00B52C2F"/>
    <w:rsid w:val="00B52C5F"/>
    <w:rsid w:val="00B52C76"/>
    <w:rsid w:val="00B52CA5"/>
    <w:rsid w:val="00B52D13"/>
    <w:rsid w:val="00B52D52"/>
    <w:rsid w:val="00B52DCE"/>
    <w:rsid w:val="00B52DF5"/>
    <w:rsid w:val="00B52E00"/>
    <w:rsid w:val="00B52EB6"/>
    <w:rsid w:val="00B52F3F"/>
    <w:rsid w:val="00B52F51"/>
    <w:rsid w:val="00B52F83"/>
    <w:rsid w:val="00B52FD8"/>
    <w:rsid w:val="00B53004"/>
    <w:rsid w:val="00B53008"/>
    <w:rsid w:val="00B5309E"/>
    <w:rsid w:val="00B530DF"/>
    <w:rsid w:val="00B530F7"/>
    <w:rsid w:val="00B53182"/>
    <w:rsid w:val="00B53187"/>
    <w:rsid w:val="00B531B1"/>
    <w:rsid w:val="00B5320C"/>
    <w:rsid w:val="00B53276"/>
    <w:rsid w:val="00B532F7"/>
    <w:rsid w:val="00B5331A"/>
    <w:rsid w:val="00B533A8"/>
    <w:rsid w:val="00B533E5"/>
    <w:rsid w:val="00B534D9"/>
    <w:rsid w:val="00B534EA"/>
    <w:rsid w:val="00B53501"/>
    <w:rsid w:val="00B53531"/>
    <w:rsid w:val="00B5357C"/>
    <w:rsid w:val="00B535AF"/>
    <w:rsid w:val="00B535C3"/>
    <w:rsid w:val="00B535C6"/>
    <w:rsid w:val="00B535C8"/>
    <w:rsid w:val="00B535EF"/>
    <w:rsid w:val="00B5360E"/>
    <w:rsid w:val="00B5361C"/>
    <w:rsid w:val="00B537C0"/>
    <w:rsid w:val="00B537D4"/>
    <w:rsid w:val="00B537FF"/>
    <w:rsid w:val="00B53802"/>
    <w:rsid w:val="00B53841"/>
    <w:rsid w:val="00B5384C"/>
    <w:rsid w:val="00B53897"/>
    <w:rsid w:val="00B538B2"/>
    <w:rsid w:val="00B53914"/>
    <w:rsid w:val="00B53915"/>
    <w:rsid w:val="00B53981"/>
    <w:rsid w:val="00B53992"/>
    <w:rsid w:val="00B539AA"/>
    <w:rsid w:val="00B53A1E"/>
    <w:rsid w:val="00B53A99"/>
    <w:rsid w:val="00B53AD4"/>
    <w:rsid w:val="00B53B22"/>
    <w:rsid w:val="00B53BFD"/>
    <w:rsid w:val="00B53C0C"/>
    <w:rsid w:val="00B53C20"/>
    <w:rsid w:val="00B53C2C"/>
    <w:rsid w:val="00B53C5A"/>
    <w:rsid w:val="00B53C76"/>
    <w:rsid w:val="00B53C7A"/>
    <w:rsid w:val="00B53CBE"/>
    <w:rsid w:val="00B53CDA"/>
    <w:rsid w:val="00B53CDF"/>
    <w:rsid w:val="00B53D75"/>
    <w:rsid w:val="00B53D97"/>
    <w:rsid w:val="00B53E48"/>
    <w:rsid w:val="00B53E55"/>
    <w:rsid w:val="00B53E5B"/>
    <w:rsid w:val="00B53FDD"/>
    <w:rsid w:val="00B5402A"/>
    <w:rsid w:val="00B54068"/>
    <w:rsid w:val="00B540A3"/>
    <w:rsid w:val="00B540C0"/>
    <w:rsid w:val="00B5410F"/>
    <w:rsid w:val="00B54133"/>
    <w:rsid w:val="00B54135"/>
    <w:rsid w:val="00B54174"/>
    <w:rsid w:val="00B5422A"/>
    <w:rsid w:val="00B54267"/>
    <w:rsid w:val="00B542FC"/>
    <w:rsid w:val="00B54303"/>
    <w:rsid w:val="00B54317"/>
    <w:rsid w:val="00B5433F"/>
    <w:rsid w:val="00B54361"/>
    <w:rsid w:val="00B5446A"/>
    <w:rsid w:val="00B5448C"/>
    <w:rsid w:val="00B544A1"/>
    <w:rsid w:val="00B544E4"/>
    <w:rsid w:val="00B544E5"/>
    <w:rsid w:val="00B544F0"/>
    <w:rsid w:val="00B54600"/>
    <w:rsid w:val="00B5461C"/>
    <w:rsid w:val="00B546E1"/>
    <w:rsid w:val="00B546E9"/>
    <w:rsid w:val="00B54734"/>
    <w:rsid w:val="00B54752"/>
    <w:rsid w:val="00B54766"/>
    <w:rsid w:val="00B54783"/>
    <w:rsid w:val="00B547B1"/>
    <w:rsid w:val="00B547FA"/>
    <w:rsid w:val="00B5482B"/>
    <w:rsid w:val="00B54859"/>
    <w:rsid w:val="00B54861"/>
    <w:rsid w:val="00B548EF"/>
    <w:rsid w:val="00B548FE"/>
    <w:rsid w:val="00B5495E"/>
    <w:rsid w:val="00B549AC"/>
    <w:rsid w:val="00B54A6E"/>
    <w:rsid w:val="00B54AC7"/>
    <w:rsid w:val="00B54B20"/>
    <w:rsid w:val="00B54BC1"/>
    <w:rsid w:val="00B54BD8"/>
    <w:rsid w:val="00B54C3E"/>
    <w:rsid w:val="00B54C7B"/>
    <w:rsid w:val="00B54CF0"/>
    <w:rsid w:val="00B54D3B"/>
    <w:rsid w:val="00B54D4C"/>
    <w:rsid w:val="00B54D74"/>
    <w:rsid w:val="00B54DA8"/>
    <w:rsid w:val="00B54DC2"/>
    <w:rsid w:val="00B54DF0"/>
    <w:rsid w:val="00B54E5C"/>
    <w:rsid w:val="00B54E8F"/>
    <w:rsid w:val="00B54EEF"/>
    <w:rsid w:val="00B54F04"/>
    <w:rsid w:val="00B54FB8"/>
    <w:rsid w:val="00B54FCB"/>
    <w:rsid w:val="00B55045"/>
    <w:rsid w:val="00B55060"/>
    <w:rsid w:val="00B55087"/>
    <w:rsid w:val="00B5515B"/>
    <w:rsid w:val="00B55188"/>
    <w:rsid w:val="00B551D9"/>
    <w:rsid w:val="00B5522E"/>
    <w:rsid w:val="00B55317"/>
    <w:rsid w:val="00B55328"/>
    <w:rsid w:val="00B55368"/>
    <w:rsid w:val="00B553F1"/>
    <w:rsid w:val="00B55481"/>
    <w:rsid w:val="00B55495"/>
    <w:rsid w:val="00B554A6"/>
    <w:rsid w:val="00B554F5"/>
    <w:rsid w:val="00B55514"/>
    <w:rsid w:val="00B5553E"/>
    <w:rsid w:val="00B555A7"/>
    <w:rsid w:val="00B555D0"/>
    <w:rsid w:val="00B555D8"/>
    <w:rsid w:val="00B55623"/>
    <w:rsid w:val="00B5567E"/>
    <w:rsid w:val="00B55712"/>
    <w:rsid w:val="00B55724"/>
    <w:rsid w:val="00B557F2"/>
    <w:rsid w:val="00B55817"/>
    <w:rsid w:val="00B55819"/>
    <w:rsid w:val="00B55866"/>
    <w:rsid w:val="00B558E3"/>
    <w:rsid w:val="00B55947"/>
    <w:rsid w:val="00B55969"/>
    <w:rsid w:val="00B5599F"/>
    <w:rsid w:val="00B559CC"/>
    <w:rsid w:val="00B559E9"/>
    <w:rsid w:val="00B55A01"/>
    <w:rsid w:val="00B55A0C"/>
    <w:rsid w:val="00B55A18"/>
    <w:rsid w:val="00B55A68"/>
    <w:rsid w:val="00B55A71"/>
    <w:rsid w:val="00B55A74"/>
    <w:rsid w:val="00B55A96"/>
    <w:rsid w:val="00B55AE3"/>
    <w:rsid w:val="00B55AF7"/>
    <w:rsid w:val="00B55B68"/>
    <w:rsid w:val="00B55BFD"/>
    <w:rsid w:val="00B55C01"/>
    <w:rsid w:val="00B55C0E"/>
    <w:rsid w:val="00B55C3D"/>
    <w:rsid w:val="00B55C4E"/>
    <w:rsid w:val="00B55C74"/>
    <w:rsid w:val="00B55C8F"/>
    <w:rsid w:val="00B55CAF"/>
    <w:rsid w:val="00B55D8E"/>
    <w:rsid w:val="00B55DA1"/>
    <w:rsid w:val="00B55DDE"/>
    <w:rsid w:val="00B55E1A"/>
    <w:rsid w:val="00B55E49"/>
    <w:rsid w:val="00B55E6A"/>
    <w:rsid w:val="00B55EC1"/>
    <w:rsid w:val="00B55F00"/>
    <w:rsid w:val="00B55F02"/>
    <w:rsid w:val="00B55F0E"/>
    <w:rsid w:val="00B55F4D"/>
    <w:rsid w:val="00B55F63"/>
    <w:rsid w:val="00B55F6E"/>
    <w:rsid w:val="00B55F8E"/>
    <w:rsid w:val="00B55F98"/>
    <w:rsid w:val="00B56007"/>
    <w:rsid w:val="00B56030"/>
    <w:rsid w:val="00B56048"/>
    <w:rsid w:val="00B56069"/>
    <w:rsid w:val="00B560A2"/>
    <w:rsid w:val="00B560D3"/>
    <w:rsid w:val="00B560E5"/>
    <w:rsid w:val="00B56120"/>
    <w:rsid w:val="00B56162"/>
    <w:rsid w:val="00B5617A"/>
    <w:rsid w:val="00B561D2"/>
    <w:rsid w:val="00B561D3"/>
    <w:rsid w:val="00B561DC"/>
    <w:rsid w:val="00B561F9"/>
    <w:rsid w:val="00B56211"/>
    <w:rsid w:val="00B56246"/>
    <w:rsid w:val="00B56269"/>
    <w:rsid w:val="00B562B0"/>
    <w:rsid w:val="00B562C4"/>
    <w:rsid w:val="00B562EB"/>
    <w:rsid w:val="00B56319"/>
    <w:rsid w:val="00B56352"/>
    <w:rsid w:val="00B563CA"/>
    <w:rsid w:val="00B563F4"/>
    <w:rsid w:val="00B563FB"/>
    <w:rsid w:val="00B56403"/>
    <w:rsid w:val="00B5644B"/>
    <w:rsid w:val="00B564B4"/>
    <w:rsid w:val="00B564F8"/>
    <w:rsid w:val="00B56504"/>
    <w:rsid w:val="00B56512"/>
    <w:rsid w:val="00B56518"/>
    <w:rsid w:val="00B5651F"/>
    <w:rsid w:val="00B56522"/>
    <w:rsid w:val="00B565B2"/>
    <w:rsid w:val="00B565F7"/>
    <w:rsid w:val="00B56600"/>
    <w:rsid w:val="00B56657"/>
    <w:rsid w:val="00B566A7"/>
    <w:rsid w:val="00B566AF"/>
    <w:rsid w:val="00B566B5"/>
    <w:rsid w:val="00B5676C"/>
    <w:rsid w:val="00B567B4"/>
    <w:rsid w:val="00B567B9"/>
    <w:rsid w:val="00B567CC"/>
    <w:rsid w:val="00B567EB"/>
    <w:rsid w:val="00B56810"/>
    <w:rsid w:val="00B56818"/>
    <w:rsid w:val="00B56847"/>
    <w:rsid w:val="00B5685A"/>
    <w:rsid w:val="00B5685E"/>
    <w:rsid w:val="00B56897"/>
    <w:rsid w:val="00B568A1"/>
    <w:rsid w:val="00B568CC"/>
    <w:rsid w:val="00B5696B"/>
    <w:rsid w:val="00B56972"/>
    <w:rsid w:val="00B56996"/>
    <w:rsid w:val="00B569E9"/>
    <w:rsid w:val="00B56A35"/>
    <w:rsid w:val="00B56A63"/>
    <w:rsid w:val="00B56ACD"/>
    <w:rsid w:val="00B56B82"/>
    <w:rsid w:val="00B56B8B"/>
    <w:rsid w:val="00B56BE8"/>
    <w:rsid w:val="00B56BF8"/>
    <w:rsid w:val="00B56BF9"/>
    <w:rsid w:val="00B56CDA"/>
    <w:rsid w:val="00B56D08"/>
    <w:rsid w:val="00B56D1F"/>
    <w:rsid w:val="00B56D3C"/>
    <w:rsid w:val="00B56D7A"/>
    <w:rsid w:val="00B56D95"/>
    <w:rsid w:val="00B56DBA"/>
    <w:rsid w:val="00B56DC6"/>
    <w:rsid w:val="00B56DD7"/>
    <w:rsid w:val="00B56E13"/>
    <w:rsid w:val="00B56E20"/>
    <w:rsid w:val="00B56E82"/>
    <w:rsid w:val="00B56E96"/>
    <w:rsid w:val="00B56EE3"/>
    <w:rsid w:val="00B56EFC"/>
    <w:rsid w:val="00B56F52"/>
    <w:rsid w:val="00B56FD9"/>
    <w:rsid w:val="00B56FE6"/>
    <w:rsid w:val="00B5700C"/>
    <w:rsid w:val="00B57023"/>
    <w:rsid w:val="00B57118"/>
    <w:rsid w:val="00B57119"/>
    <w:rsid w:val="00B57152"/>
    <w:rsid w:val="00B57187"/>
    <w:rsid w:val="00B5719A"/>
    <w:rsid w:val="00B5725C"/>
    <w:rsid w:val="00B5725E"/>
    <w:rsid w:val="00B5726B"/>
    <w:rsid w:val="00B57272"/>
    <w:rsid w:val="00B572DF"/>
    <w:rsid w:val="00B57394"/>
    <w:rsid w:val="00B573C6"/>
    <w:rsid w:val="00B573DF"/>
    <w:rsid w:val="00B573F1"/>
    <w:rsid w:val="00B573FD"/>
    <w:rsid w:val="00B57404"/>
    <w:rsid w:val="00B57444"/>
    <w:rsid w:val="00B5744A"/>
    <w:rsid w:val="00B574CA"/>
    <w:rsid w:val="00B574D3"/>
    <w:rsid w:val="00B57526"/>
    <w:rsid w:val="00B5754D"/>
    <w:rsid w:val="00B5755F"/>
    <w:rsid w:val="00B575E3"/>
    <w:rsid w:val="00B575FF"/>
    <w:rsid w:val="00B5762F"/>
    <w:rsid w:val="00B57635"/>
    <w:rsid w:val="00B576C1"/>
    <w:rsid w:val="00B576DA"/>
    <w:rsid w:val="00B576E1"/>
    <w:rsid w:val="00B57737"/>
    <w:rsid w:val="00B57739"/>
    <w:rsid w:val="00B5774B"/>
    <w:rsid w:val="00B5777A"/>
    <w:rsid w:val="00B57791"/>
    <w:rsid w:val="00B577D7"/>
    <w:rsid w:val="00B577F8"/>
    <w:rsid w:val="00B5780B"/>
    <w:rsid w:val="00B57817"/>
    <w:rsid w:val="00B5782A"/>
    <w:rsid w:val="00B5783F"/>
    <w:rsid w:val="00B57949"/>
    <w:rsid w:val="00B579B2"/>
    <w:rsid w:val="00B579FE"/>
    <w:rsid w:val="00B57A10"/>
    <w:rsid w:val="00B57A5D"/>
    <w:rsid w:val="00B57A73"/>
    <w:rsid w:val="00B57AC6"/>
    <w:rsid w:val="00B57ADC"/>
    <w:rsid w:val="00B57B1D"/>
    <w:rsid w:val="00B57B56"/>
    <w:rsid w:val="00B57B7F"/>
    <w:rsid w:val="00B57B92"/>
    <w:rsid w:val="00B57B95"/>
    <w:rsid w:val="00B57BC1"/>
    <w:rsid w:val="00B57BE3"/>
    <w:rsid w:val="00B57C44"/>
    <w:rsid w:val="00B57C4E"/>
    <w:rsid w:val="00B57CC7"/>
    <w:rsid w:val="00B57D04"/>
    <w:rsid w:val="00B57D11"/>
    <w:rsid w:val="00B57D6C"/>
    <w:rsid w:val="00B57D91"/>
    <w:rsid w:val="00B57DC2"/>
    <w:rsid w:val="00B57DDC"/>
    <w:rsid w:val="00B57DE9"/>
    <w:rsid w:val="00B57E73"/>
    <w:rsid w:val="00B57E9F"/>
    <w:rsid w:val="00B57EA8"/>
    <w:rsid w:val="00B57EFC"/>
    <w:rsid w:val="00B57F2D"/>
    <w:rsid w:val="00B57F41"/>
    <w:rsid w:val="00B57F77"/>
    <w:rsid w:val="00B57FC9"/>
    <w:rsid w:val="00B57FCE"/>
    <w:rsid w:val="00B57FF3"/>
    <w:rsid w:val="00B6008A"/>
    <w:rsid w:val="00B6014F"/>
    <w:rsid w:val="00B60152"/>
    <w:rsid w:val="00B6016B"/>
    <w:rsid w:val="00B6016D"/>
    <w:rsid w:val="00B60182"/>
    <w:rsid w:val="00B601AF"/>
    <w:rsid w:val="00B601B4"/>
    <w:rsid w:val="00B601BD"/>
    <w:rsid w:val="00B601FB"/>
    <w:rsid w:val="00B60233"/>
    <w:rsid w:val="00B60236"/>
    <w:rsid w:val="00B60269"/>
    <w:rsid w:val="00B60279"/>
    <w:rsid w:val="00B602C5"/>
    <w:rsid w:val="00B60305"/>
    <w:rsid w:val="00B60308"/>
    <w:rsid w:val="00B60334"/>
    <w:rsid w:val="00B6034D"/>
    <w:rsid w:val="00B60375"/>
    <w:rsid w:val="00B6037A"/>
    <w:rsid w:val="00B6039E"/>
    <w:rsid w:val="00B603B4"/>
    <w:rsid w:val="00B603E3"/>
    <w:rsid w:val="00B603EB"/>
    <w:rsid w:val="00B6041B"/>
    <w:rsid w:val="00B60449"/>
    <w:rsid w:val="00B604EE"/>
    <w:rsid w:val="00B605D4"/>
    <w:rsid w:val="00B605EB"/>
    <w:rsid w:val="00B6067A"/>
    <w:rsid w:val="00B6071F"/>
    <w:rsid w:val="00B6072D"/>
    <w:rsid w:val="00B6078B"/>
    <w:rsid w:val="00B607A6"/>
    <w:rsid w:val="00B607D7"/>
    <w:rsid w:val="00B60832"/>
    <w:rsid w:val="00B60833"/>
    <w:rsid w:val="00B6086B"/>
    <w:rsid w:val="00B608E4"/>
    <w:rsid w:val="00B60906"/>
    <w:rsid w:val="00B60942"/>
    <w:rsid w:val="00B60950"/>
    <w:rsid w:val="00B60A2F"/>
    <w:rsid w:val="00B60A69"/>
    <w:rsid w:val="00B60A7D"/>
    <w:rsid w:val="00B60AAF"/>
    <w:rsid w:val="00B60ACF"/>
    <w:rsid w:val="00B60AF9"/>
    <w:rsid w:val="00B60B29"/>
    <w:rsid w:val="00B60B38"/>
    <w:rsid w:val="00B60B70"/>
    <w:rsid w:val="00B60B75"/>
    <w:rsid w:val="00B60BDE"/>
    <w:rsid w:val="00B60C21"/>
    <w:rsid w:val="00B60C22"/>
    <w:rsid w:val="00B60C2C"/>
    <w:rsid w:val="00B60C4C"/>
    <w:rsid w:val="00B60C51"/>
    <w:rsid w:val="00B60C59"/>
    <w:rsid w:val="00B60D19"/>
    <w:rsid w:val="00B60D21"/>
    <w:rsid w:val="00B60D84"/>
    <w:rsid w:val="00B60D91"/>
    <w:rsid w:val="00B60D9E"/>
    <w:rsid w:val="00B60DB3"/>
    <w:rsid w:val="00B60DE5"/>
    <w:rsid w:val="00B60DEC"/>
    <w:rsid w:val="00B60DFA"/>
    <w:rsid w:val="00B60E9A"/>
    <w:rsid w:val="00B60EA1"/>
    <w:rsid w:val="00B60EA8"/>
    <w:rsid w:val="00B60F37"/>
    <w:rsid w:val="00B60F77"/>
    <w:rsid w:val="00B60FB9"/>
    <w:rsid w:val="00B60FBC"/>
    <w:rsid w:val="00B61002"/>
    <w:rsid w:val="00B61032"/>
    <w:rsid w:val="00B6105C"/>
    <w:rsid w:val="00B6106A"/>
    <w:rsid w:val="00B610A1"/>
    <w:rsid w:val="00B610A7"/>
    <w:rsid w:val="00B610BD"/>
    <w:rsid w:val="00B610E9"/>
    <w:rsid w:val="00B6118C"/>
    <w:rsid w:val="00B6118D"/>
    <w:rsid w:val="00B611B4"/>
    <w:rsid w:val="00B61274"/>
    <w:rsid w:val="00B6130D"/>
    <w:rsid w:val="00B6138C"/>
    <w:rsid w:val="00B613D8"/>
    <w:rsid w:val="00B61419"/>
    <w:rsid w:val="00B61471"/>
    <w:rsid w:val="00B61484"/>
    <w:rsid w:val="00B614A8"/>
    <w:rsid w:val="00B614C2"/>
    <w:rsid w:val="00B614E9"/>
    <w:rsid w:val="00B614F3"/>
    <w:rsid w:val="00B61527"/>
    <w:rsid w:val="00B6152B"/>
    <w:rsid w:val="00B6155C"/>
    <w:rsid w:val="00B61570"/>
    <w:rsid w:val="00B61669"/>
    <w:rsid w:val="00B616A3"/>
    <w:rsid w:val="00B616AE"/>
    <w:rsid w:val="00B616CB"/>
    <w:rsid w:val="00B616D7"/>
    <w:rsid w:val="00B616EB"/>
    <w:rsid w:val="00B61758"/>
    <w:rsid w:val="00B6180F"/>
    <w:rsid w:val="00B61835"/>
    <w:rsid w:val="00B6183D"/>
    <w:rsid w:val="00B618BA"/>
    <w:rsid w:val="00B618D6"/>
    <w:rsid w:val="00B618F4"/>
    <w:rsid w:val="00B618FF"/>
    <w:rsid w:val="00B6190C"/>
    <w:rsid w:val="00B61912"/>
    <w:rsid w:val="00B6197D"/>
    <w:rsid w:val="00B619B4"/>
    <w:rsid w:val="00B61A3A"/>
    <w:rsid w:val="00B61A3E"/>
    <w:rsid w:val="00B61A73"/>
    <w:rsid w:val="00B61A8D"/>
    <w:rsid w:val="00B61ABA"/>
    <w:rsid w:val="00B61ADE"/>
    <w:rsid w:val="00B61AFF"/>
    <w:rsid w:val="00B61B5D"/>
    <w:rsid w:val="00B61B69"/>
    <w:rsid w:val="00B61B6C"/>
    <w:rsid w:val="00B61B7D"/>
    <w:rsid w:val="00B61BDA"/>
    <w:rsid w:val="00B61BDB"/>
    <w:rsid w:val="00B61C4C"/>
    <w:rsid w:val="00B61C53"/>
    <w:rsid w:val="00B61C7F"/>
    <w:rsid w:val="00B61C8F"/>
    <w:rsid w:val="00B61CB6"/>
    <w:rsid w:val="00B61D12"/>
    <w:rsid w:val="00B61DCD"/>
    <w:rsid w:val="00B61DDD"/>
    <w:rsid w:val="00B61E34"/>
    <w:rsid w:val="00B61E82"/>
    <w:rsid w:val="00B61EC9"/>
    <w:rsid w:val="00B61F55"/>
    <w:rsid w:val="00B61F59"/>
    <w:rsid w:val="00B61F6B"/>
    <w:rsid w:val="00B61F6C"/>
    <w:rsid w:val="00B61F7E"/>
    <w:rsid w:val="00B61FEE"/>
    <w:rsid w:val="00B62054"/>
    <w:rsid w:val="00B62126"/>
    <w:rsid w:val="00B6213E"/>
    <w:rsid w:val="00B6218A"/>
    <w:rsid w:val="00B62206"/>
    <w:rsid w:val="00B62209"/>
    <w:rsid w:val="00B6222D"/>
    <w:rsid w:val="00B6225F"/>
    <w:rsid w:val="00B62274"/>
    <w:rsid w:val="00B62278"/>
    <w:rsid w:val="00B62326"/>
    <w:rsid w:val="00B6237C"/>
    <w:rsid w:val="00B6238A"/>
    <w:rsid w:val="00B6239B"/>
    <w:rsid w:val="00B623CF"/>
    <w:rsid w:val="00B62400"/>
    <w:rsid w:val="00B62405"/>
    <w:rsid w:val="00B6246D"/>
    <w:rsid w:val="00B6249F"/>
    <w:rsid w:val="00B624DA"/>
    <w:rsid w:val="00B624F4"/>
    <w:rsid w:val="00B6251C"/>
    <w:rsid w:val="00B62536"/>
    <w:rsid w:val="00B62563"/>
    <w:rsid w:val="00B62593"/>
    <w:rsid w:val="00B6263E"/>
    <w:rsid w:val="00B626A4"/>
    <w:rsid w:val="00B626AC"/>
    <w:rsid w:val="00B626B6"/>
    <w:rsid w:val="00B626C3"/>
    <w:rsid w:val="00B627B3"/>
    <w:rsid w:val="00B627BF"/>
    <w:rsid w:val="00B627D8"/>
    <w:rsid w:val="00B62837"/>
    <w:rsid w:val="00B628C1"/>
    <w:rsid w:val="00B628D3"/>
    <w:rsid w:val="00B628D8"/>
    <w:rsid w:val="00B628F2"/>
    <w:rsid w:val="00B62967"/>
    <w:rsid w:val="00B629A1"/>
    <w:rsid w:val="00B629A3"/>
    <w:rsid w:val="00B629EA"/>
    <w:rsid w:val="00B62A34"/>
    <w:rsid w:val="00B62A4C"/>
    <w:rsid w:val="00B62A7C"/>
    <w:rsid w:val="00B62AF2"/>
    <w:rsid w:val="00B62B28"/>
    <w:rsid w:val="00B62B2F"/>
    <w:rsid w:val="00B62B6E"/>
    <w:rsid w:val="00B62BE1"/>
    <w:rsid w:val="00B62C54"/>
    <w:rsid w:val="00B62C6C"/>
    <w:rsid w:val="00B62C74"/>
    <w:rsid w:val="00B62CE1"/>
    <w:rsid w:val="00B62D63"/>
    <w:rsid w:val="00B62D7F"/>
    <w:rsid w:val="00B62E0F"/>
    <w:rsid w:val="00B62E30"/>
    <w:rsid w:val="00B62E7A"/>
    <w:rsid w:val="00B62E95"/>
    <w:rsid w:val="00B62F19"/>
    <w:rsid w:val="00B62F21"/>
    <w:rsid w:val="00B62F7C"/>
    <w:rsid w:val="00B63027"/>
    <w:rsid w:val="00B63054"/>
    <w:rsid w:val="00B63087"/>
    <w:rsid w:val="00B63093"/>
    <w:rsid w:val="00B63096"/>
    <w:rsid w:val="00B630A1"/>
    <w:rsid w:val="00B630CC"/>
    <w:rsid w:val="00B6315D"/>
    <w:rsid w:val="00B63167"/>
    <w:rsid w:val="00B6321F"/>
    <w:rsid w:val="00B6327D"/>
    <w:rsid w:val="00B632FA"/>
    <w:rsid w:val="00B63306"/>
    <w:rsid w:val="00B63328"/>
    <w:rsid w:val="00B6334F"/>
    <w:rsid w:val="00B63356"/>
    <w:rsid w:val="00B63372"/>
    <w:rsid w:val="00B633BA"/>
    <w:rsid w:val="00B633BF"/>
    <w:rsid w:val="00B63414"/>
    <w:rsid w:val="00B63438"/>
    <w:rsid w:val="00B63447"/>
    <w:rsid w:val="00B6347F"/>
    <w:rsid w:val="00B63482"/>
    <w:rsid w:val="00B63559"/>
    <w:rsid w:val="00B635A7"/>
    <w:rsid w:val="00B635B6"/>
    <w:rsid w:val="00B635BF"/>
    <w:rsid w:val="00B635E7"/>
    <w:rsid w:val="00B6368F"/>
    <w:rsid w:val="00B636C0"/>
    <w:rsid w:val="00B63755"/>
    <w:rsid w:val="00B6375A"/>
    <w:rsid w:val="00B6375B"/>
    <w:rsid w:val="00B63760"/>
    <w:rsid w:val="00B63790"/>
    <w:rsid w:val="00B637A4"/>
    <w:rsid w:val="00B637BC"/>
    <w:rsid w:val="00B637F3"/>
    <w:rsid w:val="00B63832"/>
    <w:rsid w:val="00B63894"/>
    <w:rsid w:val="00B638CA"/>
    <w:rsid w:val="00B638CF"/>
    <w:rsid w:val="00B6391B"/>
    <w:rsid w:val="00B6391F"/>
    <w:rsid w:val="00B6392D"/>
    <w:rsid w:val="00B63960"/>
    <w:rsid w:val="00B63A8D"/>
    <w:rsid w:val="00B63AC2"/>
    <w:rsid w:val="00B63ACE"/>
    <w:rsid w:val="00B63B40"/>
    <w:rsid w:val="00B63B7C"/>
    <w:rsid w:val="00B63B7F"/>
    <w:rsid w:val="00B63BD7"/>
    <w:rsid w:val="00B63C27"/>
    <w:rsid w:val="00B63D13"/>
    <w:rsid w:val="00B63D46"/>
    <w:rsid w:val="00B63D4D"/>
    <w:rsid w:val="00B63D6D"/>
    <w:rsid w:val="00B63D83"/>
    <w:rsid w:val="00B63EA3"/>
    <w:rsid w:val="00B63EC6"/>
    <w:rsid w:val="00B63EEE"/>
    <w:rsid w:val="00B63F2A"/>
    <w:rsid w:val="00B63F59"/>
    <w:rsid w:val="00B63F62"/>
    <w:rsid w:val="00B63FCE"/>
    <w:rsid w:val="00B63FE0"/>
    <w:rsid w:val="00B64024"/>
    <w:rsid w:val="00B64043"/>
    <w:rsid w:val="00B64094"/>
    <w:rsid w:val="00B64099"/>
    <w:rsid w:val="00B640B2"/>
    <w:rsid w:val="00B64101"/>
    <w:rsid w:val="00B6412A"/>
    <w:rsid w:val="00B64163"/>
    <w:rsid w:val="00B641B2"/>
    <w:rsid w:val="00B641D6"/>
    <w:rsid w:val="00B6422C"/>
    <w:rsid w:val="00B64257"/>
    <w:rsid w:val="00B6428C"/>
    <w:rsid w:val="00B64297"/>
    <w:rsid w:val="00B642C1"/>
    <w:rsid w:val="00B642F3"/>
    <w:rsid w:val="00B642FA"/>
    <w:rsid w:val="00B642FB"/>
    <w:rsid w:val="00B6433D"/>
    <w:rsid w:val="00B64369"/>
    <w:rsid w:val="00B6436D"/>
    <w:rsid w:val="00B64376"/>
    <w:rsid w:val="00B643B3"/>
    <w:rsid w:val="00B643CC"/>
    <w:rsid w:val="00B64414"/>
    <w:rsid w:val="00B6443D"/>
    <w:rsid w:val="00B64440"/>
    <w:rsid w:val="00B64487"/>
    <w:rsid w:val="00B644BF"/>
    <w:rsid w:val="00B6451B"/>
    <w:rsid w:val="00B64521"/>
    <w:rsid w:val="00B6458A"/>
    <w:rsid w:val="00B645A4"/>
    <w:rsid w:val="00B645A5"/>
    <w:rsid w:val="00B645EE"/>
    <w:rsid w:val="00B64641"/>
    <w:rsid w:val="00B64659"/>
    <w:rsid w:val="00B64665"/>
    <w:rsid w:val="00B6467D"/>
    <w:rsid w:val="00B6469A"/>
    <w:rsid w:val="00B646DE"/>
    <w:rsid w:val="00B64714"/>
    <w:rsid w:val="00B6471A"/>
    <w:rsid w:val="00B6473D"/>
    <w:rsid w:val="00B6477A"/>
    <w:rsid w:val="00B6477D"/>
    <w:rsid w:val="00B647AB"/>
    <w:rsid w:val="00B647AD"/>
    <w:rsid w:val="00B647BE"/>
    <w:rsid w:val="00B64815"/>
    <w:rsid w:val="00B64844"/>
    <w:rsid w:val="00B64885"/>
    <w:rsid w:val="00B648BF"/>
    <w:rsid w:val="00B64914"/>
    <w:rsid w:val="00B64919"/>
    <w:rsid w:val="00B64932"/>
    <w:rsid w:val="00B649AB"/>
    <w:rsid w:val="00B649BE"/>
    <w:rsid w:val="00B649E6"/>
    <w:rsid w:val="00B649EF"/>
    <w:rsid w:val="00B649F3"/>
    <w:rsid w:val="00B649F6"/>
    <w:rsid w:val="00B64AAA"/>
    <w:rsid w:val="00B64AC4"/>
    <w:rsid w:val="00B64AEC"/>
    <w:rsid w:val="00B64AFB"/>
    <w:rsid w:val="00B64B0B"/>
    <w:rsid w:val="00B64B0C"/>
    <w:rsid w:val="00B64B17"/>
    <w:rsid w:val="00B64B21"/>
    <w:rsid w:val="00B64B54"/>
    <w:rsid w:val="00B64B9B"/>
    <w:rsid w:val="00B64BAA"/>
    <w:rsid w:val="00B64C32"/>
    <w:rsid w:val="00B64CBB"/>
    <w:rsid w:val="00B64CD4"/>
    <w:rsid w:val="00B64D0F"/>
    <w:rsid w:val="00B64D65"/>
    <w:rsid w:val="00B64D70"/>
    <w:rsid w:val="00B64D8C"/>
    <w:rsid w:val="00B64DAC"/>
    <w:rsid w:val="00B64DCB"/>
    <w:rsid w:val="00B64E10"/>
    <w:rsid w:val="00B64E26"/>
    <w:rsid w:val="00B64E42"/>
    <w:rsid w:val="00B64E5C"/>
    <w:rsid w:val="00B64E7A"/>
    <w:rsid w:val="00B64E7B"/>
    <w:rsid w:val="00B64ECF"/>
    <w:rsid w:val="00B64EEF"/>
    <w:rsid w:val="00B64F48"/>
    <w:rsid w:val="00B64F4E"/>
    <w:rsid w:val="00B64F56"/>
    <w:rsid w:val="00B64F68"/>
    <w:rsid w:val="00B64FC3"/>
    <w:rsid w:val="00B64FF3"/>
    <w:rsid w:val="00B65002"/>
    <w:rsid w:val="00B65009"/>
    <w:rsid w:val="00B6509E"/>
    <w:rsid w:val="00B65124"/>
    <w:rsid w:val="00B65158"/>
    <w:rsid w:val="00B65166"/>
    <w:rsid w:val="00B651A3"/>
    <w:rsid w:val="00B6520F"/>
    <w:rsid w:val="00B6524E"/>
    <w:rsid w:val="00B65293"/>
    <w:rsid w:val="00B652FA"/>
    <w:rsid w:val="00B6533C"/>
    <w:rsid w:val="00B65342"/>
    <w:rsid w:val="00B65371"/>
    <w:rsid w:val="00B6537E"/>
    <w:rsid w:val="00B65396"/>
    <w:rsid w:val="00B653F0"/>
    <w:rsid w:val="00B65405"/>
    <w:rsid w:val="00B65424"/>
    <w:rsid w:val="00B6543C"/>
    <w:rsid w:val="00B65450"/>
    <w:rsid w:val="00B654A9"/>
    <w:rsid w:val="00B654AA"/>
    <w:rsid w:val="00B654BE"/>
    <w:rsid w:val="00B654F7"/>
    <w:rsid w:val="00B6556A"/>
    <w:rsid w:val="00B655B7"/>
    <w:rsid w:val="00B655C4"/>
    <w:rsid w:val="00B655E4"/>
    <w:rsid w:val="00B65615"/>
    <w:rsid w:val="00B65639"/>
    <w:rsid w:val="00B65660"/>
    <w:rsid w:val="00B65681"/>
    <w:rsid w:val="00B65684"/>
    <w:rsid w:val="00B6568D"/>
    <w:rsid w:val="00B6571D"/>
    <w:rsid w:val="00B65792"/>
    <w:rsid w:val="00B657AB"/>
    <w:rsid w:val="00B657B4"/>
    <w:rsid w:val="00B657D1"/>
    <w:rsid w:val="00B657FB"/>
    <w:rsid w:val="00B657FF"/>
    <w:rsid w:val="00B65837"/>
    <w:rsid w:val="00B6585C"/>
    <w:rsid w:val="00B6595E"/>
    <w:rsid w:val="00B65A1D"/>
    <w:rsid w:val="00B65B2E"/>
    <w:rsid w:val="00B65B37"/>
    <w:rsid w:val="00B65B39"/>
    <w:rsid w:val="00B65B5D"/>
    <w:rsid w:val="00B65B8C"/>
    <w:rsid w:val="00B65B91"/>
    <w:rsid w:val="00B65B9F"/>
    <w:rsid w:val="00B65BD2"/>
    <w:rsid w:val="00B65BDA"/>
    <w:rsid w:val="00B65C08"/>
    <w:rsid w:val="00B65C8C"/>
    <w:rsid w:val="00B65CA7"/>
    <w:rsid w:val="00B65CC7"/>
    <w:rsid w:val="00B65D02"/>
    <w:rsid w:val="00B65D97"/>
    <w:rsid w:val="00B65DD3"/>
    <w:rsid w:val="00B65DF8"/>
    <w:rsid w:val="00B65E2C"/>
    <w:rsid w:val="00B65E64"/>
    <w:rsid w:val="00B65E6B"/>
    <w:rsid w:val="00B65E79"/>
    <w:rsid w:val="00B65ECC"/>
    <w:rsid w:val="00B65EF8"/>
    <w:rsid w:val="00B65F3E"/>
    <w:rsid w:val="00B65F8D"/>
    <w:rsid w:val="00B65FE2"/>
    <w:rsid w:val="00B65FF5"/>
    <w:rsid w:val="00B6603E"/>
    <w:rsid w:val="00B66087"/>
    <w:rsid w:val="00B66093"/>
    <w:rsid w:val="00B660A9"/>
    <w:rsid w:val="00B660AD"/>
    <w:rsid w:val="00B660AE"/>
    <w:rsid w:val="00B6616C"/>
    <w:rsid w:val="00B66172"/>
    <w:rsid w:val="00B6617A"/>
    <w:rsid w:val="00B661A9"/>
    <w:rsid w:val="00B661EB"/>
    <w:rsid w:val="00B6621A"/>
    <w:rsid w:val="00B66296"/>
    <w:rsid w:val="00B662D3"/>
    <w:rsid w:val="00B662DE"/>
    <w:rsid w:val="00B6633F"/>
    <w:rsid w:val="00B66341"/>
    <w:rsid w:val="00B66357"/>
    <w:rsid w:val="00B663A1"/>
    <w:rsid w:val="00B663A5"/>
    <w:rsid w:val="00B663C1"/>
    <w:rsid w:val="00B663E9"/>
    <w:rsid w:val="00B66433"/>
    <w:rsid w:val="00B66450"/>
    <w:rsid w:val="00B6646C"/>
    <w:rsid w:val="00B664C5"/>
    <w:rsid w:val="00B66500"/>
    <w:rsid w:val="00B66516"/>
    <w:rsid w:val="00B6659E"/>
    <w:rsid w:val="00B665B3"/>
    <w:rsid w:val="00B665DE"/>
    <w:rsid w:val="00B66603"/>
    <w:rsid w:val="00B66649"/>
    <w:rsid w:val="00B66676"/>
    <w:rsid w:val="00B6667C"/>
    <w:rsid w:val="00B66770"/>
    <w:rsid w:val="00B66782"/>
    <w:rsid w:val="00B667B1"/>
    <w:rsid w:val="00B667C1"/>
    <w:rsid w:val="00B667CA"/>
    <w:rsid w:val="00B667CF"/>
    <w:rsid w:val="00B6689B"/>
    <w:rsid w:val="00B668E5"/>
    <w:rsid w:val="00B66900"/>
    <w:rsid w:val="00B6690A"/>
    <w:rsid w:val="00B66B7C"/>
    <w:rsid w:val="00B66B99"/>
    <w:rsid w:val="00B66BA4"/>
    <w:rsid w:val="00B66C43"/>
    <w:rsid w:val="00B66C4B"/>
    <w:rsid w:val="00B66C54"/>
    <w:rsid w:val="00B66CA0"/>
    <w:rsid w:val="00B66CD5"/>
    <w:rsid w:val="00B66CEA"/>
    <w:rsid w:val="00B66D00"/>
    <w:rsid w:val="00B66D33"/>
    <w:rsid w:val="00B66DA8"/>
    <w:rsid w:val="00B66DC9"/>
    <w:rsid w:val="00B66E24"/>
    <w:rsid w:val="00B66E6F"/>
    <w:rsid w:val="00B66E8D"/>
    <w:rsid w:val="00B66EB0"/>
    <w:rsid w:val="00B66EE1"/>
    <w:rsid w:val="00B66EEF"/>
    <w:rsid w:val="00B66F18"/>
    <w:rsid w:val="00B66F44"/>
    <w:rsid w:val="00B6703C"/>
    <w:rsid w:val="00B670DA"/>
    <w:rsid w:val="00B6711A"/>
    <w:rsid w:val="00B671AA"/>
    <w:rsid w:val="00B671D3"/>
    <w:rsid w:val="00B6722B"/>
    <w:rsid w:val="00B67247"/>
    <w:rsid w:val="00B67332"/>
    <w:rsid w:val="00B67351"/>
    <w:rsid w:val="00B673B1"/>
    <w:rsid w:val="00B673BD"/>
    <w:rsid w:val="00B6748B"/>
    <w:rsid w:val="00B674AB"/>
    <w:rsid w:val="00B6754E"/>
    <w:rsid w:val="00B67552"/>
    <w:rsid w:val="00B67568"/>
    <w:rsid w:val="00B675D0"/>
    <w:rsid w:val="00B6762C"/>
    <w:rsid w:val="00B67658"/>
    <w:rsid w:val="00B67681"/>
    <w:rsid w:val="00B676AC"/>
    <w:rsid w:val="00B676DB"/>
    <w:rsid w:val="00B676E7"/>
    <w:rsid w:val="00B6775B"/>
    <w:rsid w:val="00B67768"/>
    <w:rsid w:val="00B6778F"/>
    <w:rsid w:val="00B67794"/>
    <w:rsid w:val="00B677AB"/>
    <w:rsid w:val="00B67829"/>
    <w:rsid w:val="00B67837"/>
    <w:rsid w:val="00B67891"/>
    <w:rsid w:val="00B678C2"/>
    <w:rsid w:val="00B67946"/>
    <w:rsid w:val="00B67978"/>
    <w:rsid w:val="00B6797D"/>
    <w:rsid w:val="00B679DE"/>
    <w:rsid w:val="00B67A7C"/>
    <w:rsid w:val="00B67B0D"/>
    <w:rsid w:val="00B67B1F"/>
    <w:rsid w:val="00B67B3E"/>
    <w:rsid w:val="00B67B4F"/>
    <w:rsid w:val="00B67BCE"/>
    <w:rsid w:val="00B67BE0"/>
    <w:rsid w:val="00B67C26"/>
    <w:rsid w:val="00B67C30"/>
    <w:rsid w:val="00B67C58"/>
    <w:rsid w:val="00B67C5B"/>
    <w:rsid w:val="00B67C80"/>
    <w:rsid w:val="00B67C97"/>
    <w:rsid w:val="00B67CA6"/>
    <w:rsid w:val="00B67D0E"/>
    <w:rsid w:val="00B67D3D"/>
    <w:rsid w:val="00B67D42"/>
    <w:rsid w:val="00B67D72"/>
    <w:rsid w:val="00B67E16"/>
    <w:rsid w:val="00B67F39"/>
    <w:rsid w:val="00B67FBF"/>
    <w:rsid w:val="00B67FE8"/>
    <w:rsid w:val="00B70023"/>
    <w:rsid w:val="00B70030"/>
    <w:rsid w:val="00B7004C"/>
    <w:rsid w:val="00B70060"/>
    <w:rsid w:val="00B7007D"/>
    <w:rsid w:val="00B70081"/>
    <w:rsid w:val="00B70083"/>
    <w:rsid w:val="00B70092"/>
    <w:rsid w:val="00B700BB"/>
    <w:rsid w:val="00B700C6"/>
    <w:rsid w:val="00B700D8"/>
    <w:rsid w:val="00B7013B"/>
    <w:rsid w:val="00B701BB"/>
    <w:rsid w:val="00B7021F"/>
    <w:rsid w:val="00B70262"/>
    <w:rsid w:val="00B70287"/>
    <w:rsid w:val="00B702BA"/>
    <w:rsid w:val="00B702E7"/>
    <w:rsid w:val="00B7030A"/>
    <w:rsid w:val="00B70327"/>
    <w:rsid w:val="00B7037F"/>
    <w:rsid w:val="00B70387"/>
    <w:rsid w:val="00B7038A"/>
    <w:rsid w:val="00B703A2"/>
    <w:rsid w:val="00B703ED"/>
    <w:rsid w:val="00B7040D"/>
    <w:rsid w:val="00B7040F"/>
    <w:rsid w:val="00B7041C"/>
    <w:rsid w:val="00B70429"/>
    <w:rsid w:val="00B70475"/>
    <w:rsid w:val="00B70478"/>
    <w:rsid w:val="00B7049B"/>
    <w:rsid w:val="00B704DD"/>
    <w:rsid w:val="00B70507"/>
    <w:rsid w:val="00B70526"/>
    <w:rsid w:val="00B70536"/>
    <w:rsid w:val="00B70549"/>
    <w:rsid w:val="00B7054B"/>
    <w:rsid w:val="00B70563"/>
    <w:rsid w:val="00B70614"/>
    <w:rsid w:val="00B70615"/>
    <w:rsid w:val="00B70625"/>
    <w:rsid w:val="00B7063B"/>
    <w:rsid w:val="00B7065A"/>
    <w:rsid w:val="00B70698"/>
    <w:rsid w:val="00B70704"/>
    <w:rsid w:val="00B70731"/>
    <w:rsid w:val="00B70760"/>
    <w:rsid w:val="00B70827"/>
    <w:rsid w:val="00B70841"/>
    <w:rsid w:val="00B70858"/>
    <w:rsid w:val="00B70884"/>
    <w:rsid w:val="00B708C2"/>
    <w:rsid w:val="00B7094F"/>
    <w:rsid w:val="00B7097F"/>
    <w:rsid w:val="00B709F4"/>
    <w:rsid w:val="00B709FF"/>
    <w:rsid w:val="00B70A08"/>
    <w:rsid w:val="00B70A16"/>
    <w:rsid w:val="00B70A29"/>
    <w:rsid w:val="00B70A6C"/>
    <w:rsid w:val="00B70A74"/>
    <w:rsid w:val="00B70AB5"/>
    <w:rsid w:val="00B70B0C"/>
    <w:rsid w:val="00B70BBB"/>
    <w:rsid w:val="00B70BFF"/>
    <w:rsid w:val="00B70C0F"/>
    <w:rsid w:val="00B70C61"/>
    <w:rsid w:val="00B70CFB"/>
    <w:rsid w:val="00B70D40"/>
    <w:rsid w:val="00B70D8F"/>
    <w:rsid w:val="00B70E1F"/>
    <w:rsid w:val="00B70E59"/>
    <w:rsid w:val="00B70E5A"/>
    <w:rsid w:val="00B70E9D"/>
    <w:rsid w:val="00B70ECB"/>
    <w:rsid w:val="00B70F33"/>
    <w:rsid w:val="00B70F35"/>
    <w:rsid w:val="00B70F5D"/>
    <w:rsid w:val="00B70F9A"/>
    <w:rsid w:val="00B70FD9"/>
    <w:rsid w:val="00B70FE4"/>
    <w:rsid w:val="00B70FF3"/>
    <w:rsid w:val="00B71067"/>
    <w:rsid w:val="00B71090"/>
    <w:rsid w:val="00B71178"/>
    <w:rsid w:val="00B71180"/>
    <w:rsid w:val="00B711CC"/>
    <w:rsid w:val="00B711DE"/>
    <w:rsid w:val="00B711FC"/>
    <w:rsid w:val="00B71228"/>
    <w:rsid w:val="00B7122B"/>
    <w:rsid w:val="00B71235"/>
    <w:rsid w:val="00B71239"/>
    <w:rsid w:val="00B7126B"/>
    <w:rsid w:val="00B712B2"/>
    <w:rsid w:val="00B712F2"/>
    <w:rsid w:val="00B71326"/>
    <w:rsid w:val="00B7132C"/>
    <w:rsid w:val="00B7138C"/>
    <w:rsid w:val="00B713A3"/>
    <w:rsid w:val="00B713A4"/>
    <w:rsid w:val="00B713AD"/>
    <w:rsid w:val="00B713D4"/>
    <w:rsid w:val="00B71401"/>
    <w:rsid w:val="00B71486"/>
    <w:rsid w:val="00B71489"/>
    <w:rsid w:val="00B714D6"/>
    <w:rsid w:val="00B714E7"/>
    <w:rsid w:val="00B7151A"/>
    <w:rsid w:val="00B715A5"/>
    <w:rsid w:val="00B715B7"/>
    <w:rsid w:val="00B715CF"/>
    <w:rsid w:val="00B7161A"/>
    <w:rsid w:val="00B71658"/>
    <w:rsid w:val="00B716D6"/>
    <w:rsid w:val="00B716D7"/>
    <w:rsid w:val="00B716D8"/>
    <w:rsid w:val="00B717BC"/>
    <w:rsid w:val="00B71862"/>
    <w:rsid w:val="00B718BA"/>
    <w:rsid w:val="00B718D7"/>
    <w:rsid w:val="00B718E6"/>
    <w:rsid w:val="00B71957"/>
    <w:rsid w:val="00B719AE"/>
    <w:rsid w:val="00B71A12"/>
    <w:rsid w:val="00B71A67"/>
    <w:rsid w:val="00B71A87"/>
    <w:rsid w:val="00B71B71"/>
    <w:rsid w:val="00B71B89"/>
    <w:rsid w:val="00B71BA1"/>
    <w:rsid w:val="00B71BC5"/>
    <w:rsid w:val="00B71BC6"/>
    <w:rsid w:val="00B71BEC"/>
    <w:rsid w:val="00B71BF2"/>
    <w:rsid w:val="00B71BF6"/>
    <w:rsid w:val="00B71BFF"/>
    <w:rsid w:val="00B71C86"/>
    <w:rsid w:val="00B71CBB"/>
    <w:rsid w:val="00B71CD0"/>
    <w:rsid w:val="00B71CED"/>
    <w:rsid w:val="00B71D02"/>
    <w:rsid w:val="00B71D1C"/>
    <w:rsid w:val="00B71D42"/>
    <w:rsid w:val="00B71D65"/>
    <w:rsid w:val="00B71D87"/>
    <w:rsid w:val="00B71DA2"/>
    <w:rsid w:val="00B71DAB"/>
    <w:rsid w:val="00B71DE0"/>
    <w:rsid w:val="00B71DFA"/>
    <w:rsid w:val="00B71E01"/>
    <w:rsid w:val="00B71E64"/>
    <w:rsid w:val="00B71E7D"/>
    <w:rsid w:val="00B71EA7"/>
    <w:rsid w:val="00B71ED8"/>
    <w:rsid w:val="00B71EF5"/>
    <w:rsid w:val="00B71F37"/>
    <w:rsid w:val="00B71F38"/>
    <w:rsid w:val="00B71F71"/>
    <w:rsid w:val="00B72015"/>
    <w:rsid w:val="00B7205F"/>
    <w:rsid w:val="00B7207A"/>
    <w:rsid w:val="00B720A5"/>
    <w:rsid w:val="00B720AB"/>
    <w:rsid w:val="00B720B7"/>
    <w:rsid w:val="00B7214A"/>
    <w:rsid w:val="00B72180"/>
    <w:rsid w:val="00B721A9"/>
    <w:rsid w:val="00B721AC"/>
    <w:rsid w:val="00B721C5"/>
    <w:rsid w:val="00B7221E"/>
    <w:rsid w:val="00B72222"/>
    <w:rsid w:val="00B72242"/>
    <w:rsid w:val="00B7227A"/>
    <w:rsid w:val="00B72291"/>
    <w:rsid w:val="00B722C5"/>
    <w:rsid w:val="00B722CC"/>
    <w:rsid w:val="00B722DC"/>
    <w:rsid w:val="00B722FB"/>
    <w:rsid w:val="00B7232C"/>
    <w:rsid w:val="00B7235E"/>
    <w:rsid w:val="00B7235F"/>
    <w:rsid w:val="00B7236B"/>
    <w:rsid w:val="00B723E8"/>
    <w:rsid w:val="00B72434"/>
    <w:rsid w:val="00B72500"/>
    <w:rsid w:val="00B72508"/>
    <w:rsid w:val="00B72573"/>
    <w:rsid w:val="00B725C4"/>
    <w:rsid w:val="00B725DD"/>
    <w:rsid w:val="00B72637"/>
    <w:rsid w:val="00B72691"/>
    <w:rsid w:val="00B72709"/>
    <w:rsid w:val="00B727DF"/>
    <w:rsid w:val="00B7283A"/>
    <w:rsid w:val="00B72848"/>
    <w:rsid w:val="00B72872"/>
    <w:rsid w:val="00B728F4"/>
    <w:rsid w:val="00B72909"/>
    <w:rsid w:val="00B7290B"/>
    <w:rsid w:val="00B7293B"/>
    <w:rsid w:val="00B72986"/>
    <w:rsid w:val="00B729F8"/>
    <w:rsid w:val="00B72A20"/>
    <w:rsid w:val="00B72A37"/>
    <w:rsid w:val="00B72A43"/>
    <w:rsid w:val="00B72AEE"/>
    <w:rsid w:val="00B72B66"/>
    <w:rsid w:val="00B72BC6"/>
    <w:rsid w:val="00B72BF7"/>
    <w:rsid w:val="00B72C1C"/>
    <w:rsid w:val="00B72C45"/>
    <w:rsid w:val="00B72C74"/>
    <w:rsid w:val="00B72CD8"/>
    <w:rsid w:val="00B72CE1"/>
    <w:rsid w:val="00B72D32"/>
    <w:rsid w:val="00B72DA4"/>
    <w:rsid w:val="00B72E57"/>
    <w:rsid w:val="00B72E89"/>
    <w:rsid w:val="00B72EA3"/>
    <w:rsid w:val="00B72EC5"/>
    <w:rsid w:val="00B72F03"/>
    <w:rsid w:val="00B72FB7"/>
    <w:rsid w:val="00B73017"/>
    <w:rsid w:val="00B73039"/>
    <w:rsid w:val="00B73046"/>
    <w:rsid w:val="00B73181"/>
    <w:rsid w:val="00B731D6"/>
    <w:rsid w:val="00B73207"/>
    <w:rsid w:val="00B73211"/>
    <w:rsid w:val="00B7324A"/>
    <w:rsid w:val="00B73270"/>
    <w:rsid w:val="00B73282"/>
    <w:rsid w:val="00B732B4"/>
    <w:rsid w:val="00B732E0"/>
    <w:rsid w:val="00B73314"/>
    <w:rsid w:val="00B73381"/>
    <w:rsid w:val="00B733B1"/>
    <w:rsid w:val="00B7342E"/>
    <w:rsid w:val="00B734EB"/>
    <w:rsid w:val="00B73530"/>
    <w:rsid w:val="00B7353B"/>
    <w:rsid w:val="00B73592"/>
    <w:rsid w:val="00B735A8"/>
    <w:rsid w:val="00B73604"/>
    <w:rsid w:val="00B73612"/>
    <w:rsid w:val="00B73621"/>
    <w:rsid w:val="00B73624"/>
    <w:rsid w:val="00B73628"/>
    <w:rsid w:val="00B7365A"/>
    <w:rsid w:val="00B7365C"/>
    <w:rsid w:val="00B736D3"/>
    <w:rsid w:val="00B736DD"/>
    <w:rsid w:val="00B73722"/>
    <w:rsid w:val="00B7372E"/>
    <w:rsid w:val="00B7373B"/>
    <w:rsid w:val="00B737A1"/>
    <w:rsid w:val="00B737B0"/>
    <w:rsid w:val="00B737B8"/>
    <w:rsid w:val="00B737D5"/>
    <w:rsid w:val="00B737EB"/>
    <w:rsid w:val="00B73830"/>
    <w:rsid w:val="00B73855"/>
    <w:rsid w:val="00B738A3"/>
    <w:rsid w:val="00B738DA"/>
    <w:rsid w:val="00B738FA"/>
    <w:rsid w:val="00B73916"/>
    <w:rsid w:val="00B73919"/>
    <w:rsid w:val="00B7391A"/>
    <w:rsid w:val="00B73950"/>
    <w:rsid w:val="00B73973"/>
    <w:rsid w:val="00B739F6"/>
    <w:rsid w:val="00B739FD"/>
    <w:rsid w:val="00B73A30"/>
    <w:rsid w:val="00B73A60"/>
    <w:rsid w:val="00B73AD2"/>
    <w:rsid w:val="00B73B09"/>
    <w:rsid w:val="00B73B0D"/>
    <w:rsid w:val="00B73B4F"/>
    <w:rsid w:val="00B73B5C"/>
    <w:rsid w:val="00B73B61"/>
    <w:rsid w:val="00B73B75"/>
    <w:rsid w:val="00B73BB1"/>
    <w:rsid w:val="00B73BC3"/>
    <w:rsid w:val="00B73C0B"/>
    <w:rsid w:val="00B73C11"/>
    <w:rsid w:val="00B73C36"/>
    <w:rsid w:val="00B73C5B"/>
    <w:rsid w:val="00B73C8E"/>
    <w:rsid w:val="00B73CEF"/>
    <w:rsid w:val="00B73DBA"/>
    <w:rsid w:val="00B73DE8"/>
    <w:rsid w:val="00B73ED1"/>
    <w:rsid w:val="00B73EDA"/>
    <w:rsid w:val="00B73EE5"/>
    <w:rsid w:val="00B73F32"/>
    <w:rsid w:val="00B73F34"/>
    <w:rsid w:val="00B73F75"/>
    <w:rsid w:val="00B73F8D"/>
    <w:rsid w:val="00B73F90"/>
    <w:rsid w:val="00B73F91"/>
    <w:rsid w:val="00B73FAF"/>
    <w:rsid w:val="00B73FFE"/>
    <w:rsid w:val="00B7406B"/>
    <w:rsid w:val="00B740AA"/>
    <w:rsid w:val="00B740B8"/>
    <w:rsid w:val="00B740DE"/>
    <w:rsid w:val="00B740E5"/>
    <w:rsid w:val="00B741B2"/>
    <w:rsid w:val="00B741CF"/>
    <w:rsid w:val="00B74270"/>
    <w:rsid w:val="00B7428E"/>
    <w:rsid w:val="00B74295"/>
    <w:rsid w:val="00B742B0"/>
    <w:rsid w:val="00B742D5"/>
    <w:rsid w:val="00B74302"/>
    <w:rsid w:val="00B7432A"/>
    <w:rsid w:val="00B74341"/>
    <w:rsid w:val="00B74360"/>
    <w:rsid w:val="00B74361"/>
    <w:rsid w:val="00B74382"/>
    <w:rsid w:val="00B74392"/>
    <w:rsid w:val="00B743E2"/>
    <w:rsid w:val="00B74420"/>
    <w:rsid w:val="00B74471"/>
    <w:rsid w:val="00B7447D"/>
    <w:rsid w:val="00B74490"/>
    <w:rsid w:val="00B744CE"/>
    <w:rsid w:val="00B74531"/>
    <w:rsid w:val="00B74548"/>
    <w:rsid w:val="00B74568"/>
    <w:rsid w:val="00B74582"/>
    <w:rsid w:val="00B74625"/>
    <w:rsid w:val="00B7468D"/>
    <w:rsid w:val="00B7469D"/>
    <w:rsid w:val="00B746AC"/>
    <w:rsid w:val="00B746DB"/>
    <w:rsid w:val="00B74715"/>
    <w:rsid w:val="00B74817"/>
    <w:rsid w:val="00B748DA"/>
    <w:rsid w:val="00B748F8"/>
    <w:rsid w:val="00B7493E"/>
    <w:rsid w:val="00B74964"/>
    <w:rsid w:val="00B749E9"/>
    <w:rsid w:val="00B74A0B"/>
    <w:rsid w:val="00B74A14"/>
    <w:rsid w:val="00B74A35"/>
    <w:rsid w:val="00B74A6C"/>
    <w:rsid w:val="00B74B47"/>
    <w:rsid w:val="00B74B68"/>
    <w:rsid w:val="00B74B91"/>
    <w:rsid w:val="00B74BA1"/>
    <w:rsid w:val="00B74BAA"/>
    <w:rsid w:val="00B74BF8"/>
    <w:rsid w:val="00B74C36"/>
    <w:rsid w:val="00B74C83"/>
    <w:rsid w:val="00B74C94"/>
    <w:rsid w:val="00B74CD5"/>
    <w:rsid w:val="00B74CEE"/>
    <w:rsid w:val="00B74CFF"/>
    <w:rsid w:val="00B74D74"/>
    <w:rsid w:val="00B74DAD"/>
    <w:rsid w:val="00B74DEA"/>
    <w:rsid w:val="00B74DEF"/>
    <w:rsid w:val="00B74E66"/>
    <w:rsid w:val="00B74E97"/>
    <w:rsid w:val="00B74EA5"/>
    <w:rsid w:val="00B74EA6"/>
    <w:rsid w:val="00B74EC4"/>
    <w:rsid w:val="00B74EEF"/>
    <w:rsid w:val="00B74EF2"/>
    <w:rsid w:val="00B74EF3"/>
    <w:rsid w:val="00B74F0F"/>
    <w:rsid w:val="00B74F43"/>
    <w:rsid w:val="00B74FA2"/>
    <w:rsid w:val="00B74FB6"/>
    <w:rsid w:val="00B74FDB"/>
    <w:rsid w:val="00B75007"/>
    <w:rsid w:val="00B75016"/>
    <w:rsid w:val="00B75091"/>
    <w:rsid w:val="00B75121"/>
    <w:rsid w:val="00B75126"/>
    <w:rsid w:val="00B75135"/>
    <w:rsid w:val="00B75162"/>
    <w:rsid w:val="00B751FE"/>
    <w:rsid w:val="00B7522B"/>
    <w:rsid w:val="00B7523D"/>
    <w:rsid w:val="00B752C1"/>
    <w:rsid w:val="00B752C2"/>
    <w:rsid w:val="00B752EB"/>
    <w:rsid w:val="00B7537C"/>
    <w:rsid w:val="00B753B1"/>
    <w:rsid w:val="00B75431"/>
    <w:rsid w:val="00B75461"/>
    <w:rsid w:val="00B75474"/>
    <w:rsid w:val="00B75490"/>
    <w:rsid w:val="00B75498"/>
    <w:rsid w:val="00B7551C"/>
    <w:rsid w:val="00B75533"/>
    <w:rsid w:val="00B7555B"/>
    <w:rsid w:val="00B7556A"/>
    <w:rsid w:val="00B75586"/>
    <w:rsid w:val="00B75642"/>
    <w:rsid w:val="00B7564E"/>
    <w:rsid w:val="00B756B1"/>
    <w:rsid w:val="00B756E5"/>
    <w:rsid w:val="00B756ED"/>
    <w:rsid w:val="00B7576E"/>
    <w:rsid w:val="00B757A3"/>
    <w:rsid w:val="00B7580A"/>
    <w:rsid w:val="00B7581A"/>
    <w:rsid w:val="00B75847"/>
    <w:rsid w:val="00B7588B"/>
    <w:rsid w:val="00B758E2"/>
    <w:rsid w:val="00B75920"/>
    <w:rsid w:val="00B75934"/>
    <w:rsid w:val="00B75971"/>
    <w:rsid w:val="00B7599D"/>
    <w:rsid w:val="00B759B7"/>
    <w:rsid w:val="00B759D7"/>
    <w:rsid w:val="00B75A20"/>
    <w:rsid w:val="00B75A23"/>
    <w:rsid w:val="00B75B8C"/>
    <w:rsid w:val="00B75B8F"/>
    <w:rsid w:val="00B75BA2"/>
    <w:rsid w:val="00B75BAA"/>
    <w:rsid w:val="00B75BB0"/>
    <w:rsid w:val="00B75BEC"/>
    <w:rsid w:val="00B75C42"/>
    <w:rsid w:val="00B75C49"/>
    <w:rsid w:val="00B75C87"/>
    <w:rsid w:val="00B75C96"/>
    <w:rsid w:val="00B75CBE"/>
    <w:rsid w:val="00B75D9F"/>
    <w:rsid w:val="00B75DCA"/>
    <w:rsid w:val="00B75E3B"/>
    <w:rsid w:val="00B75E68"/>
    <w:rsid w:val="00B75ED2"/>
    <w:rsid w:val="00B75EF2"/>
    <w:rsid w:val="00B75EF3"/>
    <w:rsid w:val="00B75F1C"/>
    <w:rsid w:val="00B75F8A"/>
    <w:rsid w:val="00B75FD1"/>
    <w:rsid w:val="00B75FD2"/>
    <w:rsid w:val="00B760D5"/>
    <w:rsid w:val="00B76161"/>
    <w:rsid w:val="00B7617A"/>
    <w:rsid w:val="00B7617F"/>
    <w:rsid w:val="00B76190"/>
    <w:rsid w:val="00B7619D"/>
    <w:rsid w:val="00B761D4"/>
    <w:rsid w:val="00B762AC"/>
    <w:rsid w:val="00B762DC"/>
    <w:rsid w:val="00B76327"/>
    <w:rsid w:val="00B76348"/>
    <w:rsid w:val="00B763FC"/>
    <w:rsid w:val="00B7640E"/>
    <w:rsid w:val="00B7645B"/>
    <w:rsid w:val="00B7645F"/>
    <w:rsid w:val="00B764A8"/>
    <w:rsid w:val="00B76504"/>
    <w:rsid w:val="00B76508"/>
    <w:rsid w:val="00B7650D"/>
    <w:rsid w:val="00B76522"/>
    <w:rsid w:val="00B7655E"/>
    <w:rsid w:val="00B7659E"/>
    <w:rsid w:val="00B765B3"/>
    <w:rsid w:val="00B765E6"/>
    <w:rsid w:val="00B765EC"/>
    <w:rsid w:val="00B76609"/>
    <w:rsid w:val="00B76634"/>
    <w:rsid w:val="00B76646"/>
    <w:rsid w:val="00B766C3"/>
    <w:rsid w:val="00B766E3"/>
    <w:rsid w:val="00B766E7"/>
    <w:rsid w:val="00B766ED"/>
    <w:rsid w:val="00B76782"/>
    <w:rsid w:val="00B767A6"/>
    <w:rsid w:val="00B767C2"/>
    <w:rsid w:val="00B767DE"/>
    <w:rsid w:val="00B767F9"/>
    <w:rsid w:val="00B767FF"/>
    <w:rsid w:val="00B7680A"/>
    <w:rsid w:val="00B76850"/>
    <w:rsid w:val="00B7686C"/>
    <w:rsid w:val="00B768BF"/>
    <w:rsid w:val="00B768D0"/>
    <w:rsid w:val="00B768E9"/>
    <w:rsid w:val="00B76970"/>
    <w:rsid w:val="00B769F6"/>
    <w:rsid w:val="00B76A29"/>
    <w:rsid w:val="00B76A2C"/>
    <w:rsid w:val="00B76A34"/>
    <w:rsid w:val="00B76A46"/>
    <w:rsid w:val="00B76A9C"/>
    <w:rsid w:val="00B76AB4"/>
    <w:rsid w:val="00B76AF6"/>
    <w:rsid w:val="00B76B1B"/>
    <w:rsid w:val="00B76B1E"/>
    <w:rsid w:val="00B76B61"/>
    <w:rsid w:val="00B76B8D"/>
    <w:rsid w:val="00B76BE9"/>
    <w:rsid w:val="00B76C3F"/>
    <w:rsid w:val="00B76C89"/>
    <w:rsid w:val="00B76D5F"/>
    <w:rsid w:val="00B76E07"/>
    <w:rsid w:val="00B76E46"/>
    <w:rsid w:val="00B76E6E"/>
    <w:rsid w:val="00B76E83"/>
    <w:rsid w:val="00B76EB6"/>
    <w:rsid w:val="00B76F14"/>
    <w:rsid w:val="00B76F16"/>
    <w:rsid w:val="00B76F2D"/>
    <w:rsid w:val="00B76F63"/>
    <w:rsid w:val="00B76FA0"/>
    <w:rsid w:val="00B76FAC"/>
    <w:rsid w:val="00B76FB6"/>
    <w:rsid w:val="00B76FF5"/>
    <w:rsid w:val="00B77017"/>
    <w:rsid w:val="00B77056"/>
    <w:rsid w:val="00B7708D"/>
    <w:rsid w:val="00B770D2"/>
    <w:rsid w:val="00B77130"/>
    <w:rsid w:val="00B77137"/>
    <w:rsid w:val="00B77171"/>
    <w:rsid w:val="00B77186"/>
    <w:rsid w:val="00B771B6"/>
    <w:rsid w:val="00B771D1"/>
    <w:rsid w:val="00B77221"/>
    <w:rsid w:val="00B772BC"/>
    <w:rsid w:val="00B77305"/>
    <w:rsid w:val="00B77308"/>
    <w:rsid w:val="00B77324"/>
    <w:rsid w:val="00B7736E"/>
    <w:rsid w:val="00B77394"/>
    <w:rsid w:val="00B77396"/>
    <w:rsid w:val="00B773B0"/>
    <w:rsid w:val="00B773B2"/>
    <w:rsid w:val="00B773C9"/>
    <w:rsid w:val="00B7741B"/>
    <w:rsid w:val="00B77421"/>
    <w:rsid w:val="00B77432"/>
    <w:rsid w:val="00B77478"/>
    <w:rsid w:val="00B774B5"/>
    <w:rsid w:val="00B775B5"/>
    <w:rsid w:val="00B77619"/>
    <w:rsid w:val="00B77657"/>
    <w:rsid w:val="00B77689"/>
    <w:rsid w:val="00B7768D"/>
    <w:rsid w:val="00B77695"/>
    <w:rsid w:val="00B776BD"/>
    <w:rsid w:val="00B77717"/>
    <w:rsid w:val="00B7779C"/>
    <w:rsid w:val="00B777F6"/>
    <w:rsid w:val="00B77814"/>
    <w:rsid w:val="00B778A0"/>
    <w:rsid w:val="00B7793C"/>
    <w:rsid w:val="00B77942"/>
    <w:rsid w:val="00B77A43"/>
    <w:rsid w:val="00B77ABE"/>
    <w:rsid w:val="00B77B27"/>
    <w:rsid w:val="00B77B43"/>
    <w:rsid w:val="00B77B6B"/>
    <w:rsid w:val="00B77B85"/>
    <w:rsid w:val="00B77BBB"/>
    <w:rsid w:val="00B77BFA"/>
    <w:rsid w:val="00B77CA5"/>
    <w:rsid w:val="00B77D17"/>
    <w:rsid w:val="00B77D33"/>
    <w:rsid w:val="00B77D75"/>
    <w:rsid w:val="00B77DB0"/>
    <w:rsid w:val="00B77DF2"/>
    <w:rsid w:val="00B77E0C"/>
    <w:rsid w:val="00B77E3E"/>
    <w:rsid w:val="00B77E41"/>
    <w:rsid w:val="00B77E91"/>
    <w:rsid w:val="00B77EE5"/>
    <w:rsid w:val="00B77F01"/>
    <w:rsid w:val="00B77F03"/>
    <w:rsid w:val="00B77F2C"/>
    <w:rsid w:val="00B77F50"/>
    <w:rsid w:val="00B77F66"/>
    <w:rsid w:val="00B78824"/>
    <w:rsid w:val="00B7B4B7"/>
    <w:rsid w:val="00B7C85C"/>
    <w:rsid w:val="00B80032"/>
    <w:rsid w:val="00B80033"/>
    <w:rsid w:val="00B80065"/>
    <w:rsid w:val="00B8009E"/>
    <w:rsid w:val="00B800A2"/>
    <w:rsid w:val="00B800BB"/>
    <w:rsid w:val="00B800DE"/>
    <w:rsid w:val="00B80103"/>
    <w:rsid w:val="00B8013E"/>
    <w:rsid w:val="00B80199"/>
    <w:rsid w:val="00B80208"/>
    <w:rsid w:val="00B80242"/>
    <w:rsid w:val="00B80259"/>
    <w:rsid w:val="00B8025A"/>
    <w:rsid w:val="00B80281"/>
    <w:rsid w:val="00B802D4"/>
    <w:rsid w:val="00B802DC"/>
    <w:rsid w:val="00B8030D"/>
    <w:rsid w:val="00B8032D"/>
    <w:rsid w:val="00B80354"/>
    <w:rsid w:val="00B8036B"/>
    <w:rsid w:val="00B803C2"/>
    <w:rsid w:val="00B803D6"/>
    <w:rsid w:val="00B8042F"/>
    <w:rsid w:val="00B8043A"/>
    <w:rsid w:val="00B80451"/>
    <w:rsid w:val="00B80457"/>
    <w:rsid w:val="00B80527"/>
    <w:rsid w:val="00B80548"/>
    <w:rsid w:val="00B80555"/>
    <w:rsid w:val="00B805A5"/>
    <w:rsid w:val="00B80654"/>
    <w:rsid w:val="00B8065D"/>
    <w:rsid w:val="00B80665"/>
    <w:rsid w:val="00B80793"/>
    <w:rsid w:val="00B8079C"/>
    <w:rsid w:val="00B807D0"/>
    <w:rsid w:val="00B807D6"/>
    <w:rsid w:val="00B8081C"/>
    <w:rsid w:val="00B80843"/>
    <w:rsid w:val="00B8091D"/>
    <w:rsid w:val="00B809A5"/>
    <w:rsid w:val="00B809D0"/>
    <w:rsid w:val="00B80A49"/>
    <w:rsid w:val="00B80A78"/>
    <w:rsid w:val="00B80A92"/>
    <w:rsid w:val="00B80AB2"/>
    <w:rsid w:val="00B80ACF"/>
    <w:rsid w:val="00B80B38"/>
    <w:rsid w:val="00B80B42"/>
    <w:rsid w:val="00B80B96"/>
    <w:rsid w:val="00B80BA0"/>
    <w:rsid w:val="00B80BA1"/>
    <w:rsid w:val="00B80BDF"/>
    <w:rsid w:val="00B80C19"/>
    <w:rsid w:val="00B80C30"/>
    <w:rsid w:val="00B80C69"/>
    <w:rsid w:val="00B80C84"/>
    <w:rsid w:val="00B80CD2"/>
    <w:rsid w:val="00B80CEA"/>
    <w:rsid w:val="00B80D3A"/>
    <w:rsid w:val="00B80D91"/>
    <w:rsid w:val="00B80E40"/>
    <w:rsid w:val="00B80ED5"/>
    <w:rsid w:val="00B80F16"/>
    <w:rsid w:val="00B80FCE"/>
    <w:rsid w:val="00B80FD7"/>
    <w:rsid w:val="00B81030"/>
    <w:rsid w:val="00B8103F"/>
    <w:rsid w:val="00B8104D"/>
    <w:rsid w:val="00B81083"/>
    <w:rsid w:val="00B8108A"/>
    <w:rsid w:val="00B81094"/>
    <w:rsid w:val="00B810BF"/>
    <w:rsid w:val="00B8110A"/>
    <w:rsid w:val="00B8112F"/>
    <w:rsid w:val="00B811A2"/>
    <w:rsid w:val="00B8129A"/>
    <w:rsid w:val="00B812AE"/>
    <w:rsid w:val="00B812D7"/>
    <w:rsid w:val="00B8132F"/>
    <w:rsid w:val="00B81331"/>
    <w:rsid w:val="00B81347"/>
    <w:rsid w:val="00B8138D"/>
    <w:rsid w:val="00B813DD"/>
    <w:rsid w:val="00B814E8"/>
    <w:rsid w:val="00B814ED"/>
    <w:rsid w:val="00B8153E"/>
    <w:rsid w:val="00B81562"/>
    <w:rsid w:val="00B8157B"/>
    <w:rsid w:val="00B81584"/>
    <w:rsid w:val="00B815B1"/>
    <w:rsid w:val="00B815B2"/>
    <w:rsid w:val="00B815F2"/>
    <w:rsid w:val="00B815F7"/>
    <w:rsid w:val="00B81681"/>
    <w:rsid w:val="00B816B9"/>
    <w:rsid w:val="00B81757"/>
    <w:rsid w:val="00B817DD"/>
    <w:rsid w:val="00B817FA"/>
    <w:rsid w:val="00B8180F"/>
    <w:rsid w:val="00B818D8"/>
    <w:rsid w:val="00B81915"/>
    <w:rsid w:val="00B81928"/>
    <w:rsid w:val="00B81929"/>
    <w:rsid w:val="00B8192F"/>
    <w:rsid w:val="00B8193C"/>
    <w:rsid w:val="00B8196E"/>
    <w:rsid w:val="00B819B2"/>
    <w:rsid w:val="00B819C6"/>
    <w:rsid w:val="00B819CF"/>
    <w:rsid w:val="00B81A8E"/>
    <w:rsid w:val="00B81A94"/>
    <w:rsid w:val="00B81AF4"/>
    <w:rsid w:val="00B81AFA"/>
    <w:rsid w:val="00B81B22"/>
    <w:rsid w:val="00B81B23"/>
    <w:rsid w:val="00B81B29"/>
    <w:rsid w:val="00B81C14"/>
    <w:rsid w:val="00B81C1A"/>
    <w:rsid w:val="00B81C38"/>
    <w:rsid w:val="00B81C8C"/>
    <w:rsid w:val="00B81D52"/>
    <w:rsid w:val="00B81D69"/>
    <w:rsid w:val="00B81DAF"/>
    <w:rsid w:val="00B81E15"/>
    <w:rsid w:val="00B81E16"/>
    <w:rsid w:val="00B81E29"/>
    <w:rsid w:val="00B81E5E"/>
    <w:rsid w:val="00B81E84"/>
    <w:rsid w:val="00B81EE8"/>
    <w:rsid w:val="00B81F49"/>
    <w:rsid w:val="00B81FC0"/>
    <w:rsid w:val="00B81FF1"/>
    <w:rsid w:val="00B82023"/>
    <w:rsid w:val="00B820B5"/>
    <w:rsid w:val="00B820D3"/>
    <w:rsid w:val="00B820E7"/>
    <w:rsid w:val="00B820F3"/>
    <w:rsid w:val="00B820FA"/>
    <w:rsid w:val="00B82114"/>
    <w:rsid w:val="00B82115"/>
    <w:rsid w:val="00B8212F"/>
    <w:rsid w:val="00B82192"/>
    <w:rsid w:val="00B821B1"/>
    <w:rsid w:val="00B821E0"/>
    <w:rsid w:val="00B82242"/>
    <w:rsid w:val="00B8224C"/>
    <w:rsid w:val="00B8226B"/>
    <w:rsid w:val="00B82272"/>
    <w:rsid w:val="00B822AC"/>
    <w:rsid w:val="00B822DB"/>
    <w:rsid w:val="00B822ED"/>
    <w:rsid w:val="00B8233F"/>
    <w:rsid w:val="00B823A3"/>
    <w:rsid w:val="00B823D1"/>
    <w:rsid w:val="00B823DD"/>
    <w:rsid w:val="00B8243C"/>
    <w:rsid w:val="00B82456"/>
    <w:rsid w:val="00B824A9"/>
    <w:rsid w:val="00B824B3"/>
    <w:rsid w:val="00B824E4"/>
    <w:rsid w:val="00B824F5"/>
    <w:rsid w:val="00B82538"/>
    <w:rsid w:val="00B82539"/>
    <w:rsid w:val="00B82554"/>
    <w:rsid w:val="00B8259A"/>
    <w:rsid w:val="00B8259D"/>
    <w:rsid w:val="00B825AA"/>
    <w:rsid w:val="00B825D1"/>
    <w:rsid w:val="00B82660"/>
    <w:rsid w:val="00B8268E"/>
    <w:rsid w:val="00B8269B"/>
    <w:rsid w:val="00B826A8"/>
    <w:rsid w:val="00B82762"/>
    <w:rsid w:val="00B827C8"/>
    <w:rsid w:val="00B827DE"/>
    <w:rsid w:val="00B827F5"/>
    <w:rsid w:val="00B827FC"/>
    <w:rsid w:val="00B82801"/>
    <w:rsid w:val="00B82810"/>
    <w:rsid w:val="00B8285F"/>
    <w:rsid w:val="00B8287C"/>
    <w:rsid w:val="00B8291A"/>
    <w:rsid w:val="00B82939"/>
    <w:rsid w:val="00B82940"/>
    <w:rsid w:val="00B82942"/>
    <w:rsid w:val="00B82943"/>
    <w:rsid w:val="00B82983"/>
    <w:rsid w:val="00B82997"/>
    <w:rsid w:val="00B829BF"/>
    <w:rsid w:val="00B82A11"/>
    <w:rsid w:val="00B82A15"/>
    <w:rsid w:val="00B82A51"/>
    <w:rsid w:val="00B82A7F"/>
    <w:rsid w:val="00B82AEA"/>
    <w:rsid w:val="00B82B14"/>
    <w:rsid w:val="00B82B1F"/>
    <w:rsid w:val="00B82B66"/>
    <w:rsid w:val="00B82B74"/>
    <w:rsid w:val="00B82B8B"/>
    <w:rsid w:val="00B82BCA"/>
    <w:rsid w:val="00B82C24"/>
    <w:rsid w:val="00B82C66"/>
    <w:rsid w:val="00B82CB4"/>
    <w:rsid w:val="00B82D80"/>
    <w:rsid w:val="00B82DBC"/>
    <w:rsid w:val="00B82DEC"/>
    <w:rsid w:val="00B82E0C"/>
    <w:rsid w:val="00B82E36"/>
    <w:rsid w:val="00B82E4C"/>
    <w:rsid w:val="00B82EB3"/>
    <w:rsid w:val="00B82EFE"/>
    <w:rsid w:val="00B82F25"/>
    <w:rsid w:val="00B82F7F"/>
    <w:rsid w:val="00B82FCD"/>
    <w:rsid w:val="00B82FEB"/>
    <w:rsid w:val="00B83005"/>
    <w:rsid w:val="00B83031"/>
    <w:rsid w:val="00B83035"/>
    <w:rsid w:val="00B8304D"/>
    <w:rsid w:val="00B8307D"/>
    <w:rsid w:val="00B83097"/>
    <w:rsid w:val="00B830C5"/>
    <w:rsid w:val="00B83109"/>
    <w:rsid w:val="00B8311F"/>
    <w:rsid w:val="00B83121"/>
    <w:rsid w:val="00B8315D"/>
    <w:rsid w:val="00B831E0"/>
    <w:rsid w:val="00B831EC"/>
    <w:rsid w:val="00B83205"/>
    <w:rsid w:val="00B83252"/>
    <w:rsid w:val="00B83253"/>
    <w:rsid w:val="00B83296"/>
    <w:rsid w:val="00B832C7"/>
    <w:rsid w:val="00B83317"/>
    <w:rsid w:val="00B83378"/>
    <w:rsid w:val="00B83390"/>
    <w:rsid w:val="00B833D2"/>
    <w:rsid w:val="00B833DA"/>
    <w:rsid w:val="00B833E6"/>
    <w:rsid w:val="00B8349D"/>
    <w:rsid w:val="00B834E0"/>
    <w:rsid w:val="00B8351A"/>
    <w:rsid w:val="00B83527"/>
    <w:rsid w:val="00B8360F"/>
    <w:rsid w:val="00B83617"/>
    <w:rsid w:val="00B8364E"/>
    <w:rsid w:val="00B83650"/>
    <w:rsid w:val="00B83710"/>
    <w:rsid w:val="00B83727"/>
    <w:rsid w:val="00B8375B"/>
    <w:rsid w:val="00B837E2"/>
    <w:rsid w:val="00B8380F"/>
    <w:rsid w:val="00B8383E"/>
    <w:rsid w:val="00B8386B"/>
    <w:rsid w:val="00B83881"/>
    <w:rsid w:val="00B838D1"/>
    <w:rsid w:val="00B838E1"/>
    <w:rsid w:val="00B83935"/>
    <w:rsid w:val="00B83938"/>
    <w:rsid w:val="00B83954"/>
    <w:rsid w:val="00B83965"/>
    <w:rsid w:val="00B83976"/>
    <w:rsid w:val="00B8397C"/>
    <w:rsid w:val="00B839D3"/>
    <w:rsid w:val="00B83A3D"/>
    <w:rsid w:val="00B83A62"/>
    <w:rsid w:val="00B83A82"/>
    <w:rsid w:val="00B83AA4"/>
    <w:rsid w:val="00B83ABA"/>
    <w:rsid w:val="00B83B0F"/>
    <w:rsid w:val="00B83B46"/>
    <w:rsid w:val="00B83B55"/>
    <w:rsid w:val="00B83BC4"/>
    <w:rsid w:val="00B83BCF"/>
    <w:rsid w:val="00B83C09"/>
    <w:rsid w:val="00B83C4F"/>
    <w:rsid w:val="00B83C59"/>
    <w:rsid w:val="00B83C82"/>
    <w:rsid w:val="00B83C8F"/>
    <w:rsid w:val="00B83CDA"/>
    <w:rsid w:val="00B83D0A"/>
    <w:rsid w:val="00B83D2D"/>
    <w:rsid w:val="00B83D3D"/>
    <w:rsid w:val="00B83DAB"/>
    <w:rsid w:val="00B83DC6"/>
    <w:rsid w:val="00B83E18"/>
    <w:rsid w:val="00B83E29"/>
    <w:rsid w:val="00B83E41"/>
    <w:rsid w:val="00B83E6D"/>
    <w:rsid w:val="00B83E84"/>
    <w:rsid w:val="00B83EE5"/>
    <w:rsid w:val="00B83EE8"/>
    <w:rsid w:val="00B83F05"/>
    <w:rsid w:val="00B83F65"/>
    <w:rsid w:val="00B83F67"/>
    <w:rsid w:val="00B83F6A"/>
    <w:rsid w:val="00B84027"/>
    <w:rsid w:val="00B84095"/>
    <w:rsid w:val="00B840F4"/>
    <w:rsid w:val="00B84122"/>
    <w:rsid w:val="00B84155"/>
    <w:rsid w:val="00B84177"/>
    <w:rsid w:val="00B841A6"/>
    <w:rsid w:val="00B841B3"/>
    <w:rsid w:val="00B841BE"/>
    <w:rsid w:val="00B841C5"/>
    <w:rsid w:val="00B84229"/>
    <w:rsid w:val="00B84247"/>
    <w:rsid w:val="00B84280"/>
    <w:rsid w:val="00B84292"/>
    <w:rsid w:val="00B842D8"/>
    <w:rsid w:val="00B842EA"/>
    <w:rsid w:val="00B84314"/>
    <w:rsid w:val="00B8433F"/>
    <w:rsid w:val="00B843AE"/>
    <w:rsid w:val="00B843B2"/>
    <w:rsid w:val="00B843E5"/>
    <w:rsid w:val="00B84456"/>
    <w:rsid w:val="00B844CC"/>
    <w:rsid w:val="00B84532"/>
    <w:rsid w:val="00B84540"/>
    <w:rsid w:val="00B8459C"/>
    <w:rsid w:val="00B8461E"/>
    <w:rsid w:val="00B84645"/>
    <w:rsid w:val="00B846DE"/>
    <w:rsid w:val="00B8470A"/>
    <w:rsid w:val="00B8471B"/>
    <w:rsid w:val="00B8472E"/>
    <w:rsid w:val="00B84733"/>
    <w:rsid w:val="00B84755"/>
    <w:rsid w:val="00B84782"/>
    <w:rsid w:val="00B84797"/>
    <w:rsid w:val="00B847A9"/>
    <w:rsid w:val="00B847BA"/>
    <w:rsid w:val="00B847CD"/>
    <w:rsid w:val="00B847E2"/>
    <w:rsid w:val="00B84876"/>
    <w:rsid w:val="00B84965"/>
    <w:rsid w:val="00B84987"/>
    <w:rsid w:val="00B849C4"/>
    <w:rsid w:val="00B849DD"/>
    <w:rsid w:val="00B849F9"/>
    <w:rsid w:val="00B849FD"/>
    <w:rsid w:val="00B84A58"/>
    <w:rsid w:val="00B84A97"/>
    <w:rsid w:val="00B84B6C"/>
    <w:rsid w:val="00B84B94"/>
    <w:rsid w:val="00B84BA9"/>
    <w:rsid w:val="00B84BB2"/>
    <w:rsid w:val="00B84BB5"/>
    <w:rsid w:val="00B84BCB"/>
    <w:rsid w:val="00B84C24"/>
    <w:rsid w:val="00B84C8D"/>
    <w:rsid w:val="00B84CE1"/>
    <w:rsid w:val="00B84CE2"/>
    <w:rsid w:val="00B84D23"/>
    <w:rsid w:val="00B84D67"/>
    <w:rsid w:val="00B84D81"/>
    <w:rsid w:val="00B84D8B"/>
    <w:rsid w:val="00B84DCE"/>
    <w:rsid w:val="00B84DF4"/>
    <w:rsid w:val="00B84E20"/>
    <w:rsid w:val="00B84E43"/>
    <w:rsid w:val="00B84EDE"/>
    <w:rsid w:val="00B84EF0"/>
    <w:rsid w:val="00B84F1B"/>
    <w:rsid w:val="00B84F70"/>
    <w:rsid w:val="00B84F86"/>
    <w:rsid w:val="00B84FB1"/>
    <w:rsid w:val="00B85020"/>
    <w:rsid w:val="00B850A4"/>
    <w:rsid w:val="00B850E4"/>
    <w:rsid w:val="00B851A7"/>
    <w:rsid w:val="00B85268"/>
    <w:rsid w:val="00B8528C"/>
    <w:rsid w:val="00B852CD"/>
    <w:rsid w:val="00B852F8"/>
    <w:rsid w:val="00B85300"/>
    <w:rsid w:val="00B8531A"/>
    <w:rsid w:val="00B853B0"/>
    <w:rsid w:val="00B853C1"/>
    <w:rsid w:val="00B853E8"/>
    <w:rsid w:val="00B854E9"/>
    <w:rsid w:val="00B85517"/>
    <w:rsid w:val="00B85558"/>
    <w:rsid w:val="00B85565"/>
    <w:rsid w:val="00B8557F"/>
    <w:rsid w:val="00B8560C"/>
    <w:rsid w:val="00B85623"/>
    <w:rsid w:val="00B8564C"/>
    <w:rsid w:val="00B856C0"/>
    <w:rsid w:val="00B85756"/>
    <w:rsid w:val="00B857AC"/>
    <w:rsid w:val="00B857BF"/>
    <w:rsid w:val="00B857C0"/>
    <w:rsid w:val="00B857E3"/>
    <w:rsid w:val="00B85803"/>
    <w:rsid w:val="00B85820"/>
    <w:rsid w:val="00B85823"/>
    <w:rsid w:val="00B85830"/>
    <w:rsid w:val="00B85835"/>
    <w:rsid w:val="00B8583E"/>
    <w:rsid w:val="00B858B0"/>
    <w:rsid w:val="00B858B1"/>
    <w:rsid w:val="00B85970"/>
    <w:rsid w:val="00B85990"/>
    <w:rsid w:val="00B85A49"/>
    <w:rsid w:val="00B85A7D"/>
    <w:rsid w:val="00B85A9A"/>
    <w:rsid w:val="00B85AFC"/>
    <w:rsid w:val="00B85B71"/>
    <w:rsid w:val="00B85B74"/>
    <w:rsid w:val="00B85B87"/>
    <w:rsid w:val="00B85BB4"/>
    <w:rsid w:val="00B85BF2"/>
    <w:rsid w:val="00B85C00"/>
    <w:rsid w:val="00B85C0C"/>
    <w:rsid w:val="00B85C3A"/>
    <w:rsid w:val="00B85C97"/>
    <w:rsid w:val="00B85CB6"/>
    <w:rsid w:val="00B85CB7"/>
    <w:rsid w:val="00B85D1D"/>
    <w:rsid w:val="00B85D29"/>
    <w:rsid w:val="00B85D7D"/>
    <w:rsid w:val="00B85D87"/>
    <w:rsid w:val="00B85DA2"/>
    <w:rsid w:val="00B85DB4"/>
    <w:rsid w:val="00B85DB9"/>
    <w:rsid w:val="00B85DC8"/>
    <w:rsid w:val="00B85E26"/>
    <w:rsid w:val="00B85FCA"/>
    <w:rsid w:val="00B85FCF"/>
    <w:rsid w:val="00B86003"/>
    <w:rsid w:val="00B86015"/>
    <w:rsid w:val="00B8619D"/>
    <w:rsid w:val="00B8627F"/>
    <w:rsid w:val="00B86327"/>
    <w:rsid w:val="00B86346"/>
    <w:rsid w:val="00B86388"/>
    <w:rsid w:val="00B863D4"/>
    <w:rsid w:val="00B8640D"/>
    <w:rsid w:val="00B86461"/>
    <w:rsid w:val="00B864CC"/>
    <w:rsid w:val="00B864D6"/>
    <w:rsid w:val="00B864EE"/>
    <w:rsid w:val="00B864FF"/>
    <w:rsid w:val="00B8655B"/>
    <w:rsid w:val="00B86575"/>
    <w:rsid w:val="00B86598"/>
    <w:rsid w:val="00B8663A"/>
    <w:rsid w:val="00B866F8"/>
    <w:rsid w:val="00B8673A"/>
    <w:rsid w:val="00B8677D"/>
    <w:rsid w:val="00B86796"/>
    <w:rsid w:val="00B867FF"/>
    <w:rsid w:val="00B86800"/>
    <w:rsid w:val="00B86825"/>
    <w:rsid w:val="00B86836"/>
    <w:rsid w:val="00B86871"/>
    <w:rsid w:val="00B86895"/>
    <w:rsid w:val="00B868BA"/>
    <w:rsid w:val="00B868C0"/>
    <w:rsid w:val="00B868CC"/>
    <w:rsid w:val="00B86911"/>
    <w:rsid w:val="00B8691D"/>
    <w:rsid w:val="00B86950"/>
    <w:rsid w:val="00B869B6"/>
    <w:rsid w:val="00B869D7"/>
    <w:rsid w:val="00B869EB"/>
    <w:rsid w:val="00B86A23"/>
    <w:rsid w:val="00B86A37"/>
    <w:rsid w:val="00B86A44"/>
    <w:rsid w:val="00B86A50"/>
    <w:rsid w:val="00B86A67"/>
    <w:rsid w:val="00B86AC1"/>
    <w:rsid w:val="00B86B7B"/>
    <w:rsid w:val="00B86B82"/>
    <w:rsid w:val="00B86BEA"/>
    <w:rsid w:val="00B86C2E"/>
    <w:rsid w:val="00B86D7E"/>
    <w:rsid w:val="00B86D8D"/>
    <w:rsid w:val="00B86E11"/>
    <w:rsid w:val="00B86E65"/>
    <w:rsid w:val="00B86E6A"/>
    <w:rsid w:val="00B86EDD"/>
    <w:rsid w:val="00B86F0C"/>
    <w:rsid w:val="00B86F3B"/>
    <w:rsid w:val="00B86FC5"/>
    <w:rsid w:val="00B86FE7"/>
    <w:rsid w:val="00B86FEA"/>
    <w:rsid w:val="00B86FF9"/>
    <w:rsid w:val="00B8700E"/>
    <w:rsid w:val="00B87036"/>
    <w:rsid w:val="00B87063"/>
    <w:rsid w:val="00B87134"/>
    <w:rsid w:val="00B871AE"/>
    <w:rsid w:val="00B871C7"/>
    <w:rsid w:val="00B871FE"/>
    <w:rsid w:val="00B8725B"/>
    <w:rsid w:val="00B872F3"/>
    <w:rsid w:val="00B87304"/>
    <w:rsid w:val="00B8732D"/>
    <w:rsid w:val="00B87391"/>
    <w:rsid w:val="00B8749F"/>
    <w:rsid w:val="00B874AB"/>
    <w:rsid w:val="00B874FB"/>
    <w:rsid w:val="00B87567"/>
    <w:rsid w:val="00B87570"/>
    <w:rsid w:val="00B875B0"/>
    <w:rsid w:val="00B87615"/>
    <w:rsid w:val="00B87616"/>
    <w:rsid w:val="00B87621"/>
    <w:rsid w:val="00B87624"/>
    <w:rsid w:val="00B8767D"/>
    <w:rsid w:val="00B876BF"/>
    <w:rsid w:val="00B876D8"/>
    <w:rsid w:val="00B876EC"/>
    <w:rsid w:val="00B8770F"/>
    <w:rsid w:val="00B87922"/>
    <w:rsid w:val="00B8797E"/>
    <w:rsid w:val="00B8797F"/>
    <w:rsid w:val="00B87983"/>
    <w:rsid w:val="00B87988"/>
    <w:rsid w:val="00B879BC"/>
    <w:rsid w:val="00B879E4"/>
    <w:rsid w:val="00B879E9"/>
    <w:rsid w:val="00B87A6B"/>
    <w:rsid w:val="00B87A89"/>
    <w:rsid w:val="00B87A95"/>
    <w:rsid w:val="00B87AE9"/>
    <w:rsid w:val="00B87AF0"/>
    <w:rsid w:val="00B87BCB"/>
    <w:rsid w:val="00B87BED"/>
    <w:rsid w:val="00B87BF0"/>
    <w:rsid w:val="00B87C08"/>
    <w:rsid w:val="00B87C40"/>
    <w:rsid w:val="00B87CD5"/>
    <w:rsid w:val="00B87D30"/>
    <w:rsid w:val="00B87D8D"/>
    <w:rsid w:val="00B87EEA"/>
    <w:rsid w:val="00B87EEB"/>
    <w:rsid w:val="00B87F6D"/>
    <w:rsid w:val="00B87F85"/>
    <w:rsid w:val="00B87FC2"/>
    <w:rsid w:val="00B87FE1"/>
    <w:rsid w:val="00B90008"/>
    <w:rsid w:val="00B9002D"/>
    <w:rsid w:val="00B90037"/>
    <w:rsid w:val="00B90041"/>
    <w:rsid w:val="00B900A3"/>
    <w:rsid w:val="00B900B2"/>
    <w:rsid w:val="00B900C2"/>
    <w:rsid w:val="00B900DE"/>
    <w:rsid w:val="00B900EC"/>
    <w:rsid w:val="00B900FB"/>
    <w:rsid w:val="00B90132"/>
    <w:rsid w:val="00B9015D"/>
    <w:rsid w:val="00B901E2"/>
    <w:rsid w:val="00B90234"/>
    <w:rsid w:val="00B90252"/>
    <w:rsid w:val="00B902F3"/>
    <w:rsid w:val="00B90387"/>
    <w:rsid w:val="00B90394"/>
    <w:rsid w:val="00B90396"/>
    <w:rsid w:val="00B903B0"/>
    <w:rsid w:val="00B903B8"/>
    <w:rsid w:val="00B90439"/>
    <w:rsid w:val="00B90455"/>
    <w:rsid w:val="00B9049B"/>
    <w:rsid w:val="00B904C7"/>
    <w:rsid w:val="00B904E1"/>
    <w:rsid w:val="00B9053D"/>
    <w:rsid w:val="00B90553"/>
    <w:rsid w:val="00B905C6"/>
    <w:rsid w:val="00B905E8"/>
    <w:rsid w:val="00B90611"/>
    <w:rsid w:val="00B9064C"/>
    <w:rsid w:val="00B90653"/>
    <w:rsid w:val="00B906B9"/>
    <w:rsid w:val="00B906BF"/>
    <w:rsid w:val="00B906D0"/>
    <w:rsid w:val="00B90721"/>
    <w:rsid w:val="00B90726"/>
    <w:rsid w:val="00B907A2"/>
    <w:rsid w:val="00B90821"/>
    <w:rsid w:val="00B908AD"/>
    <w:rsid w:val="00B908D9"/>
    <w:rsid w:val="00B909D5"/>
    <w:rsid w:val="00B909D6"/>
    <w:rsid w:val="00B909DA"/>
    <w:rsid w:val="00B909EA"/>
    <w:rsid w:val="00B90A03"/>
    <w:rsid w:val="00B90A30"/>
    <w:rsid w:val="00B90A4A"/>
    <w:rsid w:val="00B90A59"/>
    <w:rsid w:val="00B90A65"/>
    <w:rsid w:val="00B90A78"/>
    <w:rsid w:val="00B90ABC"/>
    <w:rsid w:val="00B90BD0"/>
    <w:rsid w:val="00B90C39"/>
    <w:rsid w:val="00B90C58"/>
    <w:rsid w:val="00B90C7C"/>
    <w:rsid w:val="00B90CA7"/>
    <w:rsid w:val="00B90D15"/>
    <w:rsid w:val="00B90D73"/>
    <w:rsid w:val="00B90D93"/>
    <w:rsid w:val="00B90DDC"/>
    <w:rsid w:val="00B90E81"/>
    <w:rsid w:val="00B90E9C"/>
    <w:rsid w:val="00B90EF0"/>
    <w:rsid w:val="00B90F08"/>
    <w:rsid w:val="00B90F69"/>
    <w:rsid w:val="00B90F8A"/>
    <w:rsid w:val="00B90F8F"/>
    <w:rsid w:val="00B90FBF"/>
    <w:rsid w:val="00B91004"/>
    <w:rsid w:val="00B91007"/>
    <w:rsid w:val="00B9100B"/>
    <w:rsid w:val="00B91048"/>
    <w:rsid w:val="00B91080"/>
    <w:rsid w:val="00B9108D"/>
    <w:rsid w:val="00B91097"/>
    <w:rsid w:val="00B911AD"/>
    <w:rsid w:val="00B9120A"/>
    <w:rsid w:val="00B9122B"/>
    <w:rsid w:val="00B91232"/>
    <w:rsid w:val="00B9131A"/>
    <w:rsid w:val="00B91328"/>
    <w:rsid w:val="00B9140E"/>
    <w:rsid w:val="00B91472"/>
    <w:rsid w:val="00B914A5"/>
    <w:rsid w:val="00B914AA"/>
    <w:rsid w:val="00B914CE"/>
    <w:rsid w:val="00B914D8"/>
    <w:rsid w:val="00B91515"/>
    <w:rsid w:val="00B915CE"/>
    <w:rsid w:val="00B91602"/>
    <w:rsid w:val="00B91606"/>
    <w:rsid w:val="00B91669"/>
    <w:rsid w:val="00B9167A"/>
    <w:rsid w:val="00B9167D"/>
    <w:rsid w:val="00B91728"/>
    <w:rsid w:val="00B91737"/>
    <w:rsid w:val="00B9179A"/>
    <w:rsid w:val="00B917D1"/>
    <w:rsid w:val="00B9187E"/>
    <w:rsid w:val="00B918A2"/>
    <w:rsid w:val="00B918D6"/>
    <w:rsid w:val="00B9196B"/>
    <w:rsid w:val="00B919B9"/>
    <w:rsid w:val="00B919BF"/>
    <w:rsid w:val="00B919F2"/>
    <w:rsid w:val="00B91A04"/>
    <w:rsid w:val="00B91A29"/>
    <w:rsid w:val="00B91B14"/>
    <w:rsid w:val="00B91B1C"/>
    <w:rsid w:val="00B91B44"/>
    <w:rsid w:val="00B91B74"/>
    <w:rsid w:val="00B91BB1"/>
    <w:rsid w:val="00B91C03"/>
    <w:rsid w:val="00B91C0C"/>
    <w:rsid w:val="00B91C4A"/>
    <w:rsid w:val="00B91C6A"/>
    <w:rsid w:val="00B91C97"/>
    <w:rsid w:val="00B91CAB"/>
    <w:rsid w:val="00B91D48"/>
    <w:rsid w:val="00B91D93"/>
    <w:rsid w:val="00B91DF9"/>
    <w:rsid w:val="00B91E0E"/>
    <w:rsid w:val="00B91E6B"/>
    <w:rsid w:val="00B91EA8"/>
    <w:rsid w:val="00B91EA9"/>
    <w:rsid w:val="00B91EB0"/>
    <w:rsid w:val="00B91F0D"/>
    <w:rsid w:val="00B91F16"/>
    <w:rsid w:val="00B91FB4"/>
    <w:rsid w:val="00B91FF3"/>
    <w:rsid w:val="00B92000"/>
    <w:rsid w:val="00B92045"/>
    <w:rsid w:val="00B92062"/>
    <w:rsid w:val="00B92067"/>
    <w:rsid w:val="00B920F5"/>
    <w:rsid w:val="00B92107"/>
    <w:rsid w:val="00B92125"/>
    <w:rsid w:val="00B92163"/>
    <w:rsid w:val="00B9217B"/>
    <w:rsid w:val="00B92212"/>
    <w:rsid w:val="00B92257"/>
    <w:rsid w:val="00B92291"/>
    <w:rsid w:val="00B922C4"/>
    <w:rsid w:val="00B923F8"/>
    <w:rsid w:val="00B92408"/>
    <w:rsid w:val="00B9240C"/>
    <w:rsid w:val="00B92459"/>
    <w:rsid w:val="00B924AD"/>
    <w:rsid w:val="00B924E3"/>
    <w:rsid w:val="00B924F8"/>
    <w:rsid w:val="00B924FC"/>
    <w:rsid w:val="00B92560"/>
    <w:rsid w:val="00B92587"/>
    <w:rsid w:val="00B925A6"/>
    <w:rsid w:val="00B925AE"/>
    <w:rsid w:val="00B925D5"/>
    <w:rsid w:val="00B92647"/>
    <w:rsid w:val="00B92694"/>
    <w:rsid w:val="00B92711"/>
    <w:rsid w:val="00B9271B"/>
    <w:rsid w:val="00B9277C"/>
    <w:rsid w:val="00B92814"/>
    <w:rsid w:val="00B92893"/>
    <w:rsid w:val="00B9289C"/>
    <w:rsid w:val="00B928A0"/>
    <w:rsid w:val="00B928A6"/>
    <w:rsid w:val="00B928DE"/>
    <w:rsid w:val="00B92910"/>
    <w:rsid w:val="00B92921"/>
    <w:rsid w:val="00B92951"/>
    <w:rsid w:val="00B92959"/>
    <w:rsid w:val="00B92986"/>
    <w:rsid w:val="00B92991"/>
    <w:rsid w:val="00B929EA"/>
    <w:rsid w:val="00B92A36"/>
    <w:rsid w:val="00B92A50"/>
    <w:rsid w:val="00B92A5B"/>
    <w:rsid w:val="00B92AB3"/>
    <w:rsid w:val="00B92AC1"/>
    <w:rsid w:val="00B92AD6"/>
    <w:rsid w:val="00B92AFC"/>
    <w:rsid w:val="00B92B28"/>
    <w:rsid w:val="00B92B33"/>
    <w:rsid w:val="00B92B48"/>
    <w:rsid w:val="00B92BA1"/>
    <w:rsid w:val="00B92BDC"/>
    <w:rsid w:val="00B92C1A"/>
    <w:rsid w:val="00B92C24"/>
    <w:rsid w:val="00B92C30"/>
    <w:rsid w:val="00B92C66"/>
    <w:rsid w:val="00B92C67"/>
    <w:rsid w:val="00B92C6C"/>
    <w:rsid w:val="00B92C76"/>
    <w:rsid w:val="00B92D0D"/>
    <w:rsid w:val="00B92D17"/>
    <w:rsid w:val="00B92E6A"/>
    <w:rsid w:val="00B92E7D"/>
    <w:rsid w:val="00B92E80"/>
    <w:rsid w:val="00B92EC8"/>
    <w:rsid w:val="00B92F69"/>
    <w:rsid w:val="00B92FA0"/>
    <w:rsid w:val="00B92FCB"/>
    <w:rsid w:val="00B92FCD"/>
    <w:rsid w:val="00B92FDD"/>
    <w:rsid w:val="00B9300A"/>
    <w:rsid w:val="00B93063"/>
    <w:rsid w:val="00B930B2"/>
    <w:rsid w:val="00B930D1"/>
    <w:rsid w:val="00B93106"/>
    <w:rsid w:val="00B9313D"/>
    <w:rsid w:val="00B9313E"/>
    <w:rsid w:val="00B93148"/>
    <w:rsid w:val="00B931DD"/>
    <w:rsid w:val="00B9325D"/>
    <w:rsid w:val="00B9326E"/>
    <w:rsid w:val="00B933B9"/>
    <w:rsid w:val="00B933EF"/>
    <w:rsid w:val="00B9345E"/>
    <w:rsid w:val="00B93460"/>
    <w:rsid w:val="00B93462"/>
    <w:rsid w:val="00B93466"/>
    <w:rsid w:val="00B934A9"/>
    <w:rsid w:val="00B934B0"/>
    <w:rsid w:val="00B934BB"/>
    <w:rsid w:val="00B93514"/>
    <w:rsid w:val="00B93539"/>
    <w:rsid w:val="00B93541"/>
    <w:rsid w:val="00B93566"/>
    <w:rsid w:val="00B935EB"/>
    <w:rsid w:val="00B93602"/>
    <w:rsid w:val="00B93619"/>
    <w:rsid w:val="00B9363B"/>
    <w:rsid w:val="00B93642"/>
    <w:rsid w:val="00B9364C"/>
    <w:rsid w:val="00B93673"/>
    <w:rsid w:val="00B93686"/>
    <w:rsid w:val="00B936CD"/>
    <w:rsid w:val="00B936EA"/>
    <w:rsid w:val="00B9375D"/>
    <w:rsid w:val="00B93784"/>
    <w:rsid w:val="00B93849"/>
    <w:rsid w:val="00B9388D"/>
    <w:rsid w:val="00B93894"/>
    <w:rsid w:val="00B938E8"/>
    <w:rsid w:val="00B9391A"/>
    <w:rsid w:val="00B9392B"/>
    <w:rsid w:val="00B93930"/>
    <w:rsid w:val="00B93932"/>
    <w:rsid w:val="00B9394D"/>
    <w:rsid w:val="00B93976"/>
    <w:rsid w:val="00B93980"/>
    <w:rsid w:val="00B939A6"/>
    <w:rsid w:val="00B939BF"/>
    <w:rsid w:val="00B939F3"/>
    <w:rsid w:val="00B93A5C"/>
    <w:rsid w:val="00B93AA1"/>
    <w:rsid w:val="00B93AA7"/>
    <w:rsid w:val="00B93AF5"/>
    <w:rsid w:val="00B93B49"/>
    <w:rsid w:val="00B93B84"/>
    <w:rsid w:val="00B93B88"/>
    <w:rsid w:val="00B93BA3"/>
    <w:rsid w:val="00B93BB9"/>
    <w:rsid w:val="00B93BFF"/>
    <w:rsid w:val="00B93C74"/>
    <w:rsid w:val="00B93CAC"/>
    <w:rsid w:val="00B93CBB"/>
    <w:rsid w:val="00B93CCB"/>
    <w:rsid w:val="00B93D00"/>
    <w:rsid w:val="00B93D15"/>
    <w:rsid w:val="00B93D3E"/>
    <w:rsid w:val="00B93D56"/>
    <w:rsid w:val="00B93DD2"/>
    <w:rsid w:val="00B93DD6"/>
    <w:rsid w:val="00B93DE7"/>
    <w:rsid w:val="00B93E25"/>
    <w:rsid w:val="00B93E34"/>
    <w:rsid w:val="00B93E3F"/>
    <w:rsid w:val="00B93EB9"/>
    <w:rsid w:val="00B93EF3"/>
    <w:rsid w:val="00B93EFA"/>
    <w:rsid w:val="00B93EFD"/>
    <w:rsid w:val="00B93F0A"/>
    <w:rsid w:val="00B93F48"/>
    <w:rsid w:val="00B93F6F"/>
    <w:rsid w:val="00B93F75"/>
    <w:rsid w:val="00B93FE7"/>
    <w:rsid w:val="00B94010"/>
    <w:rsid w:val="00B94045"/>
    <w:rsid w:val="00B94054"/>
    <w:rsid w:val="00B9408C"/>
    <w:rsid w:val="00B94097"/>
    <w:rsid w:val="00B940B2"/>
    <w:rsid w:val="00B940B3"/>
    <w:rsid w:val="00B94179"/>
    <w:rsid w:val="00B9417C"/>
    <w:rsid w:val="00B941D5"/>
    <w:rsid w:val="00B941E7"/>
    <w:rsid w:val="00B941F1"/>
    <w:rsid w:val="00B9427E"/>
    <w:rsid w:val="00B94299"/>
    <w:rsid w:val="00B9429E"/>
    <w:rsid w:val="00B942D0"/>
    <w:rsid w:val="00B94304"/>
    <w:rsid w:val="00B9431A"/>
    <w:rsid w:val="00B94326"/>
    <w:rsid w:val="00B94345"/>
    <w:rsid w:val="00B94350"/>
    <w:rsid w:val="00B94373"/>
    <w:rsid w:val="00B94398"/>
    <w:rsid w:val="00B9439E"/>
    <w:rsid w:val="00B943BD"/>
    <w:rsid w:val="00B94438"/>
    <w:rsid w:val="00B94451"/>
    <w:rsid w:val="00B9446A"/>
    <w:rsid w:val="00B94504"/>
    <w:rsid w:val="00B94510"/>
    <w:rsid w:val="00B9452D"/>
    <w:rsid w:val="00B9457D"/>
    <w:rsid w:val="00B9458D"/>
    <w:rsid w:val="00B94593"/>
    <w:rsid w:val="00B94595"/>
    <w:rsid w:val="00B9459F"/>
    <w:rsid w:val="00B945F8"/>
    <w:rsid w:val="00B94632"/>
    <w:rsid w:val="00B94640"/>
    <w:rsid w:val="00B94662"/>
    <w:rsid w:val="00B9466D"/>
    <w:rsid w:val="00B9468E"/>
    <w:rsid w:val="00B946A4"/>
    <w:rsid w:val="00B94711"/>
    <w:rsid w:val="00B94739"/>
    <w:rsid w:val="00B94754"/>
    <w:rsid w:val="00B94763"/>
    <w:rsid w:val="00B9485B"/>
    <w:rsid w:val="00B94863"/>
    <w:rsid w:val="00B948A4"/>
    <w:rsid w:val="00B94985"/>
    <w:rsid w:val="00B949BC"/>
    <w:rsid w:val="00B94A3E"/>
    <w:rsid w:val="00B94A8D"/>
    <w:rsid w:val="00B94ADA"/>
    <w:rsid w:val="00B94B4E"/>
    <w:rsid w:val="00B94BAD"/>
    <w:rsid w:val="00B94BAE"/>
    <w:rsid w:val="00B94BC0"/>
    <w:rsid w:val="00B94C60"/>
    <w:rsid w:val="00B94C8F"/>
    <w:rsid w:val="00B94CC0"/>
    <w:rsid w:val="00B94CE1"/>
    <w:rsid w:val="00B94D05"/>
    <w:rsid w:val="00B94D21"/>
    <w:rsid w:val="00B94D78"/>
    <w:rsid w:val="00B94DD3"/>
    <w:rsid w:val="00B94DD6"/>
    <w:rsid w:val="00B94DE7"/>
    <w:rsid w:val="00B94DEA"/>
    <w:rsid w:val="00B94E3E"/>
    <w:rsid w:val="00B94EC2"/>
    <w:rsid w:val="00B94EFC"/>
    <w:rsid w:val="00B94EFD"/>
    <w:rsid w:val="00B94F1F"/>
    <w:rsid w:val="00B94F95"/>
    <w:rsid w:val="00B95042"/>
    <w:rsid w:val="00B950C6"/>
    <w:rsid w:val="00B950E6"/>
    <w:rsid w:val="00B950F6"/>
    <w:rsid w:val="00B9511F"/>
    <w:rsid w:val="00B951C6"/>
    <w:rsid w:val="00B951E0"/>
    <w:rsid w:val="00B95211"/>
    <w:rsid w:val="00B9521E"/>
    <w:rsid w:val="00B952B3"/>
    <w:rsid w:val="00B952B9"/>
    <w:rsid w:val="00B952C9"/>
    <w:rsid w:val="00B952D3"/>
    <w:rsid w:val="00B952E7"/>
    <w:rsid w:val="00B95308"/>
    <w:rsid w:val="00B95321"/>
    <w:rsid w:val="00B9540D"/>
    <w:rsid w:val="00B95419"/>
    <w:rsid w:val="00B95435"/>
    <w:rsid w:val="00B95494"/>
    <w:rsid w:val="00B95498"/>
    <w:rsid w:val="00B954F8"/>
    <w:rsid w:val="00B95612"/>
    <w:rsid w:val="00B95646"/>
    <w:rsid w:val="00B95662"/>
    <w:rsid w:val="00B9569A"/>
    <w:rsid w:val="00B9569E"/>
    <w:rsid w:val="00B956CD"/>
    <w:rsid w:val="00B956DB"/>
    <w:rsid w:val="00B95721"/>
    <w:rsid w:val="00B95737"/>
    <w:rsid w:val="00B95768"/>
    <w:rsid w:val="00B957FD"/>
    <w:rsid w:val="00B9581C"/>
    <w:rsid w:val="00B9584C"/>
    <w:rsid w:val="00B95853"/>
    <w:rsid w:val="00B95869"/>
    <w:rsid w:val="00B958A7"/>
    <w:rsid w:val="00B95904"/>
    <w:rsid w:val="00B95936"/>
    <w:rsid w:val="00B959A3"/>
    <w:rsid w:val="00B959B1"/>
    <w:rsid w:val="00B959E5"/>
    <w:rsid w:val="00B95A6E"/>
    <w:rsid w:val="00B95AC2"/>
    <w:rsid w:val="00B95ACF"/>
    <w:rsid w:val="00B95B74"/>
    <w:rsid w:val="00B95BAD"/>
    <w:rsid w:val="00B95BF6"/>
    <w:rsid w:val="00B95C30"/>
    <w:rsid w:val="00B95C3D"/>
    <w:rsid w:val="00B95C42"/>
    <w:rsid w:val="00B95CA1"/>
    <w:rsid w:val="00B95CC6"/>
    <w:rsid w:val="00B95CC7"/>
    <w:rsid w:val="00B95D0B"/>
    <w:rsid w:val="00B95D51"/>
    <w:rsid w:val="00B95D5D"/>
    <w:rsid w:val="00B95D89"/>
    <w:rsid w:val="00B95DF6"/>
    <w:rsid w:val="00B95EA5"/>
    <w:rsid w:val="00B95EB7"/>
    <w:rsid w:val="00B95ED7"/>
    <w:rsid w:val="00B95F08"/>
    <w:rsid w:val="00B95F7E"/>
    <w:rsid w:val="00B95FA3"/>
    <w:rsid w:val="00B95FC5"/>
    <w:rsid w:val="00B96043"/>
    <w:rsid w:val="00B96091"/>
    <w:rsid w:val="00B960F8"/>
    <w:rsid w:val="00B9611E"/>
    <w:rsid w:val="00B96140"/>
    <w:rsid w:val="00B9616A"/>
    <w:rsid w:val="00B9619E"/>
    <w:rsid w:val="00B9620B"/>
    <w:rsid w:val="00B96241"/>
    <w:rsid w:val="00B96253"/>
    <w:rsid w:val="00B9625D"/>
    <w:rsid w:val="00B962AB"/>
    <w:rsid w:val="00B9634D"/>
    <w:rsid w:val="00B96373"/>
    <w:rsid w:val="00B96380"/>
    <w:rsid w:val="00B963A4"/>
    <w:rsid w:val="00B963B2"/>
    <w:rsid w:val="00B963B6"/>
    <w:rsid w:val="00B9641A"/>
    <w:rsid w:val="00B96455"/>
    <w:rsid w:val="00B9645E"/>
    <w:rsid w:val="00B96484"/>
    <w:rsid w:val="00B9648F"/>
    <w:rsid w:val="00B964BC"/>
    <w:rsid w:val="00B9655E"/>
    <w:rsid w:val="00B9656B"/>
    <w:rsid w:val="00B9657F"/>
    <w:rsid w:val="00B9659D"/>
    <w:rsid w:val="00B965A6"/>
    <w:rsid w:val="00B965D9"/>
    <w:rsid w:val="00B965E3"/>
    <w:rsid w:val="00B96610"/>
    <w:rsid w:val="00B96615"/>
    <w:rsid w:val="00B9667C"/>
    <w:rsid w:val="00B96755"/>
    <w:rsid w:val="00B9675F"/>
    <w:rsid w:val="00B9676D"/>
    <w:rsid w:val="00B967F5"/>
    <w:rsid w:val="00B9691A"/>
    <w:rsid w:val="00B96952"/>
    <w:rsid w:val="00B9696D"/>
    <w:rsid w:val="00B96A00"/>
    <w:rsid w:val="00B96A1C"/>
    <w:rsid w:val="00B96A3F"/>
    <w:rsid w:val="00B96A55"/>
    <w:rsid w:val="00B96A6F"/>
    <w:rsid w:val="00B96A7C"/>
    <w:rsid w:val="00B96AA4"/>
    <w:rsid w:val="00B96BF7"/>
    <w:rsid w:val="00B96C01"/>
    <w:rsid w:val="00B96C17"/>
    <w:rsid w:val="00B96C1F"/>
    <w:rsid w:val="00B96C61"/>
    <w:rsid w:val="00B96CB6"/>
    <w:rsid w:val="00B96CE0"/>
    <w:rsid w:val="00B96D16"/>
    <w:rsid w:val="00B96D26"/>
    <w:rsid w:val="00B96D27"/>
    <w:rsid w:val="00B96D3C"/>
    <w:rsid w:val="00B96D45"/>
    <w:rsid w:val="00B96D7B"/>
    <w:rsid w:val="00B96D8F"/>
    <w:rsid w:val="00B96DA8"/>
    <w:rsid w:val="00B96DF0"/>
    <w:rsid w:val="00B96E3F"/>
    <w:rsid w:val="00B96E76"/>
    <w:rsid w:val="00B96E84"/>
    <w:rsid w:val="00B96E9E"/>
    <w:rsid w:val="00B96EA8"/>
    <w:rsid w:val="00B96EC2"/>
    <w:rsid w:val="00B96F44"/>
    <w:rsid w:val="00B96F62"/>
    <w:rsid w:val="00B96FBD"/>
    <w:rsid w:val="00B9700D"/>
    <w:rsid w:val="00B97021"/>
    <w:rsid w:val="00B9703F"/>
    <w:rsid w:val="00B97046"/>
    <w:rsid w:val="00B9719D"/>
    <w:rsid w:val="00B971BC"/>
    <w:rsid w:val="00B971C4"/>
    <w:rsid w:val="00B971E4"/>
    <w:rsid w:val="00B9726B"/>
    <w:rsid w:val="00B972B6"/>
    <w:rsid w:val="00B972FD"/>
    <w:rsid w:val="00B97301"/>
    <w:rsid w:val="00B97307"/>
    <w:rsid w:val="00B973B2"/>
    <w:rsid w:val="00B973B5"/>
    <w:rsid w:val="00B973B7"/>
    <w:rsid w:val="00B973BD"/>
    <w:rsid w:val="00B973C6"/>
    <w:rsid w:val="00B9740F"/>
    <w:rsid w:val="00B9742F"/>
    <w:rsid w:val="00B97433"/>
    <w:rsid w:val="00B9743F"/>
    <w:rsid w:val="00B97452"/>
    <w:rsid w:val="00B97459"/>
    <w:rsid w:val="00B97483"/>
    <w:rsid w:val="00B97487"/>
    <w:rsid w:val="00B97491"/>
    <w:rsid w:val="00B974CF"/>
    <w:rsid w:val="00B9752C"/>
    <w:rsid w:val="00B9753C"/>
    <w:rsid w:val="00B97593"/>
    <w:rsid w:val="00B975F3"/>
    <w:rsid w:val="00B975FD"/>
    <w:rsid w:val="00B97609"/>
    <w:rsid w:val="00B97635"/>
    <w:rsid w:val="00B97673"/>
    <w:rsid w:val="00B976A6"/>
    <w:rsid w:val="00B976AD"/>
    <w:rsid w:val="00B976BC"/>
    <w:rsid w:val="00B976EF"/>
    <w:rsid w:val="00B97736"/>
    <w:rsid w:val="00B97800"/>
    <w:rsid w:val="00B97872"/>
    <w:rsid w:val="00B97880"/>
    <w:rsid w:val="00B978B5"/>
    <w:rsid w:val="00B978CB"/>
    <w:rsid w:val="00B97904"/>
    <w:rsid w:val="00B97924"/>
    <w:rsid w:val="00B9792D"/>
    <w:rsid w:val="00B97939"/>
    <w:rsid w:val="00B97946"/>
    <w:rsid w:val="00B9797D"/>
    <w:rsid w:val="00B97991"/>
    <w:rsid w:val="00B979BE"/>
    <w:rsid w:val="00B979D7"/>
    <w:rsid w:val="00B979F9"/>
    <w:rsid w:val="00B979FE"/>
    <w:rsid w:val="00B97A84"/>
    <w:rsid w:val="00B97AD9"/>
    <w:rsid w:val="00B97B8D"/>
    <w:rsid w:val="00B97BC9"/>
    <w:rsid w:val="00B97C0A"/>
    <w:rsid w:val="00B97C13"/>
    <w:rsid w:val="00B97CA7"/>
    <w:rsid w:val="00B97CF4"/>
    <w:rsid w:val="00B97D6E"/>
    <w:rsid w:val="00B97DB2"/>
    <w:rsid w:val="00B97DCF"/>
    <w:rsid w:val="00B97DFE"/>
    <w:rsid w:val="00B97E59"/>
    <w:rsid w:val="00B97EFB"/>
    <w:rsid w:val="00B97F81"/>
    <w:rsid w:val="00B97F82"/>
    <w:rsid w:val="00B97F98"/>
    <w:rsid w:val="00B97FA9"/>
    <w:rsid w:val="00B998C4"/>
    <w:rsid w:val="00B9DA81"/>
    <w:rsid w:val="00BA002E"/>
    <w:rsid w:val="00BA009B"/>
    <w:rsid w:val="00BA0119"/>
    <w:rsid w:val="00BA0146"/>
    <w:rsid w:val="00BA019F"/>
    <w:rsid w:val="00BA01D8"/>
    <w:rsid w:val="00BA01F3"/>
    <w:rsid w:val="00BA0211"/>
    <w:rsid w:val="00BA0241"/>
    <w:rsid w:val="00BA027D"/>
    <w:rsid w:val="00BA02A8"/>
    <w:rsid w:val="00BA02B4"/>
    <w:rsid w:val="00BA02BF"/>
    <w:rsid w:val="00BA0308"/>
    <w:rsid w:val="00BA0323"/>
    <w:rsid w:val="00BA03AC"/>
    <w:rsid w:val="00BA03DF"/>
    <w:rsid w:val="00BA03F3"/>
    <w:rsid w:val="00BA0412"/>
    <w:rsid w:val="00BA0471"/>
    <w:rsid w:val="00BA0483"/>
    <w:rsid w:val="00BA0503"/>
    <w:rsid w:val="00BA0509"/>
    <w:rsid w:val="00BA0513"/>
    <w:rsid w:val="00BA065A"/>
    <w:rsid w:val="00BA0690"/>
    <w:rsid w:val="00BA069B"/>
    <w:rsid w:val="00BA06A9"/>
    <w:rsid w:val="00BA06B3"/>
    <w:rsid w:val="00BA06EE"/>
    <w:rsid w:val="00BA070B"/>
    <w:rsid w:val="00BA0719"/>
    <w:rsid w:val="00BA0732"/>
    <w:rsid w:val="00BA0768"/>
    <w:rsid w:val="00BA0791"/>
    <w:rsid w:val="00BA07A6"/>
    <w:rsid w:val="00BA081B"/>
    <w:rsid w:val="00BA082C"/>
    <w:rsid w:val="00BA0885"/>
    <w:rsid w:val="00BA088C"/>
    <w:rsid w:val="00BA08B1"/>
    <w:rsid w:val="00BA08EA"/>
    <w:rsid w:val="00BA091F"/>
    <w:rsid w:val="00BA093C"/>
    <w:rsid w:val="00BA0945"/>
    <w:rsid w:val="00BA0961"/>
    <w:rsid w:val="00BA09B5"/>
    <w:rsid w:val="00BA09BB"/>
    <w:rsid w:val="00BA09BC"/>
    <w:rsid w:val="00BA09F8"/>
    <w:rsid w:val="00BA0A31"/>
    <w:rsid w:val="00BA0A38"/>
    <w:rsid w:val="00BA0A8E"/>
    <w:rsid w:val="00BA0ADD"/>
    <w:rsid w:val="00BA0B0B"/>
    <w:rsid w:val="00BA0B0E"/>
    <w:rsid w:val="00BA0B1A"/>
    <w:rsid w:val="00BA0B6D"/>
    <w:rsid w:val="00BA0BC3"/>
    <w:rsid w:val="00BA0BE1"/>
    <w:rsid w:val="00BA0C20"/>
    <w:rsid w:val="00BA0C40"/>
    <w:rsid w:val="00BA0CA8"/>
    <w:rsid w:val="00BA0CB3"/>
    <w:rsid w:val="00BA0D08"/>
    <w:rsid w:val="00BA0D61"/>
    <w:rsid w:val="00BA0DF0"/>
    <w:rsid w:val="00BA0E41"/>
    <w:rsid w:val="00BA0EBD"/>
    <w:rsid w:val="00BA0EC1"/>
    <w:rsid w:val="00BA0F1D"/>
    <w:rsid w:val="00BA0F44"/>
    <w:rsid w:val="00BA0F4D"/>
    <w:rsid w:val="00BA0FA4"/>
    <w:rsid w:val="00BA0FEA"/>
    <w:rsid w:val="00BA1015"/>
    <w:rsid w:val="00BA1030"/>
    <w:rsid w:val="00BA1055"/>
    <w:rsid w:val="00BA10EA"/>
    <w:rsid w:val="00BA1133"/>
    <w:rsid w:val="00BA1188"/>
    <w:rsid w:val="00BA11F3"/>
    <w:rsid w:val="00BA126C"/>
    <w:rsid w:val="00BA12E4"/>
    <w:rsid w:val="00BA130F"/>
    <w:rsid w:val="00BA1319"/>
    <w:rsid w:val="00BA1325"/>
    <w:rsid w:val="00BA133F"/>
    <w:rsid w:val="00BA1348"/>
    <w:rsid w:val="00BA13D1"/>
    <w:rsid w:val="00BA13D9"/>
    <w:rsid w:val="00BA13DF"/>
    <w:rsid w:val="00BA146B"/>
    <w:rsid w:val="00BA149F"/>
    <w:rsid w:val="00BA14D4"/>
    <w:rsid w:val="00BA14FE"/>
    <w:rsid w:val="00BA150E"/>
    <w:rsid w:val="00BA15BA"/>
    <w:rsid w:val="00BA15D5"/>
    <w:rsid w:val="00BA15F9"/>
    <w:rsid w:val="00BA1661"/>
    <w:rsid w:val="00BA16B6"/>
    <w:rsid w:val="00BA16BC"/>
    <w:rsid w:val="00BA17D6"/>
    <w:rsid w:val="00BA17F5"/>
    <w:rsid w:val="00BA1825"/>
    <w:rsid w:val="00BA1853"/>
    <w:rsid w:val="00BA1858"/>
    <w:rsid w:val="00BA18A2"/>
    <w:rsid w:val="00BA18E1"/>
    <w:rsid w:val="00BA1927"/>
    <w:rsid w:val="00BA1950"/>
    <w:rsid w:val="00BA1969"/>
    <w:rsid w:val="00BA1999"/>
    <w:rsid w:val="00BA19C4"/>
    <w:rsid w:val="00BA19D7"/>
    <w:rsid w:val="00BA1A60"/>
    <w:rsid w:val="00BA1ADA"/>
    <w:rsid w:val="00BA1B04"/>
    <w:rsid w:val="00BA1B66"/>
    <w:rsid w:val="00BA1B76"/>
    <w:rsid w:val="00BA1B97"/>
    <w:rsid w:val="00BA1BAE"/>
    <w:rsid w:val="00BA1BB4"/>
    <w:rsid w:val="00BA1C16"/>
    <w:rsid w:val="00BA1C1B"/>
    <w:rsid w:val="00BA1C26"/>
    <w:rsid w:val="00BA1C73"/>
    <w:rsid w:val="00BA1CAC"/>
    <w:rsid w:val="00BA1CE8"/>
    <w:rsid w:val="00BA1D74"/>
    <w:rsid w:val="00BA1D9D"/>
    <w:rsid w:val="00BA1DC4"/>
    <w:rsid w:val="00BA1DC7"/>
    <w:rsid w:val="00BA1E32"/>
    <w:rsid w:val="00BA1E68"/>
    <w:rsid w:val="00BA1E97"/>
    <w:rsid w:val="00BA1EA8"/>
    <w:rsid w:val="00BA1ECF"/>
    <w:rsid w:val="00BA1EDD"/>
    <w:rsid w:val="00BA1EFD"/>
    <w:rsid w:val="00BA1F49"/>
    <w:rsid w:val="00BA1FB9"/>
    <w:rsid w:val="00BA1FE2"/>
    <w:rsid w:val="00BA1FEB"/>
    <w:rsid w:val="00BA1FF3"/>
    <w:rsid w:val="00BA209A"/>
    <w:rsid w:val="00BA2105"/>
    <w:rsid w:val="00BA210A"/>
    <w:rsid w:val="00BA2110"/>
    <w:rsid w:val="00BA2126"/>
    <w:rsid w:val="00BA21CF"/>
    <w:rsid w:val="00BA2215"/>
    <w:rsid w:val="00BA2257"/>
    <w:rsid w:val="00BA23BD"/>
    <w:rsid w:val="00BA2453"/>
    <w:rsid w:val="00BA24AE"/>
    <w:rsid w:val="00BA24C8"/>
    <w:rsid w:val="00BA24FC"/>
    <w:rsid w:val="00BA256B"/>
    <w:rsid w:val="00BA2578"/>
    <w:rsid w:val="00BA261E"/>
    <w:rsid w:val="00BA264F"/>
    <w:rsid w:val="00BA2658"/>
    <w:rsid w:val="00BA26BE"/>
    <w:rsid w:val="00BA26DE"/>
    <w:rsid w:val="00BA2728"/>
    <w:rsid w:val="00BA2783"/>
    <w:rsid w:val="00BA2792"/>
    <w:rsid w:val="00BA27E8"/>
    <w:rsid w:val="00BA292D"/>
    <w:rsid w:val="00BA2938"/>
    <w:rsid w:val="00BA298E"/>
    <w:rsid w:val="00BA2997"/>
    <w:rsid w:val="00BA29F7"/>
    <w:rsid w:val="00BA2A0F"/>
    <w:rsid w:val="00BA2A86"/>
    <w:rsid w:val="00BA2A99"/>
    <w:rsid w:val="00BA2AF6"/>
    <w:rsid w:val="00BA2B1A"/>
    <w:rsid w:val="00BA2B5C"/>
    <w:rsid w:val="00BA2B5F"/>
    <w:rsid w:val="00BA2BAD"/>
    <w:rsid w:val="00BA2C49"/>
    <w:rsid w:val="00BA2CCC"/>
    <w:rsid w:val="00BA2CF7"/>
    <w:rsid w:val="00BA2D20"/>
    <w:rsid w:val="00BA2D35"/>
    <w:rsid w:val="00BA2D3E"/>
    <w:rsid w:val="00BA2D67"/>
    <w:rsid w:val="00BA2DFB"/>
    <w:rsid w:val="00BA2E09"/>
    <w:rsid w:val="00BA2E1A"/>
    <w:rsid w:val="00BA2E69"/>
    <w:rsid w:val="00BA2E91"/>
    <w:rsid w:val="00BA2EA1"/>
    <w:rsid w:val="00BA2FC6"/>
    <w:rsid w:val="00BA2FEC"/>
    <w:rsid w:val="00BA3054"/>
    <w:rsid w:val="00BA306B"/>
    <w:rsid w:val="00BA3092"/>
    <w:rsid w:val="00BA30B3"/>
    <w:rsid w:val="00BA30BC"/>
    <w:rsid w:val="00BA3133"/>
    <w:rsid w:val="00BA3137"/>
    <w:rsid w:val="00BA3191"/>
    <w:rsid w:val="00BA3229"/>
    <w:rsid w:val="00BA323A"/>
    <w:rsid w:val="00BA3268"/>
    <w:rsid w:val="00BA326F"/>
    <w:rsid w:val="00BA32EA"/>
    <w:rsid w:val="00BA330C"/>
    <w:rsid w:val="00BA3374"/>
    <w:rsid w:val="00BA33ED"/>
    <w:rsid w:val="00BA3434"/>
    <w:rsid w:val="00BA343B"/>
    <w:rsid w:val="00BA34A9"/>
    <w:rsid w:val="00BA34BF"/>
    <w:rsid w:val="00BA3522"/>
    <w:rsid w:val="00BA3612"/>
    <w:rsid w:val="00BA3628"/>
    <w:rsid w:val="00BA366C"/>
    <w:rsid w:val="00BA3696"/>
    <w:rsid w:val="00BA372E"/>
    <w:rsid w:val="00BA3733"/>
    <w:rsid w:val="00BA3793"/>
    <w:rsid w:val="00BA37B9"/>
    <w:rsid w:val="00BA37F8"/>
    <w:rsid w:val="00BA3868"/>
    <w:rsid w:val="00BA3884"/>
    <w:rsid w:val="00BA3922"/>
    <w:rsid w:val="00BA392E"/>
    <w:rsid w:val="00BA3981"/>
    <w:rsid w:val="00BA3993"/>
    <w:rsid w:val="00BA3A11"/>
    <w:rsid w:val="00BA3A29"/>
    <w:rsid w:val="00BA3A2F"/>
    <w:rsid w:val="00BA3A4D"/>
    <w:rsid w:val="00BA3A78"/>
    <w:rsid w:val="00BA3ACC"/>
    <w:rsid w:val="00BA3AE5"/>
    <w:rsid w:val="00BA3B4D"/>
    <w:rsid w:val="00BA3B62"/>
    <w:rsid w:val="00BA3C02"/>
    <w:rsid w:val="00BA3C4B"/>
    <w:rsid w:val="00BA3C62"/>
    <w:rsid w:val="00BA3CCC"/>
    <w:rsid w:val="00BA3DD3"/>
    <w:rsid w:val="00BA3DF2"/>
    <w:rsid w:val="00BA3E2C"/>
    <w:rsid w:val="00BA3E38"/>
    <w:rsid w:val="00BA3EAE"/>
    <w:rsid w:val="00BA3EEA"/>
    <w:rsid w:val="00BA3F26"/>
    <w:rsid w:val="00BA3F36"/>
    <w:rsid w:val="00BA3F3F"/>
    <w:rsid w:val="00BA3F6A"/>
    <w:rsid w:val="00BA3F9D"/>
    <w:rsid w:val="00BA3FAC"/>
    <w:rsid w:val="00BA3FBE"/>
    <w:rsid w:val="00BA400E"/>
    <w:rsid w:val="00BA4047"/>
    <w:rsid w:val="00BA4071"/>
    <w:rsid w:val="00BA40A8"/>
    <w:rsid w:val="00BA40F2"/>
    <w:rsid w:val="00BA4132"/>
    <w:rsid w:val="00BA4149"/>
    <w:rsid w:val="00BA417B"/>
    <w:rsid w:val="00BA41AA"/>
    <w:rsid w:val="00BA41C6"/>
    <w:rsid w:val="00BA41CC"/>
    <w:rsid w:val="00BA41DF"/>
    <w:rsid w:val="00BA41E2"/>
    <w:rsid w:val="00BA41FB"/>
    <w:rsid w:val="00BA4203"/>
    <w:rsid w:val="00BA4216"/>
    <w:rsid w:val="00BA421F"/>
    <w:rsid w:val="00BA431E"/>
    <w:rsid w:val="00BA433C"/>
    <w:rsid w:val="00BA4368"/>
    <w:rsid w:val="00BA439F"/>
    <w:rsid w:val="00BA43B6"/>
    <w:rsid w:val="00BA446E"/>
    <w:rsid w:val="00BA4474"/>
    <w:rsid w:val="00BA44C6"/>
    <w:rsid w:val="00BA4527"/>
    <w:rsid w:val="00BA4562"/>
    <w:rsid w:val="00BA45A7"/>
    <w:rsid w:val="00BA462B"/>
    <w:rsid w:val="00BA463E"/>
    <w:rsid w:val="00BA4671"/>
    <w:rsid w:val="00BA46A8"/>
    <w:rsid w:val="00BA46DA"/>
    <w:rsid w:val="00BA471C"/>
    <w:rsid w:val="00BA472F"/>
    <w:rsid w:val="00BA477C"/>
    <w:rsid w:val="00BA4784"/>
    <w:rsid w:val="00BA47B2"/>
    <w:rsid w:val="00BA47C6"/>
    <w:rsid w:val="00BA47C7"/>
    <w:rsid w:val="00BA47DD"/>
    <w:rsid w:val="00BA47DF"/>
    <w:rsid w:val="00BA482E"/>
    <w:rsid w:val="00BA485C"/>
    <w:rsid w:val="00BA4862"/>
    <w:rsid w:val="00BA4897"/>
    <w:rsid w:val="00BA491E"/>
    <w:rsid w:val="00BA49AF"/>
    <w:rsid w:val="00BA49B5"/>
    <w:rsid w:val="00BA4A0B"/>
    <w:rsid w:val="00BA4A1E"/>
    <w:rsid w:val="00BA4A62"/>
    <w:rsid w:val="00BA4A77"/>
    <w:rsid w:val="00BA4A99"/>
    <w:rsid w:val="00BA4ABA"/>
    <w:rsid w:val="00BA4ADE"/>
    <w:rsid w:val="00BA4B0C"/>
    <w:rsid w:val="00BA4B5A"/>
    <w:rsid w:val="00BA4B77"/>
    <w:rsid w:val="00BA4B94"/>
    <w:rsid w:val="00BA4C57"/>
    <w:rsid w:val="00BA4C8F"/>
    <w:rsid w:val="00BA4CC6"/>
    <w:rsid w:val="00BA4D02"/>
    <w:rsid w:val="00BA4D05"/>
    <w:rsid w:val="00BA4D37"/>
    <w:rsid w:val="00BA4D57"/>
    <w:rsid w:val="00BA4D93"/>
    <w:rsid w:val="00BA4E24"/>
    <w:rsid w:val="00BA4E63"/>
    <w:rsid w:val="00BA4E95"/>
    <w:rsid w:val="00BA4EAE"/>
    <w:rsid w:val="00BA4EDD"/>
    <w:rsid w:val="00BA4EE1"/>
    <w:rsid w:val="00BA4EFB"/>
    <w:rsid w:val="00BA4F9C"/>
    <w:rsid w:val="00BA5074"/>
    <w:rsid w:val="00BA50A9"/>
    <w:rsid w:val="00BA50AD"/>
    <w:rsid w:val="00BA5142"/>
    <w:rsid w:val="00BA5158"/>
    <w:rsid w:val="00BA519B"/>
    <w:rsid w:val="00BA51E5"/>
    <w:rsid w:val="00BA5248"/>
    <w:rsid w:val="00BA52E6"/>
    <w:rsid w:val="00BA5410"/>
    <w:rsid w:val="00BA5460"/>
    <w:rsid w:val="00BA546B"/>
    <w:rsid w:val="00BA546D"/>
    <w:rsid w:val="00BA5476"/>
    <w:rsid w:val="00BA54B8"/>
    <w:rsid w:val="00BA54C2"/>
    <w:rsid w:val="00BA54E0"/>
    <w:rsid w:val="00BA560F"/>
    <w:rsid w:val="00BA56F8"/>
    <w:rsid w:val="00BA5754"/>
    <w:rsid w:val="00BA57B9"/>
    <w:rsid w:val="00BA57EE"/>
    <w:rsid w:val="00BA57F8"/>
    <w:rsid w:val="00BA582B"/>
    <w:rsid w:val="00BA58C3"/>
    <w:rsid w:val="00BA58CE"/>
    <w:rsid w:val="00BA5962"/>
    <w:rsid w:val="00BA597E"/>
    <w:rsid w:val="00BA59C8"/>
    <w:rsid w:val="00BA59C9"/>
    <w:rsid w:val="00BA5A44"/>
    <w:rsid w:val="00BA5A4B"/>
    <w:rsid w:val="00BA5AA5"/>
    <w:rsid w:val="00BA5AFD"/>
    <w:rsid w:val="00BA5B19"/>
    <w:rsid w:val="00BA5B40"/>
    <w:rsid w:val="00BA5B45"/>
    <w:rsid w:val="00BA5B7D"/>
    <w:rsid w:val="00BA5C05"/>
    <w:rsid w:val="00BA5C3F"/>
    <w:rsid w:val="00BA5C56"/>
    <w:rsid w:val="00BA5C9F"/>
    <w:rsid w:val="00BA5CF7"/>
    <w:rsid w:val="00BA5D74"/>
    <w:rsid w:val="00BA5DB6"/>
    <w:rsid w:val="00BA5DBB"/>
    <w:rsid w:val="00BA5DD1"/>
    <w:rsid w:val="00BA5E27"/>
    <w:rsid w:val="00BA5E90"/>
    <w:rsid w:val="00BA5EBF"/>
    <w:rsid w:val="00BA5F30"/>
    <w:rsid w:val="00BA5F42"/>
    <w:rsid w:val="00BA5F63"/>
    <w:rsid w:val="00BA5F72"/>
    <w:rsid w:val="00BA5FB6"/>
    <w:rsid w:val="00BA5FC7"/>
    <w:rsid w:val="00BA6054"/>
    <w:rsid w:val="00BA60C8"/>
    <w:rsid w:val="00BA60C9"/>
    <w:rsid w:val="00BA6105"/>
    <w:rsid w:val="00BA6155"/>
    <w:rsid w:val="00BA618A"/>
    <w:rsid w:val="00BA620B"/>
    <w:rsid w:val="00BA6214"/>
    <w:rsid w:val="00BA6226"/>
    <w:rsid w:val="00BA6254"/>
    <w:rsid w:val="00BA627A"/>
    <w:rsid w:val="00BA6282"/>
    <w:rsid w:val="00BA62AE"/>
    <w:rsid w:val="00BA6387"/>
    <w:rsid w:val="00BA642A"/>
    <w:rsid w:val="00BA6432"/>
    <w:rsid w:val="00BA6439"/>
    <w:rsid w:val="00BA651E"/>
    <w:rsid w:val="00BA654C"/>
    <w:rsid w:val="00BA6587"/>
    <w:rsid w:val="00BA6611"/>
    <w:rsid w:val="00BA662B"/>
    <w:rsid w:val="00BA6640"/>
    <w:rsid w:val="00BA6644"/>
    <w:rsid w:val="00BA6660"/>
    <w:rsid w:val="00BA66D1"/>
    <w:rsid w:val="00BA66F5"/>
    <w:rsid w:val="00BA673C"/>
    <w:rsid w:val="00BA6763"/>
    <w:rsid w:val="00BA6793"/>
    <w:rsid w:val="00BA67C5"/>
    <w:rsid w:val="00BA6816"/>
    <w:rsid w:val="00BA6817"/>
    <w:rsid w:val="00BA6870"/>
    <w:rsid w:val="00BA68A7"/>
    <w:rsid w:val="00BA68AB"/>
    <w:rsid w:val="00BA68E9"/>
    <w:rsid w:val="00BA693D"/>
    <w:rsid w:val="00BA6977"/>
    <w:rsid w:val="00BA69F4"/>
    <w:rsid w:val="00BA6A21"/>
    <w:rsid w:val="00BA6A28"/>
    <w:rsid w:val="00BA6AAD"/>
    <w:rsid w:val="00BA6B20"/>
    <w:rsid w:val="00BA6B3E"/>
    <w:rsid w:val="00BA6B8A"/>
    <w:rsid w:val="00BA6BC3"/>
    <w:rsid w:val="00BA6BD7"/>
    <w:rsid w:val="00BA6C0A"/>
    <w:rsid w:val="00BA6C68"/>
    <w:rsid w:val="00BA6C83"/>
    <w:rsid w:val="00BA6D6D"/>
    <w:rsid w:val="00BA6D7B"/>
    <w:rsid w:val="00BA6D9B"/>
    <w:rsid w:val="00BA6DBA"/>
    <w:rsid w:val="00BA6E03"/>
    <w:rsid w:val="00BA6E30"/>
    <w:rsid w:val="00BA6E62"/>
    <w:rsid w:val="00BA6E7F"/>
    <w:rsid w:val="00BA6EEC"/>
    <w:rsid w:val="00BA6F0E"/>
    <w:rsid w:val="00BA6F3D"/>
    <w:rsid w:val="00BA6F58"/>
    <w:rsid w:val="00BA6FEC"/>
    <w:rsid w:val="00BA7008"/>
    <w:rsid w:val="00BA7038"/>
    <w:rsid w:val="00BA7055"/>
    <w:rsid w:val="00BA7138"/>
    <w:rsid w:val="00BA7141"/>
    <w:rsid w:val="00BA717B"/>
    <w:rsid w:val="00BA71A8"/>
    <w:rsid w:val="00BA71D8"/>
    <w:rsid w:val="00BA71D9"/>
    <w:rsid w:val="00BA71DB"/>
    <w:rsid w:val="00BA71E1"/>
    <w:rsid w:val="00BA721E"/>
    <w:rsid w:val="00BA7241"/>
    <w:rsid w:val="00BA7265"/>
    <w:rsid w:val="00BA726A"/>
    <w:rsid w:val="00BA7296"/>
    <w:rsid w:val="00BA729A"/>
    <w:rsid w:val="00BA72AC"/>
    <w:rsid w:val="00BA72F3"/>
    <w:rsid w:val="00BA72F8"/>
    <w:rsid w:val="00BA7342"/>
    <w:rsid w:val="00BA7347"/>
    <w:rsid w:val="00BA7366"/>
    <w:rsid w:val="00BA736A"/>
    <w:rsid w:val="00BA73B1"/>
    <w:rsid w:val="00BA73BE"/>
    <w:rsid w:val="00BA73C8"/>
    <w:rsid w:val="00BA73C9"/>
    <w:rsid w:val="00BA73D8"/>
    <w:rsid w:val="00BA73EF"/>
    <w:rsid w:val="00BA73F6"/>
    <w:rsid w:val="00BA7407"/>
    <w:rsid w:val="00BA7423"/>
    <w:rsid w:val="00BA7425"/>
    <w:rsid w:val="00BA7444"/>
    <w:rsid w:val="00BA74C9"/>
    <w:rsid w:val="00BA7505"/>
    <w:rsid w:val="00BA753A"/>
    <w:rsid w:val="00BA75B2"/>
    <w:rsid w:val="00BA75DD"/>
    <w:rsid w:val="00BA75E1"/>
    <w:rsid w:val="00BA75FA"/>
    <w:rsid w:val="00BA75FC"/>
    <w:rsid w:val="00BA766A"/>
    <w:rsid w:val="00BA766C"/>
    <w:rsid w:val="00BA76A3"/>
    <w:rsid w:val="00BA76B8"/>
    <w:rsid w:val="00BA76E7"/>
    <w:rsid w:val="00BA76F8"/>
    <w:rsid w:val="00BA76FD"/>
    <w:rsid w:val="00BA7765"/>
    <w:rsid w:val="00BA77A8"/>
    <w:rsid w:val="00BA77F2"/>
    <w:rsid w:val="00BA7825"/>
    <w:rsid w:val="00BA784E"/>
    <w:rsid w:val="00BA784F"/>
    <w:rsid w:val="00BA7858"/>
    <w:rsid w:val="00BA78AB"/>
    <w:rsid w:val="00BA78D1"/>
    <w:rsid w:val="00BA7923"/>
    <w:rsid w:val="00BA7924"/>
    <w:rsid w:val="00BA7995"/>
    <w:rsid w:val="00BA79DB"/>
    <w:rsid w:val="00BA7A12"/>
    <w:rsid w:val="00BA7A48"/>
    <w:rsid w:val="00BA7A62"/>
    <w:rsid w:val="00BA7AD4"/>
    <w:rsid w:val="00BA7BA3"/>
    <w:rsid w:val="00BA7BC7"/>
    <w:rsid w:val="00BA7BC9"/>
    <w:rsid w:val="00BA7BFC"/>
    <w:rsid w:val="00BA7C0C"/>
    <w:rsid w:val="00BA7D42"/>
    <w:rsid w:val="00BA7DED"/>
    <w:rsid w:val="00BA7E37"/>
    <w:rsid w:val="00BA7E61"/>
    <w:rsid w:val="00BA7E9C"/>
    <w:rsid w:val="00BA7EBF"/>
    <w:rsid w:val="00BA7EDB"/>
    <w:rsid w:val="00BA7EF6"/>
    <w:rsid w:val="00BA7F25"/>
    <w:rsid w:val="00BA7F37"/>
    <w:rsid w:val="00BA7F65"/>
    <w:rsid w:val="00BA7FB0"/>
    <w:rsid w:val="00BA7FD7"/>
    <w:rsid w:val="00BA7FDE"/>
    <w:rsid w:val="00BAE2C0"/>
    <w:rsid w:val="00BB005C"/>
    <w:rsid w:val="00BB005D"/>
    <w:rsid w:val="00BB00D0"/>
    <w:rsid w:val="00BB00DB"/>
    <w:rsid w:val="00BB00DE"/>
    <w:rsid w:val="00BB0106"/>
    <w:rsid w:val="00BB010B"/>
    <w:rsid w:val="00BB0113"/>
    <w:rsid w:val="00BB018E"/>
    <w:rsid w:val="00BB019C"/>
    <w:rsid w:val="00BB019E"/>
    <w:rsid w:val="00BB0207"/>
    <w:rsid w:val="00BB027D"/>
    <w:rsid w:val="00BB02B2"/>
    <w:rsid w:val="00BB02EA"/>
    <w:rsid w:val="00BB0339"/>
    <w:rsid w:val="00BB034A"/>
    <w:rsid w:val="00BB0353"/>
    <w:rsid w:val="00BB03AC"/>
    <w:rsid w:val="00BB03D0"/>
    <w:rsid w:val="00BB03D5"/>
    <w:rsid w:val="00BB04B7"/>
    <w:rsid w:val="00BB0548"/>
    <w:rsid w:val="00BB0588"/>
    <w:rsid w:val="00BB0589"/>
    <w:rsid w:val="00BB060E"/>
    <w:rsid w:val="00BB06CE"/>
    <w:rsid w:val="00BB0725"/>
    <w:rsid w:val="00BB074B"/>
    <w:rsid w:val="00BB07BD"/>
    <w:rsid w:val="00BB07E5"/>
    <w:rsid w:val="00BB07F5"/>
    <w:rsid w:val="00BB07FD"/>
    <w:rsid w:val="00BB0836"/>
    <w:rsid w:val="00BB08B2"/>
    <w:rsid w:val="00BB08DD"/>
    <w:rsid w:val="00BB091F"/>
    <w:rsid w:val="00BB092F"/>
    <w:rsid w:val="00BB0997"/>
    <w:rsid w:val="00BB09C3"/>
    <w:rsid w:val="00BB0A1F"/>
    <w:rsid w:val="00BB0A8C"/>
    <w:rsid w:val="00BB0AE4"/>
    <w:rsid w:val="00BB0AFD"/>
    <w:rsid w:val="00BB0B06"/>
    <w:rsid w:val="00BB0B0B"/>
    <w:rsid w:val="00BB0BD6"/>
    <w:rsid w:val="00BB0C39"/>
    <w:rsid w:val="00BB0C5D"/>
    <w:rsid w:val="00BB0C72"/>
    <w:rsid w:val="00BB0CA4"/>
    <w:rsid w:val="00BB0CBC"/>
    <w:rsid w:val="00BB0CCD"/>
    <w:rsid w:val="00BB0CD2"/>
    <w:rsid w:val="00BB0D1C"/>
    <w:rsid w:val="00BB0D26"/>
    <w:rsid w:val="00BB0D45"/>
    <w:rsid w:val="00BB0D59"/>
    <w:rsid w:val="00BB0DBF"/>
    <w:rsid w:val="00BB0DC9"/>
    <w:rsid w:val="00BB0E5A"/>
    <w:rsid w:val="00BB0E74"/>
    <w:rsid w:val="00BB0E93"/>
    <w:rsid w:val="00BB0EE1"/>
    <w:rsid w:val="00BB0EF3"/>
    <w:rsid w:val="00BB0F34"/>
    <w:rsid w:val="00BB0F60"/>
    <w:rsid w:val="00BB0F6F"/>
    <w:rsid w:val="00BB0F75"/>
    <w:rsid w:val="00BB0FCC"/>
    <w:rsid w:val="00BB1040"/>
    <w:rsid w:val="00BB1049"/>
    <w:rsid w:val="00BB105B"/>
    <w:rsid w:val="00BB10A4"/>
    <w:rsid w:val="00BB10C2"/>
    <w:rsid w:val="00BB1180"/>
    <w:rsid w:val="00BB11AC"/>
    <w:rsid w:val="00BB11EE"/>
    <w:rsid w:val="00BB1246"/>
    <w:rsid w:val="00BB12A1"/>
    <w:rsid w:val="00BB12E1"/>
    <w:rsid w:val="00BB12E6"/>
    <w:rsid w:val="00BB136B"/>
    <w:rsid w:val="00BB1378"/>
    <w:rsid w:val="00BB1379"/>
    <w:rsid w:val="00BB13CE"/>
    <w:rsid w:val="00BB13F9"/>
    <w:rsid w:val="00BB146D"/>
    <w:rsid w:val="00BB1486"/>
    <w:rsid w:val="00BB14BC"/>
    <w:rsid w:val="00BB14D9"/>
    <w:rsid w:val="00BB14DA"/>
    <w:rsid w:val="00BB14FF"/>
    <w:rsid w:val="00BB1570"/>
    <w:rsid w:val="00BB159D"/>
    <w:rsid w:val="00BB15A8"/>
    <w:rsid w:val="00BB15DE"/>
    <w:rsid w:val="00BB1642"/>
    <w:rsid w:val="00BB1729"/>
    <w:rsid w:val="00BB1759"/>
    <w:rsid w:val="00BB178E"/>
    <w:rsid w:val="00BB17A4"/>
    <w:rsid w:val="00BB1849"/>
    <w:rsid w:val="00BB188D"/>
    <w:rsid w:val="00BB1972"/>
    <w:rsid w:val="00BB19A0"/>
    <w:rsid w:val="00BB1A07"/>
    <w:rsid w:val="00BB1A11"/>
    <w:rsid w:val="00BB1A44"/>
    <w:rsid w:val="00BB1A59"/>
    <w:rsid w:val="00BB1A7E"/>
    <w:rsid w:val="00BB1A97"/>
    <w:rsid w:val="00BB1A9A"/>
    <w:rsid w:val="00BB1ACA"/>
    <w:rsid w:val="00BB1ACE"/>
    <w:rsid w:val="00BB1AD1"/>
    <w:rsid w:val="00BB1AFE"/>
    <w:rsid w:val="00BB1B14"/>
    <w:rsid w:val="00BB1B1F"/>
    <w:rsid w:val="00BB1B71"/>
    <w:rsid w:val="00BB1B78"/>
    <w:rsid w:val="00BB1BB7"/>
    <w:rsid w:val="00BB1C09"/>
    <w:rsid w:val="00BB1C31"/>
    <w:rsid w:val="00BB1C3E"/>
    <w:rsid w:val="00BB1CB0"/>
    <w:rsid w:val="00BB1CBE"/>
    <w:rsid w:val="00BB1CD1"/>
    <w:rsid w:val="00BB1D6D"/>
    <w:rsid w:val="00BB1DBF"/>
    <w:rsid w:val="00BB1E15"/>
    <w:rsid w:val="00BB1E90"/>
    <w:rsid w:val="00BB1F7B"/>
    <w:rsid w:val="00BB2055"/>
    <w:rsid w:val="00BB2069"/>
    <w:rsid w:val="00BB209B"/>
    <w:rsid w:val="00BB209E"/>
    <w:rsid w:val="00BB20A9"/>
    <w:rsid w:val="00BB20B3"/>
    <w:rsid w:val="00BB20BA"/>
    <w:rsid w:val="00BB20DA"/>
    <w:rsid w:val="00BB2104"/>
    <w:rsid w:val="00BB210E"/>
    <w:rsid w:val="00BB214A"/>
    <w:rsid w:val="00BB214E"/>
    <w:rsid w:val="00BB2193"/>
    <w:rsid w:val="00BB219E"/>
    <w:rsid w:val="00BB21DB"/>
    <w:rsid w:val="00BB21E4"/>
    <w:rsid w:val="00BB22A0"/>
    <w:rsid w:val="00BB22D0"/>
    <w:rsid w:val="00BB2336"/>
    <w:rsid w:val="00BB234F"/>
    <w:rsid w:val="00BB2390"/>
    <w:rsid w:val="00BB2392"/>
    <w:rsid w:val="00BB2396"/>
    <w:rsid w:val="00BB23B5"/>
    <w:rsid w:val="00BB23E1"/>
    <w:rsid w:val="00BB23F8"/>
    <w:rsid w:val="00BB23FF"/>
    <w:rsid w:val="00BB2407"/>
    <w:rsid w:val="00BB240B"/>
    <w:rsid w:val="00BB24A6"/>
    <w:rsid w:val="00BB255D"/>
    <w:rsid w:val="00BB256E"/>
    <w:rsid w:val="00BB2588"/>
    <w:rsid w:val="00BB25BF"/>
    <w:rsid w:val="00BB25C2"/>
    <w:rsid w:val="00BB25EF"/>
    <w:rsid w:val="00BB25F2"/>
    <w:rsid w:val="00BB2681"/>
    <w:rsid w:val="00BB26E2"/>
    <w:rsid w:val="00BB26FB"/>
    <w:rsid w:val="00BB271F"/>
    <w:rsid w:val="00BB2774"/>
    <w:rsid w:val="00BB27E6"/>
    <w:rsid w:val="00BB27EE"/>
    <w:rsid w:val="00BB27FD"/>
    <w:rsid w:val="00BB2810"/>
    <w:rsid w:val="00BB283B"/>
    <w:rsid w:val="00BB284D"/>
    <w:rsid w:val="00BB2868"/>
    <w:rsid w:val="00BB287D"/>
    <w:rsid w:val="00BB28D7"/>
    <w:rsid w:val="00BB2923"/>
    <w:rsid w:val="00BB2972"/>
    <w:rsid w:val="00BB2983"/>
    <w:rsid w:val="00BB2992"/>
    <w:rsid w:val="00BB299B"/>
    <w:rsid w:val="00BB29BB"/>
    <w:rsid w:val="00BB29C3"/>
    <w:rsid w:val="00BB29D3"/>
    <w:rsid w:val="00BB2A6B"/>
    <w:rsid w:val="00BB2AAD"/>
    <w:rsid w:val="00BB2AB1"/>
    <w:rsid w:val="00BB2AC0"/>
    <w:rsid w:val="00BB2B1B"/>
    <w:rsid w:val="00BB2BA3"/>
    <w:rsid w:val="00BB2BDE"/>
    <w:rsid w:val="00BB2BEF"/>
    <w:rsid w:val="00BB2C96"/>
    <w:rsid w:val="00BB2CB1"/>
    <w:rsid w:val="00BB2CE2"/>
    <w:rsid w:val="00BB2D23"/>
    <w:rsid w:val="00BB2D4F"/>
    <w:rsid w:val="00BB2D6F"/>
    <w:rsid w:val="00BB2D97"/>
    <w:rsid w:val="00BB2D9C"/>
    <w:rsid w:val="00BB2DE4"/>
    <w:rsid w:val="00BB2DFB"/>
    <w:rsid w:val="00BB2DFD"/>
    <w:rsid w:val="00BB2E1F"/>
    <w:rsid w:val="00BB2E26"/>
    <w:rsid w:val="00BB2E38"/>
    <w:rsid w:val="00BB2EDA"/>
    <w:rsid w:val="00BB2F7D"/>
    <w:rsid w:val="00BB2F92"/>
    <w:rsid w:val="00BB2FBF"/>
    <w:rsid w:val="00BB2FE8"/>
    <w:rsid w:val="00BB2FF1"/>
    <w:rsid w:val="00BB3003"/>
    <w:rsid w:val="00BB300E"/>
    <w:rsid w:val="00BB3050"/>
    <w:rsid w:val="00BB305B"/>
    <w:rsid w:val="00BB3064"/>
    <w:rsid w:val="00BB3067"/>
    <w:rsid w:val="00BB3069"/>
    <w:rsid w:val="00BB3094"/>
    <w:rsid w:val="00BB3097"/>
    <w:rsid w:val="00BB30E9"/>
    <w:rsid w:val="00BB312E"/>
    <w:rsid w:val="00BB3170"/>
    <w:rsid w:val="00BB3177"/>
    <w:rsid w:val="00BB317F"/>
    <w:rsid w:val="00BB31B7"/>
    <w:rsid w:val="00BB31E4"/>
    <w:rsid w:val="00BB31F5"/>
    <w:rsid w:val="00BB31F6"/>
    <w:rsid w:val="00BB321C"/>
    <w:rsid w:val="00BB3256"/>
    <w:rsid w:val="00BB32BA"/>
    <w:rsid w:val="00BB32BD"/>
    <w:rsid w:val="00BB3325"/>
    <w:rsid w:val="00BB3330"/>
    <w:rsid w:val="00BB3347"/>
    <w:rsid w:val="00BB3354"/>
    <w:rsid w:val="00BB3368"/>
    <w:rsid w:val="00BB3383"/>
    <w:rsid w:val="00BB33DF"/>
    <w:rsid w:val="00BB3410"/>
    <w:rsid w:val="00BB3432"/>
    <w:rsid w:val="00BB361E"/>
    <w:rsid w:val="00BB3633"/>
    <w:rsid w:val="00BB367C"/>
    <w:rsid w:val="00BB369B"/>
    <w:rsid w:val="00BB36A2"/>
    <w:rsid w:val="00BB36B8"/>
    <w:rsid w:val="00BB36BF"/>
    <w:rsid w:val="00BB36C3"/>
    <w:rsid w:val="00BB3711"/>
    <w:rsid w:val="00BB3718"/>
    <w:rsid w:val="00BB3738"/>
    <w:rsid w:val="00BB377C"/>
    <w:rsid w:val="00BB37A1"/>
    <w:rsid w:val="00BB3822"/>
    <w:rsid w:val="00BB387D"/>
    <w:rsid w:val="00BB38A5"/>
    <w:rsid w:val="00BB38EF"/>
    <w:rsid w:val="00BB3919"/>
    <w:rsid w:val="00BB3949"/>
    <w:rsid w:val="00BB3977"/>
    <w:rsid w:val="00BB39B0"/>
    <w:rsid w:val="00BB39C7"/>
    <w:rsid w:val="00BB3A57"/>
    <w:rsid w:val="00BB3AAB"/>
    <w:rsid w:val="00BB3AB1"/>
    <w:rsid w:val="00BB3AE7"/>
    <w:rsid w:val="00BB3B94"/>
    <w:rsid w:val="00BB3B9D"/>
    <w:rsid w:val="00BB3BED"/>
    <w:rsid w:val="00BB3BFF"/>
    <w:rsid w:val="00BB3C04"/>
    <w:rsid w:val="00BB3C4B"/>
    <w:rsid w:val="00BB3C5A"/>
    <w:rsid w:val="00BB3C61"/>
    <w:rsid w:val="00BB3C99"/>
    <w:rsid w:val="00BB3CA8"/>
    <w:rsid w:val="00BB3CD9"/>
    <w:rsid w:val="00BB3CE3"/>
    <w:rsid w:val="00BB3D10"/>
    <w:rsid w:val="00BB3D1A"/>
    <w:rsid w:val="00BB3D2A"/>
    <w:rsid w:val="00BB3DC6"/>
    <w:rsid w:val="00BB3DCA"/>
    <w:rsid w:val="00BB3DDF"/>
    <w:rsid w:val="00BB3DFF"/>
    <w:rsid w:val="00BB3E17"/>
    <w:rsid w:val="00BB3E3D"/>
    <w:rsid w:val="00BB3EF0"/>
    <w:rsid w:val="00BB3F21"/>
    <w:rsid w:val="00BB3F23"/>
    <w:rsid w:val="00BB3FA0"/>
    <w:rsid w:val="00BB3FE7"/>
    <w:rsid w:val="00BB4009"/>
    <w:rsid w:val="00BB4076"/>
    <w:rsid w:val="00BB40EE"/>
    <w:rsid w:val="00BB4130"/>
    <w:rsid w:val="00BB415D"/>
    <w:rsid w:val="00BB41A6"/>
    <w:rsid w:val="00BB41B9"/>
    <w:rsid w:val="00BB41E6"/>
    <w:rsid w:val="00BB41E7"/>
    <w:rsid w:val="00BB4274"/>
    <w:rsid w:val="00BB42DA"/>
    <w:rsid w:val="00BB42F5"/>
    <w:rsid w:val="00BB4319"/>
    <w:rsid w:val="00BB43A6"/>
    <w:rsid w:val="00BB43F8"/>
    <w:rsid w:val="00BB441A"/>
    <w:rsid w:val="00BB449C"/>
    <w:rsid w:val="00BB44FB"/>
    <w:rsid w:val="00BB453C"/>
    <w:rsid w:val="00BB459F"/>
    <w:rsid w:val="00BB4679"/>
    <w:rsid w:val="00BB468E"/>
    <w:rsid w:val="00BB46A0"/>
    <w:rsid w:val="00BB46F7"/>
    <w:rsid w:val="00BB472A"/>
    <w:rsid w:val="00BB4806"/>
    <w:rsid w:val="00BB4867"/>
    <w:rsid w:val="00BB48E3"/>
    <w:rsid w:val="00BB48EE"/>
    <w:rsid w:val="00BB48FA"/>
    <w:rsid w:val="00BB48FE"/>
    <w:rsid w:val="00BB490C"/>
    <w:rsid w:val="00BB4910"/>
    <w:rsid w:val="00BB491C"/>
    <w:rsid w:val="00BB492F"/>
    <w:rsid w:val="00BB4938"/>
    <w:rsid w:val="00BB494F"/>
    <w:rsid w:val="00BB49A2"/>
    <w:rsid w:val="00BB4A8B"/>
    <w:rsid w:val="00BB4AB7"/>
    <w:rsid w:val="00BB4AD1"/>
    <w:rsid w:val="00BB4AE2"/>
    <w:rsid w:val="00BB4BA7"/>
    <w:rsid w:val="00BB4BAD"/>
    <w:rsid w:val="00BB4BB4"/>
    <w:rsid w:val="00BB4BEC"/>
    <w:rsid w:val="00BB4C0A"/>
    <w:rsid w:val="00BB4C0E"/>
    <w:rsid w:val="00BB4D59"/>
    <w:rsid w:val="00BB4D7E"/>
    <w:rsid w:val="00BB4D8C"/>
    <w:rsid w:val="00BB4DC5"/>
    <w:rsid w:val="00BB4DDA"/>
    <w:rsid w:val="00BB4E55"/>
    <w:rsid w:val="00BB4E76"/>
    <w:rsid w:val="00BB4E8A"/>
    <w:rsid w:val="00BB4EDB"/>
    <w:rsid w:val="00BB4EF7"/>
    <w:rsid w:val="00BB4F01"/>
    <w:rsid w:val="00BB4F1A"/>
    <w:rsid w:val="00BB4FC8"/>
    <w:rsid w:val="00BB4FF1"/>
    <w:rsid w:val="00BB5021"/>
    <w:rsid w:val="00BB5027"/>
    <w:rsid w:val="00BB5080"/>
    <w:rsid w:val="00BB5087"/>
    <w:rsid w:val="00BB509F"/>
    <w:rsid w:val="00BB50B0"/>
    <w:rsid w:val="00BB50BF"/>
    <w:rsid w:val="00BB50D2"/>
    <w:rsid w:val="00BB50E9"/>
    <w:rsid w:val="00BB50ED"/>
    <w:rsid w:val="00BB5129"/>
    <w:rsid w:val="00BB514A"/>
    <w:rsid w:val="00BB5213"/>
    <w:rsid w:val="00BB5228"/>
    <w:rsid w:val="00BB52D9"/>
    <w:rsid w:val="00BB53BF"/>
    <w:rsid w:val="00BB53EB"/>
    <w:rsid w:val="00BB543D"/>
    <w:rsid w:val="00BB5474"/>
    <w:rsid w:val="00BB556D"/>
    <w:rsid w:val="00BB5582"/>
    <w:rsid w:val="00BB5589"/>
    <w:rsid w:val="00BB55F1"/>
    <w:rsid w:val="00BB55F9"/>
    <w:rsid w:val="00BB5622"/>
    <w:rsid w:val="00BB5665"/>
    <w:rsid w:val="00BB567C"/>
    <w:rsid w:val="00BB5695"/>
    <w:rsid w:val="00BB56C0"/>
    <w:rsid w:val="00BB56FE"/>
    <w:rsid w:val="00BB5711"/>
    <w:rsid w:val="00BB577B"/>
    <w:rsid w:val="00BB57BE"/>
    <w:rsid w:val="00BB57E9"/>
    <w:rsid w:val="00BB5804"/>
    <w:rsid w:val="00BB5805"/>
    <w:rsid w:val="00BB5829"/>
    <w:rsid w:val="00BB582B"/>
    <w:rsid w:val="00BB583C"/>
    <w:rsid w:val="00BB585F"/>
    <w:rsid w:val="00BB587B"/>
    <w:rsid w:val="00BB58CA"/>
    <w:rsid w:val="00BB5918"/>
    <w:rsid w:val="00BB5A42"/>
    <w:rsid w:val="00BB5A46"/>
    <w:rsid w:val="00BB5AA4"/>
    <w:rsid w:val="00BB5AF5"/>
    <w:rsid w:val="00BB5AFC"/>
    <w:rsid w:val="00BB5B42"/>
    <w:rsid w:val="00BB5B5E"/>
    <w:rsid w:val="00BB5B62"/>
    <w:rsid w:val="00BB5B76"/>
    <w:rsid w:val="00BB5BBB"/>
    <w:rsid w:val="00BB5BD6"/>
    <w:rsid w:val="00BB5BDA"/>
    <w:rsid w:val="00BB5BDD"/>
    <w:rsid w:val="00BB5C20"/>
    <w:rsid w:val="00BB5C31"/>
    <w:rsid w:val="00BB5C36"/>
    <w:rsid w:val="00BB5C3F"/>
    <w:rsid w:val="00BB5C9E"/>
    <w:rsid w:val="00BB5CB8"/>
    <w:rsid w:val="00BB5CD3"/>
    <w:rsid w:val="00BB5D25"/>
    <w:rsid w:val="00BB5D38"/>
    <w:rsid w:val="00BB5D6E"/>
    <w:rsid w:val="00BB5D73"/>
    <w:rsid w:val="00BB5DE5"/>
    <w:rsid w:val="00BB5E1B"/>
    <w:rsid w:val="00BB5E7C"/>
    <w:rsid w:val="00BB5EBA"/>
    <w:rsid w:val="00BB5EF9"/>
    <w:rsid w:val="00BB5EFA"/>
    <w:rsid w:val="00BB5F38"/>
    <w:rsid w:val="00BB5F5F"/>
    <w:rsid w:val="00BB5F7B"/>
    <w:rsid w:val="00BB5FA2"/>
    <w:rsid w:val="00BB6040"/>
    <w:rsid w:val="00BB607C"/>
    <w:rsid w:val="00BB6086"/>
    <w:rsid w:val="00BB60B9"/>
    <w:rsid w:val="00BB60EE"/>
    <w:rsid w:val="00BB612A"/>
    <w:rsid w:val="00BB6186"/>
    <w:rsid w:val="00BB61AD"/>
    <w:rsid w:val="00BB61BE"/>
    <w:rsid w:val="00BB6221"/>
    <w:rsid w:val="00BB624A"/>
    <w:rsid w:val="00BB6252"/>
    <w:rsid w:val="00BB62B7"/>
    <w:rsid w:val="00BB62D2"/>
    <w:rsid w:val="00BB62E4"/>
    <w:rsid w:val="00BB6346"/>
    <w:rsid w:val="00BB635A"/>
    <w:rsid w:val="00BB635D"/>
    <w:rsid w:val="00BB636B"/>
    <w:rsid w:val="00BB6590"/>
    <w:rsid w:val="00BB6599"/>
    <w:rsid w:val="00BB65CD"/>
    <w:rsid w:val="00BB65D2"/>
    <w:rsid w:val="00BB65DA"/>
    <w:rsid w:val="00BB6601"/>
    <w:rsid w:val="00BB6604"/>
    <w:rsid w:val="00BB6678"/>
    <w:rsid w:val="00BB66D7"/>
    <w:rsid w:val="00BB66D8"/>
    <w:rsid w:val="00BB66E9"/>
    <w:rsid w:val="00BB671A"/>
    <w:rsid w:val="00BB6727"/>
    <w:rsid w:val="00BB6729"/>
    <w:rsid w:val="00BB6731"/>
    <w:rsid w:val="00BB674B"/>
    <w:rsid w:val="00BB6762"/>
    <w:rsid w:val="00BB67A1"/>
    <w:rsid w:val="00BB67C8"/>
    <w:rsid w:val="00BB6802"/>
    <w:rsid w:val="00BB685C"/>
    <w:rsid w:val="00BB685D"/>
    <w:rsid w:val="00BB68D8"/>
    <w:rsid w:val="00BB695E"/>
    <w:rsid w:val="00BB6964"/>
    <w:rsid w:val="00BB6A10"/>
    <w:rsid w:val="00BB6A4A"/>
    <w:rsid w:val="00BB6AAD"/>
    <w:rsid w:val="00BB6AE9"/>
    <w:rsid w:val="00BB6AF0"/>
    <w:rsid w:val="00BB6B99"/>
    <w:rsid w:val="00BB6BA1"/>
    <w:rsid w:val="00BB6BC2"/>
    <w:rsid w:val="00BB6BFB"/>
    <w:rsid w:val="00BB6C31"/>
    <w:rsid w:val="00BB6CA7"/>
    <w:rsid w:val="00BB6CD1"/>
    <w:rsid w:val="00BB6CDB"/>
    <w:rsid w:val="00BB6CFA"/>
    <w:rsid w:val="00BB6D03"/>
    <w:rsid w:val="00BB6D52"/>
    <w:rsid w:val="00BB6D59"/>
    <w:rsid w:val="00BB6DB0"/>
    <w:rsid w:val="00BB6EA7"/>
    <w:rsid w:val="00BB6F1E"/>
    <w:rsid w:val="00BB6F55"/>
    <w:rsid w:val="00BB6FAD"/>
    <w:rsid w:val="00BB6FE0"/>
    <w:rsid w:val="00BB6FEA"/>
    <w:rsid w:val="00BB7012"/>
    <w:rsid w:val="00BB7015"/>
    <w:rsid w:val="00BB70DA"/>
    <w:rsid w:val="00BB712F"/>
    <w:rsid w:val="00BB714F"/>
    <w:rsid w:val="00BB71C1"/>
    <w:rsid w:val="00BB71D0"/>
    <w:rsid w:val="00BB71E5"/>
    <w:rsid w:val="00BB7215"/>
    <w:rsid w:val="00BB725C"/>
    <w:rsid w:val="00BB725E"/>
    <w:rsid w:val="00BB72E2"/>
    <w:rsid w:val="00BB72F0"/>
    <w:rsid w:val="00BB737B"/>
    <w:rsid w:val="00BB73C6"/>
    <w:rsid w:val="00BB73DA"/>
    <w:rsid w:val="00BB7435"/>
    <w:rsid w:val="00BB745B"/>
    <w:rsid w:val="00BB7477"/>
    <w:rsid w:val="00BB74AF"/>
    <w:rsid w:val="00BB74B2"/>
    <w:rsid w:val="00BB74CC"/>
    <w:rsid w:val="00BB74D9"/>
    <w:rsid w:val="00BB74E4"/>
    <w:rsid w:val="00BB74F8"/>
    <w:rsid w:val="00BB7539"/>
    <w:rsid w:val="00BB75AD"/>
    <w:rsid w:val="00BB75BC"/>
    <w:rsid w:val="00BB75D0"/>
    <w:rsid w:val="00BB75D2"/>
    <w:rsid w:val="00BB75F9"/>
    <w:rsid w:val="00BB75FE"/>
    <w:rsid w:val="00BB761B"/>
    <w:rsid w:val="00BB766E"/>
    <w:rsid w:val="00BB76A1"/>
    <w:rsid w:val="00BB7724"/>
    <w:rsid w:val="00BB77BA"/>
    <w:rsid w:val="00BB77D6"/>
    <w:rsid w:val="00BB780A"/>
    <w:rsid w:val="00BB7823"/>
    <w:rsid w:val="00BB7861"/>
    <w:rsid w:val="00BB788F"/>
    <w:rsid w:val="00BB78A9"/>
    <w:rsid w:val="00BB78F2"/>
    <w:rsid w:val="00BB78F6"/>
    <w:rsid w:val="00BB7912"/>
    <w:rsid w:val="00BB7934"/>
    <w:rsid w:val="00BB794F"/>
    <w:rsid w:val="00BB79AB"/>
    <w:rsid w:val="00BB79B5"/>
    <w:rsid w:val="00BB79BC"/>
    <w:rsid w:val="00BB7A11"/>
    <w:rsid w:val="00BB7A1E"/>
    <w:rsid w:val="00BB7A76"/>
    <w:rsid w:val="00BB7A99"/>
    <w:rsid w:val="00BB7AAA"/>
    <w:rsid w:val="00BB7AB5"/>
    <w:rsid w:val="00BB7AE3"/>
    <w:rsid w:val="00BB7AE9"/>
    <w:rsid w:val="00BB7B06"/>
    <w:rsid w:val="00BB7B1D"/>
    <w:rsid w:val="00BB7BB8"/>
    <w:rsid w:val="00BB7BC6"/>
    <w:rsid w:val="00BB7CCF"/>
    <w:rsid w:val="00BB7D42"/>
    <w:rsid w:val="00BB7E1F"/>
    <w:rsid w:val="00BB7E4D"/>
    <w:rsid w:val="00BB7EF5"/>
    <w:rsid w:val="00BB7F0A"/>
    <w:rsid w:val="00BB7F0D"/>
    <w:rsid w:val="00BB7F2F"/>
    <w:rsid w:val="00BB7F6A"/>
    <w:rsid w:val="00BB7F70"/>
    <w:rsid w:val="00BB7FCF"/>
    <w:rsid w:val="00BB7FEA"/>
    <w:rsid w:val="00BC0006"/>
    <w:rsid w:val="00BC0007"/>
    <w:rsid w:val="00BC0044"/>
    <w:rsid w:val="00BC00B1"/>
    <w:rsid w:val="00BC0132"/>
    <w:rsid w:val="00BC014F"/>
    <w:rsid w:val="00BC0152"/>
    <w:rsid w:val="00BC0156"/>
    <w:rsid w:val="00BC017F"/>
    <w:rsid w:val="00BC0188"/>
    <w:rsid w:val="00BC01BE"/>
    <w:rsid w:val="00BC0293"/>
    <w:rsid w:val="00BC029E"/>
    <w:rsid w:val="00BC0342"/>
    <w:rsid w:val="00BC038C"/>
    <w:rsid w:val="00BC03B5"/>
    <w:rsid w:val="00BC03CA"/>
    <w:rsid w:val="00BC03FE"/>
    <w:rsid w:val="00BC041D"/>
    <w:rsid w:val="00BC0424"/>
    <w:rsid w:val="00BC0455"/>
    <w:rsid w:val="00BC046A"/>
    <w:rsid w:val="00BC0482"/>
    <w:rsid w:val="00BC04D9"/>
    <w:rsid w:val="00BC0516"/>
    <w:rsid w:val="00BC052A"/>
    <w:rsid w:val="00BC0537"/>
    <w:rsid w:val="00BC0544"/>
    <w:rsid w:val="00BC057C"/>
    <w:rsid w:val="00BC057D"/>
    <w:rsid w:val="00BC05C7"/>
    <w:rsid w:val="00BC0622"/>
    <w:rsid w:val="00BC0630"/>
    <w:rsid w:val="00BC0636"/>
    <w:rsid w:val="00BC0637"/>
    <w:rsid w:val="00BC0685"/>
    <w:rsid w:val="00BC071C"/>
    <w:rsid w:val="00BC071F"/>
    <w:rsid w:val="00BC0772"/>
    <w:rsid w:val="00BC077B"/>
    <w:rsid w:val="00BC077F"/>
    <w:rsid w:val="00BC0788"/>
    <w:rsid w:val="00BC07D7"/>
    <w:rsid w:val="00BC081A"/>
    <w:rsid w:val="00BC083B"/>
    <w:rsid w:val="00BC0843"/>
    <w:rsid w:val="00BC08BD"/>
    <w:rsid w:val="00BC0925"/>
    <w:rsid w:val="00BC096F"/>
    <w:rsid w:val="00BC097B"/>
    <w:rsid w:val="00BC09AB"/>
    <w:rsid w:val="00BC09CA"/>
    <w:rsid w:val="00BC09E5"/>
    <w:rsid w:val="00BC0A41"/>
    <w:rsid w:val="00BC0AC0"/>
    <w:rsid w:val="00BC0B4E"/>
    <w:rsid w:val="00BC0BAE"/>
    <w:rsid w:val="00BC0BE1"/>
    <w:rsid w:val="00BC0C01"/>
    <w:rsid w:val="00BC0C2E"/>
    <w:rsid w:val="00BC0C80"/>
    <w:rsid w:val="00BC0CBC"/>
    <w:rsid w:val="00BC0D32"/>
    <w:rsid w:val="00BC0D37"/>
    <w:rsid w:val="00BC0D6A"/>
    <w:rsid w:val="00BC0DCF"/>
    <w:rsid w:val="00BC0DD3"/>
    <w:rsid w:val="00BC0DFA"/>
    <w:rsid w:val="00BC0E03"/>
    <w:rsid w:val="00BC0E13"/>
    <w:rsid w:val="00BC0EB3"/>
    <w:rsid w:val="00BC0ECF"/>
    <w:rsid w:val="00BC0EF2"/>
    <w:rsid w:val="00BC0F9A"/>
    <w:rsid w:val="00BC0FA6"/>
    <w:rsid w:val="00BC1076"/>
    <w:rsid w:val="00BC10C1"/>
    <w:rsid w:val="00BC10E7"/>
    <w:rsid w:val="00BC1133"/>
    <w:rsid w:val="00BC1166"/>
    <w:rsid w:val="00BC1167"/>
    <w:rsid w:val="00BC11E3"/>
    <w:rsid w:val="00BC11F0"/>
    <w:rsid w:val="00BC11F1"/>
    <w:rsid w:val="00BC1248"/>
    <w:rsid w:val="00BC1313"/>
    <w:rsid w:val="00BC13B1"/>
    <w:rsid w:val="00BC13BB"/>
    <w:rsid w:val="00BC13CE"/>
    <w:rsid w:val="00BC13DA"/>
    <w:rsid w:val="00BC13EB"/>
    <w:rsid w:val="00BC1421"/>
    <w:rsid w:val="00BC1482"/>
    <w:rsid w:val="00BC1485"/>
    <w:rsid w:val="00BC14AB"/>
    <w:rsid w:val="00BC14F3"/>
    <w:rsid w:val="00BC1514"/>
    <w:rsid w:val="00BC1517"/>
    <w:rsid w:val="00BC15B4"/>
    <w:rsid w:val="00BC15C1"/>
    <w:rsid w:val="00BC1616"/>
    <w:rsid w:val="00BC164C"/>
    <w:rsid w:val="00BC167D"/>
    <w:rsid w:val="00BC171B"/>
    <w:rsid w:val="00BC1740"/>
    <w:rsid w:val="00BC1782"/>
    <w:rsid w:val="00BC1797"/>
    <w:rsid w:val="00BC179A"/>
    <w:rsid w:val="00BC17BD"/>
    <w:rsid w:val="00BC180E"/>
    <w:rsid w:val="00BC182C"/>
    <w:rsid w:val="00BC187B"/>
    <w:rsid w:val="00BC18C4"/>
    <w:rsid w:val="00BC18DB"/>
    <w:rsid w:val="00BC192D"/>
    <w:rsid w:val="00BC194D"/>
    <w:rsid w:val="00BC19D9"/>
    <w:rsid w:val="00BC19EB"/>
    <w:rsid w:val="00BC1A22"/>
    <w:rsid w:val="00BC1AF7"/>
    <w:rsid w:val="00BC1B39"/>
    <w:rsid w:val="00BC1B80"/>
    <w:rsid w:val="00BC1BC1"/>
    <w:rsid w:val="00BC1BF9"/>
    <w:rsid w:val="00BC1C3F"/>
    <w:rsid w:val="00BC1C47"/>
    <w:rsid w:val="00BC1C70"/>
    <w:rsid w:val="00BC1C99"/>
    <w:rsid w:val="00BC1C9C"/>
    <w:rsid w:val="00BC1D1B"/>
    <w:rsid w:val="00BC1D4D"/>
    <w:rsid w:val="00BC1D5F"/>
    <w:rsid w:val="00BC1D90"/>
    <w:rsid w:val="00BC1D93"/>
    <w:rsid w:val="00BC1DB2"/>
    <w:rsid w:val="00BC1DEA"/>
    <w:rsid w:val="00BC1DF1"/>
    <w:rsid w:val="00BC1E00"/>
    <w:rsid w:val="00BC1E4D"/>
    <w:rsid w:val="00BC1E54"/>
    <w:rsid w:val="00BC1E97"/>
    <w:rsid w:val="00BC1EA3"/>
    <w:rsid w:val="00BC1F06"/>
    <w:rsid w:val="00BC1F89"/>
    <w:rsid w:val="00BC1F93"/>
    <w:rsid w:val="00BC1FE1"/>
    <w:rsid w:val="00BC1FFB"/>
    <w:rsid w:val="00BC1FFF"/>
    <w:rsid w:val="00BC2034"/>
    <w:rsid w:val="00BC2184"/>
    <w:rsid w:val="00BC2228"/>
    <w:rsid w:val="00BC2260"/>
    <w:rsid w:val="00BC22AD"/>
    <w:rsid w:val="00BC22FA"/>
    <w:rsid w:val="00BC2322"/>
    <w:rsid w:val="00BC2386"/>
    <w:rsid w:val="00BC2391"/>
    <w:rsid w:val="00BC23B4"/>
    <w:rsid w:val="00BC23C2"/>
    <w:rsid w:val="00BC2412"/>
    <w:rsid w:val="00BC2505"/>
    <w:rsid w:val="00BC25FD"/>
    <w:rsid w:val="00BC261D"/>
    <w:rsid w:val="00BC2688"/>
    <w:rsid w:val="00BC26AE"/>
    <w:rsid w:val="00BC26AF"/>
    <w:rsid w:val="00BC26E1"/>
    <w:rsid w:val="00BC270F"/>
    <w:rsid w:val="00BC27D1"/>
    <w:rsid w:val="00BC2841"/>
    <w:rsid w:val="00BC28C9"/>
    <w:rsid w:val="00BC28FD"/>
    <w:rsid w:val="00BC2970"/>
    <w:rsid w:val="00BC297B"/>
    <w:rsid w:val="00BC29B2"/>
    <w:rsid w:val="00BC29B3"/>
    <w:rsid w:val="00BC29BF"/>
    <w:rsid w:val="00BC29F7"/>
    <w:rsid w:val="00BC2B20"/>
    <w:rsid w:val="00BC2B8A"/>
    <w:rsid w:val="00BC2C02"/>
    <w:rsid w:val="00BC2C79"/>
    <w:rsid w:val="00BC2CE9"/>
    <w:rsid w:val="00BC2CF8"/>
    <w:rsid w:val="00BC2D44"/>
    <w:rsid w:val="00BC2D87"/>
    <w:rsid w:val="00BC2DAF"/>
    <w:rsid w:val="00BC2E24"/>
    <w:rsid w:val="00BC2E29"/>
    <w:rsid w:val="00BC2E3D"/>
    <w:rsid w:val="00BC2E65"/>
    <w:rsid w:val="00BC2ECE"/>
    <w:rsid w:val="00BC2ED4"/>
    <w:rsid w:val="00BC2EEE"/>
    <w:rsid w:val="00BC2F27"/>
    <w:rsid w:val="00BC2F2F"/>
    <w:rsid w:val="00BC2F47"/>
    <w:rsid w:val="00BC2F56"/>
    <w:rsid w:val="00BC2F93"/>
    <w:rsid w:val="00BC2FE8"/>
    <w:rsid w:val="00BC2FFA"/>
    <w:rsid w:val="00BC300E"/>
    <w:rsid w:val="00BC3032"/>
    <w:rsid w:val="00BC3049"/>
    <w:rsid w:val="00BC3069"/>
    <w:rsid w:val="00BC3095"/>
    <w:rsid w:val="00BC30A4"/>
    <w:rsid w:val="00BC30CE"/>
    <w:rsid w:val="00BC30DC"/>
    <w:rsid w:val="00BC30F3"/>
    <w:rsid w:val="00BC3125"/>
    <w:rsid w:val="00BC324F"/>
    <w:rsid w:val="00BC325C"/>
    <w:rsid w:val="00BC3288"/>
    <w:rsid w:val="00BC3325"/>
    <w:rsid w:val="00BC333A"/>
    <w:rsid w:val="00BC336F"/>
    <w:rsid w:val="00BC337F"/>
    <w:rsid w:val="00BC339E"/>
    <w:rsid w:val="00BC340F"/>
    <w:rsid w:val="00BC3454"/>
    <w:rsid w:val="00BC34B2"/>
    <w:rsid w:val="00BC34BC"/>
    <w:rsid w:val="00BC34CC"/>
    <w:rsid w:val="00BC34FA"/>
    <w:rsid w:val="00BC3512"/>
    <w:rsid w:val="00BC353B"/>
    <w:rsid w:val="00BC3549"/>
    <w:rsid w:val="00BC354E"/>
    <w:rsid w:val="00BC3588"/>
    <w:rsid w:val="00BC3590"/>
    <w:rsid w:val="00BC35F5"/>
    <w:rsid w:val="00BC3615"/>
    <w:rsid w:val="00BC3634"/>
    <w:rsid w:val="00BC365A"/>
    <w:rsid w:val="00BC3699"/>
    <w:rsid w:val="00BC36A7"/>
    <w:rsid w:val="00BC36BC"/>
    <w:rsid w:val="00BC3700"/>
    <w:rsid w:val="00BC372F"/>
    <w:rsid w:val="00BC3774"/>
    <w:rsid w:val="00BC3775"/>
    <w:rsid w:val="00BC3794"/>
    <w:rsid w:val="00BC37B8"/>
    <w:rsid w:val="00BC3803"/>
    <w:rsid w:val="00BC380C"/>
    <w:rsid w:val="00BC3812"/>
    <w:rsid w:val="00BC386F"/>
    <w:rsid w:val="00BC3875"/>
    <w:rsid w:val="00BC38B0"/>
    <w:rsid w:val="00BC38BB"/>
    <w:rsid w:val="00BC38EE"/>
    <w:rsid w:val="00BC38F9"/>
    <w:rsid w:val="00BC3908"/>
    <w:rsid w:val="00BC3935"/>
    <w:rsid w:val="00BC397F"/>
    <w:rsid w:val="00BC3997"/>
    <w:rsid w:val="00BC39DA"/>
    <w:rsid w:val="00BC39F1"/>
    <w:rsid w:val="00BC3A1C"/>
    <w:rsid w:val="00BC3A2C"/>
    <w:rsid w:val="00BC3A5E"/>
    <w:rsid w:val="00BC3A63"/>
    <w:rsid w:val="00BC3AB4"/>
    <w:rsid w:val="00BC3AF2"/>
    <w:rsid w:val="00BC3B3E"/>
    <w:rsid w:val="00BC3B43"/>
    <w:rsid w:val="00BC3B7E"/>
    <w:rsid w:val="00BC3BEA"/>
    <w:rsid w:val="00BC3C17"/>
    <w:rsid w:val="00BC3C42"/>
    <w:rsid w:val="00BC3C48"/>
    <w:rsid w:val="00BC3C4E"/>
    <w:rsid w:val="00BC3C5B"/>
    <w:rsid w:val="00BC3CDC"/>
    <w:rsid w:val="00BC3CF0"/>
    <w:rsid w:val="00BC3D0B"/>
    <w:rsid w:val="00BC3D19"/>
    <w:rsid w:val="00BC3D51"/>
    <w:rsid w:val="00BC3DC5"/>
    <w:rsid w:val="00BC3DD4"/>
    <w:rsid w:val="00BC3E11"/>
    <w:rsid w:val="00BC3E86"/>
    <w:rsid w:val="00BC3E9F"/>
    <w:rsid w:val="00BC3EB2"/>
    <w:rsid w:val="00BC3EBC"/>
    <w:rsid w:val="00BC3EE0"/>
    <w:rsid w:val="00BC3F6A"/>
    <w:rsid w:val="00BC3FC7"/>
    <w:rsid w:val="00BC400E"/>
    <w:rsid w:val="00BC407A"/>
    <w:rsid w:val="00BC4116"/>
    <w:rsid w:val="00BC412E"/>
    <w:rsid w:val="00BC413B"/>
    <w:rsid w:val="00BC4169"/>
    <w:rsid w:val="00BC41EA"/>
    <w:rsid w:val="00BC43A7"/>
    <w:rsid w:val="00BC43AC"/>
    <w:rsid w:val="00BC44B1"/>
    <w:rsid w:val="00BC4527"/>
    <w:rsid w:val="00BC4574"/>
    <w:rsid w:val="00BC4580"/>
    <w:rsid w:val="00BC4588"/>
    <w:rsid w:val="00BC4596"/>
    <w:rsid w:val="00BC4649"/>
    <w:rsid w:val="00BC4671"/>
    <w:rsid w:val="00BC468B"/>
    <w:rsid w:val="00BC46A7"/>
    <w:rsid w:val="00BC46A8"/>
    <w:rsid w:val="00BC46BB"/>
    <w:rsid w:val="00BC46BF"/>
    <w:rsid w:val="00BC46DF"/>
    <w:rsid w:val="00BC4709"/>
    <w:rsid w:val="00BC471A"/>
    <w:rsid w:val="00BC472A"/>
    <w:rsid w:val="00BC476B"/>
    <w:rsid w:val="00BC47E3"/>
    <w:rsid w:val="00BC4863"/>
    <w:rsid w:val="00BC487E"/>
    <w:rsid w:val="00BC48BC"/>
    <w:rsid w:val="00BC48D1"/>
    <w:rsid w:val="00BC48F0"/>
    <w:rsid w:val="00BC4929"/>
    <w:rsid w:val="00BC499B"/>
    <w:rsid w:val="00BC49BA"/>
    <w:rsid w:val="00BC49F2"/>
    <w:rsid w:val="00BC4A2A"/>
    <w:rsid w:val="00BC4A3D"/>
    <w:rsid w:val="00BC4ACF"/>
    <w:rsid w:val="00BC4B43"/>
    <w:rsid w:val="00BC4BDC"/>
    <w:rsid w:val="00BC4BDF"/>
    <w:rsid w:val="00BC4C01"/>
    <w:rsid w:val="00BC4C1D"/>
    <w:rsid w:val="00BC4C64"/>
    <w:rsid w:val="00BC4C87"/>
    <w:rsid w:val="00BC4CAB"/>
    <w:rsid w:val="00BC4CBA"/>
    <w:rsid w:val="00BC4CD6"/>
    <w:rsid w:val="00BC4CEC"/>
    <w:rsid w:val="00BC4D48"/>
    <w:rsid w:val="00BC4D84"/>
    <w:rsid w:val="00BC4D97"/>
    <w:rsid w:val="00BC4DB9"/>
    <w:rsid w:val="00BC4DD9"/>
    <w:rsid w:val="00BC4DFA"/>
    <w:rsid w:val="00BC4DFC"/>
    <w:rsid w:val="00BC4E31"/>
    <w:rsid w:val="00BC4E50"/>
    <w:rsid w:val="00BC4E8F"/>
    <w:rsid w:val="00BC4E9A"/>
    <w:rsid w:val="00BC4F39"/>
    <w:rsid w:val="00BC4F3D"/>
    <w:rsid w:val="00BC4F48"/>
    <w:rsid w:val="00BC4F67"/>
    <w:rsid w:val="00BC4F7C"/>
    <w:rsid w:val="00BC5000"/>
    <w:rsid w:val="00BC5017"/>
    <w:rsid w:val="00BC5028"/>
    <w:rsid w:val="00BC502D"/>
    <w:rsid w:val="00BC5034"/>
    <w:rsid w:val="00BC5058"/>
    <w:rsid w:val="00BC5084"/>
    <w:rsid w:val="00BC5092"/>
    <w:rsid w:val="00BC50BE"/>
    <w:rsid w:val="00BC50FC"/>
    <w:rsid w:val="00BC5103"/>
    <w:rsid w:val="00BC5131"/>
    <w:rsid w:val="00BC5186"/>
    <w:rsid w:val="00BC51C3"/>
    <w:rsid w:val="00BC5228"/>
    <w:rsid w:val="00BC5234"/>
    <w:rsid w:val="00BC5260"/>
    <w:rsid w:val="00BC526B"/>
    <w:rsid w:val="00BC52A3"/>
    <w:rsid w:val="00BC52EB"/>
    <w:rsid w:val="00BC533D"/>
    <w:rsid w:val="00BC5361"/>
    <w:rsid w:val="00BC5385"/>
    <w:rsid w:val="00BC5422"/>
    <w:rsid w:val="00BC5424"/>
    <w:rsid w:val="00BC5504"/>
    <w:rsid w:val="00BC5512"/>
    <w:rsid w:val="00BC55BA"/>
    <w:rsid w:val="00BC55DC"/>
    <w:rsid w:val="00BC566B"/>
    <w:rsid w:val="00BC5697"/>
    <w:rsid w:val="00BC56E0"/>
    <w:rsid w:val="00BC56E2"/>
    <w:rsid w:val="00BC56F3"/>
    <w:rsid w:val="00BC56F7"/>
    <w:rsid w:val="00BC5719"/>
    <w:rsid w:val="00BC571B"/>
    <w:rsid w:val="00BC575E"/>
    <w:rsid w:val="00BC5768"/>
    <w:rsid w:val="00BC5769"/>
    <w:rsid w:val="00BC57B8"/>
    <w:rsid w:val="00BC57CA"/>
    <w:rsid w:val="00BC57EC"/>
    <w:rsid w:val="00BC57F0"/>
    <w:rsid w:val="00BC586D"/>
    <w:rsid w:val="00BC58D6"/>
    <w:rsid w:val="00BC595F"/>
    <w:rsid w:val="00BC5987"/>
    <w:rsid w:val="00BC5A69"/>
    <w:rsid w:val="00BC5A93"/>
    <w:rsid w:val="00BC5B28"/>
    <w:rsid w:val="00BC5B8D"/>
    <w:rsid w:val="00BC5CA7"/>
    <w:rsid w:val="00BC5D0B"/>
    <w:rsid w:val="00BC5D2F"/>
    <w:rsid w:val="00BC5DA4"/>
    <w:rsid w:val="00BC5DBC"/>
    <w:rsid w:val="00BC5DC3"/>
    <w:rsid w:val="00BC5DCF"/>
    <w:rsid w:val="00BC5E23"/>
    <w:rsid w:val="00BC5E39"/>
    <w:rsid w:val="00BC5EA5"/>
    <w:rsid w:val="00BC5EC3"/>
    <w:rsid w:val="00BC5F09"/>
    <w:rsid w:val="00BC5F75"/>
    <w:rsid w:val="00BC5FAD"/>
    <w:rsid w:val="00BC6003"/>
    <w:rsid w:val="00BC6011"/>
    <w:rsid w:val="00BC6034"/>
    <w:rsid w:val="00BC6039"/>
    <w:rsid w:val="00BC60F4"/>
    <w:rsid w:val="00BC6150"/>
    <w:rsid w:val="00BC6185"/>
    <w:rsid w:val="00BC61C3"/>
    <w:rsid w:val="00BC620B"/>
    <w:rsid w:val="00BC622A"/>
    <w:rsid w:val="00BC622E"/>
    <w:rsid w:val="00BC62C1"/>
    <w:rsid w:val="00BC62C5"/>
    <w:rsid w:val="00BC62DC"/>
    <w:rsid w:val="00BC62FE"/>
    <w:rsid w:val="00BC630A"/>
    <w:rsid w:val="00BC6324"/>
    <w:rsid w:val="00BC6391"/>
    <w:rsid w:val="00BC640F"/>
    <w:rsid w:val="00BC6460"/>
    <w:rsid w:val="00BC648D"/>
    <w:rsid w:val="00BC64C8"/>
    <w:rsid w:val="00BC64D1"/>
    <w:rsid w:val="00BC64E9"/>
    <w:rsid w:val="00BC6509"/>
    <w:rsid w:val="00BC6514"/>
    <w:rsid w:val="00BC659B"/>
    <w:rsid w:val="00BC659D"/>
    <w:rsid w:val="00BC65DE"/>
    <w:rsid w:val="00BC65E2"/>
    <w:rsid w:val="00BC668D"/>
    <w:rsid w:val="00BC669A"/>
    <w:rsid w:val="00BC670C"/>
    <w:rsid w:val="00BC675C"/>
    <w:rsid w:val="00BC67CA"/>
    <w:rsid w:val="00BC6826"/>
    <w:rsid w:val="00BC6867"/>
    <w:rsid w:val="00BC68DE"/>
    <w:rsid w:val="00BC6905"/>
    <w:rsid w:val="00BC6930"/>
    <w:rsid w:val="00BC69F1"/>
    <w:rsid w:val="00BC6A27"/>
    <w:rsid w:val="00BC6A65"/>
    <w:rsid w:val="00BC6A6D"/>
    <w:rsid w:val="00BC6A70"/>
    <w:rsid w:val="00BC6AFA"/>
    <w:rsid w:val="00BC6B31"/>
    <w:rsid w:val="00BC6B36"/>
    <w:rsid w:val="00BC6B85"/>
    <w:rsid w:val="00BC6B86"/>
    <w:rsid w:val="00BC6B8E"/>
    <w:rsid w:val="00BC6BD1"/>
    <w:rsid w:val="00BC6BEE"/>
    <w:rsid w:val="00BC6BFA"/>
    <w:rsid w:val="00BC6C63"/>
    <w:rsid w:val="00BC6C6E"/>
    <w:rsid w:val="00BC6C90"/>
    <w:rsid w:val="00BC6C9A"/>
    <w:rsid w:val="00BC6CDF"/>
    <w:rsid w:val="00BC6D34"/>
    <w:rsid w:val="00BC6D7A"/>
    <w:rsid w:val="00BC6DC1"/>
    <w:rsid w:val="00BC6DE5"/>
    <w:rsid w:val="00BC6E19"/>
    <w:rsid w:val="00BC6E35"/>
    <w:rsid w:val="00BC6E54"/>
    <w:rsid w:val="00BC6E80"/>
    <w:rsid w:val="00BC6E99"/>
    <w:rsid w:val="00BC6F43"/>
    <w:rsid w:val="00BC6F6C"/>
    <w:rsid w:val="00BC700E"/>
    <w:rsid w:val="00BC7028"/>
    <w:rsid w:val="00BC703B"/>
    <w:rsid w:val="00BC7044"/>
    <w:rsid w:val="00BC7047"/>
    <w:rsid w:val="00BC7084"/>
    <w:rsid w:val="00BC70D0"/>
    <w:rsid w:val="00BC712D"/>
    <w:rsid w:val="00BC714C"/>
    <w:rsid w:val="00BC7151"/>
    <w:rsid w:val="00BC7169"/>
    <w:rsid w:val="00BC71F8"/>
    <w:rsid w:val="00BC7308"/>
    <w:rsid w:val="00BC731F"/>
    <w:rsid w:val="00BC73E2"/>
    <w:rsid w:val="00BC73F8"/>
    <w:rsid w:val="00BC73FC"/>
    <w:rsid w:val="00BC7400"/>
    <w:rsid w:val="00BC7415"/>
    <w:rsid w:val="00BC74C9"/>
    <w:rsid w:val="00BC74F3"/>
    <w:rsid w:val="00BC754A"/>
    <w:rsid w:val="00BC75A3"/>
    <w:rsid w:val="00BC75E6"/>
    <w:rsid w:val="00BC75FC"/>
    <w:rsid w:val="00BC7603"/>
    <w:rsid w:val="00BC765E"/>
    <w:rsid w:val="00BC767F"/>
    <w:rsid w:val="00BC7789"/>
    <w:rsid w:val="00BC77F9"/>
    <w:rsid w:val="00BC780F"/>
    <w:rsid w:val="00BC7813"/>
    <w:rsid w:val="00BC782E"/>
    <w:rsid w:val="00BC788B"/>
    <w:rsid w:val="00BC788E"/>
    <w:rsid w:val="00BC78BE"/>
    <w:rsid w:val="00BC78D4"/>
    <w:rsid w:val="00BC78DD"/>
    <w:rsid w:val="00BC78E7"/>
    <w:rsid w:val="00BC7901"/>
    <w:rsid w:val="00BC7947"/>
    <w:rsid w:val="00BC7972"/>
    <w:rsid w:val="00BC79A2"/>
    <w:rsid w:val="00BC7A7A"/>
    <w:rsid w:val="00BC7A9C"/>
    <w:rsid w:val="00BC7AAD"/>
    <w:rsid w:val="00BC7B46"/>
    <w:rsid w:val="00BC7BA8"/>
    <w:rsid w:val="00BC7BAB"/>
    <w:rsid w:val="00BC7BF5"/>
    <w:rsid w:val="00BC7CD4"/>
    <w:rsid w:val="00BC7CE8"/>
    <w:rsid w:val="00BC7CF2"/>
    <w:rsid w:val="00BC7D38"/>
    <w:rsid w:val="00BC7D42"/>
    <w:rsid w:val="00BC7DB5"/>
    <w:rsid w:val="00BC7DDA"/>
    <w:rsid w:val="00BC7E12"/>
    <w:rsid w:val="00BC7E14"/>
    <w:rsid w:val="00BC7E3A"/>
    <w:rsid w:val="00BC7E7F"/>
    <w:rsid w:val="00BC7F14"/>
    <w:rsid w:val="00BC7F16"/>
    <w:rsid w:val="00BC7F2A"/>
    <w:rsid w:val="00BC7F3A"/>
    <w:rsid w:val="00BC7FB3"/>
    <w:rsid w:val="00BD0084"/>
    <w:rsid w:val="00BD00C7"/>
    <w:rsid w:val="00BD00DC"/>
    <w:rsid w:val="00BD011F"/>
    <w:rsid w:val="00BD0137"/>
    <w:rsid w:val="00BD01BD"/>
    <w:rsid w:val="00BD01DD"/>
    <w:rsid w:val="00BD0258"/>
    <w:rsid w:val="00BD0291"/>
    <w:rsid w:val="00BD02D0"/>
    <w:rsid w:val="00BD02EC"/>
    <w:rsid w:val="00BD033C"/>
    <w:rsid w:val="00BD036A"/>
    <w:rsid w:val="00BD0399"/>
    <w:rsid w:val="00BD03B4"/>
    <w:rsid w:val="00BD03BA"/>
    <w:rsid w:val="00BD041A"/>
    <w:rsid w:val="00BD04C4"/>
    <w:rsid w:val="00BD04CA"/>
    <w:rsid w:val="00BD05B6"/>
    <w:rsid w:val="00BD05CE"/>
    <w:rsid w:val="00BD0600"/>
    <w:rsid w:val="00BD0605"/>
    <w:rsid w:val="00BD0609"/>
    <w:rsid w:val="00BD062E"/>
    <w:rsid w:val="00BD0639"/>
    <w:rsid w:val="00BD0646"/>
    <w:rsid w:val="00BD06AE"/>
    <w:rsid w:val="00BD06BD"/>
    <w:rsid w:val="00BD06EC"/>
    <w:rsid w:val="00BD06EF"/>
    <w:rsid w:val="00BD06F0"/>
    <w:rsid w:val="00BD06F4"/>
    <w:rsid w:val="00BD0741"/>
    <w:rsid w:val="00BD0742"/>
    <w:rsid w:val="00BD0756"/>
    <w:rsid w:val="00BD0820"/>
    <w:rsid w:val="00BD0843"/>
    <w:rsid w:val="00BD086F"/>
    <w:rsid w:val="00BD092D"/>
    <w:rsid w:val="00BD09E5"/>
    <w:rsid w:val="00BD0A11"/>
    <w:rsid w:val="00BD0A21"/>
    <w:rsid w:val="00BD0A22"/>
    <w:rsid w:val="00BD0A58"/>
    <w:rsid w:val="00BD0AC2"/>
    <w:rsid w:val="00BD0B02"/>
    <w:rsid w:val="00BD0B65"/>
    <w:rsid w:val="00BD0BBD"/>
    <w:rsid w:val="00BD0BBF"/>
    <w:rsid w:val="00BD0C2E"/>
    <w:rsid w:val="00BD0C2F"/>
    <w:rsid w:val="00BD0CEA"/>
    <w:rsid w:val="00BD0D1B"/>
    <w:rsid w:val="00BD0D2B"/>
    <w:rsid w:val="00BD0D40"/>
    <w:rsid w:val="00BD0D81"/>
    <w:rsid w:val="00BD0DB7"/>
    <w:rsid w:val="00BD0DCB"/>
    <w:rsid w:val="00BD0E31"/>
    <w:rsid w:val="00BD0E7C"/>
    <w:rsid w:val="00BD0EB8"/>
    <w:rsid w:val="00BD0ED0"/>
    <w:rsid w:val="00BD0ED3"/>
    <w:rsid w:val="00BD0F0B"/>
    <w:rsid w:val="00BD0F90"/>
    <w:rsid w:val="00BD0FBE"/>
    <w:rsid w:val="00BD0FC2"/>
    <w:rsid w:val="00BD0FD5"/>
    <w:rsid w:val="00BD100C"/>
    <w:rsid w:val="00BD104A"/>
    <w:rsid w:val="00BD104F"/>
    <w:rsid w:val="00BD1079"/>
    <w:rsid w:val="00BD1084"/>
    <w:rsid w:val="00BD10B2"/>
    <w:rsid w:val="00BD11A3"/>
    <w:rsid w:val="00BD11AA"/>
    <w:rsid w:val="00BD11E9"/>
    <w:rsid w:val="00BD11F4"/>
    <w:rsid w:val="00BD124D"/>
    <w:rsid w:val="00BD124F"/>
    <w:rsid w:val="00BD127D"/>
    <w:rsid w:val="00BD1340"/>
    <w:rsid w:val="00BD1377"/>
    <w:rsid w:val="00BD1385"/>
    <w:rsid w:val="00BD1394"/>
    <w:rsid w:val="00BD14EA"/>
    <w:rsid w:val="00BD1554"/>
    <w:rsid w:val="00BD1575"/>
    <w:rsid w:val="00BD1581"/>
    <w:rsid w:val="00BD15D3"/>
    <w:rsid w:val="00BD160B"/>
    <w:rsid w:val="00BD165F"/>
    <w:rsid w:val="00BD16D2"/>
    <w:rsid w:val="00BD1725"/>
    <w:rsid w:val="00BD1730"/>
    <w:rsid w:val="00BD1733"/>
    <w:rsid w:val="00BD1737"/>
    <w:rsid w:val="00BD177E"/>
    <w:rsid w:val="00BD178D"/>
    <w:rsid w:val="00BD17C9"/>
    <w:rsid w:val="00BD17E4"/>
    <w:rsid w:val="00BD17E8"/>
    <w:rsid w:val="00BD1807"/>
    <w:rsid w:val="00BD1813"/>
    <w:rsid w:val="00BD1851"/>
    <w:rsid w:val="00BD1860"/>
    <w:rsid w:val="00BD1888"/>
    <w:rsid w:val="00BD188E"/>
    <w:rsid w:val="00BD189D"/>
    <w:rsid w:val="00BD196E"/>
    <w:rsid w:val="00BD1991"/>
    <w:rsid w:val="00BD1998"/>
    <w:rsid w:val="00BD19BD"/>
    <w:rsid w:val="00BD19E3"/>
    <w:rsid w:val="00BD19F3"/>
    <w:rsid w:val="00BD1A39"/>
    <w:rsid w:val="00BD1AD8"/>
    <w:rsid w:val="00BD1AE5"/>
    <w:rsid w:val="00BD1AED"/>
    <w:rsid w:val="00BD1B6B"/>
    <w:rsid w:val="00BD1C7F"/>
    <w:rsid w:val="00BD1CD3"/>
    <w:rsid w:val="00BD1D33"/>
    <w:rsid w:val="00BD1D7F"/>
    <w:rsid w:val="00BD1D9E"/>
    <w:rsid w:val="00BD1DAB"/>
    <w:rsid w:val="00BD1DAE"/>
    <w:rsid w:val="00BD1E4C"/>
    <w:rsid w:val="00BD1E65"/>
    <w:rsid w:val="00BD1EA8"/>
    <w:rsid w:val="00BD1F39"/>
    <w:rsid w:val="00BD1F3C"/>
    <w:rsid w:val="00BD1F52"/>
    <w:rsid w:val="00BD1F60"/>
    <w:rsid w:val="00BD1F83"/>
    <w:rsid w:val="00BD2044"/>
    <w:rsid w:val="00BD205B"/>
    <w:rsid w:val="00BD2135"/>
    <w:rsid w:val="00BD2151"/>
    <w:rsid w:val="00BD2193"/>
    <w:rsid w:val="00BD21B4"/>
    <w:rsid w:val="00BD2226"/>
    <w:rsid w:val="00BD2228"/>
    <w:rsid w:val="00BD22A5"/>
    <w:rsid w:val="00BD22D0"/>
    <w:rsid w:val="00BD2320"/>
    <w:rsid w:val="00BD2347"/>
    <w:rsid w:val="00BD23BF"/>
    <w:rsid w:val="00BD23C0"/>
    <w:rsid w:val="00BD23DB"/>
    <w:rsid w:val="00BD23E7"/>
    <w:rsid w:val="00BD2405"/>
    <w:rsid w:val="00BD2468"/>
    <w:rsid w:val="00BD2498"/>
    <w:rsid w:val="00BD24C9"/>
    <w:rsid w:val="00BD2519"/>
    <w:rsid w:val="00BD2521"/>
    <w:rsid w:val="00BD2526"/>
    <w:rsid w:val="00BD2553"/>
    <w:rsid w:val="00BD25AC"/>
    <w:rsid w:val="00BD25D8"/>
    <w:rsid w:val="00BD25EF"/>
    <w:rsid w:val="00BD2651"/>
    <w:rsid w:val="00BD2731"/>
    <w:rsid w:val="00BD2756"/>
    <w:rsid w:val="00BD2757"/>
    <w:rsid w:val="00BD27D0"/>
    <w:rsid w:val="00BD282B"/>
    <w:rsid w:val="00BD284D"/>
    <w:rsid w:val="00BD2868"/>
    <w:rsid w:val="00BD2877"/>
    <w:rsid w:val="00BD28B7"/>
    <w:rsid w:val="00BD28EC"/>
    <w:rsid w:val="00BD2984"/>
    <w:rsid w:val="00BD29CF"/>
    <w:rsid w:val="00BD29DE"/>
    <w:rsid w:val="00BD2A01"/>
    <w:rsid w:val="00BD2A29"/>
    <w:rsid w:val="00BD2A68"/>
    <w:rsid w:val="00BD2A6C"/>
    <w:rsid w:val="00BD2A9D"/>
    <w:rsid w:val="00BD2AB9"/>
    <w:rsid w:val="00BD2ABF"/>
    <w:rsid w:val="00BD2B10"/>
    <w:rsid w:val="00BD2B6F"/>
    <w:rsid w:val="00BD2BC0"/>
    <w:rsid w:val="00BD2BD8"/>
    <w:rsid w:val="00BD2BF7"/>
    <w:rsid w:val="00BD2C06"/>
    <w:rsid w:val="00BD2C31"/>
    <w:rsid w:val="00BD2C39"/>
    <w:rsid w:val="00BD2C69"/>
    <w:rsid w:val="00BD2C75"/>
    <w:rsid w:val="00BD2D03"/>
    <w:rsid w:val="00BD2E06"/>
    <w:rsid w:val="00BD2E21"/>
    <w:rsid w:val="00BD2E36"/>
    <w:rsid w:val="00BD2E63"/>
    <w:rsid w:val="00BD2EE6"/>
    <w:rsid w:val="00BD2F42"/>
    <w:rsid w:val="00BD2F72"/>
    <w:rsid w:val="00BD2F92"/>
    <w:rsid w:val="00BD2FB9"/>
    <w:rsid w:val="00BD2FE7"/>
    <w:rsid w:val="00BD2FF8"/>
    <w:rsid w:val="00BD3007"/>
    <w:rsid w:val="00BD3014"/>
    <w:rsid w:val="00BD3046"/>
    <w:rsid w:val="00BD305E"/>
    <w:rsid w:val="00BD30D6"/>
    <w:rsid w:val="00BD30E5"/>
    <w:rsid w:val="00BD3137"/>
    <w:rsid w:val="00BD3145"/>
    <w:rsid w:val="00BD319F"/>
    <w:rsid w:val="00BD31B8"/>
    <w:rsid w:val="00BD31BF"/>
    <w:rsid w:val="00BD3202"/>
    <w:rsid w:val="00BD320D"/>
    <w:rsid w:val="00BD322F"/>
    <w:rsid w:val="00BD32F4"/>
    <w:rsid w:val="00BD337E"/>
    <w:rsid w:val="00BD3392"/>
    <w:rsid w:val="00BD33B7"/>
    <w:rsid w:val="00BD33F8"/>
    <w:rsid w:val="00BD3406"/>
    <w:rsid w:val="00BD3431"/>
    <w:rsid w:val="00BD348F"/>
    <w:rsid w:val="00BD3496"/>
    <w:rsid w:val="00BD349F"/>
    <w:rsid w:val="00BD34B5"/>
    <w:rsid w:val="00BD354B"/>
    <w:rsid w:val="00BD35A9"/>
    <w:rsid w:val="00BD35BD"/>
    <w:rsid w:val="00BD35E5"/>
    <w:rsid w:val="00BD35EF"/>
    <w:rsid w:val="00BD35FF"/>
    <w:rsid w:val="00BD3613"/>
    <w:rsid w:val="00BD3629"/>
    <w:rsid w:val="00BD3679"/>
    <w:rsid w:val="00BD3687"/>
    <w:rsid w:val="00BD3690"/>
    <w:rsid w:val="00BD36C2"/>
    <w:rsid w:val="00BD36CB"/>
    <w:rsid w:val="00BD3764"/>
    <w:rsid w:val="00BD37B7"/>
    <w:rsid w:val="00BD3800"/>
    <w:rsid w:val="00BD3866"/>
    <w:rsid w:val="00BD388F"/>
    <w:rsid w:val="00BD3892"/>
    <w:rsid w:val="00BD38C5"/>
    <w:rsid w:val="00BD391D"/>
    <w:rsid w:val="00BD394E"/>
    <w:rsid w:val="00BD3957"/>
    <w:rsid w:val="00BD3995"/>
    <w:rsid w:val="00BD39A1"/>
    <w:rsid w:val="00BD39D0"/>
    <w:rsid w:val="00BD39E9"/>
    <w:rsid w:val="00BD3A4A"/>
    <w:rsid w:val="00BD3A71"/>
    <w:rsid w:val="00BD3A78"/>
    <w:rsid w:val="00BD3AB1"/>
    <w:rsid w:val="00BD3ACF"/>
    <w:rsid w:val="00BD3B16"/>
    <w:rsid w:val="00BD3B55"/>
    <w:rsid w:val="00BD3BAD"/>
    <w:rsid w:val="00BD3BD3"/>
    <w:rsid w:val="00BD3CB5"/>
    <w:rsid w:val="00BD3CBA"/>
    <w:rsid w:val="00BD3CDA"/>
    <w:rsid w:val="00BD3CDD"/>
    <w:rsid w:val="00BD3D05"/>
    <w:rsid w:val="00BD3D51"/>
    <w:rsid w:val="00BD3DA7"/>
    <w:rsid w:val="00BD3DE3"/>
    <w:rsid w:val="00BD3E0A"/>
    <w:rsid w:val="00BD3E51"/>
    <w:rsid w:val="00BD3E5E"/>
    <w:rsid w:val="00BD3EA1"/>
    <w:rsid w:val="00BD3EB8"/>
    <w:rsid w:val="00BD3F2E"/>
    <w:rsid w:val="00BD3F71"/>
    <w:rsid w:val="00BD406D"/>
    <w:rsid w:val="00BD4073"/>
    <w:rsid w:val="00BD4076"/>
    <w:rsid w:val="00BD4090"/>
    <w:rsid w:val="00BD40D3"/>
    <w:rsid w:val="00BD41D0"/>
    <w:rsid w:val="00BD4205"/>
    <w:rsid w:val="00BD4249"/>
    <w:rsid w:val="00BD4257"/>
    <w:rsid w:val="00BD4260"/>
    <w:rsid w:val="00BD4269"/>
    <w:rsid w:val="00BD429D"/>
    <w:rsid w:val="00BD42AD"/>
    <w:rsid w:val="00BD4338"/>
    <w:rsid w:val="00BD436A"/>
    <w:rsid w:val="00BD437B"/>
    <w:rsid w:val="00BD43A2"/>
    <w:rsid w:val="00BD43B2"/>
    <w:rsid w:val="00BD4417"/>
    <w:rsid w:val="00BD4439"/>
    <w:rsid w:val="00BD4508"/>
    <w:rsid w:val="00BD4569"/>
    <w:rsid w:val="00BD45B4"/>
    <w:rsid w:val="00BD45C6"/>
    <w:rsid w:val="00BD45E9"/>
    <w:rsid w:val="00BD463E"/>
    <w:rsid w:val="00BD4676"/>
    <w:rsid w:val="00BD4697"/>
    <w:rsid w:val="00BD46DD"/>
    <w:rsid w:val="00BD4784"/>
    <w:rsid w:val="00BD479B"/>
    <w:rsid w:val="00BD47F2"/>
    <w:rsid w:val="00BD489D"/>
    <w:rsid w:val="00BD48A2"/>
    <w:rsid w:val="00BD48C9"/>
    <w:rsid w:val="00BD4955"/>
    <w:rsid w:val="00BD495C"/>
    <w:rsid w:val="00BD499F"/>
    <w:rsid w:val="00BD4A1B"/>
    <w:rsid w:val="00BD4A2C"/>
    <w:rsid w:val="00BD4A7A"/>
    <w:rsid w:val="00BD4AF6"/>
    <w:rsid w:val="00BD4B05"/>
    <w:rsid w:val="00BD4BB1"/>
    <w:rsid w:val="00BD4BD7"/>
    <w:rsid w:val="00BD4BDA"/>
    <w:rsid w:val="00BD4BDB"/>
    <w:rsid w:val="00BD4C65"/>
    <w:rsid w:val="00BD4CCC"/>
    <w:rsid w:val="00BD4CEF"/>
    <w:rsid w:val="00BD4D19"/>
    <w:rsid w:val="00BD4D22"/>
    <w:rsid w:val="00BD4D67"/>
    <w:rsid w:val="00BD4D8C"/>
    <w:rsid w:val="00BD4DA5"/>
    <w:rsid w:val="00BD4DAB"/>
    <w:rsid w:val="00BD4F01"/>
    <w:rsid w:val="00BD4F66"/>
    <w:rsid w:val="00BD4F81"/>
    <w:rsid w:val="00BD4F90"/>
    <w:rsid w:val="00BD4FBB"/>
    <w:rsid w:val="00BD4FCA"/>
    <w:rsid w:val="00BD5007"/>
    <w:rsid w:val="00BD502A"/>
    <w:rsid w:val="00BD5094"/>
    <w:rsid w:val="00BD50D2"/>
    <w:rsid w:val="00BD5180"/>
    <w:rsid w:val="00BD5193"/>
    <w:rsid w:val="00BD5197"/>
    <w:rsid w:val="00BD51DA"/>
    <w:rsid w:val="00BD522C"/>
    <w:rsid w:val="00BD5263"/>
    <w:rsid w:val="00BD52FA"/>
    <w:rsid w:val="00BD532D"/>
    <w:rsid w:val="00BD5352"/>
    <w:rsid w:val="00BD5358"/>
    <w:rsid w:val="00BD536B"/>
    <w:rsid w:val="00BD53C5"/>
    <w:rsid w:val="00BD5452"/>
    <w:rsid w:val="00BD5456"/>
    <w:rsid w:val="00BD5470"/>
    <w:rsid w:val="00BD54C0"/>
    <w:rsid w:val="00BD54FD"/>
    <w:rsid w:val="00BD54FF"/>
    <w:rsid w:val="00BD5523"/>
    <w:rsid w:val="00BD5573"/>
    <w:rsid w:val="00BD55CE"/>
    <w:rsid w:val="00BD55DD"/>
    <w:rsid w:val="00BD5635"/>
    <w:rsid w:val="00BD56BE"/>
    <w:rsid w:val="00BD5714"/>
    <w:rsid w:val="00BD572D"/>
    <w:rsid w:val="00BD5756"/>
    <w:rsid w:val="00BD5773"/>
    <w:rsid w:val="00BD5777"/>
    <w:rsid w:val="00BD5793"/>
    <w:rsid w:val="00BD5797"/>
    <w:rsid w:val="00BD57B5"/>
    <w:rsid w:val="00BD5846"/>
    <w:rsid w:val="00BD5880"/>
    <w:rsid w:val="00BD58A0"/>
    <w:rsid w:val="00BD58B7"/>
    <w:rsid w:val="00BD591C"/>
    <w:rsid w:val="00BD5921"/>
    <w:rsid w:val="00BD59E8"/>
    <w:rsid w:val="00BD5A08"/>
    <w:rsid w:val="00BD5A0B"/>
    <w:rsid w:val="00BD5A40"/>
    <w:rsid w:val="00BD5A4B"/>
    <w:rsid w:val="00BD5A5E"/>
    <w:rsid w:val="00BD5B68"/>
    <w:rsid w:val="00BD5BCC"/>
    <w:rsid w:val="00BD5BFB"/>
    <w:rsid w:val="00BD5C01"/>
    <w:rsid w:val="00BD5C16"/>
    <w:rsid w:val="00BD5C37"/>
    <w:rsid w:val="00BD5C45"/>
    <w:rsid w:val="00BD5CAF"/>
    <w:rsid w:val="00BD5CB7"/>
    <w:rsid w:val="00BD5CC5"/>
    <w:rsid w:val="00BD5CEF"/>
    <w:rsid w:val="00BD5CF5"/>
    <w:rsid w:val="00BD5D46"/>
    <w:rsid w:val="00BD5D4D"/>
    <w:rsid w:val="00BD5D63"/>
    <w:rsid w:val="00BD5D79"/>
    <w:rsid w:val="00BD5DBD"/>
    <w:rsid w:val="00BD5DC6"/>
    <w:rsid w:val="00BD5DCC"/>
    <w:rsid w:val="00BD5DCF"/>
    <w:rsid w:val="00BD5DD4"/>
    <w:rsid w:val="00BD5DF6"/>
    <w:rsid w:val="00BD5E0B"/>
    <w:rsid w:val="00BD5E26"/>
    <w:rsid w:val="00BD5E55"/>
    <w:rsid w:val="00BD5E60"/>
    <w:rsid w:val="00BD5EDC"/>
    <w:rsid w:val="00BD5EE3"/>
    <w:rsid w:val="00BD5EFE"/>
    <w:rsid w:val="00BD5F22"/>
    <w:rsid w:val="00BD5F25"/>
    <w:rsid w:val="00BD5F27"/>
    <w:rsid w:val="00BD5F2F"/>
    <w:rsid w:val="00BD5F7B"/>
    <w:rsid w:val="00BD5FA3"/>
    <w:rsid w:val="00BD6047"/>
    <w:rsid w:val="00BD6062"/>
    <w:rsid w:val="00BD6097"/>
    <w:rsid w:val="00BD60C6"/>
    <w:rsid w:val="00BD60DF"/>
    <w:rsid w:val="00BD60F2"/>
    <w:rsid w:val="00BD60F3"/>
    <w:rsid w:val="00BD613B"/>
    <w:rsid w:val="00BD616F"/>
    <w:rsid w:val="00BD6170"/>
    <w:rsid w:val="00BD61C0"/>
    <w:rsid w:val="00BD6212"/>
    <w:rsid w:val="00BD6239"/>
    <w:rsid w:val="00BD626C"/>
    <w:rsid w:val="00BD6272"/>
    <w:rsid w:val="00BD62A3"/>
    <w:rsid w:val="00BD62BA"/>
    <w:rsid w:val="00BD62F2"/>
    <w:rsid w:val="00BD631F"/>
    <w:rsid w:val="00BD6328"/>
    <w:rsid w:val="00BD632C"/>
    <w:rsid w:val="00BD6363"/>
    <w:rsid w:val="00BD6395"/>
    <w:rsid w:val="00BD647D"/>
    <w:rsid w:val="00BD64D8"/>
    <w:rsid w:val="00BD64F4"/>
    <w:rsid w:val="00BD64FE"/>
    <w:rsid w:val="00BD651A"/>
    <w:rsid w:val="00BD65E2"/>
    <w:rsid w:val="00BD66C6"/>
    <w:rsid w:val="00BD66C7"/>
    <w:rsid w:val="00BD673A"/>
    <w:rsid w:val="00BD6766"/>
    <w:rsid w:val="00BD677E"/>
    <w:rsid w:val="00BD67CC"/>
    <w:rsid w:val="00BD67FB"/>
    <w:rsid w:val="00BD687B"/>
    <w:rsid w:val="00BD6895"/>
    <w:rsid w:val="00BD68BA"/>
    <w:rsid w:val="00BD68C4"/>
    <w:rsid w:val="00BD68E1"/>
    <w:rsid w:val="00BD694C"/>
    <w:rsid w:val="00BD6971"/>
    <w:rsid w:val="00BD6980"/>
    <w:rsid w:val="00BD6A01"/>
    <w:rsid w:val="00BD6A1A"/>
    <w:rsid w:val="00BD6A21"/>
    <w:rsid w:val="00BD6A72"/>
    <w:rsid w:val="00BD6AA8"/>
    <w:rsid w:val="00BD6B25"/>
    <w:rsid w:val="00BD6B36"/>
    <w:rsid w:val="00BD6B50"/>
    <w:rsid w:val="00BD6B51"/>
    <w:rsid w:val="00BD6B5A"/>
    <w:rsid w:val="00BD6B73"/>
    <w:rsid w:val="00BD6B78"/>
    <w:rsid w:val="00BD6C27"/>
    <w:rsid w:val="00BD6CAC"/>
    <w:rsid w:val="00BD6CBE"/>
    <w:rsid w:val="00BD6D0C"/>
    <w:rsid w:val="00BD6D71"/>
    <w:rsid w:val="00BD6DD3"/>
    <w:rsid w:val="00BD6DE0"/>
    <w:rsid w:val="00BD6E65"/>
    <w:rsid w:val="00BD6EA8"/>
    <w:rsid w:val="00BD6ECE"/>
    <w:rsid w:val="00BD6EE4"/>
    <w:rsid w:val="00BD6EE7"/>
    <w:rsid w:val="00BD6F00"/>
    <w:rsid w:val="00BD6F35"/>
    <w:rsid w:val="00BD6F9F"/>
    <w:rsid w:val="00BD706A"/>
    <w:rsid w:val="00BD708F"/>
    <w:rsid w:val="00BD70CC"/>
    <w:rsid w:val="00BD70F4"/>
    <w:rsid w:val="00BD712D"/>
    <w:rsid w:val="00BD7143"/>
    <w:rsid w:val="00BD7152"/>
    <w:rsid w:val="00BD71A4"/>
    <w:rsid w:val="00BD7252"/>
    <w:rsid w:val="00BD7276"/>
    <w:rsid w:val="00BD7294"/>
    <w:rsid w:val="00BD72B6"/>
    <w:rsid w:val="00BD72D8"/>
    <w:rsid w:val="00BD7310"/>
    <w:rsid w:val="00BD7322"/>
    <w:rsid w:val="00BD733B"/>
    <w:rsid w:val="00BD736B"/>
    <w:rsid w:val="00BD736F"/>
    <w:rsid w:val="00BD737B"/>
    <w:rsid w:val="00BD7391"/>
    <w:rsid w:val="00BD73C3"/>
    <w:rsid w:val="00BD73C5"/>
    <w:rsid w:val="00BD7433"/>
    <w:rsid w:val="00BD7437"/>
    <w:rsid w:val="00BD7439"/>
    <w:rsid w:val="00BD74DC"/>
    <w:rsid w:val="00BD74E6"/>
    <w:rsid w:val="00BD74F6"/>
    <w:rsid w:val="00BD755F"/>
    <w:rsid w:val="00BD7561"/>
    <w:rsid w:val="00BD75C9"/>
    <w:rsid w:val="00BD764F"/>
    <w:rsid w:val="00BD765E"/>
    <w:rsid w:val="00BD7675"/>
    <w:rsid w:val="00BD7691"/>
    <w:rsid w:val="00BD76A1"/>
    <w:rsid w:val="00BD76A6"/>
    <w:rsid w:val="00BD777D"/>
    <w:rsid w:val="00BD7788"/>
    <w:rsid w:val="00BD77DB"/>
    <w:rsid w:val="00BD7802"/>
    <w:rsid w:val="00BD786A"/>
    <w:rsid w:val="00BD786E"/>
    <w:rsid w:val="00BD789D"/>
    <w:rsid w:val="00BD78AA"/>
    <w:rsid w:val="00BD78B0"/>
    <w:rsid w:val="00BD78BA"/>
    <w:rsid w:val="00BD78C4"/>
    <w:rsid w:val="00BD7916"/>
    <w:rsid w:val="00BD7989"/>
    <w:rsid w:val="00BD79AC"/>
    <w:rsid w:val="00BD79B9"/>
    <w:rsid w:val="00BD79FD"/>
    <w:rsid w:val="00BD7A66"/>
    <w:rsid w:val="00BD7ACF"/>
    <w:rsid w:val="00BD7AF6"/>
    <w:rsid w:val="00BD7B05"/>
    <w:rsid w:val="00BD7B3A"/>
    <w:rsid w:val="00BD7B5A"/>
    <w:rsid w:val="00BD7B60"/>
    <w:rsid w:val="00BD7C03"/>
    <w:rsid w:val="00BD7C61"/>
    <w:rsid w:val="00BD7D09"/>
    <w:rsid w:val="00BD7D44"/>
    <w:rsid w:val="00BD7D98"/>
    <w:rsid w:val="00BD7E3D"/>
    <w:rsid w:val="00BD7E5B"/>
    <w:rsid w:val="00BD7E5C"/>
    <w:rsid w:val="00BD7E73"/>
    <w:rsid w:val="00BD7EAC"/>
    <w:rsid w:val="00BD7F94"/>
    <w:rsid w:val="00BD7FC2"/>
    <w:rsid w:val="00BD7FEA"/>
    <w:rsid w:val="00BE0024"/>
    <w:rsid w:val="00BE007F"/>
    <w:rsid w:val="00BE00AF"/>
    <w:rsid w:val="00BE00DF"/>
    <w:rsid w:val="00BE010F"/>
    <w:rsid w:val="00BE011D"/>
    <w:rsid w:val="00BE0120"/>
    <w:rsid w:val="00BE014E"/>
    <w:rsid w:val="00BE0162"/>
    <w:rsid w:val="00BE0174"/>
    <w:rsid w:val="00BE017C"/>
    <w:rsid w:val="00BE0187"/>
    <w:rsid w:val="00BE019C"/>
    <w:rsid w:val="00BE01B5"/>
    <w:rsid w:val="00BE01C2"/>
    <w:rsid w:val="00BE01DA"/>
    <w:rsid w:val="00BE0263"/>
    <w:rsid w:val="00BE03AB"/>
    <w:rsid w:val="00BE03D2"/>
    <w:rsid w:val="00BE03E6"/>
    <w:rsid w:val="00BE03FD"/>
    <w:rsid w:val="00BE045A"/>
    <w:rsid w:val="00BE049E"/>
    <w:rsid w:val="00BE04BA"/>
    <w:rsid w:val="00BE04F8"/>
    <w:rsid w:val="00BE04FA"/>
    <w:rsid w:val="00BE0501"/>
    <w:rsid w:val="00BE0517"/>
    <w:rsid w:val="00BE05A2"/>
    <w:rsid w:val="00BE05B0"/>
    <w:rsid w:val="00BE05D7"/>
    <w:rsid w:val="00BE0649"/>
    <w:rsid w:val="00BE0697"/>
    <w:rsid w:val="00BE06A6"/>
    <w:rsid w:val="00BE0727"/>
    <w:rsid w:val="00BE077C"/>
    <w:rsid w:val="00BE07A1"/>
    <w:rsid w:val="00BE07D4"/>
    <w:rsid w:val="00BE0815"/>
    <w:rsid w:val="00BE086C"/>
    <w:rsid w:val="00BE0879"/>
    <w:rsid w:val="00BE0886"/>
    <w:rsid w:val="00BE0892"/>
    <w:rsid w:val="00BE08B0"/>
    <w:rsid w:val="00BE08FB"/>
    <w:rsid w:val="00BE08FC"/>
    <w:rsid w:val="00BE090E"/>
    <w:rsid w:val="00BE0978"/>
    <w:rsid w:val="00BE098E"/>
    <w:rsid w:val="00BE0998"/>
    <w:rsid w:val="00BE09A0"/>
    <w:rsid w:val="00BE09E8"/>
    <w:rsid w:val="00BE09F8"/>
    <w:rsid w:val="00BE0A43"/>
    <w:rsid w:val="00BE0A47"/>
    <w:rsid w:val="00BE0AA4"/>
    <w:rsid w:val="00BE0AEF"/>
    <w:rsid w:val="00BE0B2A"/>
    <w:rsid w:val="00BE0B9D"/>
    <w:rsid w:val="00BE0BD6"/>
    <w:rsid w:val="00BE0C04"/>
    <w:rsid w:val="00BE0C33"/>
    <w:rsid w:val="00BE0C50"/>
    <w:rsid w:val="00BE0CB3"/>
    <w:rsid w:val="00BE0CBC"/>
    <w:rsid w:val="00BE0CD7"/>
    <w:rsid w:val="00BE0D5B"/>
    <w:rsid w:val="00BE0D7F"/>
    <w:rsid w:val="00BE0D82"/>
    <w:rsid w:val="00BE0E35"/>
    <w:rsid w:val="00BE0E51"/>
    <w:rsid w:val="00BE0F12"/>
    <w:rsid w:val="00BE0F50"/>
    <w:rsid w:val="00BE0F56"/>
    <w:rsid w:val="00BE0F5E"/>
    <w:rsid w:val="00BE0F9D"/>
    <w:rsid w:val="00BE0FDB"/>
    <w:rsid w:val="00BE0FE4"/>
    <w:rsid w:val="00BE0FF6"/>
    <w:rsid w:val="00BE1013"/>
    <w:rsid w:val="00BE1020"/>
    <w:rsid w:val="00BE1078"/>
    <w:rsid w:val="00BE10B5"/>
    <w:rsid w:val="00BE114E"/>
    <w:rsid w:val="00BE1189"/>
    <w:rsid w:val="00BE1190"/>
    <w:rsid w:val="00BE11E0"/>
    <w:rsid w:val="00BE11EA"/>
    <w:rsid w:val="00BE120F"/>
    <w:rsid w:val="00BE12B6"/>
    <w:rsid w:val="00BE12D3"/>
    <w:rsid w:val="00BE133F"/>
    <w:rsid w:val="00BE1346"/>
    <w:rsid w:val="00BE1360"/>
    <w:rsid w:val="00BE1369"/>
    <w:rsid w:val="00BE1434"/>
    <w:rsid w:val="00BE1435"/>
    <w:rsid w:val="00BE146B"/>
    <w:rsid w:val="00BE1475"/>
    <w:rsid w:val="00BE1478"/>
    <w:rsid w:val="00BE1496"/>
    <w:rsid w:val="00BE14A7"/>
    <w:rsid w:val="00BE14D1"/>
    <w:rsid w:val="00BE1501"/>
    <w:rsid w:val="00BE1529"/>
    <w:rsid w:val="00BE15A5"/>
    <w:rsid w:val="00BE15C4"/>
    <w:rsid w:val="00BE15E7"/>
    <w:rsid w:val="00BE15FB"/>
    <w:rsid w:val="00BE161B"/>
    <w:rsid w:val="00BE1622"/>
    <w:rsid w:val="00BE162F"/>
    <w:rsid w:val="00BE1665"/>
    <w:rsid w:val="00BE16BE"/>
    <w:rsid w:val="00BE16CE"/>
    <w:rsid w:val="00BE16F3"/>
    <w:rsid w:val="00BE175E"/>
    <w:rsid w:val="00BE17DC"/>
    <w:rsid w:val="00BE17EC"/>
    <w:rsid w:val="00BE1806"/>
    <w:rsid w:val="00BE181A"/>
    <w:rsid w:val="00BE182E"/>
    <w:rsid w:val="00BE1842"/>
    <w:rsid w:val="00BE1852"/>
    <w:rsid w:val="00BE1857"/>
    <w:rsid w:val="00BE1867"/>
    <w:rsid w:val="00BE18C9"/>
    <w:rsid w:val="00BE18E1"/>
    <w:rsid w:val="00BE1907"/>
    <w:rsid w:val="00BE191E"/>
    <w:rsid w:val="00BE19AF"/>
    <w:rsid w:val="00BE19BC"/>
    <w:rsid w:val="00BE19C5"/>
    <w:rsid w:val="00BE1A6B"/>
    <w:rsid w:val="00BE1A73"/>
    <w:rsid w:val="00BE1AF5"/>
    <w:rsid w:val="00BE1AFA"/>
    <w:rsid w:val="00BE1B1D"/>
    <w:rsid w:val="00BE1B46"/>
    <w:rsid w:val="00BE1B9E"/>
    <w:rsid w:val="00BE1BA6"/>
    <w:rsid w:val="00BE1BB0"/>
    <w:rsid w:val="00BE1BD0"/>
    <w:rsid w:val="00BE1BE5"/>
    <w:rsid w:val="00BE1C2E"/>
    <w:rsid w:val="00BE1C92"/>
    <w:rsid w:val="00BE1CAD"/>
    <w:rsid w:val="00BE1DAE"/>
    <w:rsid w:val="00BE1DD6"/>
    <w:rsid w:val="00BE1EDC"/>
    <w:rsid w:val="00BE1F31"/>
    <w:rsid w:val="00BE1F5A"/>
    <w:rsid w:val="00BE1F6A"/>
    <w:rsid w:val="00BE1F8D"/>
    <w:rsid w:val="00BE1FAF"/>
    <w:rsid w:val="00BE1FD7"/>
    <w:rsid w:val="00BE1FE1"/>
    <w:rsid w:val="00BE203D"/>
    <w:rsid w:val="00BE20ED"/>
    <w:rsid w:val="00BE2114"/>
    <w:rsid w:val="00BE2119"/>
    <w:rsid w:val="00BE212D"/>
    <w:rsid w:val="00BE214A"/>
    <w:rsid w:val="00BE2188"/>
    <w:rsid w:val="00BE2195"/>
    <w:rsid w:val="00BE21B2"/>
    <w:rsid w:val="00BE21D5"/>
    <w:rsid w:val="00BE21F0"/>
    <w:rsid w:val="00BE221B"/>
    <w:rsid w:val="00BE2272"/>
    <w:rsid w:val="00BE22B4"/>
    <w:rsid w:val="00BE22BF"/>
    <w:rsid w:val="00BE2327"/>
    <w:rsid w:val="00BE2359"/>
    <w:rsid w:val="00BE2381"/>
    <w:rsid w:val="00BE23D0"/>
    <w:rsid w:val="00BE23E4"/>
    <w:rsid w:val="00BE2428"/>
    <w:rsid w:val="00BE2437"/>
    <w:rsid w:val="00BE2480"/>
    <w:rsid w:val="00BE24A1"/>
    <w:rsid w:val="00BE250A"/>
    <w:rsid w:val="00BE252F"/>
    <w:rsid w:val="00BE2543"/>
    <w:rsid w:val="00BE2588"/>
    <w:rsid w:val="00BE25C3"/>
    <w:rsid w:val="00BE25D7"/>
    <w:rsid w:val="00BE25DE"/>
    <w:rsid w:val="00BE25EA"/>
    <w:rsid w:val="00BE25EC"/>
    <w:rsid w:val="00BE260A"/>
    <w:rsid w:val="00BE260C"/>
    <w:rsid w:val="00BE2611"/>
    <w:rsid w:val="00BE267E"/>
    <w:rsid w:val="00BE26E2"/>
    <w:rsid w:val="00BE272A"/>
    <w:rsid w:val="00BE279E"/>
    <w:rsid w:val="00BE27A5"/>
    <w:rsid w:val="00BE2810"/>
    <w:rsid w:val="00BE2830"/>
    <w:rsid w:val="00BE2836"/>
    <w:rsid w:val="00BE2842"/>
    <w:rsid w:val="00BE285A"/>
    <w:rsid w:val="00BE286E"/>
    <w:rsid w:val="00BE28A2"/>
    <w:rsid w:val="00BE28C1"/>
    <w:rsid w:val="00BE290A"/>
    <w:rsid w:val="00BE293D"/>
    <w:rsid w:val="00BE2951"/>
    <w:rsid w:val="00BE29BE"/>
    <w:rsid w:val="00BE29D3"/>
    <w:rsid w:val="00BE29E3"/>
    <w:rsid w:val="00BE2A07"/>
    <w:rsid w:val="00BE2A36"/>
    <w:rsid w:val="00BE2A4E"/>
    <w:rsid w:val="00BE2A62"/>
    <w:rsid w:val="00BE2A68"/>
    <w:rsid w:val="00BE2A75"/>
    <w:rsid w:val="00BE2AAC"/>
    <w:rsid w:val="00BE2AB9"/>
    <w:rsid w:val="00BE2AEA"/>
    <w:rsid w:val="00BE2AF9"/>
    <w:rsid w:val="00BE2B1D"/>
    <w:rsid w:val="00BE2B3F"/>
    <w:rsid w:val="00BE2C1D"/>
    <w:rsid w:val="00BE2C51"/>
    <w:rsid w:val="00BE2C80"/>
    <w:rsid w:val="00BE2CEC"/>
    <w:rsid w:val="00BE2CF1"/>
    <w:rsid w:val="00BE2D11"/>
    <w:rsid w:val="00BE2D4B"/>
    <w:rsid w:val="00BE2DE2"/>
    <w:rsid w:val="00BE2E29"/>
    <w:rsid w:val="00BE2E51"/>
    <w:rsid w:val="00BE2E62"/>
    <w:rsid w:val="00BE2E87"/>
    <w:rsid w:val="00BE2EF8"/>
    <w:rsid w:val="00BE2F04"/>
    <w:rsid w:val="00BE2F2D"/>
    <w:rsid w:val="00BE2FCB"/>
    <w:rsid w:val="00BE2FDF"/>
    <w:rsid w:val="00BE2FFD"/>
    <w:rsid w:val="00BE30C7"/>
    <w:rsid w:val="00BE30FB"/>
    <w:rsid w:val="00BE3119"/>
    <w:rsid w:val="00BE3141"/>
    <w:rsid w:val="00BE315C"/>
    <w:rsid w:val="00BE31AC"/>
    <w:rsid w:val="00BE31CF"/>
    <w:rsid w:val="00BE31F4"/>
    <w:rsid w:val="00BE3233"/>
    <w:rsid w:val="00BE324C"/>
    <w:rsid w:val="00BE3271"/>
    <w:rsid w:val="00BE332B"/>
    <w:rsid w:val="00BE332F"/>
    <w:rsid w:val="00BE336D"/>
    <w:rsid w:val="00BE33F5"/>
    <w:rsid w:val="00BE340C"/>
    <w:rsid w:val="00BE3432"/>
    <w:rsid w:val="00BE3474"/>
    <w:rsid w:val="00BE347E"/>
    <w:rsid w:val="00BE34E9"/>
    <w:rsid w:val="00BE34F7"/>
    <w:rsid w:val="00BE3508"/>
    <w:rsid w:val="00BE3561"/>
    <w:rsid w:val="00BE357C"/>
    <w:rsid w:val="00BE3584"/>
    <w:rsid w:val="00BE35AA"/>
    <w:rsid w:val="00BE361B"/>
    <w:rsid w:val="00BE3651"/>
    <w:rsid w:val="00BE3660"/>
    <w:rsid w:val="00BE3687"/>
    <w:rsid w:val="00BE36AA"/>
    <w:rsid w:val="00BE36B2"/>
    <w:rsid w:val="00BE36E8"/>
    <w:rsid w:val="00BE3739"/>
    <w:rsid w:val="00BE3756"/>
    <w:rsid w:val="00BE382A"/>
    <w:rsid w:val="00BE3894"/>
    <w:rsid w:val="00BE38A2"/>
    <w:rsid w:val="00BE38CF"/>
    <w:rsid w:val="00BE3950"/>
    <w:rsid w:val="00BE3964"/>
    <w:rsid w:val="00BE3A1A"/>
    <w:rsid w:val="00BE3A77"/>
    <w:rsid w:val="00BE3A83"/>
    <w:rsid w:val="00BE3ACA"/>
    <w:rsid w:val="00BE3AFA"/>
    <w:rsid w:val="00BE3B9E"/>
    <w:rsid w:val="00BE3BCE"/>
    <w:rsid w:val="00BE3BDA"/>
    <w:rsid w:val="00BE3C5D"/>
    <w:rsid w:val="00BE3C69"/>
    <w:rsid w:val="00BE3C7A"/>
    <w:rsid w:val="00BE3C92"/>
    <w:rsid w:val="00BE3CDA"/>
    <w:rsid w:val="00BE3D06"/>
    <w:rsid w:val="00BE3D0B"/>
    <w:rsid w:val="00BE3D1A"/>
    <w:rsid w:val="00BE3D34"/>
    <w:rsid w:val="00BE3DB9"/>
    <w:rsid w:val="00BE3DDB"/>
    <w:rsid w:val="00BE3DEA"/>
    <w:rsid w:val="00BE3E26"/>
    <w:rsid w:val="00BE3E39"/>
    <w:rsid w:val="00BE3E57"/>
    <w:rsid w:val="00BE3E89"/>
    <w:rsid w:val="00BE3EA0"/>
    <w:rsid w:val="00BE3F1C"/>
    <w:rsid w:val="00BE3FDF"/>
    <w:rsid w:val="00BE4006"/>
    <w:rsid w:val="00BE401F"/>
    <w:rsid w:val="00BE40D3"/>
    <w:rsid w:val="00BE40FE"/>
    <w:rsid w:val="00BE40FF"/>
    <w:rsid w:val="00BE4180"/>
    <w:rsid w:val="00BE4190"/>
    <w:rsid w:val="00BE41C2"/>
    <w:rsid w:val="00BE41FA"/>
    <w:rsid w:val="00BE4256"/>
    <w:rsid w:val="00BE427A"/>
    <w:rsid w:val="00BE4283"/>
    <w:rsid w:val="00BE42CA"/>
    <w:rsid w:val="00BE42D6"/>
    <w:rsid w:val="00BE4317"/>
    <w:rsid w:val="00BE431F"/>
    <w:rsid w:val="00BE43A2"/>
    <w:rsid w:val="00BE43AB"/>
    <w:rsid w:val="00BE43CE"/>
    <w:rsid w:val="00BE4403"/>
    <w:rsid w:val="00BE443C"/>
    <w:rsid w:val="00BE4459"/>
    <w:rsid w:val="00BE445A"/>
    <w:rsid w:val="00BE4495"/>
    <w:rsid w:val="00BE4500"/>
    <w:rsid w:val="00BE4542"/>
    <w:rsid w:val="00BE4550"/>
    <w:rsid w:val="00BE4560"/>
    <w:rsid w:val="00BE4566"/>
    <w:rsid w:val="00BE4592"/>
    <w:rsid w:val="00BE45F2"/>
    <w:rsid w:val="00BE45F6"/>
    <w:rsid w:val="00BE461B"/>
    <w:rsid w:val="00BE4656"/>
    <w:rsid w:val="00BE468B"/>
    <w:rsid w:val="00BE46BF"/>
    <w:rsid w:val="00BE46D7"/>
    <w:rsid w:val="00BE46F8"/>
    <w:rsid w:val="00BE470E"/>
    <w:rsid w:val="00BE4716"/>
    <w:rsid w:val="00BE4731"/>
    <w:rsid w:val="00BE4761"/>
    <w:rsid w:val="00BE481D"/>
    <w:rsid w:val="00BE481E"/>
    <w:rsid w:val="00BE4847"/>
    <w:rsid w:val="00BE484C"/>
    <w:rsid w:val="00BE484E"/>
    <w:rsid w:val="00BE485A"/>
    <w:rsid w:val="00BE488B"/>
    <w:rsid w:val="00BE48DF"/>
    <w:rsid w:val="00BE48E4"/>
    <w:rsid w:val="00BE495A"/>
    <w:rsid w:val="00BE4995"/>
    <w:rsid w:val="00BE4997"/>
    <w:rsid w:val="00BE49B7"/>
    <w:rsid w:val="00BE49CC"/>
    <w:rsid w:val="00BE4A01"/>
    <w:rsid w:val="00BE4A2D"/>
    <w:rsid w:val="00BE4A36"/>
    <w:rsid w:val="00BE4A55"/>
    <w:rsid w:val="00BE4A5B"/>
    <w:rsid w:val="00BE4A61"/>
    <w:rsid w:val="00BE4ADF"/>
    <w:rsid w:val="00BE4B06"/>
    <w:rsid w:val="00BE4B4B"/>
    <w:rsid w:val="00BE4C50"/>
    <w:rsid w:val="00BE4C57"/>
    <w:rsid w:val="00BE4C75"/>
    <w:rsid w:val="00BE4C7B"/>
    <w:rsid w:val="00BE4CA1"/>
    <w:rsid w:val="00BE4D0A"/>
    <w:rsid w:val="00BE4D64"/>
    <w:rsid w:val="00BE4D6C"/>
    <w:rsid w:val="00BE4D78"/>
    <w:rsid w:val="00BE4EB3"/>
    <w:rsid w:val="00BE4EF5"/>
    <w:rsid w:val="00BE4F76"/>
    <w:rsid w:val="00BE4F87"/>
    <w:rsid w:val="00BE4F9E"/>
    <w:rsid w:val="00BE4FAD"/>
    <w:rsid w:val="00BE5042"/>
    <w:rsid w:val="00BE5190"/>
    <w:rsid w:val="00BE5243"/>
    <w:rsid w:val="00BE525E"/>
    <w:rsid w:val="00BE526E"/>
    <w:rsid w:val="00BE528A"/>
    <w:rsid w:val="00BE52D9"/>
    <w:rsid w:val="00BE52DC"/>
    <w:rsid w:val="00BE52E4"/>
    <w:rsid w:val="00BE5323"/>
    <w:rsid w:val="00BE5460"/>
    <w:rsid w:val="00BE54B4"/>
    <w:rsid w:val="00BE5502"/>
    <w:rsid w:val="00BE5517"/>
    <w:rsid w:val="00BE5521"/>
    <w:rsid w:val="00BE556A"/>
    <w:rsid w:val="00BE55CE"/>
    <w:rsid w:val="00BE55D5"/>
    <w:rsid w:val="00BE5677"/>
    <w:rsid w:val="00BE56B1"/>
    <w:rsid w:val="00BE56D2"/>
    <w:rsid w:val="00BE56E7"/>
    <w:rsid w:val="00BE56F6"/>
    <w:rsid w:val="00BE572E"/>
    <w:rsid w:val="00BE577D"/>
    <w:rsid w:val="00BE579E"/>
    <w:rsid w:val="00BE57BF"/>
    <w:rsid w:val="00BE57C0"/>
    <w:rsid w:val="00BE57E4"/>
    <w:rsid w:val="00BE5923"/>
    <w:rsid w:val="00BE59E4"/>
    <w:rsid w:val="00BE5A68"/>
    <w:rsid w:val="00BE5A82"/>
    <w:rsid w:val="00BE5A84"/>
    <w:rsid w:val="00BE5AC0"/>
    <w:rsid w:val="00BE5AC2"/>
    <w:rsid w:val="00BE5B19"/>
    <w:rsid w:val="00BE5B1A"/>
    <w:rsid w:val="00BE5B38"/>
    <w:rsid w:val="00BE5B56"/>
    <w:rsid w:val="00BE5B82"/>
    <w:rsid w:val="00BE5B88"/>
    <w:rsid w:val="00BE5BCD"/>
    <w:rsid w:val="00BE5BF9"/>
    <w:rsid w:val="00BE5C5B"/>
    <w:rsid w:val="00BE5C60"/>
    <w:rsid w:val="00BE5CA9"/>
    <w:rsid w:val="00BE5CE2"/>
    <w:rsid w:val="00BE5CFF"/>
    <w:rsid w:val="00BE5D00"/>
    <w:rsid w:val="00BE5D36"/>
    <w:rsid w:val="00BE5DA3"/>
    <w:rsid w:val="00BE5DB6"/>
    <w:rsid w:val="00BE5E13"/>
    <w:rsid w:val="00BE5E40"/>
    <w:rsid w:val="00BE5E44"/>
    <w:rsid w:val="00BE5EAA"/>
    <w:rsid w:val="00BE5EC4"/>
    <w:rsid w:val="00BE5EE1"/>
    <w:rsid w:val="00BE5F42"/>
    <w:rsid w:val="00BE5F62"/>
    <w:rsid w:val="00BE5FBE"/>
    <w:rsid w:val="00BE5FF4"/>
    <w:rsid w:val="00BE6023"/>
    <w:rsid w:val="00BE6035"/>
    <w:rsid w:val="00BE6076"/>
    <w:rsid w:val="00BE607E"/>
    <w:rsid w:val="00BE6085"/>
    <w:rsid w:val="00BE612F"/>
    <w:rsid w:val="00BE61D2"/>
    <w:rsid w:val="00BE61DA"/>
    <w:rsid w:val="00BE61DD"/>
    <w:rsid w:val="00BE6227"/>
    <w:rsid w:val="00BE6236"/>
    <w:rsid w:val="00BE6245"/>
    <w:rsid w:val="00BE6255"/>
    <w:rsid w:val="00BE62AE"/>
    <w:rsid w:val="00BE62C7"/>
    <w:rsid w:val="00BE636B"/>
    <w:rsid w:val="00BE639C"/>
    <w:rsid w:val="00BE63A9"/>
    <w:rsid w:val="00BE63B9"/>
    <w:rsid w:val="00BE641A"/>
    <w:rsid w:val="00BE6426"/>
    <w:rsid w:val="00BE6482"/>
    <w:rsid w:val="00BE64CC"/>
    <w:rsid w:val="00BE64D0"/>
    <w:rsid w:val="00BE64FD"/>
    <w:rsid w:val="00BE6571"/>
    <w:rsid w:val="00BE660F"/>
    <w:rsid w:val="00BE6618"/>
    <w:rsid w:val="00BE6619"/>
    <w:rsid w:val="00BE663F"/>
    <w:rsid w:val="00BE6662"/>
    <w:rsid w:val="00BE668E"/>
    <w:rsid w:val="00BE66D8"/>
    <w:rsid w:val="00BE672F"/>
    <w:rsid w:val="00BE6777"/>
    <w:rsid w:val="00BE680D"/>
    <w:rsid w:val="00BE6821"/>
    <w:rsid w:val="00BE684C"/>
    <w:rsid w:val="00BE687B"/>
    <w:rsid w:val="00BE689B"/>
    <w:rsid w:val="00BE68DE"/>
    <w:rsid w:val="00BE691C"/>
    <w:rsid w:val="00BE6966"/>
    <w:rsid w:val="00BE69CF"/>
    <w:rsid w:val="00BE69D1"/>
    <w:rsid w:val="00BE69E2"/>
    <w:rsid w:val="00BE6A3D"/>
    <w:rsid w:val="00BE6A55"/>
    <w:rsid w:val="00BE6AE8"/>
    <w:rsid w:val="00BE6AFE"/>
    <w:rsid w:val="00BE6B0C"/>
    <w:rsid w:val="00BE6B2A"/>
    <w:rsid w:val="00BE6B2D"/>
    <w:rsid w:val="00BE6B6A"/>
    <w:rsid w:val="00BE6C06"/>
    <w:rsid w:val="00BE6C08"/>
    <w:rsid w:val="00BE6C17"/>
    <w:rsid w:val="00BE6C22"/>
    <w:rsid w:val="00BE6C5D"/>
    <w:rsid w:val="00BE6C88"/>
    <w:rsid w:val="00BE6D1F"/>
    <w:rsid w:val="00BE6D49"/>
    <w:rsid w:val="00BE6D73"/>
    <w:rsid w:val="00BE6EAF"/>
    <w:rsid w:val="00BE6EFF"/>
    <w:rsid w:val="00BE6F32"/>
    <w:rsid w:val="00BE6F47"/>
    <w:rsid w:val="00BE6F51"/>
    <w:rsid w:val="00BE6F65"/>
    <w:rsid w:val="00BE6F6C"/>
    <w:rsid w:val="00BE6F89"/>
    <w:rsid w:val="00BE6FB1"/>
    <w:rsid w:val="00BE7015"/>
    <w:rsid w:val="00BE7076"/>
    <w:rsid w:val="00BE7077"/>
    <w:rsid w:val="00BE70D8"/>
    <w:rsid w:val="00BE7103"/>
    <w:rsid w:val="00BE7168"/>
    <w:rsid w:val="00BE71D0"/>
    <w:rsid w:val="00BE71D7"/>
    <w:rsid w:val="00BE71DB"/>
    <w:rsid w:val="00BE71FF"/>
    <w:rsid w:val="00BE729C"/>
    <w:rsid w:val="00BE72DF"/>
    <w:rsid w:val="00BE7302"/>
    <w:rsid w:val="00BE7342"/>
    <w:rsid w:val="00BE7390"/>
    <w:rsid w:val="00BE73B6"/>
    <w:rsid w:val="00BE73F6"/>
    <w:rsid w:val="00BE73FF"/>
    <w:rsid w:val="00BE743E"/>
    <w:rsid w:val="00BE746A"/>
    <w:rsid w:val="00BE747C"/>
    <w:rsid w:val="00BE7480"/>
    <w:rsid w:val="00BE74A3"/>
    <w:rsid w:val="00BE74C3"/>
    <w:rsid w:val="00BE74EF"/>
    <w:rsid w:val="00BE74F5"/>
    <w:rsid w:val="00BE74F7"/>
    <w:rsid w:val="00BE751C"/>
    <w:rsid w:val="00BE7555"/>
    <w:rsid w:val="00BE759E"/>
    <w:rsid w:val="00BE763D"/>
    <w:rsid w:val="00BE7641"/>
    <w:rsid w:val="00BE7646"/>
    <w:rsid w:val="00BE7669"/>
    <w:rsid w:val="00BE768C"/>
    <w:rsid w:val="00BE76D8"/>
    <w:rsid w:val="00BE7739"/>
    <w:rsid w:val="00BE782D"/>
    <w:rsid w:val="00BE787A"/>
    <w:rsid w:val="00BE7901"/>
    <w:rsid w:val="00BE7933"/>
    <w:rsid w:val="00BE793E"/>
    <w:rsid w:val="00BE7980"/>
    <w:rsid w:val="00BE79AB"/>
    <w:rsid w:val="00BE79BE"/>
    <w:rsid w:val="00BE79C5"/>
    <w:rsid w:val="00BE79F4"/>
    <w:rsid w:val="00BE7A36"/>
    <w:rsid w:val="00BE7A5E"/>
    <w:rsid w:val="00BE7A7E"/>
    <w:rsid w:val="00BE7AB9"/>
    <w:rsid w:val="00BE7ACF"/>
    <w:rsid w:val="00BE7B21"/>
    <w:rsid w:val="00BE7B85"/>
    <w:rsid w:val="00BE7BC6"/>
    <w:rsid w:val="00BE7BE0"/>
    <w:rsid w:val="00BE7BF7"/>
    <w:rsid w:val="00BE7C14"/>
    <w:rsid w:val="00BE7C1D"/>
    <w:rsid w:val="00BE7C3F"/>
    <w:rsid w:val="00BE7C65"/>
    <w:rsid w:val="00BE7C6D"/>
    <w:rsid w:val="00BE7CA6"/>
    <w:rsid w:val="00BE7CD7"/>
    <w:rsid w:val="00BE7CDC"/>
    <w:rsid w:val="00BE7CEC"/>
    <w:rsid w:val="00BE7D0F"/>
    <w:rsid w:val="00BE7D56"/>
    <w:rsid w:val="00BE7D5F"/>
    <w:rsid w:val="00BE7D85"/>
    <w:rsid w:val="00BE7D8D"/>
    <w:rsid w:val="00BE7DA1"/>
    <w:rsid w:val="00BE7DDA"/>
    <w:rsid w:val="00BE7DF2"/>
    <w:rsid w:val="00BE7E3D"/>
    <w:rsid w:val="00BE7E66"/>
    <w:rsid w:val="00BE7F8C"/>
    <w:rsid w:val="00BE7FCB"/>
    <w:rsid w:val="00BF0007"/>
    <w:rsid w:val="00BF002C"/>
    <w:rsid w:val="00BF0085"/>
    <w:rsid w:val="00BF00CE"/>
    <w:rsid w:val="00BF00E3"/>
    <w:rsid w:val="00BF0181"/>
    <w:rsid w:val="00BF01B4"/>
    <w:rsid w:val="00BF0205"/>
    <w:rsid w:val="00BF021C"/>
    <w:rsid w:val="00BF02E5"/>
    <w:rsid w:val="00BF031D"/>
    <w:rsid w:val="00BF033D"/>
    <w:rsid w:val="00BF035E"/>
    <w:rsid w:val="00BF0368"/>
    <w:rsid w:val="00BF03A1"/>
    <w:rsid w:val="00BF03A7"/>
    <w:rsid w:val="00BF03DB"/>
    <w:rsid w:val="00BF040A"/>
    <w:rsid w:val="00BF043E"/>
    <w:rsid w:val="00BF047B"/>
    <w:rsid w:val="00BF048B"/>
    <w:rsid w:val="00BF04B0"/>
    <w:rsid w:val="00BF04F1"/>
    <w:rsid w:val="00BF0548"/>
    <w:rsid w:val="00BF057E"/>
    <w:rsid w:val="00BF05B8"/>
    <w:rsid w:val="00BF05DD"/>
    <w:rsid w:val="00BF0601"/>
    <w:rsid w:val="00BF060C"/>
    <w:rsid w:val="00BF062F"/>
    <w:rsid w:val="00BF064C"/>
    <w:rsid w:val="00BF0695"/>
    <w:rsid w:val="00BF06B2"/>
    <w:rsid w:val="00BF0750"/>
    <w:rsid w:val="00BF075F"/>
    <w:rsid w:val="00BF0773"/>
    <w:rsid w:val="00BF077E"/>
    <w:rsid w:val="00BF07A4"/>
    <w:rsid w:val="00BF09C7"/>
    <w:rsid w:val="00BF09E3"/>
    <w:rsid w:val="00BF0B7D"/>
    <w:rsid w:val="00BF0BAB"/>
    <w:rsid w:val="00BF0BBC"/>
    <w:rsid w:val="00BF0C0B"/>
    <w:rsid w:val="00BF0C82"/>
    <w:rsid w:val="00BF0CF4"/>
    <w:rsid w:val="00BF0D60"/>
    <w:rsid w:val="00BF0D85"/>
    <w:rsid w:val="00BF0DD7"/>
    <w:rsid w:val="00BF0DEC"/>
    <w:rsid w:val="00BF0EC2"/>
    <w:rsid w:val="00BF0EDF"/>
    <w:rsid w:val="00BF0EEB"/>
    <w:rsid w:val="00BF0F24"/>
    <w:rsid w:val="00BF0F72"/>
    <w:rsid w:val="00BF0F8D"/>
    <w:rsid w:val="00BF0FEF"/>
    <w:rsid w:val="00BF100D"/>
    <w:rsid w:val="00BF1021"/>
    <w:rsid w:val="00BF1043"/>
    <w:rsid w:val="00BF1100"/>
    <w:rsid w:val="00BF1113"/>
    <w:rsid w:val="00BF111C"/>
    <w:rsid w:val="00BF1131"/>
    <w:rsid w:val="00BF113A"/>
    <w:rsid w:val="00BF116F"/>
    <w:rsid w:val="00BF117E"/>
    <w:rsid w:val="00BF118E"/>
    <w:rsid w:val="00BF11B2"/>
    <w:rsid w:val="00BF11C2"/>
    <w:rsid w:val="00BF125C"/>
    <w:rsid w:val="00BF1291"/>
    <w:rsid w:val="00BF12BE"/>
    <w:rsid w:val="00BF12E0"/>
    <w:rsid w:val="00BF137B"/>
    <w:rsid w:val="00BF1399"/>
    <w:rsid w:val="00BF13B7"/>
    <w:rsid w:val="00BF13CB"/>
    <w:rsid w:val="00BF1424"/>
    <w:rsid w:val="00BF147F"/>
    <w:rsid w:val="00BF14D5"/>
    <w:rsid w:val="00BF159C"/>
    <w:rsid w:val="00BF15AD"/>
    <w:rsid w:val="00BF15D8"/>
    <w:rsid w:val="00BF15E3"/>
    <w:rsid w:val="00BF1623"/>
    <w:rsid w:val="00BF1634"/>
    <w:rsid w:val="00BF1668"/>
    <w:rsid w:val="00BF167E"/>
    <w:rsid w:val="00BF1690"/>
    <w:rsid w:val="00BF1713"/>
    <w:rsid w:val="00BF175D"/>
    <w:rsid w:val="00BF1795"/>
    <w:rsid w:val="00BF1798"/>
    <w:rsid w:val="00BF17A4"/>
    <w:rsid w:val="00BF17B4"/>
    <w:rsid w:val="00BF17E6"/>
    <w:rsid w:val="00BF1866"/>
    <w:rsid w:val="00BF1888"/>
    <w:rsid w:val="00BF18A9"/>
    <w:rsid w:val="00BF18C5"/>
    <w:rsid w:val="00BF18F5"/>
    <w:rsid w:val="00BF190D"/>
    <w:rsid w:val="00BF192D"/>
    <w:rsid w:val="00BF1946"/>
    <w:rsid w:val="00BF194A"/>
    <w:rsid w:val="00BF195F"/>
    <w:rsid w:val="00BF1960"/>
    <w:rsid w:val="00BF1981"/>
    <w:rsid w:val="00BF19B4"/>
    <w:rsid w:val="00BF1A31"/>
    <w:rsid w:val="00BF1B6E"/>
    <w:rsid w:val="00BF1B8F"/>
    <w:rsid w:val="00BF1BB0"/>
    <w:rsid w:val="00BF1C5A"/>
    <w:rsid w:val="00BF1C90"/>
    <w:rsid w:val="00BF1D06"/>
    <w:rsid w:val="00BF1D15"/>
    <w:rsid w:val="00BF1D35"/>
    <w:rsid w:val="00BF1D55"/>
    <w:rsid w:val="00BF1D93"/>
    <w:rsid w:val="00BF1DEF"/>
    <w:rsid w:val="00BF1E2E"/>
    <w:rsid w:val="00BF1E70"/>
    <w:rsid w:val="00BF1ED3"/>
    <w:rsid w:val="00BF1F91"/>
    <w:rsid w:val="00BF1FA3"/>
    <w:rsid w:val="00BF1FAD"/>
    <w:rsid w:val="00BF1FB5"/>
    <w:rsid w:val="00BF201D"/>
    <w:rsid w:val="00BF2087"/>
    <w:rsid w:val="00BF20A6"/>
    <w:rsid w:val="00BF20AB"/>
    <w:rsid w:val="00BF20D5"/>
    <w:rsid w:val="00BF213E"/>
    <w:rsid w:val="00BF21B5"/>
    <w:rsid w:val="00BF21EE"/>
    <w:rsid w:val="00BF220E"/>
    <w:rsid w:val="00BF2229"/>
    <w:rsid w:val="00BF22A7"/>
    <w:rsid w:val="00BF22AF"/>
    <w:rsid w:val="00BF23D4"/>
    <w:rsid w:val="00BF23FB"/>
    <w:rsid w:val="00BF2411"/>
    <w:rsid w:val="00BF2468"/>
    <w:rsid w:val="00BF2471"/>
    <w:rsid w:val="00BF2476"/>
    <w:rsid w:val="00BF249E"/>
    <w:rsid w:val="00BF2555"/>
    <w:rsid w:val="00BF25A1"/>
    <w:rsid w:val="00BF25DD"/>
    <w:rsid w:val="00BF2609"/>
    <w:rsid w:val="00BF2696"/>
    <w:rsid w:val="00BF27BF"/>
    <w:rsid w:val="00BF27D3"/>
    <w:rsid w:val="00BF2882"/>
    <w:rsid w:val="00BF28AB"/>
    <w:rsid w:val="00BF28DF"/>
    <w:rsid w:val="00BF28F1"/>
    <w:rsid w:val="00BF2965"/>
    <w:rsid w:val="00BF29E6"/>
    <w:rsid w:val="00BF2A36"/>
    <w:rsid w:val="00BF2A8A"/>
    <w:rsid w:val="00BF2A9B"/>
    <w:rsid w:val="00BF2AF6"/>
    <w:rsid w:val="00BF2B0F"/>
    <w:rsid w:val="00BF2B41"/>
    <w:rsid w:val="00BF2B54"/>
    <w:rsid w:val="00BF2B6C"/>
    <w:rsid w:val="00BF2B89"/>
    <w:rsid w:val="00BF2C1E"/>
    <w:rsid w:val="00BF2CB5"/>
    <w:rsid w:val="00BF2CC3"/>
    <w:rsid w:val="00BF2D33"/>
    <w:rsid w:val="00BF2D7A"/>
    <w:rsid w:val="00BF2DA7"/>
    <w:rsid w:val="00BF2EB1"/>
    <w:rsid w:val="00BF2EC4"/>
    <w:rsid w:val="00BF2F26"/>
    <w:rsid w:val="00BF2F38"/>
    <w:rsid w:val="00BF3000"/>
    <w:rsid w:val="00BF3042"/>
    <w:rsid w:val="00BF3052"/>
    <w:rsid w:val="00BF30AD"/>
    <w:rsid w:val="00BF30C1"/>
    <w:rsid w:val="00BF30C8"/>
    <w:rsid w:val="00BF314E"/>
    <w:rsid w:val="00BF3161"/>
    <w:rsid w:val="00BF318F"/>
    <w:rsid w:val="00BF3192"/>
    <w:rsid w:val="00BF319E"/>
    <w:rsid w:val="00BF31CC"/>
    <w:rsid w:val="00BF31ED"/>
    <w:rsid w:val="00BF31F9"/>
    <w:rsid w:val="00BF320C"/>
    <w:rsid w:val="00BF326D"/>
    <w:rsid w:val="00BF3295"/>
    <w:rsid w:val="00BF329E"/>
    <w:rsid w:val="00BF32A4"/>
    <w:rsid w:val="00BF330A"/>
    <w:rsid w:val="00BF335B"/>
    <w:rsid w:val="00BF338A"/>
    <w:rsid w:val="00BF339F"/>
    <w:rsid w:val="00BF33B7"/>
    <w:rsid w:val="00BF33C8"/>
    <w:rsid w:val="00BF3459"/>
    <w:rsid w:val="00BF3489"/>
    <w:rsid w:val="00BF349E"/>
    <w:rsid w:val="00BF3544"/>
    <w:rsid w:val="00BF3556"/>
    <w:rsid w:val="00BF356B"/>
    <w:rsid w:val="00BF3581"/>
    <w:rsid w:val="00BF3584"/>
    <w:rsid w:val="00BF3597"/>
    <w:rsid w:val="00BF35D5"/>
    <w:rsid w:val="00BF361A"/>
    <w:rsid w:val="00BF3642"/>
    <w:rsid w:val="00BF36E7"/>
    <w:rsid w:val="00BF36EF"/>
    <w:rsid w:val="00BF372A"/>
    <w:rsid w:val="00BF3760"/>
    <w:rsid w:val="00BF3772"/>
    <w:rsid w:val="00BF377A"/>
    <w:rsid w:val="00BF3784"/>
    <w:rsid w:val="00BF37D6"/>
    <w:rsid w:val="00BF37E4"/>
    <w:rsid w:val="00BF37F1"/>
    <w:rsid w:val="00BF387D"/>
    <w:rsid w:val="00BF3938"/>
    <w:rsid w:val="00BF3A34"/>
    <w:rsid w:val="00BF3A59"/>
    <w:rsid w:val="00BF3A85"/>
    <w:rsid w:val="00BF3A9D"/>
    <w:rsid w:val="00BF3AA0"/>
    <w:rsid w:val="00BF3AEE"/>
    <w:rsid w:val="00BF3AFC"/>
    <w:rsid w:val="00BF3B12"/>
    <w:rsid w:val="00BF3B3B"/>
    <w:rsid w:val="00BF3B3E"/>
    <w:rsid w:val="00BF3B6A"/>
    <w:rsid w:val="00BF3B92"/>
    <w:rsid w:val="00BF3C46"/>
    <w:rsid w:val="00BF3C5D"/>
    <w:rsid w:val="00BF3C5F"/>
    <w:rsid w:val="00BF3C71"/>
    <w:rsid w:val="00BF3C90"/>
    <w:rsid w:val="00BF3CE6"/>
    <w:rsid w:val="00BF3D56"/>
    <w:rsid w:val="00BF3D95"/>
    <w:rsid w:val="00BF3DBD"/>
    <w:rsid w:val="00BF3DCC"/>
    <w:rsid w:val="00BF3E04"/>
    <w:rsid w:val="00BF3E38"/>
    <w:rsid w:val="00BF3E62"/>
    <w:rsid w:val="00BF3E70"/>
    <w:rsid w:val="00BF3E9A"/>
    <w:rsid w:val="00BF3E9C"/>
    <w:rsid w:val="00BF3EA6"/>
    <w:rsid w:val="00BF3EE0"/>
    <w:rsid w:val="00BF3EF9"/>
    <w:rsid w:val="00BF3F0D"/>
    <w:rsid w:val="00BF3F7F"/>
    <w:rsid w:val="00BF3FB0"/>
    <w:rsid w:val="00BF3FE4"/>
    <w:rsid w:val="00BF4018"/>
    <w:rsid w:val="00BF4031"/>
    <w:rsid w:val="00BF403D"/>
    <w:rsid w:val="00BF4094"/>
    <w:rsid w:val="00BF40BE"/>
    <w:rsid w:val="00BF40E3"/>
    <w:rsid w:val="00BF4107"/>
    <w:rsid w:val="00BF4108"/>
    <w:rsid w:val="00BF4109"/>
    <w:rsid w:val="00BF4118"/>
    <w:rsid w:val="00BF4125"/>
    <w:rsid w:val="00BF414C"/>
    <w:rsid w:val="00BF416C"/>
    <w:rsid w:val="00BF41B3"/>
    <w:rsid w:val="00BF41F8"/>
    <w:rsid w:val="00BF4221"/>
    <w:rsid w:val="00BF4266"/>
    <w:rsid w:val="00BF4267"/>
    <w:rsid w:val="00BF4275"/>
    <w:rsid w:val="00BF428B"/>
    <w:rsid w:val="00BF43D7"/>
    <w:rsid w:val="00BF4429"/>
    <w:rsid w:val="00BF445B"/>
    <w:rsid w:val="00BF4472"/>
    <w:rsid w:val="00BF44FF"/>
    <w:rsid w:val="00BF4517"/>
    <w:rsid w:val="00BF4520"/>
    <w:rsid w:val="00BF457D"/>
    <w:rsid w:val="00BF457E"/>
    <w:rsid w:val="00BF45FA"/>
    <w:rsid w:val="00BF463E"/>
    <w:rsid w:val="00BF4658"/>
    <w:rsid w:val="00BF46BA"/>
    <w:rsid w:val="00BF46E5"/>
    <w:rsid w:val="00BF46F0"/>
    <w:rsid w:val="00BF470D"/>
    <w:rsid w:val="00BF47C7"/>
    <w:rsid w:val="00BF47DD"/>
    <w:rsid w:val="00BF4810"/>
    <w:rsid w:val="00BF48C3"/>
    <w:rsid w:val="00BF490D"/>
    <w:rsid w:val="00BF4932"/>
    <w:rsid w:val="00BF4934"/>
    <w:rsid w:val="00BF4A1A"/>
    <w:rsid w:val="00BF4A67"/>
    <w:rsid w:val="00BF4A68"/>
    <w:rsid w:val="00BF4AE3"/>
    <w:rsid w:val="00BF4B0E"/>
    <w:rsid w:val="00BF4B1F"/>
    <w:rsid w:val="00BF4B69"/>
    <w:rsid w:val="00BF4B86"/>
    <w:rsid w:val="00BF4C06"/>
    <w:rsid w:val="00BF4C0F"/>
    <w:rsid w:val="00BF4CD7"/>
    <w:rsid w:val="00BF4CDC"/>
    <w:rsid w:val="00BF4CF4"/>
    <w:rsid w:val="00BF4D4C"/>
    <w:rsid w:val="00BF4D5B"/>
    <w:rsid w:val="00BF4D67"/>
    <w:rsid w:val="00BF4D89"/>
    <w:rsid w:val="00BF4D9C"/>
    <w:rsid w:val="00BF4DD2"/>
    <w:rsid w:val="00BF4E45"/>
    <w:rsid w:val="00BF4E65"/>
    <w:rsid w:val="00BF4E71"/>
    <w:rsid w:val="00BF4F11"/>
    <w:rsid w:val="00BF4F1D"/>
    <w:rsid w:val="00BF4F3A"/>
    <w:rsid w:val="00BF4F9C"/>
    <w:rsid w:val="00BF4FA7"/>
    <w:rsid w:val="00BF4FB1"/>
    <w:rsid w:val="00BF4FB4"/>
    <w:rsid w:val="00BF4FE5"/>
    <w:rsid w:val="00BF5144"/>
    <w:rsid w:val="00BF5231"/>
    <w:rsid w:val="00BF524E"/>
    <w:rsid w:val="00BF5270"/>
    <w:rsid w:val="00BF528A"/>
    <w:rsid w:val="00BF52B9"/>
    <w:rsid w:val="00BF52BA"/>
    <w:rsid w:val="00BF5329"/>
    <w:rsid w:val="00BF5386"/>
    <w:rsid w:val="00BF53BB"/>
    <w:rsid w:val="00BF53CE"/>
    <w:rsid w:val="00BF541E"/>
    <w:rsid w:val="00BF541F"/>
    <w:rsid w:val="00BF5431"/>
    <w:rsid w:val="00BF5455"/>
    <w:rsid w:val="00BF547D"/>
    <w:rsid w:val="00BF5482"/>
    <w:rsid w:val="00BF54B4"/>
    <w:rsid w:val="00BF54F1"/>
    <w:rsid w:val="00BF554A"/>
    <w:rsid w:val="00BF557B"/>
    <w:rsid w:val="00BF55A7"/>
    <w:rsid w:val="00BF55ED"/>
    <w:rsid w:val="00BF55F8"/>
    <w:rsid w:val="00BF56B5"/>
    <w:rsid w:val="00BF576F"/>
    <w:rsid w:val="00BF57B0"/>
    <w:rsid w:val="00BF57CD"/>
    <w:rsid w:val="00BF57FC"/>
    <w:rsid w:val="00BF5804"/>
    <w:rsid w:val="00BF5811"/>
    <w:rsid w:val="00BF5843"/>
    <w:rsid w:val="00BF585E"/>
    <w:rsid w:val="00BF5886"/>
    <w:rsid w:val="00BF589D"/>
    <w:rsid w:val="00BF589F"/>
    <w:rsid w:val="00BF58B7"/>
    <w:rsid w:val="00BF58B8"/>
    <w:rsid w:val="00BF5930"/>
    <w:rsid w:val="00BF595B"/>
    <w:rsid w:val="00BF5963"/>
    <w:rsid w:val="00BF5971"/>
    <w:rsid w:val="00BF5977"/>
    <w:rsid w:val="00BF5994"/>
    <w:rsid w:val="00BF59D6"/>
    <w:rsid w:val="00BF5A0B"/>
    <w:rsid w:val="00BF5B32"/>
    <w:rsid w:val="00BF5B54"/>
    <w:rsid w:val="00BF5B83"/>
    <w:rsid w:val="00BF5BBC"/>
    <w:rsid w:val="00BF5BE9"/>
    <w:rsid w:val="00BF5BF3"/>
    <w:rsid w:val="00BF5CA4"/>
    <w:rsid w:val="00BF5CA5"/>
    <w:rsid w:val="00BF5CAE"/>
    <w:rsid w:val="00BF5CB3"/>
    <w:rsid w:val="00BF5CF7"/>
    <w:rsid w:val="00BF5D37"/>
    <w:rsid w:val="00BF5D4D"/>
    <w:rsid w:val="00BF5D59"/>
    <w:rsid w:val="00BF5D60"/>
    <w:rsid w:val="00BF5D81"/>
    <w:rsid w:val="00BF5DD2"/>
    <w:rsid w:val="00BF5DD4"/>
    <w:rsid w:val="00BF5E02"/>
    <w:rsid w:val="00BF5E90"/>
    <w:rsid w:val="00BF5F56"/>
    <w:rsid w:val="00BF5F88"/>
    <w:rsid w:val="00BF5F9F"/>
    <w:rsid w:val="00BF5FEF"/>
    <w:rsid w:val="00BF6025"/>
    <w:rsid w:val="00BF6026"/>
    <w:rsid w:val="00BF6029"/>
    <w:rsid w:val="00BF6087"/>
    <w:rsid w:val="00BF609F"/>
    <w:rsid w:val="00BF60C0"/>
    <w:rsid w:val="00BF6101"/>
    <w:rsid w:val="00BF610F"/>
    <w:rsid w:val="00BF6115"/>
    <w:rsid w:val="00BF613F"/>
    <w:rsid w:val="00BF6209"/>
    <w:rsid w:val="00BF621C"/>
    <w:rsid w:val="00BF623D"/>
    <w:rsid w:val="00BF6272"/>
    <w:rsid w:val="00BF634C"/>
    <w:rsid w:val="00BF6387"/>
    <w:rsid w:val="00BF63B7"/>
    <w:rsid w:val="00BF63F0"/>
    <w:rsid w:val="00BF6415"/>
    <w:rsid w:val="00BF641B"/>
    <w:rsid w:val="00BF64B0"/>
    <w:rsid w:val="00BF654B"/>
    <w:rsid w:val="00BF65D4"/>
    <w:rsid w:val="00BF6642"/>
    <w:rsid w:val="00BF6656"/>
    <w:rsid w:val="00BF6683"/>
    <w:rsid w:val="00BF669D"/>
    <w:rsid w:val="00BF66C3"/>
    <w:rsid w:val="00BF66DE"/>
    <w:rsid w:val="00BF6716"/>
    <w:rsid w:val="00BF676D"/>
    <w:rsid w:val="00BF67A0"/>
    <w:rsid w:val="00BF67A3"/>
    <w:rsid w:val="00BF67D9"/>
    <w:rsid w:val="00BF689C"/>
    <w:rsid w:val="00BF68C5"/>
    <w:rsid w:val="00BF68D8"/>
    <w:rsid w:val="00BF6969"/>
    <w:rsid w:val="00BF6982"/>
    <w:rsid w:val="00BF69DB"/>
    <w:rsid w:val="00BF69FB"/>
    <w:rsid w:val="00BF6A14"/>
    <w:rsid w:val="00BF6AEA"/>
    <w:rsid w:val="00BF6AEE"/>
    <w:rsid w:val="00BF6B44"/>
    <w:rsid w:val="00BF6B6F"/>
    <w:rsid w:val="00BF6BA9"/>
    <w:rsid w:val="00BF6BCE"/>
    <w:rsid w:val="00BF6C04"/>
    <w:rsid w:val="00BF6CA5"/>
    <w:rsid w:val="00BF6D03"/>
    <w:rsid w:val="00BF6D06"/>
    <w:rsid w:val="00BF6D2E"/>
    <w:rsid w:val="00BF6E58"/>
    <w:rsid w:val="00BF6E5B"/>
    <w:rsid w:val="00BF6EC3"/>
    <w:rsid w:val="00BF6F0A"/>
    <w:rsid w:val="00BF6F35"/>
    <w:rsid w:val="00BF6F4E"/>
    <w:rsid w:val="00BF6F8D"/>
    <w:rsid w:val="00BF6F9C"/>
    <w:rsid w:val="00BF6FD0"/>
    <w:rsid w:val="00BF6FE2"/>
    <w:rsid w:val="00BF6FF0"/>
    <w:rsid w:val="00BF6FF1"/>
    <w:rsid w:val="00BF6FFE"/>
    <w:rsid w:val="00BF7084"/>
    <w:rsid w:val="00BF70CD"/>
    <w:rsid w:val="00BF7142"/>
    <w:rsid w:val="00BF717A"/>
    <w:rsid w:val="00BF7186"/>
    <w:rsid w:val="00BF71D9"/>
    <w:rsid w:val="00BF71E6"/>
    <w:rsid w:val="00BF71E8"/>
    <w:rsid w:val="00BF7200"/>
    <w:rsid w:val="00BF7223"/>
    <w:rsid w:val="00BF728E"/>
    <w:rsid w:val="00BF7290"/>
    <w:rsid w:val="00BF72AD"/>
    <w:rsid w:val="00BF730C"/>
    <w:rsid w:val="00BF7396"/>
    <w:rsid w:val="00BF739B"/>
    <w:rsid w:val="00BF73D2"/>
    <w:rsid w:val="00BF73EE"/>
    <w:rsid w:val="00BF740F"/>
    <w:rsid w:val="00BF7416"/>
    <w:rsid w:val="00BF7420"/>
    <w:rsid w:val="00BF7459"/>
    <w:rsid w:val="00BF7483"/>
    <w:rsid w:val="00BF74B2"/>
    <w:rsid w:val="00BF74C1"/>
    <w:rsid w:val="00BF751D"/>
    <w:rsid w:val="00BF751E"/>
    <w:rsid w:val="00BF7530"/>
    <w:rsid w:val="00BF7563"/>
    <w:rsid w:val="00BF7637"/>
    <w:rsid w:val="00BF764F"/>
    <w:rsid w:val="00BF767E"/>
    <w:rsid w:val="00BF7684"/>
    <w:rsid w:val="00BF76F3"/>
    <w:rsid w:val="00BF76FB"/>
    <w:rsid w:val="00BF7734"/>
    <w:rsid w:val="00BF7740"/>
    <w:rsid w:val="00BF7790"/>
    <w:rsid w:val="00BF77CC"/>
    <w:rsid w:val="00BF77F2"/>
    <w:rsid w:val="00BF7833"/>
    <w:rsid w:val="00BF785E"/>
    <w:rsid w:val="00BF78C3"/>
    <w:rsid w:val="00BF78C4"/>
    <w:rsid w:val="00BF78CC"/>
    <w:rsid w:val="00BF7921"/>
    <w:rsid w:val="00BF7950"/>
    <w:rsid w:val="00BF79A8"/>
    <w:rsid w:val="00BF79B5"/>
    <w:rsid w:val="00BF79CE"/>
    <w:rsid w:val="00BF79D0"/>
    <w:rsid w:val="00BF79E6"/>
    <w:rsid w:val="00BF79EC"/>
    <w:rsid w:val="00BF79F4"/>
    <w:rsid w:val="00BF7A40"/>
    <w:rsid w:val="00BF7ABD"/>
    <w:rsid w:val="00BF7ADF"/>
    <w:rsid w:val="00BF7B0D"/>
    <w:rsid w:val="00BF7B0F"/>
    <w:rsid w:val="00BF7B47"/>
    <w:rsid w:val="00BF7B55"/>
    <w:rsid w:val="00BF7B68"/>
    <w:rsid w:val="00BF7BD4"/>
    <w:rsid w:val="00BF7C21"/>
    <w:rsid w:val="00BF7C37"/>
    <w:rsid w:val="00BF7C4F"/>
    <w:rsid w:val="00BF7C6E"/>
    <w:rsid w:val="00BF7C97"/>
    <w:rsid w:val="00BF7CB9"/>
    <w:rsid w:val="00BF7CFB"/>
    <w:rsid w:val="00BF7CFD"/>
    <w:rsid w:val="00BF7D68"/>
    <w:rsid w:val="00BF7DAA"/>
    <w:rsid w:val="00BF7DB5"/>
    <w:rsid w:val="00BF7DD7"/>
    <w:rsid w:val="00BF7E80"/>
    <w:rsid w:val="00BF7EA5"/>
    <w:rsid w:val="00BF7F7A"/>
    <w:rsid w:val="00BF7F8C"/>
    <w:rsid w:val="00BF7FA0"/>
    <w:rsid w:val="00BF7FC7"/>
    <w:rsid w:val="00BF7FCA"/>
    <w:rsid w:val="00BF7FF1"/>
    <w:rsid w:val="00C00057"/>
    <w:rsid w:val="00C0006C"/>
    <w:rsid w:val="00C000A5"/>
    <w:rsid w:val="00C001A3"/>
    <w:rsid w:val="00C001AC"/>
    <w:rsid w:val="00C001D8"/>
    <w:rsid w:val="00C001E6"/>
    <w:rsid w:val="00C001F3"/>
    <w:rsid w:val="00C00236"/>
    <w:rsid w:val="00C0023B"/>
    <w:rsid w:val="00C00284"/>
    <w:rsid w:val="00C00289"/>
    <w:rsid w:val="00C002A0"/>
    <w:rsid w:val="00C002A5"/>
    <w:rsid w:val="00C002AD"/>
    <w:rsid w:val="00C002AF"/>
    <w:rsid w:val="00C002DB"/>
    <w:rsid w:val="00C002DC"/>
    <w:rsid w:val="00C0035C"/>
    <w:rsid w:val="00C0038C"/>
    <w:rsid w:val="00C0038D"/>
    <w:rsid w:val="00C003AD"/>
    <w:rsid w:val="00C003CF"/>
    <w:rsid w:val="00C0044C"/>
    <w:rsid w:val="00C00450"/>
    <w:rsid w:val="00C00477"/>
    <w:rsid w:val="00C00482"/>
    <w:rsid w:val="00C00486"/>
    <w:rsid w:val="00C004AE"/>
    <w:rsid w:val="00C00520"/>
    <w:rsid w:val="00C00524"/>
    <w:rsid w:val="00C005B2"/>
    <w:rsid w:val="00C005D7"/>
    <w:rsid w:val="00C005D8"/>
    <w:rsid w:val="00C005EF"/>
    <w:rsid w:val="00C00643"/>
    <w:rsid w:val="00C00654"/>
    <w:rsid w:val="00C00683"/>
    <w:rsid w:val="00C006F4"/>
    <w:rsid w:val="00C00735"/>
    <w:rsid w:val="00C007B9"/>
    <w:rsid w:val="00C007DF"/>
    <w:rsid w:val="00C008D1"/>
    <w:rsid w:val="00C008DA"/>
    <w:rsid w:val="00C0099E"/>
    <w:rsid w:val="00C009DE"/>
    <w:rsid w:val="00C009F5"/>
    <w:rsid w:val="00C00A18"/>
    <w:rsid w:val="00C00A22"/>
    <w:rsid w:val="00C00A71"/>
    <w:rsid w:val="00C00ACE"/>
    <w:rsid w:val="00C00AFE"/>
    <w:rsid w:val="00C00B58"/>
    <w:rsid w:val="00C00BAC"/>
    <w:rsid w:val="00C00BD6"/>
    <w:rsid w:val="00C00C66"/>
    <w:rsid w:val="00C00C75"/>
    <w:rsid w:val="00C00D2B"/>
    <w:rsid w:val="00C00D31"/>
    <w:rsid w:val="00C00D68"/>
    <w:rsid w:val="00C00D98"/>
    <w:rsid w:val="00C00DB4"/>
    <w:rsid w:val="00C00DBA"/>
    <w:rsid w:val="00C00DCC"/>
    <w:rsid w:val="00C00E39"/>
    <w:rsid w:val="00C00E41"/>
    <w:rsid w:val="00C00F06"/>
    <w:rsid w:val="00C00F16"/>
    <w:rsid w:val="00C00F1A"/>
    <w:rsid w:val="00C00F65"/>
    <w:rsid w:val="00C00F6D"/>
    <w:rsid w:val="00C00F79"/>
    <w:rsid w:val="00C00F98"/>
    <w:rsid w:val="00C00FC8"/>
    <w:rsid w:val="00C01023"/>
    <w:rsid w:val="00C01064"/>
    <w:rsid w:val="00C010A0"/>
    <w:rsid w:val="00C010AD"/>
    <w:rsid w:val="00C010E2"/>
    <w:rsid w:val="00C0110C"/>
    <w:rsid w:val="00C0117C"/>
    <w:rsid w:val="00C01187"/>
    <w:rsid w:val="00C01193"/>
    <w:rsid w:val="00C011CF"/>
    <w:rsid w:val="00C011DE"/>
    <w:rsid w:val="00C01205"/>
    <w:rsid w:val="00C01230"/>
    <w:rsid w:val="00C01267"/>
    <w:rsid w:val="00C0129D"/>
    <w:rsid w:val="00C012AC"/>
    <w:rsid w:val="00C012DC"/>
    <w:rsid w:val="00C01313"/>
    <w:rsid w:val="00C01331"/>
    <w:rsid w:val="00C01347"/>
    <w:rsid w:val="00C01351"/>
    <w:rsid w:val="00C0137F"/>
    <w:rsid w:val="00C013B0"/>
    <w:rsid w:val="00C01451"/>
    <w:rsid w:val="00C0148D"/>
    <w:rsid w:val="00C01499"/>
    <w:rsid w:val="00C014D6"/>
    <w:rsid w:val="00C014E5"/>
    <w:rsid w:val="00C01507"/>
    <w:rsid w:val="00C0151C"/>
    <w:rsid w:val="00C0151F"/>
    <w:rsid w:val="00C01577"/>
    <w:rsid w:val="00C015A0"/>
    <w:rsid w:val="00C015C1"/>
    <w:rsid w:val="00C015C7"/>
    <w:rsid w:val="00C01650"/>
    <w:rsid w:val="00C01651"/>
    <w:rsid w:val="00C016B3"/>
    <w:rsid w:val="00C016D0"/>
    <w:rsid w:val="00C016F2"/>
    <w:rsid w:val="00C0170A"/>
    <w:rsid w:val="00C01732"/>
    <w:rsid w:val="00C017D0"/>
    <w:rsid w:val="00C01801"/>
    <w:rsid w:val="00C0181D"/>
    <w:rsid w:val="00C01854"/>
    <w:rsid w:val="00C01872"/>
    <w:rsid w:val="00C018AE"/>
    <w:rsid w:val="00C018B3"/>
    <w:rsid w:val="00C0190F"/>
    <w:rsid w:val="00C01956"/>
    <w:rsid w:val="00C01A0A"/>
    <w:rsid w:val="00C01A96"/>
    <w:rsid w:val="00C01AB8"/>
    <w:rsid w:val="00C01B09"/>
    <w:rsid w:val="00C01B0D"/>
    <w:rsid w:val="00C01B43"/>
    <w:rsid w:val="00C01B44"/>
    <w:rsid w:val="00C01BB2"/>
    <w:rsid w:val="00C01BBA"/>
    <w:rsid w:val="00C01BC2"/>
    <w:rsid w:val="00C01BD5"/>
    <w:rsid w:val="00C01BDA"/>
    <w:rsid w:val="00C01BFB"/>
    <w:rsid w:val="00C01C0E"/>
    <w:rsid w:val="00C01C3D"/>
    <w:rsid w:val="00C01CEA"/>
    <w:rsid w:val="00C01D32"/>
    <w:rsid w:val="00C01D33"/>
    <w:rsid w:val="00C01D3A"/>
    <w:rsid w:val="00C01D59"/>
    <w:rsid w:val="00C01D5A"/>
    <w:rsid w:val="00C01D84"/>
    <w:rsid w:val="00C01DC1"/>
    <w:rsid w:val="00C01DC7"/>
    <w:rsid w:val="00C01E1C"/>
    <w:rsid w:val="00C01E2B"/>
    <w:rsid w:val="00C01EAB"/>
    <w:rsid w:val="00C01EFA"/>
    <w:rsid w:val="00C01FDF"/>
    <w:rsid w:val="00C02012"/>
    <w:rsid w:val="00C0203D"/>
    <w:rsid w:val="00C02057"/>
    <w:rsid w:val="00C020F3"/>
    <w:rsid w:val="00C02182"/>
    <w:rsid w:val="00C02233"/>
    <w:rsid w:val="00C02263"/>
    <w:rsid w:val="00C02294"/>
    <w:rsid w:val="00C022B0"/>
    <w:rsid w:val="00C022FC"/>
    <w:rsid w:val="00C02323"/>
    <w:rsid w:val="00C02384"/>
    <w:rsid w:val="00C0239E"/>
    <w:rsid w:val="00C023A2"/>
    <w:rsid w:val="00C023BA"/>
    <w:rsid w:val="00C02401"/>
    <w:rsid w:val="00C02408"/>
    <w:rsid w:val="00C02439"/>
    <w:rsid w:val="00C02449"/>
    <w:rsid w:val="00C0244E"/>
    <w:rsid w:val="00C024C2"/>
    <w:rsid w:val="00C024C4"/>
    <w:rsid w:val="00C024FA"/>
    <w:rsid w:val="00C02544"/>
    <w:rsid w:val="00C025A4"/>
    <w:rsid w:val="00C0268F"/>
    <w:rsid w:val="00C026BB"/>
    <w:rsid w:val="00C026EB"/>
    <w:rsid w:val="00C0273E"/>
    <w:rsid w:val="00C027EF"/>
    <w:rsid w:val="00C0280C"/>
    <w:rsid w:val="00C0280E"/>
    <w:rsid w:val="00C02846"/>
    <w:rsid w:val="00C0284D"/>
    <w:rsid w:val="00C0285C"/>
    <w:rsid w:val="00C0287C"/>
    <w:rsid w:val="00C0288C"/>
    <w:rsid w:val="00C028F6"/>
    <w:rsid w:val="00C0291C"/>
    <w:rsid w:val="00C02935"/>
    <w:rsid w:val="00C0293C"/>
    <w:rsid w:val="00C02969"/>
    <w:rsid w:val="00C02990"/>
    <w:rsid w:val="00C029A4"/>
    <w:rsid w:val="00C029D0"/>
    <w:rsid w:val="00C02A70"/>
    <w:rsid w:val="00C02A94"/>
    <w:rsid w:val="00C02AA0"/>
    <w:rsid w:val="00C02ADA"/>
    <w:rsid w:val="00C02B0C"/>
    <w:rsid w:val="00C02B37"/>
    <w:rsid w:val="00C02B55"/>
    <w:rsid w:val="00C02B68"/>
    <w:rsid w:val="00C02B98"/>
    <w:rsid w:val="00C02B9A"/>
    <w:rsid w:val="00C02BD4"/>
    <w:rsid w:val="00C02C7D"/>
    <w:rsid w:val="00C02CC5"/>
    <w:rsid w:val="00C02CE0"/>
    <w:rsid w:val="00C02D2B"/>
    <w:rsid w:val="00C02D75"/>
    <w:rsid w:val="00C02D92"/>
    <w:rsid w:val="00C02DB0"/>
    <w:rsid w:val="00C02DC6"/>
    <w:rsid w:val="00C02DF0"/>
    <w:rsid w:val="00C02E45"/>
    <w:rsid w:val="00C02E4A"/>
    <w:rsid w:val="00C02E68"/>
    <w:rsid w:val="00C02E72"/>
    <w:rsid w:val="00C02E85"/>
    <w:rsid w:val="00C02E90"/>
    <w:rsid w:val="00C02E97"/>
    <w:rsid w:val="00C02EC2"/>
    <w:rsid w:val="00C02EF9"/>
    <w:rsid w:val="00C02F0C"/>
    <w:rsid w:val="00C02F16"/>
    <w:rsid w:val="00C02FC3"/>
    <w:rsid w:val="00C03002"/>
    <w:rsid w:val="00C03028"/>
    <w:rsid w:val="00C03060"/>
    <w:rsid w:val="00C0309B"/>
    <w:rsid w:val="00C030AE"/>
    <w:rsid w:val="00C0312F"/>
    <w:rsid w:val="00C0317D"/>
    <w:rsid w:val="00C031A1"/>
    <w:rsid w:val="00C031A7"/>
    <w:rsid w:val="00C031F9"/>
    <w:rsid w:val="00C03218"/>
    <w:rsid w:val="00C0324A"/>
    <w:rsid w:val="00C032E4"/>
    <w:rsid w:val="00C03321"/>
    <w:rsid w:val="00C0335E"/>
    <w:rsid w:val="00C033CD"/>
    <w:rsid w:val="00C03409"/>
    <w:rsid w:val="00C03414"/>
    <w:rsid w:val="00C034A4"/>
    <w:rsid w:val="00C034D1"/>
    <w:rsid w:val="00C03570"/>
    <w:rsid w:val="00C03574"/>
    <w:rsid w:val="00C03630"/>
    <w:rsid w:val="00C03640"/>
    <w:rsid w:val="00C0368E"/>
    <w:rsid w:val="00C036E4"/>
    <w:rsid w:val="00C036F9"/>
    <w:rsid w:val="00C0380C"/>
    <w:rsid w:val="00C0390B"/>
    <w:rsid w:val="00C03934"/>
    <w:rsid w:val="00C03952"/>
    <w:rsid w:val="00C03964"/>
    <w:rsid w:val="00C03979"/>
    <w:rsid w:val="00C03987"/>
    <w:rsid w:val="00C039C3"/>
    <w:rsid w:val="00C039DD"/>
    <w:rsid w:val="00C03A78"/>
    <w:rsid w:val="00C03A85"/>
    <w:rsid w:val="00C03A88"/>
    <w:rsid w:val="00C03A97"/>
    <w:rsid w:val="00C03ACD"/>
    <w:rsid w:val="00C03AE6"/>
    <w:rsid w:val="00C03AE7"/>
    <w:rsid w:val="00C03B13"/>
    <w:rsid w:val="00C03B38"/>
    <w:rsid w:val="00C03BC4"/>
    <w:rsid w:val="00C03BE8"/>
    <w:rsid w:val="00C03C07"/>
    <w:rsid w:val="00C03C1D"/>
    <w:rsid w:val="00C03C23"/>
    <w:rsid w:val="00C03CE2"/>
    <w:rsid w:val="00C03D38"/>
    <w:rsid w:val="00C03D91"/>
    <w:rsid w:val="00C03D9B"/>
    <w:rsid w:val="00C03DAB"/>
    <w:rsid w:val="00C03E45"/>
    <w:rsid w:val="00C03E92"/>
    <w:rsid w:val="00C03EA3"/>
    <w:rsid w:val="00C03EB7"/>
    <w:rsid w:val="00C03EB8"/>
    <w:rsid w:val="00C03EBE"/>
    <w:rsid w:val="00C03EEA"/>
    <w:rsid w:val="00C03F38"/>
    <w:rsid w:val="00C03FC2"/>
    <w:rsid w:val="00C03FED"/>
    <w:rsid w:val="00C04000"/>
    <w:rsid w:val="00C04031"/>
    <w:rsid w:val="00C04036"/>
    <w:rsid w:val="00C04091"/>
    <w:rsid w:val="00C0409B"/>
    <w:rsid w:val="00C040B2"/>
    <w:rsid w:val="00C0413D"/>
    <w:rsid w:val="00C04144"/>
    <w:rsid w:val="00C04151"/>
    <w:rsid w:val="00C04193"/>
    <w:rsid w:val="00C041B2"/>
    <w:rsid w:val="00C041FD"/>
    <w:rsid w:val="00C04214"/>
    <w:rsid w:val="00C04222"/>
    <w:rsid w:val="00C04245"/>
    <w:rsid w:val="00C0426E"/>
    <w:rsid w:val="00C042B5"/>
    <w:rsid w:val="00C042D1"/>
    <w:rsid w:val="00C0437B"/>
    <w:rsid w:val="00C043A8"/>
    <w:rsid w:val="00C043B1"/>
    <w:rsid w:val="00C043CF"/>
    <w:rsid w:val="00C043F3"/>
    <w:rsid w:val="00C043FE"/>
    <w:rsid w:val="00C04490"/>
    <w:rsid w:val="00C04525"/>
    <w:rsid w:val="00C0455D"/>
    <w:rsid w:val="00C04562"/>
    <w:rsid w:val="00C045E2"/>
    <w:rsid w:val="00C04638"/>
    <w:rsid w:val="00C04671"/>
    <w:rsid w:val="00C04674"/>
    <w:rsid w:val="00C04678"/>
    <w:rsid w:val="00C046D1"/>
    <w:rsid w:val="00C04704"/>
    <w:rsid w:val="00C04736"/>
    <w:rsid w:val="00C04773"/>
    <w:rsid w:val="00C047C1"/>
    <w:rsid w:val="00C0480E"/>
    <w:rsid w:val="00C04815"/>
    <w:rsid w:val="00C04818"/>
    <w:rsid w:val="00C0482C"/>
    <w:rsid w:val="00C04847"/>
    <w:rsid w:val="00C04853"/>
    <w:rsid w:val="00C04867"/>
    <w:rsid w:val="00C048B8"/>
    <w:rsid w:val="00C048CD"/>
    <w:rsid w:val="00C048D6"/>
    <w:rsid w:val="00C048FB"/>
    <w:rsid w:val="00C0495D"/>
    <w:rsid w:val="00C04966"/>
    <w:rsid w:val="00C04973"/>
    <w:rsid w:val="00C0497C"/>
    <w:rsid w:val="00C04989"/>
    <w:rsid w:val="00C049C8"/>
    <w:rsid w:val="00C049E4"/>
    <w:rsid w:val="00C04A2E"/>
    <w:rsid w:val="00C04AB0"/>
    <w:rsid w:val="00C04AF3"/>
    <w:rsid w:val="00C04AF6"/>
    <w:rsid w:val="00C04BD6"/>
    <w:rsid w:val="00C04C28"/>
    <w:rsid w:val="00C04C8A"/>
    <w:rsid w:val="00C04D2C"/>
    <w:rsid w:val="00C04D34"/>
    <w:rsid w:val="00C04E2C"/>
    <w:rsid w:val="00C04E49"/>
    <w:rsid w:val="00C04E7B"/>
    <w:rsid w:val="00C04E7D"/>
    <w:rsid w:val="00C04ECE"/>
    <w:rsid w:val="00C04ED5"/>
    <w:rsid w:val="00C04EEA"/>
    <w:rsid w:val="00C04F22"/>
    <w:rsid w:val="00C04FB5"/>
    <w:rsid w:val="00C05033"/>
    <w:rsid w:val="00C05057"/>
    <w:rsid w:val="00C050C4"/>
    <w:rsid w:val="00C050DA"/>
    <w:rsid w:val="00C0511D"/>
    <w:rsid w:val="00C05135"/>
    <w:rsid w:val="00C05159"/>
    <w:rsid w:val="00C05181"/>
    <w:rsid w:val="00C051DB"/>
    <w:rsid w:val="00C051F8"/>
    <w:rsid w:val="00C05201"/>
    <w:rsid w:val="00C05218"/>
    <w:rsid w:val="00C05240"/>
    <w:rsid w:val="00C052DB"/>
    <w:rsid w:val="00C05316"/>
    <w:rsid w:val="00C05329"/>
    <w:rsid w:val="00C05373"/>
    <w:rsid w:val="00C05374"/>
    <w:rsid w:val="00C053E2"/>
    <w:rsid w:val="00C05430"/>
    <w:rsid w:val="00C0543A"/>
    <w:rsid w:val="00C05451"/>
    <w:rsid w:val="00C05478"/>
    <w:rsid w:val="00C054AA"/>
    <w:rsid w:val="00C05506"/>
    <w:rsid w:val="00C0554D"/>
    <w:rsid w:val="00C0555A"/>
    <w:rsid w:val="00C0555F"/>
    <w:rsid w:val="00C0559C"/>
    <w:rsid w:val="00C0559F"/>
    <w:rsid w:val="00C055D9"/>
    <w:rsid w:val="00C055F2"/>
    <w:rsid w:val="00C055F5"/>
    <w:rsid w:val="00C0561A"/>
    <w:rsid w:val="00C0562C"/>
    <w:rsid w:val="00C056A3"/>
    <w:rsid w:val="00C05706"/>
    <w:rsid w:val="00C05725"/>
    <w:rsid w:val="00C05753"/>
    <w:rsid w:val="00C057C7"/>
    <w:rsid w:val="00C057CE"/>
    <w:rsid w:val="00C058C4"/>
    <w:rsid w:val="00C0596E"/>
    <w:rsid w:val="00C0598D"/>
    <w:rsid w:val="00C05A52"/>
    <w:rsid w:val="00C05A62"/>
    <w:rsid w:val="00C05B2A"/>
    <w:rsid w:val="00C05BB4"/>
    <w:rsid w:val="00C05BCA"/>
    <w:rsid w:val="00C05BF9"/>
    <w:rsid w:val="00C05BFF"/>
    <w:rsid w:val="00C05C34"/>
    <w:rsid w:val="00C05CBA"/>
    <w:rsid w:val="00C05D67"/>
    <w:rsid w:val="00C05DDE"/>
    <w:rsid w:val="00C05E31"/>
    <w:rsid w:val="00C05EAC"/>
    <w:rsid w:val="00C05EC6"/>
    <w:rsid w:val="00C05ECF"/>
    <w:rsid w:val="00C05F04"/>
    <w:rsid w:val="00C05F32"/>
    <w:rsid w:val="00C05F35"/>
    <w:rsid w:val="00C05F57"/>
    <w:rsid w:val="00C0600F"/>
    <w:rsid w:val="00C06021"/>
    <w:rsid w:val="00C06029"/>
    <w:rsid w:val="00C0604F"/>
    <w:rsid w:val="00C0606F"/>
    <w:rsid w:val="00C060E6"/>
    <w:rsid w:val="00C06109"/>
    <w:rsid w:val="00C06116"/>
    <w:rsid w:val="00C06117"/>
    <w:rsid w:val="00C061A7"/>
    <w:rsid w:val="00C061C0"/>
    <w:rsid w:val="00C061D9"/>
    <w:rsid w:val="00C06201"/>
    <w:rsid w:val="00C0624F"/>
    <w:rsid w:val="00C062F2"/>
    <w:rsid w:val="00C06318"/>
    <w:rsid w:val="00C06334"/>
    <w:rsid w:val="00C0637D"/>
    <w:rsid w:val="00C063B7"/>
    <w:rsid w:val="00C063B9"/>
    <w:rsid w:val="00C063D4"/>
    <w:rsid w:val="00C063D7"/>
    <w:rsid w:val="00C0643C"/>
    <w:rsid w:val="00C06487"/>
    <w:rsid w:val="00C0648E"/>
    <w:rsid w:val="00C06491"/>
    <w:rsid w:val="00C064C4"/>
    <w:rsid w:val="00C06517"/>
    <w:rsid w:val="00C06542"/>
    <w:rsid w:val="00C06566"/>
    <w:rsid w:val="00C06568"/>
    <w:rsid w:val="00C0659A"/>
    <w:rsid w:val="00C065CA"/>
    <w:rsid w:val="00C065DC"/>
    <w:rsid w:val="00C065E1"/>
    <w:rsid w:val="00C06609"/>
    <w:rsid w:val="00C06625"/>
    <w:rsid w:val="00C06628"/>
    <w:rsid w:val="00C0667B"/>
    <w:rsid w:val="00C06690"/>
    <w:rsid w:val="00C066DD"/>
    <w:rsid w:val="00C06771"/>
    <w:rsid w:val="00C067B3"/>
    <w:rsid w:val="00C067E1"/>
    <w:rsid w:val="00C0685D"/>
    <w:rsid w:val="00C068CA"/>
    <w:rsid w:val="00C068E8"/>
    <w:rsid w:val="00C068FB"/>
    <w:rsid w:val="00C06918"/>
    <w:rsid w:val="00C06923"/>
    <w:rsid w:val="00C06951"/>
    <w:rsid w:val="00C0697E"/>
    <w:rsid w:val="00C06A08"/>
    <w:rsid w:val="00C06A7F"/>
    <w:rsid w:val="00C06AD5"/>
    <w:rsid w:val="00C06B18"/>
    <w:rsid w:val="00C06B3D"/>
    <w:rsid w:val="00C06B52"/>
    <w:rsid w:val="00C06BC6"/>
    <w:rsid w:val="00C06C3C"/>
    <w:rsid w:val="00C06C6D"/>
    <w:rsid w:val="00C06CCA"/>
    <w:rsid w:val="00C06CD9"/>
    <w:rsid w:val="00C06CDF"/>
    <w:rsid w:val="00C06CE0"/>
    <w:rsid w:val="00C06CF3"/>
    <w:rsid w:val="00C06CFF"/>
    <w:rsid w:val="00C06D9C"/>
    <w:rsid w:val="00C06DD2"/>
    <w:rsid w:val="00C06DD7"/>
    <w:rsid w:val="00C06E11"/>
    <w:rsid w:val="00C06E75"/>
    <w:rsid w:val="00C06EA2"/>
    <w:rsid w:val="00C06EAD"/>
    <w:rsid w:val="00C06ED0"/>
    <w:rsid w:val="00C06F0E"/>
    <w:rsid w:val="00C06F0F"/>
    <w:rsid w:val="00C06F12"/>
    <w:rsid w:val="00C06F23"/>
    <w:rsid w:val="00C06F30"/>
    <w:rsid w:val="00C06F94"/>
    <w:rsid w:val="00C06F9D"/>
    <w:rsid w:val="00C06FC5"/>
    <w:rsid w:val="00C0701D"/>
    <w:rsid w:val="00C07027"/>
    <w:rsid w:val="00C07039"/>
    <w:rsid w:val="00C0708A"/>
    <w:rsid w:val="00C07091"/>
    <w:rsid w:val="00C070AC"/>
    <w:rsid w:val="00C070E5"/>
    <w:rsid w:val="00C07130"/>
    <w:rsid w:val="00C07155"/>
    <w:rsid w:val="00C07187"/>
    <w:rsid w:val="00C071A4"/>
    <w:rsid w:val="00C071C0"/>
    <w:rsid w:val="00C071DF"/>
    <w:rsid w:val="00C071ED"/>
    <w:rsid w:val="00C0720A"/>
    <w:rsid w:val="00C07273"/>
    <w:rsid w:val="00C072A7"/>
    <w:rsid w:val="00C072C0"/>
    <w:rsid w:val="00C072E4"/>
    <w:rsid w:val="00C07319"/>
    <w:rsid w:val="00C07337"/>
    <w:rsid w:val="00C073E3"/>
    <w:rsid w:val="00C0743D"/>
    <w:rsid w:val="00C07445"/>
    <w:rsid w:val="00C0745A"/>
    <w:rsid w:val="00C07468"/>
    <w:rsid w:val="00C07471"/>
    <w:rsid w:val="00C0749D"/>
    <w:rsid w:val="00C0750F"/>
    <w:rsid w:val="00C0754B"/>
    <w:rsid w:val="00C075BB"/>
    <w:rsid w:val="00C075EF"/>
    <w:rsid w:val="00C075FF"/>
    <w:rsid w:val="00C07613"/>
    <w:rsid w:val="00C076C9"/>
    <w:rsid w:val="00C076D3"/>
    <w:rsid w:val="00C0771D"/>
    <w:rsid w:val="00C077CC"/>
    <w:rsid w:val="00C07843"/>
    <w:rsid w:val="00C07879"/>
    <w:rsid w:val="00C078A8"/>
    <w:rsid w:val="00C078C8"/>
    <w:rsid w:val="00C07926"/>
    <w:rsid w:val="00C07934"/>
    <w:rsid w:val="00C07950"/>
    <w:rsid w:val="00C07954"/>
    <w:rsid w:val="00C07979"/>
    <w:rsid w:val="00C07A9D"/>
    <w:rsid w:val="00C07ADA"/>
    <w:rsid w:val="00C07ADB"/>
    <w:rsid w:val="00C07ADC"/>
    <w:rsid w:val="00C07AF5"/>
    <w:rsid w:val="00C07B00"/>
    <w:rsid w:val="00C07B02"/>
    <w:rsid w:val="00C07B0B"/>
    <w:rsid w:val="00C07B13"/>
    <w:rsid w:val="00C07B8C"/>
    <w:rsid w:val="00C07BB8"/>
    <w:rsid w:val="00C07BC1"/>
    <w:rsid w:val="00C07BC4"/>
    <w:rsid w:val="00C07C2E"/>
    <w:rsid w:val="00C07C75"/>
    <w:rsid w:val="00C07CB1"/>
    <w:rsid w:val="00C07CF6"/>
    <w:rsid w:val="00C07DA9"/>
    <w:rsid w:val="00C07E7B"/>
    <w:rsid w:val="00C07EAF"/>
    <w:rsid w:val="00C07ED0"/>
    <w:rsid w:val="00C07F86"/>
    <w:rsid w:val="00C07FAC"/>
    <w:rsid w:val="00C07FED"/>
    <w:rsid w:val="00C0D5E3"/>
    <w:rsid w:val="00C0F2E2"/>
    <w:rsid w:val="00C10077"/>
    <w:rsid w:val="00C10079"/>
    <w:rsid w:val="00C10097"/>
    <w:rsid w:val="00C100B1"/>
    <w:rsid w:val="00C1010F"/>
    <w:rsid w:val="00C10113"/>
    <w:rsid w:val="00C10140"/>
    <w:rsid w:val="00C10145"/>
    <w:rsid w:val="00C10240"/>
    <w:rsid w:val="00C10253"/>
    <w:rsid w:val="00C10280"/>
    <w:rsid w:val="00C102FC"/>
    <w:rsid w:val="00C1030F"/>
    <w:rsid w:val="00C1031C"/>
    <w:rsid w:val="00C10388"/>
    <w:rsid w:val="00C103D5"/>
    <w:rsid w:val="00C10425"/>
    <w:rsid w:val="00C104A6"/>
    <w:rsid w:val="00C104CF"/>
    <w:rsid w:val="00C104F5"/>
    <w:rsid w:val="00C10530"/>
    <w:rsid w:val="00C1055D"/>
    <w:rsid w:val="00C10577"/>
    <w:rsid w:val="00C10584"/>
    <w:rsid w:val="00C1059D"/>
    <w:rsid w:val="00C105A0"/>
    <w:rsid w:val="00C105DA"/>
    <w:rsid w:val="00C105DB"/>
    <w:rsid w:val="00C1063A"/>
    <w:rsid w:val="00C1066E"/>
    <w:rsid w:val="00C1068D"/>
    <w:rsid w:val="00C106C4"/>
    <w:rsid w:val="00C106E5"/>
    <w:rsid w:val="00C10705"/>
    <w:rsid w:val="00C10732"/>
    <w:rsid w:val="00C1077C"/>
    <w:rsid w:val="00C107E3"/>
    <w:rsid w:val="00C107ED"/>
    <w:rsid w:val="00C10806"/>
    <w:rsid w:val="00C10859"/>
    <w:rsid w:val="00C1086A"/>
    <w:rsid w:val="00C10898"/>
    <w:rsid w:val="00C1089B"/>
    <w:rsid w:val="00C108FE"/>
    <w:rsid w:val="00C10934"/>
    <w:rsid w:val="00C109AE"/>
    <w:rsid w:val="00C10A7D"/>
    <w:rsid w:val="00C10A83"/>
    <w:rsid w:val="00C10B07"/>
    <w:rsid w:val="00C10B40"/>
    <w:rsid w:val="00C10B58"/>
    <w:rsid w:val="00C10B69"/>
    <w:rsid w:val="00C10B9C"/>
    <w:rsid w:val="00C10BB4"/>
    <w:rsid w:val="00C10BC8"/>
    <w:rsid w:val="00C10C2F"/>
    <w:rsid w:val="00C10CA7"/>
    <w:rsid w:val="00C10CAA"/>
    <w:rsid w:val="00C10CC6"/>
    <w:rsid w:val="00C10CC7"/>
    <w:rsid w:val="00C10CE5"/>
    <w:rsid w:val="00C10CEC"/>
    <w:rsid w:val="00C10D1F"/>
    <w:rsid w:val="00C10D62"/>
    <w:rsid w:val="00C10D7A"/>
    <w:rsid w:val="00C10DC1"/>
    <w:rsid w:val="00C10E19"/>
    <w:rsid w:val="00C10E24"/>
    <w:rsid w:val="00C10EB1"/>
    <w:rsid w:val="00C10F79"/>
    <w:rsid w:val="00C11011"/>
    <w:rsid w:val="00C11028"/>
    <w:rsid w:val="00C1102C"/>
    <w:rsid w:val="00C11039"/>
    <w:rsid w:val="00C11059"/>
    <w:rsid w:val="00C11081"/>
    <w:rsid w:val="00C110A1"/>
    <w:rsid w:val="00C110A5"/>
    <w:rsid w:val="00C110F0"/>
    <w:rsid w:val="00C1110F"/>
    <w:rsid w:val="00C1113B"/>
    <w:rsid w:val="00C1118F"/>
    <w:rsid w:val="00C11191"/>
    <w:rsid w:val="00C111C1"/>
    <w:rsid w:val="00C111E2"/>
    <w:rsid w:val="00C11227"/>
    <w:rsid w:val="00C112B7"/>
    <w:rsid w:val="00C112D3"/>
    <w:rsid w:val="00C11360"/>
    <w:rsid w:val="00C11381"/>
    <w:rsid w:val="00C1139C"/>
    <w:rsid w:val="00C113B6"/>
    <w:rsid w:val="00C113EE"/>
    <w:rsid w:val="00C11402"/>
    <w:rsid w:val="00C11427"/>
    <w:rsid w:val="00C1142E"/>
    <w:rsid w:val="00C1148A"/>
    <w:rsid w:val="00C114C2"/>
    <w:rsid w:val="00C1156F"/>
    <w:rsid w:val="00C115D5"/>
    <w:rsid w:val="00C1165A"/>
    <w:rsid w:val="00C116BF"/>
    <w:rsid w:val="00C116D4"/>
    <w:rsid w:val="00C116EC"/>
    <w:rsid w:val="00C11751"/>
    <w:rsid w:val="00C117B1"/>
    <w:rsid w:val="00C117EB"/>
    <w:rsid w:val="00C11850"/>
    <w:rsid w:val="00C11858"/>
    <w:rsid w:val="00C11888"/>
    <w:rsid w:val="00C118A9"/>
    <w:rsid w:val="00C118AD"/>
    <w:rsid w:val="00C118BE"/>
    <w:rsid w:val="00C118E9"/>
    <w:rsid w:val="00C11912"/>
    <w:rsid w:val="00C1195D"/>
    <w:rsid w:val="00C119BB"/>
    <w:rsid w:val="00C119F8"/>
    <w:rsid w:val="00C11A0C"/>
    <w:rsid w:val="00C11A5A"/>
    <w:rsid w:val="00C11ACF"/>
    <w:rsid w:val="00C11AF6"/>
    <w:rsid w:val="00C11B5E"/>
    <w:rsid w:val="00C11B65"/>
    <w:rsid w:val="00C11B99"/>
    <w:rsid w:val="00C11BA4"/>
    <w:rsid w:val="00C11BBF"/>
    <w:rsid w:val="00C11C07"/>
    <w:rsid w:val="00C11C32"/>
    <w:rsid w:val="00C11C67"/>
    <w:rsid w:val="00C11D63"/>
    <w:rsid w:val="00C11D7E"/>
    <w:rsid w:val="00C11DAD"/>
    <w:rsid w:val="00C11DB4"/>
    <w:rsid w:val="00C11DFA"/>
    <w:rsid w:val="00C11E71"/>
    <w:rsid w:val="00C11E72"/>
    <w:rsid w:val="00C11E81"/>
    <w:rsid w:val="00C11E8D"/>
    <w:rsid w:val="00C11F33"/>
    <w:rsid w:val="00C11F5A"/>
    <w:rsid w:val="00C11F7B"/>
    <w:rsid w:val="00C11F7C"/>
    <w:rsid w:val="00C11FA2"/>
    <w:rsid w:val="00C11FC5"/>
    <w:rsid w:val="00C11FE6"/>
    <w:rsid w:val="00C12035"/>
    <w:rsid w:val="00C12074"/>
    <w:rsid w:val="00C12108"/>
    <w:rsid w:val="00C12161"/>
    <w:rsid w:val="00C1217C"/>
    <w:rsid w:val="00C121B4"/>
    <w:rsid w:val="00C121B8"/>
    <w:rsid w:val="00C121D9"/>
    <w:rsid w:val="00C121DD"/>
    <w:rsid w:val="00C121E4"/>
    <w:rsid w:val="00C12275"/>
    <w:rsid w:val="00C12277"/>
    <w:rsid w:val="00C12310"/>
    <w:rsid w:val="00C12377"/>
    <w:rsid w:val="00C12399"/>
    <w:rsid w:val="00C123A3"/>
    <w:rsid w:val="00C123E9"/>
    <w:rsid w:val="00C1248F"/>
    <w:rsid w:val="00C1250C"/>
    <w:rsid w:val="00C1250E"/>
    <w:rsid w:val="00C12534"/>
    <w:rsid w:val="00C1253B"/>
    <w:rsid w:val="00C125A8"/>
    <w:rsid w:val="00C125BB"/>
    <w:rsid w:val="00C125E9"/>
    <w:rsid w:val="00C125EF"/>
    <w:rsid w:val="00C12612"/>
    <w:rsid w:val="00C12647"/>
    <w:rsid w:val="00C12650"/>
    <w:rsid w:val="00C126B3"/>
    <w:rsid w:val="00C1270A"/>
    <w:rsid w:val="00C12755"/>
    <w:rsid w:val="00C12773"/>
    <w:rsid w:val="00C12787"/>
    <w:rsid w:val="00C127DD"/>
    <w:rsid w:val="00C127EC"/>
    <w:rsid w:val="00C1281F"/>
    <w:rsid w:val="00C1283B"/>
    <w:rsid w:val="00C12865"/>
    <w:rsid w:val="00C12881"/>
    <w:rsid w:val="00C128FC"/>
    <w:rsid w:val="00C1295D"/>
    <w:rsid w:val="00C1296C"/>
    <w:rsid w:val="00C129CC"/>
    <w:rsid w:val="00C129EF"/>
    <w:rsid w:val="00C12A35"/>
    <w:rsid w:val="00C12B30"/>
    <w:rsid w:val="00C12B3A"/>
    <w:rsid w:val="00C12BD8"/>
    <w:rsid w:val="00C12BE3"/>
    <w:rsid w:val="00C12BE4"/>
    <w:rsid w:val="00C12C24"/>
    <w:rsid w:val="00C12C6A"/>
    <w:rsid w:val="00C12D0A"/>
    <w:rsid w:val="00C12D29"/>
    <w:rsid w:val="00C12D58"/>
    <w:rsid w:val="00C12D5A"/>
    <w:rsid w:val="00C12D82"/>
    <w:rsid w:val="00C12DE3"/>
    <w:rsid w:val="00C12E4C"/>
    <w:rsid w:val="00C12E5C"/>
    <w:rsid w:val="00C12E61"/>
    <w:rsid w:val="00C12E6A"/>
    <w:rsid w:val="00C12E97"/>
    <w:rsid w:val="00C12E9A"/>
    <w:rsid w:val="00C12EEC"/>
    <w:rsid w:val="00C12F0B"/>
    <w:rsid w:val="00C12F2C"/>
    <w:rsid w:val="00C12F3D"/>
    <w:rsid w:val="00C12F70"/>
    <w:rsid w:val="00C12F74"/>
    <w:rsid w:val="00C12F7E"/>
    <w:rsid w:val="00C12F95"/>
    <w:rsid w:val="00C12FB1"/>
    <w:rsid w:val="00C12FD0"/>
    <w:rsid w:val="00C13076"/>
    <w:rsid w:val="00C130C3"/>
    <w:rsid w:val="00C1314A"/>
    <w:rsid w:val="00C13163"/>
    <w:rsid w:val="00C1319D"/>
    <w:rsid w:val="00C131AF"/>
    <w:rsid w:val="00C131B7"/>
    <w:rsid w:val="00C131BE"/>
    <w:rsid w:val="00C131E5"/>
    <w:rsid w:val="00C1320C"/>
    <w:rsid w:val="00C1322C"/>
    <w:rsid w:val="00C1325E"/>
    <w:rsid w:val="00C1328B"/>
    <w:rsid w:val="00C1329F"/>
    <w:rsid w:val="00C132C6"/>
    <w:rsid w:val="00C13331"/>
    <w:rsid w:val="00C1334C"/>
    <w:rsid w:val="00C1339A"/>
    <w:rsid w:val="00C133C2"/>
    <w:rsid w:val="00C133E3"/>
    <w:rsid w:val="00C133F6"/>
    <w:rsid w:val="00C1341E"/>
    <w:rsid w:val="00C1342D"/>
    <w:rsid w:val="00C13496"/>
    <w:rsid w:val="00C13521"/>
    <w:rsid w:val="00C1352B"/>
    <w:rsid w:val="00C13530"/>
    <w:rsid w:val="00C13559"/>
    <w:rsid w:val="00C1358F"/>
    <w:rsid w:val="00C135C6"/>
    <w:rsid w:val="00C135F6"/>
    <w:rsid w:val="00C1360E"/>
    <w:rsid w:val="00C13630"/>
    <w:rsid w:val="00C13645"/>
    <w:rsid w:val="00C136C2"/>
    <w:rsid w:val="00C13768"/>
    <w:rsid w:val="00C13786"/>
    <w:rsid w:val="00C137F9"/>
    <w:rsid w:val="00C1380B"/>
    <w:rsid w:val="00C13812"/>
    <w:rsid w:val="00C13832"/>
    <w:rsid w:val="00C13895"/>
    <w:rsid w:val="00C13898"/>
    <w:rsid w:val="00C138D1"/>
    <w:rsid w:val="00C138FC"/>
    <w:rsid w:val="00C138FD"/>
    <w:rsid w:val="00C13920"/>
    <w:rsid w:val="00C139A8"/>
    <w:rsid w:val="00C13A40"/>
    <w:rsid w:val="00C13A75"/>
    <w:rsid w:val="00C13A87"/>
    <w:rsid w:val="00C13A93"/>
    <w:rsid w:val="00C13B62"/>
    <w:rsid w:val="00C13B63"/>
    <w:rsid w:val="00C13BBD"/>
    <w:rsid w:val="00C13C2A"/>
    <w:rsid w:val="00C13C3E"/>
    <w:rsid w:val="00C13CAF"/>
    <w:rsid w:val="00C13CC4"/>
    <w:rsid w:val="00C13CF3"/>
    <w:rsid w:val="00C13D28"/>
    <w:rsid w:val="00C13D8C"/>
    <w:rsid w:val="00C13E06"/>
    <w:rsid w:val="00C13E2F"/>
    <w:rsid w:val="00C13E76"/>
    <w:rsid w:val="00C13E91"/>
    <w:rsid w:val="00C13EAE"/>
    <w:rsid w:val="00C13EB0"/>
    <w:rsid w:val="00C13EB8"/>
    <w:rsid w:val="00C13ECD"/>
    <w:rsid w:val="00C13F33"/>
    <w:rsid w:val="00C13F54"/>
    <w:rsid w:val="00C13F7D"/>
    <w:rsid w:val="00C13FB7"/>
    <w:rsid w:val="00C13FD8"/>
    <w:rsid w:val="00C13FDE"/>
    <w:rsid w:val="00C1404A"/>
    <w:rsid w:val="00C140EA"/>
    <w:rsid w:val="00C1410A"/>
    <w:rsid w:val="00C1410C"/>
    <w:rsid w:val="00C1418D"/>
    <w:rsid w:val="00C14195"/>
    <w:rsid w:val="00C1419A"/>
    <w:rsid w:val="00C141F1"/>
    <w:rsid w:val="00C14218"/>
    <w:rsid w:val="00C1422A"/>
    <w:rsid w:val="00C14264"/>
    <w:rsid w:val="00C14266"/>
    <w:rsid w:val="00C1435D"/>
    <w:rsid w:val="00C1435E"/>
    <w:rsid w:val="00C143DB"/>
    <w:rsid w:val="00C1441D"/>
    <w:rsid w:val="00C1443C"/>
    <w:rsid w:val="00C14442"/>
    <w:rsid w:val="00C14498"/>
    <w:rsid w:val="00C144B5"/>
    <w:rsid w:val="00C144BB"/>
    <w:rsid w:val="00C144C9"/>
    <w:rsid w:val="00C144E7"/>
    <w:rsid w:val="00C14556"/>
    <w:rsid w:val="00C145DA"/>
    <w:rsid w:val="00C145DE"/>
    <w:rsid w:val="00C145F3"/>
    <w:rsid w:val="00C14637"/>
    <w:rsid w:val="00C14653"/>
    <w:rsid w:val="00C1467E"/>
    <w:rsid w:val="00C146DB"/>
    <w:rsid w:val="00C146F2"/>
    <w:rsid w:val="00C1475F"/>
    <w:rsid w:val="00C147AB"/>
    <w:rsid w:val="00C147B2"/>
    <w:rsid w:val="00C14807"/>
    <w:rsid w:val="00C1481E"/>
    <w:rsid w:val="00C148A2"/>
    <w:rsid w:val="00C148B9"/>
    <w:rsid w:val="00C14953"/>
    <w:rsid w:val="00C14A36"/>
    <w:rsid w:val="00C14A73"/>
    <w:rsid w:val="00C14A80"/>
    <w:rsid w:val="00C14A9D"/>
    <w:rsid w:val="00C14B1F"/>
    <w:rsid w:val="00C14B2A"/>
    <w:rsid w:val="00C14BA0"/>
    <w:rsid w:val="00C14BB0"/>
    <w:rsid w:val="00C14BC6"/>
    <w:rsid w:val="00C14CAA"/>
    <w:rsid w:val="00C14CC7"/>
    <w:rsid w:val="00C14D63"/>
    <w:rsid w:val="00C14D65"/>
    <w:rsid w:val="00C14D91"/>
    <w:rsid w:val="00C14D9F"/>
    <w:rsid w:val="00C14DD9"/>
    <w:rsid w:val="00C14DE5"/>
    <w:rsid w:val="00C14E3D"/>
    <w:rsid w:val="00C14EB7"/>
    <w:rsid w:val="00C14ECD"/>
    <w:rsid w:val="00C14F2B"/>
    <w:rsid w:val="00C14FA9"/>
    <w:rsid w:val="00C14FAF"/>
    <w:rsid w:val="00C1503B"/>
    <w:rsid w:val="00C15053"/>
    <w:rsid w:val="00C1505F"/>
    <w:rsid w:val="00C15079"/>
    <w:rsid w:val="00C1515F"/>
    <w:rsid w:val="00C151F0"/>
    <w:rsid w:val="00C151F8"/>
    <w:rsid w:val="00C15203"/>
    <w:rsid w:val="00C15235"/>
    <w:rsid w:val="00C1525F"/>
    <w:rsid w:val="00C15286"/>
    <w:rsid w:val="00C152B2"/>
    <w:rsid w:val="00C152B6"/>
    <w:rsid w:val="00C152D0"/>
    <w:rsid w:val="00C15308"/>
    <w:rsid w:val="00C1530C"/>
    <w:rsid w:val="00C15349"/>
    <w:rsid w:val="00C15368"/>
    <w:rsid w:val="00C15381"/>
    <w:rsid w:val="00C1543A"/>
    <w:rsid w:val="00C15447"/>
    <w:rsid w:val="00C15448"/>
    <w:rsid w:val="00C1545C"/>
    <w:rsid w:val="00C15466"/>
    <w:rsid w:val="00C154D0"/>
    <w:rsid w:val="00C154E6"/>
    <w:rsid w:val="00C15569"/>
    <w:rsid w:val="00C155A2"/>
    <w:rsid w:val="00C155B8"/>
    <w:rsid w:val="00C155B9"/>
    <w:rsid w:val="00C155E6"/>
    <w:rsid w:val="00C156C7"/>
    <w:rsid w:val="00C156CC"/>
    <w:rsid w:val="00C156F4"/>
    <w:rsid w:val="00C15701"/>
    <w:rsid w:val="00C1576F"/>
    <w:rsid w:val="00C15789"/>
    <w:rsid w:val="00C157AA"/>
    <w:rsid w:val="00C15839"/>
    <w:rsid w:val="00C15849"/>
    <w:rsid w:val="00C15877"/>
    <w:rsid w:val="00C158DB"/>
    <w:rsid w:val="00C15900"/>
    <w:rsid w:val="00C1591F"/>
    <w:rsid w:val="00C1592B"/>
    <w:rsid w:val="00C15961"/>
    <w:rsid w:val="00C159B0"/>
    <w:rsid w:val="00C15A0B"/>
    <w:rsid w:val="00C15A96"/>
    <w:rsid w:val="00C15AAF"/>
    <w:rsid w:val="00C15B17"/>
    <w:rsid w:val="00C15B1D"/>
    <w:rsid w:val="00C15BC2"/>
    <w:rsid w:val="00C15C55"/>
    <w:rsid w:val="00C15C96"/>
    <w:rsid w:val="00C15CA2"/>
    <w:rsid w:val="00C15CE4"/>
    <w:rsid w:val="00C15CE6"/>
    <w:rsid w:val="00C15D04"/>
    <w:rsid w:val="00C15D18"/>
    <w:rsid w:val="00C15D2A"/>
    <w:rsid w:val="00C15D33"/>
    <w:rsid w:val="00C15D74"/>
    <w:rsid w:val="00C15DBC"/>
    <w:rsid w:val="00C15DC6"/>
    <w:rsid w:val="00C15E11"/>
    <w:rsid w:val="00C15E96"/>
    <w:rsid w:val="00C15E9F"/>
    <w:rsid w:val="00C15EBC"/>
    <w:rsid w:val="00C15EC1"/>
    <w:rsid w:val="00C15EFE"/>
    <w:rsid w:val="00C15F0F"/>
    <w:rsid w:val="00C15F3B"/>
    <w:rsid w:val="00C15F89"/>
    <w:rsid w:val="00C15F9A"/>
    <w:rsid w:val="00C15FA5"/>
    <w:rsid w:val="00C15FC6"/>
    <w:rsid w:val="00C16007"/>
    <w:rsid w:val="00C16035"/>
    <w:rsid w:val="00C1604C"/>
    <w:rsid w:val="00C1605E"/>
    <w:rsid w:val="00C16066"/>
    <w:rsid w:val="00C16073"/>
    <w:rsid w:val="00C16121"/>
    <w:rsid w:val="00C1614A"/>
    <w:rsid w:val="00C16187"/>
    <w:rsid w:val="00C16230"/>
    <w:rsid w:val="00C16270"/>
    <w:rsid w:val="00C1627D"/>
    <w:rsid w:val="00C162C7"/>
    <w:rsid w:val="00C1631D"/>
    <w:rsid w:val="00C16321"/>
    <w:rsid w:val="00C16344"/>
    <w:rsid w:val="00C16345"/>
    <w:rsid w:val="00C1636C"/>
    <w:rsid w:val="00C163CB"/>
    <w:rsid w:val="00C163DB"/>
    <w:rsid w:val="00C164C6"/>
    <w:rsid w:val="00C164FF"/>
    <w:rsid w:val="00C16576"/>
    <w:rsid w:val="00C16595"/>
    <w:rsid w:val="00C165DC"/>
    <w:rsid w:val="00C16607"/>
    <w:rsid w:val="00C1662E"/>
    <w:rsid w:val="00C16660"/>
    <w:rsid w:val="00C16669"/>
    <w:rsid w:val="00C166A8"/>
    <w:rsid w:val="00C166D4"/>
    <w:rsid w:val="00C16700"/>
    <w:rsid w:val="00C1670C"/>
    <w:rsid w:val="00C16746"/>
    <w:rsid w:val="00C167A6"/>
    <w:rsid w:val="00C167CD"/>
    <w:rsid w:val="00C16889"/>
    <w:rsid w:val="00C168B4"/>
    <w:rsid w:val="00C168B9"/>
    <w:rsid w:val="00C1690E"/>
    <w:rsid w:val="00C16923"/>
    <w:rsid w:val="00C1693E"/>
    <w:rsid w:val="00C16966"/>
    <w:rsid w:val="00C169D2"/>
    <w:rsid w:val="00C169EB"/>
    <w:rsid w:val="00C16A21"/>
    <w:rsid w:val="00C16A4B"/>
    <w:rsid w:val="00C16A89"/>
    <w:rsid w:val="00C16A98"/>
    <w:rsid w:val="00C16ABB"/>
    <w:rsid w:val="00C16AD8"/>
    <w:rsid w:val="00C16B26"/>
    <w:rsid w:val="00C16B51"/>
    <w:rsid w:val="00C16B78"/>
    <w:rsid w:val="00C16B95"/>
    <w:rsid w:val="00C16BE2"/>
    <w:rsid w:val="00C16BEF"/>
    <w:rsid w:val="00C16C04"/>
    <w:rsid w:val="00C16C87"/>
    <w:rsid w:val="00C16C9B"/>
    <w:rsid w:val="00C16CDD"/>
    <w:rsid w:val="00C16CE6"/>
    <w:rsid w:val="00C16D23"/>
    <w:rsid w:val="00C16D47"/>
    <w:rsid w:val="00C16D4B"/>
    <w:rsid w:val="00C16D4C"/>
    <w:rsid w:val="00C16D98"/>
    <w:rsid w:val="00C16D99"/>
    <w:rsid w:val="00C16DC1"/>
    <w:rsid w:val="00C16E42"/>
    <w:rsid w:val="00C16E71"/>
    <w:rsid w:val="00C16F3E"/>
    <w:rsid w:val="00C16F7E"/>
    <w:rsid w:val="00C16F84"/>
    <w:rsid w:val="00C16F9D"/>
    <w:rsid w:val="00C16FAF"/>
    <w:rsid w:val="00C16FC1"/>
    <w:rsid w:val="00C16FCE"/>
    <w:rsid w:val="00C16FD7"/>
    <w:rsid w:val="00C17024"/>
    <w:rsid w:val="00C170C6"/>
    <w:rsid w:val="00C17100"/>
    <w:rsid w:val="00C1715A"/>
    <w:rsid w:val="00C17164"/>
    <w:rsid w:val="00C171BF"/>
    <w:rsid w:val="00C171CB"/>
    <w:rsid w:val="00C171DF"/>
    <w:rsid w:val="00C1723A"/>
    <w:rsid w:val="00C17298"/>
    <w:rsid w:val="00C172CB"/>
    <w:rsid w:val="00C172F6"/>
    <w:rsid w:val="00C1730A"/>
    <w:rsid w:val="00C1730D"/>
    <w:rsid w:val="00C17321"/>
    <w:rsid w:val="00C17361"/>
    <w:rsid w:val="00C17394"/>
    <w:rsid w:val="00C173A2"/>
    <w:rsid w:val="00C173E7"/>
    <w:rsid w:val="00C173FE"/>
    <w:rsid w:val="00C17427"/>
    <w:rsid w:val="00C17475"/>
    <w:rsid w:val="00C17489"/>
    <w:rsid w:val="00C17512"/>
    <w:rsid w:val="00C1752F"/>
    <w:rsid w:val="00C17558"/>
    <w:rsid w:val="00C1755C"/>
    <w:rsid w:val="00C175B6"/>
    <w:rsid w:val="00C175BB"/>
    <w:rsid w:val="00C175E6"/>
    <w:rsid w:val="00C175F4"/>
    <w:rsid w:val="00C175FA"/>
    <w:rsid w:val="00C1762F"/>
    <w:rsid w:val="00C17658"/>
    <w:rsid w:val="00C176FF"/>
    <w:rsid w:val="00C1772D"/>
    <w:rsid w:val="00C1772E"/>
    <w:rsid w:val="00C177BD"/>
    <w:rsid w:val="00C177D0"/>
    <w:rsid w:val="00C1780C"/>
    <w:rsid w:val="00C17812"/>
    <w:rsid w:val="00C17835"/>
    <w:rsid w:val="00C1785A"/>
    <w:rsid w:val="00C1792F"/>
    <w:rsid w:val="00C17949"/>
    <w:rsid w:val="00C1798D"/>
    <w:rsid w:val="00C179B8"/>
    <w:rsid w:val="00C179F8"/>
    <w:rsid w:val="00C179FC"/>
    <w:rsid w:val="00C17A0F"/>
    <w:rsid w:val="00C17A11"/>
    <w:rsid w:val="00C17A28"/>
    <w:rsid w:val="00C17A96"/>
    <w:rsid w:val="00C17AE1"/>
    <w:rsid w:val="00C17AFC"/>
    <w:rsid w:val="00C17B18"/>
    <w:rsid w:val="00C17BA9"/>
    <w:rsid w:val="00C17BB9"/>
    <w:rsid w:val="00C17BC5"/>
    <w:rsid w:val="00C17BEB"/>
    <w:rsid w:val="00C17C16"/>
    <w:rsid w:val="00C17C22"/>
    <w:rsid w:val="00C17C32"/>
    <w:rsid w:val="00C17C38"/>
    <w:rsid w:val="00C17C46"/>
    <w:rsid w:val="00C17CD1"/>
    <w:rsid w:val="00C17D4F"/>
    <w:rsid w:val="00C17D54"/>
    <w:rsid w:val="00C17DD6"/>
    <w:rsid w:val="00C17DE8"/>
    <w:rsid w:val="00C17E10"/>
    <w:rsid w:val="00C17E3C"/>
    <w:rsid w:val="00C17E59"/>
    <w:rsid w:val="00C17EBF"/>
    <w:rsid w:val="00C17EDB"/>
    <w:rsid w:val="00C17F1A"/>
    <w:rsid w:val="00C17F5A"/>
    <w:rsid w:val="00C17FB9"/>
    <w:rsid w:val="00C17FF3"/>
    <w:rsid w:val="00C17FFA"/>
    <w:rsid w:val="00C20002"/>
    <w:rsid w:val="00C2004C"/>
    <w:rsid w:val="00C20080"/>
    <w:rsid w:val="00C2008F"/>
    <w:rsid w:val="00C200AE"/>
    <w:rsid w:val="00C2012F"/>
    <w:rsid w:val="00C201A7"/>
    <w:rsid w:val="00C201EE"/>
    <w:rsid w:val="00C2020F"/>
    <w:rsid w:val="00C2021B"/>
    <w:rsid w:val="00C20236"/>
    <w:rsid w:val="00C2024F"/>
    <w:rsid w:val="00C20255"/>
    <w:rsid w:val="00C20280"/>
    <w:rsid w:val="00C202CC"/>
    <w:rsid w:val="00C20339"/>
    <w:rsid w:val="00C20381"/>
    <w:rsid w:val="00C203C2"/>
    <w:rsid w:val="00C20400"/>
    <w:rsid w:val="00C2040B"/>
    <w:rsid w:val="00C20445"/>
    <w:rsid w:val="00C20447"/>
    <w:rsid w:val="00C20477"/>
    <w:rsid w:val="00C204DC"/>
    <w:rsid w:val="00C204EE"/>
    <w:rsid w:val="00C20519"/>
    <w:rsid w:val="00C205B2"/>
    <w:rsid w:val="00C205E8"/>
    <w:rsid w:val="00C20624"/>
    <w:rsid w:val="00C206D3"/>
    <w:rsid w:val="00C206E9"/>
    <w:rsid w:val="00C20718"/>
    <w:rsid w:val="00C2072B"/>
    <w:rsid w:val="00C20746"/>
    <w:rsid w:val="00C20763"/>
    <w:rsid w:val="00C20775"/>
    <w:rsid w:val="00C207A8"/>
    <w:rsid w:val="00C207CE"/>
    <w:rsid w:val="00C20838"/>
    <w:rsid w:val="00C2090F"/>
    <w:rsid w:val="00C20951"/>
    <w:rsid w:val="00C20995"/>
    <w:rsid w:val="00C209AD"/>
    <w:rsid w:val="00C209C8"/>
    <w:rsid w:val="00C209EC"/>
    <w:rsid w:val="00C20A09"/>
    <w:rsid w:val="00C20A16"/>
    <w:rsid w:val="00C20A36"/>
    <w:rsid w:val="00C20A3C"/>
    <w:rsid w:val="00C20B9B"/>
    <w:rsid w:val="00C20BD7"/>
    <w:rsid w:val="00C20C37"/>
    <w:rsid w:val="00C20C4E"/>
    <w:rsid w:val="00C20C5D"/>
    <w:rsid w:val="00C20C8D"/>
    <w:rsid w:val="00C20C92"/>
    <w:rsid w:val="00C20CE7"/>
    <w:rsid w:val="00C20CF6"/>
    <w:rsid w:val="00C20D06"/>
    <w:rsid w:val="00C20D53"/>
    <w:rsid w:val="00C20D5A"/>
    <w:rsid w:val="00C20D71"/>
    <w:rsid w:val="00C20DB3"/>
    <w:rsid w:val="00C20E06"/>
    <w:rsid w:val="00C20E5F"/>
    <w:rsid w:val="00C20E72"/>
    <w:rsid w:val="00C20EB6"/>
    <w:rsid w:val="00C20EE3"/>
    <w:rsid w:val="00C20EE8"/>
    <w:rsid w:val="00C20F05"/>
    <w:rsid w:val="00C20F08"/>
    <w:rsid w:val="00C20F57"/>
    <w:rsid w:val="00C20F5C"/>
    <w:rsid w:val="00C20F6B"/>
    <w:rsid w:val="00C20F76"/>
    <w:rsid w:val="00C20F91"/>
    <w:rsid w:val="00C20F9D"/>
    <w:rsid w:val="00C20FC3"/>
    <w:rsid w:val="00C20FC7"/>
    <w:rsid w:val="00C20FEB"/>
    <w:rsid w:val="00C21023"/>
    <w:rsid w:val="00C21092"/>
    <w:rsid w:val="00C210F4"/>
    <w:rsid w:val="00C21112"/>
    <w:rsid w:val="00C21119"/>
    <w:rsid w:val="00C2116D"/>
    <w:rsid w:val="00C2119A"/>
    <w:rsid w:val="00C211C7"/>
    <w:rsid w:val="00C211EC"/>
    <w:rsid w:val="00C211F6"/>
    <w:rsid w:val="00C211F9"/>
    <w:rsid w:val="00C21201"/>
    <w:rsid w:val="00C212C0"/>
    <w:rsid w:val="00C21325"/>
    <w:rsid w:val="00C2132F"/>
    <w:rsid w:val="00C21330"/>
    <w:rsid w:val="00C2135F"/>
    <w:rsid w:val="00C2137E"/>
    <w:rsid w:val="00C21388"/>
    <w:rsid w:val="00C213A0"/>
    <w:rsid w:val="00C213CD"/>
    <w:rsid w:val="00C214D3"/>
    <w:rsid w:val="00C214DA"/>
    <w:rsid w:val="00C21513"/>
    <w:rsid w:val="00C21537"/>
    <w:rsid w:val="00C21547"/>
    <w:rsid w:val="00C21550"/>
    <w:rsid w:val="00C21563"/>
    <w:rsid w:val="00C21579"/>
    <w:rsid w:val="00C215B9"/>
    <w:rsid w:val="00C215CA"/>
    <w:rsid w:val="00C21625"/>
    <w:rsid w:val="00C2166B"/>
    <w:rsid w:val="00C216BB"/>
    <w:rsid w:val="00C216C5"/>
    <w:rsid w:val="00C2172F"/>
    <w:rsid w:val="00C21754"/>
    <w:rsid w:val="00C21777"/>
    <w:rsid w:val="00C2178A"/>
    <w:rsid w:val="00C21797"/>
    <w:rsid w:val="00C217A3"/>
    <w:rsid w:val="00C217C2"/>
    <w:rsid w:val="00C21820"/>
    <w:rsid w:val="00C21827"/>
    <w:rsid w:val="00C21836"/>
    <w:rsid w:val="00C2187E"/>
    <w:rsid w:val="00C218CD"/>
    <w:rsid w:val="00C21907"/>
    <w:rsid w:val="00C21942"/>
    <w:rsid w:val="00C2194C"/>
    <w:rsid w:val="00C2198F"/>
    <w:rsid w:val="00C219B3"/>
    <w:rsid w:val="00C219D2"/>
    <w:rsid w:val="00C21A13"/>
    <w:rsid w:val="00C21A2A"/>
    <w:rsid w:val="00C21A3C"/>
    <w:rsid w:val="00C21A4C"/>
    <w:rsid w:val="00C21AC6"/>
    <w:rsid w:val="00C21AE7"/>
    <w:rsid w:val="00C21B43"/>
    <w:rsid w:val="00C21B4B"/>
    <w:rsid w:val="00C21BF1"/>
    <w:rsid w:val="00C21BF4"/>
    <w:rsid w:val="00C21BFB"/>
    <w:rsid w:val="00C21C20"/>
    <w:rsid w:val="00C21C24"/>
    <w:rsid w:val="00C21C94"/>
    <w:rsid w:val="00C21CA3"/>
    <w:rsid w:val="00C21CA7"/>
    <w:rsid w:val="00C21CD9"/>
    <w:rsid w:val="00C21CEC"/>
    <w:rsid w:val="00C21D03"/>
    <w:rsid w:val="00C21D0A"/>
    <w:rsid w:val="00C21D39"/>
    <w:rsid w:val="00C21D57"/>
    <w:rsid w:val="00C21DC9"/>
    <w:rsid w:val="00C21DD7"/>
    <w:rsid w:val="00C21E3B"/>
    <w:rsid w:val="00C21E68"/>
    <w:rsid w:val="00C21E99"/>
    <w:rsid w:val="00C21ECF"/>
    <w:rsid w:val="00C21F35"/>
    <w:rsid w:val="00C21F4F"/>
    <w:rsid w:val="00C21FAF"/>
    <w:rsid w:val="00C21FF0"/>
    <w:rsid w:val="00C2201C"/>
    <w:rsid w:val="00C22039"/>
    <w:rsid w:val="00C22050"/>
    <w:rsid w:val="00C22056"/>
    <w:rsid w:val="00C2205D"/>
    <w:rsid w:val="00C22079"/>
    <w:rsid w:val="00C22098"/>
    <w:rsid w:val="00C220EE"/>
    <w:rsid w:val="00C220FA"/>
    <w:rsid w:val="00C22106"/>
    <w:rsid w:val="00C22137"/>
    <w:rsid w:val="00C221A9"/>
    <w:rsid w:val="00C221B5"/>
    <w:rsid w:val="00C221C7"/>
    <w:rsid w:val="00C22203"/>
    <w:rsid w:val="00C2223A"/>
    <w:rsid w:val="00C2225B"/>
    <w:rsid w:val="00C22296"/>
    <w:rsid w:val="00C222A8"/>
    <w:rsid w:val="00C222D5"/>
    <w:rsid w:val="00C222DC"/>
    <w:rsid w:val="00C22339"/>
    <w:rsid w:val="00C22344"/>
    <w:rsid w:val="00C2235D"/>
    <w:rsid w:val="00C2236D"/>
    <w:rsid w:val="00C223A5"/>
    <w:rsid w:val="00C223CE"/>
    <w:rsid w:val="00C223ED"/>
    <w:rsid w:val="00C223F3"/>
    <w:rsid w:val="00C22404"/>
    <w:rsid w:val="00C22450"/>
    <w:rsid w:val="00C22535"/>
    <w:rsid w:val="00C22556"/>
    <w:rsid w:val="00C2257B"/>
    <w:rsid w:val="00C2258F"/>
    <w:rsid w:val="00C22595"/>
    <w:rsid w:val="00C225B5"/>
    <w:rsid w:val="00C225C1"/>
    <w:rsid w:val="00C22630"/>
    <w:rsid w:val="00C22636"/>
    <w:rsid w:val="00C2264D"/>
    <w:rsid w:val="00C226A1"/>
    <w:rsid w:val="00C226BD"/>
    <w:rsid w:val="00C22731"/>
    <w:rsid w:val="00C22734"/>
    <w:rsid w:val="00C22780"/>
    <w:rsid w:val="00C22795"/>
    <w:rsid w:val="00C227A5"/>
    <w:rsid w:val="00C227C0"/>
    <w:rsid w:val="00C227E7"/>
    <w:rsid w:val="00C2280E"/>
    <w:rsid w:val="00C2285B"/>
    <w:rsid w:val="00C22882"/>
    <w:rsid w:val="00C228A2"/>
    <w:rsid w:val="00C228A9"/>
    <w:rsid w:val="00C228C8"/>
    <w:rsid w:val="00C2298A"/>
    <w:rsid w:val="00C22992"/>
    <w:rsid w:val="00C2299C"/>
    <w:rsid w:val="00C229BA"/>
    <w:rsid w:val="00C22A05"/>
    <w:rsid w:val="00C22A2E"/>
    <w:rsid w:val="00C22A5A"/>
    <w:rsid w:val="00C22A63"/>
    <w:rsid w:val="00C22AD0"/>
    <w:rsid w:val="00C22B1E"/>
    <w:rsid w:val="00C22B53"/>
    <w:rsid w:val="00C22B6A"/>
    <w:rsid w:val="00C22BB3"/>
    <w:rsid w:val="00C22BE8"/>
    <w:rsid w:val="00C22C29"/>
    <w:rsid w:val="00C22CA4"/>
    <w:rsid w:val="00C22CB8"/>
    <w:rsid w:val="00C22E06"/>
    <w:rsid w:val="00C22E55"/>
    <w:rsid w:val="00C22ECB"/>
    <w:rsid w:val="00C22F13"/>
    <w:rsid w:val="00C22F54"/>
    <w:rsid w:val="00C23011"/>
    <w:rsid w:val="00C23084"/>
    <w:rsid w:val="00C230DF"/>
    <w:rsid w:val="00C23119"/>
    <w:rsid w:val="00C23124"/>
    <w:rsid w:val="00C23184"/>
    <w:rsid w:val="00C2318F"/>
    <w:rsid w:val="00C231E2"/>
    <w:rsid w:val="00C232D9"/>
    <w:rsid w:val="00C232EB"/>
    <w:rsid w:val="00C23336"/>
    <w:rsid w:val="00C23343"/>
    <w:rsid w:val="00C2334F"/>
    <w:rsid w:val="00C23373"/>
    <w:rsid w:val="00C233C9"/>
    <w:rsid w:val="00C233EE"/>
    <w:rsid w:val="00C233F3"/>
    <w:rsid w:val="00C23455"/>
    <w:rsid w:val="00C234AB"/>
    <w:rsid w:val="00C234CE"/>
    <w:rsid w:val="00C234F0"/>
    <w:rsid w:val="00C23524"/>
    <w:rsid w:val="00C23547"/>
    <w:rsid w:val="00C2354C"/>
    <w:rsid w:val="00C2355C"/>
    <w:rsid w:val="00C23576"/>
    <w:rsid w:val="00C23601"/>
    <w:rsid w:val="00C23616"/>
    <w:rsid w:val="00C236A7"/>
    <w:rsid w:val="00C23727"/>
    <w:rsid w:val="00C2373E"/>
    <w:rsid w:val="00C23789"/>
    <w:rsid w:val="00C237E3"/>
    <w:rsid w:val="00C2381D"/>
    <w:rsid w:val="00C23862"/>
    <w:rsid w:val="00C238BD"/>
    <w:rsid w:val="00C23915"/>
    <w:rsid w:val="00C2397F"/>
    <w:rsid w:val="00C23987"/>
    <w:rsid w:val="00C239DF"/>
    <w:rsid w:val="00C239FF"/>
    <w:rsid w:val="00C23A2A"/>
    <w:rsid w:val="00C23B2C"/>
    <w:rsid w:val="00C23B33"/>
    <w:rsid w:val="00C23B7D"/>
    <w:rsid w:val="00C23C1A"/>
    <w:rsid w:val="00C23C3A"/>
    <w:rsid w:val="00C23C48"/>
    <w:rsid w:val="00C23C59"/>
    <w:rsid w:val="00C23C79"/>
    <w:rsid w:val="00C23CEB"/>
    <w:rsid w:val="00C23D19"/>
    <w:rsid w:val="00C23D1B"/>
    <w:rsid w:val="00C23D4B"/>
    <w:rsid w:val="00C23D77"/>
    <w:rsid w:val="00C23D95"/>
    <w:rsid w:val="00C23DAB"/>
    <w:rsid w:val="00C23DCD"/>
    <w:rsid w:val="00C23DDF"/>
    <w:rsid w:val="00C23DF3"/>
    <w:rsid w:val="00C23E19"/>
    <w:rsid w:val="00C23E3E"/>
    <w:rsid w:val="00C23E56"/>
    <w:rsid w:val="00C23E71"/>
    <w:rsid w:val="00C23E9C"/>
    <w:rsid w:val="00C23EA0"/>
    <w:rsid w:val="00C23EB8"/>
    <w:rsid w:val="00C23EC9"/>
    <w:rsid w:val="00C23EEA"/>
    <w:rsid w:val="00C23F4B"/>
    <w:rsid w:val="00C23F68"/>
    <w:rsid w:val="00C23F91"/>
    <w:rsid w:val="00C2404C"/>
    <w:rsid w:val="00C24054"/>
    <w:rsid w:val="00C2407B"/>
    <w:rsid w:val="00C24085"/>
    <w:rsid w:val="00C240BE"/>
    <w:rsid w:val="00C240C7"/>
    <w:rsid w:val="00C240D1"/>
    <w:rsid w:val="00C24160"/>
    <w:rsid w:val="00C2419D"/>
    <w:rsid w:val="00C241D1"/>
    <w:rsid w:val="00C2422A"/>
    <w:rsid w:val="00C24296"/>
    <w:rsid w:val="00C24298"/>
    <w:rsid w:val="00C24299"/>
    <w:rsid w:val="00C2431B"/>
    <w:rsid w:val="00C24387"/>
    <w:rsid w:val="00C243B5"/>
    <w:rsid w:val="00C24407"/>
    <w:rsid w:val="00C24471"/>
    <w:rsid w:val="00C24534"/>
    <w:rsid w:val="00C2456B"/>
    <w:rsid w:val="00C2459D"/>
    <w:rsid w:val="00C245ED"/>
    <w:rsid w:val="00C245FE"/>
    <w:rsid w:val="00C24629"/>
    <w:rsid w:val="00C24658"/>
    <w:rsid w:val="00C246A6"/>
    <w:rsid w:val="00C246BF"/>
    <w:rsid w:val="00C246C0"/>
    <w:rsid w:val="00C246C5"/>
    <w:rsid w:val="00C246D8"/>
    <w:rsid w:val="00C24732"/>
    <w:rsid w:val="00C24741"/>
    <w:rsid w:val="00C24777"/>
    <w:rsid w:val="00C2479F"/>
    <w:rsid w:val="00C247B8"/>
    <w:rsid w:val="00C247EB"/>
    <w:rsid w:val="00C24850"/>
    <w:rsid w:val="00C24881"/>
    <w:rsid w:val="00C2488F"/>
    <w:rsid w:val="00C248A4"/>
    <w:rsid w:val="00C248D9"/>
    <w:rsid w:val="00C24900"/>
    <w:rsid w:val="00C24A1D"/>
    <w:rsid w:val="00C24A37"/>
    <w:rsid w:val="00C24AAA"/>
    <w:rsid w:val="00C24B30"/>
    <w:rsid w:val="00C24B7A"/>
    <w:rsid w:val="00C24B88"/>
    <w:rsid w:val="00C24BB4"/>
    <w:rsid w:val="00C24BC1"/>
    <w:rsid w:val="00C24BF2"/>
    <w:rsid w:val="00C24C48"/>
    <w:rsid w:val="00C24CBD"/>
    <w:rsid w:val="00C24CC1"/>
    <w:rsid w:val="00C24CC4"/>
    <w:rsid w:val="00C24CE3"/>
    <w:rsid w:val="00C24D3C"/>
    <w:rsid w:val="00C24D6D"/>
    <w:rsid w:val="00C24D97"/>
    <w:rsid w:val="00C24DE2"/>
    <w:rsid w:val="00C24DE5"/>
    <w:rsid w:val="00C24E26"/>
    <w:rsid w:val="00C24EE1"/>
    <w:rsid w:val="00C24F14"/>
    <w:rsid w:val="00C24F2F"/>
    <w:rsid w:val="00C24F3B"/>
    <w:rsid w:val="00C24FB4"/>
    <w:rsid w:val="00C25066"/>
    <w:rsid w:val="00C250B0"/>
    <w:rsid w:val="00C250D3"/>
    <w:rsid w:val="00C250DD"/>
    <w:rsid w:val="00C2515E"/>
    <w:rsid w:val="00C25173"/>
    <w:rsid w:val="00C25227"/>
    <w:rsid w:val="00C25230"/>
    <w:rsid w:val="00C25275"/>
    <w:rsid w:val="00C252F2"/>
    <w:rsid w:val="00C25301"/>
    <w:rsid w:val="00C25327"/>
    <w:rsid w:val="00C25363"/>
    <w:rsid w:val="00C25390"/>
    <w:rsid w:val="00C253B6"/>
    <w:rsid w:val="00C253C1"/>
    <w:rsid w:val="00C253C9"/>
    <w:rsid w:val="00C253D3"/>
    <w:rsid w:val="00C253D4"/>
    <w:rsid w:val="00C253FD"/>
    <w:rsid w:val="00C2540C"/>
    <w:rsid w:val="00C25495"/>
    <w:rsid w:val="00C254B6"/>
    <w:rsid w:val="00C254E9"/>
    <w:rsid w:val="00C254F4"/>
    <w:rsid w:val="00C254FE"/>
    <w:rsid w:val="00C25510"/>
    <w:rsid w:val="00C25518"/>
    <w:rsid w:val="00C2554F"/>
    <w:rsid w:val="00C25588"/>
    <w:rsid w:val="00C255E9"/>
    <w:rsid w:val="00C25647"/>
    <w:rsid w:val="00C256DD"/>
    <w:rsid w:val="00C25768"/>
    <w:rsid w:val="00C25785"/>
    <w:rsid w:val="00C25819"/>
    <w:rsid w:val="00C25850"/>
    <w:rsid w:val="00C258C6"/>
    <w:rsid w:val="00C258CC"/>
    <w:rsid w:val="00C259D5"/>
    <w:rsid w:val="00C25A53"/>
    <w:rsid w:val="00C25A56"/>
    <w:rsid w:val="00C25AAB"/>
    <w:rsid w:val="00C25ADC"/>
    <w:rsid w:val="00C25B5C"/>
    <w:rsid w:val="00C25B6A"/>
    <w:rsid w:val="00C25BA0"/>
    <w:rsid w:val="00C25BCD"/>
    <w:rsid w:val="00C25BF7"/>
    <w:rsid w:val="00C25BF8"/>
    <w:rsid w:val="00C25C3E"/>
    <w:rsid w:val="00C25C40"/>
    <w:rsid w:val="00C25C46"/>
    <w:rsid w:val="00C25CB2"/>
    <w:rsid w:val="00C25CD9"/>
    <w:rsid w:val="00C25D35"/>
    <w:rsid w:val="00C25D42"/>
    <w:rsid w:val="00C25DDC"/>
    <w:rsid w:val="00C25DE6"/>
    <w:rsid w:val="00C25E13"/>
    <w:rsid w:val="00C25E47"/>
    <w:rsid w:val="00C25F0F"/>
    <w:rsid w:val="00C25F55"/>
    <w:rsid w:val="00C25F6F"/>
    <w:rsid w:val="00C25FC6"/>
    <w:rsid w:val="00C26029"/>
    <w:rsid w:val="00C26049"/>
    <w:rsid w:val="00C2606B"/>
    <w:rsid w:val="00C260B7"/>
    <w:rsid w:val="00C26107"/>
    <w:rsid w:val="00C26112"/>
    <w:rsid w:val="00C261A3"/>
    <w:rsid w:val="00C261B4"/>
    <w:rsid w:val="00C261EB"/>
    <w:rsid w:val="00C2623F"/>
    <w:rsid w:val="00C2626D"/>
    <w:rsid w:val="00C262FF"/>
    <w:rsid w:val="00C26355"/>
    <w:rsid w:val="00C2638F"/>
    <w:rsid w:val="00C263D8"/>
    <w:rsid w:val="00C263E4"/>
    <w:rsid w:val="00C2641F"/>
    <w:rsid w:val="00C264A9"/>
    <w:rsid w:val="00C2653D"/>
    <w:rsid w:val="00C26557"/>
    <w:rsid w:val="00C2656E"/>
    <w:rsid w:val="00C265E7"/>
    <w:rsid w:val="00C2660D"/>
    <w:rsid w:val="00C2661B"/>
    <w:rsid w:val="00C26661"/>
    <w:rsid w:val="00C26663"/>
    <w:rsid w:val="00C266BA"/>
    <w:rsid w:val="00C266C4"/>
    <w:rsid w:val="00C266C8"/>
    <w:rsid w:val="00C2671A"/>
    <w:rsid w:val="00C26802"/>
    <w:rsid w:val="00C26808"/>
    <w:rsid w:val="00C26837"/>
    <w:rsid w:val="00C2683A"/>
    <w:rsid w:val="00C2686A"/>
    <w:rsid w:val="00C2686C"/>
    <w:rsid w:val="00C268AD"/>
    <w:rsid w:val="00C268FB"/>
    <w:rsid w:val="00C26939"/>
    <w:rsid w:val="00C2696D"/>
    <w:rsid w:val="00C269D2"/>
    <w:rsid w:val="00C269DF"/>
    <w:rsid w:val="00C269FA"/>
    <w:rsid w:val="00C26A8E"/>
    <w:rsid w:val="00C26B0D"/>
    <w:rsid w:val="00C26B32"/>
    <w:rsid w:val="00C26B67"/>
    <w:rsid w:val="00C26BA2"/>
    <w:rsid w:val="00C26BA4"/>
    <w:rsid w:val="00C26BA6"/>
    <w:rsid w:val="00C26BC5"/>
    <w:rsid w:val="00C26C32"/>
    <w:rsid w:val="00C26C8E"/>
    <w:rsid w:val="00C26CDA"/>
    <w:rsid w:val="00C26D15"/>
    <w:rsid w:val="00C26D64"/>
    <w:rsid w:val="00C26DA9"/>
    <w:rsid w:val="00C26E2F"/>
    <w:rsid w:val="00C26EA8"/>
    <w:rsid w:val="00C26EAD"/>
    <w:rsid w:val="00C26ECA"/>
    <w:rsid w:val="00C26ED7"/>
    <w:rsid w:val="00C26EEC"/>
    <w:rsid w:val="00C26F5E"/>
    <w:rsid w:val="00C26F6E"/>
    <w:rsid w:val="00C26F8A"/>
    <w:rsid w:val="00C26FEE"/>
    <w:rsid w:val="00C27012"/>
    <w:rsid w:val="00C2701D"/>
    <w:rsid w:val="00C27022"/>
    <w:rsid w:val="00C27059"/>
    <w:rsid w:val="00C2706D"/>
    <w:rsid w:val="00C27070"/>
    <w:rsid w:val="00C27187"/>
    <w:rsid w:val="00C271BD"/>
    <w:rsid w:val="00C27234"/>
    <w:rsid w:val="00C27256"/>
    <w:rsid w:val="00C27275"/>
    <w:rsid w:val="00C2728E"/>
    <w:rsid w:val="00C27295"/>
    <w:rsid w:val="00C272DF"/>
    <w:rsid w:val="00C27314"/>
    <w:rsid w:val="00C27329"/>
    <w:rsid w:val="00C2734C"/>
    <w:rsid w:val="00C2735D"/>
    <w:rsid w:val="00C27382"/>
    <w:rsid w:val="00C27388"/>
    <w:rsid w:val="00C273B6"/>
    <w:rsid w:val="00C273BC"/>
    <w:rsid w:val="00C27428"/>
    <w:rsid w:val="00C2752B"/>
    <w:rsid w:val="00C2753C"/>
    <w:rsid w:val="00C27572"/>
    <w:rsid w:val="00C275B0"/>
    <w:rsid w:val="00C27614"/>
    <w:rsid w:val="00C2765E"/>
    <w:rsid w:val="00C27744"/>
    <w:rsid w:val="00C27753"/>
    <w:rsid w:val="00C2778A"/>
    <w:rsid w:val="00C277A5"/>
    <w:rsid w:val="00C2782F"/>
    <w:rsid w:val="00C27887"/>
    <w:rsid w:val="00C2788C"/>
    <w:rsid w:val="00C278C8"/>
    <w:rsid w:val="00C278D4"/>
    <w:rsid w:val="00C278F3"/>
    <w:rsid w:val="00C27942"/>
    <w:rsid w:val="00C27958"/>
    <w:rsid w:val="00C2798C"/>
    <w:rsid w:val="00C279E3"/>
    <w:rsid w:val="00C27A04"/>
    <w:rsid w:val="00C27A14"/>
    <w:rsid w:val="00C27A67"/>
    <w:rsid w:val="00C27AB6"/>
    <w:rsid w:val="00C27B28"/>
    <w:rsid w:val="00C27B2E"/>
    <w:rsid w:val="00C27B4F"/>
    <w:rsid w:val="00C27B53"/>
    <w:rsid w:val="00C27B6C"/>
    <w:rsid w:val="00C27B86"/>
    <w:rsid w:val="00C27BBA"/>
    <w:rsid w:val="00C27BC6"/>
    <w:rsid w:val="00C27C1A"/>
    <w:rsid w:val="00C27C3B"/>
    <w:rsid w:val="00C27C7F"/>
    <w:rsid w:val="00C27D7E"/>
    <w:rsid w:val="00C27D84"/>
    <w:rsid w:val="00C27DC5"/>
    <w:rsid w:val="00C27EEC"/>
    <w:rsid w:val="00C27F06"/>
    <w:rsid w:val="00C27F54"/>
    <w:rsid w:val="00C27F7D"/>
    <w:rsid w:val="00C27F85"/>
    <w:rsid w:val="00C27FB9"/>
    <w:rsid w:val="00C27FC7"/>
    <w:rsid w:val="00C27FCB"/>
    <w:rsid w:val="00C2AB4E"/>
    <w:rsid w:val="00C30052"/>
    <w:rsid w:val="00C30098"/>
    <w:rsid w:val="00C30115"/>
    <w:rsid w:val="00C3011B"/>
    <w:rsid w:val="00C3013D"/>
    <w:rsid w:val="00C30181"/>
    <w:rsid w:val="00C301A8"/>
    <w:rsid w:val="00C301C7"/>
    <w:rsid w:val="00C30205"/>
    <w:rsid w:val="00C30226"/>
    <w:rsid w:val="00C3029B"/>
    <w:rsid w:val="00C302AE"/>
    <w:rsid w:val="00C30328"/>
    <w:rsid w:val="00C30399"/>
    <w:rsid w:val="00C303B1"/>
    <w:rsid w:val="00C303C5"/>
    <w:rsid w:val="00C30438"/>
    <w:rsid w:val="00C30439"/>
    <w:rsid w:val="00C30455"/>
    <w:rsid w:val="00C304F3"/>
    <w:rsid w:val="00C30536"/>
    <w:rsid w:val="00C30558"/>
    <w:rsid w:val="00C30562"/>
    <w:rsid w:val="00C305A1"/>
    <w:rsid w:val="00C305A4"/>
    <w:rsid w:val="00C3063B"/>
    <w:rsid w:val="00C30683"/>
    <w:rsid w:val="00C306E2"/>
    <w:rsid w:val="00C306EF"/>
    <w:rsid w:val="00C30702"/>
    <w:rsid w:val="00C30718"/>
    <w:rsid w:val="00C30720"/>
    <w:rsid w:val="00C30721"/>
    <w:rsid w:val="00C3079B"/>
    <w:rsid w:val="00C307A6"/>
    <w:rsid w:val="00C30827"/>
    <w:rsid w:val="00C30854"/>
    <w:rsid w:val="00C30856"/>
    <w:rsid w:val="00C30868"/>
    <w:rsid w:val="00C308A4"/>
    <w:rsid w:val="00C308EA"/>
    <w:rsid w:val="00C309A7"/>
    <w:rsid w:val="00C309CB"/>
    <w:rsid w:val="00C309CC"/>
    <w:rsid w:val="00C309CD"/>
    <w:rsid w:val="00C30A4F"/>
    <w:rsid w:val="00C30B0B"/>
    <w:rsid w:val="00C30BC2"/>
    <w:rsid w:val="00C30BC8"/>
    <w:rsid w:val="00C30C21"/>
    <w:rsid w:val="00C30C40"/>
    <w:rsid w:val="00C30C58"/>
    <w:rsid w:val="00C30CB2"/>
    <w:rsid w:val="00C30CD2"/>
    <w:rsid w:val="00C30CE3"/>
    <w:rsid w:val="00C30CEB"/>
    <w:rsid w:val="00C30D04"/>
    <w:rsid w:val="00C30D78"/>
    <w:rsid w:val="00C30DFF"/>
    <w:rsid w:val="00C30E61"/>
    <w:rsid w:val="00C30F7D"/>
    <w:rsid w:val="00C30F96"/>
    <w:rsid w:val="00C30FB6"/>
    <w:rsid w:val="00C30FC5"/>
    <w:rsid w:val="00C31017"/>
    <w:rsid w:val="00C31018"/>
    <w:rsid w:val="00C31030"/>
    <w:rsid w:val="00C31034"/>
    <w:rsid w:val="00C31069"/>
    <w:rsid w:val="00C31088"/>
    <w:rsid w:val="00C3109B"/>
    <w:rsid w:val="00C310C8"/>
    <w:rsid w:val="00C31114"/>
    <w:rsid w:val="00C31136"/>
    <w:rsid w:val="00C3116C"/>
    <w:rsid w:val="00C31186"/>
    <w:rsid w:val="00C31196"/>
    <w:rsid w:val="00C311AC"/>
    <w:rsid w:val="00C311EE"/>
    <w:rsid w:val="00C3123E"/>
    <w:rsid w:val="00C31254"/>
    <w:rsid w:val="00C31264"/>
    <w:rsid w:val="00C3127C"/>
    <w:rsid w:val="00C31289"/>
    <w:rsid w:val="00C3129A"/>
    <w:rsid w:val="00C312C3"/>
    <w:rsid w:val="00C31305"/>
    <w:rsid w:val="00C31331"/>
    <w:rsid w:val="00C31340"/>
    <w:rsid w:val="00C31379"/>
    <w:rsid w:val="00C31393"/>
    <w:rsid w:val="00C313A5"/>
    <w:rsid w:val="00C313E5"/>
    <w:rsid w:val="00C3145B"/>
    <w:rsid w:val="00C31470"/>
    <w:rsid w:val="00C31473"/>
    <w:rsid w:val="00C31496"/>
    <w:rsid w:val="00C31540"/>
    <w:rsid w:val="00C31564"/>
    <w:rsid w:val="00C31689"/>
    <w:rsid w:val="00C31710"/>
    <w:rsid w:val="00C31739"/>
    <w:rsid w:val="00C317DA"/>
    <w:rsid w:val="00C317E5"/>
    <w:rsid w:val="00C317E7"/>
    <w:rsid w:val="00C317FE"/>
    <w:rsid w:val="00C31858"/>
    <w:rsid w:val="00C3186D"/>
    <w:rsid w:val="00C31885"/>
    <w:rsid w:val="00C3188D"/>
    <w:rsid w:val="00C318DE"/>
    <w:rsid w:val="00C31930"/>
    <w:rsid w:val="00C319AC"/>
    <w:rsid w:val="00C319B0"/>
    <w:rsid w:val="00C31A0D"/>
    <w:rsid w:val="00C31A90"/>
    <w:rsid w:val="00C31AA6"/>
    <w:rsid w:val="00C31B02"/>
    <w:rsid w:val="00C31B12"/>
    <w:rsid w:val="00C31B1B"/>
    <w:rsid w:val="00C31B42"/>
    <w:rsid w:val="00C31B63"/>
    <w:rsid w:val="00C31BA1"/>
    <w:rsid w:val="00C31BD7"/>
    <w:rsid w:val="00C31CB3"/>
    <w:rsid w:val="00C31CD8"/>
    <w:rsid w:val="00C31D27"/>
    <w:rsid w:val="00C31D6F"/>
    <w:rsid w:val="00C31E40"/>
    <w:rsid w:val="00C31ED3"/>
    <w:rsid w:val="00C31EDC"/>
    <w:rsid w:val="00C31EEF"/>
    <w:rsid w:val="00C31EF0"/>
    <w:rsid w:val="00C31F48"/>
    <w:rsid w:val="00C31F4D"/>
    <w:rsid w:val="00C31F5B"/>
    <w:rsid w:val="00C31F9C"/>
    <w:rsid w:val="00C32065"/>
    <w:rsid w:val="00C32089"/>
    <w:rsid w:val="00C320A4"/>
    <w:rsid w:val="00C320E1"/>
    <w:rsid w:val="00C32111"/>
    <w:rsid w:val="00C32115"/>
    <w:rsid w:val="00C32135"/>
    <w:rsid w:val="00C32179"/>
    <w:rsid w:val="00C32184"/>
    <w:rsid w:val="00C321CC"/>
    <w:rsid w:val="00C321E6"/>
    <w:rsid w:val="00C321F2"/>
    <w:rsid w:val="00C32210"/>
    <w:rsid w:val="00C32293"/>
    <w:rsid w:val="00C322DE"/>
    <w:rsid w:val="00C322E2"/>
    <w:rsid w:val="00C322F4"/>
    <w:rsid w:val="00C3239D"/>
    <w:rsid w:val="00C323A7"/>
    <w:rsid w:val="00C3242F"/>
    <w:rsid w:val="00C32433"/>
    <w:rsid w:val="00C32467"/>
    <w:rsid w:val="00C32479"/>
    <w:rsid w:val="00C324E0"/>
    <w:rsid w:val="00C3250D"/>
    <w:rsid w:val="00C3251C"/>
    <w:rsid w:val="00C32552"/>
    <w:rsid w:val="00C32562"/>
    <w:rsid w:val="00C32570"/>
    <w:rsid w:val="00C32581"/>
    <w:rsid w:val="00C3259D"/>
    <w:rsid w:val="00C325BE"/>
    <w:rsid w:val="00C325D0"/>
    <w:rsid w:val="00C325E6"/>
    <w:rsid w:val="00C32601"/>
    <w:rsid w:val="00C32653"/>
    <w:rsid w:val="00C3270A"/>
    <w:rsid w:val="00C3270D"/>
    <w:rsid w:val="00C32747"/>
    <w:rsid w:val="00C3274C"/>
    <w:rsid w:val="00C3274D"/>
    <w:rsid w:val="00C3276F"/>
    <w:rsid w:val="00C32770"/>
    <w:rsid w:val="00C327BC"/>
    <w:rsid w:val="00C327C0"/>
    <w:rsid w:val="00C327D6"/>
    <w:rsid w:val="00C32807"/>
    <w:rsid w:val="00C3280B"/>
    <w:rsid w:val="00C32829"/>
    <w:rsid w:val="00C328B5"/>
    <w:rsid w:val="00C32958"/>
    <w:rsid w:val="00C32980"/>
    <w:rsid w:val="00C3298D"/>
    <w:rsid w:val="00C3298F"/>
    <w:rsid w:val="00C329F7"/>
    <w:rsid w:val="00C32A71"/>
    <w:rsid w:val="00C32A89"/>
    <w:rsid w:val="00C32B02"/>
    <w:rsid w:val="00C32B49"/>
    <w:rsid w:val="00C32BDE"/>
    <w:rsid w:val="00C32C41"/>
    <w:rsid w:val="00C32C54"/>
    <w:rsid w:val="00C32C84"/>
    <w:rsid w:val="00C32C93"/>
    <w:rsid w:val="00C32C94"/>
    <w:rsid w:val="00C32CFD"/>
    <w:rsid w:val="00C32D29"/>
    <w:rsid w:val="00C32D81"/>
    <w:rsid w:val="00C32D88"/>
    <w:rsid w:val="00C32DC2"/>
    <w:rsid w:val="00C32DF3"/>
    <w:rsid w:val="00C32E0E"/>
    <w:rsid w:val="00C32E26"/>
    <w:rsid w:val="00C32E3B"/>
    <w:rsid w:val="00C32E90"/>
    <w:rsid w:val="00C32EA4"/>
    <w:rsid w:val="00C32F69"/>
    <w:rsid w:val="00C32F80"/>
    <w:rsid w:val="00C32F83"/>
    <w:rsid w:val="00C32FAF"/>
    <w:rsid w:val="00C32FBD"/>
    <w:rsid w:val="00C32FC9"/>
    <w:rsid w:val="00C33026"/>
    <w:rsid w:val="00C3303F"/>
    <w:rsid w:val="00C3305E"/>
    <w:rsid w:val="00C33097"/>
    <w:rsid w:val="00C33101"/>
    <w:rsid w:val="00C33158"/>
    <w:rsid w:val="00C3317F"/>
    <w:rsid w:val="00C33190"/>
    <w:rsid w:val="00C3320A"/>
    <w:rsid w:val="00C33230"/>
    <w:rsid w:val="00C3325C"/>
    <w:rsid w:val="00C332F2"/>
    <w:rsid w:val="00C33305"/>
    <w:rsid w:val="00C33385"/>
    <w:rsid w:val="00C333ED"/>
    <w:rsid w:val="00C333F7"/>
    <w:rsid w:val="00C33424"/>
    <w:rsid w:val="00C33436"/>
    <w:rsid w:val="00C33497"/>
    <w:rsid w:val="00C334BA"/>
    <w:rsid w:val="00C334C3"/>
    <w:rsid w:val="00C334EC"/>
    <w:rsid w:val="00C33506"/>
    <w:rsid w:val="00C33561"/>
    <w:rsid w:val="00C335F9"/>
    <w:rsid w:val="00C33600"/>
    <w:rsid w:val="00C33616"/>
    <w:rsid w:val="00C33652"/>
    <w:rsid w:val="00C336DF"/>
    <w:rsid w:val="00C336FD"/>
    <w:rsid w:val="00C33772"/>
    <w:rsid w:val="00C33775"/>
    <w:rsid w:val="00C337DF"/>
    <w:rsid w:val="00C337EE"/>
    <w:rsid w:val="00C33998"/>
    <w:rsid w:val="00C339FC"/>
    <w:rsid w:val="00C33A05"/>
    <w:rsid w:val="00C33A77"/>
    <w:rsid w:val="00C33AD6"/>
    <w:rsid w:val="00C33AE6"/>
    <w:rsid w:val="00C33B2A"/>
    <w:rsid w:val="00C33B3B"/>
    <w:rsid w:val="00C33B4C"/>
    <w:rsid w:val="00C33BBE"/>
    <w:rsid w:val="00C33BF5"/>
    <w:rsid w:val="00C33C45"/>
    <w:rsid w:val="00C33C57"/>
    <w:rsid w:val="00C33C78"/>
    <w:rsid w:val="00C33C85"/>
    <w:rsid w:val="00C33D35"/>
    <w:rsid w:val="00C33D66"/>
    <w:rsid w:val="00C33D7B"/>
    <w:rsid w:val="00C33DAD"/>
    <w:rsid w:val="00C33DE9"/>
    <w:rsid w:val="00C33E26"/>
    <w:rsid w:val="00C33E95"/>
    <w:rsid w:val="00C33EB4"/>
    <w:rsid w:val="00C33EB9"/>
    <w:rsid w:val="00C33ED2"/>
    <w:rsid w:val="00C33ED3"/>
    <w:rsid w:val="00C33F03"/>
    <w:rsid w:val="00C33FAA"/>
    <w:rsid w:val="00C33FC7"/>
    <w:rsid w:val="00C34019"/>
    <w:rsid w:val="00C3401B"/>
    <w:rsid w:val="00C3408A"/>
    <w:rsid w:val="00C34130"/>
    <w:rsid w:val="00C34152"/>
    <w:rsid w:val="00C3416E"/>
    <w:rsid w:val="00C34190"/>
    <w:rsid w:val="00C341B9"/>
    <w:rsid w:val="00C341EB"/>
    <w:rsid w:val="00C34251"/>
    <w:rsid w:val="00C34283"/>
    <w:rsid w:val="00C34299"/>
    <w:rsid w:val="00C342AD"/>
    <w:rsid w:val="00C34310"/>
    <w:rsid w:val="00C34357"/>
    <w:rsid w:val="00C34398"/>
    <w:rsid w:val="00C343C2"/>
    <w:rsid w:val="00C34420"/>
    <w:rsid w:val="00C34443"/>
    <w:rsid w:val="00C344D5"/>
    <w:rsid w:val="00C344E0"/>
    <w:rsid w:val="00C344F8"/>
    <w:rsid w:val="00C34532"/>
    <w:rsid w:val="00C34552"/>
    <w:rsid w:val="00C34554"/>
    <w:rsid w:val="00C3459E"/>
    <w:rsid w:val="00C345B6"/>
    <w:rsid w:val="00C345D7"/>
    <w:rsid w:val="00C3467A"/>
    <w:rsid w:val="00C34692"/>
    <w:rsid w:val="00C34798"/>
    <w:rsid w:val="00C347A0"/>
    <w:rsid w:val="00C347FD"/>
    <w:rsid w:val="00C3481C"/>
    <w:rsid w:val="00C348DE"/>
    <w:rsid w:val="00C3490D"/>
    <w:rsid w:val="00C349B8"/>
    <w:rsid w:val="00C34A5F"/>
    <w:rsid w:val="00C34A75"/>
    <w:rsid w:val="00C34A9B"/>
    <w:rsid w:val="00C34AEB"/>
    <w:rsid w:val="00C34B2C"/>
    <w:rsid w:val="00C34B39"/>
    <w:rsid w:val="00C34B53"/>
    <w:rsid w:val="00C34B65"/>
    <w:rsid w:val="00C34B90"/>
    <w:rsid w:val="00C34C95"/>
    <w:rsid w:val="00C34D0D"/>
    <w:rsid w:val="00C34D38"/>
    <w:rsid w:val="00C34D47"/>
    <w:rsid w:val="00C34D67"/>
    <w:rsid w:val="00C34EC3"/>
    <w:rsid w:val="00C34ED7"/>
    <w:rsid w:val="00C34F16"/>
    <w:rsid w:val="00C34F2D"/>
    <w:rsid w:val="00C34F34"/>
    <w:rsid w:val="00C34F73"/>
    <w:rsid w:val="00C34F8B"/>
    <w:rsid w:val="00C34F95"/>
    <w:rsid w:val="00C34F97"/>
    <w:rsid w:val="00C34FD3"/>
    <w:rsid w:val="00C3501B"/>
    <w:rsid w:val="00C3503D"/>
    <w:rsid w:val="00C35098"/>
    <w:rsid w:val="00C3509A"/>
    <w:rsid w:val="00C350FB"/>
    <w:rsid w:val="00C35125"/>
    <w:rsid w:val="00C35189"/>
    <w:rsid w:val="00C351C6"/>
    <w:rsid w:val="00C352B3"/>
    <w:rsid w:val="00C352B5"/>
    <w:rsid w:val="00C352F4"/>
    <w:rsid w:val="00C35327"/>
    <w:rsid w:val="00C3533F"/>
    <w:rsid w:val="00C35345"/>
    <w:rsid w:val="00C35359"/>
    <w:rsid w:val="00C3535E"/>
    <w:rsid w:val="00C353A1"/>
    <w:rsid w:val="00C353AD"/>
    <w:rsid w:val="00C3547E"/>
    <w:rsid w:val="00C3547F"/>
    <w:rsid w:val="00C35481"/>
    <w:rsid w:val="00C35507"/>
    <w:rsid w:val="00C35564"/>
    <w:rsid w:val="00C355A2"/>
    <w:rsid w:val="00C355A3"/>
    <w:rsid w:val="00C355AF"/>
    <w:rsid w:val="00C355FC"/>
    <w:rsid w:val="00C35605"/>
    <w:rsid w:val="00C3560B"/>
    <w:rsid w:val="00C35634"/>
    <w:rsid w:val="00C35651"/>
    <w:rsid w:val="00C35678"/>
    <w:rsid w:val="00C35681"/>
    <w:rsid w:val="00C35687"/>
    <w:rsid w:val="00C356BA"/>
    <w:rsid w:val="00C356D1"/>
    <w:rsid w:val="00C3573D"/>
    <w:rsid w:val="00C3579A"/>
    <w:rsid w:val="00C357A2"/>
    <w:rsid w:val="00C35813"/>
    <w:rsid w:val="00C3581F"/>
    <w:rsid w:val="00C35847"/>
    <w:rsid w:val="00C3586D"/>
    <w:rsid w:val="00C35876"/>
    <w:rsid w:val="00C35921"/>
    <w:rsid w:val="00C3593D"/>
    <w:rsid w:val="00C359A1"/>
    <w:rsid w:val="00C359EA"/>
    <w:rsid w:val="00C35A0E"/>
    <w:rsid w:val="00C35A12"/>
    <w:rsid w:val="00C35A1C"/>
    <w:rsid w:val="00C35A38"/>
    <w:rsid w:val="00C35A41"/>
    <w:rsid w:val="00C35A46"/>
    <w:rsid w:val="00C35A52"/>
    <w:rsid w:val="00C35A7B"/>
    <w:rsid w:val="00C35AAD"/>
    <w:rsid w:val="00C35B22"/>
    <w:rsid w:val="00C35BA2"/>
    <w:rsid w:val="00C35BDB"/>
    <w:rsid w:val="00C35BF8"/>
    <w:rsid w:val="00C35C0C"/>
    <w:rsid w:val="00C35C4E"/>
    <w:rsid w:val="00C35CA9"/>
    <w:rsid w:val="00C35CD7"/>
    <w:rsid w:val="00C35CF8"/>
    <w:rsid w:val="00C35D80"/>
    <w:rsid w:val="00C35DBB"/>
    <w:rsid w:val="00C35DCF"/>
    <w:rsid w:val="00C35DEA"/>
    <w:rsid w:val="00C35E2A"/>
    <w:rsid w:val="00C35E4B"/>
    <w:rsid w:val="00C35E84"/>
    <w:rsid w:val="00C35E94"/>
    <w:rsid w:val="00C35ECD"/>
    <w:rsid w:val="00C35ED1"/>
    <w:rsid w:val="00C35ED9"/>
    <w:rsid w:val="00C35F30"/>
    <w:rsid w:val="00C35FC2"/>
    <w:rsid w:val="00C35FED"/>
    <w:rsid w:val="00C36025"/>
    <w:rsid w:val="00C36030"/>
    <w:rsid w:val="00C360B0"/>
    <w:rsid w:val="00C360DA"/>
    <w:rsid w:val="00C3611C"/>
    <w:rsid w:val="00C3611F"/>
    <w:rsid w:val="00C3618E"/>
    <w:rsid w:val="00C361B6"/>
    <w:rsid w:val="00C361C0"/>
    <w:rsid w:val="00C361FF"/>
    <w:rsid w:val="00C3620B"/>
    <w:rsid w:val="00C36212"/>
    <w:rsid w:val="00C3624A"/>
    <w:rsid w:val="00C3626C"/>
    <w:rsid w:val="00C3629D"/>
    <w:rsid w:val="00C362D9"/>
    <w:rsid w:val="00C36305"/>
    <w:rsid w:val="00C36324"/>
    <w:rsid w:val="00C3632E"/>
    <w:rsid w:val="00C363A1"/>
    <w:rsid w:val="00C363A9"/>
    <w:rsid w:val="00C363B9"/>
    <w:rsid w:val="00C363C2"/>
    <w:rsid w:val="00C3641F"/>
    <w:rsid w:val="00C36432"/>
    <w:rsid w:val="00C3646C"/>
    <w:rsid w:val="00C364BA"/>
    <w:rsid w:val="00C36562"/>
    <w:rsid w:val="00C36578"/>
    <w:rsid w:val="00C365AF"/>
    <w:rsid w:val="00C365B0"/>
    <w:rsid w:val="00C365D4"/>
    <w:rsid w:val="00C365DB"/>
    <w:rsid w:val="00C36630"/>
    <w:rsid w:val="00C3664B"/>
    <w:rsid w:val="00C36679"/>
    <w:rsid w:val="00C366A8"/>
    <w:rsid w:val="00C366FF"/>
    <w:rsid w:val="00C36705"/>
    <w:rsid w:val="00C36747"/>
    <w:rsid w:val="00C3685D"/>
    <w:rsid w:val="00C3686E"/>
    <w:rsid w:val="00C368BA"/>
    <w:rsid w:val="00C368C3"/>
    <w:rsid w:val="00C36968"/>
    <w:rsid w:val="00C36970"/>
    <w:rsid w:val="00C36996"/>
    <w:rsid w:val="00C3699E"/>
    <w:rsid w:val="00C369B1"/>
    <w:rsid w:val="00C36A16"/>
    <w:rsid w:val="00C36A23"/>
    <w:rsid w:val="00C36A4A"/>
    <w:rsid w:val="00C36A6F"/>
    <w:rsid w:val="00C36A85"/>
    <w:rsid w:val="00C36AB1"/>
    <w:rsid w:val="00C36B58"/>
    <w:rsid w:val="00C36BB2"/>
    <w:rsid w:val="00C36BE1"/>
    <w:rsid w:val="00C36BEF"/>
    <w:rsid w:val="00C36BF2"/>
    <w:rsid w:val="00C36C42"/>
    <w:rsid w:val="00C36C55"/>
    <w:rsid w:val="00C36D95"/>
    <w:rsid w:val="00C36DD1"/>
    <w:rsid w:val="00C36E06"/>
    <w:rsid w:val="00C36E39"/>
    <w:rsid w:val="00C36E6C"/>
    <w:rsid w:val="00C36EE9"/>
    <w:rsid w:val="00C36F17"/>
    <w:rsid w:val="00C36F30"/>
    <w:rsid w:val="00C36F50"/>
    <w:rsid w:val="00C36F5C"/>
    <w:rsid w:val="00C36FE4"/>
    <w:rsid w:val="00C36FE8"/>
    <w:rsid w:val="00C37020"/>
    <w:rsid w:val="00C3703D"/>
    <w:rsid w:val="00C37051"/>
    <w:rsid w:val="00C37097"/>
    <w:rsid w:val="00C370DA"/>
    <w:rsid w:val="00C3714F"/>
    <w:rsid w:val="00C37163"/>
    <w:rsid w:val="00C371AB"/>
    <w:rsid w:val="00C3725C"/>
    <w:rsid w:val="00C3729F"/>
    <w:rsid w:val="00C372A2"/>
    <w:rsid w:val="00C372A8"/>
    <w:rsid w:val="00C372F6"/>
    <w:rsid w:val="00C3730F"/>
    <w:rsid w:val="00C37310"/>
    <w:rsid w:val="00C37319"/>
    <w:rsid w:val="00C37326"/>
    <w:rsid w:val="00C373F8"/>
    <w:rsid w:val="00C37432"/>
    <w:rsid w:val="00C37475"/>
    <w:rsid w:val="00C3747A"/>
    <w:rsid w:val="00C3747E"/>
    <w:rsid w:val="00C37490"/>
    <w:rsid w:val="00C374B8"/>
    <w:rsid w:val="00C374BD"/>
    <w:rsid w:val="00C374DE"/>
    <w:rsid w:val="00C374E2"/>
    <w:rsid w:val="00C374FB"/>
    <w:rsid w:val="00C3754A"/>
    <w:rsid w:val="00C37557"/>
    <w:rsid w:val="00C3759B"/>
    <w:rsid w:val="00C375AF"/>
    <w:rsid w:val="00C375BE"/>
    <w:rsid w:val="00C375E2"/>
    <w:rsid w:val="00C3760D"/>
    <w:rsid w:val="00C37656"/>
    <w:rsid w:val="00C3769B"/>
    <w:rsid w:val="00C376DE"/>
    <w:rsid w:val="00C37757"/>
    <w:rsid w:val="00C3775A"/>
    <w:rsid w:val="00C37791"/>
    <w:rsid w:val="00C37862"/>
    <w:rsid w:val="00C37867"/>
    <w:rsid w:val="00C3788A"/>
    <w:rsid w:val="00C378D7"/>
    <w:rsid w:val="00C378EB"/>
    <w:rsid w:val="00C37912"/>
    <w:rsid w:val="00C3793A"/>
    <w:rsid w:val="00C37942"/>
    <w:rsid w:val="00C37958"/>
    <w:rsid w:val="00C3795F"/>
    <w:rsid w:val="00C37972"/>
    <w:rsid w:val="00C37A09"/>
    <w:rsid w:val="00C37A35"/>
    <w:rsid w:val="00C37A4E"/>
    <w:rsid w:val="00C37A8F"/>
    <w:rsid w:val="00C37A90"/>
    <w:rsid w:val="00C37A96"/>
    <w:rsid w:val="00C37ACA"/>
    <w:rsid w:val="00C37AEF"/>
    <w:rsid w:val="00C37B13"/>
    <w:rsid w:val="00C37BA8"/>
    <w:rsid w:val="00C37BAC"/>
    <w:rsid w:val="00C37BC3"/>
    <w:rsid w:val="00C37C06"/>
    <w:rsid w:val="00C37C3E"/>
    <w:rsid w:val="00C37CBA"/>
    <w:rsid w:val="00C37CF9"/>
    <w:rsid w:val="00C37D29"/>
    <w:rsid w:val="00C37D97"/>
    <w:rsid w:val="00C37DFE"/>
    <w:rsid w:val="00C37E43"/>
    <w:rsid w:val="00C37F00"/>
    <w:rsid w:val="00C37F48"/>
    <w:rsid w:val="00C37FCB"/>
    <w:rsid w:val="00C3A849"/>
    <w:rsid w:val="00C4001B"/>
    <w:rsid w:val="00C40049"/>
    <w:rsid w:val="00C4008D"/>
    <w:rsid w:val="00C4008E"/>
    <w:rsid w:val="00C400A4"/>
    <w:rsid w:val="00C400CF"/>
    <w:rsid w:val="00C4013A"/>
    <w:rsid w:val="00C4014C"/>
    <w:rsid w:val="00C40168"/>
    <w:rsid w:val="00C4016A"/>
    <w:rsid w:val="00C401A3"/>
    <w:rsid w:val="00C401C5"/>
    <w:rsid w:val="00C401F0"/>
    <w:rsid w:val="00C4022A"/>
    <w:rsid w:val="00C4024A"/>
    <w:rsid w:val="00C4025B"/>
    <w:rsid w:val="00C40287"/>
    <w:rsid w:val="00C402B2"/>
    <w:rsid w:val="00C402D7"/>
    <w:rsid w:val="00C402D9"/>
    <w:rsid w:val="00C402F5"/>
    <w:rsid w:val="00C4034C"/>
    <w:rsid w:val="00C4037D"/>
    <w:rsid w:val="00C40380"/>
    <w:rsid w:val="00C4038C"/>
    <w:rsid w:val="00C403AB"/>
    <w:rsid w:val="00C4040A"/>
    <w:rsid w:val="00C40499"/>
    <w:rsid w:val="00C404DA"/>
    <w:rsid w:val="00C404F2"/>
    <w:rsid w:val="00C4055A"/>
    <w:rsid w:val="00C4057B"/>
    <w:rsid w:val="00C40591"/>
    <w:rsid w:val="00C405DB"/>
    <w:rsid w:val="00C405F8"/>
    <w:rsid w:val="00C40607"/>
    <w:rsid w:val="00C40612"/>
    <w:rsid w:val="00C4063A"/>
    <w:rsid w:val="00C40666"/>
    <w:rsid w:val="00C4069D"/>
    <w:rsid w:val="00C406CB"/>
    <w:rsid w:val="00C406EE"/>
    <w:rsid w:val="00C40705"/>
    <w:rsid w:val="00C40725"/>
    <w:rsid w:val="00C407D0"/>
    <w:rsid w:val="00C407D1"/>
    <w:rsid w:val="00C407F4"/>
    <w:rsid w:val="00C40801"/>
    <w:rsid w:val="00C40831"/>
    <w:rsid w:val="00C4083E"/>
    <w:rsid w:val="00C4085F"/>
    <w:rsid w:val="00C40890"/>
    <w:rsid w:val="00C408B8"/>
    <w:rsid w:val="00C408DE"/>
    <w:rsid w:val="00C408E8"/>
    <w:rsid w:val="00C4092B"/>
    <w:rsid w:val="00C4098B"/>
    <w:rsid w:val="00C40A2D"/>
    <w:rsid w:val="00C40A63"/>
    <w:rsid w:val="00C40A8E"/>
    <w:rsid w:val="00C40B1B"/>
    <w:rsid w:val="00C40B2B"/>
    <w:rsid w:val="00C40B5A"/>
    <w:rsid w:val="00C40B75"/>
    <w:rsid w:val="00C40B7F"/>
    <w:rsid w:val="00C40BA5"/>
    <w:rsid w:val="00C40C0D"/>
    <w:rsid w:val="00C40C2D"/>
    <w:rsid w:val="00C40C59"/>
    <w:rsid w:val="00C40CAD"/>
    <w:rsid w:val="00C40D39"/>
    <w:rsid w:val="00C40D4C"/>
    <w:rsid w:val="00C40D82"/>
    <w:rsid w:val="00C40DDE"/>
    <w:rsid w:val="00C40E4B"/>
    <w:rsid w:val="00C40E71"/>
    <w:rsid w:val="00C40EB4"/>
    <w:rsid w:val="00C40EB6"/>
    <w:rsid w:val="00C40F14"/>
    <w:rsid w:val="00C40F18"/>
    <w:rsid w:val="00C40F4F"/>
    <w:rsid w:val="00C40F6E"/>
    <w:rsid w:val="00C40F83"/>
    <w:rsid w:val="00C40F8C"/>
    <w:rsid w:val="00C40FC3"/>
    <w:rsid w:val="00C4101D"/>
    <w:rsid w:val="00C4102F"/>
    <w:rsid w:val="00C41042"/>
    <w:rsid w:val="00C41121"/>
    <w:rsid w:val="00C411B7"/>
    <w:rsid w:val="00C411C1"/>
    <w:rsid w:val="00C4120A"/>
    <w:rsid w:val="00C4125F"/>
    <w:rsid w:val="00C41267"/>
    <w:rsid w:val="00C41283"/>
    <w:rsid w:val="00C412D4"/>
    <w:rsid w:val="00C412DB"/>
    <w:rsid w:val="00C412DC"/>
    <w:rsid w:val="00C41394"/>
    <w:rsid w:val="00C41448"/>
    <w:rsid w:val="00C4145A"/>
    <w:rsid w:val="00C41481"/>
    <w:rsid w:val="00C414B4"/>
    <w:rsid w:val="00C414EF"/>
    <w:rsid w:val="00C414F9"/>
    <w:rsid w:val="00C4150E"/>
    <w:rsid w:val="00C415D7"/>
    <w:rsid w:val="00C415E1"/>
    <w:rsid w:val="00C415FF"/>
    <w:rsid w:val="00C41600"/>
    <w:rsid w:val="00C4160B"/>
    <w:rsid w:val="00C41628"/>
    <w:rsid w:val="00C41726"/>
    <w:rsid w:val="00C41790"/>
    <w:rsid w:val="00C417BF"/>
    <w:rsid w:val="00C41823"/>
    <w:rsid w:val="00C41824"/>
    <w:rsid w:val="00C41825"/>
    <w:rsid w:val="00C41832"/>
    <w:rsid w:val="00C4184E"/>
    <w:rsid w:val="00C4184F"/>
    <w:rsid w:val="00C4185F"/>
    <w:rsid w:val="00C4187D"/>
    <w:rsid w:val="00C4197B"/>
    <w:rsid w:val="00C4199A"/>
    <w:rsid w:val="00C419A0"/>
    <w:rsid w:val="00C419E8"/>
    <w:rsid w:val="00C41AF3"/>
    <w:rsid w:val="00C41B14"/>
    <w:rsid w:val="00C41B77"/>
    <w:rsid w:val="00C41CB3"/>
    <w:rsid w:val="00C41CCE"/>
    <w:rsid w:val="00C41CE6"/>
    <w:rsid w:val="00C41D69"/>
    <w:rsid w:val="00C41D77"/>
    <w:rsid w:val="00C41D9D"/>
    <w:rsid w:val="00C41DAF"/>
    <w:rsid w:val="00C41DDD"/>
    <w:rsid w:val="00C41DFB"/>
    <w:rsid w:val="00C41E03"/>
    <w:rsid w:val="00C41E70"/>
    <w:rsid w:val="00C41E8D"/>
    <w:rsid w:val="00C41EF6"/>
    <w:rsid w:val="00C41F40"/>
    <w:rsid w:val="00C41F53"/>
    <w:rsid w:val="00C41F5C"/>
    <w:rsid w:val="00C41FAE"/>
    <w:rsid w:val="00C41FC0"/>
    <w:rsid w:val="00C41FDA"/>
    <w:rsid w:val="00C4203D"/>
    <w:rsid w:val="00C42062"/>
    <w:rsid w:val="00C42069"/>
    <w:rsid w:val="00C42071"/>
    <w:rsid w:val="00C4207C"/>
    <w:rsid w:val="00C42081"/>
    <w:rsid w:val="00C420D0"/>
    <w:rsid w:val="00C420D4"/>
    <w:rsid w:val="00C42101"/>
    <w:rsid w:val="00C4210C"/>
    <w:rsid w:val="00C42118"/>
    <w:rsid w:val="00C4211D"/>
    <w:rsid w:val="00C421DD"/>
    <w:rsid w:val="00C421F0"/>
    <w:rsid w:val="00C4221D"/>
    <w:rsid w:val="00C4221E"/>
    <w:rsid w:val="00C42265"/>
    <w:rsid w:val="00C422DA"/>
    <w:rsid w:val="00C42314"/>
    <w:rsid w:val="00C4232D"/>
    <w:rsid w:val="00C42365"/>
    <w:rsid w:val="00C42373"/>
    <w:rsid w:val="00C4237D"/>
    <w:rsid w:val="00C423BE"/>
    <w:rsid w:val="00C4251B"/>
    <w:rsid w:val="00C42592"/>
    <w:rsid w:val="00C425CF"/>
    <w:rsid w:val="00C4264F"/>
    <w:rsid w:val="00C42701"/>
    <w:rsid w:val="00C42706"/>
    <w:rsid w:val="00C42753"/>
    <w:rsid w:val="00C42754"/>
    <w:rsid w:val="00C427C8"/>
    <w:rsid w:val="00C42813"/>
    <w:rsid w:val="00C4288A"/>
    <w:rsid w:val="00C42891"/>
    <w:rsid w:val="00C428B0"/>
    <w:rsid w:val="00C428E1"/>
    <w:rsid w:val="00C42937"/>
    <w:rsid w:val="00C4295D"/>
    <w:rsid w:val="00C4299D"/>
    <w:rsid w:val="00C429C0"/>
    <w:rsid w:val="00C429C3"/>
    <w:rsid w:val="00C429DA"/>
    <w:rsid w:val="00C42A16"/>
    <w:rsid w:val="00C42A1C"/>
    <w:rsid w:val="00C42A48"/>
    <w:rsid w:val="00C42A51"/>
    <w:rsid w:val="00C42A96"/>
    <w:rsid w:val="00C42A9A"/>
    <w:rsid w:val="00C42A9D"/>
    <w:rsid w:val="00C42AE2"/>
    <w:rsid w:val="00C42AFD"/>
    <w:rsid w:val="00C42B27"/>
    <w:rsid w:val="00C42B67"/>
    <w:rsid w:val="00C42B94"/>
    <w:rsid w:val="00C42BBA"/>
    <w:rsid w:val="00C42BD1"/>
    <w:rsid w:val="00C42BE0"/>
    <w:rsid w:val="00C42C1E"/>
    <w:rsid w:val="00C42C47"/>
    <w:rsid w:val="00C42C4B"/>
    <w:rsid w:val="00C42C9C"/>
    <w:rsid w:val="00C42C9D"/>
    <w:rsid w:val="00C42CD7"/>
    <w:rsid w:val="00C42CEA"/>
    <w:rsid w:val="00C42D3C"/>
    <w:rsid w:val="00C42D53"/>
    <w:rsid w:val="00C42D55"/>
    <w:rsid w:val="00C42D79"/>
    <w:rsid w:val="00C42DF0"/>
    <w:rsid w:val="00C42E2D"/>
    <w:rsid w:val="00C42EED"/>
    <w:rsid w:val="00C42F07"/>
    <w:rsid w:val="00C42F18"/>
    <w:rsid w:val="00C42F74"/>
    <w:rsid w:val="00C42F86"/>
    <w:rsid w:val="00C42FB3"/>
    <w:rsid w:val="00C42FC1"/>
    <w:rsid w:val="00C42FCB"/>
    <w:rsid w:val="00C42FD2"/>
    <w:rsid w:val="00C42FDA"/>
    <w:rsid w:val="00C42FE5"/>
    <w:rsid w:val="00C4308B"/>
    <w:rsid w:val="00C430E7"/>
    <w:rsid w:val="00C4310F"/>
    <w:rsid w:val="00C43118"/>
    <w:rsid w:val="00C4313B"/>
    <w:rsid w:val="00C43201"/>
    <w:rsid w:val="00C43239"/>
    <w:rsid w:val="00C432E2"/>
    <w:rsid w:val="00C4334B"/>
    <w:rsid w:val="00C43362"/>
    <w:rsid w:val="00C43366"/>
    <w:rsid w:val="00C4336E"/>
    <w:rsid w:val="00C43398"/>
    <w:rsid w:val="00C433C2"/>
    <w:rsid w:val="00C433C6"/>
    <w:rsid w:val="00C433D7"/>
    <w:rsid w:val="00C43419"/>
    <w:rsid w:val="00C43451"/>
    <w:rsid w:val="00C43460"/>
    <w:rsid w:val="00C43470"/>
    <w:rsid w:val="00C43474"/>
    <w:rsid w:val="00C434EA"/>
    <w:rsid w:val="00C434F7"/>
    <w:rsid w:val="00C43514"/>
    <w:rsid w:val="00C43551"/>
    <w:rsid w:val="00C43566"/>
    <w:rsid w:val="00C43578"/>
    <w:rsid w:val="00C435A9"/>
    <w:rsid w:val="00C4375C"/>
    <w:rsid w:val="00C437AD"/>
    <w:rsid w:val="00C437BF"/>
    <w:rsid w:val="00C437C1"/>
    <w:rsid w:val="00C437E8"/>
    <w:rsid w:val="00C43820"/>
    <w:rsid w:val="00C4383E"/>
    <w:rsid w:val="00C43846"/>
    <w:rsid w:val="00C438D5"/>
    <w:rsid w:val="00C438E4"/>
    <w:rsid w:val="00C438FC"/>
    <w:rsid w:val="00C43928"/>
    <w:rsid w:val="00C43936"/>
    <w:rsid w:val="00C43963"/>
    <w:rsid w:val="00C43981"/>
    <w:rsid w:val="00C43982"/>
    <w:rsid w:val="00C43987"/>
    <w:rsid w:val="00C4399B"/>
    <w:rsid w:val="00C439B5"/>
    <w:rsid w:val="00C439D7"/>
    <w:rsid w:val="00C439D9"/>
    <w:rsid w:val="00C439F5"/>
    <w:rsid w:val="00C43A89"/>
    <w:rsid w:val="00C43AEE"/>
    <w:rsid w:val="00C43AF6"/>
    <w:rsid w:val="00C43B13"/>
    <w:rsid w:val="00C43B19"/>
    <w:rsid w:val="00C43B2A"/>
    <w:rsid w:val="00C43B2E"/>
    <w:rsid w:val="00C43B3D"/>
    <w:rsid w:val="00C43B60"/>
    <w:rsid w:val="00C43B82"/>
    <w:rsid w:val="00C43BA0"/>
    <w:rsid w:val="00C43BF2"/>
    <w:rsid w:val="00C43CC8"/>
    <w:rsid w:val="00C43CED"/>
    <w:rsid w:val="00C43D03"/>
    <w:rsid w:val="00C43D9D"/>
    <w:rsid w:val="00C43DF3"/>
    <w:rsid w:val="00C43E0F"/>
    <w:rsid w:val="00C43E33"/>
    <w:rsid w:val="00C43E42"/>
    <w:rsid w:val="00C43E55"/>
    <w:rsid w:val="00C43E5F"/>
    <w:rsid w:val="00C43E73"/>
    <w:rsid w:val="00C43EB9"/>
    <w:rsid w:val="00C43F00"/>
    <w:rsid w:val="00C43F48"/>
    <w:rsid w:val="00C43FB1"/>
    <w:rsid w:val="00C43FD0"/>
    <w:rsid w:val="00C4401C"/>
    <w:rsid w:val="00C44024"/>
    <w:rsid w:val="00C4404F"/>
    <w:rsid w:val="00C44087"/>
    <w:rsid w:val="00C440A3"/>
    <w:rsid w:val="00C440CE"/>
    <w:rsid w:val="00C44105"/>
    <w:rsid w:val="00C4411E"/>
    <w:rsid w:val="00C441B3"/>
    <w:rsid w:val="00C441EA"/>
    <w:rsid w:val="00C441EB"/>
    <w:rsid w:val="00C44210"/>
    <w:rsid w:val="00C44289"/>
    <w:rsid w:val="00C44297"/>
    <w:rsid w:val="00C442FA"/>
    <w:rsid w:val="00C44303"/>
    <w:rsid w:val="00C44382"/>
    <w:rsid w:val="00C443A2"/>
    <w:rsid w:val="00C443B0"/>
    <w:rsid w:val="00C443CE"/>
    <w:rsid w:val="00C44405"/>
    <w:rsid w:val="00C44429"/>
    <w:rsid w:val="00C44445"/>
    <w:rsid w:val="00C444AC"/>
    <w:rsid w:val="00C444D8"/>
    <w:rsid w:val="00C444F4"/>
    <w:rsid w:val="00C44536"/>
    <w:rsid w:val="00C4456F"/>
    <w:rsid w:val="00C4458A"/>
    <w:rsid w:val="00C445B9"/>
    <w:rsid w:val="00C445C7"/>
    <w:rsid w:val="00C445E6"/>
    <w:rsid w:val="00C4463B"/>
    <w:rsid w:val="00C4465C"/>
    <w:rsid w:val="00C446BF"/>
    <w:rsid w:val="00C446C9"/>
    <w:rsid w:val="00C446D0"/>
    <w:rsid w:val="00C44789"/>
    <w:rsid w:val="00C447DD"/>
    <w:rsid w:val="00C447E4"/>
    <w:rsid w:val="00C44880"/>
    <w:rsid w:val="00C44896"/>
    <w:rsid w:val="00C44941"/>
    <w:rsid w:val="00C4494A"/>
    <w:rsid w:val="00C44980"/>
    <w:rsid w:val="00C4499A"/>
    <w:rsid w:val="00C449B1"/>
    <w:rsid w:val="00C449CA"/>
    <w:rsid w:val="00C449D5"/>
    <w:rsid w:val="00C449F9"/>
    <w:rsid w:val="00C44A3D"/>
    <w:rsid w:val="00C44A43"/>
    <w:rsid w:val="00C44A47"/>
    <w:rsid w:val="00C44A7F"/>
    <w:rsid w:val="00C44A80"/>
    <w:rsid w:val="00C44A86"/>
    <w:rsid w:val="00C44A99"/>
    <w:rsid w:val="00C44A9A"/>
    <w:rsid w:val="00C44ADD"/>
    <w:rsid w:val="00C44AFC"/>
    <w:rsid w:val="00C44BA9"/>
    <w:rsid w:val="00C44BCE"/>
    <w:rsid w:val="00C44C41"/>
    <w:rsid w:val="00C44C6F"/>
    <w:rsid w:val="00C44CA6"/>
    <w:rsid w:val="00C44CB8"/>
    <w:rsid w:val="00C44D0D"/>
    <w:rsid w:val="00C44D7D"/>
    <w:rsid w:val="00C44DB5"/>
    <w:rsid w:val="00C44DDA"/>
    <w:rsid w:val="00C44E40"/>
    <w:rsid w:val="00C44E4D"/>
    <w:rsid w:val="00C44EBC"/>
    <w:rsid w:val="00C44F1D"/>
    <w:rsid w:val="00C44FDA"/>
    <w:rsid w:val="00C45001"/>
    <w:rsid w:val="00C45030"/>
    <w:rsid w:val="00C45057"/>
    <w:rsid w:val="00C45084"/>
    <w:rsid w:val="00C45117"/>
    <w:rsid w:val="00C45136"/>
    <w:rsid w:val="00C4519B"/>
    <w:rsid w:val="00C451A4"/>
    <w:rsid w:val="00C451B7"/>
    <w:rsid w:val="00C451DA"/>
    <w:rsid w:val="00C451EC"/>
    <w:rsid w:val="00C451ED"/>
    <w:rsid w:val="00C451F4"/>
    <w:rsid w:val="00C452BD"/>
    <w:rsid w:val="00C4532C"/>
    <w:rsid w:val="00C45392"/>
    <w:rsid w:val="00C453EC"/>
    <w:rsid w:val="00C453EE"/>
    <w:rsid w:val="00C453F3"/>
    <w:rsid w:val="00C453F4"/>
    <w:rsid w:val="00C45487"/>
    <w:rsid w:val="00C454B9"/>
    <w:rsid w:val="00C454BE"/>
    <w:rsid w:val="00C4551B"/>
    <w:rsid w:val="00C455CB"/>
    <w:rsid w:val="00C455DB"/>
    <w:rsid w:val="00C456D4"/>
    <w:rsid w:val="00C456F5"/>
    <w:rsid w:val="00C4571D"/>
    <w:rsid w:val="00C4572A"/>
    <w:rsid w:val="00C45767"/>
    <w:rsid w:val="00C457A2"/>
    <w:rsid w:val="00C45828"/>
    <w:rsid w:val="00C4582C"/>
    <w:rsid w:val="00C45843"/>
    <w:rsid w:val="00C45869"/>
    <w:rsid w:val="00C4586F"/>
    <w:rsid w:val="00C45880"/>
    <w:rsid w:val="00C458EC"/>
    <w:rsid w:val="00C4593D"/>
    <w:rsid w:val="00C45941"/>
    <w:rsid w:val="00C45954"/>
    <w:rsid w:val="00C45970"/>
    <w:rsid w:val="00C459CD"/>
    <w:rsid w:val="00C459D8"/>
    <w:rsid w:val="00C459FD"/>
    <w:rsid w:val="00C459FF"/>
    <w:rsid w:val="00C45A2A"/>
    <w:rsid w:val="00C45A3B"/>
    <w:rsid w:val="00C45A8E"/>
    <w:rsid w:val="00C45A9F"/>
    <w:rsid w:val="00C45AA6"/>
    <w:rsid w:val="00C45AF5"/>
    <w:rsid w:val="00C45B15"/>
    <w:rsid w:val="00C45B75"/>
    <w:rsid w:val="00C45B7D"/>
    <w:rsid w:val="00C45BBA"/>
    <w:rsid w:val="00C45C08"/>
    <w:rsid w:val="00C45C4D"/>
    <w:rsid w:val="00C45CE8"/>
    <w:rsid w:val="00C45D1A"/>
    <w:rsid w:val="00C45D2C"/>
    <w:rsid w:val="00C45D2F"/>
    <w:rsid w:val="00C45D40"/>
    <w:rsid w:val="00C45D63"/>
    <w:rsid w:val="00C45D76"/>
    <w:rsid w:val="00C45D7D"/>
    <w:rsid w:val="00C45DE7"/>
    <w:rsid w:val="00C45DFE"/>
    <w:rsid w:val="00C45E01"/>
    <w:rsid w:val="00C45E5F"/>
    <w:rsid w:val="00C45EA4"/>
    <w:rsid w:val="00C45EBE"/>
    <w:rsid w:val="00C45EDE"/>
    <w:rsid w:val="00C45F62"/>
    <w:rsid w:val="00C45FA0"/>
    <w:rsid w:val="00C45FCF"/>
    <w:rsid w:val="00C460D5"/>
    <w:rsid w:val="00C46114"/>
    <w:rsid w:val="00C4614C"/>
    <w:rsid w:val="00C4615B"/>
    <w:rsid w:val="00C4616C"/>
    <w:rsid w:val="00C46192"/>
    <w:rsid w:val="00C461D5"/>
    <w:rsid w:val="00C46200"/>
    <w:rsid w:val="00C4620A"/>
    <w:rsid w:val="00C46216"/>
    <w:rsid w:val="00C462A6"/>
    <w:rsid w:val="00C46314"/>
    <w:rsid w:val="00C46348"/>
    <w:rsid w:val="00C4639D"/>
    <w:rsid w:val="00C463BF"/>
    <w:rsid w:val="00C4647C"/>
    <w:rsid w:val="00C46496"/>
    <w:rsid w:val="00C464C5"/>
    <w:rsid w:val="00C464D1"/>
    <w:rsid w:val="00C464E5"/>
    <w:rsid w:val="00C464E8"/>
    <w:rsid w:val="00C46517"/>
    <w:rsid w:val="00C46527"/>
    <w:rsid w:val="00C4657B"/>
    <w:rsid w:val="00C4657F"/>
    <w:rsid w:val="00C46585"/>
    <w:rsid w:val="00C465A0"/>
    <w:rsid w:val="00C465AD"/>
    <w:rsid w:val="00C46610"/>
    <w:rsid w:val="00C46644"/>
    <w:rsid w:val="00C4666A"/>
    <w:rsid w:val="00C46690"/>
    <w:rsid w:val="00C466A1"/>
    <w:rsid w:val="00C466C8"/>
    <w:rsid w:val="00C466DE"/>
    <w:rsid w:val="00C466F7"/>
    <w:rsid w:val="00C46729"/>
    <w:rsid w:val="00C46747"/>
    <w:rsid w:val="00C46748"/>
    <w:rsid w:val="00C46773"/>
    <w:rsid w:val="00C467D1"/>
    <w:rsid w:val="00C46811"/>
    <w:rsid w:val="00C46848"/>
    <w:rsid w:val="00C46865"/>
    <w:rsid w:val="00C4686F"/>
    <w:rsid w:val="00C468AC"/>
    <w:rsid w:val="00C468DF"/>
    <w:rsid w:val="00C4695C"/>
    <w:rsid w:val="00C469EB"/>
    <w:rsid w:val="00C469F9"/>
    <w:rsid w:val="00C46A3C"/>
    <w:rsid w:val="00C46A55"/>
    <w:rsid w:val="00C46A66"/>
    <w:rsid w:val="00C46A73"/>
    <w:rsid w:val="00C46ACE"/>
    <w:rsid w:val="00C46AEC"/>
    <w:rsid w:val="00C46B13"/>
    <w:rsid w:val="00C46B24"/>
    <w:rsid w:val="00C46B67"/>
    <w:rsid w:val="00C46BB2"/>
    <w:rsid w:val="00C46C03"/>
    <w:rsid w:val="00C46C0B"/>
    <w:rsid w:val="00C46C4F"/>
    <w:rsid w:val="00C46CB3"/>
    <w:rsid w:val="00C46CEC"/>
    <w:rsid w:val="00C46D26"/>
    <w:rsid w:val="00C46D45"/>
    <w:rsid w:val="00C46D96"/>
    <w:rsid w:val="00C46DDD"/>
    <w:rsid w:val="00C46DED"/>
    <w:rsid w:val="00C46DF9"/>
    <w:rsid w:val="00C46DFF"/>
    <w:rsid w:val="00C46E67"/>
    <w:rsid w:val="00C46EA3"/>
    <w:rsid w:val="00C46F26"/>
    <w:rsid w:val="00C46F46"/>
    <w:rsid w:val="00C46F87"/>
    <w:rsid w:val="00C46FA7"/>
    <w:rsid w:val="00C46FB5"/>
    <w:rsid w:val="00C46FE1"/>
    <w:rsid w:val="00C4702F"/>
    <w:rsid w:val="00C47072"/>
    <w:rsid w:val="00C470D4"/>
    <w:rsid w:val="00C470EB"/>
    <w:rsid w:val="00C47108"/>
    <w:rsid w:val="00C47140"/>
    <w:rsid w:val="00C47156"/>
    <w:rsid w:val="00C47175"/>
    <w:rsid w:val="00C471A0"/>
    <w:rsid w:val="00C471AE"/>
    <w:rsid w:val="00C471B1"/>
    <w:rsid w:val="00C471C9"/>
    <w:rsid w:val="00C471FF"/>
    <w:rsid w:val="00C4724D"/>
    <w:rsid w:val="00C47295"/>
    <w:rsid w:val="00C472B0"/>
    <w:rsid w:val="00C47339"/>
    <w:rsid w:val="00C4733E"/>
    <w:rsid w:val="00C47350"/>
    <w:rsid w:val="00C473D4"/>
    <w:rsid w:val="00C47497"/>
    <w:rsid w:val="00C474AC"/>
    <w:rsid w:val="00C4752D"/>
    <w:rsid w:val="00C4755D"/>
    <w:rsid w:val="00C4759B"/>
    <w:rsid w:val="00C475DB"/>
    <w:rsid w:val="00C475EC"/>
    <w:rsid w:val="00C475F9"/>
    <w:rsid w:val="00C47630"/>
    <w:rsid w:val="00C47654"/>
    <w:rsid w:val="00C476FE"/>
    <w:rsid w:val="00C47724"/>
    <w:rsid w:val="00C47754"/>
    <w:rsid w:val="00C47765"/>
    <w:rsid w:val="00C4776A"/>
    <w:rsid w:val="00C47793"/>
    <w:rsid w:val="00C477FB"/>
    <w:rsid w:val="00C4781D"/>
    <w:rsid w:val="00C47832"/>
    <w:rsid w:val="00C47849"/>
    <w:rsid w:val="00C47983"/>
    <w:rsid w:val="00C479B4"/>
    <w:rsid w:val="00C479C4"/>
    <w:rsid w:val="00C479E5"/>
    <w:rsid w:val="00C47A11"/>
    <w:rsid w:val="00C47A95"/>
    <w:rsid w:val="00C47AAE"/>
    <w:rsid w:val="00C47AAF"/>
    <w:rsid w:val="00C47AE8"/>
    <w:rsid w:val="00C47B36"/>
    <w:rsid w:val="00C47BB9"/>
    <w:rsid w:val="00C47BDB"/>
    <w:rsid w:val="00C47BF8"/>
    <w:rsid w:val="00C47C02"/>
    <w:rsid w:val="00C47C24"/>
    <w:rsid w:val="00C47C5E"/>
    <w:rsid w:val="00C47C73"/>
    <w:rsid w:val="00C47C89"/>
    <w:rsid w:val="00C47CA4"/>
    <w:rsid w:val="00C47D53"/>
    <w:rsid w:val="00C47DA2"/>
    <w:rsid w:val="00C47DE4"/>
    <w:rsid w:val="00C47E23"/>
    <w:rsid w:val="00C47E39"/>
    <w:rsid w:val="00C47E4A"/>
    <w:rsid w:val="00C47E51"/>
    <w:rsid w:val="00C47E7A"/>
    <w:rsid w:val="00C47E7C"/>
    <w:rsid w:val="00C47EB8"/>
    <w:rsid w:val="00C47ECA"/>
    <w:rsid w:val="00C47F94"/>
    <w:rsid w:val="00C4A058"/>
    <w:rsid w:val="00C500C9"/>
    <w:rsid w:val="00C5017F"/>
    <w:rsid w:val="00C501D9"/>
    <w:rsid w:val="00C501E8"/>
    <w:rsid w:val="00C50222"/>
    <w:rsid w:val="00C5027F"/>
    <w:rsid w:val="00C502A6"/>
    <w:rsid w:val="00C502BD"/>
    <w:rsid w:val="00C502D0"/>
    <w:rsid w:val="00C502D5"/>
    <w:rsid w:val="00C502E0"/>
    <w:rsid w:val="00C5030F"/>
    <w:rsid w:val="00C50330"/>
    <w:rsid w:val="00C5035F"/>
    <w:rsid w:val="00C503B3"/>
    <w:rsid w:val="00C5041B"/>
    <w:rsid w:val="00C5041D"/>
    <w:rsid w:val="00C50432"/>
    <w:rsid w:val="00C504D7"/>
    <w:rsid w:val="00C5059B"/>
    <w:rsid w:val="00C505A0"/>
    <w:rsid w:val="00C5066B"/>
    <w:rsid w:val="00C50671"/>
    <w:rsid w:val="00C50674"/>
    <w:rsid w:val="00C506F9"/>
    <w:rsid w:val="00C5076D"/>
    <w:rsid w:val="00C5076E"/>
    <w:rsid w:val="00C507CA"/>
    <w:rsid w:val="00C507FA"/>
    <w:rsid w:val="00C50804"/>
    <w:rsid w:val="00C50816"/>
    <w:rsid w:val="00C5084D"/>
    <w:rsid w:val="00C508AF"/>
    <w:rsid w:val="00C508B3"/>
    <w:rsid w:val="00C508EC"/>
    <w:rsid w:val="00C508ED"/>
    <w:rsid w:val="00C50947"/>
    <w:rsid w:val="00C5094A"/>
    <w:rsid w:val="00C50984"/>
    <w:rsid w:val="00C50994"/>
    <w:rsid w:val="00C509AB"/>
    <w:rsid w:val="00C509E7"/>
    <w:rsid w:val="00C50A27"/>
    <w:rsid w:val="00C50A56"/>
    <w:rsid w:val="00C50A82"/>
    <w:rsid w:val="00C50A85"/>
    <w:rsid w:val="00C50A95"/>
    <w:rsid w:val="00C50A96"/>
    <w:rsid w:val="00C50AC3"/>
    <w:rsid w:val="00C50ADC"/>
    <w:rsid w:val="00C50AE5"/>
    <w:rsid w:val="00C50AFE"/>
    <w:rsid w:val="00C50B20"/>
    <w:rsid w:val="00C50B2A"/>
    <w:rsid w:val="00C50B3B"/>
    <w:rsid w:val="00C50B54"/>
    <w:rsid w:val="00C50B9D"/>
    <w:rsid w:val="00C50C2A"/>
    <w:rsid w:val="00C50C34"/>
    <w:rsid w:val="00C50CA3"/>
    <w:rsid w:val="00C50CF1"/>
    <w:rsid w:val="00C50D19"/>
    <w:rsid w:val="00C50D29"/>
    <w:rsid w:val="00C50D37"/>
    <w:rsid w:val="00C50D39"/>
    <w:rsid w:val="00C50D8B"/>
    <w:rsid w:val="00C50D9C"/>
    <w:rsid w:val="00C50E2B"/>
    <w:rsid w:val="00C50E35"/>
    <w:rsid w:val="00C50E9C"/>
    <w:rsid w:val="00C50F4A"/>
    <w:rsid w:val="00C50F90"/>
    <w:rsid w:val="00C50FA8"/>
    <w:rsid w:val="00C50FC5"/>
    <w:rsid w:val="00C51039"/>
    <w:rsid w:val="00C51051"/>
    <w:rsid w:val="00C5105A"/>
    <w:rsid w:val="00C5108B"/>
    <w:rsid w:val="00C510CE"/>
    <w:rsid w:val="00C510E6"/>
    <w:rsid w:val="00C51117"/>
    <w:rsid w:val="00C51136"/>
    <w:rsid w:val="00C51191"/>
    <w:rsid w:val="00C511CF"/>
    <w:rsid w:val="00C511D2"/>
    <w:rsid w:val="00C511DD"/>
    <w:rsid w:val="00C511FF"/>
    <w:rsid w:val="00C5122A"/>
    <w:rsid w:val="00C5127A"/>
    <w:rsid w:val="00C5127B"/>
    <w:rsid w:val="00C5129E"/>
    <w:rsid w:val="00C512FB"/>
    <w:rsid w:val="00C513B6"/>
    <w:rsid w:val="00C5144B"/>
    <w:rsid w:val="00C514C9"/>
    <w:rsid w:val="00C51534"/>
    <w:rsid w:val="00C51556"/>
    <w:rsid w:val="00C51572"/>
    <w:rsid w:val="00C5157A"/>
    <w:rsid w:val="00C515B7"/>
    <w:rsid w:val="00C515F4"/>
    <w:rsid w:val="00C51616"/>
    <w:rsid w:val="00C51627"/>
    <w:rsid w:val="00C516AB"/>
    <w:rsid w:val="00C516B5"/>
    <w:rsid w:val="00C516E2"/>
    <w:rsid w:val="00C5174A"/>
    <w:rsid w:val="00C51798"/>
    <w:rsid w:val="00C517DD"/>
    <w:rsid w:val="00C51841"/>
    <w:rsid w:val="00C5187A"/>
    <w:rsid w:val="00C518CC"/>
    <w:rsid w:val="00C518E6"/>
    <w:rsid w:val="00C51938"/>
    <w:rsid w:val="00C5194E"/>
    <w:rsid w:val="00C5196F"/>
    <w:rsid w:val="00C519AE"/>
    <w:rsid w:val="00C51A53"/>
    <w:rsid w:val="00C51B02"/>
    <w:rsid w:val="00C51B2B"/>
    <w:rsid w:val="00C51B69"/>
    <w:rsid w:val="00C51B6B"/>
    <w:rsid w:val="00C51B6C"/>
    <w:rsid w:val="00C51BC1"/>
    <w:rsid w:val="00C51BCB"/>
    <w:rsid w:val="00C51BF0"/>
    <w:rsid w:val="00C51C2B"/>
    <w:rsid w:val="00C51C7E"/>
    <w:rsid w:val="00C51C91"/>
    <w:rsid w:val="00C51C98"/>
    <w:rsid w:val="00C51CD6"/>
    <w:rsid w:val="00C51CDE"/>
    <w:rsid w:val="00C51CF1"/>
    <w:rsid w:val="00C51D44"/>
    <w:rsid w:val="00C51D87"/>
    <w:rsid w:val="00C51D93"/>
    <w:rsid w:val="00C51DB5"/>
    <w:rsid w:val="00C51E70"/>
    <w:rsid w:val="00C51E80"/>
    <w:rsid w:val="00C51F18"/>
    <w:rsid w:val="00C51F25"/>
    <w:rsid w:val="00C51F39"/>
    <w:rsid w:val="00C51F80"/>
    <w:rsid w:val="00C51F92"/>
    <w:rsid w:val="00C51FFD"/>
    <w:rsid w:val="00C52058"/>
    <w:rsid w:val="00C5205B"/>
    <w:rsid w:val="00C5208A"/>
    <w:rsid w:val="00C520AD"/>
    <w:rsid w:val="00C520C3"/>
    <w:rsid w:val="00C520D7"/>
    <w:rsid w:val="00C520FE"/>
    <w:rsid w:val="00C52138"/>
    <w:rsid w:val="00C5213C"/>
    <w:rsid w:val="00C52141"/>
    <w:rsid w:val="00C52169"/>
    <w:rsid w:val="00C5218B"/>
    <w:rsid w:val="00C521AF"/>
    <w:rsid w:val="00C521FB"/>
    <w:rsid w:val="00C52206"/>
    <w:rsid w:val="00C52271"/>
    <w:rsid w:val="00C522CE"/>
    <w:rsid w:val="00C52355"/>
    <w:rsid w:val="00C523D5"/>
    <w:rsid w:val="00C523ED"/>
    <w:rsid w:val="00C523F8"/>
    <w:rsid w:val="00C52422"/>
    <w:rsid w:val="00C5246E"/>
    <w:rsid w:val="00C524DD"/>
    <w:rsid w:val="00C524E9"/>
    <w:rsid w:val="00C525A1"/>
    <w:rsid w:val="00C5260A"/>
    <w:rsid w:val="00C52720"/>
    <w:rsid w:val="00C52769"/>
    <w:rsid w:val="00C52821"/>
    <w:rsid w:val="00C52845"/>
    <w:rsid w:val="00C5285E"/>
    <w:rsid w:val="00C528A0"/>
    <w:rsid w:val="00C528AA"/>
    <w:rsid w:val="00C528CE"/>
    <w:rsid w:val="00C528F3"/>
    <w:rsid w:val="00C52905"/>
    <w:rsid w:val="00C5290A"/>
    <w:rsid w:val="00C52960"/>
    <w:rsid w:val="00C52996"/>
    <w:rsid w:val="00C529CA"/>
    <w:rsid w:val="00C529E6"/>
    <w:rsid w:val="00C529EB"/>
    <w:rsid w:val="00C52A16"/>
    <w:rsid w:val="00C52A32"/>
    <w:rsid w:val="00C52A52"/>
    <w:rsid w:val="00C52AB3"/>
    <w:rsid w:val="00C52B24"/>
    <w:rsid w:val="00C52B2F"/>
    <w:rsid w:val="00C52B38"/>
    <w:rsid w:val="00C52B56"/>
    <w:rsid w:val="00C52B71"/>
    <w:rsid w:val="00C52B7D"/>
    <w:rsid w:val="00C52B8B"/>
    <w:rsid w:val="00C52B95"/>
    <w:rsid w:val="00C52BA2"/>
    <w:rsid w:val="00C52BD8"/>
    <w:rsid w:val="00C52BE9"/>
    <w:rsid w:val="00C52CA9"/>
    <w:rsid w:val="00C52CDD"/>
    <w:rsid w:val="00C52D30"/>
    <w:rsid w:val="00C52D97"/>
    <w:rsid w:val="00C52DA5"/>
    <w:rsid w:val="00C52DCE"/>
    <w:rsid w:val="00C52E6B"/>
    <w:rsid w:val="00C52E7E"/>
    <w:rsid w:val="00C52E86"/>
    <w:rsid w:val="00C52F79"/>
    <w:rsid w:val="00C52FA1"/>
    <w:rsid w:val="00C5302B"/>
    <w:rsid w:val="00C5302C"/>
    <w:rsid w:val="00C53056"/>
    <w:rsid w:val="00C53080"/>
    <w:rsid w:val="00C53182"/>
    <w:rsid w:val="00C531D2"/>
    <w:rsid w:val="00C5320D"/>
    <w:rsid w:val="00C53212"/>
    <w:rsid w:val="00C5322D"/>
    <w:rsid w:val="00C5325C"/>
    <w:rsid w:val="00C532A0"/>
    <w:rsid w:val="00C532A9"/>
    <w:rsid w:val="00C532B9"/>
    <w:rsid w:val="00C532F5"/>
    <w:rsid w:val="00C532FA"/>
    <w:rsid w:val="00C53316"/>
    <w:rsid w:val="00C53324"/>
    <w:rsid w:val="00C53336"/>
    <w:rsid w:val="00C53381"/>
    <w:rsid w:val="00C53383"/>
    <w:rsid w:val="00C53410"/>
    <w:rsid w:val="00C53425"/>
    <w:rsid w:val="00C53427"/>
    <w:rsid w:val="00C53455"/>
    <w:rsid w:val="00C53463"/>
    <w:rsid w:val="00C534CE"/>
    <w:rsid w:val="00C534E2"/>
    <w:rsid w:val="00C534EA"/>
    <w:rsid w:val="00C534F0"/>
    <w:rsid w:val="00C534F8"/>
    <w:rsid w:val="00C5350D"/>
    <w:rsid w:val="00C53547"/>
    <w:rsid w:val="00C535D0"/>
    <w:rsid w:val="00C53601"/>
    <w:rsid w:val="00C53631"/>
    <w:rsid w:val="00C5364A"/>
    <w:rsid w:val="00C53652"/>
    <w:rsid w:val="00C53653"/>
    <w:rsid w:val="00C53657"/>
    <w:rsid w:val="00C53661"/>
    <w:rsid w:val="00C53692"/>
    <w:rsid w:val="00C53764"/>
    <w:rsid w:val="00C537C1"/>
    <w:rsid w:val="00C53837"/>
    <w:rsid w:val="00C538B6"/>
    <w:rsid w:val="00C538BA"/>
    <w:rsid w:val="00C53943"/>
    <w:rsid w:val="00C5394B"/>
    <w:rsid w:val="00C539C3"/>
    <w:rsid w:val="00C539C7"/>
    <w:rsid w:val="00C539CF"/>
    <w:rsid w:val="00C53A1A"/>
    <w:rsid w:val="00C53A2E"/>
    <w:rsid w:val="00C53A36"/>
    <w:rsid w:val="00C53AAD"/>
    <w:rsid w:val="00C53ACA"/>
    <w:rsid w:val="00C53AFB"/>
    <w:rsid w:val="00C53BBA"/>
    <w:rsid w:val="00C53BC3"/>
    <w:rsid w:val="00C53BE8"/>
    <w:rsid w:val="00C53BE9"/>
    <w:rsid w:val="00C53C17"/>
    <w:rsid w:val="00C53C1D"/>
    <w:rsid w:val="00C53C30"/>
    <w:rsid w:val="00C53C39"/>
    <w:rsid w:val="00C53C56"/>
    <w:rsid w:val="00C53C6E"/>
    <w:rsid w:val="00C53C9D"/>
    <w:rsid w:val="00C53CC1"/>
    <w:rsid w:val="00C53D23"/>
    <w:rsid w:val="00C53D3B"/>
    <w:rsid w:val="00C53D3E"/>
    <w:rsid w:val="00C53D43"/>
    <w:rsid w:val="00C53DAE"/>
    <w:rsid w:val="00C53DBA"/>
    <w:rsid w:val="00C53DE2"/>
    <w:rsid w:val="00C53E45"/>
    <w:rsid w:val="00C53E47"/>
    <w:rsid w:val="00C53E5D"/>
    <w:rsid w:val="00C53E6A"/>
    <w:rsid w:val="00C53EE8"/>
    <w:rsid w:val="00C53EF0"/>
    <w:rsid w:val="00C53F14"/>
    <w:rsid w:val="00C53F38"/>
    <w:rsid w:val="00C53F8C"/>
    <w:rsid w:val="00C53F8D"/>
    <w:rsid w:val="00C53FA7"/>
    <w:rsid w:val="00C53FF6"/>
    <w:rsid w:val="00C54015"/>
    <w:rsid w:val="00C5409E"/>
    <w:rsid w:val="00C540A6"/>
    <w:rsid w:val="00C540AB"/>
    <w:rsid w:val="00C540B9"/>
    <w:rsid w:val="00C540CD"/>
    <w:rsid w:val="00C540DF"/>
    <w:rsid w:val="00C54108"/>
    <w:rsid w:val="00C54134"/>
    <w:rsid w:val="00C54154"/>
    <w:rsid w:val="00C5419C"/>
    <w:rsid w:val="00C541B0"/>
    <w:rsid w:val="00C541B6"/>
    <w:rsid w:val="00C5420F"/>
    <w:rsid w:val="00C54218"/>
    <w:rsid w:val="00C5421C"/>
    <w:rsid w:val="00C54256"/>
    <w:rsid w:val="00C54271"/>
    <w:rsid w:val="00C542AE"/>
    <w:rsid w:val="00C542C1"/>
    <w:rsid w:val="00C542C8"/>
    <w:rsid w:val="00C542CB"/>
    <w:rsid w:val="00C542CD"/>
    <w:rsid w:val="00C54305"/>
    <w:rsid w:val="00C5433C"/>
    <w:rsid w:val="00C54367"/>
    <w:rsid w:val="00C54381"/>
    <w:rsid w:val="00C543A4"/>
    <w:rsid w:val="00C543C7"/>
    <w:rsid w:val="00C543F7"/>
    <w:rsid w:val="00C54474"/>
    <w:rsid w:val="00C54478"/>
    <w:rsid w:val="00C54483"/>
    <w:rsid w:val="00C5448B"/>
    <w:rsid w:val="00C544CA"/>
    <w:rsid w:val="00C544DE"/>
    <w:rsid w:val="00C544EF"/>
    <w:rsid w:val="00C54540"/>
    <w:rsid w:val="00C545C8"/>
    <w:rsid w:val="00C54616"/>
    <w:rsid w:val="00C54692"/>
    <w:rsid w:val="00C546D8"/>
    <w:rsid w:val="00C5476C"/>
    <w:rsid w:val="00C5478C"/>
    <w:rsid w:val="00C547D9"/>
    <w:rsid w:val="00C54817"/>
    <w:rsid w:val="00C54878"/>
    <w:rsid w:val="00C54883"/>
    <w:rsid w:val="00C54899"/>
    <w:rsid w:val="00C54916"/>
    <w:rsid w:val="00C5492A"/>
    <w:rsid w:val="00C5494B"/>
    <w:rsid w:val="00C54953"/>
    <w:rsid w:val="00C54977"/>
    <w:rsid w:val="00C549B6"/>
    <w:rsid w:val="00C549E7"/>
    <w:rsid w:val="00C54A0E"/>
    <w:rsid w:val="00C54A1D"/>
    <w:rsid w:val="00C54A2C"/>
    <w:rsid w:val="00C54A32"/>
    <w:rsid w:val="00C54A90"/>
    <w:rsid w:val="00C54AD2"/>
    <w:rsid w:val="00C54B21"/>
    <w:rsid w:val="00C54B23"/>
    <w:rsid w:val="00C54B2B"/>
    <w:rsid w:val="00C54B57"/>
    <w:rsid w:val="00C54BC8"/>
    <w:rsid w:val="00C54C23"/>
    <w:rsid w:val="00C54CE0"/>
    <w:rsid w:val="00C54D6B"/>
    <w:rsid w:val="00C54DC3"/>
    <w:rsid w:val="00C54DDC"/>
    <w:rsid w:val="00C54E00"/>
    <w:rsid w:val="00C54E47"/>
    <w:rsid w:val="00C54E50"/>
    <w:rsid w:val="00C54EAB"/>
    <w:rsid w:val="00C54EB9"/>
    <w:rsid w:val="00C54EE3"/>
    <w:rsid w:val="00C54F2C"/>
    <w:rsid w:val="00C54F43"/>
    <w:rsid w:val="00C5500E"/>
    <w:rsid w:val="00C5501C"/>
    <w:rsid w:val="00C55144"/>
    <w:rsid w:val="00C55146"/>
    <w:rsid w:val="00C55147"/>
    <w:rsid w:val="00C55189"/>
    <w:rsid w:val="00C551FC"/>
    <w:rsid w:val="00C552EF"/>
    <w:rsid w:val="00C55312"/>
    <w:rsid w:val="00C55467"/>
    <w:rsid w:val="00C55517"/>
    <w:rsid w:val="00C55589"/>
    <w:rsid w:val="00C5559F"/>
    <w:rsid w:val="00C555B2"/>
    <w:rsid w:val="00C555FB"/>
    <w:rsid w:val="00C55626"/>
    <w:rsid w:val="00C556C3"/>
    <w:rsid w:val="00C556E1"/>
    <w:rsid w:val="00C55717"/>
    <w:rsid w:val="00C55734"/>
    <w:rsid w:val="00C5573D"/>
    <w:rsid w:val="00C55757"/>
    <w:rsid w:val="00C5578A"/>
    <w:rsid w:val="00C557BC"/>
    <w:rsid w:val="00C55826"/>
    <w:rsid w:val="00C55875"/>
    <w:rsid w:val="00C55895"/>
    <w:rsid w:val="00C558EF"/>
    <w:rsid w:val="00C559A9"/>
    <w:rsid w:val="00C559B2"/>
    <w:rsid w:val="00C559B4"/>
    <w:rsid w:val="00C559E1"/>
    <w:rsid w:val="00C55A81"/>
    <w:rsid w:val="00C55B8F"/>
    <w:rsid w:val="00C55B98"/>
    <w:rsid w:val="00C55BD9"/>
    <w:rsid w:val="00C55BEF"/>
    <w:rsid w:val="00C55C9D"/>
    <w:rsid w:val="00C55CDC"/>
    <w:rsid w:val="00C55D54"/>
    <w:rsid w:val="00C55D9A"/>
    <w:rsid w:val="00C55DAE"/>
    <w:rsid w:val="00C55DC6"/>
    <w:rsid w:val="00C55E40"/>
    <w:rsid w:val="00C55EB7"/>
    <w:rsid w:val="00C55F60"/>
    <w:rsid w:val="00C55F63"/>
    <w:rsid w:val="00C55F67"/>
    <w:rsid w:val="00C56023"/>
    <w:rsid w:val="00C56039"/>
    <w:rsid w:val="00C56078"/>
    <w:rsid w:val="00C56096"/>
    <w:rsid w:val="00C560C5"/>
    <w:rsid w:val="00C560CD"/>
    <w:rsid w:val="00C560E8"/>
    <w:rsid w:val="00C560F2"/>
    <w:rsid w:val="00C56131"/>
    <w:rsid w:val="00C5613E"/>
    <w:rsid w:val="00C5614A"/>
    <w:rsid w:val="00C561D4"/>
    <w:rsid w:val="00C5620D"/>
    <w:rsid w:val="00C56214"/>
    <w:rsid w:val="00C56222"/>
    <w:rsid w:val="00C5623B"/>
    <w:rsid w:val="00C5623E"/>
    <w:rsid w:val="00C5625B"/>
    <w:rsid w:val="00C56393"/>
    <w:rsid w:val="00C563C6"/>
    <w:rsid w:val="00C563F4"/>
    <w:rsid w:val="00C5640D"/>
    <w:rsid w:val="00C56483"/>
    <w:rsid w:val="00C564D3"/>
    <w:rsid w:val="00C565DB"/>
    <w:rsid w:val="00C565EA"/>
    <w:rsid w:val="00C56669"/>
    <w:rsid w:val="00C56678"/>
    <w:rsid w:val="00C56725"/>
    <w:rsid w:val="00C5675E"/>
    <w:rsid w:val="00C567E8"/>
    <w:rsid w:val="00C5681E"/>
    <w:rsid w:val="00C5681F"/>
    <w:rsid w:val="00C56831"/>
    <w:rsid w:val="00C56836"/>
    <w:rsid w:val="00C5683C"/>
    <w:rsid w:val="00C5686D"/>
    <w:rsid w:val="00C5686F"/>
    <w:rsid w:val="00C56894"/>
    <w:rsid w:val="00C5689F"/>
    <w:rsid w:val="00C568C4"/>
    <w:rsid w:val="00C568DA"/>
    <w:rsid w:val="00C568DC"/>
    <w:rsid w:val="00C56902"/>
    <w:rsid w:val="00C56913"/>
    <w:rsid w:val="00C5691E"/>
    <w:rsid w:val="00C56946"/>
    <w:rsid w:val="00C56968"/>
    <w:rsid w:val="00C5697B"/>
    <w:rsid w:val="00C569BD"/>
    <w:rsid w:val="00C569E7"/>
    <w:rsid w:val="00C56A37"/>
    <w:rsid w:val="00C56A69"/>
    <w:rsid w:val="00C56ADD"/>
    <w:rsid w:val="00C56B74"/>
    <w:rsid w:val="00C56B83"/>
    <w:rsid w:val="00C56B97"/>
    <w:rsid w:val="00C56BFD"/>
    <w:rsid w:val="00C56C02"/>
    <w:rsid w:val="00C56C76"/>
    <w:rsid w:val="00C56CF4"/>
    <w:rsid w:val="00C56CFB"/>
    <w:rsid w:val="00C56D12"/>
    <w:rsid w:val="00C56E0A"/>
    <w:rsid w:val="00C56E3E"/>
    <w:rsid w:val="00C56E45"/>
    <w:rsid w:val="00C56E77"/>
    <w:rsid w:val="00C56FA5"/>
    <w:rsid w:val="00C56FAF"/>
    <w:rsid w:val="00C56FB3"/>
    <w:rsid w:val="00C56FC5"/>
    <w:rsid w:val="00C5700D"/>
    <w:rsid w:val="00C5701D"/>
    <w:rsid w:val="00C5702E"/>
    <w:rsid w:val="00C5705B"/>
    <w:rsid w:val="00C57077"/>
    <w:rsid w:val="00C57098"/>
    <w:rsid w:val="00C570FC"/>
    <w:rsid w:val="00C571C5"/>
    <w:rsid w:val="00C571C8"/>
    <w:rsid w:val="00C571FB"/>
    <w:rsid w:val="00C57200"/>
    <w:rsid w:val="00C57216"/>
    <w:rsid w:val="00C57239"/>
    <w:rsid w:val="00C57251"/>
    <w:rsid w:val="00C5727A"/>
    <w:rsid w:val="00C57293"/>
    <w:rsid w:val="00C57295"/>
    <w:rsid w:val="00C5729F"/>
    <w:rsid w:val="00C572D1"/>
    <w:rsid w:val="00C572F0"/>
    <w:rsid w:val="00C57301"/>
    <w:rsid w:val="00C57340"/>
    <w:rsid w:val="00C57353"/>
    <w:rsid w:val="00C57357"/>
    <w:rsid w:val="00C5739D"/>
    <w:rsid w:val="00C573B9"/>
    <w:rsid w:val="00C573BF"/>
    <w:rsid w:val="00C573C5"/>
    <w:rsid w:val="00C5740E"/>
    <w:rsid w:val="00C5744E"/>
    <w:rsid w:val="00C57456"/>
    <w:rsid w:val="00C57494"/>
    <w:rsid w:val="00C574BB"/>
    <w:rsid w:val="00C574D4"/>
    <w:rsid w:val="00C574F3"/>
    <w:rsid w:val="00C5754B"/>
    <w:rsid w:val="00C5757E"/>
    <w:rsid w:val="00C575A1"/>
    <w:rsid w:val="00C57639"/>
    <w:rsid w:val="00C5766D"/>
    <w:rsid w:val="00C57682"/>
    <w:rsid w:val="00C5768F"/>
    <w:rsid w:val="00C57699"/>
    <w:rsid w:val="00C5769B"/>
    <w:rsid w:val="00C5769F"/>
    <w:rsid w:val="00C576FC"/>
    <w:rsid w:val="00C57722"/>
    <w:rsid w:val="00C5780B"/>
    <w:rsid w:val="00C5783B"/>
    <w:rsid w:val="00C57879"/>
    <w:rsid w:val="00C578B8"/>
    <w:rsid w:val="00C5790D"/>
    <w:rsid w:val="00C57914"/>
    <w:rsid w:val="00C57945"/>
    <w:rsid w:val="00C5795E"/>
    <w:rsid w:val="00C57994"/>
    <w:rsid w:val="00C57A96"/>
    <w:rsid w:val="00C57AE5"/>
    <w:rsid w:val="00C57AF3"/>
    <w:rsid w:val="00C57AFE"/>
    <w:rsid w:val="00C57B27"/>
    <w:rsid w:val="00C57B4B"/>
    <w:rsid w:val="00C57B61"/>
    <w:rsid w:val="00C57B64"/>
    <w:rsid w:val="00C57BBE"/>
    <w:rsid w:val="00C57C05"/>
    <w:rsid w:val="00C57C43"/>
    <w:rsid w:val="00C57C4D"/>
    <w:rsid w:val="00C57C57"/>
    <w:rsid w:val="00C57C95"/>
    <w:rsid w:val="00C57D46"/>
    <w:rsid w:val="00C57D4E"/>
    <w:rsid w:val="00C57D5B"/>
    <w:rsid w:val="00C57DAC"/>
    <w:rsid w:val="00C57DB4"/>
    <w:rsid w:val="00C57DE2"/>
    <w:rsid w:val="00C57E32"/>
    <w:rsid w:val="00C57E58"/>
    <w:rsid w:val="00C57E72"/>
    <w:rsid w:val="00C57F64"/>
    <w:rsid w:val="00C57FB2"/>
    <w:rsid w:val="00C57FC0"/>
    <w:rsid w:val="00C57FDD"/>
    <w:rsid w:val="00C57FE0"/>
    <w:rsid w:val="00C5C3FD"/>
    <w:rsid w:val="00C5E346"/>
    <w:rsid w:val="00C6000D"/>
    <w:rsid w:val="00C6002F"/>
    <w:rsid w:val="00C6009D"/>
    <w:rsid w:val="00C600B3"/>
    <w:rsid w:val="00C600B8"/>
    <w:rsid w:val="00C60101"/>
    <w:rsid w:val="00C60115"/>
    <w:rsid w:val="00C6011D"/>
    <w:rsid w:val="00C6013B"/>
    <w:rsid w:val="00C6014E"/>
    <w:rsid w:val="00C601AB"/>
    <w:rsid w:val="00C601C0"/>
    <w:rsid w:val="00C601D6"/>
    <w:rsid w:val="00C601F8"/>
    <w:rsid w:val="00C60284"/>
    <w:rsid w:val="00C60321"/>
    <w:rsid w:val="00C6037C"/>
    <w:rsid w:val="00C60383"/>
    <w:rsid w:val="00C603A9"/>
    <w:rsid w:val="00C603EC"/>
    <w:rsid w:val="00C60451"/>
    <w:rsid w:val="00C60454"/>
    <w:rsid w:val="00C60525"/>
    <w:rsid w:val="00C60558"/>
    <w:rsid w:val="00C60580"/>
    <w:rsid w:val="00C605E3"/>
    <w:rsid w:val="00C60689"/>
    <w:rsid w:val="00C606CC"/>
    <w:rsid w:val="00C60773"/>
    <w:rsid w:val="00C6077C"/>
    <w:rsid w:val="00C607CF"/>
    <w:rsid w:val="00C60817"/>
    <w:rsid w:val="00C60858"/>
    <w:rsid w:val="00C60897"/>
    <w:rsid w:val="00C60898"/>
    <w:rsid w:val="00C608CA"/>
    <w:rsid w:val="00C608D7"/>
    <w:rsid w:val="00C608EF"/>
    <w:rsid w:val="00C60915"/>
    <w:rsid w:val="00C6094A"/>
    <w:rsid w:val="00C6095A"/>
    <w:rsid w:val="00C609A6"/>
    <w:rsid w:val="00C609A7"/>
    <w:rsid w:val="00C609C7"/>
    <w:rsid w:val="00C60A31"/>
    <w:rsid w:val="00C60AA0"/>
    <w:rsid w:val="00C60AB5"/>
    <w:rsid w:val="00C60C18"/>
    <w:rsid w:val="00C60C32"/>
    <w:rsid w:val="00C60C45"/>
    <w:rsid w:val="00C60C67"/>
    <w:rsid w:val="00C60C6C"/>
    <w:rsid w:val="00C60C88"/>
    <w:rsid w:val="00C60C9C"/>
    <w:rsid w:val="00C60CCC"/>
    <w:rsid w:val="00C60D2C"/>
    <w:rsid w:val="00C60D4D"/>
    <w:rsid w:val="00C60D4E"/>
    <w:rsid w:val="00C60DBE"/>
    <w:rsid w:val="00C60DC2"/>
    <w:rsid w:val="00C60DFF"/>
    <w:rsid w:val="00C60E77"/>
    <w:rsid w:val="00C60E92"/>
    <w:rsid w:val="00C60ED4"/>
    <w:rsid w:val="00C60EF2"/>
    <w:rsid w:val="00C60F34"/>
    <w:rsid w:val="00C60F53"/>
    <w:rsid w:val="00C60F68"/>
    <w:rsid w:val="00C60F6F"/>
    <w:rsid w:val="00C60F7D"/>
    <w:rsid w:val="00C60F9E"/>
    <w:rsid w:val="00C60FA9"/>
    <w:rsid w:val="00C60FB6"/>
    <w:rsid w:val="00C60FC9"/>
    <w:rsid w:val="00C60FD1"/>
    <w:rsid w:val="00C60FF3"/>
    <w:rsid w:val="00C61007"/>
    <w:rsid w:val="00C6101E"/>
    <w:rsid w:val="00C6105A"/>
    <w:rsid w:val="00C6105E"/>
    <w:rsid w:val="00C6105F"/>
    <w:rsid w:val="00C61068"/>
    <w:rsid w:val="00C61075"/>
    <w:rsid w:val="00C6107E"/>
    <w:rsid w:val="00C610D4"/>
    <w:rsid w:val="00C610F1"/>
    <w:rsid w:val="00C61117"/>
    <w:rsid w:val="00C61182"/>
    <w:rsid w:val="00C61225"/>
    <w:rsid w:val="00C61265"/>
    <w:rsid w:val="00C6126E"/>
    <w:rsid w:val="00C6129D"/>
    <w:rsid w:val="00C612A4"/>
    <w:rsid w:val="00C612E9"/>
    <w:rsid w:val="00C61330"/>
    <w:rsid w:val="00C61389"/>
    <w:rsid w:val="00C61410"/>
    <w:rsid w:val="00C6142C"/>
    <w:rsid w:val="00C6149C"/>
    <w:rsid w:val="00C614A8"/>
    <w:rsid w:val="00C614B7"/>
    <w:rsid w:val="00C614D7"/>
    <w:rsid w:val="00C61508"/>
    <w:rsid w:val="00C61511"/>
    <w:rsid w:val="00C6151B"/>
    <w:rsid w:val="00C615F0"/>
    <w:rsid w:val="00C61636"/>
    <w:rsid w:val="00C61639"/>
    <w:rsid w:val="00C61693"/>
    <w:rsid w:val="00C616A6"/>
    <w:rsid w:val="00C616CF"/>
    <w:rsid w:val="00C61751"/>
    <w:rsid w:val="00C61781"/>
    <w:rsid w:val="00C6179C"/>
    <w:rsid w:val="00C617E3"/>
    <w:rsid w:val="00C617FB"/>
    <w:rsid w:val="00C61836"/>
    <w:rsid w:val="00C6183F"/>
    <w:rsid w:val="00C61858"/>
    <w:rsid w:val="00C61868"/>
    <w:rsid w:val="00C61879"/>
    <w:rsid w:val="00C6187B"/>
    <w:rsid w:val="00C61912"/>
    <w:rsid w:val="00C61934"/>
    <w:rsid w:val="00C6194C"/>
    <w:rsid w:val="00C61993"/>
    <w:rsid w:val="00C619FA"/>
    <w:rsid w:val="00C61AB9"/>
    <w:rsid w:val="00C61AC5"/>
    <w:rsid w:val="00C61AC8"/>
    <w:rsid w:val="00C61B0E"/>
    <w:rsid w:val="00C61B64"/>
    <w:rsid w:val="00C61B65"/>
    <w:rsid w:val="00C61BCA"/>
    <w:rsid w:val="00C61BD0"/>
    <w:rsid w:val="00C61BED"/>
    <w:rsid w:val="00C61BFC"/>
    <w:rsid w:val="00C61C13"/>
    <w:rsid w:val="00C61C24"/>
    <w:rsid w:val="00C61C46"/>
    <w:rsid w:val="00C61C72"/>
    <w:rsid w:val="00C61CB5"/>
    <w:rsid w:val="00C61CF5"/>
    <w:rsid w:val="00C61D85"/>
    <w:rsid w:val="00C61D89"/>
    <w:rsid w:val="00C61DBD"/>
    <w:rsid w:val="00C61DE8"/>
    <w:rsid w:val="00C61EC8"/>
    <w:rsid w:val="00C61F60"/>
    <w:rsid w:val="00C61F8A"/>
    <w:rsid w:val="00C61FF4"/>
    <w:rsid w:val="00C61FF9"/>
    <w:rsid w:val="00C62009"/>
    <w:rsid w:val="00C62081"/>
    <w:rsid w:val="00C620C6"/>
    <w:rsid w:val="00C620EA"/>
    <w:rsid w:val="00C621FD"/>
    <w:rsid w:val="00C62258"/>
    <w:rsid w:val="00C62286"/>
    <w:rsid w:val="00C622A9"/>
    <w:rsid w:val="00C62307"/>
    <w:rsid w:val="00C62362"/>
    <w:rsid w:val="00C62374"/>
    <w:rsid w:val="00C62386"/>
    <w:rsid w:val="00C62402"/>
    <w:rsid w:val="00C6241B"/>
    <w:rsid w:val="00C62449"/>
    <w:rsid w:val="00C6246A"/>
    <w:rsid w:val="00C624FA"/>
    <w:rsid w:val="00C62524"/>
    <w:rsid w:val="00C62543"/>
    <w:rsid w:val="00C62546"/>
    <w:rsid w:val="00C62591"/>
    <w:rsid w:val="00C625C3"/>
    <w:rsid w:val="00C625D2"/>
    <w:rsid w:val="00C6261F"/>
    <w:rsid w:val="00C62622"/>
    <w:rsid w:val="00C62623"/>
    <w:rsid w:val="00C62660"/>
    <w:rsid w:val="00C62683"/>
    <w:rsid w:val="00C626AA"/>
    <w:rsid w:val="00C626CA"/>
    <w:rsid w:val="00C626DC"/>
    <w:rsid w:val="00C626F3"/>
    <w:rsid w:val="00C6282C"/>
    <w:rsid w:val="00C62868"/>
    <w:rsid w:val="00C62876"/>
    <w:rsid w:val="00C62897"/>
    <w:rsid w:val="00C628B2"/>
    <w:rsid w:val="00C628B3"/>
    <w:rsid w:val="00C628B5"/>
    <w:rsid w:val="00C629AE"/>
    <w:rsid w:val="00C629C4"/>
    <w:rsid w:val="00C629F4"/>
    <w:rsid w:val="00C629FC"/>
    <w:rsid w:val="00C62A27"/>
    <w:rsid w:val="00C62A37"/>
    <w:rsid w:val="00C62A49"/>
    <w:rsid w:val="00C62A7C"/>
    <w:rsid w:val="00C62A92"/>
    <w:rsid w:val="00C62ADD"/>
    <w:rsid w:val="00C62B49"/>
    <w:rsid w:val="00C62BA2"/>
    <w:rsid w:val="00C62BFB"/>
    <w:rsid w:val="00C62C49"/>
    <w:rsid w:val="00C62C4B"/>
    <w:rsid w:val="00C62C84"/>
    <w:rsid w:val="00C62CE3"/>
    <w:rsid w:val="00C62CE7"/>
    <w:rsid w:val="00C62CEC"/>
    <w:rsid w:val="00C62D03"/>
    <w:rsid w:val="00C62D10"/>
    <w:rsid w:val="00C62D2E"/>
    <w:rsid w:val="00C62D3F"/>
    <w:rsid w:val="00C62D82"/>
    <w:rsid w:val="00C62DEF"/>
    <w:rsid w:val="00C62E24"/>
    <w:rsid w:val="00C62E52"/>
    <w:rsid w:val="00C62E99"/>
    <w:rsid w:val="00C62ECD"/>
    <w:rsid w:val="00C62EEE"/>
    <w:rsid w:val="00C62F15"/>
    <w:rsid w:val="00C62F16"/>
    <w:rsid w:val="00C62F2A"/>
    <w:rsid w:val="00C62FC8"/>
    <w:rsid w:val="00C62FD3"/>
    <w:rsid w:val="00C63036"/>
    <w:rsid w:val="00C6303E"/>
    <w:rsid w:val="00C63053"/>
    <w:rsid w:val="00C6309B"/>
    <w:rsid w:val="00C630A1"/>
    <w:rsid w:val="00C630DA"/>
    <w:rsid w:val="00C630F1"/>
    <w:rsid w:val="00C63134"/>
    <w:rsid w:val="00C63185"/>
    <w:rsid w:val="00C631E5"/>
    <w:rsid w:val="00C632B2"/>
    <w:rsid w:val="00C63330"/>
    <w:rsid w:val="00C6336F"/>
    <w:rsid w:val="00C63386"/>
    <w:rsid w:val="00C63390"/>
    <w:rsid w:val="00C633A1"/>
    <w:rsid w:val="00C633D3"/>
    <w:rsid w:val="00C633D4"/>
    <w:rsid w:val="00C633EA"/>
    <w:rsid w:val="00C633F3"/>
    <w:rsid w:val="00C63406"/>
    <w:rsid w:val="00C63458"/>
    <w:rsid w:val="00C63484"/>
    <w:rsid w:val="00C634A2"/>
    <w:rsid w:val="00C6353A"/>
    <w:rsid w:val="00C6354C"/>
    <w:rsid w:val="00C63555"/>
    <w:rsid w:val="00C63558"/>
    <w:rsid w:val="00C63586"/>
    <w:rsid w:val="00C63593"/>
    <w:rsid w:val="00C635E0"/>
    <w:rsid w:val="00C635F4"/>
    <w:rsid w:val="00C635FF"/>
    <w:rsid w:val="00C63638"/>
    <w:rsid w:val="00C63665"/>
    <w:rsid w:val="00C63682"/>
    <w:rsid w:val="00C63704"/>
    <w:rsid w:val="00C6376D"/>
    <w:rsid w:val="00C6378B"/>
    <w:rsid w:val="00C63796"/>
    <w:rsid w:val="00C637DC"/>
    <w:rsid w:val="00C637F6"/>
    <w:rsid w:val="00C6380D"/>
    <w:rsid w:val="00C6382E"/>
    <w:rsid w:val="00C6383B"/>
    <w:rsid w:val="00C63907"/>
    <w:rsid w:val="00C6395A"/>
    <w:rsid w:val="00C639AC"/>
    <w:rsid w:val="00C63A0D"/>
    <w:rsid w:val="00C63A71"/>
    <w:rsid w:val="00C63A88"/>
    <w:rsid w:val="00C63A8C"/>
    <w:rsid w:val="00C63B43"/>
    <w:rsid w:val="00C63B47"/>
    <w:rsid w:val="00C63B84"/>
    <w:rsid w:val="00C63BB6"/>
    <w:rsid w:val="00C63BCA"/>
    <w:rsid w:val="00C63BE4"/>
    <w:rsid w:val="00C63BFC"/>
    <w:rsid w:val="00C63C0F"/>
    <w:rsid w:val="00C63C32"/>
    <w:rsid w:val="00C63C36"/>
    <w:rsid w:val="00C63C8A"/>
    <w:rsid w:val="00C63CF0"/>
    <w:rsid w:val="00C63D0F"/>
    <w:rsid w:val="00C63D2E"/>
    <w:rsid w:val="00C63D3B"/>
    <w:rsid w:val="00C63DC0"/>
    <w:rsid w:val="00C63E69"/>
    <w:rsid w:val="00C63E8D"/>
    <w:rsid w:val="00C63EF7"/>
    <w:rsid w:val="00C63F03"/>
    <w:rsid w:val="00C63F10"/>
    <w:rsid w:val="00C63F15"/>
    <w:rsid w:val="00C63F49"/>
    <w:rsid w:val="00C63F7B"/>
    <w:rsid w:val="00C63FB1"/>
    <w:rsid w:val="00C64057"/>
    <w:rsid w:val="00C640CB"/>
    <w:rsid w:val="00C6417B"/>
    <w:rsid w:val="00C641CC"/>
    <w:rsid w:val="00C64221"/>
    <w:rsid w:val="00C642D7"/>
    <w:rsid w:val="00C642F1"/>
    <w:rsid w:val="00C64312"/>
    <w:rsid w:val="00C64346"/>
    <w:rsid w:val="00C64348"/>
    <w:rsid w:val="00C64371"/>
    <w:rsid w:val="00C6438B"/>
    <w:rsid w:val="00C64470"/>
    <w:rsid w:val="00C64482"/>
    <w:rsid w:val="00C6448E"/>
    <w:rsid w:val="00C644A6"/>
    <w:rsid w:val="00C64552"/>
    <w:rsid w:val="00C64585"/>
    <w:rsid w:val="00C645BC"/>
    <w:rsid w:val="00C6460D"/>
    <w:rsid w:val="00C64628"/>
    <w:rsid w:val="00C6462D"/>
    <w:rsid w:val="00C64643"/>
    <w:rsid w:val="00C64658"/>
    <w:rsid w:val="00C6469A"/>
    <w:rsid w:val="00C646A6"/>
    <w:rsid w:val="00C64742"/>
    <w:rsid w:val="00C647AA"/>
    <w:rsid w:val="00C647B5"/>
    <w:rsid w:val="00C64805"/>
    <w:rsid w:val="00C64813"/>
    <w:rsid w:val="00C6482E"/>
    <w:rsid w:val="00C6485D"/>
    <w:rsid w:val="00C64889"/>
    <w:rsid w:val="00C648CF"/>
    <w:rsid w:val="00C6493D"/>
    <w:rsid w:val="00C649BA"/>
    <w:rsid w:val="00C649C2"/>
    <w:rsid w:val="00C649EE"/>
    <w:rsid w:val="00C64A10"/>
    <w:rsid w:val="00C64A23"/>
    <w:rsid w:val="00C64A83"/>
    <w:rsid w:val="00C64A98"/>
    <w:rsid w:val="00C64ADA"/>
    <w:rsid w:val="00C64AE7"/>
    <w:rsid w:val="00C64B04"/>
    <w:rsid w:val="00C64B28"/>
    <w:rsid w:val="00C64B3E"/>
    <w:rsid w:val="00C64B94"/>
    <w:rsid w:val="00C64BA2"/>
    <w:rsid w:val="00C64BBE"/>
    <w:rsid w:val="00C64BF1"/>
    <w:rsid w:val="00C64C26"/>
    <w:rsid w:val="00C64C60"/>
    <w:rsid w:val="00C64C61"/>
    <w:rsid w:val="00C64C8A"/>
    <w:rsid w:val="00C64CB1"/>
    <w:rsid w:val="00C64CBF"/>
    <w:rsid w:val="00C64D0A"/>
    <w:rsid w:val="00C64D31"/>
    <w:rsid w:val="00C64D57"/>
    <w:rsid w:val="00C64DDE"/>
    <w:rsid w:val="00C64E3E"/>
    <w:rsid w:val="00C64E50"/>
    <w:rsid w:val="00C64E78"/>
    <w:rsid w:val="00C64EEA"/>
    <w:rsid w:val="00C64EFD"/>
    <w:rsid w:val="00C64F01"/>
    <w:rsid w:val="00C64FC7"/>
    <w:rsid w:val="00C64FE3"/>
    <w:rsid w:val="00C65016"/>
    <w:rsid w:val="00C65029"/>
    <w:rsid w:val="00C65153"/>
    <w:rsid w:val="00C6517D"/>
    <w:rsid w:val="00C651B1"/>
    <w:rsid w:val="00C651E6"/>
    <w:rsid w:val="00C651FD"/>
    <w:rsid w:val="00C65280"/>
    <w:rsid w:val="00C6529E"/>
    <w:rsid w:val="00C652A9"/>
    <w:rsid w:val="00C652CE"/>
    <w:rsid w:val="00C652FC"/>
    <w:rsid w:val="00C65325"/>
    <w:rsid w:val="00C65385"/>
    <w:rsid w:val="00C653F3"/>
    <w:rsid w:val="00C653FB"/>
    <w:rsid w:val="00C6540F"/>
    <w:rsid w:val="00C65422"/>
    <w:rsid w:val="00C6544C"/>
    <w:rsid w:val="00C65450"/>
    <w:rsid w:val="00C654A5"/>
    <w:rsid w:val="00C654C5"/>
    <w:rsid w:val="00C654CC"/>
    <w:rsid w:val="00C654FA"/>
    <w:rsid w:val="00C65550"/>
    <w:rsid w:val="00C65555"/>
    <w:rsid w:val="00C65561"/>
    <w:rsid w:val="00C65596"/>
    <w:rsid w:val="00C655FD"/>
    <w:rsid w:val="00C6564C"/>
    <w:rsid w:val="00C65651"/>
    <w:rsid w:val="00C65661"/>
    <w:rsid w:val="00C65688"/>
    <w:rsid w:val="00C65697"/>
    <w:rsid w:val="00C656E2"/>
    <w:rsid w:val="00C65725"/>
    <w:rsid w:val="00C657B5"/>
    <w:rsid w:val="00C657E1"/>
    <w:rsid w:val="00C657E7"/>
    <w:rsid w:val="00C65870"/>
    <w:rsid w:val="00C6588B"/>
    <w:rsid w:val="00C658C2"/>
    <w:rsid w:val="00C658CE"/>
    <w:rsid w:val="00C658E8"/>
    <w:rsid w:val="00C658EA"/>
    <w:rsid w:val="00C65901"/>
    <w:rsid w:val="00C6598C"/>
    <w:rsid w:val="00C659B7"/>
    <w:rsid w:val="00C659C2"/>
    <w:rsid w:val="00C659FB"/>
    <w:rsid w:val="00C65A27"/>
    <w:rsid w:val="00C65A2B"/>
    <w:rsid w:val="00C65A3C"/>
    <w:rsid w:val="00C65A43"/>
    <w:rsid w:val="00C65A52"/>
    <w:rsid w:val="00C65AE8"/>
    <w:rsid w:val="00C65B13"/>
    <w:rsid w:val="00C65B2B"/>
    <w:rsid w:val="00C65B50"/>
    <w:rsid w:val="00C65BDB"/>
    <w:rsid w:val="00C65C17"/>
    <w:rsid w:val="00C65C46"/>
    <w:rsid w:val="00C65C54"/>
    <w:rsid w:val="00C65C64"/>
    <w:rsid w:val="00C65C87"/>
    <w:rsid w:val="00C65CC1"/>
    <w:rsid w:val="00C65CD0"/>
    <w:rsid w:val="00C65D12"/>
    <w:rsid w:val="00C65D68"/>
    <w:rsid w:val="00C65E20"/>
    <w:rsid w:val="00C65E41"/>
    <w:rsid w:val="00C65E5E"/>
    <w:rsid w:val="00C65E6C"/>
    <w:rsid w:val="00C65EA0"/>
    <w:rsid w:val="00C65EBE"/>
    <w:rsid w:val="00C65F17"/>
    <w:rsid w:val="00C65F20"/>
    <w:rsid w:val="00C65F8B"/>
    <w:rsid w:val="00C65FA9"/>
    <w:rsid w:val="00C65FC0"/>
    <w:rsid w:val="00C65FD2"/>
    <w:rsid w:val="00C65FD6"/>
    <w:rsid w:val="00C65FD8"/>
    <w:rsid w:val="00C66019"/>
    <w:rsid w:val="00C66031"/>
    <w:rsid w:val="00C66075"/>
    <w:rsid w:val="00C66087"/>
    <w:rsid w:val="00C660AF"/>
    <w:rsid w:val="00C66122"/>
    <w:rsid w:val="00C6613F"/>
    <w:rsid w:val="00C66164"/>
    <w:rsid w:val="00C66179"/>
    <w:rsid w:val="00C661E4"/>
    <w:rsid w:val="00C661FF"/>
    <w:rsid w:val="00C6624C"/>
    <w:rsid w:val="00C6628F"/>
    <w:rsid w:val="00C66294"/>
    <w:rsid w:val="00C662A5"/>
    <w:rsid w:val="00C662B0"/>
    <w:rsid w:val="00C662D9"/>
    <w:rsid w:val="00C6631C"/>
    <w:rsid w:val="00C66330"/>
    <w:rsid w:val="00C6635E"/>
    <w:rsid w:val="00C66369"/>
    <w:rsid w:val="00C663CD"/>
    <w:rsid w:val="00C6642D"/>
    <w:rsid w:val="00C66437"/>
    <w:rsid w:val="00C66457"/>
    <w:rsid w:val="00C664B3"/>
    <w:rsid w:val="00C664B6"/>
    <w:rsid w:val="00C6653C"/>
    <w:rsid w:val="00C66551"/>
    <w:rsid w:val="00C66567"/>
    <w:rsid w:val="00C66577"/>
    <w:rsid w:val="00C665A1"/>
    <w:rsid w:val="00C665E8"/>
    <w:rsid w:val="00C6665E"/>
    <w:rsid w:val="00C666C6"/>
    <w:rsid w:val="00C666CA"/>
    <w:rsid w:val="00C666CC"/>
    <w:rsid w:val="00C666CF"/>
    <w:rsid w:val="00C666E8"/>
    <w:rsid w:val="00C6670B"/>
    <w:rsid w:val="00C6676F"/>
    <w:rsid w:val="00C667BE"/>
    <w:rsid w:val="00C66821"/>
    <w:rsid w:val="00C66867"/>
    <w:rsid w:val="00C66937"/>
    <w:rsid w:val="00C66973"/>
    <w:rsid w:val="00C669C6"/>
    <w:rsid w:val="00C669CE"/>
    <w:rsid w:val="00C669EA"/>
    <w:rsid w:val="00C66A2E"/>
    <w:rsid w:val="00C66A60"/>
    <w:rsid w:val="00C66A7B"/>
    <w:rsid w:val="00C66A9F"/>
    <w:rsid w:val="00C66AC4"/>
    <w:rsid w:val="00C66AC6"/>
    <w:rsid w:val="00C66AD9"/>
    <w:rsid w:val="00C66B7F"/>
    <w:rsid w:val="00C66B96"/>
    <w:rsid w:val="00C66B9D"/>
    <w:rsid w:val="00C66BCE"/>
    <w:rsid w:val="00C66BD2"/>
    <w:rsid w:val="00C66BDA"/>
    <w:rsid w:val="00C66CCA"/>
    <w:rsid w:val="00C66CE7"/>
    <w:rsid w:val="00C66D46"/>
    <w:rsid w:val="00C66DA8"/>
    <w:rsid w:val="00C66DBE"/>
    <w:rsid w:val="00C66E44"/>
    <w:rsid w:val="00C66E4F"/>
    <w:rsid w:val="00C66E59"/>
    <w:rsid w:val="00C66E6F"/>
    <w:rsid w:val="00C66EA2"/>
    <w:rsid w:val="00C66EFA"/>
    <w:rsid w:val="00C66F3B"/>
    <w:rsid w:val="00C67012"/>
    <w:rsid w:val="00C67088"/>
    <w:rsid w:val="00C671B1"/>
    <w:rsid w:val="00C671B5"/>
    <w:rsid w:val="00C671B8"/>
    <w:rsid w:val="00C671BB"/>
    <w:rsid w:val="00C671E2"/>
    <w:rsid w:val="00C671FB"/>
    <w:rsid w:val="00C67222"/>
    <w:rsid w:val="00C67236"/>
    <w:rsid w:val="00C67267"/>
    <w:rsid w:val="00C67296"/>
    <w:rsid w:val="00C672A6"/>
    <w:rsid w:val="00C672A7"/>
    <w:rsid w:val="00C672C0"/>
    <w:rsid w:val="00C672D1"/>
    <w:rsid w:val="00C672DD"/>
    <w:rsid w:val="00C672E0"/>
    <w:rsid w:val="00C672EC"/>
    <w:rsid w:val="00C67361"/>
    <w:rsid w:val="00C67375"/>
    <w:rsid w:val="00C673B2"/>
    <w:rsid w:val="00C673C6"/>
    <w:rsid w:val="00C673D2"/>
    <w:rsid w:val="00C6743D"/>
    <w:rsid w:val="00C67495"/>
    <w:rsid w:val="00C6750C"/>
    <w:rsid w:val="00C67569"/>
    <w:rsid w:val="00C67629"/>
    <w:rsid w:val="00C676A6"/>
    <w:rsid w:val="00C676A7"/>
    <w:rsid w:val="00C676CD"/>
    <w:rsid w:val="00C676D6"/>
    <w:rsid w:val="00C67706"/>
    <w:rsid w:val="00C67721"/>
    <w:rsid w:val="00C67738"/>
    <w:rsid w:val="00C67767"/>
    <w:rsid w:val="00C677F0"/>
    <w:rsid w:val="00C6780E"/>
    <w:rsid w:val="00C67838"/>
    <w:rsid w:val="00C67863"/>
    <w:rsid w:val="00C67879"/>
    <w:rsid w:val="00C678D3"/>
    <w:rsid w:val="00C67906"/>
    <w:rsid w:val="00C67936"/>
    <w:rsid w:val="00C67954"/>
    <w:rsid w:val="00C67965"/>
    <w:rsid w:val="00C67A0B"/>
    <w:rsid w:val="00C67A20"/>
    <w:rsid w:val="00C67A53"/>
    <w:rsid w:val="00C67AC9"/>
    <w:rsid w:val="00C67AF3"/>
    <w:rsid w:val="00C67B1E"/>
    <w:rsid w:val="00C67B3C"/>
    <w:rsid w:val="00C67B4F"/>
    <w:rsid w:val="00C67B54"/>
    <w:rsid w:val="00C67BC6"/>
    <w:rsid w:val="00C67C75"/>
    <w:rsid w:val="00C67C9F"/>
    <w:rsid w:val="00C67CA8"/>
    <w:rsid w:val="00C67CBB"/>
    <w:rsid w:val="00C67D4D"/>
    <w:rsid w:val="00C67D5D"/>
    <w:rsid w:val="00C67D65"/>
    <w:rsid w:val="00C67D72"/>
    <w:rsid w:val="00C67D84"/>
    <w:rsid w:val="00C67DED"/>
    <w:rsid w:val="00C67F0F"/>
    <w:rsid w:val="00C67F32"/>
    <w:rsid w:val="00C67F4B"/>
    <w:rsid w:val="00C67F50"/>
    <w:rsid w:val="00C67F67"/>
    <w:rsid w:val="00C70001"/>
    <w:rsid w:val="00C70034"/>
    <w:rsid w:val="00C7003B"/>
    <w:rsid w:val="00C7004D"/>
    <w:rsid w:val="00C70087"/>
    <w:rsid w:val="00C700AF"/>
    <w:rsid w:val="00C70113"/>
    <w:rsid w:val="00C70153"/>
    <w:rsid w:val="00C70167"/>
    <w:rsid w:val="00C70183"/>
    <w:rsid w:val="00C701BF"/>
    <w:rsid w:val="00C701DD"/>
    <w:rsid w:val="00C701E7"/>
    <w:rsid w:val="00C70222"/>
    <w:rsid w:val="00C702B8"/>
    <w:rsid w:val="00C7038E"/>
    <w:rsid w:val="00C70395"/>
    <w:rsid w:val="00C7039C"/>
    <w:rsid w:val="00C70416"/>
    <w:rsid w:val="00C704A4"/>
    <w:rsid w:val="00C70500"/>
    <w:rsid w:val="00C70526"/>
    <w:rsid w:val="00C70527"/>
    <w:rsid w:val="00C70539"/>
    <w:rsid w:val="00C7057C"/>
    <w:rsid w:val="00C705DB"/>
    <w:rsid w:val="00C7060A"/>
    <w:rsid w:val="00C70660"/>
    <w:rsid w:val="00C70670"/>
    <w:rsid w:val="00C706B4"/>
    <w:rsid w:val="00C706B9"/>
    <w:rsid w:val="00C706D8"/>
    <w:rsid w:val="00C70719"/>
    <w:rsid w:val="00C7071B"/>
    <w:rsid w:val="00C70755"/>
    <w:rsid w:val="00C70771"/>
    <w:rsid w:val="00C7079C"/>
    <w:rsid w:val="00C7080E"/>
    <w:rsid w:val="00C70813"/>
    <w:rsid w:val="00C7081F"/>
    <w:rsid w:val="00C70875"/>
    <w:rsid w:val="00C7089F"/>
    <w:rsid w:val="00C708B3"/>
    <w:rsid w:val="00C7096E"/>
    <w:rsid w:val="00C7097C"/>
    <w:rsid w:val="00C70996"/>
    <w:rsid w:val="00C709CD"/>
    <w:rsid w:val="00C70A92"/>
    <w:rsid w:val="00C70AB7"/>
    <w:rsid w:val="00C70ABE"/>
    <w:rsid w:val="00C70B08"/>
    <w:rsid w:val="00C70B30"/>
    <w:rsid w:val="00C70B46"/>
    <w:rsid w:val="00C70B8D"/>
    <w:rsid w:val="00C70BB0"/>
    <w:rsid w:val="00C70BD0"/>
    <w:rsid w:val="00C70BFB"/>
    <w:rsid w:val="00C70C1B"/>
    <w:rsid w:val="00C70C2F"/>
    <w:rsid w:val="00C70C50"/>
    <w:rsid w:val="00C70C56"/>
    <w:rsid w:val="00C70C63"/>
    <w:rsid w:val="00C70CB9"/>
    <w:rsid w:val="00C70D28"/>
    <w:rsid w:val="00C70D3B"/>
    <w:rsid w:val="00C70D97"/>
    <w:rsid w:val="00C70DAF"/>
    <w:rsid w:val="00C70E12"/>
    <w:rsid w:val="00C70E2B"/>
    <w:rsid w:val="00C70E7B"/>
    <w:rsid w:val="00C70EA0"/>
    <w:rsid w:val="00C70F10"/>
    <w:rsid w:val="00C70F79"/>
    <w:rsid w:val="00C70FEE"/>
    <w:rsid w:val="00C7103C"/>
    <w:rsid w:val="00C71065"/>
    <w:rsid w:val="00C7106F"/>
    <w:rsid w:val="00C71081"/>
    <w:rsid w:val="00C710A6"/>
    <w:rsid w:val="00C710A7"/>
    <w:rsid w:val="00C710AB"/>
    <w:rsid w:val="00C710B6"/>
    <w:rsid w:val="00C710FF"/>
    <w:rsid w:val="00C7113D"/>
    <w:rsid w:val="00C71155"/>
    <w:rsid w:val="00C71170"/>
    <w:rsid w:val="00C711A4"/>
    <w:rsid w:val="00C71219"/>
    <w:rsid w:val="00C71228"/>
    <w:rsid w:val="00C71234"/>
    <w:rsid w:val="00C7124E"/>
    <w:rsid w:val="00C71257"/>
    <w:rsid w:val="00C7125D"/>
    <w:rsid w:val="00C71293"/>
    <w:rsid w:val="00C712B5"/>
    <w:rsid w:val="00C712D7"/>
    <w:rsid w:val="00C712FE"/>
    <w:rsid w:val="00C71300"/>
    <w:rsid w:val="00C71308"/>
    <w:rsid w:val="00C7131A"/>
    <w:rsid w:val="00C71379"/>
    <w:rsid w:val="00C71381"/>
    <w:rsid w:val="00C713B6"/>
    <w:rsid w:val="00C71401"/>
    <w:rsid w:val="00C71421"/>
    <w:rsid w:val="00C71429"/>
    <w:rsid w:val="00C7146D"/>
    <w:rsid w:val="00C71488"/>
    <w:rsid w:val="00C714A2"/>
    <w:rsid w:val="00C714B2"/>
    <w:rsid w:val="00C714D5"/>
    <w:rsid w:val="00C71532"/>
    <w:rsid w:val="00C71549"/>
    <w:rsid w:val="00C715E1"/>
    <w:rsid w:val="00C71604"/>
    <w:rsid w:val="00C71672"/>
    <w:rsid w:val="00C716A6"/>
    <w:rsid w:val="00C716C9"/>
    <w:rsid w:val="00C716E0"/>
    <w:rsid w:val="00C716FE"/>
    <w:rsid w:val="00C7172C"/>
    <w:rsid w:val="00C7172F"/>
    <w:rsid w:val="00C71736"/>
    <w:rsid w:val="00C71740"/>
    <w:rsid w:val="00C71771"/>
    <w:rsid w:val="00C71796"/>
    <w:rsid w:val="00C717F8"/>
    <w:rsid w:val="00C7183F"/>
    <w:rsid w:val="00C71885"/>
    <w:rsid w:val="00C718E4"/>
    <w:rsid w:val="00C71939"/>
    <w:rsid w:val="00C719C3"/>
    <w:rsid w:val="00C71A13"/>
    <w:rsid w:val="00C71A3C"/>
    <w:rsid w:val="00C71A8E"/>
    <w:rsid w:val="00C71A92"/>
    <w:rsid w:val="00C71AC3"/>
    <w:rsid w:val="00C71B3B"/>
    <w:rsid w:val="00C71B68"/>
    <w:rsid w:val="00C71B7C"/>
    <w:rsid w:val="00C71B91"/>
    <w:rsid w:val="00C71BF0"/>
    <w:rsid w:val="00C71C18"/>
    <w:rsid w:val="00C71C6B"/>
    <w:rsid w:val="00C71D0A"/>
    <w:rsid w:val="00C71D82"/>
    <w:rsid w:val="00C71D88"/>
    <w:rsid w:val="00C71D89"/>
    <w:rsid w:val="00C71D8D"/>
    <w:rsid w:val="00C71DC1"/>
    <w:rsid w:val="00C71DD1"/>
    <w:rsid w:val="00C71E09"/>
    <w:rsid w:val="00C71E7B"/>
    <w:rsid w:val="00C71FA2"/>
    <w:rsid w:val="00C71FD1"/>
    <w:rsid w:val="00C71FE3"/>
    <w:rsid w:val="00C72051"/>
    <w:rsid w:val="00C72064"/>
    <w:rsid w:val="00C7208E"/>
    <w:rsid w:val="00C7209B"/>
    <w:rsid w:val="00C720B9"/>
    <w:rsid w:val="00C720D4"/>
    <w:rsid w:val="00C721AB"/>
    <w:rsid w:val="00C721E7"/>
    <w:rsid w:val="00C72207"/>
    <w:rsid w:val="00C7221C"/>
    <w:rsid w:val="00C722B0"/>
    <w:rsid w:val="00C722BF"/>
    <w:rsid w:val="00C722D3"/>
    <w:rsid w:val="00C72342"/>
    <w:rsid w:val="00C723C0"/>
    <w:rsid w:val="00C72428"/>
    <w:rsid w:val="00C72474"/>
    <w:rsid w:val="00C7247B"/>
    <w:rsid w:val="00C72485"/>
    <w:rsid w:val="00C7249F"/>
    <w:rsid w:val="00C724C1"/>
    <w:rsid w:val="00C724E5"/>
    <w:rsid w:val="00C72560"/>
    <w:rsid w:val="00C72565"/>
    <w:rsid w:val="00C72594"/>
    <w:rsid w:val="00C725A2"/>
    <w:rsid w:val="00C725BB"/>
    <w:rsid w:val="00C72632"/>
    <w:rsid w:val="00C7266B"/>
    <w:rsid w:val="00C72674"/>
    <w:rsid w:val="00C726D5"/>
    <w:rsid w:val="00C726E3"/>
    <w:rsid w:val="00C726F1"/>
    <w:rsid w:val="00C72704"/>
    <w:rsid w:val="00C72720"/>
    <w:rsid w:val="00C72769"/>
    <w:rsid w:val="00C72781"/>
    <w:rsid w:val="00C727DF"/>
    <w:rsid w:val="00C72867"/>
    <w:rsid w:val="00C72894"/>
    <w:rsid w:val="00C728C6"/>
    <w:rsid w:val="00C728DA"/>
    <w:rsid w:val="00C728EF"/>
    <w:rsid w:val="00C72903"/>
    <w:rsid w:val="00C72932"/>
    <w:rsid w:val="00C7293C"/>
    <w:rsid w:val="00C7293E"/>
    <w:rsid w:val="00C729F0"/>
    <w:rsid w:val="00C729F7"/>
    <w:rsid w:val="00C72A21"/>
    <w:rsid w:val="00C72A2A"/>
    <w:rsid w:val="00C72B39"/>
    <w:rsid w:val="00C72B4B"/>
    <w:rsid w:val="00C72B67"/>
    <w:rsid w:val="00C72B70"/>
    <w:rsid w:val="00C72BD9"/>
    <w:rsid w:val="00C72BEB"/>
    <w:rsid w:val="00C72CA1"/>
    <w:rsid w:val="00C72CA3"/>
    <w:rsid w:val="00C72CAF"/>
    <w:rsid w:val="00C72CBA"/>
    <w:rsid w:val="00C72CF6"/>
    <w:rsid w:val="00C72CFC"/>
    <w:rsid w:val="00C72D10"/>
    <w:rsid w:val="00C72D55"/>
    <w:rsid w:val="00C72D9A"/>
    <w:rsid w:val="00C72DF5"/>
    <w:rsid w:val="00C72E58"/>
    <w:rsid w:val="00C72E84"/>
    <w:rsid w:val="00C72E94"/>
    <w:rsid w:val="00C72EC9"/>
    <w:rsid w:val="00C72F20"/>
    <w:rsid w:val="00C72F7C"/>
    <w:rsid w:val="00C72FF8"/>
    <w:rsid w:val="00C7300E"/>
    <w:rsid w:val="00C7300F"/>
    <w:rsid w:val="00C73014"/>
    <w:rsid w:val="00C730D9"/>
    <w:rsid w:val="00C730F1"/>
    <w:rsid w:val="00C7310A"/>
    <w:rsid w:val="00C73116"/>
    <w:rsid w:val="00C7315D"/>
    <w:rsid w:val="00C731A3"/>
    <w:rsid w:val="00C731C7"/>
    <w:rsid w:val="00C73225"/>
    <w:rsid w:val="00C7322C"/>
    <w:rsid w:val="00C7325B"/>
    <w:rsid w:val="00C7326C"/>
    <w:rsid w:val="00C7328B"/>
    <w:rsid w:val="00C73296"/>
    <w:rsid w:val="00C732BC"/>
    <w:rsid w:val="00C732D6"/>
    <w:rsid w:val="00C7331D"/>
    <w:rsid w:val="00C7335C"/>
    <w:rsid w:val="00C73360"/>
    <w:rsid w:val="00C73376"/>
    <w:rsid w:val="00C733BE"/>
    <w:rsid w:val="00C73462"/>
    <w:rsid w:val="00C7346A"/>
    <w:rsid w:val="00C73476"/>
    <w:rsid w:val="00C7349C"/>
    <w:rsid w:val="00C734E3"/>
    <w:rsid w:val="00C73535"/>
    <w:rsid w:val="00C7355D"/>
    <w:rsid w:val="00C7356C"/>
    <w:rsid w:val="00C735D4"/>
    <w:rsid w:val="00C73614"/>
    <w:rsid w:val="00C73696"/>
    <w:rsid w:val="00C736AA"/>
    <w:rsid w:val="00C7373A"/>
    <w:rsid w:val="00C7376E"/>
    <w:rsid w:val="00C7381B"/>
    <w:rsid w:val="00C73845"/>
    <w:rsid w:val="00C73854"/>
    <w:rsid w:val="00C73901"/>
    <w:rsid w:val="00C7393B"/>
    <w:rsid w:val="00C73954"/>
    <w:rsid w:val="00C73992"/>
    <w:rsid w:val="00C7399D"/>
    <w:rsid w:val="00C739AA"/>
    <w:rsid w:val="00C739B5"/>
    <w:rsid w:val="00C739FC"/>
    <w:rsid w:val="00C739FE"/>
    <w:rsid w:val="00C73A3D"/>
    <w:rsid w:val="00C73A6D"/>
    <w:rsid w:val="00C73A80"/>
    <w:rsid w:val="00C73AE4"/>
    <w:rsid w:val="00C73AEB"/>
    <w:rsid w:val="00C73B21"/>
    <w:rsid w:val="00C73B2F"/>
    <w:rsid w:val="00C73B99"/>
    <w:rsid w:val="00C73BA6"/>
    <w:rsid w:val="00C73BBD"/>
    <w:rsid w:val="00C73C1E"/>
    <w:rsid w:val="00C73C61"/>
    <w:rsid w:val="00C73C91"/>
    <w:rsid w:val="00C73CB0"/>
    <w:rsid w:val="00C73D9A"/>
    <w:rsid w:val="00C73DD6"/>
    <w:rsid w:val="00C73DE2"/>
    <w:rsid w:val="00C73E77"/>
    <w:rsid w:val="00C73ECD"/>
    <w:rsid w:val="00C73EEA"/>
    <w:rsid w:val="00C73FC7"/>
    <w:rsid w:val="00C74005"/>
    <w:rsid w:val="00C7401D"/>
    <w:rsid w:val="00C74042"/>
    <w:rsid w:val="00C740D2"/>
    <w:rsid w:val="00C740F3"/>
    <w:rsid w:val="00C740F5"/>
    <w:rsid w:val="00C74126"/>
    <w:rsid w:val="00C741E1"/>
    <w:rsid w:val="00C74215"/>
    <w:rsid w:val="00C74221"/>
    <w:rsid w:val="00C74250"/>
    <w:rsid w:val="00C74306"/>
    <w:rsid w:val="00C7430A"/>
    <w:rsid w:val="00C7431E"/>
    <w:rsid w:val="00C7434C"/>
    <w:rsid w:val="00C7436A"/>
    <w:rsid w:val="00C7436C"/>
    <w:rsid w:val="00C743D9"/>
    <w:rsid w:val="00C74410"/>
    <w:rsid w:val="00C74418"/>
    <w:rsid w:val="00C745E7"/>
    <w:rsid w:val="00C745EE"/>
    <w:rsid w:val="00C7463E"/>
    <w:rsid w:val="00C74693"/>
    <w:rsid w:val="00C74720"/>
    <w:rsid w:val="00C7472E"/>
    <w:rsid w:val="00C74731"/>
    <w:rsid w:val="00C74738"/>
    <w:rsid w:val="00C74746"/>
    <w:rsid w:val="00C747AF"/>
    <w:rsid w:val="00C747DE"/>
    <w:rsid w:val="00C747E0"/>
    <w:rsid w:val="00C747E2"/>
    <w:rsid w:val="00C7481B"/>
    <w:rsid w:val="00C74846"/>
    <w:rsid w:val="00C748B6"/>
    <w:rsid w:val="00C748BC"/>
    <w:rsid w:val="00C7490F"/>
    <w:rsid w:val="00C74921"/>
    <w:rsid w:val="00C7497C"/>
    <w:rsid w:val="00C74981"/>
    <w:rsid w:val="00C7499B"/>
    <w:rsid w:val="00C749AD"/>
    <w:rsid w:val="00C749BF"/>
    <w:rsid w:val="00C749CD"/>
    <w:rsid w:val="00C74A01"/>
    <w:rsid w:val="00C74A1E"/>
    <w:rsid w:val="00C74AB5"/>
    <w:rsid w:val="00C74B35"/>
    <w:rsid w:val="00C74B43"/>
    <w:rsid w:val="00C74B45"/>
    <w:rsid w:val="00C74B48"/>
    <w:rsid w:val="00C74B6D"/>
    <w:rsid w:val="00C74B7F"/>
    <w:rsid w:val="00C74BCB"/>
    <w:rsid w:val="00C74BD1"/>
    <w:rsid w:val="00C74C3C"/>
    <w:rsid w:val="00C74C75"/>
    <w:rsid w:val="00C74CBA"/>
    <w:rsid w:val="00C74CBF"/>
    <w:rsid w:val="00C74CFF"/>
    <w:rsid w:val="00C74D23"/>
    <w:rsid w:val="00C74D8E"/>
    <w:rsid w:val="00C74DC0"/>
    <w:rsid w:val="00C74DF8"/>
    <w:rsid w:val="00C74E28"/>
    <w:rsid w:val="00C74E51"/>
    <w:rsid w:val="00C74E53"/>
    <w:rsid w:val="00C74EB3"/>
    <w:rsid w:val="00C74ED4"/>
    <w:rsid w:val="00C74EDE"/>
    <w:rsid w:val="00C74EEF"/>
    <w:rsid w:val="00C74EF2"/>
    <w:rsid w:val="00C74F03"/>
    <w:rsid w:val="00C74F1D"/>
    <w:rsid w:val="00C74F29"/>
    <w:rsid w:val="00C74F69"/>
    <w:rsid w:val="00C74F91"/>
    <w:rsid w:val="00C74FA9"/>
    <w:rsid w:val="00C74FB5"/>
    <w:rsid w:val="00C74FCB"/>
    <w:rsid w:val="00C75024"/>
    <w:rsid w:val="00C7507D"/>
    <w:rsid w:val="00C75081"/>
    <w:rsid w:val="00C750C4"/>
    <w:rsid w:val="00C75141"/>
    <w:rsid w:val="00C7517D"/>
    <w:rsid w:val="00C751A7"/>
    <w:rsid w:val="00C751C2"/>
    <w:rsid w:val="00C751CB"/>
    <w:rsid w:val="00C751E9"/>
    <w:rsid w:val="00C75208"/>
    <w:rsid w:val="00C7527C"/>
    <w:rsid w:val="00C75296"/>
    <w:rsid w:val="00C752BB"/>
    <w:rsid w:val="00C752D9"/>
    <w:rsid w:val="00C752F7"/>
    <w:rsid w:val="00C7535C"/>
    <w:rsid w:val="00C753C6"/>
    <w:rsid w:val="00C7547F"/>
    <w:rsid w:val="00C754DA"/>
    <w:rsid w:val="00C7552A"/>
    <w:rsid w:val="00C75535"/>
    <w:rsid w:val="00C75541"/>
    <w:rsid w:val="00C75590"/>
    <w:rsid w:val="00C755A1"/>
    <w:rsid w:val="00C75609"/>
    <w:rsid w:val="00C7565E"/>
    <w:rsid w:val="00C75698"/>
    <w:rsid w:val="00C756A4"/>
    <w:rsid w:val="00C756AB"/>
    <w:rsid w:val="00C756F8"/>
    <w:rsid w:val="00C75716"/>
    <w:rsid w:val="00C75728"/>
    <w:rsid w:val="00C7577C"/>
    <w:rsid w:val="00C757EA"/>
    <w:rsid w:val="00C757EB"/>
    <w:rsid w:val="00C757FC"/>
    <w:rsid w:val="00C758FB"/>
    <w:rsid w:val="00C759B9"/>
    <w:rsid w:val="00C759F9"/>
    <w:rsid w:val="00C75A13"/>
    <w:rsid w:val="00C75A8D"/>
    <w:rsid w:val="00C75B20"/>
    <w:rsid w:val="00C75B4D"/>
    <w:rsid w:val="00C75BE0"/>
    <w:rsid w:val="00C75C67"/>
    <w:rsid w:val="00C75D5B"/>
    <w:rsid w:val="00C75D67"/>
    <w:rsid w:val="00C75DEF"/>
    <w:rsid w:val="00C75DF8"/>
    <w:rsid w:val="00C75E84"/>
    <w:rsid w:val="00C75EAE"/>
    <w:rsid w:val="00C75EB7"/>
    <w:rsid w:val="00C75F8E"/>
    <w:rsid w:val="00C76023"/>
    <w:rsid w:val="00C7606C"/>
    <w:rsid w:val="00C76084"/>
    <w:rsid w:val="00C760BB"/>
    <w:rsid w:val="00C760D2"/>
    <w:rsid w:val="00C760E1"/>
    <w:rsid w:val="00C76106"/>
    <w:rsid w:val="00C76181"/>
    <w:rsid w:val="00C761BC"/>
    <w:rsid w:val="00C761ED"/>
    <w:rsid w:val="00C761EE"/>
    <w:rsid w:val="00C762A2"/>
    <w:rsid w:val="00C762C3"/>
    <w:rsid w:val="00C762E2"/>
    <w:rsid w:val="00C76307"/>
    <w:rsid w:val="00C7630B"/>
    <w:rsid w:val="00C76372"/>
    <w:rsid w:val="00C763DE"/>
    <w:rsid w:val="00C76457"/>
    <w:rsid w:val="00C7650F"/>
    <w:rsid w:val="00C76530"/>
    <w:rsid w:val="00C76543"/>
    <w:rsid w:val="00C76581"/>
    <w:rsid w:val="00C76599"/>
    <w:rsid w:val="00C765A8"/>
    <w:rsid w:val="00C765C7"/>
    <w:rsid w:val="00C7661F"/>
    <w:rsid w:val="00C7667F"/>
    <w:rsid w:val="00C7669C"/>
    <w:rsid w:val="00C766DA"/>
    <w:rsid w:val="00C766E8"/>
    <w:rsid w:val="00C76709"/>
    <w:rsid w:val="00C7670E"/>
    <w:rsid w:val="00C767C0"/>
    <w:rsid w:val="00C767F0"/>
    <w:rsid w:val="00C7685B"/>
    <w:rsid w:val="00C76896"/>
    <w:rsid w:val="00C7689D"/>
    <w:rsid w:val="00C768EA"/>
    <w:rsid w:val="00C76933"/>
    <w:rsid w:val="00C769C0"/>
    <w:rsid w:val="00C76A1F"/>
    <w:rsid w:val="00C76AF4"/>
    <w:rsid w:val="00C76B3D"/>
    <w:rsid w:val="00C76C3D"/>
    <w:rsid w:val="00C76CC7"/>
    <w:rsid w:val="00C76CD2"/>
    <w:rsid w:val="00C76D16"/>
    <w:rsid w:val="00C76D5D"/>
    <w:rsid w:val="00C76D68"/>
    <w:rsid w:val="00C76DA3"/>
    <w:rsid w:val="00C76E00"/>
    <w:rsid w:val="00C76E4D"/>
    <w:rsid w:val="00C76E7B"/>
    <w:rsid w:val="00C76EE7"/>
    <w:rsid w:val="00C76EF4"/>
    <w:rsid w:val="00C76F05"/>
    <w:rsid w:val="00C76F14"/>
    <w:rsid w:val="00C76F35"/>
    <w:rsid w:val="00C76F4B"/>
    <w:rsid w:val="00C76F86"/>
    <w:rsid w:val="00C76FB1"/>
    <w:rsid w:val="00C76FE0"/>
    <w:rsid w:val="00C77015"/>
    <w:rsid w:val="00C7704D"/>
    <w:rsid w:val="00C7707A"/>
    <w:rsid w:val="00C77094"/>
    <w:rsid w:val="00C770E2"/>
    <w:rsid w:val="00C770F5"/>
    <w:rsid w:val="00C7719D"/>
    <w:rsid w:val="00C7719E"/>
    <w:rsid w:val="00C771C5"/>
    <w:rsid w:val="00C771E9"/>
    <w:rsid w:val="00C7723B"/>
    <w:rsid w:val="00C77244"/>
    <w:rsid w:val="00C7729B"/>
    <w:rsid w:val="00C772F0"/>
    <w:rsid w:val="00C772FB"/>
    <w:rsid w:val="00C77339"/>
    <w:rsid w:val="00C77359"/>
    <w:rsid w:val="00C773C3"/>
    <w:rsid w:val="00C77447"/>
    <w:rsid w:val="00C7747E"/>
    <w:rsid w:val="00C774A8"/>
    <w:rsid w:val="00C774CF"/>
    <w:rsid w:val="00C774E6"/>
    <w:rsid w:val="00C77552"/>
    <w:rsid w:val="00C7759E"/>
    <w:rsid w:val="00C775F7"/>
    <w:rsid w:val="00C7761B"/>
    <w:rsid w:val="00C77654"/>
    <w:rsid w:val="00C7768D"/>
    <w:rsid w:val="00C776B8"/>
    <w:rsid w:val="00C776DB"/>
    <w:rsid w:val="00C77770"/>
    <w:rsid w:val="00C7777C"/>
    <w:rsid w:val="00C777E6"/>
    <w:rsid w:val="00C777E9"/>
    <w:rsid w:val="00C777F3"/>
    <w:rsid w:val="00C777F7"/>
    <w:rsid w:val="00C7786E"/>
    <w:rsid w:val="00C77891"/>
    <w:rsid w:val="00C778EA"/>
    <w:rsid w:val="00C7793E"/>
    <w:rsid w:val="00C77940"/>
    <w:rsid w:val="00C7795B"/>
    <w:rsid w:val="00C779F1"/>
    <w:rsid w:val="00C77A30"/>
    <w:rsid w:val="00C77A98"/>
    <w:rsid w:val="00C77A9A"/>
    <w:rsid w:val="00C77AC9"/>
    <w:rsid w:val="00C77B1A"/>
    <w:rsid w:val="00C77B60"/>
    <w:rsid w:val="00C77B9C"/>
    <w:rsid w:val="00C77BC0"/>
    <w:rsid w:val="00C77BE0"/>
    <w:rsid w:val="00C77C00"/>
    <w:rsid w:val="00C77C0F"/>
    <w:rsid w:val="00C77C22"/>
    <w:rsid w:val="00C77C62"/>
    <w:rsid w:val="00C77CB1"/>
    <w:rsid w:val="00C77CDB"/>
    <w:rsid w:val="00C77CFF"/>
    <w:rsid w:val="00C77D56"/>
    <w:rsid w:val="00C77DAB"/>
    <w:rsid w:val="00C77DE9"/>
    <w:rsid w:val="00C77DF3"/>
    <w:rsid w:val="00C77E01"/>
    <w:rsid w:val="00C77E6B"/>
    <w:rsid w:val="00C77EB1"/>
    <w:rsid w:val="00C77ED4"/>
    <w:rsid w:val="00C77F0C"/>
    <w:rsid w:val="00C77F4C"/>
    <w:rsid w:val="00C77F66"/>
    <w:rsid w:val="00C77F70"/>
    <w:rsid w:val="00C77F95"/>
    <w:rsid w:val="00C80022"/>
    <w:rsid w:val="00C80035"/>
    <w:rsid w:val="00C800C8"/>
    <w:rsid w:val="00C800D0"/>
    <w:rsid w:val="00C800E9"/>
    <w:rsid w:val="00C80114"/>
    <w:rsid w:val="00C8011A"/>
    <w:rsid w:val="00C80126"/>
    <w:rsid w:val="00C8016E"/>
    <w:rsid w:val="00C8016F"/>
    <w:rsid w:val="00C80180"/>
    <w:rsid w:val="00C80204"/>
    <w:rsid w:val="00C80235"/>
    <w:rsid w:val="00C80291"/>
    <w:rsid w:val="00C80299"/>
    <w:rsid w:val="00C802B8"/>
    <w:rsid w:val="00C802BE"/>
    <w:rsid w:val="00C802D3"/>
    <w:rsid w:val="00C80344"/>
    <w:rsid w:val="00C80362"/>
    <w:rsid w:val="00C8039B"/>
    <w:rsid w:val="00C803FD"/>
    <w:rsid w:val="00C80412"/>
    <w:rsid w:val="00C8043B"/>
    <w:rsid w:val="00C804BC"/>
    <w:rsid w:val="00C804FE"/>
    <w:rsid w:val="00C80532"/>
    <w:rsid w:val="00C8054B"/>
    <w:rsid w:val="00C8056C"/>
    <w:rsid w:val="00C80594"/>
    <w:rsid w:val="00C80598"/>
    <w:rsid w:val="00C8059B"/>
    <w:rsid w:val="00C805F6"/>
    <w:rsid w:val="00C805FA"/>
    <w:rsid w:val="00C80623"/>
    <w:rsid w:val="00C8062F"/>
    <w:rsid w:val="00C806B1"/>
    <w:rsid w:val="00C806C0"/>
    <w:rsid w:val="00C80707"/>
    <w:rsid w:val="00C80724"/>
    <w:rsid w:val="00C80738"/>
    <w:rsid w:val="00C80749"/>
    <w:rsid w:val="00C807B0"/>
    <w:rsid w:val="00C807C2"/>
    <w:rsid w:val="00C807C5"/>
    <w:rsid w:val="00C807E7"/>
    <w:rsid w:val="00C80887"/>
    <w:rsid w:val="00C80888"/>
    <w:rsid w:val="00C808AA"/>
    <w:rsid w:val="00C808B5"/>
    <w:rsid w:val="00C808DA"/>
    <w:rsid w:val="00C808DD"/>
    <w:rsid w:val="00C80977"/>
    <w:rsid w:val="00C809D1"/>
    <w:rsid w:val="00C809DA"/>
    <w:rsid w:val="00C809E2"/>
    <w:rsid w:val="00C809FD"/>
    <w:rsid w:val="00C80A01"/>
    <w:rsid w:val="00C80A28"/>
    <w:rsid w:val="00C80A94"/>
    <w:rsid w:val="00C80AD1"/>
    <w:rsid w:val="00C80AE9"/>
    <w:rsid w:val="00C80B10"/>
    <w:rsid w:val="00C80B16"/>
    <w:rsid w:val="00C80B1B"/>
    <w:rsid w:val="00C80B7D"/>
    <w:rsid w:val="00C80C14"/>
    <w:rsid w:val="00C80C18"/>
    <w:rsid w:val="00C80C60"/>
    <w:rsid w:val="00C80C79"/>
    <w:rsid w:val="00C80CFE"/>
    <w:rsid w:val="00C80D20"/>
    <w:rsid w:val="00C80D7F"/>
    <w:rsid w:val="00C80DEE"/>
    <w:rsid w:val="00C80E24"/>
    <w:rsid w:val="00C80E2F"/>
    <w:rsid w:val="00C80E44"/>
    <w:rsid w:val="00C80E7C"/>
    <w:rsid w:val="00C80EEF"/>
    <w:rsid w:val="00C80F3B"/>
    <w:rsid w:val="00C80F3E"/>
    <w:rsid w:val="00C80F41"/>
    <w:rsid w:val="00C80F45"/>
    <w:rsid w:val="00C80F48"/>
    <w:rsid w:val="00C80FB6"/>
    <w:rsid w:val="00C8103E"/>
    <w:rsid w:val="00C81051"/>
    <w:rsid w:val="00C81078"/>
    <w:rsid w:val="00C8107A"/>
    <w:rsid w:val="00C810B3"/>
    <w:rsid w:val="00C810C4"/>
    <w:rsid w:val="00C81117"/>
    <w:rsid w:val="00C81146"/>
    <w:rsid w:val="00C811C6"/>
    <w:rsid w:val="00C811DC"/>
    <w:rsid w:val="00C8120E"/>
    <w:rsid w:val="00C81249"/>
    <w:rsid w:val="00C8129A"/>
    <w:rsid w:val="00C812B7"/>
    <w:rsid w:val="00C812B8"/>
    <w:rsid w:val="00C812CE"/>
    <w:rsid w:val="00C812D5"/>
    <w:rsid w:val="00C812E5"/>
    <w:rsid w:val="00C812EC"/>
    <w:rsid w:val="00C8130A"/>
    <w:rsid w:val="00C81355"/>
    <w:rsid w:val="00C813D1"/>
    <w:rsid w:val="00C813F2"/>
    <w:rsid w:val="00C8140D"/>
    <w:rsid w:val="00C814F2"/>
    <w:rsid w:val="00C81534"/>
    <w:rsid w:val="00C81535"/>
    <w:rsid w:val="00C8155F"/>
    <w:rsid w:val="00C8156C"/>
    <w:rsid w:val="00C81590"/>
    <w:rsid w:val="00C81593"/>
    <w:rsid w:val="00C815CD"/>
    <w:rsid w:val="00C81610"/>
    <w:rsid w:val="00C81625"/>
    <w:rsid w:val="00C8166E"/>
    <w:rsid w:val="00C81671"/>
    <w:rsid w:val="00C81764"/>
    <w:rsid w:val="00C8177E"/>
    <w:rsid w:val="00C8179F"/>
    <w:rsid w:val="00C81815"/>
    <w:rsid w:val="00C81821"/>
    <w:rsid w:val="00C8184B"/>
    <w:rsid w:val="00C81850"/>
    <w:rsid w:val="00C8185C"/>
    <w:rsid w:val="00C8189A"/>
    <w:rsid w:val="00C81913"/>
    <w:rsid w:val="00C8194B"/>
    <w:rsid w:val="00C8198C"/>
    <w:rsid w:val="00C819A8"/>
    <w:rsid w:val="00C819B9"/>
    <w:rsid w:val="00C81A22"/>
    <w:rsid w:val="00C81A6E"/>
    <w:rsid w:val="00C81A87"/>
    <w:rsid w:val="00C81A9A"/>
    <w:rsid w:val="00C81AB9"/>
    <w:rsid w:val="00C81ABE"/>
    <w:rsid w:val="00C81AD0"/>
    <w:rsid w:val="00C81AD9"/>
    <w:rsid w:val="00C81B01"/>
    <w:rsid w:val="00C81B24"/>
    <w:rsid w:val="00C81B47"/>
    <w:rsid w:val="00C81B7A"/>
    <w:rsid w:val="00C81BAF"/>
    <w:rsid w:val="00C81BCD"/>
    <w:rsid w:val="00C81C15"/>
    <w:rsid w:val="00C81C32"/>
    <w:rsid w:val="00C81C51"/>
    <w:rsid w:val="00C81CFA"/>
    <w:rsid w:val="00C81D13"/>
    <w:rsid w:val="00C81D34"/>
    <w:rsid w:val="00C81D3D"/>
    <w:rsid w:val="00C81D76"/>
    <w:rsid w:val="00C81DC7"/>
    <w:rsid w:val="00C81DF2"/>
    <w:rsid w:val="00C81E0F"/>
    <w:rsid w:val="00C81E3E"/>
    <w:rsid w:val="00C81E70"/>
    <w:rsid w:val="00C81EAF"/>
    <w:rsid w:val="00C81EFD"/>
    <w:rsid w:val="00C81F1B"/>
    <w:rsid w:val="00C81F4B"/>
    <w:rsid w:val="00C81F61"/>
    <w:rsid w:val="00C81F93"/>
    <w:rsid w:val="00C81F9C"/>
    <w:rsid w:val="00C81FE6"/>
    <w:rsid w:val="00C8203D"/>
    <w:rsid w:val="00C82085"/>
    <w:rsid w:val="00C820BB"/>
    <w:rsid w:val="00C820CC"/>
    <w:rsid w:val="00C820D4"/>
    <w:rsid w:val="00C82101"/>
    <w:rsid w:val="00C82191"/>
    <w:rsid w:val="00C821AF"/>
    <w:rsid w:val="00C82246"/>
    <w:rsid w:val="00C822AB"/>
    <w:rsid w:val="00C822FD"/>
    <w:rsid w:val="00C82305"/>
    <w:rsid w:val="00C8232F"/>
    <w:rsid w:val="00C82372"/>
    <w:rsid w:val="00C823A4"/>
    <w:rsid w:val="00C823BF"/>
    <w:rsid w:val="00C823D3"/>
    <w:rsid w:val="00C823ED"/>
    <w:rsid w:val="00C8244D"/>
    <w:rsid w:val="00C82457"/>
    <w:rsid w:val="00C82464"/>
    <w:rsid w:val="00C824A2"/>
    <w:rsid w:val="00C82508"/>
    <w:rsid w:val="00C8253E"/>
    <w:rsid w:val="00C825C4"/>
    <w:rsid w:val="00C825CD"/>
    <w:rsid w:val="00C825E3"/>
    <w:rsid w:val="00C82604"/>
    <w:rsid w:val="00C82621"/>
    <w:rsid w:val="00C8264F"/>
    <w:rsid w:val="00C8265D"/>
    <w:rsid w:val="00C826C6"/>
    <w:rsid w:val="00C826F5"/>
    <w:rsid w:val="00C8270B"/>
    <w:rsid w:val="00C82728"/>
    <w:rsid w:val="00C82762"/>
    <w:rsid w:val="00C827B0"/>
    <w:rsid w:val="00C827CC"/>
    <w:rsid w:val="00C82849"/>
    <w:rsid w:val="00C82891"/>
    <w:rsid w:val="00C828FC"/>
    <w:rsid w:val="00C82905"/>
    <w:rsid w:val="00C82982"/>
    <w:rsid w:val="00C829BC"/>
    <w:rsid w:val="00C829CA"/>
    <w:rsid w:val="00C829EE"/>
    <w:rsid w:val="00C82A1F"/>
    <w:rsid w:val="00C82A20"/>
    <w:rsid w:val="00C82AE5"/>
    <w:rsid w:val="00C82B26"/>
    <w:rsid w:val="00C82BB2"/>
    <w:rsid w:val="00C82BBE"/>
    <w:rsid w:val="00C82BD4"/>
    <w:rsid w:val="00C82C25"/>
    <w:rsid w:val="00C82C39"/>
    <w:rsid w:val="00C82C4B"/>
    <w:rsid w:val="00C82C57"/>
    <w:rsid w:val="00C82C68"/>
    <w:rsid w:val="00C82C7B"/>
    <w:rsid w:val="00C82C99"/>
    <w:rsid w:val="00C82CA3"/>
    <w:rsid w:val="00C82CC2"/>
    <w:rsid w:val="00C82CE1"/>
    <w:rsid w:val="00C82D00"/>
    <w:rsid w:val="00C82D40"/>
    <w:rsid w:val="00C82D7C"/>
    <w:rsid w:val="00C82D87"/>
    <w:rsid w:val="00C82DB0"/>
    <w:rsid w:val="00C82E4A"/>
    <w:rsid w:val="00C82E85"/>
    <w:rsid w:val="00C82E8C"/>
    <w:rsid w:val="00C82F60"/>
    <w:rsid w:val="00C82FA2"/>
    <w:rsid w:val="00C82FA7"/>
    <w:rsid w:val="00C82FB4"/>
    <w:rsid w:val="00C82FBC"/>
    <w:rsid w:val="00C82FC9"/>
    <w:rsid w:val="00C83018"/>
    <w:rsid w:val="00C83068"/>
    <w:rsid w:val="00C8306D"/>
    <w:rsid w:val="00C830EF"/>
    <w:rsid w:val="00C8314E"/>
    <w:rsid w:val="00C8320C"/>
    <w:rsid w:val="00C83234"/>
    <w:rsid w:val="00C83246"/>
    <w:rsid w:val="00C8326F"/>
    <w:rsid w:val="00C832A1"/>
    <w:rsid w:val="00C832AD"/>
    <w:rsid w:val="00C832C4"/>
    <w:rsid w:val="00C8338C"/>
    <w:rsid w:val="00C83390"/>
    <w:rsid w:val="00C833AF"/>
    <w:rsid w:val="00C833B4"/>
    <w:rsid w:val="00C83426"/>
    <w:rsid w:val="00C83452"/>
    <w:rsid w:val="00C8347C"/>
    <w:rsid w:val="00C834FB"/>
    <w:rsid w:val="00C835C3"/>
    <w:rsid w:val="00C835CF"/>
    <w:rsid w:val="00C83661"/>
    <w:rsid w:val="00C83753"/>
    <w:rsid w:val="00C837EA"/>
    <w:rsid w:val="00C837EF"/>
    <w:rsid w:val="00C838C4"/>
    <w:rsid w:val="00C838C8"/>
    <w:rsid w:val="00C8394B"/>
    <w:rsid w:val="00C839C9"/>
    <w:rsid w:val="00C839D8"/>
    <w:rsid w:val="00C839FA"/>
    <w:rsid w:val="00C83A12"/>
    <w:rsid w:val="00C83A16"/>
    <w:rsid w:val="00C83AB8"/>
    <w:rsid w:val="00C83AE9"/>
    <w:rsid w:val="00C83AED"/>
    <w:rsid w:val="00C83B30"/>
    <w:rsid w:val="00C83B4F"/>
    <w:rsid w:val="00C83B60"/>
    <w:rsid w:val="00C83B76"/>
    <w:rsid w:val="00C83B8A"/>
    <w:rsid w:val="00C83B94"/>
    <w:rsid w:val="00C83B9F"/>
    <w:rsid w:val="00C83BA8"/>
    <w:rsid w:val="00C83C19"/>
    <w:rsid w:val="00C83CAD"/>
    <w:rsid w:val="00C83D26"/>
    <w:rsid w:val="00C83D46"/>
    <w:rsid w:val="00C83D83"/>
    <w:rsid w:val="00C83D88"/>
    <w:rsid w:val="00C83DBF"/>
    <w:rsid w:val="00C83DD2"/>
    <w:rsid w:val="00C83E04"/>
    <w:rsid w:val="00C83E20"/>
    <w:rsid w:val="00C83E2F"/>
    <w:rsid w:val="00C83E32"/>
    <w:rsid w:val="00C83E9B"/>
    <w:rsid w:val="00C83EAB"/>
    <w:rsid w:val="00C83ECF"/>
    <w:rsid w:val="00C83EE5"/>
    <w:rsid w:val="00C83F64"/>
    <w:rsid w:val="00C83F71"/>
    <w:rsid w:val="00C83F85"/>
    <w:rsid w:val="00C83F95"/>
    <w:rsid w:val="00C83F99"/>
    <w:rsid w:val="00C84055"/>
    <w:rsid w:val="00C84098"/>
    <w:rsid w:val="00C840A9"/>
    <w:rsid w:val="00C840C0"/>
    <w:rsid w:val="00C840C1"/>
    <w:rsid w:val="00C840EB"/>
    <w:rsid w:val="00C840FC"/>
    <w:rsid w:val="00C8410A"/>
    <w:rsid w:val="00C84125"/>
    <w:rsid w:val="00C841C3"/>
    <w:rsid w:val="00C84278"/>
    <w:rsid w:val="00C842B6"/>
    <w:rsid w:val="00C842E2"/>
    <w:rsid w:val="00C84303"/>
    <w:rsid w:val="00C84307"/>
    <w:rsid w:val="00C8430E"/>
    <w:rsid w:val="00C84312"/>
    <w:rsid w:val="00C84317"/>
    <w:rsid w:val="00C84354"/>
    <w:rsid w:val="00C8435A"/>
    <w:rsid w:val="00C84400"/>
    <w:rsid w:val="00C84403"/>
    <w:rsid w:val="00C8446E"/>
    <w:rsid w:val="00C84472"/>
    <w:rsid w:val="00C8447E"/>
    <w:rsid w:val="00C84485"/>
    <w:rsid w:val="00C844BE"/>
    <w:rsid w:val="00C844E3"/>
    <w:rsid w:val="00C8450A"/>
    <w:rsid w:val="00C8451C"/>
    <w:rsid w:val="00C84556"/>
    <w:rsid w:val="00C84582"/>
    <w:rsid w:val="00C845AC"/>
    <w:rsid w:val="00C845B8"/>
    <w:rsid w:val="00C845F1"/>
    <w:rsid w:val="00C84608"/>
    <w:rsid w:val="00C84631"/>
    <w:rsid w:val="00C84634"/>
    <w:rsid w:val="00C8465B"/>
    <w:rsid w:val="00C84663"/>
    <w:rsid w:val="00C846D8"/>
    <w:rsid w:val="00C84722"/>
    <w:rsid w:val="00C847A7"/>
    <w:rsid w:val="00C847B1"/>
    <w:rsid w:val="00C847BC"/>
    <w:rsid w:val="00C847D2"/>
    <w:rsid w:val="00C847E5"/>
    <w:rsid w:val="00C84814"/>
    <w:rsid w:val="00C84836"/>
    <w:rsid w:val="00C84842"/>
    <w:rsid w:val="00C84867"/>
    <w:rsid w:val="00C8487E"/>
    <w:rsid w:val="00C848F0"/>
    <w:rsid w:val="00C8492A"/>
    <w:rsid w:val="00C8492F"/>
    <w:rsid w:val="00C84943"/>
    <w:rsid w:val="00C849A5"/>
    <w:rsid w:val="00C849DC"/>
    <w:rsid w:val="00C84A3D"/>
    <w:rsid w:val="00C84A5D"/>
    <w:rsid w:val="00C84A90"/>
    <w:rsid w:val="00C84AA3"/>
    <w:rsid w:val="00C84AF4"/>
    <w:rsid w:val="00C84B1A"/>
    <w:rsid w:val="00C84B3E"/>
    <w:rsid w:val="00C84B54"/>
    <w:rsid w:val="00C84B87"/>
    <w:rsid w:val="00C84BE0"/>
    <w:rsid w:val="00C84C22"/>
    <w:rsid w:val="00C84CAF"/>
    <w:rsid w:val="00C84CB7"/>
    <w:rsid w:val="00C84CF1"/>
    <w:rsid w:val="00C84D30"/>
    <w:rsid w:val="00C84D38"/>
    <w:rsid w:val="00C84DBE"/>
    <w:rsid w:val="00C84DC3"/>
    <w:rsid w:val="00C84E80"/>
    <w:rsid w:val="00C84E91"/>
    <w:rsid w:val="00C84EAE"/>
    <w:rsid w:val="00C84EC0"/>
    <w:rsid w:val="00C84ECE"/>
    <w:rsid w:val="00C84EEF"/>
    <w:rsid w:val="00C84F0E"/>
    <w:rsid w:val="00C84F70"/>
    <w:rsid w:val="00C84FBA"/>
    <w:rsid w:val="00C84FD2"/>
    <w:rsid w:val="00C85022"/>
    <w:rsid w:val="00C85024"/>
    <w:rsid w:val="00C85025"/>
    <w:rsid w:val="00C8504B"/>
    <w:rsid w:val="00C8512F"/>
    <w:rsid w:val="00C85175"/>
    <w:rsid w:val="00C85176"/>
    <w:rsid w:val="00C85196"/>
    <w:rsid w:val="00C851C7"/>
    <w:rsid w:val="00C85210"/>
    <w:rsid w:val="00C85292"/>
    <w:rsid w:val="00C852BE"/>
    <w:rsid w:val="00C8534E"/>
    <w:rsid w:val="00C8544D"/>
    <w:rsid w:val="00C8547C"/>
    <w:rsid w:val="00C854A8"/>
    <w:rsid w:val="00C854DA"/>
    <w:rsid w:val="00C8550D"/>
    <w:rsid w:val="00C85520"/>
    <w:rsid w:val="00C85536"/>
    <w:rsid w:val="00C8553F"/>
    <w:rsid w:val="00C85542"/>
    <w:rsid w:val="00C85553"/>
    <w:rsid w:val="00C8558C"/>
    <w:rsid w:val="00C855AD"/>
    <w:rsid w:val="00C856A6"/>
    <w:rsid w:val="00C856E5"/>
    <w:rsid w:val="00C85712"/>
    <w:rsid w:val="00C85721"/>
    <w:rsid w:val="00C85781"/>
    <w:rsid w:val="00C857D5"/>
    <w:rsid w:val="00C8580D"/>
    <w:rsid w:val="00C8582C"/>
    <w:rsid w:val="00C858D3"/>
    <w:rsid w:val="00C8592E"/>
    <w:rsid w:val="00C85948"/>
    <w:rsid w:val="00C85950"/>
    <w:rsid w:val="00C85959"/>
    <w:rsid w:val="00C8595D"/>
    <w:rsid w:val="00C85987"/>
    <w:rsid w:val="00C859C1"/>
    <w:rsid w:val="00C859D6"/>
    <w:rsid w:val="00C859E9"/>
    <w:rsid w:val="00C85A39"/>
    <w:rsid w:val="00C85A55"/>
    <w:rsid w:val="00C85ABA"/>
    <w:rsid w:val="00C85AD7"/>
    <w:rsid w:val="00C85AD9"/>
    <w:rsid w:val="00C85AE2"/>
    <w:rsid w:val="00C85AEB"/>
    <w:rsid w:val="00C85B31"/>
    <w:rsid w:val="00C85C00"/>
    <w:rsid w:val="00C85C53"/>
    <w:rsid w:val="00C85C77"/>
    <w:rsid w:val="00C85C81"/>
    <w:rsid w:val="00C85C96"/>
    <w:rsid w:val="00C85CC0"/>
    <w:rsid w:val="00C85CED"/>
    <w:rsid w:val="00C85CEE"/>
    <w:rsid w:val="00C85D1C"/>
    <w:rsid w:val="00C85D86"/>
    <w:rsid w:val="00C85D8E"/>
    <w:rsid w:val="00C85D96"/>
    <w:rsid w:val="00C85D99"/>
    <w:rsid w:val="00C85DE7"/>
    <w:rsid w:val="00C85DE9"/>
    <w:rsid w:val="00C85E49"/>
    <w:rsid w:val="00C85EA9"/>
    <w:rsid w:val="00C85F05"/>
    <w:rsid w:val="00C85F0A"/>
    <w:rsid w:val="00C85F7E"/>
    <w:rsid w:val="00C85F8F"/>
    <w:rsid w:val="00C85F9D"/>
    <w:rsid w:val="00C85FD5"/>
    <w:rsid w:val="00C86039"/>
    <w:rsid w:val="00C8604A"/>
    <w:rsid w:val="00C86095"/>
    <w:rsid w:val="00C860C4"/>
    <w:rsid w:val="00C8611A"/>
    <w:rsid w:val="00C86167"/>
    <w:rsid w:val="00C86175"/>
    <w:rsid w:val="00C86195"/>
    <w:rsid w:val="00C861D2"/>
    <w:rsid w:val="00C8627A"/>
    <w:rsid w:val="00C862A8"/>
    <w:rsid w:val="00C862C5"/>
    <w:rsid w:val="00C86326"/>
    <w:rsid w:val="00C8634A"/>
    <w:rsid w:val="00C863D7"/>
    <w:rsid w:val="00C863EF"/>
    <w:rsid w:val="00C86457"/>
    <w:rsid w:val="00C86499"/>
    <w:rsid w:val="00C8649C"/>
    <w:rsid w:val="00C864C6"/>
    <w:rsid w:val="00C8652D"/>
    <w:rsid w:val="00C865A1"/>
    <w:rsid w:val="00C865AE"/>
    <w:rsid w:val="00C865B6"/>
    <w:rsid w:val="00C865D9"/>
    <w:rsid w:val="00C865F1"/>
    <w:rsid w:val="00C86603"/>
    <w:rsid w:val="00C86624"/>
    <w:rsid w:val="00C86642"/>
    <w:rsid w:val="00C86645"/>
    <w:rsid w:val="00C86660"/>
    <w:rsid w:val="00C86675"/>
    <w:rsid w:val="00C86679"/>
    <w:rsid w:val="00C866AA"/>
    <w:rsid w:val="00C86712"/>
    <w:rsid w:val="00C8673C"/>
    <w:rsid w:val="00C86753"/>
    <w:rsid w:val="00C8679D"/>
    <w:rsid w:val="00C867A5"/>
    <w:rsid w:val="00C867B4"/>
    <w:rsid w:val="00C867DD"/>
    <w:rsid w:val="00C8680E"/>
    <w:rsid w:val="00C86833"/>
    <w:rsid w:val="00C86839"/>
    <w:rsid w:val="00C86842"/>
    <w:rsid w:val="00C8685B"/>
    <w:rsid w:val="00C86866"/>
    <w:rsid w:val="00C868AC"/>
    <w:rsid w:val="00C86939"/>
    <w:rsid w:val="00C8696D"/>
    <w:rsid w:val="00C86997"/>
    <w:rsid w:val="00C8699E"/>
    <w:rsid w:val="00C86AD5"/>
    <w:rsid w:val="00C86B5A"/>
    <w:rsid w:val="00C86B84"/>
    <w:rsid w:val="00C86B9A"/>
    <w:rsid w:val="00C86BA4"/>
    <w:rsid w:val="00C86BC6"/>
    <w:rsid w:val="00C86BE7"/>
    <w:rsid w:val="00C86BF0"/>
    <w:rsid w:val="00C86C1F"/>
    <w:rsid w:val="00C86C48"/>
    <w:rsid w:val="00C86C80"/>
    <w:rsid w:val="00C86D01"/>
    <w:rsid w:val="00C86D35"/>
    <w:rsid w:val="00C86D6F"/>
    <w:rsid w:val="00C86D80"/>
    <w:rsid w:val="00C86D85"/>
    <w:rsid w:val="00C86DDC"/>
    <w:rsid w:val="00C86E02"/>
    <w:rsid w:val="00C86E09"/>
    <w:rsid w:val="00C86E2F"/>
    <w:rsid w:val="00C86EA0"/>
    <w:rsid w:val="00C86EDF"/>
    <w:rsid w:val="00C86EFD"/>
    <w:rsid w:val="00C86F1A"/>
    <w:rsid w:val="00C86F6B"/>
    <w:rsid w:val="00C87076"/>
    <w:rsid w:val="00C87081"/>
    <w:rsid w:val="00C87099"/>
    <w:rsid w:val="00C870AF"/>
    <w:rsid w:val="00C87136"/>
    <w:rsid w:val="00C87188"/>
    <w:rsid w:val="00C871AB"/>
    <w:rsid w:val="00C87242"/>
    <w:rsid w:val="00C8728A"/>
    <w:rsid w:val="00C8731C"/>
    <w:rsid w:val="00C87339"/>
    <w:rsid w:val="00C8734D"/>
    <w:rsid w:val="00C87350"/>
    <w:rsid w:val="00C873B7"/>
    <w:rsid w:val="00C873E5"/>
    <w:rsid w:val="00C8741A"/>
    <w:rsid w:val="00C8742C"/>
    <w:rsid w:val="00C87442"/>
    <w:rsid w:val="00C87492"/>
    <w:rsid w:val="00C87559"/>
    <w:rsid w:val="00C87580"/>
    <w:rsid w:val="00C875C1"/>
    <w:rsid w:val="00C875F8"/>
    <w:rsid w:val="00C875FA"/>
    <w:rsid w:val="00C8768A"/>
    <w:rsid w:val="00C876B7"/>
    <w:rsid w:val="00C876ED"/>
    <w:rsid w:val="00C87753"/>
    <w:rsid w:val="00C87790"/>
    <w:rsid w:val="00C877CB"/>
    <w:rsid w:val="00C8783A"/>
    <w:rsid w:val="00C87896"/>
    <w:rsid w:val="00C878E0"/>
    <w:rsid w:val="00C87908"/>
    <w:rsid w:val="00C87920"/>
    <w:rsid w:val="00C87942"/>
    <w:rsid w:val="00C87953"/>
    <w:rsid w:val="00C8798B"/>
    <w:rsid w:val="00C8798D"/>
    <w:rsid w:val="00C87A11"/>
    <w:rsid w:val="00C87A40"/>
    <w:rsid w:val="00C87A7F"/>
    <w:rsid w:val="00C87AC9"/>
    <w:rsid w:val="00C87AE5"/>
    <w:rsid w:val="00C87B10"/>
    <w:rsid w:val="00C87B49"/>
    <w:rsid w:val="00C87B52"/>
    <w:rsid w:val="00C87B5B"/>
    <w:rsid w:val="00C87BDD"/>
    <w:rsid w:val="00C87C70"/>
    <w:rsid w:val="00C87CED"/>
    <w:rsid w:val="00C87D01"/>
    <w:rsid w:val="00C87D17"/>
    <w:rsid w:val="00C87D1A"/>
    <w:rsid w:val="00C87D46"/>
    <w:rsid w:val="00C87D54"/>
    <w:rsid w:val="00C87D56"/>
    <w:rsid w:val="00C87D90"/>
    <w:rsid w:val="00C87DB4"/>
    <w:rsid w:val="00C87DD5"/>
    <w:rsid w:val="00C87E3B"/>
    <w:rsid w:val="00C87EB5"/>
    <w:rsid w:val="00C87EEF"/>
    <w:rsid w:val="00C87F19"/>
    <w:rsid w:val="00C87F22"/>
    <w:rsid w:val="00C87FFA"/>
    <w:rsid w:val="00C87FFB"/>
    <w:rsid w:val="00C9000D"/>
    <w:rsid w:val="00C90052"/>
    <w:rsid w:val="00C90099"/>
    <w:rsid w:val="00C900E7"/>
    <w:rsid w:val="00C900EC"/>
    <w:rsid w:val="00C900FB"/>
    <w:rsid w:val="00C9011B"/>
    <w:rsid w:val="00C90143"/>
    <w:rsid w:val="00C901B1"/>
    <w:rsid w:val="00C901EE"/>
    <w:rsid w:val="00C901EF"/>
    <w:rsid w:val="00C901F0"/>
    <w:rsid w:val="00C9024E"/>
    <w:rsid w:val="00C9025D"/>
    <w:rsid w:val="00C90287"/>
    <w:rsid w:val="00C9029E"/>
    <w:rsid w:val="00C902B7"/>
    <w:rsid w:val="00C902D5"/>
    <w:rsid w:val="00C90300"/>
    <w:rsid w:val="00C9030F"/>
    <w:rsid w:val="00C90312"/>
    <w:rsid w:val="00C9032B"/>
    <w:rsid w:val="00C90332"/>
    <w:rsid w:val="00C90346"/>
    <w:rsid w:val="00C903C7"/>
    <w:rsid w:val="00C903D7"/>
    <w:rsid w:val="00C903EE"/>
    <w:rsid w:val="00C903F0"/>
    <w:rsid w:val="00C9043A"/>
    <w:rsid w:val="00C90454"/>
    <w:rsid w:val="00C904B2"/>
    <w:rsid w:val="00C9054E"/>
    <w:rsid w:val="00C9055D"/>
    <w:rsid w:val="00C905BA"/>
    <w:rsid w:val="00C905F7"/>
    <w:rsid w:val="00C9061E"/>
    <w:rsid w:val="00C90647"/>
    <w:rsid w:val="00C906C1"/>
    <w:rsid w:val="00C907B3"/>
    <w:rsid w:val="00C907BB"/>
    <w:rsid w:val="00C907D2"/>
    <w:rsid w:val="00C90806"/>
    <w:rsid w:val="00C9084E"/>
    <w:rsid w:val="00C908A4"/>
    <w:rsid w:val="00C908D7"/>
    <w:rsid w:val="00C908DD"/>
    <w:rsid w:val="00C908E2"/>
    <w:rsid w:val="00C90905"/>
    <w:rsid w:val="00C90942"/>
    <w:rsid w:val="00C9094F"/>
    <w:rsid w:val="00C909AB"/>
    <w:rsid w:val="00C909F6"/>
    <w:rsid w:val="00C90A16"/>
    <w:rsid w:val="00C90A18"/>
    <w:rsid w:val="00C90A2C"/>
    <w:rsid w:val="00C90A2E"/>
    <w:rsid w:val="00C90A79"/>
    <w:rsid w:val="00C90A88"/>
    <w:rsid w:val="00C90AE8"/>
    <w:rsid w:val="00C90B22"/>
    <w:rsid w:val="00C90B35"/>
    <w:rsid w:val="00C90B9B"/>
    <w:rsid w:val="00C90BAD"/>
    <w:rsid w:val="00C90BE1"/>
    <w:rsid w:val="00C90C26"/>
    <w:rsid w:val="00C90C4F"/>
    <w:rsid w:val="00C90C94"/>
    <w:rsid w:val="00C90D04"/>
    <w:rsid w:val="00C90E20"/>
    <w:rsid w:val="00C90EB6"/>
    <w:rsid w:val="00C90ED7"/>
    <w:rsid w:val="00C90EFC"/>
    <w:rsid w:val="00C90F11"/>
    <w:rsid w:val="00C90F4C"/>
    <w:rsid w:val="00C90FCC"/>
    <w:rsid w:val="00C91026"/>
    <w:rsid w:val="00C91027"/>
    <w:rsid w:val="00C91034"/>
    <w:rsid w:val="00C9106E"/>
    <w:rsid w:val="00C910FB"/>
    <w:rsid w:val="00C9117C"/>
    <w:rsid w:val="00C911B2"/>
    <w:rsid w:val="00C91210"/>
    <w:rsid w:val="00C9127B"/>
    <w:rsid w:val="00C91281"/>
    <w:rsid w:val="00C912A6"/>
    <w:rsid w:val="00C912B4"/>
    <w:rsid w:val="00C91312"/>
    <w:rsid w:val="00C91407"/>
    <w:rsid w:val="00C9142E"/>
    <w:rsid w:val="00C91448"/>
    <w:rsid w:val="00C914A4"/>
    <w:rsid w:val="00C914CA"/>
    <w:rsid w:val="00C91515"/>
    <w:rsid w:val="00C91535"/>
    <w:rsid w:val="00C915A7"/>
    <w:rsid w:val="00C915D5"/>
    <w:rsid w:val="00C9164C"/>
    <w:rsid w:val="00C9171A"/>
    <w:rsid w:val="00C91769"/>
    <w:rsid w:val="00C9178F"/>
    <w:rsid w:val="00C917A0"/>
    <w:rsid w:val="00C91850"/>
    <w:rsid w:val="00C91883"/>
    <w:rsid w:val="00C918DA"/>
    <w:rsid w:val="00C918EC"/>
    <w:rsid w:val="00C918F3"/>
    <w:rsid w:val="00C918F5"/>
    <w:rsid w:val="00C9190F"/>
    <w:rsid w:val="00C9195B"/>
    <w:rsid w:val="00C91980"/>
    <w:rsid w:val="00C91A1F"/>
    <w:rsid w:val="00C91A9B"/>
    <w:rsid w:val="00C91ACA"/>
    <w:rsid w:val="00C91ADA"/>
    <w:rsid w:val="00C91AEC"/>
    <w:rsid w:val="00C91B13"/>
    <w:rsid w:val="00C91B39"/>
    <w:rsid w:val="00C91B7C"/>
    <w:rsid w:val="00C91B80"/>
    <w:rsid w:val="00C91B95"/>
    <w:rsid w:val="00C91BAC"/>
    <w:rsid w:val="00C91C3D"/>
    <w:rsid w:val="00C91C49"/>
    <w:rsid w:val="00C91C54"/>
    <w:rsid w:val="00C91C5F"/>
    <w:rsid w:val="00C91C97"/>
    <w:rsid w:val="00C91C9A"/>
    <w:rsid w:val="00C91CBF"/>
    <w:rsid w:val="00C91D15"/>
    <w:rsid w:val="00C91D28"/>
    <w:rsid w:val="00C91D2D"/>
    <w:rsid w:val="00C91D40"/>
    <w:rsid w:val="00C91D96"/>
    <w:rsid w:val="00C91DDB"/>
    <w:rsid w:val="00C91DE3"/>
    <w:rsid w:val="00C91E44"/>
    <w:rsid w:val="00C91E65"/>
    <w:rsid w:val="00C91E6A"/>
    <w:rsid w:val="00C91E81"/>
    <w:rsid w:val="00C91EAA"/>
    <w:rsid w:val="00C91ED0"/>
    <w:rsid w:val="00C91EF4"/>
    <w:rsid w:val="00C91FC4"/>
    <w:rsid w:val="00C91FDD"/>
    <w:rsid w:val="00C91FE4"/>
    <w:rsid w:val="00C91FFB"/>
    <w:rsid w:val="00C92018"/>
    <w:rsid w:val="00C92055"/>
    <w:rsid w:val="00C92099"/>
    <w:rsid w:val="00C920D0"/>
    <w:rsid w:val="00C9211B"/>
    <w:rsid w:val="00C92121"/>
    <w:rsid w:val="00C92149"/>
    <w:rsid w:val="00C9216C"/>
    <w:rsid w:val="00C92200"/>
    <w:rsid w:val="00C9220A"/>
    <w:rsid w:val="00C92217"/>
    <w:rsid w:val="00C922D7"/>
    <w:rsid w:val="00C922D8"/>
    <w:rsid w:val="00C92331"/>
    <w:rsid w:val="00C92341"/>
    <w:rsid w:val="00C9236A"/>
    <w:rsid w:val="00C92378"/>
    <w:rsid w:val="00C9237B"/>
    <w:rsid w:val="00C9237D"/>
    <w:rsid w:val="00C923A6"/>
    <w:rsid w:val="00C923FC"/>
    <w:rsid w:val="00C9241D"/>
    <w:rsid w:val="00C92490"/>
    <w:rsid w:val="00C924A4"/>
    <w:rsid w:val="00C924E7"/>
    <w:rsid w:val="00C925EA"/>
    <w:rsid w:val="00C925EF"/>
    <w:rsid w:val="00C9268B"/>
    <w:rsid w:val="00C926A6"/>
    <w:rsid w:val="00C926BE"/>
    <w:rsid w:val="00C926D8"/>
    <w:rsid w:val="00C926ED"/>
    <w:rsid w:val="00C92703"/>
    <w:rsid w:val="00C92764"/>
    <w:rsid w:val="00C92778"/>
    <w:rsid w:val="00C927EA"/>
    <w:rsid w:val="00C9287D"/>
    <w:rsid w:val="00C928F2"/>
    <w:rsid w:val="00C92922"/>
    <w:rsid w:val="00C9292E"/>
    <w:rsid w:val="00C92947"/>
    <w:rsid w:val="00C92949"/>
    <w:rsid w:val="00C92952"/>
    <w:rsid w:val="00C92967"/>
    <w:rsid w:val="00C92994"/>
    <w:rsid w:val="00C929BB"/>
    <w:rsid w:val="00C929CC"/>
    <w:rsid w:val="00C929DC"/>
    <w:rsid w:val="00C92A3D"/>
    <w:rsid w:val="00C92A76"/>
    <w:rsid w:val="00C92A7A"/>
    <w:rsid w:val="00C92AA8"/>
    <w:rsid w:val="00C92AD5"/>
    <w:rsid w:val="00C92B69"/>
    <w:rsid w:val="00C92BA5"/>
    <w:rsid w:val="00C92BB9"/>
    <w:rsid w:val="00C92BE7"/>
    <w:rsid w:val="00C92C2C"/>
    <w:rsid w:val="00C92C59"/>
    <w:rsid w:val="00C92C63"/>
    <w:rsid w:val="00C92C67"/>
    <w:rsid w:val="00C92C7B"/>
    <w:rsid w:val="00C92C98"/>
    <w:rsid w:val="00C92CA2"/>
    <w:rsid w:val="00C92CCE"/>
    <w:rsid w:val="00C92D53"/>
    <w:rsid w:val="00C92D57"/>
    <w:rsid w:val="00C92D61"/>
    <w:rsid w:val="00C92D91"/>
    <w:rsid w:val="00C92E02"/>
    <w:rsid w:val="00C92E12"/>
    <w:rsid w:val="00C92E51"/>
    <w:rsid w:val="00C92E5D"/>
    <w:rsid w:val="00C92EE0"/>
    <w:rsid w:val="00C92F6D"/>
    <w:rsid w:val="00C92F94"/>
    <w:rsid w:val="00C92FB5"/>
    <w:rsid w:val="00C92FB8"/>
    <w:rsid w:val="00C92FF2"/>
    <w:rsid w:val="00C93042"/>
    <w:rsid w:val="00C9304E"/>
    <w:rsid w:val="00C9309F"/>
    <w:rsid w:val="00C930BA"/>
    <w:rsid w:val="00C930F2"/>
    <w:rsid w:val="00C9316C"/>
    <w:rsid w:val="00C93187"/>
    <w:rsid w:val="00C93196"/>
    <w:rsid w:val="00C931D4"/>
    <w:rsid w:val="00C9325F"/>
    <w:rsid w:val="00C93277"/>
    <w:rsid w:val="00C93285"/>
    <w:rsid w:val="00C9328B"/>
    <w:rsid w:val="00C932D3"/>
    <w:rsid w:val="00C93358"/>
    <w:rsid w:val="00C93360"/>
    <w:rsid w:val="00C93362"/>
    <w:rsid w:val="00C933BF"/>
    <w:rsid w:val="00C933DB"/>
    <w:rsid w:val="00C933DD"/>
    <w:rsid w:val="00C933E2"/>
    <w:rsid w:val="00C93413"/>
    <w:rsid w:val="00C93422"/>
    <w:rsid w:val="00C93423"/>
    <w:rsid w:val="00C93464"/>
    <w:rsid w:val="00C93485"/>
    <w:rsid w:val="00C93491"/>
    <w:rsid w:val="00C934B9"/>
    <w:rsid w:val="00C934C5"/>
    <w:rsid w:val="00C934DD"/>
    <w:rsid w:val="00C93520"/>
    <w:rsid w:val="00C9353A"/>
    <w:rsid w:val="00C93559"/>
    <w:rsid w:val="00C935CD"/>
    <w:rsid w:val="00C935FD"/>
    <w:rsid w:val="00C9360D"/>
    <w:rsid w:val="00C93632"/>
    <w:rsid w:val="00C93676"/>
    <w:rsid w:val="00C9369B"/>
    <w:rsid w:val="00C936E1"/>
    <w:rsid w:val="00C9373C"/>
    <w:rsid w:val="00C9373E"/>
    <w:rsid w:val="00C93782"/>
    <w:rsid w:val="00C9378A"/>
    <w:rsid w:val="00C937D3"/>
    <w:rsid w:val="00C937F8"/>
    <w:rsid w:val="00C93832"/>
    <w:rsid w:val="00C93844"/>
    <w:rsid w:val="00C93865"/>
    <w:rsid w:val="00C93876"/>
    <w:rsid w:val="00C938FC"/>
    <w:rsid w:val="00C93963"/>
    <w:rsid w:val="00C9396C"/>
    <w:rsid w:val="00C9398B"/>
    <w:rsid w:val="00C93A30"/>
    <w:rsid w:val="00C93A59"/>
    <w:rsid w:val="00C93AA0"/>
    <w:rsid w:val="00C93AB0"/>
    <w:rsid w:val="00C93AD5"/>
    <w:rsid w:val="00C93B0D"/>
    <w:rsid w:val="00C93B1A"/>
    <w:rsid w:val="00C93B25"/>
    <w:rsid w:val="00C93B80"/>
    <w:rsid w:val="00C93BE0"/>
    <w:rsid w:val="00C93BEC"/>
    <w:rsid w:val="00C93BF2"/>
    <w:rsid w:val="00C93C0D"/>
    <w:rsid w:val="00C93C1B"/>
    <w:rsid w:val="00C93C36"/>
    <w:rsid w:val="00C93C3B"/>
    <w:rsid w:val="00C93C3C"/>
    <w:rsid w:val="00C93C41"/>
    <w:rsid w:val="00C93CAF"/>
    <w:rsid w:val="00C93CB3"/>
    <w:rsid w:val="00C93CD1"/>
    <w:rsid w:val="00C93CD3"/>
    <w:rsid w:val="00C93CDB"/>
    <w:rsid w:val="00C93CF5"/>
    <w:rsid w:val="00C93D27"/>
    <w:rsid w:val="00C93D85"/>
    <w:rsid w:val="00C93DB4"/>
    <w:rsid w:val="00C93DD5"/>
    <w:rsid w:val="00C93E17"/>
    <w:rsid w:val="00C93E53"/>
    <w:rsid w:val="00C93E9D"/>
    <w:rsid w:val="00C93EAD"/>
    <w:rsid w:val="00C93EBF"/>
    <w:rsid w:val="00C93F16"/>
    <w:rsid w:val="00C93F4E"/>
    <w:rsid w:val="00C93F58"/>
    <w:rsid w:val="00C93F72"/>
    <w:rsid w:val="00C93FE1"/>
    <w:rsid w:val="00C93FEA"/>
    <w:rsid w:val="00C94001"/>
    <w:rsid w:val="00C94011"/>
    <w:rsid w:val="00C94044"/>
    <w:rsid w:val="00C94069"/>
    <w:rsid w:val="00C9408A"/>
    <w:rsid w:val="00C940C1"/>
    <w:rsid w:val="00C940C9"/>
    <w:rsid w:val="00C940DC"/>
    <w:rsid w:val="00C94103"/>
    <w:rsid w:val="00C94114"/>
    <w:rsid w:val="00C94122"/>
    <w:rsid w:val="00C9412B"/>
    <w:rsid w:val="00C9416A"/>
    <w:rsid w:val="00C941A0"/>
    <w:rsid w:val="00C941BE"/>
    <w:rsid w:val="00C9427C"/>
    <w:rsid w:val="00C94285"/>
    <w:rsid w:val="00C94294"/>
    <w:rsid w:val="00C942EE"/>
    <w:rsid w:val="00C9431C"/>
    <w:rsid w:val="00C94334"/>
    <w:rsid w:val="00C9434F"/>
    <w:rsid w:val="00C943C5"/>
    <w:rsid w:val="00C943F0"/>
    <w:rsid w:val="00C943F5"/>
    <w:rsid w:val="00C94403"/>
    <w:rsid w:val="00C9447F"/>
    <w:rsid w:val="00C9449A"/>
    <w:rsid w:val="00C944B4"/>
    <w:rsid w:val="00C94508"/>
    <w:rsid w:val="00C94540"/>
    <w:rsid w:val="00C9455B"/>
    <w:rsid w:val="00C94588"/>
    <w:rsid w:val="00C945CC"/>
    <w:rsid w:val="00C945E7"/>
    <w:rsid w:val="00C9460E"/>
    <w:rsid w:val="00C94685"/>
    <w:rsid w:val="00C946C2"/>
    <w:rsid w:val="00C946C4"/>
    <w:rsid w:val="00C946E5"/>
    <w:rsid w:val="00C9476F"/>
    <w:rsid w:val="00C947AD"/>
    <w:rsid w:val="00C947AE"/>
    <w:rsid w:val="00C94800"/>
    <w:rsid w:val="00C94803"/>
    <w:rsid w:val="00C9480A"/>
    <w:rsid w:val="00C94836"/>
    <w:rsid w:val="00C94857"/>
    <w:rsid w:val="00C94881"/>
    <w:rsid w:val="00C948E9"/>
    <w:rsid w:val="00C94917"/>
    <w:rsid w:val="00C94948"/>
    <w:rsid w:val="00C94958"/>
    <w:rsid w:val="00C9498B"/>
    <w:rsid w:val="00C949D3"/>
    <w:rsid w:val="00C949DF"/>
    <w:rsid w:val="00C94A97"/>
    <w:rsid w:val="00C94AA9"/>
    <w:rsid w:val="00C94AB5"/>
    <w:rsid w:val="00C94AE1"/>
    <w:rsid w:val="00C94B3F"/>
    <w:rsid w:val="00C94B9C"/>
    <w:rsid w:val="00C94BAC"/>
    <w:rsid w:val="00C94BC9"/>
    <w:rsid w:val="00C94BD6"/>
    <w:rsid w:val="00C94BDB"/>
    <w:rsid w:val="00C94C09"/>
    <w:rsid w:val="00C94C30"/>
    <w:rsid w:val="00C94C58"/>
    <w:rsid w:val="00C94CAB"/>
    <w:rsid w:val="00C94CEF"/>
    <w:rsid w:val="00C94D40"/>
    <w:rsid w:val="00C94DE3"/>
    <w:rsid w:val="00C94DFA"/>
    <w:rsid w:val="00C94E6A"/>
    <w:rsid w:val="00C94F03"/>
    <w:rsid w:val="00C94F10"/>
    <w:rsid w:val="00C94F7C"/>
    <w:rsid w:val="00C94F88"/>
    <w:rsid w:val="00C94FAA"/>
    <w:rsid w:val="00C94FC7"/>
    <w:rsid w:val="00C9505F"/>
    <w:rsid w:val="00C9506D"/>
    <w:rsid w:val="00C950AF"/>
    <w:rsid w:val="00C950B2"/>
    <w:rsid w:val="00C950C9"/>
    <w:rsid w:val="00C9510D"/>
    <w:rsid w:val="00C95130"/>
    <w:rsid w:val="00C951BA"/>
    <w:rsid w:val="00C951C8"/>
    <w:rsid w:val="00C9523F"/>
    <w:rsid w:val="00C95246"/>
    <w:rsid w:val="00C9529E"/>
    <w:rsid w:val="00C952B2"/>
    <w:rsid w:val="00C952B5"/>
    <w:rsid w:val="00C95343"/>
    <w:rsid w:val="00C9534C"/>
    <w:rsid w:val="00C9535A"/>
    <w:rsid w:val="00C9536B"/>
    <w:rsid w:val="00C95378"/>
    <w:rsid w:val="00C953AC"/>
    <w:rsid w:val="00C953CC"/>
    <w:rsid w:val="00C953FA"/>
    <w:rsid w:val="00C954C9"/>
    <w:rsid w:val="00C954DB"/>
    <w:rsid w:val="00C954E0"/>
    <w:rsid w:val="00C954E4"/>
    <w:rsid w:val="00C954E6"/>
    <w:rsid w:val="00C95558"/>
    <w:rsid w:val="00C955D6"/>
    <w:rsid w:val="00C956A2"/>
    <w:rsid w:val="00C956B3"/>
    <w:rsid w:val="00C956B5"/>
    <w:rsid w:val="00C956D2"/>
    <w:rsid w:val="00C956DF"/>
    <w:rsid w:val="00C956FE"/>
    <w:rsid w:val="00C95701"/>
    <w:rsid w:val="00C95769"/>
    <w:rsid w:val="00C9579F"/>
    <w:rsid w:val="00C95804"/>
    <w:rsid w:val="00C95822"/>
    <w:rsid w:val="00C95890"/>
    <w:rsid w:val="00C9593B"/>
    <w:rsid w:val="00C9596B"/>
    <w:rsid w:val="00C959D1"/>
    <w:rsid w:val="00C959EB"/>
    <w:rsid w:val="00C95A38"/>
    <w:rsid w:val="00C95A44"/>
    <w:rsid w:val="00C95A93"/>
    <w:rsid w:val="00C95B12"/>
    <w:rsid w:val="00C95B1C"/>
    <w:rsid w:val="00C95B84"/>
    <w:rsid w:val="00C95BF4"/>
    <w:rsid w:val="00C95C5F"/>
    <w:rsid w:val="00C95C67"/>
    <w:rsid w:val="00C95C72"/>
    <w:rsid w:val="00C95C77"/>
    <w:rsid w:val="00C95CA5"/>
    <w:rsid w:val="00C95CD1"/>
    <w:rsid w:val="00C95CE2"/>
    <w:rsid w:val="00C95CF5"/>
    <w:rsid w:val="00C95D3D"/>
    <w:rsid w:val="00C95D46"/>
    <w:rsid w:val="00C95D49"/>
    <w:rsid w:val="00C95D4D"/>
    <w:rsid w:val="00C95D55"/>
    <w:rsid w:val="00C95DA7"/>
    <w:rsid w:val="00C95DC8"/>
    <w:rsid w:val="00C95DDB"/>
    <w:rsid w:val="00C95DF0"/>
    <w:rsid w:val="00C95F15"/>
    <w:rsid w:val="00C95F5C"/>
    <w:rsid w:val="00C95F99"/>
    <w:rsid w:val="00C95FFC"/>
    <w:rsid w:val="00C9609A"/>
    <w:rsid w:val="00C960DD"/>
    <w:rsid w:val="00C960E4"/>
    <w:rsid w:val="00C960F3"/>
    <w:rsid w:val="00C960FC"/>
    <w:rsid w:val="00C96108"/>
    <w:rsid w:val="00C9611E"/>
    <w:rsid w:val="00C96147"/>
    <w:rsid w:val="00C9616B"/>
    <w:rsid w:val="00C9619B"/>
    <w:rsid w:val="00C961E8"/>
    <w:rsid w:val="00C961F0"/>
    <w:rsid w:val="00C96212"/>
    <w:rsid w:val="00C96215"/>
    <w:rsid w:val="00C96237"/>
    <w:rsid w:val="00C96244"/>
    <w:rsid w:val="00C96254"/>
    <w:rsid w:val="00C9627A"/>
    <w:rsid w:val="00C962C8"/>
    <w:rsid w:val="00C962D0"/>
    <w:rsid w:val="00C9631B"/>
    <w:rsid w:val="00C9639A"/>
    <w:rsid w:val="00C96409"/>
    <w:rsid w:val="00C96441"/>
    <w:rsid w:val="00C96456"/>
    <w:rsid w:val="00C96499"/>
    <w:rsid w:val="00C964A2"/>
    <w:rsid w:val="00C964AA"/>
    <w:rsid w:val="00C964B9"/>
    <w:rsid w:val="00C964C0"/>
    <w:rsid w:val="00C964C6"/>
    <w:rsid w:val="00C96588"/>
    <w:rsid w:val="00C965AE"/>
    <w:rsid w:val="00C965CF"/>
    <w:rsid w:val="00C965F4"/>
    <w:rsid w:val="00C965F9"/>
    <w:rsid w:val="00C9662F"/>
    <w:rsid w:val="00C96638"/>
    <w:rsid w:val="00C9666B"/>
    <w:rsid w:val="00C966D3"/>
    <w:rsid w:val="00C966E2"/>
    <w:rsid w:val="00C966E6"/>
    <w:rsid w:val="00C96729"/>
    <w:rsid w:val="00C9674C"/>
    <w:rsid w:val="00C967E7"/>
    <w:rsid w:val="00C96869"/>
    <w:rsid w:val="00C9693A"/>
    <w:rsid w:val="00C96959"/>
    <w:rsid w:val="00C96974"/>
    <w:rsid w:val="00C96986"/>
    <w:rsid w:val="00C96987"/>
    <w:rsid w:val="00C969A4"/>
    <w:rsid w:val="00C96A2C"/>
    <w:rsid w:val="00C96A5F"/>
    <w:rsid w:val="00C96A96"/>
    <w:rsid w:val="00C96AE9"/>
    <w:rsid w:val="00C96AF2"/>
    <w:rsid w:val="00C96AF7"/>
    <w:rsid w:val="00C96B5B"/>
    <w:rsid w:val="00C96BCE"/>
    <w:rsid w:val="00C96BE8"/>
    <w:rsid w:val="00C96C59"/>
    <w:rsid w:val="00C96C8C"/>
    <w:rsid w:val="00C96CC0"/>
    <w:rsid w:val="00C96CD2"/>
    <w:rsid w:val="00C96CDB"/>
    <w:rsid w:val="00C96CEA"/>
    <w:rsid w:val="00C96D20"/>
    <w:rsid w:val="00C96D75"/>
    <w:rsid w:val="00C96D81"/>
    <w:rsid w:val="00C96DB3"/>
    <w:rsid w:val="00C96DC1"/>
    <w:rsid w:val="00C96DCD"/>
    <w:rsid w:val="00C96E18"/>
    <w:rsid w:val="00C96EAB"/>
    <w:rsid w:val="00C96EB3"/>
    <w:rsid w:val="00C96EF5"/>
    <w:rsid w:val="00C96F0A"/>
    <w:rsid w:val="00C96F37"/>
    <w:rsid w:val="00C96F3D"/>
    <w:rsid w:val="00C96F68"/>
    <w:rsid w:val="00C97060"/>
    <w:rsid w:val="00C97064"/>
    <w:rsid w:val="00C97077"/>
    <w:rsid w:val="00C970BC"/>
    <w:rsid w:val="00C97107"/>
    <w:rsid w:val="00C97243"/>
    <w:rsid w:val="00C9728E"/>
    <w:rsid w:val="00C9729B"/>
    <w:rsid w:val="00C972C3"/>
    <w:rsid w:val="00C972C7"/>
    <w:rsid w:val="00C97301"/>
    <w:rsid w:val="00C97319"/>
    <w:rsid w:val="00C9738F"/>
    <w:rsid w:val="00C97396"/>
    <w:rsid w:val="00C9749F"/>
    <w:rsid w:val="00C974B2"/>
    <w:rsid w:val="00C974BF"/>
    <w:rsid w:val="00C9752D"/>
    <w:rsid w:val="00C97537"/>
    <w:rsid w:val="00C9757C"/>
    <w:rsid w:val="00C975CB"/>
    <w:rsid w:val="00C97606"/>
    <w:rsid w:val="00C9763B"/>
    <w:rsid w:val="00C97646"/>
    <w:rsid w:val="00C9764E"/>
    <w:rsid w:val="00C97695"/>
    <w:rsid w:val="00C976BE"/>
    <w:rsid w:val="00C976DD"/>
    <w:rsid w:val="00C97758"/>
    <w:rsid w:val="00C977A4"/>
    <w:rsid w:val="00C97901"/>
    <w:rsid w:val="00C97953"/>
    <w:rsid w:val="00C9795D"/>
    <w:rsid w:val="00C97967"/>
    <w:rsid w:val="00C9799D"/>
    <w:rsid w:val="00C979E8"/>
    <w:rsid w:val="00C979E9"/>
    <w:rsid w:val="00C979FC"/>
    <w:rsid w:val="00C97A39"/>
    <w:rsid w:val="00C97A42"/>
    <w:rsid w:val="00C97AB4"/>
    <w:rsid w:val="00C97AC4"/>
    <w:rsid w:val="00C97AF5"/>
    <w:rsid w:val="00C97B46"/>
    <w:rsid w:val="00C97B52"/>
    <w:rsid w:val="00C97B7D"/>
    <w:rsid w:val="00C97B86"/>
    <w:rsid w:val="00C97B95"/>
    <w:rsid w:val="00C97C22"/>
    <w:rsid w:val="00C97C49"/>
    <w:rsid w:val="00C97C5A"/>
    <w:rsid w:val="00C97D2C"/>
    <w:rsid w:val="00C97D6B"/>
    <w:rsid w:val="00C97DFB"/>
    <w:rsid w:val="00C97E02"/>
    <w:rsid w:val="00C97E13"/>
    <w:rsid w:val="00C97E34"/>
    <w:rsid w:val="00C97E44"/>
    <w:rsid w:val="00C97EA3"/>
    <w:rsid w:val="00C97F04"/>
    <w:rsid w:val="00C97F0A"/>
    <w:rsid w:val="00C97F62"/>
    <w:rsid w:val="00C97F63"/>
    <w:rsid w:val="00C97F69"/>
    <w:rsid w:val="00C97F76"/>
    <w:rsid w:val="00C97F92"/>
    <w:rsid w:val="00C97FD9"/>
    <w:rsid w:val="00C97FE3"/>
    <w:rsid w:val="00CA0016"/>
    <w:rsid w:val="00CA0036"/>
    <w:rsid w:val="00CA0038"/>
    <w:rsid w:val="00CA003C"/>
    <w:rsid w:val="00CA005C"/>
    <w:rsid w:val="00CA007A"/>
    <w:rsid w:val="00CA00C7"/>
    <w:rsid w:val="00CA00CE"/>
    <w:rsid w:val="00CA0114"/>
    <w:rsid w:val="00CA0124"/>
    <w:rsid w:val="00CA0175"/>
    <w:rsid w:val="00CA024A"/>
    <w:rsid w:val="00CA024C"/>
    <w:rsid w:val="00CA026E"/>
    <w:rsid w:val="00CA0275"/>
    <w:rsid w:val="00CA028E"/>
    <w:rsid w:val="00CA02D9"/>
    <w:rsid w:val="00CA02E9"/>
    <w:rsid w:val="00CA032D"/>
    <w:rsid w:val="00CA0371"/>
    <w:rsid w:val="00CA0387"/>
    <w:rsid w:val="00CA0398"/>
    <w:rsid w:val="00CA0465"/>
    <w:rsid w:val="00CA0525"/>
    <w:rsid w:val="00CA05B6"/>
    <w:rsid w:val="00CA05C7"/>
    <w:rsid w:val="00CA05D4"/>
    <w:rsid w:val="00CA05F4"/>
    <w:rsid w:val="00CA0619"/>
    <w:rsid w:val="00CA067B"/>
    <w:rsid w:val="00CA0681"/>
    <w:rsid w:val="00CA06FD"/>
    <w:rsid w:val="00CA071F"/>
    <w:rsid w:val="00CA0720"/>
    <w:rsid w:val="00CA076E"/>
    <w:rsid w:val="00CA07D2"/>
    <w:rsid w:val="00CA08E4"/>
    <w:rsid w:val="00CA091A"/>
    <w:rsid w:val="00CA09C4"/>
    <w:rsid w:val="00CA0ADA"/>
    <w:rsid w:val="00CA0B16"/>
    <w:rsid w:val="00CA0B8B"/>
    <w:rsid w:val="00CA0B8C"/>
    <w:rsid w:val="00CA0B96"/>
    <w:rsid w:val="00CA0BC3"/>
    <w:rsid w:val="00CA0BF3"/>
    <w:rsid w:val="00CA0C49"/>
    <w:rsid w:val="00CA0C6E"/>
    <w:rsid w:val="00CA0C97"/>
    <w:rsid w:val="00CA0CDB"/>
    <w:rsid w:val="00CA0D2F"/>
    <w:rsid w:val="00CA0D3C"/>
    <w:rsid w:val="00CA0D91"/>
    <w:rsid w:val="00CA0D93"/>
    <w:rsid w:val="00CA0DD4"/>
    <w:rsid w:val="00CA0E25"/>
    <w:rsid w:val="00CA0E8A"/>
    <w:rsid w:val="00CA0ECF"/>
    <w:rsid w:val="00CA0EE5"/>
    <w:rsid w:val="00CA0F07"/>
    <w:rsid w:val="00CA0F35"/>
    <w:rsid w:val="00CA0F4E"/>
    <w:rsid w:val="00CA0FC9"/>
    <w:rsid w:val="00CA0FE6"/>
    <w:rsid w:val="00CA1034"/>
    <w:rsid w:val="00CA1059"/>
    <w:rsid w:val="00CA108D"/>
    <w:rsid w:val="00CA1090"/>
    <w:rsid w:val="00CA10BB"/>
    <w:rsid w:val="00CA10C3"/>
    <w:rsid w:val="00CA10F5"/>
    <w:rsid w:val="00CA110A"/>
    <w:rsid w:val="00CA110B"/>
    <w:rsid w:val="00CA1132"/>
    <w:rsid w:val="00CA1139"/>
    <w:rsid w:val="00CA1158"/>
    <w:rsid w:val="00CA1174"/>
    <w:rsid w:val="00CA11A1"/>
    <w:rsid w:val="00CA11B6"/>
    <w:rsid w:val="00CA11F3"/>
    <w:rsid w:val="00CA11FC"/>
    <w:rsid w:val="00CA1201"/>
    <w:rsid w:val="00CA12FE"/>
    <w:rsid w:val="00CA1300"/>
    <w:rsid w:val="00CA130D"/>
    <w:rsid w:val="00CA138F"/>
    <w:rsid w:val="00CA1391"/>
    <w:rsid w:val="00CA13CD"/>
    <w:rsid w:val="00CA1440"/>
    <w:rsid w:val="00CA1460"/>
    <w:rsid w:val="00CA147D"/>
    <w:rsid w:val="00CA14B1"/>
    <w:rsid w:val="00CA14D6"/>
    <w:rsid w:val="00CA1513"/>
    <w:rsid w:val="00CA1519"/>
    <w:rsid w:val="00CA1531"/>
    <w:rsid w:val="00CA154C"/>
    <w:rsid w:val="00CA157D"/>
    <w:rsid w:val="00CA15DD"/>
    <w:rsid w:val="00CA161A"/>
    <w:rsid w:val="00CA1728"/>
    <w:rsid w:val="00CA1775"/>
    <w:rsid w:val="00CA17D7"/>
    <w:rsid w:val="00CA1831"/>
    <w:rsid w:val="00CA1845"/>
    <w:rsid w:val="00CA1846"/>
    <w:rsid w:val="00CA1860"/>
    <w:rsid w:val="00CA1871"/>
    <w:rsid w:val="00CA1888"/>
    <w:rsid w:val="00CA1909"/>
    <w:rsid w:val="00CA1939"/>
    <w:rsid w:val="00CA1970"/>
    <w:rsid w:val="00CA197E"/>
    <w:rsid w:val="00CA1990"/>
    <w:rsid w:val="00CA1997"/>
    <w:rsid w:val="00CA1998"/>
    <w:rsid w:val="00CA19A5"/>
    <w:rsid w:val="00CA19B3"/>
    <w:rsid w:val="00CA1A44"/>
    <w:rsid w:val="00CA1A47"/>
    <w:rsid w:val="00CA1A50"/>
    <w:rsid w:val="00CA1A55"/>
    <w:rsid w:val="00CA1A90"/>
    <w:rsid w:val="00CA1AEC"/>
    <w:rsid w:val="00CA1B1F"/>
    <w:rsid w:val="00CA1B2A"/>
    <w:rsid w:val="00CA1BF1"/>
    <w:rsid w:val="00CA1C0C"/>
    <w:rsid w:val="00CA1C75"/>
    <w:rsid w:val="00CA1D2E"/>
    <w:rsid w:val="00CA1D3C"/>
    <w:rsid w:val="00CA1D72"/>
    <w:rsid w:val="00CA1DA5"/>
    <w:rsid w:val="00CA1E6A"/>
    <w:rsid w:val="00CA1FD9"/>
    <w:rsid w:val="00CA1FE7"/>
    <w:rsid w:val="00CA1FE8"/>
    <w:rsid w:val="00CA2019"/>
    <w:rsid w:val="00CA202D"/>
    <w:rsid w:val="00CA205B"/>
    <w:rsid w:val="00CA205F"/>
    <w:rsid w:val="00CA207E"/>
    <w:rsid w:val="00CA20A9"/>
    <w:rsid w:val="00CA215F"/>
    <w:rsid w:val="00CA2177"/>
    <w:rsid w:val="00CA2194"/>
    <w:rsid w:val="00CA2231"/>
    <w:rsid w:val="00CA22AC"/>
    <w:rsid w:val="00CA22C0"/>
    <w:rsid w:val="00CA22F5"/>
    <w:rsid w:val="00CA2332"/>
    <w:rsid w:val="00CA23C5"/>
    <w:rsid w:val="00CA241F"/>
    <w:rsid w:val="00CA2428"/>
    <w:rsid w:val="00CA2473"/>
    <w:rsid w:val="00CA248D"/>
    <w:rsid w:val="00CA2497"/>
    <w:rsid w:val="00CA24AA"/>
    <w:rsid w:val="00CA24F5"/>
    <w:rsid w:val="00CA25C9"/>
    <w:rsid w:val="00CA260F"/>
    <w:rsid w:val="00CA2626"/>
    <w:rsid w:val="00CA26DF"/>
    <w:rsid w:val="00CA2758"/>
    <w:rsid w:val="00CA276F"/>
    <w:rsid w:val="00CA277A"/>
    <w:rsid w:val="00CA27A5"/>
    <w:rsid w:val="00CA2812"/>
    <w:rsid w:val="00CA2847"/>
    <w:rsid w:val="00CA28CB"/>
    <w:rsid w:val="00CA28DD"/>
    <w:rsid w:val="00CA28F2"/>
    <w:rsid w:val="00CA2913"/>
    <w:rsid w:val="00CA2926"/>
    <w:rsid w:val="00CA2973"/>
    <w:rsid w:val="00CA297E"/>
    <w:rsid w:val="00CA2998"/>
    <w:rsid w:val="00CA29B8"/>
    <w:rsid w:val="00CA29BF"/>
    <w:rsid w:val="00CA29C5"/>
    <w:rsid w:val="00CA2A07"/>
    <w:rsid w:val="00CA2ACA"/>
    <w:rsid w:val="00CA2AD7"/>
    <w:rsid w:val="00CA2AD9"/>
    <w:rsid w:val="00CA2B0E"/>
    <w:rsid w:val="00CA2B3F"/>
    <w:rsid w:val="00CA2BAB"/>
    <w:rsid w:val="00CA2BC7"/>
    <w:rsid w:val="00CA2BE7"/>
    <w:rsid w:val="00CA2C39"/>
    <w:rsid w:val="00CA2C3B"/>
    <w:rsid w:val="00CA2CDF"/>
    <w:rsid w:val="00CA2D34"/>
    <w:rsid w:val="00CA2D4E"/>
    <w:rsid w:val="00CA2E0D"/>
    <w:rsid w:val="00CA2E18"/>
    <w:rsid w:val="00CA2E4E"/>
    <w:rsid w:val="00CA2E80"/>
    <w:rsid w:val="00CA2E87"/>
    <w:rsid w:val="00CA2E8C"/>
    <w:rsid w:val="00CA2E93"/>
    <w:rsid w:val="00CA2F4E"/>
    <w:rsid w:val="00CA2F9E"/>
    <w:rsid w:val="00CA2FC1"/>
    <w:rsid w:val="00CA3036"/>
    <w:rsid w:val="00CA3084"/>
    <w:rsid w:val="00CA3091"/>
    <w:rsid w:val="00CA314E"/>
    <w:rsid w:val="00CA3178"/>
    <w:rsid w:val="00CA31C6"/>
    <w:rsid w:val="00CA3216"/>
    <w:rsid w:val="00CA322C"/>
    <w:rsid w:val="00CA3247"/>
    <w:rsid w:val="00CA32C0"/>
    <w:rsid w:val="00CA32CD"/>
    <w:rsid w:val="00CA32CF"/>
    <w:rsid w:val="00CA32E4"/>
    <w:rsid w:val="00CA32F5"/>
    <w:rsid w:val="00CA3308"/>
    <w:rsid w:val="00CA3324"/>
    <w:rsid w:val="00CA3335"/>
    <w:rsid w:val="00CA3351"/>
    <w:rsid w:val="00CA3380"/>
    <w:rsid w:val="00CA33D9"/>
    <w:rsid w:val="00CA3433"/>
    <w:rsid w:val="00CA34FD"/>
    <w:rsid w:val="00CA353C"/>
    <w:rsid w:val="00CA3562"/>
    <w:rsid w:val="00CA35B4"/>
    <w:rsid w:val="00CA35C4"/>
    <w:rsid w:val="00CA35FF"/>
    <w:rsid w:val="00CA3602"/>
    <w:rsid w:val="00CA3633"/>
    <w:rsid w:val="00CA368F"/>
    <w:rsid w:val="00CA36D9"/>
    <w:rsid w:val="00CA3701"/>
    <w:rsid w:val="00CA371D"/>
    <w:rsid w:val="00CA371E"/>
    <w:rsid w:val="00CA3734"/>
    <w:rsid w:val="00CA37B1"/>
    <w:rsid w:val="00CA37EC"/>
    <w:rsid w:val="00CA37F3"/>
    <w:rsid w:val="00CA3807"/>
    <w:rsid w:val="00CA380B"/>
    <w:rsid w:val="00CA384C"/>
    <w:rsid w:val="00CA384E"/>
    <w:rsid w:val="00CA3851"/>
    <w:rsid w:val="00CA3865"/>
    <w:rsid w:val="00CA3881"/>
    <w:rsid w:val="00CA3894"/>
    <w:rsid w:val="00CA38B0"/>
    <w:rsid w:val="00CA38E1"/>
    <w:rsid w:val="00CA38EA"/>
    <w:rsid w:val="00CA38F8"/>
    <w:rsid w:val="00CA390F"/>
    <w:rsid w:val="00CA3912"/>
    <w:rsid w:val="00CA3943"/>
    <w:rsid w:val="00CA394C"/>
    <w:rsid w:val="00CA399A"/>
    <w:rsid w:val="00CA39C4"/>
    <w:rsid w:val="00CA39C9"/>
    <w:rsid w:val="00CA3A0F"/>
    <w:rsid w:val="00CA3A2B"/>
    <w:rsid w:val="00CA3B0B"/>
    <w:rsid w:val="00CA3B12"/>
    <w:rsid w:val="00CA3B77"/>
    <w:rsid w:val="00CA3BE0"/>
    <w:rsid w:val="00CA3BEC"/>
    <w:rsid w:val="00CA3C14"/>
    <w:rsid w:val="00CA3C19"/>
    <w:rsid w:val="00CA3C85"/>
    <w:rsid w:val="00CA3C98"/>
    <w:rsid w:val="00CA3D1F"/>
    <w:rsid w:val="00CA3D3B"/>
    <w:rsid w:val="00CA3D69"/>
    <w:rsid w:val="00CA3D8F"/>
    <w:rsid w:val="00CA3DB5"/>
    <w:rsid w:val="00CA3DD1"/>
    <w:rsid w:val="00CA3E1F"/>
    <w:rsid w:val="00CA3E75"/>
    <w:rsid w:val="00CA3F75"/>
    <w:rsid w:val="00CA3FC9"/>
    <w:rsid w:val="00CA3FEA"/>
    <w:rsid w:val="00CA402F"/>
    <w:rsid w:val="00CA4072"/>
    <w:rsid w:val="00CA4079"/>
    <w:rsid w:val="00CA40F1"/>
    <w:rsid w:val="00CA4101"/>
    <w:rsid w:val="00CA4139"/>
    <w:rsid w:val="00CA4158"/>
    <w:rsid w:val="00CA41D9"/>
    <w:rsid w:val="00CA4247"/>
    <w:rsid w:val="00CA42B7"/>
    <w:rsid w:val="00CA42BD"/>
    <w:rsid w:val="00CA42BE"/>
    <w:rsid w:val="00CA42C2"/>
    <w:rsid w:val="00CA42F0"/>
    <w:rsid w:val="00CA42F8"/>
    <w:rsid w:val="00CA4348"/>
    <w:rsid w:val="00CA434D"/>
    <w:rsid w:val="00CA4385"/>
    <w:rsid w:val="00CA43A0"/>
    <w:rsid w:val="00CA43C6"/>
    <w:rsid w:val="00CA43DA"/>
    <w:rsid w:val="00CA4431"/>
    <w:rsid w:val="00CA4488"/>
    <w:rsid w:val="00CA44BC"/>
    <w:rsid w:val="00CA44D3"/>
    <w:rsid w:val="00CA44F6"/>
    <w:rsid w:val="00CA4596"/>
    <w:rsid w:val="00CA45AD"/>
    <w:rsid w:val="00CA45F2"/>
    <w:rsid w:val="00CA45F3"/>
    <w:rsid w:val="00CA4602"/>
    <w:rsid w:val="00CA4609"/>
    <w:rsid w:val="00CA4619"/>
    <w:rsid w:val="00CA463F"/>
    <w:rsid w:val="00CA4688"/>
    <w:rsid w:val="00CA468C"/>
    <w:rsid w:val="00CA46B7"/>
    <w:rsid w:val="00CA46C0"/>
    <w:rsid w:val="00CA471A"/>
    <w:rsid w:val="00CA4722"/>
    <w:rsid w:val="00CA4768"/>
    <w:rsid w:val="00CA4771"/>
    <w:rsid w:val="00CA47A2"/>
    <w:rsid w:val="00CA47B8"/>
    <w:rsid w:val="00CA47D0"/>
    <w:rsid w:val="00CA481B"/>
    <w:rsid w:val="00CA48DF"/>
    <w:rsid w:val="00CA4932"/>
    <w:rsid w:val="00CA4941"/>
    <w:rsid w:val="00CA4963"/>
    <w:rsid w:val="00CA498E"/>
    <w:rsid w:val="00CA49A7"/>
    <w:rsid w:val="00CA4A58"/>
    <w:rsid w:val="00CA4A66"/>
    <w:rsid w:val="00CA4AC5"/>
    <w:rsid w:val="00CA4B23"/>
    <w:rsid w:val="00CA4B5A"/>
    <w:rsid w:val="00CA4C20"/>
    <w:rsid w:val="00CA4C9D"/>
    <w:rsid w:val="00CA4CC3"/>
    <w:rsid w:val="00CA4CE3"/>
    <w:rsid w:val="00CA4D48"/>
    <w:rsid w:val="00CA4D6C"/>
    <w:rsid w:val="00CA4DAA"/>
    <w:rsid w:val="00CA4DF6"/>
    <w:rsid w:val="00CA4E13"/>
    <w:rsid w:val="00CA4EF8"/>
    <w:rsid w:val="00CA4F08"/>
    <w:rsid w:val="00CA4FEE"/>
    <w:rsid w:val="00CA501C"/>
    <w:rsid w:val="00CA5063"/>
    <w:rsid w:val="00CA5077"/>
    <w:rsid w:val="00CA50B7"/>
    <w:rsid w:val="00CA50E6"/>
    <w:rsid w:val="00CA51C2"/>
    <w:rsid w:val="00CA51F0"/>
    <w:rsid w:val="00CA5250"/>
    <w:rsid w:val="00CA5255"/>
    <w:rsid w:val="00CA5273"/>
    <w:rsid w:val="00CA5286"/>
    <w:rsid w:val="00CA5293"/>
    <w:rsid w:val="00CA52AC"/>
    <w:rsid w:val="00CA52C8"/>
    <w:rsid w:val="00CA534F"/>
    <w:rsid w:val="00CA5357"/>
    <w:rsid w:val="00CA538A"/>
    <w:rsid w:val="00CA5392"/>
    <w:rsid w:val="00CA53BE"/>
    <w:rsid w:val="00CA53EB"/>
    <w:rsid w:val="00CA5420"/>
    <w:rsid w:val="00CA5482"/>
    <w:rsid w:val="00CA548D"/>
    <w:rsid w:val="00CA54C2"/>
    <w:rsid w:val="00CA54E1"/>
    <w:rsid w:val="00CA5500"/>
    <w:rsid w:val="00CA5536"/>
    <w:rsid w:val="00CA554E"/>
    <w:rsid w:val="00CA5566"/>
    <w:rsid w:val="00CA55F3"/>
    <w:rsid w:val="00CA5639"/>
    <w:rsid w:val="00CA563A"/>
    <w:rsid w:val="00CA563C"/>
    <w:rsid w:val="00CA56F3"/>
    <w:rsid w:val="00CA571B"/>
    <w:rsid w:val="00CA5752"/>
    <w:rsid w:val="00CA575C"/>
    <w:rsid w:val="00CA575F"/>
    <w:rsid w:val="00CA576E"/>
    <w:rsid w:val="00CA5774"/>
    <w:rsid w:val="00CA5785"/>
    <w:rsid w:val="00CA579E"/>
    <w:rsid w:val="00CA57AD"/>
    <w:rsid w:val="00CA57B7"/>
    <w:rsid w:val="00CA57E3"/>
    <w:rsid w:val="00CA5804"/>
    <w:rsid w:val="00CA580B"/>
    <w:rsid w:val="00CA586D"/>
    <w:rsid w:val="00CA588C"/>
    <w:rsid w:val="00CA58A6"/>
    <w:rsid w:val="00CA58B9"/>
    <w:rsid w:val="00CA592B"/>
    <w:rsid w:val="00CA592C"/>
    <w:rsid w:val="00CA5960"/>
    <w:rsid w:val="00CA599B"/>
    <w:rsid w:val="00CA5A09"/>
    <w:rsid w:val="00CA5A4D"/>
    <w:rsid w:val="00CA5A60"/>
    <w:rsid w:val="00CA5A6C"/>
    <w:rsid w:val="00CA5A79"/>
    <w:rsid w:val="00CA5AAA"/>
    <w:rsid w:val="00CA5B21"/>
    <w:rsid w:val="00CA5B2D"/>
    <w:rsid w:val="00CA5B83"/>
    <w:rsid w:val="00CA5BAD"/>
    <w:rsid w:val="00CA5BCE"/>
    <w:rsid w:val="00CA5C41"/>
    <w:rsid w:val="00CA5C76"/>
    <w:rsid w:val="00CA5CF2"/>
    <w:rsid w:val="00CA5CF4"/>
    <w:rsid w:val="00CA5D5B"/>
    <w:rsid w:val="00CA5D6E"/>
    <w:rsid w:val="00CA5E17"/>
    <w:rsid w:val="00CA5E36"/>
    <w:rsid w:val="00CA5E75"/>
    <w:rsid w:val="00CA5E9C"/>
    <w:rsid w:val="00CA5EA7"/>
    <w:rsid w:val="00CA5EDF"/>
    <w:rsid w:val="00CA5F50"/>
    <w:rsid w:val="00CA5F62"/>
    <w:rsid w:val="00CA5FAB"/>
    <w:rsid w:val="00CA5FD0"/>
    <w:rsid w:val="00CA5FDE"/>
    <w:rsid w:val="00CA5FF0"/>
    <w:rsid w:val="00CA60A1"/>
    <w:rsid w:val="00CA60AD"/>
    <w:rsid w:val="00CA6108"/>
    <w:rsid w:val="00CA6127"/>
    <w:rsid w:val="00CA6147"/>
    <w:rsid w:val="00CA6191"/>
    <w:rsid w:val="00CA61B9"/>
    <w:rsid w:val="00CA61C0"/>
    <w:rsid w:val="00CA61FD"/>
    <w:rsid w:val="00CA6227"/>
    <w:rsid w:val="00CA6239"/>
    <w:rsid w:val="00CA62C3"/>
    <w:rsid w:val="00CA62E4"/>
    <w:rsid w:val="00CA6322"/>
    <w:rsid w:val="00CA6349"/>
    <w:rsid w:val="00CA6361"/>
    <w:rsid w:val="00CA63D2"/>
    <w:rsid w:val="00CA63E2"/>
    <w:rsid w:val="00CA640E"/>
    <w:rsid w:val="00CA64CD"/>
    <w:rsid w:val="00CA64FD"/>
    <w:rsid w:val="00CA655D"/>
    <w:rsid w:val="00CA657D"/>
    <w:rsid w:val="00CA658C"/>
    <w:rsid w:val="00CA6629"/>
    <w:rsid w:val="00CA6696"/>
    <w:rsid w:val="00CA670F"/>
    <w:rsid w:val="00CA6752"/>
    <w:rsid w:val="00CA6780"/>
    <w:rsid w:val="00CA67CA"/>
    <w:rsid w:val="00CA67D7"/>
    <w:rsid w:val="00CA67D8"/>
    <w:rsid w:val="00CA67F4"/>
    <w:rsid w:val="00CA67FD"/>
    <w:rsid w:val="00CA6844"/>
    <w:rsid w:val="00CA6859"/>
    <w:rsid w:val="00CA6897"/>
    <w:rsid w:val="00CA68E9"/>
    <w:rsid w:val="00CA68EB"/>
    <w:rsid w:val="00CA68F4"/>
    <w:rsid w:val="00CA6902"/>
    <w:rsid w:val="00CA6916"/>
    <w:rsid w:val="00CA6931"/>
    <w:rsid w:val="00CA6970"/>
    <w:rsid w:val="00CA69A4"/>
    <w:rsid w:val="00CA69E8"/>
    <w:rsid w:val="00CA69F7"/>
    <w:rsid w:val="00CA6A28"/>
    <w:rsid w:val="00CA6A7B"/>
    <w:rsid w:val="00CA6B93"/>
    <w:rsid w:val="00CA6B9A"/>
    <w:rsid w:val="00CA6BA4"/>
    <w:rsid w:val="00CA6C3C"/>
    <w:rsid w:val="00CA6CB9"/>
    <w:rsid w:val="00CA6CC2"/>
    <w:rsid w:val="00CA6CE8"/>
    <w:rsid w:val="00CA6D60"/>
    <w:rsid w:val="00CA6D6E"/>
    <w:rsid w:val="00CA6D99"/>
    <w:rsid w:val="00CA6DBE"/>
    <w:rsid w:val="00CA6DCA"/>
    <w:rsid w:val="00CA6DF3"/>
    <w:rsid w:val="00CA6E11"/>
    <w:rsid w:val="00CA6E75"/>
    <w:rsid w:val="00CA6E79"/>
    <w:rsid w:val="00CA6E99"/>
    <w:rsid w:val="00CA6E9E"/>
    <w:rsid w:val="00CA6EBB"/>
    <w:rsid w:val="00CA6EE1"/>
    <w:rsid w:val="00CA6F2A"/>
    <w:rsid w:val="00CA6F75"/>
    <w:rsid w:val="00CA6F82"/>
    <w:rsid w:val="00CA6F90"/>
    <w:rsid w:val="00CA6FD3"/>
    <w:rsid w:val="00CA7017"/>
    <w:rsid w:val="00CA7032"/>
    <w:rsid w:val="00CA7058"/>
    <w:rsid w:val="00CA708F"/>
    <w:rsid w:val="00CA70B9"/>
    <w:rsid w:val="00CA7111"/>
    <w:rsid w:val="00CA713A"/>
    <w:rsid w:val="00CA7179"/>
    <w:rsid w:val="00CA717D"/>
    <w:rsid w:val="00CA71A7"/>
    <w:rsid w:val="00CA71CC"/>
    <w:rsid w:val="00CA71D0"/>
    <w:rsid w:val="00CA71D7"/>
    <w:rsid w:val="00CA72B5"/>
    <w:rsid w:val="00CA72F1"/>
    <w:rsid w:val="00CA730A"/>
    <w:rsid w:val="00CA7376"/>
    <w:rsid w:val="00CA7389"/>
    <w:rsid w:val="00CA73FB"/>
    <w:rsid w:val="00CA740F"/>
    <w:rsid w:val="00CA7445"/>
    <w:rsid w:val="00CA748D"/>
    <w:rsid w:val="00CA74A2"/>
    <w:rsid w:val="00CA7523"/>
    <w:rsid w:val="00CA7552"/>
    <w:rsid w:val="00CA75A0"/>
    <w:rsid w:val="00CA7604"/>
    <w:rsid w:val="00CA761F"/>
    <w:rsid w:val="00CA7633"/>
    <w:rsid w:val="00CA764C"/>
    <w:rsid w:val="00CA7668"/>
    <w:rsid w:val="00CA7686"/>
    <w:rsid w:val="00CA76EC"/>
    <w:rsid w:val="00CA770F"/>
    <w:rsid w:val="00CA7717"/>
    <w:rsid w:val="00CA7720"/>
    <w:rsid w:val="00CA777C"/>
    <w:rsid w:val="00CA779C"/>
    <w:rsid w:val="00CA77A1"/>
    <w:rsid w:val="00CA77E2"/>
    <w:rsid w:val="00CA7858"/>
    <w:rsid w:val="00CA786A"/>
    <w:rsid w:val="00CA788F"/>
    <w:rsid w:val="00CA790A"/>
    <w:rsid w:val="00CA792F"/>
    <w:rsid w:val="00CA7956"/>
    <w:rsid w:val="00CA7A29"/>
    <w:rsid w:val="00CA7A56"/>
    <w:rsid w:val="00CA7A57"/>
    <w:rsid w:val="00CA7A90"/>
    <w:rsid w:val="00CA7A95"/>
    <w:rsid w:val="00CA7AAD"/>
    <w:rsid w:val="00CA7AAF"/>
    <w:rsid w:val="00CA7AB3"/>
    <w:rsid w:val="00CA7B0F"/>
    <w:rsid w:val="00CA7B20"/>
    <w:rsid w:val="00CA7BF7"/>
    <w:rsid w:val="00CA7BFA"/>
    <w:rsid w:val="00CA7D3D"/>
    <w:rsid w:val="00CA7D9D"/>
    <w:rsid w:val="00CA7DB0"/>
    <w:rsid w:val="00CA7DF2"/>
    <w:rsid w:val="00CA7E7D"/>
    <w:rsid w:val="00CA7EE4"/>
    <w:rsid w:val="00CA7EF0"/>
    <w:rsid w:val="00CA7F0F"/>
    <w:rsid w:val="00CA7F4C"/>
    <w:rsid w:val="00CA7F81"/>
    <w:rsid w:val="00CA7FED"/>
    <w:rsid w:val="00CA7FFC"/>
    <w:rsid w:val="00CA9067"/>
    <w:rsid w:val="00CAB509"/>
    <w:rsid w:val="00CB002E"/>
    <w:rsid w:val="00CB0040"/>
    <w:rsid w:val="00CB00CF"/>
    <w:rsid w:val="00CB0158"/>
    <w:rsid w:val="00CB01AF"/>
    <w:rsid w:val="00CB01B5"/>
    <w:rsid w:val="00CB022E"/>
    <w:rsid w:val="00CB025B"/>
    <w:rsid w:val="00CB02CD"/>
    <w:rsid w:val="00CB02F9"/>
    <w:rsid w:val="00CB0364"/>
    <w:rsid w:val="00CB0383"/>
    <w:rsid w:val="00CB03AC"/>
    <w:rsid w:val="00CB03B5"/>
    <w:rsid w:val="00CB040D"/>
    <w:rsid w:val="00CB0416"/>
    <w:rsid w:val="00CB0417"/>
    <w:rsid w:val="00CB041F"/>
    <w:rsid w:val="00CB0449"/>
    <w:rsid w:val="00CB0465"/>
    <w:rsid w:val="00CB0495"/>
    <w:rsid w:val="00CB04AD"/>
    <w:rsid w:val="00CB0500"/>
    <w:rsid w:val="00CB0511"/>
    <w:rsid w:val="00CB0521"/>
    <w:rsid w:val="00CB0522"/>
    <w:rsid w:val="00CB0525"/>
    <w:rsid w:val="00CB0564"/>
    <w:rsid w:val="00CB058A"/>
    <w:rsid w:val="00CB05A2"/>
    <w:rsid w:val="00CB05EC"/>
    <w:rsid w:val="00CB0614"/>
    <w:rsid w:val="00CB062B"/>
    <w:rsid w:val="00CB06BE"/>
    <w:rsid w:val="00CB06F8"/>
    <w:rsid w:val="00CB06FC"/>
    <w:rsid w:val="00CB075B"/>
    <w:rsid w:val="00CB0792"/>
    <w:rsid w:val="00CB07A4"/>
    <w:rsid w:val="00CB0808"/>
    <w:rsid w:val="00CB085B"/>
    <w:rsid w:val="00CB089F"/>
    <w:rsid w:val="00CB08C0"/>
    <w:rsid w:val="00CB08F6"/>
    <w:rsid w:val="00CB093D"/>
    <w:rsid w:val="00CB09CD"/>
    <w:rsid w:val="00CB09DF"/>
    <w:rsid w:val="00CB09ED"/>
    <w:rsid w:val="00CB09F2"/>
    <w:rsid w:val="00CB09F5"/>
    <w:rsid w:val="00CB0A25"/>
    <w:rsid w:val="00CB0A32"/>
    <w:rsid w:val="00CB0A39"/>
    <w:rsid w:val="00CB0A4D"/>
    <w:rsid w:val="00CB0AD4"/>
    <w:rsid w:val="00CB0AE3"/>
    <w:rsid w:val="00CB0AE8"/>
    <w:rsid w:val="00CB0B3E"/>
    <w:rsid w:val="00CB0B44"/>
    <w:rsid w:val="00CB0B58"/>
    <w:rsid w:val="00CB0BE1"/>
    <w:rsid w:val="00CB0C0D"/>
    <w:rsid w:val="00CB0C18"/>
    <w:rsid w:val="00CB0C3E"/>
    <w:rsid w:val="00CB0C48"/>
    <w:rsid w:val="00CB0CB7"/>
    <w:rsid w:val="00CB0CD8"/>
    <w:rsid w:val="00CB0CEA"/>
    <w:rsid w:val="00CB0D5B"/>
    <w:rsid w:val="00CB0E35"/>
    <w:rsid w:val="00CB0E80"/>
    <w:rsid w:val="00CB0E8B"/>
    <w:rsid w:val="00CB0EA2"/>
    <w:rsid w:val="00CB0EC4"/>
    <w:rsid w:val="00CB0EEC"/>
    <w:rsid w:val="00CB0EFD"/>
    <w:rsid w:val="00CB0F77"/>
    <w:rsid w:val="00CB0F84"/>
    <w:rsid w:val="00CB0F92"/>
    <w:rsid w:val="00CB0FA8"/>
    <w:rsid w:val="00CB0FAF"/>
    <w:rsid w:val="00CB0FC8"/>
    <w:rsid w:val="00CB0FF8"/>
    <w:rsid w:val="00CB104E"/>
    <w:rsid w:val="00CB1094"/>
    <w:rsid w:val="00CB10EC"/>
    <w:rsid w:val="00CB10ED"/>
    <w:rsid w:val="00CB10F4"/>
    <w:rsid w:val="00CB1131"/>
    <w:rsid w:val="00CB1224"/>
    <w:rsid w:val="00CB125C"/>
    <w:rsid w:val="00CB1279"/>
    <w:rsid w:val="00CB137C"/>
    <w:rsid w:val="00CB13A5"/>
    <w:rsid w:val="00CB1412"/>
    <w:rsid w:val="00CB1442"/>
    <w:rsid w:val="00CB144A"/>
    <w:rsid w:val="00CB1452"/>
    <w:rsid w:val="00CB146A"/>
    <w:rsid w:val="00CB14D5"/>
    <w:rsid w:val="00CB14F0"/>
    <w:rsid w:val="00CB1501"/>
    <w:rsid w:val="00CB1599"/>
    <w:rsid w:val="00CB15A3"/>
    <w:rsid w:val="00CB15B4"/>
    <w:rsid w:val="00CB162B"/>
    <w:rsid w:val="00CB165A"/>
    <w:rsid w:val="00CB1664"/>
    <w:rsid w:val="00CB1687"/>
    <w:rsid w:val="00CB1693"/>
    <w:rsid w:val="00CB16A0"/>
    <w:rsid w:val="00CB16D8"/>
    <w:rsid w:val="00CB16DD"/>
    <w:rsid w:val="00CB16EC"/>
    <w:rsid w:val="00CB172A"/>
    <w:rsid w:val="00CB1783"/>
    <w:rsid w:val="00CB178B"/>
    <w:rsid w:val="00CB17DA"/>
    <w:rsid w:val="00CB180A"/>
    <w:rsid w:val="00CB1840"/>
    <w:rsid w:val="00CB1851"/>
    <w:rsid w:val="00CB1855"/>
    <w:rsid w:val="00CB186F"/>
    <w:rsid w:val="00CB1879"/>
    <w:rsid w:val="00CB187B"/>
    <w:rsid w:val="00CB1968"/>
    <w:rsid w:val="00CB19A4"/>
    <w:rsid w:val="00CB1A29"/>
    <w:rsid w:val="00CB1A39"/>
    <w:rsid w:val="00CB1A5C"/>
    <w:rsid w:val="00CB1A66"/>
    <w:rsid w:val="00CB1A7B"/>
    <w:rsid w:val="00CB1AE8"/>
    <w:rsid w:val="00CB1B31"/>
    <w:rsid w:val="00CB1BAB"/>
    <w:rsid w:val="00CB1BD0"/>
    <w:rsid w:val="00CB1BF7"/>
    <w:rsid w:val="00CB1C26"/>
    <w:rsid w:val="00CB1C33"/>
    <w:rsid w:val="00CB1C44"/>
    <w:rsid w:val="00CB1C48"/>
    <w:rsid w:val="00CB1C61"/>
    <w:rsid w:val="00CB1C73"/>
    <w:rsid w:val="00CB1C82"/>
    <w:rsid w:val="00CB1CA1"/>
    <w:rsid w:val="00CB1D47"/>
    <w:rsid w:val="00CB1D5E"/>
    <w:rsid w:val="00CB1D72"/>
    <w:rsid w:val="00CB1DF6"/>
    <w:rsid w:val="00CB1E00"/>
    <w:rsid w:val="00CB1E24"/>
    <w:rsid w:val="00CB1E3D"/>
    <w:rsid w:val="00CB1E8D"/>
    <w:rsid w:val="00CB1E9C"/>
    <w:rsid w:val="00CB1EC6"/>
    <w:rsid w:val="00CB1F17"/>
    <w:rsid w:val="00CB1F37"/>
    <w:rsid w:val="00CB1F3E"/>
    <w:rsid w:val="00CB1F4D"/>
    <w:rsid w:val="00CB1F50"/>
    <w:rsid w:val="00CB1F80"/>
    <w:rsid w:val="00CB1FE9"/>
    <w:rsid w:val="00CB202C"/>
    <w:rsid w:val="00CB202D"/>
    <w:rsid w:val="00CB2048"/>
    <w:rsid w:val="00CB2074"/>
    <w:rsid w:val="00CB20F1"/>
    <w:rsid w:val="00CB20FB"/>
    <w:rsid w:val="00CB217C"/>
    <w:rsid w:val="00CB2202"/>
    <w:rsid w:val="00CB222A"/>
    <w:rsid w:val="00CB2254"/>
    <w:rsid w:val="00CB2269"/>
    <w:rsid w:val="00CB2279"/>
    <w:rsid w:val="00CB229C"/>
    <w:rsid w:val="00CB2301"/>
    <w:rsid w:val="00CB2306"/>
    <w:rsid w:val="00CB237A"/>
    <w:rsid w:val="00CB23A4"/>
    <w:rsid w:val="00CB23E6"/>
    <w:rsid w:val="00CB2454"/>
    <w:rsid w:val="00CB2464"/>
    <w:rsid w:val="00CB24AF"/>
    <w:rsid w:val="00CB24F9"/>
    <w:rsid w:val="00CB2543"/>
    <w:rsid w:val="00CB256D"/>
    <w:rsid w:val="00CB25A2"/>
    <w:rsid w:val="00CB2608"/>
    <w:rsid w:val="00CB2626"/>
    <w:rsid w:val="00CB268D"/>
    <w:rsid w:val="00CB26DD"/>
    <w:rsid w:val="00CB2706"/>
    <w:rsid w:val="00CB272B"/>
    <w:rsid w:val="00CB275C"/>
    <w:rsid w:val="00CB2761"/>
    <w:rsid w:val="00CB277D"/>
    <w:rsid w:val="00CB27D4"/>
    <w:rsid w:val="00CB28A7"/>
    <w:rsid w:val="00CB28E8"/>
    <w:rsid w:val="00CB2908"/>
    <w:rsid w:val="00CB2928"/>
    <w:rsid w:val="00CB2996"/>
    <w:rsid w:val="00CB299D"/>
    <w:rsid w:val="00CB299F"/>
    <w:rsid w:val="00CB29A8"/>
    <w:rsid w:val="00CB29BD"/>
    <w:rsid w:val="00CB29C2"/>
    <w:rsid w:val="00CB2A27"/>
    <w:rsid w:val="00CB2A28"/>
    <w:rsid w:val="00CB2A2A"/>
    <w:rsid w:val="00CB2A32"/>
    <w:rsid w:val="00CB2A3A"/>
    <w:rsid w:val="00CB2A3D"/>
    <w:rsid w:val="00CB2A79"/>
    <w:rsid w:val="00CB2AAF"/>
    <w:rsid w:val="00CB2B0F"/>
    <w:rsid w:val="00CB2BA6"/>
    <w:rsid w:val="00CB2BF8"/>
    <w:rsid w:val="00CB2BF9"/>
    <w:rsid w:val="00CB2C02"/>
    <w:rsid w:val="00CB2C1E"/>
    <w:rsid w:val="00CB2C38"/>
    <w:rsid w:val="00CB2C99"/>
    <w:rsid w:val="00CB2D33"/>
    <w:rsid w:val="00CB2D50"/>
    <w:rsid w:val="00CB2DA6"/>
    <w:rsid w:val="00CB2DC1"/>
    <w:rsid w:val="00CB2DD5"/>
    <w:rsid w:val="00CB2DDB"/>
    <w:rsid w:val="00CB2DDD"/>
    <w:rsid w:val="00CB2DE7"/>
    <w:rsid w:val="00CB2E02"/>
    <w:rsid w:val="00CB2E51"/>
    <w:rsid w:val="00CB2ED9"/>
    <w:rsid w:val="00CB2F20"/>
    <w:rsid w:val="00CB2F8D"/>
    <w:rsid w:val="00CB2F9D"/>
    <w:rsid w:val="00CB2FAF"/>
    <w:rsid w:val="00CB2FD8"/>
    <w:rsid w:val="00CB2FE3"/>
    <w:rsid w:val="00CB3013"/>
    <w:rsid w:val="00CB301F"/>
    <w:rsid w:val="00CB304D"/>
    <w:rsid w:val="00CB3063"/>
    <w:rsid w:val="00CB3069"/>
    <w:rsid w:val="00CB3081"/>
    <w:rsid w:val="00CB30A1"/>
    <w:rsid w:val="00CB30BE"/>
    <w:rsid w:val="00CB312D"/>
    <w:rsid w:val="00CB3190"/>
    <w:rsid w:val="00CB3192"/>
    <w:rsid w:val="00CB31A4"/>
    <w:rsid w:val="00CB31B7"/>
    <w:rsid w:val="00CB31E8"/>
    <w:rsid w:val="00CB320C"/>
    <w:rsid w:val="00CB3235"/>
    <w:rsid w:val="00CB3255"/>
    <w:rsid w:val="00CB325A"/>
    <w:rsid w:val="00CB3263"/>
    <w:rsid w:val="00CB3272"/>
    <w:rsid w:val="00CB3281"/>
    <w:rsid w:val="00CB3290"/>
    <w:rsid w:val="00CB32A6"/>
    <w:rsid w:val="00CB32CE"/>
    <w:rsid w:val="00CB3336"/>
    <w:rsid w:val="00CB3347"/>
    <w:rsid w:val="00CB3374"/>
    <w:rsid w:val="00CB33F7"/>
    <w:rsid w:val="00CB346C"/>
    <w:rsid w:val="00CB34A4"/>
    <w:rsid w:val="00CB34BC"/>
    <w:rsid w:val="00CB34D5"/>
    <w:rsid w:val="00CB3502"/>
    <w:rsid w:val="00CB352E"/>
    <w:rsid w:val="00CB3574"/>
    <w:rsid w:val="00CB35CA"/>
    <w:rsid w:val="00CB35CC"/>
    <w:rsid w:val="00CB3646"/>
    <w:rsid w:val="00CB36C3"/>
    <w:rsid w:val="00CB36C5"/>
    <w:rsid w:val="00CB3779"/>
    <w:rsid w:val="00CB37EF"/>
    <w:rsid w:val="00CB3873"/>
    <w:rsid w:val="00CB38BC"/>
    <w:rsid w:val="00CB38C2"/>
    <w:rsid w:val="00CB38CA"/>
    <w:rsid w:val="00CB38F6"/>
    <w:rsid w:val="00CB3915"/>
    <w:rsid w:val="00CB391D"/>
    <w:rsid w:val="00CB39A3"/>
    <w:rsid w:val="00CB39B3"/>
    <w:rsid w:val="00CB39B4"/>
    <w:rsid w:val="00CB39BF"/>
    <w:rsid w:val="00CB3A28"/>
    <w:rsid w:val="00CB3A2C"/>
    <w:rsid w:val="00CB3A4A"/>
    <w:rsid w:val="00CB3ADA"/>
    <w:rsid w:val="00CB3AE2"/>
    <w:rsid w:val="00CB3B1B"/>
    <w:rsid w:val="00CB3B8B"/>
    <w:rsid w:val="00CB3B8F"/>
    <w:rsid w:val="00CB3BC9"/>
    <w:rsid w:val="00CB3C4B"/>
    <w:rsid w:val="00CB3C61"/>
    <w:rsid w:val="00CB3C87"/>
    <w:rsid w:val="00CB3D9E"/>
    <w:rsid w:val="00CB3DC7"/>
    <w:rsid w:val="00CB3DC9"/>
    <w:rsid w:val="00CB3DFD"/>
    <w:rsid w:val="00CB3E36"/>
    <w:rsid w:val="00CB3E48"/>
    <w:rsid w:val="00CB3E61"/>
    <w:rsid w:val="00CB3E62"/>
    <w:rsid w:val="00CB3EA4"/>
    <w:rsid w:val="00CB3F11"/>
    <w:rsid w:val="00CB3F4C"/>
    <w:rsid w:val="00CB3F57"/>
    <w:rsid w:val="00CB3FA1"/>
    <w:rsid w:val="00CB3FA9"/>
    <w:rsid w:val="00CB3FB6"/>
    <w:rsid w:val="00CB3FCB"/>
    <w:rsid w:val="00CB40BA"/>
    <w:rsid w:val="00CB40F0"/>
    <w:rsid w:val="00CB4109"/>
    <w:rsid w:val="00CB415B"/>
    <w:rsid w:val="00CB41FB"/>
    <w:rsid w:val="00CB4223"/>
    <w:rsid w:val="00CB422C"/>
    <w:rsid w:val="00CB422E"/>
    <w:rsid w:val="00CB426F"/>
    <w:rsid w:val="00CB42B2"/>
    <w:rsid w:val="00CB42DC"/>
    <w:rsid w:val="00CB42EF"/>
    <w:rsid w:val="00CB432E"/>
    <w:rsid w:val="00CB434E"/>
    <w:rsid w:val="00CB435A"/>
    <w:rsid w:val="00CB439E"/>
    <w:rsid w:val="00CB43F9"/>
    <w:rsid w:val="00CB43FA"/>
    <w:rsid w:val="00CB43FC"/>
    <w:rsid w:val="00CB4403"/>
    <w:rsid w:val="00CB44AD"/>
    <w:rsid w:val="00CB44D3"/>
    <w:rsid w:val="00CB4599"/>
    <w:rsid w:val="00CB45BC"/>
    <w:rsid w:val="00CB45DF"/>
    <w:rsid w:val="00CB464F"/>
    <w:rsid w:val="00CB465E"/>
    <w:rsid w:val="00CB46AE"/>
    <w:rsid w:val="00CB472D"/>
    <w:rsid w:val="00CB47F4"/>
    <w:rsid w:val="00CB485B"/>
    <w:rsid w:val="00CB4871"/>
    <w:rsid w:val="00CB487D"/>
    <w:rsid w:val="00CB4887"/>
    <w:rsid w:val="00CB48C8"/>
    <w:rsid w:val="00CB497C"/>
    <w:rsid w:val="00CB49D4"/>
    <w:rsid w:val="00CB4A00"/>
    <w:rsid w:val="00CB4A24"/>
    <w:rsid w:val="00CB4A2E"/>
    <w:rsid w:val="00CB4A44"/>
    <w:rsid w:val="00CB4AA3"/>
    <w:rsid w:val="00CB4AE5"/>
    <w:rsid w:val="00CB4AE7"/>
    <w:rsid w:val="00CB4AEB"/>
    <w:rsid w:val="00CB4B02"/>
    <w:rsid w:val="00CB4B18"/>
    <w:rsid w:val="00CB4B23"/>
    <w:rsid w:val="00CB4B32"/>
    <w:rsid w:val="00CB4B79"/>
    <w:rsid w:val="00CB4B7D"/>
    <w:rsid w:val="00CB4B9D"/>
    <w:rsid w:val="00CB4BC0"/>
    <w:rsid w:val="00CB4C2C"/>
    <w:rsid w:val="00CB4C31"/>
    <w:rsid w:val="00CB4C33"/>
    <w:rsid w:val="00CB4C46"/>
    <w:rsid w:val="00CB4DEC"/>
    <w:rsid w:val="00CB4E46"/>
    <w:rsid w:val="00CB4E49"/>
    <w:rsid w:val="00CB4E89"/>
    <w:rsid w:val="00CB4F17"/>
    <w:rsid w:val="00CB4F7C"/>
    <w:rsid w:val="00CB4F9A"/>
    <w:rsid w:val="00CB4FA1"/>
    <w:rsid w:val="00CB5036"/>
    <w:rsid w:val="00CB5038"/>
    <w:rsid w:val="00CB5086"/>
    <w:rsid w:val="00CB508A"/>
    <w:rsid w:val="00CB50BA"/>
    <w:rsid w:val="00CB50C0"/>
    <w:rsid w:val="00CB513C"/>
    <w:rsid w:val="00CB5175"/>
    <w:rsid w:val="00CB5198"/>
    <w:rsid w:val="00CB51A2"/>
    <w:rsid w:val="00CB51A4"/>
    <w:rsid w:val="00CB51C2"/>
    <w:rsid w:val="00CB51E8"/>
    <w:rsid w:val="00CB522E"/>
    <w:rsid w:val="00CB5266"/>
    <w:rsid w:val="00CB529E"/>
    <w:rsid w:val="00CB52E7"/>
    <w:rsid w:val="00CB52EE"/>
    <w:rsid w:val="00CB5300"/>
    <w:rsid w:val="00CB5303"/>
    <w:rsid w:val="00CB533E"/>
    <w:rsid w:val="00CB5365"/>
    <w:rsid w:val="00CB5389"/>
    <w:rsid w:val="00CB53BD"/>
    <w:rsid w:val="00CB53EB"/>
    <w:rsid w:val="00CB53EF"/>
    <w:rsid w:val="00CB53F2"/>
    <w:rsid w:val="00CB541E"/>
    <w:rsid w:val="00CB5463"/>
    <w:rsid w:val="00CB5496"/>
    <w:rsid w:val="00CB54BC"/>
    <w:rsid w:val="00CB54C3"/>
    <w:rsid w:val="00CB54D6"/>
    <w:rsid w:val="00CB55DE"/>
    <w:rsid w:val="00CB5601"/>
    <w:rsid w:val="00CB5625"/>
    <w:rsid w:val="00CB5639"/>
    <w:rsid w:val="00CB5650"/>
    <w:rsid w:val="00CB56BE"/>
    <w:rsid w:val="00CB5701"/>
    <w:rsid w:val="00CB574B"/>
    <w:rsid w:val="00CB57E7"/>
    <w:rsid w:val="00CB5849"/>
    <w:rsid w:val="00CB58EC"/>
    <w:rsid w:val="00CB5927"/>
    <w:rsid w:val="00CB59C4"/>
    <w:rsid w:val="00CB59D6"/>
    <w:rsid w:val="00CB5A22"/>
    <w:rsid w:val="00CB5A5F"/>
    <w:rsid w:val="00CB5A6C"/>
    <w:rsid w:val="00CB5A7A"/>
    <w:rsid w:val="00CB5AAD"/>
    <w:rsid w:val="00CB5ACF"/>
    <w:rsid w:val="00CB5B0A"/>
    <w:rsid w:val="00CB5B15"/>
    <w:rsid w:val="00CB5B42"/>
    <w:rsid w:val="00CB5B7B"/>
    <w:rsid w:val="00CB5BCB"/>
    <w:rsid w:val="00CB5BE2"/>
    <w:rsid w:val="00CB5BEA"/>
    <w:rsid w:val="00CB5C9F"/>
    <w:rsid w:val="00CB5CAD"/>
    <w:rsid w:val="00CB5CBA"/>
    <w:rsid w:val="00CB5CC7"/>
    <w:rsid w:val="00CB5CE4"/>
    <w:rsid w:val="00CB5CF7"/>
    <w:rsid w:val="00CB5DC0"/>
    <w:rsid w:val="00CB5DFA"/>
    <w:rsid w:val="00CB5E53"/>
    <w:rsid w:val="00CB5E57"/>
    <w:rsid w:val="00CB5ECA"/>
    <w:rsid w:val="00CB5EF6"/>
    <w:rsid w:val="00CB5F32"/>
    <w:rsid w:val="00CB5F9C"/>
    <w:rsid w:val="00CB5FE4"/>
    <w:rsid w:val="00CB5FFA"/>
    <w:rsid w:val="00CB6001"/>
    <w:rsid w:val="00CB6010"/>
    <w:rsid w:val="00CB604A"/>
    <w:rsid w:val="00CB60D2"/>
    <w:rsid w:val="00CB6138"/>
    <w:rsid w:val="00CB61B6"/>
    <w:rsid w:val="00CB61FF"/>
    <w:rsid w:val="00CB6230"/>
    <w:rsid w:val="00CB623D"/>
    <w:rsid w:val="00CB6242"/>
    <w:rsid w:val="00CB625D"/>
    <w:rsid w:val="00CB626B"/>
    <w:rsid w:val="00CB62A5"/>
    <w:rsid w:val="00CB62E9"/>
    <w:rsid w:val="00CB62F6"/>
    <w:rsid w:val="00CB634C"/>
    <w:rsid w:val="00CB6359"/>
    <w:rsid w:val="00CB6440"/>
    <w:rsid w:val="00CB6466"/>
    <w:rsid w:val="00CB64B8"/>
    <w:rsid w:val="00CB64D3"/>
    <w:rsid w:val="00CB650A"/>
    <w:rsid w:val="00CB6530"/>
    <w:rsid w:val="00CB657C"/>
    <w:rsid w:val="00CB65A1"/>
    <w:rsid w:val="00CB65D5"/>
    <w:rsid w:val="00CB65D6"/>
    <w:rsid w:val="00CB665C"/>
    <w:rsid w:val="00CB669C"/>
    <w:rsid w:val="00CB66F9"/>
    <w:rsid w:val="00CB679C"/>
    <w:rsid w:val="00CB67B3"/>
    <w:rsid w:val="00CB67F6"/>
    <w:rsid w:val="00CB67FC"/>
    <w:rsid w:val="00CB6879"/>
    <w:rsid w:val="00CB6893"/>
    <w:rsid w:val="00CB6912"/>
    <w:rsid w:val="00CB6937"/>
    <w:rsid w:val="00CB699D"/>
    <w:rsid w:val="00CB69B8"/>
    <w:rsid w:val="00CB69BE"/>
    <w:rsid w:val="00CB69CA"/>
    <w:rsid w:val="00CB6A32"/>
    <w:rsid w:val="00CB6A99"/>
    <w:rsid w:val="00CB6AC5"/>
    <w:rsid w:val="00CB6AF8"/>
    <w:rsid w:val="00CB6B2C"/>
    <w:rsid w:val="00CB6B3B"/>
    <w:rsid w:val="00CB6B7C"/>
    <w:rsid w:val="00CB6B9F"/>
    <w:rsid w:val="00CB6BF8"/>
    <w:rsid w:val="00CB6C51"/>
    <w:rsid w:val="00CB6C85"/>
    <w:rsid w:val="00CB6CA1"/>
    <w:rsid w:val="00CB6CEE"/>
    <w:rsid w:val="00CB6D1A"/>
    <w:rsid w:val="00CB6D3A"/>
    <w:rsid w:val="00CB6D6A"/>
    <w:rsid w:val="00CB6D93"/>
    <w:rsid w:val="00CB6E1D"/>
    <w:rsid w:val="00CB6E72"/>
    <w:rsid w:val="00CB6EC9"/>
    <w:rsid w:val="00CB6EE7"/>
    <w:rsid w:val="00CB6F21"/>
    <w:rsid w:val="00CB6F97"/>
    <w:rsid w:val="00CB6FB3"/>
    <w:rsid w:val="00CB6FC3"/>
    <w:rsid w:val="00CB7083"/>
    <w:rsid w:val="00CB70EE"/>
    <w:rsid w:val="00CB70F3"/>
    <w:rsid w:val="00CB714E"/>
    <w:rsid w:val="00CB715D"/>
    <w:rsid w:val="00CB7189"/>
    <w:rsid w:val="00CB71B3"/>
    <w:rsid w:val="00CB71BA"/>
    <w:rsid w:val="00CB721F"/>
    <w:rsid w:val="00CB7229"/>
    <w:rsid w:val="00CB7288"/>
    <w:rsid w:val="00CB7305"/>
    <w:rsid w:val="00CB7344"/>
    <w:rsid w:val="00CB73DB"/>
    <w:rsid w:val="00CB7408"/>
    <w:rsid w:val="00CB7422"/>
    <w:rsid w:val="00CB746B"/>
    <w:rsid w:val="00CB74AB"/>
    <w:rsid w:val="00CB74E5"/>
    <w:rsid w:val="00CB7615"/>
    <w:rsid w:val="00CB7637"/>
    <w:rsid w:val="00CB77F4"/>
    <w:rsid w:val="00CB785F"/>
    <w:rsid w:val="00CB78CC"/>
    <w:rsid w:val="00CB78FE"/>
    <w:rsid w:val="00CB799D"/>
    <w:rsid w:val="00CB79BF"/>
    <w:rsid w:val="00CB7A2C"/>
    <w:rsid w:val="00CB7A30"/>
    <w:rsid w:val="00CB7A33"/>
    <w:rsid w:val="00CB7A6A"/>
    <w:rsid w:val="00CB7A78"/>
    <w:rsid w:val="00CB7AA8"/>
    <w:rsid w:val="00CB7AD3"/>
    <w:rsid w:val="00CB7B1A"/>
    <w:rsid w:val="00CB7B1E"/>
    <w:rsid w:val="00CB7B4A"/>
    <w:rsid w:val="00CB7B7D"/>
    <w:rsid w:val="00CB7BD2"/>
    <w:rsid w:val="00CB7C66"/>
    <w:rsid w:val="00CB7C9F"/>
    <w:rsid w:val="00CB7CAB"/>
    <w:rsid w:val="00CB7CCE"/>
    <w:rsid w:val="00CB7DBF"/>
    <w:rsid w:val="00CB7DC3"/>
    <w:rsid w:val="00CB7DE8"/>
    <w:rsid w:val="00CB7E27"/>
    <w:rsid w:val="00CB7E63"/>
    <w:rsid w:val="00CB7EA5"/>
    <w:rsid w:val="00CB7EF5"/>
    <w:rsid w:val="00CB7F0B"/>
    <w:rsid w:val="00CB7F18"/>
    <w:rsid w:val="00CB7F32"/>
    <w:rsid w:val="00CB7F3E"/>
    <w:rsid w:val="00CB7F62"/>
    <w:rsid w:val="00CB7FBA"/>
    <w:rsid w:val="00CB82F1"/>
    <w:rsid w:val="00CBD921"/>
    <w:rsid w:val="00CC000A"/>
    <w:rsid w:val="00CC0015"/>
    <w:rsid w:val="00CC0018"/>
    <w:rsid w:val="00CC00F8"/>
    <w:rsid w:val="00CC0114"/>
    <w:rsid w:val="00CC011C"/>
    <w:rsid w:val="00CC013A"/>
    <w:rsid w:val="00CC0153"/>
    <w:rsid w:val="00CC0163"/>
    <w:rsid w:val="00CC0182"/>
    <w:rsid w:val="00CC01CA"/>
    <w:rsid w:val="00CC0225"/>
    <w:rsid w:val="00CC0251"/>
    <w:rsid w:val="00CC0275"/>
    <w:rsid w:val="00CC028A"/>
    <w:rsid w:val="00CC029E"/>
    <w:rsid w:val="00CC02B5"/>
    <w:rsid w:val="00CC0323"/>
    <w:rsid w:val="00CC034C"/>
    <w:rsid w:val="00CC0379"/>
    <w:rsid w:val="00CC037E"/>
    <w:rsid w:val="00CC03BD"/>
    <w:rsid w:val="00CC0432"/>
    <w:rsid w:val="00CC04B6"/>
    <w:rsid w:val="00CC053E"/>
    <w:rsid w:val="00CC0567"/>
    <w:rsid w:val="00CC05D2"/>
    <w:rsid w:val="00CC05D7"/>
    <w:rsid w:val="00CC0660"/>
    <w:rsid w:val="00CC06B8"/>
    <w:rsid w:val="00CC06D9"/>
    <w:rsid w:val="00CC06DA"/>
    <w:rsid w:val="00CC0744"/>
    <w:rsid w:val="00CC07A2"/>
    <w:rsid w:val="00CC07DB"/>
    <w:rsid w:val="00CC07EF"/>
    <w:rsid w:val="00CC0818"/>
    <w:rsid w:val="00CC088C"/>
    <w:rsid w:val="00CC088F"/>
    <w:rsid w:val="00CC08C0"/>
    <w:rsid w:val="00CC0957"/>
    <w:rsid w:val="00CC0970"/>
    <w:rsid w:val="00CC09A3"/>
    <w:rsid w:val="00CC09C1"/>
    <w:rsid w:val="00CC0A44"/>
    <w:rsid w:val="00CC0A52"/>
    <w:rsid w:val="00CC0A8B"/>
    <w:rsid w:val="00CC0A9A"/>
    <w:rsid w:val="00CC0ACE"/>
    <w:rsid w:val="00CC0B23"/>
    <w:rsid w:val="00CC0B3D"/>
    <w:rsid w:val="00CC0B47"/>
    <w:rsid w:val="00CC0B9D"/>
    <w:rsid w:val="00CC0C4D"/>
    <w:rsid w:val="00CC0C8A"/>
    <w:rsid w:val="00CC0C99"/>
    <w:rsid w:val="00CC0CB0"/>
    <w:rsid w:val="00CC0CCE"/>
    <w:rsid w:val="00CC0D4D"/>
    <w:rsid w:val="00CC0DA8"/>
    <w:rsid w:val="00CC0DCB"/>
    <w:rsid w:val="00CC0DD1"/>
    <w:rsid w:val="00CC0DD5"/>
    <w:rsid w:val="00CC0DFF"/>
    <w:rsid w:val="00CC0E24"/>
    <w:rsid w:val="00CC0E51"/>
    <w:rsid w:val="00CC0E68"/>
    <w:rsid w:val="00CC0ED9"/>
    <w:rsid w:val="00CC0F13"/>
    <w:rsid w:val="00CC0FAB"/>
    <w:rsid w:val="00CC0FCB"/>
    <w:rsid w:val="00CC1006"/>
    <w:rsid w:val="00CC1081"/>
    <w:rsid w:val="00CC10C1"/>
    <w:rsid w:val="00CC10F5"/>
    <w:rsid w:val="00CC11E2"/>
    <w:rsid w:val="00CC1249"/>
    <w:rsid w:val="00CC1271"/>
    <w:rsid w:val="00CC12C2"/>
    <w:rsid w:val="00CC12E7"/>
    <w:rsid w:val="00CC12F6"/>
    <w:rsid w:val="00CC1363"/>
    <w:rsid w:val="00CC1365"/>
    <w:rsid w:val="00CC139C"/>
    <w:rsid w:val="00CC1411"/>
    <w:rsid w:val="00CC1418"/>
    <w:rsid w:val="00CC1435"/>
    <w:rsid w:val="00CC143F"/>
    <w:rsid w:val="00CC1499"/>
    <w:rsid w:val="00CC14E7"/>
    <w:rsid w:val="00CC1509"/>
    <w:rsid w:val="00CC155B"/>
    <w:rsid w:val="00CC1599"/>
    <w:rsid w:val="00CC159F"/>
    <w:rsid w:val="00CC15C1"/>
    <w:rsid w:val="00CC160C"/>
    <w:rsid w:val="00CC165F"/>
    <w:rsid w:val="00CC16B0"/>
    <w:rsid w:val="00CC16CB"/>
    <w:rsid w:val="00CC16CD"/>
    <w:rsid w:val="00CC175E"/>
    <w:rsid w:val="00CC177C"/>
    <w:rsid w:val="00CC17E9"/>
    <w:rsid w:val="00CC181B"/>
    <w:rsid w:val="00CC1842"/>
    <w:rsid w:val="00CC188E"/>
    <w:rsid w:val="00CC1905"/>
    <w:rsid w:val="00CC1914"/>
    <w:rsid w:val="00CC1969"/>
    <w:rsid w:val="00CC19D7"/>
    <w:rsid w:val="00CC1A3D"/>
    <w:rsid w:val="00CC1B19"/>
    <w:rsid w:val="00CC1B8F"/>
    <w:rsid w:val="00CC1BC1"/>
    <w:rsid w:val="00CC1BC6"/>
    <w:rsid w:val="00CC1BD3"/>
    <w:rsid w:val="00CC1C3B"/>
    <w:rsid w:val="00CC1C76"/>
    <w:rsid w:val="00CC1C78"/>
    <w:rsid w:val="00CC1C7E"/>
    <w:rsid w:val="00CC1D29"/>
    <w:rsid w:val="00CC1D4C"/>
    <w:rsid w:val="00CC1D82"/>
    <w:rsid w:val="00CC1DF2"/>
    <w:rsid w:val="00CC1E19"/>
    <w:rsid w:val="00CC1E23"/>
    <w:rsid w:val="00CC1E69"/>
    <w:rsid w:val="00CC1E8C"/>
    <w:rsid w:val="00CC1EB4"/>
    <w:rsid w:val="00CC1EF5"/>
    <w:rsid w:val="00CC1EFA"/>
    <w:rsid w:val="00CC1F1B"/>
    <w:rsid w:val="00CC1F67"/>
    <w:rsid w:val="00CC1F8D"/>
    <w:rsid w:val="00CC202F"/>
    <w:rsid w:val="00CC2056"/>
    <w:rsid w:val="00CC2089"/>
    <w:rsid w:val="00CC20D1"/>
    <w:rsid w:val="00CC20F3"/>
    <w:rsid w:val="00CC210D"/>
    <w:rsid w:val="00CC211F"/>
    <w:rsid w:val="00CC214E"/>
    <w:rsid w:val="00CC21EF"/>
    <w:rsid w:val="00CC2204"/>
    <w:rsid w:val="00CC229E"/>
    <w:rsid w:val="00CC22D2"/>
    <w:rsid w:val="00CC2304"/>
    <w:rsid w:val="00CC2323"/>
    <w:rsid w:val="00CC23FC"/>
    <w:rsid w:val="00CC23FE"/>
    <w:rsid w:val="00CC2406"/>
    <w:rsid w:val="00CC2455"/>
    <w:rsid w:val="00CC247B"/>
    <w:rsid w:val="00CC24CB"/>
    <w:rsid w:val="00CC24D1"/>
    <w:rsid w:val="00CC2504"/>
    <w:rsid w:val="00CC2545"/>
    <w:rsid w:val="00CC2557"/>
    <w:rsid w:val="00CC2593"/>
    <w:rsid w:val="00CC261B"/>
    <w:rsid w:val="00CC263C"/>
    <w:rsid w:val="00CC26FA"/>
    <w:rsid w:val="00CC272C"/>
    <w:rsid w:val="00CC27DD"/>
    <w:rsid w:val="00CC27EB"/>
    <w:rsid w:val="00CC27FC"/>
    <w:rsid w:val="00CC285C"/>
    <w:rsid w:val="00CC2868"/>
    <w:rsid w:val="00CC2879"/>
    <w:rsid w:val="00CC2882"/>
    <w:rsid w:val="00CC28C4"/>
    <w:rsid w:val="00CC2908"/>
    <w:rsid w:val="00CC2928"/>
    <w:rsid w:val="00CC292E"/>
    <w:rsid w:val="00CC2977"/>
    <w:rsid w:val="00CC29FC"/>
    <w:rsid w:val="00CC29FF"/>
    <w:rsid w:val="00CC2A40"/>
    <w:rsid w:val="00CC2A45"/>
    <w:rsid w:val="00CC2A56"/>
    <w:rsid w:val="00CC2A5F"/>
    <w:rsid w:val="00CC2A86"/>
    <w:rsid w:val="00CC2A8F"/>
    <w:rsid w:val="00CC2B13"/>
    <w:rsid w:val="00CC2B44"/>
    <w:rsid w:val="00CC2B6A"/>
    <w:rsid w:val="00CC2BA7"/>
    <w:rsid w:val="00CC2BD5"/>
    <w:rsid w:val="00CC2BD7"/>
    <w:rsid w:val="00CC2BEA"/>
    <w:rsid w:val="00CC2C04"/>
    <w:rsid w:val="00CC2C19"/>
    <w:rsid w:val="00CC2C31"/>
    <w:rsid w:val="00CC2C4D"/>
    <w:rsid w:val="00CC2C89"/>
    <w:rsid w:val="00CC2CA8"/>
    <w:rsid w:val="00CC2CB0"/>
    <w:rsid w:val="00CC2CCD"/>
    <w:rsid w:val="00CC2CF5"/>
    <w:rsid w:val="00CC2D0E"/>
    <w:rsid w:val="00CC2D1A"/>
    <w:rsid w:val="00CC2DF6"/>
    <w:rsid w:val="00CC2E13"/>
    <w:rsid w:val="00CC2E72"/>
    <w:rsid w:val="00CC2EA2"/>
    <w:rsid w:val="00CC2EA6"/>
    <w:rsid w:val="00CC2EB2"/>
    <w:rsid w:val="00CC2F43"/>
    <w:rsid w:val="00CC2F4D"/>
    <w:rsid w:val="00CC2F79"/>
    <w:rsid w:val="00CC2FC9"/>
    <w:rsid w:val="00CC2FE4"/>
    <w:rsid w:val="00CC302F"/>
    <w:rsid w:val="00CC30C4"/>
    <w:rsid w:val="00CC30D7"/>
    <w:rsid w:val="00CC3100"/>
    <w:rsid w:val="00CC3129"/>
    <w:rsid w:val="00CC312D"/>
    <w:rsid w:val="00CC315A"/>
    <w:rsid w:val="00CC317E"/>
    <w:rsid w:val="00CC3188"/>
    <w:rsid w:val="00CC31B6"/>
    <w:rsid w:val="00CC3202"/>
    <w:rsid w:val="00CC3216"/>
    <w:rsid w:val="00CC3270"/>
    <w:rsid w:val="00CC3278"/>
    <w:rsid w:val="00CC329D"/>
    <w:rsid w:val="00CC32A2"/>
    <w:rsid w:val="00CC32C0"/>
    <w:rsid w:val="00CC32EA"/>
    <w:rsid w:val="00CC3338"/>
    <w:rsid w:val="00CC3370"/>
    <w:rsid w:val="00CC33D5"/>
    <w:rsid w:val="00CC33F2"/>
    <w:rsid w:val="00CC346E"/>
    <w:rsid w:val="00CC3481"/>
    <w:rsid w:val="00CC349D"/>
    <w:rsid w:val="00CC34AA"/>
    <w:rsid w:val="00CC34BC"/>
    <w:rsid w:val="00CC35EC"/>
    <w:rsid w:val="00CC363B"/>
    <w:rsid w:val="00CC363E"/>
    <w:rsid w:val="00CC3672"/>
    <w:rsid w:val="00CC36D9"/>
    <w:rsid w:val="00CC36EF"/>
    <w:rsid w:val="00CC36F0"/>
    <w:rsid w:val="00CC3714"/>
    <w:rsid w:val="00CC374C"/>
    <w:rsid w:val="00CC376B"/>
    <w:rsid w:val="00CC37D0"/>
    <w:rsid w:val="00CC381E"/>
    <w:rsid w:val="00CC3829"/>
    <w:rsid w:val="00CC386E"/>
    <w:rsid w:val="00CC3896"/>
    <w:rsid w:val="00CC3897"/>
    <w:rsid w:val="00CC38DA"/>
    <w:rsid w:val="00CC3982"/>
    <w:rsid w:val="00CC3984"/>
    <w:rsid w:val="00CC3995"/>
    <w:rsid w:val="00CC3A48"/>
    <w:rsid w:val="00CC3A4B"/>
    <w:rsid w:val="00CC3AA7"/>
    <w:rsid w:val="00CC3AC7"/>
    <w:rsid w:val="00CC3AC9"/>
    <w:rsid w:val="00CC3AEA"/>
    <w:rsid w:val="00CC3AEB"/>
    <w:rsid w:val="00CC3B41"/>
    <w:rsid w:val="00CC3B44"/>
    <w:rsid w:val="00CC3B48"/>
    <w:rsid w:val="00CC3B73"/>
    <w:rsid w:val="00CC3BB3"/>
    <w:rsid w:val="00CC3BC0"/>
    <w:rsid w:val="00CC3C04"/>
    <w:rsid w:val="00CC3C9D"/>
    <w:rsid w:val="00CC3CC2"/>
    <w:rsid w:val="00CC3CF8"/>
    <w:rsid w:val="00CC3D0D"/>
    <w:rsid w:val="00CC3D16"/>
    <w:rsid w:val="00CC3D8E"/>
    <w:rsid w:val="00CC3DC4"/>
    <w:rsid w:val="00CC3DD1"/>
    <w:rsid w:val="00CC3E04"/>
    <w:rsid w:val="00CC3E1F"/>
    <w:rsid w:val="00CC3E89"/>
    <w:rsid w:val="00CC3ED5"/>
    <w:rsid w:val="00CC3EDF"/>
    <w:rsid w:val="00CC3F13"/>
    <w:rsid w:val="00CC3F37"/>
    <w:rsid w:val="00CC3F4D"/>
    <w:rsid w:val="00CC3F67"/>
    <w:rsid w:val="00CC3F81"/>
    <w:rsid w:val="00CC3F8A"/>
    <w:rsid w:val="00CC3F8F"/>
    <w:rsid w:val="00CC3FA1"/>
    <w:rsid w:val="00CC4029"/>
    <w:rsid w:val="00CC4140"/>
    <w:rsid w:val="00CC4197"/>
    <w:rsid w:val="00CC41B5"/>
    <w:rsid w:val="00CC41C6"/>
    <w:rsid w:val="00CC421B"/>
    <w:rsid w:val="00CC423F"/>
    <w:rsid w:val="00CC4271"/>
    <w:rsid w:val="00CC4293"/>
    <w:rsid w:val="00CC42C1"/>
    <w:rsid w:val="00CC42C8"/>
    <w:rsid w:val="00CC4332"/>
    <w:rsid w:val="00CC439B"/>
    <w:rsid w:val="00CC43C7"/>
    <w:rsid w:val="00CC43F8"/>
    <w:rsid w:val="00CC4428"/>
    <w:rsid w:val="00CC447B"/>
    <w:rsid w:val="00CC449B"/>
    <w:rsid w:val="00CC44A2"/>
    <w:rsid w:val="00CC44E7"/>
    <w:rsid w:val="00CC44FA"/>
    <w:rsid w:val="00CC4533"/>
    <w:rsid w:val="00CC456A"/>
    <w:rsid w:val="00CC45FC"/>
    <w:rsid w:val="00CC462F"/>
    <w:rsid w:val="00CC46B8"/>
    <w:rsid w:val="00CC4712"/>
    <w:rsid w:val="00CC473E"/>
    <w:rsid w:val="00CC4765"/>
    <w:rsid w:val="00CC4799"/>
    <w:rsid w:val="00CC479E"/>
    <w:rsid w:val="00CC47AD"/>
    <w:rsid w:val="00CC4805"/>
    <w:rsid w:val="00CC484D"/>
    <w:rsid w:val="00CC4857"/>
    <w:rsid w:val="00CC4865"/>
    <w:rsid w:val="00CC48E7"/>
    <w:rsid w:val="00CC4900"/>
    <w:rsid w:val="00CC4914"/>
    <w:rsid w:val="00CC492D"/>
    <w:rsid w:val="00CC498F"/>
    <w:rsid w:val="00CC499E"/>
    <w:rsid w:val="00CC49A7"/>
    <w:rsid w:val="00CC4A07"/>
    <w:rsid w:val="00CC4A1D"/>
    <w:rsid w:val="00CC4A5E"/>
    <w:rsid w:val="00CC4A81"/>
    <w:rsid w:val="00CC4A8D"/>
    <w:rsid w:val="00CC4ABB"/>
    <w:rsid w:val="00CC4AF0"/>
    <w:rsid w:val="00CC4B39"/>
    <w:rsid w:val="00CC4B97"/>
    <w:rsid w:val="00CC4BFC"/>
    <w:rsid w:val="00CC4C38"/>
    <w:rsid w:val="00CC4C76"/>
    <w:rsid w:val="00CC4C77"/>
    <w:rsid w:val="00CC4CCD"/>
    <w:rsid w:val="00CC4CE3"/>
    <w:rsid w:val="00CC4D01"/>
    <w:rsid w:val="00CC4D18"/>
    <w:rsid w:val="00CC4D4A"/>
    <w:rsid w:val="00CC4D90"/>
    <w:rsid w:val="00CC4E42"/>
    <w:rsid w:val="00CC4E78"/>
    <w:rsid w:val="00CC4F96"/>
    <w:rsid w:val="00CC507C"/>
    <w:rsid w:val="00CC515B"/>
    <w:rsid w:val="00CC5170"/>
    <w:rsid w:val="00CC5196"/>
    <w:rsid w:val="00CC51AA"/>
    <w:rsid w:val="00CC51D7"/>
    <w:rsid w:val="00CC51F4"/>
    <w:rsid w:val="00CC51FB"/>
    <w:rsid w:val="00CC5235"/>
    <w:rsid w:val="00CC5265"/>
    <w:rsid w:val="00CC5298"/>
    <w:rsid w:val="00CC530A"/>
    <w:rsid w:val="00CC534A"/>
    <w:rsid w:val="00CC5381"/>
    <w:rsid w:val="00CC5397"/>
    <w:rsid w:val="00CC5447"/>
    <w:rsid w:val="00CC54AA"/>
    <w:rsid w:val="00CC54C2"/>
    <w:rsid w:val="00CC5523"/>
    <w:rsid w:val="00CC558A"/>
    <w:rsid w:val="00CC5590"/>
    <w:rsid w:val="00CC559E"/>
    <w:rsid w:val="00CC55BD"/>
    <w:rsid w:val="00CC55C3"/>
    <w:rsid w:val="00CC55EA"/>
    <w:rsid w:val="00CC5652"/>
    <w:rsid w:val="00CC5679"/>
    <w:rsid w:val="00CC5681"/>
    <w:rsid w:val="00CC5692"/>
    <w:rsid w:val="00CC5774"/>
    <w:rsid w:val="00CC5779"/>
    <w:rsid w:val="00CC5781"/>
    <w:rsid w:val="00CC5812"/>
    <w:rsid w:val="00CC582C"/>
    <w:rsid w:val="00CC5835"/>
    <w:rsid w:val="00CC585F"/>
    <w:rsid w:val="00CC586B"/>
    <w:rsid w:val="00CC5880"/>
    <w:rsid w:val="00CC58E0"/>
    <w:rsid w:val="00CC58F8"/>
    <w:rsid w:val="00CC5902"/>
    <w:rsid w:val="00CC5910"/>
    <w:rsid w:val="00CC59AE"/>
    <w:rsid w:val="00CC5A35"/>
    <w:rsid w:val="00CC5A4E"/>
    <w:rsid w:val="00CC5A5F"/>
    <w:rsid w:val="00CC5AD3"/>
    <w:rsid w:val="00CC5AE6"/>
    <w:rsid w:val="00CC5B25"/>
    <w:rsid w:val="00CC5C04"/>
    <w:rsid w:val="00CC5C19"/>
    <w:rsid w:val="00CC5C2D"/>
    <w:rsid w:val="00CC5CC6"/>
    <w:rsid w:val="00CC5D1A"/>
    <w:rsid w:val="00CC5DCC"/>
    <w:rsid w:val="00CC5DEE"/>
    <w:rsid w:val="00CC5E50"/>
    <w:rsid w:val="00CC5E80"/>
    <w:rsid w:val="00CC5E84"/>
    <w:rsid w:val="00CC5ECE"/>
    <w:rsid w:val="00CC5ED8"/>
    <w:rsid w:val="00CC5EED"/>
    <w:rsid w:val="00CC5EEE"/>
    <w:rsid w:val="00CC5F11"/>
    <w:rsid w:val="00CC5F70"/>
    <w:rsid w:val="00CC5F7F"/>
    <w:rsid w:val="00CC6025"/>
    <w:rsid w:val="00CC6043"/>
    <w:rsid w:val="00CC6046"/>
    <w:rsid w:val="00CC6084"/>
    <w:rsid w:val="00CC60B6"/>
    <w:rsid w:val="00CC60C1"/>
    <w:rsid w:val="00CC60F6"/>
    <w:rsid w:val="00CC6112"/>
    <w:rsid w:val="00CC6128"/>
    <w:rsid w:val="00CC6149"/>
    <w:rsid w:val="00CC615F"/>
    <w:rsid w:val="00CC617E"/>
    <w:rsid w:val="00CC6198"/>
    <w:rsid w:val="00CC61CB"/>
    <w:rsid w:val="00CC626C"/>
    <w:rsid w:val="00CC62E6"/>
    <w:rsid w:val="00CC6345"/>
    <w:rsid w:val="00CC6396"/>
    <w:rsid w:val="00CC63D5"/>
    <w:rsid w:val="00CC6452"/>
    <w:rsid w:val="00CC6476"/>
    <w:rsid w:val="00CC647E"/>
    <w:rsid w:val="00CC64A2"/>
    <w:rsid w:val="00CC64AF"/>
    <w:rsid w:val="00CC6536"/>
    <w:rsid w:val="00CC653E"/>
    <w:rsid w:val="00CC65F9"/>
    <w:rsid w:val="00CC66C0"/>
    <w:rsid w:val="00CC66C5"/>
    <w:rsid w:val="00CC66DB"/>
    <w:rsid w:val="00CC6763"/>
    <w:rsid w:val="00CC677B"/>
    <w:rsid w:val="00CC6789"/>
    <w:rsid w:val="00CC6793"/>
    <w:rsid w:val="00CC6824"/>
    <w:rsid w:val="00CC683B"/>
    <w:rsid w:val="00CC683E"/>
    <w:rsid w:val="00CC6878"/>
    <w:rsid w:val="00CC68B5"/>
    <w:rsid w:val="00CC68DB"/>
    <w:rsid w:val="00CC6912"/>
    <w:rsid w:val="00CC6945"/>
    <w:rsid w:val="00CC69A3"/>
    <w:rsid w:val="00CC69BA"/>
    <w:rsid w:val="00CC69E1"/>
    <w:rsid w:val="00CC6A0A"/>
    <w:rsid w:val="00CC6A7C"/>
    <w:rsid w:val="00CC6AD7"/>
    <w:rsid w:val="00CC6B1A"/>
    <w:rsid w:val="00CC6B39"/>
    <w:rsid w:val="00CC6B3B"/>
    <w:rsid w:val="00CC6B66"/>
    <w:rsid w:val="00CC6B67"/>
    <w:rsid w:val="00CC6B6F"/>
    <w:rsid w:val="00CC6B80"/>
    <w:rsid w:val="00CC6BD4"/>
    <w:rsid w:val="00CC6BE0"/>
    <w:rsid w:val="00CC6C43"/>
    <w:rsid w:val="00CC6C4F"/>
    <w:rsid w:val="00CC6C6B"/>
    <w:rsid w:val="00CC6C82"/>
    <w:rsid w:val="00CC6C99"/>
    <w:rsid w:val="00CC6CBA"/>
    <w:rsid w:val="00CC6CFD"/>
    <w:rsid w:val="00CC6D1D"/>
    <w:rsid w:val="00CC6D47"/>
    <w:rsid w:val="00CC6D6A"/>
    <w:rsid w:val="00CC6D98"/>
    <w:rsid w:val="00CC6DF8"/>
    <w:rsid w:val="00CC6EA7"/>
    <w:rsid w:val="00CC6ED4"/>
    <w:rsid w:val="00CC6EF0"/>
    <w:rsid w:val="00CC6EF5"/>
    <w:rsid w:val="00CC6EFA"/>
    <w:rsid w:val="00CC6F21"/>
    <w:rsid w:val="00CC6F43"/>
    <w:rsid w:val="00CC6FCC"/>
    <w:rsid w:val="00CC6FE3"/>
    <w:rsid w:val="00CC6FE4"/>
    <w:rsid w:val="00CC7004"/>
    <w:rsid w:val="00CC7030"/>
    <w:rsid w:val="00CC703F"/>
    <w:rsid w:val="00CC7053"/>
    <w:rsid w:val="00CC7077"/>
    <w:rsid w:val="00CC709F"/>
    <w:rsid w:val="00CC70CC"/>
    <w:rsid w:val="00CC713E"/>
    <w:rsid w:val="00CC7149"/>
    <w:rsid w:val="00CC715E"/>
    <w:rsid w:val="00CC71A8"/>
    <w:rsid w:val="00CC71D5"/>
    <w:rsid w:val="00CC71ED"/>
    <w:rsid w:val="00CC7220"/>
    <w:rsid w:val="00CC724F"/>
    <w:rsid w:val="00CC7262"/>
    <w:rsid w:val="00CC72AB"/>
    <w:rsid w:val="00CC72AC"/>
    <w:rsid w:val="00CC72C2"/>
    <w:rsid w:val="00CC7340"/>
    <w:rsid w:val="00CC7377"/>
    <w:rsid w:val="00CC744D"/>
    <w:rsid w:val="00CC7499"/>
    <w:rsid w:val="00CC74A2"/>
    <w:rsid w:val="00CC74AD"/>
    <w:rsid w:val="00CC74C1"/>
    <w:rsid w:val="00CC74DB"/>
    <w:rsid w:val="00CC750A"/>
    <w:rsid w:val="00CC75DD"/>
    <w:rsid w:val="00CC75EB"/>
    <w:rsid w:val="00CC75EC"/>
    <w:rsid w:val="00CC7619"/>
    <w:rsid w:val="00CC763C"/>
    <w:rsid w:val="00CC766D"/>
    <w:rsid w:val="00CC7671"/>
    <w:rsid w:val="00CC768B"/>
    <w:rsid w:val="00CC7699"/>
    <w:rsid w:val="00CC76E1"/>
    <w:rsid w:val="00CC7737"/>
    <w:rsid w:val="00CC773F"/>
    <w:rsid w:val="00CC77BA"/>
    <w:rsid w:val="00CC77D7"/>
    <w:rsid w:val="00CC77DB"/>
    <w:rsid w:val="00CC77F6"/>
    <w:rsid w:val="00CC77FD"/>
    <w:rsid w:val="00CC7809"/>
    <w:rsid w:val="00CC7829"/>
    <w:rsid w:val="00CC7868"/>
    <w:rsid w:val="00CC786D"/>
    <w:rsid w:val="00CC789D"/>
    <w:rsid w:val="00CC78BD"/>
    <w:rsid w:val="00CC78C9"/>
    <w:rsid w:val="00CC7915"/>
    <w:rsid w:val="00CC796E"/>
    <w:rsid w:val="00CC799E"/>
    <w:rsid w:val="00CC79B1"/>
    <w:rsid w:val="00CC79F0"/>
    <w:rsid w:val="00CC7A37"/>
    <w:rsid w:val="00CC7A88"/>
    <w:rsid w:val="00CC7AFE"/>
    <w:rsid w:val="00CC7B08"/>
    <w:rsid w:val="00CC7C35"/>
    <w:rsid w:val="00CC7C5C"/>
    <w:rsid w:val="00CC7C70"/>
    <w:rsid w:val="00CC7CCB"/>
    <w:rsid w:val="00CC7CEB"/>
    <w:rsid w:val="00CC7D00"/>
    <w:rsid w:val="00CC7D5B"/>
    <w:rsid w:val="00CC7D9B"/>
    <w:rsid w:val="00CC7DB6"/>
    <w:rsid w:val="00CC7DCC"/>
    <w:rsid w:val="00CC7E33"/>
    <w:rsid w:val="00CC7E5A"/>
    <w:rsid w:val="00CC7E72"/>
    <w:rsid w:val="00CC7E81"/>
    <w:rsid w:val="00CC7ED6"/>
    <w:rsid w:val="00CC7F1C"/>
    <w:rsid w:val="00CC7F37"/>
    <w:rsid w:val="00CC7F75"/>
    <w:rsid w:val="00CC7FB9"/>
    <w:rsid w:val="00CD0000"/>
    <w:rsid w:val="00CD000D"/>
    <w:rsid w:val="00CD001B"/>
    <w:rsid w:val="00CD0040"/>
    <w:rsid w:val="00CD0093"/>
    <w:rsid w:val="00CD00B8"/>
    <w:rsid w:val="00CD00C9"/>
    <w:rsid w:val="00CD00FA"/>
    <w:rsid w:val="00CD0111"/>
    <w:rsid w:val="00CD0126"/>
    <w:rsid w:val="00CD014A"/>
    <w:rsid w:val="00CD017A"/>
    <w:rsid w:val="00CD019F"/>
    <w:rsid w:val="00CD01A4"/>
    <w:rsid w:val="00CD01B0"/>
    <w:rsid w:val="00CD01D2"/>
    <w:rsid w:val="00CD01F1"/>
    <w:rsid w:val="00CD025A"/>
    <w:rsid w:val="00CD026A"/>
    <w:rsid w:val="00CD02CD"/>
    <w:rsid w:val="00CD02CE"/>
    <w:rsid w:val="00CD02DE"/>
    <w:rsid w:val="00CD02F0"/>
    <w:rsid w:val="00CD0311"/>
    <w:rsid w:val="00CD031A"/>
    <w:rsid w:val="00CD0409"/>
    <w:rsid w:val="00CD041D"/>
    <w:rsid w:val="00CD0443"/>
    <w:rsid w:val="00CD0463"/>
    <w:rsid w:val="00CD04E6"/>
    <w:rsid w:val="00CD0517"/>
    <w:rsid w:val="00CD0536"/>
    <w:rsid w:val="00CD0541"/>
    <w:rsid w:val="00CD054C"/>
    <w:rsid w:val="00CD056C"/>
    <w:rsid w:val="00CD05C7"/>
    <w:rsid w:val="00CD05CE"/>
    <w:rsid w:val="00CD05D4"/>
    <w:rsid w:val="00CD05D7"/>
    <w:rsid w:val="00CD05DC"/>
    <w:rsid w:val="00CD05E9"/>
    <w:rsid w:val="00CD0656"/>
    <w:rsid w:val="00CD0668"/>
    <w:rsid w:val="00CD06F0"/>
    <w:rsid w:val="00CD06F3"/>
    <w:rsid w:val="00CD06FF"/>
    <w:rsid w:val="00CD0773"/>
    <w:rsid w:val="00CD07CC"/>
    <w:rsid w:val="00CD0827"/>
    <w:rsid w:val="00CD0846"/>
    <w:rsid w:val="00CD0867"/>
    <w:rsid w:val="00CD086C"/>
    <w:rsid w:val="00CD087E"/>
    <w:rsid w:val="00CD08F6"/>
    <w:rsid w:val="00CD08FB"/>
    <w:rsid w:val="00CD0915"/>
    <w:rsid w:val="00CD0927"/>
    <w:rsid w:val="00CD0941"/>
    <w:rsid w:val="00CD0951"/>
    <w:rsid w:val="00CD0963"/>
    <w:rsid w:val="00CD0976"/>
    <w:rsid w:val="00CD09E1"/>
    <w:rsid w:val="00CD0A17"/>
    <w:rsid w:val="00CD0A74"/>
    <w:rsid w:val="00CD0ACE"/>
    <w:rsid w:val="00CD0AE0"/>
    <w:rsid w:val="00CD0AEB"/>
    <w:rsid w:val="00CD0AF0"/>
    <w:rsid w:val="00CD0B0B"/>
    <w:rsid w:val="00CD0B54"/>
    <w:rsid w:val="00CD0B72"/>
    <w:rsid w:val="00CD0B84"/>
    <w:rsid w:val="00CD0BB9"/>
    <w:rsid w:val="00CD0BDC"/>
    <w:rsid w:val="00CD0BFB"/>
    <w:rsid w:val="00CD0C76"/>
    <w:rsid w:val="00CD0CD9"/>
    <w:rsid w:val="00CD0D0C"/>
    <w:rsid w:val="00CD0D72"/>
    <w:rsid w:val="00CD0E42"/>
    <w:rsid w:val="00CD0E8B"/>
    <w:rsid w:val="00CD0EE1"/>
    <w:rsid w:val="00CD0EEE"/>
    <w:rsid w:val="00CD0EFC"/>
    <w:rsid w:val="00CD0F2A"/>
    <w:rsid w:val="00CD0F2F"/>
    <w:rsid w:val="00CD0F4D"/>
    <w:rsid w:val="00CD0F60"/>
    <w:rsid w:val="00CD0F92"/>
    <w:rsid w:val="00CD0FB4"/>
    <w:rsid w:val="00CD0FB6"/>
    <w:rsid w:val="00CD0FFF"/>
    <w:rsid w:val="00CD1090"/>
    <w:rsid w:val="00CD10AE"/>
    <w:rsid w:val="00CD10B7"/>
    <w:rsid w:val="00CD112F"/>
    <w:rsid w:val="00CD1148"/>
    <w:rsid w:val="00CD11D6"/>
    <w:rsid w:val="00CD1240"/>
    <w:rsid w:val="00CD128B"/>
    <w:rsid w:val="00CD12A8"/>
    <w:rsid w:val="00CD12B2"/>
    <w:rsid w:val="00CD1332"/>
    <w:rsid w:val="00CD133B"/>
    <w:rsid w:val="00CD1348"/>
    <w:rsid w:val="00CD13B1"/>
    <w:rsid w:val="00CD13D1"/>
    <w:rsid w:val="00CD13E4"/>
    <w:rsid w:val="00CD13F5"/>
    <w:rsid w:val="00CD1497"/>
    <w:rsid w:val="00CD14C8"/>
    <w:rsid w:val="00CD1526"/>
    <w:rsid w:val="00CD152D"/>
    <w:rsid w:val="00CD1534"/>
    <w:rsid w:val="00CD15A7"/>
    <w:rsid w:val="00CD15BE"/>
    <w:rsid w:val="00CD15D1"/>
    <w:rsid w:val="00CD1611"/>
    <w:rsid w:val="00CD167A"/>
    <w:rsid w:val="00CD16A7"/>
    <w:rsid w:val="00CD16B5"/>
    <w:rsid w:val="00CD16E8"/>
    <w:rsid w:val="00CD17CC"/>
    <w:rsid w:val="00CD1867"/>
    <w:rsid w:val="00CD1874"/>
    <w:rsid w:val="00CD18FF"/>
    <w:rsid w:val="00CD1906"/>
    <w:rsid w:val="00CD1929"/>
    <w:rsid w:val="00CD1955"/>
    <w:rsid w:val="00CD1994"/>
    <w:rsid w:val="00CD19B8"/>
    <w:rsid w:val="00CD19D3"/>
    <w:rsid w:val="00CD1A9B"/>
    <w:rsid w:val="00CD1A9E"/>
    <w:rsid w:val="00CD1AD1"/>
    <w:rsid w:val="00CD1B69"/>
    <w:rsid w:val="00CD1B6C"/>
    <w:rsid w:val="00CD1B9D"/>
    <w:rsid w:val="00CD1B9E"/>
    <w:rsid w:val="00CD1BAE"/>
    <w:rsid w:val="00CD1C00"/>
    <w:rsid w:val="00CD1C73"/>
    <w:rsid w:val="00CD1D0E"/>
    <w:rsid w:val="00CD1D27"/>
    <w:rsid w:val="00CD1D2B"/>
    <w:rsid w:val="00CD1DE5"/>
    <w:rsid w:val="00CD1E4B"/>
    <w:rsid w:val="00CD1E52"/>
    <w:rsid w:val="00CD1E53"/>
    <w:rsid w:val="00CD1E95"/>
    <w:rsid w:val="00CD1EC8"/>
    <w:rsid w:val="00CD1EF1"/>
    <w:rsid w:val="00CD1FC7"/>
    <w:rsid w:val="00CD206D"/>
    <w:rsid w:val="00CD2096"/>
    <w:rsid w:val="00CD21B3"/>
    <w:rsid w:val="00CD21C4"/>
    <w:rsid w:val="00CD21D8"/>
    <w:rsid w:val="00CD21E4"/>
    <w:rsid w:val="00CD2244"/>
    <w:rsid w:val="00CD226B"/>
    <w:rsid w:val="00CD2275"/>
    <w:rsid w:val="00CD22D6"/>
    <w:rsid w:val="00CD22DE"/>
    <w:rsid w:val="00CD2338"/>
    <w:rsid w:val="00CD238A"/>
    <w:rsid w:val="00CD238D"/>
    <w:rsid w:val="00CD23C7"/>
    <w:rsid w:val="00CD23CB"/>
    <w:rsid w:val="00CD2423"/>
    <w:rsid w:val="00CD2463"/>
    <w:rsid w:val="00CD24BA"/>
    <w:rsid w:val="00CD24BB"/>
    <w:rsid w:val="00CD257C"/>
    <w:rsid w:val="00CD257E"/>
    <w:rsid w:val="00CD258D"/>
    <w:rsid w:val="00CD25E5"/>
    <w:rsid w:val="00CD2656"/>
    <w:rsid w:val="00CD26AD"/>
    <w:rsid w:val="00CD26DF"/>
    <w:rsid w:val="00CD26E6"/>
    <w:rsid w:val="00CD2710"/>
    <w:rsid w:val="00CD278E"/>
    <w:rsid w:val="00CD279B"/>
    <w:rsid w:val="00CD27AD"/>
    <w:rsid w:val="00CD27B6"/>
    <w:rsid w:val="00CD27BB"/>
    <w:rsid w:val="00CD27C2"/>
    <w:rsid w:val="00CD27ED"/>
    <w:rsid w:val="00CD27FA"/>
    <w:rsid w:val="00CD2815"/>
    <w:rsid w:val="00CD2819"/>
    <w:rsid w:val="00CD2861"/>
    <w:rsid w:val="00CD28BA"/>
    <w:rsid w:val="00CD28C0"/>
    <w:rsid w:val="00CD28C7"/>
    <w:rsid w:val="00CD28D2"/>
    <w:rsid w:val="00CD28F7"/>
    <w:rsid w:val="00CD2956"/>
    <w:rsid w:val="00CD29D0"/>
    <w:rsid w:val="00CD2A17"/>
    <w:rsid w:val="00CD2A59"/>
    <w:rsid w:val="00CD2A64"/>
    <w:rsid w:val="00CD2A71"/>
    <w:rsid w:val="00CD2AC3"/>
    <w:rsid w:val="00CD2B27"/>
    <w:rsid w:val="00CD2B88"/>
    <w:rsid w:val="00CD2B8B"/>
    <w:rsid w:val="00CD2BA1"/>
    <w:rsid w:val="00CD2BB7"/>
    <w:rsid w:val="00CD2BD1"/>
    <w:rsid w:val="00CD2C12"/>
    <w:rsid w:val="00CD2C33"/>
    <w:rsid w:val="00CD2C50"/>
    <w:rsid w:val="00CD2C67"/>
    <w:rsid w:val="00CD2C80"/>
    <w:rsid w:val="00CD2C82"/>
    <w:rsid w:val="00CD2C9E"/>
    <w:rsid w:val="00CD2CB5"/>
    <w:rsid w:val="00CD2D00"/>
    <w:rsid w:val="00CD2D11"/>
    <w:rsid w:val="00CD2DA6"/>
    <w:rsid w:val="00CD2DAF"/>
    <w:rsid w:val="00CD2E3C"/>
    <w:rsid w:val="00CD2E4A"/>
    <w:rsid w:val="00CD2EDB"/>
    <w:rsid w:val="00CD2F3A"/>
    <w:rsid w:val="00CD2F62"/>
    <w:rsid w:val="00CD3016"/>
    <w:rsid w:val="00CD301E"/>
    <w:rsid w:val="00CD302E"/>
    <w:rsid w:val="00CD303F"/>
    <w:rsid w:val="00CD307D"/>
    <w:rsid w:val="00CD30C2"/>
    <w:rsid w:val="00CD3100"/>
    <w:rsid w:val="00CD3107"/>
    <w:rsid w:val="00CD3122"/>
    <w:rsid w:val="00CD31EB"/>
    <w:rsid w:val="00CD3239"/>
    <w:rsid w:val="00CD3247"/>
    <w:rsid w:val="00CD327A"/>
    <w:rsid w:val="00CD3291"/>
    <w:rsid w:val="00CD32CC"/>
    <w:rsid w:val="00CD32DE"/>
    <w:rsid w:val="00CD32E5"/>
    <w:rsid w:val="00CD32FB"/>
    <w:rsid w:val="00CD3317"/>
    <w:rsid w:val="00CD3343"/>
    <w:rsid w:val="00CD3349"/>
    <w:rsid w:val="00CD3388"/>
    <w:rsid w:val="00CD33B2"/>
    <w:rsid w:val="00CD3401"/>
    <w:rsid w:val="00CD3427"/>
    <w:rsid w:val="00CD3444"/>
    <w:rsid w:val="00CD3460"/>
    <w:rsid w:val="00CD3526"/>
    <w:rsid w:val="00CD356A"/>
    <w:rsid w:val="00CD3580"/>
    <w:rsid w:val="00CD35B6"/>
    <w:rsid w:val="00CD3600"/>
    <w:rsid w:val="00CD363C"/>
    <w:rsid w:val="00CD3695"/>
    <w:rsid w:val="00CD36CE"/>
    <w:rsid w:val="00CD36F2"/>
    <w:rsid w:val="00CD3702"/>
    <w:rsid w:val="00CD370E"/>
    <w:rsid w:val="00CD3767"/>
    <w:rsid w:val="00CD378F"/>
    <w:rsid w:val="00CD385F"/>
    <w:rsid w:val="00CD38C7"/>
    <w:rsid w:val="00CD3903"/>
    <w:rsid w:val="00CD3907"/>
    <w:rsid w:val="00CD3915"/>
    <w:rsid w:val="00CD3922"/>
    <w:rsid w:val="00CD3940"/>
    <w:rsid w:val="00CD39A4"/>
    <w:rsid w:val="00CD39F0"/>
    <w:rsid w:val="00CD3A61"/>
    <w:rsid w:val="00CD3A7C"/>
    <w:rsid w:val="00CD3A8C"/>
    <w:rsid w:val="00CD3AE8"/>
    <w:rsid w:val="00CD3AEE"/>
    <w:rsid w:val="00CD3B70"/>
    <w:rsid w:val="00CD3B7D"/>
    <w:rsid w:val="00CD3BA8"/>
    <w:rsid w:val="00CD3BD9"/>
    <w:rsid w:val="00CD3C09"/>
    <w:rsid w:val="00CD3C3F"/>
    <w:rsid w:val="00CD3CBB"/>
    <w:rsid w:val="00CD3CD6"/>
    <w:rsid w:val="00CD3D27"/>
    <w:rsid w:val="00CD3D4A"/>
    <w:rsid w:val="00CD3D98"/>
    <w:rsid w:val="00CD3DA3"/>
    <w:rsid w:val="00CD3DB2"/>
    <w:rsid w:val="00CD3DD9"/>
    <w:rsid w:val="00CD3E39"/>
    <w:rsid w:val="00CD3E84"/>
    <w:rsid w:val="00CD3EE3"/>
    <w:rsid w:val="00CD3F53"/>
    <w:rsid w:val="00CD402E"/>
    <w:rsid w:val="00CD403C"/>
    <w:rsid w:val="00CD4045"/>
    <w:rsid w:val="00CD405B"/>
    <w:rsid w:val="00CD406D"/>
    <w:rsid w:val="00CD40A9"/>
    <w:rsid w:val="00CD40E4"/>
    <w:rsid w:val="00CD4131"/>
    <w:rsid w:val="00CD4170"/>
    <w:rsid w:val="00CD4200"/>
    <w:rsid w:val="00CD4203"/>
    <w:rsid w:val="00CD4207"/>
    <w:rsid w:val="00CD420F"/>
    <w:rsid w:val="00CD421B"/>
    <w:rsid w:val="00CD4227"/>
    <w:rsid w:val="00CD424E"/>
    <w:rsid w:val="00CD4316"/>
    <w:rsid w:val="00CD433E"/>
    <w:rsid w:val="00CD43C6"/>
    <w:rsid w:val="00CD43DD"/>
    <w:rsid w:val="00CD4408"/>
    <w:rsid w:val="00CD440A"/>
    <w:rsid w:val="00CD4440"/>
    <w:rsid w:val="00CD4450"/>
    <w:rsid w:val="00CD4505"/>
    <w:rsid w:val="00CD458D"/>
    <w:rsid w:val="00CD45CE"/>
    <w:rsid w:val="00CD45DF"/>
    <w:rsid w:val="00CD45E3"/>
    <w:rsid w:val="00CD4615"/>
    <w:rsid w:val="00CD4616"/>
    <w:rsid w:val="00CD4629"/>
    <w:rsid w:val="00CD4631"/>
    <w:rsid w:val="00CD467A"/>
    <w:rsid w:val="00CD46A1"/>
    <w:rsid w:val="00CD46D7"/>
    <w:rsid w:val="00CD46FC"/>
    <w:rsid w:val="00CD4730"/>
    <w:rsid w:val="00CD4788"/>
    <w:rsid w:val="00CD47A1"/>
    <w:rsid w:val="00CD487C"/>
    <w:rsid w:val="00CD48D4"/>
    <w:rsid w:val="00CD48DE"/>
    <w:rsid w:val="00CD48E1"/>
    <w:rsid w:val="00CD48FF"/>
    <w:rsid w:val="00CD491B"/>
    <w:rsid w:val="00CD492E"/>
    <w:rsid w:val="00CD4956"/>
    <w:rsid w:val="00CD4981"/>
    <w:rsid w:val="00CD4A20"/>
    <w:rsid w:val="00CD4AA4"/>
    <w:rsid w:val="00CD4AB1"/>
    <w:rsid w:val="00CD4AD7"/>
    <w:rsid w:val="00CD4B04"/>
    <w:rsid w:val="00CD4B43"/>
    <w:rsid w:val="00CD4B48"/>
    <w:rsid w:val="00CD4B9A"/>
    <w:rsid w:val="00CD4BAC"/>
    <w:rsid w:val="00CD4C65"/>
    <w:rsid w:val="00CD4C92"/>
    <w:rsid w:val="00CD4C97"/>
    <w:rsid w:val="00CD4CAC"/>
    <w:rsid w:val="00CD4D43"/>
    <w:rsid w:val="00CD4D45"/>
    <w:rsid w:val="00CD4D8C"/>
    <w:rsid w:val="00CD4DE4"/>
    <w:rsid w:val="00CD4DE7"/>
    <w:rsid w:val="00CD4E41"/>
    <w:rsid w:val="00CD4E69"/>
    <w:rsid w:val="00CD4E6A"/>
    <w:rsid w:val="00CD4E77"/>
    <w:rsid w:val="00CD4EC9"/>
    <w:rsid w:val="00CD4EE8"/>
    <w:rsid w:val="00CD4EED"/>
    <w:rsid w:val="00CD4F16"/>
    <w:rsid w:val="00CD4F24"/>
    <w:rsid w:val="00CD4F7E"/>
    <w:rsid w:val="00CD5001"/>
    <w:rsid w:val="00CD5029"/>
    <w:rsid w:val="00CD503E"/>
    <w:rsid w:val="00CD5083"/>
    <w:rsid w:val="00CD5086"/>
    <w:rsid w:val="00CD50A0"/>
    <w:rsid w:val="00CD50B4"/>
    <w:rsid w:val="00CD511F"/>
    <w:rsid w:val="00CD5142"/>
    <w:rsid w:val="00CD515B"/>
    <w:rsid w:val="00CD51B2"/>
    <w:rsid w:val="00CD5266"/>
    <w:rsid w:val="00CD52C1"/>
    <w:rsid w:val="00CD52D1"/>
    <w:rsid w:val="00CD5312"/>
    <w:rsid w:val="00CD536E"/>
    <w:rsid w:val="00CD539A"/>
    <w:rsid w:val="00CD53DD"/>
    <w:rsid w:val="00CD53FA"/>
    <w:rsid w:val="00CD5400"/>
    <w:rsid w:val="00CD54EF"/>
    <w:rsid w:val="00CD5516"/>
    <w:rsid w:val="00CD5519"/>
    <w:rsid w:val="00CD5548"/>
    <w:rsid w:val="00CD5552"/>
    <w:rsid w:val="00CD56DE"/>
    <w:rsid w:val="00CD56F0"/>
    <w:rsid w:val="00CD56F5"/>
    <w:rsid w:val="00CD56F6"/>
    <w:rsid w:val="00CD5709"/>
    <w:rsid w:val="00CD570C"/>
    <w:rsid w:val="00CD5710"/>
    <w:rsid w:val="00CD5732"/>
    <w:rsid w:val="00CD5797"/>
    <w:rsid w:val="00CD57A6"/>
    <w:rsid w:val="00CD57B2"/>
    <w:rsid w:val="00CD57F5"/>
    <w:rsid w:val="00CD581A"/>
    <w:rsid w:val="00CD583C"/>
    <w:rsid w:val="00CD5901"/>
    <w:rsid w:val="00CD591A"/>
    <w:rsid w:val="00CD5947"/>
    <w:rsid w:val="00CD5990"/>
    <w:rsid w:val="00CD59AB"/>
    <w:rsid w:val="00CD59BD"/>
    <w:rsid w:val="00CD5A46"/>
    <w:rsid w:val="00CD5A4A"/>
    <w:rsid w:val="00CD5A89"/>
    <w:rsid w:val="00CD5AEB"/>
    <w:rsid w:val="00CD5AF7"/>
    <w:rsid w:val="00CD5AFE"/>
    <w:rsid w:val="00CD5B7D"/>
    <w:rsid w:val="00CD5BA5"/>
    <w:rsid w:val="00CD5CA9"/>
    <w:rsid w:val="00CD5D1E"/>
    <w:rsid w:val="00CD5D29"/>
    <w:rsid w:val="00CD5E01"/>
    <w:rsid w:val="00CD5E93"/>
    <w:rsid w:val="00CD5F99"/>
    <w:rsid w:val="00CD5FDE"/>
    <w:rsid w:val="00CD6079"/>
    <w:rsid w:val="00CD607D"/>
    <w:rsid w:val="00CD60F5"/>
    <w:rsid w:val="00CD6174"/>
    <w:rsid w:val="00CD625C"/>
    <w:rsid w:val="00CD6276"/>
    <w:rsid w:val="00CD628A"/>
    <w:rsid w:val="00CD629D"/>
    <w:rsid w:val="00CD62D8"/>
    <w:rsid w:val="00CD62F3"/>
    <w:rsid w:val="00CD62FB"/>
    <w:rsid w:val="00CD6376"/>
    <w:rsid w:val="00CD6383"/>
    <w:rsid w:val="00CD63A1"/>
    <w:rsid w:val="00CD63B2"/>
    <w:rsid w:val="00CD63EF"/>
    <w:rsid w:val="00CD6418"/>
    <w:rsid w:val="00CD643F"/>
    <w:rsid w:val="00CD6449"/>
    <w:rsid w:val="00CD6536"/>
    <w:rsid w:val="00CD657D"/>
    <w:rsid w:val="00CD65AF"/>
    <w:rsid w:val="00CD65D1"/>
    <w:rsid w:val="00CD65EC"/>
    <w:rsid w:val="00CD6620"/>
    <w:rsid w:val="00CD6624"/>
    <w:rsid w:val="00CD6625"/>
    <w:rsid w:val="00CD6694"/>
    <w:rsid w:val="00CD66AA"/>
    <w:rsid w:val="00CD6710"/>
    <w:rsid w:val="00CD6768"/>
    <w:rsid w:val="00CD677E"/>
    <w:rsid w:val="00CD67C0"/>
    <w:rsid w:val="00CD682F"/>
    <w:rsid w:val="00CD686E"/>
    <w:rsid w:val="00CD68B3"/>
    <w:rsid w:val="00CD68C3"/>
    <w:rsid w:val="00CD68D3"/>
    <w:rsid w:val="00CD6909"/>
    <w:rsid w:val="00CD6912"/>
    <w:rsid w:val="00CD6925"/>
    <w:rsid w:val="00CD694C"/>
    <w:rsid w:val="00CD6A35"/>
    <w:rsid w:val="00CD6A6E"/>
    <w:rsid w:val="00CD6A9D"/>
    <w:rsid w:val="00CD6AB5"/>
    <w:rsid w:val="00CD6ADF"/>
    <w:rsid w:val="00CD6AE1"/>
    <w:rsid w:val="00CD6B25"/>
    <w:rsid w:val="00CD6B3A"/>
    <w:rsid w:val="00CD6B6A"/>
    <w:rsid w:val="00CD6B99"/>
    <w:rsid w:val="00CD6BD2"/>
    <w:rsid w:val="00CD6BE6"/>
    <w:rsid w:val="00CD6C44"/>
    <w:rsid w:val="00CD6CDC"/>
    <w:rsid w:val="00CD6D12"/>
    <w:rsid w:val="00CD6D2E"/>
    <w:rsid w:val="00CD6D3A"/>
    <w:rsid w:val="00CD6D95"/>
    <w:rsid w:val="00CD6DEE"/>
    <w:rsid w:val="00CD6E18"/>
    <w:rsid w:val="00CD6E75"/>
    <w:rsid w:val="00CD6EA3"/>
    <w:rsid w:val="00CD6ECD"/>
    <w:rsid w:val="00CD6F33"/>
    <w:rsid w:val="00CD6F88"/>
    <w:rsid w:val="00CD6FBF"/>
    <w:rsid w:val="00CD6FF8"/>
    <w:rsid w:val="00CD700D"/>
    <w:rsid w:val="00CD7011"/>
    <w:rsid w:val="00CD7029"/>
    <w:rsid w:val="00CD704E"/>
    <w:rsid w:val="00CD7059"/>
    <w:rsid w:val="00CD7062"/>
    <w:rsid w:val="00CD708A"/>
    <w:rsid w:val="00CD70B1"/>
    <w:rsid w:val="00CD70C4"/>
    <w:rsid w:val="00CD70C7"/>
    <w:rsid w:val="00CD7111"/>
    <w:rsid w:val="00CD7115"/>
    <w:rsid w:val="00CD711E"/>
    <w:rsid w:val="00CD7120"/>
    <w:rsid w:val="00CD716D"/>
    <w:rsid w:val="00CD71C8"/>
    <w:rsid w:val="00CD71E7"/>
    <w:rsid w:val="00CD720C"/>
    <w:rsid w:val="00CD7251"/>
    <w:rsid w:val="00CD728D"/>
    <w:rsid w:val="00CD72BD"/>
    <w:rsid w:val="00CD72F8"/>
    <w:rsid w:val="00CD7306"/>
    <w:rsid w:val="00CD7310"/>
    <w:rsid w:val="00CD7320"/>
    <w:rsid w:val="00CD73A4"/>
    <w:rsid w:val="00CD7420"/>
    <w:rsid w:val="00CD7440"/>
    <w:rsid w:val="00CD750C"/>
    <w:rsid w:val="00CD75B0"/>
    <w:rsid w:val="00CD75E4"/>
    <w:rsid w:val="00CD7623"/>
    <w:rsid w:val="00CD7648"/>
    <w:rsid w:val="00CD765A"/>
    <w:rsid w:val="00CD76BD"/>
    <w:rsid w:val="00CD76E1"/>
    <w:rsid w:val="00CD7708"/>
    <w:rsid w:val="00CD771E"/>
    <w:rsid w:val="00CD7731"/>
    <w:rsid w:val="00CD7747"/>
    <w:rsid w:val="00CD7752"/>
    <w:rsid w:val="00CD7756"/>
    <w:rsid w:val="00CD7770"/>
    <w:rsid w:val="00CD781E"/>
    <w:rsid w:val="00CD78CC"/>
    <w:rsid w:val="00CD7963"/>
    <w:rsid w:val="00CD79F0"/>
    <w:rsid w:val="00CD79FD"/>
    <w:rsid w:val="00CD7B47"/>
    <w:rsid w:val="00CD7B8C"/>
    <w:rsid w:val="00CD7B8F"/>
    <w:rsid w:val="00CD7B9C"/>
    <w:rsid w:val="00CD7BC8"/>
    <w:rsid w:val="00CD7C4A"/>
    <w:rsid w:val="00CD7C52"/>
    <w:rsid w:val="00CD7C77"/>
    <w:rsid w:val="00CD7CCB"/>
    <w:rsid w:val="00CD7CF1"/>
    <w:rsid w:val="00CD7D26"/>
    <w:rsid w:val="00CD7D2C"/>
    <w:rsid w:val="00CD7D3C"/>
    <w:rsid w:val="00CD7D79"/>
    <w:rsid w:val="00CD7E9F"/>
    <w:rsid w:val="00CD7F1B"/>
    <w:rsid w:val="00CD7F7E"/>
    <w:rsid w:val="00CD7FCF"/>
    <w:rsid w:val="00CD7FE3"/>
    <w:rsid w:val="00CD9245"/>
    <w:rsid w:val="00CE0034"/>
    <w:rsid w:val="00CE0059"/>
    <w:rsid w:val="00CE00E6"/>
    <w:rsid w:val="00CE010D"/>
    <w:rsid w:val="00CE0129"/>
    <w:rsid w:val="00CE019E"/>
    <w:rsid w:val="00CE01D8"/>
    <w:rsid w:val="00CE02C9"/>
    <w:rsid w:val="00CE0318"/>
    <w:rsid w:val="00CE033F"/>
    <w:rsid w:val="00CE0343"/>
    <w:rsid w:val="00CE035B"/>
    <w:rsid w:val="00CE03F6"/>
    <w:rsid w:val="00CE0407"/>
    <w:rsid w:val="00CE048E"/>
    <w:rsid w:val="00CE04D1"/>
    <w:rsid w:val="00CE04E0"/>
    <w:rsid w:val="00CE04E7"/>
    <w:rsid w:val="00CE04F2"/>
    <w:rsid w:val="00CE04F9"/>
    <w:rsid w:val="00CE050A"/>
    <w:rsid w:val="00CE0516"/>
    <w:rsid w:val="00CE0519"/>
    <w:rsid w:val="00CE0526"/>
    <w:rsid w:val="00CE0541"/>
    <w:rsid w:val="00CE0586"/>
    <w:rsid w:val="00CE0593"/>
    <w:rsid w:val="00CE05BD"/>
    <w:rsid w:val="00CE05C2"/>
    <w:rsid w:val="00CE06E8"/>
    <w:rsid w:val="00CE06ED"/>
    <w:rsid w:val="00CE06F0"/>
    <w:rsid w:val="00CE07AC"/>
    <w:rsid w:val="00CE07FF"/>
    <w:rsid w:val="00CE0800"/>
    <w:rsid w:val="00CE0866"/>
    <w:rsid w:val="00CE0884"/>
    <w:rsid w:val="00CE0887"/>
    <w:rsid w:val="00CE08F4"/>
    <w:rsid w:val="00CE097C"/>
    <w:rsid w:val="00CE097D"/>
    <w:rsid w:val="00CE0992"/>
    <w:rsid w:val="00CE0999"/>
    <w:rsid w:val="00CE09B5"/>
    <w:rsid w:val="00CE0A04"/>
    <w:rsid w:val="00CE0A1E"/>
    <w:rsid w:val="00CE0A2D"/>
    <w:rsid w:val="00CE0A65"/>
    <w:rsid w:val="00CE0A7C"/>
    <w:rsid w:val="00CE0AC6"/>
    <w:rsid w:val="00CE0ACE"/>
    <w:rsid w:val="00CE0AE3"/>
    <w:rsid w:val="00CE0B63"/>
    <w:rsid w:val="00CE0BB9"/>
    <w:rsid w:val="00CE0BC3"/>
    <w:rsid w:val="00CE0C3D"/>
    <w:rsid w:val="00CE0C42"/>
    <w:rsid w:val="00CE0C45"/>
    <w:rsid w:val="00CE0D2A"/>
    <w:rsid w:val="00CE0DAA"/>
    <w:rsid w:val="00CE0DB0"/>
    <w:rsid w:val="00CE0E09"/>
    <w:rsid w:val="00CE0E37"/>
    <w:rsid w:val="00CE0E50"/>
    <w:rsid w:val="00CE0E7F"/>
    <w:rsid w:val="00CE0E89"/>
    <w:rsid w:val="00CE0F31"/>
    <w:rsid w:val="00CE0F99"/>
    <w:rsid w:val="00CE1018"/>
    <w:rsid w:val="00CE10A0"/>
    <w:rsid w:val="00CE10D3"/>
    <w:rsid w:val="00CE10DE"/>
    <w:rsid w:val="00CE1120"/>
    <w:rsid w:val="00CE114C"/>
    <w:rsid w:val="00CE1151"/>
    <w:rsid w:val="00CE11A2"/>
    <w:rsid w:val="00CE11E3"/>
    <w:rsid w:val="00CE11F8"/>
    <w:rsid w:val="00CE124D"/>
    <w:rsid w:val="00CE1283"/>
    <w:rsid w:val="00CE12A4"/>
    <w:rsid w:val="00CE12BF"/>
    <w:rsid w:val="00CE12CB"/>
    <w:rsid w:val="00CE12EF"/>
    <w:rsid w:val="00CE1332"/>
    <w:rsid w:val="00CE1390"/>
    <w:rsid w:val="00CE1472"/>
    <w:rsid w:val="00CE1508"/>
    <w:rsid w:val="00CE1509"/>
    <w:rsid w:val="00CE1562"/>
    <w:rsid w:val="00CE15ED"/>
    <w:rsid w:val="00CE15FF"/>
    <w:rsid w:val="00CE16A7"/>
    <w:rsid w:val="00CE170C"/>
    <w:rsid w:val="00CE1790"/>
    <w:rsid w:val="00CE17F6"/>
    <w:rsid w:val="00CE18AC"/>
    <w:rsid w:val="00CE18C2"/>
    <w:rsid w:val="00CE18C4"/>
    <w:rsid w:val="00CE18CD"/>
    <w:rsid w:val="00CE18E3"/>
    <w:rsid w:val="00CE19D6"/>
    <w:rsid w:val="00CE1A7F"/>
    <w:rsid w:val="00CE1AA7"/>
    <w:rsid w:val="00CE1ACC"/>
    <w:rsid w:val="00CE1B21"/>
    <w:rsid w:val="00CE1B55"/>
    <w:rsid w:val="00CE1BBC"/>
    <w:rsid w:val="00CE1BC9"/>
    <w:rsid w:val="00CE1BEA"/>
    <w:rsid w:val="00CE1C24"/>
    <w:rsid w:val="00CE1C5A"/>
    <w:rsid w:val="00CE1C7A"/>
    <w:rsid w:val="00CE1C80"/>
    <w:rsid w:val="00CE1CBB"/>
    <w:rsid w:val="00CE1CDE"/>
    <w:rsid w:val="00CE1CE0"/>
    <w:rsid w:val="00CE1D03"/>
    <w:rsid w:val="00CE1D37"/>
    <w:rsid w:val="00CE1D8A"/>
    <w:rsid w:val="00CE1DC0"/>
    <w:rsid w:val="00CE1E2C"/>
    <w:rsid w:val="00CE1E41"/>
    <w:rsid w:val="00CE1E63"/>
    <w:rsid w:val="00CE1E71"/>
    <w:rsid w:val="00CE1F1A"/>
    <w:rsid w:val="00CE1F3E"/>
    <w:rsid w:val="00CE1F44"/>
    <w:rsid w:val="00CE1F8B"/>
    <w:rsid w:val="00CE1F9A"/>
    <w:rsid w:val="00CE1FA7"/>
    <w:rsid w:val="00CE1FC3"/>
    <w:rsid w:val="00CE208A"/>
    <w:rsid w:val="00CE20CA"/>
    <w:rsid w:val="00CE2119"/>
    <w:rsid w:val="00CE216C"/>
    <w:rsid w:val="00CE219B"/>
    <w:rsid w:val="00CE21EC"/>
    <w:rsid w:val="00CE221A"/>
    <w:rsid w:val="00CE223A"/>
    <w:rsid w:val="00CE2251"/>
    <w:rsid w:val="00CE2262"/>
    <w:rsid w:val="00CE22AC"/>
    <w:rsid w:val="00CE2341"/>
    <w:rsid w:val="00CE236D"/>
    <w:rsid w:val="00CE239C"/>
    <w:rsid w:val="00CE23A2"/>
    <w:rsid w:val="00CE2480"/>
    <w:rsid w:val="00CE248E"/>
    <w:rsid w:val="00CE24BA"/>
    <w:rsid w:val="00CE2505"/>
    <w:rsid w:val="00CE2557"/>
    <w:rsid w:val="00CE259E"/>
    <w:rsid w:val="00CE264F"/>
    <w:rsid w:val="00CE2658"/>
    <w:rsid w:val="00CE266A"/>
    <w:rsid w:val="00CE26A5"/>
    <w:rsid w:val="00CE26B1"/>
    <w:rsid w:val="00CE2702"/>
    <w:rsid w:val="00CE2705"/>
    <w:rsid w:val="00CE272D"/>
    <w:rsid w:val="00CE2759"/>
    <w:rsid w:val="00CE2770"/>
    <w:rsid w:val="00CE277C"/>
    <w:rsid w:val="00CE27C3"/>
    <w:rsid w:val="00CE27D7"/>
    <w:rsid w:val="00CE27FD"/>
    <w:rsid w:val="00CE2809"/>
    <w:rsid w:val="00CE281D"/>
    <w:rsid w:val="00CE2841"/>
    <w:rsid w:val="00CE28B1"/>
    <w:rsid w:val="00CE28E2"/>
    <w:rsid w:val="00CE28E6"/>
    <w:rsid w:val="00CE28FA"/>
    <w:rsid w:val="00CE296B"/>
    <w:rsid w:val="00CE2999"/>
    <w:rsid w:val="00CE29DD"/>
    <w:rsid w:val="00CE2AC9"/>
    <w:rsid w:val="00CE2B03"/>
    <w:rsid w:val="00CE2B07"/>
    <w:rsid w:val="00CE2B29"/>
    <w:rsid w:val="00CE2B4A"/>
    <w:rsid w:val="00CE2B52"/>
    <w:rsid w:val="00CE2B54"/>
    <w:rsid w:val="00CE2B98"/>
    <w:rsid w:val="00CE2BAD"/>
    <w:rsid w:val="00CE2C00"/>
    <w:rsid w:val="00CE2C18"/>
    <w:rsid w:val="00CE2C45"/>
    <w:rsid w:val="00CE2C8C"/>
    <w:rsid w:val="00CE2C91"/>
    <w:rsid w:val="00CE2CAD"/>
    <w:rsid w:val="00CE2CBF"/>
    <w:rsid w:val="00CE2CD2"/>
    <w:rsid w:val="00CE2D1E"/>
    <w:rsid w:val="00CE2DD0"/>
    <w:rsid w:val="00CE2DFF"/>
    <w:rsid w:val="00CE2E4E"/>
    <w:rsid w:val="00CE2E50"/>
    <w:rsid w:val="00CE2E70"/>
    <w:rsid w:val="00CE2ECE"/>
    <w:rsid w:val="00CE2EF3"/>
    <w:rsid w:val="00CE2F03"/>
    <w:rsid w:val="00CE2F31"/>
    <w:rsid w:val="00CE2F35"/>
    <w:rsid w:val="00CE2F8F"/>
    <w:rsid w:val="00CE2F9D"/>
    <w:rsid w:val="00CE2FBB"/>
    <w:rsid w:val="00CE2FFD"/>
    <w:rsid w:val="00CE300F"/>
    <w:rsid w:val="00CE304F"/>
    <w:rsid w:val="00CE3056"/>
    <w:rsid w:val="00CE3061"/>
    <w:rsid w:val="00CE307F"/>
    <w:rsid w:val="00CE3099"/>
    <w:rsid w:val="00CE30AB"/>
    <w:rsid w:val="00CE3181"/>
    <w:rsid w:val="00CE31BB"/>
    <w:rsid w:val="00CE3213"/>
    <w:rsid w:val="00CE321C"/>
    <w:rsid w:val="00CE3259"/>
    <w:rsid w:val="00CE329B"/>
    <w:rsid w:val="00CE3368"/>
    <w:rsid w:val="00CE33C0"/>
    <w:rsid w:val="00CE3417"/>
    <w:rsid w:val="00CE347C"/>
    <w:rsid w:val="00CE3480"/>
    <w:rsid w:val="00CE3492"/>
    <w:rsid w:val="00CE34A8"/>
    <w:rsid w:val="00CE34CB"/>
    <w:rsid w:val="00CE34DB"/>
    <w:rsid w:val="00CE350E"/>
    <w:rsid w:val="00CE359E"/>
    <w:rsid w:val="00CE3630"/>
    <w:rsid w:val="00CE364E"/>
    <w:rsid w:val="00CE3657"/>
    <w:rsid w:val="00CE36CE"/>
    <w:rsid w:val="00CE36FE"/>
    <w:rsid w:val="00CE374B"/>
    <w:rsid w:val="00CE3759"/>
    <w:rsid w:val="00CE37B6"/>
    <w:rsid w:val="00CE37BA"/>
    <w:rsid w:val="00CE37BD"/>
    <w:rsid w:val="00CE37E7"/>
    <w:rsid w:val="00CE380B"/>
    <w:rsid w:val="00CE3876"/>
    <w:rsid w:val="00CE3888"/>
    <w:rsid w:val="00CE38B5"/>
    <w:rsid w:val="00CE3918"/>
    <w:rsid w:val="00CE391E"/>
    <w:rsid w:val="00CE3948"/>
    <w:rsid w:val="00CE3987"/>
    <w:rsid w:val="00CE398D"/>
    <w:rsid w:val="00CE39C8"/>
    <w:rsid w:val="00CE3A0F"/>
    <w:rsid w:val="00CE3A26"/>
    <w:rsid w:val="00CE3A4F"/>
    <w:rsid w:val="00CE3A78"/>
    <w:rsid w:val="00CE3AD1"/>
    <w:rsid w:val="00CE3BD4"/>
    <w:rsid w:val="00CE3C19"/>
    <w:rsid w:val="00CE3C42"/>
    <w:rsid w:val="00CE3C60"/>
    <w:rsid w:val="00CE3C65"/>
    <w:rsid w:val="00CE3D24"/>
    <w:rsid w:val="00CE3D2B"/>
    <w:rsid w:val="00CE3D4E"/>
    <w:rsid w:val="00CE3DB6"/>
    <w:rsid w:val="00CE3DCE"/>
    <w:rsid w:val="00CE3E8F"/>
    <w:rsid w:val="00CE3E9F"/>
    <w:rsid w:val="00CE3EE6"/>
    <w:rsid w:val="00CE3F68"/>
    <w:rsid w:val="00CE3F94"/>
    <w:rsid w:val="00CE3FE4"/>
    <w:rsid w:val="00CE3FF2"/>
    <w:rsid w:val="00CE4028"/>
    <w:rsid w:val="00CE40B5"/>
    <w:rsid w:val="00CE4102"/>
    <w:rsid w:val="00CE4114"/>
    <w:rsid w:val="00CE4129"/>
    <w:rsid w:val="00CE41DE"/>
    <w:rsid w:val="00CE42DD"/>
    <w:rsid w:val="00CE42F0"/>
    <w:rsid w:val="00CE42F1"/>
    <w:rsid w:val="00CE430A"/>
    <w:rsid w:val="00CE4336"/>
    <w:rsid w:val="00CE4369"/>
    <w:rsid w:val="00CE43B1"/>
    <w:rsid w:val="00CE43D8"/>
    <w:rsid w:val="00CE4423"/>
    <w:rsid w:val="00CE444E"/>
    <w:rsid w:val="00CE4479"/>
    <w:rsid w:val="00CE4555"/>
    <w:rsid w:val="00CE4565"/>
    <w:rsid w:val="00CE4569"/>
    <w:rsid w:val="00CE459B"/>
    <w:rsid w:val="00CE460B"/>
    <w:rsid w:val="00CE4615"/>
    <w:rsid w:val="00CE463F"/>
    <w:rsid w:val="00CE4696"/>
    <w:rsid w:val="00CE46AE"/>
    <w:rsid w:val="00CE473D"/>
    <w:rsid w:val="00CE484E"/>
    <w:rsid w:val="00CE488C"/>
    <w:rsid w:val="00CE48D5"/>
    <w:rsid w:val="00CE48F6"/>
    <w:rsid w:val="00CE4903"/>
    <w:rsid w:val="00CE4909"/>
    <w:rsid w:val="00CE492A"/>
    <w:rsid w:val="00CE4936"/>
    <w:rsid w:val="00CE496D"/>
    <w:rsid w:val="00CE49BD"/>
    <w:rsid w:val="00CE49F5"/>
    <w:rsid w:val="00CE4A2F"/>
    <w:rsid w:val="00CE4A47"/>
    <w:rsid w:val="00CE4A5C"/>
    <w:rsid w:val="00CE4A69"/>
    <w:rsid w:val="00CE4ABB"/>
    <w:rsid w:val="00CE4AD9"/>
    <w:rsid w:val="00CE4ADB"/>
    <w:rsid w:val="00CE4AF1"/>
    <w:rsid w:val="00CE4B31"/>
    <w:rsid w:val="00CE4B4C"/>
    <w:rsid w:val="00CE4B78"/>
    <w:rsid w:val="00CE4B8B"/>
    <w:rsid w:val="00CE4BC6"/>
    <w:rsid w:val="00CE4BE2"/>
    <w:rsid w:val="00CE4BFF"/>
    <w:rsid w:val="00CE4CB4"/>
    <w:rsid w:val="00CE4D3E"/>
    <w:rsid w:val="00CE4D95"/>
    <w:rsid w:val="00CE4E88"/>
    <w:rsid w:val="00CE4F35"/>
    <w:rsid w:val="00CE4F38"/>
    <w:rsid w:val="00CE4F3C"/>
    <w:rsid w:val="00CE4F61"/>
    <w:rsid w:val="00CE4FA7"/>
    <w:rsid w:val="00CE4FD8"/>
    <w:rsid w:val="00CE4FF4"/>
    <w:rsid w:val="00CE500F"/>
    <w:rsid w:val="00CE5019"/>
    <w:rsid w:val="00CE5039"/>
    <w:rsid w:val="00CE50BB"/>
    <w:rsid w:val="00CE50D2"/>
    <w:rsid w:val="00CE50D8"/>
    <w:rsid w:val="00CE50DA"/>
    <w:rsid w:val="00CE5154"/>
    <w:rsid w:val="00CE519F"/>
    <w:rsid w:val="00CE51A2"/>
    <w:rsid w:val="00CE5272"/>
    <w:rsid w:val="00CE52B6"/>
    <w:rsid w:val="00CE532E"/>
    <w:rsid w:val="00CE5337"/>
    <w:rsid w:val="00CE5343"/>
    <w:rsid w:val="00CE5423"/>
    <w:rsid w:val="00CE54C9"/>
    <w:rsid w:val="00CE5558"/>
    <w:rsid w:val="00CE5559"/>
    <w:rsid w:val="00CE5575"/>
    <w:rsid w:val="00CE55AB"/>
    <w:rsid w:val="00CE5633"/>
    <w:rsid w:val="00CE5662"/>
    <w:rsid w:val="00CE5683"/>
    <w:rsid w:val="00CE56CB"/>
    <w:rsid w:val="00CE5715"/>
    <w:rsid w:val="00CE571E"/>
    <w:rsid w:val="00CE5731"/>
    <w:rsid w:val="00CE579D"/>
    <w:rsid w:val="00CE5800"/>
    <w:rsid w:val="00CE586B"/>
    <w:rsid w:val="00CE587A"/>
    <w:rsid w:val="00CE5935"/>
    <w:rsid w:val="00CE5951"/>
    <w:rsid w:val="00CE596D"/>
    <w:rsid w:val="00CE599E"/>
    <w:rsid w:val="00CE59C5"/>
    <w:rsid w:val="00CE5A10"/>
    <w:rsid w:val="00CE5A58"/>
    <w:rsid w:val="00CE5A6F"/>
    <w:rsid w:val="00CE5B1F"/>
    <w:rsid w:val="00CE5B53"/>
    <w:rsid w:val="00CE5B5D"/>
    <w:rsid w:val="00CE5BAA"/>
    <w:rsid w:val="00CE5BD7"/>
    <w:rsid w:val="00CE5BDB"/>
    <w:rsid w:val="00CE5C11"/>
    <w:rsid w:val="00CE5C16"/>
    <w:rsid w:val="00CE5C2A"/>
    <w:rsid w:val="00CE5C2C"/>
    <w:rsid w:val="00CE5C33"/>
    <w:rsid w:val="00CE5D3D"/>
    <w:rsid w:val="00CE5DB4"/>
    <w:rsid w:val="00CE5DD9"/>
    <w:rsid w:val="00CE5DDB"/>
    <w:rsid w:val="00CE5E11"/>
    <w:rsid w:val="00CE5E45"/>
    <w:rsid w:val="00CE5F69"/>
    <w:rsid w:val="00CE5FAB"/>
    <w:rsid w:val="00CE5FD4"/>
    <w:rsid w:val="00CE6042"/>
    <w:rsid w:val="00CE6075"/>
    <w:rsid w:val="00CE6078"/>
    <w:rsid w:val="00CE609F"/>
    <w:rsid w:val="00CE60A3"/>
    <w:rsid w:val="00CE60A8"/>
    <w:rsid w:val="00CE60BD"/>
    <w:rsid w:val="00CE60EE"/>
    <w:rsid w:val="00CE610C"/>
    <w:rsid w:val="00CE613F"/>
    <w:rsid w:val="00CE61A1"/>
    <w:rsid w:val="00CE61C0"/>
    <w:rsid w:val="00CE61DA"/>
    <w:rsid w:val="00CE6210"/>
    <w:rsid w:val="00CE6278"/>
    <w:rsid w:val="00CE6289"/>
    <w:rsid w:val="00CE628C"/>
    <w:rsid w:val="00CE6303"/>
    <w:rsid w:val="00CE6373"/>
    <w:rsid w:val="00CE6386"/>
    <w:rsid w:val="00CE6442"/>
    <w:rsid w:val="00CE648F"/>
    <w:rsid w:val="00CE64B0"/>
    <w:rsid w:val="00CE64F5"/>
    <w:rsid w:val="00CE6556"/>
    <w:rsid w:val="00CE6577"/>
    <w:rsid w:val="00CE6590"/>
    <w:rsid w:val="00CE6592"/>
    <w:rsid w:val="00CE65C1"/>
    <w:rsid w:val="00CE65D0"/>
    <w:rsid w:val="00CE65D8"/>
    <w:rsid w:val="00CE65F9"/>
    <w:rsid w:val="00CE6601"/>
    <w:rsid w:val="00CE6606"/>
    <w:rsid w:val="00CE6682"/>
    <w:rsid w:val="00CE66A5"/>
    <w:rsid w:val="00CE66DF"/>
    <w:rsid w:val="00CE66E4"/>
    <w:rsid w:val="00CE6710"/>
    <w:rsid w:val="00CE6749"/>
    <w:rsid w:val="00CE684A"/>
    <w:rsid w:val="00CE6888"/>
    <w:rsid w:val="00CE68D7"/>
    <w:rsid w:val="00CE69A9"/>
    <w:rsid w:val="00CE6A47"/>
    <w:rsid w:val="00CE6A59"/>
    <w:rsid w:val="00CE6A92"/>
    <w:rsid w:val="00CE6ABC"/>
    <w:rsid w:val="00CE6B14"/>
    <w:rsid w:val="00CE6B19"/>
    <w:rsid w:val="00CE6B24"/>
    <w:rsid w:val="00CE6BE9"/>
    <w:rsid w:val="00CE6C21"/>
    <w:rsid w:val="00CE6C6C"/>
    <w:rsid w:val="00CE6C73"/>
    <w:rsid w:val="00CE6C87"/>
    <w:rsid w:val="00CE6C99"/>
    <w:rsid w:val="00CE6CB8"/>
    <w:rsid w:val="00CE6CE6"/>
    <w:rsid w:val="00CE6D42"/>
    <w:rsid w:val="00CE6D8C"/>
    <w:rsid w:val="00CE6E94"/>
    <w:rsid w:val="00CE6EAD"/>
    <w:rsid w:val="00CE6EBE"/>
    <w:rsid w:val="00CE6ECA"/>
    <w:rsid w:val="00CE6EE0"/>
    <w:rsid w:val="00CE6F55"/>
    <w:rsid w:val="00CE6F83"/>
    <w:rsid w:val="00CE6F8D"/>
    <w:rsid w:val="00CE6FB3"/>
    <w:rsid w:val="00CE6FD9"/>
    <w:rsid w:val="00CE700C"/>
    <w:rsid w:val="00CE7034"/>
    <w:rsid w:val="00CE703E"/>
    <w:rsid w:val="00CE704F"/>
    <w:rsid w:val="00CE7072"/>
    <w:rsid w:val="00CE7081"/>
    <w:rsid w:val="00CE70AD"/>
    <w:rsid w:val="00CE70B1"/>
    <w:rsid w:val="00CE70CE"/>
    <w:rsid w:val="00CE710D"/>
    <w:rsid w:val="00CE7134"/>
    <w:rsid w:val="00CE7139"/>
    <w:rsid w:val="00CE713D"/>
    <w:rsid w:val="00CE7160"/>
    <w:rsid w:val="00CE7190"/>
    <w:rsid w:val="00CE71A1"/>
    <w:rsid w:val="00CE71B2"/>
    <w:rsid w:val="00CE71DE"/>
    <w:rsid w:val="00CE728E"/>
    <w:rsid w:val="00CE7297"/>
    <w:rsid w:val="00CE729D"/>
    <w:rsid w:val="00CE72F1"/>
    <w:rsid w:val="00CE7330"/>
    <w:rsid w:val="00CE73BC"/>
    <w:rsid w:val="00CE7405"/>
    <w:rsid w:val="00CE742F"/>
    <w:rsid w:val="00CE7442"/>
    <w:rsid w:val="00CE7484"/>
    <w:rsid w:val="00CE74FF"/>
    <w:rsid w:val="00CE7557"/>
    <w:rsid w:val="00CE7560"/>
    <w:rsid w:val="00CE7584"/>
    <w:rsid w:val="00CE7589"/>
    <w:rsid w:val="00CE76A7"/>
    <w:rsid w:val="00CE76BE"/>
    <w:rsid w:val="00CE76CC"/>
    <w:rsid w:val="00CE76E7"/>
    <w:rsid w:val="00CE7723"/>
    <w:rsid w:val="00CE7811"/>
    <w:rsid w:val="00CE786C"/>
    <w:rsid w:val="00CE7890"/>
    <w:rsid w:val="00CE7896"/>
    <w:rsid w:val="00CE78A0"/>
    <w:rsid w:val="00CE78E4"/>
    <w:rsid w:val="00CE7904"/>
    <w:rsid w:val="00CE7968"/>
    <w:rsid w:val="00CE7991"/>
    <w:rsid w:val="00CE7A4D"/>
    <w:rsid w:val="00CE7A9E"/>
    <w:rsid w:val="00CE7AC4"/>
    <w:rsid w:val="00CE7AEA"/>
    <w:rsid w:val="00CE7B32"/>
    <w:rsid w:val="00CE7B45"/>
    <w:rsid w:val="00CE7B69"/>
    <w:rsid w:val="00CE7B6E"/>
    <w:rsid w:val="00CE7B79"/>
    <w:rsid w:val="00CE7BAB"/>
    <w:rsid w:val="00CE7BD9"/>
    <w:rsid w:val="00CE7C07"/>
    <w:rsid w:val="00CE7C17"/>
    <w:rsid w:val="00CE7C19"/>
    <w:rsid w:val="00CE7C4F"/>
    <w:rsid w:val="00CE7C50"/>
    <w:rsid w:val="00CE7C6D"/>
    <w:rsid w:val="00CE7C7A"/>
    <w:rsid w:val="00CE7C7F"/>
    <w:rsid w:val="00CE7C98"/>
    <w:rsid w:val="00CE7C99"/>
    <w:rsid w:val="00CE7CCA"/>
    <w:rsid w:val="00CE7CFD"/>
    <w:rsid w:val="00CE7D07"/>
    <w:rsid w:val="00CE7D3D"/>
    <w:rsid w:val="00CE7D89"/>
    <w:rsid w:val="00CE7DAD"/>
    <w:rsid w:val="00CE7DBC"/>
    <w:rsid w:val="00CE7DD5"/>
    <w:rsid w:val="00CE7DD9"/>
    <w:rsid w:val="00CE7E61"/>
    <w:rsid w:val="00CE7EA5"/>
    <w:rsid w:val="00CE7FE7"/>
    <w:rsid w:val="00CEC3D4"/>
    <w:rsid w:val="00CF0018"/>
    <w:rsid w:val="00CF0030"/>
    <w:rsid w:val="00CF0054"/>
    <w:rsid w:val="00CF0062"/>
    <w:rsid w:val="00CF00DE"/>
    <w:rsid w:val="00CF0118"/>
    <w:rsid w:val="00CF01C6"/>
    <w:rsid w:val="00CF01EA"/>
    <w:rsid w:val="00CF0265"/>
    <w:rsid w:val="00CF02C3"/>
    <w:rsid w:val="00CF032E"/>
    <w:rsid w:val="00CF0338"/>
    <w:rsid w:val="00CF037F"/>
    <w:rsid w:val="00CF03FF"/>
    <w:rsid w:val="00CF04C6"/>
    <w:rsid w:val="00CF055B"/>
    <w:rsid w:val="00CF056C"/>
    <w:rsid w:val="00CF05B4"/>
    <w:rsid w:val="00CF0625"/>
    <w:rsid w:val="00CF0660"/>
    <w:rsid w:val="00CF0661"/>
    <w:rsid w:val="00CF0671"/>
    <w:rsid w:val="00CF068C"/>
    <w:rsid w:val="00CF06CC"/>
    <w:rsid w:val="00CF0714"/>
    <w:rsid w:val="00CF071C"/>
    <w:rsid w:val="00CF0788"/>
    <w:rsid w:val="00CF07B2"/>
    <w:rsid w:val="00CF07DA"/>
    <w:rsid w:val="00CF08F6"/>
    <w:rsid w:val="00CF0907"/>
    <w:rsid w:val="00CF097B"/>
    <w:rsid w:val="00CF09D7"/>
    <w:rsid w:val="00CF0A05"/>
    <w:rsid w:val="00CF0A4C"/>
    <w:rsid w:val="00CF0A82"/>
    <w:rsid w:val="00CF0AB9"/>
    <w:rsid w:val="00CF0AE9"/>
    <w:rsid w:val="00CF0AEA"/>
    <w:rsid w:val="00CF0B09"/>
    <w:rsid w:val="00CF0B5C"/>
    <w:rsid w:val="00CF0B7B"/>
    <w:rsid w:val="00CF0BBB"/>
    <w:rsid w:val="00CF0BDC"/>
    <w:rsid w:val="00CF0C43"/>
    <w:rsid w:val="00CF0C4D"/>
    <w:rsid w:val="00CF0C67"/>
    <w:rsid w:val="00CF0C7A"/>
    <w:rsid w:val="00CF0D07"/>
    <w:rsid w:val="00CF0DC8"/>
    <w:rsid w:val="00CF0DED"/>
    <w:rsid w:val="00CF0E34"/>
    <w:rsid w:val="00CF0E43"/>
    <w:rsid w:val="00CF0E66"/>
    <w:rsid w:val="00CF0EAD"/>
    <w:rsid w:val="00CF0EC1"/>
    <w:rsid w:val="00CF0ED5"/>
    <w:rsid w:val="00CF0EE7"/>
    <w:rsid w:val="00CF0F1F"/>
    <w:rsid w:val="00CF0F52"/>
    <w:rsid w:val="00CF0F54"/>
    <w:rsid w:val="00CF0F8B"/>
    <w:rsid w:val="00CF0FDD"/>
    <w:rsid w:val="00CF0FEB"/>
    <w:rsid w:val="00CF1066"/>
    <w:rsid w:val="00CF1083"/>
    <w:rsid w:val="00CF1095"/>
    <w:rsid w:val="00CF10B4"/>
    <w:rsid w:val="00CF1153"/>
    <w:rsid w:val="00CF115C"/>
    <w:rsid w:val="00CF1169"/>
    <w:rsid w:val="00CF11B5"/>
    <w:rsid w:val="00CF11D0"/>
    <w:rsid w:val="00CF123C"/>
    <w:rsid w:val="00CF1241"/>
    <w:rsid w:val="00CF1245"/>
    <w:rsid w:val="00CF1286"/>
    <w:rsid w:val="00CF1308"/>
    <w:rsid w:val="00CF1323"/>
    <w:rsid w:val="00CF1355"/>
    <w:rsid w:val="00CF13B1"/>
    <w:rsid w:val="00CF13D5"/>
    <w:rsid w:val="00CF1427"/>
    <w:rsid w:val="00CF143F"/>
    <w:rsid w:val="00CF14AB"/>
    <w:rsid w:val="00CF14BB"/>
    <w:rsid w:val="00CF1519"/>
    <w:rsid w:val="00CF1562"/>
    <w:rsid w:val="00CF15EC"/>
    <w:rsid w:val="00CF1660"/>
    <w:rsid w:val="00CF1690"/>
    <w:rsid w:val="00CF16AF"/>
    <w:rsid w:val="00CF16BB"/>
    <w:rsid w:val="00CF16CC"/>
    <w:rsid w:val="00CF16F4"/>
    <w:rsid w:val="00CF1709"/>
    <w:rsid w:val="00CF170D"/>
    <w:rsid w:val="00CF17EC"/>
    <w:rsid w:val="00CF181A"/>
    <w:rsid w:val="00CF1864"/>
    <w:rsid w:val="00CF18AB"/>
    <w:rsid w:val="00CF18BE"/>
    <w:rsid w:val="00CF191A"/>
    <w:rsid w:val="00CF192C"/>
    <w:rsid w:val="00CF1930"/>
    <w:rsid w:val="00CF195F"/>
    <w:rsid w:val="00CF19ED"/>
    <w:rsid w:val="00CF1A36"/>
    <w:rsid w:val="00CF1A48"/>
    <w:rsid w:val="00CF1A8A"/>
    <w:rsid w:val="00CF1AAE"/>
    <w:rsid w:val="00CF1B13"/>
    <w:rsid w:val="00CF1B17"/>
    <w:rsid w:val="00CF1BBB"/>
    <w:rsid w:val="00CF1BCB"/>
    <w:rsid w:val="00CF1C10"/>
    <w:rsid w:val="00CF1C42"/>
    <w:rsid w:val="00CF1CCC"/>
    <w:rsid w:val="00CF1D01"/>
    <w:rsid w:val="00CF1D08"/>
    <w:rsid w:val="00CF1D31"/>
    <w:rsid w:val="00CF1D4D"/>
    <w:rsid w:val="00CF1D5D"/>
    <w:rsid w:val="00CF1D7D"/>
    <w:rsid w:val="00CF1D98"/>
    <w:rsid w:val="00CF1DAE"/>
    <w:rsid w:val="00CF1E5E"/>
    <w:rsid w:val="00CF1E67"/>
    <w:rsid w:val="00CF1EB5"/>
    <w:rsid w:val="00CF1ECE"/>
    <w:rsid w:val="00CF1F16"/>
    <w:rsid w:val="00CF1FC0"/>
    <w:rsid w:val="00CF200C"/>
    <w:rsid w:val="00CF2028"/>
    <w:rsid w:val="00CF2071"/>
    <w:rsid w:val="00CF2114"/>
    <w:rsid w:val="00CF2119"/>
    <w:rsid w:val="00CF2145"/>
    <w:rsid w:val="00CF2186"/>
    <w:rsid w:val="00CF21C6"/>
    <w:rsid w:val="00CF2209"/>
    <w:rsid w:val="00CF2272"/>
    <w:rsid w:val="00CF22B4"/>
    <w:rsid w:val="00CF2350"/>
    <w:rsid w:val="00CF2353"/>
    <w:rsid w:val="00CF2356"/>
    <w:rsid w:val="00CF2376"/>
    <w:rsid w:val="00CF23AC"/>
    <w:rsid w:val="00CF23BD"/>
    <w:rsid w:val="00CF23C3"/>
    <w:rsid w:val="00CF23D0"/>
    <w:rsid w:val="00CF240C"/>
    <w:rsid w:val="00CF240E"/>
    <w:rsid w:val="00CF2469"/>
    <w:rsid w:val="00CF24AD"/>
    <w:rsid w:val="00CF24CD"/>
    <w:rsid w:val="00CF24E9"/>
    <w:rsid w:val="00CF2522"/>
    <w:rsid w:val="00CF2551"/>
    <w:rsid w:val="00CF2591"/>
    <w:rsid w:val="00CF25AA"/>
    <w:rsid w:val="00CF2628"/>
    <w:rsid w:val="00CF2635"/>
    <w:rsid w:val="00CF264A"/>
    <w:rsid w:val="00CF2675"/>
    <w:rsid w:val="00CF26CD"/>
    <w:rsid w:val="00CF2766"/>
    <w:rsid w:val="00CF2797"/>
    <w:rsid w:val="00CF2799"/>
    <w:rsid w:val="00CF27A3"/>
    <w:rsid w:val="00CF27BA"/>
    <w:rsid w:val="00CF285E"/>
    <w:rsid w:val="00CF2904"/>
    <w:rsid w:val="00CF2936"/>
    <w:rsid w:val="00CF2997"/>
    <w:rsid w:val="00CF29A2"/>
    <w:rsid w:val="00CF29A6"/>
    <w:rsid w:val="00CF2A0C"/>
    <w:rsid w:val="00CF2A5D"/>
    <w:rsid w:val="00CF2AB0"/>
    <w:rsid w:val="00CF2B3B"/>
    <w:rsid w:val="00CF2B4E"/>
    <w:rsid w:val="00CF2B76"/>
    <w:rsid w:val="00CF2B84"/>
    <w:rsid w:val="00CF2BA4"/>
    <w:rsid w:val="00CF2BA8"/>
    <w:rsid w:val="00CF2BDC"/>
    <w:rsid w:val="00CF2CAE"/>
    <w:rsid w:val="00CF2D32"/>
    <w:rsid w:val="00CF2D34"/>
    <w:rsid w:val="00CF2DA7"/>
    <w:rsid w:val="00CF2E36"/>
    <w:rsid w:val="00CF2E89"/>
    <w:rsid w:val="00CF2FFC"/>
    <w:rsid w:val="00CF301E"/>
    <w:rsid w:val="00CF303A"/>
    <w:rsid w:val="00CF3043"/>
    <w:rsid w:val="00CF304E"/>
    <w:rsid w:val="00CF305A"/>
    <w:rsid w:val="00CF307A"/>
    <w:rsid w:val="00CF30AE"/>
    <w:rsid w:val="00CF3117"/>
    <w:rsid w:val="00CF3132"/>
    <w:rsid w:val="00CF3169"/>
    <w:rsid w:val="00CF31C4"/>
    <w:rsid w:val="00CF31CC"/>
    <w:rsid w:val="00CF31DC"/>
    <w:rsid w:val="00CF31E6"/>
    <w:rsid w:val="00CF320C"/>
    <w:rsid w:val="00CF32F3"/>
    <w:rsid w:val="00CF32F7"/>
    <w:rsid w:val="00CF333F"/>
    <w:rsid w:val="00CF3364"/>
    <w:rsid w:val="00CF33C6"/>
    <w:rsid w:val="00CF33DF"/>
    <w:rsid w:val="00CF3428"/>
    <w:rsid w:val="00CF342B"/>
    <w:rsid w:val="00CF344F"/>
    <w:rsid w:val="00CF3453"/>
    <w:rsid w:val="00CF34A0"/>
    <w:rsid w:val="00CF34ED"/>
    <w:rsid w:val="00CF354D"/>
    <w:rsid w:val="00CF3556"/>
    <w:rsid w:val="00CF356C"/>
    <w:rsid w:val="00CF358E"/>
    <w:rsid w:val="00CF35CD"/>
    <w:rsid w:val="00CF35D8"/>
    <w:rsid w:val="00CF3600"/>
    <w:rsid w:val="00CF364B"/>
    <w:rsid w:val="00CF364E"/>
    <w:rsid w:val="00CF365B"/>
    <w:rsid w:val="00CF3660"/>
    <w:rsid w:val="00CF368F"/>
    <w:rsid w:val="00CF36C7"/>
    <w:rsid w:val="00CF36D7"/>
    <w:rsid w:val="00CF3736"/>
    <w:rsid w:val="00CF375A"/>
    <w:rsid w:val="00CF377C"/>
    <w:rsid w:val="00CF3788"/>
    <w:rsid w:val="00CF37AA"/>
    <w:rsid w:val="00CF37C8"/>
    <w:rsid w:val="00CF3842"/>
    <w:rsid w:val="00CF3846"/>
    <w:rsid w:val="00CF388E"/>
    <w:rsid w:val="00CF3914"/>
    <w:rsid w:val="00CF3938"/>
    <w:rsid w:val="00CF395F"/>
    <w:rsid w:val="00CF39DC"/>
    <w:rsid w:val="00CF39E1"/>
    <w:rsid w:val="00CF3A1A"/>
    <w:rsid w:val="00CF3A41"/>
    <w:rsid w:val="00CF3AB3"/>
    <w:rsid w:val="00CF3B8D"/>
    <w:rsid w:val="00CF3BB7"/>
    <w:rsid w:val="00CF3BC8"/>
    <w:rsid w:val="00CF3BC9"/>
    <w:rsid w:val="00CF3C53"/>
    <w:rsid w:val="00CF3CB1"/>
    <w:rsid w:val="00CF3CB4"/>
    <w:rsid w:val="00CF3CDE"/>
    <w:rsid w:val="00CF3CE7"/>
    <w:rsid w:val="00CF3D15"/>
    <w:rsid w:val="00CF3D83"/>
    <w:rsid w:val="00CF3D88"/>
    <w:rsid w:val="00CF3D8A"/>
    <w:rsid w:val="00CF3DA3"/>
    <w:rsid w:val="00CF3DC5"/>
    <w:rsid w:val="00CF3DCE"/>
    <w:rsid w:val="00CF3DED"/>
    <w:rsid w:val="00CF3E0D"/>
    <w:rsid w:val="00CF3E3F"/>
    <w:rsid w:val="00CF3E52"/>
    <w:rsid w:val="00CF3E85"/>
    <w:rsid w:val="00CF3EA3"/>
    <w:rsid w:val="00CF3EE5"/>
    <w:rsid w:val="00CF3EFA"/>
    <w:rsid w:val="00CF3F05"/>
    <w:rsid w:val="00CF3FA4"/>
    <w:rsid w:val="00CF4001"/>
    <w:rsid w:val="00CF4034"/>
    <w:rsid w:val="00CF4038"/>
    <w:rsid w:val="00CF4080"/>
    <w:rsid w:val="00CF40B1"/>
    <w:rsid w:val="00CF4116"/>
    <w:rsid w:val="00CF411B"/>
    <w:rsid w:val="00CF414B"/>
    <w:rsid w:val="00CF41AA"/>
    <w:rsid w:val="00CF41B0"/>
    <w:rsid w:val="00CF41EC"/>
    <w:rsid w:val="00CF4224"/>
    <w:rsid w:val="00CF42A7"/>
    <w:rsid w:val="00CF42AE"/>
    <w:rsid w:val="00CF42B8"/>
    <w:rsid w:val="00CF42CF"/>
    <w:rsid w:val="00CF4312"/>
    <w:rsid w:val="00CF436C"/>
    <w:rsid w:val="00CF43CC"/>
    <w:rsid w:val="00CF43EA"/>
    <w:rsid w:val="00CF43FA"/>
    <w:rsid w:val="00CF440F"/>
    <w:rsid w:val="00CF4417"/>
    <w:rsid w:val="00CF4474"/>
    <w:rsid w:val="00CF447B"/>
    <w:rsid w:val="00CF44DA"/>
    <w:rsid w:val="00CF44E5"/>
    <w:rsid w:val="00CF44EC"/>
    <w:rsid w:val="00CF453D"/>
    <w:rsid w:val="00CF458D"/>
    <w:rsid w:val="00CF45EF"/>
    <w:rsid w:val="00CF4627"/>
    <w:rsid w:val="00CF464B"/>
    <w:rsid w:val="00CF46BC"/>
    <w:rsid w:val="00CF476C"/>
    <w:rsid w:val="00CF479F"/>
    <w:rsid w:val="00CF47E7"/>
    <w:rsid w:val="00CF4824"/>
    <w:rsid w:val="00CF484B"/>
    <w:rsid w:val="00CF486F"/>
    <w:rsid w:val="00CF4988"/>
    <w:rsid w:val="00CF498E"/>
    <w:rsid w:val="00CF4996"/>
    <w:rsid w:val="00CF49C2"/>
    <w:rsid w:val="00CF4A14"/>
    <w:rsid w:val="00CF4A21"/>
    <w:rsid w:val="00CF4A3D"/>
    <w:rsid w:val="00CF4A9E"/>
    <w:rsid w:val="00CF4AE9"/>
    <w:rsid w:val="00CF4B1C"/>
    <w:rsid w:val="00CF4B35"/>
    <w:rsid w:val="00CF4B4C"/>
    <w:rsid w:val="00CF4B88"/>
    <w:rsid w:val="00CF4BB8"/>
    <w:rsid w:val="00CF4BD9"/>
    <w:rsid w:val="00CF4BE0"/>
    <w:rsid w:val="00CF4C5F"/>
    <w:rsid w:val="00CF4C78"/>
    <w:rsid w:val="00CF4C8B"/>
    <w:rsid w:val="00CF4CFD"/>
    <w:rsid w:val="00CF4D0C"/>
    <w:rsid w:val="00CF4D41"/>
    <w:rsid w:val="00CF4D47"/>
    <w:rsid w:val="00CF4D7C"/>
    <w:rsid w:val="00CF4D7F"/>
    <w:rsid w:val="00CF4DA4"/>
    <w:rsid w:val="00CF4E74"/>
    <w:rsid w:val="00CF4E77"/>
    <w:rsid w:val="00CF4E80"/>
    <w:rsid w:val="00CF4E8F"/>
    <w:rsid w:val="00CF4EA0"/>
    <w:rsid w:val="00CF4EB8"/>
    <w:rsid w:val="00CF4F3D"/>
    <w:rsid w:val="00CF4F40"/>
    <w:rsid w:val="00CF4FE6"/>
    <w:rsid w:val="00CF5023"/>
    <w:rsid w:val="00CF504B"/>
    <w:rsid w:val="00CF5056"/>
    <w:rsid w:val="00CF5069"/>
    <w:rsid w:val="00CF509B"/>
    <w:rsid w:val="00CF50F0"/>
    <w:rsid w:val="00CF5101"/>
    <w:rsid w:val="00CF510A"/>
    <w:rsid w:val="00CF512C"/>
    <w:rsid w:val="00CF513B"/>
    <w:rsid w:val="00CF515F"/>
    <w:rsid w:val="00CF5163"/>
    <w:rsid w:val="00CF516D"/>
    <w:rsid w:val="00CF5173"/>
    <w:rsid w:val="00CF5189"/>
    <w:rsid w:val="00CF51DC"/>
    <w:rsid w:val="00CF51E3"/>
    <w:rsid w:val="00CF525A"/>
    <w:rsid w:val="00CF529A"/>
    <w:rsid w:val="00CF530D"/>
    <w:rsid w:val="00CF5310"/>
    <w:rsid w:val="00CF537A"/>
    <w:rsid w:val="00CF537D"/>
    <w:rsid w:val="00CF537E"/>
    <w:rsid w:val="00CF53CF"/>
    <w:rsid w:val="00CF53D6"/>
    <w:rsid w:val="00CF5407"/>
    <w:rsid w:val="00CF5420"/>
    <w:rsid w:val="00CF5439"/>
    <w:rsid w:val="00CF5470"/>
    <w:rsid w:val="00CF54F2"/>
    <w:rsid w:val="00CF5522"/>
    <w:rsid w:val="00CF5547"/>
    <w:rsid w:val="00CF55DB"/>
    <w:rsid w:val="00CF560E"/>
    <w:rsid w:val="00CF5613"/>
    <w:rsid w:val="00CF5627"/>
    <w:rsid w:val="00CF5664"/>
    <w:rsid w:val="00CF569A"/>
    <w:rsid w:val="00CF56CC"/>
    <w:rsid w:val="00CF56EB"/>
    <w:rsid w:val="00CF5726"/>
    <w:rsid w:val="00CF5756"/>
    <w:rsid w:val="00CF5772"/>
    <w:rsid w:val="00CF577C"/>
    <w:rsid w:val="00CF579E"/>
    <w:rsid w:val="00CF57AE"/>
    <w:rsid w:val="00CF57B3"/>
    <w:rsid w:val="00CF587F"/>
    <w:rsid w:val="00CF5891"/>
    <w:rsid w:val="00CF58D1"/>
    <w:rsid w:val="00CF5911"/>
    <w:rsid w:val="00CF5923"/>
    <w:rsid w:val="00CF596F"/>
    <w:rsid w:val="00CF59BE"/>
    <w:rsid w:val="00CF59C5"/>
    <w:rsid w:val="00CF5A18"/>
    <w:rsid w:val="00CF5A67"/>
    <w:rsid w:val="00CF5AC7"/>
    <w:rsid w:val="00CF5B49"/>
    <w:rsid w:val="00CF5B5E"/>
    <w:rsid w:val="00CF5B67"/>
    <w:rsid w:val="00CF5BE2"/>
    <w:rsid w:val="00CF5C0D"/>
    <w:rsid w:val="00CF5C3F"/>
    <w:rsid w:val="00CF5CF1"/>
    <w:rsid w:val="00CF5D23"/>
    <w:rsid w:val="00CF5D33"/>
    <w:rsid w:val="00CF5D71"/>
    <w:rsid w:val="00CF5D79"/>
    <w:rsid w:val="00CF5DAA"/>
    <w:rsid w:val="00CF5E15"/>
    <w:rsid w:val="00CF5E3F"/>
    <w:rsid w:val="00CF5E91"/>
    <w:rsid w:val="00CF5EA6"/>
    <w:rsid w:val="00CF5EE1"/>
    <w:rsid w:val="00CF5F04"/>
    <w:rsid w:val="00CF5F78"/>
    <w:rsid w:val="00CF5FB1"/>
    <w:rsid w:val="00CF5FB2"/>
    <w:rsid w:val="00CF5FE4"/>
    <w:rsid w:val="00CF6017"/>
    <w:rsid w:val="00CF601E"/>
    <w:rsid w:val="00CF6022"/>
    <w:rsid w:val="00CF6033"/>
    <w:rsid w:val="00CF6039"/>
    <w:rsid w:val="00CF6064"/>
    <w:rsid w:val="00CF60C7"/>
    <w:rsid w:val="00CF6132"/>
    <w:rsid w:val="00CF6185"/>
    <w:rsid w:val="00CF6247"/>
    <w:rsid w:val="00CF628E"/>
    <w:rsid w:val="00CF6290"/>
    <w:rsid w:val="00CF62B0"/>
    <w:rsid w:val="00CF6326"/>
    <w:rsid w:val="00CF6345"/>
    <w:rsid w:val="00CF6347"/>
    <w:rsid w:val="00CF6396"/>
    <w:rsid w:val="00CF63A3"/>
    <w:rsid w:val="00CF63B7"/>
    <w:rsid w:val="00CF63CB"/>
    <w:rsid w:val="00CF6402"/>
    <w:rsid w:val="00CF6403"/>
    <w:rsid w:val="00CF6425"/>
    <w:rsid w:val="00CF6453"/>
    <w:rsid w:val="00CF64A9"/>
    <w:rsid w:val="00CF64AD"/>
    <w:rsid w:val="00CF64E4"/>
    <w:rsid w:val="00CF64F2"/>
    <w:rsid w:val="00CF652C"/>
    <w:rsid w:val="00CF654E"/>
    <w:rsid w:val="00CF65D9"/>
    <w:rsid w:val="00CF65E6"/>
    <w:rsid w:val="00CF661B"/>
    <w:rsid w:val="00CF6657"/>
    <w:rsid w:val="00CF6692"/>
    <w:rsid w:val="00CF66A2"/>
    <w:rsid w:val="00CF66AA"/>
    <w:rsid w:val="00CF66B4"/>
    <w:rsid w:val="00CF66DF"/>
    <w:rsid w:val="00CF6703"/>
    <w:rsid w:val="00CF671D"/>
    <w:rsid w:val="00CF6728"/>
    <w:rsid w:val="00CF6744"/>
    <w:rsid w:val="00CF6768"/>
    <w:rsid w:val="00CF67CB"/>
    <w:rsid w:val="00CF68C1"/>
    <w:rsid w:val="00CF6900"/>
    <w:rsid w:val="00CF6924"/>
    <w:rsid w:val="00CF694A"/>
    <w:rsid w:val="00CF6960"/>
    <w:rsid w:val="00CF698A"/>
    <w:rsid w:val="00CF69B3"/>
    <w:rsid w:val="00CF6BDC"/>
    <w:rsid w:val="00CF6BE0"/>
    <w:rsid w:val="00CF6C2F"/>
    <w:rsid w:val="00CF6C80"/>
    <w:rsid w:val="00CF6D25"/>
    <w:rsid w:val="00CF6D27"/>
    <w:rsid w:val="00CF6D2F"/>
    <w:rsid w:val="00CF6D30"/>
    <w:rsid w:val="00CF6E3A"/>
    <w:rsid w:val="00CF6E40"/>
    <w:rsid w:val="00CF6E70"/>
    <w:rsid w:val="00CF6E71"/>
    <w:rsid w:val="00CF6ED3"/>
    <w:rsid w:val="00CF6EFB"/>
    <w:rsid w:val="00CF6F00"/>
    <w:rsid w:val="00CF6F5E"/>
    <w:rsid w:val="00CF6F69"/>
    <w:rsid w:val="00CF6FD0"/>
    <w:rsid w:val="00CF6FF5"/>
    <w:rsid w:val="00CF7063"/>
    <w:rsid w:val="00CF7072"/>
    <w:rsid w:val="00CF7109"/>
    <w:rsid w:val="00CF713B"/>
    <w:rsid w:val="00CF7172"/>
    <w:rsid w:val="00CF717F"/>
    <w:rsid w:val="00CF7189"/>
    <w:rsid w:val="00CF7192"/>
    <w:rsid w:val="00CF71BC"/>
    <w:rsid w:val="00CF71C8"/>
    <w:rsid w:val="00CF71CB"/>
    <w:rsid w:val="00CF71CF"/>
    <w:rsid w:val="00CF720F"/>
    <w:rsid w:val="00CF7248"/>
    <w:rsid w:val="00CF72AD"/>
    <w:rsid w:val="00CF7302"/>
    <w:rsid w:val="00CF732B"/>
    <w:rsid w:val="00CF7336"/>
    <w:rsid w:val="00CF7342"/>
    <w:rsid w:val="00CF73B8"/>
    <w:rsid w:val="00CF73BE"/>
    <w:rsid w:val="00CF74BE"/>
    <w:rsid w:val="00CF751A"/>
    <w:rsid w:val="00CF751F"/>
    <w:rsid w:val="00CF7568"/>
    <w:rsid w:val="00CF75BC"/>
    <w:rsid w:val="00CF7618"/>
    <w:rsid w:val="00CF76ED"/>
    <w:rsid w:val="00CF76EF"/>
    <w:rsid w:val="00CF7754"/>
    <w:rsid w:val="00CF7776"/>
    <w:rsid w:val="00CF77E5"/>
    <w:rsid w:val="00CF7821"/>
    <w:rsid w:val="00CF7890"/>
    <w:rsid w:val="00CF78CA"/>
    <w:rsid w:val="00CF7941"/>
    <w:rsid w:val="00CF797E"/>
    <w:rsid w:val="00CF799D"/>
    <w:rsid w:val="00CF79C2"/>
    <w:rsid w:val="00CF7A36"/>
    <w:rsid w:val="00CF7A4E"/>
    <w:rsid w:val="00CF7A57"/>
    <w:rsid w:val="00CF7A89"/>
    <w:rsid w:val="00CF7AD4"/>
    <w:rsid w:val="00CF7B11"/>
    <w:rsid w:val="00CF7B6A"/>
    <w:rsid w:val="00CF7B73"/>
    <w:rsid w:val="00CF7B7E"/>
    <w:rsid w:val="00CF7BB0"/>
    <w:rsid w:val="00CF7BD9"/>
    <w:rsid w:val="00CF7C21"/>
    <w:rsid w:val="00CF7C36"/>
    <w:rsid w:val="00CF7C64"/>
    <w:rsid w:val="00CF7CE1"/>
    <w:rsid w:val="00CF7CF8"/>
    <w:rsid w:val="00CF7CFE"/>
    <w:rsid w:val="00CF7D1D"/>
    <w:rsid w:val="00CF7DC1"/>
    <w:rsid w:val="00CF7DC2"/>
    <w:rsid w:val="00CF7E1C"/>
    <w:rsid w:val="00CF7E54"/>
    <w:rsid w:val="00CF7E6C"/>
    <w:rsid w:val="00CF7EFD"/>
    <w:rsid w:val="00CF7F3D"/>
    <w:rsid w:val="00CF7F4C"/>
    <w:rsid w:val="00CF7F51"/>
    <w:rsid w:val="00CF7F54"/>
    <w:rsid w:val="00CF7F67"/>
    <w:rsid w:val="00CF7F72"/>
    <w:rsid w:val="00CF7FEB"/>
    <w:rsid w:val="00CF9896"/>
    <w:rsid w:val="00D00018"/>
    <w:rsid w:val="00D00076"/>
    <w:rsid w:val="00D000D4"/>
    <w:rsid w:val="00D000D7"/>
    <w:rsid w:val="00D000F0"/>
    <w:rsid w:val="00D0010B"/>
    <w:rsid w:val="00D001AD"/>
    <w:rsid w:val="00D001EC"/>
    <w:rsid w:val="00D001F6"/>
    <w:rsid w:val="00D0022C"/>
    <w:rsid w:val="00D00277"/>
    <w:rsid w:val="00D002B8"/>
    <w:rsid w:val="00D0030A"/>
    <w:rsid w:val="00D00376"/>
    <w:rsid w:val="00D003B2"/>
    <w:rsid w:val="00D003C7"/>
    <w:rsid w:val="00D003DE"/>
    <w:rsid w:val="00D003E2"/>
    <w:rsid w:val="00D004B8"/>
    <w:rsid w:val="00D004C5"/>
    <w:rsid w:val="00D004CF"/>
    <w:rsid w:val="00D004E0"/>
    <w:rsid w:val="00D004F4"/>
    <w:rsid w:val="00D00513"/>
    <w:rsid w:val="00D00530"/>
    <w:rsid w:val="00D00555"/>
    <w:rsid w:val="00D0055C"/>
    <w:rsid w:val="00D00575"/>
    <w:rsid w:val="00D0063D"/>
    <w:rsid w:val="00D00663"/>
    <w:rsid w:val="00D00743"/>
    <w:rsid w:val="00D007A3"/>
    <w:rsid w:val="00D007AF"/>
    <w:rsid w:val="00D00824"/>
    <w:rsid w:val="00D0086A"/>
    <w:rsid w:val="00D0089B"/>
    <w:rsid w:val="00D008AE"/>
    <w:rsid w:val="00D00900"/>
    <w:rsid w:val="00D0093B"/>
    <w:rsid w:val="00D00942"/>
    <w:rsid w:val="00D0094C"/>
    <w:rsid w:val="00D00950"/>
    <w:rsid w:val="00D009B7"/>
    <w:rsid w:val="00D009D9"/>
    <w:rsid w:val="00D00A23"/>
    <w:rsid w:val="00D00A7C"/>
    <w:rsid w:val="00D00AE8"/>
    <w:rsid w:val="00D00B09"/>
    <w:rsid w:val="00D00B0E"/>
    <w:rsid w:val="00D00B4E"/>
    <w:rsid w:val="00D00B6C"/>
    <w:rsid w:val="00D00BB8"/>
    <w:rsid w:val="00D00C3E"/>
    <w:rsid w:val="00D00C6D"/>
    <w:rsid w:val="00D00CDA"/>
    <w:rsid w:val="00D00D28"/>
    <w:rsid w:val="00D00D2E"/>
    <w:rsid w:val="00D00D51"/>
    <w:rsid w:val="00D00D90"/>
    <w:rsid w:val="00D00DC9"/>
    <w:rsid w:val="00D00E05"/>
    <w:rsid w:val="00D00E7B"/>
    <w:rsid w:val="00D00E82"/>
    <w:rsid w:val="00D00E84"/>
    <w:rsid w:val="00D00E8C"/>
    <w:rsid w:val="00D00F27"/>
    <w:rsid w:val="00D00F8A"/>
    <w:rsid w:val="00D00FEC"/>
    <w:rsid w:val="00D01047"/>
    <w:rsid w:val="00D0104D"/>
    <w:rsid w:val="00D01065"/>
    <w:rsid w:val="00D0107D"/>
    <w:rsid w:val="00D010C1"/>
    <w:rsid w:val="00D01104"/>
    <w:rsid w:val="00D0111E"/>
    <w:rsid w:val="00D01165"/>
    <w:rsid w:val="00D011AE"/>
    <w:rsid w:val="00D011DE"/>
    <w:rsid w:val="00D011E3"/>
    <w:rsid w:val="00D011E5"/>
    <w:rsid w:val="00D0122A"/>
    <w:rsid w:val="00D01230"/>
    <w:rsid w:val="00D012B0"/>
    <w:rsid w:val="00D01306"/>
    <w:rsid w:val="00D01332"/>
    <w:rsid w:val="00D01341"/>
    <w:rsid w:val="00D013AA"/>
    <w:rsid w:val="00D013DF"/>
    <w:rsid w:val="00D01415"/>
    <w:rsid w:val="00D01416"/>
    <w:rsid w:val="00D01466"/>
    <w:rsid w:val="00D015A5"/>
    <w:rsid w:val="00D015B0"/>
    <w:rsid w:val="00D01612"/>
    <w:rsid w:val="00D0162C"/>
    <w:rsid w:val="00D01664"/>
    <w:rsid w:val="00D016CD"/>
    <w:rsid w:val="00D016E5"/>
    <w:rsid w:val="00D0171F"/>
    <w:rsid w:val="00D01766"/>
    <w:rsid w:val="00D0178A"/>
    <w:rsid w:val="00D017A9"/>
    <w:rsid w:val="00D017E9"/>
    <w:rsid w:val="00D0182F"/>
    <w:rsid w:val="00D01837"/>
    <w:rsid w:val="00D01843"/>
    <w:rsid w:val="00D0188C"/>
    <w:rsid w:val="00D018AD"/>
    <w:rsid w:val="00D0193E"/>
    <w:rsid w:val="00D019CD"/>
    <w:rsid w:val="00D01A08"/>
    <w:rsid w:val="00D01A24"/>
    <w:rsid w:val="00D01A8A"/>
    <w:rsid w:val="00D01AA2"/>
    <w:rsid w:val="00D01AB2"/>
    <w:rsid w:val="00D01AD0"/>
    <w:rsid w:val="00D01B22"/>
    <w:rsid w:val="00D01B28"/>
    <w:rsid w:val="00D01B40"/>
    <w:rsid w:val="00D01B81"/>
    <w:rsid w:val="00D01B9D"/>
    <w:rsid w:val="00D01BA0"/>
    <w:rsid w:val="00D01BCC"/>
    <w:rsid w:val="00D01C2B"/>
    <w:rsid w:val="00D01C30"/>
    <w:rsid w:val="00D01C3B"/>
    <w:rsid w:val="00D01C8C"/>
    <w:rsid w:val="00D01CBF"/>
    <w:rsid w:val="00D01D64"/>
    <w:rsid w:val="00D01D8A"/>
    <w:rsid w:val="00D01E10"/>
    <w:rsid w:val="00D01E76"/>
    <w:rsid w:val="00D01E9F"/>
    <w:rsid w:val="00D01EDB"/>
    <w:rsid w:val="00D01F67"/>
    <w:rsid w:val="00D01F7B"/>
    <w:rsid w:val="00D02033"/>
    <w:rsid w:val="00D02038"/>
    <w:rsid w:val="00D0203E"/>
    <w:rsid w:val="00D02080"/>
    <w:rsid w:val="00D0208A"/>
    <w:rsid w:val="00D020B4"/>
    <w:rsid w:val="00D020D7"/>
    <w:rsid w:val="00D02126"/>
    <w:rsid w:val="00D02156"/>
    <w:rsid w:val="00D021A1"/>
    <w:rsid w:val="00D02212"/>
    <w:rsid w:val="00D02245"/>
    <w:rsid w:val="00D022A1"/>
    <w:rsid w:val="00D0231F"/>
    <w:rsid w:val="00D0232F"/>
    <w:rsid w:val="00D02331"/>
    <w:rsid w:val="00D02361"/>
    <w:rsid w:val="00D02363"/>
    <w:rsid w:val="00D02375"/>
    <w:rsid w:val="00D02379"/>
    <w:rsid w:val="00D02385"/>
    <w:rsid w:val="00D023B0"/>
    <w:rsid w:val="00D02419"/>
    <w:rsid w:val="00D0241B"/>
    <w:rsid w:val="00D02457"/>
    <w:rsid w:val="00D024AD"/>
    <w:rsid w:val="00D02525"/>
    <w:rsid w:val="00D0252B"/>
    <w:rsid w:val="00D02538"/>
    <w:rsid w:val="00D02560"/>
    <w:rsid w:val="00D02567"/>
    <w:rsid w:val="00D02677"/>
    <w:rsid w:val="00D02708"/>
    <w:rsid w:val="00D0272A"/>
    <w:rsid w:val="00D027CC"/>
    <w:rsid w:val="00D027E3"/>
    <w:rsid w:val="00D027F4"/>
    <w:rsid w:val="00D027FE"/>
    <w:rsid w:val="00D02870"/>
    <w:rsid w:val="00D02896"/>
    <w:rsid w:val="00D028BC"/>
    <w:rsid w:val="00D028D5"/>
    <w:rsid w:val="00D028D7"/>
    <w:rsid w:val="00D02900"/>
    <w:rsid w:val="00D029E3"/>
    <w:rsid w:val="00D02A25"/>
    <w:rsid w:val="00D02A2B"/>
    <w:rsid w:val="00D02A52"/>
    <w:rsid w:val="00D02A6C"/>
    <w:rsid w:val="00D02A75"/>
    <w:rsid w:val="00D02A8B"/>
    <w:rsid w:val="00D02B57"/>
    <w:rsid w:val="00D02B71"/>
    <w:rsid w:val="00D02BED"/>
    <w:rsid w:val="00D02C31"/>
    <w:rsid w:val="00D02C39"/>
    <w:rsid w:val="00D02C90"/>
    <w:rsid w:val="00D02CAB"/>
    <w:rsid w:val="00D02CD7"/>
    <w:rsid w:val="00D02CF4"/>
    <w:rsid w:val="00D02CF7"/>
    <w:rsid w:val="00D02D42"/>
    <w:rsid w:val="00D02D47"/>
    <w:rsid w:val="00D02DAE"/>
    <w:rsid w:val="00D02DCC"/>
    <w:rsid w:val="00D02DE1"/>
    <w:rsid w:val="00D02E0E"/>
    <w:rsid w:val="00D02E0F"/>
    <w:rsid w:val="00D02E6F"/>
    <w:rsid w:val="00D02EF1"/>
    <w:rsid w:val="00D02EF4"/>
    <w:rsid w:val="00D02F4E"/>
    <w:rsid w:val="00D02F84"/>
    <w:rsid w:val="00D02FAF"/>
    <w:rsid w:val="00D02FB1"/>
    <w:rsid w:val="00D03040"/>
    <w:rsid w:val="00D03068"/>
    <w:rsid w:val="00D030CC"/>
    <w:rsid w:val="00D03145"/>
    <w:rsid w:val="00D03155"/>
    <w:rsid w:val="00D03170"/>
    <w:rsid w:val="00D031C8"/>
    <w:rsid w:val="00D03208"/>
    <w:rsid w:val="00D03211"/>
    <w:rsid w:val="00D03216"/>
    <w:rsid w:val="00D0323E"/>
    <w:rsid w:val="00D03270"/>
    <w:rsid w:val="00D032D6"/>
    <w:rsid w:val="00D032F0"/>
    <w:rsid w:val="00D03328"/>
    <w:rsid w:val="00D03335"/>
    <w:rsid w:val="00D0336E"/>
    <w:rsid w:val="00D0336F"/>
    <w:rsid w:val="00D033A7"/>
    <w:rsid w:val="00D033B0"/>
    <w:rsid w:val="00D033DF"/>
    <w:rsid w:val="00D033E2"/>
    <w:rsid w:val="00D03457"/>
    <w:rsid w:val="00D034B8"/>
    <w:rsid w:val="00D034F3"/>
    <w:rsid w:val="00D0350C"/>
    <w:rsid w:val="00D03549"/>
    <w:rsid w:val="00D0355B"/>
    <w:rsid w:val="00D0359E"/>
    <w:rsid w:val="00D035BA"/>
    <w:rsid w:val="00D035CD"/>
    <w:rsid w:val="00D0366B"/>
    <w:rsid w:val="00D036A7"/>
    <w:rsid w:val="00D036FF"/>
    <w:rsid w:val="00D03719"/>
    <w:rsid w:val="00D03761"/>
    <w:rsid w:val="00D03764"/>
    <w:rsid w:val="00D03768"/>
    <w:rsid w:val="00D037A0"/>
    <w:rsid w:val="00D037AB"/>
    <w:rsid w:val="00D037DA"/>
    <w:rsid w:val="00D037E0"/>
    <w:rsid w:val="00D037EC"/>
    <w:rsid w:val="00D03845"/>
    <w:rsid w:val="00D03952"/>
    <w:rsid w:val="00D0395C"/>
    <w:rsid w:val="00D039A3"/>
    <w:rsid w:val="00D039C5"/>
    <w:rsid w:val="00D039E0"/>
    <w:rsid w:val="00D039ED"/>
    <w:rsid w:val="00D03A15"/>
    <w:rsid w:val="00D03A70"/>
    <w:rsid w:val="00D03A99"/>
    <w:rsid w:val="00D03B1A"/>
    <w:rsid w:val="00D03B31"/>
    <w:rsid w:val="00D03B3C"/>
    <w:rsid w:val="00D03B5E"/>
    <w:rsid w:val="00D03B65"/>
    <w:rsid w:val="00D03B78"/>
    <w:rsid w:val="00D03BEE"/>
    <w:rsid w:val="00D03C43"/>
    <w:rsid w:val="00D03C80"/>
    <w:rsid w:val="00D03D09"/>
    <w:rsid w:val="00D03D18"/>
    <w:rsid w:val="00D03D28"/>
    <w:rsid w:val="00D03D34"/>
    <w:rsid w:val="00D03D4B"/>
    <w:rsid w:val="00D03DEB"/>
    <w:rsid w:val="00D03E47"/>
    <w:rsid w:val="00D03E7B"/>
    <w:rsid w:val="00D03E97"/>
    <w:rsid w:val="00D03EBD"/>
    <w:rsid w:val="00D03ED6"/>
    <w:rsid w:val="00D03F21"/>
    <w:rsid w:val="00D03F2D"/>
    <w:rsid w:val="00D03F8E"/>
    <w:rsid w:val="00D03FB9"/>
    <w:rsid w:val="00D03FD1"/>
    <w:rsid w:val="00D03FDC"/>
    <w:rsid w:val="00D04017"/>
    <w:rsid w:val="00D04076"/>
    <w:rsid w:val="00D04083"/>
    <w:rsid w:val="00D040A6"/>
    <w:rsid w:val="00D04115"/>
    <w:rsid w:val="00D04157"/>
    <w:rsid w:val="00D04196"/>
    <w:rsid w:val="00D041B4"/>
    <w:rsid w:val="00D041B6"/>
    <w:rsid w:val="00D041C3"/>
    <w:rsid w:val="00D0425B"/>
    <w:rsid w:val="00D04274"/>
    <w:rsid w:val="00D04281"/>
    <w:rsid w:val="00D0430B"/>
    <w:rsid w:val="00D0431D"/>
    <w:rsid w:val="00D04391"/>
    <w:rsid w:val="00D0439C"/>
    <w:rsid w:val="00D043CA"/>
    <w:rsid w:val="00D0440B"/>
    <w:rsid w:val="00D0440D"/>
    <w:rsid w:val="00D0441E"/>
    <w:rsid w:val="00D0448A"/>
    <w:rsid w:val="00D044B3"/>
    <w:rsid w:val="00D04519"/>
    <w:rsid w:val="00D04581"/>
    <w:rsid w:val="00D045C9"/>
    <w:rsid w:val="00D045DF"/>
    <w:rsid w:val="00D0467A"/>
    <w:rsid w:val="00D046E1"/>
    <w:rsid w:val="00D04734"/>
    <w:rsid w:val="00D0476A"/>
    <w:rsid w:val="00D0476C"/>
    <w:rsid w:val="00D047C7"/>
    <w:rsid w:val="00D047D0"/>
    <w:rsid w:val="00D047D1"/>
    <w:rsid w:val="00D04812"/>
    <w:rsid w:val="00D048F2"/>
    <w:rsid w:val="00D04929"/>
    <w:rsid w:val="00D04933"/>
    <w:rsid w:val="00D0495A"/>
    <w:rsid w:val="00D04984"/>
    <w:rsid w:val="00D04A4E"/>
    <w:rsid w:val="00D04A67"/>
    <w:rsid w:val="00D04A88"/>
    <w:rsid w:val="00D04BC3"/>
    <w:rsid w:val="00D04BF3"/>
    <w:rsid w:val="00D04C2F"/>
    <w:rsid w:val="00D04C82"/>
    <w:rsid w:val="00D04CBD"/>
    <w:rsid w:val="00D04D12"/>
    <w:rsid w:val="00D04D35"/>
    <w:rsid w:val="00D04D6C"/>
    <w:rsid w:val="00D04E32"/>
    <w:rsid w:val="00D04E6C"/>
    <w:rsid w:val="00D04E72"/>
    <w:rsid w:val="00D04EE0"/>
    <w:rsid w:val="00D04F02"/>
    <w:rsid w:val="00D04F13"/>
    <w:rsid w:val="00D04F23"/>
    <w:rsid w:val="00D04F64"/>
    <w:rsid w:val="00D04FED"/>
    <w:rsid w:val="00D04FFF"/>
    <w:rsid w:val="00D05024"/>
    <w:rsid w:val="00D05061"/>
    <w:rsid w:val="00D05069"/>
    <w:rsid w:val="00D0507B"/>
    <w:rsid w:val="00D050D3"/>
    <w:rsid w:val="00D051D6"/>
    <w:rsid w:val="00D051E1"/>
    <w:rsid w:val="00D0521E"/>
    <w:rsid w:val="00D0521F"/>
    <w:rsid w:val="00D052B7"/>
    <w:rsid w:val="00D052E6"/>
    <w:rsid w:val="00D05331"/>
    <w:rsid w:val="00D05381"/>
    <w:rsid w:val="00D053CA"/>
    <w:rsid w:val="00D0541D"/>
    <w:rsid w:val="00D05427"/>
    <w:rsid w:val="00D0547B"/>
    <w:rsid w:val="00D05541"/>
    <w:rsid w:val="00D0555B"/>
    <w:rsid w:val="00D055A0"/>
    <w:rsid w:val="00D055DE"/>
    <w:rsid w:val="00D055EC"/>
    <w:rsid w:val="00D05630"/>
    <w:rsid w:val="00D05639"/>
    <w:rsid w:val="00D0563C"/>
    <w:rsid w:val="00D0568B"/>
    <w:rsid w:val="00D05700"/>
    <w:rsid w:val="00D0573B"/>
    <w:rsid w:val="00D05797"/>
    <w:rsid w:val="00D0579C"/>
    <w:rsid w:val="00D05805"/>
    <w:rsid w:val="00D0583F"/>
    <w:rsid w:val="00D05848"/>
    <w:rsid w:val="00D0586F"/>
    <w:rsid w:val="00D05913"/>
    <w:rsid w:val="00D05914"/>
    <w:rsid w:val="00D0593C"/>
    <w:rsid w:val="00D0594C"/>
    <w:rsid w:val="00D0597A"/>
    <w:rsid w:val="00D05984"/>
    <w:rsid w:val="00D059FE"/>
    <w:rsid w:val="00D05A36"/>
    <w:rsid w:val="00D05A99"/>
    <w:rsid w:val="00D05B9F"/>
    <w:rsid w:val="00D05BB0"/>
    <w:rsid w:val="00D05BBC"/>
    <w:rsid w:val="00D05BF1"/>
    <w:rsid w:val="00D05C35"/>
    <w:rsid w:val="00D05C42"/>
    <w:rsid w:val="00D05C48"/>
    <w:rsid w:val="00D05C6F"/>
    <w:rsid w:val="00D05C88"/>
    <w:rsid w:val="00D05C95"/>
    <w:rsid w:val="00D05C97"/>
    <w:rsid w:val="00D05CAD"/>
    <w:rsid w:val="00D05CCA"/>
    <w:rsid w:val="00D05D2C"/>
    <w:rsid w:val="00D05D81"/>
    <w:rsid w:val="00D05DAA"/>
    <w:rsid w:val="00D05DBF"/>
    <w:rsid w:val="00D05E1A"/>
    <w:rsid w:val="00D05E25"/>
    <w:rsid w:val="00D05E73"/>
    <w:rsid w:val="00D05EBB"/>
    <w:rsid w:val="00D05EBC"/>
    <w:rsid w:val="00D05EEB"/>
    <w:rsid w:val="00D05F02"/>
    <w:rsid w:val="00D05F70"/>
    <w:rsid w:val="00D05FBF"/>
    <w:rsid w:val="00D05FC9"/>
    <w:rsid w:val="00D05FE8"/>
    <w:rsid w:val="00D060AF"/>
    <w:rsid w:val="00D060B7"/>
    <w:rsid w:val="00D060B8"/>
    <w:rsid w:val="00D060BD"/>
    <w:rsid w:val="00D060C4"/>
    <w:rsid w:val="00D060D2"/>
    <w:rsid w:val="00D06149"/>
    <w:rsid w:val="00D06152"/>
    <w:rsid w:val="00D06174"/>
    <w:rsid w:val="00D061A3"/>
    <w:rsid w:val="00D061B4"/>
    <w:rsid w:val="00D06214"/>
    <w:rsid w:val="00D06239"/>
    <w:rsid w:val="00D06299"/>
    <w:rsid w:val="00D062A6"/>
    <w:rsid w:val="00D06322"/>
    <w:rsid w:val="00D0636B"/>
    <w:rsid w:val="00D0636E"/>
    <w:rsid w:val="00D063BF"/>
    <w:rsid w:val="00D063E6"/>
    <w:rsid w:val="00D063F2"/>
    <w:rsid w:val="00D063F7"/>
    <w:rsid w:val="00D06412"/>
    <w:rsid w:val="00D0644B"/>
    <w:rsid w:val="00D06461"/>
    <w:rsid w:val="00D06482"/>
    <w:rsid w:val="00D06485"/>
    <w:rsid w:val="00D064F1"/>
    <w:rsid w:val="00D0654D"/>
    <w:rsid w:val="00D0654F"/>
    <w:rsid w:val="00D065EF"/>
    <w:rsid w:val="00D0663C"/>
    <w:rsid w:val="00D06640"/>
    <w:rsid w:val="00D066A1"/>
    <w:rsid w:val="00D06723"/>
    <w:rsid w:val="00D06734"/>
    <w:rsid w:val="00D0673F"/>
    <w:rsid w:val="00D0674D"/>
    <w:rsid w:val="00D06786"/>
    <w:rsid w:val="00D0679E"/>
    <w:rsid w:val="00D067E2"/>
    <w:rsid w:val="00D067EF"/>
    <w:rsid w:val="00D06853"/>
    <w:rsid w:val="00D06854"/>
    <w:rsid w:val="00D06888"/>
    <w:rsid w:val="00D06889"/>
    <w:rsid w:val="00D068AD"/>
    <w:rsid w:val="00D068B3"/>
    <w:rsid w:val="00D068B7"/>
    <w:rsid w:val="00D068CC"/>
    <w:rsid w:val="00D068F0"/>
    <w:rsid w:val="00D06924"/>
    <w:rsid w:val="00D06949"/>
    <w:rsid w:val="00D06964"/>
    <w:rsid w:val="00D0699B"/>
    <w:rsid w:val="00D069F1"/>
    <w:rsid w:val="00D06AA2"/>
    <w:rsid w:val="00D06B1C"/>
    <w:rsid w:val="00D06B8D"/>
    <w:rsid w:val="00D06BAB"/>
    <w:rsid w:val="00D06C1A"/>
    <w:rsid w:val="00D06C1F"/>
    <w:rsid w:val="00D06C27"/>
    <w:rsid w:val="00D06C5D"/>
    <w:rsid w:val="00D06CBE"/>
    <w:rsid w:val="00D06CFD"/>
    <w:rsid w:val="00D06D59"/>
    <w:rsid w:val="00D06D6D"/>
    <w:rsid w:val="00D06D94"/>
    <w:rsid w:val="00D06D99"/>
    <w:rsid w:val="00D06DDF"/>
    <w:rsid w:val="00D06DED"/>
    <w:rsid w:val="00D06E06"/>
    <w:rsid w:val="00D06E07"/>
    <w:rsid w:val="00D06E44"/>
    <w:rsid w:val="00D06E47"/>
    <w:rsid w:val="00D06E5C"/>
    <w:rsid w:val="00D06E74"/>
    <w:rsid w:val="00D06E8D"/>
    <w:rsid w:val="00D06EAA"/>
    <w:rsid w:val="00D06F90"/>
    <w:rsid w:val="00D06FA9"/>
    <w:rsid w:val="00D06FC9"/>
    <w:rsid w:val="00D06FFF"/>
    <w:rsid w:val="00D0700C"/>
    <w:rsid w:val="00D07030"/>
    <w:rsid w:val="00D070B7"/>
    <w:rsid w:val="00D0710C"/>
    <w:rsid w:val="00D07120"/>
    <w:rsid w:val="00D07129"/>
    <w:rsid w:val="00D0713B"/>
    <w:rsid w:val="00D071BC"/>
    <w:rsid w:val="00D071EC"/>
    <w:rsid w:val="00D07265"/>
    <w:rsid w:val="00D07273"/>
    <w:rsid w:val="00D07280"/>
    <w:rsid w:val="00D073C8"/>
    <w:rsid w:val="00D073E2"/>
    <w:rsid w:val="00D07410"/>
    <w:rsid w:val="00D07422"/>
    <w:rsid w:val="00D07499"/>
    <w:rsid w:val="00D074BB"/>
    <w:rsid w:val="00D074BC"/>
    <w:rsid w:val="00D074C9"/>
    <w:rsid w:val="00D074E2"/>
    <w:rsid w:val="00D0752E"/>
    <w:rsid w:val="00D07555"/>
    <w:rsid w:val="00D075D4"/>
    <w:rsid w:val="00D07651"/>
    <w:rsid w:val="00D07714"/>
    <w:rsid w:val="00D0771E"/>
    <w:rsid w:val="00D07742"/>
    <w:rsid w:val="00D07765"/>
    <w:rsid w:val="00D07785"/>
    <w:rsid w:val="00D0778D"/>
    <w:rsid w:val="00D07795"/>
    <w:rsid w:val="00D07824"/>
    <w:rsid w:val="00D07828"/>
    <w:rsid w:val="00D0786E"/>
    <w:rsid w:val="00D07873"/>
    <w:rsid w:val="00D078A1"/>
    <w:rsid w:val="00D078A7"/>
    <w:rsid w:val="00D078E3"/>
    <w:rsid w:val="00D07900"/>
    <w:rsid w:val="00D07921"/>
    <w:rsid w:val="00D07960"/>
    <w:rsid w:val="00D07974"/>
    <w:rsid w:val="00D0799E"/>
    <w:rsid w:val="00D079F2"/>
    <w:rsid w:val="00D07A63"/>
    <w:rsid w:val="00D07A72"/>
    <w:rsid w:val="00D07AEE"/>
    <w:rsid w:val="00D07B46"/>
    <w:rsid w:val="00D07B9A"/>
    <w:rsid w:val="00D07BAE"/>
    <w:rsid w:val="00D07BFF"/>
    <w:rsid w:val="00D07C1A"/>
    <w:rsid w:val="00D07C2D"/>
    <w:rsid w:val="00D07CA6"/>
    <w:rsid w:val="00D07CD8"/>
    <w:rsid w:val="00D07D0C"/>
    <w:rsid w:val="00D07DA5"/>
    <w:rsid w:val="00D07E28"/>
    <w:rsid w:val="00D07E83"/>
    <w:rsid w:val="00D07E97"/>
    <w:rsid w:val="00D07E9C"/>
    <w:rsid w:val="00D07EDC"/>
    <w:rsid w:val="00D07F37"/>
    <w:rsid w:val="00D07F7B"/>
    <w:rsid w:val="00D07FC4"/>
    <w:rsid w:val="00D0E50E"/>
    <w:rsid w:val="00D1002D"/>
    <w:rsid w:val="00D1009F"/>
    <w:rsid w:val="00D100B7"/>
    <w:rsid w:val="00D100EE"/>
    <w:rsid w:val="00D100F7"/>
    <w:rsid w:val="00D10111"/>
    <w:rsid w:val="00D1014A"/>
    <w:rsid w:val="00D101DD"/>
    <w:rsid w:val="00D1020B"/>
    <w:rsid w:val="00D10250"/>
    <w:rsid w:val="00D10284"/>
    <w:rsid w:val="00D102EB"/>
    <w:rsid w:val="00D10341"/>
    <w:rsid w:val="00D103CE"/>
    <w:rsid w:val="00D103CF"/>
    <w:rsid w:val="00D10426"/>
    <w:rsid w:val="00D10481"/>
    <w:rsid w:val="00D1048B"/>
    <w:rsid w:val="00D1049F"/>
    <w:rsid w:val="00D104AD"/>
    <w:rsid w:val="00D104F5"/>
    <w:rsid w:val="00D10504"/>
    <w:rsid w:val="00D1058F"/>
    <w:rsid w:val="00D1060F"/>
    <w:rsid w:val="00D1068B"/>
    <w:rsid w:val="00D10694"/>
    <w:rsid w:val="00D10698"/>
    <w:rsid w:val="00D106DD"/>
    <w:rsid w:val="00D106F4"/>
    <w:rsid w:val="00D10750"/>
    <w:rsid w:val="00D10753"/>
    <w:rsid w:val="00D10761"/>
    <w:rsid w:val="00D1077A"/>
    <w:rsid w:val="00D107A9"/>
    <w:rsid w:val="00D107BE"/>
    <w:rsid w:val="00D1082B"/>
    <w:rsid w:val="00D10892"/>
    <w:rsid w:val="00D108F8"/>
    <w:rsid w:val="00D10912"/>
    <w:rsid w:val="00D1099F"/>
    <w:rsid w:val="00D10A2A"/>
    <w:rsid w:val="00D10A32"/>
    <w:rsid w:val="00D10AB4"/>
    <w:rsid w:val="00D10ACF"/>
    <w:rsid w:val="00D10B28"/>
    <w:rsid w:val="00D10B8B"/>
    <w:rsid w:val="00D10BB1"/>
    <w:rsid w:val="00D10C84"/>
    <w:rsid w:val="00D10CB5"/>
    <w:rsid w:val="00D10D15"/>
    <w:rsid w:val="00D10D17"/>
    <w:rsid w:val="00D10DE3"/>
    <w:rsid w:val="00D10DE4"/>
    <w:rsid w:val="00D10E68"/>
    <w:rsid w:val="00D10EAE"/>
    <w:rsid w:val="00D10F14"/>
    <w:rsid w:val="00D10F3B"/>
    <w:rsid w:val="00D10F62"/>
    <w:rsid w:val="00D10FA9"/>
    <w:rsid w:val="00D10FAF"/>
    <w:rsid w:val="00D10FC1"/>
    <w:rsid w:val="00D1100E"/>
    <w:rsid w:val="00D1101C"/>
    <w:rsid w:val="00D110D0"/>
    <w:rsid w:val="00D11192"/>
    <w:rsid w:val="00D111DB"/>
    <w:rsid w:val="00D11215"/>
    <w:rsid w:val="00D11231"/>
    <w:rsid w:val="00D1128F"/>
    <w:rsid w:val="00D11295"/>
    <w:rsid w:val="00D112AC"/>
    <w:rsid w:val="00D112B8"/>
    <w:rsid w:val="00D11309"/>
    <w:rsid w:val="00D11331"/>
    <w:rsid w:val="00D1133F"/>
    <w:rsid w:val="00D1134B"/>
    <w:rsid w:val="00D11379"/>
    <w:rsid w:val="00D1143A"/>
    <w:rsid w:val="00D1146E"/>
    <w:rsid w:val="00D11493"/>
    <w:rsid w:val="00D114C3"/>
    <w:rsid w:val="00D11504"/>
    <w:rsid w:val="00D11541"/>
    <w:rsid w:val="00D11568"/>
    <w:rsid w:val="00D1156F"/>
    <w:rsid w:val="00D11583"/>
    <w:rsid w:val="00D11599"/>
    <w:rsid w:val="00D115D0"/>
    <w:rsid w:val="00D115E2"/>
    <w:rsid w:val="00D11609"/>
    <w:rsid w:val="00D11636"/>
    <w:rsid w:val="00D116D6"/>
    <w:rsid w:val="00D116D9"/>
    <w:rsid w:val="00D11726"/>
    <w:rsid w:val="00D11732"/>
    <w:rsid w:val="00D11737"/>
    <w:rsid w:val="00D11786"/>
    <w:rsid w:val="00D11792"/>
    <w:rsid w:val="00D117AB"/>
    <w:rsid w:val="00D117D6"/>
    <w:rsid w:val="00D117E7"/>
    <w:rsid w:val="00D1182A"/>
    <w:rsid w:val="00D11841"/>
    <w:rsid w:val="00D11882"/>
    <w:rsid w:val="00D118E2"/>
    <w:rsid w:val="00D118F5"/>
    <w:rsid w:val="00D11963"/>
    <w:rsid w:val="00D119B2"/>
    <w:rsid w:val="00D119F0"/>
    <w:rsid w:val="00D11A3F"/>
    <w:rsid w:val="00D11A80"/>
    <w:rsid w:val="00D11A9D"/>
    <w:rsid w:val="00D11AB9"/>
    <w:rsid w:val="00D11AC1"/>
    <w:rsid w:val="00D11BF8"/>
    <w:rsid w:val="00D11C1A"/>
    <w:rsid w:val="00D11C21"/>
    <w:rsid w:val="00D11C89"/>
    <w:rsid w:val="00D11CB9"/>
    <w:rsid w:val="00D11CC0"/>
    <w:rsid w:val="00D11CC9"/>
    <w:rsid w:val="00D11D08"/>
    <w:rsid w:val="00D11DE2"/>
    <w:rsid w:val="00D11E0C"/>
    <w:rsid w:val="00D11E0E"/>
    <w:rsid w:val="00D11E1F"/>
    <w:rsid w:val="00D11E24"/>
    <w:rsid w:val="00D11E81"/>
    <w:rsid w:val="00D11E9D"/>
    <w:rsid w:val="00D11E9F"/>
    <w:rsid w:val="00D11EDB"/>
    <w:rsid w:val="00D11EE2"/>
    <w:rsid w:val="00D12036"/>
    <w:rsid w:val="00D120F5"/>
    <w:rsid w:val="00D12148"/>
    <w:rsid w:val="00D1215C"/>
    <w:rsid w:val="00D12178"/>
    <w:rsid w:val="00D12179"/>
    <w:rsid w:val="00D12184"/>
    <w:rsid w:val="00D1218D"/>
    <w:rsid w:val="00D12195"/>
    <w:rsid w:val="00D12213"/>
    <w:rsid w:val="00D12227"/>
    <w:rsid w:val="00D1223F"/>
    <w:rsid w:val="00D12275"/>
    <w:rsid w:val="00D12316"/>
    <w:rsid w:val="00D1232B"/>
    <w:rsid w:val="00D12345"/>
    <w:rsid w:val="00D1234B"/>
    <w:rsid w:val="00D1239F"/>
    <w:rsid w:val="00D123F6"/>
    <w:rsid w:val="00D1242B"/>
    <w:rsid w:val="00D1243B"/>
    <w:rsid w:val="00D12457"/>
    <w:rsid w:val="00D1248A"/>
    <w:rsid w:val="00D124BB"/>
    <w:rsid w:val="00D124D3"/>
    <w:rsid w:val="00D124DA"/>
    <w:rsid w:val="00D124F1"/>
    <w:rsid w:val="00D1254D"/>
    <w:rsid w:val="00D12560"/>
    <w:rsid w:val="00D125D4"/>
    <w:rsid w:val="00D1262C"/>
    <w:rsid w:val="00D127CF"/>
    <w:rsid w:val="00D127E4"/>
    <w:rsid w:val="00D127E5"/>
    <w:rsid w:val="00D12810"/>
    <w:rsid w:val="00D12884"/>
    <w:rsid w:val="00D12892"/>
    <w:rsid w:val="00D128A5"/>
    <w:rsid w:val="00D128F0"/>
    <w:rsid w:val="00D128FF"/>
    <w:rsid w:val="00D12940"/>
    <w:rsid w:val="00D12971"/>
    <w:rsid w:val="00D12985"/>
    <w:rsid w:val="00D129E3"/>
    <w:rsid w:val="00D12A1C"/>
    <w:rsid w:val="00D12A2F"/>
    <w:rsid w:val="00D12A8B"/>
    <w:rsid w:val="00D12AB7"/>
    <w:rsid w:val="00D12AC5"/>
    <w:rsid w:val="00D12B2C"/>
    <w:rsid w:val="00D12C8A"/>
    <w:rsid w:val="00D12C9D"/>
    <w:rsid w:val="00D12CB5"/>
    <w:rsid w:val="00D12E1E"/>
    <w:rsid w:val="00D12E1F"/>
    <w:rsid w:val="00D12E2D"/>
    <w:rsid w:val="00D12E40"/>
    <w:rsid w:val="00D12E63"/>
    <w:rsid w:val="00D12E74"/>
    <w:rsid w:val="00D12E78"/>
    <w:rsid w:val="00D12F42"/>
    <w:rsid w:val="00D12F5B"/>
    <w:rsid w:val="00D12FAC"/>
    <w:rsid w:val="00D12FCA"/>
    <w:rsid w:val="00D12FD3"/>
    <w:rsid w:val="00D12FE3"/>
    <w:rsid w:val="00D12FFE"/>
    <w:rsid w:val="00D1301E"/>
    <w:rsid w:val="00D13020"/>
    <w:rsid w:val="00D1307A"/>
    <w:rsid w:val="00D130B4"/>
    <w:rsid w:val="00D130D1"/>
    <w:rsid w:val="00D130E9"/>
    <w:rsid w:val="00D13103"/>
    <w:rsid w:val="00D13117"/>
    <w:rsid w:val="00D13141"/>
    <w:rsid w:val="00D131BE"/>
    <w:rsid w:val="00D131F0"/>
    <w:rsid w:val="00D131F2"/>
    <w:rsid w:val="00D1321E"/>
    <w:rsid w:val="00D13221"/>
    <w:rsid w:val="00D13284"/>
    <w:rsid w:val="00D1328D"/>
    <w:rsid w:val="00D1329A"/>
    <w:rsid w:val="00D13328"/>
    <w:rsid w:val="00D1333D"/>
    <w:rsid w:val="00D13380"/>
    <w:rsid w:val="00D13388"/>
    <w:rsid w:val="00D133A2"/>
    <w:rsid w:val="00D133B0"/>
    <w:rsid w:val="00D133C1"/>
    <w:rsid w:val="00D133C2"/>
    <w:rsid w:val="00D133DF"/>
    <w:rsid w:val="00D133FF"/>
    <w:rsid w:val="00D13427"/>
    <w:rsid w:val="00D13433"/>
    <w:rsid w:val="00D134B0"/>
    <w:rsid w:val="00D134E9"/>
    <w:rsid w:val="00D134F0"/>
    <w:rsid w:val="00D13593"/>
    <w:rsid w:val="00D135A0"/>
    <w:rsid w:val="00D135D0"/>
    <w:rsid w:val="00D135E0"/>
    <w:rsid w:val="00D135FC"/>
    <w:rsid w:val="00D13684"/>
    <w:rsid w:val="00D136C2"/>
    <w:rsid w:val="00D136C8"/>
    <w:rsid w:val="00D136D3"/>
    <w:rsid w:val="00D136E8"/>
    <w:rsid w:val="00D136F9"/>
    <w:rsid w:val="00D1372C"/>
    <w:rsid w:val="00D1374B"/>
    <w:rsid w:val="00D13793"/>
    <w:rsid w:val="00D137A1"/>
    <w:rsid w:val="00D137B6"/>
    <w:rsid w:val="00D1381B"/>
    <w:rsid w:val="00D13824"/>
    <w:rsid w:val="00D138F9"/>
    <w:rsid w:val="00D138FA"/>
    <w:rsid w:val="00D13965"/>
    <w:rsid w:val="00D1396A"/>
    <w:rsid w:val="00D139D7"/>
    <w:rsid w:val="00D13A38"/>
    <w:rsid w:val="00D13A96"/>
    <w:rsid w:val="00D13ABE"/>
    <w:rsid w:val="00D13AC0"/>
    <w:rsid w:val="00D13B12"/>
    <w:rsid w:val="00D13B1A"/>
    <w:rsid w:val="00D13B5B"/>
    <w:rsid w:val="00D13BA2"/>
    <w:rsid w:val="00D13BFE"/>
    <w:rsid w:val="00D13C07"/>
    <w:rsid w:val="00D13CF9"/>
    <w:rsid w:val="00D13D00"/>
    <w:rsid w:val="00D13D5C"/>
    <w:rsid w:val="00D13D79"/>
    <w:rsid w:val="00D13D9D"/>
    <w:rsid w:val="00D13DE9"/>
    <w:rsid w:val="00D13E1F"/>
    <w:rsid w:val="00D13EA2"/>
    <w:rsid w:val="00D13EB1"/>
    <w:rsid w:val="00D13EBC"/>
    <w:rsid w:val="00D13F0D"/>
    <w:rsid w:val="00D13F13"/>
    <w:rsid w:val="00D13F9A"/>
    <w:rsid w:val="00D13FAA"/>
    <w:rsid w:val="00D13FB8"/>
    <w:rsid w:val="00D14006"/>
    <w:rsid w:val="00D14011"/>
    <w:rsid w:val="00D14029"/>
    <w:rsid w:val="00D14042"/>
    <w:rsid w:val="00D1408B"/>
    <w:rsid w:val="00D1410A"/>
    <w:rsid w:val="00D1410C"/>
    <w:rsid w:val="00D14131"/>
    <w:rsid w:val="00D14176"/>
    <w:rsid w:val="00D141F7"/>
    <w:rsid w:val="00D141FE"/>
    <w:rsid w:val="00D14204"/>
    <w:rsid w:val="00D1426A"/>
    <w:rsid w:val="00D1426E"/>
    <w:rsid w:val="00D14285"/>
    <w:rsid w:val="00D1432C"/>
    <w:rsid w:val="00D14366"/>
    <w:rsid w:val="00D1438D"/>
    <w:rsid w:val="00D143C3"/>
    <w:rsid w:val="00D143E9"/>
    <w:rsid w:val="00D1440C"/>
    <w:rsid w:val="00D14452"/>
    <w:rsid w:val="00D14453"/>
    <w:rsid w:val="00D1447C"/>
    <w:rsid w:val="00D14482"/>
    <w:rsid w:val="00D1458F"/>
    <w:rsid w:val="00D145A8"/>
    <w:rsid w:val="00D145F9"/>
    <w:rsid w:val="00D1461D"/>
    <w:rsid w:val="00D14623"/>
    <w:rsid w:val="00D14634"/>
    <w:rsid w:val="00D14674"/>
    <w:rsid w:val="00D146CD"/>
    <w:rsid w:val="00D146D5"/>
    <w:rsid w:val="00D146D9"/>
    <w:rsid w:val="00D14709"/>
    <w:rsid w:val="00D1478F"/>
    <w:rsid w:val="00D147A3"/>
    <w:rsid w:val="00D147AB"/>
    <w:rsid w:val="00D147F4"/>
    <w:rsid w:val="00D14811"/>
    <w:rsid w:val="00D14865"/>
    <w:rsid w:val="00D1488B"/>
    <w:rsid w:val="00D1489F"/>
    <w:rsid w:val="00D148EE"/>
    <w:rsid w:val="00D1495D"/>
    <w:rsid w:val="00D149BA"/>
    <w:rsid w:val="00D14A05"/>
    <w:rsid w:val="00D14A59"/>
    <w:rsid w:val="00D14A73"/>
    <w:rsid w:val="00D14AA2"/>
    <w:rsid w:val="00D14AA9"/>
    <w:rsid w:val="00D14AC7"/>
    <w:rsid w:val="00D14AED"/>
    <w:rsid w:val="00D14B07"/>
    <w:rsid w:val="00D14B20"/>
    <w:rsid w:val="00D14B22"/>
    <w:rsid w:val="00D14B59"/>
    <w:rsid w:val="00D14B6A"/>
    <w:rsid w:val="00D14B88"/>
    <w:rsid w:val="00D14BB5"/>
    <w:rsid w:val="00D14BBA"/>
    <w:rsid w:val="00D14BFB"/>
    <w:rsid w:val="00D14C5C"/>
    <w:rsid w:val="00D14C9B"/>
    <w:rsid w:val="00D14D26"/>
    <w:rsid w:val="00D14D50"/>
    <w:rsid w:val="00D14D5C"/>
    <w:rsid w:val="00D14DB2"/>
    <w:rsid w:val="00D14DDA"/>
    <w:rsid w:val="00D14DFE"/>
    <w:rsid w:val="00D14E6B"/>
    <w:rsid w:val="00D14ED3"/>
    <w:rsid w:val="00D14F46"/>
    <w:rsid w:val="00D14F4F"/>
    <w:rsid w:val="00D14F63"/>
    <w:rsid w:val="00D14F8C"/>
    <w:rsid w:val="00D14FF9"/>
    <w:rsid w:val="00D15000"/>
    <w:rsid w:val="00D15009"/>
    <w:rsid w:val="00D15079"/>
    <w:rsid w:val="00D1509E"/>
    <w:rsid w:val="00D150AA"/>
    <w:rsid w:val="00D150B6"/>
    <w:rsid w:val="00D150DC"/>
    <w:rsid w:val="00D150E5"/>
    <w:rsid w:val="00D15116"/>
    <w:rsid w:val="00D1513B"/>
    <w:rsid w:val="00D1518F"/>
    <w:rsid w:val="00D1522E"/>
    <w:rsid w:val="00D152B6"/>
    <w:rsid w:val="00D152F4"/>
    <w:rsid w:val="00D152FE"/>
    <w:rsid w:val="00D15300"/>
    <w:rsid w:val="00D15362"/>
    <w:rsid w:val="00D15391"/>
    <w:rsid w:val="00D153C0"/>
    <w:rsid w:val="00D153D0"/>
    <w:rsid w:val="00D153F1"/>
    <w:rsid w:val="00D1542D"/>
    <w:rsid w:val="00D15446"/>
    <w:rsid w:val="00D15481"/>
    <w:rsid w:val="00D15483"/>
    <w:rsid w:val="00D15491"/>
    <w:rsid w:val="00D15533"/>
    <w:rsid w:val="00D15554"/>
    <w:rsid w:val="00D1556C"/>
    <w:rsid w:val="00D155AE"/>
    <w:rsid w:val="00D1567F"/>
    <w:rsid w:val="00D156BF"/>
    <w:rsid w:val="00D1577D"/>
    <w:rsid w:val="00D157CD"/>
    <w:rsid w:val="00D157D3"/>
    <w:rsid w:val="00D157E9"/>
    <w:rsid w:val="00D15860"/>
    <w:rsid w:val="00D158D5"/>
    <w:rsid w:val="00D158F2"/>
    <w:rsid w:val="00D15920"/>
    <w:rsid w:val="00D1592D"/>
    <w:rsid w:val="00D1595B"/>
    <w:rsid w:val="00D159C6"/>
    <w:rsid w:val="00D159D3"/>
    <w:rsid w:val="00D159EF"/>
    <w:rsid w:val="00D15A1C"/>
    <w:rsid w:val="00D15A24"/>
    <w:rsid w:val="00D15A2E"/>
    <w:rsid w:val="00D15A5D"/>
    <w:rsid w:val="00D15A67"/>
    <w:rsid w:val="00D15AD9"/>
    <w:rsid w:val="00D15B0B"/>
    <w:rsid w:val="00D15B14"/>
    <w:rsid w:val="00D15B91"/>
    <w:rsid w:val="00D15BAE"/>
    <w:rsid w:val="00D15C1A"/>
    <w:rsid w:val="00D15C1C"/>
    <w:rsid w:val="00D15C34"/>
    <w:rsid w:val="00D15C42"/>
    <w:rsid w:val="00D15C91"/>
    <w:rsid w:val="00D15C98"/>
    <w:rsid w:val="00D15CC3"/>
    <w:rsid w:val="00D15CD6"/>
    <w:rsid w:val="00D15D03"/>
    <w:rsid w:val="00D15D28"/>
    <w:rsid w:val="00D15D2D"/>
    <w:rsid w:val="00D15DF6"/>
    <w:rsid w:val="00D15E33"/>
    <w:rsid w:val="00D15E4E"/>
    <w:rsid w:val="00D15E9A"/>
    <w:rsid w:val="00D15EAD"/>
    <w:rsid w:val="00D15EB6"/>
    <w:rsid w:val="00D15EDA"/>
    <w:rsid w:val="00D15F41"/>
    <w:rsid w:val="00D15FB1"/>
    <w:rsid w:val="00D15FC3"/>
    <w:rsid w:val="00D15FD5"/>
    <w:rsid w:val="00D15FDD"/>
    <w:rsid w:val="00D1602B"/>
    <w:rsid w:val="00D16059"/>
    <w:rsid w:val="00D1608F"/>
    <w:rsid w:val="00D160B6"/>
    <w:rsid w:val="00D16159"/>
    <w:rsid w:val="00D16176"/>
    <w:rsid w:val="00D16190"/>
    <w:rsid w:val="00D161C4"/>
    <w:rsid w:val="00D161E9"/>
    <w:rsid w:val="00D1625C"/>
    <w:rsid w:val="00D16262"/>
    <w:rsid w:val="00D1626A"/>
    <w:rsid w:val="00D16293"/>
    <w:rsid w:val="00D1629E"/>
    <w:rsid w:val="00D162EB"/>
    <w:rsid w:val="00D1632B"/>
    <w:rsid w:val="00D16339"/>
    <w:rsid w:val="00D16345"/>
    <w:rsid w:val="00D16384"/>
    <w:rsid w:val="00D1640F"/>
    <w:rsid w:val="00D16428"/>
    <w:rsid w:val="00D16457"/>
    <w:rsid w:val="00D1650D"/>
    <w:rsid w:val="00D16558"/>
    <w:rsid w:val="00D1657A"/>
    <w:rsid w:val="00D1659F"/>
    <w:rsid w:val="00D165BD"/>
    <w:rsid w:val="00D165C7"/>
    <w:rsid w:val="00D165EA"/>
    <w:rsid w:val="00D1662B"/>
    <w:rsid w:val="00D1663A"/>
    <w:rsid w:val="00D1664C"/>
    <w:rsid w:val="00D166E7"/>
    <w:rsid w:val="00D166F5"/>
    <w:rsid w:val="00D16717"/>
    <w:rsid w:val="00D16735"/>
    <w:rsid w:val="00D1674F"/>
    <w:rsid w:val="00D16796"/>
    <w:rsid w:val="00D1682E"/>
    <w:rsid w:val="00D1685A"/>
    <w:rsid w:val="00D168F1"/>
    <w:rsid w:val="00D16959"/>
    <w:rsid w:val="00D16968"/>
    <w:rsid w:val="00D16A2D"/>
    <w:rsid w:val="00D16A5E"/>
    <w:rsid w:val="00D16A79"/>
    <w:rsid w:val="00D16ADB"/>
    <w:rsid w:val="00D16AFA"/>
    <w:rsid w:val="00D16B2F"/>
    <w:rsid w:val="00D16B3E"/>
    <w:rsid w:val="00D16B4D"/>
    <w:rsid w:val="00D16B83"/>
    <w:rsid w:val="00D16BAB"/>
    <w:rsid w:val="00D16BCC"/>
    <w:rsid w:val="00D16C65"/>
    <w:rsid w:val="00D16C67"/>
    <w:rsid w:val="00D16D5F"/>
    <w:rsid w:val="00D16D70"/>
    <w:rsid w:val="00D16D7C"/>
    <w:rsid w:val="00D16D91"/>
    <w:rsid w:val="00D16E01"/>
    <w:rsid w:val="00D16E1F"/>
    <w:rsid w:val="00D16E23"/>
    <w:rsid w:val="00D16E72"/>
    <w:rsid w:val="00D16E94"/>
    <w:rsid w:val="00D16EAF"/>
    <w:rsid w:val="00D16EB1"/>
    <w:rsid w:val="00D16ED7"/>
    <w:rsid w:val="00D16F0C"/>
    <w:rsid w:val="00D16F17"/>
    <w:rsid w:val="00D16F7D"/>
    <w:rsid w:val="00D16F97"/>
    <w:rsid w:val="00D16FB4"/>
    <w:rsid w:val="00D17019"/>
    <w:rsid w:val="00D17031"/>
    <w:rsid w:val="00D1705E"/>
    <w:rsid w:val="00D17066"/>
    <w:rsid w:val="00D170A7"/>
    <w:rsid w:val="00D170AA"/>
    <w:rsid w:val="00D170BD"/>
    <w:rsid w:val="00D170E9"/>
    <w:rsid w:val="00D170F5"/>
    <w:rsid w:val="00D170FA"/>
    <w:rsid w:val="00D17121"/>
    <w:rsid w:val="00D17145"/>
    <w:rsid w:val="00D17176"/>
    <w:rsid w:val="00D17180"/>
    <w:rsid w:val="00D1726B"/>
    <w:rsid w:val="00D17271"/>
    <w:rsid w:val="00D172F4"/>
    <w:rsid w:val="00D172F5"/>
    <w:rsid w:val="00D17301"/>
    <w:rsid w:val="00D1733C"/>
    <w:rsid w:val="00D173CE"/>
    <w:rsid w:val="00D17409"/>
    <w:rsid w:val="00D17433"/>
    <w:rsid w:val="00D174B2"/>
    <w:rsid w:val="00D174B3"/>
    <w:rsid w:val="00D174C0"/>
    <w:rsid w:val="00D174D9"/>
    <w:rsid w:val="00D174FB"/>
    <w:rsid w:val="00D17513"/>
    <w:rsid w:val="00D17529"/>
    <w:rsid w:val="00D17543"/>
    <w:rsid w:val="00D1754C"/>
    <w:rsid w:val="00D1757C"/>
    <w:rsid w:val="00D175CA"/>
    <w:rsid w:val="00D175D1"/>
    <w:rsid w:val="00D1760D"/>
    <w:rsid w:val="00D17673"/>
    <w:rsid w:val="00D1768A"/>
    <w:rsid w:val="00D17706"/>
    <w:rsid w:val="00D1770B"/>
    <w:rsid w:val="00D1773B"/>
    <w:rsid w:val="00D17779"/>
    <w:rsid w:val="00D177C3"/>
    <w:rsid w:val="00D177CE"/>
    <w:rsid w:val="00D177DB"/>
    <w:rsid w:val="00D177E0"/>
    <w:rsid w:val="00D17865"/>
    <w:rsid w:val="00D1787D"/>
    <w:rsid w:val="00D178C0"/>
    <w:rsid w:val="00D178E5"/>
    <w:rsid w:val="00D178EB"/>
    <w:rsid w:val="00D178EC"/>
    <w:rsid w:val="00D1796E"/>
    <w:rsid w:val="00D179C4"/>
    <w:rsid w:val="00D17A5F"/>
    <w:rsid w:val="00D17A94"/>
    <w:rsid w:val="00D17AB1"/>
    <w:rsid w:val="00D17ABA"/>
    <w:rsid w:val="00D17ACA"/>
    <w:rsid w:val="00D17AE6"/>
    <w:rsid w:val="00D17B17"/>
    <w:rsid w:val="00D17B61"/>
    <w:rsid w:val="00D17B67"/>
    <w:rsid w:val="00D17B7F"/>
    <w:rsid w:val="00D17BE1"/>
    <w:rsid w:val="00D17C23"/>
    <w:rsid w:val="00D17C2A"/>
    <w:rsid w:val="00D17CC8"/>
    <w:rsid w:val="00D17D55"/>
    <w:rsid w:val="00D17D89"/>
    <w:rsid w:val="00D17E26"/>
    <w:rsid w:val="00D17E96"/>
    <w:rsid w:val="00D17EAF"/>
    <w:rsid w:val="00D17EC3"/>
    <w:rsid w:val="00D17F25"/>
    <w:rsid w:val="00D17F26"/>
    <w:rsid w:val="00D17F7F"/>
    <w:rsid w:val="00D17F89"/>
    <w:rsid w:val="00D17FA1"/>
    <w:rsid w:val="00D17FD6"/>
    <w:rsid w:val="00D17FE3"/>
    <w:rsid w:val="00D1B726"/>
    <w:rsid w:val="00D1C2DC"/>
    <w:rsid w:val="00D20037"/>
    <w:rsid w:val="00D2003D"/>
    <w:rsid w:val="00D2006D"/>
    <w:rsid w:val="00D20083"/>
    <w:rsid w:val="00D200F0"/>
    <w:rsid w:val="00D2012B"/>
    <w:rsid w:val="00D20153"/>
    <w:rsid w:val="00D20169"/>
    <w:rsid w:val="00D20190"/>
    <w:rsid w:val="00D201D7"/>
    <w:rsid w:val="00D201DE"/>
    <w:rsid w:val="00D201FB"/>
    <w:rsid w:val="00D2020E"/>
    <w:rsid w:val="00D20235"/>
    <w:rsid w:val="00D2025F"/>
    <w:rsid w:val="00D20283"/>
    <w:rsid w:val="00D202CA"/>
    <w:rsid w:val="00D202CD"/>
    <w:rsid w:val="00D202EA"/>
    <w:rsid w:val="00D202F6"/>
    <w:rsid w:val="00D20326"/>
    <w:rsid w:val="00D203A0"/>
    <w:rsid w:val="00D203D4"/>
    <w:rsid w:val="00D203DB"/>
    <w:rsid w:val="00D203E1"/>
    <w:rsid w:val="00D20404"/>
    <w:rsid w:val="00D20426"/>
    <w:rsid w:val="00D2045E"/>
    <w:rsid w:val="00D20495"/>
    <w:rsid w:val="00D2049B"/>
    <w:rsid w:val="00D204B9"/>
    <w:rsid w:val="00D204BF"/>
    <w:rsid w:val="00D204EA"/>
    <w:rsid w:val="00D20511"/>
    <w:rsid w:val="00D2053A"/>
    <w:rsid w:val="00D20580"/>
    <w:rsid w:val="00D2058D"/>
    <w:rsid w:val="00D205AD"/>
    <w:rsid w:val="00D205AE"/>
    <w:rsid w:val="00D20628"/>
    <w:rsid w:val="00D20645"/>
    <w:rsid w:val="00D2065B"/>
    <w:rsid w:val="00D20675"/>
    <w:rsid w:val="00D20686"/>
    <w:rsid w:val="00D206C1"/>
    <w:rsid w:val="00D207E8"/>
    <w:rsid w:val="00D207EA"/>
    <w:rsid w:val="00D20821"/>
    <w:rsid w:val="00D2082C"/>
    <w:rsid w:val="00D2084D"/>
    <w:rsid w:val="00D2086F"/>
    <w:rsid w:val="00D208D1"/>
    <w:rsid w:val="00D2090C"/>
    <w:rsid w:val="00D209AD"/>
    <w:rsid w:val="00D209B2"/>
    <w:rsid w:val="00D20A5F"/>
    <w:rsid w:val="00D20A67"/>
    <w:rsid w:val="00D20A86"/>
    <w:rsid w:val="00D20A94"/>
    <w:rsid w:val="00D20AC8"/>
    <w:rsid w:val="00D20ADC"/>
    <w:rsid w:val="00D20AE3"/>
    <w:rsid w:val="00D20B89"/>
    <w:rsid w:val="00D20BF2"/>
    <w:rsid w:val="00D20C59"/>
    <w:rsid w:val="00D20D0A"/>
    <w:rsid w:val="00D20D19"/>
    <w:rsid w:val="00D20DF8"/>
    <w:rsid w:val="00D20E7E"/>
    <w:rsid w:val="00D20E97"/>
    <w:rsid w:val="00D20E9C"/>
    <w:rsid w:val="00D20F06"/>
    <w:rsid w:val="00D20F0D"/>
    <w:rsid w:val="00D20F4F"/>
    <w:rsid w:val="00D20F80"/>
    <w:rsid w:val="00D20F9D"/>
    <w:rsid w:val="00D20FCC"/>
    <w:rsid w:val="00D2100B"/>
    <w:rsid w:val="00D2101F"/>
    <w:rsid w:val="00D21039"/>
    <w:rsid w:val="00D2105B"/>
    <w:rsid w:val="00D2113F"/>
    <w:rsid w:val="00D21166"/>
    <w:rsid w:val="00D211AB"/>
    <w:rsid w:val="00D211B0"/>
    <w:rsid w:val="00D211DC"/>
    <w:rsid w:val="00D21206"/>
    <w:rsid w:val="00D2124E"/>
    <w:rsid w:val="00D2126B"/>
    <w:rsid w:val="00D212BC"/>
    <w:rsid w:val="00D212C5"/>
    <w:rsid w:val="00D212CC"/>
    <w:rsid w:val="00D2130F"/>
    <w:rsid w:val="00D21364"/>
    <w:rsid w:val="00D21379"/>
    <w:rsid w:val="00D213FE"/>
    <w:rsid w:val="00D21433"/>
    <w:rsid w:val="00D2147B"/>
    <w:rsid w:val="00D2152B"/>
    <w:rsid w:val="00D21535"/>
    <w:rsid w:val="00D21545"/>
    <w:rsid w:val="00D2155B"/>
    <w:rsid w:val="00D21565"/>
    <w:rsid w:val="00D2158D"/>
    <w:rsid w:val="00D215D1"/>
    <w:rsid w:val="00D21628"/>
    <w:rsid w:val="00D2164B"/>
    <w:rsid w:val="00D216A2"/>
    <w:rsid w:val="00D216CF"/>
    <w:rsid w:val="00D216D7"/>
    <w:rsid w:val="00D216E5"/>
    <w:rsid w:val="00D21744"/>
    <w:rsid w:val="00D2177F"/>
    <w:rsid w:val="00D21799"/>
    <w:rsid w:val="00D217D3"/>
    <w:rsid w:val="00D217D6"/>
    <w:rsid w:val="00D217DD"/>
    <w:rsid w:val="00D2182D"/>
    <w:rsid w:val="00D2189A"/>
    <w:rsid w:val="00D2194F"/>
    <w:rsid w:val="00D219BE"/>
    <w:rsid w:val="00D219F6"/>
    <w:rsid w:val="00D21A23"/>
    <w:rsid w:val="00D21A3E"/>
    <w:rsid w:val="00D21A4E"/>
    <w:rsid w:val="00D21A9D"/>
    <w:rsid w:val="00D21AA4"/>
    <w:rsid w:val="00D21ABB"/>
    <w:rsid w:val="00D21AC2"/>
    <w:rsid w:val="00D21ACE"/>
    <w:rsid w:val="00D21AF8"/>
    <w:rsid w:val="00D21B01"/>
    <w:rsid w:val="00D21B64"/>
    <w:rsid w:val="00D21B78"/>
    <w:rsid w:val="00D21B83"/>
    <w:rsid w:val="00D21BC1"/>
    <w:rsid w:val="00D21BD0"/>
    <w:rsid w:val="00D21BDC"/>
    <w:rsid w:val="00D21C15"/>
    <w:rsid w:val="00D21C86"/>
    <w:rsid w:val="00D21D6D"/>
    <w:rsid w:val="00D21D7B"/>
    <w:rsid w:val="00D21DD8"/>
    <w:rsid w:val="00D21DF1"/>
    <w:rsid w:val="00D21E61"/>
    <w:rsid w:val="00D21EAB"/>
    <w:rsid w:val="00D21ECB"/>
    <w:rsid w:val="00D21ED9"/>
    <w:rsid w:val="00D21EFA"/>
    <w:rsid w:val="00D21F29"/>
    <w:rsid w:val="00D21F2B"/>
    <w:rsid w:val="00D21F95"/>
    <w:rsid w:val="00D21F9E"/>
    <w:rsid w:val="00D21FBE"/>
    <w:rsid w:val="00D21FC6"/>
    <w:rsid w:val="00D21FE3"/>
    <w:rsid w:val="00D22046"/>
    <w:rsid w:val="00D2205F"/>
    <w:rsid w:val="00D22087"/>
    <w:rsid w:val="00D22107"/>
    <w:rsid w:val="00D2215B"/>
    <w:rsid w:val="00D2219C"/>
    <w:rsid w:val="00D221B7"/>
    <w:rsid w:val="00D221E8"/>
    <w:rsid w:val="00D2228F"/>
    <w:rsid w:val="00D22293"/>
    <w:rsid w:val="00D22298"/>
    <w:rsid w:val="00D222C2"/>
    <w:rsid w:val="00D222D4"/>
    <w:rsid w:val="00D22304"/>
    <w:rsid w:val="00D2231B"/>
    <w:rsid w:val="00D22382"/>
    <w:rsid w:val="00D223D4"/>
    <w:rsid w:val="00D223FB"/>
    <w:rsid w:val="00D22479"/>
    <w:rsid w:val="00D22482"/>
    <w:rsid w:val="00D22488"/>
    <w:rsid w:val="00D2248D"/>
    <w:rsid w:val="00D22499"/>
    <w:rsid w:val="00D2249F"/>
    <w:rsid w:val="00D22500"/>
    <w:rsid w:val="00D22503"/>
    <w:rsid w:val="00D2250E"/>
    <w:rsid w:val="00D22527"/>
    <w:rsid w:val="00D22547"/>
    <w:rsid w:val="00D22551"/>
    <w:rsid w:val="00D22556"/>
    <w:rsid w:val="00D22561"/>
    <w:rsid w:val="00D22572"/>
    <w:rsid w:val="00D225A2"/>
    <w:rsid w:val="00D22656"/>
    <w:rsid w:val="00D22699"/>
    <w:rsid w:val="00D226A5"/>
    <w:rsid w:val="00D2275A"/>
    <w:rsid w:val="00D22797"/>
    <w:rsid w:val="00D227E1"/>
    <w:rsid w:val="00D2282D"/>
    <w:rsid w:val="00D22835"/>
    <w:rsid w:val="00D228C2"/>
    <w:rsid w:val="00D22A02"/>
    <w:rsid w:val="00D22A3E"/>
    <w:rsid w:val="00D22AA9"/>
    <w:rsid w:val="00D22AF0"/>
    <w:rsid w:val="00D22B12"/>
    <w:rsid w:val="00D22B1C"/>
    <w:rsid w:val="00D22B42"/>
    <w:rsid w:val="00D22BA0"/>
    <w:rsid w:val="00D22BBF"/>
    <w:rsid w:val="00D22BD2"/>
    <w:rsid w:val="00D22C51"/>
    <w:rsid w:val="00D22CAB"/>
    <w:rsid w:val="00D22CAF"/>
    <w:rsid w:val="00D22CE5"/>
    <w:rsid w:val="00D22CF5"/>
    <w:rsid w:val="00D22D49"/>
    <w:rsid w:val="00D22D78"/>
    <w:rsid w:val="00D22D79"/>
    <w:rsid w:val="00D22DA6"/>
    <w:rsid w:val="00D22DB0"/>
    <w:rsid w:val="00D22DCA"/>
    <w:rsid w:val="00D22E3E"/>
    <w:rsid w:val="00D22EDE"/>
    <w:rsid w:val="00D22EE3"/>
    <w:rsid w:val="00D22EF6"/>
    <w:rsid w:val="00D22F31"/>
    <w:rsid w:val="00D22F67"/>
    <w:rsid w:val="00D22FC5"/>
    <w:rsid w:val="00D2304B"/>
    <w:rsid w:val="00D23064"/>
    <w:rsid w:val="00D230DB"/>
    <w:rsid w:val="00D230EE"/>
    <w:rsid w:val="00D23118"/>
    <w:rsid w:val="00D23130"/>
    <w:rsid w:val="00D2318A"/>
    <w:rsid w:val="00D231B4"/>
    <w:rsid w:val="00D23223"/>
    <w:rsid w:val="00D23247"/>
    <w:rsid w:val="00D232A2"/>
    <w:rsid w:val="00D232FD"/>
    <w:rsid w:val="00D2338F"/>
    <w:rsid w:val="00D233A3"/>
    <w:rsid w:val="00D233FD"/>
    <w:rsid w:val="00D23451"/>
    <w:rsid w:val="00D2346E"/>
    <w:rsid w:val="00D234CC"/>
    <w:rsid w:val="00D234E8"/>
    <w:rsid w:val="00D234ED"/>
    <w:rsid w:val="00D23527"/>
    <w:rsid w:val="00D2354E"/>
    <w:rsid w:val="00D23593"/>
    <w:rsid w:val="00D235EA"/>
    <w:rsid w:val="00D23658"/>
    <w:rsid w:val="00D23661"/>
    <w:rsid w:val="00D2366C"/>
    <w:rsid w:val="00D236B5"/>
    <w:rsid w:val="00D236C0"/>
    <w:rsid w:val="00D236EA"/>
    <w:rsid w:val="00D23706"/>
    <w:rsid w:val="00D2370B"/>
    <w:rsid w:val="00D23710"/>
    <w:rsid w:val="00D23757"/>
    <w:rsid w:val="00D23777"/>
    <w:rsid w:val="00D23785"/>
    <w:rsid w:val="00D23797"/>
    <w:rsid w:val="00D237AA"/>
    <w:rsid w:val="00D237AF"/>
    <w:rsid w:val="00D237BB"/>
    <w:rsid w:val="00D237C6"/>
    <w:rsid w:val="00D23830"/>
    <w:rsid w:val="00D23866"/>
    <w:rsid w:val="00D2389E"/>
    <w:rsid w:val="00D238B3"/>
    <w:rsid w:val="00D238D4"/>
    <w:rsid w:val="00D23930"/>
    <w:rsid w:val="00D239BD"/>
    <w:rsid w:val="00D239E6"/>
    <w:rsid w:val="00D23A7C"/>
    <w:rsid w:val="00D23B2B"/>
    <w:rsid w:val="00D23B71"/>
    <w:rsid w:val="00D23BA6"/>
    <w:rsid w:val="00D23C03"/>
    <w:rsid w:val="00D23C5C"/>
    <w:rsid w:val="00D23C90"/>
    <w:rsid w:val="00D23C99"/>
    <w:rsid w:val="00D23CBA"/>
    <w:rsid w:val="00D23CC1"/>
    <w:rsid w:val="00D23CFF"/>
    <w:rsid w:val="00D23D0C"/>
    <w:rsid w:val="00D23D57"/>
    <w:rsid w:val="00D23DE7"/>
    <w:rsid w:val="00D23E49"/>
    <w:rsid w:val="00D23EB5"/>
    <w:rsid w:val="00D23ED5"/>
    <w:rsid w:val="00D23F60"/>
    <w:rsid w:val="00D23FB7"/>
    <w:rsid w:val="00D23FD2"/>
    <w:rsid w:val="00D23FD3"/>
    <w:rsid w:val="00D23FE0"/>
    <w:rsid w:val="00D2401B"/>
    <w:rsid w:val="00D240AA"/>
    <w:rsid w:val="00D240D3"/>
    <w:rsid w:val="00D240F8"/>
    <w:rsid w:val="00D24101"/>
    <w:rsid w:val="00D24122"/>
    <w:rsid w:val="00D24178"/>
    <w:rsid w:val="00D24188"/>
    <w:rsid w:val="00D241AF"/>
    <w:rsid w:val="00D241FD"/>
    <w:rsid w:val="00D24235"/>
    <w:rsid w:val="00D24243"/>
    <w:rsid w:val="00D24275"/>
    <w:rsid w:val="00D242A6"/>
    <w:rsid w:val="00D24362"/>
    <w:rsid w:val="00D24390"/>
    <w:rsid w:val="00D24395"/>
    <w:rsid w:val="00D243A8"/>
    <w:rsid w:val="00D243C2"/>
    <w:rsid w:val="00D243FD"/>
    <w:rsid w:val="00D244DA"/>
    <w:rsid w:val="00D244E1"/>
    <w:rsid w:val="00D24524"/>
    <w:rsid w:val="00D2453E"/>
    <w:rsid w:val="00D245B4"/>
    <w:rsid w:val="00D245FA"/>
    <w:rsid w:val="00D24662"/>
    <w:rsid w:val="00D246AF"/>
    <w:rsid w:val="00D246B1"/>
    <w:rsid w:val="00D246B2"/>
    <w:rsid w:val="00D246E3"/>
    <w:rsid w:val="00D2471C"/>
    <w:rsid w:val="00D24784"/>
    <w:rsid w:val="00D247A0"/>
    <w:rsid w:val="00D247BA"/>
    <w:rsid w:val="00D2486C"/>
    <w:rsid w:val="00D24896"/>
    <w:rsid w:val="00D248D6"/>
    <w:rsid w:val="00D248D8"/>
    <w:rsid w:val="00D248E2"/>
    <w:rsid w:val="00D2492D"/>
    <w:rsid w:val="00D24935"/>
    <w:rsid w:val="00D24940"/>
    <w:rsid w:val="00D2495D"/>
    <w:rsid w:val="00D2496C"/>
    <w:rsid w:val="00D249A4"/>
    <w:rsid w:val="00D24A5C"/>
    <w:rsid w:val="00D24A75"/>
    <w:rsid w:val="00D24B06"/>
    <w:rsid w:val="00D24B23"/>
    <w:rsid w:val="00D24BC5"/>
    <w:rsid w:val="00D24BEA"/>
    <w:rsid w:val="00D24BFF"/>
    <w:rsid w:val="00D24CF0"/>
    <w:rsid w:val="00D24CFF"/>
    <w:rsid w:val="00D24D2B"/>
    <w:rsid w:val="00D24D7D"/>
    <w:rsid w:val="00D24D7E"/>
    <w:rsid w:val="00D24D80"/>
    <w:rsid w:val="00D24DA5"/>
    <w:rsid w:val="00D24DB7"/>
    <w:rsid w:val="00D24DC8"/>
    <w:rsid w:val="00D24DCB"/>
    <w:rsid w:val="00D24E0F"/>
    <w:rsid w:val="00D24E32"/>
    <w:rsid w:val="00D24E41"/>
    <w:rsid w:val="00D24E49"/>
    <w:rsid w:val="00D24EB9"/>
    <w:rsid w:val="00D24F05"/>
    <w:rsid w:val="00D24F1F"/>
    <w:rsid w:val="00D24F27"/>
    <w:rsid w:val="00D24F6B"/>
    <w:rsid w:val="00D24FA8"/>
    <w:rsid w:val="00D24FE1"/>
    <w:rsid w:val="00D250C1"/>
    <w:rsid w:val="00D250E6"/>
    <w:rsid w:val="00D250F4"/>
    <w:rsid w:val="00D2514A"/>
    <w:rsid w:val="00D25168"/>
    <w:rsid w:val="00D251A0"/>
    <w:rsid w:val="00D251A1"/>
    <w:rsid w:val="00D251E4"/>
    <w:rsid w:val="00D25200"/>
    <w:rsid w:val="00D2520F"/>
    <w:rsid w:val="00D25265"/>
    <w:rsid w:val="00D252A7"/>
    <w:rsid w:val="00D252AB"/>
    <w:rsid w:val="00D252C6"/>
    <w:rsid w:val="00D252CD"/>
    <w:rsid w:val="00D25305"/>
    <w:rsid w:val="00D2531A"/>
    <w:rsid w:val="00D25338"/>
    <w:rsid w:val="00D2536C"/>
    <w:rsid w:val="00D25379"/>
    <w:rsid w:val="00D254A6"/>
    <w:rsid w:val="00D254C6"/>
    <w:rsid w:val="00D2553B"/>
    <w:rsid w:val="00D25570"/>
    <w:rsid w:val="00D256A1"/>
    <w:rsid w:val="00D256D8"/>
    <w:rsid w:val="00D256DD"/>
    <w:rsid w:val="00D2577D"/>
    <w:rsid w:val="00D2579C"/>
    <w:rsid w:val="00D257A9"/>
    <w:rsid w:val="00D25832"/>
    <w:rsid w:val="00D2588E"/>
    <w:rsid w:val="00D258B2"/>
    <w:rsid w:val="00D258D4"/>
    <w:rsid w:val="00D258F8"/>
    <w:rsid w:val="00D2590C"/>
    <w:rsid w:val="00D25985"/>
    <w:rsid w:val="00D25A43"/>
    <w:rsid w:val="00D25A8C"/>
    <w:rsid w:val="00D25AEC"/>
    <w:rsid w:val="00D25B54"/>
    <w:rsid w:val="00D25B62"/>
    <w:rsid w:val="00D25BD0"/>
    <w:rsid w:val="00D25BDC"/>
    <w:rsid w:val="00D25BFE"/>
    <w:rsid w:val="00D25C59"/>
    <w:rsid w:val="00D25C79"/>
    <w:rsid w:val="00D25C87"/>
    <w:rsid w:val="00D25CB8"/>
    <w:rsid w:val="00D25CE8"/>
    <w:rsid w:val="00D25D0C"/>
    <w:rsid w:val="00D25D16"/>
    <w:rsid w:val="00D25D44"/>
    <w:rsid w:val="00D25D4F"/>
    <w:rsid w:val="00D25D63"/>
    <w:rsid w:val="00D25D81"/>
    <w:rsid w:val="00D25DCD"/>
    <w:rsid w:val="00D25E07"/>
    <w:rsid w:val="00D25E30"/>
    <w:rsid w:val="00D25E56"/>
    <w:rsid w:val="00D25EB2"/>
    <w:rsid w:val="00D25ECC"/>
    <w:rsid w:val="00D25EDC"/>
    <w:rsid w:val="00D25EF9"/>
    <w:rsid w:val="00D25F10"/>
    <w:rsid w:val="00D25F44"/>
    <w:rsid w:val="00D25F55"/>
    <w:rsid w:val="00D25FA7"/>
    <w:rsid w:val="00D25FB6"/>
    <w:rsid w:val="00D26001"/>
    <w:rsid w:val="00D260C3"/>
    <w:rsid w:val="00D26122"/>
    <w:rsid w:val="00D26130"/>
    <w:rsid w:val="00D261C3"/>
    <w:rsid w:val="00D26228"/>
    <w:rsid w:val="00D2623B"/>
    <w:rsid w:val="00D2623D"/>
    <w:rsid w:val="00D262B7"/>
    <w:rsid w:val="00D262F8"/>
    <w:rsid w:val="00D2631E"/>
    <w:rsid w:val="00D26320"/>
    <w:rsid w:val="00D26341"/>
    <w:rsid w:val="00D26354"/>
    <w:rsid w:val="00D263A8"/>
    <w:rsid w:val="00D263B2"/>
    <w:rsid w:val="00D263F8"/>
    <w:rsid w:val="00D264A1"/>
    <w:rsid w:val="00D264AF"/>
    <w:rsid w:val="00D264DC"/>
    <w:rsid w:val="00D264EE"/>
    <w:rsid w:val="00D26547"/>
    <w:rsid w:val="00D2656D"/>
    <w:rsid w:val="00D2660E"/>
    <w:rsid w:val="00D2666B"/>
    <w:rsid w:val="00D26704"/>
    <w:rsid w:val="00D26762"/>
    <w:rsid w:val="00D26784"/>
    <w:rsid w:val="00D2679C"/>
    <w:rsid w:val="00D267B1"/>
    <w:rsid w:val="00D26844"/>
    <w:rsid w:val="00D2684D"/>
    <w:rsid w:val="00D26857"/>
    <w:rsid w:val="00D2685E"/>
    <w:rsid w:val="00D268B3"/>
    <w:rsid w:val="00D268D7"/>
    <w:rsid w:val="00D26909"/>
    <w:rsid w:val="00D2690C"/>
    <w:rsid w:val="00D26915"/>
    <w:rsid w:val="00D26928"/>
    <w:rsid w:val="00D26956"/>
    <w:rsid w:val="00D2695C"/>
    <w:rsid w:val="00D269DC"/>
    <w:rsid w:val="00D26A33"/>
    <w:rsid w:val="00D26A6B"/>
    <w:rsid w:val="00D26AA2"/>
    <w:rsid w:val="00D26AB5"/>
    <w:rsid w:val="00D26B10"/>
    <w:rsid w:val="00D26B48"/>
    <w:rsid w:val="00D26B99"/>
    <w:rsid w:val="00D26C36"/>
    <w:rsid w:val="00D26C43"/>
    <w:rsid w:val="00D26C5A"/>
    <w:rsid w:val="00D26C76"/>
    <w:rsid w:val="00D26C88"/>
    <w:rsid w:val="00D26CE8"/>
    <w:rsid w:val="00D26D19"/>
    <w:rsid w:val="00D26D25"/>
    <w:rsid w:val="00D26D41"/>
    <w:rsid w:val="00D26DB8"/>
    <w:rsid w:val="00D26E16"/>
    <w:rsid w:val="00D26E22"/>
    <w:rsid w:val="00D26E63"/>
    <w:rsid w:val="00D26E70"/>
    <w:rsid w:val="00D26EB9"/>
    <w:rsid w:val="00D26ECD"/>
    <w:rsid w:val="00D26F17"/>
    <w:rsid w:val="00D26F57"/>
    <w:rsid w:val="00D26FE4"/>
    <w:rsid w:val="00D27036"/>
    <w:rsid w:val="00D2706E"/>
    <w:rsid w:val="00D27093"/>
    <w:rsid w:val="00D27095"/>
    <w:rsid w:val="00D270B7"/>
    <w:rsid w:val="00D27100"/>
    <w:rsid w:val="00D2711A"/>
    <w:rsid w:val="00D27127"/>
    <w:rsid w:val="00D27159"/>
    <w:rsid w:val="00D27179"/>
    <w:rsid w:val="00D271DE"/>
    <w:rsid w:val="00D27221"/>
    <w:rsid w:val="00D27329"/>
    <w:rsid w:val="00D2735B"/>
    <w:rsid w:val="00D27371"/>
    <w:rsid w:val="00D27381"/>
    <w:rsid w:val="00D273DC"/>
    <w:rsid w:val="00D273EE"/>
    <w:rsid w:val="00D2743A"/>
    <w:rsid w:val="00D2744B"/>
    <w:rsid w:val="00D274A2"/>
    <w:rsid w:val="00D274D5"/>
    <w:rsid w:val="00D274D8"/>
    <w:rsid w:val="00D274ED"/>
    <w:rsid w:val="00D2755F"/>
    <w:rsid w:val="00D275FD"/>
    <w:rsid w:val="00D2766A"/>
    <w:rsid w:val="00D2768E"/>
    <w:rsid w:val="00D27690"/>
    <w:rsid w:val="00D276EE"/>
    <w:rsid w:val="00D27768"/>
    <w:rsid w:val="00D277AE"/>
    <w:rsid w:val="00D277CC"/>
    <w:rsid w:val="00D27800"/>
    <w:rsid w:val="00D27821"/>
    <w:rsid w:val="00D27825"/>
    <w:rsid w:val="00D27851"/>
    <w:rsid w:val="00D27867"/>
    <w:rsid w:val="00D2787A"/>
    <w:rsid w:val="00D27880"/>
    <w:rsid w:val="00D27888"/>
    <w:rsid w:val="00D278A3"/>
    <w:rsid w:val="00D278D4"/>
    <w:rsid w:val="00D278F1"/>
    <w:rsid w:val="00D27901"/>
    <w:rsid w:val="00D27943"/>
    <w:rsid w:val="00D27967"/>
    <w:rsid w:val="00D279B2"/>
    <w:rsid w:val="00D27A2A"/>
    <w:rsid w:val="00D27A30"/>
    <w:rsid w:val="00D27A52"/>
    <w:rsid w:val="00D27A95"/>
    <w:rsid w:val="00D27AAF"/>
    <w:rsid w:val="00D27B14"/>
    <w:rsid w:val="00D27B21"/>
    <w:rsid w:val="00D27BCB"/>
    <w:rsid w:val="00D27C10"/>
    <w:rsid w:val="00D27C36"/>
    <w:rsid w:val="00D27C43"/>
    <w:rsid w:val="00D27C85"/>
    <w:rsid w:val="00D27D0E"/>
    <w:rsid w:val="00D27D21"/>
    <w:rsid w:val="00D27D52"/>
    <w:rsid w:val="00D27D9F"/>
    <w:rsid w:val="00D27E41"/>
    <w:rsid w:val="00D27ECD"/>
    <w:rsid w:val="00D27EFC"/>
    <w:rsid w:val="00D27F0B"/>
    <w:rsid w:val="00D27F95"/>
    <w:rsid w:val="00D27FA1"/>
    <w:rsid w:val="00D27FAE"/>
    <w:rsid w:val="00D27FD6"/>
    <w:rsid w:val="00D294DD"/>
    <w:rsid w:val="00D2E225"/>
    <w:rsid w:val="00D30041"/>
    <w:rsid w:val="00D30095"/>
    <w:rsid w:val="00D300B9"/>
    <w:rsid w:val="00D300BA"/>
    <w:rsid w:val="00D300C7"/>
    <w:rsid w:val="00D30129"/>
    <w:rsid w:val="00D30242"/>
    <w:rsid w:val="00D3028F"/>
    <w:rsid w:val="00D30346"/>
    <w:rsid w:val="00D3035B"/>
    <w:rsid w:val="00D30398"/>
    <w:rsid w:val="00D303D9"/>
    <w:rsid w:val="00D303E2"/>
    <w:rsid w:val="00D303F4"/>
    <w:rsid w:val="00D30403"/>
    <w:rsid w:val="00D30418"/>
    <w:rsid w:val="00D3044A"/>
    <w:rsid w:val="00D3045D"/>
    <w:rsid w:val="00D30473"/>
    <w:rsid w:val="00D30499"/>
    <w:rsid w:val="00D304E2"/>
    <w:rsid w:val="00D30505"/>
    <w:rsid w:val="00D3050E"/>
    <w:rsid w:val="00D30516"/>
    <w:rsid w:val="00D30561"/>
    <w:rsid w:val="00D305B3"/>
    <w:rsid w:val="00D305DB"/>
    <w:rsid w:val="00D305E4"/>
    <w:rsid w:val="00D30600"/>
    <w:rsid w:val="00D306AD"/>
    <w:rsid w:val="00D306BF"/>
    <w:rsid w:val="00D30717"/>
    <w:rsid w:val="00D30739"/>
    <w:rsid w:val="00D30777"/>
    <w:rsid w:val="00D307A9"/>
    <w:rsid w:val="00D307B3"/>
    <w:rsid w:val="00D307E1"/>
    <w:rsid w:val="00D307EB"/>
    <w:rsid w:val="00D3084C"/>
    <w:rsid w:val="00D3089B"/>
    <w:rsid w:val="00D308CA"/>
    <w:rsid w:val="00D308E3"/>
    <w:rsid w:val="00D30938"/>
    <w:rsid w:val="00D3093A"/>
    <w:rsid w:val="00D30956"/>
    <w:rsid w:val="00D309A6"/>
    <w:rsid w:val="00D30A74"/>
    <w:rsid w:val="00D30A93"/>
    <w:rsid w:val="00D30AB0"/>
    <w:rsid w:val="00D30AC3"/>
    <w:rsid w:val="00D30B0A"/>
    <w:rsid w:val="00D30B74"/>
    <w:rsid w:val="00D30BC5"/>
    <w:rsid w:val="00D30C00"/>
    <w:rsid w:val="00D30C10"/>
    <w:rsid w:val="00D30C43"/>
    <w:rsid w:val="00D30C62"/>
    <w:rsid w:val="00D30D09"/>
    <w:rsid w:val="00D30DEB"/>
    <w:rsid w:val="00D30DED"/>
    <w:rsid w:val="00D30E20"/>
    <w:rsid w:val="00D30E23"/>
    <w:rsid w:val="00D30E68"/>
    <w:rsid w:val="00D30E78"/>
    <w:rsid w:val="00D30E9A"/>
    <w:rsid w:val="00D30F0C"/>
    <w:rsid w:val="00D30F2A"/>
    <w:rsid w:val="00D30F5E"/>
    <w:rsid w:val="00D30FE2"/>
    <w:rsid w:val="00D30FE3"/>
    <w:rsid w:val="00D31073"/>
    <w:rsid w:val="00D310C9"/>
    <w:rsid w:val="00D310E0"/>
    <w:rsid w:val="00D31158"/>
    <w:rsid w:val="00D31190"/>
    <w:rsid w:val="00D3120D"/>
    <w:rsid w:val="00D31225"/>
    <w:rsid w:val="00D31269"/>
    <w:rsid w:val="00D31290"/>
    <w:rsid w:val="00D31293"/>
    <w:rsid w:val="00D312A5"/>
    <w:rsid w:val="00D312D3"/>
    <w:rsid w:val="00D312F3"/>
    <w:rsid w:val="00D31354"/>
    <w:rsid w:val="00D3137C"/>
    <w:rsid w:val="00D3137F"/>
    <w:rsid w:val="00D313C6"/>
    <w:rsid w:val="00D313F6"/>
    <w:rsid w:val="00D31408"/>
    <w:rsid w:val="00D31450"/>
    <w:rsid w:val="00D31462"/>
    <w:rsid w:val="00D314D6"/>
    <w:rsid w:val="00D314F1"/>
    <w:rsid w:val="00D3154C"/>
    <w:rsid w:val="00D3156C"/>
    <w:rsid w:val="00D315CB"/>
    <w:rsid w:val="00D315D2"/>
    <w:rsid w:val="00D315E9"/>
    <w:rsid w:val="00D315EE"/>
    <w:rsid w:val="00D31627"/>
    <w:rsid w:val="00D31636"/>
    <w:rsid w:val="00D31653"/>
    <w:rsid w:val="00D316A0"/>
    <w:rsid w:val="00D316B1"/>
    <w:rsid w:val="00D316E0"/>
    <w:rsid w:val="00D3170F"/>
    <w:rsid w:val="00D3173A"/>
    <w:rsid w:val="00D3177B"/>
    <w:rsid w:val="00D31784"/>
    <w:rsid w:val="00D3178A"/>
    <w:rsid w:val="00D3178D"/>
    <w:rsid w:val="00D3179F"/>
    <w:rsid w:val="00D317FF"/>
    <w:rsid w:val="00D31872"/>
    <w:rsid w:val="00D318D5"/>
    <w:rsid w:val="00D3193B"/>
    <w:rsid w:val="00D31949"/>
    <w:rsid w:val="00D31955"/>
    <w:rsid w:val="00D31988"/>
    <w:rsid w:val="00D31994"/>
    <w:rsid w:val="00D319DE"/>
    <w:rsid w:val="00D319ED"/>
    <w:rsid w:val="00D31A55"/>
    <w:rsid w:val="00D31A56"/>
    <w:rsid w:val="00D31AD9"/>
    <w:rsid w:val="00D31AE4"/>
    <w:rsid w:val="00D31AF8"/>
    <w:rsid w:val="00D31B4D"/>
    <w:rsid w:val="00D31B52"/>
    <w:rsid w:val="00D31B95"/>
    <w:rsid w:val="00D31B9C"/>
    <w:rsid w:val="00D31BEA"/>
    <w:rsid w:val="00D31BFC"/>
    <w:rsid w:val="00D31BFD"/>
    <w:rsid w:val="00D31C77"/>
    <w:rsid w:val="00D31C93"/>
    <w:rsid w:val="00D31CEC"/>
    <w:rsid w:val="00D31D2F"/>
    <w:rsid w:val="00D31D61"/>
    <w:rsid w:val="00D31DC5"/>
    <w:rsid w:val="00D31E07"/>
    <w:rsid w:val="00D31E30"/>
    <w:rsid w:val="00D31E35"/>
    <w:rsid w:val="00D31E4D"/>
    <w:rsid w:val="00D31E52"/>
    <w:rsid w:val="00D31E64"/>
    <w:rsid w:val="00D31E80"/>
    <w:rsid w:val="00D31E91"/>
    <w:rsid w:val="00D31EB9"/>
    <w:rsid w:val="00D31ECF"/>
    <w:rsid w:val="00D31EE7"/>
    <w:rsid w:val="00D31EEE"/>
    <w:rsid w:val="00D31EF6"/>
    <w:rsid w:val="00D31FE2"/>
    <w:rsid w:val="00D32063"/>
    <w:rsid w:val="00D3207E"/>
    <w:rsid w:val="00D320F5"/>
    <w:rsid w:val="00D320FE"/>
    <w:rsid w:val="00D32182"/>
    <w:rsid w:val="00D321FF"/>
    <w:rsid w:val="00D3220C"/>
    <w:rsid w:val="00D32213"/>
    <w:rsid w:val="00D3223E"/>
    <w:rsid w:val="00D32247"/>
    <w:rsid w:val="00D32268"/>
    <w:rsid w:val="00D322B4"/>
    <w:rsid w:val="00D322F6"/>
    <w:rsid w:val="00D32329"/>
    <w:rsid w:val="00D323D5"/>
    <w:rsid w:val="00D32406"/>
    <w:rsid w:val="00D32480"/>
    <w:rsid w:val="00D324CE"/>
    <w:rsid w:val="00D3256E"/>
    <w:rsid w:val="00D32588"/>
    <w:rsid w:val="00D325B2"/>
    <w:rsid w:val="00D32615"/>
    <w:rsid w:val="00D32635"/>
    <w:rsid w:val="00D3267C"/>
    <w:rsid w:val="00D326A0"/>
    <w:rsid w:val="00D3272B"/>
    <w:rsid w:val="00D32767"/>
    <w:rsid w:val="00D327C0"/>
    <w:rsid w:val="00D327F3"/>
    <w:rsid w:val="00D327FB"/>
    <w:rsid w:val="00D32806"/>
    <w:rsid w:val="00D328FD"/>
    <w:rsid w:val="00D32915"/>
    <w:rsid w:val="00D32968"/>
    <w:rsid w:val="00D3296F"/>
    <w:rsid w:val="00D329C2"/>
    <w:rsid w:val="00D329CE"/>
    <w:rsid w:val="00D329D2"/>
    <w:rsid w:val="00D329E3"/>
    <w:rsid w:val="00D32A43"/>
    <w:rsid w:val="00D32A77"/>
    <w:rsid w:val="00D32A78"/>
    <w:rsid w:val="00D32A89"/>
    <w:rsid w:val="00D32B2F"/>
    <w:rsid w:val="00D32B41"/>
    <w:rsid w:val="00D32BBB"/>
    <w:rsid w:val="00D32BCF"/>
    <w:rsid w:val="00D32C42"/>
    <w:rsid w:val="00D32C44"/>
    <w:rsid w:val="00D32C52"/>
    <w:rsid w:val="00D32C65"/>
    <w:rsid w:val="00D32C7F"/>
    <w:rsid w:val="00D32C8F"/>
    <w:rsid w:val="00D32CBA"/>
    <w:rsid w:val="00D32CC9"/>
    <w:rsid w:val="00D32CCA"/>
    <w:rsid w:val="00D32DCD"/>
    <w:rsid w:val="00D32DE3"/>
    <w:rsid w:val="00D32DF5"/>
    <w:rsid w:val="00D32DF7"/>
    <w:rsid w:val="00D32E26"/>
    <w:rsid w:val="00D32E5B"/>
    <w:rsid w:val="00D32E5E"/>
    <w:rsid w:val="00D32EEC"/>
    <w:rsid w:val="00D32F25"/>
    <w:rsid w:val="00D33012"/>
    <w:rsid w:val="00D33067"/>
    <w:rsid w:val="00D33099"/>
    <w:rsid w:val="00D330BD"/>
    <w:rsid w:val="00D330D3"/>
    <w:rsid w:val="00D3315B"/>
    <w:rsid w:val="00D3315D"/>
    <w:rsid w:val="00D33186"/>
    <w:rsid w:val="00D331B8"/>
    <w:rsid w:val="00D3321B"/>
    <w:rsid w:val="00D33296"/>
    <w:rsid w:val="00D332A1"/>
    <w:rsid w:val="00D332AB"/>
    <w:rsid w:val="00D33309"/>
    <w:rsid w:val="00D33314"/>
    <w:rsid w:val="00D3332B"/>
    <w:rsid w:val="00D33343"/>
    <w:rsid w:val="00D3336A"/>
    <w:rsid w:val="00D33375"/>
    <w:rsid w:val="00D33399"/>
    <w:rsid w:val="00D333EA"/>
    <w:rsid w:val="00D33472"/>
    <w:rsid w:val="00D3347F"/>
    <w:rsid w:val="00D334E4"/>
    <w:rsid w:val="00D334FF"/>
    <w:rsid w:val="00D33516"/>
    <w:rsid w:val="00D335BD"/>
    <w:rsid w:val="00D335D8"/>
    <w:rsid w:val="00D3364A"/>
    <w:rsid w:val="00D3367F"/>
    <w:rsid w:val="00D336A5"/>
    <w:rsid w:val="00D33750"/>
    <w:rsid w:val="00D33759"/>
    <w:rsid w:val="00D33761"/>
    <w:rsid w:val="00D3378B"/>
    <w:rsid w:val="00D337C3"/>
    <w:rsid w:val="00D337D4"/>
    <w:rsid w:val="00D33811"/>
    <w:rsid w:val="00D33840"/>
    <w:rsid w:val="00D3387E"/>
    <w:rsid w:val="00D33896"/>
    <w:rsid w:val="00D3389D"/>
    <w:rsid w:val="00D338D1"/>
    <w:rsid w:val="00D33953"/>
    <w:rsid w:val="00D33973"/>
    <w:rsid w:val="00D339D2"/>
    <w:rsid w:val="00D339D7"/>
    <w:rsid w:val="00D33A88"/>
    <w:rsid w:val="00D33AAF"/>
    <w:rsid w:val="00D33AD3"/>
    <w:rsid w:val="00D33B84"/>
    <w:rsid w:val="00D33BD5"/>
    <w:rsid w:val="00D33BE1"/>
    <w:rsid w:val="00D33BEC"/>
    <w:rsid w:val="00D33C11"/>
    <w:rsid w:val="00D33C55"/>
    <w:rsid w:val="00D33CB4"/>
    <w:rsid w:val="00D33CF4"/>
    <w:rsid w:val="00D33D5A"/>
    <w:rsid w:val="00D33DAF"/>
    <w:rsid w:val="00D33DBA"/>
    <w:rsid w:val="00D33DEB"/>
    <w:rsid w:val="00D33E48"/>
    <w:rsid w:val="00D33E66"/>
    <w:rsid w:val="00D33F12"/>
    <w:rsid w:val="00D33F1B"/>
    <w:rsid w:val="00D33F2B"/>
    <w:rsid w:val="00D33F2F"/>
    <w:rsid w:val="00D33F3F"/>
    <w:rsid w:val="00D33F6A"/>
    <w:rsid w:val="00D33F75"/>
    <w:rsid w:val="00D33F7E"/>
    <w:rsid w:val="00D33F9A"/>
    <w:rsid w:val="00D3406D"/>
    <w:rsid w:val="00D3408D"/>
    <w:rsid w:val="00D341EF"/>
    <w:rsid w:val="00D341FF"/>
    <w:rsid w:val="00D34227"/>
    <w:rsid w:val="00D34257"/>
    <w:rsid w:val="00D3427D"/>
    <w:rsid w:val="00D34288"/>
    <w:rsid w:val="00D342B5"/>
    <w:rsid w:val="00D342C8"/>
    <w:rsid w:val="00D34319"/>
    <w:rsid w:val="00D34354"/>
    <w:rsid w:val="00D3437D"/>
    <w:rsid w:val="00D34396"/>
    <w:rsid w:val="00D3439D"/>
    <w:rsid w:val="00D3444C"/>
    <w:rsid w:val="00D34456"/>
    <w:rsid w:val="00D34458"/>
    <w:rsid w:val="00D34656"/>
    <w:rsid w:val="00D3467E"/>
    <w:rsid w:val="00D346B1"/>
    <w:rsid w:val="00D346F7"/>
    <w:rsid w:val="00D34708"/>
    <w:rsid w:val="00D34714"/>
    <w:rsid w:val="00D34743"/>
    <w:rsid w:val="00D34756"/>
    <w:rsid w:val="00D34764"/>
    <w:rsid w:val="00D34808"/>
    <w:rsid w:val="00D34867"/>
    <w:rsid w:val="00D34872"/>
    <w:rsid w:val="00D348DD"/>
    <w:rsid w:val="00D34901"/>
    <w:rsid w:val="00D3490A"/>
    <w:rsid w:val="00D34925"/>
    <w:rsid w:val="00D34975"/>
    <w:rsid w:val="00D34987"/>
    <w:rsid w:val="00D34993"/>
    <w:rsid w:val="00D349A2"/>
    <w:rsid w:val="00D349AA"/>
    <w:rsid w:val="00D349BE"/>
    <w:rsid w:val="00D349D6"/>
    <w:rsid w:val="00D349E7"/>
    <w:rsid w:val="00D34A00"/>
    <w:rsid w:val="00D34A2C"/>
    <w:rsid w:val="00D34A3F"/>
    <w:rsid w:val="00D34A42"/>
    <w:rsid w:val="00D34A4C"/>
    <w:rsid w:val="00D34A59"/>
    <w:rsid w:val="00D34A90"/>
    <w:rsid w:val="00D34AF7"/>
    <w:rsid w:val="00D34B3B"/>
    <w:rsid w:val="00D34B6C"/>
    <w:rsid w:val="00D34C09"/>
    <w:rsid w:val="00D34C37"/>
    <w:rsid w:val="00D34C98"/>
    <w:rsid w:val="00D34CAB"/>
    <w:rsid w:val="00D34CEC"/>
    <w:rsid w:val="00D34D08"/>
    <w:rsid w:val="00D34D58"/>
    <w:rsid w:val="00D34DC2"/>
    <w:rsid w:val="00D34DF9"/>
    <w:rsid w:val="00D34E29"/>
    <w:rsid w:val="00D34E70"/>
    <w:rsid w:val="00D34E92"/>
    <w:rsid w:val="00D34ED5"/>
    <w:rsid w:val="00D34F21"/>
    <w:rsid w:val="00D350A8"/>
    <w:rsid w:val="00D35156"/>
    <w:rsid w:val="00D35170"/>
    <w:rsid w:val="00D351DA"/>
    <w:rsid w:val="00D35224"/>
    <w:rsid w:val="00D3525D"/>
    <w:rsid w:val="00D35275"/>
    <w:rsid w:val="00D352A3"/>
    <w:rsid w:val="00D352A9"/>
    <w:rsid w:val="00D352AA"/>
    <w:rsid w:val="00D352C1"/>
    <w:rsid w:val="00D352ED"/>
    <w:rsid w:val="00D35349"/>
    <w:rsid w:val="00D3537C"/>
    <w:rsid w:val="00D35390"/>
    <w:rsid w:val="00D3539E"/>
    <w:rsid w:val="00D3545B"/>
    <w:rsid w:val="00D354AA"/>
    <w:rsid w:val="00D35508"/>
    <w:rsid w:val="00D35522"/>
    <w:rsid w:val="00D3552D"/>
    <w:rsid w:val="00D3553E"/>
    <w:rsid w:val="00D3555D"/>
    <w:rsid w:val="00D35567"/>
    <w:rsid w:val="00D35585"/>
    <w:rsid w:val="00D35589"/>
    <w:rsid w:val="00D3559B"/>
    <w:rsid w:val="00D355A5"/>
    <w:rsid w:val="00D355BD"/>
    <w:rsid w:val="00D355C7"/>
    <w:rsid w:val="00D355ED"/>
    <w:rsid w:val="00D3567B"/>
    <w:rsid w:val="00D3567D"/>
    <w:rsid w:val="00D356EE"/>
    <w:rsid w:val="00D3570E"/>
    <w:rsid w:val="00D35763"/>
    <w:rsid w:val="00D35766"/>
    <w:rsid w:val="00D3578F"/>
    <w:rsid w:val="00D3579B"/>
    <w:rsid w:val="00D357B4"/>
    <w:rsid w:val="00D357D0"/>
    <w:rsid w:val="00D357EA"/>
    <w:rsid w:val="00D35844"/>
    <w:rsid w:val="00D358D8"/>
    <w:rsid w:val="00D358EB"/>
    <w:rsid w:val="00D35A10"/>
    <w:rsid w:val="00D35A39"/>
    <w:rsid w:val="00D35A44"/>
    <w:rsid w:val="00D35A60"/>
    <w:rsid w:val="00D35A77"/>
    <w:rsid w:val="00D35AD9"/>
    <w:rsid w:val="00D35B43"/>
    <w:rsid w:val="00D35B52"/>
    <w:rsid w:val="00D35B53"/>
    <w:rsid w:val="00D35BBA"/>
    <w:rsid w:val="00D35C08"/>
    <w:rsid w:val="00D35C7C"/>
    <w:rsid w:val="00D35C81"/>
    <w:rsid w:val="00D35C85"/>
    <w:rsid w:val="00D35CBC"/>
    <w:rsid w:val="00D35CED"/>
    <w:rsid w:val="00D35D6B"/>
    <w:rsid w:val="00D35DCD"/>
    <w:rsid w:val="00D35DDA"/>
    <w:rsid w:val="00D35DEA"/>
    <w:rsid w:val="00D35EC5"/>
    <w:rsid w:val="00D35EE0"/>
    <w:rsid w:val="00D35EF5"/>
    <w:rsid w:val="00D35F6E"/>
    <w:rsid w:val="00D35FFF"/>
    <w:rsid w:val="00D36001"/>
    <w:rsid w:val="00D36006"/>
    <w:rsid w:val="00D3600F"/>
    <w:rsid w:val="00D36014"/>
    <w:rsid w:val="00D3602F"/>
    <w:rsid w:val="00D36034"/>
    <w:rsid w:val="00D36035"/>
    <w:rsid w:val="00D36061"/>
    <w:rsid w:val="00D360BC"/>
    <w:rsid w:val="00D360DA"/>
    <w:rsid w:val="00D36174"/>
    <w:rsid w:val="00D36261"/>
    <w:rsid w:val="00D362A0"/>
    <w:rsid w:val="00D362B6"/>
    <w:rsid w:val="00D362F9"/>
    <w:rsid w:val="00D36363"/>
    <w:rsid w:val="00D36378"/>
    <w:rsid w:val="00D363DF"/>
    <w:rsid w:val="00D363E7"/>
    <w:rsid w:val="00D3640E"/>
    <w:rsid w:val="00D36444"/>
    <w:rsid w:val="00D3644C"/>
    <w:rsid w:val="00D36457"/>
    <w:rsid w:val="00D3646B"/>
    <w:rsid w:val="00D364A1"/>
    <w:rsid w:val="00D364EF"/>
    <w:rsid w:val="00D36523"/>
    <w:rsid w:val="00D3654C"/>
    <w:rsid w:val="00D36568"/>
    <w:rsid w:val="00D365A1"/>
    <w:rsid w:val="00D3674F"/>
    <w:rsid w:val="00D36775"/>
    <w:rsid w:val="00D367AF"/>
    <w:rsid w:val="00D367ED"/>
    <w:rsid w:val="00D36820"/>
    <w:rsid w:val="00D36877"/>
    <w:rsid w:val="00D369D2"/>
    <w:rsid w:val="00D36A26"/>
    <w:rsid w:val="00D36AA7"/>
    <w:rsid w:val="00D36B31"/>
    <w:rsid w:val="00D36C43"/>
    <w:rsid w:val="00D36C4A"/>
    <w:rsid w:val="00D36C6F"/>
    <w:rsid w:val="00D36CB2"/>
    <w:rsid w:val="00D36CBC"/>
    <w:rsid w:val="00D36CBD"/>
    <w:rsid w:val="00D36CEB"/>
    <w:rsid w:val="00D36D6F"/>
    <w:rsid w:val="00D36DAB"/>
    <w:rsid w:val="00D36DBD"/>
    <w:rsid w:val="00D36E55"/>
    <w:rsid w:val="00D36EA8"/>
    <w:rsid w:val="00D36ECC"/>
    <w:rsid w:val="00D36EE6"/>
    <w:rsid w:val="00D36EF2"/>
    <w:rsid w:val="00D36F0C"/>
    <w:rsid w:val="00D36F39"/>
    <w:rsid w:val="00D36F6D"/>
    <w:rsid w:val="00D36F9A"/>
    <w:rsid w:val="00D36FC6"/>
    <w:rsid w:val="00D36FF4"/>
    <w:rsid w:val="00D36FFA"/>
    <w:rsid w:val="00D37096"/>
    <w:rsid w:val="00D3709F"/>
    <w:rsid w:val="00D370EF"/>
    <w:rsid w:val="00D3710E"/>
    <w:rsid w:val="00D37111"/>
    <w:rsid w:val="00D37119"/>
    <w:rsid w:val="00D3715C"/>
    <w:rsid w:val="00D371B3"/>
    <w:rsid w:val="00D3725D"/>
    <w:rsid w:val="00D37273"/>
    <w:rsid w:val="00D37275"/>
    <w:rsid w:val="00D3727B"/>
    <w:rsid w:val="00D372A5"/>
    <w:rsid w:val="00D372B0"/>
    <w:rsid w:val="00D372CF"/>
    <w:rsid w:val="00D3733E"/>
    <w:rsid w:val="00D373AD"/>
    <w:rsid w:val="00D373B5"/>
    <w:rsid w:val="00D37401"/>
    <w:rsid w:val="00D37443"/>
    <w:rsid w:val="00D374A1"/>
    <w:rsid w:val="00D374DA"/>
    <w:rsid w:val="00D37569"/>
    <w:rsid w:val="00D3756E"/>
    <w:rsid w:val="00D37597"/>
    <w:rsid w:val="00D375A5"/>
    <w:rsid w:val="00D375DB"/>
    <w:rsid w:val="00D375F9"/>
    <w:rsid w:val="00D37603"/>
    <w:rsid w:val="00D37607"/>
    <w:rsid w:val="00D376EA"/>
    <w:rsid w:val="00D3774C"/>
    <w:rsid w:val="00D377AB"/>
    <w:rsid w:val="00D37809"/>
    <w:rsid w:val="00D3788F"/>
    <w:rsid w:val="00D378B8"/>
    <w:rsid w:val="00D378C4"/>
    <w:rsid w:val="00D37908"/>
    <w:rsid w:val="00D37926"/>
    <w:rsid w:val="00D37935"/>
    <w:rsid w:val="00D37940"/>
    <w:rsid w:val="00D37974"/>
    <w:rsid w:val="00D37990"/>
    <w:rsid w:val="00D379A0"/>
    <w:rsid w:val="00D379B6"/>
    <w:rsid w:val="00D379E2"/>
    <w:rsid w:val="00D379F0"/>
    <w:rsid w:val="00D37A03"/>
    <w:rsid w:val="00D37A7C"/>
    <w:rsid w:val="00D37ADA"/>
    <w:rsid w:val="00D37AEA"/>
    <w:rsid w:val="00D37B08"/>
    <w:rsid w:val="00D37B81"/>
    <w:rsid w:val="00D37B87"/>
    <w:rsid w:val="00D37B90"/>
    <w:rsid w:val="00D37BAE"/>
    <w:rsid w:val="00D37BF3"/>
    <w:rsid w:val="00D37C57"/>
    <w:rsid w:val="00D37D08"/>
    <w:rsid w:val="00D37D52"/>
    <w:rsid w:val="00D37D55"/>
    <w:rsid w:val="00D37DC6"/>
    <w:rsid w:val="00D37E04"/>
    <w:rsid w:val="00D37E5C"/>
    <w:rsid w:val="00D37F1E"/>
    <w:rsid w:val="00D37F99"/>
    <w:rsid w:val="00D37FEB"/>
    <w:rsid w:val="00D37FF7"/>
    <w:rsid w:val="00D3FDAF"/>
    <w:rsid w:val="00D40000"/>
    <w:rsid w:val="00D40002"/>
    <w:rsid w:val="00D40039"/>
    <w:rsid w:val="00D40055"/>
    <w:rsid w:val="00D400F4"/>
    <w:rsid w:val="00D4011D"/>
    <w:rsid w:val="00D4011E"/>
    <w:rsid w:val="00D40146"/>
    <w:rsid w:val="00D40147"/>
    <w:rsid w:val="00D40208"/>
    <w:rsid w:val="00D4028D"/>
    <w:rsid w:val="00D402B6"/>
    <w:rsid w:val="00D40301"/>
    <w:rsid w:val="00D4030C"/>
    <w:rsid w:val="00D40313"/>
    <w:rsid w:val="00D40320"/>
    <w:rsid w:val="00D4034E"/>
    <w:rsid w:val="00D40358"/>
    <w:rsid w:val="00D40382"/>
    <w:rsid w:val="00D403AD"/>
    <w:rsid w:val="00D403F0"/>
    <w:rsid w:val="00D403F7"/>
    <w:rsid w:val="00D40406"/>
    <w:rsid w:val="00D40438"/>
    <w:rsid w:val="00D40480"/>
    <w:rsid w:val="00D40498"/>
    <w:rsid w:val="00D4049B"/>
    <w:rsid w:val="00D404A0"/>
    <w:rsid w:val="00D404CD"/>
    <w:rsid w:val="00D404EA"/>
    <w:rsid w:val="00D404EE"/>
    <w:rsid w:val="00D40538"/>
    <w:rsid w:val="00D4056F"/>
    <w:rsid w:val="00D405BE"/>
    <w:rsid w:val="00D405E1"/>
    <w:rsid w:val="00D405E7"/>
    <w:rsid w:val="00D405ED"/>
    <w:rsid w:val="00D4064A"/>
    <w:rsid w:val="00D4064E"/>
    <w:rsid w:val="00D40665"/>
    <w:rsid w:val="00D406DB"/>
    <w:rsid w:val="00D40707"/>
    <w:rsid w:val="00D4070A"/>
    <w:rsid w:val="00D407BB"/>
    <w:rsid w:val="00D407FA"/>
    <w:rsid w:val="00D40822"/>
    <w:rsid w:val="00D40949"/>
    <w:rsid w:val="00D40982"/>
    <w:rsid w:val="00D409B7"/>
    <w:rsid w:val="00D409C0"/>
    <w:rsid w:val="00D40A06"/>
    <w:rsid w:val="00D40A36"/>
    <w:rsid w:val="00D40AAD"/>
    <w:rsid w:val="00D40ABB"/>
    <w:rsid w:val="00D40ABF"/>
    <w:rsid w:val="00D40B1B"/>
    <w:rsid w:val="00D40B3F"/>
    <w:rsid w:val="00D40BC7"/>
    <w:rsid w:val="00D40C02"/>
    <w:rsid w:val="00D40C56"/>
    <w:rsid w:val="00D40C64"/>
    <w:rsid w:val="00D40CF6"/>
    <w:rsid w:val="00D40CF9"/>
    <w:rsid w:val="00D40D45"/>
    <w:rsid w:val="00D40D72"/>
    <w:rsid w:val="00D40D7B"/>
    <w:rsid w:val="00D40DA6"/>
    <w:rsid w:val="00D40DB9"/>
    <w:rsid w:val="00D40DC3"/>
    <w:rsid w:val="00D40E6A"/>
    <w:rsid w:val="00D40E88"/>
    <w:rsid w:val="00D40E8D"/>
    <w:rsid w:val="00D40ED4"/>
    <w:rsid w:val="00D40EF8"/>
    <w:rsid w:val="00D40F47"/>
    <w:rsid w:val="00D40F59"/>
    <w:rsid w:val="00D40F7B"/>
    <w:rsid w:val="00D40FB1"/>
    <w:rsid w:val="00D40FC9"/>
    <w:rsid w:val="00D4100D"/>
    <w:rsid w:val="00D41011"/>
    <w:rsid w:val="00D4101D"/>
    <w:rsid w:val="00D41080"/>
    <w:rsid w:val="00D41083"/>
    <w:rsid w:val="00D410CD"/>
    <w:rsid w:val="00D410CF"/>
    <w:rsid w:val="00D410F7"/>
    <w:rsid w:val="00D410FE"/>
    <w:rsid w:val="00D4111B"/>
    <w:rsid w:val="00D41185"/>
    <w:rsid w:val="00D41275"/>
    <w:rsid w:val="00D41281"/>
    <w:rsid w:val="00D4129E"/>
    <w:rsid w:val="00D412B6"/>
    <w:rsid w:val="00D41327"/>
    <w:rsid w:val="00D41374"/>
    <w:rsid w:val="00D41438"/>
    <w:rsid w:val="00D4144D"/>
    <w:rsid w:val="00D41480"/>
    <w:rsid w:val="00D4149C"/>
    <w:rsid w:val="00D414A2"/>
    <w:rsid w:val="00D414E5"/>
    <w:rsid w:val="00D41542"/>
    <w:rsid w:val="00D415C7"/>
    <w:rsid w:val="00D415D9"/>
    <w:rsid w:val="00D415DD"/>
    <w:rsid w:val="00D41617"/>
    <w:rsid w:val="00D41632"/>
    <w:rsid w:val="00D416CE"/>
    <w:rsid w:val="00D41719"/>
    <w:rsid w:val="00D41731"/>
    <w:rsid w:val="00D417A7"/>
    <w:rsid w:val="00D417CF"/>
    <w:rsid w:val="00D41817"/>
    <w:rsid w:val="00D4188D"/>
    <w:rsid w:val="00D418B0"/>
    <w:rsid w:val="00D418D9"/>
    <w:rsid w:val="00D418EF"/>
    <w:rsid w:val="00D41935"/>
    <w:rsid w:val="00D41987"/>
    <w:rsid w:val="00D41992"/>
    <w:rsid w:val="00D419B4"/>
    <w:rsid w:val="00D41A06"/>
    <w:rsid w:val="00D41A25"/>
    <w:rsid w:val="00D41A4D"/>
    <w:rsid w:val="00D41A75"/>
    <w:rsid w:val="00D41A7E"/>
    <w:rsid w:val="00D41AC1"/>
    <w:rsid w:val="00D41ADE"/>
    <w:rsid w:val="00D41B42"/>
    <w:rsid w:val="00D41B9F"/>
    <w:rsid w:val="00D41BA0"/>
    <w:rsid w:val="00D41BAA"/>
    <w:rsid w:val="00D41BB8"/>
    <w:rsid w:val="00D41C21"/>
    <w:rsid w:val="00D41C75"/>
    <w:rsid w:val="00D41C8D"/>
    <w:rsid w:val="00D41CD0"/>
    <w:rsid w:val="00D41D24"/>
    <w:rsid w:val="00D41D75"/>
    <w:rsid w:val="00D41D84"/>
    <w:rsid w:val="00D41D8A"/>
    <w:rsid w:val="00D41DBC"/>
    <w:rsid w:val="00D41DC6"/>
    <w:rsid w:val="00D41DE3"/>
    <w:rsid w:val="00D41E6D"/>
    <w:rsid w:val="00D41E7A"/>
    <w:rsid w:val="00D41EA3"/>
    <w:rsid w:val="00D41F32"/>
    <w:rsid w:val="00D41F47"/>
    <w:rsid w:val="00D41F61"/>
    <w:rsid w:val="00D41F79"/>
    <w:rsid w:val="00D4209A"/>
    <w:rsid w:val="00D4209E"/>
    <w:rsid w:val="00D4210A"/>
    <w:rsid w:val="00D4212A"/>
    <w:rsid w:val="00D4214C"/>
    <w:rsid w:val="00D42175"/>
    <w:rsid w:val="00D421C6"/>
    <w:rsid w:val="00D421DA"/>
    <w:rsid w:val="00D421E2"/>
    <w:rsid w:val="00D4224D"/>
    <w:rsid w:val="00D42257"/>
    <w:rsid w:val="00D42309"/>
    <w:rsid w:val="00D42398"/>
    <w:rsid w:val="00D42471"/>
    <w:rsid w:val="00D42491"/>
    <w:rsid w:val="00D424C5"/>
    <w:rsid w:val="00D4251F"/>
    <w:rsid w:val="00D42539"/>
    <w:rsid w:val="00D42552"/>
    <w:rsid w:val="00D425A6"/>
    <w:rsid w:val="00D42650"/>
    <w:rsid w:val="00D4265D"/>
    <w:rsid w:val="00D4268D"/>
    <w:rsid w:val="00D4270F"/>
    <w:rsid w:val="00D427B5"/>
    <w:rsid w:val="00D427C3"/>
    <w:rsid w:val="00D4285F"/>
    <w:rsid w:val="00D428BF"/>
    <w:rsid w:val="00D428DC"/>
    <w:rsid w:val="00D428F0"/>
    <w:rsid w:val="00D428F2"/>
    <w:rsid w:val="00D429A2"/>
    <w:rsid w:val="00D429E1"/>
    <w:rsid w:val="00D42A52"/>
    <w:rsid w:val="00D42AC4"/>
    <w:rsid w:val="00D42ACA"/>
    <w:rsid w:val="00D42B47"/>
    <w:rsid w:val="00D42B74"/>
    <w:rsid w:val="00D42C5E"/>
    <w:rsid w:val="00D42C80"/>
    <w:rsid w:val="00D42CAB"/>
    <w:rsid w:val="00D42CFB"/>
    <w:rsid w:val="00D42D02"/>
    <w:rsid w:val="00D42D15"/>
    <w:rsid w:val="00D42D33"/>
    <w:rsid w:val="00D42EA6"/>
    <w:rsid w:val="00D42EBB"/>
    <w:rsid w:val="00D42EFE"/>
    <w:rsid w:val="00D42F01"/>
    <w:rsid w:val="00D42F39"/>
    <w:rsid w:val="00D42F81"/>
    <w:rsid w:val="00D43059"/>
    <w:rsid w:val="00D4306A"/>
    <w:rsid w:val="00D430F1"/>
    <w:rsid w:val="00D43126"/>
    <w:rsid w:val="00D43177"/>
    <w:rsid w:val="00D431A7"/>
    <w:rsid w:val="00D431ED"/>
    <w:rsid w:val="00D4320C"/>
    <w:rsid w:val="00D432C8"/>
    <w:rsid w:val="00D43300"/>
    <w:rsid w:val="00D4332B"/>
    <w:rsid w:val="00D4334D"/>
    <w:rsid w:val="00D4339F"/>
    <w:rsid w:val="00D433D0"/>
    <w:rsid w:val="00D43514"/>
    <w:rsid w:val="00D43525"/>
    <w:rsid w:val="00D43526"/>
    <w:rsid w:val="00D43566"/>
    <w:rsid w:val="00D4356D"/>
    <w:rsid w:val="00D43584"/>
    <w:rsid w:val="00D43585"/>
    <w:rsid w:val="00D43588"/>
    <w:rsid w:val="00D43592"/>
    <w:rsid w:val="00D435E7"/>
    <w:rsid w:val="00D436B7"/>
    <w:rsid w:val="00D436C4"/>
    <w:rsid w:val="00D436E4"/>
    <w:rsid w:val="00D43707"/>
    <w:rsid w:val="00D43737"/>
    <w:rsid w:val="00D43746"/>
    <w:rsid w:val="00D4375A"/>
    <w:rsid w:val="00D43761"/>
    <w:rsid w:val="00D4376A"/>
    <w:rsid w:val="00D43779"/>
    <w:rsid w:val="00D4378F"/>
    <w:rsid w:val="00D43794"/>
    <w:rsid w:val="00D437CA"/>
    <w:rsid w:val="00D437F9"/>
    <w:rsid w:val="00D4381C"/>
    <w:rsid w:val="00D43834"/>
    <w:rsid w:val="00D438B2"/>
    <w:rsid w:val="00D438E0"/>
    <w:rsid w:val="00D438E3"/>
    <w:rsid w:val="00D43934"/>
    <w:rsid w:val="00D43951"/>
    <w:rsid w:val="00D43957"/>
    <w:rsid w:val="00D4397E"/>
    <w:rsid w:val="00D439A1"/>
    <w:rsid w:val="00D43A0F"/>
    <w:rsid w:val="00D43A30"/>
    <w:rsid w:val="00D43A56"/>
    <w:rsid w:val="00D43B65"/>
    <w:rsid w:val="00D43B69"/>
    <w:rsid w:val="00D43BAA"/>
    <w:rsid w:val="00D43C24"/>
    <w:rsid w:val="00D43C4D"/>
    <w:rsid w:val="00D43C5E"/>
    <w:rsid w:val="00D43C8C"/>
    <w:rsid w:val="00D43D41"/>
    <w:rsid w:val="00D43D68"/>
    <w:rsid w:val="00D43D8E"/>
    <w:rsid w:val="00D43D90"/>
    <w:rsid w:val="00D43D96"/>
    <w:rsid w:val="00D43DFA"/>
    <w:rsid w:val="00D43E47"/>
    <w:rsid w:val="00D43E59"/>
    <w:rsid w:val="00D43E67"/>
    <w:rsid w:val="00D43ED5"/>
    <w:rsid w:val="00D43F15"/>
    <w:rsid w:val="00D43F2E"/>
    <w:rsid w:val="00D43F42"/>
    <w:rsid w:val="00D43F65"/>
    <w:rsid w:val="00D43F73"/>
    <w:rsid w:val="00D43F8B"/>
    <w:rsid w:val="00D43FA7"/>
    <w:rsid w:val="00D43FD1"/>
    <w:rsid w:val="00D43FFE"/>
    <w:rsid w:val="00D4402F"/>
    <w:rsid w:val="00D4405E"/>
    <w:rsid w:val="00D4409C"/>
    <w:rsid w:val="00D440A9"/>
    <w:rsid w:val="00D440F3"/>
    <w:rsid w:val="00D4414B"/>
    <w:rsid w:val="00D441CB"/>
    <w:rsid w:val="00D441D1"/>
    <w:rsid w:val="00D44243"/>
    <w:rsid w:val="00D44251"/>
    <w:rsid w:val="00D442A5"/>
    <w:rsid w:val="00D442DD"/>
    <w:rsid w:val="00D44310"/>
    <w:rsid w:val="00D4433E"/>
    <w:rsid w:val="00D4445E"/>
    <w:rsid w:val="00D44468"/>
    <w:rsid w:val="00D44473"/>
    <w:rsid w:val="00D4448F"/>
    <w:rsid w:val="00D4449B"/>
    <w:rsid w:val="00D444FC"/>
    <w:rsid w:val="00D4450A"/>
    <w:rsid w:val="00D44558"/>
    <w:rsid w:val="00D445AA"/>
    <w:rsid w:val="00D445BD"/>
    <w:rsid w:val="00D445D0"/>
    <w:rsid w:val="00D445D7"/>
    <w:rsid w:val="00D445D8"/>
    <w:rsid w:val="00D4469B"/>
    <w:rsid w:val="00D4470E"/>
    <w:rsid w:val="00D44746"/>
    <w:rsid w:val="00D4476E"/>
    <w:rsid w:val="00D44789"/>
    <w:rsid w:val="00D447E7"/>
    <w:rsid w:val="00D44801"/>
    <w:rsid w:val="00D44843"/>
    <w:rsid w:val="00D448AC"/>
    <w:rsid w:val="00D448CF"/>
    <w:rsid w:val="00D448ED"/>
    <w:rsid w:val="00D44933"/>
    <w:rsid w:val="00D4495E"/>
    <w:rsid w:val="00D44990"/>
    <w:rsid w:val="00D449C5"/>
    <w:rsid w:val="00D449C9"/>
    <w:rsid w:val="00D449DE"/>
    <w:rsid w:val="00D449F2"/>
    <w:rsid w:val="00D44A22"/>
    <w:rsid w:val="00D44A4F"/>
    <w:rsid w:val="00D44AFB"/>
    <w:rsid w:val="00D44B7E"/>
    <w:rsid w:val="00D44B9E"/>
    <w:rsid w:val="00D44BC4"/>
    <w:rsid w:val="00D44BF2"/>
    <w:rsid w:val="00D44C34"/>
    <w:rsid w:val="00D44C6B"/>
    <w:rsid w:val="00D44C9D"/>
    <w:rsid w:val="00D44CA4"/>
    <w:rsid w:val="00D44D11"/>
    <w:rsid w:val="00D44DCE"/>
    <w:rsid w:val="00D44DCF"/>
    <w:rsid w:val="00D44DDD"/>
    <w:rsid w:val="00D44E1E"/>
    <w:rsid w:val="00D44E53"/>
    <w:rsid w:val="00D44E57"/>
    <w:rsid w:val="00D44E84"/>
    <w:rsid w:val="00D44EAC"/>
    <w:rsid w:val="00D44ECA"/>
    <w:rsid w:val="00D44F20"/>
    <w:rsid w:val="00D45094"/>
    <w:rsid w:val="00D450A4"/>
    <w:rsid w:val="00D4511E"/>
    <w:rsid w:val="00D451AB"/>
    <w:rsid w:val="00D45213"/>
    <w:rsid w:val="00D45217"/>
    <w:rsid w:val="00D45260"/>
    <w:rsid w:val="00D45263"/>
    <w:rsid w:val="00D452C8"/>
    <w:rsid w:val="00D452DC"/>
    <w:rsid w:val="00D45315"/>
    <w:rsid w:val="00D45362"/>
    <w:rsid w:val="00D453F9"/>
    <w:rsid w:val="00D45411"/>
    <w:rsid w:val="00D45447"/>
    <w:rsid w:val="00D4545A"/>
    <w:rsid w:val="00D45472"/>
    <w:rsid w:val="00D45504"/>
    <w:rsid w:val="00D45509"/>
    <w:rsid w:val="00D4552D"/>
    <w:rsid w:val="00D45532"/>
    <w:rsid w:val="00D4554E"/>
    <w:rsid w:val="00D45573"/>
    <w:rsid w:val="00D45596"/>
    <w:rsid w:val="00D455C8"/>
    <w:rsid w:val="00D455CB"/>
    <w:rsid w:val="00D4564C"/>
    <w:rsid w:val="00D4565B"/>
    <w:rsid w:val="00D45670"/>
    <w:rsid w:val="00D4568F"/>
    <w:rsid w:val="00D4569E"/>
    <w:rsid w:val="00D456CD"/>
    <w:rsid w:val="00D45701"/>
    <w:rsid w:val="00D4570D"/>
    <w:rsid w:val="00D45749"/>
    <w:rsid w:val="00D4575F"/>
    <w:rsid w:val="00D457C3"/>
    <w:rsid w:val="00D4588F"/>
    <w:rsid w:val="00D45932"/>
    <w:rsid w:val="00D4596D"/>
    <w:rsid w:val="00D45987"/>
    <w:rsid w:val="00D459A0"/>
    <w:rsid w:val="00D459C0"/>
    <w:rsid w:val="00D459D7"/>
    <w:rsid w:val="00D459D9"/>
    <w:rsid w:val="00D459EE"/>
    <w:rsid w:val="00D45A6C"/>
    <w:rsid w:val="00D45AAB"/>
    <w:rsid w:val="00D45AC3"/>
    <w:rsid w:val="00D45B12"/>
    <w:rsid w:val="00D45BBE"/>
    <w:rsid w:val="00D45BEF"/>
    <w:rsid w:val="00D45BFA"/>
    <w:rsid w:val="00D45C19"/>
    <w:rsid w:val="00D45C1B"/>
    <w:rsid w:val="00D45C22"/>
    <w:rsid w:val="00D45C35"/>
    <w:rsid w:val="00D45C6C"/>
    <w:rsid w:val="00D45C6D"/>
    <w:rsid w:val="00D45C84"/>
    <w:rsid w:val="00D45CC2"/>
    <w:rsid w:val="00D45D01"/>
    <w:rsid w:val="00D45E4A"/>
    <w:rsid w:val="00D45E6D"/>
    <w:rsid w:val="00D45EFB"/>
    <w:rsid w:val="00D45F0A"/>
    <w:rsid w:val="00D45F39"/>
    <w:rsid w:val="00D45F49"/>
    <w:rsid w:val="00D45FA5"/>
    <w:rsid w:val="00D45FAB"/>
    <w:rsid w:val="00D45FBC"/>
    <w:rsid w:val="00D45FDE"/>
    <w:rsid w:val="00D46033"/>
    <w:rsid w:val="00D46044"/>
    <w:rsid w:val="00D46048"/>
    <w:rsid w:val="00D4607F"/>
    <w:rsid w:val="00D46091"/>
    <w:rsid w:val="00D460A4"/>
    <w:rsid w:val="00D460A6"/>
    <w:rsid w:val="00D460B2"/>
    <w:rsid w:val="00D460C8"/>
    <w:rsid w:val="00D460F4"/>
    <w:rsid w:val="00D4611A"/>
    <w:rsid w:val="00D461A5"/>
    <w:rsid w:val="00D461E8"/>
    <w:rsid w:val="00D46207"/>
    <w:rsid w:val="00D46216"/>
    <w:rsid w:val="00D46225"/>
    <w:rsid w:val="00D4623A"/>
    <w:rsid w:val="00D46253"/>
    <w:rsid w:val="00D46261"/>
    <w:rsid w:val="00D4626F"/>
    <w:rsid w:val="00D46280"/>
    <w:rsid w:val="00D462F3"/>
    <w:rsid w:val="00D46322"/>
    <w:rsid w:val="00D4633C"/>
    <w:rsid w:val="00D46396"/>
    <w:rsid w:val="00D4640A"/>
    <w:rsid w:val="00D46432"/>
    <w:rsid w:val="00D464C1"/>
    <w:rsid w:val="00D4653B"/>
    <w:rsid w:val="00D465E5"/>
    <w:rsid w:val="00D4662E"/>
    <w:rsid w:val="00D4664A"/>
    <w:rsid w:val="00D4665C"/>
    <w:rsid w:val="00D46670"/>
    <w:rsid w:val="00D46685"/>
    <w:rsid w:val="00D4669A"/>
    <w:rsid w:val="00D46714"/>
    <w:rsid w:val="00D46723"/>
    <w:rsid w:val="00D46724"/>
    <w:rsid w:val="00D4674F"/>
    <w:rsid w:val="00D467CC"/>
    <w:rsid w:val="00D46831"/>
    <w:rsid w:val="00D4683E"/>
    <w:rsid w:val="00D46878"/>
    <w:rsid w:val="00D468F8"/>
    <w:rsid w:val="00D468FA"/>
    <w:rsid w:val="00D4691B"/>
    <w:rsid w:val="00D4695E"/>
    <w:rsid w:val="00D46973"/>
    <w:rsid w:val="00D469B6"/>
    <w:rsid w:val="00D469EF"/>
    <w:rsid w:val="00D469FB"/>
    <w:rsid w:val="00D469FC"/>
    <w:rsid w:val="00D469FE"/>
    <w:rsid w:val="00D46A3F"/>
    <w:rsid w:val="00D46AE5"/>
    <w:rsid w:val="00D46AF0"/>
    <w:rsid w:val="00D46B0A"/>
    <w:rsid w:val="00D46B90"/>
    <w:rsid w:val="00D46BC9"/>
    <w:rsid w:val="00D46C08"/>
    <w:rsid w:val="00D46C1E"/>
    <w:rsid w:val="00D46CA0"/>
    <w:rsid w:val="00D46CB9"/>
    <w:rsid w:val="00D46CCE"/>
    <w:rsid w:val="00D46CF0"/>
    <w:rsid w:val="00D46D1A"/>
    <w:rsid w:val="00D46D24"/>
    <w:rsid w:val="00D46D2D"/>
    <w:rsid w:val="00D46D52"/>
    <w:rsid w:val="00D46D63"/>
    <w:rsid w:val="00D46D94"/>
    <w:rsid w:val="00D46DB3"/>
    <w:rsid w:val="00D46DC1"/>
    <w:rsid w:val="00D46DD6"/>
    <w:rsid w:val="00D46E3C"/>
    <w:rsid w:val="00D46E4B"/>
    <w:rsid w:val="00D46E9D"/>
    <w:rsid w:val="00D46EAF"/>
    <w:rsid w:val="00D46EE2"/>
    <w:rsid w:val="00D46EF5"/>
    <w:rsid w:val="00D46F80"/>
    <w:rsid w:val="00D47064"/>
    <w:rsid w:val="00D4706F"/>
    <w:rsid w:val="00D47090"/>
    <w:rsid w:val="00D470E8"/>
    <w:rsid w:val="00D470EA"/>
    <w:rsid w:val="00D47102"/>
    <w:rsid w:val="00D47132"/>
    <w:rsid w:val="00D47146"/>
    <w:rsid w:val="00D4714F"/>
    <w:rsid w:val="00D47190"/>
    <w:rsid w:val="00D471CF"/>
    <w:rsid w:val="00D471D8"/>
    <w:rsid w:val="00D471E3"/>
    <w:rsid w:val="00D471EF"/>
    <w:rsid w:val="00D4721B"/>
    <w:rsid w:val="00D4726C"/>
    <w:rsid w:val="00D47273"/>
    <w:rsid w:val="00D47286"/>
    <w:rsid w:val="00D472A7"/>
    <w:rsid w:val="00D472BA"/>
    <w:rsid w:val="00D472CE"/>
    <w:rsid w:val="00D47340"/>
    <w:rsid w:val="00D4735D"/>
    <w:rsid w:val="00D473FB"/>
    <w:rsid w:val="00D4740E"/>
    <w:rsid w:val="00D4743F"/>
    <w:rsid w:val="00D4746A"/>
    <w:rsid w:val="00D47506"/>
    <w:rsid w:val="00D47581"/>
    <w:rsid w:val="00D47583"/>
    <w:rsid w:val="00D47589"/>
    <w:rsid w:val="00D4759A"/>
    <w:rsid w:val="00D475EA"/>
    <w:rsid w:val="00D47643"/>
    <w:rsid w:val="00D476B7"/>
    <w:rsid w:val="00D476CE"/>
    <w:rsid w:val="00D476DE"/>
    <w:rsid w:val="00D47700"/>
    <w:rsid w:val="00D47707"/>
    <w:rsid w:val="00D47719"/>
    <w:rsid w:val="00D4772E"/>
    <w:rsid w:val="00D47740"/>
    <w:rsid w:val="00D4776C"/>
    <w:rsid w:val="00D4779D"/>
    <w:rsid w:val="00D47831"/>
    <w:rsid w:val="00D47910"/>
    <w:rsid w:val="00D4798D"/>
    <w:rsid w:val="00D479C8"/>
    <w:rsid w:val="00D479CE"/>
    <w:rsid w:val="00D47A1A"/>
    <w:rsid w:val="00D47A8E"/>
    <w:rsid w:val="00D47AAC"/>
    <w:rsid w:val="00D47AEB"/>
    <w:rsid w:val="00D47B31"/>
    <w:rsid w:val="00D47B6C"/>
    <w:rsid w:val="00D47B7F"/>
    <w:rsid w:val="00D47BED"/>
    <w:rsid w:val="00D47C91"/>
    <w:rsid w:val="00D47D1F"/>
    <w:rsid w:val="00D47DFD"/>
    <w:rsid w:val="00D47E93"/>
    <w:rsid w:val="00D47E95"/>
    <w:rsid w:val="00D47EA8"/>
    <w:rsid w:val="00D47EB0"/>
    <w:rsid w:val="00D47F27"/>
    <w:rsid w:val="00D47F39"/>
    <w:rsid w:val="00D47F93"/>
    <w:rsid w:val="00D4D44C"/>
    <w:rsid w:val="00D5006A"/>
    <w:rsid w:val="00D500EA"/>
    <w:rsid w:val="00D500ED"/>
    <w:rsid w:val="00D5012C"/>
    <w:rsid w:val="00D50136"/>
    <w:rsid w:val="00D5015E"/>
    <w:rsid w:val="00D5018D"/>
    <w:rsid w:val="00D501AC"/>
    <w:rsid w:val="00D501F0"/>
    <w:rsid w:val="00D5022D"/>
    <w:rsid w:val="00D50267"/>
    <w:rsid w:val="00D50282"/>
    <w:rsid w:val="00D502F6"/>
    <w:rsid w:val="00D50316"/>
    <w:rsid w:val="00D50329"/>
    <w:rsid w:val="00D50384"/>
    <w:rsid w:val="00D503AB"/>
    <w:rsid w:val="00D503C4"/>
    <w:rsid w:val="00D503C8"/>
    <w:rsid w:val="00D50416"/>
    <w:rsid w:val="00D50438"/>
    <w:rsid w:val="00D5045B"/>
    <w:rsid w:val="00D5049B"/>
    <w:rsid w:val="00D504D1"/>
    <w:rsid w:val="00D504DE"/>
    <w:rsid w:val="00D504E8"/>
    <w:rsid w:val="00D50548"/>
    <w:rsid w:val="00D50570"/>
    <w:rsid w:val="00D505CA"/>
    <w:rsid w:val="00D505D4"/>
    <w:rsid w:val="00D505EF"/>
    <w:rsid w:val="00D50658"/>
    <w:rsid w:val="00D50668"/>
    <w:rsid w:val="00D5066B"/>
    <w:rsid w:val="00D506FE"/>
    <w:rsid w:val="00D50702"/>
    <w:rsid w:val="00D50752"/>
    <w:rsid w:val="00D5077D"/>
    <w:rsid w:val="00D50785"/>
    <w:rsid w:val="00D507C1"/>
    <w:rsid w:val="00D5080E"/>
    <w:rsid w:val="00D50837"/>
    <w:rsid w:val="00D5087A"/>
    <w:rsid w:val="00D50925"/>
    <w:rsid w:val="00D50957"/>
    <w:rsid w:val="00D50961"/>
    <w:rsid w:val="00D50996"/>
    <w:rsid w:val="00D509A1"/>
    <w:rsid w:val="00D509AE"/>
    <w:rsid w:val="00D509D4"/>
    <w:rsid w:val="00D509E7"/>
    <w:rsid w:val="00D50A11"/>
    <w:rsid w:val="00D50A19"/>
    <w:rsid w:val="00D50AEE"/>
    <w:rsid w:val="00D50B2B"/>
    <w:rsid w:val="00D50B7B"/>
    <w:rsid w:val="00D50B88"/>
    <w:rsid w:val="00D50B95"/>
    <w:rsid w:val="00D50BA4"/>
    <w:rsid w:val="00D50BDE"/>
    <w:rsid w:val="00D50C03"/>
    <w:rsid w:val="00D50C66"/>
    <w:rsid w:val="00D50C69"/>
    <w:rsid w:val="00D50C75"/>
    <w:rsid w:val="00D50C7E"/>
    <w:rsid w:val="00D50CFD"/>
    <w:rsid w:val="00D50D0D"/>
    <w:rsid w:val="00D50D33"/>
    <w:rsid w:val="00D50D34"/>
    <w:rsid w:val="00D50E44"/>
    <w:rsid w:val="00D50E73"/>
    <w:rsid w:val="00D50F2C"/>
    <w:rsid w:val="00D50F44"/>
    <w:rsid w:val="00D50F75"/>
    <w:rsid w:val="00D50FD7"/>
    <w:rsid w:val="00D50FDD"/>
    <w:rsid w:val="00D51041"/>
    <w:rsid w:val="00D51047"/>
    <w:rsid w:val="00D51073"/>
    <w:rsid w:val="00D5107D"/>
    <w:rsid w:val="00D510B9"/>
    <w:rsid w:val="00D51126"/>
    <w:rsid w:val="00D51179"/>
    <w:rsid w:val="00D51190"/>
    <w:rsid w:val="00D511D4"/>
    <w:rsid w:val="00D51223"/>
    <w:rsid w:val="00D5127E"/>
    <w:rsid w:val="00D512F5"/>
    <w:rsid w:val="00D51361"/>
    <w:rsid w:val="00D51394"/>
    <w:rsid w:val="00D5139A"/>
    <w:rsid w:val="00D513BB"/>
    <w:rsid w:val="00D513D5"/>
    <w:rsid w:val="00D51436"/>
    <w:rsid w:val="00D51483"/>
    <w:rsid w:val="00D514D3"/>
    <w:rsid w:val="00D51505"/>
    <w:rsid w:val="00D51517"/>
    <w:rsid w:val="00D51559"/>
    <w:rsid w:val="00D515BA"/>
    <w:rsid w:val="00D515BF"/>
    <w:rsid w:val="00D5161E"/>
    <w:rsid w:val="00D51644"/>
    <w:rsid w:val="00D516A3"/>
    <w:rsid w:val="00D516AB"/>
    <w:rsid w:val="00D516B4"/>
    <w:rsid w:val="00D51713"/>
    <w:rsid w:val="00D5171E"/>
    <w:rsid w:val="00D5172B"/>
    <w:rsid w:val="00D51749"/>
    <w:rsid w:val="00D5175D"/>
    <w:rsid w:val="00D517AA"/>
    <w:rsid w:val="00D517B1"/>
    <w:rsid w:val="00D51937"/>
    <w:rsid w:val="00D519C7"/>
    <w:rsid w:val="00D519EE"/>
    <w:rsid w:val="00D51A3B"/>
    <w:rsid w:val="00D51A58"/>
    <w:rsid w:val="00D51B53"/>
    <w:rsid w:val="00D51BC3"/>
    <w:rsid w:val="00D51BC5"/>
    <w:rsid w:val="00D51BD6"/>
    <w:rsid w:val="00D51BEB"/>
    <w:rsid w:val="00D51C13"/>
    <w:rsid w:val="00D51C37"/>
    <w:rsid w:val="00D51C53"/>
    <w:rsid w:val="00D51C57"/>
    <w:rsid w:val="00D51CEC"/>
    <w:rsid w:val="00D51CF6"/>
    <w:rsid w:val="00D51D05"/>
    <w:rsid w:val="00D51DF3"/>
    <w:rsid w:val="00D51E52"/>
    <w:rsid w:val="00D51E5A"/>
    <w:rsid w:val="00D51E5C"/>
    <w:rsid w:val="00D51E6D"/>
    <w:rsid w:val="00D51E7C"/>
    <w:rsid w:val="00D51EC9"/>
    <w:rsid w:val="00D51F9B"/>
    <w:rsid w:val="00D52036"/>
    <w:rsid w:val="00D52038"/>
    <w:rsid w:val="00D520A0"/>
    <w:rsid w:val="00D52126"/>
    <w:rsid w:val="00D52137"/>
    <w:rsid w:val="00D52142"/>
    <w:rsid w:val="00D5215B"/>
    <w:rsid w:val="00D521DC"/>
    <w:rsid w:val="00D52204"/>
    <w:rsid w:val="00D52226"/>
    <w:rsid w:val="00D52247"/>
    <w:rsid w:val="00D522DA"/>
    <w:rsid w:val="00D52412"/>
    <w:rsid w:val="00D52413"/>
    <w:rsid w:val="00D5241D"/>
    <w:rsid w:val="00D5249D"/>
    <w:rsid w:val="00D524CE"/>
    <w:rsid w:val="00D52598"/>
    <w:rsid w:val="00D525FA"/>
    <w:rsid w:val="00D52618"/>
    <w:rsid w:val="00D52636"/>
    <w:rsid w:val="00D52681"/>
    <w:rsid w:val="00D52688"/>
    <w:rsid w:val="00D526CC"/>
    <w:rsid w:val="00D526E6"/>
    <w:rsid w:val="00D5277A"/>
    <w:rsid w:val="00D52795"/>
    <w:rsid w:val="00D527BF"/>
    <w:rsid w:val="00D527E1"/>
    <w:rsid w:val="00D5280C"/>
    <w:rsid w:val="00D5293F"/>
    <w:rsid w:val="00D52A91"/>
    <w:rsid w:val="00D52B05"/>
    <w:rsid w:val="00D52B08"/>
    <w:rsid w:val="00D52B1A"/>
    <w:rsid w:val="00D52B2F"/>
    <w:rsid w:val="00D52B64"/>
    <w:rsid w:val="00D52B6D"/>
    <w:rsid w:val="00D52BC1"/>
    <w:rsid w:val="00D52BFB"/>
    <w:rsid w:val="00D52C7A"/>
    <w:rsid w:val="00D52C92"/>
    <w:rsid w:val="00D52CAD"/>
    <w:rsid w:val="00D52CE1"/>
    <w:rsid w:val="00D52D7C"/>
    <w:rsid w:val="00D52DBF"/>
    <w:rsid w:val="00D52E5B"/>
    <w:rsid w:val="00D52E5D"/>
    <w:rsid w:val="00D52EB9"/>
    <w:rsid w:val="00D52ED6"/>
    <w:rsid w:val="00D52F5A"/>
    <w:rsid w:val="00D52F92"/>
    <w:rsid w:val="00D52FA0"/>
    <w:rsid w:val="00D52FCC"/>
    <w:rsid w:val="00D52FE0"/>
    <w:rsid w:val="00D52FF7"/>
    <w:rsid w:val="00D52FFB"/>
    <w:rsid w:val="00D53009"/>
    <w:rsid w:val="00D53032"/>
    <w:rsid w:val="00D53066"/>
    <w:rsid w:val="00D53121"/>
    <w:rsid w:val="00D53138"/>
    <w:rsid w:val="00D5313F"/>
    <w:rsid w:val="00D53149"/>
    <w:rsid w:val="00D53165"/>
    <w:rsid w:val="00D53178"/>
    <w:rsid w:val="00D531AC"/>
    <w:rsid w:val="00D53221"/>
    <w:rsid w:val="00D5322C"/>
    <w:rsid w:val="00D532EA"/>
    <w:rsid w:val="00D53335"/>
    <w:rsid w:val="00D53342"/>
    <w:rsid w:val="00D53361"/>
    <w:rsid w:val="00D53366"/>
    <w:rsid w:val="00D5337D"/>
    <w:rsid w:val="00D5337F"/>
    <w:rsid w:val="00D53394"/>
    <w:rsid w:val="00D53397"/>
    <w:rsid w:val="00D53406"/>
    <w:rsid w:val="00D53409"/>
    <w:rsid w:val="00D5343E"/>
    <w:rsid w:val="00D5349D"/>
    <w:rsid w:val="00D534AC"/>
    <w:rsid w:val="00D53576"/>
    <w:rsid w:val="00D535A0"/>
    <w:rsid w:val="00D535D6"/>
    <w:rsid w:val="00D5368E"/>
    <w:rsid w:val="00D536AD"/>
    <w:rsid w:val="00D536D1"/>
    <w:rsid w:val="00D536F7"/>
    <w:rsid w:val="00D5370D"/>
    <w:rsid w:val="00D53755"/>
    <w:rsid w:val="00D537C4"/>
    <w:rsid w:val="00D537D4"/>
    <w:rsid w:val="00D5380A"/>
    <w:rsid w:val="00D53886"/>
    <w:rsid w:val="00D5389C"/>
    <w:rsid w:val="00D538ED"/>
    <w:rsid w:val="00D5392C"/>
    <w:rsid w:val="00D53957"/>
    <w:rsid w:val="00D53960"/>
    <w:rsid w:val="00D5398C"/>
    <w:rsid w:val="00D539DE"/>
    <w:rsid w:val="00D53A24"/>
    <w:rsid w:val="00D53A2B"/>
    <w:rsid w:val="00D53A2F"/>
    <w:rsid w:val="00D53A31"/>
    <w:rsid w:val="00D53A39"/>
    <w:rsid w:val="00D53A51"/>
    <w:rsid w:val="00D53A57"/>
    <w:rsid w:val="00D53AC8"/>
    <w:rsid w:val="00D53ACC"/>
    <w:rsid w:val="00D53AD8"/>
    <w:rsid w:val="00D53B21"/>
    <w:rsid w:val="00D53B2F"/>
    <w:rsid w:val="00D53C86"/>
    <w:rsid w:val="00D53C97"/>
    <w:rsid w:val="00D53D2E"/>
    <w:rsid w:val="00D53D55"/>
    <w:rsid w:val="00D53D84"/>
    <w:rsid w:val="00D53DE5"/>
    <w:rsid w:val="00D53DF9"/>
    <w:rsid w:val="00D53E34"/>
    <w:rsid w:val="00D53EC1"/>
    <w:rsid w:val="00D53EC9"/>
    <w:rsid w:val="00D53EE7"/>
    <w:rsid w:val="00D53EF8"/>
    <w:rsid w:val="00D53F0C"/>
    <w:rsid w:val="00D53F3A"/>
    <w:rsid w:val="00D53F86"/>
    <w:rsid w:val="00D53F87"/>
    <w:rsid w:val="00D53F88"/>
    <w:rsid w:val="00D53FE3"/>
    <w:rsid w:val="00D5402F"/>
    <w:rsid w:val="00D5403A"/>
    <w:rsid w:val="00D54073"/>
    <w:rsid w:val="00D54105"/>
    <w:rsid w:val="00D54115"/>
    <w:rsid w:val="00D54132"/>
    <w:rsid w:val="00D541CD"/>
    <w:rsid w:val="00D541D5"/>
    <w:rsid w:val="00D5427E"/>
    <w:rsid w:val="00D5431F"/>
    <w:rsid w:val="00D543A7"/>
    <w:rsid w:val="00D543EA"/>
    <w:rsid w:val="00D543FF"/>
    <w:rsid w:val="00D5440C"/>
    <w:rsid w:val="00D54412"/>
    <w:rsid w:val="00D54464"/>
    <w:rsid w:val="00D5446F"/>
    <w:rsid w:val="00D544FC"/>
    <w:rsid w:val="00D5450E"/>
    <w:rsid w:val="00D54595"/>
    <w:rsid w:val="00D5460F"/>
    <w:rsid w:val="00D54629"/>
    <w:rsid w:val="00D5463C"/>
    <w:rsid w:val="00D54677"/>
    <w:rsid w:val="00D54714"/>
    <w:rsid w:val="00D54732"/>
    <w:rsid w:val="00D54749"/>
    <w:rsid w:val="00D547CF"/>
    <w:rsid w:val="00D54812"/>
    <w:rsid w:val="00D54813"/>
    <w:rsid w:val="00D54863"/>
    <w:rsid w:val="00D54875"/>
    <w:rsid w:val="00D5494E"/>
    <w:rsid w:val="00D54954"/>
    <w:rsid w:val="00D54A0D"/>
    <w:rsid w:val="00D54AA5"/>
    <w:rsid w:val="00D54ACD"/>
    <w:rsid w:val="00D54AEE"/>
    <w:rsid w:val="00D54B03"/>
    <w:rsid w:val="00D54B4B"/>
    <w:rsid w:val="00D54B5E"/>
    <w:rsid w:val="00D54BDD"/>
    <w:rsid w:val="00D54BE1"/>
    <w:rsid w:val="00D54BF2"/>
    <w:rsid w:val="00D54BF3"/>
    <w:rsid w:val="00D54C46"/>
    <w:rsid w:val="00D54C73"/>
    <w:rsid w:val="00D54C78"/>
    <w:rsid w:val="00D54C7A"/>
    <w:rsid w:val="00D54D35"/>
    <w:rsid w:val="00D54D4B"/>
    <w:rsid w:val="00D54DE5"/>
    <w:rsid w:val="00D54EAF"/>
    <w:rsid w:val="00D54EB4"/>
    <w:rsid w:val="00D54F47"/>
    <w:rsid w:val="00D54FC1"/>
    <w:rsid w:val="00D54FF0"/>
    <w:rsid w:val="00D55037"/>
    <w:rsid w:val="00D5504C"/>
    <w:rsid w:val="00D55064"/>
    <w:rsid w:val="00D55074"/>
    <w:rsid w:val="00D55089"/>
    <w:rsid w:val="00D5509E"/>
    <w:rsid w:val="00D550A8"/>
    <w:rsid w:val="00D550FE"/>
    <w:rsid w:val="00D55131"/>
    <w:rsid w:val="00D5515D"/>
    <w:rsid w:val="00D55168"/>
    <w:rsid w:val="00D551A3"/>
    <w:rsid w:val="00D551BB"/>
    <w:rsid w:val="00D55228"/>
    <w:rsid w:val="00D55242"/>
    <w:rsid w:val="00D55255"/>
    <w:rsid w:val="00D5526F"/>
    <w:rsid w:val="00D55271"/>
    <w:rsid w:val="00D5529F"/>
    <w:rsid w:val="00D5533C"/>
    <w:rsid w:val="00D55388"/>
    <w:rsid w:val="00D5541C"/>
    <w:rsid w:val="00D5545A"/>
    <w:rsid w:val="00D55485"/>
    <w:rsid w:val="00D55486"/>
    <w:rsid w:val="00D55497"/>
    <w:rsid w:val="00D55498"/>
    <w:rsid w:val="00D554BF"/>
    <w:rsid w:val="00D55517"/>
    <w:rsid w:val="00D5552F"/>
    <w:rsid w:val="00D55551"/>
    <w:rsid w:val="00D55574"/>
    <w:rsid w:val="00D55664"/>
    <w:rsid w:val="00D556C7"/>
    <w:rsid w:val="00D556D0"/>
    <w:rsid w:val="00D556D6"/>
    <w:rsid w:val="00D55811"/>
    <w:rsid w:val="00D5583D"/>
    <w:rsid w:val="00D5584C"/>
    <w:rsid w:val="00D5589C"/>
    <w:rsid w:val="00D55956"/>
    <w:rsid w:val="00D55974"/>
    <w:rsid w:val="00D55981"/>
    <w:rsid w:val="00D55990"/>
    <w:rsid w:val="00D559D1"/>
    <w:rsid w:val="00D55A05"/>
    <w:rsid w:val="00D55A28"/>
    <w:rsid w:val="00D55A48"/>
    <w:rsid w:val="00D55A66"/>
    <w:rsid w:val="00D55B1D"/>
    <w:rsid w:val="00D55B27"/>
    <w:rsid w:val="00D55B2E"/>
    <w:rsid w:val="00D55B6C"/>
    <w:rsid w:val="00D55BEA"/>
    <w:rsid w:val="00D55C1D"/>
    <w:rsid w:val="00D55C2A"/>
    <w:rsid w:val="00D55C33"/>
    <w:rsid w:val="00D55C55"/>
    <w:rsid w:val="00D55C5B"/>
    <w:rsid w:val="00D55C6C"/>
    <w:rsid w:val="00D55C86"/>
    <w:rsid w:val="00D55C8C"/>
    <w:rsid w:val="00D55CF2"/>
    <w:rsid w:val="00D55D9D"/>
    <w:rsid w:val="00D55DA9"/>
    <w:rsid w:val="00D55DE5"/>
    <w:rsid w:val="00D55DF3"/>
    <w:rsid w:val="00D55E0A"/>
    <w:rsid w:val="00D55E12"/>
    <w:rsid w:val="00D55E39"/>
    <w:rsid w:val="00D55E40"/>
    <w:rsid w:val="00D55E52"/>
    <w:rsid w:val="00D55E83"/>
    <w:rsid w:val="00D55E9F"/>
    <w:rsid w:val="00D55F0B"/>
    <w:rsid w:val="00D55F29"/>
    <w:rsid w:val="00D55F49"/>
    <w:rsid w:val="00D55F5E"/>
    <w:rsid w:val="00D55F6A"/>
    <w:rsid w:val="00D55FA2"/>
    <w:rsid w:val="00D55FE8"/>
    <w:rsid w:val="00D55FFE"/>
    <w:rsid w:val="00D5602D"/>
    <w:rsid w:val="00D56068"/>
    <w:rsid w:val="00D5609E"/>
    <w:rsid w:val="00D560B5"/>
    <w:rsid w:val="00D56195"/>
    <w:rsid w:val="00D5619F"/>
    <w:rsid w:val="00D562D3"/>
    <w:rsid w:val="00D562FA"/>
    <w:rsid w:val="00D56326"/>
    <w:rsid w:val="00D56381"/>
    <w:rsid w:val="00D563B2"/>
    <w:rsid w:val="00D563B7"/>
    <w:rsid w:val="00D563C7"/>
    <w:rsid w:val="00D563E7"/>
    <w:rsid w:val="00D5642B"/>
    <w:rsid w:val="00D56456"/>
    <w:rsid w:val="00D56465"/>
    <w:rsid w:val="00D56565"/>
    <w:rsid w:val="00D56587"/>
    <w:rsid w:val="00D565AB"/>
    <w:rsid w:val="00D56665"/>
    <w:rsid w:val="00D56667"/>
    <w:rsid w:val="00D566E9"/>
    <w:rsid w:val="00D566ED"/>
    <w:rsid w:val="00D5670C"/>
    <w:rsid w:val="00D56713"/>
    <w:rsid w:val="00D56853"/>
    <w:rsid w:val="00D5685B"/>
    <w:rsid w:val="00D5685E"/>
    <w:rsid w:val="00D5685F"/>
    <w:rsid w:val="00D56867"/>
    <w:rsid w:val="00D56875"/>
    <w:rsid w:val="00D5687C"/>
    <w:rsid w:val="00D5689A"/>
    <w:rsid w:val="00D568AA"/>
    <w:rsid w:val="00D568B7"/>
    <w:rsid w:val="00D568BD"/>
    <w:rsid w:val="00D568C7"/>
    <w:rsid w:val="00D568DF"/>
    <w:rsid w:val="00D568F1"/>
    <w:rsid w:val="00D56901"/>
    <w:rsid w:val="00D56919"/>
    <w:rsid w:val="00D5693B"/>
    <w:rsid w:val="00D56960"/>
    <w:rsid w:val="00D569D4"/>
    <w:rsid w:val="00D569ED"/>
    <w:rsid w:val="00D569FD"/>
    <w:rsid w:val="00D56A1A"/>
    <w:rsid w:val="00D56A25"/>
    <w:rsid w:val="00D56C1F"/>
    <w:rsid w:val="00D56C70"/>
    <w:rsid w:val="00D56C77"/>
    <w:rsid w:val="00D56CC8"/>
    <w:rsid w:val="00D56CD7"/>
    <w:rsid w:val="00D56CEF"/>
    <w:rsid w:val="00D56D76"/>
    <w:rsid w:val="00D56E7C"/>
    <w:rsid w:val="00D56E7D"/>
    <w:rsid w:val="00D56EF3"/>
    <w:rsid w:val="00D56F19"/>
    <w:rsid w:val="00D56F83"/>
    <w:rsid w:val="00D56F96"/>
    <w:rsid w:val="00D57013"/>
    <w:rsid w:val="00D5705C"/>
    <w:rsid w:val="00D570A0"/>
    <w:rsid w:val="00D570C8"/>
    <w:rsid w:val="00D570CC"/>
    <w:rsid w:val="00D5712A"/>
    <w:rsid w:val="00D5713C"/>
    <w:rsid w:val="00D57173"/>
    <w:rsid w:val="00D571DD"/>
    <w:rsid w:val="00D572A0"/>
    <w:rsid w:val="00D572A4"/>
    <w:rsid w:val="00D572D5"/>
    <w:rsid w:val="00D572E1"/>
    <w:rsid w:val="00D573E0"/>
    <w:rsid w:val="00D5749F"/>
    <w:rsid w:val="00D57550"/>
    <w:rsid w:val="00D575BD"/>
    <w:rsid w:val="00D57635"/>
    <w:rsid w:val="00D57673"/>
    <w:rsid w:val="00D57696"/>
    <w:rsid w:val="00D57726"/>
    <w:rsid w:val="00D57747"/>
    <w:rsid w:val="00D577A2"/>
    <w:rsid w:val="00D577A7"/>
    <w:rsid w:val="00D577D9"/>
    <w:rsid w:val="00D577E2"/>
    <w:rsid w:val="00D57843"/>
    <w:rsid w:val="00D57864"/>
    <w:rsid w:val="00D57877"/>
    <w:rsid w:val="00D578A6"/>
    <w:rsid w:val="00D578B1"/>
    <w:rsid w:val="00D578E5"/>
    <w:rsid w:val="00D578FB"/>
    <w:rsid w:val="00D5793C"/>
    <w:rsid w:val="00D5797F"/>
    <w:rsid w:val="00D579DA"/>
    <w:rsid w:val="00D57A08"/>
    <w:rsid w:val="00D57A0A"/>
    <w:rsid w:val="00D57ABF"/>
    <w:rsid w:val="00D57AD9"/>
    <w:rsid w:val="00D57B09"/>
    <w:rsid w:val="00D57B29"/>
    <w:rsid w:val="00D57B45"/>
    <w:rsid w:val="00D57B52"/>
    <w:rsid w:val="00D57B7C"/>
    <w:rsid w:val="00D57C22"/>
    <w:rsid w:val="00D57C2D"/>
    <w:rsid w:val="00D57C41"/>
    <w:rsid w:val="00D57C66"/>
    <w:rsid w:val="00D57C67"/>
    <w:rsid w:val="00D57C8D"/>
    <w:rsid w:val="00D57CF9"/>
    <w:rsid w:val="00D57CFB"/>
    <w:rsid w:val="00D57D09"/>
    <w:rsid w:val="00D57D23"/>
    <w:rsid w:val="00D57D40"/>
    <w:rsid w:val="00D57DB1"/>
    <w:rsid w:val="00D57DCC"/>
    <w:rsid w:val="00D57DE3"/>
    <w:rsid w:val="00D57DF8"/>
    <w:rsid w:val="00D57DFD"/>
    <w:rsid w:val="00D57E6B"/>
    <w:rsid w:val="00D57ED9"/>
    <w:rsid w:val="00D57FE6"/>
    <w:rsid w:val="00D60034"/>
    <w:rsid w:val="00D60108"/>
    <w:rsid w:val="00D60125"/>
    <w:rsid w:val="00D60198"/>
    <w:rsid w:val="00D601DD"/>
    <w:rsid w:val="00D60206"/>
    <w:rsid w:val="00D60271"/>
    <w:rsid w:val="00D60290"/>
    <w:rsid w:val="00D602B3"/>
    <w:rsid w:val="00D602B9"/>
    <w:rsid w:val="00D60344"/>
    <w:rsid w:val="00D60389"/>
    <w:rsid w:val="00D603D8"/>
    <w:rsid w:val="00D604B8"/>
    <w:rsid w:val="00D604E3"/>
    <w:rsid w:val="00D604EC"/>
    <w:rsid w:val="00D6061E"/>
    <w:rsid w:val="00D60657"/>
    <w:rsid w:val="00D6072E"/>
    <w:rsid w:val="00D6075D"/>
    <w:rsid w:val="00D60773"/>
    <w:rsid w:val="00D607F0"/>
    <w:rsid w:val="00D6081B"/>
    <w:rsid w:val="00D608B2"/>
    <w:rsid w:val="00D6096F"/>
    <w:rsid w:val="00D60984"/>
    <w:rsid w:val="00D609CC"/>
    <w:rsid w:val="00D60ABF"/>
    <w:rsid w:val="00D60AE0"/>
    <w:rsid w:val="00D60AE1"/>
    <w:rsid w:val="00D60AF0"/>
    <w:rsid w:val="00D60B06"/>
    <w:rsid w:val="00D60B1E"/>
    <w:rsid w:val="00D60B35"/>
    <w:rsid w:val="00D60B66"/>
    <w:rsid w:val="00D60B81"/>
    <w:rsid w:val="00D60B90"/>
    <w:rsid w:val="00D60BFD"/>
    <w:rsid w:val="00D60C06"/>
    <w:rsid w:val="00D60C1C"/>
    <w:rsid w:val="00D60C61"/>
    <w:rsid w:val="00D60C8E"/>
    <w:rsid w:val="00D60CA7"/>
    <w:rsid w:val="00D60D1A"/>
    <w:rsid w:val="00D60DA0"/>
    <w:rsid w:val="00D60DDD"/>
    <w:rsid w:val="00D60E72"/>
    <w:rsid w:val="00D60F86"/>
    <w:rsid w:val="00D61038"/>
    <w:rsid w:val="00D61081"/>
    <w:rsid w:val="00D61183"/>
    <w:rsid w:val="00D61184"/>
    <w:rsid w:val="00D61216"/>
    <w:rsid w:val="00D61270"/>
    <w:rsid w:val="00D61277"/>
    <w:rsid w:val="00D612A2"/>
    <w:rsid w:val="00D612A9"/>
    <w:rsid w:val="00D61318"/>
    <w:rsid w:val="00D6136A"/>
    <w:rsid w:val="00D61371"/>
    <w:rsid w:val="00D613BC"/>
    <w:rsid w:val="00D613D8"/>
    <w:rsid w:val="00D613E8"/>
    <w:rsid w:val="00D61416"/>
    <w:rsid w:val="00D61456"/>
    <w:rsid w:val="00D61498"/>
    <w:rsid w:val="00D614A7"/>
    <w:rsid w:val="00D614BD"/>
    <w:rsid w:val="00D614CE"/>
    <w:rsid w:val="00D614F8"/>
    <w:rsid w:val="00D61527"/>
    <w:rsid w:val="00D615AB"/>
    <w:rsid w:val="00D615BE"/>
    <w:rsid w:val="00D615C2"/>
    <w:rsid w:val="00D615F7"/>
    <w:rsid w:val="00D61602"/>
    <w:rsid w:val="00D6161D"/>
    <w:rsid w:val="00D61653"/>
    <w:rsid w:val="00D61654"/>
    <w:rsid w:val="00D6165E"/>
    <w:rsid w:val="00D616B4"/>
    <w:rsid w:val="00D616BF"/>
    <w:rsid w:val="00D61759"/>
    <w:rsid w:val="00D617F5"/>
    <w:rsid w:val="00D6183C"/>
    <w:rsid w:val="00D61864"/>
    <w:rsid w:val="00D6187A"/>
    <w:rsid w:val="00D618A4"/>
    <w:rsid w:val="00D61909"/>
    <w:rsid w:val="00D61936"/>
    <w:rsid w:val="00D619AA"/>
    <w:rsid w:val="00D619C4"/>
    <w:rsid w:val="00D61A21"/>
    <w:rsid w:val="00D61A56"/>
    <w:rsid w:val="00D61A5B"/>
    <w:rsid w:val="00D61A6F"/>
    <w:rsid w:val="00D61A9B"/>
    <w:rsid w:val="00D61B41"/>
    <w:rsid w:val="00D61B69"/>
    <w:rsid w:val="00D61BE9"/>
    <w:rsid w:val="00D61C65"/>
    <w:rsid w:val="00D61CE9"/>
    <w:rsid w:val="00D61D57"/>
    <w:rsid w:val="00D61D63"/>
    <w:rsid w:val="00D61E07"/>
    <w:rsid w:val="00D61E36"/>
    <w:rsid w:val="00D61E76"/>
    <w:rsid w:val="00D61E89"/>
    <w:rsid w:val="00D61EB0"/>
    <w:rsid w:val="00D61EC9"/>
    <w:rsid w:val="00D61F02"/>
    <w:rsid w:val="00D61F05"/>
    <w:rsid w:val="00D61F21"/>
    <w:rsid w:val="00D61F6E"/>
    <w:rsid w:val="00D61F7D"/>
    <w:rsid w:val="00D61FB1"/>
    <w:rsid w:val="00D61FB2"/>
    <w:rsid w:val="00D61FB3"/>
    <w:rsid w:val="00D61FCA"/>
    <w:rsid w:val="00D61FF0"/>
    <w:rsid w:val="00D62003"/>
    <w:rsid w:val="00D62011"/>
    <w:rsid w:val="00D62030"/>
    <w:rsid w:val="00D620E9"/>
    <w:rsid w:val="00D6213B"/>
    <w:rsid w:val="00D62183"/>
    <w:rsid w:val="00D6222E"/>
    <w:rsid w:val="00D62239"/>
    <w:rsid w:val="00D622F2"/>
    <w:rsid w:val="00D6230F"/>
    <w:rsid w:val="00D62335"/>
    <w:rsid w:val="00D62339"/>
    <w:rsid w:val="00D62357"/>
    <w:rsid w:val="00D623D4"/>
    <w:rsid w:val="00D62412"/>
    <w:rsid w:val="00D62450"/>
    <w:rsid w:val="00D62458"/>
    <w:rsid w:val="00D62467"/>
    <w:rsid w:val="00D6246E"/>
    <w:rsid w:val="00D62478"/>
    <w:rsid w:val="00D62485"/>
    <w:rsid w:val="00D62497"/>
    <w:rsid w:val="00D624B5"/>
    <w:rsid w:val="00D62536"/>
    <w:rsid w:val="00D6257F"/>
    <w:rsid w:val="00D625F8"/>
    <w:rsid w:val="00D62657"/>
    <w:rsid w:val="00D62711"/>
    <w:rsid w:val="00D62764"/>
    <w:rsid w:val="00D62772"/>
    <w:rsid w:val="00D62792"/>
    <w:rsid w:val="00D62819"/>
    <w:rsid w:val="00D6283C"/>
    <w:rsid w:val="00D62883"/>
    <w:rsid w:val="00D628A5"/>
    <w:rsid w:val="00D628F9"/>
    <w:rsid w:val="00D628FA"/>
    <w:rsid w:val="00D6296C"/>
    <w:rsid w:val="00D629AE"/>
    <w:rsid w:val="00D629B9"/>
    <w:rsid w:val="00D629E7"/>
    <w:rsid w:val="00D62A17"/>
    <w:rsid w:val="00D62A5E"/>
    <w:rsid w:val="00D62A6E"/>
    <w:rsid w:val="00D62AB8"/>
    <w:rsid w:val="00D62AC6"/>
    <w:rsid w:val="00D62B11"/>
    <w:rsid w:val="00D62BF9"/>
    <w:rsid w:val="00D62C26"/>
    <w:rsid w:val="00D62C3C"/>
    <w:rsid w:val="00D62C44"/>
    <w:rsid w:val="00D62C5E"/>
    <w:rsid w:val="00D62CC0"/>
    <w:rsid w:val="00D62CC2"/>
    <w:rsid w:val="00D62CDC"/>
    <w:rsid w:val="00D62CF3"/>
    <w:rsid w:val="00D62CF7"/>
    <w:rsid w:val="00D62D09"/>
    <w:rsid w:val="00D62D2B"/>
    <w:rsid w:val="00D62D51"/>
    <w:rsid w:val="00D62D8A"/>
    <w:rsid w:val="00D62D8C"/>
    <w:rsid w:val="00D62E17"/>
    <w:rsid w:val="00D62E25"/>
    <w:rsid w:val="00D62E8A"/>
    <w:rsid w:val="00D62EA4"/>
    <w:rsid w:val="00D62EB8"/>
    <w:rsid w:val="00D62F3F"/>
    <w:rsid w:val="00D62F62"/>
    <w:rsid w:val="00D62F9E"/>
    <w:rsid w:val="00D62FC4"/>
    <w:rsid w:val="00D62FDC"/>
    <w:rsid w:val="00D63057"/>
    <w:rsid w:val="00D6305C"/>
    <w:rsid w:val="00D63069"/>
    <w:rsid w:val="00D63083"/>
    <w:rsid w:val="00D630A8"/>
    <w:rsid w:val="00D630C1"/>
    <w:rsid w:val="00D630DA"/>
    <w:rsid w:val="00D63122"/>
    <w:rsid w:val="00D63123"/>
    <w:rsid w:val="00D63128"/>
    <w:rsid w:val="00D63142"/>
    <w:rsid w:val="00D6315F"/>
    <w:rsid w:val="00D6319B"/>
    <w:rsid w:val="00D631D2"/>
    <w:rsid w:val="00D631DE"/>
    <w:rsid w:val="00D631E1"/>
    <w:rsid w:val="00D63242"/>
    <w:rsid w:val="00D63268"/>
    <w:rsid w:val="00D63278"/>
    <w:rsid w:val="00D63280"/>
    <w:rsid w:val="00D63293"/>
    <w:rsid w:val="00D6329E"/>
    <w:rsid w:val="00D632A1"/>
    <w:rsid w:val="00D632AF"/>
    <w:rsid w:val="00D632F8"/>
    <w:rsid w:val="00D6336D"/>
    <w:rsid w:val="00D633A0"/>
    <w:rsid w:val="00D633B1"/>
    <w:rsid w:val="00D633D5"/>
    <w:rsid w:val="00D633DD"/>
    <w:rsid w:val="00D6341B"/>
    <w:rsid w:val="00D6346E"/>
    <w:rsid w:val="00D63481"/>
    <w:rsid w:val="00D6348B"/>
    <w:rsid w:val="00D6348E"/>
    <w:rsid w:val="00D634BD"/>
    <w:rsid w:val="00D63507"/>
    <w:rsid w:val="00D6350B"/>
    <w:rsid w:val="00D63519"/>
    <w:rsid w:val="00D635AE"/>
    <w:rsid w:val="00D635F5"/>
    <w:rsid w:val="00D63603"/>
    <w:rsid w:val="00D63610"/>
    <w:rsid w:val="00D63676"/>
    <w:rsid w:val="00D636B5"/>
    <w:rsid w:val="00D636C7"/>
    <w:rsid w:val="00D636CE"/>
    <w:rsid w:val="00D636E7"/>
    <w:rsid w:val="00D636E8"/>
    <w:rsid w:val="00D6371E"/>
    <w:rsid w:val="00D6375C"/>
    <w:rsid w:val="00D637A2"/>
    <w:rsid w:val="00D637EB"/>
    <w:rsid w:val="00D6382D"/>
    <w:rsid w:val="00D63833"/>
    <w:rsid w:val="00D63895"/>
    <w:rsid w:val="00D638B3"/>
    <w:rsid w:val="00D638FA"/>
    <w:rsid w:val="00D63915"/>
    <w:rsid w:val="00D63928"/>
    <w:rsid w:val="00D63939"/>
    <w:rsid w:val="00D63956"/>
    <w:rsid w:val="00D63963"/>
    <w:rsid w:val="00D63A2C"/>
    <w:rsid w:val="00D63A37"/>
    <w:rsid w:val="00D63A75"/>
    <w:rsid w:val="00D63BA9"/>
    <w:rsid w:val="00D63BB4"/>
    <w:rsid w:val="00D63BD4"/>
    <w:rsid w:val="00D63BDE"/>
    <w:rsid w:val="00D63BE9"/>
    <w:rsid w:val="00D63C05"/>
    <w:rsid w:val="00D63C4C"/>
    <w:rsid w:val="00D63C4F"/>
    <w:rsid w:val="00D63C93"/>
    <w:rsid w:val="00D63C9E"/>
    <w:rsid w:val="00D63CB8"/>
    <w:rsid w:val="00D63CC2"/>
    <w:rsid w:val="00D63D25"/>
    <w:rsid w:val="00D63D30"/>
    <w:rsid w:val="00D63D9B"/>
    <w:rsid w:val="00D63DB9"/>
    <w:rsid w:val="00D63DC1"/>
    <w:rsid w:val="00D63DE1"/>
    <w:rsid w:val="00D63E0A"/>
    <w:rsid w:val="00D63E4E"/>
    <w:rsid w:val="00D63EE7"/>
    <w:rsid w:val="00D63F13"/>
    <w:rsid w:val="00D63F39"/>
    <w:rsid w:val="00D63F91"/>
    <w:rsid w:val="00D63F92"/>
    <w:rsid w:val="00D63FB1"/>
    <w:rsid w:val="00D63FE9"/>
    <w:rsid w:val="00D6401F"/>
    <w:rsid w:val="00D64020"/>
    <w:rsid w:val="00D64038"/>
    <w:rsid w:val="00D64040"/>
    <w:rsid w:val="00D640C6"/>
    <w:rsid w:val="00D64150"/>
    <w:rsid w:val="00D6418F"/>
    <w:rsid w:val="00D641FB"/>
    <w:rsid w:val="00D64250"/>
    <w:rsid w:val="00D6426A"/>
    <w:rsid w:val="00D642C6"/>
    <w:rsid w:val="00D642D8"/>
    <w:rsid w:val="00D642DC"/>
    <w:rsid w:val="00D64349"/>
    <w:rsid w:val="00D6435C"/>
    <w:rsid w:val="00D6437B"/>
    <w:rsid w:val="00D64398"/>
    <w:rsid w:val="00D6439F"/>
    <w:rsid w:val="00D643A2"/>
    <w:rsid w:val="00D643D2"/>
    <w:rsid w:val="00D64402"/>
    <w:rsid w:val="00D64428"/>
    <w:rsid w:val="00D64471"/>
    <w:rsid w:val="00D644BB"/>
    <w:rsid w:val="00D644F2"/>
    <w:rsid w:val="00D6454B"/>
    <w:rsid w:val="00D645D4"/>
    <w:rsid w:val="00D645FA"/>
    <w:rsid w:val="00D646A1"/>
    <w:rsid w:val="00D646A3"/>
    <w:rsid w:val="00D64707"/>
    <w:rsid w:val="00D64748"/>
    <w:rsid w:val="00D64779"/>
    <w:rsid w:val="00D64799"/>
    <w:rsid w:val="00D6479E"/>
    <w:rsid w:val="00D647FD"/>
    <w:rsid w:val="00D64813"/>
    <w:rsid w:val="00D648A4"/>
    <w:rsid w:val="00D648C4"/>
    <w:rsid w:val="00D648CB"/>
    <w:rsid w:val="00D648F0"/>
    <w:rsid w:val="00D6490E"/>
    <w:rsid w:val="00D64977"/>
    <w:rsid w:val="00D64A83"/>
    <w:rsid w:val="00D64A93"/>
    <w:rsid w:val="00D64A9B"/>
    <w:rsid w:val="00D64AA1"/>
    <w:rsid w:val="00D64ADE"/>
    <w:rsid w:val="00D64B55"/>
    <w:rsid w:val="00D64B5A"/>
    <w:rsid w:val="00D64B9F"/>
    <w:rsid w:val="00D64BC1"/>
    <w:rsid w:val="00D64C91"/>
    <w:rsid w:val="00D64CE6"/>
    <w:rsid w:val="00D64CF9"/>
    <w:rsid w:val="00D64D74"/>
    <w:rsid w:val="00D64D91"/>
    <w:rsid w:val="00D64DA5"/>
    <w:rsid w:val="00D64DAB"/>
    <w:rsid w:val="00D64DBF"/>
    <w:rsid w:val="00D64E03"/>
    <w:rsid w:val="00D64EBB"/>
    <w:rsid w:val="00D64EE1"/>
    <w:rsid w:val="00D64F2A"/>
    <w:rsid w:val="00D64F3C"/>
    <w:rsid w:val="00D64F49"/>
    <w:rsid w:val="00D64FA3"/>
    <w:rsid w:val="00D64FCD"/>
    <w:rsid w:val="00D64FF6"/>
    <w:rsid w:val="00D64FFE"/>
    <w:rsid w:val="00D6503A"/>
    <w:rsid w:val="00D6503B"/>
    <w:rsid w:val="00D6507E"/>
    <w:rsid w:val="00D65081"/>
    <w:rsid w:val="00D650E0"/>
    <w:rsid w:val="00D65115"/>
    <w:rsid w:val="00D65191"/>
    <w:rsid w:val="00D652CC"/>
    <w:rsid w:val="00D652E0"/>
    <w:rsid w:val="00D652ED"/>
    <w:rsid w:val="00D6532C"/>
    <w:rsid w:val="00D65359"/>
    <w:rsid w:val="00D6538A"/>
    <w:rsid w:val="00D653A6"/>
    <w:rsid w:val="00D653E3"/>
    <w:rsid w:val="00D65408"/>
    <w:rsid w:val="00D6547E"/>
    <w:rsid w:val="00D6549E"/>
    <w:rsid w:val="00D654AC"/>
    <w:rsid w:val="00D654C9"/>
    <w:rsid w:val="00D654FD"/>
    <w:rsid w:val="00D6552E"/>
    <w:rsid w:val="00D65545"/>
    <w:rsid w:val="00D6556B"/>
    <w:rsid w:val="00D6556C"/>
    <w:rsid w:val="00D65587"/>
    <w:rsid w:val="00D655D3"/>
    <w:rsid w:val="00D65617"/>
    <w:rsid w:val="00D65627"/>
    <w:rsid w:val="00D65628"/>
    <w:rsid w:val="00D6565D"/>
    <w:rsid w:val="00D65692"/>
    <w:rsid w:val="00D656A2"/>
    <w:rsid w:val="00D656DB"/>
    <w:rsid w:val="00D656E2"/>
    <w:rsid w:val="00D65731"/>
    <w:rsid w:val="00D65742"/>
    <w:rsid w:val="00D65762"/>
    <w:rsid w:val="00D65777"/>
    <w:rsid w:val="00D65789"/>
    <w:rsid w:val="00D657AF"/>
    <w:rsid w:val="00D657D1"/>
    <w:rsid w:val="00D65832"/>
    <w:rsid w:val="00D65873"/>
    <w:rsid w:val="00D6590C"/>
    <w:rsid w:val="00D65914"/>
    <w:rsid w:val="00D65981"/>
    <w:rsid w:val="00D65994"/>
    <w:rsid w:val="00D659F8"/>
    <w:rsid w:val="00D65A5C"/>
    <w:rsid w:val="00D65A9C"/>
    <w:rsid w:val="00D65ABA"/>
    <w:rsid w:val="00D65B0B"/>
    <w:rsid w:val="00D65B2B"/>
    <w:rsid w:val="00D65B38"/>
    <w:rsid w:val="00D65B3F"/>
    <w:rsid w:val="00D65BA0"/>
    <w:rsid w:val="00D65BCF"/>
    <w:rsid w:val="00D65BD2"/>
    <w:rsid w:val="00D65C05"/>
    <w:rsid w:val="00D65C4D"/>
    <w:rsid w:val="00D65C6E"/>
    <w:rsid w:val="00D65D31"/>
    <w:rsid w:val="00D65D5B"/>
    <w:rsid w:val="00D65DB3"/>
    <w:rsid w:val="00D65E3A"/>
    <w:rsid w:val="00D65EDD"/>
    <w:rsid w:val="00D65EE3"/>
    <w:rsid w:val="00D65EE8"/>
    <w:rsid w:val="00D65EF3"/>
    <w:rsid w:val="00D65F47"/>
    <w:rsid w:val="00D65F55"/>
    <w:rsid w:val="00D65FF1"/>
    <w:rsid w:val="00D6603E"/>
    <w:rsid w:val="00D660B0"/>
    <w:rsid w:val="00D6610F"/>
    <w:rsid w:val="00D6616C"/>
    <w:rsid w:val="00D661E6"/>
    <w:rsid w:val="00D661EC"/>
    <w:rsid w:val="00D66286"/>
    <w:rsid w:val="00D662C6"/>
    <w:rsid w:val="00D6632A"/>
    <w:rsid w:val="00D6632D"/>
    <w:rsid w:val="00D6633E"/>
    <w:rsid w:val="00D663D9"/>
    <w:rsid w:val="00D663FB"/>
    <w:rsid w:val="00D66432"/>
    <w:rsid w:val="00D6644B"/>
    <w:rsid w:val="00D6646B"/>
    <w:rsid w:val="00D664D2"/>
    <w:rsid w:val="00D664F1"/>
    <w:rsid w:val="00D66521"/>
    <w:rsid w:val="00D66528"/>
    <w:rsid w:val="00D665B5"/>
    <w:rsid w:val="00D665BC"/>
    <w:rsid w:val="00D665EE"/>
    <w:rsid w:val="00D66668"/>
    <w:rsid w:val="00D666B2"/>
    <w:rsid w:val="00D666C8"/>
    <w:rsid w:val="00D66709"/>
    <w:rsid w:val="00D667B1"/>
    <w:rsid w:val="00D667D1"/>
    <w:rsid w:val="00D6680A"/>
    <w:rsid w:val="00D6683B"/>
    <w:rsid w:val="00D66866"/>
    <w:rsid w:val="00D66883"/>
    <w:rsid w:val="00D6689B"/>
    <w:rsid w:val="00D668CB"/>
    <w:rsid w:val="00D668EB"/>
    <w:rsid w:val="00D66915"/>
    <w:rsid w:val="00D6691D"/>
    <w:rsid w:val="00D66957"/>
    <w:rsid w:val="00D66992"/>
    <w:rsid w:val="00D669CE"/>
    <w:rsid w:val="00D669DA"/>
    <w:rsid w:val="00D66A1B"/>
    <w:rsid w:val="00D66A4E"/>
    <w:rsid w:val="00D66A8D"/>
    <w:rsid w:val="00D66AA0"/>
    <w:rsid w:val="00D66B77"/>
    <w:rsid w:val="00D66B7F"/>
    <w:rsid w:val="00D66B89"/>
    <w:rsid w:val="00D66C7C"/>
    <w:rsid w:val="00D66CA5"/>
    <w:rsid w:val="00D66CE3"/>
    <w:rsid w:val="00D66D30"/>
    <w:rsid w:val="00D66D66"/>
    <w:rsid w:val="00D66DAE"/>
    <w:rsid w:val="00D66DAF"/>
    <w:rsid w:val="00D66DCE"/>
    <w:rsid w:val="00D66DF0"/>
    <w:rsid w:val="00D66E43"/>
    <w:rsid w:val="00D66E52"/>
    <w:rsid w:val="00D66E8A"/>
    <w:rsid w:val="00D66E91"/>
    <w:rsid w:val="00D66EA8"/>
    <w:rsid w:val="00D66F06"/>
    <w:rsid w:val="00D66F07"/>
    <w:rsid w:val="00D66F78"/>
    <w:rsid w:val="00D66FBF"/>
    <w:rsid w:val="00D66FE8"/>
    <w:rsid w:val="00D67039"/>
    <w:rsid w:val="00D67092"/>
    <w:rsid w:val="00D670B1"/>
    <w:rsid w:val="00D67144"/>
    <w:rsid w:val="00D67157"/>
    <w:rsid w:val="00D67164"/>
    <w:rsid w:val="00D6716D"/>
    <w:rsid w:val="00D6719D"/>
    <w:rsid w:val="00D671A9"/>
    <w:rsid w:val="00D671EB"/>
    <w:rsid w:val="00D67219"/>
    <w:rsid w:val="00D67223"/>
    <w:rsid w:val="00D67242"/>
    <w:rsid w:val="00D6729C"/>
    <w:rsid w:val="00D672B7"/>
    <w:rsid w:val="00D672CC"/>
    <w:rsid w:val="00D672DD"/>
    <w:rsid w:val="00D67304"/>
    <w:rsid w:val="00D67333"/>
    <w:rsid w:val="00D67377"/>
    <w:rsid w:val="00D6738F"/>
    <w:rsid w:val="00D67399"/>
    <w:rsid w:val="00D673F9"/>
    <w:rsid w:val="00D674EB"/>
    <w:rsid w:val="00D67521"/>
    <w:rsid w:val="00D6754F"/>
    <w:rsid w:val="00D67587"/>
    <w:rsid w:val="00D675F3"/>
    <w:rsid w:val="00D675F7"/>
    <w:rsid w:val="00D6760D"/>
    <w:rsid w:val="00D67614"/>
    <w:rsid w:val="00D67660"/>
    <w:rsid w:val="00D6767C"/>
    <w:rsid w:val="00D67716"/>
    <w:rsid w:val="00D6773A"/>
    <w:rsid w:val="00D6775A"/>
    <w:rsid w:val="00D67771"/>
    <w:rsid w:val="00D6777E"/>
    <w:rsid w:val="00D67782"/>
    <w:rsid w:val="00D677B7"/>
    <w:rsid w:val="00D67826"/>
    <w:rsid w:val="00D6787D"/>
    <w:rsid w:val="00D678F3"/>
    <w:rsid w:val="00D67915"/>
    <w:rsid w:val="00D6795E"/>
    <w:rsid w:val="00D6799D"/>
    <w:rsid w:val="00D67A08"/>
    <w:rsid w:val="00D67A18"/>
    <w:rsid w:val="00D67A2C"/>
    <w:rsid w:val="00D67A42"/>
    <w:rsid w:val="00D67A70"/>
    <w:rsid w:val="00D67A78"/>
    <w:rsid w:val="00D67A8A"/>
    <w:rsid w:val="00D67AAB"/>
    <w:rsid w:val="00D67AD3"/>
    <w:rsid w:val="00D67B08"/>
    <w:rsid w:val="00D67BA7"/>
    <w:rsid w:val="00D67C22"/>
    <w:rsid w:val="00D67C81"/>
    <w:rsid w:val="00D67CDA"/>
    <w:rsid w:val="00D67D2F"/>
    <w:rsid w:val="00D67D30"/>
    <w:rsid w:val="00D67D5D"/>
    <w:rsid w:val="00D67D9B"/>
    <w:rsid w:val="00D67D9C"/>
    <w:rsid w:val="00D67DDF"/>
    <w:rsid w:val="00D67E52"/>
    <w:rsid w:val="00D67EE0"/>
    <w:rsid w:val="00D67EE6"/>
    <w:rsid w:val="00D67FAA"/>
    <w:rsid w:val="00D6AFF1"/>
    <w:rsid w:val="00D70031"/>
    <w:rsid w:val="00D70042"/>
    <w:rsid w:val="00D70057"/>
    <w:rsid w:val="00D7008C"/>
    <w:rsid w:val="00D700B7"/>
    <w:rsid w:val="00D700C3"/>
    <w:rsid w:val="00D700EA"/>
    <w:rsid w:val="00D70136"/>
    <w:rsid w:val="00D70160"/>
    <w:rsid w:val="00D70164"/>
    <w:rsid w:val="00D7016C"/>
    <w:rsid w:val="00D701C4"/>
    <w:rsid w:val="00D701D0"/>
    <w:rsid w:val="00D70201"/>
    <w:rsid w:val="00D70215"/>
    <w:rsid w:val="00D7021C"/>
    <w:rsid w:val="00D70237"/>
    <w:rsid w:val="00D7025B"/>
    <w:rsid w:val="00D70275"/>
    <w:rsid w:val="00D702F2"/>
    <w:rsid w:val="00D70316"/>
    <w:rsid w:val="00D70357"/>
    <w:rsid w:val="00D7038E"/>
    <w:rsid w:val="00D70391"/>
    <w:rsid w:val="00D70433"/>
    <w:rsid w:val="00D70447"/>
    <w:rsid w:val="00D70449"/>
    <w:rsid w:val="00D7046C"/>
    <w:rsid w:val="00D70497"/>
    <w:rsid w:val="00D704B0"/>
    <w:rsid w:val="00D704CF"/>
    <w:rsid w:val="00D704FE"/>
    <w:rsid w:val="00D70516"/>
    <w:rsid w:val="00D70550"/>
    <w:rsid w:val="00D7059C"/>
    <w:rsid w:val="00D705A7"/>
    <w:rsid w:val="00D7064C"/>
    <w:rsid w:val="00D70664"/>
    <w:rsid w:val="00D7068F"/>
    <w:rsid w:val="00D70693"/>
    <w:rsid w:val="00D706C0"/>
    <w:rsid w:val="00D70703"/>
    <w:rsid w:val="00D7072F"/>
    <w:rsid w:val="00D70731"/>
    <w:rsid w:val="00D7074E"/>
    <w:rsid w:val="00D707D1"/>
    <w:rsid w:val="00D70818"/>
    <w:rsid w:val="00D7082F"/>
    <w:rsid w:val="00D708C3"/>
    <w:rsid w:val="00D708DA"/>
    <w:rsid w:val="00D708EF"/>
    <w:rsid w:val="00D70910"/>
    <w:rsid w:val="00D7094F"/>
    <w:rsid w:val="00D70969"/>
    <w:rsid w:val="00D70972"/>
    <w:rsid w:val="00D70973"/>
    <w:rsid w:val="00D70981"/>
    <w:rsid w:val="00D709C6"/>
    <w:rsid w:val="00D709D2"/>
    <w:rsid w:val="00D70A16"/>
    <w:rsid w:val="00D70A79"/>
    <w:rsid w:val="00D70ABD"/>
    <w:rsid w:val="00D70AF4"/>
    <w:rsid w:val="00D70B84"/>
    <w:rsid w:val="00D70C06"/>
    <w:rsid w:val="00D70C13"/>
    <w:rsid w:val="00D70CB3"/>
    <w:rsid w:val="00D70CCC"/>
    <w:rsid w:val="00D70D88"/>
    <w:rsid w:val="00D70DC2"/>
    <w:rsid w:val="00D70DEE"/>
    <w:rsid w:val="00D70E40"/>
    <w:rsid w:val="00D70E45"/>
    <w:rsid w:val="00D70E53"/>
    <w:rsid w:val="00D70EAF"/>
    <w:rsid w:val="00D70ECF"/>
    <w:rsid w:val="00D70FDF"/>
    <w:rsid w:val="00D7100B"/>
    <w:rsid w:val="00D7101B"/>
    <w:rsid w:val="00D7107C"/>
    <w:rsid w:val="00D71081"/>
    <w:rsid w:val="00D710D7"/>
    <w:rsid w:val="00D7110E"/>
    <w:rsid w:val="00D7117E"/>
    <w:rsid w:val="00D711CB"/>
    <w:rsid w:val="00D711DA"/>
    <w:rsid w:val="00D711FD"/>
    <w:rsid w:val="00D71214"/>
    <w:rsid w:val="00D7123A"/>
    <w:rsid w:val="00D7124C"/>
    <w:rsid w:val="00D71251"/>
    <w:rsid w:val="00D71267"/>
    <w:rsid w:val="00D712AC"/>
    <w:rsid w:val="00D71304"/>
    <w:rsid w:val="00D7130F"/>
    <w:rsid w:val="00D7132B"/>
    <w:rsid w:val="00D713EE"/>
    <w:rsid w:val="00D71427"/>
    <w:rsid w:val="00D71457"/>
    <w:rsid w:val="00D7148A"/>
    <w:rsid w:val="00D714E5"/>
    <w:rsid w:val="00D71546"/>
    <w:rsid w:val="00D7154A"/>
    <w:rsid w:val="00D71563"/>
    <w:rsid w:val="00D7160D"/>
    <w:rsid w:val="00D7167F"/>
    <w:rsid w:val="00D716F0"/>
    <w:rsid w:val="00D71707"/>
    <w:rsid w:val="00D71748"/>
    <w:rsid w:val="00D717A4"/>
    <w:rsid w:val="00D717D4"/>
    <w:rsid w:val="00D717FA"/>
    <w:rsid w:val="00D71861"/>
    <w:rsid w:val="00D7186E"/>
    <w:rsid w:val="00D718B3"/>
    <w:rsid w:val="00D718C6"/>
    <w:rsid w:val="00D718F4"/>
    <w:rsid w:val="00D71962"/>
    <w:rsid w:val="00D71967"/>
    <w:rsid w:val="00D7199D"/>
    <w:rsid w:val="00D719E5"/>
    <w:rsid w:val="00D719ED"/>
    <w:rsid w:val="00D71A05"/>
    <w:rsid w:val="00D71A1B"/>
    <w:rsid w:val="00D71AA7"/>
    <w:rsid w:val="00D71AF1"/>
    <w:rsid w:val="00D71B1A"/>
    <w:rsid w:val="00D71B3D"/>
    <w:rsid w:val="00D71B40"/>
    <w:rsid w:val="00D71B5B"/>
    <w:rsid w:val="00D71B9A"/>
    <w:rsid w:val="00D71C15"/>
    <w:rsid w:val="00D71C25"/>
    <w:rsid w:val="00D71C38"/>
    <w:rsid w:val="00D71C45"/>
    <w:rsid w:val="00D71C78"/>
    <w:rsid w:val="00D71CB9"/>
    <w:rsid w:val="00D71D0B"/>
    <w:rsid w:val="00D71D19"/>
    <w:rsid w:val="00D71D49"/>
    <w:rsid w:val="00D71D64"/>
    <w:rsid w:val="00D71D66"/>
    <w:rsid w:val="00D71D6C"/>
    <w:rsid w:val="00D71D7B"/>
    <w:rsid w:val="00D71D92"/>
    <w:rsid w:val="00D71DD2"/>
    <w:rsid w:val="00D71DE5"/>
    <w:rsid w:val="00D71E22"/>
    <w:rsid w:val="00D71E25"/>
    <w:rsid w:val="00D71E49"/>
    <w:rsid w:val="00D71E55"/>
    <w:rsid w:val="00D71E88"/>
    <w:rsid w:val="00D71EA7"/>
    <w:rsid w:val="00D71F4C"/>
    <w:rsid w:val="00D71F85"/>
    <w:rsid w:val="00D71FB1"/>
    <w:rsid w:val="00D71FDB"/>
    <w:rsid w:val="00D72034"/>
    <w:rsid w:val="00D720F0"/>
    <w:rsid w:val="00D720FF"/>
    <w:rsid w:val="00D7215E"/>
    <w:rsid w:val="00D72185"/>
    <w:rsid w:val="00D721B1"/>
    <w:rsid w:val="00D721C1"/>
    <w:rsid w:val="00D7221B"/>
    <w:rsid w:val="00D72249"/>
    <w:rsid w:val="00D72257"/>
    <w:rsid w:val="00D72271"/>
    <w:rsid w:val="00D722A1"/>
    <w:rsid w:val="00D722D1"/>
    <w:rsid w:val="00D72316"/>
    <w:rsid w:val="00D72359"/>
    <w:rsid w:val="00D7239F"/>
    <w:rsid w:val="00D723C5"/>
    <w:rsid w:val="00D723C8"/>
    <w:rsid w:val="00D723F2"/>
    <w:rsid w:val="00D72439"/>
    <w:rsid w:val="00D7246F"/>
    <w:rsid w:val="00D72524"/>
    <w:rsid w:val="00D72525"/>
    <w:rsid w:val="00D725D7"/>
    <w:rsid w:val="00D72611"/>
    <w:rsid w:val="00D7264D"/>
    <w:rsid w:val="00D726A1"/>
    <w:rsid w:val="00D726A9"/>
    <w:rsid w:val="00D726F0"/>
    <w:rsid w:val="00D726FC"/>
    <w:rsid w:val="00D7271B"/>
    <w:rsid w:val="00D72742"/>
    <w:rsid w:val="00D7275A"/>
    <w:rsid w:val="00D72906"/>
    <w:rsid w:val="00D7290D"/>
    <w:rsid w:val="00D72943"/>
    <w:rsid w:val="00D72973"/>
    <w:rsid w:val="00D729A2"/>
    <w:rsid w:val="00D729AD"/>
    <w:rsid w:val="00D729C1"/>
    <w:rsid w:val="00D729EA"/>
    <w:rsid w:val="00D72A70"/>
    <w:rsid w:val="00D72A71"/>
    <w:rsid w:val="00D72AF8"/>
    <w:rsid w:val="00D72AFC"/>
    <w:rsid w:val="00D72B50"/>
    <w:rsid w:val="00D72BC8"/>
    <w:rsid w:val="00D72BE7"/>
    <w:rsid w:val="00D72C30"/>
    <w:rsid w:val="00D72C96"/>
    <w:rsid w:val="00D72CFA"/>
    <w:rsid w:val="00D72D1B"/>
    <w:rsid w:val="00D72D26"/>
    <w:rsid w:val="00D72D2B"/>
    <w:rsid w:val="00D72D5E"/>
    <w:rsid w:val="00D72DD3"/>
    <w:rsid w:val="00D72E13"/>
    <w:rsid w:val="00D72EDD"/>
    <w:rsid w:val="00D72F4F"/>
    <w:rsid w:val="00D72F6B"/>
    <w:rsid w:val="00D72F71"/>
    <w:rsid w:val="00D72FA8"/>
    <w:rsid w:val="00D72FD8"/>
    <w:rsid w:val="00D73006"/>
    <w:rsid w:val="00D730CE"/>
    <w:rsid w:val="00D7310C"/>
    <w:rsid w:val="00D73127"/>
    <w:rsid w:val="00D73132"/>
    <w:rsid w:val="00D73166"/>
    <w:rsid w:val="00D73181"/>
    <w:rsid w:val="00D731A3"/>
    <w:rsid w:val="00D731EA"/>
    <w:rsid w:val="00D7323E"/>
    <w:rsid w:val="00D732CE"/>
    <w:rsid w:val="00D732E5"/>
    <w:rsid w:val="00D732F2"/>
    <w:rsid w:val="00D732F5"/>
    <w:rsid w:val="00D73362"/>
    <w:rsid w:val="00D73422"/>
    <w:rsid w:val="00D73477"/>
    <w:rsid w:val="00D734B6"/>
    <w:rsid w:val="00D734C5"/>
    <w:rsid w:val="00D734D6"/>
    <w:rsid w:val="00D7353F"/>
    <w:rsid w:val="00D73590"/>
    <w:rsid w:val="00D735D2"/>
    <w:rsid w:val="00D735DF"/>
    <w:rsid w:val="00D7363D"/>
    <w:rsid w:val="00D7364B"/>
    <w:rsid w:val="00D73689"/>
    <w:rsid w:val="00D7369C"/>
    <w:rsid w:val="00D736B8"/>
    <w:rsid w:val="00D736CC"/>
    <w:rsid w:val="00D736F1"/>
    <w:rsid w:val="00D737AF"/>
    <w:rsid w:val="00D737EF"/>
    <w:rsid w:val="00D7381C"/>
    <w:rsid w:val="00D73898"/>
    <w:rsid w:val="00D738B7"/>
    <w:rsid w:val="00D738E7"/>
    <w:rsid w:val="00D738ED"/>
    <w:rsid w:val="00D739C7"/>
    <w:rsid w:val="00D739CC"/>
    <w:rsid w:val="00D739CD"/>
    <w:rsid w:val="00D73A01"/>
    <w:rsid w:val="00D73A0B"/>
    <w:rsid w:val="00D73A2B"/>
    <w:rsid w:val="00D73A61"/>
    <w:rsid w:val="00D73A87"/>
    <w:rsid w:val="00D73B18"/>
    <w:rsid w:val="00D73B1A"/>
    <w:rsid w:val="00D73B85"/>
    <w:rsid w:val="00D73BA0"/>
    <w:rsid w:val="00D73BC1"/>
    <w:rsid w:val="00D73C43"/>
    <w:rsid w:val="00D73C4E"/>
    <w:rsid w:val="00D73C9D"/>
    <w:rsid w:val="00D73CE2"/>
    <w:rsid w:val="00D73D20"/>
    <w:rsid w:val="00D73D5D"/>
    <w:rsid w:val="00D73E22"/>
    <w:rsid w:val="00D73E2F"/>
    <w:rsid w:val="00D73EBB"/>
    <w:rsid w:val="00D73F28"/>
    <w:rsid w:val="00D73F81"/>
    <w:rsid w:val="00D7401F"/>
    <w:rsid w:val="00D74031"/>
    <w:rsid w:val="00D74043"/>
    <w:rsid w:val="00D74067"/>
    <w:rsid w:val="00D7413D"/>
    <w:rsid w:val="00D74143"/>
    <w:rsid w:val="00D74145"/>
    <w:rsid w:val="00D7415D"/>
    <w:rsid w:val="00D741CB"/>
    <w:rsid w:val="00D741D9"/>
    <w:rsid w:val="00D74253"/>
    <w:rsid w:val="00D74301"/>
    <w:rsid w:val="00D74334"/>
    <w:rsid w:val="00D74349"/>
    <w:rsid w:val="00D7435B"/>
    <w:rsid w:val="00D74379"/>
    <w:rsid w:val="00D743E4"/>
    <w:rsid w:val="00D743F8"/>
    <w:rsid w:val="00D74441"/>
    <w:rsid w:val="00D74446"/>
    <w:rsid w:val="00D7445C"/>
    <w:rsid w:val="00D744C2"/>
    <w:rsid w:val="00D7450E"/>
    <w:rsid w:val="00D74536"/>
    <w:rsid w:val="00D7453B"/>
    <w:rsid w:val="00D7458A"/>
    <w:rsid w:val="00D745E0"/>
    <w:rsid w:val="00D74683"/>
    <w:rsid w:val="00D7472E"/>
    <w:rsid w:val="00D74763"/>
    <w:rsid w:val="00D7477A"/>
    <w:rsid w:val="00D747BF"/>
    <w:rsid w:val="00D74815"/>
    <w:rsid w:val="00D74834"/>
    <w:rsid w:val="00D74889"/>
    <w:rsid w:val="00D748B7"/>
    <w:rsid w:val="00D74918"/>
    <w:rsid w:val="00D74937"/>
    <w:rsid w:val="00D74977"/>
    <w:rsid w:val="00D749B3"/>
    <w:rsid w:val="00D74A16"/>
    <w:rsid w:val="00D74A38"/>
    <w:rsid w:val="00D74A4C"/>
    <w:rsid w:val="00D74A70"/>
    <w:rsid w:val="00D74AA6"/>
    <w:rsid w:val="00D74AD0"/>
    <w:rsid w:val="00D74B38"/>
    <w:rsid w:val="00D74B42"/>
    <w:rsid w:val="00D74B4E"/>
    <w:rsid w:val="00D74B52"/>
    <w:rsid w:val="00D74BC1"/>
    <w:rsid w:val="00D74C0C"/>
    <w:rsid w:val="00D74C27"/>
    <w:rsid w:val="00D74C3C"/>
    <w:rsid w:val="00D74C4B"/>
    <w:rsid w:val="00D74C69"/>
    <w:rsid w:val="00D74CCE"/>
    <w:rsid w:val="00D74CD4"/>
    <w:rsid w:val="00D74CF5"/>
    <w:rsid w:val="00D74D2C"/>
    <w:rsid w:val="00D74D63"/>
    <w:rsid w:val="00D74D99"/>
    <w:rsid w:val="00D74DAE"/>
    <w:rsid w:val="00D74E09"/>
    <w:rsid w:val="00D74E33"/>
    <w:rsid w:val="00D74E42"/>
    <w:rsid w:val="00D74E76"/>
    <w:rsid w:val="00D74EA9"/>
    <w:rsid w:val="00D74F29"/>
    <w:rsid w:val="00D74F36"/>
    <w:rsid w:val="00D74F4C"/>
    <w:rsid w:val="00D75081"/>
    <w:rsid w:val="00D75082"/>
    <w:rsid w:val="00D750E1"/>
    <w:rsid w:val="00D750EB"/>
    <w:rsid w:val="00D750F4"/>
    <w:rsid w:val="00D75115"/>
    <w:rsid w:val="00D75124"/>
    <w:rsid w:val="00D75135"/>
    <w:rsid w:val="00D7513D"/>
    <w:rsid w:val="00D75142"/>
    <w:rsid w:val="00D75177"/>
    <w:rsid w:val="00D751CB"/>
    <w:rsid w:val="00D751E7"/>
    <w:rsid w:val="00D75226"/>
    <w:rsid w:val="00D7522E"/>
    <w:rsid w:val="00D75278"/>
    <w:rsid w:val="00D752BC"/>
    <w:rsid w:val="00D752D5"/>
    <w:rsid w:val="00D752E3"/>
    <w:rsid w:val="00D7531D"/>
    <w:rsid w:val="00D7532C"/>
    <w:rsid w:val="00D75331"/>
    <w:rsid w:val="00D75339"/>
    <w:rsid w:val="00D75359"/>
    <w:rsid w:val="00D7540B"/>
    <w:rsid w:val="00D7541D"/>
    <w:rsid w:val="00D7542C"/>
    <w:rsid w:val="00D75480"/>
    <w:rsid w:val="00D75481"/>
    <w:rsid w:val="00D754B1"/>
    <w:rsid w:val="00D754C8"/>
    <w:rsid w:val="00D754D3"/>
    <w:rsid w:val="00D75504"/>
    <w:rsid w:val="00D7556E"/>
    <w:rsid w:val="00D755C3"/>
    <w:rsid w:val="00D755FD"/>
    <w:rsid w:val="00D7562C"/>
    <w:rsid w:val="00D75684"/>
    <w:rsid w:val="00D756C8"/>
    <w:rsid w:val="00D756EE"/>
    <w:rsid w:val="00D75721"/>
    <w:rsid w:val="00D7574B"/>
    <w:rsid w:val="00D7578D"/>
    <w:rsid w:val="00D75792"/>
    <w:rsid w:val="00D757AC"/>
    <w:rsid w:val="00D757CE"/>
    <w:rsid w:val="00D757F4"/>
    <w:rsid w:val="00D7588F"/>
    <w:rsid w:val="00D758BD"/>
    <w:rsid w:val="00D759C5"/>
    <w:rsid w:val="00D759FC"/>
    <w:rsid w:val="00D75A2A"/>
    <w:rsid w:val="00D75A85"/>
    <w:rsid w:val="00D75A89"/>
    <w:rsid w:val="00D75A96"/>
    <w:rsid w:val="00D75B84"/>
    <w:rsid w:val="00D75B94"/>
    <w:rsid w:val="00D75BEA"/>
    <w:rsid w:val="00D75C72"/>
    <w:rsid w:val="00D75C83"/>
    <w:rsid w:val="00D75C8A"/>
    <w:rsid w:val="00D75CA2"/>
    <w:rsid w:val="00D75CD7"/>
    <w:rsid w:val="00D75D18"/>
    <w:rsid w:val="00D75D39"/>
    <w:rsid w:val="00D75E91"/>
    <w:rsid w:val="00D75EAB"/>
    <w:rsid w:val="00D75ECB"/>
    <w:rsid w:val="00D75ED3"/>
    <w:rsid w:val="00D75F32"/>
    <w:rsid w:val="00D75F43"/>
    <w:rsid w:val="00D75F59"/>
    <w:rsid w:val="00D75F8C"/>
    <w:rsid w:val="00D75FF3"/>
    <w:rsid w:val="00D7601E"/>
    <w:rsid w:val="00D76032"/>
    <w:rsid w:val="00D76080"/>
    <w:rsid w:val="00D76199"/>
    <w:rsid w:val="00D761A7"/>
    <w:rsid w:val="00D761AB"/>
    <w:rsid w:val="00D761E0"/>
    <w:rsid w:val="00D76201"/>
    <w:rsid w:val="00D7622A"/>
    <w:rsid w:val="00D76261"/>
    <w:rsid w:val="00D76289"/>
    <w:rsid w:val="00D76298"/>
    <w:rsid w:val="00D7629C"/>
    <w:rsid w:val="00D762EF"/>
    <w:rsid w:val="00D762FD"/>
    <w:rsid w:val="00D76364"/>
    <w:rsid w:val="00D7636C"/>
    <w:rsid w:val="00D763BC"/>
    <w:rsid w:val="00D7641F"/>
    <w:rsid w:val="00D7648A"/>
    <w:rsid w:val="00D764CF"/>
    <w:rsid w:val="00D764F2"/>
    <w:rsid w:val="00D764FF"/>
    <w:rsid w:val="00D76508"/>
    <w:rsid w:val="00D76520"/>
    <w:rsid w:val="00D76567"/>
    <w:rsid w:val="00D765B1"/>
    <w:rsid w:val="00D765CB"/>
    <w:rsid w:val="00D76609"/>
    <w:rsid w:val="00D76612"/>
    <w:rsid w:val="00D76675"/>
    <w:rsid w:val="00D7668D"/>
    <w:rsid w:val="00D766BD"/>
    <w:rsid w:val="00D76773"/>
    <w:rsid w:val="00D767C5"/>
    <w:rsid w:val="00D76887"/>
    <w:rsid w:val="00D768D8"/>
    <w:rsid w:val="00D76939"/>
    <w:rsid w:val="00D76947"/>
    <w:rsid w:val="00D769A9"/>
    <w:rsid w:val="00D76A02"/>
    <w:rsid w:val="00D76A6E"/>
    <w:rsid w:val="00D76A7D"/>
    <w:rsid w:val="00D76AAE"/>
    <w:rsid w:val="00D76AD9"/>
    <w:rsid w:val="00D76B06"/>
    <w:rsid w:val="00D76BD3"/>
    <w:rsid w:val="00D76CEC"/>
    <w:rsid w:val="00D76D26"/>
    <w:rsid w:val="00D76D59"/>
    <w:rsid w:val="00D76DB5"/>
    <w:rsid w:val="00D76DE8"/>
    <w:rsid w:val="00D76DFE"/>
    <w:rsid w:val="00D76EB9"/>
    <w:rsid w:val="00D76EC3"/>
    <w:rsid w:val="00D76EF1"/>
    <w:rsid w:val="00D76F0B"/>
    <w:rsid w:val="00D76F1A"/>
    <w:rsid w:val="00D76F51"/>
    <w:rsid w:val="00D76F82"/>
    <w:rsid w:val="00D76FB7"/>
    <w:rsid w:val="00D77037"/>
    <w:rsid w:val="00D77071"/>
    <w:rsid w:val="00D770E1"/>
    <w:rsid w:val="00D7715E"/>
    <w:rsid w:val="00D7716D"/>
    <w:rsid w:val="00D771C8"/>
    <w:rsid w:val="00D7720E"/>
    <w:rsid w:val="00D7722A"/>
    <w:rsid w:val="00D7722B"/>
    <w:rsid w:val="00D7727B"/>
    <w:rsid w:val="00D772A1"/>
    <w:rsid w:val="00D772EF"/>
    <w:rsid w:val="00D77349"/>
    <w:rsid w:val="00D7737A"/>
    <w:rsid w:val="00D77387"/>
    <w:rsid w:val="00D77390"/>
    <w:rsid w:val="00D773A7"/>
    <w:rsid w:val="00D773D2"/>
    <w:rsid w:val="00D77406"/>
    <w:rsid w:val="00D7744D"/>
    <w:rsid w:val="00D77501"/>
    <w:rsid w:val="00D77505"/>
    <w:rsid w:val="00D7752E"/>
    <w:rsid w:val="00D7753C"/>
    <w:rsid w:val="00D77559"/>
    <w:rsid w:val="00D77565"/>
    <w:rsid w:val="00D7756F"/>
    <w:rsid w:val="00D775E3"/>
    <w:rsid w:val="00D775E5"/>
    <w:rsid w:val="00D77610"/>
    <w:rsid w:val="00D7763B"/>
    <w:rsid w:val="00D7763F"/>
    <w:rsid w:val="00D7764B"/>
    <w:rsid w:val="00D7766F"/>
    <w:rsid w:val="00D77692"/>
    <w:rsid w:val="00D776B1"/>
    <w:rsid w:val="00D776BB"/>
    <w:rsid w:val="00D7773F"/>
    <w:rsid w:val="00D77747"/>
    <w:rsid w:val="00D7779E"/>
    <w:rsid w:val="00D777A3"/>
    <w:rsid w:val="00D777BA"/>
    <w:rsid w:val="00D777DD"/>
    <w:rsid w:val="00D777DF"/>
    <w:rsid w:val="00D777E2"/>
    <w:rsid w:val="00D777FB"/>
    <w:rsid w:val="00D77823"/>
    <w:rsid w:val="00D7786D"/>
    <w:rsid w:val="00D77902"/>
    <w:rsid w:val="00D7791C"/>
    <w:rsid w:val="00D779E9"/>
    <w:rsid w:val="00D779F1"/>
    <w:rsid w:val="00D779F7"/>
    <w:rsid w:val="00D77A04"/>
    <w:rsid w:val="00D77A3E"/>
    <w:rsid w:val="00D77A41"/>
    <w:rsid w:val="00D77A6B"/>
    <w:rsid w:val="00D77ABD"/>
    <w:rsid w:val="00D77AD6"/>
    <w:rsid w:val="00D77AEF"/>
    <w:rsid w:val="00D77AF9"/>
    <w:rsid w:val="00D77B4C"/>
    <w:rsid w:val="00D77C1F"/>
    <w:rsid w:val="00D77C51"/>
    <w:rsid w:val="00D77C7F"/>
    <w:rsid w:val="00D77D39"/>
    <w:rsid w:val="00D77D44"/>
    <w:rsid w:val="00D77D6A"/>
    <w:rsid w:val="00D77DB2"/>
    <w:rsid w:val="00D77DDB"/>
    <w:rsid w:val="00D77E19"/>
    <w:rsid w:val="00D77E9E"/>
    <w:rsid w:val="00D77EA4"/>
    <w:rsid w:val="00D77EC2"/>
    <w:rsid w:val="00D77EDC"/>
    <w:rsid w:val="00D77F01"/>
    <w:rsid w:val="00D77F5E"/>
    <w:rsid w:val="00D800A9"/>
    <w:rsid w:val="00D800B5"/>
    <w:rsid w:val="00D800C0"/>
    <w:rsid w:val="00D800DB"/>
    <w:rsid w:val="00D8017D"/>
    <w:rsid w:val="00D801B2"/>
    <w:rsid w:val="00D801C8"/>
    <w:rsid w:val="00D801D9"/>
    <w:rsid w:val="00D80214"/>
    <w:rsid w:val="00D80230"/>
    <w:rsid w:val="00D8023C"/>
    <w:rsid w:val="00D8026A"/>
    <w:rsid w:val="00D80274"/>
    <w:rsid w:val="00D8031D"/>
    <w:rsid w:val="00D8034C"/>
    <w:rsid w:val="00D8034F"/>
    <w:rsid w:val="00D80385"/>
    <w:rsid w:val="00D8042C"/>
    <w:rsid w:val="00D804FB"/>
    <w:rsid w:val="00D804FC"/>
    <w:rsid w:val="00D80501"/>
    <w:rsid w:val="00D80537"/>
    <w:rsid w:val="00D80552"/>
    <w:rsid w:val="00D80554"/>
    <w:rsid w:val="00D805CC"/>
    <w:rsid w:val="00D8067B"/>
    <w:rsid w:val="00D806C7"/>
    <w:rsid w:val="00D806DC"/>
    <w:rsid w:val="00D806EA"/>
    <w:rsid w:val="00D806F0"/>
    <w:rsid w:val="00D806F8"/>
    <w:rsid w:val="00D80736"/>
    <w:rsid w:val="00D8074F"/>
    <w:rsid w:val="00D80752"/>
    <w:rsid w:val="00D807A2"/>
    <w:rsid w:val="00D807CD"/>
    <w:rsid w:val="00D807DB"/>
    <w:rsid w:val="00D80863"/>
    <w:rsid w:val="00D8087C"/>
    <w:rsid w:val="00D808DA"/>
    <w:rsid w:val="00D808E2"/>
    <w:rsid w:val="00D808ED"/>
    <w:rsid w:val="00D8090C"/>
    <w:rsid w:val="00D8090D"/>
    <w:rsid w:val="00D8094D"/>
    <w:rsid w:val="00D8095D"/>
    <w:rsid w:val="00D80967"/>
    <w:rsid w:val="00D809CC"/>
    <w:rsid w:val="00D809FD"/>
    <w:rsid w:val="00D80A6E"/>
    <w:rsid w:val="00D80A8F"/>
    <w:rsid w:val="00D80AA9"/>
    <w:rsid w:val="00D80B3F"/>
    <w:rsid w:val="00D80BB6"/>
    <w:rsid w:val="00D80C24"/>
    <w:rsid w:val="00D80C37"/>
    <w:rsid w:val="00D80C60"/>
    <w:rsid w:val="00D80C8E"/>
    <w:rsid w:val="00D80C99"/>
    <w:rsid w:val="00D80CB3"/>
    <w:rsid w:val="00D80CED"/>
    <w:rsid w:val="00D80D16"/>
    <w:rsid w:val="00D80D19"/>
    <w:rsid w:val="00D80D2B"/>
    <w:rsid w:val="00D80D42"/>
    <w:rsid w:val="00D80D5B"/>
    <w:rsid w:val="00D80D7C"/>
    <w:rsid w:val="00D80DDF"/>
    <w:rsid w:val="00D80DF5"/>
    <w:rsid w:val="00D80ECB"/>
    <w:rsid w:val="00D80F04"/>
    <w:rsid w:val="00D80F0B"/>
    <w:rsid w:val="00D80F90"/>
    <w:rsid w:val="00D80F95"/>
    <w:rsid w:val="00D80FC1"/>
    <w:rsid w:val="00D81026"/>
    <w:rsid w:val="00D810B1"/>
    <w:rsid w:val="00D810BB"/>
    <w:rsid w:val="00D81189"/>
    <w:rsid w:val="00D811B6"/>
    <w:rsid w:val="00D811C3"/>
    <w:rsid w:val="00D811CF"/>
    <w:rsid w:val="00D8123C"/>
    <w:rsid w:val="00D81263"/>
    <w:rsid w:val="00D81269"/>
    <w:rsid w:val="00D812AC"/>
    <w:rsid w:val="00D812B2"/>
    <w:rsid w:val="00D812FB"/>
    <w:rsid w:val="00D8131C"/>
    <w:rsid w:val="00D81353"/>
    <w:rsid w:val="00D81457"/>
    <w:rsid w:val="00D814AA"/>
    <w:rsid w:val="00D814AC"/>
    <w:rsid w:val="00D814E2"/>
    <w:rsid w:val="00D8150A"/>
    <w:rsid w:val="00D8150E"/>
    <w:rsid w:val="00D81519"/>
    <w:rsid w:val="00D8153A"/>
    <w:rsid w:val="00D8153D"/>
    <w:rsid w:val="00D81573"/>
    <w:rsid w:val="00D81579"/>
    <w:rsid w:val="00D815E1"/>
    <w:rsid w:val="00D8160F"/>
    <w:rsid w:val="00D81614"/>
    <w:rsid w:val="00D8161F"/>
    <w:rsid w:val="00D8166C"/>
    <w:rsid w:val="00D81693"/>
    <w:rsid w:val="00D81697"/>
    <w:rsid w:val="00D816AA"/>
    <w:rsid w:val="00D816D3"/>
    <w:rsid w:val="00D816F9"/>
    <w:rsid w:val="00D81741"/>
    <w:rsid w:val="00D8174F"/>
    <w:rsid w:val="00D81766"/>
    <w:rsid w:val="00D8177F"/>
    <w:rsid w:val="00D817AD"/>
    <w:rsid w:val="00D817AF"/>
    <w:rsid w:val="00D817CF"/>
    <w:rsid w:val="00D817DC"/>
    <w:rsid w:val="00D81803"/>
    <w:rsid w:val="00D8184B"/>
    <w:rsid w:val="00D81875"/>
    <w:rsid w:val="00D81886"/>
    <w:rsid w:val="00D818ED"/>
    <w:rsid w:val="00D8193A"/>
    <w:rsid w:val="00D8194E"/>
    <w:rsid w:val="00D8197F"/>
    <w:rsid w:val="00D81A5F"/>
    <w:rsid w:val="00D81AAF"/>
    <w:rsid w:val="00D81B0B"/>
    <w:rsid w:val="00D81BC6"/>
    <w:rsid w:val="00D81C16"/>
    <w:rsid w:val="00D81C1D"/>
    <w:rsid w:val="00D81C94"/>
    <w:rsid w:val="00D81CD2"/>
    <w:rsid w:val="00D81CEE"/>
    <w:rsid w:val="00D81D48"/>
    <w:rsid w:val="00D81D5E"/>
    <w:rsid w:val="00D81DAC"/>
    <w:rsid w:val="00D81DE6"/>
    <w:rsid w:val="00D81E16"/>
    <w:rsid w:val="00D81E2E"/>
    <w:rsid w:val="00D81E2F"/>
    <w:rsid w:val="00D81EAA"/>
    <w:rsid w:val="00D81F0B"/>
    <w:rsid w:val="00D81F0E"/>
    <w:rsid w:val="00D81F17"/>
    <w:rsid w:val="00D81F30"/>
    <w:rsid w:val="00D81F41"/>
    <w:rsid w:val="00D82034"/>
    <w:rsid w:val="00D8209C"/>
    <w:rsid w:val="00D820A5"/>
    <w:rsid w:val="00D820BC"/>
    <w:rsid w:val="00D820D8"/>
    <w:rsid w:val="00D82133"/>
    <w:rsid w:val="00D82162"/>
    <w:rsid w:val="00D82190"/>
    <w:rsid w:val="00D821D9"/>
    <w:rsid w:val="00D821E3"/>
    <w:rsid w:val="00D82321"/>
    <w:rsid w:val="00D82335"/>
    <w:rsid w:val="00D8236C"/>
    <w:rsid w:val="00D82399"/>
    <w:rsid w:val="00D823CB"/>
    <w:rsid w:val="00D8240C"/>
    <w:rsid w:val="00D82410"/>
    <w:rsid w:val="00D82423"/>
    <w:rsid w:val="00D82458"/>
    <w:rsid w:val="00D824B9"/>
    <w:rsid w:val="00D824FF"/>
    <w:rsid w:val="00D8254A"/>
    <w:rsid w:val="00D82576"/>
    <w:rsid w:val="00D8257E"/>
    <w:rsid w:val="00D82608"/>
    <w:rsid w:val="00D82626"/>
    <w:rsid w:val="00D82676"/>
    <w:rsid w:val="00D8267E"/>
    <w:rsid w:val="00D82687"/>
    <w:rsid w:val="00D826A8"/>
    <w:rsid w:val="00D826A9"/>
    <w:rsid w:val="00D82728"/>
    <w:rsid w:val="00D827AC"/>
    <w:rsid w:val="00D827DB"/>
    <w:rsid w:val="00D82803"/>
    <w:rsid w:val="00D828EE"/>
    <w:rsid w:val="00D828F6"/>
    <w:rsid w:val="00D82924"/>
    <w:rsid w:val="00D82978"/>
    <w:rsid w:val="00D82982"/>
    <w:rsid w:val="00D829C3"/>
    <w:rsid w:val="00D829D3"/>
    <w:rsid w:val="00D82A4B"/>
    <w:rsid w:val="00D82A7C"/>
    <w:rsid w:val="00D82AB2"/>
    <w:rsid w:val="00D82AD9"/>
    <w:rsid w:val="00D82B72"/>
    <w:rsid w:val="00D82BC1"/>
    <w:rsid w:val="00D82BC9"/>
    <w:rsid w:val="00D82C10"/>
    <w:rsid w:val="00D82C77"/>
    <w:rsid w:val="00D82C9D"/>
    <w:rsid w:val="00D82C9E"/>
    <w:rsid w:val="00D82D03"/>
    <w:rsid w:val="00D82D2B"/>
    <w:rsid w:val="00D82D77"/>
    <w:rsid w:val="00D82DF4"/>
    <w:rsid w:val="00D82E5B"/>
    <w:rsid w:val="00D82E83"/>
    <w:rsid w:val="00D82EB4"/>
    <w:rsid w:val="00D82F30"/>
    <w:rsid w:val="00D82FED"/>
    <w:rsid w:val="00D8302B"/>
    <w:rsid w:val="00D8315F"/>
    <w:rsid w:val="00D83162"/>
    <w:rsid w:val="00D83193"/>
    <w:rsid w:val="00D83194"/>
    <w:rsid w:val="00D83201"/>
    <w:rsid w:val="00D8320B"/>
    <w:rsid w:val="00D83225"/>
    <w:rsid w:val="00D8322D"/>
    <w:rsid w:val="00D8324A"/>
    <w:rsid w:val="00D8327D"/>
    <w:rsid w:val="00D832D4"/>
    <w:rsid w:val="00D83310"/>
    <w:rsid w:val="00D83380"/>
    <w:rsid w:val="00D833D6"/>
    <w:rsid w:val="00D83459"/>
    <w:rsid w:val="00D834A1"/>
    <w:rsid w:val="00D834A3"/>
    <w:rsid w:val="00D834BF"/>
    <w:rsid w:val="00D8354D"/>
    <w:rsid w:val="00D83561"/>
    <w:rsid w:val="00D83566"/>
    <w:rsid w:val="00D8356B"/>
    <w:rsid w:val="00D83599"/>
    <w:rsid w:val="00D835B6"/>
    <w:rsid w:val="00D835CA"/>
    <w:rsid w:val="00D835ED"/>
    <w:rsid w:val="00D83616"/>
    <w:rsid w:val="00D836B9"/>
    <w:rsid w:val="00D836E7"/>
    <w:rsid w:val="00D83742"/>
    <w:rsid w:val="00D83762"/>
    <w:rsid w:val="00D83794"/>
    <w:rsid w:val="00D837B4"/>
    <w:rsid w:val="00D837F6"/>
    <w:rsid w:val="00D83811"/>
    <w:rsid w:val="00D83873"/>
    <w:rsid w:val="00D838E8"/>
    <w:rsid w:val="00D838FF"/>
    <w:rsid w:val="00D83928"/>
    <w:rsid w:val="00D8398A"/>
    <w:rsid w:val="00D839FD"/>
    <w:rsid w:val="00D83A13"/>
    <w:rsid w:val="00D83A47"/>
    <w:rsid w:val="00D83A99"/>
    <w:rsid w:val="00D83AE3"/>
    <w:rsid w:val="00D83B02"/>
    <w:rsid w:val="00D83B12"/>
    <w:rsid w:val="00D83B47"/>
    <w:rsid w:val="00D83B5E"/>
    <w:rsid w:val="00D83B77"/>
    <w:rsid w:val="00D83B99"/>
    <w:rsid w:val="00D83B9D"/>
    <w:rsid w:val="00D83BC4"/>
    <w:rsid w:val="00D83C0C"/>
    <w:rsid w:val="00D83C53"/>
    <w:rsid w:val="00D83D03"/>
    <w:rsid w:val="00D83D41"/>
    <w:rsid w:val="00D83D55"/>
    <w:rsid w:val="00D83D6F"/>
    <w:rsid w:val="00D83DBE"/>
    <w:rsid w:val="00D83DBF"/>
    <w:rsid w:val="00D83DD1"/>
    <w:rsid w:val="00D83DEE"/>
    <w:rsid w:val="00D83E51"/>
    <w:rsid w:val="00D83EB7"/>
    <w:rsid w:val="00D83ED0"/>
    <w:rsid w:val="00D83ED5"/>
    <w:rsid w:val="00D83F33"/>
    <w:rsid w:val="00D83F49"/>
    <w:rsid w:val="00D83F51"/>
    <w:rsid w:val="00D83F84"/>
    <w:rsid w:val="00D83F9D"/>
    <w:rsid w:val="00D83FAE"/>
    <w:rsid w:val="00D83FB7"/>
    <w:rsid w:val="00D83FE9"/>
    <w:rsid w:val="00D8401B"/>
    <w:rsid w:val="00D840A8"/>
    <w:rsid w:val="00D840CF"/>
    <w:rsid w:val="00D8418A"/>
    <w:rsid w:val="00D841A7"/>
    <w:rsid w:val="00D841BC"/>
    <w:rsid w:val="00D84287"/>
    <w:rsid w:val="00D84288"/>
    <w:rsid w:val="00D8430F"/>
    <w:rsid w:val="00D8434A"/>
    <w:rsid w:val="00D8436E"/>
    <w:rsid w:val="00D843C2"/>
    <w:rsid w:val="00D8441C"/>
    <w:rsid w:val="00D8447B"/>
    <w:rsid w:val="00D8452D"/>
    <w:rsid w:val="00D84538"/>
    <w:rsid w:val="00D845BF"/>
    <w:rsid w:val="00D845E3"/>
    <w:rsid w:val="00D845F5"/>
    <w:rsid w:val="00D84633"/>
    <w:rsid w:val="00D84698"/>
    <w:rsid w:val="00D846AB"/>
    <w:rsid w:val="00D846F2"/>
    <w:rsid w:val="00D84724"/>
    <w:rsid w:val="00D8475A"/>
    <w:rsid w:val="00D847AF"/>
    <w:rsid w:val="00D847CE"/>
    <w:rsid w:val="00D847DF"/>
    <w:rsid w:val="00D84880"/>
    <w:rsid w:val="00D848FE"/>
    <w:rsid w:val="00D84907"/>
    <w:rsid w:val="00D84926"/>
    <w:rsid w:val="00D8494E"/>
    <w:rsid w:val="00D849D6"/>
    <w:rsid w:val="00D849EC"/>
    <w:rsid w:val="00D84A0F"/>
    <w:rsid w:val="00D84A20"/>
    <w:rsid w:val="00D84A92"/>
    <w:rsid w:val="00D84AD5"/>
    <w:rsid w:val="00D84B10"/>
    <w:rsid w:val="00D84B3A"/>
    <w:rsid w:val="00D84B3C"/>
    <w:rsid w:val="00D84BBB"/>
    <w:rsid w:val="00D84C0A"/>
    <w:rsid w:val="00D84C8B"/>
    <w:rsid w:val="00D84CE5"/>
    <w:rsid w:val="00D84DDB"/>
    <w:rsid w:val="00D84E04"/>
    <w:rsid w:val="00D84E18"/>
    <w:rsid w:val="00D84E85"/>
    <w:rsid w:val="00D84E92"/>
    <w:rsid w:val="00D84E9A"/>
    <w:rsid w:val="00D84EBD"/>
    <w:rsid w:val="00D84F9F"/>
    <w:rsid w:val="00D84FC6"/>
    <w:rsid w:val="00D85028"/>
    <w:rsid w:val="00D85051"/>
    <w:rsid w:val="00D85054"/>
    <w:rsid w:val="00D8506F"/>
    <w:rsid w:val="00D850F5"/>
    <w:rsid w:val="00D85110"/>
    <w:rsid w:val="00D85166"/>
    <w:rsid w:val="00D851B8"/>
    <w:rsid w:val="00D85279"/>
    <w:rsid w:val="00D8527D"/>
    <w:rsid w:val="00D85298"/>
    <w:rsid w:val="00D85386"/>
    <w:rsid w:val="00D853AF"/>
    <w:rsid w:val="00D853BD"/>
    <w:rsid w:val="00D853DB"/>
    <w:rsid w:val="00D853E9"/>
    <w:rsid w:val="00D85406"/>
    <w:rsid w:val="00D85415"/>
    <w:rsid w:val="00D8541F"/>
    <w:rsid w:val="00D8546E"/>
    <w:rsid w:val="00D85471"/>
    <w:rsid w:val="00D85473"/>
    <w:rsid w:val="00D85482"/>
    <w:rsid w:val="00D854FF"/>
    <w:rsid w:val="00D8550B"/>
    <w:rsid w:val="00D85573"/>
    <w:rsid w:val="00D855E4"/>
    <w:rsid w:val="00D855F9"/>
    <w:rsid w:val="00D85613"/>
    <w:rsid w:val="00D85664"/>
    <w:rsid w:val="00D85787"/>
    <w:rsid w:val="00D857DD"/>
    <w:rsid w:val="00D857EC"/>
    <w:rsid w:val="00D85804"/>
    <w:rsid w:val="00D8582F"/>
    <w:rsid w:val="00D85841"/>
    <w:rsid w:val="00D8591C"/>
    <w:rsid w:val="00D85937"/>
    <w:rsid w:val="00D8594A"/>
    <w:rsid w:val="00D85954"/>
    <w:rsid w:val="00D85970"/>
    <w:rsid w:val="00D85A87"/>
    <w:rsid w:val="00D85A95"/>
    <w:rsid w:val="00D85AB5"/>
    <w:rsid w:val="00D85AFC"/>
    <w:rsid w:val="00D85B9F"/>
    <w:rsid w:val="00D85C4C"/>
    <w:rsid w:val="00D85C5B"/>
    <w:rsid w:val="00D85C7E"/>
    <w:rsid w:val="00D85C86"/>
    <w:rsid w:val="00D85D63"/>
    <w:rsid w:val="00D85D6D"/>
    <w:rsid w:val="00D85D99"/>
    <w:rsid w:val="00D85DA5"/>
    <w:rsid w:val="00D85DF1"/>
    <w:rsid w:val="00D85E37"/>
    <w:rsid w:val="00D85E8A"/>
    <w:rsid w:val="00D85F21"/>
    <w:rsid w:val="00D85F48"/>
    <w:rsid w:val="00D85F7F"/>
    <w:rsid w:val="00D85F95"/>
    <w:rsid w:val="00D85FCD"/>
    <w:rsid w:val="00D86011"/>
    <w:rsid w:val="00D8601F"/>
    <w:rsid w:val="00D8608D"/>
    <w:rsid w:val="00D860C3"/>
    <w:rsid w:val="00D860E7"/>
    <w:rsid w:val="00D8619C"/>
    <w:rsid w:val="00D861A5"/>
    <w:rsid w:val="00D8622A"/>
    <w:rsid w:val="00D86235"/>
    <w:rsid w:val="00D86273"/>
    <w:rsid w:val="00D862B9"/>
    <w:rsid w:val="00D862C9"/>
    <w:rsid w:val="00D862F9"/>
    <w:rsid w:val="00D86318"/>
    <w:rsid w:val="00D863AC"/>
    <w:rsid w:val="00D863C8"/>
    <w:rsid w:val="00D86437"/>
    <w:rsid w:val="00D86450"/>
    <w:rsid w:val="00D864BC"/>
    <w:rsid w:val="00D86586"/>
    <w:rsid w:val="00D865EE"/>
    <w:rsid w:val="00D865EF"/>
    <w:rsid w:val="00D8660B"/>
    <w:rsid w:val="00D86618"/>
    <w:rsid w:val="00D8661B"/>
    <w:rsid w:val="00D8662E"/>
    <w:rsid w:val="00D86655"/>
    <w:rsid w:val="00D8666B"/>
    <w:rsid w:val="00D866A2"/>
    <w:rsid w:val="00D866A7"/>
    <w:rsid w:val="00D866C6"/>
    <w:rsid w:val="00D866C9"/>
    <w:rsid w:val="00D866E6"/>
    <w:rsid w:val="00D86709"/>
    <w:rsid w:val="00D86749"/>
    <w:rsid w:val="00D8674A"/>
    <w:rsid w:val="00D86782"/>
    <w:rsid w:val="00D86838"/>
    <w:rsid w:val="00D86864"/>
    <w:rsid w:val="00D869B8"/>
    <w:rsid w:val="00D86A3C"/>
    <w:rsid w:val="00D86AD2"/>
    <w:rsid w:val="00D86AF1"/>
    <w:rsid w:val="00D86B10"/>
    <w:rsid w:val="00D86B55"/>
    <w:rsid w:val="00D86BBE"/>
    <w:rsid w:val="00D86BE2"/>
    <w:rsid w:val="00D86C5E"/>
    <w:rsid w:val="00D86C96"/>
    <w:rsid w:val="00D86CB4"/>
    <w:rsid w:val="00D86CED"/>
    <w:rsid w:val="00D86D4F"/>
    <w:rsid w:val="00D86D6D"/>
    <w:rsid w:val="00D86D7D"/>
    <w:rsid w:val="00D86DA9"/>
    <w:rsid w:val="00D86DD1"/>
    <w:rsid w:val="00D86DEC"/>
    <w:rsid w:val="00D86DEE"/>
    <w:rsid w:val="00D86E2D"/>
    <w:rsid w:val="00D86E78"/>
    <w:rsid w:val="00D86E8E"/>
    <w:rsid w:val="00D86EB0"/>
    <w:rsid w:val="00D86EF0"/>
    <w:rsid w:val="00D86EF7"/>
    <w:rsid w:val="00D86F13"/>
    <w:rsid w:val="00D86F38"/>
    <w:rsid w:val="00D86F48"/>
    <w:rsid w:val="00D86FE3"/>
    <w:rsid w:val="00D86FEF"/>
    <w:rsid w:val="00D86FF8"/>
    <w:rsid w:val="00D8700D"/>
    <w:rsid w:val="00D8705E"/>
    <w:rsid w:val="00D8706D"/>
    <w:rsid w:val="00D870E5"/>
    <w:rsid w:val="00D8717C"/>
    <w:rsid w:val="00D87195"/>
    <w:rsid w:val="00D871D0"/>
    <w:rsid w:val="00D871E2"/>
    <w:rsid w:val="00D871ED"/>
    <w:rsid w:val="00D87203"/>
    <w:rsid w:val="00D8720F"/>
    <w:rsid w:val="00D87247"/>
    <w:rsid w:val="00D872B7"/>
    <w:rsid w:val="00D87337"/>
    <w:rsid w:val="00D873AF"/>
    <w:rsid w:val="00D873CE"/>
    <w:rsid w:val="00D87414"/>
    <w:rsid w:val="00D8743E"/>
    <w:rsid w:val="00D87447"/>
    <w:rsid w:val="00D87480"/>
    <w:rsid w:val="00D874E1"/>
    <w:rsid w:val="00D8753A"/>
    <w:rsid w:val="00D87564"/>
    <w:rsid w:val="00D875EC"/>
    <w:rsid w:val="00D87610"/>
    <w:rsid w:val="00D8762F"/>
    <w:rsid w:val="00D87644"/>
    <w:rsid w:val="00D87674"/>
    <w:rsid w:val="00D87675"/>
    <w:rsid w:val="00D8768B"/>
    <w:rsid w:val="00D876EF"/>
    <w:rsid w:val="00D87733"/>
    <w:rsid w:val="00D8778C"/>
    <w:rsid w:val="00D8779E"/>
    <w:rsid w:val="00D8782E"/>
    <w:rsid w:val="00D8783C"/>
    <w:rsid w:val="00D8785A"/>
    <w:rsid w:val="00D87887"/>
    <w:rsid w:val="00D878C1"/>
    <w:rsid w:val="00D878D6"/>
    <w:rsid w:val="00D878DD"/>
    <w:rsid w:val="00D8798F"/>
    <w:rsid w:val="00D87A03"/>
    <w:rsid w:val="00D87A09"/>
    <w:rsid w:val="00D87A43"/>
    <w:rsid w:val="00D87A54"/>
    <w:rsid w:val="00D87A56"/>
    <w:rsid w:val="00D87B01"/>
    <w:rsid w:val="00D87B4A"/>
    <w:rsid w:val="00D87B4F"/>
    <w:rsid w:val="00D87BDC"/>
    <w:rsid w:val="00D87C7A"/>
    <w:rsid w:val="00D87CA0"/>
    <w:rsid w:val="00D87CD3"/>
    <w:rsid w:val="00D87D1B"/>
    <w:rsid w:val="00D87D21"/>
    <w:rsid w:val="00D87D29"/>
    <w:rsid w:val="00D87D2A"/>
    <w:rsid w:val="00D87D2D"/>
    <w:rsid w:val="00D87D43"/>
    <w:rsid w:val="00D87D55"/>
    <w:rsid w:val="00D87D78"/>
    <w:rsid w:val="00D87DB8"/>
    <w:rsid w:val="00D87DE8"/>
    <w:rsid w:val="00D87DEE"/>
    <w:rsid w:val="00D87DFC"/>
    <w:rsid w:val="00D87E16"/>
    <w:rsid w:val="00D87E49"/>
    <w:rsid w:val="00D87E8D"/>
    <w:rsid w:val="00D87ED3"/>
    <w:rsid w:val="00D87F03"/>
    <w:rsid w:val="00D87FCD"/>
    <w:rsid w:val="00D87FF4"/>
    <w:rsid w:val="00D87FF5"/>
    <w:rsid w:val="00D8D7D6"/>
    <w:rsid w:val="00D8D9B1"/>
    <w:rsid w:val="00D90002"/>
    <w:rsid w:val="00D9008A"/>
    <w:rsid w:val="00D9008B"/>
    <w:rsid w:val="00D90096"/>
    <w:rsid w:val="00D9011A"/>
    <w:rsid w:val="00D90161"/>
    <w:rsid w:val="00D90170"/>
    <w:rsid w:val="00D90187"/>
    <w:rsid w:val="00D901AE"/>
    <w:rsid w:val="00D901CA"/>
    <w:rsid w:val="00D90236"/>
    <w:rsid w:val="00D9025D"/>
    <w:rsid w:val="00D90262"/>
    <w:rsid w:val="00D9026C"/>
    <w:rsid w:val="00D902B9"/>
    <w:rsid w:val="00D90308"/>
    <w:rsid w:val="00D9031D"/>
    <w:rsid w:val="00D90331"/>
    <w:rsid w:val="00D9042A"/>
    <w:rsid w:val="00D9045D"/>
    <w:rsid w:val="00D90472"/>
    <w:rsid w:val="00D9047D"/>
    <w:rsid w:val="00D90486"/>
    <w:rsid w:val="00D904B2"/>
    <w:rsid w:val="00D904BF"/>
    <w:rsid w:val="00D904C9"/>
    <w:rsid w:val="00D90530"/>
    <w:rsid w:val="00D90553"/>
    <w:rsid w:val="00D9055B"/>
    <w:rsid w:val="00D9058F"/>
    <w:rsid w:val="00D905D1"/>
    <w:rsid w:val="00D90611"/>
    <w:rsid w:val="00D90654"/>
    <w:rsid w:val="00D906BA"/>
    <w:rsid w:val="00D906F2"/>
    <w:rsid w:val="00D90722"/>
    <w:rsid w:val="00D90729"/>
    <w:rsid w:val="00D9073E"/>
    <w:rsid w:val="00D907A3"/>
    <w:rsid w:val="00D907EE"/>
    <w:rsid w:val="00D90825"/>
    <w:rsid w:val="00D908A7"/>
    <w:rsid w:val="00D908B0"/>
    <w:rsid w:val="00D908CE"/>
    <w:rsid w:val="00D908ED"/>
    <w:rsid w:val="00D90904"/>
    <w:rsid w:val="00D9095B"/>
    <w:rsid w:val="00D909AF"/>
    <w:rsid w:val="00D909D1"/>
    <w:rsid w:val="00D909D7"/>
    <w:rsid w:val="00D90A2B"/>
    <w:rsid w:val="00D90A6C"/>
    <w:rsid w:val="00D90A83"/>
    <w:rsid w:val="00D90AD0"/>
    <w:rsid w:val="00D90B23"/>
    <w:rsid w:val="00D90B6D"/>
    <w:rsid w:val="00D90B9C"/>
    <w:rsid w:val="00D90BA9"/>
    <w:rsid w:val="00D90BC8"/>
    <w:rsid w:val="00D90BCF"/>
    <w:rsid w:val="00D90BD5"/>
    <w:rsid w:val="00D90C77"/>
    <w:rsid w:val="00D90CEA"/>
    <w:rsid w:val="00D90CF9"/>
    <w:rsid w:val="00D90D25"/>
    <w:rsid w:val="00D90D2A"/>
    <w:rsid w:val="00D90D8C"/>
    <w:rsid w:val="00D90DA3"/>
    <w:rsid w:val="00D90DAA"/>
    <w:rsid w:val="00D90DB3"/>
    <w:rsid w:val="00D90DB6"/>
    <w:rsid w:val="00D90DBA"/>
    <w:rsid w:val="00D90DBD"/>
    <w:rsid w:val="00D90DC9"/>
    <w:rsid w:val="00D90DDB"/>
    <w:rsid w:val="00D90E0A"/>
    <w:rsid w:val="00D90E0B"/>
    <w:rsid w:val="00D90E3D"/>
    <w:rsid w:val="00D90E65"/>
    <w:rsid w:val="00D90E78"/>
    <w:rsid w:val="00D90EAD"/>
    <w:rsid w:val="00D90F8E"/>
    <w:rsid w:val="00D90F9C"/>
    <w:rsid w:val="00D90FAD"/>
    <w:rsid w:val="00D90FC2"/>
    <w:rsid w:val="00D90FD2"/>
    <w:rsid w:val="00D91003"/>
    <w:rsid w:val="00D9102C"/>
    <w:rsid w:val="00D91041"/>
    <w:rsid w:val="00D9105E"/>
    <w:rsid w:val="00D9107F"/>
    <w:rsid w:val="00D91082"/>
    <w:rsid w:val="00D910DA"/>
    <w:rsid w:val="00D91144"/>
    <w:rsid w:val="00D9117C"/>
    <w:rsid w:val="00D911D8"/>
    <w:rsid w:val="00D912C8"/>
    <w:rsid w:val="00D91324"/>
    <w:rsid w:val="00D913C8"/>
    <w:rsid w:val="00D91428"/>
    <w:rsid w:val="00D9142B"/>
    <w:rsid w:val="00D9146C"/>
    <w:rsid w:val="00D9147E"/>
    <w:rsid w:val="00D914E8"/>
    <w:rsid w:val="00D9151C"/>
    <w:rsid w:val="00D9152E"/>
    <w:rsid w:val="00D915D7"/>
    <w:rsid w:val="00D916AD"/>
    <w:rsid w:val="00D916CA"/>
    <w:rsid w:val="00D916E2"/>
    <w:rsid w:val="00D91744"/>
    <w:rsid w:val="00D9174F"/>
    <w:rsid w:val="00D917C0"/>
    <w:rsid w:val="00D917E8"/>
    <w:rsid w:val="00D9181E"/>
    <w:rsid w:val="00D9185D"/>
    <w:rsid w:val="00D9186C"/>
    <w:rsid w:val="00D91903"/>
    <w:rsid w:val="00D9199D"/>
    <w:rsid w:val="00D919A6"/>
    <w:rsid w:val="00D919E8"/>
    <w:rsid w:val="00D919FF"/>
    <w:rsid w:val="00D91A19"/>
    <w:rsid w:val="00D91A85"/>
    <w:rsid w:val="00D91AF0"/>
    <w:rsid w:val="00D91B94"/>
    <w:rsid w:val="00D91B96"/>
    <w:rsid w:val="00D91BB3"/>
    <w:rsid w:val="00D91BBA"/>
    <w:rsid w:val="00D91BD0"/>
    <w:rsid w:val="00D91BF7"/>
    <w:rsid w:val="00D91C0F"/>
    <w:rsid w:val="00D91C57"/>
    <w:rsid w:val="00D91CB8"/>
    <w:rsid w:val="00D91CE2"/>
    <w:rsid w:val="00D91D01"/>
    <w:rsid w:val="00D91D08"/>
    <w:rsid w:val="00D91D1F"/>
    <w:rsid w:val="00D91D49"/>
    <w:rsid w:val="00D91D97"/>
    <w:rsid w:val="00D91DB7"/>
    <w:rsid w:val="00D91E01"/>
    <w:rsid w:val="00D91E94"/>
    <w:rsid w:val="00D91EB1"/>
    <w:rsid w:val="00D91EB6"/>
    <w:rsid w:val="00D91EC9"/>
    <w:rsid w:val="00D91F25"/>
    <w:rsid w:val="00D91FEC"/>
    <w:rsid w:val="00D92016"/>
    <w:rsid w:val="00D92020"/>
    <w:rsid w:val="00D92023"/>
    <w:rsid w:val="00D9207D"/>
    <w:rsid w:val="00D92083"/>
    <w:rsid w:val="00D920B9"/>
    <w:rsid w:val="00D92165"/>
    <w:rsid w:val="00D92188"/>
    <w:rsid w:val="00D921DC"/>
    <w:rsid w:val="00D921E4"/>
    <w:rsid w:val="00D922AF"/>
    <w:rsid w:val="00D922B5"/>
    <w:rsid w:val="00D922D8"/>
    <w:rsid w:val="00D922E3"/>
    <w:rsid w:val="00D92319"/>
    <w:rsid w:val="00D9233D"/>
    <w:rsid w:val="00D9236B"/>
    <w:rsid w:val="00D9243B"/>
    <w:rsid w:val="00D924CD"/>
    <w:rsid w:val="00D924F5"/>
    <w:rsid w:val="00D924FE"/>
    <w:rsid w:val="00D9252B"/>
    <w:rsid w:val="00D92543"/>
    <w:rsid w:val="00D92567"/>
    <w:rsid w:val="00D925C9"/>
    <w:rsid w:val="00D925D3"/>
    <w:rsid w:val="00D9260C"/>
    <w:rsid w:val="00D9262B"/>
    <w:rsid w:val="00D9262E"/>
    <w:rsid w:val="00D9265C"/>
    <w:rsid w:val="00D9265E"/>
    <w:rsid w:val="00D92677"/>
    <w:rsid w:val="00D9269A"/>
    <w:rsid w:val="00D926D3"/>
    <w:rsid w:val="00D926DB"/>
    <w:rsid w:val="00D9274D"/>
    <w:rsid w:val="00D92757"/>
    <w:rsid w:val="00D92759"/>
    <w:rsid w:val="00D927A4"/>
    <w:rsid w:val="00D927F6"/>
    <w:rsid w:val="00D9281E"/>
    <w:rsid w:val="00D928BF"/>
    <w:rsid w:val="00D928D4"/>
    <w:rsid w:val="00D929B2"/>
    <w:rsid w:val="00D929FC"/>
    <w:rsid w:val="00D92A1F"/>
    <w:rsid w:val="00D92A4F"/>
    <w:rsid w:val="00D92A8A"/>
    <w:rsid w:val="00D92A8E"/>
    <w:rsid w:val="00D92A9F"/>
    <w:rsid w:val="00D92B0E"/>
    <w:rsid w:val="00D92B82"/>
    <w:rsid w:val="00D92B85"/>
    <w:rsid w:val="00D92BA2"/>
    <w:rsid w:val="00D92BDB"/>
    <w:rsid w:val="00D92BFE"/>
    <w:rsid w:val="00D92C0B"/>
    <w:rsid w:val="00D92C3B"/>
    <w:rsid w:val="00D92C91"/>
    <w:rsid w:val="00D92CCA"/>
    <w:rsid w:val="00D92CCB"/>
    <w:rsid w:val="00D92CDE"/>
    <w:rsid w:val="00D92D06"/>
    <w:rsid w:val="00D92D18"/>
    <w:rsid w:val="00D92D34"/>
    <w:rsid w:val="00D92DC0"/>
    <w:rsid w:val="00D92E4C"/>
    <w:rsid w:val="00D92E4D"/>
    <w:rsid w:val="00D92E67"/>
    <w:rsid w:val="00D92E6A"/>
    <w:rsid w:val="00D92EA5"/>
    <w:rsid w:val="00D92EEB"/>
    <w:rsid w:val="00D92EFD"/>
    <w:rsid w:val="00D92F03"/>
    <w:rsid w:val="00D92FDB"/>
    <w:rsid w:val="00D93006"/>
    <w:rsid w:val="00D93014"/>
    <w:rsid w:val="00D930AF"/>
    <w:rsid w:val="00D930D5"/>
    <w:rsid w:val="00D93125"/>
    <w:rsid w:val="00D93144"/>
    <w:rsid w:val="00D931A3"/>
    <w:rsid w:val="00D931D9"/>
    <w:rsid w:val="00D931FC"/>
    <w:rsid w:val="00D93224"/>
    <w:rsid w:val="00D93277"/>
    <w:rsid w:val="00D93296"/>
    <w:rsid w:val="00D9333A"/>
    <w:rsid w:val="00D9333C"/>
    <w:rsid w:val="00D93409"/>
    <w:rsid w:val="00D9340A"/>
    <w:rsid w:val="00D93428"/>
    <w:rsid w:val="00D93438"/>
    <w:rsid w:val="00D93538"/>
    <w:rsid w:val="00D935B1"/>
    <w:rsid w:val="00D935CA"/>
    <w:rsid w:val="00D93661"/>
    <w:rsid w:val="00D9370E"/>
    <w:rsid w:val="00D93723"/>
    <w:rsid w:val="00D93732"/>
    <w:rsid w:val="00D93738"/>
    <w:rsid w:val="00D9376D"/>
    <w:rsid w:val="00D9376E"/>
    <w:rsid w:val="00D937A3"/>
    <w:rsid w:val="00D937AA"/>
    <w:rsid w:val="00D937E7"/>
    <w:rsid w:val="00D93832"/>
    <w:rsid w:val="00D9388F"/>
    <w:rsid w:val="00D938D4"/>
    <w:rsid w:val="00D93933"/>
    <w:rsid w:val="00D93993"/>
    <w:rsid w:val="00D939D6"/>
    <w:rsid w:val="00D939FF"/>
    <w:rsid w:val="00D93A03"/>
    <w:rsid w:val="00D93A2A"/>
    <w:rsid w:val="00D93A33"/>
    <w:rsid w:val="00D93A3F"/>
    <w:rsid w:val="00D93A59"/>
    <w:rsid w:val="00D93A8D"/>
    <w:rsid w:val="00D93A97"/>
    <w:rsid w:val="00D93AE9"/>
    <w:rsid w:val="00D93AF3"/>
    <w:rsid w:val="00D93B18"/>
    <w:rsid w:val="00D93B2C"/>
    <w:rsid w:val="00D93B3C"/>
    <w:rsid w:val="00D93B55"/>
    <w:rsid w:val="00D93B6E"/>
    <w:rsid w:val="00D93B95"/>
    <w:rsid w:val="00D93BA6"/>
    <w:rsid w:val="00D93C14"/>
    <w:rsid w:val="00D93C33"/>
    <w:rsid w:val="00D93C46"/>
    <w:rsid w:val="00D93CF3"/>
    <w:rsid w:val="00D93CFB"/>
    <w:rsid w:val="00D93D0C"/>
    <w:rsid w:val="00D93D89"/>
    <w:rsid w:val="00D93D8C"/>
    <w:rsid w:val="00D93DC9"/>
    <w:rsid w:val="00D93DD8"/>
    <w:rsid w:val="00D93E11"/>
    <w:rsid w:val="00D93E2B"/>
    <w:rsid w:val="00D93E4B"/>
    <w:rsid w:val="00D93F13"/>
    <w:rsid w:val="00D93F3D"/>
    <w:rsid w:val="00D93F4D"/>
    <w:rsid w:val="00D93F99"/>
    <w:rsid w:val="00D93FAD"/>
    <w:rsid w:val="00D93FDD"/>
    <w:rsid w:val="00D94086"/>
    <w:rsid w:val="00D940AD"/>
    <w:rsid w:val="00D940BB"/>
    <w:rsid w:val="00D940FA"/>
    <w:rsid w:val="00D94143"/>
    <w:rsid w:val="00D941F2"/>
    <w:rsid w:val="00D9420F"/>
    <w:rsid w:val="00D94240"/>
    <w:rsid w:val="00D94268"/>
    <w:rsid w:val="00D9426F"/>
    <w:rsid w:val="00D942DD"/>
    <w:rsid w:val="00D94300"/>
    <w:rsid w:val="00D94302"/>
    <w:rsid w:val="00D943D8"/>
    <w:rsid w:val="00D9440F"/>
    <w:rsid w:val="00D94422"/>
    <w:rsid w:val="00D944B7"/>
    <w:rsid w:val="00D944C8"/>
    <w:rsid w:val="00D944DE"/>
    <w:rsid w:val="00D944E3"/>
    <w:rsid w:val="00D94572"/>
    <w:rsid w:val="00D9457C"/>
    <w:rsid w:val="00D945B0"/>
    <w:rsid w:val="00D945BC"/>
    <w:rsid w:val="00D9465A"/>
    <w:rsid w:val="00D94678"/>
    <w:rsid w:val="00D94685"/>
    <w:rsid w:val="00D94687"/>
    <w:rsid w:val="00D946B5"/>
    <w:rsid w:val="00D946EA"/>
    <w:rsid w:val="00D94710"/>
    <w:rsid w:val="00D94777"/>
    <w:rsid w:val="00D947E3"/>
    <w:rsid w:val="00D94800"/>
    <w:rsid w:val="00D9486B"/>
    <w:rsid w:val="00D9488F"/>
    <w:rsid w:val="00D948B4"/>
    <w:rsid w:val="00D948E8"/>
    <w:rsid w:val="00D948F2"/>
    <w:rsid w:val="00D949FD"/>
    <w:rsid w:val="00D94A0C"/>
    <w:rsid w:val="00D94A30"/>
    <w:rsid w:val="00D94A50"/>
    <w:rsid w:val="00D94A9B"/>
    <w:rsid w:val="00D94AA8"/>
    <w:rsid w:val="00D94B09"/>
    <w:rsid w:val="00D94B28"/>
    <w:rsid w:val="00D94BC7"/>
    <w:rsid w:val="00D94C07"/>
    <w:rsid w:val="00D94C48"/>
    <w:rsid w:val="00D94CA8"/>
    <w:rsid w:val="00D94CB2"/>
    <w:rsid w:val="00D94D1C"/>
    <w:rsid w:val="00D94DEB"/>
    <w:rsid w:val="00D94DF1"/>
    <w:rsid w:val="00D94EDF"/>
    <w:rsid w:val="00D94EF4"/>
    <w:rsid w:val="00D94F01"/>
    <w:rsid w:val="00D94F85"/>
    <w:rsid w:val="00D94F93"/>
    <w:rsid w:val="00D94FC8"/>
    <w:rsid w:val="00D94FCA"/>
    <w:rsid w:val="00D94FCC"/>
    <w:rsid w:val="00D9503B"/>
    <w:rsid w:val="00D95076"/>
    <w:rsid w:val="00D950A6"/>
    <w:rsid w:val="00D950AD"/>
    <w:rsid w:val="00D950AF"/>
    <w:rsid w:val="00D950C5"/>
    <w:rsid w:val="00D950ED"/>
    <w:rsid w:val="00D951E6"/>
    <w:rsid w:val="00D95233"/>
    <w:rsid w:val="00D95254"/>
    <w:rsid w:val="00D95257"/>
    <w:rsid w:val="00D9526A"/>
    <w:rsid w:val="00D95294"/>
    <w:rsid w:val="00D952A2"/>
    <w:rsid w:val="00D952AF"/>
    <w:rsid w:val="00D952D1"/>
    <w:rsid w:val="00D95306"/>
    <w:rsid w:val="00D953A8"/>
    <w:rsid w:val="00D953B5"/>
    <w:rsid w:val="00D953EC"/>
    <w:rsid w:val="00D95522"/>
    <w:rsid w:val="00D9552D"/>
    <w:rsid w:val="00D95532"/>
    <w:rsid w:val="00D9553D"/>
    <w:rsid w:val="00D95541"/>
    <w:rsid w:val="00D9555A"/>
    <w:rsid w:val="00D95577"/>
    <w:rsid w:val="00D955B9"/>
    <w:rsid w:val="00D955C3"/>
    <w:rsid w:val="00D955D5"/>
    <w:rsid w:val="00D95631"/>
    <w:rsid w:val="00D95632"/>
    <w:rsid w:val="00D956A9"/>
    <w:rsid w:val="00D956D6"/>
    <w:rsid w:val="00D9572B"/>
    <w:rsid w:val="00D95760"/>
    <w:rsid w:val="00D95767"/>
    <w:rsid w:val="00D957AB"/>
    <w:rsid w:val="00D9585E"/>
    <w:rsid w:val="00D95897"/>
    <w:rsid w:val="00D9591B"/>
    <w:rsid w:val="00D95922"/>
    <w:rsid w:val="00D95944"/>
    <w:rsid w:val="00D95954"/>
    <w:rsid w:val="00D95971"/>
    <w:rsid w:val="00D9597E"/>
    <w:rsid w:val="00D9598E"/>
    <w:rsid w:val="00D959B6"/>
    <w:rsid w:val="00D959E3"/>
    <w:rsid w:val="00D959FB"/>
    <w:rsid w:val="00D95A19"/>
    <w:rsid w:val="00D95A2B"/>
    <w:rsid w:val="00D95B05"/>
    <w:rsid w:val="00D95B33"/>
    <w:rsid w:val="00D95B34"/>
    <w:rsid w:val="00D95B3A"/>
    <w:rsid w:val="00D95B5D"/>
    <w:rsid w:val="00D95B61"/>
    <w:rsid w:val="00D95B76"/>
    <w:rsid w:val="00D95BB8"/>
    <w:rsid w:val="00D95BDC"/>
    <w:rsid w:val="00D95BE8"/>
    <w:rsid w:val="00D95BF4"/>
    <w:rsid w:val="00D95C20"/>
    <w:rsid w:val="00D95C8B"/>
    <w:rsid w:val="00D95CFE"/>
    <w:rsid w:val="00D95D1E"/>
    <w:rsid w:val="00D95D29"/>
    <w:rsid w:val="00D95DD5"/>
    <w:rsid w:val="00D95DDA"/>
    <w:rsid w:val="00D95E03"/>
    <w:rsid w:val="00D95E9A"/>
    <w:rsid w:val="00D95F0D"/>
    <w:rsid w:val="00D95F27"/>
    <w:rsid w:val="00D95F35"/>
    <w:rsid w:val="00D95F61"/>
    <w:rsid w:val="00D95FAA"/>
    <w:rsid w:val="00D95FBA"/>
    <w:rsid w:val="00D95FEC"/>
    <w:rsid w:val="00D96043"/>
    <w:rsid w:val="00D96073"/>
    <w:rsid w:val="00D960ED"/>
    <w:rsid w:val="00D96154"/>
    <w:rsid w:val="00D96167"/>
    <w:rsid w:val="00D961E1"/>
    <w:rsid w:val="00D96254"/>
    <w:rsid w:val="00D9626B"/>
    <w:rsid w:val="00D962F6"/>
    <w:rsid w:val="00D9632B"/>
    <w:rsid w:val="00D96346"/>
    <w:rsid w:val="00D96350"/>
    <w:rsid w:val="00D96355"/>
    <w:rsid w:val="00D963F8"/>
    <w:rsid w:val="00D9646B"/>
    <w:rsid w:val="00D964A4"/>
    <w:rsid w:val="00D964BA"/>
    <w:rsid w:val="00D96506"/>
    <w:rsid w:val="00D96535"/>
    <w:rsid w:val="00D9654B"/>
    <w:rsid w:val="00D96558"/>
    <w:rsid w:val="00D9657A"/>
    <w:rsid w:val="00D96587"/>
    <w:rsid w:val="00D9658E"/>
    <w:rsid w:val="00D965C3"/>
    <w:rsid w:val="00D965C8"/>
    <w:rsid w:val="00D965D9"/>
    <w:rsid w:val="00D96600"/>
    <w:rsid w:val="00D96665"/>
    <w:rsid w:val="00D96711"/>
    <w:rsid w:val="00D96759"/>
    <w:rsid w:val="00D96765"/>
    <w:rsid w:val="00D96771"/>
    <w:rsid w:val="00D96797"/>
    <w:rsid w:val="00D967EC"/>
    <w:rsid w:val="00D967FB"/>
    <w:rsid w:val="00D967FE"/>
    <w:rsid w:val="00D96811"/>
    <w:rsid w:val="00D96849"/>
    <w:rsid w:val="00D9684E"/>
    <w:rsid w:val="00D968FD"/>
    <w:rsid w:val="00D96923"/>
    <w:rsid w:val="00D9693F"/>
    <w:rsid w:val="00D96968"/>
    <w:rsid w:val="00D969B4"/>
    <w:rsid w:val="00D96A52"/>
    <w:rsid w:val="00D96A9F"/>
    <w:rsid w:val="00D96B2D"/>
    <w:rsid w:val="00D96B39"/>
    <w:rsid w:val="00D96BA0"/>
    <w:rsid w:val="00D96BC6"/>
    <w:rsid w:val="00D96BE0"/>
    <w:rsid w:val="00D96BF4"/>
    <w:rsid w:val="00D96C05"/>
    <w:rsid w:val="00D96C0E"/>
    <w:rsid w:val="00D96C13"/>
    <w:rsid w:val="00D96C30"/>
    <w:rsid w:val="00D96C5D"/>
    <w:rsid w:val="00D96C7E"/>
    <w:rsid w:val="00D96CD4"/>
    <w:rsid w:val="00D96D56"/>
    <w:rsid w:val="00D96D7F"/>
    <w:rsid w:val="00D96DCC"/>
    <w:rsid w:val="00D96DD9"/>
    <w:rsid w:val="00D96DEC"/>
    <w:rsid w:val="00D96E3D"/>
    <w:rsid w:val="00D96EB6"/>
    <w:rsid w:val="00D96EBD"/>
    <w:rsid w:val="00D96EC0"/>
    <w:rsid w:val="00D96F7D"/>
    <w:rsid w:val="00D96F88"/>
    <w:rsid w:val="00D96FD2"/>
    <w:rsid w:val="00D96FD7"/>
    <w:rsid w:val="00D96FEC"/>
    <w:rsid w:val="00D9704D"/>
    <w:rsid w:val="00D97074"/>
    <w:rsid w:val="00D97097"/>
    <w:rsid w:val="00D970B9"/>
    <w:rsid w:val="00D970E2"/>
    <w:rsid w:val="00D97159"/>
    <w:rsid w:val="00D9722B"/>
    <w:rsid w:val="00D97271"/>
    <w:rsid w:val="00D972B8"/>
    <w:rsid w:val="00D97307"/>
    <w:rsid w:val="00D9734F"/>
    <w:rsid w:val="00D97367"/>
    <w:rsid w:val="00D97441"/>
    <w:rsid w:val="00D97472"/>
    <w:rsid w:val="00D97499"/>
    <w:rsid w:val="00D974C1"/>
    <w:rsid w:val="00D974C5"/>
    <w:rsid w:val="00D9752F"/>
    <w:rsid w:val="00D97561"/>
    <w:rsid w:val="00D9758A"/>
    <w:rsid w:val="00D975B8"/>
    <w:rsid w:val="00D975C3"/>
    <w:rsid w:val="00D97621"/>
    <w:rsid w:val="00D97659"/>
    <w:rsid w:val="00D9766C"/>
    <w:rsid w:val="00D97682"/>
    <w:rsid w:val="00D9768E"/>
    <w:rsid w:val="00D976B3"/>
    <w:rsid w:val="00D9771D"/>
    <w:rsid w:val="00D9772E"/>
    <w:rsid w:val="00D9773B"/>
    <w:rsid w:val="00D9775C"/>
    <w:rsid w:val="00D9778B"/>
    <w:rsid w:val="00D977F8"/>
    <w:rsid w:val="00D97805"/>
    <w:rsid w:val="00D97814"/>
    <w:rsid w:val="00D97823"/>
    <w:rsid w:val="00D97825"/>
    <w:rsid w:val="00D9788F"/>
    <w:rsid w:val="00D978AD"/>
    <w:rsid w:val="00D978AE"/>
    <w:rsid w:val="00D978DB"/>
    <w:rsid w:val="00D978DE"/>
    <w:rsid w:val="00D978E2"/>
    <w:rsid w:val="00D978FC"/>
    <w:rsid w:val="00D979CD"/>
    <w:rsid w:val="00D979E7"/>
    <w:rsid w:val="00D97A21"/>
    <w:rsid w:val="00D97A4A"/>
    <w:rsid w:val="00D97A68"/>
    <w:rsid w:val="00D97A6D"/>
    <w:rsid w:val="00D97AD3"/>
    <w:rsid w:val="00D97AD5"/>
    <w:rsid w:val="00D97BA4"/>
    <w:rsid w:val="00D97BBF"/>
    <w:rsid w:val="00D97BD9"/>
    <w:rsid w:val="00D97C32"/>
    <w:rsid w:val="00D97C5E"/>
    <w:rsid w:val="00D97C66"/>
    <w:rsid w:val="00D97C6B"/>
    <w:rsid w:val="00D97CC5"/>
    <w:rsid w:val="00D97CCE"/>
    <w:rsid w:val="00D97D44"/>
    <w:rsid w:val="00D97D62"/>
    <w:rsid w:val="00D97D6E"/>
    <w:rsid w:val="00D97D7B"/>
    <w:rsid w:val="00D97DE4"/>
    <w:rsid w:val="00D97E0D"/>
    <w:rsid w:val="00D97E47"/>
    <w:rsid w:val="00D97E6C"/>
    <w:rsid w:val="00D97ED0"/>
    <w:rsid w:val="00D97F3B"/>
    <w:rsid w:val="00D97F53"/>
    <w:rsid w:val="00D97F5A"/>
    <w:rsid w:val="00D97F5F"/>
    <w:rsid w:val="00D97F85"/>
    <w:rsid w:val="00D97FA3"/>
    <w:rsid w:val="00D97FED"/>
    <w:rsid w:val="00DA0018"/>
    <w:rsid w:val="00DA0062"/>
    <w:rsid w:val="00DA0100"/>
    <w:rsid w:val="00DA0103"/>
    <w:rsid w:val="00DA0203"/>
    <w:rsid w:val="00DA020E"/>
    <w:rsid w:val="00DA0227"/>
    <w:rsid w:val="00DA0234"/>
    <w:rsid w:val="00DA024C"/>
    <w:rsid w:val="00DA02A2"/>
    <w:rsid w:val="00DA02F0"/>
    <w:rsid w:val="00DA0381"/>
    <w:rsid w:val="00DA03A1"/>
    <w:rsid w:val="00DA03A5"/>
    <w:rsid w:val="00DA043A"/>
    <w:rsid w:val="00DA04B9"/>
    <w:rsid w:val="00DA04C4"/>
    <w:rsid w:val="00DA04FD"/>
    <w:rsid w:val="00DA0509"/>
    <w:rsid w:val="00DA0514"/>
    <w:rsid w:val="00DA0518"/>
    <w:rsid w:val="00DA052A"/>
    <w:rsid w:val="00DA0542"/>
    <w:rsid w:val="00DA05A9"/>
    <w:rsid w:val="00DA05AB"/>
    <w:rsid w:val="00DA05AE"/>
    <w:rsid w:val="00DA05EB"/>
    <w:rsid w:val="00DA05F2"/>
    <w:rsid w:val="00DA061E"/>
    <w:rsid w:val="00DA0634"/>
    <w:rsid w:val="00DA0646"/>
    <w:rsid w:val="00DA0691"/>
    <w:rsid w:val="00DA0699"/>
    <w:rsid w:val="00DA06C6"/>
    <w:rsid w:val="00DA06DE"/>
    <w:rsid w:val="00DA0846"/>
    <w:rsid w:val="00DA0944"/>
    <w:rsid w:val="00DA0967"/>
    <w:rsid w:val="00DA0978"/>
    <w:rsid w:val="00DA099E"/>
    <w:rsid w:val="00DA0AA9"/>
    <w:rsid w:val="00DA0ABB"/>
    <w:rsid w:val="00DA0AC6"/>
    <w:rsid w:val="00DA0AEA"/>
    <w:rsid w:val="00DA0AEE"/>
    <w:rsid w:val="00DA0B0E"/>
    <w:rsid w:val="00DA0B3E"/>
    <w:rsid w:val="00DA0B67"/>
    <w:rsid w:val="00DA0B6F"/>
    <w:rsid w:val="00DA0B93"/>
    <w:rsid w:val="00DA0BD0"/>
    <w:rsid w:val="00DA0C22"/>
    <w:rsid w:val="00DA0C8F"/>
    <w:rsid w:val="00DA0CBF"/>
    <w:rsid w:val="00DA0D02"/>
    <w:rsid w:val="00DA0D3F"/>
    <w:rsid w:val="00DA0D43"/>
    <w:rsid w:val="00DA0D5D"/>
    <w:rsid w:val="00DA0D9C"/>
    <w:rsid w:val="00DA0DBF"/>
    <w:rsid w:val="00DA0E15"/>
    <w:rsid w:val="00DA0EB4"/>
    <w:rsid w:val="00DA0EEC"/>
    <w:rsid w:val="00DA0F28"/>
    <w:rsid w:val="00DA0F34"/>
    <w:rsid w:val="00DA0F62"/>
    <w:rsid w:val="00DA0F6F"/>
    <w:rsid w:val="00DA0FD9"/>
    <w:rsid w:val="00DA100E"/>
    <w:rsid w:val="00DA107C"/>
    <w:rsid w:val="00DA108E"/>
    <w:rsid w:val="00DA10BD"/>
    <w:rsid w:val="00DA10DE"/>
    <w:rsid w:val="00DA10FC"/>
    <w:rsid w:val="00DA1128"/>
    <w:rsid w:val="00DA11B3"/>
    <w:rsid w:val="00DA11BF"/>
    <w:rsid w:val="00DA1209"/>
    <w:rsid w:val="00DA1225"/>
    <w:rsid w:val="00DA123D"/>
    <w:rsid w:val="00DA1288"/>
    <w:rsid w:val="00DA12E8"/>
    <w:rsid w:val="00DA1314"/>
    <w:rsid w:val="00DA1329"/>
    <w:rsid w:val="00DA135D"/>
    <w:rsid w:val="00DA13CC"/>
    <w:rsid w:val="00DA13D2"/>
    <w:rsid w:val="00DA13E8"/>
    <w:rsid w:val="00DA1456"/>
    <w:rsid w:val="00DA1459"/>
    <w:rsid w:val="00DA145B"/>
    <w:rsid w:val="00DA1464"/>
    <w:rsid w:val="00DA1474"/>
    <w:rsid w:val="00DA1490"/>
    <w:rsid w:val="00DA14A8"/>
    <w:rsid w:val="00DA14BB"/>
    <w:rsid w:val="00DA14BF"/>
    <w:rsid w:val="00DA154F"/>
    <w:rsid w:val="00DA1595"/>
    <w:rsid w:val="00DA15A0"/>
    <w:rsid w:val="00DA161B"/>
    <w:rsid w:val="00DA165F"/>
    <w:rsid w:val="00DA1663"/>
    <w:rsid w:val="00DA16C7"/>
    <w:rsid w:val="00DA175F"/>
    <w:rsid w:val="00DA177B"/>
    <w:rsid w:val="00DA17A4"/>
    <w:rsid w:val="00DA17B6"/>
    <w:rsid w:val="00DA189D"/>
    <w:rsid w:val="00DA18C7"/>
    <w:rsid w:val="00DA18E2"/>
    <w:rsid w:val="00DA18E8"/>
    <w:rsid w:val="00DA1923"/>
    <w:rsid w:val="00DA192A"/>
    <w:rsid w:val="00DA197C"/>
    <w:rsid w:val="00DA19A0"/>
    <w:rsid w:val="00DA19BB"/>
    <w:rsid w:val="00DA1A0B"/>
    <w:rsid w:val="00DA1A5D"/>
    <w:rsid w:val="00DA1A81"/>
    <w:rsid w:val="00DA1A8B"/>
    <w:rsid w:val="00DA1A8E"/>
    <w:rsid w:val="00DA1A98"/>
    <w:rsid w:val="00DA1AB5"/>
    <w:rsid w:val="00DA1ABD"/>
    <w:rsid w:val="00DA1AC6"/>
    <w:rsid w:val="00DA1AD0"/>
    <w:rsid w:val="00DA1AE5"/>
    <w:rsid w:val="00DA1AF3"/>
    <w:rsid w:val="00DA1AF8"/>
    <w:rsid w:val="00DA1BB5"/>
    <w:rsid w:val="00DA1BC8"/>
    <w:rsid w:val="00DA1C0B"/>
    <w:rsid w:val="00DA1C42"/>
    <w:rsid w:val="00DA1C49"/>
    <w:rsid w:val="00DA1CE3"/>
    <w:rsid w:val="00DA1D31"/>
    <w:rsid w:val="00DA1DD9"/>
    <w:rsid w:val="00DA1E1D"/>
    <w:rsid w:val="00DA1E23"/>
    <w:rsid w:val="00DA1E52"/>
    <w:rsid w:val="00DA1E63"/>
    <w:rsid w:val="00DA1E7A"/>
    <w:rsid w:val="00DA1EC8"/>
    <w:rsid w:val="00DA1ECC"/>
    <w:rsid w:val="00DA1F04"/>
    <w:rsid w:val="00DA1F36"/>
    <w:rsid w:val="00DA1F3F"/>
    <w:rsid w:val="00DA1FB2"/>
    <w:rsid w:val="00DA20DE"/>
    <w:rsid w:val="00DA2102"/>
    <w:rsid w:val="00DA2114"/>
    <w:rsid w:val="00DA2117"/>
    <w:rsid w:val="00DA2172"/>
    <w:rsid w:val="00DA21C2"/>
    <w:rsid w:val="00DA21EA"/>
    <w:rsid w:val="00DA2200"/>
    <w:rsid w:val="00DA2226"/>
    <w:rsid w:val="00DA2245"/>
    <w:rsid w:val="00DA2258"/>
    <w:rsid w:val="00DA2271"/>
    <w:rsid w:val="00DA228D"/>
    <w:rsid w:val="00DA2295"/>
    <w:rsid w:val="00DA2330"/>
    <w:rsid w:val="00DA234C"/>
    <w:rsid w:val="00DA2364"/>
    <w:rsid w:val="00DA23BE"/>
    <w:rsid w:val="00DA23E3"/>
    <w:rsid w:val="00DA23F1"/>
    <w:rsid w:val="00DA23FA"/>
    <w:rsid w:val="00DA2403"/>
    <w:rsid w:val="00DA240D"/>
    <w:rsid w:val="00DA2414"/>
    <w:rsid w:val="00DA2429"/>
    <w:rsid w:val="00DA2449"/>
    <w:rsid w:val="00DA24C0"/>
    <w:rsid w:val="00DA24C6"/>
    <w:rsid w:val="00DA24EE"/>
    <w:rsid w:val="00DA254A"/>
    <w:rsid w:val="00DA25B3"/>
    <w:rsid w:val="00DA25CD"/>
    <w:rsid w:val="00DA25EE"/>
    <w:rsid w:val="00DA25F7"/>
    <w:rsid w:val="00DA2627"/>
    <w:rsid w:val="00DA2630"/>
    <w:rsid w:val="00DA2705"/>
    <w:rsid w:val="00DA2728"/>
    <w:rsid w:val="00DA2748"/>
    <w:rsid w:val="00DA2774"/>
    <w:rsid w:val="00DA27EC"/>
    <w:rsid w:val="00DA27F1"/>
    <w:rsid w:val="00DA27FF"/>
    <w:rsid w:val="00DA2827"/>
    <w:rsid w:val="00DA282F"/>
    <w:rsid w:val="00DA284F"/>
    <w:rsid w:val="00DA2883"/>
    <w:rsid w:val="00DA28D4"/>
    <w:rsid w:val="00DA291E"/>
    <w:rsid w:val="00DA292F"/>
    <w:rsid w:val="00DA295E"/>
    <w:rsid w:val="00DA29B5"/>
    <w:rsid w:val="00DA2A48"/>
    <w:rsid w:val="00DA2A6A"/>
    <w:rsid w:val="00DA2A82"/>
    <w:rsid w:val="00DA2A86"/>
    <w:rsid w:val="00DA2ABD"/>
    <w:rsid w:val="00DA2AF8"/>
    <w:rsid w:val="00DA2B36"/>
    <w:rsid w:val="00DA2B50"/>
    <w:rsid w:val="00DA2B60"/>
    <w:rsid w:val="00DA2B7A"/>
    <w:rsid w:val="00DA2BCD"/>
    <w:rsid w:val="00DA2C24"/>
    <w:rsid w:val="00DA2CA3"/>
    <w:rsid w:val="00DA2CDC"/>
    <w:rsid w:val="00DA2D36"/>
    <w:rsid w:val="00DA2D51"/>
    <w:rsid w:val="00DA2DA0"/>
    <w:rsid w:val="00DA2DCB"/>
    <w:rsid w:val="00DA2DF3"/>
    <w:rsid w:val="00DA2E15"/>
    <w:rsid w:val="00DA2E3C"/>
    <w:rsid w:val="00DA2E81"/>
    <w:rsid w:val="00DA2E84"/>
    <w:rsid w:val="00DA2E97"/>
    <w:rsid w:val="00DA2EA1"/>
    <w:rsid w:val="00DA2EE4"/>
    <w:rsid w:val="00DA2F3C"/>
    <w:rsid w:val="00DA2F48"/>
    <w:rsid w:val="00DA2F55"/>
    <w:rsid w:val="00DA2F8E"/>
    <w:rsid w:val="00DA2FBA"/>
    <w:rsid w:val="00DA30F9"/>
    <w:rsid w:val="00DA3131"/>
    <w:rsid w:val="00DA317A"/>
    <w:rsid w:val="00DA3223"/>
    <w:rsid w:val="00DA3231"/>
    <w:rsid w:val="00DA3235"/>
    <w:rsid w:val="00DA3249"/>
    <w:rsid w:val="00DA328F"/>
    <w:rsid w:val="00DA3367"/>
    <w:rsid w:val="00DA338B"/>
    <w:rsid w:val="00DA33E4"/>
    <w:rsid w:val="00DA3413"/>
    <w:rsid w:val="00DA349E"/>
    <w:rsid w:val="00DA34C3"/>
    <w:rsid w:val="00DA34D4"/>
    <w:rsid w:val="00DA34ED"/>
    <w:rsid w:val="00DA3508"/>
    <w:rsid w:val="00DA3528"/>
    <w:rsid w:val="00DA3534"/>
    <w:rsid w:val="00DA3538"/>
    <w:rsid w:val="00DA3575"/>
    <w:rsid w:val="00DA35E6"/>
    <w:rsid w:val="00DA35F2"/>
    <w:rsid w:val="00DA35FD"/>
    <w:rsid w:val="00DA3681"/>
    <w:rsid w:val="00DA369A"/>
    <w:rsid w:val="00DA36C4"/>
    <w:rsid w:val="00DA3772"/>
    <w:rsid w:val="00DA3798"/>
    <w:rsid w:val="00DA37A1"/>
    <w:rsid w:val="00DA37BC"/>
    <w:rsid w:val="00DA3801"/>
    <w:rsid w:val="00DA3839"/>
    <w:rsid w:val="00DA3847"/>
    <w:rsid w:val="00DA3869"/>
    <w:rsid w:val="00DA3871"/>
    <w:rsid w:val="00DA388B"/>
    <w:rsid w:val="00DA38AA"/>
    <w:rsid w:val="00DA38BC"/>
    <w:rsid w:val="00DA38C0"/>
    <w:rsid w:val="00DA38C3"/>
    <w:rsid w:val="00DA38F6"/>
    <w:rsid w:val="00DA3943"/>
    <w:rsid w:val="00DA3973"/>
    <w:rsid w:val="00DA3983"/>
    <w:rsid w:val="00DA39A5"/>
    <w:rsid w:val="00DA39AA"/>
    <w:rsid w:val="00DA39E2"/>
    <w:rsid w:val="00DA39F7"/>
    <w:rsid w:val="00DA3A30"/>
    <w:rsid w:val="00DA3A7A"/>
    <w:rsid w:val="00DA3AC6"/>
    <w:rsid w:val="00DA3AD9"/>
    <w:rsid w:val="00DA3ADA"/>
    <w:rsid w:val="00DA3B07"/>
    <w:rsid w:val="00DA3B1B"/>
    <w:rsid w:val="00DA3B47"/>
    <w:rsid w:val="00DA3B92"/>
    <w:rsid w:val="00DA3C36"/>
    <w:rsid w:val="00DA3C60"/>
    <w:rsid w:val="00DA3C66"/>
    <w:rsid w:val="00DA3CD3"/>
    <w:rsid w:val="00DA3D5A"/>
    <w:rsid w:val="00DA3D63"/>
    <w:rsid w:val="00DA3D6E"/>
    <w:rsid w:val="00DA3D74"/>
    <w:rsid w:val="00DA3D9A"/>
    <w:rsid w:val="00DA3E3B"/>
    <w:rsid w:val="00DA3ED5"/>
    <w:rsid w:val="00DA3ED6"/>
    <w:rsid w:val="00DA3EFB"/>
    <w:rsid w:val="00DA3F03"/>
    <w:rsid w:val="00DA3F06"/>
    <w:rsid w:val="00DA3F10"/>
    <w:rsid w:val="00DA3F3D"/>
    <w:rsid w:val="00DA3F65"/>
    <w:rsid w:val="00DA3F71"/>
    <w:rsid w:val="00DA3F90"/>
    <w:rsid w:val="00DA3FEE"/>
    <w:rsid w:val="00DA3FF6"/>
    <w:rsid w:val="00DA4010"/>
    <w:rsid w:val="00DA4017"/>
    <w:rsid w:val="00DA40B8"/>
    <w:rsid w:val="00DA4168"/>
    <w:rsid w:val="00DA4195"/>
    <w:rsid w:val="00DA41B9"/>
    <w:rsid w:val="00DA4202"/>
    <w:rsid w:val="00DA424E"/>
    <w:rsid w:val="00DA4269"/>
    <w:rsid w:val="00DA426F"/>
    <w:rsid w:val="00DA4283"/>
    <w:rsid w:val="00DA42FD"/>
    <w:rsid w:val="00DA4336"/>
    <w:rsid w:val="00DA4376"/>
    <w:rsid w:val="00DA4395"/>
    <w:rsid w:val="00DA439A"/>
    <w:rsid w:val="00DA4409"/>
    <w:rsid w:val="00DA443C"/>
    <w:rsid w:val="00DA44E7"/>
    <w:rsid w:val="00DA4519"/>
    <w:rsid w:val="00DA45A4"/>
    <w:rsid w:val="00DA45B5"/>
    <w:rsid w:val="00DA4668"/>
    <w:rsid w:val="00DA466C"/>
    <w:rsid w:val="00DA466E"/>
    <w:rsid w:val="00DA46B1"/>
    <w:rsid w:val="00DA46DC"/>
    <w:rsid w:val="00DA470A"/>
    <w:rsid w:val="00DA47A3"/>
    <w:rsid w:val="00DA47C1"/>
    <w:rsid w:val="00DA47F4"/>
    <w:rsid w:val="00DA4824"/>
    <w:rsid w:val="00DA4917"/>
    <w:rsid w:val="00DA4992"/>
    <w:rsid w:val="00DA49E9"/>
    <w:rsid w:val="00DA4A1A"/>
    <w:rsid w:val="00DA4A6D"/>
    <w:rsid w:val="00DA4AA4"/>
    <w:rsid w:val="00DA4AF7"/>
    <w:rsid w:val="00DA4B18"/>
    <w:rsid w:val="00DA4B2A"/>
    <w:rsid w:val="00DA4B34"/>
    <w:rsid w:val="00DA4B37"/>
    <w:rsid w:val="00DA4B3A"/>
    <w:rsid w:val="00DA4B66"/>
    <w:rsid w:val="00DA4BF1"/>
    <w:rsid w:val="00DA4C07"/>
    <w:rsid w:val="00DA4C48"/>
    <w:rsid w:val="00DA4C53"/>
    <w:rsid w:val="00DA4C5B"/>
    <w:rsid w:val="00DA4CB6"/>
    <w:rsid w:val="00DA4CC5"/>
    <w:rsid w:val="00DA4D73"/>
    <w:rsid w:val="00DA4E06"/>
    <w:rsid w:val="00DA4E27"/>
    <w:rsid w:val="00DA4E7B"/>
    <w:rsid w:val="00DA4EBA"/>
    <w:rsid w:val="00DA4F20"/>
    <w:rsid w:val="00DA4F23"/>
    <w:rsid w:val="00DA4F32"/>
    <w:rsid w:val="00DA4FAB"/>
    <w:rsid w:val="00DA4FEF"/>
    <w:rsid w:val="00DA500C"/>
    <w:rsid w:val="00DA5017"/>
    <w:rsid w:val="00DA503A"/>
    <w:rsid w:val="00DA508E"/>
    <w:rsid w:val="00DA5090"/>
    <w:rsid w:val="00DA5139"/>
    <w:rsid w:val="00DA516A"/>
    <w:rsid w:val="00DA519D"/>
    <w:rsid w:val="00DA51F7"/>
    <w:rsid w:val="00DA5207"/>
    <w:rsid w:val="00DA521A"/>
    <w:rsid w:val="00DA52AB"/>
    <w:rsid w:val="00DA52EF"/>
    <w:rsid w:val="00DA5356"/>
    <w:rsid w:val="00DA5402"/>
    <w:rsid w:val="00DA544A"/>
    <w:rsid w:val="00DA5462"/>
    <w:rsid w:val="00DA547A"/>
    <w:rsid w:val="00DA5536"/>
    <w:rsid w:val="00DA553E"/>
    <w:rsid w:val="00DA557C"/>
    <w:rsid w:val="00DA5596"/>
    <w:rsid w:val="00DA5597"/>
    <w:rsid w:val="00DA55FE"/>
    <w:rsid w:val="00DA562C"/>
    <w:rsid w:val="00DA567A"/>
    <w:rsid w:val="00DA5687"/>
    <w:rsid w:val="00DA5694"/>
    <w:rsid w:val="00DA5695"/>
    <w:rsid w:val="00DA56A4"/>
    <w:rsid w:val="00DA56AA"/>
    <w:rsid w:val="00DA56CF"/>
    <w:rsid w:val="00DA56DA"/>
    <w:rsid w:val="00DA5713"/>
    <w:rsid w:val="00DA5789"/>
    <w:rsid w:val="00DA587A"/>
    <w:rsid w:val="00DA5982"/>
    <w:rsid w:val="00DA59B2"/>
    <w:rsid w:val="00DA59F6"/>
    <w:rsid w:val="00DA5A2D"/>
    <w:rsid w:val="00DA5A6B"/>
    <w:rsid w:val="00DA5A93"/>
    <w:rsid w:val="00DA5AD5"/>
    <w:rsid w:val="00DA5AE6"/>
    <w:rsid w:val="00DA5B05"/>
    <w:rsid w:val="00DA5B10"/>
    <w:rsid w:val="00DA5B11"/>
    <w:rsid w:val="00DA5B2F"/>
    <w:rsid w:val="00DA5B4C"/>
    <w:rsid w:val="00DA5C01"/>
    <w:rsid w:val="00DA5C0D"/>
    <w:rsid w:val="00DA5C6C"/>
    <w:rsid w:val="00DA5C85"/>
    <w:rsid w:val="00DA5CF6"/>
    <w:rsid w:val="00DA5D57"/>
    <w:rsid w:val="00DA5D60"/>
    <w:rsid w:val="00DA5DB1"/>
    <w:rsid w:val="00DA5E52"/>
    <w:rsid w:val="00DA5EAF"/>
    <w:rsid w:val="00DA5F80"/>
    <w:rsid w:val="00DA5F8D"/>
    <w:rsid w:val="00DA5FC8"/>
    <w:rsid w:val="00DA5FD9"/>
    <w:rsid w:val="00DA5FDD"/>
    <w:rsid w:val="00DA6017"/>
    <w:rsid w:val="00DA6067"/>
    <w:rsid w:val="00DA6071"/>
    <w:rsid w:val="00DA607B"/>
    <w:rsid w:val="00DA6089"/>
    <w:rsid w:val="00DA60CA"/>
    <w:rsid w:val="00DA627D"/>
    <w:rsid w:val="00DA62AC"/>
    <w:rsid w:val="00DA62F4"/>
    <w:rsid w:val="00DA6307"/>
    <w:rsid w:val="00DA6319"/>
    <w:rsid w:val="00DA636E"/>
    <w:rsid w:val="00DA63EE"/>
    <w:rsid w:val="00DA63F1"/>
    <w:rsid w:val="00DA6414"/>
    <w:rsid w:val="00DA6433"/>
    <w:rsid w:val="00DA643A"/>
    <w:rsid w:val="00DA644A"/>
    <w:rsid w:val="00DA6524"/>
    <w:rsid w:val="00DA6573"/>
    <w:rsid w:val="00DA658D"/>
    <w:rsid w:val="00DA662A"/>
    <w:rsid w:val="00DA66AF"/>
    <w:rsid w:val="00DA66CD"/>
    <w:rsid w:val="00DA6741"/>
    <w:rsid w:val="00DA676D"/>
    <w:rsid w:val="00DA67B3"/>
    <w:rsid w:val="00DA67D1"/>
    <w:rsid w:val="00DA681F"/>
    <w:rsid w:val="00DA6876"/>
    <w:rsid w:val="00DA6903"/>
    <w:rsid w:val="00DA6929"/>
    <w:rsid w:val="00DA6960"/>
    <w:rsid w:val="00DA6995"/>
    <w:rsid w:val="00DA69AC"/>
    <w:rsid w:val="00DA6A01"/>
    <w:rsid w:val="00DA6AA8"/>
    <w:rsid w:val="00DA6AB2"/>
    <w:rsid w:val="00DA6B16"/>
    <w:rsid w:val="00DA6B37"/>
    <w:rsid w:val="00DA6B72"/>
    <w:rsid w:val="00DA6B8B"/>
    <w:rsid w:val="00DA6C13"/>
    <w:rsid w:val="00DA6C6C"/>
    <w:rsid w:val="00DA6C7C"/>
    <w:rsid w:val="00DA6C8A"/>
    <w:rsid w:val="00DA6C9B"/>
    <w:rsid w:val="00DA6CC3"/>
    <w:rsid w:val="00DA6CEA"/>
    <w:rsid w:val="00DA6D21"/>
    <w:rsid w:val="00DA6D23"/>
    <w:rsid w:val="00DA6DEA"/>
    <w:rsid w:val="00DA6E63"/>
    <w:rsid w:val="00DA6EB1"/>
    <w:rsid w:val="00DA6EC2"/>
    <w:rsid w:val="00DA6ECC"/>
    <w:rsid w:val="00DA6F06"/>
    <w:rsid w:val="00DA6F1C"/>
    <w:rsid w:val="00DA6F38"/>
    <w:rsid w:val="00DA6F7B"/>
    <w:rsid w:val="00DA6FCE"/>
    <w:rsid w:val="00DA700D"/>
    <w:rsid w:val="00DA7022"/>
    <w:rsid w:val="00DA706A"/>
    <w:rsid w:val="00DA7072"/>
    <w:rsid w:val="00DA708C"/>
    <w:rsid w:val="00DA70E6"/>
    <w:rsid w:val="00DA70F9"/>
    <w:rsid w:val="00DA7107"/>
    <w:rsid w:val="00DA71A1"/>
    <w:rsid w:val="00DA7255"/>
    <w:rsid w:val="00DA7278"/>
    <w:rsid w:val="00DA727B"/>
    <w:rsid w:val="00DA736D"/>
    <w:rsid w:val="00DA739F"/>
    <w:rsid w:val="00DA73B8"/>
    <w:rsid w:val="00DA7410"/>
    <w:rsid w:val="00DA74BE"/>
    <w:rsid w:val="00DA74CD"/>
    <w:rsid w:val="00DA74E8"/>
    <w:rsid w:val="00DA7620"/>
    <w:rsid w:val="00DA762C"/>
    <w:rsid w:val="00DA7696"/>
    <w:rsid w:val="00DA76D0"/>
    <w:rsid w:val="00DA76D5"/>
    <w:rsid w:val="00DA76DD"/>
    <w:rsid w:val="00DA7711"/>
    <w:rsid w:val="00DA7740"/>
    <w:rsid w:val="00DA7762"/>
    <w:rsid w:val="00DA77A9"/>
    <w:rsid w:val="00DA77B6"/>
    <w:rsid w:val="00DA77B9"/>
    <w:rsid w:val="00DA77BA"/>
    <w:rsid w:val="00DA7800"/>
    <w:rsid w:val="00DA786F"/>
    <w:rsid w:val="00DA78AE"/>
    <w:rsid w:val="00DA78D0"/>
    <w:rsid w:val="00DA7973"/>
    <w:rsid w:val="00DA79B3"/>
    <w:rsid w:val="00DA7A41"/>
    <w:rsid w:val="00DA7A56"/>
    <w:rsid w:val="00DA7A6F"/>
    <w:rsid w:val="00DA7A7B"/>
    <w:rsid w:val="00DA7AAE"/>
    <w:rsid w:val="00DA7AFF"/>
    <w:rsid w:val="00DA7B65"/>
    <w:rsid w:val="00DA7B9A"/>
    <w:rsid w:val="00DA7B9D"/>
    <w:rsid w:val="00DA7C22"/>
    <w:rsid w:val="00DA7C4B"/>
    <w:rsid w:val="00DA7DB7"/>
    <w:rsid w:val="00DA7DB8"/>
    <w:rsid w:val="00DA7DEB"/>
    <w:rsid w:val="00DA7E27"/>
    <w:rsid w:val="00DA7E4C"/>
    <w:rsid w:val="00DA7E87"/>
    <w:rsid w:val="00DA7EA8"/>
    <w:rsid w:val="00DA7F00"/>
    <w:rsid w:val="00DA7F15"/>
    <w:rsid w:val="00DA7F8D"/>
    <w:rsid w:val="00DA7FBA"/>
    <w:rsid w:val="00DB0029"/>
    <w:rsid w:val="00DB0061"/>
    <w:rsid w:val="00DB0067"/>
    <w:rsid w:val="00DB0089"/>
    <w:rsid w:val="00DB00C6"/>
    <w:rsid w:val="00DB00EF"/>
    <w:rsid w:val="00DB0108"/>
    <w:rsid w:val="00DB0142"/>
    <w:rsid w:val="00DB0290"/>
    <w:rsid w:val="00DB0297"/>
    <w:rsid w:val="00DB02D5"/>
    <w:rsid w:val="00DB032C"/>
    <w:rsid w:val="00DB034D"/>
    <w:rsid w:val="00DB036F"/>
    <w:rsid w:val="00DB0378"/>
    <w:rsid w:val="00DB038A"/>
    <w:rsid w:val="00DB042C"/>
    <w:rsid w:val="00DB042F"/>
    <w:rsid w:val="00DB0483"/>
    <w:rsid w:val="00DB04F5"/>
    <w:rsid w:val="00DB04FA"/>
    <w:rsid w:val="00DB0526"/>
    <w:rsid w:val="00DB05B3"/>
    <w:rsid w:val="00DB061D"/>
    <w:rsid w:val="00DB0647"/>
    <w:rsid w:val="00DB06B4"/>
    <w:rsid w:val="00DB06D8"/>
    <w:rsid w:val="00DB070A"/>
    <w:rsid w:val="00DB0732"/>
    <w:rsid w:val="00DB07A2"/>
    <w:rsid w:val="00DB07B7"/>
    <w:rsid w:val="00DB07F6"/>
    <w:rsid w:val="00DB0813"/>
    <w:rsid w:val="00DB082E"/>
    <w:rsid w:val="00DB084B"/>
    <w:rsid w:val="00DB0855"/>
    <w:rsid w:val="00DB08B3"/>
    <w:rsid w:val="00DB0902"/>
    <w:rsid w:val="00DB0903"/>
    <w:rsid w:val="00DB0904"/>
    <w:rsid w:val="00DB091B"/>
    <w:rsid w:val="00DB0960"/>
    <w:rsid w:val="00DB0A2D"/>
    <w:rsid w:val="00DB0A34"/>
    <w:rsid w:val="00DB0A4E"/>
    <w:rsid w:val="00DB0A59"/>
    <w:rsid w:val="00DB0A90"/>
    <w:rsid w:val="00DB0B03"/>
    <w:rsid w:val="00DB0B14"/>
    <w:rsid w:val="00DB0B68"/>
    <w:rsid w:val="00DB0B83"/>
    <w:rsid w:val="00DB0B87"/>
    <w:rsid w:val="00DB0BBF"/>
    <w:rsid w:val="00DB0BCF"/>
    <w:rsid w:val="00DB0BF6"/>
    <w:rsid w:val="00DB0C05"/>
    <w:rsid w:val="00DB0C30"/>
    <w:rsid w:val="00DB0C3B"/>
    <w:rsid w:val="00DB0C5A"/>
    <w:rsid w:val="00DB0C89"/>
    <w:rsid w:val="00DB0CA1"/>
    <w:rsid w:val="00DB0CB4"/>
    <w:rsid w:val="00DB0D09"/>
    <w:rsid w:val="00DB0D31"/>
    <w:rsid w:val="00DB0D47"/>
    <w:rsid w:val="00DB0D57"/>
    <w:rsid w:val="00DB0D84"/>
    <w:rsid w:val="00DB0D8B"/>
    <w:rsid w:val="00DB0DAA"/>
    <w:rsid w:val="00DB0DFE"/>
    <w:rsid w:val="00DB0E0B"/>
    <w:rsid w:val="00DB0E26"/>
    <w:rsid w:val="00DB0E3E"/>
    <w:rsid w:val="00DB0E42"/>
    <w:rsid w:val="00DB0E93"/>
    <w:rsid w:val="00DB0ED0"/>
    <w:rsid w:val="00DB0F12"/>
    <w:rsid w:val="00DB0F5E"/>
    <w:rsid w:val="00DB0F97"/>
    <w:rsid w:val="00DB0FD2"/>
    <w:rsid w:val="00DB0FDE"/>
    <w:rsid w:val="00DB1052"/>
    <w:rsid w:val="00DB1057"/>
    <w:rsid w:val="00DB106E"/>
    <w:rsid w:val="00DB107D"/>
    <w:rsid w:val="00DB10A9"/>
    <w:rsid w:val="00DB10B4"/>
    <w:rsid w:val="00DB113E"/>
    <w:rsid w:val="00DB118E"/>
    <w:rsid w:val="00DB11B1"/>
    <w:rsid w:val="00DB11E0"/>
    <w:rsid w:val="00DB123C"/>
    <w:rsid w:val="00DB126E"/>
    <w:rsid w:val="00DB1298"/>
    <w:rsid w:val="00DB12C5"/>
    <w:rsid w:val="00DB12CC"/>
    <w:rsid w:val="00DB12CD"/>
    <w:rsid w:val="00DB1306"/>
    <w:rsid w:val="00DB1335"/>
    <w:rsid w:val="00DB1346"/>
    <w:rsid w:val="00DB136F"/>
    <w:rsid w:val="00DB1375"/>
    <w:rsid w:val="00DB140C"/>
    <w:rsid w:val="00DB1421"/>
    <w:rsid w:val="00DB1440"/>
    <w:rsid w:val="00DB144F"/>
    <w:rsid w:val="00DB1453"/>
    <w:rsid w:val="00DB1476"/>
    <w:rsid w:val="00DB1496"/>
    <w:rsid w:val="00DB14B1"/>
    <w:rsid w:val="00DB14B3"/>
    <w:rsid w:val="00DB1532"/>
    <w:rsid w:val="00DB1542"/>
    <w:rsid w:val="00DB1562"/>
    <w:rsid w:val="00DB15FF"/>
    <w:rsid w:val="00DB167C"/>
    <w:rsid w:val="00DB16BD"/>
    <w:rsid w:val="00DB1730"/>
    <w:rsid w:val="00DB174A"/>
    <w:rsid w:val="00DB1755"/>
    <w:rsid w:val="00DB1782"/>
    <w:rsid w:val="00DB17D6"/>
    <w:rsid w:val="00DB1841"/>
    <w:rsid w:val="00DB185F"/>
    <w:rsid w:val="00DB186E"/>
    <w:rsid w:val="00DB18AF"/>
    <w:rsid w:val="00DB18F0"/>
    <w:rsid w:val="00DB1909"/>
    <w:rsid w:val="00DB19C8"/>
    <w:rsid w:val="00DB19CA"/>
    <w:rsid w:val="00DB19E5"/>
    <w:rsid w:val="00DB1A0E"/>
    <w:rsid w:val="00DB1A5C"/>
    <w:rsid w:val="00DB1AB0"/>
    <w:rsid w:val="00DB1ACD"/>
    <w:rsid w:val="00DB1B2F"/>
    <w:rsid w:val="00DB1B36"/>
    <w:rsid w:val="00DB1B73"/>
    <w:rsid w:val="00DB1B96"/>
    <w:rsid w:val="00DB1C2B"/>
    <w:rsid w:val="00DB1CF5"/>
    <w:rsid w:val="00DB1CFE"/>
    <w:rsid w:val="00DB1D33"/>
    <w:rsid w:val="00DB1D45"/>
    <w:rsid w:val="00DB1D75"/>
    <w:rsid w:val="00DB1DF9"/>
    <w:rsid w:val="00DB1E29"/>
    <w:rsid w:val="00DB1EBA"/>
    <w:rsid w:val="00DB1EBC"/>
    <w:rsid w:val="00DB1EF7"/>
    <w:rsid w:val="00DB1EF8"/>
    <w:rsid w:val="00DB1EFE"/>
    <w:rsid w:val="00DB1F36"/>
    <w:rsid w:val="00DB1F3A"/>
    <w:rsid w:val="00DB1F3E"/>
    <w:rsid w:val="00DB1F57"/>
    <w:rsid w:val="00DB1FCD"/>
    <w:rsid w:val="00DB2072"/>
    <w:rsid w:val="00DB208B"/>
    <w:rsid w:val="00DB2097"/>
    <w:rsid w:val="00DB20AA"/>
    <w:rsid w:val="00DB210B"/>
    <w:rsid w:val="00DB2162"/>
    <w:rsid w:val="00DB2176"/>
    <w:rsid w:val="00DB21C7"/>
    <w:rsid w:val="00DB220B"/>
    <w:rsid w:val="00DB224A"/>
    <w:rsid w:val="00DB2277"/>
    <w:rsid w:val="00DB2290"/>
    <w:rsid w:val="00DB229A"/>
    <w:rsid w:val="00DB229B"/>
    <w:rsid w:val="00DB22E9"/>
    <w:rsid w:val="00DB234C"/>
    <w:rsid w:val="00DB2358"/>
    <w:rsid w:val="00DB239D"/>
    <w:rsid w:val="00DB2456"/>
    <w:rsid w:val="00DB247F"/>
    <w:rsid w:val="00DB24DB"/>
    <w:rsid w:val="00DB252E"/>
    <w:rsid w:val="00DB2532"/>
    <w:rsid w:val="00DB2555"/>
    <w:rsid w:val="00DB258D"/>
    <w:rsid w:val="00DB25F9"/>
    <w:rsid w:val="00DB26F4"/>
    <w:rsid w:val="00DB274C"/>
    <w:rsid w:val="00DB276A"/>
    <w:rsid w:val="00DB277F"/>
    <w:rsid w:val="00DB2798"/>
    <w:rsid w:val="00DB27A4"/>
    <w:rsid w:val="00DB27BF"/>
    <w:rsid w:val="00DB27F6"/>
    <w:rsid w:val="00DB2835"/>
    <w:rsid w:val="00DB2863"/>
    <w:rsid w:val="00DB28DA"/>
    <w:rsid w:val="00DB2922"/>
    <w:rsid w:val="00DB2926"/>
    <w:rsid w:val="00DB2965"/>
    <w:rsid w:val="00DB2996"/>
    <w:rsid w:val="00DB2A4D"/>
    <w:rsid w:val="00DB2AAE"/>
    <w:rsid w:val="00DB2AC2"/>
    <w:rsid w:val="00DB2B6E"/>
    <w:rsid w:val="00DB2B7A"/>
    <w:rsid w:val="00DB2BA7"/>
    <w:rsid w:val="00DB2BA8"/>
    <w:rsid w:val="00DB2BFA"/>
    <w:rsid w:val="00DB2C18"/>
    <w:rsid w:val="00DB2C33"/>
    <w:rsid w:val="00DB2C49"/>
    <w:rsid w:val="00DB2CD0"/>
    <w:rsid w:val="00DB2D46"/>
    <w:rsid w:val="00DB2D4A"/>
    <w:rsid w:val="00DB2DB3"/>
    <w:rsid w:val="00DB2E47"/>
    <w:rsid w:val="00DB2F1E"/>
    <w:rsid w:val="00DB2FD6"/>
    <w:rsid w:val="00DB2FE0"/>
    <w:rsid w:val="00DB2FE3"/>
    <w:rsid w:val="00DB3008"/>
    <w:rsid w:val="00DB3091"/>
    <w:rsid w:val="00DB30EA"/>
    <w:rsid w:val="00DB30FF"/>
    <w:rsid w:val="00DB314E"/>
    <w:rsid w:val="00DB3168"/>
    <w:rsid w:val="00DB318B"/>
    <w:rsid w:val="00DB31AA"/>
    <w:rsid w:val="00DB3202"/>
    <w:rsid w:val="00DB323A"/>
    <w:rsid w:val="00DB326C"/>
    <w:rsid w:val="00DB329F"/>
    <w:rsid w:val="00DB32AA"/>
    <w:rsid w:val="00DB32BF"/>
    <w:rsid w:val="00DB3334"/>
    <w:rsid w:val="00DB3350"/>
    <w:rsid w:val="00DB3359"/>
    <w:rsid w:val="00DB336F"/>
    <w:rsid w:val="00DB33B0"/>
    <w:rsid w:val="00DB3451"/>
    <w:rsid w:val="00DB34CB"/>
    <w:rsid w:val="00DB34D2"/>
    <w:rsid w:val="00DB3543"/>
    <w:rsid w:val="00DB3561"/>
    <w:rsid w:val="00DB359B"/>
    <w:rsid w:val="00DB35B9"/>
    <w:rsid w:val="00DB366A"/>
    <w:rsid w:val="00DB3684"/>
    <w:rsid w:val="00DB3721"/>
    <w:rsid w:val="00DB3757"/>
    <w:rsid w:val="00DB37A2"/>
    <w:rsid w:val="00DB37F1"/>
    <w:rsid w:val="00DB3832"/>
    <w:rsid w:val="00DB3857"/>
    <w:rsid w:val="00DB38C9"/>
    <w:rsid w:val="00DB38D9"/>
    <w:rsid w:val="00DB392B"/>
    <w:rsid w:val="00DB3950"/>
    <w:rsid w:val="00DB3996"/>
    <w:rsid w:val="00DB3A13"/>
    <w:rsid w:val="00DB3A27"/>
    <w:rsid w:val="00DB3A7C"/>
    <w:rsid w:val="00DB3A81"/>
    <w:rsid w:val="00DB3A82"/>
    <w:rsid w:val="00DB3A85"/>
    <w:rsid w:val="00DB3B2F"/>
    <w:rsid w:val="00DB3B6A"/>
    <w:rsid w:val="00DB3BA1"/>
    <w:rsid w:val="00DB3BDA"/>
    <w:rsid w:val="00DB3BED"/>
    <w:rsid w:val="00DB3C4F"/>
    <w:rsid w:val="00DB3C72"/>
    <w:rsid w:val="00DB3C7F"/>
    <w:rsid w:val="00DB3C89"/>
    <w:rsid w:val="00DB3C97"/>
    <w:rsid w:val="00DB3CBC"/>
    <w:rsid w:val="00DB3CD7"/>
    <w:rsid w:val="00DB3D16"/>
    <w:rsid w:val="00DB3D35"/>
    <w:rsid w:val="00DB3D5D"/>
    <w:rsid w:val="00DB3DAF"/>
    <w:rsid w:val="00DB3DC8"/>
    <w:rsid w:val="00DB3E02"/>
    <w:rsid w:val="00DB3E7D"/>
    <w:rsid w:val="00DB3EC5"/>
    <w:rsid w:val="00DB3F21"/>
    <w:rsid w:val="00DB3F49"/>
    <w:rsid w:val="00DB40A8"/>
    <w:rsid w:val="00DB40E0"/>
    <w:rsid w:val="00DB40E7"/>
    <w:rsid w:val="00DB4121"/>
    <w:rsid w:val="00DB4134"/>
    <w:rsid w:val="00DB4177"/>
    <w:rsid w:val="00DB4195"/>
    <w:rsid w:val="00DB41E7"/>
    <w:rsid w:val="00DB41EF"/>
    <w:rsid w:val="00DB4228"/>
    <w:rsid w:val="00DB4236"/>
    <w:rsid w:val="00DB4299"/>
    <w:rsid w:val="00DB42CC"/>
    <w:rsid w:val="00DB4302"/>
    <w:rsid w:val="00DB4311"/>
    <w:rsid w:val="00DB43D6"/>
    <w:rsid w:val="00DB43FD"/>
    <w:rsid w:val="00DB4404"/>
    <w:rsid w:val="00DB44FF"/>
    <w:rsid w:val="00DB451F"/>
    <w:rsid w:val="00DB4579"/>
    <w:rsid w:val="00DB458F"/>
    <w:rsid w:val="00DB4595"/>
    <w:rsid w:val="00DB45A1"/>
    <w:rsid w:val="00DB45F5"/>
    <w:rsid w:val="00DB4679"/>
    <w:rsid w:val="00DB4742"/>
    <w:rsid w:val="00DB4748"/>
    <w:rsid w:val="00DB47ED"/>
    <w:rsid w:val="00DB47F0"/>
    <w:rsid w:val="00DB47F1"/>
    <w:rsid w:val="00DB480A"/>
    <w:rsid w:val="00DB4819"/>
    <w:rsid w:val="00DB484C"/>
    <w:rsid w:val="00DB48A6"/>
    <w:rsid w:val="00DB48DE"/>
    <w:rsid w:val="00DB48F4"/>
    <w:rsid w:val="00DB48F7"/>
    <w:rsid w:val="00DB496E"/>
    <w:rsid w:val="00DB4987"/>
    <w:rsid w:val="00DB49DA"/>
    <w:rsid w:val="00DB4A06"/>
    <w:rsid w:val="00DB4A1C"/>
    <w:rsid w:val="00DB4A21"/>
    <w:rsid w:val="00DB4A77"/>
    <w:rsid w:val="00DB4A84"/>
    <w:rsid w:val="00DB4AA3"/>
    <w:rsid w:val="00DB4AD4"/>
    <w:rsid w:val="00DB4AFB"/>
    <w:rsid w:val="00DB4B25"/>
    <w:rsid w:val="00DB4B7A"/>
    <w:rsid w:val="00DB4B8F"/>
    <w:rsid w:val="00DB4BA6"/>
    <w:rsid w:val="00DB4C57"/>
    <w:rsid w:val="00DB4C85"/>
    <w:rsid w:val="00DB4CBB"/>
    <w:rsid w:val="00DB4CD3"/>
    <w:rsid w:val="00DB4CD9"/>
    <w:rsid w:val="00DB4DB6"/>
    <w:rsid w:val="00DB4DC2"/>
    <w:rsid w:val="00DB4DC7"/>
    <w:rsid w:val="00DB4DEA"/>
    <w:rsid w:val="00DB4E0B"/>
    <w:rsid w:val="00DB4E0F"/>
    <w:rsid w:val="00DB4F02"/>
    <w:rsid w:val="00DB4F27"/>
    <w:rsid w:val="00DB4F3D"/>
    <w:rsid w:val="00DB4FC6"/>
    <w:rsid w:val="00DB500B"/>
    <w:rsid w:val="00DB5057"/>
    <w:rsid w:val="00DB508D"/>
    <w:rsid w:val="00DB50B9"/>
    <w:rsid w:val="00DB5112"/>
    <w:rsid w:val="00DB515F"/>
    <w:rsid w:val="00DB519F"/>
    <w:rsid w:val="00DB51B1"/>
    <w:rsid w:val="00DB51FD"/>
    <w:rsid w:val="00DB5268"/>
    <w:rsid w:val="00DB526E"/>
    <w:rsid w:val="00DB52BB"/>
    <w:rsid w:val="00DB52BF"/>
    <w:rsid w:val="00DB5331"/>
    <w:rsid w:val="00DB53C5"/>
    <w:rsid w:val="00DB5428"/>
    <w:rsid w:val="00DB542F"/>
    <w:rsid w:val="00DB544D"/>
    <w:rsid w:val="00DB54C1"/>
    <w:rsid w:val="00DB54C4"/>
    <w:rsid w:val="00DB5572"/>
    <w:rsid w:val="00DB5658"/>
    <w:rsid w:val="00DB566A"/>
    <w:rsid w:val="00DB5672"/>
    <w:rsid w:val="00DB567B"/>
    <w:rsid w:val="00DB5736"/>
    <w:rsid w:val="00DB5738"/>
    <w:rsid w:val="00DB574F"/>
    <w:rsid w:val="00DB57AE"/>
    <w:rsid w:val="00DB588A"/>
    <w:rsid w:val="00DB58D8"/>
    <w:rsid w:val="00DB591C"/>
    <w:rsid w:val="00DB5935"/>
    <w:rsid w:val="00DB5968"/>
    <w:rsid w:val="00DB5976"/>
    <w:rsid w:val="00DB598A"/>
    <w:rsid w:val="00DB59BC"/>
    <w:rsid w:val="00DB59EA"/>
    <w:rsid w:val="00DB5A05"/>
    <w:rsid w:val="00DB5AC1"/>
    <w:rsid w:val="00DB5AD0"/>
    <w:rsid w:val="00DB5B30"/>
    <w:rsid w:val="00DB5B53"/>
    <w:rsid w:val="00DB5B61"/>
    <w:rsid w:val="00DB5B74"/>
    <w:rsid w:val="00DB5B78"/>
    <w:rsid w:val="00DB5B94"/>
    <w:rsid w:val="00DB5BDB"/>
    <w:rsid w:val="00DB5BF4"/>
    <w:rsid w:val="00DB5C00"/>
    <w:rsid w:val="00DB5C22"/>
    <w:rsid w:val="00DB5C61"/>
    <w:rsid w:val="00DB5CDD"/>
    <w:rsid w:val="00DB5CF3"/>
    <w:rsid w:val="00DB5CFA"/>
    <w:rsid w:val="00DB5D24"/>
    <w:rsid w:val="00DB5D30"/>
    <w:rsid w:val="00DB5DCD"/>
    <w:rsid w:val="00DB5E1A"/>
    <w:rsid w:val="00DB5E70"/>
    <w:rsid w:val="00DB5E9D"/>
    <w:rsid w:val="00DB5ED7"/>
    <w:rsid w:val="00DB5EF0"/>
    <w:rsid w:val="00DB5F2F"/>
    <w:rsid w:val="00DB5F4E"/>
    <w:rsid w:val="00DB5FCB"/>
    <w:rsid w:val="00DB5FD5"/>
    <w:rsid w:val="00DB5FFC"/>
    <w:rsid w:val="00DB5FFE"/>
    <w:rsid w:val="00DB6036"/>
    <w:rsid w:val="00DB6130"/>
    <w:rsid w:val="00DB6137"/>
    <w:rsid w:val="00DB6151"/>
    <w:rsid w:val="00DB616A"/>
    <w:rsid w:val="00DB6174"/>
    <w:rsid w:val="00DB61A8"/>
    <w:rsid w:val="00DB61CB"/>
    <w:rsid w:val="00DB620D"/>
    <w:rsid w:val="00DB6264"/>
    <w:rsid w:val="00DB6317"/>
    <w:rsid w:val="00DB633A"/>
    <w:rsid w:val="00DB639C"/>
    <w:rsid w:val="00DB63AF"/>
    <w:rsid w:val="00DB63B7"/>
    <w:rsid w:val="00DB6402"/>
    <w:rsid w:val="00DB6406"/>
    <w:rsid w:val="00DB6436"/>
    <w:rsid w:val="00DB6456"/>
    <w:rsid w:val="00DB64A5"/>
    <w:rsid w:val="00DB64DC"/>
    <w:rsid w:val="00DB65AA"/>
    <w:rsid w:val="00DB65FD"/>
    <w:rsid w:val="00DB6623"/>
    <w:rsid w:val="00DB6637"/>
    <w:rsid w:val="00DB6648"/>
    <w:rsid w:val="00DB6667"/>
    <w:rsid w:val="00DB666A"/>
    <w:rsid w:val="00DB6677"/>
    <w:rsid w:val="00DB6687"/>
    <w:rsid w:val="00DB668E"/>
    <w:rsid w:val="00DB66C9"/>
    <w:rsid w:val="00DB66CC"/>
    <w:rsid w:val="00DB6737"/>
    <w:rsid w:val="00DB6751"/>
    <w:rsid w:val="00DB677E"/>
    <w:rsid w:val="00DB678E"/>
    <w:rsid w:val="00DB67E4"/>
    <w:rsid w:val="00DB6842"/>
    <w:rsid w:val="00DB6861"/>
    <w:rsid w:val="00DB68B9"/>
    <w:rsid w:val="00DB68BF"/>
    <w:rsid w:val="00DB68C6"/>
    <w:rsid w:val="00DB692C"/>
    <w:rsid w:val="00DB6940"/>
    <w:rsid w:val="00DB6974"/>
    <w:rsid w:val="00DB69E6"/>
    <w:rsid w:val="00DB69F4"/>
    <w:rsid w:val="00DB6A2D"/>
    <w:rsid w:val="00DB6A37"/>
    <w:rsid w:val="00DB6A39"/>
    <w:rsid w:val="00DB6A74"/>
    <w:rsid w:val="00DB6AC9"/>
    <w:rsid w:val="00DB6BFB"/>
    <w:rsid w:val="00DB6C14"/>
    <w:rsid w:val="00DB6C19"/>
    <w:rsid w:val="00DB6C1E"/>
    <w:rsid w:val="00DB6C4E"/>
    <w:rsid w:val="00DB6C59"/>
    <w:rsid w:val="00DB6CB2"/>
    <w:rsid w:val="00DB6CEA"/>
    <w:rsid w:val="00DB6CF4"/>
    <w:rsid w:val="00DB6D58"/>
    <w:rsid w:val="00DB6DD8"/>
    <w:rsid w:val="00DB6DDD"/>
    <w:rsid w:val="00DB6DEF"/>
    <w:rsid w:val="00DB6E10"/>
    <w:rsid w:val="00DB6E47"/>
    <w:rsid w:val="00DB6E5B"/>
    <w:rsid w:val="00DB6EC6"/>
    <w:rsid w:val="00DB6EE6"/>
    <w:rsid w:val="00DB6FD8"/>
    <w:rsid w:val="00DB7000"/>
    <w:rsid w:val="00DB7049"/>
    <w:rsid w:val="00DB70BC"/>
    <w:rsid w:val="00DB70C3"/>
    <w:rsid w:val="00DB7104"/>
    <w:rsid w:val="00DB7109"/>
    <w:rsid w:val="00DB7145"/>
    <w:rsid w:val="00DB715E"/>
    <w:rsid w:val="00DB7167"/>
    <w:rsid w:val="00DB7179"/>
    <w:rsid w:val="00DB7262"/>
    <w:rsid w:val="00DB726E"/>
    <w:rsid w:val="00DB7286"/>
    <w:rsid w:val="00DB72EB"/>
    <w:rsid w:val="00DB7306"/>
    <w:rsid w:val="00DB7367"/>
    <w:rsid w:val="00DB7371"/>
    <w:rsid w:val="00DB7385"/>
    <w:rsid w:val="00DB7390"/>
    <w:rsid w:val="00DB73C0"/>
    <w:rsid w:val="00DB747E"/>
    <w:rsid w:val="00DB74B3"/>
    <w:rsid w:val="00DB74D6"/>
    <w:rsid w:val="00DB7523"/>
    <w:rsid w:val="00DB75F4"/>
    <w:rsid w:val="00DB763D"/>
    <w:rsid w:val="00DB7665"/>
    <w:rsid w:val="00DB7669"/>
    <w:rsid w:val="00DB76C7"/>
    <w:rsid w:val="00DB76DA"/>
    <w:rsid w:val="00DB771E"/>
    <w:rsid w:val="00DB7732"/>
    <w:rsid w:val="00DB77B1"/>
    <w:rsid w:val="00DB77F3"/>
    <w:rsid w:val="00DB7801"/>
    <w:rsid w:val="00DB7828"/>
    <w:rsid w:val="00DB7839"/>
    <w:rsid w:val="00DB7843"/>
    <w:rsid w:val="00DB7940"/>
    <w:rsid w:val="00DB79C9"/>
    <w:rsid w:val="00DB7A21"/>
    <w:rsid w:val="00DB7A32"/>
    <w:rsid w:val="00DB7A47"/>
    <w:rsid w:val="00DB7A52"/>
    <w:rsid w:val="00DB7A57"/>
    <w:rsid w:val="00DB7AA3"/>
    <w:rsid w:val="00DB7AC2"/>
    <w:rsid w:val="00DB7AD5"/>
    <w:rsid w:val="00DB7AE7"/>
    <w:rsid w:val="00DB7AE8"/>
    <w:rsid w:val="00DB7B27"/>
    <w:rsid w:val="00DB7B38"/>
    <w:rsid w:val="00DB7B3E"/>
    <w:rsid w:val="00DB7B5F"/>
    <w:rsid w:val="00DB7BFA"/>
    <w:rsid w:val="00DB7C03"/>
    <w:rsid w:val="00DB7C69"/>
    <w:rsid w:val="00DB7C8B"/>
    <w:rsid w:val="00DB7D3B"/>
    <w:rsid w:val="00DB7D8F"/>
    <w:rsid w:val="00DB7D92"/>
    <w:rsid w:val="00DB7DD7"/>
    <w:rsid w:val="00DB7E42"/>
    <w:rsid w:val="00DB7E7B"/>
    <w:rsid w:val="00DB7E7E"/>
    <w:rsid w:val="00DB7EDE"/>
    <w:rsid w:val="00DB7F21"/>
    <w:rsid w:val="00DB7F4C"/>
    <w:rsid w:val="00DB7FAB"/>
    <w:rsid w:val="00DB7FB9"/>
    <w:rsid w:val="00DB7FDF"/>
    <w:rsid w:val="00DB7FF8"/>
    <w:rsid w:val="00DB95F6"/>
    <w:rsid w:val="00DC0016"/>
    <w:rsid w:val="00DC0053"/>
    <w:rsid w:val="00DC005A"/>
    <w:rsid w:val="00DC00B8"/>
    <w:rsid w:val="00DC00BE"/>
    <w:rsid w:val="00DC00EF"/>
    <w:rsid w:val="00DC00F2"/>
    <w:rsid w:val="00DC0100"/>
    <w:rsid w:val="00DC0128"/>
    <w:rsid w:val="00DC0134"/>
    <w:rsid w:val="00DC01A7"/>
    <w:rsid w:val="00DC01E4"/>
    <w:rsid w:val="00DC01EC"/>
    <w:rsid w:val="00DC0239"/>
    <w:rsid w:val="00DC0240"/>
    <w:rsid w:val="00DC0295"/>
    <w:rsid w:val="00DC02DD"/>
    <w:rsid w:val="00DC0306"/>
    <w:rsid w:val="00DC032B"/>
    <w:rsid w:val="00DC0362"/>
    <w:rsid w:val="00DC0369"/>
    <w:rsid w:val="00DC0374"/>
    <w:rsid w:val="00DC03D9"/>
    <w:rsid w:val="00DC03DA"/>
    <w:rsid w:val="00DC03FC"/>
    <w:rsid w:val="00DC047F"/>
    <w:rsid w:val="00DC0481"/>
    <w:rsid w:val="00DC0488"/>
    <w:rsid w:val="00DC0492"/>
    <w:rsid w:val="00DC04C8"/>
    <w:rsid w:val="00DC050C"/>
    <w:rsid w:val="00DC0543"/>
    <w:rsid w:val="00DC05B9"/>
    <w:rsid w:val="00DC05E4"/>
    <w:rsid w:val="00DC05F9"/>
    <w:rsid w:val="00DC063B"/>
    <w:rsid w:val="00DC0680"/>
    <w:rsid w:val="00DC0692"/>
    <w:rsid w:val="00DC069B"/>
    <w:rsid w:val="00DC06AC"/>
    <w:rsid w:val="00DC070F"/>
    <w:rsid w:val="00DC0774"/>
    <w:rsid w:val="00DC07B7"/>
    <w:rsid w:val="00DC07BD"/>
    <w:rsid w:val="00DC07C0"/>
    <w:rsid w:val="00DC084E"/>
    <w:rsid w:val="00DC0880"/>
    <w:rsid w:val="00DC089F"/>
    <w:rsid w:val="00DC08CC"/>
    <w:rsid w:val="00DC0900"/>
    <w:rsid w:val="00DC095C"/>
    <w:rsid w:val="00DC0991"/>
    <w:rsid w:val="00DC0993"/>
    <w:rsid w:val="00DC09E3"/>
    <w:rsid w:val="00DC0A9A"/>
    <w:rsid w:val="00DC0AC0"/>
    <w:rsid w:val="00DC0B06"/>
    <w:rsid w:val="00DC0B5F"/>
    <w:rsid w:val="00DC0B64"/>
    <w:rsid w:val="00DC0BE0"/>
    <w:rsid w:val="00DC0C16"/>
    <w:rsid w:val="00DC0C28"/>
    <w:rsid w:val="00DC0C5F"/>
    <w:rsid w:val="00DC0C66"/>
    <w:rsid w:val="00DC0C6E"/>
    <w:rsid w:val="00DC0CBA"/>
    <w:rsid w:val="00DC0CF8"/>
    <w:rsid w:val="00DC0D09"/>
    <w:rsid w:val="00DC0D1E"/>
    <w:rsid w:val="00DC0D28"/>
    <w:rsid w:val="00DC0D6C"/>
    <w:rsid w:val="00DC0D8C"/>
    <w:rsid w:val="00DC0DAE"/>
    <w:rsid w:val="00DC0DD5"/>
    <w:rsid w:val="00DC0DEB"/>
    <w:rsid w:val="00DC0EC4"/>
    <w:rsid w:val="00DC0EE0"/>
    <w:rsid w:val="00DC0F34"/>
    <w:rsid w:val="00DC1042"/>
    <w:rsid w:val="00DC10B1"/>
    <w:rsid w:val="00DC114C"/>
    <w:rsid w:val="00DC1178"/>
    <w:rsid w:val="00DC120C"/>
    <w:rsid w:val="00DC12C8"/>
    <w:rsid w:val="00DC12DA"/>
    <w:rsid w:val="00DC130A"/>
    <w:rsid w:val="00DC1317"/>
    <w:rsid w:val="00DC1394"/>
    <w:rsid w:val="00DC139F"/>
    <w:rsid w:val="00DC13DA"/>
    <w:rsid w:val="00DC1428"/>
    <w:rsid w:val="00DC1436"/>
    <w:rsid w:val="00DC143A"/>
    <w:rsid w:val="00DC144D"/>
    <w:rsid w:val="00DC14E0"/>
    <w:rsid w:val="00DC1533"/>
    <w:rsid w:val="00DC1534"/>
    <w:rsid w:val="00DC1596"/>
    <w:rsid w:val="00DC15AF"/>
    <w:rsid w:val="00DC15EA"/>
    <w:rsid w:val="00DC16B9"/>
    <w:rsid w:val="00DC16FD"/>
    <w:rsid w:val="00DC1748"/>
    <w:rsid w:val="00DC17C4"/>
    <w:rsid w:val="00DC180F"/>
    <w:rsid w:val="00DC181E"/>
    <w:rsid w:val="00DC188C"/>
    <w:rsid w:val="00DC18D5"/>
    <w:rsid w:val="00DC1905"/>
    <w:rsid w:val="00DC1914"/>
    <w:rsid w:val="00DC1961"/>
    <w:rsid w:val="00DC19FD"/>
    <w:rsid w:val="00DC1ABA"/>
    <w:rsid w:val="00DC1AF0"/>
    <w:rsid w:val="00DC1B31"/>
    <w:rsid w:val="00DC1B48"/>
    <w:rsid w:val="00DC1B66"/>
    <w:rsid w:val="00DC1BA3"/>
    <w:rsid w:val="00DC1BF0"/>
    <w:rsid w:val="00DC1C11"/>
    <w:rsid w:val="00DC1C9B"/>
    <w:rsid w:val="00DC1CC7"/>
    <w:rsid w:val="00DC1CD1"/>
    <w:rsid w:val="00DC1D05"/>
    <w:rsid w:val="00DC1D20"/>
    <w:rsid w:val="00DC1D56"/>
    <w:rsid w:val="00DC1DB2"/>
    <w:rsid w:val="00DC1DCE"/>
    <w:rsid w:val="00DC1DD8"/>
    <w:rsid w:val="00DC1DFA"/>
    <w:rsid w:val="00DC1E02"/>
    <w:rsid w:val="00DC1E2C"/>
    <w:rsid w:val="00DC1E60"/>
    <w:rsid w:val="00DC1EBE"/>
    <w:rsid w:val="00DC1EDA"/>
    <w:rsid w:val="00DC1EE8"/>
    <w:rsid w:val="00DC1F45"/>
    <w:rsid w:val="00DC1F55"/>
    <w:rsid w:val="00DC1F85"/>
    <w:rsid w:val="00DC1FD2"/>
    <w:rsid w:val="00DC2040"/>
    <w:rsid w:val="00DC2072"/>
    <w:rsid w:val="00DC207D"/>
    <w:rsid w:val="00DC208D"/>
    <w:rsid w:val="00DC20B4"/>
    <w:rsid w:val="00DC20D6"/>
    <w:rsid w:val="00DC2121"/>
    <w:rsid w:val="00DC2124"/>
    <w:rsid w:val="00DC2167"/>
    <w:rsid w:val="00DC21AC"/>
    <w:rsid w:val="00DC21D1"/>
    <w:rsid w:val="00DC224B"/>
    <w:rsid w:val="00DC2267"/>
    <w:rsid w:val="00DC22DB"/>
    <w:rsid w:val="00DC232C"/>
    <w:rsid w:val="00DC2330"/>
    <w:rsid w:val="00DC233B"/>
    <w:rsid w:val="00DC2375"/>
    <w:rsid w:val="00DC23F0"/>
    <w:rsid w:val="00DC23F9"/>
    <w:rsid w:val="00DC2423"/>
    <w:rsid w:val="00DC2429"/>
    <w:rsid w:val="00DC2449"/>
    <w:rsid w:val="00DC245C"/>
    <w:rsid w:val="00DC24D1"/>
    <w:rsid w:val="00DC24FF"/>
    <w:rsid w:val="00DC250F"/>
    <w:rsid w:val="00DC254D"/>
    <w:rsid w:val="00DC2573"/>
    <w:rsid w:val="00DC25F8"/>
    <w:rsid w:val="00DC262E"/>
    <w:rsid w:val="00DC268D"/>
    <w:rsid w:val="00DC26D9"/>
    <w:rsid w:val="00DC26E1"/>
    <w:rsid w:val="00DC2700"/>
    <w:rsid w:val="00DC274F"/>
    <w:rsid w:val="00DC27B4"/>
    <w:rsid w:val="00DC27F3"/>
    <w:rsid w:val="00DC27F8"/>
    <w:rsid w:val="00DC2817"/>
    <w:rsid w:val="00DC284C"/>
    <w:rsid w:val="00DC2859"/>
    <w:rsid w:val="00DC287B"/>
    <w:rsid w:val="00DC289D"/>
    <w:rsid w:val="00DC28EF"/>
    <w:rsid w:val="00DC2901"/>
    <w:rsid w:val="00DC2961"/>
    <w:rsid w:val="00DC29BC"/>
    <w:rsid w:val="00DC2A27"/>
    <w:rsid w:val="00DC2A5E"/>
    <w:rsid w:val="00DC2AF2"/>
    <w:rsid w:val="00DC2B36"/>
    <w:rsid w:val="00DC2B4F"/>
    <w:rsid w:val="00DC2B73"/>
    <w:rsid w:val="00DC2B8E"/>
    <w:rsid w:val="00DC2B96"/>
    <w:rsid w:val="00DC2B9D"/>
    <w:rsid w:val="00DC2BEE"/>
    <w:rsid w:val="00DC2C02"/>
    <w:rsid w:val="00DC2CB7"/>
    <w:rsid w:val="00DC2CBA"/>
    <w:rsid w:val="00DC2CD7"/>
    <w:rsid w:val="00DC2D05"/>
    <w:rsid w:val="00DC2D30"/>
    <w:rsid w:val="00DC2D51"/>
    <w:rsid w:val="00DC2D52"/>
    <w:rsid w:val="00DC2D5A"/>
    <w:rsid w:val="00DC2D82"/>
    <w:rsid w:val="00DC2D88"/>
    <w:rsid w:val="00DC2D8F"/>
    <w:rsid w:val="00DC2DCA"/>
    <w:rsid w:val="00DC2DE5"/>
    <w:rsid w:val="00DC2E17"/>
    <w:rsid w:val="00DC2E26"/>
    <w:rsid w:val="00DC2E2D"/>
    <w:rsid w:val="00DC2E56"/>
    <w:rsid w:val="00DC2EBD"/>
    <w:rsid w:val="00DC2F00"/>
    <w:rsid w:val="00DC2F50"/>
    <w:rsid w:val="00DC2F60"/>
    <w:rsid w:val="00DC2FCB"/>
    <w:rsid w:val="00DC2FF9"/>
    <w:rsid w:val="00DC2FFA"/>
    <w:rsid w:val="00DC301A"/>
    <w:rsid w:val="00DC3035"/>
    <w:rsid w:val="00DC3037"/>
    <w:rsid w:val="00DC3046"/>
    <w:rsid w:val="00DC3096"/>
    <w:rsid w:val="00DC30BC"/>
    <w:rsid w:val="00DC3117"/>
    <w:rsid w:val="00DC3147"/>
    <w:rsid w:val="00DC314A"/>
    <w:rsid w:val="00DC3154"/>
    <w:rsid w:val="00DC3168"/>
    <w:rsid w:val="00DC316C"/>
    <w:rsid w:val="00DC3180"/>
    <w:rsid w:val="00DC3195"/>
    <w:rsid w:val="00DC31C6"/>
    <w:rsid w:val="00DC31D9"/>
    <w:rsid w:val="00DC323C"/>
    <w:rsid w:val="00DC3241"/>
    <w:rsid w:val="00DC3259"/>
    <w:rsid w:val="00DC32A1"/>
    <w:rsid w:val="00DC32E8"/>
    <w:rsid w:val="00DC32EA"/>
    <w:rsid w:val="00DC330A"/>
    <w:rsid w:val="00DC3329"/>
    <w:rsid w:val="00DC338C"/>
    <w:rsid w:val="00DC345C"/>
    <w:rsid w:val="00DC350E"/>
    <w:rsid w:val="00DC3568"/>
    <w:rsid w:val="00DC3600"/>
    <w:rsid w:val="00DC3679"/>
    <w:rsid w:val="00DC373D"/>
    <w:rsid w:val="00DC375B"/>
    <w:rsid w:val="00DC37BF"/>
    <w:rsid w:val="00DC37D1"/>
    <w:rsid w:val="00DC37D2"/>
    <w:rsid w:val="00DC37D5"/>
    <w:rsid w:val="00DC3811"/>
    <w:rsid w:val="00DC3850"/>
    <w:rsid w:val="00DC3858"/>
    <w:rsid w:val="00DC3886"/>
    <w:rsid w:val="00DC38E8"/>
    <w:rsid w:val="00DC3A37"/>
    <w:rsid w:val="00DC3A62"/>
    <w:rsid w:val="00DC3AB3"/>
    <w:rsid w:val="00DC3AE6"/>
    <w:rsid w:val="00DC3AEA"/>
    <w:rsid w:val="00DC3B21"/>
    <w:rsid w:val="00DC3B25"/>
    <w:rsid w:val="00DC3B83"/>
    <w:rsid w:val="00DC3B92"/>
    <w:rsid w:val="00DC3BBE"/>
    <w:rsid w:val="00DC3BDD"/>
    <w:rsid w:val="00DC3C0A"/>
    <w:rsid w:val="00DC3C32"/>
    <w:rsid w:val="00DC3C50"/>
    <w:rsid w:val="00DC3C60"/>
    <w:rsid w:val="00DC3C8F"/>
    <w:rsid w:val="00DC3CB6"/>
    <w:rsid w:val="00DC3CDF"/>
    <w:rsid w:val="00DC3CF9"/>
    <w:rsid w:val="00DC3D31"/>
    <w:rsid w:val="00DC3D8E"/>
    <w:rsid w:val="00DC3D8F"/>
    <w:rsid w:val="00DC3DA8"/>
    <w:rsid w:val="00DC3DD2"/>
    <w:rsid w:val="00DC3DD4"/>
    <w:rsid w:val="00DC3DE4"/>
    <w:rsid w:val="00DC3DF0"/>
    <w:rsid w:val="00DC3DF2"/>
    <w:rsid w:val="00DC3E08"/>
    <w:rsid w:val="00DC3E1C"/>
    <w:rsid w:val="00DC3E23"/>
    <w:rsid w:val="00DC3E9A"/>
    <w:rsid w:val="00DC3EE7"/>
    <w:rsid w:val="00DC3F95"/>
    <w:rsid w:val="00DC3FA0"/>
    <w:rsid w:val="00DC406E"/>
    <w:rsid w:val="00DC40BF"/>
    <w:rsid w:val="00DC40C7"/>
    <w:rsid w:val="00DC40EE"/>
    <w:rsid w:val="00DC410B"/>
    <w:rsid w:val="00DC4120"/>
    <w:rsid w:val="00DC4121"/>
    <w:rsid w:val="00DC412B"/>
    <w:rsid w:val="00DC4139"/>
    <w:rsid w:val="00DC4143"/>
    <w:rsid w:val="00DC4230"/>
    <w:rsid w:val="00DC4256"/>
    <w:rsid w:val="00DC4272"/>
    <w:rsid w:val="00DC42C7"/>
    <w:rsid w:val="00DC4312"/>
    <w:rsid w:val="00DC4327"/>
    <w:rsid w:val="00DC432F"/>
    <w:rsid w:val="00DC4358"/>
    <w:rsid w:val="00DC4387"/>
    <w:rsid w:val="00DC43A1"/>
    <w:rsid w:val="00DC43FA"/>
    <w:rsid w:val="00DC43FE"/>
    <w:rsid w:val="00DC44AC"/>
    <w:rsid w:val="00DC450A"/>
    <w:rsid w:val="00DC457A"/>
    <w:rsid w:val="00DC460B"/>
    <w:rsid w:val="00DC461C"/>
    <w:rsid w:val="00DC461D"/>
    <w:rsid w:val="00DC463F"/>
    <w:rsid w:val="00DC4683"/>
    <w:rsid w:val="00DC46B4"/>
    <w:rsid w:val="00DC4751"/>
    <w:rsid w:val="00DC47A3"/>
    <w:rsid w:val="00DC47AC"/>
    <w:rsid w:val="00DC4844"/>
    <w:rsid w:val="00DC4858"/>
    <w:rsid w:val="00DC48B4"/>
    <w:rsid w:val="00DC48BA"/>
    <w:rsid w:val="00DC48D3"/>
    <w:rsid w:val="00DC48D5"/>
    <w:rsid w:val="00DC4952"/>
    <w:rsid w:val="00DC4956"/>
    <w:rsid w:val="00DC4981"/>
    <w:rsid w:val="00DC499B"/>
    <w:rsid w:val="00DC49BD"/>
    <w:rsid w:val="00DC4A05"/>
    <w:rsid w:val="00DC4A1C"/>
    <w:rsid w:val="00DC4A6A"/>
    <w:rsid w:val="00DC4A83"/>
    <w:rsid w:val="00DC4AB7"/>
    <w:rsid w:val="00DC4AB8"/>
    <w:rsid w:val="00DC4AE3"/>
    <w:rsid w:val="00DC4AF5"/>
    <w:rsid w:val="00DC4B03"/>
    <w:rsid w:val="00DC4B1E"/>
    <w:rsid w:val="00DC4B2C"/>
    <w:rsid w:val="00DC4B62"/>
    <w:rsid w:val="00DC4C1F"/>
    <w:rsid w:val="00DC4C33"/>
    <w:rsid w:val="00DC4C37"/>
    <w:rsid w:val="00DC4C63"/>
    <w:rsid w:val="00DC4CB6"/>
    <w:rsid w:val="00DC4CD2"/>
    <w:rsid w:val="00DC4CEC"/>
    <w:rsid w:val="00DC4D14"/>
    <w:rsid w:val="00DC4D30"/>
    <w:rsid w:val="00DC4D31"/>
    <w:rsid w:val="00DC4DA6"/>
    <w:rsid w:val="00DC4DFF"/>
    <w:rsid w:val="00DC4E39"/>
    <w:rsid w:val="00DC4E90"/>
    <w:rsid w:val="00DC4F55"/>
    <w:rsid w:val="00DC4FD0"/>
    <w:rsid w:val="00DC4FE8"/>
    <w:rsid w:val="00DC5110"/>
    <w:rsid w:val="00DC514A"/>
    <w:rsid w:val="00DC51D7"/>
    <w:rsid w:val="00DC5227"/>
    <w:rsid w:val="00DC5239"/>
    <w:rsid w:val="00DC5263"/>
    <w:rsid w:val="00DC52B0"/>
    <w:rsid w:val="00DC52B5"/>
    <w:rsid w:val="00DC52DB"/>
    <w:rsid w:val="00DC5311"/>
    <w:rsid w:val="00DC5327"/>
    <w:rsid w:val="00DC533B"/>
    <w:rsid w:val="00DC53E3"/>
    <w:rsid w:val="00DC53F2"/>
    <w:rsid w:val="00DC5421"/>
    <w:rsid w:val="00DC543C"/>
    <w:rsid w:val="00DC54B6"/>
    <w:rsid w:val="00DC54D2"/>
    <w:rsid w:val="00DC5509"/>
    <w:rsid w:val="00DC556F"/>
    <w:rsid w:val="00DC55D9"/>
    <w:rsid w:val="00DC55F4"/>
    <w:rsid w:val="00DC5627"/>
    <w:rsid w:val="00DC57E5"/>
    <w:rsid w:val="00DC57EB"/>
    <w:rsid w:val="00DC5859"/>
    <w:rsid w:val="00DC58FD"/>
    <w:rsid w:val="00DC5933"/>
    <w:rsid w:val="00DC59E7"/>
    <w:rsid w:val="00DC59F0"/>
    <w:rsid w:val="00DC5A3C"/>
    <w:rsid w:val="00DC5A54"/>
    <w:rsid w:val="00DC5AB2"/>
    <w:rsid w:val="00DC5AB3"/>
    <w:rsid w:val="00DC5AE5"/>
    <w:rsid w:val="00DC5B45"/>
    <w:rsid w:val="00DC5BD2"/>
    <w:rsid w:val="00DC5C13"/>
    <w:rsid w:val="00DC5C2B"/>
    <w:rsid w:val="00DC5C6F"/>
    <w:rsid w:val="00DC5C76"/>
    <w:rsid w:val="00DC5C7C"/>
    <w:rsid w:val="00DC5C80"/>
    <w:rsid w:val="00DC5CC3"/>
    <w:rsid w:val="00DC5D0A"/>
    <w:rsid w:val="00DC5D56"/>
    <w:rsid w:val="00DC5D7F"/>
    <w:rsid w:val="00DC5D99"/>
    <w:rsid w:val="00DC5DB7"/>
    <w:rsid w:val="00DC5DD3"/>
    <w:rsid w:val="00DC5E4D"/>
    <w:rsid w:val="00DC5E58"/>
    <w:rsid w:val="00DC5FB2"/>
    <w:rsid w:val="00DC5FF1"/>
    <w:rsid w:val="00DC6012"/>
    <w:rsid w:val="00DC603B"/>
    <w:rsid w:val="00DC6051"/>
    <w:rsid w:val="00DC60FA"/>
    <w:rsid w:val="00DC6109"/>
    <w:rsid w:val="00DC61AA"/>
    <w:rsid w:val="00DC61B7"/>
    <w:rsid w:val="00DC61B9"/>
    <w:rsid w:val="00DC61BF"/>
    <w:rsid w:val="00DC61D0"/>
    <w:rsid w:val="00DC621D"/>
    <w:rsid w:val="00DC623F"/>
    <w:rsid w:val="00DC626A"/>
    <w:rsid w:val="00DC62A3"/>
    <w:rsid w:val="00DC62BE"/>
    <w:rsid w:val="00DC62D3"/>
    <w:rsid w:val="00DC6334"/>
    <w:rsid w:val="00DC634A"/>
    <w:rsid w:val="00DC6444"/>
    <w:rsid w:val="00DC6457"/>
    <w:rsid w:val="00DC6495"/>
    <w:rsid w:val="00DC64E5"/>
    <w:rsid w:val="00DC654F"/>
    <w:rsid w:val="00DC658C"/>
    <w:rsid w:val="00DC6691"/>
    <w:rsid w:val="00DC6706"/>
    <w:rsid w:val="00DC670C"/>
    <w:rsid w:val="00DC670D"/>
    <w:rsid w:val="00DC6722"/>
    <w:rsid w:val="00DC672B"/>
    <w:rsid w:val="00DC6743"/>
    <w:rsid w:val="00DC6767"/>
    <w:rsid w:val="00DC67AB"/>
    <w:rsid w:val="00DC6814"/>
    <w:rsid w:val="00DC682A"/>
    <w:rsid w:val="00DC6859"/>
    <w:rsid w:val="00DC6875"/>
    <w:rsid w:val="00DC688E"/>
    <w:rsid w:val="00DC68AB"/>
    <w:rsid w:val="00DC68EE"/>
    <w:rsid w:val="00DC6920"/>
    <w:rsid w:val="00DC698D"/>
    <w:rsid w:val="00DC6A49"/>
    <w:rsid w:val="00DC6A5A"/>
    <w:rsid w:val="00DC6A6B"/>
    <w:rsid w:val="00DC6A76"/>
    <w:rsid w:val="00DC6A79"/>
    <w:rsid w:val="00DC6A84"/>
    <w:rsid w:val="00DC6BD2"/>
    <w:rsid w:val="00DC6BE0"/>
    <w:rsid w:val="00DC6C1B"/>
    <w:rsid w:val="00DC6C2F"/>
    <w:rsid w:val="00DC6C60"/>
    <w:rsid w:val="00DC6CB2"/>
    <w:rsid w:val="00DC6D14"/>
    <w:rsid w:val="00DC6D2F"/>
    <w:rsid w:val="00DC6DB9"/>
    <w:rsid w:val="00DC6E1B"/>
    <w:rsid w:val="00DC6E22"/>
    <w:rsid w:val="00DC6E98"/>
    <w:rsid w:val="00DC6EC8"/>
    <w:rsid w:val="00DC6EE4"/>
    <w:rsid w:val="00DC6EF7"/>
    <w:rsid w:val="00DC6F48"/>
    <w:rsid w:val="00DC6F91"/>
    <w:rsid w:val="00DC6FA2"/>
    <w:rsid w:val="00DC6FEB"/>
    <w:rsid w:val="00DC7006"/>
    <w:rsid w:val="00DC7018"/>
    <w:rsid w:val="00DC7027"/>
    <w:rsid w:val="00DC7069"/>
    <w:rsid w:val="00DC706F"/>
    <w:rsid w:val="00DC7080"/>
    <w:rsid w:val="00DC709F"/>
    <w:rsid w:val="00DC70EC"/>
    <w:rsid w:val="00DC712F"/>
    <w:rsid w:val="00DC7172"/>
    <w:rsid w:val="00DC7185"/>
    <w:rsid w:val="00DC718D"/>
    <w:rsid w:val="00DC71A6"/>
    <w:rsid w:val="00DC71D7"/>
    <w:rsid w:val="00DC7211"/>
    <w:rsid w:val="00DC7221"/>
    <w:rsid w:val="00DC7296"/>
    <w:rsid w:val="00DC72AB"/>
    <w:rsid w:val="00DC72C5"/>
    <w:rsid w:val="00DC72D1"/>
    <w:rsid w:val="00DC72E7"/>
    <w:rsid w:val="00DC7309"/>
    <w:rsid w:val="00DC7315"/>
    <w:rsid w:val="00DC7319"/>
    <w:rsid w:val="00DC7387"/>
    <w:rsid w:val="00DC73AB"/>
    <w:rsid w:val="00DC741A"/>
    <w:rsid w:val="00DC745F"/>
    <w:rsid w:val="00DC747F"/>
    <w:rsid w:val="00DC754C"/>
    <w:rsid w:val="00DC7568"/>
    <w:rsid w:val="00DC758C"/>
    <w:rsid w:val="00DC7605"/>
    <w:rsid w:val="00DC7671"/>
    <w:rsid w:val="00DC7687"/>
    <w:rsid w:val="00DC769C"/>
    <w:rsid w:val="00DC76C7"/>
    <w:rsid w:val="00DC76E3"/>
    <w:rsid w:val="00DC7765"/>
    <w:rsid w:val="00DC778C"/>
    <w:rsid w:val="00DC77CB"/>
    <w:rsid w:val="00DC77CF"/>
    <w:rsid w:val="00DC77E8"/>
    <w:rsid w:val="00DC7828"/>
    <w:rsid w:val="00DC782E"/>
    <w:rsid w:val="00DC7884"/>
    <w:rsid w:val="00DC79B1"/>
    <w:rsid w:val="00DC79B8"/>
    <w:rsid w:val="00DC79E6"/>
    <w:rsid w:val="00DC79F0"/>
    <w:rsid w:val="00DC7A0B"/>
    <w:rsid w:val="00DC7A3C"/>
    <w:rsid w:val="00DC7A47"/>
    <w:rsid w:val="00DC7A7E"/>
    <w:rsid w:val="00DC7A90"/>
    <w:rsid w:val="00DC7ACF"/>
    <w:rsid w:val="00DC7B2B"/>
    <w:rsid w:val="00DC7B65"/>
    <w:rsid w:val="00DC7B86"/>
    <w:rsid w:val="00DC7BA5"/>
    <w:rsid w:val="00DC7BC5"/>
    <w:rsid w:val="00DC7BFA"/>
    <w:rsid w:val="00DC7C39"/>
    <w:rsid w:val="00DC7C52"/>
    <w:rsid w:val="00DC7D16"/>
    <w:rsid w:val="00DC7D17"/>
    <w:rsid w:val="00DC7D2E"/>
    <w:rsid w:val="00DC7D3C"/>
    <w:rsid w:val="00DC7D4A"/>
    <w:rsid w:val="00DC7D6F"/>
    <w:rsid w:val="00DC7D85"/>
    <w:rsid w:val="00DC7E44"/>
    <w:rsid w:val="00DC7E8A"/>
    <w:rsid w:val="00DC7F23"/>
    <w:rsid w:val="00DC7F89"/>
    <w:rsid w:val="00DC7FF2"/>
    <w:rsid w:val="00DD010C"/>
    <w:rsid w:val="00DD0112"/>
    <w:rsid w:val="00DD0150"/>
    <w:rsid w:val="00DD015F"/>
    <w:rsid w:val="00DD0160"/>
    <w:rsid w:val="00DD01EC"/>
    <w:rsid w:val="00DD021E"/>
    <w:rsid w:val="00DD023B"/>
    <w:rsid w:val="00DD0250"/>
    <w:rsid w:val="00DD027B"/>
    <w:rsid w:val="00DD02B4"/>
    <w:rsid w:val="00DD02C6"/>
    <w:rsid w:val="00DD032B"/>
    <w:rsid w:val="00DD0385"/>
    <w:rsid w:val="00DD0398"/>
    <w:rsid w:val="00DD03B4"/>
    <w:rsid w:val="00DD03B5"/>
    <w:rsid w:val="00DD03FE"/>
    <w:rsid w:val="00DD0426"/>
    <w:rsid w:val="00DD0536"/>
    <w:rsid w:val="00DD056A"/>
    <w:rsid w:val="00DD05E7"/>
    <w:rsid w:val="00DD062C"/>
    <w:rsid w:val="00DD0637"/>
    <w:rsid w:val="00DD0644"/>
    <w:rsid w:val="00DD068D"/>
    <w:rsid w:val="00DD06C8"/>
    <w:rsid w:val="00DD06F3"/>
    <w:rsid w:val="00DD0723"/>
    <w:rsid w:val="00DD07C1"/>
    <w:rsid w:val="00DD07CE"/>
    <w:rsid w:val="00DD0821"/>
    <w:rsid w:val="00DD0825"/>
    <w:rsid w:val="00DD0836"/>
    <w:rsid w:val="00DD0840"/>
    <w:rsid w:val="00DD084A"/>
    <w:rsid w:val="00DD085B"/>
    <w:rsid w:val="00DD0870"/>
    <w:rsid w:val="00DD08A0"/>
    <w:rsid w:val="00DD08DB"/>
    <w:rsid w:val="00DD08F6"/>
    <w:rsid w:val="00DD09A9"/>
    <w:rsid w:val="00DD09C7"/>
    <w:rsid w:val="00DD0A60"/>
    <w:rsid w:val="00DD0A62"/>
    <w:rsid w:val="00DD0A6A"/>
    <w:rsid w:val="00DD0B65"/>
    <w:rsid w:val="00DD0B72"/>
    <w:rsid w:val="00DD0B7E"/>
    <w:rsid w:val="00DD0BDA"/>
    <w:rsid w:val="00DD0C08"/>
    <w:rsid w:val="00DD0C0A"/>
    <w:rsid w:val="00DD0C16"/>
    <w:rsid w:val="00DD0C76"/>
    <w:rsid w:val="00DD0C80"/>
    <w:rsid w:val="00DD0CA4"/>
    <w:rsid w:val="00DD0CB2"/>
    <w:rsid w:val="00DD0CDD"/>
    <w:rsid w:val="00DD0CF9"/>
    <w:rsid w:val="00DD0D8C"/>
    <w:rsid w:val="00DD0DAF"/>
    <w:rsid w:val="00DD0DE3"/>
    <w:rsid w:val="00DD0DED"/>
    <w:rsid w:val="00DD0E0B"/>
    <w:rsid w:val="00DD0E10"/>
    <w:rsid w:val="00DD0E2C"/>
    <w:rsid w:val="00DD0E84"/>
    <w:rsid w:val="00DD0EA5"/>
    <w:rsid w:val="00DD0F34"/>
    <w:rsid w:val="00DD0F3E"/>
    <w:rsid w:val="00DD0F4B"/>
    <w:rsid w:val="00DD0F81"/>
    <w:rsid w:val="00DD0FAC"/>
    <w:rsid w:val="00DD0FB9"/>
    <w:rsid w:val="00DD0FD6"/>
    <w:rsid w:val="00DD0FEF"/>
    <w:rsid w:val="00DD0FF8"/>
    <w:rsid w:val="00DD109E"/>
    <w:rsid w:val="00DD10D5"/>
    <w:rsid w:val="00DD10F0"/>
    <w:rsid w:val="00DD111B"/>
    <w:rsid w:val="00DD1141"/>
    <w:rsid w:val="00DD11E5"/>
    <w:rsid w:val="00DD1242"/>
    <w:rsid w:val="00DD1273"/>
    <w:rsid w:val="00DD12DD"/>
    <w:rsid w:val="00DD130B"/>
    <w:rsid w:val="00DD1325"/>
    <w:rsid w:val="00DD133B"/>
    <w:rsid w:val="00DD1346"/>
    <w:rsid w:val="00DD13FB"/>
    <w:rsid w:val="00DD140A"/>
    <w:rsid w:val="00DD1437"/>
    <w:rsid w:val="00DD1476"/>
    <w:rsid w:val="00DD14C2"/>
    <w:rsid w:val="00DD14E0"/>
    <w:rsid w:val="00DD1531"/>
    <w:rsid w:val="00DD15DB"/>
    <w:rsid w:val="00DD15E0"/>
    <w:rsid w:val="00DD1630"/>
    <w:rsid w:val="00DD16BA"/>
    <w:rsid w:val="00DD16CC"/>
    <w:rsid w:val="00DD1757"/>
    <w:rsid w:val="00DD1783"/>
    <w:rsid w:val="00DD17B1"/>
    <w:rsid w:val="00DD17B2"/>
    <w:rsid w:val="00DD17BC"/>
    <w:rsid w:val="00DD181B"/>
    <w:rsid w:val="00DD1823"/>
    <w:rsid w:val="00DD188F"/>
    <w:rsid w:val="00DD196A"/>
    <w:rsid w:val="00DD19BF"/>
    <w:rsid w:val="00DD1A84"/>
    <w:rsid w:val="00DD1A85"/>
    <w:rsid w:val="00DD1A98"/>
    <w:rsid w:val="00DD1AE5"/>
    <w:rsid w:val="00DD1AF5"/>
    <w:rsid w:val="00DD1B60"/>
    <w:rsid w:val="00DD1B8B"/>
    <w:rsid w:val="00DD1C29"/>
    <w:rsid w:val="00DD1C56"/>
    <w:rsid w:val="00DD1CA6"/>
    <w:rsid w:val="00DD1CC3"/>
    <w:rsid w:val="00DD1D07"/>
    <w:rsid w:val="00DD1D09"/>
    <w:rsid w:val="00DD1D1A"/>
    <w:rsid w:val="00DD1D74"/>
    <w:rsid w:val="00DD1DD9"/>
    <w:rsid w:val="00DD1E3D"/>
    <w:rsid w:val="00DD1E79"/>
    <w:rsid w:val="00DD1EC6"/>
    <w:rsid w:val="00DD1EE7"/>
    <w:rsid w:val="00DD1F31"/>
    <w:rsid w:val="00DD1F94"/>
    <w:rsid w:val="00DD1FA5"/>
    <w:rsid w:val="00DD1FBB"/>
    <w:rsid w:val="00DD1FC6"/>
    <w:rsid w:val="00DD2001"/>
    <w:rsid w:val="00DD2024"/>
    <w:rsid w:val="00DD2083"/>
    <w:rsid w:val="00DD209B"/>
    <w:rsid w:val="00DD20AB"/>
    <w:rsid w:val="00DD20B1"/>
    <w:rsid w:val="00DD20CA"/>
    <w:rsid w:val="00DD20F4"/>
    <w:rsid w:val="00DD2243"/>
    <w:rsid w:val="00DD225C"/>
    <w:rsid w:val="00DD225F"/>
    <w:rsid w:val="00DD22C0"/>
    <w:rsid w:val="00DD22CC"/>
    <w:rsid w:val="00DD2309"/>
    <w:rsid w:val="00DD23A3"/>
    <w:rsid w:val="00DD23F3"/>
    <w:rsid w:val="00DD23FF"/>
    <w:rsid w:val="00DD2468"/>
    <w:rsid w:val="00DD2485"/>
    <w:rsid w:val="00DD24A8"/>
    <w:rsid w:val="00DD2510"/>
    <w:rsid w:val="00DD2545"/>
    <w:rsid w:val="00DD2564"/>
    <w:rsid w:val="00DD2587"/>
    <w:rsid w:val="00DD258F"/>
    <w:rsid w:val="00DD2602"/>
    <w:rsid w:val="00DD2616"/>
    <w:rsid w:val="00DD2632"/>
    <w:rsid w:val="00DD268A"/>
    <w:rsid w:val="00DD26A6"/>
    <w:rsid w:val="00DD26CA"/>
    <w:rsid w:val="00DD26DE"/>
    <w:rsid w:val="00DD26F0"/>
    <w:rsid w:val="00DD273C"/>
    <w:rsid w:val="00DD27A9"/>
    <w:rsid w:val="00DD27BF"/>
    <w:rsid w:val="00DD2828"/>
    <w:rsid w:val="00DD288B"/>
    <w:rsid w:val="00DD28F1"/>
    <w:rsid w:val="00DD2915"/>
    <w:rsid w:val="00DD2964"/>
    <w:rsid w:val="00DD2969"/>
    <w:rsid w:val="00DD298B"/>
    <w:rsid w:val="00DD29AA"/>
    <w:rsid w:val="00DD29C9"/>
    <w:rsid w:val="00DD2A31"/>
    <w:rsid w:val="00DD2A68"/>
    <w:rsid w:val="00DD2AA1"/>
    <w:rsid w:val="00DD2AC1"/>
    <w:rsid w:val="00DD2AF0"/>
    <w:rsid w:val="00DD2B72"/>
    <w:rsid w:val="00DD2BA7"/>
    <w:rsid w:val="00DD2BAA"/>
    <w:rsid w:val="00DD2BC0"/>
    <w:rsid w:val="00DD2BCD"/>
    <w:rsid w:val="00DD2BFB"/>
    <w:rsid w:val="00DD2C26"/>
    <w:rsid w:val="00DD2C52"/>
    <w:rsid w:val="00DD2CC0"/>
    <w:rsid w:val="00DD2D83"/>
    <w:rsid w:val="00DD2DC9"/>
    <w:rsid w:val="00DD2DF9"/>
    <w:rsid w:val="00DD2E1A"/>
    <w:rsid w:val="00DD2E53"/>
    <w:rsid w:val="00DD2E83"/>
    <w:rsid w:val="00DD2F0B"/>
    <w:rsid w:val="00DD2F34"/>
    <w:rsid w:val="00DD2F84"/>
    <w:rsid w:val="00DD3001"/>
    <w:rsid w:val="00DD3021"/>
    <w:rsid w:val="00DD306C"/>
    <w:rsid w:val="00DD3072"/>
    <w:rsid w:val="00DD30A7"/>
    <w:rsid w:val="00DD3125"/>
    <w:rsid w:val="00DD3157"/>
    <w:rsid w:val="00DD3158"/>
    <w:rsid w:val="00DD3194"/>
    <w:rsid w:val="00DD31D4"/>
    <w:rsid w:val="00DD32A1"/>
    <w:rsid w:val="00DD32A6"/>
    <w:rsid w:val="00DD32BD"/>
    <w:rsid w:val="00DD32D6"/>
    <w:rsid w:val="00DD330B"/>
    <w:rsid w:val="00DD3361"/>
    <w:rsid w:val="00DD3368"/>
    <w:rsid w:val="00DD3382"/>
    <w:rsid w:val="00DD3399"/>
    <w:rsid w:val="00DD33A1"/>
    <w:rsid w:val="00DD33E8"/>
    <w:rsid w:val="00DD35A1"/>
    <w:rsid w:val="00DD35C7"/>
    <w:rsid w:val="00DD35CB"/>
    <w:rsid w:val="00DD35EC"/>
    <w:rsid w:val="00DD3609"/>
    <w:rsid w:val="00DD3618"/>
    <w:rsid w:val="00DD3667"/>
    <w:rsid w:val="00DD3682"/>
    <w:rsid w:val="00DD369C"/>
    <w:rsid w:val="00DD3708"/>
    <w:rsid w:val="00DD371A"/>
    <w:rsid w:val="00DD371E"/>
    <w:rsid w:val="00DD3738"/>
    <w:rsid w:val="00DD3741"/>
    <w:rsid w:val="00DD3745"/>
    <w:rsid w:val="00DD379D"/>
    <w:rsid w:val="00DD386B"/>
    <w:rsid w:val="00DD3870"/>
    <w:rsid w:val="00DD387B"/>
    <w:rsid w:val="00DD390E"/>
    <w:rsid w:val="00DD3920"/>
    <w:rsid w:val="00DD3953"/>
    <w:rsid w:val="00DD3978"/>
    <w:rsid w:val="00DD3992"/>
    <w:rsid w:val="00DD399B"/>
    <w:rsid w:val="00DD39BD"/>
    <w:rsid w:val="00DD39EB"/>
    <w:rsid w:val="00DD3A21"/>
    <w:rsid w:val="00DD3AB6"/>
    <w:rsid w:val="00DD3AE4"/>
    <w:rsid w:val="00DD3AFF"/>
    <w:rsid w:val="00DD3B3A"/>
    <w:rsid w:val="00DD3B66"/>
    <w:rsid w:val="00DD3B71"/>
    <w:rsid w:val="00DD3B8F"/>
    <w:rsid w:val="00DD3B97"/>
    <w:rsid w:val="00DD3BA6"/>
    <w:rsid w:val="00DD3BB7"/>
    <w:rsid w:val="00DD3BF8"/>
    <w:rsid w:val="00DD3C32"/>
    <w:rsid w:val="00DD3C4B"/>
    <w:rsid w:val="00DD3C6D"/>
    <w:rsid w:val="00DD3D0E"/>
    <w:rsid w:val="00DD3D26"/>
    <w:rsid w:val="00DD3DB8"/>
    <w:rsid w:val="00DD3DFA"/>
    <w:rsid w:val="00DD3E00"/>
    <w:rsid w:val="00DD3E06"/>
    <w:rsid w:val="00DD3E25"/>
    <w:rsid w:val="00DD3E2D"/>
    <w:rsid w:val="00DD3E8E"/>
    <w:rsid w:val="00DD3E99"/>
    <w:rsid w:val="00DD3F45"/>
    <w:rsid w:val="00DD3FD1"/>
    <w:rsid w:val="00DD4051"/>
    <w:rsid w:val="00DD40E7"/>
    <w:rsid w:val="00DD40F9"/>
    <w:rsid w:val="00DD410B"/>
    <w:rsid w:val="00DD411C"/>
    <w:rsid w:val="00DD4124"/>
    <w:rsid w:val="00DD415E"/>
    <w:rsid w:val="00DD4177"/>
    <w:rsid w:val="00DD41A6"/>
    <w:rsid w:val="00DD41CD"/>
    <w:rsid w:val="00DD4212"/>
    <w:rsid w:val="00DD4230"/>
    <w:rsid w:val="00DD4233"/>
    <w:rsid w:val="00DD4275"/>
    <w:rsid w:val="00DD4285"/>
    <w:rsid w:val="00DD42D2"/>
    <w:rsid w:val="00DD4313"/>
    <w:rsid w:val="00DD4355"/>
    <w:rsid w:val="00DD4370"/>
    <w:rsid w:val="00DD438A"/>
    <w:rsid w:val="00DD43A9"/>
    <w:rsid w:val="00DD43ED"/>
    <w:rsid w:val="00DD440D"/>
    <w:rsid w:val="00DD44CD"/>
    <w:rsid w:val="00DD4581"/>
    <w:rsid w:val="00DD45F5"/>
    <w:rsid w:val="00DD4613"/>
    <w:rsid w:val="00DD4637"/>
    <w:rsid w:val="00DD46E7"/>
    <w:rsid w:val="00DD473F"/>
    <w:rsid w:val="00DD47A3"/>
    <w:rsid w:val="00DD47B2"/>
    <w:rsid w:val="00DD47DE"/>
    <w:rsid w:val="00DD47E2"/>
    <w:rsid w:val="00DD47F3"/>
    <w:rsid w:val="00DD47F8"/>
    <w:rsid w:val="00DD47FE"/>
    <w:rsid w:val="00DD4850"/>
    <w:rsid w:val="00DD4855"/>
    <w:rsid w:val="00DD4882"/>
    <w:rsid w:val="00DD48A7"/>
    <w:rsid w:val="00DD496A"/>
    <w:rsid w:val="00DD4999"/>
    <w:rsid w:val="00DD49A9"/>
    <w:rsid w:val="00DD49AF"/>
    <w:rsid w:val="00DD49CD"/>
    <w:rsid w:val="00DD4A18"/>
    <w:rsid w:val="00DD4A5C"/>
    <w:rsid w:val="00DD4A6C"/>
    <w:rsid w:val="00DD4A6F"/>
    <w:rsid w:val="00DD4A7D"/>
    <w:rsid w:val="00DD4AA3"/>
    <w:rsid w:val="00DD4ABE"/>
    <w:rsid w:val="00DD4B1A"/>
    <w:rsid w:val="00DD4B2E"/>
    <w:rsid w:val="00DD4B8A"/>
    <w:rsid w:val="00DD4B94"/>
    <w:rsid w:val="00DD4BBA"/>
    <w:rsid w:val="00DD4BC2"/>
    <w:rsid w:val="00DD4C8B"/>
    <w:rsid w:val="00DD4C8C"/>
    <w:rsid w:val="00DD4D58"/>
    <w:rsid w:val="00DD4DFA"/>
    <w:rsid w:val="00DD4E89"/>
    <w:rsid w:val="00DD4E9C"/>
    <w:rsid w:val="00DD4EAE"/>
    <w:rsid w:val="00DD4EBA"/>
    <w:rsid w:val="00DD4ED7"/>
    <w:rsid w:val="00DD4EE8"/>
    <w:rsid w:val="00DD4F63"/>
    <w:rsid w:val="00DD4FA7"/>
    <w:rsid w:val="00DD4FBB"/>
    <w:rsid w:val="00DD4FE2"/>
    <w:rsid w:val="00DD4FE4"/>
    <w:rsid w:val="00DD5011"/>
    <w:rsid w:val="00DD5059"/>
    <w:rsid w:val="00DD5100"/>
    <w:rsid w:val="00DD511D"/>
    <w:rsid w:val="00DD5160"/>
    <w:rsid w:val="00DD5213"/>
    <w:rsid w:val="00DD5222"/>
    <w:rsid w:val="00DD5260"/>
    <w:rsid w:val="00DD52A3"/>
    <w:rsid w:val="00DD52B2"/>
    <w:rsid w:val="00DD52CE"/>
    <w:rsid w:val="00DD52EA"/>
    <w:rsid w:val="00DD534A"/>
    <w:rsid w:val="00DD5396"/>
    <w:rsid w:val="00DD53CE"/>
    <w:rsid w:val="00DD53DA"/>
    <w:rsid w:val="00DD53F4"/>
    <w:rsid w:val="00DD5434"/>
    <w:rsid w:val="00DD5456"/>
    <w:rsid w:val="00DD5466"/>
    <w:rsid w:val="00DD5473"/>
    <w:rsid w:val="00DD5480"/>
    <w:rsid w:val="00DD548C"/>
    <w:rsid w:val="00DD5542"/>
    <w:rsid w:val="00DD5596"/>
    <w:rsid w:val="00DD55A0"/>
    <w:rsid w:val="00DD55CA"/>
    <w:rsid w:val="00DD55DE"/>
    <w:rsid w:val="00DD55EA"/>
    <w:rsid w:val="00DD55F9"/>
    <w:rsid w:val="00DD562E"/>
    <w:rsid w:val="00DD5630"/>
    <w:rsid w:val="00DD570E"/>
    <w:rsid w:val="00DD574C"/>
    <w:rsid w:val="00DD5757"/>
    <w:rsid w:val="00DD5773"/>
    <w:rsid w:val="00DD57BB"/>
    <w:rsid w:val="00DD57BD"/>
    <w:rsid w:val="00DD57D2"/>
    <w:rsid w:val="00DD57F3"/>
    <w:rsid w:val="00DD58D6"/>
    <w:rsid w:val="00DD58EB"/>
    <w:rsid w:val="00DD58FC"/>
    <w:rsid w:val="00DD596E"/>
    <w:rsid w:val="00DD5987"/>
    <w:rsid w:val="00DD59EC"/>
    <w:rsid w:val="00DD5A17"/>
    <w:rsid w:val="00DD5ACE"/>
    <w:rsid w:val="00DD5AD5"/>
    <w:rsid w:val="00DD5AED"/>
    <w:rsid w:val="00DD5B55"/>
    <w:rsid w:val="00DD5C30"/>
    <w:rsid w:val="00DD5C3C"/>
    <w:rsid w:val="00DD5C52"/>
    <w:rsid w:val="00DD5C77"/>
    <w:rsid w:val="00DD5C7A"/>
    <w:rsid w:val="00DD5CC3"/>
    <w:rsid w:val="00DD5CEF"/>
    <w:rsid w:val="00DD5CFE"/>
    <w:rsid w:val="00DD5D18"/>
    <w:rsid w:val="00DD5D5E"/>
    <w:rsid w:val="00DD5DCC"/>
    <w:rsid w:val="00DD5E7B"/>
    <w:rsid w:val="00DD5FB6"/>
    <w:rsid w:val="00DD5FB9"/>
    <w:rsid w:val="00DD601E"/>
    <w:rsid w:val="00DD603C"/>
    <w:rsid w:val="00DD6065"/>
    <w:rsid w:val="00DD60E3"/>
    <w:rsid w:val="00DD6122"/>
    <w:rsid w:val="00DD615E"/>
    <w:rsid w:val="00DD6179"/>
    <w:rsid w:val="00DD61A6"/>
    <w:rsid w:val="00DD627F"/>
    <w:rsid w:val="00DD6374"/>
    <w:rsid w:val="00DD63B3"/>
    <w:rsid w:val="00DD63C0"/>
    <w:rsid w:val="00DD63C8"/>
    <w:rsid w:val="00DD6429"/>
    <w:rsid w:val="00DD64B2"/>
    <w:rsid w:val="00DD64F5"/>
    <w:rsid w:val="00DD6543"/>
    <w:rsid w:val="00DD656D"/>
    <w:rsid w:val="00DD6640"/>
    <w:rsid w:val="00DD666F"/>
    <w:rsid w:val="00DD66D0"/>
    <w:rsid w:val="00DD6705"/>
    <w:rsid w:val="00DD670C"/>
    <w:rsid w:val="00DD6712"/>
    <w:rsid w:val="00DD673D"/>
    <w:rsid w:val="00DD6779"/>
    <w:rsid w:val="00DD679C"/>
    <w:rsid w:val="00DD67BF"/>
    <w:rsid w:val="00DD680B"/>
    <w:rsid w:val="00DD684F"/>
    <w:rsid w:val="00DD6877"/>
    <w:rsid w:val="00DD689D"/>
    <w:rsid w:val="00DD68B1"/>
    <w:rsid w:val="00DD68B2"/>
    <w:rsid w:val="00DD68D6"/>
    <w:rsid w:val="00DD68E5"/>
    <w:rsid w:val="00DD68F9"/>
    <w:rsid w:val="00DD6986"/>
    <w:rsid w:val="00DD69C3"/>
    <w:rsid w:val="00DD6A8C"/>
    <w:rsid w:val="00DD6AD9"/>
    <w:rsid w:val="00DD6B39"/>
    <w:rsid w:val="00DD6BC0"/>
    <w:rsid w:val="00DD6BEB"/>
    <w:rsid w:val="00DD6C49"/>
    <w:rsid w:val="00DD6C72"/>
    <w:rsid w:val="00DD6C8F"/>
    <w:rsid w:val="00DD6D02"/>
    <w:rsid w:val="00DD6D30"/>
    <w:rsid w:val="00DD6DC7"/>
    <w:rsid w:val="00DD6DC9"/>
    <w:rsid w:val="00DD6E24"/>
    <w:rsid w:val="00DD6E36"/>
    <w:rsid w:val="00DD6E64"/>
    <w:rsid w:val="00DD6EF6"/>
    <w:rsid w:val="00DD6F42"/>
    <w:rsid w:val="00DD6F53"/>
    <w:rsid w:val="00DD6F9F"/>
    <w:rsid w:val="00DD6FAE"/>
    <w:rsid w:val="00DD6FC3"/>
    <w:rsid w:val="00DD701F"/>
    <w:rsid w:val="00DD706A"/>
    <w:rsid w:val="00DD710D"/>
    <w:rsid w:val="00DD7120"/>
    <w:rsid w:val="00DD7140"/>
    <w:rsid w:val="00DD7148"/>
    <w:rsid w:val="00DD714F"/>
    <w:rsid w:val="00DD7176"/>
    <w:rsid w:val="00DD7191"/>
    <w:rsid w:val="00DD71A7"/>
    <w:rsid w:val="00DD71BD"/>
    <w:rsid w:val="00DD724F"/>
    <w:rsid w:val="00DD725D"/>
    <w:rsid w:val="00DD727A"/>
    <w:rsid w:val="00DD727F"/>
    <w:rsid w:val="00DD72B9"/>
    <w:rsid w:val="00DD731B"/>
    <w:rsid w:val="00DD7385"/>
    <w:rsid w:val="00DD73E7"/>
    <w:rsid w:val="00DD7458"/>
    <w:rsid w:val="00DD747B"/>
    <w:rsid w:val="00DD7489"/>
    <w:rsid w:val="00DD74EC"/>
    <w:rsid w:val="00DD7516"/>
    <w:rsid w:val="00DD7557"/>
    <w:rsid w:val="00DD7571"/>
    <w:rsid w:val="00DD7592"/>
    <w:rsid w:val="00DD75B0"/>
    <w:rsid w:val="00DD761A"/>
    <w:rsid w:val="00DD764B"/>
    <w:rsid w:val="00DD766C"/>
    <w:rsid w:val="00DD7688"/>
    <w:rsid w:val="00DD769E"/>
    <w:rsid w:val="00DD76A2"/>
    <w:rsid w:val="00DD76DF"/>
    <w:rsid w:val="00DD76E2"/>
    <w:rsid w:val="00DD774C"/>
    <w:rsid w:val="00DD7758"/>
    <w:rsid w:val="00DD7776"/>
    <w:rsid w:val="00DD7861"/>
    <w:rsid w:val="00DD788E"/>
    <w:rsid w:val="00DD78BA"/>
    <w:rsid w:val="00DD7930"/>
    <w:rsid w:val="00DD79A1"/>
    <w:rsid w:val="00DD79AA"/>
    <w:rsid w:val="00DD79B0"/>
    <w:rsid w:val="00DD79BF"/>
    <w:rsid w:val="00DD79D1"/>
    <w:rsid w:val="00DD7A7C"/>
    <w:rsid w:val="00DD7AD7"/>
    <w:rsid w:val="00DD7AF7"/>
    <w:rsid w:val="00DD7B0D"/>
    <w:rsid w:val="00DD7B4F"/>
    <w:rsid w:val="00DD7B79"/>
    <w:rsid w:val="00DD7C10"/>
    <w:rsid w:val="00DD7C32"/>
    <w:rsid w:val="00DD7C39"/>
    <w:rsid w:val="00DD7C8A"/>
    <w:rsid w:val="00DD7D0D"/>
    <w:rsid w:val="00DD7D3D"/>
    <w:rsid w:val="00DD7D80"/>
    <w:rsid w:val="00DD7D99"/>
    <w:rsid w:val="00DD7DFB"/>
    <w:rsid w:val="00DD7E00"/>
    <w:rsid w:val="00DD7E2A"/>
    <w:rsid w:val="00DD7E36"/>
    <w:rsid w:val="00DD7E6F"/>
    <w:rsid w:val="00DD7EA6"/>
    <w:rsid w:val="00DD7EAB"/>
    <w:rsid w:val="00DD7EF7"/>
    <w:rsid w:val="00DD7EF8"/>
    <w:rsid w:val="00DD7F26"/>
    <w:rsid w:val="00DD7F29"/>
    <w:rsid w:val="00DD7F85"/>
    <w:rsid w:val="00DD7FAE"/>
    <w:rsid w:val="00DDFBC9"/>
    <w:rsid w:val="00DE0046"/>
    <w:rsid w:val="00DE0071"/>
    <w:rsid w:val="00DE0100"/>
    <w:rsid w:val="00DE0110"/>
    <w:rsid w:val="00DE0125"/>
    <w:rsid w:val="00DE01BE"/>
    <w:rsid w:val="00DE01BF"/>
    <w:rsid w:val="00DE01D1"/>
    <w:rsid w:val="00DE0214"/>
    <w:rsid w:val="00DE0220"/>
    <w:rsid w:val="00DE0233"/>
    <w:rsid w:val="00DE02A4"/>
    <w:rsid w:val="00DE02BD"/>
    <w:rsid w:val="00DE02F2"/>
    <w:rsid w:val="00DE02F6"/>
    <w:rsid w:val="00DE0329"/>
    <w:rsid w:val="00DE03BB"/>
    <w:rsid w:val="00DE0424"/>
    <w:rsid w:val="00DE0432"/>
    <w:rsid w:val="00DE0445"/>
    <w:rsid w:val="00DE0450"/>
    <w:rsid w:val="00DE0499"/>
    <w:rsid w:val="00DE049A"/>
    <w:rsid w:val="00DE0529"/>
    <w:rsid w:val="00DE0561"/>
    <w:rsid w:val="00DE056A"/>
    <w:rsid w:val="00DE057D"/>
    <w:rsid w:val="00DE05C7"/>
    <w:rsid w:val="00DE0603"/>
    <w:rsid w:val="00DE067A"/>
    <w:rsid w:val="00DE0692"/>
    <w:rsid w:val="00DE0723"/>
    <w:rsid w:val="00DE0751"/>
    <w:rsid w:val="00DE079B"/>
    <w:rsid w:val="00DE07BD"/>
    <w:rsid w:val="00DE07BF"/>
    <w:rsid w:val="00DE07D0"/>
    <w:rsid w:val="00DE07D6"/>
    <w:rsid w:val="00DE0814"/>
    <w:rsid w:val="00DE0822"/>
    <w:rsid w:val="00DE0849"/>
    <w:rsid w:val="00DE085B"/>
    <w:rsid w:val="00DE0881"/>
    <w:rsid w:val="00DE08C1"/>
    <w:rsid w:val="00DE09AB"/>
    <w:rsid w:val="00DE0A04"/>
    <w:rsid w:val="00DE0A07"/>
    <w:rsid w:val="00DE0A08"/>
    <w:rsid w:val="00DE0A53"/>
    <w:rsid w:val="00DE0AA5"/>
    <w:rsid w:val="00DE0ABB"/>
    <w:rsid w:val="00DE0B17"/>
    <w:rsid w:val="00DE0B2C"/>
    <w:rsid w:val="00DE0B35"/>
    <w:rsid w:val="00DE0B5D"/>
    <w:rsid w:val="00DE0B98"/>
    <w:rsid w:val="00DE0C1B"/>
    <w:rsid w:val="00DE0C58"/>
    <w:rsid w:val="00DE0C83"/>
    <w:rsid w:val="00DE0D0A"/>
    <w:rsid w:val="00DE0D0E"/>
    <w:rsid w:val="00DE0D0F"/>
    <w:rsid w:val="00DE0D53"/>
    <w:rsid w:val="00DE0DB0"/>
    <w:rsid w:val="00DE0DED"/>
    <w:rsid w:val="00DE0E38"/>
    <w:rsid w:val="00DE0E6B"/>
    <w:rsid w:val="00DE0E6F"/>
    <w:rsid w:val="00DE0E9C"/>
    <w:rsid w:val="00DE0EB7"/>
    <w:rsid w:val="00DE0EC4"/>
    <w:rsid w:val="00DE0ED0"/>
    <w:rsid w:val="00DE0F22"/>
    <w:rsid w:val="00DE0F5E"/>
    <w:rsid w:val="00DE0F97"/>
    <w:rsid w:val="00DE0F9E"/>
    <w:rsid w:val="00DE0FE0"/>
    <w:rsid w:val="00DE105F"/>
    <w:rsid w:val="00DE1067"/>
    <w:rsid w:val="00DE10B1"/>
    <w:rsid w:val="00DE10D5"/>
    <w:rsid w:val="00DE10DD"/>
    <w:rsid w:val="00DE10FB"/>
    <w:rsid w:val="00DE1135"/>
    <w:rsid w:val="00DE1149"/>
    <w:rsid w:val="00DE117E"/>
    <w:rsid w:val="00DE11C4"/>
    <w:rsid w:val="00DE11FB"/>
    <w:rsid w:val="00DE1222"/>
    <w:rsid w:val="00DE124D"/>
    <w:rsid w:val="00DE128C"/>
    <w:rsid w:val="00DE12AC"/>
    <w:rsid w:val="00DE12EB"/>
    <w:rsid w:val="00DE12F5"/>
    <w:rsid w:val="00DE1301"/>
    <w:rsid w:val="00DE1322"/>
    <w:rsid w:val="00DE132B"/>
    <w:rsid w:val="00DE132C"/>
    <w:rsid w:val="00DE1375"/>
    <w:rsid w:val="00DE137A"/>
    <w:rsid w:val="00DE140C"/>
    <w:rsid w:val="00DE143B"/>
    <w:rsid w:val="00DE1493"/>
    <w:rsid w:val="00DE14D6"/>
    <w:rsid w:val="00DE14FD"/>
    <w:rsid w:val="00DE156F"/>
    <w:rsid w:val="00DE15A0"/>
    <w:rsid w:val="00DE15C6"/>
    <w:rsid w:val="00DE15FB"/>
    <w:rsid w:val="00DE1631"/>
    <w:rsid w:val="00DE16DF"/>
    <w:rsid w:val="00DE16EA"/>
    <w:rsid w:val="00DE1726"/>
    <w:rsid w:val="00DE17B2"/>
    <w:rsid w:val="00DE17D6"/>
    <w:rsid w:val="00DE17E5"/>
    <w:rsid w:val="00DE1840"/>
    <w:rsid w:val="00DE1853"/>
    <w:rsid w:val="00DE1887"/>
    <w:rsid w:val="00DE19E7"/>
    <w:rsid w:val="00DE19EE"/>
    <w:rsid w:val="00DE1A3F"/>
    <w:rsid w:val="00DE1A50"/>
    <w:rsid w:val="00DE1A55"/>
    <w:rsid w:val="00DE1A5F"/>
    <w:rsid w:val="00DE1A76"/>
    <w:rsid w:val="00DE1B1C"/>
    <w:rsid w:val="00DE1B43"/>
    <w:rsid w:val="00DE1B56"/>
    <w:rsid w:val="00DE1B5D"/>
    <w:rsid w:val="00DE1B6E"/>
    <w:rsid w:val="00DE1B99"/>
    <w:rsid w:val="00DE1BA2"/>
    <w:rsid w:val="00DE1C25"/>
    <w:rsid w:val="00DE1C51"/>
    <w:rsid w:val="00DE1C87"/>
    <w:rsid w:val="00DE1D01"/>
    <w:rsid w:val="00DE1D12"/>
    <w:rsid w:val="00DE1DE5"/>
    <w:rsid w:val="00DE1E06"/>
    <w:rsid w:val="00DE1E10"/>
    <w:rsid w:val="00DE1E4E"/>
    <w:rsid w:val="00DE1E90"/>
    <w:rsid w:val="00DE1EA4"/>
    <w:rsid w:val="00DE1EE2"/>
    <w:rsid w:val="00DE1F6D"/>
    <w:rsid w:val="00DE1F80"/>
    <w:rsid w:val="00DE1FEE"/>
    <w:rsid w:val="00DE2058"/>
    <w:rsid w:val="00DE211C"/>
    <w:rsid w:val="00DE2151"/>
    <w:rsid w:val="00DE2154"/>
    <w:rsid w:val="00DE2159"/>
    <w:rsid w:val="00DE227B"/>
    <w:rsid w:val="00DE22D5"/>
    <w:rsid w:val="00DE2311"/>
    <w:rsid w:val="00DE232C"/>
    <w:rsid w:val="00DE237E"/>
    <w:rsid w:val="00DE23EB"/>
    <w:rsid w:val="00DE23F7"/>
    <w:rsid w:val="00DE2447"/>
    <w:rsid w:val="00DE249E"/>
    <w:rsid w:val="00DE24B7"/>
    <w:rsid w:val="00DE253D"/>
    <w:rsid w:val="00DE257A"/>
    <w:rsid w:val="00DE2596"/>
    <w:rsid w:val="00DE25A3"/>
    <w:rsid w:val="00DE25AE"/>
    <w:rsid w:val="00DE25E6"/>
    <w:rsid w:val="00DE262F"/>
    <w:rsid w:val="00DE26A2"/>
    <w:rsid w:val="00DE26AE"/>
    <w:rsid w:val="00DE26DB"/>
    <w:rsid w:val="00DE26EC"/>
    <w:rsid w:val="00DE2708"/>
    <w:rsid w:val="00DE270F"/>
    <w:rsid w:val="00DE27D5"/>
    <w:rsid w:val="00DE2803"/>
    <w:rsid w:val="00DE2825"/>
    <w:rsid w:val="00DE286B"/>
    <w:rsid w:val="00DE28D8"/>
    <w:rsid w:val="00DE296D"/>
    <w:rsid w:val="00DE2A18"/>
    <w:rsid w:val="00DE2A1C"/>
    <w:rsid w:val="00DE2A49"/>
    <w:rsid w:val="00DE2A60"/>
    <w:rsid w:val="00DE2A93"/>
    <w:rsid w:val="00DE2ACE"/>
    <w:rsid w:val="00DE2AD7"/>
    <w:rsid w:val="00DE2B39"/>
    <w:rsid w:val="00DE2B40"/>
    <w:rsid w:val="00DE2B4E"/>
    <w:rsid w:val="00DE2B6C"/>
    <w:rsid w:val="00DE2B96"/>
    <w:rsid w:val="00DE2BDC"/>
    <w:rsid w:val="00DE2BDE"/>
    <w:rsid w:val="00DE2BF0"/>
    <w:rsid w:val="00DE2C33"/>
    <w:rsid w:val="00DE2C37"/>
    <w:rsid w:val="00DE2C44"/>
    <w:rsid w:val="00DE2C59"/>
    <w:rsid w:val="00DE2C6D"/>
    <w:rsid w:val="00DE2C84"/>
    <w:rsid w:val="00DE2C9F"/>
    <w:rsid w:val="00DE2CEF"/>
    <w:rsid w:val="00DE2D2D"/>
    <w:rsid w:val="00DE2D30"/>
    <w:rsid w:val="00DE2D5E"/>
    <w:rsid w:val="00DE2E0F"/>
    <w:rsid w:val="00DE2E37"/>
    <w:rsid w:val="00DE2E68"/>
    <w:rsid w:val="00DE2FE5"/>
    <w:rsid w:val="00DE304D"/>
    <w:rsid w:val="00DE3074"/>
    <w:rsid w:val="00DE30B1"/>
    <w:rsid w:val="00DE3111"/>
    <w:rsid w:val="00DE3129"/>
    <w:rsid w:val="00DE3175"/>
    <w:rsid w:val="00DE31A6"/>
    <w:rsid w:val="00DE31BE"/>
    <w:rsid w:val="00DE31F3"/>
    <w:rsid w:val="00DE31F4"/>
    <w:rsid w:val="00DE3201"/>
    <w:rsid w:val="00DE3306"/>
    <w:rsid w:val="00DE3311"/>
    <w:rsid w:val="00DE3313"/>
    <w:rsid w:val="00DE33A4"/>
    <w:rsid w:val="00DE3406"/>
    <w:rsid w:val="00DE34BC"/>
    <w:rsid w:val="00DE3520"/>
    <w:rsid w:val="00DE352F"/>
    <w:rsid w:val="00DE35E3"/>
    <w:rsid w:val="00DE35FD"/>
    <w:rsid w:val="00DE360D"/>
    <w:rsid w:val="00DE36AD"/>
    <w:rsid w:val="00DE36F0"/>
    <w:rsid w:val="00DE36F5"/>
    <w:rsid w:val="00DE3721"/>
    <w:rsid w:val="00DE377D"/>
    <w:rsid w:val="00DE383F"/>
    <w:rsid w:val="00DE388A"/>
    <w:rsid w:val="00DE389D"/>
    <w:rsid w:val="00DE38BB"/>
    <w:rsid w:val="00DE38E7"/>
    <w:rsid w:val="00DE3932"/>
    <w:rsid w:val="00DE3997"/>
    <w:rsid w:val="00DE39C1"/>
    <w:rsid w:val="00DE3A2E"/>
    <w:rsid w:val="00DE3A61"/>
    <w:rsid w:val="00DE3A78"/>
    <w:rsid w:val="00DE3A84"/>
    <w:rsid w:val="00DE3AB6"/>
    <w:rsid w:val="00DE3AEF"/>
    <w:rsid w:val="00DE3BA7"/>
    <w:rsid w:val="00DE3BBD"/>
    <w:rsid w:val="00DE3C00"/>
    <w:rsid w:val="00DE3C38"/>
    <w:rsid w:val="00DE3C65"/>
    <w:rsid w:val="00DE3C8C"/>
    <w:rsid w:val="00DE3D54"/>
    <w:rsid w:val="00DE3D69"/>
    <w:rsid w:val="00DE3D79"/>
    <w:rsid w:val="00DE3DF2"/>
    <w:rsid w:val="00DE3E2A"/>
    <w:rsid w:val="00DE3E4C"/>
    <w:rsid w:val="00DE3E5E"/>
    <w:rsid w:val="00DE3E7F"/>
    <w:rsid w:val="00DE3EF3"/>
    <w:rsid w:val="00DE3F5C"/>
    <w:rsid w:val="00DE3FB0"/>
    <w:rsid w:val="00DE3FC3"/>
    <w:rsid w:val="00DE4001"/>
    <w:rsid w:val="00DE4008"/>
    <w:rsid w:val="00DE4022"/>
    <w:rsid w:val="00DE4042"/>
    <w:rsid w:val="00DE40A8"/>
    <w:rsid w:val="00DE40BF"/>
    <w:rsid w:val="00DE40C0"/>
    <w:rsid w:val="00DE40E2"/>
    <w:rsid w:val="00DE419E"/>
    <w:rsid w:val="00DE422E"/>
    <w:rsid w:val="00DE4252"/>
    <w:rsid w:val="00DE429D"/>
    <w:rsid w:val="00DE42C8"/>
    <w:rsid w:val="00DE42FF"/>
    <w:rsid w:val="00DE4363"/>
    <w:rsid w:val="00DE436A"/>
    <w:rsid w:val="00DE436D"/>
    <w:rsid w:val="00DE43E5"/>
    <w:rsid w:val="00DE43E8"/>
    <w:rsid w:val="00DE4495"/>
    <w:rsid w:val="00DE4498"/>
    <w:rsid w:val="00DE44F9"/>
    <w:rsid w:val="00DE4515"/>
    <w:rsid w:val="00DE451B"/>
    <w:rsid w:val="00DE4579"/>
    <w:rsid w:val="00DE457F"/>
    <w:rsid w:val="00DE45AF"/>
    <w:rsid w:val="00DE4608"/>
    <w:rsid w:val="00DE4638"/>
    <w:rsid w:val="00DE4646"/>
    <w:rsid w:val="00DE4658"/>
    <w:rsid w:val="00DE46F2"/>
    <w:rsid w:val="00DE475A"/>
    <w:rsid w:val="00DE47C9"/>
    <w:rsid w:val="00DE4811"/>
    <w:rsid w:val="00DE4812"/>
    <w:rsid w:val="00DE4817"/>
    <w:rsid w:val="00DE481F"/>
    <w:rsid w:val="00DE4839"/>
    <w:rsid w:val="00DE489B"/>
    <w:rsid w:val="00DE48B1"/>
    <w:rsid w:val="00DE48B3"/>
    <w:rsid w:val="00DE493E"/>
    <w:rsid w:val="00DE4943"/>
    <w:rsid w:val="00DE4965"/>
    <w:rsid w:val="00DE49F5"/>
    <w:rsid w:val="00DE4A06"/>
    <w:rsid w:val="00DE4A12"/>
    <w:rsid w:val="00DE4A1A"/>
    <w:rsid w:val="00DE4A2A"/>
    <w:rsid w:val="00DE4A3E"/>
    <w:rsid w:val="00DE4A4E"/>
    <w:rsid w:val="00DE4A8C"/>
    <w:rsid w:val="00DE4ABC"/>
    <w:rsid w:val="00DE4ACE"/>
    <w:rsid w:val="00DE4AE3"/>
    <w:rsid w:val="00DE4B11"/>
    <w:rsid w:val="00DE4B3F"/>
    <w:rsid w:val="00DE4B69"/>
    <w:rsid w:val="00DE4B6E"/>
    <w:rsid w:val="00DE4B8D"/>
    <w:rsid w:val="00DE4BA6"/>
    <w:rsid w:val="00DE4C08"/>
    <w:rsid w:val="00DE4C17"/>
    <w:rsid w:val="00DE4C3D"/>
    <w:rsid w:val="00DE4CAD"/>
    <w:rsid w:val="00DE4CD2"/>
    <w:rsid w:val="00DE4D07"/>
    <w:rsid w:val="00DE4D81"/>
    <w:rsid w:val="00DE4DB6"/>
    <w:rsid w:val="00DE4DD5"/>
    <w:rsid w:val="00DE4E3C"/>
    <w:rsid w:val="00DE4EBB"/>
    <w:rsid w:val="00DE4EED"/>
    <w:rsid w:val="00DE4EFB"/>
    <w:rsid w:val="00DE4F1C"/>
    <w:rsid w:val="00DE4F2D"/>
    <w:rsid w:val="00DE4FB3"/>
    <w:rsid w:val="00DE4FBF"/>
    <w:rsid w:val="00DE5028"/>
    <w:rsid w:val="00DE5032"/>
    <w:rsid w:val="00DE503B"/>
    <w:rsid w:val="00DE5046"/>
    <w:rsid w:val="00DE5059"/>
    <w:rsid w:val="00DE50C3"/>
    <w:rsid w:val="00DE5129"/>
    <w:rsid w:val="00DE5136"/>
    <w:rsid w:val="00DE51A6"/>
    <w:rsid w:val="00DE51AC"/>
    <w:rsid w:val="00DE5226"/>
    <w:rsid w:val="00DE5238"/>
    <w:rsid w:val="00DE523C"/>
    <w:rsid w:val="00DE5249"/>
    <w:rsid w:val="00DE5255"/>
    <w:rsid w:val="00DE5269"/>
    <w:rsid w:val="00DE5275"/>
    <w:rsid w:val="00DE527B"/>
    <w:rsid w:val="00DE52E3"/>
    <w:rsid w:val="00DE5337"/>
    <w:rsid w:val="00DE5370"/>
    <w:rsid w:val="00DE5383"/>
    <w:rsid w:val="00DE53A5"/>
    <w:rsid w:val="00DE53E7"/>
    <w:rsid w:val="00DE53F7"/>
    <w:rsid w:val="00DE542D"/>
    <w:rsid w:val="00DE5445"/>
    <w:rsid w:val="00DE5462"/>
    <w:rsid w:val="00DE5475"/>
    <w:rsid w:val="00DE5492"/>
    <w:rsid w:val="00DE5514"/>
    <w:rsid w:val="00DE555F"/>
    <w:rsid w:val="00DE557D"/>
    <w:rsid w:val="00DE55B7"/>
    <w:rsid w:val="00DE55CF"/>
    <w:rsid w:val="00DE55DA"/>
    <w:rsid w:val="00DE562F"/>
    <w:rsid w:val="00DE5639"/>
    <w:rsid w:val="00DE565E"/>
    <w:rsid w:val="00DE5673"/>
    <w:rsid w:val="00DE568F"/>
    <w:rsid w:val="00DE56E9"/>
    <w:rsid w:val="00DE56F3"/>
    <w:rsid w:val="00DE57B5"/>
    <w:rsid w:val="00DE57BE"/>
    <w:rsid w:val="00DE57CA"/>
    <w:rsid w:val="00DE57D5"/>
    <w:rsid w:val="00DE57F4"/>
    <w:rsid w:val="00DE58AB"/>
    <w:rsid w:val="00DE58D9"/>
    <w:rsid w:val="00DE58EE"/>
    <w:rsid w:val="00DE5915"/>
    <w:rsid w:val="00DE5967"/>
    <w:rsid w:val="00DE59A0"/>
    <w:rsid w:val="00DE59D4"/>
    <w:rsid w:val="00DE5A1E"/>
    <w:rsid w:val="00DE5A29"/>
    <w:rsid w:val="00DE5A75"/>
    <w:rsid w:val="00DE5AE1"/>
    <w:rsid w:val="00DE5AF4"/>
    <w:rsid w:val="00DE5C04"/>
    <w:rsid w:val="00DE5C2C"/>
    <w:rsid w:val="00DE5C3B"/>
    <w:rsid w:val="00DE5C43"/>
    <w:rsid w:val="00DE5C99"/>
    <w:rsid w:val="00DE5D11"/>
    <w:rsid w:val="00DE5DC2"/>
    <w:rsid w:val="00DE5DE7"/>
    <w:rsid w:val="00DE5E14"/>
    <w:rsid w:val="00DE5E8C"/>
    <w:rsid w:val="00DE5F1F"/>
    <w:rsid w:val="00DE5F83"/>
    <w:rsid w:val="00DE5F8E"/>
    <w:rsid w:val="00DE5F97"/>
    <w:rsid w:val="00DE5FE3"/>
    <w:rsid w:val="00DE5FFA"/>
    <w:rsid w:val="00DE6044"/>
    <w:rsid w:val="00DE6076"/>
    <w:rsid w:val="00DE6083"/>
    <w:rsid w:val="00DE60A3"/>
    <w:rsid w:val="00DE60B3"/>
    <w:rsid w:val="00DE60C7"/>
    <w:rsid w:val="00DE60D9"/>
    <w:rsid w:val="00DE60F9"/>
    <w:rsid w:val="00DE6146"/>
    <w:rsid w:val="00DE61B6"/>
    <w:rsid w:val="00DE61C9"/>
    <w:rsid w:val="00DE61FC"/>
    <w:rsid w:val="00DE620C"/>
    <w:rsid w:val="00DE626E"/>
    <w:rsid w:val="00DE629E"/>
    <w:rsid w:val="00DE62A6"/>
    <w:rsid w:val="00DE62BC"/>
    <w:rsid w:val="00DE62F5"/>
    <w:rsid w:val="00DE6333"/>
    <w:rsid w:val="00DE6340"/>
    <w:rsid w:val="00DE6379"/>
    <w:rsid w:val="00DE63DB"/>
    <w:rsid w:val="00DE6413"/>
    <w:rsid w:val="00DE6414"/>
    <w:rsid w:val="00DE6431"/>
    <w:rsid w:val="00DE6434"/>
    <w:rsid w:val="00DE6452"/>
    <w:rsid w:val="00DE6479"/>
    <w:rsid w:val="00DE647E"/>
    <w:rsid w:val="00DE64B6"/>
    <w:rsid w:val="00DE64E0"/>
    <w:rsid w:val="00DE654A"/>
    <w:rsid w:val="00DE6556"/>
    <w:rsid w:val="00DE65A4"/>
    <w:rsid w:val="00DE65D0"/>
    <w:rsid w:val="00DE65FE"/>
    <w:rsid w:val="00DE6619"/>
    <w:rsid w:val="00DE661A"/>
    <w:rsid w:val="00DE6634"/>
    <w:rsid w:val="00DE668F"/>
    <w:rsid w:val="00DE66B1"/>
    <w:rsid w:val="00DE66F4"/>
    <w:rsid w:val="00DE677E"/>
    <w:rsid w:val="00DE681F"/>
    <w:rsid w:val="00DE68C8"/>
    <w:rsid w:val="00DE6949"/>
    <w:rsid w:val="00DE6971"/>
    <w:rsid w:val="00DE69C4"/>
    <w:rsid w:val="00DE69F6"/>
    <w:rsid w:val="00DE6A0E"/>
    <w:rsid w:val="00DE6A42"/>
    <w:rsid w:val="00DE6A54"/>
    <w:rsid w:val="00DE6A63"/>
    <w:rsid w:val="00DE6A96"/>
    <w:rsid w:val="00DE6AA6"/>
    <w:rsid w:val="00DE6AD6"/>
    <w:rsid w:val="00DE6AE3"/>
    <w:rsid w:val="00DE6B1E"/>
    <w:rsid w:val="00DE6B2D"/>
    <w:rsid w:val="00DE6B71"/>
    <w:rsid w:val="00DE6BCD"/>
    <w:rsid w:val="00DE6C04"/>
    <w:rsid w:val="00DE6C48"/>
    <w:rsid w:val="00DE6C78"/>
    <w:rsid w:val="00DE6C92"/>
    <w:rsid w:val="00DE6D84"/>
    <w:rsid w:val="00DE6E23"/>
    <w:rsid w:val="00DE6E27"/>
    <w:rsid w:val="00DE6EA0"/>
    <w:rsid w:val="00DE6EB4"/>
    <w:rsid w:val="00DE6EC9"/>
    <w:rsid w:val="00DE6EDA"/>
    <w:rsid w:val="00DE6EE5"/>
    <w:rsid w:val="00DE6F04"/>
    <w:rsid w:val="00DE6FB0"/>
    <w:rsid w:val="00DE6FC4"/>
    <w:rsid w:val="00DE7096"/>
    <w:rsid w:val="00DE7115"/>
    <w:rsid w:val="00DE723F"/>
    <w:rsid w:val="00DE7260"/>
    <w:rsid w:val="00DE7350"/>
    <w:rsid w:val="00DE735D"/>
    <w:rsid w:val="00DE7368"/>
    <w:rsid w:val="00DE7385"/>
    <w:rsid w:val="00DE739B"/>
    <w:rsid w:val="00DE73A8"/>
    <w:rsid w:val="00DE73AB"/>
    <w:rsid w:val="00DE73D4"/>
    <w:rsid w:val="00DE73F4"/>
    <w:rsid w:val="00DE7463"/>
    <w:rsid w:val="00DE7464"/>
    <w:rsid w:val="00DE747A"/>
    <w:rsid w:val="00DE7480"/>
    <w:rsid w:val="00DE7488"/>
    <w:rsid w:val="00DE74CB"/>
    <w:rsid w:val="00DE74E2"/>
    <w:rsid w:val="00DE74E4"/>
    <w:rsid w:val="00DE754D"/>
    <w:rsid w:val="00DE7599"/>
    <w:rsid w:val="00DE761D"/>
    <w:rsid w:val="00DE7658"/>
    <w:rsid w:val="00DE768A"/>
    <w:rsid w:val="00DE771E"/>
    <w:rsid w:val="00DE7779"/>
    <w:rsid w:val="00DE7791"/>
    <w:rsid w:val="00DE77BD"/>
    <w:rsid w:val="00DE7863"/>
    <w:rsid w:val="00DE78B9"/>
    <w:rsid w:val="00DE78F6"/>
    <w:rsid w:val="00DE79A7"/>
    <w:rsid w:val="00DE79AB"/>
    <w:rsid w:val="00DE7A04"/>
    <w:rsid w:val="00DE7A0E"/>
    <w:rsid w:val="00DE7A1B"/>
    <w:rsid w:val="00DE7A6B"/>
    <w:rsid w:val="00DE7B71"/>
    <w:rsid w:val="00DE7BD7"/>
    <w:rsid w:val="00DE7BDF"/>
    <w:rsid w:val="00DE7C56"/>
    <w:rsid w:val="00DE7C76"/>
    <w:rsid w:val="00DE7C89"/>
    <w:rsid w:val="00DE7C9F"/>
    <w:rsid w:val="00DE7CA6"/>
    <w:rsid w:val="00DE7CB8"/>
    <w:rsid w:val="00DE7D7E"/>
    <w:rsid w:val="00DE7D81"/>
    <w:rsid w:val="00DE7D94"/>
    <w:rsid w:val="00DE7DC1"/>
    <w:rsid w:val="00DE7DD2"/>
    <w:rsid w:val="00DE7DE7"/>
    <w:rsid w:val="00DE7E52"/>
    <w:rsid w:val="00DE7EF2"/>
    <w:rsid w:val="00DE7F0F"/>
    <w:rsid w:val="00DE7F19"/>
    <w:rsid w:val="00DE7FB9"/>
    <w:rsid w:val="00DE7FE7"/>
    <w:rsid w:val="00DF002D"/>
    <w:rsid w:val="00DF0037"/>
    <w:rsid w:val="00DF00F3"/>
    <w:rsid w:val="00DF00F8"/>
    <w:rsid w:val="00DF010A"/>
    <w:rsid w:val="00DF0123"/>
    <w:rsid w:val="00DF0169"/>
    <w:rsid w:val="00DF01E6"/>
    <w:rsid w:val="00DF01EB"/>
    <w:rsid w:val="00DF0231"/>
    <w:rsid w:val="00DF025C"/>
    <w:rsid w:val="00DF02A6"/>
    <w:rsid w:val="00DF02AD"/>
    <w:rsid w:val="00DF02AF"/>
    <w:rsid w:val="00DF0307"/>
    <w:rsid w:val="00DF0331"/>
    <w:rsid w:val="00DF0358"/>
    <w:rsid w:val="00DF035C"/>
    <w:rsid w:val="00DF0375"/>
    <w:rsid w:val="00DF043A"/>
    <w:rsid w:val="00DF04BE"/>
    <w:rsid w:val="00DF04D8"/>
    <w:rsid w:val="00DF0506"/>
    <w:rsid w:val="00DF052A"/>
    <w:rsid w:val="00DF0543"/>
    <w:rsid w:val="00DF057A"/>
    <w:rsid w:val="00DF057D"/>
    <w:rsid w:val="00DF059A"/>
    <w:rsid w:val="00DF0649"/>
    <w:rsid w:val="00DF0661"/>
    <w:rsid w:val="00DF0675"/>
    <w:rsid w:val="00DF06C0"/>
    <w:rsid w:val="00DF06C3"/>
    <w:rsid w:val="00DF06D6"/>
    <w:rsid w:val="00DF06E1"/>
    <w:rsid w:val="00DF0742"/>
    <w:rsid w:val="00DF076A"/>
    <w:rsid w:val="00DF07C4"/>
    <w:rsid w:val="00DF0808"/>
    <w:rsid w:val="00DF080D"/>
    <w:rsid w:val="00DF085C"/>
    <w:rsid w:val="00DF0873"/>
    <w:rsid w:val="00DF0889"/>
    <w:rsid w:val="00DF089C"/>
    <w:rsid w:val="00DF08AE"/>
    <w:rsid w:val="00DF08B3"/>
    <w:rsid w:val="00DF08B4"/>
    <w:rsid w:val="00DF08BB"/>
    <w:rsid w:val="00DF08C4"/>
    <w:rsid w:val="00DF08FA"/>
    <w:rsid w:val="00DF0905"/>
    <w:rsid w:val="00DF0927"/>
    <w:rsid w:val="00DF0958"/>
    <w:rsid w:val="00DF095C"/>
    <w:rsid w:val="00DF096C"/>
    <w:rsid w:val="00DF097F"/>
    <w:rsid w:val="00DF09AB"/>
    <w:rsid w:val="00DF09B7"/>
    <w:rsid w:val="00DF09CF"/>
    <w:rsid w:val="00DF09FD"/>
    <w:rsid w:val="00DF0A4D"/>
    <w:rsid w:val="00DF0A5F"/>
    <w:rsid w:val="00DF0A8F"/>
    <w:rsid w:val="00DF0B17"/>
    <w:rsid w:val="00DF0BE2"/>
    <w:rsid w:val="00DF0C2F"/>
    <w:rsid w:val="00DF0C54"/>
    <w:rsid w:val="00DF0C84"/>
    <w:rsid w:val="00DF0CA8"/>
    <w:rsid w:val="00DF0CE7"/>
    <w:rsid w:val="00DF0CF1"/>
    <w:rsid w:val="00DF0D5F"/>
    <w:rsid w:val="00DF0D8F"/>
    <w:rsid w:val="00DF0E23"/>
    <w:rsid w:val="00DF0EAC"/>
    <w:rsid w:val="00DF0EB3"/>
    <w:rsid w:val="00DF0ECF"/>
    <w:rsid w:val="00DF0EDA"/>
    <w:rsid w:val="00DF0F0D"/>
    <w:rsid w:val="00DF0FB7"/>
    <w:rsid w:val="00DF0FBB"/>
    <w:rsid w:val="00DF0FD7"/>
    <w:rsid w:val="00DF101D"/>
    <w:rsid w:val="00DF102F"/>
    <w:rsid w:val="00DF10A7"/>
    <w:rsid w:val="00DF10AD"/>
    <w:rsid w:val="00DF10D3"/>
    <w:rsid w:val="00DF10F5"/>
    <w:rsid w:val="00DF1110"/>
    <w:rsid w:val="00DF1125"/>
    <w:rsid w:val="00DF1158"/>
    <w:rsid w:val="00DF119A"/>
    <w:rsid w:val="00DF119B"/>
    <w:rsid w:val="00DF11BF"/>
    <w:rsid w:val="00DF11D8"/>
    <w:rsid w:val="00DF11F2"/>
    <w:rsid w:val="00DF1240"/>
    <w:rsid w:val="00DF12E2"/>
    <w:rsid w:val="00DF1307"/>
    <w:rsid w:val="00DF1367"/>
    <w:rsid w:val="00DF138B"/>
    <w:rsid w:val="00DF13E1"/>
    <w:rsid w:val="00DF13ED"/>
    <w:rsid w:val="00DF1415"/>
    <w:rsid w:val="00DF1435"/>
    <w:rsid w:val="00DF1444"/>
    <w:rsid w:val="00DF1532"/>
    <w:rsid w:val="00DF15AE"/>
    <w:rsid w:val="00DF15BA"/>
    <w:rsid w:val="00DF15CD"/>
    <w:rsid w:val="00DF15EE"/>
    <w:rsid w:val="00DF1621"/>
    <w:rsid w:val="00DF1626"/>
    <w:rsid w:val="00DF1639"/>
    <w:rsid w:val="00DF1643"/>
    <w:rsid w:val="00DF1685"/>
    <w:rsid w:val="00DF168D"/>
    <w:rsid w:val="00DF169E"/>
    <w:rsid w:val="00DF16B0"/>
    <w:rsid w:val="00DF16B9"/>
    <w:rsid w:val="00DF16CF"/>
    <w:rsid w:val="00DF1731"/>
    <w:rsid w:val="00DF174A"/>
    <w:rsid w:val="00DF176D"/>
    <w:rsid w:val="00DF1773"/>
    <w:rsid w:val="00DF17FD"/>
    <w:rsid w:val="00DF1857"/>
    <w:rsid w:val="00DF187A"/>
    <w:rsid w:val="00DF1897"/>
    <w:rsid w:val="00DF18E7"/>
    <w:rsid w:val="00DF1904"/>
    <w:rsid w:val="00DF19DC"/>
    <w:rsid w:val="00DF19E0"/>
    <w:rsid w:val="00DF1A6A"/>
    <w:rsid w:val="00DF1A79"/>
    <w:rsid w:val="00DF1A99"/>
    <w:rsid w:val="00DF1B8C"/>
    <w:rsid w:val="00DF1BE6"/>
    <w:rsid w:val="00DF1C09"/>
    <w:rsid w:val="00DF1C33"/>
    <w:rsid w:val="00DF1C56"/>
    <w:rsid w:val="00DF1C7F"/>
    <w:rsid w:val="00DF1C9C"/>
    <w:rsid w:val="00DF1D49"/>
    <w:rsid w:val="00DF1D51"/>
    <w:rsid w:val="00DF1D63"/>
    <w:rsid w:val="00DF1D80"/>
    <w:rsid w:val="00DF1D81"/>
    <w:rsid w:val="00DF1D92"/>
    <w:rsid w:val="00DF1DDB"/>
    <w:rsid w:val="00DF1E16"/>
    <w:rsid w:val="00DF1E24"/>
    <w:rsid w:val="00DF1E38"/>
    <w:rsid w:val="00DF1E43"/>
    <w:rsid w:val="00DF1EEF"/>
    <w:rsid w:val="00DF1EFA"/>
    <w:rsid w:val="00DF1F41"/>
    <w:rsid w:val="00DF1F48"/>
    <w:rsid w:val="00DF1F58"/>
    <w:rsid w:val="00DF1F5C"/>
    <w:rsid w:val="00DF1F5E"/>
    <w:rsid w:val="00DF1F96"/>
    <w:rsid w:val="00DF1FA4"/>
    <w:rsid w:val="00DF1FE5"/>
    <w:rsid w:val="00DF2012"/>
    <w:rsid w:val="00DF203F"/>
    <w:rsid w:val="00DF2076"/>
    <w:rsid w:val="00DF209B"/>
    <w:rsid w:val="00DF20C3"/>
    <w:rsid w:val="00DF20CE"/>
    <w:rsid w:val="00DF20D1"/>
    <w:rsid w:val="00DF2100"/>
    <w:rsid w:val="00DF2155"/>
    <w:rsid w:val="00DF216C"/>
    <w:rsid w:val="00DF2247"/>
    <w:rsid w:val="00DF224B"/>
    <w:rsid w:val="00DF2263"/>
    <w:rsid w:val="00DF2264"/>
    <w:rsid w:val="00DF2268"/>
    <w:rsid w:val="00DF22B6"/>
    <w:rsid w:val="00DF22EE"/>
    <w:rsid w:val="00DF230D"/>
    <w:rsid w:val="00DF2324"/>
    <w:rsid w:val="00DF236B"/>
    <w:rsid w:val="00DF2398"/>
    <w:rsid w:val="00DF239B"/>
    <w:rsid w:val="00DF23AD"/>
    <w:rsid w:val="00DF2400"/>
    <w:rsid w:val="00DF2469"/>
    <w:rsid w:val="00DF2549"/>
    <w:rsid w:val="00DF2689"/>
    <w:rsid w:val="00DF2712"/>
    <w:rsid w:val="00DF2738"/>
    <w:rsid w:val="00DF274E"/>
    <w:rsid w:val="00DF2782"/>
    <w:rsid w:val="00DF27C0"/>
    <w:rsid w:val="00DF284B"/>
    <w:rsid w:val="00DF2866"/>
    <w:rsid w:val="00DF2886"/>
    <w:rsid w:val="00DF2905"/>
    <w:rsid w:val="00DF2909"/>
    <w:rsid w:val="00DF2915"/>
    <w:rsid w:val="00DF2934"/>
    <w:rsid w:val="00DF2948"/>
    <w:rsid w:val="00DF2959"/>
    <w:rsid w:val="00DF2976"/>
    <w:rsid w:val="00DF2989"/>
    <w:rsid w:val="00DF29B2"/>
    <w:rsid w:val="00DF2A19"/>
    <w:rsid w:val="00DF2A2D"/>
    <w:rsid w:val="00DF2AB8"/>
    <w:rsid w:val="00DF2AC0"/>
    <w:rsid w:val="00DF2B2B"/>
    <w:rsid w:val="00DF2B65"/>
    <w:rsid w:val="00DF2B73"/>
    <w:rsid w:val="00DF2B86"/>
    <w:rsid w:val="00DF2B94"/>
    <w:rsid w:val="00DF2BC4"/>
    <w:rsid w:val="00DF2C9F"/>
    <w:rsid w:val="00DF2CE2"/>
    <w:rsid w:val="00DF2D9E"/>
    <w:rsid w:val="00DF2EB1"/>
    <w:rsid w:val="00DF2EB2"/>
    <w:rsid w:val="00DF2F2D"/>
    <w:rsid w:val="00DF3018"/>
    <w:rsid w:val="00DF305E"/>
    <w:rsid w:val="00DF307D"/>
    <w:rsid w:val="00DF3084"/>
    <w:rsid w:val="00DF30C7"/>
    <w:rsid w:val="00DF30CA"/>
    <w:rsid w:val="00DF3117"/>
    <w:rsid w:val="00DF3156"/>
    <w:rsid w:val="00DF3167"/>
    <w:rsid w:val="00DF3172"/>
    <w:rsid w:val="00DF3184"/>
    <w:rsid w:val="00DF31CA"/>
    <w:rsid w:val="00DF320C"/>
    <w:rsid w:val="00DF3257"/>
    <w:rsid w:val="00DF3274"/>
    <w:rsid w:val="00DF3299"/>
    <w:rsid w:val="00DF329D"/>
    <w:rsid w:val="00DF32A0"/>
    <w:rsid w:val="00DF32DC"/>
    <w:rsid w:val="00DF3335"/>
    <w:rsid w:val="00DF3372"/>
    <w:rsid w:val="00DF339A"/>
    <w:rsid w:val="00DF3448"/>
    <w:rsid w:val="00DF345C"/>
    <w:rsid w:val="00DF34CF"/>
    <w:rsid w:val="00DF34E4"/>
    <w:rsid w:val="00DF3590"/>
    <w:rsid w:val="00DF35A9"/>
    <w:rsid w:val="00DF35CE"/>
    <w:rsid w:val="00DF35E6"/>
    <w:rsid w:val="00DF3605"/>
    <w:rsid w:val="00DF3642"/>
    <w:rsid w:val="00DF3651"/>
    <w:rsid w:val="00DF3687"/>
    <w:rsid w:val="00DF36A2"/>
    <w:rsid w:val="00DF36C4"/>
    <w:rsid w:val="00DF36D1"/>
    <w:rsid w:val="00DF36E1"/>
    <w:rsid w:val="00DF3701"/>
    <w:rsid w:val="00DF372A"/>
    <w:rsid w:val="00DF3730"/>
    <w:rsid w:val="00DF3734"/>
    <w:rsid w:val="00DF373C"/>
    <w:rsid w:val="00DF3742"/>
    <w:rsid w:val="00DF37A2"/>
    <w:rsid w:val="00DF3816"/>
    <w:rsid w:val="00DF383C"/>
    <w:rsid w:val="00DF3857"/>
    <w:rsid w:val="00DF38E9"/>
    <w:rsid w:val="00DF38F7"/>
    <w:rsid w:val="00DF3913"/>
    <w:rsid w:val="00DF396C"/>
    <w:rsid w:val="00DF3982"/>
    <w:rsid w:val="00DF39E6"/>
    <w:rsid w:val="00DF3A08"/>
    <w:rsid w:val="00DF3AA3"/>
    <w:rsid w:val="00DF3AB7"/>
    <w:rsid w:val="00DF3ACE"/>
    <w:rsid w:val="00DF3B40"/>
    <w:rsid w:val="00DF3B5A"/>
    <w:rsid w:val="00DF3B6F"/>
    <w:rsid w:val="00DF3B99"/>
    <w:rsid w:val="00DF3C31"/>
    <w:rsid w:val="00DF3C39"/>
    <w:rsid w:val="00DF3C57"/>
    <w:rsid w:val="00DF3C70"/>
    <w:rsid w:val="00DF3C7E"/>
    <w:rsid w:val="00DF3C93"/>
    <w:rsid w:val="00DF3D0F"/>
    <w:rsid w:val="00DF3D26"/>
    <w:rsid w:val="00DF3D6F"/>
    <w:rsid w:val="00DF3DB8"/>
    <w:rsid w:val="00DF3DC6"/>
    <w:rsid w:val="00DF3DCE"/>
    <w:rsid w:val="00DF3E72"/>
    <w:rsid w:val="00DF3F0F"/>
    <w:rsid w:val="00DF3F60"/>
    <w:rsid w:val="00DF3FA8"/>
    <w:rsid w:val="00DF3FB7"/>
    <w:rsid w:val="00DF3FF4"/>
    <w:rsid w:val="00DF401D"/>
    <w:rsid w:val="00DF404E"/>
    <w:rsid w:val="00DF407C"/>
    <w:rsid w:val="00DF4085"/>
    <w:rsid w:val="00DF408E"/>
    <w:rsid w:val="00DF4098"/>
    <w:rsid w:val="00DF409F"/>
    <w:rsid w:val="00DF4124"/>
    <w:rsid w:val="00DF4236"/>
    <w:rsid w:val="00DF42C0"/>
    <w:rsid w:val="00DF42D8"/>
    <w:rsid w:val="00DF4311"/>
    <w:rsid w:val="00DF431D"/>
    <w:rsid w:val="00DF431E"/>
    <w:rsid w:val="00DF4329"/>
    <w:rsid w:val="00DF4333"/>
    <w:rsid w:val="00DF43C9"/>
    <w:rsid w:val="00DF43E7"/>
    <w:rsid w:val="00DF440F"/>
    <w:rsid w:val="00DF4419"/>
    <w:rsid w:val="00DF4424"/>
    <w:rsid w:val="00DF4429"/>
    <w:rsid w:val="00DF4430"/>
    <w:rsid w:val="00DF44E1"/>
    <w:rsid w:val="00DF4511"/>
    <w:rsid w:val="00DF4579"/>
    <w:rsid w:val="00DF457A"/>
    <w:rsid w:val="00DF4603"/>
    <w:rsid w:val="00DF4644"/>
    <w:rsid w:val="00DF467C"/>
    <w:rsid w:val="00DF4692"/>
    <w:rsid w:val="00DF47D1"/>
    <w:rsid w:val="00DF4802"/>
    <w:rsid w:val="00DF4804"/>
    <w:rsid w:val="00DF4813"/>
    <w:rsid w:val="00DF4862"/>
    <w:rsid w:val="00DF48A4"/>
    <w:rsid w:val="00DF48F8"/>
    <w:rsid w:val="00DF491D"/>
    <w:rsid w:val="00DF4945"/>
    <w:rsid w:val="00DF4964"/>
    <w:rsid w:val="00DF497F"/>
    <w:rsid w:val="00DF49AF"/>
    <w:rsid w:val="00DF49B9"/>
    <w:rsid w:val="00DF49F5"/>
    <w:rsid w:val="00DF49F6"/>
    <w:rsid w:val="00DF4A05"/>
    <w:rsid w:val="00DF4A29"/>
    <w:rsid w:val="00DF4A87"/>
    <w:rsid w:val="00DF4C32"/>
    <w:rsid w:val="00DF4CB2"/>
    <w:rsid w:val="00DF4CF5"/>
    <w:rsid w:val="00DF4CFC"/>
    <w:rsid w:val="00DF4DBF"/>
    <w:rsid w:val="00DF4DDD"/>
    <w:rsid w:val="00DF4E1D"/>
    <w:rsid w:val="00DF4E3F"/>
    <w:rsid w:val="00DF4E4F"/>
    <w:rsid w:val="00DF4E5F"/>
    <w:rsid w:val="00DF4EEF"/>
    <w:rsid w:val="00DF4F3F"/>
    <w:rsid w:val="00DF4F45"/>
    <w:rsid w:val="00DF4F63"/>
    <w:rsid w:val="00DF4F7E"/>
    <w:rsid w:val="00DF5019"/>
    <w:rsid w:val="00DF503C"/>
    <w:rsid w:val="00DF5084"/>
    <w:rsid w:val="00DF5085"/>
    <w:rsid w:val="00DF5091"/>
    <w:rsid w:val="00DF50B1"/>
    <w:rsid w:val="00DF50E0"/>
    <w:rsid w:val="00DF5133"/>
    <w:rsid w:val="00DF5134"/>
    <w:rsid w:val="00DF5188"/>
    <w:rsid w:val="00DF51C9"/>
    <w:rsid w:val="00DF51D2"/>
    <w:rsid w:val="00DF5221"/>
    <w:rsid w:val="00DF5240"/>
    <w:rsid w:val="00DF524B"/>
    <w:rsid w:val="00DF524E"/>
    <w:rsid w:val="00DF5284"/>
    <w:rsid w:val="00DF5285"/>
    <w:rsid w:val="00DF52B4"/>
    <w:rsid w:val="00DF5305"/>
    <w:rsid w:val="00DF5309"/>
    <w:rsid w:val="00DF530D"/>
    <w:rsid w:val="00DF5331"/>
    <w:rsid w:val="00DF534E"/>
    <w:rsid w:val="00DF5385"/>
    <w:rsid w:val="00DF53AD"/>
    <w:rsid w:val="00DF53F3"/>
    <w:rsid w:val="00DF53FD"/>
    <w:rsid w:val="00DF5411"/>
    <w:rsid w:val="00DF5418"/>
    <w:rsid w:val="00DF5441"/>
    <w:rsid w:val="00DF5445"/>
    <w:rsid w:val="00DF546E"/>
    <w:rsid w:val="00DF5478"/>
    <w:rsid w:val="00DF54D8"/>
    <w:rsid w:val="00DF54FF"/>
    <w:rsid w:val="00DF5582"/>
    <w:rsid w:val="00DF5591"/>
    <w:rsid w:val="00DF55CD"/>
    <w:rsid w:val="00DF55D2"/>
    <w:rsid w:val="00DF55DB"/>
    <w:rsid w:val="00DF55DC"/>
    <w:rsid w:val="00DF5606"/>
    <w:rsid w:val="00DF5650"/>
    <w:rsid w:val="00DF568E"/>
    <w:rsid w:val="00DF56C0"/>
    <w:rsid w:val="00DF56F1"/>
    <w:rsid w:val="00DF56F5"/>
    <w:rsid w:val="00DF56F6"/>
    <w:rsid w:val="00DF56FB"/>
    <w:rsid w:val="00DF570F"/>
    <w:rsid w:val="00DF571A"/>
    <w:rsid w:val="00DF5728"/>
    <w:rsid w:val="00DF575E"/>
    <w:rsid w:val="00DF5766"/>
    <w:rsid w:val="00DF5776"/>
    <w:rsid w:val="00DF578B"/>
    <w:rsid w:val="00DF5838"/>
    <w:rsid w:val="00DF5878"/>
    <w:rsid w:val="00DF58BC"/>
    <w:rsid w:val="00DF5915"/>
    <w:rsid w:val="00DF5924"/>
    <w:rsid w:val="00DF5935"/>
    <w:rsid w:val="00DF593C"/>
    <w:rsid w:val="00DF597C"/>
    <w:rsid w:val="00DF5A08"/>
    <w:rsid w:val="00DF5A9C"/>
    <w:rsid w:val="00DF5AC8"/>
    <w:rsid w:val="00DF5AE5"/>
    <w:rsid w:val="00DF5AE9"/>
    <w:rsid w:val="00DF5B02"/>
    <w:rsid w:val="00DF5B3D"/>
    <w:rsid w:val="00DF5B9C"/>
    <w:rsid w:val="00DF5BAE"/>
    <w:rsid w:val="00DF5BC1"/>
    <w:rsid w:val="00DF5C66"/>
    <w:rsid w:val="00DF5D06"/>
    <w:rsid w:val="00DF5EA9"/>
    <w:rsid w:val="00DF5EB9"/>
    <w:rsid w:val="00DF5EC0"/>
    <w:rsid w:val="00DF5F35"/>
    <w:rsid w:val="00DF5F65"/>
    <w:rsid w:val="00DF5F72"/>
    <w:rsid w:val="00DF5F9A"/>
    <w:rsid w:val="00DF5FA0"/>
    <w:rsid w:val="00DF5FF8"/>
    <w:rsid w:val="00DF605E"/>
    <w:rsid w:val="00DF607E"/>
    <w:rsid w:val="00DF60A0"/>
    <w:rsid w:val="00DF60C5"/>
    <w:rsid w:val="00DF611C"/>
    <w:rsid w:val="00DF6134"/>
    <w:rsid w:val="00DF613F"/>
    <w:rsid w:val="00DF614D"/>
    <w:rsid w:val="00DF615D"/>
    <w:rsid w:val="00DF615E"/>
    <w:rsid w:val="00DF617F"/>
    <w:rsid w:val="00DF618D"/>
    <w:rsid w:val="00DF61F9"/>
    <w:rsid w:val="00DF6217"/>
    <w:rsid w:val="00DF6228"/>
    <w:rsid w:val="00DF62AF"/>
    <w:rsid w:val="00DF62F4"/>
    <w:rsid w:val="00DF6350"/>
    <w:rsid w:val="00DF6380"/>
    <w:rsid w:val="00DF6395"/>
    <w:rsid w:val="00DF63D0"/>
    <w:rsid w:val="00DF63EF"/>
    <w:rsid w:val="00DF6423"/>
    <w:rsid w:val="00DF6434"/>
    <w:rsid w:val="00DF6458"/>
    <w:rsid w:val="00DF646C"/>
    <w:rsid w:val="00DF64BE"/>
    <w:rsid w:val="00DF6501"/>
    <w:rsid w:val="00DF653B"/>
    <w:rsid w:val="00DF6580"/>
    <w:rsid w:val="00DF65CB"/>
    <w:rsid w:val="00DF65ED"/>
    <w:rsid w:val="00DF65F1"/>
    <w:rsid w:val="00DF6609"/>
    <w:rsid w:val="00DF6684"/>
    <w:rsid w:val="00DF673B"/>
    <w:rsid w:val="00DF6755"/>
    <w:rsid w:val="00DF677E"/>
    <w:rsid w:val="00DF6785"/>
    <w:rsid w:val="00DF67A4"/>
    <w:rsid w:val="00DF67E2"/>
    <w:rsid w:val="00DF67ED"/>
    <w:rsid w:val="00DF683C"/>
    <w:rsid w:val="00DF6845"/>
    <w:rsid w:val="00DF68EB"/>
    <w:rsid w:val="00DF693E"/>
    <w:rsid w:val="00DF6979"/>
    <w:rsid w:val="00DF69B7"/>
    <w:rsid w:val="00DF69B8"/>
    <w:rsid w:val="00DF69F9"/>
    <w:rsid w:val="00DF6A2E"/>
    <w:rsid w:val="00DF6A68"/>
    <w:rsid w:val="00DF6ABE"/>
    <w:rsid w:val="00DF6ACF"/>
    <w:rsid w:val="00DF6B7D"/>
    <w:rsid w:val="00DF6BE0"/>
    <w:rsid w:val="00DF6C4D"/>
    <w:rsid w:val="00DF6C65"/>
    <w:rsid w:val="00DF6CD2"/>
    <w:rsid w:val="00DF6CE5"/>
    <w:rsid w:val="00DF6D4A"/>
    <w:rsid w:val="00DF6D4C"/>
    <w:rsid w:val="00DF6D9C"/>
    <w:rsid w:val="00DF6DD5"/>
    <w:rsid w:val="00DF6E09"/>
    <w:rsid w:val="00DF6E1B"/>
    <w:rsid w:val="00DF6E9D"/>
    <w:rsid w:val="00DF6ECE"/>
    <w:rsid w:val="00DF6F1D"/>
    <w:rsid w:val="00DF6F38"/>
    <w:rsid w:val="00DF6F65"/>
    <w:rsid w:val="00DF6F89"/>
    <w:rsid w:val="00DF6FD1"/>
    <w:rsid w:val="00DF7031"/>
    <w:rsid w:val="00DF704E"/>
    <w:rsid w:val="00DF7051"/>
    <w:rsid w:val="00DF7071"/>
    <w:rsid w:val="00DF7099"/>
    <w:rsid w:val="00DF711E"/>
    <w:rsid w:val="00DF711F"/>
    <w:rsid w:val="00DF7290"/>
    <w:rsid w:val="00DF72AE"/>
    <w:rsid w:val="00DF72C3"/>
    <w:rsid w:val="00DF72EF"/>
    <w:rsid w:val="00DF72F9"/>
    <w:rsid w:val="00DF731E"/>
    <w:rsid w:val="00DF734B"/>
    <w:rsid w:val="00DF73CE"/>
    <w:rsid w:val="00DF748C"/>
    <w:rsid w:val="00DF749D"/>
    <w:rsid w:val="00DF74B9"/>
    <w:rsid w:val="00DF7512"/>
    <w:rsid w:val="00DF752D"/>
    <w:rsid w:val="00DF75EF"/>
    <w:rsid w:val="00DF75F8"/>
    <w:rsid w:val="00DF7645"/>
    <w:rsid w:val="00DF76BD"/>
    <w:rsid w:val="00DF76DA"/>
    <w:rsid w:val="00DF7733"/>
    <w:rsid w:val="00DF7814"/>
    <w:rsid w:val="00DF78CD"/>
    <w:rsid w:val="00DF7908"/>
    <w:rsid w:val="00DF7936"/>
    <w:rsid w:val="00DF794F"/>
    <w:rsid w:val="00DF795F"/>
    <w:rsid w:val="00DF79F2"/>
    <w:rsid w:val="00DF7A35"/>
    <w:rsid w:val="00DF7A39"/>
    <w:rsid w:val="00DF7A9B"/>
    <w:rsid w:val="00DF7AAC"/>
    <w:rsid w:val="00DF7AAE"/>
    <w:rsid w:val="00DF7B80"/>
    <w:rsid w:val="00DF7BE5"/>
    <w:rsid w:val="00DF7BFB"/>
    <w:rsid w:val="00DF7C6B"/>
    <w:rsid w:val="00DF7C6E"/>
    <w:rsid w:val="00DF7CB9"/>
    <w:rsid w:val="00DF7CEC"/>
    <w:rsid w:val="00DF7D4B"/>
    <w:rsid w:val="00DF7D55"/>
    <w:rsid w:val="00DF7D5A"/>
    <w:rsid w:val="00DF7D68"/>
    <w:rsid w:val="00DF7D76"/>
    <w:rsid w:val="00DF7D85"/>
    <w:rsid w:val="00DF7DD8"/>
    <w:rsid w:val="00DF7E49"/>
    <w:rsid w:val="00DF7EDD"/>
    <w:rsid w:val="00DF7EF2"/>
    <w:rsid w:val="00DF7EFC"/>
    <w:rsid w:val="00DF7F01"/>
    <w:rsid w:val="00DF7F25"/>
    <w:rsid w:val="00DF7F2C"/>
    <w:rsid w:val="00DF7F2D"/>
    <w:rsid w:val="00DF7F3D"/>
    <w:rsid w:val="00DF7F9C"/>
    <w:rsid w:val="00DF7FB4"/>
    <w:rsid w:val="00DF7FF5"/>
    <w:rsid w:val="00DFCBD8"/>
    <w:rsid w:val="00E00082"/>
    <w:rsid w:val="00E0008B"/>
    <w:rsid w:val="00E0008C"/>
    <w:rsid w:val="00E0013C"/>
    <w:rsid w:val="00E0014F"/>
    <w:rsid w:val="00E001A3"/>
    <w:rsid w:val="00E001E3"/>
    <w:rsid w:val="00E0021C"/>
    <w:rsid w:val="00E0026C"/>
    <w:rsid w:val="00E00288"/>
    <w:rsid w:val="00E0028D"/>
    <w:rsid w:val="00E0033D"/>
    <w:rsid w:val="00E0034D"/>
    <w:rsid w:val="00E00396"/>
    <w:rsid w:val="00E003A4"/>
    <w:rsid w:val="00E00409"/>
    <w:rsid w:val="00E0043E"/>
    <w:rsid w:val="00E00454"/>
    <w:rsid w:val="00E00458"/>
    <w:rsid w:val="00E0045A"/>
    <w:rsid w:val="00E00465"/>
    <w:rsid w:val="00E0048A"/>
    <w:rsid w:val="00E004AE"/>
    <w:rsid w:val="00E004E6"/>
    <w:rsid w:val="00E00574"/>
    <w:rsid w:val="00E005DE"/>
    <w:rsid w:val="00E00601"/>
    <w:rsid w:val="00E0062D"/>
    <w:rsid w:val="00E00671"/>
    <w:rsid w:val="00E006B7"/>
    <w:rsid w:val="00E006CB"/>
    <w:rsid w:val="00E00717"/>
    <w:rsid w:val="00E00735"/>
    <w:rsid w:val="00E0074E"/>
    <w:rsid w:val="00E007D2"/>
    <w:rsid w:val="00E007DD"/>
    <w:rsid w:val="00E007EE"/>
    <w:rsid w:val="00E007EF"/>
    <w:rsid w:val="00E0081E"/>
    <w:rsid w:val="00E00853"/>
    <w:rsid w:val="00E008D0"/>
    <w:rsid w:val="00E0094F"/>
    <w:rsid w:val="00E00972"/>
    <w:rsid w:val="00E009B1"/>
    <w:rsid w:val="00E009D1"/>
    <w:rsid w:val="00E009E6"/>
    <w:rsid w:val="00E009F1"/>
    <w:rsid w:val="00E00A43"/>
    <w:rsid w:val="00E00B69"/>
    <w:rsid w:val="00E00B8A"/>
    <w:rsid w:val="00E00BA5"/>
    <w:rsid w:val="00E00BAF"/>
    <w:rsid w:val="00E00BB1"/>
    <w:rsid w:val="00E00CA1"/>
    <w:rsid w:val="00E00CBB"/>
    <w:rsid w:val="00E00D36"/>
    <w:rsid w:val="00E00D74"/>
    <w:rsid w:val="00E00DD4"/>
    <w:rsid w:val="00E00DEF"/>
    <w:rsid w:val="00E00E00"/>
    <w:rsid w:val="00E00E18"/>
    <w:rsid w:val="00E00E19"/>
    <w:rsid w:val="00E00E48"/>
    <w:rsid w:val="00E00E4A"/>
    <w:rsid w:val="00E00E72"/>
    <w:rsid w:val="00E00E79"/>
    <w:rsid w:val="00E00EC1"/>
    <w:rsid w:val="00E00F0B"/>
    <w:rsid w:val="00E00F4E"/>
    <w:rsid w:val="00E00F70"/>
    <w:rsid w:val="00E00F83"/>
    <w:rsid w:val="00E00FA0"/>
    <w:rsid w:val="00E00FD8"/>
    <w:rsid w:val="00E00FEB"/>
    <w:rsid w:val="00E00FF1"/>
    <w:rsid w:val="00E0103F"/>
    <w:rsid w:val="00E01046"/>
    <w:rsid w:val="00E01074"/>
    <w:rsid w:val="00E010A4"/>
    <w:rsid w:val="00E010AC"/>
    <w:rsid w:val="00E010D8"/>
    <w:rsid w:val="00E010F5"/>
    <w:rsid w:val="00E0111A"/>
    <w:rsid w:val="00E0113A"/>
    <w:rsid w:val="00E01165"/>
    <w:rsid w:val="00E01166"/>
    <w:rsid w:val="00E01198"/>
    <w:rsid w:val="00E011AA"/>
    <w:rsid w:val="00E011B0"/>
    <w:rsid w:val="00E011DA"/>
    <w:rsid w:val="00E0122C"/>
    <w:rsid w:val="00E01260"/>
    <w:rsid w:val="00E01298"/>
    <w:rsid w:val="00E012C6"/>
    <w:rsid w:val="00E012CC"/>
    <w:rsid w:val="00E012D8"/>
    <w:rsid w:val="00E012FE"/>
    <w:rsid w:val="00E0132A"/>
    <w:rsid w:val="00E0134D"/>
    <w:rsid w:val="00E01368"/>
    <w:rsid w:val="00E0136B"/>
    <w:rsid w:val="00E01395"/>
    <w:rsid w:val="00E013C7"/>
    <w:rsid w:val="00E013DF"/>
    <w:rsid w:val="00E013F7"/>
    <w:rsid w:val="00E013F8"/>
    <w:rsid w:val="00E01459"/>
    <w:rsid w:val="00E0147C"/>
    <w:rsid w:val="00E014CD"/>
    <w:rsid w:val="00E01536"/>
    <w:rsid w:val="00E0155C"/>
    <w:rsid w:val="00E015B0"/>
    <w:rsid w:val="00E015E5"/>
    <w:rsid w:val="00E01619"/>
    <w:rsid w:val="00E0165E"/>
    <w:rsid w:val="00E016D5"/>
    <w:rsid w:val="00E01734"/>
    <w:rsid w:val="00E017CB"/>
    <w:rsid w:val="00E017DA"/>
    <w:rsid w:val="00E017F5"/>
    <w:rsid w:val="00E01813"/>
    <w:rsid w:val="00E01847"/>
    <w:rsid w:val="00E0185F"/>
    <w:rsid w:val="00E01874"/>
    <w:rsid w:val="00E018D9"/>
    <w:rsid w:val="00E01900"/>
    <w:rsid w:val="00E01950"/>
    <w:rsid w:val="00E01A01"/>
    <w:rsid w:val="00E01A25"/>
    <w:rsid w:val="00E01A50"/>
    <w:rsid w:val="00E01A5C"/>
    <w:rsid w:val="00E01A76"/>
    <w:rsid w:val="00E01A8E"/>
    <w:rsid w:val="00E01AFA"/>
    <w:rsid w:val="00E01B4F"/>
    <w:rsid w:val="00E01BA0"/>
    <w:rsid w:val="00E01C91"/>
    <w:rsid w:val="00E01CA8"/>
    <w:rsid w:val="00E01CF6"/>
    <w:rsid w:val="00E01D07"/>
    <w:rsid w:val="00E01DAB"/>
    <w:rsid w:val="00E01DFC"/>
    <w:rsid w:val="00E01E38"/>
    <w:rsid w:val="00E01E75"/>
    <w:rsid w:val="00E01EA9"/>
    <w:rsid w:val="00E01EC7"/>
    <w:rsid w:val="00E01F1B"/>
    <w:rsid w:val="00E01F46"/>
    <w:rsid w:val="00E01F61"/>
    <w:rsid w:val="00E01F6A"/>
    <w:rsid w:val="00E01F90"/>
    <w:rsid w:val="00E01FA3"/>
    <w:rsid w:val="00E01FF5"/>
    <w:rsid w:val="00E02035"/>
    <w:rsid w:val="00E02049"/>
    <w:rsid w:val="00E020F4"/>
    <w:rsid w:val="00E02109"/>
    <w:rsid w:val="00E0215C"/>
    <w:rsid w:val="00E02210"/>
    <w:rsid w:val="00E02223"/>
    <w:rsid w:val="00E0223A"/>
    <w:rsid w:val="00E02287"/>
    <w:rsid w:val="00E0228A"/>
    <w:rsid w:val="00E022A9"/>
    <w:rsid w:val="00E02323"/>
    <w:rsid w:val="00E0234E"/>
    <w:rsid w:val="00E02353"/>
    <w:rsid w:val="00E0249B"/>
    <w:rsid w:val="00E024CE"/>
    <w:rsid w:val="00E02513"/>
    <w:rsid w:val="00E02527"/>
    <w:rsid w:val="00E02541"/>
    <w:rsid w:val="00E025BE"/>
    <w:rsid w:val="00E025D0"/>
    <w:rsid w:val="00E025D2"/>
    <w:rsid w:val="00E0262E"/>
    <w:rsid w:val="00E0271D"/>
    <w:rsid w:val="00E02721"/>
    <w:rsid w:val="00E02732"/>
    <w:rsid w:val="00E02741"/>
    <w:rsid w:val="00E02752"/>
    <w:rsid w:val="00E02794"/>
    <w:rsid w:val="00E02799"/>
    <w:rsid w:val="00E027EF"/>
    <w:rsid w:val="00E0284A"/>
    <w:rsid w:val="00E028AC"/>
    <w:rsid w:val="00E02913"/>
    <w:rsid w:val="00E02926"/>
    <w:rsid w:val="00E0294E"/>
    <w:rsid w:val="00E02951"/>
    <w:rsid w:val="00E0296C"/>
    <w:rsid w:val="00E02979"/>
    <w:rsid w:val="00E0299C"/>
    <w:rsid w:val="00E029A5"/>
    <w:rsid w:val="00E029DB"/>
    <w:rsid w:val="00E029E2"/>
    <w:rsid w:val="00E02A6A"/>
    <w:rsid w:val="00E02B6F"/>
    <w:rsid w:val="00E02B7C"/>
    <w:rsid w:val="00E02BE0"/>
    <w:rsid w:val="00E02BFF"/>
    <w:rsid w:val="00E02C59"/>
    <w:rsid w:val="00E02C64"/>
    <w:rsid w:val="00E02CDB"/>
    <w:rsid w:val="00E02D07"/>
    <w:rsid w:val="00E02DDD"/>
    <w:rsid w:val="00E02E43"/>
    <w:rsid w:val="00E02E57"/>
    <w:rsid w:val="00E02E6F"/>
    <w:rsid w:val="00E02F06"/>
    <w:rsid w:val="00E02F5B"/>
    <w:rsid w:val="00E02F5D"/>
    <w:rsid w:val="00E02F6E"/>
    <w:rsid w:val="00E02F77"/>
    <w:rsid w:val="00E02F79"/>
    <w:rsid w:val="00E02F90"/>
    <w:rsid w:val="00E02FF3"/>
    <w:rsid w:val="00E03026"/>
    <w:rsid w:val="00E03044"/>
    <w:rsid w:val="00E03070"/>
    <w:rsid w:val="00E0309D"/>
    <w:rsid w:val="00E03136"/>
    <w:rsid w:val="00E0316D"/>
    <w:rsid w:val="00E03194"/>
    <w:rsid w:val="00E03200"/>
    <w:rsid w:val="00E0320C"/>
    <w:rsid w:val="00E032A3"/>
    <w:rsid w:val="00E0331F"/>
    <w:rsid w:val="00E03329"/>
    <w:rsid w:val="00E033B7"/>
    <w:rsid w:val="00E033C5"/>
    <w:rsid w:val="00E0346E"/>
    <w:rsid w:val="00E034A9"/>
    <w:rsid w:val="00E034B5"/>
    <w:rsid w:val="00E034C4"/>
    <w:rsid w:val="00E03513"/>
    <w:rsid w:val="00E0355A"/>
    <w:rsid w:val="00E03561"/>
    <w:rsid w:val="00E03588"/>
    <w:rsid w:val="00E035A1"/>
    <w:rsid w:val="00E035CA"/>
    <w:rsid w:val="00E035D3"/>
    <w:rsid w:val="00E0361C"/>
    <w:rsid w:val="00E036B7"/>
    <w:rsid w:val="00E036B8"/>
    <w:rsid w:val="00E036FA"/>
    <w:rsid w:val="00E03742"/>
    <w:rsid w:val="00E037DC"/>
    <w:rsid w:val="00E037FF"/>
    <w:rsid w:val="00E0383A"/>
    <w:rsid w:val="00E0387F"/>
    <w:rsid w:val="00E0388A"/>
    <w:rsid w:val="00E038D5"/>
    <w:rsid w:val="00E038D7"/>
    <w:rsid w:val="00E038F5"/>
    <w:rsid w:val="00E03925"/>
    <w:rsid w:val="00E03A18"/>
    <w:rsid w:val="00E03A54"/>
    <w:rsid w:val="00E03A76"/>
    <w:rsid w:val="00E03AD8"/>
    <w:rsid w:val="00E03B5F"/>
    <w:rsid w:val="00E03B75"/>
    <w:rsid w:val="00E03B7F"/>
    <w:rsid w:val="00E03B8D"/>
    <w:rsid w:val="00E03BB1"/>
    <w:rsid w:val="00E03BBE"/>
    <w:rsid w:val="00E03BCC"/>
    <w:rsid w:val="00E03C08"/>
    <w:rsid w:val="00E03C22"/>
    <w:rsid w:val="00E03C47"/>
    <w:rsid w:val="00E03C68"/>
    <w:rsid w:val="00E03C70"/>
    <w:rsid w:val="00E03CDD"/>
    <w:rsid w:val="00E03CFC"/>
    <w:rsid w:val="00E03D02"/>
    <w:rsid w:val="00E03D60"/>
    <w:rsid w:val="00E03D85"/>
    <w:rsid w:val="00E03DA7"/>
    <w:rsid w:val="00E03E64"/>
    <w:rsid w:val="00E03E7E"/>
    <w:rsid w:val="00E03EAB"/>
    <w:rsid w:val="00E03EDC"/>
    <w:rsid w:val="00E03EE2"/>
    <w:rsid w:val="00E03F0F"/>
    <w:rsid w:val="00E03F2D"/>
    <w:rsid w:val="00E0402A"/>
    <w:rsid w:val="00E04043"/>
    <w:rsid w:val="00E04066"/>
    <w:rsid w:val="00E0407C"/>
    <w:rsid w:val="00E040D5"/>
    <w:rsid w:val="00E04122"/>
    <w:rsid w:val="00E0413E"/>
    <w:rsid w:val="00E04148"/>
    <w:rsid w:val="00E04195"/>
    <w:rsid w:val="00E04196"/>
    <w:rsid w:val="00E04232"/>
    <w:rsid w:val="00E0428F"/>
    <w:rsid w:val="00E042E5"/>
    <w:rsid w:val="00E042F0"/>
    <w:rsid w:val="00E04314"/>
    <w:rsid w:val="00E0434E"/>
    <w:rsid w:val="00E04351"/>
    <w:rsid w:val="00E0435B"/>
    <w:rsid w:val="00E0435D"/>
    <w:rsid w:val="00E043BA"/>
    <w:rsid w:val="00E043FB"/>
    <w:rsid w:val="00E044A8"/>
    <w:rsid w:val="00E04505"/>
    <w:rsid w:val="00E0450F"/>
    <w:rsid w:val="00E0453F"/>
    <w:rsid w:val="00E0457A"/>
    <w:rsid w:val="00E04591"/>
    <w:rsid w:val="00E045C2"/>
    <w:rsid w:val="00E045F6"/>
    <w:rsid w:val="00E0461C"/>
    <w:rsid w:val="00E04663"/>
    <w:rsid w:val="00E046F5"/>
    <w:rsid w:val="00E0470E"/>
    <w:rsid w:val="00E0476B"/>
    <w:rsid w:val="00E04789"/>
    <w:rsid w:val="00E047CC"/>
    <w:rsid w:val="00E047DD"/>
    <w:rsid w:val="00E04811"/>
    <w:rsid w:val="00E0484B"/>
    <w:rsid w:val="00E04887"/>
    <w:rsid w:val="00E048A2"/>
    <w:rsid w:val="00E048AE"/>
    <w:rsid w:val="00E048EC"/>
    <w:rsid w:val="00E04929"/>
    <w:rsid w:val="00E0492C"/>
    <w:rsid w:val="00E0496B"/>
    <w:rsid w:val="00E04979"/>
    <w:rsid w:val="00E04A13"/>
    <w:rsid w:val="00E04A38"/>
    <w:rsid w:val="00E04A69"/>
    <w:rsid w:val="00E04A9D"/>
    <w:rsid w:val="00E04ABE"/>
    <w:rsid w:val="00E04B71"/>
    <w:rsid w:val="00E04BFC"/>
    <w:rsid w:val="00E04C62"/>
    <w:rsid w:val="00E04C6F"/>
    <w:rsid w:val="00E04C86"/>
    <w:rsid w:val="00E04D1F"/>
    <w:rsid w:val="00E04D25"/>
    <w:rsid w:val="00E04DC1"/>
    <w:rsid w:val="00E04DE3"/>
    <w:rsid w:val="00E04DEE"/>
    <w:rsid w:val="00E04E60"/>
    <w:rsid w:val="00E04E98"/>
    <w:rsid w:val="00E04EBC"/>
    <w:rsid w:val="00E04ED5"/>
    <w:rsid w:val="00E04EF9"/>
    <w:rsid w:val="00E04F1C"/>
    <w:rsid w:val="00E04F4A"/>
    <w:rsid w:val="00E04F5E"/>
    <w:rsid w:val="00E04F8C"/>
    <w:rsid w:val="00E0506E"/>
    <w:rsid w:val="00E050AB"/>
    <w:rsid w:val="00E05110"/>
    <w:rsid w:val="00E05129"/>
    <w:rsid w:val="00E05198"/>
    <w:rsid w:val="00E051FC"/>
    <w:rsid w:val="00E05253"/>
    <w:rsid w:val="00E052A0"/>
    <w:rsid w:val="00E052A1"/>
    <w:rsid w:val="00E052C8"/>
    <w:rsid w:val="00E0532E"/>
    <w:rsid w:val="00E05350"/>
    <w:rsid w:val="00E05361"/>
    <w:rsid w:val="00E0536D"/>
    <w:rsid w:val="00E0536F"/>
    <w:rsid w:val="00E053AB"/>
    <w:rsid w:val="00E053CD"/>
    <w:rsid w:val="00E053EF"/>
    <w:rsid w:val="00E05426"/>
    <w:rsid w:val="00E0546A"/>
    <w:rsid w:val="00E054AF"/>
    <w:rsid w:val="00E054B8"/>
    <w:rsid w:val="00E05515"/>
    <w:rsid w:val="00E056D1"/>
    <w:rsid w:val="00E05708"/>
    <w:rsid w:val="00E05724"/>
    <w:rsid w:val="00E0572E"/>
    <w:rsid w:val="00E05789"/>
    <w:rsid w:val="00E057DF"/>
    <w:rsid w:val="00E0582E"/>
    <w:rsid w:val="00E0583C"/>
    <w:rsid w:val="00E05860"/>
    <w:rsid w:val="00E058A5"/>
    <w:rsid w:val="00E058E2"/>
    <w:rsid w:val="00E05929"/>
    <w:rsid w:val="00E059FD"/>
    <w:rsid w:val="00E05A0E"/>
    <w:rsid w:val="00E05A4B"/>
    <w:rsid w:val="00E05A55"/>
    <w:rsid w:val="00E05A98"/>
    <w:rsid w:val="00E05ADB"/>
    <w:rsid w:val="00E05B1B"/>
    <w:rsid w:val="00E05B37"/>
    <w:rsid w:val="00E05B5F"/>
    <w:rsid w:val="00E05B71"/>
    <w:rsid w:val="00E05B93"/>
    <w:rsid w:val="00E05C0A"/>
    <w:rsid w:val="00E05C37"/>
    <w:rsid w:val="00E05CE7"/>
    <w:rsid w:val="00E05D51"/>
    <w:rsid w:val="00E05D96"/>
    <w:rsid w:val="00E05DB7"/>
    <w:rsid w:val="00E05DEE"/>
    <w:rsid w:val="00E05E00"/>
    <w:rsid w:val="00E05E28"/>
    <w:rsid w:val="00E05E2A"/>
    <w:rsid w:val="00E05E7B"/>
    <w:rsid w:val="00E05EF1"/>
    <w:rsid w:val="00E05F15"/>
    <w:rsid w:val="00E05F33"/>
    <w:rsid w:val="00E05FAC"/>
    <w:rsid w:val="00E05FE6"/>
    <w:rsid w:val="00E06016"/>
    <w:rsid w:val="00E0606A"/>
    <w:rsid w:val="00E06077"/>
    <w:rsid w:val="00E06091"/>
    <w:rsid w:val="00E060D8"/>
    <w:rsid w:val="00E060E5"/>
    <w:rsid w:val="00E060F0"/>
    <w:rsid w:val="00E06121"/>
    <w:rsid w:val="00E0612B"/>
    <w:rsid w:val="00E0618A"/>
    <w:rsid w:val="00E061CB"/>
    <w:rsid w:val="00E061E8"/>
    <w:rsid w:val="00E061EC"/>
    <w:rsid w:val="00E06220"/>
    <w:rsid w:val="00E06238"/>
    <w:rsid w:val="00E06240"/>
    <w:rsid w:val="00E0627C"/>
    <w:rsid w:val="00E06290"/>
    <w:rsid w:val="00E062A9"/>
    <w:rsid w:val="00E062C7"/>
    <w:rsid w:val="00E062DA"/>
    <w:rsid w:val="00E062E1"/>
    <w:rsid w:val="00E0636C"/>
    <w:rsid w:val="00E063B0"/>
    <w:rsid w:val="00E0644C"/>
    <w:rsid w:val="00E06482"/>
    <w:rsid w:val="00E06492"/>
    <w:rsid w:val="00E064AE"/>
    <w:rsid w:val="00E064BF"/>
    <w:rsid w:val="00E064F4"/>
    <w:rsid w:val="00E0651B"/>
    <w:rsid w:val="00E06567"/>
    <w:rsid w:val="00E065A8"/>
    <w:rsid w:val="00E065D6"/>
    <w:rsid w:val="00E065E3"/>
    <w:rsid w:val="00E065E8"/>
    <w:rsid w:val="00E0666F"/>
    <w:rsid w:val="00E066E4"/>
    <w:rsid w:val="00E066F2"/>
    <w:rsid w:val="00E06749"/>
    <w:rsid w:val="00E06759"/>
    <w:rsid w:val="00E06769"/>
    <w:rsid w:val="00E06781"/>
    <w:rsid w:val="00E06790"/>
    <w:rsid w:val="00E067A0"/>
    <w:rsid w:val="00E06809"/>
    <w:rsid w:val="00E0687B"/>
    <w:rsid w:val="00E068A0"/>
    <w:rsid w:val="00E068C9"/>
    <w:rsid w:val="00E068F6"/>
    <w:rsid w:val="00E0692C"/>
    <w:rsid w:val="00E069D0"/>
    <w:rsid w:val="00E06A4C"/>
    <w:rsid w:val="00E06A52"/>
    <w:rsid w:val="00E06AE1"/>
    <w:rsid w:val="00E06B8D"/>
    <w:rsid w:val="00E06BCD"/>
    <w:rsid w:val="00E06C19"/>
    <w:rsid w:val="00E06C72"/>
    <w:rsid w:val="00E06C7F"/>
    <w:rsid w:val="00E06C88"/>
    <w:rsid w:val="00E06C9C"/>
    <w:rsid w:val="00E06CE3"/>
    <w:rsid w:val="00E06CE9"/>
    <w:rsid w:val="00E06CF7"/>
    <w:rsid w:val="00E06D17"/>
    <w:rsid w:val="00E06D79"/>
    <w:rsid w:val="00E06DA9"/>
    <w:rsid w:val="00E06DE7"/>
    <w:rsid w:val="00E06DFA"/>
    <w:rsid w:val="00E06DFC"/>
    <w:rsid w:val="00E06E18"/>
    <w:rsid w:val="00E06E6C"/>
    <w:rsid w:val="00E06F54"/>
    <w:rsid w:val="00E06FA8"/>
    <w:rsid w:val="00E06FD6"/>
    <w:rsid w:val="00E06FDF"/>
    <w:rsid w:val="00E070AD"/>
    <w:rsid w:val="00E07140"/>
    <w:rsid w:val="00E07160"/>
    <w:rsid w:val="00E07177"/>
    <w:rsid w:val="00E071A6"/>
    <w:rsid w:val="00E071B3"/>
    <w:rsid w:val="00E071C0"/>
    <w:rsid w:val="00E072A5"/>
    <w:rsid w:val="00E072DB"/>
    <w:rsid w:val="00E0730F"/>
    <w:rsid w:val="00E07385"/>
    <w:rsid w:val="00E073EF"/>
    <w:rsid w:val="00E0742D"/>
    <w:rsid w:val="00E07452"/>
    <w:rsid w:val="00E07464"/>
    <w:rsid w:val="00E0746C"/>
    <w:rsid w:val="00E074F4"/>
    <w:rsid w:val="00E07524"/>
    <w:rsid w:val="00E07545"/>
    <w:rsid w:val="00E075E1"/>
    <w:rsid w:val="00E0761D"/>
    <w:rsid w:val="00E07623"/>
    <w:rsid w:val="00E0768D"/>
    <w:rsid w:val="00E076A5"/>
    <w:rsid w:val="00E076D5"/>
    <w:rsid w:val="00E076DC"/>
    <w:rsid w:val="00E07739"/>
    <w:rsid w:val="00E07745"/>
    <w:rsid w:val="00E07780"/>
    <w:rsid w:val="00E0778B"/>
    <w:rsid w:val="00E077B7"/>
    <w:rsid w:val="00E077C3"/>
    <w:rsid w:val="00E077D4"/>
    <w:rsid w:val="00E077ED"/>
    <w:rsid w:val="00E078D7"/>
    <w:rsid w:val="00E07926"/>
    <w:rsid w:val="00E0794C"/>
    <w:rsid w:val="00E07965"/>
    <w:rsid w:val="00E0797A"/>
    <w:rsid w:val="00E07996"/>
    <w:rsid w:val="00E079BB"/>
    <w:rsid w:val="00E07A49"/>
    <w:rsid w:val="00E07A7E"/>
    <w:rsid w:val="00E07ADD"/>
    <w:rsid w:val="00E07AEA"/>
    <w:rsid w:val="00E07B5F"/>
    <w:rsid w:val="00E07BE5"/>
    <w:rsid w:val="00E07C35"/>
    <w:rsid w:val="00E07C50"/>
    <w:rsid w:val="00E07C60"/>
    <w:rsid w:val="00E07C78"/>
    <w:rsid w:val="00E07C94"/>
    <w:rsid w:val="00E07CFE"/>
    <w:rsid w:val="00E07D36"/>
    <w:rsid w:val="00E07D49"/>
    <w:rsid w:val="00E07D50"/>
    <w:rsid w:val="00E07DCE"/>
    <w:rsid w:val="00E07E7D"/>
    <w:rsid w:val="00E07EAE"/>
    <w:rsid w:val="00E07EC7"/>
    <w:rsid w:val="00E07ECF"/>
    <w:rsid w:val="00E07ED4"/>
    <w:rsid w:val="00E07F60"/>
    <w:rsid w:val="00E07F6D"/>
    <w:rsid w:val="00E07F76"/>
    <w:rsid w:val="00E07FCC"/>
    <w:rsid w:val="00E10015"/>
    <w:rsid w:val="00E1001B"/>
    <w:rsid w:val="00E1003B"/>
    <w:rsid w:val="00E1007B"/>
    <w:rsid w:val="00E10132"/>
    <w:rsid w:val="00E102F0"/>
    <w:rsid w:val="00E102F5"/>
    <w:rsid w:val="00E10304"/>
    <w:rsid w:val="00E1030A"/>
    <w:rsid w:val="00E10321"/>
    <w:rsid w:val="00E1035B"/>
    <w:rsid w:val="00E1040A"/>
    <w:rsid w:val="00E10413"/>
    <w:rsid w:val="00E10428"/>
    <w:rsid w:val="00E10468"/>
    <w:rsid w:val="00E1046F"/>
    <w:rsid w:val="00E104EF"/>
    <w:rsid w:val="00E10527"/>
    <w:rsid w:val="00E10542"/>
    <w:rsid w:val="00E10568"/>
    <w:rsid w:val="00E1057A"/>
    <w:rsid w:val="00E105E9"/>
    <w:rsid w:val="00E1062C"/>
    <w:rsid w:val="00E10669"/>
    <w:rsid w:val="00E1066F"/>
    <w:rsid w:val="00E106BE"/>
    <w:rsid w:val="00E106CF"/>
    <w:rsid w:val="00E1074A"/>
    <w:rsid w:val="00E1076D"/>
    <w:rsid w:val="00E10792"/>
    <w:rsid w:val="00E107F5"/>
    <w:rsid w:val="00E10859"/>
    <w:rsid w:val="00E1087C"/>
    <w:rsid w:val="00E10897"/>
    <w:rsid w:val="00E108BC"/>
    <w:rsid w:val="00E10916"/>
    <w:rsid w:val="00E10924"/>
    <w:rsid w:val="00E1093F"/>
    <w:rsid w:val="00E10962"/>
    <w:rsid w:val="00E1096F"/>
    <w:rsid w:val="00E10988"/>
    <w:rsid w:val="00E109A6"/>
    <w:rsid w:val="00E109C8"/>
    <w:rsid w:val="00E109D5"/>
    <w:rsid w:val="00E109F1"/>
    <w:rsid w:val="00E10A29"/>
    <w:rsid w:val="00E10A93"/>
    <w:rsid w:val="00E10A96"/>
    <w:rsid w:val="00E10A97"/>
    <w:rsid w:val="00E10AB1"/>
    <w:rsid w:val="00E10B3A"/>
    <w:rsid w:val="00E10B6B"/>
    <w:rsid w:val="00E10BC8"/>
    <w:rsid w:val="00E10BDC"/>
    <w:rsid w:val="00E10C01"/>
    <w:rsid w:val="00E10CEA"/>
    <w:rsid w:val="00E10D07"/>
    <w:rsid w:val="00E10D1F"/>
    <w:rsid w:val="00E10D74"/>
    <w:rsid w:val="00E10DA4"/>
    <w:rsid w:val="00E10DF3"/>
    <w:rsid w:val="00E10DFA"/>
    <w:rsid w:val="00E10E07"/>
    <w:rsid w:val="00E10E3F"/>
    <w:rsid w:val="00E10E91"/>
    <w:rsid w:val="00E10E9D"/>
    <w:rsid w:val="00E10EBF"/>
    <w:rsid w:val="00E10EE7"/>
    <w:rsid w:val="00E10F23"/>
    <w:rsid w:val="00E10F25"/>
    <w:rsid w:val="00E1106A"/>
    <w:rsid w:val="00E110B3"/>
    <w:rsid w:val="00E110C3"/>
    <w:rsid w:val="00E110C7"/>
    <w:rsid w:val="00E11116"/>
    <w:rsid w:val="00E11154"/>
    <w:rsid w:val="00E111A1"/>
    <w:rsid w:val="00E111C2"/>
    <w:rsid w:val="00E111DC"/>
    <w:rsid w:val="00E11263"/>
    <w:rsid w:val="00E11280"/>
    <w:rsid w:val="00E11296"/>
    <w:rsid w:val="00E112B1"/>
    <w:rsid w:val="00E112CF"/>
    <w:rsid w:val="00E112FE"/>
    <w:rsid w:val="00E11312"/>
    <w:rsid w:val="00E11318"/>
    <w:rsid w:val="00E1132D"/>
    <w:rsid w:val="00E11359"/>
    <w:rsid w:val="00E1137F"/>
    <w:rsid w:val="00E113A8"/>
    <w:rsid w:val="00E11416"/>
    <w:rsid w:val="00E1142D"/>
    <w:rsid w:val="00E11449"/>
    <w:rsid w:val="00E1148C"/>
    <w:rsid w:val="00E1149D"/>
    <w:rsid w:val="00E114BB"/>
    <w:rsid w:val="00E114CA"/>
    <w:rsid w:val="00E114F2"/>
    <w:rsid w:val="00E114F4"/>
    <w:rsid w:val="00E114FE"/>
    <w:rsid w:val="00E1150D"/>
    <w:rsid w:val="00E11517"/>
    <w:rsid w:val="00E11571"/>
    <w:rsid w:val="00E11574"/>
    <w:rsid w:val="00E1157D"/>
    <w:rsid w:val="00E115B2"/>
    <w:rsid w:val="00E116A9"/>
    <w:rsid w:val="00E116D4"/>
    <w:rsid w:val="00E116D6"/>
    <w:rsid w:val="00E116D7"/>
    <w:rsid w:val="00E116E3"/>
    <w:rsid w:val="00E11725"/>
    <w:rsid w:val="00E1179F"/>
    <w:rsid w:val="00E117DD"/>
    <w:rsid w:val="00E117E5"/>
    <w:rsid w:val="00E11819"/>
    <w:rsid w:val="00E1186C"/>
    <w:rsid w:val="00E11899"/>
    <w:rsid w:val="00E118B1"/>
    <w:rsid w:val="00E118ED"/>
    <w:rsid w:val="00E11913"/>
    <w:rsid w:val="00E11980"/>
    <w:rsid w:val="00E119A6"/>
    <w:rsid w:val="00E119B4"/>
    <w:rsid w:val="00E119DB"/>
    <w:rsid w:val="00E119F9"/>
    <w:rsid w:val="00E119FC"/>
    <w:rsid w:val="00E11A23"/>
    <w:rsid w:val="00E11A38"/>
    <w:rsid w:val="00E11A93"/>
    <w:rsid w:val="00E11B01"/>
    <w:rsid w:val="00E11B27"/>
    <w:rsid w:val="00E11B2B"/>
    <w:rsid w:val="00E11B2C"/>
    <w:rsid w:val="00E11B30"/>
    <w:rsid w:val="00E11B5E"/>
    <w:rsid w:val="00E11B98"/>
    <w:rsid w:val="00E11BAA"/>
    <w:rsid w:val="00E11BC6"/>
    <w:rsid w:val="00E11BE0"/>
    <w:rsid w:val="00E11BF9"/>
    <w:rsid w:val="00E11C38"/>
    <w:rsid w:val="00E11CBB"/>
    <w:rsid w:val="00E11CDF"/>
    <w:rsid w:val="00E11D13"/>
    <w:rsid w:val="00E11D2B"/>
    <w:rsid w:val="00E11D32"/>
    <w:rsid w:val="00E11D3F"/>
    <w:rsid w:val="00E11D5C"/>
    <w:rsid w:val="00E11D5F"/>
    <w:rsid w:val="00E11DA1"/>
    <w:rsid w:val="00E11DE4"/>
    <w:rsid w:val="00E11E62"/>
    <w:rsid w:val="00E11E64"/>
    <w:rsid w:val="00E11E88"/>
    <w:rsid w:val="00E11EB0"/>
    <w:rsid w:val="00E11F2F"/>
    <w:rsid w:val="00E11F78"/>
    <w:rsid w:val="00E11F8A"/>
    <w:rsid w:val="00E11F91"/>
    <w:rsid w:val="00E11FDB"/>
    <w:rsid w:val="00E11FFC"/>
    <w:rsid w:val="00E1200F"/>
    <w:rsid w:val="00E12070"/>
    <w:rsid w:val="00E12095"/>
    <w:rsid w:val="00E12103"/>
    <w:rsid w:val="00E12126"/>
    <w:rsid w:val="00E1219E"/>
    <w:rsid w:val="00E121B7"/>
    <w:rsid w:val="00E121E0"/>
    <w:rsid w:val="00E121F2"/>
    <w:rsid w:val="00E121FF"/>
    <w:rsid w:val="00E12211"/>
    <w:rsid w:val="00E12227"/>
    <w:rsid w:val="00E122AA"/>
    <w:rsid w:val="00E122AF"/>
    <w:rsid w:val="00E122F0"/>
    <w:rsid w:val="00E123A7"/>
    <w:rsid w:val="00E123AA"/>
    <w:rsid w:val="00E123B0"/>
    <w:rsid w:val="00E123B5"/>
    <w:rsid w:val="00E12560"/>
    <w:rsid w:val="00E12596"/>
    <w:rsid w:val="00E125BB"/>
    <w:rsid w:val="00E125DF"/>
    <w:rsid w:val="00E125EF"/>
    <w:rsid w:val="00E125F5"/>
    <w:rsid w:val="00E12621"/>
    <w:rsid w:val="00E12646"/>
    <w:rsid w:val="00E12726"/>
    <w:rsid w:val="00E12736"/>
    <w:rsid w:val="00E1278C"/>
    <w:rsid w:val="00E127A0"/>
    <w:rsid w:val="00E127A9"/>
    <w:rsid w:val="00E127BB"/>
    <w:rsid w:val="00E127DB"/>
    <w:rsid w:val="00E127E8"/>
    <w:rsid w:val="00E127E9"/>
    <w:rsid w:val="00E12828"/>
    <w:rsid w:val="00E12858"/>
    <w:rsid w:val="00E1285E"/>
    <w:rsid w:val="00E12866"/>
    <w:rsid w:val="00E12943"/>
    <w:rsid w:val="00E129BD"/>
    <w:rsid w:val="00E129FB"/>
    <w:rsid w:val="00E12A0C"/>
    <w:rsid w:val="00E12A1C"/>
    <w:rsid w:val="00E12A93"/>
    <w:rsid w:val="00E12A99"/>
    <w:rsid w:val="00E12AD8"/>
    <w:rsid w:val="00E12B7B"/>
    <w:rsid w:val="00E12B9D"/>
    <w:rsid w:val="00E12C4D"/>
    <w:rsid w:val="00E12C96"/>
    <w:rsid w:val="00E12CC8"/>
    <w:rsid w:val="00E12CEF"/>
    <w:rsid w:val="00E12D3F"/>
    <w:rsid w:val="00E12D99"/>
    <w:rsid w:val="00E12DB7"/>
    <w:rsid w:val="00E12E7F"/>
    <w:rsid w:val="00E12EB4"/>
    <w:rsid w:val="00E12EE5"/>
    <w:rsid w:val="00E12F1E"/>
    <w:rsid w:val="00E12F47"/>
    <w:rsid w:val="00E12F76"/>
    <w:rsid w:val="00E12FB8"/>
    <w:rsid w:val="00E13008"/>
    <w:rsid w:val="00E130DC"/>
    <w:rsid w:val="00E13105"/>
    <w:rsid w:val="00E1318D"/>
    <w:rsid w:val="00E131AB"/>
    <w:rsid w:val="00E131C7"/>
    <w:rsid w:val="00E131C9"/>
    <w:rsid w:val="00E131E0"/>
    <w:rsid w:val="00E131E7"/>
    <w:rsid w:val="00E13200"/>
    <w:rsid w:val="00E1324B"/>
    <w:rsid w:val="00E132A7"/>
    <w:rsid w:val="00E132E4"/>
    <w:rsid w:val="00E1332B"/>
    <w:rsid w:val="00E13332"/>
    <w:rsid w:val="00E13339"/>
    <w:rsid w:val="00E133B5"/>
    <w:rsid w:val="00E133B7"/>
    <w:rsid w:val="00E133C4"/>
    <w:rsid w:val="00E133CE"/>
    <w:rsid w:val="00E1341D"/>
    <w:rsid w:val="00E13473"/>
    <w:rsid w:val="00E134C6"/>
    <w:rsid w:val="00E134CD"/>
    <w:rsid w:val="00E134D1"/>
    <w:rsid w:val="00E1352E"/>
    <w:rsid w:val="00E13530"/>
    <w:rsid w:val="00E13548"/>
    <w:rsid w:val="00E1354D"/>
    <w:rsid w:val="00E13555"/>
    <w:rsid w:val="00E1358E"/>
    <w:rsid w:val="00E135B7"/>
    <w:rsid w:val="00E135C6"/>
    <w:rsid w:val="00E135E4"/>
    <w:rsid w:val="00E136AC"/>
    <w:rsid w:val="00E136BE"/>
    <w:rsid w:val="00E136E8"/>
    <w:rsid w:val="00E1372E"/>
    <w:rsid w:val="00E137D0"/>
    <w:rsid w:val="00E137D3"/>
    <w:rsid w:val="00E137E2"/>
    <w:rsid w:val="00E137FA"/>
    <w:rsid w:val="00E13838"/>
    <w:rsid w:val="00E1386B"/>
    <w:rsid w:val="00E138C0"/>
    <w:rsid w:val="00E138E3"/>
    <w:rsid w:val="00E138EC"/>
    <w:rsid w:val="00E1394A"/>
    <w:rsid w:val="00E13953"/>
    <w:rsid w:val="00E13965"/>
    <w:rsid w:val="00E13966"/>
    <w:rsid w:val="00E13A1A"/>
    <w:rsid w:val="00E13A2A"/>
    <w:rsid w:val="00E13A3E"/>
    <w:rsid w:val="00E13A7D"/>
    <w:rsid w:val="00E13ACB"/>
    <w:rsid w:val="00E13AE1"/>
    <w:rsid w:val="00E13B65"/>
    <w:rsid w:val="00E13BEC"/>
    <w:rsid w:val="00E13C18"/>
    <w:rsid w:val="00E13C1F"/>
    <w:rsid w:val="00E13C99"/>
    <w:rsid w:val="00E13CB9"/>
    <w:rsid w:val="00E13CC4"/>
    <w:rsid w:val="00E13CF8"/>
    <w:rsid w:val="00E13D17"/>
    <w:rsid w:val="00E13D50"/>
    <w:rsid w:val="00E13E04"/>
    <w:rsid w:val="00E13E60"/>
    <w:rsid w:val="00E13E96"/>
    <w:rsid w:val="00E13EAC"/>
    <w:rsid w:val="00E13EEB"/>
    <w:rsid w:val="00E13F17"/>
    <w:rsid w:val="00E13FA4"/>
    <w:rsid w:val="00E13FB1"/>
    <w:rsid w:val="00E13FDF"/>
    <w:rsid w:val="00E14057"/>
    <w:rsid w:val="00E14061"/>
    <w:rsid w:val="00E1407B"/>
    <w:rsid w:val="00E140C6"/>
    <w:rsid w:val="00E140FE"/>
    <w:rsid w:val="00E14133"/>
    <w:rsid w:val="00E141A3"/>
    <w:rsid w:val="00E141B4"/>
    <w:rsid w:val="00E14249"/>
    <w:rsid w:val="00E1426A"/>
    <w:rsid w:val="00E1426D"/>
    <w:rsid w:val="00E142AD"/>
    <w:rsid w:val="00E142AE"/>
    <w:rsid w:val="00E142BD"/>
    <w:rsid w:val="00E14300"/>
    <w:rsid w:val="00E1436E"/>
    <w:rsid w:val="00E143C4"/>
    <w:rsid w:val="00E14402"/>
    <w:rsid w:val="00E14404"/>
    <w:rsid w:val="00E14405"/>
    <w:rsid w:val="00E1442C"/>
    <w:rsid w:val="00E144C6"/>
    <w:rsid w:val="00E14508"/>
    <w:rsid w:val="00E14526"/>
    <w:rsid w:val="00E14590"/>
    <w:rsid w:val="00E145A8"/>
    <w:rsid w:val="00E145AF"/>
    <w:rsid w:val="00E145B0"/>
    <w:rsid w:val="00E145F8"/>
    <w:rsid w:val="00E1462B"/>
    <w:rsid w:val="00E1468E"/>
    <w:rsid w:val="00E14696"/>
    <w:rsid w:val="00E146B8"/>
    <w:rsid w:val="00E146EB"/>
    <w:rsid w:val="00E14713"/>
    <w:rsid w:val="00E14755"/>
    <w:rsid w:val="00E1478B"/>
    <w:rsid w:val="00E1486D"/>
    <w:rsid w:val="00E1487D"/>
    <w:rsid w:val="00E148BA"/>
    <w:rsid w:val="00E14907"/>
    <w:rsid w:val="00E14912"/>
    <w:rsid w:val="00E14943"/>
    <w:rsid w:val="00E149A2"/>
    <w:rsid w:val="00E149A9"/>
    <w:rsid w:val="00E14AD0"/>
    <w:rsid w:val="00E14BB8"/>
    <w:rsid w:val="00E14BC4"/>
    <w:rsid w:val="00E14BDC"/>
    <w:rsid w:val="00E14C5B"/>
    <w:rsid w:val="00E14C74"/>
    <w:rsid w:val="00E14C7A"/>
    <w:rsid w:val="00E14CB8"/>
    <w:rsid w:val="00E14CF5"/>
    <w:rsid w:val="00E14D34"/>
    <w:rsid w:val="00E14D3A"/>
    <w:rsid w:val="00E14D42"/>
    <w:rsid w:val="00E14DD3"/>
    <w:rsid w:val="00E14DD5"/>
    <w:rsid w:val="00E14DF9"/>
    <w:rsid w:val="00E14E48"/>
    <w:rsid w:val="00E14E6C"/>
    <w:rsid w:val="00E14E72"/>
    <w:rsid w:val="00E14E94"/>
    <w:rsid w:val="00E14EFB"/>
    <w:rsid w:val="00E14F09"/>
    <w:rsid w:val="00E14F0F"/>
    <w:rsid w:val="00E14FBC"/>
    <w:rsid w:val="00E14FDC"/>
    <w:rsid w:val="00E1502B"/>
    <w:rsid w:val="00E15088"/>
    <w:rsid w:val="00E15091"/>
    <w:rsid w:val="00E151A9"/>
    <w:rsid w:val="00E1520E"/>
    <w:rsid w:val="00E1524B"/>
    <w:rsid w:val="00E15300"/>
    <w:rsid w:val="00E1536A"/>
    <w:rsid w:val="00E15384"/>
    <w:rsid w:val="00E15393"/>
    <w:rsid w:val="00E15405"/>
    <w:rsid w:val="00E15445"/>
    <w:rsid w:val="00E15453"/>
    <w:rsid w:val="00E15468"/>
    <w:rsid w:val="00E154A1"/>
    <w:rsid w:val="00E154BD"/>
    <w:rsid w:val="00E154CA"/>
    <w:rsid w:val="00E15501"/>
    <w:rsid w:val="00E1556F"/>
    <w:rsid w:val="00E15665"/>
    <w:rsid w:val="00E15707"/>
    <w:rsid w:val="00E1572C"/>
    <w:rsid w:val="00E1575D"/>
    <w:rsid w:val="00E15770"/>
    <w:rsid w:val="00E1579C"/>
    <w:rsid w:val="00E157B0"/>
    <w:rsid w:val="00E157DC"/>
    <w:rsid w:val="00E15832"/>
    <w:rsid w:val="00E15892"/>
    <w:rsid w:val="00E159C8"/>
    <w:rsid w:val="00E15A3B"/>
    <w:rsid w:val="00E15A58"/>
    <w:rsid w:val="00E15A8B"/>
    <w:rsid w:val="00E15A96"/>
    <w:rsid w:val="00E15A99"/>
    <w:rsid w:val="00E15AF2"/>
    <w:rsid w:val="00E15B38"/>
    <w:rsid w:val="00E15BE1"/>
    <w:rsid w:val="00E15BF9"/>
    <w:rsid w:val="00E15C61"/>
    <w:rsid w:val="00E15C7C"/>
    <w:rsid w:val="00E15CA7"/>
    <w:rsid w:val="00E15CB5"/>
    <w:rsid w:val="00E15CBC"/>
    <w:rsid w:val="00E15D0D"/>
    <w:rsid w:val="00E15D1D"/>
    <w:rsid w:val="00E15D32"/>
    <w:rsid w:val="00E15D44"/>
    <w:rsid w:val="00E15D96"/>
    <w:rsid w:val="00E15DFA"/>
    <w:rsid w:val="00E15E00"/>
    <w:rsid w:val="00E15E43"/>
    <w:rsid w:val="00E15E51"/>
    <w:rsid w:val="00E15E8B"/>
    <w:rsid w:val="00E15FBA"/>
    <w:rsid w:val="00E15FBE"/>
    <w:rsid w:val="00E15FC6"/>
    <w:rsid w:val="00E16048"/>
    <w:rsid w:val="00E16049"/>
    <w:rsid w:val="00E1606E"/>
    <w:rsid w:val="00E160A8"/>
    <w:rsid w:val="00E160F0"/>
    <w:rsid w:val="00E1615F"/>
    <w:rsid w:val="00E161A2"/>
    <w:rsid w:val="00E1621B"/>
    <w:rsid w:val="00E1628C"/>
    <w:rsid w:val="00E162D0"/>
    <w:rsid w:val="00E162D5"/>
    <w:rsid w:val="00E162EA"/>
    <w:rsid w:val="00E16321"/>
    <w:rsid w:val="00E16328"/>
    <w:rsid w:val="00E16332"/>
    <w:rsid w:val="00E16337"/>
    <w:rsid w:val="00E1634F"/>
    <w:rsid w:val="00E1639A"/>
    <w:rsid w:val="00E163EB"/>
    <w:rsid w:val="00E16410"/>
    <w:rsid w:val="00E1643F"/>
    <w:rsid w:val="00E16471"/>
    <w:rsid w:val="00E1647B"/>
    <w:rsid w:val="00E164BC"/>
    <w:rsid w:val="00E164E3"/>
    <w:rsid w:val="00E16508"/>
    <w:rsid w:val="00E1650E"/>
    <w:rsid w:val="00E16512"/>
    <w:rsid w:val="00E16531"/>
    <w:rsid w:val="00E16543"/>
    <w:rsid w:val="00E16589"/>
    <w:rsid w:val="00E165A1"/>
    <w:rsid w:val="00E165B1"/>
    <w:rsid w:val="00E165ED"/>
    <w:rsid w:val="00E16606"/>
    <w:rsid w:val="00E1660A"/>
    <w:rsid w:val="00E16636"/>
    <w:rsid w:val="00E16657"/>
    <w:rsid w:val="00E166A6"/>
    <w:rsid w:val="00E166A9"/>
    <w:rsid w:val="00E166B3"/>
    <w:rsid w:val="00E166C6"/>
    <w:rsid w:val="00E166DB"/>
    <w:rsid w:val="00E16764"/>
    <w:rsid w:val="00E16769"/>
    <w:rsid w:val="00E1678B"/>
    <w:rsid w:val="00E167B7"/>
    <w:rsid w:val="00E167BB"/>
    <w:rsid w:val="00E167E4"/>
    <w:rsid w:val="00E16833"/>
    <w:rsid w:val="00E16886"/>
    <w:rsid w:val="00E168AA"/>
    <w:rsid w:val="00E168E3"/>
    <w:rsid w:val="00E1693F"/>
    <w:rsid w:val="00E1694A"/>
    <w:rsid w:val="00E16985"/>
    <w:rsid w:val="00E16994"/>
    <w:rsid w:val="00E169AC"/>
    <w:rsid w:val="00E169BF"/>
    <w:rsid w:val="00E169E4"/>
    <w:rsid w:val="00E169E6"/>
    <w:rsid w:val="00E169EA"/>
    <w:rsid w:val="00E16A18"/>
    <w:rsid w:val="00E16A28"/>
    <w:rsid w:val="00E16A60"/>
    <w:rsid w:val="00E16A95"/>
    <w:rsid w:val="00E16A97"/>
    <w:rsid w:val="00E16B16"/>
    <w:rsid w:val="00E16B61"/>
    <w:rsid w:val="00E16B88"/>
    <w:rsid w:val="00E16C21"/>
    <w:rsid w:val="00E16C2E"/>
    <w:rsid w:val="00E16C4F"/>
    <w:rsid w:val="00E16C64"/>
    <w:rsid w:val="00E16C6E"/>
    <w:rsid w:val="00E16C92"/>
    <w:rsid w:val="00E16D12"/>
    <w:rsid w:val="00E16D14"/>
    <w:rsid w:val="00E16D87"/>
    <w:rsid w:val="00E16E09"/>
    <w:rsid w:val="00E16E9B"/>
    <w:rsid w:val="00E16EC9"/>
    <w:rsid w:val="00E16F6B"/>
    <w:rsid w:val="00E16F8B"/>
    <w:rsid w:val="00E16F9F"/>
    <w:rsid w:val="00E16FA5"/>
    <w:rsid w:val="00E16FC9"/>
    <w:rsid w:val="00E16FE3"/>
    <w:rsid w:val="00E17011"/>
    <w:rsid w:val="00E17049"/>
    <w:rsid w:val="00E17052"/>
    <w:rsid w:val="00E17076"/>
    <w:rsid w:val="00E170BD"/>
    <w:rsid w:val="00E170C2"/>
    <w:rsid w:val="00E170E6"/>
    <w:rsid w:val="00E1710C"/>
    <w:rsid w:val="00E17266"/>
    <w:rsid w:val="00E17270"/>
    <w:rsid w:val="00E172EA"/>
    <w:rsid w:val="00E172FD"/>
    <w:rsid w:val="00E17363"/>
    <w:rsid w:val="00E173DE"/>
    <w:rsid w:val="00E173E8"/>
    <w:rsid w:val="00E1743E"/>
    <w:rsid w:val="00E174C1"/>
    <w:rsid w:val="00E17503"/>
    <w:rsid w:val="00E1756F"/>
    <w:rsid w:val="00E1757C"/>
    <w:rsid w:val="00E17651"/>
    <w:rsid w:val="00E1766B"/>
    <w:rsid w:val="00E17692"/>
    <w:rsid w:val="00E176A8"/>
    <w:rsid w:val="00E1771A"/>
    <w:rsid w:val="00E1774A"/>
    <w:rsid w:val="00E17776"/>
    <w:rsid w:val="00E177CB"/>
    <w:rsid w:val="00E177D1"/>
    <w:rsid w:val="00E1780C"/>
    <w:rsid w:val="00E17824"/>
    <w:rsid w:val="00E1784E"/>
    <w:rsid w:val="00E17860"/>
    <w:rsid w:val="00E17872"/>
    <w:rsid w:val="00E1787B"/>
    <w:rsid w:val="00E17885"/>
    <w:rsid w:val="00E17886"/>
    <w:rsid w:val="00E178D3"/>
    <w:rsid w:val="00E1793E"/>
    <w:rsid w:val="00E17999"/>
    <w:rsid w:val="00E179A1"/>
    <w:rsid w:val="00E179B7"/>
    <w:rsid w:val="00E17A4C"/>
    <w:rsid w:val="00E17ACF"/>
    <w:rsid w:val="00E17AE6"/>
    <w:rsid w:val="00E17B57"/>
    <w:rsid w:val="00E17BB5"/>
    <w:rsid w:val="00E17C3A"/>
    <w:rsid w:val="00E17C49"/>
    <w:rsid w:val="00E17C5D"/>
    <w:rsid w:val="00E17CB5"/>
    <w:rsid w:val="00E17D4E"/>
    <w:rsid w:val="00E17D63"/>
    <w:rsid w:val="00E17D7F"/>
    <w:rsid w:val="00E17E14"/>
    <w:rsid w:val="00E17E21"/>
    <w:rsid w:val="00E17E59"/>
    <w:rsid w:val="00E17EE2"/>
    <w:rsid w:val="00E17EFA"/>
    <w:rsid w:val="00E17F00"/>
    <w:rsid w:val="00E17F2E"/>
    <w:rsid w:val="00E17F8B"/>
    <w:rsid w:val="00E17FD6"/>
    <w:rsid w:val="00E17FFB"/>
    <w:rsid w:val="00E17FFE"/>
    <w:rsid w:val="00E1E507"/>
    <w:rsid w:val="00E20006"/>
    <w:rsid w:val="00E20011"/>
    <w:rsid w:val="00E20018"/>
    <w:rsid w:val="00E2003C"/>
    <w:rsid w:val="00E20098"/>
    <w:rsid w:val="00E200CD"/>
    <w:rsid w:val="00E20137"/>
    <w:rsid w:val="00E20194"/>
    <w:rsid w:val="00E20197"/>
    <w:rsid w:val="00E2019A"/>
    <w:rsid w:val="00E201A6"/>
    <w:rsid w:val="00E2027E"/>
    <w:rsid w:val="00E20284"/>
    <w:rsid w:val="00E20338"/>
    <w:rsid w:val="00E203C1"/>
    <w:rsid w:val="00E2042E"/>
    <w:rsid w:val="00E2046A"/>
    <w:rsid w:val="00E20487"/>
    <w:rsid w:val="00E204B1"/>
    <w:rsid w:val="00E204EE"/>
    <w:rsid w:val="00E2050E"/>
    <w:rsid w:val="00E2057F"/>
    <w:rsid w:val="00E20582"/>
    <w:rsid w:val="00E20585"/>
    <w:rsid w:val="00E2058F"/>
    <w:rsid w:val="00E20643"/>
    <w:rsid w:val="00E2068B"/>
    <w:rsid w:val="00E206A3"/>
    <w:rsid w:val="00E206EA"/>
    <w:rsid w:val="00E206ED"/>
    <w:rsid w:val="00E206EF"/>
    <w:rsid w:val="00E20732"/>
    <w:rsid w:val="00E20741"/>
    <w:rsid w:val="00E2079C"/>
    <w:rsid w:val="00E2079D"/>
    <w:rsid w:val="00E207AF"/>
    <w:rsid w:val="00E207C7"/>
    <w:rsid w:val="00E207EF"/>
    <w:rsid w:val="00E207F8"/>
    <w:rsid w:val="00E2080A"/>
    <w:rsid w:val="00E2081A"/>
    <w:rsid w:val="00E20824"/>
    <w:rsid w:val="00E20847"/>
    <w:rsid w:val="00E208CE"/>
    <w:rsid w:val="00E208F4"/>
    <w:rsid w:val="00E2091A"/>
    <w:rsid w:val="00E20976"/>
    <w:rsid w:val="00E20979"/>
    <w:rsid w:val="00E2098B"/>
    <w:rsid w:val="00E209A7"/>
    <w:rsid w:val="00E20A6A"/>
    <w:rsid w:val="00E20A91"/>
    <w:rsid w:val="00E20A98"/>
    <w:rsid w:val="00E20AEF"/>
    <w:rsid w:val="00E20AF5"/>
    <w:rsid w:val="00E20AFE"/>
    <w:rsid w:val="00E20B9F"/>
    <w:rsid w:val="00E20BB0"/>
    <w:rsid w:val="00E20C02"/>
    <w:rsid w:val="00E20C29"/>
    <w:rsid w:val="00E20C50"/>
    <w:rsid w:val="00E20C56"/>
    <w:rsid w:val="00E20C7A"/>
    <w:rsid w:val="00E20CB5"/>
    <w:rsid w:val="00E20CB8"/>
    <w:rsid w:val="00E20CC2"/>
    <w:rsid w:val="00E20CF3"/>
    <w:rsid w:val="00E20D7C"/>
    <w:rsid w:val="00E20DD2"/>
    <w:rsid w:val="00E20E38"/>
    <w:rsid w:val="00E20E7A"/>
    <w:rsid w:val="00E20F2D"/>
    <w:rsid w:val="00E20F4E"/>
    <w:rsid w:val="00E20F8B"/>
    <w:rsid w:val="00E21005"/>
    <w:rsid w:val="00E21018"/>
    <w:rsid w:val="00E2102F"/>
    <w:rsid w:val="00E2103A"/>
    <w:rsid w:val="00E21048"/>
    <w:rsid w:val="00E210A7"/>
    <w:rsid w:val="00E210D4"/>
    <w:rsid w:val="00E210F6"/>
    <w:rsid w:val="00E21103"/>
    <w:rsid w:val="00E21130"/>
    <w:rsid w:val="00E21148"/>
    <w:rsid w:val="00E2115E"/>
    <w:rsid w:val="00E2119E"/>
    <w:rsid w:val="00E211E1"/>
    <w:rsid w:val="00E211F8"/>
    <w:rsid w:val="00E21206"/>
    <w:rsid w:val="00E21211"/>
    <w:rsid w:val="00E21233"/>
    <w:rsid w:val="00E21263"/>
    <w:rsid w:val="00E212C1"/>
    <w:rsid w:val="00E21311"/>
    <w:rsid w:val="00E2136E"/>
    <w:rsid w:val="00E2137A"/>
    <w:rsid w:val="00E21382"/>
    <w:rsid w:val="00E21397"/>
    <w:rsid w:val="00E213A6"/>
    <w:rsid w:val="00E213C0"/>
    <w:rsid w:val="00E213D2"/>
    <w:rsid w:val="00E213FF"/>
    <w:rsid w:val="00E2147F"/>
    <w:rsid w:val="00E214A4"/>
    <w:rsid w:val="00E214D0"/>
    <w:rsid w:val="00E214EF"/>
    <w:rsid w:val="00E21542"/>
    <w:rsid w:val="00E21550"/>
    <w:rsid w:val="00E2157E"/>
    <w:rsid w:val="00E21595"/>
    <w:rsid w:val="00E215B2"/>
    <w:rsid w:val="00E215FE"/>
    <w:rsid w:val="00E21647"/>
    <w:rsid w:val="00E21651"/>
    <w:rsid w:val="00E216AB"/>
    <w:rsid w:val="00E21753"/>
    <w:rsid w:val="00E21794"/>
    <w:rsid w:val="00E217A0"/>
    <w:rsid w:val="00E217A1"/>
    <w:rsid w:val="00E217B4"/>
    <w:rsid w:val="00E21803"/>
    <w:rsid w:val="00E2184F"/>
    <w:rsid w:val="00E21894"/>
    <w:rsid w:val="00E2199B"/>
    <w:rsid w:val="00E219A4"/>
    <w:rsid w:val="00E219CC"/>
    <w:rsid w:val="00E219E8"/>
    <w:rsid w:val="00E21A1F"/>
    <w:rsid w:val="00E21A20"/>
    <w:rsid w:val="00E21A25"/>
    <w:rsid w:val="00E21A74"/>
    <w:rsid w:val="00E21AB3"/>
    <w:rsid w:val="00E21B1B"/>
    <w:rsid w:val="00E21B63"/>
    <w:rsid w:val="00E21BB8"/>
    <w:rsid w:val="00E21BF3"/>
    <w:rsid w:val="00E21BF5"/>
    <w:rsid w:val="00E21C17"/>
    <w:rsid w:val="00E21C30"/>
    <w:rsid w:val="00E21C89"/>
    <w:rsid w:val="00E21D32"/>
    <w:rsid w:val="00E21D43"/>
    <w:rsid w:val="00E21DDA"/>
    <w:rsid w:val="00E21DF5"/>
    <w:rsid w:val="00E21E2C"/>
    <w:rsid w:val="00E21E71"/>
    <w:rsid w:val="00E21E79"/>
    <w:rsid w:val="00E21E7E"/>
    <w:rsid w:val="00E21E86"/>
    <w:rsid w:val="00E21EDF"/>
    <w:rsid w:val="00E21EEC"/>
    <w:rsid w:val="00E21F0E"/>
    <w:rsid w:val="00E21F1A"/>
    <w:rsid w:val="00E21F2B"/>
    <w:rsid w:val="00E21F5D"/>
    <w:rsid w:val="00E21F8A"/>
    <w:rsid w:val="00E21FAF"/>
    <w:rsid w:val="00E22024"/>
    <w:rsid w:val="00E2207B"/>
    <w:rsid w:val="00E220C6"/>
    <w:rsid w:val="00E22137"/>
    <w:rsid w:val="00E22176"/>
    <w:rsid w:val="00E22222"/>
    <w:rsid w:val="00E22243"/>
    <w:rsid w:val="00E22261"/>
    <w:rsid w:val="00E2227B"/>
    <w:rsid w:val="00E222E2"/>
    <w:rsid w:val="00E222F0"/>
    <w:rsid w:val="00E22308"/>
    <w:rsid w:val="00E2232C"/>
    <w:rsid w:val="00E2232E"/>
    <w:rsid w:val="00E22350"/>
    <w:rsid w:val="00E22363"/>
    <w:rsid w:val="00E22392"/>
    <w:rsid w:val="00E223AD"/>
    <w:rsid w:val="00E223C0"/>
    <w:rsid w:val="00E223D6"/>
    <w:rsid w:val="00E223E6"/>
    <w:rsid w:val="00E22426"/>
    <w:rsid w:val="00E2242C"/>
    <w:rsid w:val="00E22437"/>
    <w:rsid w:val="00E22450"/>
    <w:rsid w:val="00E2245E"/>
    <w:rsid w:val="00E22469"/>
    <w:rsid w:val="00E22471"/>
    <w:rsid w:val="00E22497"/>
    <w:rsid w:val="00E224ED"/>
    <w:rsid w:val="00E224F9"/>
    <w:rsid w:val="00E224FB"/>
    <w:rsid w:val="00E22553"/>
    <w:rsid w:val="00E225D8"/>
    <w:rsid w:val="00E225E1"/>
    <w:rsid w:val="00E22607"/>
    <w:rsid w:val="00E22627"/>
    <w:rsid w:val="00E22696"/>
    <w:rsid w:val="00E22767"/>
    <w:rsid w:val="00E22774"/>
    <w:rsid w:val="00E22775"/>
    <w:rsid w:val="00E227AC"/>
    <w:rsid w:val="00E2286B"/>
    <w:rsid w:val="00E22881"/>
    <w:rsid w:val="00E228AC"/>
    <w:rsid w:val="00E22A00"/>
    <w:rsid w:val="00E22A1C"/>
    <w:rsid w:val="00E22A28"/>
    <w:rsid w:val="00E22A8D"/>
    <w:rsid w:val="00E22AB0"/>
    <w:rsid w:val="00E22AD5"/>
    <w:rsid w:val="00E22B41"/>
    <w:rsid w:val="00E22B56"/>
    <w:rsid w:val="00E22BA9"/>
    <w:rsid w:val="00E22BBC"/>
    <w:rsid w:val="00E22BC4"/>
    <w:rsid w:val="00E22BFD"/>
    <w:rsid w:val="00E22C1A"/>
    <w:rsid w:val="00E22C76"/>
    <w:rsid w:val="00E22C88"/>
    <w:rsid w:val="00E22C91"/>
    <w:rsid w:val="00E22CA6"/>
    <w:rsid w:val="00E22CB1"/>
    <w:rsid w:val="00E22D4C"/>
    <w:rsid w:val="00E22D59"/>
    <w:rsid w:val="00E22D6E"/>
    <w:rsid w:val="00E22DCA"/>
    <w:rsid w:val="00E22E25"/>
    <w:rsid w:val="00E22E35"/>
    <w:rsid w:val="00E22E71"/>
    <w:rsid w:val="00E22EDD"/>
    <w:rsid w:val="00E22F71"/>
    <w:rsid w:val="00E22F7D"/>
    <w:rsid w:val="00E22F9C"/>
    <w:rsid w:val="00E22FA4"/>
    <w:rsid w:val="00E22FBA"/>
    <w:rsid w:val="00E22FBB"/>
    <w:rsid w:val="00E22FC7"/>
    <w:rsid w:val="00E2304A"/>
    <w:rsid w:val="00E2304F"/>
    <w:rsid w:val="00E230DE"/>
    <w:rsid w:val="00E23105"/>
    <w:rsid w:val="00E2315B"/>
    <w:rsid w:val="00E23177"/>
    <w:rsid w:val="00E23232"/>
    <w:rsid w:val="00E23276"/>
    <w:rsid w:val="00E23281"/>
    <w:rsid w:val="00E232BF"/>
    <w:rsid w:val="00E232E2"/>
    <w:rsid w:val="00E23391"/>
    <w:rsid w:val="00E2339B"/>
    <w:rsid w:val="00E233AF"/>
    <w:rsid w:val="00E233BA"/>
    <w:rsid w:val="00E233C1"/>
    <w:rsid w:val="00E233EE"/>
    <w:rsid w:val="00E23449"/>
    <w:rsid w:val="00E234B9"/>
    <w:rsid w:val="00E234DA"/>
    <w:rsid w:val="00E2354C"/>
    <w:rsid w:val="00E23687"/>
    <w:rsid w:val="00E236C1"/>
    <w:rsid w:val="00E236DF"/>
    <w:rsid w:val="00E23771"/>
    <w:rsid w:val="00E2378B"/>
    <w:rsid w:val="00E23849"/>
    <w:rsid w:val="00E238D1"/>
    <w:rsid w:val="00E238D5"/>
    <w:rsid w:val="00E2396E"/>
    <w:rsid w:val="00E23971"/>
    <w:rsid w:val="00E239DB"/>
    <w:rsid w:val="00E23A16"/>
    <w:rsid w:val="00E23A2E"/>
    <w:rsid w:val="00E23AF7"/>
    <w:rsid w:val="00E23AF8"/>
    <w:rsid w:val="00E23B1F"/>
    <w:rsid w:val="00E23B21"/>
    <w:rsid w:val="00E23B3D"/>
    <w:rsid w:val="00E23B4C"/>
    <w:rsid w:val="00E23B5C"/>
    <w:rsid w:val="00E23B64"/>
    <w:rsid w:val="00E23CE9"/>
    <w:rsid w:val="00E23D08"/>
    <w:rsid w:val="00E23DD2"/>
    <w:rsid w:val="00E23DE5"/>
    <w:rsid w:val="00E23E17"/>
    <w:rsid w:val="00E23E4D"/>
    <w:rsid w:val="00E23E7A"/>
    <w:rsid w:val="00E23EF1"/>
    <w:rsid w:val="00E23EFE"/>
    <w:rsid w:val="00E23F24"/>
    <w:rsid w:val="00E23F4E"/>
    <w:rsid w:val="00E23FC5"/>
    <w:rsid w:val="00E23FF0"/>
    <w:rsid w:val="00E24006"/>
    <w:rsid w:val="00E24063"/>
    <w:rsid w:val="00E24086"/>
    <w:rsid w:val="00E2408A"/>
    <w:rsid w:val="00E2409A"/>
    <w:rsid w:val="00E24117"/>
    <w:rsid w:val="00E2414B"/>
    <w:rsid w:val="00E241BE"/>
    <w:rsid w:val="00E241BF"/>
    <w:rsid w:val="00E241C3"/>
    <w:rsid w:val="00E24222"/>
    <w:rsid w:val="00E24275"/>
    <w:rsid w:val="00E2429C"/>
    <w:rsid w:val="00E242B9"/>
    <w:rsid w:val="00E24316"/>
    <w:rsid w:val="00E2433F"/>
    <w:rsid w:val="00E24356"/>
    <w:rsid w:val="00E24363"/>
    <w:rsid w:val="00E24392"/>
    <w:rsid w:val="00E243B8"/>
    <w:rsid w:val="00E243BD"/>
    <w:rsid w:val="00E2440A"/>
    <w:rsid w:val="00E24449"/>
    <w:rsid w:val="00E2444C"/>
    <w:rsid w:val="00E2446F"/>
    <w:rsid w:val="00E24485"/>
    <w:rsid w:val="00E244F4"/>
    <w:rsid w:val="00E24510"/>
    <w:rsid w:val="00E2452E"/>
    <w:rsid w:val="00E2458E"/>
    <w:rsid w:val="00E24594"/>
    <w:rsid w:val="00E245A9"/>
    <w:rsid w:val="00E245D2"/>
    <w:rsid w:val="00E24626"/>
    <w:rsid w:val="00E246A9"/>
    <w:rsid w:val="00E246DA"/>
    <w:rsid w:val="00E246EF"/>
    <w:rsid w:val="00E246F8"/>
    <w:rsid w:val="00E2472B"/>
    <w:rsid w:val="00E24734"/>
    <w:rsid w:val="00E24766"/>
    <w:rsid w:val="00E2478F"/>
    <w:rsid w:val="00E247D4"/>
    <w:rsid w:val="00E247E2"/>
    <w:rsid w:val="00E247EC"/>
    <w:rsid w:val="00E24826"/>
    <w:rsid w:val="00E24839"/>
    <w:rsid w:val="00E24840"/>
    <w:rsid w:val="00E24848"/>
    <w:rsid w:val="00E2489E"/>
    <w:rsid w:val="00E248E2"/>
    <w:rsid w:val="00E248F8"/>
    <w:rsid w:val="00E24904"/>
    <w:rsid w:val="00E24944"/>
    <w:rsid w:val="00E2494E"/>
    <w:rsid w:val="00E24989"/>
    <w:rsid w:val="00E249C1"/>
    <w:rsid w:val="00E24A2A"/>
    <w:rsid w:val="00E24A66"/>
    <w:rsid w:val="00E24A85"/>
    <w:rsid w:val="00E24AB8"/>
    <w:rsid w:val="00E24AE9"/>
    <w:rsid w:val="00E24AEC"/>
    <w:rsid w:val="00E24B29"/>
    <w:rsid w:val="00E24B3D"/>
    <w:rsid w:val="00E24B43"/>
    <w:rsid w:val="00E24BD4"/>
    <w:rsid w:val="00E24BE0"/>
    <w:rsid w:val="00E24BEB"/>
    <w:rsid w:val="00E24BF8"/>
    <w:rsid w:val="00E24C0B"/>
    <w:rsid w:val="00E24C2A"/>
    <w:rsid w:val="00E24C8D"/>
    <w:rsid w:val="00E24CB4"/>
    <w:rsid w:val="00E24CF8"/>
    <w:rsid w:val="00E24D06"/>
    <w:rsid w:val="00E24D0B"/>
    <w:rsid w:val="00E24D1B"/>
    <w:rsid w:val="00E24D26"/>
    <w:rsid w:val="00E24D71"/>
    <w:rsid w:val="00E24D97"/>
    <w:rsid w:val="00E24D99"/>
    <w:rsid w:val="00E24DEB"/>
    <w:rsid w:val="00E24E4A"/>
    <w:rsid w:val="00E24E51"/>
    <w:rsid w:val="00E24E56"/>
    <w:rsid w:val="00E24E5D"/>
    <w:rsid w:val="00E24E8C"/>
    <w:rsid w:val="00E24EB9"/>
    <w:rsid w:val="00E24EBB"/>
    <w:rsid w:val="00E24F0F"/>
    <w:rsid w:val="00E24F19"/>
    <w:rsid w:val="00E24FE3"/>
    <w:rsid w:val="00E24FF8"/>
    <w:rsid w:val="00E250AA"/>
    <w:rsid w:val="00E250E5"/>
    <w:rsid w:val="00E25118"/>
    <w:rsid w:val="00E25188"/>
    <w:rsid w:val="00E251E4"/>
    <w:rsid w:val="00E251EE"/>
    <w:rsid w:val="00E251F7"/>
    <w:rsid w:val="00E2520B"/>
    <w:rsid w:val="00E2520E"/>
    <w:rsid w:val="00E25227"/>
    <w:rsid w:val="00E25250"/>
    <w:rsid w:val="00E25257"/>
    <w:rsid w:val="00E252D9"/>
    <w:rsid w:val="00E2535E"/>
    <w:rsid w:val="00E2537F"/>
    <w:rsid w:val="00E253A5"/>
    <w:rsid w:val="00E253AB"/>
    <w:rsid w:val="00E253B8"/>
    <w:rsid w:val="00E253BE"/>
    <w:rsid w:val="00E253FE"/>
    <w:rsid w:val="00E25455"/>
    <w:rsid w:val="00E25458"/>
    <w:rsid w:val="00E25595"/>
    <w:rsid w:val="00E255B2"/>
    <w:rsid w:val="00E255BC"/>
    <w:rsid w:val="00E255D9"/>
    <w:rsid w:val="00E2563C"/>
    <w:rsid w:val="00E25681"/>
    <w:rsid w:val="00E2570D"/>
    <w:rsid w:val="00E25724"/>
    <w:rsid w:val="00E2577A"/>
    <w:rsid w:val="00E2578C"/>
    <w:rsid w:val="00E257E0"/>
    <w:rsid w:val="00E257EA"/>
    <w:rsid w:val="00E25811"/>
    <w:rsid w:val="00E25854"/>
    <w:rsid w:val="00E25876"/>
    <w:rsid w:val="00E25887"/>
    <w:rsid w:val="00E258A7"/>
    <w:rsid w:val="00E25935"/>
    <w:rsid w:val="00E259D1"/>
    <w:rsid w:val="00E25A6A"/>
    <w:rsid w:val="00E25AAB"/>
    <w:rsid w:val="00E25AAD"/>
    <w:rsid w:val="00E25ABC"/>
    <w:rsid w:val="00E25B07"/>
    <w:rsid w:val="00E25B2E"/>
    <w:rsid w:val="00E25B7A"/>
    <w:rsid w:val="00E25C09"/>
    <w:rsid w:val="00E25C1B"/>
    <w:rsid w:val="00E25C76"/>
    <w:rsid w:val="00E25C92"/>
    <w:rsid w:val="00E25CAA"/>
    <w:rsid w:val="00E25CEC"/>
    <w:rsid w:val="00E25CF9"/>
    <w:rsid w:val="00E25D0C"/>
    <w:rsid w:val="00E25D39"/>
    <w:rsid w:val="00E25D66"/>
    <w:rsid w:val="00E25D92"/>
    <w:rsid w:val="00E25DE7"/>
    <w:rsid w:val="00E25DF3"/>
    <w:rsid w:val="00E25E09"/>
    <w:rsid w:val="00E25E31"/>
    <w:rsid w:val="00E25E4C"/>
    <w:rsid w:val="00E25E66"/>
    <w:rsid w:val="00E25E7A"/>
    <w:rsid w:val="00E25E80"/>
    <w:rsid w:val="00E25EA0"/>
    <w:rsid w:val="00E25EB8"/>
    <w:rsid w:val="00E25EC2"/>
    <w:rsid w:val="00E25ECC"/>
    <w:rsid w:val="00E25F57"/>
    <w:rsid w:val="00E25F60"/>
    <w:rsid w:val="00E25FAB"/>
    <w:rsid w:val="00E25FF1"/>
    <w:rsid w:val="00E26007"/>
    <w:rsid w:val="00E26019"/>
    <w:rsid w:val="00E260D8"/>
    <w:rsid w:val="00E260E0"/>
    <w:rsid w:val="00E26119"/>
    <w:rsid w:val="00E261C5"/>
    <w:rsid w:val="00E26263"/>
    <w:rsid w:val="00E262DA"/>
    <w:rsid w:val="00E262E7"/>
    <w:rsid w:val="00E26321"/>
    <w:rsid w:val="00E26373"/>
    <w:rsid w:val="00E26399"/>
    <w:rsid w:val="00E2639B"/>
    <w:rsid w:val="00E2641A"/>
    <w:rsid w:val="00E26441"/>
    <w:rsid w:val="00E26456"/>
    <w:rsid w:val="00E2656A"/>
    <w:rsid w:val="00E26575"/>
    <w:rsid w:val="00E26576"/>
    <w:rsid w:val="00E26586"/>
    <w:rsid w:val="00E265D9"/>
    <w:rsid w:val="00E26649"/>
    <w:rsid w:val="00E26695"/>
    <w:rsid w:val="00E266C2"/>
    <w:rsid w:val="00E26725"/>
    <w:rsid w:val="00E26731"/>
    <w:rsid w:val="00E2674A"/>
    <w:rsid w:val="00E26755"/>
    <w:rsid w:val="00E2678C"/>
    <w:rsid w:val="00E267A1"/>
    <w:rsid w:val="00E267D6"/>
    <w:rsid w:val="00E26814"/>
    <w:rsid w:val="00E2683F"/>
    <w:rsid w:val="00E26846"/>
    <w:rsid w:val="00E268F9"/>
    <w:rsid w:val="00E26935"/>
    <w:rsid w:val="00E26950"/>
    <w:rsid w:val="00E269B2"/>
    <w:rsid w:val="00E269E5"/>
    <w:rsid w:val="00E26A1F"/>
    <w:rsid w:val="00E26AD1"/>
    <w:rsid w:val="00E26B43"/>
    <w:rsid w:val="00E26B73"/>
    <w:rsid w:val="00E26BDF"/>
    <w:rsid w:val="00E26C03"/>
    <w:rsid w:val="00E26C04"/>
    <w:rsid w:val="00E26C58"/>
    <w:rsid w:val="00E26C5F"/>
    <w:rsid w:val="00E26DDE"/>
    <w:rsid w:val="00E26DF0"/>
    <w:rsid w:val="00E26E05"/>
    <w:rsid w:val="00E26E9C"/>
    <w:rsid w:val="00E26EF4"/>
    <w:rsid w:val="00E26F1B"/>
    <w:rsid w:val="00E26F83"/>
    <w:rsid w:val="00E2704F"/>
    <w:rsid w:val="00E27050"/>
    <w:rsid w:val="00E2708A"/>
    <w:rsid w:val="00E270A7"/>
    <w:rsid w:val="00E270C0"/>
    <w:rsid w:val="00E270F6"/>
    <w:rsid w:val="00E27118"/>
    <w:rsid w:val="00E27122"/>
    <w:rsid w:val="00E27168"/>
    <w:rsid w:val="00E271A8"/>
    <w:rsid w:val="00E27245"/>
    <w:rsid w:val="00E27261"/>
    <w:rsid w:val="00E27299"/>
    <w:rsid w:val="00E2729B"/>
    <w:rsid w:val="00E272AB"/>
    <w:rsid w:val="00E272CA"/>
    <w:rsid w:val="00E272D1"/>
    <w:rsid w:val="00E27363"/>
    <w:rsid w:val="00E27372"/>
    <w:rsid w:val="00E273AB"/>
    <w:rsid w:val="00E27409"/>
    <w:rsid w:val="00E2751C"/>
    <w:rsid w:val="00E2756D"/>
    <w:rsid w:val="00E27578"/>
    <w:rsid w:val="00E275A6"/>
    <w:rsid w:val="00E275E9"/>
    <w:rsid w:val="00E27675"/>
    <w:rsid w:val="00E2768E"/>
    <w:rsid w:val="00E276AD"/>
    <w:rsid w:val="00E276B6"/>
    <w:rsid w:val="00E27726"/>
    <w:rsid w:val="00E2773D"/>
    <w:rsid w:val="00E2774B"/>
    <w:rsid w:val="00E27758"/>
    <w:rsid w:val="00E277A2"/>
    <w:rsid w:val="00E27800"/>
    <w:rsid w:val="00E27883"/>
    <w:rsid w:val="00E2788E"/>
    <w:rsid w:val="00E278A1"/>
    <w:rsid w:val="00E278F6"/>
    <w:rsid w:val="00E279F5"/>
    <w:rsid w:val="00E27A1D"/>
    <w:rsid w:val="00E27A1E"/>
    <w:rsid w:val="00E27A4A"/>
    <w:rsid w:val="00E27B1C"/>
    <w:rsid w:val="00E27B3F"/>
    <w:rsid w:val="00E27B6D"/>
    <w:rsid w:val="00E27B7D"/>
    <w:rsid w:val="00E27BA9"/>
    <w:rsid w:val="00E27BCC"/>
    <w:rsid w:val="00E27BD5"/>
    <w:rsid w:val="00E27C46"/>
    <w:rsid w:val="00E27C65"/>
    <w:rsid w:val="00E27CE3"/>
    <w:rsid w:val="00E27D96"/>
    <w:rsid w:val="00E27DCF"/>
    <w:rsid w:val="00E27DE1"/>
    <w:rsid w:val="00E27E1D"/>
    <w:rsid w:val="00E27E2F"/>
    <w:rsid w:val="00E27E39"/>
    <w:rsid w:val="00E27EEB"/>
    <w:rsid w:val="00E27F37"/>
    <w:rsid w:val="00E27F48"/>
    <w:rsid w:val="00E27FAF"/>
    <w:rsid w:val="00E27FCD"/>
    <w:rsid w:val="00E27FF2"/>
    <w:rsid w:val="00E27FF8"/>
    <w:rsid w:val="00E27FFA"/>
    <w:rsid w:val="00E28C75"/>
    <w:rsid w:val="00E30018"/>
    <w:rsid w:val="00E3001C"/>
    <w:rsid w:val="00E30036"/>
    <w:rsid w:val="00E3004F"/>
    <w:rsid w:val="00E3008F"/>
    <w:rsid w:val="00E300D5"/>
    <w:rsid w:val="00E30162"/>
    <w:rsid w:val="00E3018E"/>
    <w:rsid w:val="00E301D1"/>
    <w:rsid w:val="00E302F1"/>
    <w:rsid w:val="00E302FC"/>
    <w:rsid w:val="00E3038C"/>
    <w:rsid w:val="00E30395"/>
    <w:rsid w:val="00E3039B"/>
    <w:rsid w:val="00E303CC"/>
    <w:rsid w:val="00E30411"/>
    <w:rsid w:val="00E3048C"/>
    <w:rsid w:val="00E30542"/>
    <w:rsid w:val="00E30553"/>
    <w:rsid w:val="00E3055E"/>
    <w:rsid w:val="00E3057F"/>
    <w:rsid w:val="00E30634"/>
    <w:rsid w:val="00E30635"/>
    <w:rsid w:val="00E3066E"/>
    <w:rsid w:val="00E307D6"/>
    <w:rsid w:val="00E3080F"/>
    <w:rsid w:val="00E30853"/>
    <w:rsid w:val="00E30854"/>
    <w:rsid w:val="00E30881"/>
    <w:rsid w:val="00E30898"/>
    <w:rsid w:val="00E308C1"/>
    <w:rsid w:val="00E308EB"/>
    <w:rsid w:val="00E3098A"/>
    <w:rsid w:val="00E3098E"/>
    <w:rsid w:val="00E309B6"/>
    <w:rsid w:val="00E309EC"/>
    <w:rsid w:val="00E30A81"/>
    <w:rsid w:val="00E30A8C"/>
    <w:rsid w:val="00E30AE6"/>
    <w:rsid w:val="00E30AE7"/>
    <w:rsid w:val="00E30B21"/>
    <w:rsid w:val="00E30B7E"/>
    <w:rsid w:val="00E30B97"/>
    <w:rsid w:val="00E30C27"/>
    <w:rsid w:val="00E30CA6"/>
    <w:rsid w:val="00E30CB0"/>
    <w:rsid w:val="00E30CE6"/>
    <w:rsid w:val="00E30D1B"/>
    <w:rsid w:val="00E30D86"/>
    <w:rsid w:val="00E30D8C"/>
    <w:rsid w:val="00E30DA7"/>
    <w:rsid w:val="00E30DE3"/>
    <w:rsid w:val="00E30DE9"/>
    <w:rsid w:val="00E30E24"/>
    <w:rsid w:val="00E30E56"/>
    <w:rsid w:val="00E30E9B"/>
    <w:rsid w:val="00E30EA5"/>
    <w:rsid w:val="00E30EB6"/>
    <w:rsid w:val="00E30EDD"/>
    <w:rsid w:val="00E30F12"/>
    <w:rsid w:val="00E30FBA"/>
    <w:rsid w:val="00E30FE1"/>
    <w:rsid w:val="00E3100A"/>
    <w:rsid w:val="00E3100E"/>
    <w:rsid w:val="00E3105A"/>
    <w:rsid w:val="00E310AC"/>
    <w:rsid w:val="00E3112D"/>
    <w:rsid w:val="00E311AA"/>
    <w:rsid w:val="00E311B1"/>
    <w:rsid w:val="00E311B2"/>
    <w:rsid w:val="00E3127B"/>
    <w:rsid w:val="00E31368"/>
    <w:rsid w:val="00E3137E"/>
    <w:rsid w:val="00E31386"/>
    <w:rsid w:val="00E3139F"/>
    <w:rsid w:val="00E313B2"/>
    <w:rsid w:val="00E313B5"/>
    <w:rsid w:val="00E3149A"/>
    <w:rsid w:val="00E314A3"/>
    <w:rsid w:val="00E314A7"/>
    <w:rsid w:val="00E31523"/>
    <w:rsid w:val="00E315A6"/>
    <w:rsid w:val="00E315E5"/>
    <w:rsid w:val="00E315F5"/>
    <w:rsid w:val="00E31604"/>
    <w:rsid w:val="00E31620"/>
    <w:rsid w:val="00E31624"/>
    <w:rsid w:val="00E31627"/>
    <w:rsid w:val="00E31639"/>
    <w:rsid w:val="00E31677"/>
    <w:rsid w:val="00E3168E"/>
    <w:rsid w:val="00E316A7"/>
    <w:rsid w:val="00E316DA"/>
    <w:rsid w:val="00E31709"/>
    <w:rsid w:val="00E31808"/>
    <w:rsid w:val="00E3180E"/>
    <w:rsid w:val="00E3181C"/>
    <w:rsid w:val="00E3185A"/>
    <w:rsid w:val="00E31860"/>
    <w:rsid w:val="00E3187D"/>
    <w:rsid w:val="00E31888"/>
    <w:rsid w:val="00E3189F"/>
    <w:rsid w:val="00E318A2"/>
    <w:rsid w:val="00E318D8"/>
    <w:rsid w:val="00E3191B"/>
    <w:rsid w:val="00E31929"/>
    <w:rsid w:val="00E3199A"/>
    <w:rsid w:val="00E319B3"/>
    <w:rsid w:val="00E319E9"/>
    <w:rsid w:val="00E319EE"/>
    <w:rsid w:val="00E319F1"/>
    <w:rsid w:val="00E319F6"/>
    <w:rsid w:val="00E31A66"/>
    <w:rsid w:val="00E31AA3"/>
    <w:rsid w:val="00E31AAE"/>
    <w:rsid w:val="00E31B08"/>
    <w:rsid w:val="00E31B73"/>
    <w:rsid w:val="00E31B7D"/>
    <w:rsid w:val="00E31B8C"/>
    <w:rsid w:val="00E31B9D"/>
    <w:rsid w:val="00E31BB1"/>
    <w:rsid w:val="00E31BE8"/>
    <w:rsid w:val="00E31C30"/>
    <w:rsid w:val="00E31C86"/>
    <w:rsid w:val="00E31C9F"/>
    <w:rsid w:val="00E31CE7"/>
    <w:rsid w:val="00E31CEF"/>
    <w:rsid w:val="00E31CFD"/>
    <w:rsid w:val="00E31D0E"/>
    <w:rsid w:val="00E31D13"/>
    <w:rsid w:val="00E31D19"/>
    <w:rsid w:val="00E31D29"/>
    <w:rsid w:val="00E31D40"/>
    <w:rsid w:val="00E31E01"/>
    <w:rsid w:val="00E31E0A"/>
    <w:rsid w:val="00E31E9B"/>
    <w:rsid w:val="00E31EA3"/>
    <w:rsid w:val="00E31EC7"/>
    <w:rsid w:val="00E31F15"/>
    <w:rsid w:val="00E31F5D"/>
    <w:rsid w:val="00E31FAE"/>
    <w:rsid w:val="00E31FFA"/>
    <w:rsid w:val="00E32066"/>
    <w:rsid w:val="00E32079"/>
    <w:rsid w:val="00E320B8"/>
    <w:rsid w:val="00E320E7"/>
    <w:rsid w:val="00E32134"/>
    <w:rsid w:val="00E32149"/>
    <w:rsid w:val="00E32154"/>
    <w:rsid w:val="00E321B3"/>
    <w:rsid w:val="00E321C8"/>
    <w:rsid w:val="00E321F0"/>
    <w:rsid w:val="00E32223"/>
    <w:rsid w:val="00E32287"/>
    <w:rsid w:val="00E32292"/>
    <w:rsid w:val="00E32310"/>
    <w:rsid w:val="00E32323"/>
    <w:rsid w:val="00E323A0"/>
    <w:rsid w:val="00E323A2"/>
    <w:rsid w:val="00E323B3"/>
    <w:rsid w:val="00E323C4"/>
    <w:rsid w:val="00E323CF"/>
    <w:rsid w:val="00E323F8"/>
    <w:rsid w:val="00E32478"/>
    <w:rsid w:val="00E324AB"/>
    <w:rsid w:val="00E324EE"/>
    <w:rsid w:val="00E32502"/>
    <w:rsid w:val="00E325B6"/>
    <w:rsid w:val="00E32627"/>
    <w:rsid w:val="00E32660"/>
    <w:rsid w:val="00E32672"/>
    <w:rsid w:val="00E32678"/>
    <w:rsid w:val="00E3269D"/>
    <w:rsid w:val="00E326AB"/>
    <w:rsid w:val="00E32785"/>
    <w:rsid w:val="00E3283B"/>
    <w:rsid w:val="00E3286D"/>
    <w:rsid w:val="00E32875"/>
    <w:rsid w:val="00E3287F"/>
    <w:rsid w:val="00E32885"/>
    <w:rsid w:val="00E328E4"/>
    <w:rsid w:val="00E32907"/>
    <w:rsid w:val="00E32923"/>
    <w:rsid w:val="00E32957"/>
    <w:rsid w:val="00E3296C"/>
    <w:rsid w:val="00E32972"/>
    <w:rsid w:val="00E32974"/>
    <w:rsid w:val="00E329AA"/>
    <w:rsid w:val="00E329C7"/>
    <w:rsid w:val="00E32A34"/>
    <w:rsid w:val="00E32B4F"/>
    <w:rsid w:val="00E32BDC"/>
    <w:rsid w:val="00E32C52"/>
    <w:rsid w:val="00E32C68"/>
    <w:rsid w:val="00E32CB3"/>
    <w:rsid w:val="00E32CBC"/>
    <w:rsid w:val="00E32CD4"/>
    <w:rsid w:val="00E32D02"/>
    <w:rsid w:val="00E32D27"/>
    <w:rsid w:val="00E32D38"/>
    <w:rsid w:val="00E32D82"/>
    <w:rsid w:val="00E32DEC"/>
    <w:rsid w:val="00E32E2F"/>
    <w:rsid w:val="00E32E38"/>
    <w:rsid w:val="00E32E89"/>
    <w:rsid w:val="00E32E9E"/>
    <w:rsid w:val="00E32EAA"/>
    <w:rsid w:val="00E32F43"/>
    <w:rsid w:val="00E32F82"/>
    <w:rsid w:val="00E33019"/>
    <w:rsid w:val="00E33033"/>
    <w:rsid w:val="00E3303F"/>
    <w:rsid w:val="00E33088"/>
    <w:rsid w:val="00E330A2"/>
    <w:rsid w:val="00E330BE"/>
    <w:rsid w:val="00E33148"/>
    <w:rsid w:val="00E33161"/>
    <w:rsid w:val="00E331C4"/>
    <w:rsid w:val="00E331C6"/>
    <w:rsid w:val="00E33209"/>
    <w:rsid w:val="00E33224"/>
    <w:rsid w:val="00E3323C"/>
    <w:rsid w:val="00E3327F"/>
    <w:rsid w:val="00E33284"/>
    <w:rsid w:val="00E332CC"/>
    <w:rsid w:val="00E33306"/>
    <w:rsid w:val="00E33327"/>
    <w:rsid w:val="00E33339"/>
    <w:rsid w:val="00E3333C"/>
    <w:rsid w:val="00E3336D"/>
    <w:rsid w:val="00E3338E"/>
    <w:rsid w:val="00E333D9"/>
    <w:rsid w:val="00E33426"/>
    <w:rsid w:val="00E3342E"/>
    <w:rsid w:val="00E3349C"/>
    <w:rsid w:val="00E334D2"/>
    <w:rsid w:val="00E33535"/>
    <w:rsid w:val="00E33580"/>
    <w:rsid w:val="00E335D3"/>
    <w:rsid w:val="00E335EE"/>
    <w:rsid w:val="00E33601"/>
    <w:rsid w:val="00E3360B"/>
    <w:rsid w:val="00E3364A"/>
    <w:rsid w:val="00E3366F"/>
    <w:rsid w:val="00E33689"/>
    <w:rsid w:val="00E336B5"/>
    <w:rsid w:val="00E336D2"/>
    <w:rsid w:val="00E336D8"/>
    <w:rsid w:val="00E33711"/>
    <w:rsid w:val="00E33718"/>
    <w:rsid w:val="00E33741"/>
    <w:rsid w:val="00E33826"/>
    <w:rsid w:val="00E33840"/>
    <w:rsid w:val="00E338DD"/>
    <w:rsid w:val="00E33938"/>
    <w:rsid w:val="00E339E3"/>
    <w:rsid w:val="00E33A66"/>
    <w:rsid w:val="00E33A99"/>
    <w:rsid w:val="00E33AB0"/>
    <w:rsid w:val="00E33B0F"/>
    <w:rsid w:val="00E33B26"/>
    <w:rsid w:val="00E33B8F"/>
    <w:rsid w:val="00E33BAB"/>
    <w:rsid w:val="00E33C4A"/>
    <w:rsid w:val="00E33CD0"/>
    <w:rsid w:val="00E33CF0"/>
    <w:rsid w:val="00E33D22"/>
    <w:rsid w:val="00E33D9F"/>
    <w:rsid w:val="00E33DF9"/>
    <w:rsid w:val="00E33E28"/>
    <w:rsid w:val="00E33E41"/>
    <w:rsid w:val="00E33E4C"/>
    <w:rsid w:val="00E33E5A"/>
    <w:rsid w:val="00E33EAE"/>
    <w:rsid w:val="00E33EB5"/>
    <w:rsid w:val="00E33ECC"/>
    <w:rsid w:val="00E33F17"/>
    <w:rsid w:val="00E33F6B"/>
    <w:rsid w:val="00E33FD9"/>
    <w:rsid w:val="00E33FE5"/>
    <w:rsid w:val="00E33FEA"/>
    <w:rsid w:val="00E33FF0"/>
    <w:rsid w:val="00E34011"/>
    <w:rsid w:val="00E34057"/>
    <w:rsid w:val="00E34097"/>
    <w:rsid w:val="00E340A1"/>
    <w:rsid w:val="00E340BE"/>
    <w:rsid w:val="00E340C1"/>
    <w:rsid w:val="00E340C6"/>
    <w:rsid w:val="00E34103"/>
    <w:rsid w:val="00E34188"/>
    <w:rsid w:val="00E341F4"/>
    <w:rsid w:val="00E342C8"/>
    <w:rsid w:val="00E342F1"/>
    <w:rsid w:val="00E3430D"/>
    <w:rsid w:val="00E34314"/>
    <w:rsid w:val="00E343A3"/>
    <w:rsid w:val="00E343EE"/>
    <w:rsid w:val="00E34486"/>
    <w:rsid w:val="00E3448C"/>
    <w:rsid w:val="00E344B9"/>
    <w:rsid w:val="00E3450F"/>
    <w:rsid w:val="00E3451A"/>
    <w:rsid w:val="00E3452B"/>
    <w:rsid w:val="00E3454A"/>
    <w:rsid w:val="00E34552"/>
    <w:rsid w:val="00E34566"/>
    <w:rsid w:val="00E34577"/>
    <w:rsid w:val="00E345B5"/>
    <w:rsid w:val="00E345E1"/>
    <w:rsid w:val="00E34636"/>
    <w:rsid w:val="00E34668"/>
    <w:rsid w:val="00E346C2"/>
    <w:rsid w:val="00E346F1"/>
    <w:rsid w:val="00E3472C"/>
    <w:rsid w:val="00E3474B"/>
    <w:rsid w:val="00E34779"/>
    <w:rsid w:val="00E347DF"/>
    <w:rsid w:val="00E34805"/>
    <w:rsid w:val="00E3482F"/>
    <w:rsid w:val="00E348A0"/>
    <w:rsid w:val="00E348DB"/>
    <w:rsid w:val="00E348FD"/>
    <w:rsid w:val="00E348FE"/>
    <w:rsid w:val="00E3491F"/>
    <w:rsid w:val="00E3495B"/>
    <w:rsid w:val="00E3496E"/>
    <w:rsid w:val="00E34A7A"/>
    <w:rsid w:val="00E34AD5"/>
    <w:rsid w:val="00E34AEB"/>
    <w:rsid w:val="00E34B22"/>
    <w:rsid w:val="00E34B45"/>
    <w:rsid w:val="00E34B6D"/>
    <w:rsid w:val="00E34BB2"/>
    <w:rsid w:val="00E34BC3"/>
    <w:rsid w:val="00E34BCA"/>
    <w:rsid w:val="00E34C47"/>
    <w:rsid w:val="00E34CDC"/>
    <w:rsid w:val="00E34CE0"/>
    <w:rsid w:val="00E34D10"/>
    <w:rsid w:val="00E34D13"/>
    <w:rsid w:val="00E34D82"/>
    <w:rsid w:val="00E34DA6"/>
    <w:rsid w:val="00E34DDE"/>
    <w:rsid w:val="00E34DF5"/>
    <w:rsid w:val="00E34E01"/>
    <w:rsid w:val="00E34E9A"/>
    <w:rsid w:val="00E34EC8"/>
    <w:rsid w:val="00E34EDD"/>
    <w:rsid w:val="00E34F94"/>
    <w:rsid w:val="00E34FA7"/>
    <w:rsid w:val="00E3507C"/>
    <w:rsid w:val="00E35096"/>
    <w:rsid w:val="00E350FE"/>
    <w:rsid w:val="00E35144"/>
    <w:rsid w:val="00E3515E"/>
    <w:rsid w:val="00E35177"/>
    <w:rsid w:val="00E35187"/>
    <w:rsid w:val="00E35197"/>
    <w:rsid w:val="00E351DC"/>
    <w:rsid w:val="00E35211"/>
    <w:rsid w:val="00E3524B"/>
    <w:rsid w:val="00E35276"/>
    <w:rsid w:val="00E3527F"/>
    <w:rsid w:val="00E35286"/>
    <w:rsid w:val="00E3528D"/>
    <w:rsid w:val="00E352E8"/>
    <w:rsid w:val="00E3534A"/>
    <w:rsid w:val="00E35351"/>
    <w:rsid w:val="00E35372"/>
    <w:rsid w:val="00E353A4"/>
    <w:rsid w:val="00E353A7"/>
    <w:rsid w:val="00E353D9"/>
    <w:rsid w:val="00E35400"/>
    <w:rsid w:val="00E3541B"/>
    <w:rsid w:val="00E35425"/>
    <w:rsid w:val="00E35426"/>
    <w:rsid w:val="00E35479"/>
    <w:rsid w:val="00E35483"/>
    <w:rsid w:val="00E354B9"/>
    <w:rsid w:val="00E354FD"/>
    <w:rsid w:val="00E354FF"/>
    <w:rsid w:val="00E3550B"/>
    <w:rsid w:val="00E3551A"/>
    <w:rsid w:val="00E35522"/>
    <w:rsid w:val="00E3552A"/>
    <w:rsid w:val="00E35540"/>
    <w:rsid w:val="00E355BC"/>
    <w:rsid w:val="00E355F3"/>
    <w:rsid w:val="00E35602"/>
    <w:rsid w:val="00E35646"/>
    <w:rsid w:val="00E3566D"/>
    <w:rsid w:val="00E356B3"/>
    <w:rsid w:val="00E356C0"/>
    <w:rsid w:val="00E35757"/>
    <w:rsid w:val="00E3577E"/>
    <w:rsid w:val="00E357A8"/>
    <w:rsid w:val="00E357E0"/>
    <w:rsid w:val="00E357FE"/>
    <w:rsid w:val="00E35810"/>
    <w:rsid w:val="00E358F2"/>
    <w:rsid w:val="00E358FA"/>
    <w:rsid w:val="00E3591F"/>
    <w:rsid w:val="00E35920"/>
    <w:rsid w:val="00E3595D"/>
    <w:rsid w:val="00E35966"/>
    <w:rsid w:val="00E359E0"/>
    <w:rsid w:val="00E35A08"/>
    <w:rsid w:val="00E35A11"/>
    <w:rsid w:val="00E35A44"/>
    <w:rsid w:val="00E35A69"/>
    <w:rsid w:val="00E35AF3"/>
    <w:rsid w:val="00E35B17"/>
    <w:rsid w:val="00E35B5C"/>
    <w:rsid w:val="00E35BA4"/>
    <w:rsid w:val="00E35BBD"/>
    <w:rsid w:val="00E35BE3"/>
    <w:rsid w:val="00E35C3C"/>
    <w:rsid w:val="00E35C49"/>
    <w:rsid w:val="00E35C72"/>
    <w:rsid w:val="00E35C86"/>
    <w:rsid w:val="00E35D22"/>
    <w:rsid w:val="00E35D9D"/>
    <w:rsid w:val="00E35DFD"/>
    <w:rsid w:val="00E35E09"/>
    <w:rsid w:val="00E35E5C"/>
    <w:rsid w:val="00E35E6F"/>
    <w:rsid w:val="00E35E90"/>
    <w:rsid w:val="00E35F11"/>
    <w:rsid w:val="00E35F50"/>
    <w:rsid w:val="00E35FBE"/>
    <w:rsid w:val="00E35FBF"/>
    <w:rsid w:val="00E35FF2"/>
    <w:rsid w:val="00E360B5"/>
    <w:rsid w:val="00E360C6"/>
    <w:rsid w:val="00E360E9"/>
    <w:rsid w:val="00E360EE"/>
    <w:rsid w:val="00E3610E"/>
    <w:rsid w:val="00E3615A"/>
    <w:rsid w:val="00E361CE"/>
    <w:rsid w:val="00E361EE"/>
    <w:rsid w:val="00E3621C"/>
    <w:rsid w:val="00E362D2"/>
    <w:rsid w:val="00E3633A"/>
    <w:rsid w:val="00E36392"/>
    <w:rsid w:val="00E3639C"/>
    <w:rsid w:val="00E363F7"/>
    <w:rsid w:val="00E36427"/>
    <w:rsid w:val="00E3643E"/>
    <w:rsid w:val="00E36486"/>
    <w:rsid w:val="00E364AD"/>
    <w:rsid w:val="00E364F9"/>
    <w:rsid w:val="00E3652F"/>
    <w:rsid w:val="00E36554"/>
    <w:rsid w:val="00E3655E"/>
    <w:rsid w:val="00E365C8"/>
    <w:rsid w:val="00E365D0"/>
    <w:rsid w:val="00E365D5"/>
    <w:rsid w:val="00E365DF"/>
    <w:rsid w:val="00E365EF"/>
    <w:rsid w:val="00E365F1"/>
    <w:rsid w:val="00E36636"/>
    <w:rsid w:val="00E3663E"/>
    <w:rsid w:val="00E36696"/>
    <w:rsid w:val="00E367AA"/>
    <w:rsid w:val="00E36800"/>
    <w:rsid w:val="00E3680E"/>
    <w:rsid w:val="00E36823"/>
    <w:rsid w:val="00E36843"/>
    <w:rsid w:val="00E36846"/>
    <w:rsid w:val="00E3689C"/>
    <w:rsid w:val="00E368C2"/>
    <w:rsid w:val="00E369A7"/>
    <w:rsid w:val="00E369AF"/>
    <w:rsid w:val="00E369CC"/>
    <w:rsid w:val="00E36A10"/>
    <w:rsid w:val="00E36A21"/>
    <w:rsid w:val="00E36A2C"/>
    <w:rsid w:val="00E36A2E"/>
    <w:rsid w:val="00E36A63"/>
    <w:rsid w:val="00E36A9D"/>
    <w:rsid w:val="00E36AB7"/>
    <w:rsid w:val="00E36B43"/>
    <w:rsid w:val="00E36B8D"/>
    <w:rsid w:val="00E36B9C"/>
    <w:rsid w:val="00E36BB2"/>
    <w:rsid w:val="00E36C17"/>
    <w:rsid w:val="00E36C45"/>
    <w:rsid w:val="00E36CA0"/>
    <w:rsid w:val="00E36D57"/>
    <w:rsid w:val="00E36DB1"/>
    <w:rsid w:val="00E36DF2"/>
    <w:rsid w:val="00E36DFB"/>
    <w:rsid w:val="00E36E10"/>
    <w:rsid w:val="00E36E54"/>
    <w:rsid w:val="00E36E6D"/>
    <w:rsid w:val="00E36EE1"/>
    <w:rsid w:val="00E36FA6"/>
    <w:rsid w:val="00E36FAC"/>
    <w:rsid w:val="00E36FD3"/>
    <w:rsid w:val="00E37003"/>
    <w:rsid w:val="00E37024"/>
    <w:rsid w:val="00E370AD"/>
    <w:rsid w:val="00E370E5"/>
    <w:rsid w:val="00E37166"/>
    <w:rsid w:val="00E3716E"/>
    <w:rsid w:val="00E371B6"/>
    <w:rsid w:val="00E37210"/>
    <w:rsid w:val="00E37277"/>
    <w:rsid w:val="00E3727C"/>
    <w:rsid w:val="00E372BA"/>
    <w:rsid w:val="00E37340"/>
    <w:rsid w:val="00E37376"/>
    <w:rsid w:val="00E37383"/>
    <w:rsid w:val="00E3738F"/>
    <w:rsid w:val="00E373AA"/>
    <w:rsid w:val="00E373AC"/>
    <w:rsid w:val="00E37413"/>
    <w:rsid w:val="00E37466"/>
    <w:rsid w:val="00E374C9"/>
    <w:rsid w:val="00E3754D"/>
    <w:rsid w:val="00E3755E"/>
    <w:rsid w:val="00E3759E"/>
    <w:rsid w:val="00E375C6"/>
    <w:rsid w:val="00E375FA"/>
    <w:rsid w:val="00E37639"/>
    <w:rsid w:val="00E376B5"/>
    <w:rsid w:val="00E376EC"/>
    <w:rsid w:val="00E3770E"/>
    <w:rsid w:val="00E37728"/>
    <w:rsid w:val="00E3772F"/>
    <w:rsid w:val="00E37737"/>
    <w:rsid w:val="00E3774A"/>
    <w:rsid w:val="00E37791"/>
    <w:rsid w:val="00E377D6"/>
    <w:rsid w:val="00E37830"/>
    <w:rsid w:val="00E37855"/>
    <w:rsid w:val="00E378D1"/>
    <w:rsid w:val="00E378FB"/>
    <w:rsid w:val="00E37914"/>
    <w:rsid w:val="00E37956"/>
    <w:rsid w:val="00E379AA"/>
    <w:rsid w:val="00E379CA"/>
    <w:rsid w:val="00E379CC"/>
    <w:rsid w:val="00E379D2"/>
    <w:rsid w:val="00E379DA"/>
    <w:rsid w:val="00E379E4"/>
    <w:rsid w:val="00E37A3E"/>
    <w:rsid w:val="00E37A53"/>
    <w:rsid w:val="00E37B21"/>
    <w:rsid w:val="00E37B65"/>
    <w:rsid w:val="00E37BBF"/>
    <w:rsid w:val="00E37C55"/>
    <w:rsid w:val="00E37C62"/>
    <w:rsid w:val="00E37C74"/>
    <w:rsid w:val="00E37C92"/>
    <w:rsid w:val="00E37CAB"/>
    <w:rsid w:val="00E37CDD"/>
    <w:rsid w:val="00E37CF9"/>
    <w:rsid w:val="00E37D50"/>
    <w:rsid w:val="00E37D66"/>
    <w:rsid w:val="00E37DCB"/>
    <w:rsid w:val="00E37E68"/>
    <w:rsid w:val="00E37E98"/>
    <w:rsid w:val="00E37EA4"/>
    <w:rsid w:val="00E37EB2"/>
    <w:rsid w:val="00E37EB5"/>
    <w:rsid w:val="00E37EBB"/>
    <w:rsid w:val="00E37EE4"/>
    <w:rsid w:val="00E37EFB"/>
    <w:rsid w:val="00E37F44"/>
    <w:rsid w:val="00E37F71"/>
    <w:rsid w:val="00E37FA0"/>
    <w:rsid w:val="00E37FA3"/>
    <w:rsid w:val="00E37FFD"/>
    <w:rsid w:val="00E40073"/>
    <w:rsid w:val="00E40089"/>
    <w:rsid w:val="00E400F3"/>
    <w:rsid w:val="00E40107"/>
    <w:rsid w:val="00E4011D"/>
    <w:rsid w:val="00E40201"/>
    <w:rsid w:val="00E40239"/>
    <w:rsid w:val="00E4025C"/>
    <w:rsid w:val="00E4029D"/>
    <w:rsid w:val="00E402C4"/>
    <w:rsid w:val="00E402EE"/>
    <w:rsid w:val="00E402F6"/>
    <w:rsid w:val="00E40315"/>
    <w:rsid w:val="00E40316"/>
    <w:rsid w:val="00E40318"/>
    <w:rsid w:val="00E40347"/>
    <w:rsid w:val="00E40377"/>
    <w:rsid w:val="00E4039E"/>
    <w:rsid w:val="00E403CB"/>
    <w:rsid w:val="00E4042E"/>
    <w:rsid w:val="00E40468"/>
    <w:rsid w:val="00E4049E"/>
    <w:rsid w:val="00E40528"/>
    <w:rsid w:val="00E40575"/>
    <w:rsid w:val="00E40580"/>
    <w:rsid w:val="00E405AF"/>
    <w:rsid w:val="00E40664"/>
    <w:rsid w:val="00E40699"/>
    <w:rsid w:val="00E406A8"/>
    <w:rsid w:val="00E406E0"/>
    <w:rsid w:val="00E406F3"/>
    <w:rsid w:val="00E407E3"/>
    <w:rsid w:val="00E40821"/>
    <w:rsid w:val="00E4083A"/>
    <w:rsid w:val="00E4083F"/>
    <w:rsid w:val="00E40861"/>
    <w:rsid w:val="00E4091F"/>
    <w:rsid w:val="00E4096F"/>
    <w:rsid w:val="00E4097F"/>
    <w:rsid w:val="00E409D7"/>
    <w:rsid w:val="00E40A2C"/>
    <w:rsid w:val="00E40A45"/>
    <w:rsid w:val="00E40A4E"/>
    <w:rsid w:val="00E40A81"/>
    <w:rsid w:val="00E40B21"/>
    <w:rsid w:val="00E40B2F"/>
    <w:rsid w:val="00E40B69"/>
    <w:rsid w:val="00E40B87"/>
    <w:rsid w:val="00E40BAF"/>
    <w:rsid w:val="00E40BE2"/>
    <w:rsid w:val="00E40BF7"/>
    <w:rsid w:val="00E40C22"/>
    <w:rsid w:val="00E40C72"/>
    <w:rsid w:val="00E40C8F"/>
    <w:rsid w:val="00E40C9B"/>
    <w:rsid w:val="00E40CE7"/>
    <w:rsid w:val="00E40CF5"/>
    <w:rsid w:val="00E40CFB"/>
    <w:rsid w:val="00E40D01"/>
    <w:rsid w:val="00E40D31"/>
    <w:rsid w:val="00E40D43"/>
    <w:rsid w:val="00E40D48"/>
    <w:rsid w:val="00E40DA7"/>
    <w:rsid w:val="00E40DFC"/>
    <w:rsid w:val="00E40E1F"/>
    <w:rsid w:val="00E40E2F"/>
    <w:rsid w:val="00E40E80"/>
    <w:rsid w:val="00E40E99"/>
    <w:rsid w:val="00E40EB5"/>
    <w:rsid w:val="00E40F02"/>
    <w:rsid w:val="00E40F14"/>
    <w:rsid w:val="00E40F29"/>
    <w:rsid w:val="00E40F49"/>
    <w:rsid w:val="00E40F5C"/>
    <w:rsid w:val="00E40FB9"/>
    <w:rsid w:val="00E410B8"/>
    <w:rsid w:val="00E410FF"/>
    <w:rsid w:val="00E41134"/>
    <w:rsid w:val="00E41186"/>
    <w:rsid w:val="00E411C7"/>
    <w:rsid w:val="00E4124F"/>
    <w:rsid w:val="00E41318"/>
    <w:rsid w:val="00E4132E"/>
    <w:rsid w:val="00E41339"/>
    <w:rsid w:val="00E413F5"/>
    <w:rsid w:val="00E4148B"/>
    <w:rsid w:val="00E414AA"/>
    <w:rsid w:val="00E414D9"/>
    <w:rsid w:val="00E41517"/>
    <w:rsid w:val="00E41531"/>
    <w:rsid w:val="00E41555"/>
    <w:rsid w:val="00E41566"/>
    <w:rsid w:val="00E4156C"/>
    <w:rsid w:val="00E4158B"/>
    <w:rsid w:val="00E41627"/>
    <w:rsid w:val="00E41650"/>
    <w:rsid w:val="00E416B0"/>
    <w:rsid w:val="00E416B5"/>
    <w:rsid w:val="00E416BC"/>
    <w:rsid w:val="00E416DF"/>
    <w:rsid w:val="00E4177F"/>
    <w:rsid w:val="00E417FF"/>
    <w:rsid w:val="00E41815"/>
    <w:rsid w:val="00E41858"/>
    <w:rsid w:val="00E41877"/>
    <w:rsid w:val="00E418A4"/>
    <w:rsid w:val="00E418BE"/>
    <w:rsid w:val="00E41902"/>
    <w:rsid w:val="00E41941"/>
    <w:rsid w:val="00E41947"/>
    <w:rsid w:val="00E41985"/>
    <w:rsid w:val="00E419DF"/>
    <w:rsid w:val="00E419E3"/>
    <w:rsid w:val="00E419E6"/>
    <w:rsid w:val="00E41A0D"/>
    <w:rsid w:val="00E41A92"/>
    <w:rsid w:val="00E41B14"/>
    <w:rsid w:val="00E41B2B"/>
    <w:rsid w:val="00E41B4E"/>
    <w:rsid w:val="00E41B60"/>
    <w:rsid w:val="00E41CAD"/>
    <w:rsid w:val="00E41D13"/>
    <w:rsid w:val="00E41D2D"/>
    <w:rsid w:val="00E41D95"/>
    <w:rsid w:val="00E41DBB"/>
    <w:rsid w:val="00E41DC5"/>
    <w:rsid w:val="00E41DFE"/>
    <w:rsid w:val="00E41E2F"/>
    <w:rsid w:val="00E41E6D"/>
    <w:rsid w:val="00E41EAF"/>
    <w:rsid w:val="00E41EDC"/>
    <w:rsid w:val="00E41F76"/>
    <w:rsid w:val="00E41FA7"/>
    <w:rsid w:val="00E4203F"/>
    <w:rsid w:val="00E42051"/>
    <w:rsid w:val="00E42089"/>
    <w:rsid w:val="00E420E0"/>
    <w:rsid w:val="00E42118"/>
    <w:rsid w:val="00E421BC"/>
    <w:rsid w:val="00E421BF"/>
    <w:rsid w:val="00E421E2"/>
    <w:rsid w:val="00E422A8"/>
    <w:rsid w:val="00E422F4"/>
    <w:rsid w:val="00E42319"/>
    <w:rsid w:val="00E42349"/>
    <w:rsid w:val="00E4234F"/>
    <w:rsid w:val="00E423C4"/>
    <w:rsid w:val="00E423F5"/>
    <w:rsid w:val="00E42409"/>
    <w:rsid w:val="00E42411"/>
    <w:rsid w:val="00E42483"/>
    <w:rsid w:val="00E424CC"/>
    <w:rsid w:val="00E424D3"/>
    <w:rsid w:val="00E424FF"/>
    <w:rsid w:val="00E42540"/>
    <w:rsid w:val="00E42551"/>
    <w:rsid w:val="00E42563"/>
    <w:rsid w:val="00E42569"/>
    <w:rsid w:val="00E425BD"/>
    <w:rsid w:val="00E425DD"/>
    <w:rsid w:val="00E42664"/>
    <w:rsid w:val="00E426AD"/>
    <w:rsid w:val="00E426F1"/>
    <w:rsid w:val="00E4275B"/>
    <w:rsid w:val="00E427DC"/>
    <w:rsid w:val="00E427EE"/>
    <w:rsid w:val="00E427FF"/>
    <w:rsid w:val="00E4283E"/>
    <w:rsid w:val="00E428B3"/>
    <w:rsid w:val="00E42909"/>
    <w:rsid w:val="00E4290A"/>
    <w:rsid w:val="00E42920"/>
    <w:rsid w:val="00E42992"/>
    <w:rsid w:val="00E429AB"/>
    <w:rsid w:val="00E429DF"/>
    <w:rsid w:val="00E429F1"/>
    <w:rsid w:val="00E42A12"/>
    <w:rsid w:val="00E42A62"/>
    <w:rsid w:val="00E42AC9"/>
    <w:rsid w:val="00E42AF9"/>
    <w:rsid w:val="00E42BCE"/>
    <w:rsid w:val="00E42BD7"/>
    <w:rsid w:val="00E42BEE"/>
    <w:rsid w:val="00E42D18"/>
    <w:rsid w:val="00E42D47"/>
    <w:rsid w:val="00E42D7A"/>
    <w:rsid w:val="00E42DE4"/>
    <w:rsid w:val="00E42E7E"/>
    <w:rsid w:val="00E42E94"/>
    <w:rsid w:val="00E42E9E"/>
    <w:rsid w:val="00E42EC4"/>
    <w:rsid w:val="00E42F1D"/>
    <w:rsid w:val="00E42F32"/>
    <w:rsid w:val="00E42F6F"/>
    <w:rsid w:val="00E42F8A"/>
    <w:rsid w:val="00E4305F"/>
    <w:rsid w:val="00E4306C"/>
    <w:rsid w:val="00E43076"/>
    <w:rsid w:val="00E43094"/>
    <w:rsid w:val="00E430C2"/>
    <w:rsid w:val="00E430D1"/>
    <w:rsid w:val="00E43114"/>
    <w:rsid w:val="00E43123"/>
    <w:rsid w:val="00E4313E"/>
    <w:rsid w:val="00E43182"/>
    <w:rsid w:val="00E431EB"/>
    <w:rsid w:val="00E43206"/>
    <w:rsid w:val="00E43217"/>
    <w:rsid w:val="00E43223"/>
    <w:rsid w:val="00E43246"/>
    <w:rsid w:val="00E432E2"/>
    <w:rsid w:val="00E432EA"/>
    <w:rsid w:val="00E433FA"/>
    <w:rsid w:val="00E43421"/>
    <w:rsid w:val="00E43436"/>
    <w:rsid w:val="00E43442"/>
    <w:rsid w:val="00E4348E"/>
    <w:rsid w:val="00E43492"/>
    <w:rsid w:val="00E434C4"/>
    <w:rsid w:val="00E4355D"/>
    <w:rsid w:val="00E435B4"/>
    <w:rsid w:val="00E435BF"/>
    <w:rsid w:val="00E43640"/>
    <w:rsid w:val="00E43691"/>
    <w:rsid w:val="00E4379B"/>
    <w:rsid w:val="00E437D1"/>
    <w:rsid w:val="00E437E9"/>
    <w:rsid w:val="00E43828"/>
    <w:rsid w:val="00E43853"/>
    <w:rsid w:val="00E4385B"/>
    <w:rsid w:val="00E4389C"/>
    <w:rsid w:val="00E438A0"/>
    <w:rsid w:val="00E438F9"/>
    <w:rsid w:val="00E43921"/>
    <w:rsid w:val="00E4398C"/>
    <w:rsid w:val="00E439B2"/>
    <w:rsid w:val="00E439E8"/>
    <w:rsid w:val="00E439F2"/>
    <w:rsid w:val="00E43A8D"/>
    <w:rsid w:val="00E43AAB"/>
    <w:rsid w:val="00E43AB0"/>
    <w:rsid w:val="00E43B39"/>
    <w:rsid w:val="00E43B6D"/>
    <w:rsid w:val="00E43B7F"/>
    <w:rsid w:val="00E43B86"/>
    <w:rsid w:val="00E43B8D"/>
    <w:rsid w:val="00E43BC1"/>
    <w:rsid w:val="00E43BD5"/>
    <w:rsid w:val="00E43C5A"/>
    <w:rsid w:val="00E43C97"/>
    <w:rsid w:val="00E43CAD"/>
    <w:rsid w:val="00E43CC0"/>
    <w:rsid w:val="00E43CEF"/>
    <w:rsid w:val="00E43D05"/>
    <w:rsid w:val="00E43D1B"/>
    <w:rsid w:val="00E43D57"/>
    <w:rsid w:val="00E43D7B"/>
    <w:rsid w:val="00E43D80"/>
    <w:rsid w:val="00E43D95"/>
    <w:rsid w:val="00E43DA6"/>
    <w:rsid w:val="00E43DBB"/>
    <w:rsid w:val="00E43DF0"/>
    <w:rsid w:val="00E43E3B"/>
    <w:rsid w:val="00E43E83"/>
    <w:rsid w:val="00E43EAF"/>
    <w:rsid w:val="00E43ED8"/>
    <w:rsid w:val="00E43F50"/>
    <w:rsid w:val="00E43F70"/>
    <w:rsid w:val="00E43F72"/>
    <w:rsid w:val="00E43F98"/>
    <w:rsid w:val="00E43FDA"/>
    <w:rsid w:val="00E44079"/>
    <w:rsid w:val="00E440D4"/>
    <w:rsid w:val="00E440D5"/>
    <w:rsid w:val="00E440F5"/>
    <w:rsid w:val="00E4414D"/>
    <w:rsid w:val="00E44150"/>
    <w:rsid w:val="00E44173"/>
    <w:rsid w:val="00E44213"/>
    <w:rsid w:val="00E44226"/>
    <w:rsid w:val="00E4423B"/>
    <w:rsid w:val="00E4424D"/>
    <w:rsid w:val="00E44256"/>
    <w:rsid w:val="00E442F4"/>
    <w:rsid w:val="00E4430C"/>
    <w:rsid w:val="00E4431D"/>
    <w:rsid w:val="00E44335"/>
    <w:rsid w:val="00E443B5"/>
    <w:rsid w:val="00E443CA"/>
    <w:rsid w:val="00E44421"/>
    <w:rsid w:val="00E44442"/>
    <w:rsid w:val="00E444E9"/>
    <w:rsid w:val="00E44519"/>
    <w:rsid w:val="00E44526"/>
    <w:rsid w:val="00E4452E"/>
    <w:rsid w:val="00E44545"/>
    <w:rsid w:val="00E4455E"/>
    <w:rsid w:val="00E44581"/>
    <w:rsid w:val="00E44594"/>
    <w:rsid w:val="00E445AD"/>
    <w:rsid w:val="00E445B6"/>
    <w:rsid w:val="00E445F8"/>
    <w:rsid w:val="00E4462F"/>
    <w:rsid w:val="00E44639"/>
    <w:rsid w:val="00E446C1"/>
    <w:rsid w:val="00E446D3"/>
    <w:rsid w:val="00E447AE"/>
    <w:rsid w:val="00E447DC"/>
    <w:rsid w:val="00E447EC"/>
    <w:rsid w:val="00E4482A"/>
    <w:rsid w:val="00E4487C"/>
    <w:rsid w:val="00E448C8"/>
    <w:rsid w:val="00E4490D"/>
    <w:rsid w:val="00E44926"/>
    <w:rsid w:val="00E44930"/>
    <w:rsid w:val="00E4497D"/>
    <w:rsid w:val="00E4498A"/>
    <w:rsid w:val="00E4499E"/>
    <w:rsid w:val="00E449A8"/>
    <w:rsid w:val="00E44A0E"/>
    <w:rsid w:val="00E44A4C"/>
    <w:rsid w:val="00E44AA6"/>
    <w:rsid w:val="00E44AA9"/>
    <w:rsid w:val="00E44AB9"/>
    <w:rsid w:val="00E44AC0"/>
    <w:rsid w:val="00E44B1F"/>
    <w:rsid w:val="00E44B5D"/>
    <w:rsid w:val="00E44C49"/>
    <w:rsid w:val="00E44CFF"/>
    <w:rsid w:val="00E44D32"/>
    <w:rsid w:val="00E44D42"/>
    <w:rsid w:val="00E44D44"/>
    <w:rsid w:val="00E44E04"/>
    <w:rsid w:val="00E44E59"/>
    <w:rsid w:val="00E44E8F"/>
    <w:rsid w:val="00E44EEF"/>
    <w:rsid w:val="00E44F40"/>
    <w:rsid w:val="00E44F44"/>
    <w:rsid w:val="00E44F5A"/>
    <w:rsid w:val="00E44F76"/>
    <w:rsid w:val="00E44F7D"/>
    <w:rsid w:val="00E44FA5"/>
    <w:rsid w:val="00E45064"/>
    <w:rsid w:val="00E450B7"/>
    <w:rsid w:val="00E450CA"/>
    <w:rsid w:val="00E450F4"/>
    <w:rsid w:val="00E45132"/>
    <w:rsid w:val="00E45133"/>
    <w:rsid w:val="00E45144"/>
    <w:rsid w:val="00E45175"/>
    <w:rsid w:val="00E451A4"/>
    <w:rsid w:val="00E45235"/>
    <w:rsid w:val="00E4523B"/>
    <w:rsid w:val="00E45284"/>
    <w:rsid w:val="00E45288"/>
    <w:rsid w:val="00E4531A"/>
    <w:rsid w:val="00E4533D"/>
    <w:rsid w:val="00E4533E"/>
    <w:rsid w:val="00E4535D"/>
    <w:rsid w:val="00E453C9"/>
    <w:rsid w:val="00E45441"/>
    <w:rsid w:val="00E45449"/>
    <w:rsid w:val="00E4546D"/>
    <w:rsid w:val="00E45493"/>
    <w:rsid w:val="00E454D6"/>
    <w:rsid w:val="00E454DB"/>
    <w:rsid w:val="00E454F7"/>
    <w:rsid w:val="00E4556D"/>
    <w:rsid w:val="00E4557B"/>
    <w:rsid w:val="00E455AC"/>
    <w:rsid w:val="00E455CD"/>
    <w:rsid w:val="00E45620"/>
    <w:rsid w:val="00E45692"/>
    <w:rsid w:val="00E456D2"/>
    <w:rsid w:val="00E456ED"/>
    <w:rsid w:val="00E4574E"/>
    <w:rsid w:val="00E45781"/>
    <w:rsid w:val="00E45785"/>
    <w:rsid w:val="00E457A6"/>
    <w:rsid w:val="00E457BB"/>
    <w:rsid w:val="00E4580E"/>
    <w:rsid w:val="00E45813"/>
    <w:rsid w:val="00E45814"/>
    <w:rsid w:val="00E45842"/>
    <w:rsid w:val="00E45855"/>
    <w:rsid w:val="00E458B2"/>
    <w:rsid w:val="00E458D9"/>
    <w:rsid w:val="00E458FE"/>
    <w:rsid w:val="00E45939"/>
    <w:rsid w:val="00E459B2"/>
    <w:rsid w:val="00E459B8"/>
    <w:rsid w:val="00E459DE"/>
    <w:rsid w:val="00E45A8D"/>
    <w:rsid w:val="00E45AA8"/>
    <w:rsid w:val="00E45ACB"/>
    <w:rsid w:val="00E45B1A"/>
    <w:rsid w:val="00E45B25"/>
    <w:rsid w:val="00E45B58"/>
    <w:rsid w:val="00E45B75"/>
    <w:rsid w:val="00E45C3F"/>
    <w:rsid w:val="00E45C51"/>
    <w:rsid w:val="00E45C95"/>
    <w:rsid w:val="00E45D0E"/>
    <w:rsid w:val="00E45D1A"/>
    <w:rsid w:val="00E45D2A"/>
    <w:rsid w:val="00E45D80"/>
    <w:rsid w:val="00E45D98"/>
    <w:rsid w:val="00E45EBF"/>
    <w:rsid w:val="00E45EF2"/>
    <w:rsid w:val="00E45F01"/>
    <w:rsid w:val="00E45F07"/>
    <w:rsid w:val="00E45F6C"/>
    <w:rsid w:val="00E45F86"/>
    <w:rsid w:val="00E45F8B"/>
    <w:rsid w:val="00E45FDE"/>
    <w:rsid w:val="00E45FFF"/>
    <w:rsid w:val="00E4603B"/>
    <w:rsid w:val="00E46118"/>
    <w:rsid w:val="00E4618E"/>
    <w:rsid w:val="00E461B5"/>
    <w:rsid w:val="00E461C0"/>
    <w:rsid w:val="00E4620D"/>
    <w:rsid w:val="00E46229"/>
    <w:rsid w:val="00E4632E"/>
    <w:rsid w:val="00E4634A"/>
    <w:rsid w:val="00E4635B"/>
    <w:rsid w:val="00E46429"/>
    <w:rsid w:val="00E4646D"/>
    <w:rsid w:val="00E46481"/>
    <w:rsid w:val="00E4649A"/>
    <w:rsid w:val="00E46534"/>
    <w:rsid w:val="00E4658B"/>
    <w:rsid w:val="00E465F4"/>
    <w:rsid w:val="00E4661C"/>
    <w:rsid w:val="00E466BF"/>
    <w:rsid w:val="00E466E3"/>
    <w:rsid w:val="00E46700"/>
    <w:rsid w:val="00E46724"/>
    <w:rsid w:val="00E46725"/>
    <w:rsid w:val="00E46731"/>
    <w:rsid w:val="00E46746"/>
    <w:rsid w:val="00E467C6"/>
    <w:rsid w:val="00E4681C"/>
    <w:rsid w:val="00E4681E"/>
    <w:rsid w:val="00E4682B"/>
    <w:rsid w:val="00E46865"/>
    <w:rsid w:val="00E4688F"/>
    <w:rsid w:val="00E46909"/>
    <w:rsid w:val="00E4693D"/>
    <w:rsid w:val="00E469DD"/>
    <w:rsid w:val="00E469FC"/>
    <w:rsid w:val="00E46A12"/>
    <w:rsid w:val="00E46A20"/>
    <w:rsid w:val="00E46A4C"/>
    <w:rsid w:val="00E46A7E"/>
    <w:rsid w:val="00E46AD7"/>
    <w:rsid w:val="00E46AEA"/>
    <w:rsid w:val="00E46AF6"/>
    <w:rsid w:val="00E46B09"/>
    <w:rsid w:val="00E46BCF"/>
    <w:rsid w:val="00E46BE1"/>
    <w:rsid w:val="00E46BF4"/>
    <w:rsid w:val="00E46C0E"/>
    <w:rsid w:val="00E46C29"/>
    <w:rsid w:val="00E46C44"/>
    <w:rsid w:val="00E46C52"/>
    <w:rsid w:val="00E46D38"/>
    <w:rsid w:val="00E46D62"/>
    <w:rsid w:val="00E46D8B"/>
    <w:rsid w:val="00E46DAF"/>
    <w:rsid w:val="00E46DB2"/>
    <w:rsid w:val="00E46DB6"/>
    <w:rsid w:val="00E46E01"/>
    <w:rsid w:val="00E46E45"/>
    <w:rsid w:val="00E46E6A"/>
    <w:rsid w:val="00E46EDA"/>
    <w:rsid w:val="00E46EF9"/>
    <w:rsid w:val="00E46F0E"/>
    <w:rsid w:val="00E46F46"/>
    <w:rsid w:val="00E46FA4"/>
    <w:rsid w:val="00E47011"/>
    <w:rsid w:val="00E4704A"/>
    <w:rsid w:val="00E47097"/>
    <w:rsid w:val="00E470E1"/>
    <w:rsid w:val="00E47125"/>
    <w:rsid w:val="00E4715B"/>
    <w:rsid w:val="00E4719E"/>
    <w:rsid w:val="00E47298"/>
    <w:rsid w:val="00E472A9"/>
    <w:rsid w:val="00E472B1"/>
    <w:rsid w:val="00E472BD"/>
    <w:rsid w:val="00E472D8"/>
    <w:rsid w:val="00E4737C"/>
    <w:rsid w:val="00E47389"/>
    <w:rsid w:val="00E473A0"/>
    <w:rsid w:val="00E47450"/>
    <w:rsid w:val="00E474E6"/>
    <w:rsid w:val="00E474EE"/>
    <w:rsid w:val="00E47548"/>
    <w:rsid w:val="00E47598"/>
    <w:rsid w:val="00E475BD"/>
    <w:rsid w:val="00E475CA"/>
    <w:rsid w:val="00E475F7"/>
    <w:rsid w:val="00E4764B"/>
    <w:rsid w:val="00E4764E"/>
    <w:rsid w:val="00E4766D"/>
    <w:rsid w:val="00E47679"/>
    <w:rsid w:val="00E47680"/>
    <w:rsid w:val="00E476BE"/>
    <w:rsid w:val="00E47745"/>
    <w:rsid w:val="00E47759"/>
    <w:rsid w:val="00E47784"/>
    <w:rsid w:val="00E47809"/>
    <w:rsid w:val="00E4784C"/>
    <w:rsid w:val="00E4784D"/>
    <w:rsid w:val="00E478BA"/>
    <w:rsid w:val="00E47923"/>
    <w:rsid w:val="00E47956"/>
    <w:rsid w:val="00E47987"/>
    <w:rsid w:val="00E479C7"/>
    <w:rsid w:val="00E47A56"/>
    <w:rsid w:val="00E47AC2"/>
    <w:rsid w:val="00E47B13"/>
    <w:rsid w:val="00E47B4D"/>
    <w:rsid w:val="00E47B6B"/>
    <w:rsid w:val="00E47B78"/>
    <w:rsid w:val="00E47BD4"/>
    <w:rsid w:val="00E47BD8"/>
    <w:rsid w:val="00E47C32"/>
    <w:rsid w:val="00E47C44"/>
    <w:rsid w:val="00E47C53"/>
    <w:rsid w:val="00E47C8F"/>
    <w:rsid w:val="00E47CBA"/>
    <w:rsid w:val="00E47CFF"/>
    <w:rsid w:val="00E47D17"/>
    <w:rsid w:val="00E47D1A"/>
    <w:rsid w:val="00E47E45"/>
    <w:rsid w:val="00E47EBD"/>
    <w:rsid w:val="00E47EDC"/>
    <w:rsid w:val="00E47EDE"/>
    <w:rsid w:val="00E47F3F"/>
    <w:rsid w:val="00E47F42"/>
    <w:rsid w:val="00E47F6B"/>
    <w:rsid w:val="00E47FB5"/>
    <w:rsid w:val="00E47FE7"/>
    <w:rsid w:val="00E47FEC"/>
    <w:rsid w:val="00E5001F"/>
    <w:rsid w:val="00E50027"/>
    <w:rsid w:val="00E50088"/>
    <w:rsid w:val="00E500CB"/>
    <w:rsid w:val="00E500DF"/>
    <w:rsid w:val="00E5011B"/>
    <w:rsid w:val="00E50141"/>
    <w:rsid w:val="00E50178"/>
    <w:rsid w:val="00E501EA"/>
    <w:rsid w:val="00E501F2"/>
    <w:rsid w:val="00E50221"/>
    <w:rsid w:val="00E50228"/>
    <w:rsid w:val="00E502D1"/>
    <w:rsid w:val="00E502E4"/>
    <w:rsid w:val="00E5031C"/>
    <w:rsid w:val="00E50342"/>
    <w:rsid w:val="00E503B5"/>
    <w:rsid w:val="00E503C5"/>
    <w:rsid w:val="00E503C7"/>
    <w:rsid w:val="00E5043D"/>
    <w:rsid w:val="00E50452"/>
    <w:rsid w:val="00E50471"/>
    <w:rsid w:val="00E5048C"/>
    <w:rsid w:val="00E50498"/>
    <w:rsid w:val="00E504B3"/>
    <w:rsid w:val="00E5052A"/>
    <w:rsid w:val="00E50569"/>
    <w:rsid w:val="00E50578"/>
    <w:rsid w:val="00E50581"/>
    <w:rsid w:val="00E505AB"/>
    <w:rsid w:val="00E505D9"/>
    <w:rsid w:val="00E5063E"/>
    <w:rsid w:val="00E506BB"/>
    <w:rsid w:val="00E506E5"/>
    <w:rsid w:val="00E5088A"/>
    <w:rsid w:val="00E508D7"/>
    <w:rsid w:val="00E5095C"/>
    <w:rsid w:val="00E50973"/>
    <w:rsid w:val="00E5099B"/>
    <w:rsid w:val="00E50A33"/>
    <w:rsid w:val="00E50A74"/>
    <w:rsid w:val="00E50A9F"/>
    <w:rsid w:val="00E50AA7"/>
    <w:rsid w:val="00E50ACA"/>
    <w:rsid w:val="00E50B12"/>
    <w:rsid w:val="00E50B2F"/>
    <w:rsid w:val="00E50B69"/>
    <w:rsid w:val="00E50B84"/>
    <w:rsid w:val="00E50B91"/>
    <w:rsid w:val="00E50BB5"/>
    <w:rsid w:val="00E50BBB"/>
    <w:rsid w:val="00E50BDC"/>
    <w:rsid w:val="00E50C0D"/>
    <w:rsid w:val="00E50C25"/>
    <w:rsid w:val="00E50D1C"/>
    <w:rsid w:val="00E50D26"/>
    <w:rsid w:val="00E50D4F"/>
    <w:rsid w:val="00E50D7F"/>
    <w:rsid w:val="00E50D97"/>
    <w:rsid w:val="00E50DA9"/>
    <w:rsid w:val="00E50DBB"/>
    <w:rsid w:val="00E50DD9"/>
    <w:rsid w:val="00E50DEE"/>
    <w:rsid w:val="00E50DFE"/>
    <w:rsid w:val="00E50E0C"/>
    <w:rsid w:val="00E50E5A"/>
    <w:rsid w:val="00E50E64"/>
    <w:rsid w:val="00E50ED9"/>
    <w:rsid w:val="00E50EDE"/>
    <w:rsid w:val="00E50F22"/>
    <w:rsid w:val="00E50F5B"/>
    <w:rsid w:val="00E50F70"/>
    <w:rsid w:val="00E50FC5"/>
    <w:rsid w:val="00E51026"/>
    <w:rsid w:val="00E5104F"/>
    <w:rsid w:val="00E510A0"/>
    <w:rsid w:val="00E510A2"/>
    <w:rsid w:val="00E510AF"/>
    <w:rsid w:val="00E5111E"/>
    <w:rsid w:val="00E5115B"/>
    <w:rsid w:val="00E511B4"/>
    <w:rsid w:val="00E5129D"/>
    <w:rsid w:val="00E5131F"/>
    <w:rsid w:val="00E5132A"/>
    <w:rsid w:val="00E5134F"/>
    <w:rsid w:val="00E51385"/>
    <w:rsid w:val="00E513B3"/>
    <w:rsid w:val="00E513D7"/>
    <w:rsid w:val="00E5143B"/>
    <w:rsid w:val="00E514A3"/>
    <w:rsid w:val="00E514FF"/>
    <w:rsid w:val="00E51511"/>
    <w:rsid w:val="00E51581"/>
    <w:rsid w:val="00E51615"/>
    <w:rsid w:val="00E5163C"/>
    <w:rsid w:val="00E5163E"/>
    <w:rsid w:val="00E51645"/>
    <w:rsid w:val="00E516C7"/>
    <w:rsid w:val="00E5172A"/>
    <w:rsid w:val="00E5175C"/>
    <w:rsid w:val="00E517EF"/>
    <w:rsid w:val="00E51858"/>
    <w:rsid w:val="00E5186B"/>
    <w:rsid w:val="00E518A3"/>
    <w:rsid w:val="00E518BB"/>
    <w:rsid w:val="00E518BD"/>
    <w:rsid w:val="00E518EE"/>
    <w:rsid w:val="00E5190B"/>
    <w:rsid w:val="00E51931"/>
    <w:rsid w:val="00E51939"/>
    <w:rsid w:val="00E519A3"/>
    <w:rsid w:val="00E51A19"/>
    <w:rsid w:val="00E51A50"/>
    <w:rsid w:val="00E51A73"/>
    <w:rsid w:val="00E51A98"/>
    <w:rsid w:val="00E51AB6"/>
    <w:rsid w:val="00E51AC5"/>
    <w:rsid w:val="00E51B0B"/>
    <w:rsid w:val="00E51B2C"/>
    <w:rsid w:val="00E51B4D"/>
    <w:rsid w:val="00E51B63"/>
    <w:rsid w:val="00E51C0D"/>
    <w:rsid w:val="00E51C17"/>
    <w:rsid w:val="00E51C28"/>
    <w:rsid w:val="00E51C30"/>
    <w:rsid w:val="00E51C5B"/>
    <w:rsid w:val="00E51CA5"/>
    <w:rsid w:val="00E51D0B"/>
    <w:rsid w:val="00E51D36"/>
    <w:rsid w:val="00E51D86"/>
    <w:rsid w:val="00E51DA3"/>
    <w:rsid w:val="00E51DB7"/>
    <w:rsid w:val="00E51DE2"/>
    <w:rsid w:val="00E51DE8"/>
    <w:rsid w:val="00E51E07"/>
    <w:rsid w:val="00E51E7B"/>
    <w:rsid w:val="00E51ED1"/>
    <w:rsid w:val="00E51EDA"/>
    <w:rsid w:val="00E51EE1"/>
    <w:rsid w:val="00E51F49"/>
    <w:rsid w:val="00E51FBE"/>
    <w:rsid w:val="00E51FC3"/>
    <w:rsid w:val="00E52001"/>
    <w:rsid w:val="00E5201E"/>
    <w:rsid w:val="00E5202B"/>
    <w:rsid w:val="00E5203A"/>
    <w:rsid w:val="00E52087"/>
    <w:rsid w:val="00E5208E"/>
    <w:rsid w:val="00E520BD"/>
    <w:rsid w:val="00E520D3"/>
    <w:rsid w:val="00E52120"/>
    <w:rsid w:val="00E52139"/>
    <w:rsid w:val="00E5215C"/>
    <w:rsid w:val="00E52170"/>
    <w:rsid w:val="00E5217B"/>
    <w:rsid w:val="00E5217D"/>
    <w:rsid w:val="00E521D4"/>
    <w:rsid w:val="00E522B1"/>
    <w:rsid w:val="00E522C5"/>
    <w:rsid w:val="00E522CD"/>
    <w:rsid w:val="00E522F8"/>
    <w:rsid w:val="00E5231F"/>
    <w:rsid w:val="00E523A9"/>
    <w:rsid w:val="00E52498"/>
    <w:rsid w:val="00E52505"/>
    <w:rsid w:val="00E5251F"/>
    <w:rsid w:val="00E525D2"/>
    <w:rsid w:val="00E52635"/>
    <w:rsid w:val="00E5264F"/>
    <w:rsid w:val="00E5266D"/>
    <w:rsid w:val="00E52679"/>
    <w:rsid w:val="00E526C1"/>
    <w:rsid w:val="00E526C6"/>
    <w:rsid w:val="00E526E6"/>
    <w:rsid w:val="00E52705"/>
    <w:rsid w:val="00E52745"/>
    <w:rsid w:val="00E527B2"/>
    <w:rsid w:val="00E52943"/>
    <w:rsid w:val="00E5296F"/>
    <w:rsid w:val="00E52971"/>
    <w:rsid w:val="00E529A6"/>
    <w:rsid w:val="00E529D2"/>
    <w:rsid w:val="00E52A94"/>
    <w:rsid w:val="00E52A98"/>
    <w:rsid w:val="00E52AB9"/>
    <w:rsid w:val="00E52ACE"/>
    <w:rsid w:val="00E52B00"/>
    <w:rsid w:val="00E52B0F"/>
    <w:rsid w:val="00E52B58"/>
    <w:rsid w:val="00E52B68"/>
    <w:rsid w:val="00E52C06"/>
    <w:rsid w:val="00E52C30"/>
    <w:rsid w:val="00E52C68"/>
    <w:rsid w:val="00E52CE9"/>
    <w:rsid w:val="00E52D09"/>
    <w:rsid w:val="00E52D2C"/>
    <w:rsid w:val="00E52D40"/>
    <w:rsid w:val="00E52D9E"/>
    <w:rsid w:val="00E52DCE"/>
    <w:rsid w:val="00E52DDD"/>
    <w:rsid w:val="00E52DF2"/>
    <w:rsid w:val="00E52E2B"/>
    <w:rsid w:val="00E52E3C"/>
    <w:rsid w:val="00E52F97"/>
    <w:rsid w:val="00E52FB4"/>
    <w:rsid w:val="00E52FDF"/>
    <w:rsid w:val="00E52FE5"/>
    <w:rsid w:val="00E5301B"/>
    <w:rsid w:val="00E53021"/>
    <w:rsid w:val="00E530B6"/>
    <w:rsid w:val="00E530C9"/>
    <w:rsid w:val="00E5316D"/>
    <w:rsid w:val="00E531BC"/>
    <w:rsid w:val="00E531D8"/>
    <w:rsid w:val="00E5321A"/>
    <w:rsid w:val="00E532AA"/>
    <w:rsid w:val="00E532D4"/>
    <w:rsid w:val="00E532ED"/>
    <w:rsid w:val="00E53356"/>
    <w:rsid w:val="00E53370"/>
    <w:rsid w:val="00E5339E"/>
    <w:rsid w:val="00E53406"/>
    <w:rsid w:val="00E53413"/>
    <w:rsid w:val="00E534D0"/>
    <w:rsid w:val="00E5354B"/>
    <w:rsid w:val="00E5354C"/>
    <w:rsid w:val="00E53566"/>
    <w:rsid w:val="00E535A0"/>
    <w:rsid w:val="00E535AA"/>
    <w:rsid w:val="00E535F2"/>
    <w:rsid w:val="00E53655"/>
    <w:rsid w:val="00E5368C"/>
    <w:rsid w:val="00E5369D"/>
    <w:rsid w:val="00E536AD"/>
    <w:rsid w:val="00E536E0"/>
    <w:rsid w:val="00E536E5"/>
    <w:rsid w:val="00E53745"/>
    <w:rsid w:val="00E5374F"/>
    <w:rsid w:val="00E5377E"/>
    <w:rsid w:val="00E53780"/>
    <w:rsid w:val="00E537A2"/>
    <w:rsid w:val="00E53841"/>
    <w:rsid w:val="00E53846"/>
    <w:rsid w:val="00E5385E"/>
    <w:rsid w:val="00E538F0"/>
    <w:rsid w:val="00E538F9"/>
    <w:rsid w:val="00E53945"/>
    <w:rsid w:val="00E5396C"/>
    <w:rsid w:val="00E5399F"/>
    <w:rsid w:val="00E539BF"/>
    <w:rsid w:val="00E539DF"/>
    <w:rsid w:val="00E53A92"/>
    <w:rsid w:val="00E53B11"/>
    <w:rsid w:val="00E53B70"/>
    <w:rsid w:val="00E53C05"/>
    <w:rsid w:val="00E53C49"/>
    <w:rsid w:val="00E53C77"/>
    <w:rsid w:val="00E53C7C"/>
    <w:rsid w:val="00E53CD2"/>
    <w:rsid w:val="00E53CF4"/>
    <w:rsid w:val="00E53D14"/>
    <w:rsid w:val="00E53D5E"/>
    <w:rsid w:val="00E53DF1"/>
    <w:rsid w:val="00E53E22"/>
    <w:rsid w:val="00E53E57"/>
    <w:rsid w:val="00E53E75"/>
    <w:rsid w:val="00E53E9F"/>
    <w:rsid w:val="00E53EC6"/>
    <w:rsid w:val="00E53ED2"/>
    <w:rsid w:val="00E53ED3"/>
    <w:rsid w:val="00E53F02"/>
    <w:rsid w:val="00E53F87"/>
    <w:rsid w:val="00E53FA9"/>
    <w:rsid w:val="00E53FE2"/>
    <w:rsid w:val="00E53FFA"/>
    <w:rsid w:val="00E54049"/>
    <w:rsid w:val="00E54051"/>
    <w:rsid w:val="00E5409A"/>
    <w:rsid w:val="00E540BD"/>
    <w:rsid w:val="00E54141"/>
    <w:rsid w:val="00E54169"/>
    <w:rsid w:val="00E5416E"/>
    <w:rsid w:val="00E541EC"/>
    <w:rsid w:val="00E54217"/>
    <w:rsid w:val="00E5423D"/>
    <w:rsid w:val="00E54249"/>
    <w:rsid w:val="00E542CA"/>
    <w:rsid w:val="00E5431A"/>
    <w:rsid w:val="00E5433E"/>
    <w:rsid w:val="00E54368"/>
    <w:rsid w:val="00E543AB"/>
    <w:rsid w:val="00E543B9"/>
    <w:rsid w:val="00E543EC"/>
    <w:rsid w:val="00E5440E"/>
    <w:rsid w:val="00E54410"/>
    <w:rsid w:val="00E5445A"/>
    <w:rsid w:val="00E5447C"/>
    <w:rsid w:val="00E5448D"/>
    <w:rsid w:val="00E5452A"/>
    <w:rsid w:val="00E5454A"/>
    <w:rsid w:val="00E54551"/>
    <w:rsid w:val="00E545C5"/>
    <w:rsid w:val="00E545D2"/>
    <w:rsid w:val="00E54622"/>
    <w:rsid w:val="00E54637"/>
    <w:rsid w:val="00E5465B"/>
    <w:rsid w:val="00E54694"/>
    <w:rsid w:val="00E546F0"/>
    <w:rsid w:val="00E5470D"/>
    <w:rsid w:val="00E54779"/>
    <w:rsid w:val="00E54786"/>
    <w:rsid w:val="00E547FC"/>
    <w:rsid w:val="00E54843"/>
    <w:rsid w:val="00E54874"/>
    <w:rsid w:val="00E54880"/>
    <w:rsid w:val="00E54938"/>
    <w:rsid w:val="00E5495F"/>
    <w:rsid w:val="00E5497A"/>
    <w:rsid w:val="00E549B4"/>
    <w:rsid w:val="00E549F2"/>
    <w:rsid w:val="00E549F5"/>
    <w:rsid w:val="00E54A16"/>
    <w:rsid w:val="00E54A7D"/>
    <w:rsid w:val="00E54A7E"/>
    <w:rsid w:val="00E54A86"/>
    <w:rsid w:val="00E54A91"/>
    <w:rsid w:val="00E54AB7"/>
    <w:rsid w:val="00E54B09"/>
    <w:rsid w:val="00E54B0C"/>
    <w:rsid w:val="00E54B0E"/>
    <w:rsid w:val="00E54B1B"/>
    <w:rsid w:val="00E54B3C"/>
    <w:rsid w:val="00E54B63"/>
    <w:rsid w:val="00E54BD6"/>
    <w:rsid w:val="00E54C06"/>
    <w:rsid w:val="00E54C26"/>
    <w:rsid w:val="00E54CF5"/>
    <w:rsid w:val="00E54D69"/>
    <w:rsid w:val="00E54E59"/>
    <w:rsid w:val="00E54E6D"/>
    <w:rsid w:val="00E54EB2"/>
    <w:rsid w:val="00E54ECC"/>
    <w:rsid w:val="00E54EEB"/>
    <w:rsid w:val="00E54EF3"/>
    <w:rsid w:val="00E54EFF"/>
    <w:rsid w:val="00E54F02"/>
    <w:rsid w:val="00E54FAB"/>
    <w:rsid w:val="00E54FAD"/>
    <w:rsid w:val="00E54FCA"/>
    <w:rsid w:val="00E55050"/>
    <w:rsid w:val="00E55062"/>
    <w:rsid w:val="00E550AE"/>
    <w:rsid w:val="00E55103"/>
    <w:rsid w:val="00E5516F"/>
    <w:rsid w:val="00E551A3"/>
    <w:rsid w:val="00E551A9"/>
    <w:rsid w:val="00E551BA"/>
    <w:rsid w:val="00E551DD"/>
    <w:rsid w:val="00E551E9"/>
    <w:rsid w:val="00E5520B"/>
    <w:rsid w:val="00E5521D"/>
    <w:rsid w:val="00E55274"/>
    <w:rsid w:val="00E5530B"/>
    <w:rsid w:val="00E5531D"/>
    <w:rsid w:val="00E55359"/>
    <w:rsid w:val="00E55363"/>
    <w:rsid w:val="00E5538C"/>
    <w:rsid w:val="00E553C5"/>
    <w:rsid w:val="00E553C6"/>
    <w:rsid w:val="00E55416"/>
    <w:rsid w:val="00E5542A"/>
    <w:rsid w:val="00E55431"/>
    <w:rsid w:val="00E55432"/>
    <w:rsid w:val="00E5548C"/>
    <w:rsid w:val="00E55495"/>
    <w:rsid w:val="00E55557"/>
    <w:rsid w:val="00E55568"/>
    <w:rsid w:val="00E55569"/>
    <w:rsid w:val="00E55580"/>
    <w:rsid w:val="00E55593"/>
    <w:rsid w:val="00E555C5"/>
    <w:rsid w:val="00E555FC"/>
    <w:rsid w:val="00E55607"/>
    <w:rsid w:val="00E55695"/>
    <w:rsid w:val="00E556B0"/>
    <w:rsid w:val="00E556B1"/>
    <w:rsid w:val="00E55717"/>
    <w:rsid w:val="00E5575D"/>
    <w:rsid w:val="00E557D4"/>
    <w:rsid w:val="00E5581C"/>
    <w:rsid w:val="00E55840"/>
    <w:rsid w:val="00E55849"/>
    <w:rsid w:val="00E55859"/>
    <w:rsid w:val="00E55872"/>
    <w:rsid w:val="00E55889"/>
    <w:rsid w:val="00E5589F"/>
    <w:rsid w:val="00E558A7"/>
    <w:rsid w:val="00E55916"/>
    <w:rsid w:val="00E5592B"/>
    <w:rsid w:val="00E55942"/>
    <w:rsid w:val="00E55951"/>
    <w:rsid w:val="00E5596A"/>
    <w:rsid w:val="00E559BF"/>
    <w:rsid w:val="00E559C1"/>
    <w:rsid w:val="00E55A64"/>
    <w:rsid w:val="00E55AB7"/>
    <w:rsid w:val="00E55B02"/>
    <w:rsid w:val="00E55BC5"/>
    <w:rsid w:val="00E55C15"/>
    <w:rsid w:val="00E55C77"/>
    <w:rsid w:val="00E55C78"/>
    <w:rsid w:val="00E55C83"/>
    <w:rsid w:val="00E55C98"/>
    <w:rsid w:val="00E55CAC"/>
    <w:rsid w:val="00E55CBB"/>
    <w:rsid w:val="00E55D1C"/>
    <w:rsid w:val="00E55D23"/>
    <w:rsid w:val="00E55D56"/>
    <w:rsid w:val="00E55D6C"/>
    <w:rsid w:val="00E55DBC"/>
    <w:rsid w:val="00E55DC8"/>
    <w:rsid w:val="00E55E21"/>
    <w:rsid w:val="00E55E46"/>
    <w:rsid w:val="00E55E97"/>
    <w:rsid w:val="00E55EFA"/>
    <w:rsid w:val="00E55F08"/>
    <w:rsid w:val="00E55F20"/>
    <w:rsid w:val="00E55F47"/>
    <w:rsid w:val="00E55F65"/>
    <w:rsid w:val="00E55FF3"/>
    <w:rsid w:val="00E5604A"/>
    <w:rsid w:val="00E560D2"/>
    <w:rsid w:val="00E560DC"/>
    <w:rsid w:val="00E56102"/>
    <w:rsid w:val="00E56168"/>
    <w:rsid w:val="00E5616D"/>
    <w:rsid w:val="00E5619C"/>
    <w:rsid w:val="00E56205"/>
    <w:rsid w:val="00E5622B"/>
    <w:rsid w:val="00E56243"/>
    <w:rsid w:val="00E562A1"/>
    <w:rsid w:val="00E562E1"/>
    <w:rsid w:val="00E56352"/>
    <w:rsid w:val="00E56372"/>
    <w:rsid w:val="00E5637F"/>
    <w:rsid w:val="00E5638E"/>
    <w:rsid w:val="00E563DF"/>
    <w:rsid w:val="00E56449"/>
    <w:rsid w:val="00E565CE"/>
    <w:rsid w:val="00E565F5"/>
    <w:rsid w:val="00E565FD"/>
    <w:rsid w:val="00E56615"/>
    <w:rsid w:val="00E5663C"/>
    <w:rsid w:val="00E5671F"/>
    <w:rsid w:val="00E56727"/>
    <w:rsid w:val="00E5675A"/>
    <w:rsid w:val="00E56775"/>
    <w:rsid w:val="00E5684D"/>
    <w:rsid w:val="00E568CC"/>
    <w:rsid w:val="00E568E7"/>
    <w:rsid w:val="00E56977"/>
    <w:rsid w:val="00E569DA"/>
    <w:rsid w:val="00E569E9"/>
    <w:rsid w:val="00E56A1D"/>
    <w:rsid w:val="00E56A35"/>
    <w:rsid w:val="00E56A3A"/>
    <w:rsid w:val="00E56A48"/>
    <w:rsid w:val="00E56A67"/>
    <w:rsid w:val="00E56A74"/>
    <w:rsid w:val="00E56A85"/>
    <w:rsid w:val="00E56A86"/>
    <w:rsid w:val="00E56AA3"/>
    <w:rsid w:val="00E56AE6"/>
    <w:rsid w:val="00E56B01"/>
    <w:rsid w:val="00E56B5A"/>
    <w:rsid w:val="00E56BAB"/>
    <w:rsid w:val="00E56BDC"/>
    <w:rsid w:val="00E56C00"/>
    <w:rsid w:val="00E56C01"/>
    <w:rsid w:val="00E56C66"/>
    <w:rsid w:val="00E56C6B"/>
    <w:rsid w:val="00E56C81"/>
    <w:rsid w:val="00E56C96"/>
    <w:rsid w:val="00E56CB0"/>
    <w:rsid w:val="00E56CC6"/>
    <w:rsid w:val="00E56CD5"/>
    <w:rsid w:val="00E56D11"/>
    <w:rsid w:val="00E56D57"/>
    <w:rsid w:val="00E56E26"/>
    <w:rsid w:val="00E56EF1"/>
    <w:rsid w:val="00E56FC6"/>
    <w:rsid w:val="00E57066"/>
    <w:rsid w:val="00E570A6"/>
    <w:rsid w:val="00E57209"/>
    <w:rsid w:val="00E5724A"/>
    <w:rsid w:val="00E5725F"/>
    <w:rsid w:val="00E572A5"/>
    <w:rsid w:val="00E572B1"/>
    <w:rsid w:val="00E572DF"/>
    <w:rsid w:val="00E57308"/>
    <w:rsid w:val="00E5730A"/>
    <w:rsid w:val="00E57382"/>
    <w:rsid w:val="00E573A4"/>
    <w:rsid w:val="00E573C7"/>
    <w:rsid w:val="00E573EA"/>
    <w:rsid w:val="00E57408"/>
    <w:rsid w:val="00E57425"/>
    <w:rsid w:val="00E5746F"/>
    <w:rsid w:val="00E5747D"/>
    <w:rsid w:val="00E57481"/>
    <w:rsid w:val="00E574C6"/>
    <w:rsid w:val="00E574C9"/>
    <w:rsid w:val="00E574D1"/>
    <w:rsid w:val="00E574E0"/>
    <w:rsid w:val="00E574F1"/>
    <w:rsid w:val="00E57534"/>
    <w:rsid w:val="00E57550"/>
    <w:rsid w:val="00E57562"/>
    <w:rsid w:val="00E5756E"/>
    <w:rsid w:val="00E57623"/>
    <w:rsid w:val="00E5762B"/>
    <w:rsid w:val="00E57632"/>
    <w:rsid w:val="00E57680"/>
    <w:rsid w:val="00E576C9"/>
    <w:rsid w:val="00E576CB"/>
    <w:rsid w:val="00E57703"/>
    <w:rsid w:val="00E57726"/>
    <w:rsid w:val="00E57786"/>
    <w:rsid w:val="00E57812"/>
    <w:rsid w:val="00E5783C"/>
    <w:rsid w:val="00E57843"/>
    <w:rsid w:val="00E578AA"/>
    <w:rsid w:val="00E578AB"/>
    <w:rsid w:val="00E57936"/>
    <w:rsid w:val="00E57939"/>
    <w:rsid w:val="00E5793C"/>
    <w:rsid w:val="00E57963"/>
    <w:rsid w:val="00E57965"/>
    <w:rsid w:val="00E57983"/>
    <w:rsid w:val="00E57988"/>
    <w:rsid w:val="00E579E9"/>
    <w:rsid w:val="00E57A07"/>
    <w:rsid w:val="00E57A09"/>
    <w:rsid w:val="00E57A27"/>
    <w:rsid w:val="00E57A4C"/>
    <w:rsid w:val="00E57A4F"/>
    <w:rsid w:val="00E57B19"/>
    <w:rsid w:val="00E57B62"/>
    <w:rsid w:val="00E57B76"/>
    <w:rsid w:val="00E57B7E"/>
    <w:rsid w:val="00E57BF8"/>
    <w:rsid w:val="00E57C1F"/>
    <w:rsid w:val="00E57C25"/>
    <w:rsid w:val="00E57C46"/>
    <w:rsid w:val="00E57C56"/>
    <w:rsid w:val="00E57CBA"/>
    <w:rsid w:val="00E57D06"/>
    <w:rsid w:val="00E57D0B"/>
    <w:rsid w:val="00E57D24"/>
    <w:rsid w:val="00E57D28"/>
    <w:rsid w:val="00E57D35"/>
    <w:rsid w:val="00E57D3F"/>
    <w:rsid w:val="00E57D65"/>
    <w:rsid w:val="00E57DB3"/>
    <w:rsid w:val="00E57DBC"/>
    <w:rsid w:val="00E57DCC"/>
    <w:rsid w:val="00E57DF3"/>
    <w:rsid w:val="00E57E2D"/>
    <w:rsid w:val="00E57E3F"/>
    <w:rsid w:val="00E57ED4"/>
    <w:rsid w:val="00E57F68"/>
    <w:rsid w:val="00E5AEF0"/>
    <w:rsid w:val="00E60046"/>
    <w:rsid w:val="00E6004F"/>
    <w:rsid w:val="00E6008B"/>
    <w:rsid w:val="00E60125"/>
    <w:rsid w:val="00E60179"/>
    <w:rsid w:val="00E6019E"/>
    <w:rsid w:val="00E601D4"/>
    <w:rsid w:val="00E601EE"/>
    <w:rsid w:val="00E601FC"/>
    <w:rsid w:val="00E6020D"/>
    <w:rsid w:val="00E6022A"/>
    <w:rsid w:val="00E60261"/>
    <w:rsid w:val="00E60279"/>
    <w:rsid w:val="00E602F4"/>
    <w:rsid w:val="00E6030B"/>
    <w:rsid w:val="00E60333"/>
    <w:rsid w:val="00E6035A"/>
    <w:rsid w:val="00E603DB"/>
    <w:rsid w:val="00E60405"/>
    <w:rsid w:val="00E6040D"/>
    <w:rsid w:val="00E6044B"/>
    <w:rsid w:val="00E6049E"/>
    <w:rsid w:val="00E604A6"/>
    <w:rsid w:val="00E604DA"/>
    <w:rsid w:val="00E604DC"/>
    <w:rsid w:val="00E60504"/>
    <w:rsid w:val="00E6054F"/>
    <w:rsid w:val="00E605B4"/>
    <w:rsid w:val="00E605CC"/>
    <w:rsid w:val="00E60667"/>
    <w:rsid w:val="00E606F5"/>
    <w:rsid w:val="00E6073B"/>
    <w:rsid w:val="00E60782"/>
    <w:rsid w:val="00E607AA"/>
    <w:rsid w:val="00E6085C"/>
    <w:rsid w:val="00E608B4"/>
    <w:rsid w:val="00E608EC"/>
    <w:rsid w:val="00E608F2"/>
    <w:rsid w:val="00E609BC"/>
    <w:rsid w:val="00E609DB"/>
    <w:rsid w:val="00E60A83"/>
    <w:rsid w:val="00E60A92"/>
    <w:rsid w:val="00E60AF0"/>
    <w:rsid w:val="00E60B19"/>
    <w:rsid w:val="00E60B30"/>
    <w:rsid w:val="00E60B5C"/>
    <w:rsid w:val="00E60B6E"/>
    <w:rsid w:val="00E60BB6"/>
    <w:rsid w:val="00E60BB7"/>
    <w:rsid w:val="00E60C1B"/>
    <w:rsid w:val="00E60C53"/>
    <w:rsid w:val="00E60C77"/>
    <w:rsid w:val="00E60C91"/>
    <w:rsid w:val="00E60D01"/>
    <w:rsid w:val="00E60D12"/>
    <w:rsid w:val="00E60D4E"/>
    <w:rsid w:val="00E60D53"/>
    <w:rsid w:val="00E60D81"/>
    <w:rsid w:val="00E60D8F"/>
    <w:rsid w:val="00E60D95"/>
    <w:rsid w:val="00E60D98"/>
    <w:rsid w:val="00E60DC9"/>
    <w:rsid w:val="00E60E3E"/>
    <w:rsid w:val="00E60E52"/>
    <w:rsid w:val="00E60E53"/>
    <w:rsid w:val="00E60E58"/>
    <w:rsid w:val="00E60EBA"/>
    <w:rsid w:val="00E60EDA"/>
    <w:rsid w:val="00E60F07"/>
    <w:rsid w:val="00E60F4E"/>
    <w:rsid w:val="00E60F51"/>
    <w:rsid w:val="00E61019"/>
    <w:rsid w:val="00E61024"/>
    <w:rsid w:val="00E6102B"/>
    <w:rsid w:val="00E6103B"/>
    <w:rsid w:val="00E6111C"/>
    <w:rsid w:val="00E61141"/>
    <w:rsid w:val="00E611AC"/>
    <w:rsid w:val="00E611B2"/>
    <w:rsid w:val="00E611B6"/>
    <w:rsid w:val="00E6121F"/>
    <w:rsid w:val="00E6125D"/>
    <w:rsid w:val="00E612EC"/>
    <w:rsid w:val="00E61332"/>
    <w:rsid w:val="00E6133E"/>
    <w:rsid w:val="00E61366"/>
    <w:rsid w:val="00E613D9"/>
    <w:rsid w:val="00E613ED"/>
    <w:rsid w:val="00E61426"/>
    <w:rsid w:val="00E614C8"/>
    <w:rsid w:val="00E614E9"/>
    <w:rsid w:val="00E6153F"/>
    <w:rsid w:val="00E615AF"/>
    <w:rsid w:val="00E615B8"/>
    <w:rsid w:val="00E615F8"/>
    <w:rsid w:val="00E61601"/>
    <w:rsid w:val="00E61612"/>
    <w:rsid w:val="00E61678"/>
    <w:rsid w:val="00E616DE"/>
    <w:rsid w:val="00E61739"/>
    <w:rsid w:val="00E61741"/>
    <w:rsid w:val="00E61745"/>
    <w:rsid w:val="00E61758"/>
    <w:rsid w:val="00E61782"/>
    <w:rsid w:val="00E61792"/>
    <w:rsid w:val="00E617DD"/>
    <w:rsid w:val="00E61869"/>
    <w:rsid w:val="00E618E6"/>
    <w:rsid w:val="00E61990"/>
    <w:rsid w:val="00E619B6"/>
    <w:rsid w:val="00E619C2"/>
    <w:rsid w:val="00E619E6"/>
    <w:rsid w:val="00E61A1F"/>
    <w:rsid w:val="00E61A36"/>
    <w:rsid w:val="00E61A42"/>
    <w:rsid w:val="00E61A4B"/>
    <w:rsid w:val="00E61A50"/>
    <w:rsid w:val="00E61A60"/>
    <w:rsid w:val="00E61AA8"/>
    <w:rsid w:val="00E61AB0"/>
    <w:rsid w:val="00E61AE9"/>
    <w:rsid w:val="00E61B7C"/>
    <w:rsid w:val="00E61B86"/>
    <w:rsid w:val="00E61B99"/>
    <w:rsid w:val="00E61B9B"/>
    <w:rsid w:val="00E61BAD"/>
    <w:rsid w:val="00E61C15"/>
    <w:rsid w:val="00E61C45"/>
    <w:rsid w:val="00E61CC0"/>
    <w:rsid w:val="00E61CCA"/>
    <w:rsid w:val="00E61CDD"/>
    <w:rsid w:val="00E61D01"/>
    <w:rsid w:val="00E61D18"/>
    <w:rsid w:val="00E61D38"/>
    <w:rsid w:val="00E61DAD"/>
    <w:rsid w:val="00E61E08"/>
    <w:rsid w:val="00E61E2C"/>
    <w:rsid w:val="00E61E5F"/>
    <w:rsid w:val="00E61E72"/>
    <w:rsid w:val="00E61F4E"/>
    <w:rsid w:val="00E61F55"/>
    <w:rsid w:val="00E61F66"/>
    <w:rsid w:val="00E61F7E"/>
    <w:rsid w:val="00E61FC9"/>
    <w:rsid w:val="00E61FE7"/>
    <w:rsid w:val="00E6202A"/>
    <w:rsid w:val="00E62038"/>
    <w:rsid w:val="00E6205F"/>
    <w:rsid w:val="00E62083"/>
    <w:rsid w:val="00E62085"/>
    <w:rsid w:val="00E6208A"/>
    <w:rsid w:val="00E620BF"/>
    <w:rsid w:val="00E620C3"/>
    <w:rsid w:val="00E620DA"/>
    <w:rsid w:val="00E620F3"/>
    <w:rsid w:val="00E6218B"/>
    <w:rsid w:val="00E621A5"/>
    <w:rsid w:val="00E621A9"/>
    <w:rsid w:val="00E621C7"/>
    <w:rsid w:val="00E62242"/>
    <w:rsid w:val="00E62248"/>
    <w:rsid w:val="00E6226A"/>
    <w:rsid w:val="00E62271"/>
    <w:rsid w:val="00E6227D"/>
    <w:rsid w:val="00E622B6"/>
    <w:rsid w:val="00E62336"/>
    <w:rsid w:val="00E6236F"/>
    <w:rsid w:val="00E6237B"/>
    <w:rsid w:val="00E623A4"/>
    <w:rsid w:val="00E623E8"/>
    <w:rsid w:val="00E62407"/>
    <w:rsid w:val="00E6242F"/>
    <w:rsid w:val="00E62483"/>
    <w:rsid w:val="00E624A0"/>
    <w:rsid w:val="00E624B1"/>
    <w:rsid w:val="00E624DF"/>
    <w:rsid w:val="00E624EF"/>
    <w:rsid w:val="00E62510"/>
    <w:rsid w:val="00E6257E"/>
    <w:rsid w:val="00E625BD"/>
    <w:rsid w:val="00E62612"/>
    <w:rsid w:val="00E626B5"/>
    <w:rsid w:val="00E626B8"/>
    <w:rsid w:val="00E626F7"/>
    <w:rsid w:val="00E62740"/>
    <w:rsid w:val="00E627B2"/>
    <w:rsid w:val="00E627FB"/>
    <w:rsid w:val="00E62831"/>
    <w:rsid w:val="00E62949"/>
    <w:rsid w:val="00E62967"/>
    <w:rsid w:val="00E62969"/>
    <w:rsid w:val="00E6296B"/>
    <w:rsid w:val="00E6298E"/>
    <w:rsid w:val="00E629D1"/>
    <w:rsid w:val="00E629D2"/>
    <w:rsid w:val="00E629F8"/>
    <w:rsid w:val="00E629FC"/>
    <w:rsid w:val="00E62A21"/>
    <w:rsid w:val="00E62A23"/>
    <w:rsid w:val="00E62A65"/>
    <w:rsid w:val="00E62A78"/>
    <w:rsid w:val="00E62AEC"/>
    <w:rsid w:val="00E62B28"/>
    <w:rsid w:val="00E62B5F"/>
    <w:rsid w:val="00E62BBA"/>
    <w:rsid w:val="00E62C2F"/>
    <w:rsid w:val="00E62CD1"/>
    <w:rsid w:val="00E62D08"/>
    <w:rsid w:val="00E62D40"/>
    <w:rsid w:val="00E62D42"/>
    <w:rsid w:val="00E62DA8"/>
    <w:rsid w:val="00E62DBE"/>
    <w:rsid w:val="00E62DC7"/>
    <w:rsid w:val="00E62EB6"/>
    <w:rsid w:val="00E62EC6"/>
    <w:rsid w:val="00E62F1F"/>
    <w:rsid w:val="00E62FDE"/>
    <w:rsid w:val="00E62FEE"/>
    <w:rsid w:val="00E6300A"/>
    <w:rsid w:val="00E63017"/>
    <w:rsid w:val="00E63039"/>
    <w:rsid w:val="00E6308A"/>
    <w:rsid w:val="00E630AF"/>
    <w:rsid w:val="00E630FB"/>
    <w:rsid w:val="00E63189"/>
    <w:rsid w:val="00E63195"/>
    <w:rsid w:val="00E631C2"/>
    <w:rsid w:val="00E63228"/>
    <w:rsid w:val="00E6323A"/>
    <w:rsid w:val="00E63277"/>
    <w:rsid w:val="00E6327E"/>
    <w:rsid w:val="00E632F7"/>
    <w:rsid w:val="00E63354"/>
    <w:rsid w:val="00E63389"/>
    <w:rsid w:val="00E63393"/>
    <w:rsid w:val="00E633C0"/>
    <w:rsid w:val="00E633DE"/>
    <w:rsid w:val="00E633E2"/>
    <w:rsid w:val="00E633F4"/>
    <w:rsid w:val="00E63433"/>
    <w:rsid w:val="00E63458"/>
    <w:rsid w:val="00E6346D"/>
    <w:rsid w:val="00E634BE"/>
    <w:rsid w:val="00E634DF"/>
    <w:rsid w:val="00E635AA"/>
    <w:rsid w:val="00E6362A"/>
    <w:rsid w:val="00E6365A"/>
    <w:rsid w:val="00E63664"/>
    <w:rsid w:val="00E636AD"/>
    <w:rsid w:val="00E636DC"/>
    <w:rsid w:val="00E63735"/>
    <w:rsid w:val="00E63790"/>
    <w:rsid w:val="00E6379A"/>
    <w:rsid w:val="00E63854"/>
    <w:rsid w:val="00E63882"/>
    <w:rsid w:val="00E638EF"/>
    <w:rsid w:val="00E638FE"/>
    <w:rsid w:val="00E6394B"/>
    <w:rsid w:val="00E639C3"/>
    <w:rsid w:val="00E639D6"/>
    <w:rsid w:val="00E63A43"/>
    <w:rsid w:val="00E63A4A"/>
    <w:rsid w:val="00E63A59"/>
    <w:rsid w:val="00E63A8F"/>
    <w:rsid w:val="00E63B03"/>
    <w:rsid w:val="00E63B0C"/>
    <w:rsid w:val="00E63B14"/>
    <w:rsid w:val="00E63B3D"/>
    <w:rsid w:val="00E63BE8"/>
    <w:rsid w:val="00E63BEA"/>
    <w:rsid w:val="00E63C40"/>
    <w:rsid w:val="00E63C7E"/>
    <w:rsid w:val="00E63C96"/>
    <w:rsid w:val="00E63CD2"/>
    <w:rsid w:val="00E63CF4"/>
    <w:rsid w:val="00E63D53"/>
    <w:rsid w:val="00E63D75"/>
    <w:rsid w:val="00E63E1E"/>
    <w:rsid w:val="00E63E73"/>
    <w:rsid w:val="00E63EAF"/>
    <w:rsid w:val="00E63EC9"/>
    <w:rsid w:val="00E63EE6"/>
    <w:rsid w:val="00E63EF2"/>
    <w:rsid w:val="00E63EFA"/>
    <w:rsid w:val="00E63F9E"/>
    <w:rsid w:val="00E63FF5"/>
    <w:rsid w:val="00E6401D"/>
    <w:rsid w:val="00E64021"/>
    <w:rsid w:val="00E64054"/>
    <w:rsid w:val="00E6406C"/>
    <w:rsid w:val="00E6408B"/>
    <w:rsid w:val="00E64095"/>
    <w:rsid w:val="00E640BD"/>
    <w:rsid w:val="00E6413D"/>
    <w:rsid w:val="00E6415C"/>
    <w:rsid w:val="00E64186"/>
    <w:rsid w:val="00E64188"/>
    <w:rsid w:val="00E641DE"/>
    <w:rsid w:val="00E641E3"/>
    <w:rsid w:val="00E64257"/>
    <w:rsid w:val="00E642BA"/>
    <w:rsid w:val="00E642BC"/>
    <w:rsid w:val="00E642CD"/>
    <w:rsid w:val="00E643C0"/>
    <w:rsid w:val="00E643E4"/>
    <w:rsid w:val="00E643EA"/>
    <w:rsid w:val="00E64405"/>
    <w:rsid w:val="00E6445A"/>
    <w:rsid w:val="00E64475"/>
    <w:rsid w:val="00E6448F"/>
    <w:rsid w:val="00E6451A"/>
    <w:rsid w:val="00E6454F"/>
    <w:rsid w:val="00E64597"/>
    <w:rsid w:val="00E6459A"/>
    <w:rsid w:val="00E645BA"/>
    <w:rsid w:val="00E645BE"/>
    <w:rsid w:val="00E645C5"/>
    <w:rsid w:val="00E645D5"/>
    <w:rsid w:val="00E64617"/>
    <w:rsid w:val="00E64646"/>
    <w:rsid w:val="00E6465F"/>
    <w:rsid w:val="00E64694"/>
    <w:rsid w:val="00E646C5"/>
    <w:rsid w:val="00E64737"/>
    <w:rsid w:val="00E64781"/>
    <w:rsid w:val="00E647D0"/>
    <w:rsid w:val="00E64802"/>
    <w:rsid w:val="00E64866"/>
    <w:rsid w:val="00E64889"/>
    <w:rsid w:val="00E648AE"/>
    <w:rsid w:val="00E64929"/>
    <w:rsid w:val="00E649AA"/>
    <w:rsid w:val="00E649E0"/>
    <w:rsid w:val="00E64A92"/>
    <w:rsid w:val="00E64AA5"/>
    <w:rsid w:val="00E64ADA"/>
    <w:rsid w:val="00E64B2F"/>
    <w:rsid w:val="00E64B7D"/>
    <w:rsid w:val="00E64BA0"/>
    <w:rsid w:val="00E64BE7"/>
    <w:rsid w:val="00E64C16"/>
    <w:rsid w:val="00E64C2D"/>
    <w:rsid w:val="00E64C64"/>
    <w:rsid w:val="00E64C76"/>
    <w:rsid w:val="00E64CCC"/>
    <w:rsid w:val="00E64CED"/>
    <w:rsid w:val="00E64CF2"/>
    <w:rsid w:val="00E64D08"/>
    <w:rsid w:val="00E64D11"/>
    <w:rsid w:val="00E64D38"/>
    <w:rsid w:val="00E64D95"/>
    <w:rsid w:val="00E64DC6"/>
    <w:rsid w:val="00E64DEA"/>
    <w:rsid w:val="00E64E00"/>
    <w:rsid w:val="00E64E0F"/>
    <w:rsid w:val="00E64E45"/>
    <w:rsid w:val="00E64EA4"/>
    <w:rsid w:val="00E64ED1"/>
    <w:rsid w:val="00E64FBA"/>
    <w:rsid w:val="00E64FD7"/>
    <w:rsid w:val="00E6501F"/>
    <w:rsid w:val="00E65034"/>
    <w:rsid w:val="00E65070"/>
    <w:rsid w:val="00E650AF"/>
    <w:rsid w:val="00E650E4"/>
    <w:rsid w:val="00E650F8"/>
    <w:rsid w:val="00E6512F"/>
    <w:rsid w:val="00E65159"/>
    <w:rsid w:val="00E651AD"/>
    <w:rsid w:val="00E651CF"/>
    <w:rsid w:val="00E651E8"/>
    <w:rsid w:val="00E6520A"/>
    <w:rsid w:val="00E65219"/>
    <w:rsid w:val="00E6523F"/>
    <w:rsid w:val="00E6528F"/>
    <w:rsid w:val="00E6529A"/>
    <w:rsid w:val="00E652E1"/>
    <w:rsid w:val="00E65344"/>
    <w:rsid w:val="00E6534C"/>
    <w:rsid w:val="00E6534D"/>
    <w:rsid w:val="00E65383"/>
    <w:rsid w:val="00E65387"/>
    <w:rsid w:val="00E653D8"/>
    <w:rsid w:val="00E6541F"/>
    <w:rsid w:val="00E65478"/>
    <w:rsid w:val="00E6547F"/>
    <w:rsid w:val="00E654C1"/>
    <w:rsid w:val="00E654DF"/>
    <w:rsid w:val="00E6551B"/>
    <w:rsid w:val="00E6552B"/>
    <w:rsid w:val="00E6554F"/>
    <w:rsid w:val="00E6557D"/>
    <w:rsid w:val="00E65584"/>
    <w:rsid w:val="00E65615"/>
    <w:rsid w:val="00E65617"/>
    <w:rsid w:val="00E656FE"/>
    <w:rsid w:val="00E6574E"/>
    <w:rsid w:val="00E6576D"/>
    <w:rsid w:val="00E65822"/>
    <w:rsid w:val="00E658B5"/>
    <w:rsid w:val="00E658C8"/>
    <w:rsid w:val="00E658FD"/>
    <w:rsid w:val="00E65908"/>
    <w:rsid w:val="00E65920"/>
    <w:rsid w:val="00E65941"/>
    <w:rsid w:val="00E6599E"/>
    <w:rsid w:val="00E65A68"/>
    <w:rsid w:val="00E65A7D"/>
    <w:rsid w:val="00E65A8F"/>
    <w:rsid w:val="00E65AA9"/>
    <w:rsid w:val="00E65AF2"/>
    <w:rsid w:val="00E65AFF"/>
    <w:rsid w:val="00E65B1C"/>
    <w:rsid w:val="00E65B1E"/>
    <w:rsid w:val="00E65B7C"/>
    <w:rsid w:val="00E65C07"/>
    <w:rsid w:val="00E65C32"/>
    <w:rsid w:val="00E65C6F"/>
    <w:rsid w:val="00E65D54"/>
    <w:rsid w:val="00E65D55"/>
    <w:rsid w:val="00E65D6B"/>
    <w:rsid w:val="00E65D7E"/>
    <w:rsid w:val="00E65DEF"/>
    <w:rsid w:val="00E65E17"/>
    <w:rsid w:val="00E65E2F"/>
    <w:rsid w:val="00E65E82"/>
    <w:rsid w:val="00E65E9A"/>
    <w:rsid w:val="00E65ECB"/>
    <w:rsid w:val="00E65F15"/>
    <w:rsid w:val="00E65F40"/>
    <w:rsid w:val="00E65F7F"/>
    <w:rsid w:val="00E65F95"/>
    <w:rsid w:val="00E65FA8"/>
    <w:rsid w:val="00E66009"/>
    <w:rsid w:val="00E6600B"/>
    <w:rsid w:val="00E6605F"/>
    <w:rsid w:val="00E660A5"/>
    <w:rsid w:val="00E660CA"/>
    <w:rsid w:val="00E660DD"/>
    <w:rsid w:val="00E660FD"/>
    <w:rsid w:val="00E66133"/>
    <w:rsid w:val="00E6614B"/>
    <w:rsid w:val="00E66167"/>
    <w:rsid w:val="00E6617D"/>
    <w:rsid w:val="00E66181"/>
    <w:rsid w:val="00E66193"/>
    <w:rsid w:val="00E66206"/>
    <w:rsid w:val="00E66263"/>
    <w:rsid w:val="00E662BF"/>
    <w:rsid w:val="00E6631F"/>
    <w:rsid w:val="00E66330"/>
    <w:rsid w:val="00E66365"/>
    <w:rsid w:val="00E6636D"/>
    <w:rsid w:val="00E663A3"/>
    <w:rsid w:val="00E66414"/>
    <w:rsid w:val="00E66444"/>
    <w:rsid w:val="00E6644C"/>
    <w:rsid w:val="00E6644D"/>
    <w:rsid w:val="00E66473"/>
    <w:rsid w:val="00E664A8"/>
    <w:rsid w:val="00E664F7"/>
    <w:rsid w:val="00E66506"/>
    <w:rsid w:val="00E66526"/>
    <w:rsid w:val="00E6653A"/>
    <w:rsid w:val="00E6653E"/>
    <w:rsid w:val="00E66543"/>
    <w:rsid w:val="00E66581"/>
    <w:rsid w:val="00E665C7"/>
    <w:rsid w:val="00E665E4"/>
    <w:rsid w:val="00E66649"/>
    <w:rsid w:val="00E666C2"/>
    <w:rsid w:val="00E666EC"/>
    <w:rsid w:val="00E66768"/>
    <w:rsid w:val="00E6676C"/>
    <w:rsid w:val="00E6680F"/>
    <w:rsid w:val="00E66821"/>
    <w:rsid w:val="00E6683E"/>
    <w:rsid w:val="00E66856"/>
    <w:rsid w:val="00E66897"/>
    <w:rsid w:val="00E668B3"/>
    <w:rsid w:val="00E668CB"/>
    <w:rsid w:val="00E668CC"/>
    <w:rsid w:val="00E6694A"/>
    <w:rsid w:val="00E669D4"/>
    <w:rsid w:val="00E66A21"/>
    <w:rsid w:val="00E66AA1"/>
    <w:rsid w:val="00E66AA3"/>
    <w:rsid w:val="00E66AE7"/>
    <w:rsid w:val="00E66AFF"/>
    <w:rsid w:val="00E66B34"/>
    <w:rsid w:val="00E66B6F"/>
    <w:rsid w:val="00E66BE5"/>
    <w:rsid w:val="00E66C19"/>
    <w:rsid w:val="00E66C49"/>
    <w:rsid w:val="00E66CC1"/>
    <w:rsid w:val="00E66CDF"/>
    <w:rsid w:val="00E66CE5"/>
    <w:rsid w:val="00E66D12"/>
    <w:rsid w:val="00E66D75"/>
    <w:rsid w:val="00E66DE9"/>
    <w:rsid w:val="00E66DED"/>
    <w:rsid w:val="00E66E03"/>
    <w:rsid w:val="00E66E1F"/>
    <w:rsid w:val="00E66F03"/>
    <w:rsid w:val="00E66F24"/>
    <w:rsid w:val="00E66F4E"/>
    <w:rsid w:val="00E66F60"/>
    <w:rsid w:val="00E66FD1"/>
    <w:rsid w:val="00E67040"/>
    <w:rsid w:val="00E67097"/>
    <w:rsid w:val="00E670A3"/>
    <w:rsid w:val="00E67105"/>
    <w:rsid w:val="00E6710D"/>
    <w:rsid w:val="00E67145"/>
    <w:rsid w:val="00E67174"/>
    <w:rsid w:val="00E6719F"/>
    <w:rsid w:val="00E671A1"/>
    <w:rsid w:val="00E671A5"/>
    <w:rsid w:val="00E6724E"/>
    <w:rsid w:val="00E672BA"/>
    <w:rsid w:val="00E6732D"/>
    <w:rsid w:val="00E67396"/>
    <w:rsid w:val="00E673EC"/>
    <w:rsid w:val="00E673FA"/>
    <w:rsid w:val="00E674A8"/>
    <w:rsid w:val="00E67514"/>
    <w:rsid w:val="00E6751C"/>
    <w:rsid w:val="00E67572"/>
    <w:rsid w:val="00E675DF"/>
    <w:rsid w:val="00E675F6"/>
    <w:rsid w:val="00E67600"/>
    <w:rsid w:val="00E6763A"/>
    <w:rsid w:val="00E67656"/>
    <w:rsid w:val="00E6768D"/>
    <w:rsid w:val="00E676C6"/>
    <w:rsid w:val="00E676CD"/>
    <w:rsid w:val="00E676DA"/>
    <w:rsid w:val="00E676E2"/>
    <w:rsid w:val="00E67728"/>
    <w:rsid w:val="00E67764"/>
    <w:rsid w:val="00E6777E"/>
    <w:rsid w:val="00E67782"/>
    <w:rsid w:val="00E6778C"/>
    <w:rsid w:val="00E677AB"/>
    <w:rsid w:val="00E677BC"/>
    <w:rsid w:val="00E67854"/>
    <w:rsid w:val="00E6785F"/>
    <w:rsid w:val="00E67881"/>
    <w:rsid w:val="00E678A3"/>
    <w:rsid w:val="00E678F4"/>
    <w:rsid w:val="00E67914"/>
    <w:rsid w:val="00E6793A"/>
    <w:rsid w:val="00E6794D"/>
    <w:rsid w:val="00E67A19"/>
    <w:rsid w:val="00E67A32"/>
    <w:rsid w:val="00E67A4D"/>
    <w:rsid w:val="00E67A4F"/>
    <w:rsid w:val="00E67A9C"/>
    <w:rsid w:val="00E67A9D"/>
    <w:rsid w:val="00E67ACD"/>
    <w:rsid w:val="00E67B2F"/>
    <w:rsid w:val="00E67B7D"/>
    <w:rsid w:val="00E67B7E"/>
    <w:rsid w:val="00E67BD9"/>
    <w:rsid w:val="00E67BF3"/>
    <w:rsid w:val="00E67C0D"/>
    <w:rsid w:val="00E67C77"/>
    <w:rsid w:val="00E67C9F"/>
    <w:rsid w:val="00E67D3C"/>
    <w:rsid w:val="00E67DA0"/>
    <w:rsid w:val="00E67DF8"/>
    <w:rsid w:val="00E67DFA"/>
    <w:rsid w:val="00E67E65"/>
    <w:rsid w:val="00E67F25"/>
    <w:rsid w:val="00E67F2F"/>
    <w:rsid w:val="00E67F4E"/>
    <w:rsid w:val="00E67F9A"/>
    <w:rsid w:val="00E67FC0"/>
    <w:rsid w:val="00E70059"/>
    <w:rsid w:val="00E700C7"/>
    <w:rsid w:val="00E700FB"/>
    <w:rsid w:val="00E70131"/>
    <w:rsid w:val="00E70183"/>
    <w:rsid w:val="00E701F6"/>
    <w:rsid w:val="00E70206"/>
    <w:rsid w:val="00E70311"/>
    <w:rsid w:val="00E70353"/>
    <w:rsid w:val="00E70386"/>
    <w:rsid w:val="00E7041E"/>
    <w:rsid w:val="00E7042E"/>
    <w:rsid w:val="00E70436"/>
    <w:rsid w:val="00E70445"/>
    <w:rsid w:val="00E704CB"/>
    <w:rsid w:val="00E70511"/>
    <w:rsid w:val="00E70516"/>
    <w:rsid w:val="00E7056F"/>
    <w:rsid w:val="00E705A6"/>
    <w:rsid w:val="00E705B8"/>
    <w:rsid w:val="00E70601"/>
    <w:rsid w:val="00E70615"/>
    <w:rsid w:val="00E70629"/>
    <w:rsid w:val="00E70685"/>
    <w:rsid w:val="00E7068B"/>
    <w:rsid w:val="00E706B8"/>
    <w:rsid w:val="00E706CA"/>
    <w:rsid w:val="00E706E4"/>
    <w:rsid w:val="00E70721"/>
    <w:rsid w:val="00E70762"/>
    <w:rsid w:val="00E70823"/>
    <w:rsid w:val="00E7084C"/>
    <w:rsid w:val="00E7085E"/>
    <w:rsid w:val="00E70868"/>
    <w:rsid w:val="00E7089F"/>
    <w:rsid w:val="00E7091C"/>
    <w:rsid w:val="00E7096A"/>
    <w:rsid w:val="00E709AE"/>
    <w:rsid w:val="00E709C0"/>
    <w:rsid w:val="00E709E4"/>
    <w:rsid w:val="00E70A3C"/>
    <w:rsid w:val="00E70AFE"/>
    <w:rsid w:val="00E70B69"/>
    <w:rsid w:val="00E70BE0"/>
    <w:rsid w:val="00E70BF3"/>
    <w:rsid w:val="00E70C16"/>
    <w:rsid w:val="00E70C30"/>
    <w:rsid w:val="00E70C53"/>
    <w:rsid w:val="00E70C8F"/>
    <w:rsid w:val="00E70CF6"/>
    <w:rsid w:val="00E70D07"/>
    <w:rsid w:val="00E70D86"/>
    <w:rsid w:val="00E70DA0"/>
    <w:rsid w:val="00E70DA8"/>
    <w:rsid w:val="00E70E34"/>
    <w:rsid w:val="00E70E52"/>
    <w:rsid w:val="00E70F44"/>
    <w:rsid w:val="00E70F46"/>
    <w:rsid w:val="00E70F81"/>
    <w:rsid w:val="00E70FD7"/>
    <w:rsid w:val="00E70FED"/>
    <w:rsid w:val="00E71028"/>
    <w:rsid w:val="00E71029"/>
    <w:rsid w:val="00E7103E"/>
    <w:rsid w:val="00E710F1"/>
    <w:rsid w:val="00E7115B"/>
    <w:rsid w:val="00E711AF"/>
    <w:rsid w:val="00E711E7"/>
    <w:rsid w:val="00E7123D"/>
    <w:rsid w:val="00E71244"/>
    <w:rsid w:val="00E71252"/>
    <w:rsid w:val="00E71258"/>
    <w:rsid w:val="00E71283"/>
    <w:rsid w:val="00E71330"/>
    <w:rsid w:val="00E7133C"/>
    <w:rsid w:val="00E713C2"/>
    <w:rsid w:val="00E71406"/>
    <w:rsid w:val="00E71411"/>
    <w:rsid w:val="00E71442"/>
    <w:rsid w:val="00E7144C"/>
    <w:rsid w:val="00E71461"/>
    <w:rsid w:val="00E71480"/>
    <w:rsid w:val="00E7149E"/>
    <w:rsid w:val="00E714D1"/>
    <w:rsid w:val="00E71509"/>
    <w:rsid w:val="00E7152A"/>
    <w:rsid w:val="00E71546"/>
    <w:rsid w:val="00E7154A"/>
    <w:rsid w:val="00E715AB"/>
    <w:rsid w:val="00E715C0"/>
    <w:rsid w:val="00E715E0"/>
    <w:rsid w:val="00E71621"/>
    <w:rsid w:val="00E7162B"/>
    <w:rsid w:val="00E71664"/>
    <w:rsid w:val="00E71680"/>
    <w:rsid w:val="00E716B3"/>
    <w:rsid w:val="00E7170B"/>
    <w:rsid w:val="00E71738"/>
    <w:rsid w:val="00E71745"/>
    <w:rsid w:val="00E7178F"/>
    <w:rsid w:val="00E717AA"/>
    <w:rsid w:val="00E717D8"/>
    <w:rsid w:val="00E717D9"/>
    <w:rsid w:val="00E717ED"/>
    <w:rsid w:val="00E7181B"/>
    <w:rsid w:val="00E71855"/>
    <w:rsid w:val="00E71892"/>
    <w:rsid w:val="00E718A8"/>
    <w:rsid w:val="00E718E4"/>
    <w:rsid w:val="00E7190F"/>
    <w:rsid w:val="00E71947"/>
    <w:rsid w:val="00E71979"/>
    <w:rsid w:val="00E719C9"/>
    <w:rsid w:val="00E719E6"/>
    <w:rsid w:val="00E719FD"/>
    <w:rsid w:val="00E71A44"/>
    <w:rsid w:val="00E71A7A"/>
    <w:rsid w:val="00E71A9D"/>
    <w:rsid w:val="00E71AB8"/>
    <w:rsid w:val="00E71AD4"/>
    <w:rsid w:val="00E71B39"/>
    <w:rsid w:val="00E71B46"/>
    <w:rsid w:val="00E71B75"/>
    <w:rsid w:val="00E71C04"/>
    <w:rsid w:val="00E71C06"/>
    <w:rsid w:val="00E71C36"/>
    <w:rsid w:val="00E71C46"/>
    <w:rsid w:val="00E71C69"/>
    <w:rsid w:val="00E71CCF"/>
    <w:rsid w:val="00E71CD3"/>
    <w:rsid w:val="00E71CE9"/>
    <w:rsid w:val="00E71D46"/>
    <w:rsid w:val="00E71D98"/>
    <w:rsid w:val="00E71DCE"/>
    <w:rsid w:val="00E71E0A"/>
    <w:rsid w:val="00E71E7E"/>
    <w:rsid w:val="00E71EFB"/>
    <w:rsid w:val="00E71F01"/>
    <w:rsid w:val="00E71F28"/>
    <w:rsid w:val="00E71F2E"/>
    <w:rsid w:val="00E71F67"/>
    <w:rsid w:val="00E71F75"/>
    <w:rsid w:val="00E71FB3"/>
    <w:rsid w:val="00E71FC8"/>
    <w:rsid w:val="00E72003"/>
    <w:rsid w:val="00E7201D"/>
    <w:rsid w:val="00E72029"/>
    <w:rsid w:val="00E7205F"/>
    <w:rsid w:val="00E72082"/>
    <w:rsid w:val="00E72094"/>
    <w:rsid w:val="00E720B3"/>
    <w:rsid w:val="00E7212A"/>
    <w:rsid w:val="00E721C2"/>
    <w:rsid w:val="00E7225F"/>
    <w:rsid w:val="00E72278"/>
    <w:rsid w:val="00E7227D"/>
    <w:rsid w:val="00E722B7"/>
    <w:rsid w:val="00E722D9"/>
    <w:rsid w:val="00E72371"/>
    <w:rsid w:val="00E723FF"/>
    <w:rsid w:val="00E72466"/>
    <w:rsid w:val="00E72484"/>
    <w:rsid w:val="00E724A3"/>
    <w:rsid w:val="00E72504"/>
    <w:rsid w:val="00E7253E"/>
    <w:rsid w:val="00E72547"/>
    <w:rsid w:val="00E72549"/>
    <w:rsid w:val="00E72560"/>
    <w:rsid w:val="00E72597"/>
    <w:rsid w:val="00E725C9"/>
    <w:rsid w:val="00E725D7"/>
    <w:rsid w:val="00E72639"/>
    <w:rsid w:val="00E72643"/>
    <w:rsid w:val="00E72683"/>
    <w:rsid w:val="00E7274E"/>
    <w:rsid w:val="00E7278F"/>
    <w:rsid w:val="00E72792"/>
    <w:rsid w:val="00E727B5"/>
    <w:rsid w:val="00E727BF"/>
    <w:rsid w:val="00E72802"/>
    <w:rsid w:val="00E7282D"/>
    <w:rsid w:val="00E72869"/>
    <w:rsid w:val="00E72871"/>
    <w:rsid w:val="00E72886"/>
    <w:rsid w:val="00E728C9"/>
    <w:rsid w:val="00E728D3"/>
    <w:rsid w:val="00E72910"/>
    <w:rsid w:val="00E7293C"/>
    <w:rsid w:val="00E7296A"/>
    <w:rsid w:val="00E72A4C"/>
    <w:rsid w:val="00E72A56"/>
    <w:rsid w:val="00E72ABE"/>
    <w:rsid w:val="00E72AD6"/>
    <w:rsid w:val="00E72AD9"/>
    <w:rsid w:val="00E72B43"/>
    <w:rsid w:val="00E72B5A"/>
    <w:rsid w:val="00E72BAB"/>
    <w:rsid w:val="00E72BAE"/>
    <w:rsid w:val="00E72C39"/>
    <w:rsid w:val="00E72C64"/>
    <w:rsid w:val="00E72C8D"/>
    <w:rsid w:val="00E72CCF"/>
    <w:rsid w:val="00E72CE9"/>
    <w:rsid w:val="00E72D05"/>
    <w:rsid w:val="00E72D2B"/>
    <w:rsid w:val="00E72D6D"/>
    <w:rsid w:val="00E72D96"/>
    <w:rsid w:val="00E72DED"/>
    <w:rsid w:val="00E72DFE"/>
    <w:rsid w:val="00E72E05"/>
    <w:rsid w:val="00E72E37"/>
    <w:rsid w:val="00E72E62"/>
    <w:rsid w:val="00E72E89"/>
    <w:rsid w:val="00E72E91"/>
    <w:rsid w:val="00E72ED1"/>
    <w:rsid w:val="00E72EE9"/>
    <w:rsid w:val="00E72EF6"/>
    <w:rsid w:val="00E72FDD"/>
    <w:rsid w:val="00E72FF5"/>
    <w:rsid w:val="00E72FF6"/>
    <w:rsid w:val="00E7307E"/>
    <w:rsid w:val="00E730DC"/>
    <w:rsid w:val="00E7312C"/>
    <w:rsid w:val="00E73159"/>
    <w:rsid w:val="00E73173"/>
    <w:rsid w:val="00E73185"/>
    <w:rsid w:val="00E731B6"/>
    <w:rsid w:val="00E731E4"/>
    <w:rsid w:val="00E73247"/>
    <w:rsid w:val="00E73277"/>
    <w:rsid w:val="00E73287"/>
    <w:rsid w:val="00E73293"/>
    <w:rsid w:val="00E732F2"/>
    <w:rsid w:val="00E73365"/>
    <w:rsid w:val="00E7338E"/>
    <w:rsid w:val="00E733A0"/>
    <w:rsid w:val="00E733A3"/>
    <w:rsid w:val="00E733EA"/>
    <w:rsid w:val="00E73408"/>
    <w:rsid w:val="00E73413"/>
    <w:rsid w:val="00E7342D"/>
    <w:rsid w:val="00E7344C"/>
    <w:rsid w:val="00E734DE"/>
    <w:rsid w:val="00E7357A"/>
    <w:rsid w:val="00E735AA"/>
    <w:rsid w:val="00E735AE"/>
    <w:rsid w:val="00E735B2"/>
    <w:rsid w:val="00E735E0"/>
    <w:rsid w:val="00E73605"/>
    <w:rsid w:val="00E73615"/>
    <w:rsid w:val="00E7363F"/>
    <w:rsid w:val="00E7369C"/>
    <w:rsid w:val="00E736A9"/>
    <w:rsid w:val="00E736B8"/>
    <w:rsid w:val="00E736E5"/>
    <w:rsid w:val="00E7373D"/>
    <w:rsid w:val="00E73775"/>
    <w:rsid w:val="00E7378C"/>
    <w:rsid w:val="00E737E3"/>
    <w:rsid w:val="00E737E8"/>
    <w:rsid w:val="00E7384E"/>
    <w:rsid w:val="00E73852"/>
    <w:rsid w:val="00E738BE"/>
    <w:rsid w:val="00E73910"/>
    <w:rsid w:val="00E7393B"/>
    <w:rsid w:val="00E73953"/>
    <w:rsid w:val="00E739D9"/>
    <w:rsid w:val="00E73A28"/>
    <w:rsid w:val="00E73A2F"/>
    <w:rsid w:val="00E73AEB"/>
    <w:rsid w:val="00E73B03"/>
    <w:rsid w:val="00E73B99"/>
    <w:rsid w:val="00E73C1A"/>
    <w:rsid w:val="00E73C7E"/>
    <w:rsid w:val="00E73C96"/>
    <w:rsid w:val="00E73CA0"/>
    <w:rsid w:val="00E73CB1"/>
    <w:rsid w:val="00E73D0A"/>
    <w:rsid w:val="00E73D62"/>
    <w:rsid w:val="00E73DC0"/>
    <w:rsid w:val="00E73E02"/>
    <w:rsid w:val="00E73E13"/>
    <w:rsid w:val="00E73E3C"/>
    <w:rsid w:val="00E73E43"/>
    <w:rsid w:val="00E73E6B"/>
    <w:rsid w:val="00E73EA9"/>
    <w:rsid w:val="00E73EB9"/>
    <w:rsid w:val="00E73EC2"/>
    <w:rsid w:val="00E73F3B"/>
    <w:rsid w:val="00E74044"/>
    <w:rsid w:val="00E74055"/>
    <w:rsid w:val="00E74088"/>
    <w:rsid w:val="00E74095"/>
    <w:rsid w:val="00E740A6"/>
    <w:rsid w:val="00E740B6"/>
    <w:rsid w:val="00E74198"/>
    <w:rsid w:val="00E741B3"/>
    <w:rsid w:val="00E741BD"/>
    <w:rsid w:val="00E741E2"/>
    <w:rsid w:val="00E7421F"/>
    <w:rsid w:val="00E74232"/>
    <w:rsid w:val="00E742AD"/>
    <w:rsid w:val="00E74366"/>
    <w:rsid w:val="00E744A3"/>
    <w:rsid w:val="00E744EB"/>
    <w:rsid w:val="00E74521"/>
    <w:rsid w:val="00E7453D"/>
    <w:rsid w:val="00E7455A"/>
    <w:rsid w:val="00E74573"/>
    <w:rsid w:val="00E74595"/>
    <w:rsid w:val="00E745C8"/>
    <w:rsid w:val="00E7460D"/>
    <w:rsid w:val="00E7468D"/>
    <w:rsid w:val="00E746CB"/>
    <w:rsid w:val="00E746E4"/>
    <w:rsid w:val="00E746F6"/>
    <w:rsid w:val="00E7470A"/>
    <w:rsid w:val="00E7474A"/>
    <w:rsid w:val="00E74769"/>
    <w:rsid w:val="00E7477E"/>
    <w:rsid w:val="00E747DB"/>
    <w:rsid w:val="00E74803"/>
    <w:rsid w:val="00E7487F"/>
    <w:rsid w:val="00E748CA"/>
    <w:rsid w:val="00E748ED"/>
    <w:rsid w:val="00E748F4"/>
    <w:rsid w:val="00E74905"/>
    <w:rsid w:val="00E74912"/>
    <w:rsid w:val="00E7494E"/>
    <w:rsid w:val="00E74972"/>
    <w:rsid w:val="00E74983"/>
    <w:rsid w:val="00E749A7"/>
    <w:rsid w:val="00E749DB"/>
    <w:rsid w:val="00E74A4F"/>
    <w:rsid w:val="00E74AD3"/>
    <w:rsid w:val="00E74AD4"/>
    <w:rsid w:val="00E74B07"/>
    <w:rsid w:val="00E74BA1"/>
    <w:rsid w:val="00E74BD8"/>
    <w:rsid w:val="00E74BF8"/>
    <w:rsid w:val="00E74C7C"/>
    <w:rsid w:val="00E74CA3"/>
    <w:rsid w:val="00E74CF4"/>
    <w:rsid w:val="00E74D04"/>
    <w:rsid w:val="00E74D10"/>
    <w:rsid w:val="00E74D7F"/>
    <w:rsid w:val="00E74D91"/>
    <w:rsid w:val="00E74DBF"/>
    <w:rsid w:val="00E74E41"/>
    <w:rsid w:val="00E74E54"/>
    <w:rsid w:val="00E74E75"/>
    <w:rsid w:val="00E74EB2"/>
    <w:rsid w:val="00E74EC3"/>
    <w:rsid w:val="00E74F35"/>
    <w:rsid w:val="00E74F66"/>
    <w:rsid w:val="00E74F8E"/>
    <w:rsid w:val="00E74F97"/>
    <w:rsid w:val="00E74FA3"/>
    <w:rsid w:val="00E74FC3"/>
    <w:rsid w:val="00E74FDC"/>
    <w:rsid w:val="00E7500A"/>
    <w:rsid w:val="00E75101"/>
    <w:rsid w:val="00E751C1"/>
    <w:rsid w:val="00E751CB"/>
    <w:rsid w:val="00E7525D"/>
    <w:rsid w:val="00E7526B"/>
    <w:rsid w:val="00E75281"/>
    <w:rsid w:val="00E752F9"/>
    <w:rsid w:val="00E75331"/>
    <w:rsid w:val="00E75348"/>
    <w:rsid w:val="00E753B9"/>
    <w:rsid w:val="00E753EE"/>
    <w:rsid w:val="00E75401"/>
    <w:rsid w:val="00E75463"/>
    <w:rsid w:val="00E75482"/>
    <w:rsid w:val="00E754AA"/>
    <w:rsid w:val="00E75514"/>
    <w:rsid w:val="00E75538"/>
    <w:rsid w:val="00E7561B"/>
    <w:rsid w:val="00E7562A"/>
    <w:rsid w:val="00E7563C"/>
    <w:rsid w:val="00E7564E"/>
    <w:rsid w:val="00E7568C"/>
    <w:rsid w:val="00E7569A"/>
    <w:rsid w:val="00E756D9"/>
    <w:rsid w:val="00E756E3"/>
    <w:rsid w:val="00E756EF"/>
    <w:rsid w:val="00E7571A"/>
    <w:rsid w:val="00E7575D"/>
    <w:rsid w:val="00E757BA"/>
    <w:rsid w:val="00E757F8"/>
    <w:rsid w:val="00E7581E"/>
    <w:rsid w:val="00E75833"/>
    <w:rsid w:val="00E7584F"/>
    <w:rsid w:val="00E7586D"/>
    <w:rsid w:val="00E758BF"/>
    <w:rsid w:val="00E75907"/>
    <w:rsid w:val="00E75930"/>
    <w:rsid w:val="00E75958"/>
    <w:rsid w:val="00E7598E"/>
    <w:rsid w:val="00E75A19"/>
    <w:rsid w:val="00E75A96"/>
    <w:rsid w:val="00E75ADB"/>
    <w:rsid w:val="00E75B90"/>
    <w:rsid w:val="00E75BBD"/>
    <w:rsid w:val="00E75BDA"/>
    <w:rsid w:val="00E75C40"/>
    <w:rsid w:val="00E75C58"/>
    <w:rsid w:val="00E75CAE"/>
    <w:rsid w:val="00E75CB5"/>
    <w:rsid w:val="00E75CC8"/>
    <w:rsid w:val="00E75CDB"/>
    <w:rsid w:val="00E75D1C"/>
    <w:rsid w:val="00E75D24"/>
    <w:rsid w:val="00E75D6C"/>
    <w:rsid w:val="00E75D85"/>
    <w:rsid w:val="00E75D88"/>
    <w:rsid w:val="00E75DCB"/>
    <w:rsid w:val="00E75DEE"/>
    <w:rsid w:val="00E75E17"/>
    <w:rsid w:val="00E75E19"/>
    <w:rsid w:val="00E75E1E"/>
    <w:rsid w:val="00E75E3D"/>
    <w:rsid w:val="00E75EFA"/>
    <w:rsid w:val="00E75F1E"/>
    <w:rsid w:val="00E75F27"/>
    <w:rsid w:val="00E75F35"/>
    <w:rsid w:val="00E75F64"/>
    <w:rsid w:val="00E75F8C"/>
    <w:rsid w:val="00E75FC0"/>
    <w:rsid w:val="00E75FE8"/>
    <w:rsid w:val="00E75FFB"/>
    <w:rsid w:val="00E75FFF"/>
    <w:rsid w:val="00E7604D"/>
    <w:rsid w:val="00E76080"/>
    <w:rsid w:val="00E760E7"/>
    <w:rsid w:val="00E7610E"/>
    <w:rsid w:val="00E76130"/>
    <w:rsid w:val="00E7614D"/>
    <w:rsid w:val="00E76179"/>
    <w:rsid w:val="00E76191"/>
    <w:rsid w:val="00E76239"/>
    <w:rsid w:val="00E7628B"/>
    <w:rsid w:val="00E762A0"/>
    <w:rsid w:val="00E76384"/>
    <w:rsid w:val="00E76412"/>
    <w:rsid w:val="00E76420"/>
    <w:rsid w:val="00E76422"/>
    <w:rsid w:val="00E76455"/>
    <w:rsid w:val="00E764D3"/>
    <w:rsid w:val="00E76541"/>
    <w:rsid w:val="00E7664D"/>
    <w:rsid w:val="00E7668D"/>
    <w:rsid w:val="00E766EF"/>
    <w:rsid w:val="00E766F4"/>
    <w:rsid w:val="00E76714"/>
    <w:rsid w:val="00E7676B"/>
    <w:rsid w:val="00E767C0"/>
    <w:rsid w:val="00E76900"/>
    <w:rsid w:val="00E76949"/>
    <w:rsid w:val="00E76977"/>
    <w:rsid w:val="00E7698A"/>
    <w:rsid w:val="00E769AE"/>
    <w:rsid w:val="00E769C3"/>
    <w:rsid w:val="00E769C4"/>
    <w:rsid w:val="00E76A3A"/>
    <w:rsid w:val="00E76A46"/>
    <w:rsid w:val="00E76A71"/>
    <w:rsid w:val="00E76A8C"/>
    <w:rsid w:val="00E76A99"/>
    <w:rsid w:val="00E76AB7"/>
    <w:rsid w:val="00E76ACD"/>
    <w:rsid w:val="00E76ADC"/>
    <w:rsid w:val="00E76B0C"/>
    <w:rsid w:val="00E76B3C"/>
    <w:rsid w:val="00E76BC7"/>
    <w:rsid w:val="00E76BF2"/>
    <w:rsid w:val="00E76C41"/>
    <w:rsid w:val="00E76C9F"/>
    <w:rsid w:val="00E76D0C"/>
    <w:rsid w:val="00E76D0D"/>
    <w:rsid w:val="00E76DC5"/>
    <w:rsid w:val="00E76DE1"/>
    <w:rsid w:val="00E76E06"/>
    <w:rsid w:val="00E76E5D"/>
    <w:rsid w:val="00E76E89"/>
    <w:rsid w:val="00E76E99"/>
    <w:rsid w:val="00E76F20"/>
    <w:rsid w:val="00E76F3D"/>
    <w:rsid w:val="00E76F4A"/>
    <w:rsid w:val="00E76F59"/>
    <w:rsid w:val="00E76F85"/>
    <w:rsid w:val="00E7706D"/>
    <w:rsid w:val="00E77097"/>
    <w:rsid w:val="00E770B6"/>
    <w:rsid w:val="00E770DF"/>
    <w:rsid w:val="00E77135"/>
    <w:rsid w:val="00E771BC"/>
    <w:rsid w:val="00E771F7"/>
    <w:rsid w:val="00E77216"/>
    <w:rsid w:val="00E77292"/>
    <w:rsid w:val="00E772C3"/>
    <w:rsid w:val="00E773AA"/>
    <w:rsid w:val="00E773B7"/>
    <w:rsid w:val="00E773D2"/>
    <w:rsid w:val="00E77426"/>
    <w:rsid w:val="00E77457"/>
    <w:rsid w:val="00E77467"/>
    <w:rsid w:val="00E7747F"/>
    <w:rsid w:val="00E774B2"/>
    <w:rsid w:val="00E774DA"/>
    <w:rsid w:val="00E774DC"/>
    <w:rsid w:val="00E77544"/>
    <w:rsid w:val="00E77577"/>
    <w:rsid w:val="00E7757C"/>
    <w:rsid w:val="00E7758A"/>
    <w:rsid w:val="00E77590"/>
    <w:rsid w:val="00E775E6"/>
    <w:rsid w:val="00E775F8"/>
    <w:rsid w:val="00E7767D"/>
    <w:rsid w:val="00E776A9"/>
    <w:rsid w:val="00E776AD"/>
    <w:rsid w:val="00E776E0"/>
    <w:rsid w:val="00E7770F"/>
    <w:rsid w:val="00E77729"/>
    <w:rsid w:val="00E77784"/>
    <w:rsid w:val="00E777FE"/>
    <w:rsid w:val="00E77813"/>
    <w:rsid w:val="00E77827"/>
    <w:rsid w:val="00E7789C"/>
    <w:rsid w:val="00E778B1"/>
    <w:rsid w:val="00E778BF"/>
    <w:rsid w:val="00E778D4"/>
    <w:rsid w:val="00E7795F"/>
    <w:rsid w:val="00E77962"/>
    <w:rsid w:val="00E7796C"/>
    <w:rsid w:val="00E779F2"/>
    <w:rsid w:val="00E77A4E"/>
    <w:rsid w:val="00E77A60"/>
    <w:rsid w:val="00E77AD0"/>
    <w:rsid w:val="00E77B13"/>
    <w:rsid w:val="00E77B5B"/>
    <w:rsid w:val="00E77B6E"/>
    <w:rsid w:val="00E77B88"/>
    <w:rsid w:val="00E77B89"/>
    <w:rsid w:val="00E77BF4"/>
    <w:rsid w:val="00E77C6F"/>
    <w:rsid w:val="00E77D1F"/>
    <w:rsid w:val="00E77D2B"/>
    <w:rsid w:val="00E77D2D"/>
    <w:rsid w:val="00E77D7D"/>
    <w:rsid w:val="00E77D82"/>
    <w:rsid w:val="00E77D88"/>
    <w:rsid w:val="00E77D9A"/>
    <w:rsid w:val="00E77DCB"/>
    <w:rsid w:val="00E77DD3"/>
    <w:rsid w:val="00E77DE7"/>
    <w:rsid w:val="00E77DEF"/>
    <w:rsid w:val="00E77EC3"/>
    <w:rsid w:val="00E77F38"/>
    <w:rsid w:val="00E77F69"/>
    <w:rsid w:val="00E77F70"/>
    <w:rsid w:val="00E77F86"/>
    <w:rsid w:val="00E79AFF"/>
    <w:rsid w:val="00E7C0DC"/>
    <w:rsid w:val="00E8001D"/>
    <w:rsid w:val="00E8006B"/>
    <w:rsid w:val="00E80081"/>
    <w:rsid w:val="00E800DA"/>
    <w:rsid w:val="00E800E0"/>
    <w:rsid w:val="00E800EE"/>
    <w:rsid w:val="00E801BA"/>
    <w:rsid w:val="00E801BE"/>
    <w:rsid w:val="00E801C9"/>
    <w:rsid w:val="00E8029F"/>
    <w:rsid w:val="00E802AC"/>
    <w:rsid w:val="00E802EF"/>
    <w:rsid w:val="00E802FD"/>
    <w:rsid w:val="00E80341"/>
    <w:rsid w:val="00E80354"/>
    <w:rsid w:val="00E803AE"/>
    <w:rsid w:val="00E803D6"/>
    <w:rsid w:val="00E803EC"/>
    <w:rsid w:val="00E803F6"/>
    <w:rsid w:val="00E803FF"/>
    <w:rsid w:val="00E8045C"/>
    <w:rsid w:val="00E804BA"/>
    <w:rsid w:val="00E804C4"/>
    <w:rsid w:val="00E804F3"/>
    <w:rsid w:val="00E80513"/>
    <w:rsid w:val="00E80638"/>
    <w:rsid w:val="00E8063E"/>
    <w:rsid w:val="00E8064F"/>
    <w:rsid w:val="00E80680"/>
    <w:rsid w:val="00E806C1"/>
    <w:rsid w:val="00E806DF"/>
    <w:rsid w:val="00E806F0"/>
    <w:rsid w:val="00E80730"/>
    <w:rsid w:val="00E807F1"/>
    <w:rsid w:val="00E80810"/>
    <w:rsid w:val="00E80837"/>
    <w:rsid w:val="00E80872"/>
    <w:rsid w:val="00E808E7"/>
    <w:rsid w:val="00E8090B"/>
    <w:rsid w:val="00E8094C"/>
    <w:rsid w:val="00E809AA"/>
    <w:rsid w:val="00E809B8"/>
    <w:rsid w:val="00E809C3"/>
    <w:rsid w:val="00E80A12"/>
    <w:rsid w:val="00E80A3F"/>
    <w:rsid w:val="00E80A84"/>
    <w:rsid w:val="00E80AD2"/>
    <w:rsid w:val="00E80AFA"/>
    <w:rsid w:val="00E80B4E"/>
    <w:rsid w:val="00E80C10"/>
    <w:rsid w:val="00E80C46"/>
    <w:rsid w:val="00E80C66"/>
    <w:rsid w:val="00E80CBF"/>
    <w:rsid w:val="00E80CF7"/>
    <w:rsid w:val="00E80D25"/>
    <w:rsid w:val="00E80D37"/>
    <w:rsid w:val="00E80D8D"/>
    <w:rsid w:val="00E80DA4"/>
    <w:rsid w:val="00E80DA6"/>
    <w:rsid w:val="00E80DBE"/>
    <w:rsid w:val="00E80DCC"/>
    <w:rsid w:val="00E80DD8"/>
    <w:rsid w:val="00E80E1A"/>
    <w:rsid w:val="00E80E36"/>
    <w:rsid w:val="00E80E47"/>
    <w:rsid w:val="00E80E5C"/>
    <w:rsid w:val="00E80E7A"/>
    <w:rsid w:val="00E80EA7"/>
    <w:rsid w:val="00E80EA9"/>
    <w:rsid w:val="00E80EAC"/>
    <w:rsid w:val="00E80EF7"/>
    <w:rsid w:val="00E80F1A"/>
    <w:rsid w:val="00E80F8D"/>
    <w:rsid w:val="00E80FA2"/>
    <w:rsid w:val="00E80FA8"/>
    <w:rsid w:val="00E81015"/>
    <w:rsid w:val="00E8102F"/>
    <w:rsid w:val="00E810A5"/>
    <w:rsid w:val="00E810ED"/>
    <w:rsid w:val="00E811C5"/>
    <w:rsid w:val="00E811D6"/>
    <w:rsid w:val="00E811F1"/>
    <w:rsid w:val="00E81228"/>
    <w:rsid w:val="00E8128A"/>
    <w:rsid w:val="00E812D4"/>
    <w:rsid w:val="00E812F2"/>
    <w:rsid w:val="00E81366"/>
    <w:rsid w:val="00E813AA"/>
    <w:rsid w:val="00E813F0"/>
    <w:rsid w:val="00E81408"/>
    <w:rsid w:val="00E81420"/>
    <w:rsid w:val="00E81429"/>
    <w:rsid w:val="00E8142F"/>
    <w:rsid w:val="00E8147F"/>
    <w:rsid w:val="00E814C9"/>
    <w:rsid w:val="00E814CC"/>
    <w:rsid w:val="00E814E0"/>
    <w:rsid w:val="00E8150E"/>
    <w:rsid w:val="00E8151A"/>
    <w:rsid w:val="00E81564"/>
    <w:rsid w:val="00E81584"/>
    <w:rsid w:val="00E815C0"/>
    <w:rsid w:val="00E81603"/>
    <w:rsid w:val="00E8161C"/>
    <w:rsid w:val="00E8165A"/>
    <w:rsid w:val="00E81689"/>
    <w:rsid w:val="00E81746"/>
    <w:rsid w:val="00E8179F"/>
    <w:rsid w:val="00E817F7"/>
    <w:rsid w:val="00E81857"/>
    <w:rsid w:val="00E8187D"/>
    <w:rsid w:val="00E81910"/>
    <w:rsid w:val="00E8192F"/>
    <w:rsid w:val="00E8196E"/>
    <w:rsid w:val="00E819DC"/>
    <w:rsid w:val="00E819E2"/>
    <w:rsid w:val="00E819E4"/>
    <w:rsid w:val="00E819FB"/>
    <w:rsid w:val="00E81A07"/>
    <w:rsid w:val="00E81A47"/>
    <w:rsid w:val="00E81AAC"/>
    <w:rsid w:val="00E81B1D"/>
    <w:rsid w:val="00E81B63"/>
    <w:rsid w:val="00E81BBC"/>
    <w:rsid w:val="00E81BC6"/>
    <w:rsid w:val="00E81BFB"/>
    <w:rsid w:val="00E81C23"/>
    <w:rsid w:val="00E81C3C"/>
    <w:rsid w:val="00E81C4F"/>
    <w:rsid w:val="00E81C77"/>
    <w:rsid w:val="00E81C8F"/>
    <w:rsid w:val="00E81C92"/>
    <w:rsid w:val="00E81DA1"/>
    <w:rsid w:val="00E81DB9"/>
    <w:rsid w:val="00E81DD2"/>
    <w:rsid w:val="00E81DE7"/>
    <w:rsid w:val="00E81DE8"/>
    <w:rsid w:val="00E81E0F"/>
    <w:rsid w:val="00E81E60"/>
    <w:rsid w:val="00E81EBB"/>
    <w:rsid w:val="00E81EBF"/>
    <w:rsid w:val="00E81EE9"/>
    <w:rsid w:val="00E81F1A"/>
    <w:rsid w:val="00E81F1E"/>
    <w:rsid w:val="00E81F4B"/>
    <w:rsid w:val="00E81F62"/>
    <w:rsid w:val="00E81FB7"/>
    <w:rsid w:val="00E82015"/>
    <w:rsid w:val="00E82030"/>
    <w:rsid w:val="00E820BD"/>
    <w:rsid w:val="00E8212D"/>
    <w:rsid w:val="00E82198"/>
    <w:rsid w:val="00E821BC"/>
    <w:rsid w:val="00E821DD"/>
    <w:rsid w:val="00E821F0"/>
    <w:rsid w:val="00E82222"/>
    <w:rsid w:val="00E82247"/>
    <w:rsid w:val="00E82299"/>
    <w:rsid w:val="00E822AA"/>
    <w:rsid w:val="00E822AE"/>
    <w:rsid w:val="00E82345"/>
    <w:rsid w:val="00E8235C"/>
    <w:rsid w:val="00E82389"/>
    <w:rsid w:val="00E823CF"/>
    <w:rsid w:val="00E823E5"/>
    <w:rsid w:val="00E823E8"/>
    <w:rsid w:val="00E82434"/>
    <w:rsid w:val="00E824C8"/>
    <w:rsid w:val="00E824DD"/>
    <w:rsid w:val="00E825A5"/>
    <w:rsid w:val="00E825E0"/>
    <w:rsid w:val="00E825E5"/>
    <w:rsid w:val="00E82628"/>
    <w:rsid w:val="00E826C2"/>
    <w:rsid w:val="00E826E5"/>
    <w:rsid w:val="00E826FA"/>
    <w:rsid w:val="00E82732"/>
    <w:rsid w:val="00E8274F"/>
    <w:rsid w:val="00E8275F"/>
    <w:rsid w:val="00E82774"/>
    <w:rsid w:val="00E82778"/>
    <w:rsid w:val="00E8278F"/>
    <w:rsid w:val="00E82799"/>
    <w:rsid w:val="00E827E7"/>
    <w:rsid w:val="00E827F6"/>
    <w:rsid w:val="00E8282F"/>
    <w:rsid w:val="00E82839"/>
    <w:rsid w:val="00E82897"/>
    <w:rsid w:val="00E828E9"/>
    <w:rsid w:val="00E828FC"/>
    <w:rsid w:val="00E8294D"/>
    <w:rsid w:val="00E8299F"/>
    <w:rsid w:val="00E829BC"/>
    <w:rsid w:val="00E829D0"/>
    <w:rsid w:val="00E829F2"/>
    <w:rsid w:val="00E82AB9"/>
    <w:rsid w:val="00E82B36"/>
    <w:rsid w:val="00E82B4B"/>
    <w:rsid w:val="00E82B51"/>
    <w:rsid w:val="00E82B5A"/>
    <w:rsid w:val="00E82B82"/>
    <w:rsid w:val="00E82BAB"/>
    <w:rsid w:val="00E82BBD"/>
    <w:rsid w:val="00E82BC5"/>
    <w:rsid w:val="00E82BEC"/>
    <w:rsid w:val="00E82BF6"/>
    <w:rsid w:val="00E82C24"/>
    <w:rsid w:val="00E82C75"/>
    <w:rsid w:val="00E82C82"/>
    <w:rsid w:val="00E82CCB"/>
    <w:rsid w:val="00E82CD2"/>
    <w:rsid w:val="00E82D5C"/>
    <w:rsid w:val="00E82D9F"/>
    <w:rsid w:val="00E82DE7"/>
    <w:rsid w:val="00E82DEA"/>
    <w:rsid w:val="00E82E68"/>
    <w:rsid w:val="00E82ED3"/>
    <w:rsid w:val="00E82EFF"/>
    <w:rsid w:val="00E82F06"/>
    <w:rsid w:val="00E82F40"/>
    <w:rsid w:val="00E82FF7"/>
    <w:rsid w:val="00E83052"/>
    <w:rsid w:val="00E830F4"/>
    <w:rsid w:val="00E8310F"/>
    <w:rsid w:val="00E8312E"/>
    <w:rsid w:val="00E8316A"/>
    <w:rsid w:val="00E8319B"/>
    <w:rsid w:val="00E831C4"/>
    <w:rsid w:val="00E831DF"/>
    <w:rsid w:val="00E83225"/>
    <w:rsid w:val="00E83258"/>
    <w:rsid w:val="00E83289"/>
    <w:rsid w:val="00E832A0"/>
    <w:rsid w:val="00E832A1"/>
    <w:rsid w:val="00E832C3"/>
    <w:rsid w:val="00E832D9"/>
    <w:rsid w:val="00E832F9"/>
    <w:rsid w:val="00E8331F"/>
    <w:rsid w:val="00E83393"/>
    <w:rsid w:val="00E833F8"/>
    <w:rsid w:val="00E83435"/>
    <w:rsid w:val="00E834AE"/>
    <w:rsid w:val="00E834C5"/>
    <w:rsid w:val="00E834CE"/>
    <w:rsid w:val="00E83501"/>
    <w:rsid w:val="00E83521"/>
    <w:rsid w:val="00E83549"/>
    <w:rsid w:val="00E83587"/>
    <w:rsid w:val="00E83595"/>
    <w:rsid w:val="00E83598"/>
    <w:rsid w:val="00E835BC"/>
    <w:rsid w:val="00E835E1"/>
    <w:rsid w:val="00E8360F"/>
    <w:rsid w:val="00E83671"/>
    <w:rsid w:val="00E83685"/>
    <w:rsid w:val="00E83696"/>
    <w:rsid w:val="00E836D2"/>
    <w:rsid w:val="00E836E1"/>
    <w:rsid w:val="00E836ED"/>
    <w:rsid w:val="00E8374F"/>
    <w:rsid w:val="00E83763"/>
    <w:rsid w:val="00E83798"/>
    <w:rsid w:val="00E837BE"/>
    <w:rsid w:val="00E837CB"/>
    <w:rsid w:val="00E83831"/>
    <w:rsid w:val="00E83851"/>
    <w:rsid w:val="00E83853"/>
    <w:rsid w:val="00E83868"/>
    <w:rsid w:val="00E8388C"/>
    <w:rsid w:val="00E839AA"/>
    <w:rsid w:val="00E83A08"/>
    <w:rsid w:val="00E83A1B"/>
    <w:rsid w:val="00E83A2B"/>
    <w:rsid w:val="00E83A42"/>
    <w:rsid w:val="00E83AEF"/>
    <w:rsid w:val="00E83B00"/>
    <w:rsid w:val="00E83B12"/>
    <w:rsid w:val="00E83B5F"/>
    <w:rsid w:val="00E83B9E"/>
    <w:rsid w:val="00E83BCD"/>
    <w:rsid w:val="00E83BEE"/>
    <w:rsid w:val="00E83C06"/>
    <w:rsid w:val="00E83CD9"/>
    <w:rsid w:val="00E83D46"/>
    <w:rsid w:val="00E83D6D"/>
    <w:rsid w:val="00E83DB7"/>
    <w:rsid w:val="00E83DE4"/>
    <w:rsid w:val="00E83E0F"/>
    <w:rsid w:val="00E83E3E"/>
    <w:rsid w:val="00E83EAA"/>
    <w:rsid w:val="00E83EB5"/>
    <w:rsid w:val="00E83ECD"/>
    <w:rsid w:val="00E83EE1"/>
    <w:rsid w:val="00E83EED"/>
    <w:rsid w:val="00E83F4D"/>
    <w:rsid w:val="00E83FAC"/>
    <w:rsid w:val="00E83FBC"/>
    <w:rsid w:val="00E83FD6"/>
    <w:rsid w:val="00E83FDA"/>
    <w:rsid w:val="00E84066"/>
    <w:rsid w:val="00E84084"/>
    <w:rsid w:val="00E840AD"/>
    <w:rsid w:val="00E840F0"/>
    <w:rsid w:val="00E84162"/>
    <w:rsid w:val="00E841EE"/>
    <w:rsid w:val="00E8427D"/>
    <w:rsid w:val="00E84284"/>
    <w:rsid w:val="00E84293"/>
    <w:rsid w:val="00E842DB"/>
    <w:rsid w:val="00E843DE"/>
    <w:rsid w:val="00E84424"/>
    <w:rsid w:val="00E8443D"/>
    <w:rsid w:val="00E84467"/>
    <w:rsid w:val="00E844A1"/>
    <w:rsid w:val="00E844AE"/>
    <w:rsid w:val="00E8461F"/>
    <w:rsid w:val="00E84654"/>
    <w:rsid w:val="00E84667"/>
    <w:rsid w:val="00E84753"/>
    <w:rsid w:val="00E8475F"/>
    <w:rsid w:val="00E84789"/>
    <w:rsid w:val="00E84797"/>
    <w:rsid w:val="00E847B1"/>
    <w:rsid w:val="00E847C4"/>
    <w:rsid w:val="00E847CF"/>
    <w:rsid w:val="00E847DE"/>
    <w:rsid w:val="00E84811"/>
    <w:rsid w:val="00E8482A"/>
    <w:rsid w:val="00E84830"/>
    <w:rsid w:val="00E84878"/>
    <w:rsid w:val="00E848D8"/>
    <w:rsid w:val="00E8492B"/>
    <w:rsid w:val="00E84966"/>
    <w:rsid w:val="00E84973"/>
    <w:rsid w:val="00E849EE"/>
    <w:rsid w:val="00E84A1F"/>
    <w:rsid w:val="00E84A40"/>
    <w:rsid w:val="00E84A45"/>
    <w:rsid w:val="00E84B48"/>
    <w:rsid w:val="00E84B6C"/>
    <w:rsid w:val="00E84B9A"/>
    <w:rsid w:val="00E84BC5"/>
    <w:rsid w:val="00E84BCF"/>
    <w:rsid w:val="00E84BFA"/>
    <w:rsid w:val="00E84C08"/>
    <w:rsid w:val="00E84C64"/>
    <w:rsid w:val="00E84C6E"/>
    <w:rsid w:val="00E84CCC"/>
    <w:rsid w:val="00E84D50"/>
    <w:rsid w:val="00E84D8B"/>
    <w:rsid w:val="00E84DA5"/>
    <w:rsid w:val="00E84DAE"/>
    <w:rsid w:val="00E84DD3"/>
    <w:rsid w:val="00E84E5C"/>
    <w:rsid w:val="00E84ED0"/>
    <w:rsid w:val="00E84F3D"/>
    <w:rsid w:val="00E84F8B"/>
    <w:rsid w:val="00E84F92"/>
    <w:rsid w:val="00E84FB0"/>
    <w:rsid w:val="00E84FB4"/>
    <w:rsid w:val="00E84FCE"/>
    <w:rsid w:val="00E84FD5"/>
    <w:rsid w:val="00E8500B"/>
    <w:rsid w:val="00E8502D"/>
    <w:rsid w:val="00E85038"/>
    <w:rsid w:val="00E85039"/>
    <w:rsid w:val="00E85048"/>
    <w:rsid w:val="00E8504D"/>
    <w:rsid w:val="00E8506E"/>
    <w:rsid w:val="00E8507F"/>
    <w:rsid w:val="00E8513F"/>
    <w:rsid w:val="00E85159"/>
    <w:rsid w:val="00E8515F"/>
    <w:rsid w:val="00E8517D"/>
    <w:rsid w:val="00E851EB"/>
    <w:rsid w:val="00E851ED"/>
    <w:rsid w:val="00E85256"/>
    <w:rsid w:val="00E8526A"/>
    <w:rsid w:val="00E8529C"/>
    <w:rsid w:val="00E852CA"/>
    <w:rsid w:val="00E852D9"/>
    <w:rsid w:val="00E85368"/>
    <w:rsid w:val="00E85371"/>
    <w:rsid w:val="00E853C2"/>
    <w:rsid w:val="00E8542B"/>
    <w:rsid w:val="00E85430"/>
    <w:rsid w:val="00E85436"/>
    <w:rsid w:val="00E85446"/>
    <w:rsid w:val="00E85458"/>
    <w:rsid w:val="00E8546C"/>
    <w:rsid w:val="00E8547E"/>
    <w:rsid w:val="00E854B6"/>
    <w:rsid w:val="00E85515"/>
    <w:rsid w:val="00E85537"/>
    <w:rsid w:val="00E8558F"/>
    <w:rsid w:val="00E85596"/>
    <w:rsid w:val="00E855CE"/>
    <w:rsid w:val="00E855EF"/>
    <w:rsid w:val="00E855F8"/>
    <w:rsid w:val="00E855FF"/>
    <w:rsid w:val="00E85603"/>
    <w:rsid w:val="00E85608"/>
    <w:rsid w:val="00E85797"/>
    <w:rsid w:val="00E857D8"/>
    <w:rsid w:val="00E8581B"/>
    <w:rsid w:val="00E8582B"/>
    <w:rsid w:val="00E85864"/>
    <w:rsid w:val="00E8586E"/>
    <w:rsid w:val="00E85871"/>
    <w:rsid w:val="00E858BD"/>
    <w:rsid w:val="00E858F1"/>
    <w:rsid w:val="00E8592F"/>
    <w:rsid w:val="00E859A9"/>
    <w:rsid w:val="00E85A20"/>
    <w:rsid w:val="00E85A27"/>
    <w:rsid w:val="00E85A43"/>
    <w:rsid w:val="00E85B03"/>
    <w:rsid w:val="00E85B61"/>
    <w:rsid w:val="00E85BDD"/>
    <w:rsid w:val="00E85C4B"/>
    <w:rsid w:val="00E85C64"/>
    <w:rsid w:val="00E85C8A"/>
    <w:rsid w:val="00E85CC1"/>
    <w:rsid w:val="00E85CD2"/>
    <w:rsid w:val="00E85D66"/>
    <w:rsid w:val="00E85D87"/>
    <w:rsid w:val="00E85DA3"/>
    <w:rsid w:val="00E85DB4"/>
    <w:rsid w:val="00E85E13"/>
    <w:rsid w:val="00E85E4A"/>
    <w:rsid w:val="00E85E7C"/>
    <w:rsid w:val="00E85E8E"/>
    <w:rsid w:val="00E85E90"/>
    <w:rsid w:val="00E85EDB"/>
    <w:rsid w:val="00E85F3C"/>
    <w:rsid w:val="00E85F6C"/>
    <w:rsid w:val="00E85F77"/>
    <w:rsid w:val="00E85F82"/>
    <w:rsid w:val="00E85FFE"/>
    <w:rsid w:val="00E86031"/>
    <w:rsid w:val="00E8605D"/>
    <w:rsid w:val="00E86062"/>
    <w:rsid w:val="00E86066"/>
    <w:rsid w:val="00E86088"/>
    <w:rsid w:val="00E860E1"/>
    <w:rsid w:val="00E861D3"/>
    <w:rsid w:val="00E86275"/>
    <w:rsid w:val="00E8628B"/>
    <w:rsid w:val="00E862B2"/>
    <w:rsid w:val="00E862CA"/>
    <w:rsid w:val="00E862E9"/>
    <w:rsid w:val="00E862F0"/>
    <w:rsid w:val="00E862FF"/>
    <w:rsid w:val="00E86381"/>
    <w:rsid w:val="00E86398"/>
    <w:rsid w:val="00E863C9"/>
    <w:rsid w:val="00E863F7"/>
    <w:rsid w:val="00E8644F"/>
    <w:rsid w:val="00E8649D"/>
    <w:rsid w:val="00E864B9"/>
    <w:rsid w:val="00E86503"/>
    <w:rsid w:val="00E86543"/>
    <w:rsid w:val="00E86549"/>
    <w:rsid w:val="00E8654F"/>
    <w:rsid w:val="00E86556"/>
    <w:rsid w:val="00E865C8"/>
    <w:rsid w:val="00E866B8"/>
    <w:rsid w:val="00E866CF"/>
    <w:rsid w:val="00E86705"/>
    <w:rsid w:val="00E8671E"/>
    <w:rsid w:val="00E86739"/>
    <w:rsid w:val="00E8676B"/>
    <w:rsid w:val="00E8679D"/>
    <w:rsid w:val="00E867C0"/>
    <w:rsid w:val="00E867E9"/>
    <w:rsid w:val="00E8680B"/>
    <w:rsid w:val="00E86852"/>
    <w:rsid w:val="00E868BE"/>
    <w:rsid w:val="00E868BF"/>
    <w:rsid w:val="00E868CF"/>
    <w:rsid w:val="00E868D9"/>
    <w:rsid w:val="00E868E0"/>
    <w:rsid w:val="00E868F2"/>
    <w:rsid w:val="00E868FA"/>
    <w:rsid w:val="00E86902"/>
    <w:rsid w:val="00E8691E"/>
    <w:rsid w:val="00E86948"/>
    <w:rsid w:val="00E8694C"/>
    <w:rsid w:val="00E86963"/>
    <w:rsid w:val="00E86983"/>
    <w:rsid w:val="00E869BF"/>
    <w:rsid w:val="00E86A62"/>
    <w:rsid w:val="00E86A81"/>
    <w:rsid w:val="00E86ABC"/>
    <w:rsid w:val="00E86B19"/>
    <w:rsid w:val="00E86B3E"/>
    <w:rsid w:val="00E86B5F"/>
    <w:rsid w:val="00E86B95"/>
    <w:rsid w:val="00E86BD8"/>
    <w:rsid w:val="00E86BEC"/>
    <w:rsid w:val="00E86C01"/>
    <w:rsid w:val="00E86C6D"/>
    <w:rsid w:val="00E86C6E"/>
    <w:rsid w:val="00E86CC5"/>
    <w:rsid w:val="00E86E40"/>
    <w:rsid w:val="00E86E4D"/>
    <w:rsid w:val="00E86EA3"/>
    <w:rsid w:val="00E86EB3"/>
    <w:rsid w:val="00E86F51"/>
    <w:rsid w:val="00E86F64"/>
    <w:rsid w:val="00E86FC6"/>
    <w:rsid w:val="00E86FDF"/>
    <w:rsid w:val="00E86FF9"/>
    <w:rsid w:val="00E8702B"/>
    <w:rsid w:val="00E87030"/>
    <w:rsid w:val="00E8703F"/>
    <w:rsid w:val="00E87078"/>
    <w:rsid w:val="00E87097"/>
    <w:rsid w:val="00E8709F"/>
    <w:rsid w:val="00E870A3"/>
    <w:rsid w:val="00E870A7"/>
    <w:rsid w:val="00E87131"/>
    <w:rsid w:val="00E8716D"/>
    <w:rsid w:val="00E871AC"/>
    <w:rsid w:val="00E871D8"/>
    <w:rsid w:val="00E87253"/>
    <w:rsid w:val="00E8729B"/>
    <w:rsid w:val="00E872AD"/>
    <w:rsid w:val="00E872DD"/>
    <w:rsid w:val="00E873BA"/>
    <w:rsid w:val="00E873EE"/>
    <w:rsid w:val="00E87421"/>
    <w:rsid w:val="00E8747A"/>
    <w:rsid w:val="00E874AD"/>
    <w:rsid w:val="00E874C2"/>
    <w:rsid w:val="00E875A9"/>
    <w:rsid w:val="00E875F8"/>
    <w:rsid w:val="00E87634"/>
    <w:rsid w:val="00E87665"/>
    <w:rsid w:val="00E876E2"/>
    <w:rsid w:val="00E876FB"/>
    <w:rsid w:val="00E87751"/>
    <w:rsid w:val="00E8776D"/>
    <w:rsid w:val="00E877C2"/>
    <w:rsid w:val="00E8784F"/>
    <w:rsid w:val="00E87859"/>
    <w:rsid w:val="00E87888"/>
    <w:rsid w:val="00E878B1"/>
    <w:rsid w:val="00E878D0"/>
    <w:rsid w:val="00E878F1"/>
    <w:rsid w:val="00E87913"/>
    <w:rsid w:val="00E8795D"/>
    <w:rsid w:val="00E8798F"/>
    <w:rsid w:val="00E879B4"/>
    <w:rsid w:val="00E879B7"/>
    <w:rsid w:val="00E879DE"/>
    <w:rsid w:val="00E879E3"/>
    <w:rsid w:val="00E879E8"/>
    <w:rsid w:val="00E87A1D"/>
    <w:rsid w:val="00E87A2E"/>
    <w:rsid w:val="00E87AAF"/>
    <w:rsid w:val="00E87AC4"/>
    <w:rsid w:val="00E87AE0"/>
    <w:rsid w:val="00E87B04"/>
    <w:rsid w:val="00E87B5C"/>
    <w:rsid w:val="00E87B75"/>
    <w:rsid w:val="00E87B80"/>
    <w:rsid w:val="00E87BEC"/>
    <w:rsid w:val="00E87C0C"/>
    <w:rsid w:val="00E87C25"/>
    <w:rsid w:val="00E87C54"/>
    <w:rsid w:val="00E87C5A"/>
    <w:rsid w:val="00E87C66"/>
    <w:rsid w:val="00E87C71"/>
    <w:rsid w:val="00E87C97"/>
    <w:rsid w:val="00E87CBA"/>
    <w:rsid w:val="00E87CDA"/>
    <w:rsid w:val="00E87D21"/>
    <w:rsid w:val="00E87D3A"/>
    <w:rsid w:val="00E87D4D"/>
    <w:rsid w:val="00E87E14"/>
    <w:rsid w:val="00E87E78"/>
    <w:rsid w:val="00E87E85"/>
    <w:rsid w:val="00E87E86"/>
    <w:rsid w:val="00E87EB8"/>
    <w:rsid w:val="00E87F3B"/>
    <w:rsid w:val="00E87F7A"/>
    <w:rsid w:val="00E87F88"/>
    <w:rsid w:val="00E87F95"/>
    <w:rsid w:val="00E87FA2"/>
    <w:rsid w:val="00E90051"/>
    <w:rsid w:val="00E90079"/>
    <w:rsid w:val="00E900A9"/>
    <w:rsid w:val="00E90110"/>
    <w:rsid w:val="00E9020C"/>
    <w:rsid w:val="00E9026F"/>
    <w:rsid w:val="00E90272"/>
    <w:rsid w:val="00E90279"/>
    <w:rsid w:val="00E902B4"/>
    <w:rsid w:val="00E9030E"/>
    <w:rsid w:val="00E9033D"/>
    <w:rsid w:val="00E90384"/>
    <w:rsid w:val="00E903B7"/>
    <w:rsid w:val="00E90436"/>
    <w:rsid w:val="00E90473"/>
    <w:rsid w:val="00E9055A"/>
    <w:rsid w:val="00E905CB"/>
    <w:rsid w:val="00E90660"/>
    <w:rsid w:val="00E9069E"/>
    <w:rsid w:val="00E90720"/>
    <w:rsid w:val="00E907AE"/>
    <w:rsid w:val="00E907F9"/>
    <w:rsid w:val="00E9081B"/>
    <w:rsid w:val="00E90860"/>
    <w:rsid w:val="00E90872"/>
    <w:rsid w:val="00E908C4"/>
    <w:rsid w:val="00E908CE"/>
    <w:rsid w:val="00E90902"/>
    <w:rsid w:val="00E9099D"/>
    <w:rsid w:val="00E9099E"/>
    <w:rsid w:val="00E909A3"/>
    <w:rsid w:val="00E909C2"/>
    <w:rsid w:val="00E909C7"/>
    <w:rsid w:val="00E90A4A"/>
    <w:rsid w:val="00E90A9F"/>
    <w:rsid w:val="00E90AEF"/>
    <w:rsid w:val="00E90AF7"/>
    <w:rsid w:val="00E90B3C"/>
    <w:rsid w:val="00E90B55"/>
    <w:rsid w:val="00E90B7E"/>
    <w:rsid w:val="00E90C2F"/>
    <w:rsid w:val="00E90CE9"/>
    <w:rsid w:val="00E90D0B"/>
    <w:rsid w:val="00E90D0C"/>
    <w:rsid w:val="00E90D67"/>
    <w:rsid w:val="00E90D88"/>
    <w:rsid w:val="00E90D9C"/>
    <w:rsid w:val="00E90DA6"/>
    <w:rsid w:val="00E90DD3"/>
    <w:rsid w:val="00E90E25"/>
    <w:rsid w:val="00E90E2F"/>
    <w:rsid w:val="00E90E42"/>
    <w:rsid w:val="00E90E66"/>
    <w:rsid w:val="00E90E77"/>
    <w:rsid w:val="00E90E93"/>
    <w:rsid w:val="00E90EA8"/>
    <w:rsid w:val="00E90EE6"/>
    <w:rsid w:val="00E90EEC"/>
    <w:rsid w:val="00E90EFD"/>
    <w:rsid w:val="00E90F95"/>
    <w:rsid w:val="00E90FA5"/>
    <w:rsid w:val="00E90FAC"/>
    <w:rsid w:val="00E9101B"/>
    <w:rsid w:val="00E910DC"/>
    <w:rsid w:val="00E910E1"/>
    <w:rsid w:val="00E910E2"/>
    <w:rsid w:val="00E9113F"/>
    <w:rsid w:val="00E9115F"/>
    <w:rsid w:val="00E911A4"/>
    <w:rsid w:val="00E9123E"/>
    <w:rsid w:val="00E91286"/>
    <w:rsid w:val="00E91294"/>
    <w:rsid w:val="00E912A9"/>
    <w:rsid w:val="00E91343"/>
    <w:rsid w:val="00E91366"/>
    <w:rsid w:val="00E9139F"/>
    <w:rsid w:val="00E91471"/>
    <w:rsid w:val="00E914D9"/>
    <w:rsid w:val="00E91523"/>
    <w:rsid w:val="00E9154F"/>
    <w:rsid w:val="00E9156F"/>
    <w:rsid w:val="00E915A4"/>
    <w:rsid w:val="00E915D4"/>
    <w:rsid w:val="00E915EE"/>
    <w:rsid w:val="00E915FB"/>
    <w:rsid w:val="00E9160A"/>
    <w:rsid w:val="00E91610"/>
    <w:rsid w:val="00E91623"/>
    <w:rsid w:val="00E9165D"/>
    <w:rsid w:val="00E916E2"/>
    <w:rsid w:val="00E91706"/>
    <w:rsid w:val="00E9173C"/>
    <w:rsid w:val="00E91742"/>
    <w:rsid w:val="00E91786"/>
    <w:rsid w:val="00E9178D"/>
    <w:rsid w:val="00E917C4"/>
    <w:rsid w:val="00E917D7"/>
    <w:rsid w:val="00E91826"/>
    <w:rsid w:val="00E9184E"/>
    <w:rsid w:val="00E91860"/>
    <w:rsid w:val="00E9187E"/>
    <w:rsid w:val="00E91884"/>
    <w:rsid w:val="00E918E1"/>
    <w:rsid w:val="00E91932"/>
    <w:rsid w:val="00E91946"/>
    <w:rsid w:val="00E91975"/>
    <w:rsid w:val="00E919A4"/>
    <w:rsid w:val="00E919C9"/>
    <w:rsid w:val="00E91A11"/>
    <w:rsid w:val="00E91A26"/>
    <w:rsid w:val="00E91AAD"/>
    <w:rsid w:val="00E91AB2"/>
    <w:rsid w:val="00E91AC6"/>
    <w:rsid w:val="00E91AE0"/>
    <w:rsid w:val="00E91B08"/>
    <w:rsid w:val="00E91BA4"/>
    <w:rsid w:val="00E91BEE"/>
    <w:rsid w:val="00E91CFA"/>
    <w:rsid w:val="00E91D6B"/>
    <w:rsid w:val="00E91D89"/>
    <w:rsid w:val="00E91D97"/>
    <w:rsid w:val="00E91E1A"/>
    <w:rsid w:val="00E91EE0"/>
    <w:rsid w:val="00E91F01"/>
    <w:rsid w:val="00E91F09"/>
    <w:rsid w:val="00E91F0A"/>
    <w:rsid w:val="00E91F68"/>
    <w:rsid w:val="00E91FC1"/>
    <w:rsid w:val="00E91FCD"/>
    <w:rsid w:val="00E91FD3"/>
    <w:rsid w:val="00E9200E"/>
    <w:rsid w:val="00E92020"/>
    <w:rsid w:val="00E9206C"/>
    <w:rsid w:val="00E9207C"/>
    <w:rsid w:val="00E92086"/>
    <w:rsid w:val="00E9213E"/>
    <w:rsid w:val="00E9214E"/>
    <w:rsid w:val="00E9215B"/>
    <w:rsid w:val="00E921A2"/>
    <w:rsid w:val="00E921A8"/>
    <w:rsid w:val="00E921D1"/>
    <w:rsid w:val="00E921E1"/>
    <w:rsid w:val="00E92229"/>
    <w:rsid w:val="00E922C1"/>
    <w:rsid w:val="00E92304"/>
    <w:rsid w:val="00E9236C"/>
    <w:rsid w:val="00E923E3"/>
    <w:rsid w:val="00E9240A"/>
    <w:rsid w:val="00E9246F"/>
    <w:rsid w:val="00E92483"/>
    <w:rsid w:val="00E924A0"/>
    <w:rsid w:val="00E9250B"/>
    <w:rsid w:val="00E9256A"/>
    <w:rsid w:val="00E9258D"/>
    <w:rsid w:val="00E925C0"/>
    <w:rsid w:val="00E925DC"/>
    <w:rsid w:val="00E925F4"/>
    <w:rsid w:val="00E925F9"/>
    <w:rsid w:val="00E925FF"/>
    <w:rsid w:val="00E92601"/>
    <w:rsid w:val="00E92632"/>
    <w:rsid w:val="00E92655"/>
    <w:rsid w:val="00E92698"/>
    <w:rsid w:val="00E926F8"/>
    <w:rsid w:val="00E92750"/>
    <w:rsid w:val="00E92776"/>
    <w:rsid w:val="00E9279A"/>
    <w:rsid w:val="00E9279F"/>
    <w:rsid w:val="00E927B6"/>
    <w:rsid w:val="00E927C2"/>
    <w:rsid w:val="00E927F9"/>
    <w:rsid w:val="00E92890"/>
    <w:rsid w:val="00E92896"/>
    <w:rsid w:val="00E9295A"/>
    <w:rsid w:val="00E92967"/>
    <w:rsid w:val="00E9298C"/>
    <w:rsid w:val="00E929E1"/>
    <w:rsid w:val="00E929E2"/>
    <w:rsid w:val="00E929F9"/>
    <w:rsid w:val="00E92A6D"/>
    <w:rsid w:val="00E92A80"/>
    <w:rsid w:val="00E92A8B"/>
    <w:rsid w:val="00E92AC0"/>
    <w:rsid w:val="00E92B52"/>
    <w:rsid w:val="00E92BB9"/>
    <w:rsid w:val="00E92C0D"/>
    <w:rsid w:val="00E92C1A"/>
    <w:rsid w:val="00E92C24"/>
    <w:rsid w:val="00E92C29"/>
    <w:rsid w:val="00E92C33"/>
    <w:rsid w:val="00E92C5B"/>
    <w:rsid w:val="00E92C74"/>
    <w:rsid w:val="00E92C79"/>
    <w:rsid w:val="00E92C85"/>
    <w:rsid w:val="00E92C86"/>
    <w:rsid w:val="00E92CCF"/>
    <w:rsid w:val="00E92DF9"/>
    <w:rsid w:val="00E92E00"/>
    <w:rsid w:val="00E92F18"/>
    <w:rsid w:val="00E92F19"/>
    <w:rsid w:val="00E92F7E"/>
    <w:rsid w:val="00E92F85"/>
    <w:rsid w:val="00E92FD5"/>
    <w:rsid w:val="00E92FEB"/>
    <w:rsid w:val="00E9300E"/>
    <w:rsid w:val="00E93026"/>
    <w:rsid w:val="00E93083"/>
    <w:rsid w:val="00E93143"/>
    <w:rsid w:val="00E931E0"/>
    <w:rsid w:val="00E932E4"/>
    <w:rsid w:val="00E932EE"/>
    <w:rsid w:val="00E93351"/>
    <w:rsid w:val="00E93399"/>
    <w:rsid w:val="00E933FB"/>
    <w:rsid w:val="00E9340E"/>
    <w:rsid w:val="00E93418"/>
    <w:rsid w:val="00E9341F"/>
    <w:rsid w:val="00E93525"/>
    <w:rsid w:val="00E93535"/>
    <w:rsid w:val="00E9354F"/>
    <w:rsid w:val="00E93574"/>
    <w:rsid w:val="00E93575"/>
    <w:rsid w:val="00E9363D"/>
    <w:rsid w:val="00E9365B"/>
    <w:rsid w:val="00E93668"/>
    <w:rsid w:val="00E936E8"/>
    <w:rsid w:val="00E9370A"/>
    <w:rsid w:val="00E93721"/>
    <w:rsid w:val="00E93746"/>
    <w:rsid w:val="00E9375B"/>
    <w:rsid w:val="00E9379E"/>
    <w:rsid w:val="00E937C5"/>
    <w:rsid w:val="00E937C7"/>
    <w:rsid w:val="00E93833"/>
    <w:rsid w:val="00E9383C"/>
    <w:rsid w:val="00E93852"/>
    <w:rsid w:val="00E93888"/>
    <w:rsid w:val="00E93897"/>
    <w:rsid w:val="00E938DC"/>
    <w:rsid w:val="00E93909"/>
    <w:rsid w:val="00E9390B"/>
    <w:rsid w:val="00E93914"/>
    <w:rsid w:val="00E93916"/>
    <w:rsid w:val="00E9391B"/>
    <w:rsid w:val="00E93931"/>
    <w:rsid w:val="00E939B5"/>
    <w:rsid w:val="00E939D4"/>
    <w:rsid w:val="00E939E0"/>
    <w:rsid w:val="00E93B75"/>
    <w:rsid w:val="00E93B88"/>
    <w:rsid w:val="00E93BC0"/>
    <w:rsid w:val="00E93BCE"/>
    <w:rsid w:val="00E93BD5"/>
    <w:rsid w:val="00E93C06"/>
    <w:rsid w:val="00E93CCE"/>
    <w:rsid w:val="00E93CF3"/>
    <w:rsid w:val="00E93D8F"/>
    <w:rsid w:val="00E93DBF"/>
    <w:rsid w:val="00E93E38"/>
    <w:rsid w:val="00E93E57"/>
    <w:rsid w:val="00E93E78"/>
    <w:rsid w:val="00E93E89"/>
    <w:rsid w:val="00E93E9D"/>
    <w:rsid w:val="00E93EAF"/>
    <w:rsid w:val="00E93EC0"/>
    <w:rsid w:val="00E93EF1"/>
    <w:rsid w:val="00E93F00"/>
    <w:rsid w:val="00E93F0C"/>
    <w:rsid w:val="00E93F53"/>
    <w:rsid w:val="00E93FA8"/>
    <w:rsid w:val="00E94014"/>
    <w:rsid w:val="00E94053"/>
    <w:rsid w:val="00E940A4"/>
    <w:rsid w:val="00E940CF"/>
    <w:rsid w:val="00E940E9"/>
    <w:rsid w:val="00E940EA"/>
    <w:rsid w:val="00E9412C"/>
    <w:rsid w:val="00E9412E"/>
    <w:rsid w:val="00E9416A"/>
    <w:rsid w:val="00E941C2"/>
    <w:rsid w:val="00E941F2"/>
    <w:rsid w:val="00E941F4"/>
    <w:rsid w:val="00E9422E"/>
    <w:rsid w:val="00E942B8"/>
    <w:rsid w:val="00E942DA"/>
    <w:rsid w:val="00E94307"/>
    <w:rsid w:val="00E9433B"/>
    <w:rsid w:val="00E9439A"/>
    <w:rsid w:val="00E943B0"/>
    <w:rsid w:val="00E943D5"/>
    <w:rsid w:val="00E94423"/>
    <w:rsid w:val="00E94436"/>
    <w:rsid w:val="00E944AC"/>
    <w:rsid w:val="00E944C6"/>
    <w:rsid w:val="00E944D2"/>
    <w:rsid w:val="00E9450E"/>
    <w:rsid w:val="00E94534"/>
    <w:rsid w:val="00E945CC"/>
    <w:rsid w:val="00E945CD"/>
    <w:rsid w:val="00E945CF"/>
    <w:rsid w:val="00E9460A"/>
    <w:rsid w:val="00E94631"/>
    <w:rsid w:val="00E94687"/>
    <w:rsid w:val="00E946F9"/>
    <w:rsid w:val="00E94728"/>
    <w:rsid w:val="00E94736"/>
    <w:rsid w:val="00E947F6"/>
    <w:rsid w:val="00E94804"/>
    <w:rsid w:val="00E94807"/>
    <w:rsid w:val="00E94843"/>
    <w:rsid w:val="00E94855"/>
    <w:rsid w:val="00E948AA"/>
    <w:rsid w:val="00E948C4"/>
    <w:rsid w:val="00E948E7"/>
    <w:rsid w:val="00E948F0"/>
    <w:rsid w:val="00E9496B"/>
    <w:rsid w:val="00E949F8"/>
    <w:rsid w:val="00E94A8A"/>
    <w:rsid w:val="00E94AA3"/>
    <w:rsid w:val="00E94AB5"/>
    <w:rsid w:val="00E94B01"/>
    <w:rsid w:val="00E94B2D"/>
    <w:rsid w:val="00E94B64"/>
    <w:rsid w:val="00E94B6C"/>
    <w:rsid w:val="00E94BAB"/>
    <w:rsid w:val="00E94BEF"/>
    <w:rsid w:val="00E94C05"/>
    <w:rsid w:val="00E94C3E"/>
    <w:rsid w:val="00E94C7A"/>
    <w:rsid w:val="00E94CBF"/>
    <w:rsid w:val="00E94D7B"/>
    <w:rsid w:val="00E94DBC"/>
    <w:rsid w:val="00E94E40"/>
    <w:rsid w:val="00E94E5F"/>
    <w:rsid w:val="00E94EA3"/>
    <w:rsid w:val="00E94EA5"/>
    <w:rsid w:val="00E94F08"/>
    <w:rsid w:val="00E94FD6"/>
    <w:rsid w:val="00E95034"/>
    <w:rsid w:val="00E95076"/>
    <w:rsid w:val="00E950A8"/>
    <w:rsid w:val="00E950ED"/>
    <w:rsid w:val="00E95152"/>
    <w:rsid w:val="00E951AC"/>
    <w:rsid w:val="00E951E9"/>
    <w:rsid w:val="00E951FA"/>
    <w:rsid w:val="00E95217"/>
    <w:rsid w:val="00E95292"/>
    <w:rsid w:val="00E952E2"/>
    <w:rsid w:val="00E95342"/>
    <w:rsid w:val="00E9537E"/>
    <w:rsid w:val="00E953A9"/>
    <w:rsid w:val="00E9541C"/>
    <w:rsid w:val="00E95442"/>
    <w:rsid w:val="00E9549D"/>
    <w:rsid w:val="00E955F6"/>
    <w:rsid w:val="00E9563A"/>
    <w:rsid w:val="00E95642"/>
    <w:rsid w:val="00E9564F"/>
    <w:rsid w:val="00E95659"/>
    <w:rsid w:val="00E9565C"/>
    <w:rsid w:val="00E95670"/>
    <w:rsid w:val="00E9569B"/>
    <w:rsid w:val="00E956E3"/>
    <w:rsid w:val="00E95720"/>
    <w:rsid w:val="00E95779"/>
    <w:rsid w:val="00E95780"/>
    <w:rsid w:val="00E957B4"/>
    <w:rsid w:val="00E95830"/>
    <w:rsid w:val="00E95832"/>
    <w:rsid w:val="00E95835"/>
    <w:rsid w:val="00E95882"/>
    <w:rsid w:val="00E958A8"/>
    <w:rsid w:val="00E958BF"/>
    <w:rsid w:val="00E9593F"/>
    <w:rsid w:val="00E95943"/>
    <w:rsid w:val="00E959BB"/>
    <w:rsid w:val="00E95A2C"/>
    <w:rsid w:val="00E95A3B"/>
    <w:rsid w:val="00E95A42"/>
    <w:rsid w:val="00E95A45"/>
    <w:rsid w:val="00E95A55"/>
    <w:rsid w:val="00E95A6C"/>
    <w:rsid w:val="00E95AA3"/>
    <w:rsid w:val="00E95AE1"/>
    <w:rsid w:val="00E95AF9"/>
    <w:rsid w:val="00E95B17"/>
    <w:rsid w:val="00E95B9B"/>
    <w:rsid w:val="00E95BB3"/>
    <w:rsid w:val="00E95BBC"/>
    <w:rsid w:val="00E95C41"/>
    <w:rsid w:val="00E95C61"/>
    <w:rsid w:val="00E95D21"/>
    <w:rsid w:val="00E95D49"/>
    <w:rsid w:val="00E95D5F"/>
    <w:rsid w:val="00E95DC3"/>
    <w:rsid w:val="00E95DDA"/>
    <w:rsid w:val="00E95E1B"/>
    <w:rsid w:val="00E95E51"/>
    <w:rsid w:val="00E95E52"/>
    <w:rsid w:val="00E95EA1"/>
    <w:rsid w:val="00E95EF2"/>
    <w:rsid w:val="00E95EFA"/>
    <w:rsid w:val="00E95F02"/>
    <w:rsid w:val="00E95F59"/>
    <w:rsid w:val="00E95FB8"/>
    <w:rsid w:val="00E960F1"/>
    <w:rsid w:val="00E96105"/>
    <w:rsid w:val="00E96117"/>
    <w:rsid w:val="00E96134"/>
    <w:rsid w:val="00E96174"/>
    <w:rsid w:val="00E961B3"/>
    <w:rsid w:val="00E961D6"/>
    <w:rsid w:val="00E961F7"/>
    <w:rsid w:val="00E9621F"/>
    <w:rsid w:val="00E96231"/>
    <w:rsid w:val="00E96235"/>
    <w:rsid w:val="00E9623F"/>
    <w:rsid w:val="00E9625C"/>
    <w:rsid w:val="00E962CC"/>
    <w:rsid w:val="00E962D8"/>
    <w:rsid w:val="00E96356"/>
    <w:rsid w:val="00E963C8"/>
    <w:rsid w:val="00E963D2"/>
    <w:rsid w:val="00E9640C"/>
    <w:rsid w:val="00E96422"/>
    <w:rsid w:val="00E96442"/>
    <w:rsid w:val="00E96460"/>
    <w:rsid w:val="00E96478"/>
    <w:rsid w:val="00E9649A"/>
    <w:rsid w:val="00E964A8"/>
    <w:rsid w:val="00E9651F"/>
    <w:rsid w:val="00E96537"/>
    <w:rsid w:val="00E9653B"/>
    <w:rsid w:val="00E96586"/>
    <w:rsid w:val="00E96619"/>
    <w:rsid w:val="00E96632"/>
    <w:rsid w:val="00E966B4"/>
    <w:rsid w:val="00E966C5"/>
    <w:rsid w:val="00E966E1"/>
    <w:rsid w:val="00E96712"/>
    <w:rsid w:val="00E96715"/>
    <w:rsid w:val="00E9678E"/>
    <w:rsid w:val="00E96795"/>
    <w:rsid w:val="00E9684F"/>
    <w:rsid w:val="00E9693E"/>
    <w:rsid w:val="00E96992"/>
    <w:rsid w:val="00E969C1"/>
    <w:rsid w:val="00E96A33"/>
    <w:rsid w:val="00E96A37"/>
    <w:rsid w:val="00E96A55"/>
    <w:rsid w:val="00E96A8D"/>
    <w:rsid w:val="00E96A97"/>
    <w:rsid w:val="00E96AC2"/>
    <w:rsid w:val="00E96ACA"/>
    <w:rsid w:val="00E96B04"/>
    <w:rsid w:val="00E96B31"/>
    <w:rsid w:val="00E96B40"/>
    <w:rsid w:val="00E96B46"/>
    <w:rsid w:val="00E96B9D"/>
    <w:rsid w:val="00E96BCB"/>
    <w:rsid w:val="00E96C0C"/>
    <w:rsid w:val="00E96C2B"/>
    <w:rsid w:val="00E96C39"/>
    <w:rsid w:val="00E96C54"/>
    <w:rsid w:val="00E96C68"/>
    <w:rsid w:val="00E96C8B"/>
    <w:rsid w:val="00E96CAA"/>
    <w:rsid w:val="00E96CC6"/>
    <w:rsid w:val="00E96CE5"/>
    <w:rsid w:val="00E96D0C"/>
    <w:rsid w:val="00E96D24"/>
    <w:rsid w:val="00E96D4C"/>
    <w:rsid w:val="00E96D79"/>
    <w:rsid w:val="00E96D7C"/>
    <w:rsid w:val="00E96DA4"/>
    <w:rsid w:val="00E96E04"/>
    <w:rsid w:val="00E96E19"/>
    <w:rsid w:val="00E96E81"/>
    <w:rsid w:val="00E96EFE"/>
    <w:rsid w:val="00E96F47"/>
    <w:rsid w:val="00E97004"/>
    <w:rsid w:val="00E97026"/>
    <w:rsid w:val="00E97197"/>
    <w:rsid w:val="00E9719F"/>
    <w:rsid w:val="00E971A4"/>
    <w:rsid w:val="00E971CA"/>
    <w:rsid w:val="00E971D9"/>
    <w:rsid w:val="00E971DE"/>
    <w:rsid w:val="00E971DF"/>
    <w:rsid w:val="00E971FB"/>
    <w:rsid w:val="00E97286"/>
    <w:rsid w:val="00E972A7"/>
    <w:rsid w:val="00E972CB"/>
    <w:rsid w:val="00E97329"/>
    <w:rsid w:val="00E97331"/>
    <w:rsid w:val="00E9734D"/>
    <w:rsid w:val="00E97366"/>
    <w:rsid w:val="00E9737B"/>
    <w:rsid w:val="00E97407"/>
    <w:rsid w:val="00E9740C"/>
    <w:rsid w:val="00E97415"/>
    <w:rsid w:val="00E97430"/>
    <w:rsid w:val="00E974AF"/>
    <w:rsid w:val="00E974FB"/>
    <w:rsid w:val="00E97524"/>
    <w:rsid w:val="00E9752E"/>
    <w:rsid w:val="00E97544"/>
    <w:rsid w:val="00E97623"/>
    <w:rsid w:val="00E97641"/>
    <w:rsid w:val="00E976D7"/>
    <w:rsid w:val="00E976DA"/>
    <w:rsid w:val="00E976DC"/>
    <w:rsid w:val="00E976EB"/>
    <w:rsid w:val="00E9771F"/>
    <w:rsid w:val="00E97721"/>
    <w:rsid w:val="00E97742"/>
    <w:rsid w:val="00E97751"/>
    <w:rsid w:val="00E97792"/>
    <w:rsid w:val="00E977BE"/>
    <w:rsid w:val="00E97841"/>
    <w:rsid w:val="00E978D4"/>
    <w:rsid w:val="00E97908"/>
    <w:rsid w:val="00E9790F"/>
    <w:rsid w:val="00E9794F"/>
    <w:rsid w:val="00E97953"/>
    <w:rsid w:val="00E97978"/>
    <w:rsid w:val="00E9797E"/>
    <w:rsid w:val="00E979B9"/>
    <w:rsid w:val="00E97A05"/>
    <w:rsid w:val="00E97A17"/>
    <w:rsid w:val="00E97A75"/>
    <w:rsid w:val="00E97AA9"/>
    <w:rsid w:val="00E97AF4"/>
    <w:rsid w:val="00E97B2E"/>
    <w:rsid w:val="00E97B4A"/>
    <w:rsid w:val="00E97B7C"/>
    <w:rsid w:val="00E97B94"/>
    <w:rsid w:val="00E97BAD"/>
    <w:rsid w:val="00E97C96"/>
    <w:rsid w:val="00E97CBF"/>
    <w:rsid w:val="00E97CD8"/>
    <w:rsid w:val="00E97CE0"/>
    <w:rsid w:val="00E97D5E"/>
    <w:rsid w:val="00E97DDC"/>
    <w:rsid w:val="00E97DE5"/>
    <w:rsid w:val="00E97E34"/>
    <w:rsid w:val="00E97E58"/>
    <w:rsid w:val="00E97EA3"/>
    <w:rsid w:val="00E97ECB"/>
    <w:rsid w:val="00E97F78"/>
    <w:rsid w:val="00E97FDB"/>
    <w:rsid w:val="00E97FF1"/>
    <w:rsid w:val="00E9C3A8"/>
    <w:rsid w:val="00E9F27F"/>
    <w:rsid w:val="00EA0007"/>
    <w:rsid w:val="00EA003A"/>
    <w:rsid w:val="00EA0046"/>
    <w:rsid w:val="00EA0085"/>
    <w:rsid w:val="00EA00D9"/>
    <w:rsid w:val="00EA0129"/>
    <w:rsid w:val="00EA01EB"/>
    <w:rsid w:val="00EA01F6"/>
    <w:rsid w:val="00EA0225"/>
    <w:rsid w:val="00EA0263"/>
    <w:rsid w:val="00EA029F"/>
    <w:rsid w:val="00EA02AC"/>
    <w:rsid w:val="00EA0345"/>
    <w:rsid w:val="00EA03AB"/>
    <w:rsid w:val="00EA03C6"/>
    <w:rsid w:val="00EA0417"/>
    <w:rsid w:val="00EA0426"/>
    <w:rsid w:val="00EA0440"/>
    <w:rsid w:val="00EA0466"/>
    <w:rsid w:val="00EA048D"/>
    <w:rsid w:val="00EA04AC"/>
    <w:rsid w:val="00EA04AF"/>
    <w:rsid w:val="00EA04CE"/>
    <w:rsid w:val="00EA04CF"/>
    <w:rsid w:val="00EA04F6"/>
    <w:rsid w:val="00EA04FE"/>
    <w:rsid w:val="00EA0530"/>
    <w:rsid w:val="00EA0536"/>
    <w:rsid w:val="00EA054C"/>
    <w:rsid w:val="00EA055F"/>
    <w:rsid w:val="00EA0636"/>
    <w:rsid w:val="00EA068F"/>
    <w:rsid w:val="00EA06CE"/>
    <w:rsid w:val="00EA075D"/>
    <w:rsid w:val="00EA0793"/>
    <w:rsid w:val="00EA07C0"/>
    <w:rsid w:val="00EA07E5"/>
    <w:rsid w:val="00EA07EB"/>
    <w:rsid w:val="00EA0808"/>
    <w:rsid w:val="00EA0890"/>
    <w:rsid w:val="00EA08A7"/>
    <w:rsid w:val="00EA08F8"/>
    <w:rsid w:val="00EA0948"/>
    <w:rsid w:val="00EA0A60"/>
    <w:rsid w:val="00EA0A8A"/>
    <w:rsid w:val="00EA0A8D"/>
    <w:rsid w:val="00EA0AAB"/>
    <w:rsid w:val="00EA0AD7"/>
    <w:rsid w:val="00EA0AF9"/>
    <w:rsid w:val="00EA0B06"/>
    <w:rsid w:val="00EA0B99"/>
    <w:rsid w:val="00EA0BAF"/>
    <w:rsid w:val="00EA0BD4"/>
    <w:rsid w:val="00EA0C3C"/>
    <w:rsid w:val="00EA0CB0"/>
    <w:rsid w:val="00EA0CE3"/>
    <w:rsid w:val="00EA0D12"/>
    <w:rsid w:val="00EA0D20"/>
    <w:rsid w:val="00EA0D57"/>
    <w:rsid w:val="00EA0D6A"/>
    <w:rsid w:val="00EA0D9A"/>
    <w:rsid w:val="00EA0DCA"/>
    <w:rsid w:val="00EA0E48"/>
    <w:rsid w:val="00EA0E7C"/>
    <w:rsid w:val="00EA0E9C"/>
    <w:rsid w:val="00EA0ED2"/>
    <w:rsid w:val="00EA0EDE"/>
    <w:rsid w:val="00EA0EE9"/>
    <w:rsid w:val="00EA0F41"/>
    <w:rsid w:val="00EA0FA0"/>
    <w:rsid w:val="00EA0FAE"/>
    <w:rsid w:val="00EA0FCA"/>
    <w:rsid w:val="00EA0FCF"/>
    <w:rsid w:val="00EA0FDB"/>
    <w:rsid w:val="00EA0FE8"/>
    <w:rsid w:val="00EA0FFA"/>
    <w:rsid w:val="00EA10D2"/>
    <w:rsid w:val="00EA111F"/>
    <w:rsid w:val="00EA1187"/>
    <w:rsid w:val="00EA11B7"/>
    <w:rsid w:val="00EA11D1"/>
    <w:rsid w:val="00EA11ED"/>
    <w:rsid w:val="00EA1229"/>
    <w:rsid w:val="00EA127C"/>
    <w:rsid w:val="00EA135E"/>
    <w:rsid w:val="00EA1382"/>
    <w:rsid w:val="00EA1393"/>
    <w:rsid w:val="00EA1438"/>
    <w:rsid w:val="00EA1486"/>
    <w:rsid w:val="00EA14CE"/>
    <w:rsid w:val="00EA14DB"/>
    <w:rsid w:val="00EA1501"/>
    <w:rsid w:val="00EA1580"/>
    <w:rsid w:val="00EA15BE"/>
    <w:rsid w:val="00EA15BF"/>
    <w:rsid w:val="00EA15FC"/>
    <w:rsid w:val="00EA167C"/>
    <w:rsid w:val="00EA16D4"/>
    <w:rsid w:val="00EA1705"/>
    <w:rsid w:val="00EA1751"/>
    <w:rsid w:val="00EA1758"/>
    <w:rsid w:val="00EA1763"/>
    <w:rsid w:val="00EA1811"/>
    <w:rsid w:val="00EA183D"/>
    <w:rsid w:val="00EA1844"/>
    <w:rsid w:val="00EA184A"/>
    <w:rsid w:val="00EA1861"/>
    <w:rsid w:val="00EA18A6"/>
    <w:rsid w:val="00EA18DD"/>
    <w:rsid w:val="00EA18EA"/>
    <w:rsid w:val="00EA18F3"/>
    <w:rsid w:val="00EA1919"/>
    <w:rsid w:val="00EA191B"/>
    <w:rsid w:val="00EA192D"/>
    <w:rsid w:val="00EA196B"/>
    <w:rsid w:val="00EA19EE"/>
    <w:rsid w:val="00EA1A0B"/>
    <w:rsid w:val="00EA1A2A"/>
    <w:rsid w:val="00EA1A3B"/>
    <w:rsid w:val="00EA1A8E"/>
    <w:rsid w:val="00EA1AA5"/>
    <w:rsid w:val="00EA1AB3"/>
    <w:rsid w:val="00EA1AB7"/>
    <w:rsid w:val="00EA1ACE"/>
    <w:rsid w:val="00EA1B0B"/>
    <w:rsid w:val="00EA1BA0"/>
    <w:rsid w:val="00EA1BA1"/>
    <w:rsid w:val="00EA1BC0"/>
    <w:rsid w:val="00EA1C57"/>
    <w:rsid w:val="00EA1C73"/>
    <w:rsid w:val="00EA1CC2"/>
    <w:rsid w:val="00EA1CF1"/>
    <w:rsid w:val="00EA1CF4"/>
    <w:rsid w:val="00EA1D1F"/>
    <w:rsid w:val="00EA1D53"/>
    <w:rsid w:val="00EA1D88"/>
    <w:rsid w:val="00EA1DA7"/>
    <w:rsid w:val="00EA1DE1"/>
    <w:rsid w:val="00EA1DE8"/>
    <w:rsid w:val="00EA1E05"/>
    <w:rsid w:val="00EA1E19"/>
    <w:rsid w:val="00EA1E25"/>
    <w:rsid w:val="00EA1E6F"/>
    <w:rsid w:val="00EA1E82"/>
    <w:rsid w:val="00EA1EA5"/>
    <w:rsid w:val="00EA1EB6"/>
    <w:rsid w:val="00EA1EC4"/>
    <w:rsid w:val="00EA1ECB"/>
    <w:rsid w:val="00EA1EFE"/>
    <w:rsid w:val="00EA1F6C"/>
    <w:rsid w:val="00EA1F82"/>
    <w:rsid w:val="00EA1FB9"/>
    <w:rsid w:val="00EA1FD8"/>
    <w:rsid w:val="00EA1FF1"/>
    <w:rsid w:val="00EA2035"/>
    <w:rsid w:val="00EA2059"/>
    <w:rsid w:val="00EA2073"/>
    <w:rsid w:val="00EA2084"/>
    <w:rsid w:val="00EA20C8"/>
    <w:rsid w:val="00EA20D9"/>
    <w:rsid w:val="00EA2126"/>
    <w:rsid w:val="00EA214A"/>
    <w:rsid w:val="00EA2177"/>
    <w:rsid w:val="00EA217C"/>
    <w:rsid w:val="00EA2196"/>
    <w:rsid w:val="00EA21AE"/>
    <w:rsid w:val="00EA21CB"/>
    <w:rsid w:val="00EA21FD"/>
    <w:rsid w:val="00EA2276"/>
    <w:rsid w:val="00EA228D"/>
    <w:rsid w:val="00EA22A9"/>
    <w:rsid w:val="00EA22DD"/>
    <w:rsid w:val="00EA236A"/>
    <w:rsid w:val="00EA2378"/>
    <w:rsid w:val="00EA2383"/>
    <w:rsid w:val="00EA241C"/>
    <w:rsid w:val="00EA2445"/>
    <w:rsid w:val="00EA2453"/>
    <w:rsid w:val="00EA245F"/>
    <w:rsid w:val="00EA2466"/>
    <w:rsid w:val="00EA2469"/>
    <w:rsid w:val="00EA2471"/>
    <w:rsid w:val="00EA248C"/>
    <w:rsid w:val="00EA2503"/>
    <w:rsid w:val="00EA250C"/>
    <w:rsid w:val="00EA25C1"/>
    <w:rsid w:val="00EA25F6"/>
    <w:rsid w:val="00EA260F"/>
    <w:rsid w:val="00EA261D"/>
    <w:rsid w:val="00EA262A"/>
    <w:rsid w:val="00EA262E"/>
    <w:rsid w:val="00EA2683"/>
    <w:rsid w:val="00EA26B7"/>
    <w:rsid w:val="00EA2736"/>
    <w:rsid w:val="00EA274D"/>
    <w:rsid w:val="00EA276A"/>
    <w:rsid w:val="00EA2779"/>
    <w:rsid w:val="00EA279C"/>
    <w:rsid w:val="00EA285E"/>
    <w:rsid w:val="00EA2876"/>
    <w:rsid w:val="00EA28BB"/>
    <w:rsid w:val="00EA28C2"/>
    <w:rsid w:val="00EA28C4"/>
    <w:rsid w:val="00EA28D8"/>
    <w:rsid w:val="00EA2905"/>
    <w:rsid w:val="00EA2921"/>
    <w:rsid w:val="00EA2923"/>
    <w:rsid w:val="00EA29BF"/>
    <w:rsid w:val="00EA29C2"/>
    <w:rsid w:val="00EA29EF"/>
    <w:rsid w:val="00EA2A4D"/>
    <w:rsid w:val="00EA2A84"/>
    <w:rsid w:val="00EA2AA6"/>
    <w:rsid w:val="00EA2AD2"/>
    <w:rsid w:val="00EA2AF4"/>
    <w:rsid w:val="00EA2B0F"/>
    <w:rsid w:val="00EA2C0B"/>
    <w:rsid w:val="00EA2C25"/>
    <w:rsid w:val="00EA2C40"/>
    <w:rsid w:val="00EA2C49"/>
    <w:rsid w:val="00EA2CEC"/>
    <w:rsid w:val="00EA2D25"/>
    <w:rsid w:val="00EA2D35"/>
    <w:rsid w:val="00EA2D59"/>
    <w:rsid w:val="00EA2D63"/>
    <w:rsid w:val="00EA2D6D"/>
    <w:rsid w:val="00EA2D6F"/>
    <w:rsid w:val="00EA2D74"/>
    <w:rsid w:val="00EA2D7A"/>
    <w:rsid w:val="00EA2DD3"/>
    <w:rsid w:val="00EA2DF6"/>
    <w:rsid w:val="00EA2E18"/>
    <w:rsid w:val="00EA2E1C"/>
    <w:rsid w:val="00EA2E1D"/>
    <w:rsid w:val="00EA2EF3"/>
    <w:rsid w:val="00EA2F54"/>
    <w:rsid w:val="00EA2F96"/>
    <w:rsid w:val="00EA2FB5"/>
    <w:rsid w:val="00EA2FC4"/>
    <w:rsid w:val="00EA2FD9"/>
    <w:rsid w:val="00EA2FFC"/>
    <w:rsid w:val="00EA307F"/>
    <w:rsid w:val="00EA3085"/>
    <w:rsid w:val="00EA3089"/>
    <w:rsid w:val="00EA30A7"/>
    <w:rsid w:val="00EA30AA"/>
    <w:rsid w:val="00EA30AC"/>
    <w:rsid w:val="00EA30C1"/>
    <w:rsid w:val="00EA30C9"/>
    <w:rsid w:val="00EA30CF"/>
    <w:rsid w:val="00EA310F"/>
    <w:rsid w:val="00EA31F3"/>
    <w:rsid w:val="00EA3216"/>
    <w:rsid w:val="00EA3287"/>
    <w:rsid w:val="00EA3288"/>
    <w:rsid w:val="00EA3296"/>
    <w:rsid w:val="00EA32A6"/>
    <w:rsid w:val="00EA32C6"/>
    <w:rsid w:val="00EA32F8"/>
    <w:rsid w:val="00EA334C"/>
    <w:rsid w:val="00EA33CE"/>
    <w:rsid w:val="00EA341A"/>
    <w:rsid w:val="00EA3462"/>
    <w:rsid w:val="00EA3478"/>
    <w:rsid w:val="00EA34AF"/>
    <w:rsid w:val="00EA34B7"/>
    <w:rsid w:val="00EA34D6"/>
    <w:rsid w:val="00EA3542"/>
    <w:rsid w:val="00EA3566"/>
    <w:rsid w:val="00EA358D"/>
    <w:rsid w:val="00EA35A1"/>
    <w:rsid w:val="00EA35A2"/>
    <w:rsid w:val="00EA35F4"/>
    <w:rsid w:val="00EA35FC"/>
    <w:rsid w:val="00EA3656"/>
    <w:rsid w:val="00EA36F1"/>
    <w:rsid w:val="00EA3703"/>
    <w:rsid w:val="00EA371B"/>
    <w:rsid w:val="00EA3726"/>
    <w:rsid w:val="00EA3739"/>
    <w:rsid w:val="00EA37B1"/>
    <w:rsid w:val="00EA381B"/>
    <w:rsid w:val="00EA3829"/>
    <w:rsid w:val="00EA3839"/>
    <w:rsid w:val="00EA383B"/>
    <w:rsid w:val="00EA3846"/>
    <w:rsid w:val="00EA3856"/>
    <w:rsid w:val="00EA3861"/>
    <w:rsid w:val="00EA3894"/>
    <w:rsid w:val="00EA3913"/>
    <w:rsid w:val="00EA392D"/>
    <w:rsid w:val="00EA394E"/>
    <w:rsid w:val="00EA395E"/>
    <w:rsid w:val="00EA39D9"/>
    <w:rsid w:val="00EA3ACA"/>
    <w:rsid w:val="00EA3ACB"/>
    <w:rsid w:val="00EA3B0D"/>
    <w:rsid w:val="00EA3B2D"/>
    <w:rsid w:val="00EA3B40"/>
    <w:rsid w:val="00EA3B81"/>
    <w:rsid w:val="00EA3BA7"/>
    <w:rsid w:val="00EA3BAA"/>
    <w:rsid w:val="00EA3BE9"/>
    <w:rsid w:val="00EA3C11"/>
    <w:rsid w:val="00EA3C15"/>
    <w:rsid w:val="00EA3C23"/>
    <w:rsid w:val="00EA3C8E"/>
    <w:rsid w:val="00EA3C91"/>
    <w:rsid w:val="00EA3CF3"/>
    <w:rsid w:val="00EA3D12"/>
    <w:rsid w:val="00EA3D23"/>
    <w:rsid w:val="00EA3D48"/>
    <w:rsid w:val="00EA3D70"/>
    <w:rsid w:val="00EA3D84"/>
    <w:rsid w:val="00EA3DF0"/>
    <w:rsid w:val="00EA3E0B"/>
    <w:rsid w:val="00EA3E16"/>
    <w:rsid w:val="00EA3E28"/>
    <w:rsid w:val="00EA3E43"/>
    <w:rsid w:val="00EA3E52"/>
    <w:rsid w:val="00EA3E8F"/>
    <w:rsid w:val="00EA3EAB"/>
    <w:rsid w:val="00EA3EBA"/>
    <w:rsid w:val="00EA3F15"/>
    <w:rsid w:val="00EA3F28"/>
    <w:rsid w:val="00EA3F31"/>
    <w:rsid w:val="00EA3F4A"/>
    <w:rsid w:val="00EA3F4B"/>
    <w:rsid w:val="00EA4019"/>
    <w:rsid w:val="00EA405D"/>
    <w:rsid w:val="00EA4081"/>
    <w:rsid w:val="00EA408B"/>
    <w:rsid w:val="00EA409A"/>
    <w:rsid w:val="00EA409B"/>
    <w:rsid w:val="00EA40F9"/>
    <w:rsid w:val="00EA41EA"/>
    <w:rsid w:val="00EA41F8"/>
    <w:rsid w:val="00EA4203"/>
    <w:rsid w:val="00EA4241"/>
    <w:rsid w:val="00EA42B5"/>
    <w:rsid w:val="00EA4332"/>
    <w:rsid w:val="00EA4335"/>
    <w:rsid w:val="00EA4363"/>
    <w:rsid w:val="00EA43E1"/>
    <w:rsid w:val="00EA440A"/>
    <w:rsid w:val="00EA4430"/>
    <w:rsid w:val="00EA443D"/>
    <w:rsid w:val="00EA444B"/>
    <w:rsid w:val="00EA450B"/>
    <w:rsid w:val="00EA4534"/>
    <w:rsid w:val="00EA4560"/>
    <w:rsid w:val="00EA459E"/>
    <w:rsid w:val="00EA45C2"/>
    <w:rsid w:val="00EA45F7"/>
    <w:rsid w:val="00EA4644"/>
    <w:rsid w:val="00EA4658"/>
    <w:rsid w:val="00EA4671"/>
    <w:rsid w:val="00EA46F6"/>
    <w:rsid w:val="00EA46F8"/>
    <w:rsid w:val="00EA4723"/>
    <w:rsid w:val="00EA4773"/>
    <w:rsid w:val="00EA47AD"/>
    <w:rsid w:val="00EA47D2"/>
    <w:rsid w:val="00EA47D5"/>
    <w:rsid w:val="00EA47FE"/>
    <w:rsid w:val="00EA4826"/>
    <w:rsid w:val="00EA4847"/>
    <w:rsid w:val="00EA485C"/>
    <w:rsid w:val="00EA4865"/>
    <w:rsid w:val="00EA4885"/>
    <w:rsid w:val="00EA48B4"/>
    <w:rsid w:val="00EA49AC"/>
    <w:rsid w:val="00EA49D0"/>
    <w:rsid w:val="00EA49E3"/>
    <w:rsid w:val="00EA49F6"/>
    <w:rsid w:val="00EA4A0A"/>
    <w:rsid w:val="00EA4A0E"/>
    <w:rsid w:val="00EA4A3C"/>
    <w:rsid w:val="00EA4A56"/>
    <w:rsid w:val="00EA4A8A"/>
    <w:rsid w:val="00EA4A90"/>
    <w:rsid w:val="00EA4A9F"/>
    <w:rsid w:val="00EA4AD2"/>
    <w:rsid w:val="00EA4B99"/>
    <w:rsid w:val="00EA4BEF"/>
    <w:rsid w:val="00EA4C2F"/>
    <w:rsid w:val="00EA4C3B"/>
    <w:rsid w:val="00EA4C4D"/>
    <w:rsid w:val="00EA4CA8"/>
    <w:rsid w:val="00EA4CBA"/>
    <w:rsid w:val="00EA4D35"/>
    <w:rsid w:val="00EA4D5B"/>
    <w:rsid w:val="00EA4D97"/>
    <w:rsid w:val="00EA4DB7"/>
    <w:rsid w:val="00EA4DDF"/>
    <w:rsid w:val="00EA4E17"/>
    <w:rsid w:val="00EA4EFF"/>
    <w:rsid w:val="00EA4F01"/>
    <w:rsid w:val="00EA4F04"/>
    <w:rsid w:val="00EA4F0A"/>
    <w:rsid w:val="00EA4F36"/>
    <w:rsid w:val="00EA4F3C"/>
    <w:rsid w:val="00EA4F4D"/>
    <w:rsid w:val="00EA4F87"/>
    <w:rsid w:val="00EA4FF3"/>
    <w:rsid w:val="00EA502F"/>
    <w:rsid w:val="00EA5095"/>
    <w:rsid w:val="00EA50B9"/>
    <w:rsid w:val="00EA50F7"/>
    <w:rsid w:val="00EA5164"/>
    <w:rsid w:val="00EA516E"/>
    <w:rsid w:val="00EA517B"/>
    <w:rsid w:val="00EA517C"/>
    <w:rsid w:val="00EA5213"/>
    <w:rsid w:val="00EA5221"/>
    <w:rsid w:val="00EA5229"/>
    <w:rsid w:val="00EA5263"/>
    <w:rsid w:val="00EA535B"/>
    <w:rsid w:val="00EA5399"/>
    <w:rsid w:val="00EA53BA"/>
    <w:rsid w:val="00EA53D7"/>
    <w:rsid w:val="00EA5405"/>
    <w:rsid w:val="00EA5413"/>
    <w:rsid w:val="00EA5432"/>
    <w:rsid w:val="00EA54F9"/>
    <w:rsid w:val="00EA5522"/>
    <w:rsid w:val="00EA5524"/>
    <w:rsid w:val="00EA552B"/>
    <w:rsid w:val="00EA5554"/>
    <w:rsid w:val="00EA55A5"/>
    <w:rsid w:val="00EA5637"/>
    <w:rsid w:val="00EA568C"/>
    <w:rsid w:val="00EA56BF"/>
    <w:rsid w:val="00EA56DF"/>
    <w:rsid w:val="00EA56E7"/>
    <w:rsid w:val="00EA5743"/>
    <w:rsid w:val="00EA5761"/>
    <w:rsid w:val="00EA578E"/>
    <w:rsid w:val="00EA57B7"/>
    <w:rsid w:val="00EA57EB"/>
    <w:rsid w:val="00EA57EF"/>
    <w:rsid w:val="00EA584D"/>
    <w:rsid w:val="00EA5875"/>
    <w:rsid w:val="00EA58DB"/>
    <w:rsid w:val="00EA590E"/>
    <w:rsid w:val="00EA593B"/>
    <w:rsid w:val="00EA5950"/>
    <w:rsid w:val="00EA595B"/>
    <w:rsid w:val="00EA59D2"/>
    <w:rsid w:val="00EA5A08"/>
    <w:rsid w:val="00EA5A16"/>
    <w:rsid w:val="00EA5A79"/>
    <w:rsid w:val="00EA5AB4"/>
    <w:rsid w:val="00EA5B11"/>
    <w:rsid w:val="00EA5BC6"/>
    <w:rsid w:val="00EA5BD4"/>
    <w:rsid w:val="00EA5C75"/>
    <w:rsid w:val="00EA5C7A"/>
    <w:rsid w:val="00EA5CFE"/>
    <w:rsid w:val="00EA5D02"/>
    <w:rsid w:val="00EA5D20"/>
    <w:rsid w:val="00EA5D4D"/>
    <w:rsid w:val="00EA5D95"/>
    <w:rsid w:val="00EA5D9A"/>
    <w:rsid w:val="00EA5E05"/>
    <w:rsid w:val="00EA5E06"/>
    <w:rsid w:val="00EA5E20"/>
    <w:rsid w:val="00EA5E27"/>
    <w:rsid w:val="00EA5E6B"/>
    <w:rsid w:val="00EA5E76"/>
    <w:rsid w:val="00EA5EB2"/>
    <w:rsid w:val="00EA5F30"/>
    <w:rsid w:val="00EA5F3E"/>
    <w:rsid w:val="00EA5FE4"/>
    <w:rsid w:val="00EA600E"/>
    <w:rsid w:val="00EA601A"/>
    <w:rsid w:val="00EA6020"/>
    <w:rsid w:val="00EA6074"/>
    <w:rsid w:val="00EA607A"/>
    <w:rsid w:val="00EA607F"/>
    <w:rsid w:val="00EA6085"/>
    <w:rsid w:val="00EA60F5"/>
    <w:rsid w:val="00EA6162"/>
    <w:rsid w:val="00EA61D5"/>
    <w:rsid w:val="00EA61EF"/>
    <w:rsid w:val="00EA6206"/>
    <w:rsid w:val="00EA62F5"/>
    <w:rsid w:val="00EA6322"/>
    <w:rsid w:val="00EA632A"/>
    <w:rsid w:val="00EA6361"/>
    <w:rsid w:val="00EA639A"/>
    <w:rsid w:val="00EA63C5"/>
    <w:rsid w:val="00EA63D2"/>
    <w:rsid w:val="00EA63DA"/>
    <w:rsid w:val="00EA646B"/>
    <w:rsid w:val="00EA64EA"/>
    <w:rsid w:val="00EA6510"/>
    <w:rsid w:val="00EA6541"/>
    <w:rsid w:val="00EA6557"/>
    <w:rsid w:val="00EA65C9"/>
    <w:rsid w:val="00EA65E9"/>
    <w:rsid w:val="00EA660D"/>
    <w:rsid w:val="00EA6627"/>
    <w:rsid w:val="00EA6653"/>
    <w:rsid w:val="00EA6688"/>
    <w:rsid w:val="00EA6689"/>
    <w:rsid w:val="00EA66E9"/>
    <w:rsid w:val="00EA6708"/>
    <w:rsid w:val="00EA6732"/>
    <w:rsid w:val="00EA6742"/>
    <w:rsid w:val="00EA6751"/>
    <w:rsid w:val="00EA6754"/>
    <w:rsid w:val="00EA675A"/>
    <w:rsid w:val="00EA67B5"/>
    <w:rsid w:val="00EA6818"/>
    <w:rsid w:val="00EA688D"/>
    <w:rsid w:val="00EA68EC"/>
    <w:rsid w:val="00EA69DD"/>
    <w:rsid w:val="00EA69E4"/>
    <w:rsid w:val="00EA6A10"/>
    <w:rsid w:val="00EA6A3E"/>
    <w:rsid w:val="00EA6A8D"/>
    <w:rsid w:val="00EA6B32"/>
    <w:rsid w:val="00EA6B38"/>
    <w:rsid w:val="00EA6BB3"/>
    <w:rsid w:val="00EA6BD4"/>
    <w:rsid w:val="00EA6BEA"/>
    <w:rsid w:val="00EA6BFA"/>
    <w:rsid w:val="00EA6C07"/>
    <w:rsid w:val="00EA6C4E"/>
    <w:rsid w:val="00EA6C77"/>
    <w:rsid w:val="00EA6C9D"/>
    <w:rsid w:val="00EA6CA6"/>
    <w:rsid w:val="00EA6CF2"/>
    <w:rsid w:val="00EA6CF7"/>
    <w:rsid w:val="00EA6D55"/>
    <w:rsid w:val="00EA6D63"/>
    <w:rsid w:val="00EA6D77"/>
    <w:rsid w:val="00EA6DDD"/>
    <w:rsid w:val="00EA6E18"/>
    <w:rsid w:val="00EA6E3F"/>
    <w:rsid w:val="00EA6E78"/>
    <w:rsid w:val="00EA6E90"/>
    <w:rsid w:val="00EA6EC4"/>
    <w:rsid w:val="00EA6ECE"/>
    <w:rsid w:val="00EA6EE1"/>
    <w:rsid w:val="00EA6EF6"/>
    <w:rsid w:val="00EA6EFA"/>
    <w:rsid w:val="00EA6F42"/>
    <w:rsid w:val="00EA6F6D"/>
    <w:rsid w:val="00EA6F9C"/>
    <w:rsid w:val="00EA6F9D"/>
    <w:rsid w:val="00EA6FB4"/>
    <w:rsid w:val="00EA6FE9"/>
    <w:rsid w:val="00EA6FFD"/>
    <w:rsid w:val="00EA70A3"/>
    <w:rsid w:val="00EA70F3"/>
    <w:rsid w:val="00EA7138"/>
    <w:rsid w:val="00EA71AE"/>
    <w:rsid w:val="00EA7233"/>
    <w:rsid w:val="00EA7282"/>
    <w:rsid w:val="00EA72A0"/>
    <w:rsid w:val="00EA72DD"/>
    <w:rsid w:val="00EA730B"/>
    <w:rsid w:val="00EA7320"/>
    <w:rsid w:val="00EA732B"/>
    <w:rsid w:val="00EA7385"/>
    <w:rsid w:val="00EA739D"/>
    <w:rsid w:val="00EA73B5"/>
    <w:rsid w:val="00EA73BC"/>
    <w:rsid w:val="00EA73FC"/>
    <w:rsid w:val="00EA7427"/>
    <w:rsid w:val="00EA746F"/>
    <w:rsid w:val="00EA7471"/>
    <w:rsid w:val="00EA748C"/>
    <w:rsid w:val="00EA7506"/>
    <w:rsid w:val="00EA7511"/>
    <w:rsid w:val="00EA7518"/>
    <w:rsid w:val="00EA754A"/>
    <w:rsid w:val="00EA7557"/>
    <w:rsid w:val="00EA75A8"/>
    <w:rsid w:val="00EA75C8"/>
    <w:rsid w:val="00EA75DC"/>
    <w:rsid w:val="00EA75F6"/>
    <w:rsid w:val="00EA7658"/>
    <w:rsid w:val="00EA770A"/>
    <w:rsid w:val="00EA7725"/>
    <w:rsid w:val="00EA77EB"/>
    <w:rsid w:val="00EA782F"/>
    <w:rsid w:val="00EA786F"/>
    <w:rsid w:val="00EA7937"/>
    <w:rsid w:val="00EA7956"/>
    <w:rsid w:val="00EA79F6"/>
    <w:rsid w:val="00EA7AAF"/>
    <w:rsid w:val="00EA7ADB"/>
    <w:rsid w:val="00EA7B3D"/>
    <w:rsid w:val="00EA7B4C"/>
    <w:rsid w:val="00EA7B71"/>
    <w:rsid w:val="00EA7BB8"/>
    <w:rsid w:val="00EA7C2D"/>
    <w:rsid w:val="00EA7C36"/>
    <w:rsid w:val="00EA7C8F"/>
    <w:rsid w:val="00EA7CF0"/>
    <w:rsid w:val="00EA7D22"/>
    <w:rsid w:val="00EA7D51"/>
    <w:rsid w:val="00EA7D54"/>
    <w:rsid w:val="00EA7D5C"/>
    <w:rsid w:val="00EA7D93"/>
    <w:rsid w:val="00EA7DF0"/>
    <w:rsid w:val="00EA7E5D"/>
    <w:rsid w:val="00EA7F15"/>
    <w:rsid w:val="00EA7F39"/>
    <w:rsid w:val="00EA7F4E"/>
    <w:rsid w:val="00EA7F84"/>
    <w:rsid w:val="00EA7FA1"/>
    <w:rsid w:val="00EACFA0"/>
    <w:rsid w:val="00EB0043"/>
    <w:rsid w:val="00EB004A"/>
    <w:rsid w:val="00EB005B"/>
    <w:rsid w:val="00EB00D5"/>
    <w:rsid w:val="00EB00E4"/>
    <w:rsid w:val="00EB01D0"/>
    <w:rsid w:val="00EB0237"/>
    <w:rsid w:val="00EB0276"/>
    <w:rsid w:val="00EB031B"/>
    <w:rsid w:val="00EB0348"/>
    <w:rsid w:val="00EB03C1"/>
    <w:rsid w:val="00EB03DE"/>
    <w:rsid w:val="00EB03F2"/>
    <w:rsid w:val="00EB0402"/>
    <w:rsid w:val="00EB0416"/>
    <w:rsid w:val="00EB0444"/>
    <w:rsid w:val="00EB052B"/>
    <w:rsid w:val="00EB059E"/>
    <w:rsid w:val="00EB05D1"/>
    <w:rsid w:val="00EB0600"/>
    <w:rsid w:val="00EB0605"/>
    <w:rsid w:val="00EB0628"/>
    <w:rsid w:val="00EB063D"/>
    <w:rsid w:val="00EB0674"/>
    <w:rsid w:val="00EB0699"/>
    <w:rsid w:val="00EB06A6"/>
    <w:rsid w:val="00EB06D9"/>
    <w:rsid w:val="00EB0706"/>
    <w:rsid w:val="00EB071C"/>
    <w:rsid w:val="00EB0770"/>
    <w:rsid w:val="00EB07FF"/>
    <w:rsid w:val="00EB0802"/>
    <w:rsid w:val="00EB0821"/>
    <w:rsid w:val="00EB0886"/>
    <w:rsid w:val="00EB08C6"/>
    <w:rsid w:val="00EB08EA"/>
    <w:rsid w:val="00EB0908"/>
    <w:rsid w:val="00EB09AF"/>
    <w:rsid w:val="00EB09C7"/>
    <w:rsid w:val="00EB09CD"/>
    <w:rsid w:val="00EB09DA"/>
    <w:rsid w:val="00EB0A14"/>
    <w:rsid w:val="00EB0A72"/>
    <w:rsid w:val="00EB0A86"/>
    <w:rsid w:val="00EB0AA0"/>
    <w:rsid w:val="00EB0AFA"/>
    <w:rsid w:val="00EB0B54"/>
    <w:rsid w:val="00EB0B95"/>
    <w:rsid w:val="00EB0BA5"/>
    <w:rsid w:val="00EB0BCC"/>
    <w:rsid w:val="00EB0BF8"/>
    <w:rsid w:val="00EB0C2D"/>
    <w:rsid w:val="00EB0C9D"/>
    <w:rsid w:val="00EB0D39"/>
    <w:rsid w:val="00EB0D41"/>
    <w:rsid w:val="00EB0D54"/>
    <w:rsid w:val="00EB0D83"/>
    <w:rsid w:val="00EB0D8F"/>
    <w:rsid w:val="00EB0DA6"/>
    <w:rsid w:val="00EB0E27"/>
    <w:rsid w:val="00EB0E48"/>
    <w:rsid w:val="00EB0E94"/>
    <w:rsid w:val="00EB0EDB"/>
    <w:rsid w:val="00EB0F01"/>
    <w:rsid w:val="00EB0F81"/>
    <w:rsid w:val="00EB0FA9"/>
    <w:rsid w:val="00EB0FD8"/>
    <w:rsid w:val="00EB0FDD"/>
    <w:rsid w:val="00EB0FF3"/>
    <w:rsid w:val="00EB1031"/>
    <w:rsid w:val="00EB105F"/>
    <w:rsid w:val="00EB106E"/>
    <w:rsid w:val="00EB10DF"/>
    <w:rsid w:val="00EB10E6"/>
    <w:rsid w:val="00EB1184"/>
    <w:rsid w:val="00EB11A3"/>
    <w:rsid w:val="00EB11C2"/>
    <w:rsid w:val="00EB11CE"/>
    <w:rsid w:val="00EB11F4"/>
    <w:rsid w:val="00EB11F6"/>
    <w:rsid w:val="00EB1220"/>
    <w:rsid w:val="00EB12E3"/>
    <w:rsid w:val="00EB140C"/>
    <w:rsid w:val="00EB14F7"/>
    <w:rsid w:val="00EB1528"/>
    <w:rsid w:val="00EB153E"/>
    <w:rsid w:val="00EB154B"/>
    <w:rsid w:val="00EB1589"/>
    <w:rsid w:val="00EB15A8"/>
    <w:rsid w:val="00EB15DB"/>
    <w:rsid w:val="00EB1633"/>
    <w:rsid w:val="00EB167C"/>
    <w:rsid w:val="00EB16C3"/>
    <w:rsid w:val="00EB1701"/>
    <w:rsid w:val="00EB1738"/>
    <w:rsid w:val="00EB1748"/>
    <w:rsid w:val="00EB174B"/>
    <w:rsid w:val="00EB17C9"/>
    <w:rsid w:val="00EB17EE"/>
    <w:rsid w:val="00EB17FB"/>
    <w:rsid w:val="00EB1836"/>
    <w:rsid w:val="00EB1840"/>
    <w:rsid w:val="00EB1848"/>
    <w:rsid w:val="00EB1861"/>
    <w:rsid w:val="00EB18FD"/>
    <w:rsid w:val="00EB1926"/>
    <w:rsid w:val="00EB1929"/>
    <w:rsid w:val="00EB1988"/>
    <w:rsid w:val="00EB19B8"/>
    <w:rsid w:val="00EB1A08"/>
    <w:rsid w:val="00EB1A86"/>
    <w:rsid w:val="00EB1AC4"/>
    <w:rsid w:val="00EB1B1A"/>
    <w:rsid w:val="00EB1B33"/>
    <w:rsid w:val="00EB1B45"/>
    <w:rsid w:val="00EB1BA3"/>
    <w:rsid w:val="00EB1C15"/>
    <w:rsid w:val="00EB1C1D"/>
    <w:rsid w:val="00EB1C2A"/>
    <w:rsid w:val="00EB1C9B"/>
    <w:rsid w:val="00EB1DA4"/>
    <w:rsid w:val="00EB1DFE"/>
    <w:rsid w:val="00EB1E2F"/>
    <w:rsid w:val="00EB1E6F"/>
    <w:rsid w:val="00EB1E87"/>
    <w:rsid w:val="00EB1EEC"/>
    <w:rsid w:val="00EB1F26"/>
    <w:rsid w:val="00EB1F90"/>
    <w:rsid w:val="00EB1FB0"/>
    <w:rsid w:val="00EB1FC2"/>
    <w:rsid w:val="00EB1FCC"/>
    <w:rsid w:val="00EB20D7"/>
    <w:rsid w:val="00EB2107"/>
    <w:rsid w:val="00EB2148"/>
    <w:rsid w:val="00EB2218"/>
    <w:rsid w:val="00EB221C"/>
    <w:rsid w:val="00EB223F"/>
    <w:rsid w:val="00EB2242"/>
    <w:rsid w:val="00EB232B"/>
    <w:rsid w:val="00EB2331"/>
    <w:rsid w:val="00EB2357"/>
    <w:rsid w:val="00EB2381"/>
    <w:rsid w:val="00EB23D1"/>
    <w:rsid w:val="00EB23E1"/>
    <w:rsid w:val="00EB241C"/>
    <w:rsid w:val="00EB2437"/>
    <w:rsid w:val="00EB243D"/>
    <w:rsid w:val="00EB2450"/>
    <w:rsid w:val="00EB24AB"/>
    <w:rsid w:val="00EB2595"/>
    <w:rsid w:val="00EB2598"/>
    <w:rsid w:val="00EB25D5"/>
    <w:rsid w:val="00EB260B"/>
    <w:rsid w:val="00EB263B"/>
    <w:rsid w:val="00EB263C"/>
    <w:rsid w:val="00EB266C"/>
    <w:rsid w:val="00EB269F"/>
    <w:rsid w:val="00EB2701"/>
    <w:rsid w:val="00EB2716"/>
    <w:rsid w:val="00EB2791"/>
    <w:rsid w:val="00EB27D8"/>
    <w:rsid w:val="00EB27E0"/>
    <w:rsid w:val="00EB27F5"/>
    <w:rsid w:val="00EB2818"/>
    <w:rsid w:val="00EB2829"/>
    <w:rsid w:val="00EB2850"/>
    <w:rsid w:val="00EB2874"/>
    <w:rsid w:val="00EB28A3"/>
    <w:rsid w:val="00EB2916"/>
    <w:rsid w:val="00EB2934"/>
    <w:rsid w:val="00EB293E"/>
    <w:rsid w:val="00EB29DE"/>
    <w:rsid w:val="00EB2A06"/>
    <w:rsid w:val="00EB2A31"/>
    <w:rsid w:val="00EB2A33"/>
    <w:rsid w:val="00EB2A42"/>
    <w:rsid w:val="00EB2A53"/>
    <w:rsid w:val="00EB2A6B"/>
    <w:rsid w:val="00EB2A98"/>
    <w:rsid w:val="00EB2AC1"/>
    <w:rsid w:val="00EB2B34"/>
    <w:rsid w:val="00EB2C22"/>
    <w:rsid w:val="00EB2C26"/>
    <w:rsid w:val="00EB2C3B"/>
    <w:rsid w:val="00EB2C61"/>
    <w:rsid w:val="00EB2CC5"/>
    <w:rsid w:val="00EB2D3F"/>
    <w:rsid w:val="00EB2D49"/>
    <w:rsid w:val="00EB2D95"/>
    <w:rsid w:val="00EB2DB8"/>
    <w:rsid w:val="00EB2DD4"/>
    <w:rsid w:val="00EB2DDB"/>
    <w:rsid w:val="00EB2E27"/>
    <w:rsid w:val="00EB2F7C"/>
    <w:rsid w:val="00EB2FAD"/>
    <w:rsid w:val="00EB2FB6"/>
    <w:rsid w:val="00EB2FC7"/>
    <w:rsid w:val="00EB2FD9"/>
    <w:rsid w:val="00EB305D"/>
    <w:rsid w:val="00EB30BE"/>
    <w:rsid w:val="00EB30CC"/>
    <w:rsid w:val="00EB30D9"/>
    <w:rsid w:val="00EB30F4"/>
    <w:rsid w:val="00EB310F"/>
    <w:rsid w:val="00EB3146"/>
    <w:rsid w:val="00EB3163"/>
    <w:rsid w:val="00EB3165"/>
    <w:rsid w:val="00EB3176"/>
    <w:rsid w:val="00EB3185"/>
    <w:rsid w:val="00EB31A9"/>
    <w:rsid w:val="00EB31C8"/>
    <w:rsid w:val="00EB31DC"/>
    <w:rsid w:val="00EB3228"/>
    <w:rsid w:val="00EB3279"/>
    <w:rsid w:val="00EB32A1"/>
    <w:rsid w:val="00EB32D9"/>
    <w:rsid w:val="00EB331D"/>
    <w:rsid w:val="00EB3363"/>
    <w:rsid w:val="00EB3364"/>
    <w:rsid w:val="00EB33C0"/>
    <w:rsid w:val="00EB33C8"/>
    <w:rsid w:val="00EB33E7"/>
    <w:rsid w:val="00EB33F8"/>
    <w:rsid w:val="00EB3490"/>
    <w:rsid w:val="00EB34DB"/>
    <w:rsid w:val="00EB34F3"/>
    <w:rsid w:val="00EB34FC"/>
    <w:rsid w:val="00EB3589"/>
    <w:rsid w:val="00EB35C9"/>
    <w:rsid w:val="00EB360A"/>
    <w:rsid w:val="00EB3617"/>
    <w:rsid w:val="00EB3623"/>
    <w:rsid w:val="00EB3671"/>
    <w:rsid w:val="00EB3686"/>
    <w:rsid w:val="00EB36E3"/>
    <w:rsid w:val="00EB372D"/>
    <w:rsid w:val="00EB376C"/>
    <w:rsid w:val="00EB3776"/>
    <w:rsid w:val="00EB37CC"/>
    <w:rsid w:val="00EB381C"/>
    <w:rsid w:val="00EB3855"/>
    <w:rsid w:val="00EB3902"/>
    <w:rsid w:val="00EB395E"/>
    <w:rsid w:val="00EB397D"/>
    <w:rsid w:val="00EB398E"/>
    <w:rsid w:val="00EB39B8"/>
    <w:rsid w:val="00EB39D4"/>
    <w:rsid w:val="00EB39EB"/>
    <w:rsid w:val="00EB39F1"/>
    <w:rsid w:val="00EB3A24"/>
    <w:rsid w:val="00EB3A2A"/>
    <w:rsid w:val="00EB3A45"/>
    <w:rsid w:val="00EB3A57"/>
    <w:rsid w:val="00EB3A85"/>
    <w:rsid w:val="00EB3A93"/>
    <w:rsid w:val="00EB3AD9"/>
    <w:rsid w:val="00EB3B74"/>
    <w:rsid w:val="00EB3BD4"/>
    <w:rsid w:val="00EB3BF6"/>
    <w:rsid w:val="00EB3C00"/>
    <w:rsid w:val="00EB3C86"/>
    <w:rsid w:val="00EB3C8D"/>
    <w:rsid w:val="00EB3CB5"/>
    <w:rsid w:val="00EB3CC1"/>
    <w:rsid w:val="00EB3CED"/>
    <w:rsid w:val="00EB3D93"/>
    <w:rsid w:val="00EB3E46"/>
    <w:rsid w:val="00EB3E63"/>
    <w:rsid w:val="00EB3E83"/>
    <w:rsid w:val="00EB3EE9"/>
    <w:rsid w:val="00EB3F16"/>
    <w:rsid w:val="00EB3F1C"/>
    <w:rsid w:val="00EB3F71"/>
    <w:rsid w:val="00EB3F77"/>
    <w:rsid w:val="00EB3FC2"/>
    <w:rsid w:val="00EB4025"/>
    <w:rsid w:val="00EB4080"/>
    <w:rsid w:val="00EB40B8"/>
    <w:rsid w:val="00EB40F3"/>
    <w:rsid w:val="00EB413E"/>
    <w:rsid w:val="00EB416F"/>
    <w:rsid w:val="00EB41B5"/>
    <w:rsid w:val="00EB41E1"/>
    <w:rsid w:val="00EB4211"/>
    <w:rsid w:val="00EB4219"/>
    <w:rsid w:val="00EB4294"/>
    <w:rsid w:val="00EB42BD"/>
    <w:rsid w:val="00EB4354"/>
    <w:rsid w:val="00EB438E"/>
    <w:rsid w:val="00EB43C6"/>
    <w:rsid w:val="00EB43DB"/>
    <w:rsid w:val="00EB43E7"/>
    <w:rsid w:val="00EB440B"/>
    <w:rsid w:val="00EB4465"/>
    <w:rsid w:val="00EB45C8"/>
    <w:rsid w:val="00EB45F8"/>
    <w:rsid w:val="00EB4628"/>
    <w:rsid w:val="00EB468F"/>
    <w:rsid w:val="00EB46C5"/>
    <w:rsid w:val="00EB4730"/>
    <w:rsid w:val="00EB476D"/>
    <w:rsid w:val="00EB47B4"/>
    <w:rsid w:val="00EB4844"/>
    <w:rsid w:val="00EB4882"/>
    <w:rsid w:val="00EB489B"/>
    <w:rsid w:val="00EB48B5"/>
    <w:rsid w:val="00EB48FD"/>
    <w:rsid w:val="00EB495F"/>
    <w:rsid w:val="00EB49C0"/>
    <w:rsid w:val="00EB49D3"/>
    <w:rsid w:val="00EB4A00"/>
    <w:rsid w:val="00EB4A16"/>
    <w:rsid w:val="00EB4A38"/>
    <w:rsid w:val="00EB4A4D"/>
    <w:rsid w:val="00EB4ABD"/>
    <w:rsid w:val="00EB4AC1"/>
    <w:rsid w:val="00EB4AC9"/>
    <w:rsid w:val="00EB4AEC"/>
    <w:rsid w:val="00EB4B36"/>
    <w:rsid w:val="00EB4B77"/>
    <w:rsid w:val="00EB4B7A"/>
    <w:rsid w:val="00EB4B98"/>
    <w:rsid w:val="00EB4BC8"/>
    <w:rsid w:val="00EB4BDC"/>
    <w:rsid w:val="00EB4BF7"/>
    <w:rsid w:val="00EB4BFB"/>
    <w:rsid w:val="00EB4C01"/>
    <w:rsid w:val="00EB4C07"/>
    <w:rsid w:val="00EB4C1B"/>
    <w:rsid w:val="00EB4C2C"/>
    <w:rsid w:val="00EB4C48"/>
    <w:rsid w:val="00EB4C55"/>
    <w:rsid w:val="00EB4CBA"/>
    <w:rsid w:val="00EB4CC0"/>
    <w:rsid w:val="00EB4D06"/>
    <w:rsid w:val="00EB4D1A"/>
    <w:rsid w:val="00EB4D1F"/>
    <w:rsid w:val="00EB4D2C"/>
    <w:rsid w:val="00EB4D31"/>
    <w:rsid w:val="00EB4D47"/>
    <w:rsid w:val="00EB4E58"/>
    <w:rsid w:val="00EB4E69"/>
    <w:rsid w:val="00EB4E87"/>
    <w:rsid w:val="00EB4EBC"/>
    <w:rsid w:val="00EB4ECD"/>
    <w:rsid w:val="00EB4EEC"/>
    <w:rsid w:val="00EB4F43"/>
    <w:rsid w:val="00EB4F80"/>
    <w:rsid w:val="00EB5004"/>
    <w:rsid w:val="00EB5018"/>
    <w:rsid w:val="00EB501E"/>
    <w:rsid w:val="00EB5038"/>
    <w:rsid w:val="00EB5061"/>
    <w:rsid w:val="00EB51D2"/>
    <w:rsid w:val="00EB51FB"/>
    <w:rsid w:val="00EB51FE"/>
    <w:rsid w:val="00EB5263"/>
    <w:rsid w:val="00EB52FF"/>
    <w:rsid w:val="00EB5303"/>
    <w:rsid w:val="00EB5353"/>
    <w:rsid w:val="00EB536D"/>
    <w:rsid w:val="00EB53D7"/>
    <w:rsid w:val="00EB53E2"/>
    <w:rsid w:val="00EB540B"/>
    <w:rsid w:val="00EB5497"/>
    <w:rsid w:val="00EB549D"/>
    <w:rsid w:val="00EB54A0"/>
    <w:rsid w:val="00EB54CB"/>
    <w:rsid w:val="00EB551C"/>
    <w:rsid w:val="00EB5549"/>
    <w:rsid w:val="00EB55A8"/>
    <w:rsid w:val="00EB55B2"/>
    <w:rsid w:val="00EB55B3"/>
    <w:rsid w:val="00EB55C3"/>
    <w:rsid w:val="00EB5624"/>
    <w:rsid w:val="00EB5661"/>
    <w:rsid w:val="00EB567B"/>
    <w:rsid w:val="00EB5692"/>
    <w:rsid w:val="00EB56EA"/>
    <w:rsid w:val="00EB5775"/>
    <w:rsid w:val="00EB5785"/>
    <w:rsid w:val="00EB57CC"/>
    <w:rsid w:val="00EB57E9"/>
    <w:rsid w:val="00EB5867"/>
    <w:rsid w:val="00EB5958"/>
    <w:rsid w:val="00EB598B"/>
    <w:rsid w:val="00EB59DA"/>
    <w:rsid w:val="00EB59E6"/>
    <w:rsid w:val="00EB59FD"/>
    <w:rsid w:val="00EB5A8E"/>
    <w:rsid w:val="00EB5A9B"/>
    <w:rsid w:val="00EB5AE8"/>
    <w:rsid w:val="00EB5C03"/>
    <w:rsid w:val="00EB5C3C"/>
    <w:rsid w:val="00EB5C74"/>
    <w:rsid w:val="00EB5C8F"/>
    <w:rsid w:val="00EB5D23"/>
    <w:rsid w:val="00EB5DAC"/>
    <w:rsid w:val="00EB5DB3"/>
    <w:rsid w:val="00EB5DBF"/>
    <w:rsid w:val="00EB5DD9"/>
    <w:rsid w:val="00EB5DDB"/>
    <w:rsid w:val="00EB5E22"/>
    <w:rsid w:val="00EB5E51"/>
    <w:rsid w:val="00EB5EC5"/>
    <w:rsid w:val="00EB5F27"/>
    <w:rsid w:val="00EB5F2D"/>
    <w:rsid w:val="00EB5F74"/>
    <w:rsid w:val="00EB5F76"/>
    <w:rsid w:val="00EB5F8C"/>
    <w:rsid w:val="00EB5FB5"/>
    <w:rsid w:val="00EB5FB7"/>
    <w:rsid w:val="00EB5FBA"/>
    <w:rsid w:val="00EB5FD0"/>
    <w:rsid w:val="00EB5FE3"/>
    <w:rsid w:val="00EB5FEE"/>
    <w:rsid w:val="00EB601A"/>
    <w:rsid w:val="00EB6028"/>
    <w:rsid w:val="00EB603A"/>
    <w:rsid w:val="00EB6048"/>
    <w:rsid w:val="00EB6058"/>
    <w:rsid w:val="00EB607C"/>
    <w:rsid w:val="00EB60AD"/>
    <w:rsid w:val="00EB60CC"/>
    <w:rsid w:val="00EB610E"/>
    <w:rsid w:val="00EB6130"/>
    <w:rsid w:val="00EB613F"/>
    <w:rsid w:val="00EB614A"/>
    <w:rsid w:val="00EB615B"/>
    <w:rsid w:val="00EB615C"/>
    <w:rsid w:val="00EB6168"/>
    <w:rsid w:val="00EB6177"/>
    <w:rsid w:val="00EB6179"/>
    <w:rsid w:val="00EB6182"/>
    <w:rsid w:val="00EB619E"/>
    <w:rsid w:val="00EB61AC"/>
    <w:rsid w:val="00EB61DD"/>
    <w:rsid w:val="00EB6208"/>
    <w:rsid w:val="00EB6217"/>
    <w:rsid w:val="00EB6239"/>
    <w:rsid w:val="00EB62D1"/>
    <w:rsid w:val="00EB62E2"/>
    <w:rsid w:val="00EB62EC"/>
    <w:rsid w:val="00EB63AC"/>
    <w:rsid w:val="00EB649D"/>
    <w:rsid w:val="00EB6560"/>
    <w:rsid w:val="00EB660D"/>
    <w:rsid w:val="00EB6617"/>
    <w:rsid w:val="00EB669A"/>
    <w:rsid w:val="00EB66E9"/>
    <w:rsid w:val="00EB67A0"/>
    <w:rsid w:val="00EB6818"/>
    <w:rsid w:val="00EB68D3"/>
    <w:rsid w:val="00EB68F0"/>
    <w:rsid w:val="00EB68F7"/>
    <w:rsid w:val="00EB69A0"/>
    <w:rsid w:val="00EB69A3"/>
    <w:rsid w:val="00EB69CE"/>
    <w:rsid w:val="00EB69D6"/>
    <w:rsid w:val="00EB6A07"/>
    <w:rsid w:val="00EB6A08"/>
    <w:rsid w:val="00EB6A2D"/>
    <w:rsid w:val="00EB6A4C"/>
    <w:rsid w:val="00EB6AD5"/>
    <w:rsid w:val="00EB6B20"/>
    <w:rsid w:val="00EB6BC2"/>
    <w:rsid w:val="00EB6BFD"/>
    <w:rsid w:val="00EB6C03"/>
    <w:rsid w:val="00EB6C74"/>
    <w:rsid w:val="00EB6C9A"/>
    <w:rsid w:val="00EB6CB2"/>
    <w:rsid w:val="00EB6D15"/>
    <w:rsid w:val="00EB6D1D"/>
    <w:rsid w:val="00EB6D4B"/>
    <w:rsid w:val="00EB6D7F"/>
    <w:rsid w:val="00EB6DA0"/>
    <w:rsid w:val="00EB6DA1"/>
    <w:rsid w:val="00EB6DFF"/>
    <w:rsid w:val="00EB6E21"/>
    <w:rsid w:val="00EB6E56"/>
    <w:rsid w:val="00EB6E59"/>
    <w:rsid w:val="00EB6EF9"/>
    <w:rsid w:val="00EB6F02"/>
    <w:rsid w:val="00EB6F03"/>
    <w:rsid w:val="00EB6F1B"/>
    <w:rsid w:val="00EB6F33"/>
    <w:rsid w:val="00EB6F58"/>
    <w:rsid w:val="00EB6F68"/>
    <w:rsid w:val="00EB6F72"/>
    <w:rsid w:val="00EB6FFE"/>
    <w:rsid w:val="00EB7037"/>
    <w:rsid w:val="00EB7092"/>
    <w:rsid w:val="00EB709A"/>
    <w:rsid w:val="00EB712C"/>
    <w:rsid w:val="00EB7175"/>
    <w:rsid w:val="00EB717D"/>
    <w:rsid w:val="00EB71B2"/>
    <w:rsid w:val="00EB71F2"/>
    <w:rsid w:val="00EB7234"/>
    <w:rsid w:val="00EB728F"/>
    <w:rsid w:val="00EB7294"/>
    <w:rsid w:val="00EB72C4"/>
    <w:rsid w:val="00EB72D5"/>
    <w:rsid w:val="00EB72D8"/>
    <w:rsid w:val="00EB734C"/>
    <w:rsid w:val="00EB73AC"/>
    <w:rsid w:val="00EB7445"/>
    <w:rsid w:val="00EB7457"/>
    <w:rsid w:val="00EB74B7"/>
    <w:rsid w:val="00EB74E0"/>
    <w:rsid w:val="00EB7554"/>
    <w:rsid w:val="00EB7689"/>
    <w:rsid w:val="00EB7747"/>
    <w:rsid w:val="00EB780A"/>
    <w:rsid w:val="00EB7826"/>
    <w:rsid w:val="00EB785C"/>
    <w:rsid w:val="00EB7870"/>
    <w:rsid w:val="00EB789F"/>
    <w:rsid w:val="00EB78CF"/>
    <w:rsid w:val="00EB7954"/>
    <w:rsid w:val="00EB79EF"/>
    <w:rsid w:val="00EB7A34"/>
    <w:rsid w:val="00EB7A38"/>
    <w:rsid w:val="00EB7A71"/>
    <w:rsid w:val="00EB7ACA"/>
    <w:rsid w:val="00EB7B00"/>
    <w:rsid w:val="00EB7B83"/>
    <w:rsid w:val="00EB7B85"/>
    <w:rsid w:val="00EB7BC5"/>
    <w:rsid w:val="00EB7BE1"/>
    <w:rsid w:val="00EB7BEC"/>
    <w:rsid w:val="00EB7C06"/>
    <w:rsid w:val="00EB7C12"/>
    <w:rsid w:val="00EB7C7C"/>
    <w:rsid w:val="00EB7CD6"/>
    <w:rsid w:val="00EB7D4B"/>
    <w:rsid w:val="00EB7D75"/>
    <w:rsid w:val="00EB7D79"/>
    <w:rsid w:val="00EB7E7D"/>
    <w:rsid w:val="00EB7ED7"/>
    <w:rsid w:val="00EB7EE5"/>
    <w:rsid w:val="00EB7F1E"/>
    <w:rsid w:val="00EB7F5D"/>
    <w:rsid w:val="00EB7FFB"/>
    <w:rsid w:val="00EC000B"/>
    <w:rsid w:val="00EC0014"/>
    <w:rsid w:val="00EC00A3"/>
    <w:rsid w:val="00EC00DA"/>
    <w:rsid w:val="00EC0123"/>
    <w:rsid w:val="00EC0145"/>
    <w:rsid w:val="00EC0147"/>
    <w:rsid w:val="00EC0178"/>
    <w:rsid w:val="00EC01C8"/>
    <w:rsid w:val="00EC0220"/>
    <w:rsid w:val="00EC0231"/>
    <w:rsid w:val="00EC0235"/>
    <w:rsid w:val="00EC026F"/>
    <w:rsid w:val="00EC0296"/>
    <w:rsid w:val="00EC02AC"/>
    <w:rsid w:val="00EC02CD"/>
    <w:rsid w:val="00EC02EB"/>
    <w:rsid w:val="00EC035A"/>
    <w:rsid w:val="00EC037D"/>
    <w:rsid w:val="00EC03A5"/>
    <w:rsid w:val="00EC03CD"/>
    <w:rsid w:val="00EC03D1"/>
    <w:rsid w:val="00EC03ED"/>
    <w:rsid w:val="00EC0419"/>
    <w:rsid w:val="00EC043B"/>
    <w:rsid w:val="00EC046A"/>
    <w:rsid w:val="00EC0495"/>
    <w:rsid w:val="00EC0523"/>
    <w:rsid w:val="00EC0568"/>
    <w:rsid w:val="00EC05AF"/>
    <w:rsid w:val="00EC0625"/>
    <w:rsid w:val="00EC0694"/>
    <w:rsid w:val="00EC0696"/>
    <w:rsid w:val="00EC06D0"/>
    <w:rsid w:val="00EC06FE"/>
    <w:rsid w:val="00EC0745"/>
    <w:rsid w:val="00EC0765"/>
    <w:rsid w:val="00EC0773"/>
    <w:rsid w:val="00EC07CB"/>
    <w:rsid w:val="00EC07D8"/>
    <w:rsid w:val="00EC0827"/>
    <w:rsid w:val="00EC082C"/>
    <w:rsid w:val="00EC0840"/>
    <w:rsid w:val="00EC0843"/>
    <w:rsid w:val="00EC084E"/>
    <w:rsid w:val="00EC0864"/>
    <w:rsid w:val="00EC0887"/>
    <w:rsid w:val="00EC08BE"/>
    <w:rsid w:val="00EC08C4"/>
    <w:rsid w:val="00EC08D1"/>
    <w:rsid w:val="00EC0940"/>
    <w:rsid w:val="00EC09CB"/>
    <w:rsid w:val="00EC09D8"/>
    <w:rsid w:val="00EC09E9"/>
    <w:rsid w:val="00EC0A0E"/>
    <w:rsid w:val="00EC0A38"/>
    <w:rsid w:val="00EC0A86"/>
    <w:rsid w:val="00EC0A89"/>
    <w:rsid w:val="00EC0A9D"/>
    <w:rsid w:val="00EC0AE0"/>
    <w:rsid w:val="00EC0BA6"/>
    <w:rsid w:val="00EC0BAD"/>
    <w:rsid w:val="00EC0C08"/>
    <w:rsid w:val="00EC0C55"/>
    <w:rsid w:val="00EC0C67"/>
    <w:rsid w:val="00EC0CC4"/>
    <w:rsid w:val="00EC0CD0"/>
    <w:rsid w:val="00EC0CD9"/>
    <w:rsid w:val="00EC0D01"/>
    <w:rsid w:val="00EC0D60"/>
    <w:rsid w:val="00EC0D6B"/>
    <w:rsid w:val="00EC0D9E"/>
    <w:rsid w:val="00EC0DAD"/>
    <w:rsid w:val="00EC0DC9"/>
    <w:rsid w:val="00EC0DED"/>
    <w:rsid w:val="00EC0E1E"/>
    <w:rsid w:val="00EC0E7B"/>
    <w:rsid w:val="00EC0E8E"/>
    <w:rsid w:val="00EC0E94"/>
    <w:rsid w:val="00EC0EC4"/>
    <w:rsid w:val="00EC0F24"/>
    <w:rsid w:val="00EC0F60"/>
    <w:rsid w:val="00EC0F65"/>
    <w:rsid w:val="00EC0FA4"/>
    <w:rsid w:val="00EC0FE0"/>
    <w:rsid w:val="00EC1016"/>
    <w:rsid w:val="00EC1042"/>
    <w:rsid w:val="00EC1146"/>
    <w:rsid w:val="00EC116A"/>
    <w:rsid w:val="00EC1187"/>
    <w:rsid w:val="00EC11DD"/>
    <w:rsid w:val="00EC11EC"/>
    <w:rsid w:val="00EC1210"/>
    <w:rsid w:val="00EC129E"/>
    <w:rsid w:val="00EC12E2"/>
    <w:rsid w:val="00EC1319"/>
    <w:rsid w:val="00EC1353"/>
    <w:rsid w:val="00EC137E"/>
    <w:rsid w:val="00EC1381"/>
    <w:rsid w:val="00EC138C"/>
    <w:rsid w:val="00EC13A9"/>
    <w:rsid w:val="00EC13BA"/>
    <w:rsid w:val="00EC13BC"/>
    <w:rsid w:val="00EC13BF"/>
    <w:rsid w:val="00EC13C1"/>
    <w:rsid w:val="00EC13FB"/>
    <w:rsid w:val="00EC1425"/>
    <w:rsid w:val="00EC1447"/>
    <w:rsid w:val="00EC1460"/>
    <w:rsid w:val="00EC1466"/>
    <w:rsid w:val="00EC148D"/>
    <w:rsid w:val="00EC14D6"/>
    <w:rsid w:val="00EC14EC"/>
    <w:rsid w:val="00EC14F5"/>
    <w:rsid w:val="00EC1521"/>
    <w:rsid w:val="00EC1538"/>
    <w:rsid w:val="00EC1561"/>
    <w:rsid w:val="00EC1569"/>
    <w:rsid w:val="00EC15DC"/>
    <w:rsid w:val="00EC1786"/>
    <w:rsid w:val="00EC17D2"/>
    <w:rsid w:val="00EC17F1"/>
    <w:rsid w:val="00EC180D"/>
    <w:rsid w:val="00EC1857"/>
    <w:rsid w:val="00EC18A6"/>
    <w:rsid w:val="00EC18C4"/>
    <w:rsid w:val="00EC193E"/>
    <w:rsid w:val="00EC194C"/>
    <w:rsid w:val="00EC19EE"/>
    <w:rsid w:val="00EC1A75"/>
    <w:rsid w:val="00EC1B40"/>
    <w:rsid w:val="00EC1B54"/>
    <w:rsid w:val="00EC1C42"/>
    <w:rsid w:val="00EC1C4C"/>
    <w:rsid w:val="00EC1C93"/>
    <w:rsid w:val="00EC1CF6"/>
    <w:rsid w:val="00EC1D5C"/>
    <w:rsid w:val="00EC1D87"/>
    <w:rsid w:val="00EC1DBD"/>
    <w:rsid w:val="00EC1DF0"/>
    <w:rsid w:val="00EC1E11"/>
    <w:rsid w:val="00EC1E33"/>
    <w:rsid w:val="00EC1E48"/>
    <w:rsid w:val="00EC1E54"/>
    <w:rsid w:val="00EC1E5E"/>
    <w:rsid w:val="00EC1EED"/>
    <w:rsid w:val="00EC1F12"/>
    <w:rsid w:val="00EC1F89"/>
    <w:rsid w:val="00EC1FDF"/>
    <w:rsid w:val="00EC203C"/>
    <w:rsid w:val="00EC203D"/>
    <w:rsid w:val="00EC2042"/>
    <w:rsid w:val="00EC2080"/>
    <w:rsid w:val="00EC2178"/>
    <w:rsid w:val="00EC218F"/>
    <w:rsid w:val="00EC21A9"/>
    <w:rsid w:val="00EC220D"/>
    <w:rsid w:val="00EC228D"/>
    <w:rsid w:val="00EC22F0"/>
    <w:rsid w:val="00EC2300"/>
    <w:rsid w:val="00EC230D"/>
    <w:rsid w:val="00EC2343"/>
    <w:rsid w:val="00EC2347"/>
    <w:rsid w:val="00EC2359"/>
    <w:rsid w:val="00EC2396"/>
    <w:rsid w:val="00EC23D9"/>
    <w:rsid w:val="00EC240A"/>
    <w:rsid w:val="00EC240B"/>
    <w:rsid w:val="00EC244E"/>
    <w:rsid w:val="00EC2464"/>
    <w:rsid w:val="00EC248F"/>
    <w:rsid w:val="00EC2507"/>
    <w:rsid w:val="00EC2513"/>
    <w:rsid w:val="00EC251F"/>
    <w:rsid w:val="00EC2555"/>
    <w:rsid w:val="00EC258D"/>
    <w:rsid w:val="00EC25B1"/>
    <w:rsid w:val="00EC25C3"/>
    <w:rsid w:val="00EC2608"/>
    <w:rsid w:val="00EC261A"/>
    <w:rsid w:val="00EC2623"/>
    <w:rsid w:val="00EC2626"/>
    <w:rsid w:val="00EC2669"/>
    <w:rsid w:val="00EC26A5"/>
    <w:rsid w:val="00EC2763"/>
    <w:rsid w:val="00EC278F"/>
    <w:rsid w:val="00EC27A7"/>
    <w:rsid w:val="00EC27DB"/>
    <w:rsid w:val="00EC27DD"/>
    <w:rsid w:val="00EC2866"/>
    <w:rsid w:val="00EC2870"/>
    <w:rsid w:val="00EC28E7"/>
    <w:rsid w:val="00EC295C"/>
    <w:rsid w:val="00EC29DC"/>
    <w:rsid w:val="00EC2A0F"/>
    <w:rsid w:val="00EC2A28"/>
    <w:rsid w:val="00EC2A2D"/>
    <w:rsid w:val="00EC2A55"/>
    <w:rsid w:val="00EC2AB9"/>
    <w:rsid w:val="00EC2ACD"/>
    <w:rsid w:val="00EC2B07"/>
    <w:rsid w:val="00EC2B25"/>
    <w:rsid w:val="00EC2BC0"/>
    <w:rsid w:val="00EC2BE0"/>
    <w:rsid w:val="00EC2BE6"/>
    <w:rsid w:val="00EC2BF0"/>
    <w:rsid w:val="00EC2CA4"/>
    <w:rsid w:val="00EC2CEF"/>
    <w:rsid w:val="00EC2D1B"/>
    <w:rsid w:val="00EC2D25"/>
    <w:rsid w:val="00EC2D4C"/>
    <w:rsid w:val="00EC2D65"/>
    <w:rsid w:val="00EC2D85"/>
    <w:rsid w:val="00EC2D8B"/>
    <w:rsid w:val="00EC2DD5"/>
    <w:rsid w:val="00EC2DDA"/>
    <w:rsid w:val="00EC2DE6"/>
    <w:rsid w:val="00EC2E00"/>
    <w:rsid w:val="00EC2E19"/>
    <w:rsid w:val="00EC2E4F"/>
    <w:rsid w:val="00EC2EE5"/>
    <w:rsid w:val="00EC2EF3"/>
    <w:rsid w:val="00EC2F02"/>
    <w:rsid w:val="00EC2F14"/>
    <w:rsid w:val="00EC2F7E"/>
    <w:rsid w:val="00EC2F86"/>
    <w:rsid w:val="00EC2FA8"/>
    <w:rsid w:val="00EC2FD4"/>
    <w:rsid w:val="00EC2FFD"/>
    <w:rsid w:val="00EC3071"/>
    <w:rsid w:val="00EC309C"/>
    <w:rsid w:val="00EC30C7"/>
    <w:rsid w:val="00EC30D5"/>
    <w:rsid w:val="00EC30F4"/>
    <w:rsid w:val="00EC30F9"/>
    <w:rsid w:val="00EC3100"/>
    <w:rsid w:val="00EC3146"/>
    <w:rsid w:val="00EC319D"/>
    <w:rsid w:val="00EC31FD"/>
    <w:rsid w:val="00EC323A"/>
    <w:rsid w:val="00EC3277"/>
    <w:rsid w:val="00EC32DF"/>
    <w:rsid w:val="00EC32E2"/>
    <w:rsid w:val="00EC32F3"/>
    <w:rsid w:val="00EC333D"/>
    <w:rsid w:val="00EC3351"/>
    <w:rsid w:val="00EC3370"/>
    <w:rsid w:val="00EC3379"/>
    <w:rsid w:val="00EC337A"/>
    <w:rsid w:val="00EC3395"/>
    <w:rsid w:val="00EC33DA"/>
    <w:rsid w:val="00EC33F4"/>
    <w:rsid w:val="00EC3435"/>
    <w:rsid w:val="00EC3444"/>
    <w:rsid w:val="00EC3495"/>
    <w:rsid w:val="00EC34A1"/>
    <w:rsid w:val="00EC34A9"/>
    <w:rsid w:val="00EC34D5"/>
    <w:rsid w:val="00EC34F0"/>
    <w:rsid w:val="00EC3542"/>
    <w:rsid w:val="00EC3565"/>
    <w:rsid w:val="00EC3581"/>
    <w:rsid w:val="00EC35A7"/>
    <w:rsid w:val="00EC35D4"/>
    <w:rsid w:val="00EC35E5"/>
    <w:rsid w:val="00EC366F"/>
    <w:rsid w:val="00EC36CC"/>
    <w:rsid w:val="00EC3706"/>
    <w:rsid w:val="00EC374E"/>
    <w:rsid w:val="00EC37A2"/>
    <w:rsid w:val="00EC37CB"/>
    <w:rsid w:val="00EC3848"/>
    <w:rsid w:val="00EC391C"/>
    <w:rsid w:val="00EC3922"/>
    <w:rsid w:val="00EC3973"/>
    <w:rsid w:val="00EC39A8"/>
    <w:rsid w:val="00EC39C0"/>
    <w:rsid w:val="00EC3AB1"/>
    <w:rsid w:val="00EC3AE3"/>
    <w:rsid w:val="00EC3AE7"/>
    <w:rsid w:val="00EC3B1C"/>
    <w:rsid w:val="00EC3B32"/>
    <w:rsid w:val="00EC3B33"/>
    <w:rsid w:val="00EC3B66"/>
    <w:rsid w:val="00EC3B7A"/>
    <w:rsid w:val="00EC3B7F"/>
    <w:rsid w:val="00EC3B82"/>
    <w:rsid w:val="00EC3B8D"/>
    <w:rsid w:val="00EC3CB9"/>
    <w:rsid w:val="00EC3CBD"/>
    <w:rsid w:val="00EC3CCC"/>
    <w:rsid w:val="00EC3CF7"/>
    <w:rsid w:val="00EC3D4A"/>
    <w:rsid w:val="00EC3D70"/>
    <w:rsid w:val="00EC3DCF"/>
    <w:rsid w:val="00EC3EAD"/>
    <w:rsid w:val="00EC3EE3"/>
    <w:rsid w:val="00EC3EF8"/>
    <w:rsid w:val="00EC3EFA"/>
    <w:rsid w:val="00EC3F14"/>
    <w:rsid w:val="00EC3F58"/>
    <w:rsid w:val="00EC3F73"/>
    <w:rsid w:val="00EC3F84"/>
    <w:rsid w:val="00EC3F9E"/>
    <w:rsid w:val="00EC3FD7"/>
    <w:rsid w:val="00EC4103"/>
    <w:rsid w:val="00EC4116"/>
    <w:rsid w:val="00EC412E"/>
    <w:rsid w:val="00EC4160"/>
    <w:rsid w:val="00EC4181"/>
    <w:rsid w:val="00EC41A1"/>
    <w:rsid w:val="00EC41C0"/>
    <w:rsid w:val="00EC4231"/>
    <w:rsid w:val="00EC428D"/>
    <w:rsid w:val="00EC42A3"/>
    <w:rsid w:val="00EC42AC"/>
    <w:rsid w:val="00EC42E0"/>
    <w:rsid w:val="00EC4338"/>
    <w:rsid w:val="00EC437F"/>
    <w:rsid w:val="00EC439F"/>
    <w:rsid w:val="00EC44B3"/>
    <w:rsid w:val="00EC44BA"/>
    <w:rsid w:val="00EC455D"/>
    <w:rsid w:val="00EC4597"/>
    <w:rsid w:val="00EC45AC"/>
    <w:rsid w:val="00EC462E"/>
    <w:rsid w:val="00EC4651"/>
    <w:rsid w:val="00EC466D"/>
    <w:rsid w:val="00EC4686"/>
    <w:rsid w:val="00EC46F4"/>
    <w:rsid w:val="00EC4716"/>
    <w:rsid w:val="00EC471B"/>
    <w:rsid w:val="00EC4759"/>
    <w:rsid w:val="00EC4780"/>
    <w:rsid w:val="00EC47EF"/>
    <w:rsid w:val="00EC4800"/>
    <w:rsid w:val="00EC4823"/>
    <w:rsid w:val="00EC482D"/>
    <w:rsid w:val="00EC4845"/>
    <w:rsid w:val="00EC4884"/>
    <w:rsid w:val="00EC489D"/>
    <w:rsid w:val="00EC489F"/>
    <w:rsid w:val="00EC48FE"/>
    <w:rsid w:val="00EC4914"/>
    <w:rsid w:val="00EC4931"/>
    <w:rsid w:val="00EC494A"/>
    <w:rsid w:val="00EC49AD"/>
    <w:rsid w:val="00EC49D4"/>
    <w:rsid w:val="00EC49D7"/>
    <w:rsid w:val="00EC4A90"/>
    <w:rsid w:val="00EC4AA9"/>
    <w:rsid w:val="00EC4AD1"/>
    <w:rsid w:val="00EC4AE9"/>
    <w:rsid w:val="00EC4AEF"/>
    <w:rsid w:val="00EC4B20"/>
    <w:rsid w:val="00EC4B67"/>
    <w:rsid w:val="00EC4B8B"/>
    <w:rsid w:val="00EC4BAA"/>
    <w:rsid w:val="00EC4BBB"/>
    <w:rsid w:val="00EC4BDB"/>
    <w:rsid w:val="00EC4BF5"/>
    <w:rsid w:val="00EC4CF1"/>
    <w:rsid w:val="00EC4CF4"/>
    <w:rsid w:val="00EC4D39"/>
    <w:rsid w:val="00EC4D41"/>
    <w:rsid w:val="00EC4D45"/>
    <w:rsid w:val="00EC4D6D"/>
    <w:rsid w:val="00EC4D7A"/>
    <w:rsid w:val="00EC4D9D"/>
    <w:rsid w:val="00EC4DCD"/>
    <w:rsid w:val="00EC4DD4"/>
    <w:rsid w:val="00EC4DD9"/>
    <w:rsid w:val="00EC4E06"/>
    <w:rsid w:val="00EC4E49"/>
    <w:rsid w:val="00EC4E6D"/>
    <w:rsid w:val="00EC4E7E"/>
    <w:rsid w:val="00EC4E80"/>
    <w:rsid w:val="00EC4EBE"/>
    <w:rsid w:val="00EC4F2C"/>
    <w:rsid w:val="00EC4F2D"/>
    <w:rsid w:val="00EC4F86"/>
    <w:rsid w:val="00EC4F93"/>
    <w:rsid w:val="00EC4FAE"/>
    <w:rsid w:val="00EC4FD4"/>
    <w:rsid w:val="00EC4FFC"/>
    <w:rsid w:val="00EC4FFE"/>
    <w:rsid w:val="00EC502E"/>
    <w:rsid w:val="00EC505E"/>
    <w:rsid w:val="00EC50B0"/>
    <w:rsid w:val="00EC510E"/>
    <w:rsid w:val="00EC5124"/>
    <w:rsid w:val="00EC5143"/>
    <w:rsid w:val="00EC5153"/>
    <w:rsid w:val="00EC515F"/>
    <w:rsid w:val="00EC51A4"/>
    <w:rsid w:val="00EC51D2"/>
    <w:rsid w:val="00EC520B"/>
    <w:rsid w:val="00EC5285"/>
    <w:rsid w:val="00EC537E"/>
    <w:rsid w:val="00EC53DC"/>
    <w:rsid w:val="00EC53F9"/>
    <w:rsid w:val="00EC544E"/>
    <w:rsid w:val="00EC5453"/>
    <w:rsid w:val="00EC54BC"/>
    <w:rsid w:val="00EC5584"/>
    <w:rsid w:val="00EC558B"/>
    <w:rsid w:val="00EC55B9"/>
    <w:rsid w:val="00EC55EA"/>
    <w:rsid w:val="00EC55F6"/>
    <w:rsid w:val="00EC5608"/>
    <w:rsid w:val="00EC5656"/>
    <w:rsid w:val="00EC567A"/>
    <w:rsid w:val="00EC568A"/>
    <w:rsid w:val="00EC5725"/>
    <w:rsid w:val="00EC5732"/>
    <w:rsid w:val="00EC5750"/>
    <w:rsid w:val="00EC5755"/>
    <w:rsid w:val="00EC579A"/>
    <w:rsid w:val="00EC57DC"/>
    <w:rsid w:val="00EC57EB"/>
    <w:rsid w:val="00EC5841"/>
    <w:rsid w:val="00EC5879"/>
    <w:rsid w:val="00EC58EE"/>
    <w:rsid w:val="00EC58FA"/>
    <w:rsid w:val="00EC5907"/>
    <w:rsid w:val="00EC591E"/>
    <w:rsid w:val="00EC594F"/>
    <w:rsid w:val="00EC597B"/>
    <w:rsid w:val="00EC59A9"/>
    <w:rsid w:val="00EC59C8"/>
    <w:rsid w:val="00EC5A73"/>
    <w:rsid w:val="00EC5AC7"/>
    <w:rsid w:val="00EC5AE0"/>
    <w:rsid w:val="00EC5B08"/>
    <w:rsid w:val="00EC5B25"/>
    <w:rsid w:val="00EC5B27"/>
    <w:rsid w:val="00EC5B7B"/>
    <w:rsid w:val="00EC5C10"/>
    <w:rsid w:val="00EC5C35"/>
    <w:rsid w:val="00EC5C45"/>
    <w:rsid w:val="00EC5C66"/>
    <w:rsid w:val="00EC5CA6"/>
    <w:rsid w:val="00EC5CCE"/>
    <w:rsid w:val="00EC5CEC"/>
    <w:rsid w:val="00EC5D0A"/>
    <w:rsid w:val="00EC5D5C"/>
    <w:rsid w:val="00EC5DCA"/>
    <w:rsid w:val="00EC5DE6"/>
    <w:rsid w:val="00EC5E3D"/>
    <w:rsid w:val="00EC5ECB"/>
    <w:rsid w:val="00EC5FC0"/>
    <w:rsid w:val="00EC601B"/>
    <w:rsid w:val="00EC601D"/>
    <w:rsid w:val="00EC607F"/>
    <w:rsid w:val="00EC60AC"/>
    <w:rsid w:val="00EC60CE"/>
    <w:rsid w:val="00EC6139"/>
    <w:rsid w:val="00EC6160"/>
    <w:rsid w:val="00EC61BE"/>
    <w:rsid w:val="00EC6209"/>
    <w:rsid w:val="00EC6214"/>
    <w:rsid w:val="00EC6234"/>
    <w:rsid w:val="00EC6250"/>
    <w:rsid w:val="00EC6263"/>
    <w:rsid w:val="00EC62D3"/>
    <w:rsid w:val="00EC62D7"/>
    <w:rsid w:val="00EC6306"/>
    <w:rsid w:val="00EC630A"/>
    <w:rsid w:val="00EC6334"/>
    <w:rsid w:val="00EC6349"/>
    <w:rsid w:val="00EC635D"/>
    <w:rsid w:val="00EC6383"/>
    <w:rsid w:val="00EC639A"/>
    <w:rsid w:val="00EC63C2"/>
    <w:rsid w:val="00EC63C9"/>
    <w:rsid w:val="00EC63F7"/>
    <w:rsid w:val="00EC6401"/>
    <w:rsid w:val="00EC6468"/>
    <w:rsid w:val="00EC64A5"/>
    <w:rsid w:val="00EC64BB"/>
    <w:rsid w:val="00EC652E"/>
    <w:rsid w:val="00EC658B"/>
    <w:rsid w:val="00EC65E8"/>
    <w:rsid w:val="00EC660A"/>
    <w:rsid w:val="00EC6657"/>
    <w:rsid w:val="00EC6680"/>
    <w:rsid w:val="00EC66D3"/>
    <w:rsid w:val="00EC66F0"/>
    <w:rsid w:val="00EC66FD"/>
    <w:rsid w:val="00EC66FF"/>
    <w:rsid w:val="00EC6702"/>
    <w:rsid w:val="00EC6713"/>
    <w:rsid w:val="00EC6774"/>
    <w:rsid w:val="00EC677B"/>
    <w:rsid w:val="00EC67BE"/>
    <w:rsid w:val="00EC6820"/>
    <w:rsid w:val="00EC6829"/>
    <w:rsid w:val="00EC68AB"/>
    <w:rsid w:val="00EC693C"/>
    <w:rsid w:val="00EC6985"/>
    <w:rsid w:val="00EC699F"/>
    <w:rsid w:val="00EC69AF"/>
    <w:rsid w:val="00EC69D7"/>
    <w:rsid w:val="00EC69F3"/>
    <w:rsid w:val="00EC6A0D"/>
    <w:rsid w:val="00EC6A1F"/>
    <w:rsid w:val="00EC6B28"/>
    <w:rsid w:val="00EC6B7A"/>
    <w:rsid w:val="00EC6C21"/>
    <w:rsid w:val="00EC6C61"/>
    <w:rsid w:val="00EC6CA6"/>
    <w:rsid w:val="00EC6CBD"/>
    <w:rsid w:val="00EC6CD6"/>
    <w:rsid w:val="00EC6CDD"/>
    <w:rsid w:val="00EC6D20"/>
    <w:rsid w:val="00EC6D45"/>
    <w:rsid w:val="00EC6DA6"/>
    <w:rsid w:val="00EC6DAA"/>
    <w:rsid w:val="00EC6DFE"/>
    <w:rsid w:val="00EC6E0E"/>
    <w:rsid w:val="00EC6E2E"/>
    <w:rsid w:val="00EC6E63"/>
    <w:rsid w:val="00EC6E65"/>
    <w:rsid w:val="00EC6E7D"/>
    <w:rsid w:val="00EC6E9D"/>
    <w:rsid w:val="00EC6EB9"/>
    <w:rsid w:val="00EC6F5A"/>
    <w:rsid w:val="00EC6F77"/>
    <w:rsid w:val="00EC7037"/>
    <w:rsid w:val="00EC707B"/>
    <w:rsid w:val="00EC70A6"/>
    <w:rsid w:val="00EC70AC"/>
    <w:rsid w:val="00EC70DD"/>
    <w:rsid w:val="00EC70E7"/>
    <w:rsid w:val="00EC7126"/>
    <w:rsid w:val="00EC7131"/>
    <w:rsid w:val="00EC7132"/>
    <w:rsid w:val="00EC71E3"/>
    <w:rsid w:val="00EC71E6"/>
    <w:rsid w:val="00EC71FE"/>
    <w:rsid w:val="00EC728B"/>
    <w:rsid w:val="00EC72D8"/>
    <w:rsid w:val="00EC7317"/>
    <w:rsid w:val="00EC73E8"/>
    <w:rsid w:val="00EC7405"/>
    <w:rsid w:val="00EC7410"/>
    <w:rsid w:val="00EC7419"/>
    <w:rsid w:val="00EC7433"/>
    <w:rsid w:val="00EC750D"/>
    <w:rsid w:val="00EC7527"/>
    <w:rsid w:val="00EC752E"/>
    <w:rsid w:val="00EC7541"/>
    <w:rsid w:val="00EC75BF"/>
    <w:rsid w:val="00EC75EC"/>
    <w:rsid w:val="00EC75ED"/>
    <w:rsid w:val="00EC763D"/>
    <w:rsid w:val="00EC7655"/>
    <w:rsid w:val="00EC7660"/>
    <w:rsid w:val="00EC7682"/>
    <w:rsid w:val="00EC7686"/>
    <w:rsid w:val="00EC76AF"/>
    <w:rsid w:val="00EC76CA"/>
    <w:rsid w:val="00EC7770"/>
    <w:rsid w:val="00EC7780"/>
    <w:rsid w:val="00EC77C9"/>
    <w:rsid w:val="00EC77CD"/>
    <w:rsid w:val="00EC781C"/>
    <w:rsid w:val="00EC7827"/>
    <w:rsid w:val="00EC782B"/>
    <w:rsid w:val="00EC7881"/>
    <w:rsid w:val="00EC7897"/>
    <w:rsid w:val="00EC794D"/>
    <w:rsid w:val="00EC795E"/>
    <w:rsid w:val="00EC79BA"/>
    <w:rsid w:val="00EC7ACC"/>
    <w:rsid w:val="00EC7ACD"/>
    <w:rsid w:val="00EC7AE6"/>
    <w:rsid w:val="00EC7B4B"/>
    <w:rsid w:val="00EC7B4C"/>
    <w:rsid w:val="00EC7BA0"/>
    <w:rsid w:val="00EC7BA2"/>
    <w:rsid w:val="00EC7BCB"/>
    <w:rsid w:val="00EC7BF1"/>
    <w:rsid w:val="00EC7BF6"/>
    <w:rsid w:val="00EC7C8E"/>
    <w:rsid w:val="00EC7C97"/>
    <w:rsid w:val="00EC7CD3"/>
    <w:rsid w:val="00EC7D2F"/>
    <w:rsid w:val="00EC7D35"/>
    <w:rsid w:val="00EC7D41"/>
    <w:rsid w:val="00EC7D44"/>
    <w:rsid w:val="00EC7D5A"/>
    <w:rsid w:val="00EC7D9B"/>
    <w:rsid w:val="00EC7DAB"/>
    <w:rsid w:val="00EC7DDC"/>
    <w:rsid w:val="00EC7E0D"/>
    <w:rsid w:val="00EC7E1A"/>
    <w:rsid w:val="00EC7E2D"/>
    <w:rsid w:val="00EC7E47"/>
    <w:rsid w:val="00EC7E89"/>
    <w:rsid w:val="00EC7EEE"/>
    <w:rsid w:val="00EC7EF1"/>
    <w:rsid w:val="00EC7F04"/>
    <w:rsid w:val="00EC7FA3"/>
    <w:rsid w:val="00EC7FCD"/>
    <w:rsid w:val="00EC7FE0"/>
    <w:rsid w:val="00EC852C"/>
    <w:rsid w:val="00ED000E"/>
    <w:rsid w:val="00ED0117"/>
    <w:rsid w:val="00ED01EB"/>
    <w:rsid w:val="00ED0219"/>
    <w:rsid w:val="00ED021F"/>
    <w:rsid w:val="00ED0222"/>
    <w:rsid w:val="00ED024C"/>
    <w:rsid w:val="00ED025A"/>
    <w:rsid w:val="00ED029A"/>
    <w:rsid w:val="00ED035B"/>
    <w:rsid w:val="00ED03BE"/>
    <w:rsid w:val="00ED03E4"/>
    <w:rsid w:val="00ED040F"/>
    <w:rsid w:val="00ED04A2"/>
    <w:rsid w:val="00ED04B5"/>
    <w:rsid w:val="00ED04B9"/>
    <w:rsid w:val="00ED04BC"/>
    <w:rsid w:val="00ED04D1"/>
    <w:rsid w:val="00ED05A3"/>
    <w:rsid w:val="00ED05CB"/>
    <w:rsid w:val="00ED05D8"/>
    <w:rsid w:val="00ED05EA"/>
    <w:rsid w:val="00ED0615"/>
    <w:rsid w:val="00ED065C"/>
    <w:rsid w:val="00ED067E"/>
    <w:rsid w:val="00ED068B"/>
    <w:rsid w:val="00ED068E"/>
    <w:rsid w:val="00ED06D5"/>
    <w:rsid w:val="00ED06EE"/>
    <w:rsid w:val="00ED0700"/>
    <w:rsid w:val="00ED071D"/>
    <w:rsid w:val="00ED073C"/>
    <w:rsid w:val="00ED0742"/>
    <w:rsid w:val="00ED077E"/>
    <w:rsid w:val="00ED07E4"/>
    <w:rsid w:val="00ED081B"/>
    <w:rsid w:val="00ED0886"/>
    <w:rsid w:val="00ED08DF"/>
    <w:rsid w:val="00ED0915"/>
    <w:rsid w:val="00ED0984"/>
    <w:rsid w:val="00ED0985"/>
    <w:rsid w:val="00ED09B8"/>
    <w:rsid w:val="00ED09E6"/>
    <w:rsid w:val="00ED0A24"/>
    <w:rsid w:val="00ED0A31"/>
    <w:rsid w:val="00ED0A94"/>
    <w:rsid w:val="00ED0AB0"/>
    <w:rsid w:val="00ED0AE6"/>
    <w:rsid w:val="00ED0AFB"/>
    <w:rsid w:val="00ED0B03"/>
    <w:rsid w:val="00ED0B24"/>
    <w:rsid w:val="00ED0B2F"/>
    <w:rsid w:val="00ED0B3E"/>
    <w:rsid w:val="00ED0B6C"/>
    <w:rsid w:val="00ED0BC5"/>
    <w:rsid w:val="00ED0C3F"/>
    <w:rsid w:val="00ED0C42"/>
    <w:rsid w:val="00ED0C4B"/>
    <w:rsid w:val="00ED0CAB"/>
    <w:rsid w:val="00ED0CC2"/>
    <w:rsid w:val="00ED0CE2"/>
    <w:rsid w:val="00ED0D04"/>
    <w:rsid w:val="00ED0E2C"/>
    <w:rsid w:val="00ED0E46"/>
    <w:rsid w:val="00ED0E5C"/>
    <w:rsid w:val="00ED0E7A"/>
    <w:rsid w:val="00ED0EF2"/>
    <w:rsid w:val="00ED0F20"/>
    <w:rsid w:val="00ED0F3B"/>
    <w:rsid w:val="00ED0F42"/>
    <w:rsid w:val="00ED0F49"/>
    <w:rsid w:val="00ED0F6C"/>
    <w:rsid w:val="00ED0F84"/>
    <w:rsid w:val="00ED0FBB"/>
    <w:rsid w:val="00ED0FCD"/>
    <w:rsid w:val="00ED0FD3"/>
    <w:rsid w:val="00ED108D"/>
    <w:rsid w:val="00ED109B"/>
    <w:rsid w:val="00ED1110"/>
    <w:rsid w:val="00ED1121"/>
    <w:rsid w:val="00ED1163"/>
    <w:rsid w:val="00ED118E"/>
    <w:rsid w:val="00ED11AC"/>
    <w:rsid w:val="00ED11B7"/>
    <w:rsid w:val="00ED11B8"/>
    <w:rsid w:val="00ED11DE"/>
    <w:rsid w:val="00ED1214"/>
    <w:rsid w:val="00ED128B"/>
    <w:rsid w:val="00ED128F"/>
    <w:rsid w:val="00ED12AF"/>
    <w:rsid w:val="00ED12CB"/>
    <w:rsid w:val="00ED1300"/>
    <w:rsid w:val="00ED130B"/>
    <w:rsid w:val="00ED131C"/>
    <w:rsid w:val="00ED1340"/>
    <w:rsid w:val="00ED1350"/>
    <w:rsid w:val="00ED1364"/>
    <w:rsid w:val="00ED136E"/>
    <w:rsid w:val="00ED13B3"/>
    <w:rsid w:val="00ED13FB"/>
    <w:rsid w:val="00ED143C"/>
    <w:rsid w:val="00ED1475"/>
    <w:rsid w:val="00ED14FC"/>
    <w:rsid w:val="00ED1516"/>
    <w:rsid w:val="00ED1526"/>
    <w:rsid w:val="00ED155A"/>
    <w:rsid w:val="00ED15EE"/>
    <w:rsid w:val="00ED161C"/>
    <w:rsid w:val="00ED1665"/>
    <w:rsid w:val="00ED16A9"/>
    <w:rsid w:val="00ED16AD"/>
    <w:rsid w:val="00ED172D"/>
    <w:rsid w:val="00ED1741"/>
    <w:rsid w:val="00ED177F"/>
    <w:rsid w:val="00ED1788"/>
    <w:rsid w:val="00ED179C"/>
    <w:rsid w:val="00ED17EC"/>
    <w:rsid w:val="00ED1809"/>
    <w:rsid w:val="00ED1831"/>
    <w:rsid w:val="00ED188F"/>
    <w:rsid w:val="00ED18C4"/>
    <w:rsid w:val="00ED1932"/>
    <w:rsid w:val="00ED1933"/>
    <w:rsid w:val="00ED199C"/>
    <w:rsid w:val="00ED19A5"/>
    <w:rsid w:val="00ED19F5"/>
    <w:rsid w:val="00ED1A37"/>
    <w:rsid w:val="00ED1A38"/>
    <w:rsid w:val="00ED1A3D"/>
    <w:rsid w:val="00ED1A6F"/>
    <w:rsid w:val="00ED1A72"/>
    <w:rsid w:val="00ED1AC3"/>
    <w:rsid w:val="00ED1AD7"/>
    <w:rsid w:val="00ED1AE6"/>
    <w:rsid w:val="00ED1AFE"/>
    <w:rsid w:val="00ED1B01"/>
    <w:rsid w:val="00ED1B30"/>
    <w:rsid w:val="00ED1B39"/>
    <w:rsid w:val="00ED1B3B"/>
    <w:rsid w:val="00ED1BDE"/>
    <w:rsid w:val="00ED1C08"/>
    <w:rsid w:val="00ED1CA8"/>
    <w:rsid w:val="00ED1CEA"/>
    <w:rsid w:val="00ED1CF7"/>
    <w:rsid w:val="00ED1D3A"/>
    <w:rsid w:val="00ED1D8C"/>
    <w:rsid w:val="00ED1DD0"/>
    <w:rsid w:val="00ED1DE7"/>
    <w:rsid w:val="00ED1E21"/>
    <w:rsid w:val="00ED1E70"/>
    <w:rsid w:val="00ED1E77"/>
    <w:rsid w:val="00ED1E7D"/>
    <w:rsid w:val="00ED1F60"/>
    <w:rsid w:val="00ED1F71"/>
    <w:rsid w:val="00ED1FAC"/>
    <w:rsid w:val="00ED206E"/>
    <w:rsid w:val="00ED207C"/>
    <w:rsid w:val="00ED208B"/>
    <w:rsid w:val="00ED209B"/>
    <w:rsid w:val="00ED20D8"/>
    <w:rsid w:val="00ED213B"/>
    <w:rsid w:val="00ED213C"/>
    <w:rsid w:val="00ED2148"/>
    <w:rsid w:val="00ED2176"/>
    <w:rsid w:val="00ED21E4"/>
    <w:rsid w:val="00ED2279"/>
    <w:rsid w:val="00ED227C"/>
    <w:rsid w:val="00ED22E1"/>
    <w:rsid w:val="00ED22E5"/>
    <w:rsid w:val="00ED22F7"/>
    <w:rsid w:val="00ED22FD"/>
    <w:rsid w:val="00ED2307"/>
    <w:rsid w:val="00ED235E"/>
    <w:rsid w:val="00ED23B9"/>
    <w:rsid w:val="00ED2445"/>
    <w:rsid w:val="00ED2489"/>
    <w:rsid w:val="00ED24AF"/>
    <w:rsid w:val="00ED24CD"/>
    <w:rsid w:val="00ED2551"/>
    <w:rsid w:val="00ED2592"/>
    <w:rsid w:val="00ED25B5"/>
    <w:rsid w:val="00ED25C0"/>
    <w:rsid w:val="00ED266A"/>
    <w:rsid w:val="00ED266F"/>
    <w:rsid w:val="00ED2692"/>
    <w:rsid w:val="00ED26E1"/>
    <w:rsid w:val="00ED2758"/>
    <w:rsid w:val="00ED27A2"/>
    <w:rsid w:val="00ED27DA"/>
    <w:rsid w:val="00ED2812"/>
    <w:rsid w:val="00ED283F"/>
    <w:rsid w:val="00ED2896"/>
    <w:rsid w:val="00ED28DA"/>
    <w:rsid w:val="00ED28E6"/>
    <w:rsid w:val="00ED2959"/>
    <w:rsid w:val="00ED2984"/>
    <w:rsid w:val="00ED29BB"/>
    <w:rsid w:val="00ED29C0"/>
    <w:rsid w:val="00ED29E4"/>
    <w:rsid w:val="00ED2A09"/>
    <w:rsid w:val="00ED2A22"/>
    <w:rsid w:val="00ED2A4B"/>
    <w:rsid w:val="00ED2A58"/>
    <w:rsid w:val="00ED2A91"/>
    <w:rsid w:val="00ED2A94"/>
    <w:rsid w:val="00ED2AFF"/>
    <w:rsid w:val="00ED2B64"/>
    <w:rsid w:val="00ED2C30"/>
    <w:rsid w:val="00ED2C6D"/>
    <w:rsid w:val="00ED2C8D"/>
    <w:rsid w:val="00ED2CB8"/>
    <w:rsid w:val="00ED2CFD"/>
    <w:rsid w:val="00ED2D01"/>
    <w:rsid w:val="00ED2D36"/>
    <w:rsid w:val="00ED2E09"/>
    <w:rsid w:val="00ED2E2D"/>
    <w:rsid w:val="00ED2E4B"/>
    <w:rsid w:val="00ED2E6B"/>
    <w:rsid w:val="00ED2ECA"/>
    <w:rsid w:val="00ED2ED6"/>
    <w:rsid w:val="00ED2F5A"/>
    <w:rsid w:val="00ED2F80"/>
    <w:rsid w:val="00ED2F8F"/>
    <w:rsid w:val="00ED2FA6"/>
    <w:rsid w:val="00ED2FAA"/>
    <w:rsid w:val="00ED2FC2"/>
    <w:rsid w:val="00ED2FEB"/>
    <w:rsid w:val="00ED3010"/>
    <w:rsid w:val="00ED3039"/>
    <w:rsid w:val="00ED303B"/>
    <w:rsid w:val="00ED3045"/>
    <w:rsid w:val="00ED306D"/>
    <w:rsid w:val="00ED30A8"/>
    <w:rsid w:val="00ED30B4"/>
    <w:rsid w:val="00ED30E8"/>
    <w:rsid w:val="00ED30EC"/>
    <w:rsid w:val="00ED30EF"/>
    <w:rsid w:val="00ED3108"/>
    <w:rsid w:val="00ED3113"/>
    <w:rsid w:val="00ED314D"/>
    <w:rsid w:val="00ED31C0"/>
    <w:rsid w:val="00ED31C3"/>
    <w:rsid w:val="00ED31D5"/>
    <w:rsid w:val="00ED3241"/>
    <w:rsid w:val="00ED326E"/>
    <w:rsid w:val="00ED3344"/>
    <w:rsid w:val="00ED335E"/>
    <w:rsid w:val="00ED3368"/>
    <w:rsid w:val="00ED33D1"/>
    <w:rsid w:val="00ED33DB"/>
    <w:rsid w:val="00ED33DF"/>
    <w:rsid w:val="00ED342F"/>
    <w:rsid w:val="00ED3432"/>
    <w:rsid w:val="00ED343F"/>
    <w:rsid w:val="00ED3487"/>
    <w:rsid w:val="00ED34B4"/>
    <w:rsid w:val="00ED34C1"/>
    <w:rsid w:val="00ED34D9"/>
    <w:rsid w:val="00ED34FA"/>
    <w:rsid w:val="00ED350A"/>
    <w:rsid w:val="00ED352E"/>
    <w:rsid w:val="00ED354F"/>
    <w:rsid w:val="00ED35C3"/>
    <w:rsid w:val="00ED360E"/>
    <w:rsid w:val="00ED3676"/>
    <w:rsid w:val="00ED3685"/>
    <w:rsid w:val="00ED36C7"/>
    <w:rsid w:val="00ED36D0"/>
    <w:rsid w:val="00ED3710"/>
    <w:rsid w:val="00ED3723"/>
    <w:rsid w:val="00ED373B"/>
    <w:rsid w:val="00ED3744"/>
    <w:rsid w:val="00ED37AE"/>
    <w:rsid w:val="00ED3802"/>
    <w:rsid w:val="00ED3831"/>
    <w:rsid w:val="00ED3860"/>
    <w:rsid w:val="00ED3863"/>
    <w:rsid w:val="00ED38B7"/>
    <w:rsid w:val="00ED38CB"/>
    <w:rsid w:val="00ED38D3"/>
    <w:rsid w:val="00ED3A08"/>
    <w:rsid w:val="00ED3A52"/>
    <w:rsid w:val="00ED3A6A"/>
    <w:rsid w:val="00ED3A88"/>
    <w:rsid w:val="00ED3ADC"/>
    <w:rsid w:val="00ED3B31"/>
    <w:rsid w:val="00ED3B63"/>
    <w:rsid w:val="00ED3BBB"/>
    <w:rsid w:val="00ED3BE7"/>
    <w:rsid w:val="00ED3CE9"/>
    <w:rsid w:val="00ED3D16"/>
    <w:rsid w:val="00ED3D53"/>
    <w:rsid w:val="00ED3D58"/>
    <w:rsid w:val="00ED3D9C"/>
    <w:rsid w:val="00ED3DF9"/>
    <w:rsid w:val="00ED3E3D"/>
    <w:rsid w:val="00ED3EA9"/>
    <w:rsid w:val="00ED3EC9"/>
    <w:rsid w:val="00ED3F30"/>
    <w:rsid w:val="00ED3F3C"/>
    <w:rsid w:val="00ED3F89"/>
    <w:rsid w:val="00ED3F90"/>
    <w:rsid w:val="00ED4011"/>
    <w:rsid w:val="00ED403D"/>
    <w:rsid w:val="00ED40E2"/>
    <w:rsid w:val="00ED4133"/>
    <w:rsid w:val="00ED4134"/>
    <w:rsid w:val="00ED41A6"/>
    <w:rsid w:val="00ED41AA"/>
    <w:rsid w:val="00ED420C"/>
    <w:rsid w:val="00ED422D"/>
    <w:rsid w:val="00ED426F"/>
    <w:rsid w:val="00ED4299"/>
    <w:rsid w:val="00ED42C1"/>
    <w:rsid w:val="00ED431B"/>
    <w:rsid w:val="00ED435B"/>
    <w:rsid w:val="00ED4384"/>
    <w:rsid w:val="00ED43E5"/>
    <w:rsid w:val="00ED4404"/>
    <w:rsid w:val="00ED4421"/>
    <w:rsid w:val="00ED4453"/>
    <w:rsid w:val="00ED445A"/>
    <w:rsid w:val="00ED446D"/>
    <w:rsid w:val="00ED4522"/>
    <w:rsid w:val="00ED452D"/>
    <w:rsid w:val="00ED4531"/>
    <w:rsid w:val="00ED4572"/>
    <w:rsid w:val="00ED458E"/>
    <w:rsid w:val="00ED45A1"/>
    <w:rsid w:val="00ED45AD"/>
    <w:rsid w:val="00ED45CC"/>
    <w:rsid w:val="00ED4637"/>
    <w:rsid w:val="00ED46C2"/>
    <w:rsid w:val="00ED46EC"/>
    <w:rsid w:val="00ED4719"/>
    <w:rsid w:val="00ED476D"/>
    <w:rsid w:val="00ED47A6"/>
    <w:rsid w:val="00ED47EF"/>
    <w:rsid w:val="00ED4818"/>
    <w:rsid w:val="00ED4835"/>
    <w:rsid w:val="00ED486E"/>
    <w:rsid w:val="00ED4877"/>
    <w:rsid w:val="00ED489B"/>
    <w:rsid w:val="00ED48C7"/>
    <w:rsid w:val="00ED4933"/>
    <w:rsid w:val="00ED4937"/>
    <w:rsid w:val="00ED49F4"/>
    <w:rsid w:val="00ED4A11"/>
    <w:rsid w:val="00ED4A14"/>
    <w:rsid w:val="00ED4A5A"/>
    <w:rsid w:val="00ED4A6F"/>
    <w:rsid w:val="00ED4AA7"/>
    <w:rsid w:val="00ED4AAA"/>
    <w:rsid w:val="00ED4AB7"/>
    <w:rsid w:val="00ED4ADA"/>
    <w:rsid w:val="00ED4B3B"/>
    <w:rsid w:val="00ED4BDA"/>
    <w:rsid w:val="00ED4BDC"/>
    <w:rsid w:val="00ED4C7C"/>
    <w:rsid w:val="00ED4CD5"/>
    <w:rsid w:val="00ED4CF7"/>
    <w:rsid w:val="00ED4D2E"/>
    <w:rsid w:val="00ED4DCB"/>
    <w:rsid w:val="00ED4E20"/>
    <w:rsid w:val="00ED4E4A"/>
    <w:rsid w:val="00ED4EAC"/>
    <w:rsid w:val="00ED4ED6"/>
    <w:rsid w:val="00ED4EE8"/>
    <w:rsid w:val="00ED4F1B"/>
    <w:rsid w:val="00ED4F28"/>
    <w:rsid w:val="00ED4F4A"/>
    <w:rsid w:val="00ED4F9E"/>
    <w:rsid w:val="00ED4FD6"/>
    <w:rsid w:val="00ED4FDF"/>
    <w:rsid w:val="00ED5078"/>
    <w:rsid w:val="00ED5079"/>
    <w:rsid w:val="00ED5080"/>
    <w:rsid w:val="00ED50DE"/>
    <w:rsid w:val="00ED5120"/>
    <w:rsid w:val="00ED515A"/>
    <w:rsid w:val="00ED5168"/>
    <w:rsid w:val="00ED5174"/>
    <w:rsid w:val="00ED51A0"/>
    <w:rsid w:val="00ED51BB"/>
    <w:rsid w:val="00ED51C7"/>
    <w:rsid w:val="00ED5227"/>
    <w:rsid w:val="00ED52E2"/>
    <w:rsid w:val="00ED52F4"/>
    <w:rsid w:val="00ED5302"/>
    <w:rsid w:val="00ED536F"/>
    <w:rsid w:val="00ED53E4"/>
    <w:rsid w:val="00ED5414"/>
    <w:rsid w:val="00ED5435"/>
    <w:rsid w:val="00ED547E"/>
    <w:rsid w:val="00ED54F6"/>
    <w:rsid w:val="00ED5520"/>
    <w:rsid w:val="00ED5553"/>
    <w:rsid w:val="00ED5585"/>
    <w:rsid w:val="00ED558D"/>
    <w:rsid w:val="00ED5599"/>
    <w:rsid w:val="00ED55D6"/>
    <w:rsid w:val="00ED560E"/>
    <w:rsid w:val="00ED5639"/>
    <w:rsid w:val="00ED566D"/>
    <w:rsid w:val="00ED568A"/>
    <w:rsid w:val="00ED56A8"/>
    <w:rsid w:val="00ED571E"/>
    <w:rsid w:val="00ED5724"/>
    <w:rsid w:val="00ED5754"/>
    <w:rsid w:val="00ED57B7"/>
    <w:rsid w:val="00ED57BF"/>
    <w:rsid w:val="00ED5806"/>
    <w:rsid w:val="00ED5837"/>
    <w:rsid w:val="00ED586D"/>
    <w:rsid w:val="00ED58E9"/>
    <w:rsid w:val="00ED59AB"/>
    <w:rsid w:val="00ED5A5B"/>
    <w:rsid w:val="00ED5AAA"/>
    <w:rsid w:val="00ED5B02"/>
    <w:rsid w:val="00ED5B8B"/>
    <w:rsid w:val="00ED5BB8"/>
    <w:rsid w:val="00ED5C1A"/>
    <w:rsid w:val="00ED5D68"/>
    <w:rsid w:val="00ED5E22"/>
    <w:rsid w:val="00ED5E5E"/>
    <w:rsid w:val="00ED5E71"/>
    <w:rsid w:val="00ED5EB0"/>
    <w:rsid w:val="00ED5EB1"/>
    <w:rsid w:val="00ED5EF8"/>
    <w:rsid w:val="00ED5F02"/>
    <w:rsid w:val="00ED5FBA"/>
    <w:rsid w:val="00ED5FF3"/>
    <w:rsid w:val="00ED600D"/>
    <w:rsid w:val="00ED6046"/>
    <w:rsid w:val="00ED606E"/>
    <w:rsid w:val="00ED60CB"/>
    <w:rsid w:val="00ED6161"/>
    <w:rsid w:val="00ED618E"/>
    <w:rsid w:val="00ED61BC"/>
    <w:rsid w:val="00ED61EB"/>
    <w:rsid w:val="00ED6254"/>
    <w:rsid w:val="00ED6275"/>
    <w:rsid w:val="00ED62A0"/>
    <w:rsid w:val="00ED62A4"/>
    <w:rsid w:val="00ED62AF"/>
    <w:rsid w:val="00ED6300"/>
    <w:rsid w:val="00ED6355"/>
    <w:rsid w:val="00ED63AE"/>
    <w:rsid w:val="00ED63EA"/>
    <w:rsid w:val="00ED6405"/>
    <w:rsid w:val="00ED642A"/>
    <w:rsid w:val="00ED6436"/>
    <w:rsid w:val="00ED64C6"/>
    <w:rsid w:val="00ED64CD"/>
    <w:rsid w:val="00ED6530"/>
    <w:rsid w:val="00ED6532"/>
    <w:rsid w:val="00ED6541"/>
    <w:rsid w:val="00ED6560"/>
    <w:rsid w:val="00ED657B"/>
    <w:rsid w:val="00ED65A3"/>
    <w:rsid w:val="00ED6600"/>
    <w:rsid w:val="00ED660F"/>
    <w:rsid w:val="00ED6615"/>
    <w:rsid w:val="00ED6679"/>
    <w:rsid w:val="00ED66A4"/>
    <w:rsid w:val="00ED66D5"/>
    <w:rsid w:val="00ED671F"/>
    <w:rsid w:val="00ED6748"/>
    <w:rsid w:val="00ED679D"/>
    <w:rsid w:val="00ED67E1"/>
    <w:rsid w:val="00ED67ED"/>
    <w:rsid w:val="00ED680C"/>
    <w:rsid w:val="00ED6813"/>
    <w:rsid w:val="00ED6838"/>
    <w:rsid w:val="00ED683B"/>
    <w:rsid w:val="00ED684F"/>
    <w:rsid w:val="00ED686A"/>
    <w:rsid w:val="00ED689B"/>
    <w:rsid w:val="00ED690D"/>
    <w:rsid w:val="00ED6916"/>
    <w:rsid w:val="00ED6920"/>
    <w:rsid w:val="00ED6941"/>
    <w:rsid w:val="00ED6949"/>
    <w:rsid w:val="00ED694E"/>
    <w:rsid w:val="00ED69D9"/>
    <w:rsid w:val="00ED69F4"/>
    <w:rsid w:val="00ED6A96"/>
    <w:rsid w:val="00ED6AC7"/>
    <w:rsid w:val="00ED6B3B"/>
    <w:rsid w:val="00ED6B8C"/>
    <w:rsid w:val="00ED6BB5"/>
    <w:rsid w:val="00ED6BEA"/>
    <w:rsid w:val="00ED6C04"/>
    <w:rsid w:val="00ED6C38"/>
    <w:rsid w:val="00ED6C72"/>
    <w:rsid w:val="00ED6D35"/>
    <w:rsid w:val="00ED6D7B"/>
    <w:rsid w:val="00ED6E2E"/>
    <w:rsid w:val="00ED6E40"/>
    <w:rsid w:val="00ED6E41"/>
    <w:rsid w:val="00ED6E4C"/>
    <w:rsid w:val="00ED6F25"/>
    <w:rsid w:val="00ED6F3A"/>
    <w:rsid w:val="00ED6F49"/>
    <w:rsid w:val="00ED6FEF"/>
    <w:rsid w:val="00ED7003"/>
    <w:rsid w:val="00ED700B"/>
    <w:rsid w:val="00ED701C"/>
    <w:rsid w:val="00ED702C"/>
    <w:rsid w:val="00ED702F"/>
    <w:rsid w:val="00ED709A"/>
    <w:rsid w:val="00ED70C1"/>
    <w:rsid w:val="00ED7131"/>
    <w:rsid w:val="00ED713C"/>
    <w:rsid w:val="00ED714E"/>
    <w:rsid w:val="00ED7185"/>
    <w:rsid w:val="00ED718D"/>
    <w:rsid w:val="00ED71AD"/>
    <w:rsid w:val="00ED71DC"/>
    <w:rsid w:val="00ED71E6"/>
    <w:rsid w:val="00ED722B"/>
    <w:rsid w:val="00ED72DB"/>
    <w:rsid w:val="00ED7332"/>
    <w:rsid w:val="00ED7345"/>
    <w:rsid w:val="00ED7375"/>
    <w:rsid w:val="00ED737A"/>
    <w:rsid w:val="00ED737B"/>
    <w:rsid w:val="00ED7425"/>
    <w:rsid w:val="00ED743A"/>
    <w:rsid w:val="00ED7506"/>
    <w:rsid w:val="00ED7509"/>
    <w:rsid w:val="00ED7513"/>
    <w:rsid w:val="00ED75C6"/>
    <w:rsid w:val="00ED75F7"/>
    <w:rsid w:val="00ED768A"/>
    <w:rsid w:val="00ED76A8"/>
    <w:rsid w:val="00ED76BF"/>
    <w:rsid w:val="00ED777B"/>
    <w:rsid w:val="00ED777D"/>
    <w:rsid w:val="00ED7798"/>
    <w:rsid w:val="00ED77B3"/>
    <w:rsid w:val="00ED7810"/>
    <w:rsid w:val="00ED781C"/>
    <w:rsid w:val="00ED7862"/>
    <w:rsid w:val="00ED788E"/>
    <w:rsid w:val="00ED78B4"/>
    <w:rsid w:val="00ED7943"/>
    <w:rsid w:val="00ED79F1"/>
    <w:rsid w:val="00ED79FD"/>
    <w:rsid w:val="00ED7A35"/>
    <w:rsid w:val="00ED7A47"/>
    <w:rsid w:val="00ED7AB9"/>
    <w:rsid w:val="00ED7AE2"/>
    <w:rsid w:val="00ED7AE9"/>
    <w:rsid w:val="00ED7B1D"/>
    <w:rsid w:val="00ED7B39"/>
    <w:rsid w:val="00ED7B3F"/>
    <w:rsid w:val="00ED7B61"/>
    <w:rsid w:val="00ED7BBB"/>
    <w:rsid w:val="00ED7BC7"/>
    <w:rsid w:val="00ED7BE4"/>
    <w:rsid w:val="00ED7BFD"/>
    <w:rsid w:val="00ED7C47"/>
    <w:rsid w:val="00ED7C83"/>
    <w:rsid w:val="00ED7CE4"/>
    <w:rsid w:val="00ED7D5C"/>
    <w:rsid w:val="00ED7D61"/>
    <w:rsid w:val="00ED7D78"/>
    <w:rsid w:val="00ED7E15"/>
    <w:rsid w:val="00ED7E65"/>
    <w:rsid w:val="00ED7E76"/>
    <w:rsid w:val="00ED7ED9"/>
    <w:rsid w:val="00ED7F2A"/>
    <w:rsid w:val="00ED7F5A"/>
    <w:rsid w:val="00ED7F6E"/>
    <w:rsid w:val="00ED7F92"/>
    <w:rsid w:val="00ED7FC9"/>
    <w:rsid w:val="00EE0012"/>
    <w:rsid w:val="00EE00E0"/>
    <w:rsid w:val="00EE012F"/>
    <w:rsid w:val="00EE0140"/>
    <w:rsid w:val="00EE0147"/>
    <w:rsid w:val="00EE014E"/>
    <w:rsid w:val="00EE018F"/>
    <w:rsid w:val="00EE01E8"/>
    <w:rsid w:val="00EE027D"/>
    <w:rsid w:val="00EE028F"/>
    <w:rsid w:val="00EE02C4"/>
    <w:rsid w:val="00EE02CC"/>
    <w:rsid w:val="00EE031B"/>
    <w:rsid w:val="00EE032D"/>
    <w:rsid w:val="00EE033F"/>
    <w:rsid w:val="00EE0363"/>
    <w:rsid w:val="00EE039E"/>
    <w:rsid w:val="00EE03A0"/>
    <w:rsid w:val="00EE03E8"/>
    <w:rsid w:val="00EE050E"/>
    <w:rsid w:val="00EE0555"/>
    <w:rsid w:val="00EE055E"/>
    <w:rsid w:val="00EE05A4"/>
    <w:rsid w:val="00EE05E8"/>
    <w:rsid w:val="00EE05FA"/>
    <w:rsid w:val="00EE062C"/>
    <w:rsid w:val="00EE063F"/>
    <w:rsid w:val="00EE0664"/>
    <w:rsid w:val="00EE0672"/>
    <w:rsid w:val="00EE0684"/>
    <w:rsid w:val="00EE0688"/>
    <w:rsid w:val="00EE06C3"/>
    <w:rsid w:val="00EE0758"/>
    <w:rsid w:val="00EE0770"/>
    <w:rsid w:val="00EE07A5"/>
    <w:rsid w:val="00EE07AA"/>
    <w:rsid w:val="00EE07AF"/>
    <w:rsid w:val="00EE0843"/>
    <w:rsid w:val="00EE0863"/>
    <w:rsid w:val="00EE08BD"/>
    <w:rsid w:val="00EE08E2"/>
    <w:rsid w:val="00EE0915"/>
    <w:rsid w:val="00EE095D"/>
    <w:rsid w:val="00EE0A5E"/>
    <w:rsid w:val="00EE0AB5"/>
    <w:rsid w:val="00EE0ADE"/>
    <w:rsid w:val="00EE0B10"/>
    <w:rsid w:val="00EE0B27"/>
    <w:rsid w:val="00EE0B4A"/>
    <w:rsid w:val="00EE0B60"/>
    <w:rsid w:val="00EE0B65"/>
    <w:rsid w:val="00EE0B89"/>
    <w:rsid w:val="00EE0B98"/>
    <w:rsid w:val="00EE0BA8"/>
    <w:rsid w:val="00EE0D18"/>
    <w:rsid w:val="00EE0D1A"/>
    <w:rsid w:val="00EE0D3A"/>
    <w:rsid w:val="00EE0D48"/>
    <w:rsid w:val="00EE0D7D"/>
    <w:rsid w:val="00EE0D86"/>
    <w:rsid w:val="00EE0D87"/>
    <w:rsid w:val="00EE0DA1"/>
    <w:rsid w:val="00EE0DB9"/>
    <w:rsid w:val="00EE0DD6"/>
    <w:rsid w:val="00EE0E18"/>
    <w:rsid w:val="00EE0E1C"/>
    <w:rsid w:val="00EE0E41"/>
    <w:rsid w:val="00EE0E59"/>
    <w:rsid w:val="00EE0E6E"/>
    <w:rsid w:val="00EE0E6F"/>
    <w:rsid w:val="00EE0E70"/>
    <w:rsid w:val="00EE0E77"/>
    <w:rsid w:val="00EE0F0F"/>
    <w:rsid w:val="00EE0F4D"/>
    <w:rsid w:val="00EE0F89"/>
    <w:rsid w:val="00EE0FC4"/>
    <w:rsid w:val="00EE0FC7"/>
    <w:rsid w:val="00EE10AD"/>
    <w:rsid w:val="00EE10C5"/>
    <w:rsid w:val="00EE10EC"/>
    <w:rsid w:val="00EE112F"/>
    <w:rsid w:val="00EE11D9"/>
    <w:rsid w:val="00EE11E6"/>
    <w:rsid w:val="00EE120A"/>
    <w:rsid w:val="00EE124F"/>
    <w:rsid w:val="00EE1264"/>
    <w:rsid w:val="00EE12B7"/>
    <w:rsid w:val="00EE12E2"/>
    <w:rsid w:val="00EE12E4"/>
    <w:rsid w:val="00EE12E9"/>
    <w:rsid w:val="00EE1316"/>
    <w:rsid w:val="00EE13A0"/>
    <w:rsid w:val="00EE13BD"/>
    <w:rsid w:val="00EE13CD"/>
    <w:rsid w:val="00EE141A"/>
    <w:rsid w:val="00EE141C"/>
    <w:rsid w:val="00EE1456"/>
    <w:rsid w:val="00EE14FB"/>
    <w:rsid w:val="00EE1503"/>
    <w:rsid w:val="00EE151D"/>
    <w:rsid w:val="00EE1529"/>
    <w:rsid w:val="00EE1532"/>
    <w:rsid w:val="00EE1547"/>
    <w:rsid w:val="00EE156F"/>
    <w:rsid w:val="00EE15C3"/>
    <w:rsid w:val="00EE1616"/>
    <w:rsid w:val="00EE16CD"/>
    <w:rsid w:val="00EE16E2"/>
    <w:rsid w:val="00EE16EB"/>
    <w:rsid w:val="00EE1702"/>
    <w:rsid w:val="00EE170E"/>
    <w:rsid w:val="00EE1717"/>
    <w:rsid w:val="00EE175E"/>
    <w:rsid w:val="00EE1775"/>
    <w:rsid w:val="00EE17C5"/>
    <w:rsid w:val="00EE1849"/>
    <w:rsid w:val="00EE1870"/>
    <w:rsid w:val="00EE1889"/>
    <w:rsid w:val="00EE18A0"/>
    <w:rsid w:val="00EE1A0E"/>
    <w:rsid w:val="00EE1A76"/>
    <w:rsid w:val="00EE1A98"/>
    <w:rsid w:val="00EE1B6F"/>
    <w:rsid w:val="00EE1BAE"/>
    <w:rsid w:val="00EE1BD6"/>
    <w:rsid w:val="00EE1BFF"/>
    <w:rsid w:val="00EE1C73"/>
    <w:rsid w:val="00EE1C97"/>
    <w:rsid w:val="00EE1CD2"/>
    <w:rsid w:val="00EE1CE8"/>
    <w:rsid w:val="00EE1CF9"/>
    <w:rsid w:val="00EE1D05"/>
    <w:rsid w:val="00EE1D06"/>
    <w:rsid w:val="00EE1D31"/>
    <w:rsid w:val="00EE1D74"/>
    <w:rsid w:val="00EE1D84"/>
    <w:rsid w:val="00EE1DA6"/>
    <w:rsid w:val="00EE1DAC"/>
    <w:rsid w:val="00EE1DCC"/>
    <w:rsid w:val="00EE1E13"/>
    <w:rsid w:val="00EE1E27"/>
    <w:rsid w:val="00EE1E51"/>
    <w:rsid w:val="00EE1E7F"/>
    <w:rsid w:val="00EE1E8F"/>
    <w:rsid w:val="00EE1EB3"/>
    <w:rsid w:val="00EE1EEA"/>
    <w:rsid w:val="00EE1F2D"/>
    <w:rsid w:val="00EE1F5D"/>
    <w:rsid w:val="00EE1FA2"/>
    <w:rsid w:val="00EE1FA3"/>
    <w:rsid w:val="00EE207F"/>
    <w:rsid w:val="00EE208B"/>
    <w:rsid w:val="00EE2094"/>
    <w:rsid w:val="00EE20FF"/>
    <w:rsid w:val="00EE2107"/>
    <w:rsid w:val="00EE2157"/>
    <w:rsid w:val="00EE21CD"/>
    <w:rsid w:val="00EE21F3"/>
    <w:rsid w:val="00EE2231"/>
    <w:rsid w:val="00EE2245"/>
    <w:rsid w:val="00EE2247"/>
    <w:rsid w:val="00EE22DB"/>
    <w:rsid w:val="00EE232B"/>
    <w:rsid w:val="00EE233F"/>
    <w:rsid w:val="00EE2340"/>
    <w:rsid w:val="00EE2361"/>
    <w:rsid w:val="00EE2389"/>
    <w:rsid w:val="00EE238A"/>
    <w:rsid w:val="00EE2394"/>
    <w:rsid w:val="00EE23B0"/>
    <w:rsid w:val="00EE23C3"/>
    <w:rsid w:val="00EE23CF"/>
    <w:rsid w:val="00EE23F2"/>
    <w:rsid w:val="00EE2415"/>
    <w:rsid w:val="00EE2423"/>
    <w:rsid w:val="00EE2454"/>
    <w:rsid w:val="00EE24B6"/>
    <w:rsid w:val="00EE2525"/>
    <w:rsid w:val="00EE254F"/>
    <w:rsid w:val="00EE255C"/>
    <w:rsid w:val="00EE25E0"/>
    <w:rsid w:val="00EE2619"/>
    <w:rsid w:val="00EE2665"/>
    <w:rsid w:val="00EE2681"/>
    <w:rsid w:val="00EE26DD"/>
    <w:rsid w:val="00EE26DF"/>
    <w:rsid w:val="00EE273C"/>
    <w:rsid w:val="00EE2748"/>
    <w:rsid w:val="00EE2793"/>
    <w:rsid w:val="00EE2817"/>
    <w:rsid w:val="00EE284F"/>
    <w:rsid w:val="00EE2879"/>
    <w:rsid w:val="00EE28A5"/>
    <w:rsid w:val="00EE28D2"/>
    <w:rsid w:val="00EE28D9"/>
    <w:rsid w:val="00EE28E2"/>
    <w:rsid w:val="00EE28E5"/>
    <w:rsid w:val="00EE290B"/>
    <w:rsid w:val="00EE2A44"/>
    <w:rsid w:val="00EE2A68"/>
    <w:rsid w:val="00EE2A79"/>
    <w:rsid w:val="00EE2AFE"/>
    <w:rsid w:val="00EE2B49"/>
    <w:rsid w:val="00EE2B6F"/>
    <w:rsid w:val="00EE2B9A"/>
    <w:rsid w:val="00EE2BD7"/>
    <w:rsid w:val="00EE2CCC"/>
    <w:rsid w:val="00EE2D87"/>
    <w:rsid w:val="00EE2DC1"/>
    <w:rsid w:val="00EE2DDC"/>
    <w:rsid w:val="00EE2DF9"/>
    <w:rsid w:val="00EE2E58"/>
    <w:rsid w:val="00EE2EA4"/>
    <w:rsid w:val="00EE2F0F"/>
    <w:rsid w:val="00EE2FF5"/>
    <w:rsid w:val="00EE3001"/>
    <w:rsid w:val="00EE300C"/>
    <w:rsid w:val="00EE302A"/>
    <w:rsid w:val="00EE30D7"/>
    <w:rsid w:val="00EE3103"/>
    <w:rsid w:val="00EE3118"/>
    <w:rsid w:val="00EE31A7"/>
    <w:rsid w:val="00EE31B8"/>
    <w:rsid w:val="00EE31D5"/>
    <w:rsid w:val="00EE31D8"/>
    <w:rsid w:val="00EE31F2"/>
    <w:rsid w:val="00EE3208"/>
    <w:rsid w:val="00EE320E"/>
    <w:rsid w:val="00EE3219"/>
    <w:rsid w:val="00EE325E"/>
    <w:rsid w:val="00EE32B2"/>
    <w:rsid w:val="00EE32C6"/>
    <w:rsid w:val="00EE32C9"/>
    <w:rsid w:val="00EE32CB"/>
    <w:rsid w:val="00EE32CF"/>
    <w:rsid w:val="00EE32DB"/>
    <w:rsid w:val="00EE32E0"/>
    <w:rsid w:val="00EE3316"/>
    <w:rsid w:val="00EE3338"/>
    <w:rsid w:val="00EE33A8"/>
    <w:rsid w:val="00EE33C6"/>
    <w:rsid w:val="00EE33E3"/>
    <w:rsid w:val="00EE3404"/>
    <w:rsid w:val="00EE340A"/>
    <w:rsid w:val="00EE340D"/>
    <w:rsid w:val="00EE341E"/>
    <w:rsid w:val="00EE3446"/>
    <w:rsid w:val="00EE3475"/>
    <w:rsid w:val="00EE34B3"/>
    <w:rsid w:val="00EE3531"/>
    <w:rsid w:val="00EE3560"/>
    <w:rsid w:val="00EE3582"/>
    <w:rsid w:val="00EE3585"/>
    <w:rsid w:val="00EE35D6"/>
    <w:rsid w:val="00EE365C"/>
    <w:rsid w:val="00EE36CB"/>
    <w:rsid w:val="00EE3704"/>
    <w:rsid w:val="00EE3712"/>
    <w:rsid w:val="00EE3770"/>
    <w:rsid w:val="00EE377B"/>
    <w:rsid w:val="00EE37AF"/>
    <w:rsid w:val="00EE37BB"/>
    <w:rsid w:val="00EE3809"/>
    <w:rsid w:val="00EE380F"/>
    <w:rsid w:val="00EE3822"/>
    <w:rsid w:val="00EE384E"/>
    <w:rsid w:val="00EE3858"/>
    <w:rsid w:val="00EE3885"/>
    <w:rsid w:val="00EE3889"/>
    <w:rsid w:val="00EE38FA"/>
    <w:rsid w:val="00EE38FB"/>
    <w:rsid w:val="00EE39A7"/>
    <w:rsid w:val="00EE3A08"/>
    <w:rsid w:val="00EE3A84"/>
    <w:rsid w:val="00EE3AAE"/>
    <w:rsid w:val="00EE3B1D"/>
    <w:rsid w:val="00EE3B3B"/>
    <w:rsid w:val="00EE3B61"/>
    <w:rsid w:val="00EE3B8F"/>
    <w:rsid w:val="00EE3B95"/>
    <w:rsid w:val="00EE3BBE"/>
    <w:rsid w:val="00EE3BE2"/>
    <w:rsid w:val="00EE3C15"/>
    <w:rsid w:val="00EE3C2D"/>
    <w:rsid w:val="00EE3CE4"/>
    <w:rsid w:val="00EE3D9D"/>
    <w:rsid w:val="00EE3DBC"/>
    <w:rsid w:val="00EE3E14"/>
    <w:rsid w:val="00EE3E42"/>
    <w:rsid w:val="00EE3E48"/>
    <w:rsid w:val="00EE3E91"/>
    <w:rsid w:val="00EE3EA4"/>
    <w:rsid w:val="00EE3EBB"/>
    <w:rsid w:val="00EE3F05"/>
    <w:rsid w:val="00EE3F11"/>
    <w:rsid w:val="00EE3F43"/>
    <w:rsid w:val="00EE3F4C"/>
    <w:rsid w:val="00EE3F8E"/>
    <w:rsid w:val="00EE3FEE"/>
    <w:rsid w:val="00EE4050"/>
    <w:rsid w:val="00EE40EA"/>
    <w:rsid w:val="00EE4107"/>
    <w:rsid w:val="00EE410E"/>
    <w:rsid w:val="00EE4130"/>
    <w:rsid w:val="00EE4136"/>
    <w:rsid w:val="00EE4198"/>
    <w:rsid w:val="00EE41B6"/>
    <w:rsid w:val="00EE41BF"/>
    <w:rsid w:val="00EE425B"/>
    <w:rsid w:val="00EE430D"/>
    <w:rsid w:val="00EE4348"/>
    <w:rsid w:val="00EE43BF"/>
    <w:rsid w:val="00EE43CE"/>
    <w:rsid w:val="00EE43D2"/>
    <w:rsid w:val="00EE43DD"/>
    <w:rsid w:val="00EE43F2"/>
    <w:rsid w:val="00EE43F6"/>
    <w:rsid w:val="00EE440E"/>
    <w:rsid w:val="00EE444B"/>
    <w:rsid w:val="00EE446C"/>
    <w:rsid w:val="00EE4508"/>
    <w:rsid w:val="00EE4513"/>
    <w:rsid w:val="00EE4557"/>
    <w:rsid w:val="00EE4618"/>
    <w:rsid w:val="00EE4622"/>
    <w:rsid w:val="00EE463E"/>
    <w:rsid w:val="00EE4645"/>
    <w:rsid w:val="00EE464A"/>
    <w:rsid w:val="00EE465A"/>
    <w:rsid w:val="00EE4665"/>
    <w:rsid w:val="00EE4699"/>
    <w:rsid w:val="00EE474C"/>
    <w:rsid w:val="00EE475D"/>
    <w:rsid w:val="00EE4773"/>
    <w:rsid w:val="00EE47A9"/>
    <w:rsid w:val="00EE47C7"/>
    <w:rsid w:val="00EE47D7"/>
    <w:rsid w:val="00EE4923"/>
    <w:rsid w:val="00EE4928"/>
    <w:rsid w:val="00EE4942"/>
    <w:rsid w:val="00EE497A"/>
    <w:rsid w:val="00EE499B"/>
    <w:rsid w:val="00EE49FA"/>
    <w:rsid w:val="00EE4A3C"/>
    <w:rsid w:val="00EE4A66"/>
    <w:rsid w:val="00EE4AB7"/>
    <w:rsid w:val="00EE4B27"/>
    <w:rsid w:val="00EE4B44"/>
    <w:rsid w:val="00EE4B99"/>
    <w:rsid w:val="00EE4BA0"/>
    <w:rsid w:val="00EE4BCE"/>
    <w:rsid w:val="00EE4BF4"/>
    <w:rsid w:val="00EE4C17"/>
    <w:rsid w:val="00EE4C21"/>
    <w:rsid w:val="00EE4C35"/>
    <w:rsid w:val="00EE4C95"/>
    <w:rsid w:val="00EE4C9C"/>
    <w:rsid w:val="00EE4D7A"/>
    <w:rsid w:val="00EE4D82"/>
    <w:rsid w:val="00EE4D90"/>
    <w:rsid w:val="00EE4DE7"/>
    <w:rsid w:val="00EE4E7B"/>
    <w:rsid w:val="00EE4FAB"/>
    <w:rsid w:val="00EE4FB1"/>
    <w:rsid w:val="00EE4FCD"/>
    <w:rsid w:val="00EE4FDB"/>
    <w:rsid w:val="00EE501D"/>
    <w:rsid w:val="00EE507C"/>
    <w:rsid w:val="00EE5084"/>
    <w:rsid w:val="00EE50B2"/>
    <w:rsid w:val="00EE50C3"/>
    <w:rsid w:val="00EE50EE"/>
    <w:rsid w:val="00EE5175"/>
    <w:rsid w:val="00EE51B7"/>
    <w:rsid w:val="00EE51BA"/>
    <w:rsid w:val="00EE5271"/>
    <w:rsid w:val="00EE5273"/>
    <w:rsid w:val="00EE5275"/>
    <w:rsid w:val="00EE527F"/>
    <w:rsid w:val="00EE52A7"/>
    <w:rsid w:val="00EE5306"/>
    <w:rsid w:val="00EE5307"/>
    <w:rsid w:val="00EE535E"/>
    <w:rsid w:val="00EE5438"/>
    <w:rsid w:val="00EE544C"/>
    <w:rsid w:val="00EE546B"/>
    <w:rsid w:val="00EE546C"/>
    <w:rsid w:val="00EE547D"/>
    <w:rsid w:val="00EE548A"/>
    <w:rsid w:val="00EE54ED"/>
    <w:rsid w:val="00EE54FD"/>
    <w:rsid w:val="00EE551C"/>
    <w:rsid w:val="00EE5538"/>
    <w:rsid w:val="00EE557E"/>
    <w:rsid w:val="00EE55B5"/>
    <w:rsid w:val="00EE55DD"/>
    <w:rsid w:val="00EE55DF"/>
    <w:rsid w:val="00EE55E4"/>
    <w:rsid w:val="00EE55F7"/>
    <w:rsid w:val="00EE5672"/>
    <w:rsid w:val="00EE5682"/>
    <w:rsid w:val="00EE56BD"/>
    <w:rsid w:val="00EE56DA"/>
    <w:rsid w:val="00EE5705"/>
    <w:rsid w:val="00EE577B"/>
    <w:rsid w:val="00EE57A7"/>
    <w:rsid w:val="00EE57C3"/>
    <w:rsid w:val="00EE5859"/>
    <w:rsid w:val="00EE587F"/>
    <w:rsid w:val="00EE5891"/>
    <w:rsid w:val="00EE58EB"/>
    <w:rsid w:val="00EE5918"/>
    <w:rsid w:val="00EE5926"/>
    <w:rsid w:val="00EE597A"/>
    <w:rsid w:val="00EE59BA"/>
    <w:rsid w:val="00EE59D1"/>
    <w:rsid w:val="00EE59DE"/>
    <w:rsid w:val="00EE59E3"/>
    <w:rsid w:val="00EE5A14"/>
    <w:rsid w:val="00EE5A52"/>
    <w:rsid w:val="00EE5AB8"/>
    <w:rsid w:val="00EE5AB9"/>
    <w:rsid w:val="00EE5B4E"/>
    <w:rsid w:val="00EE5B6D"/>
    <w:rsid w:val="00EE5BA1"/>
    <w:rsid w:val="00EE5BA3"/>
    <w:rsid w:val="00EE5BB9"/>
    <w:rsid w:val="00EE5C1B"/>
    <w:rsid w:val="00EE5C48"/>
    <w:rsid w:val="00EE5C5E"/>
    <w:rsid w:val="00EE5C69"/>
    <w:rsid w:val="00EE5D21"/>
    <w:rsid w:val="00EE5D89"/>
    <w:rsid w:val="00EE5D99"/>
    <w:rsid w:val="00EE5DB1"/>
    <w:rsid w:val="00EE5E0E"/>
    <w:rsid w:val="00EE5E90"/>
    <w:rsid w:val="00EE5EA9"/>
    <w:rsid w:val="00EE5ED6"/>
    <w:rsid w:val="00EE5EFB"/>
    <w:rsid w:val="00EE5F10"/>
    <w:rsid w:val="00EE5F50"/>
    <w:rsid w:val="00EE5F7B"/>
    <w:rsid w:val="00EE5FA1"/>
    <w:rsid w:val="00EE5FC6"/>
    <w:rsid w:val="00EE5FFF"/>
    <w:rsid w:val="00EE6026"/>
    <w:rsid w:val="00EE6036"/>
    <w:rsid w:val="00EE6047"/>
    <w:rsid w:val="00EE604D"/>
    <w:rsid w:val="00EE6071"/>
    <w:rsid w:val="00EE607B"/>
    <w:rsid w:val="00EE60B1"/>
    <w:rsid w:val="00EE6123"/>
    <w:rsid w:val="00EE6142"/>
    <w:rsid w:val="00EE614A"/>
    <w:rsid w:val="00EE614F"/>
    <w:rsid w:val="00EE61F0"/>
    <w:rsid w:val="00EE61F5"/>
    <w:rsid w:val="00EE623D"/>
    <w:rsid w:val="00EE624C"/>
    <w:rsid w:val="00EE628C"/>
    <w:rsid w:val="00EE6292"/>
    <w:rsid w:val="00EE62F9"/>
    <w:rsid w:val="00EE630B"/>
    <w:rsid w:val="00EE6352"/>
    <w:rsid w:val="00EE63C1"/>
    <w:rsid w:val="00EE6404"/>
    <w:rsid w:val="00EE64EC"/>
    <w:rsid w:val="00EE6501"/>
    <w:rsid w:val="00EE6513"/>
    <w:rsid w:val="00EE6560"/>
    <w:rsid w:val="00EE65B2"/>
    <w:rsid w:val="00EE65B8"/>
    <w:rsid w:val="00EE65D0"/>
    <w:rsid w:val="00EE65E8"/>
    <w:rsid w:val="00EE65FD"/>
    <w:rsid w:val="00EE6616"/>
    <w:rsid w:val="00EE6620"/>
    <w:rsid w:val="00EE663B"/>
    <w:rsid w:val="00EE6643"/>
    <w:rsid w:val="00EE666C"/>
    <w:rsid w:val="00EE678F"/>
    <w:rsid w:val="00EE67D6"/>
    <w:rsid w:val="00EE6802"/>
    <w:rsid w:val="00EE680A"/>
    <w:rsid w:val="00EE681B"/>
    <w:rsid w:val="00EE687A"/>
    <w:rsid w:val="00EE688D"/>
    <w:rsid w:val="00EE68A6"/>
    <w:rsid w:val="00EE6912"/>
    <w:rsid w:val="00EE691A"/>
    <w:rsid w:val="00EE694A"/>
    <w:rsid w:val="00EE69A5"/>
    <w:rsid w:val="00EE69E6"/>
    <w:rsid w:val="00EE6A5B"/>
    <w:rsid w:val="00EE6A7B"/>
    <w:rsid w:val="00EE6AEA"/>
    <w:rsid w:val="00EE6B14"/>
    <w:rsid w:val="00EE6B44"/>
    <w:rsid w:val="00EE6B59"/>
    <w:rsid w:val="00EE6B7B"/>
    <w:rsid w:val="00EE6B84"/>
    <w:rsid w:val="00EE6B8E"/>
    <w:rsid w:val="00EE6BA8"/>
    <w:rsid w:val="00EE6BC9"/>
    <w:rsid w:val="00EE6C7F"/>
    <w:rsid w:val="00EE6C82"/>
    <w:rsid w:val="00EE6CB3"/>
    <w:rsid w:val="00EE6CC8"/>
    <w:rsid w:val="00EE6D1B"/>
    <w:rsid w:val="00EE6D3D"/>
    <w:rsid w:val="00EE6D42"/>
    <w:rsid w:val="00EE6D80"/>
    <w:rsid w:val="00EE6E18"/>
    <w:rsid w:val="00EE6E1F"/>
    <w:rsid w:val="00EE6E34"/>
    <w:rsid w:val="00EE6E41"/>
    <w:rsid w:val="00EE6E7E"/>
    <w:rsid w:val="00EE6F50"/>
    <w:rsid w:val="00EE6F57"/>
    <w:rsid w:val="00EE6F5F"/>
    <w:rsid w:val="00EE6FC8"/>
    <w:rsid w:val="00EE6FF3"/>
    <w:rsid w:val="00EE7057"/>
    <w:rsid w:val="00EE705D"/>
    <w:rsid w:val="00EE70D4"/>
    <w:rsid w:val="00EE70FD"/>
    <w:rsid w:val="00EE7105"/>
    <w:rsid w:val="00EE7140"/>
    <w:rsid w:val="00EE71AE"/>
    <w:rsid w:val="00EE71BA"/>
    <w:rsid w:val="00EE71C2"/>
    <w:rsid w:val="00EE71D3"/>
    <w:rsid w:val="00EE71F2"/>
    <w:rsid w:val="00EE720F"/>
    <w:rsid w:val="00EE7268"/>
    <w:rsid w:val="00EE7271"/>
    <w:rsid w:val="00EE7288"/>
    <w:rsid w:val="00EE728C"/>
    <w:rsid w:val="00EE72C2"/>
    <w:rsid w:val="00EE734B"/>
    <w:rsid w:val="00EE7354"/>
    <w:rsid w:val="00EE73B8"/>
    <w:rsid w:val="00EE73C4"/>
    <w:rsid w:val="00EE73D7"/>
    <w:rsid w:val="00EE73F3"/>
    <w:rsid w:val="00EE7400"/>
    <w:rsid w:val="00EE74A5"/>
    <w:rsid w:val="00EE74EA"/>
    <w:rsid w:val="00EE74F0"/>
    <w:rsid w:val="00EE7535"/>
    <w:rsid w:val="00EE756B"/>
    <w:rsid w:val="00EE7582"/>
    <w:rsid w:val="00EE75A1"/>
    <w:rsid w:val="00EE75A8"/>
    <w:rsid w:val="00EE75B5"/>
    <w:rsid w:val="00EE760B"/>
    <w:rsid w:val="00EE7692"/>
    <w:rsid w:val="00EE76B5"/>
    <w:rsid w:val="00EE76D9"/>
    <w:rsid w:val="00EE7764"/>
    <w:rsid w:val="00EE7786"/>
    <w:rsid w:val="00EE77A7"/>
    <w:rsid w:val="00EE77B8"/>
    <w:rsid w:val="00EE77E8"/>
    <w:rsid w:val="00EE781E"/>
    <w:rsid w:val="00EE7869"/>
    <w:rsid w:val="00EE78A9"/>
    <w:rsid w:val="00EE78DE"/>
    <w:rsid w:val="00EE78F6"/>
    <w:rsid w:val="00EE79CB"/>
    <w:rsid w:val="00EE7A04"/>
    <w:rsid w:val="00EE7A0C"/>
    <w:rsid w:val="00EE7A21"/>
    <w:rsid w:val="00EE7A4A"/>
    <w:rsid w:val="00EE7A64"/>
    <w:rsid w:val="00EE7A73"/>
    <w:rsid w:val="00EE7A7B"/>
    <w:rsid w:val="00EE7A8F"/>
    <w:rsid w:val="00EE7A93"/>
    <w:rsid w:val="00EE7B27"/>
    <w:rsid w:val="00EE7BD0"/>
    <w:rsid w:val="00EE7C6A"/>
    <w:rsid w:val="00EE7C76"/>
    <w:rsid w:val="00EE7D28"/>
    <w:rsid w:val="00EE7D92"/>
    <w:rsid w:val="00EE7D96"/>
    <w:rsid w:val="00EE7DD4"/>
    <w:rsid w:val="00EE7E0A"/>
    <w:rsid w:val="00EE7E26"/>
    <w:rsid w:val="00EE7E31"/>
    <w:rsid w:val="00EE7E77"/>
    <w:rsid w:val="00EE7EA1"/>
    <w:rsid w:val="00EE7EA2"/>
    <w:rsid w:val="00EE7EAA"/>
    <w:rsid w:val="00EE7EC0"/>
    <w:rsid w:val="00EE7EED"/>
    <w:rsid w:val="00EE7F27"/>
    <w:rsid w:val="00EE7FA0"/>
    <w:rsid w:val="00EE7FA6"/>
    <w:rsid w:val="00EE7FBA"/>
    <w:rsid w:val="00EF0018"/>
    <w:rsid w:val="00EF0019"/>
    <w:rsid w:val="00EF0066"/>
    <w:rsid w:val="00EF0084"/>
    <w:rsid w:val="00EF0092"/>
    <w:rsid w:val="00EF00B8"/>
    <w:rsid w:val="00EF00E4"/>
    <w:rsid w:val="00EF00E8"/>
    <w:rsid w:val="00EF0146"/>
    <w:rsid w:val="00EF0155"/>
    <w:rsid w:val="00EF015D"/>
    <w:rsid w:val="00EF0181"/>
    <w:rsid w:val="00EF018B"/>
    <w:rsid w:val="00EF018D"/>
    <w:rsid w:val="00EF01FE"/>
    <w:rsid w:val="00EF020C"/>
    <w:rsid w:val="00EF022B"/>
    <w:rsid w:val="00EF0276"/>
    <w:rsid w:val="00EF02A5"/>
    <w:rsid w:val="00EF02EC"/>
    <w:rsid w:val="00EF02F1"/>
    <w:rsid w:val="00EF0322"/>
    <w:rsid w:val="00EF0331"/>
    <w:rsid w:val="00EF0393"/>
    <w:rsid w:val="00EF03AE"/>
    <w:rsid w:val="00EF03E5"/>
    <w:rsid w:val="00EF044C"/>
    <w:rsid w:val="00EF0453"/>
    <w:rsid w:val="00EF0471"/>
    <w:rsid w:val="00EF04AD"/>
    <w:rsid w:val="00EF04D5"/>
    <w:rsid w:val="00EF054C"/>
    <w:rsid w:val="00EF0556"/>
    <w:rsid w:val="00EF057F"/>
    <w:rsid w:val="00EF05CC"/>
    <w:rsid w:val="00EF0617"/>
    <w:rsid w:val="00EF06B5"/>
    <w:rsid w:val="00EF06FF"/>
    <w:rsid w:val="00EF075C"/>
    <w:rsid w:val="00EF0783"/>
    <w:rsid w:val="00EF07AC"/>
    <w:rsid w:val="00EF07E3"/>
    <w:rsid w:val="00EF07F0"/>
    <w:rsid w:val="00EF0800"/>
    <w:rsid w:val="00EF080B"/>
    <w:rsid w:val="00EF0813"/>
    <w:rsid w:val="00EF0829"/>
    <w:rsid w:val="00EF0871"/>
    <w:rsid w:val="00EF08C6"/>
    <w:rsid w:val="00EF0975"/>
    <w:rsid w:val="00EF0982"/>
    <w:rsid w:val="00EF0989"/>
    <w:rsid w:val="00EF09B9"/>
    <w:rsid w:val="00EF09D9"/>
    <w:rsid w:val="00EF09EF"/>
    <w:rsid w:val="00EF09FC"/>
    <w:rsid w:val="00EF0A36"/>
    <w:rsid w:val="00EF0A3F"/>
    <w:rsid w:val="00EF0A74"/>
    <w:rsid w:val="00EF0A9C"/>
    <w:rsid w:val="00EF0AFA"/>
    <w:rsid w:val="00EF0B32"/>
    <w:rsid w:val="00EF0B7A"/>
    <w:rsid w:val="00EF0BFA"/>
    <w:rsid w:val="00EF0C3D"/>
    <w:rsid w:val="00EF0C5B"/>
    <w:rsid w:val="00EF0C61"/>
    <w:rsid w:val="00EF0C99"/>
    <w:rsid w:val="00EF0CC2"/>
    <w:rsid w:val="00EF0CCA"/>
    <w:rsid w:val="00EF0CCE"/>
    <w:rsid w:val="00EF0D02"/>
    <w:rsid w:val="00EF0D09"/>
    <w:rsid w:val="00EF0D55"/>
    <w:rsid w:val="00EF0DB7"/>
    <w:rsid w:val="00EF0DE2"/>
    <w:rsid w:val="00EF0DF6"/>
    <w:rsid w:val="00EF0E47"/>
    <w:rsid w:val="00EF0E57"/>
    <w:rsid w:val="00EF0E65"/>
    <w:rsid w:val="00EF0EB7"/>
    <w:rsid w:val="00EF0F19"/>
    <w:rsid w:val="00EF0F56"/>
    <w:rsid w:val="00EF0F7E"/>
    <w:rsid w:val="00EF0F84"/>
    <w:rsid w:val="00EF0F86"/>
    <w:rsid w:val="00EF103E"/>
    <w:rsid w:val="00EF105C"/>
    <w:rsid w:val="00EF1068"/>
    <w:rsid w:val="00EF116A"/>
    <w:rsid w:val="00EF1180"/>
    <w:rsid w:val="00EF1187"/>
    <w:rsid w:val="00EF119C"/>
    <w:rsid w:val="00EF11F3"/>
    <w:rsid w:val="00EF1222"/>
    <w:rsid w:val="00EF122B"/>
    <w:rsid w:val="00EF128B"/>
    <w:rsid w:val="00EF12D6"/>
    <w:rsid w:val="00EF12E9"/>
    <w:rsid w:val="00EF1314"/>
    <w:rsid w:val="00EF1342"/>
    <w:rsid w:val="00EF139E"/>
    <w:rsid w:val="00EF13C0"/>
    <w:rsid w:val="00EF13D3"/>
    <w:rsid w:val="00EF142D"/>
    <w:rsid w:val="00EF14AF"/>
    <w:rsid w:val="00EF14F3"/>
    <w:rsid w:val="00EF14FA"/>
    <w:rsid w:val="00EF14FF"/>
    <w:rsid w:val="00EF1526"/>
    <w:rsid w:val="00EF154F"/>
    <w:rsid w:val="00EF15AD"/>
    <w:rsid w:val="00EF161F"/>
    <w:rsid w:val="00EF1632"/>
    <w:rsid w:val="00EF1645"/>
    <w:rsid w:val="00EF16B0"/>
    <w:rsid w:val="00EF16EB"/>
    <w:rsid w:val="00EF1723"/>
    <w:rsid w:val="00EF1739"/>
    <w:rsid w:val="00EF1791"/>
    <w:rsid w:val="00EF1796"/>
    <w:rsid w:val="00EF17D9"/>
    <w:rsid w:val="00EF17DE"/>
    <w:rsid w:val="00EF18C8"/>
    <w:rsid w:val="00EF19AC"/>
    <w:rsid w:val="00EF19E0"/>
    <w:rsid w:val="00EF1A0F"/>
    <w:rsid w:val="00EF1A1D"/>
    <w:rsid w:val="00EF1A4E"/>
    <w:rsid w:val="00EF1A88"/>
    <w:rsid w:val="00EF1AFA"/>
    <w:rsid w:val="00EF1B3E"/>
    <w:rsid w:val="00EF1B7D"/>
    <w:rsid w:val="00EF1B86"/>
    <w:rsid w:val="00EF1B9F"/>
    <w:rsid w:val="00EF1BAF"/>
    <w:rsid w:val="00EF1C2E"/>
    <w:rsid w:val="00EF1C44"/>
    <w:rsid w:val="00EF1C7A"/>
    <w:rsid w:val="00EF1CAA"/>
    <w:rsid w:val="00EF1CF1"/>
    <w:rsid w:val="00EF1D53"/>
    <w:rsid w:val="00EF1D7F"/>
    <w:rsid w:val="00EF1DDC"/>
    <w:rsid w:val="00EF1DEE"/>
    <w:rsid w:val="00EF1E1F"/>
    <w:rsid w:val="00EF1E40"/>
    <w:rsid w:val="00EF1E73"/>
    <w:rsid w:val="00EF1EC3"/>
    <w:rsid w:val="00EF1EDF"/>
    <w:rsid w:val="00EF1EE7"/>
    <w:rsid w:val="00EF1F1D"/>
    <w:rsid w:val="00EF1F2B"/>
    <w:rsid w:val="00EF1FD8"/>
    <w:rsid w:val="00EF2071"/>
    <w:rsid w:val="00EF20E2"/>
    <w:rsid w:val="00EF210E"/>
    <w:rsid w:val="00EF2111"/>
    <w:rsid w:val="00EF213B"/>
    <w:rsid w:val="00EF2160"/>
    <w:rsid w:val="00EF21A8"/>
    <w:rsid w:val="00EF21B6"/>
    <w:rsid w:val="00EF21F0"/>
    <w:rsid w:val="00EF2216"/>
    <w:rsid w:val="00EF2237"/>
    <w:rsid w:val="00EF2302"/>
    <w:rsid w:val="00EF2329"/>
    <w:rsid w:val="00EF2370"/>
    <w:rsid w:val="00EF238A"/>
    <w:rsid w:val="00EF2483"/>
    <w:rsid w:val="00EF249B"/>
    <w:rsid w:val="00EF24A1"/>
    <w:rsid w:val="00EF24BA"/>
    <w:rsid w:val="00EF24CC"/>
    <w:rsid w:val="00EF2521"/>
    <w:rsid w:val="00EF2578"/>
    <w:rsid w:val="00EF25BA"/>
    <w:rsid w:val="00EF25BC"/>
    <w:rsid w:val="00EF261C"/>
    <w:rsid w:val="00EF2664"/>
    <w:rsid w:val="00EF2684"/>
    <w:rsid w:val="00EF26EC"/>
    <w:rsid w:val="00EF270D"/>
    <w:rsid w:val="00EF2712"/>
    <w:rsid w:val="00EF2780"/>
    <w:rsid w:val="00EF2781"/>
    <w:rsid w:val="00EF27D9"/>
    <w:rsid w:val="00EF2839"/>
    <w:rsid w:val="00EF2855"/>
    <w:rsid w:val="00EF2883"/>
    <w:rsid w:val="00EF28C4"/>
    <w:rsid w:val="00EF28EE"/>
    <w:rsid w:val="00EF2954"/>
    <w:rsid w:val="00EF2959"/>
    <w:rsid w:val="00EF295F"/>
    <w:rsid w:val="00EF29AC"/>
    <w:rsid w:val="00EF29B5"/>
    <w:rsid w:val="00EF29F2"/>
    <w:rsid w:val="00EF2A5B"/>
    <w:rsid w:val="00EF2ACF"/>
    <w:rsid w:val="00EF2BA1"/>
    <w:rsid w:val="00EF2BD6"/>
    <w:rsid w:val="00EF2BEB"/>
    <w:rsid w:val="00EF2BF0"/>
    <w:rsid w:val="00EF2CC7"/>
    <w:rsid w:val="00EF2CC9"/>
    <w:rsid w:val="00EF2CE5"/>
    <w:rsid w:val="00EF2D08"/>
    <w:rsid w:val="00EF2D1F"/>
    <w:rsid w:val="00EF2D3D"/>
    <w:rsid w:val="00EF2D3E"/>
    <w:rsid w:val="00EF2DC5"/>
    <w:rsid w:val="00EF2DC8"/>
    <w:rsid w:val="00EF2E73"/>
    <w:rsid w:val="00EF2EAA"/>
    <w:rsid w:val="00EF2EC1"/>
    <w:rsid w:val="00EF2F12"/>
    <w:rsid w:val="00EF2F16"/>
    <w:rsid w:val="00EF2F7B"/>
    <w:rsid w:val="00EF2F86"/>
    <w:rsid w:val="00EF2FA6"/>
    <w:rsid w:val="00EF3095"/>
    <w:rsid w:val="00EF313B"/>
    <w:rsid w:val="00EF3159"/>
    <w:rsid w:val="00EF3191"/>
    <w:rsid w:val="00EF31A4"/>
    <w:rsid w:val="00EF31CA"/>
    <w:rsid w:val="00EF31D7"/>
    <w:rsid w:val="00EF3202"/>
    <w:rsid w:val="00EF3253"/>
    <w:rsid w:val="00EF32D1"/>
    <w:rsid w:val="00EF32F6"/>
    <w:rsid w:val="00EF3307"/>
    <w:rsid w:val="00EF33D9"/>
    <w:rsid w:val="00EF33F9"/>
    <w:rsid w:val="00EF34B5"/>
    <w:rsid w:val="00EF34E5"/>
    <w:rsid w:val="00EF34EB"/>
    <w:rsid w:val="00EF34FC"/>
    <w:rsid w:val="00EF34FE"/>
    <w:rsid w:val="00EF350E"/>
    <w:rsid w:val="00EF357B"/>
    <w:rsid w:val="00EF357F"/>
    <w:rsid w:val="00EF35CA"/>
    <w:rsid w:val="00EF3604"/>
    <w:rsid w:val="00EF3687"/>
    <w:rsid w:val="00EF3699"/>
    <w:rsid w:val="00EF369E"/>
    <w:rsid w:val="00EF3714"/>
    <w:rsid w:val="00EF3761"/>
    <w:rsid w:val="00EF376B"/>
    <w:rsid w:val="00EF3777"/>
    <w:rsid w:val="00EF3801"/>
    <w:rsid w:val="00EF3820"/>
    <w:rsid w:val="00EF390E"/>
    <w:rsid w:val="00EF3948"/>
    <w:rsid w:val="00EF3974"/>
    <w:rsid w:val="00EF39AC"/>
    <w:rsid w:val="00EF39B5"/>
    <w:rsid w:val="00EF3A17"/>
    <w:rsid w:val="00EF3A1B"/>
    <w:rsid w:val="00EF3A1F"/>
    <w:rsid w:val="00EF3A23"/>
    <w:rsid w:val="00EF3AA2"/>
    <w:rsid w:val="00EF3AC2"/>
    <w:rsid w:val="00EF3AD6"/>
    <w:rsid w:val="00EF3B1D"/>
    <w:rsid w:val="00EF3BE7"/>
    <w:rsid w:val="00EF3BF1"/>
    <w:rsid w:val="00EF3BF9"/>
    <w:rsid w:val="00EF3C13"/>
    <w:rsid w:val="00EF3C1B"/>
    <w:rsid w:val="00EF3D66"/>
    <w:rsid w:val="00EF3E0F"/>
    <w:rsid w:val="00EF3E2E"/>
    <w:rsid w:val="00EF3E49"/>
    <w:rsid w:val="00EF3E4A"/>
    <w:rsid w:val="00EF3EB5"/>
    <w:rsid w:val="00EF3EC7"/>
    <w:rsid w:val="00EF3EE6"/>
    <w:rsid w:val="00EF3EF3"/>
    <w:rsid w:val="00EF3F8A"/>
    <w:rsid w:val="00EF3FEB"/>
    <w:rsid w:val="00EF4014"/>
    <w:rsid w:val="00EF4032"/>
    <w:rsid w:val="00EF4067"/>
    <w:rsid w:val="00EF4086"/>
    <w:rsid w:val="00EF4091"/>
    <w:rsid w:val="00EF4119"/>
    <w:rsid w:val="00EF4187"/>
    <w:rsid w:val="00EF41FC"/>
    <w:rsid w:val="00EF425F"/>
    <w:rsid w:val="00EF4271"/>
    <w:rsid w:val="00EF4293"/>
    <w:rsid w:val="00EF42E1"/>
    <w:rsid w:val="00EF436D"/>
    <w:rsid w:val="00EF43BA"/>
    <w:rsid w:val="00EF43BC"/>
    <w:rsid w:val="00EF43C1"/>
    <w:rsid w:val="00EF4438"/>
    <w:rsid w:val="00EF44F4"/>
    <w:rsid w:val="00EF44F9"/>
    <w:rsid w:val="00EF44FD"/>
    <w:rsid w:val="00EF451C"/>
    <w:rsid w:val="00EF458E"/>
    <w:rsid w:val="00EF4595"/>
    <w:rsid w:val="00EF4628"/>
    <w:rsid w:val="00EF467D"/>
    <w:rsid w:val="00EF46A0"/>
    <w:rsid w:val="00EF46F6"/>
    <w:rsid w:val="00EF4716"/>
    <w:rsid w:val="00EF472A"/>
    <w:rsid w:val="00EF472F"/>
    <w:rsid w:val="00EF4743"/>
    <w:rsid w:val="00EF474F"/>
    <w:rsid w:val="00EF475C"/>
    <w:rsid w:val="00EF478A"/>
    <w:rsid w:val="00EF47AD"/>
    <w:rsid w:val="00EF47BA"/>
    <w:rsid w:val="00EF47D9"/>
    <w:rsid w:val="00EF4820"/>
    <w:rsid w:val="00EF4879"/>
    <w:rsid w:val="00EF48E4"/>
    <w:rsid w:val="00EF48FE"/>
    <w:rsid w:val="00EF4948"/>
    <w:rsid w:val="00EF4976"/>
    <w:rsid w:val="00EF497F"/>
    <w:rsid w:val="00EF49A1"/>
    <w:rsid w:val="00EF4A6B"/>
    <w:rsid w:val="00EF4A8E"/>
    <w:rsid w:val="00EF4A9A"/>
    <w:rsid w:val="00EF4AB1"/>
    <w:rsid w:val="00EF4B1C"/>
    <w:rsid w:val="00EF4B78"/>
    <w:rsid w:val="00EF4BAE"/>
    <w:rsid w:val="00EF4BDE"/>
    <w:rsid w:val="00EF4C3B"/>
    <w:rsid w:val="00EF4C48"/>
    <w:rsid w:val="00EF4C78"/>
    <w:rsid w:val="00EF4C91"/>
    <w:rsid w:val="00EF4CDF"/>
    <w:rsid w:val="00EF4D1A"/>
    <w:rsid w:val="00EF4D1E"/>
    <w:rsid w:val="00EF4D66"/>
    <w:rsid w:val="00EF4D70"/>
    <w:rsid w:val="00EF4DE7"/>
    <w:rsid w:val="00EF4E01"/>
    <w:rsid w:val="00EF4E92"/>
    <w:rsid w:val="00EF4ECF"/>
    <w:rsid w:val="00EF4EDF"/>
    <w:rsid w:val="00EF4F6C"/>
    <w:rsid w:val="00EF4FA5"/>
    <w:rsid w:val="00EF4FE9"/>
    <w:rsid w:val="00EF50F2"/>
    <w:rsid w:val="00EF50FB"/>
    <w:rsid w:val="00EF5115"/>
    <w:rsid w:val="00EF5149"/>
    <w:rsid w:val="00EF514C"/>
    <w:rsid w:val="00EF5166"/>
    <w:rsid w:val="00EF516C"/>
    <w:rsid w:val="00EF51B9"/>
    <w:rsid w:val="00EF51C1"/>
    <w:rsid w:val="00EF51CB"/>
    <w:rsid w:val="00EF51CD"/>
    <w:rsid w:val="00EF51ED"/>
    <w:rsid w:val="00EF520C"/>
    <w:rsid w:val="00EF5265"/>
    <w:rsid w:val="00EF5286"/>
    <w:rsid w:val="00EF5287"/>
    <w:rsid w:val="00EF52BA"/>
    <w:rsid w:val="00EF52C7"/>
    <w:rsid w:val="00EF52D6"/>
    <w:rsid w:val="00EF52DA"/>
    <w:rsid w:val="00EF5344"/>
    <w:rsid w:val="00EF5397"/>
    <w:rsid w:val="00EF539F"/>
    <w:rsid w:val="00EF53B8"/>
    <w:rsid w:val="00EF53BD"/>
    <w:rsid w:val="00EF53C0"/>
    <w:rsid w:val="00EF541C"/>
    <w:rsid w:val="00EF54E1"/>
    <w:rsid w:val="00EF54E4"/>
    <w:rsid w:val="00EF54F9"/>
    <w:rsid w:val="00EF5520"/>
    <w:rsid w:val="00EF55EE"/>
    <w:rsid w:val="00EF55FA"/>
    <w:rsid w:val="00EF55FD"/>
    <w:rsid w:val="00EF5645"/>
    <w:rsid w:val="00EF5666"/>
    <w:rsid w:val="00EF56AD"/>
    <w:rsid w:val="00EF56D8"/>
    <w:rsid w:val="00EF56D9"/>
    <w:rsid w:val="00EF56FD"/>
    <w:rsid w:val="00EF5715"/>
    <w:rsid w:val="00EF5733"/>
    <w:rsid w:val="00EF57A3"/>
    <w:rsid w:val="00EF57B8"/>
    <w:rsid w:val="00EF57DF"/>
    <w:rsid w:val="00EF5810"/>
    <w:rsid w:val="00EF581D"/>
    <w:rsid w:val="00EF5828"/>
    <w:rsid w:val="00EF58E2"/>
    <w:rsid w:val="00EF5938"/>
    <w:rsid w:val="00EF5939"/>
    <w:rsid w:val="00EF5946"/>
    <w:rsid w:val="00EF5985"/>
    <w:rsid w:val="00EF5991"/>
    <w:rsid w:val="00EF59B6"/>
    <w:rsid w:val="00EF5A2E"/>
    <w:rsid w:val="00EF5A83"/>
    <w:rsid w:val="00EF5A87"/>
    <w:rsid w:val="00EF5AC0"/>
    <w:rsid w:val="00EF5ADB"/>
    <w:rsid w:val="00EF5BAF"/>
    <w:rsid w:val="00EF5BB6"/>
    <w:rsid w:val="00EF5BF3"/>
    <w:rsid w:val="00EF5C2E"/>
    <w:rsid w:val="00EF5C32"/>
    <w:rsid w:val="00EF5C51"/>
    <w:rsid w:val="00EF5C87"/>
    <w:rsid w:val="00EF5C8B"/>
    <w:rsid w:val="00EF5D29"/>
    <w:rsid w:val="00EF5DD5"/>
    <w:rsid w:val="00EF5E3D"/>
    <w:rsid w:val="00EF5E43"/>
    <w:rsid w:val="00EF5E45"/>
    <w:rsid w:val="00EF5E4D"/>
    <w:rsid w:val="00EF5E90"/>
    <w:rsid w:val="00EF5ED1"/>
    <w:rsid w:val="00EF5ED9"/>
    <w:rsid w:val="00EF5EFE"/>
    <w:rsid w:val="00EF5F37"/>
    <w:rsid w:val="00EF5F45"/>
    <w:rsid w:val="00EF5FD5"/>
    <w:rsid w:val="00EF5FDE"/>
    <w:rsid w:val="00EF5FFB"/>
    <w:rsid w:val="00EF6062"/>
    <w:rsid w:val="00EF6097"/>
    <w:rsid w:val="00EF60A1"/>
    <w:rsid w:val="00EF60DE"/>
    <w:rsid w:val="00EF6194"/>
    <w:rsid w:val="00EF6199"/>
    <w:rsid w:val="00EF6223"/>
    <w:rsid w:val="00EF6232"/>
    <w:rsid w:val="00EF62AE"/>
    <w:rsid w:val="00EF62D1"/>
    <w:rsid w:val="00EF62DD"/>
    <w:rsid w:val="00EF6317"/>
    <w:rsid w:val="00EF631D"/>
    <w:rsid w:val="00EF634C"/>
    <w:rsid w:val="00EF6355"/>
    <w:rsid w:val="00EF6381"/>
    <w:rsid w:val="00EF641E"/>
    <w:rsid w:val="00EF642E"/>
    <w:rsid w:val="00EF6436"/>
    <w:rsid w:val="00EF644B"/>
    <w:rsid w:val="00EF6473"/>
    <w:rsid w:val="00EF64B9"/>
    <w:rsid w:val="00EF64D1"/>
    <w:rsid w:val="00EF64E2"/>
    <w:rsid w:val="00EF64F1"/>
    <w:rsid w:val="00EF6556"/>
    <w:rsid w:val="00EF65E1"/>
    <w:rsid w:val="00EF65FE"/>
    <w:rsid w:val="00EF6619"/>
    <w:rsid w:val="00EF665D"/>
    <w:rsid w:val="00EF66AA"/>
    <w:rsid w:val="00EF66C6"/>
    <w:rsid w:val="00EF6742"/>
    <w:rsid w:val="00EF67A9"/>
    <w:rsid w:val="00EF67BC"/>
    <w:rsid w:val="00EF67E2"/>
    <w:rsid w:val="00EF6825"/>
    <w:rsid w:val="00EF68AC"/>
    <w:rsid w:val="00EF6926"/>
    <w:rsid w:val="00EF693E"/>
    <w:rsid w:val="00EF694A"/>
    <w:rsid w:val="00EF6969"/>
    <w:rsid w:val="00EF699E"/>
    <w:rsid w:val="00EF69AD"/>
    <w:rsid w:val="00EF69B9"/>
    <w:rsid w:val="00EF69F2"/>
    <w:rsid w:val="00EF6B5A"/>
    <w:rsid w:val="00EF6BAE"/>
    <w:rsid w:val="00EF6BF3"/>
    <w:rsid w:val="00EF6C22"/>
    <w:rsid w:val="00EF6C6B"/>
    <w:rsid w:val="00EF6C74"/>
    <w:rsid w:val="00EF6D17"/>
    <w:rsid w:val="00EF6D1E"/>
    <w:rsid w:val="00EF6D2A"/>
    <w:rsid w:val="00EF6DDA"/>
    <w:rsid w:val="00EF6E29"/>
    <w:rsid w:val="00EF6E42"/>
    <w:rsid w:val="00EF6E43"/>
    <w:rsid w:val="00EF6E56"/>
    <w:rsid w:val="00EF6E9E"/>
    <w:rsid w:val="00EF6F24"/>
    <w:rsid w:val="00EF6F6D"/>
    <w:rsid w:val="00EF6FBD"/>
    <w:rsid w:val="00EF6FC6"/>
    <w:rsid w:val="00EF6FE8"/>
    <w:rsid w:val="00EF707E"/>
    <w:rsid w:val="00EF70D9"/>
    <w:rsid w:val="00EF70ED"/>
    <w:rsid w:val="00EF7130"/>
    <w:rsid w:val="00EF713E"/>
    <w:rsid w:val="00EF714A"/>
    <w:rsid w:val="00EF715C"/>
    <w:rsid w:val="00EF71A6"/>
    <w:rsid w:val="00EF71EB"/>
    <w:rsid w:val="00EF7231"/>
    <w:rsid w:val="00EF7286"/>
    <w:rsid w:val="00EF72DF"/>
    <w:rsid w:val="00EF72FE"/>
    <w:rsid w:val="00EF735D"/>
    <w:rsid w:val="00EF7364"/>
    <w:rsid w:val="00EF739C"/>
    <w:rsid w:val="00EF739D"/>
    <w:rsid w:val="00EF73E2"/>
    <w:rsid w:val="00EF73E3"/>
    <w:rsid w:val="00EF7419"/>
    <w:rsid w:val="00EF741C"/>
    <w:rsid w:val="00EF749B"/>
    <w:rsid w:val="00EF74DA"/>
    <w:rsid w:val="00EF752B"/>
    <w:rsid w:val="00EF753E"/>
    <w:rsid w:val="00EF75A2"/>
    <w:rsid w:val="00EF75E1"/>
    <w:rsid w:val="00EF75E7"/>
    <w:rsid w:val="00EF760C"/>
    <w:rsid w:val="00EF76AE"/>
    <w:rsid w:val="00EF76C0"/>
    <w:rsid w:val="00EF772D"/>
    <w:rsid w:val="00EF7760"/>
    <w:rsid w:val="00EF776D"/>
    <w:rsid w:val="00EF776E"/>
    <w:rsid w:val="00EF77F6"/>
    <w:rsid w:val="00EF7823"/>
    <w:rsid w:val="00EF782F"/>
    <w:rsid w:val="00EF7866"/>
    <w:rsid w:val="00EF7885"/>
    <w:rsid w:val="00EF7899"/>
    <w:rsid w:val="00EF78B5"/>
    <w:rsid w:val="00EF78BF"/>
    <w:rsid w:val="00EF7918"/>
    <w:rsid w:val="00EF791A"/>
    <w:rsid w:val="00EF7962"/>
    <w:rsid w:val="00EF7976"/>
    <w:rsid w:val="00EF7979"/>
    <w:rsid w:val="00EF79C0"/>
    <w:rsid w:val="00EF79DD"/>
    <w:rsid w:val="00EF7A3E"/>
    <w:rsid w:val="00EF7A70"/>
    <w:rsid w:val="00EF7A91"/>
    <w:rsid w:val="00EF7AB1"/>
    <w:rsid w:val="00EF7ABA"/>
    <w:rsid w:val="00EF7AD9"/>
    <w:rsid w:val="00EF7AF0"/>
    <w:rsid w:val="00EF7B38"/>
    <w:rsid w:val="00EF7B55"/>
    <w:rsid w:val="00EF7B94"/>
    <w:rsid w:val="00EF7BAC"/>
    <w:rsid w:val="00EF7C2C"/>
    <w:rsid w:val="00EF7C36"/>
    <w:rsid w:val="00EF7C54"/>
    <w:rsid w:val="00EF7C95"/>
    <w:rsid w:val="00EF7CC2"/>
    <w:rsid w:val="00EF7CD7"/>
    <w:rsid w:val="00EF7CE8"/>
    <w:rsid w:val="00EF7D3E"/>
    <w:rsid w:val="00EF7D73"/>
    <w:rsid w:val="00EF7D98"/>
    <w:rsid w:val="00EF7DBC"/>
    <w:rsid w:val="00EF7DEA"/>
    <w:rsid w:val="00EF7E16"/>
    <w:rsid w:val="00EF7E60"/>
    <w:rsid w:val="00EF7E92"/>
    <w:rsid w:val="00EF7EBB"/>
    <w:rsid w:val="00EF7F02"/>
    <w:rsid w:val="00EF7F4E"/>
    <w:rsid w:val="00EF7F77"/>
    <w:rsid w:val="00EF7FB6"/>
    <w:rsid w:val="00EF7FC9"/>
    <w:rsid w:val="00EF7FED"/>
    <w:rsid w:val="00EF840A"/>
    <w:rsid w:val="00EF8DDA"/>
    <w:rsid w:val="00EF9C12"/>
    <w:rsid w:val="00F0001B"/>
    <w:rsid w:val="00F0004A"/>
    <w:rsid w:val="00F0007B"/>
    <w:rsid w:val="00F0007D"/>
    <w:rsid w:val="00F000E3"/>
    <w:rsid w:val="00F000E5"/>
    <w:rsid w:val="00F000FF"/>
    <w:rsid w:val="00F00179"/>
    <w:rsid w:val="00F0019C"/>
    <w:rsid w:val="00F001A4"/>
    <w:rsid w:val="00F001CA"/>
    <w:rsid w:val="00F00210"/>
    <w:rsid w:val="00F00261"/>
    <w:rsid w:val="00F00266"/>
    <w:rsid w:val="00F0027D"/>
    <w:rsid w:val="00F002A9"/>
    <w:rsid w:val="00F002BF"/>
    <w:rsid w:val="00F002E5"/>
    <w:rsid w:val="00F002F9"/>
    <w:rsid w:val="00F0031B"/>
    <w:rsid w:val="00F00377"/>
    <w:rsid w:val="00F0038F"/>
    <w:rsid w:val="00F003E9"/>
    <w:rsid w:val="00F00459"/>
    <w:rsid w:val="00F00461"/>
    <w:rsid w:val="00F004EC"/>
    <w:rsid w:val="00F00585"/>
    <w:rsid w:val="00F005CD"/>
    <w:rsid w:val="00F00604"/>
    <w:rsid w:val="00F0063C"/>
    <w:rsid w:val="00F00646"/>
    <w:rsid w:val="00F0064D"/>
    <w:rsid w:val="00F006B6"/>
    <w:rsid w:val="00F006F2"/>
    <w:rsid w:val="00F00713"/>
    <w:rsid w:val="00F0072E"/>
    <w:rsid w:val="00F00759"/>
    <w:rsid w:val="00F0076B"/>
    <w:rsid w:val="00F0077A"/>
    <w:rsid w:val="00F00804"/>
    <w:rsid w:val="00F00817"/>
    <w:rsid w:val="00F0086A"/>
    <w:rsid w:val="00F008B7"/>
    <w:rsid w:val="00F008C1"/>
    <w:rsid w:val="00F008E2"/>
    <w:rsid w:val="00F0092C"/>
    <w:rsid w:val="00F00936"/>
    <w:rsid w:val="00F009A7"/>
    <w:rsid w:val="00F00A26"/>
    <w:rsid w:val="00F00A65"/>
    <w:rsid w:val="00F00AC8"/>
    <w:rsid w:val="00F00B24"/>
    <w:rsid w:val="00F00B5C"/>
    <w:rsid w:val="00F00B6D"/>
    <w:rsid w:val="00F00BA0"/>
    <w:rsid w:val="00F00BCA"/>
    <w:rsid w:val="00F00BF6"/>
    <w:rsid w:val="00F00C0E"/>
    <w:rsid w:val="00F00C36"/>
    <w:rsid w:val="00F00C3F"/>
    <w:rsid w:val="00F00C5A"/>
    <w:rsid w:val="00F00D0C"/>
    <w:rsid w:val="00F00D4B"/>
    <w:rsid w:val="00F00DC3"/>
    <w:rsid w:val="00F00DDF"/>
    <w:rsid w:val="00F00E52"/>
    <w:rsid w:val="00F00E86"/>
    <w:rsid w:val="00F00EFB"/>
    <w:rsid w:val="00F00F26"/>
    <w:rsid w:val="00F00F4F"/>
    <w:rsid w:val="00F00F96"/>
    <w:rsid w:val="00F00FBA"/>
    <w:rsid w:val="00F01008"/>
    <w:rsid w:val="00F01022"/>
    <w:rsid w:val="00F01050"/>
    <w:rsid w:val="00F01054"/>
    <w:rsid w:val="00F01083"/>
    <w:rsid w:val="00F010A9"/>
    <w:rsid w:val="00F0113C"/>
    <w:rsid w:val="00F01142"/>
    <w:rsid w:val="00F01148"/>
    <w:rsid w:val="00F0118D"/>
    <w:rsid w:val="00F011D4"/>
    <w:rsid w:val="00F011E0"/>
    <w:rsid w:val="00F0123C"/>
    <w:rsid w:val="00F0123F"/>
    <w:rsid w:val="00F01264"/>
    <w:rsid w:val="00F01276"/>
    <w:rsid w:val="00F01280"/>
    <w:rsid w:val="00F012D0"/>
    <w:rsid w:val="00F012EB"/>
    <w:rsid w:val="00F01309"/>
    <w:rsid w:val="00F01354"/>
    <w:rsid w:val="00F01377"/>
    <w:rsid w:val="00F01396"/>
    <w:rsid w:val="00F013C7"/>
    <w:rsid w:val="00F013F8"/>
    <w:rsid w:val="00F01400"/>
    <w:rsid w:val="00F014AF"/>
    <w:rsid w:val="00F014D8"/>
    <w:rsid w:val="00F01516"/>
    <w:rsid w:val="00F01558"/>
    <w:rsid w:val="00F0155A"/>
    <w:rsid w:val="00F0155B"/>
    <w:rsid w:val="00F0156F"/>
    <w:rsid w:val="00F0157C"/>
    <w:rsid w:val="00F015BE"/>
    <w:rsid w:val="00F01616"/>
    <w:rsid w:val="00F0164A"/>
    <w:rsid w:val="00F0169B"/>
    <w:rsid w:val="00F016E7"/>
    <w:rsid w:val="00F0174F"/>
    <w:rsid w:val="00F0179E"/>
    <w:rsid w:val="00F017C4"/>
    <w:rsid w:val="00F01806"/>
    <w:rsid w:val="00F0182F"/>
    <w:rsid w:val="00F01831"/>
    <w:rsid w:val="00F018B2"/>
    <w:rsid w:val="00F018E1"/>
    <w:rsid w:val="00F0194A"/>
    <w:rsid w:val="00F0197F"/>
    <w:rsid w:val="00F01990"/>
    <w:rsid w:val="00F019E5"/>
    <w:rsid w:val="00F019ED"/>
    <w:rsid w:val="00F01A2C"/>
    <w:rsid w:val="00F01A60"/>
    <w:rsid w:val="00F01A67"/>
    <w:rsid w:val="00F01A85"/>
    <w:rsid w:val="00F01ADE"/>
    <w:rsid w:val="00F01B0F"/>
    <w:rsid w:val="00F01B11"/>
    <w:rsid w:val="00F01B12"/>
    <w:rsid w:val="00F01C47"/>
    <w:rsid w:val="00F01CC8"/>
    <w:rsid w:val="00F01CF9"/>
    <w:rsid w:val="00F01D23"/>
    <w:rsid w:val="00F01D48"/>
    <w:rsid w:val="00F01D5B"/>
    <w:rsid w:val="00F01D68"/>
    <w:rsid w:val="00F01D98"/>
    <w:rsid w:val="00F01DAD"/>
    <w:rsid w:val="00F01DD2"/>
    <w:rsid w:val="00F01DDD"/>
    <w:rsid w:val="00F01DEB"/>
    <w:rsid w:val="00F01E48"/>
    <w:rsid w:val="00F01E88"/>
    <w:rsid w:val="00F01FAD"/>
    <w:rsid w:val="00F02008"/>
    <w:rsid w:val="00F02057"/>
    <w:rsid w:val="00F02065"/>
    <w:rsid w:val="00F02120"/>
    <w:rsid w:val="00F021CA"/>
    <w:rsid w:val="00F02204"/>
    <w:rsid w:val="00F0227A"/>
    <w:rsid w:val="00F022BD"/>
    <w:rsid w:val="00F022DD"/>
    <w:rsid w:val="00F02320"/>
    <w:rsid w:val="00F02354"/>
    <w:rsid w:val="00F02371"/>
    <w:rsid w:val="00F02375"/>
    <w:rsid w:val="00F02379"/>
    <w:rsid w:val="00F023F9"/>
    <w:rsid w:val="00F02416"/>
    <w:rsid w:val="00F02458"/>
    <w:rsid w:val="00F02468"/>
    <w:rsid w:val="00F02490"/>
    <w:rsid w:val="00F024C2"/>
    <w:rsid w:val="00F0258D"/>
    <w:rsid w:val="00F025AE"/>
    <w:rsid w:val="00F026D2"/>
    <w:rsid w:val="00F0272B"/>
    <w:rsid w:val="00F02742"/>
    <w:rsid w:val="00F027A7"/>
    <w:rsid w:val="00F027B5"/>
    <w:rsid w:val="00F02854"/>
    <w:rsid w:val="00F02883"/>
    <w:rsid w:val="00F028D5"/>
    <w:rsid w:val="00F0294D"/>
    <w:rsid w:val="00F02981"/>
    <w:rsid w:val="00F0299A"/>
    <w:rsid w:val="00F029C5"/>
    <w:rsid w:val="00F029F7"/>
    <w:rsid w:val="00F02A04"/>
    <w:rsid w:val="00F02A2E"/>
    <w:rsid w:val="00F02A46"/>
    <w:rsid w:val="00F02A74"/>
    <w:rsid w:val="00F02AB5"/>
    <w:rsid w:val="00F02AD4"/>
    <w:rsid w:val="00F02AF5"/>
    <w:rsid w:val="00F02BA2"/>
    <w:rsid w:val="00F02BCC"/>
    <w:rsid w:val="00F02C38"/>
    <w:rsid w:val="00F02C82"/>
    <w:rsid w:val="00F02C89"/>
    <w:rsid w:val="00F02CB8"/>
    <w:rsid w:val="00F02CE9"/>
    <w:rsid w:val="00F02D0F"/>
    <w:rsid w:val="00F02D52"/>
    <w:rsid w:val="00F02D6D"/>
    <w:rsid w:val="00F02E72"/>
    <w:rsid w:val="00F02E92"/>
    <w:rsid w:val="00F02EA2"/>
    <w:rsid w:val="00F02EBB"/>
    <w:rsid w:val="00F02ED5"/>
    <w:rsid w:val="00F02EE5"/>
    <w:rsid w:val="00F02F44"/>
    <w:rsid w:val="00F02F56"/>
    <w:rsid w:val="00F02F60"/>
    <w:rsid w:val="00F02FAC"/>
    <w:rsid w:val="00F02FCF"/>
    <w:rsid w:val="00F03004"/>
    <w:rsid w:val="00F0308C"/>
    <w:rsid w:val="00F03094"/>
    <w:rsid w:val="00F030A5"/>
    <w:rsid w:val="00F030BF"/>
    <w:rsid w:val="00F0324B"/>
    <w:rsid w:val="00F0325E"/>
    <w:rsid w:val="00F03268"/>
    <w:rsid w:val="00F03289"/>
    <w:rsid w:val="00F032B2"/>
    <w:rsid w:val="00F032B7"/>
    <w:rsid w:val="00F032DB"/>
    <w:rsid w:val="00F032EA"/>
    <w:rsid w:val="00F0330F"/>
    <w:rsid w:val="00F03342"/>
    <w:rsid w:val="00F0335C"/>
    <w:rsid w:val="00F03366"/>
    <w:rsid w:val="00F0340D"/>
    <w:rsid w:val="00F03416"/>
    <w:rsid w:val="00F03424"/>
    <w:rsid w:val="00F03469"/>
    <w:rsid w:val="00F03486"/>
    <w:rsid w:val="00F0349C"/>
    <w:rsid w:val="00F034E4"/>
    <w:rsid w:val="00F03505"/>
    <w:rsid w:val="00F03529"/>
    <w:rsid w:val="00F0354A"/>
    <w:rsid w:val="00F0354D"/>
    <w:rsid w:val="00F035CB"/>
    <w:rsid w:val="00F035F3"/>
    <w:rsid w:val="00F0362E"/>
    <w:rsid w:val="00F03635"/>
    <w:rsid w:val="00F03658"/>
    <w:rsid w:val="00F036BF"/>
    <w:rsid w:val="00F036C1"/>
    <w:rsid w:val="00F0370B"/>
    <w:rsid w:val="00F03761"/>
    <w:rsid w:val="00F03789"/>
    <w:rsid w:val="00F03791"/>
    <w:rsid w:val="00F037C6"/>
    <w:rsid w:val="00F037D3"/>
    <w:rsid w:val="00F0380A"/>
    <w:rsid w:val="00F0387C"/>
    <w:rsid w:val="00F03898"/>
    <w:rsid w:val="00F0389C"/>
    <w:rsid w:val="00F038AA"/>
    <w:rsid w:val="00F038AF"/>
    <w:rsid w:val="00F038C7"/>
    <w:rsid w:val="00F03923"/>
    <w:rsid w:val="00F03930"/>
    <w:rsid w:val="00F03932"/>
    <w:rsid w:val="00F03964"/>
    <w:rsid w:val="00F039A2"/>
    <w:rsid w:val="00F039A9"/>
    <w:rsid w:val="00F039CA"/>
    <w:rsid w:val="00F03A33"/>
    <w:rsid w:val="00F03A51"/>
    <w:rsid w:val="00F03A55"/>
    <w:rsid w:val="00F03A85"/>
    <w:rsid w:val="00F03A96"/>
    <w:rsid w:val="00F03AA6"/>
    <w:rsid w:val="00F03B52"/>
    <w:rsid w:val="00F03B5D"/>
    <w:rsid w:val="00F03B61"/>
    <w:rsid w:val="00F03B72"/>
    <w:rsid w:val="00F03B8F"/>
    <w:rsid w:val="00F03B9A"/>
    <w:rsid w:val="00F03BA0"/>
    <w:rsid w:val="00F03C01"/>
    <w:rsid w:val="00F03C7F"/>
    <w:rsid w:val="00F03C84"/>
    <w:rsid w:val="00F03CB8"/>
    <w:rsid w:val="00F03CC9"/>
    <w:rsid w:val="00F03CCF"/>
    <w:rsid w:val="00F03CDD"/>
    <w:rsid w:val="00F03D38"/>
    <w:rsid w:val="00F03D66"/>
    <w:rsid w:val="00F03D85"/>
    <w:rsid w:val="00F03DAA"/>
    <w:rsid w:val="00F03DD3"/>
    <w:rsid w:val="00F03E51"/>
    <w:rsid w:val="00F03E6F"/>
    <w:rsid w:val="00F03EEB"/>
    <w:rsid w:val="00F03FAA"/>
    <w:rsid w:val="00F03FBB"/>
    <w:rsid w:val="00F03FE2"/>
    <w:rsid w:val="00F03FEB"/>
    <w:rsid w:val="00F04046"/>
    <w:rsid w:val="00F0405B"/>
    <w:rsid w:val="00F04064"/>
    <w:rsid w:val="00F04079"/>
    <w:rsid w:val="00F04081"/>
    <w:rsid w:val="00F040AB"/>
    <w:rsid w:val="00F040AD"/>
    <w:rsid w:val="00F040FD"/>
    <w:rsid w:val="00F04136"/>
    <w:rsid w:val="00F0417F"/>
    <w:rsid w:val="00F041B5"/>
    <w:rsid w:val="00F041C2"/>
    <w:rsid w:val="00F041D0"/>
    <w:rsid w:val="00F04212"/>
    <w:rsid w:val="00F04225"/>
    <w:rsid w:val="00F0425A"/>
    <w:rsid w:val="00F0426F"/>
    <w:rsid w:val="00F04378"/>
    <w:rsid w:val="00F04381"/>
    <w:rsid w:val="00F04490"/>
    <w:rsid w:val="00F0449C"/>
    <w:rsid w:val="00F044AF"/>
    <w:rsid w:val="00F044CA"/>
    <w:rsid w:val="00F04509"/>
    <w:rsid w:val="00F04513"/>
    <w:rsid w:val="00F0452B"/>
    <w:rsid w:val="00F04544"/>
    <w:rsid w:val="00F045D4"/>
    <w:rsid w:val="00F045E0"/>
    <w:rsid w:val="00F045E8"/>
    <w:rsid w:val="00F04607"/>
    <w:rsid w:val="00F04657"/>
    <w:rsid w:val="00F0465E"/>
    <w:rsid w:val="00F04672"/>
    <w:rsid w:val="00F04689"/>
    <w:rsid w:val="00F04696"/>
    <w:rsid w:val="00F046BA"/>
    <w:rsid w:val="00F04702"/>
    <w:rsid w:val="00F0476C"/>
    <w:rsid w:val="00F047DD"/>
    <w:rsid w:val="00F047F2"/>
    <w:rsid w:val="00F04808"/>
    <w:rsid w:val="00F04850"/>
    <w:rsid w:val="00F04887"/>
    <w:rsid w:val="00F048A9"/>
    <w:rsid w:val="00F048B1"/>
    <w:rsid w:val="00F048E2"/>
    <w:rsid w:val="00F049CB"/>
    <w:rsid w:val="00F049D6"/>
    <w:rsid w:val="00F049FB"/>
    <w:rsid w:val="00F04A21"/>
    <w:rsid w:val="00F04A2A"/>
    <w:rsid w:val="00F04A8D"/>
    <w:rsid w:val="00F04AB4"/>
    <w:rsid w:val="00F04AD4"/>
    <w:rsid w:val="00F04AF4"/>
    <w:rsid w:val="00F04B03"/>
    <w:rsid w:val="00F04B32"/>
    <w:rsid w:val="00F04B3D"/>
    <w:rsid w:val="00F04BB1"/>
    <w:rsid w:val="00F04BFE"/>
    <w:rsid w:val="00F04C2D"/>
    <w:rsid w:val="00F04CF4"/>
    <w:rsid w:val="00F04D40"/>
    <w:rsid w:val="00F04DA0"/>
    <w:rsid w:val="00F04DB8"/>
    <w:rsid w:val="00F04DD1"/>
    <w:rsid w:val="00F04E49"/>
    <w:rsid w:val="00F04E5B"/>
    <w:rsid w:val="00F04E65"/>
    <w:rsid w:val="00F04E87"/>
    <w:rsid w:val="00F04EA6"/>
    <w:rsid w:val="00F04EBB"/>
    <w:rsid w:val="00F04EE2"/>
    <w:rsid w:val="00F04F09"/>
    <w:rsid w:val="00F04F14"/>
    <w:rsid w:val="00F04F49"/>
    <w:rsid w:val="00F04F65"/>
    <w:rsid w:val="00F04FBD"/>
    <w:rsid w:val="00F04FD0"/>
    <w:rsid w:val="00F04FD5"/>
    <w:rsid w:val="00F04FE4"/>
    <w:rsid w:val="00F05058"/>
    <w:rsid w:val="00F05078"/>
    <w:rsid w:val="00F050B7"/>
    <w:rsid w:val="00F050D4"/>
    <w:rsid w:val="00F05167"/>
    <w:rsid w:val="00F05194"/>
    <w:rsid w:val="00F051AB"/>
    <w:rsid w:val="00F051AD"/>
    <w:rsid w:val="00F051BA"/>
    <w:rsid w:val="00F051DF"/>
    <w:rsid w:val="00F05219"/>
    <w:rsid w:val="00F0521E"/>
    <w:rsid w:val="00F052AF"/>
    <w:rsid w:val="00F052F9"/>
    <w:rsid w:val="00F0536C"/>
    <w:rsid w:val="00F053AF"/>
    <w:rsid w:val="00F053BB"/>
    <w:rsid w:val="00F0540A"/>
    <w:rsid w:val="00F0543C"/>
    <w:rsid w:val="00F05499"/>
    <w:rsid w:val="00F054DA"/>
    <w:rsid w:val="00F054FE"/>
    <w:rsid w:val="00F055A9"/>
    <w:rsid w:val="00F055CB"/>
    <w:rsid w:val="00F056BD"/>
    <w:rsid w:val="00F05713"/>
    <w:rsid w:val="00F05734"/>
    <w:rsid w:val="00F0573D"/>
    <w:rsid w:val="00F05749"/>
    <w:rsid w:val="00F05750"/>
    <w:rsid w:val="00F0578F"/>
    <w:rsid w:val="00F0580D"/>
    <w:rsid w:val="00F0588B"/>
    <w:rsid w:val="00F05922"/>
    <w:rsid w:val="00F0594B"/>
    <w:rsid w:val="00F0596C"/>
    <w:rsid w:val="00F059FD"/>
    <w:rsid w:val="00F05A3E"/>
    <w:rsid w:val="00F05A47"/>
    <w:rsid w:val="00F05A51"/>
    <w:rsid w:val="00F05AAE"/>
    <w:rsid w:val="00F05AD3"/>
    <w:rsid w:val="00F05B26"/>
    <w:rsid w:val="00F05B36"/>
    <w:rsid w:val="00F05B68"/>
    <w:rsid w:val="00F05B9A"/>
    <w:rsid w:val="00F05BDB"/>
    <w:rsid w:val="00F05C5A"/>
    <w:rsid w:val="00F05CAD"/>
    <w:rsid w:val="00F05CBC"/>
    <w:rsid w:val="00F05CE4"/>
    <w:rsid w:val="00F05D43"/>
    <w:rsid w:val="00F05D44"/>
    <w:rsid w:val="00F05D70"/>
    <w:rsid w:val="00F05D92"/>
    <w:rsid w:val="00F05DE2"/>
    <w:rsid w:val="00F05DE4"/>
    <w:rsid w:val="00F05E3E"/>
    <w:rsid w:val="00F05EFD"/>
    <w:rsid w:val="00F05F00"/>
    <w:rsid w:val="00F05F63"/>
    <w:rsid w:val="00F05FA4"/>
    <w:rsid w:val="00F06007"/>
    <w:rsid w:val="00F0604B"/>
    <w:rsid w:val="00F06070"/>
    <w:rsid w:val="00F06099"/>
    <w:rsid w:val="00F060CB"/>
    <w:rsid w:val="00F060D7"/>
    <w:rsid w:val="00F060E5"/>
    <w:rsid w:val="00F0614F"/>
    <w:rsid w:val="00F0622E"/>
    <w:rsid w:val="00F06245"/>
    <w:rsid w:val="00F06266"/>
    <w:rsid w:val="00F06268"/>
    <w:rsid w:val="00F06270"/>
    <w:rsid w:val="00F062B8"/>
    <w:rsid w:val="00F062C0"/>
    <w:rsid w:val="00F06303"/>
    <w:rsid w:val="00F06379"/>
    <w:rsid w:val="00F06383"/>
    <w:rsid w:val="00F063ED"/>
    <w:rsid w:val="00F06440"/>
    <w:rsid w:val="00F06445"/>
    <w:rsid w:val="00F06462"/>
    <w:rsid w:val="00F06496"/>
    <w:rsid w:val="00F064A5"/>
    <w:rsid w:val="00F064C4"/>
    <w:rsid w:val="00F064F7"/>
    <w:rsid w:val="00F065DA"/>
    <w:rsid w:val="00F0665F"/>
    <w:rsid w:val="00F066E3"/>
    <w:rsid w:val="00F066F5"/>
    <w:rsid w:val="00F0671B"/>
    <w:rsid w:val="00F0676E"/>
    <w:rsid w:val="00F06799"/>
    <w:rsid w:val="00F0679B"/>
    <w:rsid w:val="00F067A8"/>
    <w:rsid w:val="00F067CB"/>
    <w:rsid w:val="00F06821"/>
    <w:rsid w:val="00F0683F"/>
    <w:rsid w:val="00F0685B"/>
    <w:rsid w:val="00F068A6"/>
    <w:rsid w:val="00F068E8"/>
    <w:rsid w:val="00F0691F"/>
    <w:rsid w:val="00F06923"/>
    <w:rsid w:val="00F069A0"/>
    <w:rsid w:val="00F069B2"/>
    <w:rsid w:val="00F06B0F"/>
    <w:rsid w:val="00F06B10"/>
    <w:rsid w:val="00F06B2E"/>
    <w:rsid w:val="00F06B49"/>
    <w:rsid w:val="00F06B74"/>
    <w:rsid w:val="00F06BB4"/>
    <w:rsid w:val="00F06D30"/>
    <w:rsid w:val="00F06D6B"/>
    <w:rsid w:val="00F06DD9"/>
    <w:rsid w:val="00F06E33"/>
    <w:rsid w:val="00F06E47"/>
    <w:rsid w:val="00F06E8F"/>
    <w:rsid w:val="00F06EA2"/>
    <w:rsid w:val="00F06EA3"/>
    <w:rsid w:val="00F06EB4"/>
    <w:rsid w:val="00F06EE6"/>
    <w:rsid w:val="00F06F7F"/>
    <w:rsid w:val="00F06FFF"/>
    <w:rsid w:val="00F07009"/>
    <w:rsid w:val="00F0700C"/>
    <w:rsid w:val="00F07019"/>
    <w:rsid w:val="00F0701D"/>
    <w:rsid w:val="00F0705F"/>
    <w:rsid w:val="00F070A4"/>
    <w:rsid w:val="00F070C4"/>
    <w:rsid w:val="00F070D6"/>
    <w:rsid w:val="00F070E7"/>
    <w:rsid w:val="00F07116"/>
    <w:rsid w:val="00F07128"/>
    <w:rsid w:val="00F07152"/>
    <w:rsid w:val="00F0715B"/>
    <w:rsid w:val="00F0715E"/>
    <w:rsid w:val="00F0717F"/>
    <w:rsid w:val="00F0728E"/>
    <w:rsid w:val="00F072AA"/>
    <w:rsid w:val="00F072B4"/>
    <w:rsid w:val="00F072E4"/>
    <w:rsid w:val="00F0730E"/>
    <w:rsid w:val="00F0736E"/>
    <w:rsid w:val="00F07388"/>
    <w:rsid w:val="00F07399"/>
    <w:rsid w:val="00F073B9"/>
    <w:rsid w:val="00F07469"/>
    <w:rsid w:val="00F07493"/>
    <w:rsid w:val="00F074B0"/>
    <w:rsid w:val="00F074BE"/>
    <w:rsid w:val="00F074D2"/>
    <w:rsid w:val="00F0750E"/>
    <w:rsid w:val="00F07533"/>
    <w:rsid w:val="00F07546"/>
    <w:rsid w:val="00F07548"/>
    <w:rsid w:val="00F07559"/>
    <w:rsid w:val="00F07614"/>
    <w:rsid w:val="00F07626"/>
    <w:rsid w:val="00F0763E"/>
    <w:rsid w:val="00F07664"/>
    <w:rsid w:val="00F076DD"/>
    <w:rsid w:val="00F0770B"/>
    <w:rsid w:val="00F07745"/>
    <w:rsid w:val="00F0774D"/>
    <w:rsid w:val="00F07758"/>
    <w:rsid w:val="00F07789"/>
    <w:rsid w:val="00F077B6"/>
    <w:rsid w:val="00F077D0"/>
    <w:rsid w:val="00F07819"/>
    <w:rsid w:val="00F0784F"/>
    <w:rsid w:val="00F0789C"/>
    <w:rsid w:val="00F0789D"/>
    <w:rsid w:val="00F078A4"/>
    <w:rsid w:val="00F07997"/>
    <w:rsid w:val="00F07A4A"/>
    <w:rsid w:val="00F07A72"/>
    <w:rsid w:val="00F07ABF"/>
    <w:rsid w:val="00F07AD1"/>
    <w:rsid w:val="00F07B1F"/>
    <w:rsid w:val="00F07B60"/>
    <w:rsid w:val="00F07BD3"/>
    <w:rsid w:val="00F07BD8"/>
    <w:rsid w:val="00F07C28"/>
    <w:rsid w:val="00F07C3E"/>
    <w:rsid w:val="00F07CBE"/>
    <w:rsid w:val="00F07D65"/>
    <w:rsid w:val="00F07D70"/>
    <w:rsid w:val="00F07D7F"/>
    <w:rsid w:val="00F07D88"/>
    <w:rsid w:val="00F07D9F"/>
    <w:rsid w:val="00F07DDF"/>
    <w:rsid w:val="00F07DF5"/>
    <w:rsid w:val="00F07E04"/>
    <w:rsid w:val="00F07E66"/>
    <w:rsid w:val="00F07E75"/>
    <w:rsid w:val="00F07EB1"/>
    <w:rsid w:val="00F07F55"/>
    <w:rsid w:val="00F07F5D"/>
    <w:rsid w:val="00F07F87"/>
    <w:rsid w:val="00F07F88"/>
    <w:rsid w:val="00F0ED8B"/>
    <w:rsid w:val="00F10078"/>
    <w:rsid w:val="00F100D1"/>
    <w:rsid w:val="00F10130"/>
    <w:rsid w:val="00F10195"/>
    <w:rsid w:val="00F101A6"/>
    <w:rsid w:val="00F10259"/>
    <w:rsid w:val="00F10280"/>
    <w:rsid w:val="00F102D3"/>
    <w:rsid w:val="00F102F4"/>
    <w:rsid w:val="00F102FF"/>
    <w:rsid w:val="00F10368"/>
    <w:rsid w:val="00F10373"/>
    <w:rsid w:val="00F1038B"/>
    <w:rsid w:val="00F103D4"/>
    <w:rsid w:val="00F103F9"/>
    <w:rsid w:val="00F1041A"/>
    <w:rsid w:val="00F1052F"/>
    <w:rsid w:val="00F10535"/>
    <w:rsid w:val="00F10564"/>
    <w:rsid w:val="00F1058B"/>
    <w:rsid w:val="00F1060A"/>
    <w:rsid w:val="00F1060B"/>
    <w:rsid w:val="00F10634"/>
    <w:rsid w:val="00F1064A"/>
    <w:rsid w:val="00F1065A"/>
    <w:rsid w:val="00F106AD"/>
    <w:rsid w:val="00F106C2"/>
    <w:rsid w:val="00F107A6"/>
    <w:rsid w:val="00F107BF"/>
    <w:rsid w:val="00F1084E"/>
    <w:rsid w:val="00F108E5"/>
    <w:rsid w:val="00F108E9"/>
    <w:rsid w:val="00F108EC"/>
    <w:rsid w:val="00F108F1"/>
    <w:rsid w:val="00F10907"/>
    <w:rsid w:val="00F10977"/>
    <w:rsid w:val="00F10996"/>
    <w:rsid w:val="00F109A8"/>
    <w:rsid w:val="00F10A2E"/>
    <w:rsid w:val="00F10A3B"/>
    <w:rsid w:val="00F10A51"/>
    <w:rsid w:val="00F10A77"/>
    <w:rsid w:val="00F10AC6"/>
    <w:rsid w:val="00F10B05"/>
    <w:rsid w:val="00F10B12"/>
    <w:rsid w:val="00F10B3B"/>
    <w:rsid w:val="00F10B40"/>
    <w:rsid w:val="00F10B41"/>
    <w:rsid w:val="00F10B61"/>
    <w:rsid w:val="00F10B8F"/>
    <w:rsid w:val="00F10BA9"/>
    <w:rsid w:val="00F10BDD"/>
    <w:rsid w:val="00F10C5B"/>
    <w:rsid w:val="00F10C80"/>
    <w:rsid w:val="00F10CBB"/>
    <w:rsid w:val="00F10CE3"/>
    <w:rsid w:val="00F10D22"/>
    <w:rsid w:val="00F10D28"/>
    <w:rsid w:val="00F10D38"/>
    <w:rsid w:val="00F10D47"/>
    <w:rsid w:val="00F10DB2"/>
    <w:rsid w:val="00F10DDE"/>
    <w:rsid w:val="00F10DFE"/>
    <w:rsid w:val="00F10E00"/>
    <w:rsid w:val="00F10E3F"/>
    <w:rsid w:val="00F10E6E"/>
    <w:rsid w:val="00F10E88"/>
    <w:rsid w:val="00F10E9E"/>
    <w:rsid w:val="00F10EB7"/>
    <w:rsid w:val="00F10EC2"/>
    <w:rsid w:val="00F10F0F"/>
    <w:rsid w:val="00F10F56"/>
    <w:rsid w:val="00F10F5D"/>
    <w:rsid w:val="00F10F7C"/>
    <w:rsid w:val="00F10F87"/>
    <w:rsid w:val="00F10FCA"/>
    <w:rsid w:val="00F10FFD"/>
    <w:rsid w:val="00F11064"/>
    <w:rsid w:val="00F1109A"/>
    <w:rsid w:val="00F110EF"/>
    <w:rsid w:val="00F110F1"/>
    <w:rsid w:val="00F11113"/>
    <w:rsid w:val="00F1112C"/>
    <w:rsid w:val="00F11164"/>
    <w:rsid w:val="00F1116F"/>
    <w:rsid w:val="00F11179"/>
    <w:rsid w:val="00F111A6"/>
    <w:rsid w:val="00F111FB"/>
    <w:rsid w:val="00F11253"/>
    <w:rsid w:val="00F112B3"/>
    <w:rsid w:val="00F112E1"/>
    <w:rsid w:val="00F11350"/>
    <w:rsid w:val="00F113C2"/>
    <w:rsid w:val="00F114DD"/>
    <w:rsid w:val="00F11568"/>
    <w:rsid w:val="00F1159B"/>
    <w:rsid w:val="00F1163C"/>
    <w:rsid w:val="00F1164E"/>
    <w:rsid w:val="00F11655"/>
    <w:rsid w:val="00F11658"/>
    <w:rsid w:val="00F1168B"/>
    <w:rsid w:val="00F117B6"/>
    <w:rsid w:val="00F117C2"/>
    <w:rsid w:val="00F117CA"/>
    <w:rsid w:val="00F117CB"/>
    <w:rsid w:val="00F11804"/>
    <w:rsid w:val="00F1188E"/>
    <w:rsid w:val="00F1193F"/>
    <w:rsid w:val="00F11997"/>
    <w:rsid w:val="00F119A6"/>
    <w:rsid w:val="00F119D4"/>
    <w:rsid w:val="00F11A5E"/>
    <w:rsid w:val="00F11B16"/>
    <w:rsid w:val="00F11B17"/>
    <w:rsid w:val="00F11B2E"/>
    <w:rsid w:val="00F11B5E"/>
    <w:rsid w:val="00F11C77"/>
    <w:rsid w:val="00F11D05"/>
    <w:rsid w:val="00F11D08"/>
    <w:rsid w:val="00F11D31"/>
    <w:rsid w:val="00F11D34"/>
    <w:rsid w:val="00F11D4A"/>
    <w:rsid w:val="00F11DC8"/>
    <w:rsid w:val="00F11E36"/>
    <w:rsid w:val="00F11E6F"/>
    <w:rsid w:val="00F11F2D"/>
    <w:rsid w:val="00F11F4F"/>
    <w:rsid w:val="00F11F74"/>
    <w:rsid w:val="00F11F88"/>
    <w:rsid w:val="00F11F97"/>
    <w:rsid w:val="00F11FF8"/>
    <w:rsid w:val="00F1201F"/>
    <w:rsid w:val="00F12020"/>
    <w:rsid w:val="00F12054"/>
    <w:rsid w:val="00F1205E"/>
    <w:rsid w:val="00F120BB"/>
    <w:rsid w:val="00F120ED"/>
    <w:rsid w:val="00F120F4"/>
    <w:rsid w:val="00F120FD"/>
    <w:rsid w:val="00F1210F"/>
    <w:rsid w:val="00F12137"/>
    <w:rsid w:val="00F1217F"/>
    <w:rsid w:val="00F1218F"/>
    <w:rsid w:val="00F121A1"/>
    <w:rsid w:val="00F121A8"/>
    <w:rsid w:val="00F121B0"/>
    <w:rsid w:val="00F121B6"/>
    <w:rsid w:val="00F12213"/>
    <w:rsid w:val="00F12296"/>
    <w:rsid w:val="00F1229C"/>
    <w:rsid w:val="00F122A5"/>
    <w:rsid w:val="00F12338"/>
    <w:rsid w:val="00F12351"/>
    <w:rsid w:val="00F1238F"/>
    <w:rsid w:val="00F1239E"/>
    <w:rsid w:val="00F12430"/>
    <w:rsid w:val="00F1243C"/>
    <w:rsid w:val="00F124D2"/>
    <w:rsid w:val="00F125A1"/>
    <w:rsid w:val="00F125AB"/>
    <w:rsid w:val="00F125C2"/>
    <w:rsid w:val="00F125C3"/>
    <w:rsid w:val="00F1260D"/>
    <w:rsid w:val="00F12642"/>
    <w:rsid w:val="00F12672"/>
    <w:rsid w:val="00F12673"/>
    <w:rsid w:val="00F1268E"/>
    <w:rsid w:val="00F12791"/>
    <w:rsid w:val="00F127B8"/>
    <w:rsid w:val="00F127CE"/>
    <w:rsid w:val="00F127D1"/>
    <w:rsid w:val="00F127DE"/>
    <w:rsid w:val="00F1284C"/>
    <w:rsid w:val="00F12864"/>
    <w:rsid w:val="00F12868"/>
    <w:rsid w:val="00F12886"/>
    <w:rsid w:val="00F128C7"/>
    <w:rsid w:val="00F128F6"/>
    <w:rsid w:val="00F1294F"/>
    <w:rsid w:val="00F129D6"/>
    <w:rsid w:val="00F129F0"/>
    <w:rsid w:val="00F12A02"/>
    <w:rsid w:val="00F12AD2"/>
    <w:rsid w:val="00F12BA8"/>
    <w:rsid w:val="00F12C36"/>
    <w:rsid w:val="00F12D33"/>
    <w:rsid w:val="00F12D98"/>
    <w:rsid w:val="00F12DB8"/>
    <w:rsid w:val="00F12ED4"/>
    <w:rsid w:val="00F12EEB"/>
    <w:rsid w:val="00F12F0F"/>
    <w:rsid w:val="00F12F86"/>
    <w:rsid w:val="00F12FB5"/>
    <w:rsid w:val="00F12FC7"/>
    <w:rsid w:val="00F13077"/>
    <w:rsid w:val="00F13127"/>
    <w:rsid w:val="00F13130"/>
    <w:rsid w:val="00F131A0"/>
    <w:rsid w:val="00F131E7"/>
    <w:rsid w:val="00F1324C"/>
    <w:rsid w:val="00F13260"/>
    <w:rsid w:val="00F13295"/>
    <w:rsid w:val="00F132C3"/>
    <w:rsid w:val="00F1331B"/>
    <w:rsid w:val="00F13332"/>
    <w:rsid w:val="00F13347"/>
    <w:rsid w:val="00F13350"/>
    <w:rsid w:val="00F13374"/>
    <w:rsid w:val="00F13382"/>
    <w:rsid w:val="00F13387"/>
    <w:rsid w:val="00F13388"/>
    <w:rsid w:val="00F133E7"/>
    <w:rsid w:val="00F1347F"/>
    <w:rsid w:val="00F134AC"/>
    <w:rsid w:val="00F134BB"/>
    <w:rsid w:val="00F134D6"/>
    <w:rsid w:val="00F13501"/>
    <w:rsid w:val="00F1352C"/>
    <w:rsid w:val="00F1353A"/>
    <w:rsid w:val="00F135A2"/>
    <w:rsid w:val="00F135A5"/>
    <w:rsid w:val="00F135E3"/>
    <w:rsid w:val="00F135E4"/>
    <w:rsid w:val="00F13600"/>
    <w:rsid w:val="00F1362A"/>
    <w:rsid w:val="00F136C9"/>
    <w:rsid w:val="00F1373E"/>
    <w:rsid w:val="00F13780"/>
    <w:rsid w:val="00F137A8"/>
    <w:rsid w:val="00F13801"/>
    <w:rsid w:val="00F1384B"/>
    <w:rsid w:val="00F1385E"/>
    <w:rsid w:val="00F13895"/>
    <w:rsid w:val="00F1391A"/>
    <w:rsid w:val="00F13952"/>
    <w:rsid w:val="00F1396E"/>
    <w:rsid w:val="00F139CA"/>
    <w:rsid w:val="00F139ED"/>
    <w:rsid w:val="00F139FE"/>
    <w:rsid w:val="00F13A23"/>
    <w:rsid w:val="00F13A35"/>
    <w:rsid w:val="00F13A6F"/>
    <w:rsid w:val="00F13ADF"/>
    <w:rsid w:val="00F13B31"/>
    <w:rsid w:val="00F13B50"/>
    <w:rsid w:val="00F13B57"/>
    <w:rsid w:val="00F13B59"/>
    <w:rsid w:val="00F13B78"/>
    <w:rsid w:val="00F13B79"/>
    <w:rsid w:val="00F13B92"/>
    <w:rsid w:val="00F13B94"/>
    <w:rsid w:val="00F13B9E"/>
    <w:rsid w:val="00F13BAB"/>
    <w:rsid w:val="00F13BD5"/>
    <w:rsid w:val="00F13BF1"/>
    <w:rsid w:val="00F13C78"/>
    <w:rsid w:val="00F13C9A"/>
    <w:rsid w:val="00F13D39"/>
    <w:rsid w:val="00F13D94"/>
    <w:rsid w:val="00F13EAA"/>
    <w:rsid w:val="00F13EF2"/>
    <w:rsid w:val="00F13F20"/>
    <w:rsid w:val="00F13F70"/>
    <w:rsid w:val="00F13FC4"/>
    <w:rsid w:val="00F13FE1"/>
    <w:rsid w:val="00F14031"/>
    <w:rsid w:val="00F140B6"/>
    <w:rsid w:val="00F14187"/>
    <w:rsid w:val="00F14213"/>
    <w:rsid w:val="00F1424E"/>
    <w:rsid w:val="00F14295"/>
    <w:rsid w:val="00F1440E"/>
    <w:rsid w:val="00F1441C"/>
    <w:rsid w:val="00F1441E"/>
    <w:rsid w:val="00F1443D"/>
    <w:rsid w:val="00F144B7"/>
    <w:rsid w:val="00F144B8"/>
    <w:rsid w:val="00F144CC"/>
    <w:rsid w:val="00F14503"/>
    <w:rsid w:val="00F1455B"/>
    <w:rsid w:val="00F14566"/>
    <w:rsid w:val="00F1456A"/>
    <w:rsid w:val="00F14570"/>
    <w:rsid w:val="00F14625"/>
    <w:rsid w:val="00F14646"/>
    <w:rsid w:val="00F14653"/>
    <w:rsid w:val="00F1467B"/>
    <w:rsid w:val="00F14683"/>
    <w:rsid w:val="00F1468D"/>
    <w:rsid w:val="00F1471D"/>
    <w:rsid w:val="00F14739"/>
    <w:rsid w:val="00F14796"/>
    <w:rsid w:val="00F14798"/>
    <w:rsid w:val="00F147DF"/>
    <w:rsid w:val="00F147EC"/>
    <w:rsid w:val="00F14802"/>
    <w:rsid w:val="00F14803"/>
    <w:rsid w:val="00F1480C"/>
    <w:rsid w:val="00F1484E"/>
    <w:rsid w:val="00F1485D"/>
    <w:rsid w:val="00F14887"/>
    <w:rsid w:val="00F148EA"/>
    <w:rsid w:val="00F1498C"/>
    <w:rsid w:val="00F149DD"/>
    <w:rsid w:val="00F149F6"/>
    <w:rsid w:val="00F149FF"/>
    <w:rsid w:val="00F14A24"/>
    <w:rsid w:val="00F14AB8"/>
    <w:rsid w:val="00F14ADB"/>
    <w:rsid w:val="00F14AF0"/>
    <w:rsid w:val="00F14AFA"/>
    <w:rsid w:val="00F14B18"/>
    <w:rsid w:val="00F14B40"/>
    <w:rsid w:val="00F14B60"/>
    <w:rsid w:val="00F14C00"/>
    <w:rsid w:val="00F14C4E"/>
    <w:rsid w:val="00F14CB1"/>
    <w:rsid w:val="00F14CD2"/>
    <w:rsid w:val="00F14D19"/>
    <w:rsid w:val="00F14D7C"/>
    <w:rsid w:val="00F14DCE"/>
    <w:rsid w:val="00F14DF0"/>
    <w:rsid w:val="00F14E32"/>
    <w:rsid w:val="00F14E37"/>
    <w:rsid w:val="00F14E5F"/>
    <w:rsid w:val="00F14E71"/>
    <w:rsid w:val="00F14E93"/>
    <w:rsid w:val="00F14EEA"/>
    <w:rsid w:val="00F14EF2"/>
    <w:rsid w:val="00F14F92"/>
    <w:rsid w:val="00F14FEC"/>
    <w:rsid w:val="00F1502B"/>
    <w:rsid w:val="00F150C5"/>
    <w:rsid w:val="00F150E9"/>
    <w:rsid w:val="00F150F8"/>
    <w:rsid w:val="00F15127"/>
    <w:rsid w:val="00F15186"/>
    <w:rsid w:val="00F151A3"/>
    <w:rsid w:val="00F151AF"/>
    <w:rsid w:val="00F151B8"/>
    <w:rsid w:val="00F151C5"/>
    <w:rsid w:val="00F151E6"/>
    <w:rsid w:val="00F15236"/>
    <w:rsid w:val="00F1529D"/>
    <w:rsid w:val="00F152EA"/>
    <w:rsid w:val="00F152FD"/>
    <w:rsid w:val="00F1534E"/>
    <w:rsid w:val="00F15376"/>
    <w:rsid w:val="00F153E5"/>
    <w:rsid w:val="00F1541E"/>
    <w:rsid w:val="00F1543D"/>
    <w:rsid w:val="00F154AB"/>
    <w:rsid w:val="00F154B3"/>
    <w:rsid w:val="00F154D0"/>
    <w:rsid w:val="00F15517"/>
    <w:rsid w:val="00F15595"/>
    <w:rsid w:val="00F15599"/>
    <w:rsid w:val="00F155C5"/>
    <w:rsid w:val="00F155CA"/>
    <w:rsid w:val="00F155E5"/>
    <w:rsid w:val="00F155E8"/>
    <w:rsid w:val="00F1562D"/>
    <w:rsid w:val="00F15634"/>
    <w:rsid w:val="00F15675"/>
    <w:rsid w:val="00F15676"/>
    <w:rsid w:val="00F156A3"/>
    <w:rsid w:val="00F156AB"/>
    <w:rsid w:val="00F15708"/>
    <w:rsid w:val="00F15788"/>
    <w:rsid w:val="00F157B1"/>
    <w:rsid w:val="00F157D7"/>
    <w:rsid w:val="00F157DB"/>
    <w:rsid w:val="00F15809"/>
    <w:rsid w:val="00F158F6"/>
    <w:rsid w:val="00F1596A"/>
    <w:rsid w:val="00F159AE"/>
    <w:rsid w:val="00F159B4"/>
    <w:rsid w:val="00F159F3"/>
    <w:rsid w:val="00F15A07"/>
    <w:rsid w:val="00F15AB0"/>
    <w:rsid w:val="00F15AD3"/>
    <w:rsid w:val="00F15AF5"/>
    <w:rsid w:val="00F15B11"/>
    <w:rsid w:val="00F15B30"/>
    <w:rsid w:val="00F15B80"/>
    <w:rsid w:val="00F15B81"/>
    <w:rsid w:val="00F15BA0"/>
    <w:rsid w:val="00F15BE5"/>
    <w:rsid w:val="00F15C2F"/>
    <w:rsid w:val="00F15C6E"/>
    <w:rsid w:val="00F15C8B"/>
    <w:rsid w:val="00F15D12"/>
    <w:rsid w:val="00F15DA3"/>
    <w:rsid w:val="00F15DD6"/>
    <w:rsid w:val="00F15E5B"/>
    <w:rsid w:val="00F15E68"/>
    <w:rsid w:val="00F15ED0"/>
    <w:rsid w:val="00F15ED8"/>
    <w:rsid w:val="00F15F28"/>
    <w:rsid w:val="00F15F4E"/>
    <w:rsid w:val="00F15F5F"/>
    <w:rsid w:val="00F15FB4"/>
    <w:rsid w:val="00F1601F"/>
    <w:rsid w:val="00F1609A"/>
    <w:rsid w:val="00F160A4"/>
    <w:rsid w:val="00F160F4"/>
    <w:rsid w:val="00F160F6"/>
    <w:rsid w:val="00F16100"/>
    <w:rsid w:val="00F1610F"/>
    <w:rsid w:val="00F16183"/>
    <w:rsid w:val="00F1618C"/>
    <w:rsid w:val="00F1619D"/>
    <w:rsid w:val="00F161B8"/>
    <w:rsid w:val="00F161D5"/>
    <w:rsid w:val="00F161F2"/>
    <w:rsid w:val="00F161F4"/>
    <w:rsid w:val="00F162A2"/>
    <w:rsid w:val="00F162A4"/>
    <w:rsid w:val="00F162A6"/>
    <w:rsid w:val="00F163A3"/>
    <w:rsid w:val="00F1641B"/>
    <w:rsid w:val="00F1641F"/>
    <w:rsid w:val="00F16471"/>
    <w:rsid w:val="00F1647F"/>
    <w:rsid w:val="00F1648E"/>
    <w:rsid w:val="00F16498"/>
    <w:rsid w:val="00F164B6"/>
    <w:rsid w:val="00F1655D"/>
    <w:rsid w:val="00F16565"/>
    <w:rsid w:val="00F165B7"/>
    <w:rsid w:val="00F165CA"/>
    <w:rsid w:val="00F165E2"/>
    <w:rsid w:val="00F16685"/>
    <w:rsid w:val="00F166A7"/>
    <w:rsid w:val="00F166B8"/>
    <w:rsid w:val="00F16715"/>
    <w:rsid w:val="00F1675A"/>
    <w:rsid w:val="00F1675B"/>
    <w:rsid w:val="00F167E0"/>
    <w:rsid w:val="00F167E1"/>
    <w:rsid w:val="00F1685A"/>
    <w:rsid w:val="00F168FF"/>
    <w:rsid w:val="00F16909"/>
    <w:rsid w:val="00F16945"/>
    <w:rsid w:val="00F16953"/>
    <w:rsid w:val="00F1698C"/>
    <w:rsid w:val="00F169AB"/>
    <w:rsid w:val="00F169C7"/>
    <w:rsid w:val="00F169E4"/>
    <w:rsid w:val="00F16A1B"/>
    <w:rsid w:val="00F16A3A"/>
    <w:rsid w:val="00F16A96"/>
    <w:rsid w:val="00F16AA2"/>
    <w:rsid w:val="00F16AB7"/>
    <w:rsid w:val="00F16ADF"/>
    <w:rsid w:val="00F16AE3"/>
    <w:rsid w:val="00F16B3C"/>
    <w:rsid w:val="00F16B68"/>
    <w:rsid w:val="00F16B71"/>
    <w:rsid w:val="00F16BD5"/>
    <w:rsid w:val="00F16C40"/>
    <w:rsid w:val="00F16C91"/>
    <w:rsid w:val="00F16CAC"/>
    <w:rsid w:val="00F16DBC"/>
    <w:rsid w:val="00F16E0F"/>
    <w:rsid w:val="00F16FD1"/>
    <w:rsid w:val="00F16FD7"/>
    <w:rsid w:val="00F16FE8"/>
    <w:rsid w:val="00F17031"/>
    <w:rsid w:val="00F1704C"/>
    <w:rsid w:val="00F17091"/>
    <w:rsid w:val="00F170AF"/>
    <w:rsid w:val="00F170F8"/>
    <w:rsid w:val="00F170FC"/>
    <w:rsid w:val="00F17105"/>
    <w:rsid w:val="00F17118"/>
    <w:rsid w:val="00F1715D"/>
    <w:rsid w:val="00F1717D"/>
    <w:rsid w:val="00F17181"/>
    <w:rsid w:val="00F171BC"/>
    <w:rsid w:val="00F171E9"/>
    <w:rsid w:val="00F17263"/>
    <w:rsid w:val="00F173AB"/>
    <w:rsid w:val="00F173C4"/>
    <w:rsid w:val="00F17425"/>
    <w:rsid w:val="00F17456"/>
    <w:rsid w:val="00F17498"/>
    <w:rsid w:val="00F174DA"/>
    <w:rsid w:val="00F17505"/>
    <w:rsid w:val="00F175C0"/>
    <w:rsid w:val="00F175E2"/>
    <w:rsid w:val="00F1765E"/>
    <w:rsid w:val="00F1767B"/>
    <w:rsid w:val="00F176C6"/>
    <w:rsid w:val="00F176C9"/>
    <w:rsid w:val="00F176DD"/>
    <w:rsid w:val="00F176F9"/>
    <w:rsid w:val="00F1773A"/>
    <w:rsid w:val="00F17778"/>
    <w:rsid w:val="00F17840"/>
    <w:rsid w:val="00F1786C"/>
    <w:rsid w:val="00F17928"/>
    <w:rsid w:val="00F17935"/>
    <w:rsid w:val="00F1795D"/>
    <w:rsid w:val="00F17A05"/>
    <w:rsid w:val="00F17A9E"/>
    <w:rsid w:val="00F17AC8"/>
    <w:rsid w:val="00F17B5C"/>
    <w:rsid w:val="00F17B6C"/>
    <w:rsid w:val="00F17B7B"/>
    <w:rsid w:val="00F17BEC"/>
    <w:rsid w:val="00F17C16"/>
    <w:rsid w:val="00F17C35"/>
    <w:rsid w:val="00F17C76"/>
    <w:rsid w:val="00F17C89"/>
    <w:rsid w:val="00F17C9A"/>
    <w:rsid w:val="00F17C9F"/>
    <w:rsid w:val="00F17CC0"/>
    <w:rsid w:val="00F17CC9"/>
    <w:rsid w:val="00F17CFB"/>
    <w:rsid w:val="00F17D4F"/>
    <w:rsid w:val="00F17D78"/>
    <w:rsid w:val="00F17DBE"/>
    <w:rsid w:val="00F17E70"/>
    <w:rsid w:val="00F17E8A"/>
    <w:rsid w:val="00F17ED3"/>
    <w:rsid w:val="00F17EDF"/>
    <w:rsid w:val="00F17F52"/>
    <w:rsid w:val="00F17FC8"/>
    <w:rsid w:val="00F17FFA"/>
    <w:rsid w:val="00F2001A"/>
    <w:rsid w:val="00F20055"/>
    <w:rsid w:val="00F20063"/>
    <w:rsid w:val="00F200A3"/>
    <w:rsid w:val="00F200C6"/>
    <w:rsid w:val="00F200F3"/>
    <w:rsid w:val="00F2010C"/>
    <w:rsid w:val="00F20165"/>
    <w:rsid w:val="00F20171"/>
    <w:rsid w:val="00F20182"/>
    <w:rsid w:val="00F20186"/>
    <w:rsid w:val="00F20199"/>
    <w:rsid w:val="00F20202"/>
    <w:rsid w:val="00F20216"/>
    <w:rsid w:val="00F20295"/>
    <w:rsid w:val="00F202A3"/>
    <w:rsid w:val="00F20314"/>
    <w:rsid w:val="00F2036F"/>
    <w:rsid w:val="00F2037C"/>
    <w:rsid w:val="00F203A5"/>
    <w:rsid w:val="00F20425"/>
    <w:rsid w:val="00F2043E"/>
    <w:rsid w:val="00F20468"/>
    <w:rsid w:val="00F204A5"/>
    <w:rsid w:val="00F204B9"/>
    <w:rsid w:val="00F204DF"/>
    <w:rsid w:val="00F20517"/>
    <w:rsid w:val="00F2055C"/>
    <w:rsid w:val="00F20599"/>
    <w:rsid w:val="00F205E2"/>
    <w:rsid w:val="00F205EB"/>
    <w:rsid w:val="00F205EE"/>
    <w:rsid w:val="00F205F8"/>
    <w:rsid w:val="00F205FB"/>
    <w:rsid w:val="00F20620"/>
    <w:rsid w:val="00F20682"/>
    <w:rsid w:val="00F20684"/>
    <w:rsid w:val="00F206E4"/>
    <w:rsid w:val="00F20791"/>
    <w:rsid w:val="00F207A1"/>
    <w:rsid w:val="00F207D1"/>
    <w:rsid w:val="00F2085B"/>
    <w:rsid w:val="00F2086A"/>
    <w:rsid w:val="00F2088A"/>
    <w:rsid w:val="00F2091D"/>
    <w:rsid w:val="00F2094D"/>
    <w:rsid w:val="00F209B8"/>
    <w:rsid w:val="00F209B9"/>
    <w:rsid w:val="00F209D9"/>
    <w:rsid w:val="00F20AE9"/>
    <w:rsid w:val="00F20B10"/>
    <w:rsid w:val="00F20B3A"/>
    <w:rsid w:val="00F20C24"/>
    <w:rsid w:val="00F20C31"/>
    <w:rsid w:val="00F20C3C"/>
    <w:rsid w:val="00F20C3D"/>
    <w:rsid w:val="00F20C83"/>
    <w:rsid w:val="00F20CB6"/>
    <w:rsid w:val="00F20D07"/>
    <w:rsid w:val="00F20D12"/>
    <w:rsid w:val="00F20D45"/>
    <w:rsid w:val="00F20D4E"/>
    <w:rsid w:val="00F20D95"/>
    <w:rsid w:val="00F20DAA"/>
    <w:rsid w:val="00F20DC7"/>
    <w:rsid w:val="00F20EB0"/>
    <w:rsid w:val="00F20EC4"/>
    <w:rsid w:val="00F20ECE"/>
    <w:rsid w:val="00F20EFE"/>
    <w:rsid w:val="00F20F02"/>
    <w:rsid w:val="00F20F26"/>
    <w:rsid w:val="00F20F2A"/>
    <w:rsid w:val="00F20F5B"/>
    <w:rsid w:val="00F20FFA"/>
    <w:rsid w:val="00F21084"/>
    <w:rsid w:val="00F21087"/>
    <w:rsid w:val="00F21094"/>
    <w:rsid w:val="00F210C7"/>
    <w:rsid w:val="00F21106"/>
    <w:rsid w:val="00F21145"/>
    <w:rsid w:val="00F21159"/>
    <w:rsid w:val="00F211CA"/>
    <w:rsid w:val="00F2122D"/>
    <w:rsid w:val="00F212E8"/>
    <w:rsid w:val="00F212F4"/>
    <w:rsid w:val="00F2130F"/>
    <w:rsid w:val="00F21313"/>
    <w:rsid w:val="00F21343"/>
    <w:rsid w:val="00F21348"/>
    <w:rsid w:val="00F21491"/>
    <w:rsid w:val="00F214A7"/>
    <w:rsid w:val="00F21551"/>
    <w:rsid w:val="00F21629"/>
    <w:rsid w:val="00F2167A"/>
    <w:rsid w:val="00F216BE"/>
    <w:rsid w:val="00F216E9"/>
    <w:rsid w:val="00F21755"/>
    <w:rsid w:val="00F2179E"/>
    <w:rsid w:val="00F217AA"/>
    <w:rsid w:val="00F217BC"/>
    <w:rsid w:val="00F217C9"/>
    <w:rsid w:val="00F21859"/>
    <w:rsid w:val="00F2185E"/>
    <w:rsid w:val="00F21884"/>
    <w:rsid w:val="00F218BB"/>
    <w:rsid w:val="00F21963"/>
    <w:rsid w:val="00F21975"/>
    <w:rsid w:val="00F21A1E"/>
    <w:rsid w:val="00F21A59"/>
    <w:rsid w:val="00F21AE3"/>
    <w:rsid w:val="00F21B0F"/>
    <w:rsid w:val="00F21B1D"/>
    <w:rsid w:val="00F21B3C"/>
    <w:rsid w:val="00F21B84"/>
    <w:rsid w:val="00F21B98"/>
    <w:rsid w:val="00F21B9A"/>
    <w:rsid w:val="00F21B9F"/>
    <w:rsid w:val="00F21BCB"/>
    <w:rsid w:val="00F21BE2"/>
    <w:rsid w:val="00F21BEC"/>
    <w:rsid w:val="00F21BF5"/>
    <w:rsid w:val="00F21BFC"/>
    <w:rsid w:val="00F21C4A"/>
    <w:rsid w:val="00F21C96"/>
    <w:rsid w:val="00F21C9B"/>
    <w:rsid w:val="00F21CD6"/>
    <w:rsid w:val="00F21D1C"/>
    <w:rsid w:val="00F21D2A"/>
    <w:rsid w:val="00F21D46"/>
    <w:rsid w:val="00F21DC3"/>
    <w:rsid w:val="00F21DD2"/>
    <w:rsid w:val="00F21E5D"/>
    <w:rsid w:val="00F21E75"/>
    <w:rsid w:val="00F21EAB"/>
    <w:rsid w:val="00F21ED8"/>
    <w:rsid w:val="00F21EDC"/>
    <w:rsid w:val="00F21F03"/>
    <w:rsid w:val="00F21F2A"/>
    <w:rsid w:val="00F21F7F"/>
    <w:rsid w:val="00F21F80"/>
    <w:rsid w:val="00F21FAE"/>
    <w:rsid w:val="00F21FDA"/>
    <w:rsid w:val="00F21FE5"/>
    <w:rsid w:val="00F220CF"/>
    <w:rsid w:val="00F22112"/>
    <w:rsid w:val="00F22137"/>
    <w:rsid w:val="00F22152"/>
    <w:rsid w:val="00F2216D"/>
    <w:rsid w:val="00F221BE"/>
    <w:rsid w:val="00F2223E"/>
    <w:rsid w:val="00F22268"/>
    <w:rsid w:val="00F22276"/>
    <w:rsid w:val="00F222C3"/>
    <w:rsid w:val="00F222F3"/>
    <w:rsid w:val="00F2234D"/>
    <w:rsid w:val="00F22373"/>
    <w:rsid w:val="00F2241B"/>
    <w:rsid w:val="00F22474"/>
    <w:rsid w:val="00F22490"/>
    <w:rsid w:val="00F224B3"/>
    <w:rsid w:val="00F22506"/>
    <w:rsid w:val="00F22554"/>
    <w:rsid w:val="00F225D1"/>
    <w:rsid w:val="00F22672"/>
    <w:rsid w:val="00F2267C"/>
    <w:rsid w:val="00F226F3"/>
    <w:rsid w:val="00F226FB"/>
    <w:rsid w:val="00F22701"/>
    <w:rsid w:val="00F22707"/>
    <w:rsid w:val="00F22715"/>
    <w:rsid w:val="00F2273D"/>
    <w:rsid w:val="00F22778"/>
    <w:rsid w:val="00F2277F"/>
    <w:rsid w:val="00F22785"/>
    <w:rsid w:val="00F22794"/>
    <w:rsid w:val="00F227F3"/>
    <w:rsid w:val="00F2288E"/>
    <w:rsid w:val="00F2290B"/>
    <w:rsid w:val="00F22920"/>
    <w:rsid w:val="00F2295C"/>
    <w:rsid w:val="00F22990"/>
    <w:rsid w:val="00F229AC"/>
    <w:rsid w:val="00F229E4"/>
    <w:rsid w:val="00F229FF"/>
    <w:rsid w:val="00F22A03"/>
    <w:rsid w:val="00F22A42"/>
    <w:rsid w:val="00F22A84"/>
    <w:rsid w:val="00F22AC6"/>
    <w:rsid w:val="00F22AD0"/>
    <w:rsid w:val="00F22B2A"/>
    <w:rsid w:val="00F22B48"/>
    <w:rsid w:val="00F22B52"/>
    <w:rsid w:val="00F22B6C"/>
    <w:rsid w:val="00F22B6E"/>
    <w:rsid w:val="00F22BD0"/>
    <w:rsid w:val="00F22BDB"/>
    <w:rsid w:val="00F22CC4"/>
    <w:rsid w:val="00F22D13"/>
    <w:rsid w:val="00F22D3B"/>
    <w:rsid w:val="00F22D42"/>
    <w:rsid w:val="00F22DA2"/>
    <w:rsid w:val="00F22DEC"/>
    <w:rsid w:val="00F22DF0"/>
    <w:rsid w:val="00F22E14"/>
    <w:rsid w:val="00F22E40"/>
    <w:rsid w:val="00F22E98"/>
    <w:rsid w:val="00F22E9A"/>
    <w:rsid w:val="00F22EAD"/>
    <w:rsid w:val="00F22ED3"/>
    <w:rsid w:val="00F22ED8"/>
    <w:rsid w:val="00F22F22"/>
    <w:rsid w:val="00F22F8C"/>
    <w:rsid w:val="00F22FC5"/>
    <w:rsid w:val="00F23006"/>
    <w:rsid w:val="00F230A6"/>
    <w:rsid w:val="00F230B2"/>
    <w:rsid w:val="00F230DC"/>
    <w:rsid w:val="00F230FD"/>
    <w:rsid w:val="00F2314C"/>
    <w:rsid w:val="00F231D9"/>
    <w:rsid w:val="00F231EB"/>
    <w:rsid w:val="00F2320D"/>
    <w:rsid w:val="00F2323E"/>
    <w:rsid w:val="00F232BD"/>
    <w:rsid w:val="00F232D3"/>
    <w:rsid w:val="00F232EE"/>
    <w:rsid w:val="00F232EF"/>
    <w:rsid w:val="00F23363"/>
    <w:rsid w:val="00F23388"/>
    <w:rsid w:val="00F23391"/>
    <w:rsid w:val="00F233B7"/>
    <w:rsid w:val="00F233C4"/>
    <w:rsid w:val="00F233CA"/>
    <w:rsid w:val="00F233D7"/>
    <w:rsid w:val="00F23469"/>
    <w:rsid w:val="00F2346A"/>
    <w:rsid w:val="00F23478"/>
    <w:rsid w:val="00F234E1"/>
    <w:rsid w:val="00F2350B"/>
    <w:rsid w:val="00F23536"/>
    <w:rsid w:val="00F2358A"/>
    <w:rsid w:val="00F235DC"/>
    <w:rsid w:val="00F23621"/>
    <w:rsid w:val="00F236CD"/>
    <w:rsid w:val="00F23725"/>
    <w:rsid w:val="00F2373C"/>
    <w:rsid w:val="00F23748"/>
    <w:rsid w:val="00F237B0"/>
    <w:rsid w:val="00F237DF"/>
    <w:rsid w:val="00F23842"/>
    <w:rsid w:val="00F23859"/>
    <w:rsid w:val="00F2385A"/>
    <w:rsid w:val="00F2387F"/>
    <w:rsid w:val="00F2389A"/>
    <w:rsid w:val="00F238F7"/>
    <w:rsid w:val="00F2390C"/>
    <w:rsid w:val="00F2390F"/>
    <w:rsid w:val="00F23943"/>
    <w:rsid w:val="00F2395F"/>
    <w:rsid w:val="00F23987"/>
    <w:rsid w:val="00F2398E"/>
    <w:rsid w:val="00F239AD"/>
    <w:rsid w:val="00F239AE"/>
    <w:rsid w:val="00F239BD"/>
    <w:rsid w:val="00F239D4"/>
    <w:rsid w:val="00F239E8"/>
    <w:rsid w:val="00F23A0A"/>
    <w:rsid w:val="00F23A3C"/>
    <w:rsid w:val="00F23AF2"/>
    <w:rsid w:val="00F23B38"/>
    <w:rsid w:val="00F23B99"/>
    <w:rsid w:val="00F23BA8"/>
    <w:rsid w:val="00F23C2A"/>
    <w:rsid w:val="00F23C68"/>
    <w:rsid w:val="00F23D0B"/>
    <w:rsid w:val="00F23D0F"/>
    <w:rsid w:val="00F23D32"/>
    <w:rsid w:val="00F23D35"/>
    <w:rsid w:val="00F23D61"/>
    <w:rsid w:val="00F23D82"/>
    <w:rsid w:val="00F23DEC"/>
    <w:rsid w:val="00F23E22"/>
    <w:rsid w:val="00F23E49"/>
    <w:rsid w:val="00F23E4B"/>
    <w:rsid w:val="00F23E6A"/>
    <w:rsid w:val="00F23E70"/>
    <w:rsid w:val="00F23F40"/>
    <w:rsid w:val="00F23F4A"/>
    <w:rsid w:val="00F23F80"/>
    <w:rsid w:val="00F23F9E"/>
    <w:rsid w:val="00F23FEA"/>
    <w:rsid w:val="00F24015"/>
    <w:rsid w:val="00F24036"/>
    <w:rsid w:val="00F2408C"/>
    <w:rsid w:val="00F240FA"/>
    <w:rsid w:val="00F240FB"/>
    <w:rsid w:val="00F240FC"/>
    <w:rsid w:val="00F24159"/>
    <w:rsid w:val="00F24174"/>
    <w:rsid w:val="00F241AF"/>
    <w:rsid w:val="00F241CB"/>
    <w:rsid w:val="00F241D3"/>
    <w:rsid w:val="00F241F6"/>
    <w:rsid w:val="00F2421C"/>
    <w:rsid w:val="00F24260"/>
    <w:rsid w:val="00F242A3"/>
    <w:rsid w:val="00F242B0"/>
    <w:rsid w:val="00F24309"/>
    <w:rsid w:val="00F2434A"/>
    <w:rsid w:val="00F2434C"/>
    <w:rsid w:val="00F24363"/>
    <w:rsid w:val="00F2436E"/>
    <w:rsid w:val="00F24380"/>
    <w:rsid w:val="00F2438C"/>
    <w:rsid w:val="00F243CF"/>
    <w:rsid w:val="00F24421"/>
    <w:rsid w:val="00F24494"/>
    <w:rsid w:val="00F2449C"/>
    <w:rsid w:val="00F2451C"/>
    <w:rsid w:val="00F24569"/>
    <w:rsid w:val="00F2456D"/>
    <w:rsid w:val="00F24583"/>
    <w:rsid w:val="00F24597"/>
    <w:rsid w:val="00F2459A"/>
    <w:rsid w:val="00F245B5"/>
    <w:rsid w:val="00F245FD"/>
    <w:rsid w:val="00F245FE"/>
    <w:rsid w:val="00F24610"/>
    <w:rsid w:val="00F24639"/>
    <w:rsid w:val="00F24657"/>
    <w:rsid w:val="00F2466A"/>
    <w:rsid w:val="00F24675"/>
    <w:rsid w:val="00F246D1"/>
    <w:rsid w:val="00F246DA"/>
    <w:rsid w:val="00F24725"/>
    <w:rsid w:val="00F24748"/>
    <w:rsid w:val="00F2476E"/>
    <w:rsid w:val="00F24792"/>
    <w:rsid w:val="00F247D5"/>
    <w:rsid w:val="00F247F0"/>
    <w:rsid w:val="00F248A3"/>
    <w:rsid w:val="00F248C6"/>
    <w:rsid w:val="00F248D3"/>
    <w:rsid w:val="00F248E1"/>
    <w:rsid w:val="00F248F6"/>
    <w:rsid w:val="00F2490B"/>
    <w:rsid w:val="00F2490E"/>
    <w:rsid w:val="00F2490F"/>
    <w:rsid w:val="00F24918"/>
    <w:rsid w:val="00F249A1"/>
    <w:rsid w:val="00F249F1"/>
    <w:rsid w:val="00F249FC"/>
    <w:rsid w:val="00F24A3D"/>
    <w:rsid w:val="00F24A5A"/>
    <w:rsid w:val="00F24A94"/>
    <w:rsid w:val="00F24AE9"/>
    <w:rsid w:val="00F24B06"/>
    <w:rsid w:val="00F24B15"/>
    <w:rsid w:val="00F24BAF"/>
    <w:rsid w:val="00F24BE9"/>
    <w:rsid w:val="00F24C00"/>
    <w:rsid w:val="00F24C49"/>
    <w:rsid w:val="00F24C51"/>
    <w:rsid w:val="00F24C90"/>
    <w:rsid w:val="00F24CC2"/>
    <w:rsid w:val="00F24CC9"/>
    <w:rsid w:val="00F24CEA"/>
    <w:rsid w:val="00F24CFD"/>
    <w:rsid w:val="00F24D4B"/>
    <w:rsid w:val="00F24D6A"/>
    <w:rsid w:val="00F24DAB"/>
    <w:rsid w:val="00F24DAF"/>
    <w:rsid w:val="00F24E10"/>
    <w:rsid w:val="00F24E7F"/>
    <w:rsid w:val="00F24E86"/>
    <w:rsid w:val="00F24EA3"/>
    <w:rsid w:val="00F24EAC"/>
    <w:rsid w:val="00F24EAE"/>
    <w:rsid w:val="00F24F14"/>
    <w:rsid w:val="00F24F1C"/>
    <w:rsid w:val="00F24FA7"/>
    <w:rsid w:val="00F24FD2"/>
    <w:rsid w:val="00F25006"/>
    <w:rsid w:val="00F25009"/>
    <w:rsid w:val="00F2500C"/>
    <w:rsid w:val="00F25071"/>
    <w:rsid w:val="00F250A3"/>
    <w:rsid w:val="00F250E5"/>
    <w:rsid w:val="00F2510F"/>
    <w:rsid w:val="00F25121"/>
    <w:rsid w:val="00F2514A"/>
    <w:rsid w:val="00F2518B"/>
    <w:rsid w:val="00F251B2"/>
    <w:rsid w:val="00F25259"/>
    <w:rsid w:val="00F25278"/>
    <w:rsid w:val="00F25286"/>
    <w:rsid w:val="00F252C5"/>
    <w:rsid w:val="00F2533D"/>
    <w:rsid w:val="00F2534B"/>
    <w:rsid w:val="00F25367"/>
    <w:rsid w:val="00F25390"/>
    <w:rsid w:val="00F253A1"/>
    <w:rsid w:val="00F253D4"/>
    <w:rsid w:val="00F25401"/>
    <w:rsid w:val="00F25489"/>
    <w:rsid w:val="00F2548C"/>
    <w:rsid w:val="00F2549F"/>
    <w:rsid w:val="00F254A4"/>
    <w:rsid w:val="00F254C8"/>
    <w:rsid w:val="00F254FC"/>
    <w:rsid w:val="00F25524"/>
    <w:rsid w:val="00F25532"/>
    <w:rsid w:val="00F2559E"/>
    <w:rsid w:val="00F255A5"/>
    <w:rsid w:val="00F255BA"/>
    <w:rsid w:val="00F255EF"/>
    <w:rsid w:val="00F25627"/>
    <w:rsid w:val="00F25639"/>
    <w:rsid w:val="00F25656"/>
    <w:rsid w:val="00F25659"/>
    <w:rsid w:val="00F2566D"/>
    <w:rsid w:val="00F256A6"/>
    <w:rsid w:val="00F25729"/>
    <w:rsid w:val="00F257D1"/>
    <w:rsid w:val="00F257E4"/>
    <w:rsid w:val="00F257ED"/>
    <w:rsid w:val="00F258AB"/>
    <w:rsid w:val="00F258B2"/>
    <w:rsid w:val="00F258DC"/>
    <w:rsid w:val="00F2591A"/>
    <w:rsid w:val="00F2592D"/>
    <w:rsid w:val="00F25939"/>
    <w:rsid w:val="00F2596B"/>
    <w:rsid w:val="00F25970"/>
    <w:rsid w:val="00F25977"/>
    <w:rsid w:val="00F25992"/>
    <w:rsid w:val="00F259B4"/>
    <w:rsid w:val="00F259B5"/>
    <w:rsid w:val="00F259E8"/>
    <w:rsid w:val="00F25A27"/>
    <w:rsid w:val="00F25A4A"/>
    <w:rsid w:val="00F25A64"/>
    <w:rsid w:val="00F25A93"/>
    <w:rsid w:val="00F25AB0"/>
    <w:rsid w:val="00F25AD6"/>
    <w:rsid w:val="00F25AEA"/>
    <w:rsid w:val="00F25B29"/>
    <w:rsid w:val="00F25B33"/>
    <w:rsid w:val="00F25B4B"/>
    <w:rsid w:val="00F25B67"/>
    <w:rsid w:val="00F25BBD"/>
    <w:rsid w:val="00F25BC5"/>
    <w:rsid w:val="00F25C5F"/>
    <w:rsid w:val="00F25CAF"/>
    <w:rsid w:val="00F25D39"/>
    <w:rsid w:val="00F25DF1"/>
    <w:rsid w:val="00F25E00"/>
    <w:rsid w:val="00F25E49"/>
    <w:rsid w:val="00F25E4F"/>
    <w:rsid w:val="00F25EAF"/>
    <w:rsid w:val="00F25EB1"/>
    <w:rsid w:val="00F25F02"/>
    <w:rsid w:val="00F25F0A"/>
    <w:rsid w:val="00F25FB4"/>
    <w:rsid w:val="00F25FDC"/>
    <w:rsid w:val="00F25FF1"/>
    <w:rsid w:val="00F2603D"/>
    <w:rsid w:val="00F26074"/>
    <w:rsid w:val="00F2611E"/>
    <w:rsid w:val="00F26125"/>
    <w:rsid w:val="00F2613C"/>
    <w:rsid w:val="00F2615B"/>
    <w:rsid w:val="00F26171"/>
    <w:rsid w:val="00F261B6"/>
    <w:rsid w:val="00F261D9"/>
    <w:rsid w:val="00F261E9"/>
    <w:rsid w:val="00F26242"/>
    <w:rsid w:val="00F2628C"/>
    <w:rsid w:val="00F262DD"/>
    <w:rsid w:val="00F26389"/>
    <w:rsid w:val="00F263CF"/>
    <w:rsid w:val="00F26435"/>
    <w:rsid w:val="00F2649A"/>
    <w:rsid w:val="00F264C8"/>
    <w:rsid w:val="00F264D1"/>
    <w:rsid w:val="00F264FF"/>
    <w:rsid w:val="00F26538"/>
    <w:rsid w:val="00F2653C"/>
    <w:rsid w:val="00F26578"/>
    <w:rsid w:val="00F26581"/>
    <w:rsid w:val="00F2661E"/>
    <w:rsid w:val="00F2663A"/>
    <w:rsid w:val="00F26675"/>
    <w:rsid w:val="00F2669E"/>
    <w:rsid w:val="00F266E7"/>
    <w:rsid w:val="00F266F0"/>
    <w:rsid w:val="00F26705"/>
    <w:rsid w:val="00F2677F"/>
    <w:rsid w:val="00F26792"/>
    <w:rsid w:val="00F2679B"/>
    <w:rsid w:val="00F26864"/>
    <w:rsid w:val="00F268C4"/>
    <w:rsid w:val="00F269E9"/>
    <w:rsid w:val="00F26A24"/>
    <w:rsid w:val="00F26AA3"/>
    <w:rsid w:val="00F26AA8"/>
    <w:rsid w:val="00F26AB4"/>
    <w:rsid w:val="00F26AD5"/>
    <w:rsid w:val="00F26B34"/>
    <w:rsid w:val="00F26B81"/>
    <w:rsid w:val="00F26B85"/>
    <w:rsid w:val="00F26BC6"/>
    <w:rsid w:val="00F26BD2"/>
    <w:rsid w:val="00F26BEA"/>
    <w:rsid w:val="00F26C30"/>
    <w:rsid w:val="00F26C83"/>
    <w:rsid w:val="00F26CA2"/>
    <w:rsid w:val="00F26CBB"/>
    <w:rsid w:val="00F26CE2"/>
    <w:rsid w:val="00F26D05"/>
    <w:rsid w:val="00F26D5A"/>
    <w:rsid w:val="00F26D6B"/>
    <w:rsid w:val="00F26D78"/>
    <w:rsid w:val="00F26DBD"/>
    <w:rsid w:val="00F26E75"/>
    <w:rsid w:val="00F26E86"/>
    <w:rsid w:val="00F26EA0"/>
    <w:rsid w:val="00F26F1B"/>
    <w:rsid w:val="00F26F63"/>
    <w:rsid w:val="00F26F7E"/>
    <w:rsid w:val="00F26FB9"/>
    <w:rsid w:val="00F26FFF"/>
    <w:rsid w:val="00F27036"/>
    <w:rsid w:val="00F2703F"/>
    <w:rsid w:val="00F27094"/>
    <w:rsid w:val="00F270BE"/>
    <w:rsid w:val="00F270CC"/>
    <w:rsid w:val="00F270FA"/>
    <w:rsid w:val="00F2710D"/>
    <w:rsid w:val="00F27171"/>
    <w:rsid w:val="00F271BD"/>
    <w:rsid w:val="00F271C7"/>
    <w:rsid w:val="00F271D9"/>
    <w:rsid w:val="00F271FD"/>
    <w:rsid w:val="00F272B1"/>
    <w:rsid w:val="00F272E0"/>
    <w:rsid w:val="00F27343"/>
    <w:rsid w:val="00F2735A"/>
    <w:rsid w:val="00F27360"/>
    <w:rsid w:val="00F2739E"/>
    <w:rsid w:val="00F273C3"/>
    <w:rsid w:val="00F27402"/>
    <w:rsid w:val="00F27421"/>
    <w:rsid w:val="00F27457"/>
    <w:rsid w:val="00F2748A"/>
    <w:rsid w:val="00F274A1"/>
    <w:rsid w:val="00F274EE"/>
    <w:rsid w:val="00F2751B"/>
    <w:rsid w:val="00F275A6"/>
    <w:rsid w:val="00F275FD"/>
    <w:rsid w:val="00F27743"/>
    <w:rsid w:val="00F27766"/>
    <w:rsid w:val="00F277A1"/>
    <w:rsid w:val="00F277AB"/>
    <w:rsid w:val="00F277B2"/>
    <w:rsid w:val="00F27840"/>
    <w:rsid w:val="00F27898"/>
    <w:rsid w:val="00F2789A"/>
    <w:rsid w:val="00F278E1"/>
    <w:rsid w:val="00F278F7"/>
    <w:rsid w:val="00F27940"/>
    <w:rsid w:val="00F27964"/>
    <w:rsid w:val="00F2799C"/>
    <w:rsid w:val="00F279C8"/>
    <w:rsid w:val="00F27A04"/>
    <w:rsid w:val="00F27A49"/>
    <w:rsid w:val="00F27A57"/>
    <w:rsid w:val="00F27A84"/>
    <w:rsid w:val="00F27A8D"/>
    <w:rsid w:val="00F27AFE"/>
    <w:rsid w:val="00F27B59"/>
    <w:rsid w:val="00F27BB0"/>
    <w:rsid w:val="00F27BD4"/>
    <w:rsid w:val="00F27C1B"/>
    <w:rsid w:val="00F27C2A"/>
    <w:rsid w:val="00F27C44"/>
    <w:rsid w:val="00F27CC7"/>
    <w:rsid w:val="00F27CDD"/>
    <w:rsid w:val="00F27CFB"/>
    <w:rsid w:val="00F27D0A"/>
    <w:rsid w:val="00F27D12"/>
    <w:rsid w:val="00F27D2C"/>
    <w:rsid w:val="00F27E8E"/>
    <w:rsid w:val="00F27EBD"/>
    <w:rsid w:val="00F27EDB"/>
    <w:rsid w:val="00F27F02"/>
    <w:rsid w:val="00F27F35"/>
    <w:rsid w:val="00F27F77"/>
    <w:rsid w:val="00F27F7F"/>
    <w:rsid w:val="00F27F80"/>
    <w:rsid w:val="00F27FEE"/>
    <w:rsid w:val="00F3000D"/>
    <w:rsid w:val="00F3003B"/>
    <w:rsid w:val="00F30074"/>
    <w:rsid w:val="00F3008A"/>
    <w:rsid w:val="00F300A2"/>
    <w:rsid w:val="00F300B3"/>
    <w:rsid w:val="00F3011B"/>
    <w:rsid w:val="00F3012A"/>
    <w:rsid w:val="00F3018E"/>
    <w:rsid w:val="00F3026A"/>
    <w:rsid w:val="00F30297"/>
    <w:rsid w:val="00F302A3"/>
    <w:rsid w:val="00F302BB"/>
    <w:rsid w:val="00F302DA"/>
    <w:rsid w:val="00F302E6"/>
    <w:rsid w:val="00F30360"/>
    <w:rsid w:val="00F30389"/>
    <w:rsid w:val="00F30423"/>
    <w:rsid w:val="00F30479"/>
    <w:rsid w:val="00F304A1"/>
    <w:rsid w:val="00F304C3"/>
    <w:rsid w:val="00F3052D"/>
    <w:rsid w:val="00F30535"/>
    <w:rsid w:val="00F3056D"/>
    <w:rsid w:val="00F305B5"/>
    <w:rsid w:val="00F305C3"/>
    <w:rsid w:val="00F305FD"/>
    <w:rsid w:val="00F30608"/>
    <w:rsid w:val="00F30652"/>
    <w:rsid w:val="00F3065B"/>
    <w:rsid w:val="00F306A5"/>
    <w:rsid w:val="00F306A7"/>
    <w:rsid w:val="00F306B0"/>
    <w:rsid w:val="00F306B8"/>
    <w:rsid w:val="00F306C8"/>
    <w:rsid w:val="00F306EC"/>
    <w:rsid w:val="00F3070D"/>
    <w:rsid w:val="00F3073B"/>
    <w:rsid w:val="00F30765"/>
    <w:rsid w:val="00F3082D"/>
    <w:rsid w:val="00F3083D"/>
    <w:rsid w:val="00F30880"/>
    <w:rsid w:val="00F30883"/>
    <w:rsid w:val="00F308AD"/>
    <w:rsid w:val="00F308B9"/>
    <w:rsid w:val="00F308C7"/>
    <w:rsid w:val="00F308D2"/>
    <w:rsid w:val="00F308E0"/>
    <w:rsid w:val="00F30928"/>
    <w:rsid w:val="00F30953"/>
    <w:rsid w:val="00F30975"/>
    <w:rsid w:val="00F30A23"/>
    <w:rsid w:val="00F30A9B"/>
    <w:rsid w:val="00F30ACD"/>
    <w:rsid w:val="00F30B06"/>
    <w:rsid w:val="00F30B75"/>
    <w:rsid w:val="00F30BD3"/>
    <w:rsid w:val="00F30BF9"/>
    <w:rsid w:val="00F30C33"/>
    <w:rsid w:val="00F30CCB"/>
    <w:rsid w:val="00F30CFE"/>
    <w:rsid w:val="00F30D11"/>
    <w:rsid w:val="00F30D47"/>
    <w:rsid w:val="00F30D4B"/>
    <w:rsid w:val="00F30D5F"/>
    <w:rsid w:val="00F30D7B"/>
    <w:rsid w:val="00F30E12"/>
    <w:rsid w:val="00F30E1A"/>
    <w:rsid w:val="00F30E70"/>
    <w:rsid w:val="00F30E99"/>
    <w:rsid w:val="00F30EE7"/>
    <w:rsid w:val="00F30EF6"/>
    <w:rsid w:val="00F30F75"/>
    <w:rsid w:val="00F30FB6"/>
    <w:rsid w:val="00F30FC4"/>
    <w:rsid w:val="00F31154"/>
    <w:rsid w:val="00F31157"/>
    <w:rsid w:val="00F31175"/>
    <w:rsid w:val="00F3118F"/>
    <w:rsid w:val="00F311D2"/>
    <w:rsid w:val="00F31205"/>
    <w:rsid w:val="00F3125A"/>
    <w:rsid w:val="00F3125E"/>
    <w:rsid w:val="00F3128D"/>
    <w:rsid w:val="00F31293"/>
    <w:rsid w:val="00F313BC"/>
    <w:rsid w:val="00F313E5"/>
    <w:rsid w:val="00F3142D"/>
    <w:rsid w:val="00F314D9"/>
    <w:rsid w:val="00F3150B"/>
    <w:rsid w:val="00F31544"/>
    <w:rsid w:val="00F315B9"/>
    <w:rsid w:val="00F315D0"/>
    <w:rsid w:val="00F315EB"/>
    <w:rsid w:val="00F316C7"/>
    <w:rsid w:val="00F316D3"/>
    <w:rsid w:val="00F316DC"/>
    <w:rsid w:val="00F31715"/>
    <w:rsid w:val="00F317F5"/>
    <w:rsid w:val="00F317FB"/>
    <w:rsid w:val="00F3182D"/>
    <w:rsid w:val="00F3192C"/>
    <w:rsid w:val="00F3198C"/>
    <w:rsid w:val="00F319C0"/>
    <w:rsid w:val="00F31A1C"/>
    <w:rsid w:val="00F31A25"/>
    <w:rsid w:val="00F31A3E"/>
    <w:rsid w:val="00F31A9E"/>
    <w:rsid w:val="00F31AF5"/>
    <w:rsid w:val="00F31B02"/>
    <w:rsid w:val="00F31B74"/>
    <w:rsid w:val="00F31B7E"/>
    <w:rsid w:val="00F31B8F"/>
    <w:rsid w:val="00F31BA7"/>
    <w:rsid w:val="00F31BD0"/>
    <w:rsid w:val="00F31CBA"/>
    <w:rsid w:val="00F31D1C"/>
    <w:rsid w:val="00F31D36"/>
    <w:rsid w:val="00F31D39"/>
    <w:rsid w:val="00F31D46"/>
    <w:rsid w:val="00F31D74"/>
    <w:rsid w:val="00F31D9E"/>
    <w:rsid w:val="00F31DC8"/>
    <w:rsid w:val="00F31DD3"/>
    <w:rsid w:val="00F31E1D"/>
    <w:rsid w:val="00F31E2F"/>
    <w:rsid w:val="00F31E3A"/>
    <w:rsid w:val="00F31E4B"/>
    <w:rsid w:val="00F31E5A"/>
    <w:rsid w:val="00F31E84"/>
    <w:rsid w:val="00F31E85"/>
    <w:rsid w:val="00F31E98"/>
    <w:rsid w:val="00F31E9F"/>
    <w:rsid w:val="00F31EDE"/>
    <w:rsid w:val="00F31F5E"/>
    <w:rsid w:val="00F31F6F"/>
    <w:rsid w:val="00F31FA9"/>
    <w:rsid w:val="00F31FD0"/>
    <w:rsid w:val="00F31FFB"/>
    <w:rsid w:val="00F3209E"/>
    <w:rsid w:val="00F320B5"/>
    <w:rsid w:val="00F32113"/>
    <w:rsid w:val="00F32160"/>
    <w:rsid w:val="00F3218D"/>
    <w:rsid w:val="00F321A8"/>
    <w:rsid w:val="00F321CE"/>
    <w:rsid w:val="00F321D5"/>
    <w:rsid w:val="00F321F2"/>
    <w:rsid w:val="00F3220C"/>
    <w:rsid w:val="00F32245"/>
    <w:rsid w:val="00F32288"/>
    <w:rsid w:val="00F322D9"/>
    <w:rsid w:val="00F3231D"/>
    <w:rsid w:val="00F323A0"/>
    <w:rsid w:val="00F323D6"/>
    <w:rsid w:val="00F32403"/>
    <w:rsid w:val="00F32416"/>
    <w:rsid w:val="00F32440"/>
    <w:rsid w:val="00F32455"/>
    <w:rsid w:val="00F32579"/>
    <w:rsid w:val="00F325BD"/>
    <w:rsid w:val="00F325FB"/>
    <w:rsid w:val="00F32673"/>
    <w:rsid w:val="00F3267B"/>
    <w:rsid w:val="00F3269A"/>
    <w:rsid w:val="00F326B2"/>
    <w:rsid w:val="00F32722"/>
    <w:rsid w:val="00F32728"/>
    <w:rsid w:val="00F32789"/>
    <w:rsid w:val="00F327DE"/>
    <w:rsid w:val="00F327F4"/>
    <w:rsid w:val="00F3282C"/>
    <w:rsid w:val="00F3285A"/>
    <w:rsid w:val="00F328C3"/>
    <w:rsid w:val="00F328E6"/>
    <w:rsid w:val="00F328F1"/>
    <w:rsid w:val="00F32903"/>
    <w:rsid w:val="00F3294D"/>
    <w:rsid w:val="00F3294E"/>
    <w:rsid w:val="00F329C4"/>
    <w:rsid w:val="00F329E4"/>
    <w:rsid w:val="00F329F6"/>
    <w:rsid w:val="00F32A89"/>
    <w:rsid w:val="00F32A8A"/>
    <w:rsid w:val="00F32AE5"/>
    <w:rsid w:val="00F32AE7"/>
    <w:rsid w:val="00F32AEA"/>
    <w:rsid w:val="00F32B4E"/>
    <w:rsid w:val="00F32BA1"/>
    <w:rsid w:val="00F32BC3"/>
    <w:rsid w:val="00F32C01"/>
    <w:rsid w:val="00F32C07"/>
    <w:rsid w:val="00F32CE5"/>
    <w:rsid w:val="00F32D2F"/>
    <w:rsid w:val="00F32D76"/>
    <w:rsid w:val="00F32D95"/>
    <w:rsid w:val="00F32DAD"/>
    <w:rsid w:val="00F32DC7"/>
    <w:rsid w:val="00F32E2C"/>
    <w:rsid w:val="00F32E59"/>
    <w:rsid w:val="00F32E6C"/>
    <w:rsid w:val="00F32E90"/>
    <w:rsid w:val="00F32EED"/>
    <w:rsid w:val="00F32EF5"/>
    <w:rsid w:val="00F32F35"/>
    <w:rsid w:val="00F32F46"/>
    <w:rsid w:val="00F32F4C"/>
    <w:rsid w:val="00F32F68"/>
    <w:rsid w:val="00F32F9A"/>
    <w:rsid w:val="00F33041"/>
    <w:rsid w:val="00F33073"/>
    <w:rsid w:val="00F33197"/>
    <w:rsid w:val="00F331A6"/>
    <w:rsid w:val="00F33242"/>
    <w:rsid w:val="00F3324C"/>
    <w:rsid w:val="00F3325A"/>
    <w:rsid w:val="00F33281"/>
    <w:rsid w:val="00F332A8"/>
    <w:rsid w:val="00F332F2"/>
    <w:rsid w:val="00F3333E"/>
    <w:rsid w:val="00F33352"/>
    <w:rsid w:val="00F33388"/>
    <w:rsid w:val="00F333B9"/>
    <w:rsid w:val="00F333DB"/>
    <w:rsid w:val="00F33401"/>
    <w:rsid w:val="00F33402"/>
    <w:rsid w:val="00F33415"/>
    <w:rsid w:val="00F33418"/>
    <w:rsid w:val="00F334C3"/>
    <w:rsid w:val="00F334D1"/>
    <w:rsid w:val="00F334F4"/>
    <w:rsid w:val="00F335A6"/>
    <w:rsid w:val="00F335D0"/>
    <w:rsid w:val="00F335FA"/>
    <w:rsid w:val="00F33672"/>
    <w:rsid w:val="00F336B5"/>
    <w:rsid w:val="00F336C2"/>
    <w:rsid w:val="00F336DA"/>
    <w:rsid w:val="00F336E4"/>
    <w:rsid w:val="00F33704"/>
    <w:rsid w:val="00F3370C"/>
    <w:rsid w:val="00F3371F"/>
    <w:rsid w:val="00F3377E"/>
    <w:rsid w:val="00F33799"/>
    <w:rsid w:val="00F337E9"/>
    <w:rsid w:val="00F3380D"/>
    <w:rsid w:val="00F3381D"/>
    <w:rsid w:val="00F3385F"/>
    <w:rsid w:val="00F33863"/>
    <w:rsid w:val="00F33873"/>
    <w:rsid w:val="00F338BF"/>
    <w:rsid w:val="00F338D1"/>
    <w:rsid w:val="00F33931"/>
    <w:rsid w:val="00F33983"/>
    <w:rsid w:val="00F339CE"/>
    <w:rsid w:val="00F339D1"/>
    <w:rsid w:val="00F339E7"/>
    <w:rsid w:val="00F33A82"/>
    <w:rsid w:val="00F33AC0"/>
    <w:rsid w:val="00F33B28"/>
    <w:rsid w:val="00F33B2A"/>
    <w:rsid w:val="00F33B7F"/>
    <w:rsid w:val="00F33BB7"/>
    <w:rsid w:val="00F33C24"/>
    <w:rsid w:val="00F33C5D"/>
    <w:rsid w:val="00F33CB4"/>
    <w:rsid w:val="00F33CE8"/>
    <w:rsid w:val="00F33D9B"/>
    <w:rsid w:val="00F33DA4"/>
    <w:rsid w:val="00F33DBB"/>
    <w:rsid w:val="00F33DD9"/>
    <w:rsid w:val="00F33E43"/>
    <w:rsid w:val="00F33E86"/>
    <w:rsid w:val="00F33EA3"/>
    <w:rsid w:val="00F33EAD"/>
    <w:rsid w:val="00F33EE2"/>
    <w:rsid w:val="00F33F06"/>
    <w:rsid w:val="00F33F4B"/>
    <w:rsid w:val="00F33F7F"/>
    <w:rsid w:val="00F33FDE"/>
    <w:rsid w:val="00F3405A"/>
    <w:rsid w:val="00F340C9"/>
    <w:rsid w:val="00F3411B"/>
    <w:rsid w:val="00F341D6"/>
    <w:rsid w:val="00F341EE"/>
    <w:rsid w:val="00F34235"/>
    <w:rsid w:val="00F34253"/>
    <w:rsid w:val="00F3429E"/>
    <w:rsid w:val="00F342A9"/>
    <w:rsid w:val="00F342FD"/>
    <w:rsid w:val="00F34397"/>
    <w:rsid w:val="00F34450"/>
    <w:rsid w:val="00F34468"/>
    <w:rsid w:val="00F34483"/>
    <w:rsid w:val="00F344D9"/>
    <w:rsid w:val="00F344FA"/>
    <w:rsid w:val="00F344FE"/>
    <w:rsid w:val="00F3454C"/>
    <w:rsid w:val="00F34559"/>
    <w:rsid w:val="00F34595"/>
    <w:rsid w:val="00F345D1"/>
    <w:rsid w:val="00F345F2"/>
    <w:rsid w:val="00F346A3"/>
    <w:rsid w:val="00F346BD"/>
    <w:rsid w:val="00F346C1"/>
    <w:rsid w:val="00F34738"/>
    <w:rsid w:val="00F34774"/>
    <w:rsid w:val="00F347D6"/>
    <w:rsid w:val="00F347F8"/>
    <w:rsid w:val="00F34879"/>
    <w:rsid w:val="00F34898"/>
    <w:rsid w:val="00F348BE"/>
    <w:rsid w:val="00F348F7"/>
    <w:rsid w:val="00F34921"/>
    <w:rsid w:val="00F3493F"/>
    <w:rsid w:val="00F3494D"/>
    <w:rsid w:val="00F34992"/>
    <w:rsid w:val="00F349C7"/>
    <w:rsid w:val="00F34A0B"/>
    <w:rsid w:val="00F34A71"/>
    <w:rsid w:val="00F34A8C"/>
    <w:rsid w:val="00F34AB2"/>
    <w:rsid w:val="00F34AC7"/>
    <w:rsid w:val="00F34BA6"/>
    <w:rsid w:val="00F34BB0"/>
    <w:rsid w:val="00F34BE4"/>
    <w:rsid w:val="00F34C0C"/>
    <w:rsid w:val="00F34C10"/>
    <w:rsid w:val="00F34C33"/>
    <w:rsid w:val="00F34C66"/>
    <w:rsid w:val="00F34C7E"/>
    <w:rsid w:val="00F34C80"/>
    <w:rsid w:val="00F34C99"/>
    <w:rsid w:val="00F34CF8"/>
    <w:rsid w:val="00F34D54"/>
    <w:rsid w:val="00F34D67"/>
    <w:rsid w:val="00F34D8A"/>
    <w:rsid w:val="00F34DDE"/>
    <w:rsid w:val="00F34E2F"/>
    <w:rsid w:val="00F34E3A"/>
    <w:rsid w:val="00F34E89"/>
    <w:rsid w:val="00F34EE6"/>
    <w:rsid w:val="00F34F1E"/>
    <w:rsid w:val="00F34F34"/>
    <w:rsid w:val="00F34F71"/>
    <w:rsid w:val="00F34F7C"/>
    <w:rsid w:val="00F34F9B"/>
    <w:rsid w:val="00F3500C"/>
    <w:rsid w:val="00F35023"/>
    <w:rsid w:val="00F35048"/>
    <w:rsid w:val="00F35068"/>
    <w:rsid w:val="00F35085"/>
    <w:rsid w:val="00F35154"/>
    <w:rsid w:val="00F3519E"/>
    <w:rsid w:val="00F351F0"/>
    <w:rsid w:val="00F35233"/>
    <w:rsid w:val="00F3524E"/>
    <w:rsid w:val="00F3524F"/>
    <w:rsid w:val="00F3527F"/>
    <w:rsid w:val="00F3529A"/>
    <w:rsid w:val="00F3529B"/>
    <w:rsid w:val="00F352B4"/>
    <w:rsid w:val="00F35359"/>
    <w:rsid w:val="00F3538F"/>
    <w:rsid w:val="00F353CD"/>
    <w:rsid w:val="00F353F8"/>
    <w:rsid w:val="00F3543D"/>
    <w:rsid w:val="00F35496"/>
    <w:rsid w:val="00F354AE"/>
    <w:rsid w:val="00F3554C"/>
    <w:rsid w:val="00F355E1"/>
    <w:rsid w:val="00F35660"/>
    <w:rsid w:val="00F35762"/>
    <w:rsid w:val="00F3581B"/>
    <w:rsid w:val="00F35865"/>
    <w:rsid w:val="00F358A5"/>
    <w:rsid w:val="00F358AB"/>
    <w:rsid w:val="00F358BD"/>
    <w:rsid w:val="00F358C6"/>
    <w:rsid w:val="00F358CF"/>
    <w:rsid w:val="00F35939"/>
    <w:rsid w:val="00F359EA"/>
    <w:rsid w:val="00F35A21"/>
    <w:rsid w:val="00F35A45"/>
    <w:rsid w:val="00F35A4F"/>
    <w:rsid w:val="00F35A70"/>
    <w:rsid w:val="00F35A77"/>
    <w:rsid w:val="00F35A7A"/>
    <w:rsid w:val="00F35A91"/>
    <w:rsid w:val="00F35A9F"/>
    <w:rsid w:val="00F35AB4"/>
    <w:rsid w:val="00F35AF9"/>
    <w:rsid w:val="00F35B08"/>
    <w:rsid w:val="00F35B1F"/>
    <w:rsid w:val="00F35B61"/>
    <w:rsid w:val="00F35B86"/>
    <w:rsid w:val="00F35BC5"/>
    <w:rsid w:val="00F35BD3"/>
    <w:rsid w:val="00F35BD5"/>
    <w:rsid w:val="00F35C06"/>
    <w:rsid w:val="00F35C6E"/>
    <w:rsid w:val="00F35C8B"/>
    <w:rsid w:val="00F35CB3"/>
    <w:rsid w:val="00F35CE5"/>
    <w:rsid w:val="00F35D39"/>
    <w:rsid w:val="00F35D46"/>
    <w:rsid w:val="00F35D55"/>
    <w:rsid w:val="00F35D6B"/>
    <w:rsid w:val="00F35D7C"/>
    <w:rsid w:val="00F35DEF"/>
    <w:rsid w:val="00F35E0E"/>
    <w:rsid w:val="00F35E7F"/>
    <w:rsid w:val="00F35E83"/>
    <w:rsid w:val="00F35EB5"/>
    <w:rsid w:val="00F35ECF"/>
    <w:rsid w:val="00F35ED7"/>
    <w:rsid w:val="00F35EED"/>
    <w:rsid w:val="00F35F0B"/>
    <w:rsid w:val="00F35F34"/>
    <w:rsid w:val="00F35F42"/>
    <w:rsid w:val="00F35F8C"/>
    <w:rsid w:val="00F36038"/>
    <w:rsid w:val="00F36055"/>
    <w:rsid w:val="00F3605E"/>
    <w:rsid w:val="00F36070"/>
    <w:rsid w:val="00F360C4"/>
    <w:rsid w:val="00F360EF"/>
    <w:rsid w:val="00F361B7"/>
    <w:rsid w:val="00F3626A"/>
    <w:rsid w:val="00F3629A"/>
    <w:rsid w:val="00F362B3"/>
    <w:rsid w:val="00F3641F"/>
    <w:rsid w:val="00F36432"/>
    <w:rsid w:val="00F36439"/>
    <w:rsid w:val="00F3645D"/>
    <w:rsid w:val="00F36478"/>
    <w:rsid w:val="00F36497"/>
    <w:rsid w:val="00F36514"/>
    <w:rsid w:val="00F36548"/>
    <w:rsid w:val="00F3656C"/>
    <w:rsid w:val="00F3659F"/>
    <w:rsid w:val="00F365D6"/>
    <w:rsid w:val="00F365DA"/>
    <w:rsid w:val="00F36629"/>
    <w:rsid w:val="00F3663B"/>
    <w:rsid w:val="00F36645"/>
    <w:rsid w:val="00F36663"/>
    <w:rsid w:val="00F36684"/>
    <w:rsid w:val="00F3669E"/>
    <w:rsid w:val="00F366DA"/>
    <w:rsid w:val="00F3674D"/>
    <w:rsid w:val="00F367A0"/>
    <w:rsid w:val="00F367B3"/>
    <w:rsid w:val="00F3681E"/>
    <w:rsid w:val="00F36873"/>
    <w:rsid w:val="00F36895"/>
    <w:rsid w:val="00F368D7"/>
    <w:rsid w:val="00F3691A"/>
    <w:rsid w:val="00F36968"/>
    <w:rsid w:val="00F36981"/>
    <w:rsid w:val="00F36A09"/>
    <w:rsid w:val="00F36A1D"/>
    <w:rsid w:val="00F36A5D"/>
    <w:rsid w:val="00F36A71"/>
    <w:rsid w:val="00F36AD1"/>
    <w:rsid w:val="00F36B0C"/>
    <w:rsid w:val="00F36B58"/>
    <w:rsid w:val="00F36BB5"/>
    <w:rsid w:val="00F36BCB"/>
    <w:rsid w:val="00F36BD0"/>
    <w:rsid w:val="00F36BD6"/>
    <w:rsid w:val="00F36CB7"/>
    <w:rsid w:val="00F36CC3"/>
    <w:rsid w:val="00F36CDF"/>
    <w:rsid w:val="00F36CFB"/>
    <w:rsid w:val="00F36CFD"/>
    <w:rsid w:val="00F36D57"/>
    <w:rsid w:val="00F36D85"/>
    <w:rsid w:val="00F36D9F"/>
    <w:rsid w:val="00F36DA8"/>
    <w:rsid w:val="00F36DFB"/>
    <w:rsid w:val="00F36E14"/>
    <w:rsid w:val="00F36E59"/>
    <w:rsid w:val="00F36E6F"/>
    <w:rsid w:val="00F36E7D"/>
    <w:rsid w:val="00F36E91"/>
    <w:rsid w:val="00F36ED0"/>
    <w:rsid w:val="00F36F32"/>
    <w:rsid w:val="00F36F65"/>
    <w:rsid w:val="00F36F6E"/>
    <w:rsid w:val="00F36F98"/>
    <w:rsid w:val="00F36FB4"/>
    <w:rsid w:val="00F37027"/>
    <w:rsid w:val="00F3704E"/>
    <w:rsid w:val="00F37065"/>
    <w:rsid w:val="00F37069"/>
    <w:rsid w:val="00F3707F"/>
    <w:rsid w:val="00F370C8"/>
    <w:rsid w:val="00F37115"/>
    <w:rsid w:val="00F37123"/>
    <w:rsid w:val="00F37153"/>
    <w:rsid w:val="00F3717F"/>
    <w:rsid w:val="00F371A0"/>
    <w:rsid w:val="00F371C4"/>
    <w:rsid w:val="00F37284"/>
    <w:rsid w:val="00F37285"/>
    <w:rsid w:val="00F37296"/>
    <w:rsid w:val="00F372C7"/>
    <w:rsid w:val="00F37337"/>
    <w:rsid w:val="00F37366"/>
    <w:rsid w:val="00F37397"/>
    <w:rsid w:val="00F373C7"/>
    <w:rsid w:val="00F3749D"/>
    <w:rsid w:val="00F374B1"/>
    <w:rsid w:val="00F374F8"/>
    <w:rsid w:val="00F37540"/>
    <w:rsid w:val="00F375CD"/>
    <w:rsid w:val="00F375E1"/>
    <w:rsid w:val="00F375FC"/>
    <w:rsid w:val="00F37618"/>
    <w:rsid w:val="00F37674"/>
    <w:rsid w:val="00F37695"/>
    <w:rsid w:val="00F376AF"/>
    <w:rsid w:val="00F376BC"/>
    <w:rsid w:val="00F376CB"/>
    <w:rsid w:val="00F376F3"/>
    <w:rsid w:val="00F37708"/>
    <w:rsid w:val="00F37713"/>
    <w:rsid w:val="00F37755"/>
    <w:rsid w:val="00F37763"/>
    <w:rsid w:val="00F37775"/>
    <w:rsid w:val="00F37777"/>
    <w:rsid w:val="00F37799"/>
    <w:rsid w:val="00F377C8"/>
    <w:rsid w:val="00F37808"/>
    <w:rsid w:val="00F37833"/>
    <w:rsid w:val="00F3783E"/>
    <w:rsid w:val="00F37849"/>
    <w:rsid w:val="00F37875"/>
    <w:rsid w:val="00F37936"/>
    <w:rsid w:val="00F37937"/>
    <w:rsid w:val="00F37967"/>
    <w:rsid w:val="00F37984"/>
    <w:rsid w:val="00F379FE"/>
    <w:rsid w:val="00F37A26"/>
    <w:rsid w:val="00F37A4A"/>
    <w:rsid w:val="00F37A62"/>
    <w:rsid w:val="00F37A74"/>
    <w:rsid w:val="00F37ABB"/>
    <w:rsid w:val="00F37B05"/>
    <w:rsid w:val="00F37BEC"/>
    <w:rsid w:val="00F37BF0"/>
    <w:rsid w:val="00F37C00"/>
    <w:rsid w:val="00F37C91"/>
    <w:rsid w:val="00F37CC4"/>
    <w:rsid w:val="00F37CDF"/>
    <w:rsid w:val="00F37D2C"/>
    <w:rsid w:val="00F37E0D"/>
    <w:rsid w:val="00F37E1C"/>
    <w:rsid w:val="00F37E9F"/>
    <w:rsid w:val="00F37EBD"/>
    <w:rsid w:val="00F37EE3"/>
    <w:rsid w:val="00F37EED"/>
    <w:rsid w:val="00F37F45"/>
    <w:rsid w:val="00F37F51"/>
    <w:rsid w:val="00F37F9B"/>
    <w:rsid w:val="00F37FB4"/>
    <w:rsid w:val="00F37FB6"/>
    <w:rsid w:val="00F3B783"/>
    <w:rsid w:val="00F3FB5C"/>
    <w:rsid w:val="00F40026"/>
    <w:rsid w:val="00F40034"/>
    <w:rsid w:val="00F40040"/>
    <w:rsid w:val="00F400BE"/>
    <w:rsid w:val="00F40146"/>
    <w:rsid w:val="00F40150"/>
    <w:rsid w:val="00F40164"/>
    <w:rsid w:val="00F40193"/>
    <w:rsid w:val="00F401B8"/>
    <w:rsid w:val="00F401BC"/>
    <w:rsid w:val="00F401E9"/>
    <w:rsid w:val="00F4022C"/>
    <w:rsid w:val="00F40273"/>
    <w:rsid w:val="00F402C1"/>
    <w:rsid w:val="00F402D7"/>
    <w:rsid w:val="00F402DE"/>
    <w:rsid w:val="00F40301"/>
    <w:rsid w:val="00F4033C"/>
    <w:rsid w:val="00F4035C"/>
    <w:rsid w:val="00F40373"/>
    <w:rsid w:val="00F403A6"/>
    <w:rsid w:val="00F403B4"/>
    <w:rsid w:val="00F403C4"/>
    <w:rsid w:val="00F403E5"/>
    <w:rsid w:val="00F40424"/>
    <w:rsid w:val="00F4043F"/>
    <w:rsid w:val="00F40469"/>
    <w:rsid w:val="00F40471"/>
    <w:rsid w:val="00F40486"/>
    <w:rsid w:val="00F40498"/>
    <w:rsid w:val="00F40581"/>
    <w:rsid w:val="00F405E0"/>
    <w:rsid w:val="00F405F3"/>
    <w:rsid w:val="00F405FF"/>
    <w:rsid w:val="00F4064A"/>
    <w:rsid w:val="00F40657"/>
    <w:rsid w:val="00F40691"/>
    <w:rsid w:val="00F406EC"/>
    <w:rsid w:val="00F4075C"/>
    <w:rsid w:val="00F40761"/>
    <w:rsid w:val="00F407BD"/>
    <w:rsid w:val="00F40862"/>
    <w:rsid w:val="00F40899"/>
    <w:rsid w:val="00F408B7"/>
    <w:rsid w:val="00F409A1"/>
    <w:rsid w:val="00F409EE"/>
    <w:rsid w:val="00F40A13"/>
    <w:rsid w:val="00F40ADD"/>
    <w:rsid w:val="00F40B20"/>
    <w:rsid w:val="00F40B29"/>
    <w:rsid w:val="00F40B39"/>
    <w:rsid w:val="00F40B40"/>
    <w:rsid w:val="00F40BE1"/>
    <w:rsid w:val="00F40C2A"/>
    <w:rsid w:val="00F40C38"/>
    <w:rsid w:val="00F40C54"/>
    <w:rsid w:val="00F40C5E"/>
    <w:rsid w:val="00F40C77"/>
    <w:rsid w:val="00F40C7A"/>
    <w:rsid w:val="00F40C8A"/>
    <w:rsid w:val="00F40C8E"/>
    <w:rsid w:val="00F40CCE"/>
    <w:rsid w:val="00F40D3A"/>
    <w:rsid w:val="00F40DD3"/>
    <w:rsid w:val="00F40DF6"/>
    <w:rsid w:val="00F40E03"/>
    <w:rsid w:val="00F40E29"/>
    <w:rsid w:val="00F40E72"/>
    <w:rsid w:val="00F40EF1"/>
    <w:rsid w:val="00F40F06"/>
    <w:rsid w:val="00F40F58"/>
    <w:rsid w:val="00F40F61"/>
    <w:rsid w:val="00F40F84"/>
    <w:rsid w:val="00F40F96"/>
    <w:rsid w:val="00F41022"/>
    <w:rsid w:val="00F41048"/>
    <w:rsid w:val="00F4106D"/>
    <w:rsid w:val="00F410F5"/>
    <w:rsid w:val="00F410FC"/>
    <w:rsid w:val="00F4113D"/>
    <w:rsid w:val="00F41187"/>
    <w:rsid w:val="00F411A8"/>
    <w:rsid w:val="00F411E6"/>
    <w:rsid w:val="00F4123E"/>
    <w:rsid w:val="00F412C3"/>
    <w:rsid w:val="00F412E2"/>
    <w:rsid w:val="00F41300"/>
    <w:rsid w:val="00F41304"/>
    <w:rsid w:val="00F4131D"/>
    <w:rsid w:val="00F413A0"/>
    <w:rsid w:val="00F413A3"/>
    <w:rsid w:val="00F413B6"/>
    <w:rsid w:val="00F413BD"/>
    <w:rsid w:val="00F413D4"/>
    <w:rsid w:val="00F413F4"/>
    <w:rsid w:val="00F41439"/>
    <w:rsid w:val="00F41444"/>
    <w:rsid w:val="00F414DA"/>
    <w:rsid w:val="00F414E3"/>
    <w:rsid w:val="00F414FF"/>
    <w:rsid w:val="00F41523"/>
    <w:rsid w:val="00F4152A"/>
    <w:rsid w:val="00F41570"/>
    <w:rsid w:val="00F415C4"/>
    <w:rsid w:val="00F415E3"/>
    <w:rsid w:val="00F41601"/>
    <w:rsid w:val="00F41614"/>
    <w:rsid w:val="00F41645"/>
    <w:rsid w:val="00F4166C"/>
    <w:rsid w:val="00F4167F"/>
    <w:rsid w:val="00F416F1"/>
    <w:rsid w:val="00F41725"/>
    <w:rsid w:val="00F41762"/>
    <w:rsid w:val="00F417DC"/>
    <w:rsid w:val="00F4184C"/>
    <w:rsid w:val="00F4186A"/>
    <w:rsid w:val="00F41883"/>
    <w:rsid w:val="00F41927"/>
    <w:rsid w:val="00F419DE"/>
    <w:rsid w:val="00F41A22"/>
    <w:rsid w:val="00F41A68"/>
    <w:rsid w:val="00F41A8C"/>
    <w:rsid w:val="00F41AAC"/>
    <w:rsid w:val="00F41AC5"/>
    <w:rsid w:val="00F41AD3"/>
    <w:rsid w:val="00F41B35"/>
    <w:rsid w:val="00F41B56"/>
    <w:rsid w:val="00F41B5D"/>
    <w:rsid w:val="00F41B85"/>
    <w:rsid w:val="00F41BB1"/>
    <w:rsid w:val="00F41BBC"/>
    <w:rsid w:val="00F41C36"/>
    <w:rsid w:val="00F41C7A"/>
    <w:rsid w:val="00F41CBB"/>
    <w:rsid w:val="00F41CC2"/>
    <w:rsid w:val="00F41CD3"/>
    <w:rsid w:val="00F41CD9"/>
    <w:rsid w:val="00F41CEF"/>
    <w:rsid w:val="00F41D07"/>
    <w:rsid w:val="00F41D4F"/>
    <w:rsid w:val="00F41D56"/>
    <w:rsid w:val="00F41D6D"/>
    <w:rsid w:val="00F41D81"/>
    <w:rsid w:val="00F41DAB"/>
    <w:rsid w:val="00F41DC4"/>
    <w:rsid w:val="00F41E1C"/>
    <w:rsid w:val="00F41EB8"/>
    <w:rsid w:val="00F41EC8"/>
    <w:rsid w:val="00F41EED"/>
    <w:rsid w:val="00F41EF2"/>
    <w:rsid w:val="00F41F1A"/>
    <w:rsid w:val="00F41F5B"/>
    <w:rsid w:val="00F41F84"/>
    <w:rsid w:val="00F41FA6"/>
    <w:rsid w:val="00F41FEF"/>
    <w:rsid w:val="00F4204A"/>
    <w:rsid w:val="00F42055"/>
    <w:rsid w:val="00F42059"/>
    <w:rsid w:val="00F42074"/>
    <w:rsid w:val="00F4208D"/>
    <w:rsid w:val="00F420E9"/>
    <w:rsid w:val="00F4210E"/>
    <w:rsid w:val="00F42113"/>
    <w:rsid w:val="00F42146"/>
    <w:rsid w:val="00F42190"/>
    <w:rsid w:val="00F4220D"/>
    <w:rsid w:val="00F4222C"/>
    <w:rsid w:val="00F4224D"/>
    <w:rsid w:val="00F42284"/>
    <w:rsid w:val="00F422AB"/>
    <w:rsid w:val="00F42332"/>
    <w:rsid w:val="00F42388"/>
    <w:rsid w:val="00F423B4"/>
    <w:rsid w:val="00F42436"/>
    <w:rsid w:val="00F42480"/>
    <w:rsid w:val="00F4250A"/>
    <w:rsid w:val="00F4254D"/>
    <w:rsid w:val="00F4255C"/>
    <w:rsid w:val="00F4259F"/>
    <w:rsid w:val="00F425CF"/>
    <w:rsid w:val="00F42624"/>
    <w:rsid w:val="00F4265F"/>
    <w:rsid w:val="00F42666"/>
    <w:rsid w:val="00F426CC"/>
    <w:rsid w:val="00F42739"/>
    <w:rsid w:val="00F42766"/>
    <w:rsid w:val="00F42790"/>
    <w:rsid w:val="00F427BC"/>
    <w:rsid w:val="00F4283F"/>
    <w:rsid w:val="00F42886"/>
    <w:rsid w:val="00F428AB"/>
    <w:rsid w:val="00F42923"/>
    <w:rsid w:val="00F42927"/>
    <w:rsid w:val="00F429D9"/>
    <w:rsid w:val="00F42A69"/>
    <w:rsid w:val="00F42A71"/>
    <w:rsid w:val="00F42AB7"/>
    <w:rsid w:val="00F42ADC"/>
    <w:rsid w:val="00F42AE6"/>
    <w:rsid w:val="00F42AF2"/>
    <w:rsid w:val="00F42AF6"/>
    <w:rsid w:val="00F42B61"/>
    <w:rsid w:val="00F42B71"/>
    <w:rsid w:val="00F42B80"/>
    <w:rsid w:val="00F42B86"/>
    <w:rsid w:val="00F42B96"/>
    <w:rsid w:val="00F42C53"/>
    <w:rsid w:val="00F42C66"/>
    <w:rsid w:val="00F42C6A"/>
    <w:rsid w:val="00F42CC3"/>
    <w:rsid w:val="00F42D34"/>
    <w:rsid w:val="00F42D6C"/>
    <w:rsid w:val="00F42DBC"/>
    <w:rsid w:val="00F42DBD"/>
    <w:rsid w:val="00F42DF7"/>
    <w:rsid w:val="00F42E2E"/>
    <w:rsid w:val="00F42E48"/>
    <w:rsid w:val="00F42E61"/>
    <w:rsid w:val="00F42E96"/>
    <w:rsid w:val="00F42EA1"/>
    <w:rsid w:val="00F42EAE"/>
    <w:rsid w:val="00F42EC8"/>
    <w:rsid w:val="00F42EEA"/>
    <w:rsid w:val="00F42F04"/>
    <w:rsid w:val="00F42F1B"/>
    <w:rsid w:val="00F42F4B"/>
    <w:rsid w:val="00F42F56"/>
    <w:rsid w:val="00F42F6D"/>
    <w:rsid w:val="00F42FCE"/>
    <w:rsid w:val="00F42FEF"/>
    <w:rsid w:val="00F43035"/>
    <w:rsid w:val="00F43080"/>
    <w:rsid w:val="00F430ED"/>
    <w:rsid w:val="00F43171"/>
    <w:rsid w:val="00F43186"/>
    <w:rsid w:val="00F431DF"/>
    <w:rsid w:val="00F431F7"/>
    <w:rsid w:val="00F43248"/>
    <w:rsid w:val="00F43251"/>
    <w:rsid w:val="00F43272"/>
    <w:rsid w:val="00F432AE"/>
    <w:rsid w:val="00F43337"/>
    <w:rsid w:val="00F43343"/>
    <w:rsid w:val="00F4337F"/>
    <w:rsid w:val="00F4338A"/>
    <w:rsid w:val="00F433DC"/>
    <w:rsid w:val="00F4345F"/>
    <w:rsid w:val="00F434E8"/>
    <w:rsid w:val="00F43545"/>
    <w:rsid w:val="00F435EC"/>
    <w:rsid w:val="00F436B6"/>
    <w:rsid w:val="00F43706"/>
    <w:rsid w:val="00F43728"/>
    <w:rsid w:val="00F43775"/>
    <w:rsid w:val="00F437FD"/>
    <w:rsid w:val="00F4381A"/>
    <w:rsid w:val="00F4382D"/>
    <w:rsid w:val="00F438AD"/>
    <w:rsid w:val="00F438EA"/>
    <w:rsid w:val="00F4399E"/>
    <w:rsid w:val="00F439A8"/>
    <w:rsid w:val="00F439C5"/>
    <w:rsid w:val="00F43A30"/>
    <w:rsid w:val="00F43A44"/>
    <w:rsid w:val="00F43A76"/>
    <w:rsid w:val="00F43AD7"/>
    <w:rsid w:val="00F43AF4"/>
    <w:rsid w:val="00F43BC9"/>
    <w:rsid w:val="00F43C71"/>
    <w:rsid w:val="00F43CC3"/>
    <w:rsid w:val="00F43CC5"/>
    <w:rsid w:val="00F43CEE"/>
    <w:rsid w:val="00F43D06"/>
    <w:rsid w:val="00F43D0B"/>
    <w:rsid w:val="00F43D32"/>
    <w:rsid w:val="00F43D8B"/>
    <w:rsid w:val="00F43D8E"/>
    <w:rsid w:val="00F43DD6"/>
    <w:rsid w:val="00F43DEB"/>
    <w:rsid w:val="00F43E31"/>
    <w:rsid w:val="00F43E4C"/>
    <w:rsid w:val="00F43E5C"/>
    <w:rsid w:val="00F43E78"/>
    <w:rsid w:val="00F43E85"/>
    <w:rsid w:val="00F43F38"/>
    <w:rsid w:val="00F43F58"/>
    <w:rsid w:val="00F43F61"/>
    <w:rsid w:val="00F43F9B"/>
    <w:rsid w:val="00F43FA2"/>
    <w:rsid w:val="00F43FA7"/>
    <w:rsid w:val="00F43FFA"/>
    <w:rsid w:val="00F4405D"/>
    <w:rsid w:val="00F44071"/>
    <w:rsid w:val="00F4409F"/>
    <w:rsid w:val="00F440E2"/>
    <w:rsid w:val="00F44110"/>
    <w:rsid w:val="00F4418B"/>
    <w:rsid w:val="00F44224"/>
    <w:rsid w:val="00F4422A"/>
    <w:rsid w:val="00F4422B"/>
    <w:rsid w:val="00F44256"/>
    <w:rsid w:val="00F442A9"/>
    <w:rsid w:val="00F442B1"/>
    <w:rsid w:val="00F442B2"/>
    <w:rsid w:val="00F442F8"/>
    <w:rsid w:val="00F4439F"/>
    <w:rsid w:val="00F443B2"/>
    <w:rsid w:val="00F443BC"/>
    <w:rsid w:val="00F443C4"/>
    <w:rsid w:val="00F443D9"/>
    <w:rsid w:val="00F4449A"/>
    <w:rsid w:val="00F44545"/>
    <w:rsid w:val="00F4454D"/>
    <w:rsid w:val="00F44555"/>
    <w:rsid w:val="00F44560"/>
    <w:rsid w:val="00F44572"/>
    <w:rsid w:val="00F4458C"/>
    <w:rsid w:val="00F4459D"/>
    <w:rsid w:val="00F445B0"/>
    <w:rsid w:val="00F445DE"/>
    <w:rsid w:val="00F445F7"/>
    <w:rsid w:val="00F4468B"/>
    <w:rsid w:val="00F4469E"/>
    <w:rsid w:val="00F4469F"/>
    <w:rsid w:val="00F446E6"/>
    <w:rsid w:val="00F446FF"/>
    <w:rsid w:val="00F4474F"/>
    <w:rsid w:val="00F44761"/>
    <w:rsid w:val="00F448AA"/>
    <w:rsid w:val="00F4499C"/>
    <w:rsid w:val="00F449E4"/>
    <w:rsid w:val="00F44A2D"/>
    <w:rsid w:val="00F44A3F"/>
    <w:rsid w:val="00F44A42"/>
    <w:rsid w:val="00F44A9A"/>
    <w:rsid w:val="00F44A9C"/>
    <w:rsid w:val="00F44A9E"/>
    <w:rsid w:val="00F44AF9"/>
    <w:rsid w:val="00F44B28"/>
    <w:rsid w:val="00F44B29"/>
    <w:rsid w:val="00F44B2E"/>
    <w:rsid w:val="00F44B38"/>
    <w:rsid w:val="00F44B99"/>
    <w:rsid w:val="00F44C4A"/>
    <w:rsid w:val="00F44C80"/>
    <w:rsid w:val="00F44CC9"/>
    <w:rsid w:val="00F44CE8"/>
    <w:rsid w:val="00F44D0A"/>
    <w:rsid w:val="00F44D4E"/>
    <w:rsid w:val="00F44E0E"/>
    <w:rsid w:val="00F44E12"/>
    <w:rsid w:val="00F44F46"/>
    <w:rsid w:val="00F44F5C"/>
    <w:rsid w:val="00F44F70"/>
    <w:rsid w:val="00F44FD9"/>
    <w:rsid w:val="00F44FF2"/>
    <w:rsid w:val="00F45034"/>
    <w:rsid w:val="00F45036"/>
    <w:rsid w:val="00F45043"/>
    <w:rsid w:val="00F4505E"/>
    <w:rsid w:val="00F45096"/>
    <w:rsid w:val="00F4509E"/>
    <w:rsid w:val="00F45139"/>
    <w:rsid w:val="00F45150"/>
    <w:rsid w:val="00F4515B"/>
    <w:rsid w:val="00F451EC"/>
    <w:rsid w:val="00F45206"/>
    <w:rsid w:val="00F45265"/>
    <w:rsid w:val="00F4526D"/>
    <w:rsid w:val="00F452D4"/>
    <w:rsid w:val="00F45314"/>
    <w:rsid w:val="00F45346"/>
    <w:rsid w:val="00F4535E"/>
    <w:rsid w:val="00F45363"/>
    <w:rsid w:val="00F45391"/>
    <w:rsid w:val="00F4539D"/>
    <w:rsid w:val="00F453A0"/>
    <w:rsid w:val="00F454B3"/>
    <w:rsid w:val="00F4552C"/>
    <w:rsid w:val="00F45560"/>
    <w:rsid w:val="00F455D1"/>
    <w:rsid w:val="00F455FF"/>
    <w:rsid w:val="00F45617"/>
    <w:rsid w:val="00F456BA"/>
    <w:rsid w:val="00F456F1"/>
    <w:rsid w:val="00F45729"/>
    <w:rsid w:val="00F4576C"/>
    <w:rsid w:val="00F457E4"/>
    <w:rsid w:val="00F4580D"/>
    <w:rsid w:val="00F45813"/>
    <w:rsid w:val="00F45840"/>
    <w:rsid w:val="00F45894"/>
    <w:rsid w:val="00F458AD"/>
    <w:rsid w:val="00F458B5"/>
    <w:rsid w:val="00F458F7"/>
    <w:rsid w:val="00F458FE"/>
    <w:rsid w:val="00F45940"/>
    <w:rsid w:val="00F4594A"/>
    <w:rsid w:val="00F4596D"/>
    <w:rsid w:val="00F459F3"/>
    <w:rsid w:val="00F45AD7"/>
    <w:rsid w:val="00F45B30"/>
    <w:rsid w:val="00F45B58"/>
    <w:rsid w:val="00F45B5A"/>
    <w:rsid w:val="00F45B68"/>
    <w:rsid w:val="00F45B7A"/>
    <w:rsid w:val="00F45B81"/>
    <w:rsid w:val="00F45BC1"/>
    <w:rsid w:val="00F45BDF"/>
    <w:rsid w:val="00F45BEB"/>
    <w:rsid w:val="00F45C6C"/>
    <w:rsid w:val="00F45C73"/>
    <w:rsid w:val="00F45C8C"/>
    <w:rsid w:val="00F45CB0"/>
    <w:rsid w:val="00F45CC6"/>
    <w:rsid w:val="00F45CEE"/>
    <w:rsid w:val="00F45D30"/>
    <w:rsid w:val="00F45D78"/>
    <w:rsid w:val="00F45D84"/>
    <w:rsid w:val="00F45DBF"/>
    <w:rsid w:val="00F45DFA"/>
    <w:rsid w:val="00F45E2E"/>
    <w:rsid w:val="00F45E68"/>
    <w:rsid w:val="00F45E8E"/>
    <w:rsid w:val="00F45EB4"/>
    <w:rsid w:val="00F45F20"/>
    <w:rsid w:val="00F45F25"/>
    <w:rsid w:val="00F45F53"/>
    <w:rsid w:val="00F45F77"/>
    <w:rsid w:val="00F45F82"/>
    <w:rsid w:val="00F45FB3"/>
    <w:rsid w:val="00F45FBE"/>
    <w:rsid w:val="00F4600A"/>
    <w:rsid w:val="00F46028"/>
    <w:rsid w:val="00F46037"/>
    <w:rsid w:val="00F46091"/>
    <w:rsid w:val="00F4611A"/>
    <w:rsid w:val="00F46137"/>
    <w:rsid w:val="00F46191"/>
    <w:rsid w:val="00F461A8"/>
    <w:rsid w:val="00F461C4"/>
    <w:rsid w:val="00F461ED"/>
    <w:rsid w:val="00F46252"/>
    <w:rsid w:val="00F46287"/>
    <w:rsid w:val="00F462C0"/>
    <w:rsid w:val="00F462C1"/>
    <w:rsid w:val="00F462C2"/>
    <w:rsid w:val="00F4635C"/>
    <w:rsid w:val="00F46390"/>
    <w:rsid w:val="00F463A4"/>
    <w:rsid w:val="00F463A6"/>
    <w:rsid w:val="00F463DB"/>
    <w:rsid w:val="00F463E6"/>
    <w:rsid w:val="00F4646A"/>
    <w:rsid w:val="00F464AE"/>
    <w:rsid w:val="00F464B8"/>
    <w:rsid w:val="00F464C0"/>
    <w:rsid w:val="00F464F2"/>
    <w:rsid w:val="00F4651E"/>
    <w:rsid w:val="00F46569"/>
    <w:rsid w:val="00F465CE"/>
    <w:rsid w:val="00F465DF"/>
    <w:rsid w:val="00F46603"/>
    <w:rsid w:val="00F46610"/>
    <w:rsid w:val="00F466AD"/>
    <w:rsid w:val="00F466B7"/>
    <w:rsid w:val="00F466BF"/>
    <w:rsid w:val="00F4673E"/>
    <w:rsid w:val="00F46746"/>
    <w:rsid w:val="00F4680B"/>
    <w:rsid w:val="00F46810"/>
    <w:rsid w:val="00F46834"/>
    <w:rsid w:val="00F46884"/>
    <w:rsid w:val="00F468EA"/>
    <w:rsid w:val="00F46923"/>
    <w:rsid w:val="00F4697F"/>
    <w:rsid w:val="00F469B4"/>
    <w:rsid w:val="00F469DF"/>
    <w:rsid w:val="00F46A1B"/>
    <w:rsid w:val="00F46A37"/>
    <w:rsid w:val="00F46A89"/>
    <w:rsid w:val="00F46AA7"/>
    <w:rsid w:val="00F46AC6"/>
    <w:rsid w:val="00F46AF4"/>
    <w:rsid w:val="00F46AF9"/>
    <w:rsid w:val="00F46B4A"/>
    <w:rsid w:val="00F46B51"/>
    <w:rsid w:val="00F46B5D"/>
    <w:rsid w:val="00F46BEE"/>
    <w:rsid w:val="00F46BF9"/>
    <w:rsid w:val="00F46C03"/>
    <w:rsid w:val="00F46C4C"/>
    <w:rsid w:val="00F46C96"/>
    <w:rsid w:val="00F46CAF"/>
    <w:rsid w:val="00F46CF4"/>
    <w:rsid w:val="00F46D02"/>
    <w:rsid w:val="00F46D67"/>
    <w:rsid w:val="00F46D72"/>
    <w:rsid w:val="00F46D82"/>
    <w:rsid w:val="00F46E55"/>
    <w:rsid w:val="00F46E7F"/>
    <w:rsid w:val="00F46EBF"/>
    <w:rsid w:val="00F46ECC"/>
    <w:rsid w:val="00F46EE4"/>
    <w:rsid w:val="00F46EF9"/>
    <w:rsid w:val="00F46F08"/>
    <w:rsid w:val="00F46F31"/>
    <w:rsid w:val="00F46F6F"/>
    <w:rsid w:val="00F46FA3"/>
    <w:rsid w:val="00F4706A"/>
    <w:rsid w:val="00F4709F"/>
    <w:rsid w:val="00F470D1"/>
    <w:rsid w:val="00F4715B"/>
    <w:rsid w:val="00F4717B"/>
    <w:rsid w:val="00F471AA"/>
    <w:rsid w:val="00F471C8"/>
    <w:rsid w:val="00F4720A"/>
    <w:rsid w:val="00F47249"/>
    <w:rsid w:val="00F472B0"/>
    <w:rsid w:val="00F4731E"/>
    <w:rsid w:val="00F473E5"/>
    <w:rsid w:val="00F473E6"/>
    <w:rsid w:val="00F47406"/>
    <w:rsid w:val="00F47436"/>
    <w:rsid w:val="00F4743A"/>
    <w:rsid w:val="00F47453"/>
    <w:rsid w:val="00F4745A"/>
    <w:rsid w:val="00F47513"/>
    <w:rsid w:val="00F4751D"/>
    <w:rsid w:val="00F47538"/>
    <w:rsid w:val="00F4753E"/>
    <w:rsid w:val="00F47598"/>
    <w:rsid w:val="00F475C9"/>
    <w:rsid w:val="00F47622"/>
    <w:rsid w:val="00F47625"/>
    <w:rsid w:val="00F47679"/>
    <w:rsid w:val="00F47693"/>
    <w:rsid w:val="00F476D3"/>
    <w:rsid w:val="00F477B0"/>
    <w:rsid w:val="00F47832"/>
    <w:rsid w:val="00F47872"/>
    <w:rsid w:val="00F47910"/>
    <w:rsid w:val="00F4791A"/>
    <w:rsid w:val="00F47977"/>
    <w:rsid w:val="00F47995"/>
    <w:rsid w:val="00F479DF"/>
    <w:rsid w:val="00F479E4"/>
    <w:rsid w:val="00F47AB1"/>
    <w:rsid w:val="00F47AB7"/>
    <w:rsid w:val="00F47AE5"/>
    <w:rsid w:val="00F47B13"/>
    <w:rsid w:val="00F47B37"/>
    <w:rsid w:val="00F47B43"/>
    <w:rsid w:val="00F47B60"/>
    <w:rsid w:val="00F47B8B"/>
    <w:rsid w:val="00F47B8F"/>
    <w:rsid w:val="00F47B91"/>
    <w:rsid w:val="00F47C06"/>
    <w:rsid w:val="00F47C5D"/>
    <w:rsid w:val="00F47C62"/>
    <w:rsid w:val="00F47CB5"/>
    <w:rsid w:val="00F47CEC"/>
    <w:rsid w:val="00F47D2D"/>
    <w:rsid w:val="00F47D6D"/>
    <w:rsid w:val="00F47D9F"/>
    <w:rsid w:val="00F47E8A"/>
    <w:rsid w:val="00F47EE3"/>
    <w:rsid w:val="00F47EE9"/>
    <w:rsid w:val="00F47F99"/>
    <w:rsid w:val="00F47FA3"/>
    <w:rsid w:val="00F50038"/>
    <w:rsid w:val="00F50059"/>
    <w:rsid w:val="00F50113"/>
    <w:rsid w:val="00F50143"/>
    <w:rsid w:val="00F50179"/>
    <w:rsid w:val="00F5019D"/>
    <w:rsid w:val="00F50246"/>
    <w:rsid w:val="00F502DB"/>
    <w:rsid w:val="00F502FC"/>
    <w:rsid w:val="00F502FE"/>
    <w:rsid w:val="00F50313"/>
    <w:rsid w:val="00F50333"/>
    <w:rsid w:val="00F5037C"/>
    <w:rsid w:val="00F503DE"/>
    <w:rsid w:val="00F50462"/>
    <w:rsid w:val="00F50469"/>
    <w:rsid w:val="00F504B4"/>
    <w:rsid w:val="00F504BE"/>
    <w:rsid w:val="00F50601"/>
    <w:rsid w:val="00F50608"/>
    <w:rsid w:val="00F5060F"/>
    <w:rsid w:val="00F506ED"/>
    <w:rsid w:val="00F5072C"/>
    <w:rsid w:val="00F5073A"/>
    <w:rsid w:val="00F50744"/>
    <w:rsid w:val="00F507C4"/>
    <w:rsid w:val="00F507CC"/>
    <w:rsid w:val="00F507F8"/>
    <w:rsid w:val="00F5082B"/>
    <w:rsid w:val="00F50876"/>
    <w:rsid w:val="00F508BB"/>
    <w:rsid w:val="00F508CC"/>
    <w:rsid w:val="00F508E8"/>
    <w:rsid w:val="00F5099B"/>
    <w:rsid w:val="00F50A6F"/>
    <w:rsid w:val="00F50A84"/>
    <w:rsid w:val="00F50B15"/>
    <w:rsid w:val="00F50B1B"/>
    <w:rsid w:val="00F50B20"/>
    <w:rsid w:val="00F50B6E"/>
    <w:rsid w:val="00F50BC2"/>
    <w:rsid w:val="00F50C16"/>
    <w:rsid w:val="00F50C39"/>
    <w:rsid w:val="00F50D1E"/>
    <w:rsid w:val="00F50D49"/>
    <w:rsid w:val="00F50D60"/>
    <w:rsid w:val="00F50DF7"/>
    <w:rsid w:val="00F50E2B"/>
    <w:rsid w:val="00F50E8A"/>
    <w:rsid w:val="00F50E9B"/>
    <w:rsid w:val="00F50EC0"/>
    <w:rsid w:val="00F50F08"/>
    <w:rsid w:val="00F50FE8"/>
    <w:rsid w:val="00F50FF6"/>
    <w:rsid w:val="00F50FFC"/>
    <w:rsid w:val="00F51018"/>
    <w:rsid w:val="00F5104A"/>
    <w:rsid w:val="00F5106C"/>
    <w:rsid w:val="00F5106D"/>
    <w:rsid w:val="00F510C8"/>
    <w:rsid w:val="00F51163"/>
    <w:rsid w:val="00F511ED"/>
    <w:rsid w:val="00F51241"/>
    <w:rsid w:val="00F5126C"/>
    <w:rsid w:val="00F51274"/>
    <w:rsid w:val="00F512B7"/>
    <w:rsid w:val="00F5130B"/>
    <w:rsid w:val="00F51324"/>
    <w:rsid w:val="00F51334"/>
    <w:rsid w:val="00F51343"/>
    <w:rsid w:val="00F51348"/>
    <w:rsid w:val="00F51367"/>
    <w:rsid w:val="00F513BD"/>
    <w:rsid w:val="00F51416"/>
    <w:rsid w:val="00F5142D"/>
    <w:rsid w:val="00F514D7"/>
    <w:rsid w:val="00F51507"/>
    <w:rsid w:val="00F51519"/>
    <w:rsid w:val="00F51549"/>
    <w:rsid w:val="00F5159B"/>
    <w:rsid w:val="00F515B3"/>
    <w:rsid w:val="00F5160A"/>
    <w:rsid w:val="00F5160B"/>
    <w:rsid w:val="00F5160D"/>
    <w:rsid w:val="00F51630"/>
    <w:rsid w:val="00F516D8"/>
    <w:rsid w:val="00F51768"/>
    <w:rsid w:val="00F517B6"/>
    <w:rsid w:val="00F5181A"/>
    <w:rsid w:val="00F51830"/>
    <w:rsid w:val="00F51835"/>
    <w:rsid w:val="00F5184E"/>
    <w:rsid w:val="00F5185A"/>
    <w:rsid w:val="00F5186F"/>
    <w:rsid w:val="00F5187A"/>
    <w:rsid w:val="00F518D7"/>
    <w:rsid w:val="00F51916"/>
    <w:rsid w:val="00F51924"/>
    <w:rsid w:val="00F51A05"/>
    <w:rsid w:val="00F51A0A"/>
    <w:rsid w:val="00F51A3E"/>
    <w:rsid w:val="00F51A5F"/>
    <w:rsid w:val="00F51B01"/>
    <w:rsid w:val="00F51B07"/>
    <w:rsid w:val="00F51B1E"/>
    <w:rsid w:val="00F51B47"/>
    <w:rsid w:val="00F51BA5"/>
    <w:rsid w:val="00F51BEB"/>
    <w:rsid w:val="00F51C20"/>
    <w:rsid w:val="00F51C2C"/>
    <w:rsid w:val="00F51CB7"/>
    <w:rsid w:val="00F51CDF"/>
    <w:rsid w:val="00F51D54"/>
    <w:rsid w:val="00F51D6B"/>
    <w:rsid w:val="00F51DC6"/>
    <w:rsid w:val="00F51DDD"/>
    <w:rsid w:val="00F51DE9"/>
    <w:rsid w:val="00F51DFA"/>
    <w:rsid w:val="00F51E24"/>
    <w:rsid w:val="00F51E27"/>
    <w:rsid w:val="00F51E29"/>
    <w:rsid w:val="00F51E5F"/>
    <w:rsid w:val="00F51E91"/>
    <w:rsid w:val="00F51EEB"/>
    <w:rsid w:val="00F51F7F"/>
    <w:rsid w:val="00F51F89"/>
    <w:rsid w:val="00F51F99"/>
    <w:rsid w:val="00F51FAB"/>
    <w:rsid w:val="00F5205B"/>
    <w:rsid w:val="00F5207C"/>
    <w:rsid w:val="00F520EC"/>
    <w:rsid w:val="00F52127"/>
    <w:rsid w:val="00F5217C"/>
    <w:rsid w:val="00F52190"/>
    <w:rsid w:val="00F5219B"/>
    <w:rsid w:val="00F521D7"/>
    <w:rsid w:val="00F5222B"/>
    <w:rsid w:val="00F52238"/>
    <w:rsid w:val="00F522BA"/>
    <w:rsid w:val="00F52340"/>
    <w:rsid w:val="00F5236A"/>
    <w:rsid w:val="00F523D3"/>
    <w:rsid w:val="00F52424"/>
    <w:rsid w:val="00F524B3"/>
    <w:rsid w:val="00F524D9"/>
    <w:rsid w:val="00F524E2"/>
    <w:rsid w:val="00F524FE"/>
    <w:rsid w:val="00F5257E"/>
    <w:rsid w:val="00F52598"/>
    <w:rsid w:val="00F5261D"/>
    <w:rsid w:val="00F5262A"/>
    <w:rsid w:val="00F5265D"/>
    <w:rsid w:val="00F5266B"/>
    <w:rsid w:val="00F5266C"/>
    <w:rsid w:val="00F52689"/>
    <w:rsid w:val="00F526C7"/>
    <w:rsid w:val="00F526CA"/>
    <w:rsid w:val="00F52702"/>
    <w:rsid w:val="00F52746"/>
    <w:rsid w:val="00F52766"/>
    <w:rsid w:val="00F52780"/>
    <w:rsid w:val="00F5279C"/>
    <w:rsid w:val="00F527FC"/>
    <w:rsid w:val="00F52801"/>
    <w:rsid w:val="00F52818"/>
    <w:rsid w:val="00F52834"/>
    <w:rsid w:val="00F5285F"/>
    <w:rsid w:val="00F528D8"/>
    <w:rsid w:val="00F52903"/>
    <w:rsid w:val="00F52906"/>
    <w:rsid w:val="00F52932"/>
    <w:rsid w:val="00F52953"/>
    <w:rsid w:val="00F5295E"/>
    <w:rsid w:val="00F5298F"/>
    <w:rsid w:val="00F529A1"/>
    <w:rsid w:val="00F52A4A"/>
    <w:rsid w:val="00F52A6E"/>
    <w:rsid w:val="00F52A70"/>
    <w:rsid w:val="00F52AC8"/>
    <w:rsid w:val="00F52AEA"/>
    <w:rsid w:val="00F52B5C"/>
    <w:rsid w:val="00F52B98"/>
    <w:rsid w:val="00F52BB7"/>
    <w:rsid w:val="00F52BEC"/>
    <w:rsid w:val="00F52CA6"/>
    <w:rsid w:val="00F52CB0"/>
    <w:rsid w:val="00F52CB8"/>
    <w:rsid w:val="00F52CC8"/>
    <w:rsid w:val="00F52CD2"/>
    <w:rsid w:val="00F52CF9"/>
    <w:rsid w:val="00F52D75"/>
    <w:rsid w:val="00F52E01"/>
    <w:rsid w:val="00F52E0D"/>
    <w:rsid w:val="00F52E20"/>
    <w:rsid w:val="00F52EBF"/>
    <w:rsid w:val="00F52F1F"/>
    <w:rsid w:val="00F52F2D"/>
    <w:rsid w:val="00F52F56"/>
    <w:rsid w:val="00F52F7C"/>
    <w:rsid w:val="00F52F91"/>
    <w:rsid w:val="00F52FCB"/>
    <w:rsid w:val="00F53004"/>
    <w:rsid w:val="00F53042"/>
    <w:rsid w:val="00F53059"/>
    <w:rsid w:val="00F530DD"/>
    <w:rsid w:val="00F53135"/>
    <w:rsid w:val="00F53147"/>
    <w:rsid w:val="00F5315F"/>
    <w:rsid w:val="00F53170"/>
    <w:rsid w:val="00F53171"/>
    <w:rsid w:val="00F53177"/>
    <w:rsid w:val="00F5318A"/>
    <w:rsid w:val="00F531D0"/>
    <w:rsid w:val="00F5324D"/>
    <w:rsid w:val="00F5326E"/>
    <w:rsid w:val="00F53290"/>
    <w:rsid w:val="00F532A7"/>
    <w:rsid w:val="00F532B7"/>
    <w:rsid w:val="00F532B9"/>
    <w:rsid w:val="00F533EB"/>
    <w:rsid w:val="00F533FC"/>
    <w:rsid w:val="00F534BC"/>
    <w:rsid w:val="00F5350D"/>
    <w:rsid w:val="00F5351D"/>
    <w:rsid w:val="00F53552"/>
    <w:rsid w:val="00F535B6"/>
    <w:rsid w:val="00F535B7"/>
    <w:rsid w:val="00F535DC"/>
    <w:rsid w:val="00F53603"/>
    <w:rsid w:val="00F53635"/>
    <w:rsid w:val="00F53680"/>
    <w:rsid w:val="00F53690"/>
    <w:rsid w:val="00F5369F"/>
    <w:rsid w:val="00F536A6"/>
    <w:rsid w:val="00F536AB"/>
    <w:rsid w:val="00F536E1"/>
    <w:rsid w:val="00F5385A"/>
    <w:rsid w:val="00F538A4"/>
    <w:rsid w:val="00F538D8"/>
    <w:rsid w:val="00F538F2"/>
    <w:rsid w:val="00F53916"/>
    <w:rsid w:val="00F5394B"/>
    <w:rsid w:val="00F53973"/>
    <w:rsid w:val="00F53981"/>
    <w:rsid w:val="00F539C6"/>
    <w:rsid w:val="00F53A39"/>
    <w:rsid w:val="00F53B1D"/>
    <w:rsid w:val="00F53B5E"/>
    <w:rsid w:val="00F53BAC"/>
    <w:rsid w:val="00F53C39"/>
    <w:rsid w:val="00F53C3F"/>
    <w:rsid w:val="00F53C50"/>
    <w:rsid w:val="00F53D4B"/>
    <w:rsid w:val="00F53D9C"/>
    <w:rsid w:val="00F53DA1"/>
    <w:rsid w:val="00F53DAD"/>
    <w:rsid w:val="00F53F30"/>
    <w:rsid w:val="00F53F73"/>
    <w:rsid w:val="00F53F8C"/>
    <w:rsid w:val="00F53FE6"/>
    <w:rsid w:val="00F54006"/>
    <w:rsid w:val="00F5409C"/>
    <w:rsid w:val="00F540E0"/>
    <w:rsid w:val="00F54111"/>
    <w:rsid w:val="00F54155"/>
    <w:rsid w:val="00F54170"/>
    <w:rsid w:val="00F541B8"/>
    <w:rsid w:val="00F541C1"/>
    <w:rsid w:val="00F541DB"/>
    <w:rsid w:val="00F54232"/>
    <w:rsid w:val="00F54281"/>
    <w:rsid w:val="00F542CE"/>
    <w:rsid w:val="00F5436B"/>
    <w:rsid w:val="00F5441F"/>
    <w:rsid w:val="00F54424"/>
    <w:rsid w:val="00F5446F"/>
    <w:rsid w:val="00F544AD"/>
    <w:rsid w:val="00F544EE"/>
    <w:rsid w:val="00F5450D"/>
    <w:rsid w:val="00F54535"/>
    <w:rsid w:val="00F54550"/>
    <w:rsid w:val="00F54582"/>
    <w:rsid w:val="00F545E1"/>
    <w:rsid w:val="00F54654"/>
    <w:rsid w:val="00F5467E"/>
    <w:rsid w:val="00F546BC"/>
    <w:rsid w:val="00F547CD"/>
    <w:rsid w:val="00F547E1"/>
    <w:rsid w:val="00F547EC"/>
    <w:rsid w:val="00F54828"/>
    <w:rsid w:val="00F54845"/>
    <w:rsid w:val="00F5489A"/>
    <w:rsid w:val="00F548AF"/>
    <w:rsid w:val="00F548BF"/>
    <w:rsid w:val="00F548F3"/>
    <w:rsid w:val="00F54910"/>
    <w:rsid w:val="00F54948"/>
    <w:rsid w:val="00F549E5"/>
    <w:rsid w:val="00F54A22"/>
    <w:rsid w:val="00F54A5C"/>
    <w:rsid w:val="00F54A76"/>
    <w:rsid w:val="00F54A95"/>
    <w:rsid w:val="00F54AA4"/>
    <w:rsid w:val="00F54AAE"/>
    <w:rsid w:val="00F54AFE"/>
    <w:rsid w:val="00F54B0F"/>
    <w:rsid w:val="00F54B33"/>
    <w:rsid w:val="00F54B47"/>
    <w:rsid w:val="00F54B68"/>
    <w:rsid w:val="00F54BCF"/>
    <w:rsid w:val="00F54C00"/>
    <w:rsid w:val="00F54C1F"/>
    <w:rsid w:val="00F54C82"/>
    <w:rsid w:val="00F54CC9"/>
    <w:rsid w:val="00F54D4D"/>
    <w:rsid w:val="00F54D58"/>
    <w:rsid w:val="00F54DC9"/>
    <w:rsid w:val="00F54DEA"/>
    <w:rsid w:val="00F54E06"/>
    <w:rsid w:val="00F54E35"/>
    <w:rsid w:val="00F54EBB"/>
    <w:rsid w:val="00F54EF7"/>
    <w:rsid w:val="00F54F1C"/>
    <w:rsid w:val="00F54F31"/>
    <w:rsid w:val="00F55033"/>
    <w:rsid w:val="00F5505F"/>
    <w:rsid w:val="00F550A5"/>
    <w:rsid w:val="00F55127"/>
    <w:rsid w:val="00F55137"/>
    <w:rsid w:val="00F55141"/>
    <w:rsid w:val="00F55153"/>
    <w:rsid w:val="00F55155"/>
    <w:rsid w:val="00F5518E"/>
    <w:rsid w:val="00F551CD"/>
    <w:rsid w:val="00F551D3"/>
    <w:rsid w:val="00F551F8"/>
    <w:rsid w:val="00F55203"/>
    <w:rsid w:val="00F5522B"/>
    <w:rsid w:val="00F5524D"/>
    <w:rsid w:val="00F5527A"/>
    <w:rsid w:val="00F5528C"/>
    <w:rsid w:val="00F552B7"/>
    <w:rsid w:val="00F552CA"/>
    <w:rsid w:val="00F55358"/>
    <w:rsid w:val="00F553D6"/>
    <w:rsid w:val="00F553F3"/>
    <w:rsid w:val="00F5544E"/>
    <w:rsid w:val="00F554AB"/>
    <w:rsid w:val="00F554CC"/>
    <w:rsid w:val="00F554E5"/>
    <w:rsid w:val="00F554F6"/>
    <w:rsid w:val="00F55539"/>
    <w:rsid w:val="00F55552"/>
    <w:rsid w:val="00F55572"/>
    <w:rsid w:val="00F555AB"/>
    <w:rsid w:val="00F555BA"/>
    <w:rsid w:val="00F555D2"/>
    <w:rsid w:val="00F555FF"/>
    <w:rsid w:val="00F5569D"/>
    <w:rsid w:val="00F556B8"/>
    <w:rsid w:val="00F55821"/>
    <w:rsid w:val="00F55848"/>
    <w:rsid w:val="00F55892"/>
    <w:rsid w:val="00F558A2"/>
    <w:rsid w:val="00F558AA"/>
    <w:rsid w:val="00F5596C"/>
    <w:rsid w:val="00F559D5"/>
    <w:rsid w:val="00F55A20"/>
    <w:rsid w:val="00F55B3A"/>
    <w:rsid w:val="00F55B3E"/>
    <w:rsid w:val="00F55B61"/>
    <w:rsid w:val="00F55B7D"/>
    <w:rsid w:val="00F55B84"/>
    <w:rsid w:val="00F55C74"/>
    <w:rsid w:val="00F55CD0"/>
    <w:rsid w:val="00F55CE3"/>
    <w:rsid w:val="00F55CF5"/>
    <w:rsid w:val="00F55D2B"/>
    <w:rsid w:val="00F55D31"/>
    <w:rsid w:val="00F55D4F"/>
    <w:rsid w:val="00F55D89"/>
    <w:rsid w:val="00F55DAD"/>
    <w:rsid w:val="00F55E23"/>
    <w:rsid w:val="00F55E27"/>
    <w:rsid w:val="00F55EA5"/>
    <w:rsid w:val="00F55ECA"/>
    <w:rsid w:val="00F55F29"/>
    <w:rsid w:val="00F55F35"/>
    <w:rsid w:val="00F55F4A"/>
    <w:rsid w:val="00F55F6A"/>
    <w:rsid w:val="00F55F85"/>
    <w:rsid w:val="00F55F86"/>
    <w:rsid w:val="00F55FDB"/>
    <w:rsid w:val="00F56000"/>
    <w:rsid w:val="00F5616B"/>
    <w:rsid w:val="00F5616E"/>
    <w:rsid w:val="00F561A6"/>
    <w:rsid w:val="00F561AD"/>
    <w:rsid w:val="00F561F3"/>
    <w:rsid w:val="00F5625C"/>
    <w:rsid w:val="00F5626A"/>
    <w:rsid w:val="00F562A7"/>
    <w:rsid w:val="00F5638D"/>
    <w:rsid w:val="00F5639D"/>
    <w:rsid w:val="00F563D3"/>
    <w:rsid w:val="00F56419"/>
    <w:rsid w:val="00F56426"/>
    <w:rsid w:val="00F56495"/>
    <w:rsid w:val="00F564C4"/>
    <w:rsid w:val="00F564FF"/>
    <w:rsid w:val="00F56531"/>
    <w:rsid w:val="00F5653B"/>
    <w:rsid w:val="00F5657B"/>
    <w:rsid w:val="00F565E0"/>
    <w:rsid w:val="00F5662B"/>
    <w:rsid w:val="00F5663A"/>
    <w:rsid w:val="00F56640"/>
    <w:rsid w:val="00F5667C"/>
    <w:rsid w:val="00F56776"/>
    <w:rsid w:val="00F5677E"/>
    <w:rsid w:val="00F56794"/>
    <w:rsid w:val="00F56797"/>
    <w:rsid w:val="00F567BF"/>
    <w:rsid w:val="00F568CA"/>
    <w:rsid w:val="00F5696D"/>
    <w:rsid w:val="00F56ADE"/>
    <w:rsid w:val="00F56AF6"/>
    <w:rsid w:val="00F56B2E"/>
    <w:rsid w:val="00F56B78"/>
    <w:rsid w:val="00F56B92"/>
    <w:rsid w:val="00F56B95"/>
    <w:rsid w:val="00F56BA0"/>
    <w:rsid w:val="00F56BAC"/>
    <w:rsid w:val="00F56BC5"/>
    <w:rsid w:val="00F56C31"/>
    <w:rsid w:val="00F56C40"/>
    <w:rsid w:val="00F56C6A"/>
    <w:rsid w:val="00F56C94"/>
    <w:rsid w:val="00F56D1F"/>
    <w:rsid w:val="00F56D27"/>
    <w:rsid w:val="00F56D29"/>
    <w:rsid w:val="00F56D4E"/>
    <w:rsid w:val="00F56D78"/>
    <w:rsid w:val="00F56D9E"/>
    <w:rsid w:val="00F56DCC"/>
    <w:rsid w:val="00F56DEA"/>
    <w:rsid w:val="00F56E04"/>
    <w:rsid w:val="00F56E29"/>
    <w:rsid w:val="00F56E41"/>
    <w:rsid w:val="00F56E64"/>
    <w:rsid w:val="00F56EB9"/>
    <w:rsid w:val="00F56ECA"/>
    <w:rsid w:val="00F56ED4"/>
    <w:rsid w:val="00F56EE4"/>
    <w:rsid w:val="00F56F17"/>
    <w:rsid w:val="00F56F77"/>
    <w:rsid w:val="00F56F7E"/>
    <w:rsid w:val="00F56F93"/>
    <w:rsid w:val="00F56FED"/>
    <w:rsid w:val="00F5700B"/>
    <w:rsid w:val="00F57036"/>
    <w:rsid w:val="00F570EE"/>
    <w:rsid w:val="00F57163"/>
    <w:rsid w:val="00F571A9"/>
    <w:rsid w:val="00F571B5"/>
    <w:rsid w:val="00F571D7"/>
    <w:rsid w:val="00F571D8"/>
    <w:rsid w:val="00F571EC"/>
    <w:rsid w:val="00F57298"/>
    <w:rsid w:val="00F572D3"/>
    <w:rsid w:val="00F5730B"/>
    <w:rsid w:val="00F5730E"/>
    <w:rsid w:val="00F57313"/>
    <w:rsid w:val="00F5734F"/>
    <w:rsid w:val="00F57352"/>
    <w:rsid w:val="00F5736D"/>
    <w:rsid w:val="00F573C7"/>
    <w:rsid w:val="00F573CE"/>
    <w:rsid w:val="00F573DA"/>
    <w:rsid w:val="00F573EA"/>
    <w:rsid w:val="00F57404"/>
    <w:rsid w:val="00F57454"/>
    <w:rsid w:val="00F57498"/>
    <w:rsid w:val="00F574B7"/>
    <w:rsid w:val="00F574BD"/>
    <w:rsid w:val="00F574E2"/>
    <w:rsid w:val="00F57576"/>
    <w:rsid w:val="00F575A0"/>
    <w:rsid w:val="00F575C1"/>
    <w:rsid w:val="00F57610"/>
    <w:rsid w:val="00F5765C"/>
    <w:rsid w:val="00F57683"/>
    <w:rsid w:val="00F576EB"/>
    <w:rsid w:val="00F57732"/>
    <w:rsid w:val="00F5774C"/>
    <w:rsid w:val="00F5777C"/>
    <w:rsid w:val="00F577A2"/>
    <w:rsid w:val="00F577A5"/>
    <w:rsid w:val="00F577AE"/>
    <w:rsid w:val="00F577F6"/>
    <w:rsid w:val="00F577FD"/>
    <w:rsid w:val="00F57805"/>
    <w:rsid w:val="00F57885"/>
    <w:rsid w:val="00F57886"/>
    <w:rsid w:val="00F57A04"/>
    <w:rsid w:val="00F57A05"/>
    <w:rsid w:val="00F57A4D"/>
    <w:rsid w:val="00F57A6A"/>
    <w:rsid w:val="00F57B25"/>
    <w:rsid w:val="00F57B71"/>
    <w:rsid w:val="00F57B83"/>
    <w:rsid w:val="00F57B97"/>
    <w:rsid w:val="00F57BD8"/>
    <w:rsid w:val="00F57BE7"/>
    <w:rsid w:val="00F57C1A"/>
    <w:rsid w:val="00F57C2C"/>
    <w:rsid w:val="00F57C80"/>
    <w:rsid w:val="00F57C97"/>
    <w:rsid w:val="00F57CE3"/>
    <w:rsid w:val="00F57D48"/>
    <w:rsid w:val="00F57D9D"/>
    <w:rsid w:val="00F57E0B"/>
    <w:rsid w:val="00F57E18"/>
    <w:rsid w:val="00F57E23"/>
    <w:rsid w:val="00F57E3C"/>
    <w:rsid w:val="00F57E59"/>
    <w:rsid w:val="00F57E84"/>
    <w:rsid w:val="00F57E9D"/>
    <w:rsid w:val="00F57F77"/>
    <w:rsid w:val="00F57F84"/>
    <w:rsid w:val="00F57F85"/>
    <w:rsid w:val="00F57FC5"/>
    <w:rsid w:val="00F60006"/>
    <w:rsid w:val="00F60037"/>
    <w:rsid w:val="00F60052"/>
    <w:rsid w:val="00F60070"/>
    <w:rsid w:val="00F600B2"/>
    <w:rsid w:val="00F60100"/>
    <w:rsid w:val="00F60120"/>
    <w:rsid w:val="00F6014C"/>
    <w:rsid w:val="00F601A4"/>
    <w:rsid w:val="00F601F9"/>
    <w:rsid w:val="00F60223"/>
    <w:rsid w:val="00F6024C"/>
    <w:rsid w:val="00F60274"/>
    <w:rsid w:val="00F602CB"/>
    <w:rsid w:val="00F60349"/>
    <w:rsid w:val="00F6036A"/>
    <w:rsid w:val="00F60393"/>
    <w:rsid w:val="00F60410"/>
    <w:rsid w:val="00F6045E"/>
    <w:rsid w:val="00F60460"/>
    <w:rsid w:val="00F604AA"/>
    <w:rsid w:val="00F604CC"/>
    <w:rsid w:val="00F604E0"/>
    <w:rsid w:val="00F6055D"/>
    <w:rsid w:val="00F60623"/>
    <w:rsid w:val="00F60624"/>
    <w:rsid w:val="00F606E9"/>
    <w:rsid w:val="00F60747"/>
    <w:rsid w:val="00F6076E"/>
    <w:rsid w:val="00F6084C"/>
    <w:rsid w:val="00F6084E"/>
    <w:rsid w:val="00F60864"/>
    <w:rsid w:val="00F60878"/>
    <w:rsid w:val="00F60889"/>
    <w:rsid w:val="00F60896"/>
    <w:rsid w:val="00F608AC"/>
    <w:rsid w:val="00F608FB"/>
    <w:rsid w:val="00F60958"/>
    <w:rsid w:val="00F609D3"/>
    <w:rsid w:val="00F60A34"/>
    <w:rsid w:val="00F60A7E"/>
    <w:rsid w:val="00F60AA4"/>
    <w:rsid w:val="00F60AD7"/>
    <w:rsid w:val="00F60ADA"/>
    <w:rsid w:val="00F60AF2"/>
    <w:rsid w:val="00F60AFF"/>
    <w:rsid w:val="00F60BCA"/>
    <w:rsid w:val="00F60BDC"/>
    <w:rsid w:val="00F60BE0"/>
    <w:rsid w:val="00F60C58"/>
    <w:rsid w:val="00F60CC7"/>
    <w:rsid w:val="00F60CF3"/>
    <w:rsid w:val="00F60D04"/>
    <w:rsid w:val="00F60D1F"/>
    <w:rsid w:val="00F60D5E"/>
    <w:rsid w:val="00F60D89"/>
    <w:rsid w:val="00F60DB0"/>
    <w:rsid w:val="00F60DC0"/>
    <w:rsid w:val="00F60DCF"/>
    <w:rsid w:val="00F60E02"/>
    <w:rsid w:val="00F60E08"/>
    <w:rsid w:val="00F60E5E"/>
    <w:rsid w:val="00F60E8F"/>
    <w:rsid w:val="00F60E9C"/>
    <w:rsid w:val="00F60EEF"/>
    <w:rsid w:val="00F60F61"/>
    <w:rsid w:val="00F60F7E"/>
    <w:rsid w:val="00F60F7F"/>
    <w:rsid w:val="00F60FA5"/>
    <w:rsid w:val="00F60FF3"/>
    <w:rsid w:val="00F6101B"/>
    <w:rsid w:val="00F6104D"/>
    <w:rsid w:val="00F610CB"/>
    <w:rsid w:val="00F61134"/>
    <w:rsid w:val="00F61138"/>
    <w:rsid w:val="00F6114F"/>
    <w:rsid w:val="00F61168"/>
    <w:rsid w:val="00F61190"/>
    <w:rsid w:val="00F611C1"/>
    <w:rsid w:val="00F611DC"/>
    <w:rsid w:val="00F6125C"/>
    <w:rsid w:val="00F612AC"/>
    <w:rsid w:val="00F612BE"/>
    <w:rsid w:val="00F612C7"/>
    <w:rsid w:val="00F612F0"/>
    <w:rsid w:val="00F61332"/>
    <w:rsid w:val="00F61344"/>
    <w:rsid w:val="00F6135D"/>
    <w:rsid w:val="00F613A6"/>
    <w:rsid w:val="00F613BC"/>
    <w:rsid w:val="00F61465"/>
    <w:rsid w:val="00F61488"/>
    <w:rsid w:val="00F614B2"/>
    <w:rsid w:val="00F61533"/>
    <w:rsid w:val="00F61584"/>
    <w:rsid w:val="00F615E3"/>
    <w:rsid w:val="00F6168E"/>
    <w:rsid w:val="00F616B4"/>
    <w:rsid w:val="00F616CF"/>
    <w:rsid w:val="00F61759"/>
    <w:rsid w:val="00F6175B"/>
    <w:rsid w:val="00F61773"/>
    <w:rsid w:val="00F617CC"/>
    <w:rsid w:val="00F617D7"/>
    <w:rsid w:val="00F617DE"/>
    <w:rsid w:val="00F61849"/>
    <w:rsid w:val="00F6186C"/>
    <w:rsid w:val="00F61887"/>
    <w:rsid w:val="00F61893"/>
    <w:rsid w:val="00F618CB"/>
    <w:rsid w:val="00F6190F"/>
    <w:rsid w:val="00F61977"/>
    <w:rsid w:val="00F619F1"/>
    <w:rsid w:val="00F61AE3"/>
    <w:rsid w:val="00F61B71"/>
    <w:rsid w:val="00F61BA0"/>
    <w:rsid w:val="00F61C03"/>
    <w:rsid w:val="00F61C21"/>
    <w:rsid w:val="00F61C22"/>
    <w:rsid w:val="00F61C52"/>
    <w:rsid w:val="00F61C81"/>
    <w:rsid w:val="00F61CEF"/>
    <w:rsid w:val="00F61D76"/>
    <w:rsid w:val="00F61DCA"/>
    <w:rsid w:val="00F61DFA"/>
    <w:rsid w:val="00F61DFF"/>
    <w:rsid w:val="00F61E33"/>
    <w:rsid w:val="00F61E84"/>
    <w:rsid w:val="00F61EAA"/>
    <w:rsid w:val="00F61F38"/>
    <w:rsid w:val="00F61F57"/>
    <w:rsid w:val="00F61F9D"/>
    <w:rsid w:val="00F61FBA"/>
    <w:rsid w:val="00F61FC2"/>
    <w:rsid w:val="00F61FC9"/>
    <w:rsid w:val="00F61FF2"/>
    <w:rsid w:val="00F62062"/>
    <w:rsid w:val="00F62065"/>
    <w:rsid w:val="00F62070"/>
    <w:rsid w:val="00F62075"/>
    <w:rsid w:val="00F620AF"/>
    <w:rsid w:val="00F620DF"/>
    <w:rsid w:val="00F620E6"/>
    <w:rsid w:val="00F62128"/>
    <w:rsid w:val="00F62154"/>
    <w:rsid w:val="00F6216B"/>
    <w:rsid w:val="00F6217D"/>
    <w:rsid w:val="00F62246"/>
    <w:rsid w:val="00F62287"/>
    <w:rsid w:val="00F622BF"/>
    <w:rsid w:val="00F622E6"/>
    <w:rsid w:val="00F62338"/>
    <w:rsid w:val="00F62361"/>
    <w:rsid w:val="00F62377"/>
    <w:rsid w:val="00F623B1"/>
    <w:rsid w:val="00F623B6"/>
    <w:rsid w:val="00F623B8"/>
    <w:rsid w:val="00F62420"/>
    <w:rsid w:val="00F624A8"/>
    <w:rsid w:val="00F624AD"/>
    <w:rsid w:val="00F624C4"/>
    <w:rsid w:val="00F624EC"/>
    <w:rsid w:val="00F624F5"/>
    <w:rsid w:val="00F62515"/>
    <w:rsid w:val="00F62527"/>
    <w:rsid w:val="00F62586"/>
    <w:rsid w:val="00F625A6"/>
    <w:rsid w:val="00F625AB"/>
    <w:rsid w:val="00F625CA"/>
    <w:rsid w:val="00F625ED"/>
    <w:rsid w:val="00F6260F"/>
    <w:rsid w:val="00F6266D"/>
    <w:rsid w:val="00F6268A"/>
    <w:rsid w:val="00F626A8"/>
    <w:rsid w:val="00F627F9"/>
    <w:rsid w:val="00F62817"/>
    <w:rsid w:val="00F6282F"/>
    <w:rsid w:val="00F62830"/>
    <w:rsid w:val="00F6287A"/>
    <w:rsid w:val="00F6288F"/>
    <w:rsid w:val="00F62946"/>
    <w:rsid w:val="00F6297B"/>
    <w:rsid w:val="00F6298D"/>
    <w:rsid w:val="00F6298E"/>
    <w:rsid w:val="00F629D2"/>
    <w:rsid w:val="00F62A06"/>
    <w:rsid w:val="00F62A0E"/>
    <w:rsid w:val="00F62A50"/>
    <w:rsid w:val="00F62A53"/>
    <w:rsid w:val="00F62A5B"/>
    <w:rsid w:val="00F62AA0"/>
    <w:rsid w:val="00F62AAC"/>
    <w:rsid w:val="00F62B08"/>
    <w:rsid w:val="00F62B10"/>
    <w:rsid w:val="00F62B82"/>
    <w:rsid w:val="00F62BA8"/>
    <w:rsid w:val="00F62BF9"/>
    <w:rsid w:val="00F62CDD"/>
    <w:rsid w:val="00F62D19"/>
    <w:rsid w:val="00F62D35"/>
    <w:rsid w:val="00F62D89"/>
    <w:rsid w:val="00F62D8E"/>
    <w:rsid w:val="00F62DFA"/>
    <w:rsid w:val="00F62E21"/>
    <w:rsid w:val="00F62E6C"/>
    <w:rsid w:val="00F62EE2"/>
    <w:rsid w:val="00F62F3B"/>
    <w:rsid w:val="00F62F4C"/>
    <w:rsid w:val="00F62F5D"/>
    <w:rsid w:val="00F62FA5"/>
    <w:rsid w:val="00F6307A"/>
    <w:rsid w:val="00F63138"/>
    <w:rsid w:val="00F6313F"/>
    <w:rsid w:val="00F63157"/>
    <w:rsid w:val="00F6317C"/>
    <w:rsid w:val="00F6318C"/>
    <w:rsid w:val="00F631A1"/>
    <w:rsid w:val="00F631A4"/>
    <w:rsid w:val="00F631F2"/>
    <w:rsid w:val="00F63224"/>
    <w:rsid w:val="00F6325C"/>
    <w:rsid w:val="00F6329A"/>
    <w:rsid w:val="00F632AA"/>
    <w:rsid w:val="00F632D7"/>
    <w:rsid w:val="00F63316"/>
    <w:rsid w:val="00F6335F"/>
    <w:rsid w:val="00F63458"/>
    <w:rsid w:val="00F63474"/>
    <w:rsid w:val="00F634E7"/>
    <w:rsid w:val="00F634F2"/>
    <w:rsid w:val="00F63507"/>
    <w:rsid w:val="00F63565"/>
    <w:rsid w:val="00F6358C"/>
    <w:rsid w:val="00F635D5"/>
    <w:rsid w:val="00F635F9"/>
    <w:rsid w:val="00F63617"/>
    <w:rsid w:val="00F63638"/>
    <w:rsid w:val="00F636A8"/>
    <w:rsid w:val="00F636BB"/>
    <w:rsid w:val="00F636C8"/>
    <w:rsid w:val="00F636D5"/>
    <w:rsid w:val="00F636DB"/>
    <w:rsid w:val="00F63709"/>
    <w:rsid w:val="00F63716"/>
    <w:rsid w:val="00F63739"/>
    <w:rsid w:val="00F6378B"/>
    <w:rsid w:val="00F637A2"/>
    <w:rsid w:val="00F637ED"/>
    <w:rsid w:val="00F637F9"/>
    <w:rsid w:val="00F6383C"/>
    <w:rsid w:val="00F63869"/>
    <w:rsid w:val="00F638B6"/>
    <w:rsid w:val="00F638C1"/>
    <w:rsid w:val="00F63934"/>
    <w:rsid w:val="00F639BD"/>
    <w:rsid w:val="00F63A2C"/>
    <w:rsid w:val="00F63ACE"/>
    <w:rsid w:val="00F63AFC"/>
    <w:rsid w:val="00F63B18"/>
    <w:rsid w:val="00F63B22"/>
    <w:rsid w:val="00F63B37"/>
    <w:rsid w:val="00F63B47"/>
    <w:rsid w:val="00F63B63"/>
    <w:rsid w:val="00F63B6B"/>
    <w:rsid w:val="00F63BDA"/>
    <w:rsid w:val="00F63BDD"/>
    <w:rsid w:val="00F63BF9"/>
    <w:rsid w:val="00F63C06"/>
    <w:rsid w:val="00F63C43"/>
    <w:rsid w:val="00F63C63"/>
    <w:rsid w:val="00F63C95"/>
    <w:rsid w:val="00F63CA0"/>
    <w:rsid w:val="00F63CA5"/>
    <w:rsid w:val="00F63CC3"/>
    <w:rsid w:val="00F63D2E"/>
    <w:rsid w:val="00F63D62"/>
    <w:rsid w:val="00F63DB1"/>
    <w:rsid w:val="00F63DF7"/>
    <w:rsid w:val="00F63E11"/>
    <w:rsid w:val="00F63E72"/>
    <w:rsid w:val="00F63EA7"/>
    <w:rsid w:val="00F63EB3"/>
    <w:rsid w:val="00F63F8C"/>
    <w:rsid w:val="00F63F8E"/>
    <w:rsid w:val="00F63FF4"/>
    <w:rsid w:val="00F63FFA"/>
    <w:rsid w:val="00F6400F"/>
    <w:rsid w:val="00F6401E"/>
    <w:rsid w:val="00F64027"/>
    <w:rsid w:val="00F640A1"/>
    <w:rsid w:val="00F640EC"/>
    <w:rsid w:val="00F640ED"/>
    <w:rsid w:val="00F64120"/>
    <w:rsid w:val="00F64134"/>
    <w:rsid w:val="00F64183"/>
    <w:rsid w:val="00F64205"/>
    <w:rsid w:val="00F64225"/>
    <w:rsid w:val="00F64241"/>
    <w:rsid w:val="00F6424D"/>
    <w:rsid w:val="00F64253"/>
    <w:rsid w:val="00F64263"/>
    <w:rsid w:val="00F64282"/>
    <w:rsid w:val="00F6428D"/>
    <w:rsid w:val="00F6429F"/>
    <w:rsid w:val="00F642EA"/>
    <w:rsid w:val="00F64321"/>
    <w:rsid w:val="00F6433E"/>
    <w:rsid w:val="00F64359"/>
    <w:rsid w:val="00F6436A"/>
    <w:rsid w:val="00F6436E"/>
    <w:rsid w:val="00F64378"/>
    <w:rsid w:val="00F643AF"/>
    <w:rsid w:val="00F643C4"/>
    <w:rsid w:val="00F644C9"/>
    <w:rsid w:val="00F6454A"/>
    <w:rsid w:val="00F645AE"/>
    <w:rsid w:val="00F645E6"/>
    <w:rsid w:val="00F64629"/>
    <w:rsid w:val="00F6464E"/>
    <w:rsid w:val="00F64668"/>
    <w:rsid w:val="00F64679"/>
    <w:rsid w:val="00F6471A"/>
    <w:rsid w:val="00F64729"/>
    <w:rsid w:val="00F6476F"/>
    <w:rsid w:val="00F647C2"/>
    <w:rsid w:val="00F64846"/>
    <w:rsid w:val="00F64864"/>
    <w:rsid w:val="00F649D6"/>
    <w:rsid w:val="00F64A1F"/>
    <w:rsid w:val="00F64AE8"/>
    <w:rsid w:val="00F64AEF"/>
    <w:rsid w:val="00F64BDE"/>
    <w:rsid w:val="00F64CA3"/>
    <w:rsid w:val="00F64CDC"/>
    <w:rsid w:val="00F64D15"/>
    <w:rsid w:val="00F64D8A"/>
    <w:rsid w:val="00F64E14"/>
    <w:rsid w:val="00F64E52"/>
    <w:rsid w:val="00F64E88"/>
    <w:rsid w:val="00F64EDC"/>
    <w:rsid w:val="00F64EF7"/>
    <w:rsid w:val="00F64F0E"/>
    <w:rsid w:val="00F64F4A"/>
    <w:rsid w:val="00F64F6E"/>
    <w:rsid w:val="00F64FCB"/>
    <w:rsid w:val="00F65001"/>
    <w:rsid w:val="00F6502F"/>
    <w:rsid w:val="00F65052"/>
    <w:rsid w:val="00F65054"/>
    <w:rsid w:val="00F6507F"/>
    <w:rsid w:val="00F65117"/>
    <w:rsid w:val="00F65170"/>
    <w:rsid w:val="00F651B8"/>
    <w:rsid w:val="00F65225"/>
    <w:rsid w:val="00F652C7"/>
    <w:rsid w:val="00F652E2"/>
    <w:rsid w:val="00F652EA"/>
    <w:rsid w:val="00F65317"/>
    <w:rsid w:val="00F65358"/>
    <w:rsid w:val="00F65393"/>
    <w:rsid w:val="00F653A1"/>
    <w:rsid w:val="00F65419"/>
    <w:rsid w:val="00F65510"/>
    <w:rsid w:val="00F65527"/>
    <w:rsid w:val="00F65680"/>
    <w:rsid w:val="00F656A1"/>
    <w:rsid w:val="00F656BD"/>
    <w:rsid w:val="00F656C8"/>
    <w:rsid w:val="00F656D3"/>
    <w:rsid w:val="00F6570B"/>
    <w:rsid w:val="00F65723"/>
    <w:rsid w:val="00F657C8"/>
    <w:rsid w:val="00F657E3"/>
    <w:rsid w:val="00F65805"/>
    <w:rsid w:val="00F65863"/>
    <w:rsid w:val="00F65886"/>
    <w:rsid w:val="00F65896"/>
    <w:rsid w:val="00F6597A"/>
    <w:rsid w:val="00F6597D"/>
    <w:rsid w:val="00F6598B"/>
    <w:rsid w:val="00F659A7"/>
    <w:rsid w:val="00F659D4"/>
    <w:rsid w:val="00F659E0"/>
    <w:rsid w:val="00F659E9"/>
    <w:rsid w:val="00F65A43"/>
    <w:rsid w:val="00F65A73"/>
    <w:rsid w:val="00F65A9A"/>
    <w:rsid w:val="00F65B85"/>
    <w:rsid w:val="00F65BD6"/>
    <w:rsid w:val="00F65C0D"/>
    <w:rsid w:val="00F65C13"/>
    <w:rsid w:val="00F65C2C"/>
    <w:rsid w:val="00F65C42"/>
    <w:rsid w:val="00F65D35"/>
    <w:rsid w:val="00F65D71"/>
    <w:rsid w:val="00F65D82"/>
    <w:rsid w:val="00F65DE5"/>
    <w:rsid w:val="00F65E1A"/>
    <w:rsid w:val="00F65E47"/>
    <w:rsid w:val="00F65E59"/>
    <w:rsid w:val="00F65E64"/>
    <w:rsid w:val="00F65E9D"/>
    <w:rsid w:val="00F65F1E"/>
    <w:rsid w:val="00F65F6C"/>
    <w:rsid w:val="00F65F70"/>
    <w:rsid w:val="00F65FEA"/>
    <w:rsid w:val="00F660C3"/>
    <w:rsid w:val="00F660D6"/>
    <w:rsid w:val="00F660F6"/>
    <w:rsid w:val="00F66142"/>
    <w:rsid w:val="00F66196"/>
    <w:rsid w:val="00F661C7"/>
    <w:rsid w:val="00F66201"/>
    <w:rsid w:val="00F6629B"/>
    <w:rsid w:val="00F662A3"/>
    <w:rsid w:val="00F662A8"/>
    <w:rsid w:val="00F662F2"/>
    <w:rsid w:val="00F66378"/>
    <w:rsid w:val="00F663DA"/>
    <w:rsid w:val="00F663E4"/>
    <w:rsid w:val="00F663E7"/>
    <w:rsid w:val="00F66458"/>
    <w:rsid w:val="00F6646A"/>
    <w:rsid w:val="00F664A0"/>
    <w:rsid w:val="00F664DE"/>
    <w:rsid w:val="00F664FD"/>
    <w:rsid w:val="00F66519"/>
    <w:rsid w:val="00F6651C"/>
    <w:rsid w:val="00F66574"/>
    <w:rsid w:val="00F66680"/>
    <w:rsid w:val="00F666A1"/>
    <w:rsid w:val="00F66739"/>
    <w:rsid w:val="00F6678C"/>
    <w:rsid w:val="00F667D3"/>
    <w:rsid w:val="00F6685F"/>
    <w:rsid w:val="00F66863"/>
    <w:rsid w:val="00F668A3"/>
    <w:rsid w:val="00F668B3"/>
    <w:rsid w:val="00F668C6"/>
    <w:rsid w:val="00F668E2"/>
    <w:rsid w:val="00F668F5"/>
    <w:rsid w:val="00F66949"/>
    <w:rsid w:val="00F66965"/>
    <w:rsid w:val="00F669DA"/>
    <w:rsid w:val="00F669E1"/>
    <w:rsid w:val="00F66A15"/>
    <w:rsid w:val="00F66A2A"/>
    <w:rsid w:val="00F66A43"/>
    <w:rsid w:val="00F66AA4"/>
    <w:rsid w:val="00F66ABE"/>
    <w:rsid w:val="00F66AE4"/>
    <w:rsid w:val="00F66AF1"/>
    <w:rsid w:val="00F66B43"/>
    <w:rsid w:val="00F66B77"/>
    <w:rsid w:val="00F66B90"/>
    <w:rsid w:val="00F66BC4"/>
    <w:rsid w:val="00F66BD5"/>
    <w:rsid w:val="00F66BDB"/>
    <w:rsid w:val="00F66C04"/>
    <w:rsid w:val="00F66C50"/>
    <w:rsid w:val="00F66C91"/>
    <w:rsid w:val="00F66CD7"/>
    <w:rsid w:val="00F66CE6"/>
    <w:rsid w:val="00F66CF7"/>
    <w:rsid w:val="00F66D15"/>
    <w:rsid w:val="00F66D8C"/>
    <w:rsid w:val="00F66DA2"/>
    <w:rsid w:val="00F66E4D"/>
    <w:rsid w:val="00F66E80"/>
    <w:rsid w:val="00F66EA7"/>
    <w:rsid w:val="00F66EB1"/>
    <w:rsid w:val="00F66EC6"/>
    <w:rsid w:val="00F66EFF"/>
    <w:rsid w:val="00F66F0B"/>
    <w:rsid w:val="00F66F22"/>
    <w:rsid w:val="00F66F51"/>
    <w:rsid w:val="00F66FB3"/>
    <w:rsid w:val="00F66FEC"/>
    <w:rsid w:val="00F66FF0"/>
    <w:rsid w:val="00F67002"/>
    <w:rsid w:val="00F67066"/>
    <w:rsid w:val="00F670A5"/>
    <w:rsid w:val="00F670F7"/>
    <w:rsid w:val="00F67121"/>
    <w:rsid w:val="00F6715D"/>
    <w:rsid w:val="00F67179"/>
    <w:rsid w:val="00F6718E"/>
    <w:rsid w:val="00F671C2"/>
    <w:rsid w:val="00F671D9"/>
    <w:rsid w:val="00F671E6"/>
    <w:rsid w:val="00F67210"/>
    <w:rsid w:val="00F67244"/>
    <w:rsid w:val="00F67272"/>
    <w:rsid w:val="00F672B3"/>
    <w:rsid w:val="00F672BB"/>
    <w:rsid w:val="00F672C5"/>
    <w:rsid w:val="00F67309"/>
    <w:rsid w:val="00F6731C"/>
    <w:rsid w:val="00F6733A"/>
    <w:rsid w:val="00F67350"/>
    <w:rsid w:val="00F67352"/>
    <w:rsid w:val="00F6737E"/>
    <w:rsid w:val="00F673A7"/>
    <w:rsid w:val="00F673D4"/>
    <w:rsid w:val="00F67414"/>
    <w:rsid w:val="00F6742D"/>
    <w:rsid w:val="00F6743D"/>
    <w:rsid w:val="00F67461"/>
    <w:rsid w:val="00F6746D"/>
    <w:rsid w:val="00F67489"/>
    <w:rsid w:val="00F674D1"/>
    <w:rsid w:val="00F67517"/>
    <w:rsid w:val="00F67532"/>
    <w:rsid w:val="00F67546"/>
    <w:rsid w:val="00F6755D"/>
    <w:rsid w:val="00F67591"/>
    <w:rsid w:val="00F675C3"/>
    <w:rsid w:val="00F675C6"/>
    <w:rsid w:val="00F675F4"/>
    <w:rsid w:val="00F67630"/>
    <w:rsid w:val="00F6765B"/>
    <w:rsid w:val="00F67721"/>
    <w:rsid w:val="00F67772"/>
    <w:rsid w:val="00F677A1"/>
    <w:rsid w:val="00F677CA"/>
    <w:rsid w:val="00F677DD"/>
    <w:rsid w:val="00F67804"/>
    <w:rsid w:val="00F67865"/>
    <w:rsid w:val="00F67866"/>
    <w:rsid w:val="00F678D4"/>
    <w:rsid w:val="00F678D9"/>
    <w:rsid w:val="00F67935"/>
    <w:rsid w:val="00F6793E"/>
    <w:rsid w:val="00F67999"/>
    <w:rsid w:val="00F67A02"/>
    <w:rsid w:val="00F67A33"/>
    <w:rsid w:val="00F67A3D"/>
    <w:rsid w:val="00F67A90"/>
    <w:rsid w:val="00F67AD7"/>
    <w:rsid w:val="00F67AFC"/>
    <w:rsid w:val="00F67B15"/>
    <w:rsid w:val="00F67B5F"/>
    <w:rsid w:val="00F67BA0"/>
    <w:rsid w:val="00F67BA6"/>
    <w:rsid w:val="00F67C04"/>
    <w:rsid w:val="00F67C21"/>
    <w:rsid w:val="00F67C2F"/>
    <w:rsid w:val="00F67C3B"/>
    <w:rsid w:val="00F67CBB"/>
    <w:rsid w:val="00F67D19"/>
    <w:rsid w:val="00F67D30"/>
    <w:rsid w:val="00F67D9D"/>
    <w:rsid w:val="00F67E01"/>
    <w:rsid w:val="00F67E55"/>
    <w:rsid w:val="00F67E66"/>
    <w:rsid w:val="00F67E90"/>
    <w:rsid w:val="00F67EFE"/>
    <w:rsid w:val="00F67F45"/>
    <w:rsid w:val="00F67F6C"/>
    <w:rsid w:val="00F67F7F"/>
    <w:rsid w:val="00F67FBE"/>
    <w:rsid w:val="00F67FD8"/>
    <w:rsid w:val="00F6E8F5"/>
    <w:rsid w:val="00F70013"/>
    <w:rsid w:val="00F7002F"/>
    <w:rsid w:val="00F70037"/>
    <w:rsid w:val="00F70041"/>
    <w:rsid w:val="00F7005E"/>
    <w:rsid w:val="00F7009D"/>
    <w:rsid w:val="00F700BC"/>
    <w:rsid w:val="00F700EF"/>
    <w:rsid w:val="00F7014B"/>
    <w:rsid w:val="00F70161"/>
    <w:rsid w:val="00F70179"/>
    <w:rsid w:val="00F7018B"/>
    <w:rsid w:val="00F7018C"/>
    <w:rsid w:val="00F701FF"/>
    <w:rsid w:val="00F70201"/>
    <w:rsid w:val="00F70285"/>
    <w:rsid w:val="00F7032B"/>
    <w:rsid w:val="00F7036D"/>
    <w:rsid w:val="00F703E5"/>
    <w:rsid w:val="00F703E6"/>
    <w:rsid w:val="00F703E9"/>
    <w:rsid w:val="00F7040A"/>
    <w:rsid w:val="00F70485"/>
    <w:rsid w:val="00F704A2"/>
    <w:rsid w:val="00F704BE"/>
    <w:rsid w:val="00F704EB"/>
    <w:rsid w:val="00F704F7"/>
    <w:rsid w:val="00F7060B"/>
    <w:rsid w:val="00F7068E"/>
    <w:rsid w:val="00F706BE"/>
    <w:rsid w:val="00F706D3"/>
    <w:rsid w:val="00F70708"/>
    <w:rsid w:val="00F70736"/>
    <w:rsid w:val="00F70770"/>
    <w:rsid w:val="00F707B5"/>
    <w:rsid w:val="00F707DA"/>
    <w:rsid w:val="00F70823"/>
    <w:rsid w:val="00F7083F"/>
    <w:rsid w:val="00F7089E"/>
    <w:rsid w:val="00F708B6"/>
    <w:rsid w:val="00F708B9"/>
    <w:rsid w:val="00F708C4"/>
    <w:rsid w:val="00F708C7"/>
    <w:rsid w:val="00F70924"/>
    <w:rsid w:val="00F70926"/>
    <w:rsid w:val="00F70938"/>
    <w:rsid w:val="00F70956"/>
    <w:rsid w:val="00F70980"/>
    <w:rsid w:val="00F709DA"/>
    <w:rsid w:val="00F709F2"/>
    <w:rsid w:val="00F70A53"/>
    <w:rsid w:val="00F70A7A"/>
    <w:rsid w:val="00F70B5D"/>
    <w:rsid w:val="00F70B75"/>
    <w:rsid w:val="00F70BB4"/>
    <w:rsid w:val="00F70BC8"/>
    <w:rsid w:val="00F70BCE"/>
    <w:rsid w:val="00F70BE0"/>
    <w:rsid w:val="00F70BE9"/>
    <w:rsid w:val="00F70C54"/>
    <w:rsid w:val="00F70C7C"/>
    <w:rsid w:val="00F70CC2"/>
    <w:rsid w:val="00F70CFD"/>
    <w:rsid w:val="00F70D1A"/>
    <w:rsid w:val="00F70D29"/>
    <w:rsid w:val="00F70D3B"/>
    <w:rsid w:val="00F70D7D"/>
    <w:rsid w:val="00F70D80"/>
    <w:rsid w:val="00F70D88"/>
    <w:rsid w:val="00F70DD9"/>
    <w:rsid w:val="00F70E57"/>
    <w:rsid w:val="00F70E5F"/>
    <w:rsid w:val="00F70E7A"/>
    <w:rsid w:val="00F70E8B"/>
    <w:rsid w:val="00F70EBD"/>
    <w:rsid w:val="00F70EE1"/>
    <w:rsid w:val="00F70EF6"/>
    <w:rsid w:val="00F70F1E"/>
    <w:rsid w:val="00F70F62"/>
    <w:rsid w:val="00F70FF3"/>
    <w:rsid w:val="00F70FFA"/>
    <w:rsid w:val="00F7102D"/>
    <w:rsid w:val="00F7103C"/>
    <w:rsid w:val="00F71073"/>
    <w:rsid w:val="00F71078"/>
    <w:rsid w:val="00F7108A"/>
    <w:rsid w:val="00F710E0"/>
    <w:rsid w:val="00F71135"/>
    <w:rsid w:val="00F71154"/>
    <w:rsid w:val="00F71155"/>
    <w:rsid w:val="00F71177"/>
    <w:rsid w:val="00F71182"/>
    <w:rsid w:val="00F711FD"/>
    <w:rsid w:val="00F7122F"/>
    <w:rsid w:val="00F71276"/>
    <w:rsid w:val="00F71292"/>
    <w:rsid w:val="00F71309"/>
    <w:rsid w:val="00F71319"/>
    <w:rsid w:val="00F7134E"/>
    <w:rsid w:val="00F7135E"/>
    <w:rsid w:val="00F71374"/>
    <w:rsid w:val="00F713C3"/>
    <w:rsid w:val="00F713ED"/>
    <w:rsid w:val="00F713F2"/>
    <w:rsid w:val="00F71405"/>
    <w:rsid w:val="00F7142B"/>
    <w:rsid w:val="00F71454"/>
    <w:rsid w:val="00F71482"/>
    <w:rsid w:val="00F71492"/>
    <w:rsid w:val="00F714FC"/>
    <w:rsid w:val="00F7159B"/>
    <w:rsid w:val="00F715DF"/>
    <w:rsid w:val="00F715E3"/>
    <w:rsid w:val="00F7166E"/>
    <w:rsid w:val="00F716BF"/>
    <w:rsid w:val="00F71704"/>
    <w:rsid w:val="00F7174F"/>
    <w:rsid w:val="00F71771"/>
    <w:rsid w:val="00F71792"/>
    <w:rsid w:val="00F71797"/>
    <w:rsid w:val="00F717B4"/>
    <w:rsid w:val="00F717C1"/>
    <w:rsid w:val="00F717D1"/>
    <w:rsid w:val="00F71812"/>
    <w:rsid w:val="00F7182D"/>
    <w:rsid w:val="00F7189D"/>
    <w:rsid w:val="00F718B0"/>
    <w:rsid w:val="00F718F6"/>
    <w:rsid w:val="00F718FC"/>
    <w:rsid w:val="00F71AA9"/>
    <w:rsid w:val="00F71AF6"/>
    <w:rsid w:val="00F71AFF"/>
    <w:rsid w:val="00F71C7E"/>
    <w:rsid w:val="00F71C89"/>
    <w:rsid w:val="00F71CE1"/>
    <w:rsid w:val="00F71CFC"/>
    <w:rsid w:val="00F71D5F"/>
    <w:rsid w:val="00F71D92"/>
    <w:rsid w:val="00F71DDD"/>
    <w:rsid w:val="00F71DF2"/>
    <w:rsid w:val="00F71DFC"/>
    <w:rsid w:val="00F71E91"/>
    <w:rsid w:val="00F71F4A"/>
    <w:rsid w:val="00F7200E"/>
    <w:rsid w:val="00F72021"/>
    <w:rsid w:val="00F72046"/>
    <w:rsid w:val="00F72085"/>
    <w:rsid w:val="00F720A4"/>
    <w:rsid w:val="00F720C4"/>
    <w:rsid w:val="00F7210E"/>
    <w:rsid w:val="00F72123"/>
    <w:rsid w:val="00F7212C"/>
    <w:rsid w:val="00F72130"/>
    <w:rsid w:val="00F72165"/>
    <w:rsid w:val="00F721E4"/>
    <w:rsid w:val="00F72217"/>
    <w:rsid w:val="00F72248"/>
    <w:rsid w:val="00F7225A"/>
    <w:rsid w:val="00F7226D"/>
    <w:rsid w:val="00F7227C"/>
    <w:rsid w:val="00F72286"/>
    <w:rsid w:val="00F7229D"/>
    <w:rsid w:val="00F722E2"/>
    <w:rsid w:val="00F722E3"/>
    <w:rsid w:val="00F7232A"/>
    <w:rsid w:val="00F72343"/>
    <w:rsid w:val="00F72349"/>
    <w:rsid w:val="00F72388"/>
    <w:rsid w:val="00F723AF"/>
    <w:rsid w:val="00F723C2"/>
    <w:rsid w:val="00F723C6"/>
    <w:rsid w:val="00F723D1"/>
    <w:rsid w:val="00F72402"/>
    <w:rsid w:val="00F72495"/>
    <w:rsid w:val="00F72505"/>
    <w:rsid w:val="00F72507"/>
    <w:rsid w:val="00F72523"/>
    <w:rsid w:val="00F7253D"/>
    <w:rsid w:val="00F72572"/>
    <w:rsid w:val="00F7257B"/>
    <w:rsid w:val="00F725F0"/>
    <w:rsid w:val="00F725F3"/>
    <w:rsid w:val="00F72764"/>
    <w:rsid w:val="00F727A5"/>
    <w:rsid w:val="00F727B9"/>
    <w:rsid w:val="00F727DA"/>
    <w:rsid w:val="00F7283D"/>
    <w:rsid w:val="00F72897"/>
    <w:rsid w:val="00F728A4"/>
    <w:rsid w:val="00F728CC"/>
    <w:rsid w:val="00F728D7"/>
    <w:rsid w:val="00F7292B"/>
    <w:rsid w:val="00F7294D"/>
    <w:rsid w:val="00F729B0"/>
    <w:rsid w:val="00F729DD"/>
    <w:rsid w:val="00F729E5"/>
    <w:rsid w:val="00F72A2A"/>
    <w:rsid w:val="00F72A2E"/>
    <w:rsid w:val="00F72A3D"/>
    <w:rsid w:val="00F72A48"/>
    <w:rsid w:val="00F72ACE"/>
    <w:rsid w:val="00F72ADD"/>
    <w:rsid w:val="00F72B49"/>
    <w:rsid w:val="00F72B62"/>
    <w:rsid w:val="00F72BAA"/>
    <w:rsid w:val="00F72BE8"/>
    <w:rsid w:val="00F72BF6"/>
    <w:rsid w:val="00F72C71"/>
    <w:rsid w:val="00F72C79"/>
    <w:rsid w:val="00F72CD7"/>
    <w:rsid w:val="00F72CE6"/>
    <w:rsid w:val="00F72D83"/>
    <w:rsid w:val="00F72DCE"/>
    <w:rsid w:val="00F72DE5"/>
    <w:rsid w:val="00F72E04"/>
    <w:rsid w:val="00F72E97"/>
    <w:rsid w:val="00F72E9F"/>
    <w:rsid w:val="00F72EA3"/>
    <w:rsid w:val="00F72EFB"/>
    <w:rsid w:val="00F72F68"/>
    <w:rsid w:val="00F72FF8"/>
    <w:rsid w:val="00F73014"/>
    <w:rsid w:val="00F73057"/>
    <w:rsid w:val="00F73062"/>
    <w:rsid w:val="00F73078"/>
    <w:rsid w:val="00F730BA"/>
    <w:rsid w:val="00F730DC"/>
    <w:rsid w:val="00F730F7"/>
    <w:rsid w:val="00F73131"/>
    <w:rsid w:val="00F73151"/>
    <w:rsid w:val="00F73271"/>
    <w:rsid w:val="00F732B6"/>
    <w:rsid w:val="00F73337"/>
    <w:rsid w:val="00F73397"/>
    <w:rsid w:val="00F733D4"/>
    <w:rsid w:val="00F733FF"/>
    <w:rsid w:val="00F73427"/>
    <w:rsid w:val="00F73448"/>
    <w:rsid w:val="00F73453"/>
    <w:rsid w:val="00F7348C"/>
    <w:rsid w:val="00F734B6"/>
    <w:rsid w:val="00F73576"/>
    <w:rsid w:val="00F735B9"/>
    <w:rsid w:val="00F7362E"/>
    <w:rsid w:val="00F7364E"/>
    <w:rsid w:val="00F73667"/>
    <w:rsid w:val="00F73687"/>
    <w:rsid w:val="00F736B3"/>
    <w:rsid w:val="00F736F2"/>
    <w:rsid w:val="00F736FF"/>
    <w:rsid w:val="00F73721"/>
    <w:rsid w:val="00F73766"/>
    <w:rsid w:val="00F737D7"/>
    <w:rsid w:val="00F73808"/>
    <w:rsid w:val="00F73858"/>
    <w:rsid w:val="00F738F1"/>
    <w:rsid w:val="00F73911"/>
    <w:rsid w:val="00F73960"/>
    <w:rsid w:val="00F7396B"/>
    <w:rsid w:val="00F73986"/>
    <w:rsid w:val="00F7398A"/>
    <w:rsid w:val="00F73995"/>
    <w:rsid w:val="00F739A9"/>
    <w:rsid w:val="00F739AB"/>
    <w:rsid w:val="00F739F1"/>
    <w:rsid w:val="00F73A65"/>
    <w:rsid w:val="00F73A92"/>
    <w:rsid w:val="00F73AF1"/>
    <w:rsid w:val="00F73B28"/>
    <w:rsid w:val="00F73B5E"/>
    <w:rsid w:val="00F73B6C"/>
    <w:rsid w:val="00F73BD9"/>
    <w:rsid w:val="00F73BE1"/>
    <w:rsid w:val="00F73C09"/>
    <w:rsid w:val="00F73C1F"/>
    <w:rsid w:val="00F73C7A"/>
    <w:rsid w:val="00F73CA2"/>
    <w:rsid w:val="00F73CD0"/>
    <w:rsid w:val="00F73CE4"/>
    <w:rsid w:val="00F73CE6"/>
    <w:rsid w:val="00F73D00"/>
    <w:rsid w:val="00F73D02"/>
    <w:rsid w:val="00F73D0E"/>
    <w:rsid w:val="00F73D4B"/>
    <w:rsid w:val="00F73D5D"/>
    <w:rsid w:val="00F73D6D"/>
    <w:rsid w:val="00F73D80"/>
    <w:rsid w:val="00F73DD2"/>
    <w:rsid w:val="00F73DF4"/>
    <w:rsid w:val="00F73E50"/>
    <w:rsid w:val="00F73E54"/>
    <w:rsid w:val="00F73E71"/>
    <w:rsid w:val="00F73EBD"/>
    <w:rsid w:val="00F73EC6"/>
    <w:rsid w:val="00F73FB7"/>
    <w:rsid w:val="00F73FCB"/>
    <w:rsid w:val="00F74013"/>
    <w:rsid w:val="00F74055"/>
    <w:rsid w:val="00F74078"/>
    <w:rsid w:val="00F740B9"/>
    <w:rsid w:val="00F74124"/>
    <w:rsid w:val="00F74186"/>
    <w:rsid w:val="00F741A9"/>
    <w:rsid w:val="00F741CA"/>
    <w:rsid w:val="00F74202"/>
    <w:rsid w:val="00F74267"/>
    <w:rsid w:val="00F7427C"/>
    <w:rsid w:val="00F74294"/>
    <w:rsid w:val="00F742A1"/>
    <w:rsid w:val="00F742AC"/>
    <w:rsid w:val="00F742E0"/>
    <w:rsid w:val="00F74334"/>
    <w:rsid w:val="00F7433B"/>
    <w:rsid w:val="00F74351"/>
    <w:rsid w:val="00F74369"/>
    <w:rsid w:val="00F74394"/>
    <w:rsid w:val="00F7439A"/>
    <w:rsid w:val="00F743D5"/>
    <w:rsid w:val="00F74450"/>
    <w:rsid w:val="00F74495"/>
    <w:rsid w:val="00F7450B"/>
    <w:rsid w:val="00F74527"/>
    <w:rsid w:val="00F74563"/>
    <w:rsid w:val="00F7459B"/>
    <w:rsid w:val="00F745B7"/>
    <w:rsid w:val="00F745B9"/>
    <w:rsid w:val="00F745F3"/>
    <w:rsid w:val="00F7461B"/>
    <w:rsid w:val="00F746A5"/>
    <w:rsid w:val="00F746AE"/>
    <w:rsid w:val="00F746D3"/>
    <w:rsid w:val="00F746F7"/>
    <w:rsid w:val="00F74721"/>
    <w:rsid w:val="00F74754"/>
    <w:rsid w:val="00F74773"/>
    <w:rsid w:val="00F747E7"/>
    <w:rsid w:val="00F74892"/>
    <w:rsid w:val="00F7490F"/>
    <w:rsid w:val="00F74967"/>
    <w:rsid w:val="00F749D1"/>
    <w:rsid w:val="00F749DA"/>
    <w:rsid w:val="00F74A04"/>
    <w:rsid w:val="00F74A28"/>
    <w:rsid w:val="00F74AB9"/>
    <w:rsid w:val="00F74AD3"/>
    <w:rsid w:val="00F74AE6"/>
    <w:rsid w:val="00F74B18"/>
    <w:rsid w:val="00F74B76"/>
    <w:rsid w:val="00F74B7E"/>
    <w:rsid w:val="00F74B88"/>
    <w:rsid w:val="00F74BAE"/>
    <w:rsid w:val="00F74BE8"/>
    <w:rsid w:val="00F74C1B"/>
    <w:rsid w:val="00F74CD4"/>
    <w:rsid w:val="00F74CED"/>
    <w:rsid w:val="00F74D86"/>
    <w:rsid w:val="00F74D8A"/>
    <w:rsid w:val="00F74D92"/>
    <w:rsid w:val="00F74DBF"/>
    <w:rsid w:val="00F74DD9"/>
    <w:rsid w:val="00F74E17"/>
    <w:rsid w:val="00F74E40"/>
    <w:rsid w:val="00F74E6B"/>
    <w:rsid w:val="00F74EBD"/>
    <w:rsid w:val="00F74ED3"/>
    <w:rsid w:val="00F74F1E"/>
    <w:rsid w:val="00F74F87"/>
    <w:rsid w:val="00F74FA2"/>
    <w:rsid w:val="00F74FCA"/>
    <w:rsid w:val="00F74FD2"/>
    <w:rsid w:val="00F7500D"/>
    <w:rsid w:val="00F7509F"/>
    <w:rsid w:val="00F75100"/>
    <w:rsid w:val="00F75128"/>
    <w:rsid w:val="00F75138"/>
    <w:rsid w:val="00F75163"/>
    <w:rsid w:val="00F75182"/>
    <w:rsid w:val="00F751B0"/>
    <w:rsid w:val="00F751B9"/>
    <w:rsid w:val="00F75214"/>
    <w:rsid w:val="00F75248"/>
    <w:rsid w:val="00F75262"/>
    <w:rsid w:val="00F75275"/>
    <w:rsid w:val="00F752AD"/>
    <w:rsid w:val="00F75382"/>
    <w:rsid w:val="00F753B6"/>
    <w:rsid w:val="00F753D8"/>
    <w:rsid w:val="00F7547E"/>
    <w:rsid w:val="00F754A7"/>
    <w:rsid w:val="00F75556"/>
    <w:rsid w:val="00F7562C"/>
    <w:rsid w:val="00F756C7"/>
    <w:rsid w:val="00F75714"/>
    <w:rsid w:val="00F75727"/>
    <w:rsid w:val="00F75746"/>
    <w:rsid w:val="00F7574E"/>
    <w:rsid w:val="00F75754"/>
    <w:rsid w:val="00F75760"/>
    <w:rsid w:val="00F7583F"/>
    <w:rsid w:val="00F75854"/>
    <w:rsid w:val="00F758D7"/>
    <w:rsid w:val="00F7592A"/>
    <w:rsid w:val="00F75A3C"/>
    <w:rsid w:val="00F75A63"/>
    <w:rsid w:val="00F75A6B"/>
    <w:rsid w:val="00F75B21"/>
    <w:rsid w:val="00F75B36"/>
    <w:rsid w:val="00F75B37"/>
    <w:rsid w:val="00F75B58"/>
    <w:rsid w:val="00F75B79"/>
    <w:rsid w:val="00F75B7D"/>
    <w:rsid w:val="00F75B9D"/>
    <w:rsid w:val="00F75BC7"/>
    <w:rsid w:val="00F75C13"/>
    <w:rsid w:val="00F75C4C"/>
    <w:rsid w:val="00F75CB0"/>
    <w:rsid w:val="00F75CC6"/>
    <w:rsid w:val="00F75CDE"/>
    <w:rsid w:val="00F75CE4"/>
    <w:rsid w:val="00F75CF8"/>
    <w:rsid w:val="00F75D95"/>
    <w:rsid w:val="00F75DD7"/>
    <w:rsid w:val="00F75DEA"/>
    <w:rsid w:val="00F75E00"/>
    <w:rsid w:val="00F75E1A"/>
    <w:rsid w:val="00F75E2F"/>
    <w:rsid w:val="00F75E69"/>
    <w:rsid w:val="00F75EC3"/>
    <w:rsid w:val="00F75EC6"/>
    <w:rsid w:val="00F75ECA"/>
    <w:rsid w:val="00F75ED3"/>
    <w:rsid w:val="00F75EF4"/>
    <w:rsid w:val="00F75F09"/>
    <w:rsid w:val="00F75F69"/>
    <w:rsid w:val="00F75F73"/>
    <w:rsid w:val="00F75FCB"/>
    <w:rsid w:val="00F75FCD"/>
    <w:rsid w:val="00F7607B"/>
    <w:rsid w:val="00F76085"/>
    <w:rsid w:val="00F760EF"/>
    <w:rsid w:val="00F760F6"/>
    <w:rsid w:val="00F7614D"/>
    <w:rsid w:val="00F76187"/>
    <w:rsid w:val="00F7619E"/>
    <w:rsid w:val="00F76201"/>
    <w:rsid w:val="00F76265"/>
    <w:rsid w:val="00F7627E"/>
    <w:rsid w:val="00F762CA"/>
    <w:rsid w:val="00F762E1"/>
    <w:rsid w:val="00F7630D"/>
    <w:rsid w:val="00F76314"/>
    <w:rsid w:val="00F7631E"/>
    <w:rsid w:val="00F76328"/>
    <w:rsid w:val="00F7632D"/>
    <w:rsid w:val="00F7633E"/>
    <w:rsid w:val="00F7637A"/>
    <w:rsid w:val="00F763A4"/>
    <w:rsid w:val="00F763DF"/>
    <w:rsid w:val="00F7645E"/>
    <w:rsid w:val="00F7646A"/>
    <w:rsid w:val="00F764C1"/>
    <w:rsid w:val="00F764E5"/>
    <w:rsid w:val="00F76561"/>
    <w:rsid w:val="00F76580"/>
    <w:rsid w:val="00F76597"/>
    <w:rsid w:val="00F765AD"/>
    <w:rsid w:val="00F765C1"/>
    <w:rsid w:val="00F765E6"/>
    <w:rsid w:val="00F7660F"/>
    <w:rsid w:val="00F7661B"/>
    <w:rsid w:val="00F7662A"/>
    <w:rsid w:val="00F76635"/>
    <w:rsid w:val="00F76653"/>
    <w:rsid w:val="00F76663"/>
    <w:rsid w:val="00F766AF"/>
    <w:rsid w:val="00F76716"/>
    <w:rsid w:val="00F7671D"/>
    <w:rsid w:val="00F76728"/>
    <w:rsid w:val="00F7676A"/>
    <w:rsid w:val="00F76774"/>
    <w:rsid w:val="00F76797"/>
    <w:rsid w:val="00F7679A"/>
    <w:rsid w:val="00F767AE"/>
    <w:rsid w:val="00F767BF"/>
    <w:rsid w:val="00F7680D"/>
    <w:rsid w:val="00F76814"/>
    <w:rsid w:val="00F76827"/>
    <w:rsid w:val="00F7688A"/>
    <w:rsid w:val="00F76890"/>
    <w:rsid w:val="00F7690E"/>
    <w:rsid w:val="00F76910"/>
    <w:rsid w:val="00F76926"/>
    <w:rsid w:val="00F76930"/>
    <w:rsid w:val="00F76941"/>
    <w:rsid w:val="00F76972"/>
    <w:rsid w:val="00F76A0A"/>
    <w:rsid w:val="00F76A39"/>
    <w:rsid w:val="00F76A73"/>
    <w:rsid w:val="00F76A75"/>
    <w:rsid w:val="00F76AA6"/>
    <w:rsid w:val="00F76AF0"/>
    <w:rsid w:val="00F76BA8"/>
    <w:rsid w:val="00F76BAA"/>
    <w:rsid w:val="00F76BD2"/>
    <w:rsid w:val="00F76C14"/>
    <w:rsid w:val="00F76C57"/>
    <w:rsid w:val="00F76C6E"/>
    <w:rsid w:val="00F76CA1"/>
    <w:rsid w:val="00F76CBE"/>
    <w:rsid w:val="00F76CC5"/>
    <w:rsid w:val="00F76D1B"/>
    <w:rsid w:val="00F76D34"/>
    <w:rsid w:val="00F76D79"/>
    <w:rsid w:val="00F76D82"/>
    <w:rsid w:val="00F76DDD"/>
    <w:rsid w:val="00F76DDE"/>
    <w:rsid w:val="00F76DF4"/>
    <w:rsid w:val="00F76E0B"/>
    <w:rsid w:val="00F76E2B"/>
    <w:rsid w:val="00F76EA2"/>
    <w:rsid w:val="00F76EAB"/>
    <w:rsid w:val="00F76ED1"/>
    <w:rsid w:val="00F76EE5"/>
    <w:rsid w:val="00F76F0E"/>
    <w:rsid w:val="00F76F37"/>
    <w:rsid w:val="00F76F3C"/>
    <w:rsid w:val="00F76F49"/>
    <w:rsid w:val="00F76F77"/>
    <w:rsid w:val="00F76FB7"/>
    <w:rsid w:val="00F76FBE"/>
    <w:rsid w:val="00F76FC9"/>
    <w:rsid w:val="00F76FDA"/>
    <w:rsid w:val="00F76FFF"/>
    <w:rsid w:val="00F7702C"/>
    <w:rsid w:val="00F77048"/>
    <w:rsid w:val="00F77051"/>
    <w:rsid w:val="00F77063"/>
    <w:rsid w:val="00F770B0"/>
    <w:rsid w:val="00F771D0"/>
    <w:rsid w:val="00F771FA"/>
    <w:rsid w:val="00F77284"/>
    <w:rsid w:val="00F7729D"/>
    <w:rsid w:val="00F772A9"/>
    <w:rsid w:val="00F7730F"/>
    <w:rsid w:val="00F77355"/>
    <w:rsid w:val="00F773E4"/>
    <w:rsid w:val="00F773ED"/>
    <w:rsid w:val="00F77440"/>
    <w:rsid w:val="00F77447"/>
    <w:rsid w:val="00F77477"/>
    <w:rsid w:val="00F774C5"/>
    <w:rsid w:val="00F7750B"/>
    <w:rsid w:val="00F77526"/>
    <w:rsid w:val="00F77553"/>
    <w:rsid w:val="00F77591"/>
    <w:rsid w:val="00F775B6"/>
    <w:rsid w:val="00F775BF"/>
    <w:rsid w:val="00F776A7"/>
    <w:rsid w:val="00F776AB"/>
    <w:rsid w:val="00F77771"/>
    <w:rsid w:val="00F77782"/>
    <w:rsid w:val="00F777EF"/>
    <w:rsid w:val="00F7783A"/>
    <w:rsid w:val="00F7784C"/>
    <w:rsid w:val="00F77862"/>
    <w:rsid w:val="00F778A0"/>
    <w:rsid w:val="00F778EB"/>
    <w:rsid w:val="00F77907"/>
    <w:rsid w:val="00F77933"/>
    <w:rsid w:val="00F7793C"/>
    <w:rsid w:val="00F7794A"/>
    <w:rsid w:val="00F779CF"/>
    <w:rsid w:val="00F779EB"/>
    <w:rsid w:val="00F77A06"/>
    <w:rsid w:val="00F77A6E"/>
    <w:rsid w:val="00F77A83"/>
    <w:rsid w:val="00F77AAC"/>
    <w:rsid w:val="00F77AF7"/>
    <w:rsid w:val="00F77B30"/>
    <w:rsid w:val="00F77B35"/>
    <w:rsid w:val="00F77B42"/>
    <w:rsid w:val="00F77B71"/>
    <w:rsid w:val="00F77B94"/>
    <w:rsid w:val="00F77BD8"/>
    <w:rsid w:val="00F77BDC"/>
    <w:rsid w:val="00F77D26"/>
    <w:rsid w:val="00F77D51"/>
    <w:rsid w:val="00F77D71"/>
    <w:rsid w:val="00F77D75"/>
    <w:rsid w:val="00F77DCA"/>
    <w:rsid w:val="00F77E45"/>
    <w:rsid w:val="00F77EA6"/>
    <w:rsid w:val="00F77ED2"/>
    <w:rsid w:val="00F77F77"/>
    <w:rsid w:val="00F77FC2"/>
    <w:rsid w:val="00F80041"/>
    <w:rsid w:val="00F8004A"/>
    <w:rsid w:val="00F8007B"/>
    <w:rsid w:val="00F8008C"/>
    <w:rsid w:val="00F800B0"/>
    <w:rsid w:val="00F80120"/>
    <w:rsid w:val="00F80127"/>
    <w:rsid w:val="00F80156"/>
    <w:rsid w:val="00F80177"/>
    <w:rsid w:val="00F801AB"/>
    <w:rsid w:val="00F801E1"/>
    <w:rsid w:val="00F801FB"/>
    <w:rsid w:val="00F80210"/>
    <w:rsid w:val="00F80214"/>
    <w:rsid w:val="00F80227"/>
    <w:rsid w:val="00F80258"/>
    <w:rsid w:val="00F80281"/>
    <w:rsid w:val="00F8029A"/>
    <w:rsid w:val="00F802EA"/>
    <w:rsid w:val="00F802FB"/>
    <w:rsid w:val="00F8037A"/>
    <w:rsid w:val="00F80394"/>
    <w:rsid w:val="00F803C9"/>
    <w:rsid w:val="00F80432"/>
    <w:rsid w:val="00F804A6"/>
    <w:rsid w:val="00F804AD"/>
    <w:rsid w:val="00F804D3"/>
    <w:rsid w:val="00F804FA"/>
    <w:rsid w:val="00F80555"/>
    <w:rsid w:val="00F80580"/>
    <w:rsid w:val="00F806CB"/>
    <w:rsid w:val="00F807AB"/>
    <w:rsid w:val="00F807FB"/>
    <w:rsid w:val="00F80974"/>
    <w:rsid w:val="00F80980"/>
    <w:rsid w:val="00F8099D"/>
    <w:rsid w:val="00F809AA"/>
    <w:rsid w:val="00F809DF"/>
    <w:rsid w:val="00F809E3"/>
    <w:rsid w:val="00F80A39"/>
    <w:rsid w:val="00F80A95"/>
    <w:rsid w:val="00F80B25"/>
    <w:rsid w:val="00F80B60"/>
    <w:rsid w:val="00F80BBA"/>
    <w:rsid w:val="00F80BE9"/>
    <w:rsid w:val="00F80BF2"/>
    <w:rsid w:val="00F80C03"/>
    <w:rsid w:val="00F80C2A"/>
    <w:rsid w:val="00F80C70"/>
    <w:rsid w:val="00F80CB5"/>
    <w:rsid w:val="00F80CE7"/>
    <w:rsid w:val="00F80D2C"/>
    <w:rsid w:val="00F80D52"/>
    <w:rsid w:val="00F80D8B"/>
    <w:rsid w:val="00F80D8C"/>
    <w:rsid w:val="00F80DB1"/>
    <w:rsid w:val="00F80DBC"/>
    <w:rsid w:val="00F80DFC"/>
    <w:rsid w:val="00F80E05"/>
    <w:rsid w:val="00F80E33"/>
    <w:rsid w:val="00F80E75"/>
    <w:rsid w:val="00F80E77"/>
    <w:rsid w:val="00F80E7D"/>
    <w:rsid w:val="00F80EE0"/>
    <w:rsid w:val="00F80EFC"/>
    <w:rsid w:val="00F80F4C"/>
    <w:rsid w:val="00F80F7D"/>
    <w:rsid w:val="00F80FA5"/>
    <w:rsid w:val="00F80FED"/>
    <w:rsid w:val="00F80FF8"/>
    <w:rsid w:val="00F8102B"/>
    <w:rsid w:val="00F81081"/>
    <w:rsid w:val="00F810D5"/>
    <w:rsid w:val="00F81117"/>
    <w:rsid w:val="00F81133"/>
    <w:rsid w:val="00F81134"/>
    <w:rsid w:val="00F811EC"/>
    <w:rsid w:val="00F8123F"/>
    <w:rsid w:val="00F8128F"/>
    <w:rsid w:val="00F81305"/>
    <w:rsid w:val="00F81333"/>
    <w:rsid w:val="00F81335"/>
    <w:rsid w:val="00F8133E"/>
    <w:rsid w:val="00F813D6"/>
    <w:rsid w:val="00F8145A"/>
    <w:rsid w:val="00F81473"/>
    <w:rsid w:val="00F8147C"/>
    <w:rsid w:val="00F81492"/>
    <w:rsid w:val="00F814AD"/>
    <w:rsid w:val="00F81537"/>
    <w:rsid w:val="00F81542"/>
    <w:rsid w:val="00F8154D"/>
    <w:rsid w:val="00F8156A"/>
    <w:rsid w:val="00F8159C"/>
    <w:rsid w:val="00F815BA"/>
    <w:rsid w:val="00F8166C"/>
    <w:rsid w:val="00F81694"/>
    <w:rsid w:val="00F816BD"/>
    <w:rsid w:val="00F8171C"/>
    <w:rsid w:val="00F8172D"/>
    <w:rsid w:val="00F81730"/>
    <w:rsid w:val="00F81780"/>
    <w:rsid w:val="00F817A1"/>
    <w:rsid w:val="00F817EC"/>
    <w:rsid w:val="00F8196A"/>
    <w:rsid w:val="00F81A36"/>
    <w:rsid w:val="00F81ADE"/>
    <w:rsid w:val="00F81AF7"/>
    <w:rsid w:val="00F81B0A"/>
    <w:rsid w:val="00F81B59"/>
    <w:rsid w:val="00F81B68"/>
    <w:rsid w:val="00F81BAB"/>
    <w:rsid w:val="00F81BBE"/>
    <w:rsid w:val="00F81BEC"/>
    <w:rsid w:val="00F81C04"/>
    <w:rsid w:val="00F81C3C"/>
    <w:rsid w:val="00F81C97"/>
    <w:rsid w:val="00F81CA3"/>
    <w:rsid w:val="00F81D7E"/>
    <w:rsid w:val="00F81D8D"/>
    <w:rsid w:val="00F81D9C"/>
    <w:rsid w:val="00F81E75"/>
    <w:rsid w:val="00F81E8C"/>
    <w:rsid w:val="00F81ED4"/>
    <w:rsid w:val="00F81F2E"/>
    <w:rsid w:val="00F81F5B"/>
    <w:rsid w:val="00F81F62"/>
    <w:rsid w:val="00F81F86"/>
    <w:rsid w:val="00F81FAE"/>
    <w:rsid w:val="00F81FBB"/>
    <w:rsid w:val="00F81FD5"/>
    <w:rsid w:val="00F8200C"/>
    <w:rsid w:val="00F8204C"/>
    <w:rsid w:val="00F8207F"/>
    <w:rsid w:val="00F820DC"/>
    <w:rsid w:val="00F82107"/>
    <w:rsid w:val="00F82113"/>
    <w:rsid w:val="00F82155"/>
    <w:rsid w:val="00F82175"/>
    <w:rsid w:val="00F821A4"/>
    <w:rsid w:val="00F821AC"/>
    <w:rsid w:val="00F821BA"/>
    <w:rsid w:val="00F821BC"/>
    <w:rsid w:val="00F821C3"/>
    <w:rsid w:val="00F821C9"/>
    <w:rsid w:val="00F8224F"/>
    <w:rsid w:val="00F82279"/>
    <w:rsid w:val="00F822BA"/>
    <w:rsid w:val="00F822BF"/>
    <w:rsid w:val="00F822DB"/>
    <w:rsid w:val="00F8241B"/>
    <w:rsid w:val="00F8244B"/>
    <w:rsid w:val="00F824AB"/>
    <w:rsid w:val="00F824E0"/>
    <w:rsid w:val="00F824E4"/>
    <w:rsid w:val="00F824E5"/>
    <w:rsid w:val="00F8250F"/>
    <w:rsid w:val="00F8252B"/>
    <w:rsid w:val="00F8254C"/>
    <w:rsid w:val="00F8255C"/>
    <w:rsid w:val="00F82564"/>
    <w:rsid w:val="00F8258E"/>
    <w:rsid w:val="00F825B1"/>
    <w:rsid w:val="00F8260B"/>
    <w:rsid w:val="00F82685"/>
    <w:rsid w:val="00F8268B"/>
    <w:rsid w:val="00F826F2"/>
    <w:rsid w:val="00F82730"/>
    <w:rsid w:val="00F8273C"/>
    <w:rsid w:val="00F8274C"/>
    <w:rsid w:val="00F82754"/>
    <w:rsid w:val="00F827F4"/>
    <w:rsid w:val="00F827FF"/>
    <w:rsid w:val="00F82821"/>
    <w:rsid w:val="00F82824"/>
    <w:rsid w:val="00F82901"/>
    <w:rsid w:val="00F82904"/>
    <w:rsid w:val="00F82905"/>
    <w:rsid w:val="00F82980"/>
    <w:rsid w:val="00F82A15"/>
    <w:rsid w:val="00F82A56"/>
    <w:rsid w:val="00F82A59"/>
    <w:rsid w:val="00F82C2D"/>
    <w:rsid w:val="00F82C42"/>
    <w:rsid w:val="00F82C7D"/>
    <w:rsid w:val="00F82CAC"/>
    <w:rsid w:val="00F82CD1"/>
    <w:rsid w:val="00F82CEA"/>
    <w:rsid w:val="00F82D87"/>
    <w:rsid w:val="00F82E2B"/>
    <w:rsid w:val="00F82EAD"/>
    <w:rsid w:val="00F82EB3"/>
    <w:rsid w:val="00F82ECD"/>
    <w:rsid w:val="00F82EEF"/>
    <w:rsid w:val="00F82F67"/>
    <w:rsid w:val="00F82F97"/>
    <w:rsid w:val="00F82FF1"/>
    <w:rsid w:val="00F830FA"/>
    <w:rsid w:val="00F8311B"/>
    <w:rsid w:val="00F83164"/>
    <w:rsid w:val="00F831DA"/>
    <w:rsid w:val="00F832AA"/>
    <w:rsid w:val="00F832FE"/>
    <w:rsid w:val="00F83385"/>
    <w:rsid w:val="00F833FA"/>
    <w:rsid w:val="00F8343F"/>
    <w:rsid w:val="00F83453"/>
    <w:rsid w:val="00F83474"/>
    <w:rsid w:val="00F83479"/>
    <w:rsid w:val="00F8347E"/>
    <w:rsid w:val="00F83491"/>
    <w:rsid w:val="00F834ED"/>
    <w:rsid w:val="00F83545"/>
    <w:rsid w:val="00F83572"/>
    <w:rsid w:val="00F835A7"/>
    <w:rsid w:val="00F835F3"/>
    <w:rsid w:val="00F83604"/>
    <w:rsid w:val="00F83633"/>
    <w:rsid w:val="00F83660"/>
    <w:rsid w:val="00F83679"/>
    <w:rsid w:val="00F8367B"/>
    <w:rsid w:val="00F836A6"/>
    <w:rsid w:val="00F83705"/>
    <w:rsid w:val="00F83706"/>
    <w:rsid w:val="00F8378C"/>
    <w:rsid w:val="00F837BC"/>
    <w:rsid w:val="00F837DA"/>
    <w:rsid w:val="00F837EC"/>
    <w:rsid w:val="00F83806"/>
    <w:rsid w:val="00F83840"/>
    <w:rsid w:val="00F83841"/>
    <w:rsid w:val="00F8386B"/>
    <w:rsid w:val="00F8386C"/>
    <w:rsid w:val="00F8387A"/>
    <w:rsid w:val="00F8389C"/>
    <w:rsid w:val="00F8398A"/>
    <w:rsid w:val="00F83997"/>
    <w:rsid w:val="00F839B8"/>
    <w:rsid w:val="00F839F8"/>
    <w:rsid w:val="00F83A77"/>
    <w:rsid w:val="00F83AD4"/>
    <w:rsid w:val="00F83AEB"/>
    <w:rsid w:val="00F83B06"/>
    <w:rsid w:val="00F83BD2"/>
    <w:rsid w:val="00F83BDA"/>
    <w:rsid w:val="00F83C26"/>
    <w:rsid w:val="00F83C86"/>
    <w:rsid w:val="00F83E08"/>
    <w:rsid w:val="00F83E0B"/>
    <w:rsid w:val="00F83E78"/>
    <w:rsid w:val="00F83EC1"/>
    <w:rsid w:val="00F83F4D"/>
    <w:rsid w:val="00F83F7E"/>
    <w:rsid w:val="00F83F88"/>
    <w:rsid w:val="00F83F8A"/>
    <w:rsid w:val="00F83FEA"/>
    <w:rsid w:val="00F83FF8"/>
    <w:rsid w:val="00F83FF9"/>
    <w:rsid w:val="00F84056"/>
    <w:rsid w:val="00F840A7"/>
    <w:rsid w:val="00F8415D"/>
    <w:rsid w:val="00F84167"/>
    <w:rsid w:val="00F8417F"/>
    <w:rsid w:val="00F841E0"/>
    <w:rsid w:val="00F8420E"/>
    <w:rsid w:val="00F84310"/>
    <w:rsid w:val="00F8431E"/>
    <w:rsid w:val="00F8432E"/>
    <w:rsid w:val="00F843B9"/>
    <w:rsid w:val="00F843D3"/>
    <w:rsid w:val="00F843EC"/>
    <w:rsid w:val="00F84426"/>
    <w:rsid w:val="00F8442B"/>
    <w:rsid w:val="00F84446"/>
    <w:rsid w:val="00F84473"/>
    <w:rsid w:val="00F8448C"/>
    <w:rsid w:val="00F8450C"/>
    <w:rsid w:val="00F8451C"/>
    <w:rsid w:val="00F84540"/>
    <w:rsid w:val="00F84542"/>
    <w:rsid w:val="00F8459B"/>
    <w:rsid w:val="00F845BA"/>
    <w:rsid w:val="00F845E4"/>
    <w:rsid w:val="00F845F8"/>
    <w:rsid w:val="00F84612"/>
    <w:rsid w:val="00F84617"/>
    <w:rsid w:val="00F8463D"/>
    <w:rsid w:val="00F84649"/>
    <w:rsid w:val="00F84666"/>
    <w:rsid w:val="00F84667"/>
    <w:rsid w:val="00F8468A"/>
    <w:rsid w:val="00F84720"/>
    <w:rsid w:val="00F84764"/>
    <w:rsid w:val="00F8482E"/>
    <w:rsid w:val="00F848C0"/>
    <w:rsid w:val="00F848DA"/>
    <w:rsid w:val="00F848DF"/>
    <w:rsid w:val="00F84901"/>
    <w:rsid w:val="00F8492C"/>
    <w:rsid w:val="00F84955"/>
    <w:rsid w:val="00F84964"/>
    <w:rsid w:val="00F849A6"/>
    <w:rsid w:val="00F849EC"/>
    <w:rsid w:val="00F84AB2"/>
    <w:rsid w:val="00F84B0A"/>
    <w:rsid w:val="00F84B29"/>
    <w:rsid w:val="00F84B53"/>
    <w:rsid w:val="00F84B58"/>
    <w:rsid w:val="00F84BAC"/>
    <w:rsid w:val="00F84BB5"/>
    <w:rsid w:val="00F84BD4"/>
    <w:rsid w:val="00F84C44"/>
    <w:rsid w:val="00F84CCF"/>
    <w:rsid w:val="00F84CD2"/>
    <w:rsid w:val="00F84CDF"/>
    <w:rsid w:val="00F84CEA"/>
    <w:rsid w:val="00F84CEF"/>
    <w:rsid w:val="00F84D55"/>
    <w:rsid w:val="00F84D78"/>
    <w:rsid w:val="00F84DB2"/>
    <w:rsid w:val="00F84DF0"/>
    <w:rsid w:val="00F84E00"/>
    <w:rsid w:val="00F84E22"/>
    <w:rsid w:val="00F84E61"/>
    <w:rsid w:val="00F84E69"/>
    <w:rsid w:val="00F84EA4"/>
    <w:rsid w:val="00F84EF0"/>
    <w:rsid w:val="00F84EF1"/>
    <w:rsid w:val="00F84F57"/>
    <w:rsid w:val="00F84F65"/>
    <w:rsid w:val="00F85057"/>
    <w:rsid w:val="00F850D2"/>
    <w:rsid w:val="00F850E9"/>
    <w:rsid w:val="00F8515B"/>
    <w:rsid w:val="00F85225"/>
    <w:rsid w:val="00F85267"/>
    <w:rsid w:val="00F85284"/>
    <w:rsid w:val="00F8529E"/>
    <w:rsid w:val="00F852F9"/>
    <w:rsid w:val="00F8531C"/>
    <w:rsid w:val="00F8532D"/>
    <w:rsid w:val="00F8534E"/>
    <w:rsid w:val="00F85360"/>
    <w:rsid w:val="00F853C9"/>
    <w:rsid w:val="00F8541C"/>
    <w:rsid w:val="00F8541E"/>
    <w:rsid w:val="00F85446"/>
    <w:rsid w:val="00F85448"/>
    <w:rsid w:val="00F8550B"/>
    <w:rsid w:val="00F8552A"/>
    <w:rsid w:val="00F85543"/>
    <w:rsid w:val="00F85575"/>
    <w:rsid w:val="00F8558F"/>
    <w:rsid w:val="00F855BE"/>
    <w:rsid w:val="00F8561A"/>
    <w:rsid w:val="00F8565C"/>
    <w:rsid w:val="00F856B7"/>
    <w:rsid w:val="00F856B9"/>
    <w:rsid w:val="00F856BD"/>
    <w:rsid w:val="00F856D0"/>
    <w:rsid w:val="00F856EE"/>
    <w:rsid w:val="00F8579D"/>
    <w:rsid w:val="00F857A7"/>
    <w:rsid w:val="00F857E3"/>
    <w:rsid w:val="00F857FC"/>
    <w:rsid w:val="00F85841"/>
    <w:rsid w:val="00F8584B"/>
    <w:rsid w:val="00F858A8"/>
    <w:rsid w:val="00F8596C"/>
    <w:rsid w:val="00F859D1"/>
    <w:rsid w:val="00F85A50"/>
    <w:rsid w:val="00F85AA2"/>
    <w:rsid w:val="00F85AB6"/>
    <w:rsid w:val="00F85AE6"/>
    <w:rsid w:val="00F85AE7"/>
    <w:rsid w:val="00F85B0A"/>
    <w:rsid w:val="00F85B4B"/>
    <w:rsid w:val="00F85B73"/>
    <w:rsid w:val="00F85C93"/>
    <w:rsid w:val="00F85C9B"/>
    <w:rsid w:val="00F85CB8"/>
    <w:rsid w:val="00F85CCF"/>
    <w:rsid w:val="00F85D6B"/>
    <w:rsid w:val="00F85D72"/>
    <w:rsid w:val="00F85D86"/>
    <w:rsid w:val="00F85DE0"/>
    <w:rsid w:val="00F85DFC"/>
    <w:rsid w:val="00F85E1B"/>
    <w:rsid w:val="00F85E42"/>
    <w:rsid w:val="00F85ECB"/>
    <w:rsid w:val="00F85EE5"/>
    <w:rsid w:val="00F85F06"/>
    <w:rsid w:val="00F85F55"/>
    <w:rsid w:val="00F85F87"/>
    <w:rsid w:val="00F85F91"/>
    <w:rsid w:val="00F85FB0"/>
    <w:rsid w:val="00F85FDD"/>
    <w:rsid w:val="00F85FDF"/>
    <w:rsid w:val="00F85FE6"/>
    <w:rsid w:val="00F8602E"/>
    <w:rsid w:val="00F86034"/>
    <w:rsid w:val="00F86040"/>
    <w:rsid w:val="00F86079"/>
    <w:rsid w:val="00F8610C"/>
    <w:rsid w:val="00F86174"/>
    <w:rsid w:val="00F861AC"/>
    <w:rsid w:val="00F861AF"/>
    <w:rsid w:val="00F861F4"/>
    <w:rsid w:val="00F86214"/>
    <w:rsid w:val="00F86273"/>
    <w:rsid w:val="00F862AB"/>
    <w:rsid w:val="00F862DD"/>
    <w:rsid w:val="00F86302"/>
    <w:rsid w:val="00F8630E"/>
    <w:rsid w:val="00F8631E"/>
    <w:rsid w:val="00F8633B"/>
    <w:rsid w:val="00F86349"/>
    <w:rsid w:val="00F8636D"/>
    <w:rsid w:val="00F86376"/>
    <w:rsid w:val="00F863AE"/>
    <w:rsid w:val="00F863BA"/>
    <w:rsid w:val="00F863C3"/>
    <w:rsid w:val="00F863E1"/>
    <w:rsid w:val="00F863E8"/>
    <w:rsid w:val="00F8640D"/>
    <w:rsid w:val="00F86433"/>
    <w:rsid w:val="00F8645C"/>
    <w:rsid w:val="00F86466"/>
    <w:rsid w:val="00F8648B"/>
    <w:rsid w:val="00F864A3"/>
    <w:rsid w:val="00F864DC"/>
    <w:rsid w:val="00F864E6"/>
    <w:rsid w:val="00F8656A"/>
    <w:rsid w:val="00F86583"/>
    <w:rsid w:val="00F865F6"/>
    <w:rsid w:val="00F865FD"/>
    <w:rsid w:val="00F8662A"/>
    <w:rsid w:val="00F86655"/>
    <w:rsid w:val="00F86670"/>
    <w:rsid w:val="00F866A3"/>
    <w:rsid w:val="00F86708"/>
    <w:rsid w:val="00F867A2"/>
    <w:rsid w:val="00F867F9"/>
    <w:rsid w:val="00F867FD"/>
    <w:rsid w:val="00F8680A"/>
    <w:rsid w:val="00F86845"/>
    <w:rsid w:val="00F86856"/>
    <w:rsid w:val="00F868A0"/>
    <w:rsid w:val="00F868AC"/>
    <w:rsid w:val="00F868AF"/>
    <w:rsid w:val="00F86903"/>
    <w:rsid w:val="00F86911"/>
    <w:rsid w:val="00F8695E"/>
    <w:rsid w:val="00F86976"/>
    <w:rsid w:val="00F869A0"/>
    <w:rsid w:val="00F869B7"/>
    <w:rsid w:val="00F86A0F"/>
    <w:rsid w:val="00F86A7E"/>
    <w:rsid w:val="00F86AB4"/>
    <w:rsid w:val="00F86AF0"/>
    <w:rsid w:val="00F86B10"/>
    <w:rsid w:val="00F86BAF"/>
    <w:rsid w:val="00F86BB6"/>
    <w:rsid w:val="00F86BBE"/>
    <w:rsid w:val="00F86C44"/>
    <w:rsid w:val="00F86CB9"/>
    <w:rsid w:val="00F86D27"/>
    <w:rsid w:val="00F86D80"/>
    <w:rsid w:val="00F86DFB"/>
    <w:rsid w:val="00F86E1D"/>
    <w:rsid w:val="00F86E51"/>
    <w:rsid w:val="00F86F07"/>
    <w:rsid w:val="00F86F2D"/>
    <w:rsid w:val="00F86F3D"/>
    <w:rsid w:val="00F86F7A"/>
    <w:rsid w:val="00F86F8B"/>
    <w:rsid w:val="00F87045"/>
    <w:rsid w:val="00F87057"/>
    <w:rsid w:val="00F870DB"/>
    <w:rsid w:val="00F870FA"/>
    <w:rsid w:val="00F87157"/>
    <w:rsid w:val="00F8715C"/>
    <w:rsid w:val="00F87180"/>
    <w:rsid w:val="00F8718E"/>
    <w:rsid w:val="00F871B9"/>
    <w:rsid w:val="00F871C5"/>
    <w:rsid w:val="00F871CF"/>
    <w:rsid w:val="00F8722F"/>
    <w:rsid w:val="00F87238"/>
    <w:rsid w:val="00F8724D"/>
    <w:rsid w:val="00F8728C"/>
    <w:rsid w:val="00F87298"/>
    <w:rsid w:val="00F87360"/>
    <w:rsid w:val="00F8738B"/>
    <w:rsid w:val="00F873D4"/>
    <w:rsid w:val="00F8740A"/>
    <w:rsid w:val="00F8742F"/>
    <w:rsid w:val="00F87469"/>
    <w:rsid w:val="00F87485"/>
    <w:rsid w:val="00F874C7"/>
    <w:rsid w:val="00F874F2"/>
    <w:rsid w:val="00F8751F"/>
    <w:rsid w:val="00F8753F"/>
    <w:rsid w:val="00F87542"/>
    <w:rsid w:val="00F8754E"/>
    <w:rsid w:val="00F87596"/>
    <w:rsid w:val="00F875EB"/>
    <w:rsid w:val="00F87605"/>
    <w:rsid w:val="00F8760A"/>
    <w:rsid w:val="00F8760F"/>
    <w:rsid w:val="00F87661"/>
    <w:rsid w:val="00F876A5"/>
    <w:rsid w:val="00F87780"/>
    <w:rsid w:val="00F87795"/>
    <w:rsid w:val="00F87796"/>
    <w:rsid w:val="00F87839"/>
    <w:rsid w:val="00F8783B"/>
    <w:rsid w:val="00F878E2"/>
    <w:rsid w:val="00F87934"/>
    <w:rsid w:val="00F87A61"/>
    <w:rsid w:val="00F87AAE"/>
    <w:rsid w:val="00F87B5F"/>
    <w:rsid w:val="00F87B9B"/>
    <w:rsid w:val="00F87B9E"/>
    <w:rsid w:val="00F87BCC"/>
    <w:rsid w:val="00F87BD3"/>
    <w:rsid w:val="00F87C21"/>
    <w:rsid w:val="00F87C43"/>
    <w:rsid w:val="00F87C46"/>
    <w:rsid w:val="00F87C57"/>
    <w:rsid w:val="00F87C63"/>
    <w:rsid w:val="00F87C7B"/>
    <w:rsid w:val="00F87C7C"/>
    <w:rsid w:val="00F87C8B"/>
    <w:rsid w:val="00F87CBC"/>
    <w:rsid w:val="00F87CE6"/>
    <w:rsid w:val="00F87D83"/>
    <w:rsid w:val="00F87DDD"/>
    <w:rsid w:val="00F87DEC"/>
    <w:rsid w:val="00F87E1C"/>
    <w:rsid w:val="00F87E31"/>
    <w:rsid w:val="00F87EAB"/>
    <w:rsid w:val="00F87EF9"/>
    <w:rsid w:val="00F87F1B"/>
    <w:rsid w:val="00F87F3A"/>
    <w:rsid w:val="00F87F6A"/>
    <w:rsid w:val="00F87F8D"/>
    <w:rsid w:val="00F87FB4"/>
    <w:rsid w:val="00F87FCF"/>
    <w:rsid w:val="00F88362"/>
    <w:rsid w:val="00F887C2"/>
    <w:rsid w:val="00F90007"/>
    <w:rsid w:val="00F90008"/>
    <w:rsid w:val="00F90069"/>
    <w:rsid w:val="00F9007D"/>
    <w:rsid w:val="00F900FC"/>
    <w:rsid w:val="00F90133"/>
    <w:rsid w:val="00F90148"/>
    <w:rsid w:val="00F90194"/>
    <w:rsid w:val="00F901A8"/>
    <w:rsid w:val="00F901AB"/>
    <w:rsid w:val="00F901D0"/>
    <w:rsid w:val="00F90226"/>
    <w:rsid w:val="00F9024D"/>
    <w:rsid w:val="00F9027D"/>
    <w:rsid w:val="00F902D5"/>
    <w:rsid w:val="00F902F6"/>
    <w:rsid w:val="00F90323"/>
    <w:rsid w:val="00F90335"/>
    <w:rsid w:val="00F9034F"/>
    <w:rsid w:val="00F90350"/>
    <w:rsid w:val="00F9039C"/>
    <w:rsid w:val="00F9039F"/>
    <w:rsid w:val="00F903FE"/>
    <w:rsid w:val="00F903FF"/>
    <w:rsid w:val="00F90436"/>
    <w:rsid w:val="00F90528"/>
    <w:rsid w:val="00F9053E"/>
    <w:rsid w:val="00F90594"/>
    <w:rsid w:val="00F905A3"/>
    <w:rsid w:val="00F905C7"/>
    <w:rsid w:val="00F905E1"/>
    <w:rsid w:val="00F90610"/>
    <w:rsid w:val="00F90698"/>
    <w:rsid w:val="00F9069F"/>
    <w:rsid w:val="00F906D8"/>
    <w:rsid w:val="00F9073B"/>
    <w:rsid w:val="00F9076B"/>
    <w:rsid w:val="00F90788"/>
    <w:rsid w:val="00F9078C"/>
    <w:rsid w:val="00F907F6"/>
    <w:rsid w:val="00F9080F"/>
    <w:rsid w:val="00F9085C"/>
    <w:rsid w:val="00F90870"/>
    <w:rsid w:val="00F9087D"/>
    <w:rsid w:val="00F908A8"/>
    <w:rsid w:val="00F908AF"/>
    <w:rsid w:val="00F908D2"/>
    <w:rsid w:val="00F908FA"/>
    <w:rsid w:val="00F9094C"/>
    <w:rsid w:val="00F90959"/>
    <w:rsid w:val="00F9096B"/>
    <w:rsid w:val="00F9096E"/>
    <w:rsid w:val="00F90986"/>
    <w:rsid w:val="00F909A4"/>
    <w:rsid w:val="00F90AE3"/>
    <w:rsid w:val="00F90AEF"/>
    <w:rsid w:val="00F90B11"/>
    <w:rsid w:val="00F90B6C"/>
    <w:rsid w:val="00F90B87"/>
    <w:rsid w:val="00F90BBE"/>
    <w:rsid w:val="00F90BFD"/>
    <w:rsid w:val="00F90C8E"/>
    <w:rsid w:val="00F90CC6"/>
    <w:rsid w:val="00F90D0D"/>
    <w:rsid w:val="00F90D56"/>
    <w:rsid w:val="00F90D88"/>
    <w:rsid w:val="00F90DA7"/>
    <w:rsid w:val="00F90DA9"/>
    <w:rsid w:val="00F90DE6"/>
    <w:rsid w:val="00F90DFB"/>
    <w:rsid w:val="00F90DFD"/>
    <w:rsid w:val="00F90E0E"/>
    <w:rsid w:val="00F90E0F"/>
    <w:rsid w:val="00F90E21"/>
    <w:rsid w:val="00F90EEF"/>
    <w:rsid w:val="00F90F65"/>
    <w:rsid w:val="00F90F71"/>
    <w:rsid w:val="00F90F82"/>
    <w:rsid w:val="00F90FBF"/>
    <w:rsid w:val="00F9105A"/>
    <w:rsid w:val="00F91084"/>
    <w:rsid w:val="00F9109A"/>
    <w:rsid w:val="00F910B1"/>
    <w:rsid w:val="00F910BB"/>
    <w:rsid w:val="00F910D6"/>
    <w:rsid w:val="00F910EE"/>
    <w:rsid w:val="00F9112A"/>
    <w:rsid w:val="00F91159"/>
    <w:rsid w:val="00F911AB"/>
    <w:rsid w:val="00F911D3"/>
    <w:rsid w:val="00F91211"/>
    <w:rsid w:val="00F91223"/>
    <w:rsid w:val="00F91263"/>
    <w:rsid w:val="00F9127A"/>
    <w:rsid w:val="00F91280"/>
    <w:rsid w:val="00F912C7"/>
    <w:rsid w:val="00F91305"/>
    <w:rsid w:val="00F9130D"/>
    <w:rsid w:val="00F91314"/>
    <w:rsid w:val="00F9131B"/>
    <w:rsid w:val="00F91324"/>
    <w:rsid w:val="00F91339"/>
    <w:rsid w:val="00F91372"/>
    <w:rsid w:val="00F91384"/>
    <w:rsid w:val="00F9138B"/>
    <w:rsid w:val="00F913EA"/>
    <w:rsid w:val="00F91440"/>
    <w:rsid w:val="00F9144C"/>
    <w:rsid w:val="00F9146E"/>
    <w:rsid w:val="00F91475"/>
    <w:rsid w:val="00F914BC"/>
    <w:rsid w:val="00F914F3"/>
    <w:rsid w:val="00F9152E"/>
    <w:rsid w:val="00F9153B"/>
    <w:rsid w:val="00F9154D"/>
    <w:rsid w:val="00F91554"/>
    <w:rsid w:val="00F9159E"/>
    <w:rsid w:val="00F915C1"/>
    <w:rsid w:val="00F915D1"/>
    <w:rsid w:val="00F915FD"/>
    <w:rsid w:val="00F915FE"/>
    <w:rsid w:val="00F9160F"/>
    <w:rsid w:val="00F91671"/>
    <w:rsid w:val="00F91691"/>
    <w:rsid w:val="00F916A2"/>
    <w:rsid w:val="00F916B0"/>
    <w:rsid w:val="00F91711"/>
    <w:rsid w:val="00F9171F"/>
    <w:rsid w:val="00F917FF"/>
    <w:rsid w:val="00F9180D"/>
    <w:rsid w:val="00F91881"/>
    <w:rsid w:val="00F918CB"/>
    <w:rsid w:val="00F918F4"/>
    <w:rsid w:val="00F9193C"/>
    <w:rsid w:val="00F9195A"/>
    <w:rsid w:val="00F9195E"/>
    <w:rsid w:val="00F91984"/>
    <w:rsid w:val="00F9199E"/>
    <w:rsid w:val="00F919C6"/>
    <w:rsid w:val="00F919D2"/>
    <w:rsid w:val="00F919D3"/>
    <w:rsid w:val="00F919FC"/>
    <w:rsid w:val="00F91A5F"/>
    <w:rsid w:val="00F91A89"/>
    <w:rsid w:val="00F91AA9"/>
    <w:rsid w:val="00F91AC1"/>
    <w:rsid w:val="00F91B43"/>
    <w:rsid w:val="00F91B4F"/>
    <w:rsid w:val="00F91B85"/>
    <w:rsid w:val="00F91BA7"/>
    <w:rsid w:val="00F91BE0"/>
    <w:rsid w:val="00F91C51"/>
    <w:rsid w:val="00F91C55"/>
    <w:rsid w:val="00F91C63"/>
    <w:rsid w:val="00F91C8B"/>
    <w:rsid w:val="00F91CF5"/>
    <w:rsid w:val="00F91D54"/>
    <w:rsid w:val="00F91D62"/>
    <w:rsid w:val="00F91D93"/>
    <w:rsid w:val="00F91DAC"/>
    <w:rsid w:val="00F91DD3"/>
    <w:rsid w:val="00F91E7B"/>
    <w:rsid w:val="00F91E9B"/>
    <w:rsid w:val="00F91EAB"/>
    <w:rsid w:val="00F91F46"/>
    <w:rsid w:val="00F91F49"/>
    <w:rsid w:val="00F91F86"/>
    <w:rsid w:val="00F91F8E"/>
    <w:rsid w:val="00F91FBF"/>
    <w:rsid w:val="00F91FDC"/>
    <w:rsid w:val="00F9203A"/>
    <w:rsid w:val="00F92070"/>
    <w:rsid w:val="00F92076"/>
    <w:rsid w:val="00F920F1"/>
    <w:rsid w:val="00F92236"/>
    <w:rsid w:val="00F9227A"/>
    <w:rsid w:val="00F9229D"/>
    <w:rsid w:val="00F922B6"/>
    <w:rsid w:val="00F92323"/>
    <w:rsid w:val="00F92342"/>
    <w:rsid w:val="00F9237F"/>
    <w:rsid w:val="00F92395"/>
    <w:rsid w:val="00F923CA"/>
    <w:rsid w:val="00F923EE"/>
    <w:rsid w:val="00F9240B"/>
    <w:rsid w:val="00F92434"/>
    <w:rsid w:val="00F92446"/>
    <w:rsid w:val="00F9244B"/>
    <w:rsid w:val="00F9246F"/>
    <w:rsid w:val="00F924B8"/>
    <w:rsid w:val="00F9254A"/>
    <w:rsid w:val="00F92550"/>
    <w:rsid w:val="00F925CB"/>
    <w:rsid w:val="00F92644"/>
    <w:rsid w:val="00F92687"/>
    <w:rsid w:val="00F92751"/>
    <w:rsid w:val="00F927CB"/>
    <w:rsid w:val="00F927D6"/>
    <w:rsid w:val="00F92832"/>
    <w:rsid w:val="00F92834"/>
    <w:rsid w:val="00F92898"/>
    <w:rsid w:val="00F928C0"/>
    <w:rsid w:val="00F928EF"/>
    <w:rsid w:val="00F92983"/>
    <w:rsid w:val="00F929E2"/>
    <w:rsid w:val="00F92A05"/>
    <w:rsid w:val="00F92A43"/>
    <w:rsid w:val="00F92AFB"/>
    <w:rsid w:val="00F92B24"/>
    <w:rsid w:val="00F92B26"/>
    <w:rsid w:val="00F92B4E"/>
    <w:rsid w:val="00F92B52"/>
    <w:rsid w:val="00F92B85"/>
    <w:rsid w:val="00F92BB4"/>
    <w:rsid w:val="00F92BCB"/>
    <w:rsid w:val="00F92BE7"/>
    <w:rsid w:val="00F92C0A"/>
    <w:rsid w:val="00F92C0D"/>
    <w:rsid w:val="00F92C5D"/>
    <w:rsid w:val="00F92C6B"/>
    <w:rsid w:val="00F92C7D"/>
    <w:rsid w:val="00F92CA7"/>
    <w:rsid w:val="00F92D1E"/>
    <w:rsid w:val="00F92D28"/>
    <w:rsid w:val="00F92D37"/>
    <w:rsid w:val="00F92D41"/>
    <w:rsid w:val="00F92DE3"/>
    <w:rsid w:val="00F92E01"/>
    <w:rsid w:val="00F92E12"/>
    <w:rsid w:val="00F92E2D"/>
    <w:rsid w:val="00F92E3A"/>
    <w:rsid w:val="00F92F04"/>
    <w:rsid w:val="00F92F30"/>
    <w:rsid w:val="00F92F96"/>
    <w:rsid w:val="00F9300D"/>
    <w:rsid w:val="00F930AC"/>
    <w:rsid w:val="00F930B7"/>
    <w:rsid w:val="00F930D7"/>
    <w:rsid w:val="00F930E6"/>
    <w:rsid w:val="00F93131"/>
    <w:rsid w:val="00F9319B"/>
    <w:rsid w:val="00F9319C"/>
    <w:rsid w:val="00F931A0"/>
    <w:rsid w:val="00F931D1"/>
    <w:rsid w:val="00F93293"/>
    <w:rsid w:val="00F9329B"/>
    <w:rsid w:val="00F9330C"/>
    <w:rsid w:val="00F93356"/>
    <w:rsid w:val="00F93370"/>
    <w:rsid w:val="00F93399"/>
    <w:rsid w:val="00F93415"/>
    <w:rsid w:val="00F934A0"/>
    <w:rsid w:val="00F934B0"/>
    <w:rsid w:val="00F934DC"/>
    <w:rsid w:val="00F934EB"/>
    <w:rsid w:val="00F93519"/>
    <w:rsid w:val="00F9351D"/>
    <w:rsid w:val="00F9353F"/>
    <w:rsid w:val="00F93559"/>
    <w:rsid w:val="00F935C4"/>
    <w:rsid w:val="00F935D0"/>
    <w:rsid w:val="00F935D7"/>
    <w:rsid w:val="00F935FB"/>
    <w:rsid w:val="00F93643"/>
    <w:rsid w:val="00F9364E"/>
    <w:rsid w:val="00F936AC"/>
    <w:rsid w:val="00F936C9"/>
    <w:rsid w:val="00F936DC"/>
    <w:rsid w:val="00F936EC"/>
    <w:rsid w:val="00F93740"/>
    <w:rsid w:val="00F9374D"/>
    <w:rsid w:val="00F937FF"/>
    <w:rsid w:val="00F938BE"/>
    <w:rsid w:val="00F938F1"/>
    <w:rsid w:val="00F93952"/>
    <w:rsid w:val="00F93998"/>
    <w:rsid w:val="00F939F8"/>
    <w:rsid w:val="00F93A30"/>
    <w:rsid w:val="00F93A6F"/>
    <w:rsid w:val="00F93B27"/>
    <w:rsid w:val="00F93B61"/>
    <w:rsid w:val="00F93B6D"/>
    <w:rsid w:val="00F93B86"/>
    <w:rsid w:val="00F93BBF"/>
    <w:rsid w:val="00F93C45"/>
    <w:rsid w:val="00F93C5E"/>
    <w:rsid w:val="00F93C9D"/>
    <w:rsid w:val="00F93CD6"/>
    <w:rsid w:val="00F93CDE"/>
    <w:rsid w:val="00F93D31"/>
    <w:rsid w:val="00F93D86"/>
    <w:rsid w:val="00F93DA0"/>
    <w:rsid w:val="00F93DA2"/>
    <w:rsid w:val="00F93DD3"/>
    <w:rsid w:val="00F93E6E"/>
    <w:rsid w:val="00F93E88"/>
    <w:rsid w:val="00F93E97"/>
    <w:rsid w:val="00F93EB5"/>
    <w:rsid w:val="00F93EC8"/>
    <w:rsid w:val="00F93F07"/>
    <w:rsid w:val="00F93F14"/>
    <w:rsid w:val="00F93F26"/>
    <w:rsid w:val="00F93F6C"/>
    <w:rsid w:val="00F9403F"/>
    <w:rsid w:val="00F9408F"/>
    <w:rsid w:val="00F940A9"/>
    <w:rsid w:val="00F940AE"/>
    <w:rsid w:val="00F940BF"/>
    <w:rsid w:val="00F94143"/>
    <w:rsid w:val="00F94169"/>
    <w:rsid w:val="00F9416C"/>
    <w:rsid w:val="00F941C6"/>
    <w:rsid w:val="00F941E2"/>
    <w:rsid w:val="00F9422E"/>
    <w:rsid w:val="00F94231"/>
    <w:rsid w:val="00F9428F"/>
    <w:rsid w:val="00F942C2"/>
    <w:rsid w:val="00F94303"/>
    <w:rsid w:val="00F94376"/>
    <w:rsid w:val="00F943BE"/>
    <w:rsid w:val="00F943E2"/>
    <w:rsid w:val="00F9440B"/>
    <w:rsid w:val="00F94456"/>
    <w:rsid w:val="00F94480"/>
    <w:rsid w:val="00F9449A"/>
    <w:rsid w:val="00F944A5"/>
    <w:rsid w:val="00F944D7"/>
    <w:rsid w:val="00F94505"/>
    <w:rsid w:val="00F9455B"/>
    <w:rsid w:val="00F9456F"/>
    <w:rsid w:val="00F94670"/>
    <w:rsid w:val="00F9468A"/>
    <w:rsid w:val="00F946A1"/>
    <w:rsid w:val="00F946BE"/>
    <w:rsid w:val="00F946C5"/>
    <w:rsid w:val="00F946E8"/>
    <w:rsid w:val="00F9474B"/>
    <w:rsid w:val="00F94779"/>
    <w:rsid w:val="00F947AF"/>
    <w:rsid w:val="00F94820"/>
    <w:rsid w:val="00F948A8"/>
    <w:rsid w:val="00F948F7"/>
    <w:rsid w:val="00F948FB"/>
    <w:rsid w:val="00F9493E"/>
    <w:rsid w:val="00F94946"/>
    <w:rsid w:val="00F9498A"/>
    <w:rsid w:val="00F94997"/>
    <w:rsid w:val="00F9499F"/>
    <w:rsid w:val="00F94A5E"/>
    <w:rsid w:val="00F94A9B"/>
    <w:rsid w:val="00F94AA7"/>
    <w:rsid w:val="00F94B5B"/>
    <w:rsid w:val="00F94B6A"/>
    <w:rsid w:val="00F94B6F"/>
    <w:rsid w:val="00F94C12"/>
    <w:rsid w:val="00F94C31"/>
    <w:rsid w:val="00F94C64"/>
    <w:rsid w:val="00F94CA5"/>
    <w:rsid w:val="00F94CC0"/>
    <w:rsid w:val="00F94CC2"/>
    <w:rsid w:val="00F94CC3"/>
    <w:rsid w:val="00F94CE2"/>
    <w:rsid w:val="00F94CE9"/>
    <w:rsid w:val="00F94D0E"/>
    <w:rsid w:val="00F94E14"/>
    <w:rsid w:val="00F94E1D"/>
    <w:rsid w:val="00F94E3E"/>
    <w:rsid w:val="00F94E5D"/>
    <w:rsid w:val="00F94E65"/>
    <w:rsid w:val="00F94ED7"/>
    <w:rsid w:val="00F94EFA"/>
    <w:rsid w:val="00F94F1C"/>
    <w:rsid w:val="00F94F21"/>
    <w:rsid w:val="00F94F91"/>
    <w:rsid w:val="00F95089"/>
    <w:rsid w:val="00F9508E"/>
    <w:rsid w:val="00F950B2"/>
    <w:rsid w:val="00F950BF"/>
    <w:rsid w:val="00F950C5"/>
    <w:rsid w:val="00F950DE"/>
    <w:rsid w:val="00F950EC"/>
    <w:rsid w:val="00F95103"/>
    <w:rsid w:val="00F9517F"/>
    <w:rsid w:val="00F951A0"/>
    <w:rsid w:val="00F951B6"/>
    <w:rsid w:val="00F9520F"/>
    <w:rsid w:val="00F95268"/>
    <w:rsid w:val="00F95285"/>
    <w:rsid w:val="00F952BA"/>
    <w:rsid w:val="00F952EB"/>
    <w:rsid w:val="00F95333"/>
    <w:rsid w:val="00F95361"/>
    <w:rsid w:val="00F95366"/>
    <w:rsid w:val="00F953A7"/>
    <w:rsid w:val="00F953B4"/>
    <w:rsid w:val="00F9540E"/>
    <w:rsid w:val="00F954A4"/>
    <w:rsid w:val="00F954DB"/>
    <w:rsid w:val="00F95512"/>
    <w:rsid w:val="00F9552A"/>
    <w:rsid w:val="00F95546"/>
    <w:rsid w:val="00F9559F"/>
    <w:rsid w:val="00F95603"/>
    <w:rsid w:val="00F9562A"/>
    <w:rsid w:val="00F95673"/>
    <w:rsid w:val="00F95690"/>
    <w:rsid w:val="00F956A7"/>
    <w:rsid w:val="00F956CE"/>
    <w:rsid w:val="00F956D6"/>
    <w:rsid w:val="00F956F1"/>
    <w:rsid w:val="00F956FC"/>
    <w:rsid w:val="00F95706"/>
    <w:rsid w:val="00F95715"/>
    <w:rsid w:val="00F9574C"/>
    <w:rsid w:val="00F957DA"/>
    <w:rsid w:val="00F95802"/>
    <w:rsid w:val="00F9580E"/>
    <w:rsid w:val="00F95832"/>
    <w:rsid w:val="00F95879"/>
    <w:rsid w:val="00F958A4"/>
    <w:rsid w:val="00F958C8"/>
    <w:rsid w:val="00F958E1"/>
    <w:rsid w:val="00F9593C"/>
    <w:rsid w:val="00F959D6"/>
    <w:rsid w:val="00F95A2B"/>
    <w:rsid w:val="00F95A9F"/>
    <w:rsid w:val="00F95B62"/>
    <w:rsid w:val="00F95B8C"/>
    <w:rsid w:val="00F95BAA"/>
    <w:rsid w:val="00F95BCF"/>
    <w:rsid w:val="00F95C23"/>
    <w:rsid w:val="00F95C3A"/>
    <w:rsid w:val="00F95C48"/>
    <w:rsid w:val="00F95C98"/>
    <w:rsid w:val="00F95C9D"/>
    <w:rsid w:val="00F95CBD"/>
    <w:rsid w:val="00F95D36"/>
    <w:rsid w:val="00F95D44"/>
    <w:rsid w:val="00F95D88"/>
    <w:rsid w:val="00F95D91"/>
    <w:rsid w:val="00F95D9F"/>
    <w:rsid w:val="00F95E07"/>
    <w:rsid w:val="00F95E15"/>
    <w:rsid w:val="00F95EBA"/>
    <w:rsid w:val="00F95F22"/>
    <w:rsid w:val="00F95F36"/>
    <w:rsid w:val="00F95F3D"/>
    <w:rsid w:val="00F95F72"/>
    <w:rsid w:val="00F95F7D"/>
    <w:rsid w:val="00F95F99"/>
    <w:rsid w:val="00F95FAD"/>
    <w:rsid w:val="00F95FAF"/>
    <w:rsid w:val="00F95FB6"/>
    <w:rsid w:val="00F95FF0"/>
    <w:rsid w:val="00F95FF4"/>
    <w:rsid w:val="00F96025"/>
    <w:rsid w:val="00F96039"/>
    <w:rsid w:val="00F96051"/>
    <w:rsid w:val="00F96087"/>
    <w:rsid w:val="00F960E2"/>
    <w:rsid w:val="00F960E8"/>
    <w:rsid w:val="00F960FE"/>
    <w:rsid w:val="00F96125"/>
    <w:rsid w:val="00F96129"/>
    <w:rsid w:val="00F96168"/>
    <w:rsid w:val="00F9616C"/>
    <w:rsid w:val="00F96175"/>
    <w:rsid w:val="00F961DE"/>
    <w:rsid w:val="00F96212"/>
    <w:rsid w:val="00F96256"/>
    <w:rsid w:val="00F962AF"/>
    <w:rsid w:val="00F96312"/>
    <w:rsid w:val="00F9633A"/>
    <w:rsid w:val="00F96379"/>
    <w:rsid w:val="00F9639D"/>
    <w:rsid w:val="00F963EC"/>
    <w:rsid w:val="00F963F3"/>
    <w:rsid w:val="00F9642A"/>
    <w:rsid w:val="00F96451"/>
    <w:rsid w:val="00F96474"/>
    <w:rsid w:val="00F964D7"/>
    <w:rsid w:val="00F964E9"/>
    <w:rsid w:val="00F964F1"/>
    <w:rsid w:val="00F96567"/>
    <w:rsid w:val="00F965A1"/>
    <w:rsid w:val="00F965A4"/>
    <w:rsid w:val="00F965B6"/>
    <w:rsid w:val="00F965FD"/>
    <w:rsid w:val="00F9662E"/>
    <w:rsid w:val="00F96696"/>
    <w:rsid w:val="00F966CE"/>
    <w:rsid w:val="00F96763"/>
    <w:rsid w:val="00F96772"/>
    <w:rsid w:val="00F96791"/>
    <w:rsid w:val="00F96872"/>
    <w:rsid w:val="00F968BF"/>
    <w:rsid w:val="00F968E2"/>
    <w:rsid w:val="00F9697E"/>
    <w:rsid w:val="00F969D0"/>
    <w:rsid w:val="00F96A20"/>
    <w:rsid w:val="00F96A6F"/>
    <w:rsid w:val="00F96A86"/>
    <w:rsid w:val="00F96B3C"/>
    <w:rsid w:val="00F96B40"/>
    <w:rsid w:val="00F96B4C"/>
    <w:rsid w:val="00F96B9C"/>
    <w:rsid w:val="00F96BAA"/>
    <w:rsid w:val="00F96BC2"/>
    <w:rsid w:val="00F96BEB"/>
    <w:rsid w:val="00F96D27"/>
    <w:rsid w:val="00F96D2E"/>
    <w:rsid w:val="00F96D7B"/>
    <w:rsid w:val="00F96D85"/>
    <w:rsid w:val="00F96DC6"/>
    <w:rsid w:val="00F96DFA"/>
    <w:rsid w:val="00F96E21"/>
    <w:rsid w:val="00F96E2D"/>
    <w:rsid w:val="00F96EAB"/>
    <w:rsid w:val="00F96EAC"/>
    <w:rsid w:val="00F96EB1"/>
    <w:rsid w:val="00F96EFD"/>
    <w:rsid w:val="00F96F3F"/>
    <w:rsid w:val="00F96F73"/>
    <w:rsid w:val="00F96F80"/>
    <w:rsid w:val="00F9705C"/>
    <w:rsid w:val="00F97099"/>
    <w:rsid w:val="00F9710A"/>
    <w:rsid w:val="00F97134"/>
    <w:rsid w:val="00F97158"/>
    <w:rsid w:val="00F97165"/>
    <w:rsid w:val="00F97166"/>
    <w:rsid w:val="00F9718E"/>
    <w:rsid w:val="00F971A5"/>
    <w:rsid w:val="00F971CC"/>
    <w:rsid w:val="00F971E1"/>
    <w:rsid w:val="00F971F8"/>
    <w:rsid w:val="00F97241"/>
    <w:rsid w:val="00F97256"/>
    <w:rsid w:val="00F97276"/>
    <w:rsid w:val="00F97279"/>
    <w:rsid w:val="00F9728E"/>
    <w:rsid w:val="00F972B7"/>
    <w:rsid w:val="00F973CE"/>
    <w:rsid w:val="00F973DC"/>
    <w:rsid w:val="00F9744F"/>
    <w:rsid w:val="00F974B5"/>
    <w:rsid w:val="00F9750E"/>
    <w:rsid w:val="00F9754C"/>
    <w:rsid w:val="00F975A1"/>
    <w:rsid w:val="00F975A4"/>
    <w:rsid w:val="00F975A6"/>
    <w:rsid w:val="00F9763B"/>
    <w:rsid w:val="00F9765E"/>
    <w:rsid w:val="00F97692"/>
    <w:rsid w:val="00F976B6"/>
    <w:rsid w:val="00F97708"/>
    <w:rsid w:val="00F97786"/>
    <w:rsid w:val="00F977C3"/>
    <w:rsid w:val="00F977D3"/>
    <w:rsid w:val="00F97819"/>
    <w:rsid w:val="00F97902"/>
    <w:rsid w:val="00F97919"/>
    <w:rsid w:val="00F9791A"/>
    <w:rsid w:val="00F97920"/>
    <w:rsid w:val="00F97928"/>
    <w:rsid w:val="00F97997"/>
    <w:rsid w:val="00F979C1"/>
    <w:rsid w:val="00F979C2"/>
    <w:rsid w:val="00F97A1F"/>
    <w:rsid w:val="00F97A24"/>
    <w:rsid w:val="00F97A5B"/>
    <w:rsid w:val="00F97A8A"/>
    <w:rsid w:val="00F97ABB"/>
    <w:rsid w:val="00F97ACD"/>
    <w:rsid w:val="00F97AFE"/>
    <w:rsid w:val="00F97B06"/>
    <w:rsid w:val="00F97B3B"/>
    <w:rsid w:val="00F97B3E"/>
    <w:rsid w:val="00F97B60"/>
    <w:rsid w:val="00F97B8A"/>
    <w:rsid w:val="00F97BE9"/>
    <w:rsid w:val="00F97BF2"/>
    <w:rsid w:val="00F97CA0"/>
    <w:rsid w:val="00F97DF9"/>
    <w:rsid w:val="00F97E1D"/>
    <w:rsid w:val="00F97E56"/>
    <w:rsid w:val="00F97E64"/>
    <w:rsid w:val="00F97E86"/>
    <w:rsid w:val="00F97EC6"/>
    <w:rsid w:val="00F97EC8"/>
    <w:rsid w:val="00F97F00"/>
    <w:rsid w:val="00F97F1F"/>
    <w:rsid w:val="00F9924C"/>
    <w:rsid w:val="00F9ACAD"/>
    <w:rsid w:val="00F9FF7E"/>
    <w:rsid w:val="00FA0009"/>
    <w:rsid w:val="00FA00B1"/>
    <w:rsid w:val="00FA00E4"/>
    <w:rsid w:val="00FA0112"/>
    <w:rsid w:val="00FA0167"/>
    <w:rsid w:val="00FA01BC"/>
    <w:rsid w:val="00FA01C2"/>
    <w:rsid w:val="00FA0203"/>
    <w:rsid w:val="00FA0212"/>
    <w:rsid w:val="00FA02C5"/>
    <w:rsid w:val="00FA02CE"/>
    <w:rsid w:val="00FA02E4"/>
    <w:rsid w:val="00FA02E9"/>
    <w:rsid w:val="00FA0337"/>
    <w:rsid w:val="00FA036C"/>
    <w:rsid w:val="00FA03D9"/>
    <w:rsid w:val="00FA0423"/>
    <w:rsid w:val="00FA042F"/>
    <w:rsid w:val="00FA0432"/>
    <w:rsid w:val="00FA046C"/>
    <w:rsid w:val="00FA04A1"/>
    <w:rsid w:val="00FA04DA"/>
    <w:rsid w:val="00FA04DD"/>
    <w:rsid w:val="00FA04FA"/>
    <w:rsid w:val="00FA0510"/>
    <w:rsid w:val="00FA0521"/>
    <w:rsid w:val="00FA0528"/>
    <w:rsid w:val="00FA052A"/>
    <w:rsid w:val="00FA0561"/>
    <w:rsid w:val="00FA0563"/>
    <w:rsid w:val="00FA059D"/>
    <w:rsid w:val="00FA06A3"/>
    <w:rsid w:val="00FA06AD"/>
    <w:rsid w:val="00FA06BD"/>
    <w:rsid w:val="00FA06DA"/>
    <w:rsid w:val="00FA06F0"/>
    <w:rsid w:val="00FA0759"/>
    <w:rsid w:val="00FA07EF"/>
    <w:rsid w:val="00FA0853"/>
    <w:rsid w:val="00FA087F"/>
    <w:rsid w:val="00FA090A"/>
    <w:rsid w:val="00FA0933"/>
    <w:rsid w:val="00FA095A"/>
    <w:rsid w:val="00FA0986"/>
    <w:rsid w:val="00FA09A1"/>
    <w:rsid w:val="00FA09C8"/>
    <w:rsid w:val="00FA09E1"/>
    <w:rsid w:val="00FA0A50"/>
    <w:rsid w:val="00FA0A51"/>
    <w:rsid w:val="00FA0A62"/>
    <w:rsid w:val="00FA0A69"/>
    <w:rsid w:val="00FA0ACA"/>
    <w:rsid w:val="00FA0AD9"/>
    <w:rsid w:val="00FA0B30"/>
    <w:rsid w:val="00FA0B4A"/>
    <w:rsid w:val="00FA0B65"/>
    <w:rsid w:val="00FA0B71"/>
    <w:rsid w:val="00FA0B9F"/>
    <w:rsid w:val="00FA0BB6"/>
    <w:rsid w:val="00FA0C8D"/>
    <w:rsid w:val="00FA0CDC"/>
    <w:rsid w:val="00FA0CEA"/>
    <w:rsid w:val="00FA0CF4"/>
    <w:rsid w:val="00FA0D21"/>
    <w:rsid w:val="00FA0D45"/>
    <w:rsid w:val="00FA0D4E"/>
    <w:rsid w:val="00FA0D75"/>
    <w:rsid w:val="00FA0DCA"/>
    <w:rsid w:val="00FA0DE6"/>
    <w:rsid w:val="00FA0E52"/>
    <w:rsid w:val="00FA0E54"/>
    <w:rsid w:val="00FA0E8E"/>
    <w:rsid w:val="00FA0EEE"/>
    <w:rsid w:val="00FA0F1F"/>
    <w:rsid w:val="00FA0F36"/>
    <w:rsid w:val="00FA0F38"/>
    <w:rsid w:val="00FA0F43"/>
    <w:rsid w:val="00FA0F8D"/>
    <w:rsid w:val="00FA0FC9"/>
    <w:rsid w:val="00FA101C"/>
    <w:rsid w:val="00FA104C"/>
    <w:rsid w:val="00FA1083"/>
    <w:rsid w:val="00FA10B5"/>
    <w:rsid w:val="00FA113D"/>
    <w:rsid w:val="00FA121A"/>
    <w:rsid w:val="00FA1242"/>
    <w:rsid w:val="00FA1261"/>
    <w:rsid w:val="00FA12CF"/>
    <w:rsid w:val="00FA1386"/>
    <w:rsid w:val="00FA1399"/>
    <w:rsid w:val="00FA139D"/>
    <w:rsid w:val="00FA13A5"/>
    <w:rsid w:val="00FA13B0"/>
    <w:rsid w:val="00FA140F"/>
    <w:rsid w:val="00FA141C"/>
    <w:rsid w:val="00FA1422"/>
    <w:rsid w:val="00FA1438"/>
    <w:rsid w:val="00FA1488"/>
    <w:rsid w:val="00FA14F6"/>
    <w:rsid w:val="00FA1583"/>
    <w:rsid w:val="00FA15A5"/>
    <w:rsid w:val="00FA15EF"/>
    <w:rsid w:val="00FA15F0"/>
    <w:rsid w:val="00FA1628"/>
    <w:rsid w:val="00FA166B"/>
    <w:rsid w:val="00FA1684"/>
    <w:rsid w:val="00FA168A"/>
    <w:rsid w:val="00FA16C0"/>
    <w:rsid w:val="00FA1745"/>
    <w:rsid w:val="00FA1773"/>
    <w:rsid w:val="00FA17B3"/>
    <w:rsid w:val="00FA17CA"/>
    <w:rsid w:val="00FA17D2"/>
    <w:rsid w:val="00FA17DF"/>
    <w:rsid w:val="00FA1812"/>
    <w:rsid w:val="00FA1871"/>
    <w:rsid w:val="00FA193A"/>
    <w:rsid w:val="00FA1947"/>
    <w:rsid w:val="00FA195A"/>
    <w:rsid w:val="00FA19A9"/>
    <w:rsid w:val="00FA19BF"/>
    <w:rsid w:val="00FA1A37"/>
    <w:rsid w:val="00FA1A48"/>
    <w:rsid w:val="00FA1A50"/>
    <w:rsid w:val="00FA1AA1"/>
    <w:rsid w:val="00FA1AA4"/>
    <w:rsid w:val="00FA1AE1"/>
    <w:rsid w:val="00FA1B45"/>
    <w:rsid w:val="00FA1B62"/>
    <w:rsid w:val="00FA1B76"/>
    <w:rsid w:val="00FA1B8F"/>
    <w:rsid w:val="00FA1B9C"/>
    <w:rsid w:val="00FA1BC2"/>
    <w:rsid w:val="00FA1C44"/>
    <w:rsid w:val="00FA1C7D"/>
    <w:rsid w:val="00FA1CD8"/>
    <w:rsid w:val="00FA1CF4"/>
    <w:rsid w:val="00FA1D87"/>
    <w:rsid w:val="00FA1DDC"/>
    <w:rsid w:val="00FA1DED"/>
    <w:rsid w:val="00FA1E6E"/>
    <w:rsid w:val="00FA1EA9"/>
    <w:rsid w:val="00FA1EEB"/>
    <w:rsid w:val="00FA1F31"/>
    <w:rsid w:val="00FA1F34"/>
    <w:rsid w:val="00FA1F41"/>
    <w:rsid w:val="00FA1F49"/>
    <w:rsid w:val="00FA1F5E"/>
    <w:rsid w:val="00FA1F7B"/>
    <w:rsid w:val="00FA1FE1"/>
    <w:rsid w:val="00FA2062"/>
    <w:rsid w:val="00FA206F"/>
    <w:rsid w:val="00FA209F"/>
    <w:rsid w:val="00FA20C5"/>
    <w:rsid w:val="00FA20D3"/>
    <w:rsid w:val="00FA214F"/>
    <w:rsid w:val="00FA222E"/>
    <w:rsid w:val="00FA228C"/>
    <w:rsid w:val="00FA22A1"/>
    <w:rsid w:val="00FA22CE"/>
    <w:rsid w:val="00FA22D1"/>
    <w:rsid w:val="00FA22DC"/>
    <w:rsid w:val="00FA2314"/>
    <w:rsid w:val="00FA236A"/>
    <w:rsid w:val="00FA238D"/>
    <w:rsid w:val="00FA23E8"/>
    <w:rsid w:val="00FA244A"/>
    <w:rsid w:val="00FA24DD"/>
    <w:rsid w:val="00FA253A"/>
    <w:rsid w:val="00FA255B"/>
    <w:rsid w:val="00FA25CB"/>
    <w:rsid w:val="00FA2633"/>
    <w:rsid w:val="00FA2636"/>
    <w:rsid w:val="00FA2652"/>
    <w:rsid w:val="00FA268E"/>
    <w:rsid w:val="00FA26E5"/>
    <w:rsid w:val="00FA26F3"/>
    <w:rsid w:val="00FA26FD"/>
    <w:rsid w:val="00FA272F"/>
    <w:rsid w:val="00FA2778"/>
    <w:rsid w:val="00FA279D"/>
    <w:rsid w:val="00FA27CA"/>
    <w:rsid w:val="00FA27EE"/>
    <w:rsid w:val="00FA2896"/>
    <w:rsid w:val="00FA28A2"/>
    <w:rsid w:val="00FA28A7"/>
    <w:rsid w:val="00FA28B7"/>
    <w:rsid w:val="00FA28FC"/>
    <w:rsid w:val="00FA2974"/>
    <w:rsid w:val="00FA29E1"/>
    <w:rsid w:val="00FA29FC"/>
    <w:rsid w:val="00FA2A2B"/>
    <w:rsid w:val="00FA2AA8"/>
    <w:rsid w:val="00FA2AAB"/>
    <w:rsid w:val="00FA2AB3"/>
    <w:rsid w:val="00FA2AD4"/>
    <w:rsid w:val="00FA2ADF"/>
    <w:rsid w:val="00FA2B01"/>
    <w:rsid w:val="00FA2B23"/>
    <w:rsid w:val="00FA2B55"/>
    <w:rsid w:val="00FA2B72"/>
    <w:rsid w:val="00FA2B7A"/>
    <w:rsid w:val="00FA2B8A"/>
    <w:rsid w:val="00FA2B98"/>
    <w:rsid w:val="00FA2BCA"/>
    <w:rsid w:val="00FA2BD5"/>
    <w:rsid w:val="00FA2BDE"/>
    <w:rsid w:val="00FA2C38"/>
    <w:rsid w:val="00FA2C55"/>
    <w:rsid w:val="00FA2CB5"/>
    <w:rsid w:val="00FA2CFF"/>
    <w:rsid w:val="00FA2D15"/>
    <w:rsid w:val="00FA2D28"/>
    <w:rsid w:val="00FA2D76"/>
    <w:rsid w:val="00FA2D78"/>
    <w:rsid w:val="00FA2DDF"/>
    <w:rsid w:val="00FA2E18"/>
    <w:rsid w:val="00FA2E6F"/>
    <w:rsid w:val="00FA2E8C"/>
    <w:rsid w:val="00FA2EAB"/>
    <w:rsid w:val="00FA2EAE"/>
    <w:rsid w:val="00FA2EBB"/>
    <w:rsid w:val="00FA2EF5"/>
    <w:rsid w:val="00FA2F16"/>
    <w:rsid w:val="00FA2F2B"/>
    <w:rsid w:val="00FA2FA7"/>
    <w:rsid w:val="00FA2FD3"/>
    <w:rsid w:val="00FA2FED"/>
    <w:rsid w:val="00FA3064"/>
    <w:rsid w:val="00FA306D"/>
    <w:rsid w:val="00FA307E"/>
    <w:rsid w:val="00FA308F"/>
    <w:rsid w:val="00FA30ED"/>
    <w:rsid w:val="00FA3155"/>
    <w:rsid w:val="00FA315A"/>
    <w:rsid w:val="00FA31DC"/>
    <w:rsid w:val="00FA3231"/>
    <w:rsid w:val="00FA3240"/>
    <w:rsid w:val="00FA3254"/>
    <w:rsid w:val="00FA3277"/>
    <w:rsid w:val="00FA32BF"/>
    <w:rsid w:val="00FA32FA"/>
    <w:rsid w:val="00FA32FE"/>
    <w:rsid w:val="00FA3345"/>
    <w:rsid w:val="00FA33D6"/>
    <w:rsid w:val="00FA3415"/>
    <w:rsid w:val="00FA3469"/>
    <w:rsid w:val="00FA3486"/>
    <w:rsid w:val="00FA34C7"/>
    <w:rsid w:val="00FA34D9"/>
    <w:rsid w:val="00FA3528"/>
    <w:rsid w:val="00FA3548"/>
    <w:rsid w:val="00FA354E"/>
    <w:rsid w:val="00FA35D3"/>
    <w:rsid w:val="00FA35D8"/>
    <w:rsid w:val="00FA361A"/>
    <w:rsid w:val="00FA362A"/>
    <w:rsid w:val="00FA364F"/>
    <w:rsid w:val="00FA3706"/>
    <w:rsid w:val="00FA376E"/>
    <w:rsid w:val="00FA3774"/>
    <w:rsid w:val="00FA377F"/>
    <w:rsid w:val="00FA37BA"/>
    <w:rsid w:val="00FA3805"/>
    <w:rsid w:val="00FA3852"/>
    <w:rsid w:val="00FA386C"/>
    <w:rsid w:val="00FA3878"/>
    <w:rsid w:val="00FA389E"/>
    <w:rsid w:val="00FA38C0"/>
    <w:rsid w:val="00FA393B"/>
    <w:rsid w:val="00FA395C"/>
    <w:rsid w:val="00FA3962"/>
    <w:rsid w:val="00FA3997"/>
    <w:rsid w:val="00FA39AD"/>
    <w:rsid w:val="00FA39B3"/>
    <w:rsid w:val="00FA39D9"/>
    <w:rsid w:val="00FA3AD6"/>
    <w:rsid w:val="00FA3C1E"/>
    <w:rsid w:val="00FA3C24"/>
    <w:rsid w:val="00FA3CE2"/>
    <w:rsid w:val="00FA3D1B"/>
    <w:rsid w:val="00FA3D39"/>
    <w:rsid w:val="00FA3D41"/>
    <w:rsid w:val="00FA3D93"/>
    <w:rsid w:val="00FA3DC3"/>
    <w:rsid w:val="00FA3E5E"/>
    <w:rsid w:val="00FA3ED3"/>
    <w:rsid w:val="00FA3F1E"/>
    <w:rsid w:val="00FA3F37"/>
    <w:rsid w:val="00FA3F93"/>
    <w:rsid w:val="00FA3FFE"/>
    <w:rsid w:val="00FA400C"/>
    <w:rsid w:val="00FA412D"/>
    <w:rsid w:val="00FA413C"/>
    <w:rsid w:val="00FA4158"/>
    <w:rsid w:val="00FA416F"/>
    <w:rsid w:val="00FA4178"/>
    <w:rsid w:val="00FA4191"/>
    <w:rsid w:val="00FA423D"/>
    <w:rsid w:val="00FA4274"/>
    <w:rsid w:val="00FA42F1"/>
    <w:rsid w:val="00FA42FA"/>
    <w:rsid w:val="00FA4344"/>
    <w:rsid w:val="00FA4358"/>
    <w:rsid w:val="00FA43AC"/>
    <w:rsid w:val="00FA43B0"/>
    <w:rsid w:val="00FA43CB"/>
    <w:rsid w:val="00FA43DC"/>
    <w:rsid w:val="00FA43FB"/>
    <w:rsid w:val="00FA441A"/>
    <w:rsid w:val="00FA442E"/>
    <w:rsid w:val="00FA4442"/>
    <w:rsid w:val="00FA4445"/>
    <w:rsid w:val="00FA44B7"/>
    <w:rsid w:val="00FA44F0"/>
    <w:rsid w:val="00FA45CA"/>
    <w:rsid w:val="00FA45FC"/>
    <w:rsid w:val="00FA4610"/>
    <w:rsid w:val="00FA4662"/>
    <w:rsid w:val="00FA467A"/>
    <w:rsid w:val="00FA46AD"/>
    <w:rsid w:val="00FA46CD"/>
    <w:rsid w:val="00FA47EC"/>
    <w:rsid w:val="00FA47F8"/>
    <w:rsid w:val="00FA47F9"/>
    <w:rsid w:val="00FA489A"/>
    <w:rsid w:val="00FA48CC"/>
    <w:rsid w:val="00FA4921"/>
    <w:rsid w:val="00FA49AA"/>
    <w:rsid w:val="00FA49C5"/>
    <w:rsid w:val="00FA49E0"/>
    <w:rsid w:val="00FA49F8"/>
    <w:rsid w:val="00FA4A24"/>
    <w:rsid w:val="00FA4A67"/>
    <w:rsid w:val="00FA4AAB"/>
    <w:rsid w:val="00FA4AAF"/>
    <w:rsid w:val="00FA4ACE"/>
    <w:rsid w:val="00FA4B2D"/>
    <w:rsid w:val="00FA4B39"/>
    <w:rsid w:val="00FA4B95"/>
    <w:rsid w:val="00FA4BB7"/>
    <w:rsid w:val="00FA4BBA"/>
    <w:rsid w:val="00FA4C4B"/>
    <w:rsid w:val="00FA4C94"/>
    <w:rsid w:val="00FA4C9C"/>
    <w:rsid w:val="00FA4CB4"/>
    <w:rsid w:val="00FA4CEA"/>
    <w:rsid w:val="00FA4D40"/>
    <w:rsid w:val="00FA4D54"/>
    <w:rsid w:val="00FA4D59"/>
    <w:rsid w:val="00FA4DCE"/>
    <w:rsid w:val="00FA4DFB"/>
    <w:rsid w:val="00FA4E44"/>
    <w:rsid w:val="00FA4E5C"/>
    <w:rsid w:val="00FA4F14"/>
    <w:rsid w:val="00FA4F3B"/>
    <w:rsid w:val="00FA4FF0"/>
    <w:rsid w:val="00FA4FFB"/>
    <w:rsid w:val="00FA503B"/>
    <w:rsid w:val="00FA50D6"/>
    <w:rsid w:val="00FA5107"/>
    <w:rsid w:val="00FA5117"/>
    <w:rsid w:val="00FA5118"/>
    <w:rsid w:val="00FA5131"/>
    <w:rsid w:val="00FA513A"/>
    <w:rsid w:val="00FA5161"/>
    <w:rsid w:val="00FA5210"/>
    <w:rsid w:val="00FA5241"/>
    <w:rsid w:val="00FA526B"/>
    <w:rsid w:val="00FA52AF"/>
    <w:rsid w:val="00FA52BB"/>
    <w:rsid w:val="00FA52CD"/>
    <w:rsid w:val="00FA52FD"/>
    <w:rsid w:val="00FA537C"/>
    <w:rsid w:val="00FA5389"/>
    <w:rsid w:val="00FA53A8"/>
    <w:rsid w:val="00FA53AF"/>
    <w:rsid w:val="00FA53B2"/>
    <w:rsid w:val="00FA53F3"/>
    <w:rsid w:val="00FA5489"/>
    <w:rsid w:val="00FA5497"/>
    <w:rsid w:val="00FA54A0"/>
    <w:rsid w:val="00FA54AA"/>
    <w:rsid w:val="00FA54AE"/>
    <w:rsid w:val="00FA54AF"/>
    <w:rsid w:val="00FA54BE"/>
    <w:rsid w:val="00FA54E7"/>
    <w:rsid w:val="00FA552C"/>
    <w:rsid w:val="00FA555C"/>
    <w:rsid w:val="00FA5573"/>
    <w:rsid w:val="00FA5591"/>
    <w:rsid w:val="00FA55B8"/>
    <w:rsid w:val="00FA55E6"/>
    <w:rsid w:val="00FA5619"/>
    <w:rsid w:val="00FA5660"/>
    <w:rsid w:val="00FA5699"/>
    <w:rsid w:val="00FA578C"/>
    <w:rsid w:val="00FA57B4"/>
    <w:rsid w:val="00FA57C7"/>
    <w:rsid w:val="00FA584F"/>
    <w:rsid w:val="00FA5850"/>
    <w:rsid w:val="00FA589B"/>
    <w:rsid w:val="00FA58C9"/>
    <w:rsid w:val="00FA59A3"/>
    <w:rsid w:val="00FA59AA"/>
    <w:rsid w:val="00FA59F0"/>
    <w:rsid w:val="00FA5ADC"/>
    <w:rsid w:val="00FA5B21"/>
    <w:rsid w:val="00FA5BD8"/>
    <w:rsid w:val="00FA5C0D"/>
    <w:rsid w:val="00FA5C56"/>
    <w:rsid w:val="00FA5CC1"/>
    <w:rsid w:val="00FA5CD0"/>
    <w:rsid w:val="00FA5CEF"/>
    <w:rsid w:val="00FA5CF3"/>
    <w:rsid w:val="00FA5D09"/>
    <w:rsid w:val="00FA5D2D"/>
    <w:rsid w:val="00FA5D88"/>
    <w:rsid w:val="00FA5DBF"/>
    <w:rsid w:val="00FA5E1E"/>
    <w:rsid w:val="00FA5E43"/>
    <w:rsid w:val="00FA5E56"/>
    <w:rsid w:val="00FA5E57"/>
    <w:rsid w:val="00FA5E76"/>
    <w:rsid w:val="00FA5E96"/>
    <w:rsid w:val="00FA5EA3"/>
    <w:rsid w:val="00FA5F3A"/>
    <w:rsid w:val="00FA5F89"/>
    <w:rsid w:val="00FA5FB1"/>
    <w:rsid w:val="00FA6088"/>
    <w:rsid w:val="00FA60A0"/>
    <w:rsid w:val="00FA60AB"/>
    <w:rsid w:val="00FA6135"/>
    <w:rsid w:val="00FA616F"/>
    <w:rsid w:val="00FA61DA"/>
    <w:rsid w:val="00FA61E0"/>
    <w:rsid w:val="00FA6208"/>
    <w:rsid w:val="00FA6256"/>
    <w:rsid w:val="00FA6259"/>
    <w:rsid w:val="00FA6287"/>
    <w:rsid w:val="00FA62D3"/>
    <w:rsid w:val="00FA62F6"/>
    <w:rsid w:val="00FA631F"/>
    <w:rsid w:val="00FA6342"/>
    <w:rsid w:val="00FA634F"/>
    <w:rsid w:val="00FA635B"/>
    <w:rsid w:val="00FA636A"/>
    <w:rsid w:val="00FA638B"/>
    <w:rsid w:val="00FA63A8"/>
    <w:rsid w:val="00FA63F0"/>
    <w:rsid w:val="00FA6414"/>
    <w:rsid w:val="00FA6418"/>
    <w:rsid w:val="00FA6471"/>
    <w:rsid w:val="00FA6500"/>
    <w:rsid w:val="00FA650E"/>
    <w:rsid w:val="00FA6522"/>
    <w:rsid w:val="00FA653F"/>
    <w:rsid w:val="00FA65D3"/>
    <w:rsid w:val="00FA65ED"/>
    <w:rsid w:val="00FA6647"/>
    <w:rsid w:val="00FA6651"/>
    <w:rsid w:val="00FA66C3"/>
    <w:rsid w:val="00FA673C"/>
    <w:rsid w:val="00FA6747"/>
    <w:rsid w:val="00FA6760"/>
    <w:rsid w:val="00FA6825"/>
    <w:rsid w:val="00FA683B"/>
    <w:rsid w:val="00FA6851"/>
    <w:rsid w:val="00FA6852"/>
    <w:rsid w:val="00FA685C"/>
    <w:rsid w:val="00FA6898"/>
    <w:rsid w:val="00FA691A"/>
    <w:rsid w:val="00FA6968"/>
    <w:rsid w:val="00FA696B"/>
    <w:rsid w:val="00FA69C2"/>
    <w:rsid w:val="00FA69E8"/>
    <w:rsid w:val="00FA69EF"/>
    <w:rsid w:val="00FA6A01"/>
    <w:rsid w:val="00FA6A20"/>
    <w:rsid w:val="00FA6A32"/>
    <w:rsid w:val="00FA6A83"/>
    <w:rsid w:val="00FA6AB4"/>
    <w:rsid w:val="00FA6AC0"/>
    <w:rsid w:val="00FA6B22"/>
    <w:rsid w:val="00FA6B3B"/>
    <w:rsid w:val="00FA6B73"/>
    <w:rsid w:val="00FA6B85"/>
    <w:rsid w:val="00FA6BDC"/>
    <w:rsid w:val="00FA6BFC"/>
    <w:rsid w:val="00FA6C0C"/>
    <w:rsid w:val="00FA6C4C"/>
    <w:rsid w:val="00FA6C5A"/>
    <w:rsid w:val="00FA6CA9"/>
    <w:rsid w:val="00FA6CF0"/>
    <w:rsid w:val="00FA6D15"/>
    <w:rsid w:val="00FA6D44"/>
    <w:rsid w:val="00FA6D55"/>
    <w:rsid w:val="00FA6D88"/>
    <w:rsid w:val="00FA6DF1"/>
    <w:rsid w:val="00FA6E43"/>
    <w:rsid w:val="00FA6E9A"/>
    <w:rsid w:val="00FA6EA4"/>
    <w:rsid w:val="00FA6EE9"/>
    <w:rsid w:val="00FA6FB1"/>
    <w:rsid w:val="00FA7078"/>
    <w:rsid w:val="00FA708D"/>
    <w:rsid w:val="00FA7094"/>
    <w:rsid w:val="00FA709A"/>
    <w:rsid w:val="00FA70AE"/>
    <w:rsid w:val="00FA70BA"/>
    <w:rsid w:val="00FA710E"/>
    <w:rsid w:val="00FA713E"/>
    <w:rsid w:val="00FA717F"/>
    <w:rsid w:val="00FA71B2"/>
    <w:rsid w:val="00FA71B7"/>
    <w:rsid w:val="00FA7263"/>
    <w:rsid w:val="00FA72BF"/>
    <w:rsid w:val="00FA7347"/>
    <w:rsid w:val="00FA736E"/>
    <w:rsid w:val="00FA739E"/>
    <w:rsid w:val="00FA73B3"/>
    <w:rsid w:val="00FA73C2"/>
    <w:rsid w:val="00FA73DA"/>
    <w:rsid w:val="00FA7419"/>
    <w:rsid w:val="00FA7436"/>
    <w:rsid w:val="00FA745F"/>
    <w:rsid w:val="00FA748F"/>
    <w:rsid w:val="00FA7497"/>
    <w:rsid w:val="00FA74A2"/>
    <w:rsid w:val="00FA74F8"/>
    <w:rsid w:val="00FA765B"/>
    <w:rsid w:val="00FA765F"/>
    <w:rsid w:val="00FA766C"/>
    <w:rsid w:val="00FA7693"/>
    <w:rsid w:val="00FA7758"/>
    <w:rsid w:val="00FA777F"/>
    <w:rsid w:val="00FA77B3"/>
    <w:rsid w:val="00FA77E9"/>
    <w:rsid w:val="00FA7827"/>
    <w:rsid w:val="00FA786A"/>
    <w:rsid w:val="00FA790B"/>
    <w:rsid w:val="00FA793D"/>
    <w:rsid w:val="00FA7969"/>
    <w:rsid w:val="00FA7A33"/>
    <w:rsid w:val="00FA7A46"/>
    <w:rsid w:val="00FA7A57"/>
    <w:rsid w:val="00FA7A58"/>
    <w:rsid w:val="00FA7A90"/>
    <w:rsid w:val="00FA7AA6"/>
    <w:rsid w:val="00FA7AD4"/>
    <w:rsid w:val="00FA7C29"/>
    <w:rsid w:val="00FA7C3E"/>
    <w:rsid w:val="00FA7CB6"/>
    <w:rsid w:val="00FA7D07"/>
    <w:rsid w:val="00FA7D47"/>
    <w:rsid w:val="00FA7D63"/>
    <w:rsid w:val="00FA7D9A"/>
    <w:rsid w:val="00FA7D9B"/>
    <w:rsid w:val="00FA7DCF"/>
    <w:rsid w:val="00FA7DF1"/>
    <w:rsid w:val="00FA7DFA"/>
    <w:rsid w:val="00FA7E22"/>
    <w:rsid w:val="00FA7E69"/>
    <w:rsid w:val="00FA7E99"/>
    <w:rsid w:val="00FA7F01"/>
    <w:rsid w:val="00FA7F02"/>
    <w:rsid w:val="00FA7F08"/>
    <w:rsid w:val="00FA7F2F"/>
    <w:rsid w:val="00FA7F5C"/>
    <w:rsid w:val="00FA7FB7"/>
    <w:rsid w:val="00FA7FD9"/>
    <w:rsid w:val="00FA7FDE"/>
    <w:rsid w:val="00FA85B8"/>
    <w:rsid w:val="00FA9AB1"/>
    <w:rsid w:val="00FAC3D2"/>
    <w:rsid w:val="00FAD747"/>
    <w:rsid w:val="00FB0003"/>
    <w:rsid w:val="00FB0043"/>
    <w:rsid w:val="00FB00A8"/>
    <w:rsid w:val="00FB00AF"/>
    <w:rsid w:val="00FB00C6"/>
    <w:rsid w:val="00FB00D1"/>
    <w:rsid w:val="00FB0119"/>
    <w:rsid w:val="00FB0133"/>
    <w:rsid w:val="00FB0169"/>
    <w:rsid w:val="00FB01A5"/>
    <w:rsid w:val="00FB01EE"/>
    <w:rsid w:val="00FB01F3"/>
    <w:rsid w:val="00FB0219"/>
    <w:rsid w:val="00FB022F"/>
    <w:rsid w:val="00FB024C"/>
    <w:rsid w:val="00FB0266"/>
    <w:rsid w:val="00FB0361"/>
    <w:rsid w:val="00FB03A2"/>
    <w:rsid w:val="00FB03A6"/>
    <w:rsid w:val="00FB03D2"/>
    <w:rsid w:val="00FB0412"/>
    <w:rsid w:val="00FB04CA"/>
    <w:rsid w:val="00FB04F5"/>
    <w:rsid w:val="00FB04F8"/>
    <w:rsid w:val="00FB0502"/>
    <w:rsid w:val="00FB0513"/>
    <w:rsid w:val="00FB0547"/>
    <w:rsid w:val="00FB0584"/>
    <w:rsid w:val="00FB05A1"/>
    <w:rsid w:val="00FB05A8"/>
    <w:rsid w:val="00FB05B6"/>
    <w:rsid w:val="00FB05D4"/>
    <w:rsid w:val="00FB062A"/>
    <w:rsid w:val="00FB0653"/>
    <w:rsid w:val="00FB069C"/>
    <w:rsid w:val="00FB06C7"/>
    <w:rsid w:val="00FB06CA"/>
    <w:rsid w:val="00FB06D3"/>
    <w:rsid w:val="00FB06E5"/>
    <w:rsid w:val="00FB0754"/>
    <w:rsid w:val="00FB0756"/>
    <w:rsid w:val="00FB0786"/>
    <w:rsid w:val="00FB07A1"/>
    <w:rsid w:val="00FB07CB"/>
    <w:rsid w:val="00FB07FD"/>
    <w:rsid w:val="00FB0813"/>
    <w:rsid w:val="00FB0861"/>
    <w:rsid w:val="00FB089E"/>
    <w:rsid w:val="00FB08A7"/>
    <w:rsid w:val="00FB08E9"/>
    <w:rsid w:val="00FB0927"/>
    <w:rsid w:val="00FB097E"/>
    <w:rsid w:val="00FB0A00"/>
    <w:rsid w:val="00FB0A13"/>
    <w:rsid w:val="00FB0A6F"/>
    <w:rsid w:val="00FB0AF5"/>
    <w:rsid w:val="00FB0B35"/>
    <w:rsid w:val="00FB0BD1"/>
    <w:rsid w:val="00FB0BDB"/>
    <w:rsid w:val="00FB0BDC"/>
    <w:rsid w:val="00FB0BE5"/>
    <w:rsid w:val="00FB0C07"/>
    <w:rsid w:val="00FB0C38"/>
    <w:rsid w:val="00FB0C3B"/>
    <w:rsid w:val="00FB0C4B"/>
    <w:rsid w:val="00FB0C67"/>
    <w:rsid w:val="00FB0CE3"/>
    <w:rsid w:val="00FB0D62"/>
    <w:rsid w:val="00FB0D80"/>
    <w:rsid w:val="00FB0D81"/>
    <w:rsid w:val="00FB0D96"/>
    <w:rsid w:val="00FB0DA5"/>
    <w:rsid w:val="00FB0E35"/>
    <w:rsid w:val="00FB0E46"/>
    <w:rsid w:val="00FB0EDA"/>
    <w:rsid w:val="00FB0F20"/>
    <w:rsid w:val="00FB0F3C"/>
    <w:rsid w:val="00FB0F4B"/>
    <w:rsid w:val="00FB0F4F"/>
    <w:rsid w:val="00FB0F72"/>
    <w:rsid w:val="00FB0F75"/>
    <w:rsid w:val="00FB1080"/>
    <w:rsid w:val="00FB1093"/>
    <w:rsid w:val="00FB11B8"/>
    <w:rsid w:val="00FB12F9"/>
    <w:rsid w:val="00FB1349"/>
    <w:rsid w:val="00FB135A"/>
    <w:rsid w:val="00FB1369"/>
    <w:rsid w:val="00FB1428"/>
    <w:rsid w:val="00FB1441"/>
    <w:rsid w:val="00FB14F3"/>
    <w:rsid w:val="00FB158F"/>
    <w:rsid w:val="00FB15A7"/>
    <w:rsid w:val="00FB15B2"/>
    <w:rsid w:val="00FB15CB"/>
    <w:rsid w:val="00FB15EF"/>
    <w:rsid w:val="00FB1616"/>
    <w:rsid w:val="00FB163E"/>
    <w:rsid w:val="00FB1657"/>
    <w:rsid w:val="00FB1672"/>
    <w:rsid w:val="00FB16BD"/>
    <w:rsid w:val="00FB16BE"/>
    <w:rsid w:val="00FB16DB"/>
    <w:rsid w:val="00FB1711"/>
    <w:rsid w:val="00FB1755"/>
    <w:rsid w:val="00FB17BF"/>
    <w:rsid w:val="00FB180F"/>
    <w:rsid w:val="00FB1840"/>
    <w:rsid w:val="00FB185D"/>
    <w:rsid w:val="00FB1885"/>
    <w:rsid w:val="00FB18E4"/>
    <w:rsid w:val="00FB193C"/>
    <w:rsid w:val="00FB194B"/>
    <w:rsid w:val="00FB197E"/>
    <w:rsid w:val="00FB19C0"/>
    <w:rsid w:val="00FB19D2"/>
    <w:rsid w:val="00FB19F8"/>
    <w:rsid w:val="00FB1A2E"/>
    <w:rsid w:val="00FB1A36"/>
    <w:rsid w:val="00FB1A88"/>
    <w:rsid w:val="00FB1AA0"/>
    <w:rsid w:val="00FB1B18"/>
    <w:rsid w:val="00FB1B27"/>
    <w:rsid w:val="00FB1B5D"/>
    <w:rsid w:val="00FB1B5E"/>
    <w:rsid w:val="00FB1B8C"/>
    <w:rsid w:val="00FB1BAC"/>
    <w:rsid w:val="00FB1C01"/>
    <w:rsid w:val="00FB1C5B"/>
    <w:rsid w:val="00FB1CAD"/>
    <w:rsid w:val="00FB1CE6"/>
    <w:rsid w:val="00FB1E4F"/>
    <w:rsid w:val="00FB1E60"/>
    <w:rsid w:val="00FB1EF1"/>
    <w:rsid w:val="00FB1F86"/>
    <w:rsid w:val="00FB1FA0"/>
    <w:rsid w:val="00FB2091"/>
    <w:rsid w:val="00FB209B"/>
    <w:rsid w:val="00FB20D2"/>
    <w:rsid w:val="00FB20D7"/>
    <w:rsid w:val="00FB2166"/>
    <w:rsid w:val="00FB2176"/>
    <w:rsid w:val="00FB2179"/>
    <w:rsid w:val="00FB2184"/>
    <w:rsid w:val="00FB225E"/>
    <w:rsid w:val="00FB227B"/>
    <w:rsid w:val="00FB2280"/>
    <w:rsid w:val="00FB228F"/>
    <w:rsid w:val="00FB22D4"/>
    <w:rsid w:val="00FB22D5"/>
    <w:rsid w:val="00FB22F4"/>
    <w:rsid w:val="00FB2327"/>
    <w:rsid w:val="00FB2372"/>
    <w:rsid w:val="00FB2386"/>
    <w:rsid w:val="00FB2395"/>
    <w:rsid w:val="00FB23D3"/>
    <w:rsid w:val="00FB23D7"/>
    <w:rsid w:val="00FB23E5"/>
    <w:rsid w:val="00FB2409"/>
    <w:rsid w:val="00FB2421"/>
    <w:rsid w:val="00FB2427"/>
    <w:rsid w:val="00FB248E"/>
    <w:rsid w:val="00FB25D2"/>
    <w:rsid w:val="00FB2621"/>
    <w:rsid w:val="00FB2671"/>
    <w:rsid w:val="00FB26CA"/>
    <w:rsid w:val="00FB26F6"/>
    <w:rsid w:val="00FB270D"/>
    <w:rsid w:val="00FB279A"/>
    <w:rsid w:val="00FB2801"/>
    <w:rsid w:val="00FB282E"/>
    <w:rsid w:val="00FB283F"/>
    <w:rsid w:val="00FB284E"/>
    <w:rsid w:val="00FB2871"/>
    <w:rsid w:val="00FB287F"/>
    <w:rsid w:val="00FB289D"/>
    <w:rsid w:val="00FB28B9"/>
    <w:rsid w:val="00FB28FE"/>
    <w:rsid w:val="00FB2902"/>
    <w:rsid w:val="00FB2938"/>
    <w:rsid w:val="00FB2972"/>
    <w:rsid w:val="00FB29A0"/>
    <w:rsid w:val="00FB29BE"/>
    <w:rsid w:val="00FB29D2"/>
    <w:rsid w:val="00FB29EB"/>
    <w:rsid w:val="00FB2A1D"/>
    <w:rsid w:val="00FB2A7B"/>
    <w:rsid w:val="00FB2AD6"/>
    <w:rsid w:val="00FB2B15"/>
    <w:rsid w:val="00FB2B45"/>
    <w:rsid w:val="00FB2B56"/>
    <w:rsid w:val="00FB2C15"/>
    <w:rsid w:val="00FB2C66"/>
    <w:rsid w:val="00FB2CBA"/>
    <w:rsid w:val="00FB2CDC"/>
    <w:rsid w:val="00FB2CEA"/>
    <w:rsid w:val="00FB2CFC"/>
    <w:rsid w:val="00FB2D3B"/>
    <w:rsid w:val="00FB2D6F"/>
    <w:rsid w:val="00FB2D9D"/>
    <w:rsid w:val="00FB2DC0"/>
    <w:rsid w:val="00FB2DC4"/>
    <w:rsid w:val="00FB2DE9"/>
    <w:rsid w:val="00FB2DFD"/>
    <w:rsid w:val="00FB2E18"/>
    <w:rsid w:val="00FB2E6C"/>
    <w:rsid w:val="00FB2EE2"/>
    <w:rsid w:val="00FB2F07"/>
    <w:rsid w:val="00FB2F29"/>
    <w:rsid w:val="00FB2F30"/>
    <w:rsid w:val="00FB2F4B"/>
    <w:rsid w:val="00FB2F86"/>
    <w:rsid w:val="00FB2F9E"/>
    <w:rsid w:val="00FB2FA3"/>
    <w:rsid w:val="00FB2FBF"/>
    <w:rsid w:val="00FB2FC1"/>
    <w:rsid w:val="00FB3020"/>
    <w:rsid w:val="00FB3022"/>
    <w:rsid w:val="00FB302C"/>
    <w:rsid w:val="00FB3037"/>
    <w:rsid w:val="00FB309A"/>
    <w:rsid w:val="00FB30A9"/>
    <w:rsid w:val="00FB30D2"/>
    <w:rsid w:val="00FB310D"/>
    <w:rsid w:val="00FB3131"/>
    <w:rsid w:val="00FB313E"/>
    <w:rsid w:val="00FB3191"/>
    <w:rsid w:val="00FB31BD"/>
    <w:rsid w:val="00FB31CF"/>
    <w:rsid w:val="00FB31D2"/>
    <w:rsid w:val="00FB31E8"/>
    <w:rsid w:val="00FB31ED"/>
    <w:rsid w:val="00FB31F2"/>
    <w:rsid w:val="00FB3238"/>
    <w:rsid w:val="00FB3240"/>
    <w:rsid w:val="00FB32FE"/>
    <w:rsid w:val="00FB3371"/>
    <w:rsid w:val="00FB3440"/>
    <w:rsid w:val="00FB3450"/>
    <w:rsid w:val="00FB34B3"/>
    <w:rsid w:val="00FB35AD"/>
    <w:rsid w:val="00FB35B0"/>
    <w:rsid w:val="00FB3661"/>
    <w:rsid w:val="00FB366C"/>
    <w:rsid w:val="00FB3696"/>
    <w:rsid w:val="00FB36DC"/>
    <w:rsid w:val="00FB372E"/>
    <w:rsid w:val="00FB375A"/>
    <w:rsid w:val="00FB37A5"/>
    <w:rsid w:val="00FB37AB"/>
    <w:rsid w:val="00FB37ED"/>
    <w:rsid w:val="00FB3885"/>
    <w:rsid w:val="00FB388C"/>
    <w:rsid w:val="00FB38A3"/>
    <w:rsid w:val="00FB38D9"/>
    <w:rsid w:val="00FB38E1"/>
    <w:rsid w:val="00FB396B"/>
    <w:rsid w:val="00FB3975"/>
    <w:rsid w:val="00FB3995"/>
    <w:rsid w:val="00FB39BC"/>
    <w:rsid w:val="00FB3A18"/>
    <w:rsid w:val="00FB3A5B"/>
    <w:rsid w:val="00FB3A6B"/>
    <w:rsid w:val="00FB3A90"/>
    <w:rsid w:val="00FB3B19"/>
    <w:rsid w:val="00FB3B52"/>
    <w:rsid w:val="00FB3B70"/>
    <w:rsid w:val="00FB3B89"/>
    <w:rsid w:val="00FB3BD6"/>
    <w:rsid w:val="00FB3C05"/>
    <w:rsid w:val="00FB3C1A"/>
    <w:rsid w:val="00FB3C83"/>
    <w:rsid w:val="00FB3C9A"/>
    <w:rsid w:val="00FB3CA9"/>
    <w:rsid w:val="00FB3D2C"/>
    <w:rsid w:val="00FB3D3D"/>
    <w:rsid w:val="00FB3D52"/>
    <w:rsid w:val="00FB3D8F"/>
    <w:rsid w:val="00FB3DD8"/>
    <w:rsid w:val="00FB3DF2"/>
    <w:rsid w:val="00FB3E33"/>
    <w:rsid w:val="00FB3E70"/>
    <w:rsid w:val="00FB3EA8"/>
    <w:rsid w:val="00FB3EB2"/>
    <w:rsid w:val="00FB3F8C"/>
    <w:rsid w:val="00FB402D"/>
    <w:rsid w:val="00FB4070"/>
    <w:rsid w:val="00FB40E2"/>
    <w:rsid w:val="00FB410B"/>
    <w:rsid w:val="00FB4111"/>
    <w:rsid w:val="00FB411D"/>
    <w:rsid w:val="00FB418A"/>
    <w:rsid w:val="00FB41AA"/>
    <w:rsid w:val="00FB41D0"/>
    <w:rsid w:val="00FB41E1"/>
    <w:rsid w:val="00FB41FF"/>
    <w:rsid w:val="00FB4200"/>
    <w:rsid w:val="00FB4213"/>
    <w:rsid w:val="00FB425A"/>
    <w:rsid w:val="00FB42BB"/>
    <w:rsid w:val="00FB42FF"/>
    <w:rsid w:val="00FB4302"/>
    <w:rsid w:val="00FB4448"/>
    <w:rsid w:val="00FB444E"/>
    <w:rsid w:val="00FB445C"/>
    <w:rsid w:val="00FB44AA"/>
    <w:rsid w:val="00FB44D4"/>
    <w:rsid w:val="00FB44E2"/>
    <w:rsid w:val="00FB450D"/>
    <w:rsid w:val="00FB4526"/>
    <w:rsid w:val="00FB453F"/>
    <w:rsid w:val="00FB4547"/>
    <w:rsid w:val="00FB4555"/>
    <w:rsid w:val="00FB4594"/>
    <w:rsid w:val="00FB45E9"/>
    <w:rsid w:val="00FB467D"/>
    <w:rsid w:val="00FB468B"/>
    <w:rsid w:val="00FB46AF"/>
    <w:rsid w:val="00FB46D1"/>
    <w:rsid w:val="00FB46DC"/>
    <w:rsid w:val="00FB470A"/>
    <w:rsid w:val="00FB4799"/>
    <w:rsid w:val="00FB47DA"/>
    <w:rsid w:val="00FB480C"/>
    <w:rsid w:val="00FB4822"/>
    <w:rsid w:val="00FB488F"/>
    <w:rsid w:val="00FB48BD"/>
    <w:rsid w:val="00FB4917"/>
    <w:rsid w:val="00FB4979"/>
    <w:rsid w:val="00FB4989"/>
    <w:rsid w:val="00FB49A5"/>
    <w:rsid w:val="00FB4A15"/>
    <w:rsid w:val="00FB4A2A"/>
    <w:rsid w:val="00FB4A74"/>
    <w:rsid w:val="00FB4A7C"/>
    <w:rsid w:val="00FB4A90"/>
    <w:rsid w:val="00FB4AAC"/>
    <w:rsid w:val="00FB4AD5"/>
    <w:rsid w:val="00FB4AF8"/>
    <w:rsid w:val="00FB4B20"/>
    <w:rsid w:val="00FB4BB1"/>
    <w:rsid w:val="00FB4BE2"/>
    <w:rsid w:val="00FB4BEF"/>
    <w:rsid w:val="00FB4C05"/>
    <w:rsid w:val="00FB4C4E"/>
    <w:rsid w:val="00FB4C5F"/>
    <w:rsid w:val="00FB4C65"/>
    <w:rsid w:val="00FB4CA6"/>
    <w:rsid w:val="00FB4CF7"/>
    <w:rsid w:val="00FB4D46"/>
    <w:rsid w:val="00FB4D48"/>
    <w:rsid w:val="00FB4D58"/>
    <w:rsid w:val="00FB4DB0"/>
    <w:rsid w:val="00FB4DCF"/>
    <w:rsid w:val="00FB4E03"/>
    <w:rsid w:val="00FB4E21"/>
    <w:rsid w:val="00FB4E33"/>
    <w:rsid w:val="00FB4E89"/>
    <w:rsid w:val="00FB4EA8"/>
    <w:rsid w:val="00FB4EDC"/>
    <w:rsid w:val="00FB4EF2"/>
    <w:rsid w:val="00FB4F09"/>
    <w:rsid w:val="00FB4F16"/>
    <w:rsid w:val="00FB4F28"/>
    <w:rsid w:val="00FB4F3D"/>
    <w:rsid w:val="00FB4F86"/>
    <w:rsid w:val="00FB4FA9"/>
    <w:rsid w:val="00FB4FCA"/>
    <w:rsid w:val="00FB50B3"/>
    <w:rsid w:val="00FB50BE"/>
    <w:rsid w:val="00FB5114"/>
    <w:rsid w:val="00FB5118"/>
    <w:rsid w:val="00FB5129"/>
    <w:rsid w:val="00FB515E"/>
    <w:rsid w:val="00FB516E"/>
    <w:rsid w:val="00FB5189"/>
    <w:rsid w:val="00FB51BF"/>
    <w:rsid w:val="00FB51D3"/>
    <w:rsid w:val="00FB51EB"/>
    <w:rsid w:val="00FB51ED"/>
    <w:rsid w:val="00FB5276"/>
    <w:rsid w:val="00FB52A0"/>
    <w:rsid w:val="00FB52B0"/>
    <w:rsid w:val="00FB52DA"/>
    <w:rsid w:val="00FB5332"/>
    <w:rsid w:val="00FB541F"/>
    <w:rsid w:val="00FB54D5"/>
    <w:rsid w:val="00FB5550"/>
    <w:rsid w:val="00FB5556"/>
    <w:rsid w:val="00FB556B"/>
    <w:rsid w:val="00FB5588"/>
    <w:rsid w:val="00FB5589"/>
    <w:rsid w:val="00FB55B3"/>
    <w:rsid w:val="00FB55E9"/>
    <w:rsid w:val="00FB5621"/>
    <w:rsid w:val="00FB56A1"/>
    <w:rsid w:val="00FB56FF"/>
    <w:rsid w:val="00FB5703"/>
    <w:rsid w:val="00FB5709"/>
    <w:rsid w:val="00FB5722"/>
    <w:rsid w:val="00FB5744"/>
    <w:rsid w:val="00FB57D4"/>
    <w:rsid w:val="00FB57D7"/>
    <w:rsid w:val="00FB580D"/>
    <w:rsid w:val="00FB5812"/>
    <w:rsid w:val="00FB5814"/>
    <w:rsid w:val="00FB582E"/>
    <w:rsid w:val="00FB58E0"/>
    <w:rsid w:val="00FB5919"/>
    <w:rsid w:val="00FB593D"/>
    <w:rsid w:val="00FB594C"/>
    <w:rsid w:val="00FB5968"/>
    <w:rsid w:val="00FB5990"/>
    <w:rsid w:val="00FB5992"/>
    <w:rsid w:val="00FB59A4"/>
    <w:rsid w:val="00FB5A4C"/>
    <w:rsid w:val="00FB5A51"/>
    <w:rsid w:val="00FB5A5E"/>
    <w:rsid w:val="00FB5ABA"/>
    <w:rsid w:val="00FB5B41"/>
    <w:rsid w:val="00FB5B6C"/>
    <w:rsid w:val="00FB5B75"/>
    <w:rsid w:val="00FB5B8C"/>
    <w:rsid w:val="00FB5BB4"/>
    <w:rsid w:val="00FB5BCC"/>
    <w:rsid w:val="00FB5C1E"/>
    <w:rsid w:val="00FB5C35"/>
    <w:rsid w:val="00FB5C59"/>
    <w:rsid w:val="00FB5C8E"/>
    <w:rsid w:val="00FB5CA7"/>
    <w:rsid w:val="00FB5CB1"/>
    <w:rsid w:val="00FB5D2F"/>
    <w:rsid w:val="00FB5D65"/>
    <w:rsid w:val="00FB5D92"/>
    <w:rsid w:val="00FB5D94"/>
    <w:rsid w:val="00FB5DD2"/>
    <w:rsid w:val="00FB5DDB"/>
    <w:rsid w:val="00FB5DF5"/>
    <w:rsid w:val="00FB5EA3"/>
    <w:rsid w:val="00FB5FC5"/>
    <w:rsid w:val="00FB6031"/>
    <w:rsid w:val="00FB6047"/>
    <w:rsid w:val="00FB608F"/>
    <w:rsid w:val="00FB609F"/>
    <w:rsid w:val="00FB60DC"/>
    <w:rsid w:val="00FB6101"/>
    <w:rsid w:val="00FB611B"/>
    <w:rsid w:val="00FB6152"/>
    <w:rsid w:val="00FB6163"/>
    <w:rsid w:val="00FB61F6"/>
    <w:rsid w:val="00FB622C"/>
    <w:rsid w:val="00FB6260"/>
    <w:rsid w:val="00FB62FC"/>
    <w:rsid w:val="00FB6329"/>
    <w:rsid w:val="00FB636A"/>
    <w:rsid w:val="00FB63BD"/>
    <w:rsid w:val="00FB63DB"/>
    <w:rsid w:val="00FB63DD"/>
    <w:rsid w:val="00FB63DF"/>
    <w:rsid w:val="00FB6410"/>
    <w:rsid w:val="00FB642A"/>
    <w:rsid w:val="00FB64A0"/>
    <w:rsid w:val="00FB64D5"/>
    <w:rsid w:val="00FB64E5"/>
    <w:rsid w:val="00FB64EF"/>
    <w:rsid w:val="00FB64F4"/>
    <w:rsid w:val="00FB64F5"/>
    <w:rsid w:val="00FB6526"/>
    <w:rsid w:val="00FB6536"/>
    <w:rsid w:val="00FB653B"/>
    <w:rsid w:val="00FB655E"/>
    <w:rsid w:val="00FB6599"/>
    <w:rsid w:val="00FB659E"/>
    <w:rsid w:val="00FB65C1"/>
    <w:rsid w:val="00FB6677"/>
    <w:rsid w:val="00FB669C"/>
    <w:rsid w:val="00FB66AD"/>
    <w:rsid w:val="00FB66F3"/>
    <w:rsid w:val="00FB672F"/>
    <w:rsid w:val="00FB6761"/>
    <w:rsid w:val="00FB6762"/>
    <w:rsid w:val="00FB691C"/>
    <w:rsid w:val="00FB696C"/>
    <w:rsid w:val="00FB69BB"/>
    <w:rsid w:val="00FB69CC"/>
    <w:rsid w:val="00FB6A28"/>
    <w:rsid w:val="00FB6AAC"/>
    <w:rsid w:val="00FB6B0F"/>
    <w:rsid w:val="00FB6B29"/>
    <w:rsid w:val="00FB6B2F"/>
    <w:rsid w:val="00FB6B63"/>
    <w:rsid w:val="00FB6B88"/>
    <w:rsid w:val="00FB6C74"/>
    <w:rsid w:val="00FB6D08"/>
    <w:rsid w:val="00FB6D10"/>
    <w:rsid w:val="00FB6D27"/>
    <w:rsid w:val="00FB6D29"/>
    <w:rsid w:val="00FB6D96"/>
    <w:rsid w:val="00FB6E0C"/>
    <w:rsid w:val="00FB6E10"/>
    <w:rsid w:val="00FB6E14"/>
    <w:rsid w:val="00FB6E15"/>
    <w:rsid w:val="00FB6EFF"/>
    <w:rsid w:val="00FB6F63"/>
    <w:rsid w:val="00FB6F89"/>
    <w:rsid w:val="00FB6F9F"/>
    <w:rsid w:val="00FB7010"/>
    <w:rsid w:val="00FB7013"/>
    <w:rsid w:val="00FB702B"/>
    <w:rsid w:val="00FB704D"/>
    <w:rsid w:val="00FB7081"/>
    <w:rsid w:val="00FB70F4"/>
    <w:rsid w:val="00FB70F8"/>
    <w:rsid w:val="00FB711D"/>
    <w:rsid w:val="00FB717A"/>
    <w:rsid w:val="00FB71AE"/>
    <w:rsid w:val="00FB71B2"/>
    <w:rsid w:val="00FB71B8"/>
    <w:rsid w:val="00FB71D7"/>
    <w:rsid w:val="00FB72A7"/>
    <w:rsid w:val="00FB72D4"/>
    <w:rsid w:val="00FB72E9"/>
    <w:rsid w:val="00FB7301"/>
    <w:rsid w:val="00FB7339"/>
    <w:rsid w:val="00FB7355"/>
    <w:rsid w:val="00FB7367"/>
    <w:rsid w:val="00FB736C"/>
    <w:rsid w:val="00FB7371"/>
    <w:rsid w:val="00FB737D"/>
    <w:rsid w:val="00FB73BF"/>
    <w:rsid w:val="00FB73FB"/>
    <w:rsid w:val="00FB73FD"/>
    <w:rsid w:val="00FB7435"/>
    <w:rsid w:val="00FB748C"/>
    <w:rsid w:val="00FB749B"/>
    <w:rsid w:val="00FB74F5"/>
    <w:rsid w:val="00FB7510"/>
    <w:rsid w:val="00FB7513"/>
    <w:rsid w:val="00FB7514"/>
    <w:rsid w:val="00FB757F"/>
    <w:rsid w:val="00FB75C9"/>
    <w:rsid w:val="00FB75E2"/>
    <w:rsid w:val="00FB75E6"/>
    <w:rsid w:val="00FB7623"/>
    <w:rsid w:val="00FB766D"/>
    <w:rsid w:val="00FB76A9"/>
    <w:rsid w:val="00FB76B1"/>
    <w:rsid w:val="00FB76BE"/>
    <w:rsid w:val="00FB7710"/>
    <w:rsid w:val="00FB7711"/>
    <w:rsid w:val="00FB7714"/>
    <w:rsid w:val="00FB77AD"/>
    <w:rsid w:val="00FB785B"/>
    <w:rsid w:val="00FB7878"/>
    <w:rsid w:val="00FB78AD"/>
    <w:rsid w:val="00FB78B1"/>
    <w:rsid w:val="00FB791C"/>
    <w:rsid w:val="00FB792F"/>
    <w:rsid w:val="00FB7930"/>
    <w:rsid w:val="00FB797E"/>
    <w:rsid w:val="00FB79B9"/>
    <w:rsid w:val="00FB79F3"/>
    <w:rsid w:val="00FB7A12"/>
    <w:rsid w:val="00FB7A14"/>
    <w:rsid w:val="00FB7A26"/>
    <w:rsid w:val="00FB7A2D"/>
    <w:rsid w:val="00FB7A4C"/>
    <w:rsid w:val="00FB7A6B"/>
    <w:rsid w:val="00FB7A9C"/>
    <w:rsid w:val="00FB7AA0"/>
    <w:rsid w:val="00FB7AC3"/>
    <w:rsid w:val="00FB7B27"/>
    <w:rsid w:val="00FB7B35"/>
    <w:rsid w:val="00FB7B4D"/>
    <w:rsid w:val="00FB7BC6"/>
    <w:rsid w:val="00FB7BDE"/>
    <w:rsid w:val="00FB7BF6"/>
    <w:rsid w:val="00FB7BFF"/>
    <w:rsid w:val="00FB7C17"/>
    <w:rsid w:val="00FB7C4F"/>
    <w:rsid w:val="00FB7CA5"/>
    <w:rsid w:val="00FB7CFD"/>
    <w:rsid w:val="00FB7D82"/>
    <w:rsid w:val="00FB7DE7"/>
    <w:rsid w:val="00FB7E27"/>
    <w:rsid w:val="00FB7E29"/>
    <w:rsid w:val="00FB7E57"/>
    <w:rsid w:val="00FB7F1B"/>
    <w:rsid w:val="00FB7F31"/>
    <w:rsid w:val="00FB7F4E"/>
    <w:rsid w:val="00FB7F53"/>
    <w:rsid w:val="00FB7F62"/>
    <w:rsid w:val="00FB7F72"/>
    <w:rsid w:val="00FB7F84"/>
    <w:rsid w:val="00FC0017"/>
    <w:rsid w:val="00FC001E"/>
    <w:rsid w:val="00FC0043"/>
    <w:rsid w:val="00FC005C"/>
    <w:rsid w:val="00FC0096"/>
    <w:rsid w:val="00FC00A9"/>
    <w:rsid w:val="00FC00F5"/>
    <w:rsid w:val="00FC00FB"/>
    <w:rsid w:val="00FC013B"/>
    <w:rsid w:val="00FC01D9"/>
    <w:rsid w:val="00FC020E"/>
    <w:rsid w:val="00FC024E"/>
    <w:rsid w:val="00FC0250"/>
    <w:rsid w:val="00FC0275"/>
    <w:rsid w:val="00FC0280"/>
    <w:rsid w:val="00FC02EB"/>
    <w:rsid w:val="00FC02FF"/>
    <w:rsid w:val="00FC0321"/>
    <w:rsid w:val="00FC0324"/>
    <w:rsid w:val="00FC0330"/>
    <w:rsid w:val="00FC0334"/>
    <w:rsid w:val="00FC0355"/>
    <w:rsid w:val="00FC0369"/>
    <w:rsid w:val="00FC038D"/>
    <w:rsid w:val="00FC03AC"/>
    <w:rsid w:val="00FC03E5"/>
    <w:rsid w:val="00FC03F9"/>
    <w:rsid w:val="00FC043C"/>
    <w:rsid w:val="00FC0443"/>
    <w:rsid w:val="00FC0461"/>
    <w:rsid w:val="00FC047C"/>
    <w:rsid w:val="00FC04E1"/>
    <w:rsid w:val="00FC04FA"/>
    <w:rsid w:val="00FC0544"/>
    <w:rsid w:val="00FC0631"/>
    <w:rsid w:val="00FC0633"/>
    <w:rsid w:val="00FC0656"/>
    <w:rsid w:val="00FC067C"/>
    <w:rsid w:val="00FC0687"/>
    <w:rsid w:val="00FC06F6"/>
    <w:rsid w:val="00FC0724"/>
    <w:rsid w:val="00FC0764"/>
    <w:rsid w:val="00FC07B2"/>
    <w:rsid w:val="00FC07C2"/>
    <w:rsid w:val="00FC0860"/>
    <w:rsid w:val="00FC0870"/>
    <w:rsid w:val="00FC08C1"/>
    <w:rsid w:val="00FC08EF"/>
    <w:rsid w:val="00FC093B"/>
    <w:rsid w:val="00FC094C"/>
    <w:rsid w:val="00FC0976"/>
    <w:rsid w:val="00FC0982"/>
    <w:rsid w:val="00FC098A"/>
    <w:rsid w:val="00FC09D0"/>
    <w:rsid w:val="00FC09D1"/>
    <w:rsid w:val="00FC0A2C"/>
    <w:rsid w:val="00FC0A65"/>
    <w:rsid w:val="00FC0A94"/>
    <w:rsid w:val="00FC0AA5"/>
    <w:rsid w:val="00FC0B5D"/>
    <w:rsid w:val="00FC0BAC"/>
    <w:rsid w:val="00FC0BC7"/>
    <w:rsid w:val="00FC0BEB"/>
    <w:rsid w:val="00FC0BF1"/>
    <w:rsid w:val="00FC0C02"/>
    <w:rsid w:val="00FC0C37"/>
    <w:rsid w:val="00FC0C71"/>
    <w:rsid w:val="00FC0CFC"/>
    <w:rsid w:val="00FC0D26"/>
    <w:rsid w:val="00FC0D3B"/>
    <w:rsid w:val="00FC0D3F"/>
    <w:rsid w:val="00FC0D85"/>
    <w:rsid w:val="00FC0D8F"/>
    <w:rsid w:val="00FC0D95"/>
    <w:rsid w:val="00FC0DE9"/>
    <w:rsid w:val="00FC0E10"/>
    <w:rsid w:val="00FC0E23"/>
    <w:rsid w:val="00FC0E2E"/>
    <w:rsid w:val="00FC0E6A"/>
    <w:rsid w:val="00FC0E77"/>
    <w:rsid w:val="00FC0ECD"/>
    <w:rsid w:val="00FC0F66"/>
    <w:rsid w:val="00FC112F"/>
    <w:rsid w:val="00FC1184"/>
    <w:rsid w:val="00FC1186"/>
    <w:rsid w:val="00FC118B"/>
    <w:rsid w:val="00FC11B3"/>
    <w:rsid w:val="00FC120D"/>
    <w:rsid w:val="00FC1237"/>
    <w:rsid w:val="00FC1278"/>
    <w:rsid w:val="00FC1286"/>
    <w:rsid w:val="00FC12A1"/>
    <w:rsid w:val="00FC12D1"/>
    <w:rsid w:val="00FC1315"/>
    <w:rsid w:val="00FC1349"/>
    <w:rsid w:val="00FC1382"/>
    <w:rsid w:val="00FC140E"/>
    <w:rsid w:val="00FC141A"/>
    <w:rsid w:val="00FC1467"/>
    <w:rsid w:val="00FC14BF"/>
    <w:rsid w:val="00FC1513"/>
    <w:rsid w:val="00FC153D"/>
    <w:rsid w:val="00FC154C"/>
    <w:rsid w:val="00FC1585"/>
    <w:rsid w:val="00FC15C7"/>
    <w:rsid w:val="00FC15D3"/>
    <w:rsid w:val="00FC1632"/>
    <w:rsid w:val="00FC16B3"/>
    <w:rsid w:val="00FC16DB"/>
    <w:rsid w:val="00FC1700"/>
    <w:rsid w:val="00FC17A2"/>
    <w:rsid w:val="00FC17D5"/>
    <w:rsid w:val="00FC17EA"/>
    <w:rsid w:val="00FC180D"/>
    <w:rsid w:val="00FC185F"/>
    <w:rsid w:val="00FC187B"/>
    <w:rsid w:val="00FC18DD"/>
    <w:rsid w:val="00FC1900"/>
    <w:rsid w:val="00FC195F"/>
    <w:rsid w:val="00FC1971"/>
    <w:rsid w:val="00FC1984"/>
    <w:rsid w:val="00FC1A0F"/>
    <w:rsid w:val="00FC1A2F"/>
    <w:rsid w:val="00FC1A5B"/>
    <w:rsid w:val="00FC1AF2"/>
    <w:rsid w:val="00FC1B21"/>
    <w:rsid w:val="00FC1B5E"/>
    <w:rsid w:val="00FC1BB2"/>
    <w:rsid w:val="00FC1BB9"/>
    <w:rsid w:val="00FC1BFB"/>
    <w:rsid w:val="00FC1C0C"/>
    <w:rsid w:val="00FC1C0F"/>
    <w:rsid w:val="00FC1C18"/>
    <w:rsid w:val="00FC1C2E"/>
    <w:rsid w:val="00FC1C3C"/>
    <w:rsid w:val="00FC1C56"/>
    <w:rsid w:val="00FC1C83"/>
    <w:rsid w:val="00FC1CC1"/>
    <w:rsid w:val="00FC1CD7"/>
    <w:rsid w:val="00FC1D08"/>
    <w:rsid w:val="00FC1D6D"/>
    <w:rsid w:val="00FC1D76"/>
    <w:rsid w:val="00FC1DAF"/>
    <w:rsid w:val="00FC1E48"/>
    <w:rsid w:val="00FC1E81"/>
    <w:rsid w:val="00FC1E90"/>
    <w:rsid w:val="00FC1F05"/>
    <w:rsid w:val="00FC1F08"/>
    <w:rsid w:val="00FC1F45"/>
    <w:rsid w:val="00FC1F74"/>
    <w:rsid w:val="00FC2023"/>
    <w:rsid w:val="00FC202B"/>
    <w:rsid w:val="00FC2089"/>
    <w:rsid w:val="00FC20BB"/>
    <w:rsid w:val="00FC2155"/>
    <w:rsid w:val="00FC21A1"/>
    <w:rsid w:val="00FC21A2"/>
    <w:rsid w:val="00FC21AC"/>
    <w:rsid w:val="00FC22B8"/>
    <w:rsid w:val="00FC22CC"/>
    <w:rsid w:val="00FC22EC"/>
    <w:rsid w:val="00FC2320"/>
    <w:rsid w:val="00FC2335"/>
    <w:rsid w:val="00FC2369"/>
    <w:rsid w:val="00FC2381"/>
    <w:rsid w:val="00FC23B9"/>
    <w:rsid w:val="00FC23DB"/>
    <w:rsid w:val="00FC23F4"/>
    <w:rsid w:val="00FC24BF"/>
    <w:rsid w:val="00FC24F9"/>
    <w:rsid w:val="00FC24FB"/>
    <w:rsid w:val="00FC2502"/>
    <w:rsid w:val="00FC257A"/>
    <w:rsid w:val="00FC25DE"/>
    <w:rsid w:val="00FC25F2"/>
    <w:rsid w:val="00FC2682"/>
    <w:rsid w:val="00FC2783"/>
    <w:rsid w:val="00FC27A5"/>
    <w:rsid w:val="00FC27B5"/>
    <w:rsid w:val="00FC27C0"/>
    <w:rsid w:val="00FC27D0"/>
    <w:rsid w:val="00FC27ED"/>
    <w:rsid w:val="00FC288E"/>
    <w:rsid w:val="00FC28D3"/>
    <w:rsid w:val="00FC28F6"/>
    <w:rsid w:val="00FC2928"/>
    <w:rsid w:val="00FC2938"/>
    <w:rsid w:val="00FC2952"/>
    <w:rsid w:val="00FC29AE"/>
    <w:rsid w:val="00FC29B4"/>
    <w:rsid w:val="00FC29B6"/>
    <w:rsid w:val="00FC2A25"/>
    <w:rsid w:val="00FC2A32"/>
    <w:rsid w:val="00FC2A3A"/>
    <w:rsid w:val="00FC2A58"/>
    <w:rsid w:val="00FC2A96"/>
    <w:rsid w:val="00FC2AE9"/>
    <w:rsid w:val="00FC2AF4"/>
    <w:rsid w:val="00FC2B31"/>
    <w:rsid w:val="00FC2B3A"/>
    <w:rsid w:val="00FC2C30"/>
    <w:rsid w:val="00FC2C7C"/>
    <w:rsid w:val="00FC2CAD"/>
    <w:rsid w:val="00FC2CB4"/>
    <w:rsid w:val="00FC2D0A"/>
    <w:rsid w:val="00FC2D0D"/>
    <w:rsid w:val="00FC2D12"/>
    <w:rsid w:val="00FC2D7A"/>
    <w:rsid w:val="00FC2D7B"/>
    <w:rsid w:val="00FC2DBD"/>
    <w:rsid w:val="00FC2E3F"/>
    <w:rsid w:val="00FC2E92"/>
    <w:rsid w:val="00FC2EC3"/>
    <w:rsid w:val="00FC2EC5"/>
    <w:rsid w:val="00FC2F28"/>
    <w:rsid w:val="00FC2F4A"/>
    <w:rsid w:val="00FC2F69"/>
    <w:rsid w:val="00FC2FA0"/>
    <w:rsid w:val="00FC306C"/>
    <w:rsid w:val="00FC30D4"/>
    <w:rsid w:val="00FC30DE"/>
    <w:rsid w:val="00FC311B"/>
    <w:rsid w:val="00FC3137"/>
    <w:rsid w:val="00FC318A"/>
    <w:rsid w:val="00FC31EC"/>
    <w:rsid w:val="00FC322E"/>
    <w:rsid w:val="00FC3233"/>
    <w:rsid w:val="00FC323C"/>
    <w:rsid w:val="00FC325E"/>
    <w:rsid w:val="00FC3274"/>
    <w:rsid w:val="00FC3294"/>
    <w:rsid w:val="00FC3295"/>
    <w:rsid w:val="00FC329C"/>
    <w:rsid w:val="00FC32AF"/>
    <w:rsid w:val="00FC32C2"/>
    <w:rsid w:val="00FC32E2"/>
    <w:rsid w:val="00FC3321"/>
    <w:rsid w:val="00FC3355"/>
    <w:rsid w:val="00FC3358"/>
    <w:rsid w:val="00FC3376"/>
    <w:rsid w:val="00FC3387"/>
    <w:rsid w:val="00FC3403"/>
    <w:rsid w:val="00FC3413"/>
    <w:rsid w:val="00FC3490"/>
    <w:rsid w:val="00FC34CB"/>
    <w:rsid w:val="00FC355A"/>
    <w:rsid w:val="00FC35E5"/>
    <w:rsid w:val="00FC3654"/>
    <w:rsid w:val="00FC3696"/>
    <w:rsid w:val="00FC36AC"/>
    <w:rsid w:val="00FC36BF"/>
    <w:rsid w:val="00FC36C9"/>
    <w:rsid w:val="00FC36D4"/>
    <w:rsid w:val="00FC3707"/>
    <w:rsid w:val="00FC372A"/>
    <w:rsid w:val="00FC3741"/>
    <w:rsid w:val="00FC3770"/>
    <w:rsid w:val="00FC377A"/>
    <w:rsid w:val="00FC377D"/>
    <w:rsid w:val="00FC37D4"/>
    <w:rsid w:val="00FC380B"/>
    <w:rsid w:val="00FC3863"/>
    <w:rsid w:val="00FC3879"/>
    <w:rsid w:val="00FC3887"/>
    <w:rsid w:val="00FC390A"/>
    <w:rsid w:val="00FC3940"/>
    <w:rsid w:val="00FC3A29"/>
    <w:rsid w:val="00FC3A48"/>
    <w:rsid w:val="00FC3A51"/>
    <w:rsid w:val="00FC3AB3"/>
    <w:rsid w:val="00FC3AB8"/>
    <w:rsid w:val="00FC3AE2"/>
    <w:rsid w:val="00FC3B55"/>
    <w:rsid w:val="00FC3B6B"/>
    <w:rsid w:val="00FC3B70"/>
    <w:rsid w:val="00FC3B80"/>
    <w:rsid w:val="00FC3B89"/>
    <w:rsid w:val="00FC3BA0"/>
    <w:rsid w:val="00FC3BAD"/>
    <w:rsid w:val="00FC3BCA"/>
    <w:rsid w:val="00FC3C9A"/>
    <w:rsid w:val="00FC3D01"/>
    <w:rsid w:val="00FC3D18"/>
    <w:rsid w:val="00FC3D50"/>
    <w:rsid w:val="00FC3D6E"/>
    <w:rsid w:val="00FC3DC0"/>
    <w:rsid w:val="00FC3DC9"/>
    <w:rsid w:val="00FC3DCA"/>
    <w:rsid w:val="00FC3E03"/>
    <w:rsid w:val="00FC3E0A"/>
    <w:rsid w:val="00FC3E17"/>
    <w:rsid w:val="00FC3E35"/>
    <w:rsid w:val="00FC3E47"/>
    <w:rsid w:val="00FC3E62"/>
    <w:rsid w:val="00FC3E69"/>
    <w:rsid w:val="00FC3E93"/>
    <w:rsid w:val="00FC3ED7"/>
    <w:rsid w:val="00FC3F20"/>
    <w:rsid w:val="00FC3F57"/>
    <w:rsid w:val="00FC3F84"/>
    <w:rsid w:val="00FC3F99"/>
    <w:rsid w:val="00FC400D"/>
    <w:rsid w:val="00FC4010"/>
    <w:rsid w:val="00FC4036"/>
    <w:rsid w:val="00FC408A"/>
    <w:rsid w:val="00FC40BA"/>
    <w:rsid w:val="00FC413A"/>
    <w:rsid w:val="00FC413E"/>
    <w:rsid w:val="00FC4173"/>
    <w:rsid w:val="00FC41A9"/>
    <w:rsid w:val="00FC424F"/>
    <w:rsid w:val="00FC4279"/>
    <w:rsid w:val="00FC4285"/>
    <w:rsid w:val="00FC42FD"/>
    <w:rsid w:val="00FC4319"/>
    <w:rsid w:val="00FC431F"/>
    <w:rsid w:val="00FC43F8"/>
    <w:rsid w:val="00FC43FD"/>
    <w:rsid w:val="00FC43FE"/>
    <w:rsid w:val="00FC4401"/>
    <w:rsid w:val="00FC4449"/>
    <w:rsid w:val="00FC4480"/>
    <w:rsid w:val="00FC44BA"/>
    <w:rsid w:val="00FC4551"/>
    <w:rsid w:val="00FC4583"/>
    <w:rsid w:val="00FC4584"/>
    <w:rsid w:val="00FC45F5"/>
    <w:rsid w:val="00FC4613"/>
    <w:rsid w:val="00FC462A"/>
    <w:rsid w:val="00FC4698"/>
    <w:rsid w:val="00FC469E"/>
    <w:rsid w:val="00FC46AC"/>
    <w:rsid w:val="00FC46B6"/>
    <w:rsid w:val="00FC46D6"/>
    <w:rsid w:val="00FC4737"/>
    <w:rsid w:val="00FC4740"/>
    <w:rsid w:val="00FC474B"/>
    <w:rsid w:val="00FC476E"/>
    <w:rsid w:val="00FC47BD"/>
    <w:rsid w:val="00FC47FA"/>
    <w:rsid w:val="00FC4807"/>
    <w:rsid w:val="00FC4809"/>
    <w:rsid w:val="00FC480C"/>
    <w:rsid w:val="00FC485A"/>
    <w:rsid w:val="00FC48E4"/>
    <w:rsid w:val="00FC48FE"/>
    <w:rsid w:val="00FC48FF"/>
    <w:rsid w:val="00FC4922"/>
    <w:rsid w:val="00FC492D"/>
    <w:rsid w:val="00FC4977"/>
    <w:rsid w:val="00FC49BF"/>
    <w:rsid w:val="00FC4A6D"/>
    <w:rsid w:val="00FC4A95"/>
    <w:rsid w:val="00FC4AB1"/>
    <w:rsid w:val="00FC4AF9"/>
    <w:rsid w:val="00FC4AFE"/>
    <w:rsid w:val="00FC4B24"/>
    <w:rsid w:val="00FC4B7C"/>
    <w:rsid w:val="00FC4B9A"/>
    <w:rsid w:val="00FC4BCA"/>
    <w:rsid w:val="00FC4BCB"/>
    <w:rsid w:val="00FC4BF8"/>
    <w:rsid w:val="00FC4C15"/>
    <w:rsid w:val="00FC4C4A"/>
    <w:rsid w:val="00FC4C89"/>
    <w:rsid w:val="00FC4C9B"/>
    <w:rsid w:val="00FC4CA5"/>
    <w:rsid w:val="00FC4D80"/>
    <w:rsid w:val="00FC4D8A"/>
    <w:rsid w:val="00FC4D9D"/>
    <w:rsid w:val="00FC4DF2"/>
    <w:rsid w:val="00FC4E4D"/>
    <w:rsid w:val="00FC4EA3"/>
    <w:rsid w:val="00FC4EBF"/>
    <w:rsid w:val="00FC4ECC"/>
    <w:rsid w:val="00FC4EE0"/>
    <w:rsid w:val="00FC4F39"/>
    <w:rsid w:val="00FC4F7C"/>
    <w:rsid w:val="00FC4FF9"/>
    <w:rsid w:val="00FC5015"/>
    <w:rsid w:val="00FC506C"/>
    <w:rsid w:val="00FC50E7"/>
    <w:rsid w:val="00FC50E8"/>
    <w:rsid w:val="00FC514F"/>
    <w:rsid w:val="00FC515A"/>
    <w:rsid w:val="00FC516A"/>
    <w:rsid w:val="00FC51D4"/>
    <w:rsid w:val="00FC51E3"/>
    <w:rsid w:val="00FC520A"/>
    <w:rsid w:val="00FC520D"/>
    <w:rsid w:val="00FC521B"/>
    <w:rsid w:val="00FC52CA"/>
    <w:rsid w:val="00FC52F5"/>
    <w:rsid w:val="00FC52FB"/>
    <w:rsid w:val="00FC530B"/>
    <w:rsid w:val="00FC531D"/>
    <w:rsid w:val="00FC5361"/>
    <w:rsid w:val="00FC539B"/>
    <w:rsid w:val="00FC53A2"/>
    <w:rsid w:val="00FC53FB"/>
    <w:rsid w:val="00FC542B"/>
    <w:rsid w:val="00FC5439"/>
    <w:rsid w:val="00FC5469"/>
    <w:rsid w:val="00FC546C"/>
    <w:rsid w:val="00FC54C4"/>
    <w:rsid w:val="00FC54E5"/>
    <w:rsid w:val="00FC54FA"/>
    <w:rsid w:val="00FC5526"/>
    <w:rsid w:val="00FC55E9"/>
    <w:rsid w:val="00FC5614"/>
    <w:rsid w:val="00FC5628"/>
    <w:rsid w:val="00FC5646"/>
    <w:rsid w:val="00FC56D6"/>
    <w:rsid w:val="00FC5716"/>
    <w:rsid w:val="00FC572F"/>
    <w:rsid w:val="00FC5855"/>
    <w:rsid w:val="00FC58D5"/>
    <w:rsid w:val="00FC5964"/>
    <w:rsid w:val="00FC5965"/>
    <w:rsid w:val="00FC5967"/>
    <w:rsid w:val="00FC598D"/>
    <w:rsid w:val="00FC59DE"/>
    <w:rsid w:val="00FC5A11"/>
    <w:rsid w:val="00FC5A39"/>
    <w:rsid w:val="00FC5A69"/>
    <w:rsid w:val="00FC5AC6"/>
    <w:rsid w:val="00FC5AD8"/>
    <w:rsid w:val="00FC5B1E"/>
    <w:rsid w:val="00FC5B34"/>
    <w:rsid w:val="00FC5B65"/>
    <w:rsid w:val="00FC5B69"/>
    <w:rsid w:val="00FC5B8A"/>
    <w:rsid w:val="00FC5BBF"/>
    <w:rsid w:val="00FC5BCE"/>
    <w:rsid w:val="00FC5BDA"/>
    <w:rsid w:val="00FC5C10"/>
    <w:rsid w:val="00FC5C3B"/>
    <w:rsid w:val="00FC5C66"/>
    <w:rsid w:val="00FC5C69"/>
    <w:rsid w:val="00FC5C7A"/>
    <w:rsid w:val="00FC5C85"/>
    <w:rsid w:val="00FC5C9B"/>
    <w:rsid w:val="00FC5D2D"/>
    <w:rsid w:val="00FC5D76"/>
    <w:rsid w:val="00FC5DA5"/>
    <w:rsid w:val="00FC5DB5"/>
    <w:rsid w:val="00FC5DCA"/>
    <w:rsid w:val="00FC5E00"/>
    <w:rsid w:val="00FC5E17"/>
    <w:rsid w:val="00FC5E27"/>
    <w:rsid w:val="00FC5E50"/>
    <w:rsid w:val="00FC5E8C"/>
    <w:rsid w:val="00FC5E9A"/>
    <w:rsid w:val="00FC5ED2"/>
    <w:rsid w:val="00FC5F0F"/>
    <w:rsid w:val="00FC5F28"/>
    <w:rsid w:val="00FC5F3B"/>
    <w:rsid w:val="00FC5FBE"/>
    <w:rsid w:val="00FC5FE8"/>
    <w:rsid w:val="00FC5FEB"/>
    <w:rsid w:val="00FC6007"/>
    <w:rsid w:val="00FC6025"/>
    <w:rsid w:val="00FC6072"/>
    <w:rsid w:val="00FC6082"/>
    <w:rsid w:val="00FC6083"/>
    <w:rsid w:val="00FC6086"/>
    <w:rsid w:val="00FC60D6"/>
    <w:rsid w:val="00FC6173"/>
    <w:rsid w:val="00FC6193"/>
    <w:rsid w:val="00FC61FE"/>
    <w:rsid w:val="00FC621A"/>
    <w:rsid w:val="00FC6222"/>
    <w:rsid w:val="00FC6239"/>
    <w:rsid w:val="00FC6278"/>
    <w:rsid w:val="00FC62BC"/>
    <w:rsid w:val="00FC62CE"/>
    <w:rsid w:val="00FC6321"/>
    <w:rsid w:val="00FC634C"/>
    <w:rsid w:val="00FC6386"/>
    <w:rsid w:val="00FC63AD"/>
    <w:rsid w:val="00FC644E"/>
    <w:rsid w:val="00FC6453"/>
    <w:rsid w:val="00FC647E"/>
    <w:rsid w:val="00FC64A2"/>
    <w:rsid w:val="00FC64AF"/>
    <w:rsid w:val="00FC64C0"/>
    <w:rsid w:val="00FC6545"/>
    <w:rsid w:val="00FC658C"/>
    <w:rsid w:val="00FC65DE"/>
    <w:rsid w:val="00FC6605"/>
    <w:rsid w:val="00FC6638"/>
    <w:rsid w:val="00FC6681"/>
    <w:rsid w:val="00FC66AE"/>
    <w:rsid w:val="00FC685D"/>
    <w:rsid w:val="00FC6868"/>
    <w:rsid w:val="00FC689B"/>
    <w:rsid w:val="00FC68B7"/>
    <w:rsid w:val="00FC68D5"/>
    <w:rsid w:val="00FC68D7"/>
    <w:rsid w:val="00FC68D8"/>
    <w:rsid w:val="00FC68E3"/>
    <w:rsid w:val="00FC69CF"/>
    <w:rsid w:val="00FC69D4"/>
    <w:rsid w:val="00FC6A56"/>
    <w:rsid w:val="00FC6A64"/>
    <w:rsid w:val="00FC6A87"/>
    <w:rsid w:val="00FC6AC6"/>
    <w:rsid w:val="00FC6AD5"/>
    <w:rsid w:val="00FC6B0D"/>
    <w:rsid w:val="00FC6B12"/>
    <w:rsid w:val="00FC6B40"/>
    <w:rsid w:val="00FC6B61"/>
    <w:rsid w:val="00FC6BDD"/>
    <w:rsid w:val="00FC6BF4"/>
    <w:rsid w:val="00FC6C07"/>
    <w:rsid w:val="00FC6C9E"/>
    <w:rsid w:val="00FC6CA6"/>
    <w:rsid w:val="00FC6CBC"/>
    <w:rsid w:val="00FC6D0C"/>
    <w:rsid w:val="00FC6D77"/>
    <w:rsid w:val="00FC6DCE"/>
    <w:rsid w:val="00FC6DF4"/>
    <w:rsid w:val="00FC6E50"/>
    <w:rsid w:val="00FC6E80"/>
    <w:rsid w:val="00FC6E84"/>
    <w:rsid w:val="00FC6E87"/>
    <w:rsid w:val="00FC6E9E"/>
    <w:rsid w:val="00FC6EC5"/>
    <w:rsid w:val="00FC6ED5"/>
    <w:rsid w:val="00FC6EF9"/>
    <w:rsid w:val="00FC6F3A"/>
    <w:rsid w:val="00FC6F4C"/>
    <w:rsid w:val="00FC6F7F"/>
    <w:rsid w:val="00FC6FBB"/>
    <w:rsid w:val="00FC6FC1"/>
    <w:rsid w:val="00FC6FD4"/>
    <w:rsid w:val="00FC6FD7"/>
    <w:rsid w:val="00FC6FE4"/>
    <w:rsid w:val="00FC6FF5"/>
    <w:rsid w:val="00FC702F"/>
    <w:rsid w:val="00FC7036"/>
    <w:rsid w:val="00FC70F9"/>
    <w:rsid w:val="00FC7178"/>
    <w:rsid w:val="00FC7186"/>
    <w:rsid w:val="00FC7189"/>
    <w:rsid w:val="00FC71B8"/>
    <w:rsid w:val="00FC71E0"/>
    <w:rsid w:val="00FC7256"/>
    <w:rsid w:val="00FC7288"/>
    <w:rsid w:val="00FC72B7"/>
    <w:rsid w:val="00FC72FC"/>
    <w:rsid w:val="00FC7365"/>
    <w:rsid w:val="00FC7446"/>
    <w:rsid w:val="00FC746C"/>
    <w:rsid w:val="00FC749B"/>
    <w:rsid w:val="00FC74CB"/>
    <w:rsid w:val="00FC75D3"/>
    <w:rsid w:val="00FC75D4"/>
    <w:rsid w:val="00FC7602"/>
    <w:rsid w:val="00FC7611"/>
    <w:rsid w:val="00FC761F"/>
    <w:rsid w:val="00FC7638"/>
    <w:rsid w:val="00FC7649"/>
    <w:rsid w:val="00FC764A"/>
    <w:rsid w:val="00FC76FE"/>
    <w:rsid w:val="00FC7715"/>
    <w:rsid w:val="00FC7730"/>
    <w:rsid w:val="00FC7732"/>
    <w:rsid w:val="00FC7755"/>
    <w:rsid w:val="00FC77C5"/>
    <w:rsid w:val="00FC77F7"/>
    <w:rsid w:val="00FC780A"/>
    <w:rsid w:val="00FC7810"/>
    <w:rsid w:val="00FC781F"/>
    <w:rsid w:val="00FC7835"/>
    <w:rsid w:val="00FC7842"/>
    <w:rsid w:val="00FC786B"/>
    <w:rsid w:val="00FC7886"/>
    <w:rsid w:val="00FC78C6"/>
    <w:rsid w:val="00FC78E6"/>
    <w:rsid w:val="00FC7923"/>
    <w:rsid w:val="00FC793B"/>
    <w:rsid w:val="00FC7942"/>
    <w:rsid w:val="00FC7963"/>
    <w:rsid w:val="00FC796A"/>
    <w:rsid w:val="00FC7981"/>
    <w:rsid w:val="00FC7989"/>
    <w:rsid w:val="00FC79FB"/>
    <w:rsid w:val="00FC7A07"/>
    <w:rsid w:val="00FC7A87"/>
    <w:rsid w:val="00FC7AA7"/>
    <w:rsid w:val="00FC7B06"/>
    <w:rsid w:val="00FC7B2A"/>
    <w:rsid w:val="00FC7B33"/>
    <w:rsid w:val="00FC7B4A"/>
    <w:rsid w:val="00FC7BC1"/>
    <w:rsid w:val="00FC7C62"/>
    <w:rsid w:val="00FC7C97"/>
    <w:rsid w:val="00FC7CD1"/>
    <w:rsid w:val="00FC7D60"/>
    <w:rsid w:val="00FC7D84"/>
    <w:rsid w:val="00FC7DB3"/>
    <w:rsid w:val="00FC7DCD"/>
    <w:rsid w:val="00FC7EE7"/>
    <w:rsid w:val="00FC7EEC"/>
    <w:rsid w:val="00FC7EF5"/>
    <w:rsid w:val="00FC7F9F"/>
    <w:rsid w:val="00FC7FE7"/>
    <w:rsid w:val="00FCAC83"/>
    <w:rsid w:val="00FD004D"/>
    <w:rsid w:val="00FD00B0"/>
    <w:rsid w:val="00FD00E9"/>
    <w:rsid w:val="00FD0115"/>
    <w:rsid w:val="00FD0157"/>
    <w:rsid w:val="00FD018F"/>
    <w:rsid w:val="00FD0199"/>
    <w:rsid w:val="00FD01D8"/>
    <w:rsid w:val="00FD0212"/>
    <w:rsid w:val="00FD024C"/>
    <w:rsid w:val="00FD0254"/>
    <w:rsid w:val="00FD02D0"/>
    <w:rsid w:val="00FD02F3"/>
    <w:rsid w:val="00FD0304"/>
    <w:rsid w:val="00FD032B"/>
    <w:rsid w:val="00FD03E7"/>
    <w:rsid w:val="00FD041F"/>
    <w:rsid w:val="00FD047D"/>
    <w:rsid w:val="00FD047F"/>
    <w:rsid w:val="00FD0496"/>
    <w:rsid w:val="00FD04E8"/>
    <w:rsid w:val="00FD054E"/>
    <w:rsid w:val="00FD0584"/>
    <w:rsid w:val="00FD058E"/>
    <w:rsid w:val="00FD060B"/>
    <w:rsid w:val="00FD0637"/>
    <w:rsid w:val="00FD063E"/>
    <w:rsid w:val="00FD0651"/>
    <w:rsid w:val="00FD065C"/>
    <w:rsid w:val="00FD06B1"/>
    <w:rsid w:val="00FD06DE"/>
    <w:rsid w:val="00FD06DF"/>
    <w:rsid w:val="00FD070A"/>
    <w:rsid w:val="00FD0721"/>
    <w:rsid w:val="00FD0754"/>
    <w:rsid w:val="00FD078B"/>
    <w:rsid w:val="00FD07DB"/>
    <w:rsid w:val="00FD0845"/>
    <w:rsid w:val="00FD0858"/>
    <w:rsid w:val="00FD08E4"/>
    <w:rsid w:val="00FD0913"/>
    <w:rsid w:val="00FD0919"/>
    <w:rsid w:val="00FD0926"/>
    <w:rsid w:val="00FD0954"/>
    <w:rsid w:val="00FD09CD"/>
    <w:rsid w:val="00FD09D7"/>
    <w:rsid w:val="00FD0A27"/>
    <w:rsid w:val="00FD0A6B"/>
    <w:rsid w:val="00FD0A77"/>
    <w:rsid w:val="00FD0AAF"/>
    <w:rsid w:val="00FD0AD7"/>
    <w:rsid w:val="00FD0B01"/>
    <w:rsid w:val="00FD0B1A"/>
    <w:rsid w:val="00FD0B36"/>
    <w:rsid w:val="00FD0B51"/>
    <w:rsid w:val="00FD0B52"/>
    <w:rsid w:val="00FD0B55"/>
    <w:rsid w:val="00FD0B57"/>
    <w:rsid w:val="00FD0B7E"/>
    <w:rsid w:val="00FD0BFA"/>
    <w:rsid w:val="00FD0C01"/>
    <w:rsid w:val="00FD0C11"/>
    <w:rsid w:val="00FD0C2B"/>
    <w:rsid w:val="00FD0C3D"/>
    <w:rsid w:val="00FD0C60"/>
    <w:rsid w:val="00FD0C95"/>
    <w:rsid w:val="00FD0CEA"/>
    <w:rsid w:val="00FD0D83"/>
    <w:rsid w:val="00FD0E33"/>
    <w:rsid w:val="00FD0E40"/>
    <w:rsid w:val="00FD0E96"/>
    <w:rsid w:val="00FD0E9A"/>
    <w:rsid w:val="00FD0EFC"/>
    <w:rsid w:val="00FD0F6B"/>
    <w:rsid w:val="00FD0FAE"/>
    <w:rsid w:val="00FD1054"/>
    <w:rsid w:val="00FD106C"/>
    <w:rsid w:val="00FD1082"/>
    <w:rsid w:val="00FD10AD"/>
    <w:rsid w:val="00FD10D4"/>
    <w:rsid w:val="00FD1109"/>
    <w:rsid w:val="00FD1125"/>
    <w:rsid w:val="00FD11F6"/>
    <w:rsid w:val="00FD1214"/>
    <w:rsid w:val="00FD1252"/>
    <w:rsid w:val="00FD139C"/>
    <w:rsid w:val="00FD13BF"/>
    <w:rsid w:val="00FD13D2"/>
    <w:rsid w:val="00FD1495"/>
    <w:rsid w:val="00FD14E4"/>
    <w:rsid w:val="00FD151F"/>
    <w:rsid w:val="00FD1541"/>
    <w:rsid w:val="00FD154C"/>
    <w:rsid w:val="00FD1592"/>
    <w:rsid w:val="00FD15D1"/>
    <w:rsid w:val="00FD161A"/>
    <w:rsid w:val="00FD164D"/>
    <w:rsid w:val="00FD1716"/>
    <w:rsid w:val="00FD171F"/>
    <w:rsid w:val="00FD1721"/>
    <w:rsid w:val="00FD172C"/>
    <w:rsid w:val="00FD1756"/>
    <w:rsid w:val="00FD1758"/>
    <w:rsid w:val="00FD1769"/>
    <w:rsid w:val="00FD177D"/>
    <w:rsid w:val="00FD17C1"/>
    <w:rsid w:val="00FD17C7"/>
    <w:rsid w:val="00FD180F"/>
    <w:rsid w:val="00FD1830"/>
    <w:rsid w:val="00FD18F8"/>
    <w:rsid w:val="00FD1987"/>
    <w:rsid w:val="00FD19CF"/>
    <w:rsid w:val="00FD1A1C"/>
    <w:rsid w:val="00FD1A35"/>
    <w:rsid w:val="00FD1A95"/>
    <w:rsid w:val="00FD1AAE"/>
    <w:rsid w:val="00FD1AC7"/>
    <w:rsid w:val="00FD1AFE"/>
    <w:rsid w:val="00FD1B26"/>
    <w:rsid w:val="00FD1B99"/>
    <w:rsid w:val="00FD1BE4"/>
    <w:rsid w:val="00FD1C53"/>
    <w:rsid w:val="00FD1C59"/>
    <w:rsid w:val="00FD1C66"/>
    <w:rsid w:val="00FD1C83"/>
    <w:rsid w:val="00FD1C9C"/>
    <w:rsid w:val="00FD1CA2"/>
    <w:rsid w:val="00FD1CCA"/>
    <w:rsid w:val="00FD1CF0"/>
    <w:rsid w:val="00FD1D12"/>
    <w:rsid w:val="00FD1D55"/>
    <w:rsid w:val="00FD1DE1"/>
    <w:rsid w:val="00FD1DFF"/>
    <w:rsid w:val="00FD1E06"/>
    <w:rsid w:val="00FD1E1A"/>
    <w:rsid w:val="00FD1E36"/>
    <w:rsid w:val="00FD1EBC"/>
    <w:rsid w:val="00FD1F02"/>
    <w:rsid w:val="00FD1F29"/>
    <w:rsid w:val="00FD1F77"/>
    <w:rsid w:val="00FD1F9D"/>
    <w:rsid w:val="00FD1FCD"/>
    <w:rsid w:val="00FD201D"/>
    <w:rsid w:val="00FD201E"/>
    <w:rsid w:val="00FD2024"/>
    <w:rsid w:val="00FD2027"/>
    <w:rsid w:val="00FD202A"/>
    <w:rsid w:val="00FD202F"/>
    <w:rsid w:val="00FD203D"/>
    <w:rsid w:val="00FD2092"/>
    <w:rsid w:val="00FD20BB"/>
    <w:rsid w:val="00FD2121"/>
    <w:rsid w:val="00FD21C2"/>
    <w:rsid w:val="00FD21D0"/>
    <w:rsid w:val="00FD2253"/>
    <w:rsid w:val="00FD2255"/>
    <w:rsid w:val="00FD2260"/>
    <w:rsid w:val="00FD2267"/>
    <w:rsid w:val="00FD22CD"/>
    <w:rsid w:val="00FD233C"/>
    <w:rsid w:val="00FD2378"/>
    <w:rsid w:val="00FD23F2"/>
    <w:rsid w:val="00FD2436"/>
    <w:rsid w:val="00FD24B7"/>
    <w:rsid w:val="00FD24BB"/>
    <w:rsid w:val="00FD24C0"/>
    <w:rsid w:val="00FD2521"/>
    <w:rsid w:val="00FD25B0"/>
    <w:rsid w:val="00FD25BF"/>
    <w:rsid w:val="00FD25DD"/>
    <w:rsid w:val="00FD25F8"/>
    <w:rsid w:val="00FD2620"/>
    <w:rsid w:val="00FD2631"/>
    <w:rsid w:val="00FD2640"/>
    <w:rsid w:val="00FD26BB"/>
    <w:rsid w:val="00FD2733"/>
    <w:rsid w:val="00FD2749"/>
    <w:rsid w:val="00FD275D"/>
    <w:rsid w:val="00FD2760"/>
    <w:rsid w:val="00FD2768"/>
    <w:rsid w:val="00FD276F"/>
    <w:rsid w:val="00FD279D"/>
    <w:rsid w:val="00FD27B0"/>
    <w:rsid w:val="00FD27B6"/>
    <w:rsid w:val="00FD281A"/>
    <w:rsid w:val="00FD286E"/>
    <w:rsid w:val="00FD287B"/>
    <w:rsid w:val="00FD288C"/>
    <w:rsid w:val="00FD28CA"/>
    <w:rsid w:val="00FD28D2"/>
    <w:rsid w:val="00FD28E0"/>
    <w:rsid w:val="00FD296F"/>
    <w:rsid w:val="00FD29B8"/>
    <w:rsid w:val="00FD29C6"/>
    <w:rsid w:val="00FD29D1"/>
    <w:rsid w:val="00FD29DE"/>
    <w:rsid w:val="00FD29F3"/>
    <w:rsid w:val="00FD2A74"/>
    <w:rsid w:val="00FD2AFC"/>
    <w:rsid w:val="00FD2BB4"/>
    <w:rsid w:val="00FD2BD4"/>
    <w:rsid w:val="00FD2BF2"/>
    <w:rsid w:val="00FD2C2F"/>
    <w:rsid w:val="00FD2C33"/>
    <w:rsid w:val="00FD2C66"/>
    <w:rsid w:val="00FD2C85"/>
    <w:rsid w:val="00FD2D0A"/>
    <w:rsid w:val="00FD2D16"/>
    <w:rsid w:val="00FD2D27"/>
    <w:rsid w:val="00FD2D56"/>
    <w:rsid w:val="00FD2D62"/>
    <w:rsid w:val="00FD2DBA"/>
    <w:rsid w:val="00FD2DC5"/>
    <w:rsid w:val="00FD2E21"/>
    <w:rsid w:val="00FD2E60"/>
    <w:rsid w:val="00FD2EEA"/>
    <w:rsid w:val="00FD2F6B"/>
    <w:rsid w:val="00FD2FED"/>
    <w:rsid w:val="00FD305C"/>
    <w:rsid w:val="00FD305F"/>
    <w:rsid w:val="00FD30B3"/>
    <w:rsid w:val="00FD30F0"/>
    <w:rsid w:val="00FD30FC"/>
    <w:rsid w:val="00FD3143"/>
    <w:rsid w:val="00FD3152"/>
    <w:rsid w:val="00FD3178"/>
    <w:rsid w:val="00FD318F"/>
    <w:rsid w:val="00FD31DE"/>
    <w:rsid w:val="00FD32C2"/>
    <w:rsid w:val="00FD3308"/>
    <w:rsid w:val="00FD331B"/>
    <w:rsid w:val="00FD331F"/>
    <w:rsid w:val="00FD333D"/>
    <w:rsid w:val="00FD3368"/>
    <w:rsid w:val="00FD3381"/>
    <w:rsid w:val="00FD338D"/>
    <w:rsid w:val="00FD3402"/>
    <w:rsid w:val="00FD3441"/>
    <w:rsid w:val="00FD3448"/>
    <w:rsid w:val="00FD350F"/>
    <w:rsid w:val="00FD351A"/>
    <w:rsid w:val="00FD3562"/>
    <w:rsid w:val="00FD3585"/>
    <w:rsid w:val="00FD35A7"/>
    <w:rsid w:val="00FD36A8"/>
    <w:rsid w:val="00FD3726"/>
    <w:rsid w:val="00FD375B"/>
    <w:rsid w:val="00FD3763"/>
    <w:rsid w:val="00FD382F"/>
    <w:rsid w:val="00FD383F"/>
    <w:rsid w:val="00FD3856"/>
    <w:rsid w:val="00FD38F9"/>
    <w:rsid w:val="00FD3923"/>
    <w:rsid w:val="00FD3940"/>
    <w:rsid w:val="00FD3941"/>
    <w:rsid w:val="00FD3953"/>
    <w:rsid w:val="00FD3972"/>
    <w:rsid w:val="00FD39EF"/>
    <w:rsid w:val="00FD39FB"/>
    <w:rsid w:val="00FD3A0F"/>
    <w:rsid w:val="00FD3A22"/>
    <w:rsid w:val="00FD3A28"/>
    <w:rsid w:val="00FD3A48"/>
    <w:rsid w:val="00FD3A4A"/>
    <w:rsid w:val="00FD3A66"/>
    <w:rsid w:val="00FD3ACC"/>
    <w:rsid w:val="00FD3AF4"/>
    <w:rsid w:val="00FD3B3E"/>
    <w:rsid w:val="00FD3B88"/>
    <w:rsid w:val="00FD3B90"/>
    <w:rsid w:val="00FD3B93"/>
    <w:rsid w:val="00FD3BCC"/>
    <w:rsid w:val="00FD3BEA"/>
    <w:rsid w:val="00FD3BFA"/>
    <w:rsid w:val="00FD3C4B"/>
    <w:rsid w:val="00FD3C55"/>
    <w:rsid w:val="00FD3C7E"/>
    <w:rsid w:val="00FD3CEA"/>
    <w:rsid w:val="00FD3D2B"/>
    <w:rsid w:val="00FD3D3A"/>
    <w:rsid w:val="00FD3DA4"/>
    <w:rsid w:val="00FD3DF5"/>
    <w:rsid w:val="00FD3E16"/>
    <w:rsid w:val="00FD3E43"/>
    <w:rsid w:val="00FD3E82"/>
    <w:rsid w:val="00FD3E95"/>
    <w:rsid w:val="00FD3EA3"/>
    <w:rsid w:val="00FD3EBA"/>
    <w:rsid w:val="00FD3ECC"/>
    <w:rsid w:val="00FD3EF0"/>
    <w:rsid w:val="00FD3F54"/>
    <w:rsid w:val="00FD3F81"/>
    <w:rsid w:val="00FD3F8E"/>
    <w:rsid w:val="00FD3FC3"/>
    <w:rsid w:val="00FD4006"/>
    <w:rsid w:val="00FD409B"/>
    <w:rsid w:val="00FD40AD"/>
    <w:rsid w:val="00FD40B7"/>
    <w:rsid w:val="00FD40E3"/>
    <w:rsid w:val="00FD4143"/>
    <w:rsid w:val="00FD41DF"/>
    <w:rsid w:val="00FD4274"/>
    <w:rsid w:val="00FD42F0"/>
    <w:rsid w:val="00FD431E"/>
    <w:rsid w:val="00FD432D"/>
    <w:rsid w:val="00FD43B5"/>
    <w:rsid w:val="00FD43C7"/>
    <w:rsid w:val="00FD43DC"/>
    <w:rsid w:val="00FD4420"/>
    <w:rsid w:val="00FD44EF"/>
    <w:rsid w:val="00FD44F2"/>
    <w:rsid w:val="00FD451D"/>
    <w:rsid w:val="00FD454D"/>
    <w:rsid w:val="00FD45A7"/>
    <w:rsid w:val="00FD45B9"/>
    <w:rsid w:val="00FD45FD"/>
    <w:rsid w:val="00FD467F"/>
    <w:rsid w:val="00FD4699"/>
    <w:rsid w:val="00FD46A9"/>
    <w:rsid w:val="00FD46DD"/>
    <w:rsid w:val="00FD4713"/>
    <w:rsid w:val="00FD472A"/>
    <w:rsid w:val="00FD474A"/>
    <w:rsid w:val="00FD4792"/>
    <w:rsid w:val="00FD47A4"/>
    <w:rsid w:val="00FD47B0"/>
    <w:rsid w:val="00FD47C0"/>
    <w:rsid w:val="00FD47E9"/>
    <w:rsid w:val="00FD4808"/>
    <w:rsid w:val="00FD4826"/>
    <w:rsid w:val="00FD482C"/>
    <w:rsid w:val="00FD483E"/>
    <w:rsid w:val="00FD4885"/>
    <w:rsid w:val="00FD48EE"/>
    <w:rsid w:val="00FD4901"/>
    <w:rsid w:val="00FD4989"/>
    <w:rsid w:val="00FD4A51"/>
    <w:rsid w:val="00FD4AC6"/>
    <w:rsid w:val="00FD4AD5"/>
    <w:rsid w:val="00FD4AF9"/>
    <w:rsid w:val="00FD4B81"/>
    <w:rsid w:val="00FD4BB8"/>
    <w:rsid w:val="00FD4BF6"/>
    <w:rsid w:val="00FD4C07"/>
    <w:rsid w:val="00FD4C3E"/>
    <w:rsid w:val="00FD4C75"/>
    <w:rsid w:val="00FD4CF6"/>
    <w:rsid w:val="00FD4D06"/>
    <w:rsid w:val="00FD4D0F"/>
    <w:rsid w:val="00FD4D14"/>
    <w:rsid w:val="00FD4D34"/>
    <w:rsid w:val="00FD4D68"/>
    <w:rsid w:val="00FD4DB8"/>
    <w:rsid w:val="00FD4E34"/>
    <w:rsid w:val="00FD4E38"/>
    <w:rsid w:val="00FD4E51"/>
    <w:rsid w:val="00FD4E83"/>
    <w:rsid w:val="00FD4E8F"/>
    <w:rsid w:val="00FD4EB8"/>
    <w:rsid w:val="00FD4EC6"/>
    <w:rsid w:val="00FD4EC7"/>
    <w:rsid w:val="00FD4F0B"/>
    <w:rsid w:val="00FD4F8B"/>
    <w:rsid w:val="00FD4FD3"/>
    <w:rsid w:val="00FD5012"/>
    <w:rsid w:val="00FD501B"/>
    <w:rsid w:val="00FD5024"/>
    <w:rsid w:val="00FD502E"/>
    <w:rsid w:val="00FD503F"/>
    <w:rsid w:val="00FD5058"/>
    <w:rsid w:val="00FD5121"/>
    <w:rsid w:val="00FD51C0"/>
    <w:rsid w:val="00FD51C6"/>
    <w:rsid w:val="00FD51EA"/>
    <w:rsid w:val="00FD5216"/>
    <w:rsid w:val="00FD5239"/>
    <w:rsid w:val="00FD5244"/>
    <w:rsid w:val="00FD5270"/>
    <w:rsid w:val="00FD527E"/>
    <w:rsid w:val="00FD5297"/>
    <w:rsid w:val="00FD52B3"/>
    <w:rsid w:val="00FD52C0"/>
    <w:rsid w:val="00FD52C1"/>
    <w:rsid w:val="00FD530E"/>
    <w:rsid w:val="00FD5315"/>
    <w:rsid w:val="00FD5357"/>
    <w:rsid w:val="00FD539F"/>
    <w:rsid w:val="00FD547C"/>
    <w:rsid w:val="00FD559C"/>
    <w:rsid w:val="00FD55B8"/>
    <w:rsid w:val="00FD55BF"/>
    <w:rsid w:val="00FD55ED"/>
    <w:rsid w:val="00FD55F9"/>
    <w:rsid w:val="00FD5611"/>
    <w:rsid w:val="00FD56FC"/>
    <w:rsid w:val="00FD575B"/>
    <w:rsid w:val="00FD57F2"/>
    <w:rsid w:val="00FD582D"/>
    <w:rsid w:val="00FD5832"/>
    <w:rsid w:val="00FD5860"/>
    <w:rsid w:val="00FD58E1"/>
    <w:rsid w:val="00FD58E4"/>
    <w:rsid w:val="00FD58E5"/>
    <w:rsid w:val="00FD590F"/>
    <w:rsid w:val="00FD5983"/>
    <w:rsid w:val="00FD59FF"/>
    <w:rsid w:val="00FD5A15"/>
    <w:rsid w:val="00FD5A28"/>
    <w:rsid w:val="00FD5A7C"/>
    <w:rsid w:val="00FD5A7E"/>
    <w:rsid w:val="00FD5A80"/>
    <w:rsid w:val="00FD5AC1"/>
    <w:rsid w:val="00FD5AE3"/>
    <w:rsid w:val="00FD5AF0"/>
    <w:rsid w:val="00FD5B05"/>
    <w:rsid w:val="00FD5B42"/>
    <w:rsid w:val="00FD5BCC"/>
    <w:rsid w:val="00FD5BFA"/>
    <w:rsid w:val="00FD5BFD"/>
    <w:rsid w:val="00FD5C22"/>
    <w:rsid w:val="00FD5C48"/>
    <w:rsid w:val="00FD5C90"/>
    <w:rsid w:val="00FD5CCC"/>
    <w:rsid w:val="00FD5CF8"/>
    <w:rsid w:val="00FD5CFD"/>
    <w:rsid w:val="00FD5D09"/>
    <w:rsid w:val="00FD5D2C"/>
    <w:rsid w:val="00FD5D4C"/>
    <w:rsid w:val="00FD5DE5"/>
    <w:rsid w:val="00FD5E15"/>
    <w:rsid w:val="00FD5E1E"/>
    <w:rsid w:val="00FD5E6E"/>
    <w:rsid w:val="00FD5E7D"/>
    <w:rsid w:val="00FD5E87"/>
    <w:rsid w:val="00FD5EC6"/>
    <w:rsid w:val="00FD5ECD"/>
    <w:rsid w:val="00FD5EE4"/>
    <w:rsid w:val="00FD5F58"/>
    <w:rsid w:val="00FD5FB1"/>
    <w:rsid w:val="00FD6058"/>
    <w:rsid w:val="00FD606E"/>
    <w:rsid w:val="00FD60E8"/>
    <w:rsid w:val="00FD60EB"/>
    <w:rsid w:val="00FD611E"/>
    <w:rsid w:val="00FD617D"/>
    <w:rsid w:val="00FD6218"/>
    <w:rsid w:val="00FD624D"/>
    <w:rsid w:val="00FD62BB"/>
    <w:rsid w:val="00FD62E2"/>
    <w:rsid w:val="00FD6334"/>
    <w:rsid w:val="00FD6365"/>
    <w:rsid w:val="00FD638F"/>
    <w:rsid w:val="00FD63CD"/>
    <w:rsid w:val="00FD63F7"/>
    <w:rsid w:val="00FD6406"/>
    <w:rsid w:val="00FD645D"/>
    <w:rsid w:val="00FD64A6"/>
    <w:rsid w:val="00FD650C"/>
    <w:rsid w:val="00FD65F0"/>
    <w:rsid w:val="00FD65F9"/>
    <w:rsid w:val="00FD65FB"/>
    <w:rsid w:val="00FD6628"/>
    <w:rsid w:val="00FD6635"/>
    <w:rsid w:val="00FD6637"/>
    <w:rsid w:val="00FD66C5"/>
    <w:rsid w:val="00FD66CD"/>
    <w:rsid w:val="00FD670D"/>
    <w:rsid w:val="00FD6738"/>
    <w:rsid w:val="00FD6766"/>
    <w:rsid w:val="00FD6771"/>
    <w:rsid w:val="00FD6790"/>
    <w:rsid w:val="00FD6800"/>
    <w:rsid w:val="00FD6880"/>
    <w:rsid w:val="00FD6895"/>
    <w:rsid w:val="00FD689D"/>
    <w:rsid w:val="00FD68B8"/>
    <w:rsid w:val="00FD68CD"/>
    <w:rsid w:val="00FD690A"/>
    <w:rsid w:val="00FD691D"/>
    <w:rsid w:val="00FD696D"/>
    <w:rsid w:val="00FD6987"/>
    <w:rsid w:val="00FD69CA"/>
    <w:rsid w:val="00FD6A68"/>
    <w:rsid w:val="00FD6A6F"/>
    <w:rsid w:val="00FD6AB0"/>
    <w:rsid w:val="00FD6AB9"/>
    <w:rsid w:val="00FD6B08"/>
    <w:rsid w:val="00FD6B12"/>
    <w:rsid w:val="00FD6B14"/>
    <w:rsid w:val="00FD6B2F"/>
    <w:rsid w:val="00FD6B50"/>
    <w:rsid w:val="00FD6BBD"/>
    <w:rsid w:val="00FD6BE9"/>
    <w:rsid w:val="00FD6C42"/>
    <w:rsid w:val="00FD6C63"/>
    <w:rsid w:val="00FD6CBB"/>
    <w:rsid w:val="00FD6CC4"/>
    <w:rsid w:val="00FD6D45"/>
    <w:rsid w:val="00FD6D5E"/>
    <w:rsid w:val="00FD6D74"/>
    <w:rsid w:val="00FD6DAB"/>
    <w:rsid w:val="00FD6DC9"/>
    <w:rsid w:val="00FD6E81"/>
    <w:rsid w:val="00FD6E88"/>
    <w:rsid w:val="00FD6EA0"/>
    <w:rsid w:val="00FD6ECD"/>
    <w:rsid w:val="00FD6EEF"/>
    <w:rsid w:val="00FD6F05"/>
    <w:rsid w:val="00FD6F19"/>
    <w:rsid w:val="00FD6F35"/>
    <w:rsid w:val="00FD6F92"/>
    <w:rsid w:val="00FD6FE2"/>
    <w:rsid w:val="00FD704B"/>
    <w:rsid w:val="00FD7052"/>
    <w:rsid w:val="00FD7080"/>
    <w:rsid w:val="00FD708B"/>
    <w:rsid w:val="00FD70AF"/>
    <w:rsid w:val="00FD70E0"/>
    <w:rsid w:val="00FD711B"/>
    <w:rsid w:val="00FD712A"/>
    <w:rsid w:val="00FD717B"/>
    <w:rsid w:val="00FD7275"/>
    <w:rsid w:val="00FD72FE"/>
    <w:rsid w:val="00FD738A"/>
    <w:rsid w:val="00FD73B4"/>
    <w:rsid w:val="00FD73F0"/>
    <w:rsid w:val="00FD7402"/>
    <w:rsid w:val="00FD7441"/>
    <w:rsid w:val="00FD7446"/>
    <w:rsid w:val="00FD7448"/>
    <w:rsid w:val="00FD7484"/>
    <w:rsid w:val="00FD7498"/>
    <w:rsid w:val="00FD7535"/>
    <w:rsid w:val="00FD754B"/>
    <w:rsid w:val="00FD76EE"/>
    <w:rsid w:val="00FD76F5"/>
    <w:rsid w:val="00FD771C"/>
    <w:rsid w:val="00FD77B7"/>
    <w:rsid w:val="00FD77B9"/>
    <w:rsid w:val="00FD77D5"/>
    <w:rsid w:val="00FD77D8"/>
    <w:rsid w:val="00FD77E4"/>
    <w:rsid w:val="00FD77FB"/>
    <w:rsid w:val="00FD7910"/>
    <w:rsid w:val="00FD7916"/>
    <w:rsid w:val="00FD795D"/>
    <w:rsid w:val="00FD79C4"/>
    <w:rsid w:val="00FD79D6"/>
    <w:rsid w:val="00FD7A1C"/>
    <w:rsid w:val="00FD7A1D"/>
    <w:rsid w:val="00FD7A2F"/>
    <w:rsid w:val="00FD7A34"/>
    <w:rsid w:val="00FD7A76"/>
    <w:rsid w:val="00FD7A9B"/>
    <w:rsid w:val="00FD7A9C"/>
    <w:rsid w:val="00FD7ABD"/>
    <w:rsid w:val="00FD7AD3"/>
    <w:rsid w:val="00FD7AD7"/>
    <w:rsid w:val="00FD7AFF"/>
    <w:rsid w:val="00FD7B02"/>
    <w:rsid w:val="00FD7B29"/>
    <w:rsid w:val="00FD7B44"/>
    <w:rsid w:val="00FD7B50"/>
    <w:rsid w:val="00FD7B5E"/>
    <w:rsid w:val="00FD7B62"/>
    <w:rsid w:val="00FD7C09"/>
    <w:rsid w:val="00FD7C19"/>
    <w:rsid w:val="00FD7C58"/>
    <w:rsid w:val="00FD7C66"/>
    <w:rsid w:val="00FD7CF5"/>
    <w:rsid w:val="00FD7D15"/>
    <w:rsid w:val="00FD7D3A"/>
    <w:rsid w:val="00FD7DC6"/>
    <w:rsid w:val="00FD7DD3"/>
    <w:rsid w:val="00FD7DE7"/>
    <w:rsid w:val="00FD7DEC"/>
    <w:rsid w:val="00FD7E3E"/>
    <w:rsid w:val="00FD7E79"/>
    <w:rsid w:val="00FD7EAC"/>
    <w:rsid w:val="00FD7F19"/>
    <w:rsid w:val="00FD7F47"/>
    <w:rsid w:val="00FD7F4C"/>
    <w:rsid w:val="00FD7F52"/>
    <w:rsid w:val="00FD7F85"/>
    <w:rsid w:val="00FD7FAB"/>
    <w:rsid w:val="00FDEF48"/>
    <w:rsid w:val="00FE0020"/>
    <w:rsid w:val="00FE0050"/>
    <w:rsid w:val="00FE0073"/>
    <w:rsid w:val="00FE0094"/>
    <w:rsid w:val="00FE00D1"/>
    <w:rsid w:val="00FE00D8"/>
    <w:rsid w:val="00FE0139"/>
    <w:rsid w:val="00FE0152"/>
    <w:rsid w:val="00FE017A"/>
    <w:rsid w:val="00FE017F"/>
    <w:rsid w:val="00FE0180"/>
    <w:rsid w:val="00FE0181"/>
    <w:rsid w:val="00FE0198"/>
    <w:rsid w:val="00FE026D"/>
    <w:rsid w:val="00FE0289"/>
    <w:rsid w:val="00FE028A"/>
    <w:rsid w:val="00FE02DA"/>
    <w:rsid w:val="00FE02E5"/>
    <w:rsid w:val="00FE02F3"/>
    <w:rsid w:val="00FE034E"/>
    <w:rsid w:val="00FE0393"/>
    <w:rsid w:val="00FE03BF"/>
    <w:rsid w:val="00FE03C5"/>
    <w:rsid w:val="00FE04D9"/>
    <w:rsid w:val="00FE04F9"/>
    <w:rsid w:val="00FE04FC"/>
    <w:rsid w:val="00FE0579"/>
    <w:rsid w:val="00FE057D"/>
    <w:rsid w:val="00FE0589"/>
    <w:rsid w:val="00FE0646"/>
    <w:rsid w:val="00FE064B"/>
    <w:rsid w:val="00FE06A0"/>
    <w:rsid w:val="00FE06B5"/>
    <w:rsid w:val="00FE06B7"/>
    <w:rsid w:val="00FE06E0"/>
    <w:rsid w:val="00FE06FA"/>
    <w:rsid w:val="00FE0707"/>
    <w:rsid w:val="00FE070D"/>
    <w:rsid w:val="00FE071C"/>
    <w:rsid w:val="00FE07F3"/>
    <w:rsid w:val="00FE07F5"/>
    <w:rsid w:val="00FE0831"/>
    <w:rsid w:val="00FE0832"/>
    <w:rsid w:val="00FE083E"/>
    <w:rsid w:val="00FE0891"/>
    <w:rsid w:val="00FE08AD"/>
    <w:rsid w:val="00FE08CB"/>
    <w:rsid w:val="00FE08F2"/>
    <w:rsid w:val="00FE08F5"/>
    <w:rsid w:val="00FE08FD"/>
    <w:rsid w:val="00FE0928"/>
    <w:rsid w:val="00FE0952"/>
    <w:rsid w:val="00FE09B1"/>
    <w:rsid w:val="00FE09F9"/>
    <w:rsid w:val="00FE0A65"/>
    <w:rsid w:val="00FE0A6F"/>
    <w:rsid w:val="00FE0A8E"/>
    <w:rsid w:val="00FE0AE5"/>
    <w:rsid w:val="00FE0AF2"/>
    <w:rsid w:val="00FE0C21"/>
    <w:rsid w:val="00FE0C59"/>
    <w:rsid w:val="00FE0C65"/>
    <w:rsid w:val="00FE0CAD"/>
    <w:rsid w:val="00FE0D47"/>
    <w:rsid w:val="00FE0D53"/>
    <w:rsid w:val="00FE0DF2"/>
    <w:rsid w:val="00FE0DF6"/>
    <w:rsid w:val="00FE0EB4"/>
    <w:rsid w:val="00FE0EE0"/>
    <w:rsid w:val="00FE0F2B"/>
    <w:rsid w:val="00FE0F78"/>
    <w:rsid w:val="00FE0FA6"/>
    <w:rsid w:val="00FE10A5"/>
    <w:rsid w:val="00FE10BA"/>
    <w:rsid w:val="00FE10F1"/>
    <w:rsid w:val="00FE11C8"/>
    <w:rsid w:val="00FE11D2"/>
    <w:rsid w:val="00FE11DF"/>
    <w:rsid w:val="00FE1228"/>
    <w:rsid w:val="00FE123B"/>
    <w:rsid w:val="00FE1267"/>
    <w:rsid w:val="00FE129F"/>
    <w:rsid w:val="00FE12BB"/>
    <w:rsid w:val="00FE134A"/>
    <w:rsid w:val="00FE1373"/>
    <w:rsid w:val="00FE13CD"/>
    <w:rsid w:val="00FE145C"/>
    <w:rsid w:val="00FE14AF"/>
    <w:rsid w:val="00FE152E"/>
    <w:rsid w:val="00FE154C"/>
    <w:rsid w:val="00FE155B"/>
    <w:rsid w:val="00FE1566"/>
    <w:rsid w:val="00FE1570"/>
    <w:rsid w:val="00FE1573"/>
    <w:rsid w:val="00FE157A"/>
    <w:rsid w:val="00FE15A3"/>
    <w:rsid w:val="00FE15B5"/>
    <w:rsid w:val="00FE15BA"/>
    <w:rsid w:val="00FE1600"/>
    <w:rsid w:val="00FE1621"/>
    <w:rsid w:val="00FE166D"/>
    <w:rsid w:val="00FE16AB"/>
    <w:rsid w:val="00FE16C1"/>
    <w:rsid w:val="00FE16E1"/>
    <w:rsid w:val="00FE1709"/>
    <w:rsid w:val="00FE174C"/>
    <w:rsid w:val="00FE175A"/>
    <w:rsid w:val="00FE175D"/>
    <w:rsid w:val="00FE17CE"/>
    <w:rsid w:val="00FE17E0"/>
    <w:rsid w:val="00FE17F5"/>
    <w:rsid w:val="00FE18A0"/>
    <w:rsid w:val="00FE18B4"/>
    <w:rsid w:val="00FE18E1"/>
    <w:rsid w:val="00FE1910"/>
    <w:rsid w:val="00FE1918"/>
    <w:rsid w:val="00FE19A2"/>
    <w:rsid w:val="00FE19B1"/>
    <w:rsid w:val="00FE19C7"/>
    <w:rsid w:val="00FE19D8"/>
    <w:rsid w:val="00FE1A3E"/>
    <w:rsid w:val="00FE1A4C"/>
    <w:rsid w:val="00FE1A6F"/>
    <w:rsid w:val="00FE1B03"/>
    <w:rsid w:val="00FE1B05"/>
    <w:rsid w:val="00FE1B39"/>
    <w:rsid w:val="00FE1BB0"/>
    <w:rsid w:val="00FE1BB1"/>
    <w:rsid w:val="00FE1BCA"/>
    <w:rsid w:val="00FE1C1F"/>
    <w:rsid w:val="00FE1CF1"/>
    <w:rsid w:val="00FE1CF2"/>
    <w:rsid w:val="00FE1D21"/>
    <w:rsid w:val="00FE1D7F"/>
    <w:rsid w:val="00FE1DCE"/>
    <w:rsid w:val="00FE1E08"/>
    <w:rsid w:val="00FE1E69"/>
    <w:rsid w:val="00FE1E74"/>
    <w:rsid w:val="00FE1EE1"/>
    <w:rsid w:val="00FE1FA7"/>
    <w:rsid w:val="00FE2006"/>
    <w:rsid w:val="00FE204E"/>
    <w:rsid w:val="00FE205D"/>
    <w:rsid w:val="00FE2063"/>
    <w:rsid w:val="00FE2074"/>
    <w:rsid w:val="00FE2080"/>
    <w:rsid w:val="00FE2097"/>
    <w:rsid w:val="00FE209C"/>
    <w:rsid w:val="00FE20AA"/>
    <w:rsid w:val="00FE20C5"/>
    <w:rsid w:val="00FE210A"/>
    <w:rsid w:val="00FE2131"/>
    <w:rsid w:val="00FE213F"/>
    <w:rsid w:val="00FE2146"/>
    <w:rsid w:val="00FE219E"/>
    <w:rsid w:val="00FE21B2"/>
    <w:rsid w:val="00FE21BE"/>
    <w:rsid w:val="00FE21FC"/>
    <w:rsid w:val="00FE2229"/>
    <w:rsid w:val="00FE228C"/>
    <w:rsid w:val="00FE2295"/>
    <w:rsid w:val="00FE22BB"/>
    <w:rsid w:val="00FE22CF"/>
    <w:rsid w:val="00FE22DC"/>
    <w:rsid w:val="00FE232A"/>
    <w:rsid w:val="00FE238D"/>
    <w:rsid w:val="00FE23C2"/>
    <w:rsid w:val="00FE2412"/>
    <w:rsid w:val="00FE244A"/>
    <w:rsid w:val="00FE2463"/>
    <w:rsid w:val="00FE24DF"/>
    <w:rsid w:val="00FE24FF"/>
    <w:rsid w:val="00FE252E"/>
    <w:rsid w:val="00FE255A"/>
    <w:rsid w:val="00FE25B3"/>
    <w:rsid w:val="00FE2609"/>
    <w:rsid w:val="00FE260F"/>
    <w:rsid w:val="00FE2624"/>
    <w:rsid w:val="00FE27D0"/>
    <w:rsid w:val="00FE27D8"/>
    <w:rsid w:val="00FE27DA"/>
    <w:rsid w:val="00FE2811"/>
    <w:rsid w:val="00FE283B"/>
    <w:rsid w:val="00FE2843"/>
    <w:rsid w:val="00FE28AB"/>
    <w:rsid w:val="00FE28B2"/>
    <w:rsid w:val="00FE28F2"/>
    <w:rsid w:val="00FE2950"/>
    <w:rsid w:val="00FE29D8"/>
    <w:rsid w:val="00FE29FB"/>
    <w:rsid w:val="00FE2A18"/>
    <w:rsid w:val="00FE2A3C"/>
    <w:rsid w:val="00FE2A7F"/>
    <w:rsid w:val="00FE2A91"/>
    <w:rsid w:val="00FE2A98"/>
    <w:rsid w:val="00FE2B53"/>
    <w:rsid w:val="00FE2B8B"/>
    <w:rsid w:val="00FE2B96"/>
    <w:rsid w:val="00FE2BD6"/>
    <w:rsid w:val="00FE2BEC"/>
    <w:rsid w:val="00FE2BFA"/>
    <w:rsid w:val="00FE2C02"/>
    <w:rsid w:val="00FE2C8B"/>
    <w:rsid w:val="00FE2C95"/>
    <w:rsid w:val="00FE2CAB"/>
    <w:rsid w:val="00FE2D03"/>
    <w:rsid w:val="00FE2D2A"/>
    <w:rsid w:val="00FE2D43"/>
    <w:rsid w:val="00FE2D56"/>
    <w:rsid w:val="00FE2D6E"/>
    <w:rsid w:val="00FE2DA1"/>
    <w:rsid w:val="00FE2DAC"/>
    <w:rsid w:val="00FE2E4D"/>
    <w:rsid w:val="00FE2E59"/>
    <w:rsid w:val="00FE2E77"/>
    <w:rsid w:val="00FE2F00"/>
    <w:rsid w:val="00FE2F13"/>
    <w:rsid w:val="00FE2F1F"/>
    <w:rsid w:val="00FE2F54"/>
    <w:rsid w:val="00FE2F8E"/>
    <w:rsid w:val="00FE2FB0"/>
    <w:rsid w:val="00FE2FB1"/>
    <w:rsid w:val="00FE2FE0"/>
    <w:rsid w:val="00FE3045"/>
    <w:rsid w:val="00FE305E"/>
    <w:rsid w:val="00FE3141"/>
    <w:rsid w:val="00FE3157"/>
    <w:rsid w:val="00FE318F"/>
    <w:rsid w:val="00FE31A4"/>
    <w:rsid w:val="00FE31A7"/>
    <w:rsid w:val="00FE31BB"/>
    <w:rsid w:val="00FE31C5"/>
    <w:rsid w:val="00FE31F2"/>
    <w:rsid w:val="00FE322E"/>
    <w:rsid w:val="00FE327E"/>
    <w:rsid w:val="00FE32A5"/>
    <w:rsid w:val="00FE3341"/>
    <w:rsid w:val="00FE337B"/>
    <w:rsid w:val="00FE33B6"/>
    <w:rsid w:val="00FE33C9"/>
    <w:rsid w:val="00FE33D0"/>
    <w:rsid w:val="00FE344D"/>
    <w:rsid w:val="00FE3492"/>
    <w:rsid w:val="00FE34BB"/>
    <w:rsid w:val="00FE34EC"/>
    <w:rsid w:val="00FE3505"/>
    <w:rsid w:val="00FE3508"/>
    <w:rsid w:val="00FE3528"/>
    <w:rsid w:val="00FE3541"/>
    <w:rsid w:val="00FE3571"/>
    <w:rsid w:val="00FE35C8"/>
    <w:rsid w:val="00FE35DA"/>
    <w:rsid w:val="00FE35EC"/>
    <w:rsid w:val="00FE3617"/>
    <w:rsid w:val="00FE3637"/>
    <w:rsid w:val="00FE3640"/>
    <w:rsid w:val="00FE3695"/>
    <w:rsid w:val="00FE36A3"/>
    <w:rsid w:val="00FE36B7"/>
    <w:rsid w:val="00FE3705"/>
    <w:rsid w:val="00FE3725"/>
    <w:rsid w:val="00FE373F"/>
    <w:rsid w:val="00FE37DF"/>
    <w:rsid w:val="00FE37F3"/>
    <w:rsid w:val="00FE3808"/>
    <w:rsid w:val="00FE388C"/>
    <w:rsid w:val="00FE38D1"/>
    <w:rsid w:val="00FE38EF"/>
    <w:rsid w:val="00FE3980"/>
    <w:rsid w:val="00FE39D0"/>
    <w:rsid w:val="00FE3A49"/>
    <w:rsid w:val="00FE3A4C"/>
    <w:rsid w:val="00FE3B4B"/>
    <w:rsid w:val="00FE3B55"/>
    <w:rsid w:val="00FE3B5F"/>
    <w:rsid w:val="00FE3C12"/>
    <w:rsid w:val="00FE3C3E"/>
    <w:rsid w:val="00FE3C61"/>
    <w:rsid w:val="00FE3C7B"/>
    <w:rsid w:val="00FE3CE7"/>
    <w:rsid w:val="00FE3D1E"/>
    <w:rsid w:val="00FE3D21"/>
    <w:rsid w:val="00FE3D45"/>
    <w:rsid w:val="00FE3D52"/>
    <w:rsid w:val="00FE3D95"/>
    <w:rsid w:val="00FE3D9C"/>
    <w:rsid w:val="00FE3D9D"/>
    <w:rsid w:val="00FE3DCF"/>
    <w:rsid w:val="00FE3DD3"/>
    <w:rsid w:val="00FE3DD8"/>
    <w:rsid w:val="00FE3DDB"/>
    <w:rsid w:val="00FE3DEB"/>
    <w:rsid w:val="00FE3E26"/>
    <w:rsid w:val="00FE3E75"/>
    <w:rsid w:val="00FE3EE2"/>
    <w:rsid w:val="00FE3F02"/>
    <w:rsid w:val="00FE3F31"/>
    <w:rsid w:val="00FE3F48"/>
    <w:rsid w:val="00FE3F5A"/>
    <w:rsid w:val="00FE3F9F"/>
    <w:rsid w:val="00FE3FA9"/>
    <w:rsid w:val="00FE3FB6"/>
    <w:rsid w:val="00FE3FEC"/>
    <w:rsid w:val="00FE3FFE"/>
    <w:rsid w:val="00FE4007"/>
    <w:rsid w:val="00FE4064"/>
    <w:rsid w:val="00FE4065"/>
    <w:rsid w:val="00FE406C"/>
    <w:rsid w:val="00FE40A3"/>
    <w:rsid w:val="00FE40A5"/>
    <w:rsid w:val="00FE40D2"/>
    <w:rsid w:val="00FE40EC"/>
    <w:rsid w:val="00FE4121"/>
    <w:rsid w:val="00FE412B"/>
    <w:rsid w:val="00FE41B7"/>
    <w:rsid w:val="00FE42CB"/>
    <w:rsid w:val="00FE42E2"/>
    <w:rsid w:val="00FE4304"/>
    <w:rsid w:val="00FE432A"/>
    <w:rsid w:val="00FE435F"/>
    <w:rsid w:val="00FE4382"/>
    <w:rsid w:val="00FE4395"/>
    <w:rsid w:val="00FE43FE"/>
    <w:rsid w:val="00FE440B"/>
    <w:rsid w:val="00FE4419"/>
    <w:rsid w:val="00FE4467"/>
    <w:rsid w:val="00FE44BF"/>
    <w:rsid w:val="00FE44C1"/>
    <w:rsid w:val="00FE451B"/>
    <w:rsid w:val="00FE455A"/>
    <w:rsid w:val="00FE45C5"/>
    <w:rsid w:val="00FE45E1"/>
    <w:rsid w:val="00FE463B"/>
    <w:rsid w:val="00FE46C5"/>
    <w:rsid w:val="00FE473A"/>
    <w:rsid w:val="00FE47A2"/>
    <w:rsid w:val="00FE47B3"/>
    <w:rsid w:val="00FE47DF"/>
    <w:rsid w:val="00FE4814"/>
    <w:rsid w:val="00FE4828"/>
    <w:rsid w:val="00FE487E"/>
    <w:rsid w:val="00FE4899"/>
    <w:rsid w:val="00FE48C3"/>
    <w:rsid w:val="00FE4900"/>
    <w:rsid w:val="00FE49D3"/>
    <w:rsid w:val="00FE49E9"/>
    <w:rsid w:val="00FE4A23"/>
    <w:rsid w:val="00FE4A37"/>
    <w:rsid w:val="00FE4A8F"/>
    <w:rsid w:val="00FE4AB2"/>
    <w:rsid w:val="00FE4B09"/>
    <w:rsid w:val="00FE4B4F"/>
    <w:rsid w:val="00FE4B7F"/>
    <w:rsid w:val="00FE4B95"/>
    <w:rsid w:val="00FE4B99"/>
    <w:rsid w:val="00FE4BA1"/>
    <w:rsid w:val="00FE4BDB"/>
    <w:rsid w:val="00FE4BF8"/>
    <w:rsid w:val="00FE4C05"/>
    <w:rsid w:val="00FE4C08"/>
    <w:rsid w:val="00FE4C23"/>
    <w:rsid w:val="00FE4C25"/>
    <w:rsid w:val="00FE4CB3"/>
    <w:rsid w:val="00FE4CBE"/>
    <w:rsid w:val="00FE4CFD"/>
    <w:rsid w:val="00FE4D94"/>
    <w:rsid w:val="00FE4DD0"/>
    <w:rsid w:val="00FE4E7A"/>
    <w:rsid w:val="00FE4EAB"/>
    <w:rsid w:val="00FE4EBE"/>
    <w:rsid w:val="00FE4F18"/>
    <w:rsid w:val="00FE4F4B"/>
    <w:rsid w:val="00FE4F6B"/>
    <w:rsid w:val="00FE4F75"/>
    <w:rsid w:val="00FE4FAC"/>
    <w:rsid w:val="00FE5057"/>
    <w:rsid w:val="00FE506B"/>
    <w:rsid w:val="00FE507F"/>
    <w:rsid w:val="00FE5080"/>
    <w:rsid w:val="00FE50CB"/>
    <w:rsid w:val="00FE50DE"/>
    <w:rsid w:val="00FE50F4"/>
    <w:rsid w:val="00FE5179"/>
    <w:rsid w:val="00FE51B2"/>
    <w:rsid w:val="00FE51B8"/>
    <w:rsid w:val="00FE5213"/>
    <w:rsid w:val="00FE523C"/>
    <w:rsid w:val="00FE5248"/>
    <w:rsid w:val="00FE52BA"/>
    <w:rsid w:val="00FE52D6"/>
    <w:rsid w:val="00FE52EB"/>
    <w:rsid w:val="00FE5320"/>
    <w:rsid w:val="00FE534C"/>
    <w:rsid w:val="00FE539E"/>
    <w:rsid w:val="00FE53B3"/>
    <w:rsid w:val="00FE53E1"/>
    <w:rsid w:val="00FE53F0"/>
    <w:rsid w:val="00FE5432"/>
    <w:rsid w:val="00FE547F"/>
    <w:rsid w:val="00FE5487"/>
    <w:rsid w:val="00FE54DA"/>
    <w:rsid w:val="00FE5500"/>
    <w:rsid w:val="00FE5501"/>
    <w:rsid w:val="00FE5508"/>
    <w:rsid w:val="00FE5553"/>
    <w:rsid w:val="00FE557C"/>
    <w:rsid w:val="00FE55DC"/>
    <w:rsid w:val="00FE55EF"/>
    <w:rsid w:val="00FE563E"/>
    <w:rsid w:val="00FE5645"/>
    <w:rsid w:val="00FE5662"/>
    <w:rsid w:val="00FE56C9"/>
    <w:rsid w:val="00FE5799"/>
    <w:rsid w:val="00FE57B9"/>
    <w:rsid w:val="00FE57C0"/>
    <w:rsid w:val="00FE58E5"/>
    <w:rsid w:val="00FE58FF"/>
    <w:rsid w:val="00FE591F"/>
    <w:rsid w:val="00FE592F"/>
    <w:rsid w:val="00FE59AF"/>
    <w:rsid w:val="00FE59CD"/>
    <w:rsid w:val="00FE5A22"/>
    <w:rsid w:val="00FE5A23"/>
    <w:rsid w:val="00FE5A5D"/>
    <w:rsid w:val="00FE5AA5"/>
    <w:rsid w:val="00FE5AAB"/>
    <w:rsid w:val="00FE5BCD"/>
    <w:rsid w:val="00FE5C2D"/>
    <w:rsid w:val="00FE5C49"/>
    <w:rsid w:val="00FE5D34"/>
    <w:rsid w:val="00FE5D3B"/>
    <w:rsid w:val="00FE5D3D"/>
    <w:rsid w:val="00FE5D43"/>
    <w:rsid w:val="00FE5D45"/>
    <w:rsid w:val="00FE5D49"/>
    <w:rsid w:val="00FE5D82"/>
    <w:rsid w:val="00FE5D8D"/>
    <w:rsid w:val="00FE5DED"/>
    <w:rsid w:val="00FE5E5A"/>
    <w:rsid w:val="00FE5F03"/>
    <w:rsid w:val="00FE5F53"/>
    <w:rsid w:val="00FE5F67"/>
    <w:rsid w:val="00FE5F8B"/>
    <w:rsid w:val="00FE5FA8"/>
    <w:rsid w:val="00FE5FAC"/>
    <w:rsid w:val="00FE5FE7"/>
    <w:rsid w:val="00FE6074"/>
    <w:rsid w:val="00FE60BA"/>
    <w:rsid w:val="00FE60C8"/>
    <w:rsid w:val="00FE60CF"/>
    <w:rsid w:val="00FE60EB"/>
    <w:rsid w:val="00FE6138"/>
    <w:rsid w:val="00FE6155"/>
    <w:rsid w:val="00FE620E"/>
    <w:rsid w:val="00FE6210"/>
    <w:rsid w:val="00FE622F"/>
    <w:rsid w:val="00FE6253"/>
    <w:rsid w:val="00FE625F"/>
    <w:rsid w:val="00FE62CE"/>
    <w:rsid w:val="00FE637E"/>
    <w:rsid w:val="00FE6429"/>
    <w:rsid w:val="00FE644A"/>
    <w:rsid w:val="00FE6549"/>
    <w:rsid w:val="00FE654F"/>
    <w:rsid w:val="00FE656B"/>
    <w:rsid w:val="00FE657E"/>
    <w:rsid w:val="00FE6588"/>
    <w:rsid w:val="00FE6590"/>
    <w:rsid w:val="00FE65F8"/>
    <w:rsid w:val="00FE65FA"/>
    <w:rsid w:val="00FE65FD"/>
    <w:rsid w:val="00FE6636"/>
    <w:rsid w:val="00FE6654"/>
    <w:rsid w:val="00FE666D"/>
    <w:rsid w:val="00FE6677"/>
    <w:rsid w:val="00FE6699"/>
    <w:rsid w:val="00FE66C9"/>
    <w:rsid w:val="00FE670F"/>
    <w:rsid w:val="00FE6745"/>
    <w:rsid w:val="00FE679C"/>
    <w:rsid w:val="00FE67DA"/>
    <w:rsid w:val="00FE6854"/>
    <w:rsid w:val="00FE685D"/>
    <w:rsid w:val="00FE685E"/>
    <w:rsid w:val="00FE6864"/>
    <w:rsid w:val="00FE6876"/>
    <w:rsid w:val="00FE688C"/>
    <w:rsid w:val="00FE68E5"/>
    <w:rsid w:val="00FE68FA"/>
    <w:rsid w:val="00FE6916"/>
    <w:rsid w:val="00FE6943"/>
    <w:rsid w:val="00FE6991"/>
    <w:rsid w:val="00FE69AC"/>
    <w:rsid w:val="00FE69D1"/>
    <w:rsid w:val="00FE69DF"/>
    <w:rsid w:val="00FE69F0"/>
    <w:rsid w:val="00FE6A0F"/>
    <w:rsid w:val="00FE6A1D"/>
    <w:rsid w:val="00FE6A24"/>
    <w:rsid w:val="00FE6A3E"/>
    <w:rsid w:val="00FE6A6C"/>
    <w:rsid w:val="00FE6ACA"/>
    <w:rsid w:val="00FE6AFF"/>
    <w:rsid w:val="00FE6B37"/>
    <w:rsid w:val="00FE6B5D"/>
    <w:rsid w:val="00FE6B81"/>
    <w:rsid w:val="00FE6BC1"/>
    <w:rsid w:val="00FE6BC2"/>
    <w:rsid w:val="00FE6BD4"/>
    <w:rsid w:val="00FE6BEC"/>
    <w:rsid w:val="00FE6C17"/>
    <w:rsid w:val="00FE6C27"/>
    <w:rsid w:val="00FE6C74"/>
    <w:rsid w:val="00FE6C8F"/>
    <w:rsid w:val="00FE6C96"/>
    <w:rsid w:val="00FE6D1C"/>
    <w:rsid w:val="00FE6D44"/>
    <w:rsid w:val="00FE6D70"/>
    <w:rsid w:val="00FE6DDF"/>
    <w:rsid w:val="00FE6DE0"/>
    <w:rsid w:val="00FE6DEB"/>
    <w:rsid w:val="00FE6DF2"/>
    <w:rsid w:val="00FE6E3A"/>
    <w:rsid w:val="00FE6E48"/>
    <w:rsid w:val="00FE6E60"/>
    <w:rsid w:val="00FE6ED3"/>
    <w:rsid w:val="00FE6F46"/>
    <w:rsid w:val="00FE6F71"/>
    <w:rsid w:val="00FE6F92"/>
    <w:rsid w:val="00FE6FC0"/>
    <w:rsid w:val="00FE7031"/>
    <w:rsid w:val="00FE704C"/>
    <w:rsid w:val="00FE7166"/>
    <w:rsid w:val="00FE717F"/>
    <w:rsid w:val="00FE7185"/>
    <w:rsid w:val="00FE71A4"/>
    <w:rsid w:val="00FE71C4"/>
    <w:rsid w:val="00FE71CA"/>
    <w:rsid w:val="00FE71CD"/>
    <w:rsid w:val="00FE72AD"/>
    <w:rsid w:val="00FE7325"/>
    <w:rsid w:val="00FE73AF"/>
    <w:rsid w:val="00FE73EB"/>
    <w:rsid w:val="00FE7457"/>
    <w:rsid w:val="00FE7461"/>
    <w:rsid w:val="00FE748B"/>
    <w:rsid w:val="00FE74F2"/>
    <w:rsid w:val="00FE7516"/>
    <w:rsid w:val="00FE768A"/>
    <w:rsid w:val="00FE7724"/>
    <w:rsid w:val="00FE7733"/>
    <w:rsid w:val="00FE7735"/>
    <w:rsid w:val="00FE7737"/>
    <w:rsid w:val="00FE7773"/>
    <w:rsid w:val="00FE7811"/>
    <w:rsid w:val="00FE7814"/>
    <w:rsid w:val="00FE78AF"/>
    <w:rsid w:val="00FE78C0"/>
    <w:rsid w:val="00FE7917"/>
    <w:rsid w:val="00FE79CE"/>
    <w:rsid w:val="00FE79F6"/>
    <w:rsid w:val="00FE7A65"/>
    <w:rsid w:val="00FE7ACA"/>
    <w:rsid w:val="00FE7ACC"/>
    <w:rsid w:val="00FE7ADB"/>
    <w:rsid w:val="00FE7B34"/>
    <w:rsid w:val="00FE7B91"/>
    <w:rsid w:val="00FE7C2E"/>
    <w:rsid w:val="00FE7C32"/>
    <w:rsid w:val="00FE7CA5"/>
    <w:rsid w:val="00FE7CAC"/>
    <w:rsid w:val="00FE7D49"/>
    <w:rsid w:val="00FE7D57"/>
    <w:rsid w:val="00FE7D6F"/>
    <w:rsid w:val="00FE7D8B"/>
    <w:rsid w:val="00FE7DBF"/>
    <w:rsid w:val="00FE7DD3"/>
    <w:rsid w:val="00FE7DDD"/>
    <w:rsid w:val="00FE7E00"/>
    <w:rsid w:val="00FE7E0C"/>
    <w:rsid w:val="00FE7E2C"/>
    <w:rsid w:val="00FE7E75"/>
    <w:rsid w:val="00FE7E7F"/>
    <w:rsid w:val="00FE7EE5"/>
    <w:rsid w:val="00FE7F0A"/>
    <w:rsid w:val="00FE7F98"/>
    <w:rsid w:val="00FE7FAE"/>
    <w:rsid w:val="00FF0028"/>
    <w:rsid w:val="00FF003A"/>
    <w:rsid w:val="00FF0068"/>
    <w:rsid w:val="00FF0074"/>
    <w:rsid w:val="00FF008C"/>
    <w:rsid w:val="00FF00A0"/>
    <w:rsid w:val="00FF00B9"/>
    <w:rsid w:val="00FF00F5"/>
    <w:rsid w:val="00FF0134"/>
    <w:rsid w:val="00FF0172"/>
    <w:rsid w:val="00FF0180"/>
    <w:rsid w:val="00FF01B1"/>
    <w:rsid w:val="00FF01D0"/>
    <w:rsid w:val="00FF01EF"/>
    <w:rsid w:val="00FF0306"/>
    <w:rsid w:val="00FF031F"/>
    <w:rsid w:val="00FF032D"/>
    <w:rsid w:val="00FF034B"/>
    <w:rsid w:val="00FF03F6"/>
    <w:rsid w:val="00FF0494"/>
    <w:rsid w:val="00FF04B8"/>
    <w:rsid w:val="00FF04D1"/>
    <w:rsid w:val="00FF0555"/>
    <w:rsid w:val="00FF0557"/>
    <w:rsid w:val="00FF0573"/>
    <w:rsid w:val="00FF0592"/>
    <w:rsid w:val="00FF0597"/>
    <w:rsid w:val="00FF059C"/>
    <w:rsid w:val="00FF05A4"/>
    <w:rsid w:val="00FF05BA"/>
    <w:rsid w:val="00FF05E0"/>
    <w:rsid w:val="00FF0613"/>
    <w:rsid w:val="00FF062F"/>
    <w:rsid w:val="00FF06A1"/>
    <w:rsid w:val="00FF06BF"/>
    <w:rsid w:val="00FF06D3"/>
    <w:rsid w:val="00FF06F9"/>
    <w:rsid w:val="00FF06FA"/>
    <w:rsid w:val="00FF071E"/>
    <w:rsid w:val="00FF072C"/>
    <w:rsid w:val="00FF073E"/>
    <w:rsid w:val="00FF078F"/>
    <w:rsid w:val="00FF07C0"/>
    <w:rsid w:val="00FF07DD"/>
    <w:rsid w:val="00FF081D"/>
    <w:rsid w:val="00FF0879"/>
    <w:rsid w:val="00FF0913"/>
    <w:rsid w:val="00FF0923"/>
    <w:rsid w:val="00FF0929"/>
    <w:rsid w:val="00FF097D"/>
    <w:rsid w:val="00FF0996"/>
    <w:rsid w:val="00FF0A09"/>
    <w:rsid w:val="00FF0A20"/>
    <w:rsid w:val="00FF0AC3"/>
    <w:rsid w:val="00FF0ACC"/>
    <w:rsid w:val="00FF0B1A"/>
    <w:rsid w:val="00FF0B3D"/>
    <w:rsid w:val="00FF0B48"/>
    <w:rsid w:val="00FF0B6D"/>
    <w:rsid w:val="00FF0BDB"/>
    <w:rsid w:val="00FF0BE9"/>
    <w:rsid w:val="00FF0BEE"/>
    <w:rsid w:val="00FF0C2C"/>
    <w:rsid w:val="00FF0C3D"/>
    <w:rsid w:val="00FF0C7E"/>
    <w:rsid w:val="00FF0CCB"/>
    <w:rsid w:val="00FF0CDF"/>
    <w:rsid w:val="00FF0D10"/>
    <w:rsid w:val="00FF0DA2"/>
    <w:rsid w:val="00FF0DA7"/>
    <w:rsid w:val="00FF0DAD"/>
    <w:rsid w:val="00FF0DC8"/>
    <w:rsid w:val="00FF0DE7"/>
    <w:rsid w:val="00FF0E08"/>
    <w:rsid w:val="00FF0E1B"/>
    <w:rsid w:val="00FF0ED1"/>
    <w:rsid w:val="00FF0F30"/>
    <w:rsid w:val="00FF0F91"/>
    <w:rsid w:val="00FF1002"/>
    <w:rsid w:val="00FF1006"/>
    <w:rsid w:val="00FF10C8"/>
    <w:rsid w:val="00FF11B4"/>
    <w:rsid w:val="00FF11CA"/>
    <w:rsid w:val="00FF11DF"/>
    <w:rsid w:val="00FF11E8"/>
    <w:rsid w:val="00FF11F0"/>
    <w:rsid w:val="00FF124C"/>
    <w:rsid w:val="00FF1250"/>
    <w:rsid w:val="00FF127E"/>
    <w:rsid w:val="00FF1297"/>
    <w:rsid w:val="00FF12A0"/>
    <w:rsid w:val="00FF12B3"/>
    <w:rsid w:val="00FF1341"/>
    <w:rsid w:val="00FF13C0"/>
    <w:rsid w:val="00FF13C2"/>
    <w:rsid w:val="00FF1426"/>
    <w:rsid w:val="00FF1500"/>
    <w:rsid w:val="00FF152C"/>
    <w:rsid w:val="00FF1558"/>
    <w:rsid w:val="00FF1572"/>
    <w:rsid w:val="00FF159F"/>
    <w:rsid w:val="00FF15C1"/>
    <w:rsid w:val="00FF1614"/>
    <w:rsid w:val="00FF1617"/>
    <w:rsid w:val="00FF1626"/>
    <w:rsid w:val="00FF1648"/>
    <w:rsid w:val="00FF1719"/>
    <w:rsid w:val="00FF176C"/>
    <w:rsid w:val="00FF178C"/>
    <w:rsid w:val="00FF1791"/>
    <w:rsid w:val="00FF17C7"/>
    <w:rsid w:val="00FF17C9"/>
    <w:rsid w:val="00FF17F1"/>
    <w:rsid w:val="00FF184A"/>
    <w:rsid w:val="00FF1850"/>
    <w:rsid w:val="00FF1875"/>
    <w:rsid w:val="00FF18B5"/>
    <w:rsid w:val="00FF18C9"/>
    <w:rsid w:val="00FF18CD"/>
    <w:rsid w:val="00FF18DC"/>
    <w:rsid w:val="00FF1925"/>
    <w:rsid w:val="00FF1940"/>
    <w:rsid w:val="00FF1969"/>
    <w:rsid w:val="00FF198B"/>
    <w:rsid w:val="00FF198E"/>
    <w:rsid w:val="00FF1999"/>
    <w:rsid w:val="00FF19DF"/>
    <w:rsid w:val="00FF1A06"/>
    <w:rsid w:val="00FF1A29"/>
    <w:rsid w:val="00FF1A85"/>
    <w:rsid w:val="00FF1A9C"/>
    <w:rsid w:val="00FF1AC2"/>
    <w:rsid w:val="00FF1B6C"/>
    <w:rsid w:val="00FF1C15"/>
    <w:rsid w:val="00FF1C85"/>
    <w:rsid w:val="00FF1CBC"/>
    <w:rsid w:val="00FF1CD9"/>
    <w:rsid w:val="00FF1D0B"/>
    <w:rsid w:val="00FF1D3A"/>
    <w:rsid w:val="00FF1D3B"/>
    <w:rsid w:val="00FF1D51"/>
    <w:rsid w:val="00FF1D66"/>
    <w:rsid w:val="00FF1D9B"/>
    <w:rsid w:val="00FF1DAF"/>
    <w:rsid w:val="00FF1DB7"/>
    <w:rsid w:val="00FF1DE6"/>
    <w:rsid w:val="00FF1DE9"/>
    <w:rsid w:val="00FF1E17"/>
    <w:rsid w:val="00FF1E3E"/>
    <w:rsid w:val="00FF1E61"/>
    <w:rsid w:val="00FF1E97"/>
    <w:rsid w:val="00FF1EAC"/>
    <w:rsid w:val="00FF1F20"/>
    <w:rsid w:val="00FF1F71"/>
    <w:rsid w:val="00FF1FBE"/>
    <w:rsid w:val="00FF2031"/>
    <w:rsid w:val="00FF203D"/>
    <w:rsid w:val="00FF20AA"/>
    <w:rsid w:val="00FF20CD"/>
    <w:rsid w:val="00FF2145"/>
    <w:rsid w:val="00FF2170"/>
    <w:rsid w:val="00FF221E"/>
    <w:rsid w:val="00FF225C"/>
    <w:rsid w:val="00FF22AB"/>
    <w:rsid w:val="00FF22CB"/>
    <w:rsid w:val="00FF22E4"/>
    <w:rsid w:val="00FF2336"/>
    <w:rsid w:val="00FF2347"/>
    <w:rsid w:val="00FF235B"/>
    <w:rsid w:val="00FF245E"/>
    <w:rsid w:val="00FF246C"/>
    <w:rsid w:val="00FF2477"/>
    <w:rsid w:val="00FF249D"/>
    <w:rsid w:val="00FF2515"/>
    <w:rsid w:val="00FF254C"/>
    <w:rsid w:val="00FF25A5"/>
    <w:rsid w:val="00FF25F4"/>
    <w:rsid w:val="00FF25F6"/>
    <w:rsid w:val="00FF25FB"/>
    <w:rsid w:val="00FF2622"/>
    <w:rsid w:val="00FF262A"/>
    <w:rsid w:val="00FF26CB"/>
    <w:rsid w:val="00FF26E8"/>
    <w:rsid w:val="00FF2720"/>
    <w:rsid w:val="00FF275C"/>
    <w:rsid w:val="00FF2800"/>
    <w:rsid w:val="00FF280D"/>
    <w:rsid w:val="00FF286F"/>
    <w:rsid w:val="00FF28D8"/>
    <w:rsid w:val="00FF2948"/>
    <w:rsid w:val="00FF2982"/>
    <w:rsid w:val="00FF2996"/>
    <w:rsid w:val="00FF29A4"/>
    <w:rsid w:val="00FF29AC"/>
    <w:rsid w:val="00FF29E0"/>
    <w:rsid w:val="00FF2A6A"/>
    <w:rsid w:val="00FF2AB3"/>
    <w:rsid w:val="00FF2B13"/>
    <w:rsid w:val="00FF2B56"/>
    <w:rsid w:val="00FF2B7C"/>
    <w:rsid w:val="00FF2B86"/>
    <w:rsid w:val="00FF2B87"/>
    <w:rsid w:val="00FF2B9D"/>
    <w:rsid w:val="00FF2BA3"/>
    <w:rsid w:val="00FF2BCB"/>
    <w:rsid w:val="00FF2BE3"/>
    <w:rsid w:val="00FF2C2A"/>
    <w:rsid w:val="00FF2C5D"/>
    <w:rsid w:val="00FF2C86"/>
    <w:rsid w:val="00FF2CB5"/>
    <w:rsid w:val="00FF2D7F"/>
    <w:rsid w:val="00FF2D95"/>
    <w:rsid w:val="00FF2DAF"/>
    <w:rsid w:val="00FF2DD7"/>
    <w:rsid w:val="00FF2DE8"/>
    <w:rsid w:val="00FF2E23"/>
    <w:rsid w:val="00FF2E4D"/>
    <w:rsid w:val="00FF2E60"/>
    <w:rsid w:val="00FF2E61"/>
    <w:rsid w:val="00FF2EB5"/>
    <w:rsid w:val="00FF2EE2"/>
    <w:rsid w:val="00FF2F11"/>
    <w:rsid w:val="00FF2F44"/>
    <w:rsid w:val="00FF2F54"/>
    <w:rsid w:val="00FF2F9C"/>
    <w:rsid w:val="00FF2FA9"/>
    <w:rsid w:val="00FF306D"/>
    <w:rsid w:val="00FF30A2"/>
    <w:rsid w:val="00FF30B3"/>
    <w:rsid w:val="00FF30E9"/>
    <w:rsid w:val="00FF3133"/>
    <w:rsid w:val="00FF3137"/>
    <w:rsid w:val="00FF3139"/>
    <w:rsid w:val="00FF3195"/>
    <w:rsid w:val="00FF31A1"/>
    <w:rsid w:val="00FF31A7"/>
    <w:rsid w:val="00FF31ED"/>
    <w:rsid w:val="00FF31F8"/>
    <w:rsid w:val="00FF3212"/>
    <w:rsid w:val="00FF3218"/>
    <w:rsid w:val="00FF32E8"/>
    <w:rsid w:val="00FF32F0"/>
    <w:rsid w:val="00FF33B0"/>
    <w:rsid w:val="00FF33C0"/>
    <w:rsid w:val="00FF33D7"/>
    <w:rsid w:val="00FF33E4"/>
    <w:rsid w:val="00FF3452"/>
    <w:rsid w:val="00FF3456"/>
    <w:rsid w:val="00FF3496"/>
    <w:rsid w:val="00FF34B6"/>
    <w:rsid w:val="00FF34E9"/>
    <w:rsid w:val="00FF34ED"/>
    <w:rsid w:val="00FF3514"/>
    <w:rsid w:val="00FF352A"/>
    <w:rsid w:val="00FF358D"/>
    <w:rsid w:val="00FF35E7"/>
    <w:rsid w:val="00FF3605"/>
    <w:rsid w:val="00FF364E"/>
    <w:rsid w:val="00FF367B"/>
    <w:rsid w:val="00FF3688"/>
    <w:rsid w:val="00FF36BA"/>
    <w:rsid w:val="00FF36BD"/>
    <w:rsid w:val="00FF36CE"/>
    <w:rsid w:val="00FF3712"/>
    <w:rsid w:val="00FF372D"/>
    <w:rsid w:val="00FF374C"/>
    <w:rsid w:val="00FF3762"/>
    <w:rsid w:val="00FF3800"/>
    <w:rsid w:val="00FF3831"/>
    <w:rsid w:val="00FF3882"/>
    <w:rsid w:val="00FF389C"/>
    <w:rsid w:val="00FF38A6"/>
    <w:rsid w:val="00FF38A9"/>
    <w:rsid w:val="00FF38F4"/>
    <w:rsid w:val="00FF3914"/>
    <w:rsid w:val="00FF3996"/>
    <w:rsid w:val="00FF39D4"/>
    <w:rsid w:val="00FF39EF"/>
    <w:rsid w:val="00FF3A29"/>
    <w:rsid w:val="00FF3A42"/>
    <w:rsid w:val="00FF3A66"/>
    <w:rsid w:val="00FF3A6C"/>
    <w:rsid w:val="00FF3A6F"/>
    <w:rsid w:val="00FF3A97"/>
    <w:rsid w:val="00FF3AF9"/>
    <w:rsid w:val="00FF3B0D"/>
    <w:rsid w:val="00FF3B1F"/>
    <w:rsid w:val="00FF3B2C"/>
    <w:rsid w:val="00FF3B46"/>
    <w:rsid w:val="00FF3B73"/>
    <w:rsid w:val="00FF3BA9"/>
    <w:rsid w:val="00FF3BF6"/>
    <w:rsid w:val="00FF3C34"/>
    <w:rsid w:val="00FF3CA4"/>
    <w:rsid w:val="00FF3CCC"/>
    <w:rsid w:val="00FF3D00"/>
    <w:rsid w:val="00FF3D21"/>
    <w:rsid w:val="00FF3D4F"/>
    <w:rsid w:val="00FF3D8D"/>
    <w:rsid w:val="00FF3D98"/>
    <w:rsid w:val="00FF3E10"/>
    <w:rsid w:val="00FF3E55"/>
    <w:rsid w:val="00FF3E7D"/>
    <w:rsid w:val="00FF3E7E"/>
    <w:rsid w:val="00FF3EA0"/>
    <w:rsid w:val="00FF3EAF"/>
    <w:rsid w:val="00FF3ECF"/>
    <w:rsid w:val="00FF3EE1"/>
    <w:rsid w:val="00FF3EFB"/>
    <w:rsid w:val="00FF3F1E"/>
    <w:rsid w:val="00FF3F38"/>
    <w:rsid w:val="00FF3F54"/>
    <w:rsid w:val="00FF3F7E"/>
    <w:rsid w:val="00FF3F98"/>
    <w:rsid w:val="00FF3FA2"/>
    <w:rsid w:val="00FF3FD5"/>
    <w:rsid w:val="00FF3FE0"/>
    <w:rsid w:val="00FF3FE5"/>
    <w:rsid w:val="00FF4032"/>
    <w:rsid w:val="00FF4066"/>
    <w:rsid w:val="00FF4077"/>
    <w:rsid w:val="00FF407A"/>
    <w:rsid w:val="00FF40F4"/>
    <w:rsid w:val="00FF4108"/>
    <w:rsid w:val="00FF4129"/>
    <w:rsid w:val="00FF4150"/>
    <w:rsid w:val="00FF41CF"/>
    <w:rsid w:val="00FF41EB"/>
    <w:rsid w:val="00FF425A"/>
    <w:rsid w:val="00FF4277"/>
    <w:rsid w:val="00FF4279"/>
    <w:rsid w:val="00FF42C5"/>
    <w:rsid w:val="00FF4348"/>
    <w:rsid w:val="00FF43CA"/>
    <w:rsid w:val="00FF43E1"/>
    <w:rsid w:val="00FF43F2"/>
    <w:rsid w:val="00FF4426"/>
    <w:rsid w:val="00FF445F"/>
    <w:rsid w:val="00FF4500"/>
    <w:rsid w:val="00FF457B"/>
    <w:rsid w:val="00FF4589"/>
    <w:rsid w:val="00FF45A9"/>
    <w:rsid w:val="00FF460C"/>
    <w:rsid w:val="00FF4670"/>
    <w:rsid w:val="00FF467E"/>
    <w:rsid w:val="00FF4690"/>
    <w:rsid w:val="00FF4708"/>
    <w:rsid w:val="00FF4710"/>
    <w:rsid w:val="00FF4724"/>
    <w:rsid w:val="00FF47EF"/>
    <w:rsid w:val="00FF486B"/>
    <w:rsid w:val="00FF48C9"/>
    <w:rsid w:val="00FF48DC"/>
    <w:rsid w:val="00FF498A"/>
    <w:rsid w:val="00FF499E"/>
    <w:rsid w:val="00FF49B8"/>
    <w:rsid w:val="00FF4A0D"/>
    <w:rsid w:val="00FF4A40"/>
    <w:rsid w:val="00FF4A4E"/>
    <w:rsid w:val="00FF4AA1"/>
    <w:rsid w:val="00FF4AE8"/>
    <w:rsid w:val="00FF4B8D"/>
    <w:rsid w:val="00FF4C3A"/>
    <w:rsid w:val="00FF4C50"/>
    <w:rsid w:val="00FF4C6C"/>
    <w:rsid w:val="00FF4C79"/>
    <w:rsid w:val="00FF4C83"/>
    <w:rsid w:val="00FF4CAF"/>
    <w:rsid w:val="00FF4CD8"/>
    <w:rsid w:val="00FF4CEA"/>
    <w:rsid w:val="00FF4CEB"/>
    <w:rsid w:val="00FF4D5D"/>
    <w:rsid w:val="00FF4DC6"/>
    <w:rsid w:val="00FF4DF3"/>
    <w:rsid w:val="00FF4E6F"/>
    <w:rsid w:val="00FF4E88"/>
    <w:rsid w:val="00FF4EBC"/>
    <w:rsid w:val="00FF4EC7"/>
    <w:rsid w:val="00FF4ED0"/>
    <w:rsid w:val="00FF4F5B"/>
    <w:rsid w:val="00FF4F6C"/>
    <w:rsid w:val="00FF4F7B"/>
    <w:rsid w:val="00FF4F81"/>
    <w:rsid w:val="00FF502B"/>
    <w:rsid w:val="00FF502C"/>
    <w:rsid w:val="00FF508A"/>
    <w:rsid w:val="00FF5115"/>
    <w:rsid w:val="00FF51A9"/>
    <w:rsid w:val="00FF521F"/>
    <w:rsid w:val="00FF527E"/>
    <w:rsid w:val="00FF529E"/>
    <w:rsid w:val="00FF52AA"/>
    <w:rsid w:val="00FF52F7"/>
    <w:rsid w:val="00FF5373"/>
    <w:rsid w:val="00FF53A8"/>
    <w:rsid w:val="00FF53D1"/>
    <w:rsid w:val="00FF53DE"/>
    <w:rsid w:val="00FF5407"/>
    <w:rsid w:val="00FF5472"/>
    <w:rsid w:val="00FF5488"/>
    <w:rsid w:val="00FF54E9"/>
    <w:rsid w:val="00FF5514"/>
    <w:rsid w:val="00FF5528"/>
    <w:rsid w:val="00FF5566"/>
    <w:rsid w:val="00FF5597"/>
    <w:rsid w:val="00FF55D5"/>
    <w:rsid w:val="00FF55E8"/>
    <w:rsid w:val="00FF55EC"/>
    <w:rsid w:val="00FF560B"/>
    <w:rsid w:val="00FF5630"/>
    <w:rsid w:val="00FF5672"/>
    <w:rsid w:val="00FF56AB"/>
    <w:rsid w:val="00FF5741"/>
    <w:rsid w:val="00FF5747"/>
    <w:rsid w:val="00FF5758"/>
    <w:rsid w:val="00FF578F"/>
    <w:rsid w:val="00FF57F3"/>
    <w:rsid w:val="00FF5847"/>
    <w:rsid w:val="00FF5850"/>
    <w:rsid w:val="00FF5875"/>
    <w:rsid w:val="00FF5918"/>
    <w:rsid w:val="00FF5960"/>
    <w:rsid w:val="00FF598A"/>
    <w:rsid w:val="00FF59D4"/>
    <w:rsid w:val="00FF5A27"/>
    <w:rsid w:val="00FF5A6F"/>
    <w:rsid w:val="00FF5AF6"/>
    <w:rsid w:val="00FF5B17"/>
    <w:rsid w:val="00FF5B49"/>
    <w:rsid w:val="00FF5B61"/>
    <w:rsid w:val="00FF5B8B"/>
    <w:rsid w:val="00FF5C72"/>
    <w:rsid w:val="00FF5C8A"/>
    <w:rsid w:val="00FF5C95"/>
    <w:rsid w:val="00FF5CAF"/>
    <w:rsid w:val="00FF5D11"/>
    <w:rsid w:val="00FF5D4C"/>
    <w:rsid w:val="00FF5D64"/>
    <w:rsid w:val="00FF5D8E"/>
    <w:rsid w:val="00FF5E16"/>
    <w:rsid w:val="00FF5E34"/>
    <w:rsid w:val="00FF5E57"/>
    <w:rsid w:val="00FF5E6F"/>
    <w:rsid w:val="00FF5E8D"/>
    <w:rsid w:val="00FF5E9E"/>
    <w:rsid w:val="00FF5EB5"/>
    <w:rsid w:val="00FF5EBB"/>
    <w:rsid w:val="00FF5F04"/>
    <w:rsid w:val="00FF5F18"/>
    <w:rsid w:val="00FF5F2C"/>
    <w:rsid w:val="00FF5F51"/>
    <w:rsid w:val="00FF5F89"/>
    <w:rsid w:val="00FF5FCA"/>
    <w:rsid w:val="00FF5FE0"/>
    <w:rsid w:val="00FF602F"/>
    <w:rsid w:val="00FF603D"/>
    <w:rsid w:val="00FF606C"/>
    <w:rsid w:val="00FF6076"/>
    <w:rsid w:val="00FF609B"/>
    <w:rsid w:val="00FF60DF"/>
    <w:rsid w:val="00FF6155"/>
    <w:rsid w:val="00FF615D"/>
    <w:rsid w:val="00FF616F"/>
    <w:rsid w:val="00FF61AF"/>
    <w:rsid w:val="00FF61BF"/>
    <w:rsid w:val="00FF61CD"/>
    <w:rsid w:val="00FF61D7"/>
    <w:rsid w:val="00FF62A3"/>
    <w:rsid w:val="00FF62B0"/>
    <w:rsid w:val="00FF62E6"/>
    <w:rsid w:val="00FF63D5"/>
    <w:rsid w:val="00FF640C"/>
    <w:rsid w:val="00FF640F"/>
    <w:rsid w:val="00FF645C"/>
    <w:rsid w:val="00FF64BC"/>
    <w:rsid w:val="00FF64C9"/>
    <w:rsid w:val="00FF6538"/>
    <w:rsid w:val="00FF6567"/>
    <w:rsid w:val="00FF6587"/>
    <w:rsid w:val="00FF6609"/>
    <w:rsid w:val="00FF6663"/>
    <w:rsid w:val="00FF6698"/>
    <w:rsid w:val="00FF6701"/>
    <w:rsid w:val="00FF6761"/>
    <w:rsid w:val="00FF6765"/>
    <w:rsid w:val="00FF6775"/>
    <w:rsid w:val="00FF67D3"/>
    <w:rsid w:val="00FF67F1"/>
    <w:rsid w:val="00FF67F3"/>
    <w:rsid w:val="00FF683F"/>
    <w:rsid w:val="00FF68A6"/>
    <w:rsid w:val="00FF68BD"/>
    <w:rsid w:val="00FF6955"/>
    <w:rsid w:val="00FF6966"/>
    <w:rsid w:val="00FF6979"/>
    <w:rsid w:val="00FF698E"/>
    <w:rsid w:val="00FF69C5"/>
    <w:rsid w:val="00FF6A90"/>
    <w:rsid w:val="00FF6A93"/>
    <w:rsid w:val="00FF6B5D"/>
    <w:rsid w:val="00FF6B7D"/>
    <w:rsid w:val="00FF6B91"/>
    <w:rsid w:val="00FF6BB5"/>
    <w:rsid w:val="00FF6BC9"/>
    <w:rsid w:val="00FF6BF8"/>
    <w:rsid w:val="00FF6C62"/>
    <w:rsid w:val="00FF6C8D"/>
    <w:rsid w:val="00FF6D0F"/>
    <w:rsid w:val="00FF6DAE"/>
    <w:rsid w:val="00FF6E1C"/>
    <w:rsid w:val="00FF6E6D"/>
    <w:rsid w:val="00FF6E7D"/>
    <w:rsid w:val="00FF6E91"/>
    <w:rsid w:val="00FF6EC4"/>
    <w:rsid w:val="00FF6ECD"/>
    <w:rsid w:val="00FF6EF4"/>
    <w:rsid w:val="00FF6F03"/>
    <w:rsid w:val="00FF6F30"/>
    <w:rsid w:val="00FF6F5F"/>
    <w:rsid w:val="00FF6F64"/>
    <w:rsid w:val="00FF6F8D"/>
    <w:rsid w:val="00FF6FAD"/>
    <w:rsid w:val="00FF6FD9"/>
    <w:rsid w:val="00FF6FDE"/>
    <w:rsid w:val="00FF7001"/>
    <w:rsid w:val="00FF706E"/>
    <w:rsid w:val="00FF70C6"/>
    <w:rsid w:val="00FF70CD"/>
    <w:rsid w:val="00FF70EA"/>
    <w:rsid w:val="00FF7187"/>
    <w:rsid w:val="00FF71A4"/>
    <w:rsid w:val="00FF71DD"/>
    <w:rsid w:val="00FF71F7"/>
    <w:rsid w:val="00FF727C"/>
    <w:rsid w:val="00FF72B4"/>
    <w:rsid w:val="00FF72F0"/>
    <w:rsid w:val="00FF732F"/>
    <w:rsid w:val="00FF735F"/>
    <w:rsid w:val="00FF7371"/>
    <w:rsid w:val="00FF7388"/>
    <w:rsid w:val="00FF7393"/>
    <w:rsid w:val="00FF73CD"/>
    <w:rsid w:val="00FF73D1"/>
    <w:rsid w:val="00FF7452"/>
    <w:rsid w:val="00FF745C"/>
    <w:rsid w:val="00FF7461"/>
    <w:rsid w:val="00FF74F4"/>
    <w:rsid w:val="00FF7529"/>
    <w:rsid w:val="00FF752A"/>
    <w:rsid w:val="00FF7544"/>
    <w:rsid w:val="00FF759A"/>
    <w:rsid w:val="00FF75C4"/>
    <w:rsid w:val="00FF7612"/>
    <w:rsid w:val="00FF7619"/>
    <w:rsid w:val="00FF763A"/>
    <w:rsid w:val="00FF7667"/>
    <w:rsid w:val="00FF766E"/>
    <w:rsid w:val="00FF76A4"/>
    <w:rsid w:val="00FF76E2"/>
    <w:rsid w:val="00FF76F5"/>
    <w:rsid w:val="00FF7704"/>
    <w:rsid w:val="00FF772B"/>
    <w:rsid w:val="00FF7745"/>
    <w:rsid w:val="00FF779A"/>
    <w:rsid w:val="00FF77D4"/>
    <w:rsid w:val="00FF77DC"/>
    <w:rsid w:val="00FF7828"/>
    <w:rsid w:val="00FF7885"/>
    <w:rsid w:val="00FF78A7"/>
    <w:rsid w:val="00FF791E"/>
    <w:rsid w:val="00FF7948"/>
    <w:rsid w:val="00FF7971"/>
    <w:rsid w:val="00FF79AC"/>
    <w:rsid w:val="00FF79BF"/>
    <w:rsid w:val="00FF7A79"/>
    <w:rsid w:val="00FF7AFA"/>
    <w:rsid w:val="00FF7B13"/>
    <w:rsid w:val="00FF7B16"/>
    <w:rsid w:val="00FF7B21"/>
    <w:rsid w:val="00FF7B38"/>
    <w:rsid w:val="00FF7B91"/>
    <w:rsid w:val="00FF7B97"/>
    <w:rsid w:val="00FF7BD2"/>
    <w:rsid w:val="00FF7C06"/>
    <w:rsid w:val="00FF7C96"/>
    <w:rsid w:val="00FF7CBB"/>
    <w:rsid w:val="00FF7CBF"/>
    <w:rsid w:val="00FF7D5D"/>
    <w:rsid w:val="00FF7D9F"/>
    <w:rsid w:val="00FF7DAA"/>
    <w:rsid w:val="00FF7DC1"/>
    <w:rsid w:val="00FF7E33"/>
    <w:rsid w:val="00FF7EAA"/>
    <w:rsid w:val="00FF7EF2"/>
    <w:rsid w:val="00FF7F2D"/>
    <w:rsid w:val="00FFEA3B"/>
    <w:rsid w:val="00FFF805"/>
    <w:rsid w:val="01010B61"/>
    <w:rsid w:val="01012C48"/>
    <w:rsid w:val="01017C9C"/>
    <w:rsid w:val="01025B16"/>
    <w:rsid w:val="010268DE"/>
    <w:rsid w:val="01027BB8"/>
    <w:rsid w:val="0102A8DA"/>
    <w:rsid w:val="0102B5FA"/>
    <w:rsid w:val="0102EE80"/>
    <w:rsid w:val="01036133"/>
    <w:rsid w:val="01049AE0"/>
    <w:rsid w:val="0106B32E"/>
    <w:rsid w:val="010842CD"/>
    <w:rsid w:val="0108FD07"/>
    <w:rsid w:val="01096C5F"/>
    <w:rsid w:val="01098494"/>
    <w:rsid w:val="0109C38C"/>
    <w:rsid w:val="010A43E7"/>
    <w:rsid w:val="010AE0E3"/>
    <w:rsid w:val="010AE8CA"/>
    <w:rsid w:val="010AFACC"/>
    <w:rsid w:val="010BB7B0"/>
    <w:rsid w:val="010BD68D"/>
    <w:rsid w:val="010D62A9"/>
    <w:rsid w:val="010D72BF"/>
    <w:rsid w:val="010DB7F0"/>
    <w:rsid w:val="010DFCC8"/>
    <w:rsid w:val="010E5642"/>
    <w:rsid w:val="010F0DF0"/>
    <w:rsid w:val="010F5C83"/>
    <w:rsid w:val="01105BFD"/>
    <w:rsid w:val="0110F05A"/>
    <w:rsid w:val="011169BB"/>
    <w:rsid w:val="0111A623"/>
    <w:rsid w:val="01120525"/>
    <w:rsid w:val="01125D2B"/>
    <w:rsid w:val="0112AD34"/>
    <w:rsid w:val="0112E1AB"/>
    <w:rsid w:val="0113EAA1"/>
    <w:rsid w:val="01141DD4"/>
    <w:rsid w:val="0114952B"/>
    <w:rsid w:val="0114BF81"/>
    <w:rsid w:val="0114CDA9"/>
    <w:rsid w:val="0114FA18"/>
    <w:rsid w:val="01152510"/>
    <w:rsid w:val="01158C66"/>
    <w:rsid w:val="01159E03"/>
    <w:rsid w:val="0116BE04"/>
    <w:rsid w:val="0116EC88"/>
    <w:rsid w:val="0117572E"/>
    <w:rsid w:val="01177C6F"/>
    <w:rsid w:val="011812F2"/>
    <w:rsid w:val="011914F7"/>
    <w:rsid w:val="0119D613"/>
    <w:rsid w:val="0119DE91"/>
    <w:rsid w:val="0119EFD3"/>
    <w:rsid w:val="011A970F"/>
    <w:rsid w:val="011B2CA4"/>
    <w:rsid w:val="011B63F5"/>
    <w:rsid w:val="011B6E27"/>
    <w:rsid w:val="011BF594"/>
    <w:rsid w:val="011C08FA"/>
    <w:rsid w:val="011C0944"/>
    <w:rsid w:val="011C782F"/>
    <w:rsid w:val="011D1763"/>
    <w:rsid w:val="011D1EB6"/>
    <w:rsid w:val="011D3FF1"/>
    <w:rsid w:val="011E83B2"/>
    <w:rsid w:val="011EEF0A"/>
    <w:rsid w:val="011FB1D6"/>
    <w:rsid w:val="01203CEA"/>
    <w:rsid w:val="0120B9F3"/>
    <w:rsid w:val="01216AC2"/>
    <w:rsid w:val="0122D3A1"/>
    <w:rsid w:val="0123B3B5"/>
    <w:rsid w:val="01243216"/>
    <w:rsid w:val="0124A702"/>
    <w:rsid w:val="0124E00D"/>
    <w:rsid w:val="012516FB"/>
    <w:rsid w:val="0125207B"/>
    <w:rsid w:val="01256AA6"/>
    <w:rsid w:val="0125B290"/>
    <w:rsid w:val="0126996D"/>
    <w:rsid w:val="0126F90B"/>
    <w:rsid w:val="0127238C"/>
    <w:rsid w:val="012776B1"/>
    <w:rsid w:val="01281C8B"/>
    <w:rsid w:val="0128DD12"/>
    <w:rsid w:val="012976E8"/>
    <w:rsid w:val="012A3389"/>
    <w:rsid w:val="012A657A"/>
    <w:rsid w:val="012A829A"/>
    <w:rsid w:val="012B0C5A"/>
    <w:rsid w:val="012BBF34"/>
    <w:rsid w:val="012CB904"/>
    <w:rsid w:val="012EE571"/>
    <w:rsid w:val="012EFE61"/>
    <w:rsid w:val="012F4342"/>
    <w:rsid w:val="01304FB0"/>
    <w:rsid w:val="0130B3A7"/>
    <w:rsid w:val="0131AA54"/>
    <w:rsid w:val="0131C881"/>
    <w:rsid w:val="0131D719"/>
    <w:rsid w:val="01320DBF"/>
    <w:rsid w:val="01323639"/>
    <w:rsid w:val="0132F46C"/>
    <w:rsid w:val="01341C67"/>
    <w:rsid w:val="0134B150"/>
    <w:rsid w:val="0134B8D2"/>
    <w:rsid w:val="0134FE83"/>
    <w:rsid w:val="01351E21"/>
    <w:rsid w:val="013602A2"/>
    <w:rsid w:val="0136ABB6"/>
    <w:rsid w:val="01377EC9"/>
    <w:rsid w:val="0137C565"/>
    <w:rsid w:val="01381325"/>
    <w:rsid w:val="01386579"/>
    <w:rsid w:val="01387C8B"/>
    <w:rsid w:val="0138E60F"/>
    <w:rsid w:val="013A371F"/>
    <w:rsid w:val="013A6E02"/>
    <w:rsid w:val="013B0487"/>
    <w:rsid w:val="013B4FCB"/>
    <w:rsid w:val="013BC972"/>
    <w:rsid w:val="013C19E6"/>
    <w:rsid w:val="013D129B"/>
    <w:rsid w:val="013D18C3"/>
    <w:rsid w:val="013D83A2"/>
    <w:rsid w:val="013D9374"/>
    <w:rsid w:val="013E97CF"/>
    <w:rsid w:val="013EAD38"/>
    <w:rsid w:val="013ED166"/>
    <w:rsid w:val="013F781C"/>
    <w:rsid w:val="013FE94C"/>
    <w:rsid w:val="013FF5F7"/>
    <w:rsid w:val="01421A68"/>
    <w:rsid w:val="014222F5"/>
    <w:rsid w:val="0142F890"/>
    <w:rsid w:val="01444B07"/>
    <w:rsid w:val="0144A843"/>
    <w:rsid w:val="0144A9BA"/>
    <w:rsid w:val="0144D440"/>
    <w:rsid w:val="01450E26"/>
    <w:rsid w:val="01454C05"/>
    <w:rsid w:val="014686A5"/>
    <w:rsid w:val="01474BAB"/>
    <w:rsid w:val="01475F01"/>
    <w:rsid w:val="01480ABF"/>
    <w:rsid w:val="01485FDA"/>
    <w:rsid w:val="01486CF5"/>
    <w:rsid w:val="0149EF29"/>
    <w:rsid w:val="014A34CF"/>
    <w:rsid w:val="014A4B0C"/>
    <w:rsid w:val="014A8DB6"/>
    <w:rsid w:val="014ABA91"/>
    <w:rsid w:val="014B1377"/>
    <w:rsid w:val="014B1F3C"/>
    <w:rsid w:val="014BE985"/>
    <w:rsid w:val="014C7681"/>
    <w:rsid w:val="014D93F8"/>
    <w:rsid w:val="014E94D8"/>
    <w:rsid w:val="014EA528"/>
    <w:rsid w:val="014ED337"/>
    <w:rsid w:val="014ED54F"/>
    <w:rsid w:val="014ED754"/>
    <w:rsid w:val="014F826D"/>
    <w:rsid w:val="014F8569"/>
    <w:rsid w:val="014F8C76"/>
    <w:rsid w:val="0150506D"/>
    <w:rsid w:val="01506451"/>
    <w:rsid w:val="0151613A"/>
    <w:rsid w:val="01527333"/>
    <w:rsid w:val="0152C0F3"/>
    <w:rsid w:val="0153DF28"/>
    <w:rsid w:val="0153F658"/>
    <w:rsid w:val="0154ED69"/>
    <w:rsid w:val="0154F580"/>
    <w:rsid w:val="01551862"/>
    <w:rsid w:val="01551B46"/>
    <w:rsid w:val="0156D35A"/>
    <w:rsid w:val="015825CF"/>
    <w:rsid w:val="0158920A"/>
    <w:rsid w:val="01589230"/>
    <w:rsid w:val="015900B6"/>
    <w:rsid w:val="015918E6"/>
    <w:rsid w:val="0159F91F"/>
    <w:rsid w:val="015AFFEE"/>
    <w:rsid w:val="015BFA04"/>
    <w:rsid w:val="015C2ECE"/>
    <w:rsid w:val="015D6390"/>
    <w:rsid w:val="015DFF2D"/>
    <w:rsid w:val="015E1A18"/>
    <w:rsid w:val="015E477E"/>
    <w:rsid w:val="015E5F26"/>
    <w:rsid w:val="015EB79C"/>
    <w:rsid w:val="015EC0A0"/>
    <w:rsid w:val="015F482B"/>
    <w:rsid w:val="015F4AF1"/>
    <w:rsid w:val="015F720E"/>
    <w:rsid w:val="015F92AC"/>
    <w:rsid w:val="015FC84B"/>
    <w:rsid w:val="0160CC6A"/>
    <w:rsid w:val="01610236"/>
    <w:rsid w:val="0161CA69"/>
    <w:rsid w:val="0162D580"/>
    <w:rsid w:val="0163A19C"/>
    <w:rsid w:val="0163BBFF"/>
    <w:rsid w:val="0164470C"/>
    <w:rsid w:val="0164F196"/>
    <w:rsid w:val="01664EA8"/>
    <w:rsid w:val="01667424"/>
    <w:rsid w:val="0167A7FD"/>
    <w:rsid w:val="0167CA99"/>
    <w:rsid w:val="016865D6"/>
    <w:rsid w:val="01693B97"/>
    <w:rsid w:val="016AA59C"/>
    <w:rsid w:val="016BDB07"/>
    <w:rsid w:val="016CEAE2"/>
    <w:rsid w:val="016CED71"/>
    <w:rsid w:val="016D05E1"/>
    <w:rsid w:val="016E5FD8"/>
    <w:rsid w:val="016F114A"/>
    <w:rsid w:val="016F1262"/>
    <w:rsid w:val="016F5411"/>
    <w:rsid w:val="016FAE64"/>
    <w:rsid w:val="016FDC88"/>
    <w:rsid w:val="0170149D"/>
    <w:rsid w:val="0170DDD6"/>
    <w:rsid w:val="01721F54"/>
    <w:rsid w:val="01728E2F"/>
    <w:rsid w:val="017294E2"/>
    <w:rsid w:val="0172F15B"/>
    <w:rsid w:val="01732943"/>
    <w:rsid w:val="01733983"/>
    <w:rsid w:val="01739B61"/>
    <w:rsid w:val="0174DAF7"/>
    <w:rsid w:val="0174EE66"/>
    <w:rsid w:val="0175476B"/>
    <w:rsid w:val="0175A1F7"/>
    <w:rsid w:val="0175A43D"/>
    <w:rsid w:val="0175F5FA"/>
    <w:rsid w:val="0176630A"/>
    <w:rsid w:val="0177216B"/>
    <w:rsid w:val="01789EC7"/>
    <w:rsid w:val="017946EA"/>
    <w:rsid w:val="0179908D"/>
    <w:rsid w:val="017999F5"/>
    <w:rsid w:val="0179D6DB"/>
    <w:rsid w:val="0179DD39"/>
    <w:rsid w:val="017A0F03"/>
    <w:rsid w:val="017A1571"/>
    <w:rsid w:val="017A7A69"/>
    <w:rsid w:val="017B6C17"/>
    <w:rsid w:val="017C73EE"/>
    <w:rsid w:val="017C9B45"/>
    <w:rsid w:val="017D238C"/>
    <w:rsid w:val="017D598B"/>
    <w:rsid w:val="017D9EB3"/>
    <w:rsid w:val="017DE761"/>
    <w:rsid w:val="017EAF9D"/>
    <w:rsid w:val="017F1A31"/>
    <w:rsid w:val="017FB279"/>
    <w:rsid w:val="017FB329"/>
    <w:rsid w:val="017FD7AA"/>
    <w:rsid w:val="017FE63B"/>
    <w:rsid w:val="0180733F"/>
    <w:rsid w:val="018074C1"/>
    <w:rsid w:val="01810A13"/>
    <w:rsid w:val="0181147E"/>
    <w:rsid w:val="018246A2"/>
    <w:rsid w:val="01824FB9"/>
    <w:rsid w:val="018269DA"/>
    <w:rsid w:val="0182CAD3"/>
    <w:rsid w:val="01836FBE"/>
    <w:rsid w:val="0183CEF6"/>
    <w:rsid w:val="01846CCA"/>
    <w:rsid w:val="0185117E"/>
    <w:rsid w:val="01853075"/>
    <w:rsid w:val="01858CC2"/>
    <w:rsid w:val="0185E6E8"/>
    <w:rsid w:val="0186A02E"/>
    <w:rsid w:val="0186F7E9"/>
    <w:rsid w:val="01875092"/>
    <w:rsid w:val="01875D82"/>
    <w:rsid w:val="018783A1"/>
    <w:rsid w:val="0187DA58"/>
    <w:rsid w:val="0189559C"/>
    <w:rsid w:val="018AD96C"/>
    <w:rsid w:val="018B3706"/>
    <w:rsid w:val="018B5893"/>
    <w:rsid w:val="018B5ADB"/>
    <w:rsid w:val="018CAD1D"/>
    <w:rsid w:val="018D7116"/>
    <w:rsid w:val="018DD473"/>
    <w:rsid w:val="018E1D72"/>
    <w:rsid w:val="018E6284"/>
    <w:rsid w:val="018F0E58"/>
    <w:rsid w:val="0190025E"/>
    <w:rsid w:val="01904998"/>
    <w:rsid w:val="01923A4B"/>
    <w:rsid w:val="0192728D"/>
    <w:rsid w:val="019290CD"/>
    <w:rsid w:val="0192DF2C"/>
    <w:rsid w:val="0192EA76"/>
    <w:rsid w:val="01936D68"/>
    <w:rsid w:val="0193B33C"/>
    <w:rsid w:val="01947105"/>
    <w:rsid w:val="01949C15"/>
    <w:rsid w:val="0195766E"/>
    <w:rsid w:val="019674A0"/>
    <w:rsid w:val="0196FA57"/>
    <w:rsid w:val="019704B2"/>
    <w:rsid w:val="01979C93"/>
    <w:rsid w:val="0197AB4F"/>
    <w:rsid w:val="0197E126"/>
    <w:rsid w:val="0198407A"/>
    <w:rsid w:val="01986836"/>
    <w:rsid w:val="01986E66"/>
    <w:rsid w:val="01987D09"/>
    <w:rsid w:val="0199FAA9"/>
    <w:rsid w:val="019AD0F1"/>
    <w:rsid w:val="019B3097"/>
    <w:rsid w:val="019B9DDE"/>
    <w:rsid w:val="019C4248"/>
    <w:rsid w:val="019CA300"/>
    <w:rsid w:val="019CB43F"/>
    <w:rsid w:val="019D0111"/>
    <w:rsid w:val="019D2078"/>
    <w:rsid w:val="019D47D7"/>
    <w:rsid w:val="019D5A69"/>
    <w:rsid w:val="019D65C0"/>
    <w:rsid w:val="019D9629"/>
    <w:rsid w:val="019E1F88"/>
    <w:rsid w:val="019E5C35"/>
    <w:rsid w:val="019E81A2"/>
    <w:rsid w:val="019EAED5"/>
    <w:rsid w:val="019EB6A0"/>
    <w:rsid w:val="019F4842"/>
    <w:rsid w:val="019F52E3"/>
    <w:rsid w:val="01A112DA"/>
    <w:rsid w:val="01A114EB"/>
    <w:rsid w:val="01A2416B"/>
    <w:rsid w:val="01A24CE1"/>
    <w:rsid w:val="01A25DC3"/>
    <w:rsid w:val="01A28B4C"/>
    <w:rsid w:val="01A3972E"/>
    <w:rsid w:val="01A39F31"/>
    <w:rsid w:val="01A3D9B2"/>
    <w:rsid w:val="01A439F6"/>
    <w:rsid w:val="01A45472"/>
    <w:rsid w:val="01A4BDB0"/>
    <w:rsid w:val="01A4E45E"/>
    <w:rsid w:val="01A51A78"/>
    <w:rsid w:val="01A6554E"/>
    <w:rsid w:val="01A679BC"/>
    <w:rsid w:val="01A75CA1"/>
    <w:rsid w:val="01A80560"/>
    <w:rsid w:val="01A9C88E"/>
    <w:rsid w:val="01AA01BA"/>
    <w:rsid w:val="01AA041A"/>
    <w:rsid w:val="01AA288E"/>
    <w:rsid w:val="01AA710A"/>
    <w:rsid w:val="01AAFEE1"/>
    <w:rsid w:val="01AB863D"/>
    <w:rsid w:val="01AC0519"/>
    <w:rsid w:val="01AC2FBF"/>
    <w:rsid w:val="01AC509C"/>
    <w:rsid w:val="01AC9BDE"/>
    <w:rsid w:val="01ACA949"/>
    <w:rsid w:val="01ACF921"/>
    <w:rsid w:val="01AD23CE"/>
    <w:rsid w:val="01AE82E1"/>
    <w:rsid w:val="01AE8B68"/>
    <w:rsid w:val="01B01952"/>
    <w:rsid w:val="01B03EB3"/>
    <w:rsid w:val="01B09F11"/>
    <w:rsid w:val="01B09FB4"/>
    <w:rsid w:val="01B0DFB2"/>
    <w:rsid w:val="01B2ED65"/>
    <w:rsid w:val="01B2F5E2"/>
    <w:rsid w:val="01B39EAF"/>
    <w:rsid w:val="01B3EE0D"/>
    <w:rsid w:val="01B3FDF7"/>
    <w:rsid w:val="01B4AB65"/>
    <w:rsid w:val="01B4BE21"/>
    <w:rsid w:val="01B57261"/>
    <w:rsid w:val="01B704B5"/>
    <w:rsid w:val="01B7677C"/>
    <w:rsid w:val="01B77AA4"/>
    <w:rsid w:val="01B7DB17"/>
    <w:rsid w:val="01B7FE13"/>
    <w:rsid w:val="01B861BB"/>
    <w:rsid w:val="01B8C5A1"/>
    <w:rsid w:val="01B8E643"/>
    <w:rsid w:val="01B95CBC"/>
    <w:rsid w:val="01BA11EC"/>
    <w:rsid w:val="01BA67AF"/>
    <w:rsid w:val="01BB6625"/>
    <w:rsid w:val="01BBD2D7"/>
    <w:rsid w:val="01BC7522"/>
    <w:rsid w:val="01BCD188"/>
    <w:rsid w:val="01BD2809"/>
    <w:rsid w:val="01BD314A"/>
    <w:rsid w:val="01BD7C95"/>
    <w:rsid w:val="01BDD4AD"/>
    <w:rsid w:val="01BE268C"/>
    <w:rsid w:val="01BE58A2"/>
    <w:rsid w:val="01BE5C2C"/>
    <w:rsid w:val="01BF97B1"/>
    <w:rsid w:val="01C03EF4"/>
    <w:rsid w:val="01C05EA1"/>
    <w:rsid w:val="01C0AD1A"/>
    <w:rsid w:val="01C0F65C"/>
    <w:rsid w:val="01C1550C"/>
    <w:rsid w:val="01C2212D"/>
    <w:rsid w:val="01C24221"/>
    <w:rsid w:val="01C28C28"/>
    <w:rsid w:val="01C31D9F"/>
    <w:rsid w:val="01C32CE6"/>
    <w:rsid w:val="01C3F87D"/>
    <w:rsid w:val="01C4340D"/>
    <w:rsid w:val="01C48105"/>
    <w:rsid w:val="01C48513"/>
    <w:rsid w:val="01C5D0AC"/>
    <w:rsid w:val="01C6BCD1"/>
    <w:rsid w:val="01C741AA"/>
    <w:rsid w:val="01C76224"/>
    <w:rsid w:val="01C7F583"/>
    <w:rsid w:val="01C7FD1B"/>
    <w:rsid w:val="01C8240B"/>
    <w:rsid w:val="01C89748"/>
    <w:rsid w:val="01C897E6"/>
    <w:rsid w:val="01C8E354"/>
    <w:rsid w:val="01C902A5"/>
    <w:rsid w:val="01CA0513"/>
    <w:rsid w:val="01CB92D8"/>
    <w:rsid w:val="01CB947D"/>
    <w:rsid w:val="01CBD0BE"/>
    <w:rsid w:val="01CC6B17"/>
    <w:rsid w:val="01CC8F01"/>
    <w:rsid w:val="01CDC4FD"/>
    <w:rsid w:val="01CE1570"/>
    <w:rsid w:val="01CEBAF6"/>
    <w:rsid w:val="01CEDC36"/>
    <w:rsid w:val="01CEE46E"/>
    <w:rsid w:val="01CF5462"/>
    <w:rsid w:val="01CF9210"/>
    <w:rsid w:val="01D067EA"/>
    <w:rsid w:val="01D0A5E3"/>
    <w:rsid w:val="01D0B178"/>
    <w:rsid w:val="01D15E8E"/>
    <w:rsid w:val="01D16E86"/>
    <w:rsid w:val="01D17D5A"/>
    <w:rsid w:val="01D24902"/>
    <w:rsid w:val="01D2A2EC"/>
    <w:rsid w:val="01D2E118"/>
    <w:rsid w:val="01D3535F"/>
    <w:rsid w:val="01D69004"/>
    <w:rsid w:val="01D72322"/>
    <w:rsid w:val="01D72BB2"/>
    <w:rsid w:val="01D7B2F3"/>
    <w:rsid w:val="01D858B2"/>
    <w:rsid w:val="01D8C89C"/>
    <w:rsid w:val="01D9D15A"/>
    <w:rsid w:val="01DAC080"/>
    <w:rsid w:val="01DAD41A"/>
    <w:rsid w:val="01DB0CA1"/>
    <w:rsid w:val="01DB98CC"/>
    <w:rsid w:val="01DBB2BA"/>
    <w:rsid w:val="01DCD406"/>
    <w:rsid w:val="01DCDFE7"/>
    <w:rsid w:val="01DD1C82"/>
    <w:rsid w:val="01DD92DC"/>
    <w:rsid w:val="01DD9CBE"/>
    <w:rsid w:val="01DE9F0A"/>
    <w:rsid w:val="01DFA50D"/>
    <w:rsid w:val="01E08F3E"/>
    <w:rsid w:val="01E0D404"/>
    <w:rsid w:val="01E11304"/>
    <w:rsid w:val="01E193A7"/>
    <w:rsid w:val="01E1BBCD"/>
    <w:rsid w:val="01E286AD"/>
    <w:rsid w:val="01E37E9C"/>
    <w:rsid w:val="01E39F48"/>
    <w:rsid w:val="01E453DA"/>
    <w:rsid w:val="01E45DE4"/>
    <w:rsid w:val="01E4D0F7"/>
    <w:rsid w:val="01E50E42"/>
    <w:rsid w:val="01E527F3"/>
    <w:rsid w:val="01E60364"/>
    <w:rsid w:val="01E65894"/>
    <w:rsid w:val="01E67DC1"/>
    <w:rsid w:val="01E69F1C"/>
    <w:rsid w:val="01E70E0A"/>
    <w:rsid w:val="01E720AF"/>
    <w:rsid w:val="01E77C00"/>
    <w:rsid w:val="01E86D61"/>
    <w:rsid w:val="01E88293"/>
    <w:rsid w:val="01E8AE2F"/>
    <w:rsid w:val="01E91104"/>
    <w:rsid w:val="01EA3DA4"/>
    <w:rsid w:val="01EAC05D"/>
    <w:rsid w:val="01EACCFC"/>
    <w:rsid w:val="01EB2249"/>
    <w:rsid w:val="01EBDA35"/>
    <w:rsid w:val="01ECD2F8"/>
    <w:rsid w:val="01ED26D9"/>
    <w:rsid w:val="01ED486C"/>
    <w:rsid w:val="01EE358E"/>
    <w:rsid w:val="01EE8494"/>
    <w:rsid w:val="01EF3253"/>
    <w:rsid w:val="01EF3902"/>
    <w:rsid w:val="01F02938"/>
    <w:rsid w:val="01F0834A"/>
    <w:rsid w:val="01F0F1B3"/>
    <w:rsid w:val="01F0FFBA"/>
    <w:rsid w:val="01F10782"/>
    <w:rsid w:val="01F35D40"/>
    <w:rsid w:val="01F372C9"/>
    <w:rsid w:val="01F3BF7D"/>
    <w:rsid w:val="01F41D29"/>
    <w:rsid w:val="01F49205"/>
    <w:rsid w:val="01F4920F"/>
    <w:rsid w:val="01F56756"/>
    <w:rsid w:val="01F596A1"/>
    <w:rsid w:val="01F5DC72"/>
    <w:rsid w:val="01F5F7A5"/>
    <w:rsid w:val="01F79728"/>
    <w:rsid w:val="01F7F7EE"/>
    <w:rsid w:val="01F92D90"/>
    <w:rsid w:val="01F98F3F"/>
    <w:rsid w:val="01F9EFED"/>
    <w:rsid w:val="01FA0631"/>
    <w:rsid w:val="01FAB2B3"/>
    <w:rsid w:val="01FAB80B"/>
    <w:rsid w:val="01FABD9C"/>
    <w:rsid w:val="01FB678A"/>
    <w:rsid w:val="01FBEA86"/>
    <w:rsid w:val="01FC4705"/>
    <w:rsid w:val="01FCBF8A"/>
    <w:rsid w:val="01FCE343"/>
    <w:rsid w:val="01FD190C"/>
    <w:rsid w:val="01FDD33D"/>
    <w:rsid w:val="01FE36A6"/>
    <w:rsid w:val="01FE5EB7"/>
    <w:rsid w:val="01FEB41C"/>
    <w:rsid w:val="01FFFDCB"/>
    <w:rsid w:val="0200C801"/>
    <w:rsid w:val="0200DE88"/>
    <w:rsid w:val="02021CDF"/>
    <w:rsid w:val="020236B6"/>
    <w:rsid w:val="02037E85"/>
    <w:rsid w:val="0203C14D"/>
    <w:rsid w:val="0203DCC0"/>
    <w:rsid w:val="020467EE"/>
    <w:rsid w:val="0204793D"/>
    <w:rsid w:val="020490CE"/>
    <w:rsid w:val="0204FD15"/>
    <w:rsid w:val="020500EC"/>
    <w:rsid w:val="020549DA"/>
    <w:rsid w:val="0205BA52"/>
    <w:rsid w:val="0205C120"/>
    <w:rsid w:val="0205F9CD"/>
    <w:rsid w:val="0206DB45"/>
    <w:rsid w:val="02071758"/>
    <w:rsid w:val="02081F87"/>
    <w:rsid w:val="0208C529"/>
    <w:rsid w:val="0208D3F3"/>
    <w:rsid w:val="02097B0B"/>
    <w:rsid w:val="020A4638"/>
    <w:rsid w:val="020AFA61"/>
    <w:rsid w:val="020B13E3"/>
    <w:rsid w:val="020B698E"/>
    <w:rsid w:val="020C1628"/>
    <w:rsid w:val="020C9AF8"/>
    <w:rsid w:val="020D4EDB"/>
    <w:rsid w:val="020D511C"/>
    <w:rsid w:val="020DAE9D"/>
    <w:rsid w:val="020E20B0"/>
    <w:rsid w:val="020F0697"/>
    <w:rsid w:val="020F9BD5"/>
    <w:rsid w:val="020FF1EA"/>
    <w:rsid w:val="0210C645"/>
    <w:rsid w:val="02115003"/>
    <w:rsid w:val="0211D34C"/>
    <w:rsid w:val="021218B9"/>
    <w:rsid w:val="02130509"/>
    <w:rsid w:val="02143458"/>
    <w:rsid w:val="021448DC"/>
    <w:rsid w:val="02144E1B"/>
    <w:rsid w:val="02157F87"/>
    <w:rsid w:val="02159DA7"/>
    <w:rsid w:val="0215AFA7"/>
    <w:rsid w:val="02163411"/>
    <w:rsid w:val="0216AD0B"/>
    <w:rsid w:val="0216CCC4"/>
    <w:rsid w:val="0217273A"/>
    <w:rsid w:val="02178987"/>
    <w:rsid w:val="0217C773"/>
    <w:rsid w:val="02180C6D"/>
    <w:rsid w:val="02184504"/>
    <w:rsid w:val="02187F89"/>
    <w:rsid w:val="02188F2A"/>
    <w:rsid w:val="0218B0A8"/>
    <w:rsid w:val="0218BFE9"/>
    <w:rsid w:val="0218C9C1"/>
    <w:rsid w:val="0219368B"/>
    <w:rsid w:val="02194510"/>
    <w:rsid w:val="021A3E2B"/>
    <w:rsid w:val="021AA624"/>
    <w:rsid w:val="021B234D"/>
    <w:rsid w:val="021B5690"/>
    <w:rsid w:val="021C3A89"/>
    <w:rsid w:val="021C3AD7"/>
    <w:rsid w:val="021C475A"/>
    <w:rsid w:val="021D45CE"/>
    <w:rsid w:val="021D984F"/>
    <w:rsid w:val="021E8BBD"/>
    <w:rsid w:val="021F04DB"/>
    <w:rsid w:val="0221981D"/>
    <w:rsid w:val="0221C158"/>
    <w:rsid w:val="02223C1A"/>
    <w:rsid w:val="0222864A"/>
    <w:rsid w:val="02234969"/>
    <w:rsid w:val="0223B5E6"/>
    <w:rsid w:val="0223EA51"/>
    <w:rsid w:val="0224C305"/>
    <w:rsid w:val="0224D007"/>
    <w:rsid w:val="02253B1B"/>
    <w:rsid w:val="02254A42"/>
    <w:rsid w:val="02258680"/>
    <w:rsid w:val="022738A9"/>
    <w:rsid w:val="0227486D"/>
    <w:rsid w:val="0227820A"/>
    <w:rsid w:val="0227879D"/>
    <w:rsid w:val="022797AF"/>
    <w:rsid w:val="0227B5B2"/>
    <w:rsid w:val="022804D3"/>
    <w:rsid w:val="02281116"/>
    <w:rsid w:val="022813C5"/>
    <w:rsid w:val="02282A64"/>
    <w:rsid w:val="0228E62D"/>
    <w:rsid w:val="02291EFC"/>
    <w:rsid w:val="0229453C"/>
    <w:rsid w:val="0229791E"/>
    <w:rsid w:val="02298699"/>
    <w:rsid w:val="0229E739"/>
    <w:rsid w:val="022AE63F"/>
    <w:rsid w:val="022AFD99"/>
    <w:rsid w:val="022B01EA"/>
    <w:rsid w:val="022D0EAD"/>
    <w:rsid w:val="022E65FB"/>
    <w:rsid w:val="022F78A1"/>
    <w:rsid w:val="022F92BF"/>
    <w:rsid w:val="022FF066"/>
    <w:rsid w:val="023057DD"/>
    <w:rsid w:val="0230D2AB"/>
    <w:rsid w:val="02310295"/>
    <w:rsid w:val="02317595"/>
    <w:rsid w:val="02319AF1"/>
    <w:rsid w:val="0231DC71"/>
    <w:rsid w:val="02321481"/>
    <w:rsid w:val="02322160"/>
    <w:rsid w:val="02323424"/>
    <w:rsid w:val="0232A511"/>
    <w:rsid w:val="02331F66"/>
    <w:rsid w:val="02335462"/>
    <w:rsid w:val="023426F6"/>
    <w:rsid w:val="0234B738"/>
    <w:rsid w:val="0234C257"/>
    <w:rsid w:val="023579B6"/>
    <w:rsid w:val="0235A1BD"/>
    <w:rsid w:val="0235F831"/>
    <w:rsid w:val="02363A43"/>
    <w:rsid w:val="02366261"/>
    <w:rsid w:val="0237FDA5"/>
    <w:rsid w:val="023841D5"/>
    <w:rsid w:val="02390764"/>
    <w:rsid w:val="02394A98"/>
    <w:rsid w:val="023A32E8"/>
    <w:rsid w:val="023A3C37"/>
    <w:rsid w:val="023A8B33"/>
    <w:rsid w:val="023BC45D"/>
    <w:rsid w:val="023BE5CA"/>
    <w:rsid w:val="023C1144"/>
    <w:rsid w:val="023C8B9C"/>
    <w:rsid w:val="023CEC37"/>
    <w:rsid w:val="023D668E"/>
    <w:rsid w:val="023D6E84"/>
    <w:rsid w:val="023DBDE1"/>
    <w:rsid w:val="023E2B06"/>
    <w:rsid w:val="023E7046"/>
    <w:rsid w:val="023E77B6"/>
    <w:rsid w:val="023E9822"/>
    <w:rsid w:val="023F71C9"/>
    <w:rsid w:val="023FEE0A"/>
    <w:rsid w:val="024062AC"/>
    <w:rsid w:val="02408073"/>
    <w:rsid w:val="02408C17"/>
    <w:rsid w:val="0241275A"/>
    <w:rsid w:val="02425B32"/>
    <w:rsid w:val="024268F6"/>
    <w:rsid w:val="02448899"/>
    <w:rsid w:val="0244DAB3"/>
    <w:rsid w:val="02460E58"/>
    <w:rsid w:val="02466CC4"/>
    <w:rsid w:val="02467FDB"/>
    <w:rsid w:val="02478FF6"/>
    <w:rsid w:val="02484D4E"/>
    <w:rsid w:val="0248D1F7"/>
    <w:rsid w:val="0249E075"/>
    <w:rsid w:val="024AD097"/>
    <w:rsid w:val="024B159E"/>
    <w:rsid w:val="024BE0D8"/>
    <w:rsid w:val="024CF424"/>
    <w:rsid w:val="024D03B8"/>
    <w:rsid w:val="024D8729"/>
    <w:rsid w:val="024DAA50"/>
    <w:rsid w:val="024EA78B"/>
    <w:rsid w:val="024EB689"/>
    <w:rsid w:val="024F3E38"/>
    <w:rsid w:val="024F8408"/>
    <w:rsid w:val="024FF526"/>
    <w:rsid w:val="0251929B"/>
    <w:rsid w:val="02519FA6"/>
    <w:rsid w:val="0251A952"/>
    <w:rsid w:val="0252B72C"/>
    <w:rsid w:val="025411F4"/>
    <w:rsid w:val="025422D4"/>
    <w:rsid w:val="02545D6E"/>
    <w:rsid w:val="0254B330"/>
    <w:rsid w:val="02550082"/>
    <w:rsid w:val="02552084"/>
    <w:rsid w:val="0255223A"/>
    <w:rsid w:val="02559462"/>
    <w:rsid w:val="02579916"/>
    <w:rsid w:val="0257B5C2"/>
    <w:rsid w:val="02588B8A"/>
    <w:rsid w:val="0259350F"/>
    <w:rsid w:val="025AEC1F"/>
    <w:rsid w:val="025AF064"/>
    <w:rsid w:val="025BA2DD"/>
    <w:rsid w:val="025BA532"/>
    <w:rsid w:val="025BF97A"/>
    <w:rsid w:val="025C38E6"/>
    <w:rsid w:val="025C528F"/>
    <w:rsid w:val="025C776D"/>
    <w:rsid w:val="025CA91E"/>
    <w:rsid w:val="025CEF5D"/>
    <w:rsid w:val="025D1EF7"/>
    <w:rsid w:val="025E23DD"/>
    <w:rsid w:val="025E30D1"/>
    <w:rsid w:val="025E7FC7"/>
    <w:rsid w:val="025F27AF"/>
    <w:rsid w:val="0260069B"/>
    <w:rsid w:val="0260E5DE"/>
    <w:rsid w:val="0260FF66"/>
    <w:rsid w:val="02627E6B"/>
    <w:rsid w:val="0262DD86"/>
    <w:rsid w:val="0262FC9B"/>
    <w:rsid w:val="02631992"/>
    <w:rsid w:val="026359E9"/>
    <w:rsid w:val="02635BAE"/>
    <w:rsid w:val="026375AB"/>
    <w:rsid w:val="02638F90"/>
    <w:rsid w:val="02641F70"/>
    <w:rsid w:val="0265A13E"/>
    <w:rsid w:val="026698AD"/>
    <w:rsid w:val="0266DB71"/>
    <w:rsid w:val="0267282F"/>
    <w:rsid w:val="0267633A"/>
    <w:rsid w:val="0267CC18"/>
    <w:rsid w:val="0267D2DD"/>
    <w:rsid w:val="02682B24"/>
    <w:rsid w:val="0268E721"/>
    <w:rsid w:val="0269CDE5"/>
    <w:rsid w:val="0269D484"/>
    <w:rsid w:val="026A50D0"/>
    <w:rsid w:val="026A86C2"/>
    <w:rsid w:val="026AA5AD"/>
    <w:rsid w:val="026AC3CA"/>
    <w:rsid w:val="026B1FB0"/>
    <w:rsid w:val="026C28C5"/>
    <w:rsid w:val="026C87E8"/>
    <w:rsid w:val="026CCE7D"/>
    <w:rsid w:val="026DCD8C"/>
    <w:rsid w:val="026DEE05"/>
    <w:rsid w:val="026E835B"/>
    <w:rsid w:val="026EAF88"/>
    <w:rsid w:val="027037F5"/>
    <w:rsid w:val="0270658F"/>
    <w:rsid w:val="0270677C"/>
    <w:rsid w:val="02715DDD"/>
    <w:rsid w:val="02716291"/>
    <w:rsid w:val="0271E07D"/>
    <w:rsid w:val="0272800B"/>
    <w:rsid w:val="0273B0FA"/>
    <w:rsid w:val="0273DE37"/>
    <w:rsid w:val="02746430"/>
    <w:rsid w:val="02748DEE"/>
    <w:rsid w:val="0275BEE0"/>
    <w:rsid w:val="02761648"/>
    <w:rsid w:val="027698F4"/>
    <w:rsid w:val="0276C15E"/>
    <w:rsid w:val="02770F4A"/>
    <w:rsid w:val="0277477D"/>
    <w:rsid w:val="0277C89B"/>
    <w:rsid w:val="0278C45F"/>
    <w:rsid w:val="0279B3D8"/>
    <w:rsid w:val="027A0277"/>
    <w:rsid w:val="027A6AF6"/>
    <w:rsid w:val="027B0397"/>
    <w:rsid w:val="027B2084"/>
    <w:rsid w:val="027B5768"/>
    <w:rsid w:val="027B5925"/>
    <w:rsid w:val="027BE431"/>
    <w:rsid w:val="027C3D16"/>
    <w:rsid w:val="027CB117"/>
    <w:rsid w:val="027CF4A8"/>
    <w:rsid w:val="027CF5DF"/>
    <w:rsid w:val="027D6BC2"/>
    <w:rsid w:val="027D9DE4"/>
    <w:rsid w:val="027DA569"/>
    <w:rsid w:val="027E57C1"/>
    <w:rsid w:val="027E996C"/>
    <w:rsid w:val="027ED82A"/>
    <w:rsid w:val="027F22BD"/>
    <w:rsid w:val="027F747C"/>
    <w:rsid w:val="028006C4"/>
    <w:rsid w:val="028012C9"/>
    <w:rsid w:val="02805EF3"/>
    <w:rsid w:val="02807C87"/>
    <w:rsid w:val="028098B4"/>
    <w:rsid w:val="02819B26"/>
    <w:rsid w:val="0281CBA6"/>
    <w:rsid w:val="0281CE4B"/>
    <w:rsid w:val="02827524"/>
    <w:rsid w:val="0283AB8E"/>
    <w:rsid w:val="0284A04F"/>
    <w:rsid w:val="02856F08"/>
    <w:rsid w:val="028629F5"/>
    <w:rsid w:val="0286CEED"/>
    <w:rsid w:val="028767BE"/>
    <w:rsid w:val="02878D4C"/>
    <w:rsid w:val="02882723"/>
    <w:rsid w:val="0288404D"/>
    <w:rsid w:val="0288673B"/>
    <w:rsid w:val="02889CE9"/>
    <w:rsid w:val="02898531"/>
    <w:rsid w:val="028A6202"/>
    <w:rsid w:val="028A7B2A"/>
    <w:rsid w:val="028B7A9B"/>
    <w:rsid w:val="028BCE3E"/>
    <w:rsid w:val="028D108A"/>
    <w:rsid w:val="028D397E"/>
    <w:rsid w:val="028DC111"/>
    <w:rsid w:val="028E53BC"/>
    <w:rsid w:val="028FA800"/>
    <w:rsid w:val="028FC802"/>
    <w:rsid w:val="02905589"/>
    <w:rsid w:val="02905E22"/>
    <w:rsid w:val="0290BF52"/>
    <w:rsid w:val="0290F5EF"/>
    <w:rsid w:val="0291DC1F"/>
    <w:rsid w:val="0291E001"/>
    <w:rsid w:val="0293A6D7"/>
    <w:rsid w:val="0293C41B"/>
    <w:rsid w:val="0293D178"/>
    <w:rsid w:val="0294BC71"/>
    <w:rsid w:val="02959021"/>
    <w:rsid w:val="0295EA30"/>
    <w:rsid w:val="02971DA7"/>
    <w:rsid w:val="0298BF85"/>
    <w:rsid w:val="0299A9B3"/>
    <w:rsid w:val="0299B93A"/>
    <w:rsid w:val="029A6BAC"/>
    <w:rsid w:val="029B3D2B"/>
    <w:rsid w:val="029BFADB"/>
    <w:rsid w:val="029C06C6"/>
    <w:rsid w:val="029C1F6B"/>
    <w:rsid w:val="029C4C4E"/>
    <w:rsid w:val="029C6B00"/>
    <w:rsid w:val="029D19AB"/>
    <w:rsid w:val="029D2E13"/>
    <w:rsid w:val="029E683A"/>
    <w:rsid w:val="029E9744"/>
    <w:rsid w:val="029F46DA"/>
    <w:rsid w:val="029F6046"/>
    <w:rsid w:val="029F7742"/>
    <w:rsid w:val="029FD31C"/>
    <w:rsid w:val="02A0ABD7"/>
    <w:rsid w:val="02A0C585"/>
    <w:rsid w:val="02A1884D"/>
    <w:rsid w:val="02A29C34"/>
    <w:rsid w:val="02A39FEC"/>
    <w:rsid w:val="02A477CD"/>
    <w:rsid w:val="02A4B3DF"/>
    <w:rsid w:val="02A5612B"/>
    <w:rsid w:val="02A6A16A"/>
    <w:rsid w:val="02A6C6FC"/>
    <w:rsid w:val="02A6E660"/>
    <w:rsid w:val="02A7593D"/>
    <w:rsid w:val="02A7AB23"/>
    <w:rsid w:val="02A7EEEB"/>
    <w:rsid w:val="02A85061"/>
    <w:rsid w:val="02A86FB3"/>
    <w:rsid w:val="02A878C7"/>
    <w:rsid w:val="02A886F2"/>
    <w:rsid w:val="02A899DD"/>
    <w:rsid w:val="02A8A557"/>
    <w:rsid w:val="02A8DD7B"/>
    <w:rsid w:val="02A96C58"/>
    <w:rsid w:val="02AAD6DB"/>
    <w:rsid w:val="02AADDE0"/>
    <w:rsid w:val="02AADFEB"/>
    <w:rsid w:val="02AB042C"/>
    <w:rsid w:val="02AB56E1"/>
    <w:rsid w:val="02ABEC4D"/>
    <w:rsid w:val="02ACEFD2"/>
    <w:rsid w:val="02AD21A7"/>
    <w:rsid w:val="02ADBBD6"/>
    <w:rsid w:val="02ADF121"/>
    <w:rsid w:val="02AE7E4B"/>
    <w:rsid w:val="02AE8F33"/>
    <w:rsid w:val="02AEA0E6"/>
    <w:rsid w:val="02AF08F7"/>
    <w:rsid w:val="02AF2E57"/>
    <w:rsid w:val="02AF7F7D"/>
    <w:rsid w:val="02AFEFDD"/>
    <w:rsid w:val="02B02A68"/>
    <w:rsid w:val="02B03A0B"/>
    <w:rsid w:val="02B03DCD"/>
    <w:rsid w:val="02B0A6B0"/>
    <w:rsid w:val="02B10037"/>
    <w:rsid w:val="02B1A623"/>
    <w:rsid w:val="02B1C40F"/>
    <w:rsid w:val="02B3B703"/>
    <w:rsid w:val="02B47A46"/>
    <w:rsid w:val="02B50BFB"/>
    <w:rsid w:val="02B51735"/>
    <w:rsid w:val="02B5B306"/>
    <w:rsid w:val="02B69C73"/>
    <w:rsid w:val="02B71929"/>
    <w:rsid w:val="02B771B6"/>
    <w:rsid w:val="02B79B38"/>
    <w:rsid w:val="02B7D56D"/>
    <w:rsid w:val="02B7D5BE"/>
    <w:rsid w:val="02BA3171"/>
    <w:rsid w:val="02BABACF"/>
    <w:rsid w:val="02BBEC0E"/>
    <w:rsid w:val="02BBF153"/>
    <w:rsid w:val="02BD0378"/>
    <w:rsid w:val="02BD1595"/>
    <w:rsid w:val="02BD52C0"/>
    <w:rsid w:val="02BD5411"/>
    <w:rsid w:val="02BD9DC2"/>
    <w:rsid w:val="02BDB5EE"/>
    <w:rsid w:val="02BF0090"/>
    <w:rsid w:val="02BF9EDA"/>
    <w:rsid w:val="02BFBF2E"/>
    <w:rsid w:val="02C087B1"/>
    <w:rsid w:val="02C0F084"/>
    <w:rsid w:val="02C10A8A"/>
    <w:rsid w:val="02C13B52"/>
    <w:rsid w:val="02C14A5D"/>
    <w:rsid w:val="02C173B6"/>
    <w:rsid w:val="02C1ED90"/>
    <w:rsid w:val="02C2F8D9"/>
    <w:rsid w:val="02C3071E"/>
    <w:rsid w:val="02C34A0C"/>
    <w:rsid w:val="02C3C9BB"/>
    <w:rsid w:val="02C3F6E0"/>
    <w:rsid w:val="02C43388"/>
    <w:rsid w:val="02C5181F"/>
    <w:rsid w:val="02C52D44"/>
    <w:rsid w:val="02C646B0"/>
    <w:rsid w:val="02C6C44B"/>
    <w:rsid w:val="02C730B2"/>
    <w:rsid w:val="02C82D86"/>
    <w:rsid w:val="02C8C748"/>
    <w:rsid w:val="02C8D33B"/>
    <w:rsid w:val="02C8D73E"/>
    <w:rsid w:val="02C90D22"/>
    <w:rsid w:val="02C98FD5"/>
    <w:rsid w:val="02C9BC32"/>
    <w:rsid w:val="02CA2C86"/>
    <w:rsid w:val="02CA75AA"/>
    <w:rsid w:val="02CAB070"/>
    <w:rsid w:val="02CB3957"/>
    <w:rsid w:val="02CB4232"/>
    <w:rsid w:val="02CBE1E4"/>
    <w:rsid w:val="02CC350A"/>
    <w:rsid w:val="02CCB4CE"/>
    <w:rsid w:val="02CCB5B3"/>
    <w:rsid w:val="02CCBCE7"/>
    <w:rsid w:val="02CD43CE"/>
    <w:rsid w:val="02CD7703"/>
    <w:rsid w:val="02D0BF26"/>
    <w:rsid w:val="02D0DA3B"/>
    <w:rsid w:val="02D13852"/>
    <w:rsid w:val="02D1816A"/>
    <w:rsid w:val="02D21E70"/>
    <w:rsid w:val="02D321F2"/>
    <w:rsid w:val="02D36EF7"/>
    <w:rsid w:val="02D397B1"/>
    <w:rsid w:val="02D3C3A7"/>
    <w:rsid w:val="02D3CE24"/>
    <w:rsid w:val="02D4E6E6"/>
    <w:rsid w:val="02D52CC5"/>
    <w:rsid w:val="02D53597"/>
    <w:rsid w:val="02D55D06"/>
    <w:rsid w:val="02D57845"/>
    <w:rsid w:val="02D5B393"/>
    <w:rsid w:val="02D5BD6F"/>
    <w:rsid w:val="02D62C03"/>
    <w:rsid w:val="02D6BABD"/>
    <w:rsid w:val="02D74E27"/>
    <w:rsid w:val="02D9B260"/>
    <w:rsid w:val="02DC7012"/>
    <w:rsid w:val="02DCB335"/>
    <w:rsid w:val="02DCE1C0"/>
    <w:rsid w:val="02DCF310"/>
    <w:rsid w:val="02DDF445"/>
    <w:rsid w:val="02DE0E67"/>
    <w:rsid w:val="02DE5DBD"/>
    <w:rsid w:val="02DEB129"/>
    <w:rsid w:val="02DF9E10"/>
    <w:rsid w:val="02E016D5"/>
    <w:rsid w:val="02E0607D"/>
    <w:rsid w:val="02E08870"/>
    <w:rsid w:val="02E0FA5D"/>
    <w:rsid w:val="02E131B6"/>
    <w:rsid w:val="02E14A43"/>
    <w:rsid w:val="02E17A5C"/>
    <w:rsid w:val="02E1C2B6"/>
    <w:rsid w:val="02E1E440"/>
    <w:rsid w:val="02E1FB2F"/>
    <w:rsid w:val="02E52C1D"/>
    <w:rsid w:val="02E55F0F"/>
    <w:rsid w:val="02E5B7B7"/>
    <w:rsid w:val="02E60530"/>
    <w:rsid w:val="02E60D15"/>
    <w:rsid w:val="02E662C8"/>
    <w:rsid w:val="02E788C2"/>
    <w:rsid w:val="02E96636"/>
    <w:rsid w:val="02EA525F"/>
    <w:rsid w:val="02EAA3DB"/>
    <w:rsid w:val="02EBA62A"/>
    <w:rsid w:val="02EBE39B"/>
    <w:rsid w:val="02EBE457"/>
    <w:rsid w:val="02EC2F46"/>
    <w:rsid w:val="02ECDC5A"/>
    <w:rsid w:val="02ED7F12"/>
    <w:rsid w:val="02EE558B"/>
    <w:rsid w:val="02EF03A9"/>
    <w:rsid w:val="02EFAC65"/>
    <w:rsid w:val="02EFC14D"/>
    <w:rsid w:val="02F01A74"/>
    <w:rsid w:val="02F17384"/>
    <w:rsid w:val="02F1758E"/>
    <w:rsid w:val="02F2384E"/>
    <w:rsid w:val="02F28479"/>
    <w:rsid w:val="02F2AA58"/>
    <w:rsid w:val="02F40412"/>
    <w:rsid w:val="02F42E5A"/>
    <w:rsid w:val="02F58FE6"/>
    <w:rsid w:val="02F70492"/>
    <w:rsid w:val="02F83082"/>
    <w:rsid w:val="02F842B0"/>
    <w:rsid w:val="02F84B43"/>
    <w:rsid w:val="02F87FE3"/>
    <w:rsid w:val="02F9B371"/>
    <w:rsid w:val="02FAB8A3"/>
    <w:rsid w:val="02FAE51D"/>
    <w:rsid w:val="02FB0EE9"/>
    <w:rsid w:val="02FB215E"/>
    <w:rsid w:val="02FB3866"/>
    <w:rsid w:val="02FB6BA4"/>
    <w:rsid w:val="02FBED6C"/>
    <w:rsid w:val="02FC5845"/>
    <w:rsid w:val="02FD486A"/>
    <w:rsid w:val="02FF81AF"/>
    <w:rsid w:val="03000263"/>
    <w:rsid w:val="03005630"/>
    <w:rsid w:val="0300F4E1"/>
    <w:rsid w:val="03014BD0"/>
    <w:rsid w:val="03019D36"/>
    <w:rsid w:val="0302062D"/>
    <w:rsid w:val="03022972"/>
    <w:rsid w:val="0302490F"/>
    <w:rsid w:val="0302F0A6"/>
    <w:rsid w:val="0302F8FB"/>
    <w:rsid w:val="03044C3C"/>
    <w:rsid w:val="03047C30"/>
    <w:rsid w:val="03050A32"/>
    <w:rsid w:val="03057984"/>
    <w:rsid w:val="03066C37"/>
    <w:rsid w:val="0306B19A"/>
    <w:rsid w:val="0308641E"/>
    <w:rsid w:val="0308C736"/>
    <w:rsid w:val="0308CD66"/>
    <w:rsid w:val="0309020F"/>
    <w:rsid w:val="03093AAB"/>
    <w:rsid w:val="03099C0E"/>
    <w:rsid w:val="0309CBB4"/>
    <w:rsid w:val="030A297E"/>
    <w:rsid w:val="030A49B9"/>
    <w:rsid w:val="030A8777"/>
    <w:rsid w:val="030BD3C4"/>
    <w:rsid w:val="030E67E5"/>
    <w:rsid w:val="030E8B8C"/>
    <w:rsid w:val="030EB2F0"/>
    <w:rsid w:val="030F49F0"/>
    <w:rsid w:val="030F53B0"/>
    <w:rsid w:val="03100335"/>
    <w:rsid w:val="031078CA"/>
    <w:rsid w:val="0310FC72"/>
    <w:rsid w:val="03110344"/>
    <w:rsid w:val="0311897C"/>
    <w:rsid w:val="0311AAF5"/>
    <w:rsid w:val="0311B683"/>
    <w:rsid w:val="03120DD4"/>
    <w:rsid w:val="0312A85F"/>
    <w:rsid w:val="03134633"/>
    <w:rsid w:val="0313BAF0"/>
    <w:rsid w:val="031495D8"/>
    <w:rsid w:val="03156B95"/>
    <w:rsid w:val="031578A5"/>
    <w:rsid w:val="031744FA"/>
    <w:rsid w:val="03178889"/>
    <w:rsid w:val="0317D1FF"/>
    <w:rsid w:val="031851C9"/>
    <w:rsid w:val="0318AFE5"/>
    <w:rsid w:val="0318D25E"/>
    <w:rsid w:val="031A0546"/>
    <w:rsid w:val="031A48DA"/>
    <w:rsid w:val="031B7939"/>
    <w:rsid w:val="031C0124"/>
    <w:rsid w:val="031DC7F2"/>
    <w:rsid w:val="031F1E68"/>
    <w:rsid w:val="0320126C"/>
    <w:rsid w:val="03201C98"/>
    <w:rsid w:val="032077F2"/>
    <w:rsid w:val="03222400"/>
    <w:rsid w:val="03223A2D"/>
    <w:rsid w:val="03227126"/>
    <w:rsid w:val="0323F82C"/>
    <w:rsid w:val="0324565B"/>
    <w:rsid w:val="0324746A"/>
    <w:rsid w:val="032544E9"/>
    <w:rsid w:val="0325C106"/>
    <w:rsid w:val="0325FC45"/>
    <w:rsid w:val="03268475"/>
    <w:rsid w:val="0326CA62"/>
    <w:rsid w:val="0327595F"/>
    <w:rsid w:val="0327D6F9"/>
    <w:rsid w:val="0328B34C"/>
    <w:rsid w:val="032A871B"/>
    <w:rsid w:val="032B4723"/>
    <w:rsid w:val="032BF6E4"/>
    <w:rsid w:val="032C3474"/>
    <w:rsid w:val="032DA319"/>
    <w:rsid w:val="032DAE1A"/>
    <w:rsid w:val="032E1B48"/>
    <w:rsid w:val="032F0E99"/>
    <w:rsid w:val="032F1767"/>
    <w:rsid w:val="033000E9"/>
    <w:rsid w:val="033020ED"/>
    <w:rsid w:val="0330D5A4"/>
    <w:rsid w:val="03312038"/>
    <w:rsid w:val="03315E6B"/>
    <w:rsid w:val="03335B9E"/>
    <w:rsid w:val="0334307D"/>
    <w:rsid w:val="0334E394"/>
    <w:rsid w:val="0334F684"/>
    <w:rsid w:val="03359E4C"/>
    <w:rsid w:val="0335B5FB"/>
    <w:rsid w:val="033606E9"/>
    <w:rsid w:val="0336E574"/>
    <w:rsid w:val="0337760A"/>
    <w:rsid w:val="0338C32F"/>
    <w:rsid w:val="03399176"/>
    <w:rsid w:val="03399EDB"/>
    <w:rsid w:val="0339C24D"/>
    <w:rsid w:val="033A7E73"/>
    <w:rsid w:val="033AD884"/>
    <w:rsid w:val="033AF341"/>
    <w:rsid w:val="033B9B19"/>
    <w:rsid w:val="033C8630"/>
    <w:rsid w:val="033CD39A"/>
    <w:rsid w:val="033DC852"/>
    <w:rsid w:val="033DDA8D"/>
    <w:rsid w:val="033E230B"/>
    <w:rsid w:val="033E3934"/>
    <w:rsid w:val="033E62A9"/>
    <w:rsid w:val="033EF100"/>
    <w:rsid w:val="033F1636"/>
    <w:rsid w:val="033F25E9"/>
    <w:rsid w:val="033FAF59"/>
    <w:rsid w:val="033FE264"/>
    <w:rsid w:val="034088AF"/>
    <w:rsid w:val="03409A48"/>
    <w:rsid w:val="0340B084"/>
    <w:rsid w:val="0340F5F1"/>
    <w:rsid w:val="034161AE"/>
    <w:rsid w:val="0341886A"/>
    <w:rsid w:val="0342325D"/>
    <w:rsid w:val="0342F644"/>
    <w:rsid w:val="034308C8"/>
    <w:rsid w:val="03447675"/>
    <w:rsid w:val="0344FB55"/>
    <w:rsid w:val="03451392"/>
    <w:rsid w:val="034554CA"/>
    <w:rsid w:val="0346CA06"/>
    <w:rsid w:val="0346DADF"/>
    <w:rsid w:val="0346FD4B"/>
    <w:rsid w:val="03472A91"/>
    <w:rsid w:val="0347FCFA"/>
    <w:rsid w:val="0348C8C8"/>
    <w:rsid w:val="0348DEE7"/>
    <w:rsid w:val="0348EE6E"/>
    <w:rsid w:val="03491802"/>
    <w:rsid w:val="03493508"/>
    <w:rsid w:val="034A6D52"/>
    <w:rsid w:val="034A9B66"/>
    <w:rsid w:val="034AB661"/>
    <w:rsid w:val="034BD4C1"/>
    <w:rsid w:val="034CDDC6"/>
    <w:rsid w:val="034D184E"/>
    <w:rsid w:val="034F586C"/>
    <w:rsid w:val="03501524"/>
    <w:rsid w:val="0350EACA"/>
    <w:rsid w:val="0351B0C3"/>
    <w:rsid w:val="0351E402"/>
    <w:rsid w:val="03526225"/>
    <w:rsid w:val="0352D06C"/>
    <w:rsid w:val="0353C4C4"/>
    <w:rsid w:val="035412FB"/>
    <w:rsid w:val="0354CB5B"/>
    <w:rsid w:val="03550C4B"/>
    <w:rsid w:val="03556A8C"/>
    <w:rsid w:val="03565427"/>
    <w:rsid w:val="03568B8E"/>
    <w:rsid w:val="03569526"/>
    <w:rsid w:val="035704B4"/>
    <w:rsid w:val="0357914B"/>
    <w:rsid w:val="03579E46"/>
    <w:rsid w:val="03582515"/>
    <w:rsid w:val="03593474"/>
    <w:rsid w:val="035A7D73"/>
    <w:rsid w:val="035BE4F3"/>
    <w:rsid w:val="035C80B0"/>
    <w:rsid w:val="035D564D"/>
    <w:rsid w:val="035D8291"/>
    <w:rsid w:val="035E3E6A"/>
    <w:rsid w:val="035F44A6"/>
    <w:rsid w:val="035F6B26"/>
    <w:rsid w:val="036068B2"/>
    <w:rsid w:val="0360911C"/>
    <w:rsid w:val="03621267"/>
    <w:rsid w:val="0362BFE6"/>
    <w:rsid w:val="036321E2"/>
    <w:rsid w:val="036335DC"/>
    <w:rsid w:val="03633977"/>
    <w:rsid w:val="03635A94"/>
    <w:rsid w:val="03636E69"/>
    <w:rsid w:val="0363CB52"/>
    <w:rsid w:val="0364130A"/>
    <w:rsid w:val="03641CEF"/>
    <w:rsid w:val="03653AD8"/>
    <w:rsid w:val="036565EF"/>
    <w:rsid w:val="03659A98"/>
    <w:rsid w:val="036605A6"/>
    <w:rsid w:val="0366DF4C"/>
    <w:rsid w:val="036756B4"/>
    <w:rsid w:val="0367CD84"/>
    <w:rsid w:val="036936FE"/>
    <w:rsid w:val="03693AE1"/>
    <w:rsid w:val="03697002"/>
    <w:rsid w:val="036A61E7"/>
    <w:rsid w:val="036A848A"/>
    <w:rsid w:val="036AA123"/>
    <w:rsid w:val="036AF794"/>
    <w:rsid w:val="036C15E3"/>
    <w:rsid w:val="036D4F61"/>
    <w:rsid w:val="036DA362"/>
    <w:rsid w:val="036E946C"/>
    <w:rsid w:val="036EAA30"/>
    <w:rsid w:val="036EADE2"/>
    <w:rsid w:val="036EDCB1"/>
    <w:rsid w:val="036F4460"/>
    <w:rsid w:val="03716A56"/>
    <w:rsid w:val="0372635A"/>
    <w:rsid w:val="037284E7"/>
    <w:rsid w:val="0373F35A"/>
    <w:rsid w:val="03741446"/>
    <w:rsid w:val="037482D2"/>
    <w:rsid w:val="0374BF72"/>
    <w:rsid w:val="03753137"/>
    <w:rsid w:val="03756D78"/>
    <w:rsid w:val="0375F7FD"/>
    <w:rsid w:val="037652D9"/>
    <w:rsid w:val="03770C8B"/>
    <w:rsid w:val="03779B4F"/>
    <w:rsid w:val="0377EF37"/>
    <w:rsid w:val="03783170"/>
    <w:rsid w:val="03796A44"/>
    <w:rsid w:val="037A6957"/>
    <w:rsid w:val="037A6D14"/>
    <w:rsid w:val="037A89F6"/>
    <w:rsid w:val="037ADF1D"/>
    <w:rsid w:val="037BD1F2"/>
    <w:rsid w:val="037C2E0E"/>
    <w:rsid w:val="037C6B16"/>
    <w:rsid w:val="037CAC8D"/>
    <w:rsid w:val="037D622C"/>
    <w:rsid w:val="037DF612"/>
    <w:rsid w:val="037E9D88"/>
    <w:rsid w:val="037EB00C"/>
    <w:rsid w:val="037EF42C"/>
    <w:rsid w:val="037F13A0"/>
    <w:rsid w:val="037F572F"/>
    <w:rsid w:val="037F7806"/>
    <w:rsid w:val="03804751"/>
    <w:rsid w:val="0380971A"/>
    <w:rsid w:val="0380C9F6"/>
    <w:rsid w:val="038123D3"/>
    <w:rsid w:val="0381B974"/>
    <w:rsid w:val="0381D79F"/>
    <w:rsid w:val="0382B55B"/>
    <w:rsid w:val="038341A6"/>
    <w:rsid w:val="03839C25"/>
    <w:rsid w:val="0384723F"/>
    <w:rsid w:val="03847C8C"/>
    <w:rsid w:val="03856C80"/>
    <w:rsid w:val="0387199F"/>
    <w:rsid w:val="03875E36"/>
    <w:rsid w:val="03876910"/>
    <w:rsid w:val="0387B1F2"/>
    <w:rsid w:val="03889F21"/>
    <w:rsid w:val="0388C130"/>
    <w:rsid w:val="03890AC5"/>
    <w:rsid w:val="03891BC5"/>
    <w:rsid w:val="038971AC"/>
    <w:rsid w:val="0389EA37"/>
    <w:rsid w:val="0389F97C"/>
    <w:rsid w:val="038A3A4A"/>
    <w:rsid w:val="038B0EA3"/>
    <w:rsid w:val="038B3F8D"/>
    <w:rsid w:val="038BBB13"/>
    <w:rsid w:val="038C51C6"/>
    <w:rsid w:val="038C56EC"/>
    <w:rsid w:val="038D55C0"/>
    <w:rsid w:val="038D576B"/>
    <w:rsid w:val="038DA2C5"/>
    <w:rsid w:val="039056EF"/>
    <w:rsid w:val="039088CB"/>
    <w:rsid w:val="0390B448"/>
    <w:rsid w:val="0390D8FB"/>
    <w:rsid w:val="0390E06D"/>
    <w:rsid w:val="0390F966"/>
    <w:rsid w:val="03915E18"/>
    <w:rsid w:val="0391700B"/>
    <w:rsid w:val="0391C0C0"/>
    <w:rsid w:val="03929738"/>
    <w:rsid w:val="0392B43C"/>
    <w:rsid w:val="0392CFCB"/>
    <w:rsid w:val="0392E3F6"/>
    <w:rsid w:val="0393181B"/>
    <w:rsid w:val="0393AF53"/>
    <w:rsid w:val="0393F782"/>
    <w:rsid w:val="0394469F"/>
    <w:rsid w:val="03950BA7"/>
    <w:rsid w:val="0395C0BB"/>
    <w:rsid w:val="039630C5"/>
    <w:rsid w:val="0396E7D7"/>
    <w:rsid w:val="0398064A"/>
    <w:rsid w:val="0398B00C"/>
    <w:rsid w:val="0399123D"/>
    <w:rsid w:val="039914FF"/>
    <w:rsid w:val="0399C4D0"/>
    <w:rsid w:val="0399C8FD"/>
    <w:rsid w:val="039A2EA6"/>
    <w:rsid w:val="039A9C38"/>
    <w:rsid w:val="039AD06B"/>
    <w:rsid w:val="039BA0AD"/>
    <w:rsid w:val="039BC81C"/>
    <w:rsid w:val="039D2738"/>
    <w:rsid w:val="039D3D26"/>
    <w:rsid w:val="039EAE34"/>
    <w:rsid w:val="039ED59B"/>
    <w:rsid w:val="03A04482"/>
    <w:rsid w:val="03A065E9"/>
    <w:rsid w:val="03A0BFB5"/>
    <w:rsid w:val="03A13DE9"/>
    <w:rsid w:val="03A1E17D"/>
    <w:rsid w:val="03A1FF1D"/>
    <w:rsid w:val="03A22720"/>
    <w:rsid w:val="03A27F6D"/>
    <w:rsid w:val="03A3F31C"/>
    <w:rsid w:val="03A48F7E"/>
    <w:rsid w:val="03A4D2BC"/>
    <w:rsid w:val="03A510EA"/>
    <w:rsid w:val="03A54A75"/>
    <w:rsid w:val="03A54CD1"/>
    <w:rsid w:val="03A56640"/>
    <w:rsid w:val="03A56DEF"/>
    <w:rsid w:val="03A62DAF"/>
    <w:rsid w:val="03A77C3B"/>
    <w:rsid w:val="03A7B3B5"/>
    <w:rsid w:val="03A8B614"/>
    <w:rsid w:val="03A91F07"/>
    <w:rsid w:val="03AAC856"/>
    <w:rsid w:val="03ABC76B"/>
    <w:rsid w:val="03ABE6A3"/>
    <w:rsid w:val="03AC19A9"/>
    <w:rsid w:val="03ACCE3E"/>
    <w:rsid w:val="03ACCFB1"/>
    <w:rsid w:val="03AD0A20"/>
    <w:rsid w:val="03ADE852"/>
    <w:rsid w:val="03ADEC67"/>
    <w:rsid w:val="03AEBDE7"/>
    <w:rsid w:val="03AED547"/>
    <w:rsid w:val="03AF7D29"/>
    <w:rsid w:val="03AF8745"/>
    <w:rsid w:val="03AF93FE"/>
    <w:rsid w:val="03B02E26"/>
    <w:rsid w:val="03B02FB0"/>
    <w:rsid w:val="03B1C9F6"/>
    <w:rsid w:val="03B211A5"/>
    <w:rsid w:val="03B3BD85"/>
    <w:rsid w:val="03B3F6D2"/>
    <w:rsid w:val="03B43E9B"/>
    <w:rsid w:val="03B5233A"/>
    <w:rsid w:val="03B5A033"/>
    <w:rsid w:val="03B5EAB1"/>
    <w:rsid w:val="03B6C56E"/>
    <w:rsid w:val="03B79346"/>
    <w:rsid w:val="03B794F5"/>
    <w:rsid w:val="03B7E85F"/>
    <w:rsid w:val="03B89416"/>
    <w:rsid w:val="03B922CE"/>
    <w:rsid w:val="03B94373"/>
    <w:rsid w:val="03B9800B"/>
    <w:rsid w:val="03B996CF"/>
    <w:rsid w:val="03BB3EC3"/>
    <w:rsid w:val="03BB612A"/>
    <w:rsid w:val="03BB74A9"/>
    <w:rsid w:val="03BBEC0D"/>
    <w:rsid w:val="03BC8013"/>
    <w:rsid w:val="03BCA6F2"/>
    <w:rsid w:val="03BCF0B1"/>
    <w:rsid w:val="03BD1F87"/>
    <w:rsid w:val="03BEB23C"/>
    <w:rsid w:val="03BF2554"/>
    <w:rsid w:val="03BFE27F"/>
    <w:rsid w:val="03C07F05"/>
    <w:rsid w:val="03C11CA9"/>
    <w:rsid w:val="03C263EC"/>
    <w:rsid w:val="03C27D77"/>
    <w:rsid w:val="03C3EC30"/>
    <w:rsid w:val="03C4F0B0"/>
    <w:rsid w:val="03C65649"/>
    <w:rsid w:val="03C749B2"/>
    <w:rsid w:val="03C80020"/>
    <w:rsid w:val="03C851B3"/>
    <w:rsid w:val="03C88FAE"/>
    <w:rsid w:val="03CA8964"/>
    <w:rsid w:val="03CAD13E"/>
    <w:rsid w:val="03CB3045"/>
    <w:rsid w:val="03CB60B2"/>
    <w:rsid w:val="03CD8A62"/>
    <w:rsid w:val="03CE6A0E"/>
    <w:rsid w:val="03CEDFCA"/>
    <w:rsid w:val="03CEF18B"/>
    <w:rsid w:val="03CF11A4"/>
    <w:rsid w:val="03CF1B44"/>
    <w:rsid w:val="03CF7D73"/>
    <w:rsid w:val="03CFBC94"/>
    <w:rsid w:val="03D01315"/>
    <w:rsid w:val="03D01ABB"/>
    <w:rsid w:val="03D14F87"/>
    <w:rsid w:val="03D1AAE5"/>
    <w:rsid w:val="03D1AC41"/>
    <w:rsid w:val="03D1C1AA"/>
    <w:rsid w:val="03D2881D"/>
    <w:rsid w:val="03D2938F"/>
    <w:rsid w:val="03D3928C"/>
    <w:rsid w:val="03D398EA"/>
    <w:rsid w:val="03D3C875"/>
    <w:rsid w:val="03D428F0"/>
    <w:rsid w:val="03D592E4"/>
    <w:rsid w:val="03D62F6B"/>
    <w:rsid w:val="03D66D75"/>
    <w:rsid w:val="03D7155B"/>
    <w:rsid w:val="03D71EAB"/>
    <w:rsid w:val="03D7F1D0"/>
    <w:rsid w:val="03D8AFD6"/>
    <w:rsid w:val="03D8D1D2"/>
    <w:rsid w:val="03D9499A"/>
    <w:rsid w:val="03D97080"/>
    <w:rsid w:val="03D97809"/>
    <w:rsid w:val="03DB10B5"/>
    <w:rsid w:val="03DB1E72"/>
    <w:rsid w:val="03DB612C"/>
    <w:rsid w:val="03DB7C41"/>
    <w:rsid w:val="03DB8E8F"/>
    <w:rsid w:val="03DC978A"/>
    <w:rsid w:val="03DD0A58"/>
    <w:rsid w:val="03DEE589"/>
    <w:rsid w:val="03DF5339"/>
    <w:rsid w:val="03E026A2"/>
    <w:rsid w:val="03E02B66"/>
    <w:rsid w:val="03E03085"/>
    <w:rsid w:val="03E0E945"/>
    <w:rsid w:val="03E1C335"/>
    <w:rsid w:val="03E25021"/>
    <w:rsid w:val="03E30B13"/>
    <w:rsid w:val="03E32909"/>
    <w:rsid w:val="03E3B4D1"/>
    <w:rsid w:val="03E3D6A1"/>
    <w:rsid w:val="03E449C2"/>
    <w:rsid w:val="03E516C9"/>
    <w:rsid w:val="03E51FA4"/>
    <w:rsid w:val="03E54D66"/>
    <w:rsid w:val="03E6B3F7"/>
    <w:rsid w:val="03E6D1AB"/>
    <w:rsid w:val="03E6E6DE"/>
    <w:rsid w:val="03E7F21C"/>
    <w:rsid w:val="03E81A82"/>
    <w:rsid w:val="03E87AD5"/>
    <w:rsid w:val="03E975A3"/>
    <w:rsid w:val="03E9EA38"/>
    <w:rsid w:val="03EB0C5F"/>
    <w:rsid w:val="03EB483B"/>
    <w:rsid w:val="03EB864E"/>
    <w:rsid w:val="03EC8CD1"/>
    <w:rsid w:val="03ECC058"/>
    <w:rsid w:val="03ECCF22"/>
    <w:rsid w:val="03ED3681"/>
    <w:rsid w:val="03ED8867"/>
    <w:rsid w:val="03EDA264"/>
    <w:rsid w:val="03EDAE26"/>
    <w:rsid w:val="03EDF44F"/>
    <w:rsid w:val="03EE5450"/>
    <w:rsid w:val="03EEFF1C"/>
    <w:rsid w:val="03EF2FD9"/>
    <w:rsid w:val="03EFF4B0"/>
    <w:rsid w:val="03F04B9A"/>
    <w:rsid w:val="03F0BBF9"/>
    <w:rsid w:val="03F10919"/>
    <w:rsid w:val="03F1BC39"/>
    <w:rsid w:val="03F29183"/>
    <w:rsid w:val="03F2BDD0"/>
    <w:rsid w:val="03F319C6"/>
    <w:rsid w:val="03F396B0"/>
    <w:rsid w:val="03F4451B"/>
    <w:rsid w:val="03F48078"/>
    <w:rsid w:val="03F4A472"/>
    <w:rsid w:val="03F56334"/>
    <w:rsid w:val="03F64854"/>
    <w:rsid w:val="03F6EA8B"/>
    <w:rsid w:val="03F6EC33"/>
    <w:rsid w:val="03F7C3F8"/>
    <w:rsid w:val="03F7FE90"/>
    <w:rsid w:val="03F83010"/>
    <w:rsid w:val="03F8CECC"/>
    <w:rsid w:val="03F91453"/>
    <w:rsid w:val="03F9796C"/>
    <w:rsid w:val="03F992E3"/>
    <w:rsid w:val="03FB23D9"/>
    <w:rsid w:val="03FC1BCE"/>
    <w:rsid w:val="03FC4C75"/>
    <w:rsid w:val="03FD83B0"/>
    <w:rsid w:val="03FDAB35"/>
    <w:rsid w:val="03FE975B"/>
    <w:rsid w:val="03FF9F76"/>
    <w:rsid w:val="03FFE275"/>
    <w:rsid w:val="03FFF8B6"/>
    <w:rsid w:val="04009459"/>
    <w:rsid w:val="0400BBB9"/>
    <w:rsid w:val="0401FD73"/>
    <w:rsid w:val="04024246"/>
    <w:rsid w:val="04030F60"/>
    <w:rsid w:val="0403CFD3"/>
    <w:rsid w:val="04044503"/>
    <w:rsid w:val="040466FF"/>
    <w:rsid w:val="0404A5EF"/>
    <w:rsid w:val="0404D73F"/>
    <w:rsid w:val="0404D7C8"/>
    <w:rsid w:val="04060B6B"/>
    <w:rsid w:val="04071693"/>
    <w:rsid w:val="04072E71"/>
    <w:rsid w:val="040772E8"/>
    <w:rsid w:val="0407BE3D"/>
    <w:rsid w:val="0407C0E1"/>
    <w:rsid w:val="0407C8FC"/>
    <w:rsid w:val="040817F3"/>
    <w:rsid w:val="0408522F"/>
    <w:rsid w:val="0408CE40"/>
    <w:rsid w:val="0409966D"/>
    <w:rsid w:val="040A5813"/>
    <w:rsid w:val="040A9D79"/>
    <w:rsid w:val="040B07F9"/>
    <w:rsid w:val="040B2CA4"/>
    <w:rsid w:val="040BE16A"/>
    <w:rsid w:val="040C9A14"/>
    <w:rsid w:val="040CCFCF"/>
    <w:rsid w:val="040CFF73"/>
    <w:rsid w:val="040D44A5"/>
    <w:rsid w:val="040FE586"/>
    <w:rsid w:val="0410E99E"/>
    <w:rsid w:val="0411C5DE"/>
    <w:rsid w:val="04122925"/>
    <w:rsid w:val="041263FC"/>
    <w:rsid w:val="0412B82F"/>
    <w:rsid w:val="04138649"/>
    <w:rsid w:val="041492A2"/>
    <w:rsid w:val="0414FA77"/>
    <w:rsid w:val="0415558E"/>
    <w:rsid w:val="04155964"/>
    <w:rsid w:val="0415EA03"/>
    <w:rsid w:val="0416B8B5"/>
    <w:rsid w:val="0417393C"/>
    <w:rsid w:val="04182E1D"/>
    <w:rsid w:val="04183E73"/>
    <w:rsid w:val="0418AC49"/>
    <w:rsid w:val="0419304E"/>
    <w:rsid w:val="04195FC3"/>
    <w:rsid w:val="041A364A"/>
    <w:rsid w:val="041ACAD3"/>
    <w:rsid w:val="041AD5C7"/>
    <w:rsid w:val="041BF199"/>
    <w:rsid w:val="041C0606"/>
    <w:rsid w:val="041C4F16"/>
    <w:rsid w:val="041C807C"/>
    <w:rsid w:val="041D0DF6"/>
    <w:rsid w:val="041DBDBA"/>
    <w:rsid w:val="041DC108"/>
    <w:rsid w:val="041DFFF9"/>
    <w:rsid w:val="041E0F29"/>
    <w:rsid w:val="041E3DDE"/>
    <w:rsid w:val="041EEB3C"/>
    <w:rsid w:val="041F2B40"/>
    <w:rsid w:val="041F683E"/>
    <w:rsid w:val="041F906F"/>
    <w:rsid w:val="041FAD14"/>
    <w:rsid w:val="041FD2EE"/>
    <w:rsid w:val="041FDD6D"/>
    <w:rsid w:val="042077A5"/>
    <w:rsid w:val="04211588"/>
    <w:rsid w:val="042181C6"/>
    <w:rsid w:val="04220167"/>
    <w:rsid w:val="04220AED"/>
    <w:rsid w:val="0422BC3E"/>
    <w:rsid w:val="0423D4B5"/>
    <w:rsid w:val="0424E687"/>
    <w:rsid w:val="0425213E"/>
    <w:rsid w:val="04258A2D"/>
    <w:rsid w:val="0425C173"/>
    <w:rsid w:val="0425EDF5"/>
    <w:rsid w:val="0426A7A6"/>
    <w:rsid w:val="0426AF35"/>
    <w:rsid w:val="0426C75B"/>
    <w:rsid w:val="042A2AFB"/>
    <w:rsid w:val="042ABCF8"/>
    <w:rsid w:val="042AEFFF"/>
    <w:rsid w:val="042B1894"/>
    <w:rsid w:val="042B3E47"/>
    <w:rsid w:val="042BC8C4"/>
    <w:rsid w:val="042C6490"/>
    <w:rsid w:val="042CD681"/>
    <w:rsid w:val="042DBE47"/>
    <w:rsid w:val="042DDE9A"/>
    <w:rsid w:val="042F7E8A"/>
    <w:rsid w:val="042FC825"/>
    <w:rsid w:val="0430A760"/>
    <w:rsid w:val="0430BE40"/>
    <w:rsid w:val="0431394E"/>
    <w:rsid w:val="0431661E"/>
    <w:rsid w:val="0432E494"/>
    <w:rsid w:val="04331B33"/>
    <w:rsid w:val="04339B84"/>
    <w:rsid w:val="04347782"/>
    <w:rsid w:val="0434779C"/>
    <w:rsid w:val="0435944C"/>
    <w:rsid w:val="0435A7A9"/>
    <w:rsid w:val="04369448"/>
    <w:rsid w:val="043746E4"/>
    <w:rsid w:val="043838D5"/>
    <w:rsid w:val="0438F6BE"/>
    <w:rsid w:val="04390065"/>
    <w:rsid w:val="04392703"/>
    <w:rsid w:val="04397A02"/>
    <w:rsid w:val="0439BDDE"/>
    <w:rsid w:val="0439ED6F"/>
    <w:rsid w:val="043A7226"/>
    <w:rsid w:val="043B147F"/>
    <w:rsid w:val="043B84FF"/>
    <w:rsid w:val="043DE39A"/>
    <w:rsid w:val="043F47C3"/>
    <w:rsid w:val="043FCF0B"/>
    <w:rsid w:val="043FFEB6"/>
    <w:rsid w:val="044005EC"/>
    <w:rsid w:val="04416956"/>
    <w:rsid w:val="04433035"/>
    <w:rsid w:val="04434D4E"/>
    <w:rsid w:val="04438862"/>
    <w:rsid w:val="04439D94"/>
    <w:rsid w:val="0443D6DB"/>
    <w:rsid w:val="04440330"/>
    <w:rsid w:val="04443AAC"/>
    <w:rsid w:val="04451851"/>
    <w:rsid w:val="044519D7"/>
    <w:rsid w:val="04451F8D"/>
    <w:rsid w:val="0445A8FC"/>
    <w:rsid w:val="0445BEE6"/>
    <w:rsid w:val="044632A3"/>
    <w:rsid w:val="04465BCA"/>
    <w:rsid w:val="044781DF"/>
    <w:rsid w:val="04489599"/>
    <w:rsid w:val="0448A40D"/>
    <w:rsid w:val="0448A854"/>
    <w:rsid w:val="044A2390"/>
    <w:rsid w:val="044AC29C"/>
    <w:rsid w:val="044AC5FF"/>
    <w:rsid w:val="044BF04A"/>
    <w:rsid w:val="044C8CE7"/>
    <w:rsid w:val="044C9634"/>
    <w:rsid w:val="044D36AF"/>
    <w:rsid w:val="044D962C"/>
    <w:rsid w:val="044DA600"/>
    <w:rsid w:val="044DE29E"/>
    <w:rsid w:val="044E0214"/>
    <w:rsid w:val="044E2D35"/>
    <w:rsid w:val="044EBBF6"/>
    <w:rsid w:val="044F6CEF"/>
    <w:rsid w:val="044FDF07"/>
    <w:rsid w:val="04504FED"/>
    <w:rsid w:val="04505CA5"/>
    <w:rsid w:val="04506579"/>
    <w:rsid w:val="04508515"/>
    <w:rsid w:val="045088F0"/>
    <w:rsid w:val="0451490C"/>
    <w:rsid w:val="04517BF4"/>
    <w:rsid w:val="04529A74"/>
    <w:rsid w:val="0452B2D3"/>
    <w:rsid w:val="0452D1CF"/>
    <w:rsid w:val="04530EFA"/>
    <w:rsid w:val="045336EA"/>
    <w:rsid w:val="0453599C"/>
    <w:rsid w:val="04536133"/>
    <w:rsid w:val="04548EF4"/>
    <w:rsid w:val="0454D8B5"/>
    <w:rsid w:val="0454E983"/>
    <w:rsid w:val="0455269B"/>
    <w:rsid w:val="045559C0"/>
    <w:rsid w:val="04558033"/>
    <w:rsid w:val="0455A896"/>
    <w:rsid w:val="0455A94C"/>
    <w:rsid w:val="045678C0"/>
    <w:rsid w:val="0456EC9A"/>
    <w:rsid w:val="04571786"/>
    <w:rsid w:val="045761F8"/>
    <w:rsid w:val="0457831D"/>
    <w:rsid w:val="04590E8A"/>
    <w:rsid w:val="04593258"/>
    <w:rsid w:val="045989DE"/>
    <w:rsid w:val="0459CC70"/>
    <w:rsid w:val="0459D162"/>
    <w:rsid w:val="0459EC70"/>
    <w:rsid w:val="045A31D7"/>
    <w:rsid w:val="045B78E0"/>
    <w:rsid w:val="045C0E50"/>
    <w:rsid w:val="045C7E1E"/>
    <w:rsid w:val="045D9921"/>
    <w:rsid w:val="045E21B4"/>
    <w:rsid w:val="045F1B60"/>
    <w:rsid w:val="045FA84E"/>
    <w:rsid w:val="045FDD1E"/>
    <w:rsid w:val="045FFFEE"/>
    <w:rsid w:val="04600E8B"/>
    <w:rsid w:val="04608534"/>
    <w:rsid w:val="04609625"/>
    <w:rsid w:val="04609D47"/>
    <w:rsid w:val="046166DB"/>
    <w:rsid w:val="0461B3C9"/>
    <w:rsid w:val="0462067A"/>
    <w:rsid w:val="04620EDD"/>
    <w:rsid w:val="0462A2AD"/>
    <w:rsid w:val="0463252B"/>
    <w:rsid w:val="04632E69"/>
    <w:rsid w:val="04635D71"/>
    <w:rsid w:val="0463D415"/>
    <w:rsid w:val="0464F30C"/>
    <w:rsid w:val="04652F26"/>
    <w:rsid w:val="04657685"/>
    <w:rsid w:val="0465BE29"/>
    <w:rsid w:val="0465CAB3"/>
    <w:rsid w:val="0465F698"/>
    <w:rsid w:val="04673D3C"/>
    <w:rsid w:val="04675DD1"/>
    <w:rsid w:val="04676E00"/>
    <w:rsid w:val="046772E9"/>
    <w:rsid w:val="0467C0CF"/>
    <w:rsid w:val="046833AF"/>
    <w:rsid w:val="0468D06C"/>
    <w:rsid w:val="0468D1AA"/>
    <w:rsid w:val="04697B10"/>
    <w:rsid w:val="046A2833"/>
    <w:rsid w:val="046A6139"/>
    <w:rsid w:val="046B5342"/>
    <w:rsid w:val="046BFDA4"/>
    <w:rsid w:val="046C6123"/>
    <w:rsid w:val="046C976C"/>
    <w:rsid w:val="046DAAAA"/>
    <w:rsid w:val="046ECDAD"/>
    <w:rsid w:val="046F07F7"/>
    <w:rsid w:val="046FCCC5"/>
    <w:rsid w:val="04703C24"/>
    <w:rsid w:val="0470E3C2"/>
    <w:rsid w:val="0471BE25"/>
    <w:rsid w:val="0471BED3"/>
    <w:rsid w:val="0472080C"/>
    <w:rsid w:val="04726682"/>
    <w:rsid w:val="0472C757"/>
    <w:rsid w:val="0472ED3D"/>
    <w:rsid w:val="04731B3D"/>
    <w:rsid w:val="0474A1AA"/>
    <w:rsid w:val="0474BA15"/>
    <w:rsid w:val="0474CC7F"/>
    <w:rsid w:val="0475A2E1"/>
    <w:rsid w:val="047613FD"/>
    <w:rsid w:val="04772D84"/>
    <w:rsid w:val="04778F7E"/>
    <w:rsid w:val="0477C2F4"/>
    <w:rsid w:val="04780F0A"/>
    <w:rsid w:val="04781722"/>
    <w:rsid w:val="04789679"/>
    <w:rsid w:val="0478D991"/>
    <w:rsid w:val="0478F39B"/>
    <w:rsid w:val="047930AB"/>
    <w:rsid w:val="0479CA77"/>
    <w:rsid w:val="0479EBD3"/>
    <w:rsid w:val="047B0F5C"/>
    <w:rsid w:val="047B233F"/>
    <w:rsid w:val="047B56C3"/>
    <w:rsid w:val="047B5DDD"/>
    <w:rsid w:val="047BD005"/>
    <w:rsid w:val="047BD0E3"/>
    <w:rsid w:val="047CC431"/>
    <w:rsid w:val="047D520F"/>
    <w:rsid w:val="047D83B3"/>
    <w:rsid w:val="047E76E8"/>
    <w:rsid w:val="047E8FEC"/>
    <w:rsid w:val="047EFD48"/>
    <w:rsid w:val="047F8A38"/>
    <w:rsid w:val="047FE19C"/>
    <w:rsid w:val="04816EE0"/>
    <w:rsid w:val="0481DB43"/>
    <w:rsid w:val="048360A9"/>
    <w:rsid w:val="0483E7C9"/>
    <w:rsid w:val="0484CE9B"/>
    <w:rsid w:val="0484F7A8"/>
    <w:rsid w:val="048606BC"/>
    <w:rsid w:val="048634BD"/>
    <w:rsid w:val="04863C5C"/>
    <w:rsid w:val="048654BB"/>
    <w:rsid w:val="048767E8"/>
    <w:rsid w:val="048769CC"/>
    <w:rsid w:val="0487B3FC"/>
    <w:rsid w:val="0487CCA5"/>
    <w:rsid w:val="0487F744"/>
    <w:rsid w:val="048882E8"/>
    <w:rsid w:val="0488D351"/>
    <w:rsid w:val="0489F5C6"/>
    <w:rsid w:val="048A0945"/>
    <w:rsid w:val="048ADD53"/>
    <w:rsid w:val="048BA9BF"/>
    <w:rsid w:val="048BB7B3"/>
    <w:rsid w:val="048C15D7"/>
    <w:rsid w:val="048D7142"/>
    <w:rsid w:val="048EA318"/>
    <w:rsid w:val="048EE464"/>
    <w:rsid w:val="048EFECC"/>
    <w:rsid w:val="048F3EEC"/>
    <w:rsid w:val="0490014A"/>
    <w:rsid w:val="04917D67"/>
    <w:rsid w:val="0491CA62"/>
    <w:rsid w:val="0491E363"/>
    <w:rsid w:val="04925C77"/>
    <w:rsid w:val="0492D688"/>
    <w:rsid w:val="04937583"/>
    <w:rsid w:val="0493F0BE"/>
    <w:rsid w:val="049476C8"/>
    <w:rsid w:val="0494BD97"/>
    <w:rsid w:val="0494D41E"/>
    <w:rsid w:val="0495035C"/>
    <w:rsid w:val="04950BE6"/>
    <w:rsid w:val="04951A5E"/>
    <w:rsid w:val="049555EB"/>
    <w:rsid w:val="0496B560"/>
    <w:rsid w:val="0496B5F1"/>
    <w:rsid w:val="0496C00E"/>
    <w:rsid w:val="04974AF2"/>
    <w:rsid w:val="04978D76"/>
    <w:rsid w:val="0497B31B"/>
    <w:rsid w:val="04988437"/>
    <w:rsid w:val="04988CFF"/>
    <w:rsid w:val="0498E8DE"/>
    <w:rsid w:val="0499A630"/>
    <w:rsid w:val="049A09D3"/>
    <w:rsid w:val="049A4D7D"/>
    <w:rsid w:val="049B4E2A"/>
    <w:rsid w:val="049BDBCC"/>
    <w:rsid w:val="049C0BCD"/>
    <w:rsid w:val="049C1E54"/>
    <w:rsid w:val="049C78D5"/>
    <w:rsid w:val="049C8764"/>
    <w:rsid w:val="049CD91C"/>
    <w:rsid w:val="049DABDC"/>
    <w:rsid w:val="049E75B7"/>
    <w:rsid w:val="049F050D"/>
    <w:rsid w:val="049F25A0"/>
    <w:rsid w:val="04A053E6"/>
    <w:rsid w:val="04A0C3C8"/>
    <w:rsid w:val="04A13D95"/>
    <w:rsid w:val="04A2376D"/>
    <w:rsid w:val="04A306EC"/>
    <w:rsid w:val="04A3624D"/>
    <w:rsid w:val="04A426E4"/>
    <w:rsid w:val="04A58892"/>
    <w:rsid w:val="04A5C85E"/>
    <w:rsid w:val="04A5EC6B"/>
    <w:rsid w:val="04A63773"/>
    <w:rsid w:val="04A69DC1"/>
    <w:rsid w:val="04A6ADE5"/>
    <w:rsid w:val="04A6BBF1"/>
    <w:rsid w:val="04A705D2"/>
    <w:rsid w:val="04A7B4DA"/>
    <w:rsid w:val="04A7D5E7"/>
    <w:rsid w:val="04A80E5E"/>
    <w:rsid w:val="04A80F41"/>
    <w:rsid w:val="04A84124"/>
    <w:rsid w:val="04A85B2A"/>
    <w:rsid w:val="04A85D32"/>
    <w:rsid w:val="04A8BDE4"/>
    <w:rsid w:val="04A8CA08"/>
    <w:rsid w:val="04A96462"/>
    <w:rsid w:val="04A9A971"/>
    <w:rsid w:val="04A9D93C"/>
    <w:rsid w:val="04A9DEC2"/>
    <w:rsid w:val="04AA8EF7"/>
    <w:rsid w:val="04AB5878"/>
    <w:rsid w:val="04AC6C1C"/>
    <w:rsid w:val="04AD34D6"/>
    <w:rsid w:val="04AD8629"/>
    <w:rsid w:val="04AD8AC3"/>
    <w:rsid w:val="04ADADDC"/>
    <w:rsid w:val="04ADC725"/>
    <w:rsid w:val="04AEDDDB"/>
    <w:rsid w:val="04AF1846"/>
    <w:rsid w:val="04AF1C36"/>
    <w:rsid w:val="04B0DC26"/>
    <w:rsid w:val="04B23987"/>
    <w:rsid w:val="04B48626"/>
    <w:rsid w:val="04B4B6FA"/>
    <w:rsid w:val="04B4FE97"/>
    <w:rsid w:val="04B5128A"/>
    <w:rsid w:val="04B517C7"/>
    <w:rsid w:val="04B79C83"/>
    <w:rsid w:val="04B80D8D"/>
    <w:rsid w:val="04B81787"/>
    <w:rsid w:val="04B96515"/>
    <w:rsid w:val="04B9B2DE"/>
    <w:rsid w:val="04B9DDA9"/>
    <w:rsid w:val="04BA83D9"/>
    <w:rsid w:val="04BACBD5"/>
    <w:rsid w:val="04BC0DD7"/>
    <w:rsid w:val="04BC2C89"/>
    <w:rsid w:val="04BDCD7D"/>
    <w:rsid w:val="04BDE4EB"/>
    <w:rsid w:val="04BE0D85"/>
    <w:rsid w:val="04BE7D2D"/>
    <w:rsid w:val="04BE94B7"/>
    <w:rsid w:val="04BF6490"/>
    <w:rsid w:val="04BFC121"/>
    <w:rsid w:val="04BFC953"/>
    <w:rsid w:val="04BFFF7E"/>
    <w:rsid w:val="04C07212"/>
    <w:rsid w:val="04C0993B"/>
    <w:rsid w:val="04C20619"/>
    <w:rsid w:val="04C2E728"/>
    <w:rsid w:val="04C3007C"/>
    <w:rsid w:val="04C31809"/>
    <w:rsid w:val="04C34BBB"/>
    <w:rsid w:val="04C3686E"/>
    <w:rsid w:val="04C3894C"/>
    <w:rsid w:val="04C3F1E8"/>
    <w:rsid w:val="04C44369"/>
    <w:rsid w:val="04C56D47"/>
    <w:rsid w:val="04C5C356"/>
    <w:rsid w:val="04C5D444"/>
    <w:rsid w:val="04C5DA44"/>
    <w:rsid w:val="04C63172"/>
    <w:rsid w:val="04C67599"/>
    <w:rsid w:val="04C7EDC5"/>
    <w:rsid w:val="04C8605C"/>
    <w:rsid w:val="04C86073"/>
    <w:rsid w:val="04C87FC5"/>
    <w:rsid w:val="04C8D68E"/>
    <w:rsid w:val="04C93335"/>
    <w:rsid w:val="04C9563E"/>
    <w:rsid w:val="04CA534F"/>
    <w:rsid w:val="04CA7F38"/>
    <w:rsid w:val="04CB0DCF"/>
    <w:rsid w:val="04CB0E5A"/>
    <w:rsid w:val="04CB3B49"/>
    <w:rsid w:val="04CB8520"/>
    <w:rsid w:val="04CBB2A2"/>
    <w:rsid w:val="04CC5687"/>
    <w:rsid w:val="04CC6ECB"/>
    <w:rsid w:val="04CD127C"/>
    <w:rsid w:val="04CDBCE3"/>
    <w:rsid w:val="04CE0507"/>
    <w:rsid w:val="04CE7F8D"/>
    <w:rsid w:val="04CE924D"/>
    <w:rsid w:val="04CE9FBC"/>
    <w:rsid w:val="04CEF120"/>
    <w:rsid w:val="04CFA377"/>
    <w:rsid w:val="04D13C1D"/>
    <w:rsid w:val="04D13ECA"/>
    <w:rsid w:val="04D1C9FD"/>
    <w:rsid w:val="04D23F37"/>
    <w:rsid w:val="04D2C037"/>
    <w:rsid w:val="04D2F022"/>
    <w:rsid w:val="04D31A1D"/>
    <w:rsid w:val="04D3CD73"/>
    <w:rsid w:val="04D412DC"/>
    <w:rsid w:val="04D45A10"/>
    <w:rsid w:val="04D47DD9"/>
    <w:rsid w:val="04D4CEFF"/>
    <w:rsid w:val="04D4D89C"/>
    <w:rsid w:val="04D5F4CC"/>
    <w:rsid w:val="04D63919"/>
    <w:rsid w:val="04D67AC7"/>
    <w:rsid w:val="04D6B70F"/>
    <w:rsid w:val="04D6E252"/>
    <w:rsid w:val="04D6EAF6"/>
    <w:rsid w:val="04D7EA0B"/>
    <w:rsid w:val="04D80C03"/>
    <w:rsid w:val="04D955CC"/>
    <w:rsid w:val="04DABFF9"/>
    <w:rsid w:val="04DBE738"/>
    <w:rsid w:val="04DC41C8"/>
    <w:rsid w:val="04DC6694"/>
    <w:rsid w:val="04DC7B44"/>
    <w:rsid w:val="04DD118E"/>
    <w:rsid w:val="04DD1A86"/>
    <w:rsid w:val="04DD1A89"/>
    <w:rsid w:val="04DD68A8"/>
    <w:rsid w:val="04DD8A92"/>
    <w:rsid w:val="04DE8B56"/>
    <w:rsid w:val="04DED570"/>
    <w:rsid w:val="04DEF76C"/>
    <w:rsid w:val="04DF2860"/>
    <w:rsid w:val="04DF47A7"/>
    <w:rsid w:val="04DF8194"/>
    <w:rsid w:val="04DF8821"/>
    <w:rsid w:val="04DFDB1A"/>
    <w:rsid w:val="04E0292A"/>
    <w:rsid w:val="04E0738B"/>
    <w:rsid w:val="04E0E9AF"/>
    <w:rsid w:val="04E24924"/>
    <w:rsid w:val="04E2BB14"/>
    <w:rsid w:val="04E46FAE"/>
    <w:rsid w:val="04E4C2D6"/>
    <w:rsid w:val="04E4C753"/>
    <w:rsid w:val="04E59A7F"/>
    <w:rsid w:val="04E60277"/>
    <w:rsid w:val="04E682C3"/>
    <w:rsid w:val="04E6E602"/>
    <w:rsid w:val="04E6EE93"/>
    <w:rsid w:val="04E7E5CB"/>
    <w:rsid w:val="04E7FC07"/>
    <w:rsid w:val="04E8CEF3"/>
    <w:rsid w:val="04E8D820"/>
    <w:rsid w:val="04E9059B"/>
    <w:rsid w:val="04E982C1"/>
    <w:rsid w:val="04E98AC0"/>
    <w:rsid w:val="04EA577A"/>
    <w:rsid w:val="04EA689B"/>
    <w:rsid w:val="04EA88FF"/>
    <w:rsid w:val="04EB139E"/>
    <w:rsid w:val="04EBFB42"/>
    <w:rsid w:val="04EC0287"/>
    <w:rsid w:val="04EC7C20"/>
    <w:rsid w:val="04ECD585"/>
    <w:rsid w:val="04ED69F4"/>
    <w:rsid w:val="04EDDA3F"/>
    <w:rsid w:val="04EE13B2"/>
    <w:rsid w:val="04EE55B6"/>
    <w:rsid w:val="04F20266"/>
    <w:rsid w:val="04F206C9"/>
    <w:rsid w:val="04F28A58"/>
    <w:rsid w:val="04F2ED5F"/>
    <w:rsid w:val="04F3E618"/>
    <w:rsid w:val="04F4107A"/>
    <w:rsid w:val="04F53C6B"/>
    <w:rsid w:val="04F6E4C1"/>
    <w:rsid w:val="04F70C7B"/>
    <w:rsid w:val="04F83D7C"/>
    <w:rsid w:val="04F86CDE"/>
    <w:rsid w:val="04F90766"/>
    <w:rsid w:val="04F919BD"/>
    <w:rsid w:val="04F94869"/>
    <w:rsid w:val="04F9498E"/>
    <w:rsid w:val="04F978F2"/>
    <w:rsid w:val="04FA0731"/>
    <w:rsid w:val="04FAF51B"/>
    <w:rsid w:val="04FB09D5"/>
    <w:rsid w:val="04FB2A83"/>
    <w:rsid w:val="04FB9F63"/>
    <w:rsid w:val="04FC392F"/>
    <w:rsid w:val="04FC4C52"/>
    <w:rsid w:val="04FDAA13"/>
    <w:rsid w:val="04FEAA06"/>
    <w:rsid w:val="04FED47A"/>
    <w:rsid w:val="04FF41E4"/>
    <w:rsid w:val="04FF6FF4"/>
    <w:rsid w:val="050093D9"/>
    <w:rsid w:val="0500E46D"/>
    <w:rsid w:val="05015513"/>
    <w:rsid w:val="0501992D"/>
    <w:rsid w:val="05022862"/>
    <w:rsid w:val="05023803"/>
    <w:rsid w:val="05028E61"/>
    <w:rsid w:val="050329A6"/>
    <w:rsid w:val="0503A0D7"/>
    <w:rsid w:val="0503D276"/>
    <w:rsid w:val="0504B288"/>
    <w:rsid w:val="0505F315"/>
    <w:rsid w:val="05063936"/>
    <w:rsid w:val="05063E67"/>
    <w:rsid w:val="05068E08"/>
    <w:rsid w:val="0506C0BD"/>
    <w:rsid w:val="0506D93D"/>
    <w:rsid w:val="0506F00C"/>
    <w:rsid w:val="05070DFB"/>
    <w:rsid w:val="050741CE"/>
    <w:rsid w:val="0507467B"/>
    <w:rsid w:val="050833C2"/>
    <w:rsid w:val="0508B26F"/>
    <w:rsid w:val="0508BAA9"/>
    <w:rsid w:val="0508FC0C"/>
    <w:rsid w:val="0509013B"/>
    <w:rsid w:val="0509A080"/>
    <w:rsid w:val="0509A16C"/>
    <w:rsid w:val="0509AA3C"/>
    <w:rsid w:val="0509F18A"/>
    <w:rsid w:val="050A385C"/>
    <w:rsid w:val="050A3F91"/>
    <w:rsid w:val="050A52FF"/>
    <w:rsid w:val="050A9908"/>
    <w:rsid w:val="050C4A55"/>
    <w:rsid w:val="050D0722"/>
    <w:rsid w:val="050D0B85"/>
    <w:rsid w:val="050D4E44"/>
    <w:rsid w:val="050DEA77"/>
    <w:rsid w:val="050E547A"/>
    <w:rsid w:val="050E8951"/>
    <w:rsid w:val="050F9947"/>
    <w:rsid w:val="050FC928"/>
    <w:rsid w:val="05101BC4"/>
    <w:rsid w:val="0510D2C1"/>
    <w:rsid w:val="0511493D"/>
    <w:rsid w:val="051199E7"/>
    <w:rsid w:val="0511D0B4"/>
    <w:rsid w:val="0511FFC0"/>
    <w:rsid w:val="0513C578"/>
    <w:rsid w:val="0513E17F"/>
    <w:rsid w:val="05144D24"/>
    <w:rsid w:val="0515B4C2"/>
    <w:rsid w:val="0516120F"/>
    <w:rsid w:val="0516D2E3"/>
    <w:rsid w:val="05187696"/>
    <w:rsid w:val="05189B15"/>
    <w:rsid w:val="051A608C"/>
    <w:rsid w:val="051A7624"/>
    <w:rsid w:val="051AC327"/>
    <w:rsid w:val="051B4810"/>
    <w:rsid w:val="051BD219"/>
    <w:rsid w:val="051D14E4"/>
    <w:rsid w:val="051E467E"/>
    <w:rsid w:val="051EA558"/>
    <w:rsid w:val="05206A11"/>
    <w:rsid w:val="0520DF3E"/>
    <w:rsid w:val="0520E423"/>
    <w:rsid w:val="0521B7D5"/>
    <w:rsid w:val="0521E488"/>
    <w:rsid w:val="0522248E"/>
    <w:rsid w:val="052234DE"/>
    <w:rsid w:val="05226904"/>
    <w:rsid w:val="0522F25C"/>
    <w:rsid w:val="0522FCA4"/>
    <w:rsid w:val="0523C9F1"/>
    <w:rsid w:val="0523D04A"/>
    <w:rsid w:val="05247C57"/>
    <w:rsid w:val="05255F25"/>
    <w:rsid w:val="0526C4BB"/>
    <w:rsid w:val="0526F1D9"/>
    <w:rsid w:val="0527C55B"/>
    <w:rsid w:val="0527F6C9"/>
    <w:rsid w:val="05281167"/>
    <w:rsid w:val="0528C263"/>
    <w:rsid w:val="052910C2"/>
    <w:rsid w:val="05292DB8"/>
    <w:rsid w:val="0529AC13"/>
    <w:rsid w:val="052A702E"/>
    <w:rsid w:val="052A77DC"/>
    <w:rsid w:val="052A877A"/>
    <w:rsid w:val="052AA97A"/>
    <w:rsid w:val="052AAF3F"/>
    <w:rsid w:val="052B9500"/>
    <w:rsid w:val="052C24F0"/>
    <w:rsid w:val="052C3DF8"/>
    <w:rsid w:val="052C9844"/>
    <w:rsid w:val="052D3E07"/>
    <w:rsid w:val="052EB5DB"/>
    <w:rsid w:val="052EBD06"/>
    <w:rsid w:val="052EDE6E"/>
    <w:rsid w:val="052F4BC5"/>
    <w:rsid w:val="052F4E75"/>
    <w:rsid w:val="052F8F25"/>
    <w:rsid w:val="052FA90D"/>
    <w:rsid w:val="052FBC19"/>
    <w:rsid w:val="05307952"/>
    <w:rsid w:val="0530B756"/>
    <w:rsid w:val="0530F53C"/>
    <w:rsid w:val="05315A48"/>
    <w:rsid w:val="0532504B"/>
    <w:rsid w:val="053262EF"/>
    <w:rsid w:val="053281FE"/>
    <w:rsid w:val="0532E85F"/>
    <w:rsid w:val="0533337C"/>
    <w:rsid w:val="05333435"/>
    <w:rsid w:val="0533413F"/>
    <w:rsid w:val="0533E1DE"/>
    <w:rsid w:val="0534219D"/>
    <w:rsid w:val="05343BAB"/>
    <w:rsid w:val="0535B974"/>
    <w:rsid w:val="053600E4"/>
    <w:rsid w:val="05360776"/>
    <w:rsid w:val="0536E03A"/>
    <w:rsid w:val="05381408"/>
    <w:rsid w:val="0538215B"/>
    <w:rsid w:val="05394773"/>
    <w:rsid w:val="053956A8"/>
    <w:rsid w:val="0539A494"/>
    <w:rsid w:val="053A15D3"/>
    <w:rsid w:val="053BA4B3"/>
    <w:rsid w:val="053BCD6D"/>
    <w:rsid w:val="053BD112"/>
    <w:rsid w:val="053CBA4D"/>
    <w:rsid w:val="053CCAC2"/>
    <w:rsid w:val="053E0272"/>
    <w:rsid w:val="053E6D48"/>
    <w:rsid w:val="053EBAA9"/>
    <w:rsid w:val="053F04B6"/>
    <w:rsid w:val="053FAD9D"/>
    <w:rsid w:val="05401A47"/>
    <w:rsid w:val="05403CF1"/>
    <w:rsid w:val="05405DCC"/>
    <w:rsid w:val="0540E585"/>
    <w:rsid w:val="05420A5F"/>
    <w:rsid w:val="0543087B"/>
    <w:rsid w:val="054375DF"/>
    <w:rsid w:val="05458BA2"/>
    <w:rsid w:val="05460095"/>
    <w:rsid w:val="05462D34"/>
    <w:rsid w:val="0546ADF6"/>
    <w:rsid w:val="0546AFF5"/>
    <w:rsid w:val="05479A63"/>
    <w:rsid w:val="0547C527"/>
    <w:rsid w:val="05483465"/>
    <w:rsid w:val="054913F1"/>
    <w:rsid w:val="054D3542"/>
    <w:rsid w:val="054D9251"/>
    <w:rsid w:val="054DE4F0"/>
    <w:rsid w:val="054E88C4"/>
    <w:rsid w:val="054E9A4B"/>
    <w:rsid w:val="0550614D"/>
    <w:rsid w:val="0551C77F"/>
    <w:rsid w:val="055323F2"/>
    <w:rsid w:val="0553A0B9"/>
    <w:rsid w:val="0554DF1D"/>
    <w:rsid w:val="05550BFF"/>
    <w:rsid w:val="05568C56"/>
    <w:rsid w:val="05570CF3"/>
    <w:rsid w:val="055748F9"/>
    <w:rsid w:val="05581BD0"/>
    <w:rsid w:val="05589F54"/>
    <w:rsid w:val="0559CFCA"/>
    <w:rsid w:val="0559D8C3"/>
    <w:rsid w:val="055A5041"/>
    <w:rsid w:val="055A5527"/>
    <w:rsid w:val="055A5F2D"/>
    <w:rsid w:val="055A9667"/>
    <w:rsid w:val="055B23A2"/>
    <w:rsid w:val="055B37C7"/>
    <w:rsid w:val="055B5E97"/>
    <w:rsid w:val="055B6E8A"/>
    <w:rsid w:val="055B9A18"/>
    <w:rsid w:val="055C2EBA"/>
    <w:rsid w:val="055C3254"/>
    <w:rsid w:val="055CC84D"/>
    <w:rsid w:val="055CDDE0"/>
    <w:rsid w:val="055DBA4B"/>
    <w:rsid w:val="055DC750"/>
    <w:rsid w:val="055EB16B"/>
    <w:rsid w:val="055EB3EF"/>
    <w:rsid w:val="055F02E0"/>
    <w:rsid w:val="0560A8B3"/>
    <w:rsid w:val="0560B339"/>
    <w:rsid w:val="0561656A"/>
    <w:rsid w:val="0563116F"/>
    <w:rsid w:val="05634CAB"/>
    <w:rsid w:val="0563728E"/>
    <w:rsid w:val="056380FB"/>
    <w:rsid w:val="0563FB72"/>
    <w:rsid w:val="05646712"/>
    <w:rsid w:val="05647C93"/>
    <w:rsid w:val="0564860C"/>
    <w:rsid w:val="0564D85E"/>
    <w:rsid w:val="05656DDA"/>
    <w:rsid w:val="056604B8"/>
    <w:rsid w:val="056607BB"/>
    <w:rsid w:val="05662D9B"/>
    <w:rsid w:val="05662F54"/>
    <w:rsid w:val="056635CC"/>
    <w:rsid w:val="056679C1"/>
    <w:rsid w:val="0567183C"/>
    <w:rsid w:val="05676981"/>
    <w:rsid w:val="05677604"/>
    <w:rsid w:val="05677C45"/>
    <w:rsid w:val="0567F4BE"/>
    <w:rsid w:val="05682A34"/>
    <w:rsid w:val="056994A5"/>
    <w:rsid w:val="056A8179"/>
    <w:rsid w:val="056ACF4B"/>
    <w:rsid w:val="056AD43F"/>
    <w:rsid w:val="056AE771"/>
    <w:rsid w:val="056B8A71"/>
    <w:rsid w:val="056BD20A"/>
    <w:rsid w:val="056C0F3D"/>
    <w:rsid w:val="056CF676"/>
    <w:rsid w:val="056D44A1"/>
    <w:rsid w:val="056D4914"/>
    <w:rsid w:val="056D96AC"/>
    <w:rsid w:val="056E04B1"/>
    <w:rsid w:val="056E5F1E"/>
    <w:rsid w:val="056F5EA8"/>
    <w:rsid w:val="056F7C3F"/>
    <w:rsid w:val="0570A43E"/>
    <w:rsid w:val="05714996"/>
    <w:rsid w:val="05716156"/>
    <w:rsid w:val="0571A936"/>
    <w:rsid w:val="0571E550"/>
    <w:rsid w:val="05731E1A"/>
    <w:rsid w:val="0573235E"/>
    <w:rsid w:val="05746472"/>
    <w:rsid w:val="0574EEB7"/>
    <w:rsid w:val="05751615"/>
    <w:rsid w:val="0575AE72"/>
    <w:rsid w:val="057652AD"/>
    <w:rsid w:val="0576839C"/>
    <w:rsid w:val="0576AB7B"/>
    <w:rsid w:val="0576F9F1"/>
    <w:rsid w:val="05770998"/>
    <w:rsid w:val="05774EFB"/>
    <w:rsid w:val="0577AE02"/>
    <w:rsid w:val="0578046F"/>
    <w:rsid w:val="0579F73F"/>
    <w:rsid w:val="057ABA18"/>
    <w:rsid w:val="057B51F3"/>
    <w:rsid w:val="057B85A5"/>
    <w:rsid w:val="057C6B57"/>
    <w:rsid w:val="057CCC37"/>
    <w:rsid w:val="057D53F5"/>
    <w:rsid w:val="057DF8C1"/>
    <w:rsid w:val="057E5B33"/>
    <w:rsid w:val="057E6056"/>
    <w:rsid w:val="057E8030"/>
    <w:rsid w:val="057E8B35"/>
    <w:rsid w:val="057EE9B1"/>
    <w:rsid w:val="057F6EFB"/>
    <w:rsid w:val="057FD7FF"/>
    <w:rsid w:val="0580323A"/>
    <w:rsid w:val="058133CC"/>
    <w:rsid w:val="05819AE7"/>
    <w:rsid w:val="05820972"/>
    <w:rsid w:val="058293D5"/>
    <w:rsid w:val="0582DAB9"/>
    <w:rsid w:val="0582EE70"/>
    <w:rsid w:val="05832A5F"/>
    <w:rsid w:val="05835CDF"/>
    <w:rsid w:val="058399D6"/>
    <w:rsid w:val="0583EE2B"/>
    <w:rsid w:val="058448D1"/>
    <w:rsid w:val="0584A798"/>
    <w:rsid w:val="0586129C"/>
    <w:rsid w:val="0586DFDC"/>
    <w:rsid w:val="0587942B"/>
    <w:rsid w:val="05881315"/>
    <w:rsid w:val="0588E125"/>
    <w:rsid w:val="05891770"/>
    <w:rsid w:val="058B1636"/>
    <w:rsid w:val="058C96C5"/>
    <w:rsid w:val="058CEFCF"/>
    <w:rsid w:val="058D6AC7"/>
    <w:rsid w:val="058DA7B2"/>
    <w:rsid w:val="058E30DD"/>
    <w:rsid w:val="058E3E9C"/>
    <w:rsid w:val="058ED398"/>
    <w:rsid w:val="058F1952"/>
    <w:rsid w:val="059032D3"/>
    <w:rsid w:val="05904407"/>
    <w:rsid w:val="05908EC4"/>
    <w:rsid w:val="059152FC"/>
    <w:rsid w:val="0591EEBA"/>
    <w:rsid w:val="0591F8CB"/>
    <w:rsid w:val="05935A81"/>
    <w:rsid w:val="059378C5"/>
    <w:rsid w:val="059426E9"/>
    <w:rsid w:val="0594F010"/>
    <w:rsid w:val="0594F648"/>
    <w:rsid w:val="059540BE"/>
    <w:rsid w:val="059646A3"/>
    <w:rsid w:val="0596985D"/>
    <w:rsid w:val="0596A4E8"/>
    <w:rsid w:val="0596C9FD"/>
    <w:rsid w:val="0596D8EE"/>
    <w:rsid w:val="059741D3"/>
    <w:rsid w:val="05978DBC"/>
    <w:rsid w:val="0597E1B6"/>
    <w:rsid w:val="059828AC"/>
    <w:rsid w:val="059837A2"/>
    <w:rsid w:val="05986ED8"/>
    <w:rsid w:val="0598C2AD"/>
    <w:rsid w:val="0599245A"/>
    <w:rsid w:val="059A2B06"/>
    <w:rsid w:val="059AC8E6"/>
    <w:rsid w:val="059AF963"/>
    <w:rsid w:val="059B1EA7"/>
    <w:rsid w:val="059B2AF1"/>
    <w:rsid w:val="059B53BB"/>
    <w:rsid w:val="059B7696"/>
    <w:rsid w:val="059BFEF4"/>
    <w:rsid w:val="059D094A"/>
    <w:rsid w:val="059DC185"/>
    <w:rsid w:val="059DC5EB"/>
    <w:rsid w:val="059DE311"/>
    <w:rsid w:val="059E18B4"/>
    <w:rsid w:val="059F06E9"/>
    <w:rsid w:val="059F2829"/>
    <w:rsid w:val="059F6DCB"/>
    <w:rsid w:val="059F6E8D"/>
    <w:rsid w:val="059FBF74"/>
    <w:rsid w:val="05A0575F"/>
    <w:rsid w:val="05A06590"/>
    <w:rsid w:val="05A0A21B"/>
    <w:rsid w:val="05A1190D"/>
    <w:rsid w:val="05A189AC"/>
    <w:rsid w:val="05A26FBE"/>
    <w:rsid w:val="05A33015"/>
    <w:rsid w:val="05A37BE9"/>
    <w:rsid w:val="05A496DA"/>
    <w:rsid w:val="05A4E4C2"/>
    <w:rsid w:val="05A56F04"/>
    <w:rsid w:val="05A581C4"/>
    <w:rsid w:val="05A6115D"/>
    <w:rsid w:val="05A6D918"/>
    <w:rsid w:val="05A74EA4"/>
    <w:rsid w:val="05A7D40B"/>
    <w:rsid w:val="05A8C135"/>
    <w:rsid w:val="05A8C58A"/>
    <w:rsid w:val="05A90803"/>
    <w:rsid w:val="05A927C8"/>
    <w:rsid w:val="05A95B0B"/>
    <w:rsid w:val="05A9655E"/>
    <w:rsid w:val="05A9BA6A"/>
    <w:rsid w:val="05AAFF8C"/>
    <w:rsid w:val="05AB823B"/>
    <w:rsid w:val="05ABBED7"/>
    <w:rsid w:val="05ABDDB4"/>
    <w:rsid w:val="05AC002C"/>
    <w:rsid w:val="05AC48F9"/>
    <w:rsid w:val="05ADB8D7"/>
    <w:rsid w:val="05AE8332"/>
    <w:rsid w:val="05AEBB2D"/>
    <w:rsid w:val="05AF0E0B"/>
    <w:rsid w:val="05AFE577"/>
    <w:rsid w:val="05AFE6FF"/>
    <w:rsid w:val="05B0281F"/>
    <w:rsid w:val="05B0D752"/>
    <w:rsid w:val="05B111EA"/>
    <w:rsid w:val="05B11576"/>
    <w:rsid w:val="05B12913"/>
    <w:rsid w:val="05B1677F"/>
    <w:rsid w:val="05B2EF02"/>
    <w:rsid w:val="05B4D1E0"/>
    <w:rsid w:val="05B570B2"/>
    <w:rsid w:val="05B5D97F"/>
    <w:rsid w:val="05B7149E"/>
    <w:rsid w:val="05B760E2"/>
    <w:rsid w:val="05B7A712"/>
    <w:rsid w:val="05B7EA05"/>
    <w:rsid w:val="05B859E4"/>
    <w:rsid w:val="05B87F61"/>
    <w:rsid w:val="05B9291E"/>
    <w:rsid w:val="05B958B8"/>
    <w:rsid w:val="05B99EB8"/>
    <w:rsid w:val="05BA28D0"/>
    <w:rsid w:val="05BA5539"/>
    <w:rsid w:val="05BB6845"/>
    <w:rsid w:val="05BB6DCA"/>
    <w:rsid w:val="05BB7001"/>
    <w:rsid w:val="05BE2377"/>
    <w:rsid w:val="05BECF43"/>
    <w:rsid w:val="05BEDE85"/>
    <w:rsid w:val="05BF5FFC"/>
    <w:rsid w:val="05C0527B"/>
    <w:rsid w:val="05C076D7"/>
    <w:rsid w:val="05C0C262"/>
    <w:rsid w:val="05C121DA"/>
    <w:rsid w:val="05C137F1"/>
    <w:rsid w:val="05C13EE5"/>
    <w:rsid w:val="05C40F0D"/>
    <w:rsid w:val="05C49430"/>
    <w:rsid w:val="05C54C3E"/>
    <w:rsid w:val="05C55F4B"/>
    <w:rsid w:val="05C57073"/>
    <w:rsid w:val="05C5C387"/>
    <w:rsid w:val="05C65075"/>
    <w:rsid w:val="05C69A22"/>
    <w:rsid w:val="05C6E916"/>
    <w:rsid w:val="05C8F184"/>
    <w:rsid w:val="05CAE42A"/>
    <w:rsid w:val="05CBA0A9"/>
    <w:rsid w:val="05CBF6D0"/>
    <w:rsid w:val="05CC3E2E"/>
    <w:rsid w:val="05CCF7EE"/>
    <w:rsid w:val="05CD837F"/>
    <w:rsid w:val="05CE6771"/>
    <w:rsid w:val="05CEFCA0"/>
    <w:rsid w:val="05CF5941"/>
    <w:rsid w:val="05CF784E"/>
    <w:rsid w:val="05CF8D36"/>
    <w:rsid w:val="05CFCB6C"/>
    <w:rsid w:val="05D04A8B"/>
    <w:rsid w:val="05D1467D"/>
    <w:rsid w:val="05D286EE"/>
    <w:rsid w:val="05D2BBCA"/>
    <w:rsid w:val="05D34EC4"/>
    <w:rsid w:val="05D48988"/>
    <w:rsid w:val="05D48B85"/>
    <w:rsid w:val="05D4FA5E"/>
    <w:rsid w:val="05D4FDCF"/>
    <w:rsid w:val="05D58257"/>
    <w:rsid w:val="05D7410B"/>
    <w:rsid w:val="05D746A0"/>
    <w:rsid w:val="05D7B798"/>
    <w:rsid w:val="05D801BF"/>
    <w:rsid w:val="05D84CE2"/>
    <w:rsid w:val="05D86BEE"/>
    <w:rsid w:val="05D8AEB6"/>
    <w:rsid w:val="05DAAE9D"/>
    <w:rsid w:val="05DABA61"/>
    <w:rsid w:val="05DB43A8"/>
    <w:rsid w:val="05DB52FF"/>
    <w:rsid w:val="05DC5CF7"/>
    <w:rsid w:val="05DCDD01"/>
    <w:rsid w:val="05DCDD44"/>
    <w:rsid w:val="05DD8C8B"/>
    <w:rsid w:val="05DD9A57"/>
    <w:rsid w:val="05DF1866"/>
    <w:rsid w:val="05DF5662"/>
    <w:rsid w:val="05E17011"/>
    <w:rsid w:val="05E2B2D5"/>
    <w:rsid w:val="05E44048"/>
    <w:rsid w:val="05E44504"/>
    <w:rsid w:val="05E4C602"/>
    <w:rsid w:val="05E5D046"/>
    <w:rsid w:val="05E5D634"/>
    <w:rsid w:val="05E5E04D"/>
    <w:rsid w:val="05E6029B"/>
    <w:rsid w:val="05E64F53"/>
    <w:rsid w:val="05E6A74E"/>
    <w:rsid w:val="05E88231"/>
    <w:rsid w:val="05E90F80"/>
    <w:rsid w:val="05EB25BD"/>
    <w:rsid w:val="05EB8734"/>
    <w:rsid w:val="05EB9590"/>
    <w:rsid w:val="05EBEDC4"/>
    <w:rsid w:val="05EC344C"/>
    <w:rsid w:val="05ECD64D"/>
    <w:rsid w:val="05ECE70E"/>
    <w:rsid w:val="05ED3F8A"/>
    <w:rsid w:val="05ED7919"/>
    <w:rsid w:val="05EDB521"/>
    <w:rsid w:val="05EE0B1B"/>
    <w:rsid w:val="05EE5CCB"/>
    <w:rsid w:val="05EE7B8F"/>
    <w:rsid w:val="05EF24D4"/>
    <w:rsid w:val="05F0427D"/>
    <w:rsid w:val="05F157C9"/>
    <w:rsid w:val="05F161DA"/>
    <w:rsid w:val="05F294BF"/>
    <w:rsid w:val="05F34087"/>
    <w:rsid w:val="05F3AE14"/>
    <w:rsid w:val="05F3EB15"/>
    <w:rsid w:val="05F40A57"/>
    <w:rsid w:val="05F53DCC"/>
    <w:rsid w:val="05F5F40B"/>
    <w:rsid w:val="05F5F675"/>
    <w:rsid w:val="05F611A7"/>
    <w:rsid w:val="05F67490"/>
    <w:rsid w:val="05F883E9"/>
    <w:rsid w:val="05F8CCFB"/>
    <w:rsid w:val="05F8FB5A"/>
    <w:rsid w:val="05F904CD"/>
    <w:rsid w:val="05FAC4E4"/>
    <w:rsid w:val="05FACC6C"/>
    <w:rsid w:val="05FADB77"/>
    <w:rsid w:val="05FBBF23"/>
    <w:rsid w:val="05FBF92E"/>
    <w:rsid w:val="05FD2C02"/>
    <w:rsid w:val="05FDEDB0"/>
    <w:rsid w:val="05FE5156"/>
    <w:rsid w:val="05FE87E8"/>
    <w:rsid w:val="05FEDF38"/>
    <w:rsid w:val="05FEEC39"/>
    <w:rsid w:val="05FEF2C0"/>
    <w:rsid w:val="05FF5CA0"/>
    <w:rsid w:val="05FF5D5A"/>
    <w:rsid w:val="0601578F"/>
    <w:rsid w:val="0601FBD2"/>
    <w:rsid w:val="06023CAB"/>
    <w:rsid w:val="0602EA46"/>
    <w:rsid w:val="0603D5A5"/>
    <w:rsid w:val="0603FFC7"/>
    <w:rsid w:val="06053327"/>
    <w:rsid w:val="06060B0C"/>
    <w:rsid w:val="060724E9"/>
    <w:rsid w:val="06079A28"/>
    <w:rsid w:val="06085FE6"/>
    <w:rsid w:val="0609E6D4"/>
    <w:rsid w:val="060A8B83"/>
    <w:rsid w:val="060AC994"/>
    <w:rsid w:val="060B4828"/>
    <w:rsid w:val="060C38F9"/>
    <w:rsid w:val="060C4777"/>
    <w:rsid w:val="060CA1DC"/>
    <w:rsid w:val="060DA56F"/>
    <w:rsid w:val="060DC187"/>
    <w:rsid w:val="060DE48A"/>
    <w:rsid w:val="060E31F6"/>
    <w:rsid w:val="060E771D"/>
    <w:rsid w:val="060EEE58"/>
    <w:rsid w:val="060EF99E"/>
    <w:rsid w:val="060F5CCE"/>
    <w:rsid w:val="060F62C0"/>
    <w:rsid w:val="060F80B3"/>
    <w:rsid w:val="060FF362"/>
    <w:rsid w:val="06102AE2"/>
    <w:rsid w:val="0610D830"/>
    <w:rsid w:val="0610E606"/>
    <w:rsid w:val="06111676"/>
    <w:rsid w:val="0611A7C7"/>
    <w:rsid w:val="0611FF09"/>
    <w:rsid w:val="0612A98A"/>
    <w:rsid w:val="06134D48"/>
    <w:rsid w:val="0613C5E8"/>
    <w:rsid w:val="0613C6C4"/>
    <w:rsid w:val="061427E9"/>
    <w:rsid w:val="0614B120"/>
    <w:rsid w:val="0615186F"/>
    <w:rsid w:val="06167E95"/>
    <w:rsid w:val="06175A82"/>
    <w:rsid w:val="06177077"/>
    <w:rsid w:val="0617C3B9"/>
    <w:rsid w:val="06180D0B"/>
    <w:rsid w:val="06191837"/>
    <w:rsid w:val="061B29A8"/>
    <w:rsid w:val="061CE5C1"/>
    <w:rsid w:val="061D3F94"/>
    <w:rsid w:val="061D6363"/>
    <w:rsid w:val="061DFFAD"/>
    <w:rsid w:val="061E9577"/>
    <w:rsid w:val="061F3579"/>
    <w:rsid w:val="061F39E5"/>
    <w:rsid w:val="061F4707"/>
    <w:rsid w:val="061FA5B7"/>
    <w:rsid w:val="06202083"/>
    <w:rsid w:val="0620BBCC"/>
    <w:rsid w:val="06212031"/>
    <w:rsid w:val="062128AE"/>
    <w:rsid w:val="06216103"/>
    <w:rsid w:val="06218CBA"/>
    <w:rsid w:val="0622428E"/>
    <w:rsid w:val="0622F8EF"/>
    <w:rsid w:val="0623EAE8"/>
    <w:rsid w:val="062509AC"/>
    <w:rsid w:val="0625C4A3"/>
    <w:rsid w:val="0625C728"/>
    <w:rsid w:val="06265703"/>
    <w:rsid w:val="06266C0C"/>
    <w:rsid w:val="06268B1C"/>
    <w:rsid w:val="0626D7D5"/>
    <w:rsid w:val="06271A75"/>
    <w:rsid w:val="06279994"/>
    <w:rsid w:val="0627BD7C"/>
    <w:rsid w:val="0627F764"/>
    <w:rsid w:val="06292A96"/>
    <w:rsid w:val="062980A3"/>
    <w:rsid w:val="062A4C28"/>
    <w:rsid w:val="062A7800"/>
    <w:rsid w:val="062B11A4"/>
    <w:rsid w:val="062BD5DE"/>
    <w:rsid w:val="062CFDF6"/>
    <w:rsid w:val="062D10A1"/>
    <w:rsid w:val="062E222F"/>
    <w:rsid w:val="062F6FB1"/>
    <w:rsid w:val="062FA9B0"/>
    <w:rsid w:val="06301AAD"/>
    <w:rsid w:val="06307E8A"/>
    <w:rsid w:val="0630822A"/>
    <w:rsid w:val="0630B32D"/>
    <w:rsid w:val="06321CEF"/>
    <w:rsid w:val="06325BD6"/>
    <w:rsid w:val="063287EA"/>
    <w:rsid w:val="06332152"/>
    <w:rsid w:val="06332280"/>
    <w:rsid w:val="06334D32"/>
    <w:rsid w:val="0633FFE4"/>
    <w:rsid w:val="0634BDA4"/>
    <w:rsid w:val="06354DB5"/>
    <w:rsid w:val="06361B00"/>
    <w:rsid w:val="063627B3"/>
    <w:rsid w:val="06368D87"/>
    <w:rsid w:val="06369C98"/>
    <w:rsid w:val="06376438"/>
    <w:rsid w:val="06376670"/>
    <w:rsid w:val="063787DE"/>
    <w:rsid w:val="0637B231"/>
    <w:rsid w:val="0637F88D"/>
    <w:rsid w:val="06381ED8"/>
    <w:rsid w:val="063828F6"/>
    <w:rsid w:val="06384DFA"/>
    <w:rsid w:val="063905A9"/>
    <w:rsid w:val="063942C0"/>
    <w:rsid w:val="063AC3E3"/>
    <w:rsid w:val="063B7975"/>
    <w:rsid w:val="063C9ABF"/>
    <w:rsid w:val="063CFFC0"/>
    <w:rsid w:val="063D126D"/>
    <w:rsid w:val="063D1F28"/>
    <w:rsid w:val="063DA3C8"/>
    <w:rsid w:val="063E1DB6"/>
    <w:rsid w:val="063E1F8B"/>
    <w:rsid w:val="063EB24C"/>
    <w:rsid w:val="063EB434"/>
    <w:rsid w:val="06408177"/>
    <w:rsid w:val="06408D99"/>
    <w:rsid w:val="0640A5D9"/>
    <w:rsid w:val="0640B51F"/>
    <w:rsid w:val="06425431"/>
    <w:rsid w:val="0642E2EF"/>
    <w:rsid w:val="0642EA15"/>
    <w:rsid w:val="064306AB"/>
    <w:rsid w:val="06430F14"/>
    <w:rsid w:val="06448CD2"/>
    <w:rsid w:val="0645531C"/>
    <w:rsid w:val="06457073"/>
    <w:rsid w:val="06462862"/>
    <w:rsid w:val="06462E09"/>
    <w:rsid w:val="064694BF"/>
    <w:rsid w:val="064696CA"/>
    <w:rsid w:val="0646C283"/>
    <w:rsid w:val="0646E284"/>
    <w:rsid w:val="0647428A"/>
    <w:rsid w:val="0647E5C0"/>
    <w:rsid w:val="06490B99"/>
    <w:rsid w:val="06496BB1"/>
    <w:rsid w:val="0649DCCB"/>
    <w:rsid w:val="064AB25A"/>
    <w:rsid w:val="064B2AA3"/>
    <w:rsid w:val="064D3FA8"/>
    <w:rsid w:val="064E45BA"/>
    <w:rsid w:val="064FA859"/>
    <w:rsid w:val="064FEA70"/>
    <w:rsid w:val="064FF1C9"/>
    <w:rsid w:val="065037F9"/>
    <w:rsid w:val="065069CA"/>
    <w:rsid w:val="06526BEB"/>
    <w:rsid w:val="06527D9C"/>
    <w:rsid w:val="0653962D"/>
    <w:rsid w:val="06542E60"/>
    <w:rsid w:val="06543C89"/>
    <w:rsid w:val="0654585B"/>
    <w:rsid w:val="065470F8"/>
    <w:rsid w:val="0655055C"/>
    <w:rsid w:val="06571787"/>
    <w:rsid w:val="0657DB5D"/>
    <w:rsid w:val="06589259"/>
    <w:rsid w:val="0658B332"/>
    <w:rsid w:val="0658CF22"/>
    <w:rsid w:val="06594389"/>
    <w:rsid w:val="06595F08"/>
    <w:rsid w:val="065976D5"/>
    <w:rsid w:val="065B3926"/>
    <w:rsid w:val="065B7186"/>
    <w:rsid w:val="065B79ED"/>
    <w:rsid w:val="065C07ED"/>
    <w:rsid w:val="065C68C5"/>
    <w:rsid w:val="065C6C17"/>
    <w:rsid w:val="065C7AE8"/>
    <w:rsid w:val="065C7F28"/>
    <w:rsid w:val="065D38E8"/>
    <w:rsid w:val="065D4A5C"/>
    <w:rsid w:val="065DBAAE"/>
    <w:rsid w:val="065EBFD5"/>
    <w:rsid w:val="065F4A56"/>
    <w:rsid w:val="065FDBD2"/>
    <w:rsid w:val="06600010"/>
    <w:rsid w:val="066015E3"/>
    <w:rsid w:val="0661AC26"/>
    <w:rsid w:val="066221ED"/>
    <w:rsid w:val="06623B0C"/>
    <w:rsid w:val="06632A34"/>
    <w:rsid w:val="0663508D"/>
    <w:rsid w:val="0664699D"/>
    <w:rsid w:val="0664740B"/>
    <w:rsid w:val="06648C9C"/>
    <w:rsid w:val="0664A297"/>
    <w:rsid w:val="0665A2A6"/>
    <w:rsid w:val="0665AD8B"/>
    <w:rsid w:val="0666BFAF"/>
    <w:rsid w:val="0667475F"/>
    <w:rsid w:val="0667CE4A"/>
    <w:rsid w:val="06696938"/>
    <w:rsid w:val="0669DC7B"/>
    <w:rsid w:val="066AB25A"/>
    <w:rsid w:val="066B2DBB"/>
    <w:rsid w:val="066B58E0"/>
    <w:rsid w:val="066B8319"/>
    <w:rsid w:val="066BCD15"/>
    <w:rsid w:val="066C2719"/>
    <w:rsid w:val="066C8E0C"/>
    <w:rsid w:val="066CBCEE"/>
    <w:rsid w:val="066DBC2E"/>
    <w:rsid w:val="066DCF44"/>
    <w:rsid w:val="066E2F57"/>
    <w:rsid w:val="066EFDD6"/>
    <w:rsid w:val="066F8167"/>
    <w:rsid w:val="066FF845"/>
    <w:rsid w:val="067023F7"/>
    <w:rsid w:val="06702C4D"/>
    <w:rsid w:val="0670418B"/>
    <w:rsid w:val="06709024"/>
    <w:rsid w:val="06711BA4"/>
    <w:rsid w:val="0671838B"/>
    <w:rsid w:val="0671D6DA"/>
    <w:rsid w:val="0671DCF4"/>
    <w:rsid w:val="06721544"/>
    <w:rsid w:val="06729BEA"/>
    <w:rsid w:val="06732DD2"/>
    <w:rsid w:val="06733A0D"/>
    <w:rsid w:val="0673DE4D"/>
    <w:rsid w:val="0674CBFD"/>
    <w:rsid w:val="06753FC7"/>
    <w:rsid w:val="067581DB"/>
    <w:rsid w:val="067682C8"/>
    <w:rsid w:val="0677306B"/>
    <w:rsid w:val="06788A87"/>
    <w:rsid w:val="06796702"/>
    <w:rsid w:val="067A42E6"/>
    <w:rsid w:val="067A7D04"/>
    <w:rsid w:val="067B3F21"/>
    <w:rsid w:val="067B61FE"/>
    <w:rsid w:val="067C58FA"/>
    <w:rsid w:val="067CA281"/>
    <w:rsid w:val="067D265D"/>
    <w:rsid w:val="067DB8B6"/>
    <w:rsid w:val="067E35B5"/>
    <w:rsid w:val="067FCC21"/>
    <w:rsid w:val="068019F2"/>
    <w:rsid w:val="06804240"/>
    <w:rsid w:val="06805C68"/>
    <w:rsid w:val="068102BB"/>
    <w:rsid w:val="06821BE6"/>
    <w:rsid w:val="06837614"/>
    <w:rsid w:val="0684A45F"/>
    <w:rsid w:val="0684B07E"/>
    <w:rsid w:val="0684C164"/>
    <w:rsid w:val="0685FE13"/>
    <w:rsid w:val="0686CD53"/>
    <w:rsid w:val="0687680D"/>
    <w:rsid w:val="0687D71E"/>
    <w:rsid w:val="0687E53E"/>
    <w:rsid w:val="068830CD"/>
    <w:rsid w:val="06886D70"/>
    <w:rsid w:val="06888FDF"/>
    <w:rsid w:val="068947DD"/>
    <w:rsid w:val="068A1B21"/>
    <w:rsid w:val="068A4FE4"/>
    <w:rsid w:val="068A6544"/>
    <w:rsid w:val="068AAFE9"/>
    <w:rsid w:val="068AF698"/>
    <w:rsid w:val="068C1BEA"/>
    <w:rsid w:val="068C3EB3"/>
    <w:rsid w:val="068C9CA4"/>
    <w:rsid w:val="068D0BB9"/>
    <w:rsid w:val="068D51F6"/>
    <w:rsid w:val="068D9F19"/>
    <w:rsid w:val="068E32A3"/>
    <w:rsid w:val="068E6EA6"/>
    <w:rsid w:val="068F0274"/>
    <w:rsid w:val="069073DE"/>
    <w:rsid w:val="0691B442"/>
    <w:rsid w:val="0691F03E"/>
    <w:rsid w:val="06922341"/>
    <w:rsid w:val="06924AFF"/>
    <w:rsid w:val="06927D40"/>
    <w:rsid w:val="0692852C"/>
    <w:rsid w:val="0694677F"/>
    <w:rsid w:val="06946E6C"/>
    <w:rsid w:val="06948BA9"/>
    <w:rsid w:val="0694B930"/>
    <w:rsid w:val="06950C76"/>
    <w:rsid w:val="06954750"/>
    <w:rsid w:val="06958537"/>
    <w:rsid w:val="0696F83B"/>
    <w:rsid w:val="06970412"/>
    <w:rsid w:val="06979C67"/>
    <w:rsid w:val="0697CD62"/>
    <w:rsid w:val="0697F93B"/>
    <w:rsid w:val="0697FEFF"/>
    <w:rsid w:val="06984E19"/>
    <w:rsid w:val="06987C7A"/>
    <w:rsid w:val="0698A1A5"/>
    <w:rsid w:val="0698B728"/>
    <w:rsid w:val="0698BE0C"/>
    <w:rsid w:val="06997F52"/>
    <w:rsid w:val="06998E1C"/>
    <w:rsid w:val="069A766B"/>
    <w:rsid w:val="069AEB34"/>
    <w:rsid w:val="069AFA85"/>
    <w:rsid w:val="069C8695"/>
    <w:rsid w:val="069CC96D"/>
    <w:rsid w:val="069D3730"/>
    <w:rsid w:val="069D4C35"/>
    <w:rsid w:val="069E43D4"/>
    <w:rsid w:val="069F2109"/>
    <w:rsid w:val="06A00B51"/>
    <w:rsid w:val="06A0C86C"/>
    <w:rsid w:val="06A109F1"/>
    <w:rsid w:val="06A21316"/>
    <w:rsid w:val="06A25CA8"/>
    <w:rsid w:val="06A2F5FA"/>
    <w:rsid w:val="06A339BA"/>
    <w:rsid w:val="06A39DD5"/>
    <w:rsid w:val="06A3AC3A"/>
    <w:rsid w:val="06A4425B"/>
    <w:rsid w:val="06A4483E"/>
    <w:rsid w:val="06A513FA"/>
    <w:rsid w:val="06A57502"/>
    <w:rsid w:val="06A5B23C"/>
    <w:rsid w:val="06A6441D"/>
    <w:rsid w:val="06A76C0D"/>
    <w:rsid w:val="06A8BA2B"/>
    <w:rsid w:val="06A8E4C6"/>
    <w:rsid w:val="06A9E095"/>
    <w:rsid w:val="06AAEAF7"/>
    <w:rsid w:val="06AB547E"/>
    <w:rsid w:val="06AC5717"/>
    <w:rsid w:val="06ACDF36"/>
    <w:rsid w:val="06AE9270"/>
    <w:rsid w:val="06AF70E9"/>
    <w:rsid w:val="06B04E18"/>
    <w:rsid w:val="06B105D9"/>
    <w:rsid w:val="06B19473"/>
    <w:rsid w:val="06B1A811"/>
    <w:rsid w:val="06B1CCA5"/>
    <w:rsid w:val="06B28690"/>
    <w:rsid w:val="06B28BD8"/>
    <w:rsid w:val="06B359C1"/>
    <w:rsid w:val="06B37045"/>
    <w:rsid w:val="06B3A5CA"/>
    <w:rsid w:val="06B40591"/>
    <w:rsid w:val="06B46972"/>
    <w:rsid w:val="06B48E46"/>
    <w:rsid w:val="06B50373"/>
    <w:rsid w:val="06B504D6"/>
    <w:rsid w:val="06B52EF5"/>
    <w:rsid w:val="06B55A75"/>
    <w:rsid w:val="06B60DC0"/>
    <w:rsid w:val="06B67DF7"/>
    <w:rsid w:val="06B70B29"/>
    <w:rsid w:val="06B7AD1A"/>
    <w:rsid w:val="06B86B9B"/>
    <w:rsid w:val="06B8ADD8"/>
    <w:rsid w:val="06B8D178"/>
    <w:rsid w:val="06BA73CF"/>
    <w:rsid w:val="06BA838C"/>
    <w:rsid w:val="06BABDBE"/>
    <w:rsid w:val="06BAE2BA"/>
    <w:rsid w:val="06BC5419"/>
    <w:rsid w:val="06BD4860"/>
    <w:rsid w:val="06BF04C1"/>
    <w:rsid w:val="06C16162"/>
    <w:rsid w:val="06C1BCE1"/>
    <w:rsid w:val="06C1F99A"/>
    <w:rsid w:val="06C23994"/>
    <w:rsid w:val="06C30D1D"/>
    <w:rsid w:val="06C33F0A"/>
    <w:rsid w:val="06C34C71"/>
    <w:rsid w:val="06C4B387"/>
    <w:rsid w:val="06C5CB87"/>
    <w:rsid w:val="06C693D7"/>
    <w:rsid w:val="06C6A864"/>
    <w:rsid w:val="06C6D410"/>
    <w:rsid w:val="06C7402E"/>
    <w:rsid w:val="06C755B5"/>
    <w:rsid w:val="06C7B430"/>
    <w:rsid w:val="06C8D7E2"/>
    <w:rsid w:val="06C900E1"/>
    <w:rsid w:val="06CA1802"/>
    <w:rsid w:val="06CB0FF7"/>
    <w:rsid w:val="06CB796E"/>
    <w:rsid w:val="06CC098C"/>
    <w:rsid w:val="06CC5624"/>
    <w:rsid w:val="06CCCE93"/>
    <w:rsid w:val="06CD9D69"/>
    <w:rsid w:val="06CE1C87"/>
    <w:rsid w:val="06CE6EE5"/>
    <w:rsid w:val="06CF19D1"/>
    <w:rsid w:val="06CF56AD"/>
    <w:rsid w:val="06D1942A"/>
    <w:rsid w:val="06D27662"/>
    <w:rsid w:val="06D27FDC"/>
    <w:rsid w:val="06D2AADE"/>
    <w:rsid w:val="06D3952A"/>
    <w:rsid w:val="06D41058"/>
    <w:rsid w:val="06D51633"/>
    <w:rsid w:val="06D5542B"/>
    <w:rsid w:val="06D56BE3"/>
    <w:rsid w:val="06D59B7A"/>
    <w:rsid w:val="06D5A8FC"/>
    <w:rsid w:val="06D5D583"/>
    <w:rsid w:val="06D6A2AC"/>
    <w:rsid w:val="06D742B1"/>
    <w:rsid w:val="06D7D37E"/>
    <w:rsid w:val="06D801B7"/>
    <w:rsid w:val="06D920BF"/>
    <w:rsid w:val="06D94298"/>
    <w:rsid w:val="06D97C95"/>
    <w:rsid w:val="06DA258D"/>
    <w:rsid w:val="06DA95C2"/>
    <w:rsid w:val="06DAF8ED"/>
    <w:rsid w:val="06DC55F2"/>
    <w:rsid w:val="06DC5D59"/>
    <w:rsid w:val="06DD248F"/>
    <w:rsid w:val="06DD324B"/>
    <w:rsid w:val="06DD43B8"/>
    <w:rsid w:val="06DE2989"/>
    <w:rsid w:val="06DEDBE4"/>
    <w:rsid w:val="06DF7143"/>
    <w:rsid w:val="06DF93FB"/>
    <w:rsid w:val="06DFC4E5"/>
    <w:rsid w:val="06E0E423"/>
    <w:rsid w:val="06E0EF88"/>
    <w:rsid w:val="06E0F4FA"/>
    <w:rsid w:val="06E10566"/>
    <w:rsid w:val="06E12167"/>
    <w:rsid w:val="06E17011"/>
    <w:rsid w:val="06E1EB47"/>
    <w:rsid w:val="06E293EB"/>
    <w:rsid w:val="06E31DD9"/>
    <w:rsid w:val="06E3669B"/>
    <w:rsid w:val="06E391E0"/>
    <w:rsid w:val="06E3EFE5"/>
    <w:rsid w:val="06E3FBC6"/>
    <w:rsid w:val="06E45E77"/>
    <w:rsid w:val="06E46396"/>
    <w:rsid w:val="06E69E5E"/>
    <w:rsid w:val="06E6AA42"/>
    <w:rsid w:val="06E833DD"/>
    <w:rsid w:val="06E8FD0A"/>
    <w:rsid w:val="06E97655"/>
    <w:rsid w:val="06EA05EF"/>
    <w:rsid w:val="06EA5BD5"/>
    <w:rsid w:val="06EAAC90"/>
    <w:rsid w:val="06EACD39"/>
    <w:rsid w:val="06EBBB24"/>
    <w:rsid w:val="06EBC948"/>
    <w:rsid w:val="06EC82B3"/>
    <w:rsid w:val="06ED3B34"/>
    <w:rsid w:val="06ED6103"/>
    <w:rsid w:val="06EDDC6B"/>
    <w:rsid w:val="06EDE3D7"/>
    <w:rsid w:val="06EE5A09"/>
    <w:rsid w:val="06EECB82"/>
    <w:rsid w:val="06EF3D71"/>
    <w:rsid w:val="06F02D8E"/>
    <w:rsid w:val="06F032EB"/>
    <w:rsid w:val="06F07917"/>
    <w:rsid w:val="06F1080C"/>
    <w:rsid w:val="06F1C67B"/>
    <w:rsid w:val="06F1F5DC"/>
    <w:rsid w:val="06F21D54"/>
    <w:rsid w:val="06F29B3D"/>
    <w:rsid w:val="06F29B91"/>
    <w:rsid w:val="06F2A198"/>
    <w:rsid w:val="06F2C980"/>
    <w:rsid w:val="06F32713"/>
    <w:rsid w:val="06F3BCF8"/>
    <w:rsid w:val="06F4B2E3"/>
    <w:rsid w:val="06F4FC93"/>
    <w:rsid w:val="06F5A088"/>
    <w:rsid w:val="06F620A2"/>
    <w:rsid w:val="06F6295E"/>
    <w:rsid w:val="06F6B351"/>
    <w:rsid w:val="06F70C6B"/>
    <w:rsid w:val="06F7F70B"/>
    <w:rsid w:val="06F8182A"/>
    <w:rsid w:val="06F8566B"/>
    <w:rsid w:val="06F8BCA2"/>
    <w:rsid w:val="06F91E44"/>
    <w:rsid w:val="06F9391C"/>
    <w:rsid w:val="06F93F09"/>
    <w:rsid w:val="06FA20FF"/>
    <w:rsid w:val="06FA3FC6"/>
    <w:rsid w:val="06FBCDCD"/>
    <w:rsid w:val="06FC9674"/>
    <w:rsid w:val="06FCB14D"/>
    <w:rsid w:val="06FCFB51"/>
    <w:rsid w:val="06FD3B25"/>
    <w:rsid w:val="06FE9598"/>
    <w:rsid w:val="06FEC01D"/>
    <w:rsid w:val="06FEE4F7"/>
    <w:rsid w:val="06FF38D1"/>
    <w:rsid w:val="06FFD146"/>
    <w:rsid w:val="0700DB6E"/>
    <w:rsid w:val="0701018D"/>
    <w:rsid w:val="07012ADE"/>
    <w:rsid w:val="0702D477"/>
    <w:rsid w:val="07031979"/>
    <w:rsid w:val="0703285B"/>
    <w:rsid w:val="07057A7D"/>
    <w:rsid w:val="07063DB5"/>
    <w:rsid w:val="07083901"/>
    <w:rsid w:val="07086A37"/>
    <w:rsid w:val="07088429"/>
    <w:rsid w:val="0708B677"/>
    <w:rsid w:val="070983F9"/>
    <w:rsid w:val="070AA087"/>
    <w:rsid w:val="070ABB2F"/>
    <w:rsid w:val="070B0A2A"/>
    <w:rsid w:val="070B14DD"/>
    <w:rsid w:val="070B1B81"/>
    <w:rsid w:val="070B3080"/>
    <w:rsid w:val="070C9D27"/>
    <w:rsid w:val="070E71D5"/>
    <w:rsid w:val="070EB16E"/>
    <w:rsid w:val="0710AABD"/>
    <w:rsid w:val="0710C099"/>
    <w:rsid w:val="0710C253"/>
    <w:rsid w:val="0710D7AA"/>
    <w:rsid w:val="07113A07"/>
    <w:rsid w:val="0711A2AF"/>
    <w:rsid w:val="07122842"/>
    <w:rsid w:val="07127C0C"/>
    <w:rsid w:val="0712C9C7"/>
    <w:rsid w:val="0712C9E9"/>
    <w:rsid w:val="0712F3B3"/>
    <w:rsid w:val="0713463C"/>
    <w:rsid w:val="07136843"/>
    <w:rsid w:val="07137FA4"/>
    <w:rsid w:val="0713ADD7"/>
    <w:rsid w:val="0713C5BE"/>
    <w:rsid w:val="07143F1E"/>
    <w:rsid w:val="07157F92"/>
    <w:rsid w:val="071597D3"/>
    <w:rsid w:val="07164165"/>
    <w:rsid w:val="07193DA7"/>
    <w:rsid w:val="071A1430"/>
    <w:rsid w:val="071A7010"/>
    <w:rsid w:val="071AF1F5"/>
    <w:rsid w:val="071B7EFE"/>
    <w:rsid w:val="071BDA40"/>
    <w:rsid w:val="071BFBD4"/>
    <w:rsid w:val="071C01BF"/>
    <w:rsid w:val="071C5FDD"/>
    <w:rsid w:val="071D5ECC"/>
    <w:rsid w:val="071DAFC0"/>
    <w:rsid w:val="071E07B8"/>
    <w:rsid w:val="071E643C"/>
    <w:rsid w:val="071E9A4D"/>
    <w:rsid w:val="071EB9F2"/>
    <w:rsid w:val="071F1856"/>
    <w:rsid w:val="071FB9DE"/>
    <w:rsid w:val="071FF696"/>
    <w:rsid w:val="07204903"/>
    <w:rsid w:val="0720E757"/>
    <w:rsid w:val="07217AEE"/>
    <w:rsid w:val="0721EA42"/>
    <w:rsid w:val="072259C7"/>
    <w:rsid w:val="0722706C"/>
    <w:rsid w:val="07227CB8"/>
    <w:rsid w:val="0722CF7E"/>
    <w:rsid w:val="0722E91C"/>
    <w:rsid w:val="0722F886"/>
    <w:rsid w:val="0723BF7E"/>
    <w:rsid w:val="07240336"/>
    <w:rsid w:val="07251123"/>
    <w:rsid w:val="07256A14"/>
    <w:rsid w:val="0725D424"/>
    <w:rsid w:val="072608CD"/>
    <w:rsid w:val="07260FA8"/>
    <w:rsid w:val="0726731A"/>
    <w:rsid w:val="07268398"/>
    <w:rsid w:val="0726FADD"/>
    <w:rsid w:val="07287910"/>
    <w:rsid w:val="07289B63"/>
    <w:rsid w:val="072A09D1"/>
    <w:rsid w:val="072A1B3C"/>
    <w:rsid w:val="072AFD36"/>
    <w:rsid w:val="072B31A3"/>
    <w:rsid w:val="072C5497"/>
    <w:rsid w:val="072C68FC"/>
    <w:rsid w:val="072E43F8"/>
    <w:rsid w:val="073051DF"/>
    <w:rsid w:val="0730BB06"/>
    <w:rsid w:val="0730CD93"/>
    <w:rsid w:val="073172E1"/>
    <w:rsid w:val="0731CBAF"/>
    <w:rsid w:val="0731DAA2"/>
    <w:rsid w:val="0731F069"/>
    <w:rsid w:val="0732CCA5"/>
    <w:rsid w:val="0732FB9D"/>
    <w:rsid w:val="0733EE46"/>
    <w:rsid w:val="07346945"/>
    <w:rsid w:val="0735208A"/>
    <w:rsid w:val="07359C8D"/>
    <w:rsid w:val="0735A47B"/>
    <w:rsid w:val="07378F0E"/>
    <w:rsid w:val="073982C1"/>
    <w:rsid w:val="073997D4"/>
    <w:rsid w:val="0739A492"/>
    <w:rsid w:val="0739F167"/>
    <w:rsid w:val="073A44A2"/>
    <w:rsid w:val="073A7A39"/>
    <w:rsid w:val="073A9CDF"/>
    <w:rsid w:val="073AE603"/>
    <w:rsid w:val="073B25F8"/>
    <w:rsid w:val="073B56D1"/>
    <w:rsid w:val="073C2576"/>
    <w:rsid w:val="073C4E0A"/>
    <w:rsid w:val="073CB528"/>
    <w:rsid w:val="073CF87F"/>
    <w:rsid w:val="073CFD25"/>
    <w:rsid w:val="073D1A1E"/>
    <w:rsid w:val="073D445E"/>
    <w:rsid w:val="073DDCC2"/>
    <w:rsid w:val="073DED16"/>
    <w:rsid w:val="073E1EF2"/>
    <w:rsid w:val="073EC681"/>
    <w:rsid w:val="073EF21F"/>
    <w:rsid w:val="073F2C84"/>
    <w:rsid w:val="073F34F6"/>
    <w:rsid w:val="073F4A90"/>
    <w:rsid w:val="0740A45C"/>
    <w:rsid w:val="07416CD6"/>
    <w:rsid w:val="0741A092"/>
    <w:rsid w:val="0741C5D8"/>
    <w:rsid w:val="074215E8"/>
    <w:rsid w:val="0742589C"/>
    <w:rsid w:val="0743D22D"/>
    <w:rsid w:val="0743D774"/>
    <w:rsid w:val="07444025"/>
    <w:rsid w:val="0744AA61"/>
    <w:rsid w:val="07450778"/>
    <w:rsid w:val="07450963"/>
    <w:rsid w:val="07453C28"/>
    <w:rsid w:val="0745C858"/>
    <w:rsid w:val="0747140F"/>
    <w:rsid w:val="074728F1"/>
    <w:rsid w:val="0747DDB4"/>
    <w:rsid w:val="0747E19C"/>
    <w:rsid w:val="0747F250"/>
    <w:rsid w:val="074835E3"/>
    <w:rsid w:val="0748852B"/>
    <w:rsid w:val="0748CC97"/>
    <w:rsid w:val="07495F6E"/>
    <w:rsid w:val="074AC188"/>
    <w:rsid w:val="074BCB97"/>
    <w:rsid w:val="074BD4D0"/>
    <w:rsid w:val="074D4EBB"/>
    <w:rsid w:val="074DCED1"/>
    <w:rsid w:val="074E1435"/>
    <w:rsid w:val="074EB6BE"/>
    <w:rsid w:val="074EFCA6"/>
    <w:rsid w:val="074F5848"/>
    <w:rsid w:val="074F59C6"/>
    <w:rsid w:val="074FC5FC"/>
    <w:rsid w:val="07515A0E"/>
    <w:rsid w:val="075187A3"/>
    <w:rsid w:val="0751A512"/>
    <w:rsid w:val="0751FC65"/>
    <w:rsid w:val="075219C8"/>
    <w:rsid w:val="0752601F"/>
    <w:rsid w:val="0752D0BF"/>
    <w:rsid w:val="0752FA82"/>
    <w:rsid w:val="0753F221"/>
    <w:rsid w:val="07541FF5"/>
    <w:rsid w:val="07543811"/>
    <w:rsid w:val="07547EF4"/>
    <w:rsid w:val="0754CCC6"/>
    <w:rsid w:val="0754EC79"/>
    <w:rsid w:val="0755B948"/>
    <w:rsid w:val="0755E1AC"/>
    <w:rsid w:val="0756320E"/>
    <w:rsid w:val="07572AFE"/>
    <w:rsid w:val="0757E9A0"/>
    <w:rsid w:val="075858AB"/>
    <w:rsid w:val="0758A3EB"/>
    <w:rsid w:val="0759AB9C"/>
    <w:rsid w:val="075AC97B"/>
    <w:rsid w:val="075BE2C6"/>
    <w:rsid w:val="075C8613"/>
    <w:rsid w:val="075CF4EF"/>
    <w:rsid w:val="075DCCDF"/>
    <w:rsid w:val="075DD3E4"/>
    <w:rsid w:val="075E29DD"/>
    <w:rsid w:val="075E3614"/>
    <w:rsid w:val="075E4A44"/>
    <w:rsid w:val="075E7B6D"/>
    <w:rsid w:val="075EB162"/>
    <w:rsid w:val="075F29F6"/>
    <w:rsid w:val="075F745D"/>
    <w:rsid w:val="075F9218"/>
    <w:rsid w:val="075FBD61"/>
    <w:rsid w:val="075FE41D"/>
    <w:rsid w:val="075FF434"/>
    <w:rsid w:val="076009D5"/>
    <w:rsid w:val="076012A7"/>
    <w:rsid w:val="07609F93"/>
    <w:rsid w:val="0760A561"/>
    <w:rsid w:val="0760C0D9"/>
    <w:rsid w:val="0760D6C2"/>
    <w:rsid w:val="0760E980"/>
    <w:rsid w:val="07610F04"/>
    <w:rsid w:val="07615012"/>
    <w:rsid w:val="076259BF"/>
    <w:rsid w:val="0762D2D7"/>
    <w:rsid w:val="07637ED2"/>
    <w:rsid w:val="076391EB"/>
    <w:rsid w:val="0763A517"/>
    <w:rsid w:val="0763E280"/>
    <w:rsid w:val="0764E38B"/>
    <w:rsid w:val="0764E3B9"/>
    <w:rsid w:val="07654EDA"/>
    <w:rsid w:val="0766044E"/>
    <w:rsid w:val="076682B2"/>
    <w:rsid w:val="07669083"/>
    <w:rsid w:val="0767A430"/>
    <w:rsid w:val="0768F49D"/>
    <w:rsid w:val="07690887"/>
    <w:rsid w:val="076AA3EE"/>
    <w:rsid w:val="076ABDC4"/>
    <w:rsid w:val="076AEC7D"/>
    <w:rsid w:val="076C00D2"/>
    <w:rsid w:val="076C1C74"/>
    <w:rsid w:val="076CABA5"/>
    <w:rsid w:val="076CD8BB"/>
    <w:rsid w:val="076D6E19"/>
    <w:rsid w:val="076D743F"/>
    <w:rsid w:val="076DD4D3"/>
    <w:rsid w:val="076DEF9E"/>
    <w:rsid w:val="076DFD95"/>
    <w:rsid w:val="076E3B6D"/>
    <w:rsid w:val="076EA900"/>
    <w:rsid w:val="076EBDFC"/>
    <w:rsid w:val="076F59C3"/>
    <w:rsid w:val="0770C9E0"/>
    <w:rsid w:val="07716900"/>
    <w:rsid w:val="0771FCDA"/>
    <w:rsid w:val="07720C32"/>
    <w:rsid w:val="07725961"/>
    <w:rsid w:val="07729EE6"/>
    <w:rsid w:val="0772AA24"/>
    <w:rsid w:val="0772DA62"/>
    <w:rsid w:val="0773948D"/>
    <w:rsid w:val="0773FF8F"/>
    <w:rsid w:val="07743A4A"/>
    <w:rsid w:val="07744940"/>
    <w:rsid w:val="0774958E"/>
    <w:rsid w:val="07750A67"/>
    <w:rsid w:val="07754A8A"/>
    <w:rsid w:val="07757904"/>
    <w:rsid w:val="0775CEA9"/>
    <w:rsid w:val="077609F3"/>
    <w:rsid w:val="07762F71"/>
    <w:rsid w:val="0776939B"/>
    <w:rsid w:val="0777694A"/>
    <w:rsid w:val="0777CA1D"/>
    <w:rsid w:val="077915BA"/>
    <w:rsid w:val="07797BE9"/>
    <w:rsid w:val="077A1380"/>
    <w:rsid w:val="077A3FC3"/>
    <w:rsid w:val="077C02BC"/>
    <w:rsid w:val="077C67B1"/>
    <w:rsid w:val="077D76DE"/>
    <w:rsid w:val="077DEB00"/>
    <w:rsid w:val="077EBC22"/>
    <w:rsid w:val="077EE6F0"/>
    <w:rsid w:val="077EEC5B"/>
    <w:rsid w:val="077F0F1A"/>
    <w:rsid w:val="07801727"/>
    <w:rsid w:val="0781126A"/>
    <w:rsid w:val="078179A7"/>
    <w:rsid w:val="0781B885"/>
    <w:rsid w:val="07826F69"/>
    <w:rsid w:val="07827530"/>
    <w:rsid w:val="0783E412"/>
    <w:rsid w:val="0783FDD3"/>
    <w:rsid w:val="0783FE15"/>
    <w:rsid w:val="07849C96"/>
    <w:rsid w:val="0784DE2B"/>
    <w:rsid w:val="0785080D"/>
    <w:rsid w:val="0785617D"/>
    <w:rsid w:val="07865BF0"/>
    <w:rsid w:val="07870C33"/>
    <w:rsid w:val="07878E88"/>
    <w:rsid w:val="07892876"/>
    <w:rsid w:val="07899569"/>
    <w:rsid w:val="0789B458"/>
    <w:rsid w:val="078AB444"/>
    <w:rsid w:val="078AF807"/>
    <w:rsid w:val="078B125A"/>
    <w:rsid w:val="078B23F5"/>
    <w:rsid w:val="078B46CA"/>
    <w:rsid w:val="078BB4F2"/>
    <w:rsid w:val="078BFACC"/>
    <w:rsid w:val="078D566D"/>
    <w:rsid w:val="078DF162"/>
    <w:rsid w:val="078E6860"/>
    <w:rsid w:val="078E7D71"/>
    <w:rsid w:val="078EC85A"/>
    <w:rsid w:val="078F116F"/>
    <w:rsid w:val="078F362F"/>
    <w:rsid w:val="078F7610"/>
    <w:rsid w:val="078FF871"/>
    <w:rsid w:val="07908F12"/>
    <w:rsid w:val="0790F48F"/>
    <w:rsid w:val="0790F89E"/>
    <w:rsid w:val="07914A48"/>
    <w:rsid w:val="07922C13"/>
    <w:rsid w:val="0792D499"/>
    <w:rsid w:val="07932852"/>
    <w:rsid w:val="07938CC0"/>
    <w:rsid w:val="0793CA7A"/>
    <w:rsid w:val="079458DC"/>
    <w:rsid w:val="079479E4"/>
    <w:rsid w:val="0794C3C9"/>
    <w:rsid w:val="0794D2D9"/>
    <w:rsid w:val="07952092"/>
    <w:rsid w:val="07952BCE"/>
    <w:rsid w:val="079551E7"/>
    <w:rsid w:val="079566E1"/>
    <w:rsid w:val="0795F9CA"/>
    <w:rsid w:val="0795FA55"/>
    <w:rsid w:val="07961DDD"/>
    <w:rsid w:val="079672F8"/>
    <w:rsid w:val="07968CE0"/>
    <w:rsid w:val="0799CBFB"/>
    <w:rsid w:val="079A49DD"/>
    <w:rsid w:val="079BD3FF"/>
    <w:rsid w:val="079C8FC0"/>
    <w:rsid w:val="079CB09C"/>
    <w:rsid w:val="079CB772"/>
    <w:rsid w:val="079CBA86"/>
    <w:rsid w:val="079CFF17"/>
    <w:rsid w:val="079D0F66"/>
    <w:rsid w:val="079D4B4F"/>
    <w:rsid w:val="079D7133"/>
    <w:rsid w:val="079D8C84"/>
    <w:rsid w:val="079D8EC7"/>
    <w:rsid w:val="079DE870"/>
    <w:rsid w:val="079E388C"/>
    <w:rsid w:val="079E863A"/>
    <w:rsid w:val="079E8F68"/>
    <w:rsid w:val="079E9F83"/>
    <w:rsid w:val="079EEFD9"/>
    <w:rsid w:val="079F9540"/>
    <w:rsid w:val="07A06749"/>
    <w:rsid w:val="07A09D73"/>
    <w:rsid w:val="07A0F395"/>
    <w:rsid w:val="07A10A8D"/>
    <w:rsid w:val="07A14D18"/>
    <w:rsid w:val="07A193D7"/>
    <w:rsid w:val="07A19A7D"/>
    <w:rsid w:val="07A1C4B4"/>
    <w:rsid w:val="07A2AC14"/>
    <w:rsid w:val="07A2D105"/>
    <w:rsid w:val="07A3BA37"/>
    <w:rsid w:val="07A40519"/>
    <w:rsid w:val="07A466FC"/>
    <w:rsid w:val="07A4FFF0"/>
    <w:rsid w:val="07A59296"/>
    <w:rsid w:val="07A5A859"/>
    <w:rsid w:val="07A62136"/>
    <w:rsid w:val="07A69C41"/>
    <w:rsid w:val="07A74FC3"/>
    <w:rsid w:val="07A816D5"/>
    <w:rsid w:val="07A81907"/>
    <w:rsid w:val="07A81A66"/>
    <w:rsid w:val="07A89720"/>
    <w:rsid w:val="07AB45F0"/>
    <w:rsid w:val="07AC4595"/>
    <w:rsid w:val="07AD14A9"/>
    <w:rsid w:val="07ADBEDF"/>
    <w:rsid w:val="07ADDE3D"/>
    <w:rsid w:val="07ADFF10"/>
    <w:rsid w:val="07AEE9AE"/>
    <w:rsid w:val="07AF4C15"/>
    <w:rsid w:val="07AFA36C"/>
    <w:rsid w:val="07AFAF1C"/>
    <w:rsid w:val="07B0A958"/>
    <w:rsid w:val="07B0AD01"/>
    <w:rsid w:val="07B117FE"/>
    <w:rsid w:val="07B1A6D8"/>
    <w:rsid w:val="07B1CC84"/>
    <w:rsid w:val="07B219C6"/>
    <w:rsid w:val="07B25819"/>
    <w:rsid w:val="07B2DB6A"/>
    <w:rsid w:val="07B3341E"/>
    <w:rsid w:val="07B35AA6"/>
    <w:rsid w:val="07B45007"/>
    <w:rsid w:val="07B4BAC5"/>
    <w:rsid w:val="07B53398"/>
    <w:rsid w:val="07B5A591"/>
    <w:rsid w:val="07B7614E"/>
    <w:rsid w:val="07B761E2"/>
    <w:rsid w:val="07B7771D"/>
    <w:rsid w:val="07BA4B65"/>
    <w:rsid w:val="07BA52BC"/>
    <w:rsid w:val="07BAD6F1"/>
    <w:rsid w:val="07BB3BD8"/>
    <w:rsid w:val="07BC0B84"/>
    <w:rsid w:val="07BC1147"/>
    <w:rsid w:val="07BCB5FD"/>
    <w:rsid w:val="07BE72E7"/>
    <w:rsid w:val="07BEA49E"/>
    <w:rsid w:val="07BEE79F"/>
    <w:rsid w:val="07BF63D1"/>
    <w:rsid w:val="07C080DD"/>
    <w:rsid w:val="07C0B354"/>
    <w:rsid w:val="07C0EE23"/>
    <w:rsid w:val="07C1D458"/>
    <w:rsid w:val="07C257D2"/>
    <w:rsid w:val="07C2C89C"/>
    <w:rsid w:val="07C3D29B"/>
    <w:rsid w:val="07C40CF8"/>
    <w:rsid w:val="07C4F297"/>
    <w:rsid w:val="07C6150D"/>
    <w:rsid w:val="07C6251C"/>
    <w:rsid w:val="07C678F7"/>
    <w:rsid w:val="07C693C1"/>
    <w:rsid w:val="07C6ACAB"/>
    <w:rsid w:val="07C74B13"/>
    <w:rsid w:val="07C98F0D"/>
    <w:rsid w:val="07C9FE61"/>
    <w:rsid w:val="07CA3402"/>
    <w:rsid w:val="07CA5B4B"/>
    <w:rsid w:val="07CA9DF2"/>
    <w:rsid w:val="07CA9EFB"/>
    <w:rsid w:val="07CBE6A3"/>
    <w:rsid w:val="07CBFCC3"/>
    <w:rsid w:val="07CC11DF"/>
    <w:rsid w:val="07CC1739"/>
    <w:rsid w:val="07CC4C51"/>
    <w:rsid w:val="07CCAD0C"/>
    <w:rsid w:val="07CCBD2B"/>
    <w:rsid w:val="07CDBEB5"/>
    <w:rsid w:val="07CDE773"/>
    <w:rsid w:val="07CFADBE"/>
    <w:rsid w:val="07D01846"/>
    <w:rsid w:val="07D0F06D"/>
    <w:rsid w:val="07D15E54"/>
    <w:rsid w:val="07D2876A"/>
    <w:rsid w:val="07D2BB40"/>
    <w:rsid w:val="07D317F0"/>
    <w:rsid w:val="07D35E5F"/>
    <w:rsid w:val="07D379EE"/>
    <w:rsid w:val="07D54F2D"/>
    <w:rsid w:val="07D6C069"/>
    <w:rsid w:val="07D808D7"/>
    <w:rsid w:val="07D8496D"/>
    <w:rsid w:val="07D86D2F"/>
    <w:rsid w:val="07D9816B"/>
    <w:rsid w:val="07D9CDB4"/>
    <w:rsid w:val="07DA821B"/>
    <w:rsid w:val="07DA9248"/>
    <w:rsid w:val="07DE44C9"/>
    <w:rsid w:val="07DE488B"/>
    <w:rsid w:val="07DEF94D"/>
    <w:rsid w:val="07DEFB0A"/>
    <w:rsid w:val="07DF10C0"/>
    <w:rsid w:val="07DFB0E9"/>
    <w:rsid w:val="07DFFB43"/>
    <w:rsid w:val="07E016E2"/>
    <w:rsid w:val="07E06539"/>
    <w:rsid w:val="07E067A4"/>
    <w:rsid w:val="07E090BF"/>
    <w:rsid w:val="07E13D8F"/>
    <w:rsid w:val="07E17E91"/>
    <w:rsid w:val="07E233CF"/>
    <w:rsid w:val="07E2CFEA"/>
    <w:rsid w:val="07E3336E"/>
    <w:rsid w:val="07E374F0"/>
    <w:rsid w:val="07E48989"/>
    <w:rsid w:val="07E4D03A"/>
    <w:rsid w:val="07E50208"/>
    <w:rsid w:val="07E546CA"/>
    <w:rsid w:val="07E6058F"/>
    <w:rsid w:val="07E655E7"/>
    <w:rsid w:val="07E65AF5"/>
    <w:rsid w:val="07E6AC20"/>
    <w:rsid w:val="07E6B80F"/>
    <w:rsid w:val="07E6D07C"/>
    <w:rsid w:val="07E7D80C"/>
    <w:rsid w:val="07E7F31C"/>
    <w:rsid w:val="07E7FEC4"/>
    <w:rsid w:val="07E866A9"/>
    <w:rsid w:val="07E944CB"/>
    <w:rsid w:val="07EA64B5"/>
    <w:rsid w:val="07EB3E4A"/>
    <w:rsid w:val="07EBEBBA"/>
    <w:rsid w:val="07EBF7EA"/>
    <w:rsid w:val="07EC5D55"/>
    <w:rsid w:val="07ED1797"/>
    <w:rsid w:val="07ED543D"/>
    <w:rsid w:val="07EF99D2"/>
    <w:rsid w:val="07F01533"/>
    <w:rsid w:val="07F02E39"/>
    <w:rsid w:val="07F0634A"/>
    <w:rsid w:val="07F16C24"/>
    <w:rsid w:val="07F176D1"/>
    <w:rsid w:val="07F1BF2F"/>
    <w:rsid w:val="07F21E9C"/>
    <w:rsid w:val="07F2A91E"/>
    <w:rsid w:val="07F2EC24"/>
    <w:rsid w:val="07F33BBC"/>
    <w:rsid w:val="07F476F6"/>
    <w:rsid w:val="07F4C3B9"/>
    <w:rsid w:val="07F510CD"/>
    <w:rsid w:val="07F51BC2"/>
    <w:rsid w:val="07F54088"/>
    <w:rsid w:val="07F5AA10"/>
    <w:rsid w:val="07F5DF62"/>
    <w:rsid w:val="07F62F88"/>
    <w:rsid w:val="07F72C15"/>
    <w:rsid w:val="07F72C27"/>
    <w:rsid w:val="07F7958A"/>
    <w:rsid w:val="07F7AAAD"/>
    <w:rsid w:val="07F7EFC3"/>
    <w:rsid w:val="07F87FF2"/>
    <w:rsid w:val="07F95ACB"/>
    <w:rsid w:val="07F9D39C"/>
    <w:rsid w:val="07FA0C63"/>
    <w:rsid w:val="07FA4AA5"/>
    <w:rsid w:val="07FA736D"/>
    <w:rsid w:val="07FAED73"/>
    <w:rsid w:val="07FB3C79"/>
    <w:rsid w:val="07FB729A"/>
    <w:rsid w:val="07FBE2A5"/>
    <w:rsid w:val="07FBFAB9"/>
    <w:rsid w:val="07FD80FE"/>
    <w:rsid w:val="07FDB767"/>
    <w:rsid w:val="07FE952E"/>
    <w:rsid w:val="07FF2FD6"/>
    <w:rsid w:val="08008361"/>
    <w:rsid w:val="08009252"/>
    <w:rsid w:val="0800B26F"/>
    <w:rsid w:val="0800BF15"/>
    <w:rsid w:val="0800F115"/>
    <w:rsid w:val="08025E4F"/>
    <w:rsid w:val="08027FF4"/>
    <w:rsid w:val="08029439"/>
    <w:rsid w:val="08049592"/>
    <w:rsid w:val="08049ADF"/>
    <w:rsid w:val="0804A9B7"/>
    <w:rsid w:val="0804E71A"/>
    <w:rsid w:val="0805B61B"/>
    <w:rsid w:val="0805DA63"/>
    <w:rsid w:val="0805E3DF"/>
    <w:rsid w:val="080691FA"/>
    <w:rsid w:val="0806CD9C"/>
    <w:rsid w:val="0806EDFB"/>
    <w:rsid w:val="08074F72"/>
    <w:rsid w:val="08081546"/>
    <w:rsid w:val="0808716F"/>
    <w:rsid w:val="080976AE"/>
    <w:rsid w:val="0809A2C1"/>
    <w:rsid w:val="080A1A35"/>
    <w:rsid w:val="080A41B2"/>
    <w:rsid w:val="080A756F"/>
    <w:rsid w:val="080A9B15"/>
    <w:rsid w:val="080AD2EE"/>
    <w:rsid w:val="080B0581"/>
    <w:rsid w:val="080B174C"/>
    <w:rsid w:val="080B5A27"/>
    <w:rsid w:val="080B9F7C"/>
    <w:rsid w:val="080BEE93"/>
    <w:rsid w:val="080BFB38"/>
    <w:rsid w:val="080C4D5C"/>
    <w:rsid w:val="080C78F9"/>
    <w:rsid w:val="080C9F49"/>
    <w:rsid w:val="080D4771"/>
    <w:rsid w:val="080D4DFA"/>
    <w:rsid w:val="080D6A2C"/>
    <w:rsid w:val="080DFB8F"/>
    <w:rsid w:val="080E1174"/>
    <w:rsid w:val="080E9687"/>
    <w:rsid w:val="080E98B1"/>
    <w:rsid w:val="080EB628"/>
    <w:rsid w:val="08109227"/>
    <w:rsid w:val="0810D96D"/>
    <w:rsid w:val="0811872D"/>
    <w:rsid w:val="0811A9E8"/>
    <w:rsid w:val="0811E346"/>
    <w:rsid w:val="081209C2"/>
    <w:rsid w:val="08122301"/>
    <w:rsid w:val="08123869"/>
    <w:rsid w:val="08125031"/>
    <w:rsid w:val="081296CA"/>
    <w:rsid w:val="0812C761"/>
    <w:rsid w:val="08132FC9"/>
    <w:rsid w:val="081385B7"/>
    <w:rsid w:val="0813C749"/>
    <w:rsid w:val="081402C2"/>
    <w:rsid w:val="081461AB"/>
    <w:rsid w:val="081484A3"/>
    <w:rsid w:val="0814C1BA"/>
    <w:rsid w:val="0814C6C5"/>
    <w:rsid w:val="0817212C"/>
    <w:rsid w:val="08172B10"/>
    <w:rsid w:val="0817BD0D"/>
    <w:rsid w:val="0817E9A6"/>
    <w:rsid w:val="0817FA38"/>
    <w:rsid w:val="08180C13"/>
    <w:rsid w:val="081861C1"/>
    <w:rsid w:val="0818F126"/>
    <w:rsid w:val="08195C9A"/>
    <w:rsid w:val="08198C91"/>
    <w:rsid w:val="0819BB09"/>
    <w:rsid w:val="081A28A2"/>
    <w:rsid w:val="081A84B3"/>
    <w:rsid w:val="081AFECB"/>
    <w:rsid w:val="081B0E6D"/>
    <w:rsid w:val="081C0C51"/>
    <w:rsid w:val="081C4A34"/>
    <w:rsid w:val="081C61F0"/>
    <w:rsid w:val="081D233E"/>
    <w:rsid w:val="081DBD27"/>
    <w:rsid w:val="081DFBA5"/>
    <w:rsid w:val="081E4FC1"/>
    <w:rsid w:val="081E5CD4"/>
    <w:rsid w:val="081F25AF"/>
    <w:rsid w:val="081FE2EE"/>
    <w:rsid w:val="081FFC98"/>
    <w:rsid w:val="0820D16D"/>
    <w:rsid w:val="0820F470"/>
    <w:rsid w:val="0822ADC7"/>
    <w:rsid w:val="08237034"/>
    <w:rsid w:val="0823E368"/>
    <w:rsid w:val="082457E5"/>
    <w:rsid w:val="0824E64D"/>
    <w:rsid w:val="0825FF64"/>
    <w:rsid w:val="08272CF6"/>
    <w:rsid w:val="08275063"/>
    <w:rsid w:val="082758BC"/>
    <w:rsid w:val="0827E2DB"/>
    <w:rsid w:val="08281121"/>
    <w:rsid w:val="0828389B"/>
    <w:rsid w:val="08286842"/>
    <w:rsid w:val="082885E8"/>
    <w:rsid w:val="0828CEAC"/>
    <w:rsid w:val="0828E885"/>
    <w:rsid w:val="0829F515"/>
    <w:rsid w:val="0829F873"/>
    <w:rsid w:val="082A0217"/>
    <w:rsid w:val="082A2CB3"/>
    <w:rsid w:val="082A5A4A"/>
    <w:rsid w:val="082A94D4"/>
    <w:rsid w:val="082E1170"/>
    <w:rsid w:val="082E5B9E"/>
    <w:rsid w:val="082E6E78"/>
    <w:rsid w:val="082EC058"/>
    <w:rsid w:val="082EF81A"/>
    <w:rsid w:val="082F4EA2"/>
    <w:rsid w:val="082FB8A2"/>
    <w:rsid w:val="082FD1DF"/>
    <w:rsid w:val="082FFB4E"/>
    <w:rsid w:val="0830D0EA"/>
    <w:rsid w:val="0830D704"/>
    <w:rsid w:val="0831921C"/>
    <w:rsid w:val="0831C414"/>
    <w:rsid w:val="08321983"/>
    <w:rsid w:val="08322FCE"/>
    <w:rsid w:val="0832BB44"/>
    <w:rsid w:val="0832C442"/>
    <w:rsid w:val="08331D83"/>
    <w:rsid w:val="08338F0C"/>
    <w:rsid w:val="08339620"/>
    <w:rsid w:val="083461CF"/>
    <w:rsid w:val="08365D98"/>
    <w:rsid w:val="083675C9"/>
    <w:rsid w:val="08369854"/>
    <w:rsid w:val="0836A686"/>
    <w:rsid w:val="0836E01F"/>
    <w:rsid w:val="0837EBEE"/>
    <w:rsid w:val="083844D4"/>
    <w:rsid w:val="08386716"/>
    <w:rsid w:val="08392533"/>
    <w:rsid w:val="083A124E"/>
    <w:rsid w:val="083A2AA6"/>
    <w:rsid w:val="083A5B4D"/>
    <w:rsid w:val="083B13F8"/>
    <w:rsid w:val="083C58C3"/>
    <w:rsid w:val="083C85D3"/>
    <w:rsid w:val="083DF79C"/>
    <w:rsid w:val="083E2EFD"/>
    <w:rsid w:val="083F083A"/>
    <w:rsid w:val="083F3307"/>
    <w:rsid w:val="08401B7A"/>
    <w:rsid w:val="08417BD9"/>
    <w:rsid w:val="0841D84A"/>
    <w:rsid w:val="08424B29"/>
    <w:rsid w:val="0842AA14"/>
    <w:rsid w:val="0842E0CF"/>
    <w:rsid w:val="08435C94"/>
    <w:rsid w:val="0843B74C"/>
    <w:rsid w:val="08448116"/>
    <w:rsid w:val="08449C3C"/>
    <w:rsid w:val="0844D0B7"/>
    <w:rsid w:val="08452206"/>
    <w:rsid w:val="08453154"/>
    <w:rsid w:val="08458E1E"/>
    <w:rsid w:val="0845DF8C"/>
    <w:rsid w:val="08461751"/>
    <w:rsid w:val="08470719"/>
    <w:rsid w:val="084750D0"/>
    <w:rsid w:val="08477E27"/>
    <w:rsid w:val="08491253"/>
    <w:rsid w:val="08491F84"/>
    <w:rsid w:val="0849791A"/>
    <w:rsid w:val="084A59EC"/>
    <w:rsid w:val="084ACE81"/>
    <w:rsid w:val="084BD88A"/>
    <w:rsid w:val="084C534C"/>
    <w:rsid w:val="084C64BD"/>
    <w:rsid w:val="084C7289"/>
    <w:rsid w:val="084D0272"/>
    <w:rsid w:val="084D1D1A"/>
    <w:rsid w:val="084D8C9F"/>
    <w:rsid w:val="084E9A2B"/>
    <w:rsid w:val="084ED6A2"/>
    <w:rsid w:val="084FCC03"/>
    <w:rsid w:val="08504EAF"/>
    <w:rsid w:val="08505912"/>
    <w:rsid w:val="0850BBCD"/>
    <w:rsid w:val="08519E36"/>
    <w:rsid w:val="0852CB2F"/>
    <w:rsid w:val="0853104F"/>
    <w:rsid w:val="0853B471"/>
    <w:rsid w:val="0853EA9C"/>
    <w:rsid w:val="08541E7C"/>
    <w:rsid w:val="08545E52"/>
    <w:rsid w:val="0854AC7D"/>
    <w:rsid w:val="08553ED8"/>
    <w:rsid w:val="0855453F"/>
    <w:rsid w:val="08564E52"/>
    <w:rsid w:val="08566E0E"/>
    <w:rsid w:val="08568481"/>
    <w:rsid w:val="0856A30F"/>
    <w:rsid w:val="08580498"/>
    <w:rsid w:val="08585E1A"/>
    <w:rsid w:val="08589E41"/>
    <w:rsid w:val="08594295"/>
    <w:rsid w:val="085952DF"/>
    <w:rsid w:val="085BB7C5"/>
    <w:rsid w:val="085C1014"/>
    <w:rsid w:val="085CB5CE"/>
    <w:rsid w:val="085CE868"/>
    <w:rsid w:val="085D02F3"/>
    <w:rsid w:val="085DFAC8"/>
    <w:rsid w:val="085E9969"/>
    <w:rsid w:val="085FE47A"/>
    <w:rsid w:val="085FFC8C"/>
    <w:rsid w:val="086075C3"/>
    <w:rsid w:val="086088CA"/>
    <w:rsid w:val="0862111F"/>
    <w:rsid w:val="086268B5"/>
    <w:rsid w:val="08626EE6"/>
    <w:rsid w:val="0863060E"/>
    <w:rsid w:val="08647438"/>
    <w:rsid w:val="0864C7B3"/>
    <w:rsid w:val="086503F2"/>
    <w:rsid w:val="08666814"/>
    <w:rsid w:val="086723E3"/>
    <w:rsid w:val="08674698"/>
    <w:rsid w:val="0867F7FC"/>
    <w:rsid w:val="086825FA"/>
    <w:rsid w:val="08682964"/>
    <w:rsid w:val="0868C5CF"/>
    <w:rsid w:val="0869EE80"/>
    <w:rsid w:val="086AB8E0"/>
    <w:rsid w:val="086AD594"/>
    <w:rsid w:val="086AF042"/>
    <w:rsid w:val="086AFE52"/>
    <w:rsid w:val="086B63D9"/>
    <w:rsid w:val="086B6945"/>
    <w:rsid w:val="086B86EC"/>
    <w:rsid w:val="086B972D"/>
    <w:rsid w:val="086BE552"/>
    <w:rsid w:val="086C2D08"/>
    <w:rsid w:val="086C57CB"/>
    <w:rsid w:val="086C688D"/>
    <w:rsid w:val="086C794A"/>
    <w:rsid w:val="086C918D"/>
    <w:rsid w:val="086E2C97"/>
    <w:rsid w:val="086E48FB"/>
    <w:rsid w:val="086E9591"/>
    <w:rsid w:val="086ECCD5"/>
    <w:rsid w:val="086F02CE"/>
    <w:rsid w:val="086FFE1F"/>
    <w:rsid w:val="0870B8FC"/>
    <w:rsid w:val="0870CA1B"/>
    <w:rsid w:val="0871D286"/>
    <w:rsid w:val="0871EF91"/>
    <w:rsid w:val="0872C3C3"/>
    <w:rsid w:val="08730FEA"/>
    <w:rsid w:val="08737A86"/>
    <w:rsid w:val="0873D2D6"/>
    <w:rsid w:val="0873E9A9"/>
    <w:rsid w:val="08746C70"/>
    <w:rsid w:val="087534F0"/>
    <w:rsid w:val="0875868D"/>
    <w:rsid w:val="0875C64C"/>
    <w:rsid w:val="087608BA"/>
    <w:rsid w:val="08767DBC"/>
    <w:rsid w:val="0876FB73"/>
    <w:rsid w:val="087834BD"/>
    <w:rsid w:val="0878DB08"/>
    <w:rsid w:val="087928B1"/>
    <w:rsid w:val="0879A2B5"/>
    <w:rsid w:val="087A0C8E"/>
    <w:rsid w:val="087A855B"/>
    <w:rsid w:val="087BF575"/>
    <w:rsid w:val="087C251F"/>
    <w:rsid w:val="087C56AD"/>
    <w:rsid w:val="087C87B9"/>
    <w:rsid w:val="087CC62B"/>
    <w:rsid w:val="087DB2B0"/>
    <w:rsid w:val="087DEEB2"/>
    <w:rsid w:val="087F7ED0"/>
    <w:rsid w:val="0880D3A8"/>
    <w:rsid w:val="08817E41"/>
    <w:rsid w:val="0881A409"/>
    <w:rsid w:val="0881AE40"/>
    <w:rsid w:val="0882111E"/>
    <w:rsid w:val="08821A4A"/>
    <w:rsid w:val="08842E7E"/>
    <w:rsid w:val="0884E991"/>
    <w:rsid w:val="08850664"/>
    <w:rsid w:val="08851B04"/>
    <w:rsid w:val="08858E20"/>
    <w:rsid w:val="0885C916"/>
    <w:rsid w:val="0885E538"/>
    <w:rsid w:val="08865F7D"/>
    <w:rsid w:val="0886A98E"/>
    <w:rsid w:val="08873CFC"/>
    <w:rsid w:val="088747E5"/>
    <w:rsid w:val="088760AF"/>
    <w:rsid w:val="0887C36E"/>
    <w:rsid w:val="08887FCF"/>
    <w:rsid w:val="0888F4BF"/>
    <w:rsid w:val="08890839"/>
    <w:rsid w:val="0889A7BB"/>
    <w:rsid w:val="0889E284"/>
    <w:rsid w:val="0889F093"/>
    <w:rsid w:val="088A9B62"/>
    <w:rsid w:val="088B0A41"/>
    <w:rsid w:val="088B349A"/>
    <w:rsid w:val="088BC237"/>
    <w:rsid w:val="088D29B9"/>
    <w:rsid w:val="088D47A7"/>
    <w:rsid w:val="088DB7F1"/>
    <w:rsid w:val="088DC5E5"/>
    <w:rsid w:val="088E544A"/>
    <w:rsid w:val="088EC7A6"/>
    <w:rsid w:val="088EEF0D"/>
    <w:rsid w:val="088F18ED"/>
    <w:rsid w:val="088FEB61"/>
    <w:rsid w:val="08900951"/>
    <w:rsid w:val="08905068"/>
    <w:rsid w:val="089221B2"/>
    <w:rsid w:val="08922ED8"/>
    <w:rsid w:val="08942AF6"/>
    <w:rsid w:val="08947686"/>
    <w:rsid w:val="08949238"/>
    <w:rsid w:val="08949642"/>
    <w:rsid w:val="0894F868"/>
    <w:rsid w:val="0894FB78"/>
    <w:rsid w:val="089574B2"/>
    <w:rsid w:val="0895A8AB"/>
    <w:rsid w:val="0895AEA1"/>
    <w:rsid w:val="0895B2B4"/>
    <w:rsid w:val="0895D645"/>
    <w:rsid w:val="0896B527"/>
    <w:rsid w:val="0897A9CA"/>
    <w:rsid w:val="089820AB"/>
    <w:rsid w:val="08982B41"/>
    <w:rsid w:val="089863CC"/>
    <w:rsid w:val="08988E50"/>
    <w:rsid w:val="089963B1"/>
    <w:rsid w:val="0899B89C"/>
    <w:rsid w:val="089A4640"/>
    <w:rsid w:val="089A5B41"/>
    <w:rsid w:val="089B669D"/>
    <w:rsid w:val="089BA873"/>
    <w:rsid w:val="089BE78C"/>
    <w:rsid w:val="089C4AF4"/>
    <w:rsid w:val="089C9814"/>
    <w:rsid w:val="089CB6C0"/>
    <w:rsid w:val="089CFF83"/>
    <w:rsid w:val="089D0961"/>
    <w:rsid w:val="089DBB00"/>
    <w:rsid w:val="089E3622"/>
    <w:rsid w:val="089E52AA"/>
    <w:rsid w:val="089FEF4A"/>
    <w:rsid w:val="08A01B6A"/>
    <w:rsid w:val="08A05581"/>
    <w:rsid w:val="08A0F5D7"/>
    <w:rsid w:val="08A131BF"/>
    <w:rsid w:val="08A137AC"/>
    <w:rsid w:val="08A1F38B"/>
    <w:rsid w:val="08A2A008"/>
    <w:rsid w:val="08A3634B"/>
    <w:rsid w:val="08A4D7B5"/>
    <w:rsid w:val="08A535AE"/>
    <w:rsid w:val="08A6036A"/>
    <w:rsid w:val="08A614AE"/>
    <w:rsid w:val="08A66434"/>
    <w:rsid w:val="08A6E5EB"/>
    <w:rsid w:val="08A7AA43"/>
    <w:rsid w:val="08A8761E"/>
    <w:rsid w:val="08A9F23A"/>
    <w:rsid w:val="08A9F469"/>
    <w:rsid w:val="08AA1640"/>
    <w:rsid w:val="08AA18B9"/>
    <w:rsid w:val="08AB3664"/>
    <w:rsid w:val="08AC5EA1"/>
    <w:rsid w:val="08AC841C"/>
    <w:rsid w:val="08AC8D9E"/>
    <w:rsid w:val="08AD0176"/>
    <w:rsid w:val="08AD20BB"/>
    <w:rsid w:val="08AD267A"/>
    <w:rsid w:val="08AD5D3B"/>
    <w:rsid w:val="08ADB90E"/>
    <w:rsid w:val="08ADBE6B"/>
    <w:rsid w:val="08AF2937"/>
    <w:rsid w:val="08AF54C0"/>
    <w:rsid w:val="08AFDF9C"/>
    <w:rsid w:val="08B0575C"/>
    <w:rsid w:val="08B0B3CF"/>
    <w:rsid w:val="08B0F40D"/>
    <w:rsid w:val="08B12CFA"/>
    <w:rsid w:val="08B17F3D"/>
    <w:rsid w:val="08B1BD43"/>
    <w:rsid w:val="08B37DEA"/>
    <w:rsid w:val="08B38C73"/>
    <w:rsid w:val="08B3CE36"/>
    <w:rsid w:val="08B41CF7"/>
    <w:rsid w:val="08B45FB0"/>
    <w:rsid w:val="08B53F65"/>
    <w:rsid w:val="08B543CC"/>
    <w:rsid w:val="08B55098"/>
    <w:rsid w:val="08B56FBF"/>
    <w:rsid w:val="08B5BBF0"/>
    <w:rsid w:val="08B61400"/>
    <w:rsid w:val="08B64A29"/>
    <w:rsid w:val="08B69C0D"/>
    <w:rsid w:val="08B6A211"/>
    <w:rsid w:val="08B6F685"/>
    <w:rsid w:val="08B71B98"/>
    <w:rsid w:val="08B734C6"/>
    <w:rsid w:val="08B7698E"/>
    <w:rsid w:val="08B7CE38"/>
    <w:rsid w:val="08B90DB2"/>
    <w:rsid w:val="08B9729E"/>
    <w:rsid w:val="08BA3476"/>
    <w:rsid w:val="08BADE63"/>
    <w:rsid w:val="08BB08B8"/>
    <w:rsid w:val="08BB4B4C"/>
    <w:rsid w:val="08BC09D3"/>
    <w:rsid w:val="08BC9E11"/>
    <w:rsid w:val="08BCF723"/>
    <w:rsid w:val="08BD36A8"/>
    <w:rsid w:val="08BD6D4A"/>
    <w:rsid w:val="08BDDCBC"/>
    <w:rsid w:val="08BE0C68"/>
    <w:rsid w:val="08BE8DFB"/>
    <w:rsid w:val="08BFA628"/>
    <w:rsid w:val="08C0F910"/>
    <w:rsid w:val="08C1636F"/>
    <w:rsid w:val="08C1693A"/>
    <w:rsid w:val="08C21436"/>
    <w:rsid w:val="08C22C4B"/>
    <w:rsid w:val="08C22F59"/>
    <w:rsid w:val="08C251FB"/>
    <w:rsid w:val="08C259E6"/>
    <w:rsid w:val="08C2A518"/>
    <w:rsid w:val="08C349F7"/>
    <w:rsid w:val="08C3DE28"/>
    <w:rsid w:val="08C48084"/>
    <w:rsid w:val="08C4BC52"/>
    <w:rsid w:val="08C50151"/>
    <w:rsid w:val="08C53B44"/>
    <w:rsid w:val="08C62A9C"/>
    <w:rsid w:val="08C62E01"/>
    <w:rsid w:val="08C671AA"/>
    <w:rsid w:val="08C6D611"/>
    <w:rsid w:val="08C7719F"/>
    <w:rsid w:val="08C7CEC1"/>
    <w:rsid w:val="08C89DD5"/>
    <w:rsid w:val="08C8D283"/>
    <w:rsid w:val="08C9503B"/>
    <w:rsid w:val="08C98E9D"/>
    <w:rsid w:val="08CB2420"/>
    <w:rsid w:val="08CB8579"/>
    <w:rsid w:val="08CC25B2"/>
    <w:rsid w:val="08CC5062"/>
    <w:rsid w:val="08CC9357"/>
    <w:rsid w:val="08CCDE18"/>
    <w:rsid w:val="08CCEF57"/>
    <w:rsid w:val="08CD4FF9"/>
    <w:rsid w:val="08CD9A83"/>
    <w:rsid w:val="08CE5D4D"/>
    <w:rsid w:val="08CE6A05"/>
    <w:rsid w:val="08CEA7FB"/>
    <w:rsid w:val="08CEB948"/>
    <w:rsid w:val="08CEFABC"/>
    <w:rsid w:val="08CF01DD"/>
    <w:rsid w:val="08CF3A6D"/>
    <w:rsid w:val="08CFAE8B"/>
    <w:rsid w:val="08CFC23A"/>
    <w:rsid w:val="08D1CC71"/>
    <w:rsid w:val="08D2663D"/>
    <w:rsid w:val="08D2C75E"/>
    <w:rsid w:val="08D3C0D7"/>
    <w:rsid w:val="08D3DE82"/>
    <w:rsid w:val="08D463A3"/>
    <w:rsid w:val="08D4A53C"/>
    <w:rsid w:val="08D51DCD"/>
    <w:rsid w:val="08D54540"/>
    <w:rsid w:val="08D5D0CC"/>
    <w:rsid w:val="08D64EAE"/>
    <w:rsid w:val="08D6708A"/>
    <w:rsid w:val="08D6F3DC"/>
    <w:rsid w:val="08D81AC7"/>
    <w:rsid w:val="08D81D2A"/>
    <w:rsid w:val="08D88BD3"/>
    <w:rsid w:val="08D93451"/>
    <w:rsid w:val="08D9D846"/>
    <w:rsid w:val="08D9F32E"/>
    <w:rsid w:val="08D9FAA0"/>
    <w:rsid w:val="08DAC80B"/>
    <w:rsid w:val="08DACB76"/>
    <w:rsid w:val="08DB77C5"/>
    <w:rsid w:val="08DC4226"/>
    <w:rsid w:val="08DC5757"/>
    <w:rsid w:val="08DD09C5"/>
    <w:rsid w:val="08DD0A4B"/>
    <w:rsid w:val="08DD28B3"/>
    <w:rsid w:val="08DD5021"/>
    <w:rsid w:val="08DDFBEC"/>
    <w:rsid w:val="08DE2416"/>
    <w:rsid w:val="08DFDB0D"/>
    <w:rsid w:val="08E0A146"/>
    <w:rsid w:val="08E12188"/>
    <w:rsid w:val="08E141AB"/>
    <w:rsid w:val="08E2273F"/>
    <w:rsid w:val="08E4DDC9"/>
    <w:rsid w:val="08E4DFD2"/>
    <w:rsid w:val="08E55D1B"/>
    <w:rsid w:val="08E579BA"/>
    <w:rsid w:val="08E680AD"/>
    <w:rsid w:val="08E6C6AA"/>
    <w:rsid w:val="08E6CE9B"/>
    <w:rsid w:val="08E72111"/>
    <w:rsid w:val="08E80F52"/>
    <w:rsid w:val="08E81370"/>
    <w:rsid w:val="08E8AE31"/>
    <w:rsid w:val="08E990B4"/>
    <w:rsid w:val="08E9D09F"/>
    <w:rsid w:val="08EAD398"/>
    <w:rsid w:val="08EB2763"/>
    <w:rsid w:val="08EBB139"/>
    <w:rsid w:val="08EC304F"/>
    <w:rsid w:val="08EC622D"/>
    <w:rsid w:val="08ECBEF6"/>
    <w:rsid w:val="08ED85F0"/>
    <w:rsid w:val="08EDB260"/>
    <w:rsid w:val="08EDEEF7"/>
    <w:rsid w:val="08EE5360"/>
    <w:rsid w:val="08EECF22"/>
    <w:rsid w:val="08EF2702"/>
    <w:rsid w:val="08EF2C02"/>
    <w:rsid w:val="08EFAA9B"/>
    <w:rsid w:val="08F0DFA2"/>
    <w:rsid w:val="08F1590B"/>
    <w:rsid w:val="08F18DF1"/>
    <w:rsid w:val="08F21CF2"/>
    <w:rsid w:val="08F25086"/>
    <w:rsid w:val="08F2FDBC"/>
    <w:rsid w:val="08F2FF04"/>
    <w:rsid w:val="08F30611"/>
    <w:rsid w:val="08F30710"/>
    <w:rsid w:val="08F37D6C"/>
    <w:rsid w:val="08F42783"/>
    <w:rsid w:val="08F456F4"/>
    <w:rsid w:val="08F4BFE3"/>
    <w:rsid w:val="08F5D4C0"/>
    <w:rsid w:val="08F67BD6"/>
    <w:rsid w:val="08F6C69A"/>
    <w:rsid w:val="08F6F5EE"/>
    <w:rsid w:val="08F82C38"/>
    <w:rsid w:val="08F97268"/>
    <w:rsid w:val="08F99879"/>
    <w:rsid w:val="08F9E972"/>
    <w:rsid w:val="08FA874C"/>
    <w:rsid w:val="08FB5FC6"/>
    <w:rsid w:val="08FC1350"/>
    <w:rsid w:val="08FC2B87"/>
    <w:rsid w:val="08FC54B3"/>
    <w:rsid w:val="08FD661F"/>
    <w:rsid w:val="08FDA6DC"/>
    <w:rsid w:val="08FDBD2B"/>
    <w:rsid w:val="08FE2E66"/>
    <w:rsid w:val="08FE2F25"/>
    <w:rsid w:val="08FF6431"/>
    <w:rsid w:val="08FFDD22"/>
    <w:rsid w:val="09007DE5"/>
    <w:rsid w:val="0900ABC3"/>
    <w:rsid w:val="090133D4"/>
    <w:rsid w:val="0901729B"/>
    <w:rsid w:val="09028C98"/>
    <w:rsid w:val="09035A1F"/>
    <w:rsid w:val="09043307"/>
    <w:rsid w:val="0905073C"/>
    <w:rsid w:val="09056BF9"/>
    <w:rsid w:val="0905DB2D"/>
    <w:rsid w:val="0905FDE1"/>
    <w:rsid w:val="09060EB1"/>
    <w:rsid w:val="090612E1"/>
    <w:rsid w:val="0907774D"/>
    <w:rsid w:val="0908862A"/>
    <w:rsid w:val="0908C116"/>
    <w:rsid w:val="09090B06"/>
    <w:rsid w:val="090AA21E"/>
    <w:rsid w:val="090AA7C1"/>
    <w:rsid w:val="090B2BBA"/>
    <w:rsid w:val="090B3827"/>
    <w:rsid w:val="090B667A"/>
    <w:rsid w:val="090BC489"/>
    <w:rsid w:val="090C56B1"/>
    <w:rsid w:val="090C945F"/>
    <w:rsid w:val="090CB7CB"/>
    <w:rsid w:val="090D6958"/>
    <w:rsid w:val="090DD709"/>
    <w:rsid w:val="090DE3CC"/>
    <w:rsid w:val="090E62EA"/>
    <w:rsid w:val="090EA355"/>
    <w:rsid w:val="090EC6E1"/>
    <w:rsid w:val="0910813E"/>
    <w:rsid w:val="0910F422"/>
    <w:rsid w:val="0911B730"/>
    <w:rsid w:val="0911F028"/>
    <w:rsid w:val="0912D0B5"/>
    <w:rsid w:val="0912F62E"/>
    <w:rsid w:val="0913DFB6"/>
    <w:rsid w:val="09143A22"/>
    <w:rsid w:val="09147FB6"/>
    <w:rsid w:val="0914BF8F"/>
    <w:rsid w:val="09156122"/>
    <w:rsid w:val="091691B1"/>
    <w:rsid w:val="091729D3"/>
    <w:rsid w:val="09173157"/>
    <w:rsid w:val="09175F5B"/>
    <w:rsid w:val="0917ED6A"/>
    <w:rsid w:val="0918901D"/>
    <w:rsid w:val="0918CF3D"/>
    <w:rsid w:val="0918EAF3"/>
    <w:rsid w:val="0918FD8D"/>
    <w:rsid w:val="0919FA86"/>
    <w:rsid w:val="091A4F44"/>
    <w:rsid w:val="091A7935"/>
    <w:rsid w:val="091B3FA1"/>
    <w:rsid w:val="091B79BA"/>
    <w:rsid w:val="091BF54A"/>
    <w:rsid w:val="091CE5AA"/>
    <w:rsid w:val="091DBE0B"/>
    <w:rsid w:val="091F50EE"/>
    <w:rsid w:val="091F8E82"/>
    <w:rsid w:val="09200D4C"/>
    <w:rsid w:val="09209B52"/>
    <w:rsid w:val="0920B020"/>
    <w:rsid w:val="0921E25A"/>
    <w:rsid w:val="09220F46"/>
    <w:rsid w:val="09223885"/>
    <w:rsid w:val="09236BF7"/>
    <w:rsid w:val="0923CAC5"/>
    <w:rsid w:val="09243610"/>
    <w:rsid w:val="09250D26"/>
    <w:rsid w:val="092612C9"/>
    <w:rsid w:val="0926D724"/>
    <w:rsid w:val="092706E0"/>
    <w:rsid w:val="092812BD"/>
    <w:rsid w:val="0928F5A4"/>
    <w:rsid w:val="09296670"/>
    <w:rsid w:val="092970DB"/>
    <w:rsid w:val="0929A24A"/>
    <w:rsid w:val="092A1A35"/>
    <w:rsid w:val="092A67C8"/>
    <w:rsid w:val="092B5E6E"/>
    <w:rsid w:val="092C52ED"/>
    <w:rsid w:val="092C8A3C"/>
    <w:rsid w:val="092D0057"/>
    <w:rsid w:val="092D5EEB"/>
    <w:rsid w:val="09303E96"/>
    <w:rsid w:val="09315858"/>
    <w:rsid w:val="09320F7E"/>
    <w:rsid w:val="09324A88"/>
    <w:rsid w:val="0932904C"/>
    <w:rsid w:val="0932C745"/>
    <w:rsid w:val="0932D871"/>
    <w:rsid w:val="09331E5D"/>
    <w:rsid w:val="09332431"/>
    <w:rsid w:val="09353106"/>
    <w:rsid w:val="09359A36"/>
    <w:rsid w:val="0935B4FE"/>
    <w:rsid w:val="0935B889"/>
    <w:rsid w:val="09368F6B"/>
    <w:rsid w:val="09375523"/>
    <w:rsid w:val="09380C6B"/>
    <w:rsid w:val="093A17AB"/>
    <w:rsid w:val="093B7D12"/>
    <w:rsid w:val="093D598D"/>
    <w:rsid w:val="093E4E24"/>
    <w:rsid w:val="093F2ECB"/>
    <w:rsid w:val="093FAC09"/>
    <w:rsid w:val="093FAC32"/>
    <w:rsid w:val="093FEC55"/>
    <w:rsid w:val="09403B05"/>
    <w:rsid w:val="0940429F"/>
    <w:rsid w:val="09405727"/>
    <w:rsid w:val="09408E96"/>
    <w:rsid w:val="0940F8F2"/>
    <w:rsid w:val="09418F7D"/>
    <w:rsid w:val="0941EFDD"/>
    <w:rsid w:val="0941F3E2"/>
    <w:rsid w:val="09424EDB"/>
    <w:rsid w:val="09426B73"/>
    <w:rsid w:val="0943351D"/>
    <w:rsid w:val="0943480A"/>
    <w:rsid w:val="094441FC"/>
    <w:rsid w:val="09447DEC"/>
    <w:rsid w:val="0944DB64"/>
    <w:rsid w:val="094549BD"/>
    <w:rsid w:val="09467DCB"/>
    <w:rsid w:val="0946D197"/>
    <w:rsid w:val="09470D29"/>
    <w:rsid w:val="0947BD8D"/>
    <w:rsid w:val="0947D498"/>
    <w:rsid w:val="0947EA56"/>
    <w:rsid w:val="0949CF4D"/>
    <w:rsid w:val="094A0181"/>
    <w:rsid w:val="094A2291"/>
    <w:rsid w:val="094A6B4D"/>
    <w:rsid w:val="094AC293"/>
    <w:rsid w:val="094AC68F"/>
    <w:rsid w:val="094B2894"/>
    <w:rsid w:val="094BA842"/>
    <w:rsid w:val="094BDCC5"/>
    <w:rsid w:val="094C0892"/>
    <w:rsid w:val="094C3C4C"/>
    <w:rsid w:val="094CB679"/>
    <w:rsid w:val="094CBE3C"/>
    <w:rsid w:val="094E0340"/>
    <w:rsid w:val="094E4A39"/>
    <w:rsid w:val="094EA2AF"/>
    <w:rsid w:val="094EB283"/>
    <w:rsid w:val="095030CF"/>
    <w:rsid w:val="09506139"/>
    <w:rsid w:val="0950B58A"/>
    <w:rsid w:val="0952D9B5"/>
    <w:rsid w:val="09537147"/>
    <w:rsid w:val="09549B45"/>
    <w:rsid w:val="09551EB4"/>
    <w:rsid w:val="095699F4"/>
    <w:rsid w:val="0956ED9A"/>
    <w:rsid w:val="09571CC3"/>
    <w:rsid w:val="095782C5"/>
    <w:rsid w:val="09578364"/>
    <w:rsid w:val="0957F50A"/>
    <w:rsid w:val="095965FD"/>
    <w:rsid w:val="0959B697"/>
    <w:rsid w:val="095A0EE6"/>
    <w:rsid w:val="095D55FC"/>
    <w:rsid w:val="095D652A"/>
    <w:rsid w:val="095DC5C1"/>
    <w:rsid w:val="095E4631"/>
    <w:rsid w:val="095EE5B7"/>
    <w:rsid w:val="095EE944"/>
    <w:rsid w:val="095FDB8E"/>
    <w:rsid w:val="096065FE"/>
    <w:rsid w:val="09609244"/>
    <w:rsid w:val="09609B46"/>
    <w:rsid w:val="09617A4E"/>
    <w:rsid w:val="09626423"/>
    <w:rsid w:val="0962B594"/>
    <w:rsid w:val="09633E60"/>
    <w:rsid w:val="0963D6E0"/>
    <w:rsid w:val="096535F1"/>
    <w:rsid w:val="09653FD9"/>
    <w:rsid w:val="09656549"/>
    <w:rsid w:val="0965CAAB"/>
    <w:rsid w:val="0966A579"/>
    <w:rsid w:val="0966F23D"/>
    <w:rsid w:val="096748BE"/>
    <w:rsid w:val="09677611"/>
    <w:rsid w:val="0968692E"/>
    <w:rsid w:val="0968AE02"/>
    <w:rsid w:val="096941B8"/>
    <w:rsid w:val="09695AB6"/>
    <w:rsid w:val="09696969"/>
    <w:rsid w:val="0969A62D"/>
    <w:rsid w:val="0969D770"/>
    <w:rsid w:val="096A61D2"/>
    <w:rsid w:val="096B0B32"/>
    <w:rsid w:val="096B22D4"/>
    <w:rsid w:val="096B303F"/>
    <w:rsid w:val="096BC39A"/>
    <w:rsid w:val="096C29F6"/>
    <w:rsid w:val="096C7273"/>
    <w:rsid w:val="096CB722"/>
    <w:rsid w:val="096D07F5"/>
    <w:rsid w:val="096DB205"/>
    <w:rsid w:val="096F73B8"/>
    <w:rsid w:val="09701450"/>
    <w:rsid w:val="097136A2"/>
    <w:rsid w:val="0972CF25"/>
    <w:rsid w:val="0972D376"/>
    <w:rsid w:val="0973EC52"/>
    <w:rsid w:val="09744D7C"/>
    <w:rsid w:val="09744FF0"/>
    <w:rsid w:val="0974D777"/>
    <w:rsid w:val="0974EE3D"/>
    <w:rsid w:val="09750D0C"/>
    <w:rsid w:val="0975A64D"/>
    <w:rsid w:val="0975E62C"/>
    <w:rsid w:val="0976384A"/>
    <w:rsid w:val="0976E6F6"/>
    <w:rsid w:val="0977558F"/>
    <w:rsid w:val="09775715"/>
    <w:rsid w:val="0978D563"/>
    <w:rsid w:val="09791282"/>
    <w:rsid w:val="09794572"/>
    <w:rsid w:val="0979C879"/>
    <w:rsid w:val="0979CC36"/>
    <w:rsid w:val="0979E35B"/>
    <w:rsid w:val="097A0E6E"/>
    <w:rsid w:val="097A1318"/>
    <w:rsid w:val="097ABB8C"/>
    <w:rsid w:val="097B658A"/>
    <w:rsid w:val="097B8DE2"/>
    <w:rsid w:val="097C2F8C"/>
    <w:rsid w:val="097C3498"/>
    <w:rsid w:val="097C7A94"/>
    <w:rsid w:val="097DCB41"/>
    <w:rsid w:val="097DF379"/>
    <w:rsid w:val="097E68A6"/>
    <w:rsid w:val="097FDA96"/>
    <w:rsid w:val="098137EB"/>
    <w:rsid w:val="0981E862"/>
    <w:rsid w:val="09824327"/>
    <w:rsid w:val="0982547A"/>
    <w:rsid w:val="0982761C"/>
    <w:rsid w:val="09833016"/>
    <w:rsid w:val="0983ABE5"/>
    <w:rsid w:val="0983C94A"/>
    <w:rsid w:val="0983D21D"/>
    <w:rsid w:val="09844F53"/>
    <w:rsid w:val="09849F5D"/>
    <w:rsid w:val="0984AD09"/>
    <w:rsid w:val="0985790E"/>
    <w:rsid w:val="0985DB35"/>
    <w:rsid w:val="0985FB5E"/>
    <w:rsid w:val="09864DE0"/>
    <w:rsid w:val="0986A65F"/>
    <w:rsid w:val="0986AA34"/>
    <w:rsid w:val="09873694"/>
    <w:rsid w:val="0987C1C0"/>
    <w:rsid w:val="09889D3A"/>
    <w:rsid w:val="0988C64D"/>
    <w:rsid w:val="0988D5DD"/>
    <w:rsid w:val="0989378C"/>
    <w:rsid w:val="0989B551"/>
    <w:rsid w:val="0989CAFA"/>
    <w:rsid w:val="098A0D75"/>
    <w:rsid w:val="098A51E0"/>
    <w:rsid w:val="098B94A6"/>
    <w:rsid w:val="098C5C5C"/>
    <w:rsid w:val="098C84E4"/>
    <w:rsid w:val="098CF7C5"/>
    <w:rsid w:val="098D131C"/>
    <w:rsid w:val="098D2351"/>
    <w:rsid w:val="098E2F11"/>
    <w:rsid w:val="098E9751"/>
    <w:rsid w:val="098F5F8E"/>
    <w:rsid w:val="098F81F6"/>
    <w:rsid w:val="098FAF90"/>
    <w:rsid w:val="0990459F"/>
    <w:rsid w:val="09911217"/>
    <w:rsid w:val="0991AFAE"/>
    <w:rsid w:val="099264A2"/>
    <w:rsid w:val="0992A663"/>
    <w:rsid w:val="099432A6"/>
    <w:rsid w:val="0994F4E4"/>
    <w:rsid w:val="09953BAA"/>
    <w:rsid w:val="09967078"/>
    <w:rsid w:val="0996DDF4"/>
    <w:rsid w:val="09973661"/>
    <w:rsid w:val="0997C309"/>
    <w:rsid w:val="09980AEC"/>
    <w:rsid w:val="09983426"/>
    <w:rsid w:val="0998A4E5"/>
    <w:rsid w:val="0999A86C"/>
    <w:rsid w:val="099A1C5D"/>
    <w:rsid w:val="099A39FA"/>
    <w:rsid w:val="099B2CA6"/>
    <w:rsid w:val="099B6400"/>
    <w:rsid w:val="099B7464"/>
    <w:rsid w:val="099C0709"/>
    <w:rsid w:val="099C1E7C"/>
    <w:rsid w:val="099C48D6"/>
    <w:rsid w:val="099C6D08"/>
    <w:rsid w:val="099C81CC"/>
    <w:rsid w:val="099CAFCC"/>
    <w:rsid w:val="099D64E3"/>
    <w:rsid w:val="099DD71A"/>
    <w:rsid w:val="099DE9FC"/>
    <w:rsid w:val="099E3D10"/>
    <w:rsid w:val="099E82CF"/>
    <w:rsid w:val="099EB4D9"/>
    <w:rsid w:val="099EEE0A"/>
    <w:rsid w:val="099F20BE"/>
    <w:rsid w:val="099F4E44"/>
    <w:rsid w:val="099FB9FB"/>
    <w:rsid w:val="09A1D9E1"/>
    <w:rsid w:val="09A20731"/>
    <w:rsid w:val="09A22C63"/>
    <w:rsid w:val="09A2872C"/>
    <w:rsid w:val="09A350CA"/>
    <w:rsid w:val="09A36918"/>
    <w:rsid w:val="09A393BA"/>
    <w:rsid w:val="09A3D207"/>
    <w:rsid w:val="09A4F381"/>
    <w:rsid w:val="09A510A2"/>
    <w:rsid w:val="09A51149"/>
    <w:rsid w:val="09A54634"/>
    <w:rsid w:val="09A58DF3"/>
    <w:rsid w:val="09A5A985"/>
    <w:rsid w:val="09A673E4"/>
    <w:rsid w:val="09A8553D"/>
    <w:rsid w:val="09A89DD9"/>
    <w:rsid w:val="09A922DF"/>
    <w:rsid w:val="09A9850F"/>
    <w:rsid w:val="09A9C5AD"/>
    <w:rsid w:val="09A9DDE1"/>
    <w:rsid w:val="09AAA8ED"/>
    <w:rsid w:val="09AB974D"/>
    <w:rsid w:val="09ACAB8A"/>
    <w:rsid w:val="09AD513B"/>
    <w:rsid w:val="09AD5915"/>
    <w:rsid w:val="09ADC0B8"/>
    <w:rsid w:val="09AE0BD3"/>
    <w:rsid w:val="09AE502F"/>
    <w:rsid w:val="09AEED7C"/>
    <w:rsid w:val="09AFB20B"/>
    <w:rsid w:val="09AFED95"/>
    <w:rsid w:val="09B0191E"/>
    <w:rsid w:val="09B0365C"/>
    <w:rsid w:val="09B128D1"/>
    <w:rsid w:val="09B14EC6"/>
    <w:rsid w:val="09B159F5"/>
    <w:rsid w:val="09B219CC"/>
    <w:rsid w:val="09B219E8"/>
    <w:rsid w:val="09B24AC0"/>
    <w:rsid w:val="09B2FA36"/>
    <w:rsid w:val="09B39BDD"/>
    <w:rsid w:val="09B41BEF"/>
    <w:rsid w:val="09B52F1C"/>
    <w:rsid w:val="09B5DCA7"/>
    <w:rsid w:val="09B63487"/>
    <w:rsid w:val="09B64034"/>
    <w:rsid w:val="09B738B9"/>
    <w:rsid w:val="09B75625"/>
    <w:rsid w:val="09B780FC"/>
    <w:rsid w:val="09B802C6"/>
    <w:rsid w:val="09B865CE"/>
    <w:rsid w:val="09B8AA31"/>
    <w:rsid w:val="09B8BE0C"/>
    <w:rsid w:val="09B9164F"/>
    <w:rsid w:val="09BAB61B"/>
    <w:rsid w:val="09BBA10D"/>
    <w:rsid w:val="09BBA3DB"/>
    <w:rsid w:val="09BCD41D"/>
    <w:rsid w:val="09BD888E"/>
    <w:rsid w:val="09BD9025"/>
    <w:rsid w:val="09BE6E0C"/>
    <w:rsid w:val="09BE87FB"/>
    <w:rsid w:val="09BFF023"/>
    <w:rsid w:val="09C0EB47"/>
    <w:rsid w:val="09C1336A"/>
    <w:rsid w:val="09C182C6"/>
    <w:rsid w:val="09C35BE8"/>
    <w:rsid w:val="09C397AF"/>
    <w:rsid w:val="09C430A5"/>
    <w:rsid w:val="09C49FCB"/>
    <w:rsid w:val="09C5F43A"/>
    <w:rsid w:val="09C618C1"/>
    <w:rsid w:val="09C6483F"/>
    <w:rsid w:val="09C73F1E"/>
    <w:rsid w:val="09C78065"/>
    <w:rsid w:val="09C79BAF"/>
    <w:rsid w:val="09C7A519"/>
    <w:rsid w:val="09C808F3"/>
    <w:rsid w:val="09C8F8B7"/>
    <w:rsid w:val="09C9BAC5"/>
    <w:rsid w:val="09CA3CBD"/>
    <w:rsid w:val="09CB2F54"/>
    <w:rsid w:val="09CB9BF7"/>
    <w:rsid w:val="09CC2BA5"/>
    <w:rsid w:val="09CCCAC6"/>
    <w:rsid w:val="09CD3692"/>
    <w:rsid w:val="09CDBD2E"/>
    <w:rsid w:val="09CDC972"/>
    <w:rsid w:val="09CDD4A4"/>
    <w:rsid w:val="09CF0180"/>
    <w:rsid w:val="09CF7A51"/>
    <w:rsid w:val="09CFBD66"/>
    <w:rsid w:val="09CFFE4B"/>
    <w:rsid w:val="09D00C9A"/>
    <w:rsid w:val="09D09B50"/>
    <w:rsid w:val="09D1BCF6"/>
    <w:rsid w:val="09D2199A"/>
    <w:rsid w:val="09D32907"/>
    <w:rsid w:val="09D3EE9C"/>
    <w:rsid w:val="09D43148"/>
    <w:rsid w:val="09D442A5"/>
    <w:rsid w:val="09D475E9"/>
    <w:rsid w:val="09D5BEE7"/>
    <w:rsid w:val="09D5C7C9"/>
    <w:rsid w:val="09D6666C"/>
    <w:rsid w:val="09D6C5C6"/>
    <w:rsid w:val="09D6C749"/>
    <w:rsid w:val="09D79BF5"/>
    <w:rsid w:val="09D7EE92"/>
    <w:rsid w:val="09D82AE2"/>
    <w:rsid w:val="09D8542D"/>
    <w:rsid w:val="09D8DB49"/>
    <w:rsid w:val="09D8DCEE"/>
    <w:rsid w:val="09D9198C"/>
    <w:rsid w:val="09D93928"/>
    <w:rsid w:val="09D997D2"/>
    <w:rsid w:val="09D9D10C"/>
    <w:rsid w:val="09DAE120"/>
    <w:rsid w:val="09DAFCCF"/>
    <w:rsid w:val="09DB53E0"/>
    <w:rsid w:val="09DB7E5B"/>
    <w:rsid w:val="09DBF849"/>
    <w:rsid w:val="09DDE4DF"/>
    <w:rsid w:val="09DE2668"/>
    <w:rsid w:val="09DE6475"/>
    <w:rsid w:val="09DF6426"/>
    <w:rsid w:val="09DF668B"/>
    <w:rsid w:val="09DF7069"/>
    <w:rsid w:val="09DF8BCB"/>
    <w:rsid w:val="09DF968D"/>
    <w:rsid w:val="09E008BA"/>
    <w:rsid w:val="09E03A1A"/>
    <w:rsid w:val="09E072E2"/>
    <w:rsid w:val="09E07526"/>
    <w:rsid w:val="09E0D284"/>
    <w:rsid w:val="09E12656"/>
    <w:rsid w:val="09E18AF3"/>
    <w:rsid w:val="09E1D6B0"/>
    <w:rsid w:val="09E22F90"/>
    <w:rsid w:val="09E25B5D"/>
    <w:rsid w:val="09E2A599"/>
    <w:rsid w:val="09E2A98E"/>
    <w:rsid w:val="09E2C6F3"/>
    <w:rsid w:val="09E3F9AA"/>
    <w:rsid w:val="09E4781E"/>
    <w:rsid w:val="09E49022"/>
    <w:rsid w:val="09E4F6F4"/>
    <w:rsid w:val="09E69309"/>
    <w:rsid w:val="09E6C982"/>
    <w:rsid w:val="09E6DB66"/>
    <w:rsid w:val="09E6DE07"/>
    <w:rsid w:val="09E6E4F4"/>
    <w:rsid w:val="09E77825"/>
    <w:rsid w:val="09E81D85"/>
    <w:rsid w:val="09E8924D"/>
    <w:rsid w:val="09E91818"/>
    <w:rsid w:val="09E93B8C"/>
    <w:rsid w:val="09E98DD6"/>
    <w:rsid w:val="09E98DFB"/>
    <w:rsid w:val="09EA2CC4"/>
    <w:rsid w:val="09EA9891"/>
    <w:rsid w:val="09EAAA85"/>
    <w:rsid w:val="09EB7FA4"/>
    <w:rsid w:val="09EBAD4A"/>
    <w:rsid w:val="09EDC8BE"/>
    <w:rsid w:val="09EFCC3E"/>
    <w:rsid w:val="09F0320A"/>
    <w:rsid w:val="09F08507"/>
    <w:rsid w:val="09F0C2BA"/>
    <w:rsid w:val="09F16444"/>
    <w:rsid w:val="09F19808"/>
    <w:rsid w:val="09F1A51D"/>
    <w:rsid w:val="09F251DF"/>
    <w:rsid w:val="09F2FDC7"/>
    <w:rsid w:val="09F32FC9"/>
    <w:rsid w:val="09F424B3"/>
    <w:rsid w:val="09F42CC8"/>
    <w:rsid w:val="09F4681B"/>
    <w:rsid w:val="09F47001"/>
    <w:rsid w:val="09F5721F"/>
    <w:rsid w:val="09F5781B"/>
    <w:rsid w:val="09F62B61"/>
    <w:rsid w:val="09F65A36"/>
    <w:rsid w:val="09F78513"/>
    <w:rsid w:val="09F94F56"/>
    <w:rsid w:val="09F9766A"/>
    <w:rsid w:val="09F9F2D0"/>
    <w:rsid w:val="09F9FE74"/>
    <w:rsid w:val="09FB6A6F"/>
    <w:rsid w:val="09FBA19E"/>
    <w:rsid w:val="09FBB4A4"/>
    <w:rsid w:val="09FBED11"/>
    <w:rsid w:val="09FCDF66"/>
    <w:rsid w:val="09FD32FF"/>
    <w:rsid w:val="09FD3FB2"/>
    <w:rsid w:val="09FD82D5"/>
    <w:rsid w:val="09FE05BB"/>
    <w:rsid w:val="09FF9307"/>
    <w:rsid w:val="0A005ABC"/>
    <w:rsid w:val="0A0104E3"/>
    <w:rsid w:val="0A0110CD"/>
    <w:rsid w:val="0A012025"/>
    <w:rsid w:val="0A0179FA"/>
    <w:rsid w:val="0A01838B"/>
    <w:rsid w:val="0A018918"/>
    <w:rsid w:val="0A01B18F"/>
    <w:rsid w:val="0A01F2BB"/>
    <w:rsid w:val="0A02458A"/>
    <w:rsid w:val="0A02EA5C"/>
    <w:rsid w:val="0A032200"/>
    <w:rsid w:val="0A040229"/>
    <w:rsid w:val="0A04CA92"/>
    <w:rsid w:val="0A056FAC"/>
    <w:rsid w:val="0A05B456"/>
    <w:rsid w:val="0A06587B"/>
    <w:rsid w:val="0A06C860"/>
    <w:rsid w:val="0A06EAE7"/>
    <w:rsid w:val="0A0842EB"/>
    <w:rsid w:val="0A08939B"/>
    <w:rsid w:val="0A0950DF"/>
    <w:rsid w:val="0A09D6A0"/>
    <w:rsid w:val="0A0A8632"/>
    <w:rsid w:val="0A0A8D23"/>
    <w:rsid w:val="0A0B235E"/>
    <w:rsid w:val="0A0B257D"/>
    <w:rsid w:val="0A0B8EB5"/>
    <w:rsid w:val="0A0BF02F"/>
    <w:rsid w:val="0A0C04A0"/>
    <w:rsid w:val="0A0C5390"/>
    <w:rsid w:val="0A0CBDB2"/>
    <w:rsid w:val="0A0D0F78"/>
    <w:rsid w:val="0A0D29FD"/>
    <w:rsid w:val="0A0DADA3"/>
    <w:rsid w:val="0A0DCBA1"/>
    <w:rsid w:val="0A0DEC34"/>
    <w:rsid w:val="0A0EFF36"/>
    <w:rsid w:val="0A0F04BF"/>
    <w:rsid w:val="0A0F43C6"/>
    <w:rsid w:val="0A0F470A"/>
    <w:rsid w:val="0A0F82D7"/>
    <w:rsid w:val="0A0FAC53"/>
    <w:rsid w:val="0A0FBC9D"/>
    <w:rsid w:val="0A0FC36D"/>
    <w:rsid w:val="0A0FC3CD"/>
    <w:rsid w:val="0A0FF461"/>
    <w:rsid w:val="0A1002A3"/>
    <w:rsid w:val="0A100B2D"/>
    <w:rsid w:val="0A101443"/>
    <w:rsid w:val="0A103240"/>
    <w:rsid w:val="0A105F19"/>
    <w:rsid w:val="0A109562"/>
    <w:rsid w:val="0A10EE15"/>
    <w:rsid w:val="0A114702"/>
    <w:rsid w:val="0A11DF05"/>
    <w:rsid w:val="0A1218B3"/>
    <w:rsid w:val="0A133B39"/>
    <w:rsid w:val="0A134407"/>
    <w:rsid w:val="0A13C6F7"/>
    <w:rsid w:val="0A145DE3"/>
    <w:rsid w:val="0A14713E"/>
    <w:rsid w:val="0A149E75"/>
    <w:rsid w:val="0A14C6EE"/>
    <w:rsid w:val="0A151E6A"/>
    <w:rsid w:val="0A160493"/>
    <w:rsid w:val="0A1614B0"/>
    <w:rsid w:val="0A16667A"/>
    <w:rsid w:val="0A16CF74"/>
    <w:rsid w:val="0A17A07C"/>
    <w:rsid w:val="0A17E4C9"/>
    <w:rsid w:val="0A17F57D"/>
    <w:rsid w:val="0A18D4DD"/>
    <w:rsid w:val="0A19FAA6"/>
    <w:rsid w:val="0A1A0FF4"/>
    <w:rsid w:val="0A1A2972"/>
    <w:rsid w:val="0A1AAAC2"/>
    <w:rsid w:val="0A1ABA8C"/>
    <w:rsid w:val="0A1B1292"/>
    <w:rsid w:val="0A1B37CB"/>
    <w:rsid w:val="0A1B401E"/>
    <w:rsid w:val="0A1B6E8A"/>
    <w:rsid w:val="0A1BC55A"/>
    <w:rsid w:val="0A1C0C29"/>
    <w:rsid w:val="0A1CF1D6"/>
    <w:rsid w:val="0A1E9DA4"/>
    <w:rsid w:val="0A1EBED3"/>
    <w:rsid w:val="0A1F86F8"/>
    <w:rsid w:val="0A1F8DD2"/>
    <w:rsid w:val="0A200397"/>
    <w:rsid w:val="0A20BD8B"/>
    <w:rsid w:val="0A20D196"/>
    <w:rsid w:val="0A21F6DC"/>
    <w:rsid w:val="0A22266F"/>
    <w:rsid w:val="0A22A20E"/>
    <w:rsid w:val="0A22B994"/>
    <w:rsid w:val="0A23B886"/>
    <w:rsid w:val="0A23C515"/>
    <w:rsid w:val="0A24BAB9"/>
    <w:rsid w:val="0A2541EF"/>
    <w:rsid w:val="0A256277"/>
    <w:rsid w:val="0A264013"/>
    <w:rsid w:val="0A2673FB"/>
    <w:rsid w:val="0A26B2A7"/>
    <w:rsid w:val="0A26C788"/>
    <w:rsid w:val="0A27479C"/>
    <w:rsid w:val="0A2752BA"/>
    <w:rsid w:val="0A27B81A"/>
    <w:rsid w:val="0A28152F"/>
    <w:rsid w:val="0A2897B2"/>
    <w:rsid w:val="0A28A38B"/>
    <w:rsid w:val="0A28D96E"/>
    <w:rsid w:val="0A290EC0"/>
    <w:rsid w:val="0A29544A"/>
    <w:rsid w:val="0A29B131"/>
    <w:rsid w:val="0A2A0EB0"/>
    <w:rsid w:val="0A2A5C27"/>
    <w:rsid w:val="0A2A8331"/>
    <w:rsid w:val="0A2AC707"/>
    <w:rsid w:val="0A2BA15A"/>
    <w:rsid w:val="0A2C2C62"/>
    <w:rsid w:val="0A2DA300"/>
    <w:rsid w:val="0A2E2F1D"/>
    <w:rsid w:val="0A2E5FBD"/>
    <w:rsid w:val="0A2EB14E"/>
    <w:rsid w:val="0A2FD4AC"/>
    <w:rsid w:val="0A300628"/>
    <w:rsid w:val="0A301F82"/>
    <w:rsid w:val="0A30667B"/>
    <w:rsid w:val="0A30D0E1"/>
    <w:rsid w:val="0A310D16"/>
    <w:rsid w:val="0A3122A7"/>
    <w:rsid w:val="0A32C9C3"/>
    <w:rsid w:val="0A32F9E7"/>
    <w:rsid w:val="0A336B14"/>
    <w:rsid w:val="0A339305"/>
    <w:rsid w:val="0A33A75A"/>
    <w:rsid w:val="0A348240"/>
    <w:rsid w:val="0A352E3D"/>
    <w:rsid w:val="0A364649"/>
    <w:rsid w:val="0A3692E2"/>
    <w:rsid w:val="0A36EA5E"/>
    <w:rsid w:val="0A373442"/>
    <w:rsid w:val="0A376E9E"/>
    <w:rsid w:val="0A37D3AF"/>
    <w:rsid w:val="0A37E4FE"/>
    <w:rsid w:val="0A38EEF3"/>
    <w:rsid w:val="0A39C4FC"/>
    <w:rsid w:val="0A39F5F3"/>
    <w:rsid w:val="0A3AC3DB"/>
    <w:rsid w:val="0A3AD42C"/>
    <w:rsid w:val="0A3B41F5"/>
    <w:rsid w:val="0A3B5290"/>
    <w:rsid w:val="0A3B9E3D"/>
    <w:rsid w:val="0A3BBAC1"/>
    <w:rsid w:val="0A3CC4B0"/>
    <w:rsid w:val="0A3DCB39"/>
    <w:rsid w:val="0A3DE594"/>
    <w:rsid w:val="0A3E0A35"/>
    <w:rsid w:val="0A3E3778"/>
    <w:rsid w:val="0A3F629E"/>
    <w:rsid w:val="0A3F741C"/>
    <w:rsid w:val="0A3FB17B"/>
    <w:rsid w:val="0A3FEA60"/>
    <w:rsid w:val="0A40906B"/>
    <w:rsid w:val="0A40CA35"/>
    <w:rsid w:val="0A4140E3"/>
    <w:rsid w:val="0A418728"/>
    <w:rsid w:val="0A41B7B2"/>
    <w:rsid w:val="0A424002"/>
    <w:rsid w:val="0A427C7D"/>
    <w:rsid w:val="0A4303C9"/>
    <w:rsid w:val="0A445EE5"/>
    <w:rsid w:val="0A4487A8"/>
    <w:rsid w:val="0A44A061"/>
    <w:rsid w:val="0A45B8AF"/>
    <w:rsid w:val="0A4762F9"/>
    <w:rsid w:val="0A47834F"/>
    <w:rsid w:val="0A478EF3"/>
    <w:rsid w:val="0A47B713"/>
    <w:rsid w:val="0A489711"/>
    <w:rsid w:val="0A48A573"/>
    <w:rsid w:val="0A494DB8"/>
    <w:rsid w:val="0A497555"/>
    <w:rsid w:val="0A498C0D"/>
    <w:rsid w:val="0A4A837C"/>
    <w:rsid w:val="0A4AD562"/>
    <w:rsid w:val="0A4CC9EA"/>
    <w:rsid w:val="0A4D2FC8"/>
    <w:rsid w:val="0A4D4CDD"/>
    <w:rsid w:val="0A4DAFD2"/>
    <w:rsid w:val="0A4DBB2F"/>
    <w:rsid w:val="0A4ED8A9"/>
    <w:rsid w:val="0A4EF455"/>
    <w:rsid w:val="0A4F6FED"/>
    <w:rsid w:val="0A4FA6C8"/>
    <w:rsid w:val="0A4FF246"/>
    <w:rsid w:val="0A509443"/>
    <w:rsid w:val="0A51B099"/>
    <w:rsid w:val="0A51B2F6"/>
    <w:rsid w:val="0A51C0CB"/>
    <w:rsid w:val="0A51DD94"/>
    <w:rsid w:val="0A5248CD"/>
    <w:rsid w:val="0A558A2F"/>
    <w:rsid w:val="0A559BA4"/>
    <w:rsid w:val="0A55ED70"/>
    <w:rsid w:val="0A56BDB5"/>
    <w:rsid w:val="0A571E0F"/>
    <w:rsid w:val="0A582E78"/>
    <w:rsid w:val="0A5854BD"/>
    <w:rsid w:val="0A591C95"/>
    <w:rsid w:val="0A599CCE"/>
    <w:rsid w:val="0A5A7DC9"/>
    <w:rsid w:val="0A5BCBFF"/>
    <w:rsid w:val="0A5BD373"/>
    <w:rsid w:val="0A5C08E6"/>
    <w:rsid w:val="0A5C2FDF"/>
    <w:rsid w:val="0A5C700F"/>
    <w:rsid w:val="0A5C9924"/>
    <w:rsid w:val="0A5CED10"/>
    <w:rsid w:val="0A5D0155"/>
    <w:rsid w:val="0A5E1EBE"/>
    <w:rsid w:val="0A5E7CEC"/>
    <w:rsid w:val="0A5FB94B"/>
    <w:rsid w:val="0A600E4C"/>
    <w:rsid w:val="0A60FC6D"/>
    <w:rsid w:val="0A616762"/>
    <w:rsid w:val="0A61965D"/>
    <w:rsid w:val="0A62DA64"/>
    <w:rsid w:val="0A634989"/>
    <w:rsid w:val="0A6365D2"/>
    <w:rsid w:val="0A63EDD3"/>
    <w:rsid w:val="0A63F742"/>
    <w:rsid w:val="0A64CA24"/>
    <w:rsid w:val="0A64E2F0"/>
    <w:rsid w:val="0A657DC5"/>
    <w:rsid w:val="0A669EB1"/>
    <w:rsid w:val="0A6755A6"/>
    <w:rsid w:val="0A679E22"/>
    <w:rsid w:val="0A67B2FD"/>
    <w:rsid w:val="0A67DE24"/>
    <w:rsid w:val="0A67F86C"/>
    <w:rsid w:val="0A686016"/>
    <w:rsid w:val="0A68866C"/>
    <w:rsid w:val="0A68D0E4"/>
    <w:rsid w:val="0A6A250A"/>
    <w:rsid w:val="0A6A779B"/>
    <w:rsid w:val="0A6A8F55"/>
    <w:rsid w:val="0A6B0E8E"/>
    <w:rsid w:val="0A6B441A"/>
    <w:rsid w:val="0A6BC8AB"/>
    <w:rsid w:val="0A6C07CA"/>
    <w:rsid w:val="0A6C52EA"/>
    <w:rsid w:val="0A6C5D47"/>
    <w:rsid w:val="0A6C8E38"/>
    <w:rsid w:val="0A6CF691"/>
    <w:rsid w:val="0A6D27D3"/>
    <w:rsid w:val="0A6D708F"/>
    <w:rsid w:val="0A6DE23F"/>
    <w:rsid w:val="0A6F18C3"/>
    <w:rsid w:val="0A6FDEC5"/>
    <w:rsid w:val="0A6FF589"/>
    <w:rsid w:val="0A70142B"/>
    <w:rsid w:val="0A703440"/>
    <w:rsid w:val="0A708081"/>
    <w:rsid w:val="0A70DD77"/>
    <w:rsid w:val="0A70ED82"/>
    <w:rsid w:val="0A71AE43"/>
    <w:rsid w:val="0A724B1D"/>
    <w:rsid w:val="0A726A64"/>
    <w:rsid w:val="0A729FBD"/>
    <w:rsid w:val="0A72A740"/>
    <w:rsid w:val="0A72AD49"/>
    <w:rsid w:val="0A731924"/>
    <w:rsid w:val="0A735EFB"/>
    <w:rsid w:val="0A740C3B"/>
    <w:rsid w:val="0A749861"/>
    <w:rsid w:val="0A7508C5"/>
    <w:rsid w:val="0A765C1C"/>
    <w:rsid w:val="0A76650C"/>
    <w:rsid w:val="0A76FE45"/>
    <w:rsid w:val="0A772E6E"/>
    <w:rsid w:val="0A7823DD"/>
    <w:rsid w:val="0A7856DE"/>
    <w:rsid w:val="0A7B4D55"/>
    <w:rsid w:val="0A7BA4B2"/>
    <w:rsid w:val="0A7C5483"/>
    <w:rsid w:val="0A7C555E"/>
    <w:rsid w:val="0A7C6C3F"/>
    <w:rsid w:val="0A7CC76A"/>
    <w:rsid w:val="0A7D1C2A"/>
    <w:rsid w:val="0A7D238A"/>
    <w:rsid w:val="0A7D3BAC"/>
    <w:rsid w:val="0A7D4DAB"/>
    <w:rsid w:val="0A7D754A"/>
    <w:rsid w:val="0A7D8475"/>
    <w:rsid w:val="0A7DE097"/>
    <w:rsid w:val="0A7EB60E"/>
    <w:rsid w:val="0A7F13E4"/>
    <w:rsid w:val="0A7F4D13"/>
    <w:rsid w:val="0A806687"/>
    <w:rsid w:val="0A806815"/>
    <w:rsid w:val="0A807C5B"/>
    <w:rsid w:val="0A808DC8"/>
    <w:rsid w:val="0A80F30F"/>
    <w:rsid w:val="0A8191EB"/>
    <w:rsid w:val="0A820E7F"/>
    <w:rsid w:val="0A821CA7"/>
    <w:rsid w:val="0A826ACA"/>
    <w:rsid w:val="0A82780B"/>
    <w:rsid w:val="0A828D6E"/>
    <w:rsid w:val="0A82BA9F"/>
    <w:rsid w:val="0A839CF0"/>
    <w:rsid w:val="0A84B6F3"/>
    <w:rsid w:val="0A84CCC2"/>
    <w:rsid w:val="0A850368"/>
    <w:rsid w:val="0A8593D6"/>
    <w:rsid w:val="0A85C088"/>
    <w:rsid w:val="0A85D2A7"/>
    <w:rsid w:val="0A85DC68"/>
    <w:rsid w:val="0A86B101"/>
    <w:rsid w:val="0A86C298"/>
    <w:rsid w:val="0A875C21"/>
    <w:rsid w:val="0A877759"/>
    <w:rsid w:val="0A88E8F5"/>
    <w:rsid w:val="0A89DD66"/>
    <w:rsid w:val="0A89E417"/>
    <w:rsid w:val="0A8AC5B6"/>
    <w:rsid w:val="0A8B162D"/>
    <w:rsid w:val="0A8B187F"/>
    <w:rsid w:val="0A8B5455"/>
    <w:rsid w:val="0A8B9139"/>
    <w:rsid w:val="0A8C385E"/>
    <w:rsid w:val="0A8D35C3"/>
    <w:rsid w:val="0A8D5200"/>
    <w:rsid w:val="0A8E47B1"/>
    <w:rsid w:val="0A8E8F7E"/>
    <w:rsid w:val="0A8EE17A"/>
    <w:rsid w:val="0A8FC375"/>
    <w:rsid w:val="0A8FEEB8"/>
    <w:rsid w:val="0A903CF1"/>
    <w:rsid w:val="0A90DFC1"/>
    <w:rsid w:val="0A927FDA"/>
    <w:rsid w:val="0A929F06"/>
    <w:rsid w:val="0A92A40A"/>
    <w:rsid w:val="0A936295"/>
    <w:rsid w:val="0A9387CD"/>
    <w:rsid w:val="0A942DF2"/>
    <w:rsid w:val="0A959C94"/>
    <w:rsid w:val="0A95ACAA"/>
    <w:rsid w:val="0A9682B8"/>
    <w:rsid w:val="0A9719F6"/>
    <w:rsid w:val="0A97A66D"/>
    <w:rsid w:val="0A97E31D"/>
    <w:rsid w:val="0A9A1978"/>
    <w:rsid w:val="0A9A7D5A"/>
    <w:rsid w:val="0A9A8E43"/>
    <w:rsid w:val="0A9AD61D"/>
    <w:rsid w:val="0A9BFAEF"/>
    <w:rsid w:val="0A9C0B9C"/>
    <w:rsid w:val="0A9C8528"/>
    <w:rsid w:val="0A9C91B5"/>
    <w:rsid w:val="0A9CD2A6"/>
    <w:rsid w:val="0A9D36F7"/>
    <w:rsid w:val="0A9D6B7B"/>
    <w:rsid w:val="0A9D7FD6"/>
    <w:rsid w:val="0A9D91D1"/>
    <w:rsid w:val="0A9DDCDB"/>
    <w:rsid w:val="0A9DE21B"/>
    <w:rsid w:val="0A9E3E5E"/>
    <w:rsid w:val="0A9EDC40"/>
    <w:rsid w:val="0A9EF120"/>
    <w:rsid w:val="0A9FAC6F"/>
    <w:rsid w:val="0AA002BE"/>
    <w:rsid w:val="0AA0C949"/>
    <w:rsid w:val="0AA10947"/>
    <w:rsid w:val="0AA1120A"/>
    <w:rsid w:val="0AA18920"/>
    <w:rsid w:val="0AA1E4C9"/>
    <w:rsid w:val="0AA1ECD2"/>
    <w:rsid w:val="0AA33D31"/>
    <w:rsid w:val="0AA33F14"/>
    <w:rsid w:val="0AA3EA59"/>
    <w:rsid w:val="0AA43A29"/>
    <w:rsid w:val="0AA68597"/>
    <w:rsid w:val="0AA796E1"/>
    <w:rsid w:val="0AA80046"/>
    <w:rsid w:val="0AA89962"/>
    <w:rsid w:val="0AA9D4BE"/>
    <w:rsid w:val="0AAA0489"/>
    <w:rsid w:val="0AAA32DE"/>
    <w:rsid w:val="0AAA4732"/>
    <w:rsid w:val="0AAA6BAF"/>
    <w:rsid w:val="0AAB5F24"/>
    <w:rsid w:val="0AAB7AAC"/>
    <w:rsid w:val="0AAB7E5F"/>
    <w:rsid w:val="0AAB8E5B"/>
    <w:rsid w:val="0AAE22CD"/>
    <w:rsid w:val="0AAF12CB"/>
    <w:rsid w:val="0AAF5F75"/>
    <w:rsid w:val="0AAFCC7F"/>
    <w:rsid w:val="0AAFD071"/>
    <w:rsid w:val="0AAFEE9B"/>
    <w:rsid w:val="0AB02B21"/>
    <w:rsid w:val="0AB06EC3"/>
    <w:rsid w:val="0AB25D2C"/>
    <w:rsid w:val="0AB27CAB"/>
    <w:rsid w:val="0AB30024"/>
    <w:rsid w:val="0AB30ECE"/>
    <w:rsid w:val="0AB32415"/>
    <w:rsid w:val="0AB32EC8"/>
    <w:rsid w:val="0AB36C63"/>
    <w:rsid w:val="0AB3790E"/>
    <w:rsid w:val="0AB3C346"/>
    <w:rsid w:val="0AB3EF14"/>
    <w:rsid w:val="0AB40EF8"/>
    <w:rsid w:val="0AB4611D"/>
    <w:rsid w:val="0AB4D09B"/>
    <w:rsid w:val="0AB4EBC0"/>
    <w:rsid w:val="0AB5551F"/>
    <w:rsid w:val="0AB6C6ED"/>
    <w:rsid w:val="0AB6CD23"/>
    <w:rsid w:val="0AB83394"/>
    <w:rsid w:val="0AB87800"/>
    <w:rsid w:val="0AB8B1C8"/>
    <w:rsid w:val="0AB95DC3"/>
    <w:rsid w:val="0ABB2678"/>
    <w:rsid w:val="0ABBB472"/>
    <w:rsid w:val="0ABBD597"/>
    <w:rsid w:val="0ABC60E1"/>
    <w:rsid w:val="0ABC945A"/>
    <w:rsid w:val="0ABCA8D3"/>
    <w:rsid w:val="0ABD9080"/>
    <w:rsid w:val="0ABE15BC"/>
    <w:rsid w:val="0ABF2FE8"/>
    <w:rsid w:val="0ABF59E8"/>
    <w:rsid w:val="0AC0723F"/>
    <w:rsid w:val="0AC08FEF"/>
    <w:rsid w:val="0AC17415"/>
    <w:rsid w:val="0AC201E7"/>
    <w:rsid w:val="0AC21D68"/>
    <w:rsid w:val="0AC3794E"/>
    <w:rsid w:val="0AC46EDE"/>
    <w:rsid w:val="0AC536D1"/>
    <w:rsid w:val="0AC5D9D6"/>
    <w:rsid w:val="0AC60497"/>
    <w:rsid w:val="0AC6FDE1"/>
    <w:rsid w:val="0AC7370C"/>
    <w:rsid w:val="0AC73BA0"/>
    <w:rsid w:val="0AC841CD"/>
    <w:rsid w:val="0AC8FE80"/>
    <w:rsid w:val="0ACAB18C"/>
    <w:rsid w:val="0ACAFB17"/>
    <w:rsid w:val="0ACB1DF9"/>
    <w:rsid w:val="0ACB89E5"/>
    <w:rsid w:val="0ACC15D2"/>
    <w:rsid w:val="0ACC7FBF"/>
    <w:rsid w:val="0ACD63BA"/>
    <w:rsid w:val="0ACD8A11"/>
    <w:rsid w:val="0ACE6579"/>
    <w:rsid w:val="0ACF0D3A"/>
    <w:rsid w:val="0ACF272D"/>
    <w:rsid w:val="0ACF6460"/>
    <w:rsid w:val="0AD07B02"/>
    <w:rsid w:val="0AD1BAF3"/>
    <w:rsid w:val="0AD280AE"/>
    <w:rsid w:val="0AD28C7A"/>
    <w:rsid w:val="0AD346A9"/>
    <w:rsid w:val="0AD38D58"/>
    <w:rsid w:val="0AD4AF43"/>
    <w:rsid w:val="0AD4BEC2"/>
    <w:rsid w:val="0AD54EA0"/>
    <w:rsid w:val="0AD57D4F"/>
    <w:rsid w:val="0AD639B1"/>
    <w:rsid w:val="0AD69C9F"/>
    <w:rsid w:val="0AD6ADF0"/>
    <w:rsid w:val="0AD6F328"/>
    <w:rsid w:val="0AD8C168"/>
    <w:rsid w:val="0AD9186B"/>
    <w:rsid w:val="0ADA7C26"/>
    <w:rsid w:val="0ADAF919"/>
    <w:rsid w:val="0ADB8DF0"/>
    <w:rsid w:val="0ADBD247"/>
    <w:rsid w:val="0ADC6EE2"/>
    <w:rsid w:val="0ADC7CF6"/>
    <w:rsid w:val="0ADD6AF0"/>
    <w:rsid w:val="0ADDD62B"/>
    <w:rsid w:val="0ADDF48D"/>
    <w:rsid w:val="0ADDFD3B"/>
    <w:rsid w:val="0ADE2C37"/>
    <w:rsid w:val="0ADEA16A"/>
    <w:rsid w:val="0ADF1157"/>
    <w:rsid w:val="0ADF3E21"/>
    <w:rsid w:val="0ADFA960"/>
    <w:rsid w:val="0AE003C5"/>
    <w:rsid w:val="0AE0784B"/>
    <w:rsid w:val="0AE11B00"/>
    <w:rsid w:val="0AE234B6"/>
    <w:rsid w:val="0AE2824F"/>
    <w:rsid w:val="0AE3A543"/>
    <w:rsid w:val="0AE5AF43"/>
    <w:rsid w:val="0AE5DDDD"/>
    <w:rsid w:val="0AE6323C"/>
    <w:rsid w:val="0AE66FD3"/>
    <w:rsid w:val="0AE7671F"/>
    <w:rsid w:val="0AE7A0DF"/>
    <w:rsid w:val="0AE7BEE7"/>
    <w:rsid w:val="0AE7C114"/>
    <w:rsid w:val="0AE8F2F0"/>
    <w:rsid w:val="0AE8FAA3"/>
    <w:rsid w:val="0AE912F7"/>
    <w:rsid w:val="0AE9781E"/>
    <w:rsid w:val="0AEA3128"/>
    <w:rsid w:val="0AEA3ACB"/>
    <w:rsid w:val="0AEA9D3F"/>
    <w:rsid w:val="0AEAD826"/>
    <w:rsid w:val="0AEB3DBA"/>
    <w:rsid w:val="0AEBABF8"/>
    <w:rsid w:val="0AEBE5ED"/>
    <w:rsid w:val="0AEC73F4"/>
    <w:rsid w:val="0AEC96BF"/>
    <w:rsid w:val="0AEC99E2"/>
    <w:rsid w:val="0AECBC1E"/>
    <w:rsid w:val="0AECD720"/>
    <w:rsid w:val="0AED6BE4"/>
    <w:rsid w:val="0AEDD1CB"/>
    <w:rsid w:val="0AEE3023"/>
    <w:rsid w:val="0AEE75AD"/>
    <w:rsid w:val="0AEF72FF"/>
    <w:rsid w:val="0AEFD573"/>
    <w:rsid w:val="0AF15AA9"/>
    <w:rsid w:val="0AF1748B"/>
    <w:rsid w:val="0AF1A5B1"/>
    <w:rsid w:val="0AF25236"/>
    <w:rsid w:val="0AF2A286"/>
    <w:rsid w:val="0AF2CA9D"/>
    <w:rsid w:val="0AF39A1E"/>
    <w:rsid w:val="0AF3BF4D"/>
    <w:rsid w:val="0AF3EB8D"/>
    <w:rsid w:val="0AF4BF0B"/>
    <w:rsid w:val="0AF4E789"/>
    <w:rsid w:val="0AF5A775"/>
    <w:rsid w:val="0AF5EAE8"/>
    <w:rsid w:val="0AF63168"/>
    <w:rsid w:val="0AF6880F"/>
    <w:rsid w:val="0AF6F580"/>
    <w:rsid w:val="0AF6FA9A"/>
    <w:rsid w:val="0AF704D2"/>
    <w:rsid w:val="0AF750FF"/>
    <w:rsid w:val="0AF9D7D4"/>
    <w:rsid w:val="0AFB05BD"/>
    <w:rsid w:val="0AFB5D21"/>
    <w:rsid w:val="0AFC9F56"/>
    <w:rsid w:val="0AFD70E2"/>
    <w:rsid w:val="0AFDC389"/>
    <w:rsid w:val="0AFDC760"/>
    <w:rsid w:val="0AFDFAC5"/>
    <w:rsid w:val="0AFE0681"/>
    <w:rsid w:val="0AFEBB0C"/>
    <w:rsid w:val="0AFF2448"/>
    <w:rsid w:val="0AFF2DC1"/>
    <w:rsid w:val="0AFF5194"/>
    <w:rsid w:val="0AFFC216"/>
    <w:rsid w:val="0AFFC703"/>
    <w:rsid w:val="0B01C4E2"/>
    <w:rsid w:val="0B01D874"/>
    <w:rsid w:val="0B01E1D6"/>
    <w:rsid w:val="0B01EC02"/>
    <w:rsid w:val="0B027FDF"/>
    <w:rsid w:val="0B03313B"/>
    <w:rsid w:val="0B0347AF"/>
    <w:rsid w:val="0B036785"/>
    <w:rsid w:val="0B04017A"/>
    <w:rsid w:val="0B042EAA"/>
    <w:rsid w:val="0B04BBB6"/>
    <w:rsid w:val="0B04F35E"/>
    <w:rsid w:val="0B053D81"/>
    <w:rsid w:val="0B054F08"/>
    <w:rsid w:val="0B059746"/>
    <w:rsid w:val="0B06C2CA"/>
    <w:rsid w:val="0B074F77"/>
    <w:rsid w:val="0B0788AE"/>
    <w:rsid w:val="0B07B637"/>
    <w:rsid w:val="0B086497"/>
    <w:rsid w:val="0B0899E3"/>
    <w:rsid w:val="0B09C42D"/>
    <w:rsid w:val="0B0A3F67"/>
    <w:rsid w:val="0B0A509B"/>
    <w:rsid w:val="0B0AA9D7"/>
    <w:rsid w:val="0B0ACEFF"/>
    <w:rsid w:val="0B0B067E"/>
    <w:rsid w:val="0B0B81C0"/>
    <w:rsid w:val="0B0B9008"/>
    <w:rsid w:val="0B0B99D6"/>
    <w:rsid w:val="0B0CFE18"/>
    <w:rsid w:val="0B0D6F63"/>
    <w:rsid w:val="0B0DA726"/>
    <w:rsid w:val="0B0DB2EA"/>
    <w:rsid w:val="0B0DC272"/>
    <w:rsid w:val="0B0DC42D"/>
    <w:rsid w:val="0B0DFD1B"/>
    <w:rsid w:val="0B0ECB89"/>
    <w:rsid w:val="0B0EE727"/>
    <w:rsid w:val="0B0F00B5"/>
    <w:rsid w:val="0B0F3B36"/>
    <w:rsid w:val="0B0FACD7"/>
    <w:rsid w:val="0B11D129"/>
    <w:rsid w:val="0B11E66C"/>
    <w:rsid w:val="0B120CD2"/>
    <w:rsid w:val="0B121A67"/>
    <w:rsid w:val="0B122122"/>
    <w:rsid w:val="0B1369FE"/>
    <w:rsid w:val="0B148673"/>
    <w:rsid w:val="0B150418"/>
    <w:rsid w:val="0B150A45"/>
    <w:rsid w:val="0B155E40"/>
    <w:rsid w:val="0B1711C7"/>
    <w:rsid w:val="0B180EB0"/>
    <w:rsid w:val="0B183D29"/>
    <w:rsid w:val="0B190E40"/>
    <w:rsid w:val="0B1910B7"/>
    <w:rsid w:val="0B19583A"/>
    <w:rsid w:val="0B199E3C"/>
    <w:rsid w:val="0B19A56D"/>
    <w:rsid w:val="0B19AC75"/>
    <w:rsid w:val="0B1B143D"/>
    <w:rsid w:val="0B1BC91C"/>
    <w:rsid w:val="0B1C41DE"/>
    <w:rsid w:val="0B1C922D"/>
    <w:rsid w:val="0B1DD023"/>
    <w:rsid w:val="0B1E33E4"/>
    <w:rsid w:val="0B1F0B0A"/>
    <w:rsid w:val="0B1F3FDD"/>
    <w:rsid w:val="0B1F5614"/>
    <w:rsid w:val="0B209ECA"/>
    <w:rsid w:val="0B20F21C"/>
    <w:rsid w:val="0B21BE3F"/>
    <w:rsid w:val="0B22E073"/>
    <w:rsid w:val="0B239390"/>
    <w:rsid w:val="0B246023"/>
    <w:rsid w:val="0B24AE68"/>
    <w:rsid w:val="0B259DA5"/>
    <w:rsid w:val="0B26187C"/>
    <w:rsid w:val="0B265823"/>
    <w:rsid w:val="0B277A5F"/>
    <w:rsid w:val="0B27D1D1"/>
    <w:rsid w:val="0B2948F2"/>
    <w:rsid w:val="0B296FA9"/>
    <w:rsid w:val="0B2AE696"/>
    <w:rsid w:val="0B2B3271"/>
    <w:rsid w:val="0B2C176A"/>
    <w:rsid w:val="0B2C5565"/>
    <w:rsid w:val="0B2C5FA6"/>
    <w:rsid w:val="0B2C708C"/>
    <w:rsid w:val="0B2E5F2B"/>
    <w:rsid w:val="0B2E6A99"/>
    <w:rsid w:val="0B2F570F"/>
    <w:rsid w:val="0B2FC720"/>
    <w:rsid w:val="0B3015C7"/>
    <w:rsid w:val="0B307FB7"/>
    <w:rsid w:val="0B30DA36"/>
    <w:rsid w:val="0B30EB87"/>
    <w:rsid w:val="0B310009"/>
    <w:rsid w:val="0B313C4E"/>
    <w:rsid w:val="0B314583"/>
    <w:rsid w:val="0B315438"/>
    <w:rsid w:val="0B319E91"/>
    <w:rsid w:val="0B31C87A"/>
    <w:rsid w:val="0B324244"/>
    <w:rsid w:val="0B32D74B"/>
    <w:rsid w:val="0B338056"/>
    <w:rsid w:val="0B33E5AF"/>
    <w:rsid w:val="0B33F2F2"/>
    <w:rsid w:val="0B342CEA"/>
    <w:rsid w:val="0B34B27A"/>
    <w:rsid w:val="0B35D1A9"/>
    <w:rsid w:val="0B35FE73"/>
    <w:rsid w:val="0B38E56C"/>
    <w:rsid w:val="0B392318"/>
    <w:rsid w:val="0B3A2F9D"/>
    <w:rsid w:val="0B3B6B3C"/>
    <w:rsid w:val="0B3B9C16"/>
    <w:rsid w:val="0B3C95AC"/>
    <w:rsid w:val="0B3CADB1"/>
    <w:rsid w:val="0B3D4C03"/>
    <w:rsid w:val="0B3D841E"/>
    <w:rsid w:val="0B3DE801"/>
    <w:rsid w:val="0B3E30A1"/>
    <w:rsid w:val="0B3E6627"/>
    <w:rsid w:val="0B3F3A81"/>
    <w:rsid w:val="0B400243"/>
    <w:rsid w:val="0B40040A"/>
    <w:rsid w:val="0B406526"/>
    <w:rsid w:val="0B41C7BC"/>
    <w:rsid w:val="0B424D09"/>
    <w:rsid w:val="0B42BA8A"/>
    <w:rsid w:val="0B42CAFC"/>
    <w:rsid w:val="0B4363F0"/>
    <w:rsid w:val="0B43E24F"/>
    <w:rsid w:val="0B452B0D"/>
    <w:rsid w:val="0B455110"/>
    <w:rsid w:val="0B4578E2"/>
    <w:rsid w:val="0B4648D8"/>
    <w:rsid w:val="0B468ACB"/>
    <w:rsid w:val="0B46C3AF"/>
    <w:rsid w:val="0B472FC8"/>
    <w:rsid w:val="0B47421B"/>
    <w:rsid w:val="0B47978C"/>
    <w:rsid w:val="0B481850"/>
    <w:rsid w:val="0B4924BC"/>
    <w:rsid w:val="0B49D64F"/>
    <w:rsid w:val="0B49E385"/>
    <w:rsid w:val="0B4A35B4"/>
    <w:rsid w:val="0B4A4BC3"/>
    <w:rsid w:val="0B4AE550"/>
    <w:rsid w:val="0B4B065E"/>
    <w:rsid w:val="0B4B31A6"/>
    <w:rsid w:val="0B4B91B6"/>
    <w:rsid w:val="0B4B93D4"/>
    <w:rsid w:val="0B4B9C9D"/>
    <w:rsid w:val="0B4BCE28"/>
    <w:rsid w:val="0B4C30AE"/>
    <w:rsid w:val="0B4CD1A0"/>
    <w:rsid w:val="0B4CDB7F"/>
    <w:rsid w:val="0B4D30F4"/>
    <w:rsid w:val="0B4E4F75"/>
    <w:rsid w:val="0B4E6931"/>
    <w:rsid w:val="0B4EA49E"/>
    <w:rsid w:val="0B4ED003"/>
    <w:rsid w:val="0B4EEDE1"/>
    <w:rsid w:val="0B4EF429"/>
    <w:rsid w:val="0B4F04AD"/>
    <w:rsid w:val="0B4F4553"/>
    <w:rsid w:val="0B4F6A64"/>
    <w:rsid w:val="0B4F7643"/>
    <w:rsid w:val="0B4F9455"/>
    <w:rsid w:val="0B4FE5BA"/>
    <w:rsid w:val="0B50114C"/>
    <w:rsid w:val="0B501A8B"/>
    <w:rsid w:val="0B501F93"/>
    <w:rsid w:val="0B5046F3"/>
    <w:rsid w:val="0B5135F4"/>
    <w:rsid w:val="0B5160C5"/>
    <w:rsid w:val="0B52272D"/>
    <w:rsid w:val="0B52653F"/>
    <w:rsid w:val="0B53877D"/>
    <w:rsid w:val="0B53EA2E"/>
    <w:rsid w:val="0B540D5D"/>
    <w:rsid w:val="0B541AF6"/>
    <w:rsid w:val="0B546F83"/>
    <w:rsid w:val="0B56E618"/>
    <w:rsid w:val="0B573A10"/>
    <w:rsid w:val="0B574B86"/>
    <w:rsid w:val="0B5811CD"/>
    <w:rsid w:val="0B588EA6"/>
    <w:rsid w:val="0B592B6F"/>
    <w:rsid w:val="0B596F56"/>
    <w:rsid w:val="0B597BCD"/>
    <w:rsid w:val="0B599334"/>
    <w:rsid w:val="0B5B6546"/>
    <w:rsid w:val="0B5B9A68"/>
    <w:rsid w:val="0B5BAC24"/>
    <w:rsid w:val="0B5BE9F1"/>
    <w:rsid w:val="0B5BEC2A"/>
    <w:rsid w:val="0B5C5B77"/>
    <w:rsid w:val="0B5CF54E"/>
    <w:rsid w:val="0B5DE3E3"/>
    <w:rsid w:val="0B5E2436"/>
    <w:rsid w:val="0B5EC4A7"/>
    <w:rsid w:val="0B5ED656"/>
    <w:rsid w:val="0B5EDF5E"/>
    <w:rsid w:val="0B5EE0C9"/>
    <w:rsid w:val="0B5F018F"/>
    <w:rsid w:val="0B5F76B4"/>
    <w:rsid w:val="0B5FBA7F"/>
    <w:rsid w:val="0B5FBCAD"/>
    <w:rsid w:val="0B5FEA02"/>
    <w:rsid w:val="0B602BC0"/>
    <w:rsid w:val="0B6034BF"/>
    <w:rsid w:val="0B6065B9"/>
    <w:rsid w:val="0B60EC50"/>
    <w:rsid w:val="0B61170A"/>
    <w:rsid w:val="0B61C545"/>
    <w:rsid w:val="0B6245C5"/>
    <w:rsid w:val="0B624E75"/>
    <w:rsid w:val="0B6279C3"/>
    <w:rsid w:val="0B63303F"/>
    <w:rsid w:val="0B633FD2"/>
    <w:rsid w:val="0B6381C3"/>
    <w:rsid w:val="0B63855F"/>
    <w:rsid w:val="0B63BD6C"/>
    <w:rsid w:val="0B63E46F"/>
    <w:rsid w:val="0B640096"/>
    <w:rsid w:val="0B640173"/>
    <w:rsid w:val="0B642708"/>
    <w:rsid w:val="0B64D556"/>
    <w:rsid w:val="0B650ECB"/>
    <w:rsid w:val="0B651AB9"/>
    <w:rsid w:val="0B652EB5"/>
    <w:rsid w:val="0B654016"/>
    <w:rsid w:val="0B65BB45"/>
    <w:rsid w:val="0B6604A7"/>
    <w:rsid w:val="0B664CA9"/>
    <w:rsid w:val="0B66BEB5"/>
    <w:rsid w:val="0B672EA0"/>
    <w:rsid w:val="0B6776B5"/>
    <w:rsid w:val="0B67BF4D"/>
    <w:rsid w:val="0B67DDFA"/>
    <w:rsid w:val="0B682EE5"/>
    <w:rsid w:val="0B689B4E"/>
    <w:rsid w:val="0B68A478"/>
    <w:rsid w:val="0B6B3FA8"/>
    <w:rsid w:val="0B6CA401"/>
    <w:rsid w:val="0B6CAA7A"/>
    <w:rsid w:val="0B6CCDA6"/>
    <w:rsid w:val="0B6D3B43"/>
    <w:rsid w:val="0B6D7621"/>
    <w:rsid w:val="0B6E4D4F"/>
    <w:rsid w:val="0B6F0698"/>
    <w:rsid w:val="0B6F604D"/>
    <w:rsid w:val="0B6FA467"/>
    <w:rsid w:val="0B6FE0E0"/>
    <w:rsid w:val="0B6FFF7C"/>
    <w:rsid w:val="0B70F84D"/>
    <w:rsid w:val="0B71AC59"/>
    <w:rsid w:val="0B71CF5F"/>
    <w:rsid w:val="0B71FDC0"/>
    <w:rsid w:val="0B7227FF"/>
    <w:rsid w:val="0B72F3CD"/>
    <w:rsid w:val="0B73114B"/>
    <w:rsid w:val="0B733B52"/>
    <w:rsid w:val="0B734CDD"/>
    <w:rsid w:val="0B737634"/>
    <w:rsid w:val="0B747C18"/>
    <w:rsid w:val="0B755903"/>
    <w:rsid w:val="0B760F6E"/>
    <w:rsid w:val="0B76FE7C"/>
    <w:rsid w:val="0B781F77"/>
    <w:rsid w:val="0B782418"/>
    <w:rsid w:val="0B784DD3"/>
    <w:rsid w:val="0B784EDA"/>
    <w:rsid w:val="0B78A112"/>
    <w:rsid w:val="0B7A143B"/>
    <w:rsid w:val="0B7A2B5E"/>
    <w:rsid w:val="0B7B4217"/>
    <w:rsid w:val="0B7B77F2"/>
    <w:rsid w:val="0B7D7CCA"/>
    <w:rsid w:val="0B7DD46C"/>
    <w:rsid w:val="0B7E159F"/>
    <w:rsid w:val="0B7EC3E6"/>
    <w:rsid w:val="0B7F4CD6"/>
    <w:rsid w:val="0B802553"/>
    <w:rsid w:val="0B810D99"/>
    <w:rsid w:val="0B8142AF"/>
    <w:rsid w:val="0B824204"/>
    <w:rsid w:val="0B82CEA6"/>
    <w:rsid w:val="0B833D56"/>
    <w:rsid w:val="0B83951A"/>
    <w:rsid w:val="0B83CC09"/>
    <w:rsid w:val="0B83F70C"/>
    <w:rsid w:val="0B841182"/>
    <w:rsid w:val="0B841360"/>
    <w:rsid w:val="0B844C2A"/>
    <w:rsid w:val="0B848B09"/>
    <w:rsid w:val="0B84C44B"/>
    <w:rsid w:val="0B84DDD8"/>
    <w:rsid w:val="0B852FC5"/>
    <w:rsid w:val="0B85EBBE"/>
    <w:rsid w:val="0B862CDD"/>
    <w:rsid w:val="0B865D33"/>
    <w:rsid w:val="0B86A78B"/>
    <w:rsid w:val="0B8758C8"/>
    <w:rsid w:val="0B876E9E"/>
    <w:rsid w:val="0B87BC34"/>
    <w:rsid w:val="0B87D59C"/>
    <w:rsid w:val="0B88DF1E"/>
    <w:rsid w:val="0B88E801"/>
    <w:rsid w:val="0B88EAC2"/>
    <w:rsid w:val="0B8A0804"/>
    <w:rsid w:val="0B8A4A65"/>
    <w:rsid w:val="0B8B07F7"/>
    <w:rsid w:val="0B8B1026"/>
    <w:rsid w:val="0B8B16A4"/>
    <w:rsid w:val="0B8BA611"/>
    <w:rsid w:val="0B8C27CD"/>
    <w:rsid w:val="0B8C5EB3"/>
    <w:rsid w:val="0B8DC7C8"/>
    <w:rsid w:val="0B8E6F15"/>
    <w:rsid w:val="0B8F1A8C"/>
    <w:rsid w:val="0B8F66BE"/>
    <w:rsid w:val="0B8FA768"/>
    <w:rsid w:val="0B8FF8F5"/>
    <w:rsid w:val="0B901201"/>
    <w:rsid w:val="0B901802"/>
    <w:rsid w:val="0B903145"/>
    <w:rsid w:val="0B903A15"/>
    <w:rsid w:val="0B903FFB"/>
    <w:rsid w:val="0B90C521"/>
    <w:rsid w:val="0B90E991"/>
    <w:rsid w:val="0B913F72"/>
    <w:rsid w:val="0B9145F8"/>
    <w:rsid w:val="0B917EAD"/>
    <w:rsid w:val="0B93BE6E"/>
    <w:rsid w:val="0B9542B1"/>
    <w:rsid w:val="0B955B45"/>
    <w:rsid w:val="0B959F07"/>
    <w:rsid w:val="0B95F9EB"/>
    <w:rsid w:val="0B96465C"/>
    <w:rsid w:val="0B96E26D"/>
    <w:rsid w:val="0B973EF7"/>
    <w:rsid w:val="0B974DC7"/>
    <w:rsid w:val="0B978027"/>
    <w:rsid w:val="0B978ADA"/>
    <w:rsid w:val="0B97BD70"/>
    <w:rsid w:val="0B98A8ED"/>
    <w:rsid w:val="0B99A29C"/>
    <w:rsid w:val="0B9A87F8"/>
    <w:rsid w:val="0B9C01CA"/>
    <w:rsid w:val="0B9C957C"/>
    <w:rsid w:val="0B9CBA15"/>
    <w:rsid w:val="0B9CBD7F"/>
    <w:rsid w:val="0B9D8DFB"/>
    <w:rsid w:val="0B9F54F6"/>
    <w:rsid w:val="0BA00DCB"/>
    <w:rsid w:val="0BA09E97"/>
    <w:rsid w:val="0BA0B0BB"/>
    <w:rsid w:val="0BA202AB"/>
    <w:rsid w:val="0BA20719"/>
    <w:rsid w:val="0BA248F7"/>
    <w:rsid w:val="0BA2F32C"/>
    <w:rsid w:val="0BA2FD8F"/>
    <w:rsid w:val="0BA39C80"/>
    <w:rsid w:val="0BA3CA60"/>
    <w:rsid w:val="0BA4DD82"/>
    <w:rsid w:val="0BA52CAD"/>
    <w:rsid w:val="0BA5406C"/>
    <w:rsid w:val="0BA5762B"/>
    <w:rsid w:val="0BA5CBBF"/>
    <w:rsid w:val="0BA61C04"/>
    <w:rsid w:val="0BA63029"/>
    <w:rsid w:val="0BA65A7C"/>
    <w:rsid w:val="0BA6CE35"/>
    <w:rsid w:val="0BA7747E"/>
    <w:rsid w:val="0BA86270"/>
    <w:rsid w:val="0BA89CC8"/>
    <w:rsid w:val="0BA96BF3"/>
    <w:rsid w:val="0BA9B8A7"/>
    <w:rsid w:val="0BA9ED72"/>
    <w:rsid w:val="0BAA56CD"/>
    <w:rsid w:val="0BAAAD9F"/>
    <w:rsid w:val="0BAADF14"/>
    <w:rsid w:val="0BAAE760"/>
    <w:rsid w:val="0BAAEA12"/>
    <w:rsid w:val="0BAB22BE"/>
    <w:rsid w:val="0BAB7EF4"/>
    <w:rsid w:val="0BAB93D2"/>
    <w:rsid w:val="0BABD574"/>
    <w:rsid w:val="0BAC7539"/>
    <w:rsid w:val="0BAC79E9"/>
    <w:rsid w:val="0BACCBC4"/>
    <w:rsid w:val="0BACDD9B"/>
    <w:rsid w:val="0BADC52F"/>
    <w:rsid w:val="0BADD15F"/>
    <w:rsid w:val="0BAE0140"/>
    <w:rsid w:val="0BAE5EA4"/>
    <w:rsid w:val="0BAE7C0A"/>
    <w:rsid w:val="0BAEC98E"/>
    <w:rsid w:val="0BAEE49B"/>
    <w:rsid w:val="0BAF38A0"/>
    <w:rsid w:val="0BAF584D"/>
    <w:rsid w:val="0BAF9EE6"/>
    <w:rsid w:val="0BAFAC42"/>
    <w:rsid w:val="0BB07390"/>
    <w:rsid w:val="0BB10245"/>
    <w:rsid w:val="0BB12CD3"/>
    <w:rsid w:val="0BB1A396"/>
    <w:rsid w:val="0BB1B7BF"/>
    <w:rsid w:val="0BB1C5E4"/>
    <w:rsid w:val="0BB2378A"/>
    <w:rsid w:val="0BB250DC"/>
    <w:rsid w:val="0BB3C4AF"/>
    <w:rsid w:val="0BB3E51C"/>
    <w:rsid w:val="0BB465C3"/>
    <w:rsid w:val="0BB4B799"/>
    <w:rsid w:val="0BB55C88"/>
    <w:rsid w:val="0BB5D93E"/>
    <w:rsid w:val="0BB616AD"/>
    <w:rsid w:val="0BB62CE5"/>
    <w:rsid w:val="0BB64567"/>
    <w:rsid w:val="0BB77E7D"/>
    <w:rsid w:val="0BB78ECF"/>
    <w:rsid w:val="0BB7A122"/>
    <w:rsid w:val="0BB7B9FB"/>
    <w:rsid w:val="0BB7EC21"/>
    <w:rsid w:val="0BB803BB"/>
    <w:rsid w:val="0BB8C911"/>
    <w:rsid w:val="0BB951D4"/>
    <w:rsid w:val="0BB98742"/>
    <w:rsid w:val="0BB9B160"/>
    <w:rsid w:val="0BB9CDB5"/>
    <w:rsid w:val="0BBA1094"/>
    <w:rsid w:val="0BBA79FE"/>
    <w:rsid w:val="0BBAB5B0"/>
    <w:rsid w:val="0BBD22C3"/>
    <w:rsid w:val="0BBD583A"/>
    <w:rsid w:val="0BBD867E"/>
    <w:rsid w:val="0BBE1A30"/>
    <w:rsid w:val="0BBE4A87"/>
    <w:rsid w:val="0BBE62F1"/>
    <w:rsid w:val="0BBE8063"/>
    <w:rsid w:val="0BBFAE35"/>
    <w:rsid w:val="0BBFF32C"/>
    <w:rsid w:val="0BC03CFB"/>
    <w:rsid w:val="0BC046BB"/>
    <w:rsid w:val="0BC0A139"/>
    <w:rsid w:val="0BC1006B"/>
    <w:rsid w:val="0BC22D6C"/>
    <w:rsid w:val="0BC28590"/>
    <w:rsid w:val="0BC28A8C"/>
    <w:rsid w:val="0BC4B657"/>
    <w:rsid w:val="0BC4F8BF"/>
    <w:rsid w:val="0BC5A874"/>
    <w:rsid w:val="0BC69237"/>
    <w:rsid w:val="0BC6B72F"/>
    <w:rsid w:val="0BC76ED3"/>
    <w:rsid w:val="0BC7C06C"/>
    <w:rsid w:val="0BC7F248"/>
    <w:rsid w:val="0BC88F82"/>
    <w:rsid w:val="0BC92B82"/>
    <w:rsid w:val="0BC9B4E5"/>
    <w:rsid w:val="0BCA8125"/>
    <w:rsid w:val="0BCAE4E0"/>
    <w:rsid w:val="0BCB083D"/>
    <w:rsid w:val="0BCB81F5"/>
    <w:rsid w:val="0BCBBCC9"/>
    <w:rsid w:val="0BCDA623"/>
    <w:rsid w:val="0BCECB74"/>
    <w:rsid w:val="0BCFA2A0"/>
    <w:rsid w:val="0BCFB089"/>
    <w:rsid w:val="0BD153F2"/>
    <w:rsid w:val="0BD1B92B"/>
    <w:rsid w:val="0BD1DC71"/>
    <w:rsid w:val="0BD342B4"/>
    <w:rsid w:val="0BD3C374"/>
    <w:rsid w:val="0BD5315C"/>
    <w:rsid w:val="0BD6961C"/>
    <w:rsid w:val="0BD6A508"/>
    <w:rsid w:val="0BD73472"/>
    <w:rsid w:val="0BD76D8B"/>
    <w:rsid w:val="0BD7B08F"/>
    <w:rsid w:val="0BD88FAA"/>
    <w:rsid w:val="0BD92AB0"/>
    <w:rsid w:val="0BD942A7"/>
    <w:rsid w:val="0BD975BA"/>
    <w:rsid w:val="0BD9995F"/>
    <w:rsid w:val="0BDB7338"/>
    <w:rsid w:val="0BDB7C6C"/>
    <w:rsid w:val="0BDB9AD9"/>
    <w:rsid w:val="0BDC55CE"/>
    <w:rsid w:val="0BDD041C"/>
    <w:rsid w:val="0BDD24B5"/>
    <w:rsid w:val="0BDD6937"/>
    <w:rsid w:val="0BDE9C12"/>
    <w:rsid w:val="0BDF154C"/>
    <w:rsid w:val="0BDF27B9"/>
    <w:rsid w:val="0BDF320F"/>
    <w:rsid w:val="0BDF48A6"/>
    <w:rsid w:val="0BDF96B4"/>
    <w:rsid w:val="0BDFAD28"/>
    <w:rsid w:val="0BDFCC3B"/>
    <w:rsid w:val="0BE09B4C"/>
    <w:rsid w:val="0BE1152D"/>
    <w:rsid w:val="0BE302C9"/>
    <w:rsid w:val="0BE36BAF"/>
    <w:rsid w:val="0BE4CC72"/>
    <w:rsid w:val="0BE529DE"/>
    <w:rsid w:val="0BE63DD1"/>
    <w:rsid w:val="0BE75487"/>
    <w:rsid w:val="0BE785E6"/>
    <w:rsid w:val="0BE8A561"/>
    <w:rsid w:val="0BE9CC81"/>
    <w:rsid w:val="0BEA4B63"/>
    <w:rsid w:val="0BEA9CD3"/>
    <w:rsid w:val="0BEAF351"/>
    <w:rsid w:val="0BEBA158"/>
    <w:rsid w:val="0BEBACE3"/>
    <w:rsid w:val="0BEBB888"/>
    <w:rsid w:val="0BEC6848"/>
    <w:rsid w:val="0BECCDC1"/>
    <w:rsid w:val="0BEDA688"/>
    <w:rsid w:val="0BEE0112"/>
    <w:rsid w:val="0BEE0486"/>
    <w:rsid w:val="0BF06B91"/>
    <w:rsid w:val="0BF07089"/>
    <w:rsid w:val="0BF17083"/>
    <w:rsid w:val="0BF1C582"/>
    <w:rsid w:val="0BF262FD"/>
    <w:rsid w:val="0BF3026C"/>
    <w:rsid w:val="0BF3B7DF"/>
    <w:rsid w:val="0BF3C14E"/>
    <w:rsid w:val="0BF3ECEB"/>
    <w:rsid w:val="0BF423CC"/>
    <w:rsid w:val="0BF53439"/>
    <w:rsid w:val="0BF549A7"/>
    <w:rsid w:val="0BF5C96D"/>
    <w:rsid w:val="0BF5F004"/>
    <w:rsid w:val="0BF67488"/>
    <w:rsid w:val="0BF6AC6F"/>
    <w:rsid w:val="0BF6AE73"/>
    <w:rsid w:val="0BF6E390"/>
    <w:rsid w:val="0BF7149C"/>
    <w:rsid w:val="0BF72E8A"/>
    <w:rsid w:val="0BF7CB0B"/>
    <w:rsid w:val="0BF7CFF1"/>
    <w:rsid w:val="0BF7D222"/>
    <w:rsid w:val="0BF88DDE"/>
    <w:rsid w:val="0BF8DFE3"/>
    <w:rsid w:val="0BF93201"/>
    <w:rsid w:val="0BF949CF"/>
    <w:rsid w:val="0BF97D69"/>
    <w:rsid w:val="0BF99CB0"/>
    <w:rsid w:val="0BFA1358"/>
    <w:rsid w:val="0BFA745D"/>
    <w:rsid w:val="0BFB300D"/>
    <w:rsid w:val="0BFBBA34"/>
    <w:rsid w:val="0BFBC6E6"/>
    <w:rsid w:val="0BFBCF4C"/>
    <w:rsid w:val="0BFC4D67"/>
    <w:rsid w:val="0BFCA9BA"/>
    <w:rsid w:val="0BFDA396"/>
    <w:rsid w:val="0BFEC514"/>
    <w:rsid w:val="0C00B071"/>
    <w:rsid w:val="0C018C2F"/>
    <w:rsid w:val="0C01A0A4"/>
    <w:rsid w:val="0C02CC57"/>
    <w:rsid w:val="0C02E715"/>
    <w:rsid w:val="0C02ECBE"/>
    <w:rsid w:val="0C0386BE"/>
    <w:rsid w:val="0C03E616"/>
    <w:rsid w:val="0C054477"/>
    <w:rsid w:val="0C054B44"/>
    <w:rsid w:val="0C06304B"/>
    <w:rsid w:val="0C06B2E7"/>
    <w:rsid w:val="0C074A4A"/>
    <w:rsid w:val="0C085133"/>
    <w:rsid w:val="0C0851E3"/>
    <w:rsid w:val="0C08A42C"/>
    <w:rsid w:val="0C08DC76"/>
    <w:rsid w:val="0C08DD57"/>
    <w:rsid w:val="0C0956B1"/>
    <w:rsid w:val="0C097BCA"/>
    <w:rsid w:val="0C09847E"/>
    <w:rsid w:val="0C099D41"/>
    <w:rsid w:val="0C0B60CE"/>
    <w:rsid w:val="0C0BF359"/>
    <w:rsid w:val="0C0CA286"/>
    <w:rsid w:val="0C0CCDB3"/>
    <w:rsid w:val="0C0DA200"/>
    <w:rsid w:val="0C0DC302"/>
    <w:rsid w:val="0C0DCD0C"/>
    <w:rsid w:val="0C0DEE12"/>
    <w:rsid w:val="0C0E4A71"/>
    <w:rsid w:val="0C0E96D2"/>
    <w:rsid w:val="0C0EBC34"/>
    <w:rsid w:val="0C0ED334"/>
    <w:rsid w:val="0C0F33F5"/>
    <w:rsid w:val="0C0F40A2"/>
    <w:rsid w:val="0C0F7BAA"/>
    <w:rsid w:val="0C10208C"/>
    <w:rsid w:val="0C103C83"/>
    <w:rsid w:val="0C10AEFC"/>
    <w:rsid w:val="0C1113AB"/>
    <w:rsid w:val="0C114BE4"/>
    <w:rsid w:val="0C12D5E8"/>
    <w:rsid w:val="0C13568C"/>
    <w:rsid w:val="0C13DFA8"/>
    <w:rsid w:val="0C1448E7"/>
    <w:rsid w:val="0C145227"/>
    <w:rsid w:val="0C1484F7"/>
    <w:rsid w:val="0C14BC15"/>
    <w:rsid w:val="0C14EACA"/>
    <w:rsid w:val="0C1572C3"/>
    <w:rsid w:val="0C16597C"/>
    <w:rsid w:val="0C166C6E"/>
    <w:rsid w:val="0C16AC85"/>
    <w:rsid w:val="0C174487"/>
    <w:rsid w:val="0C182C48"/>
    <w:rsid w:val="0C18D4CA"/>
    <w:rsid w:val="0C1921AD"/>
    <w:rsid w:val="0C197716"/>
    <w:rsid w:val="0C19AC6C"/>
    <w:rsid w:val="0C19CEEB"/>
    <w:rsid w:val="0C1A06D7"/>
    <w:rsid w:val="0C1AB8F5"/>
    <w:rsid w:val="0C1ACB70"/>
    <w:rsid w:val="0C1B5959"/>
    <w:rsid w:val="0C1BA451"/>
    <w:rsid w:val="0C1CD600"/>
    <w:rsid w:val="0C1D8251"/>
    <w:rsid w:val="0C1DA6EC"/>
    <w:rsid w:val="0C1DAE3C"/>
    <w:rsid w:val="0C1DBC77"/>
    <w:rsid w:val="0C1EDDD5"/>
    <w:rsid w:val="0C1FC3FE"/>
    <w:rsid w:val="0C20382C"/>
    <w:rsid w:val="0C203A3F"/>
    <w:rsid w:val="0C208440"/>
    <w:rsid w:val="0C22226E"/>
    <w:rsid w:val="0C22D41B"/>
    <w:rsid w:val="0C230B59"/>
    <w:rsid w:val="0C235F28"/>
    <w:rsid w:val="0C23A765"/>
    <w:rsid w:val="0C23CA59"/>
    <w:rsid w:val="0C24DDCB"/>
    <w:rsid w:val="0C24E687"/>
    <w:rsid w:val="0C251A5C"/>
    <w:rsid w:val="0C258894"/>
    <w:rsid w:val="0C25B70B"/>
    <w:rsid w:val="0C261EC5"/>
    <w:rsid w:val="0C2663C8"/>
    <w:rsid w:val="0C2700F7"/>
    <w:rsid w:val="0C277B1C"/>
    <w:rsid w:val="0C278D0F"/>
    <w:rsid w:val="0C2974DC"/>
    <w:rsid w:val="0C2A7660"/>
    <w:rsid w:val="0C2A92FB"/>
    <w:rsid w:val="0C2A9D73"/>
    <w:rsid w:val="0C2BA4FF"/>
    <w:rsid w:val="0C2C06FA"/>
    <w:rsid w:val="0C2CAFC9"/>
    <w:rsid w:val="0C2CBC6C"/>
    <w:rsid w:val="0C2D6BCB"/>
    <w:rsid w:val="0C2D88F1"/>
    <w:rsid w:val="0C2D9FB5"/>
    <w:rsid w:val="0C2DAF42"/>
    <w:rsid w:val="0C2DE6EB"/>
    <w:rsid w:val="0C2DF751"/>
    <w:rsid w:val="0C2F3549"/>
    <w:rsid w:val="0C2F6A7C"/>
    <w:rsid w:val="0C2F8CE6"/>
    <w:rsid w:val="0C3011AB"/>
    <w:rsid w:val="0C30A7B8"/>
    <w:rsid w:val="0C30E755"/>
    <w:rsid w:val="0C325406"/>
    <w:rsid w:val="0C32CC1B"/>
    <w:rsid w:val="0C32D87B"/>
    <w:rsid w:val="0C340929"/>
    <w:rsid w:val="0C342E16"/>
    <w:rsid w:val="0C3495F5"/>
    <w:rsid w:val="0C34AF8D"/>
    <w:rsid w:val="0C354DBE"/>
    <w:rsid w:val="0C359A53"/>
    <w:rsid w:val="0C35BCE7"/>
    <w:rsid w:val="0C35C00E"/>
    <w:rsid w:val="0C362C97"/>
    <w:rsid w:val="0C3634A4"/>
    <w:rsid w:val="0C379705"/>
    <w:rsid w:val="0C37F89D"/>
    <w:rsid w:val="0C385E06"/>
    <w:rsid w:val="0C38D609"/>
    <w:rsid w:val="0C38D793"/>
    <w:rsid w:val="0C38D9DC"/>
    <w:rsid w:val="0C38E56E"/>
    <w:rsid w:val="0C399065"/>
    <w:rsid w:val="0C39FE71"/>
    <w:rsid w:val="0C3A3BAC"/>
    <w:rsid w:val="0C3A3EDB"/>
    <w:rsid w:val="0C3A8BCC"/>
    <w:rsid w:val="0C3AE2BC"/>
    <w:rsid w:val="0C3B625E"/>
    <w:rsid w:val="0C3B876F"/>
    <w:rsid w:val="0C3BA4D9"/>
    <w:rsid w:val="0C3C0435"/>
    <w:rsid w:val="0C3C873B"/>
    <w:rsid w:val="0C3DAAC7"/>
    <w:rsid w:val="0C3E284D"/>
    <w:rsid w:val="0C3E6DED"/>
    <w:rsid w:val="0C3ECAA4"/>
    <w:rsid w:val="0C3F44C0"/>
    <w:rsid w:val="0C3F52E3"/>
    <w:rsid w:val="0C3F6DED"/>
    <w:rsid w:val="0C3F7C19"/>
    <w:rsid w:val="0C3FD7AA"/>
    <w:rsid w:val="0C404603"/>
    <w:rsid w:val="0C40AD28"/>
    <w:rsid w:val="0C40F819"/>
    <w:rsid w:val="0C4112A9"/>
    <w:rsid w:val="0C414FFD"/>
    <w:rsid w:val="0C4198A2"/>
    <w:rsid w:val="0C41CC10"/>
    <w:rsid w:val="0C41E304"/>
    <w:rsid w:val="0C456B5B"/>
    <w:rsid w:val="0C45E1FE"/>
    <w:rsid w:val="0C45FF29"/>
    <w:rsid w:val="0C463632"/>
    <w:rsid w:val="0C46B691"/>
    <w:rsid w:val="0C46D5A9"/>
    <w:rsid w:val="0C47261E"/>
    <w:rsid w:val="0C478EDD"/>
    <w:rsid w:val="0C484B8E"/>
    <w:rsid w:val="0C496377"/>
    <w:rsid w:val="0C4993FD"/>
    <w:rsid w:val="0C4A0EDC"/>
    <w:rsid w:val="0C4A5EA0"/>
    <w:rsid w:val="0C4C3605"/>
    <w:rsid w:val="0C4C9116"/>
    <w:rsid w:val="0C4CCBFE"/>
    <w:rsid w:val="0C4CD239"/>
    <w:rsid w:val="0C4CD352"/>
    <w:rsid w:val="0C4D9D58"/>
    <w:rsid w:val="0C4FA090"/>
    <w:rsid w:val="0C4FF25C"/>
    <w:rsid w:val="0C5003E4"/>
    <w:rsid w:val="0C50EE4A"/>
    <w:rsid w:val="0C510882"/>
    <w:rsid w:val="0C52463A"/>
    <w:rsid w:val="0C5275D4"/>
    <w:rsid w:val="0C52A60F"/>
    <w:rsid w:val="0C53649A"/>
    <w:rsid w:val="0C536A81"/>
    <w:rsid w:val="0C5465CC"/>
    <w:rsid w:val="0C552115"/>
    <w:rsid w:val="0C554D0A"/>
    <w:rsid w:val="0C55ABE8"/>
    <w:rsid w:val="0C56080C"/>
    <w:rsid w:val="0C56EC12"/>
    <w:rsid w:val="0C56EF3F"/>
    <w:rsid w:val="0C570FD1"/>
    <w:rsid w:val="0C571BF6"/>
    <w:rsid w:val="0C57332D"/>
    <w:rsid w:val="0C583DD4"/>
    <w:rsid w:val="0C5A1CF7"/>
    <w:rsid w:val="0C5A3596"/>
    <w:rsid w:val="0C5B3A0B"/>
    <w:rsid w:val="0C5B781E"/>
    <w:rsid w:val="0C5BE3A0"/>
    <w:rsid w:val="0C5C03E3"/>
    <w:rsid w:val="0C5C1C2A"/>
    <w:rsid w:val="0C5C20D5"/>
    <w:rsid w:val="0C5CC291"/>
    <w:rsid w:val="0C5D9681"/>
    <w:rsid w:val="0C5DAB26"/>
    <w:rsid w:val="0C5E07ED"/>
    <w:rsid w:val="0C5EA4AF"/>
    <w:rsid w:val="0C5F254F"/>
    <w:rsid w:val="0C5FC744"/>
    <w:rsid w:val="0C5FD7D8"/>
    <w:rsid w:val="0C60E0A5"/>
    <w:rsid w:val="0C60E57E"/>
    <w:rsid w:val="0C61163F"/>
    <w:rsid w:val="0C61194E"/>
    <w:rsid w:val="0C61B0A7"/>
    <w:rsid w:val="0C62D2C2"/>
    <w:rsid w:val="0C631069"/>
    <w:rsid w:val="0C63397B"/>
    <w:rsid w:val="0C644F77"/>
    <w:rsid w:val="0C646B46"/>
    <w:rsid w:val="0C64E7FF"/>
    <w:rsid w:val="0C65082D"/>
    <w:rsid w:val="0C65CE97"/>
    <w:rsid w:val="0C67712F"/>
    <w:rsid w:val="0C67D0E5"/>
    <w:rsid w:val="0C67E53C"/>
    <w:rsid w:val="0C67F55A"/>
    <w:rsid w:val="0C681BDB"/>
    <w:rsid w:val="0C689418"/>
    <w:rsid w:val="0C69CD79"/>
    <w:rsid w:val="0C6A555F"/>
    <w:rsid w:val="0C6B2AE6"/>
    <w:rsid w:val="0C6B8550"/>
    <w:rsid w:val="0C6D20BD"/>
    <w:rsid w:val="0C6D3A45"/>
    <w:rsid w:val="0C6E6787"/>
    <w:rsid w:val="0C6EA093"/>
    <w:rsid w:val="0C6EDD81"/>
    <w:rsid w:val="0C6F2284"/>
    <w:rsid w:val="0C6FB688"/>
    <w:rsid w:val="0C6FF2F4"/>
    <w:rsid w:val="0C705712"/>
    <w:rsid w:val="0C71B050"/>
    <w:rsid w:val="0C71D367"/>
    <w:rsid w:val="0C71DBAE"/>
    <w:rsid w:val="0C73700C"/>
    <w:rsid w:val="0C73AC8D"/>
    <w:rsid w:val="0C73ECA8"/>
    <w:rsid w:val="0C74B848"/>
    <w:rsid w:val="0C74C985"/>
    <w:rsid w:val="0C752D11"/>
    <w:rsid w:val="0C76EEEE"/>
    <w:rsid w:val="0C775779"/>
    <w:rsid w:val="0C78B18F"/>
    <w:rsid w:val="0C78E2D8"/>
    <w:rsid w:val="0C7A40FC"/>
    <w:rsid w:val="0C7BBC28"/>
    <w:rsid w:val="0C7BCDAD"/>
    <w:rsid w:val="0C7C597C"/>
    <w:rsid w:val="0C7CDCB0"/>
    <w:rsid w:val="0C7D3A5F"/>
    <w:rsid w:val="0C7E2530"/>
    <w:rsid w:val="0C7E2BC1"/>
    <w:rsid w:val="0C7E68B4"/>
    <w:rsid w:val="0C7E9428"/>
    <w:rsid w:val="0C7E9E75"/>
    <w:rsid w:val="0C80359D"/>
    <w:rsid w:val="0C830838"/>
    <w:rsid w:val="0C833001"/>
    <w:rsid w:val="0C837F11"/>
    <w:rsid w:val="0C84BDFB"/>
    <w:rsid w:val="0C853BF8"/>
    <w:rsid w:val="0C85E687"/>
    <w:rsid w:val="0C861AF0"/>
    <w:rsid w:val="0C878387"/>
    <w:rsid w:val="0C87D06C"/>
    <w:rsid w:val="0C88045E"/>
    <w:rsid w:val="0C891C23"/>
    <w:rsid w:val="0C892F84"/>
    <w:rsid w:val="0C898363"/>
    <w:rsid w:val="0C89FFDB"/>
    <w:rsid w:val="0C8AD73E"/>
    <w:rsid w:val="0C8BC805"/>
    <w:rsid w:val="0C8BE88B"/>
    <w:rsid w:val="0C8C2BD2"/>
    <w:rsid w:val="0C8C56EC"/>
    <w:rsid w:val="0C8CA2A2"/>
    <w:rsid w:val="0C8CAAC3"/>
    <w:rsid w:val="0C8D6EAE"/>
    <w:rsid w:val="0C8EDC6A"/>
    <w:rsid w:val="0C8FE39F"/>
    <w:rsid w:val="0C90566C"/>
    <w:rsid w:val="0C9155AD"/>
    <w:rsid w:val="0C9156E9"/>
    <w:rsid w:val="0C91677A"/>
    <w:rsid w:val="0C92AD84"/>
    <w:rsid w:val="0C92C355"/>
    <w:rsid w:val="0C92FF85"/>
    <w:rsid w:val="0C94A6CA"/>
    <w:rsid w:val="0C951B6E"/>
    <w:rsid w:val="0C955880"/>
    <w:rsid w:val="0C958123"/>
    <w:rsid w:val="0C95D4C9"/>
    <w:rsid w:val="0C96000C"/>
    <w:rsid w:val="0C962EB3"/>
    <w:rsid w:val="0C969461"/>
    <w:rsid w:val="0C96EB58"/>
    <w:rsid w:val="0C971AD8"/>
    <w:rsid w:val="0C973C84"/>
    <w:rsid w:val="0C983729"/>
    <w:rsid w:val="0C989E94"/>
    <w:rsid w:val="0C9911F8"/>
    <w:rsid w:val="0C992DA2"/>
    <w:rsid w:val="0C993A72"/>
    <w:rsid w:val="0C99A5E0"/>
    <w:rsid w:val="0C99C5F1"/>
    <w:rsid w:val="0C99E9B6"/>
    <w:rsid w:val="0C9A1D1D"/>
    <w:rsid w:val="0C9A1D94"/>
    <w:rsid w:val="0C9A6FC7"/>
    <w:rsid w:val="0C9A8477"/>
    <w:rsid w:val="0C9AE7CA"/>
    <w:rsid w:val="0C9AF112"/>
    <w:rsid w:val="0C9B1C51"/>
    <w:rsid w:val="0C9BB8EC"/>
    <w:rsid w:val="0C9BC6A8"/>
    <w:rsid w:val="0C9BF1E0"/>
    <w:rsid w:val="0C9C2D6E"/>
    <w:rsid w:val="0C9C4257"/>
    <w:rsid w:val="0C9CD713"/>
    <w:rsid w:val="0C9CE7BC"/>
    <w:rsid w:val="0C9D19F5"/>
    <w:rsid w:val="0C9D83A2"/>
    <w:rsid w:val="0C9DC878"/>
    <w:rsid w:val="0C9DDAFC"/>
    <w:rsid w:val="0C9DE2A2"/>
    <w:rsid w:val="0C9E4951"/>
    <w:rsid w:val="0C9EEF4B"/>
    <w:rsid w:val="0C9F7814"/>
    <w:rsid w:val="0C9FD1C4"/>
    <w:rsid w:val="0CA0303C"/>
    <w:rsid w:val="0CA09514"/>
    <w:rsid w:val="0CA102CF"/>
    <w:rsid w:val="0CA193C9"/>
    <w:rsid w:val="0CA19F21"/>
    <w:rsid w:val="0CA28F85"/>
    <w:rsid w:val="0CA2F399"/>
    <w:rsid w:val="0CA300D7"/>
    <w:rsid w:val="0CA30E51"/>
    <w:rsid w:val="0CA34445"/>
    <w:rsid w:val="0CA35F80"/>
    <w:rsid w:val="0CA3CB70"/>
    <w:rsid w:val="0CA433D1"/>
    <w:rsid w:val="0CA5DF58"/>
    <w:rsid w:val="0CA69964"/>
    <w:rsid w:val="0CA6B5BE"/>
    <w:rsid w:val="0CA6E2B7"/>
    <w:rsid w:val="0CA849A2"/>
    <w:rsid w:val="0CA870F5"/>
    <w:rsid w:val="0CA88F3B"/>
    <w:rsid w:val="0CA8F9AD"/>
    <w:rsid w:val="0CA957DE"/>
    <w:rsid w:val="0CA99DD2"/>
    <w:rsid w:val="0CA9F88F"/>
    <w:rsid w:val="0CAAC474"/>
    <w:rsid w:val="0CAAFBD0"/>
    <w:rsid w:val="0CAB3E3D"/>
    <w:rsid w:val="0CABD451"/>
    <w:rsid w:val="0CAC4EF1"/>
    <w:rsid w:val="0CAC6647"/>
    <w:rsid w:val="0CACAEC8"/>
    <w:rsid w:val="0CADD858"/>
    <w:rsid w:val="0CAEB253"/>
    <w:rsid w:val="0CAF19BD"/>
    <w:rsid w:val="0CAF9DB7"/>
    <w:rsid w:val="0CAFBB01"/>
    <w:rsid w:val="0CB07271"/>
    <w:rsid w:val="0CB0A59A"/>
    <w:rsid w:val="0CB0D556"/>
    <w:rsid w:val="0CB100B4"/>
    <w:rsid w:val="0CB4039E"/>
    <w:rsid w:val="0CB51281"/>
    <w:rsid w:val="0CB5D591"/>
    <w:rsid w:val="0CB5F9F0"/>
    <w:rsid w:val="0CB60586"/>
    <w:rsid w:val="0CB701E0"/>
    <w:rsid w:val="0CB72186"/>
    <w:rsid w:val="0CB83E7C"/>
    <w:rsid w:val="0CB92F88"/>
    <w:rsid w:val="0CB99711"/>
    <w:rsid w:val="0CB9D19D"/>
    <w:rsid w:val="0CBA5B5C"/>
    <w:rsid w:val="0CBA8063"/>
    <w:rsid w:val="0CBA890D"/>
    <w:rsid w:val="0CBAAA8A"/>
    <w:rsid w:val="0CBB8991"/>
    <w:rsid w:val="0CBBDE6B"/>
    <w:rsid w:val="0CBBE20B"/>
    <w:rsid w:val="0CBD1822"/>
    <w:rsid w:val="0CBE02B0"/>
    <w:rsid w:val="0CBE086E"/>
    <w:rsid w:val="0CBE587E"/>
    <w:rsid w:val="0CBEBA7D"/>
    <w:rsid w:val="0CBEDBDF"/>
    <w:rsid w:val="0CBF36B0"/>
    <w:rsid w:val="0CC0204E"/>
    <w:rsid w:val="0CC17F6B"/>
    <w:rsid w:val="0CC1DBE3"/>
    <w:rsid w:val="0CC2018D"/>
    <w:rsid w:val="0CC211D7"/>
    <w:rsid w:val="0CC2E92C"/>
    <w:rsid w:val="0CC3284F"/>
    <w:rsid w:val="0CC381E0"/>
    <w:rsid w:val="0CC3B565"/>
    <w:rsid w:val="0CC4658B"/>
    <w:rsid w:val="0CC46AA6"/>
    <w:rsid w:val="0CC4B8BC"/>
    <w:rsid w:val="0CC4FC95"/>
    <w:rsid w:val="0CC52E6D"/>
    <w:rsid w:val="0CC5538B"/>
    <w:rsid w:val="0CC56673"/>
    <w:rsid w:val="0CC5F466"/>
    <w:rsid w:val="0CC6E88D"/>
    <w:rsid w:val="0CC6FA9D"/>
    <w:rsid w:val="0CC70389"/>
    <w:rsid w:val="0CC7B4E8"/>
    <w:rsid w:val="0CC87775"/>
    <w:rsid w:val="0CC8E551"/>
    <w:rsid w:val="0CC8ED11"/>
    <w:rsid w:val="0CC9457F"/>
    <w:rsid w:val="0CC9466B"/>
    <w:rsid w:val="0CC94FCA"/>
    <w:rsid w:val="0CC99D63"/>
    <w:rsid w:val="0CCA98F9"/>
    <w:rsid w:val="0CCAB5DF"/>
    <w:rsid w:val="0CCB00EE"/>
    <w:rsid w:val="0CCC1D5C"/>
    <w:rsid w:val="0CCC6E00"/>
    <w:rsid w:val="0CCD8C44"/>
    <w:rsid w:val="0CCE0416"/>
    <w:rsid w:val="0CCEC664"/>
    <w:rsid w:val="0CCF87D5"/>
    <w:rsid w:val="0CCFE626"/>
    <w:rsid w:val="0CD0C1EC"/>
    <w:rsid w:val="0CD12A63"/>
    <w:rsid w:val="0CD15811"/>
    <w:rsid w:val="0CD18D88"/>
    <w:rsid w:val="0CD1E0C6"/>
    <w:rsid w:val="0CD1FDF2"/>
    <w:rsid w:val="0CD2357B"/>
    <w:rsid w:val="0CD28CD7"/>
    <w:rsid w:val="0CD2CDBC"/>
    <w:rsid w:val="0CD3C61A"/>
    <w:rsid w:val="0CD49AD0"/>
    <w:rsid w:val="0CD4A038"/>
    <w:rsid w:val="0CD4D65A"/>
    <w:rsid w:val="0CD64710"/>
    <w:rsid w:val="0CD66172"/>
    <w:rsid w:val="0CD66768"/>
    <w:rsid w:val="0CD754D2"/>
    <w:rsid w:val="0CD78164"/>
    <w:rsid w:val="0CD7E726"/>
    <w:rsid w:val="0CD86E17"/>
    <w:rsid w:val="0CD8D06C"/>
    <w:rsid w:val="0CD8D753"/>
    <w:rsid w:val="0CD94EA2"/>
    <w:rsid w:val="0CD97DB2"/>
    <w:rsid w:val="0CD9E48E"/>
    <w:rsid w:val="0CDA02F0"/>
    <w:rsid w:val="0CDA11B4"/>
    <w:rsid w:val="0CDA5575"/>
    <w:rsid w:val="0CDB4120"/>
    <w:rsid w:val="0CDBA471"/>
    <w:rsid w:val="0CDBB377"/>
    <w:rsid w:val="0CDCB164"/>
    <w:rsid w:val="0CDCC5FD"/>
    <w:rsid w:val="0CDD3B92"/>
    <w:rsid w:val="0CDD51CF"/>
    <w:rsid w:val="0CDD71B7"/>
    <w:rsid w:val="0CDD7F47"/>
    <w:rsid w:val="0CDE3471"/>
    <w:rsid w:val="0CDEADF2"/>
    <w:rsid w:val="0CDEE4DC"/>
    <w:rsid w:val="0CDF2F08"/>
    <w:rsid w:val="0CDFF6F8"/>
    <w:rsid w:val="0CE048B3"/>
    <w:rsid w:val="0CE0B5D4"/>
    <w:rsid w:val="0CE0D054"/>
    <w:rsid w:val="0CE10A64"/>
    <w:rsid w:val="0CE17296"/>
    <w:rsid w:val="0CE18658"/>
    <w:rsid w:val="0CE1EA87"/>
    <w:rsid w:val="0CE2C3B5"/>
    <w:rsid w:val="0CE2EE9E"/>
    <w:rsid w:val="0CE348A3"/>
    <w:rsid w:val="0CE4D9E2"/>
    <w:rsid w:val="0CE5F452"/>
    <w:rsid w:val="0CE6363D"/>
    <w:rsid w:val="0CE66CE3"/>
    <w:rsid w:val="0CE7AFC5"/>
    <w:rsid w:val="0CE7CD7C"/>
    <w:rsid w:val="0CE803BE"/>
    <w:rsid w:val="0CE8119D"/>
    <w:rsid w:val="0CE8A106"/>
    <w:rsid w:val="0CE8C43F"/>
    <w:rsid w:val="0CE8DBBE"/>
    <w:rsid w:val="0CE8EA1A"/>
    <w:rsid w:val="0CE90C22"/>
    <w:rsid w:val="0CEA2ED1"/>
    <w:rsid w:val="0CEA496E"/>
    <w:rsid w:val="0CEA671D"/>
    <w:rsid w:val="0CEA6CCE"/>
    <w:rsid w:val="0CEAB553"/>
    <w:rsid w:val="0CEAEB00"/>
    <w:rsid w:val="0CEB2A4C"/>
    <w:rsid w:val="0CEC50B2"/>
    <w:rsid w:val="0CEC541A"/>
    <w:rsid w:val="0CECCDA2"/>
    <w:rsid w:val="0CECE349"/>
    <w:rsid w:val="0CEDA29B"/>
    <w:rsid w:val="0CEF6AB6"/>
    <w:rsid w:val="0CEFD5DA"/>
    <w:rsid w:val="0CF03EA7"/>
    <w:rsid w:val="0CF0F531"/>
    <w:rsid w:val="0CF1644B"/>
    <w:rsid w:val="0CF1F152"/>
    <w:rsid w:val="0CF2C3A6"/>
    <w:rsid w:val="0CF3072F"/>
    <w:rsid w:val="0CF35323"/>
    <w:rsid w:val="0CF371BF"/>
    <w:rsid w:val="0CF3D065"/>
    <w:rsid w:val="0CF435F3"/>
    <w:rsid w:val="0CF4A70B"/>
    <w:rsid w:val="0CF4AEAE"/>
    <w:rsid w:val="0CF50E69"/>
    <w:rsid w:val="0CF5E0DC"/>
    <w:rsid w:val="0CF6A6B8"/>
    <w:rsid w:val="0CF6BDA7"/>
    <w:rsid w:val="0CF778AC"/>
    <w:rsid w:val="0CF7E92D"/>
    <w:rsid w:val="0CF85551"/>
    <w:rsid w:val="0CF8E180"/>
    <w:rsid w:val="0CF972F9"/>
    <w:rsid w:val="0CF9CD46"/>
    <w:rsid w:val="0CFA3248"/>
    <w:rsid w:val="0CFA4214"/>
    <w:rsid w:val="0CFA9FD9"/>
    <w:rsid w:val="0CFB79C2"/>
    <w:rsid w:val="0CFC082D"/>
    <w:rsid w:val="0CFC1547"/>
    <w:rsid w:val="0CFC21BB"/>
    <w:rsid w:val="0CFC430F"/>
    <w:rsid w:val="0CFCBE4C"/>
    <w:rsid w:val="0CFD346B"/>
    <w:rsid w:val="0CFDF224"/>
    <w:rsid w:val="0CFDFFE6"/>
    <w:rsid w:val="0CFE73D7"/>
    <w:rsid w:val="0CFEDEF2"/>
    <w:rsid w:val="0CFEE3FD"/>
    <w:rsid w:val="0CFF0B89"/>
    <w:rsid w:val="0CFF8457"/>
    <w:rsid w:val="0CFF86F9"/>
    <w:rsid w:val="0CFF9D87"/>
    <w:rsid w:val="0D007160"/>
    <w:rsid w:val="0D013AD7"/>
    <w:rsid w:val="0D017C8B"/>
    <w:rsid w:val="0D022BC5"/>
    <w:rsid w:val="0D0287ED"/>
    <w:rsid w:val="0D029333"/>
    <w:rsid w:val="0D04A27C"/>
    <w:rsid w:val="0D04F0D0"/>
    <w:rsid w:val="0D0578C3"/>
    <w:rsid w:val="0D06C658"/>
    <w:rsid w:val="0D06C870"/>
    <w:rsid w:val="0D070AE5"/>
    <w:rsid w:val="0D073C74"/>
    <w:rsid w:val="0D07E5C7"/>
    <w:rsid w:val="0D09DCBA"/>
    <w:rsid w:val="0D0AB847"/>
    <w:rsid w:val="0D0AE293"/>
    <w:rsid w:val="0D0B9DF7"/>
    <w:rsid w:val="0D0C4E22"/>
    <w:rsid w:val="0D0CA3E2"/>
    <w:rsid w:val="0D0CC7CC"/>
    <w:rsid w:val="0D0D4D39"/>
    <w:rsid w:val="0D0DBBB3"/>
    <w:rsid w:val="0D0E3F9F"/>
    <w:rsid w:val="0D0EE102"/>
    <w:rsid w:val="0D0EE5E3"/>
    <w:rsid w:val="0D0EEC8F"/>
    <w:rsid w:val="0D0F08A3"/>
    <w:rsid w:val="0D0F1C93"/>
    <w:rsid w:val="0D0F3341"/>
    <w:rsid w:val="0D0FA9DD"/>
    <w:rsid w:val="0D0FE548"/>
    <w:rsid w:val="0D10616F"/>
    <w:rsid w:val="0D1080C6"/>
    <w:rsid w:val="0D11CECB"/>
    <w:rsid w:val="0D120B6B"/>
    <w:rsid w:val="0D135A01"/>
    <w:rsid w:val="0D136291"/>
    <w:rsid w:val="0D13C65E"/>
    <w:rsid w:val="0D154BF4"/>
    <w:rsid w:val="0D16A1E7"/>
    <w:rsid w:val="0D16F6EB"/>
    <w:rsid w:val="0D1786B8"/>
    <w:rsid w:val="0D186C18"/>
    <w:rsid w:val="0D18A099"/>
    <w:rsid w:val="0D18C502"/>
    <w:rsid w:val="0D18ECDD"/>
    <w:rsid w:val="0D198CE7"/>
    <w:rsid w:val="0D1A4CAC"/>
    <w:rsid w:val="0D1A5C6E"/>
    <w:rsid w:val="0D1A66A8"/>
    <w:rsid w:val="0D1AC26A"/>
    <w:rsid w:val="0D1B4949"/>
    <w:rsid w:val="0D1B7DCD"/>
    <w:rsid w:val="0D1B9206"/>
    <w:rsid w:val="0D1B9BCF"/>
    <w:rsid w:val="0D1BD315"/>
    <w:rsid w:val="0D1D03A3"/>
    <w:rsid w:val="0D1D0BC9"/>
    <w:rsid w:val="0D1D12C5"/>
    <w:rsid w:val="0D1E1C4C"/>
    <w:rsid w:val="0D1E54A2"/>
    <w:rsid w:val="0D1E6410"/>
    <w:rsid w:val="0D1EF282"/>
    <w:rsid w:val="0D1F6595"/>
    <w:rsid w:val="0D1F7A1D"/>
    <w:rsid w:val="0D1F8555"/>
    <w:rsid w:val="0D20508B"/>
    <w:rsid w:val="0D20E1AD"/>
    <w:rsid w:val="0D2195EE"/>
    <w:rsid w:val="0D21E361"/>
    <w:rsid w:val="0D227592"/>
    <w:rsid w:val="0D228288"/>
    <w:rsid w:val="0D22C30D"/>
    <w:rsid w:val="0D22DC5D"/>
    <w:rsid w:val="0D22FCF9"/>
    <w:rsid w:val="0D23B988"/>
    <w:rsid w:val="0D23D085"/>
    <w:rsid w:val="0D2473E3"/>
    <w:rsid w:val="0D247AD5"/>
    <w:rsid w:val="0D260005"/>
    <w:rsid w:val="0D269822"/>
    <w:rsid w:val="0D27ADCB"/>
    <w:rsid w:val="0D27E40A"/>
    <w:rsid w:val="0D28403A"/>
    <w:rsid w:val="0D2A663B"/>
    <w:rsid w:val="0D2AAE6C"/>
    <w:rsid w:val="0D2B5B08"/>
    <w:rsid w:val="0D2BB8BE"/>
    <w:rsid w:val="0D2BD6A1"/>
    <w:rsid w:val="0D2CB347"/>
    <w:rsid w:val="0D2D72B5"/>
    <w:rsid w:val="0D2D9F3F"/>
    <w:rsid w:val="0D2DD312"/>
    <w:rsid w:val="0D2E2F0E"/>
    <w:rsid w:val="0D2ECA08"/>
    <w:rsid w:val="0D2EFB2E"/>
    <w:rsid w:val="0D3077E7"/>
    <w:rsid w:val="0D3080C0"/>
    <w:rsid w:val="0D30BB69"/>
    <w:rsid w:val="0D310DD8"/>
    <w:rsid w:val="0D3189DB"/>
    <w:rsid w:val="0D319F50"/>
    <w:rsid w:val="0D321A81"/>
    <w:rsid w:val="0D326A51"/>
    <w:rsid w:val="0D3277D1"/>
    <w:rsid w:val="0D327B8F"/>
    <w:rsid w:val="0D3302DD"/>
    <w:rsid w:val="0D332DC8"/>
    <w:rsid w:val="0D333A58"/>
    <w:rsid w:val="0D340DBA"/>
    <w:rsid w:val="0D344BC7"/>
    <w:rsid w:val="0D3465C9"/>
    <w:rsid w:val="0D358DD2"/>
    <w:rsid w:val="0D36063A"/>
    <w:rsid w:val="0D367958"/>
    <w:rsid w:val="0D36E7E4"/>
    <w:rsid w:val="0D36F090"/>
    <w:rsid w:val="0D378EF7"/>
    <w:rsid w:val="0D384B3F"/>
    <w:rsid w:val="0D396F8C"/>
    <w:rsid w:val="0D3995C4"/>
    <w:rsid w:val="0D39B885"/>
    <w:rsid w:val="0D3A1787"/>
    <w:rsid w:val="0D3A1B70"/>
    <w:rsid w:val="0D3AE8A0"/>
    <w:rsid w:val="0D3BD5B5"/>
    <w:rsid w:val="0D3C3FC6"/>
    <w:rsid w:val="0D3C52B9"/>
    <w:rsid w:val="0D3CBDBB"/>
    <w:rsid w:val="0D3CE63E"/>
    <w:rsid w:val="0D3CF6FE"/>
    <w:rsid w:val="0D3D476D"/>
    <w:rsid w:val="0D3EC27E"/>
    <w:rsid w:val="0D3F9A86"/>
    <w:rsid w:val="0D3FC4D5"/>
    <w:rsid w:val="0D3FFC5E"/>
    <w:rsid w:val="0D40ED60"/>
    <w:rsid w:val="0D410F81"/>
    <w:rsid w:val="0D411778"/>
    <w:rsid w:val="0D4385C1"/>
    <w:rsid w:val="0D449FE9"/>
    <w:rsid w:val="0D45EFBA"/>
    <w:rsid w:val="0D460EA1"/>
    <w:rsid w:val="0D469F8D"/>
    <w:rsid w:val="0D46BA89"/>
    <w:rsid w:val="0D46FA3C"/>
    <w:rsid w:val="0D472E71"/>
    <w:rsid w:val="0D479212"/>
    <w:rsid w:val="0D479AE1"/>
    <w:rsid w:val="0D47ECF8"/>
    <w:rsid w:val="0D4822C9"/>
    <w:rsid w:val="0D484071"/>
    <w:rsid w:val="0D489C95"/>
    <w:rsid w:val="0D489FAD"/>
    <w:rsid w:val="0D48A31C"/>
    <w:rsid w:val="0D48A70A"/>
    <w:rsid w:val="0D48F065"/>
    <w:rsid w:val="0D48F0F6"/>
    <w:rsid w:val="0D48FBA2"/>
    <w:rsid w:val="0D49D6A9"/>
    <w:rsid w:val="0D4A14F2"/>
    <w:rsid w:val="0D4AB3D9"/>
    <w:rsid w:val="0D4CC34C"/>
    <w:rsid w:val="0D4CD27A"/>
    <w:rsid w:val="0D4E4519"/>
    <w:rsid w:val="0D4F864A"/>
    <w:rsid w:val="0D4FBFD6"/>
    <w:rsid w:val="0D4FD684"/>
    <w:rsid w:val="0D4FD6C3"/>
    <w:rsid w:val="0D4FEB48"/>
    <w:rsid w:val="0D5189C8"/>
    <w:rsid w:val="0D51C08C"/>
    <w:rsid w:val="0D5215ED"/>
    <w:rsid w:val="0D526889"/>
    <w:rsid w:val="0D527E9A"/>
    <w:rsid w:val="0D52C248"/>
    <w:rsid w:val="0D52CF95"/>
    <w:rsid w:val="0D52ECC9"/>
    <w:rsid w:val="0D53EC0F"/>
    <w:rsid w:val="0D542E7A"/>
    <w:rsid w:val="0D56BFD6"/>
    <w:rsid w:val="0D56C330"/>
    <w:rsid w:val="0D56CE8F"/>
    <w:rsid w:val="0D56D9EA"/>
    <w:rsid w:val="0D57303E"/>
    <w:rsid w:val="0D57CDEF"/>
    <w:rsid w:val="0D584012"/>
    <w:rsid w:val="0D5857BD"/>
    <w:rsid w:val="0D58EC71"/>
    <w:rsid w:val="0D599309"/>
    <w:rsid w:val="0D59FA80"/>
    <w:rsid w:val="0D5A34AF"/>
    <w:rsid w:val="0D5A8179"/>
    <w:rsid w:val="0D5ADF16"/>
    <w:rsid w:val="0D5AEB09"/>
    <w:rsid w:val="0D5B03C8"/>
    <w:rsid w:val="0D5B171C"/>
    <w:rsid w:val="0D5BFF4E"/>
    <w:rsid w:val="0D5CDBAB"/>
    <w:rsid w:val="0D5D5B4E"/>
    <w:rsid w:val="0D5D75C5"/>
    <w:rsid w:val="0D5DA156"/>
    <w:rsid w:val="0D5DEDEC"/>
    <w:rsid w:val="0D5E6FF6"/>
    <w:rsid w:val="0D5E8C0E"/>
    <w:rsid w:val="0D607232"/>
    <w:rsid w:val="0D60CE35"/>
    <w:rsid w:val="0D60D015"/>
    <w:rsid w:val="0D612C22"/>
    <w:rsid w:val="0D614B48"/>
    <w:rsid w:val="0D61B34B"/>
    <w:rsid w:val="0D61D6AC"/>
    <w:rsid w:val="0D62CF62"/>
    <w:rsid w:val="0D630D06"/>
    <w:rsid w:val="0D6392CA"/>
    <w:rsid w:val="0D64B0AA"/>
    <w:rsid w:val="0D64BCE3"/>
    <w:rsid w:val="0D64C8C4"/>
    <w:rsid w:val="0D66B77D"/>
    <w:rsid w:val="0D67309A"/>
    <w:rsid w:val="0D673500"/>
    <w:rsid w:val="0D67BFCD"/>
    <w:rsid w:val="0D67C78E"/>
    <w:rsid w:val="0D67E692"/>
    <w:rsid w:val="0D67F182"/>
    <w:rsid w:val="0D6891AC"/>
    <w:rsid w:val="0D68CDE9"/>
    <w:rsid w:val="0D69045F"/>
    <w:rsid w:val="0D690AFC"/>
    <w:rsid w:val="0D692D65"/>
    <w:rsid w:val="0D6969B5"/>
    <w:rsid w:val="0D6AB8B7"/>
    <w:rsid w:val="0D6B08CC"/>
    <w:rsid w:val="0D6BEDF7"/>
    <w:rsid w:val="0D6C3908"/>
    <w:rsid w:val="0D6CBEEC"/>
    <w:rsid w:val="0D6D5261"/>
    <w:rsid w:val="0D6DAB70"/>
    <w:rsid w:val="0D6E5AD5"/>
    <w:rsid w:val="0D6E6914"/>
    <w:rsid w:val="0D6E7746"/>
    <w:rsid w:val="0D708C16"/>
    <w:rsid w:val="0D70BADD"/>
    <w:rsid w:val="0D710B48"/>
    <w:rsid w:val="0D71904E"/>
    <w:rsid w:val="0D71B7CA"/>
    <w:rsid w:val="0D71DE5D"/>
    <w:rsid w:val="0D7219AE"/>
    <w:rsid w:val="0D72B109"/>
    <w:rsid w:val="0D730B60"/>
    <w:rsid w:val="0D732909"/>
    <w:rsid w:val="0D733324"/>
    <w:rsid w:val="0D738103"/>
    <w:rsid w:val="0D739AC2"/>
    <w:rsid w:val="0D741DE7"/>
    <w:rsid w:val="0D7443BD"/>
    <w:rsid w:val="0D74B1E3"/>
    <w:rsid w:val="0D76AD47"/>
    <w:rsid w:val="0D76B3C7"/>
    <w:rsid w:val="0D76E33F"/>
    <w:rsid w:val="0D76F43C"/>
    <w:rsid w:val="0D77538D"/>
    <w:rsid w:val="0D7796E7"/>
    <w:rsid w:val="0D77D6CF"/>
    <w:rsid w:val="0D7822C0"/>
    <w:rsid w:val="0D7919C3"/>
    <w:rsid w:val="0D792BBF"/>
    <w:rsid w:val="0D7966D7"/>
    <w:rsid w:val="0D7968F0"/>
    <w:rsid w:val="0D796F9F"/>
    <w:rsid w:val="0D79E1CF"/>
    <w:rsid w:val="0D7A2D5E"/>
    <w:rsid w:val="0D7BE5C1"/>
    <w:rsid w:val="0D7C093B"/>
    <w:rsid w:val="0D7C8415"/>
    <w:rsid w:val="0D7D507F"/>
    <w:rsid w:val="0D7D7321"/>
    <w:rsid w:val="0D7DA52C"/>
    <w:rsid w:val="0D7E6A32"/>
    <w:rsid w:val="0D7ED0B6"/>
    <w:rsid w:val="0D7F00C0"/>
    <w:rsid w:val="0D7F0D8C"/>
    <w:rsid w:val="0D7F3A2C"/>
    <w:rsid w:val="0D7F53F0"/>
    <w:rsid w:val="0D7FC85F"/>
    <w:rsid w:val="0D807777"/>
    <w:rsid w:val="0D80E2CD"/>
    <w:rsid w:val="0D82069D"/>
    <w:rsid w:val="0D823AAA"/>
    <w:rsid w:val="0D83E680"/>
    <w:rsid w:val="0D83FE28"/>
    <w:rsid w:val="0D852AF1"/>
    <w:rsid w:val="0D85AF7C"/>
    <w:rsid w:val="0D8718EE"/>
    <w:rsid w:val="0D879166"/>
    <w:rsid w:val="0D88933C"/>
    <w:rsid w:val="0D88DEBA"/>
    <w:rsid w:val="0D89924A"/>
    <w:rsid w:val="0D8AB3A0"/>
    <w:rsid w:val="0D8B2867"/>
    <w:rsid w:val="0D8B4C73"/>
    <w:rsid w:val="0D8B79A9"/>
    <w:rsid w:val="0D8BC2F6"/>
    <w:rsid w:val="0D8C5928"/>
    <w:rsid w:val="0D8E4CBC"/>
    <w:rsid w:val="0D8EC077"/>
    <w:rsid w:val="0D8FE0E8"/>
    <w:rsid w:val="0D904899"/>
    <w:rsid w:val="0D9054E8"/>
    <w:rsid w:val="0D906A53"/>
    <w:rsid w:val="0D9123C6"/>
    <w:rsid w:val="0D91797F"/>
    <w:rsid w:val="0D91A686"/>
    <w:rsid w:val="0D924283"/>
    <w:rsid w:val="0D930778"/>
    <w:rsid w:val="0D938B65"/>
    <w:rsid w:val="0D93C91E"/>
    <w:rsid w:val="0D9404B7"/>
    <w:rsid w:val="0D94717B"/>
    <w:rsid w:val="0D957FF5"/>
    <w:rsid w:val="0D95AE12"/>
    <w:rsid w:val="0D97AB79"/>
    <w:rsid w:val="0D980A8F"/>
    <w:rsid w:val="0D98D77C"/>
    <w:rsid w:val="0D99267D"/>
    <w:rsid w:val="0D9A03E1"/>
    <w:rsid w:val="0D9A8478"/>
    <w:rsid w:val="0D9BA83D"/>
    <w:rsid w:val="0D9BFCDA"/>
    <w:rsid w:val="0D9C9791"/>
    <w:rsid w:val="0D9D8154"/>
    <w:rsid w:val="0D9D8838"/>
    <w:rsid w:val="0D9D8B75"/>
    <w:rsid w:val="0D9E64D1"/>
    <w:rsid w:val="0D9E6DD9"/>
    <w:rsid w:val="0D9F542F"/>
    <w:rsid w:val="0DA05D66"/>
    <w:rsid w:val="0DA0DC10"/>
    <w:rsid w:val="0DA0DEDC"/>
    <w:rsid w:val="0DA1347A"/>
    <w:rsid w:val="0DA1F70E"/>
    <w:rsid w:val="0DA2056D"/>
    <w:rsid w:val="0DA206CF"/>
    <w:rsid w:val="0DA29530"/>
    <w:rsid w:val="0DA2BA4D"/>
    <w:rsid w:val="0DA35D7F"/>
    <w:rsid w:val="0DA36417"/>
    <w:rsid w:val="0DA40B26"/>
    <w:rsid w:val="0DA43DC2"/>
    <w:rsid w:val="0DA5BDBF"/>
    <w:rsid w:val="0DA64DD6"/>
    <w:rsid w:val="0DA6B901"/>
    <w:rsid w:val="0DA9BA61"/>
    <w:rsid w:val="0DA9DD73"/>
    <w:rsid w:val="0DAABAD5"/>
    <w:rsid w:val="0DAAE75D"/>
    <w:rsid w:val="0DAB2749"/>
    <w:rsid w:val="0DAB5EC0"/>
    <w:rsid w:val="0DAC5A60"/>
    <w:rsid w:val="0DAC9A4C"/>
    <w:rsid w:val="0DAD030F"/>
    <w:rsid w:val="0DAD467F"/>
    <w:rsid w:val="0DAF9FFA"/>
    <w:rsid w:val="0DB02C7D"/>
    <w:rsid w:val="0DB063FB"/>
    <w:rsid w:val="0DB1513D"/>
    <w:rsid w:val="0DB1B64D"/>
    <w:rsid w:val="0DB24222"/>
    <w:rsid w:val="0DB295F3"/>
    <w:rsid w:val="0DB2A8B7"/>
    <w:rsid w:val="0DB2EA10"/>
    <w:rsid w:val="0DB3B376"/>
    <w:rsid w:val="0DB42D20"/>
    <w:rsid w:val="0DB47D35"/>
    <w:rsid w:val="0DB4B8FD"/>
    <w:rsid w:val="0DB56D55"/>
    <w:rsid w:val="0DB604F9"/>
    <w:rsid w:val="0DB6309C"/>
    <w:rsid w:val="0DB6AC75"/>
    <w:rsid w:val="0DB73ED4"/>
    <w:rsid w:val="0DB78739"/>
    <w:rsid w:val="0DB7DAB9"/>
    <w:rsid w:val="0DB83827"/>
    <w:rsid w:val="0DB840E9"/>
    <w:rsid w:val="0DB86B85"/>
    <w:rsid w:val="0DB90D72"/>
    <w:rsid w:val="0DB95A21"/>
    <w:rsid w:val="0DBA79DA"/>
    <w:rsid w:val="0DBC1AB1"/>
    <w:rsid w:val="0DBC566A"/>
    <w:rsid w:val="0DBCF670"/>
    <w:rsid w:val="0DBE3012"/>
    <w:rsid w:val="0DBEF330"/>
    <w:rsid w:val="0DC08E5D"/>
    <w:rsid w:val="0DC1BEC9"/>
    <w:rsid w:val="0DC26271"/>
    <w:rsid w:val="0DC272CD"/>
    <w:rsid w:val="0DC2A261"/>
    <w:rsid w:val="0DC2EEFA"/>
    <w:rsid w:val="0DC2F71B"/>
    <w:rsid w:val="0DC2FA3F"/>
    <w:rsid w:val="0DC3290E"/>
    <w:rsid w:val="0DC456B2"/>
    <w:rsid w:val="0DC6812D"/>
    <w:rsid w:val="0DC6BC8C"/>
    <w:rsid w:val="0DC703FB"/>
    <w:rsid w:val="0DC8D565"/>
    <w:rsid w:val="0DC9249D"/>
    <w:rsid w:val="0DC9362C"/>
    <w:rsid w:val="0DC9644E"/>
    <w:rsid w:val="0DC984E6"/>
    <w:rsid w:val="0DC9B405"/>
    <w:rsid w:val="0DC9C024"/>
    <w:rsid w:val="0DCA1F26"/>
    <w:rsid w:val="0DCA463E"/>
    <w:rsid w:val="0DCA6882"/>
    <w:rsid w:val="0DCB79A0"/>
    <w:rsid w:val="0DCC36C9"/>
    <w:rsid w:val="0DCCD7BB"/>
    <w:rsid w:val="0DCD1484"/>
    <w:rsid w:val="0DCD768C"/>
    <w:rsid w:val="0DCEA484"/>
    <w:rsid w:val="0DCF5EAD"/>
    <w:rsid w:val="0DD03361"/>
    <w:rsid w:val="0DD07566"/>
    <w:rsid w:val="0DD0AE39"/>
    <w:rsid w:val="0DD1A076"/>
    <w:rsid w:val="0DD1D4EA"/>
    <w:rsid w:val="0DD2A3A8"/>
    <w:rsid w:val="0DD2AA2D"/>
    <w:rsid w:val="0DD3B872"/>
    <w:rsid w:val="0DD4AE29"/>
    <w:rsid w:val="0DD4EC48"/>
    <w:rsid w:val="0DD52A4F"/>
    <w:rsid w:val="0DD5C1A7"/>
    <w:rsid w:val="0DD78555"/>
    <w:rsid w:val="0DD824B7"/>
    <w:rsid w:val="0DD858E3"/>
    <w:rsid w:val="0DD94077"/>
    <w:rsid w:val="0DD9A7AF"/>
    <w:rsid w:val="0DD9D4F6"/>
    <w:rsid w:val="0DDA8824"/>
    <w:rsid w:val="0DDA9F69"/>
    <w:rsid w:val="0DDAB84A"/>
    <w:rsid w:val="0DDB0EA2"/>
    <w:rsid w:val="0DDB18B8"/>
    <w:rsid w:val="0DDBA5D5"/>
    <w:rsid w:val="0DDBB82F"/>
    <w:rsid w:val="0DDBDD1C"/>
    <w:rsid w:val="0DDD3A5E"/>
    <w:rsid w:val="0DDD4421"/>
    <w:rsid w:val="0DDD690C"/>
    <w:rsid w:val="0DDD913A"/>
    <w:rsid w:val="0DDD9245"/>
    <w:rsid w:val="0DDDDD7B"/>
    <w:rsid w:val="0DDE7AD9"/>
    <w:rsid w:val="0DDF67B8"/>
    <w:rsid w:val="0DDFD7E0"/>
    <w:rsid w:val="0DE09BD6"/>
    <w:rsid w:val="0DE1EB46"/>
    <w:rsid w:val="0DE1F864"/>
    <w:rsid w:val="0DE21B9F"/>
    <w:rsid w:val="0DE2207B"/>
    <w:rsid w:val="0DE477D1"/>
    <w:rsid w:val="0DE4C70C"/>
    <w:rsid w:val="0DE662B6"/>
    <w:rsid w:val="0DE6C508"/>
    <w:rsid w:val="0DE6CD6C"/>
    <w:rsid w:val="0DE789BE"/>
    <w:rsid w:val="0DE8421A"/>
    <w:rsid w:val="0DE8C98F"/>
    <w:rsid w:val="0DE8D228"/>
    <w:rsid w:val="0DE9A98D"/>
    <w:rsid w:val="0DEA090E"/>
    <w:rsid w:val="0DEA1609"/>
    <w:rsid w:val="0DEA2FAB"/>
    <w:rsid w:val="0DEB28D2"/>
    <w:rsid w:val="0DEBF949"/>
    <w:rsid w:val="0DEC219B"/>
    <w:rsid w:val="0DED20E0"/>
    <w:rsid w:val="0DED212B"/>
    <w:rsid w:val="0DEDEE3F"/>
    <w:rsid w:val="0DEE33ED"/>
    <w:rsid w:val="0DEE6A28"/>
    <w:rsid w:val="0DEE9E05"/>
    <w:rsid w:val="0DEF50E1"/>
    <w:rsid w:val="0DEF741B"/>
    <w:rsid w:val="0DF15C24"/>
    <w:rsid w:val="0DF17B69"/>
    <w:rsid w:val="0DF2164A"/>
    <w:rsid w:val="0DF2706F"/>
    <w:rsid w:val="0DF2A5E1"/>
    <w:rsid w:val="0DF3381F"/>
    <w:rsid w:val="0DF3936B"/>
    <w:rsid w:val="0DF3BD7E"/>
    <w:rsid w:val="0DF3BEB3"/>
    <w:rsid w:val="0DF407E6"/>
    <w:rsid w:val="0DF4269D"/>
    <w:rsid w:val="0DF45334"/>
    <w:rsid w:val="0DF4AA7B"/>
    <w:rsid w:val="0DF4F673"/>
    <w:rsid w:val="0DF570A4"/>
    <w:rsid w:val="0DF583FC"/>
    <w:rsid w:val="0DF584B2"/>
    <w:rsid w:val="0DF61C35"/>
    <w:rsid w:val="0DF63FC3"/>
    <w:rsid w:val="0DF6E43F"/>
    <w:rsid w:val="0DF7A548"/>
    <w:rsid w:val="0DF7AC10"/>
    <w:rsid w:val="0DF820C0"/>
    <w:rsid w:val="0DF8A4AE"/>
    <w:rsid w:val="0DF90BF7"/>
    <w:rsid w:val="0DF9A2A9"/>
    <w:rsid w:val="0DF9CCC4"/>
    <w:rsid w:val="0DFB6BAD"/>
    <w:rsid w:val="0DFB7688"/>
    <w:rsid w:val="0DFBB1C2"/>
    <w:rsid w:val="0DFC1778"/>
    <w:rsid w:val="0DFC9319"/>
    <w:rsid w:val="0DFD3C56"/>
    <w:rsid w:val="0DFDA1F3"/>
    <w:rsid w:val="0DFDD76A"/>
    <w:rsid w:val="0DFE64CB"/>
    <w:rsid w:val="0DFF0281"/>
    <w:rsid w:val="0DFF8F49"/>
    <w:rsid w:val="0DFFC9E6"/>
    <w:rsid w:val="0DFFEF5A"/>
    <w:rsid w:val="0E004B85"/>
    <w:rsid w:val="0E0060AD"/>
    <w:rsid w:val="0E00A3B3"/>
    <w:rsid w:val="0E00A463"/>
    <w:rsid w:val="0E00DA97"/>
    <w:rsid w:val="0E0182F1"/>
    <w:rsid w:val="0E022A6E"/>
    <w:rsid w:val="0E034E98"/>
    <w:rsid w:val="0E039C35"/>
    <w:rsid w:val="0E03B9F9"/>
    <w:rsid w:val="0E0490F9"/>
    <w:rsid w:val="0E0510EC"/>
    <w:rsid w:val="0E055DE1"/>
    <w:rsid w:val="0E059CDB"/>
    <w:rsid w:val="0E066E62"/>
    <w:rsid w:val="0E069D1B"/>
    <w:rsid w:val="0E082908"/>
    <w:rsid w:val="0E08E2F4"/>
    <w:rsid w:val="0E095640"/>
    <w:rsid w:val="0E0A5E5F"/>
    <w:rsid w:val="0E0AA636"/>
    <w:rsid w:val="0E0AE431"/>
    <w:rsid w:val="0E0BD62D"/>
    <w:rsid w:val="0E0D2AC6"/>
    <w:rsid w:val="0E0DC625"/>
    <w:rsid w:val="0E0DF6E7"/>
    <w:rsid w:val="0E0E266E"/>
    <w:rsid w:val="0E0EE950"/>
    <w:rsid w:val="0E0F9234"/>
    <w:rsid w:val="0E0FA352"/>
    <w:rsid w:val="0E0FB9A5"/>
    <w:rsid w:val="0E1014CD"/>
    <w:rsid w:val="0E1015E0"/>
    <w:rsid w:val="0E105EF5"/>
    <w:rsid w:val="0E1102EB"/>
    <w:rsid w:val="0E1128B5"/>
    <w:rsid w:val="0E11912D"/>
    <w:rsid w:val="0E11BF61"/>
    <w:rsid w:val="0E11F8EC"/>
    <w:rsid w:val="0E1208C4"/>
    <w:rsid w:val="0E120F71"/>
    <w:rsid w:val="0E124E5C"/>
    <w:rsid w:val="0E12B5D4"/>
    <w:rsid w:val="0E12DE2F"/>
    <w:rsid w:val="0E137550"/>
    <w:rsid w:val="0E141535"/>
    <w:rsid w:val="0E147A48"/>
    <w:rsid w:val="0E14E3CF"/>
    <w:rsid w:val="0E150BB2"/>
    <w:rsid w:val="0E154CA5"/>
    <w:rsid w:val="0E1623EF"/>
    <w:rsid w:val="0E164A15"/>
    <w:rsid w:val="0E170913"/>
    <w:rsid w:val="0E186DBE"/>
    <w:rsid w:val="0E1AF4CD"/>
    <w:rsid w:val="0E1B3EFD"/>
    <w:rsid w:val="0E1CA199"/>
    <w:rsid w:val="0E1CD70B"/>
    <w:rsid w:val="0E1D89C6"/>
    <w:rsid w:val="0E1DF713"/>
    <w:rsid w:val="0E1E75FD"/>
    <w:rsid w:val="0E1E8D13"/>
    <w:rsid w:val="0E1EE9AC"/>
    <w:rsid w:val="0E1F565A"/>
    <w:rsid w:val="0E1F7245"/>
    <w:rsid w:val="0E204397"/>
    <w:rsid w:val="0E20C99D"/>
    <w:rsid w:val="0E20D645"/>
    <w:rsid w:val="0E214B07"/>
    <w:rsid w:val="0E218211"/>
    <w:rsid w:val="0E21D9E8"/>
    <w:rsid w:val="0E231791"/>
    <w:rsid w:val="0E23192C"/>
    <w:rsid w:val="0E236FF5"/>
    <w:rsid w:val="0E23B380"/>
    <w:rsid w:val="0E23D427"/>
    <w:rsid w:val="0E23FBDF"/>
    <w:rsid w:val="0E242010"/>
    <w:rsid w:val="0E245258"/>
    <w:rsid w:val="0E25185E"/>
    <w:rsid w:val="0E2531D0"/>
    <w:rsid w:val="0E26DCE6"/>
    <w:rsid w:val="0E274F74"/>
    <w:rsid w:val="0E27C51F"/>
    <w:rsid w:val="0E27F6F8"/>
    <w:rsid w:val="0E28311C"/>
    <w:rsid w:val="0E2832A5"/>
    <w:rsid w:val="0E28DE4F"/>
    <w:rsid w:val="0E29798A"/>
    <w:rsid w:val="0E2A54E5"/>
    <w:rsid w:val="0E2AD3AE"/>
    <w:rsid w:val="0E2B2B73"/>
    <w:rsid w:val="0E2BB8C1"/>
    <w:rsid w:val="0E2BBC2D"/>
    <w:rsid w:val="0E2BF545"/>
    <w:rsid w:val="0E2C52D8"/>
    <w:rsid w:val="0E2CF744"/>
    <w:rsid w:val="0E2DF8C6"/>
    <w:rsid w:val="0E2E9526"/>
    <w:rsid w:val="0E2EEB25"/>
    <w:rsid w:val="0E2EF347"/>
    <w:rsid w:val="0E2F4DD8"/>
    <w:rsid w:val="0E2F4E5D"/>
    <w:rsid w:val="0E2FEE1B"/>
    <w:rsid w:val="0E30AB24"/>
    <w:rsid w:val="0E31B724"/>
    <w:rsid w:val="0E3281EA"/>
    <w:rsid w:val="0E3281EE"/>
    <w:rsid w:val="0E3318B8"/>
    <w:rsid w:val="0E33580A"/>
    <w:rsid w:val="0E33A230"/>
    <w:rsid w:val="0E34F863"/>
    <w:rsid w:val="0E350924"/>
    <w:rsid w:val="0E3530C9"/>
    <w:rsid w:val="0E35343C"/>
    <w:rsid w:val="0E3567E0"/>
    <w:rsid w:val="0E3578A0"/>
    <w:rsid w:val="0E357942"/>
    <w:rsid w:val="0E360EB5"/>
    <w:rsid w:val="0E366CCF"/>
    <w:rsid w:val="0E389804"/>
    <w:rsid w:val="0E391106"/>
    <w:rsid w:val="0E3A14B7"/>
    <w:rsid w:val="0E3A37F5"/>
    <w:rsid w:val="0E3AE06E"/>
    <w:rsid w:val="0E3B51B8"/>
    <w:rsid w:val="0E3BD38E"/>
    <w:rsid w:val="0E3CBBA5"/>
    <w:rsid w:val="0E3CD8AE"/>
    <w:rsid w:val="0E3D24A6"/>
    <w:rsid w:val="0E3E2689"/>
    <w:rsid w:val="0E3E2E83"/>
    <w:rsid w:val="0E3EC3AB"/>
    <w:rsid w:val="0E3EEE97"/>
    <w:rsid w:val="0E3F628E"/>
    <w:rsid w:val="0E3F65BF"/>
    <w:rsid w:val="0E3FEBFA"/>
    <w:rsid w:val="0E3FFB83"/>
    <w:rsid w:val="0E404463"/>
    <w:rsid w:val="0E408BC1"/>
    <w:rsid w:val="0E4110C2"/>
    <w:rsid w:val="0E4129F0"/>
    <w:rsid w:val="0E416749"/>
    <w:rsid w:val="0E4194B9"/>
    <w:rsid w:val="0E42B474"/>
    <w:rsid w:val="0E42B71E"/>
    <w:rsid w:val="0E438CD6"/>
    <w:rsid w:val="0E43C4F2"/>
    <w:rsid w:val="0E449B47"/>
    <w:rsid w:val="0E44A376"/>
    <w:rsid w:val="0E44D23C"/>
    <w:rsid w:val="0E44F1C0"/>
    <w:rsid w:val="0E458D6A"/>
    <w:rsid w:val="0E464807"/>
    <w:rsid w:val="0E4684DB"/>
    <w:rsid w:val="0E489FB7"/>
    <w:rsid w:val="0E48F836"/>
    <w:rsid w:val="0E491F6E"/>
    <w:rsid w:val="0E4AE875"/>
    <w:rsid w:val="0E4C93DF"/>
    <w:rsid w:val="0E4C981D"/>
    <w:rsid w:val="0E4D56D2"/>
    <w:rsid w:val="0E4DE54F"/>
    <w:rsid w:val="0E4E4874"/>
    <w:rsid w:val="0E4EDAC8"/>
    <w:rsid w:val="0E4F62E3"/>
    <w:rsid w:val="0E4FB31E"/>
    <w:rsid w:val="0E50B182"/>
    <w:rsid w:val="0E51D114"/>
    <w:rsid w:val="0E525E58"/>
    <w:rsid w:val="0E52CCE6"/>
    <w:rsid w:val="0E52FE05"/>
    <w:rsid w:val="0E5384E1"/>
    <w:rsid w:val="0E538D78"/>
    <w:rsid w:val="0E53BDE2"/>
    <w:rsid w:val="0E543E0A"/>
    <w:rsid w:val="0E551CB1"/>
    <w:rsid w:val="0E554B06"/>
    <w:rsid w:val="0E55509A"/>
    <w:rsid w:val="0E555852"/>
    <w:rsid w:val="0E558171"/>
    <w:rsid w:val="0E558313"/>
    <w:rsid w:val="0E55AF25"/>
    <w:rsid w:val="0E564EC4"/>
    <w:rsid w:val="0E56B637"/>
    <w:rsid w:val="0E579057"/>
    <w:rsid w:val="0E5A9B32"/>
    <w:rsid w:val="0E5B62A1"/>
    <w:rsid w:val="0E5BA376"/>
    <w:rsid w:val="0E5C2213"/>
    <w:rsid w:val="0E5CB41F"/>
    <w:rsid w:val="0E5EA37A"/>
    <w:rsid w:val="0E5ED6BB"/>
    <w:rsid w:val="0E5F3ABC"/>
    <w:rsid w:val="0E5F4148"/>
    <w:rsid w:val="0E5F95DF"/>
    <w:rsid w:val="0E5FBA46"/>
    <w:rsid w:val="0E5FBB7B"/>
    <w:rsid w:val="0E5FE542"/>
    <w:rsid w:val="0E611DB0"/>
    <w:rsid w:val="0E61705C"/>
    <w:rsid w:val="0E620B58"/>
    <w:rsid w:val="0E6211EA"/>
    <w:rsid w:val="0E636A57"/>
    <w:rsid w:val="0E63B7A1"/>
    <w:rsid w:val="0E63E09B"/>
    <w:rsid w:val="0E64031A"/>
    <w:rsid w:val="0E643525"/>
    <w:rsid w:val="0E644955"/>
    <w:rsid w:val="0E65202B"/>
    <w:rsid w:val="0E659E65"/>
    <w:rsid w:val="0E65BE44"/>
    <w:rsid w:val="0E667A4D"/>
    <w:rsid w:val="0E66AA09"/>
    <w:rsid w:val="0E66AEB8"/>
    <w:rsid w:val="0E6800A7"/>
    <w:rsid w:val="0E6838A3"/>
    <w:rsid w:val="0E683A69"/>
    <w:rsid w:val="0E693FD2"/>
    <w:rsid w:val="0E698D64"/>
    <w:rsid w:val="0E69C2B9"/>
    <w:rsid w:val="0E6A2926"/>
    <w:rsid w:val="0E6A3123"/>
    <w:rsid w:val="0E6B04D2"/>
    <w:rsid w:val="0E6BB514"/>
    <w:rsid w:val="0E6BE8DA"/>
    <w:rsid w:val="0E6BE9F7"/>
    <w:rsid w:val="0E6C0755"/>
    <w:rsid w:val="0E6C4597"/>
    <w:rsid w:val="0E6D14FC"/>
    <w:rsid w:val="0E6D6F77"/>
    <w:rsid w:val="0E6DF451"/>
    <w:rsid w:val="0E6E5FB5"/>
    <w:rsid w:val="0E6EDDB8"/>
    <w:rsid w:val="0E6FA39D"/>
    <w:rsid w:val="0E707FAA"/>
    <w:rsid w:val="0E72A589"/>
    <w:rsid w:val="0E730781"/>
    <w:rsid w:val="0E73229C"/>
    <w:rsid w:val="0E734B52"/>
    <w:rsid w:val="0E73C9C3"/>
    <w:rsid w:val="0E7403E3"/>
    <w:rsid w:val="0E740A5B"/>
    <w:rsid w:val="0E7456F9"/>
    <w:rsid w:val="0E746E55"/>
    <w:rsid w:val="0E74B034"/>
    <w:rsid w:val="0E74E367"/>
    <w:rsid w:val="0E753032"/>
    <w:rsid w:val="0E757879"/>
    <w:rsid w:val="0E75AF75"/>
    <w:rsid w:val="0E75D76E"/>
    <w:rsid w:val="0E79FCCE"/>
    <w:rsid w:val="0E7AB314"/>
    <w:rsid w:val="0E7AF02F"/>
    <w:rsid w:val="0E7BA33F"/>
    <w:rsid w:val="0E7D2C87"/>
    <w:rsid w:val="0E7F6856"/>
    <w:rsid w:val="0E7F83DD"/>
    <w:rsid w:val="0E803BE6"/>
    <w:rsid w:val="0E80621F"/>
    <w:rsid w:val="0E809FF0"/>
    <w:rsid w:val="0E810067"/>
    <w:rsid w:val="0E8117E4"/>
    <w:rsid w:val="0E812D65"/>
    <w:rsid w:val="0E8152DC"/>
    <w:rsid w:val="0E82366C"/>
    <w:rsid w:val="0E82A8A5"/>
    <w:rsid w:val="0E82ADB0"/>
    <w:rsid w:val="0E83EC7C"/>
    <w:rsid w:val="0E83F0C1"/>
    <w:rsid w:val="0E841B17"/>
    <w:rsid w:val="0E84260F"/>
    <w:rsid w:val="0E8469AE"/>
    <w:rsid w:val="0E84772B"/>
    <w:rsid w:val="0E855AEC"/>
    <w:rsid w:val="0E85A119"/>
    <w:rsid w:val="0E8632F8"/>
    <w:rsid w:val="0E8636D1"/>
    <w:rsid w:val="0E867035"/>
    <w:rsid w:val="0E869658"/>
    <w:rsid w:val="0E873D34"/>
    <w:rsid w:val="0E878513"/>
    <w:rsid w:val="0E87E1C4"/>
    <w:rsid w:val="0E87F7EC"/>
    <w:rsid w:val="0E88D163"/>
    <w:rsid w:val="0E897D5B"/>
    <w:rsid w:val="0E898941"/>
    <w:rsid w:val="0E89993F"/>
    <w:rsid w:val="0E89EE46"/>
    <w:rsid w:val="0E89F6B4"/>
    <w:rsid w:val="0E89F77A"/>
    <w:rsid w:val="0E8A0262"/>
    <w:rsid w:val="0E8A7575"/>
    <w:rsid w:val="0E8AB4E1"/>
    <w:rsid w:val="0E8ACA2C"/>
    <w:rsid w:val="0E8AF291"/>
    <w:rsid w:val="0E8BA0B8"/>
    <w:rsid w:val="0E8BA301"/>
    <w:rsid w:val="0E8C429C"/>
    <w:rsid w:val="0E8D086C"/>
    <w:rsid w:val="0E8D5567"/>
    <w:rsid w:val="0E8E1A12"/>
    <w:rsid w:val="0E8F5460"/>
    <w:rsid w:val="0E908F45"/>
    <w:rsid w:val="0E90D75F"/>
    <w:rsid w:val="0E912AA7"/>
    <w:rsid w:val="0E9146AA"/>
    <w:rsid w:val="0E91ED28"/>
    <w:rsid w:val="0E923549"/>
    <w:rsid w:val="0E931927"/>
    <w:rsid w:val="0E939285"/>
    <w:rsid w:val="0E93E87C"/>
    <w:rsid w:val="0E940D33"/>
    <w:rsid w:val="0E94850B"/>
    <w:rsid w:val="0E949231"/>
    <w:rsid w:val="0E964626"/>
    <w:rsid w:val="0E973D3D"/>
    <w:rsid w:val="0E97A028"/>
    <w:rsid w:val="0E985A88"/>
    <w:rsid w:val="0E9AFA52"/>
    <w:rsid w:val="0E9B78EF"/>
    <w:rsid w:val="0E9D5CC8"/>
    <w:rsid w:val="0E9DE212"/>
    <w:rsid w:val="0EA12381"/>
    <w:rsid w:val="0EA19917"/>
    <w:rsid w:val="0EA1BDEA"/>
    <w:rsid w:val="0EA205AD"/>
    <w:rsid w:val="0EA21D8C"/>
    <w:rsid w:val="0EA264C5"/>
    <w:rsid w:val="0EA2A7FE"/>
    <w:rsid w:val="0EA3050C"/>
    <w:rsid w:val="0EA3AF13"/>
    <w:rsid w:val="0EA41193"/>
    <w:rsid w:val="0EA47F13"/>
    <w:rsid w:val="0EA4E524"/>
    <w:rsid w:val="0EA666B7"/>
    <w:rsid w:val="0EA69F23"/>
    <w:rsid w:val="0EA6B5BE"/>
    <w:rsid w:val="0EA6F852"/>
    <w:rsid w:val="0EA705EB"/>
    <w:rsid w:val="0EA79ED1"/>
    <w:rsid w:val="0EA7B730"/>
    <w:rsid w:val="0EA7E087"/>
    <w:rsid w:val="0EA809F1"/>
    <w:rsid w:val="0EA8ABF7"/>
    <w:rsid w:val="0EA98DDA"/>
    <w:rsid w:val="0EAC040E"/>
    <w:rsid w:val="0EAC442E"/>
    <w:rsid w:val="0EAD06FC"/>
    <w:rsid w:val="0EAE035E"/>
    <w:rsid w:val="0EAE211A"/>
    <w:rsid w:val="0EAEF7C5"/>
    <w:rsid w:val="0EB01222"/>
    <w:rsid w:val="0EB084EA"/>
    <w:rsid w:val="0EB09A01"/>
    <w:rsid w:val="0EB0C979"/>
    <w:rsid w:val="0EB2765F"/>
    <w:rsid w:val="0EB40CDE"/>
    <w:rsid w:val="0EB46E30"/>
    <w:rsid w:val="0EB50EFC"/>
    <w:rsid w:val="0EB5D461"/>
    <w:rsid w:val="0EB69A01"/>
    <w:rsid w:val="0EB74AC3"/>
    <w:rsid w:val="0EB786FE"/>
    <w:rsid w:val="0EB81651"/>
    <w:rsid w:val="0EB9C19A"/>
    <w:rsid w:val="0EB9D24A"/>
    <w:rsid w:val="0EB9F578"/>
    <w:rsid w:val="0EB9FA5C"/>
    <w:rsid w:val="0EBAE00F"/>
    <w:rsid w:val="0EBB59AF"/>
    <w:rsid w:val="0EBB785E"/>
    <w:rsid w:val="0EBC41D5"/>
    <w:rsid w:val="0EBCEB38"/>
    <w:rsid w:val="0EBD17A7"/>
    <w:rsid w:val="0EBD3DFE"/>
    <w:rsid w:val="0EBDE756"/>
    <w:rsid w:val="0EBE160C"/>
    <w:rsid w:val="0EBE6295"/>
    <w:rsid w:val="0EBEAD26"/>
    <w:rsid w:val="0EBF140F"/>
    <w:rsid w:val="0EBF7920"/>
    <w:rsid w:val="0EC00589"/>
    <w:rsid w:val="0EC02E00"/>
    <w:rsid w:val="0EC05B3A"/>
    <w:rsid w:val="0EC0FF4A"/>
    <w:rsid w:val="0EC2AD9F"/>
    <w:rsid w:val="0EC2CE1A"/>
    <w:rsid w:val="0EC2FA31"/>
    <w:rsid w:val="0EC45A57"/>
    <w:rsid w:val="0EC47384"/>
    <w:rsid w:val="0EC473A1"/>
    <w:rsid w:val="0EC4ABDE"/>
    <w:rsid w:val="0EC4CC19"/>
    <w:rsid w:val="0EC50A7D"/>
    <w:rsid w:val="0EC554FC"/>
    <w:rsid w:val="0EC57A0F"/>
    <w:rsid w:val="0EC75BC6"/>
    <w:rsid w:val="0EC78D3D"/>
    <w:rsid w:val="0EC901EC"/>
    <w:rsid w:val="0EC9BB6B"/>
    <w:rsid w:val="0EC9E501"/>
    <w:rsid w:val="0EC9EE0F"/>
    <w:rsid w:val="0ECA1486"/>
    <w:rsid w:val="0ECA2A1F"/>
    <w:rsid w:val="0ECADF0B"/>
    <w:rsid w:val="0ECB5A7E"/>
    <w:rsid w:val="0ECB89FF"/>
    <w:rsid w:val="0ECBC835"/>
    <w:rsid w:val="0ECC7BAF"/>
    <w:rsid w:val="0ECCCA75"/>
    <w:rsid w:val="0ECE7F64"/>
    <w:rsid w:val="0ECEDF46"/>
    <w:rsid w:val="0ECF2784"/>
    <w:rsid w:val="0ECF41D6"/>
    <w:rsid w:val="0ECF562E"/>
    <w:rsid w:val="0ED04566"/>
    <w:rsid w:val="0ED0E8F2"/>
    <w:rsid w:val="0ED15B7D"/>
    <w:rsid w:val="0ED15FBA"/>
    <w:rsid w:val="0ED176BD"/>
    <w:rsid w:val="0ED20AD3"/>
    <w:rsid w:val="0ED2584D"/>
    <w:rsid w:val="0ED258CC"/>
    <w:rsid w:val="0ED29DA4"/>
    <w:rsid w:val="0ED2D4D1"/>
    <w:rsid w:val="0ED2E4DB"/>
    <w:rsid w:val="0ED306C5"/>
    <w:rsid w:val="0ED3234E"/>
    <w:rsid w:val="0ED3A432"/>
    <w:rsid w:val="0ED3AA70"/>
    <w:rsid w:val="0ED45784"/>
    <w:rsid w:val="0ED4DF8A"/>
    <w:rsid w:val="0ED50E15"/>
    <w:rsid w:val="0ED53159"/>
    <w:rsid w:val="0ED6AECA"/>
    <w:rsid w:val="0ED6C307"/>
    <w:rsid w:val="0ED75399"/>
    <w:rsid w:val="0ED75DEF"/>
    <w:rsid w:val="0ED7B387"/>
    <w:rsid w:val="0ED83D52"/>
    <w:rsid w:val="0ED84AA9"/>
    <w:rsid w:val="0ED8A6E3"/>
    <w:rsid w:val="0ED8C934"/>
    <w:rsid w:val="0ED8D145"/>
    <w:rsid w:val="0ED8E07B"/>
    <w:rsid w:val="0ED98DF9"/>
    <w:rsid w:val="0ED9BDA1"/>
    <w:rsid w:val="0ED9FD64"/>
    <w:rsid w:val="0EDA5C59"/>
    <w:rsid w:val="0EDACB01"/>
    <w:rsid w:val="0EDAFEB2"/>
    <w:rsid w:val="0EDB4BA3"/>
    <w:rsid w:val="0EDCEF3E"/>
    <w:rsid w:val="0EDCF139"/>
    <w:rsid w:val="0EDD83AC"/>
    <w:rsid w:val="0EDDA13D"/>
    <w:rsid w:val="0EDDE9ED"/>
    <w:rsid w:val="0EDE494E"/>
    <w:rsid w:val="0EDE63B9"/>
    <w:rsid w:val="0EE0348E"/>
    <w:rsid w:val="0EE21F52"/>
    <w:rsid w:val="0EE286F9"/>
    <w:rsid w:val="0EE2958B"/>
    <w:rsid w:val="0EE3399F"/>
    <w:rsid w:val="0EE3DC0F"/>
    <w:rsid w:val="0EE3F0AC"/>
    <w:rsid w:val="0EE42DD1"/>
    <w:rsid w:val="0EE489A5"/>
    <w:rsid w:val="0EE563C3"/>
    <w:rsid w:val="0EE5EAC3"/>
    <w:rsid w:val="0EE67AF3"/>
    <w:rsid w:val="0EE7038E"/>
    <w:rsid w:val="0EE745CF"/>
    <w:rsid w:val="0EE76DB3"/>
    <w:rsid w:val="0EE7AA69"/>
    <w:rsid w:val="0EE7B34E"/>
    <w:rsid w:val="0EE7B7CD"/>
    <w:rsid w:val="0EE7C3DC"/>
    <w:rsid w:val="0EE7D227"/>
    <w:rsid w:val="0EE85FC0"/>
    <w:rsid w:val="0EE8712F"/>
    <w:rsid w:val="0EE87DB8"/>
    <w:rsid w:val="0EE91F4A"/>
    <w:rsid w:val="0EE94B44"/>
    <w:rsid w:val="0EE9F33D"/>
    <w:rsid w:val="0EEA11B6"/>
    <w:rsid w:val="0EEA483B"/>
    <w:rsid w:val="0EEA7893"/>
    <w:rsid w:val="0EEA971A"/>
    <w:rsid w:val="0EEBD024"/>
    <w:rsid w:val="0EEBF92C"/>
    <w:rsid w:val="0EEBF9AA"/>
    <w:rsid w:val="0EED285A"/>
    <w:rsid w:val="0EEDC9BE"/>
    <w:rsid w:val="0EEE9254"/>
    <w:rsid w:val="0EEEBDDE"/>
    <w:rsid w:val="0EF00381"/>
    <w:rsid w:val="0EF0B047"/>
    <w:rsid w:val="0EF15C22"/>
    <w:rsid w:val="0EF22178"/>
    <w:rsid w:val="0EF27B79"/>
    <w:rsid w:val="0EF28291"/>
    <w:rsid w:val="0EF28F5C"/>
    <w:rsid w:val="0EF2D00E"/>
    <w:rsid w:val="0EF2D8EE"/>
    <w:rsid w:val="0EF31122"/>
    <w:rsid w:val="0EF31D1B"/>
    <w:rsid w:val="0EF38F6C"/>
    <w:rsid w:val="0EF3B183"/>
    <w:rsid w:val="0EF3E128"/>
    <w:rsid w:val="0EF3E488"/>
    <w:rsid w:val="0EF4A181"/>
    <w:rsid w:val="0EF77DC3"/>
    <w:rsid w:val="0EF8269E"/>
    <w:rsid w:val="0EFA0A4C"/>
    <w:rsid w:val="0EFA8592"/>
    <w:rsid w:val="0EFAE33C"/>
    <w:rsid w:val="0EFB47E1"/>
    <w:rsid w:val="0EFB8922"/>
    <w:rsid w:val="0EFD50B7"/>
    <w:rsid w:val="0EFD669D"/>
    <w:rsid w:val="0EFE1B74"/>
    <w:rsid w:val="0EFE2218"/>
    <w:rsid w:val="0EFE35BF"/>
    <w:rsid w:val="0EFE4E9B"/>
    <w:rsid w:val="0EFECC67"/>
    <w:rsid w:val="0EFF2ED0"/>
    <w:rsid w:val="0EFF944F"/>
    <w:rsid w:val="0EFFC6F4"/>
    <w:rsid w:val="0F001DD9"/>
    <w:rsid w:val="0F002EF8"/>
    <w:rsid w:val="0F0279F5"/>
    <w:rsid w:val="0F0320B0"/>
    <w:rsid w:val="0F04436B"/>
    <w:rsid w:val="0F047976"/>
    <w:rsid w:val="0F04D749"/>
    <w:rsid w:val="0F0516DD"/>
    <w:rsid w:val="0F05909C"/>
    <w:rsid w:val="0F05967B"/>
    <w:rsid w:val="0F062A20"/>
    <w:rsid w:val="0F065C62"/>
    <w:rsid w:val="0F07B884"/>
    <w:rsid w:val="0F082850"/>
    <w:rsid w:val="0F0909F0"/>
    <w:rsid w:val="0F0A7F33"/>
    <w:rsid w:val="0F0AAF47"/>
    <w:rsid w:val="0F0ABC0D"/>
    <w:rsid w:val="0F0AECEF"/>
    <w:rsid w:val="0F0BD12F"/>
    <w:rsid w:val="0F0C895B"/>
    <w:rsid w:val="0F0C96F9"/>
    <w:rsid w:val="0F0F26B2"/>
    <w:rsid w:val="0F10AD2F"/>
    <w:rsid w:val="0F112E60"/>
    <w:rsid w:val="0F11E1A0"/>
    <w:rsid w:val="0F11F803"/>
    <w:rsid w:val="0F14BFDC"/>
    <w:rsid w:val="0F1582A8"/>
    <w:rsid w:val="0F1586C1"/>
    <w:rsid w:val="0F162743"/>
    <w:rsid w:val="0F16301E"/>
    <w:rsid w:val="0F168BCC"/>
    <w:rsid w:val="0F182CCB"/>
    <w:rsid w:val="0F18D602"/>
    <w:rsid w:val="0F18F4B8"/>
    <w:rsid w:val="0F191F53"/>
    <w:rsid w:val="0F1A0AC2"/>
    <w:rsid w:val="0F1A3183"/>
    <w:rsid w:val="0F1A3B32"/>
    <w:rsid w:val="0F1B8A0F"/>
    <w:rsid w:val="0F1C7028"/>
    <w:rsid w:val="0F1C7C2A"/>
    <w:rsid w:val="0F1CA89B"/>
    <w:rsid w:val="0F1CD570"/>
    <w:rsid w:val="0F1D34DC"/>
    <w:rsid w:val="0F1D4215"/>
    <w:rsid w:val="0F1DBA07"/>
    <w:rsid w:val="0F1E6A78"/>
    <w:rsid w:val="0F1E6E38"/>
    <w:rsid w:val="0F1EC6F0"/>
    <w:rsid w:val="0F1EEF1B"/>
    <w:rsid w:val="0F1EF8CE"/>
    <w:rsid w:val="0F1F245E"/>
    <w:rsid w:val="0F1F2702"/>
    <w:rsid w:val="0F1F92A3"/>
    <w:rsid w:val="0F204229"/>
    <w:rsid w:val="0F205A6C"/>
    <w:rsid w:val="0F20B0DB"/>
    <w:rsid w:val="0F211166"/>
    <w:rsid w:val="0F21ED0B"/>
    <w:rsid w:val="0F227013"/>
    <w:rsid w:val="0F227292"/>
    <w:rsid w:val="0F22E50D"/>
    <w:rsid w:val="0F2450FC"/>
    <w:rsid w:val="0F24BF2D"/>
    <w:rsid w:val="0F24D11B"/>
    <w:rsid w:val="0F26F2E5"/>
    <w:rsid w:val="0F27B3BC"/>
    <w:rsid w:val="0F281C5C"/>
    <w:rsid w:val="0F282FE4"/>
    <w:rsid w:val="0F289155"/>
    <w:rsid w:val="0F28B9B1"/>
    <w:rsid w:val="0F295872"/>
    <w:rsid w:val="0F2A1634"/>
    <w:rsid w:val="0F2A3708"/>
    <w:rsid w:val="0F2B3A02"/>
    <w:rsid w:val="0F2B51E8"/>
    <w:rsid w:val="0F2DB354"/>
    <w:rsid w:val="0F2DFC16"/>
    <w:rsid w:val="0F2E2E12"/>
    <w:rsid w:val="0F2E4CBF"/>
    <w:rsid w:val="0F2E5F14"/>
    <w:rsid w:val="0F2EBB22"/>
    <w:rsid w:val="0F332D05"/>
    <w:rsid w:val="0F336BE7"/>
    <w:rsid w:val="0F337561"/>
    <w:rsid w:val="0F339E90"/>
    <w:rsid w:val="0F33A9B0"/>
    <w:rsid w:val="0F33B237"/>
    <w:rsid w:val="0F33FC2F"/>
    <w:rsid w:val="0F3406CE"/>
    <w:rsid w:val="0F34325D"/>
    <w:rsid w:val="0F349CE1"/>
    <w:rsid w:val="0F34F698"/>
    <w:rsid w:val="0F353F1F"/>
    <w:rsid w:val="0F35C81C"/>
    <w:rsid w:val="0F364A02"/>
    <w:rsid w:val="0F370DF3"/>
    <w:rsid w:val="0F374FC0"/>
    <w:rsid w:val="0F376328"/>
    <w:rsid w:val="0F37727B"/>
    <w:rsid w:val="0F37CD3B"/>
    <w:rsid w:val="0F387704"/>
    <w:rsid w:val="0F38F154"/>
    <w:rsid w:val="0F3962E0"/>
    <w:rsid w:val="0F39AD8B"/>
    <w:rsid w:val="0F3AE0B1"/>
    <w:rsid w:val="0F3B5786"/>
    <w:rsid w:val="0F3B930C"/>
    <w:rsid w:val="0F3BA907"/>
    <w:rsid w:val="0F3BAF26"/>
    <w:rsid w:val="0F3CD9F1"/>
    <w:rsid w:val="0F3D0C50"/>
    <w:rsid w:val="0F3DF0D6"/>
    <w:rsid w:val="0F3DF37D"/>
    <w:rsid w:val="0F3F1C16"/>
    <w:rsid w:val="0F3F489D"/>
    <w:rsid w:val="0F3F7CAE"/>
    <w:rsid w:val="0F3FA7E6"/>
    <w:rsid w:val="0F40BD44"/>
    <w:rsid w:val="0F417D5A"/>
    <w:rsid w:val="0F419056"/>
    <w:rsid w:val="0F41A947"/>
    <w:rsid w:val="0F41FC87"/>
    <w:rsid w:val="0F42D924"/>
    <w:rsid w:val="0F430753"/>
    <w:rsid w:val="0F43237D"/>
    <w:rsid w:val="0F44E0CE"/>
    <w:rsid w:val="0F45A733"/>
    <w:rsid w:val="0F45DEF9"/>
    <w:rsid w:val="0F471FAD"/>
    <w:rsid w:val="0F479EDF"/>
    <w:rsid w:val="0F47AA46"/>
    <w:rsid w:val="0F48D624"/>
    <w:rsid w:val="0F4A01D7"/>
    <w:rsid w:val="0F4A9AA1"/>
    <w:rsid w:val="0F4B0F55"/>
    <w:rsid w:val="0F4B8C1E"/>
    <w:rsid w:val="0F4B9285"/>
    <w:rsid w:val="0F4B9CDE"/>
    <w:rsid w:val="0F4BE7E9"/>
    <w:rsid w:val="0F4CA466"/>
    <w:rsid w:val="0F4CB07C"/>
    <w:rsid w:val="0F4CD6AE"/>
    <w:rsid w:val="0F4D1F42"/>
    <w:rsid w:val="0F4D32DF"/>
    <w:rsid w:val="0F4DCC5C"/>
    <w:rsid w:val="0F4DEBE8"/>
    <w:rsid w:val="0F4DF1F6"/>
    <w:rsid w:val="0F4E1F8D"/>
    <w:rsid w:val="0F4FBA87"/>
    <w:rsid w:val="0F4FC8B0"/>
    <w:rsid w:val="0F4FE285"/>
    <w:rsid w:val="0F5000ED"/>
    <w:rsid w:val="0F502053"/>
    <w:rsid w:val="0F51C26F"/>
    <w:rsid w:val="0F5200E4"/>
    <w:rsid w:val="0F524A45"/>
    <w:rsid w:val="0F531567"/>
    <w:rsid w:val="0F53F770"/>
    <w:rsid w:val="0F56AF64"/>
    <w:rsid w:val="0F57206F"/>
    <w:rsid w:val="0F57249A"/>
    <w:rsid w:val="0F572E34"/>
    <w:rsid w:val="0F576A9A"/>
    <w:rsid w:val="0F57A622"/>
    <w:rsid w:val="0F57C10C"/>
    <w:rsid w:val="0F581627"/>
    <w:rsid w:val="0F59194E"/>
    <w:rsid w:val="0F592EDC"/>
    <w:rsid w:val="0F595702"/>
    <w:rsid w:val="0F59CC6A"/>
    <w:rsid w:val="0F5B4F99"/>
    <w:rsid w:val="0F5C62D1"/>
    <w:rsid w:val="0F5D70FC"/>
    <w:rsid w:val="0F5ED37E"/>
    <w:rsid w:val="0F5F5776"/>
    <w:rsid w:val="0F609052"/>
    <w:rsid w:val="0F60B99F"/>
    <w:rsid w:val="0F614017"/>
    <w:rsid w:val="0F614CB6"/>
    <w:rsid w:val="0F61666F"/>
    <w:rsid w:val="0F619C11"/>
    <w:rsid w:val="0F62CEC5"/>
    <w:rsid w:val="0F62E7CB"/>
    <w:rsid w:val="0F6305EC"/>
    <w:rsid w:val="0F63AA08"/>
    <w:rsid w:val="0F65128F"/>
    <w:rsid w:val="0F6523F3"/>
    <w:rsid w:val="0F654608"/>
    <w:rsid w:val="0F65D673"/>
    <w:rsid w:val="0F66F336"/>
    <w:rsid w:val="0F677B8A"/>
    <w:rsid w:val="0F67F463"/>
    <w:rsid w:val="0F687FE6"/>
    <w:rsid w:val="0F689457"/>
    <w:rsid w:val="0F69B7AC"/>
    <w:rsid w:val="0F6C017F"/>
    <w:rsid w:val="0F6C2AFC"/>
    <w:rsid w:val="0F6C4305"/>
    <w:rsid w:val="0F6CB8F2"/>
    <w:rsid w:val="0F6D593B"/>
    <w:rsid w:val="0F6D7A0D"/>
    <w:rsid w:val="0F6E186F"/>
    <w:rsid w:val="0F6E4365"/>
    <w:rsid w:val="0F6E55E2"/>
    <w:rsid w:val="0F6EABC5"/>
    <w:rsid w:val="0F6F1374"/>
    <w:rsid w:val="0F6F70DC"/>
    <w:rsid w:val="0F6FCB12"/>
    <w:rsid w:val="0F6FCD11"/>
    <w:rsid w:val="0F70776D"/>
    <w:rsid w:val="0F70C33B"/>
    <w:rsid w:val="0F711922"/>
    <w:rsid w:val="0F714566"/>
    <w:rsid w:val="0F71B18B"/>
    <w:rsid w:val="0F72DC68"/>
    <w:rsid w:val="0F7373FB"/>
    <w:rsid w:val="0F73B3B3"/>
    <w:rsid w:val="0F74DEC3"/>
    <w:rsid w:val="0F75CD46"/>
    <w:rsid w:val="0F764343"/>
    <w:rsid w:val="0F766EBD"/>
    <w:rsid w:val="0F76EF88"/>
    <w:rsid w:val="0F7833A6"/>
    <w:rsid w:val="0F785D59"/>
    <w:rsid w:val="0F791653"/>
    <w:rsid w:val="0F7926BF"/>
    <w:rsid w:val="0F798EAF"/>
    <w:rsid w:val="0F7A0C67"/>
    <w:rsid w:val="0F7A533B"/>
    <w:rsid w:val="0F7A7844"/>
    <w:rsid w:val="0F7A7AE4"/>
    <w:rsid w:val="0F7AB2CF"/>
    <w:rsid w:val="0F7B030A"/>
    <w:rsid w:val="0F7B2582"/>
    <w:rsid w:val="0F7B449D"/>
    <w:rsid w:val="0F7B95B6"/>
    <w:rsid w:val="0F7C469E"/>
    <w:rsid w:val="0F7CB6EB"/>
    <w:rsid w:val="0F7CC0D4"/>
    <w:rsid w:val="0F7CD43A"/>
    <w:rsid w:val="0F7D0A72"/>
    <w:rsid w:val="0F7D2504"/>
    <w:rsid w:val="0F7D635D"/>
    <w:rsid w:val="0F7DEFB0"/>
    <w:rsid w:val="0F7E7CCD"/>
    <w:rsid w:val="0F7ED59E"/>
    <w:rsid w:val="0F7EEF82"/>
    <w:rsid w:val="0F7F195D"/>
    <w:rsid w:val="0F7FAF44"/>
    <w:rsid w:val="0F806613"/>
    <w:rsid w:val="0F806F8F"/>
    <w:rsid w:val="0F80CEC7"/>
    <w:rsid w:val="0F81AD7F"/>
    <w:rsid w:val="0F81FE72"/>
    <w:rsid w:val="0F82A00F"/>
    <w:rsid w:val="0F82CD10"/>
    <w:rsid w:val="0F82D130"/>
    <w:rsid w:val="0F82EFF7"/>
    <w:rsid w:val="0F831FC6"/>
    <w:rsid w:val="0F838C0C"/>
    <w:rsid w:val="0F83C40D"/>
    <w:rsid w:val="0F844421"/>
    <w:rsid w:val="0F8451BD"/>
    <w:rsid w:val="0F84B06B"/>
    <w:rsid w:val="0F84B549"/>
    <w:rsid w:val="0F86D413"/>
    <w:rsid w:val="0F86FC3E"/>
    <w:rsid w:val="0F87D609"/>
    <w:rsid w:val="0F88C441"/>
    <w:rsid w:val="0F891455"/>
    <w:rsid w:val="0F893618"/>
    <w:rsid w:val="0F897E3D"/>
    <w:rsid w:val="0F89B97A"/>
    <w:rsid w:val="0F8A4CF0"/>
    <w:rsid w:val="0F8B6B31"/>
    <w:rsid w:val="0F8BBA00"/>
    <w:rsid w:val="0F8BBDD2"/>
    <w:rsid w:val="0F8BD5FD"/>
    <w:rsid w:val="0F8C6A1E"/>
    <w:rsid w:val="0F8C753E"/>
    <w:rsid w:val="0F8C91A7"/>
    <w:rsid w:val="0F8CE09F"/>
    <w:rsid w:val="0F8E0ED8"/>
    <w:rsid w:val="0F8E50FE"/>
    <w:rsid w:val="0F8EA31F"/>
    <w:rsid w:val="0F8EC0FE"/>
    <w:rsid w:val="0F8F133F"/>
    <w:rsid w:val="0F8FA449"/>
    <w:rsid w:val="0F904291"/>
    <w:rsid w:val="0F91832D"/>
    <w:rsid w:val="0F91DEB3"/>
    <w:rsid w:val="0F91E868"/>
    <w:rsid w:val="0F9302D5"/>
    <w:rsid w:val="0F935994"/>
    <w:rsid w:val="0F93DC8A"/>
    <w:rsid w:val="0F945BC1"/>
    <w:rsid w:val="0F94932F"/>
    <w:rsid w:val="0F955FA8"/>
    <w:rsid w:val="0F95E71B"/>
    <w:rsid w:val="0F95F525"/>
    <w:rsid w:val="0F9619A7"/>
    <w:rsid w:val="0F962EFD"/>
    <w:rsid w:val="0F966EB2"/>
    <w:rsid w:val="0F968021"/>
    <w:rsid w:val="0F96B381"/>
    <w:rsid w:val="0F96EC4E"/>
    <w:rsid w:val="0F974DB1"/>
    <w:rsid w:val="0F978603"/>
    <w:rsid w:val="0F9837C5"/>
    <w:rsid w:val="0F98AA89"/>
    <w:rsid w:val="0F98F0DB"/>
    <w:rsid w:val="0F990CB7"/>
    <w:rsid w:val="0F995673"/>
    <w:rsid w:val="0F995A40"/>
    <w:rsid w:val="0F9A58ED"/>
    <w:rsid w:val="0F9A8634"/>
    <w:rsid w:val="0F9A9CFB"/>
    <w:rsid w:val="0F9BB994"/>
    <w:rsid w:val="0F9BE521"/>
    <w:rsid w:val="0F9DAB18"/>
    <w:rsid w:val="0F9ECFD9"/>
    <w:rsid w:val="0F9F39E6"/>
    <w:rsid w:val="0FA04DB4"/>
    <w:rsid w:val="0FA050B7"/>
    <w:rsid w:val="0FA05881"/>
    <w:rsid w:val="0FA0C271"/>
    <w:rsid w:val="0FA0EDC8"/>
    <w:rsid w:val="0FA11326"/>
    <w:rsid w:val="0FA264DE"/>
    <w:rsid w:val="0FA2EAD8"/>
    <w:rsid w:val="0FA3A48E"/>
    <w:rsid w:val="0FA41B04"/>
    <w:rsid w:val="0FA46C10"/>
    <w:rsid w:val="0FA4CB0D"/>
    <w:rsid w:val="0FA58760"/>
    <w:rsid w:val="0FA598E1"/>
    <w:rsid w:val="0FA6BC37"/>
    <w:rsid w:val="0FA6F8C3"/>
    <w:rsid w:val="0FA703A1"/>
    <w:rsid w:val="0FA72270"/>
    <w:rsid w:val="0FA7AC5B"/>
    <w:rsid w:val="0FA7B677"/>
    <w:rsid w:val="0FA9F8D1"/>
    <w:rsid w:val="0FAA985D"/>
    <w:rsid w:val="0FAABE98"/>
    <w:rsid w:val="0FAB158B"/>
    <w:rsid w:val="0FABA7CC"/>
    <w:rsid w:val="0FABA811"/>
    <w:rsid w:val="0FABDE4B"/>
    <w:rsid w:val="0FACD599"/>
    <w:rsid w:val="0FADA38D"/>
    <w:rsid w:val="0FADC251"/>
    <w:rsid w:val="0FAEEF8A"/>
    <w:rsid w:val="0FAEF412"/>
    <w:rsid w:val="0FAFD3FC"/>
    <w:rsid w:val="0FB034BC"/>
    <w:rsid w:val="0FB0378F"/>
    <w:rsid w:val="0FB15FAF"/>
    <w:rsid w:val="0FB2436A"/>
    <w:rsid w:val="0FB27BDB"/>
    <w:rsid w:val="0FB32BDB"/>
    <w:rsid w:val="0FB363FF"/>
    <w:rsid w:val="0FB42DE9"/>
    <w:rsid w:val="0FB5864B"/>
    <w:rsid w:val="0FB5EB2A"/>
    <w:rsid w:val="0FB5ED4E"/>
    <w:rsid w:val="0FB65AD6"/>
    <w:rsid w:val="0FB6781E"/>
    <w:rsid w:val="0FB67A63"/>
    <w:rsid w:val="0FB67E51"/>
    <w:rsid w:val="0FB73EFF"/>
    <w:rsid w:val="0FB77AA5"/>
    <w:rsid w:val="0FB7FDD5"/>
    <w:rsid w:val="0FB834B6"/>
    <w:rsid w:val="0FB95812"/>
    <w:rsid w:val="0FBA75BC"/>
    <w:rsid w:val="0FBA7D52"/>
    <w:rsid w:val="0FBB653C"/>
    <w:rsid w:val="0FBB71BB"/>
    <w:rsid w:val="0FBB906C"/>
    <w:rsid w:val="0FBCA001"/>
    <w:rsid w:val="0FBCB3F1"/>
    <w:rsid w:val="0FBE0F62"/>
    <w:rsid w:val="0FBE1EFE"/>
    <w:rsid w:val="0FBE5BE0"/>
    <w:rsid w:val="0FBF1AD6"/>
    <w:rsid w:val="0FBFD7B7"/>
    <w:rsid w:val="0FC01A05"/>
    <w:rsid w:val="0FC10222"/>
    <w:rsid w:val="0FC131B8"/>
    <w:rsid w:val="0FC20D1D"/>
    <w:rsid w:val="0FC3A6D9"/>
    <w:rsid w:val="0FC3C378"/>
    <w:rsid w:val="0FC3DA64"/>
    <w:rsid w:val="0FC3E534"/>
    <w:rsid w:val="0FC43B7F"/>
    <w:rsid w:val="0FC44212"/>
    <w:rsid w:val="0FC4A1AE"/>
    <w:rsid w:val="0FC4B06F"/>
    <w:rsid w:val="0FC4E1AE"/>
    <w:rsid w:val="0FC59EFE"/>
    <w:rsid w:val="0FC5B9E7"/>
    <w:rsid w:val="0FC5D5A6"/>
    <w:rsid w:val="0FC5DB4F"/>
    <w:rsid w:val="0FC6BB01"/>
    <w:rsid w:val="0FC6F88C"/>
    <w:rsid w:val="0FC72722"/>
    <w:rsid w:val="0FC80F1D"/>
    <w:rsid w:val="0FC89AE5"/>
    <w:rsid w:val="0FC9042B"/>
    <w:rsid w:val="0FC92D8E"/>
    <w:rsid w:val="0FCA4F4F"/>
    <w:rsid w:val="0FCB1B75"/>
    <w:rsid w:val="0FCB2089"/>
    <w:rsid w:val="0FCB570E"/>
    <w:rsid w:val="0FCBE3F2"/>
    <w:rsid w:val="0FCC1EA9"/>
    <w:rsid w:val="0FCC5C61"/>
    <w:rsid w:val="0FCCA3D3"/>
    <w:rsid w:val="0FCCF532"/>
    <w:rsid w:val="0FCE964D"/>
    <w:rsid w:val="0FCEC7D6"/>
    <w:rsid w:val="0FCED569"/>
    <w:rsid w:val="0FCFDC90"/>
    <w:rsid w:val="0FCFE8D4"/>
    <w:rsid w:val="0FD0266D"/>
    <w:rsid w:val="0FD03C65"/>
    <w:rsid w:val="0FD06597"/>
    <w:rsid w:val="0FD109D6"/>
    <w:rsid w:val="0FD13E70"/>
    <w:rsid w:val="0FD15E1A"/>
    <w:rsid w:val="0FD278B2"/>
    <w:rsid w:val="0FD2ADFE"/>
    <w:rsid w:val="0FD2CB55"/>
    <w:rsid w:val="0FD3069F"/>
    <w:rsid w:val="0FD36643"/>
    <w:rsid w:val="0FD36EAB"/>
    <w:rsid w:val="0FD38B1F"/>
    <w:rsid w:val="0FD50112"/>
    <w:rsid w:val="0FD5258B"/>
    <w:rsid w:val="0FD5273D"/>
    <w:rsid w:val="0FD56B49"/>
    <w:rsid w:val="0FD5EB76"/>
    <w:rsid w:val="0FD600AD"/>
    <w:rsid w:val="0FD8042C"/>
    <w:rsid w:val="0FD811A6"/>
    <w:rsid w:val="0FD8FA1C"/>
    <w:rsid w:val="0FD959ED"/>
    <w:rsid w:val="0FDA0A1D"/>
    <w:rsid w:val="0FDAB724"/>
    <w:rsid w:val="0FDB3761"/>
    <w:rsid w:val="0FDBABE9"/>
    <w:rsid w:val="0FDC5B4D"/>
    <w:rsid w:val="0FDC6D41"/>
    <w:rsid w:val="0FDC9EE1"/>
    <w:rsid w:val="0FDD3851"/>
    <w:rsid w:val="0FDDBE42"/>
    <w:rsid w:val="0FDDFAB3"/>
    <w:rsid w:val="0FDE4A9B"/>
    <w:rsid w:val="0FDEF8E3"/>
    <w:rsid w:val="0FDF1A78"/>
    <w:rsid w:val="0FE0981A"/>
    <w:rsid w:val="0FE0C100"/>
    <w:rsid w:val="0FE12331"/>
    <w:rsid w:val="0FE19D60"/>
    <w:rsid w:val="0FE1A7C1"/>
    <w:rsid w:val="0FE2129A"/>
    <w:rsid w:val="0FE389BD"/>
    <w:rsid w:val="0FE43D24"/>
    <w:rsid w:val="0FE453BE"/>
    <w:rsid w:val="0FE45AC1"/>
    <w:rsid w:val="0FE470D6"/>
    <w:rsid w:val="0FE48051"/>
    <w:rsid w:val="0FE4E94B"/>
    <w:rsid w:val="0FE5833D"/>
    <w:rsid w:val="0FE5979E"/>
    <w:rsid w:val="0FE5F51B"/>
    <w:rsid w:val="0FE605B6"/>
    <w:rsid w:val="0FE6645E"/>
    <w:rsid w:val="0FE69750"/>
    <w:rsid w:val="0FE6E3F4"/>
    <w:rsid w:val="0FE7E9ED"/>
    <w:rsid w:val="0FE8559C"/>
    <w:rsid w:val="0FE88077"/>
    <w:rsid w:val="0FE896C8"/>
    <w:rsid w:val="0FE90C5B"/>
    <w:rsid w:val="0FEA0A84"/>
    <w:rsid w:val="0FEA36C3"/>
    <w:rsid w:val="0FEA8EC8"/>
    <w:rsid w:val="0FEAD017"/>
    <w:rsid w:val="0FEB0F5C"/>
    <w:rsid w:val="0FEB289D"/>
    <w:rsid w:val="0FEC1546"/>
    <w:rsid w:val="0FEC297C"/>
    <w:rsid w:val="0FECAF10"/>
    <w:rsid w:val="0FECE85D"/>
    <w:rsid w:val="0FED34D5"/>
    <w:rsid w:val="0FEE4354"/>
    <w:rsid w:val="0FEE4D44"/>
    <w:rsid w:val="0FEEA2A2"/>
    <w:rsid w:val="0FEEE68D"/>
    <w:rsid w:val="0FEF278F"/>
    <w:rsid w:val="0FEF27F6"/>
    <w:rsid w:val="0FEF6023"/>
    <w:rsid w:val="0FEFAF46"/>
    <w:rsid w:val="0FF10AEB"/>
    <w:rsid w:val="0FF12817"/>
    <w:rsid w:val="0FF21A09"/>
    <w:rsid w:val="0FF23E12"/>
    <w:rsid w:val="0FF245B3"/>
    <w:rsid w:val="0FF284B2"/>
    <w:rsid w:val="0FF325B0"/>
    <w:rsid w:val="0FF35E85"/>
    <w:rsid w:val="0FF430F8"/>
    <w:rsid w:val="0FF45511"/>
    <w:rsid w:val="0FF4ED5D"/>
    <w:rsid w:val="0FF6221C"/>
    <w:rsid w:val="0FF62FE7"/>
    <w:rsid w:val="0FF79468"/>
    <w:rsid w:val="0FF7A026"/>
    <w:rsid w:val="0FF8105F"/>
    <w:rsid w:val="0FF86DD0"/>
    <w:rsid w:val="0FF8A405"/>
    <w:rsid w:val="0FF9A32D"/>
    <w:rsid w:val="0FFA46D5"/>
    <w:rsid w:val="0FFB1803"/>
    <w:rsid w:val="0FFB5889"/>
    <w:rsid w:val="0FFC1DC7"/>
    <w:rsid w:val="0FFC3B37"/>
    <w:rsid w:val="0FFC7A87"/>
    <w:rsid w:val="0FFCD495"/>
    <w:rsid w:val="0FFED254"/>
    <w:rsid w:val="0FFED8AE"/>
    <w:rsid w:val="0FFF66A8"/>
    <w:rsid w:val="0FFFE612"/>
    <w:rsid w:val="10017B1D"/>
    <w:rsid w:val="100185E1"/>
    <w:rsid w:val="1001E095"/>
    <w:rsid w:val="1001EF5B"/>
    <w:rsid w:val="10036991"/>
    <w:rsid w:val="10037F7E"/>
    <w:rsid w:val="10039562"/>
    <w:rsid w:val="1003EB12"/>
    <w:rsid w:val="10043390"/>
    <w:rsid w:val="1004A231"/>
    <w:rsid w:val="1005125E"/>
    <w:rsid w:val="10056BB5"/>
    <w:rsid w:val="10059641"/>
    <w:rsid w:val="100632E4"/>
    <w:rsid w:val="10063629"/>
    <w:rsid w:val="10068AAD"/>
    <w:rsid w:val="1006C04A"/>
    <w:rsid w:val="1006D414"/>
    <w:rsid w:val="10074515"/>
    <w:rsid w:val="10079804"/>
    <w:rsid w:val="1007B22B"/>
    <w:rsid w:val="100884C8"/>
    <w:rsid w:val="100970B0"/>
    <w:rsid w:val="1009CA01"/>
    <w:rsid w:val="100A6F62"/>
    <w:rsid w:val="100B4D65"/>
    <w:rsid w:val="100B8E38"/>
    <w:rsid w:val="100BB72C"/>
    <w:rsid w:val="100D4DAB"/>
    <w:rsid w:val="100D5D1C"/>
    <w:rsid w:val="100ECD30"/>
    <w:rsid w:val="100EDC1E"/>
    <w:rsid w:val="100F412C"/>
    <w:rsid w:val="100FBD65"/>
    <w:rsid w:val="10101B5B"/>
    <w:rsid w:val="10107762"/>
    <w:rsid w:val="1010DB10"/>
    <w:rsid w:val="1011113D"/>
    <w:rsid w:val="10111B8B"/>
    <w:rsid w:val="10123A16"/>
    <w:rsid w:val="1013BF0F"/>
    <w:rsid w:val="1013CACA"/>
    <w:rsid w:val="1013F372"/>
    <w:rsid w:val="101483C2"/>
    <w:rsid w:val="1014CB32"/>
    <w:rsid w:val="101535EE"/>
    <w:rsid w:val="10155F75"/>
    <w:rsid w:val="1015E7E5"/>
    <w:rsid w:val="10171793"/>
    <w:rsid w:val="101A6455"/>
    <w:rsid w:val="101A9755"/>
    <w:rsid w:val="101C4113"/>
    <w:rsid w:val="101CB056"/>
    <w:rsid w:val="101D1AAF"/>
    <w:rsid w:val="101DE303"/>
    <w:rsid w:val="101E4A95"/>
    <w:rsid w:val="101EF308"/>
    <w:rsid w:val="101EFD4D"/>
    <w:rsid w:val="102171E9"/>
    <w:rsid w:val="1023B417"/>
    <w:rsid w:val="1023DAD7"/>
    <w:rsid w:val="1025744E"/>
    <w:rsid w:val="10259845"/>
    <w:rsid w:val="1025B9DC"/>
    <w:rsid w:val="102662BC"/>
    <w:rsid w:val="102736F0"/>
    <w:rsid w:val="1027CBDC"/>
    <w:rsid w:val="10287246"/>
    <w:rsid w:val="1028732E"/>
    <w:rsid w:val="10297801"/>
    <w:rsid w:val="102A5AA3"/>
    <w:rsid w:val="102AA910"/>
    <w:rsid w:val="102B573E"/>
    <w:rsid w:val="102C27D0"/>
    <w:rsid w:val="102C3015"/>
    <w:rsid w:val="102CE8AB"/>
    <w:rsid w:val="102D3F68"/>
    <w:rsid w:val="102E0649"/>
    <w:rsid w:val="102E252C"/>
    <w:rsid w:val="102E6A5F"/>
    <w:rsid w:val="102FA55F"/>
    <w:rsid w:val="10304811"/>
    <w:rsid w:val="1030F701"/>
    <w:rsid w:val="103104C0"/>
    <w:rsid w:val="10312A44"/>
    <w:rsid w:val="10312F57"/>
    <w:rsid w:val="1031650D"/>
    <w:rsid w:val="10323B19"/>
    <w:rsid w:val="10328717"/>
    <w:rsid w:val="10328ECF"/>
    <w:rsid w:val="1032CE2B"/>
    <w:rsid w:val="1035B579"/>
    <w:rsid w:val="1038E123"/>
    <w:rsid w:val="10396304"/>
    <w:rsid w:val="103A78BF"/>
    <w:rsid w:val="103ABC1B"/>
    <w:rsid w:val="103B038B"/>
    <w:rsid w:val="103B2400"/>
    <w:rsid w:val="103B8CB6"/>
    <w:rsid w:val="103BFCE5"/>
    <w:rsid w:val="103C11EE"/>
    <w:rsid w:val="103D995F"/>
    <w:rsid w:val="103E6833"/>
    <w:rsid w:val="103EB6AC"/>
    <w:rsid w:val="103FC4A8"/>
    <w:rsid w:val="10400EE0"/>
    <w:rsid w:val="10407272"/>
    <w:rsid w:val="1040BF16"/>
    <w:rsid w:val="1040CC7E"/>
    <w:rsid w:val="1040D3F3"/>
    <w:rsid w:val="1040E5FA"/>
    <w:rsid w:val="104300B0"/>
    <w:rsid w:val="1043C5B1"/>
    <w:rsid w:val="1043D20E"/>
    <w:rsid w:val="104428E3"/>
    <w:rsid w:val="104560F1"/>
    <w:rsid w:val="1045B034"/>
    <w:rsid w:val="10462F4E"/>
    <w:rsid w:val="1046F012"/>
    <w:rsid w:val="104757DF"/>
    <w:rsid w:val="10475808"/>
    <w:rsid w:val="10478D76"/>
    <w:rsid w:val="10480A1B"/>
    <w:rsid w:val="10481043"/>
    <w:rsid w:val="10484E56"/>
    <w:rsid w:val="10487ED6"/>
    <w:rsid w:val="1048CA56"/>
    <w:rsid w:val="104918A2"/>
    <w:rsid w:val="10493F5D"/>
    <w:rsid w:val="104974F9"/>
    <w:rsid w:val="104982CE"/>
    <w:rsid w:val="1049C5AD"/>
    <w:rsid w:val="104A28A9"/>
    <w:rsid w:val="104AC77A"/>
    <w:rsid w:val="104AD0C8"/>
    <w:rsid w:val="104C11D7"/>
    <w:rsid w:val="104C4319"/>
    <w:rsid w:val="104CEB21"/>
    <w:rsid w:val="104D30D4"/>
    <w:rsid w:val="104F5354"/>
    <w:rsid w:val="104F5436"/>
    <w:rsid w:val="10500A00"/>
    <w:rsid w:val="10504204"/>
    <w:rsid w:val="10509865"/>
    <w:rsid w:val="1051059C"/>
    <w:rsid w:val="10512B85"/>
    <w:rsid w:val="1051735F"/>
    <w:rsid w:val="10518001"/>
    <w:rsid w:val="10529705"/>
    <w:rsid w:val="1052B954"/>
    <w:rsid w:val="10530A56"/>
    <w:rsid w:val="10534293"/>
    <w:rsid w:val="10535550"/>
    <w:rsid w:val="1053806F"/>
    <w:rsid w:val="1053C7C6"/>
    <w:rsid w:val="1053D661"/>
    <w:rsid w:val="105513E9"/>
    <w:rsid w:val="10552C90"/>
    <w:rsid w:val="105572E1"/>
    <w:rsid w:val="105627E4"/>
    <w:rsid w:val="1056F1DB"/>
    <w:rsid w:val="10570E4F"/>
    <w:rsid w:val="10583470"/>
    <w:rsid w:val="1058CB90"/>
    <w:rsid w:val="10599676"/>
    <w:rsid w:val="1059C48B"/>
    <w:rsid w:val="1059DD88"/>
    <w:rsid w:val="105B0865"/>
    <w:rsid w:val="105B2413"/>
    <w:rsid w:val="105B5D69"/>
    <w:rsid w:val="105B69AB"/>
    <w:rsid w:val="105C53CF"/>
    <w:rsid w:val="105D13D6"/>
    <w:rsid w:val="105D7B12"/>
    <w:rsid w:val="105DD516"/>
    <w:rsid w:val="105EC799"/>
    <w:rsid w:val="105F37D2"/>
    <w:rsid w:val="105FFF12"/>
    <w:rsid w:val="1060C74B"/>
    <w:rsid w:val="1060CFE1"/>
    <w:rsid w:val="1060F27E"/>
    <w:rsid w:val="106108A5"/>
    <w:rsid w:val="1061487A"/>
    <w:rsid w:val="1062BF13"/>
    <w:rsid w:val="10632D06"/>
    <w:rsid w:val="10637970"/>
    <w:rsid w:val="1063AA34"/>
    <w:rsid w:val="1063E04C"/>
    <w:rsid w:val="10645B44"/>
    <w:rsid w:val="1064A559"/>
    <w:rsid w:val="1065127D"/>
    <w:rsid w:val="1065970A"/>
    <w:rsid w:val="10659AC1"/>
    <w:rsid w:val="1066AE9A"/>
    <w:rsid w:val="1066C813"/>
    <w:rsid w:val="10678236"/>
    <w:rsid w:val="10679B25"/>
    <w:rsid w:val="1067D877"/>
    <w:rsid w:val="10683685"/>
    <w:rsid w:val="1068A39C"/>
    <w:rsid w:val="1068D9CF"/>
    <w:rsid w:val="1068FED8"/>
    <w:rsid w:val="106914E1"/>
    <w:rsid w:val="106A9689"/>
    <w:rsid w:val="106B0A72"/>
    <w:rsid w:val="106B8FAC"/>
    <w:rsid w:val="106BE37F"/>
    <w:rsid w:val="106C29AF"/>
    <w:rsid w:val="106CC281"/>
    <w:rsid w:val="106CE4F4"/>
    <w:rsid w:val="106D0869"/>
    <w:rsid w:val="106DC9C2"/>
    <w:rsid w:val="106E4EA3"/>
    <w:rsid w:val="106E7873"/>
    <w:rsid w:val="106E7ED5"/>
    <w:rsid w:val="106EB869"/>
    <w:rsid w:val="106F5B96"/>
    <w:rsid w:val="106F836B"/>
    <w:rsid w:val="106FE4CE"/>
    <w:rsid w:val="10702F1E"/>
    <w:rsid w:val="10704D04"/>
    <w:rsid w:val="10705A24"/>
    <w:rsid w:val="10711D74"/>
    <w:rsid w:val="10715219"/>
    <w:rsid w:val="10717C3B"/>
    <w:rsid w:val="1072E831"/>
    <w:rsid w:val="1072FFD2"/>
    <w:rsid w:val="10740C7A"/>
    <w:rsid w:val="10744650"/>
    <w:rsid w:val="107447A7"/>
    <w:rsid w:val="1074CA67"/>
    <w:rsid w:val="1074E3FC"/>
    <w:rsid w:val="107536B4"/>
    <w:rsid w:val="10757AAA"/>
    <w:rsid w:val="10757C32"/>
    <w:rsid w:val="10759645"/>
    <w:rsid w:val="107633BB"/>
    <w:rsid w:val="1076771D"/>
    <w:rsid w:val="1076C8F3"/>
    <w:rsid w:val="107798C4"/>
    <w:rsid w:val="1077D7F0"/>
    <w:rsid w:val="10780AB3"/>
    <w:rsid w:val="1078725C"/>
    <w:rsid w:val="107873A9"/>
    <w:rsid w:val="1078B50A"/>
    <w:rsid w:val="1078C082"/>
    <w:rsid w:val="10796F15"/>
    <w:rsid w:val="1079CE0C"/>
    <w:rsid w:val="107AE93A"/>
    <w:rsid w:val="107C0AA0"/>
    <w:rsid w:val="107C7632"/>
    <w:rsid w:val="107D0358"/>
    <w:rsid w:val="107EB788"/>
    <w:rsid w:val="107F6D61"/>
    <w:rsid w:val="107F92D0"/>
    <w:rsid w:val="107FF7F3"/>
    <w:rsid w:val="1080232F"/>
    <w:rsid w:val="10802D67"/>
    <w:rsid w:val="1080853E"/>
    <w:rsid w:val="1080CB47"/>
    <w:rsid w:val="10817BB5"/>
    <w:rsid w:val="10818082"/>
    <w:rsid w:val="108192D9"/>
    <w:rsid w:val="1081DA06"/>
    <w:rsid w:val="1082B18B"/>
    <w:rsid w:val="10831484"/>
    <w:rsid w:val="1084157A"/>
    <w:rsid w:val="1084C2BF"/>
    <w:rsid w:val="1084CCF4"/>
    <w:rsid w:val="1084FA7A"/>
    <w:rsid w:val="10853494"/>
    <w:rsid w:val="1085C0FA"/>
    <w:rsid w:val="1086340C"/>
    <w:rsid w:val="1086769A"/>
    <w:rsid w:val="1086ED80"/>
    <w:rsid w:val="10882E55"/>
    <w:rsid w:val="10885555"/>
    <w:rsid w:val="108856A9"/>
    <w:rsid w:val="10887ECE"/>
    <w:rsid w:val="1088B3AE"/>
    <w:rsid w:val="108995F9"/>
    <w:rsid w:val="1089E656"/>
    <w:rsid w:val="108A05BA"/>
    <w:rsid w:val="108A6C1B"/>
    <w:rsid w:val="108AC045"/>
    <w:rsid w:val="108B647C"/>
    <w:rsid w:val="108BBB32"/>
    <w:rsid w:val="108BF0ED"/>
    <w:rsid w:val="108BF101"/>
    <w:rsid w:val="108C271F"/>
    <w:rsid w:val="108CDDF2"/>
    <w:rsid w:val="108D64FD"/>
    <w:rsid w:val="108DF253"/>
    <w:rsid w:val="108E1323"/>
    <w:rsid w:val="108EC82E"/>
    <w:rsid w:val="108F3E6C"/>
    <w:rsid w:val="108F9CDA"/>
    <w:rsid w:val="108FE837"/>
    <w:rsid w:val="10910B21"/>
    <w:rsid w:val="10917C8C"/>
    <w:rsid w:val="10921B87"/>
    <w:rsid w:val="1092A636"/>
    <w:rsid w:val="10934E29"/>
    <w:rsid w:val="10937B75"/>
    <w:rsid w:val="10942DFB"/>
    <w:rsid w:val="10943384"/>
    <w:rsid w:val="1095C939"/>
    <w:rsid w:val="10961553"/>
    <w:rsid w:val="10966706"/>
    <w:rsid w:val="1096B7DE"/>
    <w:rsid w:val="1096DB5B"/>
    <w:rsid w:val="1096EC14"/>
    <w:rsid w:val="1096FE1D"/>
    <w:rsid w:val="10970C06"/>
    <w:rsid w:val="1097A220"/>
    <w:rsid w:val="10986B97"/>
    <w:rsid w:val="1098A09F"/>
    <w:rsid w:val="109A9CCB"/>
    <w:rsid w:val="109AB52E"/>
    <w:rsid w:val="109AC95E"/>
    <w:rsid w:val="109B2D91"/>
    <w:rsid w:val="109BE00B"/>
    <w:rsid w:val="109E8C53"/>
    <w:rsid w:val="109EE20B"/>
    <w:rsid w:val="10A0862A"/>
    <w:rsid w:val="10A12909"/>
    <w:rsid w:val="10A14DCA"/>
    <w:rsid w:val="10A188A5"/>
    <w:rsid w:val="10A1C3C5"/>
    <w:rsid w:val="10A28AC8"/>
    <w:rsid w:val="10A2B401"/>
    <w:rsid w:val="10A32D51"/>
    <w:rsid w:val="10A35641"/>
    <w:rsid w:val="10A3D1EF"/>
    <w:rsid w:val="10A45BA8"/>
    <w:rsid w:val="10A468FA"/>
    <w:rsid w:val="10A502BC"/>
    <w:rsid w:val="10A55D1F"/>
    <w:rsid w:val="10A617CC"/>
    <w:rsid w:val="10A62156"/>
    <w:rsid w:val="10A64B1D"/>
    <w:rsid w:val="10A6A5C1"/>
    <w:rsid w:val="10A6EEAA"/>
    <w:rsid w:val="10A7312E"/>
    <w:rsid w:val="10A7EB65"/>
    <w:rsid w:val="10A8AF4F"/>
    <w:rsid w:val="10A8EBEF"/>
    <w:rsid w:val="10A96F69"/>
    <w:rsid w:val="10A9B10C"/>
    <w:rsid w:val="10A9C8E8"/>
    <w:rsid w:val="10AA0943"/>
    <w:rsid w:val="10AAD1FA"/>
    <w:rsid w:val="10AB651C"/>
    <w:rsid w:val="10AB9CC8"/>
    <w:rsid w:val="10AD2D02"/>
    <w:rsid w:val="10AD73B6"/>
    <w:rsid w:val="10AE1D66"/>
    <w:rsid w:val="10AE8461"/>
    <w:rsid w:val="10AEE04F"/>
    <w:rsid w:val="10AF2243"/>
    <w:rsid w:val="10AF3EB0"/>
    <w:rsid w:val="10AF9839"/>
    <w:rsid w:val="10B1FDDE"/>
    <w:rsid w:val="10B20879"/>
    <w:rsid w:val="10B2C1F4"/>
    <w:rsid w:val="10B36C6E"/>
    <w:rsid w:val="10B39D11"/>
    <w:rsid w:val="10B4044C"/>
    <w:rsid w:val="10B59B18"/>
    <w:rsid w:val="10B6CA60"/>
    <w:rsid w:val="10B76302"/>
    <w:rsid w:val="10B78FA7"/>
    <w:rsid w:val="10B7F6D3"/>
    <w:rsid w:val="10B80463"/>
    <w:rsid w:val="10B83856"/>
    <w:rsid w:val="10B847BC"/>
    <w:rsid w:val="10B8E5A2"/>
    <w:rsid w:val="10B96E88"/>
    <w:rsid w:val="10BB15C3"/>
    <w:rsid w:val="10BBF218"/>
    <w:rsid w:val="10BC1793"/>
    <w:rsid w:val="10BC1ACA"/>
    <w:rsid w:val="10BC1E90"/>
    <w:rsid w:val="10BCB5E2"/>
    <w:rsid w:val="10BD1CEB"/>
    <w:rsid w:val="10BEDDB5"/>
    <w:rsid w:val="10BF142E"/>
    <w:rsid w:val="10BF5268"/>
    <w:rsid w:val="10BF5F75"/>
    <w:rsid w:val="10BFE343"/>
    <w:rsid w:val="10C1CF76"/>
    <w:rsid w:val="10C2D882"/>
    <w:rsid w:val="10C31283"/>
    <w:rsid w:val="10C32522"/>
    <w:rsid w:val="10C351A2"/>
    <w:rsid w:val="10C38CEB"/>
    <w:rsid w:val="10C3DF84"/>
    <w:rsid w:val="10C47322"/>
    <w:rsid w:val="10C49B26"/>
    <w:rsid w:val="10C52B80"/>
    <w:rsid w:val="10C62B25"/>
    <w:rsid w:val="10C6F9BF"/>
    <w:rsid w:val="10C73F9F"/>
    <w:rsid w:val="10C79928"/>
    <w:rsid w:val="10C7FEF8"/>
    <w:rsid w:val="10C80895"/>
    <w:rsid w:val="10C8491E"/>
    <w:rsid w:val="10C89F44"/>
    <w:rsid w:val="10C8D6AF"/>
    <w:rsid w:val="10C9E67F"/>
    <w:rsid w:val="10CA7D86"/>
    <w:rsid w:val="10CAEB34"/>
    <w:rsid w:val="10CB3AB8"/>
    <w:rsid w:val="10CC406A"/>
    <w:rsid w:val="10CCDCF5"/>
    <w:rsid w:val="10CD842F"/>
    <w:rsid w:val="10CDF6D0"/>
    <w:rsid w:val="10CE684B"/>
    <w:rsid w:val="10CE7A84"/>
    <w:rsid w:val="10CE8898"/>
    <w:rsid w:val="10CEF48F"/>
    <w:rsid w:val="10CF479A"/>
    <w:rsid w:val="10CFCE3D"/>
    <w:rsid w:val="10D0C2EB"/>
    <w:rsid w:val="10D0E7CF"/>
    <w:rsid w:val="10D16476"/>
    <w:rsid w:val="10D1778D"/>
    <w:rsid w:val="10D186D8"/>
    <w:rsid w:val="10D225DB"/>
    <w:rsid w:val="10D2F650"/>
    <w:rsid w:val="10D32690"/>
    <w:rsid w:val="10D34740"/>
    <w:rsid w:val="10D414B0"/>
    <w:rsid w:val="10D42288"/>
    <w:rsid w:val="10D4B784"/>
    <w:rsid w:val="10D5924B"/>
    <w:rsid w:val="10D6160F"/>
    <w:rsid w:val="10D631CB"/>
    <w:rsid w:val="10D68DC9"/>
    <w:rsid w:val="10D7228F"/>
    <w:rsid w:val="10D84D5B"/>
    <w:rsid w:val="10D94308"/>
    <w:rsid w:val="10DA3105"/>
    <w:rsid w:val="10DA4AB6"/>
    <w:rsid w:val="10DADC17"/>
    <w:rsid w:val="10DB495F"/>
    <w:rsid w:val="10DBB5EE"/>
    <w:rsid w:val="10DC1426"/>
    <w:rsid w:val="10DD29E1"/>
    <w:rsid w:val="10DD6A59"/>
    <w:rsid w:val="10DDAC25"/>
    <w:rsid w:val="10DE1AC2"/>
    <w:rsid w:val="10DE1BF1"/>
    <w:rsid w:val="10DE9855"/>
    <w:rsid w:val="10DFCDB0"/>
    <w:rsid w:val="10DFF090"/>
    <w:rsid w:val="10DFF3E8"/>
    <w:rsid w:val="10E04524"/>
    <w:rsid w:val="10E061D0"/>
    <w:rsid w:val="10E09A9D"/>
    <w:rsid w:val="10E0B14B"/>
    <w:rsid w:val="10E11743"/>
    <w:rsid w:val="10E1E32F"/>
    <w:rsid w:val="10E23847"/>
    <w:rsid w:val="10E2C327"/>
    <w:rsid w:val="10E38111"/>
    <w:rsid w:val="10E41ACF"/>
    <w:rsid w:val="10E544D9"/>
    <w:rsid w:val="10E57887"/>
    <w:rsid w:val="10E5BD8A"/>
    <w:rsid w:val="10E679AB"/>
    <w:rsid w:val="10E8F6FE"/>
    <w:rsid w:val="10E942BA"/>
    <w:rsid w:val="10EABFDE"/>
    <w:rsid w:val="10EB237D"/>
    <w:rsid w:val="10EC0AF3"/>
    <w:rsid w:val="10EC8F97"/>
    <w:rsid w:val="10ECBB39"/>
    <w:rsid w:val="10ED0C21"/>
    <w:rsid w:val="10ED61EA"/>
    <w:rsid w:val="10ED7895"/>
    <w:rsid w:val="10EEC3BC"/>
    <w:rsid w:val="10EF41FE"/>
    <w:rsid w:val="10EFB061"/>
    <w:rsid w:val="10F0681E"/>
    <w:rsid w:val="10F17AF6"/>
    <w:rsid w:val="10F1A4D0"/>
    <w:rsid w:val="10F25CE6"/>
    <w:rsid w:val="10F2A881"/>
    <w:rsid w:val="10F325E9"/>
    <w:rsid w:val="10F3330A"/>
    <w:rsid w:val="10F34773"/>
    <w:rsid w:val="10F38C08"/>
    <w:rsid w:val="10F3F0AA"/>
    <w:rsid w:val="10F4845C"/>
    <w:rsid w:val="10F48945"/>
    <w:rsid w:val="10F5089F"/>
    <w:rsid w:val="10F50C2F"/>
    <w:rsid w:val="10F6ADC5"/>
    <w:rsid w:val="10F6BCF9"/>
    <w:rsid w:val="10F7DCBF"/>
    <w:rsid w:val="10F84586"/>
    <w:rsid w:val="10F88A6C"/>
    <w:rsid w:val="10F9226E"/>
    <w:rsid w:val="10F9920B"/>
    <w:rsid w:val="10FA7E0C"/>
    <w:rsid w:val="10FAADC1"/>
    <w:rsid w:val="10FC3427"/>
    <w:rsid w:val="10FCC7F6"/>
    <w:rsid w:val="10FDC86E"/>
    <w:rsid w:val="10FDF7F6"/>
    <w:rsid w:val="10FE7450"/>
    <w:rsid w:val="10FEC554"/>
    <w:rsid w:val="110230F6"/>
    <w:rsid w:val="11037416"/>
    <w:rsid w:val="1103784A"/>
    <w:rsid w:val="1104B733"/>
    <w:rsid w:val="1104BD26"/>
    <w:rsid w:val="1105CF40"/>
    <w:rsid w:val="11062EC5"/>
    <w:rsid w:val="110648FF"/>
    <w:rsid w:val="1106C6B7"/>
    <w:rsid w:val="11080826"/>
    <w:rsid w:val="1108A294"/>
    <w:rsid w:val="1108A9AD"/>
    <w:rsid w:val="1108EB42"/>
    <w:rsid w:val="110916D8"/>
    <w:rsid w:val="1109C144"/>
    <w:rsid w:val="110A0EFB"/>
    <w:rsid w:val="110B1D77"/>
    <w:rsid w:val="110BC4BD"/>
    <w:rsid w:val="110BC74F"/>
    <w:rsid w:val="110C0694"/>
    <w:rsid w:val="110C0E38"/>
    <w:rsid w:val="110C1BC5"/>
    <w:rsid w:val="110C64BE"/>
    <w:rsid w:val="110D390E"/>
    <w:rsid w:val="110E06F0"/>
    <w:rsid w:val="110E3A6A"/>
    <w:rsid w:val="110ED13E"/>
    <w:rsid w:val="110F2F60"/>
    <w:rsid w:val="11101F2C"/>
    <w:rsid w:val="11109736"/>
    <w:rsid w:val="1110A9BD"/>
    <w:rsid w:val="111123D8"/>
    <w:rsid w:val="11122A01"/>
    <w:rsid w:val="1112657C"/>
    <w:rsid w:val="11132434"/>
    <w:rsid w:val="11137226"/>
    <w:rsid w:val="11139930"/>
    <w:rsid w:val="11152203"/>
    <w:rsid w:val="11155801"/>
    <w:rsid w:val="1116B8B0"/>
    <w:rsid w:val="111778B8"/>
    <w:rsid w:val="1117DF72"/>
    <w:rsid w:val="11182E00"/>
    <w:rsid w:val="111866BD"/>
    <w:rsid w:val="1118893C"/>
    <w:rsid w:val="1118F842"/>
    <w:rsid w:val="111942A6"/>
    <w:rsid w:val="11194A9B"/>
    <w:rsid w:val="1119B59B"/>
    <w:rsid w:val="111A71BC"/>
    <w:rsid w:val="111B9FE2"/>
    <w:rsid w:val="111BF89F"/>
    <w:rsid w:val="111C562E"/>
    <w:rsid w:val="111C6C14"/>
    <w:rsid w:val="111C6C7A"/>
    <w:rsid w:val="111C975E"/>
    <w:rsid w:val="111C99CF"/>
    <w:rsid w:val="111DE0D0"/>
    <w:rsid w:val="111E10FA"/>
    <w:rsid w:val="111E8D99"/>
    <w:rsid w:val="111E9AF2"/>
    <w:rsid w:val="111FE69D"/>
    <w:rsid w:val="112041F9"/>
    <w:rsid w:val="112067FB"/>
    <w:rsid w:val="1120946B"/>
    <w:rsid w:val="1120B415"/>
    <w:rsid w:val="112236DE"/>
    <w:rsid w:val="112293DE"/>
    <w:rsid w:val="11231DBC"/>
    <w:rsid w:val="1123400C"/>
    <w:rsid w:val="1123E5FA"/>
    <w:rsid w:val="1124696D"/>
    <w:rsid w:val="1124C43E"/>
    <w:rsid w:val="112510BB"/>
    <w:rsid w:val="11254BD1"/>
    <w:rsid w:val="11256646"/>
    <w:rsid w:val="1125CEA9"/>
    <w:rsid w:val="11260A9E"/>
    <w:rsid w:val="1127981E"/>
    <w:rsid w:val="1127F4BB"/>
    <w:rsid w:val="11290872"/>
    <w:rsid w:val="1129539F"/>
    <w:rsid w:val="11295E0E"/>
    <w:rsid w:val="1129B7AA"/>
    <w:rsid w:val="1129F3D8"/>
    <w:rsid w:val="112AE82F"/>
    <w:rsid w:val="112B2451"/>
    <w:rsid w:val="112C30A4"/>
    <w:rsid w:val="112C5095"/>
    <w:rsid w:val="112C7964"/>
    <w:rsid w:val="112C9BC4"/>
    <w:rsid w:val="112D0FAA"/>
    <w:rsid w:val="112D140D"/>
    <w:rsid w:val="112D23F0"/>
    <w:rsid w:val="112D6A1A"/>
    <w:rsid w:val="112D8930"/>
    <w:rsid w:val="112DDE82"/>
    <w:rsid w:val="112ED99E"/>
    <w:rsid w:val="1130179F"/>
    <w:rsid w:val="11308D08"/>
    <w:rsid w:val="1130E47C"/>
    <w:rsid w:val="11322352"/>
    <w:rsid w:val="11323AB6"/>
    <w:rsid w:val="113374C3"/>
    <w:rsid w:val="11337D2F"/>
    <w:rsid w:val="11339C89"/>
    <w:rsid w:val="11340153"/>
    <w:rsid w:val="1135330F"/>
    <w:rsid w:val="1135A0D9"/>
    <w:rsid w:val="1135C0EF"/>
    <w:rsid w:val="1135CE6D"/>
    <w:rsid w:val="1135D2C1"/>
    <w:rsid w:val="1136C1B5"/>
    <w:rsid w:val="1136F0CF"/>
    <w:rsid w:val="11377718"/>
    <w:rsid w:val="1137A5F2"/>
    <w:rsid w:val="113810A7"/>
    <w:rsid w:val="1138126C"/>
    <w:rsid w:val="1138B848"/>
    <w:rsid w:val="1138BE06"/>
    <w:rsid w:val="1138E7BE"/>
    <w:rsid w:val="1139C48B"/>
    <w:rsid w:val="113A6AA5"/>
    <w:rsid w:val="113A8614"/>
    <w:rsid w:val="113C057E"/>
    <w:rsid w:val="113E5510"/>
    <w:rsid w:val="113E5DAF"/>
    <w:rsid w:val="113E9D95"/>
    <w:rsid w:val="113EF827"/>
    <w:rsid w:val="113F53DB"/>
    <w:rsid w:val="113F8C1F"/>
    <w:rsid w:val="113F939A"/>
    <w:rsid w:val="113FB91B"/>
    <w:rsid w:val="11403FC5"/>
    <w:rsid w:val="114107E2"/>
    <w:rsid w:val="114137E4"/>
    <w:rsid w:val="11413A83"/>
    <w:rsid w:val="114173DF"/>
    <w:rsid w:val="1141BAB8"/>
    <w:rsid w:val="11428C1E"/>
    <w:rsid w:val="1142DD3A"/>
    <w:rsid w:val="1143C814"/>
    <w:rsid w:val="114455EC"/>
    <w:rsid w:val="1144B258"/>
    <w:rsid w:val="1144F488"/>
    <w:rsid w:val="11451852"/>
    <w:rsid w:val="1145AFF6"/>
    <w:rsid w:val="1145CD12"/>
    <w:rsid w:val="1147DC02"/>
    <w:rsid w:val="11484BEF"/>
    <w:rsid w:val="114920DF"/>
    <w:rsid w:val="114943F3"/>
    <w:rsid w:val="1149B5F3"/>
    <w:rsid w:val="114AA02E"/>
    <w:rsid w:val="114B8E24"/>
    <w:rsid w:val="114BC0FB"/>
    <w:rsid w:val="114C0B93"/>
    <w:rsid w:val="114C705D"/>
    <w:rsid w:val="114CEB58"/>
    <w:rsid w:val="114D1E27"/>
    <w:rsid w:val="114D4AFF"/>
    <w:rsid w:val="114E0575"/>
    <w:rsid w:val="114ECE13"/>
    <w:rsid w:val="114FB74D"/>
    <w:rsid w:val="11501CCC"/>
    <w:rsid w:val="11501FE5"/>
    <w:rsid w:val="115072CD"/>
    <w:rsid w:val="115127B3"/>
    <w:rsid w:val="1151A154"/>
    <w:rsid w:val="1152B3A4"/>
    <w:rsid w:val="115306F9"/>
    <w:rsid w:val="1153336F"/>
    <w:rsid w:val="11538BFC"/>
    <w:rsid w:val="1154383C"/>
    <w:rsid w:val="1154E443"/>
    <w:rsid w:val="115565CE"/>
    <w:rsid w:val="11559CDA"/>
    <w:rsid w:val="11574E39"/>
    <w:rsid w:val="11578FD2"/>
    <w:rsid w:val="1157B18F"/>
    <w:rsid w:val="11580FAB"/>
    <w:rsid w:val="1158AE0C"/>
    <w:rsid w:val="115964C5"/>
    <w:rsid w:val="1159AD54"/>
    <w:rsid w:val="1159AE4D"/>
    <w:rsid w:val="1159F58C"/>
    <w:rsid w:val="115A46C5"/>
    <w:rsid w:val="115A99A1"/>
    <w:rsid w:val="115B0D53"/>
    <w:rsid w:val="115BB919"/>
    <w:rsid w:val="115C4BEA"/>
    <w:rsid w:val="115D1282"/>
    <w:rsid w:val="115DB748"/>
    <w:rsid w:val="115DC053"/>
    <w:rsid w:val="115E0E62"/>
    <w:rsid w:val="115E7B24"/>
    <w:rsid w:val="115FEA35"/>
    <w:rsid w:val="11609513"/>
    <w:rsid w:val="1160DFC0"/>
    <w:rsid w:val="1160F895"/>
    <w:rsid w:val="11638710"/>
    <w:rsid w:val="11640AAB"/>
    <w:rsid w:val="116627DC"/>
    <w:rsid w:val="1166E6F6"/>
    <w:rsid w:val="116784CE"/>
    <w:rsid w:val="1167B30D"/>
    <w:rsid w:val="1167EA54"/>
    <w:rsid w:val="11689B6B"/>
    <w:rsid w:val="1168D48A"/>
    <w:rsid w:val="11695095"/>
    <w:rsid w:val="11699F96"/>
    <w:rsid w:val="1169A073"/>
    <w:rsid w:val="116A64AD"/>
    <w:rsid w:val="116B67C2"/>
    <w:rsid w:val="116B8712"/>
    <w:rsid w:val="116BAF4B"/>
    <w:rsid w:val="116C037E"/>
    <w:rsid w:val="116C17A2"/>
    <w:rsid w:val="116C61B4"/>
    <w:rsid w:val="116CBCA2"/>
    <w:rsid w:val="116CF2C6"/>
    <w:rsid w:val="116D110C"/>
    <w:rsid w:val="116D12AE"/>
    <w:rsid w:val="116D9967"/>
    <w:rsid w:val="116F95A8"/>
    <w:rsid w:val="11702760"/>
    <w:rsid w:val="1170BA1F"/>
    <w:rsid w:val="11718309"/>
    <w:rsid w:val="1171E96B"/>
    <w:rsid w:val="11721A4D"/>
    <w:rsid w:val="1173CBEA"/>
    <w:rsid w:val="1173DDE8"/>
    <w:rsid w:val="1174470C"/>
    <w:rsid w:val="1174775B"/>
    <w:rsid w:val="11756F02"/>
    <w:rsid w:val="117599F7"/>
    <w:rsid w:val="117687C7"/>
    <w:rsid w:val="1176D713"/>
    <w:rsid w:val="1176E482"/>
    <w:rsid w:val="1177165B"/>
    <w:rsid w:val="1177555F"/>
    <w:rsid w:val="117814E6"/>
    <w:rsid w:val="117858B0"/>
    <w:rsid w:val="11787DD9"/>
    <w:rsid w:val="1178F1F7"/>
    <w:rsid w:val="11796743"/>
    <w:rsid w:val="11797ADF"/>
    <w:rsid w:val="117982E5"/>
    <w:rsid w:val="1179C5D3"/>
    <w:rsid w:val="117A58DD"/>
    <w:rsid w:val="117A9BCB"/>
    <w:rsid w:val="117B3D84"/>
    <w:rsid w:val="117BE0AC"/>
    <w:rsid w:val="117C697C"/>
    <w:rsid w:val="117CA5AD"/>
    <w:rsid w:val="117DACC0"/>
    <w:rsid w:val="117EF826"/>
    <w:rsid w:val="117F0EA5"/>
    <w:rsid w:val="117F6A04"/>
    <w:rsid w:val="117F8A45"/>
    <w:rsid w:val="1180139F"/>
    <w:rsid w:val="1180298C"/>
    <w:rsid w:val="1180911C"/>
    <w:rsid w:val="118160E5"/>
    <w:rsid w:val="1181613B"/>
    <w:rsid w:val="11817A42"/>
    <w:rsid w:val="11817E6F"/>
    <w:rsid w:val="11825F92"/>
    <w:rsid w:val="1182857D"/>
    <w:rsid w:val="1183D8BF"/>
    <w:rsid w:val="1185716E"/>
    <w:rsid w:val="1186068E"/>
    <w:rsid w:val="1186E6D0"/>
    <w:rsid w:val="118700DD"/>
    <w:rsid w:val="1188B16C"/>
    <w:rsid w:val="1188E25F"/>
    <w:rsid w:val="11896DA0"/>
    <w:rsid w:val="1189F818"/>
    <w:rsid w:val="118A4BAA"/>
    <w:rsid w:val="118AB422"/>
    <w:rsid w:val="118BE466"/>
    <w:rsid w:val="118C1D07"/>
    <w:rsid w:val="118C5EBF"/>
    <w:rsid w:val="118CCA8A"/>
    <w:rsid w:val="118CCE13"/>
    <w:rsid w:val="118CF1BD"/>
    <w:rsid w:val="118D1147"/>
    <w:rsid w:val="118D5EC2"/>
    <w:rsid w:val="118D6E61"/>
    <w:rsid w:val="118D98B3"/>
    <w:rsid w:val="118E1BDD"/>
    <w:rsid w:val="118EF959"/>
    <w:rsid w:val="118F0F72"/>
    <w:rsid w:val="118F62F0"/>
    <w:rsid w:val="118FF801"/>
    <w:rsid w:val="11902F33"/>
    <w:rsid w:val="11906042"/>
    <w:rsid w:val="119148DA"/>
    <w:rsid w:val="11936820"/>
    <w:rsid w:val="1193704B"/>
    <w:rsid w:val="11947B4C"/>
    <w:rsid w:val="1194C9B5"/>
    <w:rsid w:val="11960CA8"/>
    <w:rsid w:val="119656A0"/>
    <w:rsid w:val="119671AE"/>
    <w:rsid w:val="1196A11E"/>
    <w:rsid w:val="11977613"/>
    <w:rsid w:val="1197FF81"/>
    <w:rsid w:val="11985FF4"/>
    <w:rsid w:val="11994657"/>
    <w:rsid w:val="11998945"/>
    <w:rsid w:val="1199E487"/>
    <w:rsid w:val="119AB901"/>
    <w:rsid w:val="119B27A8"/>
    <w:rsid w:val="119B33F3"/>
    <w:rsid w:val="119B4D37"/>
    <w:rsid w:val="119B56C7"/>
    <w:rsid w:val="119B579B"/>
    <w:rsid w:val="119B7B0C"/>
    <w:rsid w:val="119B8B6F"/>
    <w:rsid w:val="119BE1CE"/>
    <w:rsid w:val="119CD8D7"/>
    <w:rsid w:val="119CDF63"/>
    <w:rsid w:val="119CF809"/>
    <w:rsid w:val="119D0713"/>
    <w:rsid w:val="119D9187"/>
    <w:rsid w:val="119DBF97"/>
    <w:rsid w:val="119E49D4"/>
    <w:rsid w:val="119E6980"/>
    <w:rsid w:val="119EA027"/>
    <w:rsid w:val="119F6A39"/>
    <w:rsid w:val="11A04A7A"/>
    <w:rsid w:val="11A06D88"/>
    <w:rsid w:val="11A234F9"/>
    <w:rsid w:val="11A23815"/>
    <w:rsid w:val="11A24222"/>
    <w:rsid w:val="11A2BCDA"/>
    <w:rsid w:val="11A30201"/>
    <w:rsid w:val="11A306E1"/>
    <w:rsid w:val="11A30E7C"/>
    <w:rsid w:val="11A3A929"/>
    <w:rsid w:val="11A4130D"/>
    <w:rsid w:val="11A436D0"/>
    <w:rsid w:val="11A439DB"/>
    <w:rsid w:val="11A497BA"/>
    <w:rsid w:val="11A4DA95"/>
    <w:rsid w:val="11A55A3C"/>
    <w:rsid w:val="11A59C52"/>
    <w:rsid w:val="11A5EB71"/>
    <w:rsid w:val="11A62DC9"/>
    <w:rsid w:val="11A6C748"/>
    <w:rsid w:val="11A85486"/>
    <w:rsid w:val="11A981C9"/>
    <w:rsid w:val="11A9F3CB"/>
    <w:rsid w:val="11AA254B"/>
    <w:rsid w:val="11AAB826"/>
    <w:rsid w:val="11AABC7D"/>
    <w:rsid w:val="11AAE3BD"/>
    <w:rsid w:val="11AB625D"/>
    <w:rsid w:val="11AC0831"/>
    <w:rsid w:val="11AC7E88"/>
    <w:rsid w:val="11AD93DC"/>
    <w:rsid w:val="11AE2FA9"/>
    <w:rsid w:val="11AE6F66"/>
    <w:rsid w:val="11AFC325"/>
    <w:rsid w:val="11AFC6B7"/>
    <w:rsid w:val="11AFDD81"/>
    <w:rsid w:val="11B18CB8"/>
    <w:rsid w:val="11B1C59A"/>
    <w:rsid w:val="11B1DEA2"/>
    <w:rsid w:val="11B2353C"/>
    <w:rsid w:val="11B252E2"/>
    <w:rsid w:val="11B2B6D1"/>
    <w:rsid w:val="11B321E6"/>
    <w:rsid w:val="11B3327E"/>
    <w:rsid w:val="11B33749"/>
    <w:rsid w:val="11B375CA"/>
    <w:rsid w:val="11B40592"/>
    <w:rsid w:val="11B45354"/>
    <w:rsid w:val="11B47417"/>
    <w:rsid w:val="11B4E85C"/>
    <w:rsid w:val="11B51BBC"/>
    <w:rsid w:val="11B55384"/>
    <w:rsid w:val="11B5AE2B"/>
    <w:rsid w:val="11B69184"/>
    <w:rsid w:val="11B7A42B"/>
    <w:rsid w:val="11B86D02"/>
    <w:rsid w:val="11B95BE4"/>
    <w:rsid w:val="11B9F478"/>
    <w:rsid w:val="11BA6EF2"/>
    <w:rsid w:val="11BB6226"/>
    <w:rsid w:val="11BBA81C"/>
    <w:rsid w:val="11BBBDE9"/>
    <w:rsid w:val="11BC9DE6"/>
    <w:rsid w:val="11BCBFC5"/>
    <w:rsid w:val="11BCC65C"/>
    <w:rsid w:val="11BD1826"/>
    <w:rsid w:val="11BD7E35"/>
    <w:rsid w:val="11BDCFAA"/>
    <w:rsid w:val="11BDEBD2"/>
    <w:rsid w:val="11BF36CB"/>
    <w:rsid w:val="11BFA2F3"/>
    <w:rsid w:val="11C03152"/>
    <w:rsid w:val="11C08388"/>
    <w:rsid w:val="11C181EB"/>
    <w:rsid w:val="11C1EED4"/>
    <w:rsid w:val="11C242CD"/>
    <w:rsid w:val="11C345AB"/>
    <w:rsid w:val="11C37CCC"/>
    <w:rsid w:val="11C39875"/>
    <w:rsid w:val="11C4982F"/>
    <w:rsid w:val="11C49A91"/>
    <w:rsid w:val="11C4E935"/>
    <w:rsid w:val="11C54090"/>
    <w:rsid w:val="11C54FE4"/>
    <w:rsid w:val="11C5BB76"/>
    <w:rsid w:val="11C5C29C"/>
    <w:rsid w:val="11C5F3AC"/>
    <w:rsid w:val="11C7342D"/>
    <w:rsid w:val="11C79F6D"/>
    <w:rsid w:val="11C84051"/>
    <w:rsid w:val="11C84B38"/>
    <w:rsid w:val="11C89E59"/>
    <w:rsid w:val="11C94548"/>
    <w:rsid w:val="11C9826D"/>
    <w:rsid w:val="11CA031B"/>
    <w:rsid w:val="11CB542E"/>
    <w:rsid w:val="11CB6A79"/>
    <w:rsid w:val="11CC0A89"/>
    <w:rsid w:val="11CC2040"/>
    <w:rsid w:val="11CD9296"/>
    <w:rsid w:val="11CDA066"/>
    <w:rsid w:val="11CF18D1"/>
    <w:rsid w:val="11CF5412"/>
    <w:rsid w:val="11CF6A5B"/>
    <w:rsid w:val="11CFDB4F"/>
    <w:rsid w:val="11D013CE"/>
    <w:rsid w:val="11D1768F"/>
    <w:rsid w:val="11D32830"/>
    <w:rsid w:val="11D343BB"/>
    <w:rsid w:val="11D3C3E8"/>
    <w:rsid w:val="11D3D48E"/>
    <w:rsid w:val="11D3F8B9"/>
    <w:rsid w:val="11D45BA5"/>
    <w:rsid w:val="11D51C5B"/>
    <w:rsid w:val="11D55623"/>
    <w:rsid w:val="11D58858"/>
    <w:rsid w:val="11D5FA4A"/>
    <w:rsid w:val="11D624ED"/>
    <w:rsid w:val="11D7F982"/>
    <w:rsid w:val="11D877EE"/>
    <w:rsid w:val="11D9AE7C"/>
    <w:rsid w:val="11DA51F0"/>
    <w:rsid w:val="11DABA5C"/>
    <w:rsid w:val="11DABD27"/>
    <w:rsid w:val="11DACEFF"/>
    <w:rsid w:val="11DB4500"/>
    <w:rsid w:val="11DC67CE"/>
    <w:rsid w:val="11DC7005"/>
    <w:rsid w:val="11DCB196"/>
    <w:rsid w:val="11DCE2EF"/>
    <w:rsid w:val="11DD4B24"/>
    <w:rsid w:val="11DDA4C0"/>
    <w:rsid w:val="11DE0EDD"/>
    <w:rsid w:val="11DEA487"/>
    <w:rsid w:val="11DECAF4"/>
    <w:rsid w:val="11DF7D6F"/>
    <w:rsid w:val="11DFCCC7"/>
    <w:rsid w:val="11E0552B"/>
    <w:rsid w:val="11E0AA9D"/>
    <w:rsid w:val="11E17466"/>
    <w:rsid w:val="11E204C9"/>
    <w:rsid w:val="11E2BE93"/>
    <w:rsid w:val="11E2EAF1"/>
    <w:rsid w:val="11E30DC5"/>
    <w:rsid w:val="11E32FE9"/>
    <w:rsid w:val="11E40977"/>
    <w:rsid w:val="11E41A0C"/>
    <w:rsid w:val="11E4645E"/>
    <w:rsid w:val="11E4A5C1"/>
    <w:rsid w:val="11E53EB5"/>
    <w:rsid w:val="11E65A51"/>
    <w:rsid w:val="11E6A4E6"/>
    <w:rsid w:val="11E6E6A6"/>
    <w:rsid w:val="11E734C4"/>
    <w:rsid w:val="11E78832"/>
    <w:rsid w:val="11E7E7C8"/>
    <w:rsid w:val="11E7EDEA"/>
    <w:rsid w:val="11E8EBF8"/>
    <w:rsid w:val="11E94272"/>
    <w:rsid w:val="11E991D3"/>
    <w:rsid w:val="11E9AC04"/>
    <w:rsid w:val="11EA4001"/>
    <w:rsid w:val="11EA916A"/>
    <w:rsid w:val="11EABF8D"/>
    <w:rsid w:val="11EACECF"/>
    <w:rsid w:val="11EB50B0"/>
    <w:rsid w:val="11EB5326"/>
    <w:rsid w:val="11EC0BE6"/>
    <w:rsid w:val="11EC19B8"/>
    <w:rsid w:val="11EC825C"/>
    <w:rsid w:val="11ECBE1C"/>
    <w:rsid w:val="11ED5917"/>
    <w:rsid w:val="11EDD07C"/>
    <w:rsid w:val="11EED63B"/>
    <w:rsid w:val="11EFC02E"/>
    <w:rsid w:val="11EFE680"/>
    <w:rsid w:val="11F06F04"/>
    <w:rsid w:val="11F09A07"/>
    <w:rsid w:val="11F22F1C"/>
    <w:rsid w:val="11F2A0A7"/>
    <w:rsid w:val="11F35E05"/>
    <w:rsid w:val="11F4A09F"/>
    <w:rsid w:val="11F4DDB0"/>
    <w:rsid w:val="11F4EDCF"/>
    <w:rsid w:val="11F4EFDD"/>
    <w:rsid w:val="11F5F8C0"/>
    <w:rsid w:val="11F61770"/>
    <w:rsid w:val="11F675F7"/>
    <w:rsid w:val="11F6B0DE"/>
    <w:rsid w:val="11F75A05"/>
    <w:rsid w:val="11F83D93"/>
    <w:rsid w:val="11F89412"/>
    <w:rsid w:val="11F9DD5A"/>
    <w:rsid w:val="11FB669C"/>
    <w:rsid w:val="11FC5D60"/>
    <w:rsid w:val="11FEA57F"/>
    <w:rsid w:val="11FECAE5"/>
    <w:rsid w:val="11FF3D33"/>
    <w:rsid w:val="11FFEE63"/>
    <w:rsid w:val="1200080F"/>
    <w:rsid w:val="12000AB1"/>
    <w:rsid w:val="12009589"/>
    <w:rsid w:val="120144B2"/>
    <w:rsid w:val="12014F8E"/>
    <w:rsid w:val="1202FE63"/>
    <w:rsid w:val="12030D73"/>
    <w:rsid w:val="1203641F"/>
    <w:rsid w:val="1203981A"/>
    <w:rsid w:val="1203A3E0"/>
    <w:rsid w:val="120426D8"/>
    <w:rsid w:val="120444FD"/>
    <w:rsid w:val="120464F5"/>
    <w:rsid w:val="1204991F"/>
    <w:rsid w:val="1204FBC4"/>
    <w:rsid w:val="12053509"/>
    <w:rsid w:val="1205B976"/>
    <w:rsid w:val="1205ECEF"/>
    <w:rsid w:val="1205FC30"/>
    <w:rsid w:val="1206074B"/>
    <w:rsid w:val="1207273F"/>
    <w:rsid w:val="1207E54F"/>
    <w:rsid w:val="12080DB7"/>
    <w:rsid w:val="12088CD0"/>
    <w:rsid w:val="12098672"/>
    <w:rsid w:val="1209BC47"/>
    <w:rsid w:val="120A24BC"/>
    <w:rsid w:val="120A37B0"/>
    <w:rsid w:val="120AAF66"/>
    <w:rsid w:val="120B4E99"/>
    <w:rsid w:val="120B7329"/>
    <w:rsid w:val="120B9DD1"/>
    <w:rsid w:val="120C2282"/>
    <w:rsid w:val="120C9C01"/>
    <w:rsid w:val="120CCD6D"/>
    <w:rsid w:val="120DCF63"/>
    <w:rsid w:val="120EA287"/>
    <w:rsid w:val="120EFFBF"/>
    <w:rsid w:val="120FB9E7"/>
    <w:rsid w:val="120FF774"/>
    <w:rsid w:val="1210767D"/>
    <w:rsid w:val="12108AED"/>
    <w:rsid w:val="12108F9A"/>
    <w:rsid w:val="1210F000"/>
    <w:rsid w:val="12112D03"/>
    <w:rsid w:val="12114E5C"/>
    <w:rsid w:val="1212329F"/>
    <w:rsid w:val="1213A872"/>
    <w:rsid w:val="12141645"/>
    <w:rsid w:val="121461E8"/>
    <w:rsid w:val="1215B4CA"/>
    <w:rsid w:val="12171EB4"/>
    <w:rsid w:val="121759F5"/>
    <w:rsid w:val="121788B0"/>
    <w:rsid w:val="12180A7F"/>
    <w:rsid w:val="12184693"/>
    <w:rsid w:val="121891BC"/>
    <w:rsid w:val="12192141"/>
    <w:rsid w:val="12199D3C"/>
    <w:rsid w:val="1219D102"/>
    <w:rsid w:val="1219F638"/>
    <w:rsid w:val="121A5C17"/>
    <w:rsid w:val="121ADFA9"/>
    <w:rsid w:val="121B9311"/>
    <w:rsid w:val="121C071D"/>
    <w:rsid w:val="121C1603"/>
    <w:rsid w:val="121C8E05"/>
    <w:rsid w:val="121D1A38"/>
    <w:rsid w:val="121D9165"/>
    <w:rsid w:val="121E6C22"/>
    <w:rsid w:val="121EA25D"/>
    <w:rsid w:val="121EAD96"/>
    <w:rsid w:val="121ECD52"/>
    <w:rsid w:val="121F21FF"/>
    <w:rsid w:val="121F2648"/>
    <w:rsid w:val="121F3A60"/>
    <w:rsid w:val="121F97CF"/>
    <w:rsid w:val="12209CB7"/>
    <w:rsid w:val="1221606A"/>
    <w:rsid w:val="1221C2C6"/>
    <w:rsid w:val="1221C316"/>
    <w:rsid w:val="1221D14A"/>
    <w:rsid w:val="122227DE"/>
    <w:rsid w:val="1222423F"/>
    <w:rsid w:val="122299F2"/>
    <w:rsid w:val="12229DCD"/>
    <w:rsid w:val="1222F975"/>
    <w:rsid w:val="1224C4F2"/>
    <w:rsid w:val="12253BCB"/>
    <w:rsid w:val="1225487A"/>
    <w:rsid w:val="12259A24"/>
    <w:rsid w:val="122640ED"/>
    <w:rsid w:val="122660BC"/>
    <w:rsid w:val="122685F9"/>
    <w:rsid w:val="12269587"/>
    <w:rsid w:val="12269D0D"/>
    <w:rsid w:val="1226EE01"/>
    <w:rsid w:val="1227AC46"/>
    <w:rsid w:val="1227B79D"/>
    <w:rsid w:val="1228B960"/>
    <w:rsid w:val="1228E158"/>
    <w:rsid w:val="1229018B"/>
    <w:rsid w:val="1229C328"/>
    <w:rsid w:val="1229DB92"/>
    <w:rsid w:val="122AA04B"/>
    <w:rsid w:val="122AD4C3"/>
    <w:rsid w:val="122B4002"/>
    <w:rsid w:val="122C7E73"/>
    <w:rsid w:val="122CECC7"/>
    <w:rsid w:val="122D0199"/>
    <w:rsid w:val="122D7271"/>
    <w:rsid w:val="122D8BE0"/>
    <w:rsid w:val="122EB1D8"/>
    <w:rsid w:val="122EB900"/>
    <w:rsid w:val="122FD8D6"/>
    <w:rsid w:val="12307B86"/>
    <w:rsid w:val="123085E3"/>
    <w:rsid w:val="12309880"/>
    <w:rsid w:val="1230A6F7"/>
    <w:rsid w:val="1230BC27"/>
    <w:rsid w:val="12315397"/>
    <w:rsid w:val="12321927"/>
    <w:rsid w:val="1232EE45"/>
    <w:rsid w:val="1233DD2F"/>
    <w:rsid w:val="12342B3E"/>
    <w:rsid w:val="1234626D"/>
    <w:rsid w:val="1235CB2D"/>
    <w:rsid w:val="12361592"/>
    <w:rsid w:val="12365ED2"/>
    <w:rsid w:val="12371184"/>
    <w:rsid w:val="12373FA9"/>
    <w:rsid w:val="1238839C"/>
    <w:rsid w:val="1238FE49"/>
    <w:rsid w:val="1239161C"/>
    <w:rsid w:val="12397F6F"/>
    <w:rsid w:val="1239C777"/>
    <w:rsid w:val="123A01C1"/>
    <w:rsid w:val="123AC2AB"/>
    <w:rsid w:val="123AC6EB"/>
    <w:rsid w:val="123ACEC5"/>
    <w:rsid w:val="123B44C4"/>
    <w:rsid w:val="123C3A41"/>
    <w:rsid w:val="123DD14E"/>
    <w:rsid w:val="123DE12D"/>
    <w:rsid w:val="123EFFEE"/>
    <w:rsid w:val="123F2D28"/>
    <w:rsid w:val="123F9F89"/>
    <w:rsid w:val="123FF3E9"/>
    <w:rsid w:val="12408B58"/>
    <w:rsid w:val="12423A23"/>
    <w:rsid w:val="12428B3B"/>
    <w:rsid w:val="1242AC7C"/>
    <w:rsid w:val="12431EF6"/>
    <w:rsid w:val="124359D3"/>
    <w:rsid w:val="12447364"/>
    <w:rsid w:val="12454669"/>
    <w:rsid w:val="12454CF4"/>
    <w:rsid w:val="1246CE11"/>
    <w:rsid w:val="1246E237"/>
    <w:rsid w:val="12480259"/>
    <w:rsid w:val="12490481"/>
    <w:rsid w:val="1249E09A"/>
    <w:rsid w:val="124A4238"/>
    <w:rsid w:val="124BF707"/>
    <w:rsid w:val="124CD824"/>
    <w:rsid w:val="124CEE4D"/>
    <w:rsid w:val="124D3ACB"/>
    <w:rsid w:val="124DDD2D"/>
    <w:rsid w:val="124EE15C"/>
    <w:rsid w:val="124EFF38"/>
    <w:rsid w:val="124F732F"/>
    <w:rsid w:val="124FCE0F"/>
    <w:rsid w:val="124FE7C3"/>
    <w:rsid w:val="1250889D"/>
    <w:rsid w:val="1250E4AC"/>
    <w:rsid w:val="125112EB"/>
    <w:rsid w:val="125175BB"/>
    <w:rsid w:val="12518C1F"/>
    <w:rsid w:val="1251CB17"/>
    <w:rsid w:val="1252580E"/>
    <w:rsid w:val="12529672"/>
    <w:rsid w:val="1252FB6E"/>
    <w:rsid w:val="12534539"/>
    <w:rsid w:val="1253C84A"/>
    <w:rsid w:val="1253EB82"/>
    <w:rsid w:val="125431BF"/>
    <w:rsid w:val="1254FAD8"/>
    <w:rsid w:val="12568130"/>
    <w:rsid w:val="125749F5"/>
    <w:rsid w:val="1257BFCB"/>
    <w:rsid w:val="1257DEF7"/>
    <w:rsid w:val="125819CE"/>
    <w:rsid w:val="1258A3B2"/>
    <w:rsid w:val="12593697"/>
    <w:rsid w:val="12593B81"/>
    <w:rsid w:val="125A34FF"/>
    <w:rsid w:val="125A79D3"/>
    <w:rsid w:val="125BCB3B"/>
    <w:rsid w:val="125C9050"/>
    <w:rsid w:val="125CDA02"/>
    <w:rsid w:val="125DB9A9"/>
    <w:rsid w:val="125F5180"/>
    <w:rsid w:val="125FDFC0"/>
    <w:rsid w:val="1260349D"/>
    <w:rsid w:val="126038F9"/>
    <w:rsid w:val="126042B3"/>
    <w:rsid w:val="1261E8C9"/>
    <w:rsid w:val="126212E8"/>
    <w:rsid w:val="1262226B"/>
    <w:rsid w:val="12624A86"/>
    <w:rsid w:val="126278BC"/>
    <w:rsid w:val="1263B3F8"/>
    <w:rsid w:val="12644F3D"/>
    <w:rsid w:val="1264699B"/>
    <w:rsid w:val="1265D0C1"/>
    <w:rsid w:val="12662942"/>
    <w:rsid w:val="126750FC"/>
    <w:rsid w:val="12679BBF"/>
    <w:rsid w:val="12685406"/>
    <w:rsid w:val="12686C08"/>
    <w:rsid w:val="1268C249"/>
    <w:rsid w:val="12694BB2"/>
    <w:rsid w:val="1269ACFE"/>
    <w:rsid w:val="1269DA8F"/>
    <w:rsid w:val="126A35AC"/>
    <w:rsid w:val="126A6E63"/>
    <w:rsid w:val="126B2B8F"/>
    <w:rsid w:val="126B6186"/>
    <w:rsid w:val="126BAEED"/>
    <w:rsid w:val="126BCFBD"/>
    <w:rsid w:val="126C3A13"/>
    <w:rsid w:val="126C50FA"/>
    <w:rsid w:val="126CC8C6"/>
    <w:rsid w:val="126CCB0D"/>
    <w:rsid w:val="126CE4B4"/>
    <w:rsid w:val="126CE7AC"/>
    <w:rsid w:val="126CF997"/>
    <w:rsid w:val="126D78D1"/>
    <w:rsid w:val="126D8631"/>
    <w:rsid w:val="126DA54C"/>
    <w:rsid w:val="126DC580"/>
    <w:rsid w:val="126E5CAE"/>
    <w:rsid w:val="126E8EC7"/>
    <w:rsid w:val="126EAF20"/>
    <w:rsid w:val="126EBBD5"/>
    <w:rsid w:val="126F07E7"/>
    <w:rsid w:val="126F2CB3"/>
    <w:rsid w:val="126F3742"/>
    <w:rsid w:val="127046F1"/>
    <w:rsid w:val="12715191"/>
    <w:rsid w:val="1271B98A"/>
    <w:rsid w:val="127248FA"/>
    <w:rsid w:val="1272BD64"/>
    <w:rsid w:val="127312F1"/>
    <w:rsid w:val="1273BC97"/>
    <w:rsid w:val="12746531"/>
    <w:rsid w:val="1274C463"/>
    <w:rsid w:val="1274E07E"/>
    <w:rsid w:val="12759D2A"/>
    <w:rsid w:val="1275EF8F"/>
    <w:rsid w:val="127661C1"/>
    <w:rsid w:val="1276895C"/>
    <w:rsid w:val="12783FCA"/>
    <w:rsid w:val="127853D6"/>
    <w:rsid w:val="12788246"/>
    <w:rsid w:val="127888D3"/>
    <w:rsid w:val="1279122F"/>
    <w:rsid w:val="127929E6"/>
    <w:rsid w:val="127A7944"/>
    <w:rsid w:val="127A97BD"/>
    <w:rsid w:val="127B46E5"/>
    <w:rsid w:val="127BF73C"/>
    <w:rsid w:val="127CD155"/>
    <w:rsid w:val="127D4DDC"/>
    <w:rsid w:val="127DC1ED"/>
    <w:rsid w:val="127E51D9"/>
    <w:rsid w:val="127E811F"/>
    <w:rsid w:val="127EB1A7"/>
    <w:rsid w:val="1280144E"/>
    <w:rsid w:val="12801938"/>
    <w:rsid w:val="1280B3DC"/>
    <w:rsid w:val="128197F4"/>
    <w:rsid w:val="1281BF0F"/>
    <w:rsid w:val="1281BFF0"/>
    <w:rsid w:val="12829558"/>
    <w:rsid w:val="1282B012"/>
    <w:rsid w:val="12838A7A"/>
    <w:rsid w:val="1283F05B"/>
    <w:rsid w:val="1284542D"/>
    <w:rsid w:val="1285171D"/>
    <w:rsid w:val="12853C74"/>
    <w:rsid w:val="128627DA"/>
    <w:rsid w:val="12872961"/>
    <w:rsid w:val="128731B5"/>
    <w:rsid w:val="12878F2F"/>
    <w:rsid w:val="1287E239"/>
    <w:rsid w:val="12883AC3"/>
    <w:rsid w:val="12894415"/>
    <w:rsid w:val="128AACA4"/>
    <w:rsid w:val="128AF70C"/>
    <w:rsid w:val="128B00F0"/>
    <w:rsid w:val="128B48D4"/>
    <w:rsid w:val="128BE57F"/>
    <w:rsid w:val="128C53B4"/>
    <w:rsid w:val="128CD9D2"/>
    <w:rsid w:val="128D8D9F"/>
    <w:rsid w:val="128DA235"/>
    <w:rsid w:val="128EAA52"/>
    <w:rsid w:val="128F4A11"/>
    <w:rsid w:val="128FADC3"/>
    <w:rsid w:val="12918503"/>
    <w:rsid w:val="1291BC89"/>
    <w:rsid w:val="1291C3AD"/>
    <w:rsid w:val="129227E1"/>
    <w:rsid w:val="12923B55"/>
    <w:rsid w:val="12928C8F"/>
    <w:rsid w:val="12931865"/>
    <w:rsid w:val="12933D22"/>
    <w:rsid w:val="12934A9B"/>
    <w:rsid w:val="1293CF52"/>
    <w:rsid w:val="12963494"/>
    <w:rsid w:val="1296394B"/>
    <w:rsid w:val="12967CE0"/>
    <w:rsid w:val="12968D34"/>
    <w:rsid w:val="1296FE0F"/>
    <w:rsid w:val="12974319"/>
    <w:rsid w:val="129885E1"/>
    <w:rsid w:val="12988C9A"/>
    <w:rsid w:val="12989586"/>
    <w:rsid w:val="1298DD9C"/>
    <w:rsid w:val="1298FCDC"/>
    <w:rsid w:val="1299376E"/>
    <w:rsid w:val="12995E2F"/>
    <w:rsid w:val="12996934"/>
    <w:rsid w:val="12998E95"/>
    <w:rsid w:val="129A993C"/>
    <w:rsid w:val="129BFB48"/>
    <w:rsid w:val="129D332A"/>
    <w:rsid w:val="129D4915"/>
    <w:rsid w:val="129E58E5"/>
    <w:rsid w:val="129F68CB"/>
    <w:rsid w:val="129F77FB"/>
    <w:rsid w:val="129FB95E"/>
    <w:rsid w:val="12A051DF"/>
    <w:rsid w:val="12A0574A"/>
    <w:rsid w:val="12A0649A"/>
    <w:rsid w:val="12A06691"/>
    <w:rsid w:val="12A147D6"/>
    <w:rsid w:val="12A1690E"/>
    <w:rsid w:val="12A2B22E"/>
    <w:rsid w:val="12A2C088"/>
    <w:rsid w:val="12A2DB25"/>
    <w:rsid w:val="12A2EF80"/>
    <w:rsid w:val="12A31FA9"/>
    <w:rsid w:val="12A37062"/>
    <w:rsid w:val="12A378D1"/>
    <w:rsid w:val="12A3E951"/>
    <w:rsid w:val="12A42088"/>
    <w:rsid w:val="12A529CD"/>
    <w:rsid w:val="12A55076"/>
    <w:rsid w:val="12A57485"/>
    <w:rsid w:val="12A59722"/>
    <w:rsid w:val="12A59F9A"/>
    <w:rsid w:val="12A5A918"/>
    <w:rsid w:val="12A740B4"/>
    <w:rsid w:val="12A8B32A"/>
    <w:rsid w:val="12A8B961"/>
    <w:rsid w:val="12A8D2E8"/>
    <w:rsid w:val="12A8DC4A"/>
    <w:rsid w:val="12A9A1E3"/>
    <w:rsid w:val="12AA49BB"/>
    <w:rsid w:val="12AA6B4D"/>
    <w:rsid w:val="12AA83E7"/>
    <w:rsid w:val="12AB2E66"/>
    <w:rsid w:val="12AB3A12"/>
    <w:rsid w:val="12AC0707"/>
    <w:rsid w:val="12AC1389"/>
    <w:rsid w:val="12AC427A"/>
    <w:rsid w:val="12ACCA23"/>
    <w:rsid w:val="12AD4792"/>
    <w:rsid w:val="12AE9158"/>
    <w:rsid w:val="12AEBF13"/>
    <w:rsid w:val="12AF6416"/>
    <w:rsid w:val="12AF95D7"/>
    <w:rsid w:val="12B12B79"/>
    <w:rsid w:val="12B14AEE"/>
    <w:rsid w:val="12B180FA"/>
    <w:rsid w:val="12B21481"/>
    <w:rsid w:val="12B25080"/>
    <w:rsid w:val="12B2F9C2"/>
    <w:rsid w:val="12B39EDC"/>
    <w:rsid w:val="12B3DF2C"/>
    <w:rsid w:val="12B3E391"/>
    <w:rsid w:val="12B3F670"/>
    <w:rsid w:val="12B44CC7"/>
    <w:rsid w:val="12B48FC0"/>
    <w:rsid w:val="12B4F76C"/>
    <w:rsid w:val="12B56F5C"/>
    <w:rsid w:val="12B57F38"/>
    <w:rsid w:val="12B5DE52"/>
    <w:rsid w:val="12B66F79"/>
    <w:rsid w:val="12B67F37"/>
    <w:rsid w:val="12B68D29"/>
    <w:rsid w:val="12B68D3C"/>
    <w:rsid w:val="12B6B940"/>
    <w:rsid w:val="12B70F62"/>
    <w:rsid w:val="12B733F4"/>
    <w:rsid w:val="12B7C30B"/>
    <w:rsid w:val="12B88DA2"/>
    <w:rsid w:val="12B93F8F"/>
    <w:rsid w:val="12B9B6E0"/>
    <w:rsid w:val="12BA0E70"/>
    <w:rsid w:val="12BA0EB0"/>
    <w:rsid w:val="12BA31EE"/>
    <w:rsid w:val="12BB32AF"/>
    <w:rsid w:val="12BBC6BE"/>
    <w:rsid w:val="12BC1341"/>
    <w:rsid w:val="12BD413C"/>
    <w:rsid w:val="12BD7715"/>
    <w:rsid w:val="12BDEDEC"/>
    <w:rsid w:val="12BF205C"/>
    <w:rsid w:val="12BF5D68"/>
    <w:rsid w:val="12BF958E"/>
    <w:rsid w:val="12BF9AC5"/>
    <w:rsid w:val="12C0B08B"/>
    <w:rsid w:val="12C1122A"/>
    <w:rsid w:val="12C13508"/>
    <w:rsid w:val="12C2668C"/>
    <w:rsid w:val="12C31682"/>
    <w:rsid w:val="12C3C75C"/>
    <w:rsid w:val="12C53ECF"/>
    <w:rsid w:val="12C54ABF"/>
    <w:rsid w:val="12C57DEF"/>
    <w:rsid w:val="12C58DF4"/>
    <w:rsid w:val="12C5984F"/>
    <w:rsid w:val="12C67EAF"/>
    <w:rsid w:val="12C6FCDA"/>
    <w:rsid w:val="12C7497B"/>
    <w:rsid w:val="12C7B510"/>
    <w:rsid w:val="12C853AD"/>
    <w:rsid w:val="12C9008A"/>
    <w:rsid w:val="12C98299"/>
    <w:rsid w:val="12C9D1CD"/>
    <w:rsid w:val="12CA5BB3"/>
    <w:rsid w:val="12CA8814"/>
    <w:rsid w:val="12CABA0F"/>
    <w:rsid w:val="12CAFB0B"/>
    <w:rsid w:val="12CB4AF9"/>
    <w:rsid w:val="12CC0880"/>
    <w:rsid w:val="12CC4FE3"/>
    <w:rsid w:val="12CD43E7"/>
    <w:rsid w:val="12CD9593"/>
    <w:rsid w:val="12CE0E42"/>
    <w:rsid w:val="12CEDED4"/>
    <w:rsid w:val="12CF4172"/>
    <w:rsid w:val="12CF9FD8"/>
    <w:rsid w:val="12D0BF12"/>
    <w:rsid w:val="12D0EEFF"/>
    <w:rsid w:val="12D0F3E2"/>
    <w:rsid w:val="12D10ADC"/>
    <w:rsid w:val="12D158D3"/>
    <w:rsid w:val="12D1E637"/>
    <w:rsid w:val="12D20426"/>
    <w:rsid w:val="12D2A974"/>
    <w:rsid w:val="12D348B8"/>
    <w:rsid w:val="12D3E6DF"/>
    <w:rsid w:val="12D4BFC2"/>
    <w:rsid w:val="12D4CA4B"/>
    <w:rsid w:val="12D4D42F"/>
    <w:rsid w:val="12D53B38"/>
    <w:rsid w:val="12D5BDE9"/>
    <w:rsid w:val="12D5BF31"/>
    <w:rsid w:val="12D61161"/>
    <w:rsid w:val="12D6B756"/>
    <w:rsid w:val="12D71281"/>
    <w:rsid w:val="12D71DEA"/>
    <w:rsid w:val="12D74ECC"/>
    <w:rsid w:val="12D8F24F"/>
    <w:rsid w:val="12DB6A3F"/>
    <w:rsid w:val="12DC1C58"/>
    <w:rsid w:val="12DC7F53"/>
    <w:rsid w:val="12DD151C"/>
    <w:rsid w:val="12DD51E6"/>
    <w:rsid w:val="12DE0A93"/>
    <w:rsid w:val="12DE26B6"/>
    <w:rsid w:val="12DE7406"/>
    <w:rsid w:val="12DEBBC7"/>
    <w:rsid w:val="12DEE93F"/>
    <w:rsid w:val="12DEF11E"/>
    <w:rsid w:val="12DFD5CA"/>
    <w:rsid w:val="12E0DAEE"/>
    <w:rsid w:val="12E1AB0B"/>
    <w:rsid w:val="12E246F8"/>
    <w:rsid w:val="12E2E08A"/>
    <w:rsid w:val="12E309C6"/>
    <w:rsid w:val="12E38746"/>
    <w:rsid w:val="12E3F104"/>
    <w:rsid w:val="12E409CB"/>
    <w:rsid w:val="12E42CEF"/>
    <w:rsid w:val="12E47B30"/>
    <w:rsid w:val="12E4E8B6"/>
    <w:rsid w:val="12E57A3A"/>
    <w:rsid w:val="12E669A1"/>
    <w:rsid w:val="12E7128A"/>
    <w:rsid w:val="12E72281"/>
    <w:rsid w:val="12E7BA9E"/>
    <w:rsid w:val="12E89E6D"/>
    <w:rsid w:val="12E8BC9C"/>
    <w:rsid w:val="12E9D5D6"/>
    <w:rsid w:val="12EB152A"/>
    <w:rsid w:val="12EB5525"/>
    <w:rsid w:val="12EBA072"/>
    <w:rsid w:val="12EBB8D7"/>
    <w:rsid w:val="12EC00C8"/>
    <w:rsid w:val="12ED03DF"/>
    <w:rsid w:val="12EE60DB"/>
    <w:rsid w:val="12EE6E8A"/>
    <w:rsid w:val="12EE7373"/>
    <w:rsid w:val="12EE941C"/>
    <w:rsid w:val="12EEA28B"/>
    <w:rsid w:val="12EEBCF1"/>
    <w:rsid w:val="12EF2450"/>
    <w:rsid w:val="12EF3DF3"/>
    <w:rsid w:val="12EF90A8"/>
    <w:rsid w:val="12EFF606"/>
    <w:rsid w:val="12F05A4F"/>
    <w:rsid w:val="12F0ABAC"/>
    <w:rsid w:val="12F0FF7D"/>
    <w:rsid w:val="12F10948"/>
    <w:rsid w:val="12F1FA04"/>
    <w:rsid w:val="12F21673"/>
    <w:rsid w:val="12F279FA"/>
    <w:rsid w:val="12F434F4"/>
    <w:rsid w:val="12F47381"/>
    <w:rsid w:val="12F47AEA"/>
    <w:rsid w:val="12F47BFD"/>
    <w:rsid w:val="12F47F69"/>
    <w:rsid w:val="12F5077D"/>
    <w:rsid w:val="12F5424A"/>
    <w:rsid w:val="12F5B1B7"/>
    <w:rsid w:val="12F65BC8"/>
    <w:rsid w:val="12F6D9A7"/>
    <w:rsid w:val="12F6EF6B"/>
    <w:rsid w:val="12F6F875"/>
    <w:rsid w:val="12F76D6C"/>
    <w:rsid w:val="12F829A7"/>
    <w:rsid w:val="12F8D85E"/>
    <w:rsid w:val="12F8F60B"/>
    <w:rsid w:val="12F948F9"/>
    <w:rsid w:val="12F97287"/>
    <w:rsid w:val="12FA7EEF"/>
    <w:rsid w:val="12FAC61C"/>
    <w:rsid w:val="12FB0061"/>
    <w:rsid w:val="12FBBA25"/>
    <w:rsid w:val="12FBFEAA"/>
    <w:rsid w:val="12FC36A8"/>
    <w:rsid w:val="12FC9AE2"/>
    <w:rsid w:val="12FD035F"/>
    <w:rsid w:val="12FD9F81"/>
    <w:rsid w:val="12FE93DB"/>
    <w:rsid w:val="12FEC7DB"/>
    <w:rsid w:val="12FF68E1"/>
    <w:rsid w:val="12FF978D"/>
    <w:rsid w:val="12FFB011"/>
    <w:rsid w:val="12FFB05B"/>
    <w:rsid w:val="12FFF520"/>
    <w:rsid w:val="13001ABA"/>
    <w:rsid w:val="1300E672"/>
    <w:rsid w:val="130115F3"/>
    <w:rsid w:val="13011E55"/>
    <w:rsid w:val="130155ED"/>
    <w:rsid w:val="1301BD24"/>
    <w:rsid w:val="1302002C"/>
    <w:rsid w:val="1302269D"/>
    <w:rsid w:val="130238B0"/>
    <w:rsid w:val="1302915E"/>
    <w:rsid w:val="13029DD6"/>
    <w:rsid w:val="13033060"/>
    <w:rsid w:val="13038F24"/>
    <w:rsid w:val="1304328B"/>
    <w:rsid w:val="1304A7BA"/>
    <w:rsid w:val="1304EBD7"/>
    <w:rsid w:val="13050E27"/>
    <w:rsid w:val="13051112"/>
    <w:rsid w:val="130527D2"/>
    <w:rsid w:val="130562E9"/>
    <w:rsid w:val="1305F950"/>
    <w:rsid w:val="130645F2"/>
    <w:rsid w:val="130676E5"/>
    <w:rsid w:val="13069A1D"/>
    <w:rsid w:val="1306DC9C"/>
    <w:rsid w:val="1306FDB4"/>
    <w:rsid w:val="13072153"/>
    <w:rsid w:val="130761DD"/>
    <w:rsid w:val="13076B74"/>
    <w:rsid w:val="1307E78E"/>
    <w:rsid w:val="1308C1F7"/>
    <w:rsid w:val="1308E403"/>
    <w:rsid w:val="13095165"/>
    <w:rsid w:val="13095B43"/>
    <w:rsid w:val="13095B5C"/>
    <w:rsid w:val="130A9DC4"/>
    <w:rsid w:val="130AD3B9"/>
    <w:rsid w:val="130B2373"/>
    <w:rsid w:val="130B3AB6"/>
    <w:rsid w:val="130BB82C"/>
    <w:rsid w:val="130BC9BC"/>
    <w:rsid w:val="130C97F5"/>
    <w:rsid w:val="130CBD1E"/>
    <w:rsid w:val="130D34AF"/>
    <w:rsid w:val="130D8201"/>
    <w:rsid w:val="130DC45E"/>
    <w:rsid w:val="130E5D95"/>
    <w:rsid w:val="130EAB81"/>
    <w:rsid w:val="130F9F74"/>
    <w:rsid w:val="130FDB54"/>
    <w:rsid w:val="130FE7BF"/>
    <w:rsid w:val="131095C9"/>
    <w:rsid w:val="1310B6BD"/>
    <w:rsid w:val="1310FF21"/>
    <w:rsid w:val="131164F0"/>
    <w:rsid w:val="13116E6B"/>
    <w:rsid w:val="1312B1B8"/>
    <w:rsid w:val="131344A3"/>
    <w:rsid w:val="131408EA"/>
    <w:rsid w:val="1314FE65"/>
    <w:rsid w:val="13152A1C"/>
    <w:rsid w:val="1315A3E4"/>
    <w:rsid w:val="1315EE57"/>
    <w:rsid w:val="1316097A"/>
    <w:rsid w:val="13160ACF"/>
    <w:rsid w:val="13162BA6"/>
    <w:rsid w:val="13172A53"/>
    <w:rsid w:val="13179F7E"/>
    <w:rsid w:val="1318437C"/>
    <w:rsid w:val="1318E879"/>
    <w:rsid w:val="131A8B2A"/>
    <w:rsid w:val="131AD7E5"/>
    <w:rsid w:val="131B187D"/>
    <w:rsid w:val="131B590E"/>
    <w:rsid w:val="131B9655"/>
    <w:rsid w:val="131BC7F4"/>
    <w:rsid w:val="131BC930"/>
    <w:rsid w:val="131BCEE5"/>
    <w:rsid w:val="131C0DD9"/>
    <w:rsid w:val="131C61C1"/>
    <w:rsid w:val="131CD728"/>
    <w:rsid w:val="131D242A"/>
    <w:rsid w:val="131D719E"/>
    <w:rsid w:val="131D7589"/>
    <w:rsid w:val="131DE19B"/>
    <w:rsid w:val="131E31A9"/>
    <w:rsid w:val="131E6B25"/>
    <w:rsid w:val="131E73C5"/>
    <w:rsid w:val="131EDDFB"/>
    <w:rsid w:val="132037DA"/>
    <w:rsid w:val="132048B3"/>
    <w:rsid w:val="132085EC"/>
    <w:rsid w:val="1320A1EA"/>
    <w:rsid w:val="1321835C"/>
    <w:rsid w:val="1321C632"/>
    <w:rsid w:val="132210A8"/>
    <w:rsid w:val="13229EFD"/>
    <w:rsid w:val="1322A27C"/>
    <w:rsid w:val="13235029"/>
    <w:rsid w:val="1323B1C2"/>
    <w:rsid w:val="1323DD69"/>
    <w:rsid w:val="1323F679"/>
    <w:rsid w:val="1324B813"/>
    <w:rsid w:val="13250271"/>
    <w:rsid w:val="13250DC4"/>
    <w:rsid w:val="1325968D"/>
    <w:rsid w:val="1325AE02"/>
    <w:rsid w:val="1325EBC0"/>
    <w:rsid w:val="13260C5A"/>
    <w:rsid w:val="13268C51"/>
    <w:rsid w:val="13276C09"/>
    <w:rsid w:val="13281420"/>
    <w:rsid w:val="132939DF"/>
    <w:rsid w:val="1329F4A6"/>
    <w:rsid w:val="132A33EF"/>
    <w:rsid w:val="132A42CB"/>
    <w:rsid w:val="132C6DEE"/>
    <w:rsid w:val="132C9C5C"/>
    <w:rsid w:val="132CA141"/>
    <w:rsid w:val="132D01CC"/>
    <w:rsid w:val="132DC404"/>
    <w:rsid w:val="132E472E"/>
    <w:rsid w:val="132F24F1"/>
    <w:rsid w:val="132F4C30"/>
    <w:rsid w:val="132F618B"/>
    <w:rsid w:val="1330236B"/>
    <w:rsid w:val="13308364"/>
    <w:rsid w:val="1330BE6F"/>
    <w:rsid w:val="1330C452"/>
    <w:rsid w:val="1330DBEB"/>
    <w:rsid w:val="1331979A"/>
    <w:rsid w:val="1331E28C"/>
    <w:rsid w:val="1331EBF4"/>
    <w:rsid w:val="133255C1"/>
    <w:rsid w:val="1333830B"/>
    <w:rsid w:val="13338785"/>
    <w:rsid w:val="133500ED"/>
    <w:rsid w:val="1335457D"/>
    <w:rsid w:val="1335B863"/>
    <w:rsid w:val="1335F3CC"/>
    <w:rsid w:val="13365FD4"/>
    <w:rsid w:val="133694E9"/>
    <w:rsid w:val="1336E996"/>
    <w:rsid w:val="1337CA32"/>
    <w:rsid w:val="1337DFC0"/>
    <w:rsid w:val="13387CAC"/>
    <w:rsid w:val="13399FB0"/>
    <w:rsid w:val="133A51D8"/>
    <w:rsid w:val="133AAFC5"/>
    <w:rsid w:val="133AEA4B"/>
    <w:rsid w:val="133AF5B6"/>
    <w:rsid w:val="133B7BF3"/>
    <w:rsid w:val="133BA4FD"/>
    <w:rsid w:val="133BEAA0"/>
    <w:rsid w:val="133C0E86"/>
    <w:rsid w:val="133C758C"/>
    <w:rsid w:val="133F175F"/>
    <w:rsid w:val="133F4BF5"/>
    <w:rsid w:val="13407E7C"/>
    <w:rsid w:val="13410325"/>
    <w:rsid w:val="13419DB3"/>
    <w:rsid w:val="1341DBD1"/>
    <w:rsid w:val="1341EDFD"/>
    <w:rsid w:val="1342558D"/>
    <w:rsid w:val="134308DF"/>
    <w:rsid w:val="13431812"/>
    <w:rsid w:val="134319A8"/>
    <w:rsid w:val="134321F8"/>
    <w:rsid w:val="13434385"/>
    <w:rsid w:val="1343CC3A"/>
    <w:rsid w:val="134495BB"/>
    <w:rsid w:val="1344DD30"/>
    <w:rsid w:val="1344F435"/>
    <w:rsid w:val="13457AA5"/>
    <w:rsid w:val="1345903E"/>
    <w:rsid w:val="13460CE8"/>
    <w:rsid w:val="13470CEC"/>
    <w:rsid w:val="134727DD"/>
    <w:rsid w:val="1347779D"/>
    <w:rsid w:val="134805A6"/>
    <w:rsid w:val="13487AAD"/>
    <w:rsid w:val="134890DC"/>
    <w:rsid w:val="134924A4"/>
    <w:rsid w:val="13494CB9"/>
    <w:rsid w:val="13499E71"/>
    <w:rsid w:val="134A98E8"/>
    <w:rsid w:val="134BD071"/>
    <w:rsid w:val="134BF73F"/>
    <w:rsid w:val="134D68B3"/>
    <w:rsid w:val="134DD448"/>
    <w:rsid w:val="134E0483"/>
    <w:rsid w:val="134E4830"/>
    <w:rsid w:val="134E49F8"/>
    <w:rsid w:val="134E6540"/>
    <w:rsid w:val="134E9352"/>
    <w:rsid w:val="134F46F5"/>
    <w:rsid w:val="134F801B"/>
    <w:rsid w:val="134FE016"/>
    <w:rsid w:val="13504DE8"/>
    <w:rsid w:val="1350B2DE"/>
    <w:rsid w:val="13515709"/>
    <w:rsid w:val="1351711B"/>
    <w:rsid w:val="13530536"/>
    <w:rsid w:val="135308C3"/>
    <w:rsid w:val="1353CF38"/>
    <w:rsid w:val="13540917"/>
    <w:rsid w:val="1354A5FC"/>
    <w:rsid w:val="13554EBD"/>
    <w:rsid w:val="135574FC"/>
    <w:rsid w:val="135575B0"/>
    <w:rsid w:val="135593C7"/>
    <w:rsid w:val="135604BE"/>
    <w:rsid w:val="135810DB"/>
    <w:rsid w:val="135837B2"/>
    <w:rsid w:val="135896B2"/>
    <w:rsid w:val="1358B4B5"/>
    <w:rsid w:val="13593A56"/>
    <w:rsid w:val="13594265"/>
    <w:rsid w:val="135944B4"/>
    <w:rsid w:val="135A98C8"/>
    <w:rsid w:val="135AE842"/>
    <w:rsid w:val="135B16A1"/>
    <w:rsid w:val="135B83C6"/>
    <w:rsid w:val="135B954A"/>
    <w:rsid w:val="135BFE0F"/>
    <w:rsid w:val="135C64FA"/>
    <w:rsid w:val="135CC895"/>
    <w:rsid w:val="135CEB27"/>
    <w:rsid w:val="135DE189"/>
    <w:rsid w:val="135DF766"/>
    <w:rsid w:val="135E2AAA"/>
    <w:rsid w:val="135E36AD"/>
    <w:rsid w:val="135E91DE"/>
    <w:rsid w:val="135F4CFA"/>
    <w:rsid w:val="135F95F7"/>
    <w:rsid w:val="136001F0"/>
    <w:rsid w:val="13608405"/>
    <w:rsid w:val="1360F0CF"/>
    <w:rsid w:val="1362BEC7"/>
    <w:rsid w:val="13640364"/>
    <w:rsid w:val="13642A53"/>
    <w:rsid w:val="1365A9D2"/>
    <w:rsid w:val="1365CE88"/>
    <w:rsid w:val="1365D643"/>
    <w:rsid w:val="13663D77"/>
    <w:rsid w:val="13664D68"/>
    <w:rsid w:val="1366D11E"/>
    <w:rsid w:val="1366FD25"/>
    <w:rsid w:val="1368BC42"/>
    <w:rsid w:val="1368D02B"/>
    <w:rsid w:val="13697B19"/>
    <w:rsid w:val="1369F1D3"/>
    <w:rsid w:val="136A7499"/>
    <w:rsid w:val="136AB5DD"/>
    <w:rsid w:val="136AC0E0"/>
    <w:rsid w:val="136C7DB5"/>
    <w:rsid w:val="136CBA5F"/>
    <w:rsid w:val="136D39FF"/>
    <w:rsid w:val="136D7916"/>
    <w:rsid w:val="136DF0D0"/>
    <w:rsid w:val="136F2A8C"/>
    <w:rsid w:val="13702028"/>
    <w:rsid w:val="13709A46"/>
    <w:rsid w:val="1370B5C4"/>
    <w:rsid w:val="1370F82C"/>
    <w:rsid w:val="1370FB20"/>
    <w:rsid w:val="13710B2A"/>
    <w:rsid w:val="13711748"/>
    <w:rsid w:val="1372CF5A"/>
    <w:rsid w:val="13731EF8"/>
    <w:rsid w:val="137363C7"/>
    <w:rsid w:val="13748DC4"/>
    <w:rsid w:val="13759C2D"/>
    <w:rsid w:val="1375C3E0"/>
    <w:rsid w:val="1376A5A4"/>
    <w:rsid w:val="1376AFD2"/>
    <w:rsid w:val="13774EA7"/>
    <w:rsid w:val="137792C3"/>
    <w:rsid w:val="137809EA"/>
    <w:rsid w:val="13787E31"/>
    <w:rsid w:val="1378CCC1"/>
    <w:rsid w:val="1378E694"/>
    <w:rsid w:val="13791668"/>
    <w:rsid w:val="1379C6BF"/>
    <w:rsid w:val="137A334C"/>
    <w:rsid w:val="137A710C"/>
    <w:rsid w:val="137AA6D4"/>
    <w:rsid w:val="137BC2B5"/>
    <w:rsid w:val="137BE171"/>
    <w:rsid w:val="137CC1D8"/>
    <w:rsid w:val="137D411D"/>
    <w:rsid w:val="137D7542"/>
    <w:rsid w:val="137D77C5"/>
    <w:rsid w:val="137E2D42"/>
    <w:rsid w:val="137E3D46"/>
    <w:rsid w:val="1380E4D0"/>
    <w:rsid w:val="13820F7A"/>
    <w:rsid w:val="1382EF18"/>
    <w:rsid w:val="13836655"/>
    <w:rsid w:val="1383BCBE"/>
    <w:rsid w:val="138422DF"/>
    <w:rsid w:val="1384EE45"/>
    <w:rsid w:val="1385578E"/>
    <w:rsid w:val="1385A7BC"/>
    <w:rsid w:val="138623D1"/>
    <w:rsid w:val="1386EC88"/>
    <w:rsid w:val="13870887"/>
    <w:rsid w:val="1387B521"/>
    <w:rsid w:val="1388A340"/>
    <w:rsid w:val="13890DD0"/>
    <w:rsid w:val="138917C1"/>
    <w:rsid w:val="13895639"/>
    <w:rsid w:val="13899191"/>
    <w:rsid w:val="1389F0F5"/>
    <w:rsid w:val="1389F3F4"/>
    <w:rsid w:val="1389FF63"/>
    <w:rsid w:val="138A26EE"/>
    <w:rsid w:val="138A5016"/>
    <w:rsid w:val="138BAEA6"/>
    <w:rsid w:val="138C01B8"/>
    <w:rsid w:val="138C985F"/>
    <w:rsid w:val="138D21B6"/>
    <w:rsid w:val="138E3CB5"/>
    <w:rsid w:val="138EC97C"/>
    <w:rsid w:val="138EFD2A"/>
    <w:rsid w:val="138F25A7"/>
    <w:rsid w:val="1390FF99"/>
    <w:rsid w:val="13915E43"/>
    <w:rsid w:val="1391860A"/>
    <w:rsid w:val="1391E43A"/>
    <w:rsid w:val="13920040"/>
    <w:rsid w:val="139233F4"/>
    <w:rsid w:val="13929C59"/>
    <w:rsid w:val="13938A7B"/>
    <w:rsid w:val="1393AA5C"/>
    <w:rsid w:val="13945C01"/>
    <w:rsid w:val="13948A83"/>
    <w:rsid w:val="13949381"/>
    <w:rsid w:val="1394DB00"/>
    <w:rsid w:val="139511B0"/>
    <w:rsid w:val="1395C716"/>
    <w:rsid w:val="13960134"/>
    <w:rsid w:val="13963B6A"/>
    <w:rsid w:val="13965FAF"/>
    <w:rsid w:val="139738C8"/>
    <w:rsid w:val="139829D1"/>
    <w:rsid w:val="13985035"/>
    <w:rsid w:val="13987CB2"/>
    <w:rsid w:val="1398B4B0"/>
    <w:rsid w:val="1399C3FB"/>
    <w:rsid w:val="1399DA68"/>
    <w:rsid w:val="139B57D0"/>
    <w:rsid w:val="139C4681"/>
    <w:rsid w:val="139D2E27"/>
    <w:rsid w:val="139DB273"/>
    <w:rsid w:val="139E0D1C"/>
    <w:rsid w:val="139E30E8"/>
    <w:rsid w:val="139E700E"/>
    <w:rsid w:val="139F2E7C"/>
    <w:rsid w:val="139FE8C8"/>
    <w:rsid w:val="13A02ED0"/>
    <w:rsid w:val="13A033F7"/>
    <w:rsid w:val="13A03797"/>
    <w:rsid w:val="13A0E56B"/>
    <w:rsid w:val="13A1003F"/>
    <w:rsid w:val="13A1D995"/>
    <w:rsid w:val="13A35B04"/>
    <w:rsid w:val="13A42304"/>
    <w:rsid w:val="13A48B2B"/>
    <w:rsid w:val="13A60F57"/>
    <w:rsid w:val="13A6D981"/>
    <w:rsid w:val="13A6ECC4"/>
    <w:rsid w:val="13A7AB57"/>
    <w:rsid w:val="13A868D1"/>
    <w:rsid w:val="13A86A0C"/>
    <w:rsid w:val="13A89DCE"/>
    <w:rsid w:val="13AA0784"/>
    <w:rsid w:val="13ABB20D"/>
    <w:rsid w:val="13AC2AC2"/>
    <w:rsid w:val="13AC5FA1"/>
    <w:rsid w:val="13AD40D3"/>
    <w:rsid w:val="13AD47BA"/>
    <w:rsid w:val="13ADA776"/>
    <w:rsid w:val="13ADAD75"/>
    <w:rsid w:val="13AE36AE"/>
    <w:rsid w:val="13AEC62A"/>
    <w:rsid w:val="13AF88EE"/>
    <w:rsid w:val="13AFA520"/>
    <w:rsid w:val="13AFBF22"/>
    <w:rsid w:val="13B09268"/>
    <w:rsid w:val="13B108D8"/>
    <w:rsid w:val="13B29091"/>
    <w:rsid w:val="13B4234A"/>
    <w:rsid w:val="13B43E0F"/>
    <w:rsid w:val="13B45A07"/>
    <w:rsid w:val="13B4D399"/>
    <w:rsid w:val="13B560A4"/>
    <w:rsid w:val="13B576CF"/>
    <w:rsid w:val="13B5AF5F"/>
    <w:rsid w:val="13B5D361"/>
    <w:rsid w:val="13B5FF20"/>
    <w:rsid w:val="13B6175B"/>
    <w:rsid w:val="13B694CE"/>
    <w:rsid w:val="13B6F9D1"/>
    <w:rsid w:val="13B75E81"/>
    <w:rsid w:val="13B82117"/>
    <w:rsid w:val="13B8F4B0"/>
    <w:rsid w:val="13B8FCDA"/>
    <w:rsid w:val="13B92943"/>
    <w:rsid w:val="13BA475E"/>
    <w:rsid w:val="13BA4936"/>
    <w:rsid w:val="13BB167D"/>
    <w:rsid w:val="13BB2220"/>
    <w:rsid w:val="13BB3624"/>
    <w:rsid w:val="13BB6E3E"/>
    <w:rsid w:val="13BCA0DE"/>
    <w:rsid w:val="13BCA98F"/>
    <w:rsid w:val="13BDB9DF"/>
    <w:rsid w:val="13BDC3A1"/>
    <w:rsid w:val="13BDD755"/>
    <w:rsid w:val="13BDF1CE"/>
    <w:rsid w:val="13BE9666"/>
    <w:rsid w:val="13BE9885"/>
    <w:rsid w:val="13BEF25C"/>
    <w:rsid w:val="13BF9F4F"/>
    <w:rsid w:val="13BFA34B"/>
    <w:rsid w:val="13BFB968"/>
    <w:rsid w:val="13C000C6"/>
    <w:rsid w:val="13C1E60E"/>
    <w:rsid w:val="13C28538"/>
    <w:rsid w:val="13C31353"/>
    <w:rsid w:val="13C41E42"/>
    <w:rsid w:val="13C43C68"/>
    <w:rsid w:val="13C4706C"/>
    <w:rsid w:val="13C4B6C2"/>
    <w:rsid w:val="13C50D39"/>
    <w:rsid w:val="13C6A516"/>
    <w:rsid w:val="13C72F5B"/>
    <w:rsid w:val="13C77136"/>
    <w:rsid w:val="13C77504"/>
    <w:rsid w:val="13C777AE"/>
    <w:rsid w:val="13C79824"/>
    <w:rsid w:val="13C7E7D9"/>
    <w:rsid w:val="13C882A6"/>
    <w:rsid w:val="13C8A598"/>
    <w:rsid w:val="13C9037A"/>
    <w:rsid w:val="13C903D7"/>
    <w:rsid w:val="13C9EF60"/>
    <w:rsid w:val="13C9FD46"/>
    <w:rsid w:val="13CA1E0B"/>
    <w:rsid w:val="13CA274B"/>
    <w:rsid w:val="13CA6FF0"/>
    <w:rsid w:val="13CAD2B7"/>
    <w:rsid w:val="13CB25E1"/>
    <w:rsid w:val="13CBDBDD"/>
    <w:rsid w:val="13CBF69A"/>
    <w:rsid w:val="13CC0768"/>
    <w:rsid w:val="13CC54C6"/>
    <w:rsid w:val="13CC5EBB"/>
    <w:rsid w:val="13CE4DA8"/>
    <w:rsid w:val="13CE7019"/>
    <w:rsid w:val="13CE7715"/>
    <w:rsid w:val="13CE8B56"/>
    <w:rsid w:val="13CF0DC0"/>
    <w:rsid w:val="13CF1250"/>
    <w:rsid w:val="13CFA55E"/>
    <w:rsid w:val="13D00061"/>
    <w:rsid w:val="13D0A6B4"/>
    <w:rsid w:val="13D0EAE2"/>
    <w:rsid w:val="13D118DA"/>
    <w:rsid w:val="13D299F9"/>
    <w:rsid w:val="13D2C4A6"/>
    <w:rsid w:val="13D2E5E7"/>
    <w:rsid w:val="13D2E910"/>
    <w:rsid w:val="13D3E9E2"/>
    <w:rsid w:val="13D411DD"/>
    <w:rsid w:val="13D41565"/>
    <w:rsid w:val="13D45333"/>
    <w:rsid w:val="13D46CD0"/>
    <w:rsid w:val="13D4A7D9"/>
    <w:rsid w:val="13D5108B"/>
    <w:rsid w:val="13D57809"/>
    <w:rsid w:val="13D58760"/>
    <w:rsid w:val="13D5B631"/>
    <w:rsid w:val="13D60536"/>
    <w:rsid w:val="13D640CC"/>
    <w:rsid w:val="13D7C3A2"/>
    <w:rsid w:val="13D7ECFC"/>
    <w:rsid w:val="13D87137"/>
    <w:rsid w:val="13D8F676"/>
    <w:rsid w:val="13D93758"/>
    <w:rsid w:val="13D98BB8"/>
    <w:rsid w:val="13D99D7D"/>
    <w:rsid w:val="13D9EF0A"/>
    <w:rsid w:val="13D9F140"/>
    <w:rsid w:val="13D9FDEF"/>
    <w:rsid w:val="13DA391D"/>
    <w:rsid w:val="13DAF775"/>
    <w:rsid w:val="13DBC847"/>
    <w:rsid w:val="13DBD357"/>
    <w:rsid w:val="13DC2026"/>
    <w:rsid w:val="13DD3235"/>
    <w:rsid w:val="13DD5FC8"/>
    <w:rsid w:val="13DDD051"/>
    <w:rsid w:val="13DE462F"/>
    <w:rsid w:val="13DE49C9"/>
    <w:rsid w:val="13DE8E81"/>
    <w:rsid w:val="13DF2B64"/>
    <w:rsid w:val="13DFB2F3"/>
    <w:rsid w:val="13DFDD1B"/>
    <w:rsid w:val="13E01E9C"/>
    <w:rsid w:val="13E15090"/>
    <w:rsid w:val="13E15A40"/>
    <w:rsid w:val="13E21214"/>
    <w:rsid w:val="13E221F4"/>
    <w:rsid w:val="13E22438"/>
    <w:rsid w:val="13E23230"/>
    <w:rsid w:val="13E24D3F"/>
    <w:rsid w:val="13E313CE"/>
    <w:rsid w:val="13E330E9"/>
    <w:rsid w:val="13E34857"/>
    <w:rsid w:val="13E3943F"/>
    <w:rsid w:val="13E46A7E"/>
    <w:rsid w:val="13E47FC5"/>
    <w:rsid w:val="13E584E7"/>
    <w:rsid w:val="13E75542"/>
    <w:rsid w:val="13E7A364"/>
    <w:rsid w:val="13E81813"/>
    <w:rsid w:val="13E84BCB"/>
    <w:rsid w:val="13E8B853"/>
    <w:rsid w:val="13E8F164"/>
    <w:rsid w:val="13E93054"/>
    <w:rsid w:val="13E9A596"/>
    <w:rsid w:val="13E9C89A"/>
    <w:rsid w:val="13EB1F34"/>
    <w:rsid w:val="13EB5B49"/>
    <w:rsid w:val="13EBD5D1"/>
    <w:rsid w:val="13EBD70D"/>
    <w:rsid w:val="13EC74AD"/>
    <w:rsid w:val="13ECFEC1"/>
    <w:rsid w:val="13EE42E3"/>
    <w:rsid w:val="13EFCF4B"/>
    <w:rsid w:val="13EFDCCD"/>
    <w:rsid w:val="13F02834"/>
    <w:rsid w:val="13F086C8"/>
    <w:rsid w:val="13F0D6FC"/>
    <w:rsid w:val="13F0F6E1"/>
    <w:rsid w:val="13F1B26F"/>
    <w:rsid w:val="13F23CF4"/>
    <w:rsid w:val="13F28F05"/>
    <w:rsid w:val="13F299C7"/>
    <w:rsid w:val="13F349B1"/>
    <w:rsid w:val="13F3DAB1"/>
    <w:rsid w:val="13F40B38"/>
    <w:rsid w:val="13F45AA1"/>
    <w:rsid w:val="13F5027C"/>
    <w:rsid w:val="13F54E7C"/>
    <w:rsid w:val="13F644FD"/>
    <w:rsid w:val="13F67049"/>
    <w:rsid w:val="13F73FD9"/>
    <w:rsid w:val="13F786D4"/>
    <w:rsid w:val="13F7A25C"/>
    <w:rsid w:val="13F7DC60"/>
    <w:rsid w:val="13F80BB8"/>
    <w:rsid w:val="13F92999"/>
    <w:rsid w:val="13F96C28"/>
    <w:rsid w:val="13F996B2"/>
    <w:rsid w:val="13FA6A28"/>
    <w:rsid w:val="13FA6D44"/>
    <w:rsid w:val="13FAC3D5"/>
    <w:rsid w:val="13FB593A"/>
    <w:rsid w:val="13FBF259"/>
    <w:rsid w:val="13FD6F6E"/>
    <w:rsid w:val="13FDEFBF"/>
    <w:rsid w:val="13FE1BD4"/>
    <w:rsid w:val="13FE87CD"/>
    <w:rsid w:val="13FEB0E7"/>
    <w:rsid w:val="13FEC99E"/>
    <w:rsid w:val="13FEE827"/>
    <w:rsid w:val="13FF310A"/>
    <w:rsid w:val="13FF3324"/>
    <w:rsid w:val="13FFBCEE"/>
    <w:rsid w:val="14008D37"/>
    <w:rsid w:val="1400C00C"/>
    <w:rsid w:val="140270F8"/>
    <w:rsid w:val="14034C06"/>
    <w:rsid w:val="14049CFA"/>
    <w:rsid w:val="1405D658"/>
    <w:rsid w:val="1405DC2E"/>
    <w:rsid w:val="14061EC8"/>
    <w:rsid w:val="140735A2"/>
    <w:rsid w:val="1407B621"/>
    <w:rsid w:val="14080F6C"/>
    <w:rsid w:val="14085660"/>
    <w:rsid w:val="14086BDE"/>
    <w:rsid w:val="14087A1D"/>
    <w:rsid w:val="140902AC"/>
    <w:rsid w:val="1409489E"/>
    <w:rsid w:val="14097EA3"/>
    <w:rsid w:val="140A0A02"/>
    <w:rsid w:val="140AC2A6"/>
    <w:rsid w:val="140BFF38"/>
    <w:rsid w:val="140C1BA2"/>
    <w:rsid w:val="140E0EA7"/>
    <w:rsid w:val="140E4E76"/>
    <w:rsid w:val="140E5AD2"/>
    <w:rsid w:val="1410FFFC"/>
    <w:rsid w:val="1411993B"/>
    <w:rsid w:val="14121776"/>
    <w:rsid w:val="14123770"/>
    <w:rsid w:val="14128ACD"/>
    <w:rsid w:val="14132F01"/>
    <w:rsid w:val="141355C6"/>
    <w:rsid w:val="1415C26B"/>
    <w:rsid w:val="14165504"/>
    <w:rsid w:val="141674CE"/>
    <w:rsid w:val="1416A106"/>
    <w:rsid w:val="14170373"/>
    <w:rsid w:val="14172743"/>
    <w:rsid w:val="14173DE7"/>
    <w:rsid w:val="14175F0F"/>
    <w:rsid w:val="1417709E"/>
    <w:rsid w:val="14190A90"/>
    <w:rsid w:val="1419728D"/>
    <w:rsid w:val="141A04F2"/>
    <w:rsid w:val="141A39BB"/>
    <w:rsid w:val="141B07B2"/>
    <w:rsid w:val="141C19E9"/>
    <w:rsid w:val="141CD62B"/>
    <w:rsid w:val="141D0B6D"/>
    <w:rsid w:val="141D8F8B"/>
    <w:rsid w:val="141DF792"/>
    <w:rsid w:val="141E40D6"/>
    <w:rsid w:val="141E480C"/>
    <w:rsid w:val="141E86B6"/>
    <w:rsid w:val="141EC2E9"/>
    <w:rsid w:val="141EEC1A"/>
    <w:rsid w:val="141F8C45"/>
    <w:rsid w:val="141FC3F6"/>
    <w:rsid w:val="141FC853"/>
    <w:rsid w:val="14206CFD"/>
    <w:rsid w:val="1420C892"/>
    <w:rsid w:val="142139DC"/>
    <w:rsid w:val="14216B44"/>
    <w:rsid w:val="1421836A"/>
    <w:rsid w:val="14219B7F"/>
    <w:rsid w:val="14233CE8"/>
    <w:rsid w:val="14236424"/>
    <w:rsid w:val="1423FA8D"/>
    <w:rsid w:val="14245E0F"/>
    <w:rsid w:val="14249FED"/>
    <w:rsid w:val="1424A9AC"/>
    <w:rsid w:val="14251BC4"/>
    <w:rsid w:val="14266FFB"/>
    <w:rsid w:val="1427D34B"/>
    <w:rsid w:val="1427F609"/>
    <w:rsid w:val="142841DB"/>
    <w:rsid w:val="14298640"/>
    <w:rsid w:val="142A1539"/>
    <w:rsid w:val="142A5F7F"/>
    <w:rsid w:val="142A79AA"/>
    <w:rsid w:val="142A8411"/>
    <w:rsid w:val="142ADE96"/>
    <w:rsid w:val="142C1C85"/>
    <w:rsid w:val="142C53B4"/>
    <w:rsid w:val="142C6149"/>
    <w:rsid w:val="142C74F5"/>
    <w:rsid w:val="142C896E"/>
    <w:rsid w:val="142C9FDC"/>
    <w:rsid w:val="142CAEC9"/>
    <w:rsid w:val="142D7C2F"/>
    <w:rsid w:val="142DA0E4"/>
    <w:rsid w:val="142DEBF6"/>
    <w:rsid w:val="142E443A"/>
    <w:rsid w:val="142E9789"/>
    <w:rsid w:val="142F4E88"/>
    <w:rsid w:val="142FE502"/>
    <w:rsid w:val="14315F9B"/>
    <w:rsid w:val="1431DA5C"/>
    <w:rsid w:val="143208F3"/>
    <w:rsid w:val="1432BE03"/>
    <w:rsid w:val="1432F8E4"/>
    <w:rsid w:val="14335634"/>
    <w:rsid w:val="1433C343"/>
    <w:rsid w:val="1435B9D5"/>
    <w:rsid w:val="14361183"/>
    <w:rsid w:val="143618D6"/>
    <w:rsid w:val="1436B7E6"/>
    <w:rsid w:val="1436E71E"/>
    <w:rsid w:val="143900A1"/>
    <w:rsid w:val="1439F138"/>
    <w:rsid w:val="143A6178"/>
    <w:rsid w:val="143C03D0"/>
    <w:rsid w:val="143C6EC4"/>
    <w:rsid w:val="143D3AEA"/>
    <w:rsid w:val="143D9321"/>
    <w:rsid w:val="143DB680"/>
    <w:rsid w:val="143DC269"/>
    <w:rsid w:val="143E11A7"/>
    <w:rsid w:val="143E1AF2"/>
    <w:rsid w:val="143EC4F2"/>
    <w:rsid w:val="143FA184"/>
    <w:rsid w:val="14402D95"/>
    <w:rsid w:val="14406C48"/>
    <w:rsid w:val="1441396D"/>
    <w:rsid w:val="1441BAA2"/>
    <w:rsid w:val="14422037"/>
    <w:rsid w:val="1442D992"/>
    <w:rsid w:val="1442DDEB"/>
    <w:rsid w:val="14431B6E"/>
    <w:rsid w:val="14445A98"/>
    <w:rsid w:val="1444C745"/>
    <w:rsid w:val="1444E350"/>
    <w:rsid w:val="14465D12"/>
    <w:rsid w:val="1446BA79"/>
    <w:rsid w:val="14486DF0"/>
    <w:rsid w:val="14488DCE"/>
    <w:rsid w:val="144895AC"/>
    <w:rsid w:val="1448BAC3"/>
    <w:rsid w:val="14490156"/>
    <w:rsid w:val="14491478"/>
    <w:rsid w:val="14493F35"/>
    <w:rsid w:val="14493F42"/>
    <w:rsid w:val="1449483C"/>
    <w:rsid w:val="1449AED0"/>
    <w:rsid w:val="1449DFFF"/>
    <w:rsid w:val="144AA1CB"/>
    <w:rsid w:val="144B0DBB"/>
    <w:rsid w:val="144B359B"/>
    <w:rsid w:val="144B7004"/>
    <w:rsid w:val="144C6732"/>
    <w:rsid w:val="144E1FB9"/>
    <w:rsid w:val="144E3969"/>
    <w:rsid w:val="1450EE3E"/>
    <w:rsid w:val="14515716"/>
    <w:rsid w:val="14516C71"/>
    <w:rsid w:val="1451969A"/>
    <w:rsid w:val="1452627F"/>
    <w:rsid w:val="14541429"/>
    <w:rsid w:val="14542264"/>
    <w:rsid w:val="14549AC2"/>
    <w:rsid w:val="1455DBC3"/>
    <w:rsid w:val="14560C5E"/>
    <w:rsid w:val="14565E8A"/>
    <w:rsid w:val="1456B002"/>
    <w:rsid w:val="1456CE4E"/>
    <w:rsid w:val="14575626"/>
    <w:rsid w:val="145842F7"/>
    <w:rsid w:val="1458C801"/>
    <w:rsid w:val="14594B1C"/>
    <w:rsid w:val="1459A9E6"/>
    <w:rsid w:val="145A153C"/>
    <w:rsid w:val="145A5E8A"/>
    <w:rsid w:val="145AA1D4"/>
    <w:rsid w:val="145AAAC4"/>
    <w:rsid w:val="145B31B2"/>
    <w:rsid w:val="145B73D0"/>
    <w:rsid w:val="145B806F"/>
    <w:rsid w:val="145B874D"/>
    <w:rsid w:val="145C3524"/>
    <w:rsid w:val="145C3AB3"/>
    <w:rsid w:val="145C4B0C"/>
    <w:rsid w:val="145CA864"/>
    <w:rsid w:val="145CA98F"/>
    <w:rsid w:val="145D8C14"/>
    <w:rsid w:val="145E1BB1"/>
    <w:rsid w:val="145E651E"/>
    <w:rsid w:val="145FC7C4"/>
    <w:rsid w:val="145FD228"/>
    <w:rsid w:val="145FE3F0"/>
    <w:rsid w:val="145FEDBF"/>
    <w:rsid w:val="145FFB70"/>
    <w:rsid w:val="14608107"/>
    <w:rsid w:val="1460A2CA"/>
    <w:rsid w:val="1461803F"/>
    <w:rsid w:val="1462B8EB"/>
    <w:rsid w:val="1462D3EA"/>
    <w:rsid w:val="1462FCBD"/>
    <w:rsid w:val="1463069D"/>
    <w:rsid w:val="14640C1D"/>
    <w:rsid w:val="14642CFF"/>
    <w:rsid w:val="1465D600"/>
    <w:rsid w:val="14660B42"/>
    <w:rsid w:val="1466630C"/>
    <w:rsid w:val="14688EFC"/>
    <w:rsid w:val="14693783"/>
    <w:rsid w:val="14694E43"/>
    <w:rsid w:val="14698D11"/>
    <w:rsid w:val="1469FE1C"/>
    <w:rsid w:val="146A3D7F"/>
    <w:rsid w:val="146A5C10"/>
    <w:rsid w:val="146B1D58"/>
    <w:rsid w:val="146C7EB5"/>
    <w:rsid w:val="146D5900"/>
    <w:rsid w:val="146DC979"/>
    <w:rsid w:val="146E8B42"/>
    <w:rsid w:val="146E8BAA"/>
    <w:rsid w:val="146EC5CB"/>
    <w:rsid w:val="146ECC37"/>
    <w:rsid w:val="146F0D34"/>
    <w:rsid w:val="146FE093"/>
    <w:rsid w:val="147248F8"/>
    <w:rsid w:val="14730FC7"/>
    <w:rsid w:val="14731F98"/>
    <w:rsid w:val="1473253C"/>
    <w:rsid w:val="14732EDE"/>
    <w:rsid w:val="147352AF"/>
    <w:rsid w:val="14735A60"/>
    <w:rsid w:val="1473760A"/>
    <w:rsid w:val="1475233D"/>
    <w:rsid w:val="147611A5"/>
    <w:rsid w:val="14764293"/>
    <w:rsid w:val="1476D8B9"/>
    <w:rsid w:val="1476E477"/>
    <w:rsid w:val="14771562"/>
    <w:rsid w:val="14772C28"/>
    <w:rsid w:val="1477B427"/>
    <w:rsid w:val="1477B839"/>
    <w:rsid w:val="1477B8DC"/>
    <w:rsid w:val="14791F8B"/>
    <w:rsid w:val="147941B4"/>
    <w:rsid w:val="147A80D2"/>
    <w:rsid w:val="147AF346"/>
    <w:rsid w:val="147B3701"/>
    <w:rsid w:val="147C2597"/>
    <w:rsid w:val="147D8ED2"/>
    <w:rsid w:val="147FA29D"/>
    <w:rsid w:val="147FF7DA"/>
    <w:rsid w:val="14805EF0"/>
    <w:rsid w:val="14809836"/>
    <w:rsid w:val="1480A0C8"/>
    <w:rsid w:val="14814448"/>
    <w:rsid w:val="1481F0F8"/>
    <w:rsid w:val="1483574E"/>
    <w:rsid w:val="1484029B"/>
    <w:rsid w:val="1484323C"/>
    <w:rsid w:val="14844D50"/>
    <w:rsid w:val="1484B5A6"/>
    <w:rsid w:val="1484D242"/>
    <w:rsid w:val="1485528A"/>
    <w:rsid w:val="14855545"/>
    <w:rsid w:val="148562EE"/>
    <w:rsid w:val="1486D88C"/>
    <w:rsid w:val="14873BFA"/>
    <w:rsid w:val="1487B15D"/>
    <w:rsid w:val="1487CEBF"/>
    <w:rsid w:val="14886056"/>
    <w:rsid w:val="1488E8B4"/>
    <w:rsid w:val="14890C36"/>
    <w:rsid w:val="1489A15C"/>
    <w:rsid w:val="1489AA22"/>
    <w:rsid w:val="148AE1D1"/>
    <w:rsid w:val="148AF7DB"/>
    <w:rsid w:val="148B7557"/>
    <w:rsid w:val="148C2984"/>
    <w:rsid w:val="148C3ABC"/>
    <w:rsid w:val="148CA39F"/>
    <w:rsid w:val="148CBDE1"/>
    <w:rsid w:val="148CCF0D"/>
    <w:rsid w:val="148CE30A"/>
    <w:rsid w:val="148DA8A9"/>
    <w:rsid w:val="148DB260"/>
    <w:rsid w:val="148DE6F6"/>
    <w:rsid w:val="148F1C33"/>
    <w:rsid w:val="148F8C0A"/>
    <w:rsid w:val="14903CFF"/>
    <w:rsid w:val="14905264"/>
    <w:rsid w:val="1490C61C"/>
    <w:rsid w:val="1490E0D2"/>
    <w:rsid w:val="14911638"/>
    <w:rsid w:val="1491C0B6"/>
    <w:rsid w:val="14925F0B"/>
    <w:rsid w:val="1492673F"/>
    <w:rsid w:val="149299F8"/>
    <w:rsid w:val="14934DDC"/>
    <w:rsid w:val="1493CEFC"/>
    <w:rsid w:val="1493EC10"/>
    <w:rsid w:val="14948424"/>
    <w:rsid w:val="1494A4FA"/>
    <w:rsid w:val="1494A8F4"/>
    <w:rsid w:val="1494FFD0"/>
    <w:rsid w:val="14966B8F"/>
    <w:rsid w:val="149695B1"/>
    <w:rsid w:val="14970568"/>
    <w:rsid w:val="1497E8A4"/>
    <w:rsid w:val="1498906F"/>
    <w:rsid w:val="1498E27E"/>
    <w:rsid w:val="1498E576"/>
    <w:rsid w:val="1499F955"/>
    <w:rsid w:val="149AF020"/>
    <w:rsid w:val="149AF2E1"/>
    <w:rsid w:val="149B748B"/>
    <w:rsid w:val="149BFC71"/>
    <w:rsid w:val="149C82B9"/>
    <w:rsid w:val="149DBE87"/>
    <w:rsid w:val="149DD958"/>
    <w:rsid w:val="149DFA0A"/>
    <w:rsid w:val="149EDF08"/>
    <w:rsid w:val="149F0619"/>
    <w:rsid w:val="149F3AD5"/>
    <w:rsid w:val="149FA195"/>
    <w:rsid w:val="14A0C47C"/>
    <w:rsid w:val="14A0EED1"/>
    <w:rsid w:val="14A0FAF5"/>
    <w:rsid w:val="14A14888"/>
    <w:rsid w:val="14A183ED"/>
    <w:rsid w:val="14A18AEC"/>
    <w:rsid w:val="14A1AC27"/>
    <w:rsid w:val="14A20FC2"/>
    <w:rsid w:val="14A25487"/>
    <w:rsid w:val="14A5CA7F"/>
    <w:rsid w:val="14A5FDD1"/>
    <w:rsid w:val="14A643ED"/>
    <w:rsid w:val="14A654B7"/>
    <w:rsid w:val="14A68B65"/>
    <w:rsid w:val="14A71A25"/>
    <w:rsid w:val="14A85F6F"/>
    <w:rsid w:val="14A91AA9"/>
    <w:rsid w:val="14A9BC7D"/>
    <w:rsid w:val="14AA9BD5"/>
    <w:rsid w:val="14AAC739"/>
    <w:rsid w:val="14ABA8E1"/>
    <w:rsid w:val="14ABF09A"/>
    <w:rsid w:val="14AC0642"/>
    <w:rsid w:val="14AC15E9"/>
    <w:rsid w:val="14AC7513"/>
    <w:rsid w:val="14ADBE1A"/>
    <w:rsid w:val="14AE8067"/>
    <w:rsid w:val="14AEB277"/>
    <w:rsid w:val="14AEE065"/>
    <w:rsid w:val="14AF0500"/>
    <w:rsid w:val="14AF6BEC"/>
    <w:rsid w:val="14AF8C06"/>
    <w:rsid w:val="14AFB5A8"/>
    <w:rsid w:val="14B01E73"/>
    <w:rsid w:val="14B046AF"/>
    <w:rsid w:val="14B0A3A4"/>
    <w:rsid w:val="14B1B529"/>
    <w:rsid w:val="14B1C932"/>
    <w:rsid w:val="14B1FFE6"/>
    <w:rsid w:val="14B20A09"/>
    <w:rsid w:val="14B323D0"/>
    <w:rsid w:val="14B3A54A"/>
    <w:rsid w:val="14B417EB"/>
    <w:rsid w:val="14B43169"/>
    <w:rsid w:val="14B44C52"/>
    <w:rsid w:val="14B719FF"/>
    <w:rsid w:val="14B7C7CA"/>
    <w:rsid w:val="14B7CBDC"/>
    <w:rsid w:val="14B816A5"/>
    <w:rsid w:val="14B9864D"/>
    <w:rsid w:val="14B99398"/>
    <w:rsid w:val="14BB64C4"/>
    <w:rsid w:val="14BD4ACA"/>
    <w:rsid w:val="14BD57BC"/>
    <w:rsid w:val="14BD5B02"/>
    <w:rsid w:val="14BD9F06"/>
    <w:rsid w:val="14BDF647"/>
    <w:rsid w:val="14BEEFBD"/>
    <w:rsid w:val="14BFF196"/>
    <w:rsid w:val="14C06993"/>
    <w:rsid w:val="14C10D3E"/>
    <w:rsid w:val="14C1103F"/>
    <w:rsid w:val="14C15AD7"/>
    <w:rsid w:val="14C15E93"/>
    <w:rsid w:val="14C19E51"/>
    <w:rsid w:val="14C1ADD0"/>
    <w:rsid w:val="14C27416"/>
    <w:rsid w:val="14C2DB94"/>
    <w:rsid w:val="14C3A9E3"/>
    <w:rsid w:val="14C3C0AC"/>
    <w:rsid w:val="14C405BB"/>
    <w:rsid w:val="14C423AA"/>
    <w:rsid w:val="14C4436D"/>
    <w:rsid w:val="14C6021E"/>
    <w:rsid w:val="14C65144"/>
    <w:rsid w:val="14C6EF1B"/>
    <w:rsid w:val="14C70DDA"/>
    <w:rsid w:val="14C97CBA"/>
    <w:rsid w:val="14CA058C"/>
    <w:rsid w:val="14CA0605"/>
    <w:rsid w:val="14CA2D51"/>
    <w:rsid w:val="14CAAEAB"/>
    <w:rsid w:val="14CB1771"/>
    <w:rsid w:val="14CB34A5"/>
    <w:rsid w:val="14CBD22B"/>
    <w:rsid w:val="14CC12E8"/>
    <w:rsid w:val="14CC13CF"/>
    <w:rsid w:val="14CC15BE"/>
    <w:rsid w:val="14CC9B94"/>
    <w:rsid w:val="14CD23EF"/>
    <w:rsid w:val="14CD384D"/>
    <w:rsid w:val="14CD3F25"/>
    <w:rsid w:val="14CD6AE5"/>
    <w:rsid w:val="14CDF6B0"/>
    <w:rsid w:val="14CDFF55"/>
    <w:rsid w:val="14CE2B0E"/>
    <w:rsid w:val="14CF21CB"/>
    <w:rsid w:val="14CF2CF8"/>
    <w:rsid w:val="14CF56CB"/>
    <w:rsid w:val="14CF62DA"/>
    <w:rsid w:val="14CFA065"/>
    <w:rsid w:val="14D1801C"/>
    <w:rsid w:val="14D1810F"/>
    <w:rsid w:val="14D26148"/>
    <w:rsid w:val="14D3E8D3"/>
    <w:rsid w:val="14D4BFAF"/>
    <w:rsid w:val="14D57681"/>
    <w:rsid w:val="14D627AB"/>
    <w:rsid w:val="14D692C3"/>
    <w:rsid w:val="14D6A634"/>
    <w:rsid w:val="14D7F944"/>
    <w:rsid w:val="14D8D42E"/>
    <w:rsid w:val="14D91281"/>
    <w:rsid w:val="14D94266"/>
    <w:rsid w:val="14D9868A"/>
    <w:rsid w:val="14D99DAE"/>
    <w:rsid w:val="14DA8677"/>
    <w:rsid w:val="14DB41F1"/>
    <w:rsid w:val="14DB6631"/>
    <w:rsid w:val="14DC2EA5"/>
    <w:rsid w:val="14DD7709"/>
    <w:rsid w:val="14DDB92F"/>
    <w:rsid w:val="14DE3D14"/>
    <w:rsid w:val="14DF0122"/>
    <w:rsid w:val="14DF2FD0"/>
    <w:rsid w:val="14DF6317"/>
    <w:rsid w:val="14DFB12A"/>
    <w:rsid w:val="14E037CA"/>
    <w:rsid w:val="14E1260B"/>
    <w:rsid w:val="14E266FD"/>
    <w:rsid w:val="14E46FD1"/>
    <w:rsid w:val="14E50FB3"/>
    <w:rsid w:val="14E56B86"/>
    <w:rsid w:val="14E6364E"/>
    <w:rsid w:val="14E718AD"/>
    <w:rsid w:val="14E8912C"/>
    <w:rsid w:val="14E9B43C"/>
    <w:rsid w:val="14EA06A3"/>
    <w:rsid w:val="14EA1576"/>
    <w:rsid w:val="14EA3109"/>
    <w:rsid w:val="14EA41A5"/>
    <w:rsid w:val="14EB94A5"/>
    <w:rsid w:val="14EBBAF6"/>
    <w:rsid w:val="14EBDBD2"/>
    <w:rsid w:val="14EC529D"/>
    <w:rsid w:val="14EC6DDA"/>
    <w:rsid w:val="14EC873B"/>
    <w:rsid w:val="14ED481A"/>
    <w:rsid w:val="14EDE512"/>
    <w:rsid w:val="14EE5B54"/>
    <w:rsid w:val="14EE60B4"/>
    <w:rsid w:val="14EEECDA"/>
    <w:rsid w:val="14EEFFF3"/>
    <w:rsid w:val="14EF9EF6"/>
    <w:rsid w:val="14EFE00D"/>
    <w:rsid w:val="14F08232"/>
    <w:rsid w:val="14F1A65A"/>
    <w:rsid w:val="14F1D1B6"/>
    <w:rsid w:val="14F213AC"/>
    <w:rsid w:val="14F260E6"/>
    <w:rsid w:val="14F2CA7E"/>
    <w:rsid w:val="14F2D922"/>
    <w:rsid w:val="14F2DE4B"/>
    <w:rsid w:val="14F2DF5D"/>
    <w:rsid w:val="14F3E5EF"/>
    <w:rsid w:val="14F4580C"/>
    <w:rsid w:val="14F4A4D7"/>
    <w:rsid w:val="14F51E77"/>
    <w:rsid w:val="14F58652"/>
    <w:rsid w:val="14F65645"/>
    <w:rsid w:val="14F67B48"/>
    <w:rsid w:val="14F759E6"/>
    <w:rsid w:val="14F7B271"/>
    <w:rsid w:val="14F83D62"/>
    <w:rsid w:val="14F93158"/>
    <w:rsid w:val="14F95AD6"/>
    <w:rsid w:val="14FA13E9"/>
    <w:rsid w:val="14FA26DF"/>
    <w:rsid w:val="14FA94D3"/>
    <w:rsid w:val="14FC193F"/>
    <w:rsid w:val="14FD318E"/>
    <w:rsid w:val="14FD7B04"/>
    <w:rsid w:val="14FDD652"/>
    <w:rsid w:val="14FDFEB1"/>
    <w:rsid w:val="14FED17D"/>
    <w:rsid w:val="14FEDD6F"/>
    <w:rsid w:val="15007329"/>
    <w:rsid w:val="1500C554"/>
    <w:rsid w:val="150106EC"/>
    <w:rsid w:val="1501325A"/>
    <w:rsid w:val="15014CB3"/>
    <w:rsid w:val="1501901B"/>
    <w:rsid w:val="1501D980"/>
    <w:rsid w:val="1502494B"/>
    <w:rsid w:val="15026C47"/>
    <w:rsid w:val="1502BCA9"/>
    <w:rsid w:val="15031DCE"/>
    <w:rsid w:val="1503BDE0"/>
    <w:rsid w:val="150493DE"/>
    <w:rsid w:val="15050D30"/>
    <w:rsid w:val="1505BC5C"/>
    <w:rsid w:val="1506F34B"/>
    <w:rsid w:val="15081051"/>
    <w:rsid w:val="15089FAE"/>
    <w:rsid w:val="1509ED30"/>
    <w:rsid w:val="150A5AF6"/>
    <w:rsid w:val="150ABD01"/>
    <w:rsid w:val="150BF265"/>
    <w:rsid w:val="150C5496"/>
    <w:rsid w:val="150CCCD3"/>
    <w:rsid w:val="150DB025"/>
    <w:rsid w:val="150E4C4A"/>
    <w:rsid w:val="150F241F"/>
    <w:rsid w:val="150F62B7"/>
    <w:rsid w:val="150FA364"/>
    <w:rsid w:val="150FD6F4"/>
    <w:rsid w:val="150FE1A2"/>
    <w:rsid w:val="150FE88F"/>
    <w:rsid w:val="1510CED8"/>
    <w:rsid w:val="151154BE"/>
    <w:rsid w:val="1511ECCC"/>
    <w:rsid w:val="1512E022"/>
    <w:rsid w:val="1513859D"/>
    <w:rsid w:val="1515083C"/>
    <w:rsid w:val="1515CBEA"/>
    <w:rsid w:val="151645C2"/>
    <w:rsid w:val="151662B5"/>
    <w:rsid w:val="1516BBFB"/>
    <w:rsid w:val="15174AA5"/>
    <w:rsid w:val="15179866"/>
    <w:rsid w:val="1517AF58"/>
    <w:rsid w:val="1517AFCD"/>
    <w:rsid w:val="1517BF7A"/>
    <w:rsid w:val="1517FBA8"/>
    <w:rsid w:val="15187596"/>
    <w:rsid w:val="15188C5F"/>
    <w:rsid w:val="1518AB15"/>
    <w:rsid w:val="1518D99F"/>
    <w:rsid w:val="1519E96C"/>
    <w:rsid w:val="151B9AE8"/>
    <w:rsid w:val="151BE8E8"/>
    <w:rsid w:val="151C9521"/>
    <w:rsid w:val="151D2E3D"/>
    <w:rsid w:val="151D43BC"/>
    <w:rsid w:val="151DF7B2"/>
    <w:rsid w:val="151EA9E1"/>
    <w:rsid w:val="151EAC9C"/>
    <w:rsid w:val="151F075C"/>
    <w:rsid w:val="152065BE"/>
    <w:rsid w:val="15208431"/>
    <w:rsid w:val="152161C7"/>
    <w:rsid w:val="1521CDDD"/>
    <w:rsid w:val="1521EC65"/>
    <w:rsid w:val="15223ACD"/>
    <w:rsid w:val="15226057"/>
    <w:rsid w:val="152282B9"/>
    <w:rsid w:val="1522A535"/>
    <w:rsid w:val="1524622B"/>
    <w:rsid w:val="1524A54C"/>
    <w:rsid w:val="1524B951"/>
    <w:rsid w:val="15257B16"/>
    <w:rsid w:val="15258F00"/>
    <w:rsid w:val="1525F549"/>
    <w:rsid w:val="15268E54"/>
    <w:rsid w:val="1526A7B5"/>
    <w:rsid w:val="1526C3E7"/>
    <w:rsid w:val="152704D2"/>
    <w:rsid w:val="15273EC5"/>
    <w:rsid w:val="15279360"/>
    <w:rsid w:val="15291785"/>
    <w:rsid w:val="1529514D"/>
    <w:rsid w:val="1529A29E"/>
    <w:rsid w:val="152A3C3A"/>
    <w:rsid w:val="152A812E"/>
    <w:rsid w:val="152B2F0D"/>
    <w:rsid w:val="152B9007"/>
    <w:rsid w:val="152BF0C1"/>
    <w:rsid w:val="152D150B"/>
    <w:rsid w:val="152DB065"/>
    <w:rsid w:val="152DBEC3"/>
    <w:rsid w:val="152DDB3A"/>
    <w:rsid w:val="152DEF76"/>
    <w:rsid w:val="152E3900"/>
    <w:rsid w:val="152F466F"/>
    <w:rsid w:val="1530452A"/>
    <w:rsid w:val="1530ED35"/>
    <w:rsid w:val="15311056"/>
    <w:rsid w:val="15318CE2"/>
    <w:rsid w:val="1531E841"/>
    <w:rsid w:val="1531FAAB"/>
    <w:rsid w:val="15325471"/>
    <w:rsid w:val="15327839"/>
    <w:rsid w:val="1532A19D"/>
    <w:rsid w:val="15338704"/>
    <w:rsid w:val="1533ACC4"/>
    <w:rsid w:val="1533B315"/>
    <w:rsid w:val="1533EFB8"/>
    <w:rsid w:val="15342595"/>
    <w:rsid w:val="153531DD"/>
    <w:rsid w:val="1535706D"/>
    <w:rsid w:val="153570D8"/>
    <w:rsid w:val="1535C41C"/>
    <w:rsid w:val="15366D89"/>
    <w:rsid w:val="1536A1E6"/>
    <w:rsid w:val="15370A3F"/>
    <w:rsid w:val="1539869C"/>
    <w:rsid w:val="153A1CCF"/>
    <w:rsid w:val="153ADCC5"/>
    <w:rsid w:val="153AE53F"/>
    <w:rsid w:val="153BA963"/>
    <w:rsid w:val="153D6FFE"/>
    <w:rsid w:val="153DBC05"/>
    <w:rsid w:val="153E1F37"/>
    <w:rsid w:val="153E7588"/>
    <w:rsid w:val="153F267F"/>
    <w:rsid w:val="153FE6CC"/>
    <w:rsid w:val="15408338"/>
    <w:rsid w:val="1540909B"/>
    <w:rsid w:val="1540EEE5"/>
    <w:rsid w:val="1541F358"/>
    <w:rsid w:val="15427D57"/>
    <w:rsid w:val="15429113"/>
    <w:rsid w:val="1542AE3B"/>
    <w:rsid w:val="1542BFA8"/>
    <w:rsid w:val="1544FE49"/>
    <w:rsid w:val="1545911F"/>
    <w:rsid w:val="15459DB6"/>
    <w:rsid w:val="1545A952"/>
    <w:rsid w:val="154610AB"/>
    <w:rsid w:val="1546B109"/>
    <w:rsid w:val="1547177F"/>
    <w:rsid w:val="15471A6F"/>
    <w:rsid w:val="154755AA"/>
    <w:rsid w:val="15478FAA"/>
    <w:rsid w:val="15483727"/>
    <w:rsid w:val="1548DD14"/>
    <w:rsid w:val="154924CE"/>
    <w:rsid w:val="154AA4CB"/>
    <w:rsid w:val="154ABF59"/>
    <w:rsid w:val="154B9AEC"/>
    <w:rsid w:val="154BA609"/>
    <w:rsid w:val="154BD1D2"/>
    <w:rsid w:val="154D9FB1"/>
    <w:rsid w:val="154E1A69"/>
    <w:rsid w:val="154E5DDB"/>
    <w:rsid w:val="154EA2B1"/>
    <w:rsid w:val="154EA34E"/>
    <w:rsid w:val="154EB81E"/>
    <w:rsid w:val="154F033D"/>
    <w:rsid w:val="154F3BA5"/>
    <w:rsid w:val="154F802B"/>
    <w:rsid w:val="154F9835"/>
    <w:rsid w:val="154F9D69"/>
    <w:rsid w:val="154FCF62"/>
    <w:rsid w:val="15520884"/>
    <w:rsid w:val="15521512"/>
    <w:rsid w:val="15522ADD"/>
    <w:rsid w:val="15523815"/>
    <w:rsid w:val="1552ECDD"/>
    <w:rsid w:val="1553BCF5"/>
    <w:rsid w:val="1553F20C"/>
    <w:rsid w:val="15548F5F"/>
    <w:rsid w:val="1555696F"/>
    <w:rsid w:val="1555AC2F"/>
    <w:rsid w:val="15561866"/>
    <w:rsid w:val="15562F31"/>
    <w:rsid w:val="15574CE2"/>
    <w:rsid w:val="15585975"/>
    <w:rsid w:val="15589252"/>
    <w:rsid w:val="15589669"/>
    <w:rsid w:val="1558E473"/>
    <w:rsid w:val="1559A4ED"/>
    <w:rsid w:val="1559FB77"/>
    <w:rsid w:val="155A23C1"/>
    <w:rsid w:val="155A68B1"/>
    <w:rsid w:val="155AF8F6"/>
    <w:rsid w:val="155BB8A3"/>
    <w:rsid w:val="155BCEBE"/>
    <w:rsid w:val="155BED73"/>
    <w:rsid w:val="155C1A7F"/>
    <w:rsid w:val="155C746A"/>
    <w:rsid w:val="155CBF6E"/>
    <w:rsid w:val="155DBA62"/>
    <w:rsid w:val="155F193D"/>
    <w:rsid w:val="155F7E7B"/>
    <w:rsid w:val="15606005"/>
    <w:rsid w:val="1560645F"/>
    <w:rsid w:val="15609663"/>
    <w:rsid w:val="1560AFFB"/>
    <w:rsid w:val="15611125"/>
    <w:rsid w:val="1563BA0D"/>
    <w:rsid w:val="1563FF1E"/>
    <w:rsid w:val="15649EAE"/>
    <w:rsid w:val="1564AB9E"/>
    <w:rsid w:val="15651D0A"/>
    <w:rsid w:val="1565438D"/>
    <w:rsid w:val="15655A5F"/>
    <w:rsid w:val="156561B5"/>
    <w:rsid w:val="15657ECC"/>
    <w:rsid w:val="1565E82C"/>
    <w:rsid w:val="15668B69"/>
    <w:rsid w:val="1566B8AB"/>
    <w:rsid w:val="156A2133"/>
    <w:rsid w:val="156B5320"/>
    <w:rsid w:val="156B971D"/>
    <w:rsid w:val="156C4945"/>
    <w:rsid w:val="156D06BE"/>
    <w:rsid w:val="156D9FAC"/>
    <w:rsid w:val="156E2029"/>
    <w:rsid w:val="156EE7CB"/>
    <w:rsid w:val="156F1037"/>
    <w:rsid w:val="156F5321"/>
    <w:rsid w:val="156F871B"/>
    <w:rsid w:val="156F8AC2"/>
    <w:rsid w:val="156FDAA9"/>
    <w:rsid w:val="15701004"/>
    <w:rsid w:val="1570CBD7"/>
    <w:rsid w:val="1570F29B"/>
    <w:rsid w:val="1571E386"/>
    <w:rsid w:val="15722E7C"/>
    <w:rsid w:val="1572C7BB"/>
    <w:rsid w:val="157314D6"/>
    <w:rsid w:val="157341B0"/>
    <w:rsid w:val="157395B0"/>
    <w:rsid w:val="1573AFFF"/>
    <w:rsid w:val="1573EC13"/>
    <w:rsid w:val="15741D37"/>
    <w:rsid w:val="15743361"/>
    <w:rsid w:val="157440F6"/>
    <w:rsid w:val="15760FA1"/>
    <w:rsid w:val="157611D2"/>
    <w:rsid w:val="15762ABA"/>
    <w:rsid w:val="1576A451"/>
    <w:rsid w:val="1576DFA7"/>
    <w:rsid w:val="15778242"/>
    <w:rsid w:val="1577CEBA"/>
    <w:rsid w:val="1577D805"/>
    <w:rsid w:val="1577DBA4"/>
    <w:rsid w:val="15781F12"/>
    <w:rsid w:val="15784AC3"/>
    <w:rsid w:val="1579514C"/>
    <w:rsid w:val="157A1AD3"/>
    <w:rsid w:val="157A2EFC"/>
    <w:rsid w:val="157A4B05"/>
    <w:rsid w:val="157B073D"/>
    <w:rsid w:val="157B4ACA"/>
    <w:rsid w:val="157C6EC6"/>
    <w:rsid w:val="157CDA58"/>
    <w:rsid w:val="157CF0BB"/>
    <w:rsid w:val="157D3350"/>
    <w:rsid w:val="157DB8EA"/>
    <w:rsid w:val="157DCDE1"/>
    <w:rsid w:val="157E1890"/>
    <w:rsid w:val="157E6BAE"/>
    <w:rsid w:val="157F0987"/>
    <w:rsid w:val="157F65B2"/>
    <w:rsid w:val="157FF500"/>
    <w:rsid w:val="15800558"/>
    <w:rsid w:val="15801629"/>
    <w:rsid w:val="158073D4"/>
    <w:rsid w:val="1580BB4C"/>
    <w:rsid w:val="15815582"/>
    <w:rsid w:val="1581627A"/>
    <w:rsid w:val="1581EBB2"/>
    <w:rsid w:val="15826B77"/>
    <w:rsid w:val="1582D70C"/>
    <w:rsid w:val="1583F18A"/>
    <w:rsid w:val="15843843"/>
    <w:rsid w:val="1584B286"/>
    <w:rsid w:val="158507A9"/>
    <w:rsid w:val="15851B45"/>
    <w:rsid w:val="15859064"/>
    <w:rsid w:val="1585D14D"/>
    <w:rsid w:val="1585FE7E"/>
    <w:rsid w:val="1586F018"/>
    <w:rsid w:val="158857EF"/>
    <w:rsid w:val="158997B1"/>
    <w:rsid w:val="158A3A5C"/>
    <w:rsid w:val="158A457E"/>
    <w:rsid w:val="158A6082"/>
    <w:rsid w:val="158AB97F"/>
    <w:rsid w:val="158B42C6"/>
    <w:rsid w:val="158CC4C8"/>
    <w:rsid w:val="158D63FB"/>
    <w:rsid w:val="158D949B"/>
    <w:rsid w:val="158DB776"/>
    <w:rsid w:val="158FCFB6"/>
    <w:rsid w:val="1590FF27"/>
    <w:rsid w:val="1591B495"/>
    <w:rsid w:val="1592695A"/>
    <w:rsid w:val="159337B0"/>
    <w:rsid w:val="15936D3A"/>
    <w:rsid w:val="15937BEA"/>
    <w:rsid w:val="1593A4D5"/>
    <w:rsid w:val="1593BD73"/>
    <w:rsid w:val="15954755"/>
    <w:rsid w:val="159578E0"/>
    <w:rsid w:val="1595DC50"/>
    <w:rsid w:val="159750A7"/>
    <w:rsid w:val="1597A1C9"/>
    <w:rsid w:val="1598A563"/>
    <w:rsid w:val="159B228B"/>
    <w:rsid w:val="159B6372"/>
    <w:rsid w:val="159B94BA"/>
    <w:rsid w:val="159BE5BF"/>
    <w:rsid w:val="159D9917"/>
    <w:rsid w:val="159E5F39"/>
    <w:rsid w:val="159E7AEE"/>
    <w:rsid w:val="159ECB82"/>
    <w:rsid w:val="159ED46B"/>
    <w:rsid w:val="15A0205C"/>
    <w:rsid w:val="15A038D5"/>
    <w:rsid w:val="15A1207A"/>
    <w:rsid w:val="15A1CE38"/>
    <w:rsid w:val="15A2236B"/>
    <w:rsid w:val="15A2437A"/>
    <w:rsid w:val="15A380CC"/>
    <w:rsid w:val="15A3D93C"/>
    <w:rsid w:val="15A46332"/>
    <w:rsid w:val="15A563EA"/>
    <w:rsid w:val="15A58060"/>
    <w:rsid w:val="15A5A152"/>
    <w:rsid w:val="15A5C636"/>
    <w:rsid w:val="15A5E0E8"/>
    <w:rsid w:val="15A6F816"/>
    <w:rsid w:val="15A7BC92"/>
    <w:rsid w:val="15A881E4"/>
    <w:rsid w:val="15A8E179"/>
    <w:rsid w:val="15A8F4B7"/>
    <w:rsid w:val="15A8FEB0"/>
    <w:rsid w:val="15A96DFA"/>
    <w:rsid w:val="15AA5D25"/>
    <w:rsid w:val="15AA8975"/>
    <w:rsid w:val="15AA9ADC"/>
    <w:rsid w:val="15AA9EE6"/>
    <w:rsid w:val="15AB2B99"/>
    <w:rsid w:val="15AB7FFD"/>
    <w:rsid w:val="15AC4065"/>
    <w:rsid w:val="15AC54FB"/>
    <w:rsid w:val="15ACB4A9"/>
    <w:rsid w:val="15AD4351"/>
    <w:rsid w:val="15AE0B8D"/>
    <w:rsid w:val="15AE3AD1"/>
    <w:rsid w:val="15AE4D3B"/>
    <w:rsid w:val="15AF36B3"/>
    <w:rsid w:val="15AF799D"/>
    <w:rsid w:val="15AFB9BB"/>
    <w:rsid w:val="15AFE523"/>
    <w:rsid w:val="15B1C252"/>
    <w:rsid w:val="15B2A786"/>
    <w:rsid w:val="15B2AEBC"/>
    <w:rsid w:val="15B3E876"/>
    <w:rsid w:val="15B594E4"/>
    <w:rsid w:val="15B618DB"/>
    <w:rsid w:val="15B6761E"/>
    <w:rsid w:val="15B6E72C"/>
    <w:rsid w:val="15B74583"/>
    <w:rsid w:val="15B79BE2"/>
    <w:rsid w:val="15B80D62"/>
    <w:rsid w:val="15B89256"/>
    <w:rsid w:val="15B8A065"/>
    <w:rsid w:val="15B94E0E"/>
    <w:rsid w:val="15B957A1"/>
    <w:rsid w:val="15B981EB"/>
    <w:rsid w:val="15BA85BB"/>
    <w:rsid w:val="15BA9709"/>
    <w:rsid w:val="15BADEAD"/>
    <w:rsid w:val="15BB9024"/>
    <w:rsid w:val="15BB9E53"/>
    <w:rsid w:val="15BCB835"/>
    <w:rsid w:val="15BCF4E0"/>
    <w:rsid w:val="15BD6AF6"/>
    <w:rsid w:val="15BD909C"/>
    <w:rsid w:val="15BE673A"/>
    <w:rsid w:val="15BE7D31"/>
    <w:rsid w:val="15BEECE4"/>
    <w:rsid w:val="15BEFD7C"/>
    <w:rsid w:val="15BF5DA4"/>
    <w:rsid w:val="15C05B37"/>
    <w:rsid w:val="15C11D27"/>
    <w:rsid w:val="15C1E665"/>
    <w:rsid w:val="15C29C57"/>
    <w:rsid w:val="15C2ECB5"/>
    <w:rsid w:val="15C2F382"/>
    <w:rsid w:val="15C3A932"/>
    <w:rsid w:val="15C3B793"/>
    <w:rsid w:val="15C3CDB7"/>
    <w:rsid w:val="15C44933"/>
    <w:rsid w:val="15C47529"/>
    <w:rsid w:val="15C4FC51"/>
    <w:rsid w:val="15C60852"/>
    <w:rsid w:val="15C668CC"/>
    <w:rsid w:val="15C7DCFB"/>
    <w:rsid w:val="15C85033"/>
    <w:rsid w:val="15C896D0"/>
    <w:rsid w:val="15C8A430"/>
    <w:rsid w:val="15C8F2DE"/>
    <w:rsid w:val="15C97AD5"/>
    <w:rsid w:val="15C9FFC7"/>
    <w:rsid w:val="15CA0C77"/>
    <w:rsid w:val="15CA956B"/>
    <w:rsid w:val="15CB50C2"/>
    <w:rsid w:val="15CB7179"/>
    <w:rsid w:val="15CB8E5C"/>
    <w:rsid w:val="15CC9CD6"/>
    <w:rsid w:val="15CDA018"/>
    <w:rsid w:val="15CDB75B"/>
    <w:rsid w:val="15CE0581"/>
    <w:rsid w:val="15CE176E"/>
    <w:rsid w:val="15CEF0EE"/>
    <w:rsid w:val="15CF37D0"/>
    <w:rsid w:val="15CFF8AF"/>
    <w:rsid w:val="15D00497"/>
    <w:rsid w:val="15D01203"/>
    <w:rsid w:val="15D09BD2"/>
    <w:rsid w:val="15D0B850"/>
    <w:rsid w:val="15D1304A"/>
    <w:rsid w:val="15D22AA1"/>
    <w:rsid w:val="15D24924"/>
    <w:rsid w:val="15D259F1"/>
    <w:rsid w:val="15D2A922"/>
    <w:rsid w:val="15D30866"/>
    <w:rsid w:val="15D3C0D0"/>
    <w:rsid w:val="15D41ECA"/>
    <w:rsid w:val="15D46699"/>
    <w:rsid w:val="15D4E716"/>
    <w:rsid w:val="15D59BF8"/>
    <w:rsid w:val="15D620BA"/>
    <w:rsid w:val="15D6FA7F"/>
    <w:rsid w:val="15D732F1"/>
    <w:rsid w:val="15D752E6"/>
    <w:rsid w:val="15D77110"/>
    <w:rsid w:val="15D82944"/>
    <w:rsid w:val="15D84922"/>
    <w:rsid w:val="15D85306"/>
    <w:rsid w:val="15D85C5C"/>
    <w:rsid w:val="15D86292"/>
    <w:rsid w:val="15D8A4C3"/>
    <w:rsid w:val="15D8D6FC"/>
    <w:rsid w:val="15DA035A"/>
    <w:rsid w:val="15DA5119"/>
    <w:rsid w:val="15DAB037"/>
    <w:rsid w:val="15DB9D4D"/>
    <w:rsid w:val="15DBB97D"/>
    <w:rsid w:val="15DCB4DD"/>
    <w:rsid w:val="15DD4C08"/>
    <w:rsid w:val="15DD7AE5"/>
    <w:rsid w:val="15DDC41C"/>
    <w:rsid w:val="15DE8BE8"/>
    <w:rsid w:val="15DEAD45"/>
    <w:rsid w:val="15DEBBE3"/>
    <w:rsid w:val="15DFC610"/>
    <w:rsid w:val="15E01919"/>
    <w:rsid w:val="15E025F2"/>
    <w:rsid w:val="15E03669"/>
    <w:rsid w:val="15E10E9F"/>
    <w:rsid w:val="15E11BD7"/>
    <w:rsid w:val="15E18D11"/>
    <w:rsid w:val="15E1EC8D"/>
    <w:rsid w:val="15E1FCCD"/>
    <w:rsid w:val="15E2E837"/>
    <w:rsid w:val="15E31630"/>
    <w:rsid w:val="15E3CB04"/>
    <w:rsid w:val="15E4541D"/>
    <w:rsid w:val="15E5E9CA"/>
    <w:rsid w:val="15E5F7E6"/>
    <w:rsid w:val="15E62D1A"/>
    <w:rsid w:val="15E722CA"/>
    <w:rsid w:val="15E7258E"/>
    <w:rsid w:val="15E7C777"/>
    <w:rsid w:val="15E8271E"/>
    <w:rsid w:val="15E8527F"/>
    <w:rsid w:val="15E89ED3"/>
    <w:rsid w:val="15E8A2AD"/>
    <w:rsid w:val="15E9A844"/>
    <w:rsid w:val="15E9E089"/>
    <w:rsid w:val="15E9E09F"/>
    <w:rsid w:val="15E9FF19"/>
    <w:rsid w:val="15EA45E7"/>
    <w:rsid w:val="15EB566B"/>
    <w:rsid w:val="15EB5EA7"/>
    <w:rsid w:val="15EBD613"/>
    <w:rsid w:val="15EBDF29"/>
    <w:rsid w:val="15EC1021"/>
    <w:rsid w:val="15EC1328"/>
    <w:rsid w:val="15ECA302"/>
    <w:rsid w:val="15ECC924"/>
    <w:rsid w:val="15ECF631"/>
    <w:rsid w:val="15ED584F"/>
    <w:rsid w:val="15EDC26D"/>
    <w:rsid w:val="15EEB908"/>
    <w:rsid w:val="15EF7F64"/>
    <w:rsid w:val="15F03F3D"/>
    <w:rsid w:val="15F0AB9D"/>
    <w:rsid w:val="15F0F050"/>
    <w:rsid w:val="15F1D626"/>
    <w:rsid w:val="15F21ABC"/>
    <w:rsid w:val="15F234E8"/>
    <w:rsid w:val="15F23559"/>
    <w:rsid w:val="15F280D3"/>
    <w:rsid w:val="15F2EEA6"/>
    <w:rsid w:val="15F3113C"/>
    <w:rsid w:val="15F3F854"/>
    <w:rsid w:val="15F408DC"/>
    <w:rsid w:val="15F4FDF0"/>
    <w:rsid w:val="15F57B2E"/>
    <w:rsid w:val="15F5A238"/>
    <w:rsid w:val="15F5FE6F"/>
    <w:rsid w:val="15F62DC7"/>
    <w:rsid w:val="15F65CFA"/>
    <w:rsid w:val="15F74D8A"/>
    <w:rsid w:val="15F79AB3"/>
    <w:rsid w:val="15F7E6F1"/>
    <w:rsid w:val="15F80CC5"/>
    <w:rsid w:val="15F8AA11"/>
    <w:rsid w:val="15F8D388"/>
    <w:rsid w:val="15F8E37E"/>
    <w:rsid w:val="15F9B2C2"/>
    <w:rsid w:val="15FA8629"/>
    <w:rsid w:val="15FB172A"/>
    <w:rsid w:val="15FBA4E2"/>
    <w:rsid w:val="15FC0366"/>
    <w:rsid w:val="15FC33C6"/>
    <w:rsid w:val="15FC54CC"/>
    <w:rsid w:val="15FCCB4B"/>
    <w:rsid w:val="15FD285A"/>
    <w:rsid w:val="15FDDE47"/>
    <w:rsid w:val="15FEA6C1"/>
    <w:rsid w:val="15FF3D9E"/>
    <w:rsid w:val="15FFF22E"/>
    <w:rsid w:val="160020E6"/>
    <w:rsid w:val="1602F9C6"/>
    <w:rsid w:val="160320F7"/>
    <w:rsid w:val="160343CA"/>
    <w:rsid w:val="1603651B"/>
    <w:rsid w:val="16036C72"/>
    <w:rsid w:val="1603837B"/>
    <w:rsid w:val="1603A2D0"/>
    <w:rsid w:val="1603C0D8"/>
    <w:rsid w:val="1603CE6F"/>
    <w:rsid w:val="1604D492"/>
    <w:rsid w:val="1604DC09"/>
    <w:rsid w:val="1604E59F"/>
    <w:rsid w:val="1605C388"/>
    <w:rsid w:val="160665B7"/>
    <w:rsid w:val="16067CF2"/>
    <w:rsid w:val="16078160"/>
    <w:rsid w:val="1607868A"/>
    <w:rsid w:val="1607AC22"/>
    <w:rsid w:val="1607EAC8"/>
    <w:rsid w:val="16084B45"/>
    <w:rsid w:val="1608936D"/>
    <w:rsid w:val="160915B0"/>
    <w:rsid w:val="160AB8DE"/>
    <w:rsid w:val="160AC633"/>
    <w:rsid w:val="160AC653"/>
    <w:rsid w:val="160CA4AD"/>
    <w:rsid w:val="160D287E"/>
    <w:rsid w:val="160D3139"/>
    <w:rsid w:val="160DCC84"/>
    <w:rsid w:val="160E50F2"/>
    <w:rsid w:val="160ECF18"/>
    <w:rsid w:val="161008B2"/>
    <w:rsid w:val="16102766"/>
    <w:rsid w:val="1610293E"/>
    <w:rsid w:val="1610B0E9"/>
    <w:rsid w:val="1610C6F0"/>
    <w:rsid w:val="1611268A"/>
    <w:rsid w:val="16113252"/>
    <w:rsid w:val="161132B3"/>
    <w:rsid w:val="161275D3"/>
    <w:rsid w:val="1612C448"/>
    <w:rsid w:val="1613220B"/>
    <w:rsid w:val="16136ABE"/>
    <w:rsid w:val="161439F1"/>
    <w:rsid w:val="16147874"/>
    <w:rsid w:val="161484D6"/>
    <w:rsid w:val="161488F4"/>
    <w:rsid w:val="1614B5A9"/>
    <w:rsid w:val="1615A6C2"/>
    <w:rsid w:val="1615D699"/>
    <w:rsid w:val="1615DB25"/>
    <w:rsid w:val="1616EDE2"/>
    <w:rsid w:val="161718B4"/>
    <w:rsid w:val="1617C5ED"/>
    <w:rsid w:val="1617E2CF"/>
    <w:rsid w:val="1617FE3B"/>
    <w:rsid w:val="16187D70"/>
    <w:rsid w:val="1618A217"/>
    <w:rsid w:val="161A2C14"/>
    <w:rsid w:val="161A93ED"/>
    <w:rsid w:val="161BC7BC"/>
    <w:rsid w:val="161BEECD"/>
    <w:rsid w:val="161C47A1"/>
    <w:rsid w:val="161C7331"/>
    <w:rsid w:val="161D2F11"/>
    <w:rsid w:val="161DF1C5"/>
    <w:rsid w:val="161E8180"/>
    <w:rsid w:val="161EB7FF"/>
    <w:rsid w:val="161EFBD7"/>
    <w:rsid w:val="161F8B64"/>
    <w:rsid w:val="16205D67"/>
    <w:rsid w:val="16206AAD"/>
    <w:rsid w:val="1620D08C"/>
    <w:rsid w:val="1621358C"/>
    <w:rsid w:val="162192CE"/>
    <w:rsid w:val="1621F042"/>
    <w:rsid w:val="16222258"/>
    <w:rsid w:val="16224271"/>
    <w:rsid w:val="1622B1F5"/>
    <w:rsid w:val="1623C5D7"/>
    <w:rsid w:val="1623CB87"/>
    <w:rsid w:val="162446B3"/>
    <w:rsid w:val="162464FE"/>
    <w:rsid w:val="16246757"/>
    <w:rsid w:val="1625B2EA"/>
    <w:rsid w:val="16269C93"/>
    <w:rsid w:val="16274037"/>
    <w:rsid w:val="16282193"/>
    <w:rsid w:val="1628AB47"/>
    <w:rsid w:val="162901BC"/>
    <w:rsid w:val="1629746C"/>
    <w:rsid w:val="1629AD9B"/>
    <w:rsid w:val="162A8B76"/>
    <w:rsid w:val="162AD152"/>
    <w:rsid w:val="162BC0EA"/>
    <w:rsid w:val="162C13A1"/>
    <w:rsid w:val="162CDDD2"/>
    <w:rsid w:val="162D0C17"/>
    <w:rsid w:val="162D7F44"/>
    <w:rsid w:val="162DC98B"/>
    <w:rsid w:val="162F12A2"/>
    <w:rsid w:val="162F2CF2"/>
    <w:rsid w:val="16300584"/>
    <w:rsid w:val="163047AF"/>
    <w:rsid w:val="163072F0"/>
    <w:rsid w:val="1630DB92"/>
    <w:rsid w:val="16311A22"/>
    <w:rsid w:val="16313067"/>
    <w:rsid w:val="16318128"/>
    <w:rsid w:val="16318E69"/>
    <w:rsid w:val="1631976C"/>
    <w:rsid w:val="1631AA1C"/>
    <w:rsid w:val="1632082D"/>
    <w:rsid w:val="16320CB9"/>
    <w:rsid w:val="16320F93"/>
    <w:rsid w:val="16322FB3"/>
    <w:rsid w:val="1632501D"/>
    <w:rsid w:val="16329A61"/>
    <w:rsid w:val="16341205"/>
    <w:rsid w:val="1634A86B"/>
    <w:rsid w:val="163695D4"/>
    <w:rsid w:val="1636FE41"/>
    <w:rsid w:val="1638044E"/>
    <w:rsid w:val="1638CEFF"/>
    <w:rsid w:val="1639168D"/>
    <w:rsid w:val="1639FA9D"/>
    <w:rsid w:val="163A8691"/>
    <w:rsid w:val="163B3A9D"/>
    <w:rsid w:val="163D000E"/>
    <w:rsid w:val="163DB4B8"/>
    <w:rsid w:val="163DDB37"/>
    <w:rsid w:val="163ED55E"/>
    <w:rsid w:val="163F20E4"/>
    <w:rsid w:val="163F4568"/>
    <w:rsid w:val="163F74C9"/>
    <w:rsid w:val="163F798E"/>
    <w:rsid w:val="16401D73"/>
    <w:rsid w:val="164027F0"/>
    <w:rsid w:val="16404BE8"/>
    <w:rsid w:val="164125D9"/>
    <w:rsid w:val="16412906"/>
    <w:rsid w:val="16414801"/>
    <w:rsid w:val="16417FE2"/>
    <w:rsid w:val="164195AD"/>
    <w:rsid w:val="16419A13"/>
    <w:rsid w:val="164219AC"/>
    <w:rsid w:val="16425912"/>
    <w:rsid w:val="1642B574"/>
    <w:rsid w:val="164385F4"/>
    <w:rsid w:val="1643A96E"/>
    <w:rsid w:val="16442211"/>
    <w:rsid w:val="16446DA6"/>
    <w:rsid w:val="16453AFB"/>
    <w:rsid w:val="16458CEF"/>
    <w:rsid w:val="1646B765"/>
    <w:rsid w:val="1646D51C"/>
    <w:rsid w:val="16482EF0"/>
    <w:rsid w:val="16483340"/>
    <w:rsid w:val="164884BB"/>
    <w:rsid w:val="1648AEDD"/>
    <w:rsid w:val="1648FAD8"/>
    <w:rsid w:val="16493710"/>
    <w:rsid w:val="16496497"/>
    <w:rsid w:val="164ACB0F"/>
    <w:rsid w:val="164BFDBD"/>
    <w:rsid w:val="164C0933"/>
    <w:rsid w:val="164CFA60"/>
    <w:rsid w:val="164D76E1"/>
    <w:rsid w:val="164DE509"/>
    <w:rsid w:val="164DE5D9"/>
    <w:rsid w:val="164EE8BC"/>
    <w:rsid w:val="164F12B8"/>
    <w:rsid w:val="164F2A2B"/>
    <w:rsid w:val="16505466"/>
    <w:rsid w:val="1650574A"/>
    <w:rsid w:val="1652022F"/>
    <w:rsid w:val="16522F4C"/>
    <w:rsid w:val="16527024"/>
    <w:rsid w:val="16527219"/>
    <w:rsid w:val="1652C79E"/>
    <w:rsid w:val="16536EA1"/>
    <w:rsid w:val="1653C267"/>
    <w:rsid w:val="1653E447"/>
    <w:rsid w:val="16541F6B"/>
    <w:rsid w:val="16545D74"/>
    <w:rsid w:val="165495C1"/>
    <w:rsid w:val="1655E236"/>
    <w:rsid w:val="165670E7"/>
    <w:rsid w:val="1656C6FB"/>
    <w:rsid w:val="16572688"/>
    <w:rsid w:val="165858C7"/>
    <w:rsid w:val="16593DA0"/>
    <w:rsid w:val="16597D8F"/>
    <w:rsid w:val="1659A1F6"/>
    <w:rsid w:val="165A0517"/>
    <w:rsid w:val="165AB6FD"/>
    <w:rsid w:val="165B2C80"/>
    <w:rsid w:val="165B363F"/>
    <w:rsid w:val="165BBC2C"/>
    <w:rsid w:val="165C274B"/>
    <w:rsid w:val="165C8A8B"/>
    <w:rsid w:val="165C9CD8"/>
    <w:rsid w:val="165DCD0A"/>
    <w:rsid w:val="165E6292"/>
    <w:rsid w:val="165E887C"/>
    <w:rsid w:val="165EF79F"/>
    <w:rsid w:val="165FD7F2"/>
    <w:rsid w:val="165FDE43"/>
    <w:rsid w:val="1660B2FD"/>
    <w:rsid w:val="1660C476"/>
    <w:rsid w:val="16613E6D"/>
    <w:rsid w:val="16648FC7"/>
    <w:rsid w:val="1665914F"/>
    <w:rsid w:val="1665BC00"/>
    <w:rsid w:val="1665E1EC"/>
    <w:rsid w:val="1666051B"/>
    <w:rsid w:val="1666984B"/>
    <w:rsid w:val="166702E3"/>
    <w:rsid w:val="16678832"/>
    <w:rsid w:val="1667C340"/>
    <w:rsid w:val="1667EAB1"/>
    <w:rsid w:val="16686614"/>
    <w:rsid w:val="166A4D73"/>
    <w:rsid w:val="166ACA85"/>
    <w:rsid w:val="166B6636"/>
    <w:rsid w:val="166B718D"/>
    <w:rsid w:val="166BCFC0"/>
    <w:rsid w:val="166BE3AD"/>
    <w:rsid w:val="166C3ED6"/>
    <w:rsid w:val="166C54D8"/>
    <w:rsid w:val="166D11B7"/>
    <w:rsid w:val="166D601F"/>
    <w:rsid w:val="166D7095"/>
    <w:rsid w:val="166D7B82"/>
    <w:rsid w:val="166DE526"/>
    <w:rsid w:val="166DE887"/>
    <w:rsid w:val="166DE90B"/>
    <w:rsid w:val="166E2919"/>
    <w:rsid w:val="166E2D36"/>
    <w:rsid w:val="166F0BFA"/>
    <w:rsid w:val="166F2891"/>
    <w:rsid w:val="166F5651"/>
    <w:rsid w:val="166F9836"/>
    <w:rsid w:val="16707E0C"/>
    <w:rsid w:val="1671B3E5"/>
    <w:rsid w:val="1671BBEF"/>
    <w:rsid w:val="1671F37A"/>
    <w:rsid w:val="16720D2E"/>
    <w:rsid w:val="16729E42"/>
    <w:rsid w:val="1673FEDB"/>
    <w:rsid w:val="1674BCE2"/>
    <w:rsid w:val="1674D06D"/>
    <w:rsid w:val="16754807"/>
    <w:rsid w:val="1675ABE5"/>
    <w:rsid w:val="167618BA"/>
    <w:rsid w:val="1677ADB4"/>
    <w:rsid w:val="1679951C"/>
    <w:rsid w:val="167A0E03"/>
    <w:rsid w:val="167A9FEA"/>
    <w:rsid w:val="167AEC40"/>
    <w:rsid w:val="167BB4F6"/>
    <w:rsid w:val="167BF125"/>
    <w:rsid w:val="167C0118"/>
    <w:rsid w:val="167CB85D"/>
    <w:rsid w:val="167CC26F"/>
    <w:rsid w:val="167CEB28"/>
    <w:rsid w:val="167D7FA6"/>
    <w:rsid w:val="167E6FDB"/>
    <w:rsid w:val="167F5E40"/>
    <w:rsid w:val="167FAA62"/>
    <w:rsid w:val="167FF4BF"/>
    <w:rsid w:val="1680D038"/>
    <w:rsid w:val="1680FBDE"/>
    <w:rsid w:val="16811F5A"/>
    <w:rsid w:val="16814487"/>
    <w:rsid w:val="16827459"/>
    <w:rsid w:val="1682C656"/>
    <w:rsid w:val="1682D561"/>
    <w:rsid w:val="16832FDC"/>
    <w:rsid w:val="16835CAD"/>
    <w:rsid w:val="1683AD4D"/>
    <w:rsid w:val="168421C6"/>
    <w:rsid w:val="16843067"/>
    <w:rsid w:val="16845A20"/>
    <w:rsid w:val="16847575"/>
    <w:rsid w:val="1684CCAA"/>
    <w:rsid w:val="16856DCB"/>
    <w:rsid w:val="16856EAB"/>
    <w:rsid w:val="1685F937"/>
    <w:rsid w:val="16860FAF"/>
    <w:rsid w:val="1686E052"/>
    <w:rsid w:val="1687C35D"/>
    <w:rsid w:val="16885750"/>
    <w:rsid w:val="168864D1"/>
    <w:rsid w:val="168868CC"/>
    <w:rsid w:val="1689D64C"/>
    <w:rsid w:val="1689E01D"/>
    <w:rsid w:val="168A7960"/>
    <w:rsid w:val="168BEFBC"/>
    <w:rsid w:val="168C4B26"/>
    <w:rsid w:val="168C8344"/>
    <w:rsid w:val="168E3740"/>
    <w:rsid w:val="168F0C06"/>
    <w:rsid w:val="16901FD5"/>
    <w:rsid w:val="16902DF8"/>
    <w:rsid w:val="1690C77B"/>
    <w:rsid w:val="16917CB5"/>
    <w:rsid w:val="1692CF88"/>
    <w:rsid w:val="16930A3F"/>
    <w:rsid w:val="16939DD5"/>
    <w:rsid w:val="1693A950"/>
    <w:rsid w:val="169408E9"/>
    <w:rsid w:val="169493D2"/>
    <w:rsid w:val="1694F144"/>
    <w:rsid w:val="16953443"/>
    <w:rsid w:val="1696605C"/>
    <w:rsid w:val="1697FC55"/>
    <w:rsid w:val="16987C97"/>
    <w:rsid w:val="16989253"/>
    <w:rsid w:val="1698F92B"/>
    <w:rsid w:val="16992DBA"/>
    <w:rsid w:val="16993F08"/>
    <w:rsid w:val="1699AA21"/>
    <w:rsid w:val="1699AF74"/>
    <w:rsid w:val="169ADB9A"/>
    <w:rsid w:val="169AFAE4"/>
    <w:rsid w:val="169B4966"/>
    <w:rsid w:val="169B6016"/>
    <w:rsid w:val="169BB6BD"/>
    <w:rsid w:val="169CD2DE"/>
    <w:rsid w:val="169D0759"/>
    <w:rsid w:val="169D298C"/>
    <w:rsid w:val="169D8946"/>
    <w:rsid w:val="169DB66B"/>
    <w:rsid w:val="169DED04"/>
    <w:rsid w:val="169E7A06"/>
    <w:rsid w:val="169F506B"/>
    <w:rsid w:val="169F5764"/>
    <w:rsid w:val="169FB2BB"/>
    <w:rsid w:val="169FE848"/>
    <w:rsid w:val="16A0B803"/>
    <w:rsid w:val="16A0BA77"/>
    <w:rsid w:val="16A10696"/>
    <w:rsid w:val="16A134F9"/>
    <w:rsid w:val="16A20884"/>
    <w:rsid w:val="16A25B33"/>
    <w:rsid w:val="16A28A40"/>
    <w:rsid w:val="16A291D1"/>
    <w:rsid w:val="16A38482"/>
    <w:rsid w:val="16A38496"/>
    <w:rsid w:val="16A3B6BB"/>
    <w:rsid w:val="16A44F4E"/>
    <w:rsid w:val="16A49DBF"/>
    <w:rsid w:val="16A53F1B"/>
    <w:rsid w:val="16A6CC73"/>
    <w:rsid w:val="16A6DA64"/>
    <w:rsid w:val="16A6F7E1"/>
    <w:rsid w:val="16A78685"/>
    <w:rsid w:val="16A7FD06"/>
    <w:rsid w:val="16AA2370"/>
    <w:rsid w:val="16AA80C2"/>
    <w:rsid w:val="16AB2B1A"/>
    <w:rsid w:val="16AB6E2F"/>
    <w:rsid w:val="16AB8353"/>
    <w:rsid w:val="16ABED16"/>
    <w:rsid w:val="16AC383A"/>
    <w:rsid w:val="16AD1D14"/>
    <w:rsid w:val="16AD3254"/>
    <w:rsid w:val="16AD6129"/>
    <w:rsid w:val="16AD7C39"/>
    <w:rsid w:val="16AE2625"/>
    <w:rsid w:val="16AE6F55"/>
    <w:rsid w:val="16AFA330"/>
    <w:rsid w:val="16AFB2D6"/>
    <w:rsid w:val="16B0D520"/>
    <w:rsid w:val="16B12E45"/>
    <w:rsid w:val="16B1D1FF"/>
    <w:rsid w:val="16B2AB12"/>
    <w:rsid w:val="16B3CF0B"/>
    <w:rsid w:val="16B406CA"/>
    <w:rsid w:val="16B4797B"/>
    <w:rsid w:val="16B582A4"/>
    <w:rsid w:val="16B59272"/>
    <w:rsid w:val="16B5D8CC"/>
    <w:rsid w:val="16B6E07F"/>
    <w:rsid w:val="16B6EA3E"/>
    <w:rsid w:val="16B8619A"/>
    <w:rsid w:val="16B9447E"/>
    <w:rsid w:val="16B9B409"/>
    <w:rsid w:val="16B9BA15"/>
    <w:rsid w:val="16BA5274"/>
    <w:rsid w:val="16BAA9E3"/>
    <w:rsid w:val="16BAC6BE"/>
    <w:rsid w:val="16BAEC50"/>
    <w:rsid w:val="16BB8AB5"/>
    <w:rsid w:val="16BBA0A3"/>
    <w:rsid w:val="16BC5311"/>
    <w:rsid w:val="16BCCC1A"/>
    <w:rsid w:val="16BCE08C"/>
    <w:rsid w:val="16BD0D6D"/>
    <w:rsid w:val="16BE79D9"/>
    <w:rsid w:val="16C010EE"/>
    <w:rsid w:val="16C01B8F"/>
    <w:rsid w:val="16C03E2E"/>
    <w:rsid w:val="16C05866"/>
    <w:rsid w:val="16C08C2C"/>
    <w:rsid w:val="16C0D894"/>
    <w:rsid w:val="16C0FEB4"/>
    <w:rsid w:val="16C1A5C9"/>
    <w:rsid w:val="16C21E19"/>
    <w:rsid w:val="16C2AA5A"/>
    <w:rsid w:val="16C30D25"/>
    <w:rsid w:val="16C39FEA"/>
    <w:rsid w:val="16C42D30"/>
    <w:rsid w:val="16C452BC"/>
    <w:rsid w:val="16C4D247"/>
    <w:rsid w:val="16C52010"/>
    <w:rsid w:val="16C58998"/>
    <w:rsid w:val="16C59E0C"/>
    <w:rsid w:val="16C5BA61"/>
    <w:rsid w:val="16C63C37"/>
    <w:rsid w:val="16C64896"/>
    <w:rsid w:val="16C7182F"/>
    <w:rsid w:val="16C74D0E"/>
    <w:rsid w:val="16C7B2F2"/>
    <w:rsid w:val="16C7E41F"/>
    <w:rsid w:val="16C87BE4"/>
    <w:rsid w:val="16C93515"/>
    <w:rsid w:val="16C9B4CE"/>
    <w:rsid w:val="16CA28E1"/>
    <w:rsid w:val="16CACC50"/>
    <w:rsid w:val="16CAE5C5"/>
    <w:rsid w:val="16CB2B22"/>
    <w:rsid w:val="16CB6DEF"/>
    <w:rsid w:val="16CB8CA9"/>
    <w:rsid w:val="16CCA53B"/>
    <w:rsid w:val="16CD0A0A"/>
    <w:rsid w:val="16CD1FC3"/>
    <w:rsid w:val="16CF38E5"/>
    <w:rsid w:val="16CF74EA"/>
    <w:rsid w:val="16CFAE66"/>
    <w:rsid w:val="16D11E1C"/>
    <w:rsid w:val="16D133F6"/>
    <w:rsid w:val="16D18E98"/>
    <w:rsid w:val="16D1C027"/>
    <w:rsid w:val="16D27154"/>
    <w:rsid w:val="16D29F00"/>
    <w:rsid w:val="16D373ED"/>
    <w:rsid w:val="16D3E54A"/>
    <w:rsid w:val="16D44D83"/>
    <w:rsid w:val="16D45208"/>
    <w:rsid w:val="16D4D11E"/>
    <w:rsid w:val="16D56F52"/>
    <w:rsid w:val="16D68CD6"/>
    <w:rsid w:val="16D6AD26"/>
    <w:rsid w:val="16D74FEC"/>
    <w:rsid w:val="16D7882C"/>
    <w:rsid w:val="16D7CB70"/>
    <w:rsid w:val="16D8931D"/>
    <w:rsid w:val="16D8B478"/>
    <w:rsid w:val="16D903BD"/>
    <w:rsid w:val="16D9DA4B"/>
    <w:rsid w:val="16DA549B"/>
    <w:rsid w:val="16DB3D42"/>
    <w:rsid w:val="16DC77E6"/>
    <w:rsid w:val="16DD161E"/>
    <w:rsid w:val="16DD1D85"/>
    <w:rsid w:val="16DD96D6"/>
    <w:rsid w:val="16DE5D9D"/>
    <w:rsid w:val="16E0A8E9"/>
    <w:rsid w:val="16E11A66"/>
    <w:rsid w:val="16E18202"/>
    <w:rsid w:val="16E1BFBC"/>
    <w:rsid w:val="16E2108E"/>
    <w:rsid w:val="16E21198"/>
    <w:rsid w:val="16E252AB"/>
    <w:rsid w:val="16E26EFC"/>
    <w:rsid w:val="16E28D2D"/>
    <w:rsid w:val="16E2C9BD"/>
    <w:rsid w:val="16E2CB6E"/>
    <w:rsid w:val="16E2ED43"/>
    <w:rsid w:val="16E325DE"/>
    <w:rsid w:val="16E3F756"/>
    <w:rsid w:val="16E405BD"/>
    <w:rsid w:val="16E5A3F8"/>
    <w:rsid w:val="16E5DE0C"/>
    <w:rsid w:val="16E61E4D"/>
    <w:rsid w:val="16E62268"/>
    <w:rsid w:val="16E6B348"/>
    <w:rsid w:val="16E6F61B"/>
    <w:rsid w:val="16E75B95"/>
    <w:rsid w:val="16E77852"/>
    <w:rsid w:val="16E79283"/>
    <w:rsid w:val="16E7B128"/>
    <w:rsid w:val="16E7D6BE"/>
    <w:rsid w:val="16E7F711"/>
    <w:rsid w:val="16E8EEE4"/>
    <w:rsid w:val="16EA3CFF"/>
    <w:rsid w:val="16EAE66F"/>
    <w:rsid w:val="16EB164A"/>
    <w:rsid w:val="16EB1F21"/>
    <w:rsid w:val="16EB3823"/>
    <w:rsid w:val="16EB49DD"/>
    <w:rsid w:val="16EB9F22"/>
    <w:rsid w:val="16EBE1DF"/>
    <w:rsid w:val="16EC5122"/>
    <w:rsid w:val="16ED595A"/>
    <w:rsid w:val="16ED7109"/>
    <w:rsid w:val="16EDCA58"/>
    <w:rsid w:val="16EDF05A"/>
    <w:rsid w:val="16EEB380"/>
    <w:rsid w:val="16EEF50F"/>
    <w:rsid w:val="16EFDABC"/>
    <w:rsid w:val="16F10DC8"/>
    <w:rsid w:val="16F12E63"/>
    <w:rsid w:val="16F174FC"/>
    <w:rsid w:val="16F1DEA6"/>
    <w:rsid w:val="16F23BB4"/>
    <w:rsid w:val="16F28D26"/>
    <w:rsid w:val="16F35411"/>
    <w:rsid w:val="16F44CEF"/>
    <w:rsid w:val="16F4A13A"/>
    <w:rsid w:val="16F4C1E1"/>
    <w:rsid w:val="16F4F185"/>
    <w:rsid w:val="16F55DBF"/>
    <w:rsid w:val="16F5F053"/>
    <w:rsid w:val="16F615E0"/>
    <w:rsid w:val="16F7EC33"/>
    <w:rsid w:val="16F85793"/>
    <w:rsid w:val="16F8912A"/>
    <w:rsid w:val="16F895A0"/>
    <w:rsid w:val="16F8993B"/>
    <w:rsid w:val="16F98E05"/>
    <w:rsid w:val="16F9AF47"/>
    <w:rsid w:val="16FA0D1B"/>
    <w:rsid w:val="16FA119F"/>
    <w:rsid w:val="16FA1FCA"/>
    <w:rsid w:val="16FB7AB1"/>
    <w:rsid w:val="16FC5F5C"/>
    <w:rsid w:val="16FC6FC3"/>
    <w:rsid w:val="16FD97F0"/>
    <w:rsid w:val="16FEAFBA"/>
    <w:rsid w:val="16FF131D"/>
    <w:rsid w:val="16FF2D7C"/>
    <w:rsid w:val="16FF8CA8"/>
    <w:rsid w:val="16FF9834"/>
    <w:rsid w:val="16FFF6FF"/>
    <w:rsid w:val="17005756"/>
    <w:rsid w:val="17005F50"/>
    <w:rsid w:val="17006B9C"/>
    <w:rsid w:val="1702181C"/>
    <w:rsid w:val="170377D5"/>
    <w:rsid w:val="1704235F"/>
    <w:rsid w:val="1704584A"/>
    <w:rsid w:val="17046283"/>
    <w:rsid w:val="1704B883"/>
    <w:rsid w:val="17051A59"/>
    <w:rsid w:val="1705E39C"/>
    <w:rsid w:val="170713F9"/>
    <w:rsid w:val="1708A3EB"/>
    <w:rsid w:val="1708ADBA"/>
    <w:rsid w:val="1708F7C5"/>
    <w:rsid w:val="170977E4"/>
    <w:rsid w:val="1709860E"/>
    <w:rsid w:val="1709F369"/>
    <w:rsid w:val="170A2DFE"/>
    <w:rsid w:val="170C05FD"/>
    <w:rsid w:val="170C4600"/>
    <w:rsid w:val="170C7799"/>
    <w:rsid w:val="170D1E30"/>
    <w:rsid w:val="170E49C4"/>
    <w:rsid w:val="170E97AE"/>
    <w:rsid w:val="170F3B5A"/>
    <w:rsid w:val="170F7F11"/>
    <w:rsid w:val="170FA420"/>
    <w:rsid w:val="170FFC32"/>
    <w:rsid w:val="17103E81"/>
    <w:rsid w:val="1710D080"/>
    <w:rsid w:val="1711296D"/>
    <w:rsid w:val="171160A0"/>
    <w:rsid w:val="1711E232"/>
    <w:rsid w:val="1711E71E"/>
    <w:rsid w:val="17129409"/>
    <w:rsid w:val="17134052"/>
    <w:rsid w:val="171342AD"/>
    <w:rsid w:val="17138FE7"/>
    <w:rsid w:val="1713AC53"/>
    <w:rsid w:val="17161675"/>
    <w:rsid w:val="1716AA48"/>
    <w:rsid w:val="1716E76B"/>
    <w:rsid w:val="1717AB26"/>
    <w:rsid w:val="1719A33F"/>
    <w:rsid w:val="171A1F46"/>
    <w:rsid w:val="171A4D1E"/>
    <w:rsid w:val="171A6D55"/>
    <w:rsid w:val="171B150A"/>
    <w:rsid w:val="171D4E79"/>
    <w:rsid w:val="171E585F"/>
    <w:rsid w:val="171EF1ED"/>
    <w:rsid w:val="171F2D22"/>
    <w:rsid w:val="171F8F15"/>
    <w:rsid w:val="171FCA68"/>
    <w:rsid w:val="17201AF1"/>
    <w:rsid w:val="17201F8E"/>
    <w:rsid w:val="17204825"/>
    <w:rsid w:val="1720E5EE"/>
    <w:rsid w:val="1721A1AE"/>
    <w:rsid w:val="17234B05"/>
    <w:rsid w:val="17238000"/>
    <w:rsid w:val="17238B34"/>
    <w:rsid w:val="17239C44"/>
    <w:rsid w:val="1723E735"/>
    <w:rsid w:val="17244ED8"/>
    <w:rsid w:val="1724E146"/>
    <w:rsid w:val="172525A4"/>
    <w:rsid w:val="172539A0"/>
    <w:rsid w:val="17258D57"/>
    <w:rsid w:val="17269582"/>
    <w:rsid w:val="17270029"/>
    <w:rsid w:val="172780F7"/>
    <w:rsid w:val="1727F331"/>
    <w:rsid w:val="1728385E"/>
    <w:rsid w:val="1728E019"/>
    <w:rsid w:val="17291179"/>
    <w:rsid w:val="172955C2"/>
    <w:rsid w:val="1729B080"/>
    <w:rsid w:val="172A2693"/>
    <w:rsid w:val="172A9F00"/>
    <w:rsid w:val="172BFB62"/>
    <w:rsid w:val="172C7B02"/>
    <w:rsid w:val="172CCAFC"/>
    <w:rsid w:val="172D4A93"/>
    <w:rsid w:val="172DD77A"/>
    <w:rsid w:val="172DF5F5"/>
    <w:rsid w:val="172E1A93"/>
    <w:rsid w:val="172E4AA0"/>
    <w:rsid w:val="172F7629"/>
    <w:rsid w:val="172FC457"/>
    <w:rsid w:val="17302EE1"/>
    <w:rsid w:val="17315AA0"/>
    <w:rsid w:val="173227A8"/>
    <w:rsid w:val="1733F999"/>
    <w:rsid w:val="17342B6D"/>
    <w:rsid w:val="17344594"/>
    <w:rsid w:val="1734BB2B"/>
    <w:rsid w:val="1734C318"/>
    <w:rsid w:val="1735336B"/>
    <w:rsid w:val="1736B4C6"/>
    <w:rsid w:val="173736B8"/>
    <w:rsid w:val="17380F61"/>
    <w:rsid w:val="1738C0BE"/>
    <w:rsid w:val="17391985"/>
    <w:rsid w:val="173985D8"/>
    <w:rsid w:val="173A0492"/>
    <w:rsid w:val="173A1BE6"/>
    <w:rsid w:val="173A309B"/>
    <w:rsid w:val="173A66E2"/>
    <w:rsid w:val="173A6C61"/>
    <w:rsid w:val="173A78F1"/>
    <w:rsid w:val="173BD99B"/>
    <w:rsid w:val="173D2FFB"/>
    <w:rsid w:val="173D9DA7"/>
    <w:rsid w:val="173DB53A"/>
    <w:rsid w:val="173E3C39"/>
    <w:rsid w:val="173EDB49"/>
    <w:rsid w:val="173F9693"/>
    <w:rsid w:val="173FFB53"/>
    <w:rsid w:val="1740B42D"/>
    <w:rsid w:val="1740CEE2"/>
    <w:rsid w:val="1740E947"/>
    <w:rsid w:val="1742DD55"/>
    <w:rsid w:val="17431E96"/>
    <w:rsid w:val="174372ED"/>
    <w:rsid w:val="1743F6EE"/>
    <w:rsid w:val="17447B0B"/>
    <w:rsid w:val="17450CA1"/>
    <w:rsid w:val="17452086"/>
    <w:rsid w:val="174537FB"/>
    <w:rsid w:val="1745F9C4"/>
    <w:rsid w:val="17466E24"/>
    <w:rsid w:val="1747521F"/>
    <w:rsid w:val="1747C485"/>
    <w:rsid w:val="17481F48"/>
    <w:rsid w:val="174A84FF"/>
    <w:rsid w:val="174B41E4"/>
    <w:rsid w:val="174B4831"/>
    <w:rsid w:val="174BA723"/>
    <w:rsid w:val="174BD78C"/>
    <w:rsid w:val="174C1629"/>
    <w:rsid w:val="174C2EF1"/>
    <w:rsid w:val="174CB259"/>
    <w:rsid w:val="174CED3C"/>
    <w:rsid w:val="174D9933"/>
    <w:rsid w:val="174EA805"/>
    <w:rsid w:val="174F5E61"/>
    <w:rsid w:val="174FA1FC"/>
    <w:rsid w:val="17504EB1"/>
    <w:rsid w:val="17511CE2"/>
    <w:rsid w:val="17514632"/>
    <w:rsid w:val="17533F34"/>
    <w:rsid w:val="175362B8"/>
    <w:rsid w:val="17538CC8"/>
    <w:rsid w:val="1753E7E3"/>
    <w:rsid w:val="17547A1D"/>
    <w:rsid w:val="1755078C"/>
    <w:rsid w:val="175570F6"/>
    <w:rsid w:val="1755CB46"/>
    <w:rsid w:val="17561BAD"/>
    <w:rsid w:val="17562206"/>
    <w:rsid w:val="1757C502"/>
    <w:rsid w:val="1757CAA0"/>
    <w:rsid w:val="1757D8F5"/>
    <w:rsid w:val="175903AF"/>
    <w:rsid w:val="17593916"/>
    <w:rsid w:val="1759E450"/>
    <w:rsid w:val="175A2DC4"/>
    <w:rsid w:val="175A74A3"/>
    <w:rsid w:val="175A88C5"/>
    <w:rsid w:val="175A92C7"/>
    <w:rsid w:val="175A9D95"/>
    <w:rsid w:val="175AA988"/>
    <w:rsid w:val="175AB9D2"/>
    <w:rsid w:val="175B0E17"/>
    <w:rsid w:val="175B94E7"/>
    <w:rsid w:val="175C077D"/>
    <w:rsid w:val="175C256B"/>
    <w:rsid w:val="175C4896"/>
    <w:rsid w:val="175D2462"/>
    <w:rsid w:val="175D9F0A"/>
    <w:rsid w:val="175E1624"/>
    <w:rsid w:val="175EA35B"/>
    <w:rsid w:val="175F64FA"/>
    <w:rsid w:val="175F8BF8"/>
    <w:rsid w:val="175F9671"/>
    <w:rsid w:val="1760D833"/>
    <w:rsid w:val="1760DC46"/>
    <w:rsid w:val="1761537B"/>
    <w:rsid w:val="1761D0AB"/>
    <w:rsid w:val="17623E33"/>
    <w:rsid w:val="1763F881"/>
    <w:rsid w:val="17655CD3"/>
    <w:rsid w:val="176568C4"/>
    <w:rsid w:val="1765F2EE"/>
    <w:rsid w:val="176622C2"/>
    <w:rsid w:val="17662AAA"/>
    <w:rsid w:val="17666CE4"/>
    <w:rsid w:val="17666F1A"/>
    <w:rsid w:val="1766B171"/>
    <w:rsid w:val="176713AE"/>
    <w:rsid w:val="17677636"/>
    <w:rsid w:val="1767A378"/>
    <w:rsid w:val="1767F6D9"/>
    <w:rsid w:val="176897DC"/>
    <w:rsid w:val="17693F6E"/>
    <w:rsid w:val="1769451C"/>
    <w:rsid w:val="17694F08"/>
    <w:rsid w:val="176977BB"/>
    <w:rsid w:val="1769F860"/>
    <w:rsid w:val="176B8A2C"/>
    <w:rsid w:val="176BB18F"/>
    <w:rsid w:val="176BD2A8"/>
    <w:rsid w:val="176BE2C3"/>
    <w:rsid w:val="176C4C20"/>
    <w:rsid w:val="176C754A"/>
    <w:rsid w:val="176C8804"/>
    <w:rsid w:val="176D4F47"/>
    <w:rsid w:val="176D90D5"/>
    <w:rsid w:val="176E543D"/>
    <w:rsid w:val="176F4C1D"/>
    <w:rsid w:val="176F4D3C"/>
    <w:rsid w:val="17709712"/>
    <w:rsid w:val="1770AEDC"/>
    <w:rsid w:val="17711A3A"/>
    <w:rsid w:val="1772699B"/>
    <w:rsid w:val="1772C4D4"/>
    <w:rsid w:val="1773159A"/>
    <w:rsid w:val="1773234F"/>
    <w:rsid w:val="1773713B"/>
    <w:rsid w:val="1773B608"/>
    <w:rsid w:val="177440E7"/>
    <w:rsid w:val="1774A442"/>
    <w:rsid w:val="177514F6"/>
    <w:rsid w:val="17751C67"/>
    <w:rsid w:val="177528DC"/>
    <w:rsid w:val="17755AD2"/>
    <w:rsid w:val="17759F25"/>
    <w:rsid w:val="1776A064"/>
    <w:rsid w:val="177707AF"/>
    <w:rsid w:val="177790C7"/>
    <w:rsid w:val="1777CD70"/>
    <w:rsid w:val="177894E4"/>
    <w:rsid w:val="17790049"/>
    <w:rsid w:val="177936E9"/>
    <w:rsid w:val="17798100"/>
    <w:rsid w:val="177ACEAD"/>
    <w:rsid w:val="177AD665"/>
    <w:rsid w:val="177B81B4"/>
    <w:rsid w:val="177D10D2"/>
    <w:rsid w:val="177D8420"/>
    <w:rsid w:val="177DF816"/>
    <w:rsid w:val="177E6648"/>
    <w:rsid w:val="177E9A8F"/>
    <w:rsid w:val="177EF41F"/>
    <w:rsid w:val="1780B8E9"/>
    <w:rsid w:val="17812BE6"/>
    <w:rsid w:val="17813881"/>
    <w:rsid w:val="178143FC"/>
    <w:rsid w:val="1781B9BB"/>
    <w:rsid w:val="178202A1"/>
    <w:rsid w:val="1782D172"/>
    <w:rsid w:val="1782FE7D"/>
    <w:rsid w:val="178362B9"/>
    <w:rsid w:val="1784B6C9"/>
    <w:rsid w:val="1785AE56"/>
    <w:rsid w:val="1785B48E"/>
    <w:rsid w:val="17869684"/>
    <w:rsid w:val="1786D326"/>
    <w:rsid w:val="17870782"/>
    <w:rsid w:val="1788331B"/>
    <w:rsid w:val="1788C94A"/>
    <w:rsid w:val="1789435A"/>
    <w:rsid w:val="17899608"/>
    <w:rsid w:val="1789D409"/>
    <w:rsid w:val="178A2A24"/>
    <w:rsid w:val="178A30BA"/>
    <w:rsid w:val="178ADBD6"/>
    <w:rsid w:val="178B131C"/>
    <w:rsid w:val="178B2DD0"/>
    <w:rsid w:val="178B898B"/>
    <w:rsid w:val="178B89D6"/>
    <w:rsid w:val="178C1C5E"/>
    <w:rsid w:val="178D2C75"/>
    <w:rsid w:val="178DA066"/>
    <w:rsid w:val="178F2852"/>
    <w:rsid w:val="178FB0C7"/>
    <w:rsid w:val="179262E5"/>
    <w:rsid w:val="17929FE1"/>
    <w:rsid w:val="1792F1F9"/>
    <w:rsid w:val="17933825"/>
    <w:rsid w:val="17942D32"/>
    <w:rsid w:val="17946CB2"/>
    <w:rsid w:val="179478D7"/>
    <w:rsid w:val="1794BABA"/>
    <w:rsid w:val="1794D67A"/>
    <w:rsid w:val="1795028D"/>
    <w:rsid w:val="1795532A"/>
    <w:rsid w:val="1795B932"/>
    <w:rsid w:val="1795BA79"/>
    <w:rsid w:val="1795D60E"/>
    <w:rsid w:val="1795FFAB"/>
    <w:rsid w:val="1796125B"/>
    <w:rsid w:val="1796E49A"/>
    <w:rsid w:val="1797164C"/>
    <w:rsid w:val="179769B0"/>
    <w:rsid w:val="1797C71A"/>
    <w:rsid w:val="1798D183"/>
    <w:rsid w:val="1798FA59"/>
    <w:rsid w:val="17999ABB"/>
    <w:rsid w:val="1799A47B"/>
    <w:rsid w:val="1799AEFC"/>
    <w:rsid w:val="1799CBC8"/>
    <w:rsid w:val="1799D2F1"/>
    <w:rsid w:val="179A1D38"/>
    <w:rsid w:val="179B12E9"/>
    <w:rsid w:val="179C26CB"/>
    <w:rsid w:val="179D8A54"/>
    <w:rsid w:val="179DE46B"/>
    <w:rsid w:val="179EFD89"/>
    <w:rsid w:val="179F44E5"/>
    <w:rsid w:val="179F8906"/>
    <w:rsid w:val="179F94B7"/>
    <w:rsid w:val="17A03665"/>
    <w:rsid w:val="17A121E3"/>
    <w:rsid w:val="17A1EC85"/>
    <w:rsid w:val="17A24FF7"/>
    <w:rsid w:val="17A2E3EA"/>
    <w:rsid w:val="17A2FD3E"/>
    <w:rsid w:val="17A3603D"/>
    <w:rsid w:val="17A3AEE8"/>
    <w:rsid w:val="17A3C41C"/>
    <w:rsid w:val="17A41469"/>
    <w:rsid w:val="17A440D3"/>
    <w:rsid w:val="17A4F2ED"/>
    <w:rsid w:val="17A51323"/>
    <w:rsid w:val="17A51BE5"/>
    <w:rsid w:val="17A6085E"/>
    <w:rsid w:val="17A670A5"/>
    <w:rsid w:val="17A71E6A"/>
    <w:rsid w:val="17A7EE32"/>
    <w:rsid w:val="17A90B2B"/>
    <w:rsid w:val="17A98474"/>
    <w:rsid w:val="17A9D54D"/>
    <w:rsid w:val="17AAA23F"/>
    <w:rsid w:val="17AABF67"/>
    <w:rsid w:val="17AB709A"/>
    <w:rsid w:val="17ABF966"/>
    <w:rsid w:val="17AC5C8D"/>
    <w:rsid w:val="17ACDF97"/>
    <w:rsid w:val="17ACE51B"/>
    <w:rsid w:val="17AD023A"/>
    <w:rsid w:val="17AD46F7"/>
    <w:rsid w:val="17AD75E8"/>
    <w:rsid w:val="17AD8204"/>
    <w:rsid w:val="17ADB4A6"/>
    <w:rsid w:val="17ADFA1C"/>
    <w:rsid w:val="17AE31FA"/>
    <w:rsid w:val="17AE7666"/>
    <w:rsid w:val="17AEBC9B"/>
    <w:rsid w:val="17AF005C"/>
    <w:rsid w:val="17AF3B98"/>
    <w:rsid w:val="17AFDADE"/>
    <w:rsid w:val="17B03A9E"/>
    <w:rsid w:val="17B04728"/>
    <w:rsid w:val="17B07331"/>
    <w:rsid w:val="17B0B062"/>
    <w:rsid w:val="17B0B073"/>
    <w:rsid w:val="17B11DB2"/>
    <w:rsid w:val="17B15D83"/>
    <w:rsid w:val="17B355A2"/>
    <w:rsid w:val="17B43530"/>
    <w:rsid w:val="17B4B3B4"/>
    <w:rsid w:val="17B4C2F6"/>
    <w:rsid w:val="17B52846"/>
    <w:rsid w:val="17B6BD0E"/>
    <w:rsid w:val="17B7B409"/>
    <w:rsid w:val="17B94B0D"/>
    <w:rsid w:val="17B97335"/>
    <w:rsid w:val="17BA2B8E"/>
    <w:rsid w:val="17BAA92D"/>
    <w:rsid w:val="17BB2881"/>
    <w:rsid w:val="17BB6ED5"/>
    <w:rsid w:val="17BD89FB"/>
    <w:rsid w:val="17BD9BFF"/>
    <w:rsid w:val="17BE2C6D"/>
    <w:rsid w:val="17BE5293"/>
    <w:rsid w:val="17BF28CA"/>
    <w:rsid w:val="17BF3BA9"/>
    <w:rsid w:val="17BF5A22"/>
    <w:rsid w:val="17C0A40C"/>
    <w:rsid w:val="17C0BC86"/>
    <w:rsid w:val="17C1D1E3"/>
    <w:rsid w:val="17C2546A"/>
    <w:rsid w:val="17C27E52"/>
    <w:rsid w:val="17C39A82"/>
    <w:rsid w:val="17C46642"/>
    <w:rsid w:val="17C502DD"/>
    <w:rsid w:val="17C567F0"/>
    <w:rsid w:val="17C5C405"/>
    <w:rsid w:val="17C5C846"/>
    <w:rsid w:val="17C619E4"/>
    <w:rsid w:val="17C63FF5"/>
    <w:rsid w:val="17C7C1F7"/>
    <w:rsid w:val="17C8E036"/>
    <w:rsid w:val="17C8F2F3"/>
    <w:rsid w:val="17C98B28"/>
    <w:rsid w:val="17CA0CA8"/>
    <w:rsid w:val="17CA5712"/>
    <w:rsid w:val="17CA6554"/>
    <w:rsid w:val="17CC01D1"/>
    <w:rsid w:val="17CCCC78"/>
    <w:rsid w:val="17CDEDDB"/>
    <w:rsid w:val="17CDFB5A"/>
    <w:rsid w:val="17CE16F6"/>
    <w:rsid w:val="17CEB2A4"/>
    <w:rsid w:val="17CED030"/>
    <w:rsid w:val="17CF34A5"/>
    <w:rsid w:val="17CF70FC"/>
    <w:rsid w:val="17D04B19"/>
    <w:rsid w:val="17D09C94"/>
    <w:rsid w:val="17D0C9FF"/>
    <w:rsid w:val="17D11324"/>
    <w:rsid w:val="17D21A26"/>
    <w:rsid w:val="17D2B5EE"/>
    <w:rsid w:val="17D2E7E8"/>
    <w:rsid w:val="17D2FC99"/>
    <w:rsid w:val="17D359D2"/>
    <w:rsid w:val="17D3DC34"/>
    <w:rsid w:val="17D49B69"/>
    <w:rsid w:val="17D5B67A"/>
    <w:rsid w:val="17D5E24B"/>
    <w:rsid w:val="17D63BA3"/>
    <w:rsid w:val="17D671A5"/>
    <w:rsid w:val="17D707E9"/>
    <w:rsid w:val="17D7250D"/>
    <w:rsid w:val="17D7B163"/>
    <w:rsid w:val="17D7BB77"/>
    <w:rsid w:val="17D828A4"/>
    <w:rsid w:val="17D8F172"/>
    <w:rsid w:val="17D91B0E"/>
    <w:rsid w:val="17D99E91"/>
    <w:rsid w:val="17D9D554"/>
    <w:rsid w:val="17DB866F"/>
    <w:rsid w:val="17DBD7BA"/>
    <w:rsid w:val="17DC9131"/>
    <w:rsid w:val="17DCAB2D"/>
    <w:rsid w:val="17DD9976"/>
    <w:rsid w:val="17DDA630"/>
    <w:rsid w:val="17DDAAC9"/>
    <w:rsid w:val="17DDDC7D"/>
    <w:rsid w:val="17DE849E"/>
    <w:rsid w:val="17DEBA79"/>
    <w:rsid w:val="17DFCF7E"/>
    <w:rsid w:val="17E0087D"/>
    <w:rsid w:val="17E01762"/>
    <w:rsid w:val="17E0EAB5"/>
    <w:rsid w:val="17E150E9"/>
    <w:rsid w:val="17E187E0"/>
    <w:rsid w:val="17E212B2"/>
    <w:rsid w:val="17E2590F"/>
    <w:rsid w:val="17E2B5A6"/>
    <w:rsid w:val="17E2F1AC"/>
    <w:rsid w:val="17E322D9"/>
    <w:rsid w:val="17E39BAC"/>
    <w:rsid w:val="17E3B41F"/>
    <w:rsid w:val="17E4ABDC"/>
    <w:rsid w:val="17E4C51F"/>
    <w:rsid w:val="17E4D188"/>
    <w:rsid w:val="17E55F8B"/>
    <w:rsid w:val="17E55FD2"/>
    <w:rsid w:val="17E62908"/>
    <w:rsid w:val="17E695AE"/>
    <w:rsid w:val="17E6F22B"/>
    <w:rsid w:val="17E715F0"/>
    <w:rsid w:val="17E7314F"/>
    <w:rsid w:val="17E83060"/>
    <w:rsid w:val="17E8B38A"/>
    <w:rsid w:val="17E8B453"/>
    <w:rsid w:val="17E9E663"/>
    <w:rsid w:val="17EA7A28"/>
    <w:rsid w:val="17EB2045"/>
    <w:rsid w:val="17EC6FC8"/>
    <w:rsid w:val="17ECD871"/>
    <w:rsid w:val="17ECF631"/>
    <w:rsid w:val="17ED8B82"/>
    <w:rsid w:val="17EE97BD"/>
    <w:rsid w:val="17EEC3AB"/>
    <w:rsid w:val="17EF42B7"/>
    <w:rsid w:val="17EFAD66"/>
    <w:rsid w:val="17F01DD8"/>
    <w:rsid w:val="17F0592F"/>
    <w:rsid w:val="17F0F897"/>
    <w:rsid w:val="17F13D35"/>
    <w:rsid w:val="17F164C4"/>
    <w:rsid w:val="17F1C701"/>
    <w:rsid w:val="17F1F3F4"/>
    <w:rsid w:val="17F25366"/>
    <w:rsid w:val="17F2F624"/>
    <w:rsid w:val="17F3685F"/>
    <w:rsid w:val="17F39678"/>
    <w:rsid w:val="17F40AC6"/>
    <w:rsid w:val="17F43715"/>
    <w:rsid w:val="17F57374"/>
    <w:rsid w:val="17F5A4EB"/>
    <w:rsid w:val="17F5CCBC"/>
    <w:rsid w:val="17F5D90A"/>
    <w:rsid w:val="17F76B80"/>
    <w:rsid w:val="17F781F3"/>
    <w:rsid w:val="17F89485"/>
    <w:rsid w:val="17F901FD"/>
    <w:rsid w:val="17F925B3"/>
    <w:rsid w:val="17F977BA"/>
    <w:rsid w:val="17FA56EF"/>
    <w:rsid w:val="17FA6A3E"/>
    <w:rsid w:val="17FADD91"/>
    <w:rsid w:val="17FB27B8"/>
    <w:rsid w:val="17FB3A39"/>
    <w:rsid w:val="17FB5320"/>
    <w:rsid w:val="17FBCACD"/>
    <w:rsid w:val="17FC7750"/>
    <w:rsid w:val="17FC7B35"/>
    <w:rsid w:val="17FCCEFB"/>
    <w:rsid w:val="17FDE7FA"/>
    <w:rsid w:val="17FE1107"/>
    <w:rsid w:val="17FF47DC"/>
    <w:rsid w:val="1800B3C4"/>
    <w:rsid w:val="18014938"/>
    <w:rsid w:val="180157E8"/>
    <w:rsid w:val="1801DA41"/>
    <w:rsid w:val="180218CE"/>
    <w:rsid w:val="1802DBAC"/>
    <w:rsid w:val="1802F994"/>
    <w:rsid w:val="1803035D"/>
    <w:rsid w:val="180471C0"/>
    <w:rsid w:val="1804B752"/>
    <w:rsid w:val="18055483"/>
    <w:rsid w:val="18058C22"/>
    <w:rsid w:val="1806203D"/>
    <w:rsid w:val="18063487"/>
    <w:rsid w:val="1806757B"/>
    <w:rsid w:val="1806F6CC"/>
    <w:rsid w:val="18075EE0"/>
    <w:rsid w:val="1808E1AB"/>
    <w:rsid w:val="1808FA64"/>
    <w:rsid w:val="18091F22"/>
    <w:rsid w:val="180A15AB"/>
    <w:rsid w:val="180B0CD9"/>
    <w:rsid w:val="180BE5E5"/>
    <w:rsid w:val="180C084D"/>
    <w:rsid w:val="180C19BC"/>
    <w:rsid w:val="180D3BC8"/>
    <w:rsid w:val="180DA0D6"/>
    <w:rsid w:val="180DFB6E"/>
    <w:rsid w:val="180E53DE"/>
    <w:rsid w:val="180E8CDB"/>
    <w:rsid w:val="181038EA"/>
    <w:rsid w:val="1810B265"/>
    <w:rsid w:val="1810BF60"/>
    <w:rsid w:val="1811BF8D"/>
    <w:rsid w:val="181203C9"/>
    <w:rsid w:val="181241C0"/>
    <w:rsid w:val="1812799C"/>
    <w:rsid w:val="18128561"/>
    <w:rsid w:val="181357E7"/>
    <w:rsid w:val="181360F9"/>
    <w:rsid w:val="18139177"/>
    <w:rsid w:val="1813F586"/>
    <w:rsid w:val="1814B1E8"/>
    <w:rsid w:val="18150634"/>
    <w:rsid w:val="18151C06"/>
    <w:rsid w:val="18151F18"/>
    <w:rsid w:val="181526DC"/>
    <w:rsid w:val="1817F5B4"/>
    <w:rsid w:val="1818E697"/>
    <w:rsid w:val="18191354"/>
    <w:rsid w:val="181A094D"/>
    <w:rsid w:val="181B5A3A"/>
    <w:rsid w:val="181B6633"/>
    <w:rsid w:val="181CBCEE"/>
    <w:rsid w:val="181D35A4"/>
    <w:rsid w:val="181D8841"/>
    <w:rsid w:val="181DBA2F"/>
    <w:rsid w:val="181E7368"/>
    <w:rsid w:val="1820C55A"/>
    <w:rsid w:val="1821EC75"/>
    <w:rsid w:val="1822AD49"/>
    <w:rsid w:val="1822C7FA"/>
    <w:rsid w:val="182339A5"/>
    <w:rsid w:val="1824BBA3"/>
    <w:rsid w:val="1824D088"/>
    <w:rsid w:val="18261AA4"/>
    <w:rsid w:val="18262D70"/>
    <w:rsid w:val="1826F9E7"/>
    <w:rsid w:val="18273E40"/>
    <w:rsid w:val="1828A1E4"/>
    <w:rsid w:val="1828E57F"/>
    <w:rsid w:val="1829098F"/>
    <w:rsid w:val="18290DE5"/>
    <w:rsid w:val="18295C79"/>
    <w:rsid w:val="182A5000"/>
    <w:rsid w:val="182AA51C"/>
    <w:rsid w:val="182B6FA8"/>
    <w:rsid w:val="182C0C12"/>
    <w:rsid w:val="182C2146"/>
    <w:rsid w:val="182C3C08"/>
    <w:rsid w:val="182CD687"/>
    <w:rsid w:val="182D09C7"/>
    <w:rsid w:val="182D2B53"/>
    <w:rsid w:val="182DDFDF"/>
    <w:rsid w:val="182EC119"/>
    <w:rsid w:val="182F03E4"/>
    <w:rsid w:val="182FD73E"/>
    <w:rsid w:val="1830306C"/>
    <w:rsid w:val="18304D3C"/>
    <w:rsid w:val="18306B3F"/>
    <w:rsid w:val="1831E2D2"/>
    <w:rsid w:val="183367DE"/>
    <w:rsid w:val="1833B6B7"/>
    <w:rsid w:val="1833F5EC"/>
    <w:rsid w:val="18344389"/>
    <w:rsid w:val="18389A69"/>
    <w:rsid w:val="1838BBE6"/>
    <w:rsid w:val="1838BEC0"/>
    <w:rsid w:val="18394183"/>
    <w:rsid w:val="1839FB16"/>
    <w:rsid w:val="183A0FF0"/>
    <w:rsid w:val="183A3859"/>
    <w:rsid w:val="183AB519"/>
    <w:rsid w:val="183D4E25"/>
    <w:rsid w:val="183D80E7"/>
    <w:rsid w:val="183D9F71"/>
    <w:rsid w:val="183E16C7"/>
    <w:rsid w:val="183F1D5E"/>
    <w:rsid w:val="183F4A5A"/>
    <w:rsid w:val="184098BF"/>
    <w:rsid w:val="1840A265"/>
    <w:rsid w:val="1840B780"/>
    <w:rsid w:val="1841BB2D"/>
    <w:rsid w:val="1842AC48"/>
    <w:rsid w:val="184350EC"/>
    <w:rsid w:val="184371FA"/>
    <w:rsid w:val="1843C610"/>
    <w:rsid w:val="1844D278"/>
    <w:rsid w:val="18458B68"/>
    <w:rsid w:val="18460191"/>
    <w:rsid w:val="1846169D"/>
    <w:rsid w:val="18463843"/>
    <w:rsid w:val="184691F7"/>
    <w:rsid w:val="18470340"/>
    <w:rsid w:val="184752E0"/>
    <w:rsid w:val="18476905"/>
    <w:rsid w:val="1847BE6F"/>
    <w:rsid w:val="1847FED3"/>
    <w:rsid w:val="184856BD"/>
    <w:rsid w:val="1848844A"/>
    <w:rsid w:val="1848A98A"/>
    <w:rsid w:val="1849C6BC"/>
    <w:rsid w:val="1849FB3D"/>
    <w:rsid w:val="184C2460"/>
    <w:rsid w:val="184C5C27"/>
    <w:rsid w:val="184C7CCD"/>
    <w:rsid w:val="184D255E"/>
    <w:rsid w:val="184D6703"/>
    <w:rsid w:val="184D6A31"/>
    <w:rsid w:val="184D7AFD"/>
    <w:rsid w:val="184DA4EA"/>
    <w:rsid w:val="184DD322"/>
    <w:rsid w:val="184E58AB"/>
    <w:rsid w:val="184EA4B7"/>
    <w:rsid w:val="184F9085"/>
    <w:rsid w:val="18500CD2"/>
    <w:rsid w:val="185029D1"/>
    <w:rsid w:val="18504F82"/>
    <w:rsid w:val="1850A6EF"/>
    <w:rsid w:val="1850E25A"/>
    <w:rsid w:val="185147A9"/>
    <w:rsid w:val="1853587A"/>
    <w:rsid w:val="1853FC18"/>
    <w:rsid w:val="18540E07"/>
    <w:rsid w:val="18542AD7"/>
    <w:rsid w:val="18545ED7"/>
    <w:rsid w:val="18549C40"/>
    <w:rsid w:val="1855DAE7"/>
    <w:rsid w:val="1855DB0A"/>
    <w:rsid w:val="1856279D"/>
    <w:rsid w:val="18569E07"/>
    <w:rsid w:val="1856D27A"/>
    <w:rsid w:val="18584B6E"/>
    <w:rsid w:val="1858819E"/>
    <w:rsid w:val="1858C743"/>
    <w:rsid w:val="18594821"/>
    <w:rsid w:val="185A004C"/>
    <w:rsid w:val="185AC739"/>
    <w:rsid w:val="185C8815"/>
    <w:rsid w:val="185CAED1"/>
    <w:rsid w:val="185D6E23"/>
    <w:rsid w:val="185D9727"/>
    <w:rsid w:val="185F8C1E"/>
    <w:rsid w:val="185F9746"/>
    <w:rsid w:val="185FF508"/>
    <w:rsid w:val="1860B8B0"/>
    <w:rsid w:val="1861FC64"/>
    <w:rsid w:val="18621A1F"/>
    <w:rsid w:val="1862FF74"/>
    <w:rsid w:val="18630F3F"/>
    <w:rsid w:val="18637665"/>
    <w:rsid w:val="1863D00C"/>
    <w:rsid w:val="1864337F"/>
    <w:rsid w:val="186467C9"/>
    <w:rsid w:val="1864EAD5"/>
    <w:rsid w:val="186552F2"/>
    <w:rsid w:val="1865D884"/>
    <w:rsid w:val="186623E0"/>
    <w:rsid w:val="18662B45"/>
    <w:rsid w:val="1866C56D"/>
    <w:rsid w:val="18671586"/>
    <w:rsid w:val="1867317B"/>
    <w:rsid w:val="1867C14D"/>
    <w:rsid w:val="1867E247"/>
    <w:rsid w:val="1868A8C5"/>
    <w:rsid w:val="1868F327"/>
    <w:rsid w:val="18695123"/>
    <w:rsid w:val="186A1FCE"/>
    <w:rsid w:val="186B06FB"/>
    <w:rsid w:val="186B4FE2"/>
    <w:rsid w:val="186B8E77"/>
    <w:rsid w:val="186B971B"/>
    <w:rsid w:val="186BCE95"/>
    <w:rsid w:val="186C3058"/>
    <w:rsid w:val="186CD06C"/>
    <w:rsid w:val="186D7B4C"/>
    <w:rsid w:val="186F7BE7"/>
    <w:rsid w:val="1870E846"/>
    <w:rsid w:val="1871EDCD"/>
    <w:rsid w:val="1872372B"/>
    <w:rsid w:val="18735D88"/>
    <w:rsid w:val="1873665E"/>
    <w:rsid w:val="18737BBD"/>
    <w:rsid w:val="1874D46B"/>
    <w:rsid w:val="1874F222"/>
    <w:rsid w:val="18795D1E"/>
    <w:rsid w:val="18799DA2"/>
    <w:rsid w:val="1879F186"/>
    <w:rsid w:val="187A8CE6"/>
    <w:rsid w:val="187B97CC"/>
    <w:rsid w:val="187BD813"/>
    <w:rsid w:val="187BEF24"/>
    <w:rsid w:val="187C0DD1"/>
    <w:rsid w:val="187C9B34"/>
    <w:rsid w:val="187D32BE"/>
    <w:rsid w:val="187D5F8F"/>
    <w:rsid w:val="187EAB07"/>
    <w:rsid w:val="187F04CB"/>
    <w:rsid w:val="187FD5DA"/>
    <w:rsid w:val="18802634"/>
    <w:rsid w:val="18806B58"/>
    <w:rsid w:val="188137B2"/>
    <w:rsid w:val="1881BB51"/>
    <w:rsid w:val="18826648"/>
    <w:rsid w:val="1882A1A1"/>
    <w:rsid w:val="1883B908"/>
    <w:rsid w:val="1883ECFD"/>
    <w:rsid w:val="18848CDD"/>
    <w:rsid w:val="1884DFF1"/>
    <w:rsid w:val="18852EB1"/>
    <w:rsid w:val="1886A6BC"/>
    <w:rsid w:val="1886BA77"/>
    <w:rsid w:val="1887F998"/>
    <w:rsid w:val="18897857"/>
    <w:rsid w:val="188A23A9"/>
    <w:rsid w:val="188A6DC2"/>
    <w:rsid w:val="188AE1CC"/>
    <w:rsid w:val="188B2E2E"/>
    <w:rsid w:val="188BD49A"/>
    <w:rsid w:val="188C3716"/>
    <w:rsid w:val="188D2C28"/>
    <w:rsid w:val="188D3290"/>
    <w:rsid w:val="188D4BE3"/>
    <w:rsid w:val="188D90FB"/>
    <w:rsid w:val="188F055E"/>
    <w:rsid w:val="188F5AB9"/>
    <w:rsid w:val="188F9C1B"/>
    <w:rsid w:val="188FAF0B"/>
    <w:rsid w:val="18903AB0"/>
    <w:rsid w:val="18905AE4"/>
    <w:rsid w:val="1890AA9E"/>
    <w:rsid w:val="18917F93"/>
    <w:rsid w:val="1891947B"/>
    <w:rsid w:val="189282DF"/>
    <w:rsid w:val="18928718"/>
    <w:rsid w:val="1892C3EE"/>
    <w:rsid w:val="18937F2E"/>
    <w:rsid w:val="18939254"/>
    <w:rsid w:val="189428FE"/>
    <w:rsid w:val="1895808D"/>
    <w:rsid w:val="1895FAE1"/>
    <w:rsid w:val="189680C4"/>
    <w:rsid w:val="1898387C"/>
    <w:rsid w:val="18988F8E"/>
    <w:rsid w:val="18996975"/>
    <w:rsid w:val="18996DD0"/>
    <w:rsid w:val="18999FD8"/>
    <w:rsid w:val="1899A88D"/>
    <w:rsid w:val="189A579C"/>
    <w:rsid w:val="189AD212"/>
    <w:rsid w:val="189AE199"/>
    <w:rsid w:val="189B3A47"/>
    <w:rsid w:val="189B5B9B"/>
    <w:rsid w:val="189B9CC6"/>
    <w:rsid w:val="189BD4CD"/>
    <w:rsid w:val="189C6AD5"/>
    <w:rsid w:val="189C981C"/>
    <w:rsid w:val="189D00E5"/>
    <w:rsid w:val="189F4936"/>
    <w:rsid w:val="18A0B165"/>
    <w:rsid w:val="18A0BF6C"/>
    <w:rsid w:val="18A1C1B4"/>
    <w:rsid w:val="18A201E7"/>
    <w:rsid w:val="18A22DCB"/>
    <w:rsid w:val="18A415E2"/>
    <w:rsid w:val="18A4B222"/>
    <w:rsid w:val="18A58FD7"/>
    <w:rsid w:val="18A60727"/>
    <w:rsid w:val="18A631C2"/>
    <w:rsid w:val="18A6F114"/>
    <w:rsid w:val="18A7A684"/>
    <w:rsid w:val="18A7E391"/>
    <w:rsid w:val="18A7EE3F"/>
    <w:rsid w:val="18A8C8EA"/>
    <w:rsid w:val="18AA463B"/>
    <w:rsid w:val="18AA7542"/>
    <w:rsid w:val="18ABB806"/>
    <w:rsid w:val="18ABDE50"/>
    <w:rsid w:val="18AC251D"/>
    <w:rsid w:val="18AC26C6"/>
    <w:rsid w:val="18AC957D"/>
    <w:rsid w:val="18AE3E5D"/>
    <w:rsid w:val="18AE52EE"/>
    <w:rsid w:val="18AE58FB"/>
    <w:rsid w:val="18AE63EB"/>
    <w:rsid w:val="18AE94C4"/>
    <w:rsid w:val="18AF15AD"/>
    <w:rsid w:val="18AF303A"/>
    <w:rsid w:val="18AFEA26"/>
    <w:rsid w:val="18B01095"/>
    <w:rsid w:val="18B0429E"/>
    <w:rsid w:val="18B06AFE"/>
    <w:rsid w:val="18B11BDF"/>
    <w:rsid w:val="18B2008D"/>
    <w:rsid w:val="18B2CE31"/>
    <w:rsid w:val="18B32278"/>
    <w:rsid w:val="18B4280D"/>
    <w:rsid w:val="18B45E15"/>
    <w:rsid w:val="18B46EDC"/>
    <w:rsid w:val="18B57B13"/>
    <w:rsid w:val="18B58892"/>
    <w:rsid w:val="18B5DD86"/>
    <w:rsid w:val="18B62885"/>
    <w:rsid w:val="18B64753"/>
    <w:rsid w:val="18B75CE5"/>
    <w:rsid w:val="18B78A6C"/>
    <w:rsid w:val="18B8975C"/>
    <w:rsid w:val="18B924FE"/>
    <w:rsid w:val="18B9513F"/>
    <w:rsid w:val="18B9E79B"/>
    <w:rsid w:val="18BA5E92"/>
    <w:rsid w:val="18BA6823"/>
    <w:rsid w:val="18BA7633"/>
    <w:rsid w:val="18BADD1A"/>
    <w:rsid w:val="18BAE7BF"/>
    <w:rsid w:val="18BB726A"/>
    <w:rsid w:val="18BBA0E1"/>
    <w:rsid w:val="18BBC6E0"/>
    <w:rsid w:val="18BC861B"/>
    <w:rsid w:val="18BD1706"/>
    <w:rsid w:val="18BEB2B1"/>
    <w:rsid w:val="18BEBF8B"/>
    <w:rsid w:val="18BED159"/>
    <w:rsid w:val="18BF4626"/>
    <w:rsid w:val="18BF481B"/>
    <w:rsid w:val="18BF6DC1"/>
    <w:rsid w:val="18C04B2E"/>
    <w:rsid w:val="18C0594D"/>
    <w:rsid w:val="18C11184"/>
    <w:rsid w:val="18C20865"/>
    <w:rsid w:val="18C2934E"/>
    <w:rsid w:val="18C56F6C"/>
    <w:rsid w:val="18C68E18"/>
    <w:rsid w:val="18C6C403"/>
    <w:rsid w:val="18C6D1FD"/>
    <w:rsid w:val="18C70923"/>
    <w:rsid w:val="18C7D5F4"/>
    <w:rsid w:val="18C7DB99"/>
    <w:rsid w:val="18C878CD"/>
    <w:rsid w:val="18C90AD3"/>
    <w:rsid w:val="18C937BE"/>
    <w:rsid w:val="18C9855B"/>
    <w:rsid w:val="18C98A68"/>
    <w:rsid w:val="18CB09E3"/>
    <w:rsid w:val="18CB26B1"/>
    <w:rsid w:val="18CB6346"/>
    <w:rsid w:val="18CBFA67"/>
    <w:rsid w:val="18CC85A4"/>
    <w:rsid w:val="18CD1B6F"/>
    <w:rsid w:val="18CD6C95"/>
    <w:rsid w:val="18CDA993"/>
    <w:rsid w:val="18CDB5F0"/>
    <w:rsid w:val="18CDC476"/>
    <w:rsid w:val="18CE362D"/>
    <w:rsid w:val="18CEC00D"/>
    <w:rsid w:val="18CF1293"/>
    <w:rsid w:val="18D02F41"/>
    <w:rsid w:val="18D093E4"/>
    <w:rsid w:val="18D0FA8F"/>
    <w:rsid w:val="18D10B02"/>
    <w:rsid w:val="18D11C19"/>
    <w:rsid w:val="18D1344C"/>
    <w:rsid w:val="18D1AFB0"/>
    <w:rsid w:val="18D28E04"/>
    <w:rsid w:val="18D32A9C"/>
    <w:rsid w:val="18D34574"/>
    <w:rsid w:val="18D34AAA"/>
    <w:rsid w:val="18D367CA"/>
    <w:rsid w:val="18D379F9"/>
    <w:rsid w:val="18D3D916"/>
    <w:rsid w:val="18D422BF"/>
    <w:rsid w:val="18D4B99A"/>
    <w:rsid w:val="18D5D2DE"/>
    <w:rsid w:val="18D6A782"/>
    <w:rsid w:val="18D8AB73"/>
    <w:rsid w:val="18D8C7B3"/>
    <w:rsid w:val="18D9540E"/>
    <w:rsid w:val="18D9602E"/>
    <w:rsid w:val="18DAB323"/>
    <w:rsid w:val="18DBD8B7"/>
    <w:rsid w:val="18DCC1AD"/>
    <w:rsid w:val="18DCD38B"/>
    <w:rsid w:val="18DD42BA"/>
    <w:rsid w:val="18DDF147"/>
    <w:rsid w:val="18DE0D2B"/>
    <w:rsid w:val="18DE1F7F"/>
    <w:rsid w:val="18DE5063"/>
    <w:rsid w:val="18DEDACF"/>
    <w:rsid w:val="18DEED30"/>
    <w:rsid w:val="18DF046A"/>
    <w:rsid w:val="18DF3D37"/>
    <w:rsid w:val="18DF83D3"/>
    <w:rsid w:val="18DF9E54"/>
    <w:rsid w:val="18E0240C"/>
    <w:rsid w:val="18E1056C"/>
    <w:rsid w:val="18E10931"/>
    <w:rsid w:val="18E19C56"/>
    <w:rsid w:val="18E1A424"/>
    <w:rsid w:val="18E2332D"/>
    <w:rsid w:val="18E27437"/>
    <w:rsid w:val="18E2BEE2"/>
    <w:rsid w:val="18E2E7C7"/>
    <w:rsid w:val="18E3CB0D"/>
    <w:rsid w:val="18E3D980"/>
    <w:rsid w:val="18E4024E"/>
    <w:rsid w:val="18E431ED"/>
    <w:rsid w:val="18E4D467"/>
    <w:rsid w:val="18E60411"/>
    <w:rsid w:val="18E64DC4"/>
    <w:rsid w:val="18E68C4B"/>
    <w:rsid w:val="18E696A1"/>
    <w:rsid w:val="18E6979D"/>
    <w:rsid w:val="18E6F403"/>
    <w:rsid w:val="18E759A8"/>
    <w:rsid w:val="18E7775C"/>
    <w:rsid w:val="18E7A821"/>
    <w:rsid w:val="18E7BBDC"/>
    <w:rsid w:val="18E7C34E"/>
    <w:rsid w:val="18E809D6"/>
    <w:rsid w:val="18E83742"/>
    <w:rsid w:val="18E859F4"/>
    <w:rsid w:val="18E90B1A"/>
    <w:rsid w:val="18E99622"/>
    <w:rsid w:val="18E9ED7D"/>
    <w:rsid w:val="18EA4F93"/>
    <w:rsid w:val="18EA5724"/>
    <w:rsid w:val="18EA7958"/>
    <w:rsid w:val="18EAC606"/>
    <w:rsid w:val="18EAF47D"/>
    <w:rsid w:val="18EB0002"/>
    <w:rsid w:val="18EB1725"/>
    <w:rsid w:val="18EBCC4E"/>
    <w:rsid w:val="18EC44B9"/>
    <w:rsid w:val="18ECA782"/>
    <w:rsid w:val="18EEF9CE"/>
    <w:rsid w:val="18EF76AF"/>
    <w:rsid w:val="18EF9346"/>
    <w:rsid w:val="18F13732"/>
    <w:rsid w:val="18F1EA4F"/>
    <w:rsid w:val="18F25CD9"/>
    <w:rsid w:val="18F28A36"/>
    <w:rsid w:val="18F2F4F8"/>
    <w:rsid w:val="18F36D5F"/>
    <w:rsid w:val="18F5331B"/>
    <w:rsid w:val="18F54416"/>
    <w:rsid w:val="18F5C87F"/>
    <w:rsid w:val="18F5D6E5"/>
    <w:rsid w:val="18F6782D"/>
    <w:rsid w:val="18F73882"/>
    <w:rsid w:val="18F7E964"/>
    <w:rsid w:val="18F7E9E9"/>
    <w:rsid w:val="18F86AC7"/>
    <w:rsid w:val="18F8F6EB"/>
    <w:rsid w:val="18F91ED7"/>
    <w:rsid w:val="18F9A9AE"/>
    <w:rsid w:val="18F9B375"/>
    <w:rsid w:val="18F9C9A4"/>
    <w:rsid w:val="18FAB9CE"/>
    <w:rsid w:val="18FB30DF"/>
    <w:rsid w:val="18FB4173"/>
    <w:rsid w:val="18FBAE34"/>
    <w:rsid w:val="18FC6A9D"/>
    <w:rsid w:val="18FCA3E2"/>
    <w:rsid w:val="18FD78B5"/>
    <w:rsid w:val="18FDC737"/>
    <w:rsid w:val="18FE7C5C"/>
    <w:rsid w:val="190013AD"/>
    <w:rsid w:val="19001BB0"/>
    <w:rsid w:val="190050F0"/>
    <w:rsid w:val="19005A28"/>
    <w:rsid w:val="19007021"/>
    <w:rsid w:val="190086C3"/>
    <w:rsid w:val="19009FCC"/>
    <w:rsid w:val="1900E39B"/>
    <w:rsid w:val="1901CF1D"/>
    <w:rsid w:val="19020737"/>
    <w:rsid w:val="190257AB"/>
    <w:rsid w:val="1902A136"/>
    <w:rsid w:val="1902D4DD"/>
    <w:rsid w:val="19033BF3"/>
    <w:rsid w:val="1903D956"/>
    <w:rsid w:val="19040C6B"/>
    <w:rsid w:val="190426D8"/>
    <w:rsid w:val="1904387A"/>
    <w:rsid w:val="1904C35B"/>
    <w:rsid w:val="19051DAD"/>
    <w:rsid w:val="19058641"/>
    <w:rsid w:val="19063878"/>
    <w:rsid w:val="1906448B"/>
    <w:rsid w:val="1906E27F"/>
    <w:rsid w:val="19077E1A"/>
    <w:rsid w:val="19078EB8"/>
    <w:rsid w:val="190858CB"/>
    <w:rsid w:val="19092DA6"/>
    <w:rsid w:val="19099C85"/>
    <w:rsid w:val="190A088A"/>
    <w:rsid w:val="190AE16F"/>
    <w:rsid w:val="190AEEF3"/>
    <w:rsid w:val="190BF75D"/>
    <w:rsid w:val="190C3528"/>
    <w:rsid w:val="190C6775"/>
    <w:rsid w:val="190D12F6"/>
    <w:rsid w:val="190DB7F4"/>
    <w:rsid w:val="190E28E9"/>
    <w:rsid w:val="190E2DAE"/>
    <w:rsid w:val="190F9587"/>
    <w:rsid w:val="191143BF"/>
    <w:rsid w:val="1911B437"/>
    <w:rsid w:val="1911CC69"/>
    <w:rsid w:val="191291EB"/>
    <w:rsid w:val="1912AD0C"/>
    <w:rsid w:val="1913E23A"/>
    <w:rsid w:val="19149FF9"/>
    <w:rsid w:val="1914D0E8"/>
    <w:rsid w:val="1914D1ED"/>
    <w:rsid w:val="1915DE01"/>
    <w:rsid w:val="1917B14E"/>
    <w:rsid w:val="1917CC4D"/>
    <w:rsid w:val="1917FA5D"/>
    <w:rsid w:val="1918141E"/>
    <w:rsid w:val="19185162"/>
    <w:rsid w:val="19185264"/>
    <w:rsid w:val="1918BC40"/>
    <w:rsid w:val="1918FACB"/>
    <w:rsid w:val="191908BA"/>
    <w:rsid w:val="19195A31"/>
    <w:rsid w:val="1919B58C"/>
    <w:rsid w:val="191A9C52"/>
    <w:rsid w:val="191BAF14"/>
    <w:rsid w:val="191C250B"/>
    <w:rsid w:val="191C3C87"/>
    <w:rsid w:val="191CA78E"/>
    <w:rsid w:val="191D1A53"/>
    <w:rsid w:val="191D639B"/>
    <w:rsid w:val="191DBE2C"/>
    <w:rsid w:val="191E7C1A"/>
    <w:rsid w:val="191EA165"/>
    <w:rsid w:val="191ED0C8"/>
    <w:rsid w:val="191F2ABF"/>
    <w:rsid w:val="191F677B"/>
    <w:rsid w:val="191F7091"/>
    <w:rsid w:val="191F95FA"/>
    <w:rsid w:val="191FD699"/>
    <w:rsid w:val="19204D7F"/>
    <w:rsid w:val="19204DAF"/>
    <w:rsid w:val="1920B979"/>
    <w:rsid w:val="1920BF50"/>
    <w:rsid w:val="1920DABA"/>
    <w:rsid w:val="192383E2"/>
    <w:rsid w:val="192388D8"/>
    <w:rsid w:val="1924220E"/>
    <w:rsid w:val="19242A9C"/>
    <w:rsid w:val="19246810"/>
    <w:rsid w:val="1924D60C"/>
    <w:rsid w:val="1925297D"/>
    <w:rsid w:val="192630AC"/>
    <w:rsid w:val="19264E5D"/>
    <w:rsid w:val="1926A33C"/>
    <w:rsid w:val="1926FC87"/>
    <w:rsid w:val="192893BD"/>
    <w:rsid w:val="1928B243"/>
    <w:rsid w:val="192A2195"/>
    <w:rsid w:val="192B06B7"/>
    <w:rsid w:val="192B0C6B"/>
    <w:rsid w:val="192B4F2C"/>
    <w:rsid w:val="192B81AF"/>
    <w:rsid w:val="192BA2C9"/>
    <w:rsid w:val="192C67FF"/>
    <w:rsid w:val="192D03BA"/>
    <w:rsid w:val="192E70F1"/>
    <w:rsid w:val="192EC88D"/>
    <w:rsid w:val="192F1C69"/>
    <w:rsid w:val="192FD482"/>
    <w:rsid w:val="192FDB57"/>
    <w:rsid w:val="19301EA5"/>
    <w:rsid w:val="1930F244"/>
    <w:rsid w:val="19317A1D"/>
    <w:rsid w:val="1932F713"/>
    <w:rsid w:val="1934567A"/>
    <w:rsid w:val="1934E8F3"/>
    <w:rsid w:val="19352DA8"/>
    <w:rsid w:val="19352E89"/>
    <w:rsid w:val="1935DC72"/>
    <w:rsid w:val="19369F43"/>
    <w:rsid w:val="1937AAD5"/>
    <w:rsid w:val="1937D831"/>
    <w:rsid w:val="1938D5DA"/>
    <w:rsid w:val="1938F47A"/>
    <w:rsid w:val="19398290"/>
    <w:rsid w:val="193AF149"/>
    <w:rsid w:val="193AF39A"/>
    <w:rsid w:val="193BB5CC"/>
    <w:rsid w:val="193C14C5"/>
    <w:rsid w:val="193C26B5"/>
    <w:rsid w:val="193C2BB1"/>
    <w:rsid w:val="193C34D9"/>
    <w:rsid w:val="193C904E"/>
    <w:rsid w:val="193CF4B1"/>
    <w:rsid w:val="193DDFCB"/>
    <w:rsid w:val="193DE721"/>
    <w:rsid w:val="193E19E5"/>
    <w:rsid w:val="193E36FE"/>
    <w:rsid w:val="193E3E2F"/>
    <w:rsid w:val="193F5DBA"/>
    <w:rsid w:val="193F7ADB"/>
    <w:rsid w:val="19400255"/>
    <w:rsid w:val="19416CDF"/>
    <w:rsid w:val="194201E4"/>
    <w:rsid w:val="194226EB"/>
    <w:rsid w:val="1942DEE5"/>
    <w:rsid w:val="19433E08"/>
    <w:rsid w:val="19436C4A"/>
    <w:rsid w:val="19440817"/>
    <w:rsid w:val="19448F8E"/>
    <w:rsid w:val="1945E5BB"/>
    <w:rsid w:val="1945EF42"/>
    <w:rsid w:val="194616A3"/>
    <w:rsid w:val="19464890"/>
    <w:rsid w:val="1946660C"/>
    <w:rsid w:val="1947518C"/>
    <w:rsid w:val="194785DE"/>
    <w:rsid w:val="19479BDA"/>
    <w:rsid w:val="1948071D"/>
    <w:rsid w:val="19488824"/>
    <w:rsid w:val="1948903C"/>
    <w:rsid w:val="194907E8"/>
    <w:rsid w:val="194914CF"/>
    <w:rsid w:val="19493751"/>
    <w:rsid w:val="1949547D"/>
    <w:rsid w:val="194982B9"/>
    <w:rsid w:val="194C1AF0"/>
    <w:rsid w:val="194CF574"/>
    <w:rsid w:val="194D0C2B"/>
    <w:rsid w:val="194D8AF0"/>
    <w:rsid w:val="194D9BAE"/>
    <w:rsid w:val="194DB6ED"/>
    <w:rsid w:val="194E3B0C"/>
    <w:rsid w:val="194EF024"/>
    <w:rsid w:val="194F128A"/>
    <w:rsid w:val="194F7899"/>
    <w:rsid w:val="194F9C22"/>
    <w:rsid w:val="19504D59"/>
    <w:rsid w:val="1951DEF5"/>
    <w:rsid w:val="195253C1"/>
    <w:rsid w:val="19525C09"/>
    <w:rsid w:val="19526E0D"/>
    <w:rsid w:val="19533D9A"/>
    <w:rsid w:val="1953A76F"/>
    <w:rsid w:val="1953D361"/>
    <w:rsid w:val="1953DDCB"/>
    <w:rsid w:val="1953F1E8"/>
    <w:rsid w:val="1954120D"/>
    <w:rsid w:val="19550742"/>
    <w:rsid w:val="19553EEC"/>
    <w:rsid w:val="19556D07"/>
    <w:rsid w:val="19564C42"/>
    <w:rsid w:val="19572732"/>
    <w:rsid w:val="19575ACB"/>
    <w:rsid w:val="1957B509"/>
    <w:rsid w:val="1957BB2F"/>
    <w:rsid w:val="1957CEAA"/>
    <w:rsid w:val="1957E80E"/>
    <w:rsid w:val="1958B016"/>
    <w:rsid w:val="1958F909"/>
    <w:rsid w:val="19590C99"/>
    <w:rsid w:val="1959159C"/>
    <w:rsid w:val="19596B3E"/>
    <w:rsid w:val="1959F6E7"/>
    <w:rsid w:val="195A0933"/>
    <w:rsid w:val="195A105B"/>
    <w:rsid w:val="195A1F89"/>
    <w:rsid w:val="195A2403"/>
    <w:rsid w:val="195A51BD"/>
    <w:rsid w:val="195BED0D"/>
    <w:rsid w:val="195C8B69"/>
    <w:rsid w:val="195DADB6"/>
    <w:rsid w:val="195E3018"/>
    <w:rsid w:val="195E30B2"/>
    <w:rsid w:val="195EF880"/>
    <w:rsid w:val="19600B01"/>
    <w:rsid w:val="196015B3"/>
    <w:rsid w:val="19601810"/>
    <w:rsid w:val="19604662"/>
    <w:rsid w:val="19605492"/>
    <w:rsid w:val="196076F7"/>
    <w:rsid w:val="19611AD5"/>
    <w:rsid w:val="19612B96"/>
    <w:rsid w:val="1961E035"/>
    <w:rsid w:val="19627ABA"/>
    <w:rsid w:val="1963217A"/>
    <w:rsid w:val="19637CD3"/>
    <w:rsid w:val="1964FED1"/>
    <w:rsid w:val="1965061E"/>
    <w:rsid w:val="1965090A"/>
    <w:rsid w:val="19655E0B"/>
    <w:rsid w:val="19669FD5"/>
    <w:rsid w:val="19678C9A"/>
    <w:rsid w:val="1968187F"/>
    <w:rsid w:val="19683566"/>
    <w:rsid w:val="1968F6FD"/>
    <w:rsid w:val="1969C8F2"/>
    <w:rsid w:val="1969F03F"/>
    <w:rsid w:val="196A39EA"/>
    <w:rsid w:val="196A3A71"/>
    <w:rsid w:val="196A51D5"/>
    <w:rsid w:val="196B17EE"/>
    <w:rsid w:val="196BA664"/>
    <w:rsid w:val="196C2426"/>
    <w:rsid w:val="196C267C"/>
    <w:rsid w:val="196C7E2D"/>
    <w:rsid w:val="196CD4CE"/>
    <w:rsid w:val="196DEEC8"/>
    <w:rsid w:val="196E1540"/>
    <w:rsid w:val="196EB2B8"/>
    <w:rsid w:val="196EE73E"/>
    <w:rsid w:val="196F6821"/>
    <w:rsid w:val="196F9556"/>
    <w:rsid w:val="196FF030"/>
    <w:rsid w:val="197016E8"/>
    <w:rsid w:val="1971308C"/>
    <w:rsid w:val="19717D4C"/>
    <w:rsid w:val="1971C403"/>
    <w:rsid w:val="1972EA2C"/>
    <w:rsid w:val="1972FEAB"/>
    <w:rsid w:val="19737140"/>
    <w:rsid w:val="1973B234"/>
    <w:rsid w:val="19748F47"/>
    <w:rsid w:val="19755F6F"/>
    <w:rsid w:val="197572AB"/>
    <w:rsid w:val="1975BBE4"/>
    <w:rsid w:val="1975D7AF"/>
    <w:rsid w:val="19763863"/>
    <w:rsid w:val="19767499"/>
    <w:rsid w:val="1977209A"/>
    <w:rsid w:val="1977A4B3"/>
    <w:rsid w:val="1977A77B"/>
    <w:rsid w:val="1977C59F"/>
    <w:rsid w:val="1978CB4D"/>
    <w:rsid w:val="19795E67"/>
    <w:rsid w:val="197A74DD"/>
    <w:rsid w:val="197A92F8"/>
    <w:rsid w:val="197BDB1A"/>
    <w:rsid w:val="197EBDEA"/>
    <w:rsid w:val="197FD326"/>
    <w:rsid w:val="1980E88A"/>
    <w:rsid w:val="19817916"/>
    <w:rsid w:val="1981913B"/>
    <w:rsid w:val="1981B40A"/>
    <w:rsid w:val="1981DBE1"/>
    <w:rsid w:val="1982F6B1"/>
    <w:rsid w:val="1984BB0E"/>
    <w:rsid w:val="1985258E"/>
    <w:rsid w:val="19857C36"/>
    <w:rsid w:val="19865328"/>
    <w:rsid w:val="19879621"/>
    <w:rsid w:val="19880CBE"/>
    <w:rsid w:val="1988C8DB"/>
    <w:rsid w:val="1988D324"/>
    <w:rsid w:val="1989D3D6"/>
    <w:rsid w:val="198A9839"/>
    <w:rsid w:val="198B39DD"/>
    <w:rsid w:val="198B5134"/>
    <w:rsid w:val="198BA88F"/>
    <w:rsid w:val="198CA7AD"/>
    <w:rsid w:val="198CA969"/>
    <w:rsid w:val="198D7A38"/>
    <w:rsid w:val="198D7EBA"/>
    <w:rsid w:val="198DAF62"/>
    <w:rsid w:val="198E40F8"/>
    <w:rsid w:val="198FAA17"/>
    <w:rsid w:val="198FE339"/>
    <w:rsid w:val="1990E9BF"/>
    <w:rsid w:val="19916309"/>
    <w:rsid w:val="1991907F"/>
    <w:rsid w:val="1991D5AB"/>
    <w:rsid w:val="19927911"/>
    <w:rsid w:val="1992CD1F"/>
    <w:rsid w:val="1993F240"/>
    <w:rsid w:val="19942EF1"/>
    <w:rsid w:val="1994672F"/>
    <w:rsid w:val="199507CF"/>
    <w:rsid w:val="19952F91"/>
    <w:rsid w:val="199553BD"/>
    <w:rsid w:val="19955E88"/>
    <w:rsid w:val="19959CE9"/>
    <w:rsid w:val="1996ABD3"/>
    <w:rsid w:val="1996D059"/>
    <w:rsid w:val="1996DA89"/>
    <w:rsid w:val="1997065B"/>
    <w:rsid w:val="1997152C"/>
    <w:rsid w:val="199716F9"/>
    <w:rsid w:val="19989C4E"/>
    <w:rsid w:val="199CCEE2"/>
    <w:rsid w:val="199D09FD"/>
    <w:rsid w:val="199D0F1A"/>
    <w:rsid w:val="199D9FE7"/>
    <w:rsid w:val="199DC15A"/>
    <w:rsid w:val="199DDBE0"/>
    <w:rsid w:val="199DE4B6"/>
    <w:rsid w:val="199FC320"/>
    <w:rsid w:val="199FECEC"/>
    <w:rsid w:val="19A05BE3"/>
    <w:rsid w:val="19A0765B"/>
    <w:rsid w:val="19A215C6"/>
    <w:rsid w:val="19A2B019"/>
    <w:rsid w:val="19A2DA47"/>
    <w:rsid w:val="19A309DD"/>
    <w:rsid w:val="19A3289F"/>
    <w:rsid w:val="19A45E16"/>
    <w:rsid w:val="19A53EF7"/>
    <w:rsid w:val="19A59A28"/>
    <w:rsid w:val="19A61E83"/>
    <w:rsid w:val="19A63E2F"/>
    <w:rsid w:val="19A7A56F"/>
    <w:rsid w:val="19A8D3DD"/>
    <w:rsid w:val="19A903DE"/>
    <w:rsid w:val="19A9C170"/>
    <w:rsid w:val="19AA2AEE"/>
    <w:rsid w:val="19AA7FEF"/>
    <w:rsid w:val="19AAC07F"/>
    <w:rsid w:val="19AB0781"/>
    <w:rsid w:val="19AB27AC"/>
    <w:rsid w:val="19AB3AA7"/>
    <w:rsid w:val="19AD021E"/>
    <w:rsid w:val="19AD7FBD"/>
    <w:rsid w:val="19AD8336"/>
    <w:rsid w:val="19AD97F1"/>
    <w:rsid w:val="19AE2C8D"/>
    <w:rsid w:val="19AE7493"/>
    <w:rsid w:val="19AE9B91"/>
    <w:rsid w:val="19B00CD0"/>
    <w:rsid w:val="19B08B4D"/>
    <w:rsid w:val="19B24266"/>
    <w:rsid w:val="19B26118"/>
    <w:rsid w:val="19B264E0"/>
    <w:rsid w:val="19B2AD08"/>
    <w:rsid w:val="19B327DD"/>
    <w:rsid w:val="19B3BDA2"/>
    <w:rsid w:val="19B4445C"/>
    <w:rsid w:val="19B4629D"/>
    <w:rsid w:val="19B4A2B5"/>
    <w:rsid w:val="19B675AA"/>
    <w:rsid w:val="19B69D0B"/>
    <w:rsid w:val="19B7205E"/>
    <w:rsid w:val="19B76209"/>
    <w:rsid w:val="19B7983B"/>
    <w:rsid w:val="19B7F5B0"/>
    <w:rsid w:val="19B822B2"/>
    <w:rsid w:val="19B8ABFA"/>
    <w:rsid w:val="19B9541F"/>
    <w:rsid w:val="19B97FC6"/>
    <w:rsid w:val="19BA0EDE"/>
    <w:rsid w:val="19BA9015"/>
    <w:rsid w:val="19BABA32"/>
    <w:rsid w:val="19BB3A89"/>
    <w:rsid w:val="19BC1E06"/>
    <w:rsid w:val="19BC50AD"/>
    <w:rsid w:val="19BC82CA"/>
    <w:rsid w:val="19BC99C8"/>
    <w:rsid w:val="19BCE349"/>
    <w:rsid w:val="19BED498"/>
    <w:rsid w:val="19BEF4BD"/>
    <w:rsid w:val="19BF92D1"/>
    <w:rsid w:val="19BFB9C7"/>
    <w:rsid w:val="19BFE657"/>
    <w:rsid w:val="19C074AF"/>
    <w:rsid w:val="19C24B83"/>
    <w:rsid w:val="19C30562"/>
    <w:rsid w:val="19C31404"/>
    <w:rsid w:val="19C31ECB"/>
    <w:rsid w:val="19C3B9C1"/>
    <w:rsid w:val="19C42FDD"/>
    <w:rsid w:val="19C47569"/>
    <w:rsid w:val="19C4AB87"/>
    <w:rsid w:val="19C5E718"/>
    <w:rsid w:val="19C61D9E"/>
    <w:rsid w:val="19C65281"/>
    <w:rsid w:val="19C6A104"/>
    <w:rsid w:val="19C71449"/>
    <w:rsid w:val="19C7753D"/>
    <w:rsid w:val="19C7D84E"/>
    <w:rsid w:val="19C829C0"/>
    <w:rsid w:val="19C9BF94"/>
    <w:rsid w:val="19CA0BFC"/>
    <w:rsid w:val="19CA84EE"/>
    <w:rsid w:val="19CB0A4F"/>
    <w:rsid w:val="19CD414A"/>
    <w:rsid w:val="19CD4A43"/>
    <w:rsid w:val="19CD7FD3"/>
    <w:rsid w:val="19CD8DC3"/>
    <w:rsid w:val="19CDB5F9"/>
    <w:rsid w:val="19CDCD70"/>
    <w:rsid w:val="19CE3466"/>
    <w:rsid w:val="19CE5A50"/>
    <w:rsid w:val="19CE72D4"/>
    <w:rsid w:val="19CFBA3C"/>
    <w:rsid w:val="19CFF29D"/>
    <w:rsid w:val="19D03A55"/>
    <w:rsid w:val="19D12594"/>
    <w:rsid w:val="19D16601"/>
    <w:rsid w:val="19D22E19"/>
    <w:rsid w:val="19D2813A"/>
    <w:rsid w:val="19D29B96"/>
    <w:rsid w:val="19D2C146"/>
    <w:rsid w:val="19D33BE9"/>
    <w:rsid w:val="19D37BE5"/>
    <w:rsid w:val="19D40195"/>
    <w:rsid w:val="19D40599"/>
    <w:rsid w:val="19D4B748"/>
    <w:rsid w:val="19D51DDB"/>
    <w:rsid w:val="19D6369F"/>
    <w:rsid w:val="19D65D2D"/>
    <w:rsid w:val="19D73F34"/>
    <w:rsid w:val="19D7F8AC"/>
    <w:rsid w:val="19D8248F"/>
    <w:rsid w:val="19D8C1B1"/>
    <w:rsid w:val="19D98B26"/>
    <w:rsid w:val="19D9B2E4"/>
    <w:rsid w:val="19DAEADD"/>
    <w:rsid w:val="19DCC3E6"/>
    <w:rsid w:val="19DD9DEA"/>
    <w:rsid w:val="19DE3A6A"/>
    <w:rsid w:val="19DE44F9"/>
    <w:rsid w:val="19DE4EF3"/>
    <w:rsid w:val="19DE7556"/>
    <w:rsid w:val="19DEDC7C"/>
    <w:rsid w:val="19DF7C84"/>
    <w:rsid w:val="19DFEC90"/>
    <w:rsid w:val="19E00516"/>
    <w:rsid w:val="19E09369"/>
    <w:rsid w:val="19E16C5B"/>
    <w:rsid w:val="19E1EE59"/>
    <w:rsid w:val="19E3A011"/>
    <w:rsid w:val="19E52CDA"/>
    <w:rsid w:val="19E622B4"/>
    <w:rsid w:val="19E69A38"/>
    <w:rsid w:val="19E706D2"/>
    <w:rsid w:val="19E70843"/>
    <w:rsid w:val="19E76E48"/>
    <w:rsid w:val="19E7C7E4"/>
    <w:rsid w:val="19E7E717"/>
    <w:rsid w:val="19E7FCB0"/>
    <w:rsid w:val="19E9AE24"/>
    <w:rsid w:val="19EAA5E4"/>
    <w:rsid w:val="19EB466E"/>
    <w:rsid w:val="19EC16BC"/>
    <w:rsid w:val="19EC2D18"/>
    <w:rsid w:val="19ED8BC5"/>
    <w:rsid w:val="19EE77AF"/>
    <w:rsid w:val="19EEDEFF"/>
    <w:rsid w:val="19EF30A9"/>
    <w:rsid w:val="19F0BF84"/>
    <w:rsid w:val="19F0E5B4"/>
    <w:rsid w:val="19F2930D"/>
    <w:rsid w:val="19F2B7CF"/>
    <w:rsid w:val="19F3B075"/>
    <w:rsid w:val="19F3DE95"/>
    <w:rsid w:val="19F4667E"/>
    <w:rsid w:val="19F49E65"/>
    <w:rsid w:val="19F5246B"/>
    <w:rsid w:val="19F572D4"/>
    <w:rsid w:val="19F576C4"/>
    <w:rsid w:val="19F5E3C5"/>
    <w:rsid w:val="19F5E9C2"/>
    <w:rsid w:val="19F6122D"/>
    <w:rsid w:val="19F66AE4"/>
    <w:rsid w:val="19F68E9F"/>
    <w:rsid w:val="19F6DCE3"/>
    <w:rsid w:val="19F6F3AF"/>
    <w:rsid w:val="19F71688"/>
    <w:rsid w:val="19F74CCA"/>
    <w:rsid w:val="19F817A6"/>
    <w:rsid w:val="19F82A12"/>
    <w:rsid w:val="19F835E7"/>
    <w:rsid w:val="19F96A6E"/>
    <w:rsid w:val="19F9B110"/>
    <w:rsid w:val="19F9CD72"/>
    <w:rsid w:val="19FA5B65"/>
    <w:rsid w:val="19FB142C"/>
    <w:rsid w:val="19FB1735"/>
    <w:rsid w:val="19FB5BD6"/>
    <w:rsid w:val="19FBEA64"/>
    <w:rsid w:val="19FC4AD4"/>
    <w:rsid w:val="19FC8C3E"/>
    <w:rsid w:val="19FCA3D0"/>
    <w:rsid w:val="19FE4AA9"/>
    <w:rsid w:val="19FE97D0"/>
    <w:rsid w:val="19FE9E1A"/>
    <w:rsid w:val="19FED352"/>
    <w:rsid w:val="1A0024C4"/>
    <w:rsid w:val="1A00A213"/>
    <w:rsid w:val="1A00C482"/>
    <w:rsid w:val="1A0184B1"/>
    <w:rsid w:val="1A01ABE3"/>
    <w:rsid w:val="1A0227B9"/>
    <w:rsid w:val="1A0288A6"/>
    <w:rsid w:val="1A033DB0"/>
    <w:rsid w:val="1A036AC5"/>
    <w:rsid w:val="1A041D15"/>
    <w:rsid w:val="1A042CE1"/>
    <w:rsid w:val="1A044D68"/>
    <w:rsid w:val="1A04564A"/>
    <w:rsid w:val="1A04E81B"/>
    <w:rsid w:val="1A054ED0"/>
    <w:rsid w:val="1A05EC60"/>
    <w:rsid w:val="1A067138"/>
    <w:rsid w:val="1A068E01"/>
    <w:rsid w:val="1A06DC6C"/>
    <w:rsid w:val="1A07A10A"/>
    <w:rsid w:val="1A085FDE"/>
    <w:rsid w:val="1A0AB790"/>
    <w:rsid w:val="1A0B3B13"/>
    <w:rsid w:val="1A0B9869"/>
    <w:rsid w:val="1A0C37B1"/>
    <w:rsid w:val="1A0C5552"/>
    <w:rsid w:val="1A0C55B8"/>
    <w:rsid w:val="1A0E97D8"/>
    <w:rsid w:val="1A0F30AC"/>
    <w:rsid w:val="1A0F6356"/>
    <w:rsid w:val="1A0F6CB1"/>
    <w:rsid w:val="1A104A1F"/>
    <w:rsid w:val="1A11279B"/>
    <w:rsid w:val="1A119471"/>
    <w:rsid w:val="1A122CBD"/>
    <w:rsid w:val="1A12546B"/>
    <w:rsid w:val="1A139ED9"/>
    <w:rsid w:val="1A13BD25"/>
    <w:rsid w:val="1A13E27A"/>
    <w:rsid w:val="1A146E5F"/>
    <w:rsid w:val="1A14710D"/>
    <w:rsid w:val="1A14A606"/>
    <w:rsid w:val="1A14B933"/>
    <w:rsid w:val="1A14DC6D"/>
    <w:rsid w:val="1A14E9A1"/>
    <w:rsid w:val="1A156557"/>
    <w:rsid w:val="1A15B250"/>
    <w:rsid w:val="1A16950E"/>
    <w:rsid w:val="1A16ED12"/>
    <w:rsid w:val="1A1742F4"/>
    <w:rsid w:val="1A178196"/>
    <w:rsid w:val="1A17EDF1"/>
    <w:rsid w:val="1A18CBD5"/>
    <w:rsid w:val="1A1A0417"/>
    <w:rsid w:val="1A1A6DDD"/>
    <w:rsid w:val="1A1A9D2C"/>
    <w:rsid w:val="1A1AD72D"/>
    <w:rsid w:val="1A1BB7AF"/>
    <w:rsid w:val="1A1BFACF"/>
    <w:rsid w:val="1A1CCEA9"/>
    <w:rsid w:val="1A1D3AD8"/>
    <w:rsid w:val="1A1D3FB9"/>
    <w:rsid w:val="1A1E92EC"/>
    <w:rsid w:val="1A1EF917"/>
    <w:rsid w:val="1A1F83BD"/>
    <w:rsid w:val="1A1FEDE9"/>
    <w:rsid w:val="1A203B0B"/>
    <w:rsid w:val="1A20AE03"/>
    <w:rsid w:val="1A214AD5"/>
    <w:rsid w:val="1A21DCA7"/>
    <w:rsid w:val="1A223D1F"/>
    <w:rsid w:val="1A230D5D"/>
    <w:rsid w:val="1A23B2F7"/>
    <w:rsid w:val="1A23D83D"/>
    <w:rsid w:val="1A243720"/>
    <w:rsid w:val="1A25A936"/>
    <w:rsid w:val="1A26BF88"/>
    <w:rsid w:val="1A27603D"/>
    <w:rsid w:val="1A2766A3"/>
    <w:rsid w:val="1A27E2BC"/>
    <w:rsid w:val="1A280FDA"/>
    <w:rsid w:val="1A28C7D7"/>
    <w:rsid w:val="1A299F26"/>
    <w:rsid w:val="1A2A3348"/>
    <w:rsid w:val="1A2A4EC8"/>
    <w:rsid w:val="1A2AE157"/>
    <w:rsid w:val="1A2AEC5E"/>
    <w:rsid w:val="1A2B2CB6"/>
    <w:rsid w:val="1A2B52BE"/>
    <w:rsid w:val="1A2B9967"/>
    <w:rsid w:val="1A2BCB32"/>
    <w:rsid w:val="1A2CDDC1"/>
    <w:rsid w:val="1A2D8C21"/>
    <w:rsid w:val="1A2D94AE"/>
    <w:rsid w:val="1A2E2608"/>
    <w:rsid w:val="1A2F8C79"/>
    <w:rsid w:val="1A301BC4"/>
    <w:rsid w:val="1A30957C"/>
    <w:rsid w:val="1A30F99D"/>
    <w:rsid w:val="1A31937F"/>
    <w:rsid w:val="1A325882"/>
    <w:rsid w:val="1A331D1D"/>
    <w:rsid w:val="1A332E9C"/>
    <w:rsid w:val="1A333964"/>
    <w:rsid w:val="1A3448BB"/>
    <w:rsid w:val="1A356D1C"/>
    <w:rsid w:val="1A35BAAD"/>
    <w:rsid w:val="1A362248"/>
    <w:rsid w:val="1A385413"/>
    <w:rsid w:val="1A390ED8"/>
    <w:rsid w:val="1A396ACA"/>
    <w:rsid w:val="1A3986DC"/>
    <w:rsid w:val="1A399EA1"/>
    <w:rsid w:val="1A3AA551"/>
    <w:rsid w:val="1A3AF106"/>
    <w:rsid w:val="1A3AFBBB"/>
    <w:rsid w:val="1A3B1F18"/>
    <w:rsid w:val="1A3B4238"/>
    <w:rsid w:val="1A3C1D06"/>
    <w:rsid w:val="1A3C755B"/>
    <w:rsid w:val="1A3D57EA"/>
    <w:rsid w:val="1A3E9EC2"/>
    <w:rsid w:val="1A3EE922"/>
    <w:rsid w:val="1A4025AD"/>
    <w:rsid w:val="1A405254"/>
    <w:rsid w:val="1A408EA6"/>
    <w:rsid w:val="1A40B40A"/>
    <w:rsid w:val="1A40D7EE"/>
    <w:rsid w:val="1A41C4AF"/>
    <w:rsid w:val="1A41EE29"/>
    <w:rsid w:val="1A42007D"/>
    <w:rsid w:val="1A4210CD"/>
    <w:rsid w:val="1A429163"/>
    <w:rsid w:val="1A42A28A"/>
    <w:rsid w:val="1A42C9C4"/>
    <w:rsid w:val="1A436544"/>
    <w:rsid w:val="1A4400F9"/>
    <w:rsid w:val="1A451BBE"/>
    <w:rsid w:val="1A4584A2"/>
    <w:rsid w:val="1A48C706"/>
    <w:rsid w:val="1A48C8BD"/>
    <w:rsid w:val="1A497D5B"/>
    <w:rsid w:val="1A49CF10"/>
    <w:rsid w:val="1A4AEC80"/>
    <w:rsid w:val="1A4B014B"/>
    <w:rsid w:val="1A4C4606"/>
    <w:rsid w:val="1A4C99A6"/>
    <w:rsid w:val="1A4EE279"/>
    <w:rsid w:val="1A4F4E4B"/>
    <w:rsid w:val="1A4F703B"/>
    <w:rsid w:val="1A4FD497"/>
    <w:rsid w:val="1A4FEDA6"/>
    <w:rsid w:val="1A50F020"/>
    <w:rsid w:val="1A513F04"/>
    <w:rsid w:val="1A51A69D"/>
    <w:rsid w:val="1A51B53E"/>
    <w:rsid w:val="1A52453D"/>
    <w:rsid w:val="1A5256F9"/>
    <w:rsid w:val="1A52D5E9"/>
    <w:rsid w:val="1A52D773"/>
    <w:rsid w:val="1A539082"/>
    <w:rsid w:val="1A54D192"/>
    <w:rsid w:val="1A5694DD"/>
    <w:rsid w:val="1A56C58B"/>
    <w:rsid w:val="1A56F173"/>
    <w:rsid w:val="1A577498"/>
    <w:rsid w:val="1A57C5D7"/>
    <w:rsid w:val="1A57FC9C"/>
    <w:rsid w:val="1A581A53"/>
    <w:rsid w:val="1A585F38"/>
    <w:rsid w:val="1A59955C"/>
    <w:rsid w:val="1A59B2CE"/>
    <w:rsid w:val="1A59D065"/>
    <w:rsid w:val="1A5A303C"/>
    <w:rsid w:val="1A5A5E3F"/>
    <w:rsid w:val="1A5B3BFB"/>
    <w:rsid w:val="1A5B527F"/>
    <w:rsid w:val="1A5B9442"/>
    <w:rsid w:val="1A5BD862"/>
    <w:rsid w:val="1A5C289D"/>
    <w:rsid w:val="1A5C9E04"/>
    <w:rsid w:val="1A5D14A7"/>
    <w:rsid w:val="1A5E1EDA"/>
    <w:rsid w:val="1A5E6323"/>
    <w:rsid w:val="1A5EAC6D"/>
    <w:rsid w:val="1A5EB556"/>
    <w:rsid w:val="1A5EF100"/>
    <w:rsid w:val="1A5F3E0F"/>
    <w:rsid w:val="1A605BA6"/>
    <w:rsid w:val="1A60AD64"/>
    <w:rsid w:val="1A60EC55"/>
    <w:rsid w:val="1A6252B4"/>
    <w:rsid w:val="1A62DA2B"/>
    <w:rsid w:val="1A62FB88"/>
    <w:rsid w:val="1A635AF4"/>
    <w:rsid w:val="1A63A1C3"/>
    <w:rsid w:val="1A63C147"/>
    <w:rsid w:val="1A642698"/>
    <w:rsid w:val="1A659627"/>
    <w:rsid w:val="1A659A5E"/>
    <w:rsid w:val="1A65B58E"/>
    <w:rsid w:val="1A665DDE"/>
    <w:rsid w:val="1A671D52"/>
    <w:rsid w:val="1A6761D7"/>
    <w:rsid w:val="1A677646"/>
    <w:rsid w:val="1A67DDEB"/>
    <w:rsid w:val="1A687C4C"/>
    <w:rsid w:val="1A68FF28"/>
    <w:rsid w:val="1A697B4B"/>
    <w:rsid w:val="1A69EF6C"/>
    <w:rsid w:val="1A6A5B80"/>
    <w:rsid w:val="1A6A5CEB"/>
    <w:rsid w:val="1A6A8A9B"/>
    <w:rsid w:val="1A6AB571"/>
    <w:rsid w:val="1A6ABC3F"/>
    <w:rsid w:val="1A6B00A1"/>
    <w:rsid w:val="1A6C02A2"/>
    <w:rsid w:val="1A6D2CB7"/>
    <w:rsid w:val="1A6D9BE5"/>
    <w:rsid w:val="1A6DC15B"/>
    <w:rsid w:val="1A6E0FB0"/>
    <w:rsid w:val="1A6E3724"/>
    <w:rsid w:val="1A6EDE86"/>
    <w:rsid w:val="1A6F7158"/>
    <w:rsid w:val="1A70ED72"/>
    <w:rsid w:val="1A710589"/>
    <w:rsid w:val="1A717DA7"/>
    <w:rsid w:val="1A717F77"/>
    <w:rsid w:val="1A72873F"/>
    <w:rsid w:val="1A731A08"/>
    <w:rsid w:val="1A732070"/>
    <w:rsid w:val="1A7349E9"/>
    <w:rsid w:val="1A73BC3C"/>
    <w:rsid w:val="1A742426"/>
    <w:rsid w:val="1A750285"/>
    <w:rsid w:val="1A754F75"/>
    <w:rsid w:val="1A755318"/>
    <w:rsid w:val="1A755C2F"/>
    <w:rsid w:val="1A7669B5"/>
    <w:rsid w:val="1A76F962"/>
    <w:rsid w:val="1A775060"/>
    <w:rsid w:val="1A778A06"/>
    <w:rsid w:val="1A77CD67"/>
    <w:rsid w:val="1A78396E"/>
    <w:rsid w:val="1A7866A0"/>
    <w:rsid w:val="1A7ACA0E"/>
    <w:rsid w:val="1A7AF3EA"/>
    <w:rsid w:val="1A7CBDB3"/>
    <w:rsid w:val="1A7D0934"/>
    <w:rsid w:val="1A7D0E89"/>
    <w:rsid w:val="1A7D169F"/>
    <w:rsid w:val="1A7D48F8"/>
    <w:rsid w:val="1A7D4FEB"/>
    <w:rsid w:val="1A7D96F6"/>
    <w:rsid w:val="1A7DF8A3"/>
    <w:rsid w:val="1A7E12AF"/>
    <w:rsid w:val="1A7EA6D7"/>
    <w:rsid w:val="1A7EB3F1"/>
    <w:rsid w:val="1A802A48"/>
    <w:rsid w:val="1A80E51E"/>
    <w:rsid w:val="1A81E36D"/>
    <w:rsid w:val="1A81FFC8"/>
    <w:rsid w:val="1A824F3E"/>
    <w:rsid w:val="1A829709"/>
    <w:rsid w:val="1A833B99"/>
    <w:rsid w:val="1A848DFA"/>
    <w:rsid w:val="1A8502C8"/>
    <w:rsid w:val="1A855355"/>
    <w:rsid w:val="1A85D037"/>
    <w:rsid w:val="1A85FAC6"/>
    <w:rsid w:val="1A867276"/>
    <w:rsid w:val="1A869BA9"/>
    <w:rsid w:val="1A87568F"/>
    <w:rsid w:val="1A87DFCB"/>
    <w:rsid w:val="1A88CE2C"/>
    <w:rsid w:val="1A8A1B7E"/>
    <w:rsid w:val="1A8CCEBB"/>
    <w:rsid w:val="1A8CD971"/>
    <w:rsid w:val="1A8D9CBB"/>
    <w:rsid w:val="1A8DDBC0"/>
    <w:rsid w:val="1A8E0397"/>
    <w:rsid w:val="1A8F9B7D"/>
    <w:rsid w:val="1A904915"/>
    <w:rsid w:val="1A914440"/>
    <w:rsid w:val="1A91B898"/>
    <w:rsid w:val="1A924D3B"/>
    <w:rsid w:val="1A928AE1"/>
    <w:rsid w:val="1A92B5F2"/>
    <w:rsid w:val="1A93E37B"/>
    <w:rsid w:val="1A93E7D9"/>
    <w:rsid w:val="1A93EC23"/>
    <w:rsid w:val="1A94B12D"/>
    <w:rsid w:val="1A94C26E"/>
    <w:rsid w:val="1A954958"/>
    <w:rsid w:val="1A95BF6D"/>
    <w:rsid w:val="1A95EA46"/>
    <w:rsid w:val="1A977C7A"/>
    <w:rsid w:val="1A97BF4C"/>
    <w:rsid w:val="1A98677D"/>
    <w:rsid w:val="1A98AC64"/>
    <w:rsid w:val="1A98E03B"/>
    <w:rsid w:val="1A991D0B"/>
    <w:rsid w:val="1A9BC1EF"/>
    <w:rsid w:val="1A9C5572"/>
    <w:rsid w:val="1A9C5D33"/>
    <w:rsid w:val="1A9D016C"/>
    <w:rsid w:val="1A9D2259"/>
    <w:rsid w:val="1A9D5CCF"/>
    <w:rsid w:val="1A9D97BC"/>
    <w:rsid w:val="1A9E00E2"/>
    <w:rsid w:val="1A9E4B90"/>
    <w:rsid w:val="1A9EBB63"/>
    <w:rsid w:val="1A9F618D"/>
    <w:rsid w:val="1A9FA18C"/>
    <w:rsid w:val="1AA1021E"/>
    <w:rsid w:val="1AA167B8"/>
    <w:rsid w:val="1AA2489C"/>
    <w:rsid w:val="1AA39BBC"/>
    <w:rsid w:val="1AA39E44"/>
    <w:rsid w:val="1AA3D3BF"/>
    <w:rsid w:val="1AA477E3"/>
    <w:rsid w:val="1AA482A1"/>
    <w:rsid w:val="1AA4E9AD"/>
    <w:rsid w:val="1AA5A06C"/>
    <w:rsid w:val="1AA779FD"/>
    <w:rsid w:val="1AA788F9"/>
    <w:rsid w:val="1AA87679"/>
    <w:rsid w:val="1AA91789"/>
    <w:rsid w:val="1AA9A233"/>
    <w:rsid w:val="1AAA5B3B"/>
    <w:rsid w:val="1AAA94A3"/>
    <w:rsid w:val="1AAC3321"/>
    <w:rsid w:val="1AAC9307"/>
    <w:rsid w:val="1AAE3C8A"/>
    <w:rsid w:val="1AAE5FEC"/>
    <w:rsid w:val="1AAE910A"/>
    <w:rsid w:val="1AAECF87"/>
    <w:rsid w:val="1AB062F4"/>
    <w:rsid w:val="1AB0AB4F"/>
    <w:rsid w:val="1AB0B781"/>
    <w:rsid w:val="1AB163B6"/>
    <w:rsid w:val="1AB1CC2D"/>
    <w:rsid w:val="1AB1EAB9"/>
    <w:rsid w:val="1AB212A3"/>
    <w:rsid w:val="1AB2CCF6"/>
    <w:rsid w:val="1AB2DA8A"/>
    <w:rsid w:val="1AB3078A"/>
    <w:rsid w:val="1AB3FD7F"/>
    <w:rsid w:val="1AB48D53"/>
    <w:rsid w:val="1AB4B194"/>
    <w:rsid w:val="1AB4EE4F"/>
    <w:rsid w:val="1AB5198C"/>
    <w:rsid w:val="1AB5C6A2"/>
    <w:rsid w:val="1AB677FB"/>
    <w:rsid w:val="1AB6EE28"/>
    <w:rsid w:val="1AB7F812"/>
    <w:rsid w:val="1AB7F839"/>
    <w:rsid w:val="1AB800F4"/>
    <w:rsid w:val="1AB81BBF"/>
    <w:rsid w:val="1AB9E30A"/>
    <w:rsid w:val="1AB9F826"/>
    <w:rsid w:val="1ABA7B39"/>
    <w:rsid w:val="1ABA849A"/>
    <w:rsid w:val="1ABA8524"/>
    <w:rsid w:val="1ABAEDA9"/>
    <w:rsid w:val="1ABB7F68"/>
    <w:rsid w:val="1ABBE6B0"/>
    <w:rsid w:val="1ABD0962"/>
    <w:rsid w:val="1ABE13EA"/>
    <w:rsid w:val="1ABE42E4"/>
    <w:rsid w:val="1ABF7ED2"/>
    <w:rsid w:val="1ABF8355"/>
    <w:rsid w:val="1ABFBF51"/>
    <w:rsid w:val="1AC00678"/>
    <w:rsid w:val="1AC079CE"/>
    <w:rsid w:val="1AC0C0BF"/>
    <w:rsid w:val="1AC1127E"/>
    <w:rsid w:val="1AC11DCC"/>
    <w:rsid w:val="1AC2A525"/>
    <w:rsid w:val="1AC2DBB1"/>
    <w:rsid w:val="1AC33FC9"/>
    <w:rsid w:val="1AC38CD5"/>
    <w:rsid w:val="1AC4858C"/>
    <w:rsid w:val="1AC53FB0"/>
    <w:rsid w:val="1AC637E8"/>
    <w:rsid w:val="1AC6F586"/>
    <w:rsid w:val="1AC74DD7"/>
    <w:rsid w:val="1AC76B94"/>
    <w:rsid w:val="1AC7A3C8"/>
    <w:rsid w:val="1AC818B6"/>
    <w:rsid w:val="1AC82D12"/>
    <w:rsid w:val="1AC85475"/>
    <w:rsid w:val="1AC8DC5D"/>
    <w:rsid w:val="1AC9AE2D"/>
    <w:rsid w:val="1ACA101E"/>
    <w:rsid w:val="1ACA97DB"/>
    <w:rsid w:val="1ACAAFC7"/>
    <w:rsid w:val="1ACAC1A7"/>
    <w:rsid w:val="1ACB1839"/>
    <w:rsid w:val="1ACB6117"/>
    <w:rsid w:val="1ACB6319"/>
    <w:rsid w:val="1ACBAC1D"/>
    <w:rsid w:val="1ACC4538"/>
    <w:rsid w:val="1ACC78F7"/>
    <w:rsid w:val="1ACCE42F"/>
    <w:rsid w:val="1ACD11DE"/>
    <w:rsid w:val="1ACD777D"/>
    <w:rsid w:val="1ACE888F"/>
    <w:rsid w:val="1ACF1BEB"/>
    <w:rsid w:val="1ACF36C3"/>
    <w:rsid w:val="1ACFB399"/>
    <w:rsid w:val="1AD069E8"/>
    <w:rsid w:val="1AD200CB"/>
    <w:rsid w:val="1AD29345"/>
    <w:rsid w:val="1AD306F2"/>
    <w:rsid w:val="1AD39FEE"/>
    <w:rsid w:val="1AD3DA91"/>
    <w:rsid w:val="1AD5E400"/>
    <w:rsid w:val="1AD62CC6"/>
    <w:rsid w:val="1AD7D77B"/>
    <w:rsid w:val="1AD843EA"/>
    <w:rsid w:val="1AD870F2"/>
    <w:rsid w:val="1AD9F1A6"/>
    <w:rsid w:val="1ADA318F"/>
    <w:rsid w:val="1ADA6031"/>
    <w:rsid w:val="1ADA93DF"/>
    <w:rsid w:val="1ADAB1B7"/>
    <w:rsid w:val="1ADACC69"/>
    <w:rsid w:val="1ADADD49"/>
    <w:rsid w:val="1ADAED53"/>
    <w:rsid w:val="1ADBAE0E"/>
    <w:rsid w:val="1ADBBBCF"/>
    <w:rsid w:val="1ADCBB37"/>
    <w:rsid w:val="1ADCC59A"/>
    <w:rsid w:val="1ADD6529"/>
    <w:rsid w:val="1ADDC216"/>
    <w:rsid w:val="1ADDDC95"/>
    <w:rsid w:val="1ADE830C"/>
    <w:rsid w:val="1ADE9129"/>
    <w:rsid w:val="1ADF5695"/>
    <w:rsid w:val="1AE0237E"/>
    <w:rsid w:val="1AE10A17"/>
    <w:rsid w:val="1AE18443"/>
    <w:rsid w:val="1AE1E2B6"/>
    <w:rsid w:val="1AE24D16"/>
    <w:rsid w:val="1AE2C64F"/>
    <w:rsid w:val="1AE2F9C9"/>
    <w:rsid w:val="1AE37929"/>
    <w:rsid w:val="1AE4E36C"/>
    <w:rsid w:val="1AE5F51A"/>
    <w:rsid w:val="1AE8096E"/>
    <w:rsid w:val="1AE85306"/>
    <w:rsid w:val="1AE89D16"/>
    <w:rsid w:val="1AE8DA9F"/>
    <w:rsid w:val="1AE93C31"/>
    <w:rsid w:val="1AEA05A5"/>
    <w:rsid w:val="1AEA3343"/>
    <w:rsid w:val="1AEADA2F"/>
    <w:rsid w:val="1AEC73E5"/>
    <w:rsid w:val="1AECCD1C"/>
    <w:rsid w:val="1AECD745"/>
    <w:rsid w:val="1AECF408"/>
    <w:rsid w:val="1AED01E2"/>
    <w:rsid w:val="1AED290E"/>
    <w:rsid w:val="1AED7C14"/>
    <w:rsid w:val="1AF06E47"/>
    <w:rsid w:val="1AF0875C"/>
    <w:rsid w:val="1AF09FB6"/>
    <w:rsid w:val="1AF0EDAD"/>
    <w:rsid w:val="1AF12E21"/>
    <w:rsid w:val="1AF16A67"/>
    <w:rsid w:val="1AF16DA7"/>
    <w:rsid w:val="1AF192A5"/>
    <w:rsid w:val="1AF1A891"/>
    <w:rsid w:val="1AF38C62"/>
    <w:rsid w:val="1AF38F34"/>
    <w:rsid w:val="1AF3ED59"/>
    <w:rsid w:val="1AF528A1"/>
    <w:rsid w:val="1AF5FEB9"/>
    <w:rsid w:val="1AF70514"/>
    <w:rsid w:val="1AF72917"/>
    <w:rsid w:val="1AF808D4"/>
    <w:rsid w:val="1AF84D5B"/>
    <w:rsid w:val="1AF89887"/>
    <w:rsid w:val="1AF9CAA3"/>
    <w:rsid w:val="1AFA22E6"/>
    <w:rsid w:val="1AFA8250"/>
    <w:rsid w:val="1AFAED21"/>
    <w:rsid w:val="1AFB52B8"/>
    <w:rsid w:val="1AFB7C40"/>
    <w:rsid w:val="1AFBED61"/>
    <w:rsid w:val="1AFCE195"/>
    <w:rsid w:val="1AFD5CB5"/>
    <w:rsid w:val="1AFE6893"/>
    <w:rsid w:val="1AFF1474"/>
    <w:rsid w:val="1AFF9CE4"/>
    <w:rsid w:val="1B001A13"/>
    <w:rsid w:val="1B0075CC"/>
    <w:rsid w:val="1B00E680"/>
    <w:rsid w:val="1B010FA4"/>
    <w:rsid w:val="1B012AE8"/>
    <w:rsid w:val="1B018483"/>
    <w:rsid w:val="1B01F52E"/>
    <w:rsid w:val="1B023D01"/>
    <w:rsid w:val="1B0339A5"/>
    <w:rsid w:val="1B037769"/>
    <w:rsid w:val="1B039022"/>
    <w:rsid w:val="1B03BF6D"/>
    <w:rsid w:val="1B044249"/>
    <w:rsid w:val="1B045FA8"/>
    <w:rsid w:val="1B04F504"/>
    <w:rsid w:val="1B05EEEB"/>
    <w:rsid w:val="1B05FA95"/>
    <w:rsid w:val="1B064563"/>
    <w:rsid w:val="1B06C258"/>
    <w:rsid w:val="1B071347"/>
    <w:rsid w:val="1B0810FC"/>
    <w:rsid w:val="1B081B62"/>
    <w:rsid w:val="1B089C3E"/>
    <w:rsid w:val="1B08C11D"/>
    <w:rsid w:val="1B08FFAC"/>
    <w:rsid w:val="1B09660A"/>
    <w:rsid w:val="1B097690"/>
    <w:rsid w:val="1B09A469"/>
    <w:rsid w:val="1B09C174"/>
    <w:rsid w:val="1B0A0FCE"/>
    <w:rsid w:val="1B0A9998"/>
    <w:rsid w:val="1B0C810C"/>
    <w:rsid w:val="1B0CE59C"/>
    <w:rsid w:val="1B0D06C6"/>
    <w:rsid w:val="1B0D0D88"/>
    <w:rsid w:val="1B0E05D0"/>
    <w:rsid w:val="1B0E1135"/>
    <w:rsid w:val="1B0E47F3"/>
    <w:rsid w:val="1B0E8399"/>
    <w:rsid w:val="1B0FE001"/>
    <w:rsid w:val="1B10E433"/>
    <w:rsid w:val="1B112FB7"/>
    <w:rsid w:val="1B11946C"/>
    <w:rsid w:val="1B120498"/>
    <w:rsid w:val="1B125115"/>
    <w:rsid w:val="1B125A5A"/>
    <w:rsid w:val="1B12A9CC"/>
    <w:rsid w:val="1B12D9EB"/>
    <w:rsid w:val="1B132A69"/>
    <w:rsid w:val="1B140172"/>
    <w:rsid w:val="1B141608"/>
    <w:rsid w:val="1B14AC51"/>
    <w:rsid w:val="1B14CA1C"/>
    <w:rsid w:val="1B14FCFA"/>
    <w:rsid w:val="1B154747"/>
    <w:rsid w:val="1B15FFC0"/>
    <w:rsid w:val="1B16A551"/>
    <w:rsid w:val="1B16DED2"/>
    <w:rsid w:val="1B171546"/>
    <w:rsid w:val="1B1B2DF4"/>
    <w:rsid w:val="1B1B558E"/>
    <w:rsid w:val="1B1CEFB7"/>
    <w:rsid w:val="1B1D0F35"/>
    <w:rsid w:val="1B1DB8E8"/>
    <w:rsid w:val="1B1E5C2E"/>
    <w:rsid w:val="1B1EFC35"/>
    <w:rsid w:val="1B1F7778"/>
    <w:rsid w:val="1B2071CA"/>
    <w:rsid w:val="1B20CA49"/>
    <w:rsid w:val="1B20D223"/>
    <w:rsid w:val="1B210317"/>
    <w:rsid w:val="1B220ED7"/>
    <w:rsid w:val="1B22900A"/>
    <w:rsid w:val="1B22D9E6"/>
    <w:rsid w:val="1B22EA46"/>
    <w:rsid w:val="1B2361FA"/>
    <w:rsid w:val="1B23AA26"/>
    <w:rsid w:val="1B249E1D"/>
    <w:rsid w:val="1B24A43D"/>
    <w:rsid w:val="1B25989E"/>
    <w:rsid w:val="1B265908"/>
    <w:rsid w:val="1B267E29"/>
    <w:rsid w:val="1B2683ED"/>
    <w:rsid w:val="1B26BBC6"/>
    <w:rsid w:val="1B26FD87"/>
    <w:rsid w:val="1B280198"/>
    <w:rsid w:val="1B289517"/>
    <w:rsid w:val="1B28CA48"/>
    <w:rsid w:val="1B292B3F"/>
    <w:rsid w:val="1B2A2BF0"/>
    <w:rsid w:val="1B2AAAEE"/>
    <w:rsid w:val="1B2B303F"/>
    <w:rsid w:val="1B2C2678"/>
    <w:rsid w:val="1B2C3123"/>
    <w:rsid w:val="1B2CB48F"/>
    <w:rsid w:val="1B2DB8F6"/>
    <w:rsid w:val="1B2E0969"/>
    <w:rsid w:val="1B2E570E"/>
    <w:rsid w:val="1B2E6ED6"/>
    <w:rsid w:val="1B2EF741"/>
    <w:rsid w:val="1B2FF2F9"/>
    <w:rsid w:val="1B311924"/>
    <w:rsid w:val="1B3121A3"/>
    <w:rsid w:val="1B3216BE"/>
    <w:rsid w:val="1B32C150"/>
    <w:rsid w:val="1B330493"/>
    <w:rsid w:val="1B341568"/>
    <w:rsid w:val="1B344C1B"/>
    <w:rsid w:val="1B354582"/>
    <w:rsid w:val="1B364CD6"/>
    <w:rsid w:val="1B36C5FD"/>
    <w:rsid w:val="1B384B13"/>
    <w:rsid w:val="1B39DEAC"/>
    <w:rsid w:val="1B3A9F6E"/>
    <w:rsid w:val="1B3B0287"/>
    <w:rsid w:val="1B3B5F2C"/>
    <w:rsid w:val="1B3BFBEB"/>
    <w:rsid w:val="1B3C7093"/>
    <w:rsid w:val="1B3D6F76"/>
    <w:rsid w:val="1B3E41F4"/>
    <w:rsid w:val="1B3F3D5A"/>
    <w:rsid w:val="1B4002FA"/>
    <w:rsid w:val="1B402681"/>
    <w:rsid w:val="1B404A46"/>
    <w:rsid w:val="1B405F34"/>
    <w:rsid w:val="1B413A4B"/>
    <w:rsid w:val="1B420882"/>
    <w:rsid w:val="1B426227"/>
    <w:rsid w:val="1B42A016"/>
    <w:rsid w:val="1B42A741"/>
    <w:rsid w:val="1B43387E"/>
    <w:rsid w:val="1B436F18"/>
    <w:rsid w:val="1B437F15"/>
    <w:rsid w:val="1B4512B0"/>
    <w:rsid w:val="1B45306E"/>
    <w:rsid w:val="1B4569CE"/>
    <w:rsid w:val="1B45A4D3"/>
    <w:rsid w:val="1B45FB57"/>
    <w:rsid w:val="1B4647AF"/>
    <w:rsid w:val="1B46525A"/>
    <w:rsid w:val="1B46FB83"/>
    <w:rsid w:val="1B475946"/>
    <w:rsid w:val="1B47693E"/>
    <w:rsid w:val="1B476F35"/>
    <w:rsid w:val="1B477C03"/>
    <w:rsid w:val="1B47F544"/>
    <w:rsid w:val="1B486245"/>
    <w:rsid w:val="1B48C237"/>
    <w:rsid w:val="1B491B4B"/>
    <w:rsid w:val="1B49207A"/>
    <w:rsid w:val="1B49626D"/>
    <w:rsid w:val="1B499476"/>
    <w:rsid w:val="1B49B764"/>
    <w:rsid w:val="1B49C41D"/>
    <w:rsid w:val="1B49D1AE"/>
    <w:rsid w:val="1B4A054D"/>
    <w:rsid w:val="1B4B1EB3"/>
    <w:rsid w:val="1B4D1C81"/>
    <w:rsid w:val="1B4F2CDF"/>
    <w:rsid w:val="1B4FED5C"/>
    <w:rsid w:val="1B5045A0"/>
    <w:rsid w:val="1B507A73"/>
    <w:rsid w:val="1B50EE85"/>
    <w:rsid w:val="1B50F5A8"/>
    <w:rsid w:val="1B512202"/>
    <w:rsid w:val="1B51E46F"/>
    <w:rsid w:val="1B51E8EA"/>
    <w:rsid w:val="1B51FAD6"/>
    <w:rsid w:val="1B528E0E"/>
    <w:rsid w:val="1B52C9D0"/>
    <w:rsid w:val="1B52E0A0"/>
    <w:rsid w:val="1B536945"/>
    <w:rsid w:val="1B55076F"/>
    <w:rsid w:val="1B570C19"/>
    <w:rsid w:val="1B573477"/>
    <w:rsid w:val="1B5751F7"/>
    <w:rsid w:val="1B58EB88"/>
    <w:rsid w:val="1B5AFEA0"/>
    <w:rsid w:val="1B5B01BD"/>
    <w:rsid w:val="1B5B151B"/>
    <w:rsid w:val="1B5B1A77"/>
    <w:rsid w:val="1B5B7ABB"/>
    <w:rsid w:val="1B5C8255"/>
    <w:rsid w:val="1B5CD00A"/>
    <w:rsid w:val="1B5D19F6"/>
    <w:rsid w:val="1B5D522D"/>
    <w:rsid w:val="1B5EAE40"/>
    <w:rsid w:val="1B5F30F8"/>
    <w:rsid w:val="1B5F576A"/>
    <w:rsid w:val="1B61E267"/>
    <w:rsid w:val="1B61F46A"/>
    <w:rsid w:val="1B621EF8"/>
    <w:rsid w:val="1B629CE6"/>
    <w:rsid w:val="1B62A30B"/>
    <w:rsid w:val="1B639793"/>
    <w:rsid w:val="1B63D0FF"/>
    <w:rsid w:val="1B6444CD"/>
    <w:rsid w:val="1B650946"/>
    <w:rsid w:val="1B652F50"/>
    <w:rsid w:val="1B656ED2"/>
    <w:rsid w:val="1B66CEAB"/>
    <w:rsid w:val="1B674015"/>
    <w:rsid w:val="1B6773E3"/>
    <w:rsid w:val="1B67D06D"/>
    <w:rsid w:val="1B682B0E"/>
    <w:rsid w:val="1B68335D"/>
    <w:rsid w:val="1B68B484"/>
    <w:rsid w:val="1B6964D4"/>
    <w:rsid w:val="1B6ACAD9"/>
    <w:rsid w:val="1B6C0F79"/>
    <w:rsid w:val="1B6C81AD"/>
    <w:rsid w:val="1B6C9837"/>
    <w:rsid w:val="1B6CC1A5"/>
    <w:rsid w:val="1B6D3375"/>
    <w:rsid w:val="1B6D8885"/>
    <w:rsid w:val="1B6DC2D0"/>
    <w:rsid w:val="1B6F97D9"/>
    <w:rsid w:val="1B6FDC5B"/>
    <w:rsid w:val="1B70126A"/>
    <w:rsid w:val="1B701D0E"/>
    <w:rsid w:val="1B7030F7"/>
    <w:rsid w:val="1B705BC9"/>
    <w:rsid w:val="1B71A532"/>
    <w:rsid w:val="1B71FEAB"/>
    <w:rsid w:val="1B7237CA"/>
    <w:rsid w:val="1B72C32B"/>
    <w:rsid w:val="1B72D8E5"/>
    <w:rsid w:val="1B72DB9B"/>
    <w:rsid w:val="1B735EC8"/>
    <w:rsid w:val="1B738A43"/>
    <w:rsid w:val="1B73A681"/>
    <w:rsid w:val="1B73FAAB"/>
    <w:rsid w:val="1B7464F4"/>
    <w:rsid w:val="1B74A6A9"/>
    <w:rsid w:val="1B74DB26"/>
    <w:rsid w:val="1B754D5E"/>
    <w:rsid w:val="1B75841C"/>
    <w:rsid w:val="1B75E561"/>
    <w:rsid w:val="1B7625D9"/>
    <w:rsid w:val="1B765853"/>
    <w:rsid w:val="1B76B717"/>
    <w:rsid w:val="1B76C2D9"/>
    <w:rsid w:val="1B76D611"/>
    <w:rsid w:val="1B77157E"/>
    <w:rsid w:val="1B7718BD"/>
    <w:rsid w:val="1B77DC69"/>
    <w:rsid w:val="1B78022E"/>
    <w:rsid w:val="1B798481"/>
    <w:rsid w:val="1B798896"/>
    <w:rsid w:val="1B79FB40"/>
    <w:rsid w:val="1B7B214E"/>
    <w:rsid w:val="1B7B6037"/>
    <w:rsid w:val="1B7B770F"/>
    <w:rsid w:val="1B7BC717"/>
    <w:rsid w:val="1B7BC991"/>
    <w:rsid w:val="1B7CEA66"/>
    <w:rsid w:val="1B7CEFE8"/>
    <w:rsid w:val="1B7E60DE"/>
    <w:rsid w:val="1B7F803C"/>
    <w:rsid w:val="1B7FBAE6"/>
    <w:rsid w:val="1B80BF95"/>
    <w:rsid w:val="1B81087E"/>
    <w:rsid w:val="1B817CCB"/>
    <w:rsid w:val="1B81CFB6"/>
    <w:rsid w:val="1B81D1B7"/>
    <w:rsid w:val="1B81F596"/>
    <w:rsid w:val="1B825277"/>
    <w:rsid w:val="1B82C3C5"/>
    <w:rsid w:val="1B833DDA"/>
    <w:rsid w:val="1B841F12"/>
    <w:rsid w:val="1B8555FC"/>
    <w:rsid w:val="1B8626A9"/>
    <w:rsid w:val="1B863A2D"/>
    <w:rsid w:val="1B863CCE"/>
    <w:rsid w:val="1B87E579"/>
    <w:rsid w:val="1B890438"/>
    <w:rsid w:val="1B8970DA"/>
    <w:rsid w:val="1B89F9E8"/>
    <w:rsid w:val="1B8AABF6"/>
    <w:rsid w:val="1B8B8F10"/>
    <w:rsid w:val="1B8BA6F7"/>
    <w:rsid w:val="1B8BFC61"/>
    <w:rsid w:val="1B8D0355"/>
    <w:rsid w:val="1B8DD515"/>
    <w:rsid w:val="1B8DE7A2"/>
    <w:rsid w:val="1B8E0391"/>
    <w:rsid w:val="1B8ECEDE"/>
    <w:rsid w:val="1B8FD722"/>
    <w:rsid w:val="1B909639"/>
    <w:rsid w:val="1B90B961"/>
    <w:rsid w:val="1B91169C"/>
    <w:rsid w:val="1B919D17"/>
    <w:rsid w:val="1B91CE20"/>
    <w:rsid w:val="1B92C975"/>
    <w:rsid w:val="1B92D41B"/>
    <w:rsid w:val="1B950D95"/>
    <w:rsid w:val="1B95749D"/>
    <w:rsid w:val="1B957D5E"/>
    <w:rsid w:val="1B963D2F"/>
    <w:rsid w:val="1B96A39B"/>
    <w:rsid w:val="1B96BF60"/>
    <w:rsid w:val="1B978838"/>
    <w:rsid w:val="1B9795DE"/>
    <w:rsid w:val="1B980B4A"/>
    <w:rsid w:val="1B989257"/>
    <w:rsid w:val="1B98AA5F"/>
    <w:rsid w:val="1B990292"/>
    <w:rsid w:val="1B99969B"/>
    <w:rsid w:val="1B9A05C3"/>
    <w:rsid w:val="1B9A29BE"/>
    <w:rsid w:val="1B9A3F0F"/>
    <w:rsid w:val="1B9A71E0"/>
    <w:rsid w:val="1B9AB6FE"/>
    <w:rsid w:val="1B9B780A"/>
    <w:rsid w:val="1B9BE11B"/>
    <w:rsid w:val="1B9C438A"/>
    <w:rsid w:val="1B9DE704"/>
    <w:rsid w:val="1B9F109C"/>
    <w:rsid w:val="1B9FDF0A"/>
    <w:rsid w:val="1BA0AA74"/>
    <w:rsid w:val="1BA0BF4B"/>
    <w:rsid w:val="1BA107FD"/>
    <w:rsid w:val="1BA18975"/>
    <w:rsid w:val="1BA21111"/>
    <w:rsid w:val="1BA246FC"/>
    <w:rsid w:val="1BA290C9"/>
    <w:rsid w:val="1BA2C760"/>
    <w:rsid w:val="1BA3C4A5"/>
    <w:rsid w:val="1BA3F0F8"/>
    <w:rsid w:val="1BA58D4A"/>
    <w:rsid w:val="1BA5AA9D"/>
    <w:rsid w:val="1BA630C5"/>
    <w:rsid w:val="1BA7C530"/>
    <w:rsid w:val="1BA7F45B"/>
    <w:rsid w:val="1BA8B9DD"/>
    <w:rsid w:val="1BA8F252"/>
    <w:rsid w:val="1BA9D197"/>
    <w:rsid w:val="1BAB8887"/>
    <w:rsid w:val="1BABD4BE"/>
    <w:rsid w:val="1BAD375F"/>
    <w:rsid w:val="1BAE1039"/>
    <w:rsid w:val="1BAE26D6"/>
    <w:rsid w:val="1BAF959A"/>
    <w:rsid w:val="1BAFF03B"/>
    <w:rsid w:val="1BB0F266"/>
    <w:rsid w:val="1BB1E096"/>
    <w:rsid w:val="1BB234B6"/>
    <w:rsid w:val="1BB34B0B"/>
    <w:rsid w:val="1BB36994"/>
    <w:rsid w:val="1BB37107"/>
    <w:rsid w:val="1BB40B25"/>
    <w:rsid w:val="1BB4600B"/>
    <w:rsid w:val="1BB590A5"/>
    <w:rsid w:val="1BB5FA36"/>
    <w:rsid w:val="1BB6CDF8"/>
    <w:rsid w:val="1BB6E2B7"/>
    <w:rsid w:val="1BB6F7FD"/>
    <w:rsid w:val="1BB7C4BA"/>
    <w:rsid w:val="1BB7CE42"/>
    <w:rsid w:val="1BB7D5A7"/>
    <w:rsid w:val="1BB8992F"/>
    <w:rsid w:val="1BB9E22F"/>
    <w:rsid w:val="1BB9EEAF"/>
    <w:rsid w:val="1BBA23CE"/>
    <w:rsid w:val="1BBAF1BC"/>
    <w:rsid w:val="1BBAF774"/>
    <w:rsid w:val="1BBB169F"/>
    <w:rsid w:val="1BBB240D"/>
    <w:rsid w:val="1BBB6685"/>
    <w:rsid w:val="1BBB9E55"/>
    <w:rsid w:val="1BBE0A2A"/>
    <w:rsid w:val="1BBE1452"/>
    <w:rsid w:val="1BBE18B1"/>
    <w:rsid w:val="1BBF5BF3"/>
    <w:rsid w:val="1BBF7341"/>
    <w:rsid w:val="1BBFF6D0"/>
    <w:rsid w:val="1BC03A39"/>
    <w:rsid w:val="1BC04ECB"/>
    <w:rsid w:val="1BC097DC"/>
    <w:rsid w:val="1BC130AD"/>
    <w:rsid w:val="1BC1633F"/>
    <w:rsid w:val="1BC18635"/>
    <w:rsid w:val="1BC1D941"/>
    <w:rsid w:val="1BC380EF"/>
    <w:rsid w:val="1BC423DE"/>
    <w:rsid w:val="1BC4E758"/>
    <w:rsid w:val="1BC565E1"/>
    <w:rsid w:val="1BC582D1"/>
    <w:rsid w:val="1BC5B5BC"/>
    <w:rsid w:val="1BC69417"/>
    <w:rsid w:val="1BC6D500"/>
    <w:rsid w:val="1BC7648D"/>
    <w:rsid w:val="1BC76D80"/>
    <w:rsid w:val="1BC81F30"/>
    <w:rsid w:val="1BC909B7"/>
    <w:rsid w:val="1BC9D031"/>
    <w:rsid w:val="1BCA097F"/>
    <w:rsid w:val="1BCA1644"/>
    <w:rsid w:val="1BCA7837"/>
    <w:rsid w:val="1BCBA17B"/>
    <w:rsid w:val="1BCD486C"/>
    <w:rsid w:val="1BCDAB23"/>
    <w:rsid w:val="1BCDC39F"/>
    <w:rsid w:val="1BCE7DC4"/>
    <w:rsid w:val="1BCEA84F"/>
    <w:rsid w:val="1BCF5973"/>
    <w:rsid w:val="1BCF993E"/>
    <w:rsid w:val="1BD03B2B"/>
    <w:rsid w:val="1BD22317"/>
    <w:rsid w:val="1BD271E0"/>
    <w:rsid w:val="1BD2FBD5"/>
    <w:rsid w:val="1BD322A6"/>
    <w:rsid w:val="1BD3596E"/>
    <w:rsid w:val="1BD3AEA7"/>
    <w:rsid w:val="1BD41815"/>
    <w:rsid w:val="1BD4A00F"/>
    <w:rsid w:val="1BD59A1B"/>
    <w:rsid w:val="1BD624B5"/>
    <w:rsid w:val="1BD6BCC8"/>
    <w:rsid w:val="1BD6E0F1"/>
    <w:rsid w:val="1BD71CA4"/>
    <w:rsid w:val="1BD7F2D9"/>
    <w:rsid w:val="1BD8AF10"/>
    <w:rsid w:val="1BD8F033"/>
    <w:rsid w:val="1BD92C92"/>
    <w:rsid w:val="1BDAC48F"/>
    <w:rsid w:val="1BDB09AE"/>
    <w:rsid w:val="1BDB2CF1"/>
    <w:rsid w:val="1BDB714A"/>
    <w:rsid w:val="1BDC3352"/>
    <w:rsid w:val="1BDC3AC6"/>
    <w:rsid w:val="1BDD24F3"/>
    <w:rsid w:val="1BDD42D5"/>
    <w:rsid w:val="1BDD4534"/>
    <w:rsid w:val="1BDD7362"/>
    <w:rsid w:val="1BDDA892"/>
    <w:rsid w:val="1BDDC10F"/>
    <w:rsid w:val="1BDE0D77"/>
    <w:rsid w:val="1BDE5436"/>
    <w:rsid w:val="1BDF7A92"/>
    <w:rsid w:val="1BDFBDD4"/>
    <w:rsid w:val="1BDFD7EC"/>
    <w:rsid w:val="1BE0346B"/>
    <w:rsid w:val="1BE219EA"/>
    <w:rsid w:val="1BE27815"/>
    <w:rsid w:val="1BE37FC8"/>
    <w:rsid w:val="1BE3DB02"/>
    <w:rsid w:val="1BE41727"/>
    <w:rsid w:val="1BE422DA"/>
    <w:rsid w:val="1BE495CE"/>
    <w:rsid w:val="1BE4D83E"/>
    <w:rsid w:val="1BE519D2"/>
    <w:rsid w:val="1BE6E7E5"/>
    <w:rsid w:val="1BE7016D"/>
    <w:rsid w:val="1BE71E11"/>
    <w:rsid w:val="1BE78B72"/>
    <w:rsid w:val="1BE7EC2F"/>
    <w:rsid w:val="1BE837E0"/>
    <w:rsid w:val="1BE880A5"/>
    <w:rsid w:val="1BE8B873"/>
    <w:rsid w:val="1BE8CAE8"/>
    <w:rsid w:val="1BE8ED40"/>
    <w:rsid w:val="1BE9B1ED"/>
    <w:rsid w:val="1BE9C8E1"/>
    <w:rsid w:val="1BEA0602"/>
    <w:rsid w:val="1BEA6AC8"/>
    <w:rsid w:val="1BEADFB6"/>
    <w:rsid w:val="1BEBED63"/>
    <w:rsid w:val="1BEC512E"/>
    <w:rsid w:val="1BED14FE"/>
    <w:rsid w:val="1BED310A"/>
    <w:rsid w:val="1BED33C6"/>
    <w:rsid w:val="1BED6541"/>
    <w:rsid w:val="1BED6779"/>
    <w:rsid w:val="1BED8EE6"/>
    <w:rsid w:val="1BEDA9CD"/>
    <w:rsid w:val="1BEDEAA2"/>
    <w:rsid w:val="1BEDEEB4"/>
    <w:rsid w:val="1BEE3024"/>
    <w:rsid w:val="1BEEF314"/>
    <w:rsid w:val="1BEF05B5"/>
    <w:rsid w:val="1BEF9DFE"/>
    <w:rsid w:val="1BF083CC"/>
    <w:rsid w:val="1BF0CE4D"/>
    <w:rsid w:val="1BF1C5D4"/>
    <w:rsid w:val="1BF2650F"/>
    <w:rsid w:val="1BF2C190"/>
    <w:rsid w:val="1BF2D5B6"/>
    <w:rsid w:val="1BF2E4D3"/>
    <w:rsid w:val="1BF2E7C2"/>
    <w:rsid w:val="1BF2FEB4"/>
    <w:rsid w:val="1BF3BBE5"/>
    <w:rsid w:val="1BF3CA38"/>
    <w:rsid w:val="1BF47883"/>
    <w:rsid w:val="1BF4AF6F"/>
    <w:rsid w:val="1BF5F36D"/>
    <w:rsid w:val="1BF5F642"/>
    <w:rsid w:val="1BF6227A"/>
    <w:rsid w:val="1BF659AB"/>
    <w:rsid w:val="1BF66CFD"/>
    <w:rsid w:val="1BF6A6F9"/>
    <w:rsid w:val="1BF7119C"/>
    <w:rsid w:val="1BF80D42"/>
    <w:rsid w:val="1BF8C5A3"/>
    <w:rsid w:val="1BF8F1C9"/>
    <w:rsid w:val="1BFA8B93"/>
    <w:rsid w:val="1BFB4004"/>
    <w:rsid w:val="1BFBFE16"/>
    <w:rsid w:val="1BFD0057"/>
    <w:rsid w:val="1BFD0697"/>
    <w:rsid w:val="1BFD936B"/>
    <w:rsid w:val="1BFDC635"/>
    <w:rsid w:val="1BFE719D"/>
    <w:rsid w:val="1BFE7F9B"/>
    <w:rsid w:val="1BFEE9F6"/>
    <w:rsid w:val="1BFFA112"/>
    <w:rsid w:val="1C00ED3C"/>
    <w:rsid w:val="1C00F85E"/>
    <w:rsid w:val="1C0124A0"/>
    <w:rsid w:val="1C01281A"/>
    <w:rsid w:val="1C0194FB"/>
    <w:rsid w:val="1C01DEE2"/>
    <w:rsid w:val="1C01E9A2"/>
    <w:rsid w:val="1C02571E"/>
    <w:rsid w:val="1C02684E"/>
    <w:rsid w:val="1C02C0A1"/>
    <w:rsid w:val="1C02D693"/>
    <w:rsid w:val="1C02E879"/>
    <w:rsid w:val="1C033E85"/>
    <w:rsid w:val="1C034184"/>
    <w:rsid w:val="1C03A6BC"/>
    <w:rsid w:val="1C03CE14"/>
    <w:rsid w:val="1C046B06"/>
    <w:rsid w:val="1C04B834"/>
    <w:rsid w:val="1C04C320"/>
    <w:rsid w:val="1C04C375"/>
    <w:rsid w:val="1C04F445"/>
    <w:rsid w:val="1C05994A"/>
    <w:rsid w:val="1C067FAA"/>
    <w:rsid w:val="1C06D43C"/>
    <w:rsid w:val="1C06DCD7"/>
    <w:rsid w:val="1C075597"/>
    <w:rsid w:val="1C08A4B9"/>
    <w:rsid w:val="1C08AABC"/>
    <w:rsid w:val="1C09E2C5"/>
    <w:rsid w:val="1C0AC638"/>
    <w:rsid w:val="1C0B9498"/>
    <w:rsid w:val="1C0C32E6"/>
    <w:rsid w:val="1C0D61D5"/>
    <w:rsid w:val="1C0DA668"/>
    <w:rsid w:val="1C0E6EF5"/>
    <w:rsid w:val="1C0E7BC0"/>
    <w:rsid w:val="1C0EF1A3"/>
    <w:rsid w:val="1C0F027F"/>
    <w:rsid w:val="1C105C20"/>
    <w:rsid w:val="1C10E3A6"/>
    <w:rsid w:val="1C117347"/>
    <w:rsid w:val="1C121403"/>
    <w:rsid w:val="1C124D57"/>
    <w:rsid w:val="1C13B4D6"/>
    <w:rsid w:val="1C14C0DB"/>
    <w:rsid w:val="1C14DB63"/>
    <w:rsid w:val="1C1534AF"/>
    <w:rsid w:val="1C15792A"/>
    <w:rsid w:val="1C15A830"/>
    <w:rsid w:val="1C15BEBB"/>
    <w:rsid w:val="1C1700B4"/>
    <w:rsid w:val="1C1766D6"/>
    <w:rsid w:val="1C183919"/>
    <w:rsid w:val="1C1853F9"/>
    <w:rsid w:val="1C188DCC"/>
    <w:rsid w:val="1C1AA6D4"/>
    <w:rsid w:val="1C1B61DF"/>
    <w:rsid w:val="1C1BE4D3"/>
    <w:rsid w:val="1C1C26CE"/>
    <w:rsid w:val="1C1C8B68"/>
    <w:rsid w:val="1C1C9930"/>
    <w:rsid w:val="1C1D556D"/>
    <w:rsid w:val="1C1D76D0"/>
    <w:rsid w:val="1C1DB18A"/>
    <w:rsid w:val="1C1E5670"/>
    <w:rsid w:val="1C1E61B6"/>
    <w:rsid w:val="1C1E7AF5"/>
    <w:rsid w:val="1C1E8699"/>
    <w:rsid w:val="1C1E9E01"/>
    <w:rsid w:val="1C1EE2FB"/>
    <w:rsid w:val="1C1EE959"/>
    <w:rsid w:val="1C1F6440"/>
    <w:rsid w:val="1C1F7D4A"/>
    <w:rsid w:val="1C1F8136"/>
    <w:rsid w:val="1C20A96F"/>
    <w:rsid w:val="1C20E25B"/>
    <w:rsid w:val="1C238997"/>
    <w:rsid w:val="1C23BE03"/>
    <w:rsid w:val="1C240BD1"/>
    <w:rsid w:val="1C26E3B3"/>
    <w:rsid w:val="1C26F3D7"/>
    <w:rsid w:val="1C275266"/>
    <w:rsid w:val="1C279782"/>
    <w:rsid w:val="1C2848CC"/>
    <w:rsid w:val="1C297E76"/>
    <w:rsid w:val="1C29B584"/>
    <w:rsid w:val="1C29E7EE"/>
    <w:rsid w:val="1C2A5B23"/>
    <w:rsid w:val="1C2A841D"/>
    <w:rsid w:val="1C2B0375"/>
    <w:rsid w:val="1C2B5198"/>
    <w:rsid w:val="1C2B58D6"/>
    <w:rsid w:val="1C2BA1D0"/>
    <w:rsid w:val="1C2BD4D1"/>
    <w:rsid w:val="1C2BE42C"/>
    <w:rsid w:val="1C2C6A50"/>
    <w:rsid w:val="1C2C94E4"/>
    <w:rsid w:val="1C2C9AE1"/>
    <w:rsid w:val="1C2D30C5"/>
    <w:rsid w:val="1C2D4767"/>
    <w:rsid w:val="1C2D520A"/>
    <w:rsid w:val="1C2E56DF"/>
    <w:rsid w:val="1C2F3311"/>
    <w:rsid w:val="1C2FBA1E"/>
    <w:rsid w:val="1C2FE227"/>
    <w:rsid w:val="1C2FF831"/>
    <w:rsid w:val="1C305BF1"/>
    <w:rsid w:val="1C311BC5"/>
    <w:rsid w:val="1C31870C"/>
    <w:rsid w:val="1C31CF0D"/>
    <w:rsid w:val="1C320D7F"/>
    <w:rsid w:val="1C3234D0"/>
    <w:rsid w:val="1C32A49C"/>
    <w:rsid w:val="1C32C790"/>
    <w:rsid w:val="1C32DB03"/>
    <w:rsid w:val="1C3323F6"/>
    <w:rsid w:val="1C33D6FC"/>
    <w:rsid w:val="1C350D8F"/>
    <w:rsid w:val="1C3526E3"/>
    <w:rsid w:val="1C35342F"/>
    <w:rsid w:val="1C35579B"/>
    <w:rsid w:val="1C35F1FD"/>
    <w:rsid w:val="1C3620D6"/>
    <w:rsid w:val="1C3623A7"/>
    <w:rsid w:val="1C36442F"/>
    <w:rsid w:val="1C3704DB"/>
    <w:rsid w:val="1C3739BC"/>
    <w:rsid w:val="1C386308"/>
    <w:rsid w:val="1C3886FC"/>
    <w:rsid w:val="1C38BDA4"/>
    <w:rsid w:val="1C38BDEB"/>
    <w:rsid w:val="1C39EF5F"/>
    <w:rsid w:val="1C3A42B0"/>
    <w:rsid w:val="1C3A7EF3"/>
    <w:rsid w:val="1C3A9EBF"/>
    <w:rsid w:val="1C3AC7A9"/>
    <w:rsid w:val="1C3C2475"/>
    <w:rsid w:val="1C3C71DD"/>
    <w:rsid w:val="1C3CCB91"/>
    <w:rsid w:val="1C3D3A37"/>
    <w:rsid w:val="1C3D5626"/>
    <w:rsid w:val="1C3E0314"/>
    <w:rsid w:val="1C3E03BC"/>
    <w:rsid w:val="1C3E3560"/>
    <w:rsid w:val="1C3E534C"/>
    <w:rsid w:val="1C3EAC54"/>
    <w:rsid w:val="1C3F06D1"/>
    <w:rsid w:val="1C4001AC"/>
    <w:rsid w:val="1C409CBB"/>
    <w:rsid w:val="1C40FEB3"/>
    <w:rsid w:val="1C415A7A"/>
    <w:rsid w:val="1C41AD09"/>
    <w:rsid w:val="1C41B229"/>
    <w:rsid w:val="1C41CE06"/>
    <w:rsid w:val="1C41E51F"/>
    <w:rsid w:val="1C422BE1"/>
    <w:rsid w:val="1C42D482"/>
    <w:rsid w:val="1C438165"/>
    <w:rsid w:val="1C43E4CB"/>
    <w:rsid w:val="1C449229"/>
    <w:rsid w:val="1C44A650"/>
    <w:rsid w:val="1C455973"/>
    <w:rsid w:val="1C4669AA"/>
    <w:rsid w:val="1C472FA5"/>
    <w:rsid w:val="1C476BEB"/>
    <w:rsid w:val="1C491007"/>
    <w:rsid w:val="1C49502A"/>
    <w:rsid w:val="1C4960BF"/>
    <w:rsid w:val="1C4B8688"/>
    <w:rsid w:val="1C4BDCAB"/>
    <w:rsid w:val="1C4C81B3"/>
    <w:rsid w:val="1C4DCFED"/>
    <w:rsid w:val="1C4E5C89"/>
    <w:rsid w:val="1C4F5E96"/>
    <w:rsid w:val="1C5011CC"/>
    <w:rsid w:val="1C505113"/>
    <w:rsid w:val="1C505D37"/>
    <w:rsid w:val="1C50E640"/>
    <w:rsid w:val="1C50F78D"/>
    <w:rsid w:val="1C5132CE"/>
    <w:rsid w:val="1C51AB55"/>
    <w:rsid w:val="1C52EB02"/>
    <w:rsid w:val="1C52F251"/>
    <w:rsid w:val="1C531DFB"/>
    <w:rsid w:val="1C5384FD"/>
    <w:rsid w:val="1C53B75A"/>
    <w:rsid w:val="1C540E68"/>
    <w:rsid w:val="1C5469EC"/>
    <w:rsid w:val="1C546CAA"/>
    <w:rsid w:val="1C548C92"/>
    <w:rsid w:val="1C55755B"/>
    <w:rsid w:val="1C5599B1"/>
    <w:rsid w:val="1C55F53F"/>
    <w:rsid w:val="1C56F046"/>
    <w:rsid w:val="1C571CD6"/>
    <w:rsid w:val="1C57A61A"/>
    <w:rsid w:val="1C58BA66"/>
    <w:rsid w:val="1C599AC4"/>
    <w:rsid w:val="1C599FCA"/>
    <w:rsid w:val="1C59B3FD"/>
    <w:rsid w:val="1C5B40D0"/>
    <w:rsid w:val="1C5B5B9A"/>
    <w:rsid w:val="1C5B5FBF"/>
    <w:rsid w:val="1C5BAEF4"/>
    <w:rsid w:val="1C5C51DE"/>
    <w:rsid w:val="1C5D1F39"/>
    <w:rsid w:val="1C5DA18F"/>
    <w:rsid w:val="1C5DED99"/>
    <w:rsid w:val="1C5DFE1A"/>
    <w:rsid w:val="1C5E69EF"/>
    <w:rsid w:val="1C5EA8AE"/>
    <w:rsid w:val="1C5EF71B"/>
    <w:rsid w:val="1C5FE7D2"/>
    <w:rsid w:val="1C60C4CC"/>
    <w:rsid w:val="1C6193FF"/>
    <w:rsid w:val="1C619911"/>
    <w:rsid w:val="1C62FEED"/>
    <w:rsid w:val="1C6379E8"/>
    <w:rsid w:val="1C6380AB"/>
    <w:rsid w:val="1C648DA7"/>
    <w:rsid w:val="1C64A71D"/>
    <w:rsid w:val="1C64BFF0"/>
    <w:rsid w:val="1C653DE2"/>
    <w:rsid w:val="1C65E88F"/>
    <w:rsid w:val="1C665E74"/>
    <w:rsid w:val="1C66D8AB"/>
    <w:rsid w:val="1C66E91C"/>
    <w:rsid w:val="1C67CFC0"/>
    <w:rsid w:val="1C67EE67"/>
    <w:rsid w:val="1C68FA2E"/>
    <w:rsid w:val="1C692316"/>
    <w:rsid w:val="1C694A03"/>
    <w:rsid w:val="1C69ED7A"/>
    <w:rsid w:val="1C6A06DD"/>
    <w:rsid w:val="1C6AA136"/>
    <w:rsid w:val="1C6AB9D0"/>
    <w:rsid w:val="1C6C9CF6"/>
    <w:rsid w:val="1C6CDB6E"/>
    <w:rsid w:val="1C6D30DB"/>
    <w:rsid w:val="1C6E2E6F"/>
    <w:rsid w:val="1C6E694D"/>
    <w:rsid w:val="1C6E7FDC"/>
    <w:rsid w:val="1C6EA9F3"/>
    <w:rsid w:val="1C6EBF26"/>
    <w:rsid w:val="1C6ECA4A"/>
    <w:rsid w:val="1C6EDE98"/>
    <w:rsid w:val="1C6F8A4C"/>
    <w:rsid w:val="1C6FEB03"/>
    <w:rsid w:val="1C6FEE86"/>
    <w:rsid w:val="1C7001DD"/>
    <w:rsid w:val="1C7053CB"/>
    <w:rsid w:val="1C712D66"/>
    <w:rsid w:val="1C715BE3"/>
    <w:rsid w:val="1C716B6C"/>
    <w:rsid w:val="1C7188C6"/>
    <w:rsid w:val="1C723ED4"/>
    <w:rsid w:val="1C7303A0"/>
    <w:rsid w:val="1C73069B"/>
    <w:rsid w:val="1C735E9A"/>
    <w:rsid w:val="1C739C85"/>
    <w:rsid w:val="1C746FB2"/>
    <w:rsid w:val="1C7537F9"/>
    <w:rsid w:val="1C755BF6"/>
    <w:rsid w:val="1C75913B"/>
    <w:rsid w:val="1C759DE0"/>
    <w:rsid w:val="1C75A366"/>
    <w:rsid w:val="1C75A838"/>
    <w:rsid w:val="1C7661CA"/>
    <w:rsid w:val="1C766ED4"/>
    <w:rsid w:val="1C76B88F"/>
    <w:rsid w:val="1C775E93"/>
    <w:rsid w:val="1C779A78"/>
    <w:rsid w:val="1C77B2C9"/>
    <w:rsid w:val="1C787537"/>
    <w:rsid w:val="1C789101"/>
    <w:rsid w:val="1C78B741"/>
    <w:rsid w:val="1C78D340"/>
    <w:rsid w:val="1C7A2400"/>
    <w:rsid w:val="1C7A4904"/>
    <w:rsid w:val="1C7B3B8A"/>
    <w:rsid w:val="1C7B6591"/>
    <w:rsid w:val="1C7B9A30"/>
    <w:rsid w:val="1C7C68F4"/>
    <w:rsid w:val="1C7C72BD"/>
    <w:rsid w:val="1C7CA609"/>
    <w:rsid w:val="1C7CF001"/>
    <w:rsid w:val="1C7D2F09"/>
    <w:rsid w:val="1C7E4B85"/>
    <w:rsid w:val="1C7ECCF1"/>
    <w:rsid w:val="1C7EF799"/>
    <w:rsid w:val="1C813FEC"/>
    <w:rsid w:val="1C815135"/>
    <w:rsid w:val="1C82AF5F"/>
    <w:rsid w:val="1C82B29F"/>
    <w:rsid w:val="1C831F2D"/>
    <w:rsid w:val="1C83774B"/>
    <w:rsid w:val="1C838AAF"/>
    <w:rsid w:val="1C83FAF5"/>
    <w:rsid w:val="1C846321"/>
    <w:rsid w:val="1C84F611"/>
    <w:rsid w:val="1C852796"/>
    <w:rsid w:val="1C86470A"/>
    <w:rsid w:val="1C86AD0E"/>
    <w:rsid w:val="1C877154"/>
    <w:rsid w:val="1C87A8E2"/>
    <w:rsid w:val="1C883B92"/>
    <w:rsid w:val="1C8920F5"/>
    <w:rsid w:val="1C8953F0"/>
    <w:rsid w:val="1C89E0CD"/>
    <w:rsid w:val="1C8A2C57"/>
    <w:rsid w:val="1C8A3D93"/>
    <w:rsid w:val="1C8A61DA"/>
    <w:rsid w:val="1C8B35F3"/>
    <w:rsid w:val="1C8B5D76"/>
    <w:rsid w:val="1C8C032A"/>
    <w:rsid w:val="1C8CD573"/>
    <w:rsid w:val="1C8D1F2C"/>
    <w:rsid w:val="1C8D9A33"/>
    <w:rsid w:val="1C8E508E"/>
    <w:rsid w:val="1C8F5AE8"/>
    <w:rsid w:val="1C902EF0"/>
    <w:rsid w:val="1C91537F"/>
    <w:rsid w:val="1C915879"/>
    <w:rsid w:val="1C91C101"/>
    <w:rsid w:val="1C925B6B"/>
    <w:rsid w:val="1C936C7A"/>
    <w:rsid w:val="1C938742"/>
    <w:rsid w:val="1C93A888"/>
    <w:rsid w:val="1C958AF2"/>
    <w:rsid w:val="1C95A1C7"/>
    <w:rsid w:val="1C962188"/>
    <w:rsid w:val="1C963AE3"/>
    <w:rsid w:val="1C9719E1"/>
    <w:rsid w:val="1C972DE0"/>
    <w:rsid w:val="1C9751B7"/>
    <w:rsid w:val="1C983A06"/>
    <w:rsid w:val="1C9846AB"/>
    <w:rsid w:val="1C98B444"/>
    <w:rsid w:val="1C9908F2"/>
    <w:rsid w:val="1C99635F"/>
    <w:rsid w:val="1C9980E0"/>
    <w:rsid w:val="1C9A0A13"/>
    <w:rsid w:val="1C9A26E4"/>
    <w:rsid w:val="1C9B1425"/>
    <w:rsid w:val="1C9C08D9"/>
    <w:rsid w:val="1C9C2138"/>
    <w:rsid w:val="1C9D541A"/>
    <w:rsid w:val="1CA04295"/>
    <w:rsid w:val="1CA0ED86"/>
    <w:rsid w:val="1CA199A2"/>
    <w:rsid w:val="1CA1D114"/>
    <w:rsid w:val="1CA23ED4"/>
    <w:rsid w:val="1CA244AA"/>
    <w:rsid w:val="1CA27E6E"/>
    <w:rsid w:val="1CA3C544"/>
    <w:rsid w:val="1CA4381B"/>
    <w:rsid w:val="1CA47547"/>
    <w:rsid w:val="1CA4BA70"/>
    <w:rsid w:val="1CA5BEA0"/>
    <w:rsid w:val="1CA5F075"/>
    <w:rsid w:val="1CA77104"/>
    <w:rsid w:val="1CA77F90"/>
    <w:rsid w:val="1CA785D4"/>
    <w:rsid w:val="1CA89F7E"/>
    <w:rsid w:val="1CA90913"/>
    <w:rsid w:val="1CA94B95"/>
    <w:rsid w:val="1CA9FCF9"/>
    <w:rsid w:val="1CAA10DF"/>
    <w:rsid w:val="1CAA1A2A"/>
    <w:rsid w:val="1CAA1BDF"/>
    <w:rsid w:val="1CAA67F0"/>
    <w:rsid w:val="1CAB4D22"/>
    <w:rsid w:val="1CAC8834"/>
    <w:rsid w:val="1CACFD14"/>
    <w:rsid w:val="1CAE2D33"/>
    <w:rsid w:val="1CAEC669"/>
    <w:rsid w:val="1CAEFCCE"/>
    <w:rsid w:val="1CAF4D74"/>
    <w:rsid w:val="1CAF96F8"/>
    <w:rsid w:val="1CAFC9E8"/>
    <w:rsid w:val="1CB00F3C"/>
    <w:rsid w:val="1CB08610"/>
    <w:rsid w:val="1CB09929"/>
    <w:rsid w:val="1CB0A296"/>
    <w:rsid w:val="1CB0F620"/>
    <w:rsid w:val="1CB15D13"/>
    <w:rsid w:val="1CB186DD"/>
    <w:rsid w:val="1CB2216A"/>
    <w:rsid w:val="1CB27BE5"/>
    <w:rsid w:val="1CB28725"/>
    <w:rsid w:val="1CB2C91E"/>
    <w:rsid w:val="1CB4A3DF"/>
    <w:rsid w:val="1CB4C291"/>
    <w:rsid w:val="1CB4C693"/>
    <w:rsid w:val="1CB5A62C"/>
    <w:rsid w:val="1CB62329"/>
    <w:rsid w:val="1CB64489"/>
    <w:rsid w:val="1CB8F6D0"/>
    <w:rsid w:val="1CB98ACE"/>
    <w:rsid w:val="1CBA3445"/>
    <w:rsid w:val="1CBB61C8"/>
    <w:rsid w:val="1CBBF9A7"/>
    <w:rsid w:val="1CBC2C00"/>
    <w:rsid w:val="1CBCA1A9"/>
    <w:rsid w:val="1CBD72ED"/>
    <w:rsid w:val="1CBDD199"/>
    <w:rsid w:val="1CBE68B7"/>
    <w:rsid w:val="1CBEBFC1"/>
    <w:rsid w:val="1CBF27F4"/>
    <w:rsid w:val="1CBF7724"/>
    <w:rsid w:val="1CBFC97A"/>
    <w:rsid w:val="1CBFE240"/>
    <w:rsid w:val="1CC037CF"/>
    <w:rsid w:val="1CC084A3"/>
    <w:rsid w:val="1CC0A788"/>
    <w:rsid w:val="1CC0CA34"/>
    <w:rsid w:val="1CC0E947"/>
    <w:rsid w:val="1CC23850"/>
    <w:rsid w:val="1CC23EA1"/>
    <w:rsid w:val="1CC25E01"/>
    <w:rsid w:val="1CC34F48"/>
    <w:rsid w:val="1CC38C25"/>
    <w:rsid w:val="1CC3994F"/>
    <w:rsid w:val="1CC45821"/>
    <w:rsid w:val="1CC495D4"/>
    <w:rsid w:val="1CC49BA1"/>
    <w:rsid w:val="1CC55DD0"/>
    <w:rsid w:val="1CC5A5C2"/>
    <w:rsid w:val="1CC62B14"/>
    <w:rsid w:val="1CC6822F"/>
    <w:rsid w:val="1CC693CA"/>
    <w:rsid w:val="1CC6A17F"/>
    <w:rsid w:val="1CC7E915"/>
    <w:rsid w:val="1CC86D23"/>
    <w:rsid w:val="1CC8E171"/>
    <w:rsid w:val="1CC94A39"/>
    <w:rsid w:val="1CC95161"/>
    <w:rsid w:val="1CCA7654"/>
    <w:rsid w:val="1CCABD4D"/>
    <w:rsid w:val="1CCB068D"/>
    <w:rsid w:val="1CCB381B"/>
    <w:rsid w:val="1CCB5D79"/>
    <w:rsid w:val="1CCB9CF3"/>
    <w:rsid w:val="1CCBA1FC"/>
    <w:rsid w:val="1CCBCEEE"/>
    <w:rsid w:val="1CCC4E1B"/>
    <w:rsid w:val="1CCC54BD"/>
    <w:rsid w:val="1CCD3637"/>
    <w:rsid w:val="1CCD5153"/>
    <w:rsid w:val="1CCDA6E8"/>
    <w:rsid w:val="1CCE0398"/>
    <w:rsid w:val="1CCE982E"/>
    <w:rsid w:val="1CCEAD78"/>
    <w:rsid w:val="1CCF0D77"/>
    <w:rsid w:val="1CCFEDB1"/>
    <w:rsid w:val="1CD0010E"/>
    <w:rsid w:val="1CD1B8AB"/>
    <w:rsid w:val="1CD277AC"/>
    <w:rsid w:val="1CD35B9B"/>
    <w:rsid w:val="1CD414E6"/>
    <w:rsid w:val="1CD60573"/>
    <w:rsid w:val="1CD663F1"/>
    <w:rsid w:val="1CD66F92"/>
    <w:rsid w:val="1CD6D9A2"/>
    <w:rsid w:val="1CD727A9"/>
    <w:rsid w:val="1CD7A996"/>
    <w:rsid w:val="1CD7E36E"/>
    <w:rsid w:val="1CD7E6C8"/>
    <w:rsid w:val="1CD83920"/>
    <w:rsid w:val="1CD9BA95"/>
    <w:rsid w:val="1CDB1636"/>
    <w:rsid w:val="1CDB7DF5"/>
    <w:rsid w:val="1CDBE8C9"/>
    <w:rsid w:val="1CDCB2F4"/>
    <w:rsid w:val="1CDD3B46"/>
    <w:rsid w:val="1CDD6BFF"/>
    <w:rsid w:val="1CDD72AC"/>
    <w:rsid w:val="1CDE6081"/>
    <w:rsid w:val="1CDE6DE6"/>
    <w:rsid w:val="1CDE7077"/>
    <w:rsid w:val="1CDEDBCA"/>
    <w:rsid w:val="1CDEDDE5"/>
    <w:rsid w:val="1CE045F2"/>
    <w:rsid w:val="1CE089DF"/>
    <w:rsid w:val="1CE145DB"/>
    <w:rsid w:val="1CE1813F"/>
    <w:rsid w:val="1CE1B6FD"/>
    <w:rsid w:val="1CE1C588"/>
    <w:rsid w:val="1CE22BF3"/>
    <w:rsid w:val="1CE24BC2"/>
    <w:rsid w:val="1CE2974E"/>
    <w:rsid w:val="1CE2D1E6"/>
    <w:rsid w:val="1CE2F03F"/>
    <w:rsid w:val="1CE3C6A2"/>
    <w:rsid w:val="1CE41191"/>
    <w:rsid w:val="1CE46F74"/>
    <w:rsid w:val="1CE500ED"/>
    <w:rsid w:val="1CE5546D"/>
    <w:rsid w:val="1CE6C166"/>
    <w:rsid w:val="1CE76D45"/>
    <w:rsid w:val="1CE7971F"/>
    <w:rsid w:val="1CE7BE36"/>
    <w:rsid w:val="1CE9255B"/>
    <w:rsid w:val="1CE9B000"/>
    <w:rsid w:val="1CE9DC93"/>
    <w:rsid w:val="1CEAB175"/>
    <w:rsid w:val="1CEAECEB"/>
    <w:rsid w:val="1CEB255B"/>
    <w:rsid w:val="1CEB3110"/>
    <w:rsid w:val="1CEB65A8"/>
    <w:rsid w:val="1CEBD2F5"/>
    <w:rsid w:val="1CECC12A"/>
    <w:rsid w:val="1CED16DF"/>
    <w:rsid w:val="1CEE2EC3"/>
    <w:rsid w:val="1CEE8D27"/>
    <w:rsid w:val="1CEEFEE9"/>
    <w:rsid w:val="1CEF1DFD"/>
    <w:rsid w:val="1CEF2000"/>
    <w:rsid w:val="1CEFE4E3"/>
    <w:rsid w:val="1CF03464"/>
    <w:rsid w:val="1CF0B84F"/>
    <w:rsid w:val="1CF13FDB"/>
    <w:rsid w:val="1CF1B48A"/>
    <w:rsid w:val="1CF1E143"/>
    <w:rsid w:val="1CF2A040"/>
    <w:rsid w:val="1CF3297C"/>
    <w:rsid w:val="1CF3A897"/>
    <w:rsid w:val="1CF49078"/>
    <w:rsid w:val="1CF4A9FF"/>
    <w:rsid w:val="1CF4E4BC"/>
    <w:rsid w:val="1CF547B8"/>
    <w:rsid w:val="1CF56402"/>
    <w:rsid w:val="1CF5D05B"/>
    <w:rsid w:val="1CF62D7A"/>
    <w:rsid w:val="1CF6CC84"/>
    <w:rsid w:val="1CF747B2"/>
    <w:rsid w:val="1CF74A02"/>
    <w:rsid w:val="1CF75A89"/>
    <w:rsid w:val="1CF76CED"/>
    <w:rsid w:val="1CF771A0"/>
    <w:rsid w:val="1CF7CC81"/>
    <w:rsid w:val="1CF7F131"/>
    <w:rsid w:val="1CF7FD5F"/>
    <w:rsid w:val="1CF89F29"/>
    <w:rsid w:val="1CF8A73C"/>
    <w:rsid w:val="1CF9B9BD"/>
    <w:rsid w:val="1CFA44A6"/>
    <w:rsid w:val="1CFB02AE"/>
    <w:rsid w:val="1CFBB3D4"/>
    <w:rsid w:val="1CFC43FD"/>
    <w:rsid w:val="1CFCDB75"/>
    <w:rsid w:val="1CFD7A51"/>
    <w:rsid w:val="1CFDD605"/>
    <w:rsid w:val="1CFDDF5D"/>
    <w:rsid w:val="1CFE86B8"/>
    <w:rsid w:val="1CFEDCD1"/>
    <w:rsid w:val="1CFF22E3"/>
    <w:rsid w:val="1CFF3511"/>
    <w:rsid w:val="1CFFD3D3"/>
    <w:rsid w:val="1CFFD64A"/>
    <w:rsid w:val="1CFFE489"/>
    <w:rsid w:val="1CFFFB83"/>
    <w:rsid w:val="1CFFFEDE"/>
    <w:rsid w:val="1D00C6E0"/>
    <w:rsid w:val="1D00F419"/>
    <w:rsid w:val="1D01790F"/>
    <w:rsid w:val="1D020915"/>
    <w:rsid w:val="1D022434"/>
    <w:rsid w:val="1D029CF1"/>
    <w:rsid w:val="1D02C917"/>
    <w:rsid w:val="1D0303A2"/>
    <w:rsid w:val="1D0315CD"/>
    <w:rsid w:val="1D0343A6"/>
    <w:rsid w:val="1D03FCC9"/>
    <w:rsid w:val="1D05FB12"/>
    <w:rsid w:val="1D06A45B"/>
    <w:rsid w:val="1D06B74C"/>
    <w:rsid w:val="1D06D58B"/>
    <w:rsid w:val="1D0712CB"/>
    <w:rsid w:val="1D0A131A"/>
    <w:rsid w:val="1D0A5D87"/>
    <w:rsid w:val="1D0A7839"/>
    <w:rsid w:val="1D0A79B5"/>
    <w:rsid w:val="1D0B3DE2"/>
    <w:rsid w:val="1D0BCFB7"/>
    <w:rsid w:val="1D0C05D8"/>
    <w:rsid w:val="1D0C0F26"/>
    <w:rsid w:val="1D0C49A3"/>
    <w:rsid w:val="1D0C5575"/>
    <w:rsid w:val="1D0C90C0"/>
    <w:rsid w:val="1D0CD3EE"/>
    <w:rsid w:val="1D0D23B6"/>
    <w:rsid w:val="1D0D97FF"/>
    <w:rsid w:val="1D0D9FA6"/>
    <w:rsid w:val="1D0DCCC3"/>
    <w:rsid w:val="1D0E6E0B"/>
    <w:rsid w:val="1D0E8AAB"/>
    <w:rsid w:val="1D0EC2BD"/>
    <w:rsid w:val="1D0ECBBB"/>
    <w:rsid w:val="1D0F9FD6"/>
    <w:rsid w:val="1D1130F5"/>
    <w:rsid w:val="1D114DF0"/>
    <w:rsid w:val="1D11FA55"/>
    <w:rsid w:val="1D13024A"/>
    <w:rsid w:val="1D134760"/>
    <w:rsid w:val="1D13C6D3"/>
    <w:rsid w:val="1D14B7BB"/>
    <w:rsid w:val="1D14C0B9"/>
    <w:rsid w:val="1D14D246"/>
    <w:rsid w:val="1D1514E8"/>
    <w:rsid w:val="1D158293"/>
    <w:rsid w:val="1D15ED37"/>
    <w:rsid w:val="1D160D2A"/>
    <w:rsid w:val="1D1683E1"/>
    <w:rsid w:val="1D16A745"/>
    <w:rsid w:val="1D16EA30"/>
    <w:rsid w:val="1D178F5A"/>
    <w:rsid w:val="1D182593"/>
    <w:rsid w:val="1D188A9B"/>
    <w:rsid w:val="1D18F7E3"/>
    <w:rsid w:val="1D1936E6"/>
    <w:rsid w:val="1D195546"/>
    <w:rsid w:val="1D19B319"/>
    <w:rsid w:val="1D1B07B6"/>
    <w:rsid w:val="1D1B4564"/>
    <w:rsid w:val="1D1B90BA"/>
    <w:rsid w:val="1D1CFA76"/>
    <w:rsid w:val="1D1DA372"/>
    <w:rsid w:val="1D20BC32"/>
    <w:rsid w:val="1D20CE06"/>
    <w:rsid w:val="1D20E007"/>
    <w:rsid w:val="1D211C27"/>
    <w:rsid w:val="1D218FEB"/>
    <w:rsid w:val="1D21E22B"/>
    <w:rsid w:val="1D21FA4A"/>
    <w:rsid w:val="1D220419"/>
    <w:rsid w:val="1D222A99"/>
    <w:rsid w:val="1D223363"/>
    <w:rsid w:val="1D227AA2"/>
    <w:rsid w:val="1D22BF46"/>
    <w:rsid w:val="1D22F9DE"/>
    <w:rsid w:val="1D2354B3"/>
    <w:rsid w:val="1D23EFB0"/>
    <w:rsid w:val="1D23FF35"/>
    <w:rsid w:val="1D24005E"/>
    <w:rsid w:val="1D244D25"/>
    <w:rsid w:val="1D245E06"/>
    <w:rsid w:val="1D246A2C"/>
    <w:rsid w:val="1D24EC7F"/>
    <w:rsid w:val="1D25026D"/>
    <w:rsid w:val="1D25062C"/>
    <w:rsid w:val="1D25569D"/>
    <w:rsid w:val="1D256E1B"/>
    <w:rsid w:val="1D25D41A"/>
    <w:rsid w:val="1D26257B"/>
    <w:rsid w:val="1D265B35"/>
    <w:rsid w:val="1D268952"/>
    <w:rsid w:val="1D268B01"/>
    <w:rsid w:val="1D26A811"/>
    <w:rsid w:val="1D27A207"/>
    <w:rsid w:val="1D27DD4B"/>
    <w:rsid w:val="1D27FCEE"/>
    <w:rsid w:val="1D280CB0"/>
    <w:rsid w:val="1D289B6D"/>
    <w:rsid w:val="1D298602"/>
    <w:rsid w:val="1D29D5A7"/>
    <w:rsid w:val="1D2AECD3"/>
    <w:rsid w:val="1D2AEE34"/>
    <w:rsid w:val="1D2AFDCD"/>
    <w:rsid w:val="1D2B71C8"/>
    <w:rsid w:val="1D2B8B9A"/>
    <w:rsid w:val="1D2CB6E5"/>
    <w:rsid w:val="1D2CDEB8"/>
    <w:rsid w:val="1D2D3B52"/>
    <w:rsid w:val="1D2D849C"/>
    <w:rsid w:val="1D2DD13F"/>
    <w:rsid w:val="1D2E036B"/>
    <w:rsid w:val="1D2EC4E4"/>
    <w:rsid w:val="1D300E2C"/>
    <w:rsid w:val="1D301BBD"/>
    <w:rsid w:val="1D3083C0"/>
    <w:rsid w:val="1D310893"/>
    <w:rsid w:val="1D315474"/>
    <w:rsid w:val="1D319A51"/>
    <w:rsid w:val="1D31F086"/>
    <w:rsid w:val="1D32321A"/>
    <w:rsid w:val="1D331008"/>
    <w:rsid w:val="1D331E54"/>
    <w:rsid w:val="1D333391"/>
    <w:rsid w:val="1D343508"/>
    <w:rsid w:val="1D344A2D"/>
    <w:rsid w:val="1D344C41"/>
    <w:rsid w:val="1D3642C5"/>
    <w:rsid w:val="1D365896"/>
    <w:rsid w:val="1D366DE2"/>
    <w:rsid w:val="1D36C241"/>
    <w:rsid w:val="1D36E895"/>
    <w:rsid w:val="1D378BBC"/>
    <w:rsid w:val="1D3852A0"/>
    <w:rsid w:val="1D389C5B"/>
    <w:rsid w:val="1D389F1D"/>
    <w:rsid w:val="1D39170D"/>
    <w:rsid w:val="1D39C87A"/>
    <w:rsid w:val="1D39CEC7"/>
    <w:rsid w:val="1D39E3F3"/>
    <w:rsid w:val="1D3A7516"/>
    <w:rsid w:val="1D3AA2D4"/>
    <w:rsid w:val="1D3AF9A7"/>
    <w:rsid w:val="1D3B290A"/>
    <w:rsid w:val="1D3B68D8"/>
    <w:rsid w:val="1D3C2525"/>
    <w:rsid w:val="1D3C8F62"/>
    <w:rsid w:val="1D3CB65F"/>
    <w:rsid w:val="1D3D0D58"/>
    <w:rsid w:val="1D3E8A94"/>
    <w:rsid w:val="1D3EC801"/>
    <w:rsid w:val="1D3F5F29"/>
    <w:rsid w:val="1D3FC4D9"/>
    <w:rsid w:val="1D40033A"/>
    <w:rsid w:val="1D407B79"/>
    <w:rsid w:val="1D4096D9"/>
    <w:rsid w:val="1D40EA6B"/>
    <w:rsid w:val="1D410DA0"/>
    <w:rsid w:val="1D41EA22"/>
    <w:rsid w:val="1D42155D"/>
    <w:rsid w:val="1D423456"/>
    <w:rsid w:val="1D4286CB"/>
    <w:rsid w:val="1D431BF6"/>
    <w:rsid w:val="1D4370D3"/>
    <w:rsid w:val="1D437F89"/>
    <w:rsid w:val="1D442C07"/>
    <w:rsid w:val="1D44817E"/>
    <w:rsid w:val="1D45273A"/>
    <w:rsid w:val="1D48A970"/>
    <w:rsid w:val="1D48B218"/>
    <w:rsid w:val="1D48C3A4"/>
    <w:rsid w:val="1D48E836"/>
    <w:rsid w:val="1D4A189C"/>
    <w:rsid w:val="1D4AAB56"/>
    <w:rsid w:val="1D4BBFD9"/>
    <w:rsid w:val="1D4CDFB8"/>
    <w:rsid w:val="1D4CE308"/>
    <w:rsid w:val="1D4D029F"/>
    <w:rsid w:val="1D4D7B75"/>
    <w:rsid w:val="1D4DB68A"/>
    <w:rsid w:val="1D4FC072"/>
    <w:rsid w:val="1D502DCF"/>
    <w:rsid w:val="1D5058B6"/>
    <w:rsid w:val="1D5111BA"/>
    <w:rsid w:val="1D514050"/>
    <w:rsid w:val="1D521BCC"/>
    <w:rsid w:val="1D53472C"/>
    <w:rsid w:val="1D53BEE2"/>
    <w:rsid w:val="1D54327E"/>
    <w:rsid w:val="1D54F55A"/>
    <w:rsid w:val="1D55C858"/>
    <w:rsid w:val="1D5691D8"/>
    <w:rsid w:val="1D57E014"/>
    <w:rsid w:val="1D5874FA"/>
    <w:rsid w:val="1D58AA74"/>
    <w:rsid w:val="1D593BAA"/>
    <w:rsid w:val="1D594F2B"/>
    <w:rsid w:val="1D5A1F87"/>
    <w:rsid w:val="1D5A72B4"/>
    <w:rsid w:val="1D5A7971"/>
    <w:rsid w:val="1D5AEAE2"/>
    <w:rsid w:val="1D5B1DE9"/>
    <w:rsid w:val="1D5C3DA4"/>
    <w:rsid w:val="1D5C4CBD"/>
    <w:rsid w:val="1D5D2A16"/>
    <w:rsid w:val="1D5D2EF1"/>
    <w:rsid w:val="1D5DCDD6"/>
    <w:rsid w:val="1D5F2099"/>
    <w:rsid w:val="1D5F88B2"/>
    <w:rsid w:val="1D6084E6"/>
    <w:rsid w:val="1D61D093"/>
    <w:rsid w:val="1D6231E2"/>
    <w:rsid w:val="1D624179"/>
    <w:rsid w:val="1D626560"/>
    <w:rsid w:val="1D63883F"/>
    <w:rsid w:val="1D63FD9A"/>
    <w:rsid w:val="1D63FF51"/>
    <w:rsid w:val="1D643D76"/>
    <w:rsid w:val="1D64DF17"/>
    <w:rsid w:val="1D64E7B0"/>
    <w:rsid w:val="1D66AD88"/>
    <w:rsid w:val="1D6845D1"/>
    <w:rsid w:val="1D686C19"/>
    <w:rsid w:val="1D689B87"/>
    <w:rsid w:val="1D69DED2"/>
    <w:rsid w:val="1D6A75EF"/>
    <w:rsid w:val="1D6B748B"/>
    <w:rsid w:val="1D6BB5D6"/>
    <w:rsid w:val="1D6BF697"/>
    <w:rsid w:val="1D6C7BD8"/>
    <w:rsid w:val="1D6CB73B"/>
    <w:rsid w:val="1D6D33DC"/>
    <w:rsid w:val="1D6E6A14"/>
    <w:rsid w:val="1D6EA3C5"/>
    <w:rsid w:val="1D6EDDE6"/>
    <w:rsid w:val="1D6FA084"/>
    <w:rsid w:val="1D6FD394"/>
    <w:rsid w:val="1D706CBE"/>
    <w:rsid w:val="1D707BCB"/>
    <w:rsid w:val="1D71D657"/>
    <w:rsid w:val="1D724381"/>
    <w:rsid w:val="1D7258CE"/>
    <w:rsid w:val="1D72FB6F"/>
    <w:rsid w:val="1D7546CF"/>
    <w:rsid w:val="1D75790F"/>
    <w:rsid w:val="1D759DE2"/>
    <w:rsid w:val="1D766318"/>
    <w:rsid w:val="1D77ED13"/>
    <w:rsid w:val="1D781901"/>
    <w:rsid w:val="1D78B9C7"/>
    <w:rsid w:val="1D798744"/>
    <w:rsid w:val="1D7A0ADD"/>
    <w:rsid w:val="1D7A55E0"/>
    <w:rsid w:val="1D7A576D"/>
    <w:rsid w:val="1D7A9533"/>
    <w:rsid w:val="1D7A9CA3"/>
    <w:rsid w:val="1D7B3D6B"/>
    <w:rsid w:val="1D7CB74C"/>
    <w:rsid w:val="1D7D22A6"/>
    <w:rsid w:val="1D7DE6D9"/>
    <w:rsid w:val="1D7E23CF"/>
    <w:rsid w:val="1D7E2906"/>
    <w:rsid w:val="1D7E97A3"/>
    <w:rsid w:val="1D7EBA08"/>
    <w:rsid w:val="1D7EFDE2"/>
    <w:rsid w:val="1D7FFD3E"/>
    <w:rsid w:val="1D80065A"/>
    <w:rsid w:val="1D8016C5"/>
    <w:rsid w:val="1D814F1F"/>
    <w:rsid w:val="1D81C8FC"/>
    <w:rsid w:val="1D8201E9"/>
    <w:rsid w:val="1D821284"/>
    <w:rsid w:val="1D824C7B"/>
    <w:rsid w:val="1D828DCA"/>
    <w:rsid w:val="1D82C5E7"/>
    <w:rsid w:val="1D8304A2"/>
    <w:rsid w:val="1D838EF3"/>
    <w:rsid w:val="1D8393C1"/>
    <w:rsid w:val="1D83DB36"/>
    <w:rsid w:val="1D843254"/>
    <w:rsid w:val="1D8484DE"/>
    <w:rsid w:val="1D849A9D"/>
    <w:rsid w:val="1D84F075"/>
    <w:rsid w:val="1D85A7DB"/>
    <w:rsid w:val="1D861436"/>
    <w:rsid w:val="1D8682CE"/>
    <w:rsid w:val="1D86B9FC"/>
    <w:rsid w:val="1D87377A"/>
    <w:rsid w:val="1D87C955"/>
    <w:rsid w:val="1D8BF370"/>
    <w:rsid w:val="1D8CF6FC"/>
    <w:rsid w:val="1D8DBE22"/>
    <w:rsid w:val="1D8E0DC0"/>
    <w:rsid w:val="1D8E5DBD"/>
    <w:rsid w:val="1D8E6415"/>
    <w:rsid w:val="1D8EB927"/>
    <w:rsid w:val="1D8EDDBE"/>
    <w:rsid w:val="1D8F07AF"/>
    <w:rsid w:val="1D8F4CCD"/>
    <w:rsid w:val="1D908A72"/>
    <w:rsid w:val="1D90B85D"/>
    <w:rsid w:val="1D91425B"/>
    <w:rsid w:val="1D91429F"/>
    <w:rsid w:val="1D916A27"/>
    <w:rsid w:val="1D919BDB"/>
    <w:rsid w:val="1D92E66D"/>
    <w:rsid w:val="1D9412A7"/>
    <w:rsid w:val="1D943C2C"/>
    <w:rsid w:val="1D9455CE"/>
    <w:rsid w:val="1D94CCC1"/>
    <w:rsid w:val="1D95D607"/>
    <w:rsid w:val="1D9621CB"/>
    <w:rsid w:val="1D96AB9A"/>
    <w:rsid w:val="1D970BCB"/>
    <w:rsid w:val="1D97849D"/>
    <w:rsid w:val="1D978CFB"/>
    <w:rsid w:val="1D97F4B8"/>
    <w:rsid w:val="1D97F897"/>
    <w:rsid w:val="1D9B3BDA"/>
    <w:rsid w:val="1D9B90B1"/>
    <w:rsid w:val="1D9BCF16"/>
    <w:rsid w:val="1D9C4AEC"/>
    <w:rsid w:val="1D9CA4A7"/>
    <w:rsid w:val="1D9D6D15"/>
    <w:rsid w:val="1D9D6D3D"/>
    <w:rsid w:val="1D9D84BC"/>
    <w:rsid w:val="1D9E75DF"/>
    <w:rsid w:val="1DA00E56"/>
    <w:rsid w:val="1DA02C46"/>
    <w:rsid w:val="1DA136BB"/>
    <w:rsid w:val="1DA211D1"/>
    <w:rsid w:val="1DA2BEF5"/>
    <w:rsid w:val="1DA3581D"/>
    <w:rsid w:val="1DA3800B"/>
    <w:rsid w:val="1DA56763"/>
    <w:rsid w:val="1DA5F840"/>
    <w:rsid w:val="1DA66380"/>
    <w:rsid w:val="1DA67C76"/>
    <w:rsid w:val="1DA7193E"/>
    <w:rsid w:val="1DA8DE42"/>
    <w:rsid w:val="1DA91AD7"/>
    <w:rsid w:val="1DAA6E9A"/>
    <w:rsid w:val="1DAA91BF"/>
    <w:rsid w:val="1DAB21B1"/>
    <w:rsid w:val="1DAB7DE6"/>
    <w:rsid w:val="1DAB8E4B"/>
    <w:rsid w:val="1DAC585A"/>
    <w:rsid w:val="1DADAC24"/>
    <w:rsid w:val="1DADAD76"/>
    <w:rsid w:val="1DADC51A"/>
    <w:rsid w:val="1DAE1576"/>
    <w:rsid w:val="1DAE2C65"/>
    <w:rsid w:val="1DAFD8EA"/>
    <w:rsid w:val="1DB083C1"/>
    <w:rsid w:val="1DB090C0"/>
    <w:rsid w:val="1DB10574"/>
    <w:rsid w:val="1DB1E44C"/>
    <w:rsid w:val="1DB29632"/>
    <w:rsid w:val="1DB2B028"/>
    <w:rsid w:val="1DB2C41A"/>
    <w:rsid w:val="1DB31136"/>
    <w:rsid w:val="1DB3C004"/>
    <w:rsid w:val="1DB41493"/>
    <w:rsid w:val="1DB4F3C0"/>
    <w:rsid w:val="1DB4F4CA"/>
    <w:rsid w:val="1DB561AD"/>
    <w:rsid w:val="1DB60180"/>
    <w:rsid w:val="1DB65BB0"/>
    <w:rsid w:val="1DB6CC26"/>
    <w:rsid w:val="1DB737B9"/>
    <w:rsid w:val="1DB74E6A"/>
    <w:rsid w:val="1DB796D5"/>
    <w:rsid w:val="1DB81403"/>
    <w:rsid w:val="1DB88DA7"/>
    <w:rsid w:val="1DB8BE0C"/>
    <w:rsid w:val="1DB94A2B"/>
    <w:rsid w:val="1DB9F029"/>
    <w:rsid w:val="1DBB2A46"/>
    <w:rsid w:val="1DBC8367"/>
    <w:rsid w:val="1DBCE659"/>
    <w:rsid w:val="1DBEA56A"/>
    <w:rsid w:val="1DC05B3B"/>
    <w:rsid w:val="1DC0FB17"/>
    <w:rsid w:val="1DC17DFD"/>
    <w:rsid w:val="1DC29BB3"/>
    <w:rsid w:val="1DC5B47D"/>
    <w:rsid w:val="1DC5CD83"/>
    <w:rsid w:val="1DC800D6"/>
    <w:rsid w:val="1DC8A4F3"/>
    <w:rsid w:val="1DC929E7"/>
    <w:rsid w:val="1DC9A5C8"/>
    <w:rsid w:val="1DCA7023"/>
    <w:rsid w:val="1DCB5D22"/>
    <w:rsid w:val="1DCC7D17"/>
    <w:rsid w:val="1DCD1445"/>
    <w:rsid w:val="1DCD3DBF"/>
    <w:rsid w:val="1DCDC0D1"/>
    <w:rsid w:val="1DCE8F5B"/>
    <w:rsid w:val="1DCEE3EC"/>
    <w:rsid w:val="1DCFE05D"/>
    <w:rsid w:val="1DCFE14F"/>
    <w:rsid w:val="1DD02393"/>
    <w:rsid w:val="1DD091B4"/>
    <w:rsid w:val="1DD10CC6"/>
    <w:rsid w:val="1DD134A2"/>
    <w:rsid w:val="1DD28180"/>
    <w:rsid w:val="1DD2BF86"/>
    <w:rsid w:val="1DD3A3FB"/>
    <w:rsid w:val="1DD3BC4B"/>
    <w:rsid w:val="1DD429B8"/>
    <w:rsid w:val="1DD45771"/>
    <w:rsid w:val="1DD48C08"/>
    <w:rsid w:val="1DD4B2E7"/>
    <w:rsid w:val="1DD70A15"/>
    <w:rsid w:val="1DD71CF6"/>
    <w:rsid w:val="1DD7B802"/>
    <w:rsid w:val="1DD8EB7A"/>
    <w:rsid w:val="1DD8F34B"/>
    <w:rsid w:val="1DD99A68"/>
    <w:rsid w:val="1DDA8F85"/>
    <w:rsid w:val="1DDAE9AF"/>
    <w:rsid w:val="1DDB1DBE"/>
    <w:rsid w:val="1DDB6F89"/>
    <w:rsid w:val="1DDC02ED"/>
    <w:rsid w:val="1DDC0331"/>
    <w:rsid w:val="1DDC61C9"/>
    <w:rsid w:val="1DDC71C8"/>
    <w:rsid w:val="1DDC91C8"/>
    <w:rsid w:val="1DDD827A"/>
    <w:rsid w:val="1DDE3F39"/>
    <w:rsid w:val="1DDF638F"/>
    <w:rsid w:val="1DDF7138"/>
    <w:rsid w:val="1DDF7EA6"/>
    <w:rsid w:val="1DE0E587"/>
    <w:rsid w:val="1DE1CFF2"/>
    <w:rsid w:val="1DE1F071"/>
    <w:rsid w:val="1DE28C74"/>
    <w:rsid w:val="1DE33496"/>
    <w:rsid w:val="1DE54B52"/>
    <w:rsid w:val="1DE5620D"/>
    <w:rsid w:val="1DE597F1"/>
    <w:rsid w:val="1DE63D44"/>
    <w:rsid w:val="1DE76A21"/>
    <w:rsid w:val="1DE7ECFD"/>
    <w:rsid w:val="1DE86131"/>
    <w:rsid w:val="1DE8E500"/>
    <w:rsid w:val="1DE9117F"/>
    <w:rsid w:val="1DE92B72"/>
    <w:rsid w:val="1DE957CE"/>
    <w:rsid w:val="1DE99775"/>
    <w:rsid w:val="1DE9BFD8"/>
    <w:rsid w:val="1DEA8652"/>
    <w:rsid w:val="1DEAFEB3"/>
    <w:rsid w:val="1DEC3365"/>
    <w:rsid w:val="1DED1603"/>
    <w:rsid w:val="1DED399D"/>
    <w:rsid w:val="1DEDCCCD"/>
    <w:rsid w:val="1DEE6E6C"/>
    <w:rsid w:val="1DEE6FCF"/>
    <w:rsid w:val="1DEF3B99"/>
    <w:rsid w:val="1DEF9AA4"/>
    <w:rsid w:val="1DEFB6D9"/>
    <w:rsid w:val="1DEFFC22"/>
    <w:rsid w:val="1DF0407C"/>
    <w:rsid w:val="1DF0D8B2"/>
    <w:rsid w:val="1DF1247B"/>
    <w:rsid w:val="1DF1FB75"/>
    <w:rsid w:val="1DF36CE2"/>
    <w:rsid w:val="1DF36CF8"/>
    <w:rsid w:val="1DF3D1E0"/>
    <w:rsid w:val="1DF3D509"/>
    <w:rsid w:val="1DF4A5AC"/>
    <w:rsid w:val="1DF4CC29"/>
    <w:rsid w:val="1DF500C6"/>
    <w:rsid w:val="1DF54D27"/>
    <w:rsid w:val="1DF5CC8E"/>
    <w:rsid w:val="1DF61F0B"/>
    <w:rsid w:val="1DF64879"/>
    <w:rsid w:val="1DF771DC"/>
    <w:rsid w:val="1DF7948F"/>
    <w:rsid w:val="1DF80758"/>
    <w:rsid w:val="1DF877ED"/>
    <w:rsid w:val="1DF9033A"/>
    <w:rsid w:val="1DF90523"/>
    <w:rsid w:val="1DF90BB7"/>
    <w:rsid w:val="1DF93F3C"/>
    <w:rsid w:val="1DF98FEF"/>
    <w:rsid w:val="1DFA425F"/>
    <w:rsid w:val="1DFB9861"/>
    <w:rsid w:val="1DFBC964"/>
    <w:rsid w:val="1DFBEDA3"/>
    <w:rsid w:val="1DFBFD78"/>
    <w:rsid w:val="1DFC7D1B"/>
    <w:rsid w:val="1DFD034A"/>
    <w:rsid w:val="1DFEEE47"/>
    <w:rsid w:val="1DFF1763"/>
    <w:rsid w:val="1DFFE0AF"/>
    <w:rsid w:val="1E011A33"/>
    <w:rsid w:val="1E015C8B"/>
    <w:rsid w:val="1E017341"/>
    <w:rsid w:val="1E017699"/>
    <w:rsid w:val="1E01DFF1"/>
    <w:rsid w:val="1E0346E6"/>
    <w:rsid w:val="1E03912D"/>
    <w:rsid w:val="1E039FC4"/>
    <w:rsid w:val="1E03EF8E"/>
    <w:rsid w:val="1E03FF76"/>
    <w:rsid w:val="1E04CC38"/>
    <w:rsid w:val="1E04E28C"/>
    <w:rsid w:val="1E05CD3B"/>
    <w:rsid w:val="1E05D3BE"/>
    <w:rsid w:val="1E05EA7E"/>
    <w:rsid w:val="1E065EA5"/>
    <w:rsid w:val="1E066A54"/>
    <w:rsid w:val="1E06B8B4"/>
    <w:rsid w:val="1E07210B"/>
    <w:rsid w:val="1E07AA16"/>
    <w:rsid w:val="1E07C165"/>
    <w:rsid w:val="1E07DCAA"/>
    <w:rsid w:val="1E0832AE"/>
    <w:rsid w:val="1E087E03"/>
    <w:rsid w:val="1E08D1D1"/>
    <w:rsid w:val="1E096F34"/>
    <w:rsid w:val="1E09B56F"/>
    <w:rsid w:val="1E09D4C3"/>
    <w:rsid w:val="1E0A05DA"/>
    <w:rsid w:val="1E0AF041"/>
    <w:rsid w:val="1E0B4B3B"/>
    <w:rsid w:val="1E0BD932"/>
    <w:rsid w:val="1E0CF113"/>
    <w:rsid w:val="1E0DC6AA"/>
    <w:rsid w:val="1E0DD497"/>
    <w:rsid w:val="1E0DF48F"/>
    <w:rsid w:val="1E0E4262"/>
    <w:rsid w:val="1E0EC48A"/>
    <w:rsid w:val="1E0F435F"/>
    <w:rsid w:val="1E0F7C32"/>
    <w:rsid w:val="1E1033B9"/>
    <w:rsid w:val="1E103EEE"/>
    <w:rsid w:val="1E1146A7"/>
    <w:rsid w:val="1E11BA81"/>
    <w:rsid w:val="1E126407"/>
    <w:rsid w:val="1E1280AC"/>
    <w:rsid w:val="1E129053"/>
    <w:rsid w:val="1E131E95"/>
    <w:rsid w:val="1E137F8C"/>
    <w:rsid w:val="1E13CCB4"/>
    <w:rsid w:val="1E13E96F"/>
    <w:rsid w:val="1E13F0B8"/>
    <w:rsid w:val="1E142118"/>
    <w:rsid w:val="1E149899"/>
    <w:rsid w:val="1E149B3A"/>
    <w:rsid w:val="1E14C7BD"/>
    <w:rsid w:val="1E150747"/>
    <w:rsid w:val="1E16CE88"/>
    <w:rsid w:val="1E172BE2"/>
    <w:rsid w:val="1E174AA0"/>
    <w:rsid w:val="1E1758C8"/>
    <w:rsid w:val="1E178802"/>
    <w:rsid w:val="1E17FD64"/>
    <w:rsid w:val="1E18F9F2"/>
    <w:rsid w:val="1E192E41"/>
    <w:rsid w:val="1E1997FB"/>
    <w:rsid w:val="1E1B4560"/>
    <w:rsid w:val="1E1B6A5F"/>
    <w:rsid w:val="1E1BABD2"/>
    <w:rsid w:val="1E1C6AF4"/>
    <w:rsid w:val="1E1D324B"/>
    <w:rsid w:val="1E1D9444"/>
    <w:rsid w:val="1E1DAEA7"/>
    <w:rsid w:val="1E1E305D"/>
    <w:rsid w:val="1E1E4A0F"/>
    <w:rsid w:val="1E1E6EE7"/>
    <w:rsid w:val="1E1EA00B"/>
    <w:rsid w:val="1E1EA65B"/>
    <w:rsid w:val="1E20B2B4"/>
    <w:rsid w:val="1E20C84B"/>
    <w:rsid w:val="1E20DF13"/>
    <w:rsid w:val="1E2191AD"/>
    <w:rsid w:val="1E21C6A2"/>
    <w:rsid w:val="1E21D502"/>
    <w:rsid w:val="1E2273F0"/>
    <w:rsid w:val="1E22A5A3"/>
    <w:rsid w:val="1E237A35"/>
    <w:rsid w:val="1E23B13E"/>
    <w:rsid w:val="1E240AFB"/>
    <w:rsid w:val="1E242168"/>
    <w:rsid w:val="1E2561BD"/>
    <w:rsid w:val="1E25C423"/>
    <w:rsid w:val="1E26ABD2"/>
    <w:rsid w:val="1E27986E"/>
    <w:rsid w:val="1E27B09A"/>
    <w:rsid w:val="1E27E326"/>
    <w:rsid w:val="1E28822A"/>
    <w:rsid w:val="1E28CD41"/>
    <w:rsid w:val="1E29147F"/>
    <w:rsid w:val="1E29E647"/>
    <w:rsid w:val="1E2ADC45"/>
    <w:rsid w:val="1E2B89A1"/>
    <w:rsid w:val="1E2C0ECE"/>
    <w:rsid w:val="1E2C8A0D"/>
    <w:rsid w:val="1E2EC95A"/>
    <w:rsid w:val="1E3010C5"/>
    <w:rsid w:val="1E3022B1"/>
    <w:rsid w:val="1E310123"/>
    <w:rsid w:val="1E31155C"/>
    <w:rsid w:val="1E31163F"/>
    <w:rsid w:val="1E31B8E2"/>
    <w:rsid w:val="1E31CBD3"/>
    <w:rsid w:val="1E328289"/>
    <w:rsid w:val="1E32B3D4"/>
    <w:rsid w:val="1E33A762"/>
    <w:rsid w:val="1E341458"/>
    <w:rsid w:val="1E3525B6"/>
    <w:rsid w:val="1E358DD5"/>
    <w:rsid w:val="1E37D763"/>
    <w:rsid w:val="1E37E4FD"/>
    <w:rsid w:val="1E3804F3"/>
    <w:rsid w:val="1E380C12"/>
    <w:rsid w:val="1E3860E9"/>
    <w:rsid w:val="1E389448"/>
    <w:rsid w:val="1E3976EF"/>
    <w:rsid w:val="1E39988C"/>
    <w:rsid w:val="1E39FCEC"/>
    <w:rsid w:val="1E3A77E3"/>
    <w:rsid w:val="1E3A881C"/>
    <w:rsid w:val="1E3BC37D"/>
    <w:rsid w:val="1E3CD84B"/>
    <w:rsid w:val="1E3CEC3F"/>
    <w:rsid w:val="1E3D0DE5"/>
    <w:rsid w:val="1E3DD775"/>
    <w:rsid w:val="1E3E8BFA"/>
    <w:rsid w:val="1E3EA7DE"/>
    <w:rsid w:val="1E3EE57B"/>
    <w:rsid w:val="1E3EFCE2"/>
    <w:rsid w:val="1E3F1C4E"/>
    <w:rsid w:val="1E3F46FD"/>
    <w:rsid w:val="1E3F476E"/>
    <w:rsid w:val="1E3F521B"/>
    <w:rsid w:val="1E3F96C7"/>
    <w:rsid w:val="1E4073B4"/>
    <w:rsid w:val="1E40B6EE"/>
    <w:rsid w:val="1E40BF3A"/>
    <w:rsid w:val="1E4264E1"/>
    <w:rsid w:val="1E427509"/>
    <w:rsid w:val="1E430566"/>
    <w:rsid w:val="1E442E2B"/>
    <w:rsid w:val="1E44498C"/>
    <w:rsid w:val="1E44E1A6"/>
    <w:rsid w:val="1E45604C"/>
    <w:rsid w:val="1E45BF52"/>
    <w:rsid w:val="1E46E0BC"/>
    <w:rsid w:val="1E491A68"/>
    <w:rsid w:val="1E49596B"/>
    <w:rsid w:val="1E498990"/>
    <w:rsid w:val="1E4A3E76"/>
    <w:rsid w:val="1E4AC06E"/>
    <w:rsid w:val="1E4AD948"/>
    <w:rsid w:val="1E4C053B"/>
    <w:rsid w:val="1E4CC1EF"/>
    <w:rsid w:val="1E4DCAA0"/>
    <w:rsid w:val="1E4E630D"/>
    <w:rsid w:val="1E4E906A"/>
    <w:rsid w:val="1E4EE48F"/>
    <w:rsid w:val="1E4F4D9B"/>
    <w:rsid w:val="1E4F6FC5"/>
    <w:rsid w:val="1E4F79A6"/>
    <w:rsid w:val="1E50A529"/>
    <w:rsid w:val="1E50CF41"/>
    <w:rsid w:val="1E50EFB8"/>
    <w:rsid w:val="1E51E384"/>
    <w:rsid w:val="1E520EF5"/>
    <w:rsid w:val="1E523034"/>
    <w:rsid w:val="1E5247C7"/>
    <w:rsid w:val="1E5249DA"/>
    <w:rsid w:val="1E54BA11"/>
    <w:rsid w:val="1E561C7A"/>
    <w:rsid w:val="1E563AFA"/>
    <w:rsid w:val="1E56BFE9"/>
    <w:rsid w:val="1E56E941"/>
    <w:rsid w:val="1E57E8AA"/>
    <w:rsid w:val="1E58899E"/>
    <w:rsid w:val="1E589A76"/>
    <w:rsid w:val="1E590365"/>
    <w:rsid w:val="1E590DDF"/>
    <w:rsid w:val="1E5A19A5"/>
    <w:rsid w:val="1E5A495D"/>
    <w:rsid w:val="1E5AC515"/>
    <w:rsid w:val="1E5B854C"/>
    <w:rsid w:val="1E5C056F"/>
    <w:rsid w:val="1E5C4839"/>
    <w:rsid w:val="1E5D81FF"/>
    <w:rsid w:val="1E5DCCE2"/>
    <w:rsid w:val="1E5E0879"/>
    <w:rsid w:val="1E5E17CD"/>
    <w:rsid w:val="1E5E8B2A"/>
    <w:rsid w:val="1E5ED1B5"/>
    <w:rsid w:val="1E5ED5C4"/>
    <w:rsid w:val="1E5F104B"/>
    <w:rsid w:val="1E5F1615"/>
    <w:rsid w:val="1E5F49ED"/>
    <w:rsid w:val="1E5FD878"/>
    <w:rsid w:val="1E603A93"/>
    <w:rsid w:val="1E607FA7"/>
    <w:rsid w:val="1E60C03D"/>
    <w:rsid w:val="1E614AC0"/>
    <w:rsid w:val="1E61A8B1"/>
    <w:rsid w:val="1E61E77B"/>
    <w:rsid w:val="1E62BAE4"/>
    <w:rsid w:val="1E633B08"/>
    <w:rsid w:val="1E644D77"/>
    <w:rsid w:val="1E64B85E"/>
    <w:rsid w:val="1E6522CA"/>
    <w:rsid w:val="1E6546B4"/>
    <w:rsid w:val="1E664D86"/>
    <w:rsid w:val="1E66DBBE"/>
    <w:rsid w:val="1E6812BB"/>
    <w:rsid w:val="1E688B83"/>
    <w:rsid w:val="1E69E8E4"/>
    <w:rsid w:val="1E6A3B67"/>
    <w:rsid w:val="1E6A7143"/>
    <w:rsid w:val="1E6B2BDE"/>
    <w:rsid w:val="1E6BEAAB"/>
    <w:rsid w:val="1E6C9ADC"/>
    <w:rsid w:val="1E6D914E"/>
    <w:rsid w:val="1E6DB3A9"/>
    <w:rsid w:val="1E6ECF3A"/>
    <w:rsid w:val="1E702DE9"/>
    <w:rsid w:val="1E722B5C"/>
    <w:rsid w:val="1E723798"/>
    <w:rsid w:val="1E731AE1"/>
    <w:rsid w:val="1E731F8A"/>
    <w:rsid w:val="1E737373"/>
    <w:rsid w:val="1E7420F0"/>
    <w:rsid w:val="1E74FD5D"/>
    <w:rsid w:val="1E75241B"/>
    <w:rsid w:val="1E7531E0"/>
    <w:rsid w:val="1E75C263"/>
    <w:rsid w:val="1E763CB4"/>
    <w:rsid w:val="1E76713A"/>
    <w:rsid w:val="1E76C5A1"/>
    <w:rsid w:val="1E76EA3F"/>
    <w:rsid w:val="1E7769E2"/>
    <w:rsid w:val="1E78A16B"/>
    <w:rsid w:val="1E78A2A9"/>
    <w:rsid w:val="1E798941"/>
    <w:rsid w:val="1E7A3259"/>
    <w:rsid w:val="1E7A40D8"/>
    <w:rsid w:val="1E7A82A5"/>
    <w:rsid w:val="1E7A9383"/>
    <w:rsid w:val="1E7B029A"/>
    <w:rsid w:val="1E7B6F84"/>
    <w:rsid w:val="1E7C4AC1"/>
    <w:rsid w:val="1E7CA2B9"/>
    <w:rsid w:val="1E7CDBA3"/>
    <w:rsid w:val="1E7CF7B6"/>
    <w:rsid w:val="1E7E217D"/>
    <w:rsid w:val="1E7E6E90"/>
    <w:rsid w:val="1E7ECE22"/>
    <w:rsid w:val="1E7EF34D"/>
    <w:rsid w:val="1E7FEEAE"/>
    <w:rsid w:val="1E80E979"/>
    <w:rsid w:val="1E80F015"/>
    <w:rsid w:val="1E8152A2"/>
    <w:rsid w:val="1E8181FF"/>
    <w:rsid w:val="1E81B4D3"/>
    <w:rsid w:val="1E82313C"/>
    <w:rsid w:val="1E829ED4"/>
    <w:rsid w:val="1E82D8EC"/>
    <w:rsid w:val="1E835173"/>
    <w:rsid w:val="1E84B281"/>
    <w:rsid w:val="1E84DB6C"/>
    <w:rsid w:val="1E85648B"/>
    <w:rsid w:val="1E85C4F5"/>
    <w:rsid w:val="1E877B36"/>
    <w:rsid w:val="1E8896C5"/>
    <w:rsid w:val="1E89512F"/>
    <w:rsid w:val="1E89EAF6"/>
    <w:rsid w:val="1E8A407C"/>
    <w:rsid w:val="1E8A41DD"/>
    <w:rsid w:val="1E8A616C"/>
    <w:rsid w:val="1E8A63A4"/>
    <w:rsid w:val="1E8AC8FE"/>
    <w:rsid w:val="1E8B003E"/>
    <w:rsid w:val="1E8B1865"/>
    <w:rsid w:val="1E8C950A"/>
    <w:rsid w:val="1E8CBDF0"/>
    <w:rsid w:val="1E8D692A"/>
    <w:rsid w:val="1E8D9154"/>
    <w:rsid w:val="1E8DC781"/>
    <w:rsid w:val="1E8DE6A4"/>
    <w:rsid w:val="1E8E2FA9"/>
    <w:rsid w:val="1E8E659E"/>
    <w:rsid w:val="1E8EAECF"/>
    <w:rsid w:val="1E8F3FED"/>
    <w:rsid w:val="1E8FEF34"/>
    <w:rsid w:val="1E8FFE88"/>
    <w:rsid w:val="1E90947C"/>
    <w:rsid w:val="1E90E6FE"/>
    <w:rsid w:val="1E90EBF1"/>
    <w:rsid w:val="1E911415"/>
    <w:rsid w:val="1E9252BF"/>
    <w:rsid w:val="1E935C41"/>
    <w:rsid w:val="1E93E36F"/>
    <w:rsid w:val="1E941C88"/>
    <w:rsid w:val="1E94418B"/>
    <w:rsid w:val="1E94DC86"/>
    <w:rsid w:val="1E94E447"/>
    <w:rsid w:val="1E94F13A"/>
    <w:rsid w:val="1E953572"/>
    <w:rsid w:val="1E955AB0"/>
    <w:rsid w:val="1E9582FA"/>
    <w:rsid w:val="1E95B92B"/>
    <w:rsid w:val="1E95C253"/>
    <w:rsid w:val="1E961B70"/>
    <w:rsid w:val="1E970D7E"/>
    <w:rsid w:val="1E976692"/>
    <w:rsid w:val="1E97DAC3"/>
    <w:rsid w:val="1E98C45C"/>
    <w:rsid w:val="1E993EAE"/>
    <w:rsid w:val="1E99639C"/>
    <w:rsid w:val="1E9A08D4"/>
    <w:rsid w:val="1E9A3AEB"/>
    <w:rsid w:val="1E9B420B"/>
    <w:rsid w:val="1E9C2A42"/>
    <w:rsid w:val="1E9C3112"/>
    <w:rsid w:val="1E9C8D9C"/>
    <w:rsid w:val="1E9D5653"/>
    <w:rsid w:val="1E9E86A0"/>
    <w:rsid w:val="1E9F272F"/>
    <w:rsid w:val="1EA00458"/>
    <w:rsid w:val="1EA0E332"/>
    <w:rsid w:val="1EA2C20F"/>
    <w:rsid w:val="1EA30D04"/>
    <w:rsid w:val="1EA37359"/>
    <w:rsid w:val="1EA3849D"/>
    <w:rsid w:val="1EA41798"/>
    <w:rsid w:val="1EA54A7D"/>
    <w:rsid w:val="1EA5C39B"/>
    <w:rsid w:val="1EA5E655"/>
    <w:rsid w:val="1EA60FAF"/>
    <w:rsid w:val="1EA6CB6C"/>
    <w:rsid w:val="1EA6CECA"/>
    <w:rsid w:val="1EA6DDBA"/>
    <w:rsid w:val="1EA6DFCA"/>
    <w:rsid w:val="1EA70261"/>
    <w:rsid w:val="1EA75C50"/>
    <w:rsid w:val="1EA83107"/>
    <w:rsid w:val="1EAA22FF"/>
    <w:rsid w:val="1EAAF5ED"/>
    <w:rsid w:val="1EAB78E2"/>
    <w:rsid w:val="1EAD4AAB"/>
    <w:rsid w:val="1EAD7705"/>
    <w:rsid w:val="1EAE74E2"/>
    <w:rsid w:val="1EAE7535"/>
    <w:rsid w:val="1EAE93E7"/>
    <w:rsid w:val="1EAED0AC"/>
    <w:rsid w:val="1EAFCAAF"/>
    <w:rsid w:val="1EB11BA7"/>
    <w:rsid w:val="1EB167F6"/>
    <w:rsid w:val="1EB209AF"/>
    <w:rsid w:val="1EB275ED"/>
    <w:rsid w:val="1EB33341"/>
    <w:rsid w:val="1EB37264"/>
    <w:rsid w:val="1EB3AAEA"/>
    <w:rsid w:val="1EB49B1C"/>
    <w:rsid w:val="1EB4F5B1"/>
    <w:rsid w:val="1EB53F7A"/>
    <w:rsid w:val="1EB59511"/>
    <w:rsid w:val="1EB5E592"/>
    <w:rsid w:val="1EB63EF5"/>
    <w:rsid w:val="1EB67FC2"/>
    <w:rsid w:val="1EB70B2B"/>
    <w:rsid w:val="1EB81339"/>
    <w:rsid w:val="1EB8467A"/>
    <w:rsid w:val="1EB87F90"/>
    <w:rsid w:val="1EB8885D"/>
    <w:rsid w:val="1EB92D59"/>
    <w:rsid w:val="1EB97338"/>
    <w:rsid w:val="1EB9B2CB"/>
    <w:rsid w:val="1EBA9E78"/>
    <w:rsid w:val="1EBACE32"/>
    <w:rsid w:val="1EBB4D3C"/>
    <w:rsid w:val="1EBB68F7"/>
    <w:rsid w:val="1EBBCFA5"/>
    <w:rsid w:val="1EBC2348"/>
    <w:rsid w:val="1EBCF982"/>
    <w:rsid w:val="1EBD0E34"/>
    <w:rsid w:val="1EBDB7DA"/>
    <w:rsid w:val="1EBDDFED"/>
    <w:rsid w:val="1EBEBB3D"/>
    <w:rsid w:val="1EBFFB00"/>
    <w:rsid w:val="1EC0416B"/>
    <w:rsid w:val="1EC14600"/>
    <w:rsid w:val="1EC1DCC8"/>
    <w:rsid w:val="1EC23B3B"/>
    <w:rsid w:val="1EC25F72"/>
    <w:rsid w:val="1EC28601"/>
    <w:rsid w:val="1EC2FE54"/>
    <w:rsid w:val="1EC32F1E"/>
    <w:rsid w:val="1EC333A0"/>
    <w:rsid w:val="1EC3472D"/>
    <w:rsid w:val="1EC36E65"/>
    <w:rsid w:val="1EC4C681"/>
    <w:rsid w:val="1EC58346"/>
    <w:rsid w:val="1EC5B75A"/>
    <w:rsid w:val="1EC5CA02"/>
    <w:rsid w:val="1EC613C1"/>
    <w:rsid w:val="1EC7164F"/>
    <w:rsid w:val="1EC768A3"/>
    <w:rsid w:val="1EC772F3"/>
    <w:rsid w:val="1EC7B5BF"/>
    <w:rsid w:val="1EC85F9C"/>
    <w:rsid w:val="1EC86B86"/>
    <w:rsid w:val="1EC8ADF6"/>
    <w:rsid w:val="1ECA7453"/>
    <w:rsid w:val="1ECB012E"/>
    <w:rsid w:val="1ECC0F84"/>
    <w:rsid w:val="1ECCF644"/>
    <w:rsid w:val="1ECD2A9A"/>
    <w:rsid w:val="1ECE03C5"/>
    <w:rsid w:val="1ECE1E4B"/>
    <w:rsid w:val="1ECE3053"/>
    <w:rsid w:val="1ECF210F"/>
    <w:rsid w:val="1ECFD10F"/>
    <w:rsid w:val="1ECFF5FB"/>
    <w:rsid w:val="1ED028FB"/>
    <w:rsid w:val="1ED05C44"/>
    <w:rsid w:val="1ED14EB0"/>
    <w:rsid w:val="1ED163A8"/>
    <w:rsid w:val="1ED1768B"/>
    <w:rsid w:val="1ED1B2BC"/>
    <w:rsid w:val="1ED23841"/>
    <w:rsid w:val="1ED2BB9A"/>
    <w:rsid w:val="1ED2EC8A"/>
    <w:rsid w:val="1ED354C0"/>
    <w:rsid w:val="1ED3DDA5"/>
    <w:rsid w:val="1ED47E28"/>
    <w:rsid w:val="1ED48B66"/>
    <w:rsid w:val="1ED529A1"/>
    <w:rsid w:val="1ED53993"/>
    <w:rsid w:val="1ED56CC1"/>
    <w:rsid w:val="1ED5B6AB"/>
    <w:rsid w:val="1ED616AE"/>
    <w:rsid w:val="1ED6263C"/>
    <w:rsid w:val="1ED69004"/>
    <w:rsid w:val="1ED73B94"/>
    <w:rsid w:val="1ED7E16C"/>
    <w:rsid w:val="1ED8067B"/>
    <w:rsid w:val="1ED856A3"/>
    <w:rsid w:val="1ED93510"/>
    <w:rsid w:val="1ED97CE2"/>
    <w:rsid w:val="1EDBC5D0"/>
    <w:rsid w:val="1EDBEFCB"/>
    <w:rsid w:val="1EDC7C11"/>
    <w:rsid w:val="1EDCBC06"/>
    <w:rsid w:val="1EDCE4D8"/>
    <w:rsid w:val="1EDD3916"/>
    <w:rsid w:val="1EDD6BD6"/>
    <w:rsid w:val="1EDDAF44"/>
    <w:rsid w:val="1EDE0267"/>
    <w:rsid w:val="1EDE33B8"/>
    <w:rsid w:val="1EDEBD54"/>
    <w:rsid w:val="1EDF5F87"/>
    <w:rsid w:val="1EE02397"/>
    <w:rsid w:val="1EE036FD"/>
    <w:rsid w:val="1EE0670B"/>
    <w:rsid w:val="1EE0AD52"/>
    <w:rsid w:val="1EE0F336"/>
    <w:rsid w:val="1EE15C6C"/>
    <w:rsid w:val="1EE16857"/>
    <w:rsid w:val="1EE21E5A"/>
    <w:rsid w:val="1EE24FB4"/>
    <w:rsid w:val="1EE27F16"/>
    <w:rsid w:val="1EE2A1B2"/>
    <w:rsid w:val="1EE2CC59"/>
    <w:rsid w:val="1EE2EABE"/>
    <w:rsid w:val="1EE35AFC"/>
    <w:rsid w:val="1EE35B57"/>
    <w:rsid w:val="1EE491DF"/>
    <w:rsid w:val="1EE58617"/>
    <w:rsid w:val="1EE6A815"/>
    <w:rsid w:val="1EE87722"/>
    <w:rsid w:val="1EE8EA1B"/>
    <w:rsid w:val="1EE9DB34"/>
    <w:rsid w:val="1EEAA8FA"/>
    <w:rsid w:val="1EEABD73"/>
    <w:rsid w:val="1EEADE4A"/>
    <w:rsid w:val="1EEB10B0"/>
    <w:rsid w:val="1EEC07E7"/>
    <w:rsid w:val="1EEC5BE5"/>
    <w:rsid w:val="1EECDCC8"/>
    <w:rsid w:val="1EEDCFB7"/>
    <w:rsid w:val="1EEF6AD8"/>
    <w:rsid w:val="1EEFCDC4"/>
    <w:rsid w:val="1EF087E1"/>
    <w:rsid w:val="1EF1EC6E"/>
    <w:rsid w:val="1EF2A697"/>
    <w:rsid w:val="1EF2BA7C"/>
    <w:rsid w:val="1EF37C41"/>
    <w:rsid w:val="1EF3A49E"/>
    <w:rsid w:val="1EF3E44F"/>
    <w:rsid w:val="1EF4A064"/>
    <w:rsid w:val="1EF4C3BA"/>
    <w:rsid w:val="1EF50B16"/>
    <w:rsid w:val="1EF51C81"/>
    <w:rsid w:val="1EF5BE6B"/>
    <w:rsid w:val="1EF72125"/>
    <w:rsid w:val="1EF74257"/>
    <w:rsid w:val="1EF76350"/>
    <w:rsid w:val="1EF78D32"/>
    <w:rsid w:val="1EF7FF65"/>
    <w:rsid w:val="1EF803C6"/>
    <w:rsid w:val="1EF88083"/>
    <w:rsid w:val="1EF8AA2D"/>
    <w:rsid w:val="1EF8DC14"/>
    <w:rsid w:val="1EF94B20"/>
    <w:rsid w:val="1EF991A1"/>
    <w:rsid w:val="1EFA4211"/>
    <w:rsid w:val="1EFAD251"/>
    <w:rsid w:val="1EFAD307"/>
    <w:rsid w:val="1EFAFAA4"/>
    <w:rsid w:val="1EFB3EE1"/>
    <w:rsid w:val="1EFB5E60"/>
    <w:rsid w:val="1EFB6158"/>
    <w:rsid w:val="1EFBB684"/>
    <w:rsid w:val="1EFC0A14"/>
    <w:rsid w:val="1EFC0EFB"/>
    <w:rsid w:val="1EFD063E"/>
    <w:rsid w:val="1EFE11CE"/>
    <w:rsid w:val="1EFF3876"/>
    <w:rsid w:val="1EFF8CFB"/>
    <w:rsid w:val="1EFFC834"/>
    <w:rsid w:val="1EFFD255"/>
    <w:rsid w:val="1F00A2D9"/>
    <w:rsid w:val="1F00A3EB"/>
    <w:rsid w:val="1F00F5BA"/>
    <w:rsid w:val="1F0117E4"/>
    <w:rsid w:val="1F015DF1"/>
    <w:rsid w:val="1F01DD6C"/>
    <w:rsid w:val="1F01DF41"/>
    <w:rsid w:val="1F02420E"/>
    <w:rsid w:val="1F02475C"/>
    <w:rsid w:val="1F02FBA4"/>
    <w:rsid w:val="1F033CB5"/>
    <w:rsid w:val="1F03A9CD"/>
    <w:rsid w:val="1F042216"/>
    <w:rsid w:val="1F0444E1"/>
    <w:rsid w:val="1F04739A"/>
    <w:rsid w:val="1F04964A"/>
    <w:rsid w:val="1F055163"/>
    <w:rsid w:val="1F061E0E"/>
    <w:rsid w:val="1F066CA6"/>
    <w:rsid w:val="1F0709A8"/>
    <w:rsid w:val="1F0739BA"/>
    <w:rsid w:val="1F07AC38"/>
    <w:rsid w:val="1F07FF53"/>
    <w:rsid w:val="1F0840DD"/>
    <w:rsid w:val="1F094FE5"/>
    <w:rsid w:val="1F0A02FF"/>
    <w:rsid w:val="1F0A1866"/>
    <w:rsid w:val="1F0A46DF"/>
    <w:rsid w:val="1F0A71BF"/>
    <w:rsid w:val="1F0AE74F"/>
    <w:rsid w:val="1F0B6600"/>
    <w:rsid w:val="1F0B6698"/>
    <w:rsid w:val="1F0BE22D"/>
    <w:rsid w:val="1F0C39C6"/>
    <w:rsid w:val="1F0C487B"/>
    <w:rsid w:val="1F0C71C4"/>
    <w:rsid w:val="1F0C90C4"/>
    <w:rsid w:val="1F0D1B61"/>
    <w:rsid w:val="1F0D6FD0"/>
    <w:rsid w:val="1F0D897B"/>
    <w:rsid w:val="1F0DAF63"/>
    <w:rsid w:val="1F0E3469"/>
    <w:rsid w:val="1F0E881A"/>
    <w:rsid w:val="1F0F21FB"/>
    <w:rsid w:val="1F0F8B3E"/>
    <w:rsid w:val="1F0FD570"/>
    <w:rsid w:val="1F104C4E"/>
    <w:rsid w:val="1F11BBC8"/>
    <w:rsid w:val="1F11EEC1"/>
    <w:rsid w:val="1F120C3B"/>
    <w:rsid w:val="1F12BB90"/>
    <w:rsid w:val="1F12C404"/>
    <w:rsid w:val="1F12D0AB"/>
    <w:rsid w:val="1F12FB98"/>
    <w:rsid w:val="1F1333AB"/>
    <w:rsid w:val="1F1337B8"/>
    <w:rsid w:val="1F1356DD"/>
    <w:rsid w:val="1F135B69"/>
    <w:rsid w:val="1F13A37C"/>
    <w:rsid w:val="1F13FF70"/>
    <w:rsid w:val="1F1448CD"/>
    <w:rsid w:val="1F149D3B"/>
    <w:rsid w:val="1F1557DC"/>
    <w:rsid w:val="1F15F7E4"/>
    <w:rsid w:val="1F16BFD1"/>
    <w:rsid w:val="1F172A61"/>
    <w:rsid w:val="1F17F50E"/>
    <w:rsid w:val="1F193D07"/>
    <w:rsid w:val="1F194350"/>
    <w:rsid w:val="1F195DB1"/>
    <w:rsid w:val="1F19D844"/>
    <w:rsid w:val="1F19E69B"/>
    <w:rsid w:val="1F1A0237"/>
    <w:rsid w:val="1F1A2186"/>
    <w:rsid w:val="1F1A2469"/>
    <w:rsid w:val="1F1B1B1C"/>
    <w:rsid w:val="1F1B8DF8"/>
    <w:rsid w:val="1F1BE2A2"/>
    <w:rsid w:val="1F1C138C"/>
    <w:rsid w:val="1F1C1477"/>
    <w:rsid w:val="1F1C2861"/>
    <w:rsid w:val="1F1D3AC1"/>
    <w:rsid w:val="1F1DDEAA"/>
    <w:rsid w:val="1F1E8BE2"/>
    <w:rsid w:val="1F1EA411"/>
    <w:rsid w:val="1F1F1C89"/>
    <w:rsid w:val="1F1F4F4C"/>
    <w:rsid w:val="1F20FC28"/>
    <w:rsid w:val="1F2130B5"/>
    <w:rsid w:val="1F2152BE"/>
    <w:rsid w:val="1F217D28"/>
    <w:rsid w:val="1F219E2D"/>
    <w:rsid w:val="1F21E2FA"/>
    <w:rsid w:val="1F2291CE"/>
    <w:rsid w:val="1F23545C"/>
    <w:rsid w:val="1F23F4F0"/>
    <w:rsid w:val="1F2437FF"/>
    <w:rsid w:val="1F247474"/>
    <w:rsid w:val="1F24A34D"/>
    <w:rsid w:val="1F24B027"/>
    <w:rsid w:val="1F24B72C"/>
    <w:rsid w:val="1F24FB37"/>
    <w:rsid w:val="1F254673"/>
    <w:rsid w:val="1F255F9E"/>
    <w:rsid w:val="1F25CBAC"/>
    <w:rsid w:val="1F25EC47"/>
    <w:rsid w:val="1F260A53"/>
    <w:rsid w:val="1F265EB6"/>
    <w:rsid w:val="1F26671A"/>
    <w:rsid w:val="1F26C54B"/>
    <w:rsid w:val="1F26CA0A"/>
    <w:rsid w:val="1F272B8F"/>
    <w:rsid w:val="1F27C360"/>
    <w:rsid w:val="1F27E6DE"/>
    <w:rsid w:val="1F28098D"/>
    <w:rsid w:val="1F2929D6"/>
    <w:rsid w:val="1F299F80"/>
    <w:rsid w:val="1F29BFA6"/>
    <w:rsid w:val="1F29C151"/>
    <w:rsid w:val="1F2B8D3E"/>
    <w:rsid w:val="1F2BE8AD"/>
    <w:rsid w:val="1F2C0E12"/>
    <w:rsid w:val="1F2CC962"/>
    <w:rsid w:val="1F2DA11D"/>
    <w:rsid w:val="1F2DFFE9"/>
    <w:rsid w:val="1F2E3BCC"/>
    <w:rsid w:val="1F2ED2A9"/>
    <w:rsid w:val="1F2F84E3"/>
    <w:rsid w:val="1F2FE6FF"/>
    <w:rsid w:val="1F3093AA"/>
    <w:rsid w:val="1F30DFB0"/>
    <w:rsid w:val="1F30E1EA"/>
    <w:rsid w:val="1F313950"/>
    <w:rsid w:val="1F3222A3"/>
    <w:rsid w:val="1F3235BD"/>
    <w:rsid w:val="1F328AB4"/>
    <w:rsid w:val="1F33C5FF"/>
    <w:rsid w:val="1F33EDC4"/>
    <w:rsid w:val="1F34A766"/>
    <w:rsid w:val="1F34BEF8"/>
    <w:rsid w:val="1F34EE8B"/>
    <w:rsid w:val="1F3512FA"/>
    <w:rsid w:val="1F35159B"/>
    <w:rsid w:val="1F35187B"/>
    <w:rsid w:val="1F355BAD"/>
    <w:rsid w:val="1F359B9B"/>
    <w:rsid w:val="1F35A457"/>
    <w:rsid w:val="1F362A3C"/>
    <w:rsid w:val="1F3796F3"/>
    <w:rsid w:val="1F37D020"/>
    <w:rsid w:val="1F387CFF"/>
    <w:rsid w:val="1F38BDA5"/>
    <w:rsid w:val="1F39FEF2"/>
    <w:rsid w:val="1F3AA615"/>
    <w:rsid w:val="1F3B1C90"/>
    <w:rsid w:val="1F3B246B"/>
    <w:rsid w:val="1F3B9B90"/>
    <w:rsid w:val="1F3BCFB0"/>
    <w:rsid w:val="1F3BFBDE"/>
    <w:rsid w:val="1F3C2433"/>
    <w:rsid w:val="1F3C2686"/>
    <w:rsid w:val="1F3CABDB"/>
    <w:rsid w:val="1F3CD9A0"/>
    <w:rsid w:val="1F3D349A"/>
    <w:rsid w:val="1F3DB91B"/>
    <w:rsid w:val="1F3DCA03"/>
    <w:rsid w:val="1F3E73DC"/>
    <w:rsid w:val="1F3F670F"/>
    <w:rsid w:val="1F404065"/>
    <w:rsid w:val="1F40E4D0"/>
    <w:rsid w:val="1F412C09"/>
    <w:rsid w:val="1F413212"/>
    <w:rsid w:val="1F413263"/>
    <w:rsid w:val="1F4154A9"/>
    <w:rsid w:val="1F420465"/>
    <w:rsid w:val="1F424C78"/>
    <w:rsid w:val="1F426829"/>
    <w:rsid w:val="1F42CA35"/>
    <w:rsid w:val="1F437495"/>
    <w:rsid w:val="1F4384AE"/>
    <w:rsid w:val="1F43BDDC"/>
    <w:rsid w:val="1F444FEF"/>
    <w:rsid w:val="1F4511E3"/>
    <w:rsid w:val="1F454948"/>
    <w:rsid w:val="1F45C648"/>
    <w:rsid w:val="1F47025C"/>
    <w:rsid w:val="1F471E3B"/>
    <w:rsid w:val="1F477565"/>
    <w:rsid w:val="1F47B5E0"/>
    <w:rsid w:val="1F485F94"/>
    <w:rsid w:val="1F486C19"/>
    <w:rsid w:val="1F48E837"/>
    <w:rsid w:val="1F493021"/>
    <w:rsid w:val="1F4945AC"/>
    <w:rsid w:val="1F49AC3E"/>
    <w:rsid w:val="1F49C1F0"/>
    <w:rsid w:val="1F49E763"/>
    <w:rsid w:val="1F4A2AC7"/>
    <w:rsid w:val="1F4A7766"/>
    <w:rsid w:val="1F4D70C2"/>
    <w:rsid w:val="1F4E1C33"/>
    <w:rsid w:val="1F4E42CC"/>
    <w:rsid w:val="1F4F5BD6"/>
    <w:rsid w:val="1F4F6C2F"/>
    <w:rsid w:val="1F4F99CB"/>
    <w:rsid w:val="1F4FA2E5"/>
    <w:rsid w:val="1F4FD2F3"/>
    <w:rsid w:val="1F50CE65"/>
    <w:rsid w:val="1F50EA7D"/>
    <w:rsid w:val="1F519F4F"/>
    <w:rsid w:val="1F524BC8"/>
    <w:rsid w:val="1F528A89"/>
    <w:rsid w:val="1F539A24"/>
    <w:rsid w:val="1F53A401"/>
    <w:rsid w:val="1F53CAD0"/>
    <w:rsid w:val="1F53D2EC"/>
    <w:rsid w:val="1F543B1A"/>
    <w:rsid w:val="1F549861"/>
    <w:rsid w:val="1F5500EF"/>
    <w:rsid w:val="1F55FF51"/>
    <w:rsid w:val="1F564798"/>
    <w:rsid w:val="1F565D93"/>
    <w:rsid w:val="1F569C86"/>
    <w:rsid w:val="1F56C6BD"/>
    <w:rsid w:val="1F577E4C"/>
    <w:rsid w:val="1F58CE2C"/>
    <w:rsid w:val="1F59CECC"/>
    <w:rsid w:val="1F5AD457"/>
    <w:rsid w:val="1F5AEA7D"/>
    <w:rsid w:val="1F5B2B53"/>
    <w:rsid w:val="1F5B66DA"/>
    <w:rsid w:val="1F5C1C1B"/>
    <w:rsid w:val="1F5C7177"/>
    <w:rsid w:val="1F5CD2F7"/>
    <w:rsid w:val="1F5CF032"/>
    <w:rsid w:val="1F5CFB0A"/>
    <w:rsid w:val="1F5D1B29"/>
    <w:rsid w:val="1F5D88E4"/>
    <w:rsid w:val="1F5DE07D"/>
    <w:rsid w:val="1F5EAFB0"/>
    <w:rsid w:val="1F5F05DF"/>
    <w:rsid w:val="1F5F4B21"/>
    <w:rsid w:val="1F606216"/>
    <w:rsid w:val="1F60D39C"/>
    <w:rsid w:val="1F60E2BE"/>
    <w:rsid w:val="1F619E12"/>
    <w:rsid w:val="1F61A409"/>
    <w:rsid w:val="1F61E9D5"/>
    <w:rsid w:val="1F61FF25"/>
    <w:rsid w:val="1F62F225"/>
    <w:rsid w:val="1F63AB7A"/>
    <w:rsid w:val="1F64DA48"/>
    <w:rsid w:val="1F64E98C"/>
    <w:rsid w:val="1F656594"/>
    <w:rsid w:val="1F659CEF"/>
    <w:rsid w:val="1F65EE42"/>
    <w:rsid w:val="1F6626E1"/>
    <w:rsid w:val="1F66680F"/>
    <w:rsid w:val="1F6677A5"/>
    <w:rsid w:val="1F66C496"/>
    <w:rsid w:val="1F66F399"/>
    <w:rsid w:val="1F67295C"/>
    <w:rsid w:val="1F67BCCB"/>
    <w:rsid w:val="1F67F3BD"/>
    <w:rsid w:val="1F687059"/>
    <w:rsid w:val="1F68B182"/>
    <w:rsid w:val="1F68B420"/>
    <w:rsid w:val="1F68E13D"/>
    <w:rsid w:val="1F697588"/>
    <w:rsid w:val="1F6B8781"/>
    <w:rsid w:val="1F6BF4E6"/>
    <w:rsid w:val="1F6C2342"/>
    <w:rsid w:val="1F6D4BCF"/>
    <w:rsid w:val="1F6DD42C"/>
    <w:rsid w:val="1F6E2A09"/>
    <w:rsid w:val="1F6E8BE3"/>
    <w:rsid w:val="1F6EE85F"/>
    <w:rsid w:val="1F6EF6F5"/>
    <w:rsid w:val="1F6F2DFA"/>
    <w:rsid w:val="1F6F6DF9"/>
    <w:rsid w:val="1F6F7637"/>
    <w:rsid w:val="1F6F862E"/>
    <w:rsid w:val="1F70AD72"/>
    <w:rsid w:val="1F70C274"/>
    <w:rsid w:val="1F711AB3"/>
    <w:rsid w:val="1F733B33"/>
    <w:rsid w:val="1F75419B"/>
    <w:rsid w:val="1F75BA6B"/>
    <w:rsid w:val="1F75D290"/>
    <w:rsid w:val="1F77FAE8"/>
    <w:rsid w:val="1F794359"/>
    <w:rsid w:val="1F797877"/>
    <w:rsid w:val="1F79B906"/>
    <w:rsid w:val="1F79E70B"/>
    <w:rsid w:val="1F7A0D77"/>
    <w:rsid w:val="1F7BA533"/>
    <w:rsid w:val="1F7CBBE0"/>
    <w:rsid w:val="1F7CC1C5"/>
    <w:rsid w:val="1F7D134D"/>
    <w:rsid w:val="1F7D49F5"/>
    <w:rsid w:val="1F7D4CC1"/>
    <w:rsid w:val="1F7E3AF4"/>
    <w:rsid w:val="1F7F3FB9"/>
    <w:rsid w:val="1F7F7874"/>
    <w:rsid w:val="1F7F9908"/>
    <w:rsid w:val="1F80069C"/>
    <w:rsid w:val="1F809D3E"/>
    <w:rsid w:val="1F80C8F0"/>
    <w:rsid w:val="1F80F429"/>
    <w:rsid w:val="1F810464"/>
    <w:rsid w:val="1F8185D7"/>
    <w:rsid w:val="1F8235C6"/>
    <w:rsid w:val="1F835F82"/>
    <w:rsid w:val="1F8368E3"/>
    <w:rsid w:val="1F8437D3"/>
    <w:rsid w:val="1F846CC5"/>
    <w:rsid w:val="1F8499A7"/>
    <w:rsid w:val="1F84E5A5"/>
    <w:rsid w:val="1F8702B9"/>
    <w:rsid w:val="1F873EF4"/>
    <w:rsid w:val="1F87721F"/>
    <w:rsid w:val="1F88C7AD"/>
    <w:rsid w:val="1F890B3C"/>
    <w:rsid w:val="1F8963F9"/>
    <w:rsid w:val="1F89D44B"/>
    <w:rsid w:val="1F8A6BF1"/>
    <w:rsid w:val="1F8A95BB"/>
    <w:rsid w:val="1F8AD633"/>
    <w:rsid w:val="1F8B2404"/>
    <w:rsid w:val="1F8BB081"/>
    <w:rsid w:val="1F8D39A6"/>
    <w:rsid w:val="1F8D501B"/>
    <w:rsid w:val="1F8DDF4A"/>
    <w:rsid w:val="1F8ED86D"/>
    <w:rsid w:val="1F8EE47E"/>
    <w:rsid w:val="1F8F11C4"/>
    <w:rsid w:val="1F8F7574"/>
    <w:rsid w:val="1F8F940A"/>
    <w:rsid w:val="1F8F9A5F"/>
    <w:rsid w:val="1F8FEB01"/>
    <w:rsid w:val="1F917526"/>
    <w:rsid w:val="1F9183EF"/>
    <w:rsid w:val="1F91CAC7"/>
    <w:rsid w:val="1F91D966"/>
    <w:rsid w:val="1F921FB5"/>
    <w:rsid w:val="1F921FDA"/>
    <w:rsid w:val="1F923E9F"/>
    <w:rsid w:val="1F94E32F"/>
    <w:rsid w:val="1F94EB43"/>
    <w:rsid w:val="1F9511F1"/>
    <w:rsid w:val="1F95F30F"/>
    <w:rsid w:val="1F9692A3"/>
    <w:rsid w:val="1F96938D"/>
    <w:rsid w:val="1F9767BD"/>
    <w:rsid w:val="1F97A73E"/>
    <w:rsid w:val="1F980A04"/>
    <w:rsid w:val="1F9834F8"/>
    <w:rsid w:val="1F9859C9"/>
    <w:rsid w:val="1F994F66"/>
    <w:rsid w:val="1F99AB3E"/>
    <w:rsid w:val="1F99D0BD"/>
    <w:rsid w:val="1F9A7DE7"/>
    <w:rsid w:val="1F9AACD9"/>
    <w:rsid w:val="1F9ADA78"/>
    <w:rsid w:val="1F9B2069"/>
    <w:rsid w:val="1F9CC2B4"/>
    <w:rsid w:val="1F9CD47B"/>
    <w:rsid w:val="1F9F20CB"/>
    <w:rsid w:val="1F9F27DD"/>
    <w:rsid w:val="1FA047D6"/>
    <w:rsid w:val="1FA07DF9"/>
    <w:rsid w:val="1FA11570"/>
    <w:rsid w:val="1FA17972"/>
    <w:rsid w:val="1FA19B74"/>
    <w:rsid w:val="1FA276DC"/>
    <w:rsid w:val="1FA2798B"/>
    <w:rsid w:val="1FA2BC96"/>
    <w:rsid w:val="1FA2CD02"/>
    <w:rsid w:val="1FA2E7FC"/>
    <w:rsid w:val="1FA30298"/>
    <w:rsid w:val="1FA3C029"/>
    <w:rsid w:val="1FA3CABF"/>
    <w:rsid w:val="1FA3D52B"/>
    <w:rsid w:val="1FA4065A"/>
    <w:rsid w:val="1FA49E6C"/>
    <w:rsid w:val="1FA4A959"/>
    <w:rsid w:val="1FA4C8BD"/>
    <w:rsid w:val="1FA70CB0"/>
    <w:rsid w:val="1FA760C0"/>
    <w:rsid w:val="1FA7B0AD"/>
    <w:rsid w:val="1FA7B6E3"/>
    <w:rsid w:val="1FA91859"/>
    <w:rsid w:val="1FAAD61C"/>
    <w:rsid w:val="1FAB9E24"/>
    <w:rsid w:val="1FABB947"/>
    <w:rsid w:val="1FACCFD6"/>
    <w:rsid w:val="1FAE1401"/>
    <w:rsid w:val="1FAE2F63"/>
    <w:rsid w:val="1FAE89DC"/>
    <w:rsid w:val="1FAEFAFD"/>
    <w:rsid w:val="1FB07DE9"/>
    <w:rsid w:val="1FB096EB"/>
    <w:rsid w:val="1FB0D3AC"/>
    <w:rsid w:val="1FB1429F"/>
    <w:rsid w:val="1FB18824"/>
    <w:rsid w:val="1FB254D4"/>
    <w:rsid w:val="1FB2610A"/>
    <w:rsid w:val="1FB2A9E8"/>
    <w:rsid w:val="1FB37089"/>
    <w:rsid w:val="1FB3862F"/>
    <w:rsid w:val="1FB40A31"/>
    <w:rsid w:val="1FB59D7E"/>
    <w:rsid w:val="1FB67E9F"/>
    <w:rsid w:val="1FB6AC98"/>
    <w:rsid w:val="1FB75115"/>
    <w:rsid w:val="1FB770A5"/>
    <w:rsid w:val="1FB7C014"/>
    <w:rsid w:val="1FB7E4FB"/>
    <w:rsid w:val="1FB9BE80"/>
    <w:rsid w:val="1FB9F632"/>
    <w:rsid w:val="1FB9FCD2"/>
    <w:rsid w:val="1FBA3892"/>
    <w:rsid w:val="1FBB01AC"/>
    <w:rsid w:val="1FBB07FC"/>
    <w:rsid w:val="1FBBAFF2"/>
    <w:rsid w:val="1FBC0DEE"/>
    <w:rsid w:val="1FBC8E27"/>
    <w:rsid w:val="1FBCCBDF"/>
    <w:rsid w:val="1FBD40CE"/>
    <w:rsid w:val="1FBD8018"/>
    <w:rsid w:val="1FBD8703"/>
    <w:rsid w:val="1FBE072A"/>
    <w:rsid w:val="1FBE4E58"/>
    <w:rsid w:val="1FBF2BC5"/>
    <w:rsid w:val="1FC1DF7C"/>
    <w:rsid w:val="1FC24CB4"/>
    <w:rsid w:val="1FC47A48"/>
    <w:rsid w:val="1FC47D69"/>
    <w:rsid w:val="1FC4F09E"/>
    <w:rsid w:val="1FC53324"/>
    <w:rsid w:val="1FC5A101"/>
    <w:rsid w:val="1FC5EB0B"/>
    <w:rsid w:val="1FC758EA"/>
    <w:rsid w:val="1FC769B0"/>
    <w:rsid w:val="1FC809CC"/>
    <w:rsid w:val="1FC81AF8"/>
    <w:rsid w:val="1FC828E2"/>
    <w:rsid w:val="1FC85194"/>
    <w:rsid w:val="1FC85286"/>
    <w:rsid w:val="1FC8AE9C"/>
    <w:rsid w:val="1FC8BE33"/>
    <w:rsid w:val="1FC9DF28"/>
    <w:rsid w:val="1FCA7845"/>
    <w:rsid w:val="1FCABFE8"/>
    <w:rsid w:val="1FCAFF59"/>
    <w:rsid w:val="1FCB3427"/>
    <w:rsid w:val="1FCB94C9"/>
    <w:rsid w:val="1FCBD95D"/>
    <w:rsid w:val="1FCDF373"/>
    <w:rsid w:val="1FCEA3A8"/>
    <w:rsid w:val="1FCF1169"/>
    <w:rsid w:val="1FD0035E"/>
    <w:rsid w:val="1FD0DF2F"/>
    <w:rsid w:val="1FD18C87"/>
    <w:rsid w:val="1FD1BCB1"/>
    <w:rsid w:val="1FD1CE0C"/>
    <w:rsid w:val="1FD2EABF"/>
    <w:rsid w:val="1FD3341F"/>
    <w:rsid w:val="1FD357F6"/>
    <w:rsid w:val="1FD4387C"/>
    <w:rsid w:val="1FD492D7"/>
    <w:rsid w:val="1FD49E45"/>
    <w:rsid w:val="1FD4CD4B"/>
    <w:rsid w:val="1FD50382"/>
    <w:rsid w:val="1FD5BC30"/>
    <w:rsid w:val="1FD6E492"/>
    <w:rsid w:val="1FD755C7"/>
    <w:rsid w:val="1FD79258"/>
    <w:rsid w:val="1FD7F7E8"/>
    <w:rsid w:val="1FD8423E"/>
    <w:rsid w:val="1FD9A517"/>
    <w:rsid w:val="1FD9BA86"/>
    <w:rsid w:val="1FDA0AE7"/>
    <w:rsid w:val="1FDAB15D"/>
    <w:rsid w:val="1FDB6F6B"/>
    <w:rsid w:val="1FDBB0C7"/>
    <w:rsid w:val="1FDBF867"/>
    <w:rsid w:val="1FDCC1B5"/>
    <w:rsid w:val="1FDDA982"/>
    <w:rsid w:val="1FDDCF3E"/>
    <w:rsid w:val="1FDE3A3E"/>
    <w:rsid w:val="1FDE891B"/>
    <w:rsid w:val="1FDF7F31"/>
    <w:rsid w:val="1FE1FA0C"/>
    <w:rsid w:val="1FE208CC"/>
    <w:rsid w:val="1FE2D920"/>
    <w:rsid w:val="1FE2EF58"/>
    <w:rsid w:val="1FE3A5D6"/>
    <w:rsid w:val="1FE46593"/>
    <w:rsid w:val="1FE4B436"/>
    <w:rsid w:val="1FE587FF"/>
    <w:rsid w:val="1FE5EA6F"/>
    <w:rsid w:val="1FE61A35"/>
    <w:rsid w:val="1FE628CA"/>
    <w:rsid w:val="1FE6CF86"/>
    <w:rsid w:val="1FE7E081"/>
    <w:rsid w:val="1FE80EE4"/>
    <w:rsid w:val="1FE84071"/>
    <w:rsid w:val="1FE8F2D8"/>
    <w:rsid w:val="1FE91A1C"/>
    <w:rsid w:val="1FE951EC"/>
    <w:rsid w:val="1FE98020"/>
    <w:rsid w:val="1FE9D0B3"/>
    <w:rsid w:val="1FEA1E97"/>
    <w:rsid w:val="1FEADC6A"/>
    <w:rsid w:val="1FEB4FAA"/>
    <w:rsid w:val="1FEB82B0"/>
    <w:rsid w:val="1FEB965A"/>
    <w:rsid w:val="1FEBF673"/>
    <w:rsid w:val="1FEC859A"/>
    <w:rsid w:val="1FECCC07"/>
    <w:rsid w:val="1FEDF8CB"/>
    <w:rsid w:val="1FEE4B87"/>
    <w:rsid w:val="1FEE5A05"/>
    <w:rsid w:val="1FEEFBD2"/>
    <w:rsid w:val="1FEFAF64"/>
    <w:rsid w:val="1FEFB0E2"/>
    <w:rsid w:val="1FF010AE"/>
    <w:rsid w:val="1FF028C1"/>
    <w:rsid w:val="1FF07E10"/>
    <w:rsid w:val="1FF0B148"/>
    <w:rsid w:val="1FF141FA"/>
    <w:rsid w:val="1FF152F7"/>
    <w:rsid w:val="1FF1A39A"/>
    <w:rsid w:val="1FF30BF0"/>
    <w:rsid w:val="1FF35E1D"/>
    <w:rsid w:val="1FF3D2C4"/>
    <w:rsid w:val="1FF3E7B9"/>
    <w:rsid w:val="1FF400CF"/>
    <w:rsid w:val="1FF41E14"/>
    <w:rsid w:val="1FF4891C"/>
    <w:rsid w:val="1FF4FEC3"/>
    <w:rsid w:val="1FF52BF4"/>
    <w:rsid w:val="1FF5EBD1"/>
    <w:rsid w:val="1FF5EBEA"/>
    <w:rsid w:val="1FF659A6"/>
    <w:rsid w:val="1FF69704"/>
    <w:rsid w:val="1FF6D922"/>
    <w:rsid w:val="1FFA2CE9"/>
    <w:rsid w:val="1FFA522D"/>
    <w:rsid w:val="1FFA5279"/>
    <w:rsid w:val="1FFA8B1D"/>
    <w:rsid w:val="1FFB1A83"/>
    <w:rsid w:val="1FFB7D7E"/>
    <w:rsid w:val="1FFCAE6E"/>
    <w:rsid w:val="1FFCD8E6"/>
    <w:rsid w:val="1FFD5509"/>
    <w:rsid w:val="1FFFA73A"/>
    <w:rsid w:val="1FFFDB9D"/>
    <w:rsid w:val="200038F1"/>
    <w:rsid w:val="2000F4E1"/>
    <w:rsid w:val="20013D22"/>
    <w:rsid w:val="20015C4B"/>
    <w:rsid w:val="2001896C"/>
    <w:rsid w:val="2002E7A0"/>
    <w:rsid w:val="20036952"/>
    <w:rsid w:val="2003D446"/>
    <w:rsid w:val="2004655E"/>
    <w:rsid w:val="20049868"/>
    <w:rsid w:val="2004F37E"/>
    <w:rsid w:val="2005317C"/>
    <w:rsid w:val="2005803B"/>
    <w:rsid w:val="20065E21"/>
    <w:rsid w:val="20069912"/>
    <w:rsid w:val="2006FEEC"/>
    <w:rsid w:val="20074526"/>
    <w:rsid w:val="2007E2E9"/>
    <w:rsid w:val="20087862"/>
    <w:rsid w:val="20087BFF"/>
    <w:rsid w:val="2008F295"/>
    <w:rsid w:val="20093048"/>
    <w:rsid w:val="200973A7"/>
    <w:rsid w:val="2009AA5E"/>
    <w:rsid w:val="200A365B"/>
    <w:rsid w:val="200AB4F0"/>
    <w:rsid w:val="200AEDF7"/>
    <w:rsid w:val="200AF76C"/>
    <w:rsid w:val="200B155E"/>
    <w:rsid w:val="200B6547"/>
    <w:rsid w:val="200B9AFF"/>
    <w:rsid w:val="200BA529"/>
    <w:rsid w:val="200C4FC3"/>
    <w:rsid w:val="200CF830"/>
    <w:rsid w:val="200CFF15"/>
    <w:rsid w:val="200D2488"/>
    <w:rsid w:val="200DE793"/>
    <w:rsid w:val="200E376A"/>
    <w:rsid w:val="201059DF"/>
    <w:rsid w:val="2010BD81"/>
    <w:rsid w:val="20118EBB"/>
    <w:rsid w:val="20124F53"/>
    <w:rsid w:val="2013034B"/>
    <w:rsid w:val="20143FC4"/>
    <w:rsid w:val="201456BF"/>
    <w:rsid w:val="2014A2F0"/>
    <w:rsid w:val="2014AC16"/>
    <w:rsid w:val="20151D25"/>
    <w:rsid w:val="2016A0D3"/>
    <w:rsid w:val="2016A470"/>
    <w:rsid w:val="2016BE07"/>
    <w:rsid w:val="2018EC4C"/>
    <w:rsid w:val="20197AA1"/>
    <w:rsid w:val="201990FC"/>
    <w:rsid w:val="201A3612"/>
    <w:rsid w:val="201B48CF"/>
    <w:rsid w:val="201B765F"/>
    <w:rsid w:val="201BBA11"/>
    <w:rsid w:val="201C14CF"/>
    <w:rsid w:val="201C251F"/>
    <w:rsid w:val="201D3C9E"/>
    <w:rsid w:val="201DD4A9"/>
    <w:rsid w:val="201F293B"/>
    <w:rsid w:val="201FA21A"/>
    <w:rsid w:val="201FEAC5"/>
    <w:rsid w:val="2020C3DB"/>
    <w:rsid w:val="20213C91"/>
    <w:rsid w:val="2021415F"/>
    <w:rsid w:val="20214B3C"/>
    <w:rsid w:val="20237640"/>
    <w:rsid w:val="20242539"/>
    <w:rsid w:val="202431BD"/>
    <w:rsid w:val="20252F7F"/>
    <w:rsid w:val="202723AA"/>
    <w:rsid w:val="2027280D"/>
    <w:rsid w:val="202782A6"/>
    <w:rsid w:val="2027CB5E"/>
    <w:rsid w:val="20280F07"/>
    <w:rsid w:val="20297135"/>
    <w:rsid w:val="202972D3"/>
    <w:rsid w:val="202A6A79"/>
    <w:rsid w:val="202AAAC9"/>
    <w:rsid w:val="202AE54A"/>
    <w:rsid w:val="202B26E4"/>
    <w:rsid w:val="202B6B69"/>
    <w:rsid w:val="202C1D78"/>
    <w:rsid w:val="202C6543"/>
    <w:rsid w:val="202CA656"/>
    <w:rsid w:val="202CACE0"/>
    <w:rsid w:val="202CD0D8"/>
    <w:rsid w:val="202CD350"/>
    <w:rsid w:val="202D0971"/>
    <w:rsid w:val="202DCDFF"/>
    <w:rsid w:val="202F5FAD"/>
    <w:rsid w:val="202FA92C"/>
    <w:rsid w:val="20319C04"/>
    <w:rsid w:val="20325EEE"/>
    <w:rsid w:val="2032C0D5"/>
    <w:rsid w:val="203320E9"/>
    <w:rsid w:val="2033904A"/>
    <w:rsid w:val="2033B8E3"/>
    <w:rsid w:val="203535D6"/>
    <w:rsid w:val="2035D706"/>
    <w:rsid w:val="203603E4"/>
    <w:rsid w:val="20361F04"/>
    <w:rsid w:val="20364A96"/>
    <w:rsid w:val="20364BE5"/>
    <w:rsid w:val="20365807"/>
    <w:rsid w:val="20377373"/>
    <w:rsid w:val="203778E3"/>
    <w:rsid w:val="2037A779"/>
    <w:rsid w:val="2037D632"/>
    <w:rsid w:val="2037FB59"/>
    <w:rsid w:val="2038388F"/>
    <w:rsid w:val="20385F1F"/>
    <w:rsid w:val="20385F72"/>
    <w:rsid w:val="20389A7F"/>
    <w:rsid w:val="2038E0F6"/>
    <w:rsid w:val="20396083"/>
    <w:rsid w:val="2039B0C5"/>
    <w:rsid w:val="203A16FB"/>
    <w:rsid w:val="203AB158"/>
    <w:rsid w:val="203B0A57"/>
    <w:rsid w:val="203BB7F7"/>
    <w:rsid w:val="203C207E"/>
    <w:rsid w:val="203C4BF0"/>
    <w:rsid w:val="203C52C1"/>
    <w:rsid w:val="203C7409"/>
    <w:rsid w:val="203C82CE"/>
    <w:rsid w:val="203CCD3E"/>
    <w:rsid w:val="203D57CF"/>
    <w:rsid w:val="203DF63E"/>
    <w:rsid w:val="203E7119"/>
    <w:rsid w:val="203E8C44"/>
    <w:rsid w:val="203F28A7"/>
    <w:rsid w:val="203F464A"/>
    <w:rsid w:val="203FDF48"/>
    <w:rsid w:val="203FE516"/>
    <w:rsid w:val="20404B6B"/>
    <w:rsid w:val="20408814"/>
    <w:rsid w:val="204108D9"/>
    <w:rsid w:val="2042B811"/>
    <w:rsid w:val="2043396D"/>
    <w:rsid w:val="20435BED"/>
    <w:rsid w:val="20438AC6"/>
    <w:rsid w:val="204445B9"/>
    <w:rsid w:val="20444E8D"/>
    <w:rsid w:val="2045369B"/>
    <w:rsid w:val="20464C5A"/>
    <w:rsid w:val="204659FC"/>
    <w:rsid w:val="20474E19"/>
    <w:rsid w:val="2047A7E7"/>
    <w:rsid w:val="2047F184"/>
    <w:rsid w:val="20488435"/>
    <w:rsid w:val="20494ADA"/>
    <w:rsid w:val="20497DDA"/>
    <w:rsid w:val="204A293F"/>
    <w:rsid w:val="204A7136"/>
    <w:rsid w:val="204AA8A5"/>
    <w:rsid w:val="204AD7B5"/>
    <w:rsid w:val="204AF25D"/>
    <w:rsid w:val="204B2C28"/>
    <w:rsid w:val="204B87A2"/>
    <w:rsid w:val="204BC03C"/>
    <w:rsid w:val="204C3A56"/>
    <w:rsid w:val="204C7400"/>
    <w:rsid w:val="204C8111"/>
    <w:rsid w:val="204C814C"/>
    <w:rsid w:val="204C89E3"/>
    <w:rsid w:val="204C9840"/>
    <w:rsid w:val="204CBEF4"/>
    <w:rsid w:val="204CF00C"/>
    <w:rsid w:val="204D455D"/>
    <w:rsid w:val="204DFFF9"/>
    <w:rsid w:val="204E9050"/>
    <w:rsid w:val="204F4369"/>
    <w:rsid w:val="2050D7C7"/>
    <w:rsid w:val="2050DD73"/>
    <w:rsid w:val="20512BD1"/>
    <w:rsid w:val="20514E77"/>
    <w:rsid w:val="20523863"/>
    <w:rsid w:val="2052622E"/>
    <w:rsid w:val="205285E7"/>
    <w:rsid w:val="2052C733"/>
    <w:rsid w:val="2053B29F"/>
    <w:rsid w:val="2053F892"/>
    <w:rsid w:val="2054946A"/>
    <w:rsid w:val="2054BDBA"/>
    <w:rsid w:val="2054D8A1"/>
    <w:rsid w:val="2055D647"/>
    <w:rsid w:val="20561D03"/>
    <w:rsid w:val="2056373F"/>
    <w:rsid w:val="20567DE8"/>
    <w:rsid w:val="2056FF67"/>
    <w:rsid w:val="20572602"/>
    <w:rsid w:val="20581581"/>
    <w:rsid w:val="205817B3"/>
    <w:rsid w:val="2058CBB0"/>
    <w:rsid w:val="20594A1C"/>
    <w:rsid w:val="20594A9F"/>
    <w:rsid w:val="20598310"/>
    <w:rsid w:val="20598F4D"/>
    <w:rsid w:val="20599364"/>
    <w:rsid w:val="2059CD21"/>
    <w:rsid w:val="205A4DEB"/>
    <w:rsid w:val="205AEAEF"/>
    <w:rsid w:val="205B050C"/>
    <w:rsid w:val="205B2DBD"/>
    <w:rsid w:val="205BAAF7"/>
    <w:rsid w:val="205BFFC7"/>
    <w:rsid w:val="205DAC5C"/>
    <w:rsid w:val="205EBED6"/>
    <w:rsid w:val="205ECD93"/>
    <w:rsid w:val="20619DD1"/>
    <w:rsid w:val="20622B65"/>
    <w:rsid w:val="2062A832"/>
    <w:rsid w:val="2063B9A8"/>
    <w:rsid w:val="2064E8E4"/>
    <w:rsid w:val="2065372D"/>
    <w:rsid w:val="20658060"/>
    <w:rsid w:val="206681DA"/>
    <w:rsid w:val="2066D977"/>
    <w:rsid w:val="20672F19"/>
    <w:rsid w:val="20675C1D"/>
    <w:rsid w:val="2067EE9D"/>
    <w:rsid w:val="2068B50F"/>
    <w:rsid w:val="2068EAD1"/>
    <w:rsid w:val="20693BF1"/>
    <w:rsid w:val="20693D72"/>
    <w:rsid w:val="20696FDF"/>
    <w:rsid w:val="20698DC0"/>
    <w:rsid w:val="2069D232"/>
    <w:rsid w:val="206AADB9"/>
    <w:rsid w:val="206C8766"/>
    <w:rsid w:val="206DD773"/>
    <w:rsid w:val="206DFB11"/>
    <w:rsid w:val="206E9A6E"/>
    <w:rsid w:val="206F0C15"/>
    <w:rsid w:val="206F69C7"/>
    <w:rsid w:val="206F6D5A"/>
    <w:rsid w:val="206F8813"/>
    <w:rsid w:val="206FA238"/>
    <w:rsid w:val="206FFA2F"/>
    <w:rsid w:val="2070AD77"/>
    <w:rsid w:val="2070DA55"/>
    <w:rsid w:val="2072103D"/>
    <w:rsid w:val="207226D7"/>
    <w:rsid w:val="20728A64"/>
    <w:rsid w:val="207341CE"/>
    <w:rsid w:val="20734AB3"/>
    <w:rsid w:val="20737C7E"/>
    <w:rsid w:val="20739E08"/>
    <w:rsid w:val="2074A8DD"/>
    <w:rsid w:val="20754FD9"/>
    <w:rsid w:val="20755A37"/>
    <w:rsid w:val="20757056"/>
    <w:rsid w:val="20775E53"/>
    <w:rsid w:val="207844A4"/>
    <w:rsid w:val="20785741"/>
    <w:rsid w:val="2078978D"/>
    <w:rsid w:val="2079356C"/>
    <w:rsid w:val="207952BF"/>
    <w:rsid w:val="20799A34"/>
    <w:rsid w:val="2079E43A"/>
    <w:rsid w:val="207A01F0"/>
    <w:rsid w:val="207A0F58"/>
    <w:rsid w:val="207A6149"/>
    <w:rsid w:val="207B1237"/>
    <w:rsid w:val="207B341C"/>
    <w:rsid w:val="207B3535"/>
    <w:rsid w:val="207BADE7"/>
    <w:rsid w:val="207CEF05"/>
    <w:rsid w:val="207D9DEB"/>
    <w:rsid w:val="207E0EA4"/>
    <w:rsid w:val="207E97B1"/>
    <w:rsid w:val="207EA285"/>
    <w:rsid w:val="207EB6FF"/>
    <w:rsid w:val="207ECBCD"/>
    <w:rsid w:val="207F8238"/>
    <w:rsid w:val="207FA0B3"/>
    <w:rsid w:val="2080D85D"/>
    <w:rsid w:val="2080D9D6"/>
    <w:rsid w:val="2082EF18"/>
    <w:rsid w:val="20834B19"/>
    <w:rsid w:val="2084483A"/>
    <w:rsid w:val="20846A82"/>
    <w:rsid w:val="20848947"/>
    <w:rsid w:val="2084B0DE"/>
    <w:rsid w:val="20854135"/>
    <w:rsid w:val="208574A5"/>
    <w:rsid w:val="2085DC5A"/>
    <w:rsid w:val="2086FC83"/>
    <w:rsid w:val="2087008B"/>
    <w:rsid w:val="208727E2"/>
    <w:rsid w:val="20874180"/>
    <w:rsid w:val="20880A83"/>
    <w:rsid w:val="2088DDCC"/>
    <w:rsid w:val="20896AD5"/>
    <w:rsid w:val="208B96E8"/>
    <w:rsid w:val="208BB01F"/>
    <w:rsid w:val="208D136D"/>
    <w:rsid w:val="208E317F"/>
    <w:rsid w:val="208FBBB4"/>
    <w:rsid w:val="2090255D"/>
    <w:rsid w:val="209067F3"/>
    <w:rsid w:val="2090C870"/>
    <w:rsid w:val="2090E7C9"/>
    <w:rsid w:val="20910EB3"/>
    <w:rsid w:val="20919FEA"/>
    <w:rsid w:val="209230D6"/>
    <w:rsid w:val="2093A54F"/>
    <w:rsid w:val="2093A97C"/>
    <w:rsid w:val="2093C043"/>
    <w:rsid w:val="2094CA13"/>
    <w:rsid w:val="20954EEE"/>
    <w:rsid w:val="2095907A"/>
    <w:rsid w:val="2095FBA7"/>
    <w:rsid w:val="2096BDD5"/>
    <w:rsid w:val="2097F050"/>
    <w:rsid w:val="2097FC89"/>
    <w:rsid w:val="20985E8D"/>
    <w:rsid w:val="2098CC67"/>
    <w:rsid w:val="20990C4E"/>
    <w:rsid w:val="209917E1"/>
    <w:rsid w:val="209934C1"/>
    <w:rsid w:val="20995541"/>
    <w:rsid w:val="2099E0E5"/>
    <w:rsid w:val="209A2998"/>
    <w:rsid w:val="209B0ABD"/>
    <w:rsid w:val="209B39CE"/>
    <w:rsid w:val="209C4FB3"/>
    <w:rsid w:val="209C82D2"/>
    <w:rsid w:val="209CD3D8"/>
    <w:rsid w:val="209D51EF"/>
    <w:rsid w:val="209D599A"/>
    <w:rsid w:val="209D8FFF"/>
    <w:rsid w:val="209DFF52"/>
    <w:rsid w:val="209E17BD"/>
    <w:rsid w:val="209FD3E6"/>
    <w:rsid w:val="209FD645"/>
    <w:rsid w:val="209FFDE6"/>
    <w:rsid w:val="20A04DD7"/>
    <w:rsid w:val="20A13504"/>
    <w:rsid w:val="20A1FB89"/>
    <w:rsid w:val="20A20333"/>
    <w:rsid w:val="20A38C26"/>
    <w:rsid w:val="20A39D57"/>
    <w:rsid w:val="20A4463A"/>
    <w:rsid w:val="20A524F4"/>
    <w:rsid w:val="20A5796C"/>
    <w:rsid w:val="20A5B529"/>
    <w:rsid w:val="20A5C427"/>
    <w:rsid w:val="20A5F969"/>
    <w:rsid w:val="20A60FF2"/>
    <w:rsid w:val="20A64E51"/>
    <w:rsid w:val="20A65659"/>
    <w:rsid w:val="20A6E000"/>
    <w:rsid w:val="20A7E54F"/>
    <w:rsid w:val="20A82B0B"/>
    <w:rsid w:val="20A84585"/>
    <w:rsid w:val="20A893A4"/>
    <w:rsid w:val="20A91103"/>
    <w:rsid w:val="20A9EA02"/>
    <w:rsid w:val="20AA06A9"/>
    <w:rsid w:val="20AB0681"/>
    <w:rsid w:val="20AB85C4"/>
    <w:rsid w:val="20ABE828"/>
    <w:rsid w:val="20AC33E6"/>
    <w:rsid w:val="20AD2632"/>
    <w:rsid w:val="20AD27BD"/>
    <w:rsid w:val="20ADDA00"/>
    <w:rsid w:val="20AEABAF"/>
    <w:rsid w:val="20AEEEC7"/>
    <w:rsid w:val="20AF2EB8"/>
    <w:rsid w:val="20AF8827"/>
    <w:rsid w:val="20AFADF9"/>
    <w:rsid w:val="20B0AB3C"/>
    <w:rsid w:val="20B17295"/>
    <w:rsid w:val="20B1C82E"/>
    <w:rsid w:val="20B23E3C"/>
    <w:rsid w:val="20B28DE0"/>
    <w:rsid w:val="20B290DB"/>
    <w:rsid w:val="20B29B6B"/>
    <w:rsid w:val="20B4137E"/>
    <w:rsid w:val="20B48176"/>
    <w:rsid w:val="20B4A06B"/>
    <w:rsid w:val="20B58996"/>
    <w:rsid w:val="20B5A7AE"/>
    <w:rsid w:val="20B7B6EA"/>
    <w:rsid w:val="20B8B3B6"/>
    <w:rsid w:val="20B947BE"/>
    <w:rsid w:val="20B989CC"/>
    <w:rsid w:val="20B9B3B0"/>
    <w:rsid w:val="20BADD56"/>
    <w:rsid w:val="20BB765B"/>
    <w:rsid w:val="20BC2D69"/>
    <w:rsid w:val="20BC30A6"/>
    <w:rsid w:val="20BC3E30"/>
    <w:rsid w:val="20BC55B4"/>
    <w:rsid w:val="20BCA8A0"/>
    <w:rsid w:val="20BCC255"/>
    <w:rsid w:val="20BE2119"/>
    <w:rsid w:val="20BECF44"/>
    <w:rsid w:val="20BF9ADC"/>
    <w:rsid w:val="20BFD563"/>
    <w:rsid w:val="20C0C69C"/>
    <w:rsid w:val="20C273AB"/>
    <w:rsid w:val="20C36FBC"/>
    <w:rsid w:val="20C3C32B"/>
    <w:rsid w:val="20C50B3E"/>
    <w:rsid w:val="20C5D4D4"/>
    <w:rsid w:val="20C6200A"/>
    <w:rsid w:val="20C6CFA9"/>
    <w:rsid w:val="20C70FC4"/>
    <w:rsid w:val="20C77A86"/>
    <w:rsid w:val="20C7BCC1"/>
    <w:rsid w:val="20C84D93"/>
    <w:rsid w:val="20C93864"/>
    <w:rsid w:val="20C9423F"/>
    <w:rsid w:val="20C95FE6"/>
    <w:rsid w:val="20C98B52"/>
    <w:rsid w:val="20C9A5E4"/>
    <w:rsid w:val="20C9A928"/>
    <w:rsid w:val="20CA4565"/>
    <w:rsid w:val="20CA4DCD"/>
    <w:rsid w:val="20CA83DB"/>
    <w:rsid w:val="20CAEA67"/>
    <w:rsid w:val="20CC661D"/>
    <w:rsid w:val="20CC89A1"/>
    <w:rsid w:val="20CDCF2D"/>
    <w:rsid w:val="20CDFB2C"/>
    <w:rsid w:val="20CE0EFA"/>
    <w:rsid w:val="20CF17A0"/>
    <w:rsid w:val="20D01F8C"/>
    <w:rsid w:val="20D07402"/>
    <w:rsid w:val="20D13204"/>
    <w:rsid w:val="20D18C79"/>
    <w:rsid w:val="20D1E10D"/>
    <w:rsid w:val="20D1FB46"/>
    <w:rsid w:val="20D305FD"/>
    <w:rsid w:val="20D40AD6"/>
    <w:rsid w:val="20D5335E"/>
    <w:rsid w:val="20D5539D"/>
    <w:rsid w:val="20D55674"/>
    <w:rsid w:val="20D6AB61"/>
    <w:rsid w:val="20D77AE6"/>
    <w:rsid w:val="20D81F7B"/>
    <w:rsid w:val="20D838B8"/>
    <w:rsid w:val="20D8E80C"/>
    <w:rsid w:val="20D914D3"/>
    <w:rsid w:val="20D94C9E"/>
    <w:rsid w:val="20D9AB75"/>
    <w:rsid w:val="20DA8349"/>
    <w:rsid w:val="20DB6A4C"/>
    <w:rsid w:val="20DB94F2"/>
    <w:rsid w:val="20DC0485"/>
    <w:rsid w:val="20DC0B34"/>
    <w:rsid w:val="20DCB1E0"/>
    <w:rsid w:val="20DCF764"/>
    <w:rsid w:val="20DD0E2F"/>
    <w:rsid w:val="20DD2341"/>
    <w:rsid w:val="20DEC969"/>
    <w:rsid w:val="20DF87DA"/>
    <w:rsid w:val="20DFD275"/>
    <w:rsid w:val="20E06FDB"/>
    <w:rsid w:val="20E152F3"/>
    <w:rsid w:val="20E1A056"/>
    <w:rsid w:val="20E28337"/>
    <w:rsid w:val="20E33BB1"/>
    <w:rsid w:val="20E3DDCA"/>
    <w:rsid w:val="20E4671F"/>
    <w:rsid w:val="20E48B45"/>
    <w:rsid w:val="20E5F1CB"/>
    <w:rsid w:val="20E6A595"/>
    <w:rsid w:val="20E75CF4"/>
    <w:rsid w:val="20E85833"/>
    <w:rsid w:val="20E86E28"/>
    <w:rsid w:val="20E87FDB"/>
    <w:rsid w:val="20E95F53"/>
    <w:rsid w:val="20E96495"/>
    <w:rsid w:val="20E9C166"/>
    <w:rsid w:val="20EA6E79"/>
    <w:rsid w:val="20EAAD43"/>
    <w:rsid w:val="20EAD8C1"/>
    <w:rsid w:val="20EBCF06"/>
    <w:rsid w:val="20EC7FB1"/>
    <w:rsid w:val="20ED1AF1"/>
    <w:rsid w:val="20ED5942"/>
    <w:rsid w:val="20EDB135"/>
    <w:rsid w:val="20EE654F"/>
    <w:rsid w:val="20EF0AF6"/>
    <w:rsid w:val="20F0AD54"/>
    <w:rsid w:val="20F16087"/>
    <w:rsid w:val="20F1C7C1"/>
    <w:rsid w:val="20F1D518"/>
    <w:rsid w:val="20F24CA3"/>
    <w:rsid w:val="20F3066E"/>
    <w:rsid w:val="20F3569D"/>
    <w:rsid w:val="20F39427"/>
    <w:rsid w:val="20F56DEC"/>
    <w:rsid w:val="20F575D5"/>
    <w:rsid w:val="20F5929F"/>
    <w:rsid w:val="20F625EB"/>
    <w:rsid w:val="20F6AF28"/>
    <w:rsid w:val="20F7665C"/>
    <w:rsid w:val="20F7728C"/>
    <w:rsid w:val="20F77FB5"/>
    <w:rsid w:val="20F7D4E6"/>
    <w:rsid w:val="20F94533"/>
    <w:rsid w:val="20FA0031"/>
    <w:rsid w:val="20FAFC2C"/>
    <w:rsid w:val="20FBB7BD"/>
    <w:rsid w:val="20FBC68A"/>
    <w:rsid w:val="20FC90E9"/>
    <w:rsid w:val="20FCCCA9"/>
    <w:rsid w:val="20FD3EF1"/>
    <w:rsid w:val="20FD6124"/>
    <w:rsid w:val="21001223"/>
    <w:rsid w:val="21009B1F"/>
    <w:rsid w:val="2100EA6B"/>
    <w:rsid w:val="21018D0C"/>
    <w:rsid w:val="2101C323"/>
    <w:rsid w:val="21022C1F"/>
    <w:rsid w:val="21024347"/>
    <w:rsid w:val="2102EA49"/>
    <w:rsid w:val="21031182"/>
    <w:rsid w:val="2103928B"/>
    <w:rsid w:val="2103C8D2"/>
    <w:rsid w:val="21042D2A"/>
    <w:rsid w:val="210476F6"/>
    <w:rsid w:val="2105A37C"/>
    <w:rsid w:val="2105E34C"/>
    <w:rsid w:val="210609B1"/>
    <w:rsid w:val="210641C6"/>
    <w:rsid w:val="21067059"/>
    <w:rsid w:val="21083480"/>
    <w:rsid w:val="21088F43"/>
    <w:rsid w:val="2108DD05"/>
    <w:rsid w:val="2108E579"/>
    <w:rsid w:val="210A43DF"/>
    <w:rsid w:val="210ADB93"/>
    <w:rsid w:val="210C7CD6"/>
    <w:rsid w:val="210C7F31"/>
    <w:rsid w:val="210C890E"/>
    <w:rsid w:val="210CB4D3"/>
    <w:rsid w:val="210CCC1D"/>
    <w:rsid w:val="210CD133"/>
    <w:rsid w:val="210CF279"/>
    <w:rsid w:val="210DB2FA"/>
    <w:rsid w:val="210E2757"/>
    <w:rsid w:val="210F8E24"/>
    <w:rsid w:val="2111C11A"/>
    <w:rsid w:val="2111D9AB"/>
    <w:rsid w:val="211234C3"/>
    <w:rsid w:val="2112A9BC"/>
    <w:rsid w:val="2112EBFD"/>
    <w:rsid w:val="21133DF4"/>
    <w:rsid w:val="21134042"/>
    <w:rsid w:val="21137EF3"/>
    <w:rsid w:val="21139E09"/>
    <w:rsid w:val="2113A654"/>
    <w:rsid w:val="2113ECA3"/>
    <w:rsid w:val="2114047E"/>
    <w:rsid w:val="21145E18"/>
    <w:rsid w:val="2114786E"/>
    <w:rsid w:val="211591D6"/>
    <w:rsid w:val="2115D6AE"/>
    <w:rsid w:val="21164909"/>
    <w:rsid w:val="21179C9F"/>
    <w:rsid w:val="2117C956"/>
    <w:rsid w:val="21180D8F"/>
    <w:rsid w:val="21186543"/>
    <w:rsid w:val="2118C180"/>
    <w:rsid w:val="21190F2E"/>
    <w:rsid w:val="2119B6C4"/>
    <w:rsid w:val="211A4D28"/>
    <w:rsid w:val="211AD3F3"/>
    <w:rsid w:val="211B6BDC"/>
    <w:rsid w:val="211B8F96"/>
    <w:rsid w:val="211EDC86"/>
    <w:rsid w:val="211F32E7"/>
    <w:rsid w:val="211F810D"/>
    <w:rsid w:val="211F8BCB"/>
    <w:rsid w:val="2120C01A"/>
    <w:rsid w:val="2120D3F2"/>
    <w:rsid w:val="2120F691"/>
    <w:rsid w:val="21219D3A"/>
    <w:rsid w:val="2121EF03"/>
    <w:rsid w:val="21230223"/>
    <w:rsid w:val="21236E2D"/>
    <w:rsid w:val="212381F3"/>
    <w:rsid w:val="21240444"/>
    <w:rsid w:val="2124F362"/>
    <w:rsid w:val="2124F6B9"/>
    <w:rsid w:val="21251FE0"/>
    <w:rsid w:val="2125AFE8"/>
    <w:rsid w:val="2126F56C"/>
    <w:rsid w:val="2127A894"/>
    <w:rsid w:val="212830E3"/>
    <w:rsid w:val="212874D3"/>
    <w:rsid w:val="2129F216"/>
    <w:rsid w:val="212A3A6D"/>
    <w:rsid w:val="212ACAFA"/>
    <w:rsid w:val="212B45D5"/>
    <w:rsid w:val="212B8D9D"/>
    <w:rsid w:val="212C0825"/>
    <w:rsid w:val="212D1290"/>
    <w:rsid w:val="212D3F3C"/>
    <w:rsid w:val="212E7CF4"/>
    <w:rsid w:val="212EAF93"/>
    <w:rsid w:val="212EDA04"/>
    <w:rsid w:val="212F1466"/>
    <w:rsid w:val="212F493C"/>
    <w:rsid w:val="212F4CFE"/>
    <w:rsid w:val="212F9EA1"/>
    <w:rsid w:val="212FDC85"/>
    <w:rsid w:val="212FE6AA"/>
    <w:rsid w:val="2130316A"/>
    <w:rsid w:val="2130DB12"/>
    <w:rsid w:val="21315BAD"/>
    <w:rsid w:val="21318BBC"/>
    <w:rsid w:val="2132EDC7"/>
    <w:rsid w:val="21334CA4"/>
    <w:rsid w:val="21342825"/>
    <w:rsid w:val="213487E0"/>
    <w:rsid w:val="2134AAC3"/>
    <w:rsid w:val="2134ED07"/>
    <w:rsid w:val="2135C4A5"/>
    <w:rsid w:val="21365718"/>
    <w:rsid w:val="213666D4"/>
    <w:rsid w:val="2136C603"/>
    <w:rsid w:val="2136FFEE"/>
    <w:rsid w:val="2137DF80"/>
    <w:rsid w:val="21388F9D"/>
    <w:rsid w:val="2138E9BD"/>
    <w:rsid w:val="21394160"/>
    <w:rsid w:val="21395EF4"/>
    <w:rsid w:val="213A1EAD"/>
    <w:rsid w:val="213A6350"/>
    <w:rsid w:val="213B9A9F"/>
    <w:rsid w:val="213C1393"/>
    <w:rsid w:val="213CF32B"/>
    <w:rsid w:val="213CF5AD"/>
    <w:rsid w:val="213D3E3A"/>
    <w:rsid w:val="213D4E46"/>
    <w:rsid w:val="213DDAB1"/>
    <w:rsid w:val="213E0373"/>
    <w:rsid w:val="213E92CF"/>
    <w:rsid w:val="213EAB13"/>
    <w:rsid w:val="213EEED2"/>
    <w:rsid w:val="213F17D3"/>
    <w:rsid w:val="213FDB15"/>
    <w:rsid w:val="214044F9"/>
    <w:rsid w:val="2140D199"/>
    <w:rsid w:val="21411FBF"/>
    <w:rsid w:val="2141DE1F"/>
    <w:rsid w:val="214248B2"/>
    <w:rsid w:val="21429D9D"/>
    <w:rsid w:val="2142BDC0"/>
    <w:rsid w:val="21433BAE"/>
    <w:rsid w:val="21436E43"/>
    <w:rsid w:val="2143A331"/>
    <w:rsid w:val="21441FB2"/>
    <w:rsid w:val="21451844"/>
    <w:rsid w:val="2145A577"/>
    <w:rsid w:val="2147B22E"/>
    <w:rsid w:val="2147B9BC"/>
    <w:rsid w:val="2147D955"/>
    <w:rsid w:val="2147FBFA"/>
    <w:rsid w:val="214809C5"/>
    <w:rsid w:val="214826CB"/>
    <w:rsid w:val="214885EB"/>
    <w:rsid w:val="2149471C"/>
    <w:rsid w:val="214A3794"/>
    <w:rsid w:val="214B0D34"/>
    <w:rsid w:val="214B2604"/>
    <w:rsid w:val="214B28A4"/>
    <w:rsid w:val="214B31D7"/>
    <w:rsid w:val="214B351F"/>
    <w:rsid w:val="214B4FD8"/>
    <w:rsid w:val="214B514B"/>
    <w:rsid w:val="214B7AEB"/>
    <w:rsid w:val="214BD04C"/>
    <w:rsid w:val="214C02B1"/>
    <w:rsid w:val="214C0D08"/>
    <w:rsid w:val="214C2EE6"/>
    <w:rsid w:val="214C5B45"/>
    <w:rsid w:val="214C985C"/>
    <w:rsid w:val="214D61FD"/>
    <w:rsid w:val="214DB9AB"/>
    <w:rsid w:val="214DD92C"/>
    <w:rsid w:val="214DE54C"/>
    <w:rsid w:val="214E0413"/>
    <w:rsid w:val="214F8395"/>
    <w:rsid w:val="214FBCE0"/>
    <w:rsid w:val="214FCA1A"/>
    <w:rsid w:val="214FF4EF"/>
    <w:rsid w:val="21502671"/>
    <w:rsid w:val="21503DAC"/>
    <w:rsid w:val="2151E382"/>
    <w:rsid w:val="2152D395"/>
    <w:rsid w:val="215300F3"/>
    <w:rsid w:val="215321FD"/>
    <w:rsid w:val="215414F3"/>
    <w:rsid w:val="21544D57"/>
    <w:rsid w:val="21548C64"/>
    <w:rsid w:val="21552466"/>
    <w:rsid w:val="21565F2B"/>
    <w:rsid w:val="2156B52C"/>
    <w:rsid w:val="2156D3D4"/>
    <w:rsid w:val="21573E30"/>
    <w:rsid w:val="2157E99E"/>
    <w:rsid w:val="2157F613"/>
    <w:rsid w:val="2159103F"/>
    <w:rsid w:val="21591139"/>
    <w:rsid w:val="215975F8"/>
    <w:rsid w:val="21598334"/>
    <w:rsid w:val="2159F3A6"/>
    <w:rsid w:val="215AAE8A"/>
    <w:rsid w:val="215AB211"/>
    <w:rsid w:val="215C3C27"/>
    <w:rsid w:val="215E12E2"/>
    <w:rsid w:val="215E2F48"/>
    <w:rsid w:val="215E511F"/>
    <w:rsid w:val="215EBC82"/>
    <w:rsid w:val="215EFF97"/>
    <w:rsid w:val="215F20D2"/>
    <w:rsid w:val="215F8F8D"/>
    <w:rsid w:val="215FA369"/>
    <w:rsid w:val="21604C48"/>
    <w:rsid w:val="21615382"/>
    <w:rsid w:val="2161C343"/>
    <w:rsid w:val="216207E2"/>
    <w:rsid w:val="21625E43"/>
    <w:rsid w:val="21627E54"/>
    <w:rsid w:val="2162D796"/>
    <w:rsid w:val="2163E112"/>
    <w:rsid w:val="2165C11F"/>
    <w:rsid w:val="2165CB6D"/>
    <w:rsid w:val="21667568"/>
    <w:rsid w:val="21669E94"/>
    <w:rsid w:val="2166D325"/>
    <w:rsid w:val="216755AA"/>
    <w:rsid w:val="2167B2CE"/>
    <w:rsid w:val="2167BB24"/>
    <w:rsid w:val="2167CFBF"/>
    <w:rsid w:val="21686775"/>
    <w:rsid w:val="2168F3AB"/>
    <w:rsid w:val="2169172C"/>
    <w:rsid w:val="21699404"/>
    <w:rsid w:val="2169EF61"/>
    <w:rsid w:val="216A6E3B"/>
    <w:rsid w:val="216B573E"/>
    <w:rsid w:val="216C1A17"/>
    <w:rsid w:val="216CEAD4"/>
    <w:rsid w:val="216CFD4A"/>
    <w:rsid w:val="216D1B3E"/>
    <w:rsid w:val="216E6D2F"/>
    <w:rsid w:val="216F15BA"/>
    <w:rsid w:val="216F8E5E"/>
    <w:rsid w:val="216FD029"/>
    <w:rsid w:val="216FDE8C"/>
    <w:rsid w:val="216FFFBF"/>
    <w:rsid w:val="2170FAF3"/>
    <w:rsid w:val="21710A7B"/>
    <w:rsid w:val="2172D275"/>
    <w:rsid w:val="2172EF4D"/>
    <w:rsid w:val="21736D99"/>
    <w:rsid w:val="2173D85D"/>
    <w:rsid w:val="217541E1"/>
    <w:rsid w:val="21756C1E"/>
    <w:rsid w:val="21759395"/>
    <w:rsid w:val="217660CF"/>
    <w:rsid w:val="2176EEEE"/>
    <w:rsid w:val="2177A50D"/>
    <w:rsid w:val="2178519D"/>
    <w:rsid w:val="21790C0E"/>
    <w:rsid w:val="2179A5AD"/>
    <w:rsid w:val="2179DDED"/>
    <w:rsid w:val="2179EC87"/>
    <w:rsid w:val="217AF771"/>
    <w:rsid w:val="217AFDB5"/>
    <w:rsid w:val="217B77C4"/>
    <w:rsid w:val="217B7DDD"/>
    <w:rsid w:val="217C2BDD"/>
    <w:rsid w:val="217C723E"/>
    <w:rsid w:val="217D43DB"/>
    <w:rsid w:val="217E06C2"/>
    <w:rsid w:val="217E11E2"/>
    <w:rsid w:val="217F4A0A"/>
    <w:rsid w:val="217F8563"/>
    <w:rsid w:val="217FD121"/>
    <w:rsid w:val="218050A6"/>
    <w:rsid w:val="2182EB56"/>
    <w:rsid w:val="2182F6AD"/>
    <w:rsid w:val="2183ADF2"/>
    <w:rsid w:val="21844BE9"/>
    <w:rsid w:val="21860F53"/>
    <w:rsid w:val="21864792"/>
    <w:rsid w:val="2187A022"/>
    <w:rsid w:val="21889A7F"/>
    <w:rsid w:val="21890B50"/>
    <w:rsid w:val="218920AD"/>
    <w:rsid w:val="218B2F81"/>
    <w:rsid w:val="218B5802"/>
    <w:rsid w:val="218B724F"/>
    <w:rsid w:val="218C049E"/>
    <w:rsid w:val="218C4109"/>
    <w:rsid w:val="218DCC47"/>
    <w:rsid w:val="218DFCD9"/>
    <w:rsid w:val="218FE322"/>
    <w:rsid w:val="21907EFA"/>
    <w:rsid w:val="2190BA24"/>
    <w:rsid w:val="2190EF98"/>
    <w:rsid w:val="21911130"/>
    <w:rsid w:val="21917941"/>
    <w:rsid w:val="219243C3"/>
    <w:rsid w:val="21932883"/>
    <w:rsid w:val="21936C9A"/>
    <w:rsid w:val="2193C381"/>
    <w:rsid w:val="2194CE4A"/>
    <w:rsid w:val="2194FC60"/>
    <w:rsid w:val="21951E74"/>
    <w:rsid w:val="219666E1"/>
    <w:rsid w:val="2196AD61"/>
    <w:rsid w:val="2196E44A"/>
    <w:rsid w:val="219730F1"/>
    <w:rsid w:val="2197D0A7"/>
    <w:rsid w:val="219A3945"/>
    <w:rsid w:val="219ABB06"/>
    <w:rsid w:val="219D1AD6"/>
    <w:rsid w:val="219D6C7B"/>
    <w:rsid w:val="219E3BE8"/>
    <w:rsid w:val="219F7029"/>
    <w:rsid w:val="21A00831"/>
    <w:rsid w:val="21A03A34"/>
    <w:rsid w:val="21A0C5CD"/>
    <w:rsid w:val="21A0F36F"/>
    <w:rsid w:val="21A159FC"/>
    <w:rsid w:val="21A19897"/>
    <w:rsid w:val="21A1A941"/>
    <w:rsid w:val="21A25828"/>
    <w:rsid w:val="21A2A295"/>
    <w:rsid w:val="21A3A67C"/>
    <w:rsid w:val="21A3A997"/>
    <w:rsid w:val="21A3B963"/>
    <w:rsid w:val="21A42BEE"/>
    <w:rsid w:val="21A4737E"/>
    <w:rsid w:val="21A55C75"/>
    <w:rsid w:val="21A57F3A"/>
    <w:rsid w:val="21A60C57"/>
    <w:rsid w:val="21A66554"/>
    <w:rsid w:val="21A6E520"/>
    <w:rsid w:val="21A7A3D6"/>
    <w:rsid w:val="21A93D8A"/>
    <w:rsid w:val="21A9A6C9"/>
    <w:rsid w:val="21A9F302"/>
    <w:rsid w:val="21AC634E"/>
    <w:rsid w:val="21ACC285"/>
    <w:rsid w:val="21AD2AF3"/>
    <w:rsid w:val="21AE6FA2"/>
    <w:rsid w:val="21AFC8E7"/>
    <w:rsid w:val="21B01F4C"/>
    <w:rsid w:val="21B0EEC6"/>
    <w:rsid w:val="21B0EF74"/>
    <w:rsid w:val="21B0EFF7"/>
    <w:rsid w:val="21B19061"/>
    <w:rsid w:val="21B1A1AF"/>
    <w:rsid w:val="21B1F687"/>
    <w:rsid w:val="21B224FD"/>
    <w:rsid w:val="21B366E8"/>
    <w:rsid w:val="21B37B1A"/>
    <w:rsid w:val="21B4E075"/>
    <w:rsid w:val="21B4F257"/>
    <w:rsid w:val="21B4FA89"/>
    <w:rsid w:val="21B584B2"/>
    <w:rsid w:val="21B5C144"/>
    <w:rsid w:val="21B677B4"/>
    <w:rsid w:val="21B67909"/>
    <w:rsid w:val="21B71E46"/>
    <w:rsid w:val="21B754A8"/>
    <w:rsid w:val="21B7856D"/>
    <w:rsid w:val="21B7915E"/>
    <w:rsid w:val="21B7A78E"/>
    <w:rsid w:val="21B87499"/>
    <w:rsid w:val="21B87961"/>
    <w:rsid w:val="21B9629D"/>
    <w:rsid w:val="21BA9DE0"/>
    <w:rsid w:val="21BC3AFC"/>
    <w:rsid w:val="21BC4836"/>
    <w:rsid w:val="21BC82FF"/>
    <w:rsid w:val="21BD4FB6"/>
    <w:rsid w:val="21BD7541"/>
    <w:rsid w:val="21BDC05C"/>
    <w:rsid w:val="21BDF1F8"/>
    <w:rsid w:val="21BEC650"/>
    <w:rsid w:val="21BEEC04"/>
    <w:rsid w:val="21BF07E3"/>
    <w:rsid w:val="21BF3FA8"/>
    <w:rsid w:val="21BF6F8A"/>
    <w:rsid w:val="21BFE399"/>
    <w:rsid w:val="21BFE899"/>
    <w:rsid w:val="21C065EA"/>
    <w:rsid w:val="21C0E124"/>
    <w:rsid w:val="21C1040A"/>
    <w:rsid w:val="21C11603"/>
    <w:rsid w:val="21C11C1E"/>
    <w:rsid w:val="21C18343"/>
    <w:rsid w:val="21C1DA04"/>
    <w:rsid w:val="21C2141C"/>
    <w:rsid w:val="21C21C23"/>
    <w:rsid w:val="21C3511A"/>
    <w:rsid w:val="21C3CB60"/>
    <w:rsid w:val="21C3EC89"/>
    <w:rsid w:val="21C40ED7"/>
    <w:rsid w:val="21C44B34"/>
    <w:rsid w:val="21C4D3D4"/>
    <w:rsid w:val="21C54C7C"/>
    <w:rsid w:val="21C56799"/>
    <w:rsid w:val="21C690FE"/>
    <w:rsid w:val="21C6FC1A"/>
    <w:rsid w:val="21C7215C"/>
    <w:rsid w:val="21C76AEC"/>
    <w:rsid w:val="21C783E7"/>
    <w:rsid w:val="21C786B3"/>
    <w:rsid w:val="21C7D7B5"/>
    <w:rsid w:val="21C7F197"/>
    <w:rsid w:val="21C81340"/>
    <w:rsid w:val="21C88564"/>
    <w:rsid w:val="21C89A7F"/>
    <w:rsid w:val="21C8C5C2"/>
    <w:rsid w:val="21C8FBB5"/>
    <w:rsid w:val="21C9452C"/>
    <w:rsid w:val="21C9A274"/>
    <w:rsid w:val="21CA6BE3"/>
    <w:rsid w:val="21CACDDD"/>
    <w:rsid w:val="21CBC807"/>
    <w:rsid w:val="21CC2EF3"/>
    <w:rsid w:val="21CC8296"/>
    <w:rsid w:val="21CCE0A7"/>
    <w:rsid w:val="21CCF6BB"/>
    <w:rsid w:val="21CD128B"/>
    <w:rsid w:val="21CDD052"/>
    <w:rsid w:val="21CE87DF"/>
    <w:rsid w:val="21CF024D"/>
    <w:rsid w:val="21D00873"/>
    <w:rsid w:val="21D00A72"/>
    <w:rsid w:val="21D1240D"/>
    <w:rsid w:val="21D22F85"/>
    <w:rsid w:val="21D2353F"/>
    <w:rsid w:val="21D24936"/>
    <w:rsid w:val="21D29FDD"/>
    <w:rsid w:val="21D2D170"/>
    <w:rsid w:val="21D4686A"/>
    <w:rsid w:val="21D4799E"/>
    <w:rsid w:val="21D4EA9F"/>
    <w:rsid w:val="21D4EE80"/>
    <w:rsid w:val="21D5DEA1"/>
    <w:rsid w:val="21D6DF06"/>
    <w:rsid w:val="21D7B4D7"/>
    <w:rsid w:val="21D7F00D"/>
    <w:rsid w:val="21D7FB1A"/>
    <w:rsid w:val="21D8AF39"/>
    <w:rsid w:val="21D97806"/>
    <w:rsid w:val="21D9DB13"/>
    <w:rsid w:val="21DA5868"/>
    <w:rsid w:val="21DA8A20"/>
    <w:rsid w:val="21DACD68"/>
    <w:rsid w:val="21DB50B4"/>
    <w:rsid w:val="21DC2D23"/>
    <w:rsid w:val="21DD55E2"/>
    <w:rsid w:val="21DDA538"/>
    <w:rsid w:val="21DDCC90"/>
    <w:rsid w:val="21DF38B6"/>
    <w:rsid w:val="21DF9385"/>
    <w:rsid w:val="21DFC78B"/>
    <w:rsid w:val="21DFE0C4"/>
    <w:rsid w:val="21E0177C"/>
    <w:rsid w:val="21E053B0"/>
    <w:rsid w:val="21E08375"/>
    <w:rsid w:val="21E09428"/>
    <w:rsid w:val="21E099F5"/>
    <w:rsid w:val="21E15054"/>
    <w:rsid w:val="21E16F73"/>
    <w:rsid w:val="21E18184"/>
    <w:rsid w:val="21E208FE"/>
    <w:rsid w:val="21E23301"/>
    <w:rsid w:val="21E27EAC"/>
    <w:rsid w:val="21E3957A"/>
    <w:rsid w:val="21E48390"/>
    <w:rsid w:val="21E52F42"/>
    <w:rsid w:val="21E5ED44"/>
    <w:rsid w:val="21E6DD86"/>
    <w:rsid w:val="21E79821"/>
    <w:rsid w:val="21E87107"/>
    <w:rsid w:val="21E87866"/>
    <w:rsid w:val="21E8A6D1"/>
    <w:rsid w:val="21E8AC89"/>
    <w:rsid w:val="21E8E1C2"/>
    <w:rsid w:val="21E8EE2D"/>
    <w:rsid w:val="21EA882D"/>
    <w:rsid w:val="21EABBFA"/>
    <w:rsid w:val="21EAC018"/>
    <w:rsid w:val="21EAC8B3"/>
    <w:rsid w:val="21EB1057"/>
    <w:rsid w:val="21EBDA62"/>
    <w:rsid w:val="21EBDB25"/>
    <w:rsid w:val="21EC175B"/>
    <w:rsid w:val="21EC3195"/>
    <w:rsid w:val="21EC4254"/>
    <w:rsid w:val="21EC4C42"/>
    <w:rsid w:val="21ECEF8C"/>
    <w:rsid w:val="21ECF4DE"/>
    <w:rsid w:val="21ED4E74"/>
    <w:rsid w:val="21ED7CEE"/>
    <w:rsid w:val="21EDE3C6"/>
    <w:rsid w:val="21EDFB6B"/>
    <w:rsid w:val="21EE3B8B"/>
    <w:rsid w:val="21EE5096"/>
    <w:rsid w:val="21EEA359"/>
    <w:rsid w:val="21EF7AF1"/>
    <w:rsid w:val="21EFF34E"/>
    <w:rsid w:val="21F0A15F"/>
    <w:rsid w:val="21F0A446"/>
    <w:rsid w:val="21F1041C"/>
    <w:rsid w:val="21F229B1"/>
    <w:rsid w:val="21F22ED2"/>
    <w:rsid w:val="21F2E521"/>
    <w:rsid w:val="21F3370A"/>
    <w:rsid w:val="21F3AB1B"/>
    <w:rsid w:val="21F3DA39"/>
    <w:rsid w:val="21F460F7"/>
    <w:rsid w:val="21F509AB"/>
    <w:rsid w:val="21F54949"/>
    <w:rsid w:val="21F59A43"/>
    <w:rsid w:val="21F5A0A6"/>
    <w:rsid w:val="21F5D369"/>
    <w:rsid w:val="21F6ACB6"/>
    <w:rsid w:val="21F7D2BF"/>
    <w:rsid w:val="21F7FD2A"/>
    <w:rsid w:val="21F81C27"/>
    <w:rsid w:val="21F84F48"/>
    <w:rsid w:val="21F936E1"/>
    <w:rsid w:val="21F98F03"/>
    <w:rsid w:val="21F9B70C"/>
    <w:rsid w:val="21FA19CE"/>
    <w:rsid w:val="21FA8B07"/>
    <w:rsid w:val="21FB0A4C"/>
    <w:rsid w:val="21FB222D"/>
    <w:rsid w:val="21FBAD61"/>
    <w:rsid w:val="21FBF409"/>
    <w:rsid w:val="21FC07B1"/>
    <w:rsid w:val="21FCF5B7"/>
    <w:rsid w:val="21FD8A15"/>
    <w:rsid w:val="21FD8B17"/>
    <w:rsid w:val="21FDB674"/>
    <w:rsid w:val="21FDFB83"/>
    <w:rsid w:val="21FE0EBB"/>
    <w:rsid w:val="21FE9F1E"/>
    <w:rsid w:val="21FEBE5C"/>
    <w:rsid w:val="21FEEBDE"/>
    <w:rsid w:val="21FF29F0"/>
    <w:rsid w:val="21FF51C5"/>
    <w:rsid w:val="21FF82D9"/>
    <w:rsid w:val="21FF99D9"/>
    <w:rsid w:val="21FFC210"/>
    <w:rsid w:val="22000410"/>
    <w:rsid w:val="2200C370"/>
    <w:rsid w:val="22015C44"/>
    <w:rsid w:val="2201D5FB"/>
    <w:rsid w:val="22020F18"/>
    <w:rsid w:val="22025524"/>
    <w:rsid w:val="22032147"/>
    <w:rsid w:val="2203386D"/>
    <w:rsid w:val="22036A34"/>
    <w:rsid w:val="220420B4"/>
    <w:rsid w:val="22043B52"/>
    <w:rsid w:val="2204D105"/>
    <w:rsid w:val="22051D68"/>
    <w:rsid w:val="2205CB4A"/>
    <w:rsid w:val="2205D3A2"/>
    <w:rsid w:val="2206685D"/>
    <w:rsid w:val="2206C796"/>
    <w:rsid w:val="2207B2B8"/>
    <w:rsid w:val="220800EA"/>
    <w:rsid w:val="220867E2"/>
    <w:rsid w:val="22097C33"/>
    <w:rsid w:val="220A0167"/>
    <w:rsid w:val="220A06D9"/>
    <w:rsid w:val="220A4FF7"/>
    <w:rsid w:val="220AF9AD"/>
    <w:rsid w:val="220BBAD1"/>
    <w:rsid w:val="220C133C"/>
    <w:rsid w:val="220C5475"/>
    <w:rsid w:val="220D60B2"/>
    <w:rsid w:val="220E56B6"/>
    <w:rsid w:val="220EF089"/>
    <w:rsid w:val="220FABD3"/>
    <w:rsid w:val="22111E45"/>
    <w:rsid w:val="22113460"/>
    <w:rsid w:val="221179BD"/>
    <w:rsid w:val="2211A417"/>
    <w:rsid w:val="2211B660"/>
    <w:rsid w:val="2211F368"/>
    <w:rsid w:val="22134CAC"/>
    <w:rsid w:val="2214F81F"/>
    <w:rsid w:val="221562ED"/>
    <w:rsid w:val="2216D8EE"/>
    <w:rsid w:val="2217585E"/>
    <w:rsid w:val="2217AD1F"/>
    <w:rsid w:val="2217EB7F"/>
    <w:rsid w:val="2218040D"/>
    <w:rsid w:val="2218298E"/>
    <w:rsid w:val="221834D3"/>
    <w:rsid w:val="221888A7"/>
    <w:rsid w:val="221930CD"/>
    <w:rsid w:val="22193596"/>
    <w:rsid w:val="2219B334"/>
    <w:rsid w:val="221ACA4B"/>
    <w:rsid w:val="221AD594"/>
    <w:rsid w:val="221BCEAD"/>
    <w:rsid w:val="221C4FDA"/>
    <w:rsid w:val="221C5EF4"/>
    <w:rsid w:val="221C74AE"/>
    <w:rsid w:val="221C869D"/>
    <w:rsid w:val="221D62AD"/>
    <w:rsid w:val="22202F24"/>
    <w:rsid w:val="222205E8"/>
    <w:rsid w:val="2222AA69"/>
    <w:rsid w:val="2223F167"/>
    <w:rsid w:val="22241226"/>
    <w:rsid w:val="22257928"/>
    <w:rsid w:val="22258A73"/>
    <w:rsid w:val="2225DB2B"/>
    <w:rsid w:val="2227296D"/>
    <w:rsid w:val="2227A80C"/>
    <w:rsid w:val="2228AA0D"/>
    <w:rsid w:val="22295F85"/>
    <w:rsid w:val="2229B3BA"/>
    <w:rsid w:val="222A1291"/>
    <w:rsid w:val="222A129D"/>
    <w:rsid w:val="222A3231"/>
    <w:rsid w:val="222AA83F"/>
    <w:rsid w:val="222B174E"/>
    <w:rsid w:val="222B88EE"/>
    <w:rsid w:val="222BC870"/>
    <w:rsid w:val="222CF85E"/>
    <w:rsid w:val="222D946B"/>
    <w:rsid w:val="222DEFE4"/>
    <w:rsid w:val="222E2AC5"/>
    <w:rsid w:val="222EED74"/>
    <w:rsid w:val="2230E45F"/>
    <w:rsid w:val="223167FB"/>
    <w:rsid w:val="22324CC3"/>
    <w:rsid w:val="22326D59"/>
    <w:rsid w:val="2232BAA6"/>
    <w:rsid w:val="2232EAB6"/>
    <w:rsid w:val="22331D99"/>
    <w:rsid w:val="22343F81"/>
    <w:rsid w:val="22346924"/>
    <w:rsid w:val="22347278"/>
    <w:rsid w:val="2234C0D8"/>
    <w:rsid w:val="2234EA53"/>
    <w:rsid w:val="2236586F"/>
    <w:rsid w:val="2236B2D2"/>
    <w:rsid w:val="22370DBF"/>
    <w:rsid w:val="22376AFF"/>
    <w:rsid w:val="22378BBE"/>
    <w:rsid w:val="2237B996"/>
    <w:rsid w:val="22387798"/>
    <w:rsid w:val="22388193"/>
    <w:rsid w:val="223A1D5C"/>
    <w:rsid w:val="223A22C6"/>
    <w:rsid w:val="223A403B"/>
    <w:rsid w:val="223A768E"/>
    <w:rsid w:val="223B6266"/>
    <w:rsid w:val="223BBE36"/>
    <w:rsid w:val="223C0349"/>
    <w:rsid w:val="223C6A76"/>
    <w:rsid w:val="223D1CDF"/>
    <w:rsid w:val="223DD0B2"/>
    <w:rsid w:val="223E248E"/>
    <w:rsid w:val="223F641A"/>
    <w:rsid w:val="2240A57A"/>
    <w:rsid w:val="2240B186"/>
    <w:rsid w:val="22419EE5"/>
    <w:rsid w:val="2241FE5D"/>
    <w:rsid w:val="22420D85"/>
    <w:rsid w:val="22432459"/>
    <w:rsid w:val="22432C98"/>
    <w:rsid w:val="22435853"/>
    <w:rsid w:val="2243F1B8"/>
    <w:rsid w:val="224468E6"/>
    <w:rsid w:val="2244E66D"/>
    <w:rsid w:val="224508C0"/>
    <w:rsid w:val="22453360"/>
    <w:rsid w:val="2245618A"/>
    <w:rsid w:val="22458114"/>
    <w:rsid w:val="2245CA46"/>
    <w:rsid w:val="2246EBCF"/>
    <w:rsid w:val="2247052D"/>
    <w:rsid w:val="224706C6"/>
    <w:rsid w:val="2247454B"/>
    <w:rsid w:val="224883C8"/>
    <w:rsid w:val="2248950D"/>
    <w:rsid w:val="2249C2DE"/>
    <w:rsid w:val="224A1234"/>
    <w:rsid w:val="224A71FE"/>
    <w:rsid w:val="224B68EA"/>
    <w:rsid w:val="224C51D3"/>
    <w:rsid w:val="224C532E"/>
    <w:rsid w:val="224C8BBD"/>
    <w:rsid w:val="224DCA10"/>
    <w:rsid w:val="224E5701"/>
    <w:rsid w:val="224EBCE8"/>
    <w:rsid w:val="224EC2EF"/>
    <w:rsid w:val="224F404D"/>
    <w:rsid w:val="224F7475"/>
    <w:rsid w:val="224FFBF7"/>
    <w:rsid w:val="225098B4"/>
    <w:rsid w:val="22509FB9"/>
    <w:rsid w:val="2250AFE8"/>
    <w:rsid w:val="2250D080"/>
    <w:rsid w:val="22514B04"/>
    <w:rsid w:val="2251EBD1"/>
    <w:rsid w:val="225205AD"/>
    <w:rsid w:val="22521867"/>
    <w:rsid w:val="225223B6"/>
    <w:rsid w:val="225255DE"/>
    <w:rsid w:val="2253158B"/>
    <w:rsid w:val="22533624"/>
    <w:rsid w:val="2253D48B"/>
    <w:rsid w:val="22546ED3"/>
    <w:rsid w:val="22550B91"/>
    <w:rsid w:val="225564DA"/>
    <w:rsid w:val="2256853C"/>
    <w:rsid w:val="22584BDE"/>
    <w:rsid w:val="2258F926"/>
    <w:rsid w:val="22591E7F"/>
    <w:rsid w:val="2259B29F"/>
    <w:rsid w:val="225B048D"/>
    <w:rsid w:val="225B69CF"/>
    <w:rsid w:val="225BE83C"/>
    <w:rsid w:val="225C077A"/>
    <w:rsid w:val="225C4B18"/>
    <w:rsid w:val="225C951A"/>
    <w:rsid w:val="225CBC92"/>
    <w:rsid w:val="225E1E86"/>
    <w:rsid w:val="225E473C"/>
    <w:rsid w:val="225E76A9"/>
    <w:rsid w:val="225F5C97"/>
    <w:rsid w:val="225F80F0"/>
    <w:rsid w:val="225F91BD"/>
    <w:rsid w:val="22603323"/>
    <w:rsid w:val="22613D40"/>
    <w:rsid w:val="2261853B"/>
    <w:rsid w:val="226197AE"/>
    <w:rsid w:val="226197F7"/>
    <w:rsid w:val="22628338"/>
    <w:rsid w:val="22639745"/>
    <w:rsid w:val="2263A42E"/>
    <w:rsid w:val="2263C56E"/>
    <w:rsid w:val="226499CC"/>
    <w:rsid w:val="2264F0EF"/>
    <w:rsid w:val="2264F13E"/>
    <w:rsid w:val="22652482"/>
    <w:rsid w:val="22657C79"/>
    <w:rsid w:val="2265802A"/>
    <w:rsid w:val="2266862E"/>
    <w:rsid w:val="22683432"/>
    <w:rsid w:val="22685F71"/>
    <w:rsid w:val="2268F35F"/>
    <w:rsid w:val="22698AE6"/>
    <w:rsid w:val="2269F531"/>
    <w:rsid w:val="2269FE77"/>
    <w:rsid w:val="226A60AC"/>
    <w:rsid w:val="226B4C77"/>
    <w:rsid w:val="226C33A7"/>
    <w:rsid w:val="226C4D11"/>
    <w:rsid w:val="226CC63F"/>
    <w:rsid w:val="226CDBDE"/>
    <w:rsid w:val="226D3EA7"/>
    <w:rsid w:val="226D6978"/>
    <w:rsid w:val="226E5C4A"/>
    <w:rsid w:val="226E7D10"/>
    <w:rsid w:val="226E86E4"/>
    <w:rsid w:val="226E879C"/>
    <w:rsid w:val="226FB52B"/>
    <w:rsid w:val="227003D0"/>
    <w:rsid w:val="22703C4F"/>
    <w:rsid w:val="227059CD"/>
    <w:rsid w:val="22710D6B"/>
    <w:rsid w:val="22718C75"/>
    <w:rsid w:val="22720B37"/>
    <w:rsid w:val="22722180"/>
    <w:rsid w:val="227303AF"/>
    <w:rsid w:val="227352AD"/>
    <w:rsid w:val="22748FAB"/>
    <w:rsid w:val="22758227"/>
    <w:rsid w:val="2275F232"/>
    <w:rsid w:val="227762D9"/>
    <w:rsid w:val="22783D60"/>
    <w:rsid w:val="22786271"/>
    <w:rsid w:val="2278859A"/>
    <w:rsid w:val="2278C052"/>
    <w:rsid w:val="227942D5"/>
    <w:rsid w:val="2279CEC1"/>
    <w:rsid w:val="2279F786"/>
    <w:rsid w:val="227A7B17"/>
    <w:rsid w:val="227A80B5"/>
    <w:rsid w:val="227AF5D8"/>
    <w:rsid w:val="227BFB3F"/>
    <w:rsid w:val="227C649A"/>
    <w:rsid w:val="227C740A"/>
    <w:rsid w:val="227F6FDF"/>
    <w:rsid w:val="227FE8F8"/>
    <w:rsid w:val="228032E4"/>
    <w:rsid w:val="2280F73F"/>
    <w:rsid w:val="22810657"/>
    <w:rsid w:val="2281421E"/>
    <w:rsid w:val="228147D3"/>
    <w:rsid w:val="2281AD5A"/>
    <w:rsid w:val="2282764E"/>
    <w:rsid w:val="22827E2B"/>
    <w:rsid w:val="22829E41"/>
    <w:rsid w:val="22837870"/>
    <w:rsid w:val="22840752"/>
    <w:rsid w:val="22848229"/>
    <w:rsid w:val="22849A07"/>
    <w:rsid w:val="2284BBE1"/>
    <w:rsid w:val="22854C55"/>
    <w:rsid w:val="2285D6DA"/>
    <w:rsid w:val="2285E3D8"/>
    <w:rsid w:val="2285EE1D"/>
    <w:rsid w:val="22864FF1"/>
    <w:rsid w:val="22867CBC"/>
    <w:rsid w:val="2286B180"/>
    <w:rsid w:val="22881EA4"/>
    <w:rsid w:val="228899F6"/>
    <w:rsid w:val="228919F2"/>
    <w:rsid w:val="22892BD9"/>
    <w:rsid w:val="22894271"/>
    <w:rsid w:val="228955C4"/>
    <w:rsid w:val="2289983D"/>
    <w:rsid w:val="2289AD3A"/>
    <w:rsid w:val="2289BF42"/>
    <w:rsid w:val="2289F59C"/>
    <w:rsid w:val="228BA3B6"/>
    <w:rsid w:val="228BF1CD"/>
    <w:rsid w:val="228C84DC"/>
    <w:rsid w:val="228CF3FA"/>
    <w:rsid w:val="228DA7A6"/>
    <w:rsid w:val="228DBC82"/>
    <w:rsid w:val="228DEA8B"/>
    <w:rsid w:val="228E36AC"/>
    <w:rsid w:val="228F92A2"/>
    <w:rsid w:val="22900F12"/>
    <w:rsid w:val="22916951"/>
    <w:rsid w:val="2291C4F5"/>
    <w:rsid w:val="2292C54A"/>
    <w:rsid w:val="2292D88D"/>
    <w:rsid w:val="2292F1BC"/>
    <w:rsid w:val="2293A66F"/>
    <w:rsid w:val="2293D255"/>
    <w:rsid w:val="2294DF20"/>
    <w:rsid w:val="22954113"/>
    <w:rsid w:val="2296444A"/>
    <w:rsid w:val="2296F4AA"/>
    <w:rsid w:val="22976932"/>
    <w:rsid w:val="22979EC9"/>
    <w:rsid w:val="22998151"/>
    <w:rsid w:val="2299AA9C"/>
    <w:rsid w:val="2299B3A1"/>
    <w:rsid w:val="2299B49A"/>
    <w:rsid w:val="2299D178"/>
    <w:rsid w:val="2299F6B2"/>
    <w:rsid w:val="229ABA42"/>
    <w:rsid w:val="229B6E6F"/>
    <w:rsid w:val="229C676D"/>
    <w:rsid w:val="229D4AEA"/>
    <w:rsid w:val="229DDA8F"/>
    <w:rsid w:val="229DF88A"/>
    <w:rsid w:val="229E02EC"/>
    <w:rsid w:val="229E9654"/>
    <w:rsid w:val="229E9F80"/>
    <w:rsid w:val="229F47E4"/>
    <w:rsid w:val="229FB8A1"/>
    <w:rsid w:val="22A05E28"/>
    <w:rsid w:val="22A0840A"/>
    <w:rsid w:val="22A11946"/>
    <w:rsid w:val="22A17159"/>
    <w:rsid w:val="22A1F6DE"/>
    <w:rsid w:val="22A36EE6"/>
    <w:rsid w:val="22A42FE3"/>
    <w:rsid w:val="22A4466C"/>
    <w:rsid w:val="22A567F4"/>
    <w:rsid w:val="22A59321"/>
    <w:rsid w:val="22A697B7"/>
    <w:rsid w:val="22A7C7FE"/>
    <w:rsid w:val="22A90D0C"/>
    <w:rsid w:val="22A91A62"/>
    <w:rsid w:val="22A9682A"/>
    <w:rsid w:val="22AA4EF1"/>
    <w:rsid w:val="22AA7261"/>
    <w:rsid w:val="22AAFE89"/>
    <w:rsid w:val="22AB8CE8"/>
    <w:rsid w:val="22AB94DB"/>
    <w:rsid w:val="22ABABA8"/>
    <w:rsid w:val="22ABAFA9"/>
    <w:rsid w:val="22ABB5D7"/>
    <w:rsid w:val="22ABE34D"/>
    <w:rsid w:val="22ABF3C6"/>
    <w:rsid w:val="22AC430F"/>
    <w:rsid w:val="22ACC6AD"/>
    <w:rsid w:val="22AE5D6B"/>
    <w:rsid w:val="22AE7266"/>
    <w:rsid w:val="22AEC128"/>
    <w:rsid w:val="22AF11A8"/>
    <w:rsid w:val="22B010E6"/>
    <w:rsid w:val="22B06BAA"/>
    <w:rsid w:val="22B07D5A"/>
    <w:rsid w:val="22B11743"/>
    <w:rsid w:val="22B11C61"/>
    <w:rsid w:val="22B159F7"/>
    <w:rsid w:val="22B1727D"/>
    <w:rsid w:val="22B18F99"/>
    <w:rsid w:val="22B1994B"/>
    <w:rsid w:val="22B1FDE8"/>
    <w:rsid w:val="22B2CCAE"/>
    <w:rsid w:val="22B2DD2E"/>
    <w:rsid w:val="22B391B7"/>
    <w:rsid w:val="22B475C5"/>
    <w:rsid w:val="22B476F0"/>
    <w:rsid w:val="22B60A38"/>
    <w:rsid w:val="22B632A0"/>
    <w:rsid w:val="22B68A5E"/>
    <w:rsid w:val="22B6C113"/>
    <w:rsid w:val="22B70D74"/>
    <w:rsid w:val="22B75EC9"/>
    <w:rsid w:val="22B80873"/>
    <w:rsid w:val="22B86CF3"/>
    <w:rsid w:val="22B8CE7D"/>
    <w:rsid w:val="22B9D973"/>
    <w:rsid w:val="22BAF756"/>
    <w:rsid w:val="22BCC53F"/>
    <w:rsid w:val="22BCD51B"/>
    <w:rsid w:val="22BD5472"/>
    <w:rsid w:val="22BDE1B9"/>
    <w:rsid w:val="22BDEB68"/>
    <w:rsid w:val="22BEFEE2"/>
    <w:rsid w:val="22BF1965"/>
    <w:rsid w:val="22BF8993"/>
    <w:rsid w:val="22C03637"/>
    <w:rsid w:val="22C055A3"/>
    <w:rsid w:val="22C22603"/>
    <w:rsid w:val="22C27767"/>
    <w:rsid w:val="22C2BA06"/>
    <w:rsid w:val="22C34884"/>
    <w:rsid w:val="22C3A85E"/>
    <w:rsid w:val="22C41D31"/>
    <w:rsid w:val="22C4397D"/>
    <w:rsid w:val="22C442E9"/>
    <w:rsid w:val="22C52593"/>
    <w:rsid w:val="22C5768C"/>
    <w:rsid w:val="22C5BFBD"/>
    <w:rsid w:val="22C8360F"/>
    <w:rsid w:val="22C83A9F"/>
    <w:rsid w:val="22C84B65"/>
    <w:rsid w:val="22C87A4D"/>
    <w:rsid w:val="22C8EC72"/>
    <w:rsid w:val="22C9AE15"/>
    <w:rsid w:val="22CA84FF"/>
    <w:rsid w:val="22CB0BFF"/>
    <w:rsid w:val="22CB35B7"/>
    <w:rsid w:val="22CB60C4"/>
    <w:rsid w:val="22CB78CC"/>
    <w:rsid w:val="22CC0D69"/>
    <w:rsid w:val="22CC852D"/>
    <w:rsid w:val="22CE289B"/>
    <w:rsid w:val="22CE2FAD"/>
    <w:rsid w:val="22CE83F0"/>
    <w:rsid w:val="22CE920E"/>
    <w:rsid w:val="22CF4D36"/>
    <w:rsid w:val="22CF7515"/>
    <w:rsid w:val="22CFCD4F"/>
    <w:rsid w:val="22D0061A"/>
    <w:rsid w:val="22D040A9"/>
    <w:rsid w:val="22D09268"/>
    <w:rsid w:val="22D1752F"/>
    <w:rsid w:val="22D1D721"/>
    <w:rsid w:val="22D2DF82"/>
    <w:rsid w:val="22D2FC75"/>
    <w:rsid w:val="22D36400"/>
    <w:rsid w:val="22D3C7AE"/>
    <w:rsid w:val="22D45707"/>
    <w:rsid w:val="22D48A3E"/>
    <w:rsid w:val="22D5138C"/>
    <w:rsid w:val="22D52B3F"/>
    <w:rsid w:val="22D62A09"/>
    <w:rsid w:val="22D636A5"/>
    <w:rsid w:val="22D6B8CD"/>
    <w:rsid w:val="22D729C4"/>
    <w:rsid w:val="22D760D5"/>
    <w:rsid w:val="22D79E1C"/>
    <w:rsid w:val="22D9AD88"/>
    <w:rsid w:val="22D9C35B"/>
    <w:rsid w:val="22D9EC46"/>
    <w:rsid w:val="22D9F618"/>
    <w:rsid w:val="22DA7F21"/>
    <w:rsid w:val="22DB190E"/>
    <w:rsid w:val="22DBA829"/>
    <w:rsid w:val="22DBDA53"/>
    <w:rsid w:val="22DC435E"/>
    <w:rsid w:val="22DC94D5"/>
    <w:rsid w:val="22DCD118"/>
    <w:rsid w:val="22DCD2A9"/>
    <w:rsid w:val="22DD418C"/>
    <w:rsid w:val="22DE4CC8"/>
    <w:rsid w:val="22DEC015"/>
    <w:rsid w:val="22DECB3F"/>
    <w:rsid w:val="22DF6E75"/>
    <w:rsid w:val="22DF8179"/>
    <w:rsid w:val="22E00D41"/>
    <w:rsid w:val="22E1769D"/>
    <w:rsid w:val="22E1B929"/>
    <w:rsid w:val="22E3A4DB"/>
    <w:rsid w:val="22E3C753"/>
    <w:rsid w:val="22E3DDC3"/>
    <w:rsid w:val="22E4799E"/>
    <w:rsid w:val="22E4D6BF"/>
    <w:rsid w:val="22E516C5"/>
    <w:rsid w:val="22E6B350"/>
    <w:rsid w:val="22E726A2"/>
    <w:rsid w:val="22E782D3"/>
    <w:rsid w:val="22E7A5AF"/>
    <w:rsid w:val="22E86706"/>
    <w:rsid w:val="22E886D1"/>
    <w:rsid w:val="22E8AF0C"/>
    <w:rsid w:val="22E9073E"/>
    <w:rsid w:val="22E93747"/>
    <w:rsid w:val="22E9DA53"/>
    <w:rsid w:val="22EADEE2"/>
    <w:rsid w:val="22EB09CD"/>
    <w:rsid w:val="22EC3609"/>
    <w:rsid w:val="22EC50B7"/>
    <w:rsid w:val="22ED845F"/>
    <w:rsid w:val="22EE1707"/>
    <w:rsid w:val="22EE4E5D"/>
    <w:rsid w:val="22EEBC1E"/>
    <w:rsid w:val="22EEC8DB"/>
    <w:rsid w:val="22EF289E"/>
    <w:rsid w:val="22F09F5B"/>
    <w:rsid w:val="22F0AA98"/>
    <w:rsid w:val="22F198EE"/>
    <w:rsid w:val="22F1ECEB"/>
    <w:rsid w:val="22F2B092"/>
    <w:rsid w:val="22F2CBEF"/>
    <w:rsid w:val="22F314E2"/>
    <w:rsid w:val="22F31DC0"/>
    <w:rsid w:val="22F37C90"/>
    <w:rsid w:val="22F41F1E"/>
    <w:rsid w:val="22F50D60"/>
    <w:rsid w:val="22F51BE4"/>
    <w:rsid w:val="22F52D1A"/>
    <w:rsid w:val="22F55854"/>
    <w:rsid w:val="22F59214"/>
    <w:rsid w:val="22F5C082"/>
    <w:rsid w:val="22F5CC6B"/>
    <w:rsid w:val="22F5ECF5"/>
    <w:rsid w:val="22F6846E"/>
    <w:rsid w:val="22F69932"/>
    <w:rsid w:val="22F7AF51"/>
    <w:rsid w:val="22F8035B"/>
    <w:rsid w:val="22F84D79"/>
    <w:rsid w:val="22F852AD"/>
    <w:rsid w:val="22F8B5DB"/>
    <w:rsid w:val="22F9C8C3"/>
    <w:rsid w:val="22F9EA94"/>
    <w:rsid w:val="22FAC9C3"/>
    <w:rsid w:val="22FAEC36"/>
    <w:rsid w:val="22FBD3E2"/>
    <w:rsid w:val="22FBEC4C"/>
    <w:rsid w:val="22FC9F89"/>
    <w:rsid w:val="22FCDA6E"/>
    <w:rsid w:val="22FD29DB"/>
    <w:rsid w:val="22FDCF15"/>
    <w:rsid w:val="22FED354"/>
    <w:rsid w:val="22FF034C"/>
    <w:rsid w:val="22FF591A"/>
    <w:rsid w:val="22FF5D33"/>
    <w:rsid w:val="22FFE6F9"/>
    <w:rsid w:val="23001A63"/>
    <w:rsid w:val="2301DB08"/>
    <w:rsid w:val="23020186"/>
    <w:rsid w:val="2302050B"/>
    <w:rsid w:val="230234BB"/>
    <w:rsid w:val="230384CC"/>
    <w:rsid w:val="23039FEE"/>
    <w:rsid w:val="23044A4A"/>
    <w:rsid w:val="23049D7B"/>
    <w:rsid w:val="2305347F"/>
    <w:rsid w:val="2305D2FC"/>
    <w:rsid w:val="23067D69"/>
    <w:rsid w:val="2306B563"/>
    <w:rsid w:val="2307F2AE"/>
    <w:rsid w:val="2308F859"/>
    <w:rsid w:val="23090AAD"/>
    <w:rsid w:val="23098916"/>
    <w:rsid w:val="230AD3A5"/>
    <w:rsid w:val="230B8A51"/>
    <w:rsid w:val="230C7AF5"/>
    <w:rsid w:val="230CCB0C"/>
    <w:rsid w:val="230CEEC7"/>
    <w:rsid w:val="230D151A"/>
    <w:rsid w:val="230DC36B"/>
    <w:rsid w:val="230DEA3A"/>
    <w:rsid w:val="230DFB73"/>
    <w:rsid w:val="230E8BF0"/>
    <w:rsid w:val="230ECA21"/>
    <w:rsid w:val="230F04AF"/>
    <w:rsid w:val="230F54A9"/>
    <w:rsid w:val="230FD6F4"/>
    <w:rsid w:val="231034CE"/>
    <w:rsid w:val="231094A5"/>
    <w:rsid w:val="23118AD8"/>
    <w:rsid w:val="231210D8"/>
    <w:rsid w:val="2313A229"/>
    <w:rsid w:val="2313D6FC"/>
    <w:rsid w:val="2314008D"/>
    <w:rsid w:val="2314028C"/>
    <w:rsid w:val="231411FA"/>
    <w:rsid w:val="231470DF"/>
    <w:rsid w:val="2314B051"/>
    <w:rsid w:val="2314B44A"/>
    <w:rsid w:val="2314FDF5"/>
    <w:rsid w:val="23152EF1"/>
    <w:rsid w:val="23157296"/>
    <w:rsid w:val="231599DA"/>
    <w:rsid w:val="2315BCDA"/>
    <w:rsid w:val="2315DB96"/>
    <w:rsid w:val="23160925"/>
    <w:rsid w:val="23172675"/>
    <w:rsid w:val="23172C27"/>
    <w:rsid w:val="23174AC0"/>
    <w:rsid w:val="23179BE5"/>
    <w:rsid w:val="231887F8"/>
    <w:rsid w:val="2319542A"/>
    <w:rsid w:val="23195F20"/>
    <w:rsid w:val="23197909"/>
    <w:rsid w:val="231992CE"/>
    <w:rsid w:val="2319FDD7"/>
    <w:rsid w:val="231A069E"/>
    <w:rsid w:val="231A202D"/>
    <w:rsid w:val="231A5EDF"/>
    <w:rsid w:val="231A7DB0"/>
    <w:rsid w:val="231AAE34"/>
    <w:rsid w:val="231AE63C"/>
    <w:rsid w:val="231BC090"/>
    <w:rsid w:val="231BCC97"/>
    <w:rsid w:val="231C0E28"/>
    <w:rsid w:val="231D0D98"/>
    <w:rsid w:val="231D3F14"/>
    <w:rsid w:val="231D8E00"/>
    <w:rsid w:val="231D9B88"/>
    <w:rsid w:val="231DBAD5"/>
    <w:rsid w:val="231E0008"/>
    <w:rsid w:val="231EE849"/>
    <w:rsid w:val="231F08D2"/>
    <w:rsid w:val="231F4B05"/>
    <w:rsid w:val="231FC514"/>
    <w:rsid w:val="232029F7"/>
    <w:rsid w:val="23203624"/>
    <w:rsid w:val="2321E12B"/>
    <w:rsid w:val="2322D94B"/>
    <w:rsid w:val="23242F65"/>
    <w:rsid w:val="2324CDB4"/>
    <w:rsid w:val="2325CD08"/>
    <w:rsid w:val="2325D15C"/>
    <w:rsid w:val="23263523"/>
    <w:rsid w:val="23266B4B"/>
    <w:rsid w:val="23269104"/>
    <w:rsid w:val="2326AD30"/>
    <w:rsid w:val="2326F85A"/>
    <w:rsid w:val="2327042D"/>
    <w:rsid w:val="23277053"/>
    <w:rsid w:val="23278C5B"/>
    <w:rsid w:val="2327C843"/>
    <w:rsid w:val="2327DE3C"/>
    <w:rsid w:val="2329DE6F"/>
    <w:rsid w:val="232A9C29"/>
    <w:rsid w:val="232ABD65"/>
    <w:rsid w:val="232ADD4F"/>
    <w:rsid w:val="232C341C"/>
    <w:rsid w:val="232C809A"/>
    <w:rsid w:val="232CF6C5"/>
    <w:rsid w:val="232EA0B5"/>
    <w:rsid w:val="232EBC08"/>
    <w:rsid w:val="232EC0E7"/>
    <w:rsid w:val="232F51F7"/>
    <w:rsid w:val="232F535F"/>
    <w:rsid w:val="233017AC"/>
    <w:rsid w:val="2331B3CE"/>
    <w:rsid w:val="2331CC15"/>
    <w:rsid w:val="2332355B"/>
    <w:rsid w:val="2333AE9D"/>
    <w:rsid w:val="2333EAA4"/>
    <w:rsid w:val="2334745F"/>
    <w:rsid w:val="2334BE55"/>
    <w:rsid w:val="23350C50"/>
    <w:rsid w:val="2335357E"/>
    <w:rsid w:val="23356CE0"/>
    <w:rsid w:val="2335A474"/>
    <w:rsid w:val="23361274"/>
    <w:rsid w:val="2336EB5C"/>
    <w:rsid w:val="23373092"/>
    <w:rsid w:val="23379289"/>
    <w:rsid w:val="233802BF"/>
    <w:rsid w:val="2338C66B"/>
    <w:rsid w:val="2338C6A9"/>
    <w:rsid w:val="2339EA93"/>
    <w:rsid w:val="2339F7EB"/>
    <w:rsid w:val="233B192E"/>
    <w:rsid w:val="233BE8C9"/>
    <w:rsid w:val="233C7CAE"/>
    <w:rsid w:val="233CA762"/>
    <w:rsid w:val="233CE82E"/>
    <w:rsid w:val="233D788C"/>
    <w:rsid w:val="233D85C0"/>
    <w:rsid w:val="233D9808"/>
    <w:rsid w:val="233D9B8F"/>
    <w:rsid w:val="233DC303"/>
    <w:rsid w:val="233DE135"/>
    <w:rsid w:val="233E5D0A"/>
    <w:rsid w:val="233E6DE1"/>
    <w:rsid w:val="233EAD2F"/>
    <w:rsid w:val="233EC71C"/>
    <w:rsid w:val="233EEEEB"/>
    <w:rsid w:val="233FBADC"/>
    <w:rsid w:val="2340DE4C"/>
    <w:rsid w:val="23420D40"/>
    <w:rsid w:val="23428392"/>
    <w:rsid w:val="2343A591"/>
    <w:rsid w:val="234530E9"/>
    <w:rsid w:val="23463556"/>
    <w:rsid w:val="23467973"/>
    <w:rsid w:val="2346863C"/>
    <w:rsid w:val="2347216B"/>
    <w:rsid w:val="2347B467"/>
    <w:rsid w:val="23483AF1"/>
    <w:rsid w:val="234846C4"/>
    <w:rsid w:val="2348550A"/>
    <w:rsid w:val="234912A2"/>
    <w:rsid w:val="234948DB"/>
    <w:rsid w:val="234A7BF7"/>
    <w:rsid w:val="234C10A7"/>
    <w:rsid w:val="234C20C2"/>
    <w:rsid w:val="234D3961"/>
    <w:rsid w:val="234D760E"/>
    <w:rsid w:val="234E9545"/>
    <w:rsid w:val="23504208"/>
    <w:rsid w:val="2350BCA9"/>
    <w:rsid w:val="2350F908"/>
    <w:rsid w:val="23515D7E"/>
    <w:rsid w:val="2351DACD"/>
    <w:rsid w:val="2351EB10"/>
    <w:rsid w:val="2352230E"/>
    <w:rsid w:val="23532AF6"/>
    <w:rsid w:val="23537E7D"/>
    <w:rsid w:val="2353CC52"/>
    <w:rsid w:val="2355744C"/>
    <w:rsid w:val="2355C722"/>
    <w:rsid w:val="235697EB"/>
    <w:rsid w:val="2356E563"/>
    <w:rsid w:val="2357CC1D"/>
    <w:rsid w:val="23586DA7"/>
    <w:rsid w:val="2358D5FE"/>
    <w:rsid w:val="235965D3"/>
    <w:rsid w:val="235A458E"/>
    <w:rsid w:val="235AA60A"/>
    <w:rsid w:val="235B9B84"/>
    <w:rsid w:val="235C7735"/>
    <w:rsid w:val="235DE03C"/>
    <w:rsid w:val="235E261D"/>
    <w:rsid w:val="235E44F8"/>
    <w:rsid w:val="235E62C4"/>
    <w:rsid w:val="235F1B0E"/>
    <w:rsid w:val="235F5593"/>
    <w:rsid w:val="235F8FD1"/>
    <w:rsid w:val="235FD9C6"/>
    <w:rsid w:val="2360EE93"/>
    <w:rsid w:val="2361B5FA"/>
    <w:rsid w:val="2361EB42"/>
    <w:rsid w:val="2361FF51"/>
    <w:rsid w:val="2362E125"/>
    <w:rsid w:val="23633EAD"/>
    <w:rsid w:val="23649390"/>
    <w:rsid w:val="2364C04D"/>
    <w:rsid w:val="23655F86"/>
    <w:rsid w:val="2365C634"/>
    <w:rsid w:val="2365EF06"/>
    <w:rsid w:val="23660BD1"/>
    <w:rsid w:val="23662F60"/>
    <w:rsid w:val="23673100"/>
    <w:rsid w:val="2368A5EA"/>
    <w:rsid w:val="2369FEA3"/>
    <w:rsid w:val="236B078C"/>
    <w:rsid w:val="236B82C6"/>
    <w:rsid w:val="236D5D92"/>
    <w:rsid w:val="236DF6DF"/>
    <w:rsid w:val="236DFABB"/>
    <w:rsid w:val="236E14B3"/>
    <w:rsid w:val="236E9E4F"/>
    <w:rsid w:val="236FE735"/>
    <w:rsid w:val="236FEACB"/>
    <w:rsid w:val="23703A8C"/>
    <w:rsid w:val="2371A5C4"/>
    <w:rsid w:val="2372336A"/>
    <w:rsid w:val="23729A81"/>
    <w:rsid w:val="2372FA6B"/>
    <w:rsid w:val="2372FB40"/>
    <w:rsid w:val="23737041"/>
    <w:rsid w:val="2373DBC3"/>
    <w:rsid w:val="237495B9"/>
    <w:rsid w:val="23772C42"/>
    <w:rsid w:val="237734C9"/>
    <w:rsid w:val="237754E5"/>
    <w:rsid w:val="2377BB39"/>
    <w:rsid w:val="23781A90"/>
    <w:rsid w:val="2379111C"/>
    <w:rsid w:val="23791BD8"/>
    <w:rsid w:val="237AF500"/>
    <w:rsid w:val="237B239D"/>
    <w:rsid w:val="237BB0C1"/>
    <w:rsid w:val="237D2502"/>
    <w:rsid w:val="237F05E5"/>
    <w:rsid w:val="237F15CE"/>
    <w:rsid w:val="237FD188"/>
    <w:rsid w:val="237FF6FB"/>
    <w:rsid w:val="23804663"/>
    <w:rsid w:val="238063F4"/>
    <w:rsid w:val="23813948"/>
    <w:rsid w:val="2382556D"/>
    <w:rsid w:val="2383126B"/>
    <w:rsid w:val="23838550"/>
    <w:rsid w:val="23847C43"/>
    <w:rsid w:val="2384A7BA"/>
    <w:rsid w:val="2384F599"/>
    <w:rsid w:val="23851990"/>
    <w:rsid w:val="2385B10F"/>
    <w:rsid w:val="23867006"/>
    <w:rsid w:val="2387A1EA"/>
    <w:rsid w:val="23891C12"/>
    <w:rsid w:val="2389BBEB"/>
    <w:rsid w:val="238A51B3"/>
    <w:rsid w:val="238A63AF"/>
    <w:rsid w:val="238B7816"/>
    <w:rsid w:val="238BED3B"/>
    <w:rsid w:val="238D2FA6"/>
    <w:rsid w:val="238D4652"/>
    <w:rsid w:val="238DDC64"/>
    <w:rsid w:val="238FEED5"/>
    <w:rsid w:val="23905FCA"/>
    <w:rsid w:val="23909FEA"/>
    <w:rsid w:val="2390E579"/>
    <w:rsid w:val="23915016"/>
    <w:rsid w:val="23921FE4"/>
    <w:rsid w:val="23923D56"/>
    <w:rsid w:val="2392B54B"/>
    <w:rsid w:val="2393107F"/>
    <w:rsid w:val="23936125"/>
    <w:rsid w:val="2393F36F"/>
    <w:rsid w:val="23947F54"/>
    <w:rsid w:val="23948846"/>
    <w:rsid w:val="2394A809"/>
    <w:rsid w:val="239558CF"/>
    <w:rsid w:val="2395C386"/>
    <w:rsid w:val="23961AB1"/>
    <w:rsid w:val="2396848D"/>
    <w:rsid w:val="2396AFE8"/>
    <w:rsid w:val="2396E92C"/>
    <w:rsid w:val="2397267B"/>
    <w:rsid w:val="23972984"/>
    <w:rsid w:val="239822EC"/>
    <w:rsid w:val="239871D2"/>
    <w:rsid w:val="2399518B"/>
    <w:rsid w:val="239A5326"/>
    <w:rsid w:val="239A88E1"/>
    <w:rsid w:val="239AD8D0"/>
    <w:rsid w:val="239AF634"/>
    <w:rsid w:val="239B449E"/>
    <w:rsid w:val="239BC74E"/>
    <w:rsid w:val="239CBDE9"/>
    <w:rsid w:val="239DF89F"/>
    <w:rsid w:val="239E3F6C"/>
    <w:rsid w:val="239E8475"/>
    <w:rsid w:val="239E86E7"/>
    <w:rsid w:val="239EA9DC"/>
    <w:rsid w:val="239F115A"/>
    <w:rsid w:val="239F1591"/>
    <w:rsid w:val="23A0AE89"/>
    <w:rsid w:val="23A14629"/>
    <w:rsid w:val="23A14AFC"/>
    <w:rsid w:val="23A18853"/>
    <w:rsid w:val="23A1DAED"/>
    <w:rsid w:val="23A212A5"/>
    <w:rsid w:val="23A266CC"/>
    <w:rsid w:val="23A28FDA"/>
    <w:rsid w:val="23A2A09C"/>
    <w:rsid w:val="23A369DA"/>
    <w:rsid w:val="23A3A0DE"/>
    <w:rsid w:val="23A42495"/>
    <w:rsid w:val="23A4289D"/>
    <w:rsid w:val="23A4DBEE"/>
    <w:rsid w:val="23A4E991"/>
    <w:rsid w:val="23A54C50"/>
    <w:rsid w:val="23A61331"/>
    <w:rsid w:val="23A62988"/>
    <w:rsid w:val="23A72832"/>
    <w:rsid w:val="23A83901"/>
    <w:rsid w:val="23A8C8CD"/>
    <w:rsid w:val="23A8F9B1"/>
    <w:rsid w:val="23A97DD9"/>
    <w:rsid w:val="23A98396"/>
    <w:rsid w:val="23A99BDE"/>
    <w:rsid w:val="23A9B1F0"/>
    <w:rsid w:val="23AA65B7"/>
    <w:rsid w:val="23AA7AF3"/>
    <w:rsid w:val="23AB0E13"/>
    <w:rsid w:val="23AB2504"/>
    <w:rsid w:val="23ABD3A6"/>
    <w:rsid w:val="23AC3210"/>
    <w:rsid w:val="23ACB657"/>
    <w:rsid w:val="23ACC775"/>
    <w:rsid w:val="23ACF23F"/>
    <w:rsid w:val="23AD68A6"/>
    <w:rsid w:val="23AD86C1"/>
    <w:rsid w:val="23ADE115"/>
    <w:rsid w:val="23AEF336"/>
    <w:rsid w:val="23AFDB39"/>
    <w:rsid w:val="23B07CC7"/>
    <w:rsid w:val="23B0A493"/>
    <w:rsid w:val="23B10BEE"/>
    <w:rsid w:val="23B14B16"/>
    <w:rsid w:val="23B210E0"/>
    <w:rsid w:val="23B2E513"/>
    <w:rsid w:val="23B2E893"/>
    <w:rsid w:val="23B30EA7"/>
    <w:rsid w:val="23B3866C"/>
    <w:rsid w:val="23B43CDF"/>
    <w:rsid w:val="23B45225"/>
    <w:rsid w:val="23B48AB4"/>
    <w:rsid w:val="23B526BD"/>
    <w:rsid w:val="23B62069"/>
    <w:rsid w:val="23B664EA"/>
    <w:rsid w:val="23B6C131"/>
    <w:rsid w:val="23B70F19"/>
    <w:rsid w:val="23B77DE3"/>
    <w:rsid w:val="23B81630"/>
    <w:rsid w:val="23B85083"/>
    <w:rsid w:val="23B8BD31"/>
    <w:rsid w:val="23B9105D"/>
    <w:rsid w:val="23BA2B9A"/>
    <w:rsid w:val="23BA6FF1"/>
    <w:rsid w:val="23BB2F51"/>
    <w:rsid w:val="23BB36AC"/>
    <w:rsid w:val="23BB984E"/>
    <w:rsid w:val="23BC012C"/>
    <w:rsid w:val="23BD766A"/>
    <w:rsid w:val="23BE25E7"/>
    <w:rsid w:val="23BE7FB1"/>
    <w:rsid w:val="23BEBF1D"/>
    <w:rsid w:val="23BFC842"/>
    <w:rsid w:val="23BFCF9F"/>
    <w:rsid w:val="23C0CAA1"/>
    <w:rsid w:val="23C0D506"/>
    <w:rsid w:val="23C1C360"/>
    <w:rsid w:val="23C1D47F"/>
    <w:rsid w:val="23C3E83F"/>
    <w:rsid w:val="23C4BE4A"/>
    <w:rsid w:val="23C56F8A"/>
    <w:rsid w:val="23C64920"/>
    <w:rsid w:val="23C6629A"/>
    <w:rsid w:val="23C73AB9"/>
    <w:rsid w:val="23C75B93"/>
    <w:rsid w:val="23C7ED47"/>
    <w:rsid w:val="23C81736"/>
    <w:rsid w:val="23C9CCAD"/>
    <w:rsid w:val="23C9D947"/>
    <w:rsid w:val="23CA5DC8"/>
    <w:rsid w:val="23CB4942"/>
    <w:rsid w:val="23CC05D1"/>
    <w:rsid w:val="23CC8574"/>
    <w:rsid w:val="23CCA85C"/>
    <w:rsid w:val="23CD4C0A"/>
    <w:rsid w:val="23CE2C8F"/>
    <w:rsid w:val="23CE981D"/>
    <w:rsid w:val="23CFB47C"/>
    <w:rsid w:val="23D0F47B"/>
    <w:rsid w:val="23D18A5F"/>
    <w:rsid w:val="23D1A468"/>
    <w:rsid w:val="23D1B288"/>
    <w:rsid w:val="23D1FBBC"/>
    <w:rsid w:val="23D26A42"/>
    <w:rsid w:val="23D2CD10"/>
    <w:rsid w:val="23D3CC86"/>
    <w:rsid w:val="23D469E7"/>
    <w:rsid w:val="23D53050"/>
    <w:rsid w:val="23D54D56"/>
    <w:rsid w:val="23D6C56D"/>
    <w:rsid w:val="23D71AE5"/>
    <w:rsid w:val="23D743AA"/>
    <w:rsid w:val="23D748CC"/>
    <w:rsid w:val="23D79B35"/>
    <w:rsid w:val="23D87F07"/>
    <w:rsid w:val="23D8F5D5"/>
    <w:rsid w:val="23D8F5E0"/>
    <w:rsid w:val="23D8F7A4"/>
    <w:rsid w:val="23D93AC2"/>
    <w:rsid w:val="23D946F5"/>
    <w:rsid w:val="23D95043"/>
    <w:rsid w:val="23D9E574"/>
    <w:rsid w:val="23DAA708"/>
    <w:rsid w:val="23DB4CDA"/>
    <w:rsid w:val="23DBC661"/>
    <w:rsid w:val="23DBF03D"/>
    <w:rsid w:val="23DC0723"/>
    <w:rsid w:val="23DC466B"/>
    <w:rsid w:val="23DC47B0"/>
    <w:rsid w:val="23DC7142"/>
    <w:rsid w:val="23DCA7C9"/>
    <w:rsid w:val="23DD05EB"/>
    <w:rsid w:val="23DD8C01"/>
    <w:rsid w:val="23DE30CB"/>
    <w:rsid w:val="23DECB7F"/>
    <w:rsid w:val="23DED708"/>
    <w:rsid w:val="23DF9F75"/>
    <w:rsid w:val="23DFEDF2"/>
    <w:rsid w:val="23E01091"/>
    <w:rsid w:val="23E01B73"/>
    <w:rsid w:val="23E0335A"/>
    <w:rsid w:val="23E1416C"/>
    <w:rsid w:val="23E1D6AA"/>
    <w:rsid w:val="23E435AB"/>
    <w:rsid w:val="23E49A8E"/>
    <w:rsid w:val="23E4B6C7"/>
    <w:rsid w:val="23E5084F"/>
    <w:rsid w:val="23E590F9"/>
    <w:rsid w:val="23E59B18"/>
    <w:rsid w:val="23E5A9B5"/>
    <w:rsid w:val="23E5DE51"/>
    <w:rsid w:val="23E63F1D"/>
    <w:rsid w:val="23E68091"/>
    <w:rsid w:val="23E7441F"/>
    <w:rsid w:val="23E7ED33"/>
    <w:rsid w:val="23E83329"/>
    <w:rsid w:val="23E9579C"/>
    <w:rsid w:val="23E9B2DD"/>
    <w:rsid w:val="23E9D919"/>
    <w:rsid w:val="23E9FE6B"/>
    <w:rsid w:val="23EA0F51"/>
    <w:rsid w:val="23EB4866"/>
    <w:rsid w:val="23EB75C3"/>
    <w:rsid w:val="23EBD089"/>
    <w:rsid w:val="23EC1845"/>
    <w:rsid w:val="23EC2FA8"/>
    <w:rsid w:val="23EC8321"/>
    <w:rsid w:val="23ECD318"/>
    <w:rsid w:val="23ED8D34"/>
    <w:rsid w:val="23EE2BF0"/>
    <w:rsid w:val="23F0BC64"/>
    <w:rsid w:val="23F109D8"/>
    <w:rsid w:val="23F31096"/>
    <w:rsid w:val="23F3E76C"/>
    <w:rsid w:val="23F5528D"/>
    <w:rsid w:val="23F56EBD"/>
    <w:rsid w:val="23F57FE5"/>
    <w:rsid w:val="23F7100D"/>
    <w:rsid w:val="23F73C36"/>
    <w:rsid w:val="23F83999"/>
    <w:rsid w:val="23F84412"/>
    <w:rsid w:val="23F88181"/>
    <w:rsid w:val="23F8F997"/>
    <w:rsid w:val="23F9532D"/>
    <w:rsid w:val="23F9B37B"/>
    <w:rsid w:val="23FA27EB"/>
    <w:rsid w:val="23FA372B"/>
    <w:rsid w:val="23FB3B6F"/>
    <w:rsid w:val="23FBBAC6"/>
    <w:rsid w:val="23FC3FE8"/>
    <w:rsid w:val="23FDB72C"/>
    <w:rsid w:val="23FE0689"/>
    <w:rsid w:val="23FE4795"/>
    <w:rsid w:val="23FE863E"/>
    <w:rsid w:val="23FE92E3"/>
    <w:rsid w:val="23FEDCA0"/>
    <w:rsid w:val="23FF7EF3"/>
    <w:rsid w:val="2401250D"/>
    <w:rsid w:val="2401EAD2"/>
    <w:rsid w:val="24026483"/>
    <w:rsid w:val="2402C20A"/>
    <w:rsid w:val="2403B609"/>
    <w:rsid w:val="2404EFD4"/>
    <w:rsid w:val="240592D8"/>
    <w:rsid w:val="2405DA0E"/>
    <w:rsid w:val="2405FA38"/>
    <w:rsid w:val="24064774"/>
    <w:rsid w:val="2406B85B"/>
    <w:rsid w:val="24079C87"/>
    <w:rsid w:val="2407A848"/>
    <w:rsid w:val="2407C252"/>
    <w:rsid w:val="240815F2"/>
    <w:rsid w:val="24083002"/>
    <w:rsid w:val="240844C3"/>
    <w:rsid w:val="2408A43E"/>
    <w:rsid w:val="2409700F"/>
    <w:rsid w:val="2409D70F"/>
    <w:rsid w:val="240A4C53"/>
    <w:rsid w:val="240AC959"/>
    <w:rsid w:val="240BDD52"/>
    <w:rsid w:val="240BF4E4"/>
    <w:rsid w:val="240C230D"/>
    <w:rsid w:val="240C738D"/>
    <w:rsid w:val="240D00B7"/>
    <w:rsid w:val="240DA076"/>
    <w:rsid w:val="240EE165"/>
    <w:rsid w:val="24110C74"/>
    <w:rsid w:val="241132B0"/>
    <w:rsid w:val="24113AED"/>
    <w:rsid w:val="2411BC1B"/>
    <w:rsid w:val="2411F3AE"/>
    <w:rsid w:val="2412F4F1"/>
    <w:rsid w:val="24131483"/>
    <w:rsid w:val="241390E0"/>
    <w:rsid w:val="2413E157"/>
    <w:rsid w:val="24142079"/>
    <w:rsid w:val="2414D814"/>
    <w:rsid w:val="24156098"/>
    <w:rsid w:val="241589D1"/>
    <w:rsid w:val="241598AE"/>
    <w:rsid w:val="241701C4"/>
    <w:rsid w:val="2417BA14"/>
    <w:rsid w:val="24186306"/>
    <w:rsid w:val="2418954C"/>
    <w:rsid w:val="2418A656"/>
    <w:rsid w:val="241915CA"/>
    <w:rsid w:val="2419168F"/>
    <w:rsid w:val="24197CF7"/>
    <w:rsid w:val="2419C3ED"/>
    <w:rsid w:val="241AE72F"/>
    <w:rsid w:val="241B412D"/>
    <w:rsid w:val="241B6D8E"/>
    <w:rsid w:val="241BEE68"/>
    <w:rsid w:val="241BF431"/>
    <w:rsid w:val="241CAB48"/>
    <w:rsid w:val="241D5579"/>
    <w:rsid w:val="241DBCC1"/>
    <w:rsid w:val="241E950C"/>
    <w:rsid w:val="241F1F2A"/>
    <w:rsid w:val="241F6B35"/>
    <w:rsid w:val="241FB18D"/>
    <w:rsid w:val="241FEEFF"/>
    <w:rsid w:val="2420913A"/>
    <w:rsid w:val="2420F3EA"/>
    <w:rsid w:val="24212BC6"/>
    <w:rsid w:val="2421B017"/>
    <w:rsid w:val="242200DE"/>
    <w:rsid w:val="24224AFB"/>
    <w:rsid w:val="24225204"/>
    <w:rsid w:val="2422A9FC"/>
    <w:rsid w:val="2422B556"/>
    <w:rsid w:val="24236FC8"/>
    <w:rsid w:val="2423D176"/>
    <w:rsid w:val="2423E3AC"/>
    <w:rsid w:val="24243B38"/>
    <w:rsid w:val="2424D858"/>
    <w:rsid w:val="24254260"/>
    <w:rsid w:val="24273927"/>
    <w:rsid w:val="24284048"/>
    <w:rsid w:val="2428859A"/>
    <w:rsid w:val="2428A8D8"/>
    <w:rsid w:val="2428AD1B"/>
    <w:rsid w:val="24290ACF"/>
    <w:rsid w:val="2429E647"/>
    <w:rsid w:val="2429F4C4"/>
    <w:rsid w:val="242A3411"/>
    <w:rsid w:val="242A4AB3"/>
    <w:rsid w:val="242A5E70"/>
    <w:rsid w:val="242AB6B9"/>
    <w:rsid w:val="242AD442"/>
    <w:rsid w:val="242AFEC9"/>
    <w:rsid w:val="242B3B9F"/>
    <w:rsid w:val="242B62AC"/>
    <w:rsid w:val="242B8B18"/>
    <w:rsid w:val="242BD133"/>
    <w:rsid w:val="242C5FD2"/>
    <w:rsid w:val="242D336E"/>
    <w:rsid w:val="242D6CF3"/>
    <w:rsid w:val="242DF416"/>
    <w:rsid w:val="242E26CA"/>
    <w:rsid w:val="242EC1A1"/>
    <w:rsid w:val="242FBA7A"/>
    <w:rsid w:val="24309F46"/>
    <w:rsid w:val="2431ED3E"/>
    <w:rsid w:val="24324CAE"/>
    <w:rsid w:val="243292FE"/>
    <w:rsid w:val="2432CD2F"/>
    <w:rsid w:val="24335243"/>
    <w:rsid w:val="2433A0C3"/>
    <w:rsid w:val="2433ACC4"/>
    <w:rsid w:val="243402FD"/>
    <w:rsid w:val="24340862"/>
    <w:rsid w:val="24345876"/>
    <w:rsid w:val="243528C0"/>
    <w:rsid w:val="2435F9CD"/>
    <w:rsid w:val="243617BA"/>
    <w:rsid w:val="243668E5"/>
    <w:rsid w:val="24366E94"/>
    <w:rsid w:val="24367121"/>
    <w:rsid w:val="243791E6"/>
    <w:rsid w:val="2438459F"/>
    <w:rsid w:val="2438A123"/>
    <w:rsid w:val="24393701"/>
    <w:rsid w:val="24395F8D"/>
    <w:rsid w:val="24399E59"/>
    <w:rsid w:val="243B788C"/>
    <w:rsid w:val="243C0245"/>
    <w:rsid w:val="243C8C3C"/>
    <w:rsid w:val="243CB148"/>
    <w:rsid w:val="243E499E"/>
    <w:rsid w:val="243EE8F9"/>
    <w:rsid w:val="243EFFA1"/>
    <w:rsid w:val="243F7F12"/>
    <w:rsid w:val="243FE831"/>
    <w:rsid w:val="2440941B"/>
    <w:rsid w:val="244140B8"/>
    <w:rsid w:val="24419433"/>
    <w:rsid w:val="244195D2"/>
    <w:rsid w:val="2441A120"/>
    <w:rsid w:val="2441A50C"/>
    <w:rsid w:val="244206E1"/>
    <w:rsid w:val="24423448"/>
    <w:rsid w:val="2442881E"/>
    <w:rsid w:val="2442AF78"/>
    <w:rsid w:val="2442DDF6"/>
    <w:rsid w:val="2443624C"/>
    <w:rsid w:val="24436854"/>
    <w:rsid w:val="2443BD4B"/>
    <w:rsid w:val="24440F09"/>
    <w:rsid w:val="24441CB5"/>
    <w:rsid w:val="2444CD99"/>
    <w:rsid w:val="24452545"/>
    <w:rsid w:val="244582D7"/>
    <w:rsid w:val="244594A8"/>
    <w:rsid w:val="2445E849"/>
    <w:rsid w:val="2446301D"/>
    <w:rsid w:val="2446AA58"/>
    <w:rsid w:val="2446D4DB"/>
    <w:rsid w:val="24470B50"/>
    <w:rsid w:val="24477AB2"/>
    <w:rsid w:val="24481E44"/>
    <w:rsid w:val="2448DC95"/>
    <w:rsid w:val="2449C88E"/>
    <w:rsid w:val="244A0ABF"/>
    <w:rsid w:val="244A0E33"/>
    <w:rsid w:val="244A710D"/>
    <w:rsid w:val="244AA67F"/>
    <w:rsid w:val="244ABF8A"/>
    <w:rsid w:val="244B50B7"/>
    <w:rsid w:val="244B600D"/>
    <w:rsid w:val="244C993F"/>
    <w:rsid w:val="244D1B08"/>
    <w:rsid w:val="244D1EC3"/>
    <w:rsid w:val="244D31D8"/>
    <w:rsid w:val="244D3417"/>
    <w:rsid w:val="244E5985"/>
    <w:rsid w:val="244EE1A5"/>
    <w:rsid w:val="244F10B1"/>
    <w:rsid w:val="244F2227"/>
    <w:rsid w:val="244F243A"/>
    <w:rsid w:val="244FAF79"/>
    <w:rsid w:val="244FB13D"/>
    <w:rsid w:val="24503B36"/>
    <w:rsid w:val="2450C516"/>
    <w:rsid w:val="245123FE"/>
    <w:rsid w:val="2451803F"/>
    <w:rsid w:val="24525115"/>
    <w:rsid w:val="24525203"/>
    <w:rsid w:val="2452838D"/>
    <w:rsid w:val="2453DB31"/>
    <w:rsid w:val="2453F405"/>
    <w:rsid w:val="245419AF"/>
    <w:rsid w:val="2454E0FB"/>
    <w:rsid w:val="24556DF3"/>
    <w:rsid w:val="2455E956"/>
    <w:rsid w:val="245635CB"/>
    <w:rsid w:val="2456D1E7"/>
    <w:rsid w:val="24570111"/>
    <w:rsid w:val="2457F32C"/>
    <w:rsid w:val="24581698"/>
    <w:rsid w:val="2458F961"/>
    <w:rsid w:val="24595977"/>
    <w:rsid w:val="24598722"/>
    <w:rsid w:val="245C79E9"/>
    <w:rsid w:val="245C857D"/>
    <w:rsid w:val="245D07F1"/>
    <w:rsid w:val="245D2762"/>
    <w:rsid w:val="245D2E63"/>
    <w:rsid w:val="245D6338"/>
    <w:rsid w:val="245D665B"/>
    <w:rsid w:val="245F8735"/>
    <w:rsid w:val="245FEB09"/>
    <w:rsid w:val="24600846"/>
    <w:rsid w:val="2460DC85"/>
    <w:rsid w:val="2460EB86"/>
    <w:rsid w:val="24615317"/>
    <w:rsid w:val="246181FB"/>
    <w:rsid w:val="24619E0B"/>
    <w:rsid w:val="24625957"/>
    <w:rsid w:val="2462BEE7"/>
    <w:rsid w:val="246304E3"/>
    <w:rsid w:val="24650BB5"/>
    <w:rsid w:val="2465620D"/>
    <w:rsid w:val="2465EA8D"/>
    <w:rsid w:val="24676407"/>
    <w:rsid w:val="2467710F"/>
    <w:rsid w:val="2467AAA2"/>
    <w:rsid w:val="24684099"/>
    <w:rsid w:val="24684C3F"/>
    <w:rsid w:val="2468EAED"/>
    <w:rsid w:val="24693615"/>
    <w:rsid w:val="24693DB3"/>
    <w:rsid w:val="246970FE"/>
    <w:rsid w:val="2469F222"/>
    <w:rsid w:val="246A1724"/>
    <w:rsid w:val="246A2E0F"/>
    <w:rsid w:val="246AEDD2"/>
    <w:rsid w:val="246BB3FA"/>
    <w:rsid w:val="246BE8BD"/>
    <w:rsid w:val="246C4295"/>
    <w:rsid w:val="246C5929"/>
    <w:rsid w:val="246C88B5"/>
    <w:rsid w:val="246D0CBA"/>
    <w:rsid w:val="246D12ED"/>
    <w:rsid w:val="246D1657"/>
    <w:rsid w:val="246D7543"/>
    <w:rsid w:val="246DB87F"/>
    <w:rsid w:val="246DF2BE"/>
    <w:rsid w:val="246E9DCB"/>
    <w:rsid w:val="24705E0D"/>
    <w:rsid w:val="2470BBBF"/>
    <w:rsid w:val="2470CA4B"/>
    <w:rsid w:val="2471483C"/>
    <w:rsid w:val="24724393"/>
    <w:rsid w:val="2472D37D"/>
    <w:rsid w:val="2472DE55"/>
    <w:rsid w:val="2473A0A0"/>
    <w:rsid w:val="2473A141"/>
    <w:rsid w:val="247419A1"/>
    <w:rsid w:val="24754F0B"/>
    <w:rsid w:val="247683BB"/>
    <w:rsid w:val="2476F5E1"/>
    <w:rsid w:val="24771FE5"/>
    <w:rsid w:val="24781B8B"/>
    <w:rsid w:val="24782780"/>
    <w:rsid w:val="24791239"/>
    <w:rsid w:val="2479562C"/>
    <w:rsid w:val="2479621E"/>
    <w:rsid w:val="24799C75"/>
    <w:rsid w:val="2479D4AB"/>
    <w:rsid w:val="247A4BE5"/>
    <w:rsid w:val="247B00B9"/>
    <w:rsid w:val="247C6B08"/>
    <w:rsid w:val="247D38C3"/>
    <w:rsid w:val="247DAFE1"/>
    <w:rsid w:val="247E5918"/>
    <w:rsid w:val="247E69A8"/>
    <w:rsid w:val="247F32D8"/>
    <w:rsid w:val="2480012F"/>
    <w:rsid w:val="248033D1"/>
    <w:rsid w:val="2480429C"/>
    <w:rsid w:val="24809456"/>
    <w:rsid w:val="24812C8E"/>
    <w:rsid w:val="2481CA8B"/>
    <w:rsid w:val="24833856"/>
    <w:rsid w:val="24836788"/>
    <w:rsid w:val="2483F529"/>
    <w:rsid w:val="248485B8"/>
    <w:rsid w:val="2484DB2E"/>
    <w:rsid w:val="24864616"/>
    <w:rsid w:val="248670D6"/>
    <w:rsid w:val="2486AFBB"/>
    <w:rsid w:val="24880335"/>
    <w:rsid w:val="248820AD"/>
    <w:rsid w:val="24892C54"/>
    <w:rsid w:val="24899C30"/>
    <w:rsid w:val="2489A3F5"/>
    <w:rsid w:val="248A3E53"/>
    <w:rsid w:val="248AB276"/>
    <w:rsid w:val="248AE95A"/>
    <w:rsid w:val="248AFD73"/>
    <w:rsid w:val="248B1844"/>
    <w:rsid w:val="248B6507"/>
    <w:rsid w:val="248BDF0B"/>
    <w:rsid w:val="248C918E"/>
    <w:rsid w:val="248D7752"/>
    <w:rsid w:val="248DC60D"/>
    <w:rsid w:val="248DCC27"/>
    <w:rsid w:val="248DFC1C"/>
    <w:rsid w:val="248E0B7C"/>
    <w:rsid w:val="248E7D52"/>
    <w:rsid w:val="248E808B"/>
    <w:rsid w:val="248E96AB"/>
    <w:rsid w:val="248EC1F2"/>
    <w:rsid w:val="248FD175"/>
    <w:rsid w:val="248FFA17"/>
    <w:rsid w:val="249070C7"/>
    <w:rsid w:val="249080A4"/>
    <w:rsid w:val="24909401"/>
    <w:rsid w:val="2490B3B6"/>
    <w:rsid w:val="2490BB50"/>
    <w:rsid w:val="24910F47"/>
    <w:rsid w:val="24911AEA"/>
    <w:rsid w:val="24913895"/>
    <w:rsid w:val="2491653A"/>
    <w:rsid w:val="24919337"/>
    <w:rsid w:val="2491D338"/>
    <w:rsid w:val="24926172"/>
    <w:rsid w:val="24935842"/>
    <w:rsid w:val="24951983"/>
    <w:rsid w:val="24956465"/>
    <w:rsid w:val="2495E193"/>
    <w:rsid w:val="24972E12"/>
    <w:rsid w:val="24974A87"/>
    <w:rsid w:val="24978EDB"/>
    <w:rsid w:val="249835EB"/>
    <w:rsid w:val="249A01F0"/>
    <w:rsid w:val="249A66B1"/>
    <w:rsid w:val="249A6FD5"/>
    <w:rsid w:val="249A98A2"/>
    <w:rsid w:val="249C156C"/>
    <w:rsid w:val="249C6381"/>
    <w:rsid w:val="249DA935"/>
    <w:rsid w:val="249DDE46"/>
    <w:rsid w:val="249F8135"/>
    <w:rsid w:val="24A003D0"/>
    <w:rsid w:val="24A07BB1"/>
    <w:rsid w:val="24A0CF83"/>
    <w:rsid w:val="24A1662B"/>
    <w:rsid w:val="24A1E9B7"/>
    <w:rsid w:val="24A3227C"/>
    <w:rsid w:val="24A36E27"/>
    <w:rsid w:val="24A371C3"/>
    <w:rsid w:val="24A37EE3"/>
    <w:rsid w:val="24A3895E"/>
    <w:rsid w:val="24A3EF84"/>
    <w:rsid w:val="24A4019D"/>
    <w:rsid w:val="24A4A7E1"/>
    <w:rsid w:val="24A5A37A"/>
    <w:rsid w:val="24A5A597"/>
    <w:rsid w:val="24A5E095"/>
    <w:rsid w:val="24A64210"/>
    <w:rsid w:val="24A6F2C9"/>
    <w:rsid w:val="24A7108C"/>
    <w:rsid w:val="24A789B3"/>
    <w:rsid w:val="24A7E40C"/>
    <w:rsid w:val="24A8600C"/>
    <w:rsid w:val="24A885AB"/>
    <w:rsid w:val="24A897C3"/>
    <w:rsid w:val="24A93DDB"/>
    <w:rsid w:val="24A97B76"/>
    <w:rsid w:val="24A991A2"/>
    <w:rsid w:val="24A9C638"/>
    <w:rsid w:val="24A9DB9B"/>
    <w:rsid w:val="24AA2550"/>
    <w:rsid w:val="24AA7094"/>
    <w:rsid w:val="24AA9431"/>
    <w:rsid w:val="24AB1817"/>
    <w:rsid w:val="24AB8BDD"/>
    <w:rsid w:val="24AC0507"/>
    <w:rsid w:val="24ADD2F2"/>
    <w:rsid w:val="24AE40A6"/>
    <w:rsid w:val="24AF5A84"/>
    <w:rsid w:val="24AFE94F"/>
    <w:rsid w:val="24B00910"/>
    <w:rsid w:val="24B1D794"/>
    <w:rsid w:val="24B24E0D"/>
    <w:rsid w:val="24B26829"/>
    <w:rsid w:val="24B299BB"/>
    <w:rsid w:val="24B2A83E"/>
    <w:rsid w:val="24B310AD"/>
    <w:rsid w:val="24B36A58"/>
    <w:rsid w:val="24B5398C"/>
    <w:rsid w:val="24B59D3D"/>
    <w:rsid w:val="24B63009"/>
    <w:rsid w:val="24B6D4FC"/>
    <w:rsid w:val="24B8B449"/>
    <w:rsid w:val="24B8F5E6"/>
    <w:rsid w:val="24B9D977"/>
    <w:rsid w:val="24BA3220"/>
    <w:rsid w:val="24BA4111"/>
    <w:rsid w:val="24BAFACF"/>
    <w:rsid w:val="24BB5F48"/>
    <w:rsid w:val="24BBEC75"/>
    <w:rsid w:val="24BCDE04"/>
    <w:rsid w:val="24BD4A38"/>
    <w:rsid w:val="24BDBDBA"/>
    <w:rsid w:val="24BE7A69"/>
    <w:rsid w:val="24BEA116"/>
    <w:rsid w:val="24BF24A7"/>
    <w:rsid w:val="24BF2835"/>
    <w:rsid w:val="24C00DB4"/>
    <w:rsid w:val="24C01F50"/>
    <w:rsid w:val="24C0E58B"/>
    <w:rsid w:val="24C0F212"/>
    <w:rsid w:val="24C100A4"/>
    <w:rsid w:val="24C1259C"/>
    <w:rsid w:val="24C14E82"/>
    <w:rsid w:val="24C16968"/>
    <w:rsid w:val="24C19D45"/>
    <w:rsid w:val="24C1C509"/>
    <w:rsid w:val="24C21DE4"/>
    <w:rsid w:val="24C33D0E"/>
    <w:rsid w:val="24C393F0"/>
    <w:rsid w:val="24C3D156"/>
    <w:rsid w:val="24C3E38B"/>
    <w:rsid w:val="24C51646"/>
    <w:rsid w:val="24C62202"/>
    <w:rsid w:val="24C62A26"/>
    <w:rsid w:val="24C63A66"/>
    <w:rsid w:val="24C70D05"/>
    <w:rsid w:val="24C79C70"/>
    <w:rsid w:val="24C7FE17"/>
    <w:rsid w:val="24C828CC"/>
    <w:rsid w:val="24C84083"/>
    <w:rsid w:val="24C942B2"/>
    <w:rsid w:val="24CAECB4"/>
    <w:rsid w:val="24CB414F"/>
    <w:rsid w:val="24CBAF4E"/>
    <w:rsid w:val="24CBC433"/>
    <w:rsid w:val="24CBEC5E"/>
    <w:rsid w:val="24CC24BD"/>
    <w:rsid w:val="24CCA06B"/>
    <w:rsid w:val="24CD3C7B"/>
    <w:rsid w:val="24CD7CCC"/>
    <w:rsid w:val="24CE3380"/>
    <w:rsid w:val="24CE3853"/>
    <w:rsid w:val="24CE7F40"/>
    <w:rsid w:val="24CE95F5"/>
    <w:rsid w:val="24CF2C1C"/>
    <w:rsid w:val="24D00A66"/>
    <w:rsid w:val="24D00C90"/>
    <w:rsid w:val="24D0D975"/>
    <w:rsid w:val="24D10CFF"/>
    <w:rsid w:val="24D1E2A2"/>
    <w:rsid w:val="24D26315"/>
    <w:rsid w:val="24D333BF"/>
    <w:rsid w:val="24D3A255"/>
    <w:rsid w:val="24D3F392"/>
    <w:rsid w:val="24D47298"/>
    <w:rsid w:val="24D4F351"/>
    <w:rsid w:val="24D56E16"/>
    <w:rsid w:val="24D61F26"/>
    <w:rsid w:val="24D621B3"/>
    <w:rsid w:val="24D74CB7"/>
    <w:rsid w:val="24D78B09"/>
    <w:rsid w:val="24D7D445"/>
    <w:rsid w:val="24D7DBB0"/>
    <w:rsid w:val="24D84355"/>
    <w:rsid w:val="24D88662"/>
    <w:rsid w:val="24D89E7E"/>
    <w:rsid w:val="24D92A98"/>
    <w:rsid w:val="24D9A4D3"/>
    <w:rsid w:val="24D9F0A1"/>
    <w:rsid w:val="24DB5567"/>
    <w:rsid w:val="24DB9CAD"/>
    <w:rsid w:val="24DCF5A3"/>
    <w:rsid w:val="24DDC721"/>
    <w:rsid w:val="24DEA9AF"/>
    <w:rsid w:val="24E07884"/>
    <w:rsid w:val="24E0CCD2"/>
    <w:rsid w:val="24E191E9"/>
    <w:rsid w:val="24E2546E"/>
    <w:rsid w:val="24E2C4E3"/>
    <w:rsid w:val="24E3D6A4"/>
    <w:rsid w:val="24E3F1FB"/>
    <w:rsid w:val="24E3FE59"/>
    <w:rsid w:val="24E4E653"/>
    <w:rsid w:val="24E4F7C9"/>
    <w:rsid w:val="24E4FB6C"/>
    <w:rsid w:val="24E603BF"/>
    <w:rsid w:val="24E64D81"/>
    <w:rsid w:val="24E69603"/>
    <w:rsid w:val="24E72145"/>
    <w:rsid w:val="24E81C0D"/>
    <w:rsid w:val="24E88D71"/>
    <w:rsid w:val="24E94574"/>
    <w:rsid w:val="24E961C8"/>
    <w:rsid w:val="24EA11C1"/>
    <w:rsid w:val="24EBE43D"/>
    <w:rsid w:val="24ED519F"/>
    <w:rsid w:val="24ED7A1F"/>
    <w:rsid w:val="24ED9ABE"/>
    <w:rsid w:val="24EE4B7A"/>
    <w:rsid w:val="24EE9F7E"/>
    <w:rsid w:val="24EEF8E8"/>
    <w:rsid w:val="24EFC509"/>
    <w:rsid w:val="24EFE991"/>
    <w:rsid w:val="24F00389"/>
    <w:rsid w:val="24F074D4"/>
    <w:rsid w:val="24F0EE34"/>
    <w:rsid w:val="24F1295B"/>
    <w:rsid w:val="24F12ED6"/>
    <w:rsid w:val="24F1874A"/>
    <w:rsid w:val="24F19C14"/>
    <w:rsid w:val="24F1E80E"/>
    <w:rsid w:val="24F22FDB"/>
    <w:rsid w:val="24F387FE"/>
    <w:rsid w:val="24F43D9B"/>
    <w:rsid w:val="24F46D69"/>
    <w:rsid w:val="24F4C3E0"/>
    <w:rsid w:val="24F4F40E"/>
    <w:rsid w:val="24F55978"/>
    <w:rsid w:val="24F6BF86"/>
    <w:rsid w:val="24F6DB43"/>
    <w:rsid w:val="24F6ED2A"/>
    <w:rsid w:val="24F76388"/>
    <w:rsid w:val="24F77765"/>
    <w:rsid w:val="24F7D30F"/>
    <w:rsid w:val="24F7D783"/>
    <w:rsid w:val="24F8DB71"/>
    <w:rsid w:val="24F91D77"/>
    <w:rsid w:val="24F95D88"/>
    <w:rsid w:val="24F9B812"/>
    <w:rsid w:val="24FA7CA7"/>
    <w:rsid w:val="24FA808A"/>
    <w:rsid w:val="24FAAA40"/>
    <w:rsid w:val="24FB0F71"/>
    <w:rsid w:val="24FB18D0"/>
    <w:rsid w:val="24FB241C"/>
    <w:rsid w:val="24FB46F6"/>
    <w:rsid w:val="24FBCFAE"/>
    <w:rsid w:val="24FBF011"/>
    <w:rsid w:val="24FC92FA"/>
    <w:rsid w:val="24FCB628"/>
    <w:rsid w:val="24FF0451"/>
    <w:rsid w:val="24FF12E8"/>
    <w:rsid w:val="24FFB9B6"/>
    <w:rsid w:val="250020B1"/>
    <w:rsid w:val="250077A2"/>
    <w:rsid w:val="25016C46"/>
    <w:rsid w:val="2501A7AD"/>
    <w:rsid w:val="250234FB"/>
    <w:rsid w:val="25025A9C"/>
    <w:rsid w:val="25032DC4"/>
    <w:rsid w:val="2503B2D3"/>
    <w:rsid w:val="2503C01E"/>
    <w:rsid w:val="2503F806"/>
    <w:rsid w:val="250520DF"/>
    <w:rsid w:val="2506726D"/>
    <w:rsid w:val="2506EDED"/>
    <w:rsid w:val="2507F05D"/>
    <w:rsid w:val="2507F9D5"/>
    <w:rsid w:val="25093154"/>
    <w:rsid w:val="250938BE"/>
    <w:rsid w:val="250A5839"/>
    <w:rsid w:val="250A5F18"/>
    <w:rsid w:val="250A86A9"/>
    <w:rsid w:val="250B4773"/>
    <w:rsid w:val="250D503B"/>
    <w:rsid w:val="250DE051"/>
    <w:rsid w:val="250F38BE"/>
    <w:rsid w:val="250FA91D"/>
    <w:rsid w:val="250FC7EC"/>
    <w:rsid w:val="250FCB87"/>
    <w:rsid w:val="250FD59B"/>
    <w:rsid w:val="2510061A"/>
    <w:rsid w:val="25104DA0"/>
    <w:rsid w:val="25109895"/>
    <w:rsid w:val="2510D6CE"/>
    <w:rsid w:val="2510E71D"/>
    <w:rsid w:val="25113424"/>
    <w:rsid w:val="2512157E"/>
    <w:rsid w:val="2512C920"/>
    <w:rsid w:val="2512EAAA"/>
    <w:rsid w:val="25140653"/>
    <w:rsid w:val="251409BB"/>
    <w:rsid w:val="25142880"/>
    <w:rsid w:val="2514C6AC"/>
    <w:rsid w:val="2514EF57"/>
    <w:rsid w:val="251543DE"/>
    <w:rsid w:val="25157484"/>
    <w:rsid w:val="25159E6F"/>
    <w:rsid w:val="2515BE92"/>
    <w:rsid w:val="2515FD53"/>
    <w:rsid w:val="2516EA9C"/>
    <w:rsid w:val="25177C2B"/>
    <w:rsid w:val="2517C276"/>
    <w:rsid w:val="25198957"/>
    <w:rsid w:val="2519CB06"/>
    <w:rsid w:val="2519DB8A"/>
    <w:rsid w:val="251A8832"/>
    <w:rsid w:val="251AEE10"/>
    <w:rsid w:val="251B48CF"/>
    <w:rsid w:val="251C4CD8"/>
    <w:rsid w:val="251CB3FF"/>
    <w:rsid w:val="251D5521"/>
    <w:rsid w:val="251DD9EE"/>
    <w:rsid w:val="251EDEBF"/>
    <w:rsid w:val="251F18ED"/>
    <w:rsid w:val="251F3E90"/>
    <w:rsid w:val="2520549C"/>
    <w:rsid w:val="25206013"/>
    <w:rsid w:val="252097EA"/>
    <w:rsid w:val="2520A00E"/>
    <w:rsid w:val="2520D54A"/>
    <w:rsid w:val="25214D39"/>
    <w:rsid w:val="25218F39"/>
    <w:rsid w:val="25219012"/>
    <w:rsid w:val="252231FA"/>
    <w:rsid w:val="25224DAE"/>
    <w:rsid w:val="25246FA2"/>
    <w:rsid w:val="2525B7A0"/>
    <w:rsid w:val="25260C17"/>
    <w:rsid w:val="2526554C"/>
    <w:rsid w:val="25265F78"/>
    <w:rsid w:val="2526B29B"/>
    <w:rsid w:val="2526EFB2"/>
    <w:rsid w:val="2527B40B"/>
    <w:rsid w:val="25281515"/>
    <w:rsid w:val="25288B93"/>
    <w:rsid w:val="2528F38F"/>
    <w:rsid w:val="2528F479"/>
    <w:rsid w:val="2529539B"/>
    <w:rsid w:val="252A2CA3"/>
    <w:rsid w:val="252A685A"/>
    <w:rsid w:val="252BD10A"/>
    <w:rsid w:val="252C51FA"/>
    <w:rsid w:val="252C6A8C"/>
    <w:rsid w:val="252D849E"/>
    <w:rsid w:val="252E3D13"/>
    <w:rsid w:val="252EA417"/>
    <w:rsid w:val="252EAB36"/>
    <w:rsid w:val="252F23C0"/>
    <w:rsid w:val="252F376B"/>
    <w:rsid w:val="252FB5A0"/>
    <w:rsid w:val="2530E6BA"/>
    <w:rsid w:val="2530F1CB"/>
    <w:rsid w:val="25317C8E"/>
    <w:rsid w:val="2532550B"/>
    <w:rsid w:val="2532D401"/>
    <w:rsid w:val="2532D408"/>
    <w:rsid w:val="2532EA32"/>
    <w:rsid w:val="25345FF9"/>
    <w:rsid w:val="25346605"/>
    <w:rsid w:val="253558E3"/>
    <w:rsid w:val="2535A99E"/>
    <w:rsid w:val="2537050F"/>
    <w:rsid w:val="2537B6C4"/>
    <w:rsid w:val="2537E609"/>
    <w:rsid w:val="253801F0"/>
    <w:rsid w:val="253819D7"/>
    <w:rsid w:val="253898DE"/>
    <w:rsid w:val="25391419"/>
    <w:rsid w:val="253B7C54"/>
    <w:rsid w:val="253C1185"/>
    <w:rsid w:val="253C8115"/>
    <w:rsid w:val="253C8CD9"/>
    <w:rsid w:val="253CA188"/>
    <w:rsid w:val="253CD55A"/>
    <w:rsid w:val="253EBCDC"/>
    <w:rsid w:val="253EC409"/>
    <w:rsid w:val="253FA8A0"/>
    <w:rsid w:val="254045B5"/>
    <w:rsid w:val="25407E92"/>
    <w:rsid w:val="25408836"/>
    <w:rsid w:val="2540A08A"/>
    <w:rsid w:val="2540EC60"/>
    <w:rsid w:val="2541F676"/>
    <w:rsid w:val="25422B8C"/>
    <w:rsid w:val="25427E75"/>
    <w:rsid w:val="2542BF94"/>
    <w:rsid w:val="2543D7CF"/>
    <w:rsid w:val="25450AB1"/>
    <w:rsid w:val="254533AB"/>
    <w:rsid w:val="254645E3"/>
    <w:rsid w:val="2547A027"/>
    <w:rsid w:val="2547FA22"/>
    <w:rsid w:val="2548490D"/>
    <w:rsid w:val="2549397D"/>
    <w:rsid w:val="254A09FF"/>
    <w:rsid w:val="254AAC1B"/>
    <w:rsid w:val="254ACA6F"/>
    <w:rsid w:val="254AD3C9"/>
    <w:rsid w:val="254BF804"/>
    <w:rsid w:val="254C9C67"/>
    <w:rsid w:val="254CB880"/>
    <w:rsid w:val="254CFBC9"/>
    <w:rsid w:val="254D58FD"/>
    <w:rsid w:val="254D8E33"/>
    <w:rsid w:val="2550214D"/>
    <w:rsid w:val="255047A3"/>
    <w:rsid w:val="255091E8"/>
    <w:rsid w:val="25515B99"/>
    <w:rsid w:val="2551B96E"/>
    <w:rsid w:val="25522822"/>
    <w:rsid w:val="25528208"/>
    <w:rsid w:val="25537EF3"/>
    <w:rsid w:val="2554E0F1"/>
    <w:rsid w:val="255505A5"/>
    <w:rsid w:val="25551DAC"/>
    <w:rsid w:val="25555BDC"/>
    <w:rsid w:val="25558769"/>
    <w:rsid w:val="2555BD92"/>
    <w:rsid w:val="25567F3B"/>
    <w:rsid w:val="2556828A"/>
    <w:rsid w:val="255703B5"/>
    <w:rsid w:val="25576357"/>
    <w:rsid w:val="2557AB6C"/>
    <w:rsid w:val="25584C9D"/>
    <w:rsid w:val="2558DDFC"/>
    <w:rsid w:val="25590099"/>
    <w:rsid w:val="25596A13"/>
    <w:rsid w:val="25598619"/>
    <w:rsid w:val="2559BF1F"/>
    <w:rsid w:val="2559DB4A"/>
    <w:rsid w:val="255A48E3"/>
    <w:rsid w:val="255A924A"/>
    <w:rsid w:val="255AB7CF"/>
    <w:rsid w:val="255B0018"/>
    <w:rsid w:val="255D3E91"/>
    <w:rsid w:val="255D66CC"/>
    <w:rsid w:val="255E8FE1"/>
    <w:rsid w:val="255ED1CF"/>
    <w:rsid w:val="255F73D7"/>
    <w:rsid w:val="25605715"/>
    <w:rsid w:val="2560B724"/>
    <w:rsid w:val="2560BF7B"/>
    <w:rsid w:val="2561F086"/>
    <w:rsid w:val="2561F99D"/>
    <w:rsid w:val="2562398B"/>
    <w:rsid w:val="256453F6"/>
    <w:rsid w:val="25648FFE"/>
    <w:rsid w:val="2564C15E"/>
    <w:rsid w:val="2565C66B"/>
    <w:rsid w:val="2567355F"/>
    <w:rsid w:val="25676E55"/>
    <w:rsid w:val="2567AA36"/>
    <w:rsid w:val="2567C637"/>
    <w:rsid w:val="25683A40"/>
    <w:rsid w:val="256865D6"/>
    <w:rsid w:val="2568859B"/>
    <w:rsid w:val="2568A6F4"/>
    <w:rsid w:val="25695C27"/>
    <w:rsid w:val="256A2FEF"/>
    <w:rsid w:val="256A879E"/>
    <w:rsid w:val="256A9AF5"/>
    <w:rsid w:val="256ACF72"/>
    <w:rsid w:val="256B2846"/>
    <w:rsid w:val="256BC3FB"/>
    <w:rsid w:val="256BE6C9"/>
    <w:rsid w:val="256BE957"/>
    <w:rsid w:val="256C436C"/>
    <w:rsid w:val="256CE26D"/>
    <w:rsid w:val="256DA116"/>
    <w:rsid w:val="256E20AD"/>
    <w:rsid w:val="256F3DE1"/>
    <w:rsid w:val="256FE637"/>
    <w:rsid w:val="2570424B"/>
    <w:rsid w:val="2572ED96"/>
    <w:rsid w:val="2572FC8C"/>
    <w:rsid w:val="25738F8C"/>
    <w:rsid w:val="25739917"/>
    <w:rsid w:val="25743847"/>
    <w:rsid w:val="257568A1"/>
    <w:rsid w:val="2575CE28"/>
    <w:rsid w:val="25767581"/>
    <w:rsid w:val="2576DBFE"/>
    <w:rsid w:val="2576E7B1"/>
    <w:rsid w:val="25770F16"/>
    <w:rsid w:val="2577DD3A"/>
    <w:rsid w:val="2577F301"/>
    <w:rsid w:val="257800E3"/>
    <w:rsid w:val="25780649"/>
    <w:rsid w:val="257842CB"/>
    <w:rsid w:val="2578DC6C"/>
    <w:rsid w:val="2579049E"/>
    <w:rsid w:val="25792848"/>
    <w:rsid w:val="25794833"/>
    <w:rsid w:val="2579787B"/>
    <w:rsid w:val="2579E1CA"/>
    <w:rsid w:val="257AA8DD"/>
    <w:rsid w:val="257AF51E"/>
    <w:rsid w:val="257B6CE9"/>
    <w:rsid w:val="257BB932"/>
    <w:rsid w:val="257C18F5"/>
    <w:rsid w:val="257E04E6"/>
    <w:rsid w:val="25804A98"/>
    <w:rsid w:val="2582031B"/>
    <w:rsid w:val="2582693D"/>
    <w:rsid w:val="2582CDC5"/>
    <w:rsid w:val="258301A1"/>
    <w:rsid w:val="25830FC2"/>
    <w:rsid w:val="2583FAD7"/>
    <w:rsid w:val="2584E095"/>
    <w:rsid w:val="2587EB1C"/>
    <w:rsid w:val="258965BA"/>
    <w:rsid w:val="258985F7"/>
    <w:rsid w:val="2589A7FC"/>
    <w:rsid w:val="2589B6DD"/>
    <w:rsid w:val="2589F440"/>
    <w:rsid w:val="258A0ABA"/>
    <w:rsid w:val="258A3207"/>
    <w:rsid w:val="258A5E3C"/>
    <w:rsid w:val="258AA564"/>
    <w:rsid w:val="258B2CF9"/>
    <w:rsid w:val="258C289A"/>
    <w:rsid w:val="258D2428"/>
    <w:rsid w:val="258DB41D"/>
    <w:rsid w:val="258DFAAA"/>
    <w:rsid w:val="258F93A5"/>
    <w:rsid w:val="258F94E5"/>
    <w:rsid w:val="25902AEE"/>
    <w:rsid w:val="2590B5A7"/>
    <w:rsid w:val="2590FDA8"/>
    <w:rsid w:val="25910213"/>
    <w:rsid w:val="259172C0"/>
    <w:rsid w:val="25918689"/>
    <w:rsid w:val="2591CF85"/>
    <w:rsid w:val="2591DAD6"/>
    <w:rsid w:val="259217AF"/>
    <w:rsid w:val="25927A78"/>
    <w:rsid w:val="2592A805"/>
    <w:rsid w:val="2593E1E8"/>
    <w:rsid w:val="25953B8D"/>
    <w:rsid w:val="25958DBE"/>
    <w:rsid w:val="2595D92A"/>
    <w:rsid w:val="259607FD"/>
    <w:rsid w:val="25962A3C"/>
    <w:rsid w:val="25966DE6"/>
    <w:rsid w:val="259786F0"/>
    <w:rsid w:val="259807A6"/>
    <w:rsid w:val="25991D24"/>
    <w:rsid w:val="259A3A94"/>
    <w:rsid w:val="259ABD8F"/>
    <w:rsid w:val="259ACFF1"/>
    <w:rsid w:val="259BE412"/>
    <w:rsid w:val="259BEBAE"/>
    <w:rsid w:val="259BF116"/>
    <w:rsid w:val="259C0FBF"/>
    <w:rsid w:val="259C7113"/>
    <w:rsid w:val="259F4AB9"/>
    <w:rsid w:val="259FC384"/>
    <w:rsid w:val="25A00334"/>
    <w:rsid w:val="25A020ED"/>
    <w:rsid w:val="25A04CEB"/>
    <w:rsid w:val="25A0E10D"/>
    <w:rsid w:val="25A0E846"/>
    <w:rsid w:val="25A10112"/>
    <w:rsid w:val="25A1107F"/>
    <w:rsid w:val="25A11DA5"/>
    <w:rsid w:val="25A352D7"/>
    <w:rsid w:val="25A3F9B9"/>
    <w:rsid w:val="25A450EC"/>
    <w:rsid w:val="25A4CCD4"/>
    <w:rsid w:val="25A582E7"/>
    <w:rsid w:val="25A59350"/>
    <w:rsid w:val="25A60777"/>
    <w:rsid w:val="25A616DC"/>
    <w:rsid w:val="25A76ACB"/>
    <w:rsid w:val="25A786C1"/>
    <w:rsid w:val="25A7C947"/>
    <w:rsid w:val="25A7EB22"/>
    <w:rsid w:val="25A8DDE6"/>
    <w:rsid w:val="25A8F56E"/>
    <w:rsid w:val="25A96BEC"/>
    <w:rsid w:val="25A9D473"/>
    <w:rsid w:val="25AA68B0"/>
    <w:rsid w:val="25AA8E16"/>
    <w:rsid w:val="25AB7A8C"/>
    <w:rsid w:val="25ABADAE"/>
    <w:rsid w:val="25ADC935"/>
    <w:rsid w:val="25AE862D"/>
    <w:rsid w:val="25AEEB4D"/>
    <w:rsid w:val="25AEF4DA"/>
    <w:rsid w:val="25AF7217"/>
    <w:rsid w:val="25AFA91C"/>
    <w:rsid w:val="25AFDE65"/>
    <w:rsid w:val="25B044F3"/>
    <w:rsid w:val="25B19590"/>
    <w:rsid w:val="25B201BB"/>
    <w:rsid w:val="25B3441D"/>
    <w:rsid w:val="25B42076"/>
    <w:rsid w:val="25B4FEEF"/>
    <w:rsid w:val="25B52407"/>
    <w:rsid w:val="25B54821"/>
    <w:rsid w:val="25B6748D"/>
    <w:rsid w:val="25B73A8F"/>
    <w:rsid w:val="25B7D13E"/>
    <w:rsid w:val="25B7E1D7"/>
    <w:rsid w:val="25B89A02"/>
    <w:rsid w:val="25B984DF"/>
    <w:rsid w:val="25B9B091"/>
    <w:rsid w:val="25BA05AF"/>
    <w:rsid w:val="25BA51E9"/>
    <w:rsid w:val="25BA550A"/>
    <w:rsid w:val="25BA6FCD"/>
    <w:rsid w:val="25BAAE02"/>
    <w:rsid w:val="25BABF24"/>
    <w:rsid w:val="25BB1C53"/>
    <w:rsid w:val="25BB696E"/>
    <w:rsid w:val="25BBD265"/>
    <w:rsid w:val="25BC5857"/>
    <w:rsid w:val="25BC6E20"/>
    <w:rsid w:val="25BD5AF3"/>
    <w:rsid w:val="25BD5E35"/>
    <w:rsid w:val="25BFECE3"/>
    <w:rsid w:val="25C062A8"/>
    <w:rsid w:val="25C165A2"/>
    <w:rsid w:val="25C19897"/>
    <w:rsid w:val="25C1D9E8"/>
    <w:rsid w:val="25C214F5"/>
    <w:rsid w:val="25C32FAD"/>
    <w:rsid w:val="25C34BA9"/>
    <w:rsid w:val="25C37D6D"/>
    <w:rsid w:val="25C3881B"/>
    <w:rsid w:val="25C390CC"/>
    <w:rsid w:val="25C46C0F"/>
    <w:rsid w:val="25C54FA0"/>
    <w:rsid w:val="25C5EF62"/>
    <w:rsid w:val="25C609E2"/>
    <w:rsid w:val="25C64DB2"/>
    <w:rsid w:val="25C6A400"/>
    <w:rsid w:val="25C75A4F"/>
    <w:rsid w:val="25C82D97"/>
    <w:rsid w:val="25C99BCA"/>
    <w:rsid w:val="25C9C9C9"/>
    <w:rsid w:val="25CA6791"/>
    <w:rsid w:val="25CA6B51"/>
    <w:rsid w:val="25CB07F0"/>
    <w:rsid w:val="25CB7E74"/>
    <w:rsid w:val="25CBAF12"/>
    <w:rsid w:val="25CBB112"/>
    <w:rsid w:val="25CC777D"/>
    <w:rsid w:val="25CC9D39"/>
    <w:rsid w:val="25CCA4FF"/>
    <w:rsid w:val="25CE4165"/>
    <w:rsid w:val="25CF097F"/>
    <w:rsid w:val="25CF58BA"/>
    <w:rsid w:val="25D0F5E8"/>
    <w:rsid w:val="25D1E5CA"/>
    <w:rsid w:val="25D1E73D"/>
    <w:rsid w:val="25D263C3"/>
    <w:rsid w:val="25D28BA0"/>
    <w:rsid w:val="25D2A6FF"/>
    <w:rsid w:val="25D3C245"/>
    <w:rsid w:val="25D3D9F5"/>
    <w:rsid w:val="25D45F3E"/>
    <w:rsid w:val="25D4DCDB"/>
    <w:rsid w:val="25D53825"/>
    <w:rsid w:val="25D559B4"/>
    <w:rsid w:val="25D60553"/>
    <w:rsid w:val="25D6498B"/>
    <w:rsid w:val="25D6EE75"/>
    <w:rsid w:val="25D74B34"/>
    <w:rsid w:val="25D76091"/>
    <w:rsid w:val="25D86870"/>
    <w:rsid w:val="25DBE487"/>
    <w:rsid w:val="25DC1831"/>
    <w:rsid w:val="25DCEEAE"/>
    <w:rsid w:val="25DD3A77"/>
    <w:rsid w:val="25DDF1D3"/>
    <w:rsid w:val="25DEE11B"/>
    <w:rsid w:val="25DF8AA4"/>
    <w:rsid w:val="25DFA369"/>
    <w:rsid w:val="25DFF730"/>
    <w:rsid w:val="25E04D98"/>
    <w:rsid w:val="25E0F8B6"/>
    <w:rsid w:val="25E1CA53"/>
    <w:rsid w:val="25E1CE1B"/>
    <w:rsid w:val="25E1DF77"/>
    <w:rsid w:val="25E261FF"/>
    <w:rsid w:val="25E3B98C"/>
    <w:rsid w:val="25E47CD2"/>
    <w:rsid w:val="25E560B1"/>
    <w:rsid w:val="25E5EBF0"/>
    <w:rsid w:val="25E5F381"/>
    <w:rsid w:val="25E64556"/>
    <w:rsid w:val="25E65ED2"/>
    <w:rsid w:val="25E66DCC"/>
    <w:rsid w:val="25E780AE"/>
    <w:rsid w:val="25E78FDA"/>
    <w:rsid w:val="25E8D9BD"/>
    <w:rsid w:val="25E8DC3A"/>
    <w:rsid w:val="25E91219"/>
    <w:rsid w:val="25E920BA"/>
    <w:rsid w:val="25EAE9E8"/>
    <w:rsid w:val="25EB2D99"/>
    <w:rsid w:val="25EBE6CB"/>
    <w:rsid w:val="25EC161B"/>
    <w:rsid w:val="25EC49E0"/>
    <w:rsid w:val="25ED1358"/>
    <w:rsid w:val="25ED52E4"/>
    <w:rsid w:val="25EE3579"/>
    <w:rsid w:val="25EE9104"/>
    <w:rsid w:val="25EEDFDC"/>
    <w:rsid w:val="25EF236F"/>
    <w:rsid w:val="25EF7965"/>
    <w:rsid w:val="25EF9F7A"/>
    <w:rsid w:val="25F0CA36"/>
    <w:rsid w:val="25F187C5"/>
    <w:rsid w:val="25F24DD8"/>
    <w:rsid w:val="25F384CE"/>
    <w:rsid w:val="25F458B7"/>
    <w:rsid w:val="25F4D2E2"/>
    <w:rsid w:val="25F4D873"/>
    <w:rsid w:val="25F66696"/>
    <w:rsid w:val="25F6D641"/>
    <w:rsid w:val="25F6E251"/>
    <w:rsid w:val="25F72E95"/>
    <w:rsid w:val="25F81CCF"/>
    <w:rsid w:val="25F953EE"/>
    <w:rsid w:val="25F99436"/>
    <w:rsid w:val="25FA0E82"/>
    <w:rsid w:val="25FA3590"/>
    <w:rsid w:val="25FA6487"/>
    <w:rsid w:val="25FC6B48"/>
    <w:rsid w:val="25FD116D"/>
    <w:rsid w:val="25FD34D0"/>
    <w:rsid w:val="25FD74DB"/>
    <w:rsid w:val="25FE4C61"/>
    <w:rsid w:val="25FF4C09"/>
    <w:rsid w:val="25FF8221"/>
    <w:rsid w:val="25FFE9E6"/>
    <w:rsid w:val="2600B584"/>
    <w:rsid w:val="2601030E"/>
    <w:rsid w:val="26011804"/>
    <w:rsid w:val="26014DDD"/>
    <w:rsid w:val="2601D6F0"/>
    <w:rsid w:val="26036052"/>
    <w:rsid w:val="2604CD62"/>
    <w:rsid w:val="2604D513"/>
    <w:rsid w:val="260571F2"/>
    <w:rsid w:val="260573C7"/>
    <w:rsid w:val="2606D333"/>
    <w:rsid w:val="2608D1E9"/>
    <w:rsid w:val="2608E2A2"/>
    <w:rsid w:val="260963AF"/>
    <w:rsid w:val="2609692F"/>
    <w:rsid w:val="26096D25"/>
    <w:rsid w:val="260A31A1"/>
    <w:rsid w:val="260A53AA"/>
    <w:rsid w:val="260B2D1A"/>
    <w:rsid w:val="260BA173"/>
    <w:rsid w:val="260BBA6F"/>
    <w:rsid w:val="260BF49D"/>
    <w:rsid w:val="260CA6FD"/>
    <w:rsid w:val="260D42E7"/>
    <w:rsid w:val="260D5D65"/>
    <w:rsid w:val="260EC6A6"/>
    <w:rsid w:val="260FADF5"/>
    <w:rsid w:val="260FCADD"/>
    <w:rsid w:val="260FEAE1"/>
    <w:rsid w:val="261044E8"/>
    <w:rsid w:val="2610CD95"/>
    <w:rsid w:val="26111668"/>
    <w:rsid w:val="2611A0BA"/>
    <w:rsid w:val="2611E48F"/>
    <w:rsid w:val="261215DB"/>
    <w:rsid w:val="261297BE"/>
    <w:rsid w:val="26139C0C"/>
    <w:rsid w:val="261438E4"/>
    <w:rsid w:val="26146F2D"/>
    <w:rsid w:val="2614D67A"/>
    <w:rsid w:val="2615432B"/>
    <w:rsid w:val="2615A955"/>
    <w:rsid w:val="2615FD3F"/>
    <w:rsid w:val="261794B1"/>
    <w:rsid w:val="2617CE6B"/>
    <w:rsid w:val="2617F859"/>
    <w:rsid w:val="26183AE1"/>
    <w:rsid w:val="26187B2B"/>
    <w:rsid w:val="2619436C"/>
    <w:rsid w:val="26198F24"/>
    <w:rsid w:val="261990B5"/>
    <w:rsid w:val="2619A584"/>
    <w:rsid w:val="2619E03E"/>
    <w:rsid w:val="2619F4C9"/>
    <w:rsid w:val="261ADE2B"/>
    <w:rsid w:val="261B66F4"/>
    <w:rsid w:val="261BC70D"/>
    <w:rsid w:val="261C1361"/>
    <w:rsid w:val="261C8F70"/>
    <w:rsid w:val="261D3B30"/>
    <w:rsid w:val="261D8D4A"/>
    <w:rsid w:val="261E03AC"/>
    <w:rsid w:val="261E095C"/>
    <w:rsid w:val="261E920D"/>
    <w:rsid w:val="261EBBB3"/>
    <w:rsid w:val="261EEB78"/>
    <w:rsid w:val="261F4A8A"/>
    <w:rsid w:val="261FB17F"/>
    <w:rsid w:val="262040D1"/>
    <w:rsid w:val="2620C185"/>
    <w:rsid w:val="2620F344"/>
    <w:rsid w:val="262261C8"/>
    <w:rsid w:val="26239BC8"/>
    <w:rsid w:val="2623C833"/>
    <w:rsid w:val="26242F44"/>
    <w:rsid w:val="26246DFE"/>
    <w:rsid w:val="2624CACC"/>
    <w:rsid w:val="2624ED4E"/>
    <w:rsid w:val="2625636C"/>
    <w:rsid w:val="2625DD72"/>
    <w:rsid w:val="2626239C"/>
    <w:rsid w:val="2626CB52"/>
    <w:rsid w:val="2627181C"/>
    <w:rsid w:val="26272517"/>
    <w:rsid w:val="2627922C"/>
    <w:rsid w:val="262799AA"/>
    <w:rsid w:val="26284C4A"/>
    <w:rsid w:val="2628793C"/>
    <w:rsid w:val="2628D3E2"/>
    <w:rsid w:val="262B1C84"/>
    <w:rsid w:val="262B2BFA"/>
    <w:rsid w:val="262B502A"/>
    <w:rsid w:val="262BA6DF"/>
    <w:rsid w:val="262BBFDF"/>
    <w:rsid w:val="262C784F"/>
    <w:rsid w:val="262CA093"/>
    <w:rsid w:val="262CAFAC"/>
    <w:rsid w:val="262D377B"/>
    <w:rsid w:val="262D60EE"/>
    <w:rsid w:val="262DD3EE"/>
    <w:rsid w:val="262EB847"/>
    <w:rsid w:val="262EDE62"/>
    <w:rsid w:val="262F08D4"/>
    <w:rsid w:val="262F26C2"/>
    <w:rsid w:val="262F8643"/>
    <w:rsid w:val="262FB5A7"/>
    <w:rsid w:val="26300399"/>
    <w:rsid w:val="2630121F"/>
    <w:rsid w:val="26305EE2"/>
    <w:rsid w:val="2631D8F7"/>
    <w:rsid w:val="2632051B"/>
    <w:rsid w:val="2632756D"/>
    <w:rsid w:val="2632CEE9"/>
    <w:rsid w:val="2632D56E"/>
    <w:rsid w:val="2632D9BF"/>
    <w:rsid w:val="26336B82"/>
    <w:rsid w:val="26345F61"/>
    <w:rsid w:val="2634B42B"/>
    <w:rsid w:val="263562D3"/>
    <w:rsid w:val="2636C99E"/>
    <w:rsid w:val="2636DC03"/>
    <w:rsid w:val="2637AE12"/>
    <w:rsid w:val="2637D57E"/>
    <w:rsid w:val="26395968"/>
    <w:rsid w:val="2639BD95"/>
    <w:rsid w:val="263A64D5"/>
    <w:rsid w:val="263B30B3"/>
    <w:rsid w:val="263B3695"/>
    <w:rsid w:val="263B37D0"/>
    <w:rsid w:val="263C39AA"/>
    <w:rsid w:val="263EFDEB"/>
    <w:rsid w:val="263FFEAD"/>
    <w:rsid w:val="26402BE3"/>
    <w:rsid w:val="264109B3"/>
    <w:rsid w:val="264190D2"/>
    <w:rsid w:val="2641C333"/>
    <w:rsid w:val="2641D3AD"/>
    <w:rsid w:val="26422CB2"/>
    <w:rsid w:val="264279B8"/>
    <w:rsid w:val="2642AB9B"/>
    <w:rsid w:val="2642B938"/>
    <w:rsid w:val="26439E5A"/>
    <w:rsid w:val="2643BEFF"/>
    <w:rsid w:val="26441BEB"/>
    <w:rsid w:val="2644295C"/>
    <w:rsid w:val="264450F9"/>
    <w:rsid w:val="264492C9"/>
    <w:rsid w:val="2645A4FC"/>
    <w:rsid w:val="2646DDD1"/>
    <w:rsid w:val="2646FE5A"/>
    <w:rsid w:val="264714B9"/>
    <w:rsid w:val="26479DF5"/>
    <w:rsid w:val="2647B3A7"/>
    <w:rsid w:val="26486E0C"/>
    <w:rsid w:val="26486FC5"/>
    <w:rsid w:val="2648D31D"/>
    <w:rsid w:val="2649722C"/>
    <w:rsid w:val="2649CE33"/>
    <w:rsid w:val="264AA107"/>
    <w:rsid w:val="264AD90A"/>
    <w:rsid w:val="264AEB4B"/>
    <w:rsid w:val="264B77DD"/>
    <w:rsid w:val="264C1C02"/>
    <w:rsid w:val="264D22F4"/>
    <w:rsid w:val="264EAF71"/>
    <w:rsid w:val="264F7A47"/>
    <w:rsid w:val="26505EED"/>
    <w:rsid w:val="2652E5A2"/>
    <w:rsid w:val="265343F3"/>
    <w:rsid w:val="2654690E"/>
    <w:rsid w:val="2654E108"/>
    <w:rsid w:val="2654EA52"/>
    <w:rsid w:val="26552DD6"/>
    <w:rsid w:val="26560362"/>
    <w:rsid w:val="26565EB7"/>
    <w:rsid w:val="2656AACD"/>
    <w:rsid w:val="2656AD21"/>
    <w:rsid w:val="2656DF56"/>
    <w:rsid w:val="26574876"/>
    <w:rsid w:val="26577BC5"/>
    <w:rsid w:val="2657D9A5"/>
    <w:rsid w:val="26583138"/>
    <w:rsid w:val="26585300"/>
    <w:rsid w:val="2658CE7C"/>
    <w:rsid w:val="2658FB1A"/>
    <w:rsid w:val="26591CC8"/>
    <w:rsid w:val="26593360"/>
    <w:rsid w:val="2659AB4D"/>
    <w:rsid w:val="2659BB1A"/>
    <w:rsid w:val="265A7666"/>
    <w:rsid w:val="265ABE76"/>
    <w:rsid w:val="265AC806"/>
    <w:rsid w:val="265B1E0E"/>
    <w:rsid w:val="265B7963"/>
    <w:rsid w:val="265B8CBA"/>
    <w:rsid w:val="265B8EDD"/>
    <w:rsid w:val="265B93DB"/>
    <w:rsid w:val="265C163C"/>
    <w:rsid w:val="265C6687"/>
    <w:rsid w:val="265C9176"/>
    <w:rsid w:val="265D4CD7"/>
    <w:rsid w:val="265D543F"/>
    <w:rsid w:val="265DBDE1"/>
    <w:rsid w:val="265DECED"/>
    <w:rsid w:val="265E01F4"/>
    <w:rsid w:val="265E1AA6"/>
    <w:rsid w:val="265E2D84"/>
    <w:rsid w:val="265ED598"/>
    <w:rsid w:val="265F6C9C"/>
    <w:rsid w:val="265FAB44"/>
    <w:rsid w:val="2660F96E"/>
    <w:rsid w:val="2660F9D2"/>
    <w:rsid w:val="2662B34A"/>
    <w:rsid w:val="26635ED3"/>
    <w:rsid w:val="2663DE12"/>
    <w:rsid w:val="26642F72"/>
    <w:rsid w:val="26645606"/>
    <w:rsid w:val="26646107"/>
    <w:rsid w:val="26654ADC"/>
    <w:rsid w:val="2665E052"/>
    <w:rsid w:val="2666A53E"/>
    <w:rsid w:val="266730A5"/>
    <w:rsid w:val="26673975"/>
    <w:rsid w:val="26675649"/>
    <w:rsid w:val="2667602E"/>
    <w:rsid w:val="266784A9"/>
    <w:rsid w:val="2668068F"/>
    <w:rsid w:val="2669152C"/>
    <w:rsid w:val="26696EEE"/>
    <w:rsid w:val="266970B5"/>
    <w:rsid w:val="2669AC59"/>
    <w:rsid w:val="266A1503"/>
    <w:rsid w:val="266A5D27"/>
    <w:rsid w:val="266A6F1D"/>
    <w:rsid w:val="266AF181"/>
    <w:rsid w:val="266B1168"/>
    <w:rsid w:val="266B5888"/>
    <w:rsid w:val="266B6EC9"/>
    <w:rsid w:val="266C9316"/>
    <w:rsid w:val="266C9488"/>
    <w:rsid w:val="266C9B28"/>
    <w:rsid w:val="266CB337"/>
    <w:rsid w:val="266D76D4"/>
    <w:rsid w:val="266D8D79"/>
    <w:rsid w:val="266E1F29"/>
    <w:rsid w:val="266EA178"/>
    <w:rsid w:val="266F604A"/>
    <w:rsid w:val="266F664E"/>
    <w:rsid w:val="266F6EB5"/>
    <w:rsid w:val="266FECD8"/>
    <w:rsid w:val="266FF36A"/>
    <w:rsid w:val="2670DE82"/>
    <w:rsid w:val="2670F0A4"/>
    <w:rsid w:val="26714EFA"/>
    <w:rsid w:val="2672F300"/>
    <w:rsid w:val="26730977"/>
    <w:rsid w:val="2673D3FD"/>
    <w:rsid w:val="26742BA0"/>
    <w:rsid w:val="2674D366"/>
    <w:rsid w:val="26750A8C"/>
    <w:rsid w:val="26751AA8"/>
    <w:rsid w:val="2675538B"/>
    <w:rsid w:val="2677096D"/>
    <w:rsid w:val="267737FF"/>
    <w:rsid w:val="26787B7B"/>
    <w:rsid w:val="2678FB1D"/>
    <w:rsid w:val="26790577"/>
    <w:rsid w:val="267ABBF9"/>
    <w:rsid w:val="267BBA12"/>
    <w:rsid w:val="267C6817"/>
    <w:rsid w:val="267C79FA"/>
    <w:rsid w:val="267CE471"/>
    <w:rsid w:val="268011BC"/>
    <w:rsid w:val="268027BA"/>
    <w:rsid w:val="2680EA1E"/>
    <w:rsid w:val="26810EFD"/>
    <w:rsid w:val="26828A14"/>
    <w:rsid w:val="2682F936"/>
    <w:rsid w:val="2683D429"/>
    <w:rsid w:val="2683E8AF"/>
    <w:rsid w:val="26845D94"/>
    <w:rsid w:val="26846593"/>
    <w:rsid w:val="2684E31B"/>
    <w:rsid w:val="2684F1D7"/>
    <w:rsid w:val="26850965"/>
    <w:rsid w:val="26854B17"/>
    <w:rsid w:val="2685634A"/>
    <w:rsid w:val="26861595"/>
    <w:rsid w:val="268675B2"/>
    <w:rsid w:val="26867F2A"/>
    <w:rsid w:val="2688F395"/>
    <w:rsid w:val="268A2C1B"/>
    <w:rsid w:val="268AC069"/>
    <w:rsid w:val="268B4338"/>
    <w:rsid w:val="268B8011"/>
    <w:rsid w:val="268B9CF7"/>
    <w:rsid w:val="268C24F1"/>
    <w:rsid w:val="268C417D"/>
    <w:rsid w:val="268C4A81"/>
    <w:rsid w:val="268CAC81"/>
    <w:rsid w:val="268CD713"/>
    <w:rsid w:val="268D859E"/>
    <w:rsid w:val="268D9E90"/>
    <w:rsid w:val="268E0F56"/>
    <w:rsid w:val="268E7C82"/>
    <w:rsid w:val="268E955D"/>
    <w:rsid w:val="268EA258"/>
    <w:rsid w:val="268EED9E"/>
    <w:rsid w:val="268F7B48"/>
    <w:rsid w:val="269011AA"/>
    <w:rsid w:val="2690857F"/>
    <w:rsid w:val="2690B4B2"/>
    <w:rsid w:val="2691392C"/>
    <w:rsid w:val="269147BD"/>
    <w:rsid w:val="2691E8CB"/>
    <w:rsid w:val="26928574"/>
    <w:rsid w:val="2693A370"/>
    <w:rsid w:val="26940E0F"/>
    <w:rsid w:val="26942CFA"/>
    <w:rsid w:val="269431BD"/>
    <w:rsid w:val="2694549A"/>
    <w:rsid w:val="26949368"/>
    <w:rsid w:val="269498B1"/>
    <w:rsid w:val="2694DCBC"/>
    <w:rsid w:val="2696652D"/>
    <w:rsid w:val="2696CE38"/>
    <w:rsid w:val="2697A84F"/>
    <w:rsid w:val="2698BF08"/>
    <w:rsid w:val="2698C340"/>
    <w:rsid w:val="26997C67"/>
    <w:rsid w:val="2699DB91"/>
    <w:rsid w:val="269A7173"/>
    <w:rsid w:val="269B31CF"/>
    <w:rsid w:val="269B414F"/>
    <w:rsid w:val="269B6E06"/>
    <w:rsid w:val="269B9960"/>
    <w:rsid w:val="269BBD68"/>
    <w:rsid w:val="269C810D"/>
    <w:rsid w:val="269CF908"/>
    <w:rsid w:val="269D6F5F"/>
    <w:rsid w:val="269DC4ED"/>
    <w:rsid w:val="269E03CF"/>
    <w:rsid w:val="269E70A6"/>
    <w:rsid w:val="269F6F68"/>
    <w:rsid w:val="269FECBD"/>
    <w:rsid w:val="26A0AECB"/>
    <w:rsid w:val="26A0C988"/>
    <w:rsid w:val="26A20176"/>
    <w:rsid w:val="26A21EAD"/>
    <w:rsid w:val="26A2844C"/>
    <w:rsid w:val="26A2CDAF"/>
    <w:rsid w:val="26A332E7"/>
    <w:rsid w:val="26A38B03"/>
    <w:rsid w:val="26A3928D"/>
    <w:rsid w:val="26A3C5E1"/>
    <w:rsid w:val="26A3D151"/>
    <w:rsid w:val="26A46817"/>
    <w:rsid w:val="26A4BBAB"/>
    <w:rsid w:val="26A4EF7B"/>
    <w:rsid w:val="26A54C0E"/>
    <w:rsid w:val="26A5A0C6"/>
    <w:rsid w:val="26A5DFE1"/>
    <w:rsid w:val="26A65C2D"/>
    <w:rsid w:val="26A68461"/>
    <w:rsid w:val="26A6FB55"/>
    <w:rsid w:val="26A71A85"/>
    <w:rsid w:val="26A727D7"/>
    <w:rsid w:val="26A75831"/>
    <w:rsid w:val="26A7B120"/>
    <w:rsid w:val="26A88DD5"/>
    <w:rsid w:val="26A92906"/>
    <w:rsid w:val="26A95BBA"/>
    <w:rsid w:val="26A97175"/>
    <w:rsid w:val="26A9E879"/>
    <w:rsid w:val="26ACB68D"/>
    <w:rsid w:val="26AD6CC4"/>
    <w:rsid w:val="26AE67BB"/>
    <w:rsid w:val="26AF1FA6"/>
    <w:rsid w:val="26AF8255"/>
    <w:rsid w:val="26AFF662"/>
    <w:rsid w:val="26B08D74"/>
    <w:rsid w:val="26B0F80A"/>
    <w:rsid w:val="26B12D7D"/>
    <w:rsid w:val="26B16087"/>
    <w:rsid w:val="26B176F7"/>
    <w:rsid w:val="26B1B6E5"/>
    <w:rsid w:val="26B1E8CB"/>
    <w:rsid w:val="26B243AF"/>
    <w:rsid w:val="26B2FB43"/>
    <w:rsid w:val="26B4776A"/>
    <w:rsid w:val="26B4FFFD"/>
    <w:rsid w:val="26B55EAF"/>
    <w:rsid w:val="26B5DF4F"/>
    <w:rsid w:val="26B62E64"/>
    <w:rsid w:val="26B64C4B"/>
    <w:rsid w:val="26B6880C"/>
    <w:rsid w:val="26B69B4F"/>
    <w:rsid w:val="26B7BBEB"/>
    <w:rsid w:val="26B95004"/>
    <w:rsid w:val="26B99737"/>
    <w:rsid w:val="26BA0369"/>
    <w:rsid w:val="26BA3167"/>
    <w:rsid w:val="26BA9D84"/>
    <w:rsid w:val="26BC638D"/>
    <w:rsid w:val="26BC7D3F"/>
    <w:rsid w:val="26BC7DD2"/>
    <w:rsid w:val="26BD1AA3"/>
    <w:rsid w:val="26BDAAC6"/>
    <w:rsid w:val="26BDD489"/>
    <w:rsid w:val="26BE1864"/>
    <w:rsid w:val="26BF782C"/>
    <w:rsid w:val="26BFFC03"/>
    <w:rsid w:val="26C074C7"/>
    <w:rsid w:val="26C0F78B"/>
    <w:rsid w:val="26C1D2A5"/>
    <w:rsid w:val="26C255DE"/>
    <w:rsid w:val="26C25BB7"/>
    <w:rsid w:val="26C2AD71"/>
    <w:rsid w:val="26C31F78"/>
    <w:rsid w:val="26C324B1"/>
    <w:rsid w:val="26C41D35"/>
    <w:rsid w:val="26C41EC6"/>
    <w:rsid w:val="26C45DD0"/>
    <w:rsid w:val="26C4AB37"/>
    <w:rsid w:val="26C4F775"/>
    <w:rsid w:val="26C55F2F"/>
    <w:rsid w:val="26C5EBFA"/>
    <w:rsid w:val="26C72A8F"/>
    <w:rsid w:val="26C78BCB"/>
    <w:rsid w:val="26C85792"/>
    <w:rsid w:val="26C86BEB"/>
    <w:rsid w:val="26C9910E"/>
    <w:rsid w:val="26C9CC4A"/>
    <w:rsid w:val="26CA15AE"/>
    <w:rsid w:val="26CB32B0"/>
    <w:rsid w:val="26CBA8BC"/>
    <w:rsid w:val="26CD15AC"/>
    <w:rsid w:val="26CDA157"/>
    <w:rsid w:val="26CDA8FE"/>
    <w:rsid w:val="26CDAE68"/>
    <w:rsid w:val="26CE5861"/>
    <w:rsid w:val="26CEFDF6"/>
    <w:rsid w:val="26CFDFC3"/>
    <w:rsid w:val="26D00248"/>
    <w:rsid w:val="26D0CF06"/>
    <w:rsid w:val="26D187C3"/>
    <w:rsid w:val="26D1B2E2"/>
    <w:rsid w:val="26D1F253"/>
    <w:rsid w:val="26D3A6D5"/>
    <w:rsid w:val="26D4C8C8"/>
    <w:rsid w:val="26D4CF7F"/>
    <w:rsid w:val="26D4F481"/>
    <w:rsid w:val="26D5065B"/>
    <w:rsid w:val="26D52D7D"/>
    <w:rsid w:val="26D577A4"/>
    <w:rsid w:val="26D6A819"/>
    <w:rsid w:val="26D6D2C4"/>
    <w:rsid w:val="26D70801"/>
    <w:rsid w:val="26D82A1E"/>
    <w:rsid w:val="26D8F99B"/>
    <w:rsid w:val="26DA200D"/>
    <w:rsid w:val="26DAEF3F"/>
    <w:rsid w:val="26DAF6B9"/>
    <w:rsid w:val="26DAFE01"/>
    <w:rsid w:val="26DB4855"/>
    <w:rsid w:val="26DCBACB"/>
    <w:rsid w:val="26DD0150"/>
    <w:rsid w:val="26DD7F2D"/>
    <w:rsid w:val="26DDCB73"/>
    <w:rsid w:val="26DDE1C2"/>
    <w:rsid w:val="26DE84CA"/>
    <w:rsid w:val="26DE9B41"/>
    <w:rsid w:val="26DEFA37"/>
    <w:rsid w:val="26DF331D"/>
    <w:rsid w:val="26E03FD8"/>
    <w:rsid w:val="26E088EC"/>
    <w:rsid w:val="26E1579A"/>
    <w:rsid w:val="26E18662"/>
    <w:rsid w:val="26E39B22"/>
    <w:rsid w:val="26E3B0A3"/>
    <w:rsid w:val="26E42E0A"/>
    <w:rsid w:val="26E43C95"/>
    <w:rsid w:val="26E50A2C"/>
    <w:rsid w:val="26E533C0"/>
    <w:rsid w:val="26E58E21"/>
    <w:rsid w:val="26E5F432"/>
    <w:rsid w:val="26E6769E"/>
    <w:rsid w:val="26E74725"/>
    <w:rsid w:val="26E758D1"/>
    <w:rsid w:val="26E7F90C"/>
    <w:rsid w:val="26E8B15C"/>
    <w:rsid w:val="26E8B942"/>
    <w:rsid w:val="26E9F423"/>
    <w:rsid w:val="26EAA09B"/>
    <w:rsid w:val="26EB7F78"/>
    <w:rsid w:val="26EB8A36"/>
    <w:rsid w:val="26EC910C"/>
    <w:rsid w:val="26ECCFA2"/>
    <w:rsid w:val="26ED46DA"/>
    <w:rsid w:val="26EDA9A3"/>
    <w:rsid w:val="26EDFF41"/>
    <w:rsid w:val="26EE13C4"/>
    <w:rsid w:val="26EEAE70"/>
    <w:rsid w:val="26EFB6F1"/>
    <w:rsid w:val="26F09569"/>
    <w:rsid w:val="26F0C0BF"/>
    <w:rsid w:val="26F0FB42"/>
    <w:rsid w:val="26F12F86"/>
    <w:rsid w:val="26F19C2D"/>
    <w:rsid w:val="26F1BF4F"/>
    <w:rsid w:val="26F1FDF1"/>
    <w:rsid w:val="26F2210B"/>
    <w:rsid w:val="26F25C78"/>
    <w:rsid w:val="26F35733"/>
    <w:rsid w:val="26F3D9B6"/>
    <w:rsid w:val="26F68C60"/>
    <w:rsid w:val="26F7CC98"/>
    <w:rsid w:val="26F81633"/>
    <w:rsid w:val="26F8C535"/>
    <w:rsid w:val="26F8EFAA"/>
    <w:rsid w:val="26F9A6ED"/>
    <w:rsid w:val="26FA52F5"/>
    <w:rsid w:val="26FAC406"/>
    <w:rsid w:val="26FB0136"/>
    <w:rsid w:val="26FB0FEC"/>
    <w:rsid w:val="26FB6656"/>
    <w:rsid w:val="26FC5DD8"/>
    <w:rsid w:val="26FD4DD6"/>
    <w:rsid w:val="26FD68C6"/>
    <w:rsid w:val="26FE505B"/>
    <w:rsid w:val="26FE6500"/>
    <w:rsid w:val="26FFD0E3"/>
    <w:rsid w:val="27004BA3"/>
    <w:rsid w:val="2700C6F1"/>
    <w:rsid w:val="27010CD8"/>
    <w:rsid w:val="27015DCF"/>
    <w:rsid w:val="2702A5F7"/>
    <w:rsid w:val="2702E390"/>
    <w:rsid w:val="27033579"/>
    <w:rsid w:val="2704A849"/>
    <w:rsid w:val="27059FEC"/>
    <w:rsid w:val="2705AB5B"/>
    <w:rsid w:val="2705E7E2"/>
    <w:rsid w:val="2707B6DD"/>
    <w:rsid w:val="2708286E"/>
    <w:rsid w:val="2708322C"/>
    <w:rsid w:val="27084325"/>
    <w:rsid w:val="27086EF5"/>
    <w:rsid w:val="2708BD1B"/>
    <w:rsid w:val="27095A21"/>
    <w:rsid w:val="2709645F"/>
    <w:rsid w:val="270A4851"/>
    <w:rsid w:val="270AFCE5"/>
    <w:rsid w:val="270B4EAE"/>
    <w:rsid w:val="270BAB15"/>
    <w:rsid w:val="270C2CC2"/>
    <w:rsid w:val="270CA99D"/>
    <w:rsid w:val="270D8351"/>
    <w:rsid w:val="270D9ED7"/>
    <w:rsid w:val="270DCE06"/>
    <w:rsid w:val="270E0E21"/>
    <w:rsid w:val="270E4B2F"/>
    <w:rsid w:val="270ECE9D"/>
    <w:rsid w:val="270F6DE2"/>
    <w:rsid w:val="27105BF1"/>
    <w:rsid w:val="2710D416"/>
    <w:rsid w:val="27116990"/>
    <w:rsid w:val="27118C6D"/>
    <w:rsid w:val="2711D4C5"/>
    <w:rsid w:val="271217C4"/>
    <w:rsid w:val="271336FE"/>
    <w:rsid w:val="27138404"/>
    <w:rsid w:val="27157F99"/>
    <w:rsid w:val="27164520"/>
    <w:rsid w:val="2716809C"/>
    <w:rsid w:val="2716BE36"/>
    <w:rsid w:val="2716E348"/>
    <w:rsid w:val="2716F65D"/>
    <w:rsid w:val="27170007"/>
    <w:rsid w:val="27173910"/>
    <w:rsid w:val="27173CF4"/>
    <w:rsid w:val="271741C1"/>
    <w:rsid w:val="27176924"/>
    <w:rsid w:val="27177604"/>
    <w:rsid w:val="2717BC35"/>
    <w:rsid w:val="27182ED9"/>
    <w:rsid w:val="27185AAE"/>
    <w:rsid w:val="271905E0"/>
    <w:rsid w:val="27199AB3"/>
    <w:rsid w:val="27199D56"/>
    <w:rsid w:val="2719C54D"/>
    <w:rsid w:val="271A219C"/>
    <w:rsid w:val="271A96A0"/>
    <w:rsid w:val="271ABD10"/>
    <w:rsid w:val="271B5DB5"/>
    <w:rsid w:val="271BACC4"/>
    <w:rsid w:val="271BFE55"/>
    <w:rsid w:val="271CFB53"/>
    <w:rsid w:val="271D0DC5"/>
    <w:rsid w:val="271D6B9C"/>
    <w:rsid w:val="271E182D"/>
    <w:rsid w:val="271E75DD"/>
    <w:rsid w:val="271E849F"/>
    <w:rsid w:val="271E995F"/>
    <w:rsid w:val="271ED741"/>
    <w:rsid w:val="271EE731"/>
    <w:rsid w:val="271F0774"/>
    <w:rsid w:val="271F1D45"/>
    <w:rsid w:val="272126BD"/>
    <w:rsid w:val="27213D4A"/>
    <w:rsid w:val="2721D215"/>
    <w:rsid w:val="27224C75"/>
    <w:rsid w:val="27228BE2"/>
    <w:rsid w:val="2722BB99"/>
    <w:rsid w:val="2722DEE8"/>
    <w:rsid w:val="2722E3E1"/>
    <w:rsid w:val="2724BA6B"/>
    <w:rsid w:val="272587DC"/>
    <w:rsid w:val="2725ABD5"/>
    <w:rsid w:val="272637D3"/>
    <w:rsid w:val="27269BF3"/>
    <w:rsid w:val="2726CC27"/>
    <w:rsid w:val="2727907E"/>
    <w:rsid w:val="272833B0"/>
    <w:rsid w:val="27285D55"/>
    <w:rsid w:val="27290B93"/>
    <w:rsid w:val="272A12AB"/>
    <w:rsid w:val="272A5623"/>
    <w:rsid w:val="272A8E05"/>
    <w:rsid w:val="272B4BC3"/>
    <w:rsid w:val="272B62F9"/>
    <w:rsid w:val="272B8942"/>
    <w:rsid w:val="272C3591"/>
    <w:rsid w:val="272C61BE"/>
    <w:rsid w:val="272CCDC3"/>
    <w:rsid w:val="272D7E3D"/>
    <w:rsid w:val="272DB3BF"/>
    <w:rsid w:val="272DCB5C"/>
    <w:rsid w:val="272E5B29"/>
    <w:rsid w:val="272F0D3F"/>
    <w:rsid w:val="27300293"/>
    <w:rsid w:val="27305D69"/>
    <w:rsid w:val="27307280"/>
    <w:rsid w:val="2730E707"/>
    <w:rsid w:val="27315AA2"/>
    <w:rsid w:val="27320A3D"/>
    <w:rsid w:val="27337393"/>
    <w:rsid w:val="2733D109"/>
    <w:rsid w:val="2734F112"/>
    <w:rsid w:val="27358685"/>
    <w:rsid w:val="27364B9D"/>
    <w:rsid w:val="2736990C"/>
    <w:rsid w:val="2737D26D"/>
    <w:rsid w:val="2737D45F"/>
    <w:rsid w:val="2737E9D2"/>
    <w:rsid w:val="2738540B"/>
    <w:rsid w:val="27386D61"/>
    <w:rsid w:val="273891BA"/>
    <w:rsid w:val="2738D347"/>
    <w:rsid w:val="2738D582"/>
    <w:rsid w:val="27391EDD"/>
    <w:rsid w:val="273B3B01"/>
    <w:rsid w:val="273B70BE"/>
    <w:rsid w:val="273B941C"/>
    <w:rsid w:val="273BA88F"/>
    <w:rsid w:val="273BE8DE"/>
    <w:rsid w:val="273C0BA3"/>
    <w:rsid w:val="273C345B"/>
    <w:rsid w:val="273C4A06"/>
    <w:rsid w:val="273C62CE"/>
    <w:rsid w:val="273CA4C6"/>
    <w:rsid w:val="273D8F23"/>
    <w:rsid w:val="273D8FD2"/>
    <w:rsid w:val="273DD0F0"/>
    <w:rsid w:val="273E943C"/>
    <w:rsid w:val="273F1172"/>
    <w:rsid w:val="2740018A"/>
    <w:rsid w:val="27412B8D"/>
    <w:rsid w:val="2741CD8A"/>
    <w:rsid w:val="274245EF"/>
    <w:rsid w:val="27431669"/>
    <w:rsid w:val="2745971C"/>
    <w:rsid w:val="2746710F"/>
    <w:rsid w:val="2746AD53"/>
    <w:rsid w:val="27470FF4"/>
    <w:rsid w:val="27477B31"/>
    <w:rsid w:val="27480CAB"/>
    <w:rsid w:val="2748157C"/>
    <w:rsid w:val="2748DD6B"/>
    <w:rsid w:val="2749271C"/>
    <w:rsid w:val="2749B5E4"/>
    <w:rsid w:val="274A2A59"/>
    <w:rsid w:val="274A6E77"/>
    <w:rsid w:val="274AA48B"/>
    <w:rsid w:val="274ADDD6"/>
    <w:rsid w:val="274AF51D"/>
    <w:rsid w:val="274C2B0E"/>
    <w:rsid w:val="274C61C6"/>
    <w:rsid w:val="274CD00C"/>
    <w:rsid w:val="274D41B9"/>
    <w:rsid w:val="274D6CB3"/>
    <w:rsid w:val="274E0E03"/>
    <w:rsid w:val="274E7F9A"/>
    <w:rsid w:val="274EC888"/>
    <w:rsid w:val="274ED3F4"/>
    <w:rsid w:val="274FCC2D"/>
    <w:rsid w:val="274FD29F"/>
    <w:rsid w:val="274FF1EB"/>
    <w:rsid w:val="275036AC"/>
    <w:rsid w:val="2750E3F9"/>
    <w:rsid w:val="2751DD8E"/>
    <w:rsid w:val="2751DEE8"/>
    <w:rsid w:val="275213CC"/>
    <w:rsid w:val="27522978"/>
    <w:rsid w:val="2752400D"/>
    <w:rsid w:val="27536A98"/>
    <w:rsid w:val="2753E7E7"/>
    <w:rsid w:val="2753FA85"/>
    <w:rsid w:val="27545FE2"/>
    <w:rsid w:val="27549C2C"/>
    <w:rsid w:val="2754B480"/>
    <w:rsid w:val="2754C60D"/>
    <w:rsid w:val="27555CC1"/>
    <w:rsid w:val="27557A65"/>
    <w:rsid w:val="27559B01"/>
    <w:rsid w:val="2755AFB5"/>
    <w:rsid w:val="27561942"/>
    <w:rsid w:val="27568047"/>
    <w:rsid w:val="275902EA"/>
    <w:rsid w:val="27597BA7"/>
    <w:rsid w:val="275A1EA4"/>
    <w:rsid w:val="275A42F9"/>
    <w:rsid w:val="275A7F6A"/>
    <w:rsid w:val="275AF53C"/>
    <w:rsid w:val="275B137A"/>
    <w:rsid w:val="275B4C6A"/>
    <w:rsid w:val="275CB964"/>
    <w:rsid w:val="275D081E"/>
    <w:rsid w:val="275D184E"/>
    <w:rsid w:val="275DA7AC"/>
    <w:rsid w:val="275DDBA9"/>
    <w:rsid w:val="275E2940"/>
    <w:rsid w:val="275E96B1"/>
    <w:rsid w:val="275F2704"/>
    <w:rsid w:val="275F53EA"/>
    <w:rsid w:val="2760CA4E"/>
    <w:rsid w:val="2760D62D"/>
    <w:rsid w:val="2760DA3E"/>
    <w:rsid w:val="27610F92"/>
    <w:rsid w:val="276154F4"/>
    <w:rsid w:val="2763B4BD"/>
    <w:rsid w:val="27649B4C"/>
    <w:rsid w:val="2764EC09"/>
    <w:rsid w:val="27663269"/>
    <w:rsid w:val="27667B69"/>
    <w:rsid w:val="2766C57A"/>
    <w:rsid w:val="2766D2CB"/>
    <w:rsid w:val="2766EDB7"/>
    <w:rsid w:val="276716ED"/>
    <w:rsid w:val="27673A97"/>
    <w:rsid w:val="2768393B"/>
    <w:rsid w:val="27686083"/>
    <w:rsid w:val="2768AB7F"/>
    <w:rsid w:val="27697EDD"/>
    <w:rsid w:val="2769B6F3"/>
    <w:rsid w:val="2769CBD6"/>
    <w:rsid w:val="276B4FF3"/>
    <w:rsid w:val="276CC0F9"/>
    <w:rsid w:val="276D0CBD"/>
    <w:rsid w:val="276D3EE0"/>
    <w:rsid w:val="276D82DB"/>
    <w:rsid w:val="276DAED1"/>
    <w:rsid w:val="276E5762"/>
    <w:rsid w:val="276E99F0"/>
    <w:rsid w:val="276EC042"/>
    <w:rsid w:val="276ECC44"/>
    <w:rsid w:val="276F15E1"/>
    <w:rsid w:val="27709F7E"/>
    <w:rsid w:val="2770C975"/>
    <w:rsid w:val="27720F71"/>
    <w:rsid w:val="2772B517"/>
    <w:rsid w:val="2772DEFD"/>
    <w:rsid w:val="2773BDD5"/>
    <w:rsid w:val="2774564A"/>
    <w:rsid w:val="27749818"/>
    <w:rsid w:val="2774A763"/>
    <w:rsid w:val="2774D219"/>
    <w:rsid w:val="27752DC2"/>
    <w:rsid w:val="277592C8"/>
    <w:rsid w:val="27768DFF"/>
    <w:rsid w:val="2776AB5E"/>
    <w:rsid w:val="2777155C"/>
    <w:rsid w:val="27778E13"/>
    <w:rsid w:val="2777AF65"/>
    <w:rsid w:val="277886DF"/>
    <w:rsid w:val="2778AEF4"/>
    <w:rsid w:val="2778B20C"/>
    <w:rsid w:val="2778DC93"/>
    <w:rsid w:val="2778DF79"/>
    <w:rsid w:val="27792FDA"/>
    <w:rsid w:val="2779B20D"/>
    <w:rsid w:val="277AA8DF"/>
    <w:rsid w:val="277B220A"/>
    <w:rsid w:val="277B6D40"/>
    <w:rsid w:val="277C2365"/>
    <w:rsid w:val="277C6A7E"/>
    <w:rsid w:val="277CB3E8"/>
    <w:rsid w:val="277D2626"/>
    <w:rsid w:val="277D49F8"/>
    <w:rsid w:val="277D8389"/>
    <w:rsid w:val="277D8EE3"/>
    <w:rsid w:val="277DC3EF"/>
    <w:rsid w:val="277F068D"/>
    <w:rsid w:val="278085C9"/>
    <w:rsid w:val="27810735"/>
    <w:rsid w:val="27814165"/>
    <w:rsid w:val="27818482"/>
    <w:rsid w:val="278240A6"/>
    <w:rsid w:val="27824C29"/>
    <w:rsid w:val="2782C3D6"/>
    <w:rsid w:val="2783128A"/>
    <w:rsid w:val="278325B7"/>
    <w:rsid w:val="2783CE99"/>
    <w:rsid w:val="2783FDE9"/>
    <w:rsid w:val="27842013"/>
    <w:rsid w:val="27847B28"/>
    <w:rsid w:val="27856D48"/>
    <w:rsid w:val="2785E422"/>
    <w:rsid w:val="278738C6"/>
    <w:rsid w:val="27883D89"/>
    <w:rsid w:val="27889887"/>
    <w:rsid w:val="27890307"/>
    <w:rsid w:val="27890E9E"/>
    <w:rsid w:val="27891D13"/>
    <w:rsid w:val="27895FAD"/>
    <w:rsid w:val="2789CA3D"/>
    <w:rsid w:val="278CBE87"/>
    <w:rsid w:val="278D1004"/>
    <w:rsid w:val="278D52F0"/>
    <w:rsid w:val="278D5BD2"/>
    <w:rsid w:val="278DB514"/>
    <w:rsid w:val="278DE72E"/>
    <w:rsid w:val="278E2859"/>
    <w:rsid w:val="278E5057"/>
    <w:rsid w:val="278E5917"/>
    <w:rsid w:val="278ECAE9"/>
    <w:rsid w:val="278EDFA3"/>
    <w:rsid w:val="278F1F52"/>
    <w:rsid w:val="278F5AFC"/>
    <w:rsid w:val="278F5C53"/>
    <w:rsid w:val="278F9ABE"/>
    <w:rsid w:val="27909413"/>
    <w:rsid w:val="2790D0BB"/>
    <w:rsid w:val="2791AD23"/>
    <w:rsid w:val="27933222"/>
    <w:rsid w:val="27933BD4"/>
    <w:rsid w:val="279344A8"/>
    <w:rsid w:val="27959D06"/>
    <w:rsid w:val="2795B93E"/>
    <w:rsid w:val="2795FC58"/>
    <w:rsid w:val="27968106"/>
    <w:rsid w:val="2796ED3B"/>
    <w:rsid w:val="2797C2DD"/>
    <w:rsid w:val="2797D127"/>
    <w:rsid w:val="2797FD20"/>
    <w:rsid w:val="27981E62"/>
    <w:rsid w:val="27983FE0"/>
    <w:rsid w:val="27988E7E"/>
    <w:rsid w:val="27989F92"/>
    <w:rsid w:val="279AE857"/>
    <w:rsid w:val="279AFA7A"/>
    <w:rsid w:val="279B612A"/>
    <w:rsid w:val="279BE5B5"/>
    <w:rsid w:val="279C182A"/>
    <w:rsid w:val="279C5AC4"/>
    <w:rsid w:val="279D601F"/>
    <w:rsid w:val="279DE2C3"/>
    <w:rsid w:val="279E246A"/>
    <w:rsid w:val="279E51B9"/>
    <w:rsid w:val="279F923F"/>
    <w:rsid w:val="279F9EB8"/>
    <w:rsid w:val="279FFF85"/>
    <w:rsid w:val="27A005EC"/>
    <w:rsid w:val="27A07495"/>
    <w:rsid w:val="27A0946A"/>
    <w:rsid w:val="27A0FACA"/>
    <w:rsid w:val="27A10B68"/>
    <w:rsid w:val="27A2BFF5"/>
    <w:rsid w:val="27A2D7AA"/>
    <w:rsid w:val="27A3197C"/>
    <w:rsid w:val="27A39B1E"/>
    <w:rsid w:val="27A3A426"/>
    <w:rsid w:val="27A3FA43"/>
    <w:rsid w:val="27A51172"/>
    <w:rsid w:val="27A5C111"/>
    <w:rsid w:val="27A61DFF"/>
    <w:rsid w:val="27A62416"/>
    <w:rsid w:val="27A62AF8"/>
    <w:rsid w:val="27A67C2A"/>
    <w:rsid w:val="27A6E03E"/>
    <w:rsid w:val="27A6FE87"/>
    <w:rsid w:val="27A7986E"/>
    <w:rsid w:val="27A8AE06"/>
    <w:rsid w:val="27A8FD4E"/>
    <w:rsid w:val="27A94463"/>
    <w:rsid w:val="27A9D0CD"/>
    <w:rsid w:val="27AA7088"/>
    <w:rsid w:val="27AA8226"/>
    <w:rsid w:val="27AAE4F5"/>
    <w:rsid w:val="27AB3720"/>
    <w:rsid w:val="27AB5CDE"/>
    <w:rsid w:val="27AB7417"/>
    <w:rsid w:val="27ABBE56"/>
    <w:rsid w:val="27ABCBA9"/>
    <w:rsid w:val="27AC28B0"/>
    <w:rsid w:val="27AC6CB3"/>
    <w:rsid w:val="27ACA767"/>
    <w:rsid w:val="27AD2898"/>
    <w:rsid w:val="27AD318A"/>
    <w:rsid w:val="27ADA062"/>
    <w:rsid w:val="27AEB713"/>
    <w:rsid w:val="27AF1DCA"/>
    <w:rsid w:val="27AF2F20"/>
    <w:rsid w:val="27AF94C9"/>
    <w:rsid w:val="27B03B83"/>
    <w:rsid w:val="27B0635A"/>
    <w:rsid w:val="27B10608"/>
    <w:rsid w:val="27B1D2C3"/>
    <w:rsid w:val="27B248D2"/>
    <w:rsid w:val="27B2C54A"/>
    <w:rsid w:val="27B2CDFD"/>
    <w:rsid w:val="27B3728E"/>
    <w:rsid w:val="27B42647"/>
    <w:rsid w:val="27B4BEAA"/>
    <w:rsid w:val="27B4FB30"/>
    <w:rsid w:val="27B5F8B4"/>
    <w:rsid w:val="27B64832"/>
    <w:rsid w:val="27B65E0B"/>
    <w:rsid w:val="27B6A869"/>
    <w:rsid w:val="27B6BCA7"/>
    <w:rsid w:val="27B6F545"/>
    <w:rsid w:val="27B722D0"/>
    <w:rsid w:val="27B72AB3"/>
    <w:rsid w:val="27B75B13"/>
    <w:rsid w:val="27B8BAFC"/>
    <w:rsid w:val="27B8BE13"/>
    <w:rsid w:val="27B8CAFA"/>
    <w:rsid w:val="27B95883"/>
    <w:rsid w:val="27BA34D4"/>
    <w:rsid w:val="27BA8AC4"/>
    <w:rsid w:val="27BAA603"/>
    <w:rsid w:val="27BAC4FD"/>
    <w:rsid w:val="27BB66B7"/>
    <w:rsid w:val="27BBACF7"/>
    <w:rsid w:val="27BBC949"/>
    <w:rsid w:val="27BC365F"/>
    <w:rsid w:val="27BCFD8D"/>
    <w:rsid w:val="27BD9F60"/>
    <w:rsid w:val="27BDDA9B"/>
    <w:rsid w:val="27BF3252"/>
    <w:rsid w:val="27BFAB65"/>
    <w:rsid w:val="27C096FA"/>
    <w:rsid w:val="27C10A69"/>
    <w:rsid w:val="27C283A8"/>
    <w:rsid w:val="27C2E47F"/>
    <w:rsid w:val="27C325A4"/>
    <w:rsid w:val="27C347CF"/>
    <w:rsid w:val="27C354D3"/>
    <w:rsid w:val="27C3F827"/>
    <w:rsid w:val="27C4253A"/>
    <w:rsid w:val="27C506DD"/>
    <w:rsid w:val="27C609E8"/>
    <w:rsid w:val="27C6F52D"/>
    <w:rsid w:val="27C72F78"/>
    <w:rsid w:val="27C733EA"/>
    <w:rsid w:val="27C7C0C1"/>
    <w:rsid w:val="27C834A3"/>
    <w:rsid w:val="27C83F88"/>
    <w:rsid w:val="27C85D10"/>
    <w:rsid w:val="27C92326"/>
    <w:rsid w:val="27C99480"/>
    <w:rsid w:val="27C9BB0B"/>
    <w:rsid w:val="27CA5B5C"/>
    <w:rsid w:val="27CABF66"/>
    <w:rsid w:val="27CAF85E"/>
    <w:rsid w:val="27CBA3B6"/>
    <w:rsid w:val="27CBA798"/>
    <w:rsid w:val="27CBB0E8"/>
    <w:rsid w:val="27CC04CA"/>
    <w:rsid w:val="27CE26D7"/>
    <w:rsid w:val="27CF1DEF"/>
    <w:rsid w:val="27CFBDB6"/>
    <w:rsid w:val="27CFF5DE"/>
    <w:rsid w:val="27D0022C"/>
    <w:rsid w:val="27D015F9"/>
    <w:rsid w:val="27D07132"/>
    <w:rsid w:val="27D129D6"/>
    <w:rsid w:val="27D24CA0"/>
    <w:rsid w:val="27D26C15"/>
    <w:rsid w:val="27D27AA3"/>
    <w:rsid w:val="27D27CC9"/>
    <w:rsid w:val="27D42ABE"/>
    <w:rsid w:val="27D4F836"/>
    <w:rsid w:val="27D556CD"/>
    <w:rsid w:val="27D56025"/>
    <w:rsid w:val="27D5D18A"/>
    <w:rsid w:val="27D629C3"/>
    <w:rsid w:val="27D65877"/>
    <w:rsid w:val="27D6C1A8"/>
    <w:rsid w:val="27D80F78"/>
    <w:rsid w:val="27D887ED"/>
    <w:rsid w:val="27D8F48F"/>
    <w:rsid w:val="27D92BA4"/>
    <w:rsid w:val="27DA491E"/>
    <w:rsid w:val="27DA637E"/>
    <w:rsid w:val="27DADD53"/>
    <w:rsid w:val="27DBEE01"/>
    <w:rsid w:val="27DCCE3D"/>
    <w:rsid w:val="27DDB009"/>
    <w:rsid w:val="27DE160C"/>
    <w:rsid w:val="27DE3D07"/>
    <w:rsid w:val="27DEEC2E"/>
    <w:rsid w:val="27E00D1A"/>
    <w:rsid w:val="27E05059"/>
    <w:rsid w:val="27E080D7"/>
    <w:rsid w:val="27E0E821"/>
    <w:rsid w:val="27E0F306"/>
    <w:rsid w:val="27E18ECA"/>
    <w:rsid w:val="27E2CF0C"/>
    <w:rsid w:val="27E314AC"/>
    <w:rsid w:val="27E3E33E"/>
    <w:rsid w:val="27E408DA"/>
    <w:rsid w:val="27E40D0C"/>
    <w:rsid w:val="27E451C2"/>
    <w:rsid w:val="27E515A8"/>
    <w:rsid w:val="27E58ACC"/>
    <w:rsid w:val="27E608B2"/>
    <w:rsid w:val="27E64EF2"/>
    <w:rsid w:val="27E7AD0F"/>
    <w:rsid w:val="27EA93BD"/>
    <w:rsid w:val="27EB1724"/>
    <w:rsid w:val="27EBCE55"/>
    <w:rsid w:val="27EBF343"/>
    <w:rsid w:val="27ECF53B"/>
    <w:rsid w:val="27F02ED7"/>
    <w:rsid w:val="27F12B8A"/>
    <w:rsid w:val="27F13E78"/>
    <w:rsid w:val="27F16B22"/>
    <w:rsid w:val="27F30633"/>
    <w:rsid w:val="27F3767A"/>
    <w:rsid w:val="27F44C7D"/>
    <w:rsid w:val="27F4B600"/>
    <w:rsid w:val="27F4DC58"/>
    <w:rsid w:val="27F51517"/>
    <w:rsid w:val="27F5F0A6"/>
    <w:rsid w:val="27F66D30"/>
    <w:rsid w:val="27F6713F"/>
    <w:rsid w:val="27F694A4"/>
    <w:rsid w:val="27F769C7"/>
    <w:rsid w:val="27F77F1B"/>
    <w:rsid w:val="27F7C1BB"/>
    <w:rsid w:val="27F7D435"/>
    <w:rsid w:val="27F815E9"/>
    <w:rsid w:val="27F88FE3"/>
    <w:rsid w:val="27FA281E"/>
    <w:rsid w:val="27FA3B4E"/>
    <w:rsid w:val="27FA3E9A"/>
    <w:rsid w:val="27FA7923"/>
    <w:rsid w:val="27FAA2D2"/>
    <w:rsid w:val="27FB5091"/>
    <w:rsid w:val="27FBC77A"/>
    <w:rsid w:val="27FBEBC3"/>
    <w:rsid w:val="27FC4EC4"/>
    <w:rsid w:val="27FC507F"/>
    <w:rsid w:val="27FC7935"/>
    <w:rsid w:val="27FCAE87"/>
    <w:rsid w:val="27FD1513"/>
    <w:rsid w:val="27FD990B"/>
    <w:rsid w:val="27FF31DF"/>
    <w:rsid w:val="27FF337A"/>
    <w:rsid w:val="27FF69E4"/>
    <w:rsid w:val="27FFD1C3"/>
    <w:rsid w:val="27FFE278"/>
    <w:rsid w:val="2800DB15"/>
    <w:rsid w:val="2800F5A2"/>
    <w:rsid w:val="28016FBA"/>
    <w:rsid w:val="28018832"/>
    <w:rsid w:val="2801A0CB"/>
    <w:rsid w:val="2801CF4B"/>
    <w:rsid w:val="2801E3EB"/>
    <w:rsid w:val="280220B4"/>
    <w:rsid w:val="2802A7C7"/>
    <w:rsid w:val="28038D6F"/>
    <w:rsid w:val="2803B224"/>
    <w:rsid w:val="2804D3B6"/>
    <w:rsid w:val="28050C5D"/>
    <w:rsid w:val="280542B1"/>
    <w:rsid w:val="28060585"/>
    <w:rsid w:val="2806111F"/>
    <w:rsid w:val="280667A0"/>
    <w:rsid w:val="28073188"/>
    <w:rsid w:val="2807CDE6"/>
    <w:rsid w:val="2807E5C8"/>
    <w:rsid w:val="28081665"/>
    <w:rsid w:val="280828F4"/>
    <w:rsid w:val="28089E1A"/>
    <w:rsid w:val="280966EA"/>
    <w:rsid w:val="2809F38C"/>
    <w:rsid w:val="280A2E73"/>
    <w:rsid w:val="280AAC52"/>
    <w:rsid w:val="280B00A6"/>
    <w:rsid w:val="280B2D56"/>
    <w:rsid w:val="280BE8F8"/>
    <w:rsid w:val="280C2FC0"/>
    <w:rsid w:val="280CC896"/>
    <w:rsid w:val="280E7B45"/>
    <w:rsid w:val="280E9325"/>
    <w:rsid w:val="280FBB84"/>
    <w:rsid w:val="28104765"/>
    <w:rsid w:val="2810AD1C"/>
    <w:rsid w:val="2810D4BE"/>
    <w:rsid w:val="2811482E"/>
    <w:rsid w:val="2811B281"/>
    <w:rsid w:val="2811D29B"/>
    <w:rsid w:val="2812F909"/>
    <w:rsid w:val="281312FD"/>
    <w:rsid w:val="281318A9"/>
    <w:rsid w:val="28133AD4"/>
    <w:rsid w:val="2814D61F"/>
    <w:rsid w:val="2815269B"/>
    <w:rsid w:val="2815388B"/>
    <w:rsid w:val="28158494"/>
    <w:rsid w:val="2815B4A1"/>
    <w:rsid w:val="281603A9"/>
    <w:rsid w:val="281735A8"/>
    <w:rsid w:val="2817B61E"/>
    <w:rsid w:val="2817D086"/>
    <w:rsid w:val="2818066B"/>
    <w:rsid w:val="28181758"/>
    <w:rsid w:val="281933AD"/>
    <w:rsid w:val="281A19EB"/>
    <w:rsid w:val="281A7446"/>
    <w:rsid w:val="281AC979"/>
    <w:rsid w:val="281B6D73"/>
    <w:rsid w:val="281C0B35"/>
    <w:rsid w:val="281C35F3"/>
    <w:rsid w:val="281D9BEE"/>
    <w:rsid w:val="281DFD2E"/>
    <w:rsid w:val="281E4633"/>
    <w:rsid w:val="281E5C7C"/>
    <w:rsid w:val="281EDC00"/>
    <w:rsid w:val="281F5105"/>
    <w:rsid w:val="281FF98F"/>
    <w:rsid w:val="281FFB3C"/>
    <w:rsid w:val="282020AB"/>
    <w:rsid w:val="2820292A"/>
    <w:rsid w:val="2820DB71"/>
    <w:rsid w:val="28214C61"/>
    <w:rsid w:val="2822AE8C"/>
    <w:rsid w:val="282343B5"/>
    <w:rsid w:val="28234546"/>
    <w:rsid w:val="282534C2"/>
    <w:rsid w:val="282598B5"/>
    <w:rsid w:val="2825E617"/>
    <w:rsid w:val="28264F13"/>
    <w:rsid w:val="282685B5"/>
    <w:rsid w:val="2826CBED"/>
    <w:rsid w:val="2826F68E"/>
    <w:rsid w:val="28280039"/>
    <w:rsid w:val="2828C820"/>
    <w:rsid w:val="28293725"/>
    <w:rsid w:val="2829B30B"/>
    <w:rsid w:val="282A38A0"/>
    <w:rsid w:val="282A3906"/>
    <w:rsid w:val="282A5920"/>
    <w:rsid w:val="282A6789"/>
    <w:rsid w:val="282B6448"/>
    <w:rsid w:val="282BC177"/>
    <w:rsid w:val="282C1C2D"/>
    <w:rsid w:val="282C4221"/>
    <w:rsid w:val="282CCEA4"/>
    <w:rsid w:val="282DD294"/>
    <w:rsid w:val="282E4A51"/>
    <w:rsid w:val="282E6326"/>
    <w:rsid w:val="282EB01C"/>
    <w:rsid w:val="282F23FE"/>
    <w:rsid w:val="282F8A8D"/>
    <w:rsid w:val="282FDE70"/>
    <w:rsid w:val="282FDF20"/>
    <w:rsid w:val="2832343D"/>
    <w:rsid w:val="283297C5"/>
    <w:rsid w:val="2833F77D"/>
    <w:rsid w:val="2834CDF4"/>
    <w:rsid w:val="283523D3"/>
    <w:rsid w:val="28375763"/>
    <w:rsid w:val="2838B3A8"/>
    <w:rsid w:val="28396A40"/>
    <w:rsid w:val="283A317D"/>
    <w:rsid w:val="283A8A85"/>
    <w:rsid w:val="283AB9FA"/>
    <w:rsid w:val="283CE2DA"/>
    <w:rsid w:val="283D4826"/>
    <w:rsid w:val="283DCA28"/>
    <w:rsid w:val="283E6851"/>
    <w:rsid w:val="283E9835"/>
    <w:rsid w:val="283ECC9D"/>
    <w:rsid w:val="284006EB"/>
    <w:rsid w:val="284011D4"/>
    <w:rsid w:val="284098DC"/>
    <w:rsid w:val="2840FA80"/>
    <w:rsid w:val="28411E4B"/>
    <w:rsid w:val="28412C06"/>
    <w:rsid w:val="2841640D"/>
    <w:rsid w:val="2841AA78"/>
    <w:rsid w:val="28423C51"/>
    <w:rsid w:val="2843530D"/>
    <w:rsid w:val="2843E40A"/>
    <w:rsid w:val="2844DAE7"/>
    <w:rsid w:val="2845D85B"/>
    <w:rsid w:val="2845D8C6"/>
    <w:rsid w:val="28460BD1"/>
    <w:rsid w:val="284614FE"/>
    <w:rsid w:val="28462340"/>
    <w:rsid w:val="28467ACF"/>
    <w:rsid w:val="2846A579"/>
    <w:rsid w:val="2846ADE0"/>
    <w:rsid w:val="2846E3E3"/>
    <w:rsid w:val="2847E6C0"/>
    <w:rsid w:val="284886B9"/>
    <w:rsid w:val="2848AE88"/>
    <w:rsid w:val="2848CE71"/>
    <w:rsid w:val="2848EB1B"/>
    <w:rsid w:val="28496D70"/>
    <w:rsid w:val="284C3893"/>
    <w:rsid w:val="284CA84E"/>
    <w:rsid w:val="284CD8A1"/>
    <w:rsid w:val="284D8D18"/>
    <w:rsid w:val="284EF724"/>
    <w:rsid w:val="284F8BED"/>
    <w:rsid w:val="28502575"/>
    <w:rsid w:val="28504AD2"/>
    <w:rsid w:val="28506FAD"/>
    <w:rsid w:val="28507A6A"/>
    <w:rsid w:val="2851178B"/>
    <w:rsid w:val="2851249B"/>
    <w:rsid w:val="2851BDAA"/>
    <w:rsid w:val="2851CC53"/>
    <w:rsid w:val="28525833"/>
    <w:rsid w:val="28526B82"/>
    <w:rsid w:val="2855B262"/>
    <w:rsid w:val="28565E7C"/>
    <w:rsid w:val="28574C7F"/>
    <w:rsid w:val="285851D0"/>
    <w:rsid w:val="2858AF01"/>
    <w:rsid w:val="2858B40D"/>
    <w:rsid w:val="2859E7D5"/>
    <w:rsid w:val="285A165B"/>
    <w:rsid w:val="285A3749"/>
    <w:rsid w:val="285A8672"/>
    <w:rsid w:val="285AB816"/>
    <w:rsid w:val="285AE76B"/>
    <w:rsid w:val="285AF597"/>
    <w:rsid w:val="285BFA66"/>
    <w:rsid w:val="285D0B29"/>
    <w:rsid w:val="285D60F4"/>
    <w:rsid w:val="285D7F0F"/>
    <w:rsid w:val="285DD25C"/>
    <w:rsid w:val="285E50F7"/>
    <w:rsid w:val="285F561A"/>
    <w:rsid w:val="285F8E2C"/>
    <w:rsid w:val="285FFD01"/>
    <w:rsid w:val="28606EF5"/>
    <w:rsid w:val="2860D3DB"/>
    <w:rsid w:val="2861D081"/>
    <w:rsid w:val="28626494"/>
    <w:rsid w:val="28627CA6"/>
    <w:rsid w:val="28639B4E"/>
    <w:rsid w:val="2863ACAA"/>
    <w:rsid w:val="28646FAE"/>
    <w:rsid w:val="28649D32"/>
    <w:rsid w:val="2864AEC0"/>
    <w:rsid w:val="286963CA"/>
    <w:rsid w:val="28696A74"/>
    <w:rsid w:val="28697F60"/>
    <w:rsid w:val="286A1218"/>
    <w:rsid w:val="286AD3EF"/>
    <w:rsid w:val="286B2A2C"/>
    <w:rsid w:val="286B5474"/>
    <w:rsid w:val="286BBF5B"/>
    <w:rsid w:val="286BF10F"/>
    <w:rsid w:val="286D713C"/>
    <w:rsid w:val="286D8343"/>
    <w:rsid w:val="286DFA11"/>
    <w:rsid w:val="286EFEF1"/>
    <w:rsid w:val="286FB8AE"/>
    <w:rsid w:val="286FC56C"/>
    <w:rsid w:val="286FF40C"/>
    <w:rsid w:val="28704CA2"/>
    <w:rsid w:val="28708FC9"/>
    <w:rsid w:val="2870FCE7"/>
    <w:rsid w:val="2871F120"/>
    <w:rsid w:val="287232EF"/>
    <w:rsid w:val="28727205"/>
    <w:rsid w:val="287280F3"/>
    <w:rsid w:val="2872F962"/>
    <w:rsid w:val="28756290"/>
    <w:rsid w:val="28758A30"/>
    <w:rsid w:val="2875B680"/>
    <w:rsid w:val="287648E8"/>
    <w:rsid w:val="28765C2A"/>
    <w:rsid w:val="2876F443"/>
    <w:rsid w:val="2877C794"/>
    <w:rsid w:val="28781625"/>
    <w:rsid w:val="2878775C"/>
    <w:rsid w:val="28788226"/>
    <w:rsid w:val="2878835F"/>
    <w:rsid w:val="28793805"/>
    <w:rsid w:val="28796533"/>
    <w:rsid w:val="287A5685"/>
    <w:rsid w:val="287A830D"/>
    <w:rsid w:val="287B1B62"/>
    <w:rsid w:val="287C6AFD"/>
    <w:rsid w:val="287C7D92"/>
    <w:rsid w:val="287C9E3E"/>
    <w:rsid w:val="287D0867"/>
    <w:rsid w:val="287D0A1D"/>
    <w:rsid w:val="287D9D03"/>
    <w:rsid w:val="287E201A"/>
    <w:rsid w:val="287E3346"/>
    <w:rsid w:val="287E5FEF"/>
    <w:rsid w:val="287E7A58"/>
    <w:rsid w:val="287E89CB"/>
    <w:rsid w:val="287EC505"/>
    <w:rsid w:val="287F2831"/>
    <w:rsid w:val="287FBA60"/>
    <w:rsid w:val="287FDA63"/>
    <w:rsid w:val="2882A20F"/>
    <w:rsid w:val="2882A8B6"/>
    <w:rsid w:val="28838FD5"/>
    <w:rsid w:val="28844A05"/>
    <w:rsid w:val="2884CE22"/>
    <w:rsid w:val="28850593"/>
    <w:rsid w:val="288508F9"/>
    <w:rsid w:val="2885E0D5"/>
    <w:rsid w:val="288606DD"/>
    <w:rsid w:val="28864667"/>
    <w:rsid w:val="28873C29"/>
    <w:rsid w:val="28873D72"/>
    <w:rsid w:val="28876C05"/>
    <w:rsid w:val="2887CC3D"/>
    <w:rsid w:val="2887DCBA"/>
    <w:rsid w:val="2887EF42"/>
    <w:rsid w:val="28881110"/>
    <w:rsid w:val="28887243"/>
    <w:rsid w:val="288978F3"/>
    <w:rsid w:val="288A4979"/>
    <w:rsid w:val="288A9C1A"/>
    <w:rsid w:val="288AEAFB"/>
    <w:rsid w:val="288BFD5A"/>
    <w:rsid w:val="288C3C45"/>
    <w:rsid w:val="288C7E48"/>
    <w:rsid w:val="288CBDDE"/>
    <w:rsid w:val="288CFC88"/>
    <w:rsid w:val="288D03C9"/>
    <w:rsid w:val="288D96B9"/>
    <w:rsid w:val="288DC0ED"/>
    <w:rsid w:val="288DF0BA"/>
    <w:rsid w:val="288E56FF"/>
    <w:rsid w:val="288E9BA2"/>
    <w:rsid w:val="288F1088"/>
    <w:rsid w:val="28912FA4"/>
    <w:rsid w:val="28914235"/>
    <w:rsid w:val="2891C7C6"/>
    <w:rsid w:val="28924DCC"/>
    <w:rsid w:val="289329E7"/>
    <w:rsid w:val="28935CEF"/>
    <w:rsid w:val="2893F018"/>
    <w:rsid w:val="28941B6B"/>
    <w:rsid w:val="28941FE5"/>
    <w:rsid w:val="28943239"/>
    <w:rsid w:val="2894AD98"/>
    <w:rsid w:val="289627A3"/>
    <w:rsid w:val="2896BE63"/>
    <w:rsid w:val="2896C588"/>
    <w:rsid w:val="28973554"/>
    <w:rsid w:val="2897A6C0"/>
    <w:rsid w:val="2898CE44"/>
    <w:rsid w:val="28993F7E"/>
    <w:rsid w:val="289996D4"/>
    <w:rsid w:val="2899C37F"/>
    <w:rsid w:val="289A009E"/>
    <w:rsid w:val="289A9F8A"/>
    <w:rsid w:val="289AAD3E"/>
    <w:rsid w:val="289AF978"/>
    <w:rsid w:val="289BBF5E"/>
    <w:rsid w:val="289C6D4E"/>
    <w:rsid w:val="289D0CD4"/>
    <w:rsid w:val="289DDCD3"/>
    <w:rsid w:val="289E6FED"/>
    <w:rsid w:val="289E7BBC"/>
    <w:rsid w:val="289E9736"/>
    <w:rsid w:val="289F9B45"/>
    <w:rsid w:val="289FE153"/>
    <w:rsid w:val="28A0173B"/>
    <w:rsid w:val="28A0412E"/>
    <w:rsid w:val="28A07439"/>
    <w:rsid w:val="28A0B8A4"/>
    <w:rsid w:val="28A0DC51"/>
    <w:rsid w:val="28A0ED5A"/>
    <w:rsid w:val="28A15A16"/>
    <w:rsid w:val="28A1A744"/>
    <w:rsid w:val="28A1DE9A"/>
    <w:rsid w:val="28A26923"/>
    <w:rsid w:val="28A31DD7"/>
    <w:rsid w:val="28A3D0BD"/>
    <w:rsid w:val="28A40ADC"/>
    <w:rsid w:val="28A465CC"/>
    <w:rsid w:val="28A4B4C9"/>
    <w:rsid w:val="28A65364"/>
    <w:rsid w:val="28A6F969"/>
    <w:rsid w:val="28A71D94"/>
    <w:rsid w:val="28A7894A"/>
    <w:rsid w:val="28A7D0E6"/>
    <w:rsid w:val="28A85A80"/>
    <w:rsid w:val="28A8AD6D"/>
    <w:rsid w:val="28A948F0"/>
    <w:rsid w:val="28AA0727"/>
    <w:rsid w:val="28ACE51F"/>
    <w:rsid w:val="28AD3738"/>
    <w:rsid w:val="28AD515C"/>
    <w:rsid w:val="28ADAB3C"/>
    <w:rsid w:val="28AE2EE5"/>
    <w:rsid w:val="28AE66C0"/>
    <w:rsid w:val="28AEAE7A"/>
    <w:rsid w:val="28B03DD8"/>
    <w:rsid w:val="28B09C80"/>
    <w:rsid w:val="28B12200"/>
    <w:rsid w:val="28B23B76"/>
    <w:rsid w:val="28B26A0C"/>
    <w:rsid w:val="28B3CAEC"/>
    <w:rsid w:val="28B43DBD"/>
    <w:rsid w:val="28B44270"/>
    <w:rsid w:val="28B4D0CE"/>
    <w:rsid w:val="28B4FA2F"/>
    <w:rsid w:val="28B66700"/>
    <w:rsid w:val="28B8318B"/>
    <w:rsid w:val="28B8CE36"/>
    <w:rsid w:val="28B99D96"/>
    <w:rsid w:val="28BA2515"/>
    <w:rsid w:val="28BA9E7D"/>
    <w:rsid w:val="28BB5E52"/>
    <w:rsid w:val="28BBC5C9"/>
    <w:rsid w:val="28BCA01A"/>
    <w:rsid w:val="28BCB157"/>
    <w:rsid w:val="28BCF3E8"/>
    <w:rsid w:val="28BD92BC"/>
    <w:rsid w:val="28BDB798"/>
    <w:rsid w:val="28BE2C9D"/>
    <w:rsid w:val="28BE7BAC"/>
    <w:rsid w:val="28C19C90"/>
    <w:rsid w:val="28C1BDD0"/>
    <w:rsid w:val="28C2A7DB"/>
    <w:rsid w:val="28C3DE7E"/>
    <w:rsid w:val="28C3F21A"/>
    <w:rsid w:val="28C48BBC"/>
    <w:rsid w:val="28C4CCA2"/>
    <w:rsid w:val="28C567B2"/>
    <w:rsid w:val="28C6AF92"/>
    <w:rsid w:val="28C6FEE9"/>
    <w:rsid w:val="28C7621C"/>
    <w:rsid w:val="28C7BE29"/>
    <w:rsid w:val="28C81D8B"/>
    <w:rsid w:val="28C94CF2"/>
    <w:rsid w:val="28C95049"/>
    <w:rsid w:val="28CA4BED"/>
    <w:rsid w:val="28CA7517"/>
    <w:rsid w:val="28CA90D7"/>
    <w:rsid w:val="28CAF9F3"/>
    <w:rsid w:val="28CB281D"/>
    <w:rsid w:val="28CB5048"/>
    <w:rsid w:val="28CB5CFE"/>
    <w:rsid w:val="28CB824A"/>
    <w:rsid w:val="28CE4C5E"/>
    <w:rsid w:val="28CE5188"/>
    <w:rsid w:val="28CE615C"/>
    <w:rsid w:val="28CE91D9"/>
    <w:rsid w:val="28CFA006"/>
    <w:rsid w:val="28CFEE59"/>
    <w:rsid w:val="28CFEEFF"/>
    <w:rsid w:val="28CFF63D"/>
    <w:rsid w:val="28D0651A"/>
    <w:rsid w:val="28D065C0"/>
    <w:rsid w:val="28D14C4A"/>
    <w:rsid w:val="28D37CDA"/>
    <w:rsid w:val="28D3A72C"/>
    <w:rsid w:val="28D3DDF7"/>
    <w:rsid w:val="28D4547A"/>
    <w:rsid w:val="28D52448"/>
    <w:rsid w:val="28D551ED"/>
    <w:rsid w:val="28D5BC9A"/>
    <w:rsid w:val="28D5ED52"/>
    <w:rsid w:val="28D60390"/>
    <w:rsid w:val="28D65E05"/>
    <w:rsid w:val="28D6A4FE"/>
    <w:rsid w:val="28D6F16D"/>
    <w:rsid w:val="28D6FDD2"/>
    <w:rsid w:val="28D80AEA"/>
    <w:rsid w:val="28D81B3E"/>
    <w:rsid w:val="28D8A2A0"/>
    <w:rsid w:val="28D8D851"/>
    <w:rsid w:val="28D8E42F"/>
    <w:rsid w:val="28D926DB"/>
    <w:rsid w:val="28D9D7E1"/>
    <w:rsid w:val="28DB42A8"/>
    <w:rsid w:val="28DB4590"/>
    <w:rsid w:val="28DB61C4"/>
    <w:rsid w:val="28DBDA98"/>
    <w:rsid w:val="28DC4BF9"/>
    <w:rsid w:val="28DC6892"/>
    <w:rsid w:val="28DC7E83"/>
    <w:rsid w:val="28DCC8CC"/>
    <w:rsid w:val="28DD7675"/>
    <w:rsid w:val="28DD8589"/>
    <w:rsid w:val="28E0066D"/>
    <w:rsid w:val="28E0D583"/>
    <w:rsid w:val="28E26134"/>
    <w:rsid w:val="28E28561"/>
    <w:rsid w:val="28E38B6B"/>
    <w:rsid w:val="28E3A294"/>
    <w:rsid w:val="28E3BC32"/>
    <w:rsid w:val="28E3FEB6"/>
    <w:rsid w:val="28E5A316"/>
    <w:rsid w:val="28E5A6B6"/>
    <w:rsid w:val="28E73E9F"/>
    <w:rsid w:val="28E7ABA7"/>
    <w:rsid w:val="28E949A0"/>
    <w:rsid w:val="28EA07B8"/>
    <w:rsid w:val="28EAE1A3"/>
    <w:rsid w:val="28EB1ACA"/>
    <w:rsid w:val="28EBBDDE"/>
    <w:rsid w:val="28EBDDB5"/>
    <w:rsid w:val="28EC02E3"/>
    <w:rsid w:val="28EC5F90"/>
    <w:rsid w:val="28ECDD6D"/>
    <w:rsid w:val="28ED207E"/>
    <w:rsid w:val="28ED7FEB"/>
    <w:rsid w:val="28EDF83B"/>
    <w:rsid w:val="28EEB674"/>
    <w:rsid w:val="28EED1DE"/>
    <w:rsid w:val="28EEDB45"/>
    <w:rsid w:val="28F0828B"/>
    <w:rsid w:val="28F0E363"/>
    <w:rsid w:val="28F1997B"/>
    <w:rsid w:val="28F23692"/>
    <w:rsid w:val="28F2B58E"/>
    <w:rsid w:val="28F4D34B"/>
    <w:rsid w:val="28F54A24"/>
    <w:rsid w:val="28F5DEFB"/>
    <w:rsid w:val="28F61D75"/>
    <w:rsid w:val="28F65982"/>
    <w:rsid w:val="28F65DF0"/>
    <w:rsid w:val="28F665FE"/>
    <w:rsid w:val="28F6FA54"/>
    <w:rsid w:val="28F81EEF"/>
    <w:rsid w:val="28F973BD"/>
    <w:rsid w:val="28F97424"/>
    <w:rsid w:val="28FA3FAB"/>
    <w:rsid w:val="28FA596A"/>
    <w:rsid w:val="28FAADD7"/>
    <w:rsid w:val="28FAB6F8"/>
    <w:rsid w:val="28FB78B4"/>
    <w:rsid w:val="28FBAB9E"/>
    <w:rsid w:val="28FBE90F"/>
    <w:rsid w:val="28FCB760"/>
    <w:rsid w:val="28FCEA9F"/>
    <w:rsid w:val="28FE7002"/>
    <w:rsid w:val="2900B56C"/>
    <w:rsid w:val="2901BA8E"/>
    <w:rsid w:val="290202DE"/>
    <w:rsid w:val="2902921B"/>
    <w:rsid w:val="2902A462"/>
    <w:rsid w:val="2902C94A"/>
    <w:rsid w:val="2902CB1D"/>
    <w:rsid w:val="290351D8"/>
    <w:rsid w:val="2903735B"/>
    <w:rsid w:val="29055235"/>
    <w:rsid w:val="2905BB9B"/>
    <w:rsid w:val="2906176E"/>
    <w:rsid w:val="29064D56"/>
    <w:rsid w:val="2906789F"/>
    <w:rsid w:val="29069871"/>
    <w:rsid w:val="290792EB"/>
    <w:rsid w:val="2907B2D6"/>
    <w:rsid w:val="29083A39"/>
    <w:rsid w:val="29084CC2"/>
    <w:rsid w:val="290908FB"/>
    <w:rsid w:val="29096F04"/>
    <w:rsid w:val="290A526C"/>
    <w:rsid w:val="290AAEFE"/>
    <w:rsid w:val="290BD714"/>
    <w:rsid w:val="290BD930"/>
    <w:rsid w:val="290BDC2D"/>
    <w:rsid w:val="290C433F"/>
    <w:rsid w:val="290CA1DE"/>
    <w:rsid w:val="290CC24E"/>
    <w:rsid w:val="290CEB9F"/>
    <w:rsid w:val="290DAD44"/>
    <w:rsid w:val="290DCC5B"/>
    <w:rsid w:val="290DCF1F"/>
    <w:rsid w:val="290EE055"/>
    <w:rsid w:val="290F2E19"/>
    <w:rsid w:val="290FE192"/>
    <w:rsid w:val="29108656"/>
    <w:rsid w:val="291094E4"/>
    <w:rsid w:val="2910CA84"/>
    <w:rsid w:val="291242B9"/>
    <w:rsid w:val="29134F08"/>
    <w:rsid w:val="2913A513"/>
    <w:rsid w:val="2913CC9C"/>
    <w:rsid w:val="2913FE80"/>
    <w:rsid w:val="29143A54"/>
    <w:rsid w:val="29144D54"/>
    <w:rsid w:val="2914762B"/>
    <w:rsid w:val="2915CDD2"/>
    <w:rsid w:val="291637F3"/>
    <w:rsid w:val="2917F817"/>
    <w:rsid w:val="2918017D"/>
    <w:rsid w:val="291829A0"/>
    <w:rsid w:val="29187533"/>
    <w:rsid w:val="2918FEDA"/>
    <w:rsid w:val="291903A7"/>
    <w:rsid w:val="29191C17"/>
    <w:rsid w:val="291A132A"/>
    <w:rsid w:val="291A14F8"/>
    <w:rsid w:val="291A834D"/>
    <w:rsid w:val="291A84FB"/>
    <w:rsid w:val="291AE243"/>
    <w:rsid w:val="291B6409"/>
    <w:rsid w:val="291BF88F"/>
    <w:rsid w:val="291C7762"/>
    <w:rsid w:val="291D9116"/>
    <w:rsid w:val="291DE5C0"/>
    <w:rsid w:val="291E4814"/>
    <w:rsid w:val="291E4931"/>
    <w:rsid w:val="291E95D5"/>
    <w:rsid w:val="291FD256"/>
    <w:rsid w:val="29216519"/>
    <w:rsid w:val="2921F008"/>
    <w:rsid w:val="29222DD0"/>
    <w:rsid w:val="292240A8"/>
    <w:rsid w:val="2922554F"/>
    <w:rsid w:val="29226D06"/>
    <w:rsid w:val="29227331"/>
    <w:rsid w:val="29229F8E"/>
    <w:rsid w:val="2922F0EF"/>
    <w:rsid w:val="292320A4"/>
    <w:rsid w:val="29239D25"/>
    <w:rsid w:val="2923EF2C"/>
    <w:rsid w:val="29259532"/>
    <w:rsid w:val="292643B4"/>
    <w:rsid w:val="29272A14"/>
    <w:rsid w:val="29277F47"/>
    <w:rsid w:val="2927AEF4"/>
    <w:rsid w:val="2928094A"/>
    <w:rsid w:val="292867B8"/>
    <w:rsid w:val="2928A212"/>
    <w:rsid w:val="2928E1EE"/>
    <w:rsid w:val="292907B4"/>
    <w:rsid w:val="292908A6"/>
    <w:rsid w:val="2929E696"/>
    <w:rsid w:val="292A1250"/>
    <w:rsid w:val="292A4615"/>
    <w:rsid w:val="292AD231"/>
    <w:rsid w:val="292B40AB"/>
    <w:rsid w:val="292BA3F3"/>
    <w:rsid w:val="292BE194"/>
    <w:rsid w:val="292C5841"/>
    <w:rsid w:val="292CEA15"/>
    <w:rsid w:val="292DB82C"/>
    <w:rsid w:val="292DF3D4"/>
    <w:rsid w:val="292DFC60"/>
    <w:rsid w:val="292E68FE"/>
    <w:rsid w:val="292E721F"/>
    <w:rsid w:val="292E771F"/>
    <w:rsid w:val="292E77B5"/>
    <w:rsid w:val="292EFACC"/>
    <w:rsid w:val="292F1CCA"/>
    <w:rsid w:val="2930ABC0"/>
    <w:rsid w:val="293120A5"/>
    <w:rsid w:val="293136D0"/>
    <w:rsid w:val="29316EE3"/>
    <w:rsid w:val="2931A865"/>
    <w:rsid w:val="29339032"/>
    <w:rsid w:val="2933D616"/>
    <w:rsid w:val="2933E9B5"/>
    <w:rsid w:val="29342185"/>
    <w:rsid w:val="2934845C"/>
    <w:rsid w:val="2934A8B3"/>
    <w:rsid w:val="2934DE7B"/>
    <w:rsid w:val="29351FFE"/>
    <w:rsid w:val="29356733"/>
    <w:rsid w:val="29369D60"/>
    <w:rsid w:val="2936E792"/>
    <w:rsid w:val="29377A7F"/>
    <w:rsid w:val="2937DFAD"/>
    <w:rsid w:val="293809DE"/>
    <w:rsid w:val="2938712C"/>
    <w:rsid w:val="29393E9E"/>
    <w:rsid w:val="293948F0"/>
    <w:rsid w:val="293965EF"/>
    <w:rsid w:val="29397C07"/>
    <w:rsid w:val="2939904B"/>
    <w:rsid w:val="29399AE1"/>
    <w:rsid w:val="2939F771"/>
    <w:rsid w:val="293A1A33"/>
    <w:rsid w:val="293A1C18"/>
    <w:rsid w:val="293A3928"/>
    <w:rsid w:val="293A420D"/>
    <w:rsid w:val="293AEDD0"/>
    <w:rsid w:val="293B5B2A"/>
    <w:rsid w:val="293BB9BB"/>
    <w:rsid w:val="293BD080"/>
    <w:rsid w:val="293CB609"/>
    <w:rsid w:val="293CEC9E"/>
    <w:rsid w:val="293D1F96"/>
    <w:rsid w:val="293DE65B"/>
    <w:rsid w:val="293E3940"/>
    <w:rsid w:val="293EADD0"/>
    <w:rsid w:val="293F27B8"/>
    <w:rsid w:val="29406A7C"/>
    <w:rsid w:val="2940C81B"/>
    <w:rsid w:val="2941E1FC"/>
    <w:rsid w:val="2942319C"/>
    <w:rsid w:val="2942F337"/>
    <w:rsid w:val="29431602"/>
    <w:rsid w:val="29435C78"/>
    <w:rsid w:val="2943EA47"/>
    <w:rsid w:val="294427B5"/>
    <w:rsid w:val="2944EE5C"/>
    <w:rsid w:val="2944F6EF"/>
    <w:rsid w:val="29458404"/>
    <w:rsid w:val="29460068"/>
    <w:rsid w:val="29464188"/>
    <w:rsid w:val="29469BBB"/>
    <w:rsid w:val="2946DCDB"/>
    <w:rsid w:val="2947A77A"/>
    <w:rsid w:val="2947EE41"/>
    <w:rsid w:val="29483947"/>
    <w:rsid w:val="29484F46"/>
    <w:rsid w:val="2948AC78"/>
    <w:rsid w:val="2948CC65"/>
    <w:rsid w:val="2948E31B"/>
    <w:rsid w:val="29494A4F"/>
    <w:rsid w:val="294AA4D8"/>
    <w:rsid w:val="294ACD41"/>
    <w:rsid w:val="294C39F8"/>
    <w:rsid w:val="294D091C"/>
    <w:rsid w:val="294DC1B8"/>
    <w:rsid w:val="294DD04B"/>
    <w:rsid w:val="294E2597"/>
    <w:rsid w:val="294E5955"/>
    <w:rsid w:val="294EFA3D"/>
    <w:rsid w:val="294F258F"/>
    <w:rsid w:val="294F8F4D"/>
    <w:rsid w:val="294F9550"/>
    <w:rsid w:val="295054A9"/>
    <w:rsid w:val="29511AF6"/>
    <w:rsid w:val="29514984"/>
    <w:rsid w:val="29519813"/>
    <w:rsid w:val="2951ADC2"/>
    <w:rsid w:val="2951E3EC"/>
    <w:rsid w:val="2951ECC0"/>
    <w:rsid w:val="29520158"/>
    <w:rsid w:val="295219B9"/>
    <w:rsid w:val="2953A4F4"/>
    <w:rsid w:val="2953DB79"/>
    <w:rsid w:val="29540FF7"/>
    <w:rsid w:val="29543C5B"/>
    <w:rsid w:val="29549A24"/>
    <w:rsid w:val="2954C38A"/>
    <w:rsid w:val="2955367F"/>
    <w:rsid w:val="295563C7"/>
    <w:rsid w:val="29556E2D"/>
    <w:rsid w:val="2955DB5C"/>
    <w:rsid w:val="295612D4"/>
    <w:rsid w:val="29565777"/>
    <w:rsid w:val="2956C11D"/>
    <w:rsid w:val="2956CA3D"/>
    <w:rsid w:val="29574D18"/>
    <w:rsid w:val="29587A30"/>
    <w:rsid w:val="2958C779"/>
    <w:rsid w:val="29592FB2"/>
    <w:rsid w:val="2959806E"/>
    <w:rsid w:val="29599808"/>
    <w:rsid w:val="295A0299"/>
    <w:rsid w:val="295A22F0"/>
    <w:rsid w:val="295ACE01"/>
    <w:rsid w:val="295CA9F5"/>
    <w:rsid w:val="295CAABC"/>
    <w:rsid w:val="295D1455"/>
    <w:rsid w:val="295E3319"/>
    <w:rsid w:val="295E4738"/>
    <w:rsid w:val="295E974C"/>
    <w:rsid w:val="295EE351"/>
    <w:rsid w:val="295F1F86"/>
    <w:rsid w:val="29600CC4"/>
    <w:rsid w:val="29609708"/>
    <w:rsid w:val="2960A035"/>
    <w:rsid w:val="2960BEB2"/>
    <w:rsid w:val="2960D7E0"/>
    <w:rsid w:val="2960EB89"/>
    <w:rsid w:val="29614301"/>
    <w:rsid w:val="29620050"/>
    <w:rsid w:val="296241E3"/>
    <w:rsid w:val="29628CCF"/>
    <w:rsid w:val="29628EAC"/>
    <w:rsid w:val="29631D98"/>
    <w:rsid w:val="29634295"/>
    <w:rsid w:val="29639D66"/>
    <w:rsid w:val="29646879"/>
    <w:rsid w:val="2964C41A"/>
    <w:rsid w:val="2964F73B"/>
    <w:rsid w:val="29650399"/>
    <w:rsid w:val="2965617B"/>
    <w:rsid w:val="2965CBC8"/>
    <w:rsid w:val="29665E03"/>
    <w:rsid w:val="296661EC"/>
    <w:rsid w:val="296714BC"/>
    <w:rsid w:val="29682CA7"/>
    <w:rsid w:val="2968C7B6"/>
    <w:rsid w:val="296A7DA5"/>
    <w:rsid w:val="296A8962"/>
    <w:rsid w:val="296AE594"/>
    <w:rsid w:val="296B15CF"/>
    <w:rsid w:val="296B391C"/>
    <w:rsid w:val="296BBCC0"/>
    <w:rsid w:val="296BD915"/>
    <w:rsid w:val="296BF0ED"/>
    <w:rsid w:val="296CAA4C"/>
    <w:rsid w:val="296CB431"/>
    <w:rsid w:val="296E513F"/>
    <w:rsid w:val="296F1A22"/>
    <w:rsid w:val="29700433"/>
    <w:rsid w:val="2970EFFC"/>
    <w:rsid w:val="2970F47E"/>
    <w:rsid w:val="2971F6C4"/>
    <w:rsid w:val="2971FC6D"/>
    <w:rsid w:val="2971FDB5"/>
    <w:rsid w:val="29721143"/>
    <w:rsid w:val="297235D5"/>
    <w:rsid w:val="2972E1A4"/>
    <w:rsid w:val="29732A24"/>
    <w:rsid w:val="2974793C"/>
    <w:rsid w:val="29757ED3"/>
    <w:rsid w:val="29760BA8"/>
    <w:rsid w:val="297785C4"/>
    <w:rsid w:val="2977A586"/>
    <w:rsid w:val="29789951"/>
    <w:rsid w:val="2978B855"/>
    <w:rsid w:val="2979A308"/>
    <w:rsid w:val="2979F932"/>
    <w:rsid w:val="297A20E6"/>
    <w:rsid w:val="297C2942"/>
    <w:rsid w:val="297CD71A"/>
    <w:rsid w:val="297CEA64"/>
    <w:rsid w:val="297E9FF9"/>
    <w:rsid w:val="297EBEE7"/>
    <w:rsid w:val="297F416E"/>
    <w:rsid w:val="297F4C73"/>
    <w:rsid w:val="297F4DDD"/>
    <w:rsid w:val="297FC89C"/>
    <w:rsid w:val="29805C4D"/>
    <w:rsid w:val="2981AFDA"/>
    <w:rsid w:val="2982C9FC"/>
    <w:rsid w:val="29835507"/>
    <w:rsid w:val="298397E4"/>
    <w:rsid w:val="29842E91"/>
    <w:rsid w:val="2984E19E"/>
    <w:rsid w:val="29854C6D"/>
    <w:rsid w:val="298652A6"/>
    <w:rsid w:val="29872D69"/>
    <w:rsid w:val="298768E4"/>
    <w:rsid w:val="2987B752"/>
    <w:rsid w:val="2987E9B4"/>
    <w:rsid w:val="2988F615"/>
    <w:rsid w:val="2989A0EE"/>
    <w:rsid w:val="2989B6D1"/>
    <w:rsid w:val="2989CCB8"/>
    <w:rsid w:val="2989D637"/>
    <w:rsid w:val="2989D6B6"/>
    <w:rsid w:val="298A7A2C"/>
    <w:rsid w:val="298BE364"/>
    <w:rsid w:val="298BF979"/>
    <w:rsid w:val="298D63D0"/>
    <w:rsid w:val="298E4A71"/>
    <w:rsid w:val="298E62BD"/>
    <w:rsid w:val="298F1C87"/>
    <w:rsid w:val="299059F4"/>
    <w:rsid w:val="29910A4B"/>
    <w:rsid w:val="299150D5"/>
    <w:rsid w:val="299152C1"/>
    <w:rsid w:val="299157E5"/>
    <w:rsid w:val="29930950"/>
    <w:rsid w:val="29931EF7"/>
    <w:rsid w:val="29936CF2"/>
    <w:rsid w:val="29949CCF"/>
    <w:rsid w:val="2994C2AB"/>
    <w:rsid w:val="299509DC"/>
    <w:rsid w:val="2996B02E"/>
    <w:rsid w:val="2996F928"/>
    <w:rsid w:val="299758A0"/>
    <w:rsid w:val="29979C97"/>
    <w:rsid w:val="2997A1A2"/>
    <w:rsid w:val="299815DC"/>
    <w:rsid w:val="2998222E"/>
    <w:rsid w:val="2998798B"/>
    <w:rsid w:val="2999090E"/>
    <w:rsid w:val="299938F9"/>
    <w:rsid w:val="29998F6E"/>
    <w:rsid w:val="2999F1A4"/>
    <w:rsid w:val="299A5A06"/>
    <w:rsid w:val="299A989C"/>
    <w:rsid w:val="299B2872"/>
    <w:rsid w:val="299B60E7"/>
    <w:rsid w:val="299B8459"/>
    <w:rsid w:val="299B9B66"/>
    <w:rsid w:val="299B9EE4"/>
    <w:rsid w:val="299BE79D"/>
    <w:rsid w:val="299C126F"/>
    <w:rsid w:val="299C709D"/>
    <w:rsid w:val="299D7084"/>
    <w:rsid w:val="299E73FF"/>
    <w:rsid w:val="299EA7DE"/>
    <w:rsid w:val="299F07A6"/>
    <w:rsid w:val="299F269C"/>
    <w:rsid w:val="299F4F07"/>
    <w:rsid w:val="299F65E6"/>
    <w:rsid w:val="299F9E99"/>
    <w:rsid w:val="299FC47B"/>
    <w:rsid w:val="29A014D8"/>
    <w:rsid w:val="29A226CC"/>
    <w:rsid w:val="29A25443"/>
    <w:rsid w:val="29A31F7A"/>
    <w:rsid w:val="29A35044"/>
    <w:rsid w:val="29A38FDF"/>
    <w:rsid w:val="29A418AF"/>
    <w:rsid w:val="29A4257F"/>
    <w:rsid w:val="29A4825E"/>
    <w:rsid w:val="29A5AE87"/>
    <w:rsid w:val="29A5E345"/>
    <w:rsid w:val="29A6261D"/>
    <w:rsid w:val="29A697E5"/>
    <w:rsid w:val="29A6EB51"/>
    <w:rsid w:val="29A7195A"/>
    <w:rsid w:val="29A7A63F"/>
    <w:rsid w:val="29A7FA88"/>
    <w:rsid w:val="29A83C64"/>
    <w:rsid w:val="29A9C555"/>
    <w:rsid w:val="29AB1E48"/>
    <w:rsid w:val="29AB8FFC"/>
    <w:rsid w:val="29AB9A0B"/>
    <w:rsid w:val="29ABFA18"/>
    <w:rsid w:val="29AC98B2"/>
    <w:rsid w:val="29ACAE4C"/>
    <w:rsid w:val="29ADA67B"/>
    <w:rsid w:val="29ADDEA2"/>
    <w:rsid w:val="29AE2E0B"/>
    <w:rsid w:val="29B08905"/>
    <w:rsid w:val="29B0D818"/>
    <w:rsid w:val="29B116CC"/>
    <w:rsid w:val="29B1513B"/>
    <w:rsid w:val="29B2D0D8"/>
    <w:rsid w:val="29B3173D"/>
    <w:rsid w:val="29B391B4"/>
    <w:rsid w:val="29B45D6E"/>
    <w:rsid w:val="29B46D18"/>
    <w:rsid w:val="29B557F0"/>
    <w:rsid w:val="29B57CE7"/>
    <w:rsid w:val="29B588A4"/>
    <w:rsid w:val="29B5C8E5"/>
    <w:rsid w:val="29B61EC1"/>
    <w:rsid w:val="29B63620"/>
    <w:rsid w:val="29B73318"/>
    <w:rsid w:val="29B74A2F"/>
    <w:rsid w:val="29B78BDE"/>
    <w:rsid w:val="29B7913B"/>
    <w:rsid w:val="29B7A199"/>
    <w:rsid w:val="29B7FCA1"/>
    <w:rsid w:val="29B97160"/>
    <w:rsid w:val="29B99A18"/>
    <w:rsid w:val="29BAD7C6"/>
    <w:rsid w:val="29BAECFA"/>
    <w:rsid w:val="29BB54CF"/>
    <w:rsid w:val="29BB9310"/>
    <w:rsid w:val="29BBB9F7"/>
    <w:rsid w:val="29BBDA74"/>
    <w:rsid w:val="29BC0D67"/>
    <w:rsid w:val="29BCC240"/>
    <w:rsid w:val="29BE98AF"/>
    <w:rsid w:val="29BF6642"/>
    <w:rsid w:val="29BF748D"/>
    <w:rsid w:val="29BFE862"/>
    <w:rsid w:val="29C02529"/>
    <w:rsid w:val="29C0AF14"/>
    <w:rsid w:val="29C1120B"/>
    <w:rsid w:val="29C2386F"/>
    <w:rsid w:val="29C2426D"/>
    <w:rsid w:val="29C2C3C9"/>
    <w:rsid w:val="29C3234B"/>
    <w:rsid w:val="29C32B94"/>
    <w:rsid w:val="29C38128"/>
    <w:rsid w:val="29C3C349"/>
    <w:rsid w:val="29C419EF"/>
    <w:rsid w:val="29C446D5"/>
    <w:rsid w:val="29C48936"/>
    <w:rsid w:val="29C5A922"/>
    <w:rsid w:val="29C5E1BF"/>
    <w:rsid w:val="29C5FC15"/>
    <w:rsid w:val="29C65BE7"/>
    <w:rsid w:val="29C76AC4"/>
    <w:rsid w:val="29C8752A"/>
    <w:rsid w:val="29C9118C"/>
    <w:rsid w:val="29CA452B"/>
    <w:rsid w:val="29CA55FB"/>
    <w:rsid w:val="29CB20EC"/>
    <w:rsid w:val="29CBD7AC"/>
    <w:rsid w:val="29CC16B8"/>
    <w:rsid w:val="29CCA42F"/>
    <w:rsid w:val="29CCAC89"/>
    <w:rsid w:val="29CD69BE"/>
    <w:rsid w:val="29CDFC74"/>
    <w:rsid w:val="29CE0488"/>
    <w:rsid w:val="29CE396E"/>
    <w:rsid w:val="29CEA86B"/>
    <w:rsid w:val="29CF00AA"/>
    <w:rsid w:val="29CF06BD"/>
    <w:rsid w:val="29CF0EAA"/>
    <w:rsid w:val="29CF33AF"/>
    <w:rsid w:val="29D05AC5"/>
    <w:rsid w:val="29D0D4EA"/>
    <w:rsid w:val="29D145A4"/>
    <w:rsid w:val="29D200E8"/>
    <w:rsid w:val="29D2520B"/>
    <w:rsid w:val="29D3FE89"/>
    <w:rsid w:val="29D4379D"/>
    <w:rsid w:val="29D4397F"/>
    <w:rsid w:val="29D43F4A"/>
    <w:rsid w:val="29D493B1"/>
    <w:rsid w:val="29D4BFFD"/>
    <w:rsid w:val="29D4F10D"/>
    <w:rsid w:val="29D5A8CA"/>
    <w:rsid w:val="29D5EA59"/>
    <w:rsid w:val="29D6532D"/>
    <w:rsid w:val="29D6DB4F"/>
    <w:rsid w:val="29D70A68"/>
    <w:rsid w:val="29D7CBCE"/>
    <w:rsid w:val="29D7D1C6"/>
    <w:rsid w:val="29D802EA"/>
    <w:rsid w:val="29D805A8"/>
    <w:rsid w:val="29D86303"/>
    <w:rsid w:val="29D90C8F"/>
    <w:rsid w:val="29D94D54"/>
    <w:rsid w:val="29D98972"/>
    <w:rsid w:val="29D98B3D"/>
    <w:rsid w:val="29DA7343"/>
    <w:rsid w:val="29DA9C8F"/>
    <w:rsid w:val="29DB6EAD"/>
    <w:rsid w:val="29DB86DE"/>
    <w:rsid w:val="29DBBBA8"/>
    <w:rsid w:val="29DCC037"/>
    <w:rsid w:val="29DCDA6A"/>
    <w:rsid w:val="29DD12BE"/>
    <w:rsid w:val="29DD3BE9"/>
    <w:rsid w:val="29DD81B5"/>
    <w:rsid w:val="29DDD404"/>
    <w:rsid w:val="29DE7210"/>
    <w:rsid w:val="29DE85F6"/>
    <w:rsid w:val="29DFD7B8"/>
    <w:rsid w:val="29E0D4FD"/>
    <w:rsid w:val="29E17C73"/>
    <w:rsid w:val="29E21930"/>
    <w:rsid w:val="29E24CCE"/>
    <w:rsid w:val="29E31DBE"/>
    <w:rsid w:val="29E34B01"/>
    <w:rsid w:val="29E3F5DB"/>
    <w:rsid w:val="29E49016"/>
    <w:rsid w:val="29E54C06"/>
    <w:rsid w:val="29E5B004"/>
    <w:rsid w:val="29E5D339"/>
    <w:rsid w:val="29E6300B"/>
    <w:rsid w:val="29E6805A"/>
    <w:rsid w:val="29E81623"/>
    <w:rsid w:val="29E83967"/>
    <w:rsid w:val="29E888F1"/>
    <w:rsid w:val="29E99BD5"/>
    <w:rsid w:val="29EA9906"/>
    <w:rsid w:val="29EB0218"/>
    <w:rsid w:val="29EB848B"/>
    <w:rsid w:val="29EC4140"/>
    <w:rsid w:val="29EC60F9"/>
    <w:rsid w:val="29EC78CE"/>
    <w:rsid w:val="29EC9A0C"/>
    <w:rsid w:val="29ED8404"/>
    <w:rsid w:val="29EE0DBA"/>
    <w:rsid w:val="29EE562F"/>
    <w:rsid w:val="29EEED59"/>
    <w:rsid w:val="29EF0D2D"/>
    <w:rsid w:val="29F2E75D"/>
    <w:rsid w:val="29F37039"/>
    <w:rsid w:val="29F3F230"/>
    <w:rsid w:val="29F429DA"/>
    <w:rsid w:val="29F431C3"/>
    <w:rsid w:val="29F466E4"/>
    <w:rsid w:val="29F4B1F0"/>
    <w:rsid w:val="29F4DC8F"/>
    <w:rsid w:val="29F4FFB4"/>
    <w:rsid w:val="29F5455E"/>
    <w:rsid w:val="29F59822"/>
    <w:rsid w:val="29F74266"/>
    <w:rsid w:val="29F760D7"/>
    <w:rsid w:val="29F86614"/>
    <w:rsid w:val="29F89C06"/>
    <w:rsid w:val="29F8CFFD"/>
    <w:rsid w:val="29F9025D"/>
    <w:rsid w:val="29F94277"/>
    <w:rsid w:val="29F9B040"/>
    <w:rsid w:val="29F9B8C3"/>
    <w:rsid w:val="29FA6556"/>
    <w:rsid w:val="29FAC42E"/>
    <w:rsid w:val="29FB83C9"/>
    <w:rsid w:val="29FCAA8C"/>
    <w:rsid w:val="29FD4EB7"/>
    <w:rsid w:val="29FD90D0"/>
    <w:rsid w:val="29FDBD15"/>
    <w:rsid w:val="29FDCD6B"/>
    <w:rsid w:val="29FE0B19"/>
    <w:rsid w:val="29FEBFFB"/>
    <w:rsid w:val="2A00F5DB"/>
    <w:rsid w:val="2A011F5E"/>
    <w:rsid w:val="2A01620B"/>
    <w:rsid w:val="2A01955D"/>
    <w:rsid w:val="2A01AE02"/>
    <w:rsid w:val="2A01B3F3"/>
    <w:rsid w:val="2A02FC86"/>
    <w:rsid w:val="2A033BE9"/>
    <w:rsid w:val="2A034D76"/>
    <w:rsid w:val="2A0417EF"/>
    <w:rsid w:val="2A042973"/>
    <w:rsid w:val="2A048865"/>
    <w:rsid w:val="2A053C56"/>
    <w:rsid w:val="2A05D5C7"/>
    <w:rsid w:val="2A082344"/>
    <w:rsid w:val="2A08B597"/>
    <w:rsid w:val="2A08D7E4"/>
    <w:rsid w:val="2A091E1C"/>
    <w:rsid w:val="2A0973FF"/>
    <w:rsid w:val="2A098BC6"/>
    <w:rsid w:val="2A0A3759"/>
    <w:rsid w:val="2A0ACD7F"/>
    <w:rsid w:val="2A0BA09A"/>
    <w:rsid w:val="2A0CCF46"/>
    <w:rsid w:val="2A0D3E7C"/>
    <w:rsid w:val="2A0D7B8A"/>
    <w:rsid w:val="2A0DF45B"/>
    <w:rsid w:val="2A0EF557"/>
    <w:rsid w:val="2A0F78FC"/>
    <w:rsid w:val="2A0FBDE8"/>
    <w:rsid w:val="2A103345"/>
    <w:rsid w:val="2A10840A"/>
    <w:rsid w:val="2A10D570"/>
    <w:rsid w:val="2A11125B"/>
    <w:rsid w:val="2A121C73"/>
    <w:rsid w:val="2A1228B1"/>
    <w:rsid w:val="2A123457"/>
    <w:rsid w:val="2A126516"/>
    <w:rsid w:val="2A12DC0F"/>
    <w:rsid w:val="2A135F9F"/>
    <w:rsid w:val="2A13C7AC"/>
    <w:rsid w:val="2A14BA58"/>
    <w:rsid w:val="2A152CDD"/>
    <w:rsid w:val="2A162EA1"/>
    <w:rsid w:val="2A16C1B9"/>
    <w:rsid w:val="2A171FE6"/>
    <w:rsid w:val="2A17C174"/>
    <w:rsid w:val="2A1800E8"/>
    <w:rsid w:val="2A180D60"/>
    <w:rsid w:val="2A189A4E"/>
    <w:rsid w:val="2A18A5FE"/>
    <w:rsid w:val="2A18DA2B"/>
    <w:rsid w:val="2A18FC70"/>
    <w:rsid w:val="2A18FD30"/>
    <w:rsid w:val="2A192099"/>
    <w:rsid w:val="2A192718"/>
    <w:rsid w:val="2A1A5A2F"/>
    <w:rsid w:val="2A1A86B8"/>
    <w:rsid w:val="2A1ABF55"/>
    <w:rsid w:val="2A1AF5AB"/>
    <w:rsid w:val="2A1BDEAA"/>
    <w:rsid w:val="2A1C5F82"/>
    <w:rsid w:val="2A1C7EE2"/>
    <w:rsid w:val="2A1CB057"/>
    <w:rsid w:val="2A1E38E9"/>
    <w:rsid w:val="2A1EA85A"/>
    <w:rsid w:val="2A1FC3C8"/>
    <w:rsid w:val="2A1FC5BC"/>
    <w:rsid w:val="2A1FDD4A"/>
    <w:rsid w:val="2A20D6B9"/>
    <w:rsid w:val="2A20F6F7"/>
    <w:rsid w:val="2A21CC0B"/>
    <w:rsid w:val="2A21D6B4"/>
    <w:rsid w:val="2A22364E"/>
    <w:rsid w:val="2A2301C8"/>
    <w:rsid w:val="2A230782"/>
    <w:rsid w:val="2A23B1D8"/>
    <w:rsid w:val="2A2406B5"/>
    <w:rsid w:val="2A2441E9"/>
    <w:rsid w:val="2A2487B1"/>
    <w:rsid w:val="2A24DC4F"/>
    <w:rsid w:val="2A258F5E"/>
    <w:rsid w:val="2A2591D8"/>
    <w:rsid w:val="2A260A55"/>
    <w:rsid w:val="2A270C31"/>
    <w:rsid w:val="2A277E1C"/>
    <w:rsid w:val="2A28045E"/>
    <w:rsid w:val="2A2809E2"/>
    <w:rsid w:val="2A281C48"/>
    <w:rsid w:val="2A295AEC"/>
    <w:rsid w:val="2A29E080"/>
    <w:rsid w:val="2A2A906F"/>
    <w:rsid w:val="2A2B2862"/>
    <w:rsid w:val="2A2B4123"/>
    <w:rsid w:val="2A2BEF78"/>
    <w:rsid w:val="2A2CEA27"/>
    <w:rsid w:val="2A2CEC7D"/>
    <w:rsid w:val="2A2CF1B8"/>
    <w:rsid w:val="2A2D0119"/>
    <w:rsid w:val="2A2D4B5B"/>
    <w:rsid w:val="2A2F5515"/>
    <w:rsid w:val="2A2F745B"/>
    <w:rsid w:val="2A2F84EF"/>
    <w:rsid w:val="2A2F9B8B"/>
    <w:rsid w:val="2A301B9C"/>
    <w:rsid w:val="2A307E72"/>
    <w:rsid w:val="2A309EB4"/>
    <w:rsid w:val="2A311147"/>
    <w:rsid w:val="2A312A64"/>
    <w:rsid w:val="2A31432B"/>
    <w:rsid w:val="2A3153B6"/>
    <w:rsid w:val="2A31571A"/>
    <w:rsid w:val="2A317000"/>
    <w:rsid w:val="2A31C513"/>
    <w:rsid w:val="2A31C979"/>
    <w:rsid w:val="2A31D32A"/>
    <w:rsid w:val="2A31F5F0"/>
    <w:rsid w:val="2A321402"/>
    <w:rsid w:val="2A322661"/>
    <w:rsid w:val="2A339820"/>
    <w:rsid w:val="2A3412D9"/>
    <w:rsid w:val="2A3441A7"/>
    <w:rsid w:val="2A35068C"/>
    <w:rsid w:val="2A35222B"/>
    <w:rsid w:val="2A356759"/>
    <w:rsid w:val="2A35A5D4"/>
    <w:rsid w:val="2A370730"/>
    <w:rsid w:val="2A374CAE"/>
    <w:rsid w:val="2A376C51"/>
    <w:rsid w:val="2A37DAD9"/>
    <w:rsid w:val="2A388F15"/>
    <w:rsid w:val="2A3911DC"/>
    <w:rsid w:val="2A397991"/>
    <w:rsid w:val="2A39E0C2"/>
    <w:rsid w:val="2A3A7B1D"/>
    <w:rsid w:val="2A3B0F85"/>
    <w:rsid w:val="2A3B8C11"/>
    <w:rsid w:val="2A3CB4DF"/>
    <w:rsid w:val="2A3D81AC"/>
    <w:rsid w:val="2A3D9E66"/>
    <w:rsid w:val="2A3DA537"/>
    <w:rsid w:val="2A3ED576"/>
    <w:rsid w:val="2A3EF9C3"/>
    <w:rsid w:val="2A3F2AC7"/>
    <w:rsid w:val="2A3F7247"/>
    <w:rsid w:val="2A3F947D"/>
    <w:rsid w:val="2A3FDA94"/>
    <w:rsid w:val="2A40749E"/>
    <w:rsid w:val="2A40CD14"/>
    <w:rsid w:val="2A413F4A"/>
    <w:rsid w:val="2A416FBC"/>
    <w:rsid w:val="2A41BBB4"/>
    <w:rsid w:val="2A41E681"/>
    <w:rsid w:val="2A43170C"/>
    <w:rsid w:val="2A43B462"/>
    <w:rsid w:val="2A440607"/>
    <w:rsid w:val="2A453DEA"/>
    <w:rsid w:val="2A45AB2C"/>
    <w:rsid w:val="2A45E26B"/>
    <w:rsid w:val="2A466156"/>
    <w:rsid w:val="2A468C94"/>
    <w:rsid w:val="2A46C341"/>
    <w:rsid w:val="2A47432E"/>
    <w:rsid w:val="2A4775F7"/>
    <w:rsid w:val="2A48ABA8"/>
    <w:rsid w:val="2A49105F"/>
    <w:rsid w:val="2A496AD6"/>
    <w:rsid w:val="2A4A0BC6"/>
    <w:rsid w:val="2A4A1F1E"/>
    <w:rsid w:val="2A4B3136"/>
    <w:rsid w:val="2A4B7249"/>
    <w:rsid w:val="2A4C3633"/>
    <w:rsid w:val="2A4D6922"/>
    <w:rsid w:val="2A4E001A"/>
    <w:rsid w:val="2A4E2787"/>
    <w:rsid w:val="2A4F3880"/>
    <w:rsid w:val="2A4FAA7F"/>
    <w:rsid w:val="2A4FE989"/>
    <w:rsid w:val="2A4FFEC5"/>
    <w:rsid w:val="2A518A6A"/>
    <w:rsid w:val="2A518F7D"/>
    <w:rsid w:val="2A51B9B7"/>
    <w:rsid w:val="2A51BA5F"/>
    <w:rsid w:val="2A51DC8A"/>
    <w:rsid w:val="2A5319A8"/>
    <w:rsid w:val="2A53546F"/>
    <w:rsid w:val="2A53F297"/>
    <w:rsid w:val="2A53F670"/>
    <w:rsid w:val="2A5402C7"/>
    <w:rsid w:val="2A54B215"/>
    <w:rsid w:val="2A552670"/>
    <w:rsid w:val="2A55268E"/>
    <w:rsid w:val="2A5551DE"/>
    <w:rsid w:val="2A55F09B"/>
    <w:rsid w:val="2A56E89C"/>
    <w:rsid w:val="2A5753E3"/>
    <w:rsid w:val="2A57A8DC"/>
    <w:rsid w:val="2A580D61"/>
    <w:rsid w:val="2A5965CE"/>
    <w:rsid w:val="2A599FF9"/>
    <w:rsid w:val="2A59B4DA"/>
    <w:rsid w:val="2A59D89A"/>
    <w:rsid w:val="2A5A20DD"/>
    <w:rsid w:val="2A5A8901"/>
    <w:rsid w:val="2A5A980B"/>
    <w:rsid w:val="2A5B35CB"/>
    <w:rsid w:val="2A5C231A"/>
    <w:rsid w:val="2A5C62FE"/>
    <w:rsid w:val="2A5D3CD2"/>
    <w:rsid w:val="2A5D7919"/>
    <w:rsid w:val="2A5D972B"/>
    <w:rsid w:val="2A5DEF5A"/>
    <w:rsid w:val="2A5E1E88"/>
    <w:rsid w:val="2A5F311A"/>
    <w:rsid w:val="2A5F7A4A"/>
    <w:rsid w:val="2A5FADA5"/>
    <w:rsid w:val="2A5FE515"/>
    <w:rsid w:val="2A5FE7A0"/>
    <w:rsid w:val="2A602BF3"/>
    <w:rsid w:val="2A60D187"/>
    <w:rsid w:val="2A60DDF7"/>
    <w:rsid w:val="2A616A80"/>
    <w:rsid w:val="2A6177C5"/>
    <w:rsid w:val="2A619ECC"/>
    <w:rsid w:val="2A61A767"/>
    <w:rsid w:val="2A61BF8A"/>
    <w:rsid w:val="2A621C16"/>
    <w:rsid w:val="2A62E886"/>
    <w:rsid w:val="2A640A40"/>
    <w:rsid w:val="2A65D3AE"/>
    <w:rsid w:val="2A671153"/>
    <w:rsid w:val="2A677E67"/>
    <w:rsid w:val="2A678271"/>
    <w:rsid w:val="2A67B8DC"/>
    <w:rsid w:val="2A697CD7"/>
    <w:rsid w:val="2A69A0E4"/>
    <w:rsid w:val="2A6A04C4"/>
    <w:rsid w:val="2A6A3E52"/>
    <w:rsid w:val="2A6A59BD"/>
    <w:rsid w:val="2A6B1BD9"/>
    <w:rsid w:val="2A6B911D"/>
    <w:rsid w:val="2A6C76AB"/>
    <w:rsid w:val="2A6FDD5B"/>
    <w:rsid w:val="2A6FF6B0"/>
    <w:rsid w:val="2A72E13F"/>
    <w:rsid w:val="2A7345B9"/>
    <w:rsid w:val="2A734773"/>
    <w:rsid w:val="2A7356E6"/>
    <w:rsid w:val="2A73E2CF"/>
    <w:rsid w:val="2A74DD07"/>
    <w:rsid w:val="2A755351"/>
    <w:rsid w:val="2A75C0EA"/>
    <w:rsid w:val="2A75F975"/>
    <w:rsid w:val="2A7618E4"/>
    <w:rsid w:val="2A762E2E"/>
    <w:rsid w:val="2A766F97"/>
    <w:rsid w:val="2A76CCA8"/>
    <w:rsid w:val="2A7765B9"/>
    <w:rsid w:val="2A77676A"/>
    <w:rsid w:val="2A776B8A"/>
    <w:rsid w:val="2A77EA07"/>
    <w:rsid w:val="2A780593"/>
    <w:rsid w:val="2A78866C"/>
    <w:rsid w:val="2A78FA29"/>
    <w:rsid w:val="2A796CED"/>
    <w:rsid w:val="2A79940E"/>
    <w:rsid w:val="2A79CE27"/>
    <w:rsid w:val="2A7AB22A"/>
    <w:rsid w:val="2A7AFB59"/>
    <w:rsid w:val="2A7BBB5B"/>
    <w:rsid w:val="2A7C22AA"/>
    <w:rsid w:val="2A7CBFB9"/>
    <w:rsid w:val="2A7CC4B0"/>
    <w:rsid w:val="2A7CD93B"/>
    <w:rsid w:val="2A7D7B08"/>
    <w:rsid w:val="2A7DAFAC"/>
    <w:rsid w:val="2A7DB195"/>
    <w:rsid w:val="2A7F0048"/>
    <w:rsid w:val="2A7F6B48"/>
    <w:rsid w:val="2A7FF4A1"/>
    <w:rsid w:val="2A80305A"/>
    <w:rsid w:val="2A80387D"/>
    <w:rsid w:val="2A80A849"/>
    <w:rsid w:val="2A8143ED"/>
    <w:rsid w:val="2A821008"/>
    <w:rsid w:val="2A828FAA"/>
    <w:rsid w:val="2A832BB1"/>
    <w:rsid w:val="2A834B92"/>
    <w:rsid w:val="2A83A18D"/>
    <w:rsid w:val="2A83EAAA"/>
    <w:rsid w:val="2A8451F6"/>
    <w:rsid w:val="2A84BB42"/>
    <w:rsid w:val="2A84E045"/>
    <w:rsid w:val="2A84E93E"/>
    <w:rsid w:val="2A85EE7A"/>
    <w:rsid w:val="2A872618"/>
    <w:rsid w:val="2A873083"/>
    <w:rsid w:val="2A88220B"/>
    <w:rsid w:val="2A88483D"/>
    <w:rsid w:val="2A88FAB3"/>
    <w:rsid w:val="2A89074B"/>
    <w:rsid w:val="2A8933AA"/>
    <w:rsid w:val="2A8A1E4B"/>
    <w:rsid w:val="2A8C6E48"/>
    <w:rsid w:val="2A8E0972"/>
    <w:rsid w:val="2A8E3F96"/>
    <w:rsid w:val="2A8E5DA5"/>
    <w:rsid w:val="2A8E7129"/>
    <w:rsid w:val="2A8ED2F5"/>
    <w:rsid w:val="2A8EE964"/>
    <w:rsid w:val="2A8F3A48"/>
    <w:rsid w:val="2A8F63A0"/>
    <w:rsid w:val="2A8F73D3"/>
    <w:rsid w:val="2A906C63"/>
    <w:rsid w:val="2A912F72"/>
    <w:rsid w:val="2A91DA57"/>
    <w:rsid w:val="2A92A272"/>
    <w:rsid w:val="2A92B104"/>
    <w:rsid w:val="2A93DEC5"/>
    <w:rsid w:val="2A9454C0"/>
    <w:rsid w:val="2A94973B"/>
    <w:rsid w:val="2A94CC01"/>
    <w:rsid w:val="2A9592BE"/>
    <w:rsid w:val="2A95B0FA"/>
    <w:rsid w:val="2A95E09F"/>
    <w:rsid w:val="2A969402"/>
    <w:rsid w:val="2A96F415"/>
    <w:rsid w:val="2A976B0A"/>
    <w:rsid w:val="2A977933"/>
    <w:rsid w:val="2A984979"/>
    <w:rsid w:val="2A98FA5A"/>
    <w:rsid w:val="2A99F551"/>
    <w:rsid w:val="2A9A5BCE"/>
    <w:rsid w:val="2A9A5D1A"/>
    <w:rsid w:val="2A9B36C6"/>
    <w:rsid w:val="2A9BB4FF"/>
    <w:rsid w:val="2A9C3972"/>
    <w:rsid w:val="2A9D2DEC"/>
    <w:rsid w:val="2A9D5E10"/>
    <w:rsid w:val="2A9E33AE"/>
    <w:rsid w:val="2A9E48CC"/>
    <w:rsid w:val="2A9E54E4"/>
    <w:rsid w:val="2A9EDAA4"/>
    <w:rsid w:val="2A9F06E2"/>
    <w:rsid w:val="2A9F35E6"/>
    <w:rsid w:val="2A9F3C49"/>
    <w:rsid w:val="2A9F67DE"/>
    <w:rsid w:val="2AA02BB9"/>
    <w:rsid w:val="2AA04436"/>
    <w:rsid w:val="2AA0759E"/>
    <w:rsid w:val="2AA19CCE"/>
    <w:rsid w:val="2AA1EA5F"/>
    <w:rsid w:val="2AA1FB2A"/>
    <w:rsid w:val="2AA2C175"/>
    <w:rsid w:val="2AA38634"/>
    <w:rsid w:val="2AA3CD7E"/>
    <w:rsid w:val="2AA3CFDF"/>
    <w:rsid w:val="2AA45CCD"/>
    <w:rsid w:val="2AA4802B"/>
    <w:rsid w:val="2AA4E310"/>
    <w:rsid w:val="2AA50CA3"/>
    <w:rsid w:val="2AA50F69"/>
    <w:rsid w:val="2AA54683"/>
    <w:rsid w:val="2AA5D281"/>
    <w:rsid w:val="2AA68E9B"/>
    <w:rsid w:val="2AA690F5"/>
    <w:rsid w:val="2AA6C1CA"/>
    <w:rsid w:val="2AA7638B"/>
    <w:rsid w:val="2AA77077"/>
    <w:rsid w:val="2AA7BD54"/>
    <w:rsid w:val="2AA87B5F"/>
    <w:rsid w:val="2AA896FA"/>
    <w:rsid w:val="2AA8BF21"/>
    <w:rsid w:val="2AA8C557"/>
    <w:rsid w:val="2AA9971A"/>
    <w:rsid w:val="2AA9AE47"/>
    <w:rsid w:val="2AA9BC54"/>
    <w:rsid w:val="2AAA1024"/>
    <w:rsid w:val="2AAA5AEF"/>
    <w:rsid w:val="2AAB910A"/>
    <w:rsid w:val="2AABFC04"/>
    <w:rsid w:val="2AAD19C8"/>
    <w:rsid w:val="2AAD2B88"/>
    <w:rsid w:val="2AAD4BDA"/>
    <w:rsid w:val="2AAE131C"/>
    <w:rsid w:val="2AAE4F88"/>
    <w:rsid w:val="2AAE92A4"/>
    <w:rsid w:val="2AAEA162"/>
    <w:rsid w:val="2AAEC89A"/>
    <w:rsid w:val="2AAF2813"/>
    <w:rsid w:val="2AAFCF2C"/>
    <w:rsid w:val="2AAFEAD0"/>
    <w:rsid w:val="2AAFF895"/>
    <w:rsid w:val="2AB0CF25"/>
    <w:rsid w:val="2AB14A7D"/>
    <w:rsid w:val="2AB15D55"/>
    <w:rsid w:val="2AB18347"/>
    <w:rsid w:val="2AB22256"/>
    <w:rsid w:val="2AB2723D"/>
    <w:rsid w:val="2AB473F2"/>
    <w:rsid w:val="2AB5173E"/>
    <w:rsid w:val="2AB5279C"/>
    <w:rsid w:val="2AB59C4E"/>
    <w:rsid w:val="2AB5B293"/>
    <w:rsid w:val="2AB623A8"/>
    <w:rsid w:val="2AB67A37"/>
    <w:rsid w:val="2AB6BEBB"/>
    <w:rsid w:val="2AB6E7A6"/>
    <w:rsid w:val="2AB82EA3"/>
    <w:rsid w:val="2ABA48EB"/>
    <w:rsid w:val="2ABA8BC7"/>
    <w:rsid w:val="2ABACD51"/>
    <w:rsid w:val="2ABC2565"/>
    <w:rsid w:val="2ABCCEA3"/>
    <w:rsid w:val="2ABCCF8B"/>
    <w:rsid w:val="2ABDC278"/>
    <w:rsid w:val="2ABEEE34"/>
    <w:rsid w:val="2ABF112F"/>
    <w:rsid w:val="2ABFE31B"/>
    <w:rsid w:val="2AC05283"/>
    <w:rsid w:val="2AC2A984"/>
    <w:rsid w:val="2AC338A9"/>
    <w:rsid w:val="2AC36A52"/>
    <w:rsid w:val="2AC38A65"/>
    <w:rsid w:val="2AC39ADB"/>
    <w:rsid w:val="2AC3C157"/>
    <w:rsid w:val="2AC4F62F"/>
    <w:rsid w:val="2AC5F454"/>
    <w:rsid w:val="2AC6DA62"/>
    <w:rsid w:val="2AC73564"/>
    <w:rsid w:val="2AC75E1C"/>
    <w:rsid w:val="2AC81047"/>
    <w:rsid w:val="2AC813D2"/>
    <w:rsid w:val="2AC82840"/>
    <w:rsid w:val="2AC8CE53"/>
    <w:rsid w:val="2AC8F942"/>
    <w:rsid w:val="2AC90FB4"/>
    <w:rsid w:val="2AC9C054"/>
    <w:rsid w:val="2ACAF67D"/>
    <w:rsid w:val="2ACBDD70"/>
    <w:rsid w:val="2ACCF520"/>
    <w:rsid w:val="2ACDF4E1"/>
    <w:rsid w:val="2ACE3049"/>
    <w:rsid w:val="2ACE30B2"/>
    <w:rsid w:val="2ACF2332"/>
    <w:rsid w:val="2ACF4013"/>
    <w:rsid w:val="2ACF6AA7"/>
    <w:rsid w:val="2ACFCDDE"/>
    <w:rsid w:val="2AD01698"/>
    <w:rsid w:val="2AD051BA"/>
    <w:rsid w:val="2AD079CA"/>
    <w:rsid w:val="2AD2009A"/>
    <w:rsid w:val="2AD2376F"/>
    <w:rsid w:val="2AD240BE"/>
    <w:rsid w:val="2AD25C12"/>
    <w:rsid w:val="2AD26005"/>
    <w:rsid w:val="2AD2A1C4"/>
    <w:rsid w:val="2AD2C80E"/>
    <w:rsid w:val="2AD2EA19"/>
    <w:rsid w:val="2AD2EBD2"/>
    <w:rsid w:val="2AD31301"/>
    <w:rsid w:val="2AD380B8"/>
    <w:rsid w:val="2AD49C3A"/>
    <w:rsid w:val="2AD4CA33"/>
    <w:rsid w:val="2AD4F213"/>
    <w:rsid w:val="2AD5C759"/>
    <w:rsid w:val="2AD60DA0"/>
    <w:rsid w:val="2AD60DEB"/>
    <w:rsid w:val="2AD6CF90"/>
    <w:rsid w:val="2AD71A22"/>
    <w:rsid w:val="2AD7C3AA"/>
    <w:rsid w:val="2AD90E16"/>
    <w:rsid w:val="2ADA5FD7"/>
    <w:rsid w:val="2ADB3652"/>
    <w:rsid w:val="2ADB75CD"/>
    <w:rsid w:val="2ADB75F2"/>
    <w:rsid w:val="2ADB9FD2"/>
    <w:rsid w:val="2ADD0581"/>
    <w:rsid w:val="2ADD2ABE"/>
    <w:rsid w:val="2ADD64CB"/>
    <w:rsid w:val="2ADD9DC9"/>
    <w:rsid w:val="2ADDE171"/>
    <w:rsid w:val="2ADE1EA6"/>
    <w:rsid w:val="2ADEE943"/>
    <w:rsid w:val="2ADFC794"/>
    <w:rsid w:val="2AE0EABA"/>
    <w:rsid w:val="2AE1211C"/>
    <w:rsid w:val="2AE13D4D"/>
    <w:rsid w:val="2AE14333"/>
    <w:rsid w:val="2AE1BC40"/>
    <w:rsid w:val="2AE23843"/>
    <w:rsid w:val="2AE35B09"/>
    <w:rsid w:val="2AE35C62"/>
    <w:rsid w:val="2AE396A6"/>
    <w:rsid w:val="2AE3B985"/>
    <w:rsid w:val="2AE43811"/>
    <w:rsid w:val="2AE45003"/>
    <w:rsid w:val="2AE4815C"/>
    <w:rsid w:val="2AE4FBC2"/>
    <w:rsid w:val="2AE535D3"/>
    <w:rsid w:val="2AE56F00"/>
    <w:rsid w:val="2AE57E2D"/>
    <w:rsid w:val="2AE58BD0"/>
    <w:rsid w:val="2AE69099"/>
    <w:rsid w:val="2AE6EE8B"/>
    <w:rsid w:val="2AE771CD"/>
    <w:rsid w:val="2AE7B2B5"/>
    <w:rsid w:val="2AE7F6BB"/>
    <w:rsid w:val="2AE8074C"/>
    <w:rsid w:val="2AE89A07"/>
    <w:rsid w:val="2AE92E6B"/>
    <w:rsid w:val="2AE99889"/>
    <w:rsid w:val="2AE9DE22"/>
    <w:rsid w:val="2AEA8F52"/>
    <w:rsid w:val="2AEA9839"/>
    <w:rsid w:val="2AEB2AE1"/>
    <w:rsid w:val="2AEC0916"/>
    <w:rsid w:val="2AED4103"/>
    <w:rsid w:val="2AEDE437"/>
    <w:rsid w:val="2AEE1C28"/>
    <w:rsid w:val="2AEE215B"/>
    <w:rsid w:val="2AEE4B52"/>
    <w:rsid w:val="2AEED7DD"/>
    <w:rsid w:val="2AEF3365"/>
    <w:rsid w:val="2AF01465"/>
    <w:rsid w:val="2AF0223E"/>
    <w:rsid w:val="2AF0EBDE"/>
    <w:rsid w:val="2AF10C46"/>
    <w:rsid w:val="2AF13234"/>
    <w:rsid w:val="2AF196E5"/>
    <w:rsid w:val="2AF1AB8F"/>
    <w:rsid w:val="2AF1E6DD"/>
    <w:rsid w:val="2AF20C22"/>
    <w:rsid w:val="2AF22848"/>
    <w:rsid w:val="2AF22929"/>
    <w:rsid w:val="2AF27B7A"/>
    <w:rsid w:val="2AF2C9AB"/>
    <w:rsid w:val="2AF32761"/>
    <w:rsid w:val="2AF42B6B"/>
    <w:rsid w:val="2AF51CE5"/>
    <w:rsid w:val="2AF61B4F"/>
    <w:rsid w:val="2AF6A09F"/>
    <w:rsid w:val="2AF6E694"/>
    <w:rsid w:val="2AF75C04"/>
    <w:rsid w:val="2AF83A21"/>
    <w:rsid w:val="2AF8E639"/>
    <w:rsid w:val="2AF8F174"/>
    <w:rsid w:val="2AF919E9"/>
    <w:rsid w:val="2AF955A5"/>
    <w:rsid w:val="2AF9D0AE"/>
    <w:rsid w:val="2AFA7FBA"/>
    <w:rsid w:val="2AFA8226"/>
    <w:rsid w:val="2AFC7C32"/>
    <w:rsid w:val="2AFCD5ED"/>
    <w:rsid w:val="2AFE1869"/>
    <w:rsid w:val="2AFEA6C2"/>
    <w:rsid w:val="2AFED5E7"/>
    <w:rsid w:val="2AFEF62D"/>
    <w:rsid w:val="2B0002E5"/>
    <w:rsid w:val="2B000346"/>
    <w:rsid w:val="2B0015C8"/>
    <w:rsid w:val="2B0023AC"/>
    <w:rsid w:val="2B00932A"/>
    <w:rsid w:val="2B028D99"/>
    <w:rsid w:val="2B02A2C2"/>
    <w:rsid w:val="2B02C431"/>
    <w:rsid w:val="2B03188C"/>
    <w:rsid w:val="2B03F337"/>
    <w:rsid w:val="2B042AB8"/>
    <w:rsid w:val="2B0453CD"/>
    <w:rsid w:val="2B05B866"/>
    <w:rsid w:val="2B061A8A"/>
    <w:rsid w:val="2B066F92"/>
    <w:rsid w:val="2B07823C"/>
    <w:rsid w:val="2B085D56"/>
    <w:rsid w:val="2B093D59"/>
    <w:rsid w:val="2B09B26B"/>
    <w:rsid w:val="2B0A6293"/>
    <w:rsid w:val="2B0AC22B"/>
    <w:rsid w:val="2B0B349E"/>
    <w:rsid w:val="2B0B7BFF"/>
    <w:rsid w:val="2B0B8D0E"/>
    <w:rsid w:val="2B0D2932"/>
    <w:rsid w:val="2B0D9A5B"/>
    <w:rsid w:val="2B0DF2D5"/>
    <w:rsid w:val="2B0E68B0"/>
    <w:rsid w:val="2B0E7974"/>
    <w:rsid w:val="2B0F6AF9"/>
    <w:rsid w:val="2B1020B0"/>
    <w:rsid w:val="2B10C548"/>
    <w:rsid w:val="2B10E069"/>
    <w:rsid w:val="2B10E742"/>
    <w:rsid w:val="2B1238F3"/>
    <w:rsid w:val="2B12F56C"/>
    <w:rsid w:val="2B139854"/>
    <w:rsid w:val="2B13DFED"/>
    <w:rsid w:val="2B1415A4"/>
    <w:rsid w:val="2B148EC6"/>
    <w:rsid w:val="2B150D71"/>
    <w:rsid w:val="2B15134B"/>
    <w:rsid w:val="2B15AC68"/>
    <w:rsid w:val="2B15F800"/>
    <w:rsid w:val="2B161F68"/>
    <w:rsid w:val="2B16CE60"/>
    <w:rsid w:val="2B16F025"/>
    <w:rsid w:val="2B16FD25"/>
    <w:rsid w:val="2B173DC1"/>
    <w:rsid w:val="2B176AB5"/>
    <w:rsid w:val="2B179CCC"/>
    <w:rsid w:val="2B17F134"/>
    <w:rsid w:val="2B1823B1"/>
    <w:rsid w:val="2B19200F"/>
    <w:rsid w:val="2B19650D"/>
    <w:rsid w:val="2B196EB3"/>
    <w:rsid w:val="2B1B9721"/>
    <w:rsid w:val="2B1BC306"/>
    <w:rsid w:val="2B1CC74D"/>
    <w:rsid w:val="2B1CD473"/>
    <w:rsid w:val="2B1D2A63"/>
    <w:rsid w:val="2B1D7A87"/>
    <w:rsid w:val="2B1F13CC"/>
    <w:rsid w:val="2B200D55"/>
    <w:rsid w:val="2B2022A6"/>
    <w:rsid w:val="2B2022CA"/>
    <w:rsid w:val="2B20248F"/>
    <w:rsid w:val="2B20C1EE"/>
    <w:rsid w:val="2B20D329"/>
    <w:rsid w:val="2B2169F9"/>
    <w:rsid w:val="2B217839"/>
    <w:rsid w:val="2B218A8B"/>
    <w:rsid w:val="2B218CEA"/>
    <w:rsid w:val="2B219670"/>
    <w:rsid w:val="2B22A201"/>
    <w:rsid w:val="2B232C14"/>
    <w:rsid w:val="2B23A0C5"/>
    <w:rsid w:val="2B24018E"/>
    <w:rsid w:val="2B2432E0"/>
    <w:rsid w:val="2B24A926"/>
    <w:rsid w:val="2B258852"/>
    <w:rsid w:val="2B25EBE9"/>
    <w:rsid w:val="2B26C4EC"/>
    <w:rsid w:val="2B270282"/>
    <w:rsid w:val="2B270AC7"/>
    <w:rsid w:val="2B27C498"/>
    <w:rsid w:val="2B281CDB"/>
    <w:rsid w:val="2B28200B"/>
    <w:rsid w:val="2B2BB58F"/>
    <w:rsid w:val="2B2BC074"/>
    <w:rsid w:val="2B2BF450"/>
    <w:rsid w:val="2B2C4F16"/>
    <w:rsid w:val="2B2DFF7C"/>
    <w:rsid w:val="2B2E7FDD"/>
    <w:rsid w:val="2B2E9B99"/>
    <w:rsid w:val="2B2F3571"/>
    <w:rsid w:val="2B2FB615"/>
    <w:rsid w:val="2B2FE073"/>
    <w:rsid w:val="2B301270"/>
    <w:rsid w:val="2B306086"/>
    <w:rsid w:val="2B3079E2"/>
    <w:rsid w:val="2B3161E5"/>
    <w:rsid w:val="2B323444"/>
    <w:rsid w:val="2B3275BC"/>
    <w:rsid w:val="2B32C651"/>
    <w:rsid w:val="2B33CFE6"/>
    <w:rsid w:val="2B33DDAC"/>
    <w:rsid w:val="2B33F9A9"/>
    <w:rsid w:val="2B340083"/>
    <w:rsid w:val="2B34AC31"/>
    <w:rsid w:val="2B3547A2"/>
    <w:rsid w:val="2B354877"/>
    <w:rsid w:val="2B355475"/>
    <w:rsid w:val="2B3668B3"/>
    <w:rsid w:val="2B36BFD3"/>
    <w:rsid w:val="2B36FC2F"/>
    <w:rsid w:val="2B37883D"/>
    <w:rsid w:val="2B389A36"/>
    <w:rsid w:val="2B38D7AB"/>
    <w:rsid w:val="2B38E26D"/>
    <w:rsid w:val="2B390127"/>
    <w:rsid w:val="2B391EB9"/>
    <w:rsid w:val="2B392531"/>
    <w:rsid w:val="2B39C09A"/>
    <w:rsid w:val="2B3B0E83"/>
    <w:rsid w:val="2B3B82CE"/>
    <w:rsid w:val="2B3C7E3D"/>
    <w:rsid w:val="2B3F6C71"/>
    <w:rsid w:val="2B404C52"/>
    <w:rsid w:val="2B405BE4"/>
    <w:rsid w:val="2B40AA4B"/>
    <w:rsid w:val="2B41B188"/>
    <w:rsid w:val="2B41E71B"/>
    <w:rsid w:val="2B41FD24"/>
    <w:rsid w:val="2B4236C1"/>
    <w:rsid w:val="2B43357F"/>
    <w:rsid w:val="2B436469"/>
    <w:rsid w:val="2B4516E4"/>
    <w:rsid w:val="2B460C60"/>
    <w:rsid w:val="2B46A563"/>
    <w:rsid w:val="2B47218F"/>
    <w:rsid w:val="2B477B9C"/>
    <w:rsid w:val="2B479151"/>
    <w:rsid w:val="2B47E735"/>
    <w:rsid w:val="2B48B5A0"/>
    <w:rsid w:val="2B4A0E92"/>
    <w:rsid w:val="2B4A9E58"/>
    <w:rsid w:val="2B4AA0F4"/>
    <w:rsid w:val="2B4AD5EB"/>
    <w:rsid w:val="2B4BDFFF"/>
    <w:rsid w:val="2B4C1B63"/>
    <w:rsid w:val="2B4C3F3D"/>
    <w:rsid w:val="2B4D36DB"/>
    <w:rsid w:val="2B4EF900"/>
    <w:rsid w:val="2B500215"/>
    <w:rsid w:val="2B500942"/>
    <w:rsid w:val="2B51D136"/>
    <w:rsid w:val="2B51E769"/>
    <w:rsid w:val="2B52C9D5"/>
    <w:rsid w:val="2B537B72"/>
    <w:rsid w:val="2B53DA85"/>
    <w:rsid w:val="2B53F08E"/>
    <w:rsid w:val="2B5518AA"/>
    <w:rsid w:val="2B55409C"/>
    <w:rsid w:val="2B55926F"/>
    <w:rsid w:val="2B55C6A1"/>
    <w:rsid w:val="2B564453"/>
    <w:rsid w:val="2B56A8EE"/>
    <w:rsid w:val="2B575AC9"/>
    <w:rsid w:val="2B577A52"/>
    <w:rsid w:val="2B57BCC0"/>
    <w:rsid w:val="2B57E3F2"/>
    <w:rsid w:val="2B57EC40"/>
    <w:rsid w:val="2B585756"/>
    <w:rsid w:val="2B58CE76"/>
    <w:rsid w:val="2B596F1B"/>
    <w:rsid w:val="2B59A906"/>
    <w:rsid w:val="2B59C697"/>
    <w:rsid w:val="2B59D6C4"/>
    <w:rsid w:val="2B5A8AC9"/>
    <w:rsid w:val="2B5C20DA"/>
    <w:rsid w:val="2B5CC59F"/>
    <w:rsid w:val="2B5D89A3"/>
    <w:rsid w:val="2B5DF183"/>
    <w:rsid w:val="2B5E3116"/>
    <w:rsid w:val="2B5E6BCE"/>
    <w:rsid w:val="2B5F1353"/>
    <w:rsid w:val="2B5FA9B4"/>
    <w:rsid w:val="2B611672"/>
    <w:rsid w:val="2B6147AC"/>
    <w:rsid w:val="2B6182AF"/>
    <w:rsid w:val="2B61A88E"/>
    <w:rsid w:val="2B620C32"/>
    <w:rsid w:val="2B6234D1"/>
    <w:rsid w:val="2B6287C2"/>
    <w:rsid w:val="2B636397"/>
    <w:rsid w:val="2B63B737"/>
    <w:rsid w:val="2B63F00E"/>
    <w:rsid w:val="2B64F992"/>
    <w:rsid w:val="2B660A19"/>
    <w:rsid w:val="2B6612E7"/>
    <w:rsid w:val="2B6628EB"/>
    <w:rsid w:val="2B667F51"/>
    <w:rsid w:val="2B669EA0"/>
    <w:rsid w:val="2B66D92C"/>
    <w:rsid w:val="2B676DEF"/>
    <w:rsid w:val="2B68C54C"/>
    <w:rsid w:val="2B68CD67"/>
    <w:rsid w:val="2B690876"/>
    <w:rsid w:val="2B69468E"/>
    <w:rsid w:val="2B695084"/>
    <w:rsid w:val="2B6A72AE"/>
    <w:rsid w:val="2B6ABB3F"/>
    <w:rsid w:val="2B6AD03E"/>
    <w:rsid w:val="2B6B22DD"/>
    <w:rsid w:val="2B6BD5D8"/>
    <w:rsid w:val="2B6C196B"/>
    <w:rsid w:val="2B6C3283"/>
    <w:rsid w:val="2B6D1AE2"/>
    <w:rsid w:val="2B6D463F"/>
    <w:rsid w:val="2B6D48CC"/>
    <w:rsid w:val="2B6D874E"/>
    <w:rsid w:val="2B6EE847"/>
    <w:rsid w:val="2B6F2E86"/>
    <w:rsid w:val="2B6FDDC4"/>
    <w:rsid w:val="2B701403"/>
    <w:rsid w:val="2B7030F8"/>
    <w:rsid w:val="2B704F27"/>
    <w:rsid w:val="2B7088CB"/>
    <w:rsid w:val="2B71A435"/>
    <w:rsid w:val="2B721E17"/>
    <w:rsid w:val="2B7286B4"/>
    <w:rsid w:val="2B72BF17"/>
    <w:rsid w:val="2B72CB29"/>
    <w:rsid w:val="2B72DB3B"/>
    <w:rsid w:val="2B756FBF"/>
    <w:rsid w:val="2B759FBA"/>
    <w:rsid w:val="2B76035E"/>
    <w:rsid w:val="2B76A31D"/>
    <w:rsid w:val="2B76B40C"/>
    <w:rsid w:val="2B76F5C9"/>
    <w:rsid w:val="2B77143F"/>
    <w:rsid w:val="2B7782BB"/>
    <w:rsid w:val="2B781B20"/>
    <w:rsid w:val="2B7832F4"/>
    <w:rsid w:val="2B786042"/>
    <w:rsid w:val="2B78BFA7"/>
    <w:rsid w:val="2B793673"/>
    <w:rsid w:val="2B795063"/>
    <w:rsid w:val="2B798F74"/>
    <w:rsid w:val="2B79A952"/>
    <w:rsid w:val="2B79E95C"/>
    <w:rsid w:val="2B7B07C0"/>
    <w:rsid w:val="2B7B0E3C"/>
    <w:rsid w:val="2B7B4554"/>
    <w:rsid w:val="2B7B4595"/>
    <w:rsid w:val="2B7BC359"/>
    <w:rsid w:val="2B7BD713"/>
    <w:rsid w:val="2B7C1066"/>
    <w:rsid w:val="2B7C62F1"/>
    <w:rsid w:val="2B7CBA00"/>
    <w:rsid w:val="2B7DC4BF"/>
    <w:rsid w:val="2B7E582C"/>
    <w:rsid w:val="2B7FF05A"/>
    <w:rsid w:val="2B80560E"/>
    <w:rsid w:val="2B80C8A7"/>
    <w:rsid w:val="2B80D8C5"/>
    <w:rsid w:val="2B80E3D5"/>
    <w:rsid w:val="2B814D27"/>
    <w:rsid w:val="2B82C3E2"/>
    <w:rsid w:val="2B82ECA1"/>
    <w:rsid w:val="2B849188"/>
    <w:rsid w:val="2B854661"/>
    <w:rsid w:val="2B857829"/>
    <w:rsid w:val="2B85FA5E"/>
    <w:rsid w:val="2B872752"/>
    <w:rsid w:val="2B87426E"/>
    <w:rsid w:val="2B87FDC7"/>
    <w:rsid w:val="2B885ED7"/>
    <w:rsid w:val="2B890185"/>
    <w:rsid w:val="2B892CFA"/>
    <w:rsid w:val="2B89CE56"/>
    <w:rsid w:val="2B8A84CE"/>
    <w:rsid w:val="2B8A9341"/>
    <w:rsid w:val="2B8C4D86"/>
    <w:rsid w:val="2B8C7A96"/>
    <w:rsid w:val="2B8D1D3E"/>
    <w:rsid w:val="2B8D9362"/>
    <w:rsid w:val="2B8E3089"/>
    <w:rsid w:val="2B8EF90D"/>
    <w:rsid w:val="2B8F40EA"/>
    <w:rsid w:val="2B903428"/>
    <w:rsid w:val="2B910B3B"/>
    <w:rsid w:val="2B9132B7"/>
    <w:rsid w:val="2B91412E"/>
    <w:rsid w:val="2B91DDFD"/>
    <w:rsid w:val="2B91E801"/>
    <w:rsid w:val="2B92B171"/>
    <w:rsid w:val="2B936D56"/>
    <w:rsid w:val="2B93C984"/>
    <w:rsid w:val="2B945D98"/>
    <w:rsid w:val="2B948ADC"/>
    <w:rsid w:val="2B94BD63"/>
    <w:rsid w:val="2B957775"/>
    <w:rsid w:val="2B9578DC"/>
    <w:rsid w:val="2B9638BB"/>
    <w:rsid w:val="2B96C5CE"/>
    <w:rsid w:val="2B978DAB"/>
    <w:rsid w:val="2B988FB3"/>
    <w:rsid w:val="2B98E3F1"/>
    <w:rsid w:val="2B992A5F"/>
    <w:rsid w:val="2B99480B"/>
    <w:rsid w:val="2B9999EF"/>
    <w:rsid w:val="2B9B27BC"/>
    <w:rsid w:val="2B9B89AA"/>
    <w:rsid w:val="2B9BEB80"/>
    <w:rsid w:val="2B9C39D1"/>
    <w:rsid w:val="2B9C80C1"/>
    <w:rsid w:val="2B9CE331"/>
    <w:rsid w:val="2BA0A19D"/>
    <w:rsid w:val="2BA11B1E"/>
    <w:rsid w:val="2BA15594"/>
    <w:rsid w:val="2BA15A23"/>
    <w:rsid w:val="2BA16EF6"/>
    <w:rsid w:val="2BA19072"/>
    <w:rsid w:val="2BA1DFFD"/>
    <w:rsid w:val="2BA225C1"/>
    <w:rsid w:val="2BA2399E"/>
    <w:rsid w:val="2BA36F98"/>
    <w:rsid w:val="2BA57082"/>
    <w:rsid w:val="2BA5845C"/>
    <w:rsid w:val="2BA62000"/>
    <w:rsid w:val="2BA83309"/>
    <w:rsid w:val="2BA833D6"/>
    <w:rsid w:val="2BA84B93"/>
    <w:rsid w:val="2BA88F5A"/>
    <w:rsid w:val="2BA92BA4"/>
    <w:rsid w:val="2BA99C3B"/>
    <w:rsid w:val="2BAA0994"/>
    <w:rsid w:val="2BAB357F"/>
    <w:rsid w:val="2BAB39CC"/>
    <w:rsid w:val="2BAD3FDC"/>
    <w:rsid w:val="2BAD9DB1"/>
    <w:rsid w:val="2BADC665"/>
    <w:rsid w:val="2BADCB86"/>
    <w:rsid w:val="2BAF5DE8"/>
    <w:rsid w:val="2BAF7769"/>
    <w:rsid w:val="2BAF9258"/>
    <w:rsid w:val="2BAFCAC5"/>
    <w:rsid w:val="2BAFD0AC"/>
    <w:rsid w:val="2BAFECF2"/>
    <w:rsid w:val="2BB43D83"/>
    <w:rsid w:val="2BB4B8FC"/>
    <w:rsid w:val="2BB4EEDA"/>
    <w:rsid w:val="2BB501E9"/>
    <w:rsid w:val="2BB5847E"/>
    <w:rsid w:val="2BB5CFF0"/>
    <w:rsid w:val="2BB5E489"/>
    <w:rsid w:val="2BB5EC0A"/>
    <w:rsid w:val="2BB6413F"/>
    <w:rsid w:val="2BB6C27D"/>
    <w:rsid w:val="2BB7017B"/>
    <w:rsid w:val="2BB73EB7"/>
    <w:rsid w:val="2BB879B0"/>
    <w:rsid w:val="2BB891D4"/>
    <w:rsid w:val="2BB9CB75"/>
    <w:rsid w:val="2BBAC8AC"/>
    <w:rsid w:val="2BBBC2D4"/>
    <w:rsid w:val="2BBD3209"/>
    <w:rsid w:val="2BBD3C37"/>
    <w:rsid w:val="2BBD5339"/>
    <w:rsid w:val="2BBD76EB"/>
    <w:rsid w:val="2BBF742F"/>
    <w:rsid w:val="2BBF870B"/>
    <w:rsid w:val="2BC09B15"/>
    <w:rsid w:val="2BC0D64E"/>
    <w:rsid w:val="2BC0F8B8"/>
    <w:rsid w:val="2BC25537"/>
    <w:rsid w:val="2BC25B0E"/>
    <w:rsid w:val="2BC328EE"/>
    <w:rsid w:val="2BC35975"/>
    <w:rsid w:val="2BC42549"/>
    <w:rsid w:val="2BC47901"/>
    <w:rsid w:val="2BC53AD3"/>
    <w:rsid w:val="2BC5C3D3"/>
    <w:rsid w:val="2BC5F8EE"/>
    <w:rsid w:val="2BC68C40"/>
    <w:rsid w:val="2BC8916B"/>
    <w:rsid w:val="2BC9317E"/>
    <w:rsid w:val="2BC9574D"/>
    <w:rsid w:val="2BC97E9A"/>
    <w:rsid w:val="2BC99242"/>
    <w:rsid w:val="2BCA3D4D"/>
    <w:rsid w:val="2BCA4AAD"/>
    <w:rsid w:val="2BCB022E"/>
    <w:rsid w:val="2BCC0298"/>
    <w:rsid w:val="2BCC7D57"/>
    <w:rsid w:val="2BCCAD92"/>
    <w:rsid w:val="2BCCEE22"/>
    <w:rsid w:val="2BCD5D50"/>
    <w:rsid w:val="2BCD6BDB"/>
    <w:rsid w:val="2BCD7349"/>
    <w:rsid w:val="2BCD8EF9"/>
    <w:rsid w:val="2BCEA01B"/>
    <w:rsid w:val="2BCEFAF5"/>
    <w:rsid w:val="2BCF0F38"/>
    <w:rsid w:val="2BCF37D5"/>
    <w:rsid w:val="2BCFC756"/>
    <w:rsid w:val="2BCFDBDB"/>
    <w:rsid w:val="2BD07F3C"/>
    <w:rsid w:val="2BD16B34"/>
    <w:rsid w:val="2BD1B1B5"/>
    <w:rsid w:val="2BD21115"/>
    <w:rsid w:val="2BD30C14"/>
    <w:rsid w:val="2BD30CA4"/>
    <w:rsid w:val="2BD3AD13"/>
    <w:rsid w:val="2BD3B3CD"/>
    <w:rsid w:val="2BD5E989"/>
    <w:rsid w:val="2BD5F906"/>
    <w:rsid w:val="2BD670EC"/>
    <w:rsid w:val="2BD7145F"/>
    <w:rsid w:val="2BD754C9"/>
    <w:rsid w:val="2BD7760E"/>
    <w:rsid w:val="2BD797A9"/>
    <w:rsid w:val="2BD7FD1B"/>
    <w:rsid w:val="2BD86D50"/>
    <w:rsid w:val="2BD91BC8"/>
    <w:rsid w:val="2BD9EE68"/>
    <w:rsid w:val="2BDA011F"/>
    <w:rsid w:val="2BDA9203"/>
    <w:rsid w:val="2BDAEE78"/>
    <w:rsid w:val="2BDB1283"/>
    <w:rsid w:val="2BDB354B"/>
    <w:rsid w:val="2BDBF465"/>
    <w:rsid w:val="2BDD29F9"/>
    <w:rsid w:val="2BDE334E"/>
    <w:rsid w:val="2BDE411D"/>
    <w:rsid w:val="2BDED738"/>
    <w:rsid w:val="2BDF3BAB"/>
    <w:rsid w:val="2BDF79F8"/>
    <w:rsid w:val="2BDFBDBD"/>
    <w:rsid w:val="2BDFF415"/>
    <w:rsid w:val="2BE11567"/>
    <w:rsid w:val="2BE157A4"/>
    <w:rsid w:val="2BE180DC"/>
    <w:rsid w:val="2BE2669C"/>
    <w:rsid w:val="2BE2B9F3"/>
    <w:rsid w:val="2BE444C7"/>
    <w:rsid w:val="2BE47559"/>
    <w:rsid w:val="2BE50C57"/>
    <w:rsid w:val="2BE512F0"/>
    <w:rsid w:val="2BE57AEB"/>
    <w:rsid w:val="2BE6799E"/>
    <w:rsid w:val="2BE6ACB6"/>
    <w:rsid w:val="2BE73BDE"/>
    <w:rsid w:val="2BE781A6"/>
    <w:rsid w:val="2BE79165"/>
    <w:rsid w:val="2BE833B6"/>
    <w:rsid w:val="2BE8B0DA"/>
    <w:rsid w:val="2BE933B2"/>
    <w:rsid w:val="2BE94A06"/>
    <w:rsid w:val="2BEA560B"/>
    <w:rsid w:val="2BEAC788"/>
    <w:rsid w:val="2BEAF8A6"/>
    <w:rsid w:val="2BEB2842"/>
    <w:rsid w:val="2BEB2BB6"/>
    <w:rsid w:val="2BEBE115"/>
    <w:rsid w:val="2BEBE31E"/>
    <w:rsid w:val="2BEC4AF1"/>
    <w:rsid w:val="2BEC9854"/>
    <w:rsid w:val="2BEC9FE5"/>
    <w:rsid w:val="2BEE3D76"/>
    <w:rsid w:val="2BF05C06"/>
    <w:rsid w:val="2BF06935"/>
    <w:rsid w:val="2BF0F718"/>
    <w:rsid w:val="2BF125C2"/>
    <w:rsid w:val="2BF1AF32"/>
    <w:rsid w:val="2BF1C16A"/>
    <w:rsid w:val="2BF1E471"/>
    <w:rsid w:val="2BF2053B"/>
    <w:rsid w:val="2BF21896"/>
    <w:rsid w:val="2BF2AD2A"/>
    <w:rsid w:val="2BF2C166"/>
    <w:rsid w:val="2BF32E35"/>
    <w:rsid w:val="2BF384C0"/>
    <w:rsid w:val="2BF3F2BF"/>
    <w:rsid w:val="2BF3FBBF"/>
    <w:rsid w:val="2BF40D7F"/>
    <w:rsid w:val="2BF4C8B0"/>
    <w:rsid w:val="2BF4FCD8"/>
    <w:rsid w:val="2BF5A0EF"/>
    <w:rsid w:val="2BF5DD15"/>
    <w:rsid w:val="2BF67121"/>
    <w:rsid w:val="2BF6BC6A"/>
    <w:rsid w:val="2BF70154"/>
    <w:rsid w:val="2BF81105"/>
    <w:rsid w:val="2BF86938"/>
    <w:rsid w:val="2BF8C3EF"/>
    <w:rsid w:val="2BFA0F64"/>
    <w:rsid w:val="2BFAAAE6"/>
    <w:rsid w:val="2BFAD303"/>
    <w:rsid w:val="2BFBC055"/>
    <w:rsid w:val="2BFC73E5"/>
    <w:rsid w:val="2BFCE725"/>
    <w:rsid w:val="2BFD8055"/>
    <w:rsid w:val="2BFDD395"/>
    <w:rsid w:val="2BFE0E28"/>
    <w:rsid w:val="2BFE9128"/>
    <w:rsid w:val="2BFF3C41"/>
    <w:rsid w:val="2BFFCD69"/>
    <w:rsid w:val="2C00566D"/>
    <w:rsid w:val="2C008FF8"/>
    <w:rsid w:val="2C0163E8"/>
    <w:rsid w:val="2C019153"/>
    <w:rsid w:val="2C01FCF8"/>
    <w:rsid w:val="2C026B2B"/>
    <w:rsid w:val="2C040A85"/>
    <w:rsid w:val="2C0470F6"/>
    <w:rsid w:val="2C04894A"/>
    <w:rsid w:val="2C05438F"/>
    <w:rsid w:val="2C05BF54"/>
    <w:rsid w:val="2C061B27"/>
    <w:rsid w:val="2C06C5D0"/>
    <w:rsid w:val="2C0704F5"/>
    <w:rsid w:val="2C08EB4C"/>
    <w:rsid w:val="2C09228A"/>
    <w:rsid w:val="2C095F3A"/>
    <w:rsid w:val="2C0ABCA1"/>
    <w:rsid w:val="2C0B0A30"/>
    <w:rsid w:val="2C0D678B"/>
    <w:rsid w:val="2C0E09DC"/>
    <w:rsid w:val="2C0E0A23"/>
    <w:rsid w:val="2C0E37FC"/>
    <w:rsid w:val="2C0E7726"/>
    <w:rsid w:val="2C0E922F"/>
    <w:rsid w:val="2C0F4AF0"/>
    <w:rsid w:val="2C0F9E8C"/>
    <w:rsid w:val="2C1103F6"/>
    <w:rsid w:val="2C1145A0"/>
    <w:rsid w:val="2C11735F"/>
    <w:rsid w:val="2C11A74F"/>
    <w:rsid w:val="2C11AEF0"/>
    <w:rsid w:val="2C11D134"/>
    <w:rsid w:val="2C12524E"/>
    <w:rsid w:val="2C128704"/>
    <w:rsid w:val="2C130CC3"/>
    <w:rsid w:val="2C135D85"/>
    <w:rsid w:val="2C136A83"/>
    <w:rsid w:val="2C13A224"/>
    <w:rsid w:val="2C13A2B9"/>
    <w:rsid w:val="2C149D63"/>
    <w:rsid w:val="2C14C16E"/>
    <w:rsid w:val="2C15AC7A"/>
    <w:rsid w:val="2C15B7B1"/>
    <w:rsid w:val="2C15FE78"/>
    <w:rsid w:val="2C16B00E"/>
    <w:rsid w:val="2C17334B"/>
    <w:rsid w:val="2C185A52"/>
    <w:rsid w:val="2C1892BF"/>
    <w:rsid w:val="2C18ADB9"/>
    <w:rsid w:val="2C190AF4"/>
    <w:rsid w:val="2C1971E0"/>
    <w:rsid w:val="2C199E17"/>
    <w:rsid w:val="2C19A917"/>
    <w:rsid w:val="2C19C242"/>
    <w:rsid w:val="2C1A13BE"/>
    <w:rsid w:val="2C1A1655"/>
    <w:rsid w:val="2C1A5726"/>
    <w:rsid w:val="2C1AA43D"/>
    <w:rsid w:val="2C1B0326"/>
    <w:rsid w:val="2C1B61D9"/>
    <w:rsid w:val="2C1C4BBD"/>
    <w:rsid w:val="2C1CDC0F"/>
    <w:rsid w:val="2C1D08D5"/>
    <w:rsid w:val="2C1D3AB1"/>
    <w:rsid w:val="2C1D55C0"/>
    <w:rsid w:val="2C1E2391"/>
    <w:rsid w:val="2C1E58B3"/>
    <w:rsid w:val="2C1E8406"/>
    <w:rsid w:val="2C1E897D"/>
    <w:rsid w:val="2C1EF7B6"/>
    <w:rsid w:val="2C1F6611"/>
    <w:rsid w:val="2C1F7E0F"/>
    <w:rsid w:val="2C1F8904"/>
    <w:rsid w:val="2C205012"/>
    <w:rsid w:val="2C207604"/>
    <w:rsid w:val="2C208892"/>
    <w:rsid w:val="2C21AA49"/>
    <w:rsid w:val="2C21AAE6"/>
    <w:rsid w:val="2C221B91"/>
    <w:rsid w:val="2C225316"/>
    <w:rsid w:val="2C230077"/>
    <w:rsid w:val="2C23B8E1"/>
    <w:rsid w:val="2C246526"/>
    <w:rsid w:val="2C247DC7"/>
    <w:rsid w:val="2C25E5A4"/>
    <w:rsid w:val="2C25F4F7"/>
    <w:rsid w:val="2C27B2A2"/>
    <w:rsid w:val="2C2917D2"/>
    <w:rsid w:val="2C296ADA"/>
    <w:rsid w:val="2C29CC46"/>
    <w:rsid w:val="2C2A0884"/>
    <w:rsid w:val="2C2A0D6B"/>
    <w:rsid w:val="2C2A3D80"/>
    <w:rsid w:val="2C2AABAC"/>
    <w:rsid w:val="2C2B00EC"/>
    <w:rsid w:val="2C2B1012"/>
    <w:rsid w:val="2C2CFDF3"/>
    <w:rsid w:val="2C2D95E0"/>
    <w:rsid w:val="2C2DC283"/>
    <w:rsid w:val="2C2DD741"/>
    <w:rsid w:val="2C2E60E2"/>
    <w:rsid w:val="2C2EFB55"/>
    <w:rsid w:val="2C2F7C53"/>
    <w:rsid w:val="2C2F900D"/>
    <w:rsid w:val="2C2FBF01"/>
    <w:rsid w:val="2C3029A4"/>
    <w:rsid w:val="2C3030F4"/>
    <w:rsid w:val="2C304A87"/>
    <w:rsid w:val="2C30A1DE"/>
    <w:rsid w:val="2C316616"/>
    <w:rsid w:val="2C317D7B"/>
    <w:rsid w:val="2C3202DF"/>
    <w:rsid w:val="2C332774"/>
    <w:rsid w:val="2C33B1D8"/>
    <w:rsid w:val="2C33B97B"/>
    <w:rsid w:val="2C357F76"/>
    <w:rsid w:val="2C3687C0"/>
    <w:rsid w:val="2C3691C8"/>
    <w:rsid w:val="2C36D294"/>
    <w:rsid w:val="2C37C19E"/>
    <w:rsid w:val="2C385B0D"/>
    <w:rsid w:val="2C3872D3"/>
    <w:rsid w:val="2C390383"/>
    <w:rsid w:val="2C391971"/>
    <w:rsid w:val="2C3972E5"/>
    <w:rsid w:val="2C3A2EAE"/>
    <w:rsid w:val="2C3A3408"/>
    <w:rsid w:val="2C3BAB12"/>
    <w:rsid w:val="2C3BE3AA"/>
    <w:rsid w:val="2C3C7A3C"/>
    <w:rsid w:val="2C3D0C5A"/>
    <w:rsid w:val="2C3D9472"/>
    <w:rsid w:val="2C3D9496"/>
    <w:rsid w:val="2C3EF796"/>
    <w:rsid w:val="2C3F02D3"/>
    <w:rsid w:val="2C3F1B6D"/>
    <w:rsid w:val="2C3FAC7A"/>
    <w:rsid w:val="2C4026FF"/>
    <w:rsid w:val="2C4048C1"/>
    <w:rsid w:val="2C406B46"/>
    <w:rsid w:val="2C407968"/>
    <w:rsid w:val="2C42BED9"/>
    <w:rsid w:val="2C42E4C4"/>
    <w:rsid w:val="2C4364D8"/>
    <w:rsid w:val="2C4377D6"/>
    <w:rsid w:val="2C43CE15"/>
    <w:rsid w:val="2C441E04"/>
    <w:rsid w:val="2C441F01"/>
    <w:rsid w:val="2C44B148"/>
    <w:rsid w:val="2C45BFC1"/>
    <w:rsid w:val="2C45EFB4"/>
    <w:rsid w:val="2C466F36"/>
    <w:rsid w:val="2C4677DC"/>
    <w:rsid w:val="2C46AF65"/>
    <w:rsid w:val="2C46B142"/>
    <w:rsid w:val="2C474755"/>
    <w:rsid w:val="2C476BB0"/>
    <w:rsid w:val="2C47C61B"/>
    <w:rsid w:val="2C4A0395"/>
    <w:rsid w:val="2C4AE1E4"/>
    <w:rsid w:val="2C4B0D67"/>
    <w:rsid w:val="2C4B93A1"/>
    <w:rsid w:val="2C4BA173"/>
    <w:rsid w:val="2C4C3398"/>
    <w:rsid w:val="2C4C6D65"/>
    <w:rsid w:val="2C4C85CE"/>
    <w:rsid w:val="2C4CCD1F"/>
    <w:rsid w:val="2C4D11F8"/>
    <w:rsid w:val="2C4D460A"/>
    <w:rsid w:val="2C4DB878"/>
    <w:rsid w:val="2C4DF66B"/>
    <w:rsid w:val="2C4F0E6B"/>
    <w:rsid w:val="2C4F5ECF"/>
    <w:rsid w:val="2C4F7E34"/>
    <w:rsid w:val="2C4FC3FA"/>
    <w:rsid w:val="2C506050"/>
    <w:rsid w:val="2C50B504"/>
    <w:rsid w:val="2C50D778"/>
    <w:rsid w:val="2C510078"/>
    <w:rsid w:val="2C514930"/>
    <w:rsid w:val="2C5173E6"/>
    <w:rsid w:val="2C51895E"/>
    <w:rsid w:val="2C5226EE"/>
    <w:rsid w:val="2C526DF1"/>
    <w:rsid w:val="2C5367B9"/>
    <w:rsid w:val="2C54085D"/>
    <w:rsid w:val="2C551FEB"/>
    <w:rsid w:val="2C5528E1"/>
    <w:rsid w:val="2C55590C"/>
    <w:rsid w:val="2C5564EC"/>
    <w:rsid w:val="2C556DA5"/>
    <w:rsid w:val="2C55F25F"/>
    <w:rsid w:val="2C568802"/>
    <w:rsid w:val="2C56C806"/>
    <w:rsid w:val="2C56EF6E"/>
    <w:rsid w:val="2C570294"/>
    <w:rsid w:val="2C582C79"/>
    <w:rsid w:val="2C588B16"/>
    <w:rsid w:val="2C58A960"/>
    <w:rsid w:val="2C58AD31"/>
    <w:rsid w:val="2C59462A"/>
    <w:rsid w:val="2C594896"/>
    <w:rsid w:val="2C5A4ABA"/>
    <w:rsid w:val="2C5ABD6C"/>
    <w:rsid w:val="2C5AE92B"/>
    <w:rsid w:val="2C5B94ED"/>
    <w:rsid w:val="2C5BC795"/>
    <w:rsid w:val="2C5C8183"/>
    <w:rsid w:val="2C5D0519"/>
    <w:rsid w:val="2C5D5680"/>
    <w:rsid w:val="2C5D8BD5"/>
    <w:rsid w:val="2C5DD47B"/>
    <w:rsid w:val="2C5EE900"/>
    <w:rsid w:val="2C5F4802"/>
    <w:rsid w:val="2C5FE361"/>
    <w:rsid w:val="2C601F15"/>
    <w:rsid w:val="2C6035FD"/>
    <w:rsid w:val="2C60390D"/>
    <w:rsid w:val="2C60461E"/>
    <w:rsid w:val="2C6116F7"/>
    <w:rsid w:val="2C61595F"/>
    <w:rsid w:val="2C61E673"/>
    <w:rsid w:val="2C621F44"/>
    <w:rsid w:val="2C625262"/>
    <w:rsid w:val="2C62C024"/>
    <w:rsid w:val="2C62C067"/>
    <w:rsid w:val="2C62FD4D"/>
    <w:rsid w:val="2C63018D"/>
    <w:rsid w:val="2C63050B"/>
    <w:rsid w:val="2C6397A6"/>
    <w:rsid w:val="2C63B26B"/>
    <w:rsid w:val="2C64AC00"/>
    <w:rsid w:val="2C64F55B"/>
    <w:rsid w:val="2C6502F5"/>
    <w:rsid w:val="2C6579B8"/>
    <w:rsid w:val="2C65E1B0"/>
    <w:rsid w:val="2C6638AE"/>
    <w:rsid w:val="2C664C33"/>
    <w:rsid w:val="2C66D80A"/>
    <w:rsid w:val="2C67C509"/>
    <w:rsid w:val="2C682D08"/>
    <w:rsid w:val="2C68B159"/>
    <w:rsid w:val="2C68B57B"/>
    <w:rsid w:val="2C6943AC"/>
    <w:rsid w:val="2C697A9E"/>
    <w:rsid w:val="2C697E31"/>
    <w:rsid w:val="2C699441"/>
    <w:rsid w:val="2C699CA6"/>
    <w:rsid w:val="2C6A4202"/>
    <w:rsid w:val="2C6B46D4"/>
    <w:rsid w:val="2C6C5A54"/>
    <w:rsid w:val="2C6DB59D"/>
    <w:rsid w:val="2C6DD588"/>
    <w:rsid w:val="2C6DDB73"/>
    <w:rsid w:val="2C6E5B44"/>
    <w:rsid w:val="2C6EC69D"/>
    <w:rsid w:val="2C6F6724"/>
    <w:rsid w:val="2C6FCE25"/>
    <w:rsid w:val="2C6FFD61"/>
    <w:rsid w:val="2C70055B"/>
    <w:rsid w:val="2C703FD2"/>
    <w:rsid w:val="2C7050DF"/>
    <w:rsid w:val="2C711841"/>
    <w:rsid w:val="2C711E75"/>
    <w:rsid w:val="2C716C79"/>
    <w:rsid w:val="2C71FC54"/>
    <w:rsid w:val="2C733C8D"/>
    <w:rsid w:val="2C73FDAF"/>
    <w:rsid w:val="2C740724"/>
    <w:rsid w:val="2C74883F"/>
    <w:rsid w:val="2C748BB2"/>
    <w:rsid w:val="2C75FF2E"/>
    <w:rsid w:val="2C76367D"/>
    <w:rsid w:val="2C76895E"/>
    <w:rsid w:val="2C76E0BA"/>
    <w:rsid w:val="2C7793B3"/>
    <w:rsid w:val="2C782043"/>
    <w:rsid w:val="2C784E01"/>
    <w:rsid w:val="2C785A23"/>
    <w:rsid w:val="2C7864E8"/>
    <w:rsid w:val="2C78AA09"/>
    <w:rsid w:val="2C79210E"/>
    <w:rsid w:val="2C79397E"/>
    <w:rsid w:val="2C79794B"/>
    <w:rsid w:val="2C7B2574"/>
    <w:rsid w:val="2C7B74DD"/>
    <w:rsid w:val="2C7BA746"/>
    <w:rsid w:val="2C7BB2F9"/>
    <w:rsid w:val="2C7BCB4D"/>
    <w:rsid w:val="2C7C2364"/>
    <w:rsid w:val="2C7C8DD7"/>
    <w:rsid w:val="2C7D54F9"/>
    <w:rsid w:val="2C7D5F86"/>
    <w:rsid w:val="2C7E468B"/>
    <w:rsid w:val="2C7ED743"/>
    <w:rsid w:val="2C7F3EBA"/>
    <w:rsid w:val="2C7F780A"/>
    <w:rsid w:val="2C8069CA"/>
    <w:rsid w:val="2C807364"/>
    <w:rsid w:val="2C80C816"/>
    <w:rsid w:val="2C80FD07"/>
    <w:rsid w:val="2C814688"/>
    <w:rsid w:val="2C815BB0"/>
    <w:rsid w:val="2C81CAEF"/>
    <w:rsid w:val="2C823270"/>
    <w:rsid w:val="2C823B0D"/>
    <w:rsid w:val="2C82519A"/>
    <w:rsid w:val="2C8293CE"/>
    <w:rsid w:val="2C834CBF"/>
    <w:rsid w:val="2C83A9A3"/>
    <w:rsid w:val="2C84947B"/>
    <w:rsid w:val="2C850751"/>
    <w:rsid w:val="2C859676"/>
    <w:rsid w:val="2C863936"/>
    <w:rsid w:val="2C86976B"/>
    <w:rsid w:val="2C86FDA9"/>
    <w:rsid w:val="2C874A23"/>
    <w:rsid w:val="2C876FF4"/>
    <w:rsid w:val="2C87C620"/>
    <w:rsid w:val="2C88490D"/>
    <w:rsid w:val="2C887247"/>
    <w:rsid w:val="2C88EBD5"/>
    <w:rsid w:val="2C8A7B8B"/>
    <w:rsid w:val="2C8B19C5"/>
    <w:rsid w:val="2C8B6CCF"/>
    <w:rsid w:val="2C8B917A"/>
    <w:rsid w:val="2C8CAC5D"/>
    <w:rsid w:val="2C8CAC9D"/>
    <w:rsid w:val="2C8CCFB0"/>
    <w:rsid w:val="2C8D0EC0"/>
    <w:rsid w:val="2C8D10F3"/>
    <w:rsid w:val="2C8DD042"/>
    <w:rsid w:val="2C8E338F"/>
    <w:rsid w:val="2C8E81C9"/>
    <w:rsid w:val="2C8F509E"/>
    <w:rsid w:val="2C906EB0"/>
    <w:rsid w:val="2C9072BF"/>
    <w:rsid w:val="2C909D23"/>
    <w:rsid w:val="2C91662E"/>
    <w:rsid w:val="2C91BCD9"/>
    <w:rsid w:val="2C920609"/>
    <w:rsid w:val="2C924FD0"/>
    <w:rsid w:val="2C9295E7"/>
    <w:rsid w:val="2C92F01E"/>
    <w:rsid w:val="2C92F4BF"/>
    <w:rsid w:val="2C92FC75"/>
    <w:rsid w:val="2C93625D"/>
    <w:rsid w:val="2C94EB5A"/>
    <w:rsid w:val="2C95A606"/>
    <w:rsid w:val="2C95C1B9"/>
    <w:rsid w:val="2C978813"/>
    <w:rsid w:val="2C982BBC"/>
    <w:rsid w:val="2C9834E0"/>
    <w:rsid w:val="2C984061"/>
    <w:rsid w:val="2C984812"/>
    <w:rsid w:val="2C98A71B"/>
    <w:rsid w:val="2C98C08C"/>
    <w:rsid w:val="2C98CF15"/>
    <w:rsid w:val="2C9929E1"/>
    <w:rsid w:val="2C993A84"/>
    <w:rsid w:val="2C997904"/>
    <w:rsid w:val="2C99E027"/>
    <w:rsid w:val="2C9AB2E8"/>
    <w:rsid w:val="2C9BEF1F"/>
    <w:rsid w:val="2C9C0A29"/>
    <w:rsid w:val="2C9C46C2"/>
    <w:rsid w:val="2C9C6893"/>
    <w:rsid w:val="2C9D2DDA"/>
    <w:rsid w:val="2C9D3E99"/>
    <w:rsid w:val="2C9DBA2E"/>
    <w:rsid w:val="2C9FD9C2"/>
    <w:rsid w:val="2CA066FE"/>
    <w:rsid w:val="2CA10798"/>
    <w:rsid w:val="2CA11F98"/>
    <w:rsid w:val="2CA2CDD2"/>
    <w:rsid w:val="2CA305E6"/>
    <w:rsid w:val="2CA357D3"/>
    <w:rsid w:val="2CA35E6D"/>
    <w:rsid w:val="2CA38F22"/>
    <w:rsid w:val="2CA3D347"/>
    <w:rsid w:val="2CA44402"/>
    <w:rsid w:val="2CA48CB3"/>
    <w:rsid w:val="2CA545D4"/>
    <w:rsid w:val="2CA5DEAE"/>
    <w:rsid w:val="2CA611DF"/>
    <w:rsid w:val="2CA64A2D"/>
    <w:rsid w:val="2CA659F1"/>
    <w:rsid w:val="2CA7B57E"/>
    <w:rsid w:val="2CA913A6"/>
    <w:rsid w:val="2CA9C765"/>
    <w:rsid w:val="2CAA27A2"/>
    <w:rsid w:val="2CAA8B84"/>
    <w:rsid w:val="2CAA9128"/>
    <w:rsid w:val="2CAAD02D"/>
    <w:rsid w:val="2CAAF57A"/>
    <w:rsid w:val="2CAB9FB7"/>
    <w:rsid w:val="2CAC03A9"/>
    <w:rsid w:val="2CACB3E4"/>
    <w:rsid w:val="2CACF9F1"/>
    <w:rsid w:val="2CACFAB3"/>
    <w:rsid w:val="2CAD6C98"/>
    <w:rsid w:val="2CB1872F"/>
    <w:rsid w:val="2CB409FD"/>
    <w:rsid w:val="2CB4757B"/>
    <w:rsid w:val="2CB535F8"/>
    <w:rsid w:val="2CB56E4E"/>
    <w:rsid w:val="2CB7058A"/>
    <w:rsid w:val="2CB7D96E"/>
    <w:rsid w:val="2CB80F80"/>
    <w:rsid w:val="2CB81FB4"/>
    <w:rsid w:val="2CB8267C"/>
    <w:rsid w:val="2CB8AA61"/>
    <w:rsid w:val="2CB8DBF2"/>
    <w:rsid w:val="2CB9460A"/>
    <w:rsid w:val="2CB9E650"/>
    <w:rsid w:val="2CB9EF25"/>
    <w:rsid w:val="2CBA5494"/>
    <w:rsid w:val="2CBB30DA"/>
    <w:rsid w:val="2CBB5939"/>
    <w:rsid w:val="2CBB7E9A"/>
    <w:rsid w:val="2CBB9396"/>
    <w:rsid w:val="2CBBC809"/>
    <w:rsid w:val="2CBBCD46"/>
    <w:rsid w:val="2CBCAC6A"/>
    <w:rsid w:val="2CBCFDD8"/>
    <w:rsid w:val="2CBD4C16"/>
    <w:rsid w:val="2CBD8B6F"/>
    <w:rsid w:val="2CBE2DEB"/>
    <w:rsid w:val="2CBEA32B"/>
    <w:rsid w:val="2CBED1D1"/>
    <w:rsid w:val="2CBEEA0A"/>
    <w:rsid w:val="2CBF46A6"/>
    <w:rsid w:val="2CBF4DC3"/>
    <w:rsid w:val="2CC0405E"/>
    <w:rsid w:val="2CC09AE9"/>
    <w:rsid w:val="2CC0BDB2"/>
    <w:rsid w:val="2CC0E329"/>
    <w:rsid w:val="2CC1942B"/>
    <w:rsid w:val="2CC23A36"/>
    <w:rsid w:val="2CC24835"/>
    <w:rsid w:val="2CC256A7"/>
    <w:rsid w:val="2CC2A6F8"/>
    <w:rsid w:val="2CC371D7"/>
    <w:rsid w:val="2CC39C84"/>
    <w:rsid w:val="2CC676ED"/>
    <w:rsid w:val="2CC69596"/>
    <w:rsid w:val="2CC6E49F"/>
    <w:rsid w:val="2CC758DA"/>
    <w:rsid w:val="2CC75D37"/>
    <w:rsid w:val="2CC7AEE8"/>
    <w:rsid w:val="2CC838B3"/>
    <w:rsid w:val="2CC8ACE7"/>
    <w:rsid w:val="2CC8E0C6"/>
    <w:rsid w:val="2CC96626"/>
    <w:rsid w:val="2CC9B22C"/>
    <w:rsid w:val="2CCA0DA3"/>
    <w:rsid w:val="2CCA4A9C"/>
    <w:rsid w:val="2CCA84E7"/>
    <w:rsid w:val="2CCB2CF8"/>
    <w:rsid w:val="2CCC239A"/>
    <w:rsid w:val="2CCC2EFD"/>
    <w:rsid w:val="2CCCC62B"/>
    <w:rsid w:val="2CCE4F17"/>
    <w:rsid w:val="2CCF3472"/>
    <w:rsid w:val="2CCF4A2B"/>
    <w:rsid w:val="2CCF51CB"/>
    <w:rsid w:val="2CCFE5C1"/>
    <w:rsid w:val="2CD0175C"/>
    <w:rsid w:val="2CD04923"/>
    <w:rsid w:val="2CD0820E"/>
    <w:rsid w:val="2CD18D7A"/>
    <w:rsid w:val="2CD1FADE"/>
    <w:rsid w:val="2CD2401C"/>
    <w:rsid w:val="2CD2B801"/>
    <w:rsid w:val="2CD2D9F8"/>
    <w:rsid w:val="2CD37310"/>
    <w:rsid w:val="2CD40C39"/>
    <w:rsid w:val="2CD56EEA"/>
    <w:rsid w:val="2CD62D31"/>
    <w:rsid w:val="2CD696BE"/>
    <w:rsid w:val="2CD73FD7"/>
    <w:rsid w:val="2CD774D0"/>
    <w:rsid w:val="2CD77A7A"/>
    <w:rsid w:val="2CD7906C"/>
    <w:rsid w:val="2CD7A86C"/>
    <w:rsid w:val="2CD80E7B"/>
    <w:rsid w:val="2CD88901"/>
    <w:rsid w:val="2CDA2F5F"/>
    <w:rsid w:val="2CDAB5BB"/>
    <w:rsid w:val="2CDAB8CC"/>
    <w:rsid w:val="2CDB49DF"/>
    <w:rsid w:val="2CDBE886"/>
    <w:rsid w:val="2CDC49C4"/>
    <w:rsid w:val="2CDCCD30"/>
    <w:rsid w:val="2CDDA029"/>
    <w:rsid w:val="2CDE06FE"/>
    <w:rsid w:val="2CDE6676"/>
    <w:rsid w:val="2CDEA666"/>
    <w:rsid w:val="2CDEDE01"/>
    <w:rsid w:val="2CDF2DC5"/>
    <w:rsid w:val="2CDFB5BF"/>
    <w:rsid w:val="2CDFCE99"/>
    <w:rsid w:val="2CDFF7BD"/>
    <w:rsid w:val="2CE02D50"/>
    <w:rsid w:val="2CE0C950"/>
    <w:rsid w:val="2CE0E2BA"/>
    <w:rsid w:val="2CE10711"/>
    <w:rsid w:val="2CE1DC42"/>
    <w:rsid w:val="2CE1E26F"/>
    <w:rsid w:val="2CE2FC49"/>
    <w:rsid w:val="2CE37C03"/>
    <w:rsid w:val="2CE39337"/>
    <w:rsid w:val="2CE3CBB5"/>
    <w:rsid w:val="2CE43C1D"/>
    <w:rsid w:val="2CE4B07A"/>
    <w:rsid w:val="2CE5717C"/>
    <w:rsid w:val="2CE5F7D9"/>
    <w:rsid w:val="2CE66D1F"/>
    <w:rsid w:val="2CE69FBF"/>
    <w:rsid w:val="2CE70CC4"/>
    <w:rsid w:val="2CE78D91"/>
    <w:rsid w:val="2CE7D001"/>
    <w:rsid w:val="2CE870AF"/>
    <w:rsid w:val="2CE90690"/>
    <w:rsid w:val="2CE937A0"/>
    <w:rsid w:val="2CE98E0B"/>
    <w:rsid w:val="2CE99843"/>
    <w:rsid w:val="2CE9B242"/>
    <w:rsid w:val="2CE9BC97"/>
    <w:rsid w:val="2CEAB9C8"/>
    <w:rsid w:val="2CEAF4D3"/>
    <w:rsid w:val="2CECDCC1"/>
    <w:rsid w:val="2CECFC5E"/>
    <w:rsid w:val="2CED17FA"/>
    <w:rsid w:val="2CED8AF7"/>
    <w:rsid w:val="2CEDB0B8"/>
    <w:rsid w:val="2CEE19E1"/>
    <w:rsid w:val="2CEE86D0"/>
    <w:rsid w:val="2CEF75DE"/>
    <w:rsid w:val="2CEF7A71"/>
    <w:rsid w:val="2CEF9EA3"/>
    <w:rsid w:val="2CF04BB0"/>
    <w:rsid w:val="2CF0AB3D"/>
    <w:rsid w:val="2CF1A1AC"/>
    <w:rsid w:val="2CF1E4ED"/>
    <w:rsid w:val="2CF2D4BE"/>
    <w:rsid w:val="2CF35A44"/>
    <w:rsid w:val="2CF3F2B2"/>
    <w:rsid w:val="2CF46625"/>
    <w:rsid w:val="2CF53FA7"/>
    <w:rsid w:val="2CF5C511"/>
    <w:rsid w:val="2CF64EC8"/>
    <w:rsid w:val="2CF6A97F"/>
    <w:rsid w:val="2CF81CC8"/>
    <w:rsid w:val="2CF88650"/>
    <w:rsid w:val="2CFA04DD"/>
    <w:rsid w:val="2CFA08CA"/>
    <w:rsid w:val="2CFA2C47"/>
    <w:rsid w:val="2CFA70C4"/>
    <w:rsid w:val="2CFB2C24"/>
    <w:rsid w:val="2CFB987F"/>
    <w:rsid w:val="2CFC0614"/>
    <w:rsid w:val="2CFC43E9"/>
    <w:rsid w:val="2CFD6397"/>
    <w:rsid w:val="2CFEACD4"/>
    <w:rsid w:val="2CFEB5ED"/>
    <w:rsid w:val="2CFED495"/>
    <w:rsid w:val="2CFF9982"/>
    <w:rsid w:val="2CFFCA40"/>
    <w:rsid w:val="2D004872"/>
    <w:rsid w:val="2D008AAE"/>
    <w:rsid w:val="2D03CC4D"/>
    <w:rsid w:val="2D03EA3D"/>
    <w:rsid w:val="2D042CFB"/>
    <w:rsid w:val="2D04DABE"/>
    <w:rsid w:val="2D054916"/>
    <w:rsid w:val="2D058586"/>
    <w:rsid w:val="2D05CFF5"/>
    <w:rsid w:val="2D07EE78"/>
    <w:rsid w:val="2D08217E"/>
    <w:rsid w:val="2D087B01"/>
    <w:rsid w:val="2D089435"/>
    <w:rsid w:val="2D08BE67"/>
    <w:rsid w:val="2D09402A"/>
    <w:rsid w:val="2D09FA43"/>
    <w:rsid w:val="2D0B48E3"/>
    <w:rsid w:val="2D0C374B"/>
    <w:rsid w:val="2D0C72DF"/>
    <w:rsid w:val="2D0CCE2F"/>
    <w:rsid w:val="2D0D4627"/>
    <w:rsid w:val="2D0D6393"/>
    <w:rsid w:val="2D0E2145"/>
    <w:rsid w:val="2D0E4FB2"/>
    <w:rsid w:val="2D0F1A45"/>
    <w:rsid w:val="2D0F37AF"/>
    <w:rsid w:val="2D0F65BC"/>
    <w:rsid w:val="2D11413A"/>
    <w:rsid w:val="2D114181"/>
    <w:rsid w:val="2D118011"/>
    <w:rsid w:val="2D11DD45"/>
    <w:rsid w:val="2D12D043"/>
    <w:rsid w:val="2D12EBB5"/>
    <w:rsid w:val="2D1303FB"/>
    <w:rsid w:val="2D131EC5"/>
    <w:rsid w:val="2D138FF9"/>
    <w:rsid w:val="2D14383B"/>
    <w:rsid w:val="2D1464A0"/>
    <w:rsid w:val="2D1601C3"/>
    <w:rsid w:val="2D17EF9D"/>
    <w:rsid w:val="2D18127B"/>
    <w:rsid w:val="2D181883"/>
    <w:rsid w:val="2D185DB0"/>
    <w:rsid w:val="2D1895A0"/>
    <w:rsid w:val="2D19EAF8"/>
    <w:rsid w:val="2D1A0D01"/>
    <w:rsid w:val="2D1A1EFB"/>
    <w:rsid w:val="2D1A48F7"/>
    <w:rsid w:val="2D1A4B54"/>
    <w:rsid w:val="2D1B29AE"/>
    <w:rsid w:val="2D1BBE73"/>
    <w:rsid w:val="2D1C17C7"/>
    <w:rsid w:val="2D1CCC8F"/>
    <w:rsid w:val="2D1DA471"/>
    <w:rsid w:val="2D2051C0"/>
    <w:rsid w:val="2D20A617"/>
    <w:rsid w:val="2D20D07B"/>
    <w:rsid w:val="2D21387D"/>
    <w:rsid w:val="2D226D1E"/>
    <w:rsid w:val="2D2285B1"/>
    <w:rsid w:val="2D22C7AE"/>
    <w:rsid w:val="2D23407F"/>
    <w:rsid w:val="2D235A8D"/>
    <w:rsid w:val="2D23FCAC"/>
    <w:rsid w:val="2D246426"/>
    <w:rsid w:val="2D256988"/>
    <w:rsid w:val="2D272060"/>
    <w:rsid w:val="2D274E40"/>
    <w:rsid w:val="2D277B1C"/>
    <w:rsid w:val="2D282A65"/>
    <w:rsid w:val="2D283384"/>
    <w:rsid w:val="2D2872A9"/>
    <w:rsid w:val="2D28D8AC"/>
    <w:rsid w:val="2D295971"/>
    <w:rsid w:val="2D29BF64"/>
    <w:rsid w:val="2D2AAF76"/>
    <w:rsid w:val="2D2AFAF9"/>
    <w:rsid w:val="2D2B2CCC"/>
    <w:rsid w:val="2D2BAC98"/>
    <w:rsid w:val="2D2C12C0"/>
    <w:rsid w:val="2D2C6A8A"/>
    <w:rsid w:val="2D2E081A"/>
    <w:rsid w:val="2D2EF8C3"/>
    <w:rsid w:val="2D2F52E1"/>
    <w:rsid w:val="2D2F6DB5"/>
    <w:rsid w:val="2D2F8FED"/>
    <w:rsid w:val="2D3002B4"/>
    <w:rsid w:val="2D302B60"/>
    <w:rsid w:val="2D304402"/>
    <w:rsid w:val="2D3092C4"/>
    <w:rsid w:val="2D30E858"/>
    <w:rsid w:val="2D30F546"/>
    <w:rsid w:val="2D3134D5"/>
    <w:rsid w:val="2D330090"/>
    <w:rsid w:val="2D333B27"/>
    <w:rsid w:val="2D343404"/>
    <w:rsid w:val="2D358BE1"/>
    <w:rsid w:val="2D362114"/>
    <w:rsid w:val="2D369ADE"/>
    <w:rsid w:val="2D36AF09"/>
    <w:rsid w:val="2D37172F"/>
    <w:rsid w:val="2D389FD4"/>
    <w:rsid w:val="2D38AC0E"/>
    <w:rsid w:val="2D393411"/>
    <w:rsid w:val="2D3998B8"/>
    <w:rsid w:val="2D3999BC"/>
    <w:rsid w:val="2D3A4267"/>
    <w:rsid w:val="2D3A683B"/>
    <w:rsid w:val="2D3A7A67"/>
    <w:rsid w:val="2D3A96EA"/>
    <w:rsid w:val="2D3B013F"/>
    <w:rsid w:val="2D3B41A9"/>
    <w:rsid w:val="2D3B7D54"/>
    <w:rsid w:val="2D3CDFFA"/>
    <w:rsid w:val="2D3D4951"/>
    <w:rsid w:val="2D3E103D"/>
    <w:rsid w:val="2D3E1104"/>
    <w:rsid w:val="2D3EF238"/>
    <w:rsid w:val="2D3F0889"/>
    <w:rsid w:val="2D3F70DD"/>
    <w:rsid w:val="2D3FB171"/>
    <w:rsid w:val="2D40621C"/>
    <w:rsid w:val="2D40695B"/>
    <w:rsid w:val="2D40ABB3"/>
    <w:rsid w:val="2D41D249"/>
    <w:rsid w:val="2D425D8D"/>
    <w:rsid w:val="2D42809B"/>
    <w:rsid w:val="2D42AFA4"/>
    <w:rsid w:val="2D42B50F"/>
    <w:rsid w:val="2D43AD53"/>
    <w:rsid w:val="2D44AAE5"/>
    <w:rsid w:val="2D44BF7D"/>
    <w:rsid w:val="2D44F477"/>
    <w:rsid w:val="2D44FA74"/>
    <w:rsid w:val="2D4566BD"/>
    <w:rsid w:val="2D45B499"/>
    <w:rsid w:val="2D45B9C8"/>
    <w:rsid w:val="2D45BDA7"/>
    <w:rsid w:val="2D45C506"/>
    <w:rsid w:val="2D4673F4"/>
    <w:rsid w:val="2D470AF5"/>
    <w:rsid w:val="2D4770A9"/>
    <w:rsid w:val="2D479014"/>
    <w:rsid w:val="2D497314"/>
    <w:rsid w:val="2D497584"/>
    <w:rsid w:val="2D49D49C"/>
    <w:rsid w:val="2D4A35E7"/>
    <w:rsid w:val="2D4A6FE6"/>
    <w:rsid w:val="2D4A9693"/>
    <w:rsid w:val="2D4BC9B5"/>
    <w:rsid w:val="2D4C15DE"/>
    <w:rsid w:val="2D4C5934"/>
    <w:rsid w:val="2D4C9C15"/>
    <w:rsid w:val="2D4DEE5C"/>
    <w:rsid w:val="2D4F81FC"/>
    <w:rsid w:val="2D50269D"/>
    <w:rsid w:val="2D511D5C"/>
    <w:rsid w:val="2D51A566"/>
    <w:rsid w:val="2D52DD98"/>
    <w:rsid w:val="2D52DFBD"/>
    <w:rsid w:val="2D52E6F3"/>
    <w:rsid w:val="2D53ECC8"/>
    <w:rsid w:val="2D5459D4"/>
    <w:rsid w:val="2D54B8D3"/>
    <w:rsid w:val="2D5501B9"/>
    <w:rsid w:val="2D558DFA"/>
    <w:rsid w:val="2D562C00"/>
    <w:rsid w:val="2D566B07"/>
    <w:rsid w:val="2D57AFEF"/>
    <w:rsid w:val="2D57E435"/>
    <w:rsid w:val="2D581A9E"/>
    <w:rsid w:val="2D58A7C1"/>
    <w:rsid w:val="2D5A56C2"/>
    <w:rsid w:val="2D5A71E7"/>
    <w:rsid w:val="2D5A90DE"/>
    <w:rsid w:val="2D5AEA2F"/>
    <w:rsid w:val="2D5BA8D6"/>
    <w:rsid w:val="2D5C02CB"/>
    <w:rsid w:val="2D5C1612"/>
    <w:rsid w:val="2D5CFB62"/>
    <w:rsid w:val="2D5E455D"/>
    <w:rsid w:val="2D5EA76B"/>
    <w:rsid w:val="2D5ED986"/>
    <w:rsid w:val="2D602210"/>
    <w:rsid w:val="2D60305D"/>
    <w:rsid w:val="2D60A78A"/>
    <w:rsid w:val="2D60A946"/>
    <w:rsid w:val="2D60C56F"/>
    <w:rsid w:val="2D617B04"/>
    <w:rsid w:val="2D623BDF"/>
    <w:rsid w:val="2D62852B"/>
    <w:rsid w:val="2D62A2B9"/>
    <w:rsid w:val="2D62C9D2"/>
    <w:rsid w:val="2D632515"/>
    <w:rsid w:val="2D6347D6"/>
    <w:rsid w:val="2D637001"/>
    <w:rsid w:val="2D6415A0"/>
    <w:rsid w:val="2D642805"/>
    <w:rsid w:val="2D64B4E4"/>
    <w:rsid w:val="2D67D44B"/>
    <w:rsid w:val="2D67F404"/>
    <w:rsid w:val="2D681DF0"/>
    <w:rsid w:val="2D68629F"/>
    <w:rsid w:val="2D6975E9"/>
    <w:rsid w:val="2D69766E"/>
    <w:rsid w:val="2D6A163A"/>
    <w:rsid w:val="2D6B108A"/>
    <w:rsid w:val="2D6B2144"/>
    <w:rsid w:val="2D6B2A55"/>
    <w:rsid w:val="2D6B42D4"/>
    <w:rsid w:val="2D6B48A3"/>
    <w:rsid w:val="2D6B93C2"/>
    <w:rsid w:val="2D6BC535"/>
    <w:rsid w:val="2D6D8991"/>
    <w:rsid w:val="2D6DDD13"/>
    <w:rsid w:val="2D6E69EB"/>
    <w:rsid w:val="2D6E8A8F"/>
    <w:rsid w:val="2D6EC022"/>
    <w:rsid w:val="2D6F2175"/>
    <w:rsid w:val="2D6F48FE"/>
    <w:rsid w:val="2D6F7FE7"/>
    <w:rsid w:val="2D70FEEA"/>
    <w:rsid w:val="2D71E93C"/>
    <w:rsid w:val="2D7235EC"/>
    <w:rsid w:val="2D738544"/>
    <w:rsid w:val="2D73D276"/>
    <w:rsid w:val="2D73E245"/>
    <w:rsid w:val="2D74EDC1"/>
    <w:rsid w:val="2D75952D"/>
    <w:rsid w:val="2D75BF40"/>
    <w:rsid w:val="2D76282B"/>
    <w:rsid w:val="2D76D6CA"/>
    <w:rsid w:val="2D76EDC3"/>
    <w:rsid w:val="2D77361A"/>
    <w:rsid w:val="2D77904F"/>
    <w:rsid w:val="2D7794EC"/>
    <w:rsid w:val="2D77B4B0"/>
    <w:rsid w:val="2D78991D"/>
    <w:rsid w:val="2D78C9BB"/>
    <w:rsid w:val="2D78D85C"/>
    <w:rsid w:val="2D7A7ED8"/>
    <w:rsid w:val="2D7A8D91"/>
    <w:rsid w:val="2D7B6D94"/>
    <w:rsid w:val="2D7B6E1A"/>
    <w:rsid w:val="2D7B8943"/>
    <w:rsid w:val="2D7B9738"/>
    <w:rsid w:val="2D7BAED9"/>
    <w:rsid w:val="2D7C1825"/>
    <w:rsid w:val="2D7C3B15"/>
    <w:rsid w:val="2D7C7737"/>
    <w:rsid w:val="2D7CBFB1"/>
    <w:rsid w:val="2D7D700C"/>
    <w:rsid w:val="2D7DD8AE"/>
    <w:rsid w:val="2D7DDE81"/>
    <w:rsid w:val="2D7E4A28"/>
    <w:rsid w:val="2D7E7971"/>
    <w:rsid w:val="2D7EBAC8"/>
    <w:rsid w:val="2D7F14C3"/>
    <w:rsid w:val="2D7F91C3"/>
    <w:rsid w:val="2D7F9398"/>
    <w:rsid w:val="2D7F96DB"/>
    <w:rsid w:val="2D7FD387"/>
    <w:rsid w:val="2D80694A"/>
    <w:rsid w:val="2D81024C"/>
    <w:rsid w:val="2D8139B7"/>
    <w:rsid w:val="2D819534"/>
    <w:rsid w:val="2D81E4EA"/>
    <w:rsid w:val="2D8210A7"/>
    <w:rsid w:val="2D821B19"/>
    <w:rsid w:val="2D823787"/>
    <w:rsid w:val="2D82545D"/>
    <w:rsid w:val="2D8408E8"/>
    <w:rsid w:val="2D841249"/>
    <w:rsid w:val="2D84590C"/>
    <w:rsid w:val="2D85041E"/>
    <w:rsid w:val="2D860A13"/>
    <w:rsid w:val="2D862BF1"/>
    <w:rsid w:val="2D865A87"/>
    <w:rsid w:val="2D8682D8"/>
    <w:rsid w:val="2D8701C5"/>
    <w:rsid w:val="2D878A6E"/>
    <w:rsid w:val="2D882E74"/>
    <w:rsid w:val="2D884246"/>
    <w:rsid w:val="2D89638D"/>
    <w:rsid w:val="2D8963B5"/>
    <w:rsid w:val="2D899D1A"/>
    <w:rsid w:val="2D89D98D"/>
    <w:rsid w:val="2D8A3851"/>
    <w:rsid w:val="2D8B8217"/>
    <w:rsid w:val="2D8C927C"/>
    <w:rsid w:val="2D8CA933"/>
    <w:rsid w:val="2D8D51DB"/>
    <w:rsid w:val="2D8D6C8B"/>
    <w:rsid w:val="2D8DBFD6"/>
    <w:rsid w:val="2D8DEFA3"/>
    <w:rsid w:val="2D8E15C1"/>
    <w:rsid w:val="2D8F477A"/>
    <w:rsid w:val="2D8F81DE"/>
    <w:rsid w:val="2D8FD924"/>
    <w:rsid w:val="2D900695"/>
    <w:rsid w:val="2D906455"/>
    <w:rsid w:val="2D9075DF"/>
    <w:rsid w:val="2D909574"/>
    <w:rsid w:val="2D916BF2"/>
    <w:rsid w:val="2D920F9A"/>
    <w:rsid w:val="2D927DE7"/>
    <w:rsid w:val="2D928AD3"/>
    <w:rsid w:val="2D92D23D"/>
    <w:rsid w:val="2D9352AE"/>
    <w:rsid w:val="2D93D479"/>
    <w:rsid w:val="2D94E903"/>
    <w:rsid w:val="2D950992"/>
    <w:rsid w:val="2D95827B"/>
    <w:rsid w:val="2D960B00"/>
    <w:rsid w:val="2D965A1E"/>
    <w:rsid w:val="2D969C4F"/>
    <w:rsid w:val="2D96D989"/>
    <w:rsid w:val="2D96EB4C"/>
    <w:rsid w:val="2D96FB98"/>
    <w:rsid w:val="2D976375"/>
    <w:rsid w:val="2D9801D8"/>
    <w:rsid w:val="2D980435"/>
    <w:rsid w:val="2D981A0F"/>
    <w:rsid w:val="2D9932D4"/>
    <w:rsid w:val="2D99E942"/>
    <w:rsid w:val="2D9A3B18"/>
    <w:rsid w:val="2D9B665B"/>
    <w:rsid w:val="2D9BE163"/>
    <w:rsid w:val="2D9C21AE"/>
    <w:rsid w:val="2D9CB189"/>
    <w:rsid w:val="2D9CB517"/>
    <w:rsid w:val="2D9DAF0E"/>
    <w:rsid w:val="2D9E4FC1"/>
    <w:rsid w:val="2D9E70FF"/>
    <w:rsid w:val="2D9EA49E"/>
    <w:rsid w:val="2D9EABE4"/>
    <w:rsid w:val="2D9EC662"/>
    <w:rsid w:val="2D9EF854"/>
    <w:rsid w:val="2D9F03AE"/>
    <w:rsid w:val="2D9F238F"/>
    <w:rsid w:val="2D9F4392"/>
    <w:rsid w:val="2DA08F31"/>
    <w:rsid w:val="2DA10EC0"/>
    <w:rsid w:val="2DA14133"/>
    <w:rsid w:val="2DA17602"/>
    <w:rsid w:val="2DA22940"/>
    <w:rsid w:val="2DA2D85A"/>
    <w:rsid w:val="2DA2ECD6"/>
    <w:rsid w:val="2DA48A74"/>
    <w:rsid w:val="2DA4A16F"/>
    <w:rsid w:val="2DA5CB46"/>
    <w:rsid w:val="2DA6D593"/>
    <w:rsid w:val="2DA82E00"/>
    <w:rsid w:val="2DA85983"/>
    <w:rsid w:val="2DA85CD9"/>
    <w:rsid w:val="2DA860CB"/>
    <w:rsid w:val="2DA8915F"/>
    <w:rsid w:val="2DA950A0"/>
    <w:rsid w:val="2DA998DB"/>
    <w:rsid w:val="2DA9BFDE"/>
    <w:rsid w:val="2DAA1BA3"/>
    <w:rsid w:val="2DAA613E"/>
    <w:rsid w:val="2DAABC41"/>
    <w:rsid w:val="2DAABC5A"/>
    <w:rsid w:val="2DAB2CEA"/>
    <w:rsid w:val="2DAB572C"/>
    <w:rsid w:val="2DAC01F4"/>
    <w:rsid w:val="2DAC14FF"/>
    <w:rsid w:val="2DAC5A27"/>
    <w:rsid w:val="2DAC8D1A"/>
    <w:rsid w:val="2DACD47B"/>
    <w:rsid w:val="2DACF635"/>
    <w:rsid w:val="2DAD0B05"/>
    <w:rsid w:val="2DAD2370"/>
    <w:rsid w:val="2DAD427F"/>
    <w:rsid w:val="2DADD3CD"/>
    <w:rsid w:val="2DAEB49D"/>
    <w:rsid w:val="2DAEBF10"/>
    <w:rsid w:val="2DAECF90"/>
    <w:rsid w:val="2DB01DF4"/>
    <w:rsid w:val="2DB073F7"/>
    <w:rsid w:val="2DB083FC"/>
    <w:rsid w:val="2DB17335"/>
    <w:rsid w:val="2DB2D664"/>
    <w:rsid w:val="2DB30B5C"/>
    <w:rsid w:val="2DB36340"/>
    <w:rsid w:val="2DB39D48"/>
    <w:rsid w:val="2DB47E23"/>
    <w:rsid w:val="2DB4B2A6"/>
    <w:rsid w:val="2DB4BCDE"/>
    <w:rsid w:val="2DB51BCA"/>
    <w:rsid w:val="2DB81255"/>
    <w:rsid w:val="2DB876B6"/>
    <w:rsid w:val="2DBA0CB1"/>
    <w:rsid w:val="2DBA5041"/>
    <w:rsid w:val="2DBAD811"/>
    <w:rsid w:val="2DBAF1E0"/>
    <w:rsid w:val="2DBB3749"/>
    <w:rsid w:val="2DBB7475"/>
    <w:rsid w:val="2DBB93E2"/>
    <w:rsid w:val="2DBBA887"/>
    <w:rsid w:val="2DBBAA1F"/>
    <w:rsid w:val="2DBC8A8A"/>
    <w:rsid w:val="2DBE0A2B"/>
    <w:rsid w:val="2DBFAA47"/>
    <w:rsid w:val="2DC02488"/>
    <w:rsid w:val="2DC044F1"/>
    <w:rsid w:val="2DC1DE7A"/>
    <w:rsid w:val="2DC1F4FA"/>
    <w:rsid w:val="2DC212B4"/>
    <w:rsid w:val="2DC22053"/>
    <w:rsid w:val="2DC27B93"/>
    <w:rsid w:val="2DC2D2A8"/>
    <w:rsid w:val="2DC3473C"/>
    <w:rsid w:val="2DC3EABF"/>
    <w:rsid w:val="2DC4259D"/>
    <w:rsid w:val="2DC447DF"/>
    <w:rsid w:val="2DC4ACD1"/>
    <w:rsid w:val="2DC5A176"/>
    <w:rsid w:val="2DC5C298"/>
    <w:rsid w:val="2DC7034B"/>
    <w:rsid w:val="2DC7DB75"/>
    <w:rsid w:val="2DC84278"/>
    <w:rsid w:val="2DC92B95"/>
    <w:rsid w:val="2DCA0592"/>
    <w:rsid w:val="2DCA9F7E"/>
    <w:rsid w:val="2DCAA3D8"/>
    <w:rsid w:val="2DCB0823"/>
    <w:rsid w:val="2DCB17AC"/>
    <w:rsid w:val="2DCB6390"/>
    <w:rsid w:val="2DCB6E6E"/>
    <w:rsid w:val="2DCB9E9D"/>
    <w:rsid w:val="2DCBBBD1"/>
    <w:rsid w:val="2DCC114C"/>
    <w:rsid w:val="2DCCFAE9"/>
    <w:rsid w:val="2DCDC26D"/>
    <w:rsid w:val="2DCE1A9A"/>
    <w:rsid w:val="2DCE8C78"/>
    <w:rsid w:val="2DCF43C3"/>
    <w:rsid w:val="2DCF7275"/>
    <w:rsid w:val="2DCFE30E"/>
    <w:rsid w:val="2DD0D470"/>
    <w:rsid w:val="2DD11453"/>
    <w:rsid w:val="2DD13AC9"/>
    <w:rsid w:val="2DD18BE3"/>
    <w:rsid w:val="2DD19B5A"/>
    <w:rsid w:val="2DD2CF2C"/>
    <w:rsid w:val="2DD2D7DC"/>
    <w:rsid w:val="2DD3A766"/>
    <w:rsid w:val="2DD3B88D"/>
    <w:rsid w:val="2DD4A3B0"/>
    <w:rsid w:val="2DD4B28E"/>
    <w:rsid w:val="2DD4CE0A"/>
    <w:rsid w:val="2DD5A462"/>
    <w:rsid w:val="2DD5FCD1"/>
    <w:rsid w:val="2DD6649A"/>
    <w:rsid w:val="2DD6CF4C"/>
    <w:rsid w:val="2DD6DD5E"/>
    <w:rsid w:val="2DD77388"/>
    <w:rsid w:val="2DD78BBD"/>
    <w:rsid w:val="2DD8E6A2"/>
    <w:rsid w:val="2DD9FEEA"/>
    <w:rsid w:val="2DDA1BD8"/>
    <w:rsid w:val="2DDA20F5"/>
    <w:rsid w:val="2DDAB185"/>
    <w:rsid w:val="2DDAD9D8"/>
    <w:rsid w:val="2DDBDB28"/>
    <w:rsid w:val="2DDC279E"/>
    <w:rsid w:val="2DDD2419"/>
    <w:rsid w:val="2DDFA38E"/>
    <w:rsid w:val="2DDFE9EA"/>
    <w:rsid w:val="2DE14269"/>
    <w:rsid w:val="2DE174B4"/>
    <w:rsid w:val="2DE1CF0C"/>
    <w:rsid w:val="2DE262D8"/>
    <w:rsid w:val="2DE3ADC3"/>
    <w:rsid w:val="2DE44581"/>
    <w:rsid w:val="2DE45376"/>
    <w:rsid w:val="2DE4DFF6"/>
    <w:rsid w:val="2DE4FDE4"/>
    <w:rsid w:val="2DE65722"/>
    <w:rsid w:val="2DE6BC27"/>
    <w:rsid w:val="2DE74889"/>
    <w:rsid w:val="2DE7510E"/>
    <w:rsid w:val="2DE7718E"/>
    <w:rsid w:val="2DE792F5"/>
    <w:rsid w:val="2DE7BA1E"/>
    <w:rsid w:val="2DE7DC6E"/>
    <w:rsid w:val="2DE8951B"/>
    <w:rsid w:val="2DE8B4C1"/>
    <w:rsid w:val="2DE96E84"/>
    <w:rsid w:val="2DE998F2"/>
    <w:rsid w:val="2DEB4F26"/>
    <w:rsid w:val="2DEB6599"/>
    <w:rsid w:val="2DEBE0C9"/>
    <w:rsid w:val="2DEDA710"/>
    <w:rsid w:val="2DEDC66F"/>
    <w:rsid w:val="2DEEA3BD"/>
    <w:rsid w:val="2DEEC077"/>
    <w:rsid w:val="2DEF7144"/>
    <w:rsid w:val="2DEFD7FE"/>
    <w:rsid w:val="2DF04F2F"/>
    <w:rsid w:val="2DF0D95A"/>
    <w:rsid w:val="2DF13FC6"/>
    <w:rsid w:val="2DF166E8"/>
    <w:rsid w:val="2DF27469"/>
    <w:rsid w:val="2DF29CC7"/>
    <w:rsid w:val="2DF2F438"/>
    <w:rsid w:val="2DF31C3F"/>
    <w:rsid w:val="2DF349D9"/>
    <w:rsid w:val="2DF39DBE"/>
    <w:rsid w:val="2DF40F28"/>
    <w:rsid w:val="2DF5A78E"/>
    <w:rsid w:val="2DF5C6DB"/>
    <w:rsid w:val="2DF5F81F"/>
    <w:rsid w:val="2DF6150B"/>
    <w:rsid w:val="2DF62A4B"/>
    <w:rsid w:val="2DF62FB8"/>
    <w:rsid w:val="2DF83B5D"/>
    <w:rsid w:val="2DF95C5D"/>
    <w:rsid w:val="2DF9948F"/>
    <w:rsid w:val="2DF9ECF4"/>
    <w:rsid w:val="2DFA5C8C"/>
    <w:rsid w:val="2DFA9165"/>
    <w:rsid w:val="2DFB0E15"/>
    <w:rsid w:val="2DFB3F08"/>
    <w:rsid w:val="2DFB963F"/>
    <w:rsid w:val="2DFBDAC8"/>
    <w:rsid w:val="2DFD6395"/>
    <w:rsid w:val="2DFD6EFD"/>
    <w:rsid w:val="2DFD7843"/>
    <w:rsid w:val="2DFE1062"/>
    <w:rsid w:val="2DFE2A3E"/>
    <w:rsid w:val="2DFE8775"/>
    <w:rsid w:val="2DFF1F18"/>
    <w:rsid w:val="2DFF4443"/>
    <w:rsid w:val="2DFFFE14"/>
    <w:rsid w:val="2E004538"/>
    <w:rsid w:val="2E005F40"/>
    <w:rsid w:val="2E023123"/>
    <w:rsid w:val="2E03457F"/>
    <w:rsid w:val="2E03689F"/>
    <w:rsid w:val="2E03970B"/>
    <w:rsid w:val="2E04B628"/>
    <w:rsid w:val="2E061136"/>
    <w:rsid w:val="2E0697CC"/>
    <w:rsid w:val="2E06F94B"/>
    <w:rsid w:val="2E07832C"/>
    <w:rsid w:val="2E084B32"/>
    <w:rsid w:val="2E08DFC6"/>
    <w:rsid w:val="2E0938CC"/>
    <w:rsid w:val="2E0A10E7"/>
    <w:rsid w:val="2E0A2DD3"/>
    <w:rsid w:val="2E0A6F13"/>
    <w:rsid w:val="2E0AC0CC"/>
    <w:rsid w:val="2E0AE2E7"/>
    <w:rsid w:val="2E0B2CF4"/>
    <w:rsid w:val="2E0B57E4"/>
    <w:rsid w:val="2E0BE1A3"/>
    <w:rsid w:val="2E0C918C"/>
    <w:rsid w:val="2E0CC0BB"/>
    <w:rsid w:val="2E0D04FA"/>
    <w:rsid w:val="2E0E2086"/>
    <w:rsid w:val="2E0F8158"/>
    <w:rsid w:val="2E0FEA37"/>
    <w:rsid w:val="2E1035A1"/>
    <w:rsid w:val="2E120BE5"/>
    <w:rsid w:val="2E12199F"/>
    <w:rsid w:val="2E1295F0"/>
    <w:rsid w:val="2E14E7B8"/>
    <w:rsid w:val="2E1549CB"/>
    <w:rsid w:val="2E156EFF"/>
    <w:rsid w:val="2E15D0D1"/>
    <w:rsid w:val="2E17D2AD"/>
    <w:rsid w:val="2E192453"/>
    <w:rsid w:val="2E19810D"/>
    <w:rsid w:val="2E1982C5"/>
    <w:rsid w:val="2E1A7D28"/>
    <w:rsid w:val="2E1AD4BC"/>
    <w:rsid w:val="2E1B5D62"/>
    <w:rsid w:val="2E1C80E2"/>
    <w:rsid w:val="2E1CDCF1"/>
    <w:rsid w:val="2E1D01B3"/>
    <w:rsid w:val="2E1D2C65"/>
    <w:rsid w:val="2E1D35DA"/>
    <w:rsid w:val="2E1EED4A"/>
    <w:rsid w:val="2E1F49DE"/>
    <w:rsid w:val="2E1F8199"/>
    <w:rsid w:val="2E1FC26F"/>
    <w:rsid w:val="2E20259E"/>
    <w:rsid w:val="2E208476"/>
    <w:rsid w:val="2E2090FF"/>
    <w:rsid w:val="2E20BB5F"/>
    <w:rsid w:val="2E216B37"/>
    <w:rsid w:val="2E21DA0E"/>
    <w:rsid w:val="2E21E22B"/>
    <w:rsid w:val="2E220982"/>
    <w:rsid w:val="2E2273F6"/>
    <w:rsid w:val="2E22917E"/>
    <w:rsid w:val="2E229A66"/>
    <w:rsid w:val="2E2340C7"/>
    <w:rsid w:val="2E23B9B3"/>
    <w:rsid w:val="2E2446BE"/>
    <w:rsid w:val="2E24D4DD"/>
    <w:rsid w:val="2E254185"/>
    <w:rsid w:val="2E25AC29"/>
    <w:rsid w:val="2E25D07D"/>
    <w:rsid w:val="2E261F0B"/>
    <w:rsid w:val="2E2808A7"/>
    <w:rsid w:val="2E28D205"/>
    <w:rsid w:val="2E297A48"/>
    <w:rsid w:val="2E2999E7"/>
    <w:rsid w:val="2E29EAC0"/>
    <w:rsid w:val="2E29EC69"/>
    <w:rsid w:val="2E2A11A9"/>
    <w:rsid w:val="2E2AC823"/>
    <w:rsid w:val="2E2CBC4A"/>
    <w:rsid w:val="2E2CE6EF"/>
    <w:rsid w:val="2E2D04FE"/>
    <w:rsid w:val="2E2EBF95"/>
    <w:rsid w:val="2E2F78BF"/>
    <w:rsid w:val="2E2F844B"/>
    <w:rsid w:val="2E2F9D10"/>
    <w:rsid w:val="2E2FC4EF"/>
    <w:rsid w:val="2E2FCD71"/>
    <w:rsid w:val="2E310696"/>
    <w:rsid w:val="2E313605"/>
    <w:rsid w:val="2E32597E"/>
    <w:rsid w:val="2E330A21"/>
    <w:rsid w:val="2E332B98"/>
    <w:rsid w:val="2E335281"/>
    <w:rsid w:val="2E34118F"/>
    <w:rsid w:val="2E357581"/>
    <w:rsid w:val="2E35CF93"/>
    <w:rsid w:val="2E35D5D2"/>
    <w:rsid w:val="2E36CC3E"/>
    <w:rsid w:val="2E3727B0"/>
    <w:rsid w:val="2E3733A6"/>
    <w:rsid w:val="2E37BB76"/>
    <w:rsid w:val="2E37D30B"/>
    <w:rsid w:val="2E37E9B3"/>
    <w:rsid w:val="2E3819DC"/>
    <w:rsid w:val="2E3899EA"/>
    <w:rsid w:val="2E39221B"/>
    <w:rsid w:val="2E394E17"/>
    <w:rsid w:val="2E399EF8"/>
    <w:rsid w:val="2E39B18F"/>
    <w:rsid w:val="2E3B1CCC"/>
    <w:rsid w:val="2E3B4C1B"/>
    <w:rsid w:val="2E3C0ECF"/>
    <w:rsid w:val="2E3C6C6E"/>
    <w:rsid w:val="2E3D2F02"/>
    <w:rsid w:val="2E3DA25E"/>
    <w:rsid w:val="2E3DA36B"/>
    <w:rsid w:val="2E3DACE7"/>
    <w:rsid w:val="2E3E41C3"/>
    <w:rsid w:val="2E3E7C6C"/>
    <w:rsid w:val="2E3F8DD7"/>
    <w:rsid w:val="2E400760"/>
    <w:rsid w:val="2E402242"/>
    <w:rsid w:val="2E40A3C2"/>
    <w:rsid w:val="2E40F92F"/>
    <w:rsid w:val="2E41337F"/>
    <w:rsid w:val="2E4252D3"/>
    <w:rsid w:val="2E425E4E"/>
    <w:rsid w:val="2E43497D"/>
    <w:rsid w:val="2E438B26"/>
    <w:rsid w:val="2E43F4D7"/>
    <w:rsid w:val="2E45CB30"/>
    <w:rsid w:val="2E45D537"/>
    <w:rsid w:val="2E463C20"/>
    <w:rsid w:val="2E46F701"/>
    <w:rsid w:val="2E47AC12"/>
    <w:rsid w:val="2E483477"/>
    <w:rsid w:val="2E48D0EE"/>
    <w:rsid w:val="2E490DA3"/>
    <w:rsid w:val="2E497175"/>
    <w:rsid w:val="2E49E598"/>
    <w:rsid w:val="2E49E795"/>
    <w:rsid w:val="2E49F41C"/>
    <w:rsid w:val="2E4A2F6F"/>
    <w:rsid w:val="2E4A6197"/>
    <w:rsid w:val="2E4A6A57"/>
    <w:rsid w:val="2E4B4513"/>
    <w:rsid w:val="2E4B69ED"/>
    <w:rsid w:val="2E4BAE2C"/>
    <w:rsid w:val="2E4C9011"/>
    <w:rsid w:val="2E4CEF6C"/>
    <w:rsid w:val="2E4D0898"/>
    <w:rsid w:val="2E4DF4E7"/>
    <w:rsid w:val="2E4E5229"/>
    <w:rsid w:val="2E4E5E93"/>
    <w:rsid w:val="2E4EABDF"/>
    <w:rsid w:val="2E4FFFD8"/>
    <w:rsid w:val="2E507BE4"/>
    <w:rsid w:val="2E51908C"/>
    <w:rsid w:val="2E51A4F1"/>
    <w:rsid w:val="2E526C15"/>
    <w:rsid w:val="2E531654"/>
    <w:rsid w:val="2E536A55"/>
    <w:rsid w:val="2E53793F"/>
    <w:rsid w:val="2E54651E"/>
    <w:rsid w:val="2E546F65"/>
    <w:rsid w:val="2E5615AB"/>
    <w:rsid w:val="2E562415"/>
    <w:rsid w:val="2E574728"/>
    <w:rsid w:val="2E57618A"/>
    <w:rsid w:val="2E5820ED"/>
    <w:rsid w:val="2E588EF6"/>
    <w:rsid w:val="2E5897AC"/>
    <w:rsid w:val="2E595648"/>
    <w:rsid w:val="2E5967E4"/>
    <w:rsid w:val="2E59713E"/>
    <w:rsid w:val="2E59777E"/>
    <w:rsid w:val="2E5A00C6"/>
    <w:rsid w:val="2E5AFB0F"/>
    <w:rsid w:val="2E5B899A"/>
    <w:rsid w:val="2E5BA55C"/>
    <w:rsid w:val="2E5BB457"/>
    <w:rsid w:val="2E5D292C"/>
    <w:rsid w:val="2E5D2B67"/>
    <w:rsid w:val="2E5E6841"/>
    <w:rsid w:val="2E5F24A0"/>
    <w:rsid w:val="2E5FF79E"/>
    <w:rsid w:val="2E60149C"/>
    <w:rsid w:val="2E6078F8"/>
    <w:rsid w:val="2E61AE89"/>
    <w:rsid w:val="2E6291E0"/>
    <w:rsid w:val="2E629DFB"/>
    <w:rsid w:val="2E63F3BD"/>
    <w:rsid w:val="2E6462DF"/>
    <w:rsid w:val="2E646A6A"/>
    <w:rsid w:val="2E6470E9"/>
    <w:rsid w:val="2E64787D"/>
    <w:rsid w:val="2E64C2F0"/>
    <w:rsid w:val="2E656F97"/>
    <w:rsid w:val="2E660988"/>
    <w:rsid w:val="2E665992"/>
    <w:rsid w:val="2E66DA8C"/>
    <w:rsid w:val="2E68F9A0"/>
    <w:rsid w:val="2E69B37F"/>
    <w:rsid w:val="2E6A118A"/>
    <w:rsid w:val="2E6A38C3"/>
    <w:rsid w:val="2E6A6E85"/>
    <w:rsid w:val="2E6B1BD8"/>
    <w:rsid w:val="2E6B4799"/>
    <w:rsid w:val="2E6CDF5C"/>
    <w:rsid w:val="2E6CFED4"/>
    <w:rsid w:val="2E6D72DC"/>
    <w:rsid w:val="2E6D771C"/>
    <w:rsid w:val="2E6E2869"/>
    <w:rsid w:val="2E6F9634"/>
    <w:rsid w:val="2E7034F5"/>
    <w:rsid w:val="2E703AA6"/>
    <w:rsid w:val="2E70BFFB"/>
    <w:rsid w:val="2E70F68B"/>
    <w:rsid w:val="2E7112D1"/>
    <w:rsid w:val="2E71E47F"/>
    <w:rsid w:val="2E7284A4"/>
    <w:rsid w:val="2E72FE0D"/>
    <w:rsid w:val="2E746769"/>
    <w:rsid w:val="2E747832"/>
    <w:rsid w:val="2E754679"/>
    <w:rsid w:val="2E755C61"/>
    <w:rsid w:val="2E778502"/>
    <w:rsid w:val="2E77AB41"/>
    <w:rsid w:val="2E784976"/>
    <w:rsid w:val="2E7850D1"/>
    <w:rsid w:val="2E7916F6"/>
    <w:rsid w:val="2E792A52"/>
    <w:rsid w:val="2E797D7F"/>
    <w:rsid w:val="2E7A583C"/>
    <w:rsid w:val="2E7D7505"/>
    <w:rsid w:val="2E7E449C"/>
    <w:rsid w:val="2E7F7B28"/>
    <w:rsid w:val="2E7FA9CB"/>
    <w:rsid w:val="2E7FAC17"/>
    <w:rsid w:val="2E803564"/>
    <w:rsid w:val="2E8038D7"/>
    <w:rsid w:val="2E812744"/>
    <w:rsid w:val="2E826CA9"/>
    <w:rsid w:val="2E82820F"/>
    <w:rsid w:val="2E82FC46"/>
    <w:rsid w:val="2E831A72"/>
    <w:rsid w:val="2E837C6D"/>
    <w:rsid w:val="2E84076C"/>
    <w:rsid w:val="2E84283E"/>
    <w:rsid w:val="2E8489DB"/>
    <w:rsid w:val="2E854A1B"/>
    <w:rsid w:val="2E85891E"/>
    <w:rsid w:val="2E8598B5"/>
    <w:rsid w:val="2E871618"/>
    <w:rsid w:val="2E88AEEE"/>
    <w:rsid w:val="2E8945F5"/>
    <w:rsid w:val="2E896929"/>
    <w:rsid w:val="2E8A65D8"/>
    <w:rsid w:val="2E8AF08C"/>
    <w:rsid w:val="2E8B9D7A"/>
    <w:rsid w:val="2E8D1977"/>
    <w:rsid w:val="2E8DF127"/>
    <w:rsid w:val="2E8E734E"/>
    <w:rsid w:val="2E8E7C92"/>
    <w:rsid w:val="2E8E8125"/>
    <w:rsid w:val="2E8EA6D5"/>
    <w:rsid w:val="2E9003B3"/>
    <w:rsid w:val="2E9016C3"/>
    <w:rsid w:val="2E913DAC"/>
    <w:rsid w:val="2E91EC8A"/>
    <w:rsid w:val="2E92262F"/>
    <w:rsid w:val="2E923E26"/>
    <w:rsid w:val="2E9268D4"/>
    <w:rsid w:val="2E92E5C8"/>
    <w:rsid w:val="2E932CE7"/>
    <w:rsid w:val="2E9343C4"/>
    <w:rsid w:val="2E93831E"/>
    <w:rsid w:val="2E945619"/>
    <w:rsid w:val="2E9527AC"/>
    <w:rsid w:val="2E95A2FC"/>
    <w:rsid w:val="2E9679B2"/>
    <w:rsid w:val="2E968352"/>
    <w:rsid w:val="2E979280"/>
    <w:rsid w:val="2E979BEB"/>
    <w:rsid w:val="2E97FF10"/>
    <w:rsid w:val="2E9AB2EE"/>
    <w:rsid w:val="2E9BB07C"/>
    <w:rsid w:val="2E9E3495"/>
    <w:rsid w:val="2E9F0B69"/>
    <w:rsid w:val="2E9FB36C"/>
    <w:rsid w:val="2E9FCAAD"/>
    <w:rsid w:val="2EA01E99"/>
    <w:rsid w:val="2EA041B4"/>
    <w:rsid w:val="2EA04759"/>
    <w:rsid w:val="2EA26939"/>
    <w:rsid w:val="2EA2DA42"/>
    <w:rsid w:val="2EA2FB5D"/>
    <w:rsid w:val="2EA312B9"/>
    <w:rsid w:val="2EA5C836"/>
    <w:rsid w:val="2EA8488F"/>
    <w:rsid w:val="2EA880B8"/>
    <w:rsid w:val="2EA9968D"/>
    <w:rsid w:val="2EA99A87"/>
    <w:rsid w:val="2EAA281D"/>
    <w:rsid w:val="2EAA564D"/>
    <w:rsid w:val="2EAAD958"/>
    <w:rsid w:val="2EAB6055"/>
    <w:rsid w:val="2EAC5346"/>
    <w:rsid w:val="2EACC387"/>
    <w:rsid w:val="2EADA4B9"/>
    <w:rsid w:val="2EADC751"/>
    <w:rsid w:val="2EAF1704"/>
    <w:rsid w:val="2EB02402"/>
    <w:rsid w:val="2EB03A1F"/>
    <w:rsid w:val="2EB22903"/>
    <w:rsid w:val="2EB2432F"/>
    <w:rsid w:val="2EB249B7"/>
    <w:rsid w:val="2EB2E08B"/>
    <w:rsid w:val="2EB2E21B"/>
    <w:rsid w:val="2EB36FD8"/>
    <w:rsid w:val="2EB3868F"/>
    <w:rsid w:val="2EB3C79E"/>
    <w:rsid w:val="2EB41F76"/>
    <w:rsid w:val="2EB54269"/>
    <w:rsid w:val="2EB690FC"/>
    <w:rsid w:val="2EB7092B"/>
    <w:rsid w:val="2EB70BBB"/>
    <w:rsid w:val="2EB74239"/>
    <w:rsid w:val="2EB7751D"/>
    <w:rsid w:val="2EB79A2F"/>
    <w:rsid w:val="2EB7CD17"/>
    <w:rsid w:val="2EB8B211"/>
    <w:rsid w:val="2EB9847D"/>
    <w:rsid w:val="2EB9AD70"/>
    <w:rsid w:val="2EBAEEB4"/>
    <w:rsid w:val="2EBB0AD2"/>
    <w:rsid w:val="2EBB5902"/>
    <w:rsid w:val="2EBB8AA9"/>
    <w:rsid w:val="2EBBF65D"/>
    <w:rsid w:val="2EBC265A"/>
    <w:rsid w:val="2EBC451E"/>
    <w:rsid w:val="2EBC6087"/>
    <w:rsid w:val="2EBDDE55"/>
    <w:rsid w:val="2EBE72C3"/>
    <w:rsid w:val="2EBE7CCD"/>
    <w:rsid w:val="2EBE8BE8"/>
    <w:rsid w:val="2EBF38DC"/>
    <w:rsid w:val="2EBF8F0B"/>
    <w:rsid w:val="2EBFDADC"/>
    <w:rsid w:val="2EC050E5"/>
    <w:rsid w:val="2EC0AD61"/>
    <w:rsid w:val="2EC180A6"/>
    <w:rsid w:val="2EC21C8D"/>
    <w:rsid w:val="2EC379C2"/>
    <w:rsid w:val="2EC40C59"/>
    <w:rsid w:val="2EC469FE"/>
    <w:rsid w:val="2EC48019"/>
    <w:rsid w:val="2EC4C3A1"/>
    <w:rsid w:val="2EC520C1"/>
    <w:rsid w:val="2EC59A1D"/>
    <w:rsid w:val="2EC6011F"/>
    <w:rsid w:val="2EC69B8A"/>
    <w:rsid w:val="2EC7040D"/>
    <w:rsid w:val="2EC723B6"/>
    <w:rsid w:val="2EC85DC1"/>
    <w:rsid w:val="2EC89611"/>
    <w:rsid w:val="2EC8DF8A"/>
    <w:rsid w:val="2EC8EACE"/>
    <w:rsid w:val="2EC8FC25"/>
    <w:rsid w:val="2EC9B0A0"/>
    <w:rsid w:val="2ECA9AF1"/>
    <w:rsid w:val="2ECADCA7"/>
    <w:rsid w:val="2ECAE714"/>
    <w:rsid w:val="2ECBE98A"/>
    <w:rsid w:val="2ECBF9F6"/>
    <w:rsid w:val="2ECCAFE2"/>
    <w:rsid w:val="2ECE19AE"/>
    <w:rsid w:val="2ECE35D4"/>
    <w:rsid w:val="2ECF1D48"/>
    <w:rsid w:val="2ECF2B22"/>
    <w:rsid w:val="2ED17EEE"/>
    <w:rsid w:val="2ED2FC8B"/>
    <w:rsid w:val="2ED4A2B9"/>
    <w:rsid w:val="2ED4C51C"/>
    <w:rsid w:val="2ED52C08"/>
    <w:rsid w:val="2ED57F1A"/>
    <w:rsid w:val="2ED6DC74"/>
    <w:rsid w:val="2ED6ECEB"/>
    <w:rsid w:val="2ED7D698"/>
    <w:rsid w:val="2ED80844"/>
    <w:rsid w:val="2ED90D2D"/>
    <w:rsid w:val="2ED919F1"/>
    <w:rsid w:val="2ED9AD1A"/>
    <w:rsid w:val="2ED9DC32"/>
    <w:rsid w:val="2ED9E53D"/>
    <w:rsid w:val="2EDA48A6"/>
    <w:rsid w:val="2EDB2A99"/>
    <w:rsid w:val="2EDB5DE6"/>
    <w:rsid w:val="2EDCB316"/>
    <w:rsid w:val="2EDD2BBC"/>
    <w:rsid w:val="2EDDC574"/>
    <w:rsid w:val="2EDDF9C3"/>
    <w:rsid w:val="2EE0D5C9"/>
    <w:rsid w:val="2EE11718"/>
    <w:rsid w:val="2EE17454"/>
    <w:rsid w:val="2EE22FEB"/>
    <w:rsid w:val="2EE23A0F"/>
    <w:rsid w:val="2EE23FB2"/>
    <w:rsid w:val="2EE308E3"/>
    <w:rsid w:val="2EE392AA"/>
    <w:rsid w:val="2EE4AC9C"/>
    <w:rsid w:val="2EE525C3"/>
    <w:rsid w:val="2EE57813"/>
    <w:rsid w:val="2EE65CCF"/>
    <w:rsid w:val="2EE65E71"/>
    <w:rsid w:val="2EE6A958"/>
    <w:rsid w:val="2EE6C379"/>
    <w:rsid w:val="2EE767AD"/>
    <w:rsid w:val="2EE77CD6"/>
    <w:rsid w:val="2EE7A389"/>
    <w:rsid w:val="2EE7E179"/>
    <w:rsid w:val="2EE82286"/>
    <w:rsid w:val="2EE89E8E"/>
    <w:rsid w:val="2EE91B61"/>
    <w:rsid w:val="2EE97DB7"/>
    <w:rsid w:val="2EE9BEB1"/>
    <w:rsid w:val="2EEA5BF9"/>
    <w:rsid w:val="2EEAE31F"/>
    <w:rsid w:val="2EEB2D57"/>
    <w:rsid w:val="2EEC8BF3"/>
    <w:rsid w:val="2EEDD77F"/>
    <w:rsid w:val="2EEF261B"/>
    <w:rsid w:val="2EEF29D1"/>
    <w:rsid w:val="2EEF976D"/>
    <w:rsid w:val="2EEFED5B"/>
    <w:rsid w:val="2EF09C42"/>
    <w:rsid w:val="2EF1D8E9"/>
    <w:rsid w:val="2EF2F93B"/>
    <w:rsid w:val="2EF3CCCF"/>
    <w:rsid w:val="2EF429F9"/>
    <w:rsid w:val="2EF61EE7"/>
    <w:rsid w:val="2EF652A6"/>
    <w:rsid w:val="2EF67BA8"/>
    <w:rsid w:val="2EF6EDB6"/>
    <w:rsid w:val="2EF71593"/>
    <w:rsid w:val="2EF8D375"/>
    <w:rsid w:val="2EF937F7"/>
    <w:rsid w:val="2EF974C4"/>
    <w:rsid w:val="2EF979F4"/>
    <w:rsid w:val="2EF990D8"/>
    <w:rsid w:val="2EFA80AB"/>
    <w:rsid w:val="2EFAD3A1"/>
    <w:rsid w:val="2EFAEED3"/>
    <w:rsid w:val="2EFC454D"/>
    <w:rsid w:val="2EFC981D"/>
    <w:rsid w:val="2EFCA0BB"/>
    <w:rsid w:val="2EFDB105"/>
    <w:rsid w:val="2EFDC3D9"/>
    <w:rsid w:val="2EFE1D21"/>
    <w:rsid w:val="2EFEB929"/>
    <w:rsid w:val="2EFF19D3"/>
    <w:rsid w:val="2F00F171"/>
    <w:rsid w:val="2F0296CA"/>
    <w:rsid w:val="2F0313AB"/>
    <w:rsid w:val="2F0384D2"/>
    <w:rsid w:val="2F047380"/>
    <w:rsid w:val="2F05343D"/>
    <w:rsid w:val="2F060F8D"/>
    <w:rsid w:val="2F073BCF"/>
    <w:rsid w:val="2F0763AC"/>
    <w:rsid w:val="2F07E629"/>
    <w:rsid w:val="2F07FE76"/>
    <w:rsid w:val="2F08CBAF"/>
    <w:rsid w:val="2F08F68F"/>
    <w:rsid w:val="2F092CAA"/>
    <w:rsid w:val="2F0A6820"/>
    <w:rsid w:val="2F0AB804"/>
    <w:rsid w:val="2F0AD0A0"/>
    <w:rsid w:val="2F0C740D"/>
    <w:rsid w:val="2F0D7E45"/>
    <w:rsid w:val="2F0E18AB"/>
    <w:rsid w:val="2F0E5FB6"/>
    <w:rsid w:val="2F0EF1C2"/>
    <w:rsid w:val="2F0F5B6E"/>
    <w:rsid w:val="2F0FA4FA"/>
    <w:rsid w:val="2F101ADB"/>
    <w:rsid w:val="2F10D374"/>
    <w:rsid w:val="2F1248C8"/>
    <w:rsid w:val="2F1277DD"/>
    <w:rsid w:val="2F1367A2"/>
    <w:rsid w:val="2F137E42"/>
    <w:rsid w:val="2F15BDBB"/>
    <w:rsid w:val="2F15DAEB"/>
    <w:rsid w:val="2F182835"/>
    <w:rsid w:val="2F18303A"/>
    <w:rsid w:val="2F1832E4"/>
    <w:rsid w:val="2F188594"/>
    <w:rsid w:val="2F18B9E3"/>
    <w:rsid w:val="2F196A81"/>
    <w:rsid w:val="2F19CB8C"/>
    <w:rsid w:val="2F1A40E2"/>
    <w:rsid w:val="2F1A9F79"/>
    <w:rsid w:val="2F1B0F2F"/>
    <w:rsid w:val="2F1B6762"/>
    <w:rsid w:val="2F1B866A"/>
    <w:rsid w:val="2F1C0DA1"/>
    <w:rsid w:val="2F1CAE58"/>
    <w:rsid w:val="2F1CEA9D"/>
    <w:rsid w:val="2F1D1CD1"/>
    <w:rsid w:val="2F1D6D78"/>
    <w:rsid w:val="2F1DA961"/>
    <w:rsid w:val="2F1E1DB7"/>
    <w:rsid w:val="2F1E7FC6"/>
    <w:rsid w:val="2F1EE1CC"/>
    <w:rsid w:val="2F1FDE9A"/>
    <w:rsid w:val="2F2066FE"/>
    <w:rsid w:val="2F2076CB"/>
    <w:rsid w:val="2F20E7AB"/>
    <w:rsid w:val="2F219D8E"/>
    <w:rsid w:val="2F21B783"/>
    <w:rsid w:val="2F21B956"/>
    <w:rsid w:val="2F21E76E"/>
    <w:rsid w:val="2F220D4C"/>
    <w:rsid w:val="2F22989F"/>
    <w:rsid w:val="2F22F96C"/>
    <w:rsid w:val="2F2369FD"/>
    <w:rsid w:val="2F23CC1D"/>
    <w:rsid w:val="2F240C80"/>
    <w:rsid w:val="2F24ADA2"/>
    <w:rsid w:val="2F24DA63"/>
    <w:rsid w:val="2F254566"/>
    <w:rsid w:val="2F2619D0"/>
    <w:rsid w:val="2F265E49"/>
    <w:rsid w:val="2F267B67"/>
    <w:rsid w:val="2F26C506"/>
    <w:rsid w:val="2F275249"/>
    <w:rsid w:val="2F27A69B"/>
    <w:rsid w:val="2F27B2AD"/>
    <w:rsid w:val="2F27F34B"/>
    <w:rsid w:val="2F2844FE"/>
    <w:rsid w:val="2F286CE0"/>
    <w:rsid w:val="2F28E200"/>
    <w:rsid w:val="2F28EA40"/>
    <w:rsid w:val="2F28ED51"/>
    <w:rsid w:val="2F296AFE"/>
    <w:rsid w:val="2F296C34"/>
    <w:rsid w:val="2F2A89E2"/>
    <w:rsid w:val="2F2B769D"/>
    <w:rsid w:val="2F2BA49B"/>
    <w:rsid w:val="2F2C33A7"/>
    <w:rsid w:val="2F2D162B"/>
    <w:rsid w:val="2F2E8621"/>
    <w:rsid w:val="2F2E986B"/>
    <w:rsid w:val="2F2F3656"/>
    <w:rsid w:val="2F2F7F07"/>
    <w:rsid w:val="2F2FD89A"/>
    <w:rsid w:val="2F31A4E9"/>
    <w:rsid w:val="2F31D984"/>
    <w:rsid w:val="2F31FB51"/>
    <w:rsid w:val="2F320E09"/>
    <w:rsid w:val="2F32FF82"/>
    <w:rsid w:val="2F3314A0"/>
    <w:rsid w:val="2F3434F7"/>
    <w:rsid w:val="2F346687"/>
    <w:rsid w:val="2F35579C"/>
    <w:rsid w:val="2F356C62"/>
    <w:rsid w:val="2F3580A5"/>
    <w:rsid w:val="2F36CC75"/>
    <w:rsid w:val="2F36CD2F"/>
    <w:rsid w:val="2F374791"/>
    <w:rsid w:val="2F37C0C7"/>
    <w:rsid w:val="2F37DB66"/>
    <w:rsid w:val="2F380662"/>
    <w:rsid w:val="2F391212"/>
    <w:rsid w:val="2F39CB15"/>
    <w:rsid w:val="2F3ACE78"/>
    <w:rsid w:val="2F3B32C2"/>
    <w:rsid w:val="2F3BA2F2"/>
    <w:rsid w:val="2F3C1019"/>
    <w:rsid w:val="2F3C1497"/>
    <w:rsid w:val="2F3CB6B8"/>
    <w:rsid w:val="2F3D0FB3"/>
    <w:rsid w:val="2F3D3287"/>
    <w:rsid w:val="2F3D4F84"/>
    <w:rsid w:val="2F3D6E9D"/>
    <w:rsid w:val="2F3EC3A7"/>
    <w:rsid w:val="2F3F1D49"/>
    <w:rsid w:val="2F3F5C6C"/>
    <w:rsid w:val="2F3F64EA"/>
    <w:rsid w:val="2F3F9AA6"/>
    <w:rsid w:val="2F4013FE"/>
    <w:rsid w:val="2F403E55"/>
    <w:rsid w:val="2F408220"/>
    <w:rsid w:val="2F408393"/>
    <w:rsid w:val="2F410333"/>
    <w:rsid w:val="2F410D25"/>
    <w:rsid w:val="2F41165A"/>
    <w:rsid w:val="2F419DD5"/>
    <w:rsid w:val="2F424069"/>
    <w:rsid w:val="2F424320"/>
    <w:rsid w:val="2F42A4AA"/>
    <w:rsid w:val="2F42C268"/>
    <w:rsid w:val="2F42E121"/>
    <w:rsid w:val="2F42F910"/>
    <w:rsid w:val="2F4379A2"/>
    <w:rsid w:val="2F439231"/>
    <w:rsid w:val="2F43B0D3"/>
    <w:rsid w:val="2F43C646"/>
    <w:rsid w:val="2F4435E7"/>
    <w:rsid w:val="2F44FAE2"/>
    <w:rsid w:val="2F45EFDC"/>
    <w:rsid w:val="2F463670"/>
    <w:rsid w:val="2F4653C7"/>
    <w:rsid w:val="2F475AF1"/>
    <w:rsid w:val="2F476C8C"/>
    <w:rsid w:val="2F488BFE"/>
    <w:rsid w:val="2F49A3CB"/>
    <w:rsid w:val="2F49E856"/>
    <w:rsid w:val="2F4AEE77"/>
    <w:rsid w:val="2F4AEEA4"/>
    <w:rsid w:val="2F4B3A58"/>
    <w:rsid w:val="2F4B4B8E"/>
    <w:rsid w:val="2F4B9DF5"/>
    <w:rsid w:val="2F4BA99B"/>
    <w:rsid w:val="2F4BFB44"/>
    <w:rsid w:val="2F4C0056"/>
    <w:rsid w:val="2F4DBFFB"/>
    <w:rsid w:val="2F4E1D7A"/>
    <w:rsid w:val="2F4FAD41"/>
    <w:rsid w:val="2F5056B2"/>
    <w:rsid w:val="2F51DC1F"/>
    <w:rsid w:val="2F51F9D6"/>
    <w:rsid w:val="2F527BF6"/>
    <w:rsid w:val="2F52E1F3"/>
    <w:rsid w:val="2F53F8CE"/>
    <w:rsid w:val="2F545883"/>
    <w:rsid w:val="2F54D16E"/>
    <w:rsid w:val="2F56E324"/>
    <w:rsid w:val="2F56EAFB"/>
    <w:rsid w:val="2F56F0DD"/>
    <w:rsid w:val="2F577899"/>
    <w:rsid w:val="2F57D14C"/>
    <w:rsid w:val="2F5817E0"/>
    <w:rsid w:val="2F592D1E"/>
    <w:rsid w:val="2F5B5F71"/>
    <w:rsid w:val="2F5BA69F"/>
    <w:rsid w:val="2F5CC73B"/>
    <w:rsid w:val="2F5CD85B"/>
    <w:rsid w:val="2F5D8067"/>
    <w:rsid w:val="2F5D9C30"/>
    <w:rsid w:val="2F5DF292"/>
    <w:rsid w:val="2F5E021D"/>
    <w:rsid w:val="2F5EAFA0"/>
    <w:rsid w:val="2F5ED795"/>
    <w:rsid w:val="2F5F79D4"/>
    <w:rsid w:val="2F5F969D"/>
    <w:rsid w:val="2F5F9DDD"/>
    <w:rsid w:val="2F5FA864"/>
    <w:rsid w:val="2F620D83"/>
    <w:rsid w:val="2F6302C5"/>
    <w:rsid w:val="2F6345D5"/>
    <w:rsid w:val="2F63AA8D"/>
    <w:rsid w:val="2F671C4A"/>
    <w:rsid w:val="2F671CE6"/>
    <w:rsid w:val="2F672376"/>
    <w:rsid w:val="2F6862A0"/>
    <w:rsid w:val="2F699391"/>
    <w:rsid w:val="2F6A00F3"/>
    <w:rsid w:val="2F6A1C7F"/>
    <w:rsid w:val="2F6A274E"/>
    <w:rsid w:val="2F6A5E1E"/>
    <w:rsid w:val="2F6AC54D"/>
    <w:rsid w:val="2F6ACC3A"/>
    <w:rsid w:val="2F6B1C11"/>
    <w:rsid w:val="2F6B3018"/>
    <w:rsid w:val="2F6B7573"/>
    <w:rsid w:val="2F6C7733"/>
    <w:rsid w:val="2F6C98C8"/>
    <w:rsid w:val="2F6CE528"/>
    <w:rsid w:val="2F6D787E"/>
    <w:rsid w:val="2F6D9D68"/>
    <w:rsid w:val="2F6E8A4F"/>
    <w:rsid w:val="2F6EE5A2"/>
    <w:rsid w:val="2F6F15E1"/>
    <w:rsid w:val="2F6F9DFB"/>
    <w:rsid w:val="2F6FE1E6"/>
    <w:rsid w:val="2F6FF7C6"/>
    <w:rsid w:val="2F702FD0"/>
    <w:rsid w:val="2F724054"/>
    <w:rsid w:val="2F72FF7A"/>
    <w:rsid w:val="2F733850"/>
    <w:rsid w:val="2F738130"/>
    <w:rsid w:val="2F73C8C7"/>
    <w:rsid w:val="2F747627"/>
    <w:rsid w:val="2F74F44D"/>
    <w:rsid w:val="2F7502B8"/>
    <w:rsid w:val="2F751A10"/>
    <w:rsid w:val="2F753680"/>
    <w:rsid w:val="2F7565ED"/>
    <w:rsid w:val="2F757361"/>
    <w:rsid w:val="2F75B209"/>
    <w:rsid w:val="2F768EBA"/>
    <w:rsid w:val="2F76E206"/>
    <w:rsid w:val="2F77767A"/>
    <w:rsid w:val="2F77ABB4"/>
    <w:rsid w:val="2F78243E"/>
    <w:rsid w:val="2F7A6C2D"/>
    <w:rsid w:val="2F7B1BBA"/>
    <w:rsid w:val="2F7B2018"/>
    <w:rsid w:val="2F7C1A4C"/>
    <w:rsid w:val="2F7CC361"/>
    <w:rsid w:val="2F7CDB0C"/>
    <w:rsid w:val="2F7D23E0"/>
    <w:rsid w:val="2F7D7982"/>
    <w:rsid w:val="2F7DB535"/>
    <w:rsid w:val="2F7E65B8"/>
    <w:rsid w:val="2F7EEFDA"/>
    <w:rsid w:val="2F7EF4B2"/>
    <w:rsid w:val="2F7F108A"/>
    <w:rsid w:val="2F7F302C"/>
    <w:rsid w:val="2F800C53"/>
    <w:rsid w:val="2F803FD9"/>
    <w:rsid w:val="2F804843"/>
    <w:rsid w:val="2F80F5D2"/>
    <w:rsid w:val="2F823288"/>
    <w:rsid w:val="2F829D97"/>
    <w:rsid w:val="2F835B32"/>
    <w:rsid w:val="2F837086"/>
    <w:rsid w:val="2F83CDB5"/>
    <w:rsid w:val="2F840DD3"/>
    <w:rsid w:val="2F84DCBA"/>
    <w:rsid w:val="2F8518AE"/>
    <w:rsid w:val="2F85DFB9"/>
    <w:rsid w:val="2F86A254"/>
    <w:rsid w:val="2F87091B"/>
    <w:rsid w:val="2F87B83A"/>
    <w:rsid w:val="2F8821F6"/>
    <w:rsid w:val="2F885017"/>
    <w:rsid w:val="2F885DEA"/>
    <w:rsid w:val="2F8AA6BB"/>
    <w:rsid w:val="2F8AB26C"/>
    <w:rsid w:val="2F8B25DD"/>
    <w:rsid w:val="2F8CC861"/>
    <w:rsid w:val="2F8DB499"/>
    <w:rsid w:val="2F8DD67A"/>
    <w:rsid w:val="2F8E0129"/>
    <w:rsid w:val="2F8EA8EF"/>
    <w:rsid w:val="2F8F34A4"/>
    <w:rsid w:val="2F8F5914"/>
    <w:rsid w:val="2F8FBB9F"/>
    <w:rsid w:val="2F8FE0F4"/>
    <w:rsid w:val="2F8FE904"/>
    <w:rsid w:val="2F8FEBF9"/>
    <w:rsid w:val="2F900D58"/>
    <w:rsid w:val="2F90376D"/>
    <w:rsid w:val="2F905183"/>
    <w:rsid w:val="2F911838"/>
    <w:rsid w:val="2F9230D2"/>
    <w:rsid w:val="2F93068D"/>
    <w:rsid w:val="2F935102"/>
    <w:rsid w:val="2F939EA9"/>
    <w:rsid w:val="2F940C57"/>
    <w:rsid w:val="2F947FBF"/>
    <w:rsid w:val="2F953B85"/>
    <w:rsid w:val="2F957A80"/>
    <w:rsid w:val="2F96915C"/>
    <w:rsid w:val="2F971826"/>
    <w:rsid w:val="2F98EA3A"/>
    <w:rsid w:val="2F992D77"/>
    <w:rsid w:val="2F99D751"/>
    <w:rsid w:val="2F9A1D4C"/>
    <w:rsid w:val="2F9A3072"/>
    <w:rsid w:val="2F9A8E80"/>
    <w:rsid w:val="2F9AF5F1"/>
    <w:rsid w:val="2F9AFF85"/>
    <w:rsid w:val="2F9B2E6F"/>
    <w:rsid w:val="2F9B3305"/>
    <w:rsid w:val="2F9C7E2C"/>
    <w:rsid w:val="2F9CCF5C"/>
    <w:rsid w:val="2F9CD67C"/>
    <w:rsid w:val="2F9E8575"/>
    <w:rsid w:val="2F9ECEEE"/>
    <w:rsid w:val="2F9F3491"/>
    <w:rsid w:val="2F9F4DED"/>
    <w:rsid w:val="2F9F9E3C"/>
    <w:rsid w:val="2F9FF8BC"/>
    <w:rsid w:val="2FA010B7"/>
    <w:rsid w:val="2FA07EFE"/>
    <w:rsid w:val="2FA093D7"/>
    <w:rsid w:val="2FA0D745"/>
    <w:rsid w:val="2FA1AC6D"/>
    <w:rsid w:val="2FA1F3B1"/>
    <w:rsid w:val="2FA29134"/>
    <w:rsid w:val="2FA49521"/>
    <w:rsid w:val="2FA4CBCE"/>
    <w:rsid w:val="2FA4DD42"/>
    <w:rsid w:val="2FA5F001"/>
    <w:rsid w:val="2FA68499"/>
    <w:rsid w:val="2FA830E4"/>
    <w:rsid w:val="2FA8639E"/>
    <w:rsid w:val="2FA8E758"/>
    <w:rsid w:val="2FA973E0"/>
    <w:rsid w:val="2FA98C58"/>
    <w:rsid w:val="2FAA3AB3"/>
    <w:rsid w:val="2FAA7873"/>
    <w:rsid w:val="2FAA90EA"/>
    <w:rsid w:val="2FAAB170"/>
    <w:rsid w:val="2FAADABA"/>
    <w:rsid w:val="2FAAF16B"/>
    <w:rsid w:val="2FAB2931"/>
    <w:rsid w:val="2FAB3211"/>
    <w:rsid w:val="2FAC779C"/>
    <w:rsid w:val="2FADC9C1"/>
    <w:rsid w:val="2FADE081"/>
    <w:rsid w:val="2FAE15FA"/>
    <w:rsid w:val="2FAE3C4C"/>
    <w:rsid w:val="2FAEB7F7"/>
    <w:rsid w:val="2FAEDC65"/>
    <w:rsid w:val="2FAEFA7D"/>
    <w:rsid w:val="2FAF2363"/>
    <w:rsid w:val="2FB00C78"/>
    <w:rsid w:val="2FB01BE7"/>
    <w:rsid w:val="2FB06DF3"/>
    <w:rsid w:val="2FB1267D"/>
    <w:rsid w:val="2FB22382"/>
    <w:rsid w:val="2FB24852"/>
    <w:rsid w:val="2FB248CB"/>
    <w:rsid w:val="2FB28DA5"/>
    <w:rsid w:val="2FB2A102"/>
    <w:rsid w:val="2FB2B488"/>
    <w:rsid w:val="2FB2C4BE"/>
    <w:rsid w:val="2FB32E79"/>
    <w:rsid w:val="2FB34EF5"/>
    <w:rsid w:val="2FB36F8E"/>
    <w:rsid w:val="2FB37882"/>
    <w:rsid w:val="2FB38943"/>
    <w:rsid w:val="2FB38C0E"/>
    <w:rsid w:val="2FB425FE"/>
    <w:rsid w:val="2FB429E0"/>
    <w:rsid w:val="2FB4670E"/>
    <w:rsid w:val="2FB4EE4E"/>
    <w:rsid w:val="2FB52EE2"/>
    <w:rsid w:val="2FB5556F"/>
    <w:rsid w:val="2FB56D81"/>
    <w:rsid w:val="2FB58D98"/>
    <w:rsid w:val="2FB614ED"/>
    <w:rsid w:val="2FB81A66"/>
    <w:rsid w:val="2FB82FB0"/>
    <w:rsid w:val="2FB83B99"/>
    <w:rsid w:val="2FB84838"/>
    <w:rsid w:val="2FB874CF"/>
    <w:rsid w:val="2FB88623"/>
    <w:rsid w:val="2FB8DE8B"/>
    <w:rsid w:val="2FB8EE80"/>
    <w:rsid w:val="2FB9A8AC"/>
    <w:rsid w:val="2FB9AC1D"/>
    <w:rsid w:val="2FB9E7E5"/>
    <w:rsid w:val="2FBA88AC"/>
    <w:rsid w:val="2FBAA8D2"/>
    <w:rsid w:val="2FBB2A9D"/>
    <w:rsid w:val="2FBB8923"/>
    <w:rsid w:val="2FBB8F50"/>
    <w:rsid w:val="2FBC3AFF"/>
    <w:rsid w:val="2FBD1C30"/>
    <w:rsid w:val="2FBD3FA8"/>
    <w:rsid w:val="2FBD88FD"/>
    <w:rsid w:val="2FBDAC27"/>
    <w:rsid w:val="2FBE610C"/>
    <w:rsid w:val="2FBF929A"/>
    <w:rsid w:val="2FBFFACC"/>
    <w:rsid w:val="2FC075A8"/>
    <w:rsid w:val="2FC0BC1E"/>
    <w:rsid w:val="2FC0C83D"/>
    <w:rsid w:val="2FC1E500"/>
    <w:rsid w:val="2FC22CA2"/>
    <w:rsid w:val="2FC3D9A4"/>
    <w:rsid w:val="2FC449B5"/>
    <w:rsid w:val="2FC4C805"/>
    <w:rsid w:val="2FC4F6A5"/>
    <w:rsid w:val="2FC4FD07"/>
    <w:rsid w:val="2FC542FE"/>
    <w:rsid w:val="2FC56BDF"/>
    <w:rsid w:val="2FC5DC6E"/>
    <w:rsid w:val="2FC675FD"/>
    <w:rsid w:val="2FC691D9"/>
    <w:rsid w:val="2FC7292E"/>
    <w:rsid w:val="2FC72CBD"/>
    <w:rsid w:val="2FC75BCA"/>
    <w:rsid w:val="2FC7688D"/>
    <w:rsid w:val="2FC820E4"/>
    <w:rsid w:val="2FC83DB1"/>
    <w:rsid w:val="2FC86324"/>
    <w:rsid w:val="2FC9525C"/>
    <w:rsid w:val="2FC9CA2F"/>
    <w:rsid w:val="2FC9ED84"/>
    <w:rsid w:val="2FCAAFAD"/>
    <w:rsid w:val="2FCB1FD9"/>
    <w:rsid w:val="2FCB85E5"/>
    <w:rsid w:val="2FCBD24A"/>
    <w:rsid w:val="2FCBF263"/>
    <w:rsid w:val="2FCD0C8C"/>
    <w:rsid w:val="2FCEEC5D"/>
    <w:rsid w:val="2FCF7FFD"/>
    <w:rsid w:val="2FCFB3A5"/>
    <w:rsid w:val="2FCFC5B7"/>
    <w:rsid w:val="2FCFE6E7"/>
    <w:rsid w:val="2FD00F12"/>
    <w:rsid w:val="2FD11772"/>
    <w:rsid w:val="2FD18C1A"/>
    <w:rsid w:val="2FD19D10"/>
    <w:rsid w:val="2FD1AA14"/>
    <w:rsid w:val="2FD401B5"/>
    <w:rsid w:val="2FD4024F"/>
    <w:rsid w:val="2FD43C96"/>
    <w:rsid w:val="2FD4AA5B"/>
    <w:rsid w:val="2FD570D2"/>
    <w:rsid w:val="2FD5819E"/>
    <w:rsid w:val="2FD59341"/>
    <w:rsid w:val="2FD65780"/>
    <w:rsid w:val="2FD666FD"/>
    <w:rsid w:val="2FD6E973"/>
    <w:rsid w:val="2FD76E5C"/>
    <w:rsid w:val="2FD7C0BA"/>
    <w:rsid w:val="2FD82066"/>
    <w:rsid w:val="2FDA34E3"/>
    <w:rsid w:val="2FDA5C96"/>
    <w:rsid w:val="2FDBBC23"/>
    <w:rsid w:val="2FDC28CA"/>
    <w:rsid w:val="2FDC5382"/>
    <w:rsid w:val="2FDCAD40"/>
    <w:rsid w:val="2FDCB74A"/>
    <w:rsid w:val="2FDE6B23"/>
    <w:rsid w:val="2FDE8A93"/>
    <w:rsid w:val="2FDF168B"/>
    <w:rsid w:val="2FE0A1D4"/>
    <w:rsid w:val="2FE0CA63"/>
    <w:rsid w:val="2FE1A793"/>
    <w:rsid w:val="2FE1EA56"/>
    <w:rsid w:val="2FE22ED9"/>
    <w:rsid w:val="2FE2D525"/>
    <w:rsid w:val="2FE434D4"/>
    <w:rsid w:val="2FE46884"/>
    <w:rsid w:val="2FE4A3E3"/>
    <w:rsid w:val="2FE4C77F"/>
    <w:rsid w:val="2FE53410"/>
    <w:rsid w:val="2FE67D14"/>
    <w:rsid w:val="2FE6A3D8"/>
    <w:rsid w:val="2FE6BEAE"/>
    <w:rsid w:val="2FE75658"/>
    <w:rsid w:val="2FE7F141"/>
    <w:rsid w:val="2FE850A5"/>
    <w:rsid w:val="2FE94471"/>
    <w:rsid w:val="2FE9E277"/>
    <w:rsid w:val="2FEA1145"/>
    <w:rsid w:val="2FEA471F"/>
    <w:rsid w:val="2FEC0BC3"/>
    <w:rsid w:val="2FED8B95"/>
    <w:rsid w:val="2FEE2662"/>
    <w:rsid w:val="2FEE6227"/>
    <w:rsid w:val="2FEE6E8C"/>
    <w:rsid w:val="2FEF63BC"/>
    <w:rsid w:val="2FF0001A"/>
    <w:rsid w:val="2FF012BB"/>
    <w:rsid w:val="2FF12A0B"/>
    <w:rsid w:val="2FF150CE"/>
    <w:rsid w:val="2FF29AEF"/>
    <w:rsid w:val="2FF2EDAE"/>
    <w:rsid w:val="2FF33161"/>
    <w:rsid w:val="2FF40CD9"/>
    <w:rsid w:val="2FF4803B"/>
    <w:rsid w:val="2FF583F2"/>
    <w:rsid w:val="2FF5A227"/>
    <w:rsid w:val="2FF5A57D"/>
    <w:rsid w:val="2FF5EA7C"/>
    <w:rsid w:val="2FF611A5"/>
    <w:rsid w:val="2FF6951A"/>
    <w:rsid w:val="2FF69AC6"/>
    <w:rsid w:val="2FF6C6F4"/>
    <w:rsid w:val="2FF6F2A0"/>
    <w:rsid w:val="2FF78938"/>
    <w:rsid w:val="2FF887B8"/>
    <w:rsid w:val="2FF92AEE"/>
    <w:rsid w:val="2FF9CF68"/>
    <w:rsid w:val="2FF9E604"/>
    <w:rsid w:val="2FFA893D"/>
    <w:rsid w:val="2FFAAF33"/>
    <w:rsid w:val="2FFAF7BA"/>
    <w:rsid w:val="2FFB5D39"/>
    <w:rsid w:val="2FFB5FDB"/>
    <w:rsid w:val="2FFBA9D1"/>
    <w:rsid w:val="2FFDD306"/>
    <w:rsid w:val="2FFE3D8E"/>
    <w:rsid w:val="2FFF80E4"/>
    <w:rsid w:val="2FFF8676"/>
    <w:rsid w:val="2FFFF99E"/>
    <w:rsid w:val="300009D5"/>
    <w:rsid w:val="3000302B"/>
    <w:rsid w:val="30006E64"/>
    <w:rsid w:val="3000A44F"/>
    <w:rsid w:val="3001772F"/>
    <w:rsid w:val="3002455E"/>
    <w:rsid w:val="3003DC20"/>
    <w:rsid w:val="30042478"/>
    <w:rsid w:val="30043997"/>
    <w:rsid w:val="30046A67"/>
    <w:rsid w:val="30047090"/>
    <w:rsid w:val="3004786A"/>
    <w:rsid w:val="30053C7F"/>
    <w:rsid w:val="300595CB"/>
    <w:rsid w:val="30059E26"/>
    <w:rsid w:val="3005B072"/>
    <w:rsid w:val="3005D6A5"/>
    <w:rsid w:val="3005E07F"/>
    <w:rsid w:val="3005E5F5"/>
    <w:rsid w:val="3005FE76"/>
    <w:rsid w:val="3007BF66"/>
    <w:rsid w:val="300852FC"/>
    <w:rsid w:val="3008EE06"/>
    <w:rsid w:val="3009259D"/>
    <w:rsid w:val="300997E4"/>
    <w:rsid w:val="300A2870"/>
    <w:rsid w:val="300A4FC7"/>
    <w:rsid w:val="300A5922"/>
    <w:rsid w:val="300A67D9"/>
    <w:rsid w:val="300AE954"/>
    <w:rsid w:val="300B794F"/>
    <w:rsid w:val="300C445B"/>
    <w:rsid w:val="300CBF5F"/>
    <w:rsid w:val="300CEF95"/>
    <w:rsid w:val="300D3582"/>
    <w:rsid w:val="300DA2AC"/>
    <w:rsid w:val="300DDB96"/>
    <w:rsid w:val="300E219F"/>
    <w:rsid w:val="300E46C6"/>
    <w:rsid w:val="300E68C3"/>
    <w:rsid w:val="300F0AE5"/>
    <w:rsid w:val="300F21E9"/>
    <w:rsid w:val="3010DAF4"/>
    <w:rsid w:val="30113E31"/>
    <w:rsid w:val="3011D810"/>
    <w:rsid w:val="3012E6E9"/>
    <w:rsid w:val="3012F097"/>
    <w:rsid w:val="30133881"/>
    <w:rsid w:val="30135558"/>
    <w:rsid w:val="3013E82C"/>
    <w:rsid w:val="3013F058"/>
    <w:rsid w:val="3013FAF4"/>
    <w:rsid w:val="30149BA2"/>
    <w:rsid w:val="30152E88"/>
    <w:rsid w:val="3015C7A2"/>
    <w:rsid w:val="3015EB0D"/>
    <w:rsid w:val="3016F023"/>
    <w:rsid w:val="30175FE6"/>
    <w:rsid w:val="3017D501"/>
    <w:rsid w:val="301806D3"/>
    <w:rsid w:val="30181237"/>
    <w:rsid w:val="30188172"/>
    <w:rsid w:val="3018D013"/>
    <w:rsid w:val="301912BE"/>
    <w:rsid w:val="301A4DCF"/>
    <w:rsid w:val="301AA8BF"/>
    <w:rsid w:val="301AB69C"/>
    <w:rsid w:val="301AF884"/>
    <w:rsid w:val="301B14F5"/>
    <w:rsid w:val="301B48BB"/>
    <w:rsid w:val="301CDB98"/>
    <w:rsid w:val="301D2BB3"/>
    <w:rsid w:val="301D31D5"/>
    <w:rsid w:val="301D46DF"/>
    <w:rsid w:val="301D6A0F"/>
    <w:rsid w:val="301DB4C3"/>
    <w:rsid w:val="301E20E0"/>
    <w:rsid w:val="301EECC7"/>
    <w:rsid w:val="301F54B9"/>
    <w:rsid w:val="301F6E03"/>
    <w:rsid w:val="301F86AD"/>
    <w:rsid w:val="301F9F24"/>
    <w:rsid w:val="301FCD92"/>
    <w:rsid w:val="30209CDE"/>
    <w:rsid w:val="3020EE35"/>
    <w:rsid w:val="30217A0A"/>
    <w:rsid w:val="3021AD74"/>
    <w:rsid w:val="30221CC4"/>
    <w:rsid w:val="30229F0D"/>
    <w:rsid w:val="30239536"/>
    <w:rsid w:val="3024E0AE"/>
    <w:rsid w:val="30256CAF"/>
    <w:rsid w:val="3025839D"/>
    <w:rsid w:val="30258A07"/>
    <w:rsid w:val="3025C569"/>
    <w:rsid w:val="30260177"/>
    <w:rsid w:val="30262E26"/>
    <w:rsid w:val="302640FB"/>
    <w:rsid w:val="3026AD1B"/>
    <w:rsid w:val="30270B2D"/>
    <w:rsid w:val="3027190D"/>
    <w:rsid w:val="3027DAD9"/>
    <w:rsid w:val="302896B7"/>
    <w:rsid w:val="3028E02F"/>
    <w:rsid w:val="30294C03"/>
    <w:rsid w:val="302AB2AD"/>
    <w:rsid w:val="302AFEB6"/>
    <w:rsid w:val="302B5BC4"/>
    <w:rsid w:val="302B7CAC"/>
    <w:rsid w:val="302BC5F0"/>
    <w:rsid w:val="302CC87C"/>
    <w:rsid w:val="302D0DCB"/>
    <w:rsid w:val="302D221F"/>
    <w:rsid w:val="302D4A0B"/>
    <w:rsid w:val="302D8E43"/>
    <w:rsid w:val="302D96BF"/>
    <w:rsid w:val="302DA984"/>
    <w:rsid w:val="302DB99E"/>
    <w:rsid w:val="30300B52"/>
    <w:rsid w:val="3030C2EB"/>
    <w:rsid w:val="30315831"/>
    <w:rsid w:val="30315D5F"/>
    <w:rsid w:val="30318179"/>
    <w:rsid w:val="3031A923"/>
    <w:rsid w:val="3031D35B"/>
    <w:rsid w:val="3032A28A"/>
    <w:rsid w:val="3032EB5A"/>
    <w:rsid w:val="30335B27"/>
    <w:rsid w:val="3033B795"/>
    <w:rsid w:val="30341241"/>
    <w:rsid w:val="30356688"/>
    <w:rsid w:val="30357BC0"/>
    <w:rsid w:val="3035EB31"/>
    <w:rsid w:val="303697C1"/>
    <w:rsid w:val="3036F5A5"/>
    <w:rsid w:val="30379C8F"/>
    <w:rsid w:val="30386611"/>
    <w:rsid w:val="3039081B"/>
    <w:rsid w:val="303931E9"/>
    <w:rsid w:val="3039C4D2"/>
    <w:rsid w:val="3039E04E"/>
    <w:rsid w:val="303A03C4"/>
    <w:rsid w:val="303A9EFA"/>
    <w:rsid w:val="303AD8F9"/>
    <w:rsid w:val="303ADC0B"/>
    <w:rsid w:val="303B7A3C"/>
    <w:rsid w:val="303C7E53"/>
    <w:rsid w:val="303D2BDE"/>
    <w:rsid w:val="303D7A8F"/>
    <w:rsid w:val="303FBAF7"/>
    <w:rsid w:val="303FCC5A"/>
    <w:rsid w:val="304091B6"/>
    <w:rsid w:val="3040975F"/>
    <w:rsid w:val="304161BC"/>
    <w:rsid w:val="30426E69"/>
    <w:rsid w:val="3042A26D"/>
    <w:rsid w:val="3042F7D8"/>
    <w:rsid w:val="3042F8D4"/>
    <w:rsid w:val="30433092"/>
    <w:rsid w:val="30441CF7"/>
    <w:rsid w:val="304519ED"/>
    <w:rsid w:val="3045BD5D"/>
    <w:rsid w:val="304611FF"/>
    <w:rsid w:val="304735D7"/>
    <w:rsid w:val="30494DB7"/>
    <w:rsid w:val="30495ED3"/>
    <w:rsid w:val="3049A557"/>
    <w:rsid w:val="304A055F"/>
    <w:rsid w:val="304A44B4"/>
    <w:rsid w:val="304A5DDB"/>
    <w:rsid w:val="304AD744"/>
    <w:rsid w:val="304B21B2"/>
    <w:rsid w:val="304B6532"/>
    <w:rsid w:val="304BDF19"/>
    <w:rsid w:val="304C7DD2"/>
    <w:rsid w:val="304DDE23"/>
    <w:rsid w:val="304E0974"/>
    <w:rsid w:val="304E3AD8"/>
    <w:rsid w:val="304E9475"/>
    <w:rsid w:val="304EA46B"/>
    <w:rsid w:val="304EB7CB"/>
    <w:rsid w:val="304EFF3A"/>
    <w:rsid w:val="304FFCEF"/>
    <w:rsid w:val="30500DE6"/>
    <w:rsid w:val="3050E754"/>
    <w:rsid w:val="30516678"/>
    <w:rsid w:val="3051AAF8"/>
    <w:rsid w:val="3052E08B"/>
    <w:rsid w:val="3053173F"/>
    <w:rsid w:val="30534959"/>
    <w:rsid w:val="30536E5B"/>
    <w:rsid w:val="3053CB68"/>
    <w:rsid w:val="3054456C"/>
    <w:rsid w:val="3054C8AC"/>
    <w:rsid w:val="305528AD"/>
    <w:rsid w:val="30559DFC"/>
    <w:rsid w:val="3055EFFC"/>
    <w:rsid w:val="305664D3"/>
    <w:rsid w:val="3056FA45"/>
    <w:rsid w:val="30571C81"/>
    <w:rsid w:val="305720CC"/>
    <w:rsid w:val="30573985"/>
    <w:rsid w:val="30577C43"/>
    <w:rsid w:val="30589FC3"/>
    <w:rsid w:val="305A2161"/>
    <w:rsid w:val="305A42BC"/>
    <w:rsid w:val="305A713F"/>
    <w:rsid w:val="305A7F14"/>
    <w:rsid w:val="305ADE12"/>
    <w:rsid w:val="305C1312"/>
    <w:rsid w:val="305C8C7F"/>
    <w:rsid w:val="305DA2CD"/>
    <w:rsid w:val="305DB89C"/>
    <w:rsid w:val="305DFAD6"/>
    <w:rsid w:val="305E1C25"/>
    <w:rsid w:val="305EA66F"/>
    <w:rsid w:val="305EE4B3"/>
    <w:rsid w:val="305F568C"/>
    <w:rsid w:val="305F8085"/>
    <w:rsid w:val="305FB0AA"/>
    <w:rsid w:val="305FCA93"/>
    <w:rsid w:val="305FDA50"/>
    <w:rsid w:val="3060120E"/>
    <w:rsid w:val="3060341D"/>
    <w:rsid w:val="306180C5"/>
    <w:rsid w:val="3061CF25"/>
    <w:rsid w:val="306240ED"/>
    <w:rsid w:val="306259D9"/>
    <w:rsid w:val="3062852D"/>
    <w:rsid w:val="3065A83D"/>
    <w:rsid w:val="30667C57"/>
    <w:rsid w:val="30667F69"/>
    <w:rsid w:val="3066F39F"/>
    <w:rsid w:val="3067DEDF"/>
    <w:rsid w:val="30684C24"/>
    <w:rsid w:val="3068D273"/>
    <w:rsid w:val="3069DF74"/>
    <w:rsid w:val="306B544B"/>
    <w:rsid w:val="306B7F57"/>
    <w:rsid w:val="306BA103"/>
    <w:rsid w:val="306BE1F3"/>
    <w:rsid w:val="306D063D"/>
    <w:rsid w:val="306D4228"/>
    <w:rsid w:val="306D7688"/>
    <w:rsid w:val="306E44A0"/>
    <w:rsid w:val="306E69C2"/>
    <w:rsid w:val="306FED40"/>
    <w:rsid w:val="3070A26F"/>
    <w:rsid w:val="3070E937"/>
    <w:rsid w:val="30711E1B"/>
    <w:rsid w:val="30735ACE"/>
    <w:rsid w:val="3073A666"/>
    <w:rsid w:val="3073ECBD"/>
    <w:rsid w:val="307470F8"/>
    <w:rsid w:val="3074AE7E"/>
    <w:rsid w:val="30756A5A"/>
    <w:rsid w:val="30756DCB"/>
    <w:rsid w:val="30759EE4"/>
    <w:rsid w:val="3076121A"/>
    <w:rsid w:val="30761A11"/>
    <w:rsid w:val="3076DAF0"/>
    <w:rsid w:val="3076DCAD"/>
    <w:rsid w:val="3078402E"/>
    <w:rsid w:val="307869F8"/>
    <w:rsid w:val="3078A607"/>
    <w:rsid w:val="3078D538"/>
    <w:rsid w:val="3078DCCF"/>
    <w:rsid w:val="30793C40"/>
    <w:rsid w:val="30795BCE"/>
    <w:rsid w:val="30795DCF"/>
    <w:rsid w:val="3079A71A"/>
    <w:rsid w:val="307A0CB6"/>
    <w:rsid w:val="307B68EA"/>
    <w:rsid w:val="307C8614"/>
    <w:rsid w:val="307C96C1"/>
    <w:rsid w:val="307EA131"/>
    <w:rsid w:val="307EAAFF"/>
    <w:rsid w:val="307F6005"/>
    <w:rsid w:val="30801998"/>
    <w:rsid w:val="30813E52"/>
    <w:rsid w:val="308154FA"/>
    <w:rsid w:val="30815D85"/>
    <w:rsid w:val="3081B100"/>
    <w:rsid w:val="3082B0C3"/>
    <w:rsid w:val="3082E17F"/>
    <w:rsid w:val="3084B5BF"/>
    <w:rsid w:val="30852BEB"/>
    <w:rsid w:val="30865641"/>
    <w:rsid w:val="3086839B"/>
    <w:rsid w:val="3086BF5A"/>
    <w:rsid w:val="3087D658"/>
    <w:rsid w:val="3088A84A"/>
    <w:rsid w:val="3088AF0A"/>
    <w:rsid w:val="3088F6EE"/>
    <w:rsid w:val="3089397E"/>
    <w:rsid w:val="308994F5"/>
    <w:rsid w:val="308A2E15"/>
    <w:rsid w:val="308C0EC6"/>
    <w:rsid w:val="308C4CD9"/>
    <w:rsid w:val="308CA95E"/>
    <w:rsid w:val="308D0166"/>
    <w:rsid w:val="308D129B"/>
    <w:rsid w:val="308D2490"/>
    <w:rsid w:val="308D724C"/>
    <w:rsid w:val="308D95E4"/>
    <w:rsid w:val="308E05C5"/>
    <w:rsid w:val="308E2265"/>
    <w:rsid w:val="308EF157"/>
    <w:rsid w:val="308FA0E5"/>
    <w:rsid w:val="308FEB37"/>
    <w:rsid w:val="30901007"/>
    <w:rsid w:val="3090169F"/>
    <w:rsid w:val="30902871"/>
    <w:rsid w:val="30923ED7"/>
    <w:rsid w:val="30926851"/>
    <w:rsid w:val="30938D7E"/>
    <w:rsid w:val="30946DDE"/>
    <w:rsid w:val="30948D39"/>
    <w:rsid w:val="3094A402"/>
    <w:rsid w:val="309503ED"/>
    <w:rsid w:val="30950B66"/>
    <w:rsid w:val="30955E4A"/>
    <w:rsid w:val="3095A9E3"/>
    <w:rsid w:val="3095ADF6"/>
    <w:rsid w:val="3095F590"/>
    <w:rsid w:val="30973C20"/>
    <w:rsid w:val="30978E59"/>
    <w:rsid w:val="30979525"/>
    <w:rsid w:val="309798D7"/>
    <w:rsid w:val="30986CD6"/>
    <w:rsid w:val="309894DB"/>
    <w:rsid w:val="3098BFC6"/>
    <w:rsid w:val="309928BD"/>
    <w:rsid w:val="3099CD8F"/>
    <w:rsid w:val="309AE131"/>
    <w:rsid w:val="309AF9C4"/>
    <w:rsid w:val="309B2173"/>
    <w:rsid w:val="309B217F"/>
    <w:rsid w:val="309B3400"/>
    <w:rsid w:val="309B3BDD"/>
    <w:rsid w:val="309B49BB"/>
    <w:rsid w:val="309BA409"/>
    <w:rsid w:val="309C2B99"/>
    <w:rsid w:val="309CF75B"/>
    <w:rsid w:val="309D36A5"/>
    <w:rsid w:val="309DD721"/>
    <w:rsid w:val="309FBEB6"/>
    <w:rsid w:val="309FCBF7"/>
    <w:rsid w:val="309FCC33"/>
    <w:rsid w:val="309FE02C"/>
    <w:rsid w:val="30A04B32"/>
    <w:rsid w:val="30A2332B"/>
    <w:rsid w:val="30A2F4A0"/>
    <w:rsid w:val="30A392C4"/>
    <w:rsid w:val="30A3E620"/>
    <w:rsid w:val="30A44B58"/>
    <w:rsid w:val="30A48B45"/>
    <w:rsid w:val="30A52F27"/>
    <w:rsid w:val="30A71FB0"/>
    <w:rsid w:val="30A81A51"/>
    <w:rsid w:val="30A9183F"/>
    <w:rsid w:val="30A94DB7"/>
    <w:rsid w:val="30AABA02"/>
    <w:rsid w:val="30AB0AE3"/>
    <w:rsid w:val="30AB4895"/>
    <w:rsid w:val="30AB7826"/>
    <w:rsid w:val="30ABB598"/>
    <w:rsid w:val="30AD855A"/>
    <w:rsid w:val="30AE47FB"/>
    <w:rsid w:val="30AE5BF1"/>
    <w:rsid w:val="30AE8B7A"/>
    <w:rsid w:val="30AEBE72"/>
    <w:rsid w:val="30AFDD17"/>
    <w:rsid w:val="30B0D22E"/>
    <w:rsid w:val="30B1476B"/>
    <w:rsid w:val="30B1828B"/>
    <w:rsid w:val="30B18F2B"/>
    <w:rsid w:val="30B2CD56"/>
    <w:rsid w:val="30B2DD41"/>
    <w:rsid w:val="30B32DD2"/>
    <w:rsid w:val="30B357B7"/>
    <w:rsid w:val="30B410CF"/>
    <w:rsid w:val="30B47095"/>
    <w:rsid w:val="30B4B77E"/>
    <w:rsid w:val="30B4E5D4"/>
    <w:rsid w:val="30B56CC0"/>
    <w:rsid w:val="30B58B06"/>
    <w:rsid w:val="30B59C15"/>
    <w:rsid w:val="30B5C521"/>
    <w:rsid w:val="30B67B16"/>
    <w:rsid w:val="30B6CF32"/>
    <w:rsid w:val="30B6E53F"/>
    <w:rsid w:val="30B71F36"/>
    <w:rsid w:val="30B7B18E"/>
    <w:rsid w:val="30B84D68"/>
    <w:rsid w:val="30B84E70"/>
    <w:rsid w:val="30B8A621"/>
    <w:rsid w:val="30B8D6D3"/>
    <w:rsid w:val="30B8DF74"/>
    <w:rsid w:val="30B8FA3C"/>
    <w:rsid w:val="30B9E6FE"/>
    <w:rsid w:val="30B9F1E2"/>
    <w:rsid w:val="30BC1EA7"/>
    <w:rsid w:val="30BC206C"/>
    <w:rsid w:val="30BC4CC5"/>
    <w:rsid w:val="30BC64F2"/>
    <w:rsid w:val="30BCC419"/>
    <w:rsid w:val="30BCE982"/>
    <w:rsid w:val="30BD5FAE"/>
    <w:rsid w:val="30BDCAA3"/>
    <w:rsid w:val="30BEED97"/>
    <w:rsid w:val="30BFA268"/>
    <w:rsid w:val="30BFABC3"/>
    <w:rsid w:val="30C0523C"/>
    <w:rsid w:val="30C0A6C5"/>
    <w:rsid w:val="30C0B5FE"/>
    <w:rsid w:val="30C0BB80"/>
    <w:rsid w:val="30C0CAD1"/>
    <w:rsid w:val="30C11469"/>
    <w:rsid w:val="30C12BDA"/>
    <w:rsid w:val="30C1F700"/>
    <w:rsid w:val="30C2B37E"/>
    <w:rsid w:val="30C2C102"/>
    <w:rsid w:val="30C3034E"/>
    <w:rsid w:val="30C35703"/>
    <w:rsid w:val="30C381CA"/>
    <w:rsid w:val="30C3CE9E"/>
    <w:rsid w:val="30C52DE5"/>
    <w:rsid w:val="30C5578E"/>
    <w:rsid w:val="30C5BB14"/>
    <w:rsid w:val="30C5D605"/>
    <w:rsid w:val="30C69B66"/>
    <w:rsid w:val="30C6FC45"/>
    <w:rsid w:val="30C6FF87"/>
    <w:rsid w:val="30C73555"/>
    <w:rsid w:val="30C7BB85"/>
    <w:rsid w:val="30C8997D"/>
    <w:rsid w:val="30C90EF5"/>
    <w:rsid w:val="30C94147"/>
    <w:rsid w:val="30C9794F"/>
    <w:rsid w:val="30C9927F"/>
    <w:rsid w:val="30C9F07E"/>
    <w:rsid w:val="30CA7B8B"/>
    <w:rsid w:val="30CAB3D5"/>
    <w:rsid w:val="30CAC450"/>
    <w:rsid w:val="30CBB8D9"/>
    <w:rsid w:val="30CBE669"/>
    <w:rsid w:val="30CC5DD5"/>
    <w:rsid w:val="30CC6BAE"/>
    <w:rsid w:val="30CDD604"/>
    <w:rsid w:val="30CE16F6"/>
    <w:rsid w:val="30CE71E9"/>
    <w:rsid w:val="30CE92CE"/>
    <w:rsid w:val="30CEA08F"/>
    <w:rsid w:val="30CF6B21"/>
    <w:rsid w:val="30D2CC19"/>
    <w:rsid w:val="30D323F1"/>
    <w:rsid w:val="30D37690"/>
    <w:rsid w:val="30D3B266"/>
    <w:rsid w:val="30D3FDAB"/>
    <w:rsid w:val="30D4A69E"/>
    <w:rsid w:val="30D4BB6B"/>
    <w:rsid w:val="30D4CBB5"/>
    <w:rsid w:val="30D64A1B"/>
    <w:rsid w:val="30D64B7F"/>
    <w:rsid w:val="30D6961B"/>
    <w:rsid w:val="30D72ED1"/>
    <w:rsid w:val="30D7399F"/>
    <w:rsid w:val="30D79EAE"/>
    <w:rsid w:val="30D86A31"/>
    <w:rsid w:val="30D8A6B7"/>
    <w:rsid w:val="30D8C6B9"/>
    <w:rsid w:val="30D8D1EF"/>
    <w:rsid w:val="30D9128A"/>
    <w:rsid w:val="30D916D6"/>
    <w:rsid w:val="30D94F18"/>
    <w:rsid w:val="30D962D3"/>
    <w:rsid w:val="30D98802"/>
    <w:rsid w:val="30D9AC1F"/>
    <w:rsid w:val="30D9CD65"/>
    <w:rsid w:val="30DA5993"/>
    <w:rsid w:val="30DA8F90"/>
    <w:rsid w:val="30DADDDA"/>
    <w:rsid w:val="30DB36C1"/>
    <w:rsid w:val="30DB95C5"/>
    <w:rsid w:val="30DBA0A1"/>
    <w:rsid w:val="30DC4EF0"/>
    <w:rsid w:val="30DCC172"/>
    <w:rsid w:val="30DD38D0"/>
    <w:rsid w:val="30DDB437"/>
    <w:rsid w:val="30DDB9B0"/>
    <w:rsid w:val="30DE368B"/>
    <w:rsid w:val="30DE9EB1"/>
    <w:rsid w:val="30DEEA2C"/>
    <w:rsid w:val="30DF9046"/>
    <w:rsid w:val="30E03D75"/>
    <w:rsid w:val="30E0430A"/>
    <w:rsid w:val="30E18E4E"/>
    <w:rsid w:val="30E248C9"/>
    <w:rsid w:val="30E34FC0"/>
    <w:rsid w:val="30E355FA"/>
    <w:rsid w:val="30E39328"/>
    <w:rsid w:val="30E3BB25"/>
    <w:rsid w:val="30E3DA9D"/>
    <w:rsid w:val="30E4093D"/>
    <w:rsid w:val="30E40B6F"/>
    <w:rsid w:val="30E4E8B0"/>
    <w:rsid w:val="30E51266"/>
    <w:rsid w:val="30E53163"/>
    <w:rsid w:val="30E6A184"/>
    <w:rsid w:val="30E6DE51"/>
    <w:rsid w:val="30E80D3B"/>
    <w:rsid w:val="30E848DA"/>
    <w:rsid w:val="30E8DE92"/>
    <w:rsid w:val="30E93A51"/>
    <w:rsid w:val="30E9B09C"/>
    <w:rsid w:val="30EBF5EE"/>
    <w:rsid w:val="30EC7C64"/>
    <w:rsid w:val="30ED158F"/>
    <w:rsid w:val="30ED486D"/>
    <w:rsid w:val="30EDCF29"/>
    <w:rsid w:val="30EDE9F9"/>
    <w:rsid w:val="30EE1836"/>
    <w:rsid w:val="30EE3FB2"/>
    <w:rsid w:val="30EE47DF"/>
    <w:rsid w:val="30EF9672"/>
    <w:rsid w:val="30EFF54B"/>
    <w:rsid w:val="30F01940"/>
    <w:rsid w:val="30F02B96"/>
    <w:rsid w:val="30F13CB3"/>
    <w:rsid w:val="30F190D0"/>
    <w:rsid w:val="30F19608"/>
    <w:rsid w:val="30F20078"/>
    <w:rsid w:val="30F26EFE"/>
    <w:rsid w:val="30F2D12F"/>
    <w:rsid w:val="30F2DB3D"/>
    <w:rsid w:val="30F2E675"/>
    <w:rsid w:val="30F306FA"/>
    <w:rsid w:val="30F3CBFE"/>
    <w:rsid w:val="30F4E6FD"/>
    <w:rsid w:val="30F53836"/>
    <w:rsid w:val="30F614A7"/>
    <w:rsid w:val="30F76AD7"/>
    <w:rsid w:val="30F7AEBE"/>
    <w:rsid w:val="30F7DB08"/>
    <w:rsid w:val="30F85AA3"/>
    <w:rsid w:val="30F98DFE"/>
    <w:rsid w:val="30FA9AFD"/>
    <w:rsid w:val="30FB30E0"/>
    <w:rsid w:val="30FB3D26"/>
    <w:rsid w:val="30FB6CBF"/>
    <w:rsid w:val="30FBE719"/>
    <w:rsid w:val="30FD4A8F"/>
    <w:rsid w:val="30FDC29C"/>
    <w:rsid w:val="30FDF493"/>
    <w:rsid w:val="30FEF524"/>
    <w:rsid w:val="30FF1951"/>
    <w:rsid w:val="30FF4C73"/>
    <w:rsid w:val="30FF6086"/>
    <w:rsid w:val="3100289F"/>
    <w:rsid w:val="310150E4"/>
    <w:rsid w:val="3101E384"/>
    <w:rsid w:val="3102161E"/>
    <w:rsid w:val="31027098"/>
    <w:rsid w:val="3102C6CA"/>
    <w:rsid w:val="31037716"/>
    <w:rsid w:val="31065EAD"/>
    <w:rsid w:val="31069B7F"/>
    <w:rsid w:val="3106AD3C"/>
    <w:rsid w:val="31072F2F"/>
    <w:rsid w:val="31082069"/>
    <w:rsid w:val="3108338D"/>
    <w:rsid w:val="31087146"/>
    <w:rsid w:val="3108D25E"/>
    <w:rsid w:val="3108E631"/>
    <w:rsid w:val="31099FB2"/>
    <w:rsid w:val="310A559D"/>
    <w:rsid w:val="310AC2E1"/>
    <w:rsid w:val="310AEC52"/>
    <w:rsid w:val="310BAC6D"/>
    <w:rsid w:val="310BAD52"/>
    <w:rsid w:val="310BDC3C"/>
    <w:rsid w:val="310BECCF"/>
    <w:rsid w:val="310C6F70"/>
    <w:rsid w:val="310CA7E8"/>
    <w:rsid w:val="310CF4E6"/>
    <w:rsid w:val="310E7E8F"/>
    <w:rsid w:val="311034A3"/>
    <w:rsid w:val="31104F5A"/>
    <w:rsid w:val="311060A0"/>
    <w:rsid w:val="3110B97E"/>
    <w:rsid w:val="3110C6B2"/>
    <w:rsid w:val="3110D54B"/>
    <w:rsid w:val="3110FE93"/>
    <w:rsid w:val="31120174"/>
    <w:rsid w:val="3113309F"/>
    <w:rsid w:val="31135BD5"/>
    <w:rsid w:val="31138043"/>
    <w:rsid w:val="311387C8"/>
    <w:rsid w:val="3113B066"/>
    <w:rsid w:val="3113FF57"/>
    <w:rsid w:val="3114A7FD"/>
    <w:rsid w:val="3116B1C7"/>
    <w:rsid w:val="3116EE65"/>
    <w:rsid w:val="31173A10"/>
    <w:rsid w:val="31175A7A"/>
    <w:rsid w:val="31175DE7"/>
    <w:rsid w:val="311801C4"/>
    <w:rsid w:val="31185C85"/>
    <w:rsid w:val="3118AEF0"/>
    <w:rsid w:val="31192BBF"/>
    <w:rsid w:val="3119C096"/>
    <w:rsid w:val="311A037B"/>
    <w:rsid w:val="311A03AB"/>
    <w:rsid w:val="311A6EF6"/>
    <w:rsid w:val="311B6D75"/>
    <w:rsid w:val="311C05AD"/>
    <w:rsid w:val="311CB50C"/>
    <w:rsid w:val="311CB5BD"/>
    <w:rsid w:val="311D8F79"/>
    <w:rsid w:val="311E28B5"/>
    <w:rsid w:val="311E83C8"/>
    <w:rsid w:val="311EF89F"/>
    <w:rsid w:val="311F3B29"/>
    <w:rsid w:val="31202285"/>
    <w:rsid w:val="312090B9"/>
    <w:rsid w:val="3120B800"/>
    <w:rsid w:val="3120C873"/>
    <w:rsid w:val="31210EB1"/>
    <w:rsid w:val="31216D3C"/>
    <w:rsid w:val="31217B2C"/>
    <w:rsid w:val="3121FBDF"/>
    <w:rsid w:val="3121FE28"/>
    <w:rsid w:val="31222B0A"/>
    <w:rsid w:val="31234FF7"/>
    <w:rsid w:val="312354AE"/>
    <w:rsid w:val="31238D1A"/>
    <w:rsid w:val="3123E01C"/>
    <w:rsid w:val="312466F8"/>
    <w:rsid w:val="31266239"/>
    <w:rsid w:val="31266DE7"/>
    <w:rsid w:val="31267AFC"/>
    <w:rsid w:val="3126BA22"/>
    <w:rsid w:val="3126C9E2"/>
    <w:rsid w:val="3126DFE0"/>
    <w:rsid w:val="3127252C"/>
    <w:rsid w:val="31289459"/>
    <w:rsid w:val="3128CC9B"/>
    <w:rsid w:val="3128D579"/>
    <w:rsid w:val="3128DC23"/>
    <w:rsid w:val="3129136C"/>
    <w:rsid w:val="31291D3B"/>
    <w:rsid w:val="3129F0C1"/>
    <w:rsid w:val="312A0C0D"/>
    <w:rsid w:val="312A6E68"/>
    <w:rsid w:val="312AEC43"/>
    <w:rsid w:val="312B4246"/>
    <w:rsid w:val="312BAC21"/>
    <w:rsid w:val="312BF613"/>
    <w:rsid w:val="312C79DC"/>
    <w:rsid w:val="312C9000"/>
    <w:rsid w:val="312D8BDF"/>
    <w:rsid w:val="312DDC92"/>
    <w:rsid w:val="312E2C56"/>
    <w:rsid w:val="31302DBA"/>
    <w:rsid w:val="31305AAC"/>
    <w:rsid w:val="31308028"/>
    <w:rsid w:val="3130F7FE"/>
    <w:rsid w:val="31316264"/>
    <w:rsid w:val="3131AD38"/>
    <w:rsid w:val="3131E55C"/>
    <w:rsid w:val="3131F856"/>
    <w:rsid w:val="3131FB77"/>
    <w:rsid w:val="31324D5D"/>
    <w:rsid w:val="313258F7"/>
    <w:rsid w:val="3132F536"/>
    <w:rsid w:val="31333B7C"/>
    <w:rsid w:val="31338D3C"/>
    <w:rsid w:val="3134DCA9"/>
    <w:rsid w:val="31355FAC"/>
    <w:rsid w:val="3135C393"/>
    <w:rsid w:val="31371847"/>
    <w:rsid w:val="31378B4C"/>
    <w:rsid w:val="3137BBF9"/>
    <w:rsid w:val="3138E6E0"/>
    <w:rsid w:val="3139200C"/>
    <w:rsid w:val="3139534F"/>
    <w:rsid w:val="313964F3"/>
    <w:rsid w:val="313980BF"/>
    <w:rsid w:val="3139ADA9"/>
    <w:rsid w:val="313A4997"/>
    <w:rsid w:val="313A6C41"/>
    <w:rsid w:val="313AB1F6"/>
    <w:rsid w:val="313AB230"/>
    <w:rsid w:val="313B2B17"/>
    <w:rsid w:val="313B2C92"/>
    <w:rsid w:val="313BF7C9"/>
    <w:rsid w:val="313C3B62"/>
    <w:rsid w:val="313D2AEC"/>
    <w:rsid w:val="313D93ED"/>
    <w:rsid w:val="313F190C"/>
    <w:rsid w:val="313FBF0B"/>
    <w:rsid w:val="313FCA84"/>
    <w:rsid w:val="31418414"/>
    <w:rsid w:val="314195DA"/>
    <w:rsid w:val="3141B203"/>
    <w:rsid w:val="3142E702"/>
    <w:rsid w:val="31433C8D"/>
    <w:rsid w:val="314392A2"/>
    <w:rsid w:val="31446DD0"/>
    <w:rsid w:val="31451679"/>
    <w:rsid w:val="31464684"/>
    <w:rsid w:val="314654F9"/>
    <w:rsid w:val="3146C120"/>
    <w:rsid w:val="31470665"/>
    <w:rsid w:val="31480F06"/>
    <w:rsid w:val="3149779A"/>
    <w:rsid w:val="3149949E"/>
    <w:rsid w:val="314A63FA"/>
    <w:rsid w:val="314A9D8A"/>
    <w:rsid w:val="314A9F7F"/>
    <w:rsid w:val="314B9DE0"/>
    <w:rsid w:val="314BFC6E"/>
    <w:rsid w:val="314C9A22"/>
    <w:rsid w:val="314CB567"/>
    <w:rsid w:val="314CD7F1"/>
    <w:rsid w:val="314E22B9"/>
    <w:rsid w:val="314ECAE9"/>
    <w:rsid w:val="314F8D4F"/>
    <w:rsid w:val="31508296"/>
    <w:rsid w:val="3150D646"/>
    <w:rsid w:val="3150DF8D"/>
    <w:rsid w:val="315124D9"/>
    <w:rsid w:val="31519B7C"/>
    <w:rsid w:val="3151F70C"/>
    <w:rsid w:val="31520796"/>
    <w:rsid w:val="3152ABA6"/>
    <w:rsid w:val="31546028"/>
    <w:rsid w:val="3154B303"/>
    <w:rsid w:val="3155606C"/>
    <w:rsid w:val="3155DC97"/>
    <w:rsid w:val="3155FEF7"/>
    <w:rsid w:val="315698B8"/>
    <w:rsid w:val="3156A52B"/>
    <w:rsid w:val="3156F26F"/>
    <w:rsid w:val="31571D1B"/>
    <w:rsid w:val="31578911"/>
    <w:rsid w:val="3157960A"/>
    <w:rsid w:val="3157FBC0"/>
    <w:rsid w:val="31582048"/>
    <w:rsid w:val="3158DDF6"/>
    <w:rsid w:val="3158FA17"/>
    <w:rsid w:val="3159DD42"/>
    <w:rsid w:val="3159F68D"/>
    <w:rsid w:val="315A2DAC"/>
    <w:rsid w:val="315A59B3"/>
    <w:rsid w:val="315AD261"/>
    <w:rsid w:val="315AE374"/>
    <w:rsid w:val="315B394A"/>
    <w:rsid w:val="315BDC89"/>
    <w:rsid w:val="315C7E3A"/>
    <w:rsid w:val="315D0294"/>
    <w:rsid w:val="315D17A6"/>
    <w:rsid w:val="315D1910"/>
    <w:rsid w:val="315D4EC6"/>
    <w:rsid w:val="315D729B"/>
    <w:rsid w:val="315E8979"/>
    <w:rsid w:val="315EB983"/>
    <w:rsid w:val="315EE316"/>
    <w:rsid w:val="315F3CE5"/>
    <w:rsid w:val="315F7888"/>
    <w:rsid w:val="3160B680"/>
    <w:rsid w:val="316214B4"/>
    <w:rsid w:val="3162469B"/>
    <w:rsid w:val="3162910E"/>
    <w:rsid w:val="3162C77B"/>
    <w:rsid w:val="3162E7A4"/>
    <w:rsid w:val="3163B9EA"/>
    <w:rsid w:val="3163EE1A"/>
    <w:rsid w:val="31641057"/>
    <w:rsid w:val="316428E4"/>
    <w:rsid w:val="3164FAC5"/>
    <w:rsid w:val="31654306"/>
    <w:rsid w:val="3165AB80"/>
    <w:rsid w:val="3166F61C"/>
    <w:rsid w:val="31673B7B"/>
    <w:rsid w:val="3167E5CF"/>
    <w:rsid w:val="3167E879"/>
    <w:rsid w:val="3168C5F6"/>
    <w:rsid w:val="316966F3"/>
    <w:rsid w:val="316A1829"/>
    <w:rsid w:val="316A4B1B"/>
    <w:rsid w:val="316AAC61"/>
    <w:rsid w:val="316B5237"/>
    <w:rsid w:val="316B6C0C"/>
    <w:rsid w:val="316B8406"/>
    <w:rsid w:val="316BD21E"/>
    <w:rsid w:val="316C86C3"/>
    <w:rsid w:val="316C89DB"/>
    <w:rsid w:val="316C8A8C"/>
    <w:rsid w:val="316CBB9B"/>
    <w:rsid w:val="316CCE0A"/>
    <w:rsid w:val="316F93E0"/>
    <w:rsid w:val="316FBEC5"/>
    <w:rsid w:val="316FFC23"/>
    <w:rsid w:val="31703477"/>
    <w:rsid w:val="31703796"/>
    <w:rsid w:val="31713FCC"/>
    <w:rsid w:val="31719C14"/>
    <w:rsid w:val="3171D4AA"/>
    <w:rsid w:val="317205BF"/>
    <w:rsid w:val="31723F99"/>
    <w:rsid w:val="3172568E"/>
    <w:rsid w:val="3172F1C8"/>
    <w:rsid w:val="31738EA3"/>
    <w:rsid w:val="3173D2F8"/>
    <w:rsid w:val="31747A9F"/>
    <w:rsid w:val="3175A751"/>
    <w:rsid w:val="3175C7D1"/>
    <w:rsid w:val="31768032"/>
    <w:rsid w:val="31770CFA"/>
    <w:rsid w:val="31774BF2"/>
    <w:rsid w:val="3178B370"/>
    <w:rsid w:val="31797F4E"/>
    <w:rsid w:val="3179EE97"/>
    <w:rsid w:val="317A2FB6"/>
    <w:rsid w:val="317AE182"/>
    <w:rsid w:val="317BE254"/>
    <w:rsid w:val="317CB2A3"/>
    <w:rsid w:val="317CD5D5"/>
    <w:rsid w:val="317D4DBC"/>
    <w:rsid w:val="317D7569"/>
    <w:rsid w:val="317E7696"/>
    <w:rsid w:val="317E76F6"/>
    <w:rsid w:val="317E7CBE"/>
    <w:rsid w:val="317EBC2B"/>
    <w:rsid w:val="317F2B14"/>
    <w:rsid w:val="317F3939"/>
    <w:rsid w:val="317F8B27"/>
    <w:rsid w:val="317F981C"/>
    <w:rsid w:val="31821C7C"/>
    <w:rsid w:val="31826CE6"/>
    <w:rsid w:val="3182AFB6"/>
    <w:rsid w:val="3184231D"/>
    <w:rsid w:val="31845A06"/>
    <w:rsid w:val="3184A648"/>
    <w:rsid w:val="31851BB6"/>
    <w:rsid w:val="31859050"/>
    <w:rsid w:val="3185E1BD"/>
    <w:rsid w:val="3186397D"/>
    <w:rsid w:val="31888D76"/>
    <w:rsid w:val="3188ACB2"/>
    <w:rsid w:val="3189B2F5"/>
    <w:rsid w:val="3189CCEF"/>
    <w:rsid w:val="3189E170"/>
    <w:rsid w:val="318A1D10"/>
    <w:rsid w:val="318AD864"/>
    <w:rsid w:val="318AFD5E"/>
    <w:rsid w:val="318B24B8"/>
    <w:rsid w:val="318B3342"/>
    <w:rsid w:val="318C1FA6"/>
    <w:rsid w:val="318C81CC"/>
    <w:rsid w:val="318C951D"/>
    <w:rsid w:val="318C99AD"/>
    <w:rsid w:val="318D6DB1"/>
    <w:rsid w:val="318E325F"/>
    <w:rsid w:val="318E5311"/>
    <w:rsid w:val="318ED89F"/>
    <w:rsid w:val="31903C5D"/>
    <w:rsid w:val="31906177"/>
    <w:rsid w:val="319085EF"/>
    <w:rsid w:val="3190C2DA"/>
    <w:rsid w:val="319108D2"/>
    <w:rsid w:val="31916F78"/>
    <w:rsid w:val="31916FBD"/>
    <w:rsid w:val="3192367B"/>
    <w:rsid w:val="31928687"/>
    <w:rsid w:val="31929991"/>
    <w:rsid w:val="3192FB35"/>
    <w:rsid w:val="3195B0D3"/>
    <w:rsid w:val="3195BE92"/>
    <w:rsid w:val="31963064"/>
    <w:rsid w:val="31964B72"/>
    <w:rsid w:val="31967324"/>
    <w:rsid w:val="31982E5C"/>
    <w:rsid w:val="31985B6B"/>
    <w:rsid w:val="31986C4A"/>
    <w:rsid w:val="31988112"/>
    <w:rsid w:val="319987E3"/>
    <w:rsid w:val="319A4D14"/>
    <w:rsid w:val="319A6E55"/>
    <w:rsid w:val="319ACE05"/>
    <w:rsid w:val="319B2A93"/>
    <w:rsid w:val="319B30D3"/>
    <w:rsid w:val="319B5259"/>
    <w:rsid w:val="319B8D4C"/>
    <w:rsid w:val="319CA880"/>
    <w:rsid w:val="319D21FC"/>
    <w:rsid w:val="319D32AA"/>
    <w:rsid w:val="319E2EAF"/>
    <w:rsid w:val="319E4CFC"/>
    <w:rsid w:val="319F657D"/>
    <w:rsid w:val="319F9127"/>
    <w:rsid w:val="31A08B77"/>
    <w:rsid w:val="31A097DF"/>
    <w:rsid w:val="31A0F72A"/>
    <w:rsid w:val="31A19061"/>
    <w:rsid w:val="31A19782"/>
    <w:rsid w:val="31A279B5"/>
    <w:rsid w:val="31A2A8B1"/>
    <w:rsid w:val="31A2E7EC"/>
    <w:rsid w:val="31A36AC6"/>
    <w:rsid w:val="31A3E04B"/>
    <w:rsid w:val="31A4BAB9"/>
    <w:rsid w:val="31A4EDA6"/>
    <w:rsid w:val="31A60198"/>
    <w:rsid w:val="31A62272"/>
    <w:rsid w:val="31A69651"/>
    <w:rsid w:val="31A88210"/>
    <w:rsid w:val="31AA5368"/>
    <w:rsid w:val="31AACD31"/>
    <w:rsid w:val="31AB230B"/>
    <w:rsid w:val="31ABC4D7"/>
    <w:rsid w:val="31ABD298"/>
    <w:rsid w:val="31ACFAF4"/>
    <w:rsid w:val="31AD0249"/>
    <w:rsid w:val="31AD20B2"/>
    <w:rsid w:val="31ADB4D8"/>
    <w:rsid w:val="31AE5249"/>
    <w:rsid w:val="31AE6595"/>
    <w:rsid w:val="31AEA536"/>
    <w:rsid w:val="31AF17D8"/>
    <w:rsid w:val="31AF4214"/>
    <w:rsid w:val="31AF5F12"/>
    <w:rsid w:val="31B0319F"/>
    <w:rsid w:val="31B09687"/>
    <w:rsid w:val="31B0E678"/>
    <w:rsid w:val="31B15D50"/>
    <w:rsid w:val="31B228E0"/>
    <w:rsid w:val="31B2BAC5"/>
    <w:rsid w:val="31B2DD0F"/>
    <w:rsid w:val="31B33D7F"/>
    <w:rsid w:val="31B433F3"/>
    <w:rsid w:val="31B481E7"/>
    <w:rsid w:val="31B4F5BE"/>
    <w:rsid w:val="31B512C9"/>
    <w:rsid w:val="31B51E02"/>
    <w:rsid w:val="31B5CA5F"/>
    <w:rsid w:val="31B738CA"/>
    <w:rsid w:val="31B79243"/>
    <w:rsid w:val="31B7C893"/>
    <w:rsid w:val="31B7E9DD"/>
    <w:rsid w:val="31B834C3"/>
    <w:rsid w:val="31B8A1A5"/>
    <w:rsid w:val="31BA908B"/>
    <w:rsid w:val="31BA9B23"/>
    <w:rsid w:val="31BB6A95"/>
    <w:rsid w:val="31BBB81E"/>
    <w:rsid w:val="31BC09CB"/>
    <w:rsid w:val="31BC2282"/>
    <w:rsid w:val="31BCED44"/>
    <w:rsid w:val="31BD100B"/>
    <w:rsid w:val="31BD4BB5"/>
    <w:rsid w:val="31BE3775"/>
    <w:rsid w:val="31BE42F0"/>
    <w:rsid w:val="31BE8924"/>
    <w:rsid w:val="31BF7ED3"/>
    <w:rsid w:val="31C030C5"/>
    <w:rsid w:val="31C06883"/>
    <w:rsid w:val="31C12EF1"/>
    <w:rsid w:val="31C16785"/>
    <w:rsid w:val="31C1C739"/>
    <w:rsid w:val="31C2073C"/>
    <w:rsid w:val="31C28233"/>
    <w:rsid w:val="31C2A297"/>
    <w:rsid w:val="31C2C54E"/>
    <w:rsid w:val="31C32AA0"/>
    <w:rsid w:val="31C37999"/>
    <w:rsid w:val="31C39C0E"/>
    <w:rsid w:val="31C469AD"/>
    <w:rsid w:val="31C46F7E"/>
    <w:rsid w:val="31C4E888"/>
    <w:rsid w:val="31C4EB6C"/>
    <w:rsid w:val="31C57C84"/>
    <w:rsid w:val="31C5950A"/>
    <w:rsid w:val="31C6BF2B"/>
    <w:rsid w:val="31C751E0"/>
    <w:rsid w:val="31C78EDF"/>
    <w:rsid w:val="31C7DBF8"/>
    <w:rsid w:val="31C7E4D4"/>
    <w:rsid w:val="31C807B7"/>
    <w:rsid w:val="31C8AE07"/>
    <w:rsid w:val="31CA2E8D"/>
    <w:rsid w:val="31CA473C"/>
    <w:rsid w:val="31CAA104"/>
    <w:rsid w:val="31CC8790"/>
    <w:rsid w:val="31CCAD9E"/>
    <w:rsid w:val="31CD63DC"/>
    <w:rsid w:val="31CDFA31"/>
    <w:rsid w:val="31CE40DB"/>
    <w:rsid w:val="31CE8EE8"/>
    <w:rsid w:val="31CE9F9B"/>
    <w:rsid w:val="31CEE633"/>
    <w:rsid w:val="31CF2BF8"/>
    <w:rsid w:val="31CF8D52"/>
    <w:rsid w:val="31D0001B"/>
    <w:rsid w:val="31D0180D"/>
    <w:rsid w:val="31D18B03"/>
    <w:rsid w:val="31D198AB"/>
    <w:rsid w:val="31D1A79B"/>
    <w:rsid w:val="31D2CB33"/>
    <w:rsid w:val="31D49A1C"/>
    <w:rsid w:val="31D4D394"/>
    <w:rsid w:val="31D4EC34"/>
    <w:rsid w:val="31D513D4"/>
    <w:rsid w:val="31D54EEC"/>
    <w:rsid w:val="31D5762E"/>
    <w:rsid w:val="31D61396"/>
    <w:rsid w:val="31D6770B"/>
    <w:rsid w:val="31D6A6C1"/>
    <w:rsid w:val="31D83A05"/>
    <w:rsid w:val="31D84B6D"/>
    <w:rsid w:val="31D907F6"/>
    <w:rsid w:val="31D95655"/>
    <w:rsid w:val="31D97189"/>
    <w:rsid w:val="31DA73C3"/>
    <w:rsid w:val="31DAE4A3"/>
    <w:rsid w:val="31DB3906"/>
    <w:rsid w:val="31DD6A43"/>
    <w:rsid w:val="31DDB892"/>
    <w:rsid w:val="31DEB182"/>
    <w:rsid w:val="31DF1577"/>
    <w:rsid w:val="31DF8052"/>
    <w:rsid w:val="31DFEE3A"/>
    <w:rsid w:val="31E0FC9B"/>
    <w:rsid w:val="31E21D7D"/>
    <w:rsid w:val="31E2C048"/>
    <w:rsid w:val="31E2D059"/>
    <w:rsid w:val="31E3B146"/>
    <w:rsid w:val="31E59192"/>
    <w:rsid w:val="31E66D97"/>
    <w:rsid w:val="31E6A0EC"/>
    <w:rsid w:val="31E72743"/>
    <w:rsid w:val="31E7302E"/>
    <w:rsid w:val="31E7424B"/>
    <w:rsid w:val="31E75B66"/>
    <w:rsid w:val="31E7F9E2"/>
    <w:rsid w:val="31E8B53C"/>
    <w:rsid w:val="31E98FC7"/>
    <w:rsid w:val="31EA9AE6"/>
    <w:rsid w:val="31EB865A"/>
    <w:rsid w:val="31EBD732"/>
    <w:rsid w:val="31ECAF57"/>
    <w:rsid w:val="31ED9342"/>
    <w:rsid w:val="31EE83D8"/>
    <w:rsid w:val="31EF406C"/>
    <w:rsid w:val="31EF58D4"/>
    <w:rsid w:val="31EFC811"/>
    <w:rsid w:val="31F0C245"/>
    <w:rsid w:val="31F0FA62"/>
    <w:rsid w:val="31F10881"/>
    <w:rsid w:val="31F1250F"/>
    <w:rsid w:val="31F19E4F"/>
    <w:rsid w:val="31F1BC54"/>
    <w:rsid w:val="31F1C36D"/>
    <w:rsid w:val="31F20050"/>
    <w:rsid w:val="31F2BE5A"/>
    <w:rsid w:val="31F34762"/>
    <w:rsid w:val="31F3E1FF"/>
    <w:rsid w:val="31F41990"/>
    <w:rsid w:val="31F421FA"/>
    <w:rsid w:val="31F4F9AE"/>
    <w:rsid w:val="31F509BC"/>
    <w:rsid w:val="31F54E22"/>
    <w:rsid w:val="31F58B61"/>
    <w:rsid w:val="31F60C92"/>
    <w:rsid w:val="31F627BF"/>
    <w:rsid w:val="31F69DC8"/>
    <w:rsid w:val="31F6EDC0"/>
    <w:rsid w:val="31F7D0DF"/>
    <w:rsid w:val="31F814DB"/>
    <w:rsid w:val="31F8384D"/>
    <w:rsid w:val="31F8A6AC"/>
    <w:rsid w:val="31F8DF92"/>
    <w:rsid w:val="31F8F217"/>
    <w:rsid w:val="31F96A43"/>
    <w:rsid w:val="31F9AE28"/>
    <w:rsid w:val="31F9EB62"/>
    <w:rsid w:val="31FA4924"/>
    <w:rsid w:val="31FA61C8"/>
    <w:rsid w:val="31FB84ED"/>
    <w:rsid w:val="31FBE2AC"/>
    <w:rsid w:val="31FBF1BB"/>
    <w:rsid w:val="31FF5B13"/>
    <w:rsid w:val="31FF6C4A"/>
    <w:rsid w:val="31FFA993"/>
    <w:rsid w:val="31FFAD05"/>
    <w:rsid w:val="31FFF765"/>
    <w:rsid w:val="3200934C"/>
    <w:rsid w:val="3200FAC8"/>
    <w:rsid w:val="320143D5"/>
    <w:rsid w:val="3201AD48"/>
    <w:rsid w:val="3202CE38"/>
    <w:rsid w:val="3203E127"/>
    <w:rsid w:val="3203FB59"/>
    <w:rsid w:val="32045EEA"/>
    <w:rsid w:val="3204CBDF"/>
    <w:rsid w:val="3204DCF2"/>
    <w:rsid w:val="32064A52"/>
    <w:rsid w:val="3206A1BF"/>
    <w:rsid w:val="3206EB2E"/>
    <w:rsid w:val="3207AEE3"/>
    <w:rsid w:val="32082707"/>
    <w:rsid w:val="320856D3"/>
    <w:rsid w:val="32091026"/>
    <w:rsid w:val="3209D839"/>
    <w:rsid w:val="320A52CC"/>
    <w:rsid w:val="320A7DC9"/>
    <w:rsid w:val="320A8D12"/>
    <w:rsid w:val="320AA51B"/>
    <w:rsid w:val="320AADC2"/>
    <w:rsid w:val="320B211F"/>
    <w:rsid w:val="320B71CD"/>
    <w:rsid w:val="320BE3EB"/>
    <w:rsid w:val="320C95DF"/>
    <w:rsid w:val="320D78E9"/>
    <w:rsid w:val="320E363D"/>
    <w:rsid w:val="320E3C27"/>
    <w:rsid w:val="320EB643"/>
    <w:rsid w:val="320EF07C"/>
    <w:rsid w:val="320FB9AB"/>
    <w:rsid w:val="321028F9"/>
    <w:rsid w:val="3210C3A0"/>
    <w:rsid w:val="32113EB3"/>
    <w:rsid w:val="321169A2"/>
    <w:rsid w:val="321178D0"/>
    <w:rsid w:val="32121321"/>
    <w:rsid w:val="32127282"/>
    <w:rsid w:val="32140DD2"/>
    <w:rsid w:val="32147E18"/>
    <w:rsid w:val="32155326"/>
    <w:rsid w:val="321647CB"/>
    <w:rsid w:val="32164F82"/>
    <w:rsid w:val="321671DD"/>
    <w:rsid w:val="3216780F"/>
    <w:rsid w:val="321687E6"/>
    <w:rsid w:val="3216CB7C"/>
    <w:rsid w:val="3216F4B9"/>
    <w:rsid w:val="321714FB"/>
    <w:rsid w:val="321717DF"/>
    <w:rsid w:val="3217620D"/>
    <w:rsid w:val="321793D8"/>
    <w:rsid w:val="3217FEF2"/>
    <w:rsid w:val="32182EEE"/>
    <w:rsid w:val="3218942C"/>
    <w:rsid w:val="3218BF85"/>
    <w:rsid w:val="3219C981"/>
    <w:rsid w:val="3219EA5C"/>
    <w:rsid w:val="321A39B8"/>
    <w:rsid w:val="321A4597"/>
    <w:rsid w:val="321A530D"/>
    <w:rsid w:val="321A7D7E"/>
    <w:rsid w:val="321AFA28"/>
    <w:rsid w:val="321B1609"/>
    <w:rsid w:val="321C3DEA"/>
    <w:rsid w:val="321CD7AE"/>
    <w:rsid w:val="321D28CE"/>
    <w:rsid w:val="321DBF53"/>
    <w:rsid w:val="321DC4C9"/>
    <w:rsid w:val="321EDA59"/>
    <w:rsid w:val="32209CCF"/>
    <w:rsid w:val="3220D950"/>
    <w:rsid w:val="3221116B"/>
    <w:rsid w:val="322116D0"/>
    <w:rsid w:val="322118D2"/>
    <w:rsid w:val="322178D4"/>
    <w:rsid w:val="32219EA0"/>
    <w:rsid w:val="3221E77A"/>
    <w:rsid w:val="322245FA"/>
    <w:rsid w:val="3222DB95"/>
    <w:rsid w:val="3223437C"/>
    <w:rsid w:val="322347FF"/>
    <w:rsid w:val="32240939"/>
    <w:rsid w:val="3224520D"/>
    <w:rsid w:val="322514D9"/>
    <w:rsid w:val="32253BE9"/>
    <w:rsid w:val="32256300"/>
    <w:rsid w:val="322611A4"/>
    <w:rsid w:val="32273ED5"/>
    <w:rsid w:val="32276F60"/>
    <w:rsid w:val="32279E46"/>
    <w:rsid w:val="3227DD20"/>
    <w:rsid w:val="3227F081"/>
    <w:rsid w:val="3228A332"/>
    <w:rsid w:val="32290574"/>
    <w:rsid w:val="322956E3"/>
    <w:rsid w:val="32296009"/>
    <w:rsid w:val="32297CAC"/>
    <w:rsid w:val="32299F5E"/>
    <w:rsid w:val="3229AB4B"/>
    <w:rsid w:val="322B62CF"/>
    <w:rsid w:val="322B9A7C"/>
    <w:rsid w:val="322BF5A7"/>
    <w:rsid w:val="322C4DB3"/>
    <w:rsid w:val="322D14B1"/>
    <w:rsid w:val="322D531F"/>
    <w:rsid w:val="322DB306"/>
    <w:rsid w:val="322DD946"/>
    <w:rsid w:val="322EFA4F"/>
    <w:rsid w:val="322FC5C2"/>
    <w:rsid w:val="32308C53"/>
    <w:rsid w:val="3230A08F"/>
    <w:rsid w:val="3230AB2A"/>
    <w:rsid w:val="32310F00"/>
    <w:rsid w:val="32312642"/>
    <w:rsid w:val="32320C33"/>
    <w:rsid w:val="3232A0AC"/>
    <w:rsid w:val="3232BA0E"/>
    <w:rsid w:val="323333DA"/>
    <w:rsid w:val="323340EF"/>
    <w:rsid w:val="323370EC"/>
    <w:rsid w:val="3233954E"/>
    <w:rsid w:val="3233A55B"/>
    <w:rsid w:val="32344388"/>
    <w:rsid w:val="3234472B"/>
    <w:rsid w:val="323448F1"/>
    <w:rsid w:val="32348E93"/>
    <w:rsid w:val="32351761"/>
    <w:rsid w:val="32359A83"/>
    <w:rsid w:val="3235E912"/>
    <w:rsid w:val="32361461"/>
    <w:rsid w:val="3236584F"/>
    <w:rsid w:val="3236E128"/>
    <w:rsid w:val="323845EA"/>
    <w:rsid w:val="3238A85E"/>
    <w:rsid w:val="32391B47"/>
    <w:rsid w:val="32394125"/>
    <w:rsid w:val="323961DA"/>
    <w:rsid w:val="323A914D"/>
    <w:rsid w:val="323B99ED"/>
    <w:rsid w:val="323C4EDE"/>
    <w:rsid w:val="323CBA12"/>
    <w:rsid w:val="323D0D20"/>
    <w:rsid w:val="323DC122"/>
    <w:rsid w:val="323E65AD"/>
    <w:rsid w:val="323F2B21"/>
    <w:rsid w:val="323F92CC"/>
    <w:rsid w:val="324028FF"/>
    <w:rsid w:val="32407CA5"/>
    <w:rsid w:val="32410AC2"/>
    <w:rsid w:val="32410BB2"/>
    <w:rsid w:val="3241A29D"/>
    <w:rsid w:val="3241A32B"/>
    <w:rsid w:val="32428699"/>
    <w:rsid w:val="32428C85"/>
    <w:rsid w:val="3242A303"/>
    <w:rsid w:val="32439EC4"/>
    <w:rsid w:val="32440613"/>
    <w:rsid w:val="324426F7"/>
    <w:rsid w:val="32446237"/>
    <w:rsid w:val="32454572"/>
    <w:rsid w:val="3246B102"/>
    <w:rsid w:val="32496F96"/>
    <w:rsid w:val="3249BE12"/>
    <w:rsid w:val="3249D523"/>
    <w:rsid w:val="324A0434"/>
    <w:rsid w:val="324ADD0F"/>
    <w:rsid w:val="324B1BDC"/>
    <w:rsid w:val="324B8DF6"/>
    <w:rsid w:val="324BDD57"/>
    <w:rsid w:val="324C5FD6"/>
    <w:rsid w:val="324CA134"/>
    <w:rsid w:val="324CC321"/>
    <w:rsid w:val="324E5060"/>
    <w:rsid w:val="324E914E"/>
    <w:rsid w:val="324EE5CA"/>
    <w:rsid w:val="324F46FA"/>
    <w:rsid w:val="324FB9DD"/>
    <w:rsid w:val="325079AC"/>
    <w:rsid w:val="325338BD"/>
    <w:rsid w:val="3253C80E"/>
    <w:rsid w:val="32541A44"/>
    <w:rsid w:val="3254E029"/>
    <w:rsid w:val="32553251"/>
    <w:rsid w:val="32561428"/>
    <w:rsid w:val="3256AE08"/>
    <w:rsid w:val="32572554"/>
    <w:rsid w:val="3257296B"/>
    <w:rsid w:val="3257F5A0"/>
    <w:rsid w:val="3257FEDA"/>
    <w:rsid w:val="32590A33"/>
    <w:rsid w:val="325A87F6"/>
    <w:rsid w:val="325AEEE6"/>
    <w:rsid w:val="325AF84A"/>
    <w:rsid w:val="325B5924"/>
    <w:rsid w:val="325D4852"/>
    <w:rsid w:val="325D7FE5"/>
    <w:rsid w:val="325EBA05"/>
    <w:rsid w:val="325EC361"/>
    <w:rsid w:val="325F3B32"/>
    <w:rsid w:val="325F6DFA"/>
    <w:rsid w:val="325FD26C"/>
    <w:rsid w:val="3260572C"/>
    <w:rsid w:val="32605C13"/>
    <w:rsid w:val="32607751"/>
    <w:rsid w:val="3260C815"/>
    <w:rsid w:val="3260E39B"/>
    <w:rsid w:val="3260EF86"/>
    <w:rsid w:val="3260F99D"/>
    <w:rsid w:val="32611E6F"/>
    <w:rsid w:val="32635460"/>
    <w:rsid w:val="326588D7"/>
    <w:rsid w:val="3265A0CD"/>
    <w:rsid w:val="3265C921"/>
    <w:rsid w:val="3265CB38"/>
    <w:rsid w:val="3265CE5E"/>
    <w:rsid w:val="3265FB4F"/>
    <w:rsid w:val="32661771"/>
    <w:rsid w:val="326644C1"/>
    <w:rsid w:val="3266A5B9"/>
    <w:rsid w:val="32676629"/>
    <w:rsid w:val="3267E50A"/>
    <w:rsid w:val="32682936"/>
    <w:rsid w:val="32688570"/>
    <w:rsid w:val="326888FD"/>
    <w:rsid w:val="3268A4E7"/>
    <w:rsid w:val="326904DE"/>
    <w:rsid w:val="326A1BB9"/>
    <w:rsid w:val="326ACFC0"/>
    <w:rsid w:val="326B3A95"/>
    <w:rsid w:val="326B69D0"/>
    <w:rsid w:val="326BCD84"/>
    <w:rsid w:val="326BE8AB"/>
    <w:rsid w:val="326CC936"/>
    <w:rsid w:val="326E3F0E"/>
    <w:rsid w:val="326E4A30"/>
    <w:rsid w:val="326E5600"/>
    <w:rsid w:val="326E97C3"/>
    <w:rsid w:val="326EE7AC"/>
    <w:rsid w:val="326F30F3"/>
    <w:rsid w:val="326F5E95"/>
    <w:rsid w:val="3270857E"/>
    <w:rsid w:val="3270DC60"/>
    <w:rsid w:val="32715996"/>
    <w:rsid w:val="3271F527"/>
    <w:rsid w:val="3271FE44"/>
    <w:rsid w:val="3272A2DE"/>
    <w:rsid w:val="327339A3"/>
    <w:rsid w:val="32735BF1"/>
    <w:rsid w:val="327397BD"/>
    <w:rsid w:val="3273EB2D"/>
    <w:rsid w:val="3274120E"/>
    <w:rsid w:val="327452C1"/>
    <w:rsid w:val="3274AB1E"/>
    <w:rsid w:val="32751DC4"/>
    <w:rsid w:val="32752B15"/>
    <w:rsid w:val="3275ACAC"/>
    <w:rsid w:val="327650DD"/>
    <w:rsid w:val="32774C3E"/>
    <w:rsid w:val="3277A0BC"/>
    <w:rsid w:val="3277B4E4"/>
    <w:rsid w:val="3277D1E6"/>
    <w:rsid w:val="32785E49"/>
    <w:rsid w:val="3278611B"/>
    <w:rsid w:val="32792EBD"/>
    <w:rsid w:val="327933B3"/>
    <w:rsid w:val="3279D64F"/>
    <w:rsid w:val="3279EA9C"/>
    <w:rsid w:val="327B3275"/>
    <w:rsid w:val="327C60AF"/>
    <w:rsid w:val="327C7801"/>
    <w:rsid w:val="327DA296"/>
    <w:rsid w:val="327DE0E8"/>
    <w:rsid w:val="327DEC9E"/>
    <w:rsid w:val="327DFDB4"/>
    <w:rsid w:val="327E3724"/>
    <w:rsid w:val="327F6527"/>
    <w:rsid w:val="32801307"/>
    <w:rsid w:val="328072E7"/>
    <w:rsid w:val="3280B8AB"/>
    <w:rsid w:val="3280E35D"/>
    <w:rsid w:val="3280EAB8"/>
    <w:rsid w:val="32814C8F"/>
    <w:rsid w:val="3283977A"/>
    <w:rsid w:val="3284C7FD"/>
    <w:rsid w:val="32856FBB"/>
    <w:rsid w:val="3286418B"/>
    <w:rsid w:val="32865396"/>
    <w:rsid w:val="32879FB5"/>
    <w:rsid w:val="32889EA2"/>
    <w:rsid w:val="3288A4FA"/>
    <w:rsid w:val="3288CC71"/>
    <w:rsid w:val="32891BE7"/>
    <w:rsid w:val="3289433A"/>
    <w:rsid w:val="3289A787"/>
    <w:rsid w:val="3289D1FC"/>
    <w:rsid w:val="328A5E4E"/>
    <w:rsid w:val="328A82E7"/>
    <w:rsid w:val="328B148F"/>
    <w:rsid w:val="328B8835"/>
    <w:rsid w:val="328C939C"/>
    <w:rsid w:val="328CA238"/>
    <w:rsid w:val="328CFEB1"/>
    <w:rsid w:val="328D6322"/>
    <w:rsid w:val="328D8F03"/>
    <w:rsid w:val="328E0D1F"/>
    <w:rsid w:val="328E1FD1"/>
    <w:rsid w:val="328E50F2"/>
    <w:rsid w:val="328EA96D"/>
    <w:rsid w:val="328ED727"/>
    <w:rsid w:val="328F0EF0"/>
    <w:rsid w:val="32927557"/>
    <w:rsid w:val="3292776D"/>
    <w:rsid w:val="329293E1"/>
    <w:rsid w:val="32929805"/>
    <w:rsid w:val="3292CDE0"/>
    <w:rsid w:val="3292EBA0"/>
    <w:rsid w:val="3293D272"/>
    <w:rsid w:val="3293EB1B"/>
    <w:rsid w:val="329427FC"/>
    <w:rsid w:val="32942BBF"/>
    <w:rsid w:val="3294D99B"/>
    <w:rsid w:val="329551AD"/>
    <w:rsid w:val="3295828F"/>
    <w:rsid w:val="329620DE"/>
    <w:rsid w:val="329649C6"/>
    <w:rsid w:val="3296DE9E"/>
    <w:rsid w:val="329756CE"/>
    <w:rsid w:val="3297A189"/>
    <w:rsid w:val="3297D8BD"/>
    <w:rsid w:val="32984A9B"/>
    <w:rsid w:val="32986571"/>
    <w:rsid w:val="3298ABA1"/>
    <w:rsid w:val="3298AC57"/>
    <w:rsid w:val="329912EF"/>
    <w:rsid w:val="32995F58"/>
    <w:rsid w:val="3299AB61"/>
    <w:rsid w:val="3299D449"/>
    <w:rsid w:val="3299FC04"/>
    <w:rsid w:val="329A0AF8"/>
    <w:rsid w:val="329A3650"/>
    <w:rsid w:val="329B18DD"/>
    <w:rsid w:val="329C430C"/>
    <w:rsid w:val="329C4B35"/>
    <w:rsid w:val="329CC1CF"/>
    <w:rsid w:val="329DAE06"/>
    <w:rsid w:val="329E349E"/>
    <w:rsid w:val="329E5EBE"/>
    <w:rsid w:val="329EE1E8"/>
    <w:rsid w:val="329F0865"/>
    <w:rsid w:val="32A07735"/>
    <w:rsid w:val="32A0B799"/>
    <w:rsid w:val="32A0F4AB"/>
    <w:rsid w:val="32A0FC1F"/>
    <w:rsid w:val="32A130BE"/>
    <w:rsid w:val="32A1C4CB"/>
    <w:rsid w:val="32A232A6"/>
    <w:rsid w:val="32A28513"/>
    <w:rsid w:val="32A39BFD"/>
    <w:rsid w:val="32A3ABE7"/>
    <w:rsid w:val="32A3F1DC"/>
    <w:rsid w:val="32A44FE6"/>
    <w:rsid w:val="32A49E5E"/>
    <w:rsid w:val="32A546A9"/>
    <w:rsid w:val="32A5BFDE"/>
    <w:rsid w:val="32A69979"/>
    <w:rsid w:val="32A69FF7"/>
    <w:rsid w:val="32A6C810"/>
    <w:rsid w:val="32A7716B"/>
    <w:rsid w:val="32A92F39"/>
    <w:rsid w:val="32A9F61D"/>
    <w:rsid w:val="32AA48A1"/>
    <w:rsid w:val="32AA4A76"/>
    <w:rsid w:val="32ABB8C1"/>
    <w:rsid w:val="32ABCA43"/>
    <w:rsid w:val="32AC0DF5"/>
    <w:rsid w:val="32AC46F8"/>
    <w:rsid w:val="32AC6860"/>
    <w:rsid w:val="32AD2B09"/>
    <w:rsid w:val="32AE0B2C"/>
    <w:rsid w:val="32AEC412"/>
    <w:rsid w:val="32AEE85E"/>
    <w:rsid w:val="32AFF11D"/>
    <w:rsid w:val="32B01E8E"/>
    <w:rsid w:val="32B10389"/>
    <w:rsid w:val="32B107D7"/>
    <w:rsid w:val="32B12264"/>
    <w:rsid w:val="32B177DA"/>
    <w:rsid w:val="32B27A6C"/>
    <w:rsid w:val="32B38389"/>
    <w:rsid w:val="32B4142E"/>
    <w:rsid w:val="32B47606"/>
    <w:rsid w:val="32B4E059"/>
    <w:rsid w:val="32B4EA96"/>
    <w:rsid w:val="32B57829"/>
    <w:rsid w:val="32B5CF54"/>
    <w:rsid w:val="32B68F80"/>
    <w:rsid w:val="32B6BFDE"/>
    <w:rsid w:val="32B780D2"/>
    <w:rsid w:val="32B7C603"/>
    <w:rsid w:val="32B7D294"/>
    <w:rsid w:val="32B8F835"/>
    <w:rsid w:val="32B9B475"/>
    <w:rsid w:val="32B9FD50"/>
    <w:rsid w:val="32BB0277"/>
    <w:rsid w:val="32BB0BBA"/>
    <w:rsid w:val="32BBC701"/>
    <w:rsid w:val="32BC6D4C"/>
    <w:rsid w:val="32BC9B8D"/>
    <w:rsid w:val="32BD9198"/>
    <w:rsid w:val="32BDE98D"/>
    <w:rsid w:val="32BDEA2B"/>
    <w:rsid w:val="32BE0B99"/>
    <w:rsid w:val="32BE95A1"/>
    <w:rsid w:val="32BF02E9"/>
    <w:rsid w:val="32BF27E8"/>
    <w:rsid w:val="32BF3117"/>
    <w:rsid w:val="32BFD76C"/>
    <w:rsid w:val="32BFEF05"/>
    <w:rsid w:val="32C00E71"/>
    <w:rsid w:val="32C0A1CC"/>
    <w:rsid w:val="32C0ABD6"/>
    <w:rsid w:val="32C107D6"/>
    <w:rsid w:val="32C172FF"/>
    <w:rsid w:val="32C1B380"/>
    <w:rsid w:val="32C1F251"/>
    <w:rsid w:val="32C1FFA1"/>
    <w:rsid w:val="32C214D0"/>
    <w:rsid w:val="32C26E20"/>
    <w:rsid w:val="32C2FA3C"/>
    <w:rsid w:val="32C2FAA6"/>
    <w:rsid w:val="32C3ECB5"/>
    <w:rsid w:val="32C45DAF"/>
    <w:rsid w:val="32C48DB1"/>
    <w:rsid w:val="32C4A0CA"/>
    <w:rsid w:val="32C4B6B3"/>
    <w:rsid w:val="32C4D2CF"/>
    <w:rsid w:val="32C50357"/>
    <w:rsid w:val="32C61888"/>
    <w:rsid w:val="32C61DF9"/>
    <w:rsid w:val="32C63356"/>
    <w:rsid w:val="32C6853C"/>
    <w:rsid w:val="32C694C5"/>
    <w:rsid w:val="32C75CBE"/>
    <w:rsid w:val="32C81A96"/>
    <w:rsid w:val="32C8F0BE"/>
    <w:rsid w:val="32CA8274"/>
    <w:rsid w:val="32CAC9E8"/>
    <w:rsid w:val="32CACBF3"/>
    <w:rsid w:val="32CADF78"/>
    <w:rsid w:val="32CB1749"/>
    <w:rsid w:val="32CB295A"/>
    <w:rsid w:val="32CB8604"/>
    <w:rsid w:val="32CBA671"/>
    <w:rsid w:val="32CBBF62"/>
    <w:rsid w:val="32CBE312"/>
    <w:rsid w:val="32CBF093"/>
    <w:rsid w:val="32CBF2A7"/>
    <w:rsid w:val="32CBF5A4"/>
    <w:rsid w:val="32CCA22D"/>
    <w:rsid w:val="32CCE1EE"/>
    <w:rsid w:val="32CD1959"/>
    <w:rsid w:val="32CDB846"/>
    <w:rsid w:val="32CF1AD2"/>
    <w:rsid w:val="32CF51F2"/>
    <w:rsid w:val="32CFE0BF"/>
    <w:rsid w:val="32D042FC"/>
    <w:rsid w:val="32D15764"/>
    <w:rsid w:val="32D20266"/>
    <w:rsid w:val="32D20FBB"/>
    <w:rsid w:val="32D29DEA"/>
    <w:rsid w:val="32D30114"/>
    <w:rsid w:val="32D39348"/>
    <w:rsid w:val="32D4646E"/>
    <w:rsid w:val="32D50303"/>
    <w:rsid w:val="32D53F5B"/>
    <w:rsid w:val="32D58319"/>
    <w:rsid w:val="32D6191A"/>
    <w:rsid w:val="32D6398B"/>
    <w:rsid w:val="32D6CA8A"/>
    <w:rsid w:val="32D73DCC"/>
    <w:rsid w:val="32D77A13"/>
    <w:rsid w:val="32D812A6"/>
    <w:rsid w:val="32D97EAC"/>
    <w:rsid w:val="32D9FE61"/>
    <w:rsid w:val="32DAA707"/>
    <w:rsid w:val="32DB40B2"/>
    <w:rsid w:val="32DBA8F5"/>
    <w:rsid w:val="32DCADAA"/>
    <w:rsid w:val="32DCBC52"/>
    <w:rsid w:val="32DD5D60"/>
    <w:rsid w:val="32DDA722"/>
    <w:rsid w:val="32DDB9AE"/>
    <w:rsid w:val="32DE8D41"/>
    <w:rsid w:val="32DF1853"/>
    <w:rsid w:val="32DF39B7"/>
    <w:rsid w:val="32DFDF14"/>
    <w:rsid w:val="32E024BB"/>
    <w:rsid w:val="32E03404"/>
    <w:rsid w:val="32E15C2B"/>
    <w:rsid w:val="32E25CB6"/>
    <w:rsid w:val="32E26F11"/>
    <w:rsid w:val="32E29253"/>
    <w:rsid w:val="32E2C467"/>
    <w:rsid w:val="32E317E2"/>
    <w:rsid w:val="32E38E52"/>
    <w:rsid w:val="32E3B46B"/>
    <w:rsid w:val="32E43055"/>
    <w:rsid w:val="32E47AC7"/>
    <w:rsid w:val="32E4E454"/>
    <w:rsid w:val="32E55F83"/>
    <w:rsid w:val="32E572A4"/>
    <w:rsid w:val="32E6F6AD"/>
    <w:rsid w:val="32E70F2D"/>
    <w:rsid w:val="32E7578B"/>
    <w:rsid w:val="32E76E87"/>
    <w:rsid w:val="32E8264A"/>
    <w:rsid w:val="32E8946B"/>
    <w:rsid w:val="32E8DA27"/>
    <w:rsid w:val="32E8E235"/>
    <w:rsid w:val="32EA0908"/>
    <w:rsid w:val="32EA4013"/>
    <w:rsid w:val="32EAD8FA"/>
    <w:rsid w:val="32EB2C01"/>
    <w:rsid w:val="32EB331C"/>
    <w:rsid w:val="32EC0733"/>
    <w:rsid w:val="32EC4FFE"/>
    <w:rsid w:val="32ED70D1"/>
    <w:rsid w:val="32ED7D22"/>
    <w:rsid w:val="32EDDDF2"/>
    <w:rsid w:val="32EE8539"/>
    <w:rsid w:val="32EF7F6B"/>
    <w:rsid w:val="32EFAB38"/>
    <w:rsid w:val="32F0331F"/>
    <w:rsid w:val="32F05455"/>
    <w:rsid w:val="32F14534"/>
    <w:rsid w:val="32F1DA86"/>
    <w:rsid w:val="32F278C7"/>
    <w:rsid w:val="32F284E5"/>
    <w:rsid w:val="32F28AA0"/>
    <w:rsid w:val="32F49724"/>
    <w:rsid w:val="32F498FC"/>
    <w:rsid w:val="32F530B6"/>
    <w:rsid w:val="32F530DB"/>
    <w:rsid w:val="32F5DB72"/>
    <w:rsid w:val="32F5FA60"/>
    <w:rsid w:val="32F7C674"/>
    <w:rsid w:val="32F8DAC6"/>
    <w:rsid w:val="32F98A9A"/>
    <w:rsid w:val="32F9BF10"/>
    <w:rsid w:val="32FA3173"/>
    <w:rsid w:val="32FB94A7"/>
    <w:rsid w:val="32FBC3D1"/>
    <w:rsid w:val="32FBD40A"/>
    <w:rsid w:val="32FC2E85"/>
    <w:rsid w:val="32FC74C5"/>
    <w:rsid w:val="32FCBA6B"/>
    <w:rsid w:val="32FD2D89"/>
    <w:rsid w:val="32FD7E8F"/>
    <w:rsid w:val="32FD8CE3"/>
    <w:rsid w:val="32FD9FC9"/>
    <w:rsid w:val="32FE3996"/>
    <w:rsid w:val="32FF90ED"/>
    <w:rsid w:val="32FFF46C"/>
    <w:rsid w:val="3301EC04"/>
    <w:rsid w:val="33026B48"/>
    <w:rsid w:val="330274F0"/>
    <w:rsid w:val="3302B0A2"/>
    <w:rsid w:val="3303D0AF"/>
    <w:rsid w:val="33057EE4"/>
    <w:rsid w:val="3305ACCE"/>
    <w:rsid w:val="3305C547"/>
    <w:rsid w:val="3305F47F"/>
    <w:rsid w:val="33062343"/>
    <w:rsid w:val="33066E15"/>
    <w:rsid w:val="3306773D"/>
    <w:rsid w:val="3306AF47"/>
    <w:rsid w:val="33083BDB"/>
    <w:rsid w:val="330A6AAA"/>
    <w:rsid w:val="330B45C0"/>
    <w:rsid w:val="330BD466"/>
    <w:rsid w:val="330BD4A2"/>
    <w:rsid w:val="330C9D71"/>
    <w:rsid w:val="330CA0C3"/>
    <w:rsid w:val="330CD935"/>
    <w:rsid w:val="330CEB9B"/>
    <w:rsid w:val="330E2396"/>
    <w:rsid w:val="330E9707"/>
    <w:rsid w:val="330ED741"/>
    <w:rsid w:val="330EE661"/>
    <w:rsid w:val="330F12DC"/>
    <w:rsid w:val="330F9551"/>
    <w:rsid w:val="330FA807"/>
    <w:rsid w:val="33110AFF"/>
    <w:rsid w:val="33113429"/>
    <w:rsid w:val="33126142"/>
    <w:rsid w:val="33141CB1"/>
    <w:rsid w:val="33145557"/>
    <w:rsid w:val="3314610F"/>
    <w:rsid w:val="3316448A"/>
    <w:rsid w:val="3316E994"/>
    <w:rsid w:val="3316F15A"/>
    <w:rsid w:val="33177786"/>
    <w:rsid w:val="33182116"/>
    <w:rsid w:val="33184578"/>
    <w:rsid w:val="331A9216"/>
    <w:rsid w:val="331B5B21"/>
    <w:rsid w:val="331BAAA8"/>
    <w:rsid w:val="331BB0FE"/>
    <w:rsid w:val="331C75EB"/>
    <w:rsid w:val="331C8081"/>
    <w:rsid w:val="331CFDB9"/>
    <w:rsid w:val="331D02E4"/>
    <w:rsid w:val="331D94F7"/>
    <w:rsid w:val="331DE7B6"/>
    <w:rsid w:val="331E7182"/>
    <w:rsid w:val="331EACD3"/>
    <w:rsid w:val="331F9461"/>
    <w:rsid w:val="331FDE11"/>
    <w:rsid w:val="332006B5"/>
    <w:rsid w:val="33203185"/>
    <w:rsid w:val="332245DF"/>
    <w:rsid w:val="33225B6D"/>
    <w:rsid w:val="3322701F"/>
    <w:rsid w:val="3322C296"/>
    <w:rsid w:val="3323D365"/>
    <w:rsid w:val="33245594"/>
    <w:rsid w:val="332484E9"/>
    <w:rsid w:val="332549C8"/>
    <w:rsid w:val="33257237"/>
    <w:rsid w:val="3325ACCA"/>
    <w:rsid w:val="332610C3"/>
    <w:rsid w:val="33263BF2"/>
    <w:rsid w:val="33268B56"/>
    <w:rsid w:val="33269986"/>
    <w:rsid w:val="332848F7"/>
    <w:rsid w:val="33287E76"/>
    <w:rsid w:val="332894FE"/>
    <w:rsid w:val="3328B9CE"/>
    <w:rsid w:val="3328C788"/>
    <w:rsid w:val="3329652D"/>
    <w:rsid w:val="332AF80F"/>
    <w:rsid w:val="332BD64D"/>
    <w:rsid w:val="332C3CDA"/>
    <w:rsid w:val="332C5473"/>
    <w:rsid w:val="332C6454"/>
    <w:rsid w:val="332C97BD"/>
    <w:rsid w:val="332D6696"/>
    <w:rsid w:val="332D6BAF"/>
    <w:rsid w:val="332DCAE1"/>
    <w:rsid w:val="332E6AF1"/>
    <w:rsid w:val="332EE50B"/>
    <w:rsid w:val="332EFBC4"/>
    <w:rsid w:val="332F59D8"/>
    <w:rsid w:val="33309CC4"/>
    <w:rsid w:val="3330E585"/>
    <w:rsid w:val="33310B63"/>
    <w:rsid w:val="33331976"/>
    <w:rsid w:val="3333A495"/>
    <w:rsid w:val="3333BC60"/>
    <w:rsid w:val="333516E2"/>
    <w:rsid w:val="33383CCE"/>
    <w:rsid w:val="3338A1A0"/>
    <w:rsid w:val="3339679D"/>
    <w:rsid w:val="333A09DA"/>
    <w:rsid w:val="333A7CB6"/>
    <w:rsid w:val="333A8FC4"/>
    <w:rsid w:val="333B319C"/>
    <w:rsid w:val="333BB1A2"/>
    <w:rsid w:val="333C1E23"/>
    <w:rsid w:val="333C2A4E"/>
    <w:rsid w:val="333DDCAE"/>
    <w:rsid w:val="333E1711"/>
    <w:rsid w:val="333E64B8"/>
    <w:rsid w:val="333E7DB7"/>
    <w:rsid w:val="333E8E20"/>
    <w:rsid w:val="333EA64C"/>
    <w:rsid w:val="333F3263"/>
    <w:rsid w:val="3340268A"/>
    <w:rsid w:val="33408F37"/>
    <w:rsid w:val="334187DD"/>
    <w:rsid w:val="3341E794"/>
    <w:rsid w:val="334251C9"/>
    <w:rsid w:val="33428E8E"/>
    <w:rsid w:val="3344B11C"/>
    <w:rsid w:val="3345D928"/>
    <w:rsid w:val="3345EDFD"/>
    <w:rsid w:val="3346A39E"/>
    <w:rsid w:val="3346CBBA"/>
    <w:rsid w:val="3347561C"/>
    <w:rsid w:val="3347924C"/>
    <w:rsid w:val="3347AE6E"/>
    <w:rsid w:val="33485CA5"/>
    <w:rsid w:val="3349D14B"/>
    <w:rsid w:val="334A94B5"/>
    <w:rsid w:val="334ACC50"/>
    <w:rsid w:val="334B4A9E"/>
    <w:rsid w:val="334B5CFF"/>
    <w:rsid w:val="334B9EDB"/>
    <w:rsid w:val="334BB085"/>
    <w:rsid w:val="334C7919"/>
    <w:rsid w:val="334C7D00"/>
    <w:rsid w:val="334C8444"/>
    <w:rsid w:val="334C9C5E"/>
    <w:rsid w:val="334CBB52"/>
    <w:rsid w:val="334DABC0"/>
    <w:rsid w:val="334E3A33"/>
    <w:rsid w:val="334E58D9"/>
    <w:rsid w:val="334EF6E2"/>
    <w:rsid w:val="33504089"/>
    <w:rsid w:val="33508BE1"/>
    <w:rsid w:val="3350F4A1"/>
    <w:rsid w:val="33512000"/>
    <w:rsid w:val="335173E7"/>
    <w:rsid w:val="33517E95"/>
    <w:rsid w:val="33517EC0"/>
    <w:rsid w:val="33517EC7"/>
    <w:rsid w:val="3351E28C"/>
    <w:rsid w:val="3351E6D0"/>
    <w:rsid w:val="33521372"/>
    <w:rsid w:val="33522C1B"/>
    <w:rsid w:val="335230EF"/>
    <w:rsid w:val="33525093"/>
    <w:rsid w:val="335255B6"/>
    <w:rsid w:val="33528A49"/>
    <w:rsid w:val="33532BC4"/>
    <w:rsid w:val="33533EC1"/>
    <w:rsid w:val="33539066"/>
    <w:rsid w:val="3353C186"/>
    <w:rsid w:val="3353DD61"/>
    <w:rsid w:val="3353ED3D"/>
    <w:rsid w:val="33542ED9"/>
    <w:rsid w:val="33569100"/>
    <w:rsid w:val="3356D7B4"/>
    <w:rsid w:val="3356FCC4"/>
    <w:rsid w:val="33573839"/>
    <w:rsid w:val="3357A02A"/>
    <w:rsid w:val="3358406B"/>
    <w:rsid w:val="33592350"/>
    <w:rsid w:val="3359B32C"/>
    <w:rsid w:val="3359DDF3"/>
    <w:rsid w:val="335A28E1"/>
    <w:rsid w:val="335AFCF2"/>
    <w:rsid w:val="335B4361"/>
    <w:rsid w:val="335B6992"/>
    <w:rsid w:val="335BD7DF"/>
    <w:rsid w:val="335C141A"/>
    <w:rsid w:val="335C6161"/>
    <w:rsid w:val="335C9267"/>
    <w:rsid w:val="335CA046"/>
    <w:rsid w:val="335CAF2A"/>
    <w:rsid w:val="335CF16C"/>
    <w:rsid w:val="335DB087"/>
    <w:rsid w:val="335DC51A"/>
    <w:rsid w:val="335DC76B"/>
    <w:rsid w:val="335E4AB1"/>
    <w:rsid w:val="335F400F"/>
    <w:rsid w:val="335F68AA"/>
    <w:rsid w:val="335FEDCD"/>
    <w:rsid w:val="3361AE43"/>
    <w:rsid w:val="3361C353"/>
    <w:rsid w:val="3361D045"/>
    <w:rsid w:val="3362323A"/>
    <w:rsid w:val="3363870F"/>
    <w:rsid w:val="33649270"/>
    <w:rsid w:val="3364DD33"/>
    <w:rsid w:val="3364EA3E"/>
    <w:rsid w:val="33650563"/>
    <w:rsid w:val="33653DA1"/>
    <w:rsid w:val="33658A1E"/>
    <w:rsid w:val="3365CEF9"/>
    <w:rsid w:val="33660B50"/>
    <w:rsid w:val="33665C5E"/>
    <w:rsid w:val="33668E7D"/>
    <w:rsid w:val="33673A3B"/>
    <w:rsid w:val="3367857F"/>
    <w:rsid w:val="3367EE48"/>
    <w:rsid w:val="33689C6E"/>
    <w:rsid w:val="3368E1C7"/>
    <w:rsid w:val="3369577B"/>
    <w:rsid w:val="3369975D"/>
    <w:rsid w:val="3369F143"/>
    <w:rsid w:val="336AE513"/>
    <w:rsid w:val="336B2A75"/>
    <w:rsid w:val="336B73B1"/>
    <w:rsid w:val="336C711D"/>
    <w:rsid w:val="336C9EA2"/>
    <w:rsid w:val="336DADD9"/>
    <w:rsid w:val="336DBC91"/>
    <w:rsid w:val="336F0AB8"/>
    <w:rsid w:val="336FD3DA"/>
    <w:rsid w:val="33707A89"/>
    <w:rsid w:val="33708186"/>
    <w:rsid w:val="3371491D"/>
    <w:rsid w:val="33715B94"/>
    <w:rsid w:val="33717369"/>
    <w:rsid w:val="3371DDF0"/>
    <w:rsid w:val="337229B0"/>
    <w:rsid w:val="3372F5FC"/>
    <w:rsid w:val="3373BC1E"/>
    <w:rsid w:val="3373D024"/>
    <w:rsid w:val="33744141"/>
    <w:rsid w:val="33758350"/>
    <w:rsid w:val="33758604"/>
    <w:rsid w:val="3375A1BD"/>
    <w:rsid w:val="33767D3A"/>
    <w:rsid w:val="3376E121"/>
    <w:rsid w:val="3377B3C4"/>
    <w:rsid w:val="3377F1DF"/>
    <w:rsid w:val="3378C82A"/>
    <w:rsid w:val="3378E375"/>
    <w:rsid w:val="337914D4"/>
    <w:rsid w:val="33796E7E"/>
    <w:rsid w:val="337977B1"/>
    <w:rsid w:val="337A2C1C"/>
    <w:rsid w:val="337A63CF"/>
    <w:rsid w:val="337A9CA1"/>
    <w:rsid w:val="337B8E3D"/>
    <w:rsid w:val="337CD0F5"/>
    <w:rsid w:val="337CF44B"/>
    <w:rsid w:val="337CFD44"/>
    <w:rsid w:val="337D4126"/>
    <w:rsid w:val="337DC34D"/>
    <w:rsid w:val="337E1D78"/>
    <w:rsid w:val="337E5AF2"/>
    <w:rsid w:val="337E6E69"/>
    <w:rsid w:val="337E8308"/>
    <w:rsid w:val="337F448F"/>
    <w:rsid w:val="337FDA7E"/>
    <w:rsid w:val="337FED0B"/>
    <w:rsid w:val="33806D03"/>
    <w:rsid w:val="3380B774"/>
    <w:rsid w:val="338115DC"/>
    <w:rsid w:val="33812988"/>
    <w:rsid w:val="33828195"/>
    <w:rsid w:val="3382891D"/>
    <w:rsid w:val="3382A694"/>
    <w:rsid w:val="3383089E"/>
    <w:rsid w:val="33835CA1"/>
    <w:rsid w:val="338508B2"/>
    <w:rsid w:val="33873D86"/>
    <w:rsid w:val="338914E7"/>
    <w:rsid w:val="3389A529"/>
    <w:rsid w:val="3389C727"/>
    <w:rsid w:val="338A5134"/>
    <w:rsid w:val="338A6EC0"/>
    <w:rsid w:val="338AAA7A"/>
    <w:rsid w:val="338ACF2A"/>
    <w:rsid w:val="338AD95F"/>
    <w:rsid w:val="338B68AD"/>
    <w:rsid w:val="338C4ED4"/>
    <w:rsid w:val="338D0F6A"/>
    <w:rsid w:val="338D68C8"/>
    <w:rsid w:val="338D833E"/>
    <w:rsid w:val="338E98B9"/>
    <w:rsid w:val="338F13C3"/>
    <w:rsid w:val="338F1D50"/>
    <w:rsid w:val="338F7D10"/>
    <w:rsid w:val="33904103"/>
    <w:rsid w:val="339047E5"/>
    <w:rsid w:val="339086FC"/>
    <w:rsid w:val="33913F64"/>
    <w:rsid w:val="3391E0F6"/>
    <w:rsid w:val="33922959"/>
    <w:rsid w:val="339306E4"/>
    <w:rsid w:val="339339D4"/>
    <w:rsid w:val="33940D5C"/>
    <w:rsid w:val="33945B10"/>
    <w:rsid w:val="3394E04F"/>
    <w:rsid w:val="33953731"/>
    <w:rsid w:val="3395A23E"/>
    <w:rsid w:val="3395C2AD"/>
    <w:rsid w:val="3396178F"/>
    <w:rsid w:val="33964BD4"/>
    <w:rsid w:val="3396C4F4"/>
    <w:rsid w:val="3396F209"/>
    <w:rsid w:val="33973967"/>
    <w:rsid w:val="3397BD1C"/>
    <w:rsid w:val="3398E80D"/>
    <w:rsid w:val="33990548"/>
    <w:rsid w:val="3399DDF2"/>
    <w:rsid w:val="3399E0BD"/>
    <w:rsid w:val="339A6159"/>
    <w:rsid w:val="339A65C4"/>
    <w:rsid w:val="339AACF4"/>
    <w:rsid w:val="339B23FE"/>
    <w:rsid w:val="339BD970"/>
    <w:rsid w:val="339C4447"/>
    <w:rsid w:val="339C5AA8"/>
    <w:rsid w:val="339C74DE"/>
    <w:rsid w:val="339CA9F9"/>
    <w:rsid w:val="339D05FC"/>
    <w:rsid w:val="339D0E8B"/>
    <w:rsid w:val="339D9CD3"/>
    <w:rsid w:val="339E51BA"/>
    <w:rsid w:val="339E8013"/>
    <w:rsid w:val="339EEA6A"/>
    <w:rsid w:val="339F00F3"/>
    <w:rsid w:val="339F83E1"/>
    <w:rsid w:val="339FE230"/>
    <w:rsid w:val="33A010BC"/>
    <w:rsid w:val="33A0700F"/>
    <w:rsid w:val="33A180AE"/>
    <w:rsid w:val="33A25975"/>
    <w:rsid w:val="33A3DF52"/>
    <w:rsid w:val="33A40E10"/>
    <w:rsid w:val="33A46CA7"/>
    <w:rsid w:val="33A5A2D2"/>
    <w:rsid w:val="33A619FB"/>
    <w:rsid w:val="33A69305"/>
    <w:rsid w:val="33A72C5E"/>
    <w:rsid w:val="33A7C37B"/>
    <w:rsid w:val="33A7EBD9"/>
    <w:rsid w:val="33A8BC93"/>
    <w:rsid w:val="33A8D368"/>
    <w:rsid w:val="33AA27FD"/>
    <w:rsid w:val="33AB27FA"/>
    <w:rsid w:val="33ABDA76"/>
    <w:rsid w:val="33AC784E"/>
    <w:rsid w:val="33AD72F4"/>
    <w:rsid w:val="33ADC840"/>
    <w:rsid w:val="33AE0B84"/>
    <w:rsid w:val="33B04DD7"/>
    <w:rsid w:val="33B067BB"/>
    <w:rsid w:val="33B1020C"/>
    <w:rsid w:val="33B14B51"/>
    <w:rsid w:val="33B162BB"/>
    <w:rsid w:val="33B16AF4"/>
    <w:rsid w:val="33B1A004"/>
    <w:rsid w:val="33B20561"/>
    <w:rsid w:val="33B2196C"/>
    <w:rsid w:val="33B24869"/>
    <w:rsid w:val="33B27082"/>
    <w:rsid w:val="33B4904A"/>
    <w:rsid w:val="33B5E9A8"/>
    <w:rsid w:val="33B90B08"/>
    <w:rsid w:val="33B97C13"/>
    <w:rsid w:val="33B9899C"/>
    <w:rsid w:val="33BA6E5E"/>
    <w:rsid w:val="33BA76DA"/>
    <w:rsid w:val="33BBE66F"/>
    <w:rsid w:val="33BCB044"/>
    <w:rsid w:val="33BCCF1A"/>
    <w:rsid w:val="33BD2DD4"/>
    <w:rsid w:val="33BDE216"/>
    <w:rsid w:val="33BE01EC"/>
    <w:rsid w:val="33BE58BC"/>
    <w:rsid w:val="33BEFD06"/>
    <w:rsid w:val="33BF7BEB"/>
    <w:rsid w:val="33C078FE"/>
    <w:rsid w:val="33C0E66C"/>
    <w:rsid w:val="33C11625"/>
    <w:rsid w:val="33C116F9"/>
    <w:rsid w:val="33C1ACB0"/>
    <w:rsid w:val="33C1C7E1"/>
    <w:rsid w:val="33C23A82"/>
    <w:rsid w:val="33C35F58"/>
    <w:rsid w:val="33C3D0AA"/>
    <w:rsid w:val="33C4174A"/>
    <w:rsid w:val="33C44121"/>
    <w:rsid w:val="33C4F6D5"/>
    <w:rsid w:val="33C52A5D"/>
    <w:rsid w:val="33C54DB9"/>
    <w:rsid w:val="33C631AC"/>
    <w:rsid w:val="33C749F4"/>
    <w:rsid w:val="33C93544"/>
    <w:rsid w:val="33C96AFE"/>
    <w:rsid w:val="33C99B13"/>
    <w:rsid w:val="33CA38BA"/>
    <w:rsid w:val="33CB1D23"/>
    <w:rsid w:val="33CB4233"/>
    <w:rsid w:val="33CB5BE8"/>
    <w:rsid w:val="33CC6161"/>
    <w:rsid w:val="33CC63C9"/>
    <w:rsid w:val="33CCC7F9"/>
    <w:rsid w:val="33CCD44E"/>
    <w:rsid w:val="33CD0AA6"/>
    <w:rsid w:val="33CDB82B"/>
    <w:rsid w:val="33CE9FB5"/>
    <w:rsid w:val="33CF07F3"/>
    <w:rsid w:val="33CF4CC7"/>
    <w:rsid w:val="33CFE536"/>
    <w:rsid w:val="33D057E6"/>
    <w:rsid w:val="33D0E656"/>
    <w:rsid w:val="33D0F537"/>
    <w:rsid w:val="33D0F670"/>
    <w:rsid w:val="33D16A8F"/>
    <w:rsid w:val="33D2725B"/>
    <w:rsid w:val="33D28D34"/>
    <w:rsid w:val="33D2D901"/>
    <w:rsid w:val="33D3D6D9"/>
    <w:rsid w:val="33D442D2"/>
    <w:rsid w:val="33D4F64B"/>
    <w:rsid w:val="33D57109"/>
    <w:rsid w:val="33D58B22"/>
    <w:rsid w:val="33D5C3F9"/>
    <w:rsid w:val="33D65252"/>
    <w:rsid w:val="33D846FC"/>
    <w:rsid w:val="33D9CB51"/>
    <w:rsid w:val="33DA33F2"/>
    <w:rsid w:val="33DB9C3C"/>
    <w:rsid w:val="33DDB3F2"/>
    <w:rsid w:val="33DDBF9E"/>
    <w:rsid w:val="33DDDD01"/>
    <w:rsid w:val="33DEC5BF"/>
    <w:rsid w:val="33DF5673"/>
    <w:rsid w:val="33DF681F"/>
    <w:rsid w:val="33DF70B4"/>
    <w:rsid w:val="33DFAA46"/>
    <w:rsid w:val="33DFD78F"/>
    <w:rsid w:val="33E023A4"/>
    <w:rsid w:val="33E0285F"/>
    <w:rsid w:val="33E03EA9"/>
    <w:rsid w:val="33E106F2"/>
    <w:rsid w:val="33E187E8"/>
    <w:rsid w:val="33E1A643"/>
    <w:rsid w:val="33E1C66D"/>
    <w:rsid w:val="33E1F37A"/>
    <w:rsid w:val="33E1F63D"/>
    <w:rsid w:val="33E242B0"/>
    <w:rsid w:val="33E331FF"/>
    <w:rsid w:val="33E36A65"/>
    <w:rsid w:val="33E36E9B"/>
    <w:rsid w:val="33E400E0"/>
    <w:rsid w:val="33E46B16"/>
    <w:rsid w:val="33E51786"/>
    <w:rsid w:val="33E55735"/>
    <w:rsid w:val="33E6456B"/>
    <w:rsid w:val="33E66A74"/>
    <w:rsid w:val="33E88A6B"/>
    <w:rsid w:val="33EA8DE2"/>
    <w:rsid w:val="33EB5C30"/>
    <w:rsid w:val="33EB626F"/>
    <w:rsid w:val="33EB81CF"/>
    <w:rsid w:val="33ECAE18"/>
    <w:rsid w:val="33ED0596"/>
    <w:rsid w:val="33ED16D4"/>
    <w:rsid w:val="33ED1EAF"/>
    <w:rsid w:val="33ED3CB5"/>
    <w:rsid w:val="33ED3F83"/>
    <w:rsid w:val="33ED962E"/>
    <w:rsid w:val="33EDACD3"/>
    <w:rsid w:val="33EE3BB9"/>
    <w:rsid w:val="33EE4E2A"/>
    <w:rsid w:val="33EF5861"/>
    <w:rsid w:val="33EF5AA0"/>
    <w:rsid w:val="33EFD0D1"/>
    <w:rsid w:val="33F00482"/>
    <w:rsid w:val="33F08D13"/>
    <w:rsid w:val="33F0A890"/>
    <w:rsid w:val="33F0E00B"/>
    <w:rsid w:val="33F12B4D"/>
    <w:rsid w:val="33F1577B"/>
    <w:rsid w:val="33F21356"/>
    <w:rsid w:val="33F2F2B5"/>
    <w:rsid w:val="33F3755B"/>
    <w:rsid w:val="33F4C2D6"/>
    <w:rsid w:val="33F63AA0"/>
    <w:rsid w:val="33F656D9"/>
    <w:rsid w:val="33F6979E"/>
    <w:rsid w:val="33F7E65B"/>
    <w:rsid w:val="33F8D0C5"/>
    <w:rsid w:val="33FB2A00"/>
    <w:rsid w:val="33FB3A40"/>
    <w:rsid w:val="33FC645E"/>
    <w:rsid w:val="33FCC5B6"/>
    <w:rsid w:val="33FD448B"/>
    <w:rsid w:val="33FD9CB6"/>
    <w:rsid w:val="33FDB129"/>
    <w:rsid w:val="33FDF2BF"/>
    <w:rsid w:val="33FE8995"/>
    <w:rsid w:val="33FED458"/>
    <w:rsid w:val="33FF24DC"/>
    <w:rsid w:val="33FF3688"/>
    <w:rsid w:val="33FFCFAB"/>
    <w:rsid w:val="340065E5"/>
    <w:rsid w:val="340072D8"/>
    <w:rsid w:val="340081CD"/>
    <w:rsid w:val="3400AD79"/>
    <w:rsid w:val="3400BEFA"/>
    <w:rsid w:val="3400E3E7"/>
    <w:rsid w:val="340153D0"/>
    <w:rsid w:val="3402249A"/>
    <w:rsid w:val="3402534C"/>
    <w:rsid w:val="34034400"/>
    <w:rsid w:val="34038222"/>
    <w:rsid w:val="340428BD"/>
    <w:rsid w:val="34043372"/>
    <w:rsid w:val="340465C3"/>
    <w:rsid w:val="3405B705"/>
    <w:rsid w:val="34076820"/>
    <w:rsid w:val="3407728A"/>
    <w:rsid w:val="3407C3F9"/>
    <w:rsid w:val="34081CDA"/>
    <w:rsid w:val="3408A9F7"/>
    <w:rsid w:val="340903A8"/>
    <w:rsid w:val="340941C3"/>
    <w:rsid w:val="34098AA0"/>
    <w:rsid w:val="340A0BC8"/>
    <w:rsid w:val="340A4C12"/>
    <w:rsid w:val="340B5FA5"/>
    <w:rsid w:val="340BC64F"/>
    <w:rsid w:val="340BE3FF"/>
    <w:rsid w:val="340C1F4C"/>
    <w:rsid w:val="340C3B3B"/>
    <w:rsid w:val="340C9D6F"/>
    <w:rsid w:val="340D3A62"/>
    <w:rsid w:val="340D7431"/>
    <w:rsid w:val="340DAAF0"/>
    <w:rsid w:val="340DBF7E"/>
    <w:rsid w:val="340DD41D"/>
    <w:rsid w:val="340DF744"/>
    <w:rsid w:val="340E460A"/>
    <w:rsid w:val="340EF245"/>
    <w:rsid w:val="340F1A02"/>
    <w:rsid w:val="34101A56"/>
    <w:rsid w:val="34110FAE"/>
    <w:rsid w:val="3411545B"/>
    <w:rsid w:val="3411DC18"/>
    <w:rsid w:val="341250E0"/>
    <w:rsid w:val="3412AD33"/>
    <w:rsid w:val="3412E6DE"/>
    <w:rsid w:val="3412EA9F"/>
    <w:rsid w:val="341321C1"/>
    <w:rsid w:val="341325E1"/>
    <w:rsid w:val="341347C8"/>
    <w:rsid w:val="34138A48"/>
    <w:rsid w:val="34140E0D"/>
    <w:rsid w:val="3414A746"/>
    <w:rsid w:val="3414B311"/>
    <w:rsid w:val="3414D027"/>
    <w:rsid w:val="341572AB"/>
    <w:rsid w:val="34159703"/>
    <w:rsid w:val="3415B215"/>
    <w:rsid w:val="34165DFD"/>
    <w:rsid w:val="34169245"/>
    <w:rsid w:val="34172666"/>
    <w:rsid w:val="34175FC9"/>
    <w:rsid w:val="341777F3"/>
    <w:rsid w:val="3418061B"/>
    <w:rsid w:val="341819A2"/>
    <w:rsid w:val="3418453D"/>
    <w:rsid w:val="3418DD25"/>
    <w:rsid w:val="34191260"/>
    <w:rsid w:val="3419772D"/>
    <w:rsid w:val="3419C310"/>
    <w:rsid w:val="3419E6A3"/>
    <w:rsid w:val="341A0FB7"/>
    <w:rsid w:val="341A7341"/>
    <w:rsid w:val="341B0CE6"/>
    <w:rsid w:val="341B74C0"/>
    <w:rsid w:val="341B7862"/>
    <w:rsid w:val="341C1A26"/>
    <w:rsid w:val="341C5263"/>
    <w:rsid w:val="341E4F11"/>
    <w:rsid w:val="341E7584"/>
    <w:rsid w:val="341E7F7F"/>
    <w:rsid w:val="341F8097"/>
    <w:rsid w:val="341FA055"/>
    <w:rsid w:val="34200BEC"/>
    <w:rsid w:val="34200D7E"/>
    <w:rsid w:val="34204A5B"/>
    <w:rsid w:val="34205735"/>
    <w:rsid w:val="34209D83"/>
    <w:rsid w:val="3420AB18"/>
    <w:rsid w:val="3420BF0F"/>
    <w:rsid w:val="342124EB"/>
    <w:rsid w:val="34224D62"/>
    <w:rsid w:val="34228DE7"/>
    <w:rsid w:val="3422E7B9"/>
    <w:rsid w:val="342442D7"/>
    <w:rsid w:val="34249D92"/>
    <w:rsid w:val="3424AEAC"/>
    <w:rsid w:val="3424C1B1"/>
    <w:rsid w:val="34263CBE"/>
    <w:rsid w:val="34265A8F"/>
    <w:rsid w:val="342705CB"/>
    <w:rsid w:val="3427D99E"/>
    <w:rsid w:val="3427EC0B"/>
    <w:rsid w:val="3428221C"/>
    <w:rsid w:val="34295947"/>
    <w:rsid w:val="342A6E4A"/>
    <w:rsid w:val="342A77B1"/>
    <w:rsid w:val="342A9631"/>
    <w:rsid w:val="342AF316"/>
    <w:rsid w:val="342B34EE"/>
    <w:rsid w:val="342B9143"/>
    <w:rsid w:val="342BC7A6"/>
    <w:rsid w:val="342BD280"/>
    <w:rsid w:val="342C03B6"/>
    <w:rsid w:val="342C5078"/>
    <w:rsid w:val="342CAE8B"/>
    <w:rsid w:val="342E03BB"/>
    <w:rsid w:val="342E126F"/>
    <w:rsid w:val="342F0A5D"/>
    <w:rsid w:val="342F9A63"/>
    <w:rsid w:val="3431737D"/>
    <w:rsid w:val="3432FCC9"/>
    <w:rsid w:val="3433218A"/>
    <w:rsid w:val="34335E7A"/>
    <w:rsid w:val="343399A8"/>
    <w:rsid w:val="3433BE50"/>
    <w:rsid w:val="3433DED5"/>
    <w:rsid w:val="3434A06A"/>
    <w:rsid w:val="343576C9"/>
    <w:rsid w:val="34358471"/>
    <w:rsid w:val="3435E0D5"/>
    <w:rsid w:val="34360283"/>
    <w:rsid w:val="3436FFC2"/>
    <w:rsid w:val="343774A2"/>
    <w:rsid w:val="34379C1E"/>
    <w:rsid w:val="34385202"/>
    <w:rsid w:val="34385F79"/>
    <w:rsid w:val="3438753F"/>
    <w:rsid w:val="34393890"/>
    <w:rsid w:val="34399201"/>
    <w:rsid w:val="343A5D64"/>
    <w:rsid w:val="343AA6A8"/>
    <w:rsid w:val="343AEAFC"/>
    <w:rsid w:val="343B0F1D"/>
    <w:rsid w:val="343B3EEA"/>
    <w:rsid w:val="343B47F9"/>
    <w:rsid w:val="343C155F"/>
    <w:rsid w:val="343C6C2A"/>
    <w:rsid w:val="343D7C55"/>
    <w:rsid w:val="343DDFC6"/>
    <w:rsid w:val="343E25CC"/>
    <w:rsid w:val="343E7C16"/>
    <w:rsid w:val="3440011C"/>
    <w:rsid w:val="344013B4"/>
    <w:rsid w:val="34401A37"/>
    <w:rsid w:val="34404235"/>
    <w:rsid w:val="34406B98"/>
    <w:rsid w:val="34409660"/>
    <w:rsid w:val="344205FE"/>
    <w:rsid w:val="344282D3"/>
    <w:rsid w:val="3442F058"/>
    <w:rsid w:val="3443C728"/>
    <w:rsid w:val="3443F9F5"/>
    <w:rsid w:val="34441E5E"/>
    <w:rsid w:val="34442828"/>
    <w:rsid w:val="3444AA61"/>
    <w:rsid w:val="34451833"/>
    <w:rsid w:val="344529AF"/>
    <w:rsid w:val="34453315"/>
    <w:rsid w:val="34457EBC"/>
    <w:rsid w:val="34459C96"/>
    <w:rsid w:val="3445C587"/>
    <w:rsid w:val="34463410"/>
    <w:rsid w:val="34464D70"/>
    <w:rsid w:val="3446BD64"/>
    <w:rsid w:val="3446E70B"/>
    <w:rsid w:val="34478942"/>
    <w:rsid w:val="34478FBD"/>
    <w:rsid w:val="3447BBED"/>
    <w:rsid w:val="3447E407"/>
    <w:rsid w:val="3447FC80"/>
    <w:rsid w:val="344896D8"/>
    <w:rsid w:val="34489C1D"/>
    <w:rsid w:val="3448BC24"/>
    <w:rsid w:val="3448DF36"/>
    <w:rsid w:val="3448E9B2"/>
    <w:rsid w:val="34493C16"/>
    <w:rsid w:val="344A2538"/>
    <w:rsid w:val="344AA76B"/>
    <w:rsid w:val="344B2284"/>
    <w:rsid w:val="344BD5C3"/>
    <w:rsid w:val="344CDAD3"/>
    <w:rsid w:val="344D4052"/>
    <w:rsid w:val="344D82B1"/>
    <w:rsid w:val="344F6C7A"/>
    <w:rsid w:val="3450EB06"/>
    <w:rsid w:val="34512358"/>
    <w:rsid w:val="34523F73"/>
    <w:rsid w:val="3452681F"/>
    <w:rsid w:val="3452C368"/>
    <w:rsid w:val="345375DF"/>
    <w:rsid w:val="3453BADD"/>
    <w:rsid w:val="3453C8EB"/>
    <w:rsid w:val="3454F6F4"/>
    <w:rsid w:val="3455E149"/>
    <w:rsid w:val="3456978C"/>
    <w:rsid w:val="345724FB"/>
    <w:rsid w:val="3457DDBA"/>
    <w:rsid w:val="34593EA1"/>
    <w:rsid w:val="34595CD1"/>
    <w:rsid w:val="345A6ADE"/>
    <w:rsid w:val="345A7108"/>
    <w:rsid w:val="345AE54D"/>
    <w:rsid w:val="345AF33A"/>
    <w:rsid w:val="345BB8D1"/>
    <w:rsid w:val="345BE043"/>
    <w:rsid w:val="345C4C18"/>
    <w:rsid w:val="345C7AA3"/>
    <w:rsid w:val="345CB2ED"/>
    <w:rsid w:val="345D3884"/>
    <w:rsid w:val="345DA99B"/>
    <w:rsid w:val="345E4FF6"/>
    <w:rsid w:val="345E8849"/>
    <w:rsid w:val="34603404"/>
    <w:rsid w:val="346074D9"/>
    <w:rsid w:val="34608A62"/>
    <w:rsid w:val="3460E3BF"/>
    <w:rsid w:val="3460F017"/>
    <w:rsid w:val="3460FA89"/>
    <w:rsid w:val="34620CB6"/>
    <w:rsid w:val="34629AE2"/>
    <w:rsid w:val="346474DC"/>
    <w:rsid w:val="3464C24B"/>
    <w:rsid w:val="346523E5"/>
    <w:rsid w:val="3465C892"/>
    <w:rsid w:val="3465DA2E"/>
    <w:rsid w:val="34662F49"/>
    <w:rsid w:val="3466DC0D"/>
    <w:rsid w:val="34671829"/>
    <w:rsid w:val="3467342D"/>
    <w:rsid w:val="3467662B"/>
    <w:rsid w:val="3467ABD9"/>
    <w:rsid w:val="34691757"/>
    <w:rsid w:val="34696044"/>
    <w:rsid w:val="3469E1C8"/>
    <w:rsid w:val="346AF0D3"/>
    <w:rsid w:val="346B3AC9"/>
    <w:rsid w:val="346CCC0F"/>
    <w:rsid w:val="346D0B94"/>
    <w:rsid w:val="346D1B4B"/>
    <w:rsid w:val="346D8B14"/>
    <w:rsid w:val="346E790E"/>
    <w:rsid w:val="346E805F"/>
    <w:rsid w:val="346EC059"/>
    <w:rsid w:val="346EF240"/>
    <w:rsid w:val="346F1C48"/>
    <w:rsid w:val="346F4EE9"/>
    <w:rsid w:val="346FB9E4"/>
    <w:rsid w:val="34706EB8"/>
    <w:rsid w:val="34715B6B"/>
    <w:rsid w:val="3471CE6E"/>
    <w:rsid w:val="3472C1A1"/>
    <w:rsid w:val="3472F413"/>
    <w:rsid w:val="3473FE67"/>
    <w:rsid w:val="3474CCE0"/>
    <w:rsid w:val="3477452A"/>
    <w:rsid w:val="3477F71F"/>
    <w:rsid w:val="3478BF52"/>
    <w:rsid w:val="3478DFFA"/>
    <w:rsid w:val="34798FB2"/>
    <w:rsid w:val="3479E455"/>
    <w:rsid w:val="347A2EE8"/>
    <w:rsid w:val="347AEDC3"/>
    <w:rsid w:val="347B18D5"/>
    <w:rsid w:val="347B919C"/>
    <w:rsid w:val="347BEE4F"/>
    <w:rsid w:val="347C963E"/>
    <w:rsid w:val="347DB5BA"/>
    <w:rsid w:val="347E4018"/>
    <w:rsid w:val="347E60B5"/>
    <w:rsid w:val="347E97B8"/>
    <w:rsid w:val="347F7D2D"/>
    <w:rsid w:val="347F9656"/>
    <w:rsid w:val="347FDDE7"/>
    <w:rsid w:val="3481BFC5"/>
    <w:rsid w:val="3482171B"/>
    <w:rsid w:val="3482DFC0"/>
    <w:rsid w:val="34837E95"/>
    <w:rsid w:val="3483CBC7"/>
    <w:rsid w:val="34841382"/>
    <w:rsid w:val="34844426"/>
    <w:rsid w:val="348452ED"/>
    <w:rsid w:val="3484A7D3"/>
    <w:rsid w:val="3484FA7F"/>
    <w:rsid w:val="34858F1D"/>
    <w:rsid w:val="34862015"/>
    <w:rsid w:val="34868FD8"/>
    <w:rsid w:val="34875FC4"/>
    <w:rsid w:val="34877709"/>
    <w:rsid w:val="3489285F"/>
    <w:rsid w:val="3489C6D4"/>
    <w:rsid w:val="348A144C"/>
    <w:rsid w:val="348ABEAF"/>
    <w:rsid w:val="348ACF24"/>
    <w:rsid w:val="348B20FA"/>
    <w:rsid w:val="348B4C27"/>
    <w:rsid w:val="348BA3A3"/>
    <w:rsid w:val="348C2458"/>
    <w:rsid w:val="348C42EF"/>
    <w:rsid w:val="348C4E04"/>
    <w:rsid w:val="348C9DDB"/>
    <w:rsid w:val="348DC451"/>
    <w:rsid w:val="348E1F30"/>
    <w:rsid w:val="348E4848"/>
    <w:rsid w:val="348E5614"/>
    <w:rsid w:val="348E566B"/>
    <w:rsid w:val="348ECE97"/>
    <w:rsid w:val="348F7A87"/>
    <w:rsid w:val="3490098D"/>
    <w:rsid w:val="34903AD1"/>
    <w:rsid w:val="3492F80D"/>
    <w:rsid w:val="349336C3"/>
    <w:rsid w:val="34935F43"/>
    <w:rsid w:val="349388C9"/>
    <w:rsid w:val="34942E1B"/>
    <w:rsid w:val="34969C70"/>
    <w:rsid w:val="3496A36B"/>
    <w:rsid w:val="3496AFD9"/>
    <w:rsid w:val="3496D1A7"/>
    <w:rsid w:val="3498A15D"/>
    <w:rsid w:val="3498D0F4"/>
    <w:rsid w:val="3499A7A8"/>
    <w:rsid w:val="3499A8A3"/>
    <w:rsid w:val="3499CCBE"/>
    <w:rsid w:val="3499FD3C"/>
    <w:rsid w:val="349A856F"/>
    <w:rsid w:val="349B7AD1"/>
    <w:rsid w:val="349BEA7F"/>
    <w:rsid w:val="349C2089"/>
    <w:rsid w:val="349E15D6"/>
    <w:rsid w:val="349E789A"/>
    <w:rsid w:val="349E898F"/>
    <w:rsid w:val="349F91CA"/>
    <w:rsid w:val="34A0597C"/>
    <w:rsid w:val="34A11B52"/>
    <w:rsid w:val="34A1949C"/>
    <w:rsid w:val="34A21B97"/>
    <w:rsid w:val="34A24181"/>
    <w:rsid w:val="34A35E00"/>
    <w:rsid w:val="34A38FF3"/>
    <w:rsid w:val="34A39B26"/>
    <w:rsid w:val="34A47277"/>
    <w:rsid w:val="34A4ED06"/>
    <w:rsid w:val="34A50575"/>
    <w:rsid w:val="34A5BFBA"/>
    <w:rsid w:val="34A5CE95"/>
    <w:rsid w:val="34A5D406"/>
    <w:rsid w:val="34A6ED7E"/>
    <w:rsid w:val="34A77F88"/>
    <w:rsid w:val="34A78419"/>
    <w:rsid w:val="34A78857"/>
    <w:rsid w:val="34A7AE4F"/>
    <w:rsid w:val="34A846C3"/>
    <w:rsid w:val="34A8BDA1"/>
    <w:rsid w:val="34A960BA"/>
    <w:rsid w:val="34AA65E2"/>
    <w:rsid w:val="34AA9B33"/>
    <w:rsid w:val="34AACAAB"/>
    <w:rsid w:val="34AB02FF"/>
    <w:rsid w:val="34AC28B3"/>
    <w:rsid w:val="34AC2C6B"/>
    <w:rsid w:val="34AC7EE5"/>
    <w:rsid w:val="34ACB187"/>
    <w:rsid w:val="34AD906F"/>
    <w:rsid w:val="34AEC7C1"/>
    <w:rsid w:val="34AEF1F8"/>
    <w:rsid w:val="34AF27AC"/>
    <w:rsid w:val="34AFAC5B"/>
    <w:rsid w:val="34B0CDA1"/>
    <w:rsid w:val="34B111E4"/>
    <w:rsid w:val="34B18EEB"/>
    <w:rsid w:val="34B34112"/>
    <w:rsid w:val="34B45B3D"/>
    <w:rsid w:val="34B62263"/>
    <w:rsid w:val="34B6BF52"/>
    <w:rsid w:val="34B72192"/>
    <w:rsid w:val="34B7FAD1"/>
    <w:rsid w:val="34B7FD82"/>
    <w:rsid w:val="34B85DE2"/>
    <w:rsid w:val="34B8937F"/>
    <w:rsid w:val="34B8B9C6"/>
    <w:rsid w:val="34B8DF75"/>
    <w:rsid w:val="34B93E06"/>
    <w:rsid w:val="34B98249"/>
    <w:rsid w:val="34B9BD56"/>
    <w:rsid w:val="34BAA6FA"/>
    <w:rsid w:val="34BAB510"/>
    <w:rsid w:val="34BBB0E6"/>
    <w:rsid w:val="34BC8E40"/>
    <w:rsid w:val="34BCD0B0"/>
    <w:rsid w:val="34BCDA46"/>
    <w:rsid w:val="34BCE6A6"/>
    <w:rsid w:val="34BCF320"/>
    <w:rsid w:val="34BD4067"/>
    <w:rsid w:val="34BD6924"/>
    <w:rsid w:val="34BDDB35"/>
    <w:rsid w:val="34BDE49A"/>
    <w:rsid w:val="34BE43BE"/>
    <w:rsid w:val="34BF18F3"/>
    <w:rsid w:val="34BF1DA1"/>
    <w:rsid w:val="34BF9539"/>
    <w:rsid w:val="34BFD3FB"/>
    <w:rsid w:val="34C02179"/>
    <w:rsid w:val="34C0DE14"/>
    <w:rsid w:val="34C1364F"/>
    <w:rsid w:val="34C159F3"/>
    <w:rsid w:val="34C1620B"/>
    <w:rsid w:val="34C1A1EC"/>
    <w:rsid w:val="34C1E8F6"/>
    <w:rsid w:val="34C21A19"/>
    <w:rsid w:val="34C3A6C0"/>
    <w:rsid w:val="34C3CF21"/>
    <w:rsid w:val="34C493EA"/>
    <w:rsid w:val="34C49794"/>
    <w:rsid w:val="34C4D652"/>
    <w:rsid w:val="34C4F946"/>
    <w:rsid w:val="34C4F99E"/>
    <w:rsid w:val="34C5071B"/>
    <w:rsid w:val="34C5D832"/>
    <w:rsid w:val="34C614A8"/>
    <w:rsid w:val="34C63E13"/>
    <w:rsid w:val="34C64AA5"/>
    <w:rsid w:val="34C6A23C"/>
    <w:rsid w:val="34C70138"/>
    <w:rsid w:val="34C71751"/>
    <w:rsid w:val="34C80ADD"/>
    <w:rsid w:val="34C8236C"/>
    <w:rsid w:val="34C86440"/>
    <w:rsid w:val="34C94640"/>
    <w:rsid w:val="34C9949F"/>
    <w:rsid w:val="34C9F82F"/>
    <w:rsid w:val="34CA60FE"/>
    <w:rsid w:val="34CAC40C"/>
    <w:rsid w:val="34CADD9E"/>
    <w:rsid w:val="34CAE30E"/>
    <w:rsid w:val="34CB1158"/>
    <w:rsid w:val="34CBE1E8"/>
    <w:rsid w:val="34CC02ED"/>
    <w:rsid w:val="34CC6313"/>
    <w:rsid w:val="34CC7E9D"/>
    <w:rsid w:val="34CD0CCE"/>
    <w:rsid w:val="34CE2A5A"/>
    <w:rsid w:val="34CE72DF"/>
    <w:rsid w:val="34CEFB6C"/>
    <w:rsid w:val="34D056B4"/>
    <w:rsid w:val="34D06BC5"/>
    <w:rsid w:val="34D10146"/>
    <w:rsid w:val="34D221D4"/>
    <w:rsid w:val="34D307DD"/>
    <w:rsid w:val="34D4A585"/>
    <w:rsid w:val="34D5ED0D"/>
    <w:rsid w:val="34D683F8"/>
    <w:rsid w:val="34D69E27"/>
    <w:rsid w:val="34D772E4"/>
    <w:rsid w:val="34D7C5EC"/>
    <w:rsid w:val="34D82695"/>
    <w:rsid w:val="34D8458E"/>
    <w:rsid w:val="34D8B3CD"/>
    <w:rsid w:val="34D8FDDA"/>
    <w:rsid w:val="34DBC8F1"/>
    <w:rsid w:val="34DBF664"/>
    <w:rsid w:val="34DC3524"/>
    <w:rsid w:val="34DC381F"/>
    <w:rsid w:val="34DCC134"/>
    <w:rsid w:val="34DCEB1E"/>
    <w:rsid w:val="34DD7AEB"/>
    <w:rsid w:val="34DE26A5"/>
    <w:rsid w:val="34DE2D59"/>
    <w:rsid w:val="34DE4832"/>
    <w:rsid w:val="34DEBBAE"/>
    <w:rsid w:val="34DF3332"/>
    <w:rsid w:val="34DFCAC6"/>
    <w:rsid w:val="34E09009"/>
    <w:rsid w:val="34E0BCDA"/>
    <w:rsid w:val="34E1D109"/>
    <w:rsid w:val="34E22B3F"/>
    <w:rsid w:val="34E27C4F"/>
    <w:rsid w:val="34E2F847"/>
    <w:rsid w:val="34E38752"/>
    <w:rsid w:val="34E4878A"/>
    <w:rsid w:val="34E57111"/>
    <w:rsid w:val="34E63C9A"/>
    <w:rsid w:val="34E6C342"/>
    <w:rsid w:val="34E6C531"/>
    <w:rsid w:val="34E6D275"/>
    <w:rsid w:val="34E79CC2"/>
    <w:rsid w:val="34E80127"/>
    <w:rsid w:val="34E882D1"/>
    <w:rsid w:val="34E8A1C7"/>
    <w:rsid w:val="34E8E8D2"/>
    <w:rsid w:val="34E9D092"/>
    <w:rsid w:val="34E9DEED"/>
    <w:rsid w:val="34EA3C07"/>
    <w:rsid w:val="34EB388C"/>
    <w:rsid w:val="34EB7020"/>
    <w:rsid w:val="34EB94D3"/>
    <w:rsid w:val="34EBA2E7"/>
    <w:rsid w:val="34ED1586"/>
    <w:rsid w:val="34ED5719"/>
    <w:rsid w:val="34ED732B"/>
    <w:rsid w:val="34ED7ACC"/>
    <w:rsid w:val="34EDBADE"/>
    <w:rsid w:val="34EE88DB"/>
    <w:rsid w:val="34EF062F"/>
    <w:rsid w:val="34EF114A"/>
    <w:rsid w:val="34EF29D9"/>
    <w:rsid w:val="34EF7BA5"/>
    <w:rsid w:val="34EF85FE"/>
    <w:rsid w:val="34EFC6C4"/>
    <w:rsid w:val="34F0203F"/>
    <w:rsid w:val="34F0388F"/>
    <w:rsid w:val="34F12C6C"/>
    <w:rsid w:val="34F13D03"/>
    <w:rsid w:val="34F17182"/>
    <w:rsid w:val="34F1F08F"/>
    <w:rsid w:val="34F217CE"/>
    <w:rsid w:val="34F24481"/>
    <w:rsid w:val="34F2909E"/>
    <w:rsid w:val="34F29A2A"/>
    <w:rsid w:val="34F34938"/>
    <w:rsid w:val="34F35F6C"/>
    <w:rsid w:val="34F3C8E7"/>
    <w:rsid w:val="34F3F2E0"/>
    <w:rsid w:val="34F43A30"/>
    <w:rsid w:val="34F4F38F"/>
    <w:rsid w:val="34F5347A"/>
    <w:rsid w:val="34F5B881"/>
    <w:rsid w:val="34F68E59"/>
    <w:rsid w:val="34F703D7"/>
    <w:rsid w:val="34F7851C"/>
    <w:rsid w:val="34F78E6D"/>
    <w:rsid w:val="34F858D0"/>
    <w:rsid w:val="34F8C509"/>
    <w:rsid w:val="34F94663"/>
    <w:rsid w:val="34F95E7C"/>
    <w:rsid w:val="34FC782E"/>
    <w:rsid w:val="34FC9998"/>
    <w:rsid w:val="34FC9BA2"/>
    <w:rsid w:val="34FD0A79"/>
    <w:rsid w:val="34FEE0A8"/>
    <w:rsid w:val="350045D5"/>
    <w:rsid w:val="35024DF3"/>
    <w:rsid w:val="35038545"/>
    <w:rsid w:val="35040BCA"/>
    <w:rsid w:val="35043439"/>
    <w:rsid w:val="35044EE0"/>
    <w:rsid w:val="350459B6"/>
    <w:rsid w:val="3504B6F0"/>
    <w:rsid w:val="35050E2D"/>
    <w:rsid w:val="35066873"/>
    <w:rsid w:val="35068D3F"/>
    <w:rsid w:val="3506D421"/>
    <w:rsid w:val="3506F08B"/>
    <w:rsid w:val="350854E7"/>
    <w:rsid w:val="35085934"/>
    <w:rsid w:val="350A3093"/>
    <w:rsid w:val="350A55E4"/>
    <w:rsid w:val="350A8F6D"/>
    <w:rsid w:val="350AF6D3"/>
    <w:rsid w:val="350B6267"/>
    <w:rsid w:val="350D6CB5"/>
    <w:rsid w:val="350E0D63"/>
    <w:rsid w:val="350F35E0"/>
    <w:rsid w:val="350FEDCC"/>
    <w:rsid w:val="3510B3E2"/>
    <w:rsid w:val="35116AF4"/>
    <w:rsid w:val="3511AC40"/>
    <w:rsid w:val="3511DC00"/>
    <w:rsid w:val="35120A31"/>
    <w:rsid w:val="351265F3"/>
    <w:rsid w:val="3512C22E"/>
    <w:rsid w:val="351456C3"/>
    <w:rsid w:val="3514D0DA"/>
    <w:rsid w:val="35153268"/>
    <w:rsid w:val="3515604E"/>
    <w:rsid w:val="351580AA"/>
    <w:rsid w:val="35165252"/>
    <w:rsid w:val="3516A8FB"/>
    <w:rsid w:val="3516B054"/>
    <w:rsid w:val="35182DBC"/>
    <w:rsid w:val="3518754E"/>
    <w:rsid w:val="3518ADDE"/>
    <w:rsid w:val="35190D1B"/>
    <w:rsid w:val="351932FC"/>
    <w:rsid w:val="351A14E3"/>
    <w:rsid w:val="351AC0A8"/>
    <w:rsid w:val="351B2BC2"/>
    <w:rsid w:val="351B49B2"/>
    <w:rsid w:val="351BE8F4"/>
    <w:rsid w:val="351C4064"/>
    <w:rsid w:val="351C90B9"/>
    <w:rsid w:val="351E20A1"/>
    <w:rsid w:val="351EA22C"/>
    <w:rsid w:val="351F5FCE"/>
    <w:rsid w:val="352065DD"/>
    <w:rsid w:val="3521B44F"/>
    <w:rsid w:val="35221B5F"/>
    <w:rsid w:val="3522FCFB"/>
    <w:rsid w:val="3523BA07"/>
    <w:rsid w:val="3523D753"/>
    <w:rsid w:val="3524F9FB"/>
    <w:rsid w:val="352514B9"/>
    <w:rsid w:val="35256879"/>
    <w:rsid w:val="35267323"/>
    <w:rsid w:val="3526A2A8"/>
    <w:rsid w:val="3526E50D"/>
    <w:rsid w:val="35275397"/>
    <w:rsid w:val="35279715"/>
    <w:rsid w:val="3527AD33"/>
    <w:rsid w:val="35280C96"/>
    <w:rsid w:val="35281954"/>
    <w:rsid w:val="35281BFF"/>
    <w:rsid w:val="35288A3D"/>
    <w:rsid w:val="3528EC75"/>
    <w:rsid w:val="35291A6C"/>
    <w:rsid w:val="35296B79"/>
    <w:rsid w:val="3529EB92"/>
    <w:rsid w:val="3529F770"/>
    <w:rsid w:val="352A4E0F"/>
    <w:rsid w:val="352AD80F"/>
    <w:rsid w:val="352B0D74"/>
    <w:rsid w:val="352B5040"/>
    <w:rsid w:val="352B7606"/>
    <w:rsid w:val="352C19DE"/>
    <w:rsid w:val="352C34C0"/>
    <w:rsid w:val="352C8032"/>
    <w:rsid w:val="352CDF4D"/>
    <w:rsid w:val="352D0978"/>
    <w:rsid w:val="352D4600"/>
    <w:rsid w:val="352D57BE"/>
    <w:rsid w:val="352DA55D"/>
    <w:rsid w:val="352E02C4"/>
    <w:rsid w:val="352E148C"/>
    <w:rsid w:val="352E4E04"/>
    <w:rsid w:val="352EA7D0"/>
    <w:rsid w:val="352ECB36"/>
    <w:rsid w:val="352FC243"/>
    <w:rsid w:val="35301B57"/>
    <w:rsid w:val="35302618"/>
    <w:rsid w:val="35306139"/>
    <w:rsid w:val="3530707A"/>
    <w:rsid w:val="35327903"/>
    <w:rsid w:val="3532AEB8"/>
    <w:rsid w:val="3533ADCD"/>
    <w:rsid w:val="3533DE30"/>
    <w:rsid w:val="353419E2"/>
    <w:rsid w:val="353447D3"/>
    <w:rsid w:val="35344850"/>
    <w:rsid w:val="3534AAE2"/>
    <w:rsid w:val="3535187E"/>
    <w:rsid w:val="35351911"/>
    <w:rsid w:val="3535CD90"/>
    <w:rsid w:val="35361A39"/>
    <w:rsid w:val="3536359C"/>
    <w:rsid w:val="35366534"/>
    <w:rsid w:val="3536A91A"/>
    <w:rsid w:val="3536B9AB"/>
    <w:rsid w:val="3536CE5C"/>
    <w:rsid w:val="3537C53B"/>
    <w:rsid w:val="3537D1FC"/>
    <w:rsid w:val="3537D325"/>
    <w:rsid w:val="35382A75"/>
    <w:rsid w:val="353851E9"/>
    <w:rsid w:val="3538E756"/>
    <w:rsid w:val="353904C4"/>
    <w:rsid w:val="3539EFE4"/>
    <w:rsid w:val="353A682E"/>
    <w:rsid w:val="353B0967"/>
    <w:rsid w:val="353B493F"/>
    <w:rsid w:val="353B5002"/>
    <w:rsid w:val="353B7021"/>
    <w:rsid w:val="353BACA7"/>
    <w:rsid w:val="353C47E7"/>
    <w:rsid w:val="353C9F56"/>
    <w:rsid w:val="353D0F2E"/>
    <w:rsid w:val="353D8E5A"/>
    <w:rsid w:val="353DB4FE"/>
    <w:rsid w:val="353F70E5"/>
    <w:rsid w:val="353FC0B9"/>
    <w:rsid w:val="354104D3"/>
    <w:rsid w:val="354200C0"/>
    <w:rsid w:val="3542A6FB"/>
    <w:rsid w:val="35434414"/>
    <w:rsid w:val="3543A02C"/>
    <w:rsid w:val="3543A9CA"/>
    <w:rsid w:val="3543C27B"/>
    <w:rsid w:val="35441A30"/>
    <w:rsid w:val="354467EF"/>
    <w:rsid w:val="3544BF70"/>
    <w:rsid w:val="3544F907"/>
    <w:rsid w:val="354560DC"/>
    <w:rsid w:val="35457B73"/>
    <w:rsid w:val="35458425"/>
    <w:rsid w:val="35460DA8"/>
    <w:rsid w:val="3547DFA1"/>
    <w:rsid w:val="3547FE07"/>
    <w:rsid w:val="3547FF19"/>
    <w:rsid w:val="3548092D"/>
    <w:rsid w:val="3548E4B1"/>
    <w:rsid w:val="35490FFC"/>
    <w:rsid w:val="3549113C"/>
    <w:rsid w:val="3549941E"/>
    <w:rsid w:val="354A0F93"/>
    <w:rsid w:val="354B4B25"/>
    <w:rsid w:val="354B757C"/>
    <w:rsid w:val="354BC0A9"/>
    <w:rsid w:val="354BE65D"/>
    <w:rsid w:val="354C37F4"/>
    <w:rsid w:val="354CADFA"/>
    <w:rsid w:val="354D7C97"/>
    <w:rsid w:val="354DD893"/>
    <w:rsid w:val="354E9FB8"/>
    <w:rsid w:val="354F7AFC"/>
    <w:rsid w:val="35513EE1"/>
    <w:rsid w:val="3551A10F"/>
    <w:rsid w:val="35524AD7"/>
    <w:rsid w:val="35525706"/>
    <w:rsid w:val="3552A249"/>
    <w:rsid w:val="35537E1C"/>
    <w:rsid w:val="3553D0DB"/>
    <w:rsid w:val="35546747"/>
    <w:rsid w:val="3554CDEA"/>
    <w:rsid w:val="3554F01B"/>
    <w:rsid w:val="35563BC9"/>
    <w:rsid w:val="3556EF48"/>
    <w:rsid w:val="35574CD4"/>
    <w:rsid w:val="35586902"/>
    <w:rsid w:val="35587D7D"/>
    <w:rsid w:val="355927DE"/>
    <w:rsid w:val="35592E78"/>
    <w:rsid w:val="35595937"/>
    <w:rsid w:val="35598E96"/>
    <w:rsid w:val="3559A529"/>
    <w:rsid w:val="3559EE91"/>
    <w:rsid w:val="355A1FE8"/>
    <w:rsid w:val="355A3AA4"/>
    <w:rsid w:val="355B3094"/>
    <w:rsid w:val="355B5D6E"/>
    <w:rsid w:val="355B8408"/>
    <w:rsid w:val="355C220B"/>
    <w:rsid w:val="355CBFA4"/>
    <w:rsid w:val="355E1D43"/>
    <w:rsid w:val="355E4222"/>
    <w:rsid w:val="355EA0CD"/>
    <w:rsid w:val="355F1AA5"/>
    <w:rsid w:val="355F4D5A"/>
    <w:rsid w:val="355FA806"/>
    <w:rsid w:val="355FAA00"/>
    <w:rsid w:val="35600D76"/>
    <w:rsid w:val="35619929"/>
    <w:rsid w:val="3561A25D"/>
    <w:rsid w:val="3561E714"/>
    <w:rsid w:val="356313FA"/>
    <w:rsid w:val="35635401"/>
    <w:rsid w:val="35641ED1"/>
    <w:rsid w:val="356456F6"/>
    <w:rsid w:val="3564A6C0"/>
    <w:rsid w:val="3564B752"/>
    <w:rsid w:val="3564EB76"/>
    <w:rsid w:val="356657D7"/>
    <w:rsid w:val="3566B137"/>
    <w:rsid w:val="356726C0"/>
    <w:rsid w:val="35674594"/>
    <w:rsid w:val="356745A7"/>
    <w:rsid w:val="35676628"/>
    <w:rsid w:val="3567EE89"/>
    <w:rsid w:val="35683377"/>
    <w:rsid w:val="3568886D"/>
    <w:rsid w:val="3569484E"/>
    <w:rsid w:val="356994CA"/>
    <w:rsid w:val="3569E51A"/>
    <w:rsid w:val="356A4C1C"/>
    <w:rsid w:val="356A565D"/>
    <w:rsid w:val="356A8870"/>
    <w:rsid w:val="356AC725"/>
    <w:rsid w:val="356B0F9A"/>
    <w:rsid w:val="356B58EE"/>
    <w:rsid w:val="356BB72E"/>
    <w:rsid w:val="356C2921"/>
    <w:rsid w:val="356C6A2E"/>
    <w:rsid w:val="356C8840"/>
    <w:rsid w:val="356CE3C3"/>
    <w:rsid w:val="356CF48B"/>
    <w:rsid w:val="356D0BD3"/>
    <w:rsid w:val="356D39DA"/>
    <w:rsid w:val="356D8FA4"/>
    <w:rsid w:val="356EA083"/>
    <w:rsid w:val="356EA367"/>
    <w:rsid w:val="356EEDB1"/>
    <w:rsid w:val="356F2447"/>
    <w:rsid w:val="356F3315"/>
    <w:rsid w:val="356F7F06"/>
    <w:rsid w:val="35703A0E"/>
    <w:rsid w:val="35708405"/>
    <w:rsid w:val="3570D6F0"/>
    <w:rsid w:val="3571E990"/>
    <w:rsid w:val="35720B6B"/>
    <w:rsid w:val="35734495"/>
    <w:rsid w:val="35746249"/>
    <w:rsid w:val="357580B2"/>
    <w:rsid w:val="3576E1B0"/>
    <w:rsid w:val="35770775"/>
    <w:rsid w:val="3577BEFB"/>
    <w:rsid w:val="3577D497"/>
    <w:rsid w:val="3577E9B2"/>
    <w:rsid w:val="357865C3"/>
    <w:rsid w:val="35799882"/>
    <w:rsid w:val="3579DF76"/>
    <w:rsid w:val="357AD10D"/>
    <w:rsid w:val="357AF652"/>
    <w:rsid w:val="357B4D8A"/>
    <w:rsid w:val="357B9991"/>
    <w:rsid w:val="357BD631"/>
    <w:rsid w:val="357C0E7C"/>
    <w:rsid w:val="357C35C0"/>
    <w:rsid w:val="357C7995"/>
    <w:rsid w:val="357D47A4"/>
    <w:rsid w:val="357E2A5E"/>
    <w:rsid w:val="357E5D12"/>
    <w:rsid w:val="357E78AD"/>
    <w:rsid w:val="357E8541"/>
    <w:rsid w:val="357F0745"/>
    <w:rsid w:val="357F4587"/>
    <w:rsid w:val="35804181"/>
    <w:rsid w:val="358127A0"/>
    <w:rsid w:val="35825421"/>
    <w:rsid w:val="35839C62"/>
    <w:rsid w:val="3583C637"/>
    <w:rsid w:val="3583F62B"/>
    <w:rsid w:val="35843B0A"/>
    <w:rsid w:val="358477BA"/>
    <w:rsid w:val="3585AAA5"/>
    <w:rsid w:val="3585D48F"/>
    <w:rsid w:val="35860D51"/>
    <w:rsid w:val="3587E01D"/>
    <w:rsid w:val="3587E6C8"/>
    <w:rsid w:val="358867B1"/>
    <w:rsid w:val="3588788B"/>
    <w:rsid w:val="3589BB99"/>
    <w:rsid w:val="358ADF8E"/>
    <w:rsid w:val="358B6B42"/>
    <w:rsid w:val="358B8FD6"/>
    <w:rsid w:val="358B99FC"/>
    <w:rsid w:val="358C8A8F"/>
    <w:rsid w:val="358CF612"/>
    <w:rsid w:val="358D7259"/>
    <w:rsid w:val="358D9173"/>
    <w:rsid w:val="358DFF39"/>
    <w:rsid w:val="358E3F2D"/>
    <w:rsid w:val="358FB333"/>
    <w:rsid w:val="358FCD6E"/>
    <w:rsid w:val="35902EA0"/>
    <w:rsid w:val="359164D5"/>
    <w:rsid w:val="35918410"/>
    <w:rsid w:val="35924FEF"/>
    <w:rsid w:val="359275ED"/>
    <w:rsid w:val="3592884E"/>
    <w:rsid w:val="35929DEB"/>
    <w:rsid w:val="3592A8C8"/>
    <w:rsid w:val="3592C644"/>
    <w:rsid w:val="35936E4E"/>
    <w:rsid w:val="3593758D"/>
    <w:rsid w:val="3594350D"/>
    <w:rsid w:val="359475E7"/>
    <w:rsid w:val="35954FF6"/>
    <w:rsid w:val="35963A1A"/>
    <w:rsid w:val="359674C7"/>
    <w:rsid w:val="359782BF"/>
    <w:rsid w:val="35980A72"/>
    <w:rsid w:val="3598A094"/>
    <w:rsid w:val="3598E3C0"/>
    <w:rsid w:val="35998339"/>
    <w:rsid w:val="3599AF9E"/>
    <w:rsid w:val="3599FF5D"/>
    <w:rsid w:val="359A0C87"/>
    <w:rsid w:val="359A891A"/>
    <w:rsid w:val="359AB08A"/>
    <w:rsid w:val="359B20D2"/>
    <w:rsid w:val="359C0B82"/>
    <w:rsid w:val="359C3C60"/>
    <w:rsid w:val="359CA705"/>
    <w:rsid w:val="359CFEE9"/>
    <w:rsid w:val="359D135B"/>
    <w:rsid w:val="359E0668"/>
    <w:rsid w:val="359E444E"/>
    <w:rsid w:val="359EFE71"/>
    <w:rsid w:val="359F0F4D"/>
    <w:rsid w:val="359F2550"/>
    <w:rsid w:val="359F5A1E"/>
    <w:rsid w:val="35A03067"/>
    <w:rsid w:val="35A0E7E5"/>
    <w:rsid w:val="35A1274B"/>
    <w:rsid w:val="35A12BBF"/>
    <w:rsid w:val="35A1B95F"/>
    <w:rsid w:val="35A1C97E"/>
    <w:rsid w:val="35A1E656"/>
    <w:rsid w:val="35A1EA5A"/>
    <w:rsid w:val="35A1F966"/>
    <w:rsid w:val="35A2228F"/>
    <w:rsid w:val="35A2A260"/>
    <w:rsid w:val="35A2C003"/>
    <w:rsid w:val="35A2CD45"/>
    <w:rsid w:val="35A2EB41"/>
    <w:rsid w:val="35A3786F"/>
    <w:rsid w:val="35A45B54"/>
    <w:rsid w:val="35A4C342"/>
    <w:rsid w:val="35A51946"/>
    <w:rsid w:val="35A5424D"/>
    <w:rsid w:val="35A5EC57"/>
    <w:rsid w:val="35A75D4D"/>
    <w:rsid w:val="35A7FF5F"/>
    <w:rsid w:val="35A910F8"/>
    <w:rsid w:val="35A974BC"/>
    <w:rsid w:val="35AA6B97"/>
    <w:rsid w:val="35AAA613"/>
    <w:rsid w:val="35ABB3D1"/>
    <w:rsid w:val="35AC5631"/>
    <w:rsid w:val="35AC98C4"/>
    <w:rsid w:val="35AD0647"/>
    <w:rsid w:val="35ADA78F"/>
    <w:rsid w:val="35ADE5EC"/>
    <w:rsid w:val="35AE6B26"/>
    <w:rsid w:val="35AE6BAA"/>
    <w:rsid w:val="35AEEBBD"/>
    <w:rsid w:val="35AF2F5A"/>
    <w:rsid w:val="35AFE569"/>
    <w:rsid w:val="35B0AE16"/>
    <w:rsid w:val="35B0C1A7"/>
    <w:rsid w:val="35B0FE36"/>
    <w:rsid w:val="35B106CD"/>
    <w:rsid w:val="35B137EC"/>
    <w:rsid w:val="35B34854"/>
    <w:rsid w:val="35B450A0"/>
    <w:rsid w:val="35B5F324"/>
    <w:rsid w:val="35B6493B"/>
    <w:rsid w:val="35B75545"/>
    <w:rsid w:val="35B9F25B"/>
    <w:rsid w:val="35BA6832"/>
    <w:rsid w:val="35BAC871"/>
    <w:rsid w:val="35BB33D3"/>
    <w:rsid w:val="35BC4461"/>
    <w:rsid w:val="35BC680F"/>
    <w:rsid w:val="35BCEAD1"/>
    <w:rsid w:val="35BD3734"/>
    <w:rsid w:val="35BD41F7"/>
    <w:rsid w:val="35BE0274"/>
    <w:rsid w:val="35BE3EA0"/>
    <w:rsid w:val="35BF66A3"/>
    <w:rsid w:val="35BFC368"/>
    <w:rsid w:val="35C04AC5"/>
    <w:rsid w:val="35C05FD5"/>
    <w:rsid w:val="35C0723D"/>
    <w:rsid w:val="35C115D1"/>
    <w:rsid w:val="35C125D0"/>
    <w:rsid w:val="35C14219"/>
    <w:rsid w:val="35C247A6"/>
    <w:rsid w:val="35C29B03"/>
    <w:rsid w:val="35C404EC"/>
    <w:rsid w:val="35C40F24"/>
    <w:rsid w:val="35C4337D"/>
    <w:rsid w:val="35C491B3"/>
    <w:rsid w:val="35C4FC47"/>
    <w:rsid w:val="35C5DD78"/>
    <w:rsid w:val="35C63D8D"/>
    <w:rsid w:val="35C74566"/>
    <w:rsid w:val="35C785EC"/>
    <w:rsid w:val="35C8467C"/>
    <w:rsid w:val="35C85082"/>
    <w:rsid w:val="35C864DD"/>
    <w:rsid w:val="35C89BA5"/>
    <w:rsid w:val="35C8CF79"/>
    <w:rsid w:val="35C929D9"/>
    <w:rsid w:val="35C93086"/>
    <w:rsid w:val="35C941A4"/>
    <w:rsid w:val="35C9A65D"/>
    <w:rsid w:val="35C9D705"/>
    <w:rsid w:val="35CAA9AD"/>
    <w:rsid w:val="35CAC8BC"/>
    <w:rsid w:val="35CB6575"/>
    <w:rsid w:val="35CBDD28"/>
    <w:rsid w:val="35CD189E"/>
    <w:rsid w:val="35CD84AD"/>
    <w:rsid w:val="35CE61CD"/>
    <w:rsid w:val="35CF4D2A"/>
    <w:rsid w:val="35CFE947"/>
    <w:rsid w:val="35D082BC"/>
    <w:rsid w:val="35D0E911"/>
    <w:rsid w:val="35D12369"/>
    <w:rsid w:val="35D1608C"/>
    <w:rsid w:val="35D19047"/>
    <w:rsid w:val="35D19ED9"/>
    <w:rsid w:val="35D1A8CC"/>
    <w:rsid w:val="35D1C5F7"/>
    <w:rsid w:val="35D2A8F8"/>
    <w:rsid w:val="35D2F9DA"/>
    <w:rsid w:val="35D406B9"/>
    <w:rsid w:val="35D42691"/>
    <w:rsid w:val="35D44FAE"/>
    <w:rsid w:val="35D4899F"/>
    <w:rsid w:val="35D5100F"/>
    <w:rsid w:val="35D56768"/>
    <w:rsid w:val="35D58DE7"/>
    <w:rsid w:val="35D594D7"/>
    <w:rsid w:val="35D61799"/>
    <w:rsid w:val="35D79BB0"/>
    <w:rsid w:val="35D7E443"/>
    <w:rsid w:val="35D9F426"/>
    <w:rsid w:val="35DAB322"/>
    <w:rsid w:val="35DAF0CD"/>
    <w:rsid w:val="35DB694B"/>
    <w:rsid w:val="35DB75A7"/>
    <w:rsid w:val="35DBDA54"/>
    <w:rsid w:val="35DC37A5"/>
    <w:rsid w:val="35DC56CF"/>
    <w:rsid w:val="35DDE8DD"/>
    <w:rsid w:val="35DDEA2A"/>
    <w:rsid w:val="35DE155B"/>
    <w:rsid w:val="35DE26B4"/>
    <w:rsid w:val="35DFE093"/>
    <w:rsid w:val="35DFF4CC"/>
    <w:rsid w:val="35E0CEF3"/>
    <w:rsid w:val="35E0E078"/>
    <w:rsid w:val="35E1CC34"/>
    <w:rsid w:val="35E1DF1A"/>
    <w:rsid w:val="35E1E306"/>
    <w:rsid w:val="35E212BC"/>
    <w:rsid w:val="35E22EE1"/>
    <w:rsid w:val="35E2DC02"/>
    <w:rsid w:val="35E31469"/>
    <w:rsid w:val="35E384D6"/>
    <w:rsid w:val="35E3BDDF"/>
    <w:rsid w:val="35E3E2F3"/>
    <w:rsid w:val="35E3EED8"/>
    <w:rsid w:val="35E43104"/>
    <w:rsid w:val="35E52071"/>
    <w:rsid w:val="35E673EC"/>
    <w:rsid w:val="35E699EE"/>
    <w:rsid w:val="35E6B19C"/>
    <w:rsid w:val="35E7578A"/>
    <w:rsid w:val="35E7732F"/>
    <w:rsid w:val="35E7C638"/>
    <w:rsid w:val="35E8C051"/>
    <w:rsid w:val="35E9B435"/>
    <w:rsid w:val="35EA4EAE"/>
    <w:rsid w:val="35EAA4D7"/>
    <w:rsid w:val="35EAC303"/>
    <w:rsid w:val="35EB9A1F"/>
    <w:rsid w:val="35EC49F5"/>
    <w:rsid w:val="35EC59B8"/>
    <w:rsid w:val="35ECEF19"/>
    <w:rsid w:val="35ECFE56"/>
    <w:rsid w:val="35ED6B35"/>
    <w:rsid w:val="35EFA8A2"/>
    <w:rsid w:val="35EFB977"/>
    <w:rsid w:val="35EFE9A5"/>
    <w:rsid w:val="35F0360E"/>
    <w:rsid w:val="35F154E3"/>
    <w:rsid w:val="35F1D25A"/>
    <w:rsid w:val="35F1F856"/>
    <w:rsid w:val="35F1F9D2"/>
    <w:rsid w:val="35F28FE4"/>
    <w:rsid w:val="35F2BF5E"/>
    <w:rsid w:val="35F3EC8F"/>
    <w:rsid w:val="35F3FB12"/>
    <w:rsid w:val="35F43528"/>
    <w:rsid w:val="35F4740C"/>
    <w:rsid w:val="35F4998D"/>
    <w:rsid w:val="35F534D3"/>
    <w:rsid w:val="35F75198"/>
    <w:rsid w:val="35F7E070"/>
    <w:rsid w:val="35F8A1F0"/>
    <w:rsid w:val="35F93502"/>
    <w:rsid w:val="35F94976"/>
    <w:rsid w:val="35F96AB6"/>
    <w:rsid w:val="35FA5890"/>
    <w:rsid w:val="35FB03EF"/>
    <w:rsid w:val="35FBBFDC"/>
    <w:rsid w:val="35FC225B"/>
    <w:rsid w:val="35FC7231"/>
    <w:rsid w:val="35FC9EA0"/>
    <w:rsid w:val="35FD3093"/>
    <w:rsid w:val="35FDC714"/>
    <w:rsid w:val="35FF1769"/>
    <w:rsid w:val="35FF566A"/>
    <w:rsid w:val="36001A3F"/>
    <w:rsid w:val="36011CEC"/>
    <w:rsid w:val="36016F28"/>
    <w:rsid w:val="3601C00D"/>
    <w:rsid w:val="360268F1"/>
    <w:rsid w:val="3602F234"/>
    <w:rsid w:val="36039D2A"/>
    <w:rsid w:val="36042F3A"/>
    <w:rsid w:val="360439BA"/>
    <w:rsid w:val="3604A8E7"/>
    <w:rsid w:val="3604C2F8"/>
    <w:rsid w:val="3604C426"/>
    <w:rsid w:val="36052522"/>
    <w:rsid w:val="36058D07"/>
    <w:rsid w:val="3605D6E4"/>
    <w:rsid w:val="36061194"/>
    <w:rsid w:val="36068074"/>
    <w:rsid w:val="3606CF67"/>
    <w:rsid w:val="3607458D"/>
    <w:rsid w:val="36076050"/>
    <w:rsid w:val="36084AA7"/>
    <w:rsid w:val="36088E3D"/>
    <w:rsid w:val="3608C97C"/>
    <w:rsid w:val="3608F69C"/>
    <w:rsid w:val="36093F8F"/>
    <w:rsid w:val="3609D9FD"/>
    <w:rsid w:val="360A2270"/>
    <w:rsid w:val="360A64DE"/>
    <w:rsid w:val="360A7ED8"/>
    <w:rsid w:val="360AE2C2"/>
    <w:rsid w:val="360B1E7E"/>
    <w:rsid w:val="360B2FB5"/>
    <w:rsid w:val="360B48BF"/>
    <w:rsid w:val="360B70B8"/>
    <w:rsid w:val="360B9E37"/>
    <w:rsid w:val="360C13FB"/>
    <w:rsid w:val="360C1B2E"/>
    <w:rsid w:val="360C9829"/>
    <w:rsid w:val="360D06D4"/>
    <w:rsid w:val="360DFC0A"/>
    <w:rsid w:val="360E525D"/>
    <w:rsid w:val="360ECA8A"/>
    <w:rsid w:val="360F07B1"/>
    <w:rsid w:val="360F089C"/>
    <w:rsid w:val="360F42EC"/>
    <w:rsid w:val="36100E06"/>
    <w:rsid w:val="361068CA"/>
    <w:rsid w:val="3610A978"/>
    <w:rsid w:val="361128D2"/>
    <w:rsid w:val="36112BF9"/>
    <w:rsid w:val="36114B12"/>
    <w:rsid w:val="361179E7"/>
    <w:rsid w:val="3613BB00"/>
    <w:rsid w:val="361477B4"/>
    <w:rsid w:val="361584B8"/>
    <w:rsid w:val="3616254D"/>
    <w:rsid w:val="36163ED9"/>
    <w:rsid w:val="361649F7"/>
    <w:rsid w:val="3616991F"/>
    <w:rsid w:val="36174306"/>
    <w:rsid w:val="36180471"/>
    <w:rsid w:val="3618FFB2"/>
    <w:rsid w:val="36190824"/>
    <w:rsid w:val="3619CDC7"/>
    <w:rsid w:val="361ACC5E"/>
    <w:rsid w:val="361B01D0"/>
    <w:rsid w:val="361B993C"/>
    <w:rsid w:val="361C4332"/>
    <w:rsid w:val="361DA890"/>
    <w:rsid w:val="361DBFC8"/>
    <w:rsid w:val="361E5029"/>
    <w:rsid w:val="361ED68D"/>
    <w:rsid w:val="361FD05C"/>
    <w:rsid w:val="361FF0C0"/>
    <w:rsid w:val="3620B37E"/>
    <w:rsid w:val="3620C101"/>
    <w:rsid w:val="362126DE"/>
    <w:rsid w:val="36230F7F"/>
    <w:rsid w:val="362331F7"/>
    <w:rsid w:val="362375BA"/>
    <w:rsid w:val="3624B90E"/>
    <w:rsid w:val="36254D38"/>
    <w:rsid w:val="3625F625"/>
    <w:rsid w:val="3626659E"/>
    <w:rsid w:val="3626A6D7"/>
    <w:rsid w:val="3626D9A8"/>
    <w:rsid w:val="36270816"/>
    <w:rsid w:val="362734FF"/>
    <w:rsid w:val="36274C4B"/>
    <w:rsid w:val="3627504E"/>
    <w:rsid w:val="362754CE"/>
    <w:rsid w:val="36278E82"/>
    <w:rsid w:val="362862A9"/>
    <w:rsid w:val="3628CC1D"/>
    <w:rsid w:val="3628FA02"/>
    <w:rsid w:val="3629372A"/>
    <w:rsid w:val="362964BB"/>
    <w:rsid w:val="362A37A7"/>
    <w:rsid w:val="362AEF61"/>
    <w:rsid w:val="362B577A"/>
    <w:rsid w:val="362BEC8D"/>
    <w:rsid w:val="362C6CED"/>
    <w:rsid w:val="362CE72B"/>
    <w:rsid w:val="362D84A1"/>
    <w:rsid w:val="362E11EA"/>
    <w:rsid w:val="362E28EF"/>
    <w:rsid w:val="362EAD6C"/>
    <w:rsid w:val="362EF8DA"/>
    <w:rsid w:val="362F76BA"/>
    <w:rsid w:val="362FE26F"/>
    <w:rsid w:val="3630B35D"/>
    <w:rsid w:val="363113A8"/>
    <w:rsid w:val="36311C0D"/>
    <w:rsid w:val="36317315"/>
    <w:rsid w:val="36319E25"/>
    <w:rsid w:val="36327752"/>
    <w:rsid w:val="3633BC1B"/>
    <w:rsid w:val="3633C3DC"/>
    <w:rsid w:val="36355875"/>
    <w:rsid w:val="363613F0"/>
    <w:rsid w:val="36363308"/>
    <w:rsid w:val="3636494A"/>
    <w:rsid w:val="3636CA89"/>
    <w:rsid w:val="3637BD28"/>
    <w:rsid w:val="36380D28"/>
    <w:rsid w:val="363924EA"/>
    <w:rsid w:val="3639511A"/>
    <w:rsid w:val="3639856E"/>
    <w:rsid w:val="363A43E8"/>
    <w:rsid w:val="363B5C1E"/>
    <w:rsid w:val="363C510A"/>
    <w:rsid w:val="363C55C1"/>
    <w:rsid w:val="363C609C"/>
    <w:rsid w:val="363C6C7F"/>
    <w:rsid w:val="363C7674"/>
    <w:rsid w:val="363D13CD"/>
    <w:rsid w:val="363DA6F6"/>
    <w:rsid w:val="363DA7A7"/>
    <w:rsid w:val="363EE089"/>
    <w:rsid w:val="363F0B30"/>
    <w:rsid w:val="3641516D"/>
    <w:rsid w:val="364168FD"/>
    <w:rsid w:val="3641CA35"/>
    <w:rsid w:val="3641E78B"/>
    <w:rsid w:val="3642B77D"/>
    <w:rsid w:val="3642E8EC"/>
    <w:rsid w:val="36435428"/>
    <w:rsid w:val="3643B923"/>
    <w:rsid w:val="3643ECE8"/>
    <w:rsid w:val="36447E35"/>
    <w:rsid w:val="36481064"/>
    <w:rsid w:val="3648CCEB"/>
    <w:rsid w:val="36492AF9"/>
    <w:rsid w:val="364930F3"/>
    <w:rsid w:val="36499064"/>
    <w:rsid w:val="364B5D5D"/>
    <w:rsid w:val="364C6F7E"/>
    <w:rsid w:val="364D0745"/>
    <w:rsid w:val="364E1BF7"/>
    <w:rsid w:val="364E268A"/>
    <w:rsid w:val="364E32F0"/>
    <w:rsid w:val="364E6794"/>
    <w:rsid w:val="364EC746"/>
    <w:rsid w:val="364FCCBF"/>
    <w:rsid w:val="364FDE38"/>
    <w:rsid w:val="364FF3F1"/>
    <w:rsid w:val="364FF70E"/>
    <w:rsid w:val="3650D664"/>
    <w:rsid w:val="3650D8A9"/>
    <w:rsid w:val="36510E54"/>
    <w:rsid w:val="3652821C"/>
    <w:rsid w:val="3652AB15"/>
    <w:rsid w:val="3652CA21"/>
    <w:rsid w:val="36539AB6"/>
    <w:rsid w:val="3653E676"/>
    <w:rsid w:val="36545F05"/>
    <w:rsid w:val="3654E5F4"/>
    <w:rsid w:val="36550326"/>
    <w:rsid w:val="36553A05"/>
    <w:rsid w:val="36560DF3"/>
    <w:rsid w:val="3656CF6E"/>
    <w:rsid w:val="36581C68"/>
    <w:rsid w:val="36583AC4"/>
    <w:rsid w:val="36593917"/>
    <w:rsid w:val="365979A4"/>
    <w:rsid w:val="365A5931"/>
    <w:rsid w:val="365AA93E"/>
    <w:rsid w:val="365B550C"/>
    <w:rsid w:val="365B5C3C"/>
    <w:rsid w:val="365B9606"/>
    <w:rsid w:val="365BB6B7"/>
    <w:rsid w:val="365CE004"/>
    <w:rsid w:val="365D285A"/>
    <w:rsid w:val="365D4F47"/>
    <w:rsid w:val="365D8686"/>
    <w:rsid w:val="365D87FF"/>
    <w:rsid w:val="365D92EA"/>
    <w:rsid w:val="365DBD83"/>
    <w:rsid w:val="365E3ED4"/>
    <w:rsid w:val="365E88D0"/>
    <w:rsid w:val="365EF344"/>
    <w:rsid w:val="3660ABFB"/>
    <w:rsid w:val="36614738"/>
    <w:rsid w:val="36614744"/>
    <w:rsid w:val="3661E7F2"/>
    <w:rsid w:val="3662EC0A"/>
    <w:rsid w:val="36643AB1"/>
    <w:rsid w:val="3664562F"/>
    <w:rsid w:val="36652D30"/>
    <w:rsid w:val="366542F2"/>
    <w:rsid w:val="36655452"/>
    <w:rsid w:val="3665632F"/>
    <w:rsid w:val="36682FF1"/>
    <w:rsid w:val="3668991B"/>
    <w:rsid w:val="3668CE5C"/>
    <w:rsid w:val="3668F9B2"/>
    <w:rsid w:val="36690AF5"/>
    <w:rsid w:val="366916B2"/>
    <w:rsid w:val="36694D06"/>
    <w:rsid w:val="366A1427"/>
    <w:rsid w:val="366A3FBE"/>
    <w:rsid w:val="366A5CB4"/>
    <w:rsid w:val="366A5D0A"/>
    <w:rsid w:val="366A8793"/>
    <w:rsid w:val="366A8DCA"/>
    <w:rsid w:val="366AA0C0"/>
    <w:rsid w:val="366ADE83"/>
    <w:rsid w:val="366AE733"/>
    <w:rsid w:val="366F3318"/>
    <w:rsid w:val="3671BE93"/>
    <w:rsid w:val="3671F051"/>
    <w:rsid w:val="36722B42"/>
    <w:rsid w:val="3672D4B9"/>
    <w:rsid w:val="36733069"/>
    <w:rsid w:val="3674568F"/>
    <w:rsid w:val="3674E2B0"/>
    <w:rsid w:val="3675EF11"/>
    <w:rsid w:val="3675FFF3"/>
    <w:rsid w:val="3676230C"/>
    <w:rsid w:val="3676DD82"/>
    <w:rsid w:val="36773490"/>
    <w:rsid w:val="367766D2"/>
    <w:rsid w:val="367773B0"/>
    <w:rsid w:val="3677B1D4"/>
    <w:rsid w:val="3677B7E1"/>
    <w:rsid w:val="3678149E"/>
    <w:rsid w:val="36785A4B"/>
    <w:rsid w:val="36787F8C"/>
    <w:rsid w:val="3678BAF1"/>
    <w:rsid w:val="36790197"/>
    <w:rsid w:val="367A63A5"/>
    <w:rsid w:val="367B46CA"/>
    <w:rsid w:val="367C3EEF"/>
    <w:rsid w:val="367C5D67"/>
    <w:rsid w:val="367CB6C2"/>
    <w:rsid w:val="367CEC4D"/>
    <w:rsid w:val="367DC72D"/>
    <w:rsid w:val="367DE1F5"/>
    <w:rsid w:val="367E40C4"/>
    <w:rsid w:val="367E59BE"/>
    <w:rsid w:val="367E5E05"/>
    <w:rsid w:val="367E5FA1"/>
    <w:rsid w:val="367E7A60"/>
    <w:rsid w:val="367EAC14"/>
    <w:rsid w:val="367F40D9"/>
    <w:rsid w:val="367F9EAF"/>
    <w:rsid w:val="367FB09C"/>
    <w:rsid w:val="367FB4EC"/>
    <w:rsid w:val="36800811"/>
    <w:rsid w:val="36803F5B"/>
    <w:rsid w:val="36811893"/>
    <w:rsid w:val="36818CE8"/>
    <w:rsid w:val="3681C31E"/>
    <w:rsid w:val="36825E2B"/>
    <w:rsid w:val="3682FC24"/>
    <w:rsid w:val="36832C11"/>
    <w:rsid w:val="3684D605"/>
    <w:rsid w:val="3684FF9E"/>
    <w:rsid w:val="36853964"/>
    <w:rsid w:val="368561B2"/>
    <w:rsid w:val="36857F21"/>
    <w:rsid w:val="3686222E"/>
    <w:rsid w:val="36862E46"/>
    <w:rsid w:val="36865DCE"/>
    <w:rsid w:val="36865FEF"/>
    <w:rsid w:val="36868DC2"/>
    <w:rsid w:val="3686C573"/>
    <w:rsid w:val="368749BC"/>
    <w:rsid w:val="3687DF4C"/>
    <w:rsid w:val="3688F6FD"/>
    <w:rsid w:val="3688FA12"/>
    <w:rsid w:val="36897F90"/>
    <w:rsid w:val="368A71E6"/>
    <w:rsid w:val="368A82CD"/>
    <w:rsid w:val="368A9E2A"/>
    <w:rsid w:val="368AA3A0"/>
    <w:rsid w:val="368B505F"/>
    <w:rsid w:val="368C4368"/>
    <w:rsid w:val="368D5AF9"/>
    <w:rsid w:val="368E632A"/>
    <w:rsid w:val="368E7776"/>
    <w:rsid w:val="368EA550"/>
    <w:rsid w:val="368EC3BD"/>
    <w:rsid w:val="368FE758"/>
    <w:rsid w:val="36907B34"/>
    <w:rsid w:val="3691B73F"/>
    <w:rsid w:val="3691D736"/>
    <w:rsid w:val="36923B93"/>
    <w:rsid w:val="3692821E"/>
    <w:rsid w:val="3692E748"/>
    <w:rsid w:val="36937FB8"/>
    <w:rsid w:val="3693EA54"/>
    <w:rsid w:val="3695D87D"/>
    <w:rsid w:val="36960639"/>
    <w:rsid w:val="369648DF"/>
    <w:rsid w:val="3696BFC2"/>
    <w:rsid w:val="36979CF8"/>
    <w:rsid w:val="3697EB08"/>
    <w:rsid w:val="36985294"/>
    <w:rsid w:val="36989D39"/>
    <w:rsid w:val="3698A9EB"/>
    <w:rsid w:val="3699BB2F"/>
    <w:rsid w:val="369A0F77"/>
    <w:rsid w:val="369AEF22"/>
    <w:rsid w:val="369B5781"/>
    <w:rsid w:val="369BF01C"/>
    <w:rsid w:val="369D07C1"/>
    <w:rsid w:val="369D319F"/>
    <w:rsid w:val="369D5665"/>
    <w:rsid w:val="369DBCC6"/>
    <w:rsid w:val="369E09A7"/>
    <w:rsid w:val="369E58C2"/>
    <w:rsid w:val="369ED097"/>
    <w:rsid w:val="369EF90A"/>
    <w:rsid w:val="36A00715"/>
    <w:rsid w:val="36A074AA"/>
    <w:rsid w:val="36A08155"/>
    <w:rsid w:val="36A0FD61"/>
    <w:rsid w:val="36A12A2B"/>
    <w:rsid w:val="36A2AFD0"/>
    <w:rsid w:val="36A2DCD7"/>
    <w:rsid w:val="36A2E7E5"/>
    <w:rsid w:val="36A35C03"/>
    <w:rsid w:val="36A36ABF"/>
    <w:rsid w:val="36A36C9D"/>
    <w:rsid w:val="36A438FF"/>
    <w:rsid w:val="36A4B55F"/>
    <w:rsid w:val="36A4C46A"/>
    <w:rsid w:val="36A4E653"/>
    <w:rsid w:val="36A516FD"/>
    <w:rsid w:val="36A5510C"/>
    <w:rsid w:val="36A55DC5"/>
    <w:rsid w:val="36A60352"/>
    <w:rsid w:val="36A62B69"/>
    <w:rsid w:val="36A63ED3"/>
    <w:rsid w:val="36A6CBFB"/>
    <w:rsid w:val="36A7BEBB"/>
    <w:rsid w:val="36A7D2DB"/>
    <w:rsid w:val="36A7EB90"/>
    <w:rsid w:val="36A8AEAD"/>
    <w:rsid w:val="36A8EB50"/>
    <w:rsid w:val="36A9051D"/>
    <w:rsid w:val="36A910FA"/>
    <w:rsid w:val="36A9270F"/>
    <w:rsid w:val="36AA9E39"/>
    <w:rsid w:val="36AB5A1E"/>
    <w:rsid w:val="36AB671A"/>
    <w:rsid w:val="36AD836A"/>
    <w:rsid w:val="36ADB2C9"/>
    <w:rsid w:val="36AE4493"/>
    <w:rsid w:val="36AF9452"/>
    <w:rsid w:val="36AFCD3F"/>
    <w:rsid w:val="36AFF4D6"/>
    <w:rsid w:val="36B05808"/>
    <w:rsid w:val="36B0F131"/>
    <w:rsid w:val="36B13B66"/>
    <w:rsid w:val="36B19913"/>
    <w:rsid w:val="36B1C453"/>
    <w:rsid w:val="36B3202E"/>
    <w:rsid w:val="36B3FE8A"/>
    <w:rsid w:val="36B407DE"/>
    <w:rsid w:val="36B46D40"/>
    <w:rsid w:val="36B5A2D9"/>
    <w:rsid w:val="36B65195"/>
    <w:rsid w:val="36B7F0F3"/>
    <w:rsid w:val="36B899F8"/>
    <w:rsid w:val="36B8D4C0"/>
    <w:rsid w:val="36B8F399"/>
    <w:rsid w:val="36BA25F2"/>
    <w:rsid w:val="36BA37FA"/>
    <w:rsid w:val="36BB2628"/>
    <w:rsid w:val="36BC2417"/>
    <w:rsid w:val="36BC2E02"/>
    <w:rsid w:val="36BEDF0B"/>
    <w:rsid w:val="36BEFCEB"/>
    <w:rsid w:val="36BF8F9A"/>
    <w:rsid w:val="36C06B2F"/>
    <w:rsid w:val="36C06B3B"/>
    <w:rsid w:val="36C2BC86"/>
    <w:rsid w:val="36C2C382"/>
    <w:rsid w:val="36C2F2F0"/>
    <w:rsid w:val="36C30BBA"/>
    <w:rsid w:val="36C3469E"/>
    <w:rsid w:val="36C3BEE7"/>
    <w:rsid w:val="36C47127"/>
    <w:rsid w:val="36C48C4E"/>
    <w:rsid w:val="36C4DA9D"/>
    <w:rsid w:val="36C53929"/>
    <w:rsid w:val="36C55542"/>
    <w:rsid w:val="36C5DEEC"/>
    <w:rsid w:val="36C6486E"/>
    <w:rsid w:val="36C67E4A"/>
    <w:rsid w:val="36C687A1"/>
    <w:rsid w:val="36C72B6A"/>
    <w:rsid w:val="36C7716F"/>
    <w:rsid w:val="36C77A14"/>
    <w:rsid w:val="36CA2C00"/>
    <w:rsid w:val="36CA4510"/>
    <w:rsid w:val="36CB3532"/>
    <w:rsid w:val="36CBAADC"/>
    <w:rsid w:val="36CBE3CB"/>
    <w:rsid w:val="36CC5D78"/>
    <w:rsid w:val="36CC7073"/>
    <w:rsid w:val="36CD157B"/>
    <w:rsid w:val="36CDA1DE"/>
    <w:rsid w:val="36CDAFFC"/>
    <w:rsid w:val="36CE1303"/>
    <w:rsid w:val="36CE9687"/>
    <w:rsid w:val="36CFB440"/>
    <w:rsid w:val="36D03C2C"/>
    <w:rsid w:val="36D0CDE0"/>
    <w:rsid w:val="36D179DB"/>
    <w:rsid w:val="36D1856D"/>
    <w:rsid w:val="36D34546"/>
    <w:rsid w:val="36D3A235"/>
    <w:rsid w:val="36D41DC3"/>
    <w:rsid w:val="36D421F1"/>
    <w:rsid w:val="36D4391F"/>
    <w:rsid w:val="36D477D0"/>
    <w:rsid w:val="36D4A2D0"/>
    <w:rsid w:val="36D4A63F"/>
    <w:rsid w:val="36D4B4E6"/>
    <w:rsid w:val="36D5D01B"/>
    <w:rsid w:val="36D5F8B4"/>
    <w:rsid w:val="36D7895D"/>
    <w:rsid w:val="36D831C0"/>
    <w:rsid w:val="36D86B94"/>
    <w:rsid w:val="36D88611"/>
    <w:rsid w:val="36D8CED3"/>
    <w:rsid w:val="36D8DEE9"/>
    <w:rsid w:val="36D91301"/>
    <w:rsid w:val="36D98CC2"/>
    <w:rsid w:val="36DB4809"/>
    <w:rsid w:val="36DB597F"/>
    <w:rsid w:val="36DBAE5F"/>
    <w:rsid w:val="36DBBF46"/>
    <w:rsid w:val="36DBCCC4"/>
    <w:rsid w:val="36DC044C"/>
    <w:rsid w:val="36DC6948"/>
    <w:rsid w:val="36DC7495"/>
    <w:rsid w:val="36DE1A40"/>
    <w:rsid w:val="36DE55AE"/>
    <w:rsid w:val="36DF581E"/>
    <w:rsid w:val="36DF8454"/>
    <w:rsid w:val="36DFBE08"/>
    <w:rsid w:val="36E0133D"/>
    <w:rsid w:val="36E01693"/>
    <w:rsid w:val="36E04871"/>
    <w:rsid w:val="36E06600"/>
    <w:rsid w:val="36E06D94"/>
    <w:rsid w:val="36E0B1CF"/>
    <w:rsid w:val="36E1837E"/>
    <w:rsid w:val="36E190A4"/>
    <w:rsid w:val="36E1F3F4"/>
    <w:rsid w:val="36E1F462"/>
    <w:rsid w:val="36E2DE1B"/>
    <w:rsid w:val="36E309A0"/>
    <w:rsid w:val="36E31429"/>
    <w:rsid w:val="36E36CC9"/>
    <w:rsid w:val="36E3F964"/>
    <w:rsid w:val="36E4AC16"/>
    <w:rsid w:val="36E4B231"/>
    <w:rsid w:val="36E4D7B8"/>
    <w:rsid w:val="36E507F9"/>
    <w:rsid w:val="36E511E1"/>
    <w:rsid w:val="36E5990C"/>
    <w:rsid w:val="36E653E0"/>
    <w:rsid w:val="36E6713E"/>
    <w:rsid w:val="36E67E0A"/>
    <w:rsid w:val="36E714AD"/>
    <w:rsid w:val="36E7F8C4"/>
    <w:rsid w:val="36E8422B"/>
    <w:rsid w:val="36E8C485"/>
    <w:rsid w:val="36E8EE1C"/>
    <w:rsid w:val="36EA557A"/>
    <w:rsid w:val="36EA5F02"/>
    <w:rsid w:val="36EB9D36"/>
    <w:rsid w:val="36F037A8"/>
    <w:rsid w:val="36F14370"/>
    <w:rsid w:val="36F149A8"/>
    <w:rsid w:val="36F35B94"/>
    <w:rsid w:val="36F3ABDE"/>
    <w:rsid w:val="36F47C83"/>
    <w:rsid w:val="36F4A137"/>
    <w:rsid w:val="36F50135"/>
    <w:rsid w:val="36F54E16"/>
    <w:rsid w:val="36F55D35"/>
    <w:rsid w:val="36F63E81"/>
    <w:rsid w:val="36F698E9"/>
    <w:rsid w:val="36F6EFAA"/>
    <w:rsid w:val="36F6F15D"/>
    <w:rsid w:val="36F73597"/>
    <w:rsid w:val="36F89185"/>
    <w:rsid w:val="36F8BC75"/>
    <w:rsid w:val="36F8EB01"/>
    <w:rsid w:val="36F92FBC"/>
    <w:rsid w:val="36F96098"/>
    <w:rsid w:val="36FA288C"/>
    <w:rsid w:val="36FA353E"/>
    <w:rsid w:val="36FA5C26"/>
    <w:rsid w:val="36FA80B6"/>
    <w:rsid w:val="36FAA085"/>
    <w:rsid w:val="36FB42F0"/>
    <w:rsid w:val="36FB4579"/>
    <w:rsid w:val="36FB6DB7"/>
    <w:rsid w:val="36FC48F2"/>
    <w:rsid w:val="36FD7AB0"/>
    <w:rsid w:val="36FDA222"/>
    <w:rsid w:val="36FE2403"/>
    <w:rsid w:val="36FE7A2E"/>
    <w:rsid w:val="36FF0352"/>
    <w:rsid w:val="36FFF805"/>
    <w:rsid w:val="37002EEA"/>
    <w:rsid w:val="370037C7"/>
    <w:rsid w:val="37015B1C"/>
    <w:rsid w:val="37025E0B"/>
    <w:rsid w:val="37028DE9"/>
    <w:rsid w:val="3702E26E"/>
    <w:rsid w:val="3702EEB1"/>
    <w:rsid w:val="37030146"/>
    <w:rsid w:val="37036AD4"/>
    <w:rsid w:val="37036C0C"/>
    <w:rsid w:val="3703C5A3"/>
    <w:rsid w:val="3703C985"/>
    <w:rsid w:val="370459B9"/>
    <w:rsid w:val="37046268"/>
    <w:rsid w:val="37059646"/>
    <w:rsid w:val="37059681"/>
    <w:rsid w:val="370731F9"/>
    <w:rsid w:val="37075405"/>
    <w:rsid w:val="370830A6"/>
    <w:rsid w:val="3708BD39"/>
    <w:rsid w:val="37096B1C"/>
    <w:rsid w:val="3709FBEE"/>
    <w:rsid w:val="370A3E9E"/>
    <w:rsid w:val="370A8EB1"/>
    <w:rsid w:val="370B4342"/>
    <w:rsid w:val="370B67AD"/>
    <w:rsid w:val="370B69A5"/>
    <w:rsid w:val="370B7BBA"/>
    <w:rsid w:val="370CD364"/>
    <w:rsid w:val="370D0C98"/>
    <w:rsid w:val="370DB02D"/>
    <w:rsid w:val="370DECED"/>
    <w:rsid w:val="370E5610"/>
    <w:rsid w:val="370F02D0"/>
    <w:rsid w:val="370F14B5"/>
    <w:rsid w:val="370F72D9"/>
    <w:rsid w:val="370F7515"/>
    <w:rsid w:val="370FA0F6"/>
    <w:rsid w:val="370FDFE8"/>
    <w:rsid w:val="370FF06D"/>
    <w:rsid w:val="3710083A"/>
    <w:rsid w:val="37102B97"/>
    <w:rsid w:val="3711E3BF"/>
    <w:rsid w:val="37123065"/>
    <w:rsid w:val="37123132"/>
    <w:rsid w:val="37123766"/>
    <w:rsid w:val="3713A196"/>
    <w:rsid w:val="37145B18"/>
    <w:rsid w:val="3714839D"/>
    <w:rsid w:val="3714D3CD"/>
    <w:rsid w:val="3714D81F"/>
    <w:rsid w:val="3714FFE9"/>
    <w:rsid w:val="371508F8"/>
    <w:rsid w:val="37159ACD"/>
    <w:rsid w:val="371635AE"/>
    <w:rsid w:val="37169551"/>
    <w:rsid w:val="3716DCD0"/>
    <w:rsid w:val="37171784"/>
    <w:rsid w:val="3718214C"/>
    <w:rsid w:val="37183C6B"/>
    <w:rsid w:val="37184C71"/>
    <w:rsid w:val="37190B22"/>
    <w:rsid w:val="371A2FFE"/>
    <w:rsid w:val="371A98C0"/>
    <w:rsid w:val="371AE08C"/>
    <w:rsid w:val="371B644B"/>
    <w:rsid w:val="371B6E52"/>
    <w:rsid w:val="371C59C2"/>
    <w:rsid w:val="371D55C9"/>
    <w:rsid w:val="371D731D"/>
    <w:rsid w:val="371DEC10"/>
    <w:rsid w:val="371E2D3F"/>
    <w:rsid w:val="371EBAA9"/>
    <w:rsid w:val="371F5CF2"/>
    <w:rsid w:val="372087B4"/>
    <w:rsid w:val="3721017B"/>
    <w:rsid w:val="3721A5A9"/>
    <w:rsid w:val="3721C2E6"/>
    <w:rsid w:val="3721E952"/>
    <w:rsid w:val="3721F4AD"/>
    <w:rsid w:val="372236FD"/>
    <w:rsid w:val="3722FE1C"/>
    <w:rsid w:val="37234FA6"/>
    <w:rsid w:val="372369A0"/>
    <w:rsid w:val="3723B4FC"/>
    <w:rsid w:val="3724C3FE"/>
    <w:rsid w:val="37254053"/>
    <w:rsid w:val="372563C9"/>
    <w:rsid w:val="37259731"/>
    <w:rsid w:val="37264B4A"/>
    <w:rsid w:val="37268F8B"/>
    <w:rsid w:val="3726F47B"/>
    <w:rsid w:val="3727411E"/>
    <w:rsid w:val="37274360"/>
    <w:rsid w:val="372799FE"/>
    <w:rsid w:val="3727E232"/>
    <w:rsid w:val="37282370"/>
    <w:rsid w:val="37284375"/>
    <w:rsid w:val="3728EF60"/>
    <w:rsid w:val="372949D1"/>
    <w:rsid w:val="3729EA51"/>
    <w:rsid w:val="372A0F59"/>
    <w:rsid w:val="372A32FE"/>
    <w:rsid w:val="372A46BF"/>
    <w:rsid w:val="372A4F85"/>
    <w:rsid w:val="372B04F7"/>
    <w:rsid w:val="372B2F02"/>
    <w:rsid w:val="372B432D"/>
    <w:rsid w:val="372B7DD5"/>
    <w:rsid w:val="372BD1B4"/>
    <w:rsid w:val="372C2313"/>
    <w:rsid w:val="372CC3F4"/>
    <w:rsid w:val="372D9E69"/>
    <w:rsid w:val="372E2F0A"/>
    <w:rsid w:val="372EED47"/>
    <w:rsid w:val="372F0427"/>
    <w:rsid w:val="372F07EE"/>
    <w:rsid w:val="372F1DF3"/>
    <w:rsid w:val="372F2B5F"/>
    <w:rsid w:val="37308B64"/>
    <w:rsid w:val="37318E73"/>
    <w:rsid w:val="3731EC6E"/>
    <w:rsid w:val="37337660"/>
    <w:rsid w:val="3734218E"/>
    <w:rsid w:val="3734809A"/>
    <w:rsid w:val="3734DE69"/>
    <w:rsid w:val="373520F9"/>
    <w:rsid w:val="37361229"/>
    <w:rsid w:val="373642BB"/>
    <w:rsid w:val="37364615"/>
    <w:rsid w:val="37368FA0"/>
    <w:rsid w:val="37378C17"/>
    <w:rsid w:val="3737D5EA"/>
    <w:rsid w:val="3737F65A"/>
    <w:rsid w:val="373813F5"/>
    <w:rsid w:val="37391BDF"/>
    <w:rsid w:val="373A4839"/>
    <w:rsid w:val="373B8A89"/>
    <w:rsid w:val="373C0816"/>
    <w:rsid w:val="373F4F83"/>
    <w:rsid w:val="373F6565"/>
    <w:rsid w:val="37402294"/>
    <w:rsid w:val="37409072"/>
    <w:rsid w:val="3740DF39"/>
    <w:rsid w:val="3741724B"/>
    <w:rsid w:val="3742236B"/>
    <w:rsid w:val="37439A16"/>
    <w:rsid w:val="3743FC85"/>
    <w:rsid w:val="374426E2"/>
    <w:rsid w:val="3744A6F6"/>
    <w:rsid w:val="37471FBA"/>
    <w:rsid w:val="3747B2A5"/>
    <w:rsid w:val="3748F9AA"/>
    <w:rsid w:val="3748FEAA"/>
    <w:rsid w:val="3749FE6B"/>
    <w:rsid w:val="374A4AF3"/>
    <w:rsid w:val="374B14C5"/>
    <w:rsid w:val="374B5D01"/>
    <w:rsid w:val="374B7C55"/>
    <w:rsid w:val="374B8884"/>
    <w:rsid w:val="374B89CC"/>
    <w:rsid w:val="374C132F"/>
    <w:rsid w:val="374C994F"/>
    <w:rsid w:val="374C9F70"/>
    <w:rsid w:val="374D129D"/>
    <w:rsid w:val="374D635C"/>
    <w:rsid w:val="374DD647"/>
    <w:rsid w:val="374E8E39"/>
    <w:rsid w:val="374EE293"/>
    <w:rsid w:val="374EE3B5"/>
    <w:rsid w:val="374F8D7C"/>
    <w:rsid w:val="374FF6E2"/>
    <w:rsid w:val="37501A99"/>
    <w:rsid w:val="375248DA"/>
    <w:rsid w:val="375257C0"/>
    <w:rsid w:val="3752D201"/>
    <w:rsid w:val="37539386"/>
    <w:rsid w:val="3754AA55"/>
    <w:rsid w:val="3754CFA0"/>
    <w:rsid w:val="37550AEE"/>
    <w:rsid w:val="37559902"/>
    <w:rsid w:val="3755B4C4"/>
    <w:rsid w:val="37560CA4"/>
    <w:rsid w:val="37563F2F"/>
    <w:rsid w:val="37564E6C"/>
    <w:rsid w:val="37568018"/>
    <w:rsid w:val="3756972D"/>
    <w:rsid w:val="375952BF"/>
    <w:rsid w:val="375AACB2"/>
    <w:rsid w:val="375AB4F7"/>
    <w:rsid w:val="375B265D"/>
    <w:rsid w:val="375B28FF"/>
    <w:rsid w:val="375BA616"/>
    <w:rsid w:val="375CEAE5"/>
    <w:rsid w:val="375D56F6"/>
    <w:rsid w:val="375D90BD"/>
    <w:rsid w:val="375E77E1"/>
    <w:rsid w:val="375EA2F2"/>
    <w:rsid w:val="375F1822"/>
    <w:rsid w:val="375F45AB"/>
    <w:rsid w:val="375F7DE5"/>
    <w:rsid w:val="375FAE58"/>
    <w:rsid w:val="375FCAEC"/>
    <w:rsid w:val="375FE8A9"/>
    <w:rsid w:val="37602FDB"/>
    <w:rsid w:val="3760B465"/>
    <w:rsid w:val="37617853"/>
    <w:rsid w:val="37626D41"/>
    <w:rsid w:val="3762D3ED"/>
    <w:rsid w:val="3762F515"/>
    <w:rsid w:val="37639D30"/>
    <w:rsid w:val="37642DF1"/>
    <w:rsid w:val="37642FF8"/>
    <w:rsid w:val="3764B641"/>
    <w:rsid w:val="37653EAB"/>
    <w:rsid w:val="37655906"/>
    <w:rsid w:val="3765BB41"/>
    <w:rsid w:val="3765F055"/>
    <w:rsid w:val="3765F980"/>
    <w:rsid w:val="37660010"/>
    <w:rsid w:val="37665345"/>
    <w:rsid w:val="3766E73A"/>
    <w:rsid w:val="37678461"/>
    <w:rsid w:val="3767971F"/>
    <w:rsid w:val="3767C23A"/>
    <w:rsid w:val="3768E3E1"/>
    <w:rsid w:val="3769057D"/>
    <w:rsid w:val="3769ADC8"/>
    <w:rsid w:val="376B210A"/>
    <w:rsid w:val="376B2E35"/>
    <w:rsid w:val="376B56FC"/>
    <w:rsid w:val="376CE219"/>
    <w:rsid w:val="376DC11F"/>
    <w:rsid w:val="376E3D35"/>
    <w:rsid w:val="376FA9EA"/>
    <w:rsid w:val="376FDCCE"/>
    <w:rsid w:val="3770014A"/>
    <w:rsid w:val="37701CCD"/>
    <w:rsid w:val="3770527A"/>
    <w:rsid w:val="3770F4FD"/>
    <w:rsid w:val="3770F981"/>
    <w:rsid w:val="37711E2E"/>
    <w:rsid w:val="37712FAA"/>
    <w:rsid w:val="3771D3F6"/>
    <w:rsid w:val="3772393E"/>
    <w:rsid w:val="37726454"/>
    <w:rsid w:val="3772DD11"/>
    <w:rsid w:val="377453BB"/>
    <w:rsid w:val="37753F34"/>
    <w:rsid w:val="37756136"/>
    <w:rsid w:val="37758AD4"/>
    <w:rsid w:val="37759DCA"/>
    <w:rsid w:val="3775C4EE"/>
    <w:rsid w:val="37772FBE"/>
    <w:rsid w:val="3777EADD"/>
    <w:rsid w:val="37793A2B"/>
    <w:rsid w:val="377956E7"/>
    <w:rsid w:val="377A73C4"/>
    <w:rsid w:val="377A9379"/>
    <w:rsid w:val="377AC0B2"/>
    <w:rsid w:val="377B64E5"/>
    <w:rsid w:val="377BA26E"/>
    <w:rsid w:val="377BBA35"/>
    <w:rsid w:val="377C3F0C"/>
    <w:rsid w:val="377C8965"/>
    <w:rsid w:val="377CCCBD"/>
    <w:rsid w:val="377D0C5C"/>
    <w:rsid w:val="377D1E80"/>
    <w:rsid w:val="377D29C2"/>
    <w:rsid w:val="377E82BF"/>
    <w:rsid w:val="377F1CE5"/>
    <w:rsid w:val="377F6CE9"/>
    <w:rsid w:val="377FB4E3"/>
    <w:rsid w:val="378006F3"/>
    <w:rsid w:val="37802D14"/>
    <w:rsid w:val="3781A5DD"/>
    <w:rsid w:val="37822EAC"/>
    <w:rsid w:val="3782469E"/>
    <w:rsid w:val="3782AC0D"/>
    <w:rsid w:val="3782BE5F"/>
    <w:rsid w:val="378350E0"/>
    <w:rsid w:val="3783CF0A"/>
    <w:rsid w:val="37847167"/>
    <w:rsid w:val="3784F667"/>
    <w:rsid w:val="3785A0BE"/>
    <w:rsid w:val="3787A0A8"/>
    <w:rsid w:val="3787DC1C"/>
    <w:rsid w:val="3787EA29"/>
    <w:rsid w:val="3788D411"/>
    <w:rsid w:val="378903AA"/>
    <w:rsid w:val="37897F24"/>
    <w:rsid w:val="3789DE49"/>
    <w:rsid w:val="378BB0C2"/>
    <w:rsid w:val="378BC560"/>
    <w:rsid w:val="378BC9A7"/>
    <w:rsid w:val="378BD2F3"/>
    <w:rsid w:val="378C4CB7"/>
    <w:rsid w:val="378CED46"/>
    <w:rsid w:val="378D2EBC"/>
    <w:rsid w:val="378D54E0"/>
    <w:rsid w:val="378E0CE4"/>
    <w:rsid w:val="378E1803"/>
    <w:rsid w:val="378E48A6"/>
    <w:rsid w:val="378E5CFF"/>
    <w:rsid w:val="378F3B90"/>
    <w:rsid w:val="378F6E0B"/>
    <w:rsid w:val="37906B4C"/>
    <w:rsid w:val="379107ED"/>
    <w:rsid w:val="37916C09"/>
    <w:rsid w:val="37917DCE"/>
    <w:rsid w:val="3791C758"/>
    <w:rsid w:val="3791DEEF"/>
    <w:rsid w:val="3791FEAE"/>
    <w:rsid w:val="3792836A"/>
    <w:rsid w:val="3793ADA7"/>
    <w:rsid w:val="3793F332"/>
    <w:rsid w:val="37944E40"/>
    <w:rsid w:val="37946E0A"/>
    <w:rsid w:val="37946F69"/>
    <w:rsid w:val="37955DEC"/>
    <w:rsid w:val="3796BA1C"/>
    <w:rsid w:val="3796E681"/>
    <w:rsid w:val="379724ED"/>
    <w:rsid w:val="379774A6"/>
    <w:rsid w:val="3798DA1A"/>
    <w:rsid w:val="3798ED0A"/>
    <w:rsid w:val="3798F942"/>
    <w:rsid w:val="3799876B"/>
    <w:rsid w:val="379B9589"/>
    <w:rsid w:val="379CB90F"/>
    <w:rsid w:val="379CC199"/>
    <w:rsid w:val="379D935C"/>
    <w:rsid w:val="379DFEF7"/>
    <w:rsid w:val="379E4279"/>
    <w:rsid w:val="379F17B4"/>
    <w:rsid w:val="379F5DFE"/>
    <w:rsid w:val="37A02ABD"/>
    <w:rsid w:val="37A0E8B2"/>
    <w:rsid w:val="37A12434"/>
    <w:rsid w:val="37A126EB"/>
    <w:rsid w:val="37A168E9"/>
    <w:rsid w:val="37A1B06F"/>
    <w:rsid w:val="37A297EA"/>
    <w:rsid w:val="37A367C7"/>
    <w:rsid w:val="37A37886"/>
    <w:rsid w:val="37A3D84D"/>
    <w:rsid w:val="37A3EC6D"/>
    <w:rsid w:val="37A4CA6F"/>
    <w:rsid w:val="37A52761"/>
    <w:rsid w:val="37A5CF3A"/>
    <w:rsid w:val="37A5D72D"/>
    <w:rsid w:val="37A66D95"/>
    <w:rsid w:val="37A7500D"/>
    <w:rsid w:val="37A75792"/>
    <w:rsid w:val="37A76FEC"/>
    <w:rsid w:val="37A8195C"/>
    <w:rsid w:val="37A822D5"/>
    <w:rsid w:val="37A87A43"/>
    <w:rsid w:val="37A92809"/>
    <w:rsid w:val="37A97053"/>
    <w:rsid w:val="37A98546"/>
    <w:rsid w:val="37AA1E95"/>
    <w:rsid w:val="37AAE823"/>
    <w:rsid w:val="37AAE901"/>
    <w:rsid w:val="37ABE2A4"/>
    <w:rsid w:val="37ACC7CB"/>
    <w:rsid w:val="37ACDC82"/>
    <w:rsid w:val="37AD946B"/>
    <w:rsid w:val="37AE8811"/>
    <w:rsid w:val="37AEC6BA"/>
    <w:rsid w:val="37AF1909"/>
    <w:rsid w:val="37AF4043"/>
    <w:rsid w:val="37B10BE1"/>
    <w:rsid w:val="37B137F9"/>
    <w:rsid w:val="37B14196"/>
    <w:rsid w:val="37B1A70B"/>
    <w:rsid w:val="37B3E65F"/>
    <w:rsid w:val="37B3ED06"/>
    <w:rsid w:val="37B3F971"/>
    <w:rsid w:val="37B43E62"/>
    <w:rsid w:val="37B5246D"/>
    <w:rsid w:val="37B53E22"/>
    <w:rsid w:val="37B69BE9"/>
    <w:rsid w:val="37B6E2CE"/>
    <w:rsid w:val="37B72091"/>
    <w:rsid w:val="37B7862A"/>
    <w:rsid w:val="37B86C67"/>
    <w:rsid w:val="37B8D344"/>
    <w:rsid w:val="37B99477"/>
    <w:rsid w:val="37B9DF59"/>
    <w:rsid w:val="37BA01A7"/>
    <w:rsid w:val="37BA9759"/>
    <w:rsid w:val="37BAD38A"/>
    <w:rsid w:val="37BB5C33"/>
    <w:rsid w:val="37BB63E8"/>
    <w:rsid w:val="37BBA806"/>
    <w:rsid w:val="37BCEDDE"/>
    <w:rsid w:val="37BCF353"/>
    <w:rsid w:val="37BD3F87"/>
    <w:rsid w:val="37BD7E46"/>
    <w:rsid w:val="37BDA679"/>
    <w:rsid w:val="37BDFD64"/>
    <w:rsid w:val="37BE0048"/>
    <w:rsid w:val="37BE3E24"/>
    <w:rsid w:val="37BEE306"/>
    <w:rsid w:val="37C10FDE"/>
    <w:rsid w:val="37C141ED"/>
    <w:rsid w:val="37C1451F"/>
    <w:rsid w:val="37C19BA3"/>
    <w:rsid w:val="37C223B2"/>
    <w:rsid w:val="37C23F24"/>
    <w:rsid w:val="37C2E3FE"/>
    <w:rsid w:val="37C327DE"/>
    <w:rsid w:val="37C33128"/>
    <w:rsid w:val="37C3425C"/>
    <w:rsid w:val="37C412C8"/>
    <w:rsid w:val="37C575A6"/>
    <w:rsid w:val="37C712BF"/>
    <w:rsid w:val="37C93AF4"/>
    <w:rsid w:val="37CA9C43"/>
    <w:rsid w:val="37CAD959"/>
    <w:rsid w:val="37CB9E4E"/>
    <w:rsid w:val="37CBAD70"/>
    <w:rsid w:val="37CC9E7A"/>
    <w:rsid w:val="37CCC57E"/>
    <w:rsid w:val="37CCD9B4"/>
    <w:rsid w:val="37CD5C31"/>
    <w:rsid w:val="37CDEC4D"/>
    <w:rsid w:val="37CE5469"/>
    <w:rsid w:val="37CE8A1E"/>
    <w:rsid w:val="37CF15F7"/>
    <w:rsid w:val="37CF80A0"/>
    <w:rsid w:val="37D12F7F"/>
    <w:rsid w:val="37D193A1"/>
    <w:rsid w:val="37D3F68D"/>
    <w:rsid w:val="37D40600"/>
    <w:rsid w:val="37D4687A"/>
    <w:rsid w:val="37D47B92"/>
    <w:rsid w:val="37D4908E"/>
    <w:rsid w:val="37D4DA6A"/>
    <w:rsid w:val="37D5A8FE"/>
    <w:rsid w:val="37D5FA99"/>
    <w:rsid w:val="37D7A17E"/>
    <w:rsid w:val="37D82DDA"/>
    <w:rsid w:val="37D89787"/>
    <w:rsid w:val="37D9A6E1"/>
    <w:rsid w:val="37DA117C"/>
    <w:rsid w:val="37DB0493"/>
    <w:rsid w:val="37DB2A45"/>
    <w:rsid w:val="37DB4218"/>
    <w:rsid w:val="37DB50BA"/>
    <w:rsid w:val="37DBD052"/>
    <w:rsid w:val="37DBEB68"/>
    <w:rsid w:val="37DC7D21"/>
    <w:rsid w:val="37DD114F"/>
    <w:rsid w:val="37DD15C1"/>
    <w:rsid w:val="37DD3F9A"/>
    <w:rsid w:val="37DD5D1B"/>
    <w:rsid w:val="37DD8F50"/>
    <w:rsid w:val="37DE6A30"/>
    <w:rsid w:val="37DF0710"/>
    <w:rsid w:val="37DF0FEF"/>
    <w:rsid w:val="37DF278B"/>
    <w:rsid w:val="37DF5837"/>
    <w:rsid w:val="37E1A650"/>
    <w:rsid w:val="37E2011A"/>
    <w:rsid w:val="37E26BA9"/>
    <w:rsid w:val="37E2BD79"/>
    <w:rsid w:val="37E3B201"/>
    <w:rsid w:val="37E419C9"/>
    <w:rsid w:val="37E43F8B"/>
    <w:rsid w:val="37E448A8"/>
    <w:rsid w:val="37E45E37"/>
    <w:rsid w:val="37E45FEB"/>
    <w:rsid w:val="37E4A810"/>
    <w:rsid w:val="37E51082"/>
    <w:rsid w:val="37E510AA"/>
    <w:rsid w:val="37E519E8"/>
    <w:rsid w:val="37E52A37"/>
    <w:rsid w:val="37E540AD"/>
    <w:rsid w:val="37E55ED5"/>
    <w:rsid w:val="37E58119"/>
    <w:rsid w:val="37E6059E"/>
    <w:rsid w:val="37E62210"/>
    <w:rsid w:val="37E632B6"/>
    <w:rsid w:val="37E6A9AB"/>
    <w:rsid w:val="37E70BAE"/>
    <w:rsid w:val="37E96777"/>
    <w:rsid w:val="37E9956F"/>
    <w:rsid w:val="37E9E3D5"/>
    <w:rsid w:val="37EA7A1E"/>
    <w:rsid w:val="37EA7F72"/>
    <w:rsid w:val="37EA9F5B"/>
    <w:rsid w:val="37EAF7E6"/>
    <w:rsid w:val="37EB19AC"/>
    <w:rsid w:val="37EB997E"/>
    <w:rsid w:val="37EBA6F0"/>
    <w:rsid w:val="37EBD3E1"/>
    <w:rsid w:val="37EBD7AB"/>
    <w:rsid w:val="37EC2DC9"/>
    <w:rsid w:val="37ECF788"/>
    <w:rsid w:val="37ED26B9"/>
    <w:rsid w:val="37ED44AB"/>
    <w:rsid w:val="37ED9654"/>
    <w:rsid w:val="37EDFD6B"/>
    <w:rsid w:val="37EEDBC9"/>
    <w:rsid w:val="37EEFCD6"/>
    <w:rsid w:val="37EF0A4A"/>
    <w:rsid w:val="37EF2363"/>
    <w:rsid w:val="37EFF216"/>
    <w:rsid w:val="37F12885"/>
    <w:rsid w:val="37F13166"/>
    <w:rsid w:val="37F14E14"/>
    <w:rsid w:val="37F182BC"/>
    <w:rsid w:val="37F1CAB8"/>
    <w:rsid w:val="37F21A4C"/>
    <w:rsid w:val="37F2792A"/>
    <w:rsid w:val="37F2BFBF"/>
    <w:rsid w:val="37F34321"/>
    <w:rsid w:val="37F34CF5"/>
    <w:rsid w:val="37F40BDF"/>
    <w:rsid w:val="37F40D60"/>
    <w:rsid w:val="37F53197"/>
    <w:rsid w:val="37F564EE"/>
    <w:rsid w:val="37F5CEDB"/>
    <w:rsid w:val="37F68351"/>
    <w:rsid w:val="37F6CD47"/>
    <w:rsid w:val="37F7182B"/>
    <w:rsid w:val="37F78E79"/>
    <w:rsid w:val="37F7D71F"/>
    <w:rsid w:val="37F7E33C"/>
    <w:rsid w:val="37F82E3C"/>
    <w:rsid w:val="37F8D15A"/>
    <w:rsid w:val="37F93E18"/>
    <w:rsid w:val="37FAE48F"/>
    <w:rsid w:val="37FB4579"/>
    <w:rsid w:val="37FC8FA7"/>
    <w:rsid w:val="37FD249D"/>
    <w:rsid w:val="37FDE666"/>
    <w:rsid w:val="37FE39EA"/>
    <w:rsid w:val="37FE61CC"/>
    <w:rsid w:val="37FF49FB"/>
    <w:rsid w:val="37FF7B06"/>
    <w:rsid w:val="37FFA2CA"/>
    <w:rsid w:val="37FFA8F0"/>
    <w:rsid w:val="37FFB67B"/>
    <w:rsid w:val="3800C21C"/>
    <w:rsid w:val="380109C1"/>
    <w:rsid w:val="38019AC7"/>
    <w:rsid w:val="3802085B"/>
    <w:rsid w:val="380275A7"/>
    <w:rsid w:val="38038F40"/>
    <w:rsid w:val="38038F82"/>
    <w:rsid w:val="3803AF69"/>
    <w:rsid w:val="38045E75"/>
    <w:rsid w:val="38046D84"/>
    <w:rsid w:val="3804EA47"/>
    <w:rsid w:val="3804F680"/>
    <w:rsid w:val="38054E27"/>
    <w:rsid w:val="380598FA"/>
    <w:rsid w:val="38060527"/>
    <w:rsid w:val="38063D64"/>
    <w:rsid w:val="3807CAB8"/>
    <w:rsid w:val="3808F192"/>
    <w:rsid w:val="3809A7FC"/>
    <w:rsid w:val="380A2BF0"/>
    <w:rsid w:val="380B02D6"/>
    <w:rsid w:val="380B15BC"/>
    <w:rsid w:val="380B4001"/>
    <w:rsid w:val="380C2B62"/>
    <w:rsid w:val="380C2E2B"/>
    <w:rsid w:val="380C58D3"/>
    <w:rsid w:val="380C7E1E"/>
    <w:rsid w:val="380C7F64"/>
    <w:rsid w:val="380CBF6D"/>
    <w:rsid w:val="380CD960"/>
    <w:rsid w:val="380D34D8"/>
    <w:rsid w:val="380D6D80"/>
    <w:rsid w:val="380E2D9A"/>
    <w:rsid w:val="380E6502"/>
    <w:rsid w:val="380E7F1C"/>
    <w:rsid w:val="380F0AAB"/>
    <w:rsid w:val="380FB1BD"/>
    <w:rsid w:val="38103258"/>
    <w:rsid w:val="3810A48C"/>
    <w:rsid w:val="38117C78"/>
    <w:rsid w:val="38122CC5"/>
    <w:rsid w:val="38122E8E"/>
    <w:rsid w:val="3813758B"/>
    <w:rsid w:val="38138AB5"/>
    <w:rsid w:val="38143B9D"/>
    <w:rsid w:val="38147611"/>
    <w:rsid w:val="3814D41C"/>
    <w:rsid w:val="38160771"/>
    <w:rsid w:val="381651C0"/>
    <w:rsid w:val="38178FC1"/>
    <w:rsid w:val="3817932A"/>
    <w:rsid w:val="3817BB56"/>
    <w:rsid w:val="3818636E"/>
    <w:rsid w:val="381989C4"/>
    <w:rsid w:val="381996AE"/>
    <w:rsid w:val="3819BCD4"/>
    <w:rsid w:val="381A0224"/>
    <w:rsid w:val="381C3975"/>
    <w:rsid w:val="381C814E"/>
    <w:rsid w:val="381CB82D"/>
    <w:rsid w:val="381CE927"/>
    <w:rsid w:val="381D6258"/>
    <w:rsid w:val="381E695D"/>
    <w:rsid w:val="381E6C57"/>
    <w:rsid w:val="381F4351"/>
    <w:rsid w:val="381FDBC5"/>
    <w:rsid w:val="38206408"/>
    <w:rsid w:val="3821CA01"/>
    <w:rsid w:val="38222BC6"/>
    <w:rsid w:val="382306EF"/>
    <w:rsid w:val="38245AFC"/>
    <w:rsid w:val="3824EA1C"/>
    <w:rsid w:val="3826A5A5"/>
    <w:rsid w:val="38278E07"/>
    <w:rsid w:val="382813CB"/>
    <w:rsid w:val="3828698D"/>
    <w:rsid w:val="38288EC0"/>
    <w:rsid w:val="3828D06F"/>
    <w:rsid w:val="382A0259"/>
    <w:rsid w:val="382A2EE9"/>
    <w:rsid w:val="382A7828"/>
    <w:rsid w:val="382A9E57"/>
    <w:rsid w:val="382AA60A"/>
    <w:rsid w:val="382ACE0D"/>
    <w:rsid w:val="382B3ACD"/>
    <w:rsid w:val="382BEFEE"/>
    <w:rsid w:val="382DC2A7"/>
    <w:rsid w:val="382DE742"/>
    <w:rsid w:val="382E1C13"/>
    <w:rsid w:val="382EFB3E"/>
    <w:rsid w:val="382F4D59"/>
    <w:rsid w:val="382FC9A6"/>
    <w:rsid w:val="382FD271"/>
    <w:rsid w:val="382FDC03"/>
    <w:rsid w:val="3830903B"/>
    <w:rsid w:val="3830A8F3"/>
    <w:rsid w:val="3831C81F"/>
    <w:rsid w:val="3831F79F"/>
    <w:rsid w:val="38336C35"/>
    <w:rsid w:val="3834369C"/>
    <w:rsid w:val="38344683"/>
    <w:rsid w:val="38345C1F"/>
    <w:rsid w:val="3835D1CA"/>
    <w:rsid w:val="38363769"/>
    <w:rsid w:val="3836BB20"/>
    <w:rsid w:val="38372D12"/>
    <w:rsid w:val="383787F9"/>
    <w:rsid w:val="383796F3"/>
    <w:rsid w:val="383824B6"/>
    <w:rsid w:val="38385CE4"/>
    <w:rsid w:val="383965A6"/>
    <w:rsid w:val="3839A10C"/>
    <w:rsid w:val="383A279F"/>
    <w:rsid w:val="383A6050"/>
    <w:rsid w:val="383ADE2B"/>
    <w:rsid w:val="383BAC2A"/>
    <w:rsid w:val="383C091B"/>
    <w:rsid w:val="383C3234"/>
    <w:rsid w:val="383CFE23"/>
    <w:rsid w:val="383D12B2"/>
    <w:rsid w:val="383D498F"/>
    <w:rsid w:val="383DFCFC"/>
    <w:rsid w:val="383E6FBB"/>
    <w:rsid w:val="383EA7F0"/>
    <w:rsid w:val="383EBDC7"/>
    <w:rsid w:val="383ED858"/>
    <w:rsid w:val="383EE764"/>
    <w:rsid w:val="383F29DF"/>
    <w:rsid w:val="384070FD"/>
    <w:rsid w:val="3840764C"/>
    <w:rsid w:val="3840932D"/>
    <w:rsid w:val="3840FC8C"/>
    <w:rsid w:val="38410936"/>
    <w:rsid w:val="38411F5D"/>
    <w:rsid w:val="3841E5C2"/>
    <w:rsid w:val="38422747"/>
    <w:rsid w:val="3842E1ED"/>
    <w:rsid w:val="384339A9"/>
    <w:rsid w:val="3843440A"/>
    <w:rsid w:val="38439213"/>
    <w:rsid w:val="3844D703"/>
    <w:rsid w:val="38455D03"/>
    <w:rsid w:val="384569C4"/>
    <w:rsid w:val="38459836"/>
    <w:rsid w:val="3846248C"/>
    <w:rsid w:val="384628BB"/>
    <w:rsid w:val="384660A9"/>
    <w:rsid w:val="3846777E"/>
    <w:rsid w:val="384762E2"/>
    <w:rsid w:val="384793E3"/>
    <w:rsid w:val="3847F419"/>
    <w:rsid w:val="3848165F"/>
    <w:rsid w:val="384822E5"/>
    <w:rsid w:val="3848237C"/>
    <w:rsid w:val="38489538"/>
    <w:rsid w:val="3848DBB2"/>
    <w:rsid w:val="38491FD3"/>
    <w:rsid w:val="38497E1E"/>
    <w:rsid w:val="3849D93F"/>
    <w:rsid w:val="384A5AD5"/>
    <w:rsid w:val="384A9012"/>
    <w:rsid w:val="384AF9AD"/>
    <w:rsid w:val="384C68DC"/>
    <w:rsid w:val="384D74EE"/>
    <w:rsid w:val="384E72FD"/>
    <w:rsid w:val="384E75C5"/>
    <w:rsid w:val="384ECFEC"/>
    <w:rsid w:val="384F2628"/>
    <w:rsid w:val="384F9578"/>
    <w:rsid w:val="384FF719"/>
    <w:rsid w:val="385004DD"/>
    <w:rsid w:val="385028CE"/>
    <w:rsid w:val="38508CE3"/>
    <w:rsid w:val="3851AF6D"/>
    <w:rsid w:val="3852A386"/>
    <w:rsid w:val="3852A4EB"/>
    <w:rsid w:val="3852F1FD"/>
    <w:rsid w:val="385385EB"/>
    <w:rsid w:val="385485A5"/>
    <w:rsid w:val="38555E4A"/>
    <w:rsid w:val="385578B6"/>
    <w:rsid w:val="3856315A"/>
    <w:rsid w:val="38569B71"/>
    <w:rsid w:val="3856C2FC"/>
    <w:rsid w:val="385749E1"/>
    <w:rsid w:val="3857A2BF"/>
    <w:rsid w:val="3857CC4C"/>
    <w:rsid w:val="3857CCDD"/>
    <w:rsid w:val="38585F9A"/>
    <w:rsid w:val="38588951"/>
    <w:rsid w:val="38589E28"/>
    <w:rsid w:val="38590466"/>
    <w:rsid w:val="3859B751"/>
    <w:rsid w:val="385A709E"/>
    <w:rsid w:val="385A86FD"/>
    <w:rsid w:val="385AC001"/>
    <w:rsid w:val="385BB79E"/>
    <w:rsid w:val="385C110D"/>
    <w:rsid w:val="385C364A"/>
    <w:rsid w:val="385E048F"/>
    <w:rsid w:val="385E8345"/>
    <w:rsid w:val="385EBE43"/>
    <w:rsid w:val="38600B46"/>
    <w:rsid w:val="38606506"/>
    <w:rsid w:val="38608928"/>
    <w:rsid w:val="386129CE"/>
    <w:rsid w:val="38619472"/>
    <w:rsid w:val="3862AA7B"/>
    <w:rsid w:val="3862CBDC"/>
    <w:rsid w:val="386317A6"/>
    <w:rsid w:val="38635042"/>
    <w:rsid w:val="3864E3DD"/>
    <w:rsid w:val="3864EEC1"/>
    <w:rsid w:val="38658675"/>
    <w:rsid w:val="386587B8"/>
    <w:rsid w:val="3865EC05"/>
    <w:rsid w:val="386666AA"/>
    <w:rsid w:val="38677B81"/>
    <w:rsid w:val="38678475"/>
    <w:rsid w:val="3868178F"/>
    <w:rsid w:val="386855B9"/>
    <w:rsid w:val="3869007A"/>
    <w:rsid w:val="3869EB45"/>
    <w:rsid w:val="386A7DEF"/>
    <w:rsid w:val="386A9622"/>
    <w:rsid w:val="386CF10E"/>
    <w:rsid w:val="386E48B2"/>
    <w:rsid w:val="386EE6BC"/>
    <w:rsid w:val="386F7645"/>
    <w:rsid w:val="3872CA8B"/>
    <w:rsid w:val="3872D8F6"/>
    <w:rsid w:val="3872EC98"/>
    <w:rsid w:val="38730388"/>
    <w:rsid w:val="387386E7"/>
    <w:rsid w:val="3873A4DB"/>
    <w:rsid w:val="3873C222"/>
    <w:rsid w:val="3874499A"/>
    <w:rsid w:val="3874E292"/>
    <w:rsid w:val="3875ACF3"/>
    <w:rsid w:val="3876F19C"/>
    <w:rsid w:val="387702BB"/>
    <w:rsid w:val="38777B89"/>
    <w:rsid w:val="3877C0A1"/>
    <w:rsid w:val="3877C3F3"/>
    <w:rsid w:val="3878633B"/>
    <w:rsid w:val="387879EC"/>
    <w:rsid w:val="38787F88"/>
    <w:rsid w:val="3878E0B5"/>
    <w:rsid w:val="3878E45D"/>
    <w:rsid w:val="3879BF6A"/>
    <w:rsid w:val="387A5A79"/>
    <w:rsid w:val="387A5B04"/>
    <w:rsid w:val="387AF039"/>
    <w:rsid w:val="387BD0B6"/>
    <w:rsid w:val="387BF253"/>
    <w:rsid w:val="387C6EE6"/>
    <w:rsid w:val="387D19DA"/>
    <w:rsid w:val="387E12E7"/>
    <w:rsid w:val="387F0CF5"/>
    <w:rsid w:val="387F674B"/>
    <w:rsid w:val="387F6846"/>
    <w:rsid w:val="387FBFF0"/>
    <w:rsid w:val="38800369"/>
    <w:rsid w:val="388037F5"/>
    <w:rsid w:val="388159F8"/>
    <w:rsid w:val="38818D6E"/>
    <w:rsid w:val="3881F55B"/>
    <w:rsid w:val="38823521"/>
    <w:rsid w:val="388296AF"/>
    <w:rsid w:val="3882D9BD"/>
    <w:rsid w:val="3882F7AC"/>
    <w:rsid w:val="388309CB"/>
    <w:rsid w:val="3883169B"/>
    <w:rsid w:val="3883EF41"/>
    <w:rsid w:val="38846566"/>
    <w:rsid w:val="3885112F"/>
    <w:rsid w:val="38857298"/>
    <w:rsid w:val="3885A99C"/>
    <w:rsid w:val="3885D0E6"/>
    <w:rsid w:val="3886156A"/>
    <w:rsid w:val="388654FC"/>
    <w:rsid w:val="38866B82"/>
    <w:rsid w:val="38870B4F"/>
    <w:rsid w:val="3887D8E7"/>
    <w:rsid w:val="3887DF41"/>
    <w:rsid w:val="3887E67A"/>
    <w:rsid w:val="38887C7D"/>
    <w:rsid w:val="38889F21"/>
    <w:rsid w:val="38890022"/>
    <w:rsid w:val="388954CD"/>
    <w:rsid w:val="388AB835"/>
    <w:rsid w:val="388B452C"/>
    <w:rsid w:val="388B7B3E"/>
    <w:rsid w:val="388B8D57"/>
    <w:rsid w:val="388C1149"/>
    <w:rsid w:val="388C4878"/>
    <w:rsid w:val="388CA13B"/>
    <w:rsid w:val="388D4724"/>
    <w:rsid w:val="388E42B1"/>
    <w:rsid w:val="388E6982"/>
    <w:rsid w:val="388E7DB8"/>
    <w:rsid w:val="388EE3A0"/>
    <w:rsid w:val="388F8B68"/>
    <w:rsid w:val="388F9AF0"/>
    <w:rsid w:val="388FE21E"/>
    <w:rsid w:val="388FFD75"/>
    <w:rsid w:val="38908C99"/>
    <w:rsid w:val="3891D10C"/>
    <w:rsid w:val="3891FB01"/>
    <w:rsid w:val="3892B087"/>
    <w:rsid w:val="3894020F"/>
    <w:rsid w:val="38942029"/>
    <w:rsid w:val="389447DF"/>
    <w:rsid w:val="389448C9"/>
    <w:rsid w:val="38951C13"/>
    <w:rsid w:val="38953268"/>
    <w:rsid w:val="38964780"/>
    <w:rsid w:val="3896B268"/>
    <w:rsid w:val="389830B3"/>
    <w:rsid w:val="3898B41D"/>
    <w:rsid w:val="3898FF8E"/>
    <w:rsid w:val="38992F1C"/>
    <w:rsid w:val="38997D9B"/>
    <w:rsid w:val="3899C954"/>
    <w:rsid w:val="389A8503"/>
    <w:rsid w:val="389B2E05"/>
    <w:rsid w:val="389C59C5"/>
    <w:rsid w:val="389C8D05"/>
    <w:rsid w:val="389CCCF4"/>
    <w:rsid w:val="389CF713"/>
    <w:rsid w:val="389CF988"/>
    <w:rsid w:val="389DB80E"/>
    <w:rsid w:val="389DF986"/>
    <w:rsid w:val="389E25A0"/>
    <w:rsid w:val="389E60EA"/>
    <w:rsid w:val="389F7735"/>
    <w:rsid w:val="389FF5BC"/>
    <w:rsid w:val="38A08CCB"/>
    <w:rsid w:val="38A0947F"/>
    <w:rsid w:val="38A0FD73"/>
    <w:rsid w:val="38A15F4E"/>
    <w:rsid w:val="38A24273"/>
    <w:rsid w:val="38A2E2AB"/>
    <w:rsid w:val="38A31608"/>
    <w:rsid w:val="38A31A90"/>
    <w:rsid w:val="38A32A00"/>
    <w:rsid w:val="38A38151"/>
    <w:rsid w:val="38A41FD8"/>
    <w:rsid w:val="38A4E0C4"/>
    <w:rsid w:val="38A57615"/>
    <w:rsid w:val="38A5F136"/>
    <w:rsid w:val="38A6A821"/>
    <w:rsid w:val="38A6BB7E"/>
    <w:rsid w:val="38A7783A"/>
    <w:rsid w:val="38A8137D"/>
    <w:rsid w:val="38A91472"/>
    <w:rsid w:val="38A950CA"/>
    <w:rsid w:val="38A950E2"/>
    <w:rsid w:val="38A971AD"/>
    <w:rsid w:val="38AA68C2"/>
    <w:rsid w:val="38AC1945"/>
    <w:rsid w:val="38AC2770"/>
    <w:rsid w:val="38AC8C61"/>
    <w:rsid w:val="38ACDE64"/>
    <w:rsid w:val="38AD3BE7"/>
    <w:rsid w:val="38ADDC60"/>
    <w:rsid w:val="38AE1295"/>
    <w:rsid w:val="38AEDF54"/>
    <w:rsid w:val="38AF1EE4"/>
    <w:rsid w:val="38B07733"/>
    <w:rsid w:val="38B0F04B"/>
    <w:rsid w:val="38B0F898"/>
    <w:rsid w:val="38B1AC72"/>
    <w:rsid w:val="38B1CCCA"/>
    <w:rsid w:val="38B1CD29"/>
    <w:rsid w:val="38B1FFFC"/>
    <w:rsid w:val="38B29D28"/>
    <w:rsid w:val="38B2D7F7"/>
    <w:rsid w:val="38B3C09A"/>
    <w:rsid w:val="38B4D343"/>
    <w:rsid w:val="38B59A30"/>
    <w:rsid w:val="38B5D325"/>
    <w:rsid w:val="38B5F049"/>
    <w:rsid w:val="38B64F0A"/>
    <w:rsid w:val="38B69352"/>
    <w:rsid w:val="38B77372"/>
    <w:rsid w:val="38B7E6D5"/>
    <w:rsid w:val="38B945D1"/>
    <w:rsid w:val="38B95545"/>
    <w:rsid w:val="38B95561"/>
    <w:rsid w:val="38B9AE87"/>
    <w:rsid w:val="38B9B48A"/>
    <w:rsid w:val="38B9C2AB"/>
    <w:rsid w:val="38BA2F1C"/>
    <w:rsid w:val="38BAB3E7"/>
    <w:rsid w:val="38BACD11"/>
    <w:rsid w:val="38BCC814"/>
    <w:rsid w:val="38BCE07D"/>
    <w:rsid w:val="38BD2C6E"/>
    <w:rsid w:val="38BE0568"/>
    <w:rsid w:val="38BEEBEE"/>
    <w:rsid w:val="38BF693B"/>
    <w:rsid w:val="38BFEDFD"/>
    <w:rsid w:val="38BFF4AF"/>
    <w:rsid w:val="38C02434"/>
    <w:rsid w:val="38C24F36"/>
    <w:rsid w:val="38C349AB"/>
    <w:rsid w:val="38C36AC4"/>
    <w:rsid w:val="38C41256"/>
    <w:rsid w:val="38C41AE7"/>
    <w:rsid w:val="38C66958"/>
    <w:rsid w:val="38C6C6AF"/>
    <w:rsid w:val="38C798B6"/>
    <w:rsid w:val="38C906A9"/>
    <w:rsid w:val="38C931EC"/>
    <w:rsid w:val="38C96EFA"/>
    <w:rsid w:val="38C99876"/>
    <w:rsid w:val="38CA0E68"/>
    <w:rsid w:val="38CA74F9"/>
    <w:rsid w:val="38CA7A6A"/>
    <w:rsid w:val="38CA9BAA"/>
    <w:rsid w:val="38CAF3AE"/>
    <w:rsid w:val="38CB87A0"/>
    <w:rsid w:val="38CBD85E"/>
    <w:rsid w:val="38CBF8E0"/>
    <w:rsid w:val="38CC0CBC"/>
    <w:rsid w:val="38CC5380"/>
    <w:rsid w:val="38CC74BE"/>
    <w:rsid w:val="38CD2660"/>
    <w:rsid w:val="38CD3829"/>
    <w:rsid w:val="38CD450F"/>
    <w:rsid w:val="38CE2648"/>
    <w:rsid w:val="38CEB18E"/>
    <w:rsid w:val="38CF56B4"/>
    <w:rsid w:val="38CF718A"/>
    <w:rsid w:val="38D10347"/>
    <w:rsid w:val="38D25E4D"/>
    <w:rsid w:val="38D29B0C"/>
    <w:rsid w:val="38D2CF87"/>
    <w:rsid w:val="38D2F4D8"/>
    <w:rsid w:val="38D3299A"/>
    <w:rsid w:val="38D33257"/>
    <w:rsid w:val="38D387D3"/>
    <w:rsid w:val="38D38B16"/>
    <w:rsid w:val="38D3FD42"/>
    <w:rsid w:val="38D423F7"/>
    <w:rsid w:val="38D42EDA"/>
    <w:rsid w:val="38D43BF7"/>
    <w:rsid w:val="38D4C170"/>
    <w:rsid w:val="38D517F4"/>
    <w:rsid w:val="38D54406"/>
    <w:rsid w:val="38D56FE4"/>
    <w:rsid w:val="38D5FE56"/>
    <w:rsid w:val="38D6EB3B"/>
    <w:rsid w:val="38D7292D"/>
    <w:rsid w:val="38D7E63F"/>
    <w:rsid w:val="38D8785E"/>
    <w:rsid w:val="38D95D71"/>
    <w:rsid w:val="38D9D8E2"/>
    <w:rsid w:val="38D9F38F"/>
    <w:rsid w:val="38DA2B93"/>
    <w:rsid w:val="38DA9481"/>
    <w:rsid w:val="38DAAA08"/>
    <w:rsid w:val="38DBD614"/>
    <w:rsid w:val="38DBFBAE"/>
    <w:rsid w:val="38DC4D5C"/>
    <w:rsid w:val="38DC5A6C"/>
    <w:rsid w:val="38DCCA45"/>
    <w:rsid w:val="38DD64FC"/>
    <w:rsid w:val="38DD6AF1"/>
    <w:rsid w:val="38DDC853"/>
    <w:rsid w:val="38DE45D3"/>
    <w:rsid w:val="38DEA3C4"/>
    <w:rsid w:val="38DF9A86"/>
    <w:rsid w:val="38E0B050"/>
    <w:rsid w:val="38E10F9F"/>
    <w:rsid w:val="38E13B90"/>
    <w:rsid w:val="38E19E86"/>
    <w:rsid w:val="38E1D2FB"/>
    <w:rsid w:val="38E263CC"/>
    <w:rsid w:val="38E2A9FC"/>
    <w:rsid w:val="38E2AA5C"/>
    <w:rsid w:val="38E3271F"/>
    <w:rsid w:val="38E3D4CD"/>
    <w:rsid w:val="38E5A798"/>
    <w:rsid w:val="38E67B27"/>
    <w:rsid w:val="38E693F8"/>
    <w:rsid w:val="38E7FF70"/>
    <w:rsid w:val="38E8ABA8"/>
    <w:rsid w:val="38E8ACEC"/>
    <w:rsid w:val="38E8D45C"/>
    <w:rsid w:val="38E90081"/>
    <w:rsid w:val="38EA39E2"/>
    <w:rsid w:val="38EA4919"/>
    <w:rsid w:val="38EBDA1C"/>
    <w:rsid w:val="38EC53A2"/>
    <w:rsid w:val="38ECF2CF"/>
    <w:rsid w:val="38EDEA18"/>
    <w:rsid w:val="38EDFBF9"/>
    <w:rsid w:val="38EE5386"/>
    <w:rsid w:val="38EE9AE9"/>
    <w:rsid w:val="38EEB679"/>
    <w:rsid w:val="38EF0F34"/>
    <w:rsid w:val="38EF31F5"/>
    <w:rsid w:val="38EF452C"/>
    <w:rsid w:val="38EFA33F"/>
    <w:rsid w:val="38F01B27"/>
    <w:rsid w:val="38F1E5AB"/>
    <w:rsid w:val="38F1F12D"/>
    <w:rsid w:val="38F22E28"/>
    <w:rsid w:val="38F2DE17"/>
    <w:rsid w:val="38F2E692"/>
    <w:rsid w:val="38F3C245"/>
    <w:rsid w:val="38F3FE4D"/>
    <w:rsid w:val="38F409EC"/>
    <w:rsid w:val="38F4ABB5"/>
    <w:rsid w:val="38F509EB"/>
    <w:rsid w:val="38F50EFC"/>
    <w:rsid w:val="38F56FA0"/>
    <w:rsid w:val="38F59848"/>
    <w:rsid w:val="38F5B11D"/>
    <w:rsid w:val="38F5B9B7"/>
    <w:rsid w:val="38F5D7C2"/>
    <w:rsid w:val="38F640A0"/>
    <w:rsid w:val="38F65266"/>
    <w:rsid w:val="38F6DA4E"/>
    <w:rsid w:val="38F6E7C5"/>
    <w:rsid w:val="38F761DB"/>
    <w:rsid w:val="38F7E8A6"/>
    <w:rsid w:val="38F820D2"/>
    <w:rsid w:val="38F8376F"/>
    <w:rsid w:val="38F86B7E"/>
    <w:rsid w:val="38F88004"/>
    <w:rsid w:val="38F8DD58"/>
    <w:rsid w:val="38F8E17B"/>
    <w:rsid w:val="38F92F60"/>
    <w:rsid w:val="38FA9286"/>
    <w:rsid w:val="38FACAF7"/>
    <w:rsid w:val="38FB40C1"/>
    <w:rsid w:val="38FB87BE"/>
    <w:rsid w:val="38FBBAD2"/>
    <w:rsid w:val="38FBF35A"/>
    <w:rsid w:val="38FC3211"/>
    <w:rsid w:val="38FC5795"/>
    <w:rsid w:val="38FC7E23"/>
    <w:rsid w:val="38FDC616"/>
    <w:rsid w:val="38FF157E"/>
    <w:rsid w:val="38FFED69"/>
    <w:rsid w:val="3900978F"/>
    <w:rsid w:val="3901DAEB"/>
    <w:rsid w:val="39038544"/>
    <w:rsid w:val="3903B8F3"/>
    <w:rsid w:val="3903BBE0"/>
    <w:rsid w:val="3904B50D"/>
    <w:rsid w:val="3904D4B6"/>
    <w:rsid w:val="39050477"/>
    <w:rsid w:val="39053C91"/>
    <w:rsid w:val="3905F9DA"/>
    <w:rsid w:val="390610F8"/>
    <w:rsid w:val="390654AA"/>
    <w:rsid w:val="3906BD78"/>
    <w:rsid w:val="3906F513"/>
    <w:rsid w:val="3907638F"/>
    <w:rsid w:val="39079E95"/>
    <w:rsid w:val="3908A2BE"/>
    <w:rsid w:val="3908CC74"/>
    <w:rsid w:val="3909F234"/>
    <w:rsid w:val="390A02B5"/>
    <w:rsid w:val="390A1C75"/>
    <w:rsid w:val="390A7729"/>
    <w:rsid w:val="390A7F5B"/>
    <w:rsid w:val="390A807F"/>
    <w:rsid w:val="390AE9B5"/>
    <w:rsid w:val="390AEB95"/>
    <w:rsid w:val="390B03D4"/>
    <w:rsid w:val="390C0AB5"/>
    <w:rsid w:val="390C76B9"/>
    <w:rsid w:val="390CAB2F"/>
    <w:rsid w:val="390CC719"/>
    <w:rsid w:val="390E1936"/>
    <w:rsid w:val="390E578D"/>
    <w:rsid w:val="390E7F64"/>
    <w:rsid w:val="390F4A9A"/>
    <w:rsid w:val="39100870"/>
    <w:rsid w:val="39101E4C"/>
    <w:rsid w:val="39116031"/>
    <w:rsid w:val="39117F35"/>
    <w:rsid w:val="3911E17E"/>
    <w:rsid w:val="3913280D"/>
    <w:rsid w:val="3914430A"/>
    <w:rsid w:val="39148E04"/>
    <w:rsid w:val="3915ACF2"/>
    <w:rsid w:val="391627A8"/>
    <w:rsid w:val="391646C7"/>
    <w:rsid w:val="3916A1F5"/>
    <w:rsid w:val="39172438"/>
    <w:rsid w:val="3917711A"/>
    <w:rsid w:val="391890A0"/>
    <w:rsid w:val="3918C6A7"/>
    <w:rsid w:val="39190D9E"/>
    <w:rsid w:val="3919B6D2"/>
    <w:rsid w:val="391A23EB"/>
    <w:rsid w:val="391A5D70"/>
    <w:rsid w:val="391A8265"/>
    <w:rsid w:val="391AB136"/>
    <w:rsid w:val="391ADB7B"/>
    <w:rsid w:val="391AFDF0"/>
    <w:rsid w:val="391B3D3B"/>
    <w:rsid w:val="391B54ED"/>
    <w:rsid w:val="391BA676"/>
    <w:rsid w:val="391BFABC"/>
    <w:rsid w:val="391C1233"/>
    <w:rsid w:val="391C2CF1"/>
    <w:rsid w:val="391CC545"/>
    <w:rsid w:val="391D4E68"/>
    <w:rsid w:val="39211853"/>
    <w:rsid w:val="392126E4"/>
    <w:rsid w:val="3922979C"/>
    <w:rsid w:val="3922D189"/>
    <w:rsid w:val="39237109"/>
    <w:rsid w:val="39241DEC"/>
    <w:rsid w:val="392480C1"/>
    <w:rsid w:val="3924CCE9"/>
    <w:rsid w:val="39256824"/>
    <w:rsid w:val="3925A942"/>
    <w:rsid w:val="39264BAF"/>
    <w:rsid w:val="39267BF1"/>
    <w:rsid w:val="3926A6A1"/>
    <w:rsid w:val="392752A4"/>
    <w:rsid w:val="39279AA1"/>
    <w:rsid w:val="3927DE96"/>
    <w:rsid w:val="39281760"/>
    <w:rsid w:val="39285F5A"/>
    <w:rsid w:val="3928ADA9"/>
    <w:rsid w:val="3928EC56"/>
    <w:rsid w:val="392A24C1"/>
    <w:rsid w:val="392ABBE0"/>
    <w:rsid w:val="392B2FE0"/>
    <w:rsid w:val="392BB72F"/>
    <w:rsid w:val="392CED1B"/>
    <w:rsid w:val="392CF599"/>
    <w:rsid w:val="392D428E"/>
    <w:rsid w:val="392D761A"/>
    <w:rsid w:val="392D8BA9"/>
    <w:rsid w:val="392D9A70"/>
    <w:rsid w:val="392ED4E0"/>
    <w:rsid w:val="392F0281"/>
    <w:rsid w:val="392F737E"/>
    <w:rsid w:val="392F81C1"/>
    <w:rsid w:val="392FCA1A"/>
    <w:rsid w:val="39302F00"/>
    <w:rsid w:val="393125CC"/>
    <w:rsid w:val="39315E21"/>
    <w:rsid w:val="39316361"/>
    <w:rsid w:val="39322963"/>
    <w:rsid w:val="393351B9"/>
    <w:rsid w:val="39343441"/>
    <w:rsid w:val="3934A8B9"/>
    <w:rsid w:val="39350284"/>
    <w:rsid w:val="3935AEBA"/>
    <w:rsid w:val="39366539"/>
    <w:rsid w:val="3936ACFF"/>
    <w:rsid w:val="3936B738"/>
    <w:rsid w:val="393741BA"/>
    <w:rsid w:val="39375382"/>
    <w:rsid w:val="3938020D"/>
    <w:rsid w:val="393819D6"/>
    <w:rsid w:val="3938DF39"/>
    <w:rsid w:val="393921B2"/>
    <w:rsid w:val="393997B4"/>
    <w:rsid w:val="3939BB24"/>
    <w:rsid w:val="393AFB8B"/>
    <w:rsid w:val="393D6780"/>
    <w:rsid w:val="393E31AD"/>
    <w:rsid w:val="393EB338"/>
    <w:rsid w:val="393FA527"/>
    <w:rsid w:val="393FDCB1"/>
    <w:rsid w:val="393FEB12"/>
    <w:rsid w:val="39400DEB"/>
    <w:rsid w:val="39403EBA"/>
    <w:rsid w:val="39405549"/>
    <w:rsid w:val="394071EA"/>
    <w:rsid w:val="39409D38"/>
    <w:rsid w:val="3940CA6B"/>
    <w:rsid w:val="3941D04F"/>
    <w:rsid w:val="394275CF"/>
    <w:rsid w:val="3943250F"/>
    <w:rsid w:val="3943370D"/>
    <w:rsid w:val="3943D8D7"/>
    <w:rsid w:val="39446B67"/>
    <w:rsid w:val="39448BCA"/>
    <w:rsid w:val="394581BD"/>
    <w:rsid w:val="3945BDCC"/>
    <w:rsid w:val="3946453C"/>
    <w:rsid w:val="39467B31"/>
    <w:rsid w:val="3946817C"/>
    <w:rsid w:val="394685F1"/>
    <w:rsid w:val="39469C27"/>
    <w:rsid w:val="3946B09F"/>
    <w:rsid w:val="39480C8C"/>
    <w:rsid w:val="3948310D"/>
    <w:rsid w:val="39490BFC"/>
    <w:rsid w:val="39491CB8"/>
    <w:rsid w:val="3949276E"/>
    <w:rsid w:val="394A3A03"/>
    <w:rsid w:val="394A3F73"/>
    <w:rsid w:val="394A98E4"/>
    <w:rsid w:val="394AD22C"/>
    <w:rsid w:val="394BF3C2"/>
    <w:rsid w:val="394C2C63"/>
    <w:rsid w:val="394C41A9"/>
    <w:rsid w:val="394C93B5"/>
    <w:rsid w:val="394D14DC"/>
    <w:rsid w:val="394DD10A"/>
    <w:rsid w:val="394E9AEC"/>
    <w:rsid w:val="394EA93A"/>
    <w:rsid w:val="394F0947"/>
    <w:rsid w:val="394F3C90"/>
    <w:rsid w:val="394F8398"/>
    <w:rsid w:val="39504A9B"/>
    <w:rsid w:val="39509420"/>
    <w:rsid w:val="3951A9BA"/>
    <w:rsid w:val="39522627"/>
    <w:rsid w:val="39523CDD"/>
    <w:rsid w:val="3952BC56"/>
    <w:rsid w:val="3952D0BF"/>
    <w:rsid w:val="39531592"/>
    <w:rsid w:val="395327F6"/>
    <w:rsid w:val="39546FBE"/>
    <w:rsid w:val="3955A7D2"/>
    <w:rsid w:val="3955C1D9"/>
    <w:rsid w:val="3955DBA9"/>
    <w:rsid w:val="3956896E"/>
    <w:rsid w:val="3956E16D"/>
    <w:rsid w:val="3956EC8C"/>
    <w:rsid w:val="3957DD4D"/>
    <w:rsid w:val="39584380"/>
    <w:rsid w:val="39586B3F"/>
    <w:rsid w:val="3958AAC4"/>
    <w:rsid w:val="39590068"/>
    <w:rsid w:val="395934E1"/>
    <w:rsid w:val="3959B537"/>
    <w:rsid w:val="3959BE69"/>
    <w:rsid w:val="3959D324"/>
    <w:rsid w:val="395A0227"/>
    <w:rsid w:val="395A6B89"/>
    <w:rsid w:val="395A99B9"/>
    <w:rsid w:val="395B1A57"/>
    <w:rsid w:val="395B410E"/>
    <w:rsid w:val="395C55E8"/>
    <w:rsid w:val="395C7BF3"/>
    <w:rsid w:val="395C7F89"/>
    <w:rsid w:val="395CB138"/>
    <w:rsid w:val="395D42DF"/>
    <w:rsid w:val="395DD8F2"/>
    <w:rsid w:val="395E92AD"/>
    <w:rsid w:val="395FA815"/>
    <w:rsid w:val="395FB02E"/>
    <w:rsid w:val="39603E2A"/>
    <w:rsid w:val="396103A5"/>
    <w:rsid w:val="39614805"/>
    <w:rsid w:val="3961C094"/>
    <w:rsid w:val="3961D908"/>
    <w:rsid w:val="3962041C"/>
    <w:rsid w:val="396213E7"/>
    <w:rsid w:val="396219FE"/>
    <w:rsid w:val="39627B85"/>
    <w:rsid w:val="3962A78E"/>
    <w:rsid w:val="3962F449"/>
    <w:rsid w:val="39638D9B"/>
    <w:rsid w:val="39644C3B"/>
    <w:rsid w:val="3964A87B"/>
    <w:rsid w:val="39650B72"/>
    <w:rsid w:val="396536DF"/>
    <w:rsid w:val="39659095"/>
    <w:rsid w:val="396599B9"/>
    <w:rsid w:val="396614ED"/>
    <w:rsid w:val="39662965"/>
    <w:rsid w:val="39665B06"/>
    <w:rsid w:val="39666635"/>
    <w:rsid w:val="39667856"/>
    <w:rsid w:val="3966D341"/>
    <w:rsid w:val="39678F79"/>
    <w:rsid w:val="39685DCD"/>
    <w:rsid w:val="3968AC70"/>
    <w:rsid w:val="3968B165"/>
    <w:rsid w:val="3968EEF3"/>
    <w:rsid w:val="3969C881"/>
    <w:rsid w:val="3969EACD"/>
    <w:rsid w:val="396A6165"/>
    <w:rsid w:val="396A9E9B"/>
    <w:rsid w:val="396AC5A7"/>
    <w:rsid w:val="396B3C60"/>
    <w:rsid w:val="396BB666"/>
    <w:rsid w:val="396CBA25"/>
    <w:rsid w:val="396D0A13"/>
    <w:rsid w:val="396D994E"/>
    <w:rsid w:val="396DABDF"/>
    <w:rsid w:val="396E404D"/>
    <w:rsid w:val="396E4A37"/>
    <w:rsid w:val="396E4BD2"/>
    <w:rsid w:val="396EC68E"/>
    <w:rsid w:val="396F8F2A"/>
    <w:rsid w:val="3971C920"/>
    <w:rsid w:val="39720A9E"/>
    <w:rsid w:val="39721642"/>
    <w:rsid w:val="39721AA5"/>
    <w:rsid w:val="39723147"/>
    <w:rsid w:val="3972A191"/>
    <w:rsid w:val="39734891"/>
    <w:rsid w:val="397378B8"/>
    <w:rsid w:val="3973C0F1"/>
    <w:rsid w:val="397400D0"/>
    <w:rsid w:val="39745165"/>
    <w:rsid w:val="397468CD"/>
    <w:rsid w:val="3974C24B"/>
    <w:rsid w:val="397504C3"/>
    <w:rsid w:val="3975953B"/>
    <w:rsid w:val="3975D40B"/>
    <w:rsid w:val="39766AD9"/>
    <w:rsid w:val="3976958F"/>
    <w:rsid w:val="397761BC"/>
    <w:rsid w:val="3977E2BD"/>
    <w:rsid w:val="3977FCF5"/>
    <w:rsid w:val="39780E2A"/>
    <w:rsid w:val="3978C8A2"/>
    <w:rsid w:val="3978DC4B"/>
    <w:rsid w:val="397966A4"/>
    <w:rsid w:val="3979CF4B"/>
    <w:rsid w:val="397A36B5"/>
    <w:rsid w:val="397A6FF1"/>
    <w:rsid w:val="397ADD1A"/>
    <w:rsid w:val="397B0C4B"/>
    <w:rsid w:val="397B9609"/>
    <w:rsid w:val="397BB7F1"/>
    <w:rsid w:val="397C2052"/>
    <w:rsid w:val="397C87C3"/>
    <w:rsid w:val="397CC7EF"/>
    <w:rsid w:val="397CD187"/>
    <w:rsid w:val="397CF8A6"/>
    <w:rsid w:val="397D92A4"/>
    <w:rsid w:val="397E07AA"/>
    <w:rsid w:val="397F42AA"/>
    <w:rsid w:val="397F9A3A"/>
    <w:rsid w:val="397FE997"/>
    <w:rsid w:val="39809B16"/>
    <w:rsid w:val="39811DC3"/>
    <w:rsid w:val="39812CCE"/>
    <w:rsid w:val="3981D6A7"/>
    <w:rsid w:val="39820562"/>
    <w:rsid w:val="39828736"/>
    <w:rsid w:val="39844F39"/>
    <w:rsid w:val="3984549C"/>
    <w:rsid w:val="3984A095"/>
    <w:rsid w:val="3984A6D3"/>
    <w:rsid w:val="3984EF67"/>
    <w:rsid w:val="3984F20A"/>
    <w:rsid w:val="3985C48B"/>
    <w:rsid w:val="3985DCFB"/>
    <w:rsid w:val="39863AAA"/>
    <w:rsid w:val="39868BD4"/>
    <w:rsid w:val="3986C5F9"/>
    <w:rsid w:val="3986D211"/>
    <w:rsid w:val="39870780"/>
    <w:rsid w:val="398754A3"/>
    <w:rsid w:val="39875A33"/>
    <w:rsid w:val="39880AF1"/>
    <w:rsid w:val="39886D00"/>
    <w:rsid w:val="39892987"/>
    <w:rsid w:val="39892A10"/>
    <w:rsid w:val="3989790E"/>
    <w:rsid w:val="3989D5F1"/>
    <w:rsid w:val="398A177A"/>
    <w:rsid w:val="398A5F52"/>
    <w:rsid w:val="398B2C7E"/>
    <w:rsid w:val="398B7285"/>
    <w:rsid w:val="398B7A97"/>
    <w:rsid w:val="398C5737"/>
    <w:rsid w:val="398D8ADD"/>
    <w:rsid w:val="398E145E"/>
    <w:rsid w:val="398E1D11"/>
    <w:rsid w:val="398E68CE"/>
    <w:rsid w:val="398E793D"/>
    <w:rsid w:val="398E872B"/>
    <w:rsid w:val="398F76C7"/>
    <w:rsid w:val="39908EF3"/>
    <w:rsid w:val="399105D3"/>
    <w:rsid w:val="3991415E"/>
    <w:rsid w:val="399145AC"/>
    <w:rsid w:val="399148F9"/>
    <w:rsid w:val="39917201"/>
    <w:rsid w:val="3991FFBB"/>
    <w:rsid w:val="399233DB"/>
    <w:rsid w:val="39923D64"/>
    <w:rsid w:val="39938DF0"/>
    <w:rsid w:val="3993FFAA"/>
    <w:rsid w:val="39940076"/>
    <w:rsid w:val="3994560C"/>
    <w:rsid w:val="3994B4D6"/>
    <w:rsid w:val="399527F1"/>
    <w:rsid w:val="39953702"/>
    <w:rsid w:val="399592C3"/>
    <w:rsid w:val="3995CC48"/>
    <w:rsid w:val="399666F4"/>
    <w:rsid w:val="399672DE"/>
    <w:rsid w:val="3996BE06"/>
    <w:rsid w:val="3997204E"/>
    <w:rsid w:val="3997CD86"/>
    <w:rsid w:val="39985150"/>
    <w:rsid w:val="3999AF98"/>
    <w:rsid w:val="3999E431"/>
    <w:rsid w:val="399A3A2C"/>
    <w:rsid w:val="399C4203"/>
    <w:rsid w:val="399CCCBE"/>
    <w:rsid w:val="399CED18"/>
    <w:rsid w:val="399D0A44"/>
    <w:rsid w:val="399DC437"/>
    <w:rsid w:val="399E8652"/>
    <w:rsid w:val="399E9B12"/>
    <w:rsid w:val="399ED323"/>
    <w:rsid w:val="399F2564"/>
    <w:rsid w:val="39A0292F"/>
    <w:rsid w:val="39A07F50"/>
    <w:rsid w:val="39A095FB"/>
    <w:rsid w:val="39A15E90"/>
    <w:rsid w:val="39A21107"/>
    <w:rsid w:val="39A26DB4"/>
    <w:rsid w:val="39A2CCA2"/>
    <w:rsid w:val="39A2F64E"/>
    <w:rsid w:val="39A3A116"/>
    <w:rsid w:val="39A42A6F"/>
    <w:rsid w:val="39A42A76"/>
    <w:rsid w:val="39A49B66"/>
    <w:rsid w:val="39A50494"/>
    <w:rsid w:val="39A55ED6"/>
    <w:rsid w:val="39A5A2DB"/>
    <w:rsid w:val="39A641DB"/>
    <w:rsid w:val="39A64BF5"/>
    <w:rsid w:val="39A72944"/>
    <w:rsid w:val="39A74B29"/>
    <w:rsid w:val="39A79747"/>
    <w:rsid w:val="39A82422"/>
    <w:rsid w:val="39A84D7D"/>
    <w:rsid w:val="39A885D8"/>
    <w:rsid w:val="39A8B532"/>
    <w:rsid w:val="39A8FAA9"/>
    <w:rsid w:val="39A9D23B"/>
    <w:rsid w:val="39A9DE53"/>
    <w:rsid w:val="39A9E9FB"/>
    <w:rsid w:val="39AA1FCF"/>
    <w:rsid w:val="39AA47F4"/>
    <w:rsid w:val="39AA7AD4"/>
    <w:rsid w:val="39AAC6DB"/>
    <w:rsid w:val="39AB226B"/>
    <w:rsid w:val="39AB69D9"/>
    <w:rsid w:val="39AB6F4F"/>
    <w:rsid w:val="39ABED53"/>
    <w:rsid w:val="39AC96B9"/>
    <w:rsid w:val="39AC9FED"/>
    <w:rsid w:val="39ACC0C6"/>
    <w:rsid w:val="39AD6710"/>
    <w:rsid w:val="39ADDCBC"/>
    <w:rsid w:val="39AE7434"/>
    <w:rsid w:val="39AF4E97"/>
    <w:rsid w:val="39B0858F"/>
    <w:rsid w:val="39B1A98E"/>
    <w:rsid w:val="39B1F14E"/>
    <w:rsid w:val="39B30E78"/>
    <w:rsid w:val="39B3A66C"/>
    <w:rsid w:val="39B3D550"/>
    <w:rsid w:val="39B3FC11"/>
    <w:rsid w:val="39B40D9D"/>
    <w:rsid w:val="39B422C4"/>
    <w:rsid w:val="39B55840"/>
    <w:rsid w:val="39B57E6D"/>
    <w:rsid w:val="39B5B77D"/>
    <w:rsid w:val="39B712E9"/>
    <w:rsid w:val="39B7178C"/>
    <w:rsid w:val="39B75DB4"/>
    <w:rsid w:val="39B75FEC"/>
    <w:rsid w:val="39B7B4C7"/>
    <w:rsid w:val="39B87A8D"/>
    <w:rsid w:val="39BA2E97"/>
    <w:rsid w:val="39BB3229"/>
    <w:rsid w:val="39BB68C1"/>
    <w:rsid w:val="39BB9EC8"/>
    <w:rsid w:val="39BBD5B4"/>
    <w:rsid w:val="39BBE820"/>
    <w:rsid w:val="39BC0511"/>
    <w:rsid w:val="39BC5C47"/>
    <w:rsid w:val="39BC5D4D"/>
    <w:rsid w:val="39BD42C4"/>
    <w:rsid w:val="39BDBA3C"/>
    <w:rsid w:val="39BE145C"/>
    <w:rsid w:val="39BFA1F9"/>
    <w:rsid w:val="39BFEB86"/>
    <w:rsid w:val="39C0A9C3"/>
    <w:rsid w:val="39C0F0F1"/>
    <w:rsid w:val="39C212BB"/>
    <w:rsid w:val="39C21573"/>
    <w:rsid w:val="39C2CDAA"/>
    <w:rsid w:val="39C2ECF8"/>
    <w:rsid w:val="39C3F18E"/>
    <w:rsid w:val="39C442CF"/>
    <w:rsid w:val="39C514F7"/>
    <w:rsid w:val="39C57F0E"/>
    <w:rsid w:val="39C588C1"/>
    <w:rsid w:val="39C603F8"/>
    <w:rsid w:val="39C6D7D8"/>
    <w:rsid w:val="39C75EEF"/>
    <w:rsid w:val="39C77C49"/>
    <w:rsid w:val="39C7DB1B"/>
    <w:rsid w:val="39C7F7EC"/>
    <w:rsid w:val="39C90BEE"/>
    <w:rsid w:val="39C92A38"/>
    <w:rsid w:val="39C97AA1"/>
    <w:rsid w:val="39C9E7E5"/>
    <w:rsid w:val="39CA54C9"/>
    <w:rsid w:val="39CC3EAC"/>
    <w:rsid w:val="39CC422C"/>
    <w:rsid w:val="39CC8887"/>
    <w:rsid w:val="39CCC508"/>
    <w:rsid w:val="39CCE757"/>
    <w:rsid w:val="39CE2F9E"/>
    <w:rsid w:val="39CF1C9F"/>
    <w:rsid w:val="39CFE1AD"/>
    <w:rsid w:val="39D060BA"/>
    <w:rsid w:val="39D0649E"/>
    <w:rsid w:val="39D0FAAD"/>
    <w:rsid w:val="39D16225"/>
    <w:rsid w:val="39D162C9"/>
    <w:rsid w:val="39D36E8D"/>
    <w:rsid w:val="39D3D1BE"/>
    <w:rsid w:val="39D42A67"/>
    <w:rsid w:val="39D433C7"/>
    <w:rsid w:val="39D435A1"/>
    <w:rsid w:val="39D5C611"/>
    <w:rsid w:val="39D5D35A"/>
    <w:rsid w:val="39D6094E"/>
    <w:rsid w:val="39D8BF8C"/>
    <w:rsid w:val="39D940CC"/>
    <w:rsid w:val="39D99A71"/>
    <w:rsid w:val="39DB3095"/>
    <w:rsid w:val="39DCBBCB"/>
    <w:rsid w:val="39DF37C7"/>
    <w:rsid w:val="39DF4F3E"/>
    <w:rsid w:val="39DFA80F"/>
    <w:rsid w:val="39E03613"/>
    <w:rsid w:val="39E03761"/>
    <w:rsid w:val="39E05933"/>
    <w:rsid w:val="39E0BD13"/>
    <w:rsid w:val="39E15A03"/>
    <w:rsid w:val="39E2737D"/>
    <w:rsid w:val="39E2B26E"/>
    <w:rsid w:val="39E2D969"/>
    <w:rsid w:val="39E2FC02"/>
    <w:rsid w:val="39E37149"/>
    <w:rsid w:val="39E44FC2"/>
    <w:rsid w:val="39E7CD41"/>
    <w:rsid w:val="39E7DBB3"/>
    <w:rsid w:val="39EB253C"/>
    <w:rsid w:val="39EB77B3"/>
    <w:rsid w:val="39EC74D4"/>
    <w:rsid w:val="39ECB13D"/>
    <w:rsid w:val="39ED71FD"/>
    <w:rsid w:val="39EDCDF6"/>
    <w:rsid w:val="39EE3D7A"/>
    <w:rsid w:val="39EEC5FB"/>
    <w:rsid w:val="39EF2315"/>
    <w:rsid w:val="39EF5424"/>
    <w:rsid w:val="39EF72A9"/>
    <w:rsid w:val="39F0231E"/>
    <w:rsid w:val="39F0C225"/>
    <w:rsid w:val="39F1CBC5"/>
    <w:rsid w:val="39F22530"/>
    <w:rsid w:val="39F2CE69"/>
    <w:rsid w:val="39F3C783"/>
    <w:rsid w:val="39F5D739"/>
    <w:rsid w:val="39F68095"/>
    <w:rsid w:val="39F6EE9A"/>
    <w:rsid w:val="39F765A7"/>
    <w:rsid w:val="39F7B81C"/>
    <w:rsid w:val="39F82D6B"/>
    <w:rsid w:val="39F85B2C"/>
    <w:rsid w:val="39F88220"/>
    <w:rsid w:val="39F8D995"/>
    <w:rsid w:val="39F8E155"/>
    <w:rsid w:val="39F96EF6"/>
    <w:rsid w:val="39FA392D"/>
    <w:rsid w:val="39FA5138"/>
    <w:rsid w:val="39FA65D7"/>
    <w:rsid w:val="39FC192C"/>
    <w:rsid w:val="39FDA5D8"/>
    <w:rsid w:val="39FE81CB"/>
    <w:rsid w:val="39FFDA70"/>
    <w:rsid w:val="3A0034CD"/>
    <w:rsid w:val="3A015243"/>
    <w:rsid w:val="3A01778D"/>
    <w:rsid w:val="3A019547"/>
    <w:rsid w:val="3A02BBB1"/>
    <w:rsid w:val="3A036F86"/>
    <w:rsid w:val="3A03D4EF"/>
    <w:rsid w:val="3A03ED84"/>
    <w:rsid w:val="3A03FECC"/>
    <w:rsid w:val="3A04C1B8"/>
    <w:rsid w:val="3A05485E"/>
    <w:rsid w:val="3A064F71"/>
    <w:rsid w:val="3A06A78E"/>
    <w:rsid w:val="3A08B75D"/>
    <w:rsid w:val="3A09485A"/>
    <w:rsid w:val="3A098C09"/>
    <w:rsid w:val="3A09D3EB"/>
    <w:rsid w:val="3A0A2C09"/>
    <w:rsid w:val="3A0B3E26"/>
    <w:rsid w:val="3A0B4A13"/>
    <w:rsid w:val="3A0C00A6"/>
    <w:rsid w:val="3A0C1EBB"/>
    <w:rsid w:val="3A0C5F67"/>
    <w:rsid w:val="3A0C8746"/>
    <w:rsid w:val="3A0D3DEC"/>
    <w:rsid w:val="3A0D4299"/>
    <w:rsid w:val="3A0D5D1A"/>
    <w:rsid w:val="3A0D84AB"/>
    <w:rsid w:val="3A0DB760"/>
    <w:rsid w:val="3A0DEE38"/>
    <w:rsid w:val="3A0E06CD"/>
    <w:rsid w:val="3A0E2D37"/>
    <w:rsid w:val="3A0EEA42"/>
    <w:rsid w:val="3A111664"/>
    <w:rsid w:val="3A1128A2"/>
    <w:rsid w:val="3A12AE49"/>
    <w:rsid w:val="3A144BCD"/>
    <w:rsid w:val="3A145738"/>
    <w:rsid w:val="3A14D60F"/>
    <w:rsid w:val="3A151A9B"/>
    <w:rsid w:val="3A1552A7"/>
    <w:rsid w:val="3A15E881"/>
    <w:rsid w:val="3A1721A2"/>
    <w:rsid w:val="3A1744E3"/>
    <w:rsid w:val="3A17A842"/>
    <w:rsid w:val="3A17CCAB"/>
    <w:rsid w:val="3A17E20B"/>
    <w:rsid w:val="3A1898FD"/>
    <w:rsid w:val="3A18C621"/>
    <w:rsid w:val="3A18D9F2"/>
    <w:rsid w:val="3A1A45CE"/>
    <w:rsid w:val="3A1B18DD"/>
    <w:rsid w:val="3A1B3CDD"/>
    <w:rsid w:val="3A1B493F"/>
    <w:rsid w:val="3A1CB514"/>
    <w:rsid w:val="3A1CDBEB"/>
    <w:rsid w:val="3A1CF0B9"/>
    <w:rsid w:val="3A1D52BE"/>
    <w:rsid w:val="3A1D72F2"/>
    <w:rsid w:val="3A1DD9E4"/>
    <w:rsid w:val="3A1DE5C6"/>
    <w:rsid w:val="3A1EC913"/>
    <w:rsid w:val="3A200619"/>
    <w:rsid w:val="3A207B24"/>
    <w:rsid w:val="3A21F401"/>
    <w:rsid w:val="3A21FA65"/>
    <w:rsid w:val="3A2206B2"/>
    <w:rsid w:val="3A2358F1"/>
    <w:rsid w:val="3A23E84D"/>
    <w:rsid w:val="3A241FB6"/>
    <w:rsid w:val="3A24D771"/>
    <w:rsid w:val="3A251147"/>
    <w:rsid w:val="3A265268"/>
    <w:rsid w:val="3A2685F2"/>
    <w:rsid w:val="3A2755B4"/>
    <w:rsid w:val="3A277C74"/>
    <w:rsid w:val="3A27CD90"/>
    <w:rsid w:val="3A280A84"/>
    <w:rsid w:val="3A286AB9"/>
    <w:rsid w:val="3A28A414"/>
    <w:rsid w:val="3A28D136"/>
    <w:rsid w:val="3A2906BB"/>
    <w:rsid w:val="3A293326"/>
    <w:rsid w:val="3A2A68D4"/>
    <w:rsid w:val="3A2B0FCB"/>
    <w:rsid w:val="3A2CD5A4"/>
    <w:rsid w:val="3A2D924B"/>
    <w:rsid w:val="3A2E0941"/>
    <w:rsid w:val="3A2E85F5"/>
    <w:rsid w:val="3A2EB69B"/>
    <w:rsid w:val="3A2FCF25"/>
    <w:rsid w:val="3A308BA4"/>
    <w:rsid w:val="3A30933E"/>
    <w:rsid w:val="3A30B27C"/>
    <w:rsid w:val="3A31932D"/>
    <w:rsid w:val="3A321B67"/>
    <w:rsid w:val="3A324335"/>
    <w:rsid w:val="3A324459"/>
    <w:rsid w:val="3A3257AB"/>
    <w:rsid w:val="3A32590D"/>
    <w:rsid w:val="3A33010F"/>
    <w:rsid w:val="3A337811"/>
    <w:rsid w:val="3A33CCBA"/>
    <w:rsid w:val="3A345D54"/>
    <w:rsid w:val="3A34758E"/>
    <w:rsid w:val="3A358C61"/>
    <w:rsid w:val="3A363624"/>
    <w:rsid w:val="3A396A17"/>
    <w:rsid w:val="3A399AE9"/>
    <w:rsid w:val="3A3A160C"/>
    <w:rsid w:val="3A3AD04C"/>
    <w:rsid w:val="3A3B3B4C"/>
    <w:rsid w:val="3A3B4A6F"/>
    <w:rsid w:val="3A3C1E9D"/>
    <w:rsid w:val="3A3C4563"/>
    <w:rsid w:val="3A3D4D3A"/>
    <w:rsid w:val="3A3E16C7"/>
    <w:rsid w:val="3A3F15A9"/>
    <w:rsid w:val="3A3F2FB2"/>
    <w:rsid w:val="3A3FB429"/>
    <w:rsid w:val="3A403277"/>
    <w:rsid w:val="3A409B18"/>
    <w:rsid w:val="3A414423"/>
    <w:rsid w:val="3A415306"/>
    <w:rsid w:val="3A418CBF"/>
    <w:rsid w:val="3A41FBED"/>
    <w:rsid w:val="3A425A64"/>
    <w:rsid w:val="3A4284D8"/>
    <w:rsid w:val="3A429021"/>
    <w:rsid w:val="3A42ED8C"/>
    <w:rsid w:val="3A43520E"/>
    <w:rsid w:val="3A43B583"/>
    <w:rsid w:val="3A441FE5"/>
    <w:rsid w:val="3A4421D5"/>
    <w:rsid w:val="3A450FA3"/>
    <w:rsid w:val="3A456E91"/>
    <w:rsid w:val="3A463DEC"/>
    <w:rsid w:val="3A46A5C1"/>
    <w:rsid w:val="3A46CBF0"/>
    <w:rsid w:val="3A4763EC"/>
    <w:rsid w:val="3A4781C4"/>
    <w:rsid w:val="3A483DD7"/>
    <w:rsid w:val="3A48C49A"/>
    <w:rsid w:val="3A49387C"/>
    <w:rsid w:val="3A4963C8"/>
    <w:rsid w:val="3A49D8CF"/>
    <w:rsid w:val="3A4B5347"/>
    <w:rsid w:val="3A4B6DBE"/>
    <w:rsid w:val="3A4BA9E2"/>
    <w:rsid w:val="3A4C1DEC"/>
    <w:rsid w:val="3A4C69D3"/>
    <w:rsid w:val="3A4CDC6B"/>
    <w:rsid w:val="3A4D067C"/>
    <w:rsid w:val="3A4D65AC"/>
    <w:rsid w:val="3A4D9E90"/>
    <w:rsid w:val="3A4E50FE"/>
    <w:rsid w:val="3A4EA2F9"/>
    <w:rsid w:val="3A4F0489"/>
    <w:rsid w:val="3A4F4D46"/>
    <w:rsid w:val="3A505F4E"/>
    <w:rsid w:val="3A518108"/>
    <w:rsid w:val="3A51D044"/>
    <w:rsid w:val="3A51F81A"/>
    <w:rsid w:val="3A52A510"/>
    <w:rsid w:val="3A52EF04"/>
    <w:rsid w:val="3A535ECB"/>
    <w:rsid w:val="3A53AA49"/>
    <w:rsid w:val="3A53BFCD"/>
    <w:rsid w:val="3A53EEFF"/>
    <w:rsid w:val="3A54DD5D"/>
    <w:rsid w:val="3A555561"/>
    <w:rsid w:val="3A55B467"/>
    <w:rsid w:val="3A55D513"/>
    <w:rsid w:val="3A55F01B"/>
    <w:rsid w:val="3A55FE61"/>
    <w:rsid w:val="3A560E27"/>
    <w:rsid w:val="3A561733"/>
    <w:rsid w:val="3A564C83"/>
    <w:rsid w:val="3A56E28B"/>
    <w:rsid w:val="3A57B6D2"/>
    <w:rsid w:val="3A58652B"/>
    <w:rsid w:val="3A590A2B"/>
    <w:rsid w:val="3A593473"/>
    <w:rsid w:val="3A5973B1"/>
    <w:rsid w:val="3A59A5CB"/>
    <w:rsid w:val="3A59A979"/>
    <w:rsid w:val="3A5A54BE"/>
    <w:rsid w:val="3A5A6076"/>
    <w:rsid w:val="3A5AEB90"/>
    <w:rsid w:val="3A5B533F"/>
    <w:rsid w:val="3A5BD4B6"/>
    <w:rsid w:val="3A5CDBA9"/>
    <w:rsid w:val="3A5D7D53"/>
    <w:rsid w:val="3A5E233A"/>
    <w:rsid w:val="3A5EBAFD"/>
    <w:rsid w:val="3A603375"/>
    <w:rsid w:val="3A61603C"/>
    <w:rsid w:val="3A616FF4"/>
    <w:rsid w:val="3A61CAE3"/>
    <w:rsid w:val="3A620172"/>
    <w:rsid w:val="3A62A32C"/>
    <w:rsid w:val="3A63450C"/>
    <w:rsid w:val="3A63609C"/>
    <w:rsid w:val="3A6403F5"/>
    <w:rsid w:val="3A65DC98"/>
    <w:rsid w:val="3A66459B"/>
    <w:rsid w:val="3A664D8B"/>
    <w:rsid w:val="3A666DF9"/>
    <w:rsid w:val="3A66BB55"/>
    <w:rsid w:val="3A672D91"/>
    <w:rsid w:val="3A67DBD4"/>
    <w:rsid w:val="3A688DE7"/>
    <w:rsid w:val="3A68A3A9"/>
    <w:rsid w:val="3A6978B3"/>
    <w:rsid w:val="3A6A7087"/>
    <w:rsid w:val="3A6B1D16"/>
    <w:rsid w:val="3A6B921C"/>
    <w:rsid w:val="3A6BEEB3"/>
    <w:rsid w:val="3A6BF009"/>
    <w:rsid w:val="3A6C33E7"/>
    <w:rsid w:val="3A6C4C74"/>
    <w:rsid w:val="3A6CA4D5"/>
    <w:rsid w:val="3A6DC8D2"/>
    <w:rsid w:val="3A6DDF58"/>
    <w:rsid w:val="3A6EF6CE"/>
    <w:rsid w:val="3A6F8463"/>
    <w:rsid w:val="3A702FFB"/>
    <w:rsid w:val="3A70FE4A"/>
    <w:rsid w:val="3A710536"/>
    <w:rsid w:val="3A711F1C"/>
    <w:rsid w:val="3A729934"/>
    <w:rsid w:val="3A734E46"/>
    <w:rsid w:val="3A741773"/>
    <w:rsid w:val="3A74CCBF"/>
    <w:rsid w:val="3A74E480"/>
    <w:rsid w:val="3A74EDEB"/>
    <w:rsid w:val="3A74FD73"/>
    <w:rsid w:val="3A7517CA"/>
    <w:rsid w:val="3A757EA0"/>
    <w:rsid w:val="3A75A578"/>
    <w:rsid w:val="3A760909"/>
    <w:rsid w:val="3A774FA6"/>
    <w:rsid w:val="3A7791B7"/>
    <w:rsid w:val="3A78445B"/>
    <w:rsid w:val="3A784885"/>
    <w:rsid w:val="3A79050C"/>
    <w:rsid w:val="3A794505"/>
    <w:rsid w:val="3A794625"/>
    <w:rsid w:val="3A796D62"/>
    <w:rsid w:val="3A798640"/>
    <w:rsid w:val="3A7A3BCD"/>
    <w:rsid w:val="3A7AEDFC"/>
    <w:rsid w:val="3A7B60FF"/>
    <w:rsid w:val="3A7C13FA"/>
    <w:rsid w:val="3A7C2290"/>
    <w:rsid w:val="3A7D4F8F"/>
    <w:rsid w:val="3A7D8CD5"/>
    <w:rsid w:val="3A7E48EC"/>
    <w:rsid w:val="3A7EE3DC"/>
    <w:rsid w:val="3A7F1896"/>
    <w:rsid w:val="3A7F84A6"/>
    <w:rsid w:val="3A8026F3"/>
    <w:rsid w:val="3A8143F5"/>
    <w:rsid w:val="3A81DA4B"/>
    <w:rsid w:val="3A822020"/>
    <w:rsid w:val="3A82374E"/>
    <w:rsid w:val="3A840E5C"/>
    <w:rsid w:val="3A84DAD9"/>
    <w:rsid w:val="3A84E8E2"/>
    <w:rsid w:val="3A84EF14"/>
    <w:rsid w:val="3A852D6D"/>
    <w:rsid w:val="3A85356C"/>
    <w:rsid w:val="3A859C77"/>
    <w:rsid w:val="3A85B704"/>
    <w:rsid w:val="3A85CA8E"/>
    <w:rsid w:val="3A85E8A6"/>
    <w:rsid w:val="3A860538"/>
    <w:rsid w:val="3A874F2B"/>
    <w:rsid w:val="3A87CE16"/>
    <w:rsid w:val="3A87E0B1"/>
    <w:rsid w:val="3A886F73"/>
    <w:rsid w:val="3A88771C"/>
    <w:rsid w:val="3A88E94F"/>
    <w:rsid w:val="3A88E9CB"/>
    <w:rsid w:val="3A8971EB"/>
    <w:rsid w:val="3A8A1850"/>
    <w:rsid w:val="3A8A4CD3"/>
    <w:rsid w:val="3A8A7B4C"/>
    <w:rsid w:val="3A8B772E"/>
    <w:rsid w:val="3A8C20BA"/>
    <w:rsid w:val="3A8D2697"/>
    <w:rsid w:val="3A8D9F4E"/>
    <w:rsid w:val="3A8E43D7"/>
    <w:rsid w:val="3A90BB87"/>
    <w:rsid w:val="3A911D84"/>
    <w:rsid w:val="3A915FD3"/>
    <w:rsid w:val="3A91721C"/>
    <w:rsid w:val="3A91BF46"/>
    <w:rsid w:val="3A931482"/>
    <w:rsid w:val="3A932264"/>
    <w:rsid w:val="3A93F2C8"/>
    <w:rsid w:val="3A94BC44"/>
    <w:rsid w:val="3A94E487"/>
    <w:rsid w:val="3A9591B3"/>
    <w:rsid w:val="3A9660AB"/>
    <w:rsid w:val="3A96F8AA"/>
    <w:rsid w:val="3A98AA31"/>
    <w:rsid w:val="3A992F52"/>
    <w:rsid w:val="3A995E26"/>
    <w:rsid w:val="3A99B4F7"/>
    <w:rsid w:val="3A99BE90"/>
    <w:rsid w:val="3A9A3C89"/>
    <w:rsid w:val="3A9B3FA0"/>
    <w:rsid w:val="3A9B5B4D"/>
    <w:rsid w:val="3A9BAC2B"/>
    <w:rsid w:val="3A9C8FBB"/>
    <w:rsid w:val="3A9CC84A"/>
    <w:rsid w:val="3A9E3D54"/>
    <w:rsid w:val="3A9EDB47"/>
    <w:rsid w:val="3A9FA566"/>
    <w:rsid w:val="3A9FA91A"/>
    <w:rsid w:val="3AA02F03"/>
    <w:rsid w:val="3AA1CFC1"/>
    <w:rsid w:val="3AA245F9"/>
    <w:rsid w:val="3AA28AA7"/>
    <w:rsid w:val="3AA29F55"/>
    <w:rsid w:val="3AA303A7"/>
    <w:rsid w:val="3AA3398C"/>
    <w:rsid w:val="3AA4C147"/>
    <w:rsid w:val="3AA4C3C1"/>
    <w:rsid w:val="3AA4D94D"/>
    <w:rsid w:val="3AA50FC5"/>
    <w:rsid w:val="3AA5AF9E"/>
    <w:rsid w:val="3AA61057"/>
    <w:rsid w:val="3AA6B8A1"/>
    <w:rsid w:val="3AA7E6DA"/>
    <w:rsid w:val="3AA9A09D"/>
    <w:rsid w:val="3AAA6A3B"/>
    <w:rsid w:val="3AAD2F93"/>
    <w:rsid w:val="3AADBBC8"/>
    <w:rsid w:val="3AAE1344"/>
    <w:rsid w:val="3AAEAEFB"/>
    <w:rsid w:val="3AAF1B93"/>
    <w:rsid w:val="3AAF68DB"/>
    <w:rsid w:val="3AB0877B"/>
    <w:rsid w:val="3AB0C12A"/>
    <w:rsid w:val="3AB13A88"/>
    <w:rsid w:val="3AB1A10C"/>
    <w:rsid w:val="3AB1D8A3"/>
    <w:rsid w:val="3AB22011"/>
    <w:rsid w:val="3AB22E7E"/>
    <w:rsid w:val="3AB26C74"/>
    <w:rsid w:val="3AB2F524"/>
    <w:rsid w:val="3AB34953"/>
    <w:rsid w:val="3AB3D260"/>
    <w:rsid w:val="3AB40472"/>
    <w:rsid w:val="3AB44BDF"/>
    <w:rsid w:val="3AB4642A"/>
    <w:rsid w:val="3AB4D465"/>
    <w:rsid w:val="3AB5B3A2"/>
    <w:rsid w:val="3AB6493F"/>
    <w:rsid w:val="3AB65DF0"/>
    <w:rsid w:val="3AB72FF6"/>
    <w:rsid w:val="3AB75769"/>
    <w:rsid w:val="3AB7723E"/>
    <w:rsid w:val="3AB8172C"/>
    <w:rsid w:val="3AB8809B"/>
    <w:rsid w:val="3AB89F0A"/>
    <w:rsid w:val="3ABAC270"/>
    <w:rsid w:val="3ABB3260"/>
    <w:rsid w:val="3ABB37F8"/>
    <w:rsid w:val="3ABB7824"/>
    <w:rsid w:val="3ABB9FE4"/>
    <w:rsid w:val="3ABC72B4"/>
    <w:rsid w:val="3ABD62C6"/>
    <w:rsid w:val="3ABD8970"/>
    <w:rsid w:val="3ABDED73"/>
    <w:rsid w:val="3ABDFD81"/>
    <w:rsid w:val="3ABE6B67"/>
    <w:rsid w:val="3ABF7C0D"/>
    <w:rsid w:val="3ABFC19F"/>
    <w:rsid w:val="3ABFF32F"/>
    <w:rsid w:val="3AC06B18"/>
    <w:rsid w:val="3AC2082E"/>
    <w:rsid w:val="3AC2446D"/>
    <w:rsid w:val="3AC24EC2"/>
    <w:rsid w:val="3AC31A22"/>
    <w:rsid w:val="3AC32036"/>
    <w:rsid w:val="3AC331AA"/>
    <w:rsid w:val="3AC3AFAB"/>
    <w:rsid w:val="3AC415BC"/>
    <w:rsid w:val="3AC50DB0"/>
    <w:rsid w:val="3AC5744C"/>
    <w:rsid w:val="3AC6137D"/>
    <w:rsid w:val="3AC6E76E"/>
    <w:rsid w:val="3AC73314"/>
    <w:rsid w:val="3AC735DC"/>
    <w:rsid w:val="3AC7AEA8"/>
    <w:rsid w:val="3AC89164"/>
    <w:rsid w:val="3AC8C534"/>
    <w:rsid w:val="3AC8DC8D"/>
    <w:rsid w:val="3AC96A24"/>
    <w:rsid w:val="3AC9AE1E"/>
    <w:rsid w:val="3ACA8729"/>
    <w:rsid w:val="3ACB6915"/>
    <w:rsid w:val="3ACB804C"/>
    <w:rsid w:val="3ACBED03"/>
    <w:rsid w:val="3ACC2920"/>
    <w:rsid w:val="3ACCC7EB"/>
    <w:rsid w:val="3ACCDDE4"/>
    <w:rsid w:val="3ACD4D7B"/>
    <w:rsid w:val="3ACDD3E6"/>
    <w:rsid w:val="3ACE1D4A"/>
    <w:rsid w:val="3ACE2E83"/>
    <w:rsid w:val="3ACF0962"/>
    <w:rsid w:val="3ACF1BDA"/>
    <w:rsid w:val="3ACF927B"/>
    <w:rsid w:val="3AD1C311"/>
    <w:rsid w:val="3AD1CA78"/>
    <w:rsid w:val="3AD1F996"/>
    <w:rsid w:val="3AD2DDE2"/>
    <w:rsid w:val="3AD3C073"/>
    <w:rsid w:val="3AD4AD79"/>
    <w:rsid w:val="3AD4FABF"/>
    <w:rsid w:val="3AD51F2F"/>
    <w:rsid w:val="3AD5AA80"/>
    <w:rsid w:val="3AD5CD2C"/>
    <w:rsid w:val="3AD6891A"/>
    <w:rsid w:val="3AD6EB97"/>
    <w:rsid w:val="3AD72350"/>
    <w:rsid w:val="3AD79AC2"/>
    <w:rsid w:val="3AD7FC26"/>
    <w:rsid w:val="3AD8B3DD"/>
    <w:rsid w:val="3AD8DB76"/>
    <w:rsid w:val="3AD96E63"/>
    <w:rsid w:val="3AD9BBE4"/>
    <w:rsid w:val="3ADAF037"/>
    <w:rsid w:val="3ADB2385"/>
    <w:rsid w:val="3ADB64FB"/>
    <w:rsid w:val="3ADBC31A"/>
    <w:rsid w:val="3ADC07B8"/>
    <w:rsid w:val="3ADC45EE"/>
    <w:rsid w:val="3ADC6E6C"/>
    <w:rsid w:val="3ADD0CD1"/>
    <w:rsid w:val="3ADD3C6B"/>
    <w:rsid w:val="3ADE5713"/>
    <w:rsid w:val="3ADF6F4A"/>
    <w:rsid w:val="3ADFFDAB"/>
    <w:rsid w:val="3AE03F5E"/>
    <w:rsid w:val="3AE096AF"/>
    <w:rsid w:val="3AE1429A"/>
    <w:rsid w:val="3AE15B2C"/>
    <w:rsid w:val="3AE16057"/>
    <w:rsid w:val="3AE16234"/>
    <w:rsid w:val="3AE1C235"/>
    <w:rsid w:val="3AE1CA4C"/>
    <w:rsid w:val="3AE20792"/>
    <w:rsid w:val="3AE2F212"/>
    <w:rsid w:val="3AE337B8"/>
    <w:rsid w:val="3AE35E3F"/>
    <w:rsid w:val="3AE3A1E5"/>
    <w:rsid w:val="3AE401F6"/>
    <w:rsid w:val="3AE443B5"/>
    <w:rsid w:val="3AE4E262"/>
    <w:rsid w:val="3AE6A521"/>
    <w:rsid w:val="3AE73CD9"/>
    <w:rsid w:val="3AE76337"/>
    <w:rsid w:val="3AE77BA7"/>
    <w:rsid w:val="3AE85B60"/>
    <w:rsid w:val="3AE9202B"/>
    <w:rsid w:val="3AE95636"/>
    <w:rsid w:val="3AE9AFFC"/>
    <w:rsid w:val="3AEAFA2C"/>
    <w:rsid w:val="3AEB1C78"/>
    <w:rsid w:val="3AEB2F06"/>
    <w:rsid w:val="3AEB36E7"/>
    <w:rsid w:val="3AEB82E9"/>
    <w:rsid w:val="3AEC3035"/>
    <w:rsid w:val="3AEDEDAD"/>
    <w:rsid w:val="3AEE3541"/>
    <w:rsid w:val="3AEFBDEA"/>
    <w:rsid w:val="3AEFE44D"/>
    <w:rsid w:val="3AEFEF8A"/>
    <w:rsid w:val="3AF0067A"/>
    <w:rsid w:val="3AF00C5B"/>
    <w:rsid w:val="3AF07198"/>
    <w:rsid w:val="3AF1739F"/>
    <w:rsid w:val="3AF1B9F1"/>
    <w:rsid w:val="3AF1C330"/>
    <w:rsid w:val="3AF2447E"/>
    <w:rsid w:val="3AF26543"/>
    <w:rsid w:val="3AF27209"/>
    <w:rsid w:val="3AF2993C"/>
    <w:rsid w:val="3AF2DB4B"/>
    <w:rsid w:val="3AF358EE"/>
    <w:rsid w:val="3AF4B2FD"/>
    <w:rsid w:val="3AF4F3DD"/>
    <w:rsid w:val="3AF56006"/>
    <w:rsid w:val="3AF57306"/>
    <w:rsid w:val="3AF5808F"/>
    <w:rsid w:val="3AF5A2E2"/>
    <w:rsid w:val="3AF697F2"/>
    <w:rsid w:val="3AF74274"/>
    <w:rsid w:val="3AF7A4EE"/>
    <w:rsid w:val="3AF7AB70"/>
    <w:rsid w:val="3AF80C88"/>
    <w:rsid w:val="3AF82761"/>
    <w:rsid w:val="3AF8689C"/>
    <w:rsid w:val="3AF90878"/>
    <w:rsid w:val="3AF93E8C"/>
    <w:rsid w:val="3AF9EFC4"/>
    <w:rsid w:val="3AFA5A58"/>
    <w:rsid w:val="3AFA6C96"/>
    <w:rsid w:val="3AFAFBB5"/>
    <w:rsid w:val="3AFC91BF"/>
    <w:rsid w:val="3AFC9D00"/>
    <w:rsid w:val="3AFCAFEB"/>
    <w:rsid w:val="3AFCDD34"/>
    <w:rsid w:val="3AFCFA56"/>
    <w:rsid w:val="3AFD9593"/>
    <w:rsid w:val="3AFDC4F0"/>
    <w:rsid w:val="3AFDFADB"/>
    <w:rsid w:val="3AFDFF06"/>
    <w:rsid w:val="3AFE8A71"/>
    <w:rsid w:val="3AFECFC7"/>
    <w:rsid w:val="3AFFD119"/>
    <w:rsid w:val="3B0089A0"/>
    <w:rsid w:val="3B0141A1"/>
    <w:rsid w:val="3B01DBCB"/>
    <w:rsid w:val="3B02E6C2"/>
    <w:rsid w:val="3B044FB7"/>
    <w:rsid w:val="3B056874"/>
    <w:rsid w:val="3B0655EC"/>
    <w:rsid w:val="3B06A9D3"/>
    <w:rsid w:val="3B075909"/>
    <w:rsid w:val="3B0759D8"/>
    <w:rsid w:val="3B077D11"/>
    <w:rsid w:val="3B07AED5"/>
    <w:rsid w:val="3B08572D"/>
    <w:rsid w:val="3B085CA4"/>
    <w:rsid w:val="3B089DD7"/>
    <w:rsid w:val="3B08A8D6"/>
    <w:rsid w:val="3B08B6C9"/>
    <w:rsid w:val="3B08F9F5"/>
    <w:rsid w:val="3B091CA0"/>
    <w:rsid w:val="3B09DF8A"/>
    <w:rsid w:val="3B0A1204"/>
    <w:rsid w:val="3B0A19A1"/>
    <w:rsid w:val="3B0B23F1"/>
    <w:rsid w:val="3B0B2D07"/>
    <w:rsid w:val="3B0C0D3A"/>
    <w:rsid w:val="3B0C33B4"/>
    <w:rsid w:val="3B0C8990"/>
    <w:rsid w:val="3B0C8E8E"/>
    <w:rsid w:val="3B0D3880"/>
    <w:rsid w:val="3B0D537F"/>
    <w:rsid w:val="3B0E2B02"/>
    <w:rsid w:val="3B0E4075"/>
    <w:rsid w:val="3B0E701D"/>
    <w:rsid w:val="3B0F1F60"/>
    <w:rsid w:val="3B0FCEB1"/>
    <w:rsid w:val="3B0FE4DC"/>
    <w:rsid w:val="3B0FEEFD"/>
    <w:rsid w:val="3B0FF266"/>
    <w:rsid w:val="3B122008"/>
    <w:rsid w:val="3B122F04"/>
    <w:rsid w:val="3B12DE97"/>
    <w:rsid w:val="3B134444"/>
    <w:rsid w:val="3B136CC3"/>
    <w:rsid w:val="3B13D11A"/>
    <w:rsid w:val="3B14722B"/>
    <w:rsid w:val="3B157C3B"/>
    <w:rsid w:val="3B162FE4"/>
    <w:rsid w:val="3B164BE5"/>
    <w:rsid w:val="3B16500E"/>
    <w:rsid w:val="3B1669B6"/>
    <w:rsid w:val="3B17224A"/>
    <w:rsid w:val="3B173292"/>
    <w:rsid w:val="3B17B03A"/>
    <w:rsid w:val="3B17D045"/>
    <w:rsid w:val="3B17D49D"/>
    <w:rsid w:val="3B17DB47"/>
    <w:rsid w:val="3B189FDC"/>
    <w:rsid w:val="3B18DB65"/>
    <w:rsid w:val="3B18FC10"/>
    <w:rsid w:val="3B19C447"/>
    <w:rsid w:val="3B19D4C9"/>
    <w:rsid w:val="3B1A35EB"/>
    <w:rsid w:val="3B1A9DA0"/>
    <w:rsid w:val="3B1AC3F1"/>
    <w:rsid w:val="3B1B86F1"/>
    <w:rsid w:val="3B1C3D8E"/>
    <w:rsid w:val="3B1C4C69"/>
    <w:rsid w:val="3B1C5D53"/>
    <w:rsid w:val="3B1C7E8E"/>
    <w:rsid w:val="3B1CBA7B"/>
    <w:rsid w:val="3B1CD1D1"/>
    <w:rsid w:val="3B1D300B"/>
    <w:rsid w:val="3B1DA2C3"/>
    <w:rsid w:val="3B1DB973"/>
    <w:rsid w:val="3B1DBEC6"/>
    <w:rsid w:val="3B1DF1ED"/>
    <w:rsid w:val="3B1EB2F9"/>
    <w:rsid w:val="3B216355"/>
    <w:rsid w:val="3B21B344"/>
    <w:rsid w:val="3B2275E1"/>
    <w:rsid w:val="3B22DCF1"/>
    <w:rsid w:val="3B22F39C"/>
    <w:rsid w:val="3B231EA7"/>
    <w:rsid w:val="3B2340F3"/>
    <w:rsid w:val="3B23416B"/>
    <w:rsid w:val="3B237AEF"/>
    <w:rsid w:val="3B23CD60"/>
    <w:rsid w:val="3B245A9F"/>
    <w:rsid w:val="3B24619D"/>
    <w:rsid w:val="3B24C285"/>
    <w:rsid w:val="3B259733"/>
    <w:rsid w:val="3B266797"/>
    <w:rsid w:val="3B274C56"/>
    <w:rsid w:val="3B289CFF"/>
    <w:rsid w:val="3B28A60C"/>
    <w:rsid w:val="3B28B0C8"/>
    <w:rsid w:val="3B28D1E4"/>
    <w:rsid w:val="3B294EFC"/>
    <w:rsid w:val="3B29FBD9"/>
    <w:rsid w:val="3B2A0013"/>
    <w:rsid w:val="3B2A475F"/>
    <w:rsid w:val="3B2A8776"/>
    <w:rsid w:val="3B2AD8B2"/>
    <w:rsid w:val="3B2B0E6C"/>
    <w:rsid w:val="3B2BDF05"/>
    <w:rsid w:val="3B2C26E8"/>
    <w:rsid w:val="3B2C3BFE"/>
    <w:rsid w:val="3B2C9809"/>
    <w:rsid w:val="3B2CB9F1"/>
    <w:rsid w:val="3B2CCDEC"/>
    <w:rsid w:val="3B2E9C9C"/>
    <w:rsid w:val="3B319761"/>
    <w:rsid w:val="3B31E5F5"/>
    <w:rsid w:val="3B32B3A2"/>
    <w:rsid w:val="3B32BBE3"/>
    <w:rsid w:val="3B333FB7"/>
    <w:rsid w:val="3B334290"/>
    <w:rsid w:val="3B33B904"/>
    <w:rsid w:val="3B33FD3E"/>
    <w:rsid w:val="3B3518CA"/>
    <w:rsid w:val="3B358CB0"/>
    <w:rsid w:val="3B35CA32"/>
    <w:rsid w:val="3B35D4A1"/>
    <w:rsid w:val="3B35E21D"/>
    <w:rsid w:val="3B366970"/>
    <w:rsid w:val="3B37BA55"/>
    <w:rsid w:val="3B37DA86"/>
    <w:rsid w:val="3B381715"/>
    <w:rsid w:val="3B384B03"/>
    <w:rsid w:val="3B393B1F"/>
    <w:rsid w:val="3B39C0ED"/>
    <w:rsid w:val="3B3A254B"/>
    <w:rsid w:val="3B3A5AE4"/>
    <w:rsid w:val="3B3AA2FA"/>
    <w:rsid w:val="3B3AFC8F"/>
    <w:rsid w:val="3B3B27F2"/>
    <w:rsid w:val="3B3BA018"/>
    <w:rsid w:val="3B3BE9BE"/>
    <w:rsid w:val="3B3C32EA"/>
    <w:rsid w:val="3B3C4A75"/>
    <w:rsid w:val="3B3D2456"/>
    <w:rsid w:val="3B3D3926"/>
    <w:rsid w:val="3B3D3D40"/>
    <w:rsid w:val="3B3DA9D7"/>
    <w:rsid w:val="3B3DAD73"/>
    <w:rsid w:val="3B3E6F4A"/>
    <w:rsid w:val="3B3ECEEB"/>
    <w:rsid w:val="3B3EF7DE"/>
    <w:rsid w:val="3B3F8DFC"/>
    <w:rsid w:val="3B3F97BF"/>
    <w:rsid w:val="3B40CEE9"/>
    <w:rsid w:val="3B40DC52"/>
    <w:rsid w:val="3B418DF4"/>
    <w:rsid w:val="3B423E95"/>
    <w:rsid w:val="3B424FD5"/>
    <w:rsid w:val="3B4415B8"/>
    <w:rsid w:val="3B4492F7"/>
    <w:rsid w:val="3B4542D0"/>
    <w:rsid w:val="3B45C070"/>
    <w:rsid w:val="3B460DCC"/>
    <w:rsid w:val="3B4670F4"/>
    <w:rsid w:val="3B46EE3E"/>
    <w:rsid w:val="3B47906D"/>
    <w:rsid w:val="3B48ECC6"/>
    <w:rsid w:val="3B49F030"/>
    <w:rsid w:val="3B4A1DAE"/>
    <w:rsid w:val="3B4A2ADB"/>
    <w:rsid w:val="3B4AB06A"/>
    <w:rsid w:val="3B4ACB4D"/>
    <w:rsid w:val="3B4ADD09"/>
    <w:rsid w:val="3B4B28AA"/>
    <w:rsid w:val="3B4B9BFB"/>
    <w:rsid w:val="3B4BA8DB"/>
    <w:rsid w:val="3B4C0FCE"/>
    <w:rsid w:val="3B4D1D9E"/>
    <w:rsid w:val="3B4DDAB2"/>
    <w:rsid w:val="3B4DDACB"/>
    <w:rsid w:val="3B4E5744"/>
    <w:rsid w:val="3B4EB325"/>
    <w:rsid w:val="3B4EFF94"/>
    <w:rsid w:val="3B4F343A"/>
    <w:rsid w:val="3B4FB624"/>
    <w:rsid w:val="3B4FC6BD"/>
    <w:rsid w:val="3B50E977"/>
    <w:rsid w:val="3B51B2BB"/>
    <w:rsid w:val="3B520744"/>
    <w:rsid w:val="3B525D98"/>
    <w:rsid w:val="3B531889"/>
    <w:rsid w:val="3B532B0F"/>
    <w:rsid w:val="3B536D9A"/>
    <w:rsid w:val="3B53C833"/>
    <w:rsid w:val="3B549690"/>
    <w:rsid w:val="3B55B5AB"/>
    <w:rsid w:val="3B560354"/>
    <w:rsid w:val="3B562278"/>
    <w:rsid w:val="3B563C3D"/>
    <w:rsid w:val="3B567863"/>
    <w:rsid w:val="3B575B14"/>
    <w:rsid w:val="3B576EE4"/>
    <w:rsid w:val="3B57BCE6"/>
    <w:rsid w:val="3B5885B4"/>
    <w:rsid w:val="3B5AAB15"/>
    <w:rsid w:val="3B5AC057"/>
    <w:rsid w:val="3B5AECAA"/>
    <w:rsid w:val="3B5AF5DD"/>
    <w:rsid w:val="3B5B0C90"/>
    <w:rsid w:val="3B5B9895"/>
    <w:rsid w:val="3B5BB311"/>
    <w:rsid w:val="3B5BD167"/>
    <w:rsid w:val="3B5BFF57"/>
    <w:rsid w:val="3B5C82CA"/>
    <w:rsid w:val="3B5D0088"/>
    <w:rsid w:val="3B5D1CEF"/>
    <w:rsid w:val="3B5D4DD0"/>
    <w:rsid w:val="3B5E031D"/>
    <w:rsid w:val="3B5F7015"/>
    <w:rsid w:val="3B5FAD84"/>
    <w:rsid w:val="3B601119"/>
    <w:rsid w:val="3B604658"/>
    <w:rsid w:val="3B607910"/>
    <w:rsid w:val="3B60BA57"/>
    <w:rsid w:val="3B60EC88"/>
    <w:rsid w:val="3B611D8E"/>
    <w:rsid w:val="3B61540D"/>
    <w:rsid w:val="3B618255"/>
    <w:rsid w:val="3B618E7C"/>
    <w:rsid w:val="3B63533A"/>
    <w:rsid w:val="3B66AAA6"/>
    <w:rsid w:val="3B674708"/>
    <w:rsid w:val="3B67533E"/>
    <w:rsid w:val="3B676E81"/>
    <w:rsid w:val="3B677903"/>
    <w:rsid w:val="3B677A12"/>
    <w:rsid w:val="3B67B1ED"/>
    <w:rsid w:val="3B68045B"/>
    <w:rsid w:val="3B689263"/>
    <w:rsid w:val="3B692357"/>
    <w:rsid w:val="3B6A67FD"/>
    <w:rsid w:val="3B6A8022"/>
    <w:rsid w:val="3B6A8257"/>
    <w:rsid w:val="3B6B0AC7"/>
    <w:rsid w:val="3B6BF7EC"/>
    <w:rsid w:val="3B6C4F3A"/>
    <w:rsid w:val="3B6CDA99"/>
    <w:rsid w:val="3B6CF156"/>
    <w:rsid w:val="3B6D590A"/>
    <w:rsid w:val="3B6DB693"/>
    <w:rsid w:val="3B6DB6EC"/>
    <w:rsid w:val="3B6DCBA4"/>
    <w:rsid w:val="3B6EDAF7"/>
    <w:rsid w:val="3B6F8D7C"/>
    <w:rsid w:val="3B6FA388"/>
    <w:rsid w:val="3B6FBFB1"/>
    <w:rsid w:val="3B6FEE1E"/>
    <w:rsid w:val="3B708108"/>
    <w:rsid w:val="3B7178D4"/>
    <w:rsid w:val="3B71ED5E"/>
    <w:rsid w:val="3B722153"/>
    <w:rsid w:val="3B722CFE"/>
    <w:rsid w:val="3B731182"/>
    <w:rsid w:val="3B73E3EE"/>
    <w:rsid w:val="3B741823"/>
    <w:rsid w:val="3B749F24"/>
    <w:rsid w:val="3B75113A"/>
    <w:rsid w:val="3B755531"/>
    <w:rsid w:val="3B75FD8A"/>
    <w:rsid w:val="3B76FA35"/>
    <w:rsid w:val="3B77079E"/>
    <w:rsid w:val="3B7793B7"/>
    <w:rsid w:val="3B779CE3"/>
    <w:rsid w:val="3B77B203"/>
    <w:rsid w:val="3B791FA6"/>
    <w:rsid w:val="3B792249"/>
    <w:rsid w:val="3B79C0FC"/>
    <w:rsid w:val="3B7A7658"/>
    <w:rsid w:val="3B7A8FF0"/>
    <w:rsid w:val="3B7AE3B3"/>
    <w:rsid w:val="3B7C4E25"/>
    <w:rsid w:val="3B7E4591"/>
    <w:rsid w:val="3B7E8879"/>
    <w:rsid w:val="3B7ED066"/>
    <w:rsid w:val="3B7F3CC7"/>
    <w:rsid w:val="3B7FED0B"/>
    <w:rsid w:val="3B807CBE"/>
    <w:rsid w:val="3B80A183"/>
    <w:rsid w:val="3B80FA7E"/>
    <w:rsid w:val="3B820F9C"/>
    <w:rsid w:val="3B822008"/>
    <w:rsid w:val="3B82B327"/>
    <w:rsid w:val="3B83119E"/>
    <w:rsid w:val="3B83C452"/>
    <w:rsid w:val="3B83FB77"/>
    <w:rsid w:val="3B873B89"/>
    <w:rsid w:val="3B87425D"/>
    <w:rsid w:val="3B88A02D"/>
    <w:rsid w:val="3B8AA0D7"/>
    <w:rsid w:val="3B8BC951"/>
    <w:rsid w:val="3B8CFA8C"/>
    <w:rsid w:val="3B8D285B"/>
    <w:rsid w:val="3B8D7567"/>
    <w:rsid w:val="3B8DECA2"/>
    <w:rsid w:val="3B8EB6D8"/>
    <w:rsid w:val="3B8F5766"/>
    <w:rsid w:val="3B8F6BBA"/>
    <w:rsid w:val="3B8FD92E"/>
    <w:rsid w:val="3B8FE741"/>
    <w:rsid w:val="3B9055BC"/>
    <w:rsid w:val="3B9092A4"/>
    <w:rsid w:val="3B90C5B8"/>
    <w:rsid w:val="3B90C60B"/>
    <w:rsid w:val="3B90ED5F"/>
    <w:rsid w:val="3B9165FD"/>
    <w:rsid w:val="3B91B037"/>
    <w:rsid w:val="3B92D201"/>
    <w:rsid w:val="3B9325E9"/>
    <w:rsid w:val="3B9355D9"/>
    <w:rsid w:val="3B951222"/>
    <w:rsid w:val="3B95D5C3"/>
    <w:rsid w:val="3B96B7CD"/>
    <w:rsid w:val="3B96E2E7"/>
    <w:rsid w:val="3B970C2D"/>
    <w:rsid w:val="3B9779A4"/>
    <w:rsid w:val="3B97C6D8"/>
    <w:rsid w:val="3B97D7E1"/>
    <w:rsid w:val="3B981B09"/>
    <w:rsid w:val="3B98FB93"/>
    <w:rsid w:val="3B99A7A3"/>
    <w:rsid w:val="3B9A0BD8"/>
    <w:rsid w:val="3B9A3CB9"/>
    <w:rsid w:val="3B9A4397"/>
    <w:rsid w:val="3B9A6B07"/>
    <w:rsid w:val="3B9BA117"/>
    <w:rsid w:val="3B9C18E7"/>
    <w:rsid w:val="3B9C2564"/>
    <w:rsid w:val="3B9C29F2"/>
    <w:rsid w:val="3B9C37C4"/>
    <w:rsid w:val="3B9CA0DA"/>
    <w:rsid w:val="3B9CDA06"/>
    <w:rsid w:val="3B9CF6F0"/>
    <w:rsid w:val="3B9DE76A"/>
    <w:rsid w:val="3B9E0835"/>
    <w:rsid w:val="3B9E76B1"/>
    <w:rsid w:val="3B9EB882"/>
    <w:rsid w:val="3B9F647B"/>
    <w:rsid w:val="3B9FA4C8"/>
    <w:rsid w:val="3B9FDB14"/>
    <w:rsid w:val="3B9FE43A"/>
    <w:rsid w:val="3BA094B8"/>
    <w:rsid w:val="3BA1034C"/>
    <w:rsid w:val="3BA163EE"/>
    <w:rsid w:val="3BA30A7F"/>
    <w:rsid w:val="3BA3C8A4"/>
    <w:rsid w:val="3BA4250D"/>
    <w:rsid w:val="3BA470FC"/>
    <w:rsid w:val="3BA491BF"/>
    <w:rsid w:val="3BA52849"/>
    <w:rsid w:val="3BA5E534"/>
    <w:rsid w:val="3BA604C6"/>
    <w:rsid w:val="3BA650FA"/>
    <w:rsid w:val="3BA667BF"/>
    <w:rsid w:val="3BA67E3A"/>
    <w:rsid w:val="3BA6BA0C"/>
    <w:rsid w:val="3BA77075"/>
    <w:rsid w:val="3BA91C98"/>
    <w:rsid w:val="3BAA8609"/>
    <w:rsid w:val="3BAA9ADD"/>
    <w:rsid w:val="3BAB5AA7"/>
    <w:rsid w:val="3BAB7D1E"/>
    <w:rsid w:val="3BAC5C09"/>
    <w:rsid w:val="3BACBAE7"/>
    <w:rsid w:val="3BACBE97"/>
    <w:rsid w:val="3BADAC71"/>
    <w:rsid w:val="3BADC71A"/>
    <w:rsid w:val="3BAF072E"/>
    <w:rsid w:val="3BAF870A"/>
    <w:rsid w:val="3BB04902"/>
    <w:rsid w:val="3BB0B57A"/>
    <w:rsid w:val="3BB17519"/>
    <w:rsid w:val="3BB1AD8C"/>
    <w:rsid w:val="3BB2A5AE"/>
    <w:rsid w:val="3BB361F0"/>
    <w:rsid w:val="3BB3E0C5"/>
    <w:rsid w:val="3BB41B53"/>
    <w:rsid w:val="3BB42FBA"/>
    <w:rsid w:val="3BB51C62"/>
    <w:rsid w:val="3BB541FA"/>
    <w:rsid w:val="3BB55A81"/>
    <w:rsid w:val="3BB576F8"/>
    <w:rsid w:val="3BB695E1"/>
    <w:rsid w:val="3BB7F5F8"/>
    <w:rsid w:val="3BB8AB25"/>
    <w:rsid w:val="3BB8CFD0"/>
    <w:rsid w:val="3BB8E1D5"/>
    <w:rsid w:val="3BB9530A"/>
    <w:rsid w:val="3BB9B1AE"/>
    <w:rsid w:val="3BBAC252"/>
    <w:rsid w:val="3BBAF2F7"/>
    <w:rsid w:val="3BBB097F"/>
    <w:rsid w:val="3BBB2E7A"/>
    <w:rsid w:val="3BBB7867"/>
    <w:rsid w:val="3BBB8CD6"/>
    <w:rsid w:val="3BBBB5B3"/>
    <w:rsid w:val="3BBCBBE2"/>
    <w:rsid w:val="3BBD7668"/>
    <w:rsid w:val="3BBDA1E4"/>
    <w:rsid w:val="3BBED4E3"/>
    <w:rsid w:val="3BBF09B3"/>
    <w:rsid w:val="3BBF3C6E"/>
    <w:rsid w:val="3BBF4246"/>
    <w:rsid w:val="3BBF9BC8"/>
    <w:rsid w:val="3BBFA5F1"/>
    <w:rsid w:val="3BBFD013"/>
    <w:rsid w:val="3BC152F6"/>
    <w:rsid w:val="3BC22C97"/>
    <w:rsid w:val="3BC235F0"/>
    <w:rsid w:val="3BC23EE0"/>
    <w:rsid w:val="3BC37CA1"/>
    <w:rsid w:val="3BC4F9F6"/>
    <w:rsid w:val="3BC58EF6"/>
    <w:rsid w:val="3BC628C3"/>
    <w:rsid w:val="3BC689A2"/>
    <w:rsid w:val="3BC6B225"/>
    <w:rsid w:val="3BC6BD09"/>
    <w:rsid w:val="3BC73F60"/>
    <w:rsid w:val="3BC8CA5D"/>
    <w:rsid w:val="3BC8CB63"/>
    <w:rsid w:val="3BC8CFB2"/>
    <w:rsid w:val="3BC9118B"/>
    <w:rsid w:val="3BC9B4F6"/>
    <w:rsid w:val="3BCA0F7D"/>
    <w:rsid w:val="3BCB3E21"/>
    <w:rsid w:val="3BCBF664"/>
    <w:rsid w:val="3BCD7BDF"/>
    <w:rsid w:val="3BCDF519"/>
    <w:rsid w:val="3BCE296E"/>
    <w:rsid w:val="3BCE56EF"/>
    <w:rsid w:val="3BCE8811"/>
    <w:rsid w:val="3BCF4C59"/>
    <w:rsid w:val="3BCF7D1D"/>
    <w:rsid w:val="3BD0A57C"/>
    <w:rsid w:val="3BD0C98B"/>
    <w:rsid w:val="3BD1539C"/>
    <w:rsid w:val="3BD1DF49"/>
    <w:rsid w:val="3BD22313"/>
    <w:rsid w:val="3BD2E11A"/>
    <w:rsid w:val="3BD421D8"/>
    <w:rsid w:val="3BD5A882"/>
    <w:rsid w:val="3BD5F660"/>
    <w:rsid w:val="3BD682F6"/>
    <w:rsid w:val="3BD78D70"/>
    <w:rsid w:val="3BD7D91E"/>
    <w:rsid w:val="3BD81EDD"/>
    <w:rsid w:val="3BD849EA"/>
    <w:rsid w:val="3BD8F3F0"/>
    <w:rsid w:val="3BD93D54"/>
    <w:rsid w:val="3BD969F1"/>
    <w:rsid w:val="3BD9D814"/>
    <w:rsid w:val="3BDA5579"/>
    <w:rsid w:val="3BDB1977"/>
    <w:rsid w:val="3BDB53D7"/>
    <w:rsid w:val="3BDCC9C2"/>
    <w:rsid w:val="3BDE70D7"/>
    <w:rsid w:val="3BDF5836"/>
    <w:rsid w:val="3BDFBA19"/>
    <w:rsid w:val="3BE0EB3F"/>
    <w:rsid w:val="3BE113E6"/>
    <w:rsid w:val="3BE14C65"/>
    <w:rsid w:val="3BE1E388"/>
    <w:rsid w:val="3BE2FA41"/>
    <w:rsid w:val="3BE31926"/>
    <w:rsid w:val="3BE3A70D"/>
    <w:rsid w:val="3BE436A9"/>
    <w:rsid w:val="3BE79102"/>
    <w:rsid w:val="3BE7AB20"/>
    <w:rsid w:val="3BE7C5EA"/>
    <w:rsid w:val="3BE7E3D2"/>
    <w:rsid w:val="3BE8AD84"/>
    <w:rsid w:val="3BE8ED8F"/>
    <w:rsid w:val="3BEBCBC9"/>
    <w:rsid w:val="3BEC5CB5"/>
    <w:rsid w:val="3BEC8D43"/>
    <w:rsid w:val="3BED8CA4"/>
    <w:rsid w:val="3BED97E6"/>
    <w:rsid w:val="3BEE10EC"/>
    <w:rsid w:val="3BEEB0B0"/>
    <w:rsid w:val="3BEEC7A0"/>
    <w:rsid w:val="3BEF04BB"/>
    <w:rsid w:val="3BEF2330"/>
    <w:rsid w:val="3BEF4082"/>
    <w:rsid w:val="3BEFDAEE"/>
    <w:rsid w:val="3BF0213A"/>
    <w:rsid w:val="3BF0875C"/>
    <w:rsid w:val="3BF0E17B"/>
    <w:rsid w:val="3BF1C2CD"/>
    <w:rsid w:val="3BF20D68"/>
    <w:rsid w:val="3BF245E8"/>
    <w:rsid w:val="3BF28D68"/>
    <w:rsid w:val="3BF29BBA"/>
    <w:rsid w:val="3BF4593C"/>
    <w:rsid w:val="3BF650FE"/>
    <w:rsid w:val="3BF66F3F"/>
    <w:rsid w:val="3BF67FC1"/>
    <w:rsid w:val="3BF70CA9"/>
    <w:rsid w:val="3BF72146"/>
    <w:rsid w:val="3BF79754"/>
    <w:rsid w:val="3BF87664"/>
    <w:rsid w:val="3BF8CA9A"/>
    <w:rsid w:val="3BF8E66C"/>
    <w:rsid w:val="3BF974E5"/>
    <w:rsid w:val="3BF9AB03"/>
    <w:rsid w:val="3BFB791F"/>
    <w:rsid w:val="3BFBC417"/>
    <w:rsid w:val="3BFC0905"/>
    <w:rsid w:val="3BFCD73D"/>
    <w:rsid w:val="3BFCF8D8"/>
    <w:rsid w:val="3BFD0795"/>
    <w:rsid w:val="3BFD2474"/>
    <w:rsid w:val="3BFD9593"/>
    <w:rsid w:val="3BFE38FE"/>
    <w:rsid w:val="3BFF757E"/>
    <w:rsid w:val="3C002851"/>
    <w:rsid w:val="3C00E029"/>
    <w:rsid w:val="3C01067A"/>
    <w:rsid w:val="3C013463"/>
    <w:rsid w:val="3C024E69"/>
    <w:rsid w:val="3C028594"/>
    <w:rsid w:val="3C03739A"/>
    <w:rsid w:val="3C03E0DF"/>
    <w:rsid w:val="3C045FB9"/>
    <w:rsid w:val="3C048ABE"/>
    <w:rsid w:val="3C04F14A"/>
    <w:rsid w:val="3C05DC45"/>
    <w:rsid w:val="3C06F25E"/>
    <w:rsid w:val="3C070DD1"/>
    <w:rsid w:val="3C07465A"/>
    <w:rsid w:val="3C075E10"/>
    <w:rsid w:val="3C0802C2"/>
    <w:rsid w:val="3C081981"/>
    <w:rsid w:val="3C085332"/>
    <w:rsid w:val="3C09EA37"/>
    <w:rsid w:val="3C0A5107"/>
    <w:rsid w:val="3C0CAFAC"/>
    <w:rsid w:val="3C0D75CD"/>
    <w:rsid w:val="3C0DDCBD"/>
    <w:rsid w:val="3C0E2373"/>
    <w:rsid w:val="3C0F3D9E"/>
    <w:rsid w:val="3C0F9F16"/>
    <w:rsid w:val="3C0FD038"/>
    <w:rsid w:val="3C104054"/>
    <w:rsid w:val="3C10CEF0"/>
    <w:rsid w:val="3C13292B"/>
    <w:rsid w:val="3C139C2B"/>
    <w:rsid w:val="3C145A80"/>
    <w:rsid w:val="3C146CD0"/>
    <w:rsid w:val="3C153F76"/>
    <w:rsid w:val="3C157C23"/>
    <w:rsid w:val="3C15C815"/>
    <w:rsid w:val="3C161E33"/>
    <w:rsid w:val="3C168651"/>
    <w:rsid w:val="3C16ED75"/>
    <w:rsid w:val="3C174660"/>
    <w:rsid w:val="3C184537"/>
    <w:rsid w:val="3C18C646"/>
    <w:rsid w:val="3C18C88A"/>
    <w:rsid w:val="3C19E84D"/>
    <w:rsid w:val="3C1A8CAC"/>
    <w:rsid w:val="3C1AC13D"/>
    <w:rsid w:val="3C1BF8ED"/>
    <w:rsid w:val="3C1C72ED"/>
    <w:rsid w:val="3C1E424B"/>
    <w:rsid w:val="3C1F05A5"/>
    <w:rsid w:val="3C1F1A2F"/>
    <w:rsid w:val="3C2007EA"/>
    <w:rsid w:val="3C2073E3"/>
    <w:rsid w:val="3C21C644"/>
    <w:rsid w:val="3C21DE82"/>
    <w:rsid w:val="3C2202E2"/>
    <w:rsid w:val="3C25F8C4"/>
    <w:rsid w:val="3C267E2C"/>
    <w:rsid w:val="3C26FB7F"/>
    <w:rsid w:val="3C27129D"/>
    <w:rsid w:val="3C272995"/>
    <w:rsid w:val="3C277A3A"/>
    <w:rsid w:val="3C282DF9"/>
    <w:rsid w:val="3C2900D9"/>
    <w:rsid w:val="3C291E44"/>
    <w:rsid w:val="3C295D99"/>
    <w:rsid w:val="3C29A254"/>
    <w:rsid w:val="3C29CA9D"/>
    <w:rsid w:val="3C29E840"/>
    <w:rsid w:val="3C29ECF8"/>
    <w:rsid w:val="3C2A90AC"/>
    <w:rsid w:val="3C2BF7F9"/>
    <w:rsid w:val="3C2C1BC5"/>
    <w:rsid w:val="3C2CB34C"/>
    <w:rsid w:val="3C2D8878"/>
    <w:rsid w:val="3C2DDD3B"/>
    <w:rsid w:val="3C2E5301"/>
    <w:rsid w:val="3C31D1A0"/>
    <w:rsid w:val="3C32495E"/>
    <w:rsid w:val="3C325FBC"/>
    <w:rsid w:val="3C326C97"/>
    <w:rsid w:val="3C32998B"/>
    <w:rsid w:val="3C32C099"/>
    <w:rsid w:val="3C32CB91"/>
    <w:rsid w:val="3C32EA94"/>
    <w:rsid w:val="3C34796A"/>
    <w:rsid w:val="3C34D525"/>
    <w:rsid w:val="3C352571"/>
    <w:rsid w:val="3C356F47"/>
    <w:rsid w:val="3C35EC48"/>
    <w:rsid w:val="3C36AB64"/>
    <w:rsid w:val="3C36AF58"/>
    <w:rsid w:val="3C373116"/>
    <w:rsid w:val="3C37BF9C"/>
    <w:rsid w:val="3C37C282"/>
    <w:rsid w:val="3C37E428"/>
    <w:rsid w:val="3C382A59"/>
    <w:rsid w:val="3C382F9C"/>
    <w:rsid w:val="3C38C465"/>
    <w:rsid w:val="3C38DC15"/>
    <w:rsid w:val="3C391209"/>
    <w:rsid w:val="3C39DD7A"/>
    <w:rsid w:val="3C39F79A"/>
    <w:rsid w:val="3C3A0F90"/>
    <w:rsid w:val="3C3A5DBD"/>
    <w:rsid w:val="3C3AEA0F"/>
    <w:rsid w:val="3C3AF815"/>
    <w:rsid w:val="3C3B2114"/>
    <w:rsid w:val="3C3BB21F"/>
    <w:rsid w:val="3C3C3D91"/>
    <w:rsid w:val="3C3D7EA6"/>
    <w:rsid w:val="3C3DD2D4"/>
    <w:rsid w:val="3C3E4F10"/>
    <w:rsid w:val="3C3E955C"/>
    <w:rsid w:val="3C3EEBE3"/>
    <w:rsid w:val="3C3F2E90"/>
    <w:rsid w:val="3C3F4374"/>
    <w:rsid w:val="3C3F8A55"/>
    <w:rsid w:val="3C4057E7"/>
    <w:rsid w:val="3C40BC69"/>
    <w:rsid w:val="3C4181D1"/>
    <w:rsid w:val="3C41E5AD"/>
    <w:rsid w:val="3C429CE4"/>
    <w:rsid w:val="3C42F87E"/>
    <w:rsid w:val="3C436DA2"/>
    <w:rsid w:val="3C43A775"/>
    <w:rsid w:val="3C44CE99"/>
    <w:rsid w:val="3C44DE53"/>
    <w:rsid w:val="3C4547C4"/>
    <w:rsid w:val="3C454C2D"/>
    <w:rsid w:val="3C461022"/>
    <w:rsid w:val="3C4679B5"/>
    <w:rsid w:val="3C46F35E"/>
    <w:rsid w:val="3C48360B"/>
    <w:rsid w:val="3C487DB5"/>
    <w:rsid w:val="3C48D5E7"/>
    <w:rsid w:val="3C492378"/>
    <w:rsid w:val="3C49FA09"/>
    <w:rsid w:val="3C4A2BEA"/>
    <w:rsid w:val="3C4A776E"/>
    <w:rsid w:val="3C4AA8FD"/>
    <w:rsid w:val="3C4AD287"/>
    <w:rsid w:val="3C4B0ACA"/>
    <w:rsid w:val="3C4B7669"/>
    <w:rsid w:val="3C4BB8E9"/>
    <w:rsid w:val="3C4BD626"/>
    <w:rsid w:val="3C4C4F26"/>
    <w:rsid w:val="3C4C934F"/>
    <w:rsid w:val="3C4D39B4"/>
    <w:rsid w:val="3C4D7FB8"/>
    <w:rsid w:val="3C4E0D6A"/>
    <w:rsid w:val="3C4E3B85"/>
    <w:rsid w:val="3C4EC55F"/>
    <w:rsid w:val="3C4F0802"/>
    <w:rsid w:val="3C4F2CC8"/>
    <w:rsid w:val="3C4F76A1"/>
    <w:rsid w:val="3C4FCB98"/>
    <w:rsid w:val="3C4FFC0A"/>
    <w:rsid w:val="3C50A1CA"/>
    <w:rsid w:val="3C50AC2C"/>
    <w:rsid w:val="3C50F916"/>
    <w:rsid w:val="3C5106FD"/>
    <w:rsid w:val="3C514F1F"/>
    <w:rsid w:val="3C51A0B4"/>
    <w:rsid w:val="3C51D28E"/>
    <w:rsid w:val="3C51DCF1"/>
    <w:rsid w:val="3C51DF7E"/>
    <w:rsid w:val="3C523203"/>
    <w:rsid w:val="3C529EF4"/>
    <w:rsid w:val="3C52F3DC"/>
    <w:rsid w:val="3C530AD3"/>
    <w:rsid w:val="3C531454"/>
    <w:rsid w:val="3C5401FB"/>
    <w:rsid w:val="3C5471AF"/>
    <w:rsid w:val="3C54A6D4"/>
    <w:rsid w:val="3C54DB72"/>
    <w:rsid w:val="3C54E88A"/>
    <w:rsid w:val="3C54F184"/>
    <w:rsid w:val="3C551281"/>
    <w:rsid w:val="3C566924"/>
    <w:rsid w:val="3C56CBA4"/>
    <w:rsid w:val="3C56ED45"/>
    <w:rsid w:val="3C571D9E"/>
    <w:rsid w:val="3C571F5E"/>
    <w:rsid w:val="3C57D55F"/>
    <w:rsid w:val="3C57D633"/>
    <w:rsid w:val="3C581EAA"/>
    <w:rsid w:val="3C582D63"/>
    <w:rsid w:val="3C586420"/>
    <w:rsid w:val="3C58AFFD"/>
    <w:rsid w:val="3C590E1C"/>
    <w:rsid w:val="3C598B6D"/>
    <w:rsid w:val="3C598BA8"/>
    <w:rsid w:val="3C59DDB7"/>
    <w:rsid w:val="3C5A8943"/>
    <w:rsid w:val="3C5B1245"/>
    <w:rsid w:val="3C5C0904"/>
    <w:rsid w:val="3C5C107E"/>
    <w:rsid w:val="3C5C5499"/>
    <w:rsid w:val="3C5C726C"/>
    <w:rsid w:val="3C5CBDD4"/>
    <w:rsid w:val="3C5D2860"/>
    <w:rsid w:val="3C5EA3D3"/>
    <w:rsid w:val="3C5F3BFB"/>
    <w:rsid w:val="3C606A5B"/>
    <w:rsid w:val="3C60EE3B"/>
    <w:rsid w:val="3C60FBC7"/>
    <w:rsid w:val="3C614DD6"/>
    <w:rsid w:val="3C6154C6"/>
    <w:rsid w:val="3C624DDB"/>
    <w:rsid w:val="3C629615"/>
    <w:rsid w:val="3C637DE6"/>
    <w:rsid w:val="3C63AAAA"/>
    <w:rsid w:val="3C63BE32"/>
    <w:rsid w:val="3C63CFF2"/>
    <w:rsid w:val="3C646198"/>
    <w:rsid w:val="3C655036"/>
    <w:rsid w:val="3C65590F"/>
    <w:rsid w:val="3C65EF80"/>
    <w:rsid w:val="3C66E78A"/>
    <w:rsid w:val="3C673245"/>
    <w:rsid w:val="3C67669C"/>
    <w:rsid w:val="3C68B01C"/>
    <w:rsid w:val="3C6B7C7D"/>
    <w:rsid w:val="3C6B8D55"/>
    <w:rsid w:val="3C6C9BEC"/>
    <w:rsid w:val="3C6CCC0E"/>
    <w:rsid w:val="3C6D7CE4"/>
    <w:rsid w:val="3C6DEAC0"/>
    <w:rsid w:val="3C6E1E8B"/>
    <w:rsid w:val="3C6EC104"/>
    <w:rsid w:val="3C6EC583"/>
    <w:rsid w:val="3C7020ED"/>
    <w:rsid w:val="3C704D4A"/>
    <w:rsid w:val="3C70F5DE"/>
    <w:rsid w:val="3C70F728"/>
    <w:rsid w:val="3C721503"/>
    <w:rsid w:val="3C7342D2"/>
    <w:rsid w:val="3C73D445"/>
    <w:rsid w:val="3C743FEC"/>
    <w:rsid w:val="3C749A9B"/>
    <w:rsid w:val="3C74D752"/>
    <w:rsid w:val="3C74E0D6"/>
    <w:rsid w:val="3C74EE65"/>
    <w:rsid w:val="3C761DB9"/>
    <w:rsid w:val="3C76CEB8"/>
    <w:rsid w:val="3C76E10A"/>
    <w:rsid w:val="3C76EC60"/>
    <w:rsid w:val="3C76F151"/>
    <w:rsid w:val="3C772F07"/>
    <w:rsid w:val="3C775290"/>
    <w:rsid w:val="3C77821A"/>
    <w:rsid w:val="3C78315F"/>
    <w:rsid w:val="3C78EF28"/>
    <w:rsid w:val="3C79A765"/>
    <w:rsid w:val="3C7AB38F"/>
    <w:rsid w:val="3C7AFAD8"/>
    <w:rsid w:val="3C7AFE73"/>
    <w:rsid w:val="3C7B531D"/>
    <w:rsid w:val="3C7C0AC8"/>
    <w:rsid w:val="3C7C4FC9"/>
    <w:rsid w:val="3C7C564E"/>
    <w:rsid w:val="3C7D2056"/>
    <w:rsid w:val="3C7E4A0C"/>
    <w:rsid w:val="3C7EE778"/>
    <w:rsid w:val="3C7F34DB"/>
    <w:rsid w:val="3C7F5293"/>
    <w:rsid w:val="3C7F5A92"/>
    <w:rsid w:val="3C7F8661"/>
    <w:rsid w:val="3C7FC4CA"/>
    <w:rsid w:val="3C815060"/>
    <w:rsid w:val="3C823F28"/>
    <w:rsid w:val="3C827D07"/>
    <w:rsid w:val="3C82A9F1"/>
    <w:rsid w:val="3C82DD0E"/>
    <w:rsid w:val="3C838659"/>
    <w:rsid w:val="3C839A6B"/>
    <w:rsid w:val="3C841CCF"/>
    <w:rsid w:val="3C843D24"/>
    <w:rsid w:val="3C84486F"/>
    <w:rsid w:val="3C846820"/>
    <w:rsid w:val="3C847D49"/>
    <w:rsid w:val="3C848FCD"/>
    <w:rsid w:val="3C849044"/>
    <w:rsid w:val="3C84C747"/>
    <w:rsid w:val="3C85805D"/>
    <w:rsid w:val="3C85C57B"/>
    <w:rsid w:val="3C85DB05"/>
    <w:rsid w:val="3C85FA0B"/>
    <w:rsid w:val="3C85FCE8"/>
    <w:rsid w:val="3C860B7D"/>
    <w:rsid w:val="3C862523"/>
    <w:rsid w:val="3C863B5B"/>
    <w:rsid w:val="3C865D26"/>
    <w:rsid w:val="3C86B1C7"/>
    <w:rsid w:val="3C870575"/>
    <w:rsid w:val="3C87769E"/>
    <w:rsid w:val="3C87A33B"/>
    <w:rsid w:val="3C888862"/>
    <w:rsid w:val="3C889B97"/>
    <w:rsid w:val="3C88F060"/>
    <w:rsid w:val="3C8975B0"/>
    <w:rsid w:val="3C898C2C"/>
    <w:rsid w:val="3C89A88F"/>
    <w:rsid w:val="3C89CB20"/>
    <w:rsid w:val="3C8A5A4D"/>
    <w:rsid w:val="3C8ABC7C"/>
    <w:rsid w:val="3C8B2F0D"/>
    <w:rsid w:val="3C8B7135"/>
    <w:rsid w:val="3C8B8C79"/>
    <w:rsid w:val="3C8BAF70"/>
    <w:rsid w:val="3C8C4910"/>
    <w:rsid w:val="3C8C9A8C"/>
    <w:rsid w:val="3C8D329D"/>
    <w:rsid w:val="3C8D3CE6"/>
    <w:rsid w:val="3C8D5482"/>
    <w:rsid w:val="3C8D67D6"/>
    <w:rsid w:val="3C8D97F2"/>
    <w:rsid w:val="3C8E12DD"/>
    <w:rsid w:val="3C8E16DC"/>
    <w:rsid w:val="3C8E92E7"/>
    <w:rsid w:val="3C8EB53F"/>
    <w:rsid w:val="3C8F830D"/>
    <w:rsid w:val="3C8FAF1B"/>
    <w:rsid w:val="3C8FCA4E"/>
    <w:rsid w:val="3C8FCA93"/>
    <w:rsid w:val="3C9042EF"/>
    <w:rsid w:val="3C904E3B"/>
    <w:rsid w:val="3C9114CF"/>
    <w:rsid w:val="3C913432"/>
    <w:rsid w:val="3C91D66F"/>
    <w:rsid w:val="3C94A5C8"/>
    <w:rsid w:val="3C94CFF1"/>
    <w:rsid w:val="3C94F46A"/>
    <w:rsid w:val="3C94F7B6"/>
    <w:rsid w:val="3C953C29"/>
    <w:rsid w:val="3C95D4DA"/>
    <w:rsid w:val="3C9615D9"/>
    <w:rsid w:val="3C96449B"/>
    <w:rsid w:val="3C968347"/>
    <w:rsid w:val="3C96B7A4"/>
    <w:rsid w:val="3C97A7A4"/>
    <w:rsid w:val="3C97AA9D"/>
    <w:rsid w:val="3C98B116"/>
    <w:rsid w:val="3C9972B8"/>
    <w:rsid w:val="3C998E3A"/>
    <w:rsid w:val="3C9A18BC"/>
    <w:rsid w:val="3C9B60CC"/>
    <w:rsid w:val="3C9BAE35"/>
    <w:rsid w:val="3C9BB1D7"/>
    <w:rsid w:val="3C9CB33E"/>
    <w:rsid w:val="3C9E1E97"/>
    <w:rsid w:val="3C9E2854"/>
    <w:rsid w:val="3C9E4B0C"/>
    <w:rsid w:val="3C9E9676"/>
    <w:rsid w:val="3C9EE329"/>
    <w:rsid w:val="3C9FD3F2"/>
    <w:rsid w:val="3C9FDB5D"/>
    <w:rsid w:val="3C9FE167"/>
    <w:rsid w:val="3CA0625B"/>
    <w:rsid w:val="3CA06C2B"/>
    <w:rsid w:val="3CA10FFB"/>
    <w:rsid w:val="3CA2AF63"/>
    <w:rsid w:val="3CA2B313"/>
    <w:rsid w:val="3CA31DAE"/>
    <w:rsid w:val="3CA3352C"/>
    <w:rsid w:val="3CA370ED"/>
    <w:rsid w:val="3CA5AE05"/>
    <w:rsid w:val="3CA5C4D2"/>
    <w:rsid w:val="3CA60CDE"/>
    <w:rsid w:val="3CA6D441"/>
    <w:rsid w:val="3CA6DDEF"/>
    <w:rsid w:val="3CA6FF11"/>
    <w:rsid w:val="3CA719D5"/>
    <w:rsid w:val="3CA71BCD"/>
    <w:rsid w:val="3CA74865"/>
    <w:rsid w:val="3CA774BE"/>
    <w:rsid w:val="3CA7962A"/>
    <w:rsid w:val="3CA81E2D"/>
    <w:rsid w:val="3CAA45E6"/>
    <w:rsid w:val="3CAAF8C8"/>
    <w:rsid w:val="3CAB32BA"/>
    <w:rsid w:val="3CAB41B0"/>
    <w:rsid w:val="3CAB7E39"/>
    <w:rsid w:val="3CABC4D9"/>
    <w:rsid w:val="3CABC67A"/>
    <w:rsid w:val="3CAC0226"/>
    <w:rsid w:val="3CAC3A55"/>
    <w:rsid w:val="3CAC8F70"/>
    <w:rsid w:val="3CACAC22"/>
    <w:rsid w:val="3CACBC1C"/>
    <w:rsid w:val="3CAD5BAB"/>
    <w:rsid w:val="3CAE24D0"/>
    <w:rsid w:val="3CAE84E6"/>
    <w:rsid w:val="3CAEA94B"/>
    <w:rsid w:val="3CAED36A"/>
    <w:rsid w:val="3CAF273E"/>
    <w:rsid w:val="3CAF5BE1"/>
    <w:rsid w:val="3CAFE2F8"/>
    <w:rsid w:val="3CB0A0B6"/>
    <w:rsid w:val="3CB0F8AA"/>
    <w:rsid w:val="3CB0FAA8"/>
    <w:rsid w:val="3CB161F8"/>
    <w:rsid w:val="3CB1A361"/>
    <w:rsid w:val="3CB1D339"/>
    <w:rsid w:val="3CB24E28"/>
    <w:rsid w:val="3CB33B10"/>
    <w:rsid w:val="3CB33B56"/>
    <w:rsid w:val="3CB3795D"/>
    <w:rsid w:val="3CB3BFD8"/>
    <w:rsid w:val="3CB55C98"/>
    <w:rsid w:val="3CB66072"/>
    <w:rsid w:val="3CB6B40B"/>
    <w:rsid w:val="3CB7794F"/>
    <w:rsid w:val="3CB88713"/>
    <w:rsid w:val="3CB8B2C7"/>
    <w:rsid w:val="3CB97372"/>
    <w:rsid w:val="3CB9986B"/>
    <w:rsid w:val="3CB9E803"/>
    <w:rsid w:val="3CBA158C"/>
    <w:rsid w:val="3CBA2488"/>
    <w:rsid w:val="3CBA5B4B"/>
    <w:rsid w:val="3CBB6673"/>
    <w:rsid w:val="3CBB95E8"/>
    <w:rsid w:val="3CBC0375"/>
    <w:rsid w:val="3CBC36EC"/>
    <w:rsid w:val="3CBC62B3"/>
    <w:rsid w:val="3CBC89F9"/>
    <w:rsid w:val="3CBC9908"/>
    <w:rsid w:val="3CBD51ED"/>
    <w:rsid w:val="3CBDAB09"/>
    <w:rsid w:val="3CBE6286"/>
    <w:rsid w:val="3CBF8001"/>
    <w:rsid w:val="3CBFA1C6"/>
    <w:rsid w:val="3CBFBAA5"/>
    <w:rsid w:val="3CBFF168"/>
    <w:rsid w:val="3CC013FE"/>
    <w:rsid w:val="3CC05F44"/>
    <w:rsid w:val="3CC18CD0"/>
    <w:rsid w:val="3CC18E61"/>
    <w:rsid w:val="3CC1B355"/>
    <w:rsid w:val="3CC2651A"/>
    <w:rsid w:val="3CC28F56"/>
    <w:rsid w:val="3CC402DB"/>
    <w:rsid w:val="3CC40315"/>
    <w:rsid w:val="3CC445B2"/>
    <w:rsid w:val="3CC4D11B"/>
    <w:rsid w:val="3CC4DC53"/>
    <w:rsid w:val="3CC4F100"/>
    <w:rsid w:val="3CC55720"/>
    <w:rsid w:val="3CC5A560"/>
    <w:rsid w:val="3CC5FE97"/>
    <w:rsid w:val="3CC606A2"/>
    <w:rsid w:val="3CC6B621"/>
    <w:rsid w:val="3CC814C9"/>
    <w:rsid w:val="3CC83322"/>
    <w:rsid w:val="3CC8F8EB"/>
    <w:rsid w:val="3CC909E6"/>
    <w:rsid w:val="3CC93E9B"/>
    <w:rsid w:val="3CCB4627"/>
    <w:rsid w:val="3CCB7085"/>
    <w:rsid w:val="3CCBD21D"/>
    <w:rsid w:val="3CCBE3EE"/>
    <w:rsid w:val="3CCC92A5"/>
    <w:rsid w:val="3CCD0542"/>
    <w:rsid w:val="3CCD07BB"/>
    <w:rsid w:val="3CCD0814"/>
    <w:rsid w:val="3CCD5315"/>
    <w:rsid w:val="3CCD6590"/>
    <w:rsid w:val="3CCE1409"/>
    <w:rsid w:val="3CCF1E62"/>
    <w:rsid w:val="3CCF2B39"/>
    <w:rsid w:val="3CD01BF4"/>
    <w:rsid w:val="3CD0813A"/>
    <w:rsid w:val="3CD10215"/>
    <w:rsid w:val="3CD1557F"/>
    <w:rsid w:val="3CD15AB9"/>
    <w:rsid w:val="3CD192F4"/>
    <w:rsid w:val="3CD1AE9D"/>
    <w:rsid w:val="3CD29D55"/>
    <w:rsid w:val="3CD30F65"/>
    <w:rsid w:val="3CD3AF12"/>
    <w:rsid w:val="3CD3FE36"/>
    <w:rsid w:val="3CD4EA1A"/>
    <w:rsid w:val="3CD5352C"/>
    <w:rsid w:val="3CD54AAE"/>
    <w:rsid w:val="3CD59E76"/>
    <w:rsid w:val="3CD60606"/>
    <w:rsid w:val="3CD61025"/>
    <w:rsid w:val="3CD63094"/>
    <w:rsid w:val="3CD6F32A"/>
    <w:rsid w:val="3CD71609"/>
    <w:rsid w:val="3CD796F7"/>
    <w:rsid w:val="3CD822E5"/>
    <w:rsid w:val="3CD832CA"/>
    <w:rsid w:val="3CD86945"/>
    <w:rsid w:val="3CD88B85"/>
    <w:rsid w:val="3CD8993D"/>
    <w:rsid w:val="3CD9232F"/>
    <w:rsid w:val="3CD9436B"/>
    <w:rsid w:val="3CD988C9"/>
    <w:rsid w:val="3CDA37B7"/>
    <w:rsid w:val="3CDA48CD"/>
    <w:rsid w:val="3CDAF82A"/>
    <w:rsid w:val="3CDB6BA8"/>
    <w:rsid w:val="3CDB6FD4"/>
    <w:rsid w:val="3CDB9528"/>
    <w:rsid w:val="3CDBD537"/>
    <w:rsid w:val="3CDCA4A6"/>
    <w:rsid w:val="3CDD133F"/>
    <w:rsid w:val="3CDD2259"/>
    <w:rsid w:val="3CDDEC85"/>
    <w:rsid w:val="3CDE79F2"/>
    <w:rsid w:val="3CDEF6A0"/>
    <w:rsid w:val="3CDF2BE7"/>
    <w:rsid w:val="3CDF7BCF"/>
    <w:rsid w:val="3CDFA41D"/>
    <w:rsid w:val="3CE05103"/>
    <w:rsid w:val="3CE0CE3E"/>
    <w:rsid w:val="3CE11D2F"/>
    <w:rsid w:val="3CE19061"/>
    <w:rsid w:val="3CE1F225"/>
    <w:rsid w:val="3CE2163D"/>
    <w:rsid w:val="3CE29217"/>
    <w:rsid w:val="3CE32964"/>
    <w:rsid w:val="3CE3E568"/>
    <w:rsid w:val="3CE3F934"/>
    <w:rsid w:val="3CE46B71"/>
    <w:rsid w:val="3CE4AFB4"/>
    <w:rsid w:val="3CE4B673"/>
    <w:rsid w:val="3CE4C373"/>
    <w:rsid w:val="3CE4EE98"/>
    <w:rsid w:val="3CE5ED9A"/>
    <w:rsid w:val="3CE65B19"/>
    <w:rsid w:val="3CE7201D"/>
    <w:rsid w:val="3CE79210"/>
    <w:rsid w:val="3CE9426A"/>
    <w:rsid w:val="3CE99E5B"/>
    <w:rsid w:val="3CE9D744"/>
    <w:rsid w:val="3CE9E29D"/>
    <w:rsid w:val="3CEAD073"/>
    <w:rsid w:val="3CEAE5B1"/>
    <w:rsid w:val="3CEB5CBB"/>
    <w:rsid w:val="3CEBE8B3"/>
    <w:rsid w:val="3CED88D5"/>
    <w:rsid w:val="3CEDB296"/>
    <w:rsid w:val="3CEEA366"/>
    <w:rsid w:val="3CEEF0A1"/>
    <w:rsid w:val="3CEF6404"/>
    <w:rsid w:val="3CEFE2DE"/>
    <w:rsid w:val="3CF018FD"/>
    <w:rsid w:val="3CF06253"/>
    <w:rsid w:val="3CF0B208"/>
    <w:rsid w:val="3CF0B648"/>
    <w:rsid w:val="3CF0D17C"/>
    <w:rsid w:val="3CF0FB80"/>
    <w:rsid w:val="3CF143D0"/>
    <w:rsid w:val="3CF1C8CB"/>
    <w:rsid w:val="3CF1EECD"/>
    <w:rsid w:val="3CF1F534"/>
    <w:rsid w:val="3CF26529"/>
    <w:rsid w:val="3CF29066"/>
    <w:rsid w:val="3CF44531"/>
    <w:rsid w:val="3CF555C5"/>
    <w:rsid w:val="3CF5968C"/>
    <w:rsid w:val="3CF5A06E"/>
    <w:rsid w:val="3CF603EE"/>
    <w:rsid w:val="3CF6629B"/>
    <w:rsid w:val="3CF6BB44"/>
    <w:rsid w:val="3CF74AC8"/>
    <w:rsid w:val="3CF7DD81"/>
    <w:rsid w:val="3CF7E2F3"/>
    <w:rsid w:val="3CF7E509"/>
    <w:rsid w:val="3CF84652"/>
    <w:rsid w:val="3CF8BBEB"/>
    <w:rsid w:val="3CFACB93"/>
    <w:rsid w:val="3CFD1D33"/>
    <w:rsid w:val="3CFD394C"/>
    <w:rsid w:val="3CFD77A0"/>
    <w:rsid w:val="3CFE067D"/>
    <w:rsid w:val="3CFE7FAC"/>
    <w:rsid w:val="3CFEA0F4"/>
    <w:rsid w:val="3CFF4E7E"/>
    <w:rsid w:val="3CFFEE73"/>
    <w:rsid w:val="3D001D36"/>
    <w:rsid w:val="3D003EEC"/>
    <w:rsid w:val="3D008260"/>
    <w:rsid w:val="3D00CA7A"/>
    <w:rsid w:val="3D00EA6A"/>
    <w:rsid w:val="3D0127AB"/>
    <w:rsid w:val="3D016513"/>
    <w:rsid w:val="3D01D19C"/>
    <w:rsid w:val="3D0212D0"/>
    <w:rsid w:val="3D027DD8"/>
    <w:rsid w:val="3D02EE08"/>
    <w:rsid w:val="3D04B834"/>
    <w:rsid w:val="3D04EB35"/>
    <w:rsid w:val="3D04EC9F"/>
    <w:rsid w:val="3D0599D9"/>
    <w:rsid w:val="3D0617F2"/>
    <w:rsid w:val="3D063D50"/>
    <w:rsid w:val="3D067B2A"/>
    <w:rsid w:val="3D06CDD0"/>
    <w:rsid w:val="3D0849D9"/>
    <w:rsid w:val="3D08E72C"/>
    <w:rsid w:val="3D09E413"/>
    <w:rsid w:val="3D09E6A8"/>
    <w:rsid w:val="3D09F9A6"/>
    <w:rsid w:val="3D0A159B"/>
    <w:rsid w:val="3D0A41AB"/>
    <w:rsid w:val="3D0A729E"/>
    <w:rsid w:val="3D0B6610"/>
    <w:rsid w:val="3D0B90B6"/>
    <w:rsid w:val="3D0CB840"/>
    <w:rsid w:val="3D0D6375"/>
    <w:rsid w:val="3D0D642E"/>
    <w:rsid w:val="3D0D67CB"/>
    <w:rsid w:val="3D0D6A43"/>
    <w:rsid w:val="3D0D701D"/>
    <w:rsid w:val="3D0D79B4"/>
    <w:rsid w:val="3D0DB96C"/>
    <w:rsid w:val="3D0E0638"/>
    <w:rsid w:val="3D0EFA84"/>
    <w:rsid w:val="3D0FCFEF"/>
    <w:rsid w:val="3D0FEB79"/>
    <w:rsid w:val="3D10E6D3"/>
    <w:rsid w:val="3D11A5BA"/>
    <w:rsid w:val="3D11D77F"/>
    <w:rsid w:val="3D124556"/>
    <w:rsid w:val="3D1290CB"/>
    <w:rsid w:val="3D12E0F9"/>
    <w:rsid w:val="3D13227C"/>
    <w:rsid w:val="3D13FF40"/>
    <w:rsid w:val="3D147712"/>
    <w:rsid w:val="3D148CDF"/>
    <w:rsid w:val="3D1541F0"/>
    <w:rsid w:val="3D155650"/>
    <w:rsid w:val="3D15A19B"/>
    <w:rsid w:val="3D15A8DB"/>
    <w:rsid w:val="3D160C22"/>
    <w:rsid w:val="3D165046"/>
    <w:rsid w:val="3D167BDF"/>
    <w:rsid w:val="3D16AC09"/>
    <w:rsid w:val="3D16BCFA"/>
    <w:rsid w:val="3D16BD55"/>
    <w:rsid w:val="3D16FD66"/>
    <w:rsid w:val="3D175E51"/>
    <w:rsid w:val="3D179EF8"/>
    <w:rsid w:val="3D17FF7D"/>
    <w:rsid w:val="3D183264"/>
    <w:rsid w:val="3D186013"/>
    <w:rsid w:val="3D18C7AB"/>
    <w:rsid w:val="3D18E19F"/>
    <w:rsid w:val="3D191849"/>
    <w:rsid w:val="3D1A4B4B"/>
    <w:rsid w:val="3D1A9605"/>
    <w:rsid w:val="3D1B0307"/>
    <w:rsid w:val="3D1B2464"/>
    <w:rsid w:val="3D1B88C4"/>
    <w:rsid w:val="3D1BBE02"/>
    <w:rsid w:val="3D1C1989"/>
    <w:rsid w:val="3D1C8E48"/>
    <w:rsid w:val="3D1E3E69"/>
    <w:rsid w:val="3D1EC289"/>
    <w:rsid w:val="3D203EB0"/>
    <w:rsid w:val="3D208E60"/>
    <w:rsid w:val="3D20CF5E"/>
    <w:rsid w:val="3D20EB70"/>
    <w:rsid w:val="3D20F7DB"/>
    <w:rsid w:val="3D212264"/>
    <w:rsid w:val="3D212353"/>
    <w:rsid w:val="3D2209E5"/>
    <w:rsid w:val="3D22C0C7"/>
    <w:rsid w:val="3D22C346"/>
    <w:rsid w:val="3D22D74E"/>
    <w:rsid w:val="3D232447"/>
    <w:rsid w:val="3D240C69"/>
    <w:rsid w:val="3D242574"/>
    <w:rsid w:val="3D243240"/>
    <w:rsid w:val="3D24AD64"/>
    <w:rsid w:val="3D24F76C"/>
    <w:rsid w:val="3D2594E2"/>
    <w:rsid w:val="3D264AC6"/>
    <w:rsid w:val="3D26C02C"/>
    <w:rsid w:val="3D270FA9"/>
    <w:rsid w:val="3D27DB6D"/>
    <w:rsid w:val="3D27EB62"/>
    <w:rsid w:val="3D28C39F"/>
    <w:rsid w:val="3D28DCDA"/>
    <w:rsid w:val="3D28ECA7"/>
    <w:rsid w:val="3D294829"/>
    <w:rsid w:val="3D29A578"/>
    <w:rsid w:val="3D29AD27"/>
    <w:rsid w:val="3D29DAE8"/>
    <w:rsid w:val="3D2A080F"/>
    <w:rsid w:val="3D2A66D4"/>
    <w:rsid w:val="3D2A8D02"/>
    <w:rsid w:val="3D2ABE97"/>
    <w:rsid w:val="3D2B41A5"/>
    <w:rsid w:val="3D2BBB6B"/>
    <w:rsid w:val="3D2D2E0E"/>
    <w:rsid w:val="3D2EC019"/>
    <w:rsid w:val="3D2F07C8"/>
    <w:rsid w:val="3D2F786D"/>
    <w:rsid w:val="3D30574F"/>
    <w:rsid w:val="3D309AD6"/>
    <w:rsid w:val="3D30AE74"/>
    <w:rsid w:val="3D30B2B8"/>
    <w:rsid w:val="3D30FFFD"/>
    <w:rsid w:val="3D31F4F4"/>
    <w:rsid w:val="3D323E39"/>
    <w:rsid w:val="3D3363AA"/>
    <w:rsid w:val="3D33D1C8"/>
    <w:rsid w:val="3D352315"/>
    <w:rsid w:val="3D35D946"/>
    <w:rsid w:val="3D366F04"/>
    <w:rsid w:val="3D36893B"/>
    <w:rsid w:val="3D36972A"/>
    <w:rsid w:val="3D36EFD0"/>
    <w:rsid w:val="3D3765D7"/>
    <w:rsid w:val="3D381DDC"/>
    <w:rsid w:val="3D389626"/>
    <w:rsid w:val="3D39BE3A"/>
    <w:rsid w:val="3D3A4A69"/>
    <w:rsid w:val="3D3B7812"/>
    <w:rsid w:val="3D3BC6DC"/>
    <w:rsid w:val="3D3C2E86"/>
    <w:rsid w:val="3D3C3164"/>
    <w:rsid w:val="3D3C6CCF"/>
    <w:rsid w:val="3D3CC3F8"/>
    <w:rsid w:val="3D3CE6F7"/>
    <w:rsid w:val="3D3D2AB1"/>
    <w:rsid w:val="3D3D51F7"/>
    <w:rsid w:val="3D3E1A7E"/>
    <w:rsid w:val="3D3E5A6C"/>
    <w:rsid w:val="3D3E716B"/>
    <w:rsid w:val="3D3F6C6B"/>
    <w:rsid w:val="3D40E446"/>
    <w:rsid w:val="3D40F87F"/>
    <w:rsid w:val="3D4136A5"/>
    <w:rsid w:val="3D424847"/>
    <w:rsid w:val="3D426CB7"/>
    <w:rsid w:val="3D42ED58"/>
    <w:rsid w:val="3D42F1D6"/>
    <w:rsid w:val="3D434997"/>
    <w:rsid w:val="3D436396"/>
    <w:rsid w:val="3D44A00C"/>
    <w:rsid w:val="3D44B3F5"/>
    <w:rsid w:val="3D46E6FF"/>
    <w:rsid w:val="3D46EC6D"/>
    <w:rsid w:val="3D479237"/>
    <w:rsid w:val="3D47ACA0"/>
    <w:rsid w:val="3D484065"/>
    <w:rsid w:val="3D484C01"/>
    <w:rsid w:val="3D490EA2"/>
    <w:rsid w:val="3D4B15D2"/>
    <w:rsid w:val="3D4B27E2"/>
    <w:rsid w:val="3D4B2F6E"/>
    <w:rsid w:val="3D4D77D8"/>
    <w:rsid w:val="3D4D8F58"/>
    <w:rsid w:val="3D4E4EE2"/>
    <w:rsid w:val="3D4E6656"/>
    <w:rsid w:val="3D4EA765"/>
    <w:rsid w:val="3D4F53D5"/>
    <w:rsid w:val="3D4F9F66"/>
    <w:rsid w:val="3D50F18C"/>
    <w:rsid w:val="3D51A35E"/>
    <w:rsid w:val="3D51DC1F"/>
    <w:rsid w:val="3D52BE39"/>
    <w:rsid w:val="3D53B7CD"/>
    <w:rsid w:val="3D557B81"/>
    <w:rsid w:val="3D56BC28"/>
    <w:rsid w:val="3D573FE4"/>
    <w:rsid w:val="3D578010"/>
    <w:rsid w:val="3D578977"/>
    <w:rsid w:val="3D57CF80"/>
    <w:rsid w:val="3D57D84F"/>
    <w:rsid w:val="3D585A2D"/>
    <w:rsid w:val="3D5891F4"/>
    <w:rsid w:val="3D592B6C"/>
    <w:rsid w:val="3D59B7CE"/>
    <w:rsid w:val="3D59BB77"/>
    <w:rsid w:val="3D5A1924"/>
    <w:rsid w:val="3D5AAF19"/>
    <w:rsid w:val="3D5B9FB9"/>
    <w:rsid w:val="3D5BA38E"/>
    <w:rsid w:val="3D5BD475"/>
    <w:rsid w:val="3D5C7571"/>
    <w:rsid w:val="3D5CE691"/>
    <w:rsid w:val="3D5D114D"/>
    <w:rsid w:val="3D5E6539"/>
    <w:rsid w:val="3D5EDB3D"/>
    <w:rsid w:val="3D5F792C"/>
    <w:rsid w:val="3D60859E"/>
    <w:rsid w:val="3D60E66A"/>
    <w:rsid w:val="3D611BB9"/>
    <w:rsid w:val="3D6199BC"/>
    <w:rsid w:val="3D61E1DD"/>
    <w:rsid w:val="3D628FF9"/>
    <w:rsid w:val="3D63107A"/>
    <w:rsid w:val="3D632733"/>
    <w:rsid w:val="3D6425EF"/>
    <w:rsid w:val="3D6482A7"/>
    <w:rsid w:val="3D655C2C"/>
    <w:rsid w:val="3D6584EC"/>
    <w:rsid w:val="3D6630ED"/>
    <w:rsid w:val="3D6758D9"/>
    <w:rsid w:val="3D67D88C"/>
    <w:rsid w:val="3D67F9A7"/>
    <w:rsid w:val="3D681B67"/>
    <w:rsid w:val="3D6B1C4F"/>
    <w:rsid w:val="3D6B3770"/>
    <w:rsid w:val="3D6B4AE0"/>
    <w:rsid w:val="3D6BB7FF"/>
    <w:rsid w:val="3D6BFDE1"/>
    <w:rsid w:val="3D6D63D3"/>
    <w:rsid w:val="3D6DF69F"/>
    <w:rsid w:val="3D6DF9D7"/>
    <w:rsid w:val="3D6E049E"/>
    <w:rsid w:val="3D6FAAF9"/>
    <w:rsid w:val="3D701227"/>
    <w:rsid w:val="3D703663"/>
    <w:rsid w:val="3D70E4CC"/>
    <w:rsid w:val="3D70E9A9"/>
    <w:rsid w:val="3D70FA88"/>
    <w:rsid w:val="3D712DCC"/>
    <w:rsid w:val="3D71C73A"/>
    <w:rsid w:val="3D728F59"/>
    <w:rsid w:val="3D73099B"/>
    <w:rsid w:val="3D731EEA"/>
    <w:rsid w:val="3D738020"/>
    <w:rsid w:val="3D738669"/>
    <w:rsid w:val="3D751094"/>
    <w:rsid w:val="3D75297B"/>
    <w:rsid w:val="3D756C67"/>
    <w:rsid w:val="3D76ACE3"/>
    <w:rsid w:val="3D771049"/>
    <w:rsid w:val="3D778EF9"/>
    <w:rsid w:val="3D77B07E"/>
    <w:rsid w:val="3D781239"/>
    <w:rsid w:val="3D786AB6"/>
    <w:rsid w:val="3D78708B"/>
    <w:rsid w:val="3D79467E"/>
    <w:rsid w:val="3D7AB3E3"/>
    <w:rsid w:val="3D7B6ADF"/>
    <w:rsid w:val="3D7BF6C6"/>
    <w:rsid w:val="3D7C24A4"/>
    <w:rsid w:val="3D7C932B"/>
    <w:rsid w:val="3D7CBB85"/>
    <w:rsid w:val="3D7CFEF5"/>
    <w:rsid w:val="3D7D2303"/>
    <w:rsid w:val="3D7D5457"/>
    <w:rsid w:val="3D7DD47E"/>
    <w:rsid w:val="3D7DDF41"/>
    <w:rsid w:val="3D7E6D03"/>
    <w:rsid w:val="3D7EAD61"/>
    <w:rsid w:val="3D7F3011"/>
    <w:rsid w:val="3D7F7B97"/>
    <w:rsid w:val="3D7FDACF"/>
    <w:rsid w:val="3D8004B4"/>
    <w:rsid w:val="3D80567E"/>
    <w:rsid w:val="3D811A87"/>
    <w:rsid w:val="3D817895"/>
    <w:rsid w:val="3D818D07"/>
    <w:rsid w:val="3D82016C"/>
    <w:rsid w:val="3D82610A"/>
    <w:rsid w:val="3D82FDFE"/>
    <w:rsid w:val="3D830BFB"/>
    <w:rsid w:val="3D8394DE"/>
    <w:rsid w:val="3D83A73D"/>
    <w:rsid w:val="3D859B2F"/>
    <w:rsid w:val="3D85CF9B"/>
    <w:rsid w:val="3D863773"/>
    <w:rsid w:val="3D8764E4"/>
    <w:rsid w:val="3D88A340"/>
    <w:rsid w:val="3D88CEC6"/>
    <w:rsid w:val="3D88EFA5"/>
    <w:rsid w:val="3D893832"/>
    <w:rsid w:val="3D898CB6"/>
    <w:rsid w:val="3D8B1493"/>
    <w:rsid w:val="3D8B7F32"/>
    <w:rsid w:val="3D8B9ACA"/>
    <w:rsid w:val="3D8BE5AF"/>
    <w:rsid w:val="3D8DCDE8"/>
    <w:rsid w:val="3D8E1763"/>
    <w:rsid w:val="3D8E3BAB"/>
    <w:rsid w:val="3D8F224C"/>
    <w:rsid w:val="3D8F70D3"/>
    <w:rsid w:val="3D8F95D3"/>
    <w:rsid w:val="3D910489"/>
    <w:rsid w:val="3D9127D8"/>
    <w:rsid w:val="3D91BB41"/>
    <w:rsid w:val="3D91E51F"/>
    <w:rsid w:val="3D921E3B"/>
    <w:rsid w:val="3D92BEFD"/>
    <w:rsid w:val="3D932B69"/>
    <w:rsid w:val="3D932F4C"/>
    <w:rsid w:val="3D94195B"/>
    <w:rsid w:val="3D9455D6"/>
    <w:rsid w:val="3D94F2DE"/>
    <w:rsid w:val="3D9522C1"/>
    <w:rsid w:val="3D95A572"/>
    <w:rsid w:val="3D95E9EC"/>
    <w:rsid w:val="3D967F95"/>
    <w:rsid w:val="3D98B470"/>
    <w:rsid w:val="3D991D9B"/>
    <w:rsid w:val="3D991E45"/>
    <w:rsid w:val="3D9A2D37"/>
    <w:rsid w:val="3D9A736F"/>
    <w:rsid w:val="3D9A7472"/>
    <w:rsid w:val="3D9A82A7"/>
    <w:rsid w:val="3D9AEDDF"/>
    <w:rsid w:val="3D9B6538"/>
    <w:rsid w:val="3D9BC86B"/>
    <w:rsid w:val="3D9C9F86"/>
    <w:rsid w:val="3D9DD978"/>
    <w:rsid w:val="3D9E8D57"/>
    <w:rsid w:val="3D9E91A9"/>
    <w:rsid w:val="3DA07D70"/>
    <w:rsid w:val="3DA10FE4"/>
    <w:rsid w:val="3DA1616A"/>
    <w:rsid w:val="3DA20E50"/>
    <w:rsid w:val="3DA262B8"/>
    <w:rsid w:val="3DA2FA9C"/>
    <w:rsid w:val="3DA33E77"/>
    <w:rsid w:val="3DA399BF"/>
    <w:rsid w:val="3DA3F6FF"/>
    <w:rsid w:val="3DA40D84"/>
    <w:rsid w:val="3DA546E0"/>
    <w:rsid w:val="3DA6008B"/>
    <w:rsid w:val="3DA71CBA"/>
    <w:rsid w:val="3DA74C39"/>
    <w:rsid w:val="3DA793A6"/>
    <w:rsid w:val="3DA7E5F8"/>
    <w:rsid w:val="3DAAC41B"/>
    <w:rsid w:val="3DAB16EE"/>
    <w:rsid w:val="3DABE931"/>
    <w:rsid w:val="3DABF5D0"/>
    <w:rsid w:val="3DAC52E6"/>
    <w:rsid w:val="3DAC9E0B"/>
    <w:rsid w:val="3DAC9EE1"/>
    <w:rsid w:val="3DACAAC4"/>
    <w:rsid w:val="3DAE4D58"/>
    <w:rsid w:val="3DB0C2FA"/>
    <w:rsid w:val="3DB0D367"/>
    <w:rsid w:val="3DB11830"/>
    <w:rsid w:val="3DB127A2"/>
    <w:rsid w:val="3DB159A6"/>
    <w:rsid w:val="3DB16168"/>
    <w:rsid w:val="3DB1BCA7"/>
    <w:rsid w:val="3DB20469"/>
    <w:rsid w:val="3DB3360A"/>
    <w:rsid w:val="3DB457B5"/>
    <w:rsid w:val="3DB47BF6"/>
    <w:rsid w:val="3DB4B6E7"/>
    <w:rsid w:val="3DB528C9"/>
    <w:rsid w:val="3DB563C4"/>
    <w:rsid w:val="3DB5972D"/>
    <w:rsid w:val="3DB62D94"/>
    <w:rsid w:val="3DB65686"/>
    <w:rsid w:val="3DB66463"/>
    <w:rsid w:val="3DB74587"/>
    <w:rsid w:val="3DB7C1A8"/>
    <w:rsid w:val="3DB8B3F0"/>
    <w:rsid w:val="3DB937A2"/>
    <w:rsid w:val="3DBAFCD7"/>
    <w:rsid w:val="3DBB0421"/>
    <w:rsid w:val="3DBE583A"/>
    <w:rsid w:val="3DBE8E71"/>
    <w:rsid w:val="3DBF2C95"/>
    <w:rsid w:val="3DBF5E28"/>
    <w:rsid w:val="3DBF9C00"/>
    <w:rsid w:val="3DBFD69C"/>
    <w:rsid w:val="3DBFFC56"/>
    <w:rsid w:val="3DC04D39"/>
    <w:rsid w:val="3DC0FC5A"/>
    <w:rsid w:val="3DC13331"/>
    <w:rsid w:val="3DC1582C"/>
    <w:rsid w:val="3DC1F549"/>
    <w:rsid w:val="3DC22D4F"/>
    <w:rsid w:val="3DC2B084"/>
    <w:rsid w:val="3DC34029"/>
    <w:rsid w:val="3DC377ED"/>
    <w:rsid w:val="3DC45E2D"/>
    <w:rsid w:val="3DC56ACC"/>
    <w:rsid w:val="3DC5CD6B"/>
    <w:rsid w:val="3DC5E389"/>
    <w:rsid w:val="3DC69B7D"/>
    <w:rsid w:val="3DC748DA"/>
    <w:rsid w:val="3DC7E555"/>
    <w:rsid w:val="3DC816C2"/>
    <w:rsid w:val="3DC8538D"/>
    <w:rsid w:val="3DC8C3D5"/>
    <w:rsid w:val="3DC8D68E"/>
    <w:rsid w:val="3DC9D00F"/>
    <w:rsid w:val="3DCA0082"/>
    <w:rsid w:val="3DCA6453"/>
    <w:rsid w:val="3DCA7CC2"/>
    <w:rsid w:val="3DCB2482"/>
    <w:rsid w:val="3DCC5DF1"/>
    <w:rsid w:val="3DCC7BE6"/>
    <w:rsid w:val="3DCC937A"/>
    <w:rsid w:val="3DCCB4CC"/>
    <w:rsid w:val="3DCDA42C"/>
    <w:rsid w:val="3DCE3961"/>
    <w:rsid w:val="3DCE57E9"/>
    <w:rsid w:val="3DCEB027"/>
    <w:rsid w:val="3DCECFAA"/>
    <w:rsid w:val="3DCF86E5"/>
    <w:rsid w:val="3DD05548"/>
    <w:rsid w:val="3DD0566D"/>
    <w:rsid w:val="3DD2BEC9"/>
    <w:rsid w:val="3DD3C5BF"/>
    <w:rsid w:val="3DD41861"/>
    <w:rsid w:val="3DD41ACE"/>
    <w:rsid w:val="3DD4AC74"/>
    <w:rsid w:val="3DD4AEB2"/>
    <w:rsid w:val="3DD4CBA8"/>
    <w:rsid w:val="3DD6691D"/>
    <w:rsid w:val="3DD6BEAC"/>
    <w:rsid w:val="3DD7BD61"/>
    <w:rsid w:val="3DD7CC59"/>
    <w:rsid w:val="3DD7E334"/>
    <w:rsid w:val="3DD8C256"/>
    <w:rsid w:val="3DD9649F"/>
    <w:rsid w:val="3DD9B902"/>
    <w:rsid w:val="3DDA1BCD"/>
    <w:rsid w:val="3DDB2942"/>
    <w:rsid w:val="3DDB79B5"/>
    <w:rsid w:val="3DDC0DF6"/>
    <w:rsid w:val="3DDC3D3A"/>
    <w:rsid w:val="3DDC540F"/>
    <w:rsid w:val="3DDCA258"/>
    <w:rsid w:val="3DDCE295"/>
    <w:rsid w:val="3DDCE4A6"/>
    <w:rsid w:val="3DDD61F5"/>
    <w:rsid w:val="3DDE2F48"/>
    <w:rsid w:val="3DDE7BDD"/>
    <w:rsid w:val="3DDECE4C"/>
    <w:rsid w:val="3DDF6BD9"/>
    <w:rsid w:val="3DE0412F"/>
    <w:rsid w:val="3DE0BC52"/>
    <w:rsid w:val="3DE177C3"/>
    <w:rsid w:val="3DE1A139"/>
    <w:rsid w:val="3DE1AA32"/>
    <w:rsid w:val="3DE1E59D"/>
    <w:rsid w:val="3DE23DAD"/>
    <w:rsid w:val="3DE28717"/>
    <w:rsid w:val="3DE3A4D6"/>
    <w:rsid w:val="3DE407D7"/>
    <w:rsid w:val="3DE4352E"/>
    <w:rsid w:val="3DE4F0C7"/>
    <w:rsid w:val="3DE552A1"/>
    <w:rsid w:val="3DE576DF"/>
    <w:rsid w:val="3DE58B74"/>
    <w:rsid w:val="3DE58F8B"/>
    <w:rsid w:val="3DE5920B"/>
    <w:rsid w:val="3DE6275D"/>
    <w:rsid w:val="3DE6D08A"/>
    <w:rsid w:val="3DE735B1"/>
    <w:rsid w:val="3DE7FA14"/>
    <w:rsid w:val="3DE83FA0"/>
    <w:rsid w:val="3DE8FF1E"/>
    <w:rsid w:val="3DE997B6"/>
    <w:rsid w:val="3DEA5AC8"/>
    <w:rsid w:val="3DEAC870"/>
    <w:rsid w:val="3DEB4836"/>
    <w:rsid w:val="3DEBF410"/>
    <w:rsid w:val="3DEBF636"/>
    <w:rsid w:val="3DEC6251"/>
    <w:rsid w:val="3DEC64FC"/>
    <w:rsid w:val="3DEC87FF"/>
    <w:rsid w:val="3DECE39C"/>
    <w:rsid w:val="3DECFF80"/>
    <w:rsid w:val="3DED58A2"/>
    <w:rsid w:val="3DED624A"/>
    <w:rsid w:val="3DEE3166"/>
    <w:rsid w:val="3DEE4F27"/>
    <w:rsid w:val="3DEE5643"/>
    <w:rsid w:val="3DEEC473"/>
    <w:rsid w:val="3DEEF671"/>
    <w:rsid w:val="3DEF04C8"/>
    <w:rsid w:val="3DEF8332"/>
    <w:rsid w:val="3DF06BFC"/>
    <w:rsid w:val="3DF09F72"/>
    <w:rsid w:val="3DF0A052"/>
    <w:rsid w:val="3DF22C9C"/>
    <w:rsid w:val="3DF22E86"/>
    <w:rsid w:val="3DF238DB"/>
    <w:rsid w:val="3DF3787E"/>
    <w:rsid w:val="3DF4C901"/>
    <w:rsid w:val="3DF5610F"/>
    <w:rsid w:val="3DF572C1"/>
    <w:rsid w:val="3DF5B06E"/>
    <w:rsid w:val="3DF5CAE0"/>
    <w:rsid w:val="3DF6176A"/>
    <w:rsid w:val="3DF6A33C"/>
    <w:rsid w:val="3DF7073C"/>
    <w:rsid w:val="3DF803A9"/>
    <w:rsid w:val="3DF81249"/>
    <w:rsid w:val="3DF8D342"/>
    <w:rsid w:val="3DF9BB07"/>
    <w:rsid w:val="3DF9F2DF"/>
    <w:rsid w:val="3DFA7683"/>
    <w:rsid w:val="3DFAA142"/>
    <w:rsid w:val="3DFB7845"/>
    <w:rsid w:val="3DFBAC5E"/>
    <w:rsid w:val="3DFC5F59"/>
    <w:rsid w:val="3DFD4079"/>
    <w:rsid w:val="3DFE5D38"/>
    <w:rsid w:val="3DFEC243"/>
    <w:rsid w:val="3DFF155F"/>
    <w:rsid w:val="3E004915"/>
    <w:rsid w:val="3E012EB2"/>
    <w:rsid w:val="3E015FEF"/>
    <w:rsid w:val="3E02DFCB"/>
    <w:rsid w:val="3E034BA3"/>
    <w:rsid w:val="3E03FEC5"/>
    <w:rsid w:val="3E047945"/>
    <w:rsid w:val="3E048438"/>
    <w:rsid w:val="3E059310"/>
    <w:rsid w:val="3E05FE2D"/>
    <w:rsid w:val="3E0601D4"/>
    <w:rsid w:val="3E065083"/>
    <w:rsid w:val="3E070868"/>
    <w:rsid w:val="3E076B82"/>
    <w:rsid w:val="3E078C95"/>
    <w:rsid w:val="3E086694"/>
    <w:rsid w:val="3E089114"/>
    <w:rsid w:val="3E090C24"/>
    <w:rsid w:val="3E0937EC"/>
    <w:rsid w:val="3E09436F"/>
    <w:rsid w:val="3E098AD1"/>
    <w:rsid w:val="3E09CCCB"/>
    <w:rsid w:val="3E09DF7D"/>
    <w:rsid w:val="3E0A00D7"/>
    <w:rsid w:val="3E0A1A88"/>
    <w:rsid w:val="3E0B426E"/>
    <w:rsid w:val="3E0B5C27"/>
    <w:rsid w:val="3E0BAF5C"/>
    <w:rsid w:val="3E0C4211"/>
    <w:rsid w:val="3E0C5FED"/>
    <w:rsid w:val="3E0CB532"/>
    <w:rsid w:val="3E0DB6D4"/>
    <w:rsid w:val="3E0E2122"/>
    <w:rsid w:val="3E0EC6C9"/>
    <w:rsid w:val="3E0EE2EB"/>
    <w:rsid w:val="3E0F8A5C"/>
    <w:rsid w:val="3E101F09"/>
    <w:rsid w:val="3E109175"/>
    <w:rsid w:val="3E1123DF"/>
    <w:rsid w:val="3E1165F1"/>
    <w:rsid w:val="3E11C04A"/>
    <w:rsid w:val="3E13502E"/>
    <w:rsid w:val="3E13BDC9"/>
    <w:rsid w:val="3E13CB12"/>
    <w:rsid w:val="3E13E0C5"/>
    <w:rsid w:val="3E148533"/>
    <w:rsid w:val="3E14C6DC"/>
    <w:rsid w:val="3E14E4AA"/>
    <w:rsid w:val="3E151AE2"/>
    <w:rsid w:val="3E1520C9"/>
    <w:rsid w:val="3E15DB80"/>
    <w:rsid w:val="3E1610F8"/>
    <w:rsid w:val="3E177FD4"/>
    <w:rsid w:val="3E17F752"/>
    <w:rsid w:val="3E180D8A"/>
    <w:rsid w:val="3E181688"/>
    <w:rsid w:val="3E18A858"/>
    <w:rsid w:val="3E18C2EF"/>
    <w:rsid w:val="3E1936AB"/>
    <w:rsid w:val="3E1972F3"/>
    <w:rsid w:val="3E1A4167"/>
    <w:rsid w:val="3E1A50E5"/>
    <w:rsid w:val="3E1A92B4"/>
    <w:rsid w:val="3E1AF21B"/>
    <w:rsid w:val="3E1B054A"/>
    <w:rsid w:val="3E1BFC49"/>
    <w:rsid w:val="3E1CFDA9"/>
    <w:rsid w:val="3E1DA96E"/>
    <w:rsid w:val="3E1DB86B"/>
    <w:rsid w:val="3E1DDB5A"/>
    <w:rsid w:val="3E1E2E82"/>
    <w:rsid w:val="3E1E5339"/>
    <w:rsid w:val="3E1E8E42"/>
    <w:rsid w:val="3E1F1981"/>
    <w:rsid w:val="3E1F63BE"/>
    <w:rsid w:val="3E1F766A"/>
    <w:rsid w:val="3E21313E"/>
    <w:rsid w:val="3E2165DD"/>
    <w:rsid w:val="3E222ABD"/>
    <w:rsid w:val="3E225142"/>
    <w:rsid w:val="3E2404C5"/>
    <w:rsid w:val="3E254020"/>
    <w:rsid w:val="3E2624C2"/>
    <w:rsid w:val="3E26C031"/>
    <w:rsid w:val="3E27325F"/>
    <w:rsid w:val="3E2756FC"/>
    <w:rsid w:val="3E278AC7"/>
    <w:rsid w:val="3E286C41"/>
    <w:rsid w:val="3E28C3FF"/>
    <w:rsid w:val="3E2A4A41"/>
    <w:rsid w:val="3E2B3ABB"/>
    <w:rsid w:val="3E2C2B0E"/>
    <w:rsid w:val="3E2C41E8"/>
    <w:rsid w:val="3E2C597E"/>
    <w:rsid w:val="3E2C7E80"/>
    <w:rsid w:val="3E2C8803"/>
    <w:rsid w:val="3E2CECE4"/>
    <w:rsid w:val="3E2D009D"/>
    <w:rsid w:val="3E2D26B9"/>
    <w:rsid w:val="3E2D58E8"/>
    <w:rsid w:val="3E2D8252"/>
    <w:rsid w:val="3E2E06E6"/>
    <w:rsid w:val="3E2E7378"/>
    <w:rsid w:val="3E2F1E84"/>
    <w:rsid w:val="3E2F4433"/>
    <w:rsid w:val="3E2F79DD"/>
    <w:rsid w:val="3E301D54"/>
    <w:rsid w:val="3E30E702"/>
    <w:rsid w:val="3E3189CA"/>
    <w:rsid w:val="3E31E37B"/>
    <w:rsid w:val="3E323D62"/>
    <w:rsid w:val="3E32545D"/>
    <w:rsid w:val="3E327736"/>
    <w:rsid w:val="3E330AB4"/>
    <w:rsid w:val="3E333042"/>
    <w:rsid w:val="3E338DD1"/>
    <w:rsid w:val="3E33AF27"/>
    <w:rsid w:val="3E33FF41"/>
    <w:rsid w:val="3E3509CE"/>
    <w:rsid w:val="3E352986"/>
    <w:rsid w:val="3E352E9B"/>
    <w:rsid w:val="3E35EB5F"/>
    <w:rsid w:val="3E36626E"/>
    <w:rsid w:val="3E37C8BD"/>
    <w:rsid w:val="3E383DD4"/>
    <w:rsid w:val="3E390647"/>
    <w:rsid w:val="3E39FE26"/>
    <w:rsid w:val="3E3A2B8E"/>
    <w:rsid w:val="3E3A6313"/>
    <w:rsid w:val="3E3A7CAA"/>
    <w:rsid w:val="3E3BB8F6"/>
    <w:rsid w:val="3E3C52AE"/>
    <w:rsid w:val="3E3C7543"/>
    <w:rsid w:val="3E3CA84A"/>
    <w:rsid w:val="3E3CB826"/>
    <w:rsid w:val="3E3D05D8"/>
    <w:rsid w:val="3E3D96C0"/>
    <w:rsid w:val="3E3E8C99"/>
    <w:rsid w:val="3E3E9AC2"/>
    <w:rsid w:val="3E3FAA8E"/>
    <w:rsid w:val="3E408701"/>
    <w:rsid w:val="3E41B674"/>
    <w:rsid w:val="3E41EA9B"/>
    <w:rsid w:val="3E429A65"/>
    <w:rsid w:val="3E42D0E4"/>
    <w:rsid w:val="3E42D8F3"/>
    <w:rsid w:val="3E43A7D0"/>
    <w:rsid w:val="3E43E644"/>
    <w:rsid w:val="3E451DEB"/>
    <w:rsid w:val="3E48707A"/>
    <w:rsid w:val="3E49D117"/>
    <w:rsid w:val="3E4A3EC2"/>
    <w:rsid w:val="3E4B6F76"/>
    <w:rsid w:val="3E4D08AD"/>
    <w:rsid w:val="3E4D9B7A"/>
    <w:rsid w:val="3E4DE32C"/>
    <w:rsid w:val="3E4E4675"/>
    <w:rsid w:val="3E4E8422"/>
    <w:rsid w:val="3E4E9573"/>
    <w:rsid w:val="3E4F09C9"/>
    <w:rsid w:val="3E4FD5BB"/>
    <w:rsid w:val="3E4FEF16"/>
    <w:rsid w:val="3E50A13B"/>
    <w:rsid w:val="3E50AD89"/>
    <w:rsid w:val="3E5374FA"/>
    <w:rsid w:val="3E549CDE"/>
    <w:rsid w:val="3E557013"/>
    <w:rsid w:val="3E55743A"/>
    <w:rsid w:val="3E5588AE"/>
    <w:rsid w:val="3E55BE66"/>
    <w:rsid w:val="3E560306"/>
    <w:rsid w:val="3E56E33D"/>
    <w:rsid w:val="3E586D37"/>
    <w:rsid w:val="3E589E36"/>
    <w:rsid w:val="3E595F34"/>
    <w:rsid w:val="3E5977C1"/>
    <w:rsid w:val="3E5B91A9"/>
    <w:rsid w:val="3E5BACB1"/>
    <w:rsid w:val="3E5D7DFA"/>
    <w:rsid w:val="3E5E98D1"/>
    <w:rsid w:val="3E5F3417"/>
    <w:rsid w:val="3E5FF349"/>
    <w:rsid w:val="3E60AC34"/>
    <w:rsid w:val="3E61CA72"/>
    <w:rsid w:val="3E61F59F"/>
    <w:rsid w:val="3E623C9D"/>
    <w:rsid w:val="3E62A3EF"/>
    <w:rsid w:val="3E62DEE4"/>
    <w:rsid w:val="3E62DFD4"/>
    <w:rsid w:val="3E639BAD"/>
    <w:rsid w:val="3E63A2A2"/>
    <w:rsid w:val="3E63B365"/>
    <w:rsid w:val="3E63F1DB"/>
    <w:rsid w:val="3E6440BE"/>
    <w:rsid w:val="3E646D4C"/>
    <w:rsid w:val="3E64A769"/>
    <w:rsid w:val="3E64DA48"/>
    <w:rsid w:val="3E650132"/>
    <w:rsid w:val="3E651486"/>
    <w:rsid w:val="3E6589DD"/>
    <w:rsid w:val="3E65B4E3"/>
    <w:rsid w:val="3E66D487"/>
    <w:rsid w:val="3E671216"/>
    <w:rsid w:val="3E67D44E"/>
    <w:rsid w:val="3E67DDAB"/>
    <w:rsid w:val="3E67F05F"/>
    <w:rsid w:val="3E6AAD05"/>
    <w:rsid w:val="3E6B6C34"/>
    <w:rsid w:val="3E6B93B6"/>
    <w:rsid w:val="3E6C310C"/>
    <w:rsid w:val="3E6D8740"/>
    <w:rsid w:val="3E6E3481"/>
    <w:rsid w:val="3E6EAEF9"/>
    <w:rsid w:val="3E6F35AB"/>
    <w:rsid w:val="3E6F7847"/>
    <w:rsid w:val="3E6FC92C"/>
    <w:rsid w:val="3E70171C"/>
    <w:rsid w:val="3E7283F7"/>
    <w:rsid w:val="3E72BEF1"/>
    <w:rsid w:val="3E7367F3"/>
    <w:rsid w:val="3E736B60"/>
    <w:rsid w:val="3E73C3C7"/>
    <w:rsid w:val="3E741E8C"/>
    <w:rsid w:val="3E74771C"/>
    <w:rsid w:val="3E747FC8"/>
    <w:rsid w:val="3E74805E"/>
    <w:rsid w:val="3E74A80C"/>
    <w:rsid w:val="3E755318"/>
    <w:rsid w:val="3E75C183"/>
    <w:rsid w:val="3E766E8A"/>
    <w:rsid w:val="3E76D2A7"/>
    <w:rsid w:val="3E788478"/>
    <w:rsid w:val="3E788F75"/>
    <w:rsid w:val="3E79019E"/>
    <w:rsid w:val="3E7AE79D"/>
    <w:rsid w:val="3E7AF1A9"/>
    <w:rsid w:val="3E7B0E41"/>
    <w:rsid w:val="3E7B352A"/>
    <w:rsid w:val="3E7B3F11"/>
    <w:rsid w:val="3E7B8749"/>
    <w:rsid w:val="3E7C0C47"/>
    <w:rsid w:val="3E7C4520"/>
    <w:rsid w:val="3E7C648A"/>
    <w:rsid w:val="3E7CAEC4"/>
    <w:rsid w:val="3E7CEFD8"/>
    <w:rsid w:val="3E7D3025"/>
    <w:rsid w:val="3E7D9661"/>
    <w:rsid w:val="3E7DF617"/>
    <w:rsid w:val="3E7E829F"/>
    <w:rsid w:val="3E8059A0"/>
    <w:rsid w:val="3E806066"/>
    <w:rsid w:val="3E81169F"/>
    <w:rsid w:val="3E812458"/>
    <w:rsid w:val="3E8146EB"/>
    <w:rsid w:val="3E81A782"/>
    <w:rsid w:val="3E820AAB"/>
    <w:rsid w:val="3E82385F"/>
    <w:rsid w:val="3E827C7E"/>
    <w:rsid w:val="3E82BC07"/>
    <w:rsid w:val="3E837CF2"/>
    <w:rsid w:val="3E83BD0A"/>
    <w:rsid w:val="3E84B3EC"/>
    <w:rsid w:val="3E84C89D"/>
    <w:rsid w:val="3E84DC3B"/>
    <w:rsid w:val="3E8633F0"/>
    <w:rsid w:val="3E86844B"/>
    <w:rsid w:val="3E86AD63"/>
    <w:rsid w:val="3E8738AA"/>
    <w:rsid w:val="3E8765E1"/>
    <w:rsid w:val="3E8797E9"/>
    <w:rsid w:val="3E87A317"/>
    <w:rsid w:val="3E87BB61"/>
    <w:rsid w:val="3E87CD3A"/>
    <w:rsid w:val="3E88101E"/>
    <w:rsid w:val="3E884D81"/>
    <w:rsid w:val="3E88641E"/>
    <w:rsid w:val="3E887268"/>
    <w:rsid w:val="3E89A0F9"/>
    <w:rsid w:val="3E89A11A"/>
    <w:rsid w:val="3E89AE16"/>
    <w:rsid w:val="3E8A727F"/>
    <w:rsid w:val="3E8A75CB"/>
    <w:rsid w:val="3E8AECF7"/>
    <w:rsid w:val="3E8B3456"/>
    <w:rsid w:val="3E8C04EF"/>
    <w:rsid w:val="3E8C10BA"/>
    <w:rsid w:val="3E8CB1B5"/>
    <w:rsid w:val="3E8DB58E"/>
    <w:rsid w:val="3E8DF37E"/>
    <w:rsid w:val="3E8E15B3"/>
    <w:rsid w:val="3E8F918C"/>
    <w:rsid w:val="3E90E9A6"/>
    <w:rsid w:val="3E90F880"/>
    <w:rsid w:val="3E914AA4"/>
    <w:rsid w:val="3E92598F"/>
    <w:rsid w:val="3E92FF83"/>
    <w:rsid w:val="3E9309BE"/>
    <w:rsid w:val="3E951CBE"/>
    <w:rsid w:val="3E9613C5"/>
    <w:rsid w:val="3E97D765"/>
    <w:rsid w:val="3E987DDC"/>
    <w:rsid w:val="3E99A9E2"/>
    <w:rsid w:val="3E9A083E"/>
    <w:rsid w:val="3E9A6E95"/>
    <w:rsid w:val="3E9AC43C"/>
    <w:rsid w:val="3E9B0564"/>
    <w:rsid w:val="3E9B28B1"/>
    <w:rsid w:val="3E9B5C49"/>
    <w:rsid w:val="3E9C5648"/>
    <w:rsid w:val="3E9D82B7"/>
    <w:rsid w:val="3E9DE618"/>
    <w:rsid w:val="3E9DE827"/>
    <w:rsid w:val="3E9E240D"/>
    <w:rsid w:val="3E9E533C"/>
    <w:rsid w:val="3E9E6011"/>
    <w:rsid w:val="3E9E9675"/>
    <w:rsid w:val="3E9F45A2"/>
    <w:rsid w:val="3E9F4A6F"/>
    <w:rsid w:val="3E9F60A4"/>
    <w:rsid w:val="3E9FE33C"/>
    <w:rsid w:val="3EA04411"/>
    <w:rsid w:val="3EA0A55F"/>
    <w:rsid w:val="3EA26770"/>
    <w:rsid w:val="3EA2C582"/>
    <w:rsid w:val="3EA2E233"/>
    <w:rsid w:val="3EA3A843"/>
    <w:rsid w:val="3EA3BE2A"/>
    <w:rsid w:val="3EA3C33A"/>
    <w:rsid w:val="3EA41071"/>
    <w:rsid w:val="3EA437EF"/>
    <w:rsid w:val="3EA69DB7"/>
    <w:rsid w:val="3EA6A10A"/>
    <w:rsid w:val="3EA6DC40"/>
    <w:rsid w:val="3EA72B55"/>
    <w:rsid w:val="3EA741A0"/>
    <w:rsid w:val="3EA82054"/>
    <w:rsid w:val="3EA8DE78"/>
    <w:rsid w:val="3EA9C151"/>
    <w:rsid w:val="3EAB5739"/>
    <w:rsid w:val="3EAB6F9F"/>
    <w:rsid w:val="3EAC3390"/>
    <w:rsid w:val="3EACADD4"/>
    <w:rsid w:val="3EADFE29"/>
    <w:rsid w:val="3EAE1292"/>
    <w:rsid w:val="3EAEE86C"/>
    <w:rsid w:val="3EAF202B"/>
    <w:rsid w:val="3EAF8730"/>
    <w:rsid w:val="3EAFCD4E"/>
    <w:rsid w:val="3EAFF890"/>
    <w:rsid w:val="3EB02397"/>
    <w:rsid w:val="3EB0F198"/>
    <w:rsid w:val="3EB1150B"/>
    <w:rsid w:val="3EB20438"/>
    <w:rsid w:val="3EB351B8"/>
    <w:rsid w:val="3EB38E79"/>
    <w:rsid w:val="3EB3E979"/>
    <w:rsid w:val="3EB51C94"/>
    <w:rsid w:val="3EB57A0C"/>
    <w:rsid w:val="3EB73472"/>
    <w:rsid w:val="3EB7659D"/>
    <w:rsid w:val="3EB791E4"/>
    <w:rsid w:val="3EB79CE1"/>
    <w:rsid w:val="3EB80C0D"/>
    <w:rsid w:val="3EB83DAF"/>
    <w:rsid w:val="3EB9111C"/>
    <w:rsid w:val="3EB93D96"/>
    <w:rsid w:val="3EB9E124"/>
    <w:rsid w:val="3EBA15FD"/>
    <w:rsid w:val="3EBAC317"/>
    <w:rsid w:val="3EBB0FD9"/>
    <w:rsid w:val="3EBB28AE"/>
    <w:rsid w:val="3EBC56D8"/>
    <w:rsid w:val="3EBC87A7"/>
    <w:rsid w:val="3EBDC419"/>
    <w:rsid w:val="3EBE7154"/>
    <w:rsid w:val="3EBEBB02"/>
    <w:rsid w:val="3EBEC82F"/>
    <w:rsid w:val="3EBFFAE6"/>
    <w:rsid w:val="3EC0B4AD"/>
    <w:rsid w:val="3EC13F19"/>
    <w:rsid w:val="3EC165B0"/>
    <w:rsid w:val="3EC22504"/>
    <w:rsid w:val="3EC24A97"/>
    <w:rsid w:val="3EC332B2"/>
    <w:rsid w:val="3EC349B3"/>
    <w:rsid w:val="3EC3A845"/>
    <w:rsid w:val="3EC3DE70"/>
    <w:rsid w:val="3EC40FF0"/>
    <w:rsid w:val="3EC451FF"/>
    <w:rsid w:val="3EC46F83"/>
    <w:rsid w:val="3EC4BA16"/>
    <w:rsid w:val="3EC5A22D"/>
    <w:rsid w:val="3EC5E2D6"/>
    <w:rsid w:val="3EC83E02"/>
    <w:rsid w:val="3EC83E0D"/>
    <w:rsid w:val="3EC85EAB"/>
    <w:rsid w:val="3EC946F2"/>
    <w:rsid w:val="3EC94A3D"/>
    <w:rsid w:val="3EC9BE1F"/>
    <w:rsid w:val="3ECA5837"/>
    <w:rsid w:val="3ECAB430"/>
    <w:rsid w:val="3ECABA17"/>
    <w:rsid w:val="3ECC85E8"/>
    <w:rsid w:val="3ECC9563"/>
    <w:rsid w:val="3ECCF784"/>
    <w:rsid w:val="3ECD0DDA"/>
    <w:rsid w:val="3ECDCAA5"/>
    <w:rsid w:val="3ECEB662"/>
    <w:rsid w:val="3ECF5FE7"/>
    <w:rsid w:val="3ECF7EC0"/>
    <w:rsid w:val="3ECF9136"/>
    <w:rsid w:val="3ED21992"/>
    <w:rsid w:val="3ED24045"/>
    <w:rsid w:val="3ED31DEF"/>
    <w:rsid w:val="3ED50087"/>
    <w:rsid w:val="3ED53E8D"/>
    <w:rsid w:val="3ED5697D"/>
    <w:rsid w:val="3ED56EB7"/>
    <w:rsid w:val="3ED590EA"/>
    <w:rsid w:val="3ED60445"/>
    <w:rsid w:val="3ED76B84"/>
    <w:rsid w:val="3ED84E79"/>
    <w:rsid w:val="3ED8FFC0"/>
    <w:rsid w:val="3ED900D0"/>
    <w:rsid w:val="3ED904BD"/>
    <w:rsid w:val="3ED975AC"/>
    <w:rsid w:val="3ED97628"/>
    <w:rsid w:val="3EDA008D"/>
    <w:rsid w:val="3EDA0A56"/>
    <w:rsid w:val="3EDACF2D"/>
    <w:rsid w:val="3EDAF873"/>
    <w:rsid w:val="3EDC3F7F"/>
    <w:rsid w:val="3EDCBA5C"/>
    <w:rsid w:val="3EDCD7C7"/>
    <w:rsid w:val="3EDDAF19"/>
    <w:rsid w:val="3EDE1ECB"/>
    <w:rsid w:val="3EDE84EE"/>
    <w:rsid w:val="3EDEA135"/>
    <w:rsid w:val="3EDFFC45"/>
    <w:rsid w:val="3EE06CB0"/>
    <w:rsid w:val="3EE07BD9"/>
    <w:rsid w:val="3EE290CE"/>
    <w:rsid w:val="3EE2BDE2"/>
    <w:rsid w:val="3EE30D96"/>
    <w:rsid w:val="3EE31975"/>
    <w:rsid w:val="3EE31F56"/>
    <w:rsid w:val="3EE32104"/>
    <w:rsid w:val="3EE3B200"/>
    <w:rsid w:val="3EE3B57A"/>
    <w:rsid w:val="3EE4374C"/>
    <w:rsid w:val="3EE4A957"/>
    <w:rsid w:val="3EE4D18D"/>
    <w:rsid w:val="3EE5504E"/>
    <w:rsid w:val="3EE554FD"/>
    <w:rsid w:val="3EE5C5CC"/>
    <w:rsid w:val="3EE5E343"/>
    <w:rsid w:val="3EE6116B"/>
    <w:rsid w:val="3EE6BE4B"/>
    <w:rsid w:val="3EE6DA92"/>
    <w:rsid w:val="3EE6E332"/>
    <w:rsid w:val="3EE7DD3F"/>
    <w:rsid w:val="3EE84477"/>
    <w:rsid w:val="3EE9965F"/>
    <w:rsid w:val="3EEA5B89"/>
    <w:rsid w:val="3EEA700D"/>
    <w:rsid w:val="3EEB3464"/>
    <w:rsid w:val="3EEB8F7E"/>
    <w:rsid w:val="3EEC966E"/>
    <w:rsid w:val="3EECCB77"/>
    <w:rsid w:val="3EECD839"/>
    <w:rsid w:val="3EED3E55"/>
    <w:rsid w:val="3EED455B"/>
    <w:rsid w:val="3EED9A97"/>
    <w:rsid w:val="3EEDB7C5"/>
    <w:rsid w:val="3EEE26FA"/>
    <w:rsid w:val="3EEE4082"/>
    <w:rsid w:val="3EEE4ED8"/>
    <w:rsid w:val="3EF17B8B"/>
    <w:rsid w:val="3EF1B104"/>
    <w:rsid w:val="3EF1CF85"/>
    <w:rsid w:val="3EF21896"/>
    <w:rsid w:val="3EF21DDE"/>
    <w:rsid w:val="3EF32E08"/>
    <w:rsid w:val="3EF3560F"/>
    <w:rsid w:val="3EF39AD0"/>
    <w:rsid w:val="3EF3EE11"/>
    <w:rsid w:val="3EF536AF"/>
    <w:rsid w:val="3EF53882"/>
    <w:rsid w:val="3EF5C2BC"/>
    <w:rsid w:val="3EF6901D"/>
    <w:rsid w:val="3EF70E99"/>
    <w:rsid w:val="3EF8439D"/>
    <w:rsid w:val="3EF8737C"/>
    <w:rsid w:val="3EF8AAC3"/>
    <w:rsid w:val="3EF8CDD3"/>
    <w:rsid w:val="3EF9C08E"/>
    <w:rsid w:val="3EFA3740"/>
    <w:rsid w:val="3EFA6C40"/>
    <w:rsid w:val="3EFB04A6"/>
    <w:rsid w:val="3EFB498D"/>
    <w:rsid w:val="3EFBB734"/>
    <w:rsid w:val="3EFD24CB"/>
    <w:rsid w:val="3EFDB56B"/>
    <w:rsid w:val="3EFE5176"/>
    <w:rsid w:val="3EFEF3B5"/>
    <w:rsid w:val="3EFF3367"/>
    <w:rsid w:val="3EFF7106"/>
    <w:rsid w:val="3F02144D"/>
    <w:rsid w:val="3F026DD6"/>
    <w:rsid w:val="3F028509"/>
    <w:rsid w:val="3F03528E"/>
    <w:rsid w:val="3F050AFA"/>
    <w:rsid w:val="3F05B1D5"/>
    <w:rsid w:val="3F062C73"/>
    <w:rsid w:val="3F074478"/>
    <w:rsid w:val="3F07AFB3"/>
    <w:rsid w:val="3F081454"/>
    <w:rsid w:val="3F0897FE"/>
    <w:rsid w:val="3F08FFC9"/>
    <w:rsid w:val="3F092848"/>
    <w:rsid w:val="3F094D9E"/>
    <w:rsid w:val="3F0A1CCA"/>
    <w:rsid w:val="3F0B9B5F"/>
    <w:rsid w:val="3F0BC45C"/>
    <w:rsid w:val="3F0C09BF"/>
    <w:rsid w:val="3F0D0124"/>
    <w:rsid w:val="3F0D05B1"/>
    <w:rsid w:val="3F0D6CDF"/>
    <w:rsid w:val="3F0E00F7"/>
    <w:rsid w:val="3F0E131A"/>
    <w:rsid w:val="3F0E4002"/>
    <w:rsid w:val="3F0EA243"/>
    <w:rsid w:val="3F0ED592"/>
    <w:rsid w:val="3F0F2F5B"/>
    <w:rsid w:val="3F0F7DD5"/>
    <w:rsid w:val="3F0FCCDC"/>
    <w:rsid w:val="3F0FFD25"/>
    <w:rsid w:val="3F108EE7"/>
    <w:rsid w:val="3F10B084"/>
    <w:rsid w:val="3F110A31"/>
    <w:rsid w:val="3F110FB9"/>
    <w:rsid w:val="3F11315C"/>
    <w:rsid w:val="3F1140E3"/>
    <w:rsid w:val="3F12657B"/>
    <w:rsid w:val="3F132343"/>
    <w:rsid w:val="3F145AD2"/>
    <w:rsid w:val="3F146CB2"/>
    <w:rsid w:val="3F148969"/>
    <w:rsid w:val="3F1591F8"/>
    <w:rsid w:val="3F15BE31"/>
    <w:rsid w:val="3F15BE88"/>
    <w:rsid w:val="3F15F74A"/>
    <w:rsid w:val="3F16DD76"/>
    <w:rsid w:val="3F17BCA2"/>
    <w:rsid w:val="3F17C186"/>
    <w:rsid w:val="3F194AB4"/>
    <w:rsid w:val="3F19CA77"/>
    <w:rsid w:val="3F1A3971"/>
    <w:rsid w:val="3F1A8AB9"/>
    <w:rsid w:val="3F1B4A4E"/>
    <w:rsid w:val="3F1B9272"/>
    <w:rsid w:val="3F1CA972"/>
    <w:rsid w:val="3F1D9596"/>
    <w:rsid w:val="3F1DF6E5"/>
    <w:rsid w:val="3F1EEC02"/>
    <w:rsid w:val="3F1F469A"/>
    <w:rsid w:val="3F200749"/>
    <w:rsid w:val="3F203F75"/>
    <w:rsid w:val="3F205E0E"/>
    <w:rsid w:val="3F21118D"/>
    <w:rsid w:val="3F212D02"/>
    <w:rsid w:val="3F21EDEB"/>
    <w:rsid w:val="3F222FD0"/>
    <w:rsid w:val="3F224100"/>
    <w:rsid w:val="3F235F17"/>
    <w:rsid w:val="3F2392F1"/>
    <w:rsid w:val="3F24A1AA"/>
    <w:rsid w:val="3F254DBF"/>
    <w:rsid w:val="3F26DF86"/>
    <w:rsid w:val="3F26F395"/>
    <w:rsid w:val="3F27FCB4"/>
    <w:rsid w:val="3F288BE1"/>
    <w:rsid w:val="3F2945B3"/>
    <w:rsid w:val="3F295CF4"/>
    <w:rsid w:val="3F29E789"/>
    <w:rsid w:val="3F2A06B4"/>
    <w:rsid w:val="3F2A0C5D"/>
    <w:rsid w:val="3F2AB195"/>
    <w:rsid w:val="3F2ACBEA"/>
    <w:rsid w:val="3F2AD160"/>
    <w:rsid w:val="3F2BF172"/>
    <w:rsid w:val="3F2CD4A1"/>
    <w:rsid w:val="3F2D3D2B"/>
    <w:rsid w:val="3F2E4F5E"/>
    <w:rsid w:val="3F2E7E52"/>
    <w:rsid w:val="3F2EDB65"/>
    <w:rsid w:val="3F2EE76A"/>
    <w:rsid w:val="3F2EF557"/>
    <w:rsid w:val="3F2F2152"/>
    <w:rsid w:val="3F2F23E6"/>
    <w:rsid w:val="3F2F3740"/>
    <w:rsid w:val="3F2F6D87"/>
    <w:rsid w:val="3F2FE077"/>
    <w:rsid w:val="3F305F03"/>
    <w:rsid w:val="3F30847C"/>
    <w:rsid w:val="3F310FDB"/>
    <w:rsid w:val="3F31A131"/>
    <w:rsid w:val="3F31D7B9"/>
    <w:rsid w:val="3F32698D"/>
    <w:rsid w:val="3F3299CC"/>
    <w:rsid w:val="3F331624"/>
    <w:rsid w:val="3F332582"/>
    <w:rsid w:val="3F34479C"/>
    <w:rsid w:val="3F3454D3"/>
    <w:rsid w:val="3F34DD21"/>
    <w:rsid w:val="3F35796C"/>
    <w:rsid w:val="3F3588FA"/>
    <w:rsid w:val="3F36909E"/>
    <w:rsid w:val="3F36A494"/>
    <w:rsid w:val="3F37539B"/>
    <w:rsid w:val="3F383C7A"/>
    <w:rsid w:val="3F383DDB"/>
    <w:rsid w:val="3F38420F"/>
    <w:rsid w:val="3F38AD1C"/>
    <w:rsid w:val="3F38E9A1"/>
    <w:rsid w:val="3F3BDE08"/>
    <w:rsid w:val="3F3CF3FD"/>
    <w:rsid w:val="3F3D837F"/>
    <w:rsid w:val="3F3DBA22"/>
    <w:rsid w:val="3F3DC423"/>
    <w:rsid w:val="3F3E1D37"/>
    <w:rsid w:val="3F3F21E8"/>
    <w:rsid w:val="3F3F29DC"/>
    <w:rsid w:val="3F40E74C"/>
    <w:rsid w:val="3F40F82C"/>
    <w:rsid w:val="3F4128CF"/>
    <w:rsid w:val="3F417FD1"/>
    <w:rsid w:val="3F4197EC"/>
    <w:rsid w:val="3F41B502"/>
    <w:rsid w:val="3F4212D6"/>
    <w:rsid w:val="3F427B05"/>
    <w:rsid w:val="3F42B6A7"/>
    <w:rsid w:val="3F43348A"/>
    <w:rsid w:val="3F43B031"/>
    <w:rsid w:val="3F4419C0"/>
    <w:rsid w:val="3F459665"/>
    <w:rsid w:val="3F45E890"/>
    <w:rsid w:val="3F462E78"/>
    <w:rsid w:val="3F464E34"/>
    <w:rsid w:val="3F467CC3"/>
    <w:rsid w:val="3F4723FA"/>
    <w:rsid w:val="3F47A4F3"/>
    <w:rsid w:val="3F48120C"/>
    <w:rsid w:val="3F493C2A"/>
    <w:rsid w:val="3F4977F4"/>
    <w:rsid w:val="3F497D83"/>
    <w:rsid w:val="3F4AA73F"/>
    <w:rsid w:val="3F4ADD2D"/>
    <w:rsid w:val="3F4B0C43"/>
    <w:rsid w:val="3F4B1190"/>
    <w:rsid w:val="3F4B63E5"/>
    <w:rsid w:val="3F4C00C1"/>
    <w:rsid w:val="3F4C737F"/>
    <w:rsid w:val="3F4C7A52"/>
    <w:rsid w:val="3F4CD47C"/>
    <w:rsid w:val="3F4CE637"/>
    <w:rsid w:val="3F4CF40B"/>
    <w:rsid w:val="3F4D7A74"/>
    <w:rsid w:val="3F4DA6E5"/>
    <w:rsid w:val="3F4E6F02"/>
    <w:rsid w:val="3F4FB188"/>
    <w:rsid w:val="3F4FBA41"/>
    <w:rsid w:val="3F4FCF00"/>
    <w:rsid w:val="3F4FFA41"/>
    <w:rsid w:val="3F5080D4"/>
    <w:rsid w:val="3F514B66"/>
    <w:rsid w:val="3F51983C"/>
    <w:rsid w:val="3F51AE47"/>
    <w:rsid w:val="3F51EA39"/>
    <w:rsid w:val="3F526BA5"/>
    <w:rsid w:val="3F52B6FE"/>
    <w:rsid w:val="3F540D40"/>
    <w:rsid w:val="3F5542D2"/>
    <w:rsid w:val="3F559EDC"/>
    <w:rsid w:val="3F55C3B6"/>
    <w:rsid w:val="3F563F78"/>
    <w:rsid w:val="3F568E4A"/>
    <w:rsid w:val="3F58D98F"/>
    <w:rsid w:val="3F590537"/>
    <w:rsid w:val="3F5A0099"/>
    <w:rsid w:val="3F5AC3C4"/>
    <w:rsid w:val="3F5BF8FC"/>
    <w:rsid w:val="3F5CB8F7"/>
    <w:rsid w:val="3F5D91E2"/>
    <w:rsid w:val="3F5DC3BA"/>
    <w:rsid w:val="3F5E8634"/>
    <w:rsid w:val="3F5FC85B"/>
    <w:rsid w:val="3F62ADB5"/>
    <w:rsid w:val="3F62C1A2"/>
    <w:rsid w:val="3F62E723"/>
    <w:rsid w:val="3F6463BB"/>
    <w:rsid w:val="3F646D6C"/>
    <w:rsid w:val="3F64C9E9"/>
    <w:rsid w:val="3F652F5E"/>
    <w:rsid w:val="3F66DFAD"/>
    <w:rsid w:val="3F66F19F"/>
    <w:rsid w:val="3F670525"/>
    <w:rsid w:val="3F67D18E"/>
    <w:rsid w:val="3F68009F"/>
    <w:rsid w:val="3F687F03"/>
    <w:rsid w:val="3F6899D9"/>
    <w:rsid w:val="3F693E04"/>
    <w:rsid w:val="3F697E03"/>
    <w:rsid w:val="3F69EB6C"/>
    <w:rsid w:val="3F6AF57D"/>
    <w:rsid w:val="3F6B1869"/>
    <w:rsid w:val="3F6B18BB"/>
    <w:rsid w:val="3F6B2BBB"/>
    <w:rsid w:val="3F6C14BB"/>
    <w:rsid w:val="3F6C316C"/>
    <w:rsid w:val="3F6CA266"/>
    <w:rsid w:val="3F6CA9A1"/>
    <w:rsid w:val="3F6DA7A5"/>
    <w:rsid w:val="3F6DD875"/>
    <w:rsid w:val="3F6E519E"/>
    <w:rsid w:val="3F6EB979"/>
    <w:rsid w:val="3F6F7D30"/>
    <w:rsid w:val="3F6F7FE0"/>
    <w:rsid w:val="3F6FDDB9"/>
    <w:rsid w:val="3F70551A"/>
    <w:rsid w:val="3F70D4D9"/>
    <w:rsid w:val="3F7382D3"/>
    <w:rsid w:val="3F7401ED"/>
    <w:rsid w:val="3F76C035"/>
    <w:rsid w:val="3F77B479"/>
    <w:rsid w:val="3F788333"/>
    <w:rsid w:val="3F78A2A1"/>
    <w:rsid w:val="3F78EEF8"/>
    <w:rsid w:val="3F796A1C"/>
    <w:rsid w:val="3F799023"/>
    <w:rsid w:val="3F799FA4"/>
    <w:rsid w:val="3F79E3AA"/>
    <w:rsid w:val="3F7A5ACA"/>
    <w:rsid w:val="3F7B8A3F"/>
    <w:rsid w:val="3F7C5D06"/>
    <w:rsid w:val="3F7D317A"/>
    <w:rsid w:val="3F7DAF5C"/>
    <w:rsid w:val="3F7F145A"/>
    <w:rsid w:val="3F7F757A"/>
    <w:rsid w:val="3F808D99"/>
    <w:rsid w:val="3F80C68B"/>
    <w:rsid w:val="3F80E4C5"/>
    <w:rsid w:val="3F8116F3"/>
    <w:rsid w:val="3F813922"/>
    <w:rsid w:val="3F81B5D0"/>
    <w:rsid w:val="3F81D51B"/>
    <w:rsid w:val="3F847359"/>
    <w:rsid w:val="3F84BAA2"/>
    <w:rsid w:val="3F8594B9"/>
    <w:rsid w:val="3F8745AE"/>
    <w:rsid w:val="3F8849D3"/>
    <w:rsid w:val="3F887AE8"/>
    <w:rsid w:val="3F88D6DD"/>
    <w:rsid w:val="3F891E6D"/>
    <w:rsid w:val="3F8B1FDB"/>
    <w:rsid w:val="3F8B9615"/>
    <w:rsid w:val="3F8CBD9E"/>
    <w:rsid w:val="3F8D6946"/>
    <w:rsid w:val="3F8EB0D2"/>
    <w:rsid w:val="3F8F529E"/>
    <w:rsid w:val="3F90F3EB"/>
    <w:rsid w:val="3F91A19D"/>
    <w:rsid w:val="3F92211E"/>
    <w:rsid w:val="3F925C9A"/>
    <w:rsid w:val="3F927A50"/>
    <w:rsid w:val="3F92831B"/>
    <w:rsid w:val="3F92A69F"/>
    <w:rsid w:val="3F946A26"/>
    <w:rsid w:val="3F948710"/>
    <w:rsid w:val="3F94DE54"/>
    <w:rsid w:val="3F9573F4"/>
    <w:rsid w:val="3F957D70"/>
    <w:rsid w:val="3F9590DD"/>
    <w:rsid w:val="3F95C36E"/>
    <w:rsid w:val="3F976004"/>
    <w:rsid w:val="3F97B51C"/>
    <w:rsid w:val="3F97E289"/>
    <w:rsid w:val="3F98F559"/>
    <w:rsid w:val="3F998809"/>
    <w:rsid w:val="3F99EEB1"/>
    <w:rsid w:val="3F9AAB58"/>
    <w:rsid w:val="3F9AF06A"/>
    <w:rsid w:val="3F9BE0D0"/>
    <w:rsid w:val="3F9BFEC3"/>
    <w:rsid w:val="3F9C01BE"/>
    <w:rsid w:val="3F9D68EF"/>
    <w:rsid w:val="3F9DBD0E"/>
    <w:rsid w:val="3F9E1021"/>
    <w:rsid w:val="3F9EC765"/>
    <w:rsid w:val="3F9EC912"/>
    <w:rsid w:val="3F9FE184"/>
    <w:rsid w:val="3FA059DD"/>
    <w:rsid w:val="3FA067BF"/>
    <w:rsid w:val="3FA0F32B"/>
    <w:rsid w:val="3FA0FD73"/>
    <w:rsid w:val="3FA13463"/>
    <w:rsid w:val="3FA1E756"/>
    <w:rsid w:val="3FA2685F"/>
    <w:rsid w:val="3FA272C6"/>
    <w:rsid w:val="3FA2ECA5"/>
    <w:rsid w:val="3FA36731"/>
    <w:rsid w:val="3FA36BE3"/>
    <w:rsid w:val="3FA37054"/>
    <w:rsid w:val="3FA38E1A"/>
    <w:rsid w:val="3FA3B645"/>
    <w:rsid w:val="3FA3ECC6"/>
    <w:rsid w:val="3FA3F16C"/>
    <w:rsid w:val="3FA41375"/>
    <w:rsid w:val="3FA475E4"/>
    <w:rsid w:val="3FA4830D"/>
    <w:rsid w:val="3FA51A90"/>
    <w:rsid w:val="3FA578A6"/>
    <w:rsid w:val="3FA58025"/>
    <w:rsid w:val="3FA5D959"/>
    <w:rsid w:val="3FA63622"/>
    <w:rsid w:val="3FA6673C"/>
    <w:rsid w:val="3FA6C20D"/>
    <w:rsid w:val="3FA73D4C"/>
    <w:rsid w:val="3FA74A06"/>
    <w:rsid w:val="3FA7F41B"/>
    <w:rsid w:val="3FA88782"/>
    <w:rsid w:val="3FA8C8E6"/>
    <w:rsid w:val="3FA8E638"/>
    <w:rsid w:val="3FA9BED5"/>
    <w:rsid w:val="3FAB2F8A"/>
    <w:rsid w:val="3FAB3971"/>
    <w:rsid w:val="3FAC2267"/>
    <w:rsid w:val="3FAC520D"/>
    <w:rsid w:val="3FAC72CD"/>
    <w:rsid w:val="3FACAC24"/>
    <w:rsid w:val="3FAD6AD4"/>
    <w:rsid w:val="3FADC353"/>
    <w:rsid w:val="3FAE0634"/>
    <w:rsid w:val="3FAE5E37"/>
    <w:rsid w:val="3FAEDBEF"/>
    <w:rsid w:val="3FAFC1C6"/>
    <w:rsid w:val="3FB04C78"/>
    <w:rsid w:val="3FB06B94"/>
    <w:rsid w:val="3FB1BD01"/>
    <w:rsid w:val="3FB1F026"/>
    <w:rsid w:val="3FB23DD6"/>
    <w:rsid w:val="3FB3A1CC"/>
    <w:rsid w:val="3FB4164D"/>
    <w:rsid w:val="3FB43936"/>
    <w:rsid w:val="3FB4A2EA"/>
    <w:rsid w:val="3FB50225"/>
    <w:rsid w:val="3FB6C9E6"/>
    <w:rsid w:val="3FB70EE0"/>
    <w:rsid w:val="3FB715F2"/>
    <w:rsid w:val="3FB8218A"/>
    <w:rsid w:val="3FB835DC"/>
    <w:rsid w:val="3FB89114"/>
    <w:rsid w:val="3FB8B171"/>
    <w:rsid w:val="3FB8E790"/>
    <w:rsid w:val="3FBABD93"/>
    <w:rsid w:val="3FBB5A6C"/>
    <w:rsid w:val="3FBB652D"/>
    <w:rsid w:val="3FBBAE67"/>
    <w:rsid w:val="3FBBBA9C"/>
    <w:rsid w:val="3FBC8AFC"/>
    <w:rsid w:val="3FBD552D"/>
    <w:rsid w:val="3FBD96CF"/>
    <w:rsid w:val="3FBE115C"/>
    <w:rsid w:val="3FBE6AA0"/>
    <w:rsid w:val="3FBF4C2E"/>
    <w:rsid w:val="3FBF84A3"/>
    <w:rsid w:val="3FBFA42B"/>
    <w:rsid w:val="3FC0837F"/>
    <w:rsid w:val="3FC139D7"/>
    <w:rsid w:val="3FC256FD"/>
    <w:rsid w:val="3FC2740C"/>
    <w:rsid w:val="3FC3192F"/>
    <w:rsid w:val="3FC39036"/>
    <w:rsid w:val="3FC4F650"/>
    <w:rsid w:val="3FC568DF"/>
    <w:rsid w:val="3FC6C2C1"/>
    <w:rsid w:val="3FC7429B"/>
    <w:rsid w:val="3FC8122F"/>
    <w:rsid w:val="3FC84064"/>
    <w:rsid w:val="3FC9A9DE"/>
    <w:rsid w:val="3FCB67E8"/>
    <w:rsid w:val="3FCBE72F"/>
    <w:rsid w:val="3FCBEF75"/>
    <w:rsid w:val="3FCC40E6"/>
    <w:rsid w:val="3FCC70F7"/>
    <w:rsid w:val="3FCC7A63"/>
    <w:rsid w:val="3FCCBDF7"/>
    <w:rsid w:val="3FCCEB16"/>
    <w:rsid w:val="3FCD1401"/>
    <w:rsid w:val="3FCD532A"/>
    <w:rsid w:val="3FCE3560"/>
    <w:rsid w:val="3FCE511B"/>
    <w:rsid w:val="3FCE79F1"/>
    <w:rsid w:val="3FCFEEE0"/>
    <w:rsid w:val="3FD14800"/>
    <w:rsid w:val="3FD1E31B"/>
    <w:rsid w:val="3FD22BE3"/>
    <w:rsid w:val="3FD342CA"/>
    <w:rsid w:val="3FD399B6"/>
    <w:rsid w:val="3FD49429"/>
    <w:rsid w:val="3FD513AC"/>
    <w:rsid w:val="3FD5A59A"/>
    <w:rsid w:val="3FD70CAB"/>
    <w:rsid w:val="3FD90DA0"/>
    <w:rsid w:val="3FDA0139"/>
    <w:rsid w:val="3FDA77C1"/>
    <w:rsid w:val="3FDB6E31"/>
    <w:rsid w:val="3FDB7AAB"/>
    <w:rsid w:val="3FDB8F0D"/>
    <w:rsid w:val="3FDBC93A"/>
    <w:rsid w:val="3FDC1FB7"/>
    <w:rsid w:val="3FDCA690"/>
    <w:rsid w:val="3FDCEEBD"/>
    <w:rsid w:val="3FDDE08D"/>
    <w:rsid w:val="3FE042BD"/>
    <w:rsid w:val="3FE0868A"/>
    <w:rsid w:val="3FE16E49"/>
    <w:rsid w:val="3FE18B99"/>
    <w:rsid w:val="3FE1B048"/>
    <w:rsid w:val="3FE217CA"/>
    <w:rsid w:val="3FE4096A"/>
    <w:rsid w:val="3FE492CC"/>
    <w:rsid w:val="3FE56B80"/>
    <w:rsid w:val="3FE6F75D"/>
    <w:rsid w:val="3FE7CE12"/>
    <w:rsid w:val="3FE7DAE2"/>
    <w:rsid w:val="3FE84BB2"/>
    <w:rsid w:val="3FE95097"/>
    <w:rsid w:val="3FE9559C"/>
    <w:rsid w:val="3FE9C8C8"/>
    <w:rsid w:val="3FEA4535"/>
    <w:rsid w:val="3FEA4E91"/>
    <w:rsid w:val="3FEA4ED7"/>
    <w:rsid w:val="3FEC8D2C"/>
    <w:rsid w:val="3FED2B80"/>
    <w:rsid w:val="3FED2D62"/>
    <w:rsid w:val="3FED4586"/>
    <w:rsid w:val="3FED47DE"/>
    <w:rsid w:val="3FED48B1"/>
    <w:rsid w:val="3FED6BDE"/>
    <w:rsid w:val="3FEDDEF6"/>
    <w:rsid w:val="3FEE9059"/>
    <w:rsid w:val="3FEF0C80"/>
    <w:rsid w:val="3FEF31BE"/>
    <w:rsid w:val="3FEFA739"/>
    <w:rsid w:val="3FEFFACB"/>
    <w:rsid w:val="3FF043C4"/>
    <w:rsid w:val="3FF0B990"/>
    <w:rsid w:val="3FF103F3"/>
    <w:rsid w:val="3FF11062"/>
    <w:rsid w:val="3FF159F0"/>
    <w:rsid w:val="3FF2065E"/>
    <w:rsid w:val="3FF214F7"/>
    <w:rsid w:val="3FF22991"/>
    <w:rsid w:val="3FF24CC4"/>
    <w:rsid w:val="3FF26ED0"/>
    <w:rsid w:val="3FF28BED"/>
    <w:rsid w:val="3FF2B809"/>
    <w:rsid w:val="3FF2CDA8"/>
    <w:rsid w:val="3FF3FEA5"/>
    <w:rsid w:val="3FF44752"/>
    <w:rsid w:val="3FF4F2C3"/>
    <w:rsid w:val="3FF588BC"/>
    <w:rsid w:val="3FF5E8A6"/>
    <w:rsid w:val="3FF6338C"/>
    <w:rsid w:val="3FF65184"/>
    <w:rsid w:val="3FF6AF4C"/>
    <w:rsid w:val="3FF71845"/>
    <w:rsid w:val="3FF8636B"/>
    <w:rsid w:val="3FF87931"/>
    <w:rsid w:val="3FF8E84A"/>
    <w:rsid w:val="3FF98FB5"/>
    <w:rsid w:val="3FF9A419"/>
    <w:rsid w:val="3FFA4E88"/>
    <w:rsid w:val="3FFA649B"/>
    <w:rsid w:val="3FFAA761"/>
    <w:rsid w:val="3FFAD69C"/>
    <w:rsid w:val="3FFC58E5"/>
    <w:rsid w:val="3FFD6DC8"/>
    <w:rsid w:val="3FFDB262"/>
    <w:rsid w:val="3FFE9BF0"/>
    <w:rsid w:val="3FFEC5CB"/>
    <w:rsid w:val="3FFFBD74"/>
    <w:rsid w:val="3FFFDDF1"/>
    <w:rsid w:val="4000EC93"/>
    <w:rsid w:val="40010B86"/>
    <w:rsid w:val="4001DDA8"/>
    <w:rsid w:val="4002701F"/>
    <w:rsid w:val="4002915D"/>
    <w:rsid w:val="4002E685"/>
    <w:rsid w:val="40034D69"/>
    <w:rsid w:val="4003CB23"/>
    <w:rsid w:val="4003CDE9"/>
    <w:rsid w:val="4003F771"/>
    <w:rsid w:val="4004383F"/>
    <w:rsid w:val="40053F6B"/>
    <w:rsid w:val="40061B4E"/>
    <w:rsid w:val="40070678"/>
    <w:rsid w:val="4007409C"/>
    <w:rsid w:val="4007BBCA"/>
    <w:rsid w:val="4007C3BB"/>
    <w:rsid w:val="4008130A"/>
    <w:rsid w:val="4008E92C"/>
    <w:rsid w:val="4008F32C"/>
    <w:rsid w:val="4008FB57"/>
    <w:rsid w:val="40096CD1"/>
    <w:rsid w:val="4009BA27"/>
    <w:rsid w:val="400A0132"/>
    <w:rsid w:val="400A3A54"/>
    <w:rsid w:val="400B87E2"/>
    <w:rsid w:val="400C0495"/>
    <w:rsid w:val="400C2170"/>
    <w:rsid w:val="400C2865"/>
    <w:rsid w:val="400CE1D7"/>
    <w:rsid w:val="400E0B45"/>
    <w:rsid w:val="400E3719"/>
    <w:rsid w:val="400E97E2"/>
    <w:rsid w:val="400EA81D"/>
    <w:rsid w:val="400F13BC"/>
    <w:rsid w:val="40120547"/>
    <w:rsid w:val="4012A7F9"/>
    <w:rsid w:val="401300D5"/>
    <w:rsid w:val="4013BC85"/>
    <w:rsid w:val="4013C871"/>
    <w:rsid w:val="40141227"/>
    <w:rsid w:val="40142861"/>
    <w:rsid w:val="4014BCAF"/>
    <w:rsid w:val="4015AC22"/>
    <w:rsid w:val="401600A4"/>
    <w:rsid w:val="4016753C"/>
    <w:rsid w:val="40170C60"/>
    <w:rsid w:val="40176EB0"/>
    <w:rsid w:val="4017D948"/>
    <w:rsid w:val="4018DB56"/>
    <w:rsid w:val="4018F34A"/>
    <w:rsid w:val="401924E4"/>
    <w:rsid w:val="40195A8C"/>
    <w:rsid w:val="401974FD"/>
    <w:rsid w:val="401979FE"/>
    <w:rsid w:val="401A02A5"/>
    <w:rsid w:val="401B573B"/>
    <w:rsid w:val="401BAD22"/>
    <w:rsid w:val="401BC436"/>
    <w:rsid w:val="401BED9E"/>
    <w:rsid w:val="401C6078"/>
    <w:rsid w:val="401CC8F4"/>
    <w:rsid w:val="401CF306"/>
    <w:rsid w:val="401DCC77"/>
    <w:rsid w:val="401F07DB"/>
    <w:rsid w:val="401F1A52"/>
    <w:rsid w:val="401F6CFC"/>
    <w:rsid w:val="401FF24A"/>
    <w:rsid w:val="4020CF32"/>
    <w:rsid w:val="40210E73"/>
    <w:rsid w:val="4021BF65"/>
    <w:rsid w:val="4021EACB"/>
    <w:rsid w:val="40222C7C"/>
    <w:rsid w:val="402248C7"/>
    <w:rsid w:val="4023032F"/>
    <w:rsid w:val="402348BA"/>
    <w:rsid w:val="40234BC3"/>
    <w:rsid w:val="40235858"/>
    <w:rsid w:val="4023637D"/>
    <w:rsid w:val="4023B10F"/>
    <w:rsid w:val="4023B554"/>
    <w:rsid w:val="4023E38B"/>
    <w:rsid w:val="40242241"/>
    <w:rsid w:val="4024A417"/>
    <w:rsid w:val="4024EEE8"/>
    <w:rsid w:val="40251B77"/>
    <w:rsid w:val="40259308"/>
    <w:rsid w:val="4026023D"/>
    <w:rsid w:val="40267533"/>
    <w:rsid w:val="402728B0"/>
    <w:rsid w:val="40273A17"/>
    <w:rsid w:val="40283A08"/>
    <w:rsid w:val="4028A3AE"/>
    <w:rsid w:val="40298F35"/>
    <w:rsid w:val="402A82E1"/>
    <w:rsid w:val="402AB9A7"/>
    <w:rsid w:val="402AE104"/>
    <w:rsid w:val="402B8EE8"/>
    <w:rsid w:val="402C0B26"/>
    <w:rsid w:val="402CA7DB"/>
    <w:rsid w:val="402CDA07"/>
    <w:rsid w:val="402D6D70"/>
    <w:rsid w:val="402DCFF6"/>
    <w:rsid w:val="402E8B0F"/>
    <w:rsid w:val="402E8E24"/>
    <w:rsid w:val="402E9A00"/>
    <w:rsid w:val="402F4A0F"/>
    <w:rsid w:val="402FBCC5"/>
    <w:rsid w:val="40300FFF"/>
    <w:rsid w:val="4030368F"/>
    <w:rsid w:val="4030EC02"/>
    <w:rsid w:val="40313558"/>
    <w:rsid w:val="4031B94B"/>
    <w:rsid w:val="4031DDF3"/>
    <w:rsid w:val="4031F93C"/>
    <w:rsid w:val="40326EF8"/>
    <w:rsid w:val="403356C0"/>
    <w:rsid w:val="40342375"/>
    <w:rsid w:val="4034992D"/>
    <w:rsid w:val="4034A9CB"/>
    <w:rsid w:val="4034DF0B"/>
    <w:rsid w:val="403523CE"/>
    <w:rsid w:val="40353ECE"/>
    <w:rsid w:val="40366D44"/>
    <w:rsid w:val="4036751A"/>
    <w:rsid w:val="4036C4F2"/>
    <w:rsid w:val="4036E8D9"/>
    <w:rsid w:val="40372BFE"/>
    <w:rsid w:val="40373131"/>
    <w:rsid w:val="40373641"/>
    <w:rsid w:val="4037A67B"/>
    <w:rsid w:val="40388EFD"/>
    <w:rsid w:val="4038A198"/>
    <w:rsid w:val="40396C8F"/>
    <w:rsid w:val="40397937"/>
    <w:rsid w:val="403A389A"/>
    <w:rsid w:val="403A9D87"/>
    <w:rsid w:val="403AB3C8"/>
    <w:rsid w:val="403B8975"/>
    <w:rsid w:val="403C206D"/>
    <w:rsid w:val="403C5DBD"/>
    <w:rsid w:val="403CBA02"/>
    <w:rsid w:val="403CBA86"/>
    <w:rsid w:val="403CF099"/>
    <w:rsid w:val="403D360F"/>
    <w:rsid w:val="403E839D"/>
    <w:rsid w:val="403EFE1C"/>
    <w:rsid w:val="403F2A42"/>
    <w:rsid w:val="403F4A3C"/>
    <w:rsid w:val="404136E4"/>
    <w:rsid w:val="4041625C"/>
    <w:rsid w:val="40418CAC"/>
    <w:rsid w:val="40420B7F"/>
    <w:rsid w:val="40423D9F"/>
    <w:rsid w:val="40428709"/>
    <w:rsid w:val="40428B29"/>
    <w:rsid w:val="4042CC6A"/>
    <w:rsid w:val="40435CE0"/>
    <w:rsid w:val="404389E9"/>
    <w:rsid w:val="4043B0F8"/>
    <w:rsid w:val="40440EEF"/>
    <w:rsid w:val="404415A9"/>
    <w:rsid w:val="40441B31"/>
    <w:rsid w:val="40441DCF"/>
    <w:rsid w:val="40446A4C"/>
    <w:rsid w:val="40448587"/>
    <w:rsid w:val="40453303"/>
    <w:rsid w:val="40453A69"/>
    <w:rsid w:val="40455679"/>
    <w:rsid w:val="4045A861"/>
    <w:rsid w:val="40460575"/>
    <w:rsid w:val="4046245C"/>
    <w:rsid w:val="404642CE"/>
    <w:rsid w:val="40467804"/>
    <w:rsid w:val="4046871F"/>
    <w:rsid w:val="40469D7E"/>
    <w:rsid w:val="404726DE"/>
    <w:rsid w:val="40476F1E"/>
    <w:rsid w:val="4047825F"/>
    <w:rsid w:val="40479543"/>
    <w:rsid w:val="40485862"/>
    <w:rsid w:val="4048EF81"/>
    <w:rsid w:val="404915FD"/>
    <w:rsid w:val="40498CB4"/>
    <w:rsid w:val="404B36DF"/>
    <w:rsid w:val="404C936C"/>
    <w:rsid w:val="404D73F1"/>
    <w:rsid w:val="404DDA28"/>
    <w:rsid w:val="404E1B28"/>
    <w:rsid w:val="404ECB3A"/>
    <w:rsid w:val="404F21E1"/>
    <w:rsid w:val="404F7335"/>
    <w:rsid w:val="404F7D66"/>
    <w:rsid w:val="404F955C"/>
    <w:rsid w:val="404FD7C9"/>
    <w:rsid w:val="404FFCB0"/>
    <w:rsid w:val="4050B6EC"/>
    <w:rsid w:val="4052D387"/>
    <w:rsid w:val="4052DEDF"/>
    <w:rsid w:val="4052EDFE"/>
    <w:rsid w:val="4053B5DA"/>
    <w:rsid w:val="40543A9D"/>
    <w:rsid w:val="4055B3B2"/>
    <w:rsid w:val="4055E448"/>
    <w:rsid w:val="4056A1AE"/>
    <w:rsid w:val="4057131D"/>
    <w:rsid w:val="4057DCF5"/>
    <w:rsid w:val="405A5690"/>
    <w:rsid w:val="405B1D98"/>
    <w:rsid w:val="405D359E"/>
    <w:rsid w:val="405D90EC"/>
    <w:rsid w:val="405E6CFC"/>
    <w:rsid w:val="405ED1C7"/>
    <w:rsid w:val="405EDEBD"/>
    <w:rsid w:val="405EDF03"/>
    <w:rsid w:val="405FB1EE"/>
    <w:rsid w:val="405FD743"/>
    <w:rsid w:val="405FE887"/>
    <w:rsid w:val="40600553"/>
    <w:rsid w:val="40603944"/>
    <w:rsid w:val="406100FB"/>
    <w:rsid w:val="40610A32"/>
    <w:rsid w:val="40615064"/>
    <w:rsid w:val="406175CE"/>
    <w:rsid w:val="4061C697"/>
    <w:rsid w:val="40626A00"/>
    <w:rsid w:val="40627A7D"/>
    <w:rsid w:val="4062CB2B"/>
    <w:rsid w:val="40632AE5"/>
    <w:rsid w:val="406362CE"/>
    <w:rsid w:val="4063B9AF"/>
    <w:rsid w:val="40655993"/>
    <w:rsid w:val="406592E3"/>
    <w:rsid w:val="4065D17C"/>
    <w:rsid w:val="4065DD0E"/>
    <w:rsid w:val="4065DF16"/>
    <w:rsid w:val="4065E4F6"/>
    <w:rsid w:val="40666AD2"/>
    <w:rsid w:val="40675EB7"/>
    <w:rsid w:val="4067D940"/>
    <w:rsid w:val="4067EF2E"/>
    <w:rsid w:val="40685797"/>
    <w:rsid w:val="406924F0"/>
    <w:rsid w:val="40695E2E"/>
    <w:rsid w:val="4069765A"/>
    <w:rsid w:val="4069CDEA"/>
    <w:rsid w:val="406A8BE6"/>
    <w:rsid w:val="406B23F4"/>
    <w:rsid w:val="406B2F5C"/>
    <w:rsid w:val="406B4086"/>
    <w:rsid w:val="406B9294"/>
    <w:rsid w:val="406BD176"/>
    <w:rsid w:val="406BFB0F"/>
    <w:rsid w:val="406CB666"/>
    <w:rsid w:val="406D0441"/>
    <w:rsid w:val="406DD300"/>
    <w:rsid w:val="406E1D45"/>
    <w:rsid w:val="406E36FF"/>
    <w:rsid w:val="406E4C4D"/>
    <w:rsid w:val="406F7AC8"/>
    <w:rsid w:val="406FA2D7"/>
    <w:rsid w:val="406FE7C8"/>
    <w:rsid w:val="40703B40"/>
    <w:rsid w:val="4071998D"/>
    <w:rsid w:val="407205FC"/>
    <w:rsid w:val="40734402"/>
    <w:rsid w:val="40738FEE"/>
    <w:rsid w:val="40740FD6"/>
    <w:rsid w:val="40742EEC"/>
    <w:rsid w:val="407493D8"/>
    <w:rsid w:val="4075EE1F"/>
    <w:rsid w:val="407610DC"/>
    <w:rsid w:val="407618F8"/>
    <w:rsid w:val="407839E6"/>
    <w:rsid w:val="40783C36"/>
    <w:rsid w:val="40788098"/>
    <w:rsid w:val="40789101"/>
    <w:rsid w:val="4079EFE8"/>
    <w:rsid w:val="407AB3FF"/>
    <w:rsid w:val="407AFB11"/>
    <w:rsid w:val="407B2954"/>
    <w:rsid w:val="407B43B9"/>
    <w:rsid w:val="407B848B"/>
    <w:rsid w:val="407B8E93"/>
    <w:rsid w:val="407BEFEE"/>
    <w:rsid w:val="407CDF06"/>
    <w:rsid w:val="407CE65D"/>
    <w:rsid w:val="407D08E2"/>
    <w:rsid w:val="407DBC48"/>
    <w:rsid w:val="407DDE95"/>
    <w:rsid w:val="407DED85"/>
    <w:rsid w:val="407E0359"/>
    <w:rsid w:val="407EA1E8"/>
    <w:rsid w:val="407F9CE4"/>
    <w:rsid w:val="40815232"/>
    <w:rsid w:val="408183E6"/>
    <w:rsid w:val="4081BFB9"/>
    <w:rsid w:val="4082059A"/>
    <w:rsid w:val="40826F0B"/>
    <w:rsid w:val="4082DD99"/>
    <w:rsid w:val="4083523A"/>
    <w:rsid w:val="4083632D"/>
    <w:rsid w:val="4083CB82"/>
    <w:rsid w:val="40842122"/>
    <w:rsid w:val="408476E3"/>
    <w:rsid w:val="40865FD8"/>
    <w:rsid w:val="40868D55"/>
    <w:rsid w:val="4086E607"/>
    <w:rsid w:val="40877D6C"/>
    <w:rsid w:val="4087E7DA"/>
    <w:rsid w:val="40885B93"/>
    <w:rsid w:val="4088D8BE"/>
    <w:rsid w:val="40898D6B"/>
    <w:rsid w:val="408A0545"/>
    <w:rsid w:val="408A5381"/>
    <w:rsid w:val="408A896E"/>
    <w:rsid w:val="408AA5B6"/>
    <w:rsid w:val="408B77EE"/>
    <w:rsid w:val="408B9992"/>
    <w:rsid w:val="408C16A7"/>
    <w:rsid w:val="408C1A5B"/>
    <w:rsid w:val="408C335E"/>
    <w:rsid w:val="408CD0E7"/>
    <w:rsid w:val="408CDF5D"/>
    <w:rsid w:val="408D62D6"/>
    <w:rsid w:val="408D809E"/>
    <w:rsid w:val="408DD5C6"/>
    <w:rsid w:val="408E90A3"/>
    <w:rsid w:val="408EF14E"/>
    <w:rsid w:val="408F4DB0"/>
    <w:rsid w:val="40907054"/>
    <w:rsid w:val="4090A5A4"/>
    <w:rsid w:val="40911904"/>
    <w:rsid w:val="40916D8A"/>
    <w:rsid w:val="40919568"/>
    <w:rsid w:val="40919FF2"/>
    <w:rsid w:val="40922930"/>
    <w:rsid w:val="40926CFD"/>
    <w:rsid w:val="409272AB"/>
    <w:rsid w:val="4092B2F9"/>
    <w:rsid w:val="409392BC"/>
    <w:rsid w:val="4093E5CA"/>
    <w:rsid w:val="40940198"/>
    <w:rsid w:val="40942E6A"/>
    <w:rsid w:val="409440A3"/>
    <w:rsid w:val="4094A228"/>
    <w:rsid w:val="4094A744"/>
    <w:rsid w:val="4094FCDD"/>
    <w:rsid w:val="40950683"/>
    <w:rsid w:val="40968238"/>
    <w:rsid w:val="4096F267"/>
    <w:rsid w:val="40973C35"/>
    <w:rsid w:val="4097436E"/>
    <w:rsid w:val="40978806"/>
    <w:rsid w:val="409836F5"/>
    <w:rsid w:val="40985FC0"/>
    <w:rsid w:val="40987BF9"/>
    <w:rsid w:val="4098EE64"/>
    <w:rsid w:val="4099C82D"/>
    <w:rsid w:val="409ADB1C"/>
    <w:rsid w:val="409B4AD0"/>
    <w:rsid w:val="409B4EC0"/>
    <w:rsid w:val="409B9383"/>
    <w:rsid w:val="409BE441"/>
    <w:rsid w:val="409D88D6"/>
    <w:rsid w:val="409D9051"/>
    <w:rsid w:val="409E4D28"/>
    <w:rsid w:val="409E7BF0"/>
    <w:rsid w:val="409ED563"/>
    <w:rsid w:val="409F6DDC"/>
    <w:rsid w:val="409F72FF"/>
    <w:rsid w:val="409FA5D2"/>
    <w:rsid w:val="409FD34E"/>
    <w:rsid w:val="40A115C0"/>
    <w:rsid w:val="40A19A91"/>
    <w:rsid w:val="40A1AD99"/>
    <w:rsid w:val="40A1C292"/>
    <w:rsid w:val="40A28868"/>
    <w:rsid w:val="40A33F53"/>
    <w:rsid w:val="40A351CF"/>
    <w:rsid w:val="40A4C911"/>
    <w:rsid w:val="40A60ED7"/>
    <w:rsid w:val="40A6D581"/>
    <w:rsid w:val="40A72BAD"/>
    <w:rsid w:val="40A746A0"/>
    <w:rsid w:val="40A74901"/>
    <w:rsid w:val="40A798D6"/>
    <w:rsid w:val="40A8216C"/>
    <w:rsid w:val="40A85478"/>
    <w:rsid w:val="40A8CED0"/>
    <w:rsid w:val="40AA17B2"/>
    <w:rsid w:val="40AA1EDF"/>
    <w:rsid w:val="40AA7AC5"/>
    <w:rsid w:val="40ABBC94"/>
    <w:rsid w:val="40AC166F"/>
    <w:rsid w:val="40AC3BAA"/>
    <w:rsid w:val="40ACAB09"/>
    <w:rsid w:val="40AD044F"/>
    <w:rsid w:val="40AE963E"/>
    <w:rsid w:val="40AF5B9F"/>
    <w:rsid w:val="40AF7913"/>
    <w:rsid w:val="40AFC431"/>
    <w:rsid w:val="40AFE971"/>
    <w:rsid w:val="40B03D71"/>
    <w:rsid w:val="40B0DE63"/>
    <w:rsid w:val="40B0FB36"/>
    <w:rsid w:val="40B1697B"/>
    <w:rsid w:val="40B1EB28"/>
    <w:rsid w:val="40B224E4"/>
    <w:rsid w:val="40B23D6C"/>
    <w:rsid w:val="40B26051"/>
    <w:rsid w:val="40B2632A"/>
    <w:rsid w:val="40B2B6ED"/>
    <w:rsid w:val="40B350B5"/>
    <w:rsid w:val="40B38784"/>
    <w:rsid w:val="40B562C8"/>
    <w:rsid w:val="40B69FDF"/>
    <w:rsid w:val="40B8398C"/>
    <w:rsid w:val="40B83F1C"/>
    <w:rsid w:val="40B86473"/>
    <w:rsid w:val="40B8A853"/>
    <w:rsid w:val="40B97EE7"/>
    <w:rsid w:val="40B9A11E"/>
    <w:rsid w:val="40B9CD30"/>
    <w:rsid w:val="40BB513B"/>
    <w:rsid w:val="40BB7718"/>
    <w:rsid w:val="40BB813F"/>
    <w:rsid w:val="40BB888F"/>
    <w:rsid w:val="40BE5181"/>
    <w:rsid w:val="40BE907E"/>
    <w:rsid w:val="40BEF077"/>
    <w:rsid w:val="40BF0993"/>
    <w:rsid w:val="40BF0DC4"/>
    <w:rsid w:val="40BF6352"/>
    <w:rsid w:val="40C04DD6"/>
    <w:rsid w:val="40C1C1D2"/>
    <w:rsid w:val="40C1E0BA"/>
    <w:rsid w:val="40C1FE3E"/>
    <w:rsid w:val="40C2215E"/>
    <w:rsid w:val="40C2A949"/>
    <w:rsid w:val="40C37C08"/>
    <w:rsid w:val="40C38A76"/>
    <w:rsid w:val="40C3A51C"/>
    <w:rsid w:val="40C42A28"/>
    <w:rsid w:val="40C4A6E0"/>
    <w:rsid w:val="40C4D659"/>
    <w:rsid w:val="40C4E312"/>
    <w:rsid w:val="40C53432"/>
    <w:rsid w:val="40C5383B"/>
    <w:rsid w:val="40C5B125"/>
    <w:rsid w:val="40C5FB77"/>
    <w:rsid w:val="40C66DF3"/>
    <w:rsid w:val="40C6B41F"/>
    <w:rsid w:val="40C71BCA"/>
    <w:rsid w:val="40C71D64"/>
    <w:rsid w:val="40C81046"/>
    <w:rsid w:val="40C8719A"/>
    <w:rsid w:val="40C936CA"/>
    <w:rsid w:val="40CA23F8"/>
    <w:rsid w:val="40CB30B9"/>
    <w:rsid w:val="40CBABD5"/>
    <w:rsid w:val="40CC43C5"/>
    <w:rsid w:val="40CC6B64"/>
    <w:rsid w:val="40CCCD35"/>
    <w:rsid w:val="40CCD443"/>
    <w:rsid w:val="40CD643F"/>
    <w:rsid w:val="40CD8BF3"/>
    <w:rsid w:val="40CDF32A"/>
    <w:rsid w:val="40CEC0C3"/>
    <w:rsid w:val="40CF12B1"/>
    <w:rsid w:val="40CF3551"/>
    <w:rsid w:val="40D00F7C"/>
    <w:rsid w:val="40D0758A"/>
    <w:rsid w:val="40D08665"/>
    <w:rsid w:val="40D0D89A"/>
    <w:rsid w:val="40D0E608"/>
    <w:rsid w:val="40D0ECEB"/>
    <w:rsid w:val="40D1CA14"/>
    <w:rsid w:val="40D25326"/>
    <w:rsid w:val="40D29E20"/>
    <w:rsid w:val="40D2BF74"/>
    <w:rsid w:val="40D2C6CC"/>
    <w:rsid w:val="40D2ED39"/>
    <w:rsid w:val="40D37358"/>
    <w:rsid w:val="40D39DEF"/>
    <w:rsid w:val="40D3A967"/>
    <w:rsid w:val="40D49B33"/>
    <w:rsid w:val="40D4E2A9"/>
    <w:rsid w:val="40D4E745"/>
    <w:rsid w:val="40D6B059"/>
    <w:rsid w:val="40D6F10C"/>
    <w:rsid w:val="40D7FC28"/>
    <w:rsid w:val="40D8011C"/>
    <w:rsid w:val="40D84051"/>
    <w:rsid w:val="40D852AB"/>
    <w:rsid w:val="40DA24D7"/>
    <w:rsid w:val="40DAF0DF"/>
    <w:rsid w:val="40DB8207"/>
    <w:rsid w:val="40DB8B7A"/>
    <w:rsid w:val="40DC6746"/>
    <w:rsid w:val="40DC736E"/>
    <w:rsid w:val="40DD9996"/>
    <w:rsid w:val="40DDA3CF"/>
    <w:rsid w:val="40DE302F"/>
    <w:rsid w:val="40DEBECB"/>
    <w:rsid w:val="40DF69C4"/>
    <w:rsid w:val="40DFA86F"/>
    <w:rsid w:val="40DFB581"/>
    <w:rsid w:val="40E18880"/>
    <w:rsid w:val="40E2E226"/>
    <w:rsid w:val="40E39520"/>
    <w:rsid w:val="40E3C308"/>
    <w:rsid w:val="40E4315D"/>
    <w:rsid w:val="40E43572"/>
    <w:rsid w:val="40E47358"/>
    <w:rsid w:val="40E48161"/>
    <w:rsid w:val="40E4BA4B"/>
    <w:rsid w:val="40E61001"/>
    <w:rsid w:val="40E611FA"/>
    <w:rsid w:val="40E61C1C"/>
    <w:rsid w:val="40E62B3A"/>
    <w:rsid w:val="40E63A2B"/>
    <w:rsid w:val="40E646A4"/>
    <w:rsid w:val="40E67234"/>
    <w:rsid w:val="40E7CA26"/>
    <w:rsid w:val="40E80DD3"/>
    <w:rsid w:val="40E80F6B"/>
    <w:rsid w:val="40E8657B"/>
    <w:rsid w:val="40E86ECF"/>
    <w:rsid w:val="40E8E063"/>
    <w:rsid w:val="40E9F394"/>
    <w:rsid w:val="40EA6F51"/>
    <w:rsid w:val="40EA7CB0"/>
    <w:rsid w:val="40EAF991"/>
    <w:rsid w:val="40EB3DAA"/>
    <w:rsid w:val="40EBE994"/>
    <w:rsid w:val="40EC0D2A"/>
    <w:rsid w:val="40EC55F7"/>
    <w:rsid w:val="40EC772B"/>
    <w:rsid w:val="40ECC95F"/>
    <w:rsid w:val="40EE67A8"/>
    <w:rsid w:val="40EE6D75"/>
    <w:rsid w:val="40EF7858"/>
    <w:rsid w:val="40EF892C"/>
    <w:rsid w:val="40F14772"/>
    <w:rsid w:val="40F151C3"/>
    <w:rsid w:val="40F2FD31"/>
    <w:rsid w:val="40F325FF"/>
    <w:rsid w:val="40F3894E"/>
    <w:rsid w:val="40F3CCDE"/>
    <w:rsid w:val="40F3F77C"/>
    <w:rsid w:val="40F456CF"/>
    <w:rsid w:val="40F58DF7"/>
    <w:rsid w:val="40F60A24"/>
    <w:rsid w:val="40F61150"/>
    <w:rsid w:val="40F61262"/>
    <w:rsid w:val="40F6EDA9"/>
    <w:rsid w:val="40F71CE5"/>
    <w:rsid w:val="40F759D0"/>
    <w:rsid w:val="40F81DF3"/>
    <w:rsid w:val="40F84EA6"/>
    <w:rsid w:val="40F855E0"/>
    <w:rsid w:val="40F8873F"/>
    <w:rsid w:val="40F96EE8"/>
    <w:rsid w:val="40FA14AB"/>
    <w:rsid w:val="40FA25EB"/>
    <w:rsid w:val="40FA55B5"/>
    <w:rsid w:val="40FA9CC5"/>
    <w:rsid w:val="40FB2121"/>
    <w:rsid w:val="40FB84A7"/>
    <w:rsid w:val="40FC92D2"/>
    <w:rsid w:val="40FCE737"/>
    <w:rsid w:val="40FD2297"/>
    <w:rsid w:val="40FD2C3F"/>
    <w:rsid w:val="40FDB96E"/>
    <w:rsid w:val="40FE1617"/>
    <w:rsid w:val="40FEB153"/>
    <w:rsid w:val="40FF1622"/>
    <w:rsid w:val="40FF672F"/>
    <w:rsid w:val="410013CA"/>
    <w:rsid w:val="4100271A"/>
    <w:rsid w:val="41002B7C"/>
    <w:rsid w:val="4100373A"/>
    <w:rsid w:val="41005441"/>
    <w:rsid w:val="410064CC"/>
    <w:rsid w:val="41013BDD"/>
    <w:rsid w:val="41014002"/>
    <w:rsid w:val="410161F6"/>
    <w:rsid w:val="4101DD5E"/>
    <w:rsid w:val="4102C29D"/>
    <w:rsid w:val="4103A87D"/>
    <w:rsid w:val="41044AC6"/>
    <w:rsid w:val="4104953C"/>
    <w:rsid w:val="4104DE16"/>
    <w:rsid w:val="4104E166"/>
    <w:rsid w:val="41054038"/>
    <w:rsid w:val="4105E20B"/>
    <w:rsid w:val="41060F14"/>
    <w:rsid w:val="4106E5B8"/>
    <w:rsid w:val="4107A17F"/>
    <w:rsid w:val="4107FE8C"/>
    <w:rsid w:val="4108020C"/>
    <w:rsid w:val="4108827A"/>
    <w:rsid w:val="41092774"/>
    <w:rsid w:val="410964F1"/>
    <w:rsid w:val="4109B665"/>
    <w:rsid w:val="410ACD1E"/>
    <w:rsid w:val="410AF1B0"/>
    <w:rsid w:val="410BC5B1"/>
    <w:rsid w:val="410BCD04"/>
    <w:rsid w:val="410D1DA3"/>
    <w:rsid w:val="410D2489"/>
    <w:rsid w:val="410D2B1A"/>
    <w:rsid w:val="410FC68E"/>
    <w:rsid w:val="4110F23E"/>
    <w:rsid w:val="41116A6D"/>
    <w:rsid w:val="4111B7D9"/>
    <w:rsid w:val="4112F466"/>
    <w:rsid w:val="41134C03"/>
    <w:rsid w:val="4113CE59"/>
    <w:rsid w:val="4113FABF"/>
    <w:rsid w:val="411443D7"/>
    <w:rsid w:val="4115A536"/>
    <w:rsid w:val="4115ED23"/>
    <w:rsid w:val="411612DE"/>
    <w:rsid w:val="4116C29B"/>
    <w:rsid w:val="41172D0D"/>
    <w:rsid w:val="4118AF91"/>
    <w:rsid w:val="41190F37"/>
    <w:rsid w:val="41192027"/>
    <w:rsid w:val="41197C4E"/>
    <w:rsid w:val="411991DD"/>
    <w:rsid w:val="41199207"/>
    <w:rsid w:val="411AAB38"/>
    <w:rsid w:val="411B946B"/>
    <w:rsid w:val="411BD706"/>
    <w:rsid w:val="411C43BD"/>
    <w:rsid w:val="411C4A3D"/>
    <w:rsid w:val="411E0EED"/>
    <w:rsid w:val="411E5415"/>
    <w:rsid w:val="411F1A80"/>
    <w:rsid w:val="411F2EBA"/>
    <w:rsid w:val="412059B4"/>
    <w:rsid w:val="41205DF4"/>
    <w:rsid w:val="4120E10C"/>
    <w:rsid w:val="41213B90"/>
    <w:rsid w:val="412184A8"/>
    <w:rsid w:val="4121A6AF"/>
    <w:rsid w:val="412221AE"/>
    <w:rsid w:val="4122362A"/>
    <w:rsid w:val="41224544"/>
    <w:rsid w:val="4122B939"/>
    <w:rsid w:val="41233348"/>
    <w:rsid w:val="41240FC8"/>
    <w:rsid w:val="41242044"/>
    <w:rsid w:val="4124F9BA"/>
    <w:rsid w:val="412500A3"/>
    <w:rsid w:val="4125054A"/>
    <w:rsid w:val="41256E21"/>
    <w:rsid w:val="41259B7E"/>
    <w:rsid w:val="41264427"/>
    <w:rsid w:val="41265565"/>
    <w:rsid w:val="4126A198"/>
    <w:rsid w:val="4126E3A3"/>
    <w:rsid w:val="4127F5CC"/>
    <w:rsid w:val="41296958"/>
    <w:rsid w:val="412A0BD8"/>
    <w:rsid w:val="412AB725"/>
    <w:rsid w:val="412AE88B"/>
    <w:rsid w:val="412BD89E"/>
    <w:rsid w:val="412C0160"/>
    <w:rsid w:val="412C0F9D"/>
    <w:rsid w:val="412C19BD"/>
    <w:rsid w:val="412C2789"/>
    <w:rsid w:val="412C32DE"/>
    <w:rsid w:val="412CA848"/>
    <w:rsid w:val="412CD7A4"/>
    <w:rsid w:val="412CDCC1"/>
    <w:rsid w:val="412D12FB"/>
    <w:rsid w:val="412DBA5F"/>
    <w:rsid w:val="412E4B63"/>
    <w:rsid w:val="412F9632"/>
    <w:rsid w:val="41306D8B"/>
    <w:rsid w:val="413086B7"/>
    <w:rsid w:val="41309E7A"/>
    <w:rsid w:val="4130FB4A"/>
    <w:rsid w:val="4130FEE2"/>
    <w:rsid w:val="41314FD3"/>
    <w:rsid w:val="4131F7B3"/>
    <w:rsid w:val="41321176"/>
    <w:rsid w:val="4133AECC"/>
    <w:rsid w:val="4133BD29"/>
    <w:rsid w:val="41348210"/>
    <w:rsid w:val="4134B3BA"/>
    <w:rsid w:val="413526C4"/>
    <w:rsid w:val="41358977"/>
    <w:rsid w:val="4135AE21"/>
    <w:rsid w:val="4136E0DD"/>
    <w:rsid w:val="41381B1C"/>
    <w:rsid w:val="4138656C"/>
    <w:rsid w:val="4139953F"/>
    <w:rsid w:val="413A36F6"/>
    <w:rsid w:val="413A59EF"/>
    <w:rsid w:val="413A9D20"/>
    <w:rsid w:val="413AC29D"/>
    <w:rsid w:val="413AF1F6"/>
    <w:rsid w:val="413B3FCB"/>
    <w:rsid w:val="413BD7BA"/>
    <w:rsid w:val="413C25B8"/>
    <w:rsid w:val="413C25D8"/>
    <w:rsid w:val="413C4BAA"/>
    <w:rsid w:val="413C86C5"/>
    <w:rsid w:val="413CBEAB"/>
    <w:rsid w:val="413D19B8"/>
    <w:rsid w:val="413DBDED"/>
    <w:rsid w:val="413DC060"/>
    <w:rsid w:val="413E0377"/>
    <w:rsid w:val="413F60CC"/>
    <w:rsid w:val="41406EAB"/>
    <w:rsid w:val="4140EF1D"/>
    <w:rsid w:val="4141051A"/>
    <w:rsid w:val="41414350"/>
    <w:rsid w:val="4142043E"/>
    <w:rsid w:val="41428E94"/>
    <w:rsid w:val="4142BCB3"/>
    <w:rsid w:val="41430FB7"/>
    <w:rsid w:val="41433C5A"/>
    <w:rsid w:val="41446119"/>
    <w:rsid w:val="41453BF4"/>
    <w:rsid w:val="41456E3A"/>
    <w:rsid w:val="4145B9F8"/>
    <w:rsid w:val="41472992"/>
    <w:rsid w:val="41478E73"/>
    <w:rsid w:val="4147BC1E"/>
    <w:rsid w:val="4147F47E"/>
    <w:rsid w:val="41480518"/>
    <w:rsid w:val="41483976"/>
    <w:rsid w:val="41487C95"/>
    <w:rsid w:val="4148817E"/>
    <w:rsid w:val="414A6F4C"/>
    <w:rsid w:val="414B1B87"/>
    <w:rsid w:val="414B7F55"/>
    <w:rsid w:val="414C33CE"/>
    <w:rsid w:val="414D2204"/>
    <w:rsid w:val="414D4AE3"/>
    <w:rsid w:val="414E1BE5"/>
    <w:rsid w:val="414EBBD6"/>
    <w:rsid w:val="414ECC47"/>
    <w:rsid w:val="414F27B7"/>
    <w:rsid w:val="41519B1A"/>
    <w:rsid w:val="4151AEF9"/>
    <w:rsid w:val="41536CB6"/>
    <w:rsid w:val="4153C779"/>
    <w:rsid w:val="4153F711"/>
    <w:rsid w:val="415440C4"/>
    <w:rsid w:val="415459D1"/>
    <w:rsid w:val="415480A9"/>
    <w:rsid w:val="4154FC9A"/>
    <w:rsid w:val="4156923D"/>
    <w:rsid w:val="41589DFF"/>
    <w:rsid w:val="4159E5DA"/>
    <w:rsid w:val="415ABFF7"/>
    <w:rsid w:val="415BEB23"/>
    <w:rsid w:val="415C0A11"/>
    <w:rsid w:val="415C8B6F"/>
    <w:rsid w:val="415D3647"/>
    <w:rsid w:val="415D62F5"/>
    <w:rsid w:val="415DC0A9"/>
    <w:rsid w:val="415DD374"/>
    <w:rsid w:val="415E6261"/>
    <w:rsid w:val="415E6401"/>
    <w:rsid w:val="415E6468"/>
    <w:rsid w:val="415E9DA4"/>
    <w:rsid w:val="415EE2D4"/>
    <w:rsid w:val="41604CD0"/>
    <w:rsid w:val="4161215B"/>
    <w:rsid w:val="4161F1AA"/>
    <w:rsid w:val="4162216A"/>
    <w:rsid w:val="41626947"/>
    <w:rsid w:val="41629AD2"/>
    <w:rsid w:val="41638B1F"/>
    <w:rsid w:val="4164A0EA"/>
    <w:rsid w:val="4165A26E"/>
    <w:rsid w:val="4165BC11"/>
    <w:rsid w:val="4165FCA4"/>
    <w:rsid w:val="4166173B"/>
    <w:rsid w:val="41665980"/>
    <w:rsid w:val="41665F42"/>
    <w:rsid w:val="41670B84"/>
    <w:rsid w:val="416849ED"/>
    <w:rsid w:val="41686811"/>
    <w:rsid w:val="4168B87A"/>
    <w:rsid w:val="4169C884"/>
    <w:rsid w:val="416A5D93"/>
    <w:rsid w:val="416ADE65"/>
    <w:rsid w:val="416C633B"/>
    <w:rsid w:val="416D4C83"/>
    <w:rsid w:val="416DEB74"/>
    <w:rsid w:val="416F44E3"/>
    <w:rsid w:val="416F6969"/>
    <w:rsid w:val="416FE5D8"/>
    <w:rsid w:val="41703C05"/>
    <w:rsid w:val="41707A8C"/>
    <w:rsid w:val="41708354"/>
    <w:rsid w:val="417128DD"/>
    <w:rsid w:val="4171506F"/>
    <w:rsid w:val="41717755"/>
    <w:rsid w:val="417262C5"/>
    <w:rsid w:val="417352F0"/>
    <w:rsid w:val="417394ED"/>
    <w:rsid w:val="4173B80D"/>
    <w:rsid w:val="41744B11"/>
    <w:rsid w:val="417492F8"/>
    <w:rsid w:val="4175243A"/>
    <w:rsid w:val="4175E2C6"/>
    <w:rsid w:val="4175FB61"/>
    <w:rsid w:val="41770068"/>
    <w:rsid w:val="41773542"/>
    <w:rsid w:val="4177A4D1"/>
    <w:rsid w:val="4177DDF5"/>
    <w:rsid w:val="41793ACD"/>
    <w:rsid w:val="417A2170"/>
    <w:rsid w:val="417B4145"/>
    <w:rsid w:val="417B8FE8"/>
    <w:rsid w:val="417C2D9F"/>
    <w:rsid w:val="417C8E0C"/>
    <w:rsid w:val="417CB7ED"/>
    <w:rsid w:val="417D2E3B"/>
    <w:rsid w:val="417D49AF"/>
    <w:rsid w:val="417D7A09"/>
    <w:rsid w:val="417DA43D"/>
    <w:rsid w:val="417DD776"/>
    <w:rsid w:val="417E5026"/>
    <w:rsid w:val="417E7763"/>
    <w:rsid w:val="417E8F94"/>
    <w:rsid w:val="417F339B"/>
    <w:rsid w:val="417FFCE6"/>
    <w:rsid w:val="418056AD"/>
    <w:rsid w:val="41811266"/>
    <w:rsid w:val="4182DB31"/>
    <w:rsid w:val="4182E966"/>
    <w:rsid w:val="4182FF46"/>
    <w:rsid w:val="4183367F"/>
    <w:rsid w:val="41834608"/>
    <w:rsid w:val="41838290"/>
    <w:rsid w:val="418435B2"/>
    <w:rsid w:val="41848C9F"/>
    <w:rsid w:val="41851320"/>
    <w:rsid w:val="4187BCEC"/>
    <w:rsid w:val="4187D4CD"/>
    <w:rsid w:val="41884736"/>
    <w:rsid w:val="4188B38C"/>
    <w:rsid w:val="4188BF67"/>
    <w:rsid w:val="4188F866"/>
    <w:rsid w:val="418985E9"/>
    <w:rsid w:val="4189A14E"/>
    <w:rsid w:val="418AC976"/>
    <w:rsid w:val="418B71B7"/>
    <w:rsid w:val="418BD7C2"/>
    <w:rsid w:val="418C1017"/>
    <w:rsid w:val="418CDD8B"/>
    <w:rsid w:val="418CFAA1"/>
    <w:rsid w:val="418D0D64"/>
    <w:rsid w:val="418DA3A2"/>
    <w:rsid w:val="418DDF41"/>
    <w:rsid w:val="418E0F9D"/>
    <w:rsid w:val="418E2355"/>
    <w:rsid w:val="418E4FF4"/>
    <w:rsid w:val="418E5B4F"/>
    <w:rsid w:val="418EA32F"/>
    <w:rsid w:val="418F1347"/>
    <w:rsid w:val="418F1C38"/>
    <w:rsid w:val="418FB165"/>
    <w:rsid w:val="418FC1F4"/>
    <w:rsid w:val="418FFC8D"/>
    <w:rsid w:val="41907ECB"/>
    <w:rsid w:val="41917807"/>
    <w:rsid w:val="41918EE0"/>
    <w:rsid w:val="419347BE"/>
    <w:rsid w:val="419358E8"/>
    <w:rsid w:val="4193DD61"/>
    <w:rsid w:val="4193F74D"/>
    <w:rsid w:val="41940A10"/>
    <w:rsid w:val="41941155"/>
    <w:rsid w:val="41953694"/>
    <w:rsid w:val="41959350"/>
    <w:rsid w:val="4195A1BE"/>
    <w:rsid w:val="4195C9BF"/>
    <w:rsid w:val="4195D123"/>
    <w:rsid w:val="41972627"/>
    <w:rsid w:val="41974E38"/>
    <w:rsid w:val="4197A9B4"/>
    <w:rsid w:val="41990650"/>
    <w:rsid w:val="419911B9"/>
    <w:rsid w:val="41998BC4"/>
    <w:rsid w:val="4199D6BD"/>
    <w:rsid w:val="419A7CC0"/>
    <w:rsid w:val="419AC7A7"/>
    <w:rsid w:val="419AD002"/>
    <w:rsid w:val="419AF8E4"/>
    <w:rsid w:val="419B9A64"/>
    <w:rsid w:val="419BA747"/>
    <w:rsid w:val="419CFB27"/>
    <w:rsid w:val="419D3BD3"/>
    <w:rsid w:val="419D77C8"/>
    <w:rsid w:val="419D7E1F"/>
    <w:rsid w:val="419EB81D"/>
    <w:rsid w:val="419FEC66"/>
    <w:rsid w:val="41A08CB1"/>
    <w:rsid w:val="41A1B6D4"/>
    <w:rsid w:val="41A1E6C9"/>
    <w:rsid w:val="41A23252"/>
    <w:rsid w:val="41A2621E"/>
    <w:rsid w:val="41A2FE3C"/>
    <w:rsid w:val="41A37958"/>
    <w:rsid w:val="41A422E3"/>
    <w:rsid w:val="41A4ACE4"/>
    <w:rsid w:val="41A7A4F8"/>
    <w:rsid w:val="41A7E663"/>
    <w:rsid w:val="41A8F49E"/>
    <w:rsid w:val="41A92490"/>
    <w:rsid w:val="41A9993D"/>
    <w:rsid w:val="41A99F85"/>
    <w:rsid w:val="41AA4196"/>
    <w:rsid w:val="41AA80AC"/>
    <w:rsid w:val="41AB057F"/>
    <w:rsid w:val="41AB3920"/>
    <w:rsid w:val="41AB5E3C"/>
    <w:rsid w:val="41ABA67D"/>
    <w:rsid w:val="41ABE499"/>
    <w:rsid w:val="41AC3FFC"/>
    <w:rsid w:val="41AD1747"/>
    <w:rsid w:val="41AD954B"/>
    <w:rsid w:val="41AE6FBE"/>
    <w:rsid w:val="41AF3780"/>
    <w:rsid w:val="41AF7B3A"/>
    <w:rsid w:val="41B2248B"/>
    <w:rsid w:val="41B242CC"/>
    <w:rsid w:val="41B29E46"/>
    <w:rsid w:val="41B2F8DF"/>
    <w:rsid w:val="41B348A8"/>
    <w:rsid w:val="41B35054"/>
    <w:rsid w:val="41B3C5F1"/>
    <w:rsid w:val="41B3EE2E"/>
    <w:rsid w:val="41B42AC7"/>
    <w:rsid w:val="41B47F97"/>
    <w:rsid w:val="41B4FF66"/>
    <w:rsid w:val="41B505CA"/>
    <w:rsid w:val="41B5134C"/>
    <w:rsid w:val="41B57195"/>
    <w:rsid w:val="41B5BCA3"/>
    <w:rsid w:val="41B615CD"/>
    <w:rsid w:val="41B6E733"/>
    <w:rsid w:val="41B7482D"/>
    <w:rsid w:val="41B75170"/>
    <w:rsid w:val="41B863FD"/>
    <w:rsid w:val="41B95E6C"/>
    <w:rsid w:val="41BA5646"/>
    <w:rsid w:val="41BA65BD"/>
    <w:rsid w:val="41BB0DAF"/>
    <w:rsid w:val="41BBA7EC"/>
    <w:rsid w:val="41BC1058"/>
    <w:rsid w:val="41BC13CF"/>
    <w:rsid w:val="41BC7978"/>
    <w:rsid w:val="41BCA378"/>
    <w:rsid w:val="41BD2D8A"/>
    <w:rsid w:val="41BDF08C"/>
    <w:rsid w:val="41BEE43A"/>
    <w:rsid w:val="41BF3230"/>
    <w:rsid w:val="41BFCEFF"/>
    <w:rsid w:val="41C146E7"/>
    <w:rsid w:val="41C1E9C6"/>
    <w:rsid w:val="41C27709"/>
    <w:rsid w:val="41C28064"/>
    <w:rsid w:val="41C2D53F"/>
    <w:rsid w:val="41C2ECA0"/>
    <w:rsid w:val="41C31CFC"/>
    <w:rsid w:val="41C42457"/>
    <w:rsid w:val="41C44BE9"/>
    <w:rsid w:val="41C4801E"/>
    <w:rsid w:val="41C52957"/>
    <w:rsid w:val="41C5ADAE"/>
    <w:rsid w:val="41C6A875"/>
    <w:rsid w:val="41C6DBA4"/>
    <w:rsid w:val="41C6FB86"/>
    <w:rsid w:val="41C732CB"/>
    <w:rsid w:val="41C75CA2"/>
    <w:rsid w:val="41C78B65"/>
    <w:rsid w:val="41C861A3"/>
    <w:rsid w:val="41C8A486"/>
    <w:rsid w:val="41C8D20A"/>
    <w:rsid w:val="41C8D720"/>
    <w:rsid w:val="41CA2C96"/>
    <w:rsid w:val="41CABF3F"/>
    <w:rsid w:val="41CAEA64"/>
    <w:rsid w:val="41CB08A8"/>
    <w:rsid w:val="41CB5674"/>
    <w:rsid w:val="41CB8BE8"/>
    <w:rsid w:val="41CC472C"/>
    <w:rsid w:val="41CC490A"/>
    <w:rsid w:val="41CD354D"/>
    <w:rsid w:val="41CD8D62"/>
    <w:rsid w:val="41CE29EF"/>
    <w:rsid w:val="41CE6516"/>
    <w:rsid w:val="41CE7D32"/>
    <w:rsid w:val="41CE9F33"/>
    <w:rsid w:val="41CEA92C"/>
    <w:rsid w:val="41CED660"/>
    <w:rsid w:val="41CF784E"/>
    <w:rsid w:val="41CFCFA5"/>
    <w:rsid w:val="41CFE0BD"/>
    <w:rsid w:val="41D300EA"/>
    <w:rsid w:val="41D3A293"/>
    <w:rsid w:val="41D3F545"/>
    <w:rsid w:val="41D411C8"/>
    <w:rsid w:val="41D4B2C9"/>
    <w:rsid w:val="41D53BD0"/>
    <w:rsid w:val="41D5579F"/>
    <w:rsid w:val="41D59D90"/>
    <w:rsid w:val="41D5C240"/>
    <w:rsid w:val="41D5CC3B"/>
    <w:rsid w:val="41D6532A"/>
    <w:rsid w:val="41D6DDA7"/>
    <w:rsid w:val="41D6E287"/>
    <w:rsid w:val="41D89553"/>
    <w:rsid w:val="41D8F0D7"/>
    <w:rsid w:val="41D8F9BC"/>
    <w:rsid w:val="41DAA0F1"/>
    <w:rsid w:val="41DAAAC4"/>
    <w:rsid w:val="41DB3B18"/>
    <w:rsid w:val="41DC2A7E"/>
    <w:rsid w:val="41DC5B69"/>
    <w:rsid w:val="41DCDEC6"/>
    <w:rsid w:val="41DCEA2F"/>
    <w:rsid w:val="41DEC889"/>
    <w:rsid w:val="41DF0CCA"/>
    <w:rsid w:val="41E0508A"/>
    <w:rsid w:val="41E1122A"/>
    <w:rsid w:val="41E1C37A"/>
    <w:rsid w:val="41E23E5A"/>
    <w:rsid w:val="41E35F49"/>
    <w:rsid w:val="41E394BA"/>
    <w:rsid w:val="41E3FDBA"/>
    <w:rsid w:val="41E43DA0"/>
    <w:rsid w:val="41E45489"/>
    <w:rsid w:val="41E47142"/>
    <w:rsid w:val="41E471E3"/>
    <w:rsid w:val="41E4836B"/>
    <w:rsid w:val="41E48B6B"/>
    <w:rsid w:val="41E49ED4"/>
    <w:rsid w:val="41E4C4F2"/>
    <w:rsid w:val="41E4FF25"/>
    <w:rsid w:val="41E5CBE5"/>
    <w:rsid w:val="41E63D21"/>
    <w:rsid w:val="41E63EA6"/>
    <w:rsid w:val="41E6B358"/>
    <w:rsid w:val="41E75807"/>
    <w:rsid w:val="41E8FD57"/>
    <w:rsid w:val="41EA03F8"/>
    <w:rsid w:val="41EAC6E3"/>
    <w:rsid w:val="41EB2267"/>
    <w:rsid w:val="41EB6EE9"/>
    <w:rsid w:val="41EBB988"/>
    <w:rsid w:val="41EC93AF"/>
    <w:rsid w:val="41ECEA93"/>
    <w:rsid w:val="41EF1829"/>
    <w:rsid w:val="41EF21B1"/>
    <w:rsid w:val="41EF2AB9"/>
    <w:rsid w:val="41EFDA8B"/>
    <w:rsid w:val="41F1BEDF"/>
    <w:rsid w:val="41F21AF6"/>
    <w:rsid w:val="41F269E6"/>
    <w:rsid w:val="41F274AC"/>
    <w:rsid w:val="41F27773"/>
    <w:rsid w:val="41F2E92D"/>
    <w:rsid w:val="41F32582"/>
    <w:rsid w:val="41F3676C"/>
    <w:rsid w:val="41F37C1D"/>
    <w:rsid w:val="41F52F7B"/>
    <w:rsid w:val="41F58795"/>
    <w:rsid w:val="41F5B603"/>
    <w:rsid w:val="41F66795"/>
    <w:rsid w:val="41F6D4C8"/>
    <w:rsid w:val="41F822DB"/>
    <w:rsid w:val="41F87CDD"/>
    <w:rsid w:val="41F89F2B"/>
    <w:rsid w:val="41F8EEE5"/>
    <w:rsid w:val="41FA7B6F"/>
    <w:rsid w:val="41FB15A9"/>
    <w:rsid w:val="41FB32FF"/>
    <w:rsid w:val="41FBF113"/>
    <w:rsid w:val="41FC8132"/>
    <w:rsid w:val="41FC9485"/>
    <w:rsid w:val="41FCB0B5"/>
    <w:rsid w:val="41FCE036"/>
    <w:rsid w:val="41FD1C5F"/>
    <w:rsid w:val="41FE249D"/>
    <w:rsid w:val="41FEA587"/>
    <w:rsid w:val="41FF29EF"/>
    <w:rsid w:val="41FFB10B"/>
    <w:rsid w:val="42005BE1"/>
    <w:rsid w:val="4200FC5F"/>
    <w:rsid w:val="42016804"/>
    <w:rsid w:val="42020CB3"/>
    <w:rsid w:val="42028789"/>
    <w:rsid w:val="42035C4A"/>
    <w:rsid w:val="4203DD2B"/>
    <w:rsid w:val="42042FC6"/>
    <w:rsid w:val="42044903"/>
    <w:rsid w:val="42045B67"/>
    <w:rsid w:val="42061380"/>
    <w:rsid w:val="42063E03"/>
    <w:rsid w:val="4206B588"/>
    <w:rsid w:val="4206F239"/>
    <w:rsid w:val="4208039F"/>
    <w:rsid w:val="420863EE"/>
    <w:rsid w:val="42086B9F"/>
    <w:rsid w:val="4208F548"/>
    <w:rsid w:val="420B03B2"/>
    <w:rsid w:val="420B2202"/>
    <w:rsid w:val="420B4183"/>
    <w:rsid w:val="420B6FEB"/>
    <w:rsid w:val="420BFBAC"/>
    <w:rsid w:val="420C2691"/>
    <w:rsid w:val="420C6C65"/>
    <w:rsid w:val="420C97C0"/>
    <w:rsid w:val="420E6644"/>
    <w:rsid w:val="420E80DE"/>
    <w:rsid w:val="420E943A"/>
    <w:rsid w:val="420F16CD"/>
    <w:rsid w:val="420F572D"/>
    <w:rsid w:val="42102B5A"/>
    <w:rsid w:val="42104C58"/>
    <w:rsid w:val="4210D0AB"/>
    <w:rsid w:val="4211CB40"/>
    <w:rsid w:val="42148271"/>
    <w:rsid w:val="42155AE1"/>
    <w:rsid w:val="42159EB2"/>
    <w:rsid w:val="4216C37F"/>
    <w:rsid w:val="4216CFD7"/>
    <w:rsid w:val="42171157"/>
    <w:rsid w:val="4217308B"/>
    <w:rsid w:val="4217ABDB"/>
    <w:rsid w:val="42183382"/>
    <w:rsid w:val="421999C0"/>
    <w:rsid w:val="421A17AC"/>
    <w:rsid w:val="421A219C"/>
    <w:rsid w:val="421BFC11"/>
    <w:rsid w:val="421CF750"/>
    <w:rsid w:val="421D572B"/>
    <w:rsid w:val="4220109C"/>
    <w:rsid w:val="4221CB80"/>
    <w:rsid w:val="4221FCCC"/>
    <w:rsid w:val="42220C6C"/>
    <w:rsid w:val="42220DB7"/>
    <w:rsid w:val="42224D2C"/>
    <w:rsid w:val="422300E1"/>
    <w:rsid w:val="42232E2B"/>
    <w:rsid w:val="42233FD7"/>
    <w:rsid w:val="422432FC"/>
    <w:rsid w:val="42246C0A"/>
    <w:rsid w:val="4225A825"/>
    <w:rsid w:val="422681FD"/>
    <w:rsid w:val="4226857A"/>
    <w:rsid w:val="4226AF1B"/>
    <w:rsid w:val="422707A0"/>
    <w:rsid w:val="42277B32"/>
    <w:rsid w:val="4227A3C6"/>
    <w:rsid w:val="422833A9"/>
    <w:rsid w:val="42285B6F"/>
    <w:rsid w:val="4228C252"/>
    <w:rsid w:val="4228D8EC"/>
    <w:rsid w:val="4229BDF3"/>
    <w:rsid w:val="422A4854"/>
    <w:rsid w:val="422A9D95"/>
    <w:rsid w:val="422BD9EE"/>
    <w:rsid w:val="422CF48D"/>
    <w:rsid w:val="422D2FF7"/>
    <w:rsid w:val="422D7252"/>
    <w:rsid w:val="422DF364"/>
    <w:rsid w:val="422EB4E0"/>
    <w:rsid w:val="4230693A"/>
    <w:rsid w:val="42307F48"/>
    <w:rsid w:val="42317934"/>
    <w:rsid w:val="42321FAC"/>
    <w:rsid w:val="42325046"/>
    <w:rsid w:val="4232EA4F"/>
    <w:rsid w:val="42334FA4"/>
    <w:rsid w:val="42335B52"/>
    <w:rsid w:val="4233B1B6"/>
    <w:rsid w:val="4233BCC0"/>
    <w:rsid w:val="42357845"/>
    <w:rsid w:val="4236CEDB"/>
    <w:rsid w:val="4237E283"/>
    <w:rsid w:val="4238AB5E"/>
    <w:rsid w:val="42390528"/>
    <w:rsid w:val="42394C2D"/>
    <w:rsid w:val="4239B98A"/>
    <w:rsid w:val="423AB799"/>
    <w:rsid w:val="423B5C7E"/>
    <w:rsid w:val="423BC500"/>
    <w:rsid w:val="423C049F"/>
    <w:rsid w:val="423C1F18"/>
    <w:rsid w:val="423C735D"/>
    <w:rsid w:val="423CB77E"/>
    <w:rsid w:val="423CBAC7"/>
    <w:rsid w:val="423D289A"/>
    <w:rsid w:val="423D63AB"/>
    <w:rsid w:val="423DA628"/>
    <w:rsid w:val="423DAACB"/>
    <w:rsid w:val="423E3794"/>
    <w:rsid w:val="423E481D"/>
    <w:rsid w:val="423E7692"/>
    <w:rsid w:val="423E9DA2"/>
    <w:rsid w:val="42405987"/>
    <w:rsid w:val="4240CC65"/>
    <w:rsid w:val="4240FC2E"/>
    <w:rsid w:val="42416E4E"/>
    <w:rsid w:val="4241D748"/>
    <w:rsid w:val="42428E81"/>
    <w:rsid w:val="4242D40A"/>
    <w:rsid w:val="42439A5C"/>
    <w:rsid w:val="424407EE"/>
    <w:rsid w:val="4244746D"/>
    <w:rsid w:val="42449A87"/>
    <w:rsid w:val="42451EF5"/>
    <w:rsid w:val="4245594E"/>
    <w:rsid w:val="42458B33"/>
    <w:rsid w:val="42461239"/>
    <w:rsid w:val="4246B881"/>
    <w:rsid w:val="42470F1E"/>
    <w:rsid w:val="42471214"/>
    <w:rsid w:val="424722CC"/>
    <w:rsid w:val="42472513"/>
    <w:rsid w:val="42473CBA"/>
    <w:rsid w:val="42474CC0"/>
    <w:rsid w:val="4247A8F2"/>
    <w:rsid w:val="4247ADEA"/>
    <w:rsid w:val="424866DA"/>
    <w:rsid w:val="4248C817"/>
    <w:rsid w:val="42490EEB"/>
    <w:rsid w:val="4249F334"/>
    <w:rsid w:val="424A41D3"/>
    <w:rsid w:val="424AA972"/>
    <w:rsid w:val="424AD359"/>
    <w:rsid w:val="424AD6FE"/>
    <w:rsid w:val="424B392A"/>
    <w:rsid w:val="424B45C6"/>
    <w:rsid w:val="424BC590"/>
    <w:rsid w:val="424BE50E"/>
    <w:rsid w:val="424BED8A"/>
    <w:rsid w:val="424E0050"/>
    <w:rsid w:val="424F56FD"/>
    <w:rsid w:val="42505A97"/>
    <w:rsid w:val="42513277"/>
    <w:rsid w:val="4251D881"/>
    <w:rsid w:val="42522868"/>
    <w:rsid w:val="4252A77B"/>
    <w:rsid w:val="42531875"/>
    <w:rsid w:val="4253D8D9"/>
    <w:rsid w:val="42542CC3"/>
    <w:rsid w:val="4254C6D4"/>
    <w:rsid w:val="42560E8F"/>
    <w:rsid w:val="425632AF"/>
    <w:rsid w:val="4256443C"/>
    <w:rsid w:val="4256C929"/>
    <w:rsid w:val="4257C594"/>
    <w:rsid w:val="4257D6EF"/>
    <w:rsid w:val="42582303"/>
    <w:rsid w:val="4259AEED"/>
    <w:rsid w:val="425A3F3A"/>
    <w:rsid w:val="425B29E2"/>
    <w:rsid w:val="425B5D76"/>
    <w:rsid w:val="425D8D95"/>
    <w:rsid w:val="425D9AB7"/>
    <w:rsid w:val="425DD7B5"/>
    <w:rsid w:val="425DD8D9"/>
    <w:rsid w:val="425DD9E3"/>
    <w:rsid w:val="425DEADB"/>
    <w:rsid w:val="425DFEC0"/>
    <w:rsid w:val="425ED023"/>
    <w:rsid w:val="425FC785"/>
    <w:rsid w:val="426100C6"/>
    <w:rsid w:val="426125E5"/>
    <w:rsid w:val="42612D66"/>
    <w:rsid w:val="42613411"/>
    <w:rsid w:val="4261879A"/>
    <w:rsid w:val="426271FC"/>
    <w:rsid w:val="4262ACDD"/>
    <w:rsid w:val="4262AF28"/>
    <w:rsid w:val="4262C267"/>
    <w:rsid w:val="42634DD1"/>
    <w:rsid w:val="4263FE2D"/>
    <w:rsid w:val="42661120"/>
    <w:rsid w:val="42661D1C"/>
    <w:rsid w:val="426626D3"/>
    <w:rsid w:val="42667839"/>
    <w:rsid w:val="426678D8"/>
    <w:rsid w:val="4266E0BE"/>
    <w:rsid w:val="42675DFA"/>
    <w:rsid w:val="42676295"/>
    <w:rsid w:val="42676805"/>
    <w:rsid w:val="42685135"/>
    <w:rsid w:val="4268AE5B"/>
    <w:rsid w:val="4268CDD4"/>
    <w:rsid w:val="4269175D"/>
    <w:rsid w:val="4269F3E5"/>
    <w:rsid w:val="426A0695"/>
    <w:rsid w:val="426A1C76"/>
    <w:rsid w:val="426A3525"/>
    <w:rsid w:val="426B2204"/>
    <w:rsid w:val="426B67BA"/>
    <w:rsid w:val="426BEAC5"/>
    <w:rsid w:val="426C5B73"/>
    <w:rsid w:val="426C8E44"/>
    <w:rsid w:val="426CA0F9"/>
    <w:rsid w:val="426D743A"/>
    <w:rsid w:val="426DD1E1"/>
    <w:rsid w:val="426DD526"/>
    <w:rsid w:val="426DEEA1"/>
    <w:rsid w:val="426F09A9"/>
    <w:rsid w:val="426FCD79"/>
    <w:rsid w:val="4270D1FC"/>
    <w:rsid w:val="42710091"/>
    <w:rsid w:val="42711328"/>
    <w:rsid w:val="42721D09"/>
    <w:rsid w:val="42727176"/>
    <w:rsid w:val="4272C7BC"/>
    <w:rsid w:val="4272E02F"/>
    <w:rsid w:val="4273B365"/>
    <w:rsid w:val="4273F374"/>
    <w:rsid w:val="42744DAC"/>
    <w:rsid w:val="42746374"/>
    <w:rsid w:val="4275E680"/>
    <w:rsid w:val="4275EFFE"/>
    <w:rsid w:val="4276BE11"/>
    <w:rsid w:val="4276CF29"/>
    <w:rsid w:val="427769D4"/>
    <w:rsid w:val="42777036"/>
    <w:rsid w:val="42783B4F"/>
    <w:rsid w:val="4278B080"/>
    <w:rsid w:val="4279D2E3"/>
    <w:rsid w:val="427A91B8"/>
    <w:rsid w:val="427ABEA9"/>
    <w:rsid w:val="427B1CB2"/>
    <w:rsid w:val="427BEEFA"/>
    <w:rsid w:val="427BF37F"/>
    <w:rsid w:val="427C4524"/>
    <w:rsid w:val="427C5B4F"/>
    <w:rsid w:val="427D10BE"/>
    <w:rsid w:val="427D4685"/>
    <w:rsid w:val="427DA989"/>
    <w:rsid w:val="427E414E"/>
    <w:rsid w:val="427E73CB"/>
    <w:rsid w:val="427ED2BD"/>
    <w:rsid w:val="42800497"/>
    <w:rsid w:val="4280FED8"/>
    <w:rsid w:val="42811094"/>
    <w:rsid w:val="428138A6"/>
    <w:rsid w:val="42820F2D"/>
    <w:rsid w:val="42822310"/>
    <w:rsid w:val="4282237F"/>
    <w:rsid w:val="428247A9"/>
    <w:rsid w:val="428345BF"/>
    <w:rsid w:val="4283F7A4"/>
    <w:rsid w:val="4284AE0C"/>
    <w:rsid w:val="4284C1F3"/>
    <w:rsid w:val="42851625"/>
    <w:rsid w:val="4285236E"/>
    <w:rsid w:val="428557AE"/>
    <w:rsid w:val="42864633"/>
    <w:rsid w:val="4286BAEA"/>
    <w:rsid w:val="42874AF4"/>
    <w:rsid w:val="4287BC1A"/>
    <w:rsid w:val="4287D1C6"/>
    <w:rsid w:val="428887B9"/>
    <w:rsid w:val="428897D6"/>
    <w:rsid w:val="4288F225"/>
    <w:rsid w:val="4288F86D"/>
    <w:rsid w:val="4289C88A"/>
    <w:rsid w:val="4289F41C"/>
    <w:rsid w:val="428A6929"/>
    <w:rsid w:val="428A7964"/>
    <w:rsid w:val="428B61C6"/>
    <w:rsid w:val="428C2321"/>
    <w:rsid w:val="428D065E"/>
    <w:rsid w:val="428D8CA5"/>
    <w:rsid w:val="428DA2F8"/>
    <w:rsid w:val="428E3B94"/>
    <w:rsid w:val="428E3DB1"/>
    <w:rsid w:val="428FD024"/>
    <w:rsid w:val="428FD1D9"/>
    <w:rsid w:val="4290ABB6"/>
    <w:rsid w:val="4290CF46"/>
    <w:rsid w:val="4291749F"/>
    <w:rsid w:val="4291DDCF"/>
    <w:rsid w:val="42920AA8"/>
    <w:rsid w:val="42926D9B"/>
    <w:rsid w:val="4292CA5D"/>
    <w:rsid w:val="42933006"/>
    <w:rsid w:val="42949872"/>
    <w:rsid w:val="4294EAE9"/>
    <w:rsid w:val="4295527E"/>
    <w:rsid w:val="4295AFCC"/>
    <w:rsid w:val="42963A72"/>
    <w:rsid w:val="4298159D"/>
    <w:rsid w:val="42988527"/>
    <w:rsid w:val="4298C54C"/>
    <w:rsid w:val="429AB18D"/>
    <w:rsid w:val="429B1344"/>
    <w:rsid w:val="429B47A7"/>
    <w:rsid w:val="429B52C5"/>
    <w:rsid w:val="429BA69C"/>
    <w:rsid w:val="429BBBD8"/>
    <w:rsid w:val="429BD623"/>
    <w:rsid w:val="429BECB3"/>
    <w:rsid w:val="429C3966"/>
    <w:rsid w:val="429CE3C0"/>
    <w:rsid w:val="429CE51F"/>
    <w:rsid w:val="429D2A7A"/>
    <w:rsid w:val="429E3EBE"/>
    <w:rsid w:val="429ED3A5"/>
    <w:rsid w:val="429EE61A"/>
    <w:rsid w:val="429F1EBD"/>
    <w:rsid w:val="429F6542"/>
    <w:rsid w:val="429FB95C"/>
    <w:rsid w:val="42A0036C"/>
    <w:rsid w:val="42A075B6"/>
    <w:rsid w:val="42A0C509"/>
    <w:rsid w:val="42A15B0E"/>
    <w:rsid w:val="42A1B069"/>
    <w:rsid w:val="42A1E5E7"/>
    <w:rsid w:val="42A22C10"/>
    <w:rsid w:val="42A2BD22"/>
    <w:rsid w:val="42A2C994"/>
    <w:rsid w:val="42A2F044"/>
    <w:rsid w:val="42A32F0B"/>
    <w:rsid w:val="42A3F471"/>
    <w:rsid w:val="42A434E3"/>
    <w:rsid w:val="42A442C9"/>
    <w:rsid w:val="42A49EF6"/>
    <w:rsid w:val="42A5AD26"/>
    <w:rsid w:val="42A6152E"/>
    <w:rsid w:val="42A6CD10"/>
    <w:rsid w:val="42A6DC45"/>
    <w:rsid w:val="42A76995"/>
    <w:rsid w:val="42A7A35C"/>
    <w:rsid w:val="42A858D2"/>
    <w:rsid w:val="42AA9994"/>
    <w:rsid w:val="42ABB085"/>
    <w:rsid w:val="42ABB112"/>
    <w:rsid w:val="42AC46D8"/>
    <w:rsid w:val="42AC6595"/>
    <w:rsid w:val="42ACAB42"/>
    <w:rsid w:val="42ADADF1"/>
    <w:rsid w:val="42AE2D9D"/>
    <w:rsid w:val="42AE866B"/>
    <w:rsid w:val="42AE8FEE"/>
    <w:rsid w:val="42AEC269"/>
    <w:rsid w:val="42AF2DF6"/>
    <w:rsid w:val="42B02FB5"/>
    <w:rsid w:val="42B074BA"/>
    <w:rsid w:val="42B0AB80"/>
    <w:rsid w:val="42B0B335"/>
    <w:rsid w:val="42B12D70"/>
    <w:rsid w:val="42B13C87"/>
    <w:rsid w:val="42B1EBA6"/>
    <w:rsid w:val="42B28A62"/>
    <w:rsid w:val="42B2FFC8"/>
    <w:rsid w:val="42B33A12"/>
    <w:rsid w:val="42B34672"/>
    <w:rsid w:val="42B3AFCD"/>
    <w:rsid w:val="42B45145"/>
    <w:rsid w:val="42B45BF4"/>
    <w:rsid w:val="42B54D12"/>
    <w:rsid w:val="42B5798F"/>
    <w:rsid w:val="42B5CBE0"/>
    <w:rsid w:val="42B620F4"/>
    <w:rsid w:val="42B6407F"/>
    <w:rsid w:val="42B64A39"/>
    <w:rsid w:val="42B72638"/>
    <w:rsid w:val="42B7A7A5"/>
    <w:rsid w:val="42B83889"/>
    <w:rsid w:val="42B98152"/>
    <w:rsid w:val="42BA5CCA"/>
    <w:rsid w:val="42BAB1EE"/>
    <w:rsid w:val="42BADBE6"/>
    <w:rsid w:val="42BCA3F3"/>
    <w:rsid w:val="42BCBDA1"/>
    <w:rsid w:val="42BCC0EA"/>
    <w:rsid w:val="42BDA8D8"/>
    <w:rsid w:val="42BE0DC3"/>
    <w:rsid w:val="42BE2BEC"/>
    <w:rsid w:val="42BF7ED6"/>
    <w:rsid w:val="42BFA418"/>
    <w:rsid w:val="42BFCD9B"/>
    <w:rsid w:val="42BFEACB"/>
    <w:rsid w:val="42C07AF7"/>
    <w:rsid w:val="42C12793"/>
    <w:rsid w:val="42C17AF0"/>
    <w:rsid w:val="42C1D8EA"/>
    <w:rsid w:val="42C2935D"/>
    <w:rsid w:val="42C3C0F9"/>
    <w:rsid w:val="42C408E7"/>
    <w:rsid w:val="42C42017"/>
    <w:rsid w:val="42C4D759"/>
    <w:rsid w:val="42C4E7B2"/>
    <w:rsid w:val="42C65E17"/>
    <w:rsid w:val="42C6811F"/>
    <w:rsid w:val="42C6EDC5"/>
    <w:rsid w:val="42C87225"/>
    <w:rsid w:val="42C8B863"/>
    <w:rsid w:val="42CA021C"/>
    <w:rsid w:val="42CA8CF8"/>
    <w:rsid w:val="42CAA1B7"/>
    <w:rsid w:val="42CB4703"/>
    <w:rsid w:val="42CD33EE"/>
    <w:rsid w:val="42CDC33F"/>
    <w:rsid w:val="42CDD820"/>
    <w:rsid w:val="42CE0D39"/>
    <w:rsid w:val="42CE8C81"/>
    <w:rsid w:val="42CE8EE4"/>
    <w:rsid w:val="42CEB235"/>
    <w:rsid w:val="42CFAC1B"/>
    <w:rsid w:val="42D026FF"/>
    <w:rsid w:val="42D074F3"/>
    <w:rsid w:val="42D1A972"/>
    <w:rsid w:val="42D32695"/>
    <w:rsid w:val="42D3F6BA"/>
    <w:rsid w:val="42D47FC7"/>
    <w:rsid w:val="42D53711"/>
    <w:rsid w:val="42D55556"/>
    <w:rsid w:val="42D5D84A"/>
    <w:rsid w:val="42D5F324"/>
    <w:rsid w:val="42D63184"/>
    <w:rsid w:val="42D66AD7"/>
    <w:rsid w:val="42D690FB"/>
    <w:rsid w:val="42D69778"/>
    <w:rsid w:val="42D6CB6A"/>
    <w:rsid w:val="42D6F849"/>
    <w:rsid w:val="42D7A2CB"/>
    <w:rsid w:val="42D85294"/>
    <w:rsid w:val="42D8B0AC"/>
    <w:rsid w:val="42D94D7B"/>
    <w:rsid w:val="42D9C7AA"/>
    <w:rsid w:val="42DA12AB"/>
    <w:rsid w:val="42DA8C81"/>
    <w:rsid w:val="42DB1B63"/>
    <w:rsid w:val="42DB45FB"/>
    <w:rsid w:val="42DB54D3"/>
    <w:rsid w:val="42DB81B8"/>
    <w:rsid w:val="42DB9861"/>
    <w:rsid w:val="42DBCE22"/>
    <w:rsid w:val="42DC3508"/>
    <w:rsid w:val="42DCC919"/>
    <w:rsid w:val="42DCEA48"/>
    <w:rsid w:val="42DDD307"/>
    <w:rsid w:val="42DE3130"/>
    <w:rsid w:val="42DE6926"/>
    <w:rsid w:val="42DF7BAA"/>
    <w:rsid w:val="42E03F39"/>
    <w:rsid w:val="42E2024D"/>
    <w:rsid w:val="42E30469"/>
    <w:rsid w:val="42E35A45"/>
    <w:rsid w:val="42E35C21"/>
    <w:rsid w:val="42E364B8"/>
    <w:rsid w:val="42E41444"/>
    <w:rsid w:val="42E4B04E"/>
    <w:rsid w:val="42E4D895"/>
    <w:rsid w:val="42E58E4D"/>
    <w:rsid w:val="42E6781B"/>
    <w:rsid w:val="42E698BF"/>
    <w:rsid w:val="42E6F1E9"/>
    <w:rsid w:val="42E74941"/>
    <w:rsid w:val="42E77FC8"/>
    <w:rsid w:val="42E78016"/>
    <w:rsid w:val="42E7AC1D"/>
    <w:rsid w:val="42E7AFF2"/>
    <w:rsid w:val="42E7C90F"/>
    <w:rsid w:val="42E7FB39"/>
    <w:rsid w:val="42E8E483"/>
    <w:rsid w:val="42E982FD"/>
    <w:rsid w:val="42EA0187"/>
    <w:rsid w:val="42EA47A2"/>
    <w:rsid w:val="42EAB56B"/>
    <w:rsid w:val="42EB2865"/>
    <w:rsid w:val="42EB661F"/>
    <w:rsid w:val="42EBB444"/>
    <w:rsid w:val="42EC1884"/>
    <w:rsid w:val="42EC5938"/>
    <w:rsid w:val="42ED0D99"/>
    <w:rsid w:val="42ED6FC9"/>
    <w:rsid w:val="42EDDC56"/>
    <w:rsid w:val="42EF712A"/>
    <w:rsid w:val="42EF791F"/>
    <w:rsid w:val="42EFE7F5"/>
    <w:rsid w:val="42F1D062"/>
    <w:rsid w:val="42F1D5DA"/>
    <w:rsid w:val="42F5F130"/>
    <w:rsid w:val="42F67C80"/>
    <w:rsid w:val="42F7CA96"/>
    <w:rsid w:val="42F8717C"/>
    <w:rsid w:val="42F87F4C"/>
    <w:rsid w:val="42F8946E"/>
    <w:rsid w:val="42F8F6DD"/>
    <w:rsid w:val="42F98FF5"/>
    <w:rsid w:val="42F998A8"/>
    <w:rsid w:val="42F99BF7"/>
    <w:rsid w:val="42F9B52B"/>
    <w:rsid w:val="42F9FD9B"/>
    <w:rsid w:val="42FA50F0"/>
    <w:rsid w:val="42FA9E68"/>
    <w:rsid w:val="42FAC393"/>
    <w:rsid w:val="42FACAC3"/>
    <w:rsid w:val="42FCAB64"/>
    <w:rsid w:val="42FD0C61"/>
    <w:rsid w:val="42FD476D"/>
    <w:rsid w:val="42FEDC1A"/>
    <w:rsid w:val="42FFBFA2"/>
    <w:rsid w:val="42FFC487"/>
    <w:rsid w:val="42FFF044"/>
    <w:rsid w:val="4300D093"/>
    <w:rsid w:val="4300E9D8"/>
    <w:rsid w:val="430135B2"/>
    <w:rsid w:val="430140C5"/>
    <w:rsid w:val="43018663"/>
    <w:rsid w:val="4301CE64"/>
    <w:rsid w:val="4301F896"/>
    <w:rsid w:val="43025667"/>
    <w:rsid w:val="43029AA1"/>
    <w:rsid w:val="4302C67F"/>
    <w:rsid w:val="430305A7"/>
    <w:rsid w:val="4303864C"/>
    <w:rsid w:val="430398F3"/>
    <w:rsid w:val="4305133E"/>
    <w:rsid w:val="43052A90"/>
    <w:rsid w:val="43057468"/>
    <w:rsid w:val="4305C7EF"/>
    <w:rsid w:val="4306E529"/>
    <w:rsid w:val="43071CA1"/>
    <w:rsid w:val="43073780"/>
    <w:rsid w:val="4307C878"/>
    <w:rsid w:val="43080F1D"/>
    <w:rsid w:val="430824F2"/>
    <w:rsid w:val="43089D7F"/>
    <w:rsid w:val="43099221"/>
    <w:rsid w:val="430A8979"/>
    <w:rsid w:val="430A9B63"/>
    <w:rsid w:val="430AAC11"/>
    <w:rsid w:val="430B1697"/>
    <w:rsid w:val="430BA188"/>
    <w:rsid w:val="430DB6F4"/>
    <w:rsid w:val="430EA9FF"/>
    <w:rsid w:val="430EBA20"/>
    <w:rsid w:val="430F184F"/>
    <w:rsid w:val="430F88FE"/>
    <w:rsid w:val="43101FD2"/>
    <w:rsid w:val="43103ADD"/>
    <w:rsid w:val="43106DB4"/>
    <w:rsid w:val="4310E9AE"/>
    <w:rsid w:val="431131D6"/>
    <w:rsid w:val="43114BDB"/>
    <w:rsid w:val="43117FE2"/>
    <w:rsid w:val="4312B3D4"/>
    <w:rsid w:val="4313D4F6"/>
    <w:rsid w:val="4314ACA4"/>
    <w:rsid w:val="4314ACEC"/>
    <w:rsid w:val="4315094E"/>
    <w:rsid w:val="4315688D"/>
    <w:rsid w:val="43156992"/>
    <w:rsid w:val="43157D59"/>
    <w:rsid w:val="43161480"/>
    <w:rsid w:val="4316BB1B"/>
    <w:rsid w:val="4318063B"/>
    <w:rsid w:val="43182578"/>
    <w:rsid w:val="43184AF9"/>
    <w:rsid w:val="431855E5"/>
    <w:rsid w:val="4319AA3F"/>
    <w:rsid w:val="431AEF05"/>
    <w:rsid w:val="431B6308"/>
    <w:rsid w:val="431BB465"/>
    <w:rsid w:val="431BE7D5"/>
    <w:rsid w:val="431C9A48"/>
    <w:rsid w:val="431D229D"/>
    <w:rsid w:val="431D25C0"/>
    <w:rsid w:val="431D34DE"/>
    <w:rsid w:val="431D35BD"/>
    <w:rsid w:val="431D68C2"/>
    <w:rsid w:val="431DE40A"/>
    <w:rsid w:val="431E4D19"/>
    <w:rsid w:val="431E5C41"/>
    <w:rsid w:val="431E7218"/>
    <w:rsid w:val="431F1FD6"/>
    <w:rsid w:val="4320775A"/>
    <w:rsid w:val="4320A167"/>
    <w:rsid w:val="4320E625"/>
    <w:rsid w:val="43215BEE"/>
    <w:rsid w:val="4321AE5D"/>
    <w:rsid w:val="43222D19"/>
    <w:rsid w:val="4322E3D1"/>
    <w:rsid w:val="43233AC5"/>
    <w:rsid w:val="432389FE"/>
    <w:rsid w:val="43241427"/>
    <w:rsid w:val="43241C64"/>
    <w:rsid w:val="432480DA"/>
    <w:rsid w:val="43256CB3"/>
    <w:rsid w:val="43257C86"/>
    <w:rsid w:val="4325A247"/>
    <w:rsid w:val="4325FEE3"/>
    <w:rsid w:val="43268C72"/>
    <w:rsid w:val="43270EAC"/>
    <w:rsid w:val="432A1EA9"/>
    <w:rsid w:val="432A8152"/>
    <w:rsid w:val="432A99FE"/>
    <w:rsid w:val="432AEEB7"/>
    <w:rsid w:val="432B1DF9"/>
    <w:rsid w:val="432BB9C3"/>
    <w:rsid w:val="432BC737"/>
    <w:rsid w:val="432CC7BB"/>
    <w:rsid w:val="432D1DF7"/>
    <w:rsid w:val="432D87A8"/>
    <w:rsid w:val="432DD78B"/>
    <w:rsid w:val="432E35ED"/>
    <w:rsid w:val="432E76F3"/>
    <w:rsid w:val="432E8CAA"/>
    <w:rsid w:val="432FD966"/>
    <w:rsid w:val="433048AD"/>
    <w:rsid w:val="43304E58"/>
    <w:rsid w:val="43309B97"/>
    <w:rsid w:val="4330FC50"/>
    <w:rsid w:val="43319DED"/>
    <w:rsid w:val="4331DD0C"/>
    <w:rsid w:val="4331E45F"/>
    <w:rsid w:val="4331EBC8"/>
    <w:rsid w:val="433271EE"/>
    <w:rsid w:val="4332A655"/>
    <w:rsid w:val="4333A37A"/>
    <w:rsid w:val="43354A18"/>
    <w:rsid w:val="4335C146"/>
    <w:rsid w:val="433607D7"/>
    <w:rsid w:val="4336082E"/>
    <w:rsid w:val="43364B4C"/>
    <w:rsid w:val="4336826C"/>
    <w:rsid w:val="4336BD64"/>
    <w:rsid w:val="433737A9"/>
    <w:rsid w:val="43377D22"/>
    <w:rsid w:val="4337F552"/>
    <w:rsid w:val="43396714"/>
    <w:rsid w:val="433A3E94"/>
    <w:rsid w:val="433A6A2D"/>
    <w:rsid w:val="433A8FBA"/>
    <w:rsid w:val="433BA177"/>
    <w:rsid w:val="433BC961"/>
    <w:rsid w:val="433C3638"/>
    <w:rsid w:val="433D051B"/>
    <w:rsid w:val="433D7F62"/>
    <w:rsid w:val="433D807C"/>
    <w:rsid w:val="433E034D"/>
    <w:rsid w:val="433EF350"/>
    <w:rsid w:val="433F2450"/>
    <w:rsid w:val="433F3274"/>
    <w:rsid w:val="433F868E"/>
    <w:rsid w:val="433F9ED1"/>
    <w:rsid w:val="433FC5FD"/>
    <w:rsid w:val="433FCED1"/>
    <w:rsid w:val="4340690A"/>
    <w:rsid w:val="43408428"/>
    <w:rsid w:val="4340BA3E"/>
    <w:rsid w:val="43417004"/>
    <w:rsid w:val="4341853A"/>
    <w:rsid w:val="4342B10D"/>
    <w:rsid w:val="4342F22C"/>
    <w:rsid w:val="43435539"/>
    <w:rsid w:val="4344ED15"/>
    <w:rsid w:val="43454A5E"/>
    <w:rsid w:val="4345CB9A"/>
    <w:rsid w:val="43468B3C"/>
    <w:rsid w:val="4346CAAE"/>
    <w:rsid w:val="43479DE1"/>
    <w:rsid w:val="4349246A"/>
    <w:rsid w:val="43495D14"/>
    <w:rsid w:val="4349C8E5"/>
    <w:rsid w:val="434A2B9C"/>
    <w:rsid w:val="434A7B21"/>
    <w:rsid w:val="434B12B9"/>
    <w:rsid w:val="434B2461"/>
    <w:rsid w:val="434BABDD"/>
    <w:rsid w:val="434BC395"/>
    <w:rsid w:val="434BF4E2"/>
    <w:rsid w:val="434D144F"/>
    <w:rsid w:val="434D17DF"/>
    <w:rsid w:val="434D284E"/>
    <w:rsid w:val="434DB98D"/>
    <w:rsid w:val="434E081C"/>
    <w:rsid w:val="434E8451"/>
    <w:rsid w:val="434E90F7"/>
    <w:rsid w:val="434E979A"/>
    <w:rsid w:val="434FA6B0"/>
    <w:rsid w:val="4350D51C"/>
    <w:rsid w:val="435157D1"/>
    <w:rsid w:val="43517C9F"/>
    <w:rsid w:val="4351E049"/>
    <w:rsid w:val="435218DF"/>
    <w:rsid w:val="43531765"/>
    <w:rsid w:val="4353E9F0"/>
    <w:rsid w:val="43548950"/>
    <w:rsid w:val="4354B80B"/>
    <w:rsid w:val="435525B9"/>
    <w:rsid w:val="435587C9"/>
    <w:rsid w:val="4355DE50"/>
    <w:rsid w:val="43564908"/>
    <w:rsid w:val="43568EE4"/>
    <w:rsid w:val="4356AFDA"/>
    <w:rsid w:val="4356B549"/>
    <w:rsid w:val="43579965"/>
    <w:rsid w:val="43581655"/>
    <w:rsid w:val="43587AD6"/>
    <w:rsid w:val="43591678"/>
    <w:rsid w:val="435A1291"/>
    <w:rsid w:val="435A3FD6"/>
    <w:rsid w:val="435A4E6D"/>
    <w:rsid w:val="435A69C1"/>
    <w:rsid w:val="435AD73D"/>
    <w:rsid w:val="435B215E"/>
    <w:rsid w:val="435BA18C"/>
    <w:rsid w:val="435C2EAC"/>
    <w:rsid w:val="435CDC78"/>
    <w:rsid w:val="435D109B"/>
    <w:rsid w:val="435D4C44"/>
    <w:rsid w:val="435D7CE5"/>
    <w:rsid w:val="435DEA51"/>
    <w:rsid w:val="435E7055"/>
    <w:rsid w:val="435EABD5"/>
    <w:rsid w:val="435EFCC4"/>
    <w:rsid w:val="435FD2AC"/>
    <w:rsid w:val="43608D62"/>
    <w:rsid w:val="43615E94"/>
    <w:rsid w:val="43617EA6"/>
    <w:rsid w:val="43619693"/>
    <w:rsid w:val="43628012"/>
    <w:rsid w:val="4363EC6A"/>
    <w:rsid w:val="43646CD0"/>
    <w:rsid w:val="43649141"/>
    <w:rsid w:val="436609C6"/>
    <w:rsid w:val="436625EB"/>
    <w:rsid w:val="43675F27"/>
    <w:rsid w:val="4367947A"/>
    <w:rsid w:val="4368639D"/>
    <w:rsid w:val="4368F90E"/>
    <w:rsid w:val="43697BF5"/>
    <w:rsid w:val="4369F5CD"/>
    <w:rsid w:val="436AA0BA"/>
    <w:rsid w:val="436C65BD"/>
    <w:rsid w:val="436C6C98"/>
    <w:rsid w:val="436CBD39"/>
    <w:rsid w:val="436D93BD"/>
    <w:rsid w:val="436DC39E"/>
    <w:rsid w:val="436DC9B8"/>
    <w:rsid w:val="436E3F48"/>
    <w:rsid w:val="436E4B8B"/>
    <w:rsid w:val="436ED411"/>
    <w:rsid w:val="436FFC0D"/>
    <w:rsid w:val="43711F65"/>
    <w:rsid w:val="4371BC28"/>
    <w:rsid w:val="4372648D"/>
    <w:rsid w:val="4372AF27"/>
    <w:rsid w:val="4373CB30"/>
    <w:rsid w:val="4374616D"/>
    <w:rsid w:val="4375415C"/>
    <w:rsid w:val="43780C2E"/>
    <w:rsid w:val="43781286"/>
    <w:rsid w:val="43785427"/>
    <w:rsid w:val="4378FFE2"/>
    <w:rsid w:val="4379128C"/>
    <w:rsid w:val="43792A34"/>
    <w:rsid w:val="43795292"/>
    <w:rsid w:val="437AC783"/>
    <w:rsid w:val="437ACD86"/>
    <w:rsid w:val="437AD25E"/>
    <w:rsid w:val="437B4E4A"/>
    <w:rsid w:val="437B5A1F"/>
    <w:rsid w:val="437BC7AE"/>
    <w:rsid w:val="437BDC76"/>
    <w:rsid w:val="437C038A"/>
    <w:rsid w:val="437C48C4"/>
    <w:rsid w:val="437CB874"/>
    <w:rsid w:val="437D4517"/>
    <w:rsid w:val="437DE414"/>
    <w:rsid w:val="437DE829"/>
    <w:rsid w:val="437F8CB6"/>
    <w:rsid w:val="437F9604"/>
    <w:rsid w:val="4380E757"/>
    <w:rsid w:val="43815B0C"/>
    <w:rsid w:val="43816586"/>
    <w:rsid w:val="4381B93B"/>
    <w:rsid w:val="43821CE0"/>
    <w:rsid w:val="4382251B"/>
    <w:rsid w:val="4382357C"/>
    <w:rsid w:val="43824017"/>
    <w:rsid w:val="4382C960"/>
    <w:rsid w:val="4382CDC8"/>
    <w:rsid w:val="4382EEBE"/>
    <w:rsid w:val="4382F8FA"/>
    <w:rsid w:val="4383022F"/>
    <w:rsid w:val="43834174"/>
    <w:rsid w:val="43834E3B"/>
    <w:rsid w:val="438354E5"/>
    <w:rsid w:val="4383CAB8"/>
    <w:rsid w:val="4384433E"/>
    <w:rsid w:val="438490A3"/>
    <w:rsid w:val="4384E3AB"/>
    <w:rsid w:val="4384E435"/>
    <w:rsid w:val="43856A3B"/>
    <w:rsid w:val="43856B74"/>
    <w:rsid w:val="4385AC18"/>
    <w:rsid w:val="4386715E"/>
    <w:rsid w:val="43867D5C"/>
    <w:rsid w:val="4386F832"/>
    <w:rsid w:val="43872A9D"/>
    <w:rsid w:val="43892E44"/>
    <w:rsid w:val="438961BC"/>
    <w:rsid w:val="438AF796"/>
    <w:rsid w:val="438B501F"/>
    <w:rsid w:val="438EAB8B"/>
    <w:rsid w:val="438EE611"/>
    <w:rsid w:val="438EED02"/>
    <w:rsid w:val="438F0B9B"/>
    <w:rsid w:val="438F3BA7"/>
    <w:rsid w:val="438FB34E"/>
    <w:rsid w:val="43902AD0"/>
    <w:rsid w:val="4390782F"/>
    <w:rsid w:val="4390959D"/>
    <w:rsid w:val="4390B829"/>
    <w:rsid w:val="4391BA1A"/>
    <w:rsid w:val="4391C976"/>
    <w:rsid w:val="4391F7B3"/>
    <w:rsid w:val="43920794"/>
    <w:rsid w:val="4392D344"/>
    <w:rsid w:val="43937842"/>
    <w:rsid w:val="43937B57"/>
    <w:rsid w:val="43939205"/>
    <w:rsid w:val="4393A2BC"/>
    <w:rsid w:val="43942BFA"/>
    <w:rsid w:val="43946C36"/>
    <w:rsid w:val="4394F006"/>
    <w:rsid w:val="4395236B"/>
    <w:rsid w:val="4395AECF"/>
    <w:rsid w:val="4395FACA"/>
    <w:rsid w:val="43962119"/>
    <w:rsid w:val="43971826"/>
    <w:rsid w:val="43973329"/>
    <w:rsid w:val="43977EA8"/>
    <w:rsid w:val="43979719"/>
    <w:rsid w:val="43979A47"/>
    <w:rsid w:val="4397A43F"/>
    <w:rsid w:val="43989FF3"/>
    <w:rsid w:val="43995BA9"/>
    <w:rsid w:val="439A73D9"/>
    <w:rsid w:val="439AA34E"/>
    <w:rsid w:val="439B3344"/>
    <w:rsid w:val="439C868F"/>
    <w:rsid w:val="439CBB00"/>
    <w:rsid w:val="439CC91A"/>
    <w:rsid w:val="439CE0BB"/>
    <w:rsid w:val="439D1F69"/>
    <w:rsid w:val="439D3E05"/>
    <w:rsid w:val="439E1C86"/>
    <w:rsid w:val="439E7C0E"/>
    <w:rsid w:val="439E9781"/>
    <w:rsid w:val="439ED058"/>
    <w:rsid w:val="439F0204"/>
    <w:rsid w:val="439F856C"/>
    <w:rsid w:val="439F9153"/>
    <w:rsid w:val="439F9798"/>
    <w:rsid w:val="439FAFD1"/>
    <w:rsid w:val="439FF8E1"/>
    <w:rsid w:val="43A07FD4"/>
    <w:rsid w:val="43A0AEA7"/>
    <w:rsid w:val="43A0D5CC"/>
    <w:rsid w:val="43A11AF2"/>
    <w:rsid w:val="43A1473C"/>
    <w:rsid w:val="43A18087"/>
    <w:rsid w:val="43A23A45"/>
    <w:rsid w:val="43A2784A"/>
    <w:rsid w:val="43A2DE68"/>
    <w:rsid w:val="43A3B47E"/>
    <w:rsid w:val="43A427F1"/>
    <w:rsid w:val="43A54D7F"/>
    <w:rsid w:val="43A58533"/>
    <w:rsid w:val="43A680CC"/>
    <w:rsid w:val="43A68DAE"/>
    <w:rsid w:val="43A73317"/>
    <w:rsid w:val="43A83BE6"/>
    <w:rsid w:val="43A8A5F4"/>
    <w:rsid w:val="43A95C57"/>
    <w:rsid w:val="43AA7BD2"/>
    <w:rsid w:val="43AC081C"/>
    <w:rsid w:val="43AC1FFE"/>
    <w:rsid w:val="43AD43D5"/>
    <w:rsid w:val="43ADCA77"/>
    <w:rsid w:val="43AE4F65"/>
    <w:rsid w:val="43AF356B"/>
    <w:rsid w:val="43AF3F45"/>
    <w:rsid w:val="43AF783C"/>
    <w:rsid w:val="43AF956E"/>
    <w:rsid w:val="43AFE58B"/>
    <w:rsid w:val="43AFF41E"/>
    <w:rsid w:val="43B03F22"/>
    <w:rsid w:val="43B08C78"/>
    <w:rsid w:val="43B091A5"/>
    <w:rsid w:val="43B094C4"/>
    <w:rsid w:val="43B0D092"/>
    <w:rsid w:val="43B0E98D"/>
    <w:rsid w:val="43B18649"/>
    <w:rsid w:val="43B25AAE"/>
    <w:rsid w:val="43B33CEC"/>
    <w:rsid w:val="43B3AE38"/>
    <w:rsid w:val="43B3DD86"/>
    <w:rsid w:val="43B3F3A7"/>
    <w:rsid w:val="43B49705"/>
    <w:rsid w:val="43B52C30"/>
    <w:rsid w:val="43B57866"/>
    <w:rsid w:val="43B5A76D"/>
    <w:rsid w:val="43B6006F"/>
    <w:rsid w:val="43B69F09"/>
    <w:rsid w:val="43B718CE"/>
    <w:rsid w:val="43B7AF66"/>
    <w:rsid w:val="43B8C38B"/>
    <w:rsid w:val="43B9786D"/>
    <w:rsid w:val="43BA3DD7"/>
    <w:rsid w:val="43BA4E6B"/>
    <w:rsid w:val="43BA8852"/>
    <w:rsid w:val="43BBAF7C"/>
    <w:rsid w:val="43BCC5C3"/>
    <w:rsid w:val="43BD8EE0"/>
    <w:rsid w:val="43BE440C"/>
    <w:rsid w:val="43BEC760"/>
    <w:rsid w:val="43BED4B2"/>
    <w:rsid w:val="43C0921E"/>
    <w:rsid w:val="43C1509E"/>
    <w:rsid w:val="43C2556B"/>
    <w:rsid w:val="43C2D6E3"/>
    <w:rsid w:val="43C3ECBF"/>
    <w:rsid w:val="43C4BB06"/>
    <w:rsid w:val="43C4EBEB"/>
    <w:rsid w:val="43C57306"/>
    <w:rsid w:val="43C7E255"/>
    <w:rsid w:val="43C83337"/>
    <w:rsid w:val="43C839BB"/>
    <w:rsid w:val="43C95357"/>
    <w:rsid w:val="43C956F2"/>
    <w:rsid w:val="43C9B6B3"/>
    <w:rsid w:val="43CA8BEB"/>
    <w:rsid w:val="43CB0805"/>
    <w:rsid w:val="43CB3907"/>
    <w:rsid w:val="43CB82F3"/>
    <w:rsid w:val="43CBAB2F"/>
    <w:rsid w:val="43CBAC68"/>
    <w:rsid w:val="43CC4076"/>
    <w:rsid w:val="43CC6424"/>
    <w:rsid w:val="43CD3B7B"/>
    <w:rsid w:val="43CE31C0"/>
    <w:rsid w:val="43CE3859"/>
    <w:rsid w:val="43CE3B22"/>
    <w:rsid w:val="43CF64D5"/>
    <w:rsid w:val="43D066CD"/>
    <w:rsid w:val="43D0E1AA"/>
    <w:rsid w:val="43D1C160"/>
    <w:rsid w:val="43D1CC94"/>
    <w:rsid w:val="43D1F4A9"/>
    <w:rsid w:val="43D35DB6"/>
    <w:rsid w:val="43D3FCB4"/>
    <w:rsid w:val="43D57078"/>
    <w:rsid w:val="43D57441"/>
    <w:rsid w:val="43D5DE4E"/>
    <w:rsid w:val="43D60C78"/>
    <w:rsid w:val="43D739E3"/>
    <w:rsid w:val="43D7890D"/>
    <w:rsid w:val="43D79069"/>
    <w:rsid w:val="43D8134D"/>
    <w:rsid w:val="43D8CC7C"/>
    <w:rsid w:val="43D9049E"/>
    <w:rsid w:val="43DA214B"/>
    <w:rsid w:val="43DA3C99"/>
    <w:rsid w:val="43DAECD6"/>
    <w:rsid w:val="43DC1EBE"/>
    <w:rsid w:val="43DC2A1A"/>
    <w:rsid w:val="43DC57B7"/>
    <w:rsid w:val="43DC7673"/>
    <w:rsid w:val="43DCB488"/>
    <w:rsid w:val="43DD8B4D"/>
    <w:rsid w:val="43DDD446"/>
    <w:rsid w:val="43DDDA1B"/>
    <w:rsid w:val="43DEE22F"/>
    <w:rsid w:val="43DEE85E"/>
    <w:rsid w:val="43DF464E"/>
    <w:rsid w:val="43DFA9FB"/>
    <w:rsid w:val="43E1BA1C"/>
    <w:rsid w:val="43E204AA"/>
    <w:rsid w:val="43E217E6"/>
    <w:rsid w:val="43E23E78"/>
    <w:rsid w:val="43E27C15"/>
    <w:rsid w:val="43E29F22"/>
    <w:rsid w:val="43E311CC"/>
    <w:rsid w:val="43E3180C"/>
    <w:rsid w:val="43E3A11E"/>
    <w:rsid w:val="43E459A7"/>
    <w:rsid w:val="43E4A57E"/>
    <w:rsid w:val="43E4F0F4"/>
    <w:rsid w:val="43E52665"/>
    <w:rsid w:val="43E56B93"/>
    <w:rsid w:val="43E6A204"/>
    <w:rsid w:val="43E6CA31"/>
    <w:rsid w:val="43E84583"/>
    <w:rsid w:val="43E8872E"/>
    <w:rsid w:val="43E8890D"/>
    <w:rsid w:val="43E90DBA"/>
    <w:rsid w:val="43E99B43"/>
    <w:rsid w:val="43E9DAE0"/>
    <w:rsid w:val="43EA489D"/>
    <w:rsid w:val="43EBBF92"/>
    <w:rsid w:val="43ED160D"/>
    <w:rsid w:val="43EDDB28"/>
    <w:rsid w:val="43EE869C"/>
    <w:rsid w:val="43EEC719"/>
    <w:rsid w:val="43EECCA2"/>
    <w:rsid w:val="43EF2049"/>
    <w:rsid w:val="43EFD962"/>
    <w:rsid w:val="43EFEED3"/>
    <w:rsid w:val="43F078FC"/>
    <w:rsid w:val="43F0A4E5"/>
    <w:rsid w:val="43F0BBE6"/>
    <w:rsid w:val="43F0C367"/>
    <w:rsid w:val="43F2295F"/>
    <w:rsid w:val="43F24AB5"/>
    <w:rsid w:val="43F33315"/>
    <w:rsid w:val="43F47DED"/>
    <w:rsid w:val="43F5068D"/>
    <w:rsid w:val="43F5F406"/>
    <w:rsid w:val="43F741A9"/>
    <w:rsid w:val="43F7DC73"/>
    <w:rsid w:val="43F807FA"/>
    <w:rsid w:val="43F863EB"/>
    <w:rsid w:val="43F88B8E"/>
    <w:rsid w:val="43F8B3A5"/>
    <w:rsid w:val="43F91E03"/>
    <w:rsid w:val="43F98308"/>
    <w:rsid w:val="43FA6566"/>
    <w:rsid w:val="43FAD6E1"/>
    <w:rsid w:val="43FAD9E8"/>
    <w:rsid w:val="43FB0DE1"/>
    <w:rsid w:val="43FB1753"/>
    <w:rsid w:val="43FB2C64"/>
    <w:rsid w:val="43FC1495"/>
    <w:rsid w:val="43FC3A19"/>
    <w:rsid w:val="43FC4176"/>
    <w:rsid w:val="43FC4B1C"/>
    <w:rsid w:val="43FC68E6"/>
    <w:rsid w:val="43FC8CFA"/>
    <w:rsid w:val="43FD1F19"/>
    <w:rsid w:val="43FD7DDE"/>
    <w:rsid w:val="43FD93E7"/>
    <w:rsid w:val="43FDCCE8"/>
    <w:rsid w:val="43FE597B"/>
    <w:rsid w:val="43FEA7A1"/>
    <w:rsid w:val="43FEC6EA"/>
    <w:rsid w:val="43FFAD09"/>
    <w:rsid w:val="43FFFB1A"/>
    <w:rsid w:val="43FFFEC3"/>
    <w:rsid w:val="440020D6"/>
    <w:rsid w:val="44006952"/>
    <w:rsid w:val="4400C2D8"/>
    <w:rsid w:val="4400F15B"/>
    <w:rsid w:val="44014805"/>
    <w:rsid w:val="44020879"/>
    <w:rsid w:val="44021104"/>
    <w:rsid w:val="4402E95F"/>
    <w:rsid w:val="44035466"/>
    <w:rsid w:val="440389A1"/>
    <w:rsid w:val="44046F49"/>
    <w:rsid w:val="4405A652"/>
    <w:rsid w:val="4405D868"/>
    <w:rsid w:val="4405EDD7"/>
    <w:rsid w:val="44063FBE"/>
    <w:rsid w:val="44065F90"/>
    <w:rsid w:val="4406800D"/>
    <w:rsid w:val="44068D1C"/>
    <w:rsid w:val="4406C500"/>
    <w:rsid w:val="4407BEA0"/>
    <w:rsid w:val="4408662E"/>
    <w:rsid w:val="440A523E"/>
    <w:rsid w:val="440B0400"/>
    <w:rsid w:val="440B0E4C"/>
    <w:rsid w:val="440B25B0"/>
    <w:rsid w:val="440B3BE6"/>
    <w:rsid w:val="440B403D"/>
    <w:rsid w:val="440B7D7D"/>
    <w:rsid w:val="440BBD0C"/>
    <w:rsid w:val="440D1E79"/>
    <w:rsid w:val="440D3379"/>
    <w:rsid w:val="440D95D9"/>
    <w:rsid w:val="440DBA25"/>
    <w:rsid w:val="440E4D17"/>
    <w:rsid w:val="440E5A3F"/>
    <w:rsid w:val="440F1683"/>
    <w:rsid w:val="440F1CC1"/>
    <w:rsid w:val="440F23B3"/>
    <w:rsid w:val="440F7FEE"/>
    <w:rsid w:val="440FCC83"/>
    <w:rsid w:val="4410EE92"/>
    <w:rsid w:val="44113124"/>
    <w:rsid w:val="44116E32"/>
    <w:rsid w:val="4411DD32"/>
    <w:rsid w:val="44121D26"/>
    <w:rsid w:val="44122534"/>
    <w:rsid w:val="4412BF70"/>
    <w:rsid w:val="441368F5"/>
    <w:rsid w:val="4413ACFB"/>
    <w:rsid w:val="441404EA"/>
    <w:rsid w:val="4414347E"/>
    <w:rsid w:val="44145D80"/>
    <w:rsid w:val="4415E901"/>
    <w:rsid w:val="4416D328"/>
    <w:rsid w:val="4417395E"/>
    <w:rsid w:val="44183708"/>
    <w:rsid w:val="4418693F"/>
    <w:rsid w:val="441922C5"/>
    <w:rsid w:val="441955F9"/>
    <w:rsid w:val="441A7205"/>
    <w:rsid w:val="441AAEB8"/>
    <w:rsid w:val="441AD93C"/>
    <w:rsid w:val="441ADC03"/>
    <w:rsid w:val="441B24E8"/>
    <w:rsid w:val="441B9ECF"/>
    <w:rsid w:val="441BB2EB"/>
    <w:rsid w:val="441C4E6F"/>
    <w:rsid w:val="441CFAFD"/>
    <w:rsid w:val="441D159E"/>
    <w:rsid w:val="441DA528"/>
    <w:rsid w:val="441DB83E"/>
    <w:rsid w:val="441E8E2C"/>
    <w:rsid w:val="441F95A8"/>
    <w:rsid w:val="4420045B"/>
    <w:rsid w:val="44216134"/>
    <w:rsid w:val="44218CA6"/>
    <w:rsid w:val="4421E308"/>
    <w:rsid w:val="44223DAB"/>
    <w:rsid w:val="4422A6F0"/>
    <w:rsid w:val="4423AF14"/>
    <w:rsid w:val="4423E48D"/>
    <w:rsid w:val="44253A55"/>
    <w:rsid w:val="44253E32"/>
    <w:rsid w:val="44254026"/>
    <w:rsid w:val="442573EA"/>
    <w:rsid w:val="4426E282"/>
    <w:rsid w:val="44271726"/>
    <w:rsid w:val="44275F54"/>
    <w:rsid w:val="44280B85"/>
    <w:rsid w:val="44285D11"/>
    <w:rsid w:val="44287795"/>
    <w:rsid w:val="442A78D8"/>
    <w:rsid w:val="442B7D7D"/>
    <w:rsid w:val="442C0D97"/>
    <w:rsid w:val="442C16E1"/>
    <w:rsid w:val="442CDE50"/>
    <w:rsid w:val="442CF038"/>
    <w:rsid w:val="442DAB84"/>
    <w:rsid w:val="442DE4B7"/>
    <w:rsid w:val="442DF0D0"/>
    <w:rsid w:val="442EAAF9"/>
    <w:rsid w:val="442FA061"/>
    <w:rsid w:val="44300AFF"/>
    <w:rsid w:val="44304094"/>
    <w:rsid w:val="4430D1C3"/>
    <w:rsid w:val="44319CA7"/>
    <w:rsid w:val="4431CB4F"/>
    <w:rsid w:val="44327A7E"/>
    <w:rsid w:val="4432ED2C"/>
    <w:rsid w:val="4433BF6C"/>
    <w:rsid w:val="4433D2E5"/>
    <w:rsid w:val="44341F93"/>
    <w:rsid w:val="4434A5B4"/>
    <w:rsid w:val="44353FEA"/>
    <w:rsid w:val="44355270"/>
    <w:rsid w:val="44360C4C"/>
    <w:rsid w:val="44366F04"/>
    <w:rsid w:val="4436B380"/>
    <w:rsid w:val="4436D2C2"/>
    <w:rsid w:val="44390FA8"/>
    <w:rsid w:val="44393E18"/>
    <w:rsid w:val="44399087"/>
    <w:rsid w:val="443A36D1"/>
    <w:rsid w:val="443A73FA"/>
    <w:rsid w:val="443A7A0B"/>
    <w:rsid w:val="443ADDDB"/>
    <w:rsid w:val="443AF5C9"/>
    <w:rsid w:val="443B973C"/>
    <w:rsid w:val="443BE41C"/>
    <w:rsid w:val="443BE8A8"/>
    <w:rsid w:val="443C3FBF"/>
    <w:rsid w:val="443E0A1C"/>
    <w:rsid w:val="443E86CC"/>
    <w:rsid w:val="443EDCF0"/>
    <w:rsid w:val="443F09FF"/>
    <w:rsid w:val="443F0B94"/>
    <w:rsid w:val="443F607A"/>
    <w:rsid w:val="443FA86D"/>
    <w:rsid w:val="443FEC96"/>
    <w:rsid w:val="44401B70"/>
    <w:rsid w:val="44409C60"/>
    <w:rsid w:val="4441938B"/>
    <w:rsid w:val="44419478"/>
    <w:rsid w:val="444291E9"/>
    <w:rsid w:val="444306D3"/>
    <w:rsid w:val="4443086F"/>
    <w:rsid w:val="444374E8"/>
    <w:rsid w:val="4444009F"/>
    <w:rsid w:val="44441031"/>
    <w:rsid w:val="444497E1"/>
    <w:rsid w:val="4444BECD"/>
    <w:rsid w:val="444534CD"/>
    <w:rsid w:val="44456B1F"/>
    <w:rsid w:val="4446464E"/>
    <w:rsid w:val="44477862"/>
    <w:rsid w:val="4447B003"/>
    <w:rsid w:val="444962D7"/>
    <w:rsid w:val="444A07EC"/>
    <w:rsid w:val="444A9E08"/>
    <w:rsid w:val="444CDB2B"/>
    <w:rsid w:val="444DB552"/>
    <w:rsid w:val="444E2CA2"/>
    <w:rsid w:val="444E711F"/>
    <w:rsid w:val="444E7504"/>
    <w:rsid w:val="444E93E7"/>
    <w:rsid w:val="444EAC05"/>
    <w:rsid w:val="444EEB14"/>
    <w:rsid w:val="444F3E69"/>
    <w:rsid w:val="444F4010"/>
    <w:rsid w:val="444F7AD8"/>
    <w:rsid w:val="444FA9E6"/>
    <w:rsid w:val="44500B05"/>
    <w:rsid w:val="4450FB3E"/>
    <w:rsid w:val="4451909B"/>
    <w:rsid w:val="4452261D"/>
    <w:rsid w:val="4452E3B9"/>
    <w:rsid w:val="44542F82"/>
    <w:rsid w:val="44545C8F"/>
    <w:rsid w:val="44549160"/>
    <w:rsid w:val="4454A1A5"/>
    <w:rsid w:val="44553FE7"/>
    <w:rsid w:val="4455492F"/>
    <w:rsid w:val="44555349"/>
    <w:rsid w:val="44556582"/>
    <w:rsid w:val="445616A9"/>
    <w:rsid w:val="4456665B"/>
    <w:rsid w:val="4456D81A"/>
    <w:rsid w:val="4456DA1D"/>
    <w:rsid w:val="44581F91"/>
    <w:rsid w:val="445862F0"/>
    <w:rsid w:val="44598EA4"/>
    <w:rsid w:val="445A38F8"/>
    <w:rsid w:val="445A6CDF"/>
    <w:rsid w:val="445BE92F"/>
    <w:rsid w:val="445BEED3"/>
    <w:rsid w:val="445C0DA7"/>
    <w:rsid w:val="445C60D3"/>
    <w:rsid w:val="445D5532"/>
    <w:rsid w:val="445D6E2E"/>
    <w:rsid w:val="445E1AA3"/>
    <w:rsid w:val="445E3F1C"/>
    <w:rsid w:val="445E863D"/>
    <w:rsid w:val="445F0566"/>
    <w:rsid w:val="44604968"/>
    <w:rsid w:val="4460A07C"/>
    <w:rsid w:val="44615DFB"/>
    <w:rsid w:val="446160C7"/>
    <w:rsid w:val="446165F2"/>
    <w:rsid w:val="4461C0B2"/>
    <w:rsid w:val="4461C659"/>
    <w:rsid w:val="4461E444"/>
    <w:rsid w:val="4462E3CF"/>
    <w:rsid w:val="44630FF4"/>
    <w:rsid w:val="44638A06"/>
    <w:rsid w:val="4463B2F1"/>
    <w:rsid w:val="4463C032"/>
    <w:rsid w:val="446435B2"/>
    <w:rsid w:val="44651E9A"/>
    <w:rsid w:val="4465A316"/>
    <w:rsid w:val="4466DEF6"/>
    <w:rsid w:val="4467AFAB"/>
    <w:rsid w:val="44683973"/>
    <w:rsid w:val="446988B7"/>
    <w:rsid w:val="4469E7E5"/>
    <w:rsid w:val="446A52EF"/>
    <w:rsid w:val="446A6AC2"/>
    <w:rsid w:val="446AA8D9"/>
    <w:rsid w:val="446B5395"/>
    <w:rsid w:val="446CD77C"/>
    <w:rsid w:val="446D4166"/>
    <w:rsid w:val="446EEBB0"/>
    <w:rsid w:val="446F16C8"/>
    <w:rsid w:val="446F41D5"/>
    <w:rsid w:val="446FB8A6"/>
    <w:rsid w:val="44701B0A"/>
    <w:rsid w:val="44704CAD"/>
    <w:rsid w:val="4470830B"/>
    <w:rsid w:val="44717118"/>
    <w:rsid w:val="4471C0B5"/>
    <w:rsid w:val="4471D463"/>
    <w:rsid w:val="44721B6F"/>
    <w:rsid w:val="4472544A"/>
    <w:rsid w:val="4472B224"/>
    <w:rsid w:val="4472C12F"/>
    <w:rsid w:val="44739EC1"/>
    <w:rsid w:val="4473A2F5"/>
    <w:rsid w:val="4473CDC9"/>
    <w:rsid w:val="4473D5AB"/>
    <w:rsid w:val="44747AD4"/>
    <w:rsid w:val="4475240B"/>
    <w:rsid w:val="44755170"/>
    <w:rsid w:val="4476BBDF"/>
    <w:rsid w:val="44777345"/>
    <w:rsid w:val="4477CEB0"/>
    <w:rsid w:val="4477D28C"/>
    <w:rsid w:val="44784F3E"/>
    <w:rsid w:val="44785465"/>
    <w:rsid w:val="44788019"/>
    <w:rsid w:val="44799F6C"/>
    <w:rsid w:val="4479BEF2"/>
    <w:rsid w:val="447BADB1"/>
    <w:rsid w:val="447CB6A0"/>
    <w:rsid w:val="447CDDA4"/>
    <w:rsid w:val="447CEFDA"/>
    <w:rsid w:val="447E6506"/>
    <w:rsid w:val="447EAC89"/>
    <w:rsid w:val="447EAE71"/>
    <w:rsid w:val="447F5C31"/>
    <w:rsid w:val="447F85C9"/>
    <w:rsid w:val="4480F52D"/>
    <w:rsid w:val="44828013"/>
    <w:rsid w:val="4482DF5E"/>
    <w:rsid w:val="4483EA1A"/>
    <w:rsid w:val="44843806"/>
    <w:rsid w:val="44848A23"/>
    <w:rsid w:val="44848F46"/>
    <w:rsid w:val="44852F2E"/>
    <w:rsid w:val="4485C5CD"/>
    <w:rsid w:val="448653C4"/>
    <w:rsid w:val="44866269"/>
    <w:rsid w:val="4487E1C7"/>
    <w:rsid w:val="44882817"/>
    <w:rsid w:val="4488A6F9"/>
    <w:rsid w:val="448982C8"/>
    <w:rsid w:val="4489AF28"/>
    <w:rsid w:val="448B9950"/>
    <w:rsid w:val="448BEF47"/>
    <w:rsid w:val="448C349A"/>
    <w:rsid w:val="448C79FB"/>
    <w:rsid w:val="448CB723"/>
    <w:rsid w:val="448CCA17"/>
    <w:rsid w:val="448D04E8"/>
    <w:rsid w:val="448EB4AF"/>
    <w:rsid w:val="448EE7E9"/>
    <w:rsid w:val="448F1D9A"/>
    <w:rsid w:val="448FC7CC"/>
    <w:rsid w:val="44904200"/>
    <w:rsid w:val="44905CAD"/>
    <w:rsid w:val="44912412"/>
    <w:rsid w:val="449165F7"/>
    <w:rsid w:val="4491C108"/>
    <w:rsid w:val="4491CF25"/>
    <w:rsid w:val="4491D183"/>
    <w:rsid w:val="449238E5"/>
    <w:rsid w:val="4493339C"/>
    <w:rsid w:val="44941E5E"/>
    <w:rsid w:val="449460EF"/>
    <w:rsid w:val="4494627E"/>
    <w:rsid w:val="4494E78A"/>
    <w:rsid w:val="4495826A"/>
    <w:rsid w:val="44962016"/>
    <w:rsid w:val="4496EA8E"/>
    <w:rsid w:val="4496F9DC"/>
    <w:rsid w:val="44973610"/>
    <w:rsid w:val="4497A7F8"/>
    <w:rsid w:val="4498FC31"/>
    <w:rsid w:val="449AB85F"/>
    <w:rsid w:val="449AC72C"/>
    <w:rsid w:val="449B5AB3"/>
    <w:rsid w:val="449BBD28"/>
    <w:rsid w:val="449D3E4B"/>
    <w:rsid w:val="449DD79A"/>
    <w:rsid w:val="449EE154"/>
    <w:rsid w:val="449EEEFC"/>
    <w:rsid w:val="449EF4E5"/>
    <w:rsid w:val="449F4F5B"/>
    <w:rsid w:val="44A0393F"/>
    <w:rsid w:val="44A0639D"/>
    <w:rsid w:val="44A101FF"/>
    <w:rsid w:val="44A122CA"/>
    <w:rsid w:val="44A178F2"/>
    <w:rsid w:val="44A19B8C"/>
    <w:rsid w:val="44A33877"/>
    <w:rsid w:val="44A37F11"/>
    <w:rsid w:val="44A3B865"/>
    <w:rsid w:val="44A3CCBF"/>
    <w:rsid w:val="44A481FB"/>
    <w:rsid w:val="44A4A128"/>
    <w:rsid w:val="44A69BBA"/>
    <w:rsid w:val="44A6CFD4"/>
    <w:rsid w:val="44A76B60"/>
    <w:rsid w:val="44A7CE04"/>
    <w:rsid w:val="44A8B0A8"/>
    <w:rsid w:val="44A92D4B"/>
    <w:rsid w:val="44A94966"/>
    <w:rsid w:val="44A9CED3"/>
    <w:rsid w:val="44A9FAC0"/>
    <w:rsid w:val="44AAEA4C"/>
    <w:rsid w:val="44AAF95B"/>
    <w:rsid w:val="44AB6399"/>
    <w:rsid w:val="44ABA5B0"/>
    <w:rsid w:val="44AC2C63"/>
    <w:rsid w:val="44AC4A75"/>
    <w:rsid w:val="44ACD01B"/>
    <w:rsid w:val="44AD5D2B"/>
    <w:rsid w:val="44AE6280"/>
    <w:rsid w:val="44AE6F02"/>
    <w:rsid w:val="44AE87CC"/>
    <w:rsid w:val="44AEC001"/>
    <w:rsid w:val="44AF2E12"/>
    <w:rsid w:val="44AF7ECF"/>
    <w:rsid w:val="44B05D85"/>
    <w:rsid w:val="44B10325"/>
    <w:rsid w:val="44B18BDD"/>
    <w:rsid w:val="44B2143C"/>
    <w:rsid w:val="44B230F3"/>
    <w:rsid w:val="44B234B0"/>
    <w:rsid w:val="44B26D04"/>
    <w:rsid w:val="44B4407A"/>
    <w:rsid w:val="44B45371"/>
    <w:rsid w:val="44B4ABAA"/>
    <w:rsid w:val="44B55BA4"/>
    <w:rsid w:val="44B55CE2"/>
    <w:rsid w:val="44B56593"/>
    <w:rsid w:val="44B5901D"/>
    <w:rsid w:val="44B75DC6"/>
    <w:rsid w:val="44B77EF9"/>
    <w:rsid w:val="44B7E594"/>
    <w:rsid w:val="44B87857"/>
    <w:rsid w:val="44B8BF83"/>
    <w:rsid w:val="44B8C5B1"/>
    <w:rsid w:val="44B93229"/>
    <w:rsid w:val="44B96D6F"/>
    <w:rsid w:val="44BA5945"/>
    <w:rsid w:val="44BB3462"/>
    <w:rsid w:val="44BB3774"/>
    <w:rsid w:val="44BB96CC"/>
    <w:rsid w:val="44BBBD84"/>
    <w:rsid w:val="44BC1F4E"/>
    <w:rsid w:val="44BCAB4F"/>
    <w:rsid w:val="44BCD937"/>
    <w:rsid w:val="44BD1297"/>
    <w:rsid w:val="44BD4616"/>
    <w:rsid w:val="44BD5EFF"/>
    <w:rsid w:val="44BDD29F"/>
    <w:rsid w:val="44BF653D"/>
    <w:rsid w:val="44BF779A"/>
    <w:rsid w:val="44BF8538"/>
    <w:rsid w:val="44C0903F"/>
    <w:rsid w:val="44C0DB3C"/>
    <w:rsid w:val="44C1138B"/>
    <w:rsid w:val="44C126A7"/>
    <w:rsid w:val="44C12881"/>
    <w:rsid w:val="44C16368"/>
    <w:rsid w:val="44C260C4"/>
    <w:rsid w:val="44C2EB66"/>
    <w:rsid w:val="44C43F04"/>
    <w:rsid w:val="44C47A0E"/>
    <w:rsid w:val="44C4BD13"/>
    <w:rsid w:val="44C56794"/>
    <w:rsid w:val="44C6C0D4"/>
    <w:rsid w:val="44C6D5A2"/>
    <w:rsid w:val="44C71D54"/>
    <w:rsid w:val="44C794C1"/>
    <w:rsid w:val="44C82E9A"/>
    <w:rsid w:val="44CA4832"/>
    <w:rsid w:val="44CAF5B7"/>
    <w:rsid w:val="44CB2EFA"/>
    <w:rsid w:val="44CB354B"/>
    <w:rsid w:val="44CC2532"/>
    <w:rsid w:val="44CD3101"/>
    <w:rsid w:val="44CD68E5"/>
    <w:rsid w:val="44CD9892"/>
    <w:rsid w:val="44D03E43"/>
    <w:rsid w:val="44D086BE"/>
    <w:rsid w:val="44D09714"/>
    <w:rsid w:val="44D1A6DB"/>
    <w:rsid w:val="44D3E0DF"/>
    <w:rsid w:val="44D41E6D"/>
    <w:rsid w:val="44D48CB7"/>
    <w:rsid w:val="44D49BB1"/>
    <w:rsid w:val="44D56FE2"/>
    <w:rsid w:val="44D58382"/>
    <w:rsid w:val="44D58ADA"/>
    <w:rsid w:val="44D7DBF5"/>
    <w:rsid w:val="44D7DE36"/>
    <w:rsid w:val="44D8ED0D"/>
    <w:rsid w:val="44D93BF0"/>
    <w:rsid w:val="44D946F8"/>
    <w:rsid w:val="44DAC5CD"/>
    <w:rsid w:val="44DBD31B"/>
    <w:rsid w:val="44DCB9C3"/>
    <w:rsid w:val="44DDB169"/>
    <w:rsid w:val="44DDFD3E"/>
    <w:rsid w:val="44DE4D7D"/>
    <w:rsid w:val="44DE5FE9"/>
    <w:rsid w:val="44DE8F83"/>
    <w:rsid w:val="44DFA77D"/>
    <w:rsid w:val="44E01D8B"/>
    <w:rsid w:val="44E08C33"/>
    <w:rsid w:val="44E0996E"/>
    <w:rsid w:val="44E122B0"/>
    <w:rsid w:val="44E27C45"/>
    <w:rsid w:val="44E37DC5"/>
    <w:rsid w:val="44E46FAC"/>
    <w:rsid w:val="44E5833F"/>
    <w:rsid w:val="44E60607"/>
    <w:rsid w:val="44E6B084"/>
    <w:rsid w:val="44E6F0A1"/>
    <w:rsid w:val="44E6F850"/>
    <w:rsid w:val="44E73529"/>
    <w:rsid w:val="44E73B36"/>
    <w:rsid w:val="44E7C9CC"/>
    <w:rsid w:val="44E901FC"/>
    <w:rsid w:val="44E935E5"/>
    <w:rsid w:val="44E9600E"/>
    <w:rsid w:val="44E9B24D"/>
    <w:rsid w:val="44EABA14"/>
    <w:rsid w:val="44EAC527"/>
    <w:rsid w:val="44EAF0A4"/>
    <w:rsid w:val="44EB2DA0"/>
    <w:rsid w:val="44EB3C99"/>
    <w:rsid w:val="44EBEFE4"/>
    <w:rsid w:val="44EC05B0"/>
    <w:rsid w:val="44EC5047"/>
    <w:rsid w:val="44EC5646"/>
    <w:rsid w:val="44EC6097"/>
    <w:rsid w:val="44EC7148"/>
    <w:rsid w:val="44EC8269"/>
    <w:rsid w:val="44ECADE1"/>
    <w:rsid w:val="44ECE870"/>
    <w:rsid w:val="44ED28E0"/>
    <w:rsid w:val="44EE1467"/>
    <w:rsid w:val="44EE222F"/>
    <w:rsid w:val="44EE408F"/>
    <w:rsid w:val="44EED8E5"/>
    <w:rsid w:val="44EEFACD"/>
    <w:rsid w:val="44EF818E"/>
    <w:rsid w:val="44EFB334"/>
    <w:rsid w:val="44F13CF8"/>
    <w:rsid w:val="44F14198"/>
    <w:rsid w:val="44F15380"/>
    <w:rsid w:val="44F201FC"/>
    <w:rsid w:val="44F2C9B4"/>
    <w:rsid w:val="44F2DB55"/>
    <w:rsid w:val="44F36D1A"/>
    <w:rsid w:val="44F38FCC"/>
    <w:rsid w:val="44F39B92"/>
    <w:rsid w:val="44F3EC7B"/>
    <w:rsid w:val="44F4BC20"/>
    <w:rsid w:val="44F50965"/>
    <w:rsid w:val="44F5E73E"/>
    <w:rsid w:val="44F6B35A"/>
    <w:rsid w:val="44F75AB7"/>
    <w:rsid w:val="44F7628B"/>
    <w:rsid w:val="44F7F933"/>
    <w:rsid w:val="44F8C588"/>
    <w:rsid w:val="44F90CB5"/>
    <w:rsid w:val="44F970F5"/>
    <w:rsid w:val="44F99E56"/>
    <w:rsid w:val="44F9BA41"/>
    <w:rsid w:val="44FB70A3"/>
    <w:rsid w:val="44FC196C"/>
    <w:rsid w:val="44FC59E6"/>
    <w:rsid w:val="44FF1B6D"/>
    <w:rsid w:val="44FF9010"/>
    <w:rsid w:val="44FF92D5"/>
    <w:rsid w:val="450002E9"/>
    <w:rsid w:val="4500047A"/>
    <w:rsid w:val="4500727C"/>
    <w:rsid w:val="4501F400"/>
    <w:rsid w:val="45029344"/>
    <w:rsid w:val="45038F8D"/>
    <w:rsid w:val="4503E233"/>
    <w:rsid w:val="45040EAD"/>
    <w:rsid w:val="450423C1"/>
    <w:rsid w:val="4504CA0C"/>
    <w:rsid w:val="45052DEF"/>
    <w:rsid w:val="450550B5"/>
    <w:rsid w:val="45056CC6"/>
    <w:rsid w:val="4505FACA"/>
    <w:rsid w:val="45061A92"/>
    <w:rsid w:val="4507410D"/>
    <w:rsid w:val="45078011"/>
    <w:rsid w:val="45078755"/>
    <w:rsid w:val="45079DB8"/>
    <w:rsid w:val="4507C136"/>
    <w:rsid w:val="45080A46"/>
    <w:rsid w:val="45095F9A"/>
    <w:rsid w:val="4509FED3"/>
    <w:rsid w:val="450A2458"/>
    <w:rsid w:val="450A76C6"/>
    <w:rsid w:val="450B1B78"/>
    <w:rsid w:val="450B2E18"/>
    <w:rsid w:val="450B3B21"/>
    <w:rsid w:val="450B6CC4"/>
    <w:rsid w:val="450B9822"/>
    <w:rsid w:val="450BDF19"/>
    <w:rsid w:val="450CAECC"/>
    <w:rsid w:val="450CB188"/>
    <w:rsid w:val="450D83AD"/>
    <w:rsid w:val="450E0CB4"/>
    <w:rsid w:val="450FCB62"/>
    <w:rsid w:val="450FCF36"/>
    <w:rsid w:val="45106A4F"/>
    <w:rsid w:val="45109075"/>
    <w:rsid w:val="4510E987"/>
    <w:rsid w:val="451172B3"/>
    <w:rsid w:val="451291A4"/>
    <w:rsid w:val="4512C349"/>
    <w:rsid w:val="45135242"/>
    <w:rsid w:val="4513BAEA"/>
    <w:rsid w:val="4513C638"/>
    <w:rsid w:val="4514965D"/>
    <w:rsid w:val="45150BCE"/>
    <w:rsid w:val="4515F82C"/>
    <w:rsid w:val="4516298E"/>
    <w:rsid w:val="45166C57"/>
    <w:rsid w:val="45177DEB"/>
    <w:rsid w:val="45184FE8"/>
    <w:rsid w:val="451860D8"/>
    <w:rsid w:val="4518A41A"/>
    <w:rsid w:val="4519C385"/>
    <w:rsid w:val="451A0AE3"/>
    <w:rsid w:val="451A8DC6"/>
    <w:rsid w:val="451AC7E3"/>
    <w:rsid w:val="451BBD90"/>
    <w:rsid w:val="451BDD04"/>
    <w:rsid w:val="451C0BAE"/>
    <w:rsid w:val="451C20CE"/>
    <w:rsid w:val="451C3EED"/>
    <w:rsid w:val="451D3873"/>
    <w:rsid w:val="451DDA26"/>
    <w:rsid w:val="451E7A5D"/>
    <w:rsid w:val="451EA24C"/>
    <w:rsid w:val="451F65D8"/>
    <w:rsid w:val="451FA048"/>
    <w:rsid w:val="451FDCB6"/>
    <w:rsid w:val="45207CCC"/>
    <w:rsid w:val="45207D1F"/>
    <w:rsid w:val="45209D22"/>
    <w:rsid w:val="45213151"/>
    <w:rsid w:val="45213F10"/>
    <w:rsid w:val="45214A4E"/>
    <w:rsid w:val="4523AD2D"/>
    <w:rsid w:val="4523B868"/>
    <w:rsid w:val="45244D78"/>
    <w:rsid w:val="4524C34A"/>
    <w:rsid w:val="452503F3"/>
    <w:rsid w:val="45251BF1"/>
    <w:rsid w:val="45256600"/>
    <w:rsid w:val="45258F80"/>
    <w:rsid w:val="4525B701"/>
    <w:rsid w:val="45260559"/>
    <w:rsid w:val="45268339"/>
    <w:rsid w:val="452684E7"/>
    <w:rsid w:val="4527EC63"/>
    <w:rsid w:val="452894EF"/>
    <w:rsid w:val="45290675"/>
    <w:rsid w:val="4529CF30"/>
    <w:rsid w:val="452A1268"/>
    <w:rsid w:val="452A7F42"/>
    <w:rsid w:val="452B6AD7"/>
    <w:rsid w:val="452BB17C"/>
    <w:rsid w:val="452BC9B2"/>
    <w:rsid w:val="452C03D8"/>
    <w:rsid w:val="452C72C8"/>
    <w:rsid w:val="452CAC8A"/>
    <w:rsid w:val="452D1C72"/>
    <w:rsid w:val="452D96B4"/>
    <w:rsid w:val="452E4AAD"/>
    <w:rsid w:val="452EB5D4"/>
    <w:rsid w:val="452F6ADF"/>
    <w:rsid w:val="452FF8B7"/>
    <w:rsid w:val="4532A930"/>
    <w:rsid w:val="4532BC84"/>
    <w:rsid w:val="45332089"/>
    <w:rsid w:val="45339E16"/>
    <w:rsid w:val="4533E03E"/>
    <w:rsid w:val="4533FE02"/>
    <w:rsid w:val="45352780"/>
    <w:rsid w:val="453585FE"/>
    <w:rsid w:val="4535A981"/>
    <w:rsid w:val="45371EEF"/>
    <w:rsid w:val="45382E2D"/>
    <w:rsid w:val="453905C6"/>
    <w:rsid w:val="4539BAFE"/>
    <w:rsid w:val="453A5B5B"/>
    <w:rsid w:val="453A85A8"/>
    <w:rsid w:val="453AFBC9"/>
    <w:rsid w:val="453B30B7"/>
    <w:rsid w:val="453B8D79"/>
    <w:rsid w:val="453BBC91"/>
    <w:rsid w:val="453C6C7F"/>
    <w:rsid w:val="453D02D5"/>
    <w:rsid w:val="453D3655"/>
    <w:rsid w:val="453D7339"/>
    <w:rsid w:val="453DD9F6"/>
    <w:rsid w:val="453DFDDF"/>
    <w:rsid w:val="453E014E"/>
    <w:rsid w:val="453EF0F6"/>
    <w:rsid w:val="453F1889"/>
    <w:rsid w:val="453F7CA3"/>
    <w:rsid w:val="45401023"/>
    <w:rsid w:val="45410FC8"/>
    <w:rsid w:val="4541546F"/>
    <w:rsid w:val="45416CE9"/>
    <w:rsid w:val="4541AE6F"/>
    <w:rsid w:val="4541F72E"/>
    <w:rsid w:val="4543BB43"/>
    <w:rsid w:val="4543F82B"/>
    <w:rsid w:val="45441B3A"/>
    <w:rsid w:val="454636C0"/>
    <w:rsid w:val="454673CF"/>
    <w:rsid w:val="45468E56"/>
    <w:rsid w:val="45481B52"/>
    <w:rsid w:val="454823DD"/>
    <w:rsid w:val="45482710"/>
    <w:rsid w:val="45487664"/>
    <w:rsid w:val="4548A63B"/>
    <w:rsid w:val="4549CE7F"/>
    <w:rsid w:val="4549F486"/>
    <w:rsid w:val="454A6BF9"/>
    <w:rsid w:val="454A9454"/>
    <w:rsid w:val="454BC925"/>
    <w:rsid w:val="454BE52F"/>
    <w:rsid w:val="454C8EE5"/>
    <w:rsid w:val="454E65BE"/>
    <w:rsid w:val="454E65D7"/>
    <w:rsid w:val="454F7B59"/>
    <w:rsid w:val="454FA9D1"/>
    <w:rsid w:val="455040D8"/>
    <w:rsid w:val="45510A28"/>
    <w:rsid w:val="45519090"/>
    <w:rsid w:val="4551B617"/>
    <w:rsid w:val="4551BD8E"/>
    <w:rsid w:val="45525A7A"/>
    <w:rsid w:val="45534361"/>
    <w:rsid w:val="4555B26A"/>
    <w:rsid w:val="45563536"/>
    <w:rsid w:val="4556E3EB"/>
    <w:rsid w:val="45571952"/>
    <w:rsid w:val="45577199"/>
    <w:rsid w:val="455777ED"/>
    <w:rsid w:val="4557A8DE"/>
    <w:rsid w:val="4557E180"/>
    <w:rsid w:val="45584D06"/>
    <w:rsid w:val="45588B33"/>
    <w:rsid w:val="455900CD"/>
    <w:rsid w:val="455AD278"/>
    <w:rsid w:val="455AEDC6"/>
    <w:rsid w:val="455B3957"/>
    <w:rsid w:val="455B4EF2"/>
    <w:rsid w:val="455B5721"/>
    <w:rsid w:val="455B60D2"/>
    <w:rsid w:val="455B9E17"/>
    <w:rsid w:val="455BD0DE"/>
    <w:rsid w:val="455C6EC7"/>
    <w:rsid w:val="455C99CC"/>
    <w:rsid w:val="455D540E"/>
    <w:rsid w:val="455E18AE"/>
    <w:rsid w:val="455E59BE"/>
    <w:rsid w:val="455FB75F"/>
    <w:rsid w:val="45616F0D"/>
    <w:rsid w:val="4561C44B"/>
    <w:rsid w:val="45627A39"/>
    <w:rsid w:val="4562B59F"/>
    <w:rsid w:val="4563028E"/>
    <w:rsid w:val="4563A879"/>
    <w:rsid w:val="45640398"/>
    <w:rsid w:val="45641BFA"/>
    <w:rsid w:val="4564BDEC"/>
    <w:rsid w:val="4565A8E2"/>
    <w:rsid w:val="4567156E"/>
    <w:rsid w:val="4567E9C1"/>
    <w:rsid w:val="456802EA"/>
    <w:rsid w:val="456804EF"/>
    <w:rsid w:val="4568C9EE"/>
    <w:rsid w:val="4569BCDE"/>
    <w:rsid w:val="456AF5D5"/>
    <w:rsid w:val="456C154B"/>
    <w:rsid w:val="456C377F"/>
    <w:rsid w:val="456C8B1B"/>
    <w:rsid w:val="456CB6CB"/>
    <w:rsid w:val="456D0B6D"/>
    <w:rsid w:val="456D2950"/>
    <w:rsid w:val="456D2B06"/>
    <w:rsid w:val="456D40A3"/>
    <w:rsid w:val="456DC9AE"/>
    <w:rsid w:val="456DE75C"/>
    <w:rsid w:val="456DF8B4"/>
    <w:rsid w:val="456E0792"/>
    <w:rsid w:val="456EBDEE"/>
    <w:rsid w:val="456F1743"/>
    <w:rsid w:val="456F872C"/>
    <w:rsid w:val="45704980"/>
    <w:rsid w:val="457076CA"/>
    <w:rsid w:val="4570D5BA"/>
    <w:rsid w:val="4570D9E4"/>
    <w:rsid w:val="45713CCA"/>
    <w:rsid w:val="45714272"/>
    <w:rsid w:val="45714354"/>
    <w:rsid w:val="457193A8"/>
    <w:rsid w:val="4571FC5A"/>
    <w:rsid w:val="4572B8E5"/>
    <w:rsid w:val="4572E4DB"/>
    <w:rsid w:val="45731FAC"/>
    <w:rsid w:val="4573BF2C"/>
    <w:rsid w:val="45742CB0"/>
    <w:rsid w:val="4574ACB0"/>
    <w:rsid w:val="45754750"/>
    <w:rsid w:val="45756188"/>
    <w:rsid w:val="4575B88E"/>
    <w:rsid w:val="4575DB6F"/>
    <w:rsid w:val="457613E3"/>
    <w:rsid w:val="4576519F"/>
    <w:rsid w:val="45775066"/>
    <w:rsid w:val="45779ADA"/>
    <w:rsid w:val="4577EE0C"/>
    <w:rsid w:val="45780138"/>
    <w:rsid w:val="45785712"/>
    <w:rsid w:val="457871EB"/>
    <w:rsid w:val="4578B031"/>
    <w:rsid w:val="45791FDF"/>
    <w:rsid w:val="45795EDA"/>
    <w:rsid w:val="457A379E"/>
    <w:rsid w:val="457A4E21"/>
    <w:rsid w:val="457A7596"/>
    <w:rsid w:val="457AF730"/>
    <w:rsid w:val="457B53BB"/>
    <w:rsid w:val="457B6E31"/>
    <w:rsid w:val="457C8B87"/>
    <w:rsid w:val="457CD521"/>
    <w:rsid w:val="457CEDC3"/>
    <w:rsid w:val="457D3B1B"/>
    <w:rsid w:val="457D7B43"/>
    <w:rsid w:val="457DB7BE"/>
    <w:rsid w:val="457DE1A3"/>
    <w:rsid w:val="457DE88A"/>
    <w:rsid w:val="457F8B47"/>
    <w:rsid w:val="458027B8"/>
    <w:rsid w:val="45818E33"/>
    <w:rsid w:val="45834D08"/>
    <w:rsid w:val="45839082"/>
    <w:rsid w:val="4583983E"/>
    <w:rsid w:val="4586824C"/>
    <w:rsid w:val="4588B4A7"/>
    <w:rsid w:val="4589C289"/>
    <w:rsid w:val="4589E536"/>
    <w:rsid w:val="458A2DFC"/>
    <w:rsid w:val="458A2F9F"/>
    <w:rsid w:val="458A947C"/>
    <w:rsid w:val="458B1BFB"/>
    <w:rsid w:val="458BA9FA"/>
    <w:rsid w:val="458C39E8"/>
    <w:rsid w:val="458C3C71"/>
    <w:rsid w:val="458C9C2B"/>
    <w:rsid w:val="458CF627"/>
    <w:rsid w:val="458E2B4D"/>
    <w:rsid w:val="458E9095"/>
    <w:rsid w:val="458F7D35"/>
    <w:rsid w:val="45901853"/>
    <w:rsid w:val="4590A14F"/>
    <w:rsid w:val="4590E8BB"/>
    <w:rsid w:val="4591F41D"/>
    <w:rsid w:val="45924AFE"/>
    <w:rsid w:val="4592B768"/>
    <w:rsid w:val="45941477"/>
    <w:rsid w:val="4594E7F2"/>
    <w:rsid w:val="4595C153"/>
    <w:rsid w:val="459615BC"/>
    <w:rsid w:val="45961668"/>
    <w:rsid w:val="45967182"/>
    <w:rsid w:val="4596772B"/>
    <w:rsid w:val="45968428"/>
    <w:rsid w:val="45969F56"/>
    <w:rsid w:val="4596A14D"/>
    <w:rsid w:val="4597B88B"/>
    <w:rsid w:val="4597D036"/>
    <w:rsid w:val="4597E692"/>
    <w:rsid w:val="459849BB"/>
    <w:rsid w:val="459860E8"/>
    <w:rsid w:val="45999F47"/>
    <w:rsid w:val="4599C7BA"/>
    <w:rsid w:val="4599F6FE"/>
    <w:rsid w:val="459A3ABC"/>
    <w:rsid w:val="459A905F"/>
    <w:rsid w:val="459B56C0"/>
    <w:rsid w:val="459BE914"/>
    <w:rsid w:val="459C719D"/>
    <w:rsid w:val="459CED39"/>
    <w:rsid w:val="459D30E3"/>
    <w:rsid w:val="459D6F61"/>
    <w:rsid w:val="459DAA41"/>
    <w:rsid w:val="459F3965"/>
    <w:rsid w:val="459F5D51"/>
    <w:rsid w:val="459FD9C4"/>
    <w:rsid w:val="459FFDD7"/>
    <w:rsid w:val="45A02E07"/>
    <w:rsid w:val="45A04978"/>
    <w:rsid w:val="45A0C8BA"/>
    <w:rsid w:val="45A0EB3A"/>
    <w:rsid w:val="45A0F78E"/>
    <w:rsid w:val="45A132C3"/>
    <w:rsid w:val="45A1B3B2"/>
    <w:rsid w:val="45A20F01"/>
    <w:rsid w:val="45A26D1D"/>
    <w:rsid w:val="45A2FA84"/>
    <w:rsid w:val="45A3DE33"/>
    <w:rsid w:val="45A45125"/>
    <w:rsid w:val="45A48C8C"/>
    <w:rsid w:val="45A4DC77"/>
    <w:rsid w:val="45A511E6"/>
    <w:rsid w:val="45A5664D"/>
    <w:rsid w:val="45A59ABB"/>
    <w:rsid w:val="45A60BB1"/>
    <w:rsid w:val="45A73CF8"/>
    <w:rsid w:val="45A74BC1"/>
    <w:rsid w:val="45A7A3DD"/>
    <w:rsid w:val="45A8DBF0"/>
    <w:rsid w:val="45A93560"/>
    <w:rsid w:val="45AA0460"/>
    <w:rsid w:val="45AA0768"/>
    <w:rsid w:val="45AB8833"/>
    <w:rsid w:val="45ADD4E7"/>
    <w:rsid w:val="45ADFC5D"/>
    <w:rsid w:val="45AE42CC"/>
    <w:rsid w:val="45AF6BA5"/>
    <w:rsid w:val="45AFFA49"/>
    <w:rsid w:val="45B00A0C"/>
    <w:rsid w:val="45B0C8F4"/>
    <w:rsid w:val="45B10A5E"/>
    <w:rsid w:val="45B151AB"/>
    <w:rsid w:val="45B1E05B"/>
    <w:rsid w:val="45B223B3"/>
    <w:rsid w:val="45B2A89D"/>
    <w:rsid w:val="45B353A5"/>
    <w:rsid w:val="45B3F4DC"/>
    <w:rsid w:val="45B44844"/>
    <w:rsid w:val="45B4CF1D"/>
    <w:rsid w:val="45B55833"/>
    <w:rsid w:val="45B59CA3"/>
    <w:rsid w:val="45B5E532"/>
    <w:rsid w:val="45B61066"/>
    <w:rsid w:val="45B650D7"/>
    <w:rsid w:val="45B6636A"/>
    <w:rsid w:val="45B78711"/>
    <w:rsid w:val="45B7DB9B"/>
    <w:rsid w:val="45B8029D"/>
    <w:rsid w:val="45B842F8"/>
    <w:rsid w:val="45B959E6"/>
    <w:rsid w:val="45BA3C70"/>
    <w:rsid w:val="45BA48A8"/>
    <w:rsid w:val="45BA628E"/>
    <w:rsid w:val="45BB6F29"/>
    <w:rsid w:val="45BBC798"/>
    <w:rsid w:val="45BCCC73"/>
    <w:rsid w:val="45BD0229"/>
    <w:rsid w:val="45BDB0AC"/>
    <w:rsid w:val="45BDB43E"/>
    <w:rsid w:val="45BE00DE"/>
    <w:rsid w:val="45BE442D"/>
    <w:rsid w:val="45BE6495"/>
    <w:rsid w:val="45BEBFD7"/>
    <w:rsid w:val="45BF2DE3"/>
    <w:rsid w:val="45BF401E"/>
    <w:rsid w:val="45BF8B2F"/>
    <w:rsid w:val="45BFB88F"/>
    <w:rsid w:val="45BFBF00"/>
    <w:rsid w:val="45BFFF5F"/>
    <w:rsid w:val="45C08807"/>
    <w:rsid w:val="45C22ADB"/>
    <w:rsid w:val="45C22CEF"/>
    <w:rsid w:val="45C2DB80"/>
    <w:rsid w:val="45C38C66"/>
    <w:rsid w:val="45C5FDE1"/>
    <w:rsid w:val="45C63B67"/>
    <w:rsid w:val="45C6C551"/>
    <w:rsid w:val="45C7C5D7"/>
    <w:rsid w:val="45C80AE0"/>
    <w:rsid w:val="45C89A5C"/>
    <w:rsid w:val="45C9B790"/>
    <w:rsid w:val="45C9DB02"/>
    <w:rsid w:val="45CA130C"/>
    <w:rsid w:val="45CAE34E"/>
    <w:rsid w:val="45CB33C1"/>
    <w:rsid w:val="45CB5EF1"/>
    <w:rsid w:val="45CB9401"/>
    <w:rsid w:val="45CC90A3"/>
    <w:rsid w:val="45CD0720"/>
    <w:rsid w:val="45CD1BFA"/>
    <w:rsid w:val="45CE2641"/>
    <w:rsid w:val="45CE4C46"/>
    <w:rsid w:val="45CE60B8"/>
    <w:rsid w:val="45CE79FD"/>
    <w:rsid w:val="45CEF24B"/>
    <w:rsid w:val="45CEF9BB"/>
    <w:rsid w:val="45CF12A8"/>
    <w:rsid w:val="45CF4CF6"/>
    <w:rsid w:val="45D011A0"/>
    <w:rsid w:val="45D08871"/>
    <w:rsid w:val="45D0A903"/>
    <w:rsid w:val="45D0A955"/>
    <w:rsid w:val="45D0DAD4"/>
    <w:rsid w:val="45D0FA25"/>
    <w:rsid w:val="45D11935"/>
    <w:rsid w:val="45D2CEDA"/>
    <w:rsid w:val="45D50140"/>
    <w:rsid w:val="45D517D7"/>
    <w:rsid w:val="45D6E934"/>
    <w:rsid w:val="45D7D9C5"/>
    <w:rsid w:val="45D80ED6"/>
    <w:rsid w:val="45D9534B"/>
    <w:rsid w:val="45D97EDD"/>
    <w:rsid w:val="45DA901D"/>
    <w:rsid w:val="45DB2136"/>
    <w:rsid w:val="45DC2367"/>
    <w:rsid w:val="45DC5279"/>
    <w:rsid w:val="45DC6F1D"/>
    <w:rsid w:val="45DCFFFB"/>
    <w:rsid w:val="45DD559D"/>
    <w:rsid w:val="45DDA3EB"/>
    <w:rsid w:val="45DDEF27"/>
    <w:rsid w:val="45DE1D8B"/>
    <w:rsid w:val="45DE7E07"/>
    <w:rsid w:val="45DE9811"/>
    <w:rsid w:val="45DEC2C0"/>
    <w:rsid w:val="45DF4B4C"/>
    <w:rsid w:val="45DFFA8B"/>
    <w:rsid w:val="45E20EDF"/>
    <w:rsid w:val="45E312B1"/>
    <w:rsid w:val="45E32AB4"/>
    <w:rsid w:val="45E3AF3B"/>
    <w:rsid w:val="45E4365D"/>
    <w:rsid w:val="45E499F5"/>
    <w:rsid w:val="45E4C986"/>
    <w:rsid w:val="45E4CEB9"/>
    <w:rsid w:val="45E5BFC8"/>
    <w:rsid w:val="45E639A1"/>
    <w:rsid w:val="45E730F5"/>
    <w:rsid w:val="45E81D7C"/>
    <w:rsid w:val="45E82B15"/>
    <w:rsid w:val="45E8327E"/>
    <w:rsid w:val="45E94CBE"/>
    <w:rsid w:val="45EA4C6E"/>
    <w:rsid w:val="45EBD9A6"/>
    <w:rsid w:val="45EBE58E"/>
    <w:rsid w:val="45EC3110"/>
    <w:rsid w:val="45ECC68B"/>
    <w:rsid w:val="45ECF557"/>
    <w:rsid w:val="45ED2C18"/>
    <w:rsid w:val="45EE0AF6"/>
    <w:rsid w:val="45EF9302"/>
    <w:rsid w:val="45EFB4D1"/>
    <w:rsid w:val="45F0135A"/>
    <w:rsid w:val="45F15785"/>
    <w:rsid w:val="45F19B62"/>
    <w:rsid w:val="45F265C4"/>
    <w:rsid w:val="45F273B4"/>
    <w:rsid w:val="45F2C810"/>
    <w:rsid w:val="45F360DA"/>
    <w:rsid w:val="45F3E0E0"/>
    <w:rsid w:val="45F42564"/>
    <w:rsid w:val="45F4D087"/>
    <w:rsid w:val="45F5560A"/>
    <w:rsid w:val="45F591D8"/>
    <w:rsid w:val="45F796F9"/>
    <w:rsid w:val="45F79B87"/>
    <w:rsid w:val="45F7E1F3"/>
    <w:rsid w:val="45F8F7CE"/>
    <w:rsid w:val="45F913B4"/>
    <w:rsid w:val="45F93D56"/>
    <w:rsid w:val="45F9D620"/>
    <w:rsid w:val="45FAAE7C"/>
    <w:rsid w:val="45FABE8A"/>
    <w:rsid w:val="45FBFBB4"/>
    <w:rsid w:val="45FCA103"/>
    <w:rsid w:val="45FD6824"/>
    <w:rsid w:val="45FDC81C"/>
    <w:rsid w:val="45FEB039"/>
    <w:rsid w:val="45FF0905"/>
    <w:rsid w:val="45FF7217"/>
    <w:rsid w:val="460014B1"/>
    <w:rsid w:val="4600E592"/>
    <w:rsid w:val="4600EB94"/>
    <w:rsid w:val="460101FC"/>
    <w:rsid w:val="46018383"/>
    <w:rsid w:val="460228BA"/>
    <w:rsid w:val="46024AF6"/>
    <w:rsid w:val="46024EE6"/>
    <w:rsid w:val="46026A76"/>
    <w:rsid w:val="4602874E"/>
    <w:rsid w:val="4603486E"/>
    <w:rsid w:val="460373D2"/>
    <w:rsid w:val="4603B454"/>
    <w:rsid w:val="4603CB62"/>
    <w:rsid w:val="4603F780"/>
    <w:rsid w:val="46040317"/>
    <w:rsid w:val="46042390"/>
    <w:rsid w:val="4604536D"/>
    <w:rsid w:val="4604722E"/>
    <w:rsid w:val="46054B2A"/>
    <w:rsid w:val="46061CF8"/>
    <w:rsid w:val="46063CA3"/>
    <w:rsid w:val="4606482A"/>
    <w:rsid w:val="46065F31"/>
    <w:rsid w:val="4607B7D4"/>
    <w:rsid w:val="4607BB6E"/>
    <w:rsid w:val="460A8F95"/>
    <w:rsid w:val="460B19EE"/>
    <w:rsid w:val="460B3FCD"/>
    <w:rsid w:val="460C801E"/>
    <w:rsid w:val="460D011A"/>
    <w:rsid w:val="460E6576"/>
    <w:rsid w:val="460E9347"/>
    <w:rsid w:val="460EFE6D"/>
    <w:rsid w:val="460F21FA"/>
    <w:rsid w:val="4610D6BF"/>
    <w:rsid w:val="461122D2"/>
    <w:rsid w:val="461173E9"/>
    <w:rsid w:val="4611A9A3"/>
    <w:rsid w:val="4611AEB1"/>
    <w:rsid w:val="4611D98C"/>
    <w:rsid w:val="4611E1AF"/>
    <w:rsid w:val="4612E300"/>
    <w:rsid w:val="46137793"/>
    <w:rsid w:val="46138F32"/>
    <w:rsid w:val="46139CB9"/>
    <w:rsid w:val="4613E516"/>
    <w:rsid w:val="4613EB73"/>
    <w:rsid w:val="4614A9E5"/>
    <w:rsid w:val="4614D374"/>
    <w:rsid w:val="461501BC"/>
    <w:rsid w:val="461521F5"/>
    <w:rsid w:val="46154210"/>
    <w:rsid w:val="46157A21"/>
    <w:rsid w:val="461593BD"/>
    <w:rsid w:val="4616118F"/>
    <w:rsid w:val="461682BB"/>
    <w:rsid w:val="4616AB83"/>
    <w:rsid w:val="46173715"/>
    <w:rsid w:val="461790AE"/>
    <w:rsid w:val="4617E2D7"/>
    <w:rsid w:val="46187BC0"/>
    <w:rsid w:val="46190136"/>
    <w:rsid w:val="4619705A"/>
    <w:rsid w:val="461A01F2"/>
    <w:rsid w:val="461A0991"/>
    <w:rsid w:val="461AD1F1"/>
    <w:rsid w:val="461B6612"/>
    <w:rsid w:val="461C782B"/>
    <w:rsid w:val="461CF8D8"/>
    <w:rsid w:val="461DF20B"/>
    <w:rsid w:val="461F1A15"/>
    <w:rsid w:val="4620184A"/>
    <w:rsid w:val="4620B50A"/>
    <w:rsid w:val="46213EAC"/>
    <w:rsid w:val="4621E725"/>
    <w:rsid w:val="4622462B"/>
    <w:rsid w:val="46242CF9"/>
    <w:rsid w:val="4624BEA5"/>
    <w:rsid w:val="46251266"/>
    <w:rsid w:val="4625BF24"/>
    <w:rsid w:val="4625CBC9"/>
    <w:rsid w:val="46262A72"/>
    <w:rsid w:val="4626CCFA"/>
    <w:rsid w:val="46273B8C"/>
    <w:rsid w:val="4627FD49"/>
    <w:rsid w:val="46282476"/>
    <w:rsid w:val="4629D314"/>
    <w:rsid w:val="462A7970"/>
    <w:rsid w:val="462B7E6E"/>
    <w:rsid w:val="462B815A"/>
    <w:rsid w:val="462B9DE5"/>
    <w:rsid w:val="462C6587"/>
    <w:rsid w:val="462C987F"/>
    <w:rsid w:val="462CEC1E"/>
    <w:rsid w:val="462D381E"/>
    <w:rsid w:val="462D73C3"/>
    <w:rsid w:val="462E8671"/>
    <w:rsid w:val="462E9A13"/>
    <w:rsid w:val="462ED1F0"/>
    <w:rsid w:val="462F0F8B"/>
    <w:rsid w:val="462FE20C"/>
    <w:rsid w:val="462FE54A"/>
    <w:rsid w:val="4630158F"/>
    <w:rsid w:val="46302456"/>
    <w:rsid w:val="46318978"/>
    <w:rsid w:val="4631B9BD"/>
    <w:rsid w:val="463222C4"/>
    <w:rsid w:val="46329D58"/>
    <w:rsid w:val="4632F363"/>
    <w:rsid w:val="46331699"/>
    <w:rsid w:val="463319A6"/>
    <w:rsid w:val="46332446"/>
    <w:rsid w:val="463347B1"/>
    <w:rsid w:val="4633B33D"/>
    <w:rsid w:val="4633C046"/>
    <w:rsid w:val="463407AC"/>
    <w:rsid w:val="4634742A"/>
    <w:rsid w:val="46355044"/>
    <w:rsid w:val="4635E453"/>
    <w:rsid w:val="46361D14"/>
    <w:rsid w:val="4637A8F4"/>
    <w:rsid w:val="4637C051"/>
    <w:rsid w:val="46380EC2"/>
    <w:rsid w:val="4638943C"/>
    <w:rsid w:val="4638C291"/>
    <w:rsid w:val="4639161E"/>
    <w:rsid w:val="4639506A"/>
    <w:rsid w:val="46397075"/>
    <w:rsid w:val="4639E100"/>
    <w:rsid w:val="4639E799"/>
    <w:rsid w:val="463A8DA3"/>
    <w:rsid w:val="463AA92B"/>
    <w:rsid w:val="463AB776"/>
    <w:rsid w:val="463AD90D"/>
    <w:rsid w:val="463B74D2"/>
    <w:rsid w:val="463C2361"/>
    <w:rsid w:val="463C27CD"/>
    <w:rsid w:val="463D0C0B"/>
    <w:rsid w:val="463DD718"/>
    <w:rsid w:val="463EB2E7"/>
    <w:rsid w:val="463F1F37"/>
    <w:rsid w:val="463FD8AC"/>
    <w:rsid w:val="463FF221"/>
    <w:rsid w:val="4640F66C"/>
    <w:rsid w:val="46418BA0"/>
    <w:rsid w:val="4641933E"/>
    <w:rsid w:val="4641E747"/>
    <w:rsid w:val="464330E4"/>
    <w:rsid w:val="4643D4EB"/>
    <w:rsid w:val="4644D63A"/>
    <w:rsid w:val="464509A1"/>
    <w:rsid w:val="464596CB"/>
    <w:rsid w:val="464598E4"/>
    <w:rsid w:val="46465B62"/>
    <w:rsid w:val="46467029"/>
    <w:rsid w:val="46472424"/>
    <w:rsid w:val="46477BDB"/>
    <w:rsid w:val="46480D49"/>
    <w:rsid w:val="4648685C"/>
    <w:rsid w:val="4648B51E"/>
    <w:rsid w:val="4648BB17"/>
    <w:rsid w:val="4648CB34"/>
    <w:rsid w:val="4648E651"/>
    <w:rsid w:val="46493371"/>
    <w:rsid w:val="464A057E"/>
    <w:rsid w:val="464A1CAF"/>
    <w:rsid w:val="464AD9BA"/>
    <w:rsid w:val="464BDDF0"/>
    <w:rsid w:val="464BE1D7"/>
    <w:rsid w:val="464BFDAE"/>
    <w:rsid w:val="464C949C"/>
    <w:rsid w:val="464CF828"/>
    <w:rsid w:val="464D1BEA"/>
    <w:rsid w:val="464D4FFE"/>
    <w:rsid w:val="464DD1F6"/>
    <w:rsid w:val="464E55A0"/>
    <w:rsid w:val="464E6B28"/>
    <w:rsid w:val="464E9B8B"/>
    <w:rsid w:val="464F04E7"/>
    <w:rsid w:val="464F6DB4"/>
    <w:rsid w:val="464F7801"/>
    <w:rsid w:val="464FB319"/>
    <w:rsid w:val="46504BE1"/>
    <w:rsid w:val="4650D2C9"/>
    <w:rsid w:val="4650F739"/>
    <w:rsid w:val="4651AC47"/>
    <w:rsid w:val="4651ECF2"/>
    <w:rsid w:val="46529993"/>
    <w:rsid w:val="4652B009"/>
    <w:rsid w:val="4652BA85"/>
    <w:rsid w:val="4652E43E"/>
    <w:rsid w:val="4655E5E4"/>
    <w:rsid w:val="465646B8"/>
    <w:rsid w:val="46565069"/>
    <w:rsid w:val="46574437"/>
    <w:rsid w:val="465805D2"/>
    <w:rsid w:val="4658170F"/>
    <w:rsid w:val="465824EE"/>
    <w:rsid w:val="4659E74D"/>
    <w:rsid w:val="465A00F9"/>
    <w:rsid w:val="465A2F5A"/>
    <w:rsid w:val="465A5E28"/>
    <w:rsid w:val="465A7DCF"/>
    <w:rsid w:val="465B83E7"/>
    <w:rsid w:val="465BA6D9"/>
    <w:rsid w:val="465C3E5F"/>
    <w:rsid w:val="465C4967"/>
    <w:rsid w:val="465D091F"/>
    <w:rsid w:val="465E386B"/>
    <w:rsid w:val="465EFEDC"/>
    <w:rsid w:val="465F4F87"/>
    <w:rsid w:val="465F59FD"/>
    <w:rsid w:val="465F75BC"/>
    <w:rsid w:val="465F8092"/>
    <w:rsid w:val="465FD03F"/>
    <w:rsid w:val="4663AE40"/>
    <w:rsid w:val="4663C35F"/>
    <w:rsid w:val="4663F4FC"/>
    <w:rsid w:val="4664FAB6"/>
    <w:rsid w:val="46653D0C"/>
    <w:rsid w:val="46658185"/>
    <w:rsid w:val="466662DC"/>
    <w:rsid w:val="46666970"/>
    <w:rsid w:val="4666A345"/>
    <w:rsid w:val="466785F6"/>
    <w:rsid w:val="46684FB6"/>
    <w:rsid w:val="46685177"/>
    <w:rsid w:val="466866BF"/>
    <w:rsid w:val="4668C6F5"/>
    <w:rsid w:val="46692DA0"/>
    <w:rsid w:val="46693AD5"/>
    <w:rsid w:val="46696CE7"/>
    <w:rsid w:val="466A6076"/>
    <w:rsid w:val="466A98E7"/>
    <w:rsid w:val="466B2850"/>
    <w:rsid w:val="466B7F8A"/>
    <w:rsid w:val="466B8101"/>
    <w:rsid w:val="466BD59B"/>
    <w:rsid w:val="466CB6A4"/>
    <w:rsid w:val="466CE1FA"/>
    <w:rsid w:val="466E4968"/>
    <w:rsid w:val="466EC433"/>
    <w:rsid w:val="466F81A1"/>
    <w:rsid w:val="4670B021"/>
    <w:rsid w:val="4671745A"/>
    <w:rsid w:val="4671A7FD"/>
    <w:rsid w:val="4671CA3D"/>
    <w:rsid w:val="46725E18"/>
    <w:rsid w:val="46727977"/>
    <w:rsid w:val="46729EA1"/>
    <w:rsid w:val="4672A15C"/>
    <w:rsid w:val="4673AC45"/>
    <w:rsid w:val="4673BC5B"/>
    <w:rsid w:val="46744FF5"/>
    <w:rsid w:val="46754FA6"/>
    <w:rsid w:val="4676CE10"/>
    <w:rsid w:val="467738EE"/>
    <w:rsid w:val="46773950"/>
    <w:rsid w:val="4677D9F1"/>
    <w:rsid w:val="46782AAA"/>
    <w:rsid w:val="46783A39"/>
    <w:rsid w:val="467840E2"/>
    <w:rsid w:val="46786A58"/>
    <w:rsid w:val="467917B1"/>
    <w:rsid w:val="4679B04F"/>
    <w:rsid w:val="4679F9E5"/>
    <w:rsid w:val="467A3E49"/>
    <w:rsid w:val="467A5D53"/>
    <w:rsid w:val="467ABF01"/>
    <w:rsid w:val="467AD0DB"/>
    <w:rsid w:val="467BF40C"/>
    <w:rsid w:val="467C6FF3"/>
    <w:rsid w:val="467C96C2"/>
    <w:rsid w:val="467D6D29"/>
    <w:rsid w:val="467D953E"/>
    <w:rsid w:val="467DD061"/>
    <w:rsid w:val="467F1AE8"/>
    <w:rsid w:val="467F8045"/>
    <w:rsid w:val="467F80F3"/>
    <w:rsid w:val="468022F1"/>
    <w:rsid w:val="46812405"/>
    <w:rsid w:val="46818DED"/>
    <w:rsid w:val="4682397E"/>
    <w:rsid w:val="46827A50"/>
    <w:rsid w:val="46828778"/>
    <w:rsid w:val="4682BD75"/>
    <w:rsid w:val="4682D8BD"/>
    <w:rsid w:val="468471DA"/>
    <w:rsid w:val="468531E3"/>
    <w:rsid w:val="46853447"/>
    <w:rsid w:val="4685779A"/>
    <w:rsid w:val="4685E28D"/>
    <w:rsid w:val="46861BDB"/>
    <w:rsid w:val="46865D03"/>
    <w:rsid w:val="4686C617"/>
    <w:rsid w:val="468782C8"/>
    <w:rsid w:val="4687BADB"/>
    <w:rsid w:val="46882A60"/>
    <w:rsid w:val="46885427"/>
    <w:rsid w:val="4689D64E"/>
    <w:rsid w:val="4689DE63"/>
    <w:rsid w:val="468AA698"/>
    <w:rsid w:val="468AD785"/>
    <w:rsid w:val="468B15FD"/>
    <w:rsid w:val="468C5872"/>
    <w:rsid w:val="468D0A78"/>
    <w:rsid w:val="468D6920"/>
    <w:rsid w:val="468DDF4C"/>
    <w:rsid w:val="468E13F3"/>
    <w:rsid w:val="468E28AA"/>
    <w:rsid w:val="468E32FE"/>
    <w:rsid w:val="468F217D"/>
    <w:rsid w:val="468F4ACA"/>
    <w:rsid w:val="46906FE6"/>
    <w:rsid w:val="4691012A"/>
    <w:rsid w:val="46920356"/>
    <w:rsid w:val="46922F21"/>
    <w:rsid w:val="4692658D"/>
    <w:rsid w:val="4693B7A9"/>
    <w:rsid w:val="46951C28"/>
    <w:rsid w:val="4695FE7A"/>
    <w:rsid w:val="4697607B"/>
    <w:rsid w:val="4697E2D4"/>
    <w:rsid w:val="4697FB9E"/>
    <w:rsid w:val="46981FA6"/>
    <w:rsid w:val="469826CA"/>
    <w:rsid w:val="469850D5"/>
    <w:rsid w:val="4699355D"/>
    <w:rsid w:val="46996444"/>
    <w:rsid w:val="4699B114"/>
    <w:rsid w:val="4699F243"/>
    <w:rsid w:val="469A23F5"/>
    <w:rsid w:val="469A497C"/>
    <w:rsid w:val="469AFC3B"/>
    <w:rsid w:val="469B5BFD"/>
    <w:rsid w:val="469C4959"/>
    <w:rsid w:val="469CBDFB"/>
    <w:rsid w:val="469D756E"/>
    <w:rsid w:val="469D91FF"/>
    <w:rsid w:val="469DE842"/>
    <w:rsid w:val="469E5B4A"/>
    <w:rsid w:val="469E7F5A"/>
    <w:rsid w:val="469F8663"/>
    <w:rsid w:val="469FB164"/>
    <w:rsid w:val="469FDB87"/>
    <w:rsid w:val="46A00EB7"/>
    <w:rsid w:val="46A12417"/>
    <w:rsid w:val="46A18858"/>
    <w:rsid w:val="46A20E13"/>
    <w:rsid w:val="46A244AF"/>
    <w:rsid w:val="46A2D4D9"/>
    <w:rsid w:val="46A2E0AE"/>
    <w:rsid w:val="46A3232C"/>
    <w:rsid w:val="46A55FD9"/>
    <w:rsid w:val="46A571B7"/>
    <w:rsid w:val="46A58202"/>
    <w:rsid w:val="46A5A80C"/>
    <w:rsid w:val="46A60C47"/>
    <w:rsid w:val="46A63181"/>
    <w:rsid w:val="46A66D2B"/>
    <w:rsid w:val="46A6B07E"/>
    <w:rsid w:val="46A79342"/>
    <w:rsid w:val="46A89AF4"/>
    <w:rsid w:val="46A990DA"/>
    <w:rsid w:val="46AA2F9A"/>
    <w:rsid w:val="46AAEFEC"/>
    <w:rsid w:val="46AB0A63"/>
    <w:rsid w:val="46ABFF9E"/>
    <w:rsid w:val="46AC1EBA"/>
    <w:rsid w:val="46AC84F8"/>
    <w:rsid w:val="46AC8FA7"/>
    <w:rsid w:val="46ACDBFA"/>
    <w:rsid w:val="46AD382C"/>
    <w:rsid w:val="46ADFE06"/>
    <w:rsid w:val="46AE0ED0"/>
    <w:rsid w:val="46AE7968"/>
    <w:rsid w:val="46AED3C1"/>
    <w:rsid w:val="46B0039C"/>
    <w:rsid w:val="46B019CC"/>
    <w:rsid w:val="46B0815A"/>
    <w:rsid w:val="46B1E03D"/>
    <w:rsid w:val="46B1EDF9"/>
    <w:rsid w:val="46B20157"/>
    <w:rsid w:val="46B24A52"/>
    <w:rsid w:val="46B3AB41"/>
    <w:rsid w:val="46B4FF3F"/>
    <w:rsid w:val="46B54D6B"/>
    <w:rsid w:val="46B641FE"/>
    <w:rsid w:val="46B71621"/>
    <w:rsid w:val="46B7F2F8"/>
    <w:rsid w:val="46B882D7"/>
    <w:rsid w:val="46B96A60"/>
    <w:rsid w:val="46B97DA0"/>
    <w:rsid w:val="46B99913"/>
    <w:rsid w:val="46B999EE"/>
    <w:rsid w:val="46B9C56E"/>
    <w:rsid w:val="46BA144C"/>
    <w:rsid w:val="46BA29BB"/>
    <w:rsid w:val="46BAB30E"/>
    <w:rsid w:val="46BBE38A"/>
    <w:rsid w:val="46BBF212"/>
    <w:rsid w:val="46BC4F55"/>
    <w:rsid w:val="46BC8A60"/>
    <w:rsid w:val="46BD3C4D"/>
    <w:rsid w:val="46BD5E52"/>
    <w:rsid w:val="46BDA851"/>
    <w:rsid w:val="46BDB022"/>
    <w:rsid w:val="46BDD038"/>
    <w:rsid w:val="46BE5E13"/>
    <w:rsid w:val="46BF4AC1"/>
    <w:rsid w:val="46BF9BB7"/>
    <w:rsid w:val="46BFDDB0"/>
    <w:rsid w:val="46BFFBE3"/>
    <w:rsid w:val="46C08130"/>
    <w:rsid w:val="46C179C9"/>
    <w:rsid w:val="46C1B41C"/>
    <w:rsid w:val="46C2182E"/>
    <w:rsid w:val="46C25355"/>
    <w:rsid w:val="46C2611E"/>
    <w:rsid w:val="46C2A60C"/>
    <w:rsid w:val="46C3AD4D"/>
    <w:rsid w:val="46C41F7A"/>
    <w:rsid w:val="46C47D26"/>
    <w:rsid w:val="46C481E4"/>
    <w:rsid w:val="46C4A0CB"/>
    <w:rsid w:val="46C4D7DC"/>
    <w:rsid w:val="46C5F8E9"/>
    <w:rsid w:val="46C7C997"/>
    <w:rsid w:val="46C80700"/>
    <w:rsid w:val="46C83D74"/>
    <w:rsid w:val="46C89622"/>
    <w:rsid w:val="46C8E098"/>
    <w:rsid w:val="46C92296"/>
    <w:rsid w:val="46CA32C2"/>
    <w:rsid w:val="46CB4B53"/>
    <w:rsid w:val="46CC9525"/>
    <w:rsid w:val="46CCD344"/>
    <w:rsid w:val="46CD7C01"/>
    <w:rsid w:val="46CDB462"/>
    <w:rsid w:val="46CE27F3"/>
    <w:rsid w:val="46CE5E15"/>
    <w:rsid w:val="46CE6A34"/>
    <w:rsid w:val="46CE7465"/>
    <w:rsid w:val="46CEF670"/>
    <w:rsid w:val="46D073A8"/>
    <w:rsid w:val="46D09390"/>
    <w:rsid w:val="46D0B41F"/>
    <w:rsid w:val="46D0C47E"/>
    <w:rsid w:val="46D0F0A3"/>
    <w:rsid w:val="46D0F999"/>
    <w:rsid w:val="46D11374"/>
    <w:rsid w:val="46D16CED"/>
    <w:rsid w:val="46D18F50"/>
    <w:rsid w:val="46D1F57A"/>
    <w:rsid w:val="46D25243"/>
    <w:rsid w:val="46D32AFE"/>
    <w:rsid w:val="46D3BA86"/>
    <w:rsid w:val="46D3C170"/>
    <w:rsid w:val="46D54E70"/>
    <w:rsid w:val="46D589A2"/>
    <w:rsid w:val="46D5946D"/>
    <w:rsid w:val="46D635E3"/>
    <w:rsid w:val="46D67C95"/>
    <w:rsid w:val="46D7A427"/>
    <w:rsid w:val="46D7DA33"/>
    <w:rsid w:val="46D9578E"/>
    <w:rsid w:val="46D981F7"/>
    <w:rsid w:val="46D9BCD9"/>
    <w:rsid w:val="46DA5CE5"/>
    <w:rsid w:val="46DA6FDF"/>
    <w:rsid w:val="46DA8989"/>
    <w:rsid w:val="46DB62BC"/>
    <w:rsid w:val="46DBAA71"/>
    <w:rsid w:val="46DC18B3"/>
    <w:rsid w:val="46DD26FE"/>
    <w:rsid w:val="46DD937D"/>
    <w:rsid w:val="46DE494E"/>
    <w:rsid w:val="46DE60AE"/>
    <w:rsid w:val="46DEBE6F"/>
    <w:rsid w:val="46DF3E57"/>
    <w:rsid w:val="46DFBD6E"/>
    <w:rsid w:val="46E104DA"/>
    <w:rsid w:val="46E14086"/>
    <w:rsid w:val="46E145F7"/>
    <w:rsid w:val="46E1C9E1"/>
    <w:rsid w:val="46E1F65F"/>
    <w:rsid w:val="46E1FEDC"/>
    <w:rsid w:val="46E308D5"/>
    <w:rsid w:val="46E32CA9"/>
    <w:rsid w:val="46E33694"/>
    <w:rsid w:val="46E35F21"/>
    <w:rsid w:val="46E37DF0"/>
    <w:rsid w:val="46E3D31F"/>
    <w:rsid w:val="46E3EF03"/>
    <w:rsid w:val="46E41CE9"/>
    <w:rsid w:val="46E5146B"/>
    <w:rsid w:val="46E55620"/>
    <w:rsid w:val="46E6C0D5"/>
    <w:rsid w:val="46E781C1"/>
    <w:rsid w:val="46E78B18"/>
    <w:rsid w:val="46E7E676"/>
    <w:rsid w:val="46E84FD4"/>
    <w:rsid w:val="46E87998"/>
    <w:rsid w:val="46E92D69"/>
    <w:rsid w:val="46E9D028"/>
    <w:rsid w:val="46EA4001"/>
    <w:rsid w:val="46EA622F"/>
    <w:rsid w:val="46EAC6FA"/>
    <w:rsid w:val="46EAC70C"/>
    <w:rsid w:val="46EAD1CC"/>
    <w:rsid w:val="46EB2D0D"/>
    <w:rsid w:val="46EB504E"/>
    <w:rsid w:val="46EB6956"/>
    <w:rsid w:val="46EB8B88"/>
    <w:rsid w:val="46EC8495"/>
    <w:rsid w:val="46EDD414"/>
    <w:rsid w:val="46EDE6CE"/>
    <w:rsid w:val="46F037D7"/>
    <w:rsid w:val="46F157A0"/>
    <w:rsid w:val="46F1BF89"/>
    <w:rsid w:val="46F1DDCB"/>
    <w:rsid w:val="46F20AC3"/>
    <w:rsid w:val="46F452B5"/>
    <w:rsid w:val="46F4F87F"/>
    <w:rsid w:val="46F5209B"/>
    <w:rsid w:val="46F76385"/>
    <w:rsid w:val="46F76BFE"/>
    <w:rsid w:val="46F7AA24"/>
    <w:rsid w:val="46F7BD8A"/>
    <w:rsid w:val="46F80141"/>
    <w:rsid w:val="46F8976A"/>
    <w:rsid w:val="46F8E509"/>
    <w:rsid w:val="46F93A59"/>
    <w:rsid w:val="46FA0A65"/>
    <w:rsid w:val="46FA31BD"/>
    <w:rsid w:val="46FA48E2"/>
    <w:rsid w:val="46FA60CA"/>
    <w:rsid w:val="46FB06CA"/>
    <w:rsid w:val="46FB39FC"/>
    <w:rsid w:val="46FB817C"/>
    <w:rsid w:val="46FBC784"/>
    <w:rsid w:val="46FBCBA7"/>
    <w:rsid w:val="46FCD975"/>
    <w:rsid w:val="46FD2D27"/>
    <w:rsid w:val="46FD60DD"/>
    <w:rsid w:val="46FD99C8"/>
    <w:rsid w:val="46FDD0B7"/>
    <w:rsid w:val="46FDF029"/>
    <w:rsid w:val="46FEAD07"/>
    <w:rsid w:val="470006A8"/>
    <w:rsid w:val="47001800"/>
    <w:rsid w:val="47001E4A"/>
    <w:rsid w:val="47002075"/>
    <w:rsid w:val="4700579D"/>
    <w:rsid w:val="4701459B"/>
    <w:rsid w:val="47019AB8"/>
    <w:rsid w:val="4702F67B"/>
    <w:rsid w:val="4703CD3A"/>
    <w:rsid w:val="4704A5BF"/>
    <w:rsid w:val="47052B49"/>
    <w:rsid w:val="4705981E"/>
    <w:rsid w:val="470626CA"/>
    <w:rsid w:val="4706E9B0"/>
    <w:rsid w:val="47070ED5"/>
    <w:rsid w:val="47078010"/>
    <w:rsid w:val="47085613"/>
    <w:rsid w:val="47086288"/>
    <w:rsid w:val="470864CC"/>
    <w:rsid w:val="47093992"/>
    <w:rsid w:val="47094786"/>
    <w:rsid w:val="470A2AD4"/>
    <w:rsid w:val="470AB367"/>
    <w:rsid w:val="470AE6E1"/>
    <w:rsid w:val="470AF0DC"/>
    <w:rsid w:val="470B6EB1"/>
    <w:rsid w:val="470B99AA"/>
    <w:rsid w:val="470C2164"/>
    <w:rsid w:val="470CA70B"/>
    <w:rsid w:val="470E6EB9"/>
    <w:rsid w:val="470F0C3F"/>
    <w:rsid w:val="470F3DFE"/>
    <w:rsid w:val="470FA1DB"/>
    <w:rsid w:val="470FF1B3"/>
    <w:rsid w:val="47101CDE"/>
    <w:rsid w:val="47105F44"/>
    <w:rsid w:val="4710CA7B"/>
    <w:rsid w:val="4710EAD3"/>
    <w:rsid w:val="471147E1"/>
    <w:rsid w:val="47123EF7"/>
    <w:rsid w:val="47130DD7"/>
    <w:rsid w:val="471346C5"/>
    <w:rsid w:val="47148527"/>
    <w:rsid w:val="47151732"/>
    <w:rsid w:val="47157C79"/>
    <w:rsid w:val="4715E372"/>
    <w:rsid w:val="4716B485"/>
    <w:rsid w:val="4716D458"/>
    <w:rsid w:val="4717E78D"/>
    <w:rsid w:val="4717EBAB"/>
    <w:rsid w:val="4719011E"/>
    <w:rsid w:val="4719B9BF"/>
    <w:rsid w:val="4719EA27"/>
    <w:rsid w:val="471A07FB"/>
    <w:rsid w:val="471A9E89"/>
    <w:rsid w:val="471AD3F8"/>
    <w:rsid w:val="471BB0D4"/>
    <w:rsid w:val="471D9A70"/>
    <w:rsid w:val="471E1264"/>
    <w:rsid w:val="471E4EB4"/>
    <w:rsid w:val="471EC628"/>
    <w:rsid w:val="471F02DC"/>
    <w:rsid w:val="471F43C1"/>
    <w:rsid w:val="4720B629"/>
    <w:rsid w:val="47211264"/>
    <w:rsid w:val="47211898"/>
    <w:rsid w:val="4721F464"/>
    <w:rsid w:val="47220564"/>
    <w:rsid w:val="4722612E"/>
    <w:rsid w:val="472328C4"/>
    <w:rsid w:val="472355CC"/>
    <w:rsid w:val="47244736"/>
    <w:rsid w:val="4725AA35"/>
    <w:rsid w:val="4725AEB3"/>
    <w:rsid w:val="47260639"/>
    <w:rsid w:val="4726BA6B"/>
    <w:rsid w:val="4726FD45"/>
    <w:rsid w:val="4728514D"/>
    <w:rsid w:val="4729D25E"/>
    <w:rsid w:val="472AA976"/>
    <w:rsid w:val="472B0144"/>
    <w:rsid w:val="472B42DA"/>
    <w:rsid w:val="472B59AC"/>
    <w:rsid w:val="472D1615"/>
    <w:rsid w:val="472D719D"/>
    <w:rsid w:val="472D7B49"/>
    <w:rsid w:val="472E6193"/>
    <w:rsid w:val="472E73C1"/>
    <w:rsid w:val="472F6D45"/>
    <w:rsid w:val="472F74B6"/>
    <w:rsid w:val="4730340F"/>
    <w:rsid w:val="473049B1"/>
    <w:rsid w:val="47307810"/>
    <w:rsid w:val="4730B831"/>
    <w:rsid w:val="47312DB3"/>
    <w:rsid w:val="4731EB26"/>
    <w:rsid w:val="4734591D"/>
    <w:rsid w:val="4734844E"/>
    <w:rsid w:val="47359B16"/>
    <w:rsid w:val="473668DF"/>
    <w:rsid w:val="473683A5"/>
    <w:rsid w:val="4736BC35"/>
    <w:rsid w:val="4737301B"/>
    <w:rsid w:val="47375057"/>
    <w:rsid w:val="47381D1D"/>
    <w:rsid w:val="47397575"/>
    <w:rsid w:val="473A6ED5"/>
    <w:rsid w:val="473B6AB6"/>
    <w:rsid w:val="473B6D40"/>
    <w:rsid w:val="473B7923"/>
    <w:rsid w:val="473B918B"/>
    <w:rsid w:val="473BF900"/>
    <w:rsid w:val="473C7D2C"/>
    <w:rsid w:val="473CBE77"/>
    <w:rsid w:val="473D056C"/>
    <w:rsid w:val="473D3237"/>
    <w:rsid w:val="473DCB1A"/>
    <w:rsid w:val="473DE636"/>
    <w:rsid w:val="473F9496"/>
    <w:rsid w:val="473FFF1D"/>
    <w:rsid w:val="47408201"/>
    <w:rsid w:val="4740D44F"/>
    <w:rsid w:val="4740F788"/>
    <w:rsid w:val="47415F32"/>
    <w:rsid w:val="4741876B"/>
    <w:rsid w:val="47420B07"/>
    <w:rsid w:val="47430F9E"/>
    <w:rsid w:val="47435071"/>
    <w:rsid w:val="47435410"/>
    <w:rsid w:val="47450B79"/>
    <w:rsid w:val="47452F0F"/>
    <w:rsid w:val="474656D2"/>
    <w:rsid w:val="4746D223"/>
    <w:rsid w:val="4747C1F8"/>
    <w:rsid w:val="4748C2A9"/>
    <w:rsid w:val="47491A5C"/>
    <w:rsid w:val="47495EC6"/>
    <w:rsid w:val="474A11BF"/>
    <w:rsid w:val="474A1927"/>
    <w:rsid w:val="474A40E1"/>
    <w:rsid w:val="474B021D"/>
    <w:rsid w:val="474BB735"/>
    <w:rsid w:val="474BD677"/>
    <w:rsid w:val="474C0FAE"/>
    <w:rsid w:val="474C2D13"/>
    <w:rsid w:val="474C825D"/>
    <w:rsid w:val="474D428F"/>
    <w:rsid w:val="474E0C64"/>
    <w:rsid w:val="474E97E1"/>
    <w:rsid w:val="47513521"/>
    <w:rsid w:val="47513F20"/>
    <w:rsid w:val="47514232"/>
    <w:rsid w:val="4751582E"/>
    <w:rsid w:val="47518063"/>
    <w:rsid w:val="4751AF85"/>
    <w:rsid w:val="4751CE30"/>
    <w:rsid w:val="47522BC5"/>
    <w:rsid w:val="4752BD96"/>
    <w:rsid w:val="47530C44"/>
    <w:rsid w:val="47538BC3"/>
    <w:rsid w:val="4753BC19"/>
    <w:rsid w:val="4753C2F3"/>
    <w:rsid w:val="47549348"/>
    <w:rsid w:val="475494D6"/>
    <w:rsid w:val="4754CEA0"/>
    <w:rsid w:val="4755666C"/>
    <w:rsid w:val="475587D9"/>
    <w:rsid w:val="4755DEE8"/>
    <w:rsid w:val="47562AB2"/>
    <w:rsid w:val="47575025"/>
    <w:rsid w:val="475792A9"/>
    <w:rsid w:val="4758666C"/>
    <w:rsid w:val="475899E9"/>
    <w:rsid w:val="4758A9B2"/>
    <w:rsid w:val="4758DE1F"/>
    <w:rsid w:val="4759575B"/>
    <w:rsid w:val="4759CF63"/>
    <w:rsid w:val="475A3001"/>
    <w:rsid w:val="475A40D6"/>
    <w:rsid w:val="475A612E"/>
    <w:rsid w:val="475B31A0"/>
    <w:rsid w:val="475B3D19"/>
    <w:rsid w:val="475B4AD1"/>
    <w:rsid w:val="475BDC0F"/>
    <w:rsid w:val="475C5E46"/>
    <w:rsid w:val="475CD2DC"/>
    <w:rsid w:val="475D962A"/>
    <w:rsid w:val="475D9C21"/>
    <w:rsid w:val="475E6419"/>
    <w:rsid w:val="475FA1CB"/>
    <w:rsid w:val="4760465E"/>
    <w:rsid w:val="47614BD4"/>
    <w:rsid w:val="4761C086"/>
    <w:rsid w:val="4761FCA9"/>
    <w:rsid w:val="476248F3"/>
    <w:rsid w:val="4762769D"/>
    <w:rsid w:val="4763A60E"/>
    <w:rsid w:val="476467E2"/>
    <w:rsid w:val="4764BBFE"/>
    <w:rsid w:val="476591AB"/>
    <w:rsid w:val="4765D75A"/>
    <w:rsid w:val="47662D41"/>
    <w:rsid w:val="476684ED"/>
    <w:rsid w:val="4766EB99"/>
    <w:rsid w:val="4768F6FC"/>
    <w:rsid w:val="47690F62"/>
    <w:rsid w:val="47692995"/>
    <w:rsid w:val="47695FF7"/>
    <w:rsid w:val="4769C7D8"/>
    <w:rsid w:val="476AB74F"/>
    <w:rsid w:val="476C23C7"/>
    <w:rsid w:val="476C5F08"/>
    <w:rsid w:val="476CBFE5"/>
    <w:rsid w:val="476D3622"/>
    <w:rsid w:val="476D96F4"/>
    <w:rsid w:val="476E716A"/>
    <w:rsid w:val="476EB539"/>
    <w:rsid w:val="476EF979"/>
    <w:rsid w:val="476F8281"/>
    <w:rsid w:val="476FEFA3"/>
    <w:rsid w:val="47700481"/>
    <w:rsid w:val="47702035"/>
    <w:rsid w:val="47704F8E"/>
    <w:rsid w:val="4770ACB6"/>
    <w:rsid w:val="4770F329"/>
    <w:rsid w:val="477153B8"/>
    <w:rsid w:val="4771D921"/>
    <w:rsid w:val="4772B4A1"/>
    <w:rsid w:val="47732196"/>
    <w:rsid w:val="4773EC60"/>
    <w:rsid w:val="4774B3C6"/>
    <w:rsid w:val="4775F4C2"/>
    <w:rsid w:val="4776ABC9"/>
    <w:rsid w:val="4776F49F"/>
    <w:rsid w:val="47787720"/>
    <w:rsid w:val="47791E49"/>
    <w:rsid w:val="477971DA"/>
    <w:rsid w:val="4779C8C1"/>
    <w:rsid w:val="477A0A4B"/>
    <w:rsid w:val="477A4890"/>
    <w:rsid w:val="477A6424"/>
    <w:rsid w:val="477AC08C"/>
    <w:rsid w:val="477B54F0"/>
    <w:rsid w:val="477B96FB"/>
    <w:rsid w:val="477D972C"/>
    <w:rsid w:val="477DB299"/>
    <w:rsid w:val="477DDC0D"/>
    <w:rsid w:val="477DFB9A"/>
    <w:rsid w:val="477E5501"/>
    <w:rsid w:val="477FBC46"/>
    <w:rsid w:val="478025C8"/>
    <w:rsid w:val="4780E3C0"/>
    <w:rsid w:val="47828132"/>
    <w:rsid w:val="4782A9A4"/>
    <w:rsid w:val="47837E67"/>
    <w:rsid w:val="4783ED7E"/>
    <w:rsid w:val="4784AFED"/>
    <w:rsid w:val="4784F290"/>
    <w:rsid w:val="4785565A"/>
    <w:rsid w:val="47858F3E"/>
    <w:rsid w:val="4787D39C"/>
    <w:rsid w:val="478879ED"/>
    <w:rsid w:val="47894AC3"/>
    <w:rsid w:val="47895BDE"/>
    <w:rsid w:val="4789899C"/>
    <w:rsid w:val="4789C55E"/>
    <w:rsid w:val="4789D3DD"/>
    <w:rsid w:val="478A670B"/>
    <w:rsid w:val="478C0DC5"/>
    <w:rsid w:val="478C6E04"/>
    <w:rsid w:val="478DC164"/>
    <w:rsid w:val="478E1104"/>
    <w:rsid w:val="478F0EF4"/>
    <w:rsid w:val="47919F6B"/>
    <w:rsid w:val="4793D613"/>
    <w:rsid w:val="4794F012"/>
    <w:rsid w:val="4795A112"/>
    <w:rsid w:val="4795A169"/>
    <w:rsid w:val="4795B1A1"/>
    <w:rsid w:val="4795D939"/>
    <w:rsid w:val="4796D574"/>
    <w:rsid w:val="479771F1"/>
    <w:rsid w:val="479783B4"/>
    <w:rsid w:val="47984CB7"/>
    <w:rsid w:val="47984F5D"/>
    <w:rsid w:val="47996E4C"/>
    <w:rsid w:val="47998CC3"/>
    <w:rsid w:val="479A0304"/>
    <w:rsid w:val="479A58F3"/>
    <w:rsid w:val="479A6507"/>
    <w:rsid w:val="479BF487"/>
    <w:rsid w:val="479C04F7"/>
    <w:rsid w:val="479D779C"/>
    <w:rsid w:val="479E0C9A"/>
    <w:rsid w:val="479E67C5"/>
    <w:rsid w:val="479E69B2"/>
    <w:rsid w:val="479E6FC3"/>
    <w:rsid w:val="479F2393"/>
    <w:rsid w:val="479FF780"/>
    <w:rsid w:val="47A0CF51"/>
    <w:rsid w:val="47A1327F"/>
    <w:rsid w:val="47A14975"/>
    <w:rsid w:val="47A27320"/>
    <w:rsid w:val="47A35950"/>
    <w:rsid w:val="47A42200"/>
    <w:rsid w:val="47A594CC"/>
    <w:rsid w:val="47A5B1F8"/>
    <w:rsid w:val="47A621C4"/>
    <w:rsid w:val="47A68297"/>
    <w:rsid w:val="47A6CA45"/>
    <w:rsid w:val="47A6D922"/>
    <w:rsid w:val="47A7BFA2"/>
    <w:rsid w:val="47A9A172"/>
    <w:rsid w:val="47A9F00F"/>
    <w:rsid w:val="47AA1014"/>
    <w:rsid w:val="47AA1635"/>
    <w:rsid w:val="47AAC9E7"/>
    <w:rsid w:val="47ABCFB7"/>
    <w:rsid w:val="47ACC1A0"/>
    <w:rsid w:val="47ADB3FD"/>
    <w:rsid w:val="47ADBED7"/>
    <w:rsid w:val="47ADFF50"/>
    <w:rsid w:val="47AE88DA"/>
    <w:rsid w:val="47AFB332"/>
    <w:rsid w:val="47AFD97E"/>
    <w:rsid w:val="47B01E55"/>
    <w:rsid w:val="47B0579F"/>
    <w:rsid w:val="47B1D3F2"/>
    <w:rsid w:val="47B2E482"/>
    <w:rsid w:val="47B3D0B3"/>
    <w:rsid w:val="47B42610"/>
    <w:rsid w:val="47B4EFF5"/>
    <w:rsid w:val="47B4F475"/>
    <w:rsid w:val="47B51EFA"/>
    <w:rsid w:val="47B63E61"/>
    <w:rsid w:val="47B70461"/>
    <w:rsid w:val="47B72310"/>
    <w:rsid w:val="47B73BA7"/>
    <w:rsid w:val="47B96865"/>
    <w:rsid w:val="47B97DB7"/>
    <w:rsid w:val="47BA3A86"/>
    <w:rsid w:val="47BB5629"/>
    <w:rsid w:val="47BC5173"/>
    <w:rsid w:val="47BD243E"/>
    <w:rsid w:val="47BDC66E"/>
    <w:rsid w:val="47BDED2E"/>
    <w:rsid w:val="47BE28A6"/>
    <w:rsid w:val="47BE42F8"/>
    <w:rsid w:val="47BE6599"/>
    <w:rsid w:val="47BED629"/>
    <w:rsid w:val="47BF4354"/>
    <w:rsid w:val="47BF7A26"/>
    <w:rsid w:val="47C06AA5"/>
    <w:rsid w:val="47C1FC98"/>
    <w:rsid w:val="47C1FE69"/>
    <w:rsid w:val="47C2BEB5"/>
    <w:rsid w:val="47C2E114"/>
    <w:rsid w:val="47C41724"/>
    <w:rsid w:val="47C4CE86"/>
    <w:rsid w:val="47C51F58"/>
    <w:rsid w:val="47C525A4"/>
    <w:rsid w:val="47C56DBD"/>
    <w:rsid w:val="47C59C1F"/>
    <w:rsid w:val="47C69EC8"/>
    <w:rsid w:val="47C6B2DB"/>
    <w:rsid w:val="47C7163B"/>
    <w:rsid w:val="47C7726F"/>
    <w:rsid w:val="47C78223"/>
    <w:rsid w:val="47C7AFD5"/>
    <w:rsid w:val="47C7C973"/>
    <w:rsid w:val="47C7F697"/>
    <w:rsid w:val="47C855DF"/>
    <w:rsid w:val="47CA4071"/>
    <w:rsid w:val="47CA7807"/>
    <w:rsid w:val="47CC3B5B"/>
    <w:rsid w:val="47CCA06F"/>
    <w:rsid w:val="47CCAB0A"/>
    <w:rsid w:val="47CCB149"/>
    <w:rsid w:val="47CCC566"/>
    <w:rsid w:val="47CE5632"/>
    <w:rsid w:val="47CE7951"/>
    <w:rsid w:val="47CEF33E"/>
    <w:rsid w:val="47CF529D"/>
    <w:rsid w:val="47CFE7DE"/>
    <w:rsid w:val="47D0A6FB"/>
    <w:rsid w:val="47D0DF8A"/>
    <w:rsid w:val="47D1380B"/>
    <w:rsid w:val="47D13B78"/>
    <w:rsid w:val="47D189F8"/>
    <w:rsid w:val="47D18EEF"/>
    <w:rsid w:val="47D245FD"/>
    <w:rsid w:val="47D26D82"/>
    <w:rsid w:val="47D32FB5"/>
    <w:rsid w:val="47D35320"/>
    <w:rsid w:val="47D49C5E"/>
    <w:rsid w:val="47D5254A"/>
    <w:rsid w:val="47D65967"/>
    <w:rsid w:val="47D6A6F0"/>
    <w:rsid w:val="47D70A14"/>
    <w:rsid w:val="47D7CFF3"/>
    <w:rsid w:val="47D7DBCB"/>
    <w:rsid w:val="47D8DBEE"/>
    <w:rsid w:val="47D98394"/>
    <w:rsid w:val="47DA8B19"/>
    <w:rsid w:val="47DB133E"/>
    <w:rsid w:val="47DB4C45"/>
    <w:rsid w:val="47DBA29D"/>
    <w:rsid w:val="47DC637E"/>
    <w:rsid w:val="47DD0344"/>
    <w:rsid w:val="47DD47D8"/>
    <w:rsid w:val="47DD9AE9"/>
    <w:rsid w:val="47DDE859"/>
    <w:rsid w:val="47DE435C"/>
    <w:rsid w:val="47DEB26C"/>
    <w:rsid w:val="47DED133"/>
    <w:rsid w:val="47DF2124"/>
    <w:rsid w:val="47DF2BA8"/>
    <w:rsid w:val="47DF7DC2"/>
    <w:rsid w:val="47DF8E73"/>
    <w:rsid w:val="47DF9B04"/>
    <w:rsid w:val="47E12B1F"/>
    <w:rsid w:val="47E1DBF4"/>
    <w:rsid w:val="47E1F810"/>
    <w:rsid w:val="47E2CEA8"/>
    <w:rsid w:val="47E3093D"/>
    <w:rsid w:val="47E31629"/>
    <w:rsid w:val="47E31FF7"/>
    <w:rsid w:val="47E40A9E"/>
    <w:rsid w:val="47E485F4"/>
    <w:rsid w:val="47E4AC9E"/>
    <w:rsid w:val="47E50FA5"/>
    <w:rsid w:val="47E528DE"/>
    <w:rsid w:val="47E5B679"/>
    <w:rsid w:val="47E62C57"/>
    <w:rsid w:val="47E6DECE"/>
    <w:rsid w:val="47E6F376"/>
    <w:rsid w:val="47E74FDE"/>
    <w:rsid w:val="47E78B97"/>
    <w:rsid w:val="47E83C03"/>
    <w:rsid w:val="47E85322"/>
    <w:rsid w:val="47E886FA"/>
    <w:rsid w:val="47E88DCB"/>
    <w:rsid w:val="47E93F9F"/>
    <w:rsid w:val="47E97D52"/>
    <w:rsid w:val="47E97E25"/>
    <w:rsid w:val="47E987B0"/>
    <w:rsid w:val="47EA6E19"/>
    <w:rsid w:val="47EA91B6"/>
    <w:rsid w:val="47EAC629"/>
    <w:rsid w:val="47EBDC4A"/>
    <w:rsid w:val="47EBE8BC"/>
    <w:rsid w:val="47EC9050"/>
    <w:rsid w:val="47ECEEB4"/>
    <w:rsid w:val="47EE18B1"/>
    <w:rsid w:val="47EE85C7"/>
    <w:rsid w:val="47EED9E0"/>
    <w:rsid w:val="47EF8085"/>
    <w:rsid w:val="47F19AA8"/>
    <w:rsid w:val="47F3A9A2"/>
    <w:rsid w:val="47F3C81D"/>
    <w:rsid w:val="47F42474"/>
    <w:rsid w:val="47F4254A"/>
    <w:rsid w:val="47F45227"/>
    <w:rsid w:val="47F4D923"/>
    <w:rsid w:val="47F50903"/>
    <w:rsid w:val="47F5BBED"/>
    <w:rsid w:val="47F5F644"/>
    <w:rsid w:val="47F65174"/>
    <w:rsid w:val="47F6A32B"/>
    <w:rsid w:val="47F6DE59"/>
    <w:rsid w:val="47F8591C"/>
    <w:rsid w:val="47F936DB"/>
    <w:rsid w:val="47FA66A9"/>
    <w:rsid w:val="47FA9BDA"/>
    <w:rsid w:val="47FB1589"/>
    <w:rsid w:val="47FBBB11"/>
    <w:rsid w:val="47FC3381"/>
    <w:rsid w:val="47FC8CAC"/>
    <w:rsid w:val="47FD2BBD"/>
    <w:rsid w:val="47FDDBA8"/>
    <w:rsid w:val="47FE4BF7"/>
    <w:rsid w:val="47FE7F73"/>
    <w:rsid w:val="47FE8726"/>
    <w:rsid w:val="47FEEE13"/>
    <w:rsid w:val="48003375"/>
    <w:rsid w:val="48004BB4"/>
    <w:rsid w:val="4800AEE6"/>
    <w:rsid w:val="4800D0C6"/>
    <w:rsid w:val="48026BC1"/>
    <w:rsid w:val="480380E3"/>
    <w:rsid w:val="4803B222"/>
    <w:rsid w:val="4803EB09"/>
    <w:rsid w:val="4803ED06"/>
    <w:rsid w:val="48048F56"/>
    <w:rsid w:val="4804B570"/>
    <w:rsid w:val="4804FA47"/>
    <w:rsid w:val="4805FA8F"/>
    <w:rsid w:val="48063DBD"/>
    <w:rsid w:val="48071C3B"/>
    <w:rsid w:val="48084937"/>
    <w:rsid w:val="4808797C"/>
    <w:rsid w:val="48088E5F"/>
    <w:rsid w:val="4808D1D6"/>
    <w:rsid w:val="48093E07"/>
    <w:rsid w:val="4809A460"/>
    <w:rsid w:val="480A3632"/>
    <w:rsid w:val="480BBD90"/>
    <w:rsid w:val="480BCF63"/>
    <w:rsid w:val="480DC85E"/>
    <w:rsid w:val="480DE8F0"/>
    <w:rsid w:val="480E05DB"/>
    <w:rsid w:val="480F9A50"/>
    <w:rsid w:val="481202BB"/>
    <w:rsid w:val="4812FFC2"/>
    <w:rsid w:val="48132795"/>
    <w:rsid w:val="4813307D"/>
    <w:rsid w:val="48134C0D"/>
    <w:rsid w:val="48151E18"/>
    <w:rsid w:val="48152AE7"/>
    <w:rsid w:val="4815E3BF"/>
    <w:rsid w:val="481660A4"/>
    <w:rsid w:val="4816873F"/>
    <w:rsid w:val="4816B5D0"/>
    <w:rsid w:val="4816FC76"/>
    <w:rsid w:val="4817025F"/>
    <w:rsid w:val="48171F3B"/>
    <w:rsid w:val="481796AF"/>
    <w:rsid w:val="48183E32"/>
    <w:rsid w:val="48184AEE"/>
    <w:rsid w:val="481882C2"/>
    <w:rsid w:val="48190F9E"/>
    <w:rsid w:val="48199743"/>
    <w:rsid w:val="481A77CC"/>
    <w:rsid w:val="481AC832"/>
    <w:rsid w:val="481B234F"/>
    <w:rsid w:val="481B81B1"/>
    <w:rsid w:val="481BBBF7"/>
    <w:rsid w:val="481C4BA8"/>
    <w:rsid w:val="481CCBF8"/>
    <w:rsid w:val="481D9F30"/>
    <w:rsid w:val="481DD5EB"/>
    <w:rsid w:val="481EA0CB"/>
    <w:rsid w:val="481ED092"/>
    <w:rsid w:val="481F17B2"/>
    <w:rsid w:val="481F6866"/>
    <w:rsid w:val="48217470"/>
    <w:rsid w:val="4821AD0E"/>
    <w:rsid w:val="482242AA"/>
    <w:rsid w:val="4824513B"/>
    <w:rsid w:val="482460ED"/>
    <w:rsid w:val="4824C34E"/>
    <w:rsid w:val="482541C4"/>
    <w:rsid w:val="4825695F"/>
    <w:rsid w:val="48257235"/>
    <w:rsid w:val="4825B8C3"/>
    <w:rsid w:val="482669D7"/>
    <w:rsid w:val="48269236"/>
    <w:rsid w:val="4826E346"/>
    <w:rsid w:val="4826EB74"/>
    <w:rsid w:val="48277BD2"/>
    <w:rsid w:val="48278F9D"/>
    <w:rsid w:val="4827A43B"/>
    <w:rsid w:val="4827D1FA"/>
    <w:rsid w:val="48287BFC"/>
    <w:rsid w:val="4828B363"/>
    <w:rsid w:val="4828DAD9"/>
    <w:rsid w:val="4828DDBA"/>
    <w:rsid w:val="482958DE"/>
    <w:rsid w:val="4829F593"/>
    <w:rsid w:val="482A24D5"/>
    <w:rsid w:val="482A48AB"/>
    <w:rsid w:val="482B5EDB"/>
    <w:rsid w:val="482C29EC"/>
    <w:rsid w:val="482CF960"/>
    <w:rsid w:val="482D2F26"/>
    <w:rsid w:val="482D6424"/>
    <w:rsid w:val="482D6E02"/>
    <w:rsid w:val="482E15AC"/>
    <w:rsid w:val="482ECAF4"/>
    <w:rsid w:val="482F13E3"/>
    <w:rsid w:val="482F7808"/>
    <w:rsid w:val="4830689A"/>
    <w:rsid w:val="4831BC9E"/>
    <w:rsid w:val="4831D8B5"/>
    <w:rsid w:val="4832264B"/>
    <w:rsid w:val="48322D13"/>
    <w:rsid w:val="48326ADA"/>
    <w:rsid w:val="48327909"/>
    <w:rsid w:val="48352545"/>
    <w:rsid w:val="48352B81"/>
    <w:rsid w:val="48355F60"/>
    <w:rsid w:val="48356B02"/>
    <w:rsid w:val="4835AA9B"/>
    <w:rsid w:val="4835DDE3"/>
    <w:rsid w:val="48362862"/>
    <w:rsid w:val="4836305B"/>
    <w:rsid w:val="4836BC68"/>
    <w:rsid w:val="4836BFBD"/>
    <w:rsid w:val="4836D91A"/>
    <w:rsid w:val="483708E4"/>
    <w:rsid w:val="48373746"/>
    <w:rsid w:val="48374707"/>
    <w:rsid w:val="4838037B"/>
    <w:rsid w:val="48380D43"/>
    <w:rsid w:val="483832BA"/>
    <w:rsid w:val="48385F33"/>
    <w:rsid w:val="483AD2FD"/>
    <w:rsid w:val="483B66AC"/>
    <w:rsid w:val="483BAAC9"/>
    <w:rsid w:val="483CED43"/>
    <w:rsid w:val="483D9270"/>
    <w:rsid w:val="483DCB07"/>
    <w:rsid w:val="483E87A5"/>
    <w:rsid w:val="483EE002"/>
    <w:rsid w:val="484019F0"/>
    <w:rsid w:val="484094A0"/>
    <w:rsid w:val="48409ABE"/>
    <w:rsid w:val="4840FDE1"/>
    <w:rsid w:val="48419842"/>
    <w:rsid w:val="4841CED0"/>
    <w:rsid w:val="4841D2D6"/>
    <w:rsid w:val="484220CC"/>
    <w:rsid w:val="484313CD"/>
    <w:rsid w:val="48432FB4"/>
    <w:rsid w:val="4843AD27"/>
    <w:rsid w:val="4844A40C"/>
    <w:rsid w:val="4844E94D"/>
    <w:rsid w:val="48453861"/>
    <w:rsid w:val="48469122"/>
    <w:rsid w:val="484789D9"/>
    <w:rsid w:val="48483772"/>
    <w:rsid w:val="484878FC"/>
    <w:rsid w:val="4848C656"/>
    <w:rsid w:val="4848D069"/>
    <w:rsid w:val="4849CA2E"/>
    <w:rsid w:val="484A0F3F"/>
    <w:rsid w:val="484B6B8D"/>
    <w:rsid w:val="484B7C61"/>
    <w:rsid w:val="484BD6AF"/>
    <w:rsid w:val="484DBEB7"/>
    <w:rsid w:val="484EABF5"/>
    <w:rsid w:val="484FAF48"/>
    <w:rsid w:val="484FD586"/>
    <w:rsid w:val="4850338F"/>
    <w:rsid w:val="48508AC1"/>
    <w:rsid w:val="4850C69E"/>
    <w:rsid w:val="48512DA9"/>
    <w:rsid w:val="48515212"/>
    <w:rsid w:val="4851CB1D"/>
    <w:rsid w:val="4851E43F"/>
    <w:rsid w:val="4852A2B9"/>
    <w:rsid w:val="4852A840"/>
    <w:rsid w:val="4852F957"/>
    <w:rsid w:val="4853A970"/>
    <w:rsid w:val="48545011"/>
    <w:rsid w:val="485454CD"/>
    <w:rsid w:val="48555739"/>
    <w:rsid w:val="4856501C"/>
    <w:rsid w:val="4857828C"/>
    <w:rsid w:val="4858098B"/>
    <w:rsid w:val="48584C90"/>
    <w:rsid w:val="4859BF7D"/>
    <w:rsid w:val="485A34B9"/>
    <w:rsid w:val="485A717C"/>
    <w:rsid w:val="485A9276"/>
    <w:rsid w:val="485B613F"/>
    <w:rsid w:val="485C5365"/>
    <w:rsid w:val="485C5F3E"/>
    <w:rsid w:val="485CC641"/>
    <w:rsid w:val="485D6838"/>
    <w:rsid w:val="485FD556"/>
    <w:rsid w:val="485FE7C9"/>
    <w:rsid w:val="48611ADC"/>
    <w:rsid w:val="48617841"/>
    <w:rsid w:val="48619849"/>
    <w:rsid w:val="486235B3"/>
    <w:rsid w:val="48637DE9"/>
    <w:rsid w:val="4863C32A"/>
    <w:rsid w:val="4863C50E"/>
    <w:rsid w:val="48642996"/>
    <w:rsid w:val="486435D0"/>
    <w:rsid w:val="48643C54"/>
    <w:rsid w:val="4865F1CE"/>
    <w:rsid w:val="4866BA69"/>
    <w:rsid w:val="4867363B"/>
    <w:rsid w:val="4867E310"/>
    <w:rsid w:val="4867F5D7"/>
    <w:rsid w:val="48680592"/>
    <w:rsid w:val="486882A1"/>
    <w:rsid w:val="4868D40B"/>
    <w:rsid w:val="4869A9E1"/>
    <w:rsid w:val="486AA572"/>
    <w:rsid w:val="486AD555"/>
    <w:rsid w:val="486ADB9D"/>
    <w:rsid w:val="486B04D2"/>
    <w:rsid w:val="486B0DD8"/>
    <w:rsid w:val="486B4BF6"/>
    <w:rsid w:val="486B52CF"/>
    <w:rsid w:val="486B800D"/>
    <w:rsid w:val="486C4799"/>
    <w:rsid w:val="486C8B57"/>
    <w:rsid w:val="486C8BB8"/>
    <w:rsid w:val="486D7C43"/>
    <w:rsid w:val="486DD1CE"/>
    <w:rsid w:val="486EC350"/>
    <w:rsid w:val="486F73A5"/>
    <w:rsid w:val="48703873"/>
    <w:rsid w:val="487065B8"/>
    <w:rsid w:val="48708405"/>
    <w:rsid w:val="4871843E"/>
    <w:rsid w:val="487327E7"/>
    <w:rsid w:val="4873884B"/>
    <w:rsid w:val="4873B195"/>
    <w:rsid w:val="4874359C"/>
    <w:rsid w:val="4874F2E1"/>
    <w:rsid w:val="48762B7F"/>
    <w:rsid w:val="487759B6"/>
    <w:rsid w:val="487790D1"/>
    <w:rsid w:val="487853DE"/>
    <w:rsid w:val="48785E3E"/>
    <w:rsid w:val="4878727E"/>
    <w:rsid w:val="4878FF2A"/>
    <w:rsid w:val="487912B6"/>
    <w:rsid w:val="487985AB"/>
    <w:rsid w:val="487A54CD"/>
    <w:rsid w:val="487A728A"/>
    <w:rsid w:val="487A7FA3"/>
    <w:rsid w:val="487AD9B7"/>
    <w:rsid w:val="487B87DC"/>
    <w:rsid w:val="487C757C"/>
    <w:rsid w:val="487CEB61"/>
    <w:rsid w:val="487D0E22"/>
    <w:rsid w:val="487D2EBF"/>
    <w:rsid w:val="487DABF9"/>
    <w:rsid w:val="487DC7E1"/>
    <w:rsid w:val="487DFF80"/>
    <w:rsid w:val="487E423F"/>
    <w:rsid w:val="487E553C"/>
    <w:rsid w:val="487E5DC0"/>
    <w:rsid w:val="487E8BAE"/>
    <w:rsid w:val="487F5D22"/>
    <w:rsid w:val="4880A915"/>
    <w:rsid w:val="4880A98A"/>
    <w:rsid w:val="4881135D"/>
    <w:rsid w:val="4881AEAC"/>
    <w:rsid w:val="4882005F"/>
    <w:rsid w:val="4882D72F"/>
    <w:rsid w:val="4883E534"/>
    <w:rsid w:val="48847899"/>
    <w:rsid w:val="4885532A"/>
    <w:rsid w:val="4885CBF9"/>
    <w:rsid w:val="48860B69"/>
    <w:rsid w:val="48860EEB"/>
    <w:rsid w:val="488731EA"/>
    <w:rsid w:val="488776F9"/>
    <w:rsid w:val="48878F30"/>
    <w:rsid w:val="4887AD03"/>
    <w:rsid w:val="488A55FD"/>
    <w:rsid w:val="488AD109"/>
    <w:rsid w:val="488C01EA"/>
    <w:rsid w:val="488C3ED4"/>
    <w:rsid w:val="488C7247"/>
    <w:rsid w:val="488D5885"/>
    <w:rsid w:val="488D87C0"/>
    <w:rsid w:val="488DCE1A"/>
    <w:rsid w:val="488DD048"/>
    <w:rsid w:val="488E2878"/>
    <w:rsid w:val="488E8887"/>
    <w:rsid w:val="488F0C87"/>
    <w:rsid w:val="488F249F"/>
    <w:rsid w:val="488F3AD7"/>
    <w:rsid w:val="488F5009"/>
    <w:rsid w:val="488F7132"/>
    <w:rsid w:val="48911AB6"/>
    <w:rsid w:val="489249C8"/>
    <w:rsid w:val="48939564"/>
    <w:rsid w:val="4894BBB8"/>
    <w:rsid w:val="4895917A"/>
    <w:rsid w:val="4895EF09"/>
    <w:rsid w:val="4896B632"/>
    <w:rsid w:val="4896F2BF"/>
    <w:rsid w:val="48970017"/>
    <w:rsid w:val="489729B5"/>
    <w:rsid w:val="4897DD5E"/>
    <w:rsid w:val="48980C9E"/>
    <w:rsid w:val="48982A47"/>
    <w:rsid w:val="4898D9BA"/>
    <w:rsid w:val="4899452E"/>
    <w:rsid w:val="489AE092"/>
    <w:rsid w:val="489C41DB"/>
    <w:rsid w:val="489CD987"/>
    <w:rsid w:val="489D814A"/>
    <w:rsid w:val="489DBC4A"/>
    <w:rsid w:val="489DFD5E"/>
    <w:rsid w:val="48A02F0A"/>
    <w:rsid w:val="48A0307C"/>
    <w:rsid w:val="48A07F59"/>
    <w:rsid w:val="48A0CDAE"/>
    <w:rsid w:val="48A104E8"/>
    <w:rsid w:val="48A22BD3"/>
    <w:rsid w:val="48A2A167"/>
    <w:rsid w:val="48A2F88B"/>
    <w:rsid w:val="48A348B3"/>
    <w:rsid w:val="48A38E7D"/>
    <w:rsid w:val="48A487C7"/>
    <w:rsid w:val="48A54870"/>
    <w:rsid w:val="48A580B7"/>
    <w:rsid w:val="48A5B662"/>
    <w:rsid w:val="48A5CDD6"/>
    <w:rsid w:val="48A5D84C"/>
    <w:rsid w:val="48A5DE5C"/>
    <w:rsid w:val="48A6009C"/>
    <w:rsid w:val="48A6E437"/>
    <w:rsid w:val="48A72CF9"/>
    <w:rsid w:val="48A7EF56"/>
    <w:rsid w:val="48A89E85"/>
    <w:rsid w:val="48A8F475"/>
    <w:rsid w:val="48A9587A"/>
    <w:rsid w:val="48A9DCE7"/>
    <w:rsid w:val="48A9F712"/>
    <w:rsid w:val="48AC6DEA"/>
    <w:rsid w:val="48ACF88B"/>
    <w:rsid w:val="48ACFB44"/>
    <w:rsid w:val="48AD2CFD"/>
    <w:rsid w:val="48AD9467"/>
    <w:rsid w:val="48AE13BA"/>
    <w:rsid w:val="48AF2634"/>
    <w:rsid w:val="48AF45DD"/>
    <w:rsid w:val="48AFBB9E"/>
    <w:rsid w:val="48AFC026"/>
    <w:rsid w:val="48B0257C"/>
    <w:rsid w:val="48B06E90"/>
    <w:rsid w:val="48B0DCBC"/>
    <w:rsid w:val="48B0E3D6"/>
    <w:rsid w:val="48B14384"/>
    <w:rsid w:val="48B18465"/>
    <w:rsid w:val="48B1C6D1"/>
    <w:rsid w:val="48B22845"/>
    <w:rsid w:val="48B3B322"/>
    <w:rsid w:val="48B41AFC"/>
    <w:rsid w:val="48B52DA5"/>
    <w:rsid w:val="48B5338C"/>
    <w:rsid w:val="48B623F9"/>
    <w:rsid w:val="48B62661"/>
    <w:rsid w:val="48B6FCB4"/>
    <w:rsid w:val="48B76B93"/>
    <w:rsid w:val="48B770C2"/>
    <w:rsid w:val="48B919CC"/>
    <w:rsid w:val="48B92CAF"/>
    <w:rsid w:val="48B9DF77"/>
    <w:rsid w:val="48B9E3DD"/>
    <w:rsid w:val="48BA15C6"/>
    <w:rsid w:val="48BAF5FC"/>
    <w:rsid w:val="48BBBB03"/>
    <w:rsid w:val="48BBFF9C"/>
    <w:rsid w:val="48BC1FB4"/>
    <w:rsid w:val="48BC70B4"/>
    <w:rsid w:val="48BD66DD"/>
    <w:rsid w:val="48BDA152"/>
    <w:rsid w:val="48BDA70B"/>
    <w:rsid w:val="48BDC18B"/>
    <w:rsid w:val="48BDFEF0"/>
    <w:rsid w:val="48BE318E"/>
    <w:rsid w:val="48BED4A4"/>
    <w:rsid w:val="48BF1011"/>
    <w:rsid w:val="48BF7E51"/>
    <w:rsid w:val="48BFC44C"/>
    <w:rsid w:val="48BFCF1B"/>
    <w:rsid w:val="48C10406"/>
    <w:rsid w:val="48C112D6"/>
    <w:rsid w:val="48C183B7"/>
    <w:rsid w:val="48C1F4B2"/>
    <w:rsid w:val="48C3121F"/>
    <w:rsid w:val="48C3EEBA"/>
    <w:rsid w:val="48C4B7F6"/>
    <w:rsid w:val="48C4D715"/>
    <w:rsid w:val="48C50A86"/>
    <w:rsid w:val="48C59599"/>
    <w:rsid w:val="48C5A79F"/>
    <w:rsid w:val="48C78215"/>
    <w:rsid w:val="48C7CD70"/>
    <w:rsid w:val="48C7CE77"/>
    <w:rsid w:val="48C7E704"/>
    <w:rsid w:val="48C855B7"/>
    <w:rsid w:val="48C89343"/>
    <w:rsid w:val="48C92500"/>
    <w:rsid w:val="48C962F0"/>
    <w:rsid w:val="48C9C047"/>
    <w:rsid w:val="48C9DECB"/>
    <w:rsid w:val="48C9F961"/>
    <w:rsid w:val="48CAB09C"/>
    <w:rsid w:val="48CAF1CE"/>
    <w:rsid w:val="48CB38A5"/>
    <w:rsid w:val="48CC095F"/>
    <w:rsid w:val="48CC2E4A"/>
    <w:rsid w:val="48CC4F10"/>
    <w:rsid w:val="48CC755C"/>
    <w:rsid w:val="48CD353C"/>
    <w:rsid w:val="48CD546D"/>
    <w:rsid w:val="48CD8D20"/>
    <w:rsid w:val="48CDB2A3"/>
    <w:rsid w:val="48CE6102"/>
    <w:rsid w:val="48CEA805"/>
    <w:rsid w:val="48CF5CB7"/>
    <w:rsid w:val="48CFD8CB"/>
    <w:rsid w:val="48D1795C"/>
    <w:rsid w:val="48D2AB12"/>
    <w:rsid w:val="48D2D2C4"/>
    <w:rsid w:val="48D3BEE5"/>
    <w:rsid w:val="48D3EB69"/>
    <w:rsid w:val="48D3F0F2"/>
    <w:rsid w:val="48D3F0FB"/>
    <w:rsid w:val="48D41218"/>
    <w:rsid w:val="48D4ED81"/>
    <w:rsid w:val="48D50070"/>
    <w:rsid w:val="48D52B17"/>
    <w:rsid w:val="48D6C410"/>
    <w:rsid w:val="48D6F9B4"/>
    <w:rsid w:val="48D71902"/>
    <w:rsid w:val="48D73C55"/>
    <w:rsid w:val="48D95E57"/>
    <w:rsid w:val="48DA2E01"/>
    <w:rsid w:val="48DA5623"/>
    <w:rsid w:val="48DBB188"/>
    <w:rsid w:val="48DC0E2C"/>
    <w:rsid w:val="48DC414A"/>
    <w:rsid w:val="48DED9A5"/>
    <w:rsid w:val="48DF6C90"/>
    <w:rsid w:val="48DFCB80"/>
    <w:rsid w:val="48E01BFB"/>
    <w:rsid w:val="48E089B8"/>
    <w:rsid w:val="48E08CF4"/>
    <w:rsid w:val="48E1DF29"/>
    <w:rsid w:val="48E23A73"/>
    <w:rsid w:val="48E249CA"/>
    <w:rsid w:val="48E265B0"/>
    <w:rsid w:val="48E2A297"/>
    <w:rsid w:val="48E2DA0D"/>
    <w:rsid w:val="48E33F7D"/>
    <w:rsid w:val="48E4961C"/>
    <w:rsid w:val="48E4AAD8"/>
    <w:rsid w:val="48E52750"/>
    <w:rsid w:val="48E540A6"/>
    <w:rsid w:val="48E59630"/>
    <w:rsid w:val="48E5AC89"/>
    <w:rsid w:val="48E5ACD8"/>
    <w:rsid w:val="48E5DC94"/>
    <w:rsid w:val="48E6AD23"/>
    <w:rsid w:val="48E723D9"/>
    <w:rsid w:val="48E76129"/>
    <w:rsid w:val="48E773F8"/>
    <w:rsid w:val="48E796EC"/>
    <w:rsid w:val="48E7A0E5"/>
    <w:rsid w:val="48E7D943"/>
    <w:rsid w:val="48E8FEDF"/>
    <w:rsid w:val="48E963D6"/>
    <w:rsid w:val="48E9DFC1"/>
    <w:rsid w:val="48EA7969"/>
    <w:rsid w:val="48EABECD"/>
    <w:rsid w:val="48EAFC3A"/>
    <w:rsid w:val="48EB1C89"/>
    <w:rsid w:val="48EB4A82"/>
    <w:rsid w:val="48EB5966"/>
    <w:rsid w:val="48EB5BBA"/>
    <w:rsid w:val="48EBC4AB"/>
    <w:rsid w:val="48EBE62F"/>
    <w:rsid w:val="48EE3767"/>
    <w:rsid w:val="48EEA779"/>
    <w:rsid w:val="48EEC775"/>
    <w:rsid w:val="48EFC7BB"/>
    <w:rsid w:val="48F00FC0"/>
    <w:rsid w:val="48F011E7"/>
    <w:rsid w:val="48F13006"/>
    <w:rsid w:val="48F1DFC0"/>
    <w:rsid w:val="48F23435"/>
    <w:rsid w:val="48F23DF8"/>
    <w:rsid w:val="48F3554A"/>
    <w:rsid w:val="48F37B54"/>
    <w:rsid w:val="48F42769"/>
    <w:rsid w:val="48F43DB6"/>
    <w:rsid w:val="48F49763"/>
    <w:rsid w:val="48F49C4D"/>
    <w:rsid w:val="48F4F4FF"/>
    <w:rsid w:val="48F58340"/>
    <w:rsid w:val="48F5951D"/>
    <w:rsid w:val="48F60BD2"/>
    <w:rsid w:val="48F6208F"/>
    <w:rsid w:val="48F6275F"/>
    <w:rsid w:val="48F6C092"/>
    <w:rsid w:val="48F6CB69"/>
    <w:rsid w:val="48F70B88"/>
    <w:rsid w:val="48FA65BB"/>
    <w:rsid w:val="48FAE63D"/>
    <w:rsid w:val="48FB6ED4"/>
    <w:rsid w:val="48FB8D52"/>
    <w:rsid w:val="48FBD63D"/>
    <w:rsid w:val="48FC059E"/>
    <w:rsid w:val="48FCAEC1"/>
    <w:rsid w:val="48FD477F"/>
    <w:rsid w:val="48FD7CF0"/>
    <w:rsid w:val="48FDC481"/>
    <w:rsid w:val="48FE5CC9"/>
    <w:rsid w:val="48FE6926"/>
    <w:rsid w:val="48FED877"/>
    <w:rsid w:val="48FF4D7F"/>
    <w:rsid w:val="48FF598E"/>
    <w:rsid w:val="48FF7B67"/>
    <w:rsid w:val="48FFB874"/>
    <w:rsid w:val="49012088"/>
    <w:rsid w:val="49015F66"/>
    <w:rsid w:val="4901A6BD"/>
    <w:rsid w:val="4901B0D7"/>
    <w:rsid w:val="490259C0"/>
    <w:rsid w:val="49034748"/>
    <w:rsid w:val="49041D49"/>
    <w:rsid w:val="4904FF5E"/>
    <w:rsid w:val="4906D476"/>
    <w:rsid w:val="4907BACC"/>
    <w:rsid w:val="490842AD"/>
    <w:rsid w:val="4908A295"/>
    <w:rsid w:val="4908C4A6"/>
    <w:rsid w:val="49091E1C"/>
    <w:rsid w:val="490A51B7"/>
    <w:rsid w:val="490A534C"/>
    <w:rsid w:val="490AFF46"/>
    <w:rsid w:val="490B43C1"/>
    <w:rsid w:val="490BB92A"/>
    <w:rsid w:val="490BC543"/>
    <w:rsid w:val="490BEEED"/>
    <w:rsid w:val="490CDA15"/>
    <w:rsid w:val="490D0A14"/>
    <w:rsid w:val="490DAB6C"/>
    <w:rsid w:val="490DFD57"/>
    <w:rsid w:val="490E3313"/>
    <w:rsid w:val="490EA3CA"/>
    <w:rsid w:val="490FD974"/>
    <w:rsid w:val="490FE3FE"/>
    <w:rsid w:val="4910A8E6"/>
    <w:rsid w:val="49114223"/>
    <w:rsid w:val="49114982"/>
    <w:rsid w:val="49115B0B"/>
    <w:rsid w:val="49129BAC"/>
    <w:rsid w:val="4912C8D2"/>
    <w:rsid w:val="4912DF9D"/>
    <w:rsid w:val="491382D7"/>
    <w:rsid w:val="49139B20"/>
    <w:rsid w:val="4914149A"/>
    <w:rsid w:val="4914E400"/>
    <w:rsid w:val="491713AB"/>
    <w:rsid w:val="491763CC"/>
    <w:rsid w:val="491774BA"/>
    <w:rsid w:val="4917CBA2"/>
    <w:rsid w:val="4917DE57"/>
    <w:rsid w:val="491972C5"/>
    <w:rsid w:val="49197D87"/>
    <w:rsid w:val="491A147F"/>
    <w:rsid w:val="491A7384"/>
    <w:rsid w:val="491A864E"/>
    <w:rsid w:val="491A9379"/>
    <w:rsid w:val="491A9E8E"/>
    <w:rsid w:val="491AC982"/>
    <w:rsid w:val="491B2CDD"/>
    <w:rsid w:val="491BBAA0"/>
    <w:rsid w:val="491C1E4A"/>
    <w:rsid w:val="491DEEE7"/>
    <w:rsid w:val="491E3444"/>
    <w:rsid w:val="491F8963"/>
    <w:rsid w:val="491FAC40"/>
    <w:rsid w:val="491FB46D"/>
    <w:rsid w:val="49203F84"/>
    <w:rsid w:val="49212B95"/>
    <w:rsid w:val="49215869"/>
    <w:rsid w:val="49216276"/>
    <w:rsid w:val="4921A03A"/>
    <w:rsid w:val="492219A2"/>
    <w:rsid w:val="49226AF1"/>
    <w:rsid w:val="4922F477"/>
    <w:rsid w:val="49231944"/>
    <w:rsid w:val="492379D7"/>
    <w:rsid w:val="49243B19"/>
    <w:rsid w:val="4925D504"/>
    <w:rsid w:val="49263D48"/>
    <w:rsid w:val="49263DD1"/>
    <w:rsid w:val="49270763"/>
    <w:rsid w:val="4927B7FB"/>
    <w:rsid w:val="492849C1"/>
    <w:rsid w:val="49285AE8"/>
    <w:rsid w:val="4928D942"/>
    <w:rsid w:val="492994A2"/>
    <w:rsid w:val="492A439F"/>
    <w:rsid w:val="492B0158"/>
    <w:rsid w:val="492B4C55"/>
    <w:rsid w:val="492B87E3"/>
    <w:rsid w:val="492B90C1"/>
    <w:rsid w:val="492B9C3E"/>
    <w:rsid w:val="492BFD0B"/>
    <w:rsid w:val="492C501A"/>
    <w:rsid w:val="492C6EEB"/>
    <w:rsid w:val="492D0924"/>
    <w:rsid w:val="492EF273"/>
    <w:rsid w:val="49305BF4"/>
    <w:rsid w:val="49314518"/>
    <w:rsid w:val="49317B4E"/>
    <w:rsid w:val="49317FA0"/>
    <w:rsid w:val="4931AEBD"/>
    <w:rsid w:val="4931FB1C"/>
    <w:rsid w:val="493220C4"/>
    <w:rsid w:val="4932FE9B"/>
    <w:rsid w:val="4933448E"/>
    <w:rsid w:val="4933C5DD"/>
    <w:rsid w:val="49346DAF"/>
    <w:rsid w:val="4934A61D"/>
    <w:rsid w:val="4935035E"/>
    <w:rsid w:val="49354D91"/>
    <w:rsid w:val="4935BC03"/>
    <w:rsid w:val="4936A1D3"/>
    <w:rsid w:val="4936C62A"/>
    <w:rsid w:val="493779DF"/>
    <w:rsid w:val="49380035"/>
    <w:rsid w:val="49384FEA"/>
    <w:rsid w:val="4938D72C"/>
    <w:rsid w:val="4938E76F"/>
    <w:rsid w:val="49397FBA"/>
    <w:rsid w:val="4939BB1A"/>
    <w:rsid w:val="4939EA3F"/>
    <w:rsid w:val="493A0EB4"/>
    <w:rsid w:val="493A8C03"/>
    <w:rsid w:val="493AFC15"/>
    <w:rsid w:val="493B320E"/>
    <w:rsid w:val="493C40AB"/>
    <w:rsid w:val="493C9DE0"/>
    <w:rsid w:val="493D3D3C"/>
    <w:rsid w:val="493DD0DA"/>
    <w:rsid w:val="493EDC87"/>
    <w:rsid w:val="494036FE"/>
    <w:rsid w:val="4940627A"/>
    <w:rsid w:val="494065CE"/>
    <w:rsid w:val="49409E59"/>
    <w:rsid w:val="49412D30"/>
    <w:rsid w:val="49418697"/>
    <w:rsid w:val="4941D227"/>
    <w:rsid w:val="4941E210"/>
    <w:rsid w:val="4941E45B"/>
    <w:rsid w:val="49424989"/>
    <w:rsid w:val="49424B3E"/>
    <w:rsid w:val="49424D6C"/>
    <w:rsid w:val="4942B0F7"/>
    <w:rsid w:val="49430853"/>
    <w:rsid w:val="494453B8"/>
    <w:rsid w:val="4944D67B"/>
    <w:rsid w:val="4945E82F"/>
    <w:rsid w:val="4946833B"/>
    <w:rsid w:val="494A4859"/>
    <w:rsid w:val="494A7A90"/>
    <w:rsid w:val="494A9C85"/>
    <w:rsid w:val="494B619B"/>
    <w:rsid w:val="494C7DB8"/>
    <w:rsid w:val="494CEFF6"/>
    <w:rsid w:val="494D3225"/>
    <w:rsid w:val="494D48E8"/>
    <w:rsid w:val="494D7E3B"/>
    <w:rsid w:val="494DDCCB"/>
    <w:rsid w:val="494E1400"/>
    <w:rsid w:val="494E89E8"/>
    <w:rsid w:val="494F2C0A"/>
    <w:rsid w:val="494F2E03"/>
    <w:rsid w:val="494F3C8C"/>
    <w:rsid w:val="494F6E0C"/>
    <w:rsid w:val="494F7F32"/>
    <w:rsid w:val="49502480"/>
    <w:rsid w:val="495060E5"/>
    <w:rsid w:val="4950A981"/>
    <w:rsid w:val="4951010C"/>
    <w:rsid w:val="495192F4"/>
    <w:rsid w:val="4952768F"/>
    <w:rsid w:val="4952AC9C"/>
    <w:rsid w:val="49535ECE"/>
    <w:rsid w:val="495365CA"/>
    <w:rsid w:val="495398D7"/>
    <w:rsid w:val="49539BF4"/>
    <w:rsid w:val="4953B0FB"/>
    <w:rsid w:val="4953E47D"/>
    <w:rsid w:val="4953FACB"/>
    <w:rsid w:val="49544B3D"/>
    <w:rsid w:val="49544DEB"/>
    <w:rsid w:val="495463E7"/>
    <w:rsid w:val="4954B8A1"/>
    <w:rsid w:val="495694F9"/>
    <w:rsid w:val="49578374"/>
    <w:rsid w:val="4957D0D2"/>
    <w:rsid w:val="49586CEC"/>
    <w:rsid w:val="4958F649"/>
    <w:rsid w:val="495918D3"/>
    <w:rsid w:val="49597158"/>
    <w:rsid w:val="495A4163"/>
    <w:rsid w:val="495B2041"/>
    <w:rsid w:val="495BC54E"/>
    <w:rsid w:val="495BCF0F"/>
    <w:rsid w:val="495E64C7"/>
    <w:rsid w:val="495EF191"/>
    <w:rsid w:val="495F71FA"/>
    <w:rsid w:val="4960B773"/>
    <w:rsid w:val="4960E8E0"/>
    <w:rsid w:val="4960EC1F"/>
    <w:rsid w:val="49610091"/>
    <w:rsid w:val="4961BF64"/>
    <w:rsid w:val="496257CF"/>
    <w:rsid w:val="496259B5"/>
    <w:rsid w:val="4962BC58"/>
    <w:rsid w:val="4962D74A"/>
    <w:rsid w:val="4963121C"/>
    <w:rsid w:val="4963DC13"/>
    <w:rsid w:val="496404AF"/>
    <w:rsid w:val="496511F5"/>
    <w:rsid w:val="4965AC84"/>
    <w:rsid w:val="49661579"/>
    <w:rsid w:val="49669D2B"/>
    <w:rsid w:val="4966B8C9"/>
    <w:rsid w:val="4968734D"/>
    <w:rsid w:val="496907D0"/>
    <w:rsid w:val="496919EF"/>
    <w:rsid w:val="496A291E"/>
    <w:rsid w:val="496ABA48"/>
    <w:rsid w:val="496B50CB"/>
    <w:rsid w:val="496CA97B"/>
    <w:rsid w:val="496CEEF6"/>
    <w:rsid w:val="496D43DC"/>
    <w:rsid w:val="496D79D1"/>
    <w:rsid w:val="496E82E4"/>
    <w:rsid w:val="496F272A"/>
    <w:rsid w:val="496F4E07"/>
    <w:rsid w:val="496F625D"/>
    <w:rsid w:val="496FF525"/>
    <w:rsid w:val="497032B6"/>
    <w:rsid w:val="49703CD4"/>
    <w:rsid w:val="4970EC2A"/>
    <w:rsid w:val="4971FC7B"/>
    <w:rsid w:val="4972AA8B"/>
    <w:rsid w:val="4972B680"/>
    <w:rsid w:val="49735DB7"/>
    <w:rsid w:val="49737781"/>
    <w:rsid w:val="49738D73"/>
    <w:rsid w:val="4973B1DE"/>
    <w:rsid w:val="49743453"/>
    <w:rsid w:val="4974432F"/>
    <w:rsid w:val="49750342"/>
    <w:rsid w:val="4975B845"/>
    <w:rsid w:val="49762182"/>
    <w:rsid w:val="4976536A"/>
    <w:rsid w:val="49768DC8"/>
    <w:rsid w:val="4976C1C3"/>
    <w:rsid w:val="4976E747"/>
    <w:rsid w:val="49770688"/>
    <w:rsid w:val="4977094D"/>
    <w:rsid w:val="4977572C"/>
    <w:rsid w:val="4977710F"/>
    <w:rsid w:val="497798C7"/>
    <w:rsid w:val="4977A3FE"/>
    <w:rsid w:val="49786529"/>
    <w:rsid w:val="49795496"/>
    <w:rsid w:val="4979A0B9"/>
    <w:rsid w:val="4979F17D"/>
    <w:rsid w:val="497A2DA5"/>
    <w:rsid w:val="497AAD77"/>
    <w:rsid w:val="497AF547"/>
    <w:rsid w:val="497AFCAB"/>
    <w:rsid w:val="497BA50D"/>
    <w:rsid w:val="497C1845"/>
    <w:rsid w:val="497C48AE"/>
    <w:rsid w:val="497CCB71"/>
    <w:rsid w:val="497DC1D8"/>
    <w:rsid w:val="497ED412"/>
    <w:rsid w:val="497F13DC"/>
    <w:rsid w:val="4980BF7D"/>
    <w:rsid w:val="49813A36"/>
    <w:rsid w:val="498145A2"/>
    <w:rsid w:val="49822856"/>
    <w:rsid w:val="49839F47"/>
    <w:rsid w:val="49856108"/>
    <w:rsid w:val="49858C17"/>
    <w:rsid w:val="49859878"/>
    <w:rsid w:val="4986CBC1"/>
    <w:rsid w:val="49873F74"/>
    <w:rsid w:val="4987484C"/>
    <w:rsid w:val="4987F77D"/>
    <w:rsid w:val="49887D89"/>
    <w:rsid w:val="49890A05"/>
    <w:rsid w:val="49895A1B"/>
    <w:rsid w:val="49895CBB"/>
    <w:rsid w:val="4989FF66"/>
    <w:rsid w:val="498A1B55"/>
    <w:rsid w:val="498A8277"/>
    <w:rsid w:val="498AEE81"/>
    <w:rsid w:val="498B71CD"/>
    <w:rsid w:val="498BA3B0"/>
    <w:rsid w:val="498BE4A5"/>
    <w:rsid w:val="498C4B3D"/>
    <w:rsid w:val="498DC48A"/>
    <w:rsid w:val="498DE090"/>
    <w:rsid w:val="498EC4D4"/>
    <w:rsid w:val="498F43AE"/>
    <w:rsid w:val="498F44CF"/>
    <w:rsid w:val="499042CA"/>
    <w:rsid w:val="499073CF"/>
    <w:rsid w:val="499077A6"/>
    <w:rsid w:val="49914978"/>
    <w:rsid w:val="4992D5A8"/>
    <w:rsid w:val="4994A9D5"/>
    <w:rsid w:val="4994B1DA"/>
    <w:rsid w:val="4996F9AD"/>
    <w:rsid w:val="4997824F"/>
    <w:rsid w:val="49988251"/>
    <w:rsid w:val="4998BC35"/>
    <w:rsid w:val="4998D6E5"/>
    <w:rsid w:val="4999ACDF"/>
    <w:rsid w:val="499AB807"/>
    <w:rsid w:val="499B8438"/>
    <w:rsid w:val="499BA1BA"/>
    <w:rsid w:val="499BF896"/>
    <w:rsid w:val="499C1B64"/>
    <w:rsid w:val="499CC5FB"/>
    <w:rsid w:val="499CFD97"/>
    <w:rsid w:val="499E0113"/>
    <w:rsid w:val="499E4F98"/>
    <w:rsid w:val="499EB282"/>
    <w:rsid w:val="499ECABD"/>
    <w:rsid w:val="499EF2A1"/>
    <w:rsid w:val="499F1C60"/>
    <w:rsid w:val="499F7478"/>
    <w:rsid w:val="499FE075"/>
    <w:rsid w:val="49A19547"/>
    <w:rsid w:val="49A234CD"/>
    <w:rsid w:val="49A2546C"/>
    <w:rsid w:val="49A28933"/>
    <w:rsid w:val="49A2F57C"/>
    <w:rsid w:val="49A33A69"/>
    <w:rsid w:val="49A3E07E"/>
    <w:rsid w:val="49A404D4"/>
    <w:rsid w:val="49A4523A"/>
    <w:rsid w:val="49A4E2F4"/>
    <w:rsid w:val="49A562AA"/>
    <w:rsid w:val="49A61665"/>
    <w:rsid w:val="49A62B20"/>
    <w:rsid w:val="49A63F9D"/>
    <w:rsid w:val="49A70092"/>
    <w:rsid w:val="49A750BD"/>
    <w:rsid w:val="49A77F15"/>
    <w:rsid w:val="49A7F8E3"/>
    <w:rsid w:val="49A84ABA"/>
    <w:rsid w:val="49A86AAC"/>
    <w:rsid w:val="49A87BC7"/>
    <w:rsid w:val="49A8AD2D"/>
    <w:rsid w:val="49A8BD08"/>
    <w:rsid w:val="49A8D668"/>
    <w:rsid w:val="49A982BB"/>
    <w:rsid w:val="49A98F84"/>
    <w:rsid w:val="49AA0B41"/>
    <w:rsid w:val="49AA3551"/>
    <w:rsid w:val="49AA9063"/>
    <w:rsid w:val="49AA9835"/>
    <w:rsid w:val="49ABBC0F"/>
    <w:rsid w:val="49ABCFE6"/>
    <w:rsid w:val="49ACBDAD"/>
    <w:rsid w:val="49AE33F4"/>
    <w:rsid w:val="49AEC19E"/>
    <w:rsid w:val="49B0C48A"/>
    <w:rsid w:val="49B26C06"/>
    <w:rsid w:val="49B2DC2E"/>
    <w:rsid w:val="49B33062"/>
    <w:rsid w:val="49B40BF8"/>
    <w:rsid w:val="49B4FBEA"/>
    <w:rsid w:val="49B52BCF"/>
    <w:rsid w:val="49B5377A"/>
    <w:rsid w:val="49B60BBF"/>
    <w:rsid w:val="49B65DAC"/>
    <w:rsid w:val="49B6F171"/>
    <w:rsid w:val="49B759C1"/>
    <w:rsid w:val="49B98E60"/>
    <w:rsid w:val="49B9BA3D"/>
    <w:rsid w:val="49BA86AA"/>
    <w:rsid w:val="49BB3874"/>
    <w:rsid w:val="49BBE152"/>
    <w:rsid w:val="49BBE660"/>
    <w:rsid w:val="49BCB340"/>
    <w:rsid w:val="49BD642B"/>
    <w:rsid w:val="49BDA741"/>
    <w:rsid w:val="49BDCB5C"/>
    <w:rsid w:val="49BDDD3C"/>
    <w:rsid w:val="49BE3B7B"/>
    <w:rsid w:val="49BE7344"/>
    <w:rsid w:val="49BF4477"/>
    <w:rsid w:val="49BF572B"/>
    <w:rsid w:val="49BF78E2"/>
    <w:rsid w:val="49BFA6E9"/>
    <w:rsid w:val="49BFCE95"/>
    <w:rsid w:val="49C11C5A"/>
    <w:rsid w:val="49C1884F"/>
    <w:rsid w:val="49C18A86"/>
    <w:rsid w:val="49C19025"/>
    <w:rsid w:val="49C19554"/>
    <w:rsid w:val="49C20D24"/>
    <w:rsid w:val="49C21539"/>
    <w:rsid w:val="49C2534E"/>
    <w:rsid w:val="49C27B75"/>
    <w:rsid w:val="49C330E7"/>
    <w:rsid w:val="49C331C7"/>
    <w:rsid w:val="49C34B1A"/>
    <w:rsid w:val="49C351FB"/>
    <w:rsid w:val="49C3F597"/>
    <w:rsid w:val="49C4988A"/>
    <w:rsid w:val="49C61920"/>
    <w:rsid w:val="49C6BA29"/>
    <w:rsid w:val="49C77364"/>
    <w:rsid w:val="49C8601E"/>
    <w:rsid w:val="49C905CC"/>
    <w:rsid w:val="49C96647"/>
    <w:rsid w:val="49C9E9D9"/>
    <w:rsid w:val="49CA0DA3"/>
    <w:rsid w:val="49CA4267"/>
    <w:rsid w:val="49CAC4D3"/>
    <w:rsid w:val="49CB531B"/>
    <w:rsid w:val="49CBC271"/>
    <w:rsid w:val="49CE226F"/>
    <w:rsid w:val="49CE2557"/>
    <w:rsid w:val="49CF8A50"/>
    <w:rsid w:val="49CFF84D"/>
    <w:rsid w:val="49D0118A"/>
    <w:rsid w:val="49D02BD7"/>
    <w:rsid w:val="49D05EEC"/>
    <w:rsid w:val="49D1974E"/>
    <w:rsid w:val="49D1EAB7"/>
    <w:rsid w:val="49D2433C"/>
    <w:rsid w:val="49D2E9BD"/>
    <w:rsid w:val="49D321BA"/>
    <w:rsid w:val="49D337A6"/>
    <w:rsid w:val="49D4259C"/>
    <w:rsid w:val="49D4746D"/>
    <w:rsid w:val="49D4A27A"/>
    <w:rsid w:val="49D527E5"/>
    <w:rsid w:val="49D75911"/>
    <w:rsid w:val="49D7D9C5"/>
    <w:rsid w:val="49D7F59F"/>
    <w:rsid w:val="49D8D41F"/>
    <w:rsid w:val="49D90A5E"/>
    <w:rsid w:val="49D90A9D"/>
    <w:rsid w:val="49D93D36"/>
    <w:rsid w:val="49DA0C5D"/>
    <w:rsid w:val="49DA1142"/>
    <w:rsid w:val="49DAA795"/>
    <w:rsid w:val="49DB1464"/>
    <w:rsid w:val="49DCFFB1"/>
    <w:rsid w:val="49DD02AB"/>
    <w:rsid w:val="49DD4D00"/>
    <w:rsid w:val="49DD6878"/>
    <w:rsid w:val="49DE2AB5"/>
    <w:rsid w:val="49DE77C9"/>
    <w:rsid w:val="49DF6E73"/>
    <w:rsid w:val="49DFCA40"/>
    <w:rsid w:val="49E19FEE"/>
    <w:rsid w:val="49E1AF1C"/>
    <w:rsid w:val="49E495A2"/>
    <w:rsid w:val="49E55D26"/>
    <w:rsid w:val="49E5690A"/>
    <w:rsid w:val="49E6416F"/>
    <w:rsid w:val="49E6EDAC"/>
    <w:rsid w:val="49E6FFCB"/>
    <w:rsid w:val="49E7145E"/>
    <w:rsid w:val="49E7599B"/>
    <w:rsid w:val="49E7B739"/>
    <w:rsid w:val="49E82499"/>
    <w:rsid w:val="49E91E6B"/>
    <w:rsid w:val="49E9F137"/>
    <w:rsid w:val="49EA1D31"/>
    <w:rsid w:val="49EAA69B"/>
    <w:rsid w:val="49EAFAE7"/>
    <w:rsid w:val="49EB0279"/>
    <w:rsid w:val="49EB7099"/>
    <w:rsid w:val="49EC89D3"/>
    <w:rsid w:val="49EE02D1"/>
    <w:rsid w:val="49EE52DF"/>
    <w:rsid w:val="49EE8D50"/>
    <w:rsid w:val="49EFD531"/>
    <w:rsid w:val="49F01209"/>
    <w:rsid w:val="49F02978"/>
    <w:rsid w:val="49F06809"/>
    <w:rsid w:val="49F07515"/>
    <w:rsid w:val="49F13883"/>
    <w:rsid w:val="49F1632B"/>
    <w:rsid w:val="49F29C66"/>
    <w:rsid w:val="49F411A8"/>
    <w:rsid w:val="49F41814"/>
    <w:rsid w:val="49F4C387"/>
    <w:rsid w:val="49F532E7"/>
    <w:rsid w:val="49F5C19D"/>
    <w:rsid w:val="49F63A95"/>
    <w:rsid w:val="49F6C04A"/>
    <w:rsid w:val="49F78C2F"/>
    <w:rsid w:val="49F7B910"/>
    <w:rsid w:val="49F893EB"/>
    <w:rsid w:val="49F92BE8"/>
    <w:rsid w:val="49F9B91A"/>
    <w:rsid w:val="49F9E4BE"/>
    <w:rsid w:val="49FAAE66"/>
    <w:rsid w:val="49FB18D5"/>
    <w:rsid w:val="49FB7C1B"/>
    <w:rsid w:val="49FDD1B4"/>
    <w:rsid w:val="49FE0BA5"/>
    <w:rsid w:val="49FE8016"/>
    <w:rsid w:val="4A00162F"/>
    <w:rsid w:val="4A01CEDE"/>
    <w:rsid w:val="4A02844C"/>
    <w:rsid w:val="4A02DC87"/>
    <w:rsid w:val="4A037235"/>
    <w:rsid w:val="4A0389C3"/>
    <w:rsid w:val="4A03A833"/>
    <w:rsid w:val="4A03F7E4"/>
    <w:rsid w:val="4A0412C0"/>
    <w:rsid w:val="4A0418B1"/>
    <w:rsid w:val="4A042F27"/>
    <w:rsid w:val="4A043EB0"/>
    <w:rsid w:val="4A045EB7"/>
    <w:rsid w:val="4A0467CE"/>
    <w:rsid w:val="4A049DEB"/>
    <w:rsid w:val="4A04D2CF"/>
    <w:rsid w:val="4A04D7FA"/>
    <w:rsid w:val="4A054634"/>
    <w:rsid w:val="4A05490C"/>
    <w:rsid w:val="4A05E9CE"/>
    <w:rsid w:val="4A068613"/>
    <w:rsid w:val="4A076901"/>
    <w:rsid w:val="4A079BCD"/>
    <w:rsid w:val="4A082477"/>
    <w:rsid w:val="4A09B2C6"/>
    <w:rsid w:val="4A0A63EF"/>
    <w:rsid w:val="4A0B2775"/>
    <w:rsid w:val="4A0B3B48"/>
    <w:rsid w:val="4A0BA843"/>
    <w:rsid w:val="4A0C3F46"/>
    <w:rsid w:val="4A0C58C2"/>
    <w:rsid w:val="4A0C7AD4"/>
    <w:rsid w:val="4A0C9AFE"/>
    <w:rsid w:val="4A0CF433"/>
    <w:rsid w:val="4A0D4069"/>
    <w:rsid w:val="4A0D4B15"/>
    <w:rsid w:val="4A0DBE20"/>
    <w:rsid w:val="4A0E700E"/>
    <w:rsid w:val="4A0ECEB5"/>
    <w:rsid w:val="4A0EF9FA"/>
    <w:rsid w:val="4A0EFFB8"/>
    <w:rsid w:val="4A0F2979"/>
    <w:rsid w:val="4A108DB5"/>
    <w:rsid w:val="4A109A90"/>
    <w:rsid w:val="4A112B3A"/>
    <w:rsid w:val="4A117091"/>
    <w:rsid w:val="4A128BC0"/>
    <w:rsid w:val="4A12DB10"/>
    <w:rsid w:val="4A141B6A"/>
    <w:rsid w:val="4A162B36"/>
    <w:rsid w:val="4A16922F"/>
    <w:rsid w:val="4A16F40B"/>
    <w:rsid w:val="4A178466"/>
    <w:rsid w:val="4A17E33B"/>
    <w:rsid w:val="4A181F1C"/>
    <w:rsid w:val="4A1852D0"/>
    <w:rsid w:val="4A189995"/>
    <w:rsid w:val="4A198A7C"/>
    <w:rsid w:val="4A1A04FD"/>
    <w:rsid w:val="4A1AF2EA"/>
    <w:rsid w:val="4A1B8C9C"/>
    <w:rsid w:val="4A1B8E7F"/>
    <w:rsid w:val="4A1BBDE1"/>
    <w:rsid w:val="4A1C54CB"/>
    <w:rsid w:val="4A1C6AF2"/>
    <w:rsid w:val="4A1D0C2F"/>
    <w:rsid w:val="4A1D7811"/>
    <w:rsid w:val="4A1D894E"/>
    <w:rsid w:val="4A1E14E5"/>
    <w:rsid w:val="4A1E6DEA"/>
    <w:rsid w:val="4A1E74FD"/>
    <w:rsid w:val="4A1FEC7E"/>
    <w:rsid w:val="4A1FFFCE"/>
    <w:rsid w:val="4A201DCE"/>
    <w:rsid w:val="4A205CDD"/>
    <w:rsid w:val="4A206AA1"/>
    <w:rsid w:val="4A20B55C"/>
    <w:rsid w:val="4A213EC0"/>
    <w:rsid w:val="4A21D12D"/>
    <w:rsid w:val="4A21D2BA"/>
    <w:rsid w:val="4A222C93"/>
    <w:rsid w:val="4A22A260"/>
    <w:rsid w:val="4A2329C5"/>
    <w:rsid w:val="4A232DAF"/>
    <w:rsid w:val="4A24C6B4"/>
    <w:rsid w:val="4A24E251"/>
    <w:rsid w:val="4A267D1E"/>
    <w:rsid w:val="4A26C16A"/>
    <w:rsid w:val="4A271DDA"/>
    <w:rsid w:val="4A27C803"/>
    <w:rsid w:val="4A28E109"/>
    <w:rsid w:val="4A291CC8"/>
    <w:rsid w:val="4A2927EA"/>
    <w:rsid w:val="4A294E13"/>
    <w:rsid w:val="4A296BA9"/>
    <w:rsid w:val="4A29A6C9"/>
    <w:rsid w:val="4A2BADED"/>
    <w:rsid w:val="4A2BE8CA"/>
    <w:rsid w:val="4A2C04FB"/>
    <w:rsid w:val="4A2C8612"/>
    <w:rsid w:val="4A2CA92C"/>
    <w:rsid w:val="4A2CBD6A"/>
    <w:rsid w:val="4A2DA492"/>
    <w:rsid w:val="4A2DBDB7"/>
    <w:rsid w:val="4A2DCA72"/>
    <w:rsid w:val="4A2DEF6C"/>
    <w:rsid w:val="4A2F07EA"/>
    <w:rsid w:val="4A300864"/>
    <w:rsid w:val="4A307AFE"/>
    <w:rsid w:val="4A30CFE4"/>
    <w:rsid w:val="4A321DCD"/>
    <w:rsid w:val="4A3243CB"/>
    <w:rsid w:val="4A32CA4A"/>
    <w:rsid w:val="4A32EA7C"/>
    <w:rsid w:val="4A33C835"/>
    <w:rsid w:val="4A34435A"/>
    <w:rsid w:val="4A344AD3"/>
    <w:rsid w:val="4A34722A"/>
    <w:rsid w:val="4A351C8B"/>
    <w:rsid w:val="4A355A3A"/>
    <w:rsid w:val="4A35C9CB"/>
    <w:rsid w:val="4A35F002"/>
    <w:rsid w:val="4A363090"/>
    <w:rsid w:val="4A365858"/>
    <w:rsid w:val="4A36B89F"/>
    <w:rsid w:val="4A371E58"/>
    <w:rsid w:val="4A37B691"/>
    <w:rsid w:val="4A37F9A6"/>
    <w:rsid w:val="4A38415A"/>
    <w:rsid w:val="4A38B5BE"/>
    <w:rsid w:val="4A3980A0"/>
    <w:rsid w:val="4A3A27A6"/>
    <w:rsid w:val="4A3BFEF1"/>
    <w:rsid w:val="4A3CB047"/>
    <w:rsid w:val="4A3D51FB"/>
    <w:rsid w:val="4A3D9E60"/>
    <w:rsid w:val="4A3E063B"/>
    <w:rsid w:val="4A3EE532"/>
    <w:rsid w:val="4A3F27AC"/>
    <w:rsid w:val="4A3FA3E7"/>
    <w:rsid w:val="4A3FCD44"/>
    <w:rsid w:val="4A4003F6"/>
    <w:rsid w:val="4A408A5D"/>
    <w:rsid w:val="4A40F970"/>
    <w:rsid w:val="4A424446"/>
    <w:rsid w:val="4A42A14C"/>
    <w:rsid w:val="4A42D386"/>
    <w:rsid w:val="4A436B5A"/>
    <w:rsid w:val="4A4413C5"/>
    <w:rsid w:val="4A44A4B8"/>
    <w:rsid w:val="4A4518BB"/>
    <w:rsid w:val="4A452F5F"/>
    <w:rsid w:val="4A45B5E7"/>
    <w:rsid w:val="4A45E4E4"/>
    <w:rsid w:val="4A45FE01"/>
    <w:rsid w:val="4A46131C"/>
    <w:rsid w:val="4A4646F3"/>
    <w:rsid w:val="4A46BC58"/>
    <w:rsid w:val="4A476E53"/>
    <w:rsid w:val="4A48AEC7"/>
    <w:rsid w:val="4A4916F2"/>
    <w:rsid w:val="4A496DBB"/>
    <w:rsid w:val="4A4B610E"/>
    <w:rsid w:val="4A4B79A3"/>
    <w:rsid w:val="4A4BB89F"/>
    <w:rsid w:val="4A4C33E0"/>
    <w:rsid w:val="4A4D3B14"/>
    <w:rsid w:val="4A4E3EC3"/>
    <w:rsid w:val="4A4E4464"/>
    <w:rsid w:val="4A4EF694"/>
    <w:rsid w:val="4A4F852D"/>
    <w:rsid w:val="4A4FC442"/>
    <w:rsid w:val="4A4FFDE4"/>
    <w:rsid w:val="4A50501D"/>
    <w:rsid w:val="4A5082AD"/>
    <w:rsid w:val="4A509657"/>
    <w:rsid w:val="4A50C8CA"/>
    <w:rsid w:val="4A51AC11"/>
    <w:rsid w:val="4A51D6F0"/>
    <w:rsid w:val="4A51E72F"/>
    <w:rsid w:val="4A522F15"/>
    <w:rsid w:val="4A52E353"/>
    <w:rsid w:val="4A53FB86"/>
    <w:rsid w:val="4A54C54E"/>
    <w:rsid w:val="4A5558FB"/>
    <w:rsid w:val="4A56010C"/>
    <w:rsid w:val="4A56C7D1"/>
    <w:rsid w:val="4A57176A"/>
    <w:rsid w:val="4A5756AB"/>
    <w:rsid w:val="4A59A626"/>
    <w:rsid w:val="4A59ACF5"/>
    <w:rsid w:val="4A59FD6C"/>
    <w:rsid w:val="4A5A19D0"/>
    <w:rsid w:val="4A5A1F6E"/>
    <w:rsid w:val="4A5A6F80"/>
    <w:rsid w:val="4A5AC751"/>
    <w:rsid w:val="4A5AE41A"/>
    <w:rsid w:val="4A5B721F"/>
    <w:rsid w:val="4A5C7DE3"/>
    <w:rsid w:val="4A5D20EC"/>
    <w:rsid w:val="4A5D6339"/>
    <w:rsid w:val="4A5D75A6"/>
    <w:rsid w:val="4A5D7A32"/>
    <w:rsid w:val="4A5E392A"/>
    <w:rsid w:val="4A5E5C99"/>
    <w:rsid w:val="4A5EA147"/>
    <w:rsid w:val="4A5FF55E"/>
    <w:rsid w:val="4A60E15B"/>
    <w:rsid w:val="4A610709"/>
    <w:rsid w:val="4A61271B"/>
    <w:rsid w:val="4A6145DD"/>
    <w:rsid w:val="4A61C220"/>
    <w:rsid w:val="4A62AD27"/>
    <w:rsid w:val="4A635283"/>
    <w:rsid w:val="4A63A7FC"/>
    <w:rsid w:val="4A643BF9"/>
    <w:rsid w:val="4A64D48A"/>
    <w:rsid w:val="4A650A67"/>
    <w:rsid w:val="4A65B2E5"/>
    <w:rsid w:val="4A65B96A"/>
    <w:rsid w:val="4A6662F7"/>
    <w:rsid w:val="4A667949"/>
    <w:rsid w:val="4A672A4D"/>
    <w:rsid w:val="4A677E03"/>
    <w:rsid w:val="4A67D8C9"/>
    <w:rsid w:val="4A683FEA"/>
    <w:rsid w:val="4A68EBAE"/>
    <w:rsid w:val="4A68F22C"/>
    <w:rsid w:val="4A690415"/>
    <w:rsid w:val="4A6947FE"/>
    <w:rsid w:val="4A6A20FB"/>
    <w:rsid w:val="4A6ACA21"/>
    <w:rsid w:val="4A6BACFD"/>
    <w:rsid w:val="4A6BBEBD"/>
    <w:rsid w:val="4A6BCE28"/>
    <w:rsid w:val="4A6CCAA5"/>
    <w:rsid w:val="4A6E036C"/>
    <w:rsid w:val="4A6E0ACC"/>
    <w:rsid w:val="4A6E57BA"/>
    <w:rsid w:val="4A6EAA8E"/>
    <w:rsid w:val="4A6EC725"/>
    <w:rsid w:val="4A705DC3"/>
    <w:rsid w:val="4A70C233"/>
    <w:rsid w:val="4A7192B4"/>
    <w:rsid w:val="4A71ADF1"/>
    <w:rsid w:val="4A72566F"/>
    <w:rsid w:val="4A72B586"/>
    <w:rsid w:val="4A7311FB"/>
    <w:rsid w:val="4A74455B"/>
    <w:rsid w:val="4A748466"/>
    <w:rsid w:val="4A74E48B"/>
    <w:rsid w:val="4A767A0D"/>
    <w:rsid w:val="4A77457D"/>
    <w:rsid w:val="4A775548"/>
    <w:rsid w:val="4A77E976"/>
    <w:rsid w:val="4A797973"/>
    <w:rsid w:val="4A79CF7F"/>
    <w:rsid w:val="4A7A1A63"/>
    <w:rsid w:val="4A7A2396"/>
    <w:rsid w:val="4A7ABA2A"/>
    <w:rsid w:val="4A7B91BC"/>
    <w:rsid w:val="4A7C3CF3"/>
    <w:rsid w:val="4A7CFBA9"/>
    <w:rsid w:val="4A7DDF0C"/>
    <w:rsid w:val="4A7E3E8D"/>
    <w:rsid w:val="4A7FC11B"/>
    <w:rsid w:val="4A7FC8B0"/>
    <w:rsid w:val="4A8091CD"/>
    <w:rsid w:val="4A818022"/>
    <w:rsid w:val="4A81A2DD"/>
    <w:rsid w:val="4A8262EC"/>
    <w:rsid w:val="4A82A09F"/>
    <w:rsid w:val="4A8390E4"/>
    <w:rsid w:val="4A83C731"/>
    <w:rsid w:val="4A83DA31"/>
    <w:rsid w:val="4A8437D6"/>
    <w:rsid w:val="4A843C58"/>
    <w:rsid w:val="4A84639E"/>
    <w:rsid w:val="4A848C64"/>
    <w:rsid w:val="4A85622E"/>
    <w:rsid w:val="4A866A5F"/>
    <w:rsid w:val="4A86FDFA"/>
    <w:rsid w:val="4A870CF1"/>
    <w:rsid w:val="4A874F49"/>
    <w:rsid w:val="4A876324"/>
    <w:rsid w:val="4A876703"/>
    <w:rsid w:val="4A8857A8"/>
    <w:rsid w:val="4A88AAEC"/>
    <w:rsid w:val="4A89FC1B"/>
    <w:rsid w:val="4A8A390A"/>
    <w:rsid w:val="4A8A666E"/>
    <w:rsid w:val="4A8B50F4"/>
    <w:rsid w:val="4A8B56D5"/>
    <w:rsid w:val="4A8B9D01"/>
    <w:rsid w:val="4A8CCC64"/>
    <w:rsid w:val="4A8CE8B2"/>
    <w:rsid w:val="4A8D06AE"/>
    <w:rsid w:val="4A8E34FC"/>
    <w:rsid w:val="4A8E4A15"/>
    <w:rsid w:val="4A8EAB60"/>
    <w:rsid w:val="4A8EFA15"/>
    <w:rsid w:val="4A8F272F"/>
    <w:rsid w:val="4A8F4DCC"/>
    <w:rsid w:val="4A8FCB88"/>
    <w:rsid w:val="4A904F96"/>
    <w:rsid w:val="4A90A3DE"/>
    <w:rsid w:val="4A90ADBD"/>
    <w:rsid w:val="4A90BCF3"/>
    <w:rsid w:val="4A914A01"/>
    <w:rsid w:val="4A91548C"/>
    <w:rsid w:val="4A915518"/>
    <w:rsid w:val="4A91BDB2"/>
    <w:rsid w:val="4A91ECF6"/>
    <w:rsid w:val="4A921DD5"/>
    <w:rsid w:val="4A923526"/>
    <w:rsid w:val="4A92525A"/>
    <w:rsid w:val="4A929D38"/>
    <w:rsid w:val="4A93E668"/>
    <w:rsid w:val="4A941C29"/>
    <w:rsid w:val="4A946907"/>
    <w:rsid w:val="4A94FD80"/>
    <w:rsid w:val="4A956B14"/>
    <w:rsid w:val="4A95B4AE"/>
    <w:rsid w:val="4A96039D"/>
    <w:rsid w:val="4A960684"/>
    <w:rsid w:val="4A960F30"/>
    <w:rsid w:val="4A96BBFC"/>
    <w:rsid w:val="4A971157"/>
    <w:rsid w:val="4A97E5FF"/>
    <w:rsid w:val="4A97FCD3"/>
    <w:rsid w:val="4A9888B7"/>
    <w:rsid w:val="4A98A9D7"/>
    <w:rsid w:val="4A99087C"/>
    <w:rsid w:val="4A99BB42"/>
    <w:rsid w:val="4A99D186"/>
    <w:rsid w:val="4A9A1B87"/>
    <w:rsid w:val="4A9A4F33"/>
    <w:rsid w:val="4A9A972C"/>
    <w:rsid w:val="4A9BBAF0"/>
    <w:rsid w:val="4A9C7018"/>
    <w:rsid w:val="4A9CDA94"/>
    <w:rsid w:val="4A9DA9FD"/>
    <w:rsid w:val="4A9E7528"/>
    <w:rsid w:val="4A9F1DBE"/>
    <w:rsid w:val="4A9F7262"/>
    <w:rsid w:val="4A9FBFBB"/>
    <w:rsid w:val="4AA027FA"/>
    <w:rsid w:val="4AA0B1CD"/>
    <w:rsid w:val="4AA190C1"/>
    <w:rsid w:val="4AA21110"/>
    <w:rsid w:val="4AA264E4"/>
    <w:rsid w:val="4AA2E154"/>
    <w:rsid w:val="4AA37188"/>
    <w:rsid w:val="4AA3AF85"/>
    <w:rsid w:val="4AA44CA4"/>
    <w:rsid w:val="4AA54B59"/>
    <w:rsid w:val="4AA54F17"/>
    <w:rsid w:val="4AA6981C"/>
    <w:rsid w:val="4AA6BDE1"/>
    <w:rsid w:val="4AA75559"/>
    <w:rsid w:val="4AA78AE0"/>
    <w:rsid w:val="4AA95143"/>
    <w:rsid w:val="4AA965EC"/>
    <w:rsid w:val="4AA99208"/>
    <w:rsid w:val="4AAA1D2F"/>
    <w:rsid w:val="4AAAA2CA"/>
    <w:rsid w:val="4AAB0B5A"/>
    <w:rsid w:val="4AAB3080"/>
    <w:rsid w:val="4AAB781D"/>
    <w:rsid w:val="4AAB9A3E"/>
    <w:rsid w:val="4AABA7CE"/>
    <w:rsid w:val="4AABB069"/>
    <w:rsid w:val="4AAC2612"/>
    <w:rsid w:val="4AACBC6A"/>
    <w:rsid w:val="4AADCCB8"/>
    <w:rsid w:val="4AADEC7A"/>
    <w:rsid w:val="4AADF108"/>
    <w:rsid w:val="4AAE2638"/>
    <w:rsid w:val="4AAEA552"/>
    <w:rsid w:val="4AAFC964"/>
    <w:rsid w:val="4AB005EB"/>
    <w:rsid w:val="4AB01AE8"/>
    <w:rsid w:val="4AB06FEE"/>
    <w:rsid w:val="4AB112F2"/>
    <w:rsid w:val="4AB1699B"/>
    <w:rsid w:val="4AB171C9"/>
    <w:rsid w:val="4AB17D75"/>
    <w:rsid w:val="4AB1BD9B"/>
    <w:rsid w:val="4AB367B3"/>
    <w:rsid w:val="4AB3AEAF"/>
    <w:rsid w:val="4AB6D4FF"/>
    <w:rsid w:val="4AB7E2CE"/>
    <w:rsid w:val="4AB88302"/>
    <w:rsid w:val="4AB890C8"/>
    <w:rsid w:val="4AB917FD"/>
    <w:rsid w:val="4AB9359D"/>
    <w:rsid w:val="4AB9E624"/>
    <w:rsid w:val="4AB9E858"/>
    <w:rsid w:val="4ABA1B54"/>
    <w:rsid w:val="4ABB5D1C"/>
    <w:rsid w:val="4ABC212C"/>
    <w:rsid w:val="4ABCAAC9"/>
    <w:rsid w:val="4ABD5B7B"/>
    <w:rsid w:val="4ABDC3B3"/>
    <w:rsid w:val="4ABE1A8C"/>
    <w:rsid w:val="4ABE42C0"/>
    <w:rsid w:val="4ABF017B"/>
    <w:rsid w:val="4ABF0F2E"/>
    <w:rsid w:val="4ABF71D2"/>
    <w:rsid w:val="4AC05572"/>
    <w:rsid w:val="4AC15B5B"/>
    <w:rsid w:val="4AC222D4"/>
    <w:rsid w:val="4AC2964E"/>
    <w:rsid w:val="4AC395B3"/>
    <w:rsid w:val="4AC494DA"/>
    <w:rsid w:val="4AC56CAA"/>
    <w:rsid w:val="4AC63389"/>
    <w:rsid w:val="4AC6B9D0"/>
    <w:rsid w:val="4AC710F1"/>
    <w:rsid w:val="4ACA4336"/>
    <w:rsid w:val="4ACA5694"/>
    <w:rsid w:val="4ACABD8F"/>
    <w:rsid w:val="4ACB0AB4"/>
    <w:rsid w:val="4ACB6147"/>
    <w:rsid w:val="4ACBC50B"/>
    <w:rsid w:val="4ACCD523"/>
    <w:rsid w:val="4ACCDE0D"/>
    <w:rsid w:val="4ACDF92D"/>
    <w:rsid w:val="4ACE5974"/>
    <w:rsid w:val="4ACF9CEA"/>
    <w:rsid w:val="4ACFB9D6"/>
    <w:rsid w:val="4AD01A0E"/>
    <w:rsid w:val="4AD12B41"/>
    <w:rsid w:val="4AD1455C"/>
    <w:rsid w:val="4AD16D71"/>
    <w:rsid w:val="4AD18D14"/>
    <w:rsid w:val="4AD1D9DA"/>
    <w:rsid w:val="4AD2585D"/>
    <w:rsid w:val="4AD271BD"/>
    <w:rsid w:val="4AD2753C"/>
    <w:rsid w:val="4AD31EE1"/>
    <w:rsid w:val="4AD34256"/>
    <w:rsid w:val="4AD3FD84"/>
    <w:rsid w:val="4AD50707"/>
    <w:rsid w:val="4AD51B42"/>
    <w:rsid w:val="4AD5262F"/>
    <w:rsid w:val="4AD5567D"/>
    <w:rsid w:val="4AD610A2"/>
    <w:rsid w:val="4AD6BD25"/>
    <w:rsid w:val="4AD74507"/>
    <w:rsid w:val="4AD81EA1"/>
    <w:rsid w:val="4ADA00D1"/>
    <w:rsid w:val="4ADA1046"/>
    <w:rsid w:val="4ADA1119"/>
    <w:rsid w:val="4ADA788C"/>
    <w:rsid w:val="4ADAEF8D"/>
    <w:rsid w:val="4ADBD78E"/>
    <w:rsid w:val="4ADBDF72"/>
    <w:rsid w:val="4ADC1742"/>
    <w:rsid w:val="4ADC1A4E"/>
    <w:rsid w:val="4ADC41F2"/>
    <w:rsid w:val="4ADC77AA"/>
    <w:rsid w:val="4ADC888A"/>
    <w:rsid w:val="4ADCFF9F"/>
    <w:rsid w:val="4ADD2405"/>
    <w:rsid w:val="4ADD3878"/>
    <w:rsid w:val="4ADDE788"/>
    <w:rsid w:val="4ADE3660"/>
    <w:rsid w:val="4ADE5E12"/>
    <w:rsid w:val="4ADF4B08"/>
    <w:rsid w:val="4ADF5FDE"/>
    <w:rsid w:val="4ADF64D5"/>
    <w:rsid w:val="4AE0E23A"/>
    <w:rsid w:val="4AE10A30"/>
    <w:rsid w:val="4AE16B4F"/>
    <w:rsid w:val="4AE25B2F"/>
    <w:rsid w:val="4AE2FA57"/>
    <w:rsid w:val="4AE33692"/>
    <w:rsid w:val="4AE37EB5"/>
    <w:rsid w:val="4AE38407"/>
    <w:rsid w:val="4AE4D430"/>
    <w:rsid w:val="4AE66E57"/>
    <w:rsid w:val="4AE69F9A"/>
    <w:rsid w:val="4AE7674A"/>
    <w:rsid w:val="4AE7770F"/>
    <w:rsid w:val="4AE9FA18"/>
    <w:rsid w:val="4AEA82F7"/>
    <w:rsid w:val="4AEB3309"/>
    <w:rsid w:val="4AEB8639"/>
    <w:rsid w:val="4AEBD1B4"/>
    <w:rsid w:val="4AECFF5D"/>
    <w:rsid w:val="4AED620D"/>
    <w:rsid w:val="4AEE0D38"/>
    <w:rsid w:val="4AEE8FCF"/>
    <w:rsid w:val="4AEE92EC"/>
    <w:rsid w:val="4AEEA1D6"/>
    <w:rsid w:val="4AEEB39D"/>
    <w:rsid w:val="4AEECEB5"/>
    <w:rsid w:val="4AEEEADF"/>
    <w:rsid w:val="4AEF4D04"/>
    <w:rsid w:val="4AEFD73F"/>
    <w:rsid w:val="4AF08630"/>
    <w:rsid w:val="4AF0ADEC"/>
    <w:rsid w:val="4AF12C49"/>
    <w:rsid w:val="4AF1E431"/>
    <w:rsid w:val="4AF1E5B4"/>
    <w:rsid w:val="4AF29D49"/>
    <w:rsid w:val="4AF37B8D"/>
    <w:rsid w:val="4AF38415"/>
    <w:rsid w:val="4AF3DAC1"/>
    <w:rsid w:val="4AF43737"/>
    <w:rsid w:val="4AF537E8"/>
    <w:rsid w:val="4AF5F9B0"/>
    <w:rsid w:val="4AF5FECF"/>
    <w:rsid w:val="4AF60760"/>
    <w:rsid w:val="4AF64D25"/>
    <w:rsid w:val="4AF6A822"/>
    <w:rsid w:val="4AF6C6EE"/>
    <w:rsid w:val="4AF6EFEA"/>
    <w:rsid w:val="4AF7422B"/>
    <w:rsid w:val="4AF7B4B3"/>
    <w:rsid w:val="4AF8B029"/>
    <w:rsid w:val="4AF8D00A"/>
    <w:rsid w:val="4AF9049F"/>
    <w:rsid w:val="4AF909D2"/>
    <w:rsid w:val="4AF91BBB"/>
    <w:rsid w:val="4AF96657"/>
    <w:rsid w:val="4AF98F9A"/>
    <w:rsid w:val="4AF9D6C9"/>
    <w:rsid w:val="4AFA8445"/>
    <w:rsid w:val="4AFA94F8"/>
    <w:rsid w:val="4AFAB951"/>
    <w:rsid w:val="4AFBBD05"/>
    <w:rsid w:val="4AFC65AF"/>
    <w:rsid w:val="4AFC67F0"/>
    <w:rsid w:val="4AFCB43E"/>
    <w:rsid w:val="4AFD031E"/>
    <w:rsid w:val="4AFD5D23"/>
    <w:rsid w:val="4AFD73FA"/>
    <w:rsid w:val="4AFDADD2"/>
    <w:rsid w:val="4AFDB508"/>
    <w:rsid w:val="4AFE3985"/>
    <w:rsid w:val="4AFF1397"/>
    <w:rsid w:val="4AFF4E5C"/>
    <w:rsid w:val="4B0006A6"/>
    <w:rsid w:val="4B001FE7"/>
    <w:rsid w:val="4B0072F6"/>
    <w:rsid w:val="4B00E8CC"/>
    <w:rsid w:val="4B010E5A"/>
    <w:rsid w:val="4B0193B0"/>
    <w:rsid w:val="4B0240F2"/>
    <w:rsid w:val="4B02C760"/>
    <w:rsid w:val="4B030139"/>
    <w:rsid w:val="4B03256C"/>
    <w:rsid w:val="4B033FE3"/>
    <w:rsid w:val="4B0391FB"/>
    <w:rsid w:val="4B040F68"/>
    <w:rsid w:val="4B049093"/>
    <w:rsid w:val="4B051339"/>
    <w:rsid w:val="4B059A2D"/>
    <w:rsid w:val="4B0631D5"/>
    <w:rsid w:val="4B063C3C"/>
    <w:rsid w:val="4B065A6A"/>
    <w:rsid w:val="4B06A085"/>
    <w:rsid w:val="4B079EF1"/>
    <w:rsid w:val="4B07A6AA"/>
    <w:rsid w:val="4B07A80B"/>
    <w:rsid w:val="4B085817"/>
    <w:rsid w:val="4B08CB17"/>
    <w:rsid w:val="4B093F7A"/>
    <w:rsid w:val="4B09C3AC"/>
    <w:rsid w:val="4B0AEA86"/>
    <w:rsid w:val="4B0B39C7"/>
    <w:rsid w:val="4B0B3E27"/>
    <w:rsid w:val="4B0C9CAF"/>
    <w:rsid w:val="4B0CBF07"/>
    <w:rsid w:val="4B0CDE9F"/>
    <w:rsid w:val="4B0EFB84"/>
    <w:rsid w:val="4B0F78D0"/>
    <w:rsid w:val="4B112492"/>
    <w:rsid w:val="4B114A03"/>
    <w:rsid w:val="4B116180"/>
    <w:rsid w:val="4B11A205"/>
    <w:rsid w:val="4B11F344"/>
    <w:rsid w:val="4B131ED5"/>
    <w:rsid w:val="4B136BAA"/>
    <w:rsid w:val="4B13F4C9"/>
    <w:rsid w:val="4B1555F8"/>
    <w:rsid w:val="4B15C1FA"/>
    <w:rsid w:val="4B15DA91"/>
    <w:rsid w:val="4B160731"/>
    <w:rsid w:val="4B1947AD"/>
    <w:rsid w:val="4B194C8A"/>
    <w:rsid w:val="4B198BD6"/>
    <w:rsid w:val="4B19C5B2"/>
    <w:rsid w:val="4B1B7754"/>
    <w:rsid w:val="4B1B98EF"/>
    <w:rsid w:val="4B1BEA3F"/>
    <w:rsid w:val="4B1BEF4D"/>
    <w:rsid w:val="4B1C8817"/>
    <w:rsid w:val="4B1C9134"/>
    <w:rsid w:val="4B1CBCA6"/>
    <w:rsid w:val="4B1D7ED7"/>
    <w:rsid w:val="4B1DB8B4"/>
    <w:rsid w:val="4B1E0543"/>
    <w:rsid w:val="4B1E528F"/>
    <w:rsid w:val="4B1FA51C"/>
    <w:rsid w:val="4B217B99"/>
    <w:rsid w:val="4B2350A4"/>
    <w:rsid w:val="4B247047"/>
    <w:rsid w:val="4B251993"/>
    <w:rsid w:val="4B252B91"/>
    <w:rsid w:val="4B2577F7"/>
    <w:rsid w:val="4B25BF44"/>
    <w:rsid w:val="4B25D613"/>
    <w:rsid w:val="4B25DB5A"/>
    <w:rsid w:val="4B25E81F"/>
    <w:rsid w:val="4B267886"/>
    <w:rsid w:val="4B2759D5"/>
    <w:rsid w:val="4B277ED2"/>
    <w:rsid w:val="4B288629"/>
    <w:rsid w:val="4B292670"/>
    <w:rsid w:val="4B298EC9"/>
    <w:rsid w:val="4B29B879"/>
    <w:rsid w:val="4B29B936"/>
    <w:rsid w:val="4B29E004"/>
    <w:rsid w:val="4B2A088C"/>
    <w:rsid w:val="4B2A4AD6"/>
    <w:rsid w:val="4B2A604A"/>
    <w:rsid w:val="4B2A6A25"/>
    <w:rsid w:val="4B2B3118"/>
    <w:rsid w:val="4B2B8BCE"/>
    <w:rsid w:val="4B2BCF43"/>
    <w:rsid w:val="4B2BE94D"/>
    <w:rsid w:val="4B2BFCD7"/>
    <w:rsid w:val="4B2C5143"/>
    <w:rsid w:val="4B2CC9B0"/>
    <w:rsid w:val="4B2D1E83"/>
    <w:rsid w:val="4B2D7D2B"/>
    <w:rsid w:val="4B2D91BD"/>
    <w:rsid w:val="4B2DE955"/>
    <w:rsid w:val="4B2DF979"/>
    <w:rsid w:val="4B2E3140"/>
    <w:rsid w:val="4B2ED12C"/>
    <w:rsid w:val="4B2F14F4"/>
    <w:rsid w:val="4B2F1989"/>
    <w:rsid w:val="4B2F70CE"/>
    <w:rsid w:val="4B2F791D"/>
    <w:rsid w:val="4B2F8B8A"/>
    <w:rsid w:val="4B2FECFB"/>
    <w:rsid w:val="4B300220"/>
    <w:rsid w:val="4B30A6D5"/>
    <w:rsid w:val="4B32100C"/>
    <w:rsid w:val="4B3249DC"/>
    <w:rsid w:val="4B32FE14"/>
    <w:rsid w:val="4B33A4B8"/>
    <w:rsid w:val="4B33D273"/>
    <w:rsid w:val="4B342EAD"/>
    <w:rsid w:val="4B346533"/>
    <w:rsid w:val="4B348E14"/>
    <w:rsid w:val="4B35265F"/>
    <w:rsid w:val="4B364480"/>
    <w:rsid w:val="4B3644BA"/>
    <w:rsid w:val="4B36B6A8"/>
    <w:rsid w:val="4B385FC5"/>
    <w:rsid w:val="4B3896B3"/>
    <w:rsid w:val="4B38D11F"/>
    <w:rsid w:val="4B39455D"/>
    <w:rsid w:val="4B397E4D"/>
    <w:rsid w:val="4B3998DC"/>
    <w:rsid w:val="4B39ED1D"/>
    <w:rsid w:val="4B3A4F08"/>
    <w:rsid w:val="4B3A677F"/>
    <w:rsid w:val="4B3AA965"/>
    <w:rsid w:val="4B3BB990"/>
    <w:rsid w:val="4B3BD80B"/>
    <w:rsid w:val="4B3BE75C"/>
    <w:rsid w:val="4B3C15FC"/>
    <w:rsid w:val="4B3C282F"/>
    <w:rsid w:val="4B3D5568"/>
    <w:rsid w:val="4B3DBD72"/>
    <w:rsid w:val="4B3E271D"/>
    <w:rsid w:val="4B3EAD18"/>
    <w:rsid w:val="4B3F7D0D"/>
    <w:rsid w:val="4B3FD0B5"/>
    <w:rsid w:val="4B4078CB"/>
    <w:rsid w:val="4B4385AC"/>
    <w:rsid w:val="4B447DE2"/>
    <w:rsid w:val="4B44DF67"/>
    <w:rsid w:val="4B45AE96"/>
    <w:rsid w:val="4B46E225"/>
    <w:rsid w:val="4B47CD39"/>
    <w:rsid w:val="4B484ACE"/>
    <w:rsid w:val="4B49368F"/>
    <w:rsid w:val="4B499F23"/>
    <w:rsid w:val="4B4A292D"/>
    <w:rsid w:val="4B4A4A41"/>
    <w:rsid w:val="4B4A70F0"/>
    <w:rsid w:val="4B4AB73B"/>
    <w:rsid w:val="4B4ACCB9"/>
    <w:rsid w:val="4B4AF9A2"/>
    <w:rsid w:val="4B4B3A30"/>
    <w:rsid w:val="4B4B3FBE"/>
    <w:rsid w:val="4B4B7C66"/>
    <w:rsid w:val="4B4CC879"/>
    <w:rsid w:val="4B4CFFFF"/>
    <w:rsid w:val="4B4D56C0"/>
    <w:rsid w:val="4B4D5D9E"/>
    <w:rsid w:val="4B4D628A"/>
    <w:rsid w:val="4B4D9810"/>
    <w:rsid w:val="4B4DCC4B"/>
    <w:rsid w:val="4B4DD1DE"/>
    <w:rsid w:val="4B4F333D"/>
    <w:rsid w:val="4B4F4D00"/>
    <w:rsid w:val="4B4FD901"/>
    <w:rsid w:val="4B503524"/>
    <w:rsid w:val="4B51D0C1"/>
    <w:rsid w:val="4B5215E5"/>
    <w:rsid w:val="4B52A5C1"/>
    <w:rsid w:val="4B52D419"/>
    <w:rsid w:val="4B52D6E0"/>
    <w:rsid w:val="4B530A0D"/>
    <w:rsid w:val="4B53BD10"/>
    <w:rsid w:val="4B53C2E9"/>
    <w:rsid w:val="4B53D865"/>
    <w:rsid w:val="4B540DBA"/>
    <w:rsid w:val="4B548254"/>
    <w:rsid w:val="4B54A9B2"/>
    <w:rsid w:val="4B55E464"/>
    <w:rsid w:val="4B566F07"/>
    <w:rsid w:val="4B56F937"/>
    <w:rsid w:val="4B5707B4"/>
    <w:rsid w:val="4B5794FD"/>
    <w:rsid w:val="4B58696D"/>
    <w:rsid w:val="4B58F9B1"/>
    <w:rsid w:val="4B594B28"/>
    <w:rsid w:val="4B59755F"/>
    <w:rsid w:val="4B59FA56"/>
    <w:rsid w:val="4B5AF200"/>
    <w:rsid w:val="4B5B9DB9"/>
    <w:rsid w:val="4B5BEFCD"/>
    <w:rsid w:val="4B5D2C06"/>
    <w:rsid w:val="4B5D3D20"/>
    <w:rsid w:val="4B5E7C4A"/>
    <w:rsid w:val="4B5EB35A"/>
    <w:rsid w:val="4B5FD29A"/>
    <w:rsid w:val="4B60084C"/>
    <w:rsid w:val="4B603000"/>
    <w:rsid w:val="4B604A22"/>
    <w:rsid w:val="4B61905C"/>
    <w:rsid w:val="4B61D469"/>
    <w:rsid w:val="4B626512"/>
    <w:rsid w:val="4B62EE19"/>
    <w:rsid w:val="4B632F8F"/>
    <w:rsid w:val="4B634D34"/>
    <w:rsid w:val="4B644902"/>
    <w:rsid w:val="4B64B0CD"/>
    <w:rsid w:val="4B64E33B"/>
    <w:rsid w:val="4B650E14"/>
    <w:rsid w:val="4B65848B"/>
    <w:rsid w:val="4B65919F"/>
    <w:rsid w:val="4B65EF21"/>
    <w:rsid w:val="4B661AF1"/>
    <w:rsid w:val="4B671D45"/>
    <w:rsid w:val="4B672FA9"/>
    <w:rsid w:val="4B674348"/>
    <w:rsid w:val="4B68A59D"/>
    <w:rsid w:val="4B68B4D2"/>
    <w:rsid w:val="4B697779"/>
    <w:rsid w:val="4B69B0AB"/>
    <w:rsid w:val="4B69CA07"/>
    <w:rsid w:val="4B6A4DD6"/>
    <w:rsid w:val="4B6A5B7A"/>
    <w:rsid w:val="4B6A8D48"/>
    <w:rsid w:val="4B6AADA8"/>
    <w:rsid w:val="4B6B3035"/>
    <w:rsid w:val="4B6B59FD"/>
    <w:rsid w:val="4B6CA21E"/>
    <w:rsid w:val="4B6D1FED"/>
    <w:rsid w:val="4B6D78DF"/>
    <w:rsid w:val="4B6D89BA"/>
    <w:rsid w:val="4B6DB530"/>
    <w:rsid w:val="4B6DFA86"/>
    <w:rsid w:val="4B6EB38B"/>
    <w:rsid w:val="4B6F1C98"/>
    <w:rsid w:val="4B6F45A3"/>
    <w:rsid w:val="4B6F9310"/>
    <w:rsid w:val="4B6FAF6D"/>
    <w:rsid w:val="4B6FD87C"/>
    <w:rsid w:val="4B6FDFB2"/>
    <w:rsid w:val="4B7149A3"/>
    <w:rsid w:val="4B716AEE"/>
    <w:rsid w:val="4B71712F"/>
    <w:rsid w:val="4B71E154"/>
    <w:rsid w:val="4B72AD3B"/>
    <w:rsid w:val="4B72BC21"/>
    <w:rsid w:val="4B742B2D"/>
    <w:rsid w:val="4B747B39"/>
    <w:rsid w:val="4B74979C"/>
    <w:rsid w:val="4B75347E"/>
    <w:rsid w:val="4B754E45"/>
    <w:rsid w:val="4B7584F7"/>
    <w:rsid w:val="4B75CACD"/>
    <w:rsid w:val="4B763ABF"/>
    <w:rsid w:val="4B76574B"/>
    <w:rsid w:val="4B76FF4A"/>
    <w:rsid w:val="4B7706E3"/>
    <w:rsid w:val="4B7777D7"/>
    <w:rsid w:val="4B78D4A7"/>
    <w:rsid w:val="4B79894A"/>
    <w:rsid w:val="4B798AA1"/>
    <w:rsid w:val="4B7A8A73"/>
    <w:rsid w:val="4B7A8A9B"/>
    <w:rsid w:val="4B7AD461"/>
    <w:rsid w:val="4B7AEF8E"/>
    <w:rsid w:val="4B7B8263"/>
    <w:rsid w:val="4B7BE032"/>
    <w:rsid w:val="4B7C16D9"/>
    <w:rsid w:val="4B7D0243"/>
    <w:rsid w:val="4B7D8553"/>
    <w:rsid w:val="4B7D8FE7"/>
    <w:rsid w:val="4B7DA28D"/>
    <w:rsid w:val="4B7EA5FC"/>
    <w:rsid w:val="4B7EF040"/>
    <w:rsid w:val="4B7EFC08"/>
    <w:rsid w:val="4B7F2DE3"/>
    <w:rsid w:val="4B7FB52E"/>
    <w:rsid w:val="4B803847"/>
    <w:rsid w:val="4B80E0A1"/>
    <w:rsid w:val="4B814155"/>
    <w:rsid w:val="4B815A47"/>
    <w:rsid w:val="4B8269B0"/>
    <w:rsid w:val="4B833817"/>
    <w:rsid w:val="4B8391CF"/>
    <w:rsid w:val="4B83C127"/>
    <w:rsid w:val="4B84F3B6"/>
    <w:rsid w:val="4B854520"/>
    <w:rsid w:val="4B856368"/>
    <w:rsid w:val="4B85B145"/>
    <w:rsid w:val="4B881D28"/>
    <w:rsid w:val="4B884A15"/>
    <w:rsid w:val="4B8869C3"/>
    <w:rsid w:val="4B888712"/>
    <w:rsid w:val="4B88BA21"/>
    <w:rsid w:val="4B890AA9"/>
    <w:rsid w:val="4B890CC7"/>
    <w:rsid w:val="4B8975DC"/>
    <w:rsid w:val="4B8984C7"/>
    <w:rsid w:val="4B89ADAF"/>
    <w:rsid w:val="4B89C1A4"/>
    <w:rsid w:val="4B89CD59"/>
    <w:rsid w:val="4B8A7477"/>
    <w:rsid w:val="4B8A909E"/>
    <w:rsid w:val="4B8AEB19"/>
    <w:rsid w:val="4B8C214C"/>
    <w:rsid w:val="4B8C8FC9"/>
    <w:rsid w:val="4B8CF6F3"/>
    <w:rsid w:val="4B8CF97B"/>
    <w:rsid w:val="4B8DC433"/>
    <w:rsid w:val="4B8DFC2D"/>
    <w:rsid w:val="4B8F27FF"/>
    <w:rsid w:val="4B8F6AE0"/>
    <w:rsid w:val="4B901B50"/>
    <w:rsid w:val="4B905CA3"/>
    <w:rsid w:val="4B90A24B"/>
    <w:rsid w:val="4B91C1B4"/>
    <w:rsid w:val="4B928789"/>
    <w:rsid w:val="4B9299F7"/>
    <w:rsid w:val="4B92A8CE"/>
    <w:rsid w:val="4B931630"/>
    <w:rsid w:val="4B9379C6"/>
    <w:rsid w:val="4B93C5A5"/>
    <w:rsid w:val="4B93E39E"/>
    <w:rsid w:val="4B93ED90"/>
    <w:rsid w:val="4B948EAA"/>
    <w:rsid w:val="4B95013A"/>
    <w:rsid w:val="4B953BE1"/>
    <w:rsid w:val="4B9623E2"/>
    <w:rsid w:val="4B9628F2"/>
    <w:rsid w:val="4B963C4C"/>
    <w:rsid w:val="4B9655CC"/>
    <w:rsid w:val="4B96604D"/>
    <w:rsid w:val="4B97336D"/>
    <w:rsid w:val="4B97D62B"/>
    <w:rsid w:val="4B9854F7"/>
    <w:rsid w:val="4B98DA25"/>
    <w:rsid w:val="4B9938EC"/>
    <w:rsid w:val="4B996D90"/>
    <w:rsid w:val="4B9A3E33"/>
    <w:rsid w:val="4B9A4D1D"/>
    <w:rsid w:val="4B9A6216"/>
    <w:rsid w:val="4B9A68EA"/>
    <w:rsid w:val="4B9AF922"/>
    <w:rsid w:val="4B9B2666"/>
    <w:rsid w:val="4B9B74B4"/>
    <w:rsid w:val="4B9C9D37"/>
    <w:rsid w:val="4B9CC92A"/>
    <w:rsid w:val="4B9D4E13"/>
    <w:rsid w:val="4B9DCE3B"/>
    <w:rsid w:val="4B9E1209"/>
    <w:rsid w:val="4B9E6C02"/>
    <w:rsid w:val="4B9F33D5"/>
    <w:rsid w:val="4B9FEE03"/>
    <w:rsid w:val="4BA01310"/>
    <w:rsid w:val="4BA03651"/>
    <w:rsid w:val="4BA0B801"/>
    <w:rsid w:val="4BA12029"/>
    <w:rsid w:val="4BA121EF"/>
    <w:rsid w:val="4BA1A105"/>
    <w:rsid w:val="4BA20748"/>
    <w:rsid w:val="4BA2FAE7"/>
    <w:rsid w:val="4BA37549"/>
    <w:rsid w:val="4BA4ED93"/>
    <w:rsid w:val="4BA4FD9A"/>
    <w:rsid w:val="4BA532A5"/>
    <w:rsid w:val="4BA54CF7"/>
    <w:rsid w:val="4BA712D0"/>
    <w:rsid w:val="4BA7284A"/>
    <w:rsid w:val="4BA77DEA"/>
    <w:rsid w:val="4BA7A5CA"/>
    <w:rsid w:val="4BA843EE"/>
    <w:rsid w:val="4BA8888F"/>
    <w:rsid w:val="4BA8F6D3"/>
    <w:rsid w:val="4BA90FC1"/>
    <w:rsid w:val="4BA91029"/>
    <w:rsid w:val="4BA9961A"/>
    <w:rsid w:val="4BAA2D22"/>
    <w:rsid w:val="4BAA47F7"/>
    <w:rsid w:val="4BAA566C"/>
    <w:rsid w:val="4BAA70E4"/>
    <w:rsid w:val="4BAA7901"/>
    <w:rsid w:val="4BAB283C"/>
    <w:rsid w:val="4BAB728E"/>
    <w:rsid w:val="4BABE775"/>
    <w:rsid w:val="4BABFE35"/>
    <w:rsid w:val="4BACAE37"/>
    <w:rsid w:val="4BACB977"/>
    <w:rsid w:val="4BAD20FC"/>
    <w:rsid w:val="4BAD6942"/>
    <w:rsid w:val="4BADE690"/>
    <w:rsid w:val="4BADF529"/>
    <w:rsid w:val="4BAE4ABE"/>
    <w:rsid w:val="4BAF0B45"/>
    <w:rsid w:val="4BAF79D7"/>
    <w:rsid w:val="4BAFCECF"/>
    <w:rsid w:val="4BAFD044"/>
    <w:rsid w:val="4BAFE433"/>
    <w:rsid w:val="4BB0EB12"/>
    <w:rsid w:val="4BB2158D"/>
    <w:rsid w:val="4BB2D27C"/>
    <w:rsid w:val="4BB3018F"/>
    <w:rsid w:val="4BB3F776"/>
    <w:rsid w:val="4BB4E19A"/>
    <w:rsid w:val="4BB4F49C"/>
    <w:rsid w:val="4BB56668"/>
    <w:rsid w:val="4BB59BA7"/>
    <w:rsid w:val="4BB65674"/>
    <w:rsid w:val="4BB67C69"/>
    <w:rsid w:val="4BB6CAB1"/>
    <w:rsid w:val="4BB749D6"/>
    <w:rsid w:val="4BB875C1"/>
    <w:rsid w:val="4BB8F6DC"/>
    <w:rsid w:val="4BBA1B9F"/>
    <w:rsid w:val="4BBA4697"/>
    <w:rsid w:val="4BBA724C"/>
    <w:rsid w:val="4BBAA6B0"/>
    <w:rsid w:val="4BBBA1F2"/>
    <w:rsid w:val="4BBC713C"/>
    <w:rsid w:val="4BBCCFB7"/>
    <w:rsid w:val="4BBCE1D5"/>
    <w:rsid w:val="4BBD0AB7"/>
    <w:rsid w:val="4BBD1BA3"/>
    <w:rsid w:val="4BBD454A"/>
    <w:rsid w:val="4BBDFA3D"/>
    <w:rsid w:val="4BBDFB66"/>
    <w:rsid w:val="4BBE0CCF"/>
    <w:rsid w:val="4BBE164D"/>
    <w:rsid w:val="4BBEA7C3"/>
    <w:rsid w:val="4BBEA8D6"/>
    <w:rsid w:val="4BBEAFAC"/>
    <w:rsid w:val="4BBEF424"/>
    <w:rsid w:val="4BBFF96E"/>
    <w:rsid w:val="4BC01487"/>
    <w:rsid w:val="4BC0551D"/>
    <w:rsid w:val="4BC185FD"/>
    <w:rsid w:val="4BC1F5FE"/>
    <w:rsid w:val="4BC3E44B"/>
    <w:rsid w:val="4BC40086"/>
    <w:rsid w:val="4BC470EC"/>
    <w:rsid w:val="4BC4BE19"/>
    <w:rsid w:val="4BC4C0D9"/>
    <w:rsid w:val="4BC4C777"/>
    <w:rsid w:val="4BC5AF78"/>
    <w:rsid w:val="4BC7721B"/>
    <w:rsid w:val="4BC80968"/>
    <w:rsid w:val="4BC81DAA"/>
    <w:rsid w:val="4BC891BE"/>
    <w:rsid w:val="4BC8B5B1"/>
    <w:rsid w:val="4BC8C1BE"/>
    <w:rsid w:val="4BC8EB46"/>
    <w:rsid w:val="4BC9CB37"/>
    <w:rsid w:val="4BC9E6DF"/>
    <w:rsid w:val="4BCA328E"/>
    <w:rsid w:val="4BCA8FE2"/>
    <w:rsid w:val="4BCA9287"/>
    <w:rsid w:val="4BCA9B00"/>
    <w:rsid w:val="4BCADF09"/>
    <w:rsid w:val="4BCBFA90"/>
    <w:rsid w:val="4BCC1176"/>
    <w:rsid w:val="4BCCB2AD"/>
    <w:rsid w:val="4BCCB673"/>
    <w:rsid w:val="4BCCF76C"/>
    <w:rsid w:val="4BCD65DA"/>
    <w:rsid w:val="4BCDAB92"/>
    <w:rsid w:val="4BCF095A"/>
    <w:rsid w:val="4BCFD9AE"/>
    <w:rsid w:val="4BD1513F"/>
    <w:rsid w:val="4BD1926C"/>
    <w:rsid w:val="4BD1C308"/>
    <w:rsid w:val="4BD2869E"/>
    <w:rsid w:val="4BD2F101"/>
    <w:rsid w:val="4BD307E2"/>
    <w:rsid w:val="4BD489C0"/>
    <w:rsid w:val="4BD542C6"/>
    <w:rsid w:val="4BD5550D"/>
    <w:rsid w:val="4BD561D0"/>
    <w:rsid w:val="4BD57C6A"/>
    <w:rsid w:val="4BD59145"/>
    <w:rsid w:val="4BD62B6B"/>
    <w:rsid w:val="4BD641D6"/>
    <w:rsid w:val="4BD68CB4"/>
    <w:rsid w:val="4BD6C3CC"/>
    <w:rsid w:val="4BD78488"/>
    <w:rsid w:val="4BD791A9"/>
    <w:rsid w:val="4BD7FBA9"/>
    <w:rsid w:val="4BD83601"/>
    <w:rsid w:val="4BD8956A"/>
    <w:rsid w:val="4BD8F4E3"/>
    <w:rsid w:val="4BDA9588"/>
    <w:rsid w:val="4BDB216E"/>
    <w:rsid w:val="4BDBC04E"/>
    <w:rsid w:val="4BDBECFA"/>
    <w:rsid w:val="4BDC734E"/>
    <w:rsid w:val="4BDCF320"/>
    <w:rsid w:val="4BDD5210"/>
    <w:rsid w:val="4BDDE1FB"/>
    <w:rsid w:val="4BDE89DE"/>
    <w:rsid w:val="4BDE917E"/>
    <w:rsid w:val="4BDEA42F"/>
    <w:rsid w:val="4BDEAB5D"/>
    <w:rsid w:val="4BDECD74"/>
    <w:rsid w:val="4BE094EB"/>
    <w:rsid w:val="4BE0CCDB"/>
    <w:rsid w:val="4BE19DD0"/>
    <w:rsid w:val="4BE1C3E4"/>
    <w:rsid w:val="4BE279E7"/>
    <w:rsid w:val="4BE31222"/>
    <w:rsid w:val="4BE31FC7"/>
    <w:rsid w:val="4BE38A20"/>
    <w:rsid w:val="4BE7D66C"/>
    <w:rsid w:val="4BE7FE3A"/>
    <w:rsid w:val="4BE82F8B"/>
    <w:rsid w:val="4BE83CEE"/>
    <w:rsid w:val="4BE8C00F"/>
    <w:rsid w:val="4BE9F9F1"/>
    <w:rsid w:val="4BEA0385"/>
    <w:rsid w:val="4BEA6533"/>
    <w:rsid w:val="4BEB7737"/>
    <w:rsid w:val="4BEB869C"/>
    <w:rsid w:val="4BEC1E02"/>
    <w:rsid w:val="4BED73BB"/>
    <w:rsid w:val="4BEE039B"/>
    <w:rsid w:val="4BEE07C5"/>
    <w:rsid w:val="4BEE2BAB"/>
    <w:rsid w:val="4BEEEDC7"/>
    <w:rsid w:val="4BEF3E1E"/>
    <w:rsid w:val="4BF078E7"/>
    <w:rsid w:val="4BF0E187"/>
    <w:rsid w:val="4BF0F8DB"/>
    <w:rsid w:val="4BF1188B"/>
    <w:rsid w:val="4BF12653"/>
    <w:rsid w:val="4BF1994E"/>
    <w:rsid w:val="4BF1F684"/>
    <w:rsid w:val="4BF2AD6D"/>
    <w:rsid w:val="4BF2C269"/>
    <w:rsid w:val="4BF2CAD5"/>
    <w:rsid w:val="4BF3B64D"/>
    <w:rsid w:val="4BF4DEBD"/>
    <w:rsid w:val="4BF5D181"/>
    <w:rsid w:val="4BF5F616"/>
    <w:rsid w:val="4BF62A12"/>
    <w:rsid w:val="4BF79CE4"/>
    <w:rsid w:val="4BF8ACE2"/>
    <w:rsid w:val="4BF8BA4D"/>
    <w:rsid w:val="4BF949F9"/>
    <w:rsid w:val="4BF94E30"/>
    <w:rsid w:val="4BFAAE9E"/>
    <w:rsid w:val="4BFB81CF"/>
    <w:rsid w:val="4BFBF5D8"/>
    <w:rsid w:val="4BFC2047"/>
    <w:rsid w:val="4BFC7E30"/>
    <w:rsid w:val="4BFD9B9C"/>
    <w:rsid w:val="4BFDC23E"/>
    <w:rsid w:val="4BFDF5C0"/>
    <w:rsid w:val="4BFF6975"/>
    <w:rsid w:val="4BFF8306"/>
    <w:rsid w:val="4BFFB191"/>
    <w:rsid w:val="4C00CCAB"/>
    <w:rsid w:val="4C00E6A6"/>
    <w:rsid w:val="4C0169FE"/>
    <w:rsid w:val="4C020DBD"/>
    <w:rsid w:val="4C025794"/>
    <w:rsid w:val="4C02B874"/>
    <w:rsid w:val="4C02D3D0"/>
    <w:rsid w:val="4C031A9D"/>
    <w:rsid w:val="4C033159"/>
    <w:rsid w:val="4C03EDA5"/>
    <w:rsid w:val="4C047917"/>
    <w:rsid w:val="4C054208"/>
    <w:rsid w:val="4C0587CA"/>
    <w:rsid w:val="4C066706"/>
    <w:rsid w:val="4C06D9F1"/>
    <w:rsid w:val="4C06E212"/>
    <w:rsid w:val="4C072A6F"/>
    <w:rsid w:val="4C07361C"/>
    <w:rsid w:val="4C07475D"/>
    <w:rsid w:val="4C0760B0"/>
    <w:rsid w:val="4C077DE4"/>
    <w:rsid w:val="4C084A0B"/>
    <w:rsid w:val="4C093BC4"/>
    <w:rsid w:val="4C09C139"/>
    <w:rsid w:val="4C0A1AC2"/>
    <w:rsid w:val="4C0AC61F"/>
    <w:rsid w:val="4C0AD250"/>
    <w:rsid w:val="4C0BAC3D"/>
    <w:rsid w:val="4C0BD8B4"/>
    <w:rsid w:val="4C0E24F2"/>
    <w:rsid w:val="4C0E3A94"/>
    <w:rsid w:val="4C0EA14B"/>
    <w:rsid w:val="4C0ED7AB"/>
    <w:rsid w:val="4C0F21DA"/>
    <w:rsid w:val="4C104AB7"/>
    <w:rsid w:val="4C10F4A6"/>
    <w:rsid w:val="4C119C08"/>
    <w:rsid w:val="4C11AEAB"/>
    <w:rsid w:val="4C13C7B5"/>
    <w:rsid w:val="4C1460A2"/>
    <w:rsid w:val="4C1596B8"/>
    <w:rsid w:val="4C15A34C"/>
    <w:rsid w:val="4C15F3F7"/>
    <w:rsid w:val="4C170634"/>
    <w:rsid w:val="4C17150F"/>
    <w:rsid w:val="4C171BE9"/>
    <w:rsid w:val="4C1792F6"/>
    <w:rsid w:val="4C17ECE6"/>
    <w:rsid w:val="4C18C36B"/>
    <w:rsid w:val="4C18CE1D"/>
    <w:rsid w:val="4C18F670"/>
    <w:rsid w:val="4C192639"/>
    <w:rsid w:val="4C1939B3"/>
    <w:rsid w:val="4C197A63"/>
    <w:rsid w:val="4C19E7ED"/>
    <w:rsid w:val="4C1A5E9A"/>
    <w:rsid w:val="4C1B46A0"/>
    <w:rsid w:val="4C1C03B7"/>
    <w:rsid w:val="4C1C2109"/>
    <w:rsid w:val="4C1C789D"/>
    <w:rsid w:val="4C1D373A"/>
    <w:rsid w:val="4C1D95B0"/>
    <w:rsid w:val="4C1ED7C1"/>
    <w:rsid w:val="4C1EE6E8"/>
    <w:rsid w:val="4C1F2C77"/>
    <w:rsid w:val="4C1FB624"/>
    <w:rsid w:val="4C203BAA"/>
    <w:rsid w:val="4C20630D"/>
    <w:rsid w:val="4C20D1FC"/>
    <w:rsid w:val="4C210E21"/>
    <w:rsid w:val="4C21B440"/>
    <w:rsid w:val="4C21DA5E"/>
    <w:rsid w:val="4C228389"/>
    <w:rsid w:val="4C229A0F"/>
    <w:rsid w:val="4C235FB0"/>
    <w:rsid w:val="4C241987"/>
    <w:rsid w:val="4C24A001"/>
    <w:rsid w:val="4C266887"/>
    <w:rsid w:val="4C269876"/>
    <w:rsid w:val="4C26E94B"/>
    <w:rsid w:val="4C27E985"/>
    <w:rsid w:val="4C28425E"/>
    <w:rsid w:val="4C2859E0"/>
    <w:rsid w:val="4C285FC1"/>
    <w:rsid w:val="4C2865D2"/>
    <w:rsid w:val="4C2A17FC"/>
    <w:rsid w:val="4C2AA629"/>
    <w:rsid w:val="4C2B5B07"/>
    <w:rsid w:val="4C2C3ADA"/>
    <w:rsid w:val="4C2C5C8A"/>
    <w:rsid w:val="4C2C9819"/>
    <w:rsid w:val="4C2D22A1"/>
    <w:rsid w:val="4C2DB78B"/>
    <w:rsid w:val="4C2E1A24"/>
    <w:rsid w:val="4C2E2696"/>
    <w:rsid w:val="4C2F02D7"/>
    <w:rsid w:val="4C2F6726"/>
    <w:rsid w:val="4C3099F6"/>
    <w:rsid w:val="4C30AD36"/>
    <w:rsid w:val="4C31360F"/>
    <w:rsid w:val="4C31CA3B"/>
    <w:rsid w:val="4C32603B"/>
    <w:rsid w:val="4C326580"/>
    <w:rsid w:val="4C328A74"/>
    <w:rsid w:val="4C3299CE"/>
    <w:rsid w:val="4C32D4D0"/>
    <w:rsid w:val="4C332EBE"/>
    <w:rsid w:val="4C333F72"/>
    <w:rsid w:val="4C3381E9"/>
    <w:rsid w:val="4C349C55"/>
    <w:rsid w:val="4C353D0E"/>
    <w:rsid w:val="4C354723"/>
    <w:rsid w:val="4C36E193"/>
    <w:rsid w:val="4C377C96"/>
    <w:rsid w:val="4C387D28"/>
    <w:rsid w:val="4C3950D7"/>
    <w:rsid w:val="4C39A770"/>
    <w:rsid w:val="4C39F2A4"/>
    <w:rsid w:val="4C3A9AAA"/>
    <w:rsid w:val="4C3B1A50"/>
    <w:rsid w:val="4C3BBC5D"/>
    <w:rsid w:val="4C3C4E99"/>
    <w:rsid w:val="4C3C9CDF"/>
    <w:rsid w:val="4C3D6B15"/>
    <w:rsid w:val="4C3DF72A"/>
    <w:rsid w:val="4C3E0999"/>
    <w:rsid w:val="4C3E4F9E"/>
    <w:rsid w:val="4C3EF9FF"/>
    <w:rsid w:val="4C3F4BBF"/>
    <w:rsid w:val="4C3F7A78"/>
    <w:rsid w:val="4C3FA3A3"/>
    <w:rsid w:val="4C400E0A"/>
    <w:rsid w:val="4C41F40E"/>
    <w:rsid w:val="4C42066E"/>
    <w:rsid w:val="4C433F88"/>
    <w:rsid w:val="4C4356EA"/>
    <w:rsid w:val="4C44A457"/>
    <w:rsid w:val="4C44E7FA"/>
    <w:rsid w:val="4C45D6C5"/>
    <w:rsid w:val="4C461B6C"/>
    <w:rsid w:val="4C4656EA"/>
    <w:rsid w:val="4C46C72E"/>
    <w:rsid w:val="4C47FAED"/>
    <w:rsid w:val="4C48154A"/>
    <w:rsid w:val="4C48227A"/>
    <w:rsid w:val="4C48390B"/>
    <w:rsid w:val="4C48E048"/>
    <w:rsid w:val="4C491E93"/>
    <w:rsid w:val="4C493127"/>
    <w:rsid w:val="4C4936E7"/>
    <w:rsid w:val="4C49CAE0"/>
    <w:rsid w:val="4C4A11F9"/>
    <w:rsid w:val="4C4AB2AC"/>
    <w:rsid w:val="4C4AD42A"/>
    <w:rsid w:val="4C4C13D7"/>
    <w:rsid w:val="4C4C31E9"/>
    <w:rsid w:val="4C4C7C7A"/>
    <w:rsid w:val="4C4D0C77"/>
    <w:rsid w:val="4C4E02B4"/>
    <w:rsid w:val="4C4EB2BC"/>
    <w:rsid w:val="4C4EE083"/>
    <w:rsid w:val="4C4F5CB8"/>
    <w:rsid w:val="4C4FCC3E"/>
    <w:rsid w:val="4C4FF9AA"/>
    <w:rsid w:val="4C51F5FD"/>
    <w:rsid w:val="4C52143C"/>
    <w:rsid w:val="4C522461"/>
    <w:rsid w:val="4C5297DC"/>
    <w:rsid w:val="4C52A73D"/>
    <w:rsid w:val="4C52E5C7"/>
    <w:rsid w:val="4C530217"/>
    <w:rsid w:val="4C5314E5"/>
    <w:rsid w:val="4C53B1DF"/>
    <w:rsid w:val="4C53E898"/>
    <w:rsid w:val="4C5437E8"/>
    <w:rsid w:val="4C545287"/>
    <w:rsid w:val="4C54D652"/>
    <w:rsid w:val="4C559EE5"/>
    <w:rsid w:val="4C56F52C"/>
    <w:rsid w:val="4C57AD08"/>
    <w:rsid w:val="4C5860BC"/>
    <w:rsid w:val="4C5861AE"/>
    <w:rsid w:val="4C58792B"/>
    <w:rsid w:val="4C597EDE"/>
    <w:rsid w:val="4C59913E"/>
    <w:rsid w:val="4C59A1B4"/>
    <w:rsid w:val="4C5A8646"/>
    <w:rsid w:val="4C5AEDBA"/>
    <w:rsid w:val="4C5B63C7"/>
    <w:rsid w:val="4C5BDCC1"/>
    <w:rsid w:val="4C5D4E42"/>
    <w:rsid w:val="4C5E34D0"/>
    <w:rsid w:val="4C5E3535"/>
    <w:rsid w:val="4C5E5A86"/>
    <w:rsid w:val="4C5E7624"/>
    <w:rsid w:val="4C600E49"/>
    <w:rsid w:val="4C60DBEC"/>
    <w:rsid w:val="4C614901"/>
    <w:rsid w:val="4C6261FC"/>
    <w:rsid w:val="4C62EAC7"/>
    <w:rsid w:val="4C631103"/>
    <w:rsid w:val="4C63111C"/>
    <w:rsid w:val="4C633912"/>
    <w:rsid w:val="4C637F69"/>
    <w:rsid w:val="4C656D38"/>
    <w:rsid w:val="4C65A334"/>
    <w:rsid w:val="4C6605AD"/>
    <w:rsid w:val="4C662FD3"/>
    <w:rsid w:val="4C67E034"/>
    <w:rsid w:val="4C6811FA"/>
    <w:rsid w:val="4C688337"/>
    <w:rsid w:val="4C68F90D"/>
    <w:rsid w:val="4C69152D"/>
    <w:rsid w:val="4C6978DE"/>
    <w:rsid w:val="4C6988E2"/>
    <w:rsid w:val="4C69941B"/>
    <w:rsid w:val="4C69DA04"/>
    <w:rsid w:val="4C6BD771"/>
    <w:rsid w:val="4C6BE87C"/>
    <w:rsid w:val="4C6D96B9"/>
    <w:rsid w:val="4C6DE94B"/>
    <w:rsid w:val="4C6EDE8C"/>
    <w:rsid w:val="4C6FE83D"/>
    <w:rsid w:val="4C7015E8"/>
    <w:rsid w:val="4C7065B3"/>
    <w:rsid w:val="4C71028A"/>
    <w:rsid w:val="4C710D8B"/>
    <w:rsid w:val="4C747816"/>
    <w:rsid w:val="4C74EA05"/>
    <w:rsid w:val="4C75BC66"/>
    <w:rsid w:val="4C765A07"/>
    <w:rsid w:val="4C76B81C"/>
    <w:rsid w:val="4C77B118"/>
    <w:rsid w:val="4C77FBDF"/>
    <w:rsid w:val="4C782E18"/>
    <w:rsid w:val="4C783EA8"/>
    <w:rsid w:val="4C78D4AE"/>
    <w:rsid w:val="4C794ED0"/>
    <w:rsid w:val="4C795B42"/>
    <w:rsid w:val="4C79EBED"/>
    <w:rsid w:val="4C7A0401"/>
    <w:rsid w:val="4C7A049D"/>
    <w:rsid w:val="4C7B109A"/>
    <w:rsid w:val="4C7C4162"/>
    <w:rsid w:val="4C7D2562"/>
    <w:rsid w:val="4C7DAE46"/>
    <w:rsid w:val="4C7DF292"/>
    <w:rsid w:val="4C7E57E4"/>
    <w:rsid w:val="4C7EB4C0"/>
    <w:rsid w:val="4C7EFA3C"/>
    <w:rsid w:val="4C7FD224"/>
    <w:rsid w:val="4C800AE6"/>
    <w:rsid w:val="4C8232D4"/>
    <w:rsid w:val="4C8296F9"/>
    <w:rsid w:val="4C82E607"/>
    <w:rsid w:val="4C82FA7D"/>
    <w:rsid w:val="4C831A79"/>
    <w:rsid w:val="4C8350D7"/>
    <w:rsid w:val="4C83519D"/>
    <w:rsid w:val="4C838FBC"/>
    <w:rsid w:val="4C83AD70"/>
    <w:rsid w:val="4C83BB39"/>
    <w:rsid w:val="4C841DF1"/>
    <w:rsid w:val="4C84426E"/>
    <w:rsid w:val="4C844C9A"/>
    <w:rsid w:val="4C8479CE"/>
    <w:rsid w:val="4C853CA3"/>
    <w:rsid w:val="4C854889"/>
    <w:rsid w:val="4C858A35"/>
    <w:rsid w:val="4C85E5D3"/>
    <w:rsid w:val="4C85F123"/>
    <w:rsid w:val="4C86C9F3"/>
    <w:rsid w:val="4C87A61B"/>
    <w:rsid w:val="4C8855B7"/>
    <w:rsid w:val="4C889E61"/>
    <w:rsid w:val="4C88E382"/>
    <w:rsid w:val="4C88ED6F"/>
    <w:rsid w:val="4C894A00"/>
    <w:rsid w:val="4C89B5C2"/>
    <w:rsid w:val="4C8A85B2"/>
    <w:rsid w:val="4C8B2D05"/>
    <w:rsid w:val="4C8B8931"/>
    <w:rsid w:val="4C8C9644"/>
    <w:rsid w:val="4C8CC2E8"/>
    <w:rsid w:val="4C8D1EF8"/>
    <w:rsid w:val="4C8D614D"/>
    <w:rsid w:val="4C8D711E"/>
    <w:rsid w:val="4C8DEC81"/>
    <w:rsid w:val="4C8DEDDA"/>
    <w:rsid w:val="4C8F10E7"/>
    <w:rsid w:val="4C8F2EE0"/>
    <w:rsid w:val="4C8F661B"/>
    <w:rsid w:val="4C8F88B6"/>
    <w:rsid w:val="4C8FCD27"/>
    <w:rsid w:val="4C8FEE1F"/>
    <w:rsid w:val="4C8FFF8D"/>
    <w:rsid w:val="4C90DD5B"/>
    <w:rsid w:val="4C9104E7"/>
    <w:rsid w:val="4C9198BE"/>
    <w:rsid w:val="4C92220F"/>
    <w:rsid w:val="4C923564"/>
    <w:rsid w:val="4C92AA44"/>
    <w:rsid w:val="4C93146A"/>
    <w:rsid w:val="4C9325D6"/>
    <w:rsid w:val="4C93A3C9"/>
    <w:rsid w:val="4C93E970"/>
    <w:rsid w:val="4C940544"/>
    <w:rsid w:val="4C945D00"/>
    <w:rsid w:val="4C94DA33"/>
    <w:rsid w:val="4C950293"/>
    <w:rsid w:val="4C9596A1"/>
    <w:rsid w:val="4C95F523"/>
    <w:rsid w:val="4C9626BB"/>
    <w:rsid w:val="4C9710B9"/>
    <w:rsid w:val="4C9781BB"/>
    <w:rsid w:val="4C979708"/>
    <w:rsid w:val="4C97DB75"/>
    <w:rsid w:val="4C9827A9"/>
    <w:rsid w:val="4C9885F4"/>
    <w:rsid w:val="4C98E2DF"/>
    <w:rsid w:val="4C98EE68"/>
    <w:rsid w:val="4C993E97"/>
    <w:rsid w:val="4C99BE7D"/>
    <w:rsid w:val="4C9A8610"/>
    <w:rsid w:val="4C9AAE61"/>
    <w:rsid w:val="4C9ABE21"/>
    <w:rsid w:val="4C9AC17C"/>
    <w:rsid w:val="4C9AF5E4"/>
    <w:rsid w:val="4C9B5775"/>
    <w:rsid w:val="4C9D32E1"/>
    <w:rsid w:val="4C9D8980"/>
    <w:rsid w:val="4C9DBFBF"/>
    <w:rsid w:val="4C9DF787"/>
    <w:rsid w:val="4C9E920A"/>
    <w:rsid w:val="4C9EE0E9"/>
    <w:rsid w:val="4C9F2579"/>
    <w:rsid w:val="4C9F4E5C"/>
    <w:rsid w:val="4CA06320"/>
    <w:rsid w:val="4CA1000B"/>
    <w:rsid w:val="4CA194B9"/>
    <w:rsid w:val="4CA1EAA3"/>
    <w:rsid w:val="4CA1F8AC"/>
    <w:rsid w:val="4CA3BE78"/>
    <w:rsid w:val="4CA410BD"/>
    <w:rsid w:val="4CA66E71"/>
    <w:rsid w:val="4CA674AD"/>
    <w:rsid w:val="4CA6C518"/>
    <w:rsid w:val="4CA6E0BD"/>
    <w:rsid w:val="4CA6EEA5"/>
    <w:rsid w:val="4CA793F9"/>
    <w:rsid w:val="4CA80A68"/>
    <w:rsid w:val="4CA85AD0"/>
    <w:rsid w:val="4CA8B789"/>
    <w:rsid w:val="4CA8D78A"/>
    <w:rsid w:val="4CA97023"/>
    <w:rsid w:val="4CAA4C03"/>
    <w:rsid w:val="4CAA9EB6"/>
    <w:rsid w:val="4CAB5613"/>
    <w:rsid w:val="4CABEE3A"/>
    <w:rsid w:val="4CAC0558"/>
    <w:rsid w:val="4CAC8FDD"/>
    <w:rsid w:val="4CAD1AB6"/>
    <w:rsid w:val="4CAD7F77"/>
    <w:rsid w:val="4CAD92BB"/>
    <w:rsid w:val="4CADB4C7"/>
    <w:rsid w:val="4CADE3B6"/>
    <w:rsid w:val="4CAFB005"/>
    <w:rsid w:val="4CAFB3D0"/>
    <w:rsid w:val="4CAFC0B7"/>
    <w:rsid w:val="4CB03796"/>
    <w:rsid w:val="4CB0D74A"/>
    <w:rsid w:val="4CB0E254"/>
    <w:rsid w:val="4CB1A3C1"/>
    <w:rsid w:val="4CB233F8"/>
    <w:rsid w:val="4CB2D6D4"/>
    <w:rsid w:val="4CB36BCD"/>
    <w:rsid w:val="4CB3750E"/>
    <w:rsid w:val="4CB3890F"/>
    <w:rsid w:val="4CB494CA"/>
    <w:rsid w:val="4CB4A926"/>
    <w:rsid w:val="4CB4C6D5"/>
    <w:rsid w:val="4CB51CC6"/>
    <w:rsid w:val="4CB5586C"/>
    <w:rsid w:val="4CB5EB53"/>
    <w:rsid w:val="4CB6BA49"/>
    <w:rsid w:val="4CB6BE26"/>
    <w:rsid w:val="4CB6C118"/>
    <w:rsid w:val="4CB77836"/>
    <w:rsid w:val="4CB7C4D2"/>
    <w:rsid w:val="4CB80913"/>
    <w:rsid w:val="4CB85CB1"/>
    <w:rsid w:val="4CB8FE29"/>
    <w:rsid w:val="4CB9536A"/>
    <w:rsid w:val="4CB97461"/>
    <w:rsid w:val="4CB9CCEF"/>
    <w:rsid w:val="4CB9E928"/>
    <w:rsid w:val="4CBA57A9"/>
    <w:rsid w:val="4CBB50DD"/>
    <w:rsid w:val="4CBC03E5"/>
    <w:rsid w:val="4CBC0D8B"/>
    <w:rsid w:val="4CBC0EE5"/>
    <w:rsid w:val="4CBC587F"/>
    <w:rsid w:val="4CBD35B3"/>
    <w:rsid w:val="4CBD7CB1"/>
    <w:rsid w:val="4CBECDF3"/>
    <w:rsid w:val="4CC11416"/>
    <w:rsid w:val="4CC15BB6"/>
    <w:rsid w:val="4CC2CF5D"/>
    <w:rsid w:val="4CC40D88"/>
    <w:rsid w:val="4CC5046C"/>
    <w:rsid w:val="4CC50B6A"/>
    <w:rsid w:val="4CC53F44"/>
    <w:rsid w:val="4CC54773"/>
    <w:rsid w:val="4CC5B348"/>
    <w:rsid w:val="4CC61C41"/>
    <w:rsid w:val="4CC6ADF2"/>
    <w:rsid w:val="4CC7DA29"/>
    <w:rsid w:val="4CC8138B"/>
    <w:rsid w:val="4CC8FFB9"/>
    <w:rsid w:val="4CC98556"/>
    <w:rsid w:val="4CC9B739"/>
    <w:rsid w:val="4CCAED13"/>
    <w:rsid w:val="4CCAED3C"/>
    <w:rsid w:val="4CCB2564"/>
    <w:rsid w:val="4CCB5B34"/>
    <w:rsid w:val="4CCB6D7C"/>
    <w:rsid w:val="4CCB7322"/>
    <w:rsid w:val="4CCB75C9"/>
    <w:rsid w:val="4CCBE22A"/>
    <w:rsid w:val="4CCC15B0"/>
    <w:rsid w:val="4CCC61EB"/>
    <w:rsid w:val="4CCD9868"/>
    <w:rsid w:val="4CCEA0C4"/>
    <w:rsid w:val="4CCEF733"/>
    <w:rsid w:val="4CCF2179"/>
    <w:rsid w:val="4CCFA5FE"/>
    <w:rsid w:val="4CD02753"/>
    <w:rsid w:val="4CD03956"/>
    <w:rsid w:val="4CD06776"/>
    <w:rsid w:val="4CD09E06"/>
    <w:rsid w:val="4CD0B723"/>
    <w:rsid w:val="4CD1CB51"/>
    <w:rsid w:val="4CD1D243"/>
    <w:rsid w:val="4CD2F450"/>
    <w:rsid w:val="4CD3F777"/>
    <w:rsid w:val="4CD48B79"/>
    <w:rsid w:val="4CD5FE48"/>
    <w:rsid w:val="4CD603D7"/>
    <w:rsid w:val="4CD71A3E"/>
    <w:rsid w:val="4CD774BE"/>
    <w:rsid w:val="4CD803BD"/>
    <w:rsid w:val="4CD89C41"/>
    <w:rsid w:val="4CD8B760"/>
    <w:rsid w:val="4CD91285"/>
    <w:rsid w:val="4CD91B47"/>
    <w:rsid w:val="4CD98536"/>
    <w:rsid w:val="4CD9A931"/>
    <w:rsid w:val="4CD9C31F"/>
    <w:rsid w:val="4CD9C686"/>
    <w:rsid w:val="4CDA5FCD"/>
    <w:rsid w:val="4CDB5128"/>
    <w:rsid w:val="4CDBBB00"/>
    <w:rsid w:val="4CDC1052"/>
    <w:rsid w:val="4CDCA68C"/>
    <w:rsid w:val="4CDCF70A"/>
    <w:rsid w:val="4CDE56E8"/>
    <w:rsid w:val="4CDF079A"/>
    <w:rsid w:val="4CDFDF22"/>
    <w:rsid w:val="4CE0306C"/>
    <w:rsid w:val="4CE06EE5"/>
    <w:rsid w:val="4CE20E1A"/>
    <w:rsid w:val="4CE2FE0C"/>
    <w:rsid w:val="4CE36BB1"/>
    <w:rsid w:val="4CE3AB16"/>
    <w:rsid w:val="4CE4FD21"/>
    <w:rsid w:val="4CE585C9"/>
    <w:rsid w:val="4CE59DBE"/>
    <w:rsid w:val="4CE5DEF8"/>
    <w:rsid w:val="4CE71A5D"/>
    <w:rsid w:val="4CE74AB6"/>
    <w:rsid w:val="4CE7BDFD"/>
    <w:rsid w:val="4CE7C8EA"/>
    <w:rsid w:val="4CE8D4D6"/>
    <w:rsid w:val="4CE927BD"/>
    <w:rsid w:val="4CE9580F"/>
    <w:rsid w:val="4CE9CE84"/>
    <w:rsid w:val="4CEA47F2"/>
    <w:rsid w:val="4CEBBF73"/>
    <w:rsid w:val="4CEBCED6"/>
    <w:rsid w:val="4CEBD293"/>
    <w:rsid w:val="4CED174E"/>
    <w:rsid w:val="4CEE9B6E"/>
    <w:rsid w:val="4CEF3D4A"/>
    <w:rsid w:val="4CF009D9"/>
    <w:rsid w:val="4CF01553"/>
    <w:rsid w:val="4CF05F7C"/>
    <w:rsid w:val="4CF0BA16"/>
    <w:rsid w:val="4CF1AC17"/>
    <w:rsid w:val="4CF1E1FA"/>
    <w:rsid w:val="4CF24582"/>
    <w:rsid w:val="4CF3183C"/>
    <w:rsid w:val="4CF47220"/>
    <w:rsid w:val="4CF47DD2"/>
    <w:rsid w:val="4CF4B082"/>
    <w:rsid w:val="4CF59A1E"/>
    <w:rsid w:val="4CF6310D"/>
    <w:rsid w:val="4CF6332A"/>
    <w:rsid w:val="4CF69939"/>
    <w:rsid w:val="4CF71A85"/>
    <w:rsid w:val="4CF728B6"/>
    <w:rsid w:val="4CF78186"/>
    <w:rsid w:val="4CF80052"/>
    <w:rsid w:val="4CF82C14"/>
    <w:rsid w:val="4CF8C4FC"/>
    <w:rsid w:val="4CF8DEBC"/>
    <w:rsid w:val="4CF9091C"/>
    <w:rsid w:val="4CF97487"/>
    <w:rsid w:val="4CF9912E"/>
    <w:rsid w:val="4CF9CDAC"/>
    <w:rsid w:val="4CF9EAAF"/>
    <w:rsid w:val="4CF9FAE3"/>
    <w:rsid w:val="4CFA0393"/>
    <w:rsid w:val="4CFA40B4"/>
    <w:rsid w:val="4CFB0873"/>
    <w:rsid w:val="4CFB3ADA"/>
    <w:rsid w:val="4CFB3B5D"/>
    <w:rsid w:val="4CFBBCD5"/>
    <w:rsid w:val="4CFBFB4D"/>
    <w:rsid w:val="4CFC55BF"/>
    <w:rsid w:val="4CFD5FE4"/>
    <w:rsid w:val="4CFDB3A4"/>
    <w:rsid w:val="4CFDD7E4"/>
    <w:rsid w:val="4CFE5011"/>
    <w:rsid w:val="4CFF050C"/>
    <w:rsid w:val="4CFF44FE"/>
    <w:rsid w:val="4CFFC0AB"/>
    <w:rsid w:val="4D007E43"/>
    <w:rsid w:val="4D01CA61"/>
    <w:rsid w:val="4D020D61"/>
    <w:rsid w:val="4D02309C"/>
    <w:rsid w:val="4D026824"/>
    <w:rsid w:val="4D02DDD9"/>
    <w:rsid w:val="4D02EB15"/>
    <w:rsid w:val="4D0303DA"/>
    <w:rsid w:val="4D040699"/>
    <w:rsid w:val="4D045D18"/>
    <w:rsid w:val="4D046494"/>
    <w:rsid w:val="4D04CB00"/>
    <w:rsid w:val="4D05010A"/>
    <w:rsid w:val="4D052F5A"/>
    <w:rsid w:val="4D055F75"/>
    <w:rsid w:val="4D0686B7"/>
    <w:rsid w:val="4D07B0DE"/>
    <w:rsid w:val="4D07DC32"/>
    <w:rsid w:val="4D0B6221"/>
    <w:rsid w:val="4D0C4CBD"/>
    <w:rsid w:val="4D0C8A6C"/>
    <w:rsid w:val="4D0D51C9"/>
    <w:rsid w:val="4D0DAD77"/>
    <w:rsid w:val="4D0DB42A"/>
    <w:rsid w:val="4D0DFC67"/>
    <w:rsid w:val="4D0E39D5"/>
    <w:rsid w:val="4D0E7083"/>
    <w:rsid w:val="4D0F6FC4"/>
    <w:rsid w:val="4D0FD201"/>
    <w:rsid w:val="4D107BE6"/>
    <w:rsid w:val="4D10ABDE"/>
    <w:rsid w:val="4D12E44C"/>
    <w:rsid w:val="4D13FFC3"/>
    <w:rsid w:val="4D144532"/>
    <w:rsid w:val="4D15C875"/>
    <w:rsid w:val="4D166BB6"/>
    <w:rsid w:val="4D178146"/>
    <w:rsid w:val="4D17A4BC"/>
    <w:rsid w:val="4D180C0A"/>
    <w:rsid w:val="4D191A7F"/>
    <w:rsid w:val="4D19FB19"/>
    <w:rsid w:val="4D1A9767"/>
    <w:rsid w:val="4D1B1D62"/>
    <w:rsid w:val="4D1BF575"/>
    <w:rsid w:val="4D1C5C6C"/>
    <w:rsid w:val="4D1CC43A"/>
    <w:rsid w:val="4D1CEF0F"/>
    <w:rsid w:val="4D1D8574"/>
    <w:rsid w:val="4D1D9EA6"/>
    <w:rsid w:val="4D1DE231"/>
    <w:rsid w:val="4D1EA805"/>
    <w:rsid w:val="4D1F0D9A"/>
    <w:rsid w:val="4D1F4460"/>
    <w:rsid w:val="4D1F6E8F"/>
    <w:rsid w:val="4D1FADAD"/>
    <w:rsid w:val="4D20733F"/>
    <w:rsid w:val="4D209B34"/>
    <w:rsid w:val="4D20A734"/>
    <w:rsid w:val="4D210A11"/>
    <w:rsid w:val="4D214081"/>
    <w:rsid w:val="4D214352"/>
    <w:rsid w:val="4D22C1D7"/>
    <w:rsid w:val="4D22F0BF"/>
    <w:rsid w:val="4D231953"/>
    <w:rsid w:val="4D2329D6"/>
    <w:rsid w:val="4D23526E"/>
    <w:rsid w:val="4D2375D9"/>
    <w:rsid w:val="4D24FB23"/>
    <w:rsid w:val="4D257C08"/>
    <w:rsid w:val="4D258577"/>
    <w:rsid w:val="4D259CC2"/>
    <w:rsid w:val="4D25BA7F"/>
    <w:rsid w:val="4D25CDDF"/>
    <w:rsid w:val="4D264A43"/>
    <w:rsid w:val="4D272483"/>
    <w:rsid w:val="4D275504"/>
    <w:rsid w:val="4D27AF78"/>
    <w:rsid w:val="4D290B92"/>
    <w:rsid w:val="4D2A70A2"/>
    <w:rsid w:val="4D2AC9CF"/>
    <w:rsid w:val="4D2B1C9F"/>
    <w:rsid w:val="4D2B5F16"/>
    <w:rsid w:val="4D2BD047"/>
    <w:rsid w:val="4D2BD30D"/>
    <w:rsid w:val="4D2D3696"/>
    <w:rsid w:val="4D2E7E35"/>
    <w:rsid w:val="4D2F76E6"/>
    <w:rsid w:val="4D2FD402"/>
    <w:rsid w:val="4D2FDB71"/>
    <w:rsid w:val="4D307A33"/>
    <w:rsid w:val="4D30AB3F"/>
    <w:rsid w:val="4D31D1DA"/>
    <w:rsid w:val="4D320600"/>
    <w:rsid w:val="4D32152F"/>
    <w:rsid w:val="4D326DA5"/>
    <w:rsid w:val="4D32CA20"/>
    <w:rsid w:val="4D33221C"/>
    <w:rsid w:val="4D3336DD"/>
    <w:rsid w:val="4D33DDFF"/>
    <w:rsid w:val="4D33E632"/>
    <w:rsid w:val="4D3448EB"/>
    <w:rsid w:val="4D34ED83"/>
    <w:rsid w:val="4D350C5B"/>
    <w:rsid w:val="4D35536E"/>
    <w:rsid w:val="4D35DADE"/>
    <w:rsid w:val="4D3656F3"/>
    <w:rsid w:val="4D3712EC"/>
    <w:rsid w:val="4D376242"/>
    <w:rsid w:val="4D37781D"/>
    <w:rsid w:val="4D378006"/>
    <w:rsid w:val="4D37A727"/>
    <w:rsid w:val="4D37C2BA"/>
    <w:rsid w:val="4D37E08D"/>
    <w:rsid w:val="4D381726"/>
    <w:rsid w:val="4D38726B"/>
    <w:rsid w:val="4D387FEA"/>
    <w:rsid w:val="4D388F7A"/>
    <w:rsid w:val="4D3919A7"/>
    <w:rsid w:val="4D394A7F"/>
    <w:rsid w:val="4D39E0F7"/>
    <w:rsid w:val="4D39F261"/>
    <w:rsid w:val="4D3A72AE"/>
    <w:rsid w:val="4D3B64B0"/>
    <w:rsid w:val="4D3B87D7"/>
    <w:rsid w:val="4D3B885E"/>
    <w:rsid w:val="4D3BBC61"/>
    <w:rsid w:val="4D3C109A"/>
    <w:rsid w:val="4D3C24E3"/>
    <w:rsid w:val="4D3C5B2F"/>
    <w:rsid w:val="4D3D0FE9"/>
    <w:rsid w:val="4D3DF253"/>
    <w:rsid w:val="4D3E3B17"/>
    <w:rsid w:val="4D3E5229"/>
    <w:rsid w:val="4D3E92C7"/>
    <w:rsid w:val="4D3F5A36"/>
    <w:rsid w:val="4D3FD06A"/>
    <w:rsid w:val="4D3FD407"/>
    <w:rsid w:val="4D429A51"/>
    <w:rsid w:val="4D435E03"/>
    <w:rsid w:val="4D4365A7"/>
    <w:rsid w:val="4D43B1B0"/>
    <w:rsid w:val="4D43B6F6"/>
    <w:rsid w:val="4D43F902"/>
    <w:rsid w:val="4D443423"/>
    <w:rsid w:val="4D44662C"/>
    <w:rsid w:val="4D4493DB"/>
    <w:rsid w:val="4D455FA5"/>
    <w:rsid w:val="4D45743E"/>
    <w:rsid w:val="4D45A340"/>
    <w:rsid w:val="4D45A637"/>
    <w:rsid w:val="4D46D423"/>
    <w:rsid w:val="4D478BBE"/>
    <w:rsid w:val="4D4810FE"/>
    <w:rsid w:val="4D484F70"/>
    <w:rsid w:val="4D488A45"/>
    <w:rsid w:val="4D48FB69"/>
    <w:rsid w:val="4D49821D"/>
    <w:rsid w:val="4D498AD8"/>
    <w:rsid w:val="4D49BC9E"/>
    <w:rsid w:val="4D49ED92"/>
    <w:rsid w:val="4D49F683"/>
    <w:rsid w:val="4D4ACC26"/>
    <w:rsid w:val="4D4BA59B"/>
    <w:rsid w:val="4D4BA91B"/>
    <w:rsid w:val="4D4BD7BE"/>
    <w:rsid w:val="4D4BED48"/>
    <w:rsid w:val="4D4C1D76"/>
    <w:rsid w:val="4D4CB191"/>
    <w:rsid w:val="4D4CC8B1"/>
    <w:rsid w:val="4D4CFEBC"/>
    <w:rsid w:val="4D4E251A"/>
    <w:rsid w:val="4D4F3373"/>
    <w:rsid w:val="4D4F5593"/>
    <w:rsid w:val="4D4FBC89"/>
    <w:rsid w:val="4D4FD906"/>
    <w:rsid w:val="4D505F56"/>
    <w:rsid w:val="4D50FA73"/>
    <w:rsid w:val="4D527014"/>
    <w:rsid w:val="4D536B19"/>
    <w:rsid w:val="4D54017C"/>
    <w:rsid w:val="4D54E3FA"/>
    <w:rsid w:val="4D54FC94"/>
    <w:rsid w:val="4D551A24"/>
    <w:rsid w:val="4D5542D6"/>
    <w:rsid w:val="4D5558FE"/>
    <w:rsid w:val="4D563AFF"/>
    <w:rsid w:val="4D5679BA"/>
    <w:rsid w:val="4D57AD21"/>
    <w:rsid w:val="4D580AB9"/>
    <w:rsid w:val="4D5845F2"/>
    <w:rsid w:val="4D589167"/>
    <w:rsid w:val="4D58B14C"/>
    <w:rsid w:val="4D58BFD4"/>
    <w:rsid w:val="4D594153"/>
    <w:rsid w:val="4D594D81"/>
    <w:rsid w:val="4D59B0EA"/>
    <w:rsid w:val="4D59C8A6"/>
    <w:rsid w:val="4D59F708"/>
    <w:rsid w:val="4D5A393B"/>
    <w:rsid w:val="4D5A399F"/>
    <w:rsid w:val="4D5A9E2E"/>
    <w:rsid w:val="4D5B0F40"/>
    <w:rsid w:val="4D5CB2C8"/>
    <w:rsid w:val="4D5D4B90"/>
    <w:rsid w:val="4D5DCE4A"/>
    <w:rsid w:val="4D5DD419"/>
    <w:rsid w:val="4D5E1170"/>
    <w:rsid w:val="4D5E2230"/>
    <w:rsid w:val="4D5EA747"/>
    <w:rsid w:val="4D5FA430"/>
    <w:rsid w:val="4D60C7CF"/>
    <w:rsid w:val="4D615369"/>
    <w:rsid w:val="4D615CC1"/>
    <w:rsid w:val="4D61A348"/>
    <w:rsid w:val="4D61E141"/>
    <w:rsid w:val="4D623B57"/>
    <w:rsid w:val="4D6285B9"/>
    <w:rsid w:val="4D62A52A"/>
    <w:rsid w:val="4D62B685"/>
    <w:rsid w:val="4D62B85A"/>
    <w:rsid w:val="4D62F1E5"/>
    <w:rsid w:val="4D630118"/>
    <w:rsid w:val="4D630B3B"/>
    <w:rsid w:val="4D6356D3"/>
    <w:rsid w:val="4D6362EC"/>
    <w:rsid w:val="4D6439AC"/>
    <w:rsid w:val="4D644D00"/>
    <w:rsid w:val="4D64BBE8"/>
    <w:rsid w:val="4D65DCBD"/>
    <w:rsid w:val="4D65F3DB"/>
    <w:rsid w:val="4D6615D9"/>
    <w:rsid w:val="4D665D33"/>
    <w:rsid w:val="4D66AA04"/>
    <w:rsid w:val="4D670ACB"/>
    <w:rsid w:val="4D67347A"/>
    <w:rsid w:val="4D67CD83"/>
    <w:rsid w:val="4D683054"/>
    <w:rsid w:val="4D685840"/>
    <w:rsid w:val="4D689E13"/>
    <w:rsid w:val="4D694F8C"/>
    <w:rsid w:val="4D69627B"/>
    <w:rsid w:val="4D697E92"/>
    <w:rsid w:val="4D69D38A"/>
    <w:rsid w:val="4D69EC0E"/>
    <w:rsid w:val="4D6B40B6"/>
    <w:rsid w:val="4D6B461B"/>
    <w:rsid w:val="4D6B5D01"/>
    <w:rsid w:val="4D6C2BB8"/>
    <w:rsid w:val="4D6C6844"/>
    <w:rsid w:val="4D6CC4ED"/>
    <w:rsid w:val="4D6CF7CD"/>
    <w:rsid w:val="4D6D0DF6"/>
    <w:rsid w:val="4D6D3AC2"/>
    <w:rsid w:val="4D6D3DF7"/>
    <w:rsid w:val="4D6D569E"/>
    <w:rsid w:val="4D6E2F44"/>
    <w:rsid w:val="4D6EB152"/>
    <w:rsid w:val="4D6F4E41"/>
    <w:rsid w:val="4D6FDC29"/>
    <w:rsid w:val="4D6FF331"/>
    <w:rsid w:val="4D700367"/>
    <w:rsid w:val="4D707EA1"/>
    <w:rsid w:val="4D716AC7"/>
    <w:rsid w:val="4D725889"/>
    <w:rsid w:val="4D726A5A"/>
    <w:rsid w:val="4D7280FD"/>
    <w:rsid w:val="4D73ADC4"/>
    <w:rsid w:val="4D7426B1"/>
    <w:rsid w:val="4D744075"/>
    <w:rsid w:val="4D74A0AA"/>
    <w:rsid w:val="4D750320"/>
    <w:rsid w:val="4D751D7A"/>
    <w:rsid w:val="4D75B0F4"/>
    <w:rsid w:val="4D768636"/>
    <w:rsid w:val="4D76F9C6"/>
    <w:rsid w:val="4D7744B6"/>
    <w:rsid w:val="4D778539"/>
    <w:rsid w:val="4D77D5BC"/>
    <w:rsid w:val="4D77E4B5"/>
    <w:rsid w:val="4D783FC9"/>
    <w:rsid w:val="4D784799"/>
    <w:rsid w:val="4D785837"/>
    <w:rsid w:val="4D78ACA8"/>
    <w:rsid w:val="4D791332"/>
    <w:rsid w:val="4D7A1FF8"/>
    <w:rsid w:val="4D7AAA91"/>
    <w:rsid w:val="4D7AD420"/>
    <w:rsid w:val="4D7B1499"/>
    <w:rsid w:val="4D7B2CF2"/>
    <w:rsid w:val="4D7B5AD0"/>
    <w:rsid w:val="4D7BB469"/>
    <w:rsid w:val="4D7BC5AC"/>
    <w:rsid w:val="4D7BEBBD"/>
    <w:rsid w:val="4D7C0F43"/>
    <w:rsid w:val="4D7D5507"/>
    <w:rsid w:val="4D7D6011"/>
    <w:rsid w:val="4D7D9DA8"/>
    <w:rsid w:val="4D7EC5A6"/>
    <w:rsid w:val="4D7FB926"/>
    <w:rsid w:val="4D7FD195"/>
    <w:rsid w:val="4D800BBF"/>
    <w:rsid w:val="4D805E32"/>
    <w:rsid w:val="4D806ECD"/>
    <w:rsid w:val="4D81647F"/>
    <w:rsid w:val="4D819034"/>
    <w:rsid w:val="4D81C8BF"/>
    <w:rsid w:val="4D823EE7"/>
    <w:rsid w:val="4D82AFEF"/>
    <w:rsid w:val="4D82E89F"/>
    <w:rsid w:val="4D82EBF5"/>
    <w:rsid w:val="4D83175F"/>
    <w:rsid w:val="4D831A4C"/>
    <w:rsid w:val="4D835815"/>
    <w:rsid w:val="4D840728"/>
    <w:rsid w:val="4D84075F"/>
    <w:rsid w:val="4D842561"/>
    <w:rsid w:val="4D852D45"/>
    <w:rsid w:val="4D857A2D"/>
    <w:rsid w:val="4D86533A"/>
    <w:rsid w:val="4D867389"/>
    <w:rsid w:val="4D86BD8A"/>
    <w:rsid w:val="4D86E5E4"/>
    <w:rsid w:val="4D871723"/>
    <w:rsid w:val="4D8805CB"/>
    <w:rsid w:val="4D880FE4"/>
    <w:rsid w:val="4D883DDA"/>
    <w:rsid w:val="4D899DCE"/>
    <w:rsid w:val="4D8A26E6"/>
    <w:rsid w:val="4D8A700D"/>
    <w:rsid w:val="4D8ABBF7"/>
    <w:rsid w:val="4D8BF928"/>
    <w:rsid w:val="4D8C3A40"/>
    <w:rsid w:val="4D8CFD22"/>
    <w:rsid w:val="4D8DB51E"/>
    <w:rsid w:val="4D8E2C4F"/>
    <w:rsid w:val="4D8E9170"/>
    <w:rsid w:val="4D8F536B"/>
    <w:rsid w:val="4D905DCA"/>
    <w:rsid w:val="4D90F57A"/>
    <w:rsid w:val="4D91FF82"/>
    <w:rsid w:val="4D92706F"/>
    <w:rsid w:val="4D936B7F"/>
    <w:rsid w:val="4D938329"/>
    <w:rsid w:val="4D944687"/>
    <w:rsid w:val="4D9501D2"/>
    <w:rsid w:val="4D951136"/>
    <w:rsid w:val="4D965204"/>
    <w:rsid w:val="4D96C268"/>
    <w:rsid w:val="4D973D8C"/>
    <w:rsid w:val="4D998BD9"/>
    <w:rsid w:val="4D9994A2"/>
    <w:rsid w:val="4D99AEC3"/>
    <w:rsid w:val="4D99CAAB"/>
    <w:rsid w:val="4D99DF51"/>
    <w:rsid w:val="4D9AE40E"/>
    <w:rsid w:val="4D9B27E1"/>
    <w:rsid w:val="4D9CABDB"/>
    <w:rsid w:val="4D9D0630"/>
    <w:rsid w:val="4D9D3B4B"/>
    <w:rsid w:val="4D9D782A"/>
    <w:rsid w:val="4D9EABD4"/>
    <w:rsid w:val="4D9F1E69"/>
    <w:rsid w:val="4D9F4EF4"/>
    <w:rsid w:val="4D9FE8F1"/>
    <w:rsid w:val="4DA087FF"/>
    <w:rsid w:val="4DA0BEF1"/>
    <w:rsid w:val="4DA10DA0"/>
    <w:rsid w:val="4DA1D555"/>
    <w:rsid w:val="4DA21454"/>
    <w:rsid w:val="4DA23974"/>
    <w:rsid w:val="4DA23EDC"/>
    <w:rsid w:val="4DA24868"/>
    <w:rsid w:val="4DA2AC9B"/>
    <w:rsid w:val="4DA3A1E6"/>
    <w:rsid w:val="4DA45E53"/>
    <w:rsid w:val="4DA48BEC"/>
    <w:rsid w:val="4DA52BB5"/>
    <w:rsid w:val="4DA533D4"/>
    <w:rsid w:val="4DA563C3"/>
    <w:rsid w:val="4DA570CC"/>
    <w:rsid w:val="4DA5F6BD"/>
    <w:rsid w:val="4DA5F814"/>
    <w:rsid w:val="4DA6302E"/>
    <w:rsid w:val="4DA70675"/>
    <w:rsid w:val="4DA9001A"/>
    <w:rsid w:val="4DA92C93"/>
    <w:rsid w:val="4DA93078"/>
    <w:rsid w:val="4DA95C99"/>
    <w:rsid w:val="4DA9E26D"/>
    <w:rsid w:val="4DAA690D"/>
    <w:rsid w:val="4DABAE02"/>
    <w:rsid w:val="4DAC0454"/>
    <w:rsid w:val="4DACC3F3"/>
    <w:rsid w:val="4DACD901"/>
    <w:rsid w:val="4DAD50E6"/>
    <w:rsid w:val="4DAE2733"/>
    <w:rsid w:val="4DAF7E42"/>
    <w:rsid w:val="4DAF817B"/>
    <w:rsid w:val="4DAF9049"/>
    <w:rsid w:val="4DAFACAF"/>
    <w:rsid w:val="4DAFF00A"/>
    <w:rsid w:val="4DB03FD0"/>
    <w:rsid w:val="4DB06A11"/>
    <w:rsid w:val="4DB0762A"/>
    <w:rsid w:val="4DB08064"/>
    <w:rsid w:val="4DB0BA44"/>
    <w:rsid w:val="4DB139F3"/>
    <w:rsid w:val="4DB19C57"/>
    <w:rsid w:val="4DB2ECBC"/>
    <w:rsid w:val="4DB2FAA5"/>
    <w:rsid w:val="4DB3B5A9"/>
    <w:rsid w:val="4DB416A8"/>
    <w:rsid w:val="4DB4304E"/>
    <w:rsid w:val="4DB4328E"/>
    <w:rsid w:val="4DB50DB7"/>
    <w:rsid w:val="4DB61E42"/>
    <w:rsid w:val="4DB6434D"/>
    <w:rsid w:val="4DB6EE89"/>
    <w:rsid w:val="4DB72252"/>
    <w:rsid w:val="4DB7E7D4"/>
    <w:rsid w:val="4DB7EA5F"/>
    <w:rsid w:val="4DB83CA2"/>
    <w:rsid w:val="4DB86D77"/>
    <w:rsid w:val="4DBA89A2"/>
    <w:rsid w:val="4DBB13EB"/>
    <w:rsid w:val="4DBB2899"/>
    <w:rsid w:val="4DBC66B2"/>
    <w:rsid w:val="4DBE42CF"/>
    <w:rsid w:val="4DBFC86A"/>
    <w:rsid w:val="4DC0D849"/>
    <w:rsid w:val="4DC0DD0F"/>
    <w:rsid w:val="4DC1A7B5"/>
    <w:rsid w:val="4DC1D31D"/>
    <w:rsid w:val="4DC1EAF6"/>
    <w:rsid w:val="4DC1FD4E"/>
    <w:rsid w:val="4DC2E6A2"/>
    <w:rsid w:val="4DC335F3"/>
    <w:rsid w:val="4DC41F1E"/>
    <w:rsid w:val="4DC635DA"/>
    <w:rsid w:val="4DC636DF"/>
    <w:rsid w:val="4DC6E684"/>
    <w:rsid w:val="4DC737FE"/>
    <w:rsid w:val="4DC750A8"/>
    <w:rsid w:val="4DC7669A"/>
    <w:rsid w:val="4DC79A6D"/>
    <w:rsid w:val="4DC7B4F7"/>
    <w:rsid w:val="4DC7F674"/>
    <w:rsid w:val="4DC8281C"/>
    <w:rsid w:val="4DC830AC"/>
    <w:rsid w:val="4DC83E9C"/>
    <w:rsid w:val="4DC84493"/>
    <w:rsid w:val="4DC8E401"/>
    <w:rsid w:val="4DC8F472"/>
    <w:rsid w:val="4DC976D1"/>
    <w:rsid w:val="4DC9A935"/>
    <w:rsid w:val="4DCA1814"/>
    <w:rsid w:val="4DCB8A9C"/>
    <w:rsid w:val="4DCBB733"/>
    <w:rsid w:val="4DCE49AC"/>
    <w:rsid w:val="4DCE59DE"/>
    <w:rsid w:val="4DCE833E"/>
    <w:rsid w:val="4DCE8EE2"/>
    <w:rsid w:val="4DCE9C97"/>
    <w:rsid w:val="4DCF338D"/>
    <w:rsid w:val="4DCF99FE"/>
    <w:rsid w:val="4DD0843D"/>
    <w:rsid w:val="4DD09236"/>
    <w:rsid w:val="4DD092B0"/>
    <w:rsid w:val="4DD0DAC7"/>
    <w:rsid w:val="4DD106D6"/>
    <w:rsid w:val="4DD1C538"/>
    <w:rsid w:val="4DD21262"/>
    <w:rsid w:val="4DD36085"/>
    <w:rsid w:val="4DD386AB"/>
    <w:rsid w:val="4DD3C466"/>
    <w:rsid w:val="4DD3EBD0"/>
    <w:rsid w:val="4DD49F08"/>
    <w:rsid w:val="4DD4A6DD"/>
    <w:rsid w:val="4DD4BA07"/>
    <w:rsid w:val="4DD4D996"/>
    <w:rsid w:val="4DD71BFD"/>
    <w:rsid w:val="4DD7B2D9"/>
    <w:rsid w:val="4DD83A61"/>
    <w:rsid w:val="4DD8B394"/>
    <w:rsid w:val="4DD907E7"/>
    <w:rsid w:val="4DD94ED2"/>
    <w:rsid w:val="4DD9686F"/>
    <w:rsid w:val="4DD98899"/>
    <w:rsid w:val="4DD9C1A2"/>
    <w:rsid w:val="4DDA04F6"/>
    <w:rsid w:val="4DDA163E"/>
    <w:rsid w:val="4DDA267E"/>
    <w:rsid w:val="4DDA314E"/>
    <w:rsid w:val="4DDA45F7"/>
    <w:rsid w:val="4DDA514A"/>
    <w:rsid w:val="4DDA76AE"/>
    <w:rsid w:val="4DDB153A"/>
    <w:rsid w:val="4DDB2D94"/>
    <w:rsid w:val="4DDC745F"/>
    <w:rsid w:val="4DDFD7E2"/>
    <w:rsid w:val="4DDFE378"/>
    <w:rsid w:val="4DE08DF7"/>
    <w:rsid w:val="4DE0FA83"/>
    <w:rsid w:val="4DE1261F"/>
    <w:rsid w:val="4DE1BFC4"/>
    <w:rsid w:val="4DE237DF"/>
    <w:rsid w:val="4DE337E8"/>
    <w:rsid w:val="4DE4FFB2"/>
    <w:rsid w:val="4DE577F7"/>
    <w:rsid w:val="4DE6D11C"/>
    <w:rsid w:val="4DE76C2B"/>
    <w:rsid w:val="4DE80D42"/>
    <w:rsid w:val="4DE90C4D"/>
    <w:rsid w:val="4DEB9651"/>
    <w:rsid w:val="4DEBB0B5"/>
    <w:rsid w:val="4DEC5475"/>
    <w:rsid w:val="4DED2993"/>
    <w:rsid w:val="4DED6EEF"/>
    <w:rsid w:val="4DEDE3B5"/>
    <w:rsid w:val="4DEE2AB1"/>
    <w:rsid w:val="4DEE4615"/>
    <w:rsid w:val="4DEF1B1C"/>
    <w:rsid w:val="4DEF5749"/>
    <w:rsid w:val="4DEFD1A9"/>
    <w:rsid w:val="4DEFD831"/>
    <w:rsid w:val="4DF00A35"/>
    <w:rsid w:val="4DF02997"/>
    <w:rsid w:val="4DF02C19"/>
    <w:rsid w:val="4DF04640"/>
    <w:rsid w:val="4DF0CD58"/>
    <w:rsid w:val="4DF10FFA"/>
    <w:rsid w:val="4DF244A1"/>
    <w:rsid w:val="4DF2B67B"/>
    <w:rsid w:val="4DF3FC5A"/>
    <w:rsid w:val="4DF49DFD"/>
    <w:rsid w:val="4DF4FC7E"/>
    <w:rsid w:val="4DF5F751"/>
    <w:rsid w:val="4DF66D63"/>
    <w:rsid w:val="4DF69FB8"/>
    <w:rsid w:val="4DF6DF66"/>
    <w:rsid w:val="4DF6E3DA"/>
    <w:rsid w:val="4DF881A0"/>
    <w:rsid w:val="4DF932AE"/>
    <w:rsid w:val="4DF99D79"/>
    <w:rsid w:val="4DF9A308"/>
    <w:rsid w:val="4DF9FC81"/>
    <w:rsid w:val="4DFAA280"/>
    <w:rsid w:val="4DFAE1D4"/>
    <w:rsid w:val="4DFB1B77"/>
    <w:rsid w:val="4DFB998F"/>
    <w:rsid w:val="4DFCE4F0"/>
    <w:rsid w:val="4DFD023C"/>
    <w:rsid w:val="4DFF4A74"/>
    <w:rsid w:val="4DFFE95A"/>
    <w:rsid w:val="4E02CDEE"/>
    <w:rsid w:val="4E040698"/>
    <w:rsid w:val="4E047F50"/>
    <w:rsid w:val="4E04AB28"/>
    <w:rsid w:val="4E04ACD5"/>
    <w:rsid w:val="4E055F3E"/>
    <w:rsid w:val="4E05A0DA"/>
    <w:rsid w:val="4E05F2FB"/>
    <w:rsid w:val="4E065687"/>
    <w:rsid w:val="4E07517D"/>
    <w:rsid w:val="4E07918E"/>
    <w:rsid w:val="4E07A375"/>
    <w:rsid w:val="4E07BD48"/>
    <w:rsid w:val="4E08232A"/>
    <w:rsid w:val="4E0823D7"/>
    <w:rsid w:val="4E090B8B"/>
    <w:rsid w:val="4E096BD6"/>
    <w:rsid w:val="4E09DF1E"/>
    <w:rsid w:val="4E09F8D0"/>
    <w:rsid w:val="4E0A404C"/>
    <w:rsid w:val="4E0A6CB1"/>
    <w:rsid w:val="4E0BD8E8"/>
    <w:rsid w:val="4E0CAF97"/>
    <w:rsid w:val="4E0CC5AB"/>
    <w:rsid w:val="4E0CF2DD"/>
    <w:rsid w:val="4E0DAC60"/>
    <w:rsid w:val="4E0E1979"/>
    <w:rsid w:val="4E0E4355"/>
    <w:rsid w:val="4E0F4325"/>
    <w:rsid w:val="4E0FCBE1"/>
    <w:rsid w:val="4E1023CD"/>
    <w:rsid w:val="4E10605D"/>
    <w:rsid w:val="4E10D32C"/>
    <w:rsid w:val="4E10ED1C"/>
    <w:rsid w:val="4E1194A9"/>
    <w:rsid w:val="4E11B4A4"/>
    <w:rsid w:val="4E11EE50"/>
    <w:rsid w:val="4E11EFBC"/>
    <w:rsid w:val="4E12A999"/>
    <w:rsid w:val="4E12B163"/>
    <w:rsid w:val="4E13014E"/>
    <w:rsid w:val="4E138453"/>
    <w:rsid w:val="4E13B977"/>
    <w:rsid w:val="4E13FAAC"/>
    <w:rsid w:val="4E15165A"/>
    <w:rsid w:val="4E169AD5"/>
    <w:rsid w:val="4E16B121"/>
    <w:rsid w:val="4E16D27E"/>
    <w:rsid w:val="4E17F13E"/>
    <w:rsid w:val="4E18291F"/>
    <w:rsid w:val="4E182B5D"/>
    <w:rsid w:val="4E187CC4"/>
    <w:rsid w:val="4E198183"/>
    <w:rsid w:val="4E198E87"/>
    <w:rsid w:val="4E19956F"/>
    <w:rsid w:val="4E19CF16"/>
    <w:rsid w:val="4E1A87C2"/>
    <w:rsid w:val="4E1AA125"/>
    <w:rsid w:val="4E1AD411"/>
    <w:rsid w:val="4E1B2CBF"/>
    <w:rsid w:val="4E1C298C"/>
    <w:rsid w:val="4E1C51D8"/>
    <w:rsid w:val="4E1D6100"/>
    <w:rsid w:val="4E1D9577"/>
    <w:rsid w:val="4E1DA387"/>
    <w:rsid w:val="4E1DC709"/>
    <w:rsid w:val="4E1E5E61"/>
    <w:rsid w:val="4E1F0597"/>
    <w:rsid w:val="4E1F0D68"/>
    <w:rsid w:val="4E1FDBBB"/>
    <w:rsid w:val="4E1FF701"/>
    <w:rsid w:val="4E2080C4"/>
    <w:rsid w:val="4E20E224"/>
    <w:rsid w:val="4E20ED21"/>
    <w:rsid w:val="4E215628"/>
    <w:rsid w:val="4E221FC0"/>
    <w:rsid w:val="4E226B03"/>
    <w:rsid w:val="4E227508"/>
    <w:rsid w:val="4E235759"/>
    <w:rsid w:val="4E236918"/>
    <w:rsid w:val="4E23D1C2"/>
    <w:rsid w:val="4E23DBED"/>
    <w:rsid w:val="4E257DA2"/>
    <w:rsid w:val="4E25EF18"/>
    <w:rsid w:val="4E26381C"/>
    <w:rsid w:val="4E26B1E8"/>
    <w:rsid w:val="4E26F93B"/>
    <w:rsid w:val="4E274EAA"/>
    <w:rsid w:val="4E27A002"/>
    <w:rsid w:val="4E27A803"/>
    <w:rsid w:val="4E27CDB1"/>
    <w:rsid w:val="4E2959F7"/>
    <w:rsid w:val="4E2977CF"/>
    <w:rsid w:val="4E299C3A"/>
    <w:rsid w:val="4E2A77BE"/>
    <w:rsid w:val="4E2AAE60"/>
    <w:rsid w:val="4E2B8D7A"/>
    <w:rsid w:val="4E2BAA62"/>
    <w:rsid w:val="4E2C22CC"/>
    <w:rsid w:val="4E2C5C13"/>
    <w:rsid w:val="4E2C6F21"/>
    <w:rsid w:val="4E2D43AF"/>
    <w:rsid w:val="4E2D65B8"/>
    <w:rsid w:val="4E2F18A1"/>
    <w:rsid w:val="4E2F78A9"/>
    <w:rsid w:val="4E2FB8FB"/>
    <w:rsid w:val="4E308D2F"/>
    <w:rsid w:val="4E31554C"/>
    <w:rsid w:val="4E31D086"/>
    <w:rsid w:val="4E31DC00"/>
    <w:rsid w:val="4E31E305"/>
    <w:rsid w:val="4E324108"/>
    <w:rsid w:val="4E324618"/>
    <w:rsid w:val="4E326A77"/>
    <w:rsid w:val="4E3347F0"/>
    <w:rsid w:val="4E33D6ED"/>
    <w:rsid w:val="4E33ED2C"/>
    <w:rsid w:val="4E343D23"/>
    <w:rsid w:val="4E344AB9"/>
    <w:rsid w:val="4E345456"/>
    <w:rsid w:val="4E346065"/>
    <w:rsid w:val="4E346AA2"/>
    <w:rsid w:val="4E34B17C"/>
    <w:rsid w:val="4E353689"/>
    <w:rsid w:val="4E355318"/>
    <w:rsid w:val="4E35A361"/>
    <w:rsid w:val="4E35FD2A"/>
    <w:rsid w:val="4E362C78"/>
    <w:rsid w:val="4E36BC6F"/>
    <w:rsid w:val="4E36EE1C"/>
    <w:rsid w:val="4E374D10"/>
    <w:rsid w:val="4E378338"/>
    <w:rsid w:val="4E379B00"/>
    <w:rsid w:val="4E379FAD"/>
    <w:rsid w:val="4E38BB0A"/>
    <w:rsid w:val="4E392AFE"/>
    <w:rsid w:val="4E39D5ED"/>
    <w:rsid w:val="4E39D688"/>
    <w:rsid w:val="4E3A5C06"/>
    <w:rsid w:val="4E3B0C89"/>
    <w:rsid w:val="4E3BCC06"/>
    <w:rsid w:val="4E3BF183"/>
    <w:rsid w:val="4E3C0D51"/>
    <w:rsid w:val="4E3C99CE"/>
    <w:rsid w:val="4E3D4EEE"/>
    <w:rsid w:val="4E3E6EDD"/>
    <w:rsid w:val="4E3E70D2"/>
    <w:rsid w:val="4E3EB1DB"/>
    <w:rsid w:val="4E3EC5F8"/>
    <w:rsid w:val="4E3ED9E0"/>
    <w:rsid w:val="4E3EDBB5"/>
    <w:rsid w:val="4E3F3CBC"/>
    <w:rsid w:val="4E3F620E"/>
    <w:rsid w:val="4E3F6F30"/>
    <w:rsid w:val="4E3FF23A"/>
    <w:rsid w:val="4E403D8B"/>
    <w:rsid w:val="4E41D845"/>
    <w:rsid w:val="4E42CCF8"/>
    <w:rsid w:val="4E43C2E5"/>
    <w:rsid w:val="4E43EE5E"/>
    <w:rsid w:val="4E443613"/>
    <w:rsid w:val="4E4453CA"/>
    <w:rsid w:val="4E446055"/>
    <w:rsid w:val="4E45B459"/>
    <w:rsid w:val="4E464CC2"/>
    <w:rsid w:val="4E48C2EE"/>
    <w:rsid w:val="4E4A5FB8"/>
    <w:rsid w:val="4E4B56E2"/>
    <w:rsid w:val="4E4C070E"/>
    <w:rsid w:val="4E4C40C4"/>
    <w:rsid w:val="4E4C954E"/>
    <w:rsid w:val="4E4CDB1F"/>
    <w:rsid w:val="4E4CE052"/>
    <w:rsid w:val="4E4CE870"/>
    <w:rsid w:val="4E4D1894"/>
    <w:rsid w:val="4E4D3554"/>
    <w:rsid w:val="4E4E5153"/>
    <w:rsid w:val="4E4E6FB8"/>
    <w:rsid w:val="4E4E7A5F"/>
    <w:rsid w:val="4E4ECC00"/>
    <w:rsid w:val="4E4F3C15"/>
    <w:rsid w:val="4E4FD29F"/>
    <w:rsid w:val="4E50488A"/>
    <w:rsid w:val="4E507579"/>
    <w:rsid w:val="4E509C57"/>
    <w:rsid w:val="4E50BCB8"/>
    <w:rsid w:val="4E50C03F"/>
    <w:rsid w:val="4E516624"/>
    <w:rsid w:val="4E516ECC"/>
    <w:rsid w:val="4E517B7F"/>
    <w:rsid w:val="4E52141F"/>
    <w:rsid w:val="4E52AD9E"/>
    <w:rsid w:val="4E52DAD6"/>
    <w:rsid w:val="4E530C8E"/>
    <w:rsid w:val="4E53B6E0"/>
    <w:rsid w:val="4E546183"/>
    <w:rsid w:val="4E550EEE"/>
    <w:rsid w:val="4E554B5F"/>
    <w:rsid w:val="4E557AC1"/>
    <w:rsid w:val="4E559FC9"/>
    <w:rsid w:val="4E55BBA0"/>
    <w:rsid w:val="4E55F78C"/>
    <w:rsid w:val="4E5624B3"/>
    <w:rsid w:val="4E5638A1"/>
    <w:rsid w:val="4E5639DF"/>
    <w:rsid w:val="4E56A39B"/>
    <w:rsid w:val="4E56C0AF"/>
    <w:rsid w:val="4E573403"/>
    <w:rsid w:val="4E57422B"/>
    <w:rsid w:val="4E577C7B"/>
    <w:rsid w:val="4E5791DE"/>
    <w:rsid w:val="4E57C0F2"/>
    <w:rsid w:val="4E581D22"/>
    <w:rsid w:val="4E592174"/>
    <w:rsid w:val="4E597995"/>
    <w:rsid w:val="4E5A6192"/>
    <w:rsid w:val="4E5A8B75"/>
    <w:rsid w:val="4E5AD58B"/>
    <w:rsid w:val="4E5B377A"/>
    <w:rsid w:val="4E5B379E"/>
    <w:rsid w:val="4E5B723F"/>
    <w:rsid w:val="4E5BC642"/>
    <w:rsid w:val="4E5C33F6"/>
    <w:rsid w:val="4E5C9563"/>
    <w:rsid w:val="4E5D954A"/>
    <w:rsid w:val="4E5DEAEC"/>
    <w:rsid w:val="4E5DEBA2"/>
    <w:rsid w:val="4E5E6FDE"/>
    <w:rsid w:val="4E5ECA42"/>
    <w:rsid w:val="4E5F500A"/>
    <w:rsid w:val="4E5F6E20"/>
    <w:rsid w:val="4E5FB851"/>
    <w:rsid w:val="4E600A3C"/>
    <w:rsid w:val="4E60E3F8"/>
    <w:rsid w:val="4E61B9F6"/>
    <w:rsid w:val="4E61EABE"/>
    <w:rsid w:val="4E620A93"/>
    <w:rsid w:val="4E62D1F5"/>
    <w:rsid w:val="4E6311F9"/>
    <w:rsid w:val="4E6323B2"/>
    <w:rsid w:val="4E634AEE"/>
    <w:rsid w:val="4E658DD6"/>
    <w:rsid w:val="4E66B206"/>
    <w:rsid w:val="4E67F8DA"/>
    <w:rsid w:val="4E68036A"/>
    <w:rsid w:val="4E6852CF"/>
    <w:rsid w:val="4E6C9646"/>
    <w:rsid w:val="4E6CFF7E"/>
    <w:rsid w:val="4E6DF577"/>
    <w:rsid w:val="4E6EF0B4"/>
    <w:rsid w:val="4E6F30E5"/>
    <w:rsid w:val="4E6FA7EA"/>
    <w:rsid w:val="4E6FC8A0"/>
    <w:rsid w:val="4E701B2D"/>
    <w:rsid w:val="4E702528"/>
    <w:rsid w:val="4E70804A"/>
    <w:rsid w:val="4E70A93E"/>
    <w:rsid w:val="4E70C078"/>
    <w:rsid w:val="4E70EEBA"/>
    <w:rsid w:val="4E71B119"/>
    <w:rsid w:val="4E72EDDF"/>
    <w:rsid w:val="4E72F41D"/>
    <w:rsid w:val="4E733F8A"/>
    <w:rsid w:val="4E73853E"/>
    <w:rsid w:val="4E73FB31"/>
    <w:rsid w:val="4E74E1BF"/>
    <w:rsid w:val="4E752E16"/>
    <w:rsid w:val="4E7544E1"/>
    <w:rsid w:val="4E76C5F0"/>
    <w:rsid w:val="4E76CFE7"/>
    <w:rsid w:val="4E7752C5"/>
    <w:rsid w:val="4E77BE4D"/>
    <w:rsid w:val="4E77CBC2"/>
    <w:rsid w:val="4E77F581"/>
    <w:rsid w:val="4E783FB0"/>
    <w:rsid w:val="4E78BF0F"/>
    <w:rsid w:val="4E78CCBC"/>
    <w:rsid w:val="4E792FCC"/>
    <w:rsid w:val="4E7970F5"/>
    <w:rsid w:val="4E79C53E"/>
    <w:rsid w:val="4E79CBA2"/>
    <w:rsid w:val="4E79D600"/>
    <w:rsid w:val="4E7AD6FA"/>
    <w:rsid w:val="4E7BD838"/>
    <w:rsid w:val="4E7BFAC0"/>
    <w:rsid w:val="4E7C55D8"/>
    <w:rsid w:val="4E7E291A"/>
    <w:rsid w:val="4E7E80A1"/>
    <w:rsid w:val="4E7ECD58"/>
    <w:rsid w:val="4E7FA496"/>
    <w:rsid w:val="4E807C68"/>
    <w:rsid w:val="4E80B156"/>
    <w:rsid w:val="4E8131D9"/>
    <w:rsid w:val="4E81CD38"/>
    <w:rsid w:val="4E81E809"/>
    <w:rsid w:val="4E820E27"/>
    <w:rsid w:val="4E82CB7C"/>
    <w:rsid w:val="4E834A4C"/>
    <w:rsid w:val="4E83C954"/>
    <w:rsid w:val="4E84498E"/>
    <w:rsid w:val="4E845B43"/>
    <w:rsid w:val="4E84CD28"/>
    <w:rsid w:val="4E855ACB"/>
    <w:rsid w:val="4E85A477"/>
    <w:rsid w:val="4E86B19D"/>
    <w:rsid w:val="4E87444C"/>
    <w:rsid w:val="4E8746B4"/>
    <w:rsid w:val="4E880A02"/>
    <w:rsid w:val="4E889FC7"/>
    <w:rsid w:val="4E89DB78"/>
    <w:rsid w:val="4E8A8C9F"/>
    <w:rsid w:val="4E8ACE65"/>
    <w:rsid w:val="4E8AEAEC"/>
    <w:rsid w:val="4E8B4756"/>
    <w:rsid w:val="4E8B76A1"/>
    <w:rsid w:val="4E8BEB19"/>
    <w:rsid w:val="4E8C4222"/>
    <w:rsid w:val="4E8E3977"/>
    <w:rsid w:val="4E8ED4E4"/>
    <w:rsid w:val="4E8F2C55"/>
    <w:rsid w:val="4E8F366E"/>
    <w:rsid w:val="4E901BCA"/>
    <w:rsid w:val="4E9029BF"/>
    <w:rsid w:val="4E9113A5"/>
    <w:rsid w:val="4E917F98"/>
    <w:rsid w:val="4E92CA34"/>
    <w:rsid w:val="4E92DBFA"/>
    <w:rsid w:val="4E92FEEA"/>
    <w:rsid w:val="4E93200D"/>
    <w:rsid w:val="4E93503F"/>
    <w:rsid w:val="4E93B0E6"/>
    <w:rsid w:val="4E93F895"/>
    <w:rsid w:val="4E93FA68"/>
    <w:rsid w:val="4E944477"/>
    <w:rsid w:val="4E94E41C"/>
    <w:rsid w:val="4E951D3F"/>
    <w:rsid w:val="4E9586F2"/>
    <w:rsid w:val="4E95B939"/>
    <w:rsid w:val="4E963E7A"/>
    <w:rsid w:val="4E967404"/>
    <w:rsid w:val="4E96BD69"/>
    <w:rsid w:val="4E975AFE"/>
    <w:rsid w:val="4E97716E"/>
    <w:rsid w:val="4E984500"/>
    <w:rsid w:val="4E9866CE"/>
    <w:rsid w:val="4E98947C"/>
    <w:rsid w:val="4E98F976"/>
    <w:rsid w:val="4E993F50"/>
    <w:rsid w:val="4E99E52B"/>
    <w:rsid w:val="4E9A1FFD"/>
    <w:rsid w:val="4E9A6BAD"/>
    <w:rsid w:val="4E9AC28E"/>
    <w:rsid w:val="4E9ADF79"/>
    <w:rsid w:val="4E9D3B9C"/>
    <w:rsid w:val="4E9DC240"/>
    <w:rsid w:val="4E9F3833"/>
    <w:rsid w:val="4E9FC88E"/>
    <w:rsid w:val="4EA0053D"/>
    <w:rsid w:val="4EA00587"/>
    <w:rsid w:val="4EA05F71"/>
    <w:rsid w:val="4EA1972B"/>
    <w:rsid w:val="4EA1C4EF"/>
    <w:rsid w:val="4EA1C53F"/>
    <w:rsid w:val="4EA21764"/>
    <w:rsid w:val="4EA252AF"/>
    <w:rsid w:val="4EA29A1D"/>
    <w:rsid w:val="4EA2F0F6"/>
    <w:rsid w:val="4EA30242"/>
    <w:rsid w:val="4EA342B1"/>
    <w:rsid w:val="4EA37629"/>
    <w:rsid w:val="4EA38E7C"/>
    <w:rsid w:val="4EA3A3F2"/>
    <w:rsid w:val="4EA6B4CB"/>
    <w:rsid w:val="4EA6D2C7"/>
    <w:rsid w:val="4EA8DD8A"/>
    <w:rsid w:val="4EA940FE"/>
    <w:rsid w:val="4EA9EEAC"/>
    <w:rsid w:val="4EAA4467"/>
    <w:rsid w:val="4EAA82D7"/>
    <w:rsid w:val="4EAA96DD"/>
    <w:rsid w:val="4EAAAD92"/>
    <w:rsid w:val="4EAB5A7C"/>
    <w:rsid w:val="4EABFC8E"/>
    <w:rsid w:val="4EAC015C"/>
    <w:rsid w:val="4EAC0DEE"/>
    <w:rsid w:val="4EAC1AF3"/>
    <w:rsid w:val="4EAC411D"/>
    <w:rsid w:val="4EACBE4E"/>
    <w:rsid w:val="4EAD97B8"/>
    <w:rsid w:val="4EADB304"/>
    <w:rsid w:val="4EAE6FEF"/>
    <w:rsid w:val="4EAF6241"/>
    <w:rsid w:val="4EAF6AE0"/>
    <w:rsid w:val="4EAF7156"/>
    <w:rsid w:val="4EAFB1DE"/>
    <w:rsid w:val="4EB0CBB8"/>
    <w:rsid w:val="4EB0E818"/>
    <w:rsid w:val="4EB128E4"/>
    <w:rsid w:val="4EB1EC6C"/>
    <w:rsid w:val="4EB3A3FC"/>
    <w:rsid w:val="4EB3DC13"/>
    <w:rsid w:val="4EB41983"/>
    <w:rsid w:val="4EB43CB6"/>
    <w:rsid w:val="4EB4E06E"/>
    <w:rsid w:val="4EB50251"/>
    <w:rsid w:val="4EB589D4"/>
    <w:rsid w:val="4EB5AD48"/>
    <w:rsid w:val="4EB60360"/>
    <w:rsid w:val="4EB67A34"/>
    <w:rsid w:val="4EB6860E"/>
    <w:rsid w:val="4EB77D24"/>
    <w:rsid w:val="4EB781BD"/>
    <w:rsid w:val="4EB84977"/>
    <w:rsid w:val="4EB8C50E"/>
    <w:rsid w:val="4EB9B292"/>
    <w:rsid w:val="4EBA3AB6"/>
    <w:rsid w:val="4EBBA7BD"/>
    <w:rsid w:val="4EBC2319"/>
    <w:rsid w:val="4EBC257B"/>
    <w:rsid w:val="4EBCB370"/>
    <w:rsid w:val="4EBD7FFC"/>
    <w:rsid w:val="4EBDA59B"/>
    <w:rsid w:val="4EBDC0F0"/>
    <w:rsid w:val="4EBE38F4"/>
    <w:rsid w:val="4EBE3939"/>
    <w:rsid w:val="4EBE5B91"/>
    <w:rsid w:val="4EBEA11B"/>
    <w:rsid w:val="4EBFB084"/>
    <w:rsid w:val="4EC06129"/>
    <w:rsid w:val="4EC0E8F0"/>
    <w:rsid w:val="4EC13D89"/>
    <w:rsid w:val="4EC16B6C"/>
    <w:rsid w:val="4EC18914"/>
    <w:rsid w:val="4EC199A8"/>
    <w:rsid w:val="4EC221B1"/>
    <w:rsid w:val="4EC24AC6"/>
    <w:rsid w:val="4EC2781B"/>
    <w:rsid w:val="4EC2D097"/>
    <w:rsid w:val="4EC34F46"/>
    <w:rsid w:val="4EC35C7F"/>
    <w:rsid w:val="4EC35F7B"/>
    <w:rsid w:val="4EC3C5FB"/>
    <w:rsid w:val="4EC4C478"/>
    <w:rsid w:val="4EC4C634"/>
    <w:rsid w:val="4EC631B3"/>
    <w:rsid w:val="4EC6919D"/>
    <w:rsid w:val="4EC6ED97"/>
    <w:rsid w:val="4EC80EED"/>
    <w:rsid w:val="4EC84FFD"/>
    <w:rsid w:val="4EC86351"/>
    <w:rsid w:val="4EC87A2D"/>
    <w:rsid w:val="4EC8B216"/>
    <w:rsid w:val="4EC8E07E"/>
    <w:rsid w:val="4EC8EC52"/>
    <w:rsid w:val="4EC935CD"/>
    <w:rsid w:val="4ECA572F"/>
    <w:rsid w:val="4ECA5A0B"/>
    <w:rsid w:val="4ECA8D26"/>
    <w:rsid w:val="4ECB010F"/>
    <w:rsid w:val="4ECB135E"/>
    <w:rsid w:val="4ECB8704"/>
    <w:rsid w:val="4ECD38B9"/>
    <w:rsid w:val="4ECD67B8"/>
    <w:rsid w:val="4ECD8BD9"/>
    <w:rsid w:val="4ECDB48E"/>
    <w:rsid w:val="4ECDE5F4"/>
    <w:rsid w:val="4ECE4BB4"/>
    <w:rsid w:val="4ECEEC06"/>
    <w:rsid w:val="4ECF6F57"/>
    <w:rsid w:val="4ECF8C68"/>
    <w:rsid w:val="4ED14139"/>
    <w:rsid w:val="4ED2B477"/>
    <w:rsid w:val="4ED2B73B"/>
    <w:rsid w:val="4ED3534A"/>
    <w:rsid w:val="4ED398AF"/>
    <w:rsid w:val="4ED41D96"/>
    <w:rsid w:val="4ED44257"/>
    <w:rsid w:val="4ED5D24D"/>
    <w:rsid w:val="4ED6A69A"/>
    <w:rsid w:val="4ED76868"/>
    <w:rsid w:val="4ED7930E"/>
    <w:rsid w:val="4ED7C3AA"/>
    <w:rsid w:val="4ED98CDD"/>
    <w:rsid w:val="4ED9C07A"/>
    <w:rsid w:val="4EDA3FA3"/>
    <w:rsid w:val="4EDA7D18"/>
    <w:rsid w:val="4EDB0F0F"/>
    <w:rsid w:val="4EDB1306"/>
    <w:rsid w:val="4EDB6CB6"/>
    <w:rsid w:val="4EDBAFAD"/>
    <w:rsid w:val="4EDBBC01"/>
    <w:rsid w:val="4EDC09DF"/>
    <w:rsid w:val="4EDC5A80"/>
    <w:rsid w:val="4EDCAA4A"/>
    <w:rsid w:val="4EDCB27B"/>
    <w:rsid w:val="4EDCDB20"/>
    <w:rsid w:val="4EDD56C1"/>
    <w:rsid w:val="4EDE8C91"/>
    <w:rsid w:val="4EDEE5F1"/>
    <w:rsid w:val="4EDF029D"/>
    <w:rsid w:val="4EDFFEBC"/>
    <w:rsid w:val="4EE0540F"/>
    <w:rsid w:val="4EE0FA28"/>
    <w:rsid w:val="4EE165AD"/>
    <w:rsid w:val="4EE1D9D3"/>
    <w:rsid w:val="4EE1F856"/>
    <w:rsid w:val="4EE2017D"/>
    <w:rsid w:val="4EE338BD"/>
    <w:rsid w:val="4EE3C28C"/>
    <w:rsid w:val="4EE4B376"/>
    <w:rsid w:val="4EE4BD74"/>
    <w:rsid w:val="4EE53FC1"/>
    <w:rsid w:val="4EE608C1"/>
    <w:rsid w:val="4EE682E1"/>
    <w:rsid w:val="4EE6EB77"/>
    <w:rsid w:val="4EE74FD0"/>
    <w:rsid w:val="4EE7B848"/>
    <w:rsid w:val="4EE7D10D"/>
    <w:rsid w:val="4EE7F206"/>
    <w:rsid w:val="4EE844F5"/>
    <w:rsid w:val="4EE846A8"/>
    <w:rsid w:val="4EE9484A"/>
    <w:rsid w:val="4EE99C56"/>
    <w:rsid w:val="4EE9DA0C"/>
    <w:rsid w:val="4EE9F15C"/>
    <w:rsid w:val="4EEA09C7"/>
    <w:rsid w:val="4EEA47B1"/>
    <w:rsid w:val="4EEB12CD"/>
    <w:rsid w:val="4EEBCFD6"/>
    <w:rsid w:val="4EEC03CC"/>
    <w:rsid w:val="4EEC9E72"/>
    <w:rsid w:val="4EECF6BD"/>
    <w:rsid w:val="4EED143F"/>
    <w:rsid w:val="4EED6316"/>
    <w:rsid w:val="4EEDAB5D"/>
    <w:rsid w:val="4EEDDD73"/>
    <w:rsid w:val="4EEE62F8"/>
    <w:rsid w:val="4EEE9A2B"/>
    <w:rsid w:val="4EEEBBF2"/>
    <w:rsid w:val="4EEF1608"/>
    <w:rsid w:val="4EEF7C0C"/>
    <w:rsid w:val="4EEFDFAB"/>
    <w:rsid w:val="4EEFF409"/>
    <w:rsid w:val="4EF05CCF"/>
    <w:rsid w:val="4EF069D0"/>
    <w:rsid w:val="4EF084E5"/>
    <w:rsid w:val="4EF0FF37"/>
    <w:rsid w:val="4EF14D6D"/>
    <w:rsid w:val="4EF19546"/>
    <w:rsid w:val="4EF1BAEB"/>
    <w:rsid w:val="4EF26DB5"/>
    <w:rsid w:val="4EF34F6D"/>
    <w:rsid w:val="4EF3745F"/>
    <w:rsid w:val="4EF3F519"/>
    <w:rsid w:val="4EF3FBD7"/>
    <w:rsid w:val="4EF55B94"/>
    <w:rsid w:val="4EF5868E"/>
    <w:rsid w:val="4EF5B3C1"/>
    <w:rsid w:val="4EF70915"/>
    <w:rsid w:val="4EF73C45"/>
    <w:rsid w:val="4EF77438"/>
    <w:rsid w:val="4EF7B779"/>
    <w:rsid w:val="4EF7FCBF"/>
    <w:rsid w:val="4EF82ABE"/>
    <w:rsid w:val="4EF8487F"/>
    <w:rsid w:val="4EF92731"/>
    <w:rsid w:val="4EF94079"/>
    <w:rsid w:val="4EF988DE"/>
    <w:rsid w:val="4EF9A898"/>
    <w:rsid w:val="4EFA2DF6"/>
    <w:rsid w:val="4EFA466D"/>
    <w:rsid w:val="4EFA9B38"/>
    <w:rsid w:val="4EFAC4EA"/>
    <w:rsid w:val="4EFB280B"/>
    <w:rsid w:val="4EFC0D18"/>
    <w:rsid w:val="4EFCD6FB"/>
    <w:rsid w:val="4EFCF3D7"/>
    <w:rsid w:val="4EFD22F6"/>
    <w:rsid w:val="4EFD740D"/>
    <w:rsid w:val="4EFDB912"/>
    <w:rsid w:val="4EFE8D6D"/>
    <w:rsid w:val="4EFE9D82"/>
    <w:rsid w:val="4EFF8497"/>
    <w:rsid w:val="4EFFAD80"/>
    <w:rsid w:val="4F007F80"/>
    <w:rsid w:val="4F016FDF"/>
    <w:rsid w:val="4F022B82"/>
    <w:rsid w:val="4F02DC0D"/>
    <w:rsid w:val="4F0341EC"/>
    <w:rsid w:val="4F034490"/>
    <w:rsid w:val="4F0419C6"/>
    <w:rsid w:val="4F044018"/>
    <w:rsid w:val="4F044E55"/>
    <w:rsid w:val="4F04915C"/>
    <w:rsid w:val="4F04F358"/>
    <w:rsid w:val="4F0579D7"/>
    <w:rsid w:val="4F06B893"/>
    <w:rsid w:val="4F06E529"/>
    <w:rsid w:val="4F06F7BF"/>
    <w:rsid w:val="4F071CF7"/>
    <w:rsid w:val="4F078A4D"/>
    <w:rsid w:val="4F07CA3E"/>
    <w:rsid w:val="4F07D425"/>
    <w:rsid w:val="4F0824AC"/>
    <w:rsid w:val="4F084A49"/>
    <w:rsid w:val="4F089593"/>
    <w:rsid w:val="4F089B98"/>
    <w:rsid w:val="4F0A07C9"/>
    <w:rsid w:val="4F0A4E8F"/>
    <w:rsid w:val="4F0B14D0"/>
    <w:rsid w:val="4F0BB134"/>
    <w:rsid w:val="4F0C4D05"/>
    <w:rsid w:val="4F0C4DB1"/>
    <w:rsid w:val="4F0C4F5D"/>
    <w:rsid w:val="4F0C8BE2"/>
    <w:rsid w:val="4F0D191D"/>
    <w:rsid w:val="4F0D2F0F"/>
    <w:rsid w:val="4F0D57EF"/>
    <w:rsid w:val="4F0FC183"/>
    <w:rsid w:val="4F1021F0"/>
    <w:rsid w:val="4F106459"/>
    <w:rsid w:val="4F10F378"/>
    <w:rsid w:val="4F110790"/>
    <w:rsid w:val="4F114725"/>
    <w:rsid w:val="4F115205"/>
    <w:rsid w:val="4F119770"/>
    <w:rsid w:val="4F120C13"/>
    <w:rsid w:val="4F131437"/>
    <w:rsid w:val="4F13472B"/>
    <w:rsid w:val="4F13D1B3"/>
    <w:rsid w:val="4F14292B"/>
    <w:rsid w:val="4F149619"/>
    <w:rsid w:val="4F15BF7B"/>
    <w:rsid w:val="4F165618"/>
    <w:rsid w:val="4F17A1D3"/>
    <w:rsid w:val="4F18091B"/>
    <w:rsid w:val="4F183D1E"/>
    <w:rsid w:val="4F1876FE"/>
    <w:rsid w:val="4F18E008"/>
    <w:rsid w:val="4F194292"/>
    <w:rsid w:val="4F1AA9E9"/>
    <w:rsid w:val="4F1B4D4A"/>
    <w:rsid w:val="4F1C775D"/>
    <w:rsid w:val="4F1C9E61"/>
    <w:rsid w:val="4F1CD01C"/>
    <w:rsid w:val="4F1D5C98"/>
    <w:rsid w:val="4F1D6984"/>
    <w:rsid w:val="4F1D6DC7"/>
    <w:rsid w:val="4F1DC543"/>
    <w:rsid w:val="4F1DC94F"/>
    <w:rsid w:val="4F1E03E8"/>
    <w:rsid w:val="4F1EB918"/>
    <w:rsid w:val="4F1EF2F4"/>
    <w:rsid w:val="4F20C06B"/>
    <w:rsid w:val="4F20EE92"/>
    <w:rsid w:val="4F211C10"/>
    <w:rsid w:val="4F215A91"/>
    <w:rsid w:val="4F218910"/>
    <w:rsid w:val="4F220B94"/>
    <w:rsid w:val="4F221036"/>
    <w:rsid w:val="4F223F28"/>
    <w:rsid w:val="4F225E01"/>
    <w:rsid w:val="4F226C4A"/>
    <w:rsid w:val="4F22FCFC"/>
    <w:rsid w:val="4F243D8C"/>
    <w:rsid w:val="4F246764"/>
    <w:rsid w:val="4F24B65A"/>
    <w:rsid w:val="4F25474E"/>
    <w:rsid w:val="4F255B62"/>
    <w:rsid w:val="4F260687"/>
    <w:rsid w:val="4F27662A"/>
    <w:rsid w:val="4F28B1A9"/>
    <w:rsid w:val="4F28B752"/>
    <w:rsid w:val="4F28D044"/>
    <w:rsid w:val="4F2979FF"/>
    <w:rsid w:val="4F298981"/>
    <w:rsid w:val="4F2AB752"/>
    <w:rsid w:val="4F2B4D76"/>
    <w:rsid w:val="4F2BAE30"/>
    <w:rsid w:val="4F2BEC5B"/>
    <w:rsid w:val="4F2D788D"/>
    <w:rsid w:val="4F2E63EC"/>
    <w:rsid w:val="4F2E7AB4"/>
    <w:rsid w:val="4F2F53E6"/>
    <w:rsid w:val="4F2FB382"/>
    <w:rsid w:val="4F30376A"/>
    <w:rsid w:val="4F30A609"/>
    <w:rsid w:val="4F3110E3"/>
    <w:rsid w:val="4F31398C"/>
    <w:rsid w:val="4F31D0BF"/>
    <w:rsid w:val="4F32231A"/>
    <w:rsid w:val="4F327F73"/>
    <w:rsid w:val="4F32EAD5"/>
    <w:rsid w:val="4F338D32"/>
    <w:rsid w:val="4F33F2C8"/>
    <w:rsid w:val="4F343C0E"/>
    <w:rsid w:val="4F343C21"/>
    <w:rsid w:val="4F345D12"/>
    <w:rsid w:val="4F34A8AC"/>
    <w:rsid w:val="4F34F791"/>
    <w:rsid w:val="4F351991"/>
    <w:rsid w:val="4F359D40"/>
    <w:rsid w:val="4F359F08"/>
    <w:rsid w:val="4F3644AA"/>
    <w:rsid w:val="4F36D9C6"/>
    <w:rsid w:val="4F36E29E"/>
    <w:rsid w:val="4F370EFD"/>
    <w:rsid w:val="4F3766A4"/>
    <w:rsid w:val="4F377FED"/>
    <w:rsid w:val="4F37A37E"/>
    <w:rsid w:val="4F39444F"/>
    <w:rsid w:val="4F39549B"/>
    <w:rsid w:val="4F39F25B"/>
    <w:rsid w:val="4F3A2D5E"/>
    <w:rsid w:val="4F3A33C7"/>
    <w:rsid w:val="4F3B148E"/>
    <w:rsid w:val="4F3B2D50"/>
    <w:rsid w:val="4F3B4993"/>
    <w:rsid w:val="4F3B61C7"/>
    <w:rsid w:val="4F3B7F7F"/>
    <w:rsid w:val="4F3BB8C0"/>
    <w:rsid w:val="4F3CC00B"/>
    <w:rsid w:val="4F3CFDA3"/>
    <w:rsid w:val="4F3D6FD1"/>
    <w:rsid w:val="4F3DBC99"/>
    <w:rsid w:val="4F3E8A1D"/>
    <w:rsid w:val="4F3EB70A"/>
    <w:rsid w:val="4F3EF9F8"/>
    <w:rsid w:val="4F3F4218"/>
    <w:rsid w:val="4F3FD11C"/>
    <w:rsid w:val="4F40B516"/>
    <w:rsid w:val="4F40EC68"/>
    <w:rsid w:val="4F412A61"/>
    <w:rsid w:val="4F41AB59"/>
    <w:rsid w:val="4F41D6BD"/>
    <w:rsid w:val="4F429239"/>
    <w:rsid w:val="4F42D6DF"/>
    <w:rsid w:val="4F42E00F"/>
    <w:rsid w:val="4F434DD7"/>
    <w:rsid w:val="4F445CF7"/>
    <w:rsid w:val="4F458BB8"/>
    <w:rsid w:val="4F45B143"/>
    <w:rsid w:val="4F4684EC"/>
    <w:rsid w:val="4F468FB7"/>
    <w:rsid w:val="4F4690AD"/>
    <w:rsid w:val="4F46DC45"/>
    <w:rsid w:val="4F47840F"/>
    <w:rsid w:val="4F47A9A7"/>
    <w:rsid w:val="4F47AB1C"/>
    <w:rsid w:val="4F47E764"/>
    <w:rsid w:val="4F498F19"/>
    <w:rsid w:val="4F4A6594"/>
    <w:rsid w:val="4F4A687D"/>
    <w:rsid w:val="4F4B9B9B"/>
    <w:rsid w:val="4F4BE792"/>
    <w:rsid w:val="4F4BECA5"/>
    <w:rsid w:val="4F4D30B6"/>
    <w:rsid w:val="4F4E2FD8"/>
    <w:rsid w:val="4F4E39BA"/>
    <w:rsid w:val="4F4ECE13"/>
    <w:rsid w:val="4F4EDD36"/>
    <w:rsid w:val="4F4EE89D"/>
    <w:rsid w:val="4F4EF876"/>
    <w:rsid w:val="4F4F0E24"/>
    <w:rsid w:val="4F4FAA0A"/>
    <w:rsid w:val="4F4FF0B0"/>
    <w:rsid w:val="4F508D07"/>
    <w:rsid w:val="4F514172"/>
    <w:rsid w:val="4F517B15"/>
    <w:rsid w:val="4F519E09"/>
    <w:rsid w:val="4F51F851"/>
    <w:rsid w:val="4F52319F"/>
    <w:rsid w:val="4F523F86"/>
    <w:rsid w:val="4F52C98E"/>
    <w:rsid w:val="4F538059"/>
    <w:rsid w:val="4F5396AD"/>
    <w:rsid w:val="4F540D30"/>
    <w:rsid w:val="4F54AF9F"/>
    <w:rsid w:val="4F55019F"/>
    <w:rsid w:val="4F550676"/>
    <w:rsid w:val="4F553AF4"/>
    <w:rsid w:val="4F557801"/>
    <w:rsid w:val="4F559854"/>
    <w:rsid w:val="4F55C68F"/>
    <w:rsid w:val="4F561C72"/>
    <w:rsid w:val="4F5690C6"/>
    <w:rsid w:val="4F56A936"/>
    <w:rsid w:val="4F57C7DA"/>
    <w:rsid w:val="4F580AE7"/>
    <w:rsid w:val="4F582345"/>
    <w:rsid w:val="4F588134"/>
    <w:rsid w:val="4F58E317"/>
    <w:rsid w:val="4F5A4852"/>
    <w:rsid w:val="4F5AC187"/>
    <w:rsid w:val="4F5B4A39"/>
    <w:rsid w:val="4F5B6BD5"/>
    <w:rsid w:val="4F5BADA4"/>
    <w:rsid w:val="4F5BC1D9"/>
    <w:rsid w:val="4F5CA5C5"/>
    <w:rsid w:val="4F5F36D8"/>
    <w:rsid w:val="4F5F46C7"/>
    <w:rsid w:val="4F5FE02E"/>
    <w:rsid w:val="4F60ED8A"/>
    <w:rsid w:val="4F617C15"/>
    <w:rsid w:val="4F61ECDE"/>
    <w:rsid w:val="4F620DC9"/>
    <w:rsid w:val="4F62E06E"/>
    <w:rsid w:val="4F635237"/>
    <w:rsid w:val="4F636F83"/>
    <w:rsid w:val="4F63AAAE"/>
    <w:rsid w:val="4F63D5C7"/>
    <w:rsid w:val="4F640299"/>
    <w:rsid w:val="4F64B6B1"/>
    <w:rsid w:val="4F65AC3D"/>
    <w:rsid w:val="4F6633C6"/>
    <w:rsid w:val="4F679793"/>
    <w:rsid w:val="4F67EDE9"/>
    <w:rsid w:val="4F693A7E"/>
    <w:rsid w:val="4F6941B1"/>
    <w:rsid w:val="4F6A2DD2"/>
    <w:rsid w:val="4F6B07D1"/>
    <w:rsid w:val="4F6B33DB"/>
    <w:rsid w:val="4F6B7668"/>
    <w:rsid w:val="4F6DF7BF"/>
    <w:rsid w:val="4F6F3FCD"/>
    <w:rsid w:val="4F6FB419"/>
    <w:rsid w:val="4F6FE838"/>
    <w:rsid w:val="4F704E46"/>
    <w:rsid w:val="4F709FD5"/>
    <w:rsid w:val="4F70C966"/>
    <w:rsid w:val="4F71A609"/>
    <w:rsid w:val="4F72548C"/>
    <w:rsid w:val="4F728CA4"/>
    <w:rsid w:val="4F73263C"/>
    <w:rsid w:val="4F73E1A7"/>
    <w:rsid w:val="4F74842B"/>
    <w:rsid w:val="4F7526DF"/>
    <w:rsid w:val="4F75925D"/>
    <w:rsid w:val="4F75A024"/>
    <w:rsid w:val="4F75B022"/>
    <w:rsid w:val="4F7637D0"/>
    <w:rsid w:val="4F764FEA"/>
    <w:rsid w:val="4F7774BA"/>
    <w:rsid w:val="4F7794B3"/>
    <w:rsid w:val="4F780F51"/>
    <w:rsid w:val="4F78148D"/>
    <w:rsid w:val="4F785B1B"/>
    <w:rsid w:val="4F792DF9"/>
    <w:rsid w:val="4F7A18A8"/>
    <w:rsid w:val="4F7A39DD"/>
    <w:rsid w:val="4F7BA42B"/>
    <w:rsid w:val="4F7D00C4"/>
    <w:rsid w:val="4F7DA110"/>
    <w:rsid w:val="4F7DA1FD"/>
    <w:rsid w:val="4F7E5431"/>
    <w:rsid w:val="4F801036"/>
    <w:rsid w:val="4F813309"/>
    <w:rsid w:val="4F814D58"/>
    <w:rsid w:val="4F81A624"/>
    <w:rsid w:val="4F829345"/>
    <w:rsid w:val="4F82C2A7"/>
    <w:rsid w:val="4F82D8CF"/>
    <w:rsid w:val="4F834269"/>
    <w:rsid w:val="4F8496F6"/>
    <w:rsid w:val="4F851E34"/>
    <w:rsid w:val="4F860A66"/>
    <w:rsid w:val="4F863282"/>
    <w:rsid w:val="4F86F17B"/>
    <w:rsid w:val="4F86F30B"/>
    <w:rsid w:val="4F8794A5"/>
    <w:rsid w:val="4F87A5C1"/>
    <w:rsid w:val="4F889A11"/>
    <w:rsid w:val="4F88B576"/>
    <w:rsid w:val="4F892177"/>
    <w:rsid w:val="4F897B67"/>
    <w:rsid w:val="4F8997C3"/>
    <w:rsid w:val="4F8A1838"/>
    <w:rsid w:val="4F8A3E76"/>
    <w:rsid w:val="4F8A5DD2"/>
    <w:rsid w:val="4F8A7CD2"/>
    <w:rsid w:val="4F8ABC79"/>
    <w:rsid w:val="4F8AC22F"/>
    <w:rsid w:val="4F8AFBAA"/>
    <w:rsid w:val="4F8B0FE4"/>
    <w:rsid w:val="4F8B2260"/>
    <w:rsid w:val="4F8B36B8"/>
    <w:rsid w:val="4F8C5EC4"/>
    <w:rsid w:val="4F8F08A0"/>
    <w:rsid w:val="4F8F2DAC"/>
    <w:rsid w:val="4F8F655B"/>
    <w:rsid w:val="4F8FA0AA"/>
    <w:rsid w:val="4F8FC3F0"/>
    <w:rsid w:val="4F9079E0"/>
    <w:rsid w:val="4F90F69A"/>
    <w:rsid w:val="4F9170A4"/>
    <w:rsid w:val="4F921E6C"/>
    <w:rsid w:val="4F926F78"/>
    <w:rsid w:val="4F93CA78"/>
    <w:rsid w:val="4F94BF59"/>
    <w:rsid w:val="4F95E894"/>
    <w:rsid w:val="4F96DD7A"/>
    <w:rsid w:val="4F972781"/>
    <w:rsid w:val="4F97E8A8"/>
    <w:rsid w:val="4F98210C"/>
    <w:rsid w:val="4F98C7CB"/>
    <w:rsid w:val="4F9957FF"/>
    <w:rsid w:val="4F9987F1"/>
    <w:rsid w:val="4F99D110"/>
    <w:rsid w:val="4F99D78A"/>
    <w:rsid w:val="4F9A0D6A"/>
    <w:rsid w:val="4F9AF45F"/>
    <w:rsid w:val="4F9B726B"/>
    <w:rsid w:val="4F9B8520"/>
    <w:rsid w:val="4F9BB1B3"/>
    <w:rsid w:val="4F9C758C"/>
    <w:rsid w:val="4F9CDBDE"/>
    <w:rsid w:val="4F9D8C4C"/>
    <w:rsid w:val="4F9E80BF"/>
    <w:rsid w:val="4F9FA06A"/>
    <w:rsid w:val="4F9FB197"/>
    <w:rsid w:val="4FA06E31"/>
    <w:rsid w:val="4FA0EE45"/>
    <w:rsid w:val="4FA10B98"/>
    <w:rsid w:val="4FA13C63"/>
    <w:rsid w:val="4FA1B514"/>
    <w:rsid w:val="4FA33211"/>
    <w:rsid w:val="4FA34B58"/>
    <w:rsid w:val="4FA3EBA1"/>
    <w:rsid w:val="4FA40CD3"/>
    <w:rsid w:val="4FA436FD"/>
    <w:rsid w:val="4FA4FD3F"/>
    <w:rsid w:val="4FA55EBA"/>
    <w:rsid w:val="4FA57F8C"/>
    <w:rsid w:val="4FA58861"/>
    <w:rsid w:val="4FA5D547"/>
    <w:rsid w:val="4FA651BA"/>
    <w:rsid w:val="4FA68040"/>
    <w:rsid w:val="4FA680C7"/>
    <w:rsid w:val="4FA68733"/>
    <w:rsid w:val="4FA6D323"/>
    <w:rsid w:val="4FA7A571"/>
    <w:rsid w:val="4FA7DAF1"/>
    <w:rsid w:val="4FA7F22C"/>
    <w:rsid w:val="4FA81C87"/>
    <w:rsid w:val="4FA837DD"/>
    <w:rsid w:val="4FA88DD0"/>
    <w:rsid w:val="4FA8EBAB"/>
    <w:rsid w:val="4FA910EC"/>
    <w:rsid w:val="4FA9312C"/>
    <w:rsid w:val="4FA93A43"/>
    <w:rsid w:val="4FAA26EC"/>
    <w:rsid w:val="4FAA4D69"/>
    <w:rsid w:val="4FAAD97D"/>
    <w:rsid w:val="4FABB825"/>
    <w:rsid w:val="4FACE76F"/>
    <w:rsid w:val="4FAD093C"/>
    <w:rsid w:val="4FAD33E8"/>
    <w:rsid w:val="4FAD7EDB"/>
    <w:rsid w:val="4FAD9A65"/>
    <w:rsid w:val="4FADCB38"/>
    <w:rsid w:val="4FAE5F26"/>
    <w:rsid w:val="4FAFF010"/>
    <w:rsid w:val="4FB00A57"/>
    <w:rsid w:val="4FB08C26"/>
    <w:rsid w:val="4FB1245B"/>
    <w:rsid w:val="4FB30A3D"/>
    <w:rsid w:val="4FB3835E"/>
    <w:rsid w:val="4FB52C87"/>
    <w:rsid w:val="4FB5B81D"/>
    <w:rsid w:val="4FB634E2"/>
    <w:rsid w:val="4FB67122"/>
    <w:rsid w:val="4FB776AF"/>
    <w:rsid w:val="4FB87A60"/>
    <w:rsid w:val="4FBAA50F"/>
    <w:rsid w:val="4FBAFEEE"/>
    <w:rsid w:val="4FBBD538"/>
    <w:rsid w:val="4FBBF490"/>
    <w:rsid w:val="4FBC7D91"/>
    <w:rsid w:val="4FBCB021"/>
    <w:rsid w:val="4FBD3303"/>
    <w:rsid w:val="4FBD886F"/>
    <w:rsid w:val="4FBE0BCA"/>
    <w:rsid w:val="4FBE295A"/>
    <w:rsid w:val="4FBE4CF5"/>
    <w:rsid w:val="4FBE6D53"/>
    <w:rsid w:val="4FBE6F95"/>
    <w:rsid w:val="4FBF7E2E"/>
    <w:rsid w:val="4FBFA874"/>
    <w:rsid w:val="4FC09BCF"/>
    <w:rsid w:val="4FC1004A"/>
    <w:rsid w:val="4FC116F1"/>
    <w:rsid w:val="4FC1BEB8"/>
    <w:rsid w:val="4FC29256"/>
    <w:rsid w:val="4FC36ABD"/>
    <w:rsid w:val="4FC458C1"/>
    <w:rsid w:val="4FC47703"/>
    <w:rsid w:val="4FC4D35D"/>
    <w:rsid w:val="4FC4DB3B"/>
    <w:rsid w:val="4FC5434B"/>
    <w:rsid w:val="4FC5A5F3"/>
    <w:rsid w:val="4FC603CB"/>
    <w:rsid w:val="4FC63E8B"/>
    <w:rsid w:val="4FC652BD"/>
    <w:rsid w:val="4FC7DD2F"/>
    <w:rsid w:val="4FC837F1"/>
    <w:rsid w:val="4FC84E67"/>
    <w:rsid w:val="4FC8DF85"/>
    <w:rsid w:val="4FC8F02E"/>
    <w:rsid w:val="4FC9B4EE"/>
    <w:rsid w:val="4FC9E502"/>
    <w:rsid w:val="4FCA1C69"/>
    <w:rsid w:val="4FCC1D73"/>
    <w:rsid w:val="4FCC42B8"/>
    <w:rsid w:val="4FCC7C96"/>
    <w:rsid w:val="4FCD3600"/>
    <w:rsid w:val="4FCE6601"/>
    <w:rsid w:val="4FCF061F"/>
    <w:rsid w:val="4FCF4ABC"/>
    <w:rsid w:val="4FCFA5EA"/>
    <w:rsid w:val="4FD03A61"/>
    <w:rsid w:val="4FD04014"/>
    <w:rsid w:val="4FD0870D"/>
    <w:rsid w:val="4FD0CC79"/>
    <w:rsid w:val="4FD16086"/>
    <w:rsid w:val="4FD21738"/>
    <w:rsid w:val="4FD2267C"/>
    <w:rsid w:val="4FD2636E"/>
    <w:rsid w:val="4FD32237"/>
    <w:rsid w:val="4FD32BCC"/>
    <w:rsid w:val="4FD3B092"/>
    <w:rsid w:val="4FD449D8"/>
    <w:rsid w:val="4FD46ADF"/>
    <w:rsid w:val="4FD4B8BA"/>
    <w:rsid w:val="4FD5755C"/>
    <w:rsid w:val="4FD5DBFB"/>
    <w:rsid w:val="4FD5F7BE"/>
    <w:rsid w:val="4FD71497"/>
    <w:rsid w:val="4FD79333"/>
    <w:rsid w:val="4FD7CE51"/>
    <w:rsid w:val="4FD7D003"/>
    <w:rsid w:val="4FD7D119"/>
    <w:rsid w:val="4FD88570"/>
    <w:rsid w:val="4FD8BD91"/>
    <w:rsid w:val="4FDA08FD"/>
    <w:rsid w:val="4FDA30E0"/>
    <w:rsid w:val="4FDAD146"/>
    <w:rsid w:val="4FDBA389"/>
    <w:rsid w:val="4FDBD194"/>
    <w:rsid w:val="4FDBE3AA"/>
    <w:rsid w:val="4FDC26EF"/>
    <w:rsid w:val="4FDDC93A"/>
    <w:rsid w:val="4FDDFB15"/>
    <w:rsid w:val="4FDE05E3"/>
    <w:rsid w:val="4FDE0851"/>
    <w:rsid w:val="4FDE44DD"/>
    <w:rsid w:val="4FDF0714"/>
    <w:rsid w:val="4FDF89D7"/>
    <w:rsid w:val="4FDFA59B"/>
    <w:rsid w:val="4FDFF4EB"/>
    <w:rsid w:val="4FE09FE8"/>
    <w:rsid w:val="4FE12B45"/>
    <w:rsid w:val="4FE185E1"/>
    <w:rsid w:val="4FE1D68A"/>
    <w:rsid w:val="4FE255AF"/>
    <w:rsid w:val="4FE2BE5E"/>
    <w:rsid w:val="4FE2D580"/>
    <w:rsid w:val="4FE36F4E"/>
    <w:rsid w:val="4FE3C25F"/>
    <w:rsid w:val="4FE51184"/>
    <w:rsid w:val="4FE52D45"/>
    <w:rsid w:val="4FE571D3"/>
    <w:rsid w:val="4FE6BDD4"/>
    <w:rsid w:val="4FE6C17D"/>
    <w:rsid w:val="4FE6F1E8"/>
    <w:rsid w:val="4FE726F1"/>
    <w:rsid w:val="4FE747B0"/>
    <w:rsid w:val="4FE7E02B"/>
    <w:rsid w:val="4FE89F88"/>
    <w:rsid w:val="4FE9B22C"/>
    <w:rsid w:val="4FE9E7FF"/>
    <w:rsid w:val="4FEA9AD1"/>
    <w:rsid w:val="4FEB1C9A"/>
    <w:rsid w:val="4FEB2574"/>
    <w:rsid w:val="4FEB8ECB"/>
    <w:rsid w:val="4FEBBFE9"/>
    <w:rsid w:val="4FEBFD9E"/>
    <w:rsid w:val="4FEC5108"/>
    <w:rsid w:val="4FEC8D9C"/>
    <w:rsid w:val="4FEE1DDE"/>
    <w:rsid w:val="4FEE3580"/>
    <w:rsid w:val="4FEF2CFD"/>
    <w:rsid w:val="4FEF4107"/>
    <w:rsid w:val="4FEF6AA8"/>
    <w:rsid w:val="4FEF98C1"/>
    <w:rsid w:val="4FEFA163"/>
    <w:rsid w:val="4FF08FCD"/>
    <w:rsid w:val="4FF28BA2"/>
    <w:rsid w:val="4FF2DB46"/>
    <w:rsid w:val="4FF2EA24"/>
    <w:rsid w:val="4FF2EA5F"/>
    <w:rsid w:val="4FF2EF78"/>
    <w:rsid w:val="4FF34685"/>
    <w:rsid w:val="4FF3491B"/>
    <w:rsid w:val="4FF36D78"/>
    <w:rsid w:val="4FF3C719"/>
    <w:rsid w:val="4FF5980F"/>
    <w:rsid w:val="4FF6081B"/>
    <w:rsid w:val="4FF75446"/>
    <w:rsid w:val="4FF77D1C"/>
    <w:rsid w:val="4FF7CAEE"/>
    <w:rsid w:val="4FF809F5"/>
    <w:rsid w:val="4FF82D5A"/>
    <w:rsid w:val="4FF8629E"/>
    <w:rsid w:val="4FF8D570"/>
    <w:rsid w:val="4FFA0232"/>
    <w:rsid w:val="4FFA8957"/>
    <w:rsid w:val="4FFB18A9"/>
    <w:rsid w:val="4FFB5861"/>
    <w:rsid w:val="4FFB88FB"/>
    <w:rsid w:val="4FFCD623"/>
    <w:rsid w:val="4FFD03A5"/>
    <w:rsid w:val="4FFDB66C"/>
    <w:rsid w:val="4FFDEB01"/>
    <w:rsid w:val="4FFEBADA"/>
    <w:rsid w:val="4FFEDDDE"/>
    <w:rsid w:val="50007E35"/>
    <w:rsid w:val="50020AC0"/>
    <w:rsid w:val="5002DD63"/>
    <w:rsid w:val="500394CD"/>
    <w:rsid w:val="5003992E"/>
    <w:rsid w:val="5003D83D"/>
    <w:rsid w:val="5004430A"/>
    <w:rsid w:val="5004B836"/>
    <w:rsid w:val="50050424"/>
    <w:rsid w:val="50060165"/>
    <w:rsid w:val="500626DD"/>
    <w:rsid w:val="50073470"/>
    <w:rsid w:val="50079595"/>
    <w:rsid w:val="5007DA18"/>
    <w:rsid w:val="5008D98B"/>
    <w:rsid w:val="50098559"/>
    <w:rsid w:val="500A55C8"/>
    <w:rsid w:val="500ABC8B"/>
    <w:rsid w:val="500B0EA8"/>
    <w:rsid w:val="500B1BBA"/>
    <w:rsid w:val="500B65EE"/>
    <w:rsid w:val="500B7609"/>
    <w:rsid w:val="500B9BFC"/>
    <w:rsid w:val="500BB3F1"/>
    <w:rsid w:val="500CC3C6"/>
    <w:rsid w:val="500D4658"/>
    <w:rsid w:val="500D466B"/>
    <w:rsid w:val="500D5621"/>
    <w:rsid w:val="500EDBB7"/>
    <w:rsid w:val="500FE3A8"/>
    <w:rsid w:val="50102D30"/>
    <w:rsid w:val="5010ADC9"/>
    <w:rsid w:val="5011FA2D"/>
    <w:rsid w:val="50124A05"/>
    <w:rsid w:val="50125539"/>
    <w:rsid w:val="5012D1FF"/>
    <w:rsid w:val="50131ECA"/>
    <w:rsid w:val="501342D4"/>
    <w:rsid w:val="5014EC54"/>
    <w:rsid w:val="50154C91"/>
    <w:rsid w:val="5016A4DD"/>
    <w:rsid w:val="5016E8A5"/>
    <w:rsid w:val="501717E8"/>
    <w:rsid w:val="50173FEF"/>
    <w:rsid w:val="50185669"/>
    <w:rsid w:val="50186ADC"/>
    <w:rsid w:val="5018B95F"/>
    <w:rsid w:val="501948BA"/>
    <w:rsid w:val="501A996D"/>
    <w:rsid w:val="501AC8C5"/>
    <w:rsid w:val="501B71D6"/>
    <w:rsid w:val="501BB02D"/>
    <w:rsid w:val="501BC7E1"/>
    <w:rsid w:val="501C1B5D"/>
    <w:rsid w:val="501D075F"/>
    <w:rsid w:val="501D38B9"/>
    <w:rsid w:val="501D3BDC"/>
    <w:rsid w:val="501E2C88"/>
    <w:rsid w:val="501F4A3F"/>
    <w:rsid w:val="501F4FA7"/>
    <w:rsid w:val="5020836F"/>
    <w:rsid w:val="50224966"/>
    <w:rsid w:val="5022F980"/>
    <w:rsid w:val="5023238D"/>
    <w:rsid w:val="5023A739"/>
    <w:rsid w:val="502447B8"/>
    <w:rsid w:val="5024C86F"/>
    <w:rsid w:val="502521AB"/>
    <w:rsid w:val="50260B2D"/>
    <w:rsid w:val="5026642D"/>
    <w:rsid w:val="50272C37"/>
    <w:rsid w:val="50274B7C"/>
    <w:rsid w:val="50284F65"/>
    <w:rsid w:val="50285029"/>
    <w:rsid w:val="502861A5"/>
    <w:rsid w:val="5028DBA2"/>
    <w:rsid w:val="50290710"/>
    <w:rsid w:val="50292D1F"/>
    <w:rsid w:val="502941A4"/>
    <w:rsid w:val="50296EC2"/>
    <w:rsid w:val="5029D7DB"/>
    <w:rsid w:val="502A38F1"/>
    <w:rsid w:val="502BD5DE"/>
    <w:rsid w:val="502BD66E"/>
    <w:rsid w:val="502BE2A3"/>
    <w:rsid w:val="502CDBF2"/>
    <w:rsid w:val="502CFA7B"/>
    <w:rsid w:val="502D291D"/>
    <w:rsid w:val="502E0FC1"/>
    <w:rsid w:val="502EA30F"/>
    <w:rsid w:val="502EE0E4"/>
    <w:rsid w:val="502F7B4F"/>
    <w:rsid w:val="502F89B1"/>
    <w:rsid w:val="503008BD"/>
    <w:rsid w:val="5030BD56"/>
    <w:rsid w:val="5030C31D"/>
    <w:rsid w:val="5030CFB9"/>
    <w:rsid w:val="503118EC"/>
    <w:rsid w:val="503165F5"/>
    <w:rsid w:val="5031A34A"/>
    <w:rsid w:val="5031C241"/>
    <w:rsid w:val="5031D957"/>
    <w:rsid w:val="503272F5"/>
    <w:rsid w:val="5032F6E8"/>
    <w:rsid w:val="5033CA9A"/>
    <w:rsid w:val="50345560"/>
    <w:rsid w:val="503564F9"/>
    <w:rsid w:val="5035B47A"/>
    <w:rsid w:val="50377943"/>
    <w:rsid w:val="5037C147"/>
    <w:rsid w:val="50385866"/>
    <w:rsid w:val="503930BE"/>
    <w:rsid w:val="50393B70"/>
    <w:rsid w:val="5039BEC5"/>
    <w:rsid w:val="5039D86A"/>
    <w:rsid w:val="503A8FE6"/>
    <w:rsid w:val="503B3138"/>
    <w:rsid w:val="503B6DA0"/>
    <w:rsid w:val="503C1291"/>
    <w:rsid w:val="503C15A1"/>
    <w:rsid w:val="503C1853"/>
    <w:rsid w:val="503D4ADB"/>
    <w:rsid w:val="503DB069"/>
    <w:rsid w:val="503DB596"/>
    <w:rsid w:val="503F1976"/>
    <w:rsid w:val="503F7510"/>
    <w:rsid w:val="503F9C91"/>
    <w:rsid w:val="503FB41C"/>
    <w:rsid w:val="503FC17A"/>
    <w:rsid w:val="50408665"/>
    <w:rsid w:val="50411A04"/>
    <w:rsid w:val="5041306B"/>
    <w:rsid w:val="5041C3A6"/>
    <w:rsid w:val="5042AE6D"/>
    <w:rsid w:val="5042EC39"/>
    <w:rsid w:val="50434AA8"/>
    <w:rsid w:val="5043502D"/>
    <w:rsid w:val="50435C76"/>
    <w:rsid w:val="5043F0FE"/>
    <w:rsid w:val="504483B3"/>
    <w:rsid w:val="5044D13D"/>
    <w:rsid w:val="5044EFCC"/>
    <w:rsid w:val="5045063B"/>
    <w:rsid w:val="50459357"/>
    <w:rsid w:val="5045F810"/>
    <w:rsid w:val="50467C08"/>
    <w:rsid w:val="5046C745"/>
    <w:rsid w:val="5046DD70"/>
    <w:rsid w:val="5046F948"/>
    <w:rsid w:val="5047156E"/>
    <w:rsid w:val="50477757"/>
    <w:rsid w:val="5047A0DF"/>
    <w:rsid w:val="5047AF6D"/>
    <w:rsid w:val="5047F7B8"/>
    <w:rsid w:val="50487AEA"/>
    <w:rsid w:val="50490E68"/>
    <w:rsid w:val="504AE8FA"/>
    <w:rsid w:val="504AF9BC"/>
    <w:rsid w:val="504B79AA"/>
    <w:rsid w:val="504C3E29"/>
    <w:rsid w:val="504CAFAC"/>
    <w:rsid w:val="504D215E"/>
    <w:rsid w:val="504DE572"/>
    <w:rsid w:val="504E0B89"/>
    <w:rsid w:val="504E3124"/>
    <w:rsid w:val="504ED83E"/>
    <w:rsid w:val="504F4EDF"/>
    <w:rsid w:val="504F81BD"/>
    <w:rsid w:val="50502EF4"/>
    <w:rsid w:val="50507017"/>
    <w:rsid w:val="505121A7"/>
    <w:rsid w:val="5051FD6C"/>
    <w:rsid w:val="50526FFC"/>
    <w:rsid w:val="5052770B"/>
    <w:rsid w:val="5052D6D3"/>
    <w:rsid w:val="5053C5B4"/>
    <w:rsid w:val="505427A8"/>
    <w:rsid w:val="50547789"/>
    <w:rsid w:val="5054AA70"/>
    <w:rsid w:val="5054ECBE"/>
    <w:rsid w:val="505560F3"/>
    <w:rsid w:val="5056219F"/>
    <w:rsid w:val="50563024"/>
    <w:rsid w:val="50563CE6"/>
    <w:rsid w:val="50564AFF"/>
    <w:rsid w:val="50565CD3"/>
    <w:rsid w:val="505664B0"/>
    <w:rsid w:val="5056BCE8"/>
    <w:rsid w:val="50573596"/>
    <w:rsid w:val="50589BC2"/>
    <w:rsid w:val="5058BEF7"/>
    <w:rsid w:val="50592C23"/>
    <w:rsid w:val="50593885"/>
    <w:rsid w:val="5059EB8C"/>
    <w:rsid w:val="505A2C2B"/>
    <w:rsid w:val="505AA906"/>
    <w:rsid w:val="505AD414"/>
    <w:rsid w:val="505C12E8"/>
    <w:rsid w:val="505E9460"/>
    <w:rsid w:val="505EF722"/>
    <w:rsid w:val="505F7C48"/>
    <w:rsid w:val="50612BAE"/>
    <w:rsid w:val="5061962D"/>
    <w:rsid w:val="5061975A"/>
    <w:rsid w:val="5062F83B"/>
    <w:rsid w:val="506317AD"/>
    <w:rsid w:val="5064839B"/>
    <w:rsid w:val="50653883"/>
    <w:rsid w:val="5066D66B"/>
    <w:rsid w:val="50672188"/>
    <w:rsid w:val="5068FCD0"/>
    <w:rsid w:val="5069C7C9"/>
    <w:rsid w:val="506B0F0E"/>
    <w:rsid w:val="506BB5DD"/>
    <w:rsid w:val="506C24E0"/>
    <w:rsid w:val="506D111D"/>
    <w:rsid w:val="506D8C3C"/>
    <w:rsid w:val="506DF34B"/>
    <w:rsid w:val="506E240E"/>
    <w:rsid w:val="506E3B06"/>
    <w:rsid w:val="506E7C49"/>
    <w:rsid w:val="506ECD8F"/>
    <w:rsid w:val="506F8176"/>
    <w:rsid w:val="50700029"/>
    <w:rsid w:val="5070BB8B"/>
    <w:rsid w:val="50715CDC"/>
    <w:rsid w:val="5071EFBD"/>
    <w:rsid w:val="50720A72"/>
    <w:rsid w:val="5072BDE0"/>
    <w:rsid w:val="5072C293"/>
    <w:rsid w:val="50731A80"/>
    <w:rsid w:val="50733755"/>
    <w:rsid w:val="50767568"/>
    <w:rsid w:val="50771057"/>
    <w:rsid w:val="5077A225"/>
    <w:rsid w:val="50783425"/>
    <w:rsid w:val="5078614B"/>
    <w:rsid w:val="50787A9A"/>
    <w:rsid w:val="5078AE40"/>
    <w:rsid w:val="5078D875"/>
    <w:rsid w:val="50792856"/>
    <w:rsid w:val="5079DFD3"/>
    <w:rsid w:val="507A3CEF"/>
    <w:rsid w:val="507A61DE"/>
    <w:rsid w:val="507B7336"/>
    <w:rsid w:val="507C6320"/>
    <w:rsid w:val="507C7601"/>
    <w:rsid w:val="507CAF2D"/>
    <w:rsid w:val="507D2AA4"/>
    <w:rsid w:val="507D7C09"/>
    <w:rsid w:val="507D96FA"/>
    <w:rsid w:val="507E43F1"/>
    <w:rsid w:val="507E5366"/>
    <w:rsid w:val="507F5E24"/>
    <w:rsid w:val="507FF0F4"/>
    <w:rsid w:val="508000A7"/>
    <w:rsid w:val="50806EB1"/>
    <w:rsid w:val="50818706"/>
    <w:rsid w:val="50823E0F"/>
    <w:rsid w:val="50823ECC"/>
    <w:rsid w:val="5083B71B"/>
    <w:rsid w:val="5083F0BE"/>
    <w:rsid w:val="5084063B"/>
    <w:rsid w:val="50843610"/>
    <w:rsid w:val="5085D0E4"/>
    <w:rsid w:val="50866CE8"/>
    <w:rsid w:val="5087AF59"/>
    <w:rsid w:val="50886E1A"/>
    <w:rsid w:val="5088AAF4"/>
    <w:rsid w:val="5088B191"/>
    <w:rsid w:val="5088B90C"/>
    <w:rsid w:val="5088FB00"/>
    <w:rsid w:val="50893581"/>
    <w:rsid w:val="50899D36"/>
    <w:rsid w:val="5089A560"/>
    <w:rsid w:val="508A9121"/>
    <w:rsid w:val="508ACF89"/>
    <w:rsid w:val="508ADAC8"/>
    <w:rsid w:val="508AFBA5"/>
    <w:rsid w:val="508B366C"/>
    <w:rsid w:val="508BC426"/>
    <w:rsid w:val="508C38ED"/>
    <w:rsid w:val="508CC154"/>
    <w:rsid w:val="508D1B2A"/>
    <w:rsid w:val="508D45D4"/>
    <w:rsid w:val="508DFD2A"/>
    <w:rsid w:val="508E33E0"/>
    <w:rsid w:val="508E86F3"/>
    <w:rsid w:val="508E932D"/>
    <w:rsid w:val="508EE879"/>
    <w:rsid w:val="508F27C4"/>
    <w:rsid w:val="508F8008"/>
    <w:rsid w:val="508FF90F"/>
    <w:rsid w:val="5090034D"/>
    <w:rsid w:val="50912CD4"/>
    <w:rsid w:val="50919974"/>
    <w:rsid w:val="509236F1"/>
    <w:rsid w:val="50933F17"/>
    <w:rsid w:val="50934657"/>
    <w:rsid w:val="50934DCA"/>
    <w:rsid w:val="5093C561"/>
    <w:rsid w:val="5093CAD8"/>
    <w:rsid w:val="5093D047"/>
    <w:rsid w:val="50940E0C"/>
    <w:rsid w:val="50943BFF"/>
    <w:rsid w:val="509484B6"/>
    <w:rsid w:val="50971DC3"/>
    <w:rsid w:val="50974D5E"/>
    <w:rsid w:val="5097E582"/>
    <w:rsid w:val="5098BBE2"/>
    <w:rsid w:val="50994477"/>
    <w:rsid w:val="50994B82"/>
    <w:rsid w:val="509A46AE"/>
    <w:rsid w:val="509AB025"/>
    <w:rsid w:val="509BCBFF"/>
    <w:rsid w:val="509DA5E2"/>
    <w:rsid w:val="509DCC43"/>
    <w:rsid w:val="509E1749"/>
    <w:rsid w:val="509E190E"/>
    <w:rsid w:val="509EB952"/>
    <w:rsid w:val="509EDC42"/>
    <w:rsid w:val="509EE479"/>
    <w:rsid w:val="509FB6BC"/>
    <w:rsid w:val="50A00B99"/>
    <w:rsid w:val="50A0D052"/>
    <w:rsid w:val="50A13C2F"/>
    <w:rsid w:val="50A1C0DC"/>
    <w:rsid w:val="50A20BA6"/>
    <w:rsid w:val="50A2A37F"/>
    <w:rsid w:val="50A2F22A"/>
    <w:rsid w:val="50A3C6BC"/>
    <w:rsid w:val="50A3E066"/>
    <w:rsid w:val="50A49A77"/>
    <w:rsid w:val="50A4FD81"/>
    <w:rsid w:val="50A51BBE"/>
    <w:rsid w:val="50A555BF"/>
    <w:rsid w:val="50A58DAB"/>
    <w:rsid w:val="50A663F5"/>
    <w:rsid w:val="50A6C478"/>
    <w:rsid w:val="50A6F566"/>
    <w:rsid w:val="50A74818"/>
    <w:rsid w:val="50A7CBEC"/>
    <w:rsid w:val="50A7EB39"/>
    <w:rsid w:val="50AA862F"/>
    <w:rsid w:val="50AAD24B"/>
    <w:rsid w:val="50AB0674"/>
    <w:rsid w:val="50ABAE99"/>
    <w:rsid w:val="50ABEBBA"/>
    <w:rsid w:val="50AC2923"/>
    <w:rsid w:val="50AC4B41"/>
    <w:rsid w:val="50AE1789"/>
    <w:rsid w:val="50AE1F45"/>
    <w:rsid w:val="50AE3E4C"/>
    <w:rsid w:val="50AECC49"/>
    <w:rsid w:val="50B01FE7"/>
    <w:rsid w:val="50B103FF"/>
    <w:rsid w:val="50B120F5"/>
    <w:rsid w:val="50B1A122"/>
    <w:rsid w:val="50B1FFB7"/>
    <w:rsid w:val="50B372E1"/>
    <w:rsid w:val="50B3958C"/>
    <w:rsid w:val="50B3A99E"/>
    <w:rsid w:val="50B59747"/>
    <w:rsid w:val="50B634A3"/>
    <w:rsid w:val="50B6AF44"/>
    <w:rsid w:val="50B720A2"/>
    <w:rsid w:val="50B77102"/>
    <w:rsid w:val="50B88ECD"/>
    <w:rsid w:val="50BA05AB"/>
    <w:rsid w:val="50BA198C"/>
    <w:rsid w:val="50BA6256"/>
    <w:rsid w:val="50BA6A1B"/>
    <w:rsid w:val="50BBC88B"/>
    <w:rsid w:val="50BCA54C"/>
    <w:rsid w:val="50BDB0EC"/>
    <w:rsid w:val="50BE0D5F"/>
    <w:rsid w:val="50BE11C5"/>
    <w:rsid w:val="50BE4616"/>
    <w:rsid w:val="50BE9D8A"/>
    <w:rsid w:val="50BEF05F"/>
    <w:rsid w:val="50C00010"/>
    <w:rsid w:val="50C07CC9"/>
    <w:rsid w:val="50C0CB26"/>
    <w:rsid w:val="50C1CA23"/>
    <w:rsid w:val="50C1D2C7"/>
    <w:rsid w:val="50C205C0"/>
    <w:rsid w:val="50C2363F"/>
    <w:rsid w:val="50C2BBEF"/>
    <w:rsid w:val="50C2BCC6"/>
    <w:rsid w:val="50C30585"/>
    <w:rsid w:val="50C32CDC"/>
    <w:rsid w:val="50C36D74"/>
    <w:rsid w:val="50C3B471"/>
    <w:rsid w:val="50C3E68D"/>
    <w:rsid w:val="50C4BFEE"/>
    <w:rsid w:val="50C51010"/>
    <w:rsid w:val="50C554B8"/>
    <w:rsid w:val="50C6E278"/>
    <w:rsid w:val="50C72DFE"/>
    <w:rsid w:val="50C73C02"/>
    <w:rsid w:val="50C74A53"/>
    <w:rsid w:val="50C8275F"/>
    <w:rsid w:val="50C8896B"/>
    <w:rsid w:val="50C8B0B0"/>
    <w:rsid w:val="50C9C245"/>
    <w:rsid w:val="50CA6DC8"/>
    <w:rsid w:val="50CA853E"/>
    <w:rsid w:val="50CAEA86"/>
    <w:rsid w:val="50CB6A3F"/>
    <w:rsid w:val="50CBC540"/>
    <w:rsid w:val="50CBE77C"/>
    <w:rsid w:val="50CBF77A"/>
    <w:rsid w:val="50CC227E"/>
    <w:rsid w:val="50CC921F"/>
    <w:rsid w:val="50CCAFAF"/>
    <w:rsid w:val="50CCCFAA"/>
    <w:rsid w:val="50CD2DB4"/>
    <w:rsid w:val="50CD9120"/>
    <w:rsid w:val="50CD988D"/>
    <w:rsid w:val="50CE0312"/>
    <w:rsid w:val="50CE5FF7"/>
    <w:rsid w:val="50CEF3CF"/>
    <w:rsid w:val="50CFC12A"/>
    <w:rsid w:val="50D0968C"/>
    <w:rsid w:val="50D14CC5"/>
    <w:rsid w:val="50D2437D"/>
    <w:rsid w:val="50D2A705"/>
    <w:rsid w:val="50D2DBD5"/>
    <w:rsid w:val="50D2EA72"/>
    <w:rsid w:val="50D33516"/>
    <w:rsid w:val="50D34156"/>
    <w:rsid w:val="50D34F51"/>
    <w:rsid w:val="50D412E8"/>
    <w:rsid w:val="50D4BAB0"/>
    <w:rsid w:val="50D541B5"/>
    <w:rsid w:val="50D6DE5B"/>
    <w:rsid w:val="50D6F59F"/>
    <w:rsid w:val="50D74766"/>
    <w:rsid w:val="50D866E8"/>
    <w:rsid w:val="50D87478"/>
    <w:rsid w:val="50D8CE5A"/>
    <w:rsid w:val="50DA03AE"/>
    <w:rsid w:val="50DA7723"/>
    <w:rsid w:val="50DACB88"/>
    <w:rsid w:val="50DB8B36"/>
    <w:rsid w:val="50DB9B8C"/>
    <w:rsid w:val="50DBED09"/>
    <w:rsid w:val="50DC03BA"/>
    <w:rsid w:val="50DC0A38"/>
    <w:rsid w:val="50DCA9C9"/>
    <w:rsid w:val="50DEBD65"/>
    <w:rsid w:val="50DF9C15"/>
    <w:rsid w:val="50E046C1"/>
    <w:rsid w:val="50E06149"/>
    <w:rsid w:val="50E1405E"/>
    <w:rsid w:val="50E1E801"/>
    <w:rsid w:val="50E1E9B3"/>
    <w:rsid w:val="50E247F9"/>
    <w:rsid w:val="50E34BD4"/>
    <w:rsid w:val="50E34CC9"/>
    <w:rsid w:val="50E35A05"/>
    <w:rsid w:val="50E4ACB3"/>
    <w:rsid w:val="50E4CFFC"/>
    <w:rsid w:val="50E5B420"/>
    <w:rsid w:val="50E5EE32"/>
    <w:rsid w:val="50E612DC"/>
    <w:rsid w:val="50E6B5A9"/>
    <w:rsid w:val="50E6F2FC"/>
    <w:rsid w:val="50E71125"/>
    <w:rsid w:val="50E74688"/>
    <w:rsid w:val="50E76244"/>
    <w:rsid w:val="50E77CA5"/>
    <w:rsid w:val="50E79D7F"/>
    <w:rsid w:val="50E7ED3C"/>
    <w:rsid w:val="50E858C1"/>
    <w:rsid w:val="50E8A0EF"/>
    <w:rsid w:val="50E95227"/>
    <w:rsid w:val="50E9CCEC"/>
    <w:rsid w:val="50E9EFFC"/>
    <w:rsid w:val="50E9F01F"/>
    <w:rsid w:val="50EA04B3"/>
    <w:rsid w:val="50EA1676"/>
    <w:rsid w:val="50EA344E"/>
    <w:rsid w:val="50EA4139"/>
    <w:rsid w:val="50EA7A33"/>
    <w:rsid w:val="50EA80C9"/>
    <w:rsid w:val="50EAA2E8"/>
    <w:rsid w:val="50EB236C"/>
    <w:rsid w:val="50EC835D"/>
    <w:rsid w:val="50ECBFF8"/>
    <w:rsid w:val="50EEA0EC"/>
    <w:rsid w:val="50F0C6D0"/>
    <w:rsid w:val="50F16ADD"/>
    <w:rsid w:val="50F22455"/>
    <w:rsid w:val="50F24B54"/>
    <w:rsid w:val="50F2C838"/>
    <w:rsid w:val="50F2D1E7"/>
    <w:rsid w:val="50F309F0"/>
    <w:rsid w:val="50F370D4"/>
    <w:rsid w:val="50F50E49"/>
    <w:rsid w:val="50F51B6E"/>
    <w:rsid w:val="50F5DC52"/>
    <w:rsid w:val="50F5ECA3"/>
    <w:rsid w:val="50F63DCD"/>
    <w:rsid w:val="50F710ED"/>
    <w:rsid w:val="50F72B16"/>
    <w:rsid w:val="50F73F6D"/>
    <w:rsid w:val="50F7D0F9"/>
    <w:rsid w:val="50F7DFE5"/>
    <w:rsid w:val="50F7E430"/>
    <w:rsid w:val="50F80F8F"/>
    <w:rsid w:val="50F8B4CA"/>
    <w:rsid w:val="50F91204"/>
    <w:rsid w:val="50F95C9F"/>
    <w:rsid w:val="50F9B2FF"/>
    <w:rsid w:val="50F9EFC9"/>
    <w:rsid w:val="50FAB44D"/>
    <w:rsid w:val="50FAC992"/>
    <w:rsid w:val="50FAF19E"/>
    <w:rsid w:val="50FB496A"/>
    <w:rsid w:val="50FBBB44"/>
    <w:rsid w:val="50FBF84B"/>
    <w:rsid w:val="50FC8028"/>
    <w:rsid w:val="50FC91FA"/>
    <w:rsid w:val="50FD220E"/>
    <w:rsid w:val="50FE2E75"/>
    <w:rsid w:val="50FEC208"/>
    <w:rsid w:val="50FFA5FB"/>
    <w:rsid w:val="51002B8E"/>
    <w:rsid w:val="510233E9"/>
    <w:rsid w:val="5102BF46"/>
    <w:rsid w:val="5102FCB9"/>
    <w:rsid w:val="51043D8C"/>
    <w:rsid w:val="510497A3"/>
    <w:rsid w:val="510516BE"/>
    <w:rsid w:val="510532F5"/>
    <w:rsid w:val="510532FF"/>
    <w:rsid w:val="5105A37F"/>
    <w:rsid w:val="5105C5FB"/>
    <w:rsid w:val="5106939F"/>
    <w:rsid w:val="5107120E"/>
    <w:rsid w:val="51075201"/>
    <w:rsid w:val="5108C93F"/>
    <w:rsid w:val="5109722A"/>
    <w:rsid w:val="5109BAC6"/>
    <w:rsid w:val="510AA484"/>
    <w:rsid w:val="510B2EBF"/>
    <w:rsid w:val="510B5787"/>
    <w:rsid w:val="510B8908"/>
    <w:rsid w:val="510B8E01"/>
    <w:rsid w:val="510C4A55"/>
    <w:rsid w:val="510CF46F"/>
    <w:rsid w:val="510D5629"/>
    <w:rsid w:val="510E2B9F"/>
    <w:rsid w:val="510EC4F1"/>
    <w:rsid w:val="510EEFD7"/>
    <w:rsid w:val="510F09DE"/>
    <w:rsid w:val="510FB2DF"/>
    <w:rsid w:val="511027B7"/>
    <w:rsid w:val="51114BBB"/>
    <w:rsid w:val="5111599C"/>
    <w:rsid w:val="511191CA"/>
    <w:rsid w:val="5111C6C8"/>
    <w:rsid w:val="51124041"/>
    <w:rsid w:val="51126FEE"/>
    <w:rsid w:val="511564C6"/>
    <w:rsid w:val="5115966D"/>
    <w:rsid w:val="5115E2E7"/>
    <w:rsid w:val="5115E524"/>
    <w:rsid w:val="5119B4AB"/>
    <w:rsid w:val="511A0CCF"/>
    <w:rsid w:val="511A3E47"/>
    <w:rsid w:val="511A8FBB"/>
    <w:rsid w:val="511B906C"/>
    <w:rsid w:val="511BF982"/>
    <w:rsid w:val="511D59D9"/>
    <w:rsid w:val="511D702E"/>
    <w:rsid w:val="511DBEA2"/>
    <w:rsid w:val="511E5618"/>
    <w:rsid w:val="511F1240"/>
    <w:rsid w:val="511F9C6E"/>
    <w:rsid w:val="511FCE59"/>
    <w:rsid w:val="512022C0"/>
    <w:rsid w:val="51204157"/>
    <w:rsid w:val="51209E4D"/>
    <w:rsid w:val="51211FAF"/>
    <w:rsid w:val="51214990"/>
    <w:rsid w:val="512188B5"/>
    <w:rsid w:val="51219B27"/>
    <w:rsid w:val="5121EEE5"/>
    <w:rsid w:val="5122C118"/>
    <w:rsid w:val="5122F330"/>
    <w:rsid w:val="5123EC6C"/>
    <w:rsid w:val="5124B085"/>
    <w:rsid w:val="5124B391"/>
    <w:rsid w:val="51253EB6"/>
    <w:rsid w:val="51256181"/>
    <w:rsid w:val="51286C4E"/>
    <w:rsid w:val="51287FA6"/>
    <w:rsid w:val="5128E6DB"/>
    <w:rsid w:val="5129386A"/>
    <w:rsid w:val="5129F422"/>
    <w:rsid w:val="512A9D2D"/>
    <w:rsid w:val="512AB3A4"/>
    <w:rsid w:val="512B4408"/>
    <w:rsid w:val="512B9E71"/>
    <w:rsid w:val="512C40FA"/>
    <w:rsid w:val="512CC227"/>
    <w:rsid w:val="512DBF0F"/>
    <w:rsid w:val="512DD609"/>
    <w:rsid w:val="512EA16F"/>
    <w:rsid w:val="512EA271"/>
    <w:rsid w:val="512F1160"/>
    <w:rsid w:val="512F42C9"/>
    <w:rsid w:val="512FC62E"/>
    <w:rsid w:val="5130464C"/>
    <w:rsid w:val="5130F9CE"/>
    <w:rsid w:val="51326C06"/>
    <w:rsid w:val="5133F12A"/>
    <w:rsid w:val="5134815C"/>
    <w:rsid w:val="5134A725"/>
    <w:rsid w:val="51359033"/>
    <w:rsid w:val="5135FF7E"/>
    <w:rsid w:val="51361522"/>
    <w:rsid w:val="5136DCB2"/>
    <w:rsid w:val="51384CE4"/>
    <w:rsid w:val="513885B4"/>
    <w:rsid w:val="5138A696"/>
    <w:rsid w:val="5138E1CA"/>
    <w:rsid w:val="5139DED3"/>
    <w:rsid w:val="513A1EE4"/>
    <w:rsid w:val="513A7514"/>
    <w:rsid w:val="513AB7F0"/>
    <w:rsid w:val="513ADDC7"/>
    <w:rsid w:val="513B13E6"/>
    <w:rsid w:val="513B56C3"/>
    <w:rsid w:val="513B64D6"/>
    <w:rsid w:val="513BC634"/>
    <w:rsid w:val="513C12E6"/>
    <w:rsid w:val="513C1738"/>
    <w:rsid w:val="513CB034"/>
    <w:rsid w:val="513E5244"/>
    <w:rsid w:val="513E9515"/>
    <w:rsid w:val="513F1343"/>
    <w:rsid w:val="513F841F"/>
    <w:rsid w:val="513FC979"/>
    <w:rsid w:val="51403933"/>
    <w:rsid w:val="514131D6"/>
    <w:rsid w:val="51413826"/>
    <w:rsid w:val="514292B8"/>
    <w:rsid w:val="5142945C"/>
    <w:rsid w:val="514364C2"/>
    <w:rsid w:val="514410A5"/>
    <w:rsid w:val="5144F28A"/>
    <w:rsid w:val="51450BFA"/>
    <w:rsid w:val="51457188"/>
    <w:rsid w:val="514589C7"/>
    <w:rsid w:val="51459E14"/>
    <w:rsid w:val="5145B689"/>
    <w:rsid w:val="5145C731"/>
    <w:rsid w:val="514623F1"/>
    <w:rsid w:val="5146BEBC"/>
    <w:rsid w:val="51477BB8"/>
    <w:rsid w:val="5147C4D6"/>
    <w:rsid w:val="5147DEEA"/>
    <w:rsid w:val="51487BE8"/>
    <w:rsid w:val="5148D6BB"/>
    <w:rsid w:val="514B1D33"/>
    <w:rsid w:val="514B9FD3"/>
    <w:rsid w:val="514DF43C"/>
    <w:rsid w:val="514E0CB5"/>
    <w:rsid w:val="514F4A5C"/>
    <w:rsid w:val="51507D51"/>
    <w:rsid w:val="515104A4"/>
    <w:rsid w:val="515192AB"/>
    <w:rsid w:val="515247BE"/>
    <w:rsid w:val="51546E00"/>
    <w:rsid w:val="5154FB9B"/>
    <w:rsid w:val="5155A89B"/>
    <w:rsid w:val="51571C94"/>
    <w:rsid w:val="51575BED"/>
    <w:rsid w:val="515798A3"/>
    <w:rsid w:val="5158433C"/>
    <w:rsid w:val="51592F43"/>
    <w:rsid w:val="51599D06"/>
    <w:rsid w:val="5159A00A"/>
    <w:rsid w:val="515AA179"/>
    <w:rsid w:val="515AFC44"/>
    <w:rsid w:val="515B5AD6"/>
    <w:rsid w:val="515C370A"/>
    <w:rsid w:val="515D167D"/>
    <w:rsid w:val="515D2B4E"/>
    <w:rsid w:val="515E4B73"/>
    <w:rsid w:val="515E9240"/>
    <w:rsid w:val="515E9869"/>
    <w:rsid w:val="515E997D"/>
    <w:rsid w:val="515F9187"/>
    <w:rsid w:val="51609D21"/>
    <w:rsid w:val="51620C01"/>
    <w:rsid w:val="5162C400"/>
    <w:rsid w:val="51632392"/>
    <w:rsid w:val="516362BD"/>
    <w:rsid w:val="5163874B"/>
    <w:rsid w:val="5163C80D"/>
    <w:rsid w:val="51644CC0"/>
    <w:rsid w:val="5164A602"/>
    <w:rsid w:val="5165001D"/>
    <w:rsid w:val="51654304"/>
    <w:rsid w:val="51654D61"/>
    <w:rsid w:val="5165C641"/>
    <w:rsid w:val="516701CE"/>
    <w:rsid w:val="51673186"/>
    <w:rsid w:val="5167459D"/>
    <w:rsid w:val="51677DCC"/>
    <w:rsid w:val="516981C9"/>
    <w:rsid w:val="5169A2A1"/>
    <w:rsid w:val="5169C624"/>
    <w:rsid w:val="516A494D"/>
    <w:rsid w:val="516A88E3"/>
    <w:rsid w:val="516AA698"/>
    <w:rsid w:val="516DEAA4"/>
    <w:rsid w:val="516DFC6E"/>
    <w:rsid w:val="516E0E79"/>
    <w:rsid w:val="516E9D42"/>
    <w:rsid w:val="516EE0C9"/>
    <w:rsid w:val="516F83AF"/>
    <w:rsid w:val="517026DF"/>
    <w:rsid w:val="51707A31"/>
    <w:rsid w:val="5172395B"/>
    <w:rsid w:val="51726E2E"/>
    <w:rsid w:val="517285AA"/>
    <w:rsid w:val="5172C6AE"/>
    <w:rsid w:val="5173A463"/>
    <w:rsid w:val="5173C866"/>
    <w:rsid w:val="51745162"/>
    <w:rsid w:val="517463EF"/>
    <w:rsid w:val="5174CC2E"/>
    <w:rsid w:val="517540FD"/>
    <w:rsid w:val="51774AA4"/>
    <w:rsid w:val="5177B4FD"/>
    <w:rsid w:val="5177EDA0"/>
    <w:rsid w:val="51780B6B"/>
    <w:rsid w:val="5178582E"/>
    <w:rsid w:val="5178DAB6"/>
    <w:rsid w:val="517996ED"/>
    <w:rsid w:val="51799AE6"/>
    <w:rsid w:val="517A4877"/>
    <w:rsid w:val="517A6852"/>
    <w:rsid w:val="517B6F8E"/>
    <w:rsid w:val="517BDA80"/>
    <w:rsid w:val="517C3B6D"/>
    <w:rsid w:val="517CC31B"/>
    <w:rsid w:val="517CD28C"/>
    <w:rsid w:val="517D3CC9"/>
    <w:rsid w:val="517D55C4"/>
    <w:rsid w:val="517DC0F4"/>
    <w:rsid w:val="517DF318"/>
    <w:rsid w:val="517EEDC9"/>
    <w:rsid w:val="5180223A"/>
    <w:rsid w:val="5180C70A"/>
    <w:rsid w:val="5181BC8A"/>
    <w:rsid w:val="51820591"/>
    <w:rsid w:val="51834159"/>
    <w:rsid w:val="5183E4C9"/>
    <w:rsid w:val="5183E88B"/>
    <w:rsid w:val="51850D9E"/>
    <w:rsid w:val="5185F2BF"/>
    <w:rsid w:val="518673B6"/>
    <w:rsid w:val="5186A3CE"/>
    <w:rsid w:val="51870FDA"/>
    <w:rsid w:val="51876628"/>
    <w:rsid w:val="518790D8"/>
    <w:rsid w:val="5188899C"/>
    <w:rsid w:val="51888DF3"/>
    <w:rsid w:val="5188C8C3"/>
    <w:rsid w:val="5188FE69"/>
    <w:rsid w:val="518A5227"/>
    <w:rsid w:val="518B52A8"/>
    <w:rsid w:val="518B92D5"/>
    <w:rsid w:val="518C4002"/>
    <w:rsid w:val="518C94D9"/>
    <w:rsid w:val="518CBD9F"/>
    <w:rsid w:val="518CFD82"/>
    <w:rsid w:val="518E0F37"/>
    <w:rsid w:val="518E346E"/>
    <w:rsid w:val="518F7373"/>
    <w:rsid w:val="518F8857"/>
    <w:rsid w:val="518FD5EA"/>
    <w:rsid w:val="5190E118"/>
    <w:rsid w:val="51910DCB"/>
    <w:rsid w:val="5192EB2C"/>
    <w:rsid w:val="519312AE"/>
    <w:rsid w:val="51936664"/>
    <w:rsid w:val="5193A04D"/>
    <w:rsid w:val="5194612D"/>
    <w:rsid w:val="51949780"/>
    <w:rsid w:val="519618F2"/>
    <w:rsid w:val="51978DAC"/>
    <w:rsid w:val="5197A342"/>
    <w:rsid w:val="5197C3F6"/>
    <w:rsid w:val="51985080"/>
    <w:rsid w:val="5198530C"/>
    <w:rsid w:val="51986B15"/>
    <w:rsid w:val="5198EADB"/>
    <w:rsid w:val="5198F3AA"/>
    <w:rsid w:val="519ABF74"/>
    <w:rsid w:val="519B4326"/>
    <w:rsid w:val="519BFB6E"/>
    <w:rsid w:val="519C720F"/>
    <w:rsid w:val="519C743A"/>
    <w:rsid w:val="519CCE97"/>
    <w:rsid w:val="519CD982"/>
    <w:rsid w:val="519D8FA4"/>
    <w:rsid w:val="519DA149"/>
    <w:rsid w:val="519F7F62"/>
    <w:rsid w:val="51A0225F"/>
    <w:rsid w:val="51A1A272"/>
    <w:rsid w:val="51A30E62"/>
    <w:rsid w:val="51A3DB2B"/>
    <w:rsid w:val="51A4FC28"/>
    <w:rsid w:val="51A5228B"/>
    <w:rsid w:val="51A57684"/>
    <w:rsid w:val="51A59F0D"/>
    <w:rsid w:val="51A70637"/>
    <w:rsid w:val="51A71FE1"/>
    <w:rsid w:val="51A7499C"/>
    <w:rsid w:val="51A76C7D"/>
    <w:rsid w:val="51A78637"/>
    <w:rsid w:val="51A81BF6"/>
    <w:rsid w:val="51A834B9"/>
    <w:rsid w:val="51A85B61"/>
    <w:rsid w:val="51A979D0"/>
    <w:rsid w:val="51AC0A9F"/>
    <w:rsid w:val="51AC26A6"/>
    <w:rsid w:val="51AC2847"/>
    <w:rsid w:val="51AC601E"/>
    <w:rsid w:val="51AC9E78"/>
    <w:rsid w:val="51AD1804"/>
    <w:rsid w:val="51ADBFF8"/>
    <w:rsid w:val="51AE0ADB"/>
    <w:rsid w:val="51AE559B"/>
    <w:rsid w:val="51AEFDB1"/>
    <w:rsid w:val="51AF0759"/>
    <w:rsid w:val="51AFA0BB"/>
    <w:rsid w:val="51B0074E"/>
    <w:rsid w:val="51B05179"/>
    <w:rsid w:val="51B09E85"/>
    <w:rsid w:val="51B0C4A7"/>
    <w:rsid w:val="51B14229"/>
    <w:rsid w:val="51B18051"/>
    <w:rsid w:val="51B1C4A6"/>
    <w:rsid w:val="51B1DDC7"/>
    <w:rsid w:val="51B2FFA7"/>
    <w:rsid w:val="51B43E4A"/>
    <w:rsid w:val="51B4C38D"/>
    <w:rsid w:val="51B4CD23"/>
    <w:rsid w:val="51B4FA03"/>
    <w:rsid w:val="51B5AE25"/>
    <w:rsid w:val="51B64593"/>
    <w:rsid w:val="51B653CF"/>
    <w:rsid w:val="51B6CCB5"/>
    <w:rsid w:val="51B719B7"/>
    <w:rsid w:val="51B7A876"/>
    <w:rsid w:val="51B8078F"/>
    <w:rsid w:val="51B84FA5"/>
    <w:rsid w:val="51B87BDB"/>
    <w:rsid w:val="51B9A673"/>
    <w:rsid w:val="51B9FCA2"/>
    <w:rsid w:val="51BA2553"/>
    <w:rsid w:val="51BA723D"/>
    <w:rsid w:val="51BB159A"/>
    <w:rsid w:val="51BB1DA6"/>
    <w:rsid w:val="51BB3D0E"/>
    <w:rsid w:val="51BC90AA"/>
    <w:rsid w:val="51BCA2EA"/>
    <w:rsid w:val="51BD9B86"/>
    <w:rsid w:val="51BDB27C"/>
    <w:rsid w:val="51BF554C"/>
    <w:rsid w:val="51BF5C40"/>
    <w:rsid w:val="51BFE18C"/>
    <w:rsid w:val="51C05151"/>
    <w:rsid w:val="51C0B7F9"/>
    <w:rsid w:val="51C1972D"/>
    <w:rsid w:val="51C2A024"/>
    <w:rsid w:val="51C2A291"/>
    <w:rsid w:val="51C46EDE"/>
    <w:rsid w:val="51C46FCC"/>
    <w:rsid w:val="51C48298"/>
    <w:rsid w:val="51C4BA05"/>
    <w:rsid w:val="51C53E61"/>
    <w:rsid w:val="51C56F60"/>
    <w:rsid w:val="51C587CA"/>
    <w:rsid w:val="51C5C3CC"/>
    <w:rsid w:val="51C73424"/>
    <w:rsid w:val="51C78B34"/>
    <w:rsid w:val="51C78B67"/>
    <w:rsid w:val="51C79E19"/>
    <w:rsid w:val="51C7ADA2"/>
    <w:rsid w:val="51C7BDE0"/>
    <w:rsid w:val="51C7C4A7"/>
    <w:rsid w:val="51C8272E"/>
    <w:rsid w:val="51C835CD"/>
    <w:rsid w:val="51C895A1"/>
    <w:rsid w:val="51C8B633"/>
    <w:rsid w:val="51C9F50F"/>
    <w:rsid w:val="51CC85E7"/>
    <w:rsid w:val="51CCB34B"/>
    <w:rsid w:val="51CDAE5D"/>
    <w:rsid w:val="51CEFE0A"/>
    <w:rsid w:val="51CF278F"/>
    <w:rsid w:val="51CFD194"/>
    <w:rsid w:val="51CFED08"/>
    <w:rsid w:val="51D07503"/>
    <w:rsid w:val="51D0BCD2"/>
    <w:rsid w:val="51D2D87C"/>
    <w:rsid w:val="51D2FC07"/>
    <w:rsid w:val="51D341D6"/>
    <w:rsid w:val="51D37AA2"/>
    <w:rsid w:val="51D3ACF4"/>
    <w:rsid w:val="51D40705"/>
    <w:rsid w:val="51D49CF5"/>
    <w:rsid w:val="51D51689"/>
    <w:rsid w:val="51D52D66"/>
    <w:rsid w:val="51D5558B"/>
    <w:rsid w:val="51D6A7C4"/>
    <w:rsid w:val="51D6C8CE"/>
    <w:rsid w:val="51D6CD22"/>
    <w:rsid w:val="51D6D797"/>
    <w:rsid w:val="51D73D2A"/>
    <w:rsid w:val="51D75310"/>
    <w:rsid w:val="51D7B429"/>
    <w:rsid w:val="51D8FE8B"/>
    <w:rsid w:val="51D94C77"/>
    <w:rsid w:val="51DA163A"/>
    <w:rsid w:val="51DA3705"/>
    <w:rsid w:val="51DA53FF"/>
    <w:rsid w:val="51DA6826"/>
    <w:rsid w:val="51DAC32B"/>
    <w:rsid w:val="51DB2DAB"/>
    <w:rsid w:val="51DB98FD"/>
    <w:rsid w:val="51DB9B55"/>
    <w:rsid w:val="51DBD6B2"/>
    <w:rsid w:val="51DC8C02"/>
    <w:rsid w:val="51DC923A"/>
    <w:rsid w:val="51DCEC3C"/>
    <w:rsid w:val="51DCF9E0"/>
    <w:rsid w:val="51DD0E64"/>
    <w:rsid w:val="51DD1BBC"/>
    <w:rsid w:val="51DD6292"/>
    <w:rsid w:val="51DD9BA4"/>
    <w:rsid w:val="51DE2452"/>
    <w:rsid w:val="51DFE350"/>
    <w:rsid w:val="51E06755"/>
    <w:rsid w:val="51E087E5"/>
    <w:rsid w:val="51E0A3A7"/>
    <w:rsid w:val="51E0F7C9"/>
    <w:rsid w:val="51E11A2C"/>
    <w:rsid w:val="51E11D5E"/>
    <w:rsid w:val="51E12FD7"/>
    <w:rsid w:val="51E154AA"/>
    <w:rsid w:val="51E21719"/>
    <w:rsid w:val="51E2E70F"/>
    <w:rsid w:val="51E2E9A4"/>
    <w:rsid w:val="51E3DCAB"/>
    <w:rsid w:val="51E425D5"/>
    <w:rsid w:val="51E44C16"/>
    <w:rsid w:val="51E4784D"/>
    <w:rsid w:val="51E4E1FF"/>
    <w:rsid w:val="51E72264"/>
    <w:rsid w:val="51E77A9E"/>
    <w:rsid w:val="51E82CC2"/>
    <w:rsid w:val="51E855E7"/>
    <w:rsid w:val="51E8C951"/>
    <w:rsid w:val="51E99AC7"/>
    <w:rsid w:val="51EA09EC"/>
    <w:rsid w:val="51EA5587"/>
    <w:rsid w:val="51EA630D"/>
    <w:rsid w:val="51EB5B96"/>
    <w:rsid w:val="51EB785E"/>
    <w:rsid w:val="51EBD4E3"/>
    <w:rsid w:val="51ECD460"/>
    <w:rsid w:val="51ECDB24"/>
    <w:rsid w:val="51ED228A"/>
    <w:rsid w:val="51ED7C43"/>
    <w:rsid w:val="51ED913E"/>
    <w:rsid w:val="51ED9856"/>
    <w:rsid w:val="51EDCC86"/>
    <w:rsid w:val="51EDE531"/>
    <w:rsid w:val="51EE86AC"/>
    <w:rsid w:val="51EEA6E1"/>
    <w:rsid w:val="51EEE0A0"/>
    <w:rsid w:val="51EF8A8C"/>
    <w:rsid w:val="51F017CB"/>
    <w:rsid w:val="51F0767C"/>
    <w:rsid w:val="51F0F570"/>
    <w:rsid w:val="51F17D3C"/>
    <w:rsid w:val="51F199EF"/>
    <w:rsid w:val="51F1D8D2"/>
    <w:rsid w:val="51F242ED"/>
    <w:rsid w:val="51F288B6"/>
    <w:rsid w:val="51F2BCF4"/>
    <w:rsid w:val="51F3648A"/>
    <w:rsid w:val="51F3A48C"/>
    <w:rsid w:val="51F4699A"/>
    <w:rsid w:val="51F4C7F4"/>
    <w:rsid w:val="51F4C9CB"/>
    <w:rsid w:val="51F4D276"/>
    <w:rsid w:val="51F53372"/>
    <w:rsid w:val="51F6719C"/>
    <w:rsid w:val="51F698C9"/>
    <w:rsid w:val="51F6B602"/>
    <w:rsid w:val="51F712E3"/>
    <w:rsid w:val="51F74E12"/>
    <w:rsid w:val="51F7B646"/>
    <w:rsid w:val="51F81EAC"/>
    <w:rsid w:val="51F829F3"/>
    <w:rsid w:val="51F85DDB"/>
    <w:rsid w:val="51F86A8C"/>
    <w:rsid w:val="51F8F47A"/>
    <w:rsid w:val="51F8FE6F"/>
    <w:rsid w:val="51F96857"/>
    <w:rsid w:val="51FB06B7"/>
    <w:rsid w:val="51FC37D1"/>
    <w:rsid w:val="51FCB00A"/>
    <w:rsid w:val="51FCD4EA"/>
    <w:rsid w:val="51FE5CDE"/>
    <w:rsid w:val="51FEB89E"/>
    <w:rsid w:val="51FFD2A9"/>
    <w:rsid w:val="51FFDED8"/>
    <w:rsid w:val="51FFE053"/>
    <w:rsid w:val="52007D57"/>
    <w:rsid w:val="5201B67C"/>
    <w:rsid w:val="52022892"/>
    <w:rsid w:val="5202AE60"/>
    <w:rsid w:val="52032738"/>
    <w:rsid w:val="520360D0"/>
    <w:rsid w:val="52038219"/>
    <w:rsid w:val="5203938D"/>
    <w:rsid w:val="52050DE3"/>
    <w:rsid w:val="5205BBB2"/>
    <w:rsid w:val="520600E7"/>
    <w:rsid w:val="52062302"/>
    <w:rsid w:val="52064ECB"/>
    <w:rsid w:val="52067639"/>
    <w:rsid w:val="5207A07E"/>
    <w:rsid w:val="5208863E"/>
    <w:rsid w:val="520909C1"/>
    <w:rsid w:val="5209238B"/>
    <w:rsid w:val="520AE85E"/>
    <w:rsid w:val="520BADE8"/>
    <w:rsid w:val="520CA539"/>
    <w:rsid w:val="520CE429"/>
    <w:rsid w:val="520D071D"/>
    <w:rsid w:val="520D4BBD"/>
    <w:rsid w:val="520D79C3"/>
    <w:rsid w:val="520E3A88"/>
    <w:rsid w:val="520E8A11"/>
    <w:rsid w:val="520F03A8"/>
    <w:rsid w:val="520F9756"/>
    <w:rsid w:val="520FE7DC"/>
    <w:rsid w:val="521069CB"/>
    <w:rsid w:val="52109CD7"/>
    <w:rsid w:val="52110CF3"/>
    <w:rsid w:val="52116090"/>
    <w:rsid w:val="52127FE0"/>
    <w:rsid w:val="5212F646"/>
    <w:rsid w:val="521398B8"/>
    <w:rsid w:val="5213CC52"/>
    <w:rsid w:val="52141581"/>
    <w:rsid w:val="52149A72"/>
    <w:rsid w:val="5214BA62"/>
    <w:rsid w:val="5214FF09"/>
    <w:rsid w:val="5215740E"/>
    <w:rsid w:val="5215919A"/>
    <w:rsid w:val="5215F02E"/>
    <w:rsid w:val="5216BA50"/>
    <w:rsid w:val="5216DE84"/>
    <w:rsid w:val="52170DCE"/>
    <w:rsid w:val="52185D03"/>
    <w:rsid w:val="52189C0F"/>
    <w:rsid w:val="5218EDF3"/>
    <w:rsid w:val="521999BE"/>
    <w:rsid w:val="5219AF12"/>
    <w:rsid w:val="521A0DAC"/>
    <w:rsid w:val="521A2277"/>
    <w:rsid w:val="521A41E2"/>
    <w:rsid w:val="521A48B3"/>
    <w:rsid w:val="521AC86C"/>
    <w:rsid w:val="521AE536"/>
    <w:rsid w:val="521B2836"/>
    <w:rsid w:val="521B55FE"/>
    <w:rsid w:val="521B67A1"/>
    <w:rsid w:val="521BFF1A"/>
    <w:rsid w:val="521C35D0"/>
    <w:rsid w:val="521F4CF4"/>
    <w:rsid w:val="5220C7AB"/>
    <w:rsid w:val="522177A6"/>
    <w:rsid w:val="52225497"/>
    <w:rsid w:val="5222909A"/>
    <w:rsid w:val="522295DE"/>
    <w:rsid w:val="5223AB6B"/>
    <w:rsid w:val="5223ECD2"/>
    <w:rsid w:val="5224114D"/>
    <w:rsid w:val="52244513"/>
    <w:rsid w:val="52245B21"/>
    <w:rsid w:val="5224AE8E"/>
    <w:rsid w:val="52251417"/>
    <w:rsid w:val="5225423D"/>
    <w:rsid w:val="52263576"/>
    <w:rsid w:val="522677D7"/>
    <w:rsid w:val="52270796"/>
    <w:rsid w:val="5227377F"/>
    <w:rsid w:val="5227C0A3"/>
    <w:rsid w:val="52290DAA"/>
    <w:rsid w:val="52297B1E"/>
    <w:rsid w:val="52298B4C"/>
    <w:rsid w:val="5229B484"/>
    <w:rsid w:val="5229CBE6"/>
    <w:rsid w:val="522A2367"/>
    <w:rsid w:val="522A48B0"/>
    <w:rsid w:val="522A671E"/>
    <w:rsid w:val="522AA1C2"/>
    <w:rsid w:val="522B3DF3"/>
    <w:rsid w:val="522B8410"/>
    <w:rsid w:val="522BBEDE"/>
    <w:rsid w:val="522C3A15"/>
    <w:rsid w:val="522C6927"/>
    <w:rsid w:val="522C71CD"/>
    <w:rsid w:val="522C9960"/>
    <w:rsid w:val="522CC111"/>
    <w:rsid w:val="522DDC56"/>
    <w:rsid w:val="522E1F4D"/>
    <w:rsid w:val="522EB064"/>
    <w:rsid w:val="522EDA5C"/>
    <w:rsid w:val="522F0DE0"/>
    <w:rsid w:val="523092D3"/>
    <w:rsid w:val="5230BD9A"/>
    <w:rsid w:val="5230C903"/>
    <w:rsid w:val="5231383C"/>
    <w:rsid w:val="523191B6"/>
    <w:rsid w:val="5231DA33"/>
    <w:rsid w:val="52327F0A"/>
    <w:rsid w:val="5232FBF8"/>
    <w:rsid w:val="5233A349"/>
    <w:rsid w:val="5233AD84"/>
    <w:rsid w:val="52345D72"/>
    <w:rsid w:val="5234C78D"/>
    <w:rsid w:val="5234F7B8"/>
    <w:rsid w:val="52357616"/>
    <w:rsid w:val="52361BFC"/>
    <w:rsid w:val="52363D4D"/>
    <w:rsid w:val="52378371"/>
    <w:rsid w:val="523841E7"/>
    <w:rsid w:val="5239273D"/>
    <w:rsid w:val="523A9391"/>
    <w:rsid w:val="523BD4FD"/>
    <w:rsid w:val="523D2E3C"/>
    <w:rsid w:val="523EC690"/>
    <w:rsid w:val="524000F0"/>
    <w:rsid w:val="5240F83C"/>
    <w:rsid w:val="5241354C"/>
    <w:rsid w:val="524196C0"/>
    <w:rsid w:val="5241CAC1"/>
    <w:rsid w:val="5242167A"/>
    <w:rsid w:val="524240B2"/>
    <w:rsid w:val="524286A0"/>
    <w:rsid w:val="5242DC4E"/>
    <w:rsid w:val="5242E73E"/>
    <w:rsid w:val="524378F8"/>
    <w:rsid w:val="5243E56D"/>
    <w:rsid w:val="52441A37"/>
    <w:rsid w:val="52444346"/>
    <w:rsid w:val="5244B470"/>
    <w:rsid w:val="5244EBD1"/>
    <w:rsid w:val="5245045A"/>
    <w:rsid w:val="5245200C"/>
    <w:rsid w:val="52463D1F"/>
    <w:rsid w:val="52467846"/>
    <w:rsid w:val="52471AEB"/>
    <w:rsid w:val="52494447"/>
    <w:rsid w:val="5249DF06"/>
    <w:rsid w:val="524A3467"/>
    <w:rsid w:val="524AC30A"/>
    <w:rsid w:val="524B578A"/>
    <w:rsid w:val="524CFB6D"/>
    <w:rsid w:val="524D3B98"/>
    <w:rsid w:val="524DA4BD"/>
    <w:rsid w:val="524DDD2E"/>
    <w:rsid w:val="524E7128"/>
    <w:rsid w:val="5250060C"/>
    <w:rsid w:val="525136BC"/>
    <w:rsid w:val="52517156"/>
    <w:rsid w:val="52519046"/>
    <w:rsid w:val="52519FCA"/>
    <w:rsid w:val="5251AB32"/>
    <w:rsid w:val="5252CEBD"/>
    <w:rsid w:val="525493E4"/>
    <w:rsid w:val="5254E9BA"/>
    <w:rsid w:val="5254FA29"/>
    <w:rsid w:val="5255314B"/>
    <w:rsid w:val="525563F0"/>
    <w:rsid w:val="52562922"/>
    <w:rsid w:val="52567FF5"/>
    <w:rsid w:val="5256948C"/>
    <w:rsid w:val="52593E0C"/>
    <w:rsid w:val="5259E906"/>
    <w:rsid w:val="525A0CB9"/>
    <w:rsid w:val="525A5315"/>
    <w:rsid w:val="525A9676"/>
    <w:rsid w:val="525B730D"/>
    <w:rsid w:val="525B772D"/>
    <w:rsid w:val="525BAEFD"/>
    <w:rsid w:val="525C5533"/>
    <w:rsid w:val="525CB626"/>
    <w:rsid w:val="525CCAAA"/>
    <w:rsid w:val="525D8FF2"/>
    <w:rsid w:val="525D93C8"/>
    <w:rsid w:val="525D9ADF"/>
    <w:rsid w:val="525E784A"/>
    <w:rsid w:val="525EEBA5"/>
    <w:rsid w:val="525F41AB"/>
    <w:rsid w:val="525FAA31"/>
    <w:rsid w:val="525FF178"/>
    <w:rsid w:val="52600283"/>
    <w:rsid w:val="52607E9C"/>
    <w:rsid w:val="52615229"/>
    <w:rsid w:val="5261A4B3"/>
    <w:rsid w:val="5261FE4E"/>
    <w:rsid w:val="526284BE"/>
    <w:rsid w:val="52634C28"/>
    <w:rsid w:val="52637058"/>
    <w:rsid w:val="5263D852"/>
    <w:rsid w:val="5264B289"/>
    <w:rsid w:val="5264F088"/>
    <w:rsid w:val="526525B0"/>
    <w:rsid w:val="52657D12"/>
    <w:rsid w:val="5265A0A4"/>
    <w:rsid w:val="52663928"/>
    <w:rsid w:val="52667928"/>
    <w:rsid w:val="5266B214"/>
    <w:rsid w:val="52675E81"/>
    <w:rsid w:val="5267A9C2"/>
    <w:rsid w:val="5267B3D9"/>
    <w:rsid w:val="5267B962"/>
    <w:rsid w:val="5267EADB"/>
    <w:rsid w:val="526819F6"/>
    <w:rsid w:val="526A37E9"/>
    <w:rsid w:val="526BB145"/>
    <w:rsid w:val="526C7ABD"/>
    <w:rsid w:val="526CA76B"/>
    <w:rsid w:val="526CB69F"/>
    <w:rsid w:val="526CD3B3"/>
    <w:rsid w:val="526D1BAD"/>
    <w:rsid w:val="526E8313"/>
    <w:rsid w:val="526EF7CC"/>
    <w:rsid w:val="526F610B"/>
    <w:rsid w:val="526FD942"/>
    <w:rsid w:val="5271A18F"/>
    <w:rsid w:val="52725C9C"/>
    <w:rsid w:val="527280F5"/>
    <w:rsid w:val="5274508D"/>
    <w:rsid w:val="52748D64"/>
    <w:rsid w:val="52757CC6"/>
    <w:rsid w:val="527688E1"/>
    <w:rsid w:val="5276FC28"/>
    <w:rsid w:val="52771794"/>
    <w:rsid w:val="5277F6EF"/>
    <w:rsid w:val="52780566"/>
    <w:rsid w:val="5278EAFE"/>
    <w:rsid w:val="527907D6"/>
    <w:rsid w:val="527926CF"/>
    <w:rsid w:val="5279AE42"/>
    <w:rsid w:val="5279C8C7"/>
    <w:rsid w:val="5279FC55"/>
    <w:rsid w:val="527B03BE"/>
    <w:rsid w:val="527B55FD"/>
    <w:rsid w:val="527B630C"/>
    <w:rsid w:val="527B940C"/>
    <w:rsid w:val="527BA922"/>
    <w:rsid w:val="527BBF06"/>
    <w:rsid w:val="527BEAB1"/>
    <w:rsid w:val="527BF0A7"/>
    <w:rsid w:val="527C4DE0"/>
    <w:rsid w:val="527C63CC"/>
    <w:rsid w:val="527D0592"/>
    <w:rsid w:val="527D4468"/>
    <w:rsid w:val="527DA438"/>
    <w:rsid w:val="527DEBD3"/>
    <w:rsid w:val="527E4470"/>
    <w:rsid w:val="527E6EA2"/>
    <w:rsid w:val="527E87F1"/>
    <w:rsid w:val="527EFDFD"/>
    <w:rsid w:val="527FAF8F"/>
    <w:rsid w:val="527FC331"/>
    <w:rsid w:val="52828F7E"/>
    <w:rsid w:val="528329CA"/>
    <w:rsid w:val="52836A49"/>
    <w:rsid w:val="528391CA"/>
    <w:rsid w:val="528468D4"/>
    <w:rsid w:val="5284A257"/>
    <w:rsid w:val="52864C93"/>
    <w:rsid w:val="5286C9FD"/>
    <w:rsid w:val="52870A6B"/>
    <w:rsid w:val="5287301A"/>
    <w:rsid w:val="52884FDA"/>
    <w:rsid w:val="52887179"/>
    <w:rsid w:val="5288E592"/>
    <w:rsid w:val="52894194"/>
    <w:rsid w:val="528A2AB6"/>
    <w:rsid w:val="528A6424"/>
    <w:rsid w:val="528A85CD"/>
    <w:rsid w:val="528B8003"/>
    <w:rsid w:val="528C116D"/>
    <w:rsid w:val="528C299E"/>
    <w:rsid w:val="528D1D63"/>
    <w:rsid w:val="528D23E1"/>
    <w:rsid w:val="528D274E"/>
    <w:rsid w:val="528DE63E"/>
    <w:rsid w:val="528EDF2B"/>
    <w:rsid w:val="528F7FE6"/>
    <w:rsid w:val="528FACD9"/>
    <w:rsid w:val="5290213D"/>
    <w:rsid w:val="5290D5CE"/>
    <w:rsid w:val="5291034F"/>
    <w:rsid w:val="52911318"/>
    <w:rsid w:val="529119A5"/>
    <w:rsid w:val="52911C28"/>
    <w:rsid w:val="52912E82"/>
    <w:rsid w:val="529151F6"/>
    <w:rsid w:val="5292A016"/>
    <w:rsid w:val="5293A538"/>
    <w:rsid w:val="5293C3E9"/>
    <w:rsid w:val="529437D5"/>
    <w:rsid w:val="529477AC"/>
    <w:rsid w:val="5294D086"/>
    <w:rsid w:val="5294EA18"/>
    <w:rsid w:val="5295099E"/>
    <w:rsid w:val="5295D4B8"/>
    <w:rsid w:val="5296745E"/>
    <w:rsid w:val="529682C2"/>
    <w:rsid w:val="52973EE8"/>
    <w:rsid w:val="5297FAB4"/>
    <w:rsid w:val="52982126"/>
    <w:rsid w:val="529827C3"/>
    <w:rsid w:val="529856E0"/>
    <w:rsid w:val="5299983E"/>
    <w:rsid w:val="529A7989"/>
    <w:rsid w:val="529BA520"/>
    <w:rsid w:val="529BAF2A"/>
    <w:rsid w:val="529CF098"/>
    <w:rsid w:val="529EF3BE"/>
    <w:rsid w:val="529FBD08"/>
    <w:rsid w:val="52A0A0FD"/>
    <w:rsid w:val="52A15E4A"/>
    <w:rsid w:val="52A16235"/>
    <w:rsid w:val="52A2DF86"/>
    <w:rsid w:val="52A33821"/>
    <w:rsid w:val="52A421CA"/>
    <w:rsid w:val="52A4D5F8"/>
    <w:rsid w:val="52A512FC"/>
    <w:rsid w:val="52A530B9"/>
    <w:rsid w:val="52A5B023"/>
    <w:rsid w:val="52A5BE0F"/>
    <w:rsid w:val="52A5BE3C"/>
    <w:rsid w:val="52A5F2B4"/>
    <w:rsid w:val="52A63988"/>
    <w:rsid w:val="52A6D1B3"/>
    <w:rsid w:val="52A75FD2"/>
    <w:rsid w:val="52A77337"/>
    <w:rsid w:val="52A7C419"/>
    <w:rsid w:val="52A88E35"/>
    <w:rsid w:val="52A917B7"/>
    <w:rsid w:val="52A9746B"/>
    <w:rsid w:val="52A9BE0A"/>
    <w:rsid w:val="52AAC600"/>
    <w:rsid w:val="52ABDE99"/>
    <w:rsid w:val="52ACF993"/>
    <w:rsid w:val="52AD0A13"/>
    <w:rsid w:val="52AE868B"/>
    <w:rsid w:val="52B00122"/>
    <w:rsid w:val="52B0FB66"/>
    <w:rsid w:val="52B1774A"/>
    <w:rsid w:val="52B1BD08"/>
    <w:rsid w:val="52B28B1E"/>
    <w:rsid w:val="52B2F3EA"/>
    <w:rsid w:val="52B408BD"/>
    <w:rsid w:val="52B45E4F"/>
    <w:rsid w:val="52B47708"/>
    <w:rsid w:val="52B48580"/>
    <w:rsid w:val="52B49E69"/>
    <w:rsid w:val="52B54AE5"/>
    <w:rsid w:val="52B7045F"/>
    <w:rsid w:val="52B71259"/>
    <w:rsid w:val="52B859FA"/>
    <w:rsid w:val="52B9035D"/>
    <w:rsid w:val="52B927B9"/>
    <w:rsid w:val="52B93ADE"/>
    <w:rsid w:val="52BA2864"/>
    <w:rsid w:val="52BAB8BD"/>
    <w:rsid w:val="52BADB4C"/>
    <w:rsid w:val="52BB7B3C"/>
    <w:rsid w:val="52BBAABF"/>
    <w:rsid w:val="52BBB94B"/>
    <w:rsid w:val="52BC0CBD"/>
    <w:rsid w:val="52BC4A24"/>
    <w:rsid w:val="52BC832C"/>
    <w:rsid w:val="52BCE3FB"/>
    <w:rsid w:val="52BD5B13"/>
    <w:rsid w:val="52BD772C"/>
    <w:rsid w:val="52BEE52F"/>
    <w:rsid w:val="52BEFAAD"/>
    <w:rsid w:val="52BF0CE1"/>
    <w:rsid w:val="52BFC844"/>
    <w:rsid w:val="52BFD192"/>
    <w:rsid w:val="52C056FC"/>
    <w:rsid w:val="52C058F7"/>
    <w:rsid w:val="52C06E23"/>
    <w:rsid w:val="52C08E60"/>
    <w:rsid w:val="52C15893"/>
    <w:rsid w:val="52C18840"/>
    <w:rsid w:val="52C19913"/>
    <w:rsid w:val="52C241C9"/>
    <w:rsid w:val="52C293D2"/>
    <w:rsid w:val="52C32DDE"/>
    <w:rsid w:val="52C348E1"/>
    <w:rsid w:val="52C3FCFF"/>
    <w:rsid w:val="52C4D7E5"/>
    <w:rsid w:val="52C565BE"/>
    <w:rsid w:val="52C5E27C"/>
    <w:rsid w:val="52C62236"/>
    <w:rsid w:val="52C6A098"/>
    <w:rsid w:val="52C6E865"/>
    <w:rsid w:val="52C70A4F"/>
    <w:rsid w:val="52C724F9"/>
    <w:rsid w:val="52C81204"/>
    <w:rsid w:val="52C8919D"/>
    <w:rsid w:val="52C8B8B4"/>
    <w:rsid w:val="52C8D7B3"/>
    <w:rsid w:val="52C9C143"/>
    <w:rsid w:val="52CA3D75"/>
    <w:rsid w:val="52CB8A33"/>
    <w:rsid w:val="52CB9094"/>
    <w:rsid w:val="52CC02AC"/>
    <w:rsid w:val="52CCDE5F"/>
    <w:rsid w:val="52CCE76D"/>
    <w:rsid w:val="52CCEFAF"/>
    <w:rsid w:val="52CD4220"/>
    <w:rsid w:val="52CD74BA"/>
    <w:rsid w:val="52CE3F32"/>
    <w:rsid w:val="52CFC040"/>
    <w:rsid w:val="52D043DE"/>
    <w:rsid w:val="52D06EEA"/>
    <w:rsid w:val="52D0B729"/>
    <w:rsid w:val="52D0FE6A"/>
    <w:rsid w:val="52D106F6"/>
    <w:rsid w:val="52D10C47"/>
    <w:rsid w:val="52D11EA9"/>
    <w:rsid w:val="52D15058"/>
    <w:rsid w:val="52D18730"/>
    <w:rsid w:val="52D1EBBF"/>
    <w:rsid w:val="52D2165B"/>
    <w:rsid w:val="52D26572"/>
    <w:rsid w:val="52D270B2"/>
    <w:rsid w:val="52D2C660"/>
    <w:rsid w:val="52D2E854"/>
    <w:rsid w:val="52D31D92"/>
    <w:rsid w:val="52D33872"/>
    <w:rsid w:val="52D35213"/>
    <w:rsid w:val="52D38235"/>
    <w:rsid w:val="52D49E16"/>
    <w:rsid w:val="52D8A38C"/>
    <w:rsid w:val="52D9AE7B"/>
    <w:rsid w:val="52D9FD39"/>
    <w:rsid w:val="52DA281C"/>
    <w:rsid w:val="52DA65CC"/>
    <w:rsid w:val="52DB13B3"/>
    <w:rsid w:val="52DB180E"/>
    <w:rsid w:val="52DCD0EC"/>
    <w:rsid w:val="52DD0A87"/>
    <w:rsid w:val="52DD36D3"/>
    <w:rsid w:val="52DE0F40"/>
    <w:rsid w:val="52DE3646"/>
    <w:rsid w:val="52DE7888"/>
    <w:rsid w:val="52DE93A7"/>
    <w:rsid w:val="52E06D73"/>
    <w:rsid w:val="52E13B00"/>
    <w:rsid w:val="52E17228"/>
    <w:rsid w:val="52E237EB"/>
    <w:rsid w:val="52E27447"/>
    <w:rsid w:val="52E2E73B"/>
    <w:rsid w:val="52E40681"/>
    <w:rsid w:val="52E411B0"/>
    <w:rsid w:val="52E42AC6"/>
    <w:rsid w:val="52E4895C"/>
    <w:rsid w:val="52E51152"/>
    <w:rsid w:val="52E6221D"/>
    <w:rsid w:val="52E6BB27"/>
    <w:rsid w:val="52E6E8AD"/>
    <w:rsid w:val="52E796B0"/>
    <w:rsid w:val="52E7A817"/>
    <w:rsid w:val="52E7B268"/>
    <w:rsid w:val="52E7C18E"/>
    <w:rsid w:val="52E7CC62"/>
    <w:rsid w:val="52E7F75A"/>
    <w:rsid w:val="52E96B30"/>
    <w:rsid w:val="52EAFAF7"/>
    <w:rsid w:val="52EB7291"/>
    <w:rsid w:val="52EBA506"/>
    <w:rsid w:val="52EBA5F4"/>
    <w:rsid w:val="52EC44EA"/>
    <w:rsid w:val="52EE2A50"/>
    <w:rsid w:val="52EE4FF3"/>
    <w:rsid w:val="52EF27EE"/>
    <w:rsid w:val="52EF3255"/>
    <w:rsid w:val="52EF4E4E"/>
    <w:rsid w:val="52EF9071"/>
    <w:rsid w:val="52EFCC25"/>
    <w:rsid w:val="52F098A5"/>
    <w:rsid w:val="52F09FAD"/>
    <w:rsid w:val="52F28601"/>
    <w:rsid w:val="52F30CDD"/>
    <w:rsid w:val="52F3990D"/>
    <w:rsid w:val="52F3BB97"/>
    <w:rsid w:val="52F3C11F"/>
    <w:rsid w:val="52F435E0"/>
    <w:rsid w:val="52F471A4"/>
    <w:rsid w:val="52F48034"/>
    <w:rsid w:val="52F53768"/>
    <w:rsid w:val="52F570AF"/>
    <w:rsid w:val="52F5A4C9"/>
    <w:rsid w:val="52F74B3E"/>
    <w:rsid w:val="52F7AFE1"/>
    <w:rsid w:val="52F7D1B6"/>
    <w:rsid w:val="52F801E3"/>
    <w:rsid w:val="52F81817"/>
    <w:rsid w:val="52F89281"/>
    <w:rsid w:val="52F89A80"/>
    <w:rsid w:val="52F9430A"/>
    <w:rsid w:val="52F959DD"/>
    <w:rsid w:val="52F999E5"/>
    <w:rsid w:val="52F9DD18"/>
    <w:rsid w:val="52FA6C95"/>
    <w:rsid w:val="52FAE858"/>
    <w:rsid w:val="52FB7DB3"/>
    <w:rsid w:val="52FC6762"/>
    <w:rsid w:val="52FC741F"/>
    <w:rsid w:val="52FD164C"/>
    <w:rsid w:val="52FD52A8"/>
    <w:rsid w:val="52FD757A"/>
    <w:rsid w:val="52FEA9E9"/>
    <w:rsid w:val="52FEF589"/>
    <w:rsid w:val="53003566"/>
    <w:rsid w:val="5300CA5E"/>
    <w:rsid w:val="5300FBC5"/>
    <w:rsid w:val="53011B72"/>
    <w:rsid w:val="53014D78"/>
    <w:rsid w:val="5301EC53"/>
    <w:rsid w:val="530238E0"/>
    <w:rsid w:val="5302F47D"/>
    <w:rsid w:val="530338EA"/>
    <w:rsid w:val="5303B5F3"/>
    <w:rsid w:val="53041271"/>
    <w:rsid w:val="53050E4D"/>
    <w:rsid w:val="5305291B"/>
    <w:rsid w:val="5305ED24"/>
    <w:rsid w:val="5306A610"/>
    <w:rsid w:val="5306ADE4"/>
    <w:rsid w:val="53076D36"/>
    <w:rsid w:val="53078835"/>
    <w:rsid w:val="53079CD7"/>
    <w:rsid w:val="53085CBB"/>
    <w:rsid w:val="530887D5"/>
    <w:rsid w:val="5308BBFE"/>
    <w:rsid w:val="530950A0"/>
    <w:rsid w:val="5309ABBC"/>
    <w:rsid w:val="530A420A"/>
    <w:rsid w:val="530AA670"/>
    <w:rsid w:val="530CEA08"/>
    <w:rsid w:val="530DD1F1"/>
    <w:rsid w:val="530DD57A"/>
    <w:rsid w:val="530DFE85"/>
    <w:rsid w:val="530E218B"/>
    <w:rsid w:val="530E824E"/>
    <w:rsid w:val="530E9185"/>
    <w:rsid w:val="530EF45F"/>
    <w:rsid w:val="530F3AC1"/>
    <w:rsid w:val="530F7CEC"/>
    <w:rsid w:val="5310552B"/>
    <w:rsid w:val="53106537"/>
    <w:rsid w:val="5310C1CB"/>
    <w:rsid w:val="53118C25"/>
    <w:rsid w:val="53123D84"/>
    <w:rsid w:val="531292F9"/>
    <w:rsid w:val="53129A62"/>
    <w:rsid w:val="531386D1"/>
    <w:rsid w:val="53138AA6"/>
    <w:rsid w:val="5313F1D4"/>
    <w:rsid w:val="53142474"/>
    <w:rsid w:val="53147DD4"/>
    <w:rsid w:val="531489A6"/>
    <w:rsid w:val="53153829"/>
    <w:rsid w:val="5315B7D0"/>
    <w:rsid w:val="5315EFAB"/>
    <w:rsid w:val="53163C5D"/>
    <w:rsid w:val="53165CC9"/>
    <w:rsid w:val="53176BE1"/>
    <w:rsid w:val="5317B0E3"/>
    <w:rsid w:val="531857D3"/>
    <w:rsid w:val="531995B1"/>
    <w:rsid w:val="531B11C1"/>
    <w:rsid w:val="531B285B"/>
    <w:rsid w:val="531B61EA"/>
    <w:rsid w:val="531C8326"/>
    <w:rsid w:val="531CB7A4"/>
    <w:rsid w:val="531EEA63"/>
    <w:rsid w:val="531F788B"/>
    <w:rsid w:val="531F8DDB"/>
    <w:rsid w:val="531F9F06"/>
    <w:rsid w:val="531FAD3F"/>
    <w:rsid w:val="53203D69"/>
    <w:rsid w:val="5321F27D"/>
    <w:rsid w:val="532316FF"/>
    <w:rsid w:val="53231AE0"/>
    <w:rsid w:val="53234B65"/>
    <w:rsid w:val="5323E3F0"/>
    <w:rsid w:val="5323FF4D"/>
    <w:rsid w:val="532441C5"/>
    <w:rsid w:val="5324B900"/>
    <w:rsid w:val="5324C069"/>
    <w:rsid w:val="5325CBD0"/>
    <w:rsid w:val="5326B2DD"/>
    <w:rsid w:val="5327B4F4"/>
    <w:rsid w:val="5329326E"/>
    <w:rsid w:val="53298F2C"/>
    <w:rsid w:val="5329B7A7"/>
    <w:rsid w:val="532A1AC2"/>
    <w:rsid w:val="532A7964"/>
    <w:rsid w:val="532A8D35"/>
    <w:rsid w:val="532B4F4D"/>
    <w:rsid w:val="532C0031"/>
    <w:rsid w:val="532C3D57"/>
    <w:rsid w:val="532ECE58"/>
    <w:rsid w:val="532EF501"/>
    <w:rsid w:val="532F1729"/>
    <w:rsid w:val="532F428B"/>
    <w:rsid w:val="532F9B48"/>
    <w:rsid w:val="532FC1F4"/>
    <w:rsid w:val="532FCEA4"/>
    <w:rsid w:val="532FFB37"/>
    <w:rsid w:val="533023A0"/>
    <w:rsid w:val="5331968B"/>
    <w:rsid w:val="5331D48C"/>
    <w:rsid w:val="5332FDF4"/>
    <w:rsid w:val="5333A36D"/>
    <w:rsid w:val="5333CD59"/>
    <w:rsid w:val="53349B52"/>
    <w:rsid w:val="5334F16B"/>
    <w:rsid w:val="53358964"/>
    <w:rsid w:val="5335AFAF"/>
    <w:rsid w:val="5335C6E1"/>
    <w:rsid w:val="5335FA07"/>
    <w:rsid w:val="533664E2"/>
    <w:rsid w:val="5336F195"/>
    <w:rsid w:val="533845EE"/>
    <w:rsid w:val="5339249F"/>
    <w:rsid w:val="53395509"/>
    <w:rsid w:val="53395E59"/>
    <w:rsid w:val="533A5A30"/>
    <w:rsid w:val="533A94A4"/>
    <w:rsid w:val="533B31FF"/>
    <w:rsid w:val="533BCA2A"/>
    <w:rsid w:val="533C0745"/>
    <w:rsid w:val="533C8BCD"/>
    <w:rsid w:val="533CA6DC"/>
    <w:rsid w:val="533D0070"/>
    <w:rsid w:val="533D356A"/>
    <w:rsid w:val="533D8B5B"/>
    <w:rsid w:val="533DC88C"/>
    <w:rsid w:val="533E03E3"/>
    <w:rsid w:val="533E0F08"/>
    <w:rsid w:val="533F3512"/>
    <w:rsid w:val="533F436A"/>
    <w:rsid w:val="53401BAC"/>
    <w:rsid w:val="53402797"/>
    <w:rsid w:val="5340C351"/>
    <w:rsid w:val="534115F1"/>
    <w:rsid w:val="53419EDE"/>
    <w:rsid w:val="5342C79E"/>
    <w:rsid w:val="534324BB"/>
    <w:rsid w:val="53436C5D"/>
    <w:rsid w:val="5344E770"/>
    <w:rsid w:val="53452CC2"/>
    <w:rsid w:val="53455D8D"/>
    <w:rsid w:val="534593EA"/>
    <w:rsid w:val="5345B6A1"/>
    <w:rsid w:val="5345CB16"/>
    <w:rsid w:val="5346E2FD"/>
    <w:rsid w:val="5346E865"/>
    <w:rsid w:val="5348ADDF"/>
    <w:rsid w:val="5348E775"/>
    <w:rsid w:val="5349A7A3"/>
    <w:rsid w:val="5349CC42"/>
    <w:rsid w:val="534A4D1F"/>
    <w:rsid w:val="534B9A5A"/>
    <w:rsid w:val="534BE75A"/>
    <w:rsid w:val="534C3A92"/>
    <w:rsid w:val="534C6BBE"/>
    <w:rsid w:val="534CEF87"/>
    <w:rsid w:val="534E098E"/>
    <w:rsid w:val="534E7C92"/>
    <w:rsid w:val="534E9C3B"/>
    <w:rsid w:val="53507BE2"/>
    <w:rsid w:val="53508740"/>
    <w:rsid w:val="535152FB"/>
    <w:rsid w:val="5351CCDE"/>
    <w:rsid w:val="53527669"/>
    <w:rsid w:val="53534F5E"/>
    <w:rsid w:val="53536435"/>
    <w:rsid w:val="5353803C"/>
    <w:rsid w:val="5353B502"/>
    <w:rsid w:val="5353EF79"/>
    <w:rsid w:val="5354A064"/>
    <w:rsid w:val="5354BB16"/>
    <w:rsid w:val="5354F455"/>
    <w:rsid w:val="53555F7A"/>
    <w:rsid w:val="5357706B"/>
    <w:rsid w:val="53578789"/>
    <w:rsid w:val="535851C7"/>
    <w:rsid w:val="535A2D93"/>
    <w:rsid w:val="535B3559"/>
    <w:rsid w:val="535BECF6"/>
    <w:rsid w:val="535C4D9C"/>
    <w:rsid w:val="535C574C"/>
    <w:rsid w:val="535CA6B2"/>
    <w:rsid w:val="535D9277"/>
    <w:rsid w:val="535D95C1"/>
    <w:rsid w:val="535DB752"/>
    <w:rsid w:val="53606B4C"/>
    <w:rsid w:val="5360EDC2"/>
    <w:rsid w:val="5361326A"/>
    <w:rsid w:val="53615EE0"/>
    <w:rsid w:val="53627133"/>
    <w:rsid w:val="5362F50C"/>
    <w:rsid w:val="53635110"/>
    <w:rsid w:val="53635233"/>
    <w:rsid w:val="5363BBCB"/>
    <w:rsid w:val="53646269"/>
    <w:rsid w:val="536499B8"/>
    <w:rsid w:val="5364CAD1"/>
    <w:rsid w:val="53665E9B"/>
    <w:rsid w:val="5366925C"/>
    <w:rsid w:val="53670B08"/>
    <w:rsid w:val="53681A53"/>
    <w:rsid w:val="53682960"/>
    <w:rsid w:val="536877FB"/>
    <w:rsid w:val="53689AD9"/>
    <w:rsid w:val="5368EED6"/>
    <w:rsid w:val="536931BE"/>
    <w:rsid w:val="536954E1"/>
    <w:rsid w:val="5369C19F"/>
    <w:rsid w:val="536A4BE9"/>
    <w:rsid w:val="536AE50A"/>
    <w:rsid w:val="536B0BDD"/>
    <w:rsid w:val="536B71FF"/>
    <w:rsid w:val="536BAEB6"/>
    <w:rsid w:val="536BD3EC"/>
    <w:rsid w:val="536C08A2"/>
    <w:rsid w:val="536CB120"/>
    <w:rsid w:val="536CFC1D"/>
    <w:rsid w:val="536D2E9E"/>
    <w:rsid w:val="536D5EA7"/>
    <w:rsid w:val="536DC230"/>
    <w:rsid w:val="536E7F97"/>
    <w:rsid w:val="536ECAC3"/>
    <w:rsid w:val="536FB6E2"/>
    <w:rsid w:val="53707850"/>
    <w:rsid w:val="5370A46C"/>
    <w:rsid w:val="53711513"/>
    <w:rsid w:val="537215C0"/>
    <w:rsid w:val="53725FE2"/>
    <w:rsid w:val="5372B4E6"/>
    <w:rsid w:val="5373031E"/>
    <w:rsid w:val="537380E2"/>
    <w:rsid w:val="537384CD"/>
    <w:rsid w:val="5374675B"/>
    <w:rsid w:val="53748323"/>
    <w:rsid w:val="5374A414"/>
    <w:rsid w:val="53751CF5"/>
    <w:rsid w:val="53758493"/>
    <w:rsid w:val="53768F79"/>
    <w:rsid w:val="53769B9D"/>
    <w:rsid w:val="5377BD87"/>
    <w:rsid w:val="53792A04"/>
    <w:rsid w:val="53793CC1"/>
    <w:rsid w:val="5379F35E"/>
    <w:rsid w:val="537A1F2F"/>
    <w:rsid w:val="537A732E"/>
    <w:rsid w:val="537B45AD"/>
    <w:rsid w:val="537B778A"/>
    <w:rsid w:val="537C155B"/>
    <w:rsid w:val="537CF0CE"/>
    <w:rsid w:val="537D4D44"/>
    <w:rsid w:val="537D5877"/>
    <w:rsid w:val="537FCE52"/>
    <w:rsid w:val="537FD7E6"/>
    <w:rsid w:val="537FF710"/>
    <w:rsid w:val="5380BCB2"/>
    <w:rsid w:val="53815531"/>
    <w:rsid w:val="53817E99"/>
    <w:rsid w:val="53828CA3"/>
    <w:rsid w:val="538443FF"/>
    <w:rsid w:val="5384A982"/>
    <w:rsid w:val="5384CBFD"/>
    <w:rsid w:val="538509BD"/>
    <w:rsid w:val="53850E14"/>
    <w:rsid w:val="538516C5"/>
    <w:rsid w:val="53854AF5"/>
    <w:rsid w:val="53857936"/>
    <w:rsid w:val="5385B471"/>
    <w:rsid w:val="5385C67F"/>
    <w:rsid w:val="5385FD7E"/>
    <w:rsid w:val="538689F4"/>
    <w:rsid w:val="5386C2FB"/>
    <w:rsid w:val="5386CDC1"/>
    <w:rsid w:val="5387079C"/>
    <w:rsid w:val="538743E0"/>
    <w:rsid w:val="53874EA1"/>
    <w:rsid w:val="538AB567"/>
    <w:rsid w:val="538AE2A4"/>
    <w:rsid w:val="538AE83D"/>
    <w:rsid w:val="538C1EC0"/>
    <w:rsid w:val="538CA280"/>
    <w:rsid w:val="538CF692"/>
    <w:rsid w:val="538D6BED"/>
    <w:rsid w:val="538E2601"/>
    <w:rsid w:val="538F3460"/>
    <w:rsid w:val="53908C22"/>
    <w:rsid w:val="53921037"/>
    <w:rsid w:val="53929DCE"/>
    <w:rsid w:val="5392DDEB"/>
    <w:rsid w:val="5392E792"/>
    <w:rsid w:val="53937794"/>
    <w:rsid w:val="53937E5D"/>
    <w:rsid w:val="5393BDAE"/>
    <w:rsid w:val="53942581"/>
    <w:rsid w:val="539436D8"/>
    <w:rsid w:val="53948B70"/>
    <w:rsid w:val="53949E6D"/>
    <w:rsid w:val="5394A4EF"/>
    <w:rsid w:val="5394AFF0"/>
    <w:rsid w:val="539603CF"/>
    <w:rsid w:val="53964F05"/>
    <w:rsid w:val="53976B43"/>
    <w:rsid w:val="5397A78C"/>
    <w:rsid w:val="5398A649"/>
    <w:rsid w:val="53994A6B"/>
    <w:rsid w:val="539A15B5"/>
    <w:rsid w:val="539A1E95"/>
    <w:rsid w:val="539A226E"/>
    <w:rsid w:val="539A6CD4"/>
    <w:rsid w:val="539A7E78"/>
    <w:rsid w:val="539A92D0"/>
    <w:rsid w:val="539AAD6A"/>
    <w:rsid w:val="539B7978"/>
    <w:rsid w:val="539C55BE"/>
    <w:rsid w:val="539CFAFD"/>
    <w:rsid w:val="539DBE07"/>
    <w:rsid w:val="539DE254"/>
    <w:rsid w:val="539E39B6"/>
    <w:rsid w:val="539E917A"/>
    <w:rsid w:val="539EA0B2"/>
    <w:rsid w:val="539FCC4C"/>
    <w:rsid w:val="53A06D17"/>
    <w:rsid w:val="53A0E7DA"/>
    <w:rsid w:val="53A13801"/>
    <w:rsid w:val="53A16FD4"/>
    <w:rsid w:val="53A1B237"/>
    <w:rsid w:val="53A1C6C5"/>
    <w:rsid w:val="53A43DCD"/>
    <w:rsid w:val="53A4872B"/>
    <w:rsid w:val="53A5738B"/>
    <w:rsid w:val="53A68629"/>
    <w:rsid w:val="53A6D055"/>
    <w:rsid w:val="53A6EBA0"/>
    <w:rsid w:val="53A70969"/>
    <w:rsid w:val="53A7A782"/>
    <w:rsid w:val="53A7BB22"/>
    <w:rsid w:val="53A7DB11"/>
    <w:rsid w:val="53A94297"/>
    <w:rsid w:val="53AA22B8"/>
    <w:rsid w:val="53AA5AE2"/>
    <w:rsid w:val="53AA8CA9"/>
    <w:rsid w:val="53AB53DA"/>
    <w:rsid w:val="53AB9B5A"/>
    <w:rsid w:val="53ABEE5B"/>
    <w:rsid w:val="53ACEC56"/>
    <w:rsid w:val="53AD1A26"/>
    <w:rsid w:val="53AD6FE0"/>
    <w:rsid w:val="53ADFFBD"/>
    <w:rsid w:val="53AE0C59"/>
    <w:rsid w:val="53AE39BD"/>
    <w:rsid w:val="53AE3D39"/>
    <w:rsid w:val="53AED9CF"/>
    <w:rsid w:val="53AF2EFA"/>
    <w:rsid w:val="53AF3DAA"/>
    <w:rsid w:val="53B0926C"/>
    <w:rsid w:val="53B1A7F8"/>
    <w:rsid w:val="53B1F669"/>
    <w:rsid w:val="53B25101"/>
    <w:rsid w:val="53B27338"/>
    <w:rsid w:val="53B30682"/>
    <w:rsid w:val="53B33C13"/>
    <w:rsid w:val="53B37B80"/>
    <w:rsid w:val="53B5171E"/>
    <w:rsid w:val="53B53A2B"/>
    <w:rsid w:val="53B59DDA"/>
    <w:rsid w:val="53B6744F"/>
    <w:rsid w:val="53B750CF"/>
    <w:rsid w:val="53B8E5C9"/>
    <w:rsid w:val="53BA9FD1"/>
    <w:rsid w:val="53BBD3D6"/>
    <w:rsid w:val="53BD0722"/>
    <w:rsid w:val="53BD0F20"/>
    <w:rsid w:val="53BE57ED"/>
    <w:rsid w:val="53BE6DC9"/>
    <w:rsid w:val="53BF0347"/>
    <w:rsid w:val="53BF9DC6"/>
    <w:rsid w:val="53BFC1B5"/>
    <w:rsid w:val="53C01DED"/>
    <w:rsid w:val="53C2DB70"/>
    <w:rsid w:val="53C3CEF4"/>
    <w:rsid w:val="53C3F66E"/>
    <w:rsid w:val="53C591B3"/>
    <w:rsid w:val="53C59D06"/>
    <w:rsid w:val="53C6545F"/>
    <w:rsid w:val="53C66AE7"/>
    <w:rsid w:val="53C6C3B7"/>
    <w:rsid w:val="53C7E56D"/>
    <w:rsid w:val="53C7EACF"/>
    <w:rsid w:val="53C8B266"/>
    <w:rsid w:val="53C8F4E0"/>
    <w:rsid w:val="53C9B59A"/>
    <w:rsid w:val="53CA5134"/>
    <w:rsid w:val="53CB5C92"/>
    <w:rsid w:val="53CBB491"/>
    <w:rsid w:val="53CBE41B"/>
    <w:rsid w:val="53CC1379"/>
    <w:rsid w:val="53CC4CAD"/>
    <w:rsid w:val="53CC8015"/>
    <w:rsid w:val="53CD8756"/>
    <w:rsid w:val="53CE9A90"/>
    <w:rsid w:val="53CEF914"/>
    <w:rsid w:val="53D0260A"/>
    <w:rsid w:val="53D04C33"/>
    <w:rsid w:val="53D0E96C"/>
    <w:rsid w:val="53D15A57"/>
    <w:rsid w:val="53D16392"/>
    <w:rsid w:val="53D180E4"/>
    <w:rsid w:val="53D224DA"/>
    <w:rsid w:val="53D249A6"/>
    <w:rsid w:val="53D28DA4"/>
    <w:rsid w:val="53D2A27C"/>
    <w:rsid w:val="53D2DC14"/>
    <w:rsid w:val="53D3BEDE"/>
    <w:rsid w:val="53D5AEB8"/>
    <w:rsid w:val="53D5B573"/>
    <w:rsid w:val="53D5D6ED"/>
    <w:rsid w:val="53D5FAF8"/>
    <w:rsid w:val="53D678C9"/>
    <w:rsid w:val="53D7CD97"/>
    <w:rsid w:val="53D7D174"/>
    <w:rsid w:val="53D80830"/>
    <w:rsid w:val="53D89712"/>
    <w:rsid w:val="53D94184"/>
    <w:rsid w:val="53D96235"/>
    <w:rsid w:val="53D994C3"/>
    <w:rsid w:val="53D995C1"/>
    <w:rsid w:val="53D9BFE0"/>
    <w:rsid w:val="53D9CFE7"/>
    <w:rsid w:val="53DA2917"/>
    <w:rsid w:val="53DAEA9E"/>
    <w:rsid w:val="53DBD539"/>
    <w:rsid w:val="53DC714A"/>
    <w:rsid w:val="53DCDE65"/>
    <w:rsid w:val="53DCEEC2"/>
    <w:rsid w:val="53DCF559"/>
    <w:rsid w:val="53DDE937"/>
    <w:rsid w:val="53DDF72A"/>
    <w:rsid w:val="53DE0ADE"/>
    <w:rsid w:val="53DED095"/>
    <w:rsid w:val="53DEE28B"/>
    <w:rsid w:val="53DF78CE"/>
    <w:rsid w:val="53E02108"/>
    <w:rsid w:val="53E099F4"/>
    <w:rsid w:val="53E1151A"/>
    <w:rsid w:val="53E122CF"/>
    <w:rsid w:val="53E1E850"/>
    <w:rsid w:val="53E23301"/>
    <w:rsid w:val="53E234C7"/>
    <w:rsid w:val="53E27F71"/>
    <w:rsid w:val="53E33A10"/>
    <w:rsid w:val="53E375BA"/>
    <w:rsid w:val="53E40993"/>
    <w:rsid w:val="53E42EA0"/>
    <w:rsid w:val="53E4B35A"/>
    <w:rsid w:val="53E4E102"/>
    <w:rsid w:val="53E50BDD"/>
    <w:rsid w:val="53E5763F"/>
    <w:rsid w:val="53E5EC7A"/>
    <w:rsid w:val="53E5F4B2"/>
    <w:rsid w:val="53E68A82"/>
    <w:rsid w:val="53E85562"/>
    <w:rsid w:val="53E8774B"/>
    <w:rsid w:val="53E93475"/>
    <w:rsid w:val="53E96E27"/>
    <w:rsid w:val="53E96EBA"/>
    <w:rsid w:val="53E9F4A4"/>
    <w:rsid w:val="53EA365B"/>
    <w:rsid w:val="53EA6934"/>
    <w:rsid w:val="53EB0105"/>
    <w:rsid w:val="53ECED30"/>
    <w:rsid w:val="53ED308B"/>
    <w:rsid w:val="53ED5ADF"/>
    <w:rsid w:val="53ED6EEF"/>
    <w:rsid w:val="53EDBEC5"/>
    <w:rsid w:val="53EE0D59"/>
    <w:rsid w:val="53EE5CAF"/>
    <w:rsid w:val="53EEE2CA"/>
    <w:rsid w:val="53EF6991"/>
    <w:rsid w:val="53EFC20E"/>
    <w:rsid w:val="53EFF7C9"/>
    <w:rsid w:val="53F0363C"/>
    <w:rsid w:val="53F0E59C"/>
    <w:rsid w:val="53F23101"/>
    <w:rsid w:val="53F2AA09"/>
    <w:rsid w:val="53F347D4"/>
    <w:rsid w:val="53F3CF61"/>
    <w:rsid w:val="53F40847"/>
    <w:rsid w:val="53F64356"/>
    <w:rsid w:val="53F68B69"/>
    <w:rsid w:val="53F69675"/>
    <w:rsid w:val="53F69F44"/>
    <w:rsid w:val="53F7E64B"/>
    <w:rsid w:val="53F872D6"/>
    <w:rsid w:val="53F8CFBF"/>
    <w:rsid w:val="53F8D0A2"/>
    <w:rsid w:val="53F976FD"/>
    <w:rsid w:val="53F98EBA"/>
    <w:rsid w:val="53F9F2C2"/>
    <w:rsid w:val="53FA3DED"/>
    <w:rsid w:val="53FA6344"/>
    <w:rsid w:val="53FA7CE5"/>
    <w:rsid w:val="53FADCA9"/>
    <w:rsid w:val="53FAFDF5"/>
    <w:rsid w:val="53FBE332"/>
    <w:rsid w:val="53FCB693"/>
    <w:rsid w:val="53FCE7A1"/>
    <w:rsid w:val="53FCF72D"/>
    <w:rsid w:val="53FD7388"/>
    <w:rsid w:val="53FF58CC"/>
    <w:rsid w:val="540087D0"/>
    <w:rsid w:val="540107EC"/>
    <w:rsid w:val="540111E5"/>
    <w:rsid w:val="5401529F"/>
    <w:rsid w:val="5401C623"/>
    <w:rsid w:val="5402C6C1"/>
    <w:rsid w:val="54046738"/>
    <w:rsid w:val="5405989C"/>
    <w:rsid w:val="5405DEBE"/>
    <w:rsid w:val="54062446"/>
    <w:rsid w:val="54066A17"/>
    <w:rsid w:val="5407DF30"/>
    <w:rsid w:val="54086AD5"/>
    <w:rsid w:val="54092AAC"/>
    <w:rsid w:val="5409338C"/>
    <w:rsid w:val="54093D20"/>
    <w:rsid w:val="540A0682"/>
    <w:rsid w:val="540B392F"/>
    <w:rsid w:val="540C39DB"/>
    <w:rsid w:val="540CC3B0"/>
    <w:rsid w:val="540CD167"/>
    <w:rsid w:val="540DD21A"/>
    <w:rsid w:val="540DD41F"/>
    <w:rsid w:val="540E3D62"/>
    <w:rsid w:val="540E78E3"/>
    <w:rsid w:val="540F099A"/>
    <w:rsid w:val="540F4923"/>
    <w:rsid w:val="540F878D"/>
    <w:rsid w:val="540F9EE1"/>
    <w:rsid w:val="540FAB43"/>
    <w:rsid w:val="54101431"/>
    <w:rsid w:val="54101CA1"/>
    <w:rsid w:val="541073DB"/>
    <w:rsid w:val="5410785A"/>
    <w:rsid w:val="54108BF7"/>
    <w:rsid w:val="5410B243"/>
    <w:rsid w:val="5411F254"/>
    <w:rsid w:val="54122066"/>
    <w:rsid w:val="5412362D"/>
    <w:rsid w:val="541255AE"/>
    <w:rsid w:val="5412D2AA"/>
    <w:rsid w:val="54134859"/>
    <w:rsid w:val="5415FF7D"/>
    <w:rsid w:val="54160F9F"/>
    <w:rsid w:val="54167D6F"/>
    <w:rsid w:val="54171950"/>
    <w:rsid w:val="5417847A"/>
    <w:rsid w:val="5418BEF2"/>
    <w:rsid w:val="54190887"/>
    <w:rsid w:val="541A75DA"/>
    <w:rsid w:val="541D32CD"/>
    <w:rsid w:val="541D456A"/>
    <w:rsid w:val="541DDE61"/>
    <w:rsid w:val="541E407D"/>
    <w:rsid w:val="541E62F7"/>
    <w:rsid w:val="541F4467"/>
    <w:rsid w:val="541F9C97"/>
    <w:rsid w:val="54204BF8"/>
    <w:rsid w:val="54215C5F"/>
    <w:rsid w:val="54215FBA"/>
    <w:rsid w:val="54220772"/>
    <w:rsid w:val="542220D5"/>
    <w:rsid w:val="5422976E"/>
    <w:rsid w:val="5423250E"/>
    <w:rsid w:val="54233202"/>
    <w:rsid w:val="54242273"/>
    <w:rsid w:val="5425A5AC"/>
    <w:rsid w:val="5425E9BA"/>
    <w:rsid w:val="54261673"/>
    <w:rsid w:val="542618D5"/>
    <w:rsid w:val="5426E7F7"/>
    <w:rsid w:val="5427529E"/>
    <w:rsid w:val="5427DE5B"/>
    <w:rsid w:val="5428338F"/>
    <w:rsid w:val="54285376"/>
    <w:rsid w:val="5429114B"/>
    <w:rsid w:val="5429B76E"/>
    <w:rsid w:val="542A1DF3"/>
    <w:rsid w:val="542B1D42"/>
    <w:rsid w:val="542B9A33"/>
    <w:rsid w:val="542BC21E"/>
    <w:rsid w:val="542C5F25"/>
    <w:rsid w:val="542DB1F4"/>
    <w:rsid w:val="542DBE3B"/>
    <w:rsid w:val="542DEBD6"/>
    <w:rsid w:val="542E2129"/>
    <w:rsid w:val="542F2CB7"/>
    <w:rsid w:val="542F3725"/>
    <w:rsid w:val="542FBDF7"/>
    <w:rsid w:val="54306C39"/>
    <w:rsid w:val="543104E4"/>
    <w:rsid w:val="54311598"/>
    <w:rsid w:val="5431231A"/>
    <w:rsid w:val="54312414"/>
    <w:rsid w:val="543157BB"/>
    <w:rsid w:val="54317193"/>
    <w:rsid w:val="5431AA06"/>
    <w:rsid w:val="5431CD2E"/>
    <w:rsid w:val="5432F744"/>
    <w:rsid w:val="5433D19D"/>
    <w:rsid w:val="5433F53A"/>
    <w:rsid w:val="543491B4"/>
    <w:rsid w:val="54351E9E"/>
    <w:rsid w:val="543551AE"/>
    <w:rsid w:val="543590E5"/>
    <w:rsid w:val="543631FF"/>
    <w:rsid w:val="5436E0FB"/>
    <w:rsid w:val="54372C3E"/>
    <w:rsid w:val="54378025"/>
    <w:rsid w:val="5437A1D6"/>
    <w:rsid w:val="5437A4A7"/>
    <w:rsid w:val="5437F416"/>
    <w:rsid w:val="54390C03"/>
    <w:rsid w:val="543986A9"/>
    <w:rsid w:val="543A0672"/>
    <w:rsid w:val="543A4236"/>
    <w:rsid w:val="543A8E6D"/>
    <w:rsid w:val="543BDA65"/>
    <w:rsid w:val="543CA6E0"/>
    <w:rsid w:val="543CD2B3"/>
    <w:rsid w:val="543DEADE"/>
    <w:rsid w:val="543E7BFF"/>
    <w:rsid w:val="543F2EEE"/>
    <w:rsid w:val="543F7717"/>
    <w:rsid w:val="543FA359"/>
    <w:rsid w:val="54405588"/>
    <w:rsid w:val="54408383"/>
    <w:rsid w:val="5440DEDC"/>
    <w:rsid w:val="5441D33A"/>
    <w:rsid w:val="544341E6"/>
    <w:rsid w:val="54437D9F"/>
    <w:rsid w:val="5443DDF7"/>
    <w:rsid w:val="5444149A"/>
    <w:rsid w:val="5444B08B"/>
    <w:rsid w:val="5444CD8D"/>
    <w:rsid w:val="5446F037"/>
    <w:rsid w:val="54494C8E"/>
    <w:rsid w:val="5449907A"/>
    <w:rsid w:val="544A0974"/>
    <w:rsid w:val="544A3216"/>
    <w:rsid w:val="544ADF01"/>
    <w:rsid w:val="544C7BDB"/>
    <w:rsid w:val="544C9728"/>
    <w:rsid w:val="544CED81"/>
    <w:rsid w:val="544D1F15"/>
    <w:rsid w:val="544EEB8C"/>
    <w:rsid w:val="544F7223"/>
    <w:rsid w:val="544F8749"/>
    <w:rsid w:val="5450234B"/>
    <w:rsid w:val="54503FF0"/>
    <w:rsid w:val="5450B105"/>
    <w:rsid w:val="54511D13"/>
    <w:rsid w:val="54512053"/>
    <w:rsid w:val="54519AE1"/>
    <w:rsid w:val="5451C1C2"/>
    <w:rsid w:val="54524226"/>
    <w:rsid w:val="54528C87"/>
    <w:rsid w:val="5452F37F"/>
    <w:rsid w:val="54537390"/>
    <w:rsid w:val="5453A631"/>
    <w:rsid w:val="5453E5B0"/>
    <w:rsid w:val="5453E68F"/>
    <w:rsid w:val="545415F0"/>
    <w:rsid w:val="5454DFF5"/>
    <w:rsid w:val="5454E250"/>
    <w:rsid w:val="5454F57B"/>
    <w:rsid w:val="5456314D"/>
    <w:rsid w:val="54573B5F"/>
    <w:rsid w:val="54578C69"/>
    <w:rsid w:val="545820BD"/>
    <w:rsid w:val="54585C1A"/>
    <w:rsid w:val="54586453"/>
    <w:rsid w:val="545907D9"/>
    <w:rsid w:val="5459E6C1"/>
    <w:rsid w:val="545B463B"/>
    <w:rsid w:val="545B9E53"/>
    <w:rsid w:val="545BB0BF"/>
    <w:rsid w:val="545BE240"/>
    <w:rsid w:val="545CE3AA"/>
    <w:rsid w:val="545D2C91"/>
    <w:rsid w:val="545E468F"/>
    <w:rsid w:val="545E5506"/>
    <w:rsid w:val="545E5613"/>
    <w:rsid w:val="545E8091"/>
    <w:rsid w:val="545EBA4D"/>
    <w:rsid w:val="545EF6EA"/>
    <w:rsid w:val="545F33FC"/>
    <w:rsid w:val="545F3EBA"/>
    <w:rsid w:val="545F73B6"/>
    <w:rsid w:val="546091AA"/>
    <w:rsid w:val="54609565"/>
    <w:rsid w:val="5460CECE"/>
    <w:rsid w:val="54623DFE"/>
    <w:rsid w:val="5462E8B3"/>
    <w:rsid w:val="5463EF96"/>
    <w:rsid w:val="54645730"/>
    <w:rsid w:val="5464C667"/>
    <w:rsid w:val="54658610"/>
    <w:rsid w:val="54660CDA"/>
    <w:rsid w:val="54670A4E"/>
    <w:rsid w:val="5467C895"/>
    <w:rsid w:val="5468209C"/>
    <w:rsid w:val="546844F4"/>
    <w:rsid w:val="5468B139"/>
    <w:rsid w:val="5469243C"/>
    <w:rsid w:val="54695729"/>
    <w:rsid w:val="5469CE56"/>
    <w:rsid w:val="546AAAC5"/>
    <w:rsid w:val="546AB447"/>
    <w:rsid w:val="546C94EA"/>
    <w:rsid w:val="546DC15F"/>
    <w:rsid w:val="546E9542"/>
    <w:rsid w:val="546E9E64"/>
    <w:rsid w:val="5470387B"/>
    <w:rsid w:val="54707373"/>
    <w:rsid w:val="5470B3FF"/>
    <w:rsid w:val="54710417"/>
    <w:rsid w:val="54712480"/>
    <w:rsid w:val="54729968"/>
    <w:rsid w:val="5473314C"/>
    <w:rsid w:val="547346E9"/>
    <w:rsid w:val="547382AE"/>
    <w:rsid w:val="5473EA8E"/>
    <w:rsid w:val="54740DC4"/>
    <w:rsid w:val="547451FB"/>
    <w:rsid w:val="54752D09"/>
    <w:rsid w:val="54761121"/>
    <w:rsid w:val="54763485"/>
    <w:rsid w:val="54764D49"/>
    <w:rsid w:val="547670BE"/>
    <w:rsid w:val="54768D4E"/>
    <w:rsid w:val="5476916C"/>
    <w:rsid w:val="5476C986"/>
    <w:rsid w:val="54775976"/>
    <w:rsid w:val="54778EA8"/>
    <w:rsid w:val="54780A46"/>
    <w:rsid w:val="5478EAD2"/>
    <w:rsid w:val="547910CB"/>
    <w:rsid w:val="5479B40A"/>
    <w:rsid w:val="5479B6A4"/>
    <w:rsid w:val="547A029A"/>
    <w:rsid w:val="547B264B"/>
    <w:rsid w:val="547B32E3"/>
    <w:rsid w:val="547B9DF9"/>
    <w:rsid w:val="547BB87F"/>
    <w:rsid w:val="547BF405"/>
    <w:rsid w:val="547C7FFD"/>
    <w:rsid w:val="547D99DE"/>
    <w:rsid w:val="547EA98E"/>
    <w:rsid w:val="547F06AD"/>
    <w:rsid w:val="547FB39B"/>
    <w:rsid w:val="54803ED9"/>
    <w:rsid w:val="54809172"/>
    <w:rsid w:val="5481A0AD"/>
    <w:rsid w:val="5481C2A0"/>
    <w:rsid w:val="5482BF37"/>
    <w:rsid w:val="54834EFA"/>
    <w:rsid w:val="548382BB"/>
    <w:rsid w:val="548387D5"/>
    <w:rsid w:val="5484247D"/>
    <w:rsid w:val="548605E4"/>
    <w:rsid w:val="54864068"/>
    <w:rsid w:val="548669DB"/>
    <w:rsid w:val="5487417D"/>
    <w:rsid w:val="54876930"/>
    <w:rsid w:val="5487ACA5"/>
    <w:rsid w:val="54893626"/>
    <w:rsid w:val="5489A739"/>
    <w:rsid w:val="548A3CEE"/>
    <w:rsid w:val="548A569D"/>
    <w:rsid w:val="548C38AC"/>
    <w:rsid w:val="548C6351"/>
    <w:rsid w:val="548D16A9"/>
    <w:rsid w:val="548DD08C"/>
    <w:rsid w:val="548EA085"/>
    <w:rsid w:val="548EF0FD"/>
    <w:rsid w:val="548F1BB2"/>
    <w:rsid w:val="548F3E88"/>
    <w:rsid w:val="548F9180"/>
    <w:rsid w:val="5490882E"/>
    <w:rsid w:val="5490CD3D"/>
    <w:rsid w:val="5490FBED"/>
    <w:rsid w:val="54929378"/>
    <w:rsid w:val="5492B031"/>
    <w:rsid w:val="54947490"/>
    <w:rsid w:val="5494F3C6"/>
    <w:rsid w:val="5494FE91"/>
    <w:rsid w:val="549525EB"/>
    <w:rsid w:val="54952711"/>
    <w:rsid w:val="54953494"/>
    <w:rsid w:val="549608C4"/>
    <w:rsid w:val="54977D18"/>
    <w:rsid w:val="5497BF62"/>
    <w:rsid w:val="5497C0AC"/>
    <w:rsid w:val="5497C5A0"/>
    <w:rsid w:val="549836A2"/>
    <w:rsid w:val="549859D2"/>
    <w:rsid w:val="5498A4C4"/>
    <w:rsid w:val="5498DD67"/>
    <w:rsid w:val="5498FADF"/>
    <w:rsid w:val="5499097E"/>
    <w:rsid w:val="54998961"/>
    <w:rsid w:val="549A6C65"/>
    <w:rsid w:val="549A7547"/>
    <w:rsid w:val="549BD04F"/>
    <w:rsid w:val="549C23E6"/>
    <w:rsid w:val="549CCE67"/>
    <w:rsid w:val="549CE974"/>
    <w:rsid w:val="549D5101"/>
    <w:rsid w:val="549D5744"/>
    <w:rsid w:val="549DABAF"/>
    <w:rsid w:val="549E1226"/>
    <w:rsid w:val="549EB58B"/>
    <w:rsid w:val="549F0F3D"/>
    <w:rsid w:val="549F1FFE"/>
    <w:rsid w:val="549F499E"/>
    <w:rsid w:val="549FCA89"/>
    <w:rsid w:val="54A07602"/>
    <w:rsid w:val="54A07B5E"/>
    <w:rsid w:val="54A0CEE8"/>
    <w:rsid w:val="54A0DC4F"/>
    <w:rsid w:val="54A0DCD3"/>
    <w:rsid w:val="54A10FB1"/>
    <w:rsid w:val="54A24CE8"/>
    <w:rsid w:val="54A2C873"/>
    <w:rsid w:val="54A3166B"/>
    <w:rsid w:val="54A3BFFC"/>
    <w:rsid w:val="54A41124"/>
    <w:rsid w:val="54A45DE8"/>
    <w:rsid w:val="54A48A9E"/>
    <w:rsid w:val="54A578DF"/>
    <w:rsid w:val="54A69D81"/>
    <w:rsid w:val="54A6BC10"/>
    <w:rsid w:val="54A73986"/>
    <w:rsid w:val="54A7EE23"/>
    <w:rsid w:val="54A86BBB"/>
    <w:rsid w:val="54A89A34"/>
    <w:rsid w:val="54A91CF5"/>
    <w:rsid w:val="54A96470"/>
    <w:rsid w:val="54A982CD"/>
    <w:rsid w:val="54AA0D7E"/>
    <w:rsid w:val="54AA1C38"/>
    <w:rsid w:val="54AA65A1"/>
    <w:rsid w:val="54AA8289"/>
    <w:rsid w:val="54AB3920"/>
    <w:rsid w:val="54AC8029"/>
    <w:rsid w:val="54ACA418"/>
    <w:rsid w:val="54ACE7E8"/>
    <w:rsid w:val="54ACEA7F"/>
    <w:rsid w:val="54AD1E32"/>
    <w:rsid w:val="54AD6B32"/>
    <w:rsid w:val="54AD7690"/>
    <w:rsid w:val="54ADFE25"/>
    <w:rsid w:val="54AE86F0"/>
    <w:rsid w:val="54AEC34C"/>
    <w:rsid w:val="54AF4F31"/>
    <w:rsid w:val="54AF81F4"/>
    <w:rsid w:val="54B0D66C"/>
    <w:rsid w:val="54B1F9B2"/>
    <w:rsid w:val="54B21E7D"/>
    <w:rsid w:val="54B332B3"/>
    <w:rsid w:val="54B3C11A"/>
    <w:rsid w:val="54B436B9"/>
    <w:rsid w:val="54B49CA5"/>
    <w:rsid w:val="54B54D64"/>
    <w:rsid w:val="54B55AA3"/>
    <w:rsid w:val="54B59DF9"/>
    <w:rsid w:val="54B61C2D"/>
    <w:rsid w:val="54B647F6"/>
    <w:rsid w:val="54B6C766"/>
    <w:rsid w:val="54B6D584"/>
    <w:rsid w:val="54B77249"/>
    <w:rsid w:val="54B77606"/>
    <w:rsid w:val="54B7D009"/>
    <w:rsid w:val="54B7DCFF"/>
    <w:rsid w:val="54B85990"/>
    <w:rsid w:val="54B9627E"/>
    <w:rsid w:val="54B96ED6"/>
    <w:rsid w:val="54B977DD"/>
    <w:rsid w:val="54B9B920"/>
    <w:rsid w:val="54B9DC9A"/>
    <w:rsid w:val="54BA0949"/>
    <w:rsid w:val="54BC4B41"/>
    <w:rsid w:val="54BC692B"/>
    <w:rsid w:val="54BD2366"/>
    <w:rsid w:val="54BDBDBE"/>
    <w:rsid w:val="54BDC214"/>
    <w:rsid w:val="54BECBBA"/>
    <w:rsid w:val="54BEE1EC"/>
    <w:rsid w:val="54BEE87B"/>
    <w:rsid w:val="54BEEC98"/>
    <w:rsid w:val="54BF5189"/>
    <w:rsid w:val="54BFB86F"/>
    <w:rsid w:val="54C0AD82"/>
    <w:rsid w:val="54C24537"/>
    <w:rsid w:val="54C26E3D"/>
    <w:rsid w:val="54C29C1A"/>
    <w:rsid w:val="54C305EB"/>
    <w:rsid w:val="54C33112"/>
    <w:rsid w:val="54C3B5E9"/>
    <w:rsid w:val="54C3E72A"/>
    <w:rsid w:val="54C4F89F"/>
    <w:rsid w:val="54C50F0E"/>
    <w:rsid w:val="54C52307"/>
    <w:rsid w:val="54C82B96"/>
    <w:rsid w:val="54C8361E"/>
    <w:rsid w:val="54C88D36"/>
    <w:rsid w:val="54C8EF7E"/>
    <w:rsid w:val="54C8FA7E"/>
    <w:rsid w:val="54C9E9C2"/>
    <w:rsid w:val="54CB5057"/>
    <w:rsid w:val="54CB5F1E"/>
    <w:rsid w:val="54CB9420"/>
    <w:rsid w:val="54CC214C"/>
    <w:rsid w:val="54CCB6A4"/>
    <w:rsid w:val="54CD97B9"/>
    <w:rsid w:val="54CDE17C"/>
    <w:rsid w:val="54CE0BCA"/>
    <w:rsid w:val="54CE2E05"/>
    <w:rsid w:val="54CE5E61"/>
    <w:rsid w:val="54CEAC29"/>
    <w:rsid w:val="54CF2094"/>
    <w:rsid w:val="54CF39FA"/>
    <w:rsid w:val="54CF768E"/>
    <w:rsid w:val="54D0B99C"/>
    <w:rsid w:val="54D0D4FB"/>
    <w:rsid w:val="54D14415"/>
    <w:rsid w:val="54D152BC"/>
    <w:rsid w:val="54D17FF6"/>
    <w:rsid w:val="54D1BF32"/>
    <w:rsid w:val="54D21B4E"/>
    <w:rsid w:val="54D255F2"/>
    <w:rsid w:val="54D32001"/>
    <w:rsid w:val="54D37733"/>
    <w:rsid w:val="54D3B5DB"/>
    <w:rsid w:val="54D3C616"/>
    <w:rsid w:val="54D4CF44"/>
    <w:rsid w:val="54D4F72A"/>
    <w:rsid w:val="54D50550"/>
    <w:rsid w:val="54D5D6B1"/>
    <w:rsid w:val="54D5FFEC"/>
    <w:rsid w:val="54D6A514"/>
    <w:rsid w:val="54D81E1E"/>
    <w:rsid w:val="54D8D80E"/>
    <w:rsid w:val="54D97A04"/>
    <w:rsid w:val="54D99003"/>
    <w:rsid w:val="54D9C2E1"/>
    <w:rsid w:val="54DA2D6A"/>
    <w:rsid w:val="54DABA81"/>
    <w:rsid w:val="54DB8235"/>
    <w:rsid w:val="54DBD13F"/>
    <w:rsid w:val="54DC3399"/>
    <w:rsid w:val="54DD0F1C"/>
    <w:rsid w:val="54DD99DE"/>
    <w:rsid w:val="54DDC96A"/>
    <w:rsid w:val="54DF2AD9"/>
    <w:rsid w:val="54DF4B6C"/>
    <w:rsid w:val="54DF7C96"/>
    <w:rsid w:val="54DFC118"/>
    <w:rsid w:val="54DFF4A5"/>
    <w:rsid w:val="54E01E20"/>
    <w:rsid w:val="54E0A97C"/>
    <w:rsid w:val="54E1C976"/>
    <w:rsid w:val="54E1EE64"/>
    <w:rsid w:val="54E209B3"/>
    <w:rsid w:val="54E3FCAA"/>
    <w:rsid w:val="54E43963"/>
    <w:rsid w:val="54E44A97"/>
    <w:rsid w:val="54E53710"/>
    <w:rsid w:val="54E54BC1"/>
    <w:rsid w:val="54E55278"/>
    <w:rsid w:val="54E62E15"/>
    <w:rsid w:val="54E6F23D"/>
    <w:rsid w:val="54E83364"/>
    <w:rsid w:val="54E84E3C"/>
    <w:rsid w:val="54E87C99"/>
    <w:rsid w:val="54E8B636"/>
    <w:rsid w:val="54E940BF"/>
    <w:rsid w:val="54E94F36"/>
    <w:rsid w:val="54E9D2E2"/>
    <w:rsid w:val="54EA9561"/>
    <w:rsid w:val="54EB10EF"/>
    <w:rsid w:val="54EC3CD6"/>
    <w:rsid w:val="54EC8A88"/>
    <w:rsid w:val="54EC8DF0"/>
    <w:rsid w:val="54ECFDD9"/>
    <w:rsid w:val="54ED75DD"/>
    <w:rsid w:val="54EDA503"/>
    <w:rsid w:val="54EEBE76"/>
    <w:rsid w:val="54EFBAD0"/>
    <w:rsid w:val="54EFE918"/>
    <w:rsid w:val="54F0B9D8"/>
    <w:rsid w:val="54F171A6"/>
    <w:rsid w:val="54F20C0D"/>
    <w:rsid w:val="54F21889"/>
    <w:rsid w:val="54F22E56"/>
    <w:rsid w:val="54F3247D"/>
    <w:rsid w:val="54F46DB6"/>
    <w:rsid w:val="54F49354"/>
    <w:rsid w:val="54F4D619"/>
    <w:rsid w:val="54F57F3D"/>
    <w:rsid w:val="54F65599"/>
    <w:rsid w:val="54F69FC4"/>
    <w:rsid w:val="54F6D6D3"/>
    <w:rsid w:val="54F7AEEB"/>
    <w:rsid w:val="54F7D329"/>
    <w:rsid w:val="54F86C2A"/>
    <w:rsid w:val="54F8B15A"/>
    <w:rsid w:val="54F96954"/>
    <w:rsid w:val="54F9E784"/>
    <w:rsid w:val="54FA28E9"/>
    <w:rsid w:val="54FB01BF"/>
    <w:rsid w:val="54FBBB04"/>
    <w:rsid w:val="54FC00A0"/>
    <w:rsid w:val="54FDD290"/>
    <w:rsid w:val="54FDF77D"/>
    <w:rsid w:val="54FE0660"/>
    <w:rsid w:val="5500EA14"/>
    <w:rsid w:val="5500F614"/>
    <w:rsid w:val="55015C8F"/>
    <w:rsid w:val="5501FEA6"/>
    <w:rsid w:val="5502F4F8"/>
    <w:rsid w:val="55031A4A"/>
    <w:rsid w:val="55041794"/>
    <w:rsid w:val="55041A1C"/>
    <w:rsid w:val="55041B8C"/>
    <w:rsid w:val="5504FE2A"/>
    <w:rsid w:val="55062AE5"/>
    <w:rsid w:val="550653B9"/>
    <w:rsid w:val="550698B4"/>
    <w:rsid w:val="55083D26"/>
    <w:rsid w:val="5509A801"/>
    <w:rsid w:val="5509CB47"/>
    <w:rsid w:val="550AA464"/>
    <w:rsid w:val="550BAA66"/>
    <w:rsid w:val="550C546A"/>
    <w:rsid w:val="550CE19F"/>
    <w:rsid w:val="550D052E"/>
    <w:rsid w:val="550D1F46"/>
    <w:rsid w:val="550D37AD"/>
    <w:rsid w:val="550E3042"/>
    <w:rsid w:val="550E87FF"/>
    <w:rsid w:val="550EF00E"/>
    <w:rsid w:val="550FAFE6"/>
    <w:rsid w:val="55102624"/>
    <w:rsid w:val="5511A0A0"/>
    <w:rsid w:val="5511A776"/>
    <w:rsid w:val="551209B8"/>
    <w:rsid w:val="5512720B"/>
    <w:rsid w:val="5512F9BF"/>
    <w:rsid w:val="55133C91"/>
    <w:rsid w:val="55133D02"/>
    <w:rsid w:val="551474B8"/>
    <w:rsid w:val="55148054"/>
    <w:rsid w:val="5514AB7E"/>
    <w:rsid w:val="55152DA3"/>
    <w:rsid w:val="55153D25"/>
    <w:rsid w:val="5516B1D2"/>
    <w:rsid w:val="5517B93F"/>
    <w:rsid w:val="5518321B"/>
    <w:rsid w:val="55197E4C"/>
    <w:rsid w:val="551A22C3"/>
    <w:rsid w:val="551A78F8"/>
    <w:rsid w:val="551A83EF"/>
    <w:rsid w:val="551C578B"/>
    <w:rsid w:val="551CA704"/>
    <w:rsid w:val="551CBD5E"/>
    <w:rsid w:val="551CF893"/>
    <w:rsid w:val="551D1454"/>
    <w:rsid w:val="551D4E4C"/>
    <w:rsid w:val="551DC86A"/>
    <w:rsid w:val="551F0301"/>
    <w:rsid w:val="551F0A6F"/>
    <w:rsid w:val="551F683C"/>
    <w:rsid w:val="551F6C71"/>
    <w:rsid w:val="551FE598"/>
    <w:rsid w:val="552042D2"/>
    <w:rsid w:val="552059DB"/>
    <w:rsid w:val="5520CDE5"/>
    <w:rsid w:val="552188AC"/>
    <w:rsid w:val="552224AA"/>
    <w:rsid w:val="552241B3"/>
    <w:rsid w:val="5522DED8"/>
    <w:rsid w:val="5523148C"/>
    <w:rsid w:val="55231895"/>
    <w:rsid w:val="55238BE5"/>
    <w:rsid w:val="5523AE0A"/>
    <w:rsid w:val="55242C71"/>
    <w:rsid w:val="552465D1"/>
    <w:rsid w:val="5524726D"/>
    <w:rsid w:val="5524B93B"/>
    <w:rsid w:val="5525ACB2"/>
    <w:rsid w:val="5525D3D2"/>
    <w:rsid w:val="5525F43A"/>
    <w:rsid w:val="5526706D"/>
    <w:rsid w:val="552720E4"/>
    <w:rsid w:val="5527C135"/>
    <w:rsid w:val="55284237"/>
    <w:rsid w:val="5529F0E3"/>
    <w:rsid w:val="5529FE63"/>
    <w:rsid w:val="552ACB49"/>
    <w:rsid w:val="552BDEDD"/>
    <w:rsid w:val="552C1678"/>
    <w:rsid w:val="552C3006"/>
    <w:rsid w:val="552CBB40"/>
    <w:rsid w:val="552CCAA6"/>
    <w:rsid w:val="552DCAC6"/>
    <w:rsid w:val="552DE3AE"/>
    <w:rsid w:val="552E3897"/>
    <w:rsid w:val="552E57BF"/>
    <w:rsid w:val="552F61E7"/>
    <w:rsid w:val="552F93CB"/>
    <w:rsid w:val="552FA6F2"/>
    <w:rsid w:val="552FBBBA"/>
    <w:rsid w:val="552FC4B1"/>
    <w:rsid w:val="552FED55"/>
    <w:rsid w:val="55305B34"/>
    <w:rsid w:val="55315AC0"/>
    <w:rsid w:val="5531911F"/>
    <w:rsid w:val="55321CA2"/>
    <w:rsid w:val="55325838"/>
    <w:rsid w:val="55332344"/>
    <w:rsid w:val="55332B9B"/>
    <w:rsid w:val="5533CBFB"/>
    <w:rsid w:val="55340A6E"/>
    <w:rsid w:val="553447CA"/>
    <w:rsid w:val="55344927"/>
    <w:rsid w:val="55344D72"/>
    <w:rsid w:val="5534557F"/>
    <w:rsid w:val="55353BEF"/>
    <w:rsid w:val="5535D909"/>
    <w:rsid w:val="5536C908"/>
    <w:rsid w:val="55380610"/>
    <w:rsid w:val="55381075"/>
    <w:rsid w:val="55381699"/>
    <w:rsid w:val="55384A47"/>
    <w:rsid w:val="55391278"/>
    <w:rsid w:val="55392706"/>
    <w:rsid w:val="5539819F"/>
    <w:rsid w:val="5539A128"/>
    <w:rsid w:val="553A2C1C"/>
    <w:rsid w:val="553A8F1D"/>
    <w:rsid w:val="553A9C16"/>
    <w:rsid w:val="553AA8A6"/>
    <w:rsid w:val="553AC328"/>
    <w:rsid w:val="553B13ED"/>
    <w:rsid w:val="553B2FDE"/>
    <w:rsid w:val="553B43BC"/>
    <w:rsid w:val="553B5F3C"/>
    <w:rsid w:val="553BE648"/>
    <w:rsid w:val="553C1C2C"/>
    <w:rsid w:val="553C5D1B"/>
    <w:rsid w:val="553C9C5E"/>
    <w:rsid w:val="553EC7C3"/>
    <w:rsid w:val="553F829D"/>
    <w:rsid w:val="553FAF57"/>
    <w:rsid w:val="55403216"/>
    <w:rsid w:val="554054FE"/>
    <w:rsid w:val="55408D4E"/>
    <w:rsid w:val="5540EA38"/>
    <w:rsid w:val="5541DC5D"/>
    <w:rsid w:val="55437823"/>
    <w:rsid w:val="5544942D"/>
    <w:rsid w:val="5545837C"/>
    <w:rsid w:val="55476D12"/>
    <w:rsid w:val="5548C463"/>
    <w:rsid w:val="5548C981"/>
    <w:rsid w:val="5548E1F7"/>
    <w:rsid w:val="5549A0A1"/>
    <w:rsid w:val="554A91D9"/>
    <w:rsid w:val="554AD4B2"/>
    <w:rsid w:val="554C970A"/>
    <w:rsid w:val="554CEDEE"/>
    <w:rsid w:val="554D4B15"/>
    <w:rsid w:val="554F96C2"/>
    <w:rsid w:val="554FD290"/>
    <w:rsid w:val="555055AF"/>
    <w:rsid w:val="5550FC93"/>
    <w:rsid w:val="55515A8B"/>
    <w:rsid w:val="55518C55"/>
    <w:rsid w:val="55524B06"/>
    <w:rsid w:val="55528595"/>
    <w:rsid w:val="55539735"/>
    <w:rsid w:val="5553E590"/>
    <w:rsid w:val="5554C976"/>
    <w:rsid w:val="5554FB80"/>
    <w:rsid w:val="5555D08A"/>
    <w:rsid w:val="5556AB54"/>
    <w:rsid w:val="5556E0FD"/>
    <w:rsid w:val="5556F711"/>
    <w:rsid w:val="5557DA59"/>
    <w:rsid w:val="55588721"/>
    <w:rsid w:val="555B3ED0"/>
    <w:rsid w:val="555B48B0"/>
    <w:rsid w:val="555B94DB"/>
    <w:rsid w:val="555C97BB"/>
    <w:rsid w:val="555CC3F2"/>
    <w:rsid w:val="555CF40F"/>
    <w:rsid w:val="555CFB05"/>
    <w:rsid w:val="555CFFEB"/>
    <w:rsid w:val="555D7BE5"/>
    <w:rsid w:val="555D7CCF"/>
    <w:rsid w:val="555E5402"/>
    <w:rsid w:val="555F0C6F"/>
    <w:rsid w:val="555F4422"/>
    <w:rsid w:val="555F5753"/>
    <w:rsid w:val="555FEA76"/>
    <w:rsid w:val="555FF5D3"/>
    <w:rsid w:val="5560DAD2"/>
    <w:rsid w:val="55611806"/>
    <w:rsid w:val="55611C57"/>
    <w:rsid w:val="5561AB01"/>
    <w:rsid w:val="5561C110"/>
    <w:rsid w:val="5562F584"/>
    <w:rsid w:val="5562FE35"/>
    <w:rsid w:val="5563229A"/>
    <w:rsid w:val="55637B5D"/>
    <w:rsid w:val="5563DAAC"/>
    <w:rsid w:val="55640E96"/>
    <w:rsid w:val="556532AE"/>
    <w:rsid w:val="5565DAA5"/>
    <w:rsid w:val="55661B49"/>
    <w:rsid w:val="55665917"/>
    <w:rsid w:val="5566EFF8"/>
    <w:rsid w:val="55674705"/>
    <w:rsid w:val="5567B9E9"/>
    <w:rsid w:val="556885A0"/>
    <w:rsid w:val="5568903D"/>
    <w:rsid w:val="5569D519"/>
    <w:rsid w:val="556A2A0F"/>
    <w:rsid w:val="556A4664"/>
    <w:rsid w:val="556A6387"/>
    <w:rsid w:val="556A6802"/>
    <w:rsid w:val="556A826A"/>
    <w:rsid w:val="556AF1E7"/>
    <w:rsid w:val="556B878A"/>
    <w:rsid w:val="556BC70E"/>
    <w:rsid w:val="556BE295"/>
    <w:rsid w:val="556BE968"/>
    <w:rsid w:val="556C15E5"/>
    <w:rsid w:val="556C8AAA"/>
    <w:rsid w:val="556C980B"/>
    <w:rsid w:val="556CBF21"/>
    <w:rsid w:val="556D4D52"/>
    <w:rsid w:val="556DF09F"/>
    <w:rsid w:val="556F82FF"/>
    <w:rsid w:val="55704882"/>
    <w:rsid w:val="55714552"/>
    <w:rsid w:val="55715AEB"/>
    <w:rsid w:val="55718A38"/>
    <w:rsid w:val="55718A5F"/>
    <w:rsid w:val="5571EC64"/>
    <w:rsid w:val="55724385"/>
    <w:rsid w:val="55729E33"/>
    <w:rsid w:val="557373CC"/>
    <w:rsid w:val="5573AC47"/>
    <w:rsid w:val="5573DA70"/>
    <w:rsid w:val="55751777"/>
    <w:rsid w:val="55752116"/>
    <w:rsid w:val="5575BBE6"/>
    <w:rsid w:val="55761B99"/>
    <w:rsid w:val="55771CA3"/>
    <w:rsid w:val="5577912B"/>
    <w:rsid w:val="5577FABE"/>
    <w:rsid w:val="55780B63"/>
    <w:rsid w:val="557821F2"/>
    <w:rsid w:val="55784C96"/>
    <w:rsid w:val="55788D3C"/>
    <w:rsid w:val="5578AA58"/>
    <w:rsid w:val="55793562"/>
    <w:rsid w:val="557A70B5"/>
    <w:rsid w:val="557AE5F3"/>
    <w:rsid w:val="557C8795"/>
    <w:rsid w:val="557C8AE0"/>
    <w:rsid w:val="557D686F"/>
    <w:rsid w:val="557D7CDD"/>
    <w:rsid w:val="557DAEC3"/>
    <w:rsid w:val="557E985F"/>
    <w:rsid w:val="557F7770"/>
    <w:rsid w:val="557F7C59"/>
    <w:rsid w:val="557FCF74"/>
    <w:rsid w:val="557FD3A0"/>
    <w:rsid w:val="5580E118"/>
    <w:rsid w:val="55810DA1"/>
    <w:rsid w:val="55814DD1"/>
    <w:rsid w:val="5581A438"/>
    <w:rsid w:val="5581DC03"/>
    <w:rsid w:val="558257D8"/>
    <w:rsid w:val="55826E22"/>
    <w:rsid w:val="5582D766"/>
    <w:rsid w:val="55832D7B"/>
    <w:rsid w:val="55837A7B"/>
    <w:rsid w:val="55839556"/>
    <w:rsid w:val="5583B510"/>
    <w:rsid w:val="5583B57E"/>
    <w:rsid w:val="5583CFA1"/>
    <w:rsid w:val="55840B5A"/>
    <w:rsid w:val="5584A4F5"/>
    <w:rsid w:val="55858B3C"/>
    <w:rsid w:val="5585FCE2"/>
    <w:rsid w:val="55865A83"/>
    <w:rsid w:val="55867007"/>
    <w:rsid w:val="5586AB06"/>
    <w:rsid w:val="5586B06D"/>
    <w:rsid w:val="5586CC3E"/>
    <w:rsid w:val="5587D857"/>
    <w:rsid w:val="55887421"/>
    <w:rsid w:val="55893462"/>
    <w:rsid w:val="558979F2"/>
    <w:rsid w:val="558ADE51"/>
    <w:rsid w:val="558B1501"/>
    <w:rsid w:val="558B570A"/>
    <w:rsid w:val="558B5BC1"/>
    <w:rsid w:val="558BF977"/>
    <w:rsid w:val="558C27F0"/>
    <w:rsid w:val="558D4E47"/>
    <w:rsid w:val="558DEC17"/>
    <w:rsid w:val="558E0E28"/>
    <w:rsid w:val="558E699D"/>
    <w:rsid w:val="558E9311"/>
    <w:rsid w:val="558EDD87"/>
    <w:rsid w:val="558F350E"/>
    <w:rsid w:val="558F8B15"/>
    <w:rsid w:val="558F9E4F"/>
    <w:rsid w:val="55905887"/>
    <w:rsid w:val="5590882E"/>
    <w:rsid w:val="55912248"/>
    <w:rsid w:val="55919EEE"/>
    <w:rsid w:val="5591AFBC"/>
    <w:rsid w:val="559290DA"/>
    <w:rsid w:val="5592F67F"/>
    <w:rsid w:val="5594E6EA"/>
    <w:rsid w:val="55957F10"/>
    <w:rsid w:val="559588BA"/>
    <w:rsid w:val="55976373"/>
    <w:rsid w:val="55987612"/>
    <w:rsid w:val="5598E6FF"/>
    <w:rsid w:val="5598E714"/>
    <w:rsid w:val="559A5490"/>
    <w:rsid w:val="559A7E6E"/>
    <w:rsid w:val="559ADEE7"/>
    <w:rsid w:val="559B2D0B"/>
    <w:rsid w:val="559B537F"/>
    <w:rsid w:val="559B5814"/>
    <w:rsid w:val="559B6228"/>
    <w:rsid w:val="559BA7CD"/>
    <w:rsid w:val="559BD28C"/>
    <w:rsid w:val="559C925C"/>
    <w:rsid w:val="559D063B"/>
    <w:rsid w:val="559D3F2A"/>
    <w:rsid w:val="559D85AC"/>
    <w:rsid w:val="559D9C7B"/>
    <w:rsid w:val="559E1246"/>
    <w:rsid w:val="559EEED4"/>
    <w:rsid w:val="559F5FB3"/>
    <w:rsid w:val="559FEB50"/>
    <w:rsid w:val="55A028A2"/>
    <w:rsid w:val="55A0BA86"/>
    <w:rsid w:val="55A13C76"/>
    <w:rsid w:val="55A1CB5B"/>
    <w:rsid w:val="55A1D293"/>
    <w:rsid w:val="55A219F6"/>
    <w:rsid w:val="55A386AC"/>
    <w:rsid w:val="55A39472"/>
    <w:rsid w:val="55A3C7E6"/>
    <w:rsid w:val="55A4A3FE"/>
    <w:rsid w:val="55A4F128"/>
    <w:rsid w:val="55A4FBAD"/>
    <w:rsid w:val="55A54997"/>
    <w:rsid w:val="55A57A4F"/>
    <w:rsid w:val="55A580A7"/>
    <w:rsid w:val="55A5902D"/>
    <w:rsid w:val="55A6BCF7"/>
    <w:rsid w:val="55A70093"/>
    <w:rsid w:val="55A72DBD"/>
    <w:rsid w:val="55A794E4"/>
    <w:rsid w:val="55A81C33"/>
    <w:rsid w:val="55A91323"/>
    <w:rsid w:val="55AAA2E1"/>
    <w:rsid w:val="55AC9210"/>
    <w:rsid w:val="55AE2DEE"/>
    <w:rsid w:val="55AE7643"/>
    <w:rsid w:val="55AE7FCB"/>
    <w:rsid w:val="55AF628A"/>
    <w:rsid w:val="55B06B12"/>
    <w:rsid w:val="55B18596"/>
    <w:rsid w:val="55B1B5B8"/>
    <w:rsid w:val="55B3ADE0"/>
    <w:rsid w:val="55B3D14C"/>
    <w:rsid w:val="55B45E6C"/>
    <w:rsid w:val="55B53971"/>
    <w:rsid w:val="55B589F5"/>
    <w:rsid w:val="55B6D793"/>
    <w:rsid w:val="55B7D6E2"/>
    <w:rsid w:val="55B8387D"/>
    <w:rsid w:val="55B8BB9C"/>
    <w:rsid w:val="55B92D6A"/>
    <w:rsid w:val="55BA9124"/>
    <w:rsid w:val="55BB08A7"/>
    <w:rsid w:val="55BB1DA1"/>
    <w:rsid w:val="55BCA5AA"/>
    <w:rsid w:val="55BCBE72"/>
    <w:rsid w:val="55BD811E"/>
    <w:rsid w:val="55BDAB35"/>
    <w:rsid w:val="55BE0709"/>
    <w:rsid w:val="55BE5FF2"/>
    <w:rsid w:val="55BECEDD"/>
    <w:rsid w:val="55C0518C"/>
    <w:rsid w:val="55C12817"/>
    <w:rsid w:val="55C12F2C"/>
    <w:rsid w:val="55C163D4"/>
    <w:rsid w:val="55C1E34C"/>
    <w:rsid w:val="55C234E3"/>
    <w:rsid w:val="55C28683"/>
    <w:rsid w:val="55C39F36"/>
    <w:rsid w:val="55C4E6E6"/>
    <w:rsid w:val="55C5B884"/>
    <w:rsid w:val="55C63942"/>
    <w:rsid w:val="55C78400"/>
    <w:rsid w:val="55C821DD"/>
    <w:rsid w:val="55C868F9"/>
    <w:rsid w:val="55C90C77"/>
    <w:rsid w:val="55CA0893"/>
    <w:rsid w:val="55CA119E"/>
    <w:rsid w:val="55CA35E4"/>
    <w:rsid w:val="55CA529B"/>
    <w:rsid w:val="55CB6EE9"/>
    <w:rsid w:val="55CC90F4"/>
    <w:rsid w:val="55CCDAFC"/>
    <w:rsid w:val="55CCFFF5"/>
    <w:rsid w:val="55CDF402"/>
    <w:rsid w:val="55CE7C64"/>
    <w:rsid w:val="55CF7424"/>
    <w:rsid w:val="55D0C17F"/>
    <w:rsid w:val="55D0F747"/>
    <w:rsid w:val="55D16D43"/>
    <w:rsid w:val="55D187A7"/>
    <w:rsid w:val="55D26955"/>
    <w:rsid w:val="55D4BBFE"/>
    <w:rsid w:val="55D70611"/>
    <w:rsid w:val="55D76300"/>
    <w:rsid w:val="55D77172"/>
    <w:rsid w:val="55D86E11"/>
    <w:rsid w:val="55D8A4A6"/>
    <w:rsid w:val="55D8E608"/>
    <w:rsid w:val="55D8FAD6"/>
    <w:rsid w:val="55D9BE2E"/>
    <w:rsid w:val="55DA8C9F"/>
    <w:rsid w:val="55DB193E"/>
    <w:rsid w:val="55DC718E"/>
    <w:rsid w:val="55DCD5D0"/>
    <w:rsid w:val="55DD1C10"/>
    <w:rsid w:val="55DD1E2D"/>
    <w:rsid w:val="55DD2CBC"/>
    <w:rsid w:val="55DD7703"/>
    <w:rsid w:val="55DDDF9B"/>
    <w:rsid w:val="55DDF5F5"/>
    <w:rsid w:val="55DF988F"/>
    <w:rsid w:val="55E09EDE"/>
    <w:rsid w:val="55E0ACEA"/>
    <w:rsid w:val="55E161EC"/>
    <w:rsid w:val="55E1786B"/>
    <w:rsid w:val="55E1CD1D"/>
    <w:rsid w:val="55E1E9A4"/>
    <w:rsid w:val="55E2588A"/>
    <w:rsid w:val="55E2859F"/>
    <w:rsid w:val="55E41A9B"/>
    <w:rsid w:val="55E507A3"/>
    <w:rsid w:val="55E52C41"/>
    <w:rsid w:val="55E5A6B6"/>
    <w:rsid w:val="55E74244"/>
    <w:rsid w:val="55E76AC7"/>
    <w:rsid w:val="55E77199"/>
    <w:rsid w:val="55E88CBA"/>
    <w:rsid w:val="55E8BF30"/>
    <w:rsid w:val="55E937B5"/>
    <w:rsid w:val="55E9603D"/>
    <w:rsid w:val="55E97529"/>
    <w:rsid w:val="55E9CDA5"/>
    <w:rsid w:val="55EA0512"/>
    <w:rsid w:val="55EA4DE7"/>
    <w:rsid w:val="55EA731B"/>
    <w:rsid w:val="55EA7AD0"/>
    <w:rsid w:val="55EACD00"/>
    <w:rsid w:val="55EB01E9"/>
    <w:rsid w:val="55EB2199"/>
    <w:rsid w:val="55EB4928"/>
    <w:rsid w:val="55EB9B77"/>
    <w:rsid w:val="55EC1343"/>
    <w:rsid w:val="55ECF8BA"/>
    <w:rsid w:val="55EDBB23"/>
    <w:rsid w:val="55EFE737"/>
    <w:rsid w:val="55F0581A"/>
    <w:rsid w:val="55F0F512"/>
    <w:rsid w:val="55F11536"/>
    <w:rsid w:val="55F1D9AC"/>
    <w:rsid w:val="55F21733"/>
    <w:rsid w:val="55F2832F"/>
    <w:rsid w:val="55F28492"/>
    <w:rsid w:val="55F31773"/>
    <w:rsid w:val="55F38D81"/>
    <w:rsid w:val="55F434B4"/>
    <w:rsid w:val="55F4632C"/>
    <w:rsid w:val="55F476C6"/>
    <w:rsid w:val="55F49FD2"/>
    <w:rsid w:val="55F4AEA4"/>
    <w:rsid w:val="55F5603A"/>
    <w:rsid w:val="55F57136"/>
    <w:rsid w:val="55F579C0"/>
    <w:rsid w:val="55F58A84"/>
    <w:rsid w:val="55F5DA37"/>
    <w:rsid w:val="55F682F7"/>
    <w:rsid w:val="55F69C52"/>
    <w:rsid w:val="55F74969"/>
    <w:rsid w:val="55F7E9B9"/>
    <w:rsid w:val="55F7EE38"/>
    <w:rsid w:val="55F87C60"/>
    <w:rsid w:val="55F88927"/>
    <w:rsid w:val="55F89910"/>
    <w:rsid w:val="55F8B27E"/>
    <w:rsid w:val="55F8E145"/>
    <w:rsid w:val="55FA28CA"/>
    <w:rsid w:val="55FA4237"/>
    <w:rsid w:val="55FA8CC6"/>
    <w:rsid w:val="55FA8D0C"/>
    <w:rsid w:val="55FB1E73"/>
    <w:rsid w:val="55FD5C2D"/>
    <w:rsid w:val="55FE1D2A"/>
    <w:rsid w:val="55FE6B66"/>
    <w:rsid w:val="55FEB1C1"/>
    <w:rsid w:val="55FECA96"/>
    <w:rsid w:val="55FEF90F"/>
    <w:rsid w:val="55FF3DC6"/>
    <w:rsid w:val="55FF6E9F"/>
    <w:rsid w:val="55FFB2C6"/>
    <w:rsid w:val="5600C02A"/>
    <w:rsid w:val="5602279A"/>
    <w:rsid w:val="560240A0"/>
    <w:rsid w:val="56024910"/>
    <w:rsid w:val="56037DA4"/>
    <w:rsid w:val="5603D2A0"/>
    <w:rsid w:val="56046E22"/>
    <w:rsid w:val="560510D3"/>
    <w:rsid w:val="560662F4"/>
    <w:rsid w:val="56066AB6"/>
    <w:rsid w:val="5606703E"/>
    <w:rsid w:val="56068885"/>
    <w:rsid w:val="5606BB90"/>
    <w:rsid w:val="5607B164"/>
    <w:rsid w:val="5608EF35"/>
    <w:rsid w:val="56090460"/>
    <w:rsid w:val="560A526C"/>
    <w:rsid w:val="560ACA85"/>
    <w:rsid w:val="560AE70E"/>
    <w:rsid w:val="560B3455"/>
    <w:rsid w:val="560B41AD"/>
    <w:rsid w:val="560B4779"/>
    <w:rsid w:val="560B5506"/>
    <w:rsid w:val="560B6A62"/>
    <w:rsid w:val="560BE7C9"/>
    <w:rsid w:val="560BF99A"/>
    <w:rsid w:val="560C3C16"/>
    <w:rsid w:val="560C791E"/>
    <w:rsid w:val="560C981F"/>
    <w:rsid w:val="560CB9DF"/>
    <w:rsid w:val="560CD77D"/>
    <w:rsid w:val="560DCEBD"/>
    <w:rsid w:val="560E15D9"/>
    <w:rsid w:val="560E5913"/>
    <w:rsid w:val="560F02B1"/>
    <w:rsid w:val="560F0890"/>
    <w:rsid w:val="560F7F12"/>
    <w:rsid w:val="560FD3EA"/>
    <w:rsid w:val="56100783"/>
    <w:rsid w:val="561026A3"/>
    <w:rsid w:val="561030EC"/>
    <w:rsid w:val="5610C2EF"/>
    <w:rsid w:val="5610CFED"/>
    <w:rsid w:val="5610D78A"/>
    <w:rsid w:val="5610D8C8"/>
    <w:rsid w:val="56111AA7"/>
    <w:rsid w:val="56111B85"/>
    <w:rsid w:val="56116D0C"/>
    <w:rsid w:val="5611AC63"/>
    <w:rsid w:val="5611E773"/>
    <w:rsid w:val="5612F8DF"/>
    <w:rsid w:val="56132D41"/>
    <w:rsid w:val="5613B411"/>
    <w:rsid w:val="5613BD03"/>
    <w:rsid w:val="56143AEA"/>
    <w:rsid w:val="5614E5B5"/>
    <w:rsid w:val="56159BFC"/>
    <w:rsid w:val="5615A06B"/>
    <w:rsid w:val="5615C3E4"/>
    <w:rsid w:val="5615F72F"/>
    <w:rsid w:val="5616306C"/>
    <w:rsid w:val="56166ADA"/>
    <w:rsid w:val="56167738"/>
    <w:rsid w:val="56168C92"/>
    <w:rsid w:val="5616AB09"/>
    <w:rsid w:val="56171091"/>
    <w:rsid w:val="5617A1B0"/>
    <w:rsid w:val="56180E4D"/>
    <w:rsid w:val="5618C8D4"/>
    <w:rsid w:val="56193182"/>
    <w:rsid w:val="56197023"/>
    <w:rsid w:val="5619A6E2"/>
    <w:rsid w:val="5619E841"/>
    <w:rsid w:val="561AE197"/>
    <w:rsid w:val="561C01DE"/>
    <w:rsid w:val="561C3E6D"/>
    <w:rsid w:val="561CE389"/>
    <w:rsid w:val="561D3B3E"/>
    <w:rsid w:val="561D8B8F"/>
    <w:rsid w:val="561D9384"/>
    <w:rsid w:val="561D978E"/>
    <w:rsid w:val="561D9864"/>
    <w:rsid w:val="561E8483"/>
    <w:rsid w:val="561E8DD3"/>
    <w:rsid w:val="561FFCEE"/>
    <w:rsid w:val="562061B4"/>
    <w:rsid w:val="5620907D"/>
    <w:rsid w:val="56209785"/>
    <w:rsid w:val="5620CFA2"/>
    <w:rsid w:val="5621C05C"/>
    <w:rsid w:val="5622BB13"/>
    <w:rsid w:val="5622DAF2"/>
    <w:rsid w:val="56239444"/>
    <w:rsid w:val="562395C4"/>
    <w:rsid w:val="5623D318"/>
    <w:rsid w:val="5623E444"/>
    <w:rsid w:val="5624581B"/>
    <w:rsid w:val="56249202"/>
    <w:rsid w:val="5624B17C"/>
    <w:rsid w:val="5624B977"/>
    <w:rsid w:val="5625096E"/>
    <w:rsid w:val="562727F6"/>
    <w:rsid w:val="5627665E"/>
    <w:rsid w:val="5627CAAB"/>
    <w:rsid w:val="56281A40"/>
    <w:rsid w:val="5628CDD3"/>
    <w:rsid w:val="5628F4B3"/>
    <w:rsid w:val="56292A54"/>
    <w:rsid w:val="5629A96D"/>
    <w:rsid w:val="5629C49B"/>
    <w:rsid w:val="5629FE12"/>
    <w:rsid w:val="562A04A4"/>
    <w:rsid w:val="562A15A5"/>
    <w:rsid w:val="562A8686"/>
    <w:rsid w:val="562B3F8F"/>
    <w:rsid w:val="562B51BE"/>
    <w:rsid w:val="562BACCC"/>
    <w:rsid w:val="562C5E05"/>
    <w:rsid w:val="562C8B05"/>
    <w:rsid w:val="562CA8BE"/>
    <w:rsid w:val="562CE777"/>
    <w:rsid w:val="562D2FBF"/>
    <w:rsid w:val="562DE644"/>
    <w:rsid w:val="562E10A2"/>
    <w:rsid w:val="562E5F60"/>
    <w:rsid w:val="562EE104"/>
    <w:rsid w:val="562FDCC9"/>
    <w:rsid w:val="5630875E"/>
    <w:rsid w:val="563092F1"/>
    <w:rsid w:val="5630BD06"/>
    <w:rsid w:val="56310B4C"/>
    <w:rsid w:val="56316C4D"/>
    <w:rsid w:val="56329A4D"/>
    <w:rsid w:val="56335CD7"/>
    <w:rsid w:val="5633BF2C"/>
    <w:rsid w:val="56345746"/>
    <w:rsid w:val="5634A73B"/>
    <w:rsid w:val="5635054C"/>
    <w:rsid w:val="563521D4"/>
    <w:rsid w:val="56353FA2"/>
    <w:rsid w:val="56356D84"/>
    <w:rsid w:val="5635DF66"/>
    <w:rsid w:val="5635EFBA"/>
    <w:rsid w:val="56367377"/>
    <w:rsid w:val="563786F0"/>
    <w:rsid w:val="5637E343"/>
    <w:rsid w:val="5638085A"/>
    <w:rsid w:val="56393A67"/>
    <w:rsid w:val="563A9471"/>
    <w:rsid w:val="563AA10C"/>
    <w:rsid w:val="563AA346"/>
    <w:rsid w:val="563B3350"/>
    <w:rsid w:val="563B4570"/>
    <w:rsid w:val="563C15FE"/>
    <w:rsid w:val="563CEE01"/>
    <w:rsid w:val="563D07D9"/>
    <w:rsid w:val="563D7B21"/>
    <w:rsid w:val="563DDD8D"/>
    <w:rsid w:val="563EC7ED"/>
    <w:rsid w:val="563F1B33"/>
    <w:rsid w:val="563F6047"/>
    <w:rsid w:val="563FBC77"/>
    <w:rsid w:val="563FF410"/>
    <w:rsid w:val="56405529"/>
    <w:rsid w:val="564070CB"/>
    <w:rsid w:val="5640C4AC"/>
    <w:rsid w:val="56417D8A"/>
    <w:rsid w:val="564281E8"/>
    <w:rsid w:val="56430E4F"/>
    <w:rsid w:val="564419D8"/>
    <w:rsid w:val="56450F1A"/>
    <w:rsid w:val="5645252E"/>
    <w:rsid w:val="5645BC97"/>
    <w:rsid w:val="56463B75"/>
    <w:rsid w:val="5646E24B"/>
    <w:rsid w:val="56479FC7"/>
    <w:rsid w:val="5647F300"/>
    <w:rsid w:val="56483D51"/>
    <w:rsid w:val="56489A63"/>
    <w:rsid w:val="56489A7F"/>
    <w:rsid w:val="5648D88F"/>
    <w:rsid w:val="5648EB6B"/>
    <w:rsid w:val="56498EF8"/>
    <w:rsid w:val="5649FCFF"/>
    <w:rsid w:val="564A73F3"/>
    <w:rsid w:val="564ACAF5"/>
    <w:rsid w:val="564AD21F"/>
    <w:rsid w:val="564ADA58"/>
    <w:rsid w:val="564B4885"/>
    <w:rsid w:val="564B9420"/>
    <w:rsid w:val="564BCBF5"/>
    <w:rsid w:val="564C3BC2"/>
    <w:rsid w:val="564C69DA"/>
    <w:rsid w:val="564C6FE4"/>
    <w:rsid w:val="564DA171"/>
    <w:rsid w:val="564E11BB"/>
    <w:rsid w:val="564E8270"/>
    <w:rsid w:val="564EC137"/>
    <w:rsid w:val="564ED1C8"/>
    <w:rsid w:val="564EE801"/>
    <w:rsid w:val="564F412F"/>
    <w:rsid w:val="564FFAB5"/>
    <w:rsid w:val="565073C9"/>
    <w:rsid w:val="5650762D"/>
    <w:rsid w:val="5651AC84"/>
    <w:rsid w:val="5652A33F"/>
    <w:rsid w:val="5652D229"/>
    <w:rsid w:val="56536050"/>
    <w:rsid w:val="5653A92E"/>
    <w:rsid w:val="5653B47E"/>
    <w:rsid w:val="5654F97A"/>
    <w:rsid w:val="5655A218"/>
    <w:rsid w:val="5655AB40"/>
    <w:rsid w:val="56563107"/>
    <w:rsid w:val="565689F7"/>
    <w:rsid w:val="5656B926"/>
    <w:rsid w:val="56572DB5"/>
    <w:rsid w:val="5657803F"/>
    <w:rsid w:val="5657BA5F"/>
    <w:rsid w:val="565801E2"/>
    <w:rsid w:val="56594B73"/>
    <w:rsid w:val="565A2D3C"/>
    <w:rsid w:val="565A42DE"/>
    <w:rsid w:val="565A635E"/>
    <w:rsid w:val="565B21EA"/>
    <w:rsid w:val="565BC1E1"/>
    <w:rsid w:val="565C41B6"/>
    <w:rsid w:val="565C5F11"/>
    <w:rsid w:val="565C7790"/>
    <w:rsid w:val="565CAD17"/>
    <w:rsid w:val="565CED88"/>
    <w:rsid w:val="565D9895"/>
    <w:rsid w:val="565DC430"/>
    <w:rsid w:val="565DF33F"/>
    <w:rsid w:val="565E48AE"/>
    <w:rsid w:val="565E7E39"/>
    <w:rsid w:val="565EDC80"/>
    <w:rsid w:val="565F0A06"/>
    <w:rsid w:val="565F36C3"/>
    <w:rsid w:val="565FAAA6"/>
    <w:rsid w:val="565FF38B"/>
    <w:rsid w:val="56600218"/>
    <w:rsid w:val="56601B57"/>
    <w:rsid w:val="5660206F"/>
    <w:rsid w:val="56606D28"/>
    <w:rsid w:val="5660ACF8"/>
    <w:rsid w:val="566116DA"/>
    <w:rsid w:val="566163BB"/>
    <w:rsid w:val="5661BF13"/>
    <w:rsid w:val="5661EEAE"/>
    <w:rsid w:val="566285B1"/>
    <w:rsid w:val="5662AA94"/>
    <w:rsid w:val="56637901"/>
    <w:rsid w:val="56639DCE"/>
    <w:rsid w:val="5663AB7D"/>
    <w:rsid w:val="5663B1C9"/>
    <w:rsid w:val="5663C92D"/>
    <w:rsid w:val="56640B36"/>
    <w:rsid w:val="566419FC"/>
    <w:rsid w:val="566461F9"/>
    <w:rsid w:val="56648CA3"/>
    <w:rsid w:val="5664B3F7"/>
    <w:rsid w:val="5664DCAD"/>
    <w:rsid w:val="56653F0F"/>
    <w:rsid w:val="56669B06"/>
    <w:rsid w:val="56669D86"/>
    <w:rsid w:val="5666E9A2"/>
    <w:rsid w:val="5666ECA0"/>
    <w:rsid w:val="56687CD0"/>
    <w:rsid w:val="5668A027"/>
    <w:rsid w:val="56693459"/>
    <w:rsid w:val="566982E1"/>
    <w:rsid w:val="56698A90"/>
    <w:rsid w:val="56699849"/>
    <w:rsid w:val="566AA341"/>
    <w:rsid w:val="566B7D17"/>
    <w:rsid w:val="566BC833"/>
    <w:rsid w:val="566C839D"/>
    <w:rsid w:val="566D3C7F"/>
    <w:rsid w:val="566D7B58"/>
    <w:rsid w:val="566D9562"/>
    <w:rsid w:val="566D9D50"/>
    <w:rsid w:val="566DCD32"/>
    <w:rsid w:val="566DEA55"/>
    <w:rsid w:val="566F61E0"/>
    <w:rsid w:val="5670C822"/>
    <w:rsid w:val="56716FD6"/>
    <w:rsid w:val="5671F5C2"/>
    <w:rsid w:val="5671FA21"/>
    <w:rsid w:val="567218FF"/>
    <w:rsid w:val="56729828"/>
    <w:rsid w:val="56730FC5"/>
    <w:rsid w:val="567323C5"/>
    <w:rsid w:val="5674394E"/>
    <w:rsid w:val="567534F7"/>
    <w:rsid w:val="56767F02"/>
    <w:rsid w:val="5677ED5F"/>
    <w:rsid w:val="56785DBD"/>
    <w:rsid w:val="5678837E"/>
    <w:rsid w:val="56797480"/>
    <w:rsid w:val="5679AAF3"/>
    <w:rsid w:val="567A1F5C"/>
    <w:rsid w:val="567A1FA9"/>
    <w:rsid w:val="567AA64F"/>
    <w:rsid w:val="567B1F35"/>
    <w:rsid w:val="567B2F2C"/>
    <w:rsid w:val="567B7818"/>
    <w:rsid w:val="567D1EC0"/>
    <w:rsid w:val="567D8FEB"/>
    <w:rsid w:val="567E59CC"/>
    <w:rsid w:val="567F3427"/>
    <w:rsid w:val="567FCD90"/>
    <w:rsid w:val="5680DE22"/>
    <w:rsid w:val="56818A37"/>
    <w:rsid w:val="568240E7"/>
    <w:rsid w:val="5682D316"/>
    <w:rsid w:val="56834393"/>
    <w:rsid w:val="56837456"/>
    <w:rsid w:val="5683D6BB"/>
    <w:rsid w:val="568464F1"/>
    <w:rsid w:val="5684CE1F"/>
    <w:rsid w:val="56854DED"/>
    <w:rsid w:val="568591EF"/>
    <w:rsid w:val="56859F55"/>
    <w:rsid w:val="5685E301"/>
    <w:rsid w:val="5686631C"/>
    <w:rsid w:val="5686C74C"/>
    <w:rsid w:val="56874CBB"/>
    <w:rsid w:val="56879710"/>
    <w:rsid w:val="56879F10"/>
    <w:rsid w:val="5687DA52"/>
    <w:rsid w:val="5687F1AF"/>
    <w:rsid w:val="56882FAE"/>
    <w:rsid w:val="568866A8"/>
    <w:rsid w:val="5688B480"/>
    <w:rsid w:val="5688D810"/>
    <w:rsid w:val="5688F4B8"/>
    <w:rsid w:val="56892DB2"/>
    <w:rsid w:val="568A98F1"/>
    <w:rsid w:val="568B5011"/>
    <w:rsid w:val="568BA082"/>
    <w:rsid w:val="568D7D7E"/>
    <w:rsid w:val="568E986E"/>
    <w:rsid w:val="568EDB7A"/>
    <w:rsid w:val="56904D99"/>
    <w:rsid w:val="56908820"/>
    <w:rsid w:val="56909BE0"/>
    <w:rsid w:val="5690B37D"/>
    <w:rsid w:val="5691265C"/>
    <w:rsid w:val="56917AAD"/>
    <w:rsid w:val="56918A5F"/>
    <w:rsid w:val="569190BE"/>
    <w:rsid w:val="5691DFEC"/>
    <w:rsid w:val="56923243"/>
    <w:rsid w:val="5692A0C8"/>
    <w:rsid w:val="5693E629"/>
    <w:rsid w:val="5694115E"/>
    <w:rsid w:val="5695C83C"/>
    <w:rsid w:val="56965E8D"/>
    <w:rsid w:val="569660D3"/>
    <w:rsid w:val="5696B732"/>
    <w:rsid w:val="56973BE2"/>
    <w:rsid w:val="569811ED"/>
    <w:rsid w:val="5698C756"/>
    <w:rsid w:val="5698DE54"/>
    <w:rsid w:val="56991422"/>
    <w:rsid w:val="569958D0"/>
    <w:rsid w:val="569AE4B7"/>
    <w:rsid w:val="569B05EB"/>
    <w:rsid w:val="569B170F"/>
    <w:rsid w:val="569B81A8"/>
    <w:rsid w:val="569C1126"/>
    <w:rsid w:val="569CEEDD"/>
    <w:rsid w:val="569CF16D"/>
    <w:rsid w:val="569D9067"/>
    <w:rsid w:val="569DC0A1"/>
    <w:rsid w:val="569DE1BF"/>
    <w:rsid w:val="569E1348"/>
    <w:rsid w:val="569FBCC8"/>
    <w:rsid w:val="569FC629"/>
    <w:rsid w:val="569FD01E"/>
    <w:rsid w:val="56A1927F"/>
    <w:rsid w:val="56A1AAD4"/>
    <w:rsid w:val="56A31DCE"/>
    <w:rsid w:val="56A34A21"/>
    <w:rsid w:val="56A359EC"/>
    <w:rsid w:val="56A4C03A"/>
    <w:rsid w:val="56A62212"/>
    <w:rsid w:val="56A628E0"/>
    <w:rsid w:val="56A6A1D9"/>
    <w:rsid w:val="56A6A8E8"/>
    <w:rsid w:val="56A6B8B6"/>
    <w:rsid w:val="56A731D4"/>
    <w:rsid w:val="56A78F31"/>
    <w:rsid w:val="56A8EFA7"/>
    <w:rsid w:val="56A95DE0"/>
    <w:rsid w:val="56A9943B"/>
    <w:rsid w:val="56AA129A"/>
    <w:rsid w:val="56AAC5EA"/>
    <w:rsid w:val="56AB3111"/>
    <w:rsid w:val="56AB3B20"/>
    <w:rsid w:val="56ABB24F"/>
    <w:rsid w:val="56ACE163"/>
    <w:rsid w:val="56ACEE3E"/>
    <w:rsid w:val="56AD533B"/>
    <w:rsid w:val="56AE576B"/>
    <w:rsid w:val="56AF7D1D"/>
    <w:rsid w:val="56AFDE4F"/>
    <w:rsid w:val="56AFE219"/>
    <w:rsid w:val="56AFFDD7"/>
    <w:rsid w:val="56B008A0"/>
    <w:rsid w:val="56B032AA"/>
    <w:rsid w:val="56B04788"/>
    <w:rsid w:val="56B21278"/>
    <w:rsid w:val="56B339B0"/>
    <w:rsid w:val="56B389A0"/>
    <w:rsid w:val="56B3FEE5"/>
    <w:rsid w:val="56B4F315"/>
    <w:rsid w:val="56B4F49E"/>
    <w:rsid w:val="56B614D4"/>
    <w:rsid w:val="56B63DAE"/>
    <w:rsid w:val="56B6AD93"/>
    <w:rsid w:val="56B6C2FD"/>
    <w:rsid w:val="56B6F23A"/>
    <w:rsid w:val="56B75278"/>
    <w:rsid w:val="56B96DC8"/>
    <w:rsid w:val="56B977A1"/>
    <w:rsid w:val="56B98B86"/>
    <w:rsid w:val="56BA8B78"/>
    <w:rsid w:val="56BA8FED"/>
    <w:rsid w:val="56BAD3D4"/>
    <w:rsid w:val="56BB24AF"/>
    <w:rsid w:val="56BC3971"/>
    <w:rsid w:val="56BCF1B6"/>
    <w:rsid w:val="56BD4FB0"/>
    <w:rsid w:val="56BDD234"/>
    <w:rsid w:val="56BE4123"/>
    <w:rsid w:val="56BE84E3"/>
    <w:rsid w:val="56BE9D42"/>
    <w:rsid w:val="56BECBC0"/>
    <w:rsid w:val="56BF2B90"/>
    <w:rsid w:val="56BF9FB4"/>
    <w:rsid w:val="56C0DEB9"/>
    <w:rsid w:val="56C131A6"/>
    <w:rsid w:val="56C14D87"/>
    <w:rsid w:val="56C1D0E3"/>
    <w:rsid w:val="56C224AA"/>
    <w:rsid w:val="56C2B50F"/>
    <w:rsid w:val="56C2B651"/>
    <w:rsid w:val="56C2EEB5"/>
    <w:rsid w:val="56C30F01"/>
    <w:rsid w:val="56C358A1"/>
    <w:rsid w:val="56C36328"/>
    <w:rsid w:val="56C389F9"/>
    <w:rsid w:val="56C59A37"/>
    <w:rsid w:val="56C63FD5"/>
    <w:rsid w:val="56C6B19E"/>
    <w:rsid w:val="56C6F472"/>
    <w:rsid w:val="56C75172"/>
    <w:rsid w:val="56C7E7C1"/>
    <w:rsid w:val="56C80B6E"/>
    <w:rsid w:val="56C80D95"/>
    <w:rsid w:val="56C8976C"/>
    <w:rsid w:val="56C910C6"/>
    <w:rsid w:val="56C952E0"/>
    <w:rsid w:val="56CAF0A4"/>
    <w:rsid w:val="56CBD408"/>
    <w:rsid w:val="56CBF39C"/>
    <w:rsid w:val="56CBFC63"/>
    <w:rsid w:val="56CC0D93"/>
    <w:rsid w:val="56CD1E71"/>
    <w:rsid w:val="56CD1EE1"/>
    <w:rsid w:val="56CD9616"/>
    <w:rsid w:val="56CDEB82"/>
    <w:rsid w:val="56CE2AFA"/>
    <w:rsid w:val="56CF2C98"/>
    <w:rsid w:val="56CF9713"/>
    <w:rsid w:val="56D08821"/>
    <w:rsid w:val="56D0DC48"/>
    <w:rsid w:val="56D112D2"/>
    <w:rsid w:val="56D117FC"/>
    <w:rsid w:val="56D13545"/>
    <w:rsid w:val="56D13C78"/>
    <w:rsid w:val="56D17B8A"/>
    <w:rsid w:val="56D25BD8"/>
    <w:rsid w:val="56D32D64"/>
    <w:rsid w:val="56D3A0ED"/>
    <w:rsid w:val="56D3A6F8"/>
    <w:rsid w:val="56D420EA"/>
    <w:rsid w:val="56D4537B"/>
    <w:rsid w:val="56D4A06A"/>
    <w:rsid w:val="56D56A14"/>
    <w:rsid w:val="56D60123"/>
    <w:rsid w:val="56D65327"/>
    <w:rsid w:val="56D69071"/>
    <w:rsid w:val="56D6E93D"/>
    <w:rsid w:val="56D76FDB"/>
    <w:rsid w:val="56D778D1"/>
    <w:rsid w:val="56D7BB21"/>
    <w:rsid w:val="56D7E6E6"/>
    <w:rsid w:val="56D84226"/>
    <w:rsid w:val="56D84B14"/>
    <w:rsid w:val="56D8E573"/>
    <w:rsid w:val="56D8FF87"/>
    <w:rsid w:val="56DA01C5"/>
    <w:rsid w:val="56DA26BE"/>
    <w:rsid w:val="56DAC849"/>
    <w:rsid w:val="56DAD0D5"/>
    <w:rsid w:val="56DAED6E"/>
    <w:rsid w:val="56DBD56A"/>
    <w:rsid w:val="56DC9865"/>
    <w:rsid w:val="56DF193B"/>
    <w:rsid w:val="56DF91F5"/>
    <w:rsid w:val="56E0552C"/>
    <w:rsid w:val="56E0D47F"/>
    <w:rsid w:val="56E0DFC5"/>
    <w:rsid w:val="56E116A1"/>
    <w:rsid w:val="56E11A9C"/>
    <w:rsid w:val="56E1B298"/>
    <w:rsid w:val="56E26DC7"/>
    <w:rsid w:val="56E2EC96"/>
    <w:rsid w:val="56E38BE9"/>
    <w:rsid w:val="56E38D8A"/>
    <w:rsid w:val="56E4260F"/>
    <w:rsid w:val="56E427F8"/>
    <w:rsid w:val="56E4D886"/>
    <w:rsid w:val="56E68461"/>
    <w:rsid w:val="56E6F5E7"/>
    <w:rsid w:val="56E72367"/>
    <w:rsid w:val="56E73392"/>
    <w:rsid w:val="56E79B1B"/>
    <w:rsid w:val="56E8C6C6"/>
    <w:rsid w:val="56E8E1BF"/>
    <w:rsid w:val="56E8FAEA"/>
    <w:rsid w:val="56E9348F"/>
    <w:rsid w:val="56E9A398"/>
    <w:rsid w:val="56EA4BF7"/>
    <w:rsid w:val="56EA8EDA"/>
    <w:rsid w:val="56EB229D"/>
    <w:rsid w:val="56EB3EC0"/>
    <w:rsid w:val="56EB72BD"/>
    <w:rsid w:val="56EBA7ED"/>
    <w:rsid w:val="56EC1856"/>
    <w:rsid w:val="56ED7734"/>
    <w:rsid w:val="56EE5E1D"/>
    <w:rsid w:val="56EF2C19"/>
    <w:rsid w:val="56EF52BB"/>
    <w:rsid w:val="56EFE1C6"/>
    <w:rsid w:val="56EFF67E"/>
    <w:rsid w:val="56F02CD5"/>
    <w:rsid w:val="56F1625D"/>
    <w:rsid w:val="56F216B7"/>
    <w:rsid w:val="56F226C9"/>
    <w:rsid w:val="56F298AA"/>
    <w:rsid w:val="56F30361"/>
    <w:rsid w:val="56F33994"/>
    <w:rsid w:val="56F39134"/>
    <w:rsid w:val="56F399A5"/>
    <w:rsid w:val="56F39ADE"/>
    <w:rsid w:val="56F3D281"/>
    <w:rsid w:val="56F3E1DC"/>
    <w:rsid w:val="56F425CA"/>
    <w:rsid w:val="56F42F85"/>
    <w:rsid w:val="56F45EE8"/>
    <w:rsid w:val="56F48133"/>
    <w:rsid w:val="56F5837F"/>
    <w:rsid w:val="56F7452C"/>
    <w:rsid w:val="56F894D9"/>
    <w:rsid w:val="56F8F3AF"/>
    <w:rsid w:val="56FA4BB4"/>
    <w:rsid w:val="56FA8A61"/>
    <w:rsid w:val="56FB0003"/>
    <w:rsid w:val="56FB6F89"/>
    <w:rsid w:val="56FB701C"/>
    <w:rsid w:val="56FC447F"/>
    <w:rsid w:val="56FC54B0"/>
    <w:rsid w:val="56FD0E09"/>
    <w:rsid w:val="56FDE01E"/>
    <w:rsid w:val="56FDF1BD"/>
    <w:rsid w:val="56FE33ED"/>
    <w:rsid w:val="56FE8132"/>
    <w:rsid w:val="56FF6194"/>
    <w:rsid w:val="56FF95D2"/>
    <w:rsid w:val="56FFA735"/>
    <w:rsid w:val="5700FA3D"/>
    <w:rsid w:val="57027CB0"/>
    <w:rsid w:val="5703A89C"/>
    <w:rsid w:val="5703EF63"/>
    <w:rsid w:val="57043409"/>
    <w:rsid w:val="570443D6"/>
    <w:rsid w:val="570656CF"/>
    <w:rsid w:val="57069BBA"/>
    <w:rsid w:val="57079F10"/>
    <w:rsid w:val="57089D04"/>
    <w:rsid w:val="57091057"/>
    <w:rsid w:val="5709365C"/>
    <w:rsid w:val="570B2BD0"/>
    <w:rsid w:val="570B2CA2"/>
    <w:rsid w:val="570BC570"/>
    <w:rsid w:val="570C14B8"/>
    <w:rsid w:val="570C476C"/>
    <w:rsid w:val="570C7F2D"/>
    <w:rsid w:val="570D83EE"/>
    <w:rsid w:val="570D85E2"/>
    <w:rsid w:val="570E1482"/>
    <w:rsid w:val="570E2790"/>
    <w:rsid w:val="570F710B"/>
    <w:rsid w:val="570F800D"/>
    <w:rsid w:val="57101E15"/>
    <w:rsid w:val="5710D3A8"/>
    <w:rsid w:val="57110711"/>
    <w:rsid w:val="57112401"/>
    <w:rsid w:val="571160A2"/>
    <w:rsid w:val="5712393D"/>
    <w:rsid w:val="57125602"/>
    <w:rsid w:val="571305DB"/>
    <w:rsid w:val="57149AEC"/>
    <w:rsid w:val="5714F02D"/>
    <w:rsid w:val="57167C1E"/>
    <w:rsid w:val="5716D185"/>
    <w:rsid w:val="57179123"/>
    <w:rsid w:val="5717EFC0"/>
    <w:rsid w:val="571826D8"/>
    <w:rsid w:val="5718314F"/>
    <w:rsid w:val="57187030"/>
    <w:rsid w:val="571A0A91"/>
    <w:rsid w:val="571AC558"/>
    <w:rsid w:val="571B962B"/>
    <w:rsid w:val="571B9D00"/>
    <w:rsid w:val="571BC4B6"/>
    <w:rsid w:val="571CE23F"/>
    <w:rsid w:val="571E3C83"/>
    <w:rsid w:val="571E979C"/>
    <w:rsid w:val="571EFC69"/>
    <w:rsid w:val="571F481F"/>
    <w:rsid w:val="571F4C12"/>
    <w:rsid w:val="571FBB69"/>
    <w:rsid w:val="57209593"/>
    <w:rsid w:val="5720B0D3"/>
    <w:rsid w:val="5720B3D5"/>
    <w:rsid w:val="5720D180"/>
    <w:rsid w:val="5721A99E"/>
    <w:rsid w:val="5721BBA5"/>
    <w:rsid w:val="5721E7CA"/>
    <w:rsid w:val="57225957"/>
    <w:rsid w:val="572287BA"/>
    <w:rsid w:val="5722A3E3"/>
    <w:rsid w:val="57234C5A"/>
    <w:rsid w:val="5723A27D"/>
    <w:rsid w:val="57240D07"/>
    <w:rsid w:val="57257F1E"/>
    <w:rsid w:val="5725D6ED"/>
    <w:rsid w:val="5726A207"/>
    <w:rsid w:val="5726D7D3"/>
    <w:rsid w:val="572820FD"/>
    <w:rsid w:val="572918FD"/>
    <w:rsid w:val="572A49D2"/>
    <w:rsid w:val="572A9D06"/>
    <w:rsid w:val="572ADD03"/>
    <w:rsid w:val="572C1EF5"/>
    <w:rsid w:val="572DAAD2"/>
    <w:rsid w:val="572DD834"/>
    <w:rsid w:val="572DE581"/>
    <w:rsid w:val="572DFCA5"/>
    <w:rsid w:val="572ECF94"/>
    <w:rsid w:val="572EFE8E"/>
    <w:rsid w:val="572F7237"/>
    <w:rsid w:val="57305701"/>
    <w:rsid w:val="5730948E"/>
    <w:rsid w:val="57311370"/>
    <w:rsid w:val="57317002"/>
    <w:rsid w:val="57320A47"/>
    <w:rsid w:val="57320D2B"/>
    <w:rsid w:val="573239BF"/>
    <w:rsid w:val="57328A47"/>
    <w:rsid w:val="5732F56E"/>
    <w:rsid w:val="57330ACD"/>
    <w:rsid w:val="57341274"/>
    <w:rsid w:val="57347890"/>
    <w:rsid w:val="5734A94B"/>
    <w:rsid w:val="57358AA2"/>
    <w:rsid w:val="5735F3CA"/>
    <w:rsid w:val="57368DC0"/>
    <w:rsid w:val="57369C55"/>
    <w:rsid w:val="5736A67E"/>
    <w:rsid w:val="5736D618"/>
    <w:rsid w:val="57370BFC"/>
    <w:rsid w:val="5737574A"/>
    <w:rsid w:val="57379F51"/>
    <w:rsid w:val="5737B2DB"/>
    <w:rsid w:val="5737C0E1"/>
    <w:rsid w:val="573878A2"/>
    <w:rsid w:val="57388FC9"/>
    <w:rsid w:val="57389ADC"/>
    <w:rsid w:val="5738E233"/>
    <w:rsid w:val="57391D03"/>
    <w:rsid w:val="573BE6D1"/>
    <w:rsid w:val="573DB192"/>
    <w:rsid w:val="573DEDA0"/>
    <w:rsid w:val="573E0483"/>
    <w:rsid w:val="573E72EC"/>
    <w:rsid w:val="573EC35F"/>
    <w:rsid w:val="573F42B2"/>
    <w:rsid w:val="57402BDA"/>
    <w:rsid w:val="57403EE7"/>
    <w:rsid w:val="5740BB25"/>
    <w:rsid w:val="5741465A"/>
    <w:rsid w:val="57419DC8"/>
    <w:rsid w:val="5741C37E"/>
    <w:rsid w:val="57429C9B"/>
    <w:rsid w:val="574303FE"/>
    <w:rsid w:val="5743065D"/>
    <w:rsid w:val="57432DD5"/>
    <w:rsid w:val="5743B6D4"/>
    <w:rsid w:val="57446F40"/>
    <w:rsid w:val="5744F7F1"/>
    <w:rsid w:val="574552C9"/>
    <w:rsid w:val="5745D053"/>
    <w:rsid w:val="57464250"/>
    <w:rsid w:val="57464EAC"/>
    <w:rsid w:val="5746758D"/>
    <w:rsid w:val="5747CAC8"/>
    <w:rsid w:val="57482A7D"/>
    <w:rsid w:val="5748D66E"/>
    <w:rsid w:val="57497967"/>
    <w:rsid w:val="5749D4F5"/>
    <w:rsid w:val="574A195C"/>
    <w:rsid w:val="574A78B2"/>
    <w:rsid w:val="574A7C62"/>
    <w:rsid w:val="574A8C6C"/>
    <w:rsid w:val="574AA8DB"/>
    <w:rsid w:val="574AB6AD"/>
    <w:rsid w:val="574B655E"/>
    <w:rsid w:val="574B7160"/>
    <w:rsid w:val="574D70D6"/>
    <w:rsid w:val="574D8A92"/>
    <w:rsid w:val="574DCEA7"/>
    <w:rsid w:val="574DD5EE"/>
    <w:rsid w:val="574DF12F"/>
    <w:rsid w:val="574E7DB1"/>
    <w:rsid w:val="574E89E3"/>
    <w:rsid w:val="574F2F1B"/>
    <w:rsid w:val="575021BD"/>
    <w:rsid w:val="575109AF"/>
    <w:rsid w:val="57514717"/>
    <w:rsid w:val="57529381"/>
    <w:rsid w:val="5752983A"/>
    <w:rsid w:val="5753FE17"/>
    <w:rsid w:val="57544DED"/>
    <w:rsid w:val="57547891"/>
    <w:rsid w:val="57551B28"/>
    <w:rsid w:val="57554DDD"/>
    <w:rsid w:val="57568725"/>
    <w:rsid w:val="5756D991"/>
    <w:rsid w:val="5756E74B"/>
    <w:rsid w:val="5756ED1B"/>
    <w:rsid w:val="5757BF45"/>
    <w:rsid w:val="5758750B"/>
    <w:rsid w:val="57587A38"/>
    <w:rsid w:val="5758EA9B"/>
    <w:rsid w:val="57597905"/>
    <w:rsid w:val="575AEED6"/>
    <w:rsid w:val="575B0137"/>
    <w:rsid w:val="575B40DB"/>
    <w:rsid w:val="575C972F"/>
    <w:rsid w:val="575CF857"/>
    <w:rsid w:val="575CFC3F"/>
    <w:rsid w:val="575D47DC"/>
    <w:rsid w:val="575D4EF1"/>
    <w:rsid w:val="575D4FDA"/>
    <w:rsid w:val="575DA26B"/>
    <w:rsid w:val="575ECBF1"/>
    <w:rsid w:val="575ECE28"/>
    <w:rsid w:val="575ED65C"/>
    <w:rsid w:val="575F20CD"/>
    <w:rsid w:val="575F2761"/>
    <w:rsid w:val="575F3D18"/>
    <w:rsid w:val="575F6A4A"/>
    <w:rsid w:val="575F9048"/>
    <w:rsid w:val="575FECA7"/>
    <w:rsid w:val="5760AC05"/>
    <w:rsid w:val="5760D9F7"/>
    <w:rsid w:val="57616D4C"/>
    <w:rsid w:val="5761AD81"/>
    <w:rsid w:val="57621A21"/>
    <w:rsid w:val="5762B3A2"/>
    <w:rsid w:val="5762FC29"/>
    <w:rsid w:val="57639319"/>
    <w:rsid w:val="576399D7"/>
    <w:rsid w:val="5764310F"/>
    <w:rsid w:val="5764419F"/>
    <w:rsid w:val="5764773D"/>
    <w:rsid w:val="576495F5"/>
    <w:rsid w:val="5765221A"/>
    <w:rsid w:val="576585CB"/>
    <w:rsid w:val="57658972"/>
    <w:rsid w:val="57682337"/>
    <w:rsid w:val="57683CAE"/>
    <w:rsid w:val="5768A731"/>
    <w:rsid w:val="5768B14C"/>
    <w:rsid w:val="576936CA"/>
    <w:rsid w:val="5769E75E"/>
    <w:rsid w:val="5769FCFB"/>
    <w:rsid w:val="576A760B"/>
    <w:rsid w:val="576C2DEC"/>
    <w:rsid w:val="576C4E3F"/>
    <w:rsid w:val="576C7D74"/>
    <w:rsid w:val="576CCBD5"/>
    <w:rsid w:val="576CF011"/>
    <w:rsid w:val="576D2C93"/>
    <w:rsid w:val="576D3EB9"/>
    <w:rsid w:val="576D7F01"/>
    <w:rsid w:val="576D8456"/>
    <w:rsid w:val="576E19C4"/>
    <w:rsid w:val="576EF39B"/>
    <w:rsid w:val="576F71A4"/>
    <w:rsid w:val="576F8AB7"/>
    <w:rsid w:val="576FE50C"/>
    <w:rsid w:val="57702F07"/>
    <w:rsid w:val="57709A8C"/>
    <w:rsid w:val="577126DD"/>
    <w:rsid w:val="57715824"/>
    <w:rsid w:val="57716E02"/>
    <w:rsid w:val="5771FB64"/>
    <w:rsid w:val="5772384E"/>
    <w:rsid w:val="5772D505"/>
    <w:rsid w:val="5772E785"/>
    <w:rsid w:val="57736039"/>
    <w:rsid w:val="5773A947"/>
    <w:rsid w:val="5773EF09"/>
    <w:rsid w:val="57745341"/>
    <w:rsid w:val="57749001"/>
    <w:rsid w:val="5774E8EF"/>
    <w:rsid w:val="57767910"/>
    <w:rsid w:val="57773A02"/>
    <w:rsid w:val="5777827C"/>
    <w:rsid w:val="5777D633"/>
    <w:rsid w:val="57780B65"/>
    <w:rsid w:val="577908F0"/>
    <w:rsid w:val="57794B8F"/>
    <w:rsid w:val="577B0892"/>
    <w:rsid w:val="577B98BD"/>
    <w:rsid w:val="577BFC3F"/>
    <w:rsid w:val="577CD286"/>
    <w:rsid w:val="577DCBB6"/>
    <w:rsid w:val="577E3444"/>
    <w:rsid w:val="577E6FCC"/>
    <w:rsid w:val="577E8B2A"/>
    <w:rsid w:val="577F765D"/>
    <w:rsid w:val="5780AFCD"/>
    <w:rsid w:val="5781CCEC"/>
    <w:rsid w:val="5782A047"/>
    <w:rsid w:val="5782ED21"/>
    <w:rsid w:val="5783CCCB"/>
    <w:rsid w:val="578434EE"/>
    <w:rsid w:val="57843C98"/>
    <w:rsid w:val="57848109"/>
    <w:rsid w:val="5784F80C"/>
    <w:rsid w:val="5785BF86"/>
    <w:rsid w:val="57860FBD"/>
    <w:rsid w:val="578690EC"/>
    <w:rsid w:val="57874156"/>
    <w:rsid w:val="5787581E"/>
    <w:rsid w:val="57879CBA"/>
    <w:rsid w:val="57895BDC"/>
    <w:rsid w:val="578A3F39"/>
    <w:rsid w:val="578A42F4"/>
    <w:rsid w:val="578BFB94"/>
    <w:rsid w:val="578C2DE3"/>
    <w:rsid w:val="578DC5AE"/>
    <w:rsid w:val="578DC64D"/>
    <w:rsid w:val="578E8CD8"/>
    <w:rsid w:val="578FC886"/>
    <w:rsid w:val="578FE8DC"/>
    <w:rsid w:val="579076F1"/>
    <w:rsid w:val="5790AE96"/>
    <w:rsid w:val="5790B390"/>
    <w:rsid w:val="57913724"/>
    <w:rsid w:val="57919762"/>
    <w:rsid w:val="5791C5DB"/>
    <w:rsid w:val="57923A18"/>
    <w:rsid w:val="5792765A"/>
    <w:rsid w:val="5792ED8B"/>
    <w:rsid w:val="5794A407"/>
    <w:rsid w:val="5794B6B2"/>
    <w:rsid w:val="5795317F"/>
    <w:rsid w:val="57954D33"/>
    <w:rsid w:val="57959A97"/>
    <w:rsid w:val="57961ABF"/>
    <w:rsid w:val="579707B8"/>
    <w:rsid w:val="57974307"/>
    <w:rsid w:val="57974B14"/>
    <w:rsid w:val="57982A0F"/>
    <w:rsid w:val="57992B74"/>
    <w:rsid w:val="57995B98"/>
    <w:rsid w:val="57997A20"/>
    <w:rsid w:val="579981D8"/>
    <w:rsid w:val="57998DF0"/>
    <w:rsid w:val="5799BB13"/>
    <w:rsid w:val="579B48CC"/>
    <w:rsid w:val="579B5C65"/>
    <w:rsid w:val="579B5FD4"/>
    <w:rsid w:val="579BAA99"/>
    <w:rsid w:val="579BD72C"/>
    <w:rsid w:val="579CAD85"/>
    <w:rsid w:val="579CDD11"/>
    <w:rsid w:val="579D1B9A"/>
    <w:rsid w:val="579D71EE"/>
    <w:rsid w:val="579D80C5"/>
    <w:rsid w:val="579DBD97"/>
    <w:rsid w:val="579DD649"/>
    <w:rsid w:val="579E66D4"/>
    <w:rsid w:val="579F5FF1"/>
    <w:rsid w:val="579F8B2A"/>
    <w:rsid w:val="57A01031"/>
    <w:rsid w:val="57A01727"/>
    <w:rsid w:val="57A02DF9"/>
    <w:rsid w:val="57A0976B"/>
    <w:rsid w:val="57A0B6A6"/>
    <w:rsid w:val="57A0F177"/>
    <w:rsid w:val="57A1078F"/>
    <w:rsid w:val="57A1AC6B"/>
    <w:rsid w:val="57A228B6"/>
    <w:rsid w:val="57A2FC7A"/>
    <w:rsid w:val="57A3077B"/>
    <w:rsid w:val="57A39B25"/>
    <w:rsid w:val="57A3D852"/>
    <w:rsid w:val="57A4A27C"/>
    <w:rsid w:val="57A5618E"/>
    <w:rsid w:val="57A56D1D"/>
    <w:rsid w:val="57A5953A"/>
    <w:rsid w:val="57A6A825"/>
    <w:rsid w:val="57A70C56"/>
    <w:rsid w:val="57A7D283"/>
    <w:rsid w:val="57A7F70C"/>
    <w:rsid w:val="57A82C0C"/>
    <w:rsid w:val="57A86056"/>
    <w:rsid w:val="57A91272"/>
    <w:rsid w:val="57A9B765"/>
    <w:rsid w:val="57A9C2C9"/>
    <w:rsid w:val="57AA2891"/>
    <w:rsid w:val="57AA2925"/>
    <w:rsid w:val="57AA37F7"/>
    <w:rsid w:val="57ABBCF6"/>
    <w:rsid w:val="57ABE021"/>
    <w:rsid w:val="57AC928A"/>
    <w:rsid w:val="57AD145D"/>
    <w:rsid w:val="57AD2297"/>
    <w:rsid w:val="57AD29DF"/>
    <w:rsid w:val="57ADE18D"/>
    <w:rsid w:val="57AEFA81"/>
    <w:rsid w:val="57AF07FE"/>
    <w:rsid w:val="57AF325D"/>
    <w:rsid w:val="57AF65DD"/>
    <w:rsid w:val="57AFD003"/>
    <w:rsid w:val="57AFF69D"/>
    <w:rsid w:val="57B008B9"/>
    <w:rsid w:val="57B05C28"/>
    <w:rsid w:val="57B0D362"/>
    <w:rsid w:val="57B0D6DF"/>
    <w:rsid w:val="57B115FC"/>
    <w:rsid w:val="57B15886"/>
    <w:rsid w:val="57B176A5"/>
    <w:rsid w:val="57B1D5C8"/>
    <w:rsid w:val="57B2546E"/>
    <w:rsid w:val="57B34901"/>
    <w:rsid w:val="57B3852A"/>
    <w:rsid w:val="57B3D7CA"/>
    <w:rsid w:val="57B4A7C0"/>
    <w:rsid w:val="57B4C30C"/>
    <w:rsid w:val="57B51505"/>
    <w:rsid w:val="57B5D5DD"/>
    <w:rsid w:val="57B5DBBE"/>
    <w:rsid w:val="57B62FCE"/>
    <w:rsid w:val="57B7BBC4"/>
    <w:rsid w:val="57B81B95"/>
    <w:rsid w:val="57B8F997"/>
    <w:rsid w:val="57B90C08"/>
    <w:rsid w:val="57B97CF8"/>
    <w:rsid w:val="57BA456B"/>
    <w:rsid w:val="57BAEF52"/>
    <w:rsid w:val="57BB4DC8"/>
    <w:rsid w:val="57BB5F07"/>
    <w:rsid w:val="57BBB0B4"/>
    <w:rsid w:val="57BC0E29"/>
    <w:rsid w:val="57BD0D59"/>
    <w:rsid w:val="57BD15A2"/>
    <w:rsid w:val="57BD2D27"/>
    <w:rsid w:val="57BDB8E4"/>
    <w:rsid w:val="57BDED37"/>
    <w:rsid w:val="57BE7EA9"/>
    <w:rsid w:val="57BEEB90"/>
    <w:rsid w:val="57C12AF1"/>
    <w:rsid w:val="57C13387"/>
    <w:rsid w:val="57C1B0F0"/>
    <w:rsid w:val="57C1D9DC"/>
    <w:rsid w:val="57C1F0BD"/>
    <w:rsid w:val="57C2467D"/>
    <w:rsid w:val="57C3513C"/>
    <w:rsid w:val="57C3952E"/>
    <w:rsid w:val="57C5874D"/>
    <w:rsid w:val="57C59A6D"/>
    <w:rsid w:val="57C5CE0B"/>
    <w:rsid w:val="57C745A0"/>
    <w:rsid w:val="57C7FA46"/>
    <w:rsid w:val="57C8B682"/>
    <w:rsid w:val="57C8DBC6"/>
    <w:rsid w:val="57C93545"/>
    <w:rsid w:val="57C96AEC"/>
    <w:rsid w:val="57CA4AAC"/>
    <w:rsid w:val="57CAA3B8"/>
    <w:rsid w:val="57CBC235"/>
    <w:rsid w:val="57CBEA43"/>
    <w:rsid w:val="57CD7595"/>
    <w:rsid w:val="57CD75FC"/>
    <w:rsid w:val="57CDD6EC"/>
    <w:rsid w:val="57CDD9EA"/>
    <w:rsid w:val="57CE69D4"/>
    <w:rsid w:val="57CEB362"/>
    <w:rsid w:val="57CF0AEE"/>
    <w:rsid w:val="57CF7E4D"/>
    <w:rsid w:val="57D1B9D4"/>
    <w:rsid w:val="57D1DB6A"/>
    <w:rsid w:val="57D21245"/>
    <w:rsid w:val="57D279AD"/>
    <w:rsid w:val="57D29F3E"/>
    <w:rsid w:val="57D30406"/>
    <w:rsid w:val="57D34735"/>
    <w:rsid w:val="57D3AC19"/>
    <w:rsid w:val="57D3FB3E"/>
    <w:rsid w:val="57D51F66"/>
    <w:rsid w:val="57D543B4"/>
    <w:rsid w:val="57D6CDEB"/>
    <w:rsid w:val="57D8119A"/>
    <w:rsid w:val="57D8549A"/>
    <w:rsid w:val="57D86FBD"/>
    <w:rsid w:val="57D888F8"/>
    <w:rsid w:val="57D9374F"/>
    <w:rsid w:val="57D9DF1E"/>
    <w:rsid w:val="57DA90BB"/>
    <w:rsid w:val="57DB4AED"/>
    <w:rsid w:val="57DBA6B9"/>
    <w:rsid w:val="57DBF5D6"/>
    <w:rsid w:val="57DC2616"/>
    <w:rsid w:val="57DCCB25"/>
    <w:rsid w:val="57DCF4DE"/>
    <w:rsid w:val="57DDA3F6"/>
    <w:rsid w:val="57DDA76F"/>
    <w:rsid w:val="57DDFDBB"/>
    <w:rsid w:val="57DFB695"/>
    <w:rsid w:val="57DFC211"/>
    <w:rsid w:val="57E0A883"/>
    <w:rsid w:val="57E0FE74"/>
    <w:rsid w:val="57E23F51"/>
    <w:rsid w:val="57E30714"/>
    <w:rsid w:val="57E3C779"/>
    <w:rsid w:val="57E3E1D1"/>
    <w:rsid w:val="57E4325E"/>
    <w:rsid w:val="57E4EC11"/>
    <w:rsid w:val="57E7343A"/>
    <w:rsid w:val="57E7587F"/>
    <w:rsid w:val="57E94ADB"/>
    <w:rsid w:val="57E94B5F"/>
    <w:rsid w:val="57E9630F"/>
    <w:rsid w:val="57E9651B"/>
    <w:rsid w:val="57E9DAB4"/>
    <w:rsid w:val="57E9EDE2"/>
    <w:rsid w:val="57EA409A"/>
    <w:rsid w:val="57EA6406"/>
    <w:rsid w:val="57EAF496"/>
    <w:rsid w:val="57EB0EB1"/>
    <w:rsid w:val="57EB2940"/>
    <w:rsid w:val="57EB3846"/>
    <w:rsid w:val="57EBAFD6"/>
    <w:rsid w:val="57EBD38B"/>
    <w:rsid w:val="57EC0BBE"/>
    <w:rsid w:val="57ECBE9D"/>
    <w:rsid w:val="57EDAA96"/>
    <w:rsid w:val="57EDE19A"/>
    <w:rsid w:val="57EEE0AD"/>
    <w:rsid w:val="57F00E20"/>
    <w:rsid w:val="57F03B71"/>
    <w:rsid w:val="57F03F8E"/>
    <w:rsid w:val="57F08B13"/>
    <w:rsid w:val="57F13E17"/>
    <w:rsid w:val="57F14E89"/>
    <w:rsid w:val="57F1CA3B"/>
    <w:rsid w:val="57F235EC"/>
    <w:rsid w:val="57F31EBB"/>
    <w:rsid w:val="57F3305A"/>
    <w:rsid w:val="57F39083"/>
    <w:rsid w:val="57F3AED7"/>
    <w:rsid w:val="57F427AD"/>
    <w:rsid w:val="57F4319F"/>
    <w:rsid w:val="57F4510B"/>
    <w:rsid w:val="57F4E945"/>
    <w:rsid w:val="57F4F80E"/>
    <w:rsid w:val="57F53E7D"/>
    <w:rsid w:val="57F582BA"/>
    <w:rsid w:val="57F59412"/>
    <w:rsid w:val="57F5A94A"/>
    <w:rsid w:val="57F5D7EB"/>
    <w:rsid w:val="57F5E37B"/>
    <w:rsid w:val="57F61000"/>
    <w:rsid w:val="57F65D2B"/>
    <w:rsid w:val="57F67E51"/>
    <w:rsid w:val="57F6ECCF"/>
    <w:rsid w:val="57F6FB18"/>
    <w:rsid w:val="57F75E3C"/>
    <w:rsid w:val="57F8ECDF"/>
    <w:rsid w:val="57F9439B"/>
    <w:rsid w:val="57F96459"/>
    <w:rsid w:val="57F9A089"/>
    <w:rsid w:val="57FACB05"/>
    <w:rsid w:val="57FAD742"/>
    <w:rsid w:val="57FAF94E"/>
    <w:rsid w:val="57FB7DC3"/>
    <w:rsid w:val="57FC3C11"/>
    <w:rsid w:val="57FC71DA"/>
    <w:rsid w:val="57FCE542"/>
    <w:rsid w:val="57FDBB60"/>
    <w:rsid w:val="57FE43DB"/>
    <w:rsid w:val="57FE7CCC"/>
    <w:rsid w:val="57FED910"/>
    <w:rsid w:val="57FF3DE4"/>
    <w:rsid w:val="57FF7801"/>
    <w:rsid w:val="57FFABE9"/>
    <w:rsid w:val="57FFCF68"/>
    <w:rsid w:val="580012E1"/>
    <w:rsid w:val="58007CFB"/>
    <w:rsid w:val="58009AC8"/>
    <w:rsid w:val="5800A67E"/>
    <w:rsid w:val="5800CCA0"/>
    <w:rsid w:val="5801A8B0"/>
    <w:rsid w:val="5801C6F0"/>
    <w:rsid w:val="5802E202"/>
    <w:rsid w:val="58033F3A"/>
    <w:rsid w:val="5803C63B"/>
    <w:rsid w:val="580490F9"/>
    <w:rsid w:val="5804F053"/>
    <w:rsid w:val="5805D607"/>
    <w:rsid w:val="5806F426"/>
    <w:rsid w:val="5807BDE3"/>
    <w:rsid w:val="5807F32E"/>
    <w:rsid w:val="5807F690"/>
    <w:rsid w:val="58089FCF"/>
    <w:rsid w:val="58093699"/>
    <w:rsid w:val="580987E3"/>
    <w:rsid w:val="580A784D"/>
    <w:rsid w:val="580ADF58"/>
    <w:rsid w:val="580AF5E1"/>
    <w:rsid w:val="580B5320"/>
    <w:rsid w:val="580B789F"/>
    <w:rsid w:val="580BAC4A"/>
    <w:rsid w:val="580BC608"/>
    <w:rsid w:val="580CB0EE"/>
    <w:rsid w:val="580CF78F"/>
    <w:rsid w:val="580D1484"/>
    <w:rsid w:val="580DA367"/>
    <w:rsid w:val="580DC482"/>
    <w:rsid w:val="580DD28E"/>
    <w:rsid w:val="580E112B"/>
    <w:rsid w:val="580E4A2E"/>
    <w:rsid w:val="580E812E"/>
    <w:rsid w:val="580EFD7E"/>
    <w:rsid w:val="580F0B2F"/>
    <w:rsid w:val="5810AB36"/>
    <w:rsid w:val="5810B03A"/>
    <w:rsid w:val="58124CF7"/>
    <w:rsid w:val="5812996B"/>
    <w:rsid w:val="581461C4"/>
    <w:rsid w:val="5814A34A"/>
    <w:rsid w:val="5814B10F"/>
    <w:rsid w:val="58152F7C"/>
    <w:rsid w:val="58159036"/>
    <w:rsid w:val="5816D211"/>
    <w:rsid w:val="5816E18C"/>
    <w:rsid w:val="58177573"/>
    <w:rsid w:val="58180A76"/>
    <w:rsid w:val="5818F9B3"/>
    <w:rsid w:val="58195E40"/>
    <w:rsid w:val="5819D348"/>
    <w:rsid w:val="581AA864"/>
    <w:rsid w:val="581AAC5A"/>
    <w:rsid w:val="581AC35D"/>
    <w:rsid w:val="581B781C"/>
    <w:rsid w:val="581BB3E7"/>
    <w:rsid w:val="581BD529"/>
    <w:rsid w:val="581C2615"/>
    <w:rsid w:val="581C3C45"/>
    <w:rsid w:val="581C4B41"/>
    <w:rsid w:val="581C8202"/>
    <w:rsid w:val="581D0587"/>
    <w:rsid w:val="581D9C33"/>
    <w:rsid w:val="581DFCF8"/>
    <w:rsid w:val="581EA41E"/>
    <w:rsid w:val="581F6DC0"/>
    <w:rsid w:val="581FA607"/>
    <w:rsid w:val="581FAF16"/>
    <w:rsid w:val="58202AC8"/>
    <w:rsid w:val="582129BF"/>
    <w:rsid w:val="5822E3ED"/>
    <w:rsid w:val="582322EA"/>
    <w:rsid w:val="5823352C"/>
    <w:rsid w:val="5823BA74"/>
    <w:rsid w:val="5823C393"/>
    <w:rsid w:val="5823EBFF"/>
    <w:rsid w:val="5824222B"/>
    <w:rsid w:val="582468FC"/>
    <w:rsid w:val="5825C056"/>
    <w:rsid w:val="5827594B"/>
    <w:rsid w:val="5827E006"/>
    <w:rsid w:val="5827F88F"/>
    <w:rsid w:val="5828526C"/>
    <w:rsid w:val="58297D6F"/>
    <w:rsid w:val="58298276"/>
    <w:rsid w:val="5829C7E8"/>
    <w:rsid w:val="5829FEC1"/>
    <w:rsid w:val="582ABE07"/>
    <w:rsid w:val="582B3271"/>
    <w:rsid w:val="582C0228"/>
    <w:rsid w:val="582C1584"/>
    <w:rsid w:val="582C1C6D"/>
    <w:rsid w:val="582CAEB8"/>
    <w:rsid w:val="582CB8D1"/>
    <w:rsid w:val="582CC3FA"/>
    <w:rsid w:val="582CDB4C"/>
    <w:rsid w:val="582D562C"/>
    <w:rsid w:val="582DA9DB"/>
    <w:rsid w:val="582E7142"/>
    <w:rsid w:val="582EC440"/>
    <w:rsid w:val="582EE33C"/>
    <w:rsid w:val="58302487"/>
    <w:rsid w:val="5830D9C6"/>
    <w:rsid w:val="5830F21A"/>
    <w:rsid w:val="583148B6"/>
    <w:rsid w:val="583166FD"/>
    <w:rsid w:val="5831B2D7"/>
    <w:rsid w:val="58322452"/>
    <w:rsid w:val="583258FE"/>
    <w:rsid w:val="58327BBF"/>
    <w:rsid w:val="5832D334"/>
    <w:rsid w:val="5832E848"/>
    <w:rsid w:val="583346B4"/>
    <w:rsid w:val="58336922"/>
    <w:rsid w:val="58337D7D"/>
    <w:rsid w:val="58354EA7"/>
    <w:rsid w:val="58355B76"/>
    <w:rsid w:val="58359826"/>
    <w:rsid w:val="58359CE6"/>
    <w:rsid w:val="5835BF95"/>
    <w:rsid w:val="5836900C"/>
    <w:rsid w:val="58377909"/>
    <w:rsid w:val="5837A8DD"/>
    <w:rsid w:val="583800A6"/>
    <w:rsid w:val="58387A93"/>
    <w:rsid w:val="5838A51E"/>
    <w:rsid w:val="58398720"/>
    <w:rsid w:val="583A1E2A"/>
    <w:rsid w:val="583A7FF6"/>
    <w:rsid w:val="583B5B0D"/>
    <w:rsid w:val="583BAF5C"/>
    <w:rsid w:val="583C2343"/>
    <w:rsid w:val="583C5D39"/>
    <w:rsid w:val="583C70BF"/>
    <w:rsid w:val="583DA82B"/>
    <w:rsid w:val="583DBEDC"/>
    <w:rsid w:val="583E4DB2"/>
    <w:rsid w:val="58403467"/>
    <w:rsid w:val="5840C4D1"/>
    <w:rsid w:val="58410C35"/>
    <w:rsid w:val="58412DA2"/>
    <w:rsid w:val="58419249"/>
    <w:rsid w:val="58426F53"/>
    <w:rsid w:val="584276DA"/>
    <w:rsid w:val="5842B937"/>
    <w:rsid w:val="5842CF53"/>
    <w:rsid w:val="5843C918"/>
    <w:rsid w:val="5843FC42"/>
    <w:rsid w:val="5843FFDC"/>
    <w:rsid w:val="58441243"/>
    <w:rsid w:val="5845B52B"/>
    <w:rsid w:val="5845E331"/>
    <w:rsid w:val="5846136C"/>
    <w:rsid w:val="584628B7"/>
    <w:rsid w:val="5846BC90"/>
    <w:rsid w:val="5846EC29"/>
    <w:rsid w:val="5846F9A9"/>
    <w:rsid w:val="5847363A"/>
    <w:rsid w:val="5847A56B"/>
    <w:rsid w:val="58482353"/>
    <w:rsid w:val="58489B34"/>
    <w:rsid w:val="5848F1C2"/>
    <w:rsid w:val="5849285E"/>
    <w:rsid w:val="584A2428"/>
    <w:rsid w:val="584AD6B6"/>
    <w:rsid w:val="584B1A94"/>
    <w:rsid w:val="584B6BEA"/>
    <w:rsid w:val="584C6BFF"/>
    <w:rsid w:val="584CC2E5"/>
    <w:rsid w:val="584D15CD"/>
    <w:rsid w:val="584DCEBA"/>
    <w:rsid w:val="584DE52C"/>
    <w:rsid w:val="584EA107"/>
    <w:rsid w:val="584ED02E"/>
    <w:rsid w:val="584F15AB"/>
    <w:rsid w:val="584F25E2"/>
    <w:rsid w:val="58501396"/>
    <w:rsid w:val="5850F0BC"/>
    <w:rsid w:val="58521F3C"/>
    <w:rsid w:val="5852ABD2"/>
    <w:rsid w:val="58538D84"/>
    <w:rsid w:val="58539866"/>
    <w:rsid w:val="58540F6A"/>
    <w:rsid w:val="5854EC5B"/>
    <w:rsid w:val="585532B2"/>
    <w:rsid w:val="5856FB95"/>
    <w:rsid w:val="58579F86"/>
    <w:rsid w:val="5858F457"/>
    <w:rsid w:val="585AE55E"/>
    <w:rsid w:val="585B0761"/>
    <w:rsid w:val="585B497E"/>
    <w:rsid w:val="585B638D"/>
    <w:rsid w:val="585CA3C9"/>
    <w:rsid w:val="585CF1EE"/>
    <w:rsid w:val="585D1FE6"/>
    <w:rsid w:val="585E9054"/>
    <w:rsid w:val="585EB331"/>
    <w:rsid w:val="58600759"/>
    <w:rsid w:val="5860BD0C"/>
    <w:rsid w:val="58615683"/>
    <w:rsid w:val="5861A70F"/>
    <w:rsid w:val="5861BD94"/>
    <w:rsid w:val="5861C199"/>
    <w:rsid w:val="5862382B"/>
    <w:rsid w:val="58630D47"/>
    <w:rsid w:val="586358CB"/>
    <w:rsid w:val="5863688C"/>
    <w:rsid w:val="58636B2C"/>
    <w:rsid w:val="58639CD5"/>
    <w:rsid w:val="58642A8A"/>
    <w:rsid w:val="5865CE6C"/>
    <w:rsid w:val="58660EA2"/>
    <w:rsid w:val="58663EF7"/>
    <w:rsid w:val="58671A35"/>
    <w:rsid w:val="58675FB1"/>
    <w:rsid w:val="58680A6C"/>
    <w:rsid w:val="5868825E"/>
    <w:rsid w:val="586889DE"/>
    <w:rsid w:val="58689B85"/>
    <w:rsid w:val="5869704D"/>
    <w:rsid w:val="586974DC"/>
    <w:rsid w:val="586A7A68"/>
    <w:rsid w:val="586AE2EF"/>
    <w:rsid w:val="586B4BC4"/>
    <w:rsid w:val="586BED5C"/>
    <w:rsid w:val="586C43D7"/>
    <w:rsid w:val="586C43DC"/>
    <w:rsid w:val="586C4852"/>
    <w:rsid w:val="586CBEB6"/>
    <w:rsid w:val="586E33D0"/>
    <w:rsid w:val="586EBB72"/>
    <w:rsid w:val="58711E0D"/>
    <w:rsid w:val="587212C3"/>
    <w:rsid w:val="587248B7"/>
    <w:rsid w:val="5875341D"/>
    <w:rsid w:val="5875BE12"/>
    <w:rsid w:val="5875CA5B"/>
    <w:rsid w:val="58766DE1"/>
    <w:rsid w:val="587677C4"/>
    <w:rsid w:val="587688F8"/>
    <w:rsid w:val="5876B330"/>
    <w:rsid w:val="58771B4D"/>
    <w:rsid w:val="58772D36"/>
    <w:rsid w:val="587730B0"/>
    <w:rsid w:val="5877F033"/>
    <w:rsid w:val="58782BBE"/>
    <w:rsid w:val="5878EC2B"/>
    <w:rsid w:val="58797680"/>
    <w:rsid w:val="58798E49"/>
    <w:rsid w:val="587B0E90"/>
    <w:rsid w:val="587B4A3D"/>
    <w:rsid w:val="587B8630"/>
    <w:rsid w:val="587BA1FB"/>
    <w:rsid w:val="587BB74D"/>
    <w:rsid w:val="587BF228"/>
    <w:rsid w:val="587C1AA8"/>
    <w:rsid w:val="587C1F32"/>
    <w:rsid w:val="587CBE3B"/>
    <w:rsid w:val="587D6987"/>
    <w:rsid w:val="587E2C1D"/>
    <w:rsid w:val="587E3161"/>
    <w:rsid w:val="587E86D0"/>
    <w:rsid w:val="587EA9FC"/>
    <w:rsid w:val="587F4E63"/>
    <w:rsid w:val="587FE449"/>
    <w:rsid w:val="587FED5C"/>
    <w:rsid w:val="588128AA"/>
    <w:rsid w:val="5882C170"/>
    <w:rsid w:val="58835FE6"/>
    <w:rsid w:val="58848376"/>
    <w:rsid w:val="58856133"/>
    <w:rsid w:val="588684F1"/>
    <w:rsid w:val="5886853B"/>
    <w:rsid w:val="5887FE3E"/>
    <w:rsid w:val="5887FF27"/>
    <w:rsid w:val="58883FDC"/>
    <w:rsid w:val="588868C1"/>
    <w:rsid w:val="58888D55"/>
    <w:rsid w:val="5888A6C4"/>
    <w:rsid w:val="588918C5"/>
    <w:rsid w:val="5889263C"/>
    <w:rsid w:val="5889DBBF"/>
    <w:rsid w:val="5889F99B"/>
    <w:rsid w:val="588AD7B4"/>
    <w:rsid w:val="588B8AF4"/>
    <w:rsid w:val="588C1AB2"/>
    <w:rsid w:val="588C5BF6"/>
    <w:rsid w:val="588C95D5"/>
    <w:rsid w:val="588CDBDD"/>
    <w:rsid w:val="588D5ADE"/>
    <w:rsid w:val="588D95D7"/>
    <w:rsid w:val="588E7649"/>
    <w:rsid w:val="588EB0BD"/>
    <w:rsid w:val="588F48B1"/>
    <w:rsid w:val="588F513B"/>
    <w:rsid w:val="588FCC3C"/>
    <w:rsid w:val="589081BD"/>
    <w:rsid w:val="58910026"/>
    <w:rsid w:val="5891A2FF"/>
    <w:rsid w:val="589288A8"/>
    <w:rsid w:val="58933180"/>
    <w:rsid w:val="5893608E"/>
    <w:rsid w:val="5893A8EB"/>
    <w:rsid w:val="58948E07"/>
    <w:rsid w:val="5894E855"/>
    <w:rsid w:val="5894FA2D"/>
    <w:rsid w:val="58952EF4"/>
    <w:rsid w:val="5896393A"/>
    <w:rsid w:val="58967E6A"/>
    <w:rsid w:val="58978567"/>
    <w:rsid w:val="58985DB5"/>
    <w:rsid w:val="5899191E"/>
    <w:rsid w:val="589932D8"/>
    <w:rsid w:val="5899E815"/>
    <w:rsid w:val="5899F0A2"/>
    <w:rsid w:val="589A39A0"/>
    <w:rsid w:val="589ACB5A"/>
    <w:rsid w:val="589C086D"/>
    <w:rsid w:val="589CA68C"/>
    <w:rsid w:val="589D76DB"/>
    <w:rsid w:val="589DA148"/>
    <w:rsid w:val="589EC121"/>
    <w:rsid w:val="589ECF70"/>
    <w:rsid w:val="589F7B91"/>
    <w:rsid w:val="589F83DD"/>
    <w:rsid w:val="589FBE9D"/>
    <w:rsid w:val="58A05E80"/>
    <w:rsid w:val="58A09351"/>
    <w:rsid w:val="58A0A8E4"/>
    <w:rsid w:val="58A0B302"/>
    <w:rsid w:val="58A0BD64"/>
    <w:rsid w:val="58A0D1E4"/>
    <w:rsid w:val="58A19DB6"/>
    <w:rsid w:val="58A1D3B6"/>
    <w:rsid w:val="58A39DC7"/>
    <w:rsid w:val="58A49DC7"/>
    <w:rsid w:val="58A4BA13"/>
    <w:rsid w:val="58A4C719"/>
    <w:rsid w:val="58A5D046"/>
    <w:rsid w:val="58A5D593"/>
    <w:rsid w:val="58A82189"/>
    <w:rsid w:val="58A82CFA"/>
    <w:rsid w:val="58A911B5"/>
    <w:rsid w:val="58A91E24"/>
    <w:rsid w:val="58A9C2ED"/>
    <w:rsid w:val="58AA1773"/>
    <w:rsid w:val="58AAFD13"/>
    <w:rsid w:val="58AB1681"/>
    <w:rsid w:val="58ABF7DB"/>
    <w:rsid w:val="58AC4CCD"/>
    <w:rsid w:val="58AC7253"/>
    <w:rsid w:val="58AE0C55"/>
    <w:rsid w:val="58AE9DAC"/>
    <w:rsid w:val="58AF45AC"/>
    <w:rsid w:val="58AF7083"/>
    <w:rsid w:val="58B16C55"/>
    <w:rsid w:val="58B19DCC"/>
    <w:rsid w:val="58B1BB25"/>
    <w:rsid w:val="58B1FC3E"/>
    <w:rsid w:val="58B22CFE"/>
    <w:rsid w:val="58B2414B"/>
    <w:rsid w:val="58B2FEB7"/>
    <w:rsid w:val="58B3A0F3"/>
    <w:rsid w:val="58B3A86A"/>
    <w:rsid w:val="58B3FB6B"/>
    <w:rsid w:val="58B4573F"/>
    <w:rsid w:val="58B4BF44"/>
    <w:rsid w:val="58B50A82"/>
    <w:rsid w:val="58B51480"/>
    <w:rsid w:val="58B57FDA"/>
    <w:rsid w:val="58B58721"/>
    <w:rsid w:val="58B63924"/>
    <w:rsid w:val="58B6A893"/>
    <w:rsid w:val="58B6B1AC"/>
    <w:rsid w:val="58B6F81D"/>
    <w:rsid w:val="58B711F8"/>
    <w:rsid w:val="58B73085"/>
    <w:rsid w:val="58B75821"/>
    <w:rsid w:val="58B7EF99"/>
    <w:rsid w:val="58B89D23"/>
    <w:rsid w:val="58BA267D"/>
    <w:rsid w:val="58BA484D"/>
    <w:rsid w:val="58BA96BC"/>
    <w:rsid w:val="58BAC141"/>
    <w:rsid w:val="58BB083C"/>
    <w:rsid w:val="58BBA2ED"/>
    <w:rsid w:val="58BC49BB"/>
    <w:rsid w:val="58BC9FC6"/>
    <w:rsid w:val="58BCB71D"/>
    <w:rsid w:val="58BD3ACA"/>
    <w:rsid w:val="58C01822"/>
    <w:rsid w:val="58C08328"/>
    <w:rsid w:val="58C08DB5"/>
    <w:rsid w:val="58C14BE3"/>
    <w:rsid w:val="58C16D25"/>
    <w:rsid w:val="58C1E729"/>
    <w:rsid w:val="58C27814"/>
    <w:rsid w:val="58C29F8F"/>
    <w:rsid w:val="58C2DE3B"/>
    <w:rsid w:val="58C2E52B"/>
    <w:rsid w:val="58C35191"/>
    <w:rsid w:val="58C35402"/>
    <w:rsid w:val="58C486B4"/>
    <w:rsid w:val="58C4897D"/>
    <w:rsid w:val="58C4DA82"/>
    <w:rsid w:val="58C4EEDD"/>
    <w:rsid w:val="58C544FC"/>
    <w:rsid w:val="58C618B3"/>
    <w:rsid w:val="58C643BF"/>
    <w:rsid w:val="58C6699B"/>
    <w:rsid w:val="58C7D718"/>
    <w:rsid w:val="58CA3438"/>
    <w:rsid w:val="58CAB1EB"/>
    <w:rsid w:val="58CB2DA3"/>
    <w:rsid w:val="58CC7153"/>
    <w:rsid w:val="58CD2B76"/>
    <w:rsid w:val="58CD8961"/>
    <w:rsid w:val="58CDBBF5"/>
    <w:rsid w:val="58CE18FF"/>
    <w:rsid w:val="58CF0217"/>
    <w:rsid w:val="58CFE710"/>
    <w:rsid w:val="58D08BF1"/>
    <w:rsid w:val="58D09A26"/>
    <w:rsid w:val="58D0BA5F"/>
    <w:rsid w:val="58D0F6EE"/>
    <w:rsid w:val="58D110D7"/>
    <w:rsid w:val="58D11110"/>
    <w:rsid w:val="58D210D8"/>
    <w:rsid w:val="58D386E9"/>
    <w:rsid w:val="58D38C3A"/>
    <w:rsid w:val="58D3928D"/>
    <w:rsid w:val="58D3E4A9"/>
    <w:rsid w:val="58D4A0D1"/>
    <w:rsid w:val="58D4E479"/>
    <w:rsid w:val="58D5561C"/>
    <w:rsid w:val="58D5E560"/>
    <w:rsid w:val="58D63666"/>
    <w:rsid w:val="58D685B4"/>
    <w:rsid w:val="58D6D241"/>
    <w:rsid w:val="58D6D6F1"/>
    <w:rsid w:val="58D6E141"/>
    <w:rsid w:val="58D6FE3E"/>
    <w:rsid w:val="58D72224"/>
    <w:rsid w:val="58D780E7"/>
    <w:rsid w:val="58D7AE2D"/>
    <w:rsid w:val="58D7D508"/>
    <w:rsid w:val="58D835F1"/>
    <w:rsid w:val="58D836EA"/>
    <w:rsid w:val="58D923D8"/>
    <w:rsid w:val="58D95E13"/>
    <w:rsid w:val="58D9F02B"/>
    <w:rsid w:val="58DDE373"/>
    <w:rsid w:val="58DED434"/>
    <w:rsid w:val="58DFCA63"/>
    <w:rsid w:val="58E1084C"/>
    <w:rsid w:val="58E12C7B"/>
    <w:rsid w:val="58E21204"/>
    <w:rsid w:val="58E24ABE"/>
    <w:rsid w:val="58E3AB97"/>
    <w:rsid w:val="58E3EEC1"/>
    <w:rsid w:val="58E4A3CF"/>
    <w:rsid w:val="58E53A96"/>
    <w:rsid w:val="58E54AF0"/>
    <w:rsid w:val="58E5FFEB"/>
    <w:rsid w:val="58E609F5"/>
    <w:rsid w:val="58E661C4"/>
    <w:rsid w:val="58E68948"/>
    <w:rsid w:val="58E6E32A"/>
    <w:rsid w:val="58E6FE3E"/>
    <w:rsid w:val="58E79E7E"/>
    <w:rsid w:val="58E7AC65"/>
    <w:rsid w:val="58E86239"/>
    <w:rsid w:val="58E91E35"/>
    <w:rsid w:val="58E930FD"/>
    <w:rsid w:val="58E982B4"/>
    <w:rsid w:val="58E99B79"/>
    <w:rsid w:val="58E9ADA5"/>
    <w:rsid w:val="58EAAFA1"/>
    <w:rsid w:val="58EAB1A0"/>
    <w:rsid w:val="58EB6007"/>
    <w:rsid w:val="58EC168D"/>
    <w:rsid w:val="58EC28B9"/>
    <w:rsid w:val="58ED9338"/>
    <w:rsid w:val="58ED9980"/>
    <w:rsid w:val="58EDB5FD"/>
    <w:rsid w:val="58EE036C"/>
    <w:rsid w:val="58EEB9FB"/>
    <w:rsid w:val="58EF0C35"/>
    <w:rsid w:val="58EFDDAE"/>
    <w:rsid w:val="58EFE474"/>
    <w:rsid w:val="58F0DAE1"/>
    <w:rsid w:val="58F128F0"/>
    <w:rsid w:val="58F138E2"/>
    <w:rsid w:val="58F1C6EF"/>
    <w:rsid w:val="58F1F83E"/>
    <w:rsid w:val="58F24145"/>
    <w:rsid w:val="58F26381"/>
    <w:rsid w:val="58F2B52C"/>
    <w:rsid w:val="58F4BFFF"/>
    <w:rsid w:val="58F521F9"/>
    <w:rsid w:val="58F5286E"/>
    <w:rsid w:val="58F5479B"/>
    <w:rsid w:val="58F6319A"/>
    <w:rsid w:val="58F6E5F5"/>
    <w:rsid w:val="58F735E7"/>
    <w:rsid w:val="58F76A8B"/>
    <w:rsid w:val="58F869B2"/>
    <w:rsid w:val="58F90E01"/>
    <w:rsid w:val="58F91939"/>
    <w:rsid w:val="58F96DDD"/>
    <w:rsid w:val="58F97FB0"/>
    <w:rsid w:val="58F9F4D5"/>
    <w:rsid w:val="58FA7044"/>
    <w:rsid w:val="58FAB8F5"/>
    <w:rsid w:val="58FAF56B"/>
    <w:rsid w:val="58FC1EDD"/>
    <w:rsid w:val="58FC6CD7"/>
    <w:rsid w:val="58FCA46C"/>
    <w:rsid w:val="58FD1330"/>
    <w:rsid w:val="58FD67EA"/>
    <w:rsid w:val="58FE421D"/>
    <w:rsid w:val="590144F1"/>
    <w:rsid w:val="5901C0AD"/>
    <w:rsid w:val="590269DF"/>
    <w:rsid w:val="590320AE"/>
    <w:rsid w:val="590376FE"/>
    <w:rsid w:val="59037B8C"/>
    <w:rsid w:val="5903A82F"/>
    <w:rsid w:val="59041723"/>
    <w:rsid w:val="59048100"/>
    <w:rsid w:val="5904A168"/>
    <w:rsid w:val="5904C809"/>
    <w:rsid w:val="59063F2F"/>
    <w:rsid w:val="59068A92"/>
    <w:rsid w:val="5907A371"/>
    <w:rsid w:val="59082D12"/>
    <w:rsid w:val="59089F24"/>
    <w:rsid w:val="5908A33A"/>
    <w:rsid w:val="5909B6A4"/>
    <w:rsid w:val="590B85A3"/>
    <w:rsid w:val="590CF69C"/>
    <w:rsid w:val="590D254A"/>
    <w:rsid w:val="590D305B"/>
    <w:rsid w:val="590D42A6"/>
    <w:rsid w:val="590D56E0"/>
    <w:rsid w:val="590DD665"/>
    <w:rsid w:val="590DEF86"/>
    <w:rsid w:val="590E83FE"/>
    <w:rsid w:val="590EF08B"/>
    <w:rsid w:val="590F55FA"/>
    <w:rsid w:val="590FF895"/>
    <w:rsid w:val="5910E3E6"/>
    <w:rsid w:val="591135B0"/>
    <w:rsid w:val="591281B1"/>
    <w:rsid w:val="5912A021"/>
    <w:rsid w:val="5912CD80"/>
    <w:rsid w:val="5912EDE1"/>
    <w:rsid w:val="591569C4"/>
    <w:rsid w:val="5915E305"/>
    <w:rsid w:val="59166D7D"/>
    <w:rsid w:val="591704EA"/>
    <w:rsid w:val="59175561"/>
    <w:rsid w:val="59179AE1"/>
    <w:rsid w:val="5917A6C5"/>
    <w:rsid w:val="5917CE9D"/>
    <w:rsid w:val="59183C8F"/>
    <w:rsid w:val="59184FE5"/>
    <w:rsid w:val="591867CA"/>
    <w:rsid w:val="59196389"/>
    <w:rsid w:val="591A5299"/>
    <w:rsid w:val="591B5F2C"/>
    <w:rsid w:val="591CB292"/>
    <w:rsid w:val="591CD59A"/>
    <w:rsid w:val="591CED8F"/>
    <w:rsid w:val="591D0A88"/>
    <w:rsid w:val="591E8EB2"/>
    <w:rsid w:val="591EE123"/>
    <w:rsid w:val="59208B4E"/>
    <w:rsid w:val="59217B3E"/>
    <w:rsid w:val="59218190"/>
    <w:rsid w:val="5923A1C4"/>
    <w:rsid w:val="5923B8C8"/>
    <w:rsid w:val="592400F5"/>
    <w:rsid w:val="5924336A"/>
    <w:rsid w:val="59244691"/>
    <w:rsid w:val="59244E46"/>
    <w:rsid w:val="5924CC6B"/>
    <w:rsid w:val="5924EAEB"/>
    <w:rsid w:val="59263225"/>
    <w:rsid w:val="5926BEEC"/>
    <w:rsid w:val="5926DF28"/>
    <w:rsid w:val="592740EF"/>
    <w:rsid w:val="592929CD"/>
    <w:rsid w:val="592A0DD5"/>
    <w:rsid w:val="592A723D"/>
    <w:rsid w:val="592C5D44"/>
    <w:rsid w:val="592C7BBE"/>
    <w:rsid w:val="592C8AB3"/>
    <w:rsid w:val="592CD051"/>
    <w:rsid w:val="592CEE92"/>
    <w:rsid w:val="592D6244"/>
    <w:rsid w:val="592DE4DF"/>
    <w:rsid w:val="592E0D90"/>
    <w:rsid w:val="592EBE13"/>
    <w:rsid w:val="592F501C"/>
    <w:rsid w:val="592FB45C"/>
    <w:rsid w:val="592FB982"/>
    <w:rsid w:val="592FEA20"/>
    <w:rsid w:val="59308399"/>
    <w:rsid w:val="5930E0C1"/>
    <w:rsid w:val="59314F43"/>
    <w:rsid w:val="59317256"/>
    <w:rsid w:val="59319BB2"/>
    <w:rsid w:val="5932401C"/>
    <w:rsid w:val="5932E7E5"/>
    <w:rsid w:val="5933236C"/>
    <w:rsid w:val="593404F3"/>
    <w:rsid w:val="593406E0"/>
    <w:rsid w:val="59341048"/>
    <w:rsid w:val="5934B1B0"/>
    <w:rsid w:val="5935C075"/>
    <w:rsid w:val="59369201"/>
    <w:rsid w:val="59395B7E"/>
    <w:rsid w:val="59397FFD"/>
    <w:rsid w:val="5939EBA7"/>
    <w:rsid w:val="593AA734"/>
    <w:rsid w:val="593B2191"/>
    <w:rsid w:val="593B70E2"/>
    <w:rsid w:val="593C78A6"/>
    <w:rsid w:val="593CB3D7"/>
    <w:rsid w:val="593CC393"/>
    <w:rsid w:val="593D8A03"/>
    <w:rsid w:val="593D9417"/>
    <w:rsid w:val="593E1129"/>
    <w:rsid w:val="593E6606"/>
    <w:rsid w:val="593ECCE5"/>
    <w:rsid w:val="593F1898"/>
    <w:rsid w:val="593F36E4"/>
    <w:rsid w:val="593F6A6C"/>
    <w:rsid w:val="593FEE85"/>
    <w:rsid w:val="59404AE4"/>
    <w:rsid w:val="594053AC"/>
    <w:rsid w:val="594076E3"/>
    <w:rsid w:val="59410343"/>
    <w:rsid w:val="59418ECB"/>
    <w:rsid w:val="5941F6BC"/>
    <w:rsid w:val="59430E7F"/>
    <w:rsid w:val="5943911E"/>
    <w:rsid w:val="59439A67"/>
    <w:rsid w:val="5943CA58"/>
    <w:rsid w:val="594428D6"/>
    <w:rsid w:val="59444E03"/>
    <w:rsid w:val="59451AD0"/>
    <w:rsid w:val="59474A29"/>
    <w:rsid w:val="5948E0CB"/>
    <w:rsid w:val="594995FE"/>
    <w:rsid w:val="5949CBBB"/>
    <w:rsid w:val="594A168F"/>
    <w:rsid w:val="594A1885"/>
    <w:rsid w:val="594A268D"/>
    <w:rsid w:val="594A7357"/>
    <w:rsid w:val="594B83B9"/>
    <w:rsid w:val="594BD45E"/>
    <w:rsid w:val="594C0F59"/>
    <w:rsid w:val="594D05C2"/>
    <w:rsid w:val="594D0BB6"/>
    <w:rsid w:val="594D1848"/>
    <w:rsid w:val="594E030C"/>
    <w:rsid w:val="594ED42E"/>
    <w:rsid w:val="594FE148"/>
    <w:rsid w:val="59509A07"/>
    <w:rsid w:val="5950C7C4"/>
    <w:rsid w:val="59513EEC"/>
    <w:rsid w:val="59528568"/>
    <w:rsid w:val="5953372C"/>
    <w:rsid w:val="59550540"/>
    <w:rsid w:val="595563C1"/>
    <w:rsid w:val="5955FF0D"/>
    <w:rsid w:val="59575CF6"/>
    <w:rsid w:val="59577E64"/>
    <w:rsid w:val="5957BA69"/>
    <w:rsid w:val="595811E9"/>
    <w:rsid w:val="5958805F"/>
    <w:rsid w:val="5959C976"/>
    <w:rsid w:val="595B40C3"/>
    <w:rsid w:val="595BB8D0"/>
    <w:rsid w:val="595BE7F1"/>
    <w:rsid w:val="595BFE28"/>
    <w:rsid w:val="595C1F16"/>
    <w:rsid w:val="595CC04C"/>
    <w:rsid w:val="595D3913"/>
    <w:rsid w:val="595D418D"/>
    <w:rsid w:val="595D4C8D"/>
    <w:rsid w:val="595D4D17"/>
    <w:rsid w:val="595D57B2"/>
    <w:rsid w:val="595D596D"/>
    <w:rsid w:val="595D6E76"/>
    <w:rsid w:val="595D8190"/>
    <w:rsid w:val="595E258B"/>
    <w:rsid w:val="595E3060"/>
    <w:rsid w:val="595E7358"/>
    <w:rsid w:val="595F248F"/>
    <w:rsid w:val="595F3874"/>
    <w:rsid w:val="595F7F51"/>
    <w:rsid w:val="595F8DC8"/>
    <w:rsid w:val="595FFA6F"/>
    <w:rsid w:val="5960D26B"/>
    <w:rsid w:val="59614E8F"/>
    <w:rsid w:val="59615DC4"/>
    <w:rsid w:val="5961863A"/>
    <w:rsid w:val="5961A185"/>
    <w:rsid w:val="59624BF7"/>
    <w:rsid w:val="5962556E"/>
    <w:rsid w:val="59625CC8"/>
    <w:rsid w:val="59632F8B"/>
    <w:rsid w:val="5964AF74"/>
    <w:rsid w:val="5965391A"/>
    <w:rsid w:val="5965923F"/>
    <w:rsid w:val="5965FD30"/>
    <w:rsid w:val="5966A1DF"/>
    <w:rsid w:val="5966D70A"/>
    <w:rsid w:val="59671976"/>
    <w:rsid w:val="596784CE"/>
    <w:rsid w:val="59689817"/>
    <w:rsid w:val="5969D2D8"/>
    <w:rsid w:val="596B8000"/>
    <w:rsid w:val="596BC92A"/>
    <w:rsid w:val="596BF47F"/>
    <w:rsid w:val="596D8B49"/>
    <w:rsid w:val="596DB1DE"/>
    <w:rsid w:val="596DCFC5"/>
    <w:rsid w:val="596E801E"/>
    <w:rsid w:val="596EF038"/>
    <w:rsid w:val="596F6040"/>
    <w:rsid w:val="596FB33B"/>
    <w:rsid w:val="5970034D"/>
    <w:rsid w:val="59702EEF"/>
    <w:rsid w:val="59706645"/>
    <w:rsid w:val="59710662"/>
    <w:rsid w:val="59715146"/>
    <w:rsid w:val="597185D4"/>
    <w:rsid w:val="597264D5"/>
    <w:rsid w:val="5973AD70"/>
    <w:rsid w:val="5973E758"/>
    <w:rsid w:val="59740000"/>
    <w:rsid w:val="59744A06"/>
    <w:rsid w:val="597486A5"/>
    <w:rsid w:val="5974B46A"/>
    <w:rsid w:val="5974CAFA"/>
    <w:rsid w:val="59752B0F"/>
    <w:rsid w:val="59756AF6"/>
    <w:rsid w:val="59756CD1"/>
    <w:rsid w:val="59759D61"/>
    <w:rsid w:val="597617C2"/>
    <w:rsid w:val="5976E5D5"/>
    <w:rsid w:val="59778F72"/>
    <w:rsid w:val="5977C13F"/>
    <w:rsid w:val="59787A4B"/>
    <w:rsid w:val="597884A1"/>
    <w:rsid w:val="5978DC4C"/>
    <w:rsid w:val="5979F19A"/>
    <w:rsid w:val="597A0362"/>
    <w:rsid w:val="597A3A82"/>
    <w:rsid w:val="597C1445"/>
    <w:rsid w:val="597C603F"/>
    <w:rsid w:val="597CA10D"/>
    <w:rsid w:val="597CACE3"/>
    <w:rsid w:val="597CBE78"/>
    <w:rsid w:val="597D5DB1"/>
    <w:rsid w:val="597D98B4"/>
    <w:rsid w:val="597DD21E"/>
    <w:rsid w:val="597E3F39"/>
    <w:rsid w:val="597E49B6"/>
    <w:rsid w:val="597E5C6F"/>
    <w:rsid w:val="597FF289"/>
    <w:rsid w:val="59809034"/>
    <w:rsid w:val="59809E7F"/>
    <w:rsid w:val="598156E1"/>
    <w:rsid w:val="59822D6E"/>
    <w:rsid w:val="598266F0"/>
    <w:rsid w:val="59843A5A"/>
    <w:rsid w:val="5984E4C4"/>
    <w:rsid w:val="59858DDE"/>
    <w:rsid w:val="59867720"/>
    <w:rsid w:val="59875FC5"/>
    <w:rsid w:val="59877318"/>
    <w:rsid w:val="5988BD20"/>
    <w:rsid w:val="598918F0"/>
    <w:rsid w:val="59892D4F"/>
    <w:rsid w:val="598C229A"/>
    <w:rsid w:val="598C6178"/>
    <w:rsid w:val="598CBD9D"/>
    <w:rsid w:val="598CE1EC"/>
    <w:rsid w:val="598CE4A2"/>
    <w:rsid w:val="598E5A98"/>
    <w:rsid w:val="598E6148"/>
    <w:rsid w:val="59903BA0"/>
    <w:rsid w:val="5990E0F0"/>
    <w:rsid w:val="599396DE"/>
    <w:rsid w:val="5993A281"/>
    <w:rsid w:val="59943BDF"/>
    <w:rsid w:val="59944951"/>
    <w:rsid w:val="59946A9D"/>
    <w:rsid w:val="5994804B"/>
    <w:rsid w:val="59948E4F"/>
    <w:rsid w:val="599583E2"/>
    <w:rsid w:val="5995C23D"/>
    <w:rsid w:val="5995C963"/>
    <w:rsid w:val="599629DC"/>
    <w:rsid w:val="59962A10"/>
    <w:rsid w:val="59962DBE"/>
    <w:rsid w:val="59963207"/>
    <w:rsid w:val="599640CC"/>
    <w:rsid w:val="5996B679"/>
    <w:rsid w:val="5996B6FE"/>
    <w:rsid w:val="5996BD57"/>
    <w:rsid w:val="5996C34D"/>
    <w:rsid w:val="5996CB42"/>
    <w:rsid w:val="59972D38"/>
    <w:rsid w:val="599732B7"/>
    <w:rsid w:val="599786EB"/>
    <w:rsid w:val="5997BB84"/>
    <w:rsid w:val="5997EDB3"/>
    <w:rsid w:val="5997F3EC"/>
    <w:rsid w:val="5999156E"/>
    <w:rsid w:val="59999C59"/>
    <w:rsid w:val="599AE00C"/>
    <w:rsid w:val="599BB197"/>
    <w:rsid w:val="599BE66D"/>
    <w:rsid w:val="599C9B62"/>
    <w:rsid w:val="599CBEAB"/>
    <w:rsid w:val="599D0FBF"/>
    <w:rsid w:val="599D24AA"/>
    <w:rsid w:val="599DF1E0"/>
    <w:rsid w:val="599E8AD1"/>
    <w:rsid w:val="59A00D50"/>
    <w:rsid w:val="59A10D9F"/>
    <w:rsid w:val="59A24C19"/>
    <w:rsid w:val="59A2DF95"/>
    <w:rsid w:val="59A33FFE"/>
    <w:rsid w:val="59A38E44"/>
    <w:rsid w:val="59A434A6"/>
    <w:rsid w:val="59A49276"/>
    <w:rsid w:val="59A4B395"/>
    <w:rsid w:val="59A50DB3"/>
    <w:rsid w:val="59A65AC0"/>
    <w:rsid w:val="59A6EBCC"/>
    <w:rsid w:val="59A7B4E9"/>
    <w:rsid w:val="59A7FBF9"/>
    <w:rsid w:val="59A83AF6"/>
    <w:rsid w:val="59A83DD5"/>
    <w:rsid w:val="59A87C9F"/>
    <w:rsid w:val="59AA3809"/>
    <w:rsid w:val="59ABAD28"/>
    <w:rsid w:val="59ABAF81"/>
    <w:rsid w:val="59ABEB09"/>
    <w:rsid w:val="59AC0894"/>
    <w:rsid w:val="59AC85FF"/>
    <w:rsid w:val="59ACB457"/>
    <w:rsid w:val="59ACC412"/>
    <w:rsid w:val="59AD16A2"/>
    <w:rsid w:val="59AE7F69"/>
    <w:rsid w:val="59AF1D2E"/>
    <w:rsid w:val="59AF9FE9"/>
    <w:rsid w:val="59B062D8"/>
    <w:rsid w:val="59B06D0D"/>
    <w:rsid w:val="59B0C74D"/>
    <w:rsid w:val="59B1067C"/>
    <w:rsid w:val="59B10B05"/>
    <w:rsid w:val="59B1C5BC"/>
    <w:rsid w:val="59B1F63F"/>
    <w:rsid w:val="59B25198"/>
    <w:rsid w:val="59B273A5"/>
    <w:rsid w:val="59B2D98F"/>
    <w:rsid w:val="59B3106F"/>
    <w:rsid w:val="59B46654"/>
    <w:rsid w:val="59B553F9"/>
    <w:rsid w:val="59B5D71D"/>
    <w:rsid w:val="59B677EC"/>
    <w:rsid w:val="59B67CF9"/>
    <w:rsid w:val="59B729D1"/>
    <w:rsid w:val="59B80010"/>
    <w:rsid w:val="59B85D73"/>
    <w:rsid w:val="59B880F4"/>
    <w:rsid w:val="59BA2DDD"/>
    <w:rsid w:val="59BA7AD9"/>
    <w:rsid w:val="59BA9F5E"/>
    <w:rsid w:val="59BB0469"/>
    <w:rsid w:val="59BC9DEC"/>
    <w:rsid w:val="59BD813B"/>
    <w:rsid w:val="59BDBC68"/>
    <w:rsid w:val="59BE0FC5"/>
    <w:rsid w:val="59BE6112"/>
    <w:rsid w:val="59BE774A"/>
    <w:rsid w:val="59BEA4DA"/>
    <w:rsid w:val="59C00B36"/>
    <w:rsid w:val="59C048A9"/>
    <w:rsid w:val="59C08BCC"/>
    <w:rsid w:val="59C0A777"/>
    <w:rsid w:val="59C29C3D"/>
    <w:rsid w:val="59C2A6AD"/>
    <w:rsid w:val="59C2DC45"/>
    <w:rsid w:val="59C36395"/>
    <w:rsid w:val="59C4274E"/>
    <w:rsid w:val="59C44637"/>
    <w:rsid w:val="59C46154"/>
    <w:rsid w:val="59C5AF6E"/>
    <w:rsid w:val="59C5E7C4"/>
    <w:rsid w:val="59C737F3"/>
    <w:rsid w:val="59C8ADE3"/>
    <w:rsid w:val="59C8D5BA"/>
    <w:rsid w:val="59C8D616"/>
    <w:rsid w:val="59C8F52A"/>
    <w:rsid w:val="59C9D85C"/>
    <w:rsid w:val="59C9ECC0"/>
    <w:rsid w:val="59CA3979"/>
    <w:rsid w:val="59CC62CC"/>
    <w:rsid w:val="59CD27F6"/>
    <w:rsid w:val="59CDFDA8"/>
    <w:rsid w:val="59CDFE8D"/>
    <w:rsid w:val="59CF902F"/>
    <w:rsid w:val="59CFCE22"/>
    <w:rsid w:val="59D0BC2D"/>
    <w:rsid w:val="59D0F47E"/>
    <w:rsid w:val="59D18F81"/>
    <w:rsid w:val="59D1989B"/>
    <w:rsid w:val="59D1EB4B"/>
    <w:rsid w:val="59D2D8C6"/>
    <w:rsid w:val="59D2E6C5"/>
    <w:rsid w:val="59D33819"/>
    <w:rsid w:val="59D39051"/>
    <w:rsid w:val="59D3CE11"/>
    <w:rsid w:val="59D3F039"/>
    <w:rsid w:val="59D3F190"/>
    <w:rsid w:val="59D43D44"/>
    <w:rsid w:val="59D47D9B"/>
    <w:rsid w:val="59D52B57"/>
    <w:rsid w:val="59D542FD"/>
    <w:rsid w:val="59D56AA7"/>
    <w:rsid w:val="59D56BC7"/>
    <w:rsid w:val="59D5DCA6"/>
    <w:rsid w:val="59D605BD"/>
    <w:rsid w:val="59D6F22E"/>
    <w:rsid w:val="59D77253"/>
    <w:rsid w:val="59D7778F"/>
    <w:rsid w:val="59D79838"/>
    <w:rsid w:val="59D7A425"/>
    <w:rsid w:val="59D7F163"/>
    <w:rsid w:val="59D80147"/>
    <w:rsid w:val="59D83531"/>
    <w:rsid w:val="59D86B8B"/>
    <w:rsid w:val="59D88EC5"/>
    <w:rsid w:val="59DA2FEF"/>
    <w:rsid w:val="59DADFF8"/>
    <w:rsid w:val="59DAF225"/>
    <w:rsid w:val="59DAF733"/>
    <w:rsid w:val="59DB5B24"/>
    <w:rsid w:val="59DBAABF"/>
    <w:rsid w:val="59DD695D"/>
    <w:rsid w:val="59DD84A7"/>
    <w:rsid w:val="59DDFFE3"/>
    <w:rsid w:val="59DE5BA0"/>
    <w:rsid w:val="59DF2B58"/>
    <w:rsid w:val="59DF6E54"/>
    <w:rsid w:val="59DFA093"/>
    <w:rsid w:val="59DFB56B"/>
    <w:rsid w:val="59DFE170"/>
    <w:rsid w:val="59E0487E"/>
    <w:rsid w:val="59E10592"/>
    <w:rsid w:val="59E238F0"/>
    <w:rsid w:val="59E239CB"/>
    <w:rsid w:val="59E264F4"/>
    <w:rsid w:val="59E35689"/>
    <w:rsid w:val="59E3822D"/>
    <w:rsid w:val="59E431A0"/>
    <w:rsid w:val="59E46F5F"/>
    <w:rsid w:val="59E4F2DF"/>
    <w:rsid w:val="59E5048C"/>
    <w:rsid w:val="59E562EF"/>
    <w:rsid w:val="59E58AC3"/>
    <w:rsid w:val="59E5DD3D"/>
    <w:rsid w:val="59E6C860"/>
    <w:rsid w:val="59E73202"/>
    <w:rsid w:val="59E7A566"/>
    <w:rsid w:val="59E7E07C"/>
    <w:rsid w:val="59E8DBBD"/>
    <w:rsid w:val="59E8EC3B"/>
    <w:rsid w:val="59E8FF6C"/>
    <w:rsid w:val="59EA04DF"/>
    <w:rsid w:val="59EAAF19"/>
    <w:rsid w:val="59EB1030"/>
    <w:rsid w:val="59EB5BB7"/>
    <w:rsid w:val="59EBD86B"/>
    <w:rsid w:val="59EC5995"/>
    <w:rsid w:val="59ECD844"/>
    <w:rsid w:val="59EDA1C7"/>
    <w:rsid w:val="59EDE5FE"/>
    <w:rsid w:val="59EDE8B3"/>
    <w:rsid w:val="59EDE945"/>
    <w:rsid w:val="59F06C3C"/>
    <w:rsid w:val="59F11705"/>
    <w:rsid w:val="59F1B9ED"/>
    <w:rsid w:val="59F2E6E6"/>
    <w:rsid w:val="59F3C35A"/>
    <w:rsid w:val="59F41B58"/>
    <w:rsid w:val="59F45B92"/>
    <w:rsid w:val="59F51B6B"/>
    <w:rsid w:val="59F57919"/>
    <w:rsid w:val="59F5FA30"/>
    <w:rsid w:val="59F61520"/>
    <w:rsid w:val="59F6700A"/>
    <w:rsid w:val="59F7903F"/>
    <w:rsid w:val="59F7BAEA"/>
    <w:rsid w:val="59F7F3D4"/>
    <w:rsid w:val="59F8EC7E"/>
    <w:rsid w:val="59F91203"/>
    <w:rsid w:val="59F9A752"/>
    <w:rsid w:val="59FA8A6F"/>
    <w:rsid w:val="59FAF694"/>
    <w:rsid w:val="59FB010D"/>
    <w:rsid w:val="59FB0CFA"/>
    <w:rsid w:val="59FB4140"/>
    <w:rsid w:val="59FB56CD"/>
    <w:rsid w:val="59FBA340"/>
    <w:rsid w:val="59FBBD39"/>
    <w:rsid w:val="59FBF3CB"/>
    <w:rsid w:val="59FD329D"/>
    <w:rsid w:val="59FD9875"/>
    <w:rsid w:val="59FDAD62"/>
    <w:rsid w:val="59FE9102"/>
    <w:rsid w:val="59FF9483"/>
    <w:rsid w:val="5A020DF8"/>
    <w:rsid w:val="5A0232AA"/>
    <w:rsid w:val="5A0271D3"/>
    <w:rsid w:val="5A030E4D"/>
    <w:rsid w:val="5A031FB2"/>
    <w:rsid w:val="5A03323E"/>
    <w:rsid w:val="5A0462A2"/>
    <w:rsid w:val="5A04ABF5"/>
    <w:rsid w:val="5A058F8C"/>
    <w:rsid w:val="5A068915"/>
    <w:rsid w:val="5A068FC3"/>
    <w:rsid w:val="5A06A906"/>
    <w:rsid w:val="5A07E390"/>
    <w:rsid w:val="5A084BD0"/>
    <w:rsid w:val="5A08D3A4"/>
    <w:rsid w:val="5A08EA28"/>
    <w:rsid w:val="5A09082D"/>
    <w:rsid w:val="5A09A714"/>
    <w:rsid w:val="5A0A6BA6"/>
    <w:rsid w:val="5A0A850E"/>
    <w:rsid w:val="5A0AA099"/>
    <w:rsid w:val="5A0AC015"/>
    <w:rsid w:val="5A0B4EA2"/>
    <w:rsid w:val="5A0B75D4"/>
    <w:rsid w:val="5A0B8C7C"/>
    <w:rsid w:val="5A0B96ED"/>
    <w:rsid w:val="5A0BB808"/>
    <w:rsid w:val="5A0C111C"/>
    <w:rsid w:val="5A0C759D"/>
    <w:rsid w:val="5A0CA8BE"/>
    <w:rsid w:val="5A0D2ED5"/>
    <w:rsid w:val="5A0D8A1C"/>
    <w:rsid w:val="5A0DB99E"/>
    <w:rsid w:val="5A0DC599"/>
    <w:rsid w:val="5A0E8179"/>
    <w:rsid w:val="5A0F481D"/>
    <w:rsid w:val="5A0F82BB"/>
    <w:rsid w:val="5A10B998"/>
    <w:rsid w:val="5A10D6D8"/>
    <w:rsid w:val="5A10E180"/>
    <w:rsid w:val="5A11D772"/>
    <w:rsid w:val="5A11DD6D"/>
    <w:rsid w:val="5A11E446"/>
    <w:rsid w:val="5A121C0D"/>
    <w:rsid w:val="5A1352AF"/>
    <w:rsid w:val="5A144785"/>
    <w:rsid w:val="5A148938"/>
    <w:rsid w:val="5A154F37"/>
    <w:rsid w:val="5A15C4B3"/>
    <w:rsid w:val="5A16FF34"/>
    <w:rsid w:val="5A176EC1"/>
    <w:rsid w:val="5A178867"/>
    <w:rsid w:val="5A1872D1"/>
    <w:rsid w:val="5A1876A2"/>
    <w:rsid w:val="5A189319"/>
    <w:rsid w:val="5A18DECA"/>
    <w:rsid w:val="5A191F7B"/>
    <w:rsid w:val="5A19517E"/>
    <w:rsid w:val="5A196A9B"/>
    <w:rsid w:val="5A1A4AFD"/>
    <w:rsid w:val="5A1B137E"/>
    <w:rsid w:val="5A1B71B1"/>
    <w:rsid w:val="5A1B775A"/>
    <w:rsid w:val="5A1BBEC7"/>
    <w:rsid w:val="5A1DF8B0"/>
    <w:rsid w:val="5A1E27FB"/>
    <w:rsid w:val="5A1E7167"/>
    <w:rsid w:val="5A1EC6CF"/>
    <w:rsid w:val="5A1F4684"/>
    <w:rsid w:val="5A1F70E2"/>
    <w:rsid w:val="5A1FB9BA"/>
    <w:rsid w:val="5A1FF0DE"/>
    <w:rsid w:val="5A202659"/>
    <w:rsid w:val="5A207BB9"/>
    <w:rsid w:val="5A218758"/>
    <w:rsid w:val="5A21C8C1"/>
    <w:rsid w:val="5A227910"/>
    <w:rsid w:val="5A2281D4"/>
    <w:rsid w:val="5A22A1C6"/>
    <w:rsid w:val="5A22EF27"/>
    <w:rsid w:val="5A234261"/>
    <w:rsid w:val="5A235B9C"/>
    <w:rsid w:val="5A23ACDD"/>
    <w:rsid w:val="5A241C15"/>
    <w:rsid w:val="5A2431A5"/>
    <w:rsid w:val="5A247DE1"/>
    <w:rsid w:val="5A25880F"/>
    <w:rsid w:val="5A260822"/>
    <w:rsid w:val="5A267981"/>
    <w:rsid w:val="5A26EF41"/>
    <w:rsid w:val="5A276AA0"/>
    <w:rsid w:val="5A28816A"/>
    <w:rsid w:val="5A292AF0"/>
    <w:rsid w:val="5A29757F"/>
    <w:rsid w:val="5A29CD2D"/>
    <w:rsid w:val="5A2A4D3E"/>
    <w:rsid w:val="5A2AB251"/>
    <w:rsid w:val="5A2B1AD2"/>
    <w:rsid w:val="5A2B5536"/>
    <w:rsid w:val="5A2B843E"/>
    <w:rsid w:val="5A2B94DB"/>
    <w:rsid w:val="5A2C2472"/>
    <w:rsid w:val="5A2D57F5"/>
    <w:rsid w:val="5A2DF0D3"/>
    <w:rsid w:val="5A2DFE8B"/>
    <w:rsid w:val="5A2E35D8"/>
    <w:rsid w:val="5A2E87E2"/>
    <w:rsid w:val="5A2EC13A"/>
    <w:rsid w:val="5A2F94C8"/>
    <w:rsid w:val="5A300B83"/>
    <w:rsid w:val="5A30107E"/>
    <w:rsid w:val="5A307559"/>
    <w:rsid w:val="5A3078F7"/>
    <w:rsid w:val="5A3168A4"/>
    <w:rsid w:val="5A3182C5"/>
    <w:rsid w:val="5A31EE7D"/>
    <w:rsid w:val="5A32DFD9"/>
    <w:rsid w:val="5A333FFF"/>
    <w:rsid w:val="5A33DB27"/>
    <w:rsid w:val="5A33FDD4"/>
    <w:rsid w:val="5A34970E"/>
    <w:rsid w:val="5A34B7B3"/>
    <w:rsid w:val="5A34C4B0"/>
    <w:rsid w:val="5A353FDD"/>
    <w:rsid w:val="5A358851"/>
    <w:rsid w:val="5A35B3B3"/>
    <w:rsid w:val="5A36A6CA"/>
    <w:rsid w:val="5A36E3A9"/>
    <w:rsid w:val="5A3755F6"/>
    <w:rsid w:val="5A37BDCE"/>
    <w:rsid w:val="5A37C03A"/>
    <w:rsid w:val="5A37FA4C"/>
    <w:rsid w:val="5A380275"/>
    <w:rsid w:val="5A380881"/>
    <w:rsid w:val="5A382B5A"/>
    <w:rsid w:val="5A3979C0"/>
    <w:rsid w:val="5A3A73FD"/>
    <w:rsid w:val="5A3B4540"/>
    <w:rsid w:val="5A3BB2ED"/>
    <w:rsid w:val="5A3BC2F6"/>
    <w:rsid w:val="5A3C7B7D"/>
    <w:rsid w:val="5A3D330F"/>
    <w:rsid w:val="5A3DAFBF"/>
    <w:rsid w:val="5A3E16AB"/>
    <w:rsid w:val="5A3E8D6A"/>
    <w:rsid w:val="5A3EB7A6"/>
    <w:rsid w:val="5A3EEDBB"/>
    <w:rsid w:val="5A3F2FF9"/>
    <w:rsid w:val="5A4104E6"/>
    <w:rsid w:val="5A41463A"/>
    <w:rsid w:val="5A41F7FD"/>
    <w:rsid w:val="5A427ABC"/>
    <w:rsid w:val="5A43A656"/>
    <w:rsid w:val="5A449288"/>
    <w:rsid w:val="5A464E8B"/>
    <w:rsid w:val="5A466ECC"/>
    <w:rsid w:val="5A471829"/>
    <w:rsid w:val="5A47494A"/>
    <w:rsid w:val="5A47EC4A"/>
    <w:rsid w:val="5A47EFA3"/>
    <w:rsid w:val="5A487B6B"/>
    <w:rsid w:val="5A48B1D5"/>
    <w:rsid w:val="5A4998D7"/>
    <w:rsid w:val="5A4A4744"/>
    <w:rsid w:val="5A4A8B73"/>
    <w:rsid w:val="5A4AA9A0"/>
    <w:rsid w:val="5A4AF7AD"/>
    <w:rsid w:val="5A4B9946"/>
    <w:rsid w:val="5A4C1A1F"/>
    <w:rsid w:val="5A4CC0EA"/>
    <w:rsid w:val="5A4CD081"/>
    <w:rsid w:val="5A4CE6B6"/>
    <w:rsid w:val="5A4F0491"/>
    <w:rsid w:val="5A4F69F7"/>
    <w:rsid w:val="5A4FF712"/>
    <w:rsid w:val="5A508E31"/>
    <w:rsid w:val="5A50E8A7"/>
    <w:rsid w:val="5A511CDA"/>
    <w:rsid w:val="5A51A57B"/>
    <w:rsid w:val="5A51FACD"/>
    <w:rsid w:val="5A528DD8"/>
    <w:rsid w:val="5A53812D"/>
    <w:rsid w:val="5A53F845"/>
    <w:rsid w:val="5A5426B7"/>
    <w:rsid w:val="5A548A57"/>
    <w:rsid w:val="5A549CB2"/>
    <w:rsid w:val="5A550B92"/>
    <w:rsid w:val="5A55414C"/>
    <w:rsid w:val="5A562B74"/>
    <w:rsid w:val="5A5630C5"/>
    <w:rsid w:val="5A56791C"/>
    <w:rsid w:val="5A575334"/>
    <w:rsid w:val="5A576F76"/>
    <w:rsid w:val="5A58252F"/>
    <w:rsid w:val="5A5835E5"/>
    <w:rsid w:val="5A58D3A9"/>
    <w:rsid w:val="5A5A0EA3"/>
    <w:rsid w:val="5A5A301C"/>
    <w:rsid w:val="5A5A7558"/>
    <w:rsid w:val="5A5B3497"/>
    <w:rsid w:val="5A5B54EA"/>
    <w:rsid w:val="5A5BA740"/>
    <w:rsid w:val="5A5C42CA"/>
    <w:rsid w:val="5A5CAF4B"/>
    <w:rsid w:val="5A5CD120"/>
    <w:rsid w:val="5A5D39D5"/>
    <w:rsid w:val="5A5E464F"/>
    <w:rsid w:val="5A5E6DA6"/>
    <w:rsid w:val="5A5E9601"/>
    <w:rsid w:val="5A5FC46B"/>
    <w:rsid w:val="5A601408"/>
    <w:rsid w:val="5A609255"/>
    <w:rsid w:val="5A60D172"/>
    <w:rsid w:val="5A611CED"/>
    <w:rsid w:val="5A6151E3"/>
    <w:rsid w:val="5A61B68F"/>
    <w:rsid w:val="5A624359"/>
    <w:rsid w:val="5A64B065"/>
    <w:rsid w:val="5A64C503"/>
    <w:rsid w:val="5A653FA8"/>
    <w:rsid w:val="5A65D418"/>
    <w:rsid w:val="5A6646F9"/>
    <w:rsid w:val="5A66498E"/>
    <w:rsid w:val="5A6676AD"/>
    <w:rsid w:val="5A67744B"/>
    <w:rsid w:val="5A67A9CA"/>
    <w:rsid w:val="5A68F410"/>
    <w:rsid w:val="5A6941A4"/>
    <w:rsid w:val="5A695EE5"/>
    <w:rsid w:val="5A69CACB"/>
    <w:rsid w:val="5A69FE42"/>
    <w:rsid w:val="5A6A4F27"/>
    <w:rsid w:val="5A6A77F6"/>
    <w:rsid w:val="5A6B1240"/>
    <w:rsid w:val="5A6B5F75"/>
    <w:rsid w:val="5A6BAFC8"/>
    <w:rsid w:val="5A6BE66D"/>
    <w:rsid w:val="5A6C44A1"/>
    <w:rsid w:val="5A6C774E"/>
    <w:rsid w:val="5A6CB3D4"/>
    <w:rsid w:val="5A6DD4EE"/>
    <w:rsid w:val="5A6E3427"/>
    <w:rsid w:val="5A6E49FB"/>
    <w:rsid w:val="5A6E6965"/>
    <w:rsid w:val="5A6EFEF7"/>
    <w:rsid w:val="5A6F0821"/>
    <w:rsid w:val="5A6F1081"/>
    <w:rsid w:val="5A6FFB08"/>
    <w:rsid w:val="5A700527"/>
    <w:rsid w:val="5A706179"/>
    <w:rsid w:val="5A708AC8"/>
    <w:rsid w:val="5A70C73E"/>
    <w:rsid w:val="5A715695"/>
    <w:rsid w:val="5A715C59"/>
    <w:rsid w:val="5A71E91D"/>
    <w:rsid w:val="5A722BB9"/>
    <w:rsid w:val="5A7264DE"/>
    <w:rsid w:val="5A728E9D"/>
    <w:rsid w:val="5A735776"/>
    <w:rsid w:val="5A736713"/>
    <w:rsid w:val="5A737E57"/>
    <w:rsid w:val="5A73A225"/>
    <w:rsid w:val="5A74A7DA"/>
    <w:rsid w:val="5A74AFC1"/>
    <w:rsid w:val="5A74B87F"/>
    <w:rsid w:val="5A757885"/>
    <w:rsid w:val="5A75E1C2"/>
    <w:rsid w:val="5A760A4E"/>
    <w:rsid w:val="5A77AE45"/>
    <w:rsid w:val="5A781A77"/>
    <w:rsid w:val="5A7898BB"/>
    <w:rsid w:val="5A78A721"/>
    <w:rsid w:val="5A794C4E"/>
    <w:rsid w:val="5A7A32E4"/>
    <w:rsid w:val="5A7A60F1"/>
    <w:rsid w:val="5A7A76C0"/>
    <w:rsid w:val="5A7B5748"/>
    <w:rsid w:val="5A7BBFE6"/>
    <w:rsid w:val="5A7C1052"/>
    <w:rsid w:val="5A7D530B"/>
    <w:rsid w:val="5A7DB09F"/>
    <w:rsid w:val="5A7DFF20"/>
    <w:rsid w:val="5A7E379A"/>
    <w:rsid w:val="5A7EC74B"/>
    <w:rsid w:val="5A7F5F30"/>
    <w:rsid w:val="5A801343"/>
    <w:rsid w:val="5A805C9B"/>
    <w:rsid w:val="5A80BC52"/>
    <w:rsid w:val="5A81E452"/>
    <w:rsid w:val="5A81EC6C"/>
    <w:rsid w:val="5A822A13"/>
    <w:rsid w:val="5A832C54"/>
    <w:rsid w:val="5A837CD9"/>
    <w:rsid w:val="5A84C970"/>
    <w:rsid w:val="5A858144"/>
    <w:rsid w:val="5A85861B"/>
    <w:rsid w:val="5A862F19"/>
    <w:rsid w:val="5A86D41A"/>
    <w:rsid w:val="5A874A35"/>
    <w:rsid w:val="5A88A906"/>
    <w:rsid w:val="5A88E6A7"/>
    <w:rsid w:val="5A895974"/>
    <w:rsid w:val="5A897B62"/>
    <w:rsid w:val="5A8A0BC5"/>
    <w:rsid w:val="5A8A919A"/>
    <w:rsid w:val="5A8A99EE"/>
    <w:rsid w:val="5A8AD45F"/>
    <w:rsid w:val="5A8B14E8"/>
    <w:rsid w:val="5A8B4063"/>
    <w:rsid w:val="5A8B6A59"/>
    <w:rsid w:val="5A8BA451"/>
    <w:rsid w:val="5A8E49B8"/>
    <w:rsid w:val="5A8E7F2B"/>
    <w:rsid w:val="5A8E91CD"/>
    <w:rsid w:val="5A8EEBB2"/>
    <w:rsid w:val="5A903A48"/>
    <w:rsid w:val="5A90CD19"/>
    <w:rsid w:val="5A90EFC9"/>
    <w:rsid w:val="5A912FAB"/>
    <w:rsid w:val="5A9159B2"/>
    <w:rsid w:val="5A9214BD"/>
    <w:rsid w:val="5A92B0E7"/>
    <w:rsid w:val="5A934EFB"/>
    <w:rsid w:val="5A93AADA"/>
    <w:rsid w:val="5A93C26C"/>
    <w:rsid w:val="5A93CC87"/>
    <w:rsid w:val="5A945174"/>
    <w:rsid w:val="5A949445"/>
    <w:rsid w:val="5A94C1AF"/>
    <w:rsid w:val="5A95D1FA"/>
    <w:rsid w:val="5A95F6C0"/>
    <w:rsid w:val="5A961A0A"/>
    <w:rsid w:val="5A9661E8"/>
    <w:rsid w:val="5A969F21"/>
    <w:rsid w:val="5A970115"/>
    <w:rsid w:val="5A97BEF4"/>
    <w:rsid w:val="5A980BD2"/>
    <w:rsid w:val="5A98415C"/>
    <w:rsid w:val="5A98C5FA"/>
    <w:rsid w:val="5A995658"/>
    <w:rsid w:val="5A99AE2C"/>
    <w:rsid w:val="5A9A07A4"/>
    <w:rsid w:val="5A9A55E4"/>
    <w:rsid w:val="5A9A9588"/>
    <w:rsid w:val="5A9BD8C3"/>
    <w:rsid w:val="5A9C15BC"/>
    <w:rsid w:val="5A9C4B7B"/>
    <w:rsid w:val="5A9C6308"/>
    <w:rsid w:val="5A9C7DA8"/>
    <w:rsid w:val="5A9C80E8"/>
    <w:rsid w:val="5A9D48C2"/>
    <w:rsid w:val="5A9D8828"/>
    <w:rsid w:val="5A9DA113"/>
    <w:rsid w:val="5A9DA55F"/>
    <w:rsid w:val="5A9DB565"/>
    <w:rsid w:val="5A9DD2E9"/>
    <w:rsid w:val="5A9EBF29"/>
    <w:rsid w:val="5AA0EA62"/>
    <w:rsid w:val="5AA1FBE4"/>
    <w:rsid w:val="5AA49AC5"/>
    <w:rsid w:val="5AA52E4F"/>
    <w:rsid w:val="5AA5F44B"/>
    <w:rsid w:val="5AA60B80"/>
    <w:rsid w:val="5AA64731"/>
    <w:rsid w:val="5AA66C66"/>
    <w:rsid w:val="5AA6FC11"/>
    <w:rsid w:val="5AA707A4"/>
    <w:rsid w:val="5AA7262F"/>
    <w:rsid w:val="5AA784B1"/>
    <w:rsid w:val="5AA79262"/>
    <w:rsid w:val="5AA7D43D"/>
    <w:rsid w:val="5AA890CD"/>
    <w:rsid w:val="5AA907E9"/>
    <w:rsid w:val="5AA91902"/>
    <w:rsid w:val="5AA93413"/>
    <w:rsid w:val="5AA97668"/>
    <w:rsid w:val="5AA98D97"/>
    <w:rsid w:val="5AA9F81E"/>
    <w:rsid w:val="5AABFAD6"/>
    <w:rsid w:val="5AABFEB8"/>
    <w:rsid w:val="5AAC3866"/>
    <w:rsid w:val="5AACA769"/>
    <w:rsid w:val="5AAD6E21"/>
    <w:rsid w:val="5AADC420"/>
    <w:rsid w:val="5AAE175B"/>
    <w:rsid w:val="5AAE212A"/>
    <w:rsid w:val="5AAFCC59"/>
    <w:rsid w:val="5AAFCCF1"/>
    <w:rsid w:val="5AB03ADE"/>
    <w:rsid w:val="5AB07D0E"/>
    <w:rsid w:val="5AB0E75F"/>
    <w:rsid w:val="5AB0FEA6"/>
    <w:rsid w:val="5AB11CA9"/>
    <w:rsid w:val="5AB1E85E"/>
    <w:rsid w:val="5AB27EE8"/>
    <w:rsid w:val="5AB2FBA2"/>
    <w:rsid w:val="5AB3251F"/>
    <w:rsid w:val="5AB375D2"/>
    <w:rsid w:val="5AB41DE5"/>
    <w:rsid w:val="5AB42338"/>
    <w:rsid w:val="5AB49F65"/>
    <w:rsid w:val="5AB55034"/>
    <w:rsid w:val="5AB5DB9C"/>
    <w:rsid w:val="5AB7CF84"/>
    <w:rsid w:val="5AB7D3F4"/>
    <w:rsid w:val="5AB81F5D"/>
    <w:rsid w:val="5AB82D30"/>
    <w:rsid w:val="5AB83701"/>
    <w:rsid w:val="5AB84037"/>
    <w:rsid w:val="5AB84883"/>
    <w:rsid w:val="5AB987D9"/>
    <w:rsid w:val="5ABAAD55"/>
    <w:rsid w:val="5ABAC697"/>
    <w:rsid w:val="5ABB2B9A"/>
    <w:rsid w:val="5ABBF34C"/>
    <w:rsid w:val="5ABC097B"/>
    <w:rsid w:val="5ABCBB90"/>
    <w:rsid w:val="5ABCF66B"/>
    <w:rsid w:val="5ABD37BF"/>
    <w:rsid w:val="5ABD4EA5"/>
    <w:rsid w:val="5ABDE716"/>
    <w:rsid w:val="5ABE79B9"/>
    <w:rsid w:val="5ABEAAE9"/>
    <w:rsid w:val="5ABFDD82"/>
    <w:rsid w:val="5AC16A42"/>
    <w:rsid w:val="5AC2AAB3"/>
    <w:rsid w:val="5AC2C00B"/>
    <w:rsid w:val="5AC375B5"/>
    <w:rsid w:val="5AC376A6"/>
    <w:rsid w:val="5AC3B12A"/>
    <w:rsid w:val="5AC533A1"/>
    <w:rsid w:val="5AC605F1"/>
    <w:rsid w:val="5AC68632"/>
    <w:rsid w:val="5AC6BCBD"/>
    <w:rsid w:val="5AC6DE7A"/>
    <w:rsid w:val="5AC74A56"/>
    <w:rsid w:val="5AC7D1A3"/>
    <w:rsid w:val="5AC81C9F"/>
    <w:rsid w:val="5AC84B76"/>
    <w:rsid w:val="5AC8AC24"/>
    <w:rsid w:val="5AC8BDC7"/>
    <w:rsid w:val="5AC8E632"/>
    <w:rsid w:val="5AC97D0C"/>
    <w:rsid w:val="5ACA47D1"/>
    <w:rsid w:val="5ACCA71A"/>
    <w:rsid w:val="5ACDF9CD"/>
    <w:rsid w:val="5ACFD1F1"/>
    <w:rsid w:val="5AD04332"/>
    <w:rsid w:val="5AD0A6DB"/>
    <w:rsid w:val="5AD17957"/>
    <w:rsid w:val="5AD234AB"/>
    <w:rsid w:val="5AD30214"/>
    <w:rsid w:val="5AD36D39"/>
    <w:rsid w:val="5AD3A680"/>
    <w:rsid w:val="5AD3B124"/>
    <w:rsid w:val="5AD3B2B2"/>
    <w:rsid w:val="5AD534EA"/>
    <w:rsid w:val="5AD54942"/>
    <w:rsid w:val="5AD61D85"/>
    <w:rsid w:val="5AD65E9D"/>
    <w:rsid w:val="5AD6D144"/>
    <w:rsid w:val="5AD6DC95"/>
    <w:rsid w:val="5AD7BCE8"/>
    <w:rsid w:val="5AD7C60A"/>
    <w:rsid w:val="5AD7F5BB"/>
    <w:rsid w:val="5AD7F6EB"/>
    <w:rsid w:val="5AD80824"/>
    <w:rsid w:val="5AD868DF"/>
    <w:rsid w:val="5AD8A2B7"/>
    <w:rsid w:val="5AD90826"/>
    <w:rsid w:val="5AD9B7F8"/>
    <w:rsid w:val="5AD9DF9E"/>
    <w:rsid w:val="5AD9FEBC"/>
    <w:rsid w:val="5ADBFA06"/>
    <w:rsid w:val="5ADC070E"/>
    <w:rsid w:val="5ADC61EB"/>
    <w:rsid w:val="5ADC9980"/>
    <w:rsid w:val="5ADCA2C5"/>
    <w:rsid w:val="5ADD0A44"/>
    <w:rsid w:val="5ADD2818"/>
    <w:rsid w:val="5ADD62F3"/>
    <w:rsid w:val="5ADDA8BE"/>
    <w:rsid w:val="5ADE8288"/>
    <w:rsid w:val="5ADE84BE"/>
    <w:rsid w:val="5ADEB52E"/>
    <w:rsid w:val="5ADF05B4"/>
    <w:rsid w:val="5ADF1161"/>
    <w:rsid w:val="5ADF46E1"/>
    <w:rsid w:val="5ADF7F68"/>
    <w:rsid w:val="5AE0FFD8"/>
    <w:rsid w:val="5AE19623"/>
    <w:rsid w:val="5AE19C95"/>
    <w:rsid w:val="5AE1BFBD"/>
    <w:rsid w:val="5AE208E5"/>
    <w:rsid w:val="5AE2708F"/>
    <w:rsid w:val="5AE3405F"/>
    <w:rsid w:val="5AE3AF72"/>
    <w:rsid w:val="5AE3E925"/>
    <w:rsid w:val="5AE476AA"/>
    <w:rsid w:val="5AE47C72"/>
    <w:rsid w:val="5AE54900"/>
    <w:rsid w:val="5AE578FF"/>
    <w:rsid w:val="5AE59C23"/>
    <w:rsid w:val="5AE66D62"/>
    <w:rsid w:val="5AE6B457"/>
    <w:rsid w:val="5AE76004"/>
    <w:rsid w:val="5AE80D1C"/>
    <w:rsid w:val="5AE84A93"/>
    <w:rsid w:val="5AE8E61C"/>
    <w:rsid w:val="5AE950EA"/>
    <w:rsid w:val="5AE98993"/>
    <w:rsid w:val="5AE99C4D"/>
    <w:rsid w:val="5AE9EE65"/>
    <w:rsid w:val="5AEA00F7"/>
    <w:rsid w:val="5AEA2DE6"/>
    <w:rsid w:val="5AEA4D62"/>
    <w:rsid w:val="5AEBE677"/>
    <w:rsid w:val="5AEC173E"/>
    <w:rsid w:val="5AECFF03"/>
    <w:rsid w:val="5AED81DE"/>
    <w:rsid w:val="5AEF3F47"/>
    <w:rsid w:val="5AEF716C"/>
    <w:rsid w:val="5AEF99EF"/>
    <w:rsid w:val="5AF074BC"/>
    <w:rsid w:val="5AF0766B"/>
    <w:rsid w:val="5AF08998"/>
    <w:rsid w:val="5AF0AB99"/>
    <w:rsid w:val="5AF137FF"/>
    <w:rsid w:val="5AF14170"/>
    <w:rsid w:val="5AF17161"/>
    <w:rsid w:val="5AF19CEB"/>
    <w:rsid w:val="5AF2EF0B"/>
    <w:rsid w:val="5AF31EA2"/>
    <w:rsid w:val="5AF4BF46"/>
    <w:rsid w:val="5AF5F167"/>
    <w:rsid w:val="5AF7081F"/>
    <w:rsid w:val="5AF7A090"/>
    <w:rsid w:val="5AF81270"/>
    <w:rsid w:val="5AF8B813"/>
    <w:rsid w:val="5AF8CDFD"/>
    <w:rsid w:val="5AF8FED1"/>
    <w:rsid w:val="5AF97461"/>
    <w:rsid w:val="5AFCD42F"/>
    <w:rsid w:val="5AFCE9ED"/>
    <w:rsid w:val="5AFD56B6"/>
    <w:rsid w:val="5AFDBA76"/>
    <w:rsid w:val="5AFDDD50"/>
    <w:rsid w:val="5AFE8FEF"/>
    <w:rsid w:val="5AFF8B64"/>
    <w:rsid w:val="5AFFB8B8"/>
    <w:rsid w:val="5AFFF543"/>
    <w:rsid w:val="5B005C8F"/>
    <w:rsid w:val="5B00AEBD"/>
    <w:rsid w:val="5B022251"/>
    <w:rsid w:val="5B02FA62"/>
    <w:rsid w:val="5B0303E6"/>
    <w:rsid w:val="5B036C9C"/>
    <w:rsid w:val="5B03749C"/>
    <w:rsid w:val="5B049F97"/>
    <w:rsid w:val="5B04AE42"/>
    <w:rsid w:val="5B05139E"/>
    <w:rsid w:val="5B0525D9"/>
    <w:rsid w:val="5B0532F6"/>
    <w:rsid w:val="5B06A2FF"/>
    <w:rsid w:val="5B075F30"/>
    <w:rsid w:val="5B07C2BF"/>
    <w:rsid w:val="5B08A392"/>
    <w:rsid w:val="5B08C986"/>
    <w:rsid w:val="5B08F829"/>
    <w:rsid w:val="5B091C8C"/>
    <w:rsid w:val="5B098B53"/>
    <w:rsid w:val="5B09C7CB"/>
    <w:rsid w:val="5B0ABE69"/>
    <w:rsid w:val="5B0B66A0"/>
    <w:rsid w:val="5B0BBBAD"/>
    <w:rsid w:val="5B0BEBD5"/>
    <w:rsid w:val="5B0C2FC1"/>
    <w:rsid w:val="5B0C34EC"/>
    <w:rsid w:val="5B0E3E63"/>
    <w:rsid w:val="5B0EC97E"/>
    <w:rsid w:val="5B0F4C80"/>
    <w:rsid w:val="5B100FB6"/>
    <w:rsid w:val="5B114972"/>
    <w:rsid w:val="5B1167C4"/>
    <w:rsid w:val="5B116909"/>
    <w:rsid w:val="5B11AC7D"/>
    <w:rsid w:val="5B124D3F"/>
    <w:rsid w:val="5B14998F"/>
    <w:rsid w:val="5B15768A"/>
    <w:rsid w:val="5B15E696"/>
    <w:rsid w:val="5B16C14D"/>
    <w:rsid w:val="5B16EBE8"/>
    <w:rsid w:val="5B175E74"/>
    <w:rsid w:val="5B17FA90"/>
    <w:rsid w:val="5B18AC54"/>
    <w:rsid w:val="5B18C756"/>
    <w:rsid w:val="5B196969"/>
    <w:rsid w:val="5B19CA26"/>
    <w:rsid w:val="5B1A2E8D"/>
    <w:rsid w:val="5B1A2F13"/>
    <w:rsid w:val="5B1A4D8A"/>
    <w:rsid w:val="5B1A77CB"/>
    <w:rsid w:val="5B1B771C"/>
    <w:rsid w:val="5B1C0B93"/>
    <w:rsid w:val="5B1C44A0"/>
    <w:rsid w:val="5B1C88E0"/>
    <w:rsid w:val="5B1D9B66"/>
    <w:rsid w:val="5B1E6A2E"/>
    <w:rsid w:val="5B1ECE4D"/>
    <w:rsid w:val="5B1F1B44"/>
    <w:rsid w:val="5B1F3CC0"/>
    <w:rsid w:val="5B1FC8E8"/>
    <w:rsid w:val="5B1FE300"/>
    <w:rsid w:val="5B206221"/>
    <w:rsid w:val="5B21A336"/>
    <w:rsid w:val="5B223171"/>
    <w:rsid w:val="5B22AFF5"/>
    <w:rsid w:val="5B22CBEC"/>
    <w:rsid w:val="5B2431B7"/>
    <w:rsid w:val="5B24638F"/>
    <w:rsid w:val="5B24CAD7"/>
    <w:rsid w:val="5B257051"/>
    <w:rsid w:val="5B25A11F"/>
    <w:rsid w:val="5B25CB6F"/>
    <w:rsid w:val="5B2604F9"/>
    <w:rsid w:val="5B26251D"/>
    <w:rsid w:val="5B2670C1"/>
    <w:rsid w:val="5B2830C9"/>
    <w:rsid w:val="5B285233"/>
    <w:rsid w:val="5B285594"/>
    <w:rsid w:val="5B285BB9"/>
    <w:rsid w:val="5B28780B"/>
    <w:rsid w:val="5B28AE7C"/>
    <w:rsid w:val="5B28B5D6"/>
    <w:rsid w:val="5B2A69A7"/>
    <w:rsid w:val="5B2AB23D"/>
    <w:rsid w:val="5B2B8CA9"/>
    <w:rsid w:val="5B2BA925"/>
    <w:rsid w:val="5B2BE2C6"/>
    <w:rsid w:val="5B2C0087"/>
    <w:rsid w:val="5B2C436C"/>
    <w:rsid w:val="5B2C9F98"/>
    <w:rsid w:val="5B2D7DC0"/>
    <w:rsid w:val="5B2D8C42"/>
    <w:rsid w:val="5B2DD943"/>
    <w:rsid w:val="5B2F2DBB"/>
    <w:rsid w:val="5B2F4391"/>
    <w:rsid w:val="5B2F8733"/>
    <w:rsid w:val="5B2FBB89"/>
    <w:rsid w:val="5B2FC0DC"/>
    <w:rsid w:val="5B301C2D"/>
    <w:rsid w:val="5B309979"/>
    <w:rsid w:val="5B31DCCF"/>
    <w:rsid w:val="5B31E30F"/>
    <w:rsid w:val="5B31F64A"/>
    <w:rsid w:val="5B31F984"/>
    <w:rsid w:val="5B321463"/>
    <w:rsid w:val="5B32DE52"/>
    <w:rsid w:val="5B3353E8"/>
    <w:rsid w:val="5B35886A"/>
    <w:rsid w:val="5B363555"/>
    <w:rsid w:val="5B3722D4"/>
    <w:rsid w:val="5B3773C2"/>
    <w:rsid w:val="5B379A41"/>
    <w:rsid w:val="5B37BA8B"/>
    <w:rsid w:val="5B387DE7"/>
    <w:rsid w:val="5B38BBE5"/>
    <w:rsid w:val="5B38D7C9"/>
    <w:rsid w:val="5B39E419"/>
    <w:rsid w:val="5B3A2B60"/>
    <w:rsid w:val="5B3AEDE6"/>
    <w:rsid w:val="5B3B8230"/>
    <w:rsid w:val="5B3C214C"/>
    <w:rsid w:val="5B3E4ED7"/>
    <w:rsid w:val="5B3F1088"/>
    <w:rsid w:val="5B3FFA6E"/>
    <w:rsid w:val="5B402D20"/>
    <w:rsid w:val="5B402E28"/>
    <w:rsid w:val="5B4101D5"/>
    <w:rsid w:val="5B42A979"/>
    <w:rsid w:val="5B42BC95"/>
    <w:rsid w:val="5B4381FA"/>
    <w:rsid w:val="5B438767"/>
    <w:rsid w:val="5B43E435"/>
    <w:rsid w:val="5B44E1E7"/>
    <w:rsid w:val="5B45B0F4"/>
    <w:rsid w:val="5B4621DB"/>
    <w:rsid w:val="5B46A594"/>
    <w:rsid w:val="5B46E944"/>
    <w:rsid w:val="5B4739B9"/>
    <w:rsid w:val="5B47E6FC"/>
    <w:rsid w:val="5B47F12B"/>
    <w:rsid w:val="5B481798"/>
    <w:rsid w:val="5B483E56"/>
    <w:rsid w:val="5B48BC1A"/>
    <w:rsid w:val="5B49099F"/>
    <w:rsid w:val="5B490DD8"/>
    <w:rsid w:val="5B49409A"/>
    <w:rsid w:val="5B4976D0"/>
    <w:rsid w:val="5B498297"/>
    <w:rsid w:val="5B49A47C"/>
    <w:rsid w:val="5B49B67D"/>
    <w:rsid w:val="5B49D71A"/>
    <w:rsid w:val="5B4A1E1D"/>
    <w:rsid w:val="5B4ADA61"/>
    <w:rsid w:val="5B4B6E3F"/>
    <w:rsid w:val="5B4BA712"/>
    <w:rsid w:val="5B4C09F7"/>
    <w:rsid w:val="5B4C0FFA"/>
    <w:rsid w:val="5B4C1A78"/>
    <w:rsid w:val="5B4C6533"/>
    <w:rsid w:val="5B4CBC2E"/>
    <w:rsid w:val="5B4E6C87"/>
    <w:rsid w:val="5B4F5E6F"/>
    <w:rsid w:val="5B4F61E3"/>
    <w:rsid w:val="5B4F7FAB"/>
    <w:rsid w:val="5B4FCDE6"/>
    <w:rsid w:val="5B500935"/>
    <w:rsid w:val="5B50685C"/>
    <w:rsid w:val="5B50F590"/>
    <w:rsid w:val="5B5285DC"/>
    <w:rsid w:val="5B52F5E7"/>
    <w:rsid w:val="5B530AB3"/>
    <w:rsid w:val="5B553B25"/>
    <w:rsid w:val="5B55D7B4"/>
    <w:rsid w:val="5B56E0EB"/>
    <w:rsid w:val="5B56EBD7"/>
    <w:rsid w:val="5B56F8F4"/>
    <w:rsid w:val="5B56FB83"/>
    <w:rsid w:val="5B56FDB9"/>
    <w:rsid w:val="5B57E833"/>
    <w:rsid w:val="5B585799"/>
    <w:rsid w:val="5B587941"/>
    <w:rsid w:val="5B595D62"/>
    <w:rsid w:val="5B59E34F"/>
    <w:rsid w:val="5B5A5475"/>
    <w:rsid w:val="5B5AFA18"/>
    <w:rsid w:val="5B5B26C4"/>
    <w:rsid w:val="5B5BCA5B"/>
    <w:rsid w:val="5B5C47B5"/>
    <w:rsid w:val="5B5D30B1"/>
    <w:rsid w:val="5B5D85BF"/>
    <w:rsid w:val="5B5DE216"/>
    <w:rsid w:val="5B5E1368"/>
    <w:rsid w:val="5B5E762C"/>
    <w:rsid w:val="5B5EE92C"/>
    <w:rsid w:val="5B5F894D"/>
    <w:rsid w:val="5B607B44"/>
    <w:rsid w:val="5B60CB89"/>
    <w:rsid w:val="5B6120E1"/>
    <w:rsid w:val="5B619B50"/>
    <w:rsid w:val="5B6203E7"/>
    <w:rsid w:val="5B6228A0"/>
    <w:rsid w:val="5B62D5C0"/>
    <w:rsid w:val="5B630AAE"/>
    <w:rsid w:val="5B639261"/>
    <w:rsid w:val="5B640E7C"/>
    <w:rsid w:val="5B6419AD"/>
    <w:rsid w:val="5B645547"/>
    <w:rsid w:val="5B652130"/>
    <w:rsid w:val="5B653D27"/>
    <w:rsid w:val="5B655424"/>
    <w:rsid w:val="5B65648E"/>
    <w:rsid w:val="5B658AEE"/>
    <w:rsid w:val="5B65EE87"/>
    <w:rsid w:val="5B66B603"/>
    <w:rsid w:val="5B675104"/>
    <w:rsid w:val="5B675961"/>
    <w:rsid w:val="5B6777DF"/>
    <w:rsid w:val="5B687B09"/>
    <w:rsid w:val="5B6A2921"/>
    <w:rsid w:val="5B6A2A38"/>
    <w:rsid w:val="5B6AEF08"/>
    <w:rsid w:val="5B6C9689"/>
    <w:rsid w:val="5B6CA1AF"/>
    <w:rsid w:val="5B6EC934"/>
    <w:rsid w:val="5B6EE4E4"/>
    <w:rsid w:val="5B70423B"/>
    <w:rsid w:val="5B7198DA"/>
    <w:rsid w:val="5B72DB78"/>
    <w:rsid w:val="5B7317EB"/>
    <w:rsid w:val="5B7328ED"/>
    <w:rsid w:val="5B738393"/>
    <w:rsid w:val="5B7408E0"/>
    <w:rsid w:val="5B741F44"/>
    <w:rsid w:val="5B745865"/>
    <w:rsid w:val="5B748BC3"/>
    <w:rsid w:val="5B74FD55"/>
    <w:rsid w:val="5B7504F6"/>
    <w:rsid w:val="5B77144A"/>
    <w:rsid w:val="5B77480D"/>
    <w:rsid w:val="5B77892A"/>
    <w:rsid w:val="5B77F13D"/>
    <w:rsid w:val="5B7808B1"/>
    <w:rsid w:val="5B7851B7"/>
    <w:rsid w:val="5B78E22A"/>
    <w:rsid w:val="5B79BB80"/>
    <w:rsid w:val="5B7A0AF4"/>
    <w:rsid w:val="5B7A32F8"/>
    <w:rsid w:val="5B7B1988"/>
    <w:rsid w:val="5B7B7BAD"/>
    <w:rsid w:val="5B7B7C6E"/>
    <w:rsid w:val="5B7B9DB4"/>
    <w:rsid w:val="5B7C0C2D"/>
    <w:rsid w:val="5B7C3731"/>
    <w:rsid w:val="5B7E0E48"/>
    <w:rsid w:val="5B7E2652"/>
    <w:rsid w:val="5B7FB6D6"/>
    <w:rsid w:val="5B80BB55"/>
    <w:rsid w:val="5B8247CC"/>
    <w:rsid w:val="5B82645D"/>
    <w:rsid w:val="5B82B068"/>
    <w:rsid w:val="5B82DF5C"/>
    <w:rsid w:val="5B8336C7"/>
    <w:rsid w:val="5B8346A1"/>
    <w:rsid w:val="5B83AE9E"/>
    <w:rsid w:val="5B84951D"/>
    <w:rsid w:val="5B84B961"/>
    <w:rsid w:val="5B84C137"/>
    <w:rsid w:val="5B855E1F"/>
    <w:rsid w:val="5B85D1B1"/>
    <w:rsid w:val="5B85FED0"/>
    <w:rsid w:val="5B863DDA"/>
    <w:rsid w:val="5B87AB87"/>
    <w:rsid w:val="5B891ED5"/>
    <w:rsid w:val="5B892F6E"/>
    <w:rsid w:val="5B892F9A"/>
    <w:rsid w:val="5B89751F"/>
    <w:rsid w:val="5B89B704"/>
    <w:rsid w:val="5B8B15A6"/>
    <w:rsid w:val="5B8CAA6D"/>
    <w:rsid w:val="5B8CB122"/>
    <w:rsid w:val="5B8D8F60"/>
    <w:rsid w:val="5B8E28BA"/>
    <w:rsid w:val="5B8E38E4"/>
    <w:rsid w:val="5B8E3BEB"/>
    <w:rsid w:val="5B8EFDE1"/>
    <w:rsid w:val="5B8F52EA"/>
    <w:rsid w:val="5B903F93"/>
    <w:rsid w:val="5B904D47"/>
    <w:rsid w:val="5B919800"/>
    <w:rsid w:val="5B91E1E8"/>
    <w:rsid w:val="5B936887"/>
    <w:rsid w:val="5B936ED5"/>
    <w:rsid w:val="5B9370EF"/>
    <w:rsid w:val="5B938B10"/>
    <w:rsid w:val="5B93D183"/>
    <w:rsid w:val="5B94D92C"/>
    <w:rsid w:val="5B953FBF"/>
    <w:rsid w:val="5B958927"/>
    <w:rsid w:val="5B95F304"/>
    <w:rsid w:val="5B96582A"/>
    <w:rsid w:val="5B96948F"/>
    <w:rsid w:val="5B969AFE"/>
    <w:rsid w:val="5B972A45"/>
    <w:rsid w:val="5B973B8D"/>
    <w:rsid w:val="5B9796E7"/>
    <w:rsid w:val="5B979F1D"/>
    <w:rsid w:val="5B97C54C"/>
    <w:rsid w:val="5B981032"/>
    <w:rsid w:val="5B986D25"/>
    <w:rsid w:val="5B98F92B"/>
    <w:rsid w:val="5B98FC10"/>
    <w:rsid w:val="5B9AF7C8"/>
    <w:rsid w:val="5B9B4E1F"/>
    <w:rsid w:val="5B9BB9DC"/>
    <w:rsid w:val="5B9BD8A1"/>
    <w:rsid w:val="5B9BD9A1"/>
    <w:rsid w:val="5B9BFED5"/>
    <w:rsid w:val="5B9C79F4"/>
    <w:rsid w:val="5B9C93B2"/>
    <w:rsid w:val="5B9E3583"/>
    <w:rsid w:val="5B9EED5D"/>
    <w:rsid w:val="5BA0E056"/>
    <w:rsid w:val="5BA1B5A6"/>
    <w:rsid w:val="5BA1C24D"/>
    <w:rsid w:val="5BA1CD45"/>
    <w:rsid w:val="5BA2A046"/>
    <w:rsid w:val="5BA3F66F"/>
    <w:rsid w:val="5BA4770F"/>
    <w:rsid w:val="5BA5724E"/>
    <w:rsid w:val="5BA627B3"/>
    <w:rsid w:val="5BA7DB62"/>
    <w:rsid w:val="5BA7EF87"/>
    <w:rsid w:val="5BA888AA"/>
    <w:rsid w:val="5BA8B191"/>
    <w:rsid w:val="5BA8CD01"/>
    <w:rsid w:val="5BA91803"/>
    <w:rsid w:val="5BA9BA39"/>
    <w:rsid w:val="5BAA85A4"/>
    <w:rsid w:val="5BAAC1D4"/>
    <w:rsid w:val="5BAD1217"/>
    <w:rsid w:val="5BAD830B"/>
    <w:rsid w:val="5BAD9375"/>
    <w:rsid w:val="5BAE303D"/>
    <w:rsid w:val="5BAE9364"/>
    <w:rsid w:val="5BB02808"/>
    <w:rsid w:val="5BB0625D"/>
    <w:rsid w:val="5BB08BD3"/>
    <w:rsid w:val="5BB1094D"/>
    <w:rsid w:val="5BB12B9A"/>
    <w:rsid w:val="5BB20981"/>
    <w:rsid w:val="5BB244F7"/>
    <w:rsid w:val="5BB2577E"/>
    <w:rsid w:val="5BB2CD94"/>
    <w:rsid w:val="5BB3F8F7"/>
    <w:rsid w:val="5BB5C490"/>
    <w:rsid w:val="5BB62C7D"/>
    <w:rsid w:val="5BB63A55"/>
    <w:rsid w:val="5BB6A02E"/>
    <w:rsid w:val="5BB8C353"/>
    <w:rsid w:val="5BB8EF13"/>
    <w:rsid w:val="5BB93B26"/>
    <w:rsid w:val="5BB93C2C"/>
    <w:rsid w:val="5BB95615"/>
    <w:rsid w:val="5BBB3B36"/>
    <w:rsid w:val="5BBB3CEE"/>
    <w:rsid w:val="5BBB4602"/>
    <w:rsid w:val="5BBB462E"/>
    <w:rsid w:val="5BBC326F"/>
    <w:rsid w:val="5BBCC179"/>
    <w:rsid w:val="5BBD73F0"/>
    <w:rsid w:val="5BBD74EC"/>
    <w:rsid w:val="5BBE5650"/>
    <w:rsid w:val="5BBE6E68"/>
    <w:rsid w:val="5BBEAF9A"/>
    <w:rsid w:val="5BBED004"/>
    <w:rsid w:val="5BBF3607"/>
    <w:rsid w:val="5BBF3B21"/>
    <w:rsid w:val="5BBF47D4"/>
    <w:rsid w:val="5BC1E8D1"/>
    <w:rsid w:val="5BC1F0F4"/>
    <w:rsid w:val="5BC27096"/>
    <w:rsid w:val="5BC338C4"/>
    <w:rsid w:val="5BC4D698"/>
    <w:rsid w:val="5BC5033F"/>
    <w:rsid w:val="5BC517EB"/>
    <w:rsid w:val="5BC5BC4E"/>
    <w:rsid w:val="5BC6ACCF"/>
    <w:rsid w:val="5BC74AB4"/>
    <w:rsid w:val="5BC7B4AA"/>
    <w:rsid w:val="5BC85C38"/>
    <w:rsid w:val="5BC8F709"/>
    <w:rsid w:val="5BC9215E"/>
    <w:rsid w:val="5BC9233D"/>
    <w:rsid w:val="5BC943C1"/>
    <w:rsid w:val="5BC98919"/>
    <w:rsid w:val="5BC9F22D"/>
    <w:rsid w:val="5BCA0D28"/>
    <w:rsid w:val="5BCA93B3"/>
    <w:rsid w:val="5BCB9052"/>
    <w:rsid w:val="5BCD889F"/>
    <w:rsid w:val="5BCD966A"/>
    <w:rsid w:val="5BCDD48B"/>
    <w:rsid w:val="5BCF0C19"/>
    <w:rsid w:val="5BCF4DCA"/>
    <w:rsid w:val="5BCF5719"/>
    <w:rsid w:val="5BCFA997"/>
    <w:rsid w:val="5BD0B0AE"/>
    <w:rsid w:val="5BD0F87B"/>
    <w:rsid w:val="5BD13763"/>
    <w:rsid w:val="5BD3416F"/>
    <w:rsid w:val="5BD36600"/>
    <w:rsid w:val="5BD3D373"/>
    <w:rsid w:val="5BD47E1B"/>
    <w:rsid w:val="5BD5D802"/>
    <w:rsid w:val="5BD6B10C"/>
    <w:rsid w:val="5BD71EC8"/>
    <w:rsid w:val="5BD729B1"/>
    <w:rsid w:val="5BD77C66"/>
    <w:rsid w:val="5BD7AD7F"/>
    <w:rsid w:val="5BD889EA"/>
    <w:rsid w:val="5BD9E4F3"/>
    <w:rsid w:val="5BD9FF20"/>
    <w:rsid w:val="5BDA20E5"/>
    <w:rsid w:val="5BDACE4F"/>
    <w:rsid w:val="5BDB88F3"/>
    <w:rsid w:val="5BDBBD68"/>
    <w:rsid w:val="5BDBF5A9"/>
    <w:rsid w:val="5BDCDD10"/>
    <w:rsid w:val="5BDD0352"/>
    <w:rsid w:val="5BDEAB37"/>
    <w:rsid w:val="5BDFFE2C"/>
    <w:rsid w:val="5BE00D2B"/>
    <w:rsid w:val="5BE0D3FF"/>
    <w:rsid w:val="5BE147EB"/>
    <w:rsid w:val="5BE21437"/>
    <w:rsid w:val="5BE29DF4"/>
    <w:rsid w:val="5BE2CB0F"/>
    <w:rsid w:val="5BE3D405"/>
    <w:rsid w:val="5BE42260"/>
    <w:rsid w:val="5BE46FDE"/>
    <w:rsid w:val="5BE4B4DD"/>
    <w:rsid w:val="5BE51CF9"/>
    <w:rsid w:val="5BE56624"/>
    <w:rsid w:val="5BE59A56"/>
    <w:rsid w:val="5BE6A892"/>
    <w:rsid w:val="5BE799C8"/>
    <w:rsid w:val="5BE7A7AA"/>
    <w:rsid w:val="5BE800A7"/>
    <w:rsid w:val="5BE858FD"/>
    <w:rsid w:val="5BE91212"/>
    <w:rsid w:val="5BE91989"/>
    <w:rsid w:val="5BE9592E"/>
    <w:rsid w:val="5BE95BF6"/>
    <w:rsid w:val="5BE9A10F"/>
    <w:rsid w:val="5BEB1BFD"/>
    <w:rsid w:val="5BEBA2B7"/>
    <w:rsid w:val="5BEBAFEB"/>
    <w:rsid w:val="5BEC007E"/>
    <w:rsid w:val="5BECE603"/>
    <w:rsid w:val="5BEF0E9B"/>
    <w:rsid w:val="5BEF3B7A"/>
    <w:rsid w:val="5BEF98BF"/>
    <w:rsid w:val="5BF033F8"/>
    <w:rsid w:val="5BF09DDB"/>
    <w:rsid w:val="5BF0F785"/>
    <w:rsid w:val="5BF2520D"/>
    <w:rsid w:val="5BF38916"/>
    <w:rsid w:val="5BF3A841"/>
    <w:rsid w:val="5BF3A90E"/>
    <w:rsid w:val="5BF4927D"/>
    <w:rsid w:val="5BF49D82"/>
    <w:rsid w:val="5BF50031"/>
    <w:rsid w:val="5BF51BFF"/>
    <w:rsid w:val="5BF54D1A"/>
    <w:rsid w:val="5BF5C130"/>
    <w:rsid w:val="5BF678C5"/>
    <w:rsid w:val="5BF6B1D0"/>
    <w:rsid w:val="5BF6B629"/>
    <w:rsid w:val="5BF72376"/>
    <w:rsid w:val="5BF724F2"/>
    <w:rsid w:val="5BF73FD1"/>
    <w:rsid w:val="5BF7EA38"/>
    <w:rsid w:val="5BF82868"/>
    <w:rsid w:val="5BF82AF6"/>
    <w:rsid w:val="5BF8797D"/>
    <w:rsid w:val="5BF8F4D2"/>
    <w:rsid w:val="5BF92B74"/>
    <w:rsid w:val="5BF94714"/>
    <w:rsid w:val="5BF975D8"/>
    <w:rsid w:val="5BFABBBA"/>
    <w:rsid w:val="5BFACFE1"/>
    <w:rsid w:val="5BFB20AB"/>
    <w:rsid w:val="5BFB7683"/>
    <w:rsid w:val="5BFBF12E"/>
    <w:rsid w:val="5BFCD064"/>
    <w:rsid w:val="5BFE52B5"/>
    <w:rsid w:val="5BFECE78"/>
    <w:rsid w:val="5C000252"/>
    <w:rsid w:val="5C0092AF"/>
    <w:rsid w:val="5C00C6EC"/>
    <w:rsid w:val="5C010CD7"/>
    <w:rsid w:val="5C016CEB"/>
    <w:rsid w:val="5C01829E"/>
    <w:rsid w:val="5C025F92"/>
    <w:rsid w:val="5C0261C7"/>
    <w:rsid w:val="5C02A063"/>
    <w:rsid w:val="5C0306D9"/>
    <w:rsid w:val="5C035663"/>
    <w:rsid w:val="5C03784D"/>
    <w:rsid w:val="5C03DDA0"/>
    <w:rsid w:val="5C0400A5"/>
    <w:rsid w:val="5C0487A1"/>
    <w:rsid w:val="5C04C57F"/>
    <w:rsid w:val="5C0556EA"/>
    <w:rsid w:val="5C058A4C"/>
    <w:rsid w:val="5C069561"/>
    <w:rsid w:val="5C074282"/>
    <w:rsid w:val="5C078EC1"/>
    <w:rsid w:val="5C07DD22"/>
    <w:rsid w:val="5C0893F0"/>
    <w:rsid w:val="5C098AF7"/>
    <w:rsid w:val="5C0A6DBD"/>
    <w:rsid w:val="5C0AC2A0"/>
    <w:rsid w:val="5C0B05BC"/>
    <w:rsid w:val="5C0BA9C3"/>
    <w:rsid w:val="5C0BEC63"/>
    <w:rsid w:val="5C0BF531"/>
    <w:rsid w:val="5C0C1CD3"/>
    <w:rsid w:val="5C0C43FB"/>
    <w:rsid w:val="5C0C5926"/>
    <w:rsid w:val="5C0C8476"/>
    <w:rsid w:val="5C0CB101"/>
    <w:rsid w:val="5C0CF3D9"/>
    <w:rsid w:val="5C0E54F1"/>
    <w:rsid w:val="5C0E9D9E"/>
    <w:rsid w:val="5C0F30DA"/>
    <w:rsid w:val="5C104E61"/>
    <w:rsid w:val="5C10648A"/>
    <w:rsid w:val="5C106663"/>
    <w:rsid w:val="5C1077A2"/>
    <w:rsid w:val="5C110B0F"/>
    <w:rsid w:val="5C118ED1"/>
    <w:rsid w:val="5C12292E"/>
    <w:rsid w:val="5C12A024"/>
    <w:rsid w:val="5C133AE3"/>
    <w:rsid w:val="5C13A36B"/>
    <w:rsid w:val="5C144802"/>
    <w:rsid w:val="5C14C18F"/>
    <w:rsid w:val="5C152FB1"/>
    <w:rsid w:val="5C15F582"/>
    <w:rsid w:val="5C16029B"/>
    <w:rsid w:val="5C164010"/>
    <w:rsid w:val="5C168A66"/>
    <w:rsid w:val="5C16FD1D"/>
    <w:rsid w:val="5C1740F5"/>
    <w:rsid w:val="5C17DC65"/>
    <w:rsid w:val="5C182710"/>
    <w:rsid w:val="5C183761"/>
    <w:rsid w:val="5C18DFA8"/>
    <w:rsid w:val="5C1AFF97"/>
    <w:rsid w:val="5C1BF8EB"/>
    <w:rsid w:val="5C1C03D1"/>
    <w:rsid w:val="5C1C5956"/>
    <w:rsid w:val="5C1CAA61"/>
    <w:rsid w:val="5C1DC419"/>
    <w:rsid w:val="5C1E9713"/>
    <w:rsid w:val="5C1EE271"/>
    <w:rsid w:val="5C1EF8B0"/>
    <w:rsid w:val="5C1FACB5"/>
    <w:rsid w:val="5C1FC5C2"/>
    <w:rsid w:val="5C21479C"/>
    <w:rsid w:val="5C21A61B"/>
    <w:rsid w:val="5C2221A3"/>
    <w:rsid w:val="5C2264E3"/>
    <w:rsid w:val="5C237F19"/>
    <w:rsid w:val="5C23EE5D"/>
    <w:rsid w:val="5C245EB8"/>
    <w:rsid w:val="5C255687"/>
    <w:rsid w:val="5C25DFCE"/>
    <w:rsid w:val="5C269ECD"/>
    <w:rsid w:val="5C26D3E8"/>
    <w:rsid w:val="5C272E4D"/>
    <w:rsid w:val="5C27BB2E"/>
    <w:rsid w:val="5C28F541"/>
    <w:rsid w:val="5C29446A"/>
    <w:rsid w:val="5C29E525"/>
    <w:rsid w:val="5C2AFB1D"/>
    <w:rsid w:val="5C2B6F28"/>
    <w:rsid w:val="5C2BF4D5"/>
    <w:rsid w:val="5C2C027C"/>
    <w:rsid w:val="5C2C1ED4"/>
    <w:rsid w:val="5C2C81A1"/>
    <w:rsid w:val="5C2D3C35"/>
    <w:rsid w:val="5C2DBF22"/>
    <w:rsid w:val="5C2E6D78"/>
    <w:rsid w:val="5C2F51DF"/>
    <w:rsid w:val="5C2F6490"/>
    <w:rsid w:val="5C2F9F5F"/>
    <w:rsid w:val="5C30F331"/>
    <w:rsid w:val="5C30FBFC"/>
    <w:rsid w:val="5C312A2C"/>
    <w:rsid w:val="5C313887"/>
    <w:rsid w:val="5C31A061"/>
    <w:rsid w:val="5C31E74E"/>
    <w:rsid w:val="5C31FF8A"/>
    <w:rsid w:val="5C32F20C"/>
    <w:rsid w:val="5C33CAA8"/>
    <w:rsid w:val="5C344B1A"/>
    <w:rsid w:val="5C355F55"/>
    <w:rsid w:val="5C361655"/>
    <w:rsid w:val="5C362FA1"/>
    <w:rsid w:val="5C367D86"/>
    <w:rsid w:val="5C36B805"/>
    <w:rsid w:val="5C36DD5A"/>
    <w:rsid w:val="5C373263"/>
    <w:rsid w:val="5C37493F"/>
    <w:rsid w:val="5C37A463"/>
    <w:rsid w:val="5C38D771"/>
    <w:rsid w:val="5C38F783"/>
    <w:rsid w:val="5C39B6D2"/>
    <w:rsid w:val="5C39D34F"/>
    <w:rsid w:val="5C3A8425"/>
    <w:rsid w:val="5C3AEEB5"/>
    <w:rsid w:val="5C3B4F3E"/>
    <w:rsid w:val="5C3BA0D7"/>
    <w:rsid w:val="5C3C01E2"/>
    <w:rsid w:val="5C3C2AE7"/>
    <w:rsid w:val="5C3CD780"/>
    <w:rsid w:val="5C3D77E7"/>
    <w:rsid w:val="5C3E2245"/>
    <w:rsid w:val="5C3FF6B8"/>
    <w:rsid w:val="5C40CDB3"/>
    <w:rsid w:val="5C42F56E"/>
    <w:rsid w:val="5C44CEC6"/>
    <w:rsid w:val="5C4670A1"/>
    <w:rsid w:val="5C479A21"/>
    <w:rsid w:val="5C479EBF"/>
    <w:rsid w:val="5C4982E2"/>
    <w:rsid w:val="5C49EC88"/>
    <w:rsid w:val="5C4A6C2C"/>
    <w:rsid w:val="5C4AA1C6"/>
    <w:rsid w:val="5C4AC937"/>
    <w:rsid w:val="5C4ACB1A"/>
    <w:rsid w:val="5C4B3D17"/>
    <w:rsid w:val="5C4B82A8"/>
    <w:rsid w:val="5C4B9049"/>
    <w:rsid w:val="5C4BCBFA"/>
    <w:rsid w:val="5C4BFF42"/>
    <w:rsid w:val="5C4D1FD9"/>
    <w:rsid w:val="5C4D830E"/>
    <w:rsid w:val="5C4D954C"/>
    <w:rsid w:val="5C4DE0D0"/>
    <w:rsid w:val="5C4DFEE1"/>
    <w:rsid w:val="5C4E2031"/>
    <w:rsid w:val="5C4E9852"/>
    <w:rsid w:val="5C4F2AA1"/>
    <w:rsid w:val="5C4FEA69"/>
    <w:rsid w:val="5C4FF847"/>
    <w:rsid w:val="5C502B30"/>
    <w:rsid w:val="5C505F54"/>
    <w:rsid w:val="5C50E2F4"/>
    <w:rsid w:val="5C50FECD"/>
    <w:rsid w:val="5C5241FA"/>
    <w:rsid w:val="5C524A66"/>
    <w:rsid w:val="5C52625F"/>
    <w:rsid w:val="5C52778A"/>
    <w:rsid w:val="5C52C607"/>
    <w:rsid w:val="5C52C942"/>
    <w:rsid w:val="5C52F86C"/>
    <w:rsid w:val="5C5301FF"/>
    <w:rsid w:val="5C53C541"/>
    <w:rsid w:val="5C53E386"/>
    <w:rsid w:val="5C53F82A"/>
    <w:rsid w:val="5C54023E"/>
    <w:rsid w:val="5C5526FF"/>
    <w:rsid w:val="5C55CA62"/>
    <w:rsid w:val="5C5656A6"/>
    <w:rsid w:val="5C56DD29"/>
    <w:rsid w:val="5C570442"/>
    <w:rsid w:val="5C587340"/>
    <w:rsid w:val="5C58CFFB"/>
    <w:rsid w:val="5C59213D"/>
    <w:rsid w:val="5C592466"/>
    <w:rsid w:val="5C596679"/>
    <w:rsid w:val="5C5973F0"/>
    <w:rsid w:val="5C59907B"/>
    <w:rsid w:val="5C59B993"/>
    <w:rsid w:val="5C5AC6AF"/>
    <w:rsid w:val="5C5BD038"/>
    <w:rsid w:val="5C5C9DB6"/>
    <w:rsid w:val="5C5D14AC"/>
    <w:rsid w:val="5C5DB72E"/>
    <w:rsid w:val="5C5DD04B"/>
    <w:rsid w:val="5C5E0CA8"/>
    <w:rsid w:val="5C5E63E3"/>
    <w:rsid w:val="5C5E66D1"/>
    <w:rsid w:val="5C5E82E2"/>
    <w:rsid w:val="5C603791"/>
    <w:rsid w:val="5C6160F8"/>
    <w:rsid w:val="5C61D037"/>
    <w:rsid w:val="5C628A42"/>
    <w:rsid w:val="5C62CC9B"/>
    <w:rsid w:val="5C62FFBA"/>
    <w:rsid w:val="5C632CF0"/>
    <w:rsid w:val="5C637B48"/>
    <w:rsid w:val="5C63DFA9"/>
    <w:rsid w:val="5C641022"/>
    <w:rsid w:val="5C64AD5F"/>
    <w:rsid w:val="5C65CE4A"/>
    <w:rsid w:val="5C662D5C"/>
    <w:rsid w:val="5C66D571"/>
    <w:rsid w:val="5C66E10E"/>
    <w:rsid w:val="5C677C2B"/>
    <w:rsid w:val="5C67C156"/>
    <w:rsid w:val="5C67DB41"/>
    <w:rsid w:val="5C693773"/>
    <w:rsid w:val="5C6A17A5"/>
    <w:rsid w:val="5C6AC2C9"/>
    <w:rsid w:val="5C6B65BC"/>
    <w:rsid w:val="5C6C2752"/>
    <w:rsid w:val="5C6D46F5"/>
    <w:rsid w:val="5C6D7C0C"/>
    <w:rsid w:val="5C6DFADB"/>
    <w:rsid w:val="5C6E0E35"/>
    <w:rsid w:val="5C6E47E2"/>
    <w:rsid w:val="5C6E886D"/>
    <w:rsid w:val="5C6EC4D2"/>
    <w:rsid w:val="5C6F8D69"/>
    <w:rsid w:val="5C6FE1E3"/>
    <w:rsid w:val="5C7044A8"/>
    <w:rsid w:val="5C71CF41"/>
    <w:rsid w:val="5C72AC15"/>
    <w:rsid w:val="5C72D384"/>
    <w:rsid w:val="5C736DD9"/>
    <w:rsid w:val="5C7443CF"/>
    <w:rsid w:val="5C74CC7D"/>
    <w:rsid w:val="5C75F55D"/>
    <w:rsid w:val="5C764800"/>
    <w:rsid w:val="5C76C0D8"/>
    <w:rsid w:val="5C772129"/>
    <w:rsid w:val="5C776D8D"/>
    <w:rsid w:val="5C784F06"/>
    <w:rsid w:val="5C7872B4"/>
    <w:rsid w:val="5C78F30A"/>
    <w:rsid w:val="5C79024F"/>
    <w:rsid w:val="5C791F5A"/>
    <w:rsid w:val="5C797E77"/>
    <w:rsid w:val="5C797EF9"/>
    <w:rsid w:val="5C79C1D6"/>
    <w:rsid w:val="5C7B2607"/>
    <w:rsid w:val="5C7BB117"/>
    <w:rsid w:val="5C7BF6DA"/>
    <w:rsid w:val="5C7C6B3B"/>
    <w:rsid w:val="5C7CC653"/>
    <w:rsid w:val="5C7D2499"/>
    <w:rsid w:val="5C7E2B62"/>
    <w:rsid w:val="5C7EAF0B"/>
    <w:rsid w:val="5C7EC036"/>
    <w:rsid w:val="5C7ECA3C"/>
    <w:rsid w:val="5C7F66DC"/>
    <w:rsid w:val="5C7F7AEC"/>
    <w:rsid w:val="5C828B5B"/>
    <w:rsid w:val="5C82A3A2"/>
    <w:rsid w:val="5C84F9CF"/>
    <w:rsid w:val="5C867867"/>
    <w:rsid w:val="5C8686C2"/>
    <w:rsid w:val="5C86B584"/>
    <w:rsid w:val="5C86C457"/>
    <w:rsid w:val="5C87ADDA"/>
    <w:rsid w:val="5C8861B7"/>
    <w:rsid w:val="5C887C4F"/>
    <w:rsid w:val="5C88AEFE"/>
    <w:rsid w:val="5C88E3A7"/>
    <w:rsid w:val="5C8A0299"/>
    <w:rsid w:val="5C8A5BFB"/>
    <w:rsid w:val="5C8A924E"/>
    <w:rsid w:val="5C8AFA50"/>
    <w:rsid w:val="5C8B0045"/>
    <w:rsid w:val="5C8B964E"/>
    <w:rsid w:val="5C8B9E76"/>
    <w:rsid w:val="5C8BE71B"/>
    <w:rsid w:val="5C8C7F75"/>
    <w:rsid w:val="5C8CCF5C"/>
    <w:rsid w:val="5C8CF373"/>
    <w:rsid w:val="5C8D9029"/>
    <w:rsid w:val="5C8DCDA5"/>
    <w:rsid w:val="5C8DE811"/>
    <w:rsid w:val="5C8E8D8A"/>
    <w:rsid w:val="5C8FB0CF"/>
    <w:rsid w:val="5C8FB891"/>
    <w:rsid w:val="5C8FE2D6"/>
    <w:rsid w:val="5C90D0AE"/>
    <w:rsid w:val="5C90FF3E"/>
    <w:rsid w:val="5C91739D"/>
    <w:rsid w:val="5C9230EB"/>
    <w:rsid w:val="5C93689D"/>
    <w:rsid w:val="5C93C5C4"/>
    <w:rsid w:val="5C941E3B"/>
    <w:rsid w:val="5C945F37"/>
    <w:rsid w:val="5C94AC53"/>
    <w:rsid w:val="5C94BC2F"/>
    <w:rsid w:val="5C94D2BC"/>
    <w:rsid w:val="5C94D7F1"/>
    <w:rsid w:val="5C94F6A2"/>
    <w:rsid w:val="5C962CB6"/>
    <w:rsid w:val="5C96A872"/>
    <w:rsid w:val="5C96D1A7"/>
    <w:rsid w:val="5C976909"/>
    <w:rsid w:val="5C991AC2"/>
    <w:rsid w:val="5C993E3F"/>
    <w:rsid w:val="5C997B8D"/>
    <w:rsid w:val="5C997EA8"/>
    <w:rsid w:val="5C99E0DB"/>
    <w:rsid w:val="5C9A7372"/>
    <w:rsid w:val="5C9AA7D0"/>
    <w:rsid w:val="5C9AE165"/>
    <w:rsid w:val="5C9B01ED"/>
    <w:rsid w:val="5C9B7793"/>
    <w:rsid w:val="5C9B958C"/>
    <w:rsid w:val="5C9C4A90"/>
    <w:rsid w:val="5C9CAFE3"/>
    <w:rsid w:val="5C9D1EC2"/>
    <w:rsid w:val="5C9D34B9"/>
    <w:rsid w:val="5C9DD822"/>
    <w:rsid w:val="5C9F95E4"/>
    <w:rsid w:val="5CA01DB3"/>
    <w:rsid w:val="5CA05239"/>
    <w:rsid w:val="5CA0A14D"/>
    <w:rsid w:val="5CA0CBAC"/>
    <w:rsid w:val="5CA0F854"/>
    <w:rsid w:val="5CA19F4C"/>
    <w:rsid w:val="5CA21895"/>
    <w:rsid w:val="5CA28FE5"/>
    <w:rsid w:val="5CA2D73D"/>
    <w:rsid w:val="5CA2F0BB"/>
    <w:rsid w:val="5CA4001C"/>
    <w:rsid w:val="5CA4068D"/>
    <w:rsid w:val="5CA44699"/>
    <w:rsid w:val="5CA4F46B"/>
    <w:rsid w:val="5CA529ED"/>
    <w:rsid w:val="5CA53CC7"/>
    <w:rsid w:val="5CA595C1"/>
    <w:rsid w:val="5CA651C6"/>
    <w:rsid w:val="5CA6D558"/>
    <w:rsid w:val="5CA740EC"/>
    <w:rsid w:val="5CA752C6"/>
    <w:rsid w:val="5CA8C28B"/>
    <w:rsid w:val="5CA96BC2"/>
    <w:rsid w:val="5CA989A2"/>
    <w:rsid w:val="5CAB5743"/>
    <w:rsid w:val="5CAB7056"/>
    <w:rsid w:val="5CABF4CD"/>
    <w:rsid w:val="5CACF572"/>
    <w:rsid w:val="5CAE036F"/>
    <w:rsid w:val="5CAE9923"/>
    <w:rsid w:val="5CAF1FCE"/>
    <w:rsid w:val="5CAF6333"/>
    <w:rsid w:val="5CB016F7"/>
    <w:rsid w:val="5CB05D06"/>
    <w:rsid w:val="5CB0A91D"/>
    <w:rsid w:val="5CB15BCA"/>
    <w:rsid w:val="5CB1E805"/>
    <w:rsid w:val="5CB2D198"/>
    <w:rsid w:val="5CB2D3C3"/>
    <w:rsid w:val="5CB42FA3"/>
    <w:rsid w:val="5CB45760"/>
    <w:rsid w:val="5CB47020"/>
    <w:rsid w:val="5CB53DB5"/>
    <w:rsid w:val="5CB5E6CB"/>
    <w:rsid w:val="5CB69676"/>
    <w:rsid w:val="5CB6C366"/>
    <w:rsid w:val="5CB7AB37"/>
    <w:rsid w:val="5CB7DA99"/>
    <w:rsid w:val="5CB866C9"/>
    <w:rsid w:val="5CB86DD7"/>
    <w:rsid w:val="5CB907E1"/>
    <w:rsid w:val="5CB95D1A"/>
    <w:rsid w:val="5CB95F91"/>
    <w:rsid w:val="5CB9C00F"/>
    <w:rsid w:val="5CBA093C"/>
    <w:rsid w:val="5CBA4C69"/>
    <w:rsid w:val="5CBA80D9"/>
    <w:rsid w:val="5CBAB26F"/>
    <w:rsid w:val="5CBAD022"/>
    <w:rsid w:val="5CBB097E"/>
    <w:rsid w:val="5CBC16F1"/>
    <w:rsid w:val="5CBC3475"/>
    <w:rsid w:val="5CBE1F41"/>
    <w:rsid w:val="5CBE253E"/>
    <w:rsid w:val="5CBE8FB3"/>
    <w:rsid w:val="5CBED200"/>
    <w:rsid w:val="5CBF6D7B"/>
    <w:rsid w:val="5CBF71B9"/>
    <w:rsid w:val="5CBF7848"/>
    <w:rsid w:val="5CBFC32A"/>
    <w:rsid w:val="5CBFEB3D"/>
    <w:rsid w:val="5CC05B2B"/>
    <w:rsid w:val="5CC0A085"/>
    <w:rsid w:val="5CC0F796"/>
    <w:rsid w:val="5CC184B7"/>
    <w:rsid w:val="5CC217D1"/>
    <w:rsid w:val="5CC2F768"/>
    <w:rsid w:val="5CC3CB75"/>
    <w:rsid w:val="5CC3D639"/>
    <w:rsid w:val="5CC5110F"/>
    <w:rsid w:val="5CC523AF"/>
    <w:rsid w:val="5CC52F56"/>
    <w:rsid w:val="5CC530BC"/>
    <w:rsid w:val="5CC577FE"/>
    <w:rsid w:val="5CC59BF2"/>
    <w:rsid w:val="5CC59C26"/>
    <w:rsid w:val="5CC74C2D"/>
    <w:rsid w:val="5CC87F5C"/>
    <w:rsid w:val="5CC8C891"/>
    <w:rsid w:val="5CC8F0F1"/>
    <w:rsid w:val="5CC960E1"/>
    <w:rsid w:val="5CC97953"/>
    <w:rsid w:val="5CCA13F5"/>
    <w:rsid w:val="5CCA3EF6"/>
    <w:rsid w:val="5CCA7144"/>
    <w:rsid w:val="5CCAFE17"/>
    <w:rsid w:val="5CCC9C44"/>
    <w:rsid w:val="5CCCC23C"/>
    <w:rsid w:val="5CCDD2E6"/>
    <w:rsid w:val="5CCDFB6A"/>
    <w:rsid w:val="5CCDFDD3"/>
    <w:rsid w:val="5CD0CD24"/>
    <w:rsid w:val="5CD1A38B"/>
    <w:rsid w:val="5CD1F16A"/>
    <w:rsid w:val="5CD1FA9E"/>
    <w:rsid w:val="5CD208FD"/>
    <w:rsid w:val="5CD21599"/>
    <w:rsid w:val="5CD276C5"/>
    <w:rsid w:val="5CD2E420"/>
    <w:rsid w:val="5CD2EB39"/>
    <w:rsid w:val="5CD3351A"/>
    <w:rsid w:val="5CD41683"/>
    <w:rsid w:val="5CD59584"/>
    <w:rsid w:val="5CD5C7DB"/>
    <w:rsid w:val="5CD67560"/>
    <w:rsid w:val="5CD6B36D"/>
    <w:rsid w:val="5CD7238C"/>
    <w:rsid w:val="5CD768BA"/>
    <w:rsid w:val="5CD7BC0C"/>
    <w:rsid w:val="5CD7ECF4"/>
    <w:rsid w:val="5CD8293E"/>
    <w:rsid w:val="5CD89E71"/>
    <w:rsid w:val="5CD8C1E8"/>
    <w:rsid w:val="5CD8EF4D"/>
    <w:rsid w:val="5CDA32E0"/>
    <w:rsid w:val="5CDA6C43"/>
    <w:rsid w:val="5CDAA333"/>
    <w:rsid w:val="5CDC06F5"/>
    <w:rsid w:val="5CDC136B"/>
    <w:rsid w:val="5CDC198E"/>
    <w:rsid w:val="5CDD1EA4"/>
    <w:rsid w:val="5CDEC93F"/>
    <w:rsid w:val="5CDFD5F4"/>
    <w:rsid w:val="5CDFFCDF"/>
    <w:rsid w:val="5CE06E88"/>
    <w:rsid w:val="5CE07301"/>
    <w:rsid w:val="5CE15537"/>
    <w:rsid w:val="5CE1D085"/>
    <w:rsid w:val="5CE3160F"/>
    <w:rsid w:val="5CE32688"/>
    <w:rsid w:val="5CE37118"/>
    <w:rsid w:val="5CE3854F"/>
    <w:rsid w:val="5CE3FD03"/>
    <w:rsid w:val="5CE4CADE"/>
    <w:rsid w:val="5CE60E89"/>
    <w:rsid w:val="5CE6BC31"/>
    <w:rsid w:val="5CE8E249"/>
    <w:rsid w:val="5CE9A2DD"/>
    <w:rsid w:val="5CEA8CEB"/>
    <w:rsid w:val="5CEB258D"/>
    <w:rsid w:val="5CEB2B57"/>
    <w:rsid w:val="5CEBB2E4"/>
    <w:rsid w:val="5CECC385"/>
    <w:rsid w:val="5CECE1BB"/>
    <w:rsid w:val="5CEDB9B3"/>
    <w:rsid w:val="5CEE0EE9"/>
    <w:rsid w:val="5CEE9EF1"/>
    <w:rsid w:val="5CEEB57D"/>
    <w:rsid w:val="5CEECD86"/>
    <w:rsid w:val="5CEEFE97"/>
    <w:rsid w:val="5CEF3EB0"/>
    <w:rsid w:val="5CF0FCEA"/>
    <w:rsid w:val="5CF175B6"/>
    <w:rsid w:val="5CF18492"/>
    <w:rsid w:val="5CF1BFCB"/>
    <w:rsid w:val="5CF22F57"/>
    <w:rsid w:val="5CF29F33"/>
    <w:rsid w:val="5CF3107C"/>
    <w:rsid w:val="5CF3BDA2"/>
    <w:rsid w:val="5CF3ED6D"/>
    <w:rsid w:val="5CF40CD8"/>
    <w:rsid w:val="5CF44CBB"/>
    <w:rsid w:val="5CF4EDAA"/>
    <w:rsid w:val="5CF5FD74"/>
    <w:rsid w:val="5CF615E4"/>
    <w:rsid w:val="5CF61AA3"/>
    <w:rsid w:val="5CF76986"/>
    <w:rsid w:val="5CF78134"/>
    <w:rsid w:val="5CF7D95E"/>
    <w:rsid w:val="5CF7EF34"/>
    <w:rsid w:val="5CF872FF"/>
    <w:rsid w:val="5CF92561"/>
    <w:rsid w:val="5CF942F6"/>
    <w:rsid w:val="5CF9821D"/>
    <w:rsid w:val="5CFAFE55"/>
    <w:rsid w:val="5CFB587D"/>
    <w:rsid w:val="5CFBBFD5"/>
    <w:rsid w:val="5CFC2E88"/>
    <w:rsid w:val="5CFC37D0"/>
    <w:rsid w:val="5CFDE6BF"/>
    <w:rsid w:val="5CFDFD5A"/>
    <w:rsid w:val="5CFE1464"/>
    <w:rsid w:val="5D000462"/>
    <w:rsid w:val="5D0010DC"/>
    <w:rsid w:val="5D00581E"/>
    <w:rsid w:val="5D00B5E2"/>
    <w:rsid w:val="5D00F513"/>
    <w:rsid w:val="5D016A05"/>
    <w:rsid w:val="5D02372C"/>
    <w:rsid w:val="5D024625"/>
    <w:rsid w:val="5D027C71"/>
    <w:rsid w:val="5D03301D"/>
    <w:rsid w:val="5D038509"/>
    <w:rsid w:val="5D03A1B3"/>
    <w:rsid w:val="5D03A8FA"/>
    <w:rsid w:val="5D03CE9C"/>
    <w:rsid w:val="5D040256"/>
    <w:rsid w:val="5D0467A9"/>
    <w:rsid w:val="5D04F61A"/>
    <w:rsid w:val="5D067F22"/>
    <w:rsid w:val="5D0683D5"/>
    <w:rsid w:val="5D070DA6"/>
    <w:rsid w:val="5D07539D"/>
    <w:rsid w:val="5D07604C"/>
    <w:rsid w:val="5D07767D"/>
    <w:rsid w:val="5D07A958"/>
    <w:rsid w:val="5D07B6D8"/>
    <w:rsid w:val="5D08AC19"/>
    <w:rsid w:val="5D090464"/>
    <w:rsid w:val="5D097820"/>
    <w:rsid w:val="5D0C035B"/>
    <w:rsid w:val="5D0C26F2"/>
    <w:rsid w:val="5D0C6649"/>
    <w:rsid w:val="5D0C6CEA"/>
    <w:rsid w:val="5D0D3C98"/>
    <w:rsid w:val="5D0D65B7"/>
    <w:rsid w:val="5D0E4A60"/>
    <w:rsid w:val="5D0E6AB0"/>
    <w:rsid w:val="5D0F0AD5"/>
    <w:rsid w:val="5D0F2305"/>
    <w:rsid w:val="5D0F3EF3"/>
    <w:rsid w:val="5D0F41DC"/>
    <w:rsid w:val="5D10E582"/>
    <w:rsid w:val="5D1137CD"/>
    <w:rsid w:val="5D114E8E"/>
    <w:rsid w:val="5D11B5B6"/>
    <w:rsid w:val="5D11F296"/>
    <w:rsid w:val="5D126CB5"/>
    <w:rsid w:val="5D132E1A"/>
    <w:rsid w:val="5D132E69"/>
    <w:rsid w:val="5D136AE5"/>
    <w:rsid w:val="5D13D551"/>
    <w:rsid w:val="5D14BC8A"/>
    <w:rsid w:val="5D15D2E7"/>
    <w:rsid w:val="5D15FD9D"/>
    <w:rsid w:val="5D1613D7"/>
    <w:rsid w:val="5D1621C1"/>
    <w:rsid w:val="5D167897"/>
    <w:rsid w:val="5D17CF6C"/>
    <w:rsid w:val="5D183AF4"/>
    <w:rsid w:val="5D18E2AD"/>
    <w:rsid w:val="5D18E66B"/>
    <w:rsid w:val="5D190854"/>
    <w:rsid w:val="5D199B37"/>
    <w:rsid w:val="5D1A1DE2"/>
    <w:rsid w:val="5D1A511F"/>
    <w:rsid w:val="5D1ADD5F"/>
    <w:rsid w:val="5D1CAE43"/>
    <w:rsid w:val="5D1CFC39"/>
    <w:rsid w:val="5D1D21DB"/>
    <w:rsid w:val="5D1DCD5C"/>
    <w:rsid w:val="5D1E0279"/>
    <w:rsid w:val="5D1E1382"/>
    <w:rsid w:val="5D1F3481"/>
    <w:rsid w:val="5D1F5A1A"/>
    <w:rsid w:val="5D200B1A"/>
    <w:rsid w:val="5D205857"/>
    <w:rsid w:val="5D21177D"/>
    <w:rsid w:val="5D213E14"/>
    <w:rsid w:val="5D213EB1"/>
    <w:rsid w:val="5D215099"/>
    <w:rsid w:val="5D21D343"/>
    <w:rsid w:val="5D21F336"/>
    <w:rsid w:val="5D2243B6"/>
    <w:rsid w:val="5D227E61"/>
    <w:rsid w:val="5D22BCC4"/>
    <w:rsid w:val="5D237857"/>
    <w:rsid w:val="5D240844"/>
    <w:rsid w:val="5D245CD5"/>
    <w:rsid w:val="5D24A704"/>
    <w:rsid w:val="5D24B3B8"/>
    <w:rsid w:val="5D26803C"/>
    <w:rsid w:val="5D26FE70"/>
    <w:rsid w:val="5D27121E"/>
    <w:rsid w:val="5D271660"/>
    <w:rsid w:val="5D276100"/>
    <w:rsid w:val="5D27A6EF"/>
    <w:rsid w:val="5D2825AD"/>
    <w:rsid w:val="5D2A08E7"/>
    <w:rsid w:val="5D2A24EE"/>
    <w:rsid w:val="5D2AF28D"/>
    <w:rsid w:val="5D2B3203"/>
    <w:rsid w:val="5D2BFBBB"/>
    <w:rsid w:val="5D2DA8BB"/>
    <w:rsid w:val="5D2E223D"/>
    <w:rsid w:val="5D2E6C0E"/>
    <w:rsid w:val="5D315988"/>
    <w:rsid w:val="5D31CB14"/>
    <w:rsid w:val="5D31FA23"/>
    <w:rsid w:val="5D32AD37"/>
    <w:rsid w:val="5D33AF0F"/>
    <w:rsid w:val="5D33CD1B"/>
    <w:rsid w:val="5D33F4C8"/>
    <w:rsid w:val="5D350447"/>
    <w:rsid w:val="5D351858"/>
    <w:rsid w:val="5D3558B7"/>
    <w:rsid w:val="5D36186D"/>
    <w:rsid w:val="5D367859"/>
    <w:rsid w:val="5D36C6AB"/>
    <w:rsid w:val="5D36D312"/>
    <w:rsid w:val="5D376EAD"/>
    <w:rsid w:val="5D378D23"/>
    <w:rsid w:val="5D38468D"/>
    <w:rsid w:val="5D38627B"/>
    <w:rsid w:val="5D3870B0"/>
    <w:rsid w:val="5D38DF6C"/>
    <w:rsid w:val="5D3903FA"/>
    <w:rsid w:val="5D39460A"/>
    <w:rsid w:val="5D39D35A"/>
    <w:rsid w:val="5D39EE34"/>
    <w:rsid w:val="5D3A05EF"/>
    <w:rsid w:val="5D3ADE7A"/>
    <w:rsid w:val="5D3B3277"/>
    <w:rsid w:val="5D3B437D"/>
    <w:rsid w:val="5D3B44E8"/>
    <w:rsid w:val="5D3BBB3E"/>
    <w:rsid w:val="5D3BC6A6"/>
    <w:rsid w:val="5D3BF211"/>
    <w:rsid w:val="5D3BF381"/>
    <w:rsid w:val="5D3C3B49"/>
    <w:rsid w:val="5D3CA358"/>
    <w:rsid w:val="5D3D511C"/>
    <w:rsid w:val="5D3DB6A6"/>
    <w:rsid w:val="5D3E8F3E"/>
    <w:rsid w:val="5D3EEBCE"/>
    <w:rsid w:val="5D3F2E7C"/>
    <w:rsid w:val="5D3FC3A7"/>
    <w:rsid w:val="5D3FC606"/>
    <w:rsid w:val="5D3FCA84"/>
    <w:rsid w:val="5D3FD1A6"/>
    <w:rsid w:val="5D400815"/>
    <w:rsid w:val="5D40203D"/>
    <w:rsid w:val="5D40B6DC"/>
    <w:rsid w:val="5D40CB81"/>
    <w:rsid w:val="5D412ADB"/>
    <w:rsid w:val="5D41D289"/>
    <w:rsid w:val="5D430E70"/>
    <w:rsid w:val="5D4390F3"/>
    <w:rsid w:val="5D43EA6C"/>
    <w:rsid w:val="5D44E292"/>
    <w:rsid w:val="5D4516D6"/>
    <w:rsid w:val="5D453912"/>
    <w:rsid w:val="5D45463D"/>
    <w:rsid w:val="5D4580F5"/>
    <w:rsid w:val="5D45FC91"/>
    <w:rsid w:val="5D470846"/>
    <w:rsid w:val="5D47DF1E"/>
    <w:rsid w:val="5D47F586"/>
    <w:rsid w:val="5D491B60"/>
    <w:rsid w:val="5D4949EF"/>
    <w:rsid w:val="5D4B2492"/>
    <w:rsid w:val="5D4B8DFA"/>
    <w:rsid w:val="5D4BBD26"/>
    <w:rsid w:val="5D4C7E06"/>
    <w:rsid w:val="5D4C8524"/>
    <w:rsid w:val="5D4CA21C"/>
    <w:rsid w:val="5D4CFA08"/>
    <w:rsid w:val="5D4E367E"/>
    <w:rsid w:val="5D4F26BF"/>
    <w:rsid w:val="5D4F2C13"/>
    <w:rsid w:val="5D4F7D43"/>
    <w:rsid w:val="5D4FDBA4"/>
    <w:rsid w:val="5D502086"/>
    <w:rsid w:val="5D52604F"/>
    <w:rsid w:val="5D529298"/>
    <w:rsid w:val="5D52B73D"/>
    <w:rsid w:val="5D5307B8"/>
    <w:rsid w:val="5D533716"/>
    <w:rsid w:val="5D549BF6"/>
    <w:rsid w:val="5D555E4C"/>
    <w:rsid w:val="5D55E87F"/>
    <w:rsid w:val="5D55FD86"/>
    <w:rsid w:val="5D5655C2"/>
    <w:rsid w:val="5D56DAF6"/>
    <w:rsid w:val="5D56FC46"/>
    <w:rsid w:val="5D572667"/>
    <w:rsid w:val="5D574292"/>
    <w:rsid w:val="5D578D46"/>
    <w:rsid w:val="5D57FB0A"/>
    <w:rsid w:val="5D58E94C"/>
    <w:rsid w:val="5D595359"/>
    <w:rsid w:val="5D59A3D2"/>
    <w:rsid w:val="5D59E5DE"/>
    <w:rsid w:val="5D5A1F0C"/>
    <w:rsid w:val="5D5A74B4"/>
    <w:rsid w:val="5D5AB32C"/>
    <w:rsid w:val="5D5BBFE1"/>
    <w:rsid w:val="5D5BD920"/>
    <w:rsid w:val="5D5BF2BA"/>
    <w:rsid w:val="5D5D0526"/>
    <w:rsid w:val="5D5D0807"/>
    <w:rsid w:val="5D5D15C6"/>
    <w:rsid w:val="5D5D1624"/>
    <w:rsid w:val="5D5D1EA8"/>
    <w:rsid w:val="5D5E2458"/>
    <w:rsid w:val="5D5E391A"/>
    <w:rsid w:val="5D5EAA98"/>
    <w:rsid w:val="5D5EAEFE"/>
    <w:rsid w:val="5D5EC616"/>
    <w:rsid w:val="5D5FFE2B"/>
    <w:rsid w:val="5D602423"/>
    <w:rsid w:val="5D6144DF"/>
    <w:rsid w:val="5D61969C"/>
    <w:rsid w:val="5D6297BF"/>
    <w:rsid w:val="5D639D96"/>
    <w:rsid w:val="5D639F41"/>
    <w:rsid w:val="5D63EC8D"/>
    <w:rsid w:val="5D641F2C"/>
    <w:rsid w:val="5D66108B"/>
    <w:rsid w:val="5D664B0B"/>
    <w:rsid w:val="5D664B7B"/>
    <w:rsid w:val="5D664DA5"/>
    <w:rsid w:val="5D666D8A"/>
    <w:rsid w:val="5D668508"/>
    <w:rsid w:val="5D66E229"/>
    <w:rsid w:val="5D67DCDD"/>
    <w:rsid w:val="5D680695"/>
    <w:rsid w:val="5D68B66F"/>
    <w:rsid w:val="5D691A23"/>
    <w:rsid w:val="5D692D59"/>
    <w:rsid w:val="5D69BF72"/>
    <w:rsid w:val="5D6AE34C"/>
    <w:rsid w:val="5D6AF577"/>
    <w:rsid w:val="5D6BA3ED"/>
    <w:rsid w:val="5D6C41B3"/>
    <w:rsid w:val="5D6C80A4"/>
    <w:rsid w:val="5D6CA544"/>
    <w:rsid w:val="5D6E1424"/>
    <w:rsid w:val="5D6E47DF"/>
    <w:rsid w:val="5D6E93D1"/>
    <w:rsid w:val="5D6F3450"/>
    <w:rsid w:val="5D6F7346"/>
    <w:rsid w:val="5D6FD006"/>
    <w:rsid w:val="5D71F0B9"/>
    <w:rsid w:val="5D7276C3"/>
    <w:rsid w:val="5D7296E7"/>
    <w:rsid w:val="5D74C345"/>
    <w:rsid w:val="5D74E2A5"/>
    <w:rsid w:val="5D74FCD1"/>
    <w:rsid w:val="5D755510"/>
    <w:rsid w:val="5D758B8D"/>
    <w:rsid w:val="5D762242"/>
    <w:rsid w:val="5D76EAF2"/>
    <w:rsid w:val="5D77813B"/>
    <w:rsid w:val="5D78447D"/>
    <w:rsid w:val="5D78E869"/>
    <w:rsid w:val="5D794009"/>
    <w:rsid w:val="5D7982C9"/>
    <w:rsid w:val="5D7A31AB"/>
    <w:rsid w:val="5D7A5BB2"/>
    <w:rsid w:val="5D7ABE53"/>
    <w:rsid w:val="5D7AFCD8"/>
    <w:rsid w:val="5D7B1007"/>
    <w:rsid w:val="5D7B1314"/>
    <w:rsid w:val="5D7B6170"/>
    <w:rsid w:val="5D7B917F"/>
    <w:rsid w:val="5D7C25CC"/>
    <w:rsid w:val="5D7CCCB9"/>
    <w:rsid w:val="5D7D08BE"/>
    <w:rsid w:val="5D7D44D6"/>
    <w:rsid w:val="5D7D5375"/>
    <w:rsid w:val="5D7D94BD"/>
    <w:rsid w:val="5D7E06E7"/>
    <w:rsid w:val="5D7E3CEC"/>
    <w:rsid w:val="5D7E7586"/>
    <w:rsid w:val="5D7F43E1"/>
    <w:rsid w:val="5D81AD2B"/>
    <w:rsid w:val="5D835151"/>
    <w:rsid w:val="5D83F0E9"/>
    <w:rsid w:val="5D847CD2"/>
    <w:rsid w:val="5D85738E"/>
    <w:rsid w:val="5D85EBAE"/>
    <w:rsid w:val="5D8679B9"/>
    <w:rsid w:val="5D867F69"/>
    <w:rsid w:val="5D875E57"/>
    <w:rsid w:val="5D87AD67"/>
    <w:rsid w:val="5D8825D9"/>
    <w:rsid w:val="5D887DA9"/>
    <w:rsid w:val="5D887F6D"/>
    <w:rsid w:val="5D88B043"/>
    <w:rsid w:val="5D891A3C"/>
    <w:rsid w:val="5D893A1A"/>
    <w:rsid w:val="5D89C044"/>
    <w:rsid w:val="5D8A078C"/>
    <w:rsid w:val="5D8A4896"/>
    <w:rsid w:val="5D8A7785"/>
    <w:rsid w:val="5D8AA7C6"/>
    <w:rsid w:val="5D8CFF8A"/>
    <w:rsid w:val="5D8D0130"/>
    <w:rsid w:val="5D8D4402"/>
    <w:rsid w:val="5D8DCE95"/>
    <w:rsid w:val="5D8E1FDC"/>
    <w:rsid w:val="5D8E33E2"/>
    <w:rsid w:val="5D8E347B"/>
    <w:rsid w:val="5D8ED91F"/>
    <w:rsid w:val="5D8EFACF"/>
    <w:rsid w:val="5D8F43CA"/>
    <w:rsid w:val="5D8F8383"/>
    <w:rsid w:val="5D8FAA94"/>
    <w:rsid w:val="5D9095CB"/>
    <w:rsid w:val="5D90EB78"/>
    <w:rsid w:val="5D90FB45"/>
    <w:rsid w:val="5D9112B7"/>
    <w:rsid w:val="5D919608"/>
    <w:rsid w:val="5D921EB6"/>
    <w:rsid w:val="5D924ABA"/>
    <w:rsid w:val="5D92FDC0"/>
    <w:rsid w:val="5D932634"/>
    <w:rsid w:val="5D93D333"/>
    <w:rsid w:val="5D943AAE"/>
    <w:rsid w:val="5D9458AB"/>
    <w:rsid w:val="5D94B615"/>
    <w:rsid w:val="5D957952"/>
    <w:rsid w:val="5D9604C3"/>
    <w:rsid w:val="5D96065D"/>
    <w:rsid w:val="5D961535"/>
    <w:rsid w:val="5D96B5A4"/>
    <w:rsid w:val="5D96BA52"/>
    <w:rsid w:val="5D97260C"/>
    <w:rsid w:val="5D977DFF"/>
    <w:rsid w:val="5D97C639"/>
    <w:rsid w:val="5D97CE82"/>
    <w:rsid w:val="5D9969A5"/>
    <w:rsid w:val="5D99A5E8"/>
    <w:rsid w:val="5D9A181E"/>
    <w:rsid w:val="5D9A374E"/>
    <w:rsid w:val="5D9ACCF7"/>
    <w:rsid w:val="5D9BB57E"/>
    <w:rsid w:val="5D9D0738"/>
    <w:rsid w:val="5D9D8E26"/>
    <w:rsid w:val="5D9DDB2B"/>
    <w:rsid w:val="5D9E8191"/>
    <w:rsid w:val="5D9E8AF4"/>
    <w:rsid w:val="5D9EBE24"/>
    <w:rsid w:val="5D9F4BF0"/>
    <w:rsid w:val="5D9FEFE0"/>
    <w:rsid w:val="5DA0AE10"/>
    <w:rsid w:val="5DA0EF5C"/>
    <w:rsid w:val="5DA1630D"/>
    <w:rsid w:val="5DA1CEA5"/>
    <w:rsid w:val="5DA246A6"/>
    <w:rsid w:val="5DA25DB3"/>
    <w:rsid w:val="5DA284AD"/>
    <w:rsid w:val="5DA2D0A3"/>
    <w:rsid w:val="5DA3D28C"/>
    <w:rsid w:val="5DA3D3DB"/>
    <w:rsid w:val="5DA4CEAB"/>
    <w:rsid w:val="5DA542D9"/>
    <w:rsid w:val="5DA680EA"/>
    <w:rsid w:val="5DA6B6BB"/>
    <w:rsid w:val="5DA6EEE9"/>
    <w:rsid w:val="5DA6FACC"/>
    <w:rsid w:val="5DA7B356"/>
    <w:rsid w:val="5DA7DB3A"/>
    <w:rsid w:val="5DA8078B"/>
    <w:rsid w:val="5DA8B04E"/>
    <w:rsid w:val="5DA8C8A0"/>
    <w:rsid w:val="5DA9441D"/>
    <w:rsid w:val="5DA9B4E8"/>
    <w:rsid w:val="5DA9C151"/>
    <w:rsid w:val="5DAA8BDB"/>
    <w:rsid w:val="5DAB5B71"/>
    <w:rsid w:val="5DAB8397"/>
    <w:rsid w:val="5DAB947B"/>
    <w:rsid w:val="5DAB975E"/>
    <w:rsid w:val="5DAC587B"/>
    <w:rsid w:val="5DACE189"/>
    <w:rsid w:val="5DADDE28"/>
    <w:rsid w:val="5DAE483F"/>
    <w:rsid w:val="5DAE490E"/>
    <w:rsid w:val="5DAE5654"/>
    <w:rsid w:val="5DAFC38A"/>
    <w:rsid w:val="5DAFE44D"/>
    <w:rsid w:val="5DB0BE1A"/>
    <w:rsid w:val="5DB0C93F"/>
    <w:rsid w:val="5DB0FB30"/>
    <w:rsid w:val="5DB1DCF8"/>
    <w:rsid w:val="5DB1F167"/>
    <w:rsid w:val="5DB205C8"/>
    <w:rsid w:val="5DB35AAD"/>
    <w:rsid w:val="5DB360A5"/>
    <w:rsid w:val="5DB4E5B0"/>
    <w:rsid w:val="5DB6AEC4"/>
    <w:rsid w:val="5DB6E2E2"/>
    <w:rsid w:val="5DB70A01"/>
    <w:rsid w:val="5DB72E59"/>
    <w:rsid w:val="5DB767E9"/>
    <w:rsid w:val="5DB90A43"/>
    <w:rsid w:val="5DB98803"/>
    <w:rsid w:val="5DB98F45"/>
    <w:rsid w:val="5DBA067F"/>
    <w:rsid w:val="5DBA0E51"/>
    <w:rsid w:val="5DBA3F6C"/>
    <w:rsid w:val="5DBB3757"/>
    <w:rsid w:val="5DBB6A52"/>
    <w:rsid w:val="5DBC1B88"/>
    <w:rsid w:val="5DBC4FB2"/>
    <w:rsid w:val="5DBD0630"/>
    <w:rsid w:val="5DBD19EF"/>
    <w:rsid w:val="5DBD35F8"/>
    <w:rsid w:val="5DBDA5E3"/>
    <w:rsid w:val="5DBDD5C4"/>
    <w:rsid w:val="5DBE3E17"/>
    <w:rsid w:val="5DBE9DA2"/>
    <w:rsid w:val="5DBEAF45"/>
    <w:rsid w:val="5DBEFD81"/>
    <w:rsid w:val="5DBF3068"/>
    <w:rsid w:val="5DBF8B8D"/>
    <w:rsid w:val="5DC031C9"/>
    <w:rsid w:val="5DC14D63"/>
    <w:rsid w:val="5DC17BED"/>
    <w:rsid w:val="5DC1F3A5"/>
    <w:rsid w:val="5DC2C56E"/>
    <w:rsid w:val="5DC2CBD1"/>
    <w:rsid w:val="5DC30AF1"/>
    <w:rsid w:val="5DC39816"/>
    <w:rsid w:val="5DC3BB59"/>
    <w:rsid w:val="5DC48420"/>
    <w:rsid w:val="5DC4F53A"/>
    <w:rsid w:val="5DC615A0"/>
    <w:rsid w:val="5DC6A509"/>
    <w:rsid w:val="5DC6C5C4"/>
    <w:rsid w:val="5DC6C753"/>
    <w:rsid w:val="5DC7183D"/>
    <w:rsid w:val="5DC76DD9"/>
    <w:rsid w:val="5DC814A4"/>
    <w:rsid w:val="5DC82F1B"/>
    <w:rsid w:val="5DC82F60"/>
    <w:rsid w:val="5DC8B361"/>
    <w:rsid w:val="5DC8BEF3"/>
    <w:rsid w:val="5DC9A83F"/>
    <w:rsid w:val="5DCA622F"/>
    <w:rsid w:val="5DCADBCD"/>
    <w:rsid w:val="5DCBD1BB"/>
    <w:rsid w:val="5DCC0285"/>
    <w:rsid w:val="5DCC32BA"/>
    <w:rsid w:val="5DCD657F"/>
    <w:rsid w:val="5DCE530E"/>
    <w:rsid w:val="5DCEC4AD"/>
    <w:rsid w:val="5DCF0282"/>
    <w:rsid w:val="5DCFAD8B"/>
    <w:rsid w:val="5DCFAE5C"/>
    <w:rsid w:val="5DD05586"/>
    <w:rsid w:val="5DD0582E"/>
    <w:rsid w:val="5DD07B7B"/>
    <w:rsid w:val="5DD0902A"/>
    <w:rsid w:val="5DD0CAD4"/>
    <w:rsid w:val="5DD0EB5F"/>
    <w:rsid w:val="5DD13C30"/>
    <w:rsid w:val="5DD14C39"/>
    <w:rsid w:val="5DD18AF8"/>
    <w:rsid w:val="5DD1C84A"/>
    <w:rsid w:val="5DD20075"/>
    <w:rsid w:val="5DD24A4E"/>
    <w:rsid w:val="5DD3167E"/>
    <w:rsid w:val="5DD3270B"/>
    <w:rsid w:val="5DD37BCC"/>
    <w:rsid w:val="5DD42482"/>
    <w:rsid w:val="5DD42D4B"/>
    <w:rsid w:val="5DD54945"/>
    <w:rsid w:val="5DD571B7"/>
    <w:rsid w:val="5DD58F23"/>
    <w:rsid w:val="5DD594EF"/>
    <w:rsid w:val="5DD6149B"/>
    <w:rsid w:val="5DD63854"/>
    <w:rsid w:val="5DD65461"/>
    <w:rsid w:val="5DD68C5B"/>
    <w:rsid w:val="5DD6F7AA"/>
    <w:rsid w:val="5DD8A840"/>
    <w:rsid w:val="5DD8D6AC"/>
    <w:rsid w:val="5DD91590"/>
    <w:rsid w:val="5DD94B91"/>
    <w:rsid w:val="5DD96C45"/>
    <w:rsid w:val="5DDA4EB1"/>
    <w:rsid w:val="5DDAB6E9"/>
    <w:rsid w:val="5DDABFA7"/>
    <w:rsid w:val="5DDAF655"/>
    <w:rsid w:val="5DDBADF9"/>
    <w:rsid w:val="5DDC1BF9"/>
    <w:rsid w:val="5DDC22EC"/>
    <w:rsid w:val="5DDC5F56"/>
    <w:rsid w:val="5DDD479B"/>
    <w:rsid w:val="5DDD4F2E"/>
    <w:rsid w:val="5DDE8D6C"/>
    <w:rsid w:val="5DDEFB85"/>
    <w:rsid w:val="5DE0231A"/>
    <w:rsid w:val="5DE110C9"/>
    <w:rsid w:val="5DE14F4E"/>
    <w:rsid w:val="5DE18612"/>
    <w:rsid w:val="5DE1989B"/>
    <w:rsid w:val="5DE2FD42"/>
    <w:rsid w:val="5DE3294B"/>
    <w:rsid w:val="5DE39276"/>
    <w:rsid w:val="5DE3E385"/>
    <w:rsid w:val="5DE54A27"/>
    <w:rsid w:val="5DE59DB6"/>
    <w:rsid w:val="5DE5B603"/>
    <w:rsid w:val="5DE5D885"/>
    <w:rsid w:val="5DE5E895"/>
    <w:rsid w:val="5DE5FE48"/>
    <w:rsid w:val="5DE625C6"/>
    <w:rsid w:val="5DE69D28"/>
    <w:rsid w:val="5DE6E5F8"/>
    <w:rsid w:val="5DE6FC37"/>
    <w:rsid w:val="5DEB4519"/>
    <w:rsid w:val="5DEBB6A6"/>
    <w:rsid w:val="5DEC5EA8"/>
    <w:rsid w:val="5DECAA2B"/>
    <w:rsid w:val="5DED4A2B"/>
    <w:rsid w:val="5DEDF3F5"/>
    <w:rsid w:val="5DEE66F0"/>
    <w:rsid w:val="5DEEE0A3"/>
    <w:rsid w:val="5DEF1BC2"/>
    <w:rsid w:val="5DEF897E"/>
    <w:rsid w:val="5DF1615A"/>
    <w:rsid w:val="5DF188F3"/>
    <w:rsid w:val="5DF1CF0A"/>
    <w:rsid w:val="5DF2E2FB"/>
    <w:rsid w:val="5DF31815"/>
    <w:rsid w:val="5DF4013F"/>
    <w:rsid w:val="5DF44395"/>
    <w:rsid w:val="5DF44CED"/>
    <w:rsid w:val="5DF45B6B"/>
    <w:rsid w:val="5DF48984"/>
    <w:rsid w:val="5DF4B1A0"/>
    <w:rsid w:val="5DF4DDE2"/>
    <w:rsid w:val="5DF4EF26"/>
    <w:rsid w:val="5DF59D16"/>
    <w:rsid w:val="5DF63FEB"/>
    <w:rsid w:val="5DF682AC"/>
    <w:rsid w:val="5DF86901"/>
    <w:rsid w:val="5DF87F90"/>
    <w:rsid w:val="5DF8FA35"/>
    <w:rsid w:val="5DF9B973"/>
    <w:rsid w:val="5DF9D07D"/>
    <w:rsid w:val="5DF9F243"/>
    <w:rsid w:val="5DFB005F"/>
    <w:rsid w:val="5DFB1F86"/>
    <w:rsid w:val="5DFC8FAC"/>
    <w:rsid w:val="5DFCC79A"/>
    <w:rsid w:val="5DFCEB9F"/>
    <w:rsid w:val="5DFD3938"/>
    <w:rsid w:val="5DFD5C2A"/>
    <w:rsid w:val="5DFD77FB"/>
    <w:rsid w:val="5DFDEDDE"/>
    <w:rsid w:val="5DFDF97F"/>
    <w:rsid w:val="5DFE70FC"/>
    <w:rsid w:val="5DFF919A"/>
    <w:rsid w:val="5DFFAB52"/>
    <w:rsid w:val="5DFFBD32"/>
    <w:rsid w:val="5DFFDB84"/>
    <w:rsid w:val="5E009E35"/>
    <w:rsid w:val="5E00FD42"/>
    <w:rsid w:val="5E0118D2"/>
    <w:rsid w:val="5E018AA2"/>
    <w:rsid w:val="5E024989"/>
    <w:rsid w:val="5E024C79"/>
    <w:rsid w:val="5E02D4F3"/>
    <w:rsid w:val="5E0311D9"/>
    <w:rsid w:val="5E03CDFB"/>
    <w:rsid w:val="5E03FBEB"/>
    <w:rsid w:val="5E0454D6"/>
    <w:rsid w:val="5E0491A1"/>
    <w:rsid w:val="5E0556F6"/>
    <w:rsid w:val="5E060144"/>
    <w:rsid w:val="5E068E43"/>
    <w:rsid w:val="5E06A726"/>
    <w:rsid w:val="5E071992"/>
    <w:rsid w:val="5E091616"/>
    <w:rsid w:val="5E09615F"/>
    <w:rsid w:val="5E0A2337"/>
    <w:rsid w:val="5E0A7DF9"/>
    <w:rsid w:val="5E0C5739"/>
    <w:rsid w:val="5E0C7DCF"/>
    <w:rsid w:val="5E0CE6A3"/>
    <w:rsid w:val="5E0D60A1"/>
    <w:rsid w:val="5E0DD0AC"/>
    <w:rsid w:val="5E0DE5FA"/>
    <w:rsid w:val="5E0F9C51"/>
    <w:rsid w:val="5E0FC359"/>
    <w:rsid w:val="5E0FE486"/>
    <w:rsid w:val="5E104216"/>
    <w:rsid w:val="5E10D65F"/>
    <w:rsid w:val="5E1238C7"/>
    <w:rsid w:val="5E12E034"/>
    <w:rsid w:val="5E12EBC7"/>
    <w:rsid w:val="5E1305DB"/>
    <w:rsid w:val="5E13C884"/>
    <w:rsid w:val="5E16BB79"/>
    <w:rsid w:val="5E16E246"/>
    <w:rsid w:val="5E1743F5"/>
    <w:rsid w:val="5E174A9E"/>
    <w:rsid w:val="5E179AAE"/>
    <w:rsid w:val="5E17B8E7"/>
    <w:rsid w:val="5E17F108"/>
    <w:rsid w:val="5E181363"/>
    <w:rsid w:val="5E1882BB"/>
    <w:rsid w:val="5E188B3C"/>
    <w:rsid w:val="5E188CEF"/>
    <w:rsid w:val="5E18A56B"/>
    <w:rsid w:val="5E18B265"/>
    <w:rsid w:val="5E18DF63"/>
    <w:rsid w:val="5E18F5EB"/>
    <w:rsid w:val="5E19412D"/>
    <w:rsid w:val="5E19AE57"/>
    <w:rsid w:val="5E1A5A0F"/>
    <w:rsid w:val="5E1B7450"/>
    <w:rsid w:val="5E1CC6FC"/>
    <w:rsid w:val="5E1CD701"/>
    <w:rsid w:val="5E1CDE72"/>
    <w:rsid w:val="5E1D8BD5"/>
    <w:rsid w:val="5E1DA07D"/>
    <w:rsid w:val="5E1DCA54"/>
    <w:rsid w:val="5E1F6C39"/>
    <w:rsid w:val="5E1F7813"/>
    <w:rsid w:val="5E1F802C"/>
    <w:rsid w:val="5E1F9075"/>
    <w:rsid w:val="5E1FB74C"/>
    <w:rsid w:val="5E1FD698"/>
    <w:rsid w:val="5E1FF98A"/>
    <w:rsid w:val="5E200C49"/>
    <w:rsid w:val="5E201442"/>
    <w:rsid w:val="5E205D31"/>
    <w:rsid w:val="5E205EB4"/>
    <w:rsid w:val="5E212E6A"/>
    <w:rsid w:val="5E2165AF"/>
    <w:rsid w:val="5E21EAE9"/>
    <w:rsid w:val="5E21FF83"/>
    <w:rsid w:val="5E22353E"/>
    <w:rsid w:val="5E232E16"/>
    <w:rsid w:val="5E241CC1"/>
    <w:rsid w:val="5E24ED2A"/>
    <w:rsid w:val="5E25CFF6"/>
    <w:rsid w:val="5E261FCC"/>
    <w:rsid w:val="5E264665"/>
    <w:rsid w:val="5E265443"/>
    <w:rsid w:val="5E289140"/>
    <w:rsid w:val="5E2AD599"/>
    <w:rsid w:val="5E2AF319"/>
    <w:rsid w:val="5E2BF3AE"/>
    <w:rsid w:val="5E2C291C"/>
    <w:rsid w:val="5E2C5C22"/>
    <w:rsid w:val="5E2CEF57"/>
    <w:rsid w:val="5E2D1241"/>
    <w:rsid w:val="5E2DF220"/>
    <w:rsid w:val="5E2E1655"/>
    <w:rsid w:val="5E2EE0F9"/>
    <w:rsid w:val="5E2EE6BC"/>
    <w:rsid w:val="5E2F7593"/>
    <w:rsid w:val="5E303315"/>
    <w:rsid w:val="5E307AB2"/>
    <w:rsid w:val="5E30C020"/>
    <w:rsid w:val="5E341CC6"/>
    <w:rsid w:val="5E3458B1"/>
    <w:rsid w:val="5E34BFB2"/>
    <w:rsid w:val="5E354F84"/>
    <w:rsid w:val="5E35A0E1"/>
    <w:rsid w:val="5E35F836"/>
    <w:rsid w:val="5E3610FA"/>
    <w:rsid w:val="5E3614EB"/>
    <w:rsid w:val="5E36287B"/>
    <w:rsid w:val="5E368996"/>
    <w:rsid w:val="5E369AF3"/>
    <w:rsid w:val="5E36A8C0"/>
    <w:rsid w:val="5E36A97E"/>
    <w:rsid w:val="5E36C7D2"/>
    <w:rsid w:val="5E36EC50"/>
    <w:rsid w:val="5E37B067"/>
    <w:rsid w:val="5E37E333"/>
    <w:rsid w:val="5E383E6B"/>
    <w:rsid w:val="5E3890E0"/>
    <w:rsid w:val="5E395607"/>
    <w:rsid w:val="5E3962BE"/>
    <w:rsid w:val="5E39D8D0"/>
    <w:rsid w:val="5E3AB401"/>
    <w:rsid w:val="5E3AE673"/>
    <w:rsid w:val="5E3BF9A1"/>
    <w:rsid w:val="5E3C0BFE"/>
    <w:rsid w:val="5E3D00DE"/>
    <w:rsid w:val="5E3D4E19"/>
    <w:rsid w:val="5E3D6051"/>
    <w:rsid w:val="5E3D855F"/>
    <w:rsid w:val="5E3E01D4"/>
    <w:rsid w:val="5E3E7A6B"/>
    <w:rsid w:val="5E3ECB55"/>
    <w:rsid w:val="5E3EF62C"/>
    <w:rsid w:val="5E3F326A"/>
    <w:rsid w:val="5E40525C"/>
    <w:rsid w:val="5E4065A1"/>
    <w:rsid w:val="5E40C5C9"/>
    <w:rsid w:val="5E40DE34"/>
    <w:rsid w:val="5E417ADA"/>
    <w:rsid w:val="5E422D86"/>
    <w:rsid w:val="5E4288E4"/>
    <w:rsid w:val="5E428929"/>
    <w:rsid w:val="5E43E177"/>
    <w:rsid w:val="5E443A81"/>
    <w:rsid w:val="5E45AF0C"/>
    <w:rsid w:val="5E4635B4"/>
    <w:rsid w:val="5E46449F"/>
    <w:rsid w:val="5E466726"/>
    <w:rsid w:val="5E479E2F"/>
    <w:rsid w:val="5E47B44F"/>
    <w:rsid w:val="5E47F42F"/>
    <w:rsid w:val="5E4861BB"/>
    <w:rsid w:val="5E48C9B8"/>
    <w:rsid w:val="5E498241"/>
    <w:rsid w:val="5E499B7F"/>
    <w:rsid w:val="5E49B79A"/>
    <w:rsid w:val="5E4A205D"/>
    <w:rsid w:val="5E4AC21A"/>
    <w:rsid w:val="5E4ACD22"/>
    <w:rsid w:val="5E4AE7E5"/>
    <w:rsid w:val="5E4BB6E1"/>
    <w:rsid w:val="5E4BFAF9"/>
    <w:rsid w:val="5E4C230A"/>
    <w:rsid w:val="5E4C6C7C"/>
    <w:rsid w:val="5E4C84D9"/>
    <w:rsid w:val="5E4C9D51"/>
    <w:rsid w:val="5E4CF1C9"/>
    <w:rsid w:val="5E4D5AEE"/>
    <w:rsid w:val="5E4D6B92"/>
    <w:rsid w:val="5E4EAEB3"/>
    <w:rsid w:val="5E4EE57C"/>
    <w:rsid w:val="5E4F01A0"/>
    <w:rsid w:val="5E4F7670"/>
    <w:rsid w:val="5E507DA1"/>
    <w:rsid w:val="5E509C76"/>
    <w:rsid w:val="5E515192"/>
    <w:rsid w:val="5E524997"/>
    <w:rsid w:val="5E536300"/>
    <w:rsid w:val="5E541D9E"/>
    <w:rsid w:val="5E5429CA"/>
    <w:rsid w:val="5E553AA5"/>
    <w:rsid w:val="5E55DE39"/>
    <w:rsid w:val="5E564162"/>
    <w:rsid w:val="5E5653BB"/>
    <w:rsid w:val="5E569347"/>
    <w:rsid w:val="5E56BF9D"/>
    <w:rsid w:val="5E56DEEE"/>
    <w:rsid w:val="5E573895"/>
    <w:rsid w:val="5E57A489"/>
    <w:rsid w:val="5E58F23F"/>
    <w:rsid w:val="5E58FA7D"/>
    <w:rsid w:val="5E592F72"/>
    <w:rsid w:val="5E59A17C"/>
    <w:rsid w:val="5E59AEBD"/>
    <w:rsid w:val="5E5AC46D"/>
    <w:rsid w:val="5E5C1795"/>
    <w:rsid w:val="5E5CB75C"/>
    <w:rsid w:val="5E5FF042"/>
    <w:rsid w:val="5E60389A"/>
    <w:rsid w:val="5E60814D"/>
    <w:rsid w:val="5E60B226"/>
    <w:rsid w:val="5E619A02"/>
    <w:rsid w:val="5E61EF69"/>
    <w:rsid w:val="5E622858"/>
    <w:rsid w:val="5E62A182"/>
    <w:rsid w:val="5E64537E"/>
    <w:rsid w:val="5E649CE8"/>
    <w:rsid w:val="5E64DA93"/>
    <w:rsid w:val="5E64F355"/>
    <w:rsid w:val="5E6535C0"/>
    <w:rsid w:val="5E65508F"/>
    <w:rsid w:val="5E6564FF"/>
    <w:rsid w:val="5E6569A0"/>
    <w:rsid w:val="5E65E4E5"/>
    <w:rsid w:val="5E6630C0"/>
    <w:rsid w:val="5E665DA6"/>
    <w:rsid w:val="5E67384E"/>
    <w:rsid w:val="5E67EA54"/>
    <w:rsid w:val="5E67F364"/>
    <w:rsid w:val="5E6A1665"/>
    <w:rsid w:val="5E6A258E"/>
    <w:rsid w:val="5E6A92C7"/>
    <w:rsid w:val="5E6AAB59"/>
    <w:rsid w:val="5E6ADC1D"/>
    <w:rsid w:val="5E6BADC2"/>
    <w:rsid w:val="5E6BAF73"/>
    <w:rsid w:val="5E6BD271"/>
    <w:rsid w:val="5E6BFFDC"/>
    <w:rsid w:val="5E6CB2E7"/>
    <w:rsid w:val="5E6CECE3"/>
    <w:rsid w:val="5E6D7A2A"/>
    <w:rsid w:val="5E6DBEB8"/>
    <w:rsid w:val="5E6DF2BD"/>
    <w:rsid w:val="5E6EB593"/>
    <w:rsid w:val="5E6FE809"/>
    <w:rsid w:val="5E71FF0D"/>
    <w:rsid w:val="5E7201E4"/>
    <w:rsid w:val="5E724107"/>
    <w:rsid w:val="5E72C61A"/>
    <w:rsid w:val="5E72DFFB"/>
    <w:rsid w:val="5E739CE2"/>
    <w:rsid w:val="5E73B32D"/>
    <w:rsid w:val="5E7439AF"/>
    <w:rsid w:val="5E74742F"/>
    <w:rsid w:val="5E7474EB"/>
    <w:rsid w:val="5E754DF7"/>
    <w:rsid w:val="5E75ABDD"/>
    <w:rsid w:val="5E768D38"/>
    <w:rsid w:val="5E774AEE"/>
    <w:rsid w:val="5E775E97"/>
    <w:rsid w:val="5E77DFFA"/>
    <w:rsid w:val="5E780237"/>
    <w:rsid w:val="5E789DBB"/>
    <w:rsid w:val="5E78C179"/>
    <w:rsid w:val="5E794A59"/>
    <w:rsid w:val="5E7A0DF9"/>
    <w:rsid w:val="5E7AA7A4"/>
    <w:rsid w:val="5E7B0B9B"/>
    <w:rsid w:val="5E7B73B4"/>
    <w:rsid w:val="5E7BD5C9"/>
    <w:rsid w:val="5E7C2123"/>
    <w:rsid w:val="5E7C3132"/>
    <w:rsid w:val="5E7C4B68"/>
    <w:rsid w:val="5E7CA278"/>
    <w:rsid w:val="5E7CE49C"/>
    <w:rsid w:val="5E7CE7E5"/>
    <w:rsid w:val="5E7DDB6E"/>
    <w:rsid w:val="5E7E07A7"/>
    <w:rsid w:val="5E7E1DFC"/>
    <w:rsid w:val="5E7E82C4"/>
    <w:rsid w:val="5E7E8635"/>
    <w:rsid w:val="5E7ED165"/>
    <w:rsid w:val="5E809382"/>
    <w:rsid w:val="5E81D6DA"/>
    <w:rsid w:val="5E8233B3"/>
    <w:rsid w:val="5E82A70A"/>
    <w:rsid w:val="5E82F474"/>
    <w:rsid w:val="5E8300CA"/>
    <w:rsid w:val="5E832151"/>
    <w:rsid w:val="5E83ED49"/>
    <w:rsid w:val="5E844396"/>
    <w:rsid w:val="5E8450AF"/>
    <w:rsid w:val="5E84F74A"/>
    <w:rsid w:val="5E85057B"/>
    <w:rsid w:val="5E851F32"/>
    <w:rsid w:val="5E85509D"/>
    <w:rsid w:val="5E8598B0"/>
    <w:rsid w:val="5E85B04A"/>
    <w:rsid w:val="5E85C203"/>
    <w:rsid w:val="5E86E553"/>
    <w:rsid w:val="5E875276"/>
    <w:rsid w:val="5E87D6A4"/>
    <w:rsid w:val="5E8865E2"/>
    <w:rsid w:val="5E886F64"/>
    <w:rsid w:val="5E891C2E"/>
    <w:rsid w:val="5E89AAEE"/>
    <w:rsid w:val="5E89E48F"/>
    <w:rsid w:val="5E8A2AB5"/>
    <w:rsid w:val="5E8A8876"/>
    <w:rsid w:val="5E8AB851"/>
    <w:rsid w:val="5E8ACAFA"/>
    <w:rsid w:val="5E8ADCEB"/>
    <w:rsid w:val="5E8B635E"/>
    <w:rsid w:val="5E8ED023"/>
    <w:rsid w:val="5E8F9223"/>
    <w:rsid w:val="5E904266"/>
    <w:rsid w:val="5E90649B"/>
    <w:rsid w:val="5E906A43"/>
    <w:rsid w:val="5E90B513"/>
    <w:rsid w:val="5E90FB71"/>
    <w:rsid w:val="5E91D618"/>
    <w:rsid w:val="5E9391C5"/>
    <w:rsid w:val="5E93A448"/>
    <w:rsid w:val="5E94CA53"/>
    <w:rsid w:val="5E950126"/>
    <w:rsid w:val="5E952F1F"/>
    <w:rsid w:val="5E95AC06"/>
    <w:rsid w:val="5E9617C5"/>
    <w:rsid w:val="5E96A975"/>
    <w:rsid w:val="5E96CC08"/>
    <w:rsid w:val="5E9715E4"/>
    <w:rsid w:val="5E972C88"/>
    <w:rsid w:val="5E97E4A2"/>
    <w:rsid w:val="5E9A9738"/>
    <w:rsid w:val="5E9ABD2F"/>
    <w:rsid w:val="5E9B6A76"/>
    <w:rsid w:val="5E9B7282"/>
    <w:rsid w:val="5E9B87AB"/>
    <w:rsid w:val="5E9BD42E"/>
    <w:rsid w:val="5E9BE13D"/>
    <w:rsid w:val="5E9C17B2"/>
    <w:rsid w:val="5E9C56E6"/>
    <w:rsid w:val="5E9C5933"/>
    <w:rsid w:val="5E9C6755"/>
    <w:rsid w:val="5E9CAA50"/>
    <w:rsid w:val="5E9CB919"/>
    <w:rsid w:val="5E9D2F31"/>
    <w:rsid w:val="5E9D407A"/>
    <w:rsid w:val="5E9D96D9"/>
    <w:rsid w:val="5E9EA42D"/>
    <w:rsid w:val="5E9EC9A9"/>
    <w:rsid w:val="5E9FB936"/>
    <w:rsid w:val="5E9FBEE4"/>
    <w:rsid w:val="5EA06848"/>
    <w:rsid w:val="5EA15735"/>
    <w:rsid w:val="5EA1A857"/>
    <w:rsid w:val="5EA1A957"/>
    <w:rsid w:val="5EA21982"/>
    <w:rsid w:val="5EA28B0F"/>
    <w:rsid w:val="5EA2FC51"/>
    <w:rsid w:val="5EA3CF1F"/>
    <w:rsid w:val="5EA3DF7F"/>
    <w:rsid w:val="5EA5654D"/>
    <w:rsid w:val="5EA6B423"/>
    <w:rsid w:val="5EA6B6FB"/>
    <w:rsid w:val="5EA6E7FF"/>
    <w:rsid w:val="5EA6FC3B"/>
    <w:rsid w:val="5EA70A58"/>
    <w:rsid w:val="5EA779E7"/>
    <w:rsid w:val="5EA7876E"/>
    <w:rsid w:val="5EA8AA8C"/>
    <w:rsid w:val="5EA8CCFA"/>
    <w:rsid w:val="5EA8E606"/>
    <w:rsid w:val="5EA98020"/>
    <w:rsid w:val="5EA99F4C"/>
    <w:rsid w:val="5EABA226"/>
    <w:rsid w:val="5EAC24C8"/>
    <w:rsid w:val="5EAC64E3"/>
    <w:rsid w:val="5EACFB6E"/>
    <w:rsid w:val="5EAD4781"/>
    <w:rsid w:val="5EADEF11"/>
    <w:rsid w:val="5EAE15E2"/>
    <w:rsid w:val="5EAE2165"/>
    <w:rsid w:val="5EAF132D"/>
    <w:rsid w:val="5EAF136C"/>
    <w:rsid w:val="5EB01434"/>
    <w:rsid w:val="5EB04BD7"/>
    <w:rsid w:val="5EB0707D"/>
    <w:rsid w:val="5EB08C2D"/>
    <w:rsid w:val="5EB0C885"/>
    <w:rsid w:val="5EB0EFB0"/>
    <w:rsid w:val="5EB1075B"/>
    <w:rsid w:val="5EB1BD8A"/>
    <w:rsid w:val="5EB203F4"/>
    <w:rsid w:val="5EB2F175"/>
    <w:rsid w:val="5EB32578"/>
    <w:rsid w:val="5EB372BA"/>
    <w:rsid w:val="5EB3B016"/>
    <w:rsid w:val="5EB48230"/>
    <w:rsid w:val="5EB488B9"/>
    <w:rsid w:val="5EB52C92"/>
    <w:rsid w:val="5EB537F2"/>
    <w:rsid w:val="5EB5DE49"/>
    <w:rsid w:val="5EB62937"/>
    <w:rsid w:val="5EB63E13"/>
    <w:rsid w:val="5EB6E905"/>
    <w:rsid w:val="5EB6F976"/>
    <w:rsid w:val="5EB730EC"/>
    <w:rsid w:val="5EB7330F"/>
    <w:rsid w:val="5EB92AD7"/>
    <w:rsid w:val="5EB961AC"/>
    <w:rsid w:val="5EB99902"/>
    <w:rsid w:val="5EB9A60D"/>
    <w:rsid w:val="5EBA406E"/>
    <w:rsid w:val="5EBAE228"/>
    <w:rsid w:val="5EBAEF44"/>
    <w:rsid w:val="5EBB916E"/>
    <w:rsid w:val="5EBC6134"/>
    <w:rsid w:val="5EBCD1E2"/>
    <w:rsid w:val="5EBCF1E4"/>
    <w:rsid w:val="5EBD3B3B"/>
    <w:rsid w:val="5EBDA0BA"/>
    <w:rsid w:val="5EBE49A5"/>
    <w:rsid w:val="5EBE7A7C"/>
    <w:rsid w:val="5EBF1FBD"/>
    <w:rsid w:val="5EC02B10"/>
    <w:rsid w:val="5EC03F52"/>
    <w:rsid w:val="5EC08486"/>
    <w:rsid w:val="5EC15817"/>
    <w:rsid w:val="5EC194A5"/>
    <w:rsid w:val="5EC26E70"/>
    <w:rsid w:val="5EC30FE6"/>
    <w:rsid w:val="5EC3BF73"/>
    <w:rsid w:val="5EC4B39D"/>
    <w:rsid w:val="5EC51B81"/>
    <w:rsid w:val="5EC589B5"/>
    <w:rsid w:val="5EC5CEFB"/>
    <w:rsid w:val="5EC60CC7"/>
    <w:rsid w:val="5EC840A4"/>
    <w:rsid w:val="5EC8CE62"/>
    <w:rsid w:val="5ECA82BC"/>
    <w:rsid w:val="5ECB8966"/>
    <w:rsid w:val="5ECC4F2A"/>
    <w:rsid w:val="5ECCBAE7"/>
    <w:rsid w:val="5ECD6778"/>
    <w:rsid w:val="5ECDF217"/>
    <w:rsid w:val="5ECEC78C"/>
    <w:rsid w:val="5ECF1713"/>
    <w:rsid w:val="5ECF42CD"/>
    <w:rsid w:val="5ECFAAE7"/>
    <w:rsid w:val="5ECFAAFA"/>
    <w:rsid w:val="5ECFD04C"/>
    <w:rsid w:val="5ECFD7D6"/>
    <w:rsid w:val="5ED01788"/>
    <w:rsid w:val="5ED1DF0C"/>
    <w:rsid w:val="5ED2D332"/>
    <w:rsid w:val="5ED2EF2B"/>
    <w:rsid w:val="5ED32AA6"/>
    <w:rsid w:val="5ED3BF93"/>
    <w:rsid w:val="5ED40108"/>
    <w:rsid w:val="5ED48BE1"/>
    <w:rsid w:val="5ED4F048"/>
    <w:rsid w:val="5ED568F3"/>
    <w:rsid w:val="5ED5AFF3"/>
    <w:rsid w:val="5ED72215"/>
    <w:rsid w:val="5ED8099E"/>
    <w:rsid w:val="5ED83751"/>
    <w:rsid w:val="5ED87B10"/>
    <w:rsid w:val="5ED88797"/>
    <w:rsid w:val="5ED8A234"/>
    <w:rsid w:val="5ED9CAA6"/>
    <w:rsid w:val="5EDA3CBF"/>
    <w:rsid w:val="5EDAA52F"/>
    <w:rsid w:val="5EDB661A"/>
    <w:rsid w:val="5EDB7E7D"/>
    <w:rsid w:val="5EDB8FD4"/>
    <w:rsid w:val="5EDBED1E"/>
    <w:rsid w:val="5EDC4A86"/>
    <w:rsid w:val="5EDC7EA1"/>
    <w:rsid w:val="5EDCDB1C"/>
    <w:rsid w:val="5EE001EE"/>
    <w:rsid w:val="5EE068DD"/>
    <w:rsid w:val="5EE17124"/>
    <w:rsid w:val="5EE172B5"/>
    <w:rsid w:val="5EE1B921"/>
    <w:rsid w:val="5EE26D29"/>
    <w:rsid w:val="5EE29562"/>
    <w:rsid w:val="5EE2B0FD"/>
    <w:rsid w:val="5EE2B311"/>
    <w:rsid w:val="5EE4D0E5"/>
    <w:rsid w:val="5EE4E43A"/>
    <w:rsid w:val="5EE56565"/>
    <w:rsid w:val="5EE61D57"/>
    <w:rsid w:val="5EE6941F"/>
    <w:rsid w:val="5EE72708"/>
    <w:rsid w:val="5EE72E9B"/>
    <w:rsid w:val="5EE7720F"/>
    <w:rsid w:val="5EE8006B"/>
    <w:rsid w:val="5EEA6C89"/>
    <w:rsid w:val="5EEAD3EA"/>
    <w:rsid w:val="5EEB1C5D"/>
    <w:rsid w:val="5EEB419F"/>
    <w:rsid w:val="5EEB5098"/>
    <w:rsid w:val="5EEC93C3"/>
    <w:rsid w:val="5EECD34D"/>
    <w:rsid w:val="5EEE5AA8"/>
    <w:rsid w:val="5EF06AF7"/>
    <w:rsid w:val="5EF1E250"/>
    <w:rsid w:val="5EF3417E"/>
    <w:rsid w:val="5EF36EA2"/>
    <w:rsid w:val="5EF3D1F7"/>
    <w:rsid w:val="5EF3F0DC"/>
    <w:rsid w:val="5EF49A96"/>
    <w:rsid w:val="5EF53EF6"/>
    <w:rsid w:val="5EF553E4"/>
    <w:rsid w:val="5EF5E030"/>
    <w:rsid w:val="5EF603EF"/>
    <w:rsid w:val="5EF6469A"/>
    <w:rsid w:val="5EF66E81"/>
    <w:rsid w:val="5EF689B6"/>
    <w:rsid w:val="5EF73579"/>
    <w:rsid w:val="5EF77B4E"/>
    <w:rsid w:val="5EF8A1EF"/>
    <w:rsid w:val="5EF8A31D"/>
    <w:rsid w:val="5EF8D854"/>
    <w:rsid w:val="5EF9173F"/>
    <w:rsid w:val="5EF9B1FA"/>
    <w:rsid w:val="5EF9FBDE"/>
    <w:rsid w:val="5EFC320E"/>
    <w:rsid w:val="5EFC5189"/>
    <w:rsid w:val="5EFCCF07"/>
    <w:rsid w:val="5EFD1CA8"/>
    <w:rsid w:val="5EFD7DB1"/>
    <w:rsid w:val="5EFE949F"/>
    <w:rsid w:val="5EFF7451"/>
    <w:rsid w:val="5F00CCDC"/>
    <w:rsid w:val="5F012D56"/>
    <w:rsid w:val="5F014DB5"/>
    <w:rsid w:val="5F01B5CD"/>
    <w:rsid w:val="5F029655"/>
    <w:rsid w:val="5F0338AF"/>
    <w:rsid w:val="5F03439C"/>
    <w:rsid w:val="5F03A536"/>
    <w:rsid w:val="5F04A37E"/>
    <w:rsid w:val="5F06A251"/>
    <w:rsid w:val="5F06D92A"/>
    <w:rsid w:val="5F08138C"/>
    <w:rsid w:val="5F08A649"/>
    <w:rsid w:val="5F08CE06"/>
    <w:rsid w:val="5F095B48"/>
    <w:rsid w:val="5F099304"/>
    <w:rsid w:val="5F09DB62"/>
    <w:rsid w:val="5F0A4B9B"/>
    <w:rsid w:val="5F0B1D03"/>
    <w:rsid w:val="5F0B4563"/>
    <w:rsid w:val="5F0B5A49"/>
    <w:rsid w:val="5F0B79A9"/>
    <w:rsid w:val="5F0B7FBD"/>
    <w:rsid w:val="5F0C6B00"/>
    <w:rsid w:val="5F0C8B93"/>
    <w:rsid w:val="5F0C8EE5"/>
    <w:rsid w:val="5F0DA8E5"/>
    <w:rsid w:val="5F0DE83A"/>
    <w:rsid w:val="5F0E052C"/>
    <w:rsid w:val="5F0E3A55"/>
    <w:rsid w:val="5F0EA989"/>
    <w:rsid w:val="5F0ECED3"/>
    <w:rsid w:val="5F0EDD6D"/>
    <w:rsid w:val="5F0F44AA"/>
    <w:rsid w:val="5F103013"/>
    <w:rsid w:val="5F1083E1"/>
    <w:rsid w:val="5F10D34C"/>
    <w:rsid w:val="5F11770E"/>
    <w:rsid w:val="5F11B204"/>
    <w:rsid w:val="5F120115"/>
    <w:rsid w:val="5F13066A"/>
    <w:rsid w:val="5F1326E4"/>
    <w:rsid w:val="5F1369C1"/>
    <w:rsid w:val="5F13814D"/>
    <w:rsid w:val="5F139B8D"/>
    <w:rsid w:val="5F13CB34"/>
    <w:rsid w:val="5F142B0B"/>
    <w:rsid w:val="5F145893"/>
    <w:rsid w:val="5F145D4D"/>
    <w:rsid w:val="5F148FDD"/>
    <w:rsid w:val="5F14BBB1"/>
    <w:rsid w:val="5F14ECCC"/>
    <w:rsid w:val="5F1512F5"/>
    <w:rsid w:val="5F15EA2C"/>
    <w:rsid w:val="5F16060C"/>
    <w:rsid w:val="5F16067B"/>
    <w:rsid w:val="5F164989"/>
    <w:rsid w:val="5F16B8C2"/>
    <w:rsid w:val="5F16F757"/>
    <w:rsid w:val="5F171339"/>
    <w:rsid w:val="5F178D8A"/>
    <w:rsid w:val="5F17C585"/>
    <w:rsid w:val="5F17FA4D"/>
    <w:rsid w:val="5F19D086"/>
    <w:rsid w:val="5F1A42EC"/>
    <w:rsid w:val="5F1BDBDA"/>
    <w:rsid w:val="5F1BF160"/>
    <w:rsid w:val="5F1CD418"/>
    <w:rsid w:val="5F1F2933"/>
    <w:rsid w:val="5F20591E"/>
    <w:rsid w:val="5F20E6ED"/>
    <w:rsid w:val="5F218BCC"/>
    <w:rsid w:val="5F218D42"/>
    <w:rsid w:val="5F2201DD"/>
    <w:rsid w:val="5F220F7B"/>
    <w:rsid w:val="5F233AFA"/>
    <w:rsid w:val="5F23AF89"/>
    <w:rsid w:val="5F23B2F6"/>
    <w:rsid w:val="5F247C44"/>
    <w:rsid w:val="5F260D92"/>
    <w:rsid w:val="5F2625B8"/>
    <w:rsid w:val="5F26AF00"/>
    <w:rsid w:val="5F270F06"/>
    <w:rsid w:val="5F275DE1"/>
    <w:rsid w:val="5F2789C5"/>
    <w:rsid w:val="5F27AECD"/>
    <w:rsid w:val="5F27E099"/>
    <w:rsid w:val="5F2805B5"/>
    <w:rsid w:val="5F282EEA"/>
    <w:rsid w:val="5F297FE0"/>
    <w:rsid w:val="5F2A2E6F"/>
    <w:rsid w:val="5F2ADD5B"/>
    <w:rsid w:val="5F2AFE44"/>
    <w:rsid w:val="5F2B0BDD"/>
    <w:rsid w:val="5F2C38B2"/>
    <w:rsid w:val="5F2C4EF3"/>
    <w:rsid w:val="5F2C992E"/>
    <w:rsid w:val="5F2CBBEC"/>
    <w:rsid w:val="5F2D2426"/>
    <w:rsid w:val="5F2D40F0"/>
    <w:rsid w:val="5F2ED6A6"/>
    <w:rsid w:val="5F2F4A22"/>
    <w:rsid w:val="5F2F84A5"/>
    <w:rsid w:val="5F2FA319"/>
    <w:rsid w:val="5F314A30"/>
    <w:rsid w:val="5F320175"/>
    <w:rsid w:val="5F321CD8"/>
    <w:rsid w:val="5F32B78E"/>
    <w:rsid w:val="5F32C7E5"/>
    <w:rsid w:val="5F32FBDF"/>
    <w:rsid w:val="5F335E04"/>
    <w:rsid w:val="5F35582A"/>
    <w:rsid w:val="5F367CD5"/>
    <w:rsid w:val="5F36AD27"/>
    <w:rsid w:val="5F376A46"/>
    <w:rsid w:val="5F384BB7"/>
    <w:rsid w:val="5F38627A"/>
    <w:rsid w:val="5F396EA1"/>
    <w:rsid w:val="5F3987A1"/>
    <w:rsid w:val="5F398E21"/>
    <w:rsid w:val="5F3A6EFC"/>
    <w:rsid w:val="5F3A8ABC"/>
    <w:rsid w:val="5F3AA57C"/>
    <w:rsid w:val="5F3B36FE"/>
    <w:rsid w:val="5F3BA872"/>
    <w:rsid w:val="5F3BB0AD"/>
    <w:rsid w:val="5F3C6D26"/>
    <w:rsid w:val="5F3C85E1"/>
    <w:rsid w:val="5F3CA6CB"/>
    <w:rsid w:val="5F3CE975"/>
    <w:rsid w:val="5F3CF42F"/>
    <w:rsid w:val="5F3DDDA7"/>
    <w:rsid w:val="5F3E3628"/>
    <w:rsid w:val="5F3E6D5A"/>
    <w:rsid w:val="5F3E77ED"/>
    <w:rsid w:val="5F3E9A51"/>
    <w:rsid w:val="5F3F03DF"/>
    <w:rsid w:val="5F40ABF6"/>
    <w:rsid w:val="5F412F07"/>
    <w:rsid w:val="5F415E32"/>
    <w:rsid w:val="5F416685"/>
    <w:rsid w:val="5F42FF91"/>
    <w:rsid w:val="5F43B3F3"/>
    <w:rsid w:val="5F44AA29"/>
    <w:rsid w:val="5F4536A2"/>
    <w:rsid w:val="5F458763"/>
    <w:rsid w:val="5F45E2A0"/>
    <w:rsid w:val="5F45FB1F"/>
    <w:rsid w:val="5F470292"/>
    <w:rsid w:val="5F47C8F9"/>
    <w:rsid w:val="5F48B5C4"/>
    <w:rsid w:val="5F4917CA"/>
    <w:rsid w:val="5F497462"/>
    <w:rsid w:val="5F4B19A3"/>
    <w:rsid w:val="5F4B4442"/>
    <w:rsid w:val="5F4C18DC"/>
    <w:rsid w:val="5F4C1961"/>
    <w:rsid w:val="5F4D0EF4"/>
    <w:rsid w:val="5F4D1011"/>
    <w:rsid w:val="5F4D22A2"/>
    <w:rsid w:val="5F4D33B9"/>
    <w:rsid w:val="5F4DA040"/>
    <w:rsid w:val="5F4F8E53"/>
    <w:rsid w:val="5F4FE874"/>
    <w:rsid w:val="5F510981"/>
    <w:rsid w:val="5F51971E"/>
    <w:rsid w:val="5F5234DB"/>
    <w:rsid w:val="5F527357"/>
    <w:rsid w:val="5F532356"/>
    <w:rsid w:val="5F5331AD"/>
    <w:rsid w:val="5F55A51D"/>
    <w:rsid w:val="5F55D658"/>
    <w:rsid w:val="5F57B998"/>
    <w:rsid w:val="5F57D20B"/>
    <w:rsid w:val="5F57E7E9"/>
    <w:rsid w:val="5F584815"/>
    <w:rsid w:val="5F59179F"/>
    <w:rsid w:val="5F5A3EE8"/>
    <w:rsid w:val="5F5A53AB"/>
    <w:rsid w:val="5F5A8874"/>
    <w:rsid w:val="5F5ABF63"/>
    <w:rsid w:val="5F5AFC46"/>
    <w:rsid w:val="5F5B58F1"/>
    <w:rsid w:val="5F5BF18E"/>
    <w:rsid w:val="5F5D5633"/>
    <w:rsid w:val="5F5DBB7B"/>
    <w:rsid w:val="5F5E04BB"/>
    <w:rsid w:val="5F5E1612"/>
    <w:rsid w:val="5F5E49F2"/>
    <w:rsid w:val="5F5E49F3"/>
    <w:rsid w:val="5F5F16A2"/>
    <w:rsid w:val="5F5FB430"/>
    <w:rsid w:val="5F604015"/>
    <w:rsid w:val="5F60AB1F"/>
    <w:rsid w:val="5F60D32B"/>
    <w:rsid w:val="5F61D178"/>
    <w:rsid w:val="5F6331E0"/>
    <w:rsid w:val="5F639D37"/>
    <w:rsid w:val="5F63FC80"/>
    <w:rsid w:val="5F641EDB"/>
    <w:rsid w:val="5F643F5B"/>
    <w:rsid w:val="5F650530"/>
    <w:rsid w:val="5F65A7A0"/>
    <w:rsid w:val="5F685529"/>
    <w:rsid w:val="5F6863F4"/>
    <w:rsid w:val="5F693DF0"/>
    <w:rsid w:val="5F6A0590"/>
    <w:rsid w:val="5F6A1F4A"/>
    <w:rsid w:val="5F6BB405"/>
    <w:rsid w:val="5F6CEE75"/>
    <w:rsid w:val="5F6D9058"/>
    <w:rsid w:val="5F6DFB82"/>
    <w:rsid w:val="5F6DFD2F"/>
    <w:rsid w:val="5F6E0EA1"/>
    <w:rsid w:val="5F6E19CF"/>
    <w:rsid w:val="5F6E7655"/>
    <w:rsid w:val="5F6F37A2"/>
    <w:rsid w:val="5F6F9DD5"/>
    <w:rsid w:val="5F6FA0BE"/>
    <w:rsid w:val="5F7021F7"/>
    <w:rsid w:val="5F70AA8A"/>
    <w:rsid w:val="5F70B53B"/>
    <w:rsid w:val="5F710ED7"/>
    <w:rsid w:val="5F71BC95"/>
    <w:rsid w:val="5F71E4B5"/>
    <w:rsid w:val="5F71E597"/>
    <w:rsid w:val="5F7203F5"/>
    <w:rsid w:val="5F7232CC"/>
    <w:rsid w:val="5F726DB9"/>
    <w:rsid w:val="5F72EC9D"/>
    <w:rsid w:val="5F7341A1"/>
    <w:rsid w:val="5F734B8F"/>
    <w:rsid w:val="5F736587"/>
    <w:rsid w:val="5F75A579"/>
    <w:rsid w:val="5F75AD14"/>
    <w:rsid w:val="5F764E0F"/>
    <w:rsid w:val="5F768D58"/>
    <w:rsid w:val="5F77C059"/>
    <w:rsid w:val="5F78BD9F"/>
    <w:rsid w:val="5F796FD6"/>
    <w:rsid w:val="5F79D6CB"/>
    <w:rsid w:val="5F7A72AC"/>
    <w:rsid w:val="5F7AC0E7"/>
    <w:rsid w:val="5F7B14BA"/>
    <w:rsid w:val="5F7D07D9"/>
    <w:rsid w:val="5F7DA472"/>
    <w:rsid w:val="5F7DC037"/>
    <w:rsid w:val="5F7E2167"/>
    <w:rsid w:val="5F7EE2E5"/>
    <w:rsid w:val="5F7F23E5"/>
    <w:rsid w:val="5F7F803E"/>
    <w:rsid w:val="5F80F26F"/>
    <w:rsid w:val="5F815820"/>
    <w:rsid w:val="5F81916C"/>
    <w:rsid w:val="5F81BAB2"/>
    <w:rsid w:val="5F83598B"/>
    <w:rsid w:val="5F8367CE"/>
    <w:rsid w:val="5F83AC05"/>
    <w:rsid w:val="5F83ADFB"/>
    <w:rsid w:val="5F846382"/>
    <w:rsid w:val="5F84A5ED"/>
    <w:rsid w:val="5F84BC6B"/>
    <w:rsid w:val="5F84CD55"/>
    <w:rsid w:val="5F855021"/>
    <w:rsid w:val="5F85D223"/>
    <w:rsid w:val="5F860721"/>
    <w:rsid w:val="5F864A6D"/>
    <w:rsid w:val="5F865B28"/>
    <w:rsid w:val="5F875825"/>
    <w:rsid w:val="5F877950"/>
    <w:rsid w:val="5F882541"/>
    <w:rsid w:val="5F8940AD"/>
    <w:rsid w:val="5F89C9B6"/>
    <w:rsid w:val="5F8A8863"/>
    <w:rsid w:val="5F8AE2B3"/>
    <w:rsid w:val="5F8B0F77"/>
    <w:rsid w:val="5F8B1B80"/>
    <w:rsid w:val="5F8BB401"/>
    <w:rsid w:val="5F8CAEC3"/>
    <w:rsid w:val="5F8CC355"/>
    <w:rsid w:val="5F8CDCB3"/>
    <w:rsid w:val="5F8D6E0F"/>
    <w:rsid w:val="5F8DA2F4"/>
    <w:rsid w:val="5F8DFE17"/>
    <w:rsid w:val="5F8E2DC2"/>
    <w:rsid w:val="5F8E4CBE"/>
    <w:rsid w:val="5F8F4C38"/>
    <w:rsid w:val="5F904DAA"/>
    <w:rsid w:val="5F90AF54"/>
    <w:rsid w:val="5F91EA3D"/>
    <w:rsid w:val="5F920619"/>
    <w:rsid w:val="5F9251F2"/>
    <w:rsid w:val="5F927277"/>
    <w:rsid w:val="5F929AB3"/>
    <w:rsid w:val="5F934D82"/>
    <w:rsid w:val="5F937C1B"/>
    <w:rsid w:val="5F93D3F0"/>
    <w:rsid w:val="5F93E2FB"/>
    <w:rsid w:val="5F940373"/>
    <w:rsid w:val="5F944B11"/>
    <w:rsid w:val="5F9450A9"/>
    <w:rsid w:val="5F94C978"/>
    <w:rsid w:val="5F94F7A9"/>
    <w:rsid w:val="5F94FE4D"/>
    <w:rsid w:val="5F952D42"/>
    <w:rsid w:val="5F9560DC"/>
    <w:rsid w:val="5F95B6CB"/>
    <w:rsid w:val="5F970655"/>
    <w:rsid w:val="5F978AB6"/>
    <w:rsid w:val="5F978E86"/>
    <w:rsid w:val="5F97C5D1"/>
    <w:rsid w:val="5F98BF3D"/>
    <w:rsid w:val="5F98DBA5"/>
    <w:rsid w:val="5F9A0716"/>
    <w:rsid w:val="5F9A3818"/>
    <w:rsid w:val="5F9AA12F"/>
    <w:rsid w:val="5F9B292A"/>
    <w:rsid w:val="5F9B5B26"/>
    <w:rsid w:val="5F9B660B"/>
    <w:rsid w:val="5F9BE63D"/>
    <w:rsid w:val="5F9C0A3E"/>
    <w:rsid w:val="5F9C68EF"/>
    <w:rsid w:val="5F9D804C"/>
    <w:rsid w:val="5F9D9CFC"/>
    <w:rsid w:val="5F9E08CC"/>
    <w:rsid w:val="5F9E579B"/>
    <w:rsid w:val="5F9E6B85"/>
    <w:rsid w:val="5F9E9368"/>
    <w:rsid w:val="5F9E96F9"/>
    <w:rsid w:val="5F9F245C"/>
    <w:rsid w:val="5FA05169"/>
    <w:rsid w:val="5FA05D05"/>
    <w:rsid w:val="5FA0CCCD"/>
    <w:rsid w:val="5FA0D2EB"/>
    <w:rsid w:val="5FA2D7FB"/>
    <w:rsid w:val="5FA30E55"/>
    <w:rsid w:val="5FA341FD"/>
    <w:rsid w:val="5FA34A4C"/>
    <w:rsid w:val="5FA35C7A"/>
    <w:rsid w:val="5FA3B198"/>
    <w:rsid w:val="5FA412A8"/>
    <w:rsid w:val="5FA46D6C"/>
    <w:rsid w:val="5FA4C64F"/>
    <w:rsid w:val="5FA4EF99"/>
    <w:rsid w:val="5FA5A532"/>
    <w:rsid w:val="5FA7C659"/>
    <w:rsid w:val="5FA7E1EF"/>
    <w:rsid w:val="5FA88335"/>
    <w:rsid w:val="5FA8CCA1"/>
    <w:rsid w:val="5FA9A2B9"/>
    <w:rsid w:val="5FAA40FC"/>
    <w:rsid w:val="5FAAC030"/>
    <w:rsid w:val="5FAB0599"/>
    <w:rsid w:val="5FAB66DE"/>
    <w:rsid w:val="5FAC21C3"/>
    <w:rsid w:val="5FAC28C4"/>
    <w:rsid w:val="5FAC2A93"/>
    <w:rsid w:val="5FAD730C"/>
    <w:rsid w:val="5FAE5745"/>
    <w:rsid w:val="5FAF3946"/>
    <w:rsid w:val="5FAFC8A5"/>
    <w:rsid w:val="5FAFD6A9"/>
    <w:rsid w:val="5FB00250"/>
    <w:rsid w:val="5FB0B864"/>
    <w:rsid w:val="5FB14738"/>
    <w:rsid w:val="5FB220E6"/>
    <w:rsid w:val="5FB398E2"/>
    <w:rsid w:val="5FB43471"/>
    <w:rsid w:val="5FB5DEB3"/>
    <w:rsid w:val="5FB72C03"/>
    <w:rsid w:val="5FB820BF"/>
    <w:rsid w:val="5FB8D269"/>
    <w:rsid w:val="5FB8E841"/>
    <w:rsid w:val="5FB93671"/>
    <w:rsid w:val="5FB9933F"/>
    <w:rsid w:val="5FBA3302"/>
    <w:rsid w:val="5FBA3338"/>
    <w:rsid w:val="5FBB4212"/>
    <w:rsid w:val="5FBB9DCD"/>
    <w:rsid w:val="5FBD24DC"/>
    <w:rsid w:val="5FBD8A60"/>
    <w:rsid w:val="5FBDDDE9"/>
    <w:rsid w:val="5FBE0003"/>
    <w:rsid w:val="5FBE2FA2"/>
    <w:rsid w:val="5FBE35A2"/>
    <w:rsid w:val="5FBE7A3D"/>
    <w:rsid w:val="5FBE99A3"/>
    <w:rsid w:val="5FBF601A"/>
    <w:rsid w:val="5FBF6A2F"/>
    <w:rsid w:val="5FBFB498"/>
    <w:rsid w:val="5FC08757"/>
    <w:rsid w:val="5FC1D8CA"/>
    <w:rsid w:val="5FC2966F"/>
    <w:rsid w:val="5FC2CD5D"/>
    <w:rsid w:val="5FC338FF"/>
    <w:rsid w:val="5FC42E3D"/>
    <w:rsid w:val="5FC5027E"/>
    <w:rsid w:val="5FC5292E"/>
    <w:rsid w:val="5FC55B3D"/>
    <w:rsid w:val="5FC5F224"/>
    <w:rsid w:val="5FC6FBF9"/>
    <w:rsid w:val="5FC72386"/>
    <w:rsid w:val="5FC77255"/>
    <w:rsid w:val="5FC7CBDF"/>
    <w:rsid w:val="5FC7D27E"/>
    <w:rsid w:val="5FC7E022"/>
    <w:rsid w:val="5FC8D2B4"/>
    <w:rsid w:val="5FC8E8E9"/>
    <w:rsid w:val="5FCA1132"/>
    <w:rsid w:val="5FCA8111"/>
    <w:rsid w:val="5FCA9AC5"/>
    <w:rsid w:val="5FCB9A70"/>
    <w:rsid w:val="5FCD223C"/>
    <w:rsid w:val="5FCDCBB7"/>
    <w:rsid w:val="5FCDECAA"/>
    <w:rsid w:val="5FCE9967"/>
    <w:rsid w:val="5FCEEC25"/>
    <w:rsid w:val="5FCEFA57"/>
    <w:rsid w:val="5FCF5E5A"/>
    <w:rsid w:val="5FCF6410"/>
    <w:rsid w:val="5FCFE3F1"/>
    <w:rsid w:val="5FCFF609"/>
    <w:rsid w:val="5FD0D556"/>
    <w:rsid w:val="5FD1894D"/>
    <w:rsid w:val="5FD1B62D"/>
    <w:rsid w:val="5FD1CA18"/>
    <w:rsid w:val="5FD2057A"/>
    <w:rsid w:val="5FD24CEA"/>
    <w:rsid w:val="5FD42B9F"/>
    <w:rsid w:val="5FD4C812"/>
    <w:rsid w:val="5FD6269C"/>
    <w:rsid w:val="5FD64126"/>
    <w:rsid w:val="5FD64E8E"/>
    <w:rsid w:val="5FD700CC"/>
    <w:rsid w:val="5FD7668D"/>
    <w:rsid w:val="5FD8736E"/>
    <w:rsid w:val="5FD8A5D2"/>
    <w:rsid w:val="5FD8E1FD"/>
    <w:rsid w:val="5FD941F6"/>
    <w:rsid w:val="5FD9852B"/>
    <w:rsid w:val="5FD9BA88"/>
    <w:rsid w:val="5FDAE69E"/>
    <w:rsid w:val="5FDAE998"/>
    <w:rsid w:val="5FDB155E"/>
    <w:rsid w:val="5FDB31EC"/>
    <w:rsid w:val="5FDB7D3C"/>
    <w:rsid w:val="5FDBC425"/>
    <w:rsid w:val="5FDCFF08"/>
    <w:rsid w:val="5FDD898D"/>
    <w:rsid w:val="5FDDB127"/>
    <w:rsid w:val="5FDEDBAF"/>
    <w:rsid w:val="5FDF03D8"/>
    <w:rsid w:val="5FDF2A63"/>
    <w:rsid w:val="5FDF43F6"/>
    <w:rsid w:val="5FDFE33B"/>
    <w:rsid w:val="5FDFEAE0"/>
    <w:rsid w:val="5FE0B26B"/>
    <w:rsid w:val="5FE11F51"/>
    <w:rsid w:val="5FE18CCE"/>
    <w:rsid w:val="5FE1B13D"/>
    <w:rsid w:val="5FE221A2"/>
    <w:rsid w:val="5FE255F5"/>
    <w:rsid w:val="5FE380D9"/>
    <w:rsid w:val="5FE4496F"/>
    <w:rsid w:val="5FE4E538"/>
    <w:rsid w:val="5FE5A246"/>
    <w:rsid w:val="5FE6B839"/>
    <w:rsid w:val="5FE7095C"/>
    <w:rsid w:val="5FE74032"/>
    <w:rsid w:val="5FE76FB8"/>
    <w:rsid w:val="5FE7BD62"/>
    <w:rsid w:val="5FE82832"/>
    <w:rsid w:val="5FE856FD"/>
    <w:rsid w:val="5FE92B9F"/>
    <w:rsid w:val="5FE9FDF0"/>
    <w:rsid w:val="5FEA1772"/>
    <w:rsid w:val="5FEAC91F"/>
    <w:rsid w:val="5FEBBCA1"/>
    <w:rsid w:val="5FEBE853"/>
    <w:rsid w:val="5FEC0685"/>
    <w:rsid w:val="5FED676F"/>
    <w:rsid w:val="5FED8B3A"/>
    <w:rsid w:val="5FEDF14B"/>
    <w:rsid w:val="5FEF697D"/>
    <w:rsid w:val="5FF0CC40"/>
    <w:rsid w:val="5FF1A0B2"/>
    <w:rsid w:val="5FF1D9D9"/>
    <w:rsid w:val="5FF1EE0E"/>
    <w:rsid w:val="5FF23E9A"/>
    <w:rsid w:val="5FF3525A"/>
    <w:rsid w:val="5FF45129"/>
    <w:rsid w:val="5FF4A114"/>
    <w:rsid w:val="5FF52A58"/>
    <w:rsid w:val="5FF615FE"/>
    <w:rsid w:val="5FF67931"/>
    <w:rsid w:val="5FF6DAA9"/>
    <w:rsid w:val="5FF72454"/>
    <w:rsid w:val="5FF72543"/>
    <w:rsid w:val="5FF736F3"/>
    <w:rsid w:val="5FF7C016"/>
    <w:rsid w:val="5FF875C3"/>
    <w:rsid w:val="5FF97FFF"/>
    <w:rsid w:val="5FFA4231"/>
    <w:rsid w:val="5FFA8315"/>
    <w:rsid w:val="5FFA8EAD"/>
    <w:rsid w:val="5FFAA159"/>
    <w:rsid w:val="5FFC20C3"/>
    <w:rsid w:val="5FFC8CDB"/>
    <w:rsid w:val="5FFCBCB6"/>
    <w:rsid w:val="5FFD20C5"/>
    <w:rsid w:val="5FFDCDB4"/>
    <w:rsid w:val="5FFE0656"/>
    <w:rsid w:val="5FFE364F"/>
    <w:rsid w:val="5FFEBE53"/>
    <w:rsid w:val="60003BD8"/>
    <w:rsid w:val="60003FB3"/>
    <w:rsid w:val="60006511"/>
    <w:rsid w:val="60012B11"/>
    <w:rsid w:val="60015825"/>
    <w:rsid w:val="6002719E"/>
    <w:rsid w:val="60035F4F"/>
    <w:rsid w:val="60047A71"/>
    <w:rsid w:val="6004829A"/>
    <w:rsid w:val="6004A6D0"/>
    <w:rsid w:val="6004B0F0"/>
    <w:rsid w:val="6004E262"/>
    <w:rsid w:val="600596C9"/>
    <w:rsid w:val="6006E72E"/>
    <w:rsid w:val="60071C63"/>
    <w:rsid w:val="60080E58"/>
    <w:rsid w:val="600816B3"/>
    <w:rsid w:val="6009162E"/>
    <w:rsid w:val="600A137D"/>
    <w:rsid w:val="600A48B5"/>
    <w:rsid w:val="600ACA55"/>
    <w:rsid w:val="600BFAE0"/>
    <w:rsid w:val="600C7EA8"/>
    <w:rsid w:val="600CBC96"/>
    <w:rsid w:val="600D0C0C"/>
    <w:rsid w:val="600D2EC3"/>
    <w:rsid w:val="600DF4A6"/>
    <w:rsid w:val="600E9425"/>
    <w:rsid w:val="600EF107"/>
    <w:rsid w:val="600F366A"/>
    <w:rsid w:val="600F3E71"/>
    <w:rsid w:val="600FA970"/>
    <w:rsid w:val="6010457F"/>
    <w:rsid w:val="6010A402"/>
    <w:rsid w:val="6011F8CF"/>
    <w:rsid w:val="6011FF06"/>
    <w:rsid w:val="6012A6CD"/>
    <w:rsid w:val="6012B493"/>
    <w:rsid w:val="60136EEE"/>
    <w:rsid w:val="60141024"/>
    <w:rsid w:val="6014E331"/>
    <w:rsid w:val="6014E74A"/>
    <w:rsid w:val="6015C7D8"/>
    <w:rsid w:val="6015E8BB"/>
    <w:rsid w:val="6015FDCE"/>
    <w:rsid w:val="60163187"/>
    <w:rsid w:val="601671A0"/>
    <w:rsid w:val="6016BDAC"/>
    <w:rsid w:val="60179BCE"/>
    <w:rsid w:val="6017EDC3"/>
    <w:rsid w:val="60189A14"/>
    <w:rsid w:val="6018FB22"/>
    <w:rsid w:val="601B53A6"/>
    <w:rsid w:val="601BD7E9"/>
    <w:rsid w:val="601C031A"/>
    <w:rsid w:val="601D2622"/>
    <w:rsid w:val="601DF51F"/>
    <w:rsid w:val="601DF7C6"/>
    <w:rsid w:val="601E6241"/>
    <w:rsid w:val="601EA8EF"/>
    <w:rsid w:val="601F1502"/>
    <w:rsid w:val="601F69F8"/>
    <w:rsid w:val="601FDFE1"/>
    <w:rsid w:val="602054CE"/>
    <w:rsid w:val="6020697D"/>
    <w:rsid w:val="6020CE35"/>
    <w:rsid w:val="602326AD"/>
    <w:rsid w:val="6023AFC7"/>
    <w:rsid w:val="6023DC1B"/>
    <w:rsid w:val="6024ED02"/>
    <w:rsid w:val="60263A4A"/>
    <w:rsid w:val="6026755A"/>
    <w:rsid w:val="60280423"/>
    <w:rsid w:val="602859D3"/>
    <w:rsid w:val="60285F2F"/>
    <w:rsid w:val="6028E842"/>
    <w:rsid w:val="6028EF9F"/>
    <w:rsid w:val="6028F0DB"/>
    <w:rsid w:val="60295DA8"/>
    <w:rsid w:val="602960C8"/>
    <w:rsid w:val="602A23A5"/>
    <w:rsid w:val="602C2795"/>
    <w:rsid w:val="602C574F"/>
    <w:rsid w:val="602D4D13"/>
    <w:rsid w:val="602DA2A5"/>
    <w:rsid w:val="602DB0CF"/>
    <w:rsid w:val="602E7D56"/>
    <w:rsid w:val="602E92B5"/>
    <w:rsid w:val="602EEE71"/>
    <w:rsid w:val="602F0A48"/>
    <w:rsid w:val="6032D6ED"/>
    <w:rsid w:val="6032E759"/>
    <w:rsid w:val="60342959"/>
    <w:rsid w:val="6034DB90"/>
    <w:rsid w:val="6034DD92"/>
    <w:rsid w:val="6034E7B2"/>
    <w:rsid w:val="60369460"/>
    <w:rsid w:val="6036F84A"/>
    <w:rsid w:val="6037ACCC"/>
    <w:rsid w:val="6037B19E"/>
    <w:rsid w:val="60397D16"/>
    <w:rsid w:val="603A0E27"/>
    <w:rsid w:val="603B8EFD"/>
    <w:rsid w:val="603B9C6A"/>
    <w:rsid w:val="603CC440"/>
    <w:rsid w:val="603CCFB3"/>
    <w:rsid w:val="603D9717"/>
    <w:rsid w:val="603DB365"/>
    <w:rsid w:val="603DCAB1"/>
    <w:rsid w:val="603E1581"/>
    <w:rsid w:val="603E76B3"/>
    <w:rsid w:val="603E8D2B"/>
    <w:rsid w:val="603F746F"/>
    <w:rsid w:val="60404767"/>
    <w:rsid w:val="60409B3B"/>
    <w:rsid w:val="60418FFF"/>
    <w:rsid w:val="6041C585"/>
    <w:rsid w:val="60422922"/>
    <w:rsid w:val="604238E8"/>
    <w:rsid w:val="604244F2"/>
    <w:rsid w:val="6042C908"/>
    <w:rsid w:val="60434C45"/>
    <w:rsid w:val="6043EF3B"/>
    <w:rsid w:val="6045B5C0"/>
    <w:rsid w:val="6045B766"/>
    <w:rsid w:val="604674D6"/>
    <w:rsid w:val="6046A1C2"/>
    <w:rsid w:val="6046ACFD"/>
    <w:rsid w:val="604726AD"/>
    <w:rsid w:val="6047C83C"/>
    <w:rsid w:val="6047F5BC"/>
    <w:rsid w:val="604880F3"/>
    <w:rsid w:val="604921A0"/>
    <w:rsid w:val="60494413"/>
    <w:rsid w:val="6049A73D"/>
    <w:rsid w:val="604A3ECE"/>
    <w:rsid w:val="604DC4C7"/>
    <w:rsid w:val="604DE473"/>
    <w:rsid w:val="604E4EC9"/>
    <w:rsid w:val="604E8040"/>
    <w:rsid w:val="604EEA87"/>
    <w:rsid w:val="604F5496"/>
    <w:rsid w:val="604FE99F"/>
    <w:rsid w:val="605047FD"/>
    <w:rsid w:val="60507BD0"/>
    <w:rsid w:val="60511CBD"/>
    <w:rsid w:val="60519572"/>
    <w:rsid w:val="60527804"/>
    <w:rsid w:val="60529B9A"/>
    <w:rsid w:val="6052C0EE"/>
    <w:rsid w:val="6054D496"/>
    <w:rsid w:val="6054F350"/>
    <w:rsid w:val="60550479"/>
    <w:rsid w:val="605566F1"/>
    <w:rsid w:val="6056ACD7"/>
    <w:rsid w:val="6056D9C0"/>
    <w:rsid w:val="6057BF73"/>
    <w:rsid w:val="6057E530"/>
    <w:rsid w:val="605AE3A9"/>
    <w:rsid w:val="605B23DB"/>
    <w:rsid w:val="605C5CB8"/>
    <w:rsid w:val="605D57C3"/>
    <w:rsid w:val="605EC721"/>
    <w:rsid w:val="6060245E"/>
    <w:rsid w:val="60604013"/>
    <w:rsid w:val="606119F9"/>
    <w:rsid w:val="60615416"/>
    <w:rsid w:val="60624FB9"/>
    <w:rsid w:val="60631EAB"/>
    <w:rsid w:val="60659F7B"/>
    <w:rsid w:val="6068C3DA"/>
    <w:rsid w:val="6069A5A6"/>
    <w:rsid w:val="606A4895"/>
    <w:rsid w:val="606A49CE"/>
    <w:rsid w:val="606A8D9E"/>
    <w:rsid w:val="606AEE53"/>
    <w:rsid w:val="606B12F0"/>
    <w:rsid w:val="606B8AB6"/>
    <w:rsid w:val="606DB473"/>
    <w:rsid w:val="606E367C"/>
    <w:rsid w:val="606E4E79"/>
    <w:rsid w:val="606E9081"/>
    <w:rsid w:val="606FAFEF"/>
    <w:rsid w:val="606FE46A"/>
    <w:rsid w:val="607030A4"/>
    <w:rsid w:val="607309AF"/>
    <w:rsid w:val="607354AF"/>
    <w:rsid w:val="60736459"/>
    <w:rsid w:val="6073FA27"/>
    <w:rsid w:val="6075737D"/>
    <w:rsid w:val="6075ABEF"/>
    <w:rsid w:val="6075FDC5"/>
    <w:rsid w:val="60763A02"/>
    <w:rsid w:val="60783770"/>
    <w:rsid w:val="607903EF"/>
    <w:rsid w:val="607975FF"/>
    <w:rsid w:val="6079A189"/>
    <w:rsid w:val="607A82DB"/>
    <w:rsid w:val="607AD597"/>
    <w:rsid w:val="607DA8C3"/>
    <w:rsid w:val="607E085B"/>
    <w:rsid w:val="607E7F22"/>
    <w:rsid w:val="608068DB"/>
    <w:rsid w:val="6080A4D6"/>
    <w:rsid w:val="6080F391"/>
    <w:rsid w:val="6080FAE6"/>
    <w:rsid w:val="6081728E"/>
    <w:rsid w:val="60820FDE"/>
    <w:rsid w:val="60824FF0"/>
    <w:rsid w:val="60828DCC"/>
    <w:rsid w:val="6082D9BF"/>
    <w:rsid w:val="60831F99"/>
    <w:rsid w:val="608332CF"/>
    <w:rsid w:val="608383AD"/>
    <w:rsid w:val="60840FAE"/>
    <w:rsid w:val="60842953"/>
    <w:rsid w:val="60848661"/>
    <w:rsid w:val="6085A3EB"/>
    <w:rsid w:val="6085C4BB"/>
    <w:rsid w:val="6085C544"/>
    <w:rsid w:val="6085F23C"/>
    <w:rsid w:val="608676B5"/>
    <w:rsid w:val="6086B4F9"/>
    <w:rsid w:val="6087933F"/>
    <w:rsid w:val="60881593"/>
    <w:rsid w:val="6089133E"/>
    <w:rsid w:val="6089686F"/>
    <w:rsid w:val="6089C62F"/>
    <w:rsid w:val="608AB63F"/>
    <w:rsid w:val="608B44E7"/>
    <w:rsid w:val="608B47CB"/>
    <w:rsid w:val="608C13A0"/>
    <w:rsid w:val="608C90B7"/>
    <w:rsid w:val="608CAE12"/>
    <w:rsid w:val="608D1E6C"/>
    <w:rsid w:val="608E642E"/>
    <w:rsid w:val="608FF3C3"/>
    <w:rsid w:val="609167FF"/>
    <w:rsid w:val="6092088B"/>
    <w:rsid w:val="609285F0"/>
    <w:rsid w:val="609336C1"/>
    <w:rsid w:val="60940839"/>
    <w:rsid w:val="6094790D"/>
    <w:rsid w:val="6094B3B9"/>
    <w:rsid w:val="6094EE3D"/>
    <w:rsid w:val="60950096"/>
    <w:rsid w:val="60950BCB"/>
    <w:rsid w:val="60952C28"/>
    <w:rsid w:val="60954D59"/>
    <w:rsid w:val="60958068"/>
    <w:rsid w:val="6095B5A6"/>
    <w:rsid w:val="60963EC4"/>
    <w:rsid w:val="6096E1CB"/>
    <w:rsid w:val="6096EC6C"/>
    <w:rsid w:val="6097325C"/>
    <w:rsid w:val="60975FC6"/>
    <w:rsid w:val="609766F4"/>
    <w:rsid w:val="6097E121"/>
    <w:rsid w:val="60982B71"/>
    <w:rsid w:val="60988B8A"/>
    <w:rsid w:val="609900EA"/>
    <w:rsid w:val="60991DA8"/>
    <w:rsid w:val="60999080"/>
    <w:rsid w:val="6099D02A"/>
    <w:rsid w:val="609AD2E2"/>
    <w:rsid w:val="609B8A17"/>
    <w:rsid w:val="609C6519"/>
    <w:rsid w:val="609D1A35"/>
    <w:rsid w:val="609E1E92"/>
    <w:rsid w:val="609F6778"/>
    <w:rsid w:val="60A0D1E2"/>
    <w:rsid w:val="60A18C2E"/>
    <w:rsid w:val="60A228BB"/>
    <w:rsid w:val="60A38101"/>
    <w:rsid w:val="60A38EA6"/>
    <w:rsid w:val="60A3FDB0"/>
    <w:rsid w:val="60A4CD40"/>
    <w:rsid w:val="60A4E188"/>
    <w:rsid w:val="60A51014"/>
    <w:rsid w:val="60A52D4C"/>
    <w:rsid w:val="60A5A910"/>
    <w:rsid w:val="60A5C5E0"/>
    <w:rsid w:val="60A5C9A5"/>
    <w:rsid w:val="60A5FB52"/>
    <w:rsid w:val="60A6FD51"/>
    <w:rsid w:val="60A7633B"/>
    <w:rsid w:val="60A794FC"/>
    <w:rsid w:val="60A7B694"/>
    <w:rsid w:val="60A95447"/>
    <w:rsid w:val="60A989EC"/>
    <w:rsid w:val="60A9982A"/>
    <w:rsid w:val="60A9B398"/>
    <w:rsid w:val="60A9DD50"/>
    <w:rsid w:val="60AAA437"/>
    <w:rsid w:val="60AAEED5"/>
    <w:rsid w:val="60AB4F9F"/>
    <w:rsid w:val="60AB9FC9"/>
    <w:rsid w:val="60ABDADB"/>
    <w:rsid w:val="60ABDE01"/>
    <w:rsid w:val="60ABFCE6"/>
    <w:rsid w:val="60ACAEA9"/>
    <w:rsid w:val="60ACB17A"/>
    <w:rsid w:val="60AD975A"/>
    <w:rsid w:val="60ADE106"/>
    <w:rsid w:val="60AF30F9"/>
    <w:rsid w:val="60AF9F45"/>
    <w:rsid w:val="60AFB206"/>
    <w:rsid w:val="60B010AA"/>
    <w:rsid w:val="60B0A199"/>
    <w:rsid w:val="60B0EAD0"/>
    <w:rsid w:val="60B0ED66"/>
    <w:rsid w:val="60B14489"/>
    <w:rsid w:val="60B15D14"/>
    <w:rsid w:val="60B1C013"/>
    <w:rsid w:val="60B26402"/>
    <w:rsid w:val="60B27B8D"/>
    <w:rsid w:val="60B3E2B4"/>
    <w:rsid w:val="60B41EF9"/>
    <w:rsid w:val="60B4E7B4"/>
    <w:rsid w:val="60B59D20"/>
    <w:rsid w:val="60B613EA"/>
    <w:rsid w:val="60B62391"/>
    <w:rsid w:val="60B63691"/>
    <w:rsid w:val="60B66CC3"/>
    <w:rsid w:val="60B71674"/>
    <w:rsid w:val="60B781C4"/>
    <w:rsid w:val="60B8104E"/>
    <w:rsid w:val="60B8464E"/>
    <w:rsid w:val="60B87876"/>
    <w:rsid w:val="60B899AE"/>
    <w:rsid w:val="60B9800F"/>
    <w:rsid w:val="60BA74D1"/>
    <w:rsid w:val="60BB1EBC"/>
    <w:rsid w:val="60BBABE0"/>
    <w:rsid w:val="60BD9C45"/>
    <w:rsid w:val="60BED971"/>
    <w:rsid w:val="60BEFAEB"/>
    <w:rsid w:val="60BF21E0"/>
    <w:rsid w:val="60BF8470"/>
    <w:rsid w:val="60C0176C"/>
    <w:rsid w:val="60C02941"/>
    <w:rsid w:val="60C098ED"/>
    <w:rsid w:val="60C11CF9"/>
    <w:rsid w:val="60C1D0A6"/>
    <w:rsid w:val="60C1EF28"/>
    <w:rsid w:val="60C219CA"/>
    <w:rsid w:val="60C23467"/>
    <w:rsid w:val="60C264FF"/>
    <w:rsid w:val="60C2C746"/>
    <w:rsid w:val="60C35473"/>
    <w:rsid w:val="60C4320C"/>
    <w:rsid w:val="60C4A65B"/>
    <w:rsid w:val="60C53725"/>
    <w:rsid w:val="60C563EB"/>
    <w:rsid w:val="60C5AFE6"/>
    <w:rsid w:val="60C5B309"/>
    <w:rsid w:val="60C5BC4B"/>
    <w:rsid w:val="60C6492A"/>
    <w:rsid w:val="60C7667B"/>
    <w:rsid w:val="60C7786B"/>
    <w:rsid w:val="60C7CAF6"/>
    <w:rsid w:val="60C83014"/>
    <w:rsid w:val="60C83CC4"/>
    <w:rsid w:val="60C8E158"/>
    <w:rsid w:val="60C8E536"/>
    <w:rsid w:val="60C8ED01"/>
    <w:rsid w:val="60C98671"/>
    <w:rsid w:val="60C9DE4D"/>
    <w:rsid w:val="60CAEACE"/>
    <w:rsid w:val="60CBEBA6"/>
    <w:rsid w:val="60CC1C6D"/>
    <w:rsid w:val="60CC8EDB"/>
    <w:rsid w:val="60CCB837"/>
    <w:rsid w:val="60CDD09D"/>
    <w:rsid w:val="60CDED86"/>
    <w:rsid w:val="60CDFED6"/>
    <w:rsid w:val="60CE82DB"/>
    <w:rsid w:val="60CEE083"/>
    <w:rsid w:val="60CEEBB1"/>
    <w:rsid w:val="60CF5622"/>
    <w:rsid w:val="60D027BD"/>
    <w:rsid w:val="60D1075C"/>
    <w:rsid w:val="60D15AD8"/>
    <w:rsid w:val="60D179A2"/>
    <w:rsid w:val="60D19039"/>
    <w:rsid w:val="60D19094"/>
    <w:rsid w:val="60D1C364"/>
    <w:rsid w:val="60D2140C"/>
    <w:rsid w:val="60D26B60"/>
    <w:rsid w:val="60D35970"/>
    <w:rsid w:val="60D3789E"/>
    <w:rsid w:val="60D41232"/>
    <w:rsid w:val="60D44A8A"/>
    <w:rsid w:val="60D47E7B"/>
    <w:rsid w:val="60D47FAB"/>
    <w:rsid w:val="60D6F7E2"/>
    <w:rsid w:val="60D7BB51"/>
    <w:rsid w:val="60D8122F"/>
    <w:rsid w:val="60D85D65"/>
    <w:rsid w:val="60D8D4C9"/>
    <w:rsid w:val="60D9B4C6"/>
    <w:rsid w:val="60D9E340"/>
    <w:rsid w:val="60DA133E"/>
    <w:rsid w:val="60DA27FA"/>
    <w:rsid w:val="60DA4204"/>
    <w:rsid w:val="60DA6AB9"/>
    <w:rsid w:val="60DB0F98"/>
    <w:rsid w:val="60DB5567"/>
    <w:rsid w:val="60DB616A"/>
    <w:rsid w:val="60DBC094"/>
    <w:rsid w:val="60DC7244"/>
    <w:rsid w:val="60DCB94E"/>
    <w:rsid w:val="60DCFFF1"/>
    <w:rsid w:val="60DDC96F"/>
    <w:rsid w:val="60DEAF6F"/>
    <w:rsid w:val="60DEEAF0"/>
    <w:rsid w:val="60DEFB1B"/>
    <w:rsid w:val="60DF85DA"/>
    <w:rsid w:val="60DFA292"/>
    <w:rsid w:val="60E02F79"/>
    <w:rsid w:val="60E0A208"/>
    <w:rsid w:val="60E0FEA9"/>
    <w:rsid w:val="60E10A3E"/>
    <w:rsid w:val="60E1E648"/>
    <w:rsid w:val="60E2996C"/>
    <w:rsid w:val="60E2A729"/>
    <w:rsid w:val="60E2CA14"/>
    <w:rsid w:val="60E2E212"/>
    <w:rsid w:val="60E311F6"/>
    <w:rsid w:val="60E37CE8"/>
    <w:rsid w:val="60E3D2FC"/>
    <w:rsid w:val="60E4BFFD"/>
    <w:rsid w:val="60E5B7B9"/>
    <w:rsid w:val="60E62825"/>
    <w:rsid w:val="60E643BE"/>
    <w:rsid w:val="60E70EB0"/>
    <w:rsid w:val="60E8369E"/>
    <w:rsid w:val="60E88B99"/>
    <w:rsid w:val="60E8E379"/>
    <w:rsid w:val="60E93590"/>
    <w:rsid w:val="60E959D2"/>
    <w:rsid w:val="60E974C5"/>
    <w:rsid w:val="60EA4084"/>
    <w:rsid w:val="60EA6568"/>
    <w:rsid w:val="60EA6F57"/>
    <w:rsid w:val="60EB9A16"/>
    <w:rsid w:val="60EBEE29"/>
    <w:rsid w:val="60EC15A5"/>
    <w:rsid w:val="60EDA4D4"/>
    <w:rsid w:val="60EDA775"/>
    <w:rsid w:val="60EDDAF2"/>
    <w:rsid w:val="60F16AD3"/>
    <w:rsid w:val="60F2220D"/>
    <w:rsid w:val="60F3223F"/>
    <w:rsid w:val="60F368DB"/>
    <w:rsid w:val="60F36FDA"/>
    <w:rsid w:val="60F383D1"/>
    <w:rsid w:val="60F41366"/>
    <w:rsid w:val="60F41A9D"/>
    <w:rsid w:val="60F43654"/>
    <w:rsid w:val="60F4C92E"/>
    <w:rsid w:val="60F52345"/>
    <w:rsid w:val="60F54A38"/>
    <w:rsid w:val="60F59628"/>
    <w:rsid w:val="60F5F8D4"/>
    <w:rsid w:val="60F64956"/>
    <w:rsid w:val="60F67613"/>
    <w:rsid w:val="60F709F8"/>
    <w:rsid w:val="60F72113"/>
    <w:rsid w:val="60F770E5"/>
    <w:rsid w:val="60F77B56"/>
    <w:rsid w:val="60F82236"/>
    <w:rsid w:val="60F8708E"/>
    <w:rsid w:val="60F901DD"/>
    <w:rsid w:val="60F9AB78"/>
    <w:rsid w:val="60FAFE61"/>
    <w:rsid w:val="60FB817D"/>
    <w:rsid w:val="60FBB992"/>
    <w:rsid w:val="60FC9016"/>
    <w:rsid w:val="60FCBBAF"/>
    <w:rsid w:val="60FD0C18"/>
    <w:rsid w:val="60FE2E80"/>
    <w:rsid w:val="60FE9A50"/>
    <w:rsid w:val="60FE9D43"/>
    <w:rsid w:val="60FEA6FE"/>
    <w:rsid w:val="60FF3043"/>
    <w:rsid w:val="610056DC"/>
    <w:rsid w:val="6100DDC6"/>
    <w:rsid w:val="61010F6E"/>
    <w:rsid w:val="61019B45"/>
    <w:rsid w:val="61021097"/>
    <w:rsid w:val="61029F5D"/>
    <w:rsid w:val="6102E893"/>
    <w:rsid w:val="6102EAF8"/>
    <w:rsid w:val="61039FD3"/>
    <w:rsid w:val="6103D3BA"/>
    <w:rsid w:val="61047212"/>
    <w:rsid w:val="61049221"/>
    <w:rsid w:val="6105146D"/>
    <w:rsid w:val="61058399"/>
    <w:rsid w:val="6105D0FA"/>
    <w:rsid w:val="61062363"/>
    <w:rsid w:val="61069981"/>
    <w:rsid w:val="61072C11"/>
    <w:rsid w:val="6107F5BB"/>
    <w:rsid w:val="61085FB2"/>
    <w:rsid w:val="6109BED5"/>
    <w:rsid w:val="610A03AC"/>
    <w:rsid w:val="610A2A8D"/>
    <w:rsid w:val="610B5F09"/>
    <w:rsid w:val="610BBC12"/>
    <w:rsid w:val="610CC3F7"/>
    <w:rsid w:val="610F6F8C"/>
    <w:rsid w:val="610FFAD5"/>
    <w:rsid w:val="61104227"/>
    <w:rsid w:val="611059F5"/>
    <w:rsid w:val="61124A41"/>
    <w:rsid w:val="6112FAD1"/>
    <w:rsid w:val="6113C141"/>
    <w:rsid w:val="61140F29"/>
    <w:rsid w:val="6114502F"/>
    <w:rsid w:val="6114AE77"/>
    <w:rsid w:val="6114EF15"/>
    <w:rsid w:val="61151B2E"/>
    <w:rsid w:val="61157C09"/>
    <w:rsid w:val="61159561"/>
    <w:rsid w:val="6115C36E"/>
    <w:rsid w:val="611629F5"/>
    <w:rsid w:val="61163A62"/>
    <w:rsid w:val="6116A26C"/>
    <w:rsid w:val="61170899"/>
    <w:rsid w:val="61182597"/>
    <w:rsid w:val="6118D2C0"/>
    <w:rsid w:val="611A7ED7"/>
    <w:rsid w:val="611ADB66"/>
    <w:rsid w:val="611AFB6E"/>
    <w:rsid w:val="611BBE57"/>
    <w:rsid w:val="611CFAE8"/>
    <w:rsid w:val="611D5D1C"/>
    <w:rsid w:val="611E3EB3"/>
    <w:rsid w:val="611F9E85"/>
    <w:rsid w:val="61200488"/>
    <w:rsid w:val="612018B9"/>
    <w:rsid w:val="61204895"/>
    <w:rsid w:val="6120E932"/>
    <w:rsid w:val="61217DC5"/>
    <w:rsid w:val="6122D93F"/>
    <w:rsid w:val="61230307"/>
    <w:rsid w:val="6123DD66"/>
    <w:rsid w:val="6123F7C7"/>
    <w:rsid w:val="61243FC7"/>
    <w:rsid w:val="61248246"/>
    <w:rsid w:val="6125A20E"/>
    <w:rsid w:val="6125F386"/>
    <w:rsid w:val="61260C06"/>
    <w:rsid w:val="61262220"/>
    <w:rsid w:val="61263DA0"/>
    <w:rsid w:val="612643F2"/>
    <w:rsid w:val="612740CE"/>
    <w:rsid w:val="61274E13"/>
    <w:rsid w:val="612922D7"/>
    <w:rsid w:val="612A8E72"/>
    <w:rsid w:val="612A9942"/>
    <w:rsid w:val="612A9A6B"/>
    <w:rsid w:val="612BC610"/>
    <w:rsid w:val="612EE648"/>
    <w:rsid w:val="612EEECE"/>
    <w:rsid w:val="613133ED"/>
    <w:rsid w:val="6131CDF5"/>
    <w:rsid w:val="6131EAB4"/>
    <w:rsid w:val="61329658"/>
    <w:rsid w:val="613347A4"/>
    <w:rsid w:val="613365C6"/>
    <w:rsid w:val="61342C9C"/>
    <w:rsid w:val="613442C6"/>
    <w:rsid w:val="6134A1B3"/>
    <w:rsid w:val="6134E1A4"/>
    <w:rsid w:val="61358A79"/>
    <w:rsid w:val="613641C8"/>
    <w:rsid w:val="61369F7C"/>
    <w:rsid w:val="6136DFFD"/>
    <w:rsid w:val="61387CF3"/>
    <w:rsid w:val="6138903B"/>
    <w:rsid w:val="6138FEC9"/>
    <w:rsid w:val="61396503"/>
    <w:rsid w:val="613967AF"/>
    <w:rsid w:val="6139BC1D"/>
    <w:rsid w:val="613A29D9"/>
    <w:rsid w:val="613A7078"/>
    <w:rsid w:val="613A83EE"/>
    <w:rsid w:val="613A92CE"/>
    <w:rsid w:val="613CBBF1"/>
    <w:rsid w:val="613D7375"/>
    <w:rsid w:val="613DCC90"/>
    <w:rsid w:val="613DF68D"/>
    <w:rsid w:val="613E19DC"/>
    <w:rsid w:val="613E1C31"/>
    <w:rsid w:val="613E2F62"/>
    <w:rsid w:val="613EB132"/>
    <w:rsid w:val="614148B7"/>
    <w:rsid w:val="61430708"/>
    <w:rsid w:val="61430869"/>
    <w:rsid w:val="614400CC"/>
    <w:rsid w:val="614424CF"/>
    <w:rsid w:val="6145742B"/>
    <w:rsid w:val="61457701"/>
    <w:rsid w:val="6146497E"/>
    <w:rsid w:val="614650D3"/>
    <w:rsid w:val="61469E8E"/>
    <w:rsid w:val="6147C280"/>
    <w:rsid w:val="6147F248"/>
    <w:rsid w:val="6148FFFD"/>
    <w:rsid w:val="6149A5A9"/>
    <w:rsid w:val="6149AFE8"/>
    <w:rsid w:val="614A4AC6"/>
    <w:rsid w:val="614AC5E1"/>
    <w:rsid w:val="614AE9D5"/>
    <w:rsid w:val="614B66E0"/>
    <w:rsid w:val="614BA83F"/>
    <w:rsid w:val="614BB142"/>
    <w:rsid w:val="614C7FAA"/>
    <w:rsid w:val="614CE1C3"/>
    <w:rsid w:val="614CE1F0"/>
    <w:rsid w:val="614DC218"/>
    <w:rsid w:val="614E0510"/>
    <w:rsid w:val="614F4F49"/>
    <w:rsid w:val="615024B9"/>
    <w:rsid w:val="61504958"/>
    <w:rsid w:val="61506875"/>
    <w:rsid w:val="61513211"/>
    <w:rsid w:val="615180AC"/>
    <w:rsid w:val="6151C148"/>
    <w:rsid w:val="6152559F"/>
    <w:rsid w:val="61532215"/>
    <w:rsid w:val="61534F50"/>
    <w:rsid w:val="61535387"/>
    <w:rsid w:val="6153EDBD"/>
    <w:rsid w:val="615548F7"/>
    <w:rsid w:val="6155BAFA"/>
    <w:rsid w:val="61572359"/>
    <w:rsid w:val="61576ECC"/>
    <w:rsid w:val="61577C35"/>
    <w:rsid w:val="6157CF08"/>
    <w:rsid w:val="6158532D"/>
    <w:rsid w:val="61588F21"/>
    <w:rsid w:val="61590517"/>
    <w:rsid w:val="6159594D"/>
    <w:rsid w:val="6159DE83"/>
    <w:rsid w:val="615B1978"/>
    <w:rsid w:val="615B6B71"/>
    <w:rsid w:val="615B720E"/>
    <w:rsid w:val="615BEA8C"/>
    <w:rsid w:val="615BF4FC"/>
    <w:rsid w:val="615C3836"/>
    <w:rsid w:val="615CF23C"/>
    <w:rsid w:val="615E3E50"/>
    <w:rsid w:val="615E6251"/>
    <w:rsid w:val="615FE7F9"/>
    <w:rsid w:val="615FEBAB"/>
    <w:rsid w:val="61604A40"/>
    <w:rsid w:val="61605542"/>
    <w:rsid w:val="6160AE13"/>
    <w:rsid w:val="61613A64"/>
    <w:rsid w:val="6161E97A"/>
    <w:rsid w:val="61631A68"/>
    <w:rsid w:val="6163208D"/>
    <w:rsid w:val="6163A4E7"/>
    <w:rsid w:val="6163EF4B"/>
    <w:rsid w:val="6164F31D"/>
    <w:rsid w:val="61662429"/>
    <w:rsid w:val="61665D9F"/>
    <w:rsid w:val="61666807"/>
    <w:rsid w:val="6166FB98"/>
    <w:rsid w:val="6167064E"/>
    <w:rsid w:val="6167B986"/>
    <w:rsid w:val="6168ABC6"/>
    <w:rsid w:val="61690B14"/>
    <w:rsid w:val="6169CF25"/>
    <w:rsid w:val="616C7226"/>
    <w:rsid w:val="616CA81E"/>
    <w:rsid w:val="616D1689"/>
    <w:rsid w:val="616D4CC9"/>
    <w:rsid w:val="616DD1D3"/>
    <w:rsid w:val="616DD401"/>
    <w:rsid w:val="616E0702"/>
    <w:rsid w:val="616E1741"/>
    <w:rsid w:val="616E2660"/>
    <w:rsid w:val="616F272C"/>
    <w:rsid w:val="616F8A11"/>
    <w:rsid w:val="616FCC91"/>
    <w:rsid w:val="61704D32"/>
    <w:rsid w:val="6170686E"/>
    <w:rsid w:val="6170E419"/>
    <w:rsid w:val="6171B46D"/>
    <w:rsid w:val="61721FA0"/>
    <w:rsid w:val="617271B3"/>
    <w:rsid w:val="617281CA"/>
    <w:rsid w:val="617314DF"/>
    <w:rsid w:val="61731A5C"/>
    <w:rsid w:val="6174BC67"/>
    <w:rsid w:val="6174FFBD"/>
    <w:rsid w:val="617520AB"/>
    <w:rsid w:val="617608B8"/>
    <w:rsid w:val="61762072"/>
    <w:rsid w:val="617694F1"/>
    <w:rsid w:val="617790F7"/>
    <w:rsid w:val="6177BF5B"/>
    <w:rsid w:val="61783969"/>
    <w:rsid w:val="6178A456"/>
    <w:rsid w:val="61794964"/>
    <w:rsid w:val="6179B310"/>
    <w:rsid w:val="617A32DA"/>
    <w:rsid w:val="617A34DF"/>
    <w:rsid w:val="617A75B0"/>
    <w:rsid w:val="617BA7EC"/>
    <w:rsid w:val="617BAFA3"/>
    <w:rsid w:val="617BCA7C"/>
    <w:rsid w:val="617BEB09"/>
    <w:rsid w:val="617C6FE1"/>
    <w:rsid w:val="617D22C6"/>
    <w:rsid w:val="617DC83A"/>
    <w:rsid w:val="617E1B62"/>
    <w:rsid w:val="617E384C"/>
    <w:rsid w:val="617EC019"/>
    <w:rsid w:val="617FAB09"/>
    <w:rsid w:val="618138F9"/>
    <w:rsid w:val="61827673"/>
    <w:rsid w:val="61828B43"/>
    <w:rsid w:val="6182A689"/>
    <w:rsid w:val="6182B9D2"/>
    <w:rsid w:val="61832389"/>
    <w:rsid w:val="618331FC"/>
    <w:rsid w:val="618353BC"/>
    <w:rsid w:val="6183EED3"/>
    <w:rsid w:val="61841F4D"/>
    <w:rsid w:val="618445CF"/>
    <w:rsid w:val="61845528"/>
    <w:rsid w:val="6186593C"/>
    <w:rsid w:val="618697A4"/>
    <w:rsid w:val="618851BB"/>
    <w:rsid w:val="6188C7A8"/>
    <w:rsid w:val="618A87AE"/>
    <w:rsid w:val="618AA252"/>
    <w:rsid w:val="618AC30B"/>
    <w:rsid w:val="618B2462"/>
    <w:rsid w:val="618B34A4"/>
    <w:rsid w:val="618C034A"/>
    <w:rsid w:val="618D1776"/>
    <w:rsid w:val="618D87CD"/>
    <w:rsid w:val="618E2198"/>
    <w:rsid w:val="618EC746"/>
    <w:rsid w:val="618FE692"/>
    <w:rsid w:val="619063DB"/>
    <w:rsid w:val="619103F0"/>
    <w:rsid w:val="6191B12A"/>
    <w:rsid w:val="61938519"/>
    <w:rsid w:val="61939C5E"/>
    <w:rsid w:val="6194610F"/>
    <w:rsid w:val="6194A8DF"/>
    <w:rsid w:val="6194CAC9"/>
    <w:rsid w:val="619553B1"/>
    <w:rsid w:val="6195A911"/>
    <w:rsid w:val="61968099"/>
    <w:rsid w:val="6196DC6D"/>
    <w:rsid w:val="61970CA1"/>
    <w:rsid w:val="6197842D"/>
    <w:rsid w:val="6197C97B"/>
    <w:rsid w:val="6197F1F6"/>
    <w:rsid w:val="61983BB8"/>
    <w:rsid w:val="6198DA7D"/>
    <w:rsid w:val="6199081A"/>
    <w:rsid w:val="619909B2"/>
    <w:rsid w:val="619910C2"/>
    <w:rsid w:val="6199ED64"/>
    <w:rsid w:val="619A248D"/>
    <w:rsid w:val="619A3EEB"/>
    <w:rsid w:val="619A9948"/>
    <w:rsid w:val="619A9F3F"/>
    <w:rsid w:val="619AA4B4"/>
    <w:rsid w:val="619ADA0C"/>
    <w:rsid w:val="619C918E"/>
    <w:rsid w:val="619CA6A4"/>
    <w:rsid w:val="619D0F00"/>
    <w:rsid w:val="619D72EE"/>
    <w:rsid w:val="619DFAF2"/>
    <w:rsid w:val="619E1C88"/>
    <w:rsid w:val="619F3F9E"/>
    <w:rsid w:val="619FE8EB"/>
    <w:rsid w:val="61A00413"/>
    <w:rsid w:val="61A07306"/>
    <w:rsid w:val="61A0FEAF"/>
    <w:rsid w:val="61A19D7E"/>
    <w:rsid w:val="61A1CBCE"/>
    <w:rsid w:val="61A219C6"/>
    <w:rsid w:val="61A225F2"/>
    <w:rsid w:val="61A253F6"/>
    <w:rsid w:val="61A2BE2E"/>
    <w:rsid w:val="61A325C2"/>
    <w:rsid w:val="61A35553"/>
    <w:rsid w:val="61A356BD"/>
    <w:rsid w:val="61A47099"/>
    <w:rsid w:val="61A510E3"/>
    <w:rsid w:val="61A6498F"/>
    <w:rsid w:val="61A6FB57"/>
    <w:rsid w:val="61A71D19"/>
    <w:rsid w:val="61A7E6A3"/>
    <w:rsid w:val="61A89881"/>
    <w:rsid w:val="61A8D47F"/>
    <w:rsid w:val="61A95215"/>
    <w:rsid w:val="61A981D0"/>
    <w:rsid w:val="61A9EE31"/>
    <w:rsid w:val="61AA18C6"/>
    <w:rsid w:val="61AA9252"/>
    <w:rsid w:val="61AADB2F"/>
    <w:rsid w:val="61AB2417"/>
    <w:rsid w:val="61AB6E6C"/>
    <w:rsid w:val="61AC5DBC"/>
    <w:rsid w:val="61AC73F8"/>
    <w:rsid w:val="61ADF327"/>
    <w:rsid w:val="61AE07F3"/>
    <w:rsid w:val="61AE29D9"/>
    <w:rsid w:val="61AEF861"/>
    <w:rsid w:val="61AF874C"/>
    <w:rsid w:val="61B02438"/>
    <w:rsid w:val="61B09CFC"/>
    <w:rsid w:val="61B23968"/>
    <w:rsid w:val="61B2ADD7"/>
    <w:rsid w:val="61B2BF26"/>
    <w:rsid w:val="61B2C666"/>
    <w:rsid w:val="61B2FD8E"/>
    <w:rsid w:val="61B31741"/>
    <w:rsid w:val="61B3B5D9"/>
    <w:rsid w:val="61B41755"/>
    <w:rsid w:val="61B4357C"/>
    <w:rsid w:val="61B4C1F3"/>
    <w:rsid w:val="61B50695"/>
    <w:rsid w:val="61B53F98"/>
    <w:rsid w:val="61B73040"/>
    <w:rsid w:val="61B88CB7"/>
    <w:rsid w:val="61B8C7E6"/>
    <w:rsid w:val="61B8D6ED"/>
    <w:rsid w:val="61BA8E33"/>
    <w:rsid w:val="61BAF5FA"/>
    <w:rsid w:val="61BB5982"/>
    <w:rsid w:val="61BC11C2"/>
    <w:rsid w:val="61BC34A4"/>
    <w:rsid w:val="61BC74AB"/>
    <w:rsid w:val="61BCDCE8"/>
    <w:rsid w:val="61BEB0A7"/>
    <w:rsid w:val="61C009F1"/>
    <w:rsid w:val="61C1CAA8"/>
    <w:rsid w:val="61C205B8"/>
    <w:rsid w:val="61C2316A"/>
    <w:rsid w:val="61C27FD2"/>
    <w:rsid w:val="61C2FA67"/>
    <w:rsid w:val="61C32209"/>
    <w:rsid w:val="61C3889A"/>
    <w:rsid w:val="61C3CE98"/>
    <w:rsid w:val="61C45BDA"/>
    <w:rsid w:val="61C49090"/>
    <w:rsid w:val="61C4B080"/>
    <w:rsid w:val="61C61F22"/>
    <w:rsid w:val="61C6202C"/>
    <w:rsid w:val="61C6794A"/>
    <w:rsid w:val="61C6C2D9"/>
    <w:rsid w:val="61C6CEED"/>
    <w:rsid w:val="61C80398"/>
    <w:rsid w:val="61C95DA0"/>
    <w:rsid w:val="61CA2271"/>
    <w:rsid w:val="61CADD12"/>
    <w:rsid w:val="61CB23FF"/>
    <w:rsid w:val="61CB290D"/>
    <w:rsid w:val="61CB2A0D"/>
    <w:rsid w:val="61CB56B8"/>
    <w:rsid w:val="61CBA7DB"/>
    <w:rsid w:val="61CD2CBA"/>
    <w:rsid w:val="61CD57D9"/>
    <w:rsid w:val="61CD7E1E"/>
    <w:rsid w:val="61CDD074"/>
    <w:rsid w:val="61CDDF4E"/>
    <w:rsid w:val="61CE50E1"/>
    <w:rsid w:val="61CE6378"/>
    <w:rsid w:val="61CE7358"/>
    <w:rsid w:val="61CEFB2E"/>
    <w:rsid w:val="61CFEBD0"/>
    <w:rsid w:val="61D00FAC"/>
    <w:rsid w:val="61D01277"/>
    <w:rsid w:val="61D127EC"/>
    <w:rsid w:val="61D12AF1"/>
    <w:rsid w:val="61D13089"/>
    <w:rsid w:val="61D1D78F"/>
    <w:rsid w:val="61D23797"/>
    <w:rsid w:val="61D2E3B3"/>
    <w:rsid w:val="61D33047"/>
    <w:rsid w:val="61D462F1"/>
    <w:rsid w:val="61D48779"/>
    <w:rsid w:val="61D492A1"/>
    <w:rsid w:val="61D6FA13"/>
    <w:rsid w:val="61D7C60B"/>
    <w:rsid w:val="61D84A9A"/>
    <w:rsid w:val="61D878F7"/>
    <w:rsid w:val="61D87E0A"/>
    <w:rsid w:val="61D99AFF"/>
    <w:rsid w:val="61DA44C2"/>
    <w:rsid w:val="61DA9E68"/>
    <w:rsid w:val="61DBCB21"/>
    <w:rsid w:val="61DC1A3D"/>
    <w:rsid w:val="61DCA263"/>
    <w:rsid w:val="61DDE868"/>
    <w:rsid w:val="61DE0B01"/>
    <w:rsid w:val="61DE784C"/>
    <w:rsid w:val="61DE9DE8"/>
    <w:rsid w:val="61E06372"/>
    <w:rsid w:val="61E068AC"/>
    <w:rsid w:val="61E06FC9"/>
    <w:rsid w:val="61E097E1"/>
    <w:rsid w:val="61E0CB24"/>
    <w:rsid w:val="61E2E75D"/>
    <w:rsid w:val="61E307B6"/>
    <w:rsid w:val="61E3274B"/>
    <w:rsid w:val="61E3D8E0"/>
    <w:rsid w:val="61E3E711"/>
    <w:rsid w:val="61E52F36"/>
    <w:rsid w:val="61E53AE5"/>
    <w:rsid w:val="61E56EC0"/>
    <w:rsid w:val="61E5B776"/>
    <w:rsid w:val="61E5C7AD"/>
    <w:rsid w:val="61E606BE"/>
    <w:rsid w:val="61E70161"/>
    <w:rsid w:val="61E75829"/>
    <w:rsid w:val="61E76044"/>
    <w:rsid w:val="61E76E8B"/>
    <w:rsid w:val="61E78537"/>
    <w:rsid w:val="61E7A787"/>
    <w:rsid w:val="61E7B761"/>
    <w:rsid w:val="61E7D0D4"/>
    <w:rsid w:val="61E816DF"/>
    <w:rsid w:val="61E84C5B"/>
    <w:rsid w:val="61E94342"/>
    <w:rsid w:val="61EA8298"/>
    <w:rsid w:val="61EA99F2"/>
    <w:rsid w:val="61EA9E4F"/>
    <w:rsid w:val="61EAF60B"/>
    <w:rsid w:val="61EBA24E"/>
    <w:rsid w:val="61EC0E37"/>
    <w:rsid w:val="61EC14B5"/>
    <w:rsid w:val="61EC9656"/>
    <w:rsid w:val="61ECD531"/>
    <w:rsid w:val="61ED1251"/>
    <w:rsid w:val="61EE8C44"/>
    <w:rsid w:val="61EEA154"/>
    <w:rsid w:val="61EEF480"/>
    <w:rsid w:val="61EF3450"/>
    <w:rsid w:val="61EF9AB7"/>
    <w:rsid w:val="61F012E1"/>
    <w:rsid w:val="61F0941A"/>
    <w:rsid w:val="61F12386"/>
    <w:rsid w:val="61F1B6D8"/>
    <w:rsid w:val="61F20022"/>
    <w:rsid w:val="61F2B4BE"/>
    <w:rsid w:val="61F35155"/>
    <w:rsid w:val="61F4012E"/>
    <w:rsid w:val="61F623EA"/>
    <w:rsid w:val="61F667FB"/>
    <w:rsid w:val="61F6F3F4"/>
    <w:rsid w:val="61F7B381"/>
    <w:rsid w:val="61F7BE3F"/>
    <w:rsid w:val="61F7C919"/>
    <w:rsid w:val="61F7D67C"/>
    <w:rsid w:val="61F8E171"/>
    <w:rsid w:val="61F94C16"/>
    <w:rsid w:val="61F96F1E"/>
    <w:rsid w:val="61FA7454"/>
    <w:rsid w:val="61FA9708"/>
    <w:rsid w:val="61FC6A23"/>
    <w:rsid w:val="61FC7158"/>
    <w:rsid w:val="61FC8A18"/>
    <w:rsid w:val="61FC8C78"/>
    <w:rsid w:val="61FE5303"/>
    <w:rsid w:val="61FE801D"/>
    <w:rsid w:val="61FEE268"/>
    <w:rsid w:val="61FEF46F"/>
    <w:rsid w:val="61FEF625"/>
    <w:rsid w:val="61FF1464"/>
    <w:rsid w:val="61FFF4F1"/>
    <w:rsid w:val="6200269D"/>
    <w:rsid w:val="62007C70"/>
    <w:rsid w:val="6201F62C"/>
    <w:rsid w:val="62022147"/>
    <w:rsid w:val="62034779"/>
    <w:rsid w:val="62036E45"/>
    <w:rsid w:val="6203DBE2"/>
    <w:rsid w:val="620471D8"/>
    <w:rsid w:val="6205475A"/>
    <w:rsid w:val="62068A3F"/>
    <w:rsid w:val="6206BEA6"/>
    <w:rsid w:val="6207010C"/>
    <w:rsid w:val="6207958C"/>
    <w:rsid w:val="6207FDD9"/>
    <w:rsid w:val="62083E99"/>
    <w:rsid w:val="6208F40A"/>
    <w:rsid w:val="6209358E"/>
    <w:rsid w:val="62097347"/>
    <w:rsid w:val="620AE63C"/>
    <w:rsid w:val="620BACDF"/>
    <w:rsid w:val="620C9891"/>
    <w:rsid w:val="620D1ACA"/>
    <w:rsid w:val="620D4479"/>
    <w:rsid w:val="620D6EC9"/>
    <w:rsid w:val="62104702"/>
    <w:rsid w:val="621058B3"/>
    <w:rsid w:val="6210D2B5"/>
    <w:rsid w:val="621107BA"/>
    <w:rsid w:val="6211F512"/>
    <w:rsid w:val="62120BFE"/>
    <w:rsid w:val="6213CB58"/>
    <w:rsid w:val="6213CC18"/>
    <w:rsid w:val="62141F35"/>
    <w:rsid w:val="6214C632"/>
    <w:rsid w:val="621625F4"/>
    <w:rsid w:val="6216406F"/>
    <w:rsid w:val="6217712B"/>
    <w:rsid w:val="621772C4"/>
    <w:rsid w:val="6217D422"/>
    <w:rsid w:val="62182A0F"/>
    <w:rsid w:val="62184A39"/>
    <w:rsid w:val="621860D2"/>
    <w:rsid w:val="621916CC"/>
    <w:rsid w:val="6219CA60"/>
    <w:rsid w:val="621A2A26"/>
    <w:rsid w:val="621A8204"/>
    <w:rsid w:val="621B1CD4"/>
    <w:rsid w:val="621B814A"/>
    <w:rsid w:val="621BF39B"/>
    <w:rsid w:val="621C85FB"/>
    <w:rsid w:val="621CC922"/>
    <w:rsid w:val="621E37E9"/>
    <w:rsid w:val="621ECF9F"/>
    <w:rsid w:val="621F329A"/>
    <w:rsid w:val="622058F6"/>
    <w:rsid w:val="62212C58"/>
    <w:rsid w:val="6221709B"/>
    <w:rsid w:val="6221D2A4"/>
    <w:rsid w:val="62226C5B"/>
    <w:rsid w:val="6222C05F"/>
    <w:rsid w:val="6222C9F4"/>
    <w:rsid w:val="622309D2"/>
    <w:rsid w:val="6224B26C"/>
    <w:rsid w:val="622554D1"/>
    <w:rsid w:val="6226A6E2"/>
    <w:rsid w:val="62295346"/>
    <w:rsid w:val="62295692"/>
    <w:rsid w:val="62297B5E"/>
    <w:rsid w:val="62298737"/>
    <w:rsid w:val="6229EAD2"/>
    <w:rsid w:val="622AB2CF"/>
    <w:rsid w:val="622ABA2B"/>
    <w:rsid w:val="622AF5E7"/>
    <w:rsid w:val="622B516C"/>
    <w:rsid w:val="622B5B68"/>
    <w:rsid w:val="622BB2A2"/>
    <w:rsid w:val="622CE527"/>
    <w:rsid w:val="622EEA7F"/>
    <w:rsid w:val="6230283E"/>
    <w:rsid w:val="6230AC07"/>
    <w:rsid w:val="6231CBA3"/>
    <w:rsid w:val="623224C8"/>
    <w:rsid w:val="62323194"/>
    <w:rsid w:val="623270F7"/>
    <w:rsid w:val="62339D52"/>
    <w:rsid w:val="62342086"/>
    <w:rsid w:val="6234E3C3"/>
    <w:rsid w:val="623533CB"/>
    <w:rsid w:val="6235EEB3"/>
    <w:rsid w:val="623628CD"/>
    <w:rsid w:val="6237290E"/>
    <w:rsid w:val="62372E7A"/>
    <w:rsid w:val="6237D9FB"/>
    <w:rsid w:val="6237E381"/>
    <w:rsid w:val="623848DD"/>
    <w:rsid w:val="62385BE6"/>
    <w:rsid w:val="62386AA3"/>
    <w:rsid w:val="6238DB32"/>
    <w:rsid w:val="623921FC"/>
    <w:rsid w:val="6239A131"/>
    <w:rsid w:val="6239BAF0"/>
    <w:rsid w:val="623A0D58"/>
    <w:rsid w:val="623A2487"/>
    <w:rsid w:val="623BC9B8"/>
    <w:rsid w:val="623BFE03"/>
    <w:rsid w:val="623C30CE"/>
    <w:rsid w:val="623CBC87"/>
    <w:rsid w:val="623D0D65"/>
    <w:rsid w:val="623D8613"/>
    <w:rsid w:val="623DCA73"/>
    <w:rsid w:val="623DE55F"/>
    <w:rsid w:val="623E15CD"/>
    <w:rsid w:val="623E679E"/>
    <w:rsid w:val="623E6A3A"/>
    <w:rsid w:val="623F6953"/>
    <w:rsid w:val="62400460"/>
    <w:rsid w:val="62404DD6"/>
    <w:rsid w:val="624053AC"/>
    <w:rsid w:val="6242502E"/>
    <w:rsid w:val="6242698D"/>
    <w:rsid w:val="62428BCE"/>
    <w:rsid w:val="62428D8B"/>
    <w:rsid w:val="6242D24F"/>
    <w:rsid w:val="6242D508"/>
    <w:rsid w:val="6242F91B"/>
    <w:rsid w:val="6244F488"/>
    <w:rsid w:val="62457755"/>
    <w:rsid w:val="6245BB32"/>
    <w:rsid w:val="62461C76"/>
    <w:rsid w:val="62466328"/>
    <w:rsid w:val="624671AC"/>
    <w:rsid w:val="62474358"/>
    <w:rsid w:val="6247BBFA"/>
    <w:rsid w:val="624862C5"/>
    <w:rsid w:val="6249D9EC"/>
    <w:rsid w:val="624A8942"/>
    <w:rsid w:val="624B0CFD"/>
    <w:rsid w:val="624BDEDF"/>
    <w:rsid w:val="624CDAF4"/>
    <w:rsid w:val="624DD3ED"/>
    <w:rsid w:val="624EF110"/>
    <w:rsid w:val="624F723D"/>
    <w:rsid w:val="62514376"/>
    <w:rsid w:val="6251A618"/>
    <w:rsid w:val="6252CF75"/>
    <w:rsid w:val="625320B6"/>
    <w:rsid w:val="6253DE63"/>
    <w:rsid w:val="6254CDAF"/>
    <w:rsid w:val="62553ED2"/>
    <w:rsid w:val="62555C85"/>
    <w:rsid w:val="6255836E"/>
    <w:rsid w:val="6255B789"/>
    <w:rsid w:val="62568C89"/>
    <w:rsid w:val="6256FE24"/>
    <w:rsid w:val="625764A7"/>
    <w:rsid w:val="6257E063"/>
    <w:rsid w:val="62581961"/>
    <w:rsid w:val="6258202A"/>
    <w:rsid w:val="62592826"/>
    <w:rsid w:val="6259A17A"/>
    <w:rsid w:val="6259C6C1"/>
    <w:rsid w:val="625A270D"/>
    <w:rsid w:val="625A2882"/>
    <w:rsid w:val="625B7C28"/>
    <w:rsid w:val="625B8924"/>
    <w:rsid w:val="625CB207"/>
    <w:rsid w:val="625CE387"/>
    <w:rsid w:val="625D1112"/>
    <w:rsid w:val="625E00C4"/>
    <w:rsid w:val="625EC5A5"/>
    <w:rsid w:val="625F84D1"/>
    <w:rsid w:val="6260AF4C"/>
    <w:rsid w:val="6260BEFF"/>
    <w:rsid w:val="6260D7C4"/>
    <w:rsid w:val="6261A1A0"/>
    <w:rsid w:val="6261C427"/>
    <w:rsid w:val="626286EF"/>
    <w:rsid w:val="626293D6"/>
    <w:rsid w:val="6263709F"/>
    <w:rsid w:val="6263AB8F"/>
    <w:rsid w:val="6263DE89"/>
    <w:rsid w:val="62651EBA"/>
    <w:rsid w:val="62653EF6"/>
    <w:rsid w:val="6266D4F5"/>
    <w:rsid w:val="6266F105"/>
    <w:rsid w:val="626710E9"/>
    <w:rsid w:val="62672B27"/>
    <w:rsid w:val="6267C41F"/>
    <w:rsid w:val="6267C9E2"/>
    <w:rsid w:val="6267FEEB"/>
    <w:rsid w:val="6268D2F4"/>
    <w:rsid w:val="62695EA2"/>
    <w:rsid w:val="6269A975"/>
    <w:rsid w:val="6269AD47"/>
    <w:rsid w:val="6269D4BE"/>
    <w:rsid w:val="6269E69F"/>
    <w:rsid w:val="6269F05F"/>
    <w:rsid w:val="626A1315"/>
    <w:rsid w:val="626B1E5E"/>
    <w:rsid w:val="626B5F1B"/>
    <w:rsid w:val="626B6682"/>
    <w:rsid w:val="626CF0BF"/>
    <w:rsid w:val="626D0D4A"/>
    <w:rsid w:val="626D5DA1"/>
    <w:rsid w:val="626DFB6A"/>
    <w:rsid w:val="626E120F"/>
    <w:rsid w:val="626E9F59"/>
    <w:rsid w:val="626EAD30"/>
    <w:rsid w:val="626F3551"/>
    <w:rsid w:val="626F69B6"/>
    <w:rsid w:val="626F9644"/>
    <w:rsid w:val="626FB146"/>
    <w:rsid w:val="626FEEE3"/>
    <w:rsid w:val="626FF336"/>
    <w:rsid w:val="62704C7A"/>
    <w:rsid w:val="6270F431"/>
    <w:rsid w:val="6270FC07"/>
    <w:rsid w:val="62712497"/>
    <w:rsid w:val="62715F5F"/>
    <w:rsid w:val="6271EB2C"/>
    <w:rsid w:val="6272DFCA"/>
    <w:rsid w:val="62734A0F"/>
    <w:rsid w:val="6273D089"/>
    <w:rsid w:val="62749466"/>
    <w:rsid w:val="62749F39"/>
    <w:rsid w:val="6274EE7D"/>
    <w:rsid w:val="627506B5"/>
    <w:rsid w:val="6275F50C"/>
    <w:rsid w:val="62765B70"/>
    <w:rsid w:val="62771651"/>
    <w:rsid w:val="62776A48"/>
    <w:rsid w:val="62781669"/>
    <w:rsid w:val="62794FDA"/>
    <w:rsid w:val="6279731F"/>
    <w:rsid w:val="627A2E09"/>
    <w:rsid w:val="627A2F87"/>
    <w:rsid w:val="627A3908"/>
    <w:rsid w:val="627AD022"/>
    <w:rsid w:val="627BA4BB"/>
    <w:rsid w:val="627BE4FC"/>
    <w:rsid w:val="627C2677"/>
    <w:rsid w:val="627C7CA1"/>
    <w:rsid w:val="627C8A2C"/>
    <w:rsid w:val="627D0ED2"/>
    <w:rsid w:val="627E0CF4"/>
    <w:rsid w:val="627E5D5D"/>
    <w:rsid w:val="627EB2EB"/>
    <w:rsid w:val="627FCFE2"/>
    <w:rsid w:val="627FDE87"/>
    <w:rsid w:val="62804363"/>
    <w:rsid w:val="6280ACDA"/>
    <w:rsid w:val="628119BB"/>
    <w:rsid w:val="62812498"/>
    <w:rsid w:val="6281349B"/>
    <w:rsid w:val="62814942"/>
    <w:rsid w:val="628166F9"/>
    <w:rsid w:val="6281D771"/>
    <w:rsid w:val="6282408F"/>
    <w:rsid w:val="62829178"/>
    <w:rsid w:val="6282E750"/>
    <w:rsid w:val="62833F7C"/>
    <w:rsid w:val="62837664"/>
    <w:rsid w:val="62857468"/>
    <w:rsid w:val="62866C51"/>
    <w:rsid w:val="62888A0C"/>
    <w:rsid w:val="628A7BED"/>
    <w:rsid w:val="628A7E9E"/>
    <w:rsid w:val="628AE21D"/>
    <w:rsid w:val="628B1614"/>
    <w:rsid w:val="628BCDAA"/>
    <w:rsid w:val="628C00A1"/>
    <w:rsid w:val="628CF733"/>
    <w:rsid w:val="628D569A"/>
    <w:rsid w:val="628D6E6D"/>
    <w:rsid w:val="628DA4C0"/>
    <w:rsid w:val="628DEF8E"/>
    <w:rsid w:val="628F4B62"/>
    <w:rsid w:val="628F51E3"/>
    <w:rsid w:val="628FD569"/>
    <w:rsid w:val="628FDBFF"/>
    <w:rsid w:val="6290149E"/>
    <w:rsid w:val="6291AF87"/>
    <w:rsid w:val="6291B793"/>
    <w:rsid w:val="6292136C"/>
    <w:rsid w:val="62921CD9"/>
    <w:rsid w:val="629227E6"/>
    <w:rsid w:val="6292C4A2"/>
    <w:rsid w:val="6293354E"/>
    <w:rsid w:val="62935B80"/>
    <w:rsid w:val="6293FB8C"/>
    <w:rsid w:val="62942FA9"/>
    <w:rsid w:val="62944726"/>
    <w:rsid w:val="62946A5E"/>
    <w:rsid w:val="62955516"/>
    <w:rsid w:val="62956CE7"/>
    <w:rsid w:val="6295B49C"/>
    <w:rsid w:val="62967617"/>
    <w:rsid w:val="6296E622"/>
    <w:rsid w:val="62973FAA"/>
    <w:rsid w:val="62978441"/>
    <w:rsid w:val="62978D83"/>
    <w:rsid w:val="62994D00"/>
    <w:rsid w:val="6299E483"/>
    <w:rsid w:val="629B09C8"/>
    <w:rsid w:val="629B5A59"/>
    <w:rsid w:val="629B7EB9"/>
    <w:rsid w:val="629BF722"/>
    <w:rsid w:val="629CEBE8"/>
    <w:rsid w:val="629D5AE2"/>
    <w:rsid w:val="629D8224"/>
    <w:rsid w:val="629E1FBD"/>
    <w:rsid w:val="629EDFE7"/>
    <w:rsid w:val="629F2E14"/>
    <w:rsid w:val="629FCB86"/>
    <w:rsid w:val="62A0B22D"/>
    <w:rsid w:val="62A10F89"/>
    <w:rsid w:val="62A1C9AA"/>
    <w:rsid w:val="62A2880C"/>
    <w:rsid w:val="62A2BCED"/>
    <w:rsid w:val="62A2EA28"/>
    <w:rsid w:val="62A30E09"/>
    <w:rsid w:val="62A32DA3"/>
    <w:rsid w:val="62A4001F"/>
    <w:rsid w:val="62A47A8D"/>
    <w:rsid w:val="62A4EB53"/>
    <w:rsid w:val="62A599CE"/>
    <w:rsid w:val="62A5F2B4"/>
    <w:rsid w:val="62A63D3C"/>
    <w:rsid w:val="62A68A26"/>
    <w:rsid w:val="62A70CFC"/>
    <w:rsid w:val="62A72A81"/>
    <w:rsid w:val="62A7321E"/>
    <w:rsid w:val="62A7AA6F"/>
    <w:rsid w:val="62A83CCB"/>
    <w:rsid w:val="62A84CC8"/>
    <w:rsid w:val="62A88C06"/>
    <w:rsid w:val="62A94B4B"/>
    <w:rsid w:val="62AA0C57"/>
    <w:rsid w:val="62AAA53D"/>
    <w:rsid w:val="62AAADAC"/>
    <w:rsid w:val="62AB5F1A"/>
    <w:rsid w:val="62AB8765"/>
    <w:rsid w:val="62AB9AA8"/>
    <w:rsid w:val="62AC35BB"/>
    <w:rsid w:val="62AC35C6"/>
    <w:rsid w:val="62ACFF7C"/>
    <w:rsid w:val="62AD0E43"/>
    <w:rsid w:val="62AEC3CF"/>
    <w:rsid w:val="62AF347B"/>
    <w:rsid w:val="62B19536"/>
    <w:rsid w:val="62B2119E"/>
    <w:rsid w:val="62B5A922"/>
    <w:rsid w:val="62B7184B"/>
    <w:rsid w:val="62B7BA9E"/>
    <w:rsid w:val="62B800E9"/>
    <w:rsid w:val="62B823A3"/>
    <w:rsid w:val="62B83B65"/>
    <w:rsid w:val="62B8F34F"/>
    <w:rsid w:val="62B95D3C"/>
    <w:rsid w:val="62B97935"/>
    <w:rsid w:val="62BA661D"/>
    <w:rsid w:val="62BAA56A"/>
    <w:rsid w:val="62BB5A3F"/>
    <w:rsid w:val="62BBF579"/>
    <w:rsid w:val="62BC19EB"/>
    <w:rsid w:val="62BC1ED4"/>
    <w:rsid w:val="62BC5831"/>
    <w:rsid w:val="62BC5C24"/>
    <w:rsid w:val="62BC5DEF"/>
    <w:rsid w:val="62BC95F6"/>
    <w:rsid w:val="62BCD8C8"/>
    <w:rsid w:val="62BCEC99"/>
    <w:rsid w:val="62BD1ECD"/>
    <w:rsid w:val="62BD2499"/>
    <w:rsid w:val="62BEFF9F"/>
    <w:rsid w:val="62BF5CB6"/>
    <w:rsid w:val="62BFE1DF"/>
    <w:rsid w:val="62BFF8B7"/>
    <w:rsid w:val="62C0EA75"/>
    <w:rsid w:val="62C0F1F7"/>
    <w:rsid w:val="62C14773"/>
    <w:rsid w:val="62C1E65E"/>
    <w:rsid w:val="62C28BF1"/>
    <w:rsid w:val="62C28D34"/>
    <w:rsid w:val="62C3BD6B"/>
    <w:rsid w:val="62C3C874"/>
    <w:rsid w:val="62C3DC1C"/>
    <w:rsid w:val="62C3FEEB"/>
    <w:rsid w:val="62C4272E"/>
    <w:rsid w:val="62C49B07"/>
    <w:rsid w:val="62C56228"/>
    <w:rsid w:val="62C5C4AA"/>
    <w:rsid w:val="62C5DEC9"/>
    <w:rsid w:val="62C5EEC0"/>
    <w:rsid w:val="62C614D7"/>
    <w:rsid w:val="62C7E004"/>
    <w:rsid w:val="62C8B2AA"/>
    <w:rsid w:val="62C8C5BC"/>
    <w:rsid w:val="62C8F071"/>
    <w:rsid w:val="62C9112A"/>
    <w:rsid w:val="62C97503"/>
    <w:rsid w:val="62CA30A1"/>
    <w:rsid w:val="62CBB4A3"/>
    <w:rsid w:val="62CC520D"/>
    <w:rsid w:val="62CCA82F"/>
    <w:rsid w:val="62CD649A"/>
    <w:rsid w:val="62CDB722"/>
    <w:rsid w:val="62CE62D7"/>
    <w:rsid w:val="62CF10B2"/>
    <w:rsid w:val="62CF88E5"/>
    <w:rsid w:val="62CFF004"/>
    <w:rsid w:val="62D00B8D"/>
    <w:rsid w:val="62D0F396"/>
    <w:rsid w:val="62D1CDAB"/>
    <w:rsid w:val="62D1F303"/>
    <w:rsid w:val="62D237F0"/>
    <w:rsid w:val="62D4AF6D"/>
    <w:rsid w:val="62D4F9C8"/>
    <w:rsid w:val="62D52207"/>
    <w:rsid w:val="62D5BA40"/>
    <w:rsid w:val="62D61520"/>
    <w:rsid w:val="62D637D1"/>
    <w:rsid w:val="62D64557"/>
    <w:rsid w:val="62D8CBC0"/>
    <w:rsid w:val="62D8FB44"/>
    <w:rsid w:val="62D9E212"/>
    <w:rsid w:val="62D9E24E"/>
    <w:rsid w:val="62DA6B06"/>
    <w:rsid w:val="62DACC64"/>
    <w:rsid w:val="62DB601D"/>
    <w:rsid w:val="62DB8079"/>
    <w:rsid w:val="62DBDEE3"/>
    <w:rsid w:val="62DC5712"/>
    <w:rsid w:val="62DC5948"/>
    <w:rsid w:val="62DCB440"/>
    <w:rsid w:val="62DD2C7F"/>
    <w:rsid w:val="62DD883E"/>
    <w:rsid w:val="62DDACB6"/>
    <w:rsid w:val="62DFD7DB"/>
    <w:rsid w:val="62E15264"/>
    <w:rsid w:val="62E207DA"/>
    <w:rsid w:val="62E26D8A"/>
    <w:rsid w:val="62E307A0"/>
    <w:rsid w:val="62E37A49"/>
    <w:rsid w:val="62E39F3F"/>
    <w:rsid w:val="62E3DEE9"/>
    <w:rsid w:val="62E4D094"/>
    <w:rsid w:val="62E520B8"/>
    <w:rsid w:val="62E52D5B"/>
    <w:rsid w:val="62E53ED1"/>
    <w:rsid w:val="62E5642B"/>
    <w:rsid w:val="62E568E5"/>
    <w:rsid w:val="62E61C1F"/>
    <w:rsid w:val="62E7AF8D"/>
    <w:rsid w:val="62E809B5"/>
    <w:rsid w:val="62E81ED0"/>
    <w:rsid w:val="62E8C348"/>
    <w:rsid w:val="62E8FB4D"/>
    <w:rsid w:val="62E8FD8E"/>
    <w:rsid w:val="62E912B2"/>
    <w:rsid w:val="62E91B49"/>
    <w:rsid w:val="62E9F076"/>
    <w:rsid w:val="62EAA7E9"/>
    <w:rsid w:val="62EB52EB"/>
    <w:rsid w:val="62EB85A2"/>
    <w:rsid w:val="62ED3AB8"/>
    <w:rsid w:val="62EDCE9F"/>
    <w:rsid w:val="62EE0C1C"/>
    <w:rsid w:val="62EF1A68"/>
    <w:rsid w:val="62EFCCF9"/>
    <w:rsid w:val="62EFE527"/>
    <w:rsid w:val="62EFF4AC"/>
    <w:rsid w:val="62F019C7"/>
    <w:rsid w:val="62F038C5"/>
    <w:rsid w:val="62F04468"/>
    <w:rsid w:val="62F06EF8"/>
    <w:rsid w:val="62F074D6"/>
    <w:rsid w:val="62F092C8"/>
    <w:rsid w:val="62F0AC48"/>
    <w:rsid w:val="62F24858"/>
    <w:rsid w:val="62F35DEC"/>
    <w:rsid w:val="62F37533"/>
    <w:rsid w:val="62F48161"/>
    <w:rsid w:val="62F4D69A"/>
    <w:rsid w:val="62F53B6F"/>
    <w:rsid w:val="62F56CC1"/>
    <w:rsid w:val="62F5C3D3"/>
    <w:rsid w:val="62F5C9BF"/>
    <w:rsid w:val="62F6D708"/>
    <w:rsid w:val="62F73AEE"/>
    <w:rsid w:val="62F78A07"/>
    <w:rsid w:val="62F80D43"/>
    <w:rsid w:val="62F8464D"/>
    <w:rsid w:val="62F89B2D"/>
    <w:rsid w:val="62F8C033"/>
    <w:rsid w:val="62F95581"/>
    <w:rsid w:val="62FA1AD1"/>
    <w:rsid w:val="62FAEE5D"/>
    <w:rsid w:val="62FAF132"/>
    <w:rsid w:val="62FB81AE"/>
    <w:rsid w:val="62FBEF2B"/>
    <w:rsid w:val="62FC1365"/>
    <w:rsid w:val="62FC772D"/>
    <w:rsid w:val="62FC932C"/>
    <w:rsid w:val="62FCC0E1"/>
    <w:rsid w:val="62FCC875"/>
    <w:rsid w:val="62FD3719"/>
    <w:rsid w:val="62FDDD07"/>
    <w:rsid w:val="62FE25DB"/>
    <w:rsid w:val="62FE3401"/>
    <w:rsid w:val="62FE691A"/>
    <w:rsid w:val="62FE71E6"/>
    <w:rsid w:val="62FEE975"/>
    <w:rsid w:val="62FEEA37"/>
    <w:rsid w:val="62FEFF03"/>
    <w:rsid w:val="62FF1A86"/>
    <w:rsid w:val="62FF614E"/>
    <w:rsid w:val="62FF7192"/>
    <w:rsid w:val="63000B18"/>
    <w:rsid w:val="63007A21"/>
    <w:rsid w:val="6301437A"/>
    <w:rsid w:val="6301A652"/>
    <w:rsid w:val="630346EA"/>
    <w:rsid w:val="630369A3"/>
    <w:rsid w:val="6304350C"/>
    <w:rsid w:val="63044AFC"/>
    <w:rsid w:val="630544B5"/>
    <w:rsid w:val="63058337"/>
    <w:rsid w:val="6305A691"/>
    <w:rsid w:val="630681B9"/>
    <w:rsid w:val="6307180E"/>
    <w:rsid w:val="630857A3"/>
    <w:rsid w:val="63086980"/>
    <w:rsid w:val="6308AAAB"/>
    <w:rsid w:val="630983E2"/>
    <w:rsid w:val="6309DBD9"/>
    <w:rsid w:val="630ABBA2"/>
    <w:rsid w:val="630AD3D6"/>
    <w:rsid w:val="630AD6A3"/>
    <w:rsid w:val="630B6E9D"/>
    <w:rsid w:val="630CA0A5"/>
    <w:rsid w:val="630D244D"/>
    <w:rsid w:val="630E4FB3"/>
    <w:rsid w:val="630EACF4"/>
    <w:rsid w:val="630EDF28"/>
    <w:rsid w:val="630EECC2"/>
    <w:rsid w:val="630EF480"/>
    <w:rsid w:val="6310330A"/>
    <w:rsid w:val="6310466F"/>
    <w:rsid w:val="631324C8"/>
    <w:rsid w:val="63138C73"/>
    <w:rsid w:val="6313AC22"/>
    <w:rsid w:val="6313EF28"/>
    <w:rsid w:val="631440C5"/>
    <w:rsid w:val="63145B87"/>
    <w:rsid w:val="631488D4"/>
    <w:rsid w:val="6315199E"/>
    <w:rsid w:val="63157C40"/>
    <w:rsid w:val="631599B0"/>
    <w:rsid w:val="6315C8C4"/>
    <w:rsid w:val="6315D0D5"/>
    <w:rsid w:val="63165717"/>
    <w:rsid w:val="631693F5"/>
    <w:rsid w:val="63179CAF"/>
    <w:rsid w:val="6318089E"/>
    <w:rsid w:val="63184E1A"/>
    <w:rsid w:val="63186FF9"/>
    <w:rsid w:val="6318941E"/>
    <w:rsid w:val="631A0191"/>
    <w:rsid w:val="631AC43E"/>
    <w:rsid w:val="631AD294"/>
    <w:rsid w:val="631AE6D3"/>
    <w:rsid w:val="631B362D"/>
    <w:rsid w:val="631B794A"/>
    <w:rsid w:val="631BB2B1"/>
    <w:rsid w:val="631D9D59"/>
    <w:rsid w:val="631DE334"/>
    <w:rsid w:val="631E588C"/>
    <w:rsid w:val="631EA827"/>
    <w:rsid w:val="631F3688"/>
    <w:rsid w:val="631F9858"/>
    <w:rsid w:val="631FE17D"/>
    <w:rsid w:val="6320249E"/>
    <w:rsid w:val="63205270"/>
    <w:rsid w:val="63209181"/>
    <w:rsid w:val="632125DB"/>
    <w:rsid w:val="6321949F"/>
    <w:rsid w:val="6321F4CA"/>
    <w:rsid w:val="63220E02"/>
    <w:rsid w:val="6322659B"/>
    <w:rsid w:val="632267B8"/>
    <w:rsid w:val="632274D3"/>
    <w:rsid w:val="6322EF32"/>
    <w:rsid w:val="63232ED8"/>
    <w:rsid w:val="632454EC"/>
    <w:rsid w:val="6324E792"/>
    <w:rsid w:val="63257152"/>
    <w:rsid w:val="6325FD88"/>
    <w:rsid w:val="6326FBAD"/>
    <w:rsid w:val="63274E84"/>
    <w:rsid w:val="63277A02"/>
    <w:rsid w:val="63278F77"/>
    <w:rsid w:val="6327F110"/>
    <w:rsid w:val="63284BC2"/>
    <w:rsid w:val="632861C1"/>
    <w:rsid w:val="6329201D"/>
    <w:rsid w:val="632B20BE"/>
    <w:rsid w:val="632BC543"/>
    <w:rsid w:val="632DDCD5"/>
    <w:rsid w:val="632E03CB"/>
    <w:rsid w:val="632FBBDD"/>
    <w:rsid w:val="632FE739"/>
    <w:rsid w:val="6330A1E9"/>
    <w:rsid w:val="6330A91D"/>
    <w:rsid w:val="6330C398"/>
    <w:rsid w:val="6330C947"/>
    <w:rsid w:val="63311124"/>
    <w:rsid w:val="633266AF"/>
    <w:rsid w:val="6332D600"/>
    <w:rsid w:val="6332E194"/>
    <w:rsid w:val="6333835F"/>
    <w:rsid w:val="633466B4"/>
    <w:rsid w:val="633498F1"/>
    <w:rsid w:val="633618C8"/>
    <w:rsid w:val="6336D3AD"/>
    <w:rsid w:val="6337118E"/>
    <w:rsid w:val="63375D1C"/>
    <w:rsid w:val="6337827F"/>
    <w:rsid w:val="633804DD"/>
    <w:rsid w:val="633986C4"/>
    <w:rsid w:val="63399C4D"/>
    <w:rsid w:val="6339C808"/>
    <w:rsid w:val="633A141D"/>
    <w:rsid w:val="633A1681"/>
    <w:rsid w:val="633A1868"/>
    <w:rsid w:val="633A293C"/>
    <w:rsid w:val="633A4B86"/>
    <w:rsid w:val="633A5EF0"/>
    <w:rsid w:val="633BCE2F"/>
    <w:rsid w:val="633BD264"/>
    <w:rsid w:val="633C5826"/>
    <w:rsid w:val="633CC8CE"/>
    <w:rsid w:val="633D188E"/>
    <w:rsid w:val="633D88D1"/>
    <w:rsid w:val="633DD5B4"/>
    <w:rsid w:val="633DF46E"/>
    <w:rsid w:val="633E50AC"/>
    <w:rsid w:val="633E5B6E"/>
    <w:rsid w:val="633ED411"/>
    <w:rsid w:val="633EE595"/>
    <w:rsid w:val="633F8396"/>
    <w:rsid w:val="633FD0A5"/>
    <w:rsid w:val="633FFFEA"/>
    <w:rsid w:val="634005CE"/>
    <w:rsid w:val="63400C3C"/>
    <w:rsid w:val="63400EF5"/>
    <w:rsid w:val="6340556D"/>
    <w:rsid w:val="63406E00"/>
    <w:rsid w:val="634159C2"/>
    <w:rsid w:val="634162BB"/>
    <w:rsid w:val="6343E928"/>
    <w:rsid w:val="6344E964"/>
    <w:rsid w:val="6345694B"/>
    <w:rsid w:val="6345CEE0"/>
    <w:rsid w:val="6345EDDB"/>
    <w:rsid w:val="63470161"/>
    <w:rsid w:val="63470E0A"/>
    <w:rsid w:val="6347A153"/>
    <w:rsid w:val="6347F3F3"/>
    <w:rsid w:val="63480997"/>
    <w:rsid w:val="63483437"/>
    <w:rsid w:val="63486092"/>
    <w:rsid w:val="6348840B"/>
    <w:rsid w:val="6348A654"/>
    <w:rsid w:val="6349A7DA"/>
    <w:rsid w:val="6349AC80"/>
    <w:rsid w:val="6349EF07"/>
    <w:rsid w:val="634C2D61"/>
    <w:rsid w:val="634D2523"/>
    <w:rsid w:val="634DD9CD"/>
    <w:rsid w:val="634F0067"/>
    <w:rsid w:val="634F6624"/>
    <w:rsid w:val="634F78DB"/>
    <w:rsid w:val="63500BCA"/>
    <w:rsid w:val="63503020"/>
    <w:rsid w:val="6350A0F0"/>
    <w:rsid w:val="6352A911"/>
    <w:rsid w:val="63537F5E"/>
    <w:rsid w:val="6353897C"/>
    <w:rsid w:val="6353C686"/>
    <w:rsid w:val="6353FAC1"/>
    <w:rsid w:val="6354CF18"/>
    <w:rsid w:val="6354F963"/>
    <w:rsid w:val="63551061"/>
    <w:rsid w:val="635583FE"/>
    <w:rsid w:val="63573F2A"/>
    <w:rsid w:val="6357891E"/>
    <w:rsid w:val="6357A1DB"/>
    <w:rsid w:val="6359B163"/>
    <w:rsid w:val="6359C534"/>
    <w:rsid w:val="6359D53D"/>
    <w:rsid w:val="635A0107"/>
    <w:rsid w:val="635AD781"/>
    <w:rsid w:val="635B6D91"/>
    <w:rsid w:val="635B8423"/>
    <w:rsid w:val="635D5313"/>
    <w:rsid w:val="635D6FD6"/>
    <w:rsid w:val="635DCF43"/>
    <w:rsid w:val="635FC5D7"/>
    <w:rsid w:val="63607F8C"/>
    <w:rsid w:val="636080F3"/>
    <w:rsid w:val="636185F1"/>
    <w:rsid w:val="6362AE6F"/>
    <w:rsid w:val="63637952"/>
    <w:rsid w:val="6363E33F"/>
    <w:rsid w:val="63641E31"/>
    <w:rsid w:val="6364F821"/>
    <w:rsid w:val="63651E26"/>
    <w:rsid w:val="636620B0"/>
    <w:rsid w:val="63667DC7"/>
    <w:rsid w:val="6366823D"/>
    <w:rsid w:val="63668548"/>
    <w:rsid w:val="6367016F"/>
    <w:rsid w:val="6368313E"/>
    <w:rsid w:val="6368EE79"/>
    <w:rsid w:val="6368F7EC"/>
    <w:rsid w:val="6369049F"/>
    <w:rsid w:val="636A00AC"/>
    <w:rsid w:val="636A441C"/>
    <w:rsid w:val="636AA20E"/>
    <w:rsid w:val="636B4B9B"/>
    <w:rsid w:val="636B8A5B"/>
    <w:rsid w:val="636CE439"/>
    <w:rsid w:val="636D688B"/>
    <w:rsid w:val="636DEC28"/>
    <w:rsid w:val="636F3AC3"/>
    <w:rsid w:val="63714B9F"/>
    <w:rsid w:val="6371929F"/>
    <w:rsid w:val="6371BFA8"/>
    <w:rsid w:val="6372A2C8"/>
    <w:rsid w:val="6372EA4B"/>
    <w:rsid w:val="63735224"/>
    <w:rsid w:val="63737818"/>
    <w:rsid w:val="63737B89"/>
    <w:rsid w:val="6373BACA"/>
    <w:rsid w:val="637480C7"/>
    <w:rsid w:val="63750ABF"/>
    <w:rsid w:val="63763B46"/>
    <w:rsid w:val="63767914"/>
    <w:rsid w:val="63767DBE"/>
    <w:rsid w:val="63769082"/>
    <w:rsid w:val="637858EE"/>
    <w:rsid w:val="63787C2C"/>
    <w:rsid w:val="6378E5F4"/>
    <w:rsid w:val="63793FE1"/>
    <w:rsid w:val="637981A1"/>
    <w:rsid w:val="6379DBB9"/>
    <w:rsid w:val="637A1277"/>
    <w:rsid w:val="637A9A35"/>
    <w:rsid w:val="637B9FE7"/>
    <w:rsid w:val="637C8721"/>
    <w:rsid w:val="637CB6F8"/>
    <w:rsid w:val="637D3821"/>
    <w:rsid w:val="637DC3A2"/>
    <w:rsid w:val="637E458B"/>
    <w:rsid w:val="637E8614"/>
    <w:rsid w:val="637EBAA3"/>
    <w:rsid w:val="637FD13C"/>
    <w:rsid w:val="637FF675"/>
    <w:rsid w:val="6380EED8"/>
    <w:rsid w:val="6381D7AB"/>
    <w:rsid w:val="6381E61A"/>
    <w:rsid w:val="638310DB"/>
    <w:rsid w:val="6383B285"/>
    <w:rsid w:val="6385692D"/>
    <w:rsid w:val="6385737D"/>
    <w:rsid w:val="63863619"/>
    <w:rsid w:val="63865223"/>
    <w:rsid w:val="6386733F"/>
    <w:rsid w:val="63868DA7"/>
    <w:rsid w:val="6386F4BF"/>
    <w:rsid w:val="6387132F"/>
    <w:rsid w:val="63874412"/>
    <w:rsid w:val="6387A1FC"/>
    <w:rsid w:val="6387A8B5"/>
    <w:rsid w:val="6387BFDA"/>
    <w:rsid w:val="6389692A"/>
    <w:rsid w:val="63898ED3"/>
    <w:rsid w:val="6389EA4F"/>
    <w:rsid w:val="638AF953"/>
    <w:rsid w:val="638BB5FE"/>
    <w:rsid w:val="638BCBDE"/>
    <w:rsid w:val="638BD8D4"/>
    <w:rsid w:val="638C07DC"/>
    <w:rsid w:val="638C0EFD"/>
    <w:rsid w:val="638C8010"/>
    <w:rsid w:val="638CA09F"/>
    <w:rsid w:val="638D159F"/>
    <w:rsid w:val="638D408A"/>
    <w:rsid w:val="638D4E81"/>
    <w:rsid w:val="638D5028"/>
    <w:rsid w:val="638D71CA"/>
    <w:rsid w:val="638E2417"/>
    <w:rsid w:val="6390B91B"/>
    <w:rsid w:val="6390EB06"/>
    <w:rsid w:val="6391E7B2"/>
    <w:rsid w:val="6392B3B4"/>
    <w:rsid w:val="6392F193"/>
    <w:rsid w:val="63938F55"/>
    <w:rsid w:val="6394DC3C"/>
    <w:rsid w:val="6395A4C0"/>
    <w:rsid w:val="6395ED56"/>
    <w:rsid w:val="63965545"/>
    <w:rsid w:val="6396E23B"/>
    <w:rsid w:val="63970054"/>
    <w:rsid w:val="63973F87"/>
    <w:rsid w:val="6397AA18"/>
    <w:rsid w:val="63980682"/>
    <w:rsid w:val="63983EBA"/>
    <w:rsid w:val="63987199"/>
    <w:rsid w:val="639AA5E5"/>
    <w:rsid w:val="639AC79F"/>
    <w:rsid w:val="639AF161"/>
    <w:rsid w:val="639AFB92"/>
    <w:rsid w:val="639B2CCE"/>
    <w:rsid w:val="639B4D31"/>
    <w:rsid w:val="639D3FEE"/>
    <w:rsid w:val="639D40DA"/>
    <w:rsid w:val="639D5853"/>
    <w:rsid w:val="639D96E6"/>
    <w:rsid w:val="639E29C9"/>
    <w:rsid w:val="639E7961"/>
    <w:rsid w:val="639ED570"/>
    <w:rsid w:val="639ED625"/>
    <w:rsid w:val="639EE929"/>
    <w:rsid w:val="639F524A"/>
    <w:rsid w:val="639F59C9"/>
    <w:rsid w:val="63A07FA7"/>
    <w:rsid w:val="63A08D66"/>
    <w:rsid w:val="63A19B0C"/>
    <w:rsid w:val="63A203E5"/>
    <w:rsid w:val="63A27620"/>
    <w:rsid w:val="63A2EE21"/>
    <w:rsid w:val="63A2FD3C"/>
    <w:rsid w:val="63A3F6EA"/>
    <w:rsid w:val="63A464A1"/>
    <w:rsid w:val="63A513AF"/>
    <w:rsid w:val="63A53AE1"/>
    <w:rsid w:val="63A53FCA"/>
    <w:rsid w:val="63A584FD"/>
    <w:rsid w:val="63A636A2"/>
    <w:rsid w:val="63A6655B"/>
    <w:rsid w:val="63A7795F"/>
    <w:rsid w:val="63A7BA97"/>
    <w:rsid w:val="63A84532"/>
    <w:rsid w:val="63A88849"/>
    <w:rsid w:val="63A8D301"/>
    <w:rsid w:val="63A8F194"/>
    <w:rsid w:val="63A961C2"/>
    <w:rsid w:val="63A96C12"/>
    <w:rsid w:val="63A9CF27"/>
    <w:rsid w:val="63A9E096"/>
    <w:rsid w:val="63A9FE1E"/>
    <w:rsid w:val="63AA4EFB"/>
    <w:rsid w:val="63AA79D9"/>
    <w:rsid w:val="63ABE5D5"/>
    <w:rsid w:val="63ABF768"/>
    <w:rsid w:val="63AC31B8"/>
    <w:rsid w:val="63AC367C"/>
    <w:rsid w:val="63AC83E9"/>
    <w:rsid w:val="63AD8709"/>
    <w:rsid w:val="63AE1261"/>
    <w:rsid w:val="63AF1E61"/>
    <w:rsid w:val="63AFE996"/>
    <w:rsid w:val="63AFF762"/>
    <w:rsid w:val="63B13AC4"/>
    <w:rsid w:val="63B1A865"/>
    <w:rsid w:val="63B1FAD6"/>
    <w:rsid w:val="63B373BB"/>
    <w:rsid w:val="63B3969A"/>
    <w:rsid w:val="63B5A6F7"/>
    <w:rsid w:val="63B5D403"/>
    <w:rsid w:val="63B621B3"/>
    <w:rsid w:val="63B64309"/>
    <w:rsid w:val="63B6BFFA"/>
    <w:rsid w:val="63B6F456"/>
    <w:rsid w:val="63B8554F"/>
    <w:rsid w:val="63B86BFF"/>
    <w:rsid w:val="63B8B185"/>
    <w:rsid w:val="63B8C340"/>
    <w:rsid w:val="63B97BE8"/>
    <w:rsid w:val="63B9E138"/>
    <w:rsid w:val="63BB1D53"/>
    <w:rsid w:val="63BBD378"/>
    <w:rsid w:val="63BC1FE9"/>
    <w:rsid w:val="63BC5EF8"/>
    <w:rsid w:val="63BC8269"/>
    <w:rsid w:val="63BCE747"/>
    <w:rsid w:val="63BCF6F1"/>
    <w:rsid w:val="63BE2329"/>
    <w:rsid w:val="63BEF99D"/>
    <w:rsid w:val="63BF38DB"/>
    <w:rsid w:val="63C17748"/>
    <w:rsid w:val="63C2E0FB"/>
    <w:rsid w:val="63C2E21D"/>
    <w:rsid w:val="63C36137"/>
    <w:rsid w:val="63C372AB"/>
    <w:rsid w:val="63C46AB4"/>
    <w:rsid w:val="63C557AD"/>
    <w:rsid w:val="63C55EE8"/>
    <w:rsid w:val="63C58924"/>
    <w:rsid w:val="63C5F56F"/>
    <w:rsid w:val="63C61EDB"/>
    <w:rsid w:val="63C68DEB"/>
    <w:rsid w:val="63C6C0A9"/>
    <w:rsid w:val="63C6C76D"/>
    <w:rsid w:val="63C6DA60"/>
    <w:rsid w:val="63C73EFF"/>
    <w:rsid w:val="63C7BBA4"/>
    <w:rsid w:val="63C83971"/>
    <w:rsid w:val="63C880A0"/>
    <w:rsid w:val="63C8E556"/>
    <w:rsid w:val="63C8E715"/>
    <w:rsid w:val="63C9A199"/>
    <w:rsid w:val="63CBB3D1"/>
    <w:rsid w:val="63CD3B15"/>
    <w:rsid w:val="63CD75AA"/>
    <w:rsid w:val="63CD90FA"/>
    <w:rsid w:val="63CDED7D"/>
    <w:rsid w:val="63CE0DC2"/>
    <w:rsid w:val="63CF3283"/>
    <w:rsid w:val="63CFECC3"/>
    <w:rsid w:val="63D01B89"/>
    <w:rsid w:val="63D1A02D"/>
    <w:rsid w:val="63D2DB1E"/>
    <w:rsid w:val="63D30DEC"/>
    <w:rsid w:val="63D30FF6"/>
    <w:rsid w:val="63D3B369"/>
    <w:rsid w:val="63D3CE59"/>
    <w:rsid w:val="63D3F253"/>
    <w:rsid w:val="63D45B58"/>
    <w:rsid w:val="63D46F66"/>
    <w:rsid w:val="63D477D6"/>
    <w:rsid w:val="63D4CF21"/>
    <w:rsid w:val="63D5B6C1"/>
    <w:rsid w:val="63D60549"/>
    <w:rsid w:val="63D68A82"/>
    <w:rsid w:val="63D6F809"/>
    <w:rsid w:val="63D7CEB6"/>
    <w:rsid w:val="63D8FFF2"/>
    <w:rsid w:val="63D98075"/>
    <w:rsid w:val="63D99148"/>
    <w:rsid w:val="63D9BCA7"/>
    <w:rsid w:val="63DA43F4"/>
    <w:rsid w:val="63DA8539"/>
    <w:rsid w:val="63DAC9FF"/>
    <w:rsid w:val="63DB587D"/>
    <w:rsid w:val="63DCA54E"/>
    <w:rsid w:val="63DCBF72"/>
    <w:rsid w:val="63DE1D48"/>
    <w:rsid w:val="63DE3317"/>
    <w:rsid w:val="63DE3CC9"/>
    <w:rsid w:val="63DF487F"/>
    <w:rsid w:val="63DFDC3D"/>
    <w:rsid w:val="63DFF7DD"/>
    <w:rsid w:val="63E007A2"/>
    <w:rsid w:val="63E01445"/>
    <w:rsid w:val="63E0C6D3"/>
    <w:rsid w:val="63E16ABF"/>
    <w:rsid w:val="63E283B0"/>
    <w:rsid w:val="63E32332"/>
    <w:rsid w:val="63E4CDEA"/>
    <w:rsid w:val="63E4E8F1"/>
    <w:rsid w:val="63E4EF70"/>
    <w:rsid w:val="63E5C7E5"/>
    <w:rsid w:val="63E6F47E"/>
    <w:rsid w:val="63E75334"/>
    <w:rsid w:val="63E7788C"/>
    <w:rsid w:val="63E7E151"/>
    <w:rsid w:val="63E81CC7"/>
    <w:rsid w:val="63E8F480"/>
    <w:rsid w:val="63E93F45"/>
    <w:rsid w:val="63E97AF6"/>
    <w:rsid w:val="63E99949"/>
    <w:rsid w:val="63E9A5DB"/>
    <w:rsid w:val="63EA1696"/>
    <w:rsid w:val="63EA2756"/>
    <w:rsid w:val="63EA7D1D"/>
    <w:rsid w:val="63EAB273"/>
    <w:rsid w:val="63EB6702"/>
    <w:rsid w:val="63EBDDB6"/>
    <w:rsid w:val="63ECC243"/>
    <w:rsid w:val="63ED7472"/>
    <w:rsid w:val="63EEA1B4"/>
    <w:rsid w:val="63EF03C2"/>
    <w:rsid w:val="63EFC702"/>
    <w:rsid w:val="63F0CEF1"/>
    <w:rsid w:val="63F175A2"/>
    <w:rsid w:val="63F19764"/>
    <w:rsid w:val="63F19D0B"/>
    <w:rsid w:val="63F1CAA7"/>
    <w:rsid w:val="63F1DEAE"/>
    <w:rsid w:val="63F2108C"/>
    <w:rsid w:val="63F2398A"/>
    <w:rsid w:val="63F25EED"/>
    <w:rsid w:val="63F36F07"/>
    <w:rsid w:val="63F39D47"/>
    <w:rsid w:val="63F4C9CD"/>
    <w:rsid w:val="63F4F2B1"/>
    <w:rsid w:val="63F505EB"/>
    <w:rsid w:val="63F5254C"/>
    <w:rsid w:val="63F64F2D"/>
    <w:rsid w:val="63F66B2D"/>
    <w:rsid w:val="63F6BD75"/>
    <w:rsid w:val="63F6BD96"/>
    <w:rsid w:val="63F6BE97"/>
    <w:rsid w:val="63F6BE9E"/>
    <w:rsid w:val="63F8A298"/>
    <w:rsid w:val="63FA89A0"/>
    <w:rsid w:val="63FB44EC"/>
    <w:rsid w:val="63FC53B3"/>
    <w:rsid w:val="63FCDBD4"/>
    <w:rsid w:val="63FDC199"/>
    <w:rsid w:val="63FF3E34"/>
    <w:rsid w:val="63FF5E48"/>
    <w:rsid w:val="63FF97C7"/>
    <w:rsid w:val="63FFC6AF"/>
    <w:rsid w:val="640161F2"/>
    <w:rsid w:val="640249DC"/>
    <w:rsid w:val="64025D28"/>
    <w:rsid w:val="6402871D"/>
    <w:rsid w:val="6402C472"/>
    <w:rsid w:val="6402DFCF"/>
    <w:rsid w:val="6403525F"/>
    <w:rsid w:val="64043BF6"/>
    <w:rsid w:val="64045A26"/>
    <w:rsid w:val="64047543"/>
    <w:rsid w:val="6404A26E"/>
    <w:rsid w:val="64052424"/>
    <w:rsid w:val="64053F8E"/>
    <w:rsid w:val="640568A2"/>
    <w:rsid w:val="6405BBF7"/>
    <w:rsid w:val="6406F803"/>
    <w:rsid w:val="640725FF"/>
    <w:rsid w:val="64074995"/>
    <w:rsid w:val="6407B0C5"/>
    <w:rsid w:val="64095B6C"/>
    <w:rsid w:val="640A341B"/>
    <w:rsid w:val="640BDEB4"/>
    <w:rsid w:val="640C08E0"/>
    <w:rsid w:val="640CA760"/>
    <w:rsid w:val="640D33F8"/>
    <w:rsid w:val="640D5BA5"/>
    <w:rsid w:val="640D6767"/>
    <w:rsid w:val="640DCF6A"/>
    <w:rsid w:val="640E1170"/>
    <w:rsid w:val="640E1234"/>
    <w:rsid w:val="640E2ABE"/>
    <w:rsid w:val="640F3CB4"/>
    <w:rsid w:val="640F8BB6"/>
    <w:rsid w:val="6410709E"/>
    <w:rsid w:val="6411C621"/>
    <w:rsid w:val="6411CD33"/>
    <w:rsid w:val="6412AEDF"/>
    <w:rsid w:val="6412C539"/>
    <w:rsid w:val="6412E58D"/>
    <w:rsid w:val="641303B0"/>
    <w:rsid w:val="641319E5"/>
    <w:rsid w:val="641343D4"/>
    <w:rsid w:val="6413E4FE"/>
    <w:rsid w:val="641472E5"/>
    <w:rsid w:val="64149819"/>
    <w:rsid w:val="64158018"/>
    <w:rsid w:val="6415C0C0"/>
    <w:rsid w:val="6415D93C"/>
    <w:rsid w:val="64163E62"/>
    <w:rsid w:val="64167278"/>
    <w:rsid w:val="64167C86"/>
    <w:rsid w:val="6416B92D"/>
    <w:rsid w:val="64174782"/>
    <w:rsid w:val="64187CAA"/>
    <w:rsid w:val="64190968"/>
    <w:rsid w:val="6419A049"/>
    <w:rsid w:val="6419AC9D"/>
    <w:rsid w:val="641A8E2B"/>
    <w:rsid w:val="641AC626"/>
    <w:rsid w:val="641BC7A1"/>
    <w:rsid w:val="641BE5C3"/>
    <w:rsid w:val="641C1DAC"/>
    <w:rsid w:val="641CA168"/>
    <w:rsid w:val="641E05BF"/>
    <w:rsid w:val="641E5933"/>
    <w:rsid w:val="6420C34F"/>
    <w:rsid w:val="6420FE5D"/>
    <w:rsid w:val="64211E88"/>
    <w:rsid w:val="6423FF94"/>
    <w:rsid w:val="64241258"/>
    <w:rsid w:val="64242561"/>
    <w:rsid w:val="642431BB"/>
    <w:rsid w:val="6424508A"/>
    <w:rsid w:val="6426058F"/>
    <w:rsid w:val="6426CF2D"/>
    <w:rsid w:val="6426EF6E"/>
    <w:rsid w:val="6427258F"/>
    <w:rsid w:val="642734AC"/>
    <w:rsid w:val="6427D24E"/>
    <w:rsid w:val="6427E57B"/>
    <w:rsid w:val="64281F50"/>
    <w:rsid w:val="64284198"/>
    <w:rsid w:val="64286631"/>
    <w:rsid w:val="6428BF47"/>
    <w:rsid w:val="6428C900"/>
    <w:rsid w:val="6429EBF0"/>
    <w:rsid w:val="642A4BFD"/>
    <w:rsid w:val="642A818D"/>
    <w:rsid w:val="642AD9E9"/>
    <w:rsid w:val="642AEF47"/>
    <w:rsid w:val="642B13AA"/>
    <w:rsid w:val="642B178E"/>
    <w:rsid w:val="642B5C4B"/>
    <w:rsid w:val="642C272E"/>
    <w:rsid w:val="642C3848"/>
    <w:rsid w:val="642C567F"/>
    <w:rsid w:val="642D49DB"/>
    <w:rsid w:val="642D4ABE"/>
    <w:rsid w:val="642D8AAF"/>
    <w:rsid w:val="642DCED8"/>
    <w:rsid w:val="642DF1F5"/>
    <w:rsid w:val="642E51A4"/>
    <w:rsid w:val="642ECB77"/>
    <w:rsid w:val="642F5E38"/>
    <w:rsid w:val="642FC1C3"/>
    <w:rsid w:val="642FE4E0"/>
    <w:rsid w:val="643013E1"/>
    <w:rsid w:val="6433759C"/>
    <w:rsid w:val="64337BAD"/>
    <w:rsid w:val="64351EA5"/>
    <w:rsid w:val="6437BC7B"/>
    <w:rsid w:val="64382382"/>
    <w:rsid w:val="64382B30"/>
    <w:rsid w:val="64393FD2"/>
    <w:rsid w:val="6439ACB9"/>
    <w:rsid w:val="643A3AAC"/>
    <w:rsid w:val="643A7ED4"/>
    <w:rsid w:val="643ABB49"/>
    <w:rsid w:val="643B2C18"/>
    <w:rsid w:val="643C0DE8"/>
    <w:rsid w:val="643C1827"/>
    <w:rsid w:val="643C3496"/>
    <w:rsid w:val="643C3EDF"/>
    <w:rsid w:val="643C9942"/>
    <w:rsid w:val="643CCB75"/>
    <w:rsid w:val="643CD77E"/>
    <w:rsid w:val="643D3C74"/>
    <w:rsid w:val="643D5A79"/>
    <w:rsid w:val="643D8800"/>
    <w:rsid w:val="643DA104"/>
    <w:rsid w:val="644246C1"/>
    <w:rsid w:val="64425922"/>
    <w:rsid w:val="644414EB"/>
    <w:rsid w:val="644421E9"/>
    <w:rsid w:val="64456A2D"/>
    <w:rsid w:val="64460CEF"/>
    <w:rsid w:val="6446AE22"/>
    <w:rsid w:val="64473163"/>
    <w:rsid w:val="644737C1"/>
    <w:rsid w:val="644758F8"/>
    <w:rsid w:val="64479A4F"/>
    <w:rsid w:val="6447AC8B"/>
    <w:rsid w:val="644855FF"/>
    <w:rsid w:val="64486ED9"/>
    <w:rsid w:val="6448BDC0"/>
    <w:rsid w:val="6448E878"/>
    <w:rsid w:val="6448F1BF"/>
    <w:rsid w:val="644A71A7"/>
    <w:rsid w:val="644AA6D6"/>
    <w:rsid w:val="644CC48C"/>
    <w:rsid w:val="644CD80B"/>
    <w:rsid w:val="644D102A"/>
    <w:rsid w:val="644DC052"/>
    <w:rsid w:val="644E18AD"/>
    <w:rsid w:val="644EFF80"/>
    <w:rsid w:val="644F07B8"/>
    <w:rsid w:val="644F3BDE"/>
    <w:rsid w:val="644F5FDF"/>
    <w:rsid w:val="64502408"/>
    <w:rsid w:val="6451306C"/>
    <w:rsid w:val="64515BA0"/>
    <w:rsid w:val="64516AC8"/>
    <w:rsid w:val="64517414"/>
    <w:rsid w:val="6451EEE6"/>
    <w:rsid w:val="6451F851"/>
    <w:rsid w:val="64521C57"/>
    <w:rsid w:val="6452373F"/>
    <w:rsid w:val="64531299"/>
    <w:rsid w:val="645387FB"/>
    <w:rsid w:val="64544BCD"/>
    <w:rsid w:val="64554301"/>
    <w:rsid w:val="6455693F"/>
    <w:rsid w:val="6455A1E5"/>
    <w:rsid w:val="6456AD3C"/>
    <w:rsid w:val="64578F6F"/>
    <w:rsid w:val="645865CA"/>
    <w:rsid w:val="64591236"/>
    <w:rsid w:val="64592C99"/>
    <w:rsid w:val="64599028"/>
    <w:rsid w:val="645ADF6B"/>
    <w:rsid w:val="645B1DA5"/>
    <w:rsid w:val="645C3048"/>
    <w:rsid w:val="645C5473"/>
    <w:rsid w:val="645CC3A1"/>
    <w:rsid w:val="645CE56A"/>
    <w:rsid w:val="645CED2E"/>
    <w:rsid w:val="645D1B9F"/>
    <w:rsid w:val="645D4917"/>
    <w:rsid w:val="645D84BE"/>
    <w:rsid w:val="645E28A2"/>
    <w:rsid w:val="645E5F86"/>
    <w:rsid w:val="645E7CF4"/>
    <w:rsid w:val="645E9144"/>
    <w:rsid w:val="645EAF40"/>
    <w:rsid w:val="645EE7AC"/>
    <w:rsid w:val="645F2329"/>
    <w:rsid w:val="645F45CA"/>
    <w:rsid w:val="645F931D"/>
    <w:rsid w:val="645FA836"/>
    <w:rsid w:val="646159B6"/>
    <w:rsid w:val="6461A9BF"/>
    <w:rsid w:val="64620EA8"/>
    <w:rsid w:val="6462269D"/>
    <w:rsid w:val="646322FC"/>
    <w:rsid w:val="64634A0E"/>
    <w:rsid w:val="646363F7"/>
    <w:rsid w:val="6463BB6A"/>
    <w:rsid w:val="64640ACE"/>
    <w:rsid w:val="646416B2"/>
    <w:rsid w:val="6464AF1A"/>
    <w:rsid w:val="6466522F"/>
    <w:rsid w:val="646743C8"/>
    <w:rsid w:val="64676CCA"/>
    <w:rsid w:val="646806F0"/>
    <w:rsid w:val="64686350"/>
    <w:rsid w:val="6469DDA9"/>
    <w:rsid w:val="646A71DA"/>
    <w:rsid w:val="646AD994"/>
    <w:rsid w:val="646B91D5"/>
    <w:rsid w:val="646C4B64"/>
    <w:rsid w:val="646C87BE"/>
    <w:rsid w:val="646C9EEE"/>
    <w:rsid w:val="646D29C9"/>
    <w:rsid w:val="646D5E17"/>
    <w:rsid w:val="646D8796"/>
    <w:rsid w:val="646D9E0C"/>
    <w:rsid w:val="646DD8E6"/>
    <w:rsid w:val="646E8D6F"/>
    <w:rsid w:val="646EC6E6"/>
    <w:rsid w:val="646F0855"/>
    <w:rsid w:val="646F580E"/>
    <w:rsid w:val="646FC079"/>
    <w:rsid w:val="647080A5"/>
    <w:rsid w:val="647083EF"/>
    <w:rsid w:val="6470AF96"/>
    <w:rsid w:val="6470D2F4"/>
    <w:rsid w:val="6470E1C2"/>
    <w:rsid w:val="64718893"/>
    <w:rsid w:val="64725092"/>
    <w:rsid w:val="64728F1B"/>
    <w:rsid w:val="6472FE44"/>
    <w:rsid w:val="64735BB6"/>
    <w:rsid w:val="6474B730"/>
    <w:rsid w:val="6475AC01"/>
    <w:rsid w:val="6476B15C"/>
    <w:rsid w:val="64772009"/>
    <w:rsid w:val="64776928"/>
    <w:rsid w:val="64779FD1"/>
    <w:rsid w:val="64783B47"/>
    <w:rsid w:val="64788F5A"/>
    <w:rsid w:val="6478E05C"/>
    <w:rsid w:val="64792739"/>
    <w:rsid w:val="64793F5C"/>
    <w:rsid w:val="64798D3D"/>
    <w:rsid w:val="6479A856"/>
    <w:rsid w:val="6479CBC9"/>
    <w:rsid w:val="647B34A3"/>
    <w:rsid w:val="647C6897"/>
    <w:rsid w:val="647CE679"/>
    <w:rsid w:val="647D0595"/>
    <w:rsid w:val="647D785B"/>
    <w:rsid w:val="647DDBA4"/>
    <w:rsid w:val="647DE817"/>
    <w:rsid w:val="647DF2CE"/>
    <w:rsid w:val="647E87AF"/>
    <w:rsid w:val="647FDEC9"/>
    <w:rsid w:val="6481E91C"/>
    <w:rsid w:val="64822FEE"/>
    <w:rsid w:val="6482694F"/>
    <w:rsid w:val="6482CD7C"/>
    <w:rsid w:val="6482D579"/>
    <w:rsid w:val="64830828"/>
    <w:rsid w:val="64831673"/>
    <w:rsid w:val="648322FF"/>
    <w:rsid w:val="648368E3"/>
    <w:rsid w:val="6483C6EC"/>
    <w:rsid w:val="6483CC1D"/>
    <w:rsid w:val="64850482"/>
    <w:rsid w:val="6485C8C6"/>
    <w:rsid w:val="64876D7A"/>
    <w:rsid w:val="6487B048"/>
    <w:rsid w:val="6487F538"/>
    <w:rsid w:val="6488321E"/>
    <w:rsid w:val="64890600"/>
    <w:rsid w:val="64895145"/>
    <w:rsid w:val="64896F3D"/>
    <w:rsid w:val="648A4B38"/>
    <w:rsid w:val="648AC51F"/>
    <w:rsid w:val="648AD8B6"/>
    <w:rsid w:val="648AFBA6"/>
    <w:rsid w:val="648BA3DF"/>
    <w:rsid w:val="648BAD47"/>
    <w:rsid w:val="648BD883"/>
    <w:rsid w:val="648C429A"/>
    <w:rsid w:val="648C4F5F"/>
    <w:rsid w:val="648CAB5E"/>
    <w:rsid w:val="648D042F"/>
    <w:rsid w:val="648D6325"/>
    <w:rsid w:val="648DA417"/>
    <w:rsid w:val="648EB1A2"/>
    <w:rsid w:val="648EB8AE"/>
    <w:rsid w:val="648F50BE"/>
    <w:rsid w:val="648F8B5B"/>
    <w:rsid w:val="648FB9AB"/>
    <w:rsid w:val="6490D93F"/>
    <w:rsid w:val="649227FD"/>
    <w:rsid w:val="64923D39"/>
    <w:rsid w:val="6492568C"/>
    <w:rsid w:val="649270B3"/>
    <w:rsid w:val="64937E92"/>
    <w:rsid w:val="64944295"/>
    <w:rsid w:val="64950BF6"/>
    <w:rsid w:val="64955197"/>
    <w:rsid w:val="6496AD0C"/>
    <w:rsid w:val="649803D5"/>
    <w:rsid w:val="649834DD"/>
    <w:rsid w:val="64986183"/>
    <w:rsid w:val="6498B13C"/>
    <w:rsid w:val="6498EC6D"/>
    <w:rsid w:val="6499159D"/>
    <w:rsid w:val="64997F84"/>
    <w:rsid w:val="649AA3E6"/>
    <w:rsid w:val="649BA2C9"/>
    <w:rsid w:val="649C3E38"/>
    <w:rsid w:val="649C818A"/>
    <w:rsid w:val="649CAEF1"/>
    <w:rsid w:val="649D2D78"/>
    <w:rsid w:val="649D6EEC"/>
    <w:rsid w:val="649D79FB"/>
    <w:rsid w:val="649DE241"/>
    <w:rsid w:val="649E1213"/>
    <w:rsid w:val="649EB50B"/>
    <w:rsid w:val="649F7779"/>
    <w:rsid w:val="649F91E1"/>
    <w:rsid w:val="649FF6B7"/>
    <w:rsid w:val="64A0318F"/>
    <w:rsid w:val="64A03BF5"/>
    <w:rsid w:val="64A09E40"/>
    <w:rsid w:val="64A0DA8E"/>
    <w:rsid w:val="64A0F455"/>
    <w:rsid w:val="64A16989"/>
    <w:rsid w:val="64A1C61A"/>
    <w:rsid w:val="64A204E4"/>
    <w:rsid w:val="64A22DAB"/>
    <w:rsid w:val="64A2A064"/>
    <w:rsid w:val="64A3019C"/>
    <w:rsid w:val="64A37AC5"/>
    <w:rsid w:val="64A4D529"/>
    <w:rsid w:val="64A4DE7F"/>
    <w:rsid w:val="64A50C89"/>
    <w:rsid w:val="64A5F4A2"/>
    <w:rsid w:val="64A63359"/>
    <w:rsid w:val="64A6A935"/>
    <w:rsid w:val="64A75CF7"/>
    <w:rsid w:val="64A7F185"/>
    <w:rsid w:val="64A7FCB1"/>
    <w:rsid w:val="64A820D6"/>
    <w:rsid w:val="64A85A6E"/>
    <w:rsid w:val="64A89BBF"/>
    <w:rsid w:val="64A9402E"/>
    <w:rsid w:val="64AA7211"/>
    <w:rsid w:val="64AA9AB8"/>
    <w:rsid w:val="64AAAE5F"/>
    <w:rsid w:val="64AADA41"/>
    <w:rsid w:val="64ABCDAC"/>
    <w:rsid w:val="64AC3FB3"/>
    <w:rsid w:val="64ACE6EE"/>
    <w:rsid w:val="64AD3BA0"/>
    <w:rsid w:val="64AE970C"/>
    <w:rsid w:val="64AF66F2"/>
    <w:rsid w:val="64B03C2F"/>
    <w:rsid w:val="64B16EB2"/>
    <w:rsid w:val="64B18DA0"/>
    <w:rsid w:val="64B266F3"/>
    <w:rsid w:val="64B324D6"/>
    <w:rsid w:val="64B3E625"/>
    <w:rsid w:val="64B426CD"/>
    <w:rsid w:val="64B4650A"/>
    <w:rsid w:val="64B5B802"/>
    <w:rsid w:val="64B64062"/>
    <w:rsid w:val="64B6B792"/>
    <w:rsid w:val="64B6EB79"/>
    <w:rsid w:val="64B763E8"/>
    <w:rsid w:val="64B7C11E"/>
    <w:rsid w:val="64B7FE12"/>
    <w:rsid w:val="64B926D1"/>
    <w:rsid w:val="64B9D946"/>
    <w:rsid w:val="64BA6DE0"/>
    <w:rsid w:val="64BAC0AE"/>
    <w:rsid w:val="64BB5A55"/>
    <w:rsid w:val="64BBA950"/>
    <w:rsid w:val="64BC231E"/>
    <w:rsid w:val="64BC46FF"/>
    <w:rsid w:val="64BC62CB"/>
    <w:rsid w:val="64BC7914"/>
    <w:rsid w:val="64BDD11F"/>
    <w:rsid w:val="64BE61F3"/>
    <w:rsid w:val="64BEA27B"/>
    <w:rsid w:val="64C15925"/>
    <w:rsid w:val="64C1A494"/>
    <w:rsid w:val="64C1BA9E"/>
    <w:rsid w:val="64C1D479"/>
    <w:rsid w:val="64C1FF53"/>
    <w:rsid w:val="64C24E60"/>
    <w:rsid w:val="64C2F1B8"/>
    <w:rsid w:val="64C375F9"/>
    <w:rsid w:val="64C377DC"/>
    <w:rsid w:val="64C38E85"/>
    <w:rsid w:val="64C3D45A"/>
    <w:rsid w:val="64C566BD"/>
    <w:rsid w:val="64C69B75"/>
    <w:rsid w:val="64C6AB2D"/>
    <w:rsid w:val="64C73209"/>
    <w:rsid w:val="64C75555"/>
    <w:rsid w:val="64C7A5CC"/>
    <w:rsid w:val="64C8765C"/>
    <w:rsid w:val="64C93461"/>
    <w:rsid w:val="64C9A2ED"/>
    <w:rsid w:val="64CCB2AA"/>
    <w:rsid w:val="64CDD166"/>
    <w:rsid w:val="64CDD38E"/>
    <w:rsid w:val="64CE034D"/>
    <w:rsid w:val="64CE96DF"/>
    <w:rsid w:val="64CF8912"/>
    <w:rsid w:val="64D07808"/>
    <w:rsid w:val="64D093C5"/>
    <w:rsid w:val="64D0BA8C"/>
    <w:rsid w:val="64D177AB"/>
    <w:rsid w:val="64D1F1EA"/>
    <w:rsid w:val="64D1FF06"/>
    <w:rsid w:val="64D40CD9"/>
    <w:rsid w:val="64D448B8"/>
    <w:rsid w:val="64D48986"/>
    <w:rsid w:val="64D4A90B"/>
    <w:rsid w:val="64D4D463"/>
    <w:rsid w:val="64D69DCC"/>
    <w:rsid w:val="64D6AFC6"/>
    <w:rsid w:val="64D6C5DB"/>
    <w:rsid w:val="64D6D7B0"/>
    <w:rsid w:val="64D8E77F"/>
    <w:rsid w:val="64D96050"/>
    <w:rsid w:val="64D972EE"/>
    <w:rsid w:val="64D97CFD"/>
    <w:rsid w:val="64D9A5B8"/>
    <w:rsid w:val="64DAAA9A"/>
    <w:rsid w:val="64DAADC5"/>
    <w:rsid w:val="64DBDA90"/>
    <w:rsid w:val="64DC29F5"/>
    <w:rsid w:val="64DC462B"/>
    <w:rsid w:val="64DCBB84"/>
    <w:rsid w:val="64DD2D3F"/>
    <w:rsid w:val="64DD4080"/>
    <w:rsid w:val="64DD548B"/>
    <w:rsid w:val="64DE794B"/>
    <w:rsid w:val="64DEFDBE"/>
    <w:rsid w:val="64DF2565"/>
    <w:rsid w:val="64DF9E4B"/>
    <w:rsid w:val="64DFE696"/>
    <w:rsid w:val="64E02183"/>
    <w:rsid w:val="64E06695"/>
    <w:rsid w:val="64E074B6"/>
    <w:rsid w:val="64E07F1C"/>
    <w:rsid w:val="64E0C03C"/>
    <w:rsid w:val="64E104DC"/>
    <w:rsid w:val="64E11A88"/>
    <w:rsid w:val="64E2A8BD"/>
    <w:rsid w:val="64E2D6CE"/>
    <w:rsid w:val="64E2EA9C"/>
    <w:rsid w:val="64E3955C"/>
    <w:rsid w:val="64E3ED54"/>
    <w:rsid w:val="64E41563"/>
    <w:rsid w:val="64E48A88"/>
    <w:rsid w:val="64E69FD4"/>
    <w:rsid w:val="64E6CA4B"/>
    <w:rsid w:val="64E7CEC7"/>
    <w:rsid w:val="64E8EC57"/>
    <w:rsid w:val="64E9016A"/>
    <w:rsid w:val="64E964CB"/>
    <w:rsid w:val="64E97D14"/>
    <w:rsid w:val="64E9D8CE"/>
    <w:rsid w:val="64E9EE89"/>
    <w:rsid w:val="64EAAB81"/>
    <w:rsid w:val="64EB1598"/>
    <w:rsid w:val="64EB58DC"/>
    <w:rsid w:val="64EB8600"/>
    <w:rsid w:val="64EBBE88"/>
    <w:rsid w:val="64EBEBA4"/>
    <w:rsid w:val="64EC12BF"/>
    <w:rsid w:val="64ED2CCC"/>
    <w:rsid w:val="64ED6D58"/>
    <w:rsid w:val="64EEBE83"/>
    <w:rsid w:val="64EF74EF"/>
    <w:rsid w:val="64EF7B7A"/>
    <w:rsid w:val="64EF92D9"/>
    <w:rsid w:val="64F1F90F"/>
    <w:rsid w:val="64F1FC39"/>
    <w:rsid w:val="64F25D6D"/>
    <w:rsid w:val="64F3D460"/>
    <w:rsid w:val="64F44E10"/>
    <w:rsid w:val="64F47958"/>
    <w:rsid w:val="64F54AAF"/>
    <w:rsid w:val="64F54D24"/>
    <w:rsid w:val="64F639FF"/>
    <w:rsid w:val="64F6464F"/>
    <w:rsid w:val="64F6EA57"/>
    <w:rsid w:val="64F7484B"/>
    <w:rsid w:val="64F750BE"/>
    <w:rsid w:val="64F7D3BB"/>
    <w:rsid w:val="64F8283D"/>
    <w:rsid w:val="64F8404A"/>
    <w:rsid w:val="64F8C16F"/>
    <w:rsid w:val="64F971EB"/>
    <w:rsid w:val="64F988A4"/>
    <w:rsid w:val="64FA4A91"/>
    <w:rsid w:val="64FA8254"/>
    <w:rsid w:val="64FC6B3E"/>
    <w:rsid w:val="64FC7F7A"/>
    <w:rsid w:val="64FD5215"/>
    <w:rsid w:val="64FECC18"/>
    <w:rsid w:val="64FEE4D3"/>
    <w:rsid w:val="64FEF293"/>
    <w:rsid w:val="64FF9F30"/>
    <w:rsid w:val="6500A19B"/>
    <w:rsid w:val="6500ECAF"/>
    <w:rsid w:val="650146AC"/>
    <w:rsid w:val="65014F21"/>
    <w:rsid w:val="65016DA3"/>
    <w:rsid w:val="65022771"/>
    <w:rsid w:val="6502EFCA"/>
    <w:rsid w:val="6502FB0A"/>
    <w:rsid w:val="650380FE"/>
    <w:rsid w:val="6503A975"/>
    <w:rsid w:val="6503AF46"/>
    <w:rsid w:val="650409B2"/>
    <w:rsid w:val="6504F6FD"/>
    <w:rsid w:val="650518D9"/>
    <w:rsid w:val="65052A5A"/>
    <w:rsid w:val="650531A1"/>
    <w:rsid w:val="65056A08"/>
    <w:rsid w:val="6505F05D"/>
    <w:rsid w:val="6507000A"/>
    <w:rsid w:val="6507A3B8"/>
    <w:rsid w:val="65084E85"/>
    <w:rsid w:val="650A216F"/>
    <w:rsid w:val="650AD2E1"/>
    <w:rsid w:val="650B0C1E"/>
    <w:rsid w:val="650BC0DA"/>
    <w:rsid w:val="650BDD29"/>
    <w:rsid w:val="650BE3EC"/>
    <w:rsid w:val="650CEF4B"/>
    <w:rsid w:val="650D8107"/>
    <w:rsid w:val="650E77F0"/>
    <w:rsid w:val="650EB02A"/>
    <w:rsid w:val="650F286B"/>
    <w:rsid w:val="650F817F"/>
    <w:rsid w:val="65109251"/>
    <w:rsid w:val="6512C6A0"/>
    <w:rsid w:val="65130288"/>
    <w:rsid w:val="6513EFA3"/>
    <w:rsid w:val="651444BE"/>
    <w:rsid w:val="6514C6E2"/>
    <w:rsid w:val="651684CF"/>
    <w:rsid w:val="6516955C"/>
    <w:rsid w:val="6516F982"/>
    <w:rsid w:val="65170DBC"/>
    <w:rsid w:val="65175250"/>
    <w:rsid w:val="65176C76"/>
    <w:rsid w:val="6517E281"/>
    <w:rsid w:val="65185256"/>
    <w:rsid w:val="6518DDC9"/>
    <w:rsid w:val="65191169"/>
    <w:rsid w:val="65198506"/>
    <w:rsid w:val="6519AA19"/>
    <w:rsid w:val="651A1C14"/>
    <w:rsid w:val="651A6563"/>
    <w:rsid w:val="651A9EAF"/>
    <w:rsid w:val="651B0225"/>
    <w:rsid w:val="651B18EB"/>
    <w:rsid w:val="651B332C"/>
    <w:rsid w:val="651B620D"/>
    <w:rsid w:val="651B96DC"/>
    <w:rsid w:val="651C6319"/>
    <w:rsid w:val="651CA06C"/>
    <w:rsid w:val="651CA7BB"/>
    <w:rsid w:val="651CC780"/>
    <w:rsid w:val="651CE599"/>
    <w:rsid w:val="651D1425"/>
    <w:rsid w:val="651D736F"/>
    <w:rsid w:val="651E457D"/>
    <w:rsid w:val="651E9C5B"/>
    <w:rsid w:val="651EE0C9"/>
    <w:rsid w:val="651EEFAF"/>
    <w:rsid w:val="6520B84D"/>
    <w:rsid w:val="6520D3C5"/>
    <w:rsid w:val="65210663"/>
    <w:rsid w:val="652137B9"/>
    <w:rsid w:val="65213EBC"/>
    <w:rsid w:val="65222B85"/>
    <w:rsid w:val="652231C5"/>
    <w:rsid w:val="652289AE"/>
    <w:rsid w:val="6523EE09"/>
    <w:rsid w:val="65249F74"/>
    <w:rsid w:val="6525A8AA"/>
    <w:rsid w:val="65260F75"/>
    <w:rsid w:val="65270354"/>
    <w:rsid w:val="6527CAAD"/>
    <w:rsid w:val="6527D797"/>
    <w:rsid w:val="6527F154"/>
    <w:rsid w:val="65280326"/>
    <w:rsid w:val="65280B11"/>
    <w:rsid w:val="65289304"/>
    <w:rsid w:val="65296EF8"/>
    <w:rsid w:val="652A38DA"/>
    <w:rsid w:val="652A40FE"/>
    <w:rsid w:val="652A8DDA"/>
    <w:rsid w:val="652AEBFA"/>
    <w:rsid w:val="652B1720"/>
    <w:rsid w:val="652BCD55"/>
    <w:rsid w:val="652C295E"/>
    <w:rsid w:val="652CB748"/>
    <w:rsid w:val="652CB99C"/>
    <w:rsid w:val="652D17D1"/>
    <w:rsid w:val="652D1F81"/>
    <w:rsid w:val="652D7085"/>
    <w:rsid w:val="652D79F0"/>
    <w:rsid w:val="652F64B3"/>
    <w:rsid w:val="652F921D"/>
    <w:rsid w:val="652F9BE4"/>
    <w:rsid w:val="65303CEB"/>
    <w:rsid w:val="6530DF9C"/>
    <w:rsid w:val="6531A8C5"/>
    <w:rsid w:val="6533854B"/>
    <w:rsid w:val="6534BDC5"/>
    <w:rsid w:val="6534BE94"/>
    <w:rsid w:val="65357A56"/>
    <w:rsid w:val="653598E3"/>
    <w:rsid w:val="6535CE5E"/>
    <w:rsid w:val="65364241"/>
    <w:rsid w:val="6536EAAB"/>
    <w:rsid w:val="6536F60F"/>
    <w:rsid w:val="653724F7"/>
    <w:rsid w:val="65375F40"/>
    <w:rsid w:val="65377D33"/>
    <w:rsid w:val="65383FEF"/>
    <w:rsid w:val="65388B21"/>
    <w:rsid w:val="6538C6EE"/>
    <w:rsid w:val="6538DF71"/>
    <w:rsid w:val="65392859"/>
    <w:rsid w:val="65396B08"/>
    <w:rsid w:val="6539E8CE"/>
    <w:rsid w:val="653A332C"/>
    <w:rsid w:val="653A363F"/>
    <w:rsid w:val="653C08B6"/>
    <w:rsid w:val="653CD109"/>
    <w:rsid w:val="653D3637"/>
    <w:rsid w:val="653D5FF7"/>
    <w:rsid w:val="653DB72D"/>
    <w:rsid w:val="653E9BB7"/>
    <w:rsid w:val="653EEF88"/>
    <w:rsid w:val="653EF07A"/>
    <w:rsid w:val="654016BC"/>
    <w:rsid w:val="654020E0"/>
    <w:rsid w:val="6540A7EB"/>
    <w:rsid w:val="6541898A"/>
    <w:rsid w:val="654191B2"/>
    <w:rsid w:val="65419AFC"/>
    <w:rsid w:val="6542230E"/>
    <w:rsid w:val="6542A8E5"/>
    <w:rsid w:val="6542B606"/>
    <w:rsid w:val="65430BF8"/>
    <w:rsid w:val="65431794"/>
    <w:rsid w:val="65432DC4"/>
    <w:rsid w:val="65440ED2"/>
    <w:rsid w:val="654413EB"/>
    <w:rsid w:val="65442BE4"/>
    <w:rsid w:val="65448D08"/>
    <w:rsid w:val="6544C81C"/>
    <w:rsid w:val="6545C4E3"/>
    <w:rsid w:val="6545FD7E"/>
    <w:rsid w:val="654633B7"/>
    <w:rsid w:val="6546EC85"/>
    <w:rsid w:val="6546F267"/>
    <w:rsid w:val="65471758"/>
    <w:rsid w:val="6547326A"/>
    <w:rsid w:val="65473A36"/>
    <w:rsid w:val="654881D6"/>
    <w:rsid w:val="6548AF29"/>
    <w:rsid w:val="65493C7C"/>
    <w:rsid w:val="654AEFAF"/>
    <w:rsid w:val="654AFF3E"/>
    <w:rsid w:val="654B22BE"/>
    <w:rsid w:val="654B5EC7"/>
    <w:rsid w:val="654C542B"/>
    <w:rsid w:val="654CD0E0"/>
    <w:rsid w:val="654D399C"/>
    <w:rsid w:val="654D857B"/>
    <w:rsid w:val="65509496"/>
    <w:rsid w:val="6550EA65"/>
    <w:rsid w:val="6551ECBC"/>
    <w:rsid w:val="65521EDC"/>
    <w:rsid w:val="65527BAD"/>
    <w:rsid w:val="6552C77A"/>
    <w:rsid w:val="6553E1CC"/>
    <w:rsid w:val="6554181A"/>
    <w:rsid w:val="65546A1B"/>
    <w:rsid w:val="65551647"/>
    <w:rsid w:val="6556287C"/>
    <w:rsid w:val="65574D9D"/>
    <w:rsid w:val="6557F34B"/>
    <w:rsid w:val="65591F43"/>
    <w:rsid w:val="6559AD74"/>
    <w:rsid w:val="655A0A9F"/>
    <w:rsid w:val="655B3E48"/>
    <w:rsid w:val="655B3E61"/>
    <w:rsid w:val="655CD83A"/>
    <w:rsid w:val="655D21F7"/>
    <w:rsid w:val="655E0E42"/>
    <w:rsid w:val="655EA8F4"/>
    <w:rsid w:val="655EDB2E"/>
    <w:rsid w:val="655F2E61"/>
    <w:rsid w:val="655F7B75"/>
    <w:rsid w:val="6560E5D2"/>
    <w:rsid w:val="6560E92A"/>
    <w:rsid w:val="6560F4E2"/>
    <w:rsid w:val="656100C8"/>
    <w:rsid w:val="656137D3"/>
    <w:rsid w:val="6561913E"/>
    <w:rsid w:val="6561D817"/>
    <w:rsid w:val="65622D0A"/>
    <w:rsid w:val="6563CAB2"/>
    <w:rsid w:val="6563DA0F"/>
    <w:rsid w:val="6563E41D"/>
    <w:rsid w:val="65648A31"/>
    <w:rsid w:val="6564A001"/>
    <w:rsid w:val="656539B8"/>
    <w:rsid w:val="656598B4"/>
    <w:rsid w:val="65663CDA"/>
    <w:rsid w:val="656675A6"/>
    <w:rsid w:val="65673419"/>
    <w:rsid w:val="65673F78"/>
    <w:rsid w:val="6567574D"/>
    <w:rsid w:val="65688703"/>
    <w:rsid w:val="6568A288"/>
    <w:rsid w:val="6568CEB6"/>
    <w:rsid w:val="65697BA5"/>
    <w:rsid w:val="656B1EE1"/>
    <w:rsid w:val="656B4EED"/>
    <w:rsid w:val="656BF99C"/>
    <w:rsid w:val="656C5266"/>
    <w:rsid w:val="656C7645"/>
    <w:rsid w:val="656CEE37"/>
    <w:rsid w:val="656DC922"/>
    <w:rsid w:val="656EBB86"/>
    <w:rsid w:val="656ECE9F"/>
    <w:rsid w:val="656F38A1"/>
    <w:rsid w:val="656F406F"/>
    <w:rsid w:val="656FCF5C"/>
    <w:rsid w:val="65707413"/>
    <w:rsid w:val="6570B882"/>
    <w:rsid w:val="65714F5D"/>
    <w:rsid w:val="65717BB9"/>
    <w:rsid w:val="6571B09B"/>
    <w:rsid w:val="6572396F"/>
    <w:rsid w:val="65733038"/>
    <w:rsid w:val="6575202D"/>
    <w:rsid w:val="6575B431"/>
    <w:rsid w:val="6575C07D"/>
    <w:rsid w:val="65760224"/>
    <w:rsid w:val="6576620B"/>
    <w:rsid w:val="6578416D"/>
    <w:rsid w:val="6578D392"/>
    <w:rsid w:val="6578FD72"/>
    <w:rsid w:val="657946EC"/>
    <w:rsid w:val="657974C6"/>
    <w:rsid w:val="657A270C"/>
    <w:rsid w:val="657B1D49"/>
    <w:rsid w:val="657C56A7"/>
    <w:rsid w:val="657CADAD"/>
    <w:rsid w:val="657CBD0A"/>
    <w:rsid w:val="657D188E"/>
    <w:rsid w:val="657D2003"/>
    <w:rsid w:val="657D3917"/>
    <w:rsid w:val="657D39DB"/>
    <w:rsid w:val="657DAD71"/>
    <w:rsid w:val="657E9E43"/>
    <w:rsid w:val="657EF005"/>
    <w:rsid w:val="657F9550"/>
    <w:rsid w:val="657FD148"/>
    <w:rsid w:val="658043C0"/>
    <w:rsid w:val="65805CEF"/>
    <w:rsid w:val="6580B236"/>
    <w:rsid w:val="6580DE89"/>
    <w:rsid w:val="6580EB9B"/>
    <w:rsid w:val="65819978"/>
    <w:rsid w:val="65819B79"/>
    <w:rsid w:val="658255CF"/>
    <w:rsid w:val="65825C31"/>
    <w:rsid w:val="65827450"/>
    <w:rsid w:val="65837A30"/>
    <w:rsid w:val="658406C9"/>
    <w:rsid w:val="65853757"/>
    <w:rsid w:val="65856D0A"/>
    <w:rsid w:val="65857517"/>
    <w:rsid w:val="6585C14F"/>
    <w:rsid w:val="6585E561"/>
    <w:rsid w:val="6586336E"/>
    <w:rsid w:val="65878A1E"/>
    <w:rsid w:val="65887059"/>
    <w:rsid w:val="658950FC"/>
    <w:rsid w:val="658952D3"/>
    <w:rsid w:val="65895E4F"/>
    <w:rsid w:val="65896951"/>
    <w:rsid w:val="6589A3AC"/>
    <w:rsid w:val="658A5E50"/>
    <w:rsid w:val="658AFC37"/>
    <w:rsid w:val="658B4784"/>
    <w:rsid w:val="658B8644"/>
    <w:rsid w:val="658CEBC9"/>
    <w:rsid w:val="658CF67E"/>
    <w:rsid w:val="658D937A"/>
    <w:rsid w:val="658E8FFB"/>
    <w:rsid w:val="658F2594"/>
    <w:rsid w:val="658F5446"/>
    <w:rsid w:val="658FE702"/>
    <w:rsid w:val="6590B8C0"/>
    <w:rsid w:val="6592370B"/>
    <w:rsid w:val="6593538D"/>
    <w:rsid w:val="6593D853"/>
    <w:rsid w:val="6593DBB1"/>
    <w:rsid w:val="65940BEB"/>
    <w:rsid w:val="659434AB"/>
    <w:rsid w:val="6594D3C1"/>
    <w:rsid w:val="659567EC"/>
    <w:rsid w:val="65957A59"/>
    <w:rsid w:val="65958234"/>
    <w:rsid w:val="6596370C"/>
    <w:rsid w:val="6596427B"/>
    <w:rsid w:val="65968AE7"/>
    <w:rsid w:val="65968EDB"/>
    <w:rsid w:val="6596C16E"/>
    <w:rsid w:val="6596DA83"/>
    <w:rsid w:val="65970436"/>
    <w:rsid w:val="65972DB0"/>
    <w:rsid w:val="659802EE"/>
    <w:rsid w:val="65994BD6"/>
    <w:rsid w:val="6599ABAA"/>
    <w:rsid w:val="6599B60E"/>
    <w:rsid w:val="6599E77E"/>
    <w:rsid w:val="659A498A"/>
    <w:rsid w:val="659A5594"/>
    <w:rsid w:val="659A6A93"/>
    <w:rsid w:val="659A9597"/>
    <w:rsid w:val="659AA3B5"/>
    <w:rsid w:val="659B601A"/>
    <w:rsid w:val="659BE2EC"/>
    <w:rsid w:val="659C905A"/>
    <w:rsid w:val="659D1018"/>
    <w:rsid w:val="659D1BB0"/>
    <w:rsid w:val="659D9422"/>
    <w:rsid w:val="659EE92B"/>
    <w:rsid w:val="659FBF09"/>
    <w:rsid w:val="659FCFCB"/>
    <w:rsid w:val="65A0B696"/>
    <w:rsid w:val="65A0D538"/>
    <w:rsid w:val="65A111BC"/>
    <w:rsid w:val="65A152F2"/>
    <w:rsid w:val="65A1986F"/>
    <w:rsid w:val="65A1FC91"/>
    <w:rsid w:val="65A25469"/>
    <w:rsid w:val="65A50938"/>
    <w:rsid w:val="65A700DB"/>
    <w:rsid w:val="65A9F745"/>
    <w:rsid w:val="65AA3C4B"/>
    <w:rsid w:val="65AB53B1"/>
    <w:rsid w:val="65ABA460"/>
    <w:rsid w:val="65AC454B"/>
    <w:rsid w:val="65ACAB6B"/>
    <w:rsid w:val="65ADE15A"/>
    <w:rsid w:val="65AE01C0"/>
    <w:rsid w:val="65AE8A31"/>
    <w:rsid w:val="65AEBC3E"/>
    <w:rsid w:val="65AF0978"/>
    <w:rsid w:val="65AF5748"/>
    <w:rsid w:val="65AF7C76"/>
    <w:rsid w:val="65AFD799"/>
    <w:rsid w:val="65AFDC3E"/>
    <w:rsid w:val="65B0046C"/>
    <w:rsid w:val="65B0ADB6"/>
    <w:rsid w:val="65B0C92A"/>
    <w:rsid w:val="65B0DE52"/>
    <w:rsid w:val="65B1763A"/>
    <w:rsid w:val="65B193FA"/>
    <w:rsid w:val="65B1A3F0"/>
    <w:rsid w:val="65B1FCFC"/>
    <w:rsid w:val="65B39C75"/>
    <w:rsid w:val="65B3F77E"/>
    <w:rsid w:val="65B540FA"/>
    <w:rsid w:val="65B5AC20"/>
    <w:rsid w:val="65B5B0BB"/>
    <w:rsid w:val="65B5EBCC"/>
    <w:rsid w:val="65B5EE25"/>
    <w:rsid w:val="65B6A744"/>
    <w:rsid w:val="65B6B454"/>
    <w:rsid w:val="65B70FCD"/>
    <w:rsid w:val="65B71122"/>
    <w:rsid w:val="65B7243A"/>
    <w:rsid w:val="65B760AA"/>
    <w:rsid w:val="65B7E3FB"/>
    <w:rsid w:val="65B82AB4"/>
    <w:rsid w:val="65B83841"/>
    <w:rsid w:val="65B8A319"/>
    <w:rsid w:val="65B8DC56"/>
    <w:rsid w:val="65B9104F"/>
    <w:rsid w:val="65B95CC2"/>
    <w:rsid w:val="65B9D18E"/>
    <w:rsid w:val="65BA69C0"/>
    <w:rsid w:val="65BA9477"/>
    <w:rsid w:val="65BADFC4"/>
    <w:rsid w:val="65BBAA3C"/>
    <w:rsid w:val="65BC10A2"/>
    <w:rsid w:val="65BC6F2D"/>
    <w:rsid w:val="65BCC315"/>
    <w:rsid w:val="65BD68AA"/>
    <w:rsid w:val="65BD89C5"/>
    <w:rsid w:val="65BDFF36"/>
    <w:rsid w:val="65C08057"/>
    <w:rsid w:val="65C0FC81"/>
    <w:rsid w:val="65C10ECF"/>
    <w:rsid w:val="65C1CF85"/>
    <w:rsid w:val="65C1EF01"/>
    <w:rsid w:val="65C28A57"/>
    <w:rsid w:val="65C356B8"/>
    <w:rsid w:val="65C36C8C"/>
    <w:rsid w:val="65C38923"/>
    <w:rsid w:val="65C41081"/>
    <w:rsid w:val="65C4172E"/>
    <w:rsid w:val="65C514F6"/>
    <w:rsid w:val="65C543FB"/>
    <w:rsid w:val="65C57B8E"/>
    <w:rsid w:val="65C5910B"/>
    <w:rsid w:val="65C5E323"/>
    <w:rsid w:val="65C6A835"/>
    <w:rsid w:val="65C70BB9"/>
    <w:rsid w:val="65C742C8"/>
    <w:rsid w:val="65C7663A"/>
    <w:rsid w:val="65C8139D"/>
    <w:rsid w:val="65C8F6AC"/>
    <w:rsid w:val="65C92611"/>
    <w:rsid w:val="65C95112"/>
    <w:rsid w:val="65C9CC4E"/>
    <w:rsid w:val="65C9D904"/>
    <w:rsid w:val="65CA44E4"/>
    <w:rsid w:val="65CA99C8"/>
    <w:rsid w:val="65CB07AD"/>
    <w:rsid w:val="65CBA9D2"/>
    <w:rsid w:val="65CBF002"/>
    <w:rsid w:val="65CD0C10"/>
    <w:rsid w:val="65CE2A56"/>
    <w:rsid w:val="65CFA266"/>
    <w:rsid w:val="65CFB7DA"/>
    <w:rsid w:val="65D03647"/>
    <w:rsid w:val="65D03AA0"/>
    <w:rsid w:val="65D0F708"/>
    <w:rsid w:val="65D14B6A"/>
    <w:rsid w:val="65D23EB8"/>
    <w:rsid w:val="65D2E3ED"/>
    <w:rsid w:val="65D30A3E"/>
    <w:rsid w:val="65D37D05"/>
    <w:rsid w:val="65D39580"/>
    <w:rsid w:val="65D3C480"/>
    <w:rsid w:val="65D3E15B"/>
    <w:rsid w:val="65D4A543"/>
    <w:rsid w:val="65D4D8E2"/>
    <w:rsid w:val="65D524EB"/>
    <w:rsid w:val="65D5BDA8"/>
    <w:rsid w:val="65D5DF38"/>
    <w:rsid w:val="65D5EBD2"/>
    <w:rsid w:val="65D6E0D7"/>
    <w:rsid w:val="65D8523D"/>
    <w:rsid w:val="65D855FF"/>
    <w:rsid w:val="65D8AA1C"/>
    <w:rsid w:val="65D9BBF8"/>
    <w:rsid w:val="65D9D27E"/>
    <w:rsid w:val="65DA22F2"/>
    <w:rsid w:val="65DA8CC0"/>
    <w:rsid w:val="65DA949D"/>
    <w:rsid w:val="65DB0BBD"/>
    <w:rsid w:val="65DC9677"/>
    <w:rsid w:val="65DC96B1"/>
    <w:rsid w:val="65DD65BA"/>
    <w:rsid w:val="65DD6E0B"/>
    <w:rsid w:val="65DD8550"/>
    <w:rsid w:val="65DE36E2"/>
    <w:rsid w:val="65DF8722"/>
    <w:rsid w:val="65E0718A"/>
    <w:rsid w:val="65E0AF3B"/>
    <w:rsid w:val="65E1570B"/>
    <w:rsid w:val="65E36C46"/>
    <w:rsid w:val="65E46F3D"/>
    <w:rsid w:val="65E4B0DD"/>
    <w:rsid w:val="65E57CF6"/>
    <w:rsid w:val="65E6C1E2"/>
    <w:rsid w:val="65E72FCF"/>
    <w:rsid w:val="65E73FD1"/>
    <w:rsid w:val="65E75834"/>
    <w:rsid w:val="65E9265C"/>
    <w:rsid w:val="65E93076"/>
    <w:rsid w:val="65EA3789"/>
    <w:rsid w:val="65EA75C0"/>
    <w:rsid w:val="65EACA4C"/>
    <w:rsid w:val="65EB549C"/>
    <w:rsid w:val="65EB6203"/>
    <w:rsid w:val="65EB793D"/>
    <w:rsid w:val="65EC21B9"/>
    <w:rsid w:val="65EC4E65"/>
    <w:rsid w:val="65EC6CAD"/>
    <w:rsid w:val="65ED0590"/>
    <w:rsid w:val="65ED9463"/>
    <w:rsid w:val="65EE3514"/>
    <w:rsid w:val="65EE3EAA"/>
    <w:rsid w:val="65EF29A7"/>
    <w:rsid w:val="65EF3872"/>
    <w:rsid w:val="65EF5FEA"/>
    <w:rsid w:val="65EF854F"/>
    <w:rsid w:val="65EFD094"/>
    <w:rsid w:val="65F0076B"/>
    <w:rsid w:val="65F01085"/>
    <w:rsid w:val="65F04800"/>
    <w:rsid w:val="65F05EF4"/>
    <w:rsid w:val="65F090CA"/>
    <w:rsid w:val="65F0F3EA"/>
    <w:rsid w:val="65F1208A"/>
    <w:rsid w:val="65F26D06"/>
    <w:rsid w:val="65F276A4"/>
    <w:rsid w:val="65F2B91B"/>
    <w:rsid w:val="65F2EB4C"/>
    <w:rsid w:val="65F34AFA"/>
    <w:rsid w:val="65F34DCA"/>
    <w:rsid w:val="65F3E5EB"/>
    <w:rsid w:val="65F429AE"/>
    <w:rsid w:val="65F4DC31"/>
    <w:rsid w:val="65F5EA9E"/>
    <w:rsid w:val="65F601E1"/>
    <w:rsid w:val="65F7044A"/>
    <w:rsid w:val="65F77122"/>
    <w:rsid w:val="65F895E5"/>
    <w:rsid w:val="65FA0312"/>
    <w:rsid w:val="65FA0319"/>
    <w:rsid w:val="65FA63DB"/>
    <w:rsid w:val="65FB5FBB"/>
    <w:rsid w:val="65FBEBE2"/>
    <w:rsid w:val="65FC042E"/>
    <w:rsid w:val="65FC1517"/>
    <w:rsid w:val="65FCC05B"/>
    <w:rsid w:val="65FD97A1"/>
    <w:rsid w:val="65FE1964"/>
    <w:rsid w:val="65FEF50F"/>
    <w:rsid w:val="65FF135B"/>
    <w:rsid w:val="65FF815D"/>
    <w:rsid w:val="65FF86BA"/>
    <w:rsid w:val="65FFC37F"/>
    <w:rsid w:val="65FFD651"/>
    <w:rsid w:val="65FFE040"/>
    <w:rsid w:val="6600B94A"/>
    <w:rsid w:val="6600EB92"/>
    <w:rsid w:val="660131CE"/>
    <w:rsid w:val="6601EC05"/>
    <w:rsid w:val="66024E78"/>
    <w:rsid w:val="6603B1F9"/>
    <w:rsid w:val="6603EEC2"/>
    <w:rsid w:val="6604ED79"/>
    <w:rsid w:val="66054E1B"/>
    <w:rsid w:val="66056B32"/>
    <w:rsid w:val="66057A6A"/>
    <w:rsid w:val="6605E8D7"/>
    <w:rsid w:val="660653F9"/>
    <w:rsid w:val="6606EA65"/>
    <w:rsid w:val="6607D450"/>
    <w:rsid w:val="66081CB7"/>
    <w:rsid w:val="6608565A"/>
    <w:rsid w:val="6608D935"/>
    <w:rsid w:val="66095FC3"/>
    <w:rsid w:val="6609E44D"/>
    <w:rsid w:val="660AF40D"/>
    <w:rsid w:val="660AF624"/>
    <w:rsid w:val="660B3D7D"/>
    <w:rsid w:val="660BC3D5"/>
    <w:rsid w:val="660C279F"/>
    <w:rsid w:val="660CD240"/>
    <w:rsid w:val="660D010D"/>
    <w:rsid w:val="660D383A"/>
    <w:rsid w:val="660D5FE2"/>
    <w:rsid w:val="660F12DE"/>
    <w:rsid w:val="660F22DB"/>
    <w:rsid w:val="660F3C13"/>
    <w:rsid w:val="660F6F87"/>
    <w:rsid w:val="660FD19A"/>
    <w:rsid w:val="660FEFD5"/>
    <w:rsid w:val="66104C38"/>
    <w:rsid w:val="661058F9"/>
    <w:rsid w:val="6610C741"/>
    <w:rsid w:val="661113D8"/>
    <w:rsid w:val="66111DB0"/>
    <w:rsid w:val="66113111"/>
    <w:rsid w:val="6612123B"/>
    <w:rsid w:val="66122E2B"/>
    <w:rsid w:val="6612D8AC"/>
    <w:rsid w:val="6612F50A"/>
    <w:rsid w:val="6613EABD"/>
    <w:rsid w:val="66143250"/>
    <w:rsid w:val="661492BA"/>
    <w:rsid w:val="66153740"/>
    <w:rsid w:val="66153844"/>
    <w:rsid w:val="6615A023"/>
    <w:rsid w:val="6615F376"/>
    <w:rsid w:val="661773E0"/>
    <w:rsid w:val="6617A970"/>
    <w:rsid w:val="66181F41"/>
    <w:rsid w:val="6618F198"/>
    <w:rsid w:val="6618F95E"/>
    <w:rsid w:val="66190770"/>
    <w:rsid w:val="66199BF3"/>
    <w:rsid w:val="6619CA43"/>
    <w:rsid w:val="661A69B8"/>
    <w:rsid w:val="661B0076"/>
    <w:rsid w:val="661B75CD"/>
    <w:rsid w:val="661CB804"/>
    <w:rsid w:val="661D0C4B"/>
    <w:rsid w:val="661DC01A"/>
    <w:rsid w:val="661E0E6E"/>
    <w:rsid w:val="661E4222"/>
    <w:rsid w:val="661F2CD5"/>
    <w:rsid w:val="661F31F7"/>
    <w:rsid w:val="661FDBAC"/>
    <w:rsid w:val="6620A701"/>
    <w:rsid w:val="6620A7D8"/>
    <w:rsid w:val="6620E016"/>
    <w:rsid w:val="6620E1DA"/>
    <w:rsid w:val="662105B4"/>
    <w:rsid w:val="662266F6"/>
    <w:rsid w:val="662284F0"/>
    <w:rsid w:val="6622F988"/>
    <w:rsid w:val="6623054B"/>
    <w:rsid w:val="66238555"/>
    <w:rsid w:val="66246DAB"/>
    <w:rsid w:val="662510EB"/>
    <w:rsid w:val="66254646"/>
    <w:rsid w:val="6625B012"/>
    <w:rsid w:val="6625C445"/>
    <w:rsid w:val="6626D6A2"/>
    <w:rsid w:val="66279449"/>
    <w:rsid w:val="66279FAC"/>
    <w:rsid w:val="6628B15A"/>
    <w:rsid w:val="66290BD0"/>
    <w:rsid w:val="662953E0"/>
    <w:rsid w:val="6629ADF7"/>
    <w:rsid w:val="6629B5F1"/>
    <w:rsid w:val="662AC155"/>
    <w:rsid w:val="662B0E91"/>
    <w:rsid w:val="662C13B5"/>
    <w:rsid w:val="662CFAB2"/>
    <w:rsid w:val="662D019D"/>
    <w:rsid w:val="662D03CF"/>
    <w:rsid w:val="662D19DD"/>
    <w:rsid w:val="662E2C9A"/>
    <w:rsid w:val="662E882F"/>
    <w:rsid w:val="662ED43F"/>
    <w:rsid w:val="662F1DBF"/>
    <w:rsid w:val="662FA3ED"/>
    <w:rsid w:val="662FC495"/>
    <w:rsid w:val="6630DF35"/>
    <w:rsid w:val="6631A590"/>
    <w:rsid w:val="6631A5DE"/>
    <w:rsid w:val="6631BB93"/>
    <w:rsid w:val="66321148"/>
    <w:rsid w:val="6632E083"/>
    <w:rsid w:val="6632E9B3"/>
    <w:rsid w:val="663342BD"/>
    <w:rsid w:val="6633FAC6"/>
    <w:rsid w:val="66361A9E"/>
    <w:rsid w:val="66371E54"/>
    <w:rsid w:val="6637A8AA"/>
    <w:rsid w:val="6637B49C"/>
    <w:rsid w:val="6637F9E0"/>
    <w:rsid w:val="663802D5"/>
    <w:rsid w:val="66388144"/>
    <w:rsid w:val="6638C70C"/>
    <w:rsid w:val="66397648"/>
    <w:rsid w:val="6639D18D"/>
    <w:rsid w:val="663A4DDD"/>
    <w:rsid w:val="663AA601"/>
    <w:rsid w:val="663AC38A"/>
    <w:rsid w:val="663ACC96"/>
    <w:rsid w:val="663AED58"/>
    <w:rsid w:val="663B6DD2"/>
    <w:rsid w:val="663BA4F1"/>
    <w:rsid w:val="663BAAEB"/>
    <w:rsid w:val="663BD600"/>
    <w:rsid w:val="663BF39A"/>
    <w:rsid w:val="663C6ABE"/>
    <w:rsid w:val="663C82F8"/>
    <w:rsid w:val="663CBFFB"/>
    <w:rsid w:val="663D055C"/>
    <w:rsid w:val="663DF7D2"/>
    <w:rsid w:val="663E262B"/>
    <w:rsid w:val="663E3F9D"/>
    <w:rsid w:val="663FA5D2"/>
    <w:rsid w:val="66400710"/>
    <w:rsid w:val="66402085"/>
    <w:rsid w:val="66411435"/>
    <w:rsid w:val="664295DE"/>
    <w:rsid w:val="66430B86"/>
    <w:rsid w:val="66441C79"/>
    <w:rsid w:val="664448D1"/>
    <w:rsid w:val="66446498"/>
    <w:rsid w:val="66453E91"/>
    <w:rsid w:val="66458DB7"/>
    <w:rsid w:val="66463F4F"/>
    <w:rsid w:val="66471C80"/>
    <w:rsid w:val="664830D5"/>
    <w:rsid w:val="66485C0D"/>
    <w:rsid w:val="6648FA7B"/>
    <w:rsid w:val="6649177D"/>
    <w:rsid w:val="66492D86"/>
    <w:rsid w:val="6649A0AC"/>
    <w:rsid w:val="664A54C3"/>
    <w:rsid w:val="664AB304"/>
    <w:rsid w:val="664ABDD6"/>
    <w:rsid w:val="664B7048"/>
    <w:rsid w:val="664BF26E"/>
    <w:rsid w:val="664C5453"/>
    <w:rsid w:val="664C559F"/>
    <w:rsid w:val="664C89AE"/>
    <w:rsid w:val="664C8A45"/>
    <w:rsid w:val="664E40B7"/>
    <w:rsid w:val="664EBAD0"/>
    <w:rsid w:val="664EC1E9"/>
    <w:rsid w:val="664F36D7"/>
    <w:rsid w:val="665084BC"/>
    <w:rsid w:val="6650F22C"/>
    <w:rsid w:val="6650F9F4"/>
    <w:rsid w:val="6650FEEF"/>
    <w:rsid w:val="665101B0"/>
    <w:rsid w:val="66517564"/>
    <w:rsid w:val="6652697A"/>
    <w:rsid w:val="6652A07B"/>
    <w:rsid w:val="6652B00A"/>
    <w:rsid w:val="6652C9BA"/>
    <w:rsid w:val="66532AF7"/>
    <w:rsid w:val="6653812C"/>
    <w:rsid w:val="66547359"/>
    <w:rsid w:val="6654A2B4"/>
    <w:rsid w:val="66551AE8"/>
    <w:rsid w:val="6655F07A"/>
    <w:rsid w:val="665689EB"/>
    <w:rsid w:val="6659D157"/>
    <w:rsid w:val="665A6BCC"/>
    <w:rsid w:val="665A8170"/>
    <w:rsid w:val="665A8FFB"/>
    <w:rsid w:val="665B2CB3"/>
    <w:rsid w:val="665B31BF"/>
    <w:rsid w:val="665BB21B"/>
    <w:rsid w:val="665BF961"/>
    <w:rsid w:val="665C0BD8"/>
    <w:rsid w:val="665D36A4"/>
    <w:rsid w:val="665E2FBF"/>
    <w:rsid w:val="665E6C3D"/>
    <w:rsid w:val="665E6DB6"/>
    <w:rsid w:val="665E7C32"/>
    <w:rsid w:val="665EAA87"/>
    <w:rsid w:val="665EB8E8"/>
    <w:rsid w:val="665EE257"/>
    <w:rsid w:val="6660BD44"/>
    <w:rsid w:val="666102E2"/>
    <w:rsid w:val="66617ABC"/>
    <w:rsid w:val="6661996B"/>
    <w:rsid w:val="6661D437"/>
    <w:rsid w:val="6661EBBD"/>
    <w:rsid w:val="6662CF0C"/>
    <w:rsid w:val="66637C91"/>
    <w:rsid w:val="6663D2D9"/>
    <w:rsid w:val="6663D8EF"/>
    <w:rsid w:val="666445C1"/>
    <w:rsid w:val="6664C367"/>
    <w:rsid w:val="66652685"/>
    <w:rsid w:val="66658D65"/>
    <w:rsid w:val="6667812C"/>
    <w:rsid w:val="6667EBC4"/>
    <w:rsid w:val="6668E67D"/>
    <w:rsid w:val="6668E705"/>
    <w:rsid w:val="6668EBBB"/>
    <w:rsid w:val="66691105"/>
    <w:rsid w:val="66693912"/>
    <w:rsid w:val="666A0F0D"/>
    <w:rsid w:val="666A11FB"/>
    <w:rsid w:val="666B4F28"/>
    <w:rsid w:val="666BAD35"/>
    <w:rsid w:val="666C36A6"/>
    <w:rsid w:val="666C403E"/>
    <w:rsid w:val="666CC058"/>
    <w:rsid w:val="666CE934"/>
    <w:rsid w:val="666D51B0"/>
    <w:rsid w:val="666E3296"/>
    <w:rsid w:val="666E6E1E"/>
    <w:rsid w:val="666E9BE1"/>
    <w:rsid w:val="666EF787"/>
    <w:rsid w:val="666F3E27"/>
    <w:rsid w:val="666F71C6"/>
    <w:rsid w:val="666F977A"/>
    <w:rsid w:val="66724BC2"/>
    <w:rsid w:val="6672D361"/>
    <w:rsid w:val="66734C62"/>
    <w:rsid w:val="6674F63A"/>
    <w:rsid w:val="66755CDC"/>
    <w:rsid w:val="66759133"/>
    <w:rsid w:val="6675B9F9"/>
    <w:rsid w:val="66770BC6"/>
    <w:rsid w:val="66771E3B"/>
    <w:rsid w:val="66776750"/>
    <w:rsid w:val="6678B7A2"/>
    <w:rsid w:val="6678CECB"/>
    <w:rsid w:val="6678E44D"/>
    <w:rsid w:val="667908CE"/>
    <w:rsid w:val="66791BCE"/>
    <w:rsid w:val="66794320"/>
    <w:rsid w:val="667A1268"/>
    <w:rsid w:val="667A28E9"/>
    <w:rsid w:val="667BA09E"/>
    <w:rsid w:val="667BB329"/>
    <w:rsid w:val="667BEC05"/>
    <w:rsid w:val="667D6AA0"/>
    <w:rsid w:val="667E0F05"/>
    <w:rsid w:val="667E68EA"/>
    <w:rsid w:val="667F7A79"/>
    <w:rsid w:val="667F913A"/>
    <w:rsid w:val="667F94B6"/>
    <w:rsid w:val="667FE5EF"/>
    <w:rsid w:val="66807714"/>
    <w:rsid w:val="668233AD"/>
    <w:rsid w:val="6682A5E0"/>
    <w:rsid w:val="668366B1"/>
    <w:rsid w:val="668393BB"/>
    <w:rsid w:val="66841D66"/>
    <w:rsid w:val="6684A094"/>
    <w:rsid w:val="66855834"/>
    <w:rsid w:val="66855E93"/>
    <w:rsid w:val="668571FE"/>
    <w:rsid w:val="668594B0"/>
    <w:rsid w:val="668615F4"/>
    <w:rsid w:val="6686EA2E"/>
    <w:rsid w:val="6686FD3B"/>
    <w:rsid w:val="66870FB2"/>
    <w:rsid w:val="6687FCF0"/>
    <w:rsid w:val="668879EC"/>
    <w:rsid w:val="6688B53C"/>
    <w:rsid w:val="668A3A93"/>
    <w:rsid w:val="668A4D29"/>
    <w:rsid w:val="668A65F6"/>
    <w:rsid w:val="668A893C"/>
    <w:rsid w:val="668ADB6A"/>
    <w:rsid w:val="668B449E"/>
    <w:rsid w:val="668B5F12"/>
    <w:rsid w:val="668BBE7B"/>
    <w:rsid w:val="668BEEBC"/>
    <w:rsid w:val="668CB7C8"/>
    <w:rsid w:val="668CEC8F"/>
    <w:rsid w:val="668D390F"/>
    <w:rsid w:val="668F0BFD"/>
    <w:rsid w:val="668F1314"/>
    <w:rsid w:val="668F43EB"/>
    <w:rsid w:val="6690AA56"/>
    <w:rsid w:val="6692FE66"/>
    <w:rsid w:val="66931F70"/>
    <w:rsid w:val="6693CD6E"/>
    <w:rsid w:val="66944231"/>
    <w:rsid w:val="6694B526"/>
    <w:rsid w:val="6694B642"/>
    <w:rsid w:val="669549F9"/>
    <w:rsid w:val="66957005"/>
    <w:rsid w:val="66961396"/>
    <w:rsid w:val="66977CB0"/>
    <w:rsid w:val="669802F7"/>
    <w:rsid w:val="66987CB6"/>
    <w:rsid w:val="6698830C"/>
    <w:rsid w:val="6698AA28"/>
    <w:rsid w:val="6698B41C"/>
    <w:rsid w:val="66995AF1"/>
    <w:rsid w:val="669A8C30"/>
    <w:rsid w:val="669AB875"/>
    <w:rsid w:val="669B1940"/>
    <w:rsid w:val="669B9C93"/>
    <w:rsid w:val="669BC220"/>
    <w:rsid w:val="669C1DF5"/>
    <w:rsid w:val="669CC2BE"/>
    <w:rsid w:val="669D3667"/>
    <w:rsid w:val="669D3859"/>
    <w:rsid w:val="669D9772"/>
    <w:rsid w:val="669DED7B"/>
    <w:rsid w:val="66A05123"/>
    <w:rsid w:val="66A0B09A"/>
    <w:rsid w:val="66A0E5BF"/>
    <w:rsid w:val="66A1C3DF"/>
    <w:rsid w:val="66A288F3"/>
    <w:rsid w:val="66A3CC9C"/>
    <w:rsid w:val="66A3D22F"/>
    <w:rsid w:val="66A47C6E"/>
    <w:rsid w:val="66A4F13C"/>
    <w:rsid w:val="66A5011F"/>
    <w:rsid w:val="66A59553"/>
    <w:rsid w:val="66A66898"/>
    <w:rsid w:val="66A68621"/>
    <w:rsid w:val="66A70733"/>
    <w:rsid w:val="66A72C3B"/>
    <w:rsid w:val="66A8001C"/>
    <w:rsid w:val="66A80F53"/>
    <w:rsid w:val="66A89EE1"/>
    <w:rsid w:val="66A8AB10"/>
    <w:rsid w:val="66AA395E"/>
    <w:rsid w:val="66AAF2A3"/>
    <w:rsid w:val="66AC0784"/>
    <w:rsid w:val="66AC3393"/>
    <w:rsid w:val="66AC4D8F"/>
    <w:rsid w:val="66ADE368"/>
    <w:rsid w:val="66AE3FE0"/>
    <w:rsid w:val="66AE64FB"/>
    <w:rsid w:val="66AFFAA2"/>
    <w:rsid w:val="66B0D62A"/>
    <w:rsid w:val="66B202C4"/>
    <w:rsid w:val="66B2659A"/>
    <w:rsid w:val="66B2F5F3"/>
    <w:rsid w:val="66B30379"/>
    <w:rsid w:val="66B47D51"/>
    <w:rsid w:val="66B658A4"/>
    <w:rsid w:val="66B6CB8D"/>
    <w:rsid w:val="66B7708E"/>
    <w:rsid w:val="66B78508"/>
    <w:rsid w:val="66B825B7"/>
    <w:rsid w:val="66B8D2D4"/>
    <w:rsid w:val="66B9BD02"/>
    <w:rsid w:val="66B9D5EA"/>
    <w:rsid w:val="66B9F535"/>
    <w:rsid w:val="66BA2287"/>
    <w:rsid w:val="66BA8144"/>
    <w:rsid w:val="66BBC491"/>
    <w:rsid w:val="66BC343F"/>
    <w:rsid w:val="66BCC499"/>
    <w:rsid w:val="66BCF656"/>
    <w:rsid w:val="66BD3DCE"/>
    <w:rsid w:val="66BD5968"/>
    <w:rsid w:val="66BD9F82"/>
    <w:rsid w:val="66BE981B"/>
    <w:rsid w:val="66BF193F"/>
    <w:rsid w:val="66BF6DF5"/>
    <w:rsid w:val="66BFB5EF"/>
    <w:rsid w:val="66C01058"/>
    <w:rsid w:val="66C043CF"/>
    <w:rsid w:val="66C084CF"/>
    <w:rsid w:val="66C0944C"/>
    <w:rsid w:val="66C137B1"/>
    <w:rsid w:val="66C1B1AD"/>
    <w:rsid w:val="66C2372E"/>
    <w:rsid w:val="66C32C26"/>
    <w:rsid w:val="66C350ED"/>
    <w:rsid w:val="66C3AEC8"/>
    <w:rsid w:val="66C401EB"/>
    <w:rsid w:val="66C52BAD"/>
    <w:rsid w:val="66C563EC"/>
    <w:rsid w:val="66C5CDC8"/>
    <w:rsid w:val="66C6F689"/>
    <w:rsid w:val="66C6FF5E"/>
    <w:rsid w:val="66C7C21F"/>
    <w:rsid w:val="66C8A237"/>
    <w:rsid w:val="66C8E25D"/>
    <w:rsid w:val="66CADD17"/>
    <w:rsid w:val="66CB8B11"/>
    <w:rsid w:val="66CBCE31"/>
    <w:rsid w:val="66CD8867"/>
    <w:rsid w:val="66CE1F89"/>
    <w:rsid w:val="66CE5706"/>
    <w:rsid w:val="66CEBFE0"/>
    <w:rsid w:val="66CEF49D"/>
    <w:rsid w:val="66CF4C95"/>
    <w:rsid w:val="66D003ED"/>
    <w:rsid w:val="66D0CCF8"/>
    <w:rsid w:val="66D0D4B0"/>
    <w:rsid w:val="66D1BFE1"/>
    <w:rsid w:val="66D265D7"/>
    <w:rsid w:val="66D2CE9B"/>
    <w:rsid w:val="66D41BDF"/>
    <w:rsid w:val="66D45693"/>
    <w:rsid w:val="66D4E9F9"/>
    <w:rsid w:val="66D4FA59"/>
    <w:rsid w:val="66D4FD59"/>
    <w:rsid w:val="66D4FE34"/>
    <w:rsid w:val="66D5050F"/>
    <w:rsid w:val="66D53A0B"/>
    <w:rsid w:val="66D7E74B"/>
    <w:rsid w:val="66D82D73"/>
    <w:rsid w:val="66D839DC"/>
    <w:rsid w:val="66D90F06"/>
    <w:rsid w:val="66D994B4"/>
    <w:rsid w:val="66D9C767"/>
    <w:rsid w:val="66DA4D08"/>
    <w:rsid w:val="66DA8BB8"/>
    <w:rsid w:val="66DAB590"/>
    <w:rsid w:val="66DAC161"/>
    <w:rsid w:val="66DDDE6B"/>
    <w:rsid w:val="66DDE8DF"/>
    <w:rsid w:val="66DEC53A"/>
    <w:rsid w:val="66DF9D83"/>
    <w:rsid w:val="66E03B36"/>
    <w:rsid w:val="66E0A1E5"/>
    <w:rsid w:val="66E0C72E"/>
    <w:rsid w:val="66E139DD"/>
    <w:rsid w:val="66E1BF10"/>
    <w:rsid w:val="66E21826"/>
    <w:rsid w:val="66E2566E"/>
    <w:rsid w:val="66E271FC"/>
    <w:rsid w:val="66E2B075"/>
    <w:rsid w:val="66E39340"/>
    <w:rsid w:val="66E3D279"/>
    <w:rsid w:val="66E3FB96"/>
    <w:rsid w:val="66E432FE"/>
    <w:rsid w:val="66E490BC"/>
    <w:rsid w:val="66E4E77A"/>
    <w:rsid w:val="66E5426F"/>
    <w:rsid w:val="66E69462"/>
    <w:rsid w:val="66E6A332"/>
    <w:rsid w:val="66E79DC2"/>
    <w:rsid w:val="66E7DF3A"/>
    <w:rsid w:val="66E92D26"/>
    <w:rsid w:val="66EB15BF"/>
    <w:rsid w:val="66EB5CCE"/>
    <w:rsid w:val="66ED1A29"/>
    <w:rsid w:val="66ED525A"/>
    <w:rsid w:val="66EDCC7E"/>
    <w:rsid w:val="66EDD2AB"/>
    <w:rsid w:val="66EE551B"/>
    <w:rsid w:val="66EFF4E3"/>
    <w:rsid w:val="66F077D0"/>
    <w:rsid w:val="66F1DBB1"/>
    <w:rsid w:val="66F24196"/>
    <w:rsid w:val="66F2609F"/>
    <w:rsid w:val="66F2BCCD"/>
    <w:rsid w:val="66F303AE"/>
    <w:rsid w:val="66F33CBA"/>
    <w:rsid w:val="66F35308"/>
    <w:rsid w:val="66F429ED"/>
    <w:rsid w:val="66F50563"/>
    <w:rsid w:val="66F570CC"/>
    <w:rsid w:val="66F5BDC9"/>
    <w:rsid w:val="66F6FEE2"/>
    <w:rsid w:val="66F79988"/>
    <w:rsid w:val="66F92A80"/>
    <w:rsid w:val="66F9B1F3"/>
    <w:rsid w:val="66FB083C"/>
    <w:rsid w:val="66FB8D8E"/>
    <w:rsid w:val="66FCBAAB"/>
    <w:rsid w:val="66FD4310"/>
    <w:rsid w:val="66FDDBF6"/>
    <w:rsid w:val="66FE073E"/>
    <w:rsid w:val="66FF1A48"/>
    <w:rsid w:val="66FF22E1"/>
    <w:rsid w:val="66FF8B72"/>
    <w:rsid w:val="67000E2C"/>
    <w:rsid w:val="67012AAA"/>
    <w:rsid w:val="67018128"/>
    <w:rsid w:val="6701BEFE"/>
    <w:rsid w:val="6702AFE9"/>
    <w:rsid w:val="67034565"/>
    <w:rsid w:val="6703CDCF"/>
    <w:rsid w:val="6704464B"/>
    <w:rsid w:val="6704E764"/>
    <w:rsid w:val="67058BCA"/>
    <w:rsid w:val="6705CAE2"/>
    <w:rsid w:val="6705DA2D"/>
    <w:rsid w:val="6705DF6A"/>
    <w:rsid w:val="6705EA75"/>
    <w:rsid w:val="67064F79"/>
    <w:rsid w:val="67074146"/>
    <w:rsid w:val="670767EB"/>
    <w:rsid w:val="67078D92"/>
    <w:rsid w:val="670829B6"/>
    <w:rsid w:val="670855B9"/>
    <w:rsid w:val="6708CEA3"/>
    <w:rsid w:val="670971EE"/>
    <w:rsid w:val="6709CA21"/>
    <w:rsid w:val="6709F62F"/>
    <w:rsid w:val="670A34A3"/>
    <w:rsid w:val="670A9E87"/>
    <w:rsid w:val="670AEB7B"/>
    <w:rsid w:val="670B5E61"/>
    <w:rsid w:val="670BC2FB"/>
    <w:rsid w:val="670C3647"/>
    <w:rsid w:val="670C4E34"/>
    <w:rsid w:val="670CAA09"/>
    <w:rsid w:val="670CE0DD"/>
    <w:rsid w:val="670CE5F3"/>
    <w:rsid w:val="670CF2C0"/>
    <w:rsid w:val="670D1BC5"/>
    <w:rsid w:val="670D9846"/>
    <w:rsid w:val="670DDEEC"/>
    <w:rsid w:val="670EA21C"/>
    <w:rsid w:val="67104C32"/>
    <w:rsid w:val="6710EA76"/>
    <w:rsid w:val="6711CB5A"/>
    <w:rsid w:val="6711CF77"/>
    <w:rsid w:val="6711EC28"/>
    <w:rsid w:val="67120E60"/>
    <w:rsid w:val="6712B559"/>
    <w:rsid w:val="67138FD4"/>
    <w:rsid w:val="67143F14"/>
    <w:rsid w:val="6714424C"/>
    <w:rsid w:val="67148F5F"/>
    <w:rsid w:val="67153905"/>
    <w:rsid w:val="67163FFB"/>
    <w:rsid w:val="6716407C"/>
    <w:rsid w:val="671658A2"/>
    <w:rsid w:val="671658FA"/>
    <w:rsid w:val="6717268D"/>
    <w:rsid w:val="6717ADDC"/>
    <w:rsid w:val="6718E3C9"/>
    <w:rsid w:val="6719E8B4"/>
    <w:rsid w:val="671A4957"/>
    <w:rsid w:val="671AC754"/>
    <w:rsid w:val="671AEE7C"/>
    <w:rsid w:val="671B04F3"/>
    <w:rsid w:val="671D4214"/>
    <w:rsid w:val="671D510C"/>
    <w:rsid w:val="671D5790"/>
    <w:rsid w:val="671DC2EB"/>
    <w:rsid w:val="671DE6FD"/>
    <w:rsid w:val="671E4FCE"/>
    <w:rsid w:val="671EB3C2"/>
    <w:rsid w:val="671EC374"/>
    <w:rsid w:val="671F7EB9"/>
    <w:rsid w:val="671F9B4E"/>
    <w:rsid w:val="6720312F"/>
    <w:rsid w:val="6720B568"/>
    <w:rsid w:val="6720B6C6"/>
    <w:rsid w:val="6720CF01"/>
    <w:rsid w:val="67218085"/>
    <w:rsid w:val="6721E970"/>
    <w:rsid w:val="67225B05"/>
    <w:rsid w:val="672283A0"/>
    <w:rsid w:val="6722CF20"/>
    <w:rsid w:val="67238034"/>
    <w:rsid w:val="6723CD7D"/>
    <w:rsid w:val="6723E24F"/>
    <w:rsid w:val="672423AE"/>
    <w:rsid w:val="67247331"/>
    <w:rsid w:val="6725EC50"/>
    <w:rsid w:val="6725F643"/>
    <w:rsid w:val="67269E9C"/>
    <w:rsid w:val="6727522F"/>
    <w:rsid w:val="672776B3"/>
    <w:rsid w:val="6728218D"/>
    <w:rsid w:val="6728FC04"/>
    <w:rsid w:val="67290446"/>
    <w:rsid w:val="67292043"/>
    <w:rsid w:val="67293256"/>
    <w:rsid w:val="67296D2A"/>
    <w:rsid w:val="6729E6DF"/>
    <w:rsid w:val="6729F1FA"/>
    <w:rsid w:val="672A25E8"/>
    <w:rsid w:val="672A68F6"/>
    <w:rsid w:val="672B25BA"/>
    <w:rsid w:val="672B3FE7"/>
    <w:rsid w:val="672BD2B6"/>
    <w:rsid w:val="672CC73F"/>
    <w:rsid w:val="672CEDB8"/>
    <w:rsid w:val="672D08C0"/>
    <w:rsid w:val="672D131A"/>
    <w:rsid w:val="672ECB51"/>
    <w:rsid w:val="672F6F2E"/>
    <w:rsid w:val="672FFF19"/>
    <w:rsid w:val="67311DA2"/>
    <w:rsid w:val="673129F3"/>
    <w:rsid w:val="67322F73"/>
    <w:rsid w:val="67323134"/>
    <w:rsid w:val="6732455D"/>
    <w:rsid w:val="67328715"/>
    <w:rsid w:val="6734F8A0"/>
    <w:rsid w:val="6736A8B7"/>
    <w:rsid w:val="6736EF14"/>
    <w:rsid w:val="67373D2A"/>
    <w:rsid w:val="673788A8"/>
    <w:rsid w:val="6737A7AB"/>
    <w:rsid w:val="673879BB"/>
    <w:rsid w:val="673885B0"/>
    <w:rsid w:val="6738A5A3"/>
    <w:rsid w:val="6738DA3B"/>
    <w:rsid w:val="673A3F09"/>
    <w:rsid w:val="673A6613"/>
    <w:rsid w:val="673A79E8"/>
    <w:rsid w:val="673B8BB6"/>
    <w:rsid w:val="673C6FEE"/>
    <w:rsid w:val="673C714F"/>
    <w:rsid w:val="673E077C"/>
    <w:rsid w:val="673E8DAD"/>
    <w:rsid w:val="673EC0A6"/>
    <w:rsid w:val="673F9893"/>
    <w:rsid w:val="67403FAD"/>
    <w:rsid w:val="6740582B"/>
    <w:rsid w:val="6740B24E"/>
    <w:rsid w:val="67417578"/>
    <w:rsid w:val="67419A37"/>
    <w:rsid w:val="6741D848"/>
    <w:rsid w:val="6743BF4A"/>
    <w:rsid w:val="67440ABC"/>
    <w:rsid w:val="67441B5B"/>
    <w:rsid w:val="67448DBD"/>
    <w:rsid w:val="67449FA5"/>
    <w:rsid w:val="6744F717"/>
    <w:rsid w:val="67456220"/>
    <w:rsid w:val="674650ED"/>
    <w:rsid w:val="6746AE1C"/>
    <w:rsid w:val="6746CBEB"/>
    <w:rsid w:val="6748C25B"/>
    <w:rsid w:val="674958CA"/>
    <w:rsid w:val="67498B8E"/>
    <w:rsid w:val="674990A5"/>
    <w:rsid w:val="674AA71F"/>
    <w:rsid w:val="674B8837"/>
    <w:rsid w:val="674BDCB3"/>
    <w:rsid w:val="674CFD20"/>
    <w:rsid w:val="674DE047"/>
    <w:rsid w:val="674E7551"/>
    <w:rsid w:val="674EDC50"/>
    <w:rsid w:val="67503E38"/>
    <w:rsid w:val="67510A1D"/>
    <w:rsid w:val="6751584B"/>
    <w:rsid w:val="67528AA9"/>
    <w:rsid w:val="67531987"/>
    <w:rsid w:val="67537059"/>
    <w:rsid w:val="6753D1F0"/>
    <w:rsid w:val="675542BD"/>
    <w:rsid w:val="6755F7D7"/>
    <w:rsid w:val="67562510"/>
    <w:rsid w:val="67562932"/>
    <w:rsid w:val="6756550A"/>
    <w:rsid w:val="67572EA4"/>
    <w:rsid w:val="675851DC"/>
    <w:rsid w:val="6758E23E"/>
    <w:rsid w:val="67596111"/>
    <w:rsid w:val="6759912C"/>
    <w:rsid w:val="675A083D"/>
    <w:rsid w:val="675AE25A"/>
    <w:rsid w:val="675C01AD"/>
    <w:rsid w:val="675C0953"/>
    <w:rsid w:val="675CEB49"/>
    <w:rsid w:val="675D03DE"/>
    <w:rsid w:val="675E041F"/>
    <w:rsid w:val="675E8B65"/>
    <w:rsid w:val="675EA375"/>
    <w:rsid w:val="675F3218"/>
    <w:rsid w:val="675FC01D"/>
    <w:rsid w:val="6760CD1A"/>
    <w:rsid w:val="6760DF73"/>
    <w:rsid w:val="676113B8"/>
    <w:rsid w:val="6761E538"/>
    <w:rsid w:val="67629392"/>
    <w:rsid w:val="6763D906"/>
    <w:rsid w:val="6763E980"/>
    <w:rsid w:val="6765E83C"/>
    <w:rsid w:val="6766B269"/>
    <w:rsid w:val="6766B44B"/>
    <w:rsid w:val="67676FB7"/>
    <w:rsid w:val="6767CDE6"/>
    <w:rsid w:val="676A0284"/>
    <w:rsid w:val="676A1D7B"/>
    <w:rsid w:val="676B39C2"/>
    <w:rsid w:val="676C2730"/>
    <w:rsid w:val="676C51EE"/>
    <w:rsid w:val="676C6930"/>
    <w:rsid w:val="676CD005"/>
    <w:rsid w:val="676D77D4"/>
    <w:rsid w:val="676D7F78"/>
    <w:rsid w:val="676DC6C2"/>
    <w:rsid w:val="676E52C0"/>
    <w:rsid w:val="676E6006"/>
    <w:rsid w:val="676EA085"/>
    <w:rsid w:val="676F16C2"/>
    <w:rsid w:val="67704E55"/>
    <w:rsid w:val="67705A9F"/>
    <w:rsid w:val="677097D3"/>
    <w:rsid w:val="67719B45"/>
    <w:rsid w:val="67720356"/>
    <w:rsid w:val="67739C9A"/>
    <w:rsid w:val="6774231F"/>
    <w:rsid w:val="67749E34"/>
    <w:rsid w:val="6774A9F2"/>
    <w:rsid w:val="6774C186"/>
    <w:rsid w:val="67752BC4"/>
    <w:rsid w:val="67767A72"/>
    <w:rsid w:val="677699FE"/>
    <w:rsid w:val="67773DB7"/>
    <w:rsid w:val="67790A09"/>
    <w:rsid w:val="6779A022"/>
    <w:rsid w:val="6779C9A7"/>
    <w:rsid w:val="6779E9FB"/>
    <w:rsid w:val="6779ECBE"/>
    <w:rsid w:val="6779F2ED"/>
    <w:rsid w:val="677A35B9"/>
    <w:rsid w:val="677A453B"/>
    <w:rsid w:val="677A767D"/>
    <w:rsid w:val="677BB7A2"/>
    <w:rsid w:val="677C96F0"/>
    <w:rsid w:val="677CC864"/>
    <w:rsid w:val="677EC82D"/>
    <w:rsid w:val="677EE09F"/>
    <w:rsid w:val="677EF5F7"/>
    <w:rsid w:val="677F469C"/>
    <w:rsid w:val="677F50A5"/>
    <w:rsid w:val="677F8A41"/>
    <w:rsid w:val="677FA74D"/>
    <w:rsid w:val="67808C5A"/>
    <w:rsid w:val="6780DB39"/>
    <w:rsid w:val="6780FE3D"/>
    <w:rsid w:val="67810C4C"/>
    <w:rsid w:val="67816B0D"/>
    <w:rsid w:val="67817560"/>
    <w:rsid w:val="67824839"/>
    <w:rsid w:val="6782D8D6"/>
    <w:rsid w:val="6783A767"/>
    <w:rsid w:val="6783D0DB"/>
    <w:rsid w:val="678463C9"/>
    <w:rsid w:val="67851977"/>
    <w:rsid w:val="6785BCF7"/>
    <w:rsid w:val="6786296E"/>
    <w:rsid w:val="67868660"/>
    <w:rsid w:val="67869A37"/>
    <w:rsid w:val="67876D90"/>
    <w:rsid w:val="678814C1"/>
    <w:rsid w:val="67881EFA"/>
    <w:rsid w:val="6788D0DB"/>
    <w:rsid w:val="6788EA13"/>
    <w:rsid w:val="6788F973"/>
    <w:rsid w:val="6788FF8D"/>
    <w:rsid w:val="678969AF"/>
    <w:rsid w:val="678A4EBA"/>
    <w:rsid w:val="678ABDE8"/>
    <w:rsid w:val="678C2964"/>
    <w:rsid w:val="678CB957"/>
    <w:rsid w:val="678CD0C4"/>
    <w:rsid w:val="678D71C6"/>
    <w:rsid w:val="678EBDDB"/>
    <w:rsid w:val="678FE0D7"/>
    <w:rsid w:val="67904A08"/>
    <w:rsid w:val="67906D51"/>
    <w:rsid w:val="67907455"/>
    <w:rsid w:val="67918B2A"/>
    <w:rsid w:val="67926B6D"/>
    <w:rsid w:val="679326A2"/>
    <w:rsid w:val="67945F8E"/>
    <w:rsid w:val="679465C2"/>
    <w:rsid w:val="6795B3A6"/>
    <w:rsid w:val="6795D251"/>
    <w:rsid w:val="67991155"/>
    <w:rsid w:val="67996606"/>
    <w:rsid w:val="679A0170"/>
    <w:rsid w:val="679A9A48"/>
    <w:rsid w:val="679B7332"/>
    <w:rsid w:val="679C51E9"/>
    <w:rsid w:val="679CA7CE"/>
    <w:rsid w:val="679CD27B"/>
    <w:rsid w:val="679D03D0"/>
    <w:rsid w:val="679D1A35"/>
    <w:rsid w:val="679D5829"/>
    <w:rsid w:val="679D5871"/>
    <w:rsid w:val="679E3CB3"/>
    <w:rsid w:val="67A06355"/>
    <w:rsid w:val="67A098CB"/>
    <w:rsid w:val="67A0E590"/>
    <w:rsid w:val="67A1D4C0"/>
    <w:rsid w:val="67A22122"/>
    <w:rsid w:val="67A256A4"/>
    <w:rsid w:val="67A2641F"/>
    <w:rsid w:val="67A2C6F1"/>
    <w:rsid w:val="67A4A6BB"/>
    <w:rsid w:val="67A4D6C3"/>
    <w:rsid w:val="67A548C4"/>
    <w:rsid w:val="67A57733"/>
    <w:rsid w:val="67A5E1A8"/>
    <w:rsid w:val="67A664F8"/>
    <w:rsid w:val="67A66DB4"/>
    <w:rsid w:val="67A6DDAA"/>
    <w:rsid w:val="67A7EABD"/>
    <w:rsid w:val="67A7F139"/>
    <w:rsid w:val="67A84360"/>
    <w:rsid w:val="67A8E525"/>
    <w:rsid w:val="67A949F9"/>
    <w:rsid w:val="67A99425"/>
    <w:rsid w:val="67A9A385"/>
    <w:rsid w:val="67A9F6ED"/>
    <w:rsid w:val="67AA8423"/>
    <w:rsid w:val="67AAD02D"/>
    <w:rsid w:val="67AC494A"/>
    <w:rsid w:val="67AC49C1"/>
    <w:rsid w:val="67AD3ED1"/>
    <w:rsid w:val="67AD6C0E"/>
    <w:rsid w:val="67ADF481"/>
    <w:rsid w:val="67AE4ED2"/>
    <w:rsid w:val="67AE76CE"/>
    <w:rsid w:val="67AEA5C3"/>
    <w:rsid w:val="67AEBFC7"/>
    <w:rsid w:val="67AEF74F"/>
    <w:rsid w:val="67AFC349"/>
    <w:rsid w:val="67AFCDD8"/>
    <w:rsid w:val="67B049EC"/>
    <w:rsid w:val="67B06F56"/>
    <w:rsid w:val="67B085AC"/>
    <w:rsid w:val="67B09E97"/>
    <w:rsid w:val="67B124F4"/>
    <w:rsid w:val="67B12606"/>
    <w:rsid w:val="67B191C5"/>
    <w:rsid w:val="67B1F8D9"/>
    <w:rsid w:val="67B2B455"/>
    <w:rsid w:val="67B3A4E1"/>
    <w:rsid w:val="67B3E57E"/>
    <w:rsid w:val="67B4E4ED"/>
    <w:rsid w:val="67B4FC50"/>
    <w:rsid w:val="67B50B63"/>
    <w:rsid w:val="67B59529"/>
    <w:rsid w:val="67B5A0AF"/>
    <w:rsid w:val="67B5B8DE"/>
    <w:rsid w:val="67B751B3"/>
    <w:rsid w:val="67B8A674"/>
    <w:rsid w:val="67B8F5E0"/>
    <w:rsid w:val="67B904B3"/>
    <w:rsid w:val="67B99AD9"/>
    <w:rsid w:val="67B9D4D5"/>
    <w:rsid w:val="67BA44A9"/>
    <w:rsid w:val="67BAA8EA"/>
    <w:rsid w:val="67BAAD96"/>
    <w:rsid w:val="67BBE1EC"/>
    <w:rsid w:val="67BCC005"/>
    <w:rsid w:val="67BCFA2E"/>
    <w:rsid w:val="67BD5A8E"/>
    <w:rsid w:val="67BE1164"/>
    <w:rsid w:val="67BE72E2"/>
    <w:rsid w:val="67BEAAC0"/>
    <w:rsid w:val="67BF41CC"/>
    <w:rsid w:val="67BF563E"/>
    <w:rsid w:val="67C0400F"/>
    <w:rsid w:val="67C04F8C"/>
    <w:rsid w:val="67C05585"/>
    <w:rsid w:val="67C06132"/>
    <w:rsid w:val="67C0E498"/>
    <w:rsid w:val="67C17343"/>
    <w:rsid w:val="67C20A59"/>
    <w:rsid w:val="67C322A9"/>
    <w:rsid w:val="67C38673"/>
    <w:rsid w:val="67C3BA88"/>
    <w:rsid w:val="67C3C383"/>
    <w:rsid w:val="67C42603"/>
    <w:rsid w:val="67C46368"/>
    <w:rsid w:val="67C53B60"/>
    <w:rsid w:val="67C664AE"/>
    <w:rsid w:val="67C6AACD"/>
    <w:rsid w:val="67C7222A"/>
    <w:rsid w:val="67C7ED50"/>
    <w:rsid w:val="67C82DB4"/>
    <w:rsid w:val="67C957AD"/>
    <w:rsid w:val="67C9D004"/>
    <w:rsid w:val="67C9F81A"/>
    <w:rsid w:val="67CA9983"/>
    <w:rsid w:val="67CAC2F5"/>
    <w:rsid w:val="67CAF3A1"/>
    <w:rsid w:val="67CAFB5B"/>
    <w:rsid w:val="67CC239B"/>
    <w:rsid w:val="67CC4E27"/>
    <w:rsid w:val="67CC605D"/>
    <w:rsid w:val="67CC68BC"/>
    <w:rsid w:val="67CC77AD"/>
    <w:rsid w:val="67CC8186"/>
    <w:rsid w:val="67CEDAF4"/>
    <w:rsid w:val="67CF0A8C"/>
    <w:rsid w:val="67CF41C4"/>
    <w:rsid w:val="67CF7C1F"/>
    <w:rsid w:val="67CF9122"/>
    <w:rsid w:val="67CF9923"/>
    <w:rsid w:val="67CFAE5D"/>
    <w:rsid w:val="67D01F4A"/>
    <w:rsid w:val="67D051F8"/>
    <w:rsid w:val="67D0843E"/>
    <w:rsid w:val="67D0882C"/>
    <w:rsid w:val="67D095D2"/>
    <w:rsid w:val="67D0DAB3"/>
    <w:rsid w:val="67D103CD"/>
    <w:rsid w:val="67D10A2A"/>
    <w:rsid w:val="67D10D5B"/>
    <w:rsid w:val="67D11F95"/>
    <w:rsid w:val="67D1AAFE"/>
    <w:rsid w:val="67D23C50"/>
    <w:rsid w:val="67D2413C"/>
    <w:rsid w:val="67D2B8A3"/>
    <w:rsid w:val="67D3659D"/>
    <w:rsid w:val="67D3E5E6"/>
    <w:rsid w:val="67D3EC61"/>
    <w:rsid w:val="67D44208"/>
    <w:rsid w:val="67D462C9"/>
    <w:rsid w:val="67D5C743"/>
    <w:rsid w:val="67D60CA7"/>
    <w:rsid w:val="67D60F1A"/>
    <w:rsid w:val="67D652EE"/>
    <w:rsid w:val="67D659E1"/>
    <w:rsid w:val="67D79145"/>
    <w:rsid w:val="67D7FEBF"/>
    <w:rsid w:val="67D825E7"/>
    <w:rsid w:val="67D87376"/>
    <w:rsid w:val="67D89C46"/>
    <w:rsid w:val="67D8FA03"/>
    <w:rsid w:val="67D9590C"/>
    <w:rsid w:val="67D96849"/>
    <w:rsid w:val="67D98AE8"/>
    <w:rsid w:val="67DA43F0"/>
    <w:rsid w:val="67DA4829"/>
    <w:rsid w:val="67DB2826"/>
    <w:rsid w:val="67DB850C"/>
    <w:rsid w:val="67DD18AE"/>
    <w:rsid w:val="67DD1B12"/>
    <w:rsid w:val="67DD2E16"/>
    <w:rsid w:val="67DDA23D"/>
    <w:rsid w:val="67DDABAC"/>
    <w:rsid w:val="67DEBDB5"/>
    <w:rsid w:val="67DF26AE"/>
    <w:rsid w:val="67E01A55"/>
    <w:rsid w:val="67E07560"/>
    <w:rsid w:val="67E11F93"/>
    <w:rsid w:val="67E1A56C"/>
    <w:rsid w:val="67E1B363"/>
    <w:rsid w:val="67E1CB69"/>
    <w:rsid w:val="67E1DC1A"/>
    <w:rsid w:val="67E1EFA8"/>
    <w:rsid w:val="67E2CA49"/>
    <w:rsid w:val="67E2F401"/>
    <w:rsid w:val="67E3EBA9"/>
    <w:rsid w:val="67E530F6"/>
    <w:rsid w:val="67E6152D"/>
    <w:rsid w:val="67E61D5E"/>
    <w:rsid w:val="67E66444"/>
    <w:rsid w:val="67E7BACD"/>
    <w:rsid w:val="67E8F069"/>
    <w:rsid w:val="67E94533"/>
    <w:rsid w:val="67E97621"/>
    <w:rsid w:val="67E9E82C"/>
    <w:rsid w:val="67E9F8D5"/>
    <w:rsid w:val="67EA1164"/>
    <w:rsid w:val="67EA7DC3"/>
    <w:rsid w:val="67EB6CB2"/>
    <w:rsid w:val="67EB7399"/>
    <w:rsid w:val="67EB836E"/>
    <w:rsid w:val="67EB8F04"/>
    <w:rsid w:val="67EBD8E5"/>
    <w:rsid w:val="67ED1B16"/>
    <w:rsid w:val="67ED303B"/>
    <w:rsid w:val="67EECEEB"/>
    <w:rsid w:val="67EF7F54"/>
    <w:rsid w:val="67EF8FAF"/>
    <w:rsid w:val="67EFBA51"/>
    <w:rsid w:val="67F06DDA"/>
    <w:rsid w:val="67F1C432"/>
    <w:rsid w:val="67F2C25E"/>
    <w:rsid w:val="67F2D477"/>
    <w:rsid w:val="67F4B597"/>
    <w:rsid w:val="67F4C106"/>
    <w:rsid w:val="67F4D35B"/>
    <w:rsid w:val="67F59B04"/>
    <w:rsid w:val="67F5D3C1"/>
    <w:rsid w:val="67F5D747"/>
    <w:rsid w:val="67F6607B"/>
    <w:rsid w:val="67F67EB1"/>
    <w:rsid w:val="67F6D778"/>
    <w:rsid w:val="67F72C78"/>
    <w:rsid w:val="67F73DB6"/>
    <w:rsid w:val="67F83F15"/>
    <w:rsid w:val="67F8B03D"/>
    <w:rsid w:val="67F8EBFF"/>
    <w:rsid w:val="67F9459E"/>
    <w:rsid w:val="67F9CB12"/>
    <w:rsid w:val="67F9E2BE"/>
    <w:rsid w:val="67FA0C6F"/>
    <w:rsid w:val="67FA43CE"/>
    <w:rsid w:val="67FA712F"/>
    <w:rsid w:val="67FB116E"/>
    <w:rsid w:val="67FB483F"/>
    <w:rsid w:val="67FC129F"/>
    <w:rsid w:val="67FC7598"/>
    <w:rsid w:val="67FDA788"/>
    <w:rsid w:val="67FE6D72"/>
    <w:rsid w:val="67FE9972"/>
    <w:rsid w:val="67FF04AA"/>
    <w:rsid w:val="67FF2028"/>
    <w:rsid w:val="68000624"/>
    <w:rsid w:val="68007687"/>
    <w:rsid w:val="68008DCA"/>
    <w:rsid w:val="6800A1E8"/>
    <w:rsid w:val="68013025"/>
    <w:rsid w:val="68018B30"/>
    <w:rsid w:val="680204D5"/>
    <w:rsid w:val="6802BB81"/>
    <w:rsid w:val="68037145"/>
    <w:rsid w:val="6803A792"/>
    <w:rsid w:val="6803E4B8"/>
    <w:rsid w:val="6804B8E1"/>
    <w:rsid w:val="6804C973"/>
    <w:rsid w:val="6805238B"/>
    <w:rsid w:val="680567EC"/>
    <w:rsid w:val="68057209"/>
    <w:rsid w:val="6805B4C9"/>
    <w:rsid w:val="6805C8F3"/>
    <w:rsid w:val="6805F7F3"/>
    <w:rsid w:val="68060C79"/>
    <w:rsid w:val="6806C13F"/>
    <w:rsid w:val="6807083D"/>
    <w:rsid w:val="68087998"/>
    <w:rsid w:val="6808A8B2"/>
    <w:rsid w:val="6809D2CD"/>
    <w:rsid w:val="680BD646"/>
    <w:rsid w:val="680BDDB5"/>
    <w:rsid w:val="680D1050"/>
    <w:rsid w:val="680DA065"/>
    <w:rsid w:val="680E0786"/>
    <w:rsid w:val="680EE284"/>
    <w:rsid w:val="680EF0A3"/>
    <w:rsid w:val="680F523D"/>
    <w:rsid w:val="680F89D0"/>
    <w:rsid w:val="680FD0ED"/>
    <w:rsid w:val="68108470"/>
    <w:rsid w:val="6811EF71"/>
    <w:rsid w:val="681233F2"/>
    <w:rsid w:val="6812B8E3"/>
    <w:rsid w:val="6812FAD6"/>
    <w:rsid w:val="68134153"/>
    <w:rsid w:val="6813AF75"/>
    <w:rsid w:val="6813DDA4"/>
    <w:rsid w:val="68143B5A"/>
    <w:rsid w:val="68148CC0"/>
    <w:rsid w:val="68158A2C"/>
    <w:rsid w:val="6815EEFE"/>
    <w:rsid w:val="6816A46E"/>
    <w:rsid w:val="6816BE54"/>
    <w:rsid w:val="6816F3F6"/>
    <w:rsid w:val="681711F8"/>
    <w:rsid w:val="681812ED"/>
    <w:rsid w:val="68183F6A"/>
    <w:rsid w:val="68187CED"/>
    <w:rsid w:val="68199805"/>
    <w:rsid w:val="6819CA34"/>
    <w:rsid w:val="681AC769"/>
    <w:rsid w:val="681AF12B"/>
    <w:rsid w:val="681B2931"/>
    <w:rsid w:val="681C94CB"/>
    <w:rsid w:val="681CA0D2"/>
    <w:rsid w:val="681DBF42"/>
    <w:rsid w:val="681E8D86"/>
    <w:rsid w:val="681E947C"/>
    <w:rsid w:val="681E9776"/>
    <w:rsid w:val="681EB12F"/>
    <w:rsid w:val="681F9A2D"/>
    <w:rsid w:val="6820028F"/>
    <w:rsid w:val="68209B3A"/>
    <w:rsid w:val="6821AF87"/>
    <w:rsid w:val="6821C6F5"/>
    <w:rsid w:val="6821E0D9"/>
    <w:rsid w:val="68225768"/>
    <w:rsid w:val="68229774"/>
    <w:rsid w:val="68238C21"/>
    <w:rsid w:val="6823BF41"/>
    <w:rsid w:val="6823DFCD"/>
    <w:rsid w:val="682416BE"/>
    <w:rsid w:val="68248DDE"/>
    <w:rsid w:val="682493D9"/>
    <w:rsid w:val="6824D169"/>
    <w:rsid w:val="6825E2D4"/>
    <w:rsid w:val="68262521"/>
    <w:rsid w:val="68266075"/>
    <w:rsid w:val="6826CB29"/>
    <w:rsid w:val="68273CDC"/>
    <w:rsid w:val="68283A45"/>
    <w:rsid w:val="68288F67"/>
    <w:rsid w:val="6829E616"/>
    <w:rsid w:val="682A05E3"/>
    <w:rsid w:val="682A4D2C"/>
    <w:rsid w:val="682AB914"/>
    <w:rsid w:val="682B4ABF"/>
    <w:rsid w:val="682B6C6A"/>
    <w:rsid w:val="682C6DAB"/>
    <w:rsid w:val="682C7B29"/>
    <w:rsid w:val="682CB76C"/>
    <w:rsid w:val="682D3E3C"/>
    <w:rsid w:val="682D5FDB"/>
    <w:rsid w:val="682E37D2"/>
    <w:rsid w:val="682EC939"/>
    <w:rsid w:val="682FC115"/>
    <w:rsid w:val="6830BCAA"/>
    <w:rsid w:val="6831521C"/>
    <w:rsid w:val="68316105"/>
    <w:rsid w:val="68316F15"/>
    <w:rsid w:val="6831CBBB"/>
    <w:rsid w:val="683236F1"/>
    <w:rsid w:val="68323FE0"/>
    <w:rsid w:val="68324202"/>
    <w:rsid w:val="68324ED9"/>
    <w:rsid w:val="683250B1"/>
    <w:rsid w:val="6832B812"/>
    <w:rsid w:val="68333F71"/>
    <w:rsid w:val="68334B09"/>
    <w:rsid w:val="68341DDF"/>
    <w:rsid w:val="68347467"/>
    <w:rsid w:val="6834AA93"/>
    <w:rsid w:val="6834B4C3"/>
    <w:rsid w:val="68356831"/>
    <w:rsid w:val="68358581"/>
    <w:rsid w:val="6835A261"/>
    <w:rsid w:val="6835CF08"/>
    <w:rsid w:val="68365720"/>
    <w:rsid w:val="68369DA7"/>
    <w:rsid w:val="6837FED1"/>
    <w:rsid w:val="6838773D"/>
    <w:rsid w:val="683882E5"/>
    <w:rsid w:val="68389823"/>
    <w:rsid w:val="6838B826"/>
    <w:rsid w:val="6839BB37"/>
    <w:rsid w:val="6839C145"/>
    <w:rsid w:val="6839FAE8"/>
    <w:rsid w:val="683B13C5"/>
    <w:rsid w:val="683C2F2D"/>
    <w:rsid w:val="683C46E5"/>
    <w:rsid w:val="683CE90C"/>
    <w:rsid w:val="683DC8D1"/>
    <w:rsid w:val="683E23D2"/>
    <w:rsid w:val="683EA0BC"/>
    <w:rsid w:val="683EF4E8"/>
    <w:rsid w:val="683F48DA"/>
    <w:rsid w:val="683F6E61"/>
    <w:rsid w:val="683FA541"/>
    <w:rsid w:val="683FADD8"/>
    <w:rsid w:val="68401CD6"/>
    <w:rsid w:val="6840DDCD"/>
    <w:rsid w:val="6841532A"/>
    <w:rsid w:val="68419047"/>
    <w:rsid w:val="6841C400"/>
    <w:rsid w:val="6841C4C6"/>
    <w:rsid w:val="68421537"/>
    <w:rsid w:val="684274D5"/>
    <w:rsid w:val="6842F1C4"/>
    <w:rsid w:val="6843036B"/>
    <w:rsid w:val="68440E48"/>
    <w:rsid w:val="684432DD"/>
    <w:rsid w:val="6845C3E3"/>
    <w:rsid w:val="6847A0F9"/>
    <w:rsid w:val="6847F7EC"/>
    <w:rsid w:val="68482361"/>
    <w:rsid w:val="6848AA2C"/>
    <w:rsid w:val="6849B0D4"/>
    <w:rsid w:val="6849CF1C"/>
    <w:rsid w:val="684A1621"/>
    <w:rsid w:val="684AB15D"/>
    <w:rsid w:val="684B0D6D"/>
    <w:rsid w:val="684BFDB4"/>
    <w:rsid w:val="68501E52"/>
    <w:rsid w:val="68506775"/>
    <w:rsid w:val="6850E85B"/>
    <w:rsid w:val="6850EFB0"/>
    <w:rsid w:val="685303CB"/>
    <w:rsid w:val="68532D4D"/>
    <w:rsid w:val="6853B9B0"/>
    <w:rsid w:val="6853FEE3"/>
    <w:rsid w:val="68540D03"/>
    <w:rsid w:val="68545145"/>
    <w:rsid w:val="68547BE1"/>
    <w:rsid w:val="68556CE3"/>
    <w:rsid w:val="68556D97"/>
    <w:rsid w:val="6855F2E8"/>
    <w:rsid w:val="68560854"/>
    <w:rsid w:val="685648AB"/>
    <w:rsid w:val="6856C3F2"/>
    <w:rsid w:val="6857966B"/>
    <w:rsid w:val="6857BBA4"/>
    <w:rsid w:val="68580BB9"/>
    <w:rsid w:val="6858D3F0"/>
    <w:rsid w:val="6858FA13"/>
    <w:rsid w:val="68596C31"/>
    <w:rsid w:val="6859CC47"/>
    <w:rsid w:val="6859F651"/>
    <w:rsid w:val="685B09C4"/>
    <w:rsid w:val="685B1498"/>
    <w:rsid w:val="685B4657"/>
    <w:rsid w:val="685B5E70"/>
    <w:rsid w:val="685BA39E"/>
    <w:rsid w:val="685BBFDB"/>
    <w:rsid w:val="685E555A"/>
    <w:rsid w:val="685E679D"/>
    <w:rsid w:val="685EBFD3"/>
    <w:rsid w:val="685EC64E"/>
    <w:rsid w:val="685ECA93"/>
    <w:rsid w:val="685F2D00"/>
    <w:rsid w:val="68613207"/>
    <w:rsid w:val="68630453"/>
    <w:rsid w:val="68641A66"/>
    <w:rsid w:val="686586D5"/>
    <w:rsid w:val="6865A06C"/>
    <w:rsid w:val="6865E882"/>
    <w:rsid w:val="68661941"/>
    <w:rsid w:val="68672009"/>
    <w:rsid w:val="68677253"/>
    <w:rsid w:val="6867DE48"/>
    <w:rsid w:val="68687353"/>
    <w:rsid w:val="686963ED"/>
    <w:rsid w:val="68697158"/>
    <w:rsid w:val="686A46F3"/>
    <w:rsid w:val="686ADC74"/>
    <w:rsid w:val="686B61CB"/>
    <w:rsid w:val="686C8E04"/>
    <w:rsid w:val="686CDCCD"/>
    <w:rsid w:val="686D1532"/>
    <w:rsid w:val="686DDEC8"/>
    <w:rsid w:val="686E4302"/>
    <w:rsid w:val="686F6B48"/>
    <w:rsid w:val="686F867D"/>
    <w:rsid w:val="687035F9"/>
    <w:rsid w:val="6870A838"/>
    <w:rsid w:val="6870B281"/>
    <w:rsid w:val="6871534D"/>
    <w:rsid w:val="6871BAF6"/>
    <w:rsid w:val="6871D0DC"/>
    <w:rsid w:val="687201AC"/>
    <w:rsid w:val="687275C9"/>
    <w:rsid w:val="6873440F"/>
    <w:rsid w:val="6873C11E"/>
    <w:rsid w:val="6873C8B8"/>
    <w:rsid w:val="68741CCD"/>
    <w:rsid w:val="6874555B"/>
    <w:rsid w:val="6874B6A8"/>
    <w:rsid w:val="687509E1"/>
    <w:rsid w:val="6875F134"/>
    <w:rsid w:val="6875F225"/>
    <w:rsid w:val="6875FF8A"/>
    <w:rsid w:val="68760821"/>
    <w:rsid w:val="6878CF4B"/>
    <w:rsid w:val="6878DF52"/>
    <w:rsid w:val="68792AC6"/>
    <w:rsid w:val="68798675"/>
    <w:rsid w:val="687BC7C1"/>
    <w:rsid w:val="687C1DFB"/>
    <w:rsid w:val="687CC940"/>
    <w:rsid w:val="687CD56E"/>
    <w:rsid w:val="687D04C7"/>
    <w:rsid w:val="687DB69D"/>
    <w:rsid w:val="687E86F4"/>
    <w:rsid w:val="687E9E27"/>
    <w:rsid w:val="687F6280"/>
    <w:rsid w:val="688392E4"/>
    <w:rsid w:val="6883F16F"/>
    <w:rsid w:val="68841952"/>
    <w:rsid w:val="68845A2F"/>
    <w:rsid w:val="68848775"/>
    <w:rsid w:val="6884B536"/>
    <w:rsid w:val="6884E33E"/>
    <w:rsid w:val="6884FAE6"/>
    <w:rsid w:val="6885CCA5"/>
    <w:rsid w:val="6886BFEC"/>
    <w:rsid w:val="68876E52"/>
    <w:rsid w:val="688797F9"/>
    <w:rsid w:val="6888CDF8"/>
    <w:rsid w:val="6888D039"/>
    <w:rsid w:val="6888F451"/>
    <w:rsid w:val="68891804"/>
    <w:rsid w:val="6889E372"/>
    <w:rsid w:val="688AA1BD"/>
    <w:rsid w:val="688B0C93"/>
    <w:rsid w:val="688B3F31"/>
    <w:rsid w:val="688BC984"/>
    <w:rsid w:val="688C51C4"/>
    <w:rsid w:val="688C96E9"/>
    <w:rsid w:val="688CF826"/>
    <w:rsid w:val="688D3784"/>
    <w:rsid w:val="688DE763"/>
    <w:rsid w:val="688E216A"/>
    <w:rsid w:val="688E74FD"/>
    <w:rsid w:val="688F4F21"/>
    <w:rsid w:val="688FB083"/>
    <w:rsid w:val="68903087"/>
    <w:rsid w:val="68905370"/>
    <w:rsid w:val="68905B52"/>
    <w:rsid w:val="689133AF"/>
    <w:rsid w:val="68913A48"/>
    <w:rsid w:val="68919A49"/>
    <w:rsid w:val="68919C30"/>
    <w:rsid w:val="68919FE7"/>
    <w:rsid w:val="68941482"/>
    <w:rsid w:val="68942DA0"/>
    <w:rsid w:val="6894AA8C"/>
    <w:rsid w:val="689578DA"/>
    <w:rsid w:val="6895A919"/>
    <w:rsid w:val="689668DA"/>
    <w:rsid w:val="6896B4CA"/>
    <w:rsid w:val="6896B693"/>
    <w:rsid w:val="6898BCA1"/>
    <w:rsid w:val="689B8C11"/>
    <w:rsid w:val="689D271A"/>
    <w:rsid w:val="689D3098"/>
    <w:rsid w:val="689D3F66"/>
    <w:rsid w:val="689D5069"/>
    <w:rsid w:val="689DD42A"/>
    <w:rsid w:val="689F2E19"/>
    <w:rsid w:val="689F9CD5"/>
    <w:rsid w:val="68A00DF4"/>
    <w:rsid w:val="68A0B27E"/>
    <w:rsid w:val="68A16011"/>
    <w:rsid w:val="68A1D456"/>
    <w:rsid w:val="68A1E9ED"/>
    <w:rsid w:val="68A23CA1"/>
    <w:rsid w:val="68A282AF"/>
    <w:rsid w:val="68A2BEE4"/>
    <w:rsid w:val="68A2DA5B"/>
    <w:rsid w:val="68A345B3"/>
    <w:rsid w:val="68A379BF"/>
    <w:rsid w:val="68A3A9E3"/>
    <w:rsid w:val="68A51687"/>
    <w:rsid w:val="68A51BBC"/>
    <w:rsid w:val="68A56BFF"/>
    <w:rsid w:val="68A7D63D"/>
    <w:rsid w:val="68A85979"/>
    <w:rsid w:val="68A8CB3B"/>
    <w:rsid w:val="68A93F90"/>
    <w:rsid w:val="68A9697B"/>
    <w:rsid w:val="68A97664"/>
    <w:rsid w:val="68AAAD0E"/>
    <w:rsid w:val="68AB734D"/>
    <w:rsid w:val="68AB7BBE"/>
    <w:rsid w:val="68AC0CC7"/>
    <w:rsid w:val="68AC5C1C"/>
    <w:rsid w:val="68ADD837"/>
    <w:rsid w:val="68ADD8ED"/>
    <w:rsid w:val="68AE2154"/>
    <w:rsid w:val="68AE5A64"/>
    <w:rsid w:val="68AE8E86"/>
    <w:rsid w:val="68AED0EA"/>
    <w:rsid w:val="68AEF856"/>
    <w:rsid w:val="68AF1ABC"/>
    <w:rsid w:val="68B098C7"/>
    <w:rsid w:val="68B0B849"/>
    <w:rsid w:val="68B0FB3A"/>
    <w:rsid w:val="68B10C4A"/>
    <w:rsid w:val="68B11112"/>
    <w:rsid w:val="68B2F0C6"/>
    <w:rsid w:val="68B4D505"/>
    <w:rsid w:val="68B4EA83"/>
    <w:rsid w:val="68B52913"/>
    <w:rsid w:val="68B63E4D"/>
    <w:rsid w:val="68B67FEC"/>
    <w:rsid w:val="68B6D9B4"/>
    <w:rsid w:val="68B75C14"/>
    <w:rsid w:val="68B7AFC8"/>
    <w:rsid w:val="68B7BD8B"/>
    <w:rsid w:val="68B80435"/>
    <w:rsid w:val="68B87C24"/>
    <w:rsid w:val="68B89420"/>
    <w:rsid w:val="68B9581F"/>
    <w:rsid w:val="68BA1FC8"/>
    <w:rsid w:val="68BABB15"/>
    <w:rsid w:val="68BB0D1E"/>
    <w:rsid w:val="68BBAC3A"/>
    <w:rsid w:val="68BC0272"/>
    <w:rsid w:val="68BC4584"/>
    <w:rsid w:val="68BC7694"/>
    <w:rsid w:val="68BC80D4"/>
    <w:rsid w:val="68BD5444"/>
    <w:rsid w:val="68C00D8D"/>
    <w:rsid w:val="68C22BB9"/>
    <w:rsid w:val="68C25353"/>
    <w:rsid w:val="68C2EF06"/>
    <w:rsid w:val="68C33B7A"/>
    <w:rsid w:val="68C3E34F"/>
    <w:rsid w:val="68C447F0"/>
    <w:rsid w:val="68C48ECF"/>
    <w:rsid w:val="68C5526D"/>
    <w:rsid w:val="68C55676"/>
    <w:rsid w:val="68C55EF5"/>
    <w:rsid w:val="68C567C7"/>
    <w:rsid w:val="68C6886E"/>
    <w:rsid w:val="68C7170B"/>
    <w:rsid w:val="68C77BE2"/>
    <w:rsid w:val="68C78FF2"/>
    <w:rsid w:val="68C795C4"/>
    <w:rsid w:val="68C85B2B"/>
    <w:rsid w:val="68C98237"/>
    <w:rsid w:val="68C9ABAC"/>
    <w:rsid w:val="68CA133B"/>
    <w:rsid w:val="68CAAD1E"/>
    <w:rsid w:val="68CB2127"/>
    <w:rsid w:val="68CB2F43"/>
    <w:rsid w:val="68CB3DA7"/>
    <w:rsid w:val="68CC8F38"/>
    <w:rsid w:val="68CC9789"/>
    <w:rsid w:val="68CD32B9"/>
    <w:rsid w:val="68CD5451"/>
    <w:rsid w:val="68CE7109"/>
    <w:rsid w:val="68CFF451"/>
    <w:rsid w:val="68D16C91"/>
    <w:rsid w:val="68D1E52B"/>
    <w:rsid w:val="68D1F4E7"/>
    <w:rsid w:val="68D26F95"/>
    <w:rsid w:val="68D2BC47"/>
    <w:rsid w:val="68D36A61"/>
    <w:rsid w:val="68D38F8D"/>
    <w:rsid w:val="68D3DE22"/>
    <w:rsid w:val="68D434CF"/>
    <w:rsid w:val="68D43552"/>
    <w:rsid w:val="68D508DF"/>
    <w:rsid w:val="68D5C22E"/>
    <w:rsid w:val="68D64146"/>
    <w:rsid w:val="68D67F12"/>
    <w:rsid w:val="68D6824A"/>
    <w:rsid w:val="68D6F85F"/>
    <w:rsid w:val="68D78140"/>
    <w:rsid w:val="68D78C40"/>
    <w:rsid w:val="68D83FCA"/>
    <w:rsid w:val="68D8C600"/>
    <w:rsid w:val="68D940C3"/>
    <w:rsid w:val="68DA9013"/>
    <w:rsid w:val="68DAE672"/>
    <w:rsid w:val="68DB4118"/>
    <w:rsid w:val="68DB7EC2"/>
    <w:rsid w:val="68DBB057"/>
    <w:rsid w:val="68DBD722"/>
    <w:rsid w:val="68DC5732"/>
    <w:rsid w:val="68DC5AC5"/>
    <w:rsid w:val="68DC6BBC"/>
    <w:rsid w:val="68DCDFE3"/>
    <w:rsid w:val="68DD4967"/>
    <w:rsid w:val="68DE5AAC"/>
    <w:rsid w:val="68DEABE4"/>
    <w:rsid w:val="68DF05AE"/>
    <w:rsid w:val="68DF4D6E"/>
    <w:rsid w:val="68DF64A4"/>
    <w:rsid w:val="68E01A47"/>
    <w:rsid w:val="68E06319"/>
    <w:rsid w:val="68E09398"/>
    <w:rsid w:val="68E119B0"/>
    <w:rsid w:val="68E11F8D"/>
    <w:rsid w:val="68E144F7"/>
    <w:rsid w:val="68E28B4F"/>
    <w:rsid w:val="68E2D71E"/>
    <w:rsid w:val="68E38AFF"/>
    <w:rsid w:val="68E3A27D"/>
    <w:rsid w:val="68E426DE"/>
    <w:rsid w:val="68E478C6"/>
    <w:rsid w:val="68E482C2"/>
    <w:rsid w:val="68E51176"/>
    <w:rsid w:val="68E5AB84"/>
    <w:rsid w:val="68E665AA"/>
    <w:rsid w:val="68E6672C"/>
    <w:rsid w:val="68E68F53"/>
    <w:rsid w:val="68E76B69"/>
    <w:rsid w:val="68E7BBCF"/>
    <w:rsid w:val="68E7C990"/>
    <w:rsid w:val="68E7DF86"/>
    <w:rsid w:val="68E9133B"/>
    <w:rsid w:val="68E953C4"/>
    <w:rsid w:val="68EA3197"/>
    <w:rsid w:val="68EADE4A"/>
    <w:rsid w:val="68EB37B5"/>
    <w:rsid w:val="68EB4015"/>
    <w:rsid w:val="68EB9F32"/>
    <w:rsid w:val="68EBE222"/>
    <w:rsid w:val="68EC744A"/>
    <w:rsid w:val="68ECC41A"/>
    <w:rsid w:val="68ECD033"/>
    <w:rsid w:val="68EDF4A8"/>
    <w:rsid w:val="68EEAA80"/>
    <w:rsid w:val="68EEFB5D"/>
    <w:rsid w:val="68EF5B0F"/>
    <w:rsid w:val="68EFB90B"/>
    <w:rsid w:val="68F00128"/>
    <w:rsid w:val="68F019BA"/>
    <w:rsid w:val="68F05AD2"/>
    <w:rsid w:val="68F11A35"/>
    <w:rsid w:val="68F15425"/>
    <w:rsid w:val="68F236B7"/>
    <w:rsid w:val="68F35F97"/>
    <w:rsid w:val="68F3FA2A"/>
    <w:rsid w:val="68F43979"/>
    <w:rsid w:val="68F46F23"/>
    <w:rsid w:val="68F4A64B"/>
    <w:rsid w:val="68F668F2"/>
    <w:rsid w:val="68F68237"/>
    <w:rsid w:val="68F6DD62"/>
    <w:rsid w:val="68F74652"/>
    <w:rsid w:val="68F78895"/>
    <w:rsid w:val="68F846F8"/>
    <w:rsid w:val="68F8CB5D"/>
    <w:rsid w:val="68F91CC1"/>
    <w:rsid w:val="68F97DDD"/>
    <w:rsid w:val="68FBAA92"/>
    <w:rsid w:val="68FC9064"/>
    <w:rsid w:val="68FD0845"/>
    <w:rsid w:val="68FD319C"/>
    <w:rsid w:val="68FDF165"/>
    <w:rsid w:val="68FEC345"/>
    <w:rsid w:val="68FED3ED"/>
    <w:rsid w:val="68FF3C2E"/>
    <w:rsid w:val="68FF7651"/>
    <w:rsid w:val="68FFE1C5"/>
    <w:rsid w:val="69006164"/>
    <w:rsid w:val="6900D2D4"/>
    <w:rsid w:val="6900F1EE"/>
    <w:rsid w:val="69012658"/>
    <w:rsid w:val="69022D0E"/>
    <w:rsid w:val="6902E641"/>
    <w:rsid w:val="69042155"/>
    <w:rsid w:val="6905A448"/>
    <w:rsid w:val="6905C50D"/>
    <w:rsid w:val="6905CD94"/>
    <w:rsid w:val="6905E811"/>
    <w:rsid w:val="6905FA75"/>
    <w:rsid w:val="69063EBF"/>
    <w:rsid w:val="6906464A"/>
    <w:rsid w:val="690703BC"/>
    <w:rsid w:val="690731E2"/>
    <w:rsid w:val="69086908"/>
    <w:rsid w:val="69086EDD"/>
    <w:rsid w:val="69087442"/>
    <w:rsid w:val="69090280"/>
    <w:rsid w:val="69095230"/>
    <w:rsid w:val="69097822"/>
    <w:rsid w:val="690A1721"/>
    <w:rsid w:val="690A87FB"/>
    <w:rsid w:val="690A92D9"/>
    <w:rsid w:val="690B2DB3"/>
    <w:rsid w:val="690B3E11"/>
    <w:rsid w:val="690C0EFC"/>
    <w:rsid w:val="690C4F82"/>
    <w:rsid w:val="690C5749"/>
    <w:rsid w:val="690CDFE8"/>
    <w:rsid w:val="690DFBEA"/>
    <w:rsid w:val="690DFE7B"/>
    <w:rsid w:val="690F2719"/>
    <w:rsid w:val="690FE9FE"/>
    <w:rsid w:val="69109CF1"/>
    <w:rsid w:val="6910A5A4"/>
    <w:rsid w:val="69127BED"/>
    <w:rsid w:val="69135C4B"/>
    <w:rsid w:val="69136452"/>
    <w:rsid w:val="69139A88"/>
    <w:rsid w:val="69142532"/>
    <w:rsid w:val="6915BBC1"/>
    <w:rsid w:val="691608A6"/>
    <w:rsid w:val="69166380"/>
    <w:rsid w:val="6916AFBC"/>
    <w:rsid w:val="6916F1CF"/>
    <w:rsid w:val="69175910"/>
    <w:rsid w:val="69176190"/>
    <w:rsid w:val="691772EB"/>
    <w:rsid w:val="6917ACA4"/>
    <w:rsid w:val="6917FA8A"/>
    <w:rsid w:val="6918EEB3"/>
    <w:rsid w:val="6919FB48"/>
    <w:rsid w:val="691AAA3D"/>
    <w:rsid w:val="691ACF9F"/>
    <w:rsid w:val="691B262F"/>
    <w:rsid w:val="691B5307"/>
    <w:rsid w:val="691B5BC1"/>
    <w:rsid w:val="691B9022"/>
    <w:rsid w:val="691BB750"/>
    <w:rsid w:val="691C4D24"/>
    <w:rsid w:val="691C7DA0"/>
    <w:rsid w:val="691C9533"/>
    <w:rsid w:val="691CE8C9"/>
    <w:rsid w:val="691D6561"/>
    <w:rsid w:val="691E7516"/>
    <w:rsid w:val="691ECE05"/>
    <w:rsid w:val="691F1CBA"/>
    <w:rsid w:val="69204867"/>
    <w:rsid w:val="69217D06"/>
    <w:rsid w:val="69258F82"/>
    <w:rsid w:val="69259B0A"/>
    <w:rsid w:val="6925F7A4"/>
    <w:rsid w:val="692607ED"/>
    <w:rsid w:val="6926253A"/>
    <w:rsid w:val="69265E2A"/>
    <w:rsid w:val="6926F991"/>
    <w:rsid w:val="6927EC48"/>
    <w:rsid w:val="69287F87"/>
    <w:rsid w:val="6928BC0A"/>
    <w:rsid w:val="69291CA3"/>
    <w:rsid w:val="69299DBC"/>
    <w:rsid w:val="692A6F3C"/>
    <w:rsid w:val="692ACD50"/>
    <w:rsid w:val="692BD704"/>
    <w:rsid w:val="692C1E2B"/>
    <w:rsid w:val="692D3BF1"/>
    <w:rsid w:val="692D7F2F"/>
    <w:rsid w:val="692D9D0E"/>
    <w:rsid w:val="692DF2D7"/>
    <w:rsid w:val="692E1938"/>
    <w:rsid w:val="692EE044"/>
    <w:rsid w:val="692F274F"/>
    <w:rsid w:val="692F3434"/>
    <w:rsid w:val="692F852D"/>
    <w:rsid w:val="692FAE1E"/>
    <w:rsid w:val="692FCCB8"/>
    <w:rsid w:val="69311CB2"/>
    <w:rsid w:val="6931D7FC"/>
    <w:rsid w:val="69330972"/>
    <w:rsid w:val="69331FEA"/>
    <w:rsid w:val="693351AE"/>
    <w:rsid w:val="6933BB6D"/>
    <w:rsid w:val="69345736"/>
    <w:rsid w:val="693472BC"/>
    <w:rsid w:val="6934E62D"/>
    <w:rsid w:val="69350045"/>
    <w:rsid w:val="6935636A"/>
    <w:rsid w:val="69359039"/>
    <w:rsid w:val="693590DF"/>
    <w:rsid w:val="6935AE71"/>
    <w:rsid w:val="6936414A"/>
    <w:rsid w:val="693656C5"/>
    <w:rsid w:val="69371748"/>
    <w:rsid w:val="69378D9D"/>
    <w:rsid w:val="6937A066"/>
    <w:rsid w:val="69397545"/>
    <w:rsid w:val="69398FF2"/>
    <w:rsid w:val="693AE53C"/>
    <w:rsid w:val="693AECD0"/>
    <w:rsid w:val="693B0945"/>
    <w:rsid w:val="693B2505"/>
    <w:rsid w:val="693BC5AA"/>
    <w:rsid w:val="693C5248"/>
    <w:rsid w:val="693CB636"/>
    <w:rsid w:val="693CF1C5"/>
    <w:rsid w:val="693D47D7"/>
    <w:rsid w:val="693D6AEF"/>
    <w:rsid w:val="693DA75B"/>
    <w:rsid w:val="693DB8D0"/>
    <w:rsid w:val="693DCD58"/>
    <w:rsid w:val="693E485C"/>
    <w:rsid w:val="693E6FC0"/>
    <w:rsid w:val="693E8268"/>
    <w:rsid w:val="693F4B4E"/>
    <w:rsid w:val="693FD85C"/>
    <w:rsid w:val="694011E8"/>
    <w:rsid w:val="69407E7A"/>
    <w:rsid w:val="6940EC25"/>
    <w:rsid w:val="694148BA"/>
    <w:rsid w:val="6941C3EC"/>
    <w:rsid w:val="6941E36C"/>
    <w:rsid w:val="69422EB3"/>
    <w:rsid w:val="6943201B"/>
    <w:rsid w:val="69433FCD"/>
    <w:rsid w:val="69447EB5"/>
    <w:rsid w:val="694514CA"/>
    <w:rsid w:val="69458380"/>
    <w:rsid w:val="6945BB4A"/>
    <w:rsid w:val="69462C12"/>
    <w:rsid w:val="69478974"/>
    <w:rsid w:val="6947BAE4"/>
    <w:rsid w:val="6947CFDB"/>
    <w:rsid w:val="69483E4B"/>
    <w:rsid w:val="6948C65C"/>
    <w:rsid w:val="69495741"/>
    <w:rsid w:val="6949AB9D"/>
    <w:rsid w:val="6949EFBE"/>
    <w:rsid w:val="694A3ECB"/>
    <w:rsid w:val="694A8EF6"/>
    <w:rsid w:val="694AC4E1"/>
    <w:rsid w:val="694ACA9A"/>
    <w:rsid w:val="694B150E"/>
    <w:rsid w:val="694B3190"/>
    <w:rsid w:val="694B9688"/>
    <w:rsid w:val="694D4FBD"/>
    <w:rsid w:val="694D7DC6"/>
    <w:rsid w:val="694DE208"/>
    <w:rsid w:val="694EE997"/>
    <w:rsid w:val="695062E0"/>
    <w:rsid w:val="695091FB"/>
    <w:rsid w:val="6950BF20"/>
    <w:rsid w:val="695199F3"/>
    <w:rsid w:val="69525311"/>
    <w:rsid w:val="6953C5AE"/>
    <w:rsid w:val="6953DFA1"/>
    <w:rsid w:val="6954D7A1"/>
    <w:rsid w:val="6954FC65"/>
    <w:rsid w:val="6955202B"/>
    <w:rsid w:val="69560B91"/>
    <w:rsid w:val="6956BEDE"/>
    <w:rsid w:val="69581075"/>
    <w:rsid w:val="6958AD2D"/>
    <w:rsid w:val="6958C4E7"/>
    <w:rsid w:val="69596E1D"/>
    <w:rsid w:val="6959D879"/>
    <w:rsid w:val="695A3091"/>
    <w:rsid w:val="695AE56B"/>
    <w:rsid w:val="695AF6C5"/>
    <w:rsid w:val="695B3D2B"/>
    <w:rsid w:val="695BC558"/>
    <w:rsid w:val="695BD63F"/>
    <w:rsid w:val="695C57BB"/>
    <w:rsid w:val="695C6C38"/>
    <w:rsid w:val="695C9A4F"/>
    <w:rsid w:val="695D6C4A"/>
    <w:rsid w:val="695DE58E"/>
    <w:rsid w:val="695E8625"/>
    <w:rsid w:val="695F5CEF"/>
    <w:rsid w:val="695F6B71"/>
    <w:rsid w:val="695FF8B3"/>
    <w:rsid w:val="69606B43"/>
    <w:rsid w:val="69613B04"/>
    <w:rsid w:val="69622064"/>
    <w:rsid w:val="69625300"/>
    <w:rsid w:val="6962C7D5"/>
    <w:rsid w:val="6962D013"/>
    <w:rsid w:val="6963C878"/>
    <w:rsid w:val="6963E99D"/>
    <w:rsid w:val="6964116E"/>
    <w:rsid w:val="696441CE"/>
    <w:rsid w:val="69644D80"/>
    <w:rsid w:val="6965428F"/>
    <w:rsid w:val="69659B92"/>
    <w:rsid w:val="6965F7ED"/>
    <w:rsid w:val="69664BAC"/>
    <w:rsid w:val="69668B11"/>
    <w:rsid w:val="6967D59A"/>
    <w:rsid w:val="6967EF56"/>
    <w:rsid w:val="6968389E"/>
    <w:rsid w:val="6968A77C"/>
    <w:rsid w:val="696943C0"/>
    <w:rsid w:val="6969B942"/>
    <w:rsid w:val="6969D081"/>
    <w:rsid w:val="696A6385"/>
    <w:rsid w:val="696ABB00"/>
    <w:rsid w:val="696ACE09"/>
    <w:rsid w:val="696AD1E2"/>
    <w:rsid w:val="696BAFAD"/>
    <w:rsid w:val="696BCA1E"/>
    <w:rsid w:val="696C556D"/>
    <w:rsid w:val="696CBA24"/>
    <w:rsid w:val="696DA70C"/>
    <w:rsid w:val="696E5226"/>
    <w:rsid w:val="696EB600"/>
    <w:rsid w:val="696ECA57"/>
    <w:rsid w:val="696EF007"/>
    <w:rsid w:val="696EFB55"/>
    <w:rsid w:val="696F340A"/>
    <w:rsid w:val="696F8172"/>
    <w:rsid w:val="696FB544"/>
    <w:rsid w:val="6970430B"/>
    <w:rsid w:val="6970825D"/>
    <w:rsid w:val="6970B17B"/>
    <w:rsid w:val="69712039"/>
    <w:rsid w:val="69719249"/>
    <w:rsid w:val="6971C792"/>
    <w:rsid w:val="6971DA9E"/>
    <w:rsid w:val="6972629B"/>
    <w:rsid w:val="69728B99"/>
    <w:rsid w:val="6972E667"/>
    <w:rsid w:val="69733B3C"/>
    <w:rsid w:val="69738617"/>
    <w:rsid w:val="69739C52"/>
    <w:rsid w:val="697548D7"/>
    <w:rsid w:val="6975E5A3"/>
    <w:rsid w:val="69761763"/>
    <w:rsid w:val="6977030E"/>
    <w:rsid w:val="69772922"/>
    <w:rsid w:val="6977ECE5"/>
    <w:rsid w:val="69782FD3"/>
    <w:rsid w:val="697BF4E5"/>
    <w:rsid w:val="697C599C"/>
    <w:rsid w:val="697CCBBA"/>
    <w:rsid w:val="697CCD39"/>
    <w:rsid w:val="697D457A"/>
    <w:rsid w:val="697D46D7"/>
    <w:rsid w:val="697E2FAA"/>
    <w:rsid w:val="697ED92F"/>
    <w:rsid w:val="697FA50D"/>
    <w:rsid w:val="697FBC79"/>
    <w:rsid w:val="697FBE8B"/>
    <w:rsid w:val="69809623"/>
    <w:rsid w:val="6980C1D4"/>
    <w:rsid w:val="69812171"/>
    <w:rsid w:val="69815A4D"/>
    <w:rsid w:val="6981D1CA"/>
    <w:rsid w:val="69822837"/>
    <w:rsid w:val="69822AC7"/>
    <w:rsid w:val="6982A175"/>
    <w:rsid w:val="6982FE92"/>
    <w:rsid w:val="6985AC4C"/>
    <w:rsid w:val="6985E920"/>
    <w:rsid w:val="6986F77D"/>
    <w:rsid w:val="69887E25"/>
    <w:rsid w:val="6989328A"/>
    <w:rsid w:val="698B8751"/>
    <w:rsid w:val="698C7316"/>
    <w:rsid w:val="698D5E1E"/>
    <w:rsid w:val="698D639A"/>
    <w:rsid w:val="698DCD4C"/>
    <w:rsid w:val="698EAEAD"/>
    <w:rsid w:val="698FF1B1"/>
    <w:rsid w:val="698FFBBC"/>
    <w:rsid w:val="698FFCC9"/>
    <w:rsid w:val="69904B85"/>
    <w:rsid w:val="6990A1E3"/>
    <w:rsid w:val="699125BD"/>
    <w:rsid w:val="6991881F"/>
    <w:rsid w:val="69921D00"/>
    <w:rsid w:val="69925DC7"/>
    <w:rsid w:val="699335AE"/>
    <w:rsid w:val="6994B26F"/>
    <w:rsid w:val="699537C9"/>
    <w:rsid w:val="69954386"/>
    <w:rsid w:val="69955C25"/>
    <w:rsid w:val="69956714"/>
    <w:rsid w:val="6995C2E5"/>
    <w:rsid w:val="6995F530"/>
    <w:rsid w:val="6995FA56"/>
    <w:rsid w:val="69960B4B"/>
    <w:rsid w:val="69981A97"/>
    <w:rsid w:val="699850B2"/>
    <w:rsid w:val="69991435"/>
    <w:rsid w:val="699922F7"/>
    <w:rsid w:val="6999B178"/>
    <w:rsid w:val="699A955A"/>
    <w:rsid w:val="699AE022"/>
    <w:rsid w:val="699B35D6"/>
    <w:rsid w:val="699E2E18"/>
    <w:rsid w:val="699EC6D6"/>
    <w:rsid w:val="699FB3A2"/>
    <w:rsid w:val="699FB4C7"/>
    <w:rsid w:val="699FB4D7"/>
    <w:rsid w:val="699FE49A"/>
    <w:rsid w:val="69A0A794"/>
    <w:rsid w:val="69A0AA05"/>
    <w:rsid w:val="69A0FC93"/>
    <w:rsid w:val="69A1B77F"/>
    <w:rsid w:val="69A1DBC6"/>
    <w:rsid w:val="69A21597"/>
    <w:rsid w:val="69A27EA1"/>
    <w:rsid w:val="69A280CE"/>
    <w:rsid w:val="69A2C68A"/>
    <w:rsid w:val="69A2DDF2"/>
    <w:rsid w:val="69A3271F"/>
    <w:rsid w:val="69A3D2B0"/>
    <w:rsid w:val="69A3DC02"/>
    <w:rsid w:val="69A3E234"/>
    <w:rsid w:val="69A521B8"/>
    <w:rsid w:val="69A5395C"/>
    <w:rsid w:val="69A6E2A1"/>
    <w:rsid w:val="69A6E444"/>
    <w:rsid w:val="69A74CCA"/>
    <w:rsid w:val="69A78A9C"/>
    <w:rsid w:val="69A7CB0B"/>
    <w:rsid w:val="69A8451E"/>
    <w:rsid w:val="69A89349"/>
    <w:rsid w:val="69A94F83"/>
    <w:rsid w:val="69A99819"/>
    <w:rsid w:val="69A9BCFE"/>
    <w:rsid w:val="69AA61A7"/>
    <w:rsid w:val="69AABA84"/>
    <w:rsid w:val="69AACEF4"/>
    <w:rsid w:val="69AB0A22"/>
    <w:rsid w:val="69AC33B5"/>
    <w:rsid w:val="69AC639E"/>
    <w:rsid w:val="69AC921D"/>
    <w:rsid w:val="69AD5C70"/>
    <w:rsid w:val="69AD955B"/>
    <w:rsid w:val="69AE7394"/>
    <w:rsid w:val="69AF3502"/>
    <w:rsid w:val="69AFDD10"/>
    <w:rsid w:val="69B01C0B"/>
    <w:rsid w:val="69B047B4"/>
    <w:rsid w:val="69B04A71"/>
    <w:rsid w:val="69B0DA07"/>
    <w:rsid w:val="69B10C39"/>
    <w:rsid w:val="69B11840"/>
    <w:rsid w:val="69B1549D"/>
    <w:rsid w:val="69B205FA"/>
    <w:rsid w:val="69B2B503"/>
    <w:rsid w:val="69B2C1DE"/>
    <w:rsid w:val="69B2D71B"/>
    <w:rsid w:val="69B4D853"/>
    <w:rsid w:val="69B4F9C6"/>
    <w:rsid w:val="69B51048"/>
    <w:rsid w:val="69B69311"/>
    <w:rsid w:val="69B7C388"/>
    <w:rsid w:val="69B80872"/>
    <w:rsid w:val="69B855BA"/>
    <w:rsid w:val="69B91D0F"/>
    <w:rsid w:val="69BA1938"/>
    <w:rsid w:val="69BA48EC"/>
    <w:rsid w:val="69BABAFA"/>
    <w:rsid w:val="69BB3C65"/>
    <w:rsid w:val="69BB518A"/>
    <w:rsid w:val="69BB913D"/>
    <w:rsid w:val="69BBA58C"/>
    <w:rsid w:val="69BBAEE1"/>
    <w:rsid w:val="69BBF514"/>
    <w:rsid w:val="69BC72A6"/>
    <w:rsid w:val="69BC9697"/>
    <w:rsid w:val="69BCCEED"/>
    <w:rsid w:val="69BCE31D"/>
    <w:rsid w:val="69BD03EC"/>
    <w:rsid w:val="69BD0614"/>
    <w:rsid w:val="69BD4226"/>
    <w:rsid w:val="69BD72E3"/>
    <w:rsid w:val="69BDE6B5"/>
    <w:rsid w:val="69BE1DBE"/>
    <w:rsid w:val="69BE2DBA"/>
    <w:rsid w:val="69BE5B2A"/>
    <w:rsid w:val="69BEEE3F"/>
    <w:rsid w:val="69BEF21B"/>
    <w:rsid w:val="69BFD84A"/>
    <w:rsid w:val="69BFE4A8"/>
    <w:rsid w:val="69C064B2"/>
    <w:rsid w:val="69C0F423"/>
    <w:rsid w:val="69C1B333"/>
    <w:rsid w:val="69C1D77C"/>
    <w:rsid w:val="69C1DD57"/>
    <w:rsid w:val="69C2649D"/>
    <w:rsid w:val="69C2D588"/>
    <w:rsid w:val="69C2D9FA"/>
    <w:rsid w:val="69C3830F"/>
    <w:rsid w:val="69C39907"/>
    <w:rsid w:val="69C39E77"/>
    <w:rsid w:val="69C3EB93"/>
    <w:rsid w:val="69C416CB"/>
    <w:rsid w:val="69C52FF4"/>
    <w:rsid w:val="69C63F42"/>
    <w:rsid w:val="69C6AE59"/>
    <w:rsid w:val="69C6F23D"/>
    <w:rsid w:val="69C7030E"/>
    <w:rsid w:val="69C74F41"/>
    <w:rsid w:val="69C76CD1"/>
    <w:rsid w:val="69C9B060"/>
    <w:rsid w:val="69CA0ECA"/>
    <w:rsid w:val="69CA9A6F"/>
    <w:rsid w:val="69CAEB10"/>
    <w:rsid w:val="69CB6408"/>
    <w:rsid w:val="69CB8277"/>
    <w:rsid w:val="69CB9896"/>
    <w:rsid w:val="69CBB2A2"/>
    <w:rsid w:val="69CBF856"/>
    <w:rsid w:val="69CC5065"/>
    <w:rsid w:val="69CCED60"/>
    <w:rsid w:val="69CD2569"/>
    <w:rsid w:val="69CD910D"/>
    <w:rsid w:val="69CE5619"/>
    <w:rsid w:val="69CF1FA9"/>
    <w:rsid w:val="69CF2CD7"/>
    <w:rsid w:val="69D01F19"/>
    <w:rsid w:val="69D03FEE"/>
    <w:rsid w:val="69D17DC0"/>
    <w:rsid w:val="69D185A0"/>
    <w:rsid w:val="69D19422"/>
    <w:rsid w:val="69D2E494"/>
    <w:rsid w:val="69D2FE80"/>
    <w:rsid w:val="69D35F4F"/>
    <w:rsid w:val="69D3971F"/>
    <w:rsid w:val="69D4929D"/>
    <w:rsid w:val="69D4B9A5"/>
    <w:rsid w:val="69D590F0"/>
    <w:rsid w:val="69D598F4"/>
    <w:rsid w:val="69D6E707"/>
    <w:rsid w:val="69D75244"/>
    <w:rsid w:val="69D7D17E"/>
    <w:rsid w:val="69D80544"/>
    <w:rsid w:val="69D80895"/>
    <w:rsid w:val="69D80985"/>
    <w:rsid w:val="69D82D90"/>
    <w:rsid w:val="69D8C999"/>
    <w:rsid w:val="69D93984"/>
    <w:rsid w:val="69D99CB0"/>
    <w:rsid w:val="69DA1D4A"/>
    <w:rsid w:val="69DA392F"/>
    <w:rsid w:val="69DAE062"/>
    <w:rsid w:val="69DBB244"/>
    <w:rsid w:val="69DC648D"/>
    <w:rsid w:val="69DCCF4E"/>
    <w:rsid w:val="69DDCC82"/>
    <w:rsid w:val="69DF36BB"/>
    <w:rsid w:val="69E04568"/>
    <w:rsid w:val="69E0511A"/>
    <w:rsid w:val="69E109B9"/>
    <w:rsid w:val="69E136B0"/>
    <w:rsid w:val="69E1951D"/>
    <w:rsid w:val="69E228AA"/>
    <w:rsid w:val="69E2B7B4"/>
    <w:rsid w:val="69E2BE62"/>
    <w:rsid w:val="69E35419"/>
    <w:rsid w:val="69E3C911"/>
    <w:rsid w:val="69E3E09F"/>
    <w:rsid w:val="69E44B80"/>
    <w:rsid w:val="69E4B46A"/>
    <w:rsid w:val="69E4F0A4"/>
    <w:rsid w:val="69E620B1"/>
    <w:rsid w:val="69E62B7E"/>
    <w:rsid w:val="69E62BF6"/>
    <w:rsid w:val="69E6B062"/>
    <w:rsid w:val="69E6C860"/>
    <w:rsid w:val="69E72707"/>
    <w:rsid w:val="69E734EB"/>
    <w:rsid w:val="69E75151"/>
    <w:rsid w:val="69E95AF9"/>
    <w:rsid w:val="69E9A1D8"/>
    <w:rsid w:val="69EA0A00"/>
    <w:rsid w:val="69EA629E"/>
    <w:rsid w:val="69EA8269"/>
    <w:rsid w:val="69EA9162"/>
    <w:rsid w:val="69EAE585"/>
    <w:rsid w:val="69EB80FD"/>
    <w:rsid w:val="69EBB048"/>
    <w:rsid w:val="69EBB6EB"/>
    <w:rsid w:val="69EC08B1"/>
    <w:rsid w:val="69EC5490"/>
    <w:rsid w:val="69ECC000"/>
    <w:rsid w:val="69ECD5A8"/>
    <w:rsid w:val="69ECE1CC"/>
    <w:rsid w:val="69ED8AC9"/>
    <w:rsid w:val="69ED9F01"/>
    <w:rsid w:val="69EE1EEC"/>
    <w:rsid w:val="69EE3C6A"/>
    <w:rsid w:val="69EE58D5"/>
    <w:rsid w:val="69EE7433"/>
    <w:rsid w:val="69EF2D55"/>
    <w:rsid w:val="69F05835"/>
    <w:rsid w:val="69F30A36"/>
    <w:rsid w:val="69F35482"/>
    <w:rsid w:val="69F38BDE"/>
    <w:rsid w:val="69F3D8B9"/>
    <w:rsid w:val="69F41F11"/>
    <w:rsid w:val="69F5A7FC"/>
    <w:rsid w:val="69F6F35E"/>
    <w:rsid w:val="69F760DC"/>
    <w:rsid w:val="69F777C4"/>
    <w:rsid w:val="69F7D1B7"/>
    <w:rsid w:val="69F7DF93"/>
    <w:rsid w:val="69F8DD99"/>
    <w:rsid w:val="69F91D57"/>
    <w:rsid w:val="69F966CA"/>
    <w:rsid w:val="69FA8D20"/>
    <w:rsid w:val="69FAE4EB"/>
    <w:rsid w:val="69FB18B1"/>
    <w:rsid w:val="69FB2C58"/>
    <w:rsid w:val="69FB715C"/>
    <w:rsid w:val="69FBF2E6"/>
    <w:rsid w:val="69FCB681"/>
    <w:rsid w:val="69FCC40C"/>
    <w:rsid w:val="69FCE5A3"/>
    <w:rsid w:val="69FCFC38"/>
    <w:rsid w:val="69FDB944"/>
    <w:rsid w:val="69FDBEEC"/>
    <w:rsid w:val="69FE1B86"/>
    <w:rsid w:val="69FF50EA"/>
    <w:rsid w:val="69FF6727"/>
    <w:rsid w:val="69FF6C74"/>
    <w:rsid w:val="69FFE970"/>
    <w:rsid w:val="69FFF570"/>
    <w:rsid w:val="6A00B9DD"/>
    <w:rsid w:val="6A0151E9"/>
    <w:rsid w:val="6A01A042"/>
    <w:rsid w:val="6A01C54A"/>
    <w:rsid w:val="6A021AA9"/>
    <w:rsid w:val="6A032089"/>
    <w:rsid w:val="6A03CFF0"/>
    <w:rsid w:val="6A041237"/>
    <w:rsid w:val="6A041565"/>
    <w:rsid w:val="6A0472E3"/>
    <w:rsid w:val="6A051343"/>
    <w:rsid w:val="6A053875"/>
    <w:rsid w:val="6A054D1B"/>
    <w:rsid w:val="6A05E5DA"/>
    <w:rsid w:val="6A061227"/>
    <w:rsid w:val="6A06ACA7"/>
    <w:rsid w:val="6A06F19C"/>
    <w:rsid w:val="6A070D92"/>
    <w:rsid w:val="6A07811D"/>
    <w:rsid w:val="6A07FCB8"/>
    <w:rsid w:val="6A0831FD"/>
    <w:rsid w:val="6A090BC6"/>
    <w:rsid w:val="6A0945B9"/>
    <w:rsid w:val="6A095B74"/>
    <w:rsid w:val="6A09EE7B"/>
    <w:rsid w:val="6A0A5ACC"/>
    <w:rsid w:val="6A0A8C06"/>
    <w:rsid w:val="6A0A8F3C"/>
    <w:rsid w:val="6A0BA4DA"/>
    <w:rsid w:val="6A0BB29E"/>
    <w:rsid w:val="6A0C0944"/>
    <w:rsid w:val="6A0C4C6C"/>
    <w:rsid w:val="6A0C5FC2"/>
    <w:rsid w:val="6A0D3A73"/>
    <w:rsid w:val="6A0D6DE0"/>
    <w:rsid w:val="6A0E2EE7"/>
    <w:rsid w:val="6A0EA086"/>
    <w:rsid w:val="6A0F6A6F"/>
    <w:rsid w:val="6A0F9C9E"/>
    <w:rsid w:val="6A10141D"/>
    <w:rsid w:val="6A104E71"/>
    <w:rsid w:val="6A1055D0"/>
    <w:rsid w:val="6A1070A1"/>
    <w:rsid w:val="6A108E47"/>
    <w:rsid w:val="6A10D7F3"/>
    <w:rsid w:val="6A10E7CE"/>
    <w:rsid w:val="6A111C25"/>
    <w:rsid w:val="6A11A4E0"/>
    <w:rsid w:val="6A11D5BF"/>
    <w:rsid w:val="6A11EEBD"/>
    <w:rsid w:val="6A11FE6F"/>
    <w:rsid w:val="6A134D61"/>
    <w:rsid w:val="6A141245"/>
    <w:rsid w:val="6A142A93"/>
    <w:rsid w:val="6A14435D"/>
    <w:rsid w:val="6A151E81"/>
    <w:rsid w:val="6A15706F"/>
    <w:rsid w:val="6A162AA9"/>
    <w:rsid w:val="6A1678EE"/>
    <w:rsid w:val="6A16E441"/>
    <w:rsid w:val="6A17A8B6"/>
    <w:rsid w:val="6A1913BB"/>
    <w:rsid w:val="6A1B3DC0"/>
    <w:rsid w:val="6A1B716C"/>
    <w:rsid w:val="6A1C006F"/>
    <w:rsid w:val="6A1C6BEB"/>
    <w:rsid w:val="6A1C783B"/>
    <w:rsid w:val="6A1F0604"/>
    <w:rsid w:val="6A1F4EDA"/>
    <w:rsid w:val="6A1FABBA"/>
    <w:rsid w:val="6A201D4B"/>
    <w:rsid w:val="6A214509"/>
    <w:rsid w:val="6A220D6B"/>
    <w:rsid w:val="6A225C9B"/>
    <w:rsid w:val="6A230FF7"/>
    <w:rsid w:val="6A234251"/>
    <w:rsid w:val="6A235C34"/>
    <w:rsid w:val="6A23CB0F"/>
    <w:rsid w:val="6A24D99A"/>
    <w:rsid w:val="6A24FD08"/>
    <w:rsid w:val="6A25717F"/>
    <w:rsid w:val="6A266181"/>
    <w:rsid w:val="6A26CE55"/>
    <w:rsid w:val="6A29E47D"/>
    <w:rsid w:val="6A2A2DFF"/>
    <w:rsid w:val="6A2A56F9"/>
    <w:rsid w:val="6A2A6DE5"/>
    <w:rsid w:val="6A2CA775"/>
    <w:rsid w:val="6A2D5057"/>
    <w:rsid w:val="6A2E892A"/>
    <w:rsid w:val="6A2F1A2A"/>
    <w:rsid w:val="6A2F4D9F"/>
    <w:rsid w:val="6A2FBC26"/>
    <w:rsid w:val="6A300444"/>
    <w:rsid w:val="6A3013E8"/>
    <w:rsid w:val="6A32CD67"/>
    <w:rsid w:val="6A32CF28"/>
    <w:rsid w:val="6A330A23"/>
    <w:rsid w:val="6A330F2F"/>
    <w:rsid w:val="6A335768"/>
    <w:rsid w:val="6A339C68"/>
    <w:rsid w:val="6A341E88"/>
    <w:rsid w:val="6A346FBB"/>
    <w:rsid w:val="6A34B94B"/>
    <w:rsid w:val="6A350DF2"/>
    <w:rsid w:val="6A357875"/>
    <w:rsid w:val="6A35A6CE"/>
    <w:rsid w:val="6A35F82F"/>
    <w:rsid w:val="6A37B011"/>
    <w:rsid w:val="6A388246"/>
    <w:rsid w:val="6A38E377"/>
    <w:rsid w:val="6A39815C"/>
    <w:rsid w:val="6A39BCB6"/>
    <w:rsid w:val="6A39C860"/>
    <w:rsid w:val="6A3A08B7"/>
    <w:rsid w:val="6A3A121F"/>
    <w:rsid w:val="6A3A5E0D"/>
    <w:rsid w:val="6A3B2344"/>
    <w:rsid w:val="6A3B538C"/>
    <w:rsid w:val="6A3BB2CC"/>
    <w:rsid w:val="6A3BB547"/>
    <w:rsid w:val="6A3BB986"/>
    <w:rsid w:val="6A3C935A"/>
    <w:rsid w:val="6A3EAB3F"/>
    <w:rsid w:val="6A3F06B9"/>
    <w:rsid w:val="6A3F73A1"/>
    <w:rsid w:val="6A406104"/>
    <w:rsid w:val="6A4073CF"/>
    <w:rsid w:val="6A40D14B"/>
    <w:rsid w:val="6A41770F"/>
    <w:rsid w:val="6A41E8A3"/>
    <w:rsid w:val="6A422521"/>
    <w:rsid w:val="6A425963"/>
    <w:rsid w:val="6A42E686"/>
    <w:rsid w:val="6A43A88D"/>
    <w:rsid w:val="6A43EC19"/>
    <w:rsid w:val="6A443B55"/>
    <w:rsid w:val="6A444975"/>
    <w:rsid w:val="6A44B9F0"/>
    <w:rsid w:val="6A44CA20"/>
    <w:rsid w:val="6A453768"/>
    <w:rsid w:val="6A455A39"/>
    <w:rsid w:val="6A456A5C"/>
    <w:rsid w:val="6A45F45A"/>
    <w:rsid w:val="6A47BAC3"/>
    <w:rsid w:val="6A480CDF"/>
    <w:rsid w:val="6A4829C9"/>
    <w:rsid w:val="6A48C983"/>
    <w:rsid w:val="6A48CB15"/>
    <w:rsid w:val="6A49C218"/>
    <w:rsid w:val="6A49E16E"/>
    <w:rsid w:val="6A4A0E59"/>
    <w:rsid w:val="6A4A13DE"/>
    <w:rsid w:val="6A4B1DEC"/>
    <w:rsid w:val="6A4B3FCC"/>
    <w:rsid w:val="6A4B42EE"/>
    <w:rsid w:val="6A4BC0F8"/>
    <w:rsid w:val="6A4C3342"/>
    <w:rsid w:val="6A4C578C"/>
    <w:rsid w:val="6A4C850A"/>
    <w:rsid w:val="6A4CC155"/>
    <w:rsid w:val="6A4D4195"/>
    <w:rsid w:val="6A50A755"/>
    <w:rsid w:val="6A514BEF"/>
    <w:rsid w:val="6A51EA19"/>
    <w:rsid w:val="6A522376"/>
    <w:rsid w:val="6A52A1BF"/>
    <w:rsid w:val="6A52FFDE"/>
    <w:rsid w:val="6A533210"/>
    <w:rsid w:val="6A535D57"/>
    <w:rsid w:val="6A53BD4E"/>
    <w:rsid w:val="6A545E3D"/>
    <w:rsid w:val="6A54D785"/>
    <w:rsid w:val="6A55982B"/>
    <w:rsid w:val="6A55C022"/>
    <w:rsid w:val="6A55C2FF"/>
    <w:rsid w:val="6A5621CC"/>
    <w:rsid w:val="6A564695"/>
    <w:rsid w:val="6A568D8E"/>
    <w:rsid w:val="6A56B51C"/>
    <w:rsid w:val="6A570727"/>
    <w:rsid w:val="6A573758"/>
    <w:rsid w:val="6A578D3B"/>
    <w:rsid w:val="6A580F17"/>
    <w:rsid w:val="6A5863FB"/>
    <w:rsid w:val="6A589B02"/>
    <w:rsid w:val="6A590D94"/>
    <w:rsid w:val="6A5B4BC9"/>
    <w:rsid w:val="6A5BF07E"/>
    <w:rsid w:val="6A5C7DFB"/>
    <w:rsid w:val="6A5CC2F8"/>
    <w:rsid w:val="6A5CD8AD"/>
    <w:rsid w:val="6A5D0E38"/>
    <w:rsid w:val="6A5DED0F"/>
    <w:rsid w:val="6A5E1251"/>
    <w:rsid w:val="6A5E51E3"/>
    <w:rsid w:val="6A5E6383"/>
    <w:rsid w:val="6A5E8D95"/>
    <w:rsid w:val="6A618DC4"/>
    <w:rsid w:val="6A62944C"/>
    <w:rsid w:val="6A62EA6B"/>
    <w:rsid w:val="6A62EB48"/>
    <w:rsid w:val="6A633156"/>
    <w:rsid w:val="6A633A70"/>
    <w:rsid w:val="6A642660"/>
    <w:rsid w:val="6A64E93F"/>
    <w:rsid w:val="6A658ADF"/>
    <w:rsid w:val="6A65C2B6"/>
    <w:rsid w:val="6A65CC18"/>
    <w:rsid w:val="6A6766B3"/>
    <w:rsid w:val="6A676805"/>
    <w:rsid w:val="6A6789DD"/>
    <w:rsid w:val="6A6794B2"/>
    <w:rsid w:val="6A6821DC"/>
    <w:rsid w:val="6A6840AC"/>
    <w:rsid w:val="6A68633A"/>
    <w:rsid w:val="6A6AA679"/>
    <w:rsid w:val="6A6ADC94"/>
    <w:rsid w:val="6A6B9C2D"/>
    <w:rsid w:val="6A6BB2BA"/>
    <w:rsid w:val="6A6C1955"/>
    <w:rsid w:val="6A6C1A22"/>
    <w:rsid w:val="6A6D8DE2"/>
    <w:rsid w:val="6A6DF009"/>
    <w:rsid w:val="6A6E3554"/>
    <w:rsid w:val="6A6F5697"/>
    <w:rsid w:val="6A6FA918"/>
    <w:rsid w:val="6A70C67E"/>
    <w:rsid w:val="6A7112FA"/>
    <w:rsid w:val="6A7113AE"/>
    <w:rsid w:val="6A71AF10"/>
    <w:rsid w:val="6A71B3D8"/>
    <w:rsid w:val="6A71FCC9"/>
    <w:rsid w:val="6A720983"/>
    <w:rsid w:val="6A728AAA"/>
    <w:rsid w:val="6A732578"/>
    <w:rsid w:val="6A734616"/>
    <w:rsid w:val="6A73747D"/>
    <w:rsid w:val="6A7517D8"/>
    <w:rsid w:val="6A75315E"/>
    <w:rsid w:val="6A754519"/>
    <w:rsid w:val="6A75A595"/>
    <w:rsid w:val="6A764B08"/>
    <w:rsid w:val="6A7685E8"/>
    <w:rsid w:val="6A76CAFD"/>
    <w:rsid w:val="6A76D7C9"/>
    <w:rsid w:val="6A77EEE9"/>
    <w:rsid w:val="6A794759"/>
    <w:rsid w:val="6A794890"/>
    <w:rsid w:val="6A7A4B46"/>
    <w:rsid w:val="6A7AC770"/>
    <w:rsid w:val="6A7C0FFB"/>
    <w:rsid w:val="6A7C506C"/>
    <w:rsid w:val="6A7C62F4"/>
    <w:rsid w:val="6A7D69B1"/>
    <w:rsid w:val="6A7E1DE0"/>
    <w:rsid w:val="6A7E731B"/>
    <w:rsid w:val="6A7E9BAE"/>
    <w:rsid w:val="6A7EFB52"/>
    <w:rsid w:val="6A7FB05D"/>
    <w:rsid w:val="6A8052D8"/>
    <w:rsid w:val="6A816329"/>
    <w:rsid w:val="6A820647"/>
    <w:rsid w:val="6A831142"/>
    <w:rsid w:val="6A833BDF"/>
    <w:rsid w:val="6A837A0B"/>
    <w:rsid w:val="6A8481BD"/>
    <w:rsid w:val="6A84B0D8"/>
    <w:rsid w:val="6A84C184"/>
    <w:rsid w:val="6A84FAFB"/>
    <w:rsid w:val="6A85B5B8"/>
    <w:rsid w:val="6A8720C7"/>
    <w:rsid w:val="6A875071"/>
    <w:rsid w:val="6A8785C3"/>
    <w:rsid w:val="6A88A943"/>
    <w:rsid w:val="6A89910E"/>
    <w:rsid w:val="6A8A0FE5"/>
    <w:rsid w:val="6A8C07E5"/>
    <w:rsid w:val="6A8D23FE"/>
    <w:rsid w:val="6A8D9260"/>
    <w:rsid w:val="6A8DDEBE"/>
    <w:rsid w:val="6A8E0033"/>
    <w:rsid w:val="6A8E2453"/>
    <w:rsid w:val="6A8E8D68"/>
    <w:rsid w:val="6A8EA869"/>
    <w:rsid w:val="6A8EBC00"/>
    <w:rsid w:val="6A8EE319"/>
    <w:rsid w:val="6A8F30BB"/>
    <w:rsid w:val="6A8FE71E"/>
    <w:rsid w:val="6A92732A"/>
    <w:rsid w:val="6A928576"/>
    <w:rsid w:val="6A936333"/>
    <w:rsid w:val="6A938150"/>
    <w:rsid w:val="6A93B469"/>
    <w:rsid w:val="6A941BB6"/>
    <w:rsid w:val="6A941D48"/>
    <w:rsid w:val="6A948B13"/>
    <w:rsid w:val="6A94E1AD"/>
    <w:rsid w:val="6A95251A"/>
    <w:rsid w:val="6A961435"/>
    <w:rsid w:val="6A96C61B"/>
    <w:rsid w:val="6A96D126"/>
    <w:rsid w:val="6A973465"/>
    <w:rsid w:val="6A97949D"/>
    <w:rsid w:val="6A98AB77"/>
    <w:rsid w:val="6A997137"/>
    <w:rsid w:val="6A99E384"/>
    <w:rsid w:val="6A9A1405"/>
    <w:rsid w:val="6A9A2805"/>
    <w:rsid w:val="6A9A4525"/>
    <w:rsid w:val="6A9A792E"/>
    <w:rsid w:val="6A9ABCE7"/>
    <w:rsid w:val="6A9B5CBF"/>
    <w:rsid w:val="6A9B6AD0"/>
    <w:rsid w:val="6A9CC276"/>
    <w:rsid w:val="6A9CC701"/>
    <w:rsid w:val="6A9CE126"/>
    <w:rsid w:val="6A9CECA4"/>
    <w:rsid w:val="6A9DE4B3"/>
    <w:rsid w:val="6A9DF71A"/>
    <w:rsid w:val="6A9E0D3D"/>
    <w:rsid w:val="6A9E68D9"/>
    <w:rsid w:val="6A9E9BD4"/>
    <w:rsid w:val="6A9E9DE6"/>
    <w:rsid w:val="6A9F7F69"/>
    <w:rsid w:val="6AA028C0"/>
    <w:rsid w:val="6AA0BB34"/>
    <w:rsid w:val="6AA15AD9"/>
    <w:rsid w:val="6AA18EE0"/>
    <w:rsid w:val="6AA1BE3D"/>
    <w:rsid w:val="6AA1CC30"/>
    <w:rsid w:val="6AA23655"/>
    <w:rsid w:val="6AA2534B"/>
    <w:rsid w:val="6AA2ED87"/>
    <w:rsid w:val="6AA453F3"/>
    <w:rsid w:val="6AA468AE"/>
    <w:rsid w:val="6AA4BEBB"/>
    <w:rsid w:val="6AA4F3B6"/>
    <w:rsid w:val="6AA5E4C2"/>
    <w:rsid w:val="6AA60CB7"/>
    <w:rsid w:val="6AA6CD25"/>
    <w:rsid w:val="6AA80DA3"/>
    <w:rsid w:val="6AA8AF03"/>
    <w:rsid w:val="6AA8FFF5"/>
    <w:rsid w:val="6AA910ED"/>
    <w:rsid w:val="6AAA254D"/>
    <w:rsid w:val="6AAA3AE6"/>
    <w:rsid w:val="6AAB0F4B"/>
    <w:rsid w:val="6AAC8699"/>
    <w:rsid w:val="6AACA50C"/>
    <w:rsid w:val="6AAD5110"/>
    <w:rsid w:val="6AADDA29"/>
    <w:rsid w:val="6AAE2822"/>
    <w:rsid w:val="6AAF5EBA"/>
    <w:rsid w:val="6AB03E1A"/>
    <w:rsid w:val="6AB11F78"/>
    <w:rsid w:val="6AB1CF12"/>
    <w:rsid w:val="6AB239F6"/>
    <w:rsid w:val="6AB2F175"/>
    <w:rsid w:val="6AB2F216"/>
    <w:rsid w:val="6AB32971"/>
    <w:rsid w:val="6AB37558"/>
    <w:rsid w:val="6AB375ED"/>
    <w:rsid w:val="6AB3A8E9"/>
    <w:rsid w:val="6AB47EDF"/>
    <w:rsid w:val="6AB56A80"/>
    <w:rsid w:val="6AB5C033"/>
    <w:rsid w:val="6AB5D65A"/>
    <w:rsid w:val="6AB62648"/>
    <w:rsid w:val="6AB6630E"/>
    <w:rsid w:val="6AB71C33"/>
    <w:rsid w:val="6AB7385C"/>
    <w:rsid w:val="6AB74ECF"/>
    <w:rsid w:val="6AB80578"/>
    <w:rsid w:val="6AB8501D"/>
    <w:rsid w:val="6AB8F613"/>
    <w:rsid w:val="6AB94091"/>
    <w:rsid w:val="6AB9774F"/>
    <w:rsid w:val="6AB9FAFC"/>
    <w:rsid w:val="6ABA2865"/>
    <w:rsid w:val="6ABA3A10"/>
    <w:rsid w:val="6ABB9BD8"/>
    <w:rsid w:val="6ABC0ACD"/>
    <w:rsid w:val="6ABC407A"/>
    <w:rsid w:val="6ABC82D0"/>
    <w:rsid w:val="6ABC9620"/>
    <w:rsid w:val="6ABD55AD"/>
    <w:rsid w:val="6ABED4BB"/>
    <w:rsid w:val="6ABF2CA7"/>
    <w:rsid w:val="6ABFBEAE"/>
    <w:rsid w:val="6AC01152"/>
    <w:rsid w:val="6AC0BF21"/>
    <w:rsid w:val="6AC13473"/>
    <w:rsid w:val="6AC1B3D9"/>
    <w:rsid w:val="6AC1C528"/>
    <w:rsid w:val="6AC25899"/>
    <w:rsid w:val="6AC2F019"/>
    <w:rsid w:val="6AC336F3"/>
    <w:rsid w:val="6AC3FC95"/>
    <w:rsid w:val="6AC45391"/>
    <w:rsid w:val="6AC536EF"/>
    <w:rsid w:val="6AC59A9E"/>
    <w:rsid w:val="6AC647C8"/>
    <w:rsid w:val="6AC71910"/>
    <w:rsid w:val="6AC74CFA"/>
    <w:rsid w:val="6AC77F0D"/>
    <w:rsid w:val="6AC7CECB"/>
    <w:rsid w:val="6AC87B72"/>
    <w:rsid w:val="6AC94730"/>
    <w:rsid w:val="6AC95E69"/>
    <w:rsid w:val="6AC99DA8"/>
    <w:rsid w:val="6AC9B5E0"/>
    <w:rsid w:val="6ACA1386"/>
    <w:rsid w:val="6ACA4B01"/>
    <w:rsid w:val="6ACA7C4E"/>
    <w:rsid w:val="6ACC61F0"/>
    <w:rsid w:val="6ACD8BDC"/>
    <w:rsid w:val="6ACDB829"/>
    <w:rsid w:val="6ACE624B"/>
    <w:rsid w:val="6ACFF50E"/>
    <w:rsid w:val="6AD032F6"/>
    <w:rsid w:val="6AD03D7A"/>
    <w:rsid w:val="6AD077B5"/>
    <w:rsid w:val="6AD0B936"/>
    <w:rsid w:val="6AD0EFC1"/>
    <w:rsid w:val="6AD14EC9"/>
    <w:rsid w:val="6AD17C94"/>
    <w:rsid w:val="6AD18C3A"/>
    <w:rsid w:val="6AD22170"/>
    <w:rsid w:val="6AD335B4"/>
    <w:rsid w:val="6AD358DA"/>
    <w:rsid w:val="6AD39C73"/>
    <w:rsid w:val="6AD43C54"/>
    <w:rsid w:val="6AD44BF1"/>
    <w:rsid w:val="6AD4834C"/>
    <w:rsid w:val="6AD4F003"/>
    <w:rsid w:val="6AD51072"/>
    <w:rsid w:val="6AD56B68"/>
    <w:rsid w:val="6AD57EDD"/>
    <w:rsid w:val="6AD7231C"/>
    <w:rsid w:val="6AD73BC2"/>
    <w:rsid w:val="6AD7F251"/>
    <w:rsid w:val="6AD88A22"/>
    <w:rsid w:val="6AD9CE16"/>
    <w:rsid w:val="6ADA4006"/>
    <w:rsid w:val="6ADA641B"/>
    <w:rsid w:val="6ADA69E5"/>
    <w:rsid w:val="6ADA9895"/>
    <w:rsid w:val="6ADC1378"/>
    <w:rsid w:val="6ADD311C"/>
    <w:rsid w:val="6ADDD823"/>
    <w:rsid w:val="6ADE8964"/>
    <w:rsid w:val="6ADEDE72"/>
    <w:rsid w:val="6ADEF6E6"/>
    <w:rsid w:val="6ADF8953"/>
    <w:rsid w:val="6AE023A4"/>
    <w:rsid w:val="6AE04445"/>
    <w:rsid w:val="6AE0CFFA"/>
    <w:rsid w:val="6AE0DB9A"/>
    <w:rsid w:val="6AE13392"/>
    <w:rsid w:val="6AE23FF5"/>
    <w:rsid w:val="6AE24F1C"/>
    <w:rsid w:val="6AE3C5B8"/>
    <w:rsid w:val="6AE3D19F"/>
    <w:rsid w:val="6AE44918"/>
    <w:rsid w:val="6AE4D4C2"/>
    <w:rsid w:val="6AE4FC82"/>
    <w:rsid w:val="6AE54473"/>
    <w:rsid w:val="6AE55208"/>
    <w:rsid w:val="6AE591D3"/>
    <w:rsid w:val="6AE5F7D1"/>
    <w:rsid w:val="6AE655B2"/>
    <w:rsid w:val="6AE7C8FE"/>
    <w:rsid w:val="6AE7D0F4"/>
    <w:rsid w:val="6AE8097A"/>
    <w:rsid w:val="6AE8577B"/>
    <w:rsid w:val="6AE870C9"/>
    <w:rsid w:val="6AE8923B"/>
    <w:rsid w:val="6AE9A9A4"/>
    <w:rsid w:val="6AEA7602"/>
    <w:rsid w:val="6AEA7B39"/>
    <w:rsid w:val="6AEA8ABD"/>
    <w:rsid w:val="6AEAC859"/>
    <w:rsid w:val="6AEB0070"/>
    <w:rsid w:val="6AEB0F03"/>
    <w:rsid w:val="6AEC0AE3"/>
    <w:rsid w:val="6AEC101B"/>
    <w:rsid w:val="6AECA221"/>
    <w:rsid w:val="6AED4F02"/>
    <w:rsid w:val="6AED6029"/>
    <w:rsid w:val="6AED7EC9"/>
    <w:rsid w:val="6AEE7423"/>
    <w:rsid w:val="6AEE8E50"/>
    <w:rsid w:val="6AEF59C2"/>
    <w:rsid w:val="6AEF6473"/>
    <w:rsid w:val="6AF052AE"/>
    <w:rsid w:val="6AF0B56F"/>
    <w:rsid w:val="6AF0B810"/>
    <w:rsid w:val="6AF0C7F2"/>
    <w:rsid w:val="6AF0F41B"/>
    <w:rsid w:val="6AF163CB"/>
    <w:rsid w:val="6AF17203"/>
    <w:rsid w:val="6AF1E898"/>
    <w:rsid w:val="6AF247CC"/>
    <w:rsid w:val="6AF249AC"/>
    <w:rsid w:val="6AF35B8B"/>
    <w:rsid w:val="6AF3ACA2"/>
    <w:rsid w:val="6AF4CB3B"/>
    <w:rsid w:val="6AF4D9C3"/>
    <w:rsid w:val="6AF51BA0"/>
    <w:rsid w:val="6AF54A68"/>
    <w:rsid w:val="6AF56C5D"/>
    <w:rsid w:val="6AF5D0CE"/>
    <w:rsid w:val="6AF7314F"/>
    <w:rsid w:val="6AF76A47"/>
    <w:rsid w:val="6AF865FD"/>
    <w:rsid w:val="6AF92D9A"/>
    <w:rsid w:val="6AF96C51"/>
    <w:rsid w:val="6AFC7764"/>
    <w:rsid w:val="6AFE7C7D"/>
    <w:rsid w:val="6AFEEE7C"/>
    <w:rsid w:val="6AFF5A2D"/>
    <w:rsid w:val="6AFFE757"/>
    <w:rsid w:val="6AFFE9AB"/>
    <w:rsid w:val="6B014051"/>
    <w:rsid w:val="6B014E22"/>
    <w:rsid w:val="6B016526"/>
    <w:rsid w:val="6B0382C7"/>
    <w:rsid w:val="6B0409F7"/>
    <w:rsid w:val="6B040CA0"/>
    <w:rsid w:val="6B04A664"/>
    <w:rsid w:val="6B04FC86"/>
    <w:rsid w:val="6B052C6B"/>
    <w:rsid w:val="6B055111"/>
    <w:rsid w:val="6B056615"/>
    <w:rsid w:val="6B059607"/>
    <w:rsid w:val="6B0615C2"/>
    <w:rsid w:val="6B061836"/>
    <w:rsid w:val="6B068EEA"/>
    <w:rsid w:val="6B06993E"/>
    <w:rsid w:val="6B06B48D"/>
    <w:rsid w:val="6B071A86"/>
    <w:rsid w:val="6B08086C"/>
    <w:rsid w:val="6B085F74"/>
    <w:rsid w:val="6B08B21E"/>
    <w:rsid w:val="6B08E242"/>
    <w:rsid w:val="6B090455"/>
    <w:rsid w:val="6B0A2E46"/>
    <w:rsid w:val="6B0BCD59"/>
    <w:rsid w:val="6B0BF7EC"/>
    <w:rsid w:val="6B0C16BF"/>
    <w:rsid w:val="6B0D1BE1"/>
    <w:rsid w:val="6B0D2F9D"/>
    <w:rsid w:val="6B0DCD84"/>
    <w:rsid w:val="6B0E62CF"/>
    <w:rsid w:val="6B0E88F9"/>
    <w:rsid w:val="6B0EFB70"/>
    <w:rsid w:val="6B0F4351"/>
    <w:rsid w:val="6B0F5DB6"/>
    <w:rsid w:val="6B0FD789"/>
    <w:rsid w:val="6B0FE194"/>
    <w:rsid w:val="6B109C75"/>
    <w:rsid w:val="6B11014E"/>
    <w:rsid w:val="6B112AAF"/>
    <w:rsid w:val="6B116E86"/>
    <w:rsid w:val="6B11993D"/>
    <w:rsid w:val="6B11B25E"/>
    <w:rsid w:val="6B11FB57"/>
    <w:rsid w:val="6B123A6E"/>
    <w:rsid w:val="6B1248C5"/>
    <w:rsid w:val="6B12AF2C"/>
    <w:rsid w:val="6B12BF52"/>
    <w:rsid w:val="6B131262"/>
    <w:rsid w:val="6B1343DE"/>
    <w:rsid w:val="6B1376F3"/>
    <w:rsid w:val="6B140FD1"/>
    <w:rsid w:val="6B141456"/>
    <w:rsid w:val="6B1454BE"/>
    <w:rsid w:val="6B155EAE"/>
    <w:rsid w:val="6B15BBC2"/>
    <w:rsid w:val="6B15E9EC"/>
    <w:rsid w:val="6B1607E9"/>
    <w:rsid w:val="6B162B08"/>
    <w:rsid w:val="6B1782B6"/>
    <w:rsid w:val="6B179F6C"/>
    <w:rsid w:val="6B193062"/>
    <w:rsid w:val="6B196595"/>
    <w:rsid w:val="6B197DAC"/>
    <w:rsid w:val="6B1986A2"/>
    <w:rsid w:val="6B1A8C42"/>
    <w:rsid w:val="6B1AC222"/>
    <w:rsid w:val="6B1B330B"/>
    <w:rsid w:val="6B1B8A7A"/>
    <w:rsid w:val="6B1C7812"/>
    <w:rsid w:val="6B1CAE66"/>
    <w:rsid w:val="6B1CEF9A"/>
    <w:rsid w:val="6B1DCA25"/>
    <w:rsid w:val="6B1E280D"/>
    <w:rsid w:val="6B1E69E5"/>
    <w:rsid w:val="6B1F0E93"/>
    <w:rsid w:val="6B2004DB"/>
    <w:rsid w:val="6B201ED4"/>
    <w:rsid w:val="6B208B06"/>
    <w:rsid w:val="6B21CBF7"/>
    <w:rsid w:val="6B21E54C"/>
    <w:rsid w:val="6B22100A"/>
    <w:rsid w:val="6B22147F"/>
    <w:rsid w:val="6B225793"/>
    <w:rsid w:val="6B22F089"/>
    <w:rsid w:val="6B235C1D"/>
    <w:rsid w:val="6B2394FF"/>
    <w:rsid w:val="6B239612"/>
    <w:rsid w:val="6B2463AB"/>
    <w:rsid w:val="6B247F23"/>
    <w:rsid w:val="6B25D4E3"/>
    <w:rsid w:val="6B2623C2"/>
    <w:rsid w:val="6B262C83"/>
    <w:rsid w:val="6B2691C5"/>
    <w:rsid w:val="6B26AC66"/>
    <w:rsid w:val="6B26CFDB"/>
    <w:rsid w:val="6B271B82"/>
    <w:rsid w:val="6B2731FD"/>
    <w:rsid w:val="6B273FFB"/>
    <w:rsid w:val="6B2752AB"/>
    <w:rsid w:val="6B277E40"/>
    <w:rsid w:val="6B27ED38"/>
    <w:rsid w:val="6B27FD98"/>
    <w:rsid w:val="6B281858"/>
    <w:rsid w:val="6B287254"/>
    <w:rsid w:val="6B28ECFC"/>
    <w:rsid w:val="6B28FA04"/>
    <w:rsid w:val="6B2913CF"/>
    <w:rsid w:val="6B2955CF"/>
    <w:rsid w:val="6B2B0489"/>
    <w:rsid w:val="6B2B0929"/>
    <w:rsid w:val="6B2B2652"/>
    <w:rsid w:val="6B2B4040"/>
    <w:rsid w:val="6B2B8335"/>
    <w:rsid w:val="6B2B9403"/>
    <w:rsid w:val="6B2C3671"/>
    <w:rsid w:val="6B2C4C02"/>
    <w:rsid w:val="6B2CA363"/>
    <w:rsid w:val="6B2D1727"/>
    <w:rsid w:val="6B2D32D0"/>
    <w:rsid w:val="6B2D6B69"/>
    <w:rsid w:val="6B2DB357"/>
    <w:rsid w:val="6B2E6423"/>
    <w:rsid w:val="6B2E9137"/>
    <w:rsid w:val="6B2FC4F8"/>
    <w:rsid w:val="6B2FF673"/>
    <w:rsid w:val="6B301EB0"/>
    <w:rsid w:val="6B30279B"/>
    <w:rsid w:val="6B3102E9"/>
    <w:rsid w:val="6B318B3A"/>
    <w:rsid w:val="6B326120"/>
    <w:rsid w:val="6B3287CB"/>
    <w:rsid w:val="6B329679"/>
    <w:rsid w:val="6B33BD28"/>
    <w:rsid w:val="6B348709"/>
    <w:rsid w:val="6B34DF0F"/>
    <w:rsid w:val="6B3599AD"/>
    <w:rsid w:val="6B35A87B"/>
    <w:rsid w:val="6B363310"/>
    <w:rsid w:val="6B369EE8"/>
    <w:rsid w:val="6B371626"/>
    <w:rsid w:val="6B37D0CD"/>
    <w:rsid w:val="6B37ED8A"/>
    <w:rsid w:val="6B385292"/>
    <w:rsid w:val="6B39522D"/>
    <w:rsid w:val="6B39EA16"/>
    <w:rsid w:val="6B3A3AF3"/>
    <w:rsid w:val="6B3A5205"/>
    <w:rsid w:val="6B3AAC5C"/>
    <w:rsid w:val="6B3ACB67"/>
    <w:rsid w:val="6B3B66FA"/>
    <w:rsid w:val="6B3BEB38"/>
    <w:rsid w:val="6B3C37B8"/>
    <w:rsid w:val="6B3CDE66"/>
    <w:rsid w:val="6B3D2522"/>
    <w:rsid w:val="6B3D81F4"/>
    <w:rsid w:val="6B3D83E4"/>
    <w:rsid w:val="6B3E8806"/>
    <w:rsid w:val="6B3EA7C0"/>
    <w:rsid w:val="6B3F3122"/>
    <w:rsid w:val="6B3F6105"/>
    <w:rsid w:val="6B3FA349"/>
    <w:rsid w:val="6B3FA828"/>
    <w:rsid w:val="6B3FE0EA"/>
    <w:rsid w:val="6B3FE393"/>
    <w:rsid w:val="6B400491"/>
    <w:rsid w:val="6B40387F"/>
    <w:rsid w:val="6B418E2C"/>
    <w:rsid w:val="6B42CF09"/>
    <w:rsid w:val="6B42F386"/>
    <w:rsid w:val="6B43593B"/>
    <w:rsid w:val="6B44336F"/>
    <w:rsid w:val="6B44725D"/>
    <w:rsid w:val="6B44BF76"/>
    <w:rsid w:val="6B44F1A7"/>
    <w:rsid w:val="6B451753"/>
    <w:rsid w:val="6B455036"/>
    <w:rsid w:val="6B459E78"/>
    <w:rsid w:val="6B45ACF5"/>
    <w:rsid w:val="6B45C8E1"/>
    <w:rsid w:val="6B4625BB"/>
    <w:rsid w:val="6B469016"/>
    <w:rsid w:val="6B4A7A2A"/>
    <w:rsid w:val="6B4ACAF2"/>
    <w:rsid w:val="6B4BB660"/>
    <w:rsid w:val="6B4BBCD1"/>
    <w:rsid w:val="6B4D3220"/>
    <w:rsid w:val="6B4D6DAB"/>
    <w:rsid w:val="6B4E265F"/>
    <w:rsid w:val="6B4EEFA9"/>
    <w:rsid w:val="6B508725"/>
    <w:rsid w:val="6B50A50D"/>
    <w:rsid w:val="6B50B2D4"/>
    <w:rsid w:val="6B50C258"/>
    <w:rsid w:val="6B522DFB"/>
    <w:rsid w:val="6B524F30"/>
    <w:rsid w:val="6B534192"/>
    <w:rsid w:val="6B53AC75"/>
    <w:rsid w:val="6B53D503"/>
    <w:rsid w:val="6B5400B8"/>
    <w:rsid w:val="6B548AF4"/>
    <w:rsid w:val="6B5492B8"/>
    <w:rsid w:val="6B55394C"/>
    <w:rsid w:val="6B55AE13"/>
    <w:rsid w:val="6B568BB0"/>
    <w:rsid w:val="6B56C5D3"/>
    <w:rsid w:val="6B570E7A"/>
    <w:rsid w:val="6B57D588"/>
    <w:rsid w:val="6B585453"/>
    <w:rsid w:val="6B590416"/>
    <w:rsid w:val="6B59708B"/>
    <w:rsid w:val="6B5A0CFA"/>
    <w:rsid w:val="6B5B7616"/>
    <w:rsid w:val="6B5C49CB"/>
    <w:rsid w:val="6B5EB033"/>
    <w:rsid w:val="6B5EC4AB"/>
    <w:rsid w:val="6B5ECD2F"/>
    <w:rsid w:val="6B5ED749"/>
    <w:rsid w:val="6B5F48A1"/>
    <w:rsid w:val="6B5FCDC6"/>
    <w:rsid w:val="6B603983"/>
    <w:rsid w:val="6B60F957"/>
    <w:rsid w:val="6B61362C"/>
    <w:rsid w:val="6B62B95A"/>
    <w:rsid w:val="6B634D52"/>
    <w:rsid w:val="6B63EEBF"/>
    <w:rsid w:val="6B63F632"/>
    <w:rsid w:val="6B65D94C"/>
    <w:rsid w:val="6B66A4F8"/>
    <w:rsid w:val="6B66C8AD"/>
    <w:rsid w:val="6B67345D"/>
    <w:rsid w:val="6B6758E4"/>
    <w:rsid w:val="6B675C33"/>
    <w:rsid w:val="6B6771B6"/>
    <w:rsid w:val="6B6785A1"/>
    <w:rsid w:val="6B67A56B"/>
    <w:rsid w:val="6B686338"/>
    <w:rsid w:val="6B68BF4B"/>
    <w:rsid w:val="6B68DD8C"/>
    <w:rsid w:val="6B68DF43"/>
    <w:rsid w:val="6B69013C"/>
    <w:rsid w:val="6B695EDB"/>
    <w:rsid w:val="6B696F16"/>
    <w:rsid w:val="6B69773B"/>
    <w:rsid w:val="6B69EA33"/>
    <w:rsid w:val="6B69FD64"/>
    <w:rsid w:val="6B6A0651"/>
    <w:rsid w:val="6B6AF52C"/>
    <w:rsid w:val="6B6B3822"/>
    <w:rsid w:val="6B6B5E0C"/>
    <w:rsid w:val="6B6C3383"/>
    <w:rsid w:val="6B6C96D3"/>
    <w:rsid w:val="6B6E11B4"/>
    <w:rsid w:val="6B6EA860"/>
    <w:rsid w:val="6B6ED9CE"/>
    <w:rsid w:val="6B6EFB87"/>
    <w:rsid w:val="6B6FFC98"/>
    <w:rsid w:val="6B707F36"/>
    <w:rsid w:val="6B726ACD"/>
    <w:rsid w:val="6B73A056"/>
    <w:rsid w:val="6B742981"/>
    <w:rsid w:val="6B743023"/>
    <w:rsid w:val="6B7444D0"/>
    <w:rsid w:val="6B74CE67"/>
    <w:rsid w:val="6B74D05D"/>
    <w:rsid w:val="6B74D425"/>
    <w:rsid w:val="6B75292C"/>
    <w:rsid w:val="6B7545FD"/>
    <w:rsid w:val="6B766A35"/>
    <w:rsid w:val="6B77D62E"/>
    <w:rsid w:val="6B793203"/>
    <w:rsid w:val="6B79AA75"/>
    <w:rsid w:val="6B7A3CB7"/>
    <w:rsid w:val="6B7A8C67"/>
    <w:rsid w:val="6B7B31D4"/>
    <w:rsid w:val="6B7B9A6E"/>
    <w:rsid w:val="6B7BC6F9"/>
    <w:rsid w:val="6B7D3CDE"/>
    <w:rsid w:val="6B7D547D"/>
    <w:rsid w:val="6B7EAFCE"/>
    <w:rsid w:val="6B7EFF69"/>
    <w:rsid w:val="6B7F18B0"/>
    <w:rsid w:val="6B7F6E97"/>
    <w:rsid w:val="6B7FA2F1"/>
    <w:rsid w:val="6B7FDA9C"/>
    <w:rsid w:val="6B7FE12A"/>
    <w:rsid w:val="6B8010AD"/>
    <w:rsid w:val="6B806AF9"/>
    <w:rsid w:val="6B80BED1"/>
    <w:rsid w:val="6B80E191"/>
    <w:rsid w:val="6B8146F5"/>
    <w:rsid w:val="6B819F29"/>
    <w:rsid w:val="6B81BB7B"/>
    <w:rsid w:val="6B81DAD0"/>
    <w:rsid w:val="6B81E664"/>
    <w:rsid w:val="6B821A2A"/>
    <w:rsid w:val="6B827F2B"/>
    <w:rsid w:val="6B831443"/>
    <w:rsid w:val="6B838C76"/>
    <w:rsid w:val="6B845CEF"/>
    <w:rsid w:val="6B84D216"/>
    <w:rsid w:val="6B84EC1C"/>
    <w:rsid w:val="6B86DF1C"/>
    <w:rsid w:val="6B873090"/>
    <w:rsid w:val="6B877270"/>
    <w:rsid w:val="6B87E716"/>
    <w:rsid w:val="6B881830"/>
    <w:rsid w:val="6B8846EE"/>
    <w:rsid w:val="6B887306"/>
    <w:rsid w:val="6B893FB3"/>
    <w:rsid w:val="6B8A1DDE"/>
    <w:rsid w:val="6B8A26D5"/>
    <w:rsid w:val="6B8A9135"/>
    <w:rsid w:val="6B8AD635"/>
    <w:rsid w:val="6B8BA09A"/>
    <w:rsid w:val="6B8BC11D"/>
    <w:rsid w:val="6B8CCF72"/>
    <w:rsid w:val="6B8D46DF"/>
    <w:rsid w:val="6B8D5370"/>
    <w:rsid w:val="6B8D7A9E"/>
    <w:rsid w:val="6B8DE170"/>
    <w:rsid w:val="6B8E9E39"/>
    <w:rsid w:val="6B8EDA1A"/>
    <w:rsid w:val="6B8EE9C2"/>
    <w:rsid w:val="6B8F621F"/>
    <w:rsid w:val="6B8FA0B6"/>
    <w:rsid w:val="6B8FF362"/>
    <w:rsid w:val="6B911A2F"/>
    <w:rsid w:val="6B91980F"/>
    <w:rsid w:val="6B92C661"/>
    <w:rsid w:val="6B931D78"/>
    <w:rsid w:val="6B94B3D8"/>
    <w:rsid w:val="6B950E2A"/>
    <w:rsid w:val="6B95344A"/>
    <w:rsid w:val="6B95C06C"/>
    <w:rsid w:val="6B965D9E"/>
    <w:rsid w:val="6B973D5D"/>
    <w:rsid w:val="6B9743ED"/>
    <w:rsid w:val="6B97685E"/>
    <w:rsid w:val="6B979C20"/>
    <w:rsid w:val="6B97B280"/>
    <w:rsid w:val="6B994AD6"/>
    <w:rsid w:val="6B995DC4"/>
    <w:rsid w:val="6B99C34E"/>
    <w:rsid w:val="6B9A317B"/>
    <w:rsid w:val="6B9AEE85"/>
    <w:rsid w:val="6B9BB7B9"/>
    <w:rsid w:val="6B9C96E3"/>
    <w:rsid w:val="6B9CF457"/>
    <w:rsid w:val="6B9E188F"/>
    <w:rsid w:val="6B9EF232"/>
    <w:rsid w:val="6B9EFFF5"/>
    <w:rsid w:val="6B9F4235"/>
    <w:rsid w:val="6BA1147C"/>
    <w:rsid w:val="6BA2A4E0"/>
    <w:rsid w:val="6BA2A506"/>
    <w:rsid w:val="6BA30A9B"/>
    <w:rsid w:val="6BA35CB2"/>
    <w:rsid w:val="6BA4F803"/>
    <w:rsid w:val="6BA5618C"/>
    <w:rsid w:val="6BA5B533"/>
    <w:rsid w:val="6BA5E0BD"/>
    <w:rsid w:val="6BA60964"/>
    <w:rsid w:val="6BA6AA49"/>
    <w:rsid w:val="6BA71246"/>
    <w:rsid w:val="6BA772C9"/>
    <w:rsid w:val="6BA81A9F"/>
    <w:rsid w:val="6BA91201"/>
    <w:rsid w:val="6BA9C7E4"/>
    <w:rsid w:val="6BA9CCE3"/>
    <w:rsid w:val="6BAA4AAE"/>
    <w:rsid w:val="6BAA8362"/>
    <w:rsid w:val="6BAAD8BA"/>
    <w:rsid w:val="6BAB3979"/>
    <w:rsid w:val="6BABA0D7"/>
    <w:rsid w:val="6BAC4A9D"/>
    <w:rsid w:val="6BAC6615"/>
    <w:rsid w:val="6BAE3449"/>
    <w:rsid w:val="6BAE40E1"/>
    <w:rsid w:val="6BAE64DE"/>
    <w:rsid w:val="6BAE957D"/>
    <w:rsid w:val="6BAEBF3C"/>
    <w:rsid w:val="6BAF06DA"/>
    <w:rsid w:val="6BAF49D1"/>
    <w:rsid w:val="6BAFAAA9"/>
    <w:rsid w:val="6BB03FE0"/>
    <w:rsid w:val="6BB04C56"/>
    <w:rsid w:val="6BB0B2C3"/>
    <w:rsid w:val="6BB0C5B0"/>
    <w:rsid w:val="6BB23C7A"/>
    <w:rsid w:val="6BB269AA"/>
    <w:rsid w:val="6BB2B971"/>
    <w:rsid w:val="6BB2CA56"/>
    <w:rsid w:val="6BB4FCBE"/>
    <w:rsid w:val="6BB59090"/>
    <w:rsid w:val="6BB646EA"/>
    <w:rsid w:val="6BB6540D"/>
    <w:rsid w:val="6BB664E6"/>
    <w:rsid w:val="6BB6F0D4"/>
    <w:rsid w:val="6BB71CE1"/>
    <w:rsid w:val="6BB79930"/>
    <w:rsid w:val="6BB7E1C1"/>
    <w:rsid w:val="6BB7EEA9"/>
    <w:rsid w:val="6BB88C95"/>
    <w:rsid w:val="6BB90DB5"/>
    <w:rsid w:val="6BB92AD2"/>
    <w:rsid w:val="6BBA05AC"/>
    <w:rsid w:val="6BBA12C9"/>
    <w:rsid w:val="6BBA19FA"/>
    <w:rsid w:val="6BBA61FF"/>
    <w:rsid w:val="6BBA8019"/>
    <w:rsid w:val="6BBA8F2D"/>
    <w:rsid w:val="6BBB0FE2"/>
    <w:rsid w:val="6BBBFFCB"/>
    <w:rsid w:val="6BBC8DB9"/>
    <w:rsid w:val="6BBDE7AC"/>
    <w:rsid w:val="6BBDF8ED"/>
    <w:rsid w:val="6BBE4ADD"/>
    <w:rsid w:val="6BBEAA75"/>
    <w:rsid w:val="6BBEABB1"/>
    <w:rsid w:val="6BC18D2A"/>
    <w:rsid w:val="6BC1FAFC"/>
    <w:rsid w:val="6BC20259"/>
    <w:rsid w:val="6BC2F0B1"/>
    <w:rsid w:val="6BC36B75"/>
    <w:rsid w:val="6BC3805B"/>
    <w:rsid w:val="6BC3FEFA"/>
    <w:rsid w:val="6BC42B98"/>
    <w:rsid w:val="6BC45B19"/>
    <w:rsid w:val="6BC4BF43"/>
    <w:rsid w:val="6BC4DA08"/>
    <w:rsid w:val="6BC4FCBB"/>
    <w:rsid w:val="6BC57965"/>
    <w:rsid w:val="6BC6158A"/>
    <w:rsid w:val="6BC67420"/>
    <w:rsid w:val="6BC69437"/>
    <w:rsid w:val="6BC7F8D4"/>
    <w:rsid w:val="6BC8AD90"/>
    <w:rsid w:val="6BC943E1"/>
    <w:rsid w:val="6BCB063F"/>
    <w:rsid w:val="6BCD42A7"/>
    <w:rsid w:val="6BCF0581"/>
    <w:rsid w:val="6BD0008B"/>
    <w:rsid w:val="6BD03CC5"/>
    <w:rsid w:val="6BD0C80B"/>
    <w:rsid w:val="6BD0D961"/>
    <w:rsid w:val="6BD13235"/>
    <w:rsid w:val="6BD1CC9F"/>
    <w:rsid w:val="6BD21706"/>
    <w:rsid w:val="6BD32C82"/>
    <w:rsid w:val="6BD3798C"/>
    <w:rsid w:val="6BD6B591"/>
    <w:rsid w:val="6BD70A86"/>
    <w:rsid w:val="6BD76A9B"/>
    <w:rsid w:val="6BD79505"/>
    <w:rsid w:val="6BD88914"/>
    <w:rsid w:val="6BD90D1B"/>
    <w:rsid w:val="6BD94245"/>
    <w:rsid w:val="6BD94CCE"/>
    <w:rsid w:val="6BD9D2FF"/>
    <w:rsid w:val="6BDB5D8D"/>
    <w:rsid w:val="6BDC20C5"/>
    <w:rsid w:val="6BDC5467"/>
    <w:rsid w:val="6BDC6F43"/>
    <w:rsid w:val="6BDC92EE"/>
    <w:rsid w:val="6BDD40E8"/>
    <w:rsid w:val="6BDD6001"/>
    <w:rsid w:val="6BDDC024"/>
    <w:rsid w:val="6BDDC99C"/>
    <w:rsid w:val="6BDDD458"/>
    <w:rsid w:val="6BDE3522"/>
    <w:rsid w:val="6BDE7901"/>
    <w:rsid w:val="6BE02819"/>
    <w:rsid w:val="6BE05623"/>
    <w:rsid w:val="6BE158C1"/>
    <w:rsid w:val="6BE2500F"/>
    <w:rsid w:val="6BE3A325"/>
    <w:rsid w:val="6BE40C71"/>
    <w:rsid w:val="6BE4512E"/>
    <w:rsid w:val="6BE4A51A"/>
    <w:rsid w:val="6BE5ACCC"/>
    <w:rsid w:val="6BE5CE9C"/>
    <w:rsid w:val="6BE5F8C1"/>
    <w:rsid w:val="6BE64982"/>
    <w:rsid w:val="6BE67C1D"/>
    <w:rsid w:val="6BE6B7D9"/>
    <w:rsid w:val="6BE6F278"/>
    <w:rsid w:val="6BE7011B"/>
    <w:rsid w:val="6BE742E7"/>
    <w:rsid w:val="6BE7524F"/>
    <w:rsid w:val="6BE792D3"/>
    <w:rsid w:val="6BE7BDE8"/>
    <w:rsid w:val="6BE7BF80"/>
    <w:rsid w:val="6BE80257"/>
    <w:rsid w:val="6BE8304B"/>
    <w:rsid w:val="6BE84364"/>
    <w:rsid w:val="6BE889CC"/>
    <w:rsid w:val="6BE9BF2B"/>
    <w:rsid w:val="6BEBB902"/>
    <w:rsid w:val="6BED6BA1"/>
    <w:rsid w:val="6BEE1D5E"/>
    <w:rsid w:val="6BEF5740"/>
    <w:rsid w:val="6BEFD8DA"/>
    <w:rsid w:val="6BF04DC5"/>
    <w:rsid w:val="6BF06513"/>
    <w:rsid w:val="6BF081B8"/>
    <w:rsid w:val="6BF12E60"/>
    <w:rsid w:val="6BF231DC"/>
    <w:rsid w:val="6BF2C9B2"/>
    <w:rsid w:val="6BF340E7"/>
    <w:rsid w:val="6BF35DC2"/>
    <w:rsid w:val="6BF3EE98"/>
    <w:rsid w:val="6BF415A5"/>
    <w:rsid w:val="6BF42B55"/>
    <w:rsid w:val="6BF5E5A0"/>
    <w:rsid w:val="6BF5F014"/>
    <w:rsid w:val="6BF5F310"/>
    <w:rsid w:val="6BF61441"/>
    <w:rsid w:val="6BF690C0"/>
    <w:rsid w:val="6BF6C782"/>
    <w:rsid w:val="6BF74D21"/>
    <w:rsid w:val="6BF78876"/>
    <w:rsid w:val="6BF81DCF"/>
    <w:rsid w:val="6BF8E799"/>
    <w:rsid w:val="6BF944C8"/>
    <w:rsid w:val="6BF9769C"/>
    <w:rsid w:val="6BF9A004"/>
    <w:rsid w:val="6BF9B5EC"/>
    <w:rsid w:val="6BF9D52C"/>
    <w:rsid w:val="6BFA5042"/>
    <w:rsid w:val="6BFA87D2"/>
    <w:rsid w:val="6BFAB529"/>
    <w:rsid w:val="6BFAE0B7"/>
    <w:rsid w:val="6BFAFBA4"/>
    <w:rsid w:val="6BFB7458"/>
    <w:rsid w:val="6BFB9D94"/>
    <w:rsid w:val="6BFC7A30"/>
    <w:rsid w:val="6BFD3505"/>
    <w:rsid w:val="6BFD79C2"/>
    <w:rsid w:val="6BFF677E"/>
    <w:rsid w:val="6C00D6FF"/>
    <w:rsid w:val="6C00DB41"/>
    <w:rsid w:val="6C010E68"/>
    <w:rsid w:val="6C011CA8"/>
    <w:rsid w:val="6C01F0D3"/>
    <w:rsid w:val="6C023914"/>
    <w:rsid w:val="6C034A3C"/>
    <w:rsid w:val="6C036152"/>
    <w:rsid w:val="6C03D78B"/>
    <w:rsid w:val="6C045ADB"/>
    <w:rsid w:val="6C052D82"/>
    <w:rsid w:val="6C056C4E"/>
    <w:rsid w:val="6C062526"/>
    <w:rsid w:val="6C069939"/>
    <w:rsid w:val="6C06FB69"/>
    <w:rsid w:val="6C07549B"/>
    <w:rsid w:val="6C075987"/>
    <w:rsid w:val="6C07E9CC"/>
    <w:rsid w:val="6C07FB67"/>
    <w:rsid w:val="6C0AD1D7"/>
    <w:rsid w:val="6C0B3EB7"/>
    <w:rsid w:val="6C0B95AE"/>
    <w:rsid w:val="6C0C0E5D"/>
    <w:rsid w:val="6C0C1069"/>
    <w:rsid w:val="6C0C2344"/>
    <w:rsid w:val="6C0C92ED"/>
    <w:rsid w:val="6C0CAA5A"/>
    <w:rsid w:val="6C0D9C50"/>
    <w:rsid w:val="6C0DB1FD"/>
    <w:rsid w:val="6C0EC517"/>
    <w:rsid w:val="6C0F2E27"/>
    <w:rsid w:val="6C0FA980"/>
    <w:rsid w:val="6C0FCEE1"/>
    <w:rsid w:val="6C0FF0FB"/>
    <w:rsid w:val="6C10665E"/>
    <w:rsid w:val="6C118150"/>
    <w:rsid w:val="6C11B83C"/>
    <w:rsid w:val="6C12572D"/>
    <w:rsid w:val="6C12652E"/>
    <w:rsid w:val="6C12E50D"/>
    <w:rsid w:val="6C1350A7"/>
    <w:rsid w:val="6C13E5CC"/>
    <w:rsid w:val="6C146695"/>
    <w:rsid w:val="6C147463"/>
    <w:rsid w:val="6C14C59A"/>
    <w:rsid w:val="6C151648"/>
    <w:rsid w:val="6C15A861"/>
    <w:rsid w:val="6C168917"/>
    <w:rsid w:val="6C16DBC0"/>
    <w:rsid w:val="6C16F293"/>
    <w:rsid w:val="6C1749F8"/>
    <w:rsid w:val="6C1765B2"/>
    <w:rsid w:val="6C183F8D"/>
    <w:rsid w:val="6C189863"/>
    <w:rsid w:val="6C18BF89"/>
    <w:rsid w:val="6C191A0B"/>
    <w:rsid w:val="6C196D69"/>
    <w:rsid w:val="6C19F532"/>
    <w:rsid w:val="6C1A22B7"/>
    <w:rsid w:val="6C1A4B7D"/>
    <w:rsid w:val="6C1AE073"/>
    <w:rsid w:val="6C1BD178"/>
    <w:rsid w:val="6C1C9946"/>
    <w:rsid w:val="6C1DE163"/>
    <w:rsid w:val="6C1E2646"/>
    <w:rsid w:val="6C1F0C6A"/>
    <w:rsid w:val="6C1FD8A1"/>
    <w:rsid w:val="6C200FE0"/>
    <w:rsid w:val="6C20F317"/>
    <w:rsid w:val="6C21278A"/>
    <w:rsid w:val="6C21802D"/>
    <w:rsid w:val="6C220AB1"/>
    <w:rsid w:val="6C2211F5"/>
    <w:rsid w:val="6C22504D"/>
    <w:rsid w:val="6C22E81E"/>
    <w:rsid w:val="6C237765"/>
    <w:rsid w:val="6C23C118"/>
    <w:rsid w:val="6C247BFE"/>
    <w:rsid w:val="6C24ACA6"/>
    <w:rsid w:val="6C260F79"/>
    <w:rsid w:val="6C2628AD"/>
    <w:rsid w:val="6C26A617"/>
    <w:rsid w:val="6C2717F8"/>
    <w:rsid w:val="6C28705F"/>
    <w:rsid w:val="6C289E9E"/>
    <w:rsid w:val="6C28AADD"/>
    <w:rsid w:val="6C29501A"/>
    <w:rsid w:val="6C2969DD"/>
    <w:rsid w:val="6C29D9A2"/>
    <w:rsid w:val="6C2A9D43"/>
    <w:rsid w:val="6C2B32AD"/>
    <w:rsid w:val="6C2BDD01"/>
    <w:rsid w:val="6C2CFBBF"/>
    <w:rsid w:val="6C2D2CD7"/>
    <w:rsid w:val="6C2D405E"/>
    <w:rsid w:val="6C2DBEFE"/>
    <w:rsid w:val="6C2DD935"/>
    <w:rsid w:val="6C2E4A47"/>
    <w:rsid w:val="6C2EAA48"/>
    <w:rsid w:val="6C300BF8"/>
    <w:rsid w:val="6C308FE9"/>
    <w:rsid w:val="6C31EE5D"/>
    <w:rsid w:val="6C32240F"/>
    <w:rsid w:val="6C32B6B8"/>
    <w:rsid w:val="6C3370D3"/>
    <w:rsid w:val="6C339571"/>
    <w:rsid w:val="6C33F877"/>
    <w:rsid w:val="6C3498F3"/>
    <w:rsid w:val="6C353604"/>
    <w:rsid w:val="6C3555F7"/>
    <w:rsid w:val="6C357018"/>
    <w:rsid w:val="6C374FAB"/>
    <w:rsid w:val="6C38CD12"/>
    <w:rsid w:val="6C38FF90"/>
    <w:rsid w:val="6C39D5C3"/>
    <w:rsid w:val="6C3A3E79"/>
    <w:rsid w:val="6C3A870C"/>
    <w:rsid w:val="6C3AF8E8"/>
    <w:rsid w:val="6C3BAB32"/>
    <w:rsid w:val="6C3BAE8D"/>
    <w:rsid w:val="6C3BEB7F"/>
    <w:rsid w:val="6C3C2885"/>
    <w:rsid w:val="6C3C3C90"/>
    <w:rsid w:val="6C3C79D0"/>
    <w:rsid w:val="6C3D8ABF"/>
    <w:rsid w:val="6C3E2899"/>
    <w:rsid w:val="6C3E4C45"/>
    <w:rsid w:val="6C3EF808"/>
    <w:rsid w:val="6C3F4AF2"/>
    <w:rsid w:val="6C3F5A67"/>
    <w:rsid w:val="6C3F9C3A"/>
    <w:rsid w:val="6C3FE6E1"/>
    <w:rsid w:val="6C3FFD09"/>
    <w:rsid w:val="6C410419"/>
    <w:rsid w:val="6C412A26"/>
    <w:rsid w:val="6C413481"/>
    <w:rsid w:val="6C41B782"/>
    <w:rsid w:val="6C41FBC7"/>
    <w:rsid w:val="6C42508D"/>
    <w:rsid w:val="6C433B13"/>
    <w:rsid w:val="6C43561E"/>
    <w:rsid w:val="6C43A17F"/>
    <w:rsid w:val="6C43A443"/>
    <w:rsid w:val="6C4512BD"/>
    <w:rsid w:val="6C4573D9"/>
    <w:rsid w:val="6C45BC6B"/>
    <w:rsid w:val="6C467690"/>
    <w:rsid w:val="6C46DF3F"/>
    <w:rsid w:val="6C471A53"/>
    <w:rsid w:val="6C471BBE"/>
    <w:rsid w:val="6C471CCD"/>
    <w:rsid w:val="6C484097"/>
    <w:rsid w:val="6C487039"/>
    <w:rsid w:val="6C487FAE"/>
    <w:rsid w:val="6C48C5C2"/>
    <w:rsid w:val="6C49A487"/>
    <w:rsid w:val="6C4A062A"/>
    <w:rsid w:val="6C4AA2FC"/>
    <w:rsid w:val="6C4AF8A3"/>
    <w:rsid w:val="6C4BA5FD"/>
    <w:rsid w:val="6C4E073B"/>
    <w:rsid w:val="6C4E6940"/>
    <w:rsid w:val="6C4F0BCA"/>
    <w:rsid w:val="6C4F98CC"/>
    <w:rsid w:val="6C4FA21F"/>
    <w:rsid w:val="6C503E8F"/>
    <w:rsid w:val="6C5150A0"/>
    <w:rsid w:val="6C5262A2"/>
    <w:rsid w:val="6C528AA3"/>
    <w:rsid w:val="6C53BD06"/>
    <w:rsid w:val="6C53CD4D"/>
    <w:rsid w:val="6C5468B0"/>
    <w:rsid w:val="6C555782"/>
    <w:rsid w:val="6C55C314"/>
    <w:rsid w:val="6C55F763"/>
    <w:rsid w:val="6C564C48"/>
    <w:rsid w:val="6C56A4F3"/>
    <w:rsid w:val="6C56AC25"/>
    <w:rsid w:val="6C56AF00"/>
    <w:rsid w:val="6C57480F"/>
    <w:rsid w:val="6C57A00C"/>
    <w:rsid w:val="6C57EFA1"/>
    <w:rsid w:val="6C58BA87"/>
    <w:rsid w:val="6C58D66B"/>
    <w:rsid w:val="6C598100"/>
    <w:rsid w:val="6C59E055"/>
    <w:rsid w:val="6C5B62BE"/>
    <w:rsid w:val="6C5BDA51"/>
    <w:rsid w:val="6C5C7C62"/>
    <w:rsid w:val="6C5CF4F4"/>
    <w:rsid w:val="6C5D0BAC"/>
    <w:rsid w:val="6C5D49F3"/>
    <w:rsid w:val="6C5D4B57"/>
    <w:rsid w:val="6C5E8939"/>
    <w:rsid w:val="6C5E8A75"/>
    <w:rsid w:val="6C5F8794"/>
    <w:rsid w:val="6C6005B9"/>
    <w:rsid w:val="6C60A7C5"/>
    <w:rsid w:val="6C60C805"/>
    <w:rsid w:val="6C6172C4"/>
    <w:rsid w:val="6C62AE2E"/>
    <w:rsid w:val="6C62F76F"/>
    <w:rsid w:val="6C6306A8"/>
    <w:rsid w:val="6C631BBF"/>
    <w:rsid w:val="6C631CD0"/>
    <w:rsid w:val="6C6396C7"/>
    <w:rsid w:val="6C63B849"/>
    <w:rsid w:val="6C6492A2"/>
    <w:rsid w:val="6C653107"/>
    <w:rsid w:val="6C654B6E"/>
    <w:rsid w:val="6C65F4CB"/>
    <w:rsid w:val="6C6665AF"/>
    <w:rsid w:val="6C67D368"/>
    <w:rsid w:val="6C68C131"/>
    <w:rsid w:val="6C68EE45"/>
    <w:rsid w:val="6C68F743"/>
    <w:rsid w:val="6C690589"/>
    <w:rsid w:val="6C699A04"/>
    <w:rsid w:val="6C69B90B"/>
    <w:rsid w:val="6C6B6B98"/>
    <w:rsid w:val="6C6BA057"/>
    <w:rsid w:val="6C6D7741"/>
    <w:rsid w:val="6C6E88E5"/>
    <w:rsid w:val="6C6EE455"/>
    <w:rsid w:val="6C6F96D3"/>
    <w:rsid w:val="6C70ACA7"/>
    <w:rsid w:val="6C71949E"/>
    <w:rsid w:val="6C73412A"/>
    <w:rsid w:val="6C74D408"/>
    <w:rsid w:val="6C74DAF6"/>
    <w:rsid w:val="6C758992"/>
    <w:rsid w:val="6C75D8FC"/>
    <w:rsid w:val="6C75F2D0"/>
    <w:rsid w:val="6C762775"/>
    <w:rsid w:val="6C767A33"/>
    <w:rsid w:val="6C777CE5"/>
    <w:rsid w:val="6C779C69"/>
    <w:rsid w:val="6C77B59E"/>
    <w:rsid w:val="6C77D0F9"/>
    <w:rsid w:val="6C77E4F0"/>
    <w:rsid w:val="6C7A3430"/>
    <w:rsid w:val="6C7BFD0A"/>
    <w:rsid w:val="6C7C1BE6"/>
    <w:rsid w:val="6C7C2B46"/>
    <w:rsid w:val="6C7C413F"/>
    <w:rsid w:val="6C7C4260"/>
    <w:rsid w:val="6C7CE40F"/>
    <w:rsid w:val="6C7D36A4"/>
    <w:rsid w:val="6C7D6336"/>
    <w:rsid w:val="6C7D8193"/>
    <w:rsid w:val="6C7D9FFF"/>
    <w:rsid w:val="6C7E4B1F"/>
    <w:rsid w:val="6C7F0900"/>
    <w:rsid w:val="6C7FAF05"/>
    <w:rsid w:val="6C810773"/>
    <w:rsid w:val="6C817170"/>
    <w:rsid w:val="6C82808E"/>
    <w:rsid w:val="6C82B646"/>
    <w:rsid w:val="6C846526"/>
    <w:rsid w:val="6C84BCB1"/>
    <w:rsid w:val="6C84D074"/>
    <w:rsid w:val="6C85309E"/>
    <w:rsid w:val="6C856065"/>
    <w:rsid w:val="6C862A2C"/>
    <w:rsid w:val="6C86402F"/>
    <w:rsid w:val="6C865FB0"/>
    <w:rsid w:val="6C86CEC9"/>
    <w:rsid w:val="6C880BDE"/>
    <w:rsid w:val="6C886918"/>
    <w:rsid w:val="6C88FB78"/>
    <w:rsid w:val="6C8A482D"/>
    <w:rsid w:val="6C8BBCD2"/>
    <w:rsid w:val="6C8C4D1B"/>
    <w:rsid w:val="6C8C5CEF"/>
    <w:rsid w:val="6C8CC0B7"/>
    <w:rsid w:val="6C8CD882"/>
    <w:rsid w:val="6C8DDB4B"/>
    <w:rsid w:val="6C8DF36E"/>
    <w:rsid w:val="6C8E16F6"/>
    <w:rsid w:val="6C8EF75C"/>
    <w:rsid w:val="6C8EFB5A"/>
    <w:rsid w:val="6C8FF4F2"/>
    <w:rsid w:val="6C901E26"/>
    <w:rsid w:val="6C9071A2"/>
    <w:rsid w:val="6C912F1F"/>
    <w:rsid w:val="6C936895"/>
    <w:rsid w:val="6C9393DB"/>
    <w:rsid w:val="6C93A022"/>
    <w:rsid w:val="6C93E27E"/>
    <w:rsid w:val="6C93F522"/>
    <w:rsid w:val="6C940FA7"/>
    <w:rsid w:val="6C943F56"/>
    <w:rsid w:val="6C94410B"/>
    <w:rsid w:val="6C95348C"/>
    <w:rsid w:val="6C9569B7"/>
    <w:rsid w:val="6C964FB9"/>
    <w:rsid w:val="6C971626"/>
    <w:rsid w:val="6C981A0A"/>
    <w:rsid w:val="6C98895C"/>
    <w:rsid w:val="6C98DE13"/>
    <w:rsid w:val="6C98F77F"/>
    <w:rsid w:val="6C9A21F2"/>
    <w:rsid w:val="6C9B84BC"/>
    <w:rsid w:val="6C9C19D8"/>
    <w:rsid w:val="6C9C5064"/>
    <w:rsid w:val="6C9C5814"/>
    <w:rsid w:val="6C9CB7D5"/>
    <w:rsid w:val="6C9CF725"/>
    <w:rsid w:val="6C9DD3B9"/>
    <w:rsid w:val="6C9E15C3"/>
    <w:rsid w:val="6C9E897F"/>
    <w:rsid w:val="6C9F8CE4"/>
    <w:rsid w:val="6C9FD9BA"/>
    <w:rsid w:val="6C9FE0B8"/>
    <w:rsid w:val="6C9FEA87"/>
    <w:rsid w:val="6C9FF70B"/>
    <w:rsid w:val="6CA00E72"/>
    <w:rsid w:val="6CA17EFF"/>
    <w:rsid w:val="6CA1AF2E"/>
    <w:rsid w:val="6CA21C9A"/>
    <w:rsid w:val="6CA266D1"/>
    <w:rsid w:val="6CA31EDE"/>
    <w:rsid w:val="6CA49427"/>
    <w:rsid w:val="6CA57AE8"/>
    <w:rsid w:val="6CA619D5"/>
    <w:rsid w:val="6CA66050"/>
    <w:rsid w:val="6CA6BC6B"/>
    <w:rsid w:val="6CA73F9C"/>
    <w:rsid w:val="6CA74007"/>
    <w:rsid w:val="6CA854CB"/>
    <w:rsid w:val="6CAB66F3"/>
    <w:rsid w:val="6CABF1B8"/>
    <w:rsid w:val="6CAC509C"/>
    <w:rsid w:val="6CAC52B4"/>
    <w:rsid w:val="6CAC9A40"/>
    <w:rsid w:val="6CACBAB6"/>
    <w:rsid w:val="6CAD03AC"/>
    <w:rsid w:val="6CADE38F"/>
    <w:rsid w:val="6CAE21DA"/>
    <w:rsid w:val="6CAEC1D1"/>
    <w:rsid w:val="6CAF5816"/>
    <w:rsid w:val="6CAFF8CD"/>
    <w:rsid w:val="6CB03FE2"/>
    <w:rsid w:val="6CB07E8C"/>
    <w:rsid w:val="6CB0B7BB"/>
    <w:rsid w:val="6CB0DA65"/>
    <w:rsid w:val="6CB10438"/>
    <w:rsid w:val="6CB11CD5"/>
    <w:rsid w:val="6CB1A89B"/>
    <w:rsid w:val="6CB1B902"/>
    <w:rsid w:val="6CB254BA"/>
    <w:rsid w:val="6CB34794"/>
    <w:rsid w:val="6CB38E04"/>
    <w:rsid w:val="6CB3A11A"/>
    <w:rsid w:val="6CB5A637"/>
    <w:rsid w:val="6CB62AD2"/>
    <w:rsid w:val="6CB7ACD1"/>
    <w:rsid w:val="6CB83C22"/>
    <w:rsid w:val="6CB9E7C5"/>
    <w:rsid w:val="6CB9EB58"/>
    <w:rsid w:val="6CBAA104"/>
    <w:rsid w:val="6CBAEE7C"/>
    <w:rsid w:val="6CBB7961"/>
    <w:rsid w:val="6CBB85D8"/>
    <w:rsid w:val="6CBBB00D"/>
    <w:rsid w:val="6CBBB8D2"/>
    <w:rsid w:val="6CBC1FD7"/>
    <w:rsid w:val="6CBCF27F"/>
    <w:rsid w:val="6CBDDB3D"/>
    <w:rsid w:val="6CBE1878"/>
    <w:rsid w:val="6CBE4061"/>
    <w:rsid w:val="6CBE58AD"/>
    <w:rsid w:val="6CBE5B92"/>
    <w:rsid w:val="6CBEA6EC"/>
    <w:rsid w:val="6CBEC185"/>
    <w:rsid w:val="6CBEC6FB"/>
    <w:rsid w:val="6CBEFEA2"/>
    <w:rsid w:val="6CBF4F8B"/>
    <w:rsid w:val="6CBF820E"/>
    <w:rsid w:val="6CBFBAC3"/>
    <w:rsid w:val="6CBFDF66"/>
    <w:rsid w:val="6CC220A4"/>
    <w:rsid w:val="6CC2301B"/>
    <w:rsid w:val="6CC25FD9"/>
    <w:rsid w:val="6CC2704A"/>
    <w:rsid w:val="6CC2A88A"/>
    <w:rsid w:val="6CC353C2"/>
    <w:rsid w:val="6CC377DD"/>
    <w:rsid w:val="6CC3B9BB"/>
    <w:rsid w:val="6CC4975E"/>
    <w:rsid w:val="6CC4B392"/>
    <w:rsid w:val="6CC585E5"/>
    <w:rsid w:val="6CC58AF1"/>
    <w:rsid w:val="6CC5B00F"/>
    <w:rsid w:val="6CC5EE87"/>
    <w:rsid w:val="6CC64A37"/>
    <w:rsid w:val="6CC6B3BE"/>
    <w:rsid w:val="6CC6C633"/>
    <w:rsid w:val="6CC6CBE8"/>
    <w:rsid w:val="6CC6E2EF"/>
    <w:rsid w:val="6CC765F5"/>
    <w:rsid w:val="6CC7748F"/>
    <w:rsid w:val="6CC78963"/>
    <w:rsid w:val="6CC78E6E"/>
    <w:rsid w:val="6CC7CA35"/>
    <w:rsid w:val="6CC8F4BB"/>
    <w:rsid w:val="6CCB24BB"/>
    <w:rsid w:val="6CCBFB26"/>
    <w:rsid w:val="6CCC04D3"/>
    <w:rsid w:val="6CCC1409"/>
    <w:rsid w:val="6CCCA80D"/>
    <w:rsid w:val="6CCCDC00"/>
    <w:rsid w:val="6CCDCE2F"/>
    <w:rsid w:val="6CCEE25F"/>
    <w:rsid w:val="6CCF73B8"/>
    <w:rsid w:val="6CCFADC5"/>
    <w:rsid w:val="6CD0440D"/>
    <w:rsid w:val="6CD156E3"/>
    <w:rsid w:val="6CD20A75"/>
    <w:rsid w:val="6CD221F9"/>
    <w:rsid w:val="6CD221FF"/>
    <w:rsid w:val="6CD28E63"/>
    <w:rsid w:val="6CD2901D"/>
    <w:rsid w:val="6CD29DD6"/>
    <w:rsid w:val="6CD3BA75"/>
    <w:rsid w:val="6CD43756"/>
    <w:rsid w:val="6CD527C3"/>
    <w:rsid w:val="6CD58D6C"/>
    <w:rsid w:val="6CD6F99D"/>
    <w:rsid w:val="6CD721A4"/>
    <w:rsid w:val="6CD74FF2"/>
    <w:rsid w:val="6CD7FE71"/>
    <w:rsid w:val="6CD7FFAD"/>
    <w:rsid w:val="6CD83639"/>
    <w:rsid w:val="6CD88E6D"/>
    <w:rsid w:val="6CD8C3AE"/>
    <w:rsid w:val="6CD9269C"/>
    <w:rsid w:val="6CD93AB7"/>
    <w:rsid w:val="6CD95282"/>
    <w:rsid w:val="6CD985DD"/>
    <w:rsid w:val="6CD9A86B"/>
    <w:rsid w:val="6CDA4931"/>
    <w:rsid w:val="6CDA5E87"/>
    <w:rsid w:val="6CDAD2B1"/>
    <w:rsid w:val="6CDB5018"/>
    <w:rsid w:val="6CDBDD27"/>
    <w:rsid w:val="6CDBE9E5"/>
    <w:rsid w:val="6CDC8CB7"/>
    <w:rsid w:val="6CDD9D17"/>
    <w:rsid w:val="6CDDE73E"/>
    <w:rsid w:val="6CDE2EE8"/>
    <w:rsid w:val="6CDE4994"/>
    <w:rsid w:val="6CDF0C3E"/>
    <w:rsid w:val="6CDF2292"/>
    <w:rsid w:val="6CDF31DA"/>
    <w:rsid w:val="6CDFBFA5"/>
    <w:rsid w:val="6CDFF415"/>
    <w:rsid w:val="6CE00891"/>
    <w:rsid w:val="6CE07B47"/>
    <w:rsid w:val="6CE0ED1D"/>
    <w:rsid w:val="6CE0F82C"/>
    <w:rsid w:val="6CE17E93"/>
    <w:rsid w:val="6CE18640"/>
    <w:rsid w:val="6CE26D32"/>
    <w:rsid w:val="6CE36CA4"/>
    <w:rsid w:val="6CE3903D"/>
    <w:rsid w:val="6CE42062"/>
    <w:rsid w:val="6CE4504D"/>
    <w:rsid w:val="6CE520A7"/>
    <w:rsid w:val="6CE55311"/>
    <w:rsid w:val="6CE58A61"/>
    <w:rsid w:val="6CE59454"/>
    <w:rsid w:val="6CE59DD3"/>
    <w:rsid w:val="6CE5A21D"/>
    <w:rsid w:val="6CE5B34B"/>
    <w:rsid w:val="6CE5E177"/>
    <w:rsid w:val="6CE632C3"/>
    <w:rsid w:val="6CE6B4A4"/>
    <w:rsid w:val="6CE742C6"/>
    <w:rsid w:val="6CE7577B"/>
    <w:rsid w:val="6CE76199"/>
    <w:rsid w:val="6CE77D8B"/>
    <w:rsid w:val="6CE7D516"/>
    <w:rsid w:val="6CE7EB87"/>
    <w:rsid w:val="6CE800AE"/>
    <w:rsid w:val="6CE82332"/>
    <w:rsid w:val="6CE86C88"/>
    <w:rsid w:val="6CE92355"/>
    <w:rsid w:val="6CE99795"/>
    <w:rsid w:val="6CEAEE59"/>
    <w:rsid w:val="6CEAFD1A"/>
    <w:rsid w:val="6CEB4926"/>
    <w:rsid w:val="6CEB665A"/>
    <w:rsid w:val="6CEBEDDE"/>
    <w:rsid w:val="6CEBFF36"/>
    <w:rsid w:val="6CEC0F53"/>
    <w:rsid w:val="6CEC6589"/>
    <w:rsid w:val="6CED84DD"/>
    <w:rsid w:val="6CEDB218"/>
    <w:rsid w:val="6CEDDC74"/>
    <w:rsid w:val="6CEE4B00"/>
    <w:rsid w:val="6CEE4DBC"/>
    <w:rsid w:val="6CEEB97B"/>
    <w:rsid w:val="6CEF0266"/>
    <w:rsid w:val="6CF03EE8"/>
    <w:rsid w:val="6CF07AAA"/>
    <w:rsid w:val="6CF12226"/>
    <w:rsid w:val="6CF123FB"/>
    <w:rsid w:val="6CF1FD79"/>
    <w:rsid w:val="6CF239DA"/>
    <w:rsid w:val="6CF52F5A"/>
    <w:rsid w:val="6CF61188"/>
    <w:rsid w:val="6CF61C86"/>
    <w:rsid w:val="6CF623D8"/>
    <w:rsid w:val="6CF6C02E"/>
    <w:rsid w:val="6CF70634"/>
    <w:rsid w:val="6CF753BB"/>
    <w:rsid w:val="6CF81DF0"/>
    <w:rsid w:val="6CF8377B"/>
    <w:rsid w:val="6CF91711"/>
    <w:rsid w:val="6CF95A59"/>
    <w:rsid w:val="6CF98DA7"/>
    <w:rsid w:val="6CF9F72C"/>
    <w:rsid w:val="6CFB31BC"/>
    <w:rsid w:val="6CFB6F46"/>
    <w:rsid w:val="6CFBC15F"/>
    <w:rsid w:val="6CFBCD38"/>
    <w:rsid w:val="6CFC19B9"/>
    <w:rsid w:val="6CFC1FC1"/>
    <w:rsid w:val="6CFC668C"/>
    <w:rsid w:val="6CFCFF38"/>
    <w:rsid w:val="6CFD9C8A"/>
    <w:rsid w:val="6CFDD3A1"/>
    <w:rsid w:val="6CFE54FB"/>
    <w:rsid w:val="6CFE759F"/>
    <w:rsid w:val="6CFED396"/>
    <w:rsid w:val="6CFF1B2C"/>
    <w:rsid w:val="6CFF3017"/>
    <w:rsid w:val="6D008BC5"/>
    <w:rsid w:val="6D00BB88"/>
    <w:rsid w:val="6D011742"/>
    <w:rsid w:val="6D0193E2"/>
    <w:rsid w:val="6D01D27C"/>
    <w:rsid w:val="6D0272BE"/>
    <w:rsid w:val="6D027830"/>
    <w:rsid w:val="6D032F0A"/>
    <w:rsid w:val="6D033D66"/>
    <w:rsid w:val="6D0385BA"/>
    <w:rsid w:val="6D0401D0"/>
    <w:rsid w:val="6D043CBA"/>
    <w:rsid w:val="6D04959A"/>
    <w:rsid w:val="6D04DFC0"/>
    <w:rsid w:val="6D055DB0"/>
    <w:rsid w:val="6D059B6B"/>
    <w:rsid w:val="6D05B554"/>
    <w:rsid w:val="6D061B3E"/>
    <w:rsid w:val="6D063F2B"/>
    <w:rsid w:val="6D065818"/>
    <w:rsid w:val="6D067227"/>
    <w:rsid w:val="6D067A92"/>
    <w:rsid w:val="6D072CAB"/>
    <w:rsid w:val="6D0783FE"/>
    <w:rsid w:val="6D087F84"/>
    <w:rsid w:val="6D08F5E3"/>
    <w:rsid w:val="6D0941A4"/>
    <w:rsid w:val="6D09850B"/>
    <w:rsid w:val="6D09A02E"/>
    <w:rsid w:val="6D0A4E20"/>
    <w:rsid w:val="6D0C9DC7"/>
    <w:rsid w:val="6D0CD3E5"/>
    <w:rsid w:val="6D0D2E19"/>
    <w:rsid w:val="6D0DFC06"/>
    <w:rsid w:val="6D0E6ECB"/>
    <w:rsid w:val="6D0F2910"/>
    <w:rsid w:val="6D0FDED0"/>
    <w:rsid w:val="6D105960"/>
    <w:rsid w:val="6D107910"/>
    <w:rsid w:val="6D11B2E0"/>
    <w:rsid w:val="6D121E89"/>
    <w:rsid w:val="6D130256"/>
    <w:rsid w:val="6D136248"/>
    <w:rsid w:val="6D1400E0"/>
    <w:rsid w:val="6D142617"/>
    <w:rsid w:val="6D152FCD"/>
    <w:rsid w:val="6D157D33"/>
    <w:rsid w:val="6D158158"/>
    <w:rsid w:val="6D15C777"/>
    <w:rsid w:val="6D16942C"/>
    <w:rsid w:val="6D16CD31"/>
    <w:rsid w:val="6D16D9B4"/>
    <w:rsid w:val="6D1755DB"/>
    <w:rsid w:val="6D17F708"/>
    <w:rsid w:val="6D17FF7B"/>
    <w:rsid w:val="6D186693"/>
    <w:rsid w:val="6D189D5C"/>
    <w:rsid w:val="6D18C038"/>
    <w:rsid w:val="6D1AFADD"/>
    <w:rsid w:val="6D1B6AAD"/>
    <w:rsid w:val="6D1CDB3B"/>
    <w:rsid w:val="6D1CE125"/>
    <w:rsid w:val="6D1D8753"/>
    <w:rsid w:val="6D1D88F7"/>
    <w:rsid w:val="6D1E70D9"/>
    <w:rsid w:val="6D1F463F"/>
    <w:rsid w:val="6D209F4E"/>
    <w:rsid w:val="6D20EC46"/>
    <w:rsid w:val="6D21968F"/>
    <w:rsid w:val="6D233109"/>
    <w:rsid w:val="6D23DAFB"/>
    <w:rsid w:val="6D23DF33"/>
    <w:rsid w:val="6D24D543"/>
    <w:rsid w:val="6D24EB39"/>
    <w:rsid w:val="6D254413"/>
    <w:rsid w:val="6D259143"/>
    <w:rsid w:val="6D25C5E7"/>
    <w:rsid w:val="6D25DC77"/>
    <w:rsid w:val="6D274778"/>
    <w:rsid w:val="6D278569"/>
    <w:rsid w:val="6D279BBA"/>
    <w:rsid w:val="6D283EF5"/>
    <w:rsid w:val="6D28FD4F"/>
    <w:rsid w:val="6D29095E"/>
    <w:rsid w:val="6D290D28"/>
    <w:rsid w:val="6D2950F6"/>
    <w:rsid w:val="6D29E06C"/>
    <w:rsid w:val="6D2A24AF"/>
    <w:rsid w:val="6D2A83A5"/>
    <w:rsid w:val="6D2AED21"/>
    <w:rsid w:val="6D2CED33"/>
    <w:rsid w:val="6D2D34BC"/>
    <w:rsid w:val="6D2DC03A"/>
    <w:rsid w:val="6D2DDEC3"/>
    <w:rsid w:val="6D2E7C76"/>
    <w:rsid w:val="6D2EC5AF"/>
    <w:rsid w:val="6D2FB2FB"/>
    <w:rsid w:val="6D2FCDB0"/>
    <w:rsid w:val="6D3036F6"/>
    <w:rsid w:val="6D336DFD"/>
    <w:rsid w:val="6D35C6CE"/>
    <w:rsid w:val="6D35FF74"/>
    <w:rsid w:val="6D36A68D"/>
    <w:rsid w:val="6D36DD11"/>
    <w:rsid w:val="6D378D5E"/>
    <w:rsid w:val="6D381D47"/>
    <w:rsid w:val="6D385908"/>
    <w:rsid w:val="6D38CEA9"/>
    <w:rsid w:val="6D38E0BE"/>
    <w:rsid w:val="6D393DD4"/>
    <w:rsid w:val="6D39A474"/>
    <w:rsid w:val="6D3B2529"/>
    <w:rsid w:val="6D3B6D65"/>
    <w:rsid w:val="6D3B8789"/>
    <w:rsid w:val="6D3CD887"/>
    <w:rsid w:val="6D3CED58"/>
    <w:rsid w:val="6D3D21DA"/>
    <w:rsid w:val="6D3D2B20"/>
    <w:rsid w:val="6D3D4E0B"/>
    <w:rsid w:val="6D3D6A81"/>
    <w:rsid w:val="6D3D9E95"/>
    <w:rsid w:val="6D3ED37F"/>
    <w:rsid w:val="6D3FB0F0"/>
    <w:rsid w:val="6D400079"/>
    <w:rsid w:val="6D402BAE"/>
    <w:rsid w:val="6D40851E"/>
    <w:rsid w:val="6D410BBF"/>
    <w:rsid w:val="6D41CF58"/>
    <w:rsid w:val="6D41FCF0"/>
    <w:rsid w:val="6D421BD6"/>
    <w:rsid w:val="6D4254C2"/>
    <w:rsid w:val="6D426704"/>
    <w:rsid w:val="6D428131"/>
    <w:rsid w:val="6D42F60D"/>
    <w:rsid w:val="6D432ACF"/>
    <w:rsid w:val="6D450546"/>
    <w:rsid w:val="6D45CFDE"/>
    <w:rsid w:val="6D45E9E5"/>
    <w:rsid w:val="6D463727"/>
    <w:rsid w:val="6D4687CE"/>
    <w:rsid w:val="6D47B8D9"/>
    <w:rsid w:val="6D4A11BA"/>
    <w:rsid w:val="6D4ADEA9"/>
    <w:rsid w:val="6D4AEBA5"/>
    <w:rsid w:val="6D4AF7F8"/>
    <w:rsid w:val="6D4B3E6F"/>
    <w:rsid w:val="6D4B6574"/>
    <w:rsid w:val="6D4B89D5"/>
    <w:rsid w:val="6D4BF78D"/>
    <w:rsid w:val="6D4CBD68"/>
    <w:rsid w:val="6D4D1964"/>
    <w:rsid w:val="6D4D67A3"/>
    <w:rsid w:val="6D4DD758"/>
    <w:rsid w:val="6D4DDDAC"/>
    <w:rsid w:val="6D4E1D04"/>
    <w:rsid w:val="6D4EAB0C"/>
    <w:rsid w:val="6D4EB6E4"/>
    <w:rsid w:val="6D4F7309"/>
    <w:rsid w:val="6D4F78BE"/>
    <w:rsid w:val="6D51C823"/>
    <w:rsid w:val="6D524D0F"/>
    <w:rsid w:val="6D52801C"/>
    <w:rsid w:val="6D5285D4"/>
    <w:rsid w:val="6D52B99E"/>
    <w:rsid w:val="6D546769"/>
    <w:rsid w:val="6D546BBF"/>
    <w:rsid w:val="6D55B684"/>
    <w:rsid w:val="6D56DC71"/>
    <w:rsid w:val="6D57271D"/>
    <w:rsid w:val="6D57F8CA"/>
    <w:rsid w:val="6D585EFF"/>
    <w:rsid w:val="6D5AB79B"/>
    <w:rsid w:val="6D5B64A0"/>
    <w:rsid w:val="6D5BB51E"/>
    <w:rsid w:val="6D5C4E13"/>
    <w:rsid w:val="6D5C6549"/>
    <w:rsid w:val="6D5CD783"/>
    <w:rsid w:val="6D5D10F6"/>
    <w:rsid w:val="6D5D89AE"/>
    <w:rsid w:val="6D5E3873"/>
    <w:rsid w:val="6D5E910C"/>
    <w:rsid w:val="6D5EDCA9"/>
    <w:rsid w:val="6D602E62"/>
    <w:rsid w:val="6D604A8D"/>
    <w:rsid w:val="6D617AEF"/>
    <w:rsid w:val="6D61A06F"/>
    <w:rsid w:val="6D61B0AC"/>
    <w:rsid w:val="6D61CDFE"/>
    <w:rsid w:val="6D62791F"/>
    <w:rsid w:val="6D62D29B"/>
    <w:rsid w:val="6D633AFD"/>
    <w:rsid w:val="6D63D125"/>
    <w:rsid w:val="6D6400DC"/>
    <w:rsid w:val="6D640133"/>
    <w:rsid w:val="6D64E94A"/>
    <w:rsid w:val="6D65E951"/>
    <w:rsid w:val="6D66E945"/>
    <w:rsid w:val="6D6728CF"/>
    <w:rsid w:val="6D67903D"/>
    <w:rsid w:val="6D684EFC"/>
    <w:rsid w:val="6D697675"/>
    <w:rsid w:val="6D6A03CB"/>
    <w:rsid w:val="6D6A12D2"/>
    <w:rsid w:val="6D6D5C96"/>
    <w:rsid w:val="6D6DC8B9"/>
    <w:rsid w:val="6D6E00EB"/>
    <w:rsid w:val="6D6E2EBD"/>
    <w:rsid w:val="6D6F8290"/>
    <w:rsid w:val="6D706D83"/>
    <w:rsid w:val="6D708FDB"/>
    <w:rsid w:val="6D70C8B4"/>
    <w:rsid w:val="6D71A599"/>
    <w:rsid w:val="6D71B62F"/>
    <w:rsid w:val="6D726828"/>
    <w:rsid w:val="6D73D5C9"/>
    <w:rsid w:val="6D74BE0E"/>
    <w:rsid w:val="6D74F742"/>
    <w:rsid w:val="6D750A32"/>
    <w:rsid w:val="6D75DA6D"/>
    <w:rsid w:val="6D763B5E"/>
    <w:rsid w:val="6D765804"/>
    <w:rsid w:val="6D772F55"/>
    <w:rsid w:val="6D7759CF"/>
    <w:rsid w:val="6D787570"/>
    <w:rsid w:val="6D793AF0"/>
    <w:rsid w:val="6D7963E5"/>
    <w:rsid w:val="6D7A114F"/>
    <w:rsid w:val="6D7A124A"/>
    <w:rsid w:val="6D7A8DA7"/>
    <w:rsid w:val="6D7ABA82"/>
    <w:rsid w:val="6D7C0379"/>
    <w:rsid w:val="6D7C130E"/>
    <w:rsid w:val="6D7CCAC5"/>
    <w:rsid w:val="6D7CD7F8"/>
    <w:rsid w:val="6D7DE032"/>
    <w:rsid w:val="6D7E6A8D"/>
    <w:rsid w:val="6D7EFA9D"/>
    <w:rsid w:val="6D7F559B"/>
    <w:rsid w:val="6D7FD010"/>
    <w:rsid w:val="6D8048D5"/>
    <w:rsid w:val="6D81CA99"/>
    <w:rsid w:val="6D826902"/>
    <w:rsid w:val="6D82FF51"/>
    <w:rsid w:val="6D839DB3"/>
    <w:rsid w:val="6D83AB10"/>
    <w:rsid w:val="6D84F14B"/>
    <w:rsid w:val="6D852742"/>
    <w:rsid w:val="6D85CECE"/>
    <w:rsid w:val="6D860C6B"/>
    <w:rsid w:val="6D86E140"/>
    <w:rsid w:val="6D88DC56"/>
    <w:rsid w:val="6D895271"/>
    <w:rsid w:val="6D897CE4"/>
    <w:rsid w:val="6D8A6A26"/>
    <w:rsid w:val="6D8B3C44"/>
    <w:rsid w:val="6D8B8D9D"/>
    <w:rsid w:val="6D8BF722"/>
    <w:rsid w:val="6D8C43FD"/>
    <w:rsid w:val="6D8C565D"/>
    <w:rsid w:val="6D8CD111"/>
    <w:rsid w:val="6D8CFB43"/>
    <w:rsid w:val="6D8CFF69"/>
    <w:rsid w:val="6D8D015D"/>
    <w:rsid w:val="6D8D8130"/>
    <w:rsid w:val="6D8F5DC3"/>
    <w:rsid w:val="6D8FBD38"/>
    <w:rsid w:val="6D8FCAC0"/>
    <w:rsid w:val="6D902AEE"/>
    <w:rsid w:val="6D903893"/>
    <w:rsid w:val="6D9053B9"/>
    <w:rsid w:val="6D90C2A9"/>
    <w:rsid w:val="6D91FC22"/>
    <w:rsid w:val="6D920142"/>
    <w:rsid w:val="6D927581"/>
    <w:rsid w:val="6D92888B"/>
    <w:rsid w:val="6D9304BC"/>
    <w:rsid w:val="6D937C54"/>
    <w:rsid w:val="6D93CE74"/>
    <w:rsid w:val="6D93EABF"/>
    <w:rsid w:val="6D94EEC1"/>
    <w:rsid w:val="6D956529"/>
    <w:rsid w:val="6D95C34C"/>
    <w:rsid w:val="6D95DF4A"/>
    <w:rsid w:val="6D96129D"/>
    <w:rsid w:val="6D96866D"/>
    <w:rsid w:val="6D96877B"/>
    <w:rsid w:val="6D968EA0"/>
    <w:rsid w:val="6D96A9E7"/>
    <w:rsid w:val="6D96E7A0"/>
    <w:rsid w:val="6D97BCA6"/>
    <w:rsid w:val="6D97C3AE"/>
    <w:rsid w:val="6D98360D"/>
    <w:rsid w:val="6D99280A"/>
    <w:rsid w:val="6D99B1CC"/>
    <w:rsid w:val="6D99E383"/>
    <w:rsid w:val="6D99E611"/>
    <w:rsid w:val="6D9A2CBB"/>
    <w:rsid w:val="6D9A453E"/>
    <w:rsid w:val="6D9A673E"/>
    <w:rsid w:val="6D9B704D"/>
    <w:rsid w:val="6D9B7281"/>
    <w:rsid w:val="6D9C7412"/>
    <w:rsid w:val="6D9CA5EF"/>
    <w:rsid w:val="6D9D068E"/>
    <w:rsid w:val="6D9D7601"/>
    <w:rsid w:val="6D9D80E9"/>
    <w:rsid w:val="6D9DF442"/>
    <w:rsid w:val="6D9E4989"/>
    <w:rsid w:val="6D9E4B49"/>
    <w:rsid w:val="6D9E6A0B"/>
    <w:rsid w:val="6D9ECA9A"/>
    <w:rsid w:val="6D9FB10C"/>
    <w:rsid w:val="6DA0C474"/>
    <w:rsid w:val="6DA0EA56"/>
    <w:rsid w:val="6DA212F9"/>
    <w:rsid w:val="6DA28E21"/>
    <w:rsid w:val="6DA39789"/>
    <w:rsid w:val="6DA4C84C"/>
    <w:rsid w:val="6DA4DCE1"/>
    <w:rsid w:val="6DA50825"/>
    <w:rsid w:val="6DA5C810"/>
    <w:rsid w:val="6DA681AE"/>
    <w:rsid w:val="6DA690EE"/>
    <w:rsid w:val="6DA7143E"/>
    <w:rsid w:val="6DA72C85"/>
    <w:rsid w:val="6DA76422"/>
    <w:rsid w:val="6DA79972"/>
    <w:rsid w:val="6DA7D154"/>
    <w:rsid w:val="6DA8382A"/>
    <w:rsid w:val="6DA94D3D"/>
    <w:rsid w:val="6DAA0FD2"/>
    <w:rsid w:val="6DAA90E3"/>
    <w:rsid w:val="6DAB1265"/>
    <w:rsid w:val="6DAB4150"/>
    <w:rsid w:val="6DABB8C8"/>
    <w:rsid w:val="6DAC09BB"/>
    <w:rsid w:val="6DAC15E9"/>
    <w:rsid w:val="6DAC276A"/>
    <w:rsid w:val="6DAC929B"/>
    <w:rsid w:val="6DAC9BE8"/>
    <w:rsid w:val="6DAD7636"/>
    <w:rsid w:val="6DADA110"/>
    <w:rsid w:val="6DADA54D"/>
    <w:rsid w:val="6DAE8A5B"/>
    <w:rsid w:val="6DAE934A"/>
    <w:rsid w:val="6DAEE397"/>
    <w:rsid w:val="6DAF00C2"/>
    <w:rsid w:val="6DAF361A"/>
    <w:rsid w:val="6DAFB6D7"/>
    <w:rsid w:val="6DB1F445"/>
    <w:rsid w:val="6DB1FA58"/>
    <w:rsid w:val="6DB272EB"/>
    <w:rsid w:val="6DB280BE"/>
    <w:rsid w:val="6DB33A2F"/>
    <w:rsid w:val="6DB36440"/>
    <w:rsid w:val="6DB36F9D"/>
    <w:rsid w:val="6DB3A998"/>
    <w:rsid w:val="6DB3FD55"/>
    <w:rsid w:val="6DB414BB"/>
    <w:rsid w:val="6DB4587F"/>
    <w:rsid w:val="6DB46B9E"/>
    <w:rsid w:val="6DB551F6"/>
    <w:rsid w:val="6DB5767D"/>
    <w:rsid w:val="6DB5A05F"/>
    <w:rsid w:val="6DB623B6"/>
    <w:rsid w:val="6DB652F3"/>
    <w:rsid w:val="6DB66D4A"/>
    <w:rsid w:val="6DB6870A"/>
    <w:rsid w:val="6DB6E3F9"/>
    <w:rsid w:val="6DB7A89F"/>
    <w:rsid w:val="6DB823A8"/>
    <w:rsid w:val="6DB912C2"/>
    <w:rsid w:val="6DB93A1F"/>
    <w:rsid w:val="6DBA3C36"/>
    <w:rsid w:val="6DBA5F8E"/>
    <w:rsid w:val="6DBA7F38"/>
    <w:rsid w:val="6DBB14BD"/>
    <w:rsid w:val="6DBB827B"/>
    <w:rsid w:val="6DBBA64C"/>
    <w:rsid w:val="6DBBE543"/>
    <w:rsid w:val="6DBBF5BD"/>
    <w:rsid w:val="6DBC10D7"/>
    <w:rsid w:val="6DBC54B6"/>
    <w:rsid w:val="6DBCA969"/>
    <w:rsid w:val="6DBD1181"/>
    <w:rsid w:val="6DBD526E"/>
    <w:rsid w:val="6DBD70F1"/>
    <w:rsid w:val="6DBD790F"/>
    <w:rsid w:val="6DBDBDF4"/>
    <w:rsid w:val="6DBDD7A8"/>
    <w:rsid w:val="6DBDDE74"/>
    <w:rsid w:val="6DBDE068"/>
    <w:rsid w:val="6DBDF323"/>
    <w:rsid w:val="6DBDF9E2"/>
    <w:rsid w:val="6DBE5304"/>
    <w:rsid w:val="6DBFE1FE"/>
    <w:rsid w:val="6DC0F301"/>
    <w:rsid w:val="6DC13B98"/>
    <w:rsid w:val="6DC214C1"/>
    <w:rsid w:val="6DC280CD"/>
    <w:rsid w:val="6DC2ADC1"/>
    <w:rsid w:val="6DC2C331"/>
    <w:rsid w:val="6DC4908A"/>
    <w:rsid w:val="6DC5C59B"/>
    <w:rsid w:val="6DC605B1"/>
    <w:rsid w:val="6DC6B7CF"/>
    <w:rsid w:val="6DC6D925"/>
    <w:rsid w:val="6DC88985"/>
    <w:rsid w:val="6DC88FC6"/>
    <w:rsid w:val="6DC8DFBA"/>
    <w:rsid w:val="6DC94B79"/>
    <w:rsid w:val="6DC9CCF8"/>
    <w:rsid w:val="6DCA6FAE"/>
    <w:rsid w:val="6DCA85F9"/>
    <w:rsid w:val="6DCB8218"/>
    <w:rsid w:val="6DCC2476"/>
    <w:rsid w:val="6DCCBB44"/>
    <w:rsid w:val="6DCCBC2F"/>
    <w:rsid w:val="6DCCCEE9"/>
    <w:rsid w:val="6DCD205A"/>
    <w:rsid w:val="6DCD2843"/>
    <w:rsid w:val="6DCD5CF8"/>
    <w:rsid w:val="6DCDEBFD"/>
    <w:rsid w:val="6DD0155B"/>
    <w:rsid w:val="6DD06712"/>
    <w:rsid w:val="6DD0ACDA"/>
    <w:rsid w:val="6DD16ACE"/>
    <w:rsid w:val="6DD1B27A"/>
    <w:rsid w:val="6DD34346"/>
    <w:rsid w:val="6DD3AD80"/>
    <w:rsid w:val="6DD44B23"/>
    <w:rsid w:val="6DD52CD7"/>
    <w:rsid w:val="6DD89507"/>
    <w:rsid w:val="6DD90B59"/>
    <w:rsid w:val="6DD95700"/>
    <w:rsid w:val="6DD9587B"/>
    <w:rsid w:val="6DD99386"/>
    <w:rsid w:val="6DDA1D71"/>
    <w:rsid w:val="6DDC0970"/>
    <w:rsid w:val="6DDC1835"/>
    <w:rsid w:val="6DDC8F94"/>
    <w:rsid w:val="6DDD4AAA"/>
    <w:rsid w:val="6DDD53E1"/>
    <w:rsid w:val="6DDD9CF5"/>
    <w:rsid w:val="6DDDF376"/>
    <w:rsid w:val="6DDDF5FB"/>
    <w:rsid w:val="6DDE5D12"/>
    <w:rsid w:val="6DDF60CE"/>
    <w:rsid w:val="6DDF994C"/>
    <w:rsid w:val="6DDFF9FF"/>
    <w:rsid w:val="6DE012AA"/>
    <w:rsid w:val="6DE07E8C"/>
    <w:rsid w:val="6DE1C718"/>
    <w:rsid w:val="6DE244A0"/>
    <w:rsid w:val="6DE34AB3"/>
    <w:rsid w:val="6DE3B39C"/>
    <w:rsid w:val="6DE410F8"/>
    <w:rsid w:val="6DE4280A"/>
    <w:rsid w:val="6DE428D1"/>
    <w:rsid w:val="6DE44579"/>
    <w:rsid w:val="6DE48499"/>
    <w:rsid w:val="6DE48602"/>
    <w:rsid w:val="6DE4A496"/>
    <w:rsid w:val="6DE4E1B3"/>
    <w:rsid w:val="6DE579A4"/>
    <w:rsid w:val="6DE5BED7"/>
    <w:rsid w:val="6DE622A3"/>
    <w:rsid w:val="6DE65C01"/>
    <w:rsid w:val="6DE680F1"/>
    <w:rsid w:val="6DE709E4"/>
    <w:rsid w:val="6DE7548C"/>
    <w:rsid w:val="6DE76E35"/>
    <w:rsid w:val="6DE7B28B"/>
    <w:rsid w:val="6DE81CF8"/>
    <w:rsid w:val="6DE873B3"/>
    <w:rsid w:val="6DE8F29B"/>
    <w:rsid w:val="6DE93CE4"/>
    <w:rsid w:val="6DE97BED"/>
    <w:rsid w:val="6DE9C07C"/>
    <w:rsid w:val="6DE9D1B2"/>
    <w:rsid w:val="6DEA1CEC"/>
    <w:rsid w:val="6DEA50D1"/>
    <w:rsid w:val="6DEABE8E"/>
    <w:rsid w:val="6DEB5B53"/>
    <w:rsid w:val="6DEC433E"/>
    <w:rsid w:val="6DECA764"/>
    <w:rsid w:val="6DECCA50"/>
    <w:rsid w:val="6DECFCE0"/>
    <w:rsid w:val="6DEDA2A5"/>
    <w:rsid w:val="6DEE4CF5"/>
    <w:rsid w:val="6DEE8C35"/>
    <w:rsid w:val="6DEEAA30"/>
    <w:rsid w:val="6DEEBAAA"/>
    <w:rsid w:val="6DEFA517"/>
    <w:rsid w:val="6DEFDEDC"/>
    <w:rsid w:val="6DF047FD"/>
    <w:rsid w:val="6DF0D59E"/>
    <w:rsid w:val="6DF0DF54"/>
    <w:rsid w:val="6DF0E328"/>
    <w:rsid w:val="6DF14475"/>
    <w:rsid w:val="6DF2854E"/>
    <w:rsid w:val="6DF2A751"/>
    <w:rsid w:val="6DF2BF5F"/>
    <w:rsid w:val="6DF33EE0"/>
    <w:rsid w:val="6DF359DE"/>
    <w:rsid w:val="6DF3C940"/>
    <w:rsid w:val="6DF3F4BC"/>
    <w:rsid w:val="6DF40E2C"/>
    <w:rsid w:val="6DF4A2F7"/>
    <w:rsid w:val="6DF509EA"/>
    <w:rsid w:val="6DF55E31"/>
    <w:rsid w:val="6DF5DBAF"/>
    <w:rsid w:val="6DF6A222"/>
    <w:rsid w:val="6DF751A2"/>
    <w:rsid w:val="6DF776ED"/>
    <w:rsid w:val="6DF7A4F1"/>
    <w:rsid w:val="6DF806B6"/>
    <w:rsid w:val="6DF80A93"/>
    <w:rsid w:val="6DF861F9"/>
    <w:rsid w:val="6DF8FCCE"/>
    <w:rsid w:val="6DF925E8"/>
    <w:rsid w:val="6DF99A84"/>
    <w:rsid w:val="6DF9A25E"/>
    <w:rsid w:val="6DF9DA89"/>
    <w:rsid w:val="6DFB7208"/>
    <w:rsid w:val="6DFBA5A6"/>
    <w:rsid w:val="6DFC3A3A"/>
    <w:rsid w:val="6DFC6DE1"/>
    <w:rsid w:val="6DFC75D1"/>
    <w:rsid w:val="6DFCAF28"/>
    <w:rsid w:val="6DFCC91E"/>
    <w:rsid w:val="6DFCF48C"/>
    <w:rsid w:val="6DFD7000"/>
    <w:rsid w:val="6DFE5940"/>
    <w:rsid w:val="6DFF99F0"/>
    <w:rsid w:val="6E0030C7"/>
    <w:rsid w:val="6E00633B"/>
    <w:rsid w:val="6E008BE9"/>
    <w:rsid w:val="6E026036"/>
    <w:rsid w:val="6E02ECCE"/>
    <w:rsid w:val="6E03E1F3"/>
    <w:rsid w:val="6E04BCC3"/>
    <w:rsid w:val="6E0513DA"/>
    <w:rsid w:val="6E05A8AC"/>
    <w:rsid w:val="6E05F544"/>
    <w:rsid w:val="6E0676CC"/>
    <w:rsid w:val="6E06CD0E"/>
    <w:rsid w:val="6E06D1E7"/>
    <w:rsid w:val="6E083108"/>
    <w:rsid w:val="6E08AC8C"/>
    <w:rsid w:val="6E08FE1B"/>
    <w:rsid w:val="6E0957FD"/>
    <w:rsid w:val="6E0A9A69"/>
    <w:rsid w:val="6E0ABE92"/>
    <w:rsid w:val="6E0B3DD7"/>
    <w:rsid w:val="6E0B59FE"/>
    <w:rsid w:val="6E0BBC9E"/>
    <w:rsid w:val="6E0BD2A1"/>
    <w:rsid w:val="6E0C8240"/>
    <w:rsid w:val="6E0D9451"/>
    <w:rsid w:val="6E0FB8CF"/>
    <w:rsid w:val="6E0FEFB3"/>
    <w:rsid w:val="6E1067F4"/>
    <w:rsid w:val="6E127BC3"/>
    <w:rsid w:val="6E12D350"/>
    <w:rsid w:val="6E137DC0"/>
    <w:rsid w:val="6E141BA6"/>
    <w:rsid w:val="6E145982"/>
    <w:rsid w:val="6E14BB81"/>
    <w:rsid w:val="6E155DA7"/>
    <w:rsid w:val="6E16577E"/>
    <w:rsid w:val="6E173787"/>
    <w:rsid w:val="6E1758B9"/>
    <w:rsid w:val="6E179772"/>
    <w:rsid w:val="6E17AD8E"/>
    <w:rsid w:val="6E17B8B8"/>
    <w:rsid w:val="6E17CF15"/>
    <w:rsid w:val="6E17E2C0"/>
    <w:rsid w:val="6E18349D"/>
    <w:rsid w:val="6E187C6B"/>
    <w:rsid w:val="6E193948"/>
    <w:rsid w:val="6E199351"/>
    <w:rsid w:val="6E1A26E8"/>
    <w:rsid w:val="6E1A36E0"/>
    <w:rsid w:val="6E1A3D21"/>
    <w:rsid w:val="6E1A636A"/>
    <w:rsid w:val="6E1A760B"/>
    <w:rsid w:val="6E1A9842"/>
    <w:rsid w:val="6E1AD300"/>
    <w:rsid w:val="6E1AF0C5"/>
    <w:rsid w:val="6E1B0670"/>
    <w:rsid w:val="6E1B2F94"/>
    <w:rsid w:val="6E1B7BC9"/>
    <w:rsid w:val="6E1BA7B5"/>
    <w:rsid w:val="6E1C33EE"/>
    <w:rsid w:val="6E1C831E"/>
    <w:rsid w:val="6E1CBB2C"/>
    <w:rsid w:val="6E1CC201"/>
    <w:rsid w:val="6E1CCA55"/>
    <w:rsid w:val="6E1D110F"/>
    <w:rsid w:val="6E1D3B2D"/>
    <w:rsid w:val="6E1ED339"/>
    <w:rsid w:val="6E1FFEBB"/>
    <w:rsid w:val="6E200A44"/>
    <w:rsid w:val="6E20906D"/>
    <w:rsid w:val="6E20A110"/>
    <w:rsid w:val="6E212DBD"/>
    <w:rsid w:val="6E212F80"/>
    <w:rsid w:val="6E2156E1"/>
    <w:rsid w:val="6E216D60"/>
    <w:rsid w:val="6E222F89"/>
    <w:rsid w:val="6E23885A"/>
    <w:rsid w:val="6E245427"/>
    <w:rsid w:val="6E24E0A7"/>
    <w:rsid w:val="6E260381"/>
    <w:rsid w:val="6E2618DA"/>
    <w:rsid w:val="6E266E42"/>
    <w:rsid w:val="6E26C0B0"/>
    <w:rsid w:val="6E2813B1"/>
    <w:rsid w:val="6E285B69"/>
    <w:rsid w:val="6E29A7D0"/>
    <w:rsid w:val="6E29F558"/>
    <w:rsid w:val="6E2ABDCE"/>
    <w:rsid w:val="6E2AD650"/>
    <w:rsid w:val="6E2B01EB"/>
    <w:rsid w:val="6E2B067F"/>
    <w:rsid w:val="6E2C9A05"/>
    <w:rsid w:val="6E2D6D16"/>
    <w:rsid w:val="6E2DCC83"/>
    <w:rsid w:val="6E2DFE42"/>
    <w:rsid w:val="6E2E054E"/>
    <w:rsid w:val="6E2F4964"/>
    <w:rsid w:val="6E2F5C13"/>
    <w:rsid w:val="6E3048B9"/>
    <w:rsid w:val="6E30A0D3"/>
    <w:rsid w:val="6E317FB7"/>
    <w:rsid w:val="6E3191B5"/>
    <w:rsid w:val="6E31F32B"/>
    <w:rsid w:val="6E326631"/>
    <w:rsid w:val="6E32DBF1"/>
    <w:rsid w:val="6E32E202"/>
    <w:rsid w:val="6E3317E7"/>
    <w:rsid w:val="6E3390DA"/>
    <w:rsid w:val="6E34F105"/>
    <w:rsid w:val="6E3520DB"/>
    <w:rsid w:val="6E35C924"/>
    <w:rsid w:val="6E35F439"/>
    <w:rsid w:val="6E368BD5"/>
    <w:rsid w:val="6E36D84E"/>
    <w:rsid w:val="6E3743D3"/>
    <w:rsid w:val="6E382EFC"/>
    <w:rsid w:val="6E386562"/>
    <w:rsid w:val="6E39107A"/>
    <w:rsid w:val="6E39C31F"/>
    <w:rsid w:val="6E3A131B"/>
    <w:rsid w:val="6E3A7313"/>
    <w:rsid w:val="6E3AA69B"/>
    <w:rsid w:val="6E3B5968"/>
    <w:rsid w:val="6E3B8521"/>
    <w:rsid w:val="6E3B9CF3"/>
    <w:rsid w:val="6E3BD57D"/>
    <w:rsid w:val="6E3C4B17"/>
    <w:rsid w:val="6E3C992B"/>
    <w:rsid w:val="6E3CA342"/>
    <w:rsid w:val="6E3D0030"/>
    <w:rsid w:val="6E3D57D3"/>
    <w:rsid w:val="6E3D5D80"/>
    <w:rsid w:val="6E3E6091"/>
    <w:rsid w:val="6E3E7541"/>
    <w:rsid w:val="6E3E916E"/>
    <w:rsid w:val="6E40096D"/>
    <w:rsid w:val="6E40F591"/>
    <w:rsid w:val="6E40FB97"/>
    <w:rsid w:val="6E425C5C"/>
    <w:rsid w:val="6E4298B7"/>
    <w:rsid w:val="6E437488"/>
    <w:rsid w:val="6E4378E8"/>
    <w:rsid w:val="6E44050F"/>
    <w:rsid w:val="6E446D45"/>
    <w:rsid w:val="6E45FDCD"/>
    <w:rsid w:val="6E4604CD"/>
    <w:rsid w:val="6E461061"/>
    <w:rsid w:val="6E478A01"/>
    <w:rsid w:val="6E478A59"/>
    <w:rsid w:val="6E4817D2"/>
    <w:rsid w:val="6E48386D"/>
    <w:rsid w:val="6E488641"/>
    <w:rsid w:val="6E491C6C"/>
    <w:rsid w:val="6E49F484"/>
    <w:rsid w:val="6E4AA2CD"/>
    <w:rsid w:val="6E4B5B78"/>
    <w:rsid w:val="6E4CC70F"/>
    <w:rsid w:val="6E4CC8FB"/>
    <w:rsid w:val="6E4DBE9E"/>
    <w:rsid w:val="6E4DD09D"/>
    <w:rsid w:val="6E4E48D6"/>
    <w:rsid w:val="6E4E5CCE"/>
    <w:rsid w:val="6E4E72D7"/>
    <w:rsid w:val="6E500673"/>
    <w:rsid w:val="6E506C82"/>
    <w:rsid w:val="6E50F97F"/>
    <w:rsid w:val="6E512DA1"/>
    <w:rsid w:val="6E519695"/>
    <w:rsid w:val="6E519C4A"/>
    <w:rsid w:val="6E528B3F"/>
    <w:rsid w:val="6E52F795"/>
    <w:rsid w:val="6E534D93"/>
    <w:rsid w:val="6E537E2B"/>
    <w:rsid w:val="6E53FE6B"/>
    <w:rsid w:val="6E5422EA"/>
    <w:rsid w:val="6E546BBD"/>
    <w:rsid w:val="6E5596AF"/>
    <w:rsid w:val="6E563C64"/>
    <w:rsid w:val="6E56AB45"/>
    <w:rsid w:val="6E57CBA2"/>
    <w:rsid w:val="6E58109C"/>
    <w:rsid w:val="6E5915CB"/>
    <w:rsid w:val="6E593888"/>
    <w:rsid w:val="6E597169"/>
    <w:rsid w:val="6E5ABF1B"/>
    <w:rsid w:val="6E5B2B6D"/>
    <w:rsid w:val="6E5B3845"/>
    <w:rsid w:val="6E5B5548"/>
    <w:rsid w:val="6E5C476E"/>
    <w:rsid w:val="6E5C5573"/>
    <w:rsid w:val="6E5CB78D"/>
    <w:rsid w:val="6E5CD4CA"/>
    <w:rsid w:val="6E5D7239"/>
    <w:rsid w:val="6E5DD20D"/>
    <w:rsid w:val="6E5DFFC3"/>
    <w:rsid w:val="6E5E8812"/>
    <w:rsid w:val="6E5E9D7F"/>
    <w:rsid w:val="6E60F316"/>
    <w:rsid w:val="6E61E83E"/>
    <w:rsid w:val="6E62439C"/>
    <w:rsid w:val="6E62C2BA"/>
    <w:rsid w:val="6E6305B1"/>
    <w:rsid w:val="6E6382C4"/>
    <w:rsid w:val="6E639C5C"/>
    <w:rsid w:val="6E65B109"/>
    <w:rsid w:val="6E65FD8E"/>
    <w:rsid w:val="6E66EC36"/>
    <w:rsid w:val="6E672281"/>
    <w:rsid w:val="6E67259A"/>
    <w:rsid w:val="6E676F1F"/>
    <w:rsid w:val="6E67FDDE"/>
    <w:rsid w:val="6E68AFC5"/>
    <w:rsid w:val="6E68CC61"/>
    <w:rsid w:val="6E690679"/>
    <w:rsid w:val="6E6910FE"/>
    <w:rsid w:val="6E6B8D67"/>
    <w:rsid w:val="6E6BF52C"/>
    <w:rsid w:val="6E6C0FFE"/>
    <w:rsid w:val="6E6CEC2B"/>
    <w:rsid w:val="6E6D1607"/>
    <w:rsid w:val="6E6DA22C"/>
    <w:rsid w:val="6E6DF319"/>
    <w:rsid w:val="6E6E6CC5"/>
    <w:rsid w:val="6E6E9975"/>
    <w:rsid w:val="6E6EBA7B"/>
    <w:rsid w:val="6E702A3C"/>
    <w:rsid w:val="6E70A042"/>
    <w:rsid w:val="6E716C49"/>
    <w:rsid w:val="6E71CB7E"/>
    <w:rsid w:val="6E72168A"/>
    <w:rsid w:val="6E72A331"/>
    <w:rsid w:val="6E732B88"/>
    <w:rsid w:val="6E734BD4"/>
    <w:rsid w:val="6E7640A3"/>
    <w:rsid w:val="6E76D662"/>
    <w:rsid w:val="6E77544D"/>
    <w:rsid w:val="6E7765FB"/>
    <w:rsid w:val="6E777C3D"/>
    <w:rsid w:val="6E781772"/>
    <w:rsid w:val="6E7881DD"/>
    <w:rsid w:val="6E789CBB"/>
    <w:rsid w:val="6E7967CC"/>
    <w:rsid w:val="6E79AE11"/>
    <w:rsid w:val="6E79DA37"/>
    <w:rsid w:val="6E7A5DAF"/>
    <w:rsid w:val="6E7B58AE"/>
    <w:rsid w:val="6E7B949E"/>
    <w:rsid w:val="6E7D65F0"/>
    <w:rsid w:val="6E7D78B3"/>
    <w:rsid w:val="6E7DC696"/>
    <w:rsid w:val="6E7DC8CD"/>
    <w:rsid w:val="6E7DD4F9"/>
    <w:rsid w:val="6E8071DD"/>
    <w:rsid w:val="6E80BAFB"/>
    <w:rsid w:val="6E81178D"/>
    <w:rsid w:val="6E8146E3"/>
    <w:rsid w:val="6E81D1B4"/>
    <w:rsid w:val="6E81F1AB"/>
    <w:rsid w:val="6E825A43"/>
    <w:rsid w:val="6E828619"/>
    <w:rsid w:val="6E828E3B"/>
    <w:rsid w:val="6E82A6A1"/>
    <w:rsid w:val="6E82C059"/>
    <w:rsid w:val="6E82EA05"/>
    <w:rsid w:val="6E840BA8"/>
    <w:rsid w:val="6E850663"/>
    <w:rsid w:val="6E851CCD"/>
    <w:rsid w:val="6E86A4D0"/>
    <w:rsid w:val="6E86D5B7"/>
    <w:rsid w:val="6E86DCB2"/>
    <w:rsid w:val="6E87E12A"/>
    <w:rsid w:val="6E882B38"/>
    <w:rsid w:val="6E886CF8"/>
    <w:rsid w:val="6E887450"/>
    <w:rsid w:val="6E88B0D2"/>
    <w:rsid w:val="6E88D92F"/>
    <w:rsid w:val="6E88F03A"/>
    <w:rsid w:val="6E89539F"/>
    <w:rsid w:val="6E8A2D6A"/>
    <w:rsid w:val="6E8A9B3B"/>
    <w:rsid w:val="6E8B33D0"/>
    <w:rsid w:val="6E8B7B9D"/>
    <w:rsid w:val="6E8BCFFB"/>
    <w:rsid w:val="6E8C640B"/>
    <w:rsid w:val="6E8CEF2D"/>
    <w:rsid w:val="6E8D139C"/>
    <w:rsid w:val="6E8D1400"/>
    <w:rsid w:val="6E8D2EA1"/>
    <w:rsid w:val="6E8D656D"/>
    <w:rsid w:val="6E8D83CF"/>
    <w:rsid w:val="6E8E3080"/>
    <w:rsid w:val="6E8F7880"/>
    <w:rsid w:val="6E8FD38E"/>
    <w:rsid w:val="6E900CF8"/>
    <w:rsid w:val="6E9019C3"/>
    <w:rsid w:val="6E90BB47"/>
    <w:rsid w:val="6E910D30"/>
    <w:rsid w:val="6E91BE08"/>
    <w:rsid w:val="6E928700"/>
    <w:rsid w:val="6E9350E0"/>
    <w:rsid w:val="6E93A72F"/>
    <w:rsid w:val="6E9419E9"/>
    <w:rsid w:val="6E942C03"/>
    <w:rsid w:val="6E947DB3"/>
    <w:rsid w:val="6E94EA23"/>
    <w:rsid w:val="6E950D4F"/>
    <w:rsid w:val="6E95590D"/>
    <w:rsid w:val="6E95F960"/>
    <w:rsid w:val="6E964F79"/>
    <w:rsid w:val="6E965FB4"/>
    <w:rsid w:val="6E96D567"/>
    <w:rsid w:val="6E97C42B"/>
    <w:rsid w:val="6E97C80E"/>
    <w:rsid w:val="6E97E0D8"/>
    <w:rsid w:val="6E99790B"/>
    <w:rsid w:val="6E99E20E"/>
    <w:rsid w:val="6E9A0A5D"/>
    <w:rsid w:val="6E9A22C7"/>
    <w:rsid w:val="6E9A3F21"/>
    <w:rsid w:val="6E9C84B6"/>
    <w:rsid w:val="6E9CBEE1"/>
    <w:rsid w:val="6E9CCAFD"/>
    <w:rsid w:val="6E9D442B"/>
    <w:rsid w:val="6E9D691A"/>
    <w:rsid w:val="6E9D7F8F"/>
    <w:rsid w:val="6E9DFCD8"/>
    <w:rsid w:val="6E9E2C2B"/>
    <w:rsid w:val="6E9EE6FD"/>
    <w:rsid w:val="6E9EF742"/>
    <w:rsid w:val="6E9F74B1"/>
    <w:rsid w:val="6E9FDBC0"/>
    <w:rsid w:val="6E9FEE5D"/>
    <w:rsid w:val="6EA07455"/>
    <w:rsid w:val="6EA09B73"/>
    <w:rsid w:val="6EA1149A"/>
    <w:rsid w:val="6EA15613"/>
    <w:rsid w:val="6EA16B42"/>
    <w:rsid w:val="6EA273F2"/>
    <w:rsid w:val="6EA29556"/>
    <w:rsid w:val="6EA31A21"/>
    <w:rsid w:val="6EA3204A"/>
    <w:rsid w:val="6EA355E0"/>
    <w:rsid w:val="6EA39805"/>
    <w:rsid w:val="6EA3AF0D"/>
    <w:rsid w:val="6EA4D9DB"/>
    <w:rsid w:val="6EA4E9F6"/>
    <w:rsid w:val="6EA55516"/>
    <w:rsid w:val="6EA66F67"/>
    <w:rsid w:val="6EA69F53"/>
    <w:rsid w:val="6EA6AFCA"/>
    <w:rsid w:val="6EA6B432"/>
    <w:rsid w:val="6EA6DDA8"/>
    <w:rsid w:val="6EA757AB"/>
    <w:rsid w:val="6EA75EA4"/>
    <w:rsid w:val="6EA76816"/>
    <w:rsid w:val="6EA76AC1"/>
    <w:rsid w:val="6EA76C5D"/>
    <w:rsid w:val="6EA7D8DC"/>
    <w:rsid w:val="6EA81310"/>
    <w:rsid w:val="6EA869FE"/>
    <w:rsid w:val="6EA8963D"/>
    <w:rsid w:val="6EA9E17E"/>
    <w:rsid w:val="6EA9E3C1"/>
    <w:rsid w:val="6EA9F0A3"/>
    <w:rsid w:val="6EAA4ABB"/>
    <w:rsid w:val="6EAA4EE1"/>
    <w:rsid w:val="6EAA6138"/>
    <w:rsid w:val="6EAABFCE"/>
    <w:rsid w:val="6EABDE2B"/>
    <w:rsid w:val="6EABED35"/>
    <w:rsid w:val="6EAD3DA1"/>
    <w:rsid w:val="6EAD4D8A"/>
    <w:rsid w:val="6EADEEA9"/>
    <w:rsid w:val="6EADFECD"/>
    <w:rsid w:val="6EAE7513"/>
    <w:rsid w:val="6EAE80D4"/>
    <w:rsid w:val="6EAE9170"/>
    <w:rsid w:val="6EAFA5B0"/>
    <w:rsid w:val="6EB094E0"/>
    <w:rsid w:val="6EB0AFBE"/>
    <w:rsid w:val="6EB10A4E"/>
    <w:rsid w:val="6EB128B9"/>
    <w:rsid w:val="6EB12E4E"/>
    <w:rsid w:val="6EB2A46B"/>
    <w:rsid w:val="6EB33B71"/>
    <w:rsid w:val="6EB34BC6"/>
    <w:rsid w:val="6EB43059"/>
    <w:rsid w:val="6EB44E94"/>
    <w:rsid w:val="6EB468A6"/>
    <w:rsid w:val="6EB487AF"/>
    <w:rsid w:val="6EB51588"/>
    <w:rsid w:val="6EB577D3"/>
    <w:rsid w:val="6EB5CEB5"/>
    <w:rsid w:val="6EB62960"/>
    <w:rsid w:val="6EB66540"/>
    <w:rsid w:val="6EB6DE73"/>
    <w:rsid w:val="6EB7BD46"/>
    <w:rsid w:val="6EB89CBF"/>
    <w:rsid w:val="6EB8F940"/>
    <w:rsid w:val="6EB91D20"/>
    <w:rsid w:val="6EB9713A"/>
    <w:rsid w:val="6EB9A841"/>
    <w:rsid w:val="6EBB1429"/>
    <w:rsid w:val="6EBB226B"/>
    <w:rsid w:val="6EBB2F09"/>
    <w:rsid w:val="6EBB5A68"/>
    <w:rsid w:val="6EBD898B"/>
    <w:rsid w:val="6EBE0805"/>
    <w:rsid w:val="6EBEFB17"/>
    <w:rsid w:val="6EBF0373"/>
    <w:rsid w:val="6EC01ECE"/>
    <w:rsid w:val="6EC043E1"/>
    <w:rsid w:val="6EC0A179"/>
    <w:rsid w:val="6EC0F10A"/>
    <w:rsid w:val="6EC2957C"/>
    <w:rsid w:val="6EC3279D"/>
    <w:rsid w:val="6EC46B07"/>
    <w:rsid w:val="6EC4B8D2"/>
    <w:rsid w:val="6EC605BC"/>
    <w:rsid w:val="6EC6A461"/>
    <w:rsid w:val="6EC6B587"/>
    <w:rsid w:val="6EC6EA1B"/>
    <w:rsid w:val="6EC776AE"/>
    <w:rsid w:val="6EC7FB29"/>
    <w:rsid w:val="6EC9AB42"/>
    <w:rsid w:val="6ECA557C"/>
    <w:rsid w:val="6ECB8E57"/>
    <w:rsid w:val="6ECBD08A"/>
    <w:rsid w:val="6ECBEA7A"/>
    <w:rsid w:val="6ECC0633"/>
    <w:rsid w:val="6ECCF831"/>
    <w:rsid w:val="6ECD3325"/>
    <w:rsid w:val="6ECE058B"/>
    <w:rsid w:val="6ECF2107"/>
    <w:rsid w:val="6ECF73BA"/>
    <w:rsid w:val="6ED01062"/>
    <w:rsid w:val="6ED042E4"/>
    <w:rsid w:val="6ED07953"/>
    <w:rsid w:val="6ED22791"/>
    <w:rsid w:val="6ED3243F"/>
    <w:rsid w:val="6ED38768"/>
    <w:rsid w:val="6ED4EBB3"/>
    <w:rsid w:val="6ED53955"/>
    <w:rsid w:val="6ED55925"/>
    <w:rsid w:val="6ED5DFA2"/>
    <w:rsid w:val="6ED5EDE2"/>
    <w:rsid w:val="6ED69672"/>
    <w:rsid w:val="6ED72861"/>
    <w:rsid w:val="6ED738E9"/>
    <w:rsid w:val="6ED868D2"/>
    <w:rsid w:val="6ED913EE"/>
    <w:rsid w:val="6ED921F9"/>
    <w:rsid w:val="6ED94EAC"/>
    <w:rsid w:val="6ED97F15"/>
    <w:rsid w:val="6EDAC3D1"/>
    <w:rsid w:val="6EDAE390"/>
    <w:rsid w:val="6EDB1886"/>
    <w:rsid w:val="6EDB7586"/>
    <w:rsid w:val="6EDC9F13"/>
    <w:rsid w:val="6EDCACD5"/>
    <w:rsid w:val="6EDF1284"/>
    <w:rsid w:val="6EDF46F9"/>
    <w:rsid w:val="6EDF6E81"/>
    <w:rsid w:val="6EDF7359"/>
    <w:rsid w:val="6EE06294"/>
    <w:rsid w:val="6EE06D64"/>
    <w:rsid w:val="6EE0E1AA"/>
    <w:rsid w:val="6EE0FDF3"/>
    <w:rsid w:val="6EE15E70"/>
    <w:rsid w:val="6EE1915E"/>
    <w:rsid w:val="6EE1D2A6"/>
    <w:rsid w:val="6EE1E7FF"/>
    <w:rsid w:val="6EE21AFF"/>
    <w:rsid w:val="6EE23A59"/>
    <w:rsid w:val="6EE2F576"/>
    <w:rsid w:val="6EE3830A"/>
    <w:rsid w:val="6EE384B5"/>
    <w:rsid w:val="6EE39EE5"/>
    <w:rsid w:val="6EE4295B"/>
    <w:rsid w:val="6EE443A9"/>
    <w:rsid w:val="6EE49355"/>
    <w:rsid w:val="6EE51341"/>
    <w:rsid w:val="6EE5CD81"/>
    <w:rsid w:val="6EE6D9B2"/>
    <w:rsid w:val="6EE6F23B"/>
    <w:rsid w:val="6EE6F4B1"/>
    <w:rsid w:val="6EE75B75"/>
    <w:rsid w:val="6EE7F208"/>
    <w:rsid w:val="6EE8C094"/>
    <w:rsid w:val="6EE930DD"/>
    <w:rsid w:val="6EE9C5D4"/>
    <w:rsid w:val="6EE9CF6E"/>
    <w:rsid w:val="6EEAC3C0"/>
    <w:rsid w:val="6EEB6E8C"/>
    <w:rsid w:val="6EEB8A81"/>
    <w:rsid w:val="6EEBB12A"/>
    <w:rsid w:val="6EECB6DF"/>
    <w:rsid w:val="6EECDFCA"/>
    <w:rsid w:val="6EECF88A"/>
    <w:rsid w:val="6EEE5195"/>
    <w:rsid w:val="6EEE56C5"/>
    <w:rsid w:val="6EEE9327"/>
    <w:rsid w:val="6EEE9BE7"/>
    <w:rsid w:val="6EEF0C9F"/>
    <w:rsid w:val="6EEF0FDE"/>
    <w:rsid w:val="6EF05A00"/>
    <w:rsid w:val="6EF099C4"/>
    <w:rsid w:val="6EF13CEC"/>
    <w:rsid w:val="6EF1A299"/>
    <w:rsid w:val="6EF1E772"/>
    <w:rsid w:val="6EF25208"/>
    <w:rsid w:val="6EF32D02"/>
    <w:rsid w:val="6EF3989B"/>
    <w:rsid w:val="6EF437F3"/>
    <w:rsid w:val="6EF43839"/>
    <w:rsid w:val="6EF5B518"/>
    <w:rsid w:val="6EF6102E"/>
    <w:rsid w:val="6EF65A95"/>
    <w:rsid w:val="6EF699C4"/>
    <w:rsid w:val="6EF6ED31"/>
    <w:rsid w:val="6EF70E48"/>
    <w:rsid w:val="6EF716F4"/>
    <w:rsid w:val="6EF7C370"/>
    <w:rsid w:val="6EF82C82"/>
    <w:rsid w:val="6EF8E179"/>
    <w:rsid w:val="6EFA5E49"/>
    <w:rsid w:val="6EFB2B17"/>
    <w:rsid w:val="6EFB95E2"/>
    <w:rsid w:val="6EFBA8B0"/>
    <w:rsid w:val="6EFBE8F9"/>
    <w:rsid w:val="6EFC4E9C"/>
    <w:rsid w:val="6EFCB8FB"/>
    <w:rsid w:val="6EFCBB6F"/>
    <w:rsid w:val="6EFD3DB8"/>
    <w:rsid w:val="6EFD97DB"/>
    <w:rsid w:val="6EFE9110"/>
    <w:rsid w:val="6EFF0B8B"/>
    <w:rsid w:val="6F000067"/>
    <w:rsid w:val="6F00B726"/>
    <w:rsid w:val="6F01DCF0"/>
    <w:rsid w:val="6F02BF10"/>
    <w:rsid w:val="6F02DBC0"/>
    <w:rsid w:val="6F037B07"/>
    <w:rsid w:val="6F045BA9"/>
    <w:rsid w:val="6F0483CE"/>
    <w:rsid w:val="6F05411D"/>
    <w:rsid w:val="6F0561C4"/>
    <w:rsid w:val="6F05EA95"/>
    <w:rsid w:val="6F061B33"/>
    <w:rsid w:val="6F078E59"/>
    <w:rsid w:val="6F07A558"/>
    <w:rsid w:val="6F0809C4"/>
    <w:rsid w:val="6F0838FC"/>
    <w:rsid w:val="6F087303"/>
    <w:rsid w:val="6F0A3BDA"/>
    <w:rsid w:val="6F0BCA7B"/>
    <w:rsid w:val="6F0BE4A1"/>
    <w:rsid w:val="6F0C2E20"/>
    <w:rsid w:val="6F0C64CB"/>
    <w:rsid w:val="6F0E2C2E"/>
    <w:rsid w:val="6F0E3874"/>
    <w:rsid w:val="6F0E66E8"/>
    <w:rsid w:val="6F0EC7CE"/>
    <w:rsid w:val="6F0EEEF1"/>
    <w:rsid w:val="6F10C4A3"/>
    <w:rsid w:val="6F1190D5"/>
    <w:rsid w:val="6F1261CC"/>
    <w:rsid w:val="6F136389"/>
    <w:rsid w:val="6F13B0CD"/>
    <w:rsid w:val="6F147B91"/>
    <w:rsid w:val="6F14A2D0"/>
    <w:rsid w:val="6F159F7E"/>
    <w:rsid w:val="6F15EFC8"/>
    <w:rsid w:val="6F16DF14"/>
    <w:rsid w:val="6F174CA6"/>
    <w:rsid w:val="6F1769D5"/>
    <w:rsid w:val="6F17B721"/>
    <w:rsid w:val="6F1867D8"/>
    <w:rsid w:val="6F18AA1E"/>
    <w:rsid w:val="6F18B5E9"/>
    <w:rsid w:val="6F19024D"/>
    <w:rsid w:val="6F195A21"/>
    <w:rsid w:val="6F196B87"/>
    <w:rsid w:val="6F19A948"/>
    <w:rsid w:val="6F1A0622"/>
    <w:rsid w:val="6F1A3032"/>
    <w:rsid w:val="6F1AB6C3"/>
    <w:rsid w:val="6F1ACDB6"/>
    <w:rsid w:val="6F1BC33E"/>
    <w:rsid w:val="6F1D0CF2"/>
    <w:rsid w:val="6F1E2434"/>
    <w:rsid w:val="6F1F7949"/>
    <w:rsid w:val="6F1F8E99"/>
    <w:rsid w:val="6F200100"/>
    <w:rsid w:val="6F21171B"/>
    <w:rsid w:val="6F21382D"/>
    <w:rsid w:val="6F222C95"/>
    <w:rsid w:val="6F2277EC"/>
    <w:rsid w:val="6F229FD9"/>
    <w:rsid w:val="6F23AF27"/>
    <w:rsid w:val="6F23C14C"/>
    <w:rsid w:val="6F24585A"/>
    <w:rsid w:val="6F25BF9D"/>
    <w:rsid w:val="6F25F3DB"/>
    <w:rsid w:val="6F264F69"/>
    <w:rsid w:val="6F2696DA"/>
    <w:rsid w:val="6F2697ED"/>
    <w:rsid w:val="6F2791C0"/>
    <w:rsid w:val="6F27D868"/>
    <w:rsid w:val="6F282962"/>
    <w:rsid w:val="6F285EE7"/>
    <w:rsid w:val="6F2933DE"/>
    <w:rsid w:val="6F29A0B4"/>
    <w:rsid w:val="6F29B702"/>
    <w:rsid w:val="6F29CD9F"/>
    <w:rsid w:val="6F2A039B"/>
    <w:rsid w:val="6F2A19FD"/>
    <w:rsid w:val="6F2A7826"/>
    <w:rsid w:val="6F2A9F49"/>
    <w:rsid w:val="6F2AC774"/>
    <w:rsid w:val="6F2C2193"/>
    <w:rsid w:val="6F2C32E9"/>
    <w:rsid w:val="6F2DC28F"/>
    <w:rsid w:val="6F2E9875"/>
    <w:rsid w:val="6F2E9B0E"/>
    <w:rsid w:val="6F2E9B8A"/>
    <w:rsid w:val="6F2EB4FD"/>
    <w:rsid w:val="6F2F6238"/>
    <w:rsid w:val="6F2FD85F"/>
    <w:rsid w:val="6F2FF11C"/>
    <w:rsid w:val="6F3019CB"/>
    <w:rsid w:val="6F307013"/>
    <w:rsid w:val="6F307251"/>
    <w:rsid w:val="6F30B138"/>
    <w:rsid w:val="6F30FAC0"/>
    <w:rsid w:val="6F311C7F"/>
    <w:rsid w:val="6F31BACC"/>
    <w:rsid w:val="6F31DB8C"/>
    <w:rsid w:val="6F3202B6"/>
    <w:rsid w:val="6F322834"/>
    <w:rsid w:val="6F3229CA"/>
    <w:rsid w:val="6F32534F"/>
    <w:rsid w:val="6F328201"/>
    <w:rsid w:val="6F32C347"/>
    <w:rsid w:val="6F34023B"/>
    <w:rsid w:val="6F344494"/>
    <w:rsid w:val="6F347622"/>
    <w:rsid w:val="6F353181"/>
    <w:rsid w:val="6F35A133"/>
    <w:rsid w:val="6F35EADF"/>
    <w:rsid w:val="6F36BC63"/>
    <w:rsid w:val="6F373FD9"/>
    <w:rsid w:val="6F3799B5"/>
    <w:rsid w:val="6F37C581"/>
    <w:rsid w:val="6F384757"/>
    <w:rsid w:val="6F38B024"/>
    <w:rsid w:val="6F3941D4"/>
    <w:rsid w:val="6F39545C"/>
    <w:rsid w:val="6F398845"/>
    <w:rsid w:val="6F3A3B0B"/>
    <w:rsid w:val="6F3A9C33"/>
    <w:rsid w:val="6F3D03F7"/>
    <w:rsid w:val="6F3D1076"/>
    <w:rsid w:val="6F3D69E4"/>
    <w:rsid w:val="6F3D7787"/>
    <w:rsid w:val="6F3E24E8"/>
    <w:rsid w:val="6F3E33B0"/>
    <w:rsid w:val="6F3E3B77"/>
    <w:rsid w:val="6F3E68CD"/>
    <w:rsid w:val="6F407DDC"/>
    <w:rsid w:val="6F40B97E"/>
    <w:rsid w:val="6F40EA4F"/>
    <w:rsid w:val="6F410A11"/>
    <w:rsid w:val="6F41F3A5"/>
    <w:rsid w:val="6F427786"/>
    <w:rsid w:val="6F42F73C"/>
    <w:rsid w:val="6F43B998"/>
    <w:rsid w:val="6F44164F"/>
    <w:rsid w:val="6F443398"/>
    <w:rsid w:val="6F447190"/>
    <w:rsid w:val="6F448646"/>
    <w:rsid w:val="6F4488DC"/>
    <w:rsid w:val="6F44CCE7"/>
    <w:rsid w:val="6F44E9BC"/>
    <w:rsid w:val="6F4536AD"/>
    <w:rsid w:val="6F463D0F"/>
    <w:rsid w:val="6F46739F"/>
    <w:rsid w:val="6F46977F"/>
    <w:rsid w:val="6F477E28"/>
    <w:rsid w:val="6F48074C"/>
    <w:rsid w:val="6F483C92"/>
    <w:rsid w:val="6F48F2E9"/>
    <w:rsid w:val="6F49283E"/>
    <w:rsid w:val="6F49F35D"/>
    <w:rsid w:val="6F4A32B5"/>
    <w:rsid w:val="6F4A8AB1"/>
    <w:rsid w:val="6F4AA8A0"/>
    <w:rsid w:val="6F4BD076"/>
    <w:rsid w:val="6F4BEA6C"/>
    <w:rsid w:val="6F4D48BA"/>
    <w:rsid w:val="6F4D6AC0"/>
    <w:rsid w:val="6F4D87D9"/>
    <w:rsid w:val="6F4E59F5"/>
    <w:rsid w:val="6F4E758D"/>
    <w:rsid w:val="6F4EB195"/>
    <w:rsid w:val="6F4F09AB"/>
    <w:rsid w:val="6F4F49A1"/>
    <w:rsid w:val="6F4F9BAE"/>
    <w:rsid w:val="6F507138"/>
    <w:rsid w:val="6F50CFFC"/>
    <w:rsid w:val="6F50D405"/>
    <w:rsid w:val="6F50D475"/>
    <w:rsid w:val="6F51A0D8"/>
    <w:rsid w:val="6F520B33"/>
    <w:rsid w:val="6F5210D7"/>
    <w:rsid w:val="6F5224E5"/>
    <w:rsid w:val="6F530DB9"/>
    <w:rsid w:val="6F5373EF"/>
    <w:rsid w:val="6F54B27B"/>
    <w:rsid w:val="6F550897"/>
    <w:rsid w:val="6F55899D"/>
    <w:rsid w:val="6F55FCE2"/>
    <w:rsid w:val="6F5618C7"/>
    <w:rsid w:val="6F565E39"/>
    <w:rsid w:val="6F56BB71"/>
    <w:rsid w:val="6F575A30"/>
    <w:rsid w:val="6F57B676"/>
    <w:rsid w:val="6F57DAD2"/>
    <w:rsid w:val="6F58CBCD"/>
    <w:rsid w:val="6F58D0B7"/>
    <w:rsid w:val="6F592FE6"/>
    <w:rsid w:val="6F5A1007"/>
    <w:rsid w:val="6F5AB729"/>
    <w:rsid w:val="6F5B574A"/>
    <w:rsid w:val="6F5B9B01"/>
    <w:rsid w:val="6F5BF778"/>
    <w:rsid w:val="6F5C5F78"/>
    <w:rsid w:val="6F5C6635"/>
    <w:rsid w:val="6F5CB8BC"/>
    <w:rsid w:val="6F5DE41A"/>
    <w:rsid w:val="6F5F5FB1"/>
    <w:rsid w:val="6F5F6EFE"/>
    <w:rsid w:val="6F603A31"/>
    <w:rsid w:val="6F60C1BC"/>
    <w:rsid w:val="6F60FB1B"/>
    <w:rsid w:val="6F6193DE"/>
    <w:rsid w:val="6F61E0CB"/>
    <w:rsid w:val="6F63F505"/>
    <w:rsid w:val="6F642721"/>
    <w:rsid w:val="6F64B1E9"/>
    <w:rsid w:val="6F64C498"/>
    <w:rsid w:val="6F65B70E"/>
    <w:rsid w:val="6F65B94B"/>
    <w:rsid w:val="6F665CD9"/>
    <w:rsid w:val="6F6788B0"/>
    <w:rsid w:val="6F68B492"/>
    <w:rsid w:val="6F68FE06"/>
    <w:rsid w:val="6F6A10B1"/>
    <w:rsid w:val="6F6C8B68"/>
    <w:rsid w:val="6F6CA948"/>
    <w:rsid w:val="6F6E13B8"/>
    <w:rsid w:val="6F6E4BCD"/>
    <w:rsid w:val="6F6E7DA5"/>
    <w:rsid w:val="6F6E8AED"/>
    <w:rsid w:val="6F6EE639"/>
    <w:rsid w:val="6F6F1FC2"/>
    <w:rsid w:val="6F6F2AE5"/>
    <w:rsid w:val="6F6F3687"/>
    <w:rsid w:val="6F6F9802"/>
    <w:rsid w:val="6F70AF36"/>
    <w:rsid w:val="6F70C723"/>
    <w:rsid w:val="6F7151B4"/>
    <w:rsid w:val="6F7173F2"/>
    <w:rsid w:val="6F71AAAD"/>
    <w:rsid w:val="6F733428"/>
    <w:rsid w:val="6F73C8D9"/>
    <w:rsid w:val="6F743936"/>
    <w:rsid w:val="6F74FB00"/>
    <w:rsid w:val="6F758FC4"/>
    <w:rsid w:val="6F75CDCE"/>
    <w:rsid w:val="6F76DB2F"/>
    <w:rsid w:val="6F773701"/>
    <w:rsid w:val="6F77A21E"/>
    <w:rsid w:val="6F77B8A2"/>
    <w:rsid w:val="6F7877C2"/>
    <w:rsid w:val="6F789447"/>
    <w:rsid w:val="6F78E7C5"/>
    <w:rsid w:val="6F795B0B"/>
    <w:rsid w:val="6F7A5A13"/>
    <w:rsid w:val="6F7AB85C"/>
    <w:rsid w:val="6F7C1F41"/>
    <w:rsid w:val="6F7E6EF8"/>
    <w:rsid w:val="6F80867E"/>
    <w:rsid w:val="6F8097AE"/>
    <w:rsid w:val="6F80AFC3"/>
    <w:rsid w:val="6F813027"/>
    <w:rsid w:val="6F818130"/>
    <w:rsid w:val="6F823C64"/>
    <w:rsid w:val="6F82724B"/>
    <w:rsid w:val="6F82D43B"/>
    <w:rsid w:val="6F83086B"/>
    <w:rsid w:val="6F83B8CF"/>
    <w:rsid w:val="6F83DB01"/>
    <w:rsid w:val="6F8448BC"/>
    <w:rsid w:val="6F84ACE9"/>
    <w:rsid w:val="6F84C3DB"/>
    <w:rsid w:val="6F84DC4F"/>
    <w:rsid w:val="6F854228"/>
    <w:rsid w:val="6F85B6F0"/>
    <w:rsid w:val="6F85E66B"/>
    <w:rsid w:val="6F865AAD"/>
    <w:rsid w:val="6F86CAF8"/>
    <w:rsid w:val="6F86FCB9"/>
    <w:rsid w:val="6F878831"/>
    <w:rsid w:val="6F87DF0E"/>
    <w:rsid w:val="6F8840C2"/>
    <w:rsid w:val="6F889020"/>
    <w:rsid w:val="6F88B16C"/>
    <w:rsid w:val="6F88E346"/>
    <w:rsid w:val="6F89BBB1"/>
    <w:rsid w:val="6F8A19DD"/>
    <w:rsid w:val="6F8A26C5"/>
    <w:rsid w:val="6F8AD7F1"/>
    <w:rsid w:val="6F8BBE54"/>
    <w:rsid w:val="6F8C0D5C"/>
    <w:rsid w:val="6F8C106B"/>
    <w:rsid w:val="6F8C3FF3"/>
    <w:rsid w:val="6F8CF1AC"/>
    <w:rsid w:val="6F8D7310"/>
    <w:rsid w:val="6F8DEA1F"/>
    <w:rsid w:val="6F8E0EFB"/>
    <w:rsid w:val="6F8E4A8B"/>
    <w:rsid w:val="6F8EE480"/>
    <w:rsid w:val="6F8F04F1"/>
    <w:rsid w:val="6F8F3EED"/>
    <w:rsid w:val="6F8F7461"/>
    <w:rsid w:val="6F8FEC74"/>
    <w:rsid w:val="6F90440C"/>
    <w:rsid w:val="6F90E893"/>
    <w:rsid w:val="6F921FAB"/>
    <w:rsid w:val="6F926523"/>
    <w:rsid w:val="6F9294CF"/>
    <w:rsid w:val="6F932A1D"/>
    <w:rsid w:val="6F934070"/>
    <w:rsid w:val="6F93537C"/>
    <w:rsid w:val="6F937EF3"/>
    <w:rsid w:val="6F93D582"/>
    <w:rsid w:val="6F955940"/>
    <w:rsid w:val="6F961AC8"/>
    <w:rsid w:val="6F96DA82"/>
    <w:rsid w:val="6F972037"/>
    <w:rsid w:val="6F97302D"/>
    <w:rsid w:val="6F984707"/>
    <w:rsid w:val="6F98D583"/>
    <w:rsid w:val="6F994924"/>
    <w:rsid w:val="6F994EFD"/>
    <w:rsid w:val="6F996786"/>
    <w:rsid w:val="6F997B16"/>
    <w:rsid w:val="6F9A4D50"/>
    <w:rsid w:val="6F9AA4A3"/>
    <w:rsid w:val="6F9B0FB7"/>
    <w:rsid w:val="6F9B8F7A"/>
    <w:rsid w:val="6F9B9B03"/>
    <w:rsid w:val="6F9BA014"/>
    <w:rsid w:val="6F9BC4B8"/>
    <w:rsid w:val="6F9C41BF"/>
    <w:rsid w:val="6F9D6202"/>
    <w:rsid w:val="6F9D7ED3"/>
    <w:rsid w:val="6F9DBC16"/>
    <w:rsid w:val="6F9DD8E4"/>
    <w:rsid w:val="6F9DF58E"/>
    <w:rsid w:val="6F9E445A"/>
    <w:rsid w:val="6F9E93E1"/>
    <w:rsid w:val="6F9F83B2"/>
    <w:rsid w:val="6FA2B544"/>
    <w:rsid w:val="6FA2D468"/>
    <w:rsid w:val="6FA32CEA"/>
    <w:rsid w:val="6FA360BB"/>
    <w:rsid w:val="6FA3AF0B"/>
    <w:rsid w:val="6FA4F034"/>
    <w:rsid w:val="6FA69CB2"/>
    <w:rsid w:val="6FA7ACEF"/>
    <w:rsid w:val="6FA7D9F5"/>
    <w:rsid w:val="6FA8865B"/>
    <w:rsid w:val="6FA8EE96"/>
    <w:rsid w:val="6FA9B36B"/>
    <w:rsid w:val="6FA9E07D"/>
    <w:rsid w:val="6FAA6246"/>
    <w:rsid w:val="6FAADDC0"/>
    <w:rsid w:val="6FAAF8B3"/>
    <w:rsid w:val="6FAB0214"/>
    <w:rsid w:val="6FAB0F40"/>
    <w:rsid w:val="6FAB763B"/>
    <w:rsid w:val="6FABD7C6"/>
    <w:rsid w:val="6FAC1792"/>
    <w:rsid w:val="6FAC49E4"/>
    <w:rsid w:val="6FACAEAC"/>
    <w:rsid w:val="6FACE516"/>
    <w:rsid w:val="6FAD0222"/>
    <w:rsid w:val="6FAE17E6"/>
    <w:rsid w:val="6FAE5D4A"/>
    <w:rsid w:val="6FAE780E"/>
    <w:rsid w:val="6FAE99CC"/>
    <w:rsid w:val="6FAF0290"/>
    <w:rsid w:val="6FAFAF24"/>
    <w:rsid w:val="6FB0087E"/>
    <w:rsid w:val="6FB049F0"/>
    <w:rsid w:val="6FB066DA"/>
    <w:rsid w:val="6FB0AD98"/>
    <w:rsid w:val="6FB2BAC5"/>
    <w:rsid w:val="6FB31C9C"/>
    <w:rsid w:val="6FB4569D"/>
    <w:rsid w:val="6FB5751B"/>
    <w:rsid w:val="6FB59C53"/>
    <w:rsid w:val="6FB5D8D1"/>
    <w:rsid w:val="6FB77A59"/>
    <w:rsid w:val="6FB861C2"/>
    <w:rsid w:val="6FB8D172"/>
    <w:rsid w:val="6FB924B4"/>
    <w:rsid w:val="6FBA392D"/>
    <w:rsid w:val="6FBB58FF"/>
    <w:rsid w:val="6FBB88E5"/>
    <w:rsid w:val="6FBE1C10"/>
    <w:rsid w:val="6FBE8FB7"/>
    <w:rsid w:val="6FBEC83D"/>
    <w:rsid w:val="6FBF58A6"/>
    <w:rsid w:val="6FBF7A0D"/>
    <w:rsid w:val="6FBFAE5C"/>
    <w:rsid w:val="6FBFEAF9"/>
    <w:rsid w:val="6FBFF7D7"/>
    <w:rsid w:val="6FC00216"/>
    <w:rsid w:val="6FC0172B"/>
    <w:rsid w:val="6FC02F4A"/>
    <w:rsid w:val="6FC091E5"/>
    <w:rsid w:val="6FC13BF7"/>
    <w:rsid w:val="6FC185A9"/>
    <w:rsid w:val="6FC22F52"/>
    <w:rsid w:val="6FC239DB"/>
    <w:rsid w:val="6FC26829"/>
    <w:rsid w:val="6FC2718C"/>
    <w:rsid w:val="6FC2B129"/>
    <w:rsid w:val="6FC3258D"/>
    <w:rsid w:val="6FC35C85"/>
    <w:rsid w:val="6FC3A49C"/>
    <w:rsid w:val="6FC3BCC4"/>
    <w:rsid w:val="6FC3FCC4"/>
    <w:rsid w:val="6FC417B9"/>
    <w:rsid w:val="6FC47282"/>
    <w:rsid w:val="6FC4B8CC"/>
    <w:rsid w:val="6FC4DD43"/>
    <w:rsid w:val="6FC56411"/>
    <w:rsid w:val="6FC5977C"/>
    <w:rsid w:val="6FC5A0C5"/>
    <w:rsid w:val="6FC6840F"/>
    <w:rsid w:val="6FC72547"/>
    <w:rsid w:val="6FC7A51A"/>
    <w:rsid w:val="6FC81720"/>
    <w:rsid w:val="6FC86EBE"/>
    <w:rsid w:val="6FC87175"/>
    <w:rsid w:val="6FC8B570"/>
    <w:rsid w:val="6FC8EACC"/>
    <w:rsid w:val="6FC9012E"/>
    <w:rsid w:val="6FC90A66"/>
    <w:rsid w:val="6FC927EE"/>
    <w:rsid w:val="6FC97B8D"/>
    <w:rsid w:val="6FCA33EA"/>
    <w:rsid w:val="6FCAA26B"/>
    <w:rsid w:val="6FCAA45F"/>
    <w:rsid w:val="6FCB91C9"/>
    <w:rsid w:val="6FCBFB72"/>
    <w:rsid w:val="6FCCA298"/>
    <w:rsid w:val="6FCCC902"/>
    <w:rsid w:val="6FCDA67F"/>
    <w:rsid w:val="6FCDB237"/>
    <w:rsid w:val="6FCDCD1E"/>
    <w:rsid w:val="6FCE249C"/>
    <w:rsid w:val="6FCFCB28"/>
    <w:rsid w:val="6FCFF2DB"/>
    <w:rsid w:val="6FD02938"/>
    <w:rsid w:val="6FD038D5"/>
    <w:rsid w:val="6FD067EA"/>
    <w:rsid w:val="6FD1826E"/>
    <w:rsid w:val="6FD1A694"/>
    <w:rsid w:val="6FD1B1BB"/>
    <w:rsid w:val="6FD1F9FD"/>
    <w:rsid w:val="6FD20DBF"/>
    <w:rsid w:val="6FD294F0"/>
    <w:rsid w:val="6FD34C86"/>
    <w:rsid w:val="6FD36694"/>
    <w:rsid w:val="6FD4A4F6"/>
    <w:rsid w:val="6FD543DB"/>
    <w:rsid w:val="6FD625C9"/>
    <w:rsid w:val="6FD6DA01"/>
    <w:rsid w:val="6FD743A5"/>
    <w:rsid w:val="6FD76A13"/>
    <w:rsid w:val="6FD76BD8"/>
    <w:rsid w:val="6FD7B92B"/>
    <w:rsid w:val="6FD81E2E"/>
    <w:rsid w:val="6FD84392"/>
    <w:rsid w:val="6FD84BE6"/>
    <w:rsid w:val="6FD84F69"/>
    <w:rsid w:val="6FD8931C"/>
    <w:rsid w:val="6FD9571B"/>
    <w:rsid w:val="6FD997B1"/>
    <w:rsid w:val="6FD9B4C6"/>
    <w:rsid w:val="6FD9F771"/>
    <w:rsid w:val="6FDA9EAE"/>
    <w:rsid w:val="6FDAE1D8"/>
    <w:rsid w:val="6FDAE842"/>
    <w:rsid w:val="6FDB12F6"/>
    <w:rsid w:val="6FDB60E6"/>
    <w:rsid w:val="6FDBA7BE"/>
    <w:rsid w:val="6FDBD93C"/>
    <w:rsid w:val="6FDCBE02"/>
    <w:rsid w:val="6FDCDABB"/>
    <w:rsid w:val="6FDD3ABC"/>
    <w:rsid w:val="6FDD6142"/>
    <w:rsid w:val="6FDD92B7"/>
    <w:rsid w:val="6FDDAA64"/>
    <w:rsid w:val="6FDDD040"/>
    <w:rsid w:val="6FDE15B5"/>
    <w:rsid w:val="6FDE82E2"/>
    <w:rsid w:val="6FDF8E45"/>
    <w:rsid w:val="6FDFBAD0"/>
    <w:rsid w:val="6FE0B4D4"/>
    <w:rsid w:val="6FE0B94A"/>
    <w:rsid w:val="6FE108BB"/>
    <w:rsid w:val="6FE16364"/>
    <w:rsid w:val="6FE18337"/>
    <w:rsid w:val="6FE36A05"/>
    <w:rsid w:val="6FE36D46"/>
    <w:rsid w:val="6FE37053"/>
    <w:rsid w:val="6FE4F045"/>
    <w:rsid w:val="6FE53BB6"/>
    <w:rsid w:val="6FE57BAB"/>
    <w:rsid w:val="6FE58906"/>
    <w:rsid w:val="6FE5E3CE"/>
    <w:rsid w:val="6FE60A1D"/>
    <w:rsid w:val="6FE6E8B3"/>
    <w:rsid w:val="6FE769FD"/>
    <w:rsid w:val="6FE7811E"/>
    <w:rsid w:val="6FE7E256"/>
    <w:rsid w:val="6FE81C5F"/>
    <w:rsid w:val="6FE8A8E4"/>
    <w:rsid w:val="6FE9171F"/>
    <w:rsid w:val="6FE9D231"/>
    <w:rsid w:val="6FE9E1EB"/>
    <w:rsid w:val="6FEA1149"/>
    <w:rsid w:val="6FEB4B94"/>
    <w:rsid w:val="6FEC3416"/>
    <w:rsid w:val="6FECFDFE"/>
    <w:rsid w:val="6FEDEE54"/>
    <w:rsid w:val="6FEE6EB3"/>
    <w:rsid w:val="6FEF40F5"/>
    <w:rsid w:val="6FEF5EDD"/>
    <w:rsid w:val="6FEFF22C"/>
    <w:rsid w:val="6FEFFAE1"/>
    <w:rsid w:val="6FEFFB00"/>
    <w:rsid w:val="6FF0DD99"/>
    <w:rsid w:val="6FF13C1C"/>
    <w:rsid w:val="6FF186A9"/>
    <w:rsid w:val="6FF25152"/>
    <w:rsid w:val="6FF28C65"/>
    <w:rsid w:val="6FF35D78"/>
    <w:rsid w:val="6FF36CF9"/>
    <w:rsid w:val="6FF40094"/>
    <w:rsid w:val="6FF4088A"/>
    <w:rsid w:val="6FF4656B"/>
    <w:rsid w:val="6FF4C548"/>
    <w:rsid w:val="6FF5ADEF"/>
    <w:rsid w:val="6FF60196"/>
    <w:rsid w:val="6FF611A2"/>
    <w:rsid w:val="6FF6FD2B"/>
    <w:rsid w:val="6FF7592E"/>
    <w:rsid w:val="6FF7D379"/>
    <w:rsid w:val="6FF81C38"/>
    <w:rsid w:val="6FF86A6E"/>
    <w:rsid w:val="6FF97FDB"/>
    <w:rsid w:val="6FF98508"/>
    <w:rsid w:val="6FFAD64D"/>
    <w:rsid w:val="6FFC9A9B"/>
    <w:rsid w:val="6FFD44A5"/>
    <w:rsid w:val="6FFD907E"/>
    <w:rsid w:val="6FFF532B"/>
    <w:rsid w:val="6FFF6106"/>
    <w:rsid w:val="6FFFC8B9"/>
    <w:rsid w:val="6FFFD115"/>
    <w:rsid w:val="70013E08"/>
    <w:rsid w:val="70013F89"/>
    <w:rsid w:val="70025A19"/>
    <w:rsid w:val="70029A20"/>
    <w:rsid w:val="700320D0"/>
    <w:rsid w:val="70034437"/>
    <w:rsid w:val="7003FFCD"/>
    <w:rsid w:val="7004243D"/>
    <w:rsid w:val="7005E67B"/>
    <w:rsid w:val="7005F922"/>
    <w:rsid w:val="7007E503"/>
    <w:rsid w:val="7007FBF4"/>
    <w:rsid w:val="700864EF"/>
    <w:rsid w:val="7008B48D"/>
    <w:rsid w:val="7008CB78"/>
    <w:rsid w:val="7008F359"/>
    <w:rsid w:val="70091D02"/>
    <w:rsid w:val="700A584E"/>
    <w:rsid w:val="700B2EB2"/>
    <w:rsid w:val="700B415B"/>
    <w:rsid w:val="700B427D"/>
    <w:rsid w:val="700BECFB"/>
    <w:rsid w:val="700C0168"/>
    <w:rsid w:val="700C6B17"/>
    <w:rsid w:val="700DE051"/>
    <w:rsid w:val="700DE17F"/>
    <w:rsid w:val="700DE984"/>
    <w:rsid w:val="700DF671"/>
    <w:rsid w:val="700E8E6E"/>
    <w:rsid w:val="700E93A2"/>
    <w:rsid w:val="701079D0"/>
    <w:rsid w:val="70115CD6"/>
    <w:rsid w:val="7012854B"/>
    <w:rsid w:val="7012CC6C"/>
    <w:rsid w:val="7012E787"/>
    <w:rsid w:val="70130397"/>
    <w:rsid w:val="7013719A"/>
    <w:rsid w:val="70137E4D"/>
    <w:rsid w:val="70138FFB"/>
    <w:rsid w:val="7014C2B6"/>
    <w:rsid w:val="7014E5A5"/>
    <w:rsid w:val="70150DB0"/>
    <w:rsid w:val="701524D2"/>
    <w:rsid w:val="7016329F"/>
    <w:rsid w:val="70166773"/>
    <w:rsid w:val="701672BA"/>
    <w:rsid w:val="70176A4D"/>
    <w:rsid w:val="701813BC"/>
    <w:rsid w:val="701985AB"/>
    <w:rsid w:val="701A42B1"/>
    <w:rsid w:val="701A5BFF"/>
    <w:rsid w:val="701B8DBC"/>
    <w:rsid w:val="701BEA5C"/>
    <w:rsid w:val="701C216B"/>
    <w:rsid w:val="701C65EF"/>
    <w:rsid w:val="701C6C97"/>
    <w:rsid w:val="701C7079"/>
    <w:rsid w:val="701CA132"/>
    <w:rsid w:val="701D1CD7"/>
    <w:rsid w:val="701D43CA"/>
    <w:rsid w:val="701DAB5C"/>
    <w:rsid w:val="701DC201"/>
    <w:rsid w:val="701EC082"/>
    <w:rsid w:val="7021C99E"/>
    <w:rsid w:val="70224C22"/>
    <w:rsid w:val="70238FC9"/>
    <w:rsid w:val="7024297D"/>
    <w:rsid w:val="7025CD86"/>
    <w:rsid w:val="7026D30F"/>
    <w:rsid w:val="70270832"/>
    <w:rsid w:val="70271EB6"/>
    <w:rsid w:val="7027D0FE"/>
    <w:rsid w:val="7027DDF1"/>
    <w:rsid w:val="7028247E"/>
    <w:rsid w:val="7028A8AD"/>
    <w:rsid w:val="70294ED0"/>
    <w:rsid w:val="702966C9"/>
    <w:rsid w:val="702A176A"/>
    <w:rsid w:val="702AB6EA"/>
    <w:rsid w:val="702B1E52"/>
    <w:rsid w:val="702CE82E"/>
    <w:rsid w:val="702D342F"/>
    <w:rsid w:val="702D6233"/>
    <w:rsid w:val="702D7CF9"/>
    <w:rsid w:val="702DA796"/>
    <w:rsid w:val="702DFAED"/>
    <w:rsid w:val="702E7D7B"/>
    <w:rsid w:val="702F16A2"/>
    <w:rsid w:val="702FA48A"/>
    <w:rsid w:val="70300E14"/>
    <w:rsid w:val="70307974"/>
    <w:rsid w:val="70327AC8"/>
    <w:rsid w:val="7032D952"/>
    <w:rsid w:val="70332697"/>
    <w:rsid w:val="7033F246"/>
    <w:rsid w:val="7033F33B"/>
    <w:rsid w:val="70340536"/>
    <w:rsid w:val="70346AF0"/>
    <w:rsid w:val="7034912E"/>
    <w:rsid w:val="7034B494"/>
    <w:rsid w:val="703548EE"/>
    <w:rsid w:val="7035E0FD"/>
    <w:rsid w:val="7036A5E7"/>
    <w:rsid w:val="70372C78"/>
    <w:rsid w:val="703791DA"/>
    <w:rsid w:val="7037D01E"/>
    <w:rsid w:val="7039526B"/>
    <w:rsid w:val="703967B2"/>
    <w:rsid w:val="703A1297"/>
    <w:rsid w:val="703A9022"/>
    <w:rsid w:val="703BED70"/>
    <w:rsid w:val="703C23E4"/>
    <w:rsid w:val="703C3694"/>
    <w:rsid w:val="703C56A4"/>
    <w:rsid w:val="703D0029"/>
    <w:rsid w:val="703EEA4A"/>
    <w:rsid w:val="703F6EA2"/>
    <w:rsid w:val="70410772"/>
    <w:rsid w:val="70413BC7"/>
    <w:rsid w:val="7041442B"/>
    <w:rsid w:val="7041FBFF"/>
    <w:rsid w:val="704214C7"/>
    <w:rsid w:val="7042198F"/>
    <w:rsid w:val="70421C4C"/>
    <w:rsid w:val="7042EAFC"/>
    <w:rsid w:val="7042F758"/>
    <w:rsid w:val="7043832B"/>
    <w:rsid w:val="7045004A"/>
    <w:rsid w:val="70456266"/>
    <w:rsid w:val="704581F6"/>
    <w:rsid w:val="7046A14F"/>
    <w:rsid w:val="7046CBD4"/>
    <w:rsid w:val="70472498"/>
    <w:rsid w:val="704727E8"/>
    <w:rsid w:val="704770E4"/>
    <w:rsid w:val="7047E9F5"/>
    <w:rsid w:val="7048C736"/>
    <w:rsid w:val="7048D3E7"/>
    <w:rsid w:val="70494F38"/>
    <w:rsid w:val="70498C2C"/>
    <w:rsid w:val="704A3386"/>
    <w:rsid w:val="704A7B28"/>
    <w:rsid w:val="704ADA7C"/>
    <w:rsid w:val="704B80DE"/>
    <w:rsid w:val="704BF700"/>
    <w:rsid w:val="704BF7CB"/>
    <w:rsid w:val="704CA580"/>
    <w:rsid w:val="704D480F"/>
    <w:rsid w:val="704E0E61"/>
    <w:rsid w:val="704E96A7"/>
    <w:rsid w:val="704EB6D8"/>
    <w:rsid w:val="704F1C3F"/>
    <w:rsid w:val="704F714F"/>
    <w:rsid w:val="704F96FD"/>
    <w:rsid w:val="705122AB"/>
    <w:rsid w:val="70513A85"/>
    <w:rsid w:val="70529767"/>
    <w:rsid w:val="7052D5A9"/>
    <w:rsid w:val="70532D81"/>
    <w:rsid w:val="7053E6A9"/>
    <w:rsid w:val="7055ABC5"/>
    <w:rsid w:val="7056FCB7"/>
    <w:rsid w:val="70574FF5"/>
    <w:rsid w:val="7057B83C"/>
    <w:rsid w:val="7058B4AB"/>
    <w:rsid w:val="70593BB4"/>
    <w:rsid w:val="70597D90"/>
    <w:rsid w:val="705A6CE1"/>
    <w:rsid w:val="705C075B"/>
    <w:rsid w:val="705D1360"/>
    <w:rsid w:val="705D726F"/>
    <w:rsid w:val="705E942C"/>
    <w:rsid w:val="705F28EE"/>
    <w:rsid w:val="705F5B97"/>
    <w:rsid w:val="705F8499"/>
    <w:rsid w:val="705FE24E"/>
    <w:rsid w:val="70601AD9"/>
    <w:rsid w:val="7060D00F"/>
    <w:rsid w:val="706105B1"/>
    <w:rsid w:val="7061A769"/>
    <w:rsid w:val="70622834"/>
    <w:rsid w:val="70625338"/>
    <w:rsid w:val="7062718C"/>
    <w:rsid w:val="70628889"/>
    <w:rsid w:val="70628EB4"/>
    <w:rsid w:val="70635F4D"/>
    <w:rsid w:val="70636D2F"/>
    <w:rsid w:val="70644BAB"/>
    <w:rsid w:val="7064A253"/>
    <w:rsid w:val="7066343C"/>
    <w:rsid w:val="706776C2"/>
    <w:rsid w:val="70684C74"/>
    <w:rsid w:val="7068FC48"/>
    <w:rsid w:val="706A8F28"/>
    <w:rsid w:val="706A94E1"/>
    <w:rsid w:val="706B2647"/>
    <w:rsid w:val="706B6585"/>
    <w:rsid w:val="706B6E32"/>
    <w:rsid w:val="706B9235"/>
    <w:rsid w:val="706BA396"/>
    <w:rsid w:val="706C6DB8"/>
    <w:rsid w:val="706D923C"/>
    <w:rsid w:val="706E9C09"/>
    <w:rsid w:val="706EF1B4"/>
    <w:rsid w:val="706F8EA1"/>
    <w:rsid w:val="706F9CB4"/>
    <w:rsid w:val="706FDEEB"/>
    <w:rsid w:val="70709FB2"/>
    <w:rsid w:val="707133B3"/>
    <w:rsid w:val="70714711"/>
    <w:rsid w:val="7071CD44"/>
    <w:rsid w:val="7071E6EA"/>
    <w:rsid w:val="707305CE"/>
    <w:rsid w:val="70732558"/>
    <w:rsid w:val="70747EDC"/>
    <w:rsid w:val="707484D5"/>
    <w:rsid w:val="7075530D"/>
    <w:rsid w:val="7075B4BA"/>
    <w:rsid w:val="7076A5EA"/>
    <w:rsid w:val="70778442"/>
    <w:rsid w:val="7077AC47"/>
    <w:rsid w:val="7077B37D"/>
    <w:rsid w:val="707A594E"/>
    <w:rsid w:val="707A707A"/>
    <w:rsid w:val="707BD279"/>
    <w:rsid w:val="707C4378"/>
    <w:rsid w:val="707C51DD"/>
    <w:rsid w:val="707C9CD2"/>
    <w:rsid w:val="707CE62F"/>
    <w:rsid w:val="707DD5A6"/>
    <w:rsid w:val="707EEC4D"/>
    <w:rsid w:val="707F7407"/>
    <w:rsid w:val="70805441"/>
    <w:rsid w:val="70808B66"/>
    <w:rsid w:val="7080B3DD"/>
    <w:rsid w:val="70821890"/>
    <w:rsid w:val="7082849F"/>
    <w:rsid w:val="70831F81"/>
    <w:rsid w:val="70837B6E"/>
    <w:rsid w:val="7084C66A"/>
    <w:rsid w:val="7086BACA"/>
    <w:rsid w:val="7086C56F"/>
    <w:rsid w:val="7086D546"/>
    <w:rsid w:val="7086E13B"/>
    <w:rsid w:val="7086EBFA"/>
    <w:rsid w:val="70874028"/>
    <w:rsid w:val="70879EE5"/>
    <w:rsid w:val="7088291B"/>
    <w:rsid w:val="70884AE3"/>
    <w:rsid w:val="7088AD18"/>
    <w:rsid w:val="7089B978"/>
    <w:rsid w:val="708B7ED6"/>
    <w:rsid w:val="708BC811"/>
    <w:rsid w:val="708C0635"/>
    <w:rsid w:val="708CC176"/>
    <w:rsid w:val="708D5287"/>
    <w:rsid w:val="708D6C5A"/>
    <w:rsid w:val="708D8CD5"/>
    <w:rsid w:val="708F840B"/>
    <w:rsid w:val="708F93A4"/>
    <w:rsid w:val="70902137"/>
    <w:rsid w:val="709038BD"/>
    <w:rsid w:val="7090766D"/>
    <w:rsid w:val="70907907"/>
    <w:rsid w:val="709237A8"/>
    <w:rsid w:val="7092BF57"/>
    <w:rsid w:val="7094F9C2"/>
    <w:rsid w:val="709535DB"/>
    <w:rsid w:val="70959D0B"/>
    <w:rsid w:val="70965E08"/>
    <w:rsid w:val="70973668"/>
    <w:rsid w:val="7097A6F4"/>
    <w:rsid w:val="7097D290"/>
    <w:rsid w:val="7097E51C"/>
    <w:rsid w:val="70986278"/>
    <w:rsid w:val="70988DFE"/>
    <w:rsid w:val="70994321"/>
    <w:rsid w:val="709961DF"/>
    <w:rsid w:val="709967B0"/>
    <w:rsid w:val="7099AD4A"/>
    <w:rsid w:val="709B3ED2"/>
    <w:rsid w:val="709B3FFD"/>
    <w:rsid w:val="709B8028"/>
    <w:rsid w:val="709BADEF"/>
    <w:rsid w:val="709C0002"/>
    <w:rsid w:val="709C250E"/>
    <w:rsid w:val="709CE43E"/>
    <w:rsid w:val="709DE24F"/>
    <w:rsid w:val="709E5732"/>
    <w:rsid w:val="709E7FD7"/>
    <w:rsid w:val="709ECB80"/>
    <w:rsid w:val="709F2773"/>
    <w:rsid w:val="709F7E42"/>
    <w:rsid w:val="709F88BA"/>
    <w:rsid w:val="70A03EE8"/>
    <w:rsid w:val="70A041DF"/>
    <w:rsid w:val="70A07F90"/>
    <w:rsid w:val="70A0A9EB"/>
    <w:rsid w:val="70A0B7B0"/>
    <w:rsid w:val="70A0B88A"/>
    <w:rsid w:val="70A0ECE5"/>
    <w:rsid w:val="70A13B75"/>
    <w:rsid w:val="70A185DC"/>
    <w:rsid w:val="70A260D5"/>
    <w:rsid w:val="70A2AF82"/>
    <w:rsid w:val="70A2E43A"/>
    <w:rsid w:val="70A3EC51"/>
    <w:rsid w:val="70A41C1E"/>
    <w:rsid w:val="70A42921"/>
    <w:rsid w:val="70A555FA"/>
    <w:rsid w:val="70A5A07A"/>
    <w:rsid w:val="70A6044A"/>
    <w:rsid w:val="70A6665C"/>
    <w:rsid w:val="70A6E497"/>
    <w:rsid w:val="70A6FF47"/>
    <w:rsid w:val="70A72352"/>
    <w:rsid w:val="70A75F03"/>
    <w:rsid w:val="70A7A2AA"/>
    <w:rsid w:val="70A7BD68"/>
    <w:rsid w:val="70A7D027"/>
    <w:rsid w:val="70A8DB9A"/>
    <w:rsid w:val="70A93905"/>
    <w:rsid w:val="70A941CF"/>
    <w:rsid w:val="70A96129"/>
    <w:rsid w:val="70A9A1DC"/>
    <w:rsid w:val="70A9D2D2"/>
    <w:rsid w:val="70AA5160"/>
    <w:rsid w:val="70AAC5BF"/>
    <w:rsid w:val="70AB4E57"/>
    <w:rsid w:val="70AB6FA8"/>
    <w:rsid w:val="70AB79AF"/>
    <w:rsid w:val="70ABB8D2"/>
    <w:rsid w:val="70AC2017"/>
    <w:rsid w:val="70ACAECA"/>
    <w:rsid w:val="70ACB5C6"/>
    <w:rsid w:val="70ACD728"/>
    <w:rsid w:val="70AD1D1B"/>
    <w:rsid w:val="70ADDCBE"/>
    <w:rsid w:val="70AE7960"/>
    <w:rsid w:val="70AEC771"/>
    <w:rsid w:val="70AF1A3F"/>
    <w:rsid w:val="70AF80C2"/>
    <w:rsid w:val="70B06FC4"/>
    <w:rsid w:val="70B0A10B"/>
    <w:rsid w:val="70B0CE00"/>
    <w:rsid w:val="70B13271"/>
    <w:rsid w:val="70B134FC"/>
    <w:rsid w:val="70B1390A"/>
    <w:rsid w:val="70B17368"/>
    <w:rsid w:val="70B1917D"/>
    <w:rsid w:val="70B20304"/>
    <w:rsid w:val="70B27D7F"/>
    <w:rsid w:val="70B2C3BC"/>
    <w:rsid w:val="70B35D36"/>
    <w:rsid w:val="70B4F114"/>
    <w:rsid w:val="70B51F95"/>
    <w:rsid w:val="70B5599F"/>
    <w:rsid w:val="70B565C3"/>
    <w:rsid w:val="70B598EF"/>
    <w:rsid w:val="70B5D4AF"/>
    <w:rsid w:val="70B6118E"/>
    <w:rsid w:val="70B61229"/>
    <w:rsid w:val="70B660CC"/>
    <w:rsid w:val="70B6A926"/>
    <w:rsid w:val="70B6B89A"/>
    <w:rsid w:val="70B86C0E"/>
    <w:rsid w:val="70B9122B"/>
    <w:rsid w:val="70B9467C"/>
    <w:rsid w:val="70B998B4"/>
    <w:rsid w:val="70BA5AEE"/>
    <w:rsid w:val="70BA9BCF"/>
    <w:rsid w:val="70BBC47A"/>
    <w:rsid w:val="70BBFDCB"/>
    <w:rsid w:val="70BC0622"/>
    <w:rsid w:val="70BCE36B"/>
    <w:rsid w:val="70BD1ACF"/>
    <w:rsid w:val="70BE0222"/>
    <w:rsid w:val="70BF4B87"/>
    <w:rsid w:val="70BF7B9E"/>
    <w:rsid w:val="70BFE67D"/>
    <w:rsid w:val="70C054C2"/>
    <w:rsid w:val="70C05630"/>
    <w:rsid w:val="70C0BE66"/>
    <w:rsid w:val="70C145B7"/>
    <w:rsid w:val="70C20C4B"/>
    <w:rsid w:val="70C2B98D"/>
    <w:rsid w:val="70C2CE84"/>
    <w:rsid w:val="70C2E3EB"/>
    <w:rsid w:val="70C3003A"/>
    <w:rsid w:val="70C34211"/>
    <w:rsid w:val="70C34B75"/>
    <w:rsid w:val="70C3B552"/>
    <w:rsid w:val="70C3E386"/>
    <w:rsid w:val="70C44CAF"/>
    <w:rsid w:val="70C47317"/>
    <w:rsid w:val="70C4AF46"/>
    <w:rsid w:val="70C4BF69"/>
    <w:rsid w:val="70C4E158"/>
    <w:rsid w:val="70C52C5D"/>
    <w:rsid w:val="70C55A86"/>
    <w:rsid w:val="70C5B855"/>
    <w:rsid w:val="70C5F403"/>
    <w:rsid w:val="70C6AC2F"/>
    <w:rsid w:val="70C6AF43"/>
    <w:rsid w:val="70C6BE60"/>
    <w:rsid w:val="70C74E04"/>
    <w:rsid w:val="70C818DE"/>
    <w:rsid w:val="70C9C119"/>
    <w:rsid w:val="70C9F0A1"/>
    <w:rsid w:val="70CA6905"/>
    <w:rsid w:val="70CB0F1D"/>
    <w:rsid w:val="70CB24D7"/>
    <w:rsid w:val="70CB6030"/>
    <w:rsid w:val="70CBF0AB"/>
    <w:rsid w:val="70CC1E49"/>
    <w:rsid w:val="70CC33BC"/>
    <w:rsid w:val="70CC8A5C"/>
    <w:rsid w:val="70CC9D6B"/>
    <w:rsid w:val="70CCEB48"/>
    <w:rsid w:val="70CD677C"/>
    <w:rsid w:val="70CD8F74"/>
    <w:rsid w:val="70CDB846"/>
    <w:rsid w:val="70CE20A0"/>
    <w:rsid w:val="70CF76E5"/>
    <w:rsid w:val="70CFAC27"/>
    <w:rsid w:val="70CFEECF"/>
    <w:rsid w:val="70D0CCF1"/>
    <w:rsid w:val="70D12448"/>
    <w:rsid w:val="70D1A948"/>
    <w:rsid w:val="70D26B83"/>
    <w:rsid w:val="70D294C0"/>
    <w:rsid w:val="70D44A7E"/>
    <w:rsid w:val="70D45B69"/>
    <w:rsid w:val="70D471D0"/>
    <w:rsid w:val="70D6093C"/>
    <w:rsid w:val="70D6461A"/>
    <w:rsid w:val="70D68A6A"/>
    <w:rsid w:val="70D6E89D"/>
    <w:rsid w:val="70D865DF"/>
    <w:rsid w:val="70D884CB"/>
    <w:rsid w:val="70D8967E"/>
    <w:rsid w:val="70D939A1"/>
    <w:rsid w:val="70D9BD61"/>
    <w:rsid w:val="70D9D828"/>
    <w:rsid w:val="70D9E530"/>
    <w:rsid w:val="70DA22E7"/>
    <w:rsid w:val="70DAD3B6"/>
    <w:rsid w:val="70DADC86"/>
    <w:rsid w:val="70DCBED0"/>
    <w:rsid w:val="70DCE04B"/>
    <w:rsid w:val="70DE1943"/>
    <w:rsid w:val="70DF06D1"/>
    <w:rsid w:val="70DF32DD"/>
    <w:rsid w:val="70DFCA57"/>
    <w:rsid w:val="70E09B82"/>
    <w:rsid w:val="70E0D51D"/>
    <w:rsid w:val="70E14F4D"/>
    <w:rsid w:val="70E225F6"/>
    <w:rsid w:val="70E251A5"/>
    <w:rsid w:val="70E2BDD4"/>
    <w:rsid w:val="70E2C6BF"/>
    <w:rsid w:val="70E38F5D"/>
    <w:rsid w:val="70E438DE"/>
    <w:rsid w:val="70E4CB04"/>
    <w:rsid w:val="70E4DDD0"/>
    <w:rsid w:val="70E5D0B2"/>
    <w:rsid w:val="70E60542"/>
    <w:rsid w:val="70E65CA5"/>
    <w:rsid w:val="70E754FC"/>
    <w:rsid w:val="70E7C477"/>
    <w:rsid w:val="70E84FDE"/>
    <w:rsid w:val="70E85C33"/>
    <w:rsid w:val="70E8E4CE"/>
    <w:rsid w:val="70E956B6"/>
    <w:rsid w:val="70E96D3C"/>
    <w:rsid w:val="70EAA9B6"/>
    <w:rsid w:val="70EAB0B8"/>
    <w:rsid w:val="70EAE61C"/>
    <w:rsid w:val="70EAFB02"/>
    <w:rsid w:val="70EAFCE5"/>
    <w:rsid w:val="70EB7C6B"/>
    <w:rsid w:val="70EB881C"/>
    <w:rsid w:val="70EB9EE6"/>
    <w:rsid w:val="70EC4EC3"/>
    <w:rsid w:val="70ED1C6D"/>
    <w:rsid w:val="70ED91B6"/>
    <w:rsid w:val="70ED94F9"/>
    <w:rsid w:val="70EEC221"/>
    <w:rsid w:val="70EEE686"/>
    <w:rsid w:val="70EEFB9F"/>
    <w:rsid w:val="70EF74DA"/>
    <w:rsid w:val="70EF81C1"/>
    <w:rsid w:val="70EF8C5A"/>
    <w:rsid w:val="70EFCA6C"/>
    <w:rsid w:val="70EFDA84"/>
    <w:rsid w:val="70F09C29"/>
    <w:rsid w:val="70F0A1C7"/>
    <w:rsid w:val="70F0B51F"/>
    <w:rsid w:val="70F10609"/>
    <w:rsid w:val="70F1CE6E"/>
    <w:rsid w:val="70F2B8BC"/>
    <w:rsid w:val="70F351D1"/>
    <w:rsid w:val="70F3872D"/>
    <w:rsid w:val="70F447D7"/>
    <w:rsid w:val="70F54446"/>
    <w:rsid w:val="70F5C655"/>
    <w:rsid w:val="70F69C1D"/>
    <w:rsid w:val="70F7130D"/>
    <w:rsid w:val="70F76C95"/>
    <w:rsid w:val="70F83E51"/>
    <w:rsid w:val="70F95E67"/>
    <w:rsid w:val="70F9AD39"/>
    <w:rsid w:val="70F9EA57"/>
    <w:rsid w:val="70FA2CB9"/>
    <w:rsid w:val="70FAD79D"/>
    <w:rsid w:val="70FAFED8"/>
    <w:rsid w:val="70FB3647"/>
    <w:rsid w:val="70FB6C6B"/>
    <w:rsid w:val="70FBCE4E"/>
    <w:rsid w:val="70FD76E4"/>
    <w:rsid w:val="70FDD8BF"/>
    <w:rsid w:val="70FDD8EF"/>
    <w:rsid w:val="70FDDC00"/>
    <w:rsid w:val="70FFF155"/>
    <w:rsid w:val="71008E35"/>
    <w:rsid w:val="7101130E"/>
    <w:rsid w:val="7101FFB1"/>
    <w:rsid w:val="7102447B"/>
    <w:rsid w:val="7102D3EB"/>
    <w:rsid w:val="7102FE0D"/>
    <w:rsid w:val="71030FEF"/>
    <w:rsid w:val="710391C2"/>
    <w:rsid w:val="7103933E"/>
    <w:rsid w:val="7103FFBD"/>
    <w:rsid w:val="71046A20"/>
    <w:rsid w:val="71046E7E"/>
    <w:rsid w:val="7104A7A0"/>
    <w:rsid w:val="7104E9D5"/>
    <w:rsid w:val="710519A1"/>
    <w:rsid w:val="71055235"/>
    <w:rsid w:val="71057C26"/>
    <w:rsid w:val="7105B927"/>
    <w:rsid w:val="7105D4FE"/>
    <w:rsid w:val="7105F350"/>
    <w:rsid w:val="710648BA"/>
    <w:rsid w:val="71067EB8"/>
    <w:rsid w:val="71068D0C"/>
    <w:rsid w:val="7108DBD9"/>
    <w:rsid w:val="7108ED5E"/>
    <w:rsid w:val="710907D1"/>
    <w:rsid w:val="7109344F"/>
    <w:rsid w:val="710AA891"/>
    <w:rsid w:val="710BEAED"/>
    <w:rsid w:val="710BF404"/>
    <w:rsid w:val="710C59C4"/>
    <w:rsid w:val="710CC06B"/>
    <w:rsid w:val="710CD4DE"/>
    <w:rsid w:val="710D7396"/>
    <w:rsid w:val="710E1A35"/>
    <w:rsid w:val="710ECCA7"/>
    <w:rsid w:val="710F411F"/>
    <w:rsid w:val="710FE922"/>
    <w:rsid w:val="711108F0"/>
    <w:rsid w:val="7111849F"/>
    <w:rsid w:val="7111FA94"/>
    <w:rsid w:val="71127B2A"/>
    <w:rsid w:val="7112C09E"/>
    <w:rsid w:val="7112F189"/>
    <w:rsid w:val="7112F543"/>
    <w:rsid w:val="7113BC62"/>
    <w:rsid w:val="711408CF"/>
    <w:rsid w:val="711411E5"/>
    <w:rsid w:val="7114901C"/>
    <w:rsid w:val="7114B823"/>
    <w:rsid w:val="71153733"/>
    <w:rsid w:val="71156396"/>
    <w:rsid w:val="7115FA39"/>
    <w:rsid w:val="71162823"/>
    <w:rsid w:val="7116FD05"/>
    <w:rsid w:val="7117AFD2"/>
    <w:rsid w:val="7117F3B9"/>
    <w:rsid w:val="71180F9C"/>
    <w:rsid w:val="71183C8E"/>
    <w:rsid w:val="71190090"/>
    <w:rsid w:val="7119919E"/>
    <w:rsid w:val="71199756"/>
    <w:rsid w:val="711AD838"/>
    <w:rsid w:val="711BB2D1"/>
    <w:rsid w:val="711C2AFF"/>
    <w:rsid w:val="711C380B"/>
    <w:rsid w:val="711C3ABF"/>
    <w:rsid w:val="711CAF82"/>
    <w:rsid w:val="711CEFDF"/>
    <w:rsid w:val="711F58D8"/>
    <w:rsid w:val="711F77F4"/>
    <w:rsid w:val="711FBA03"/>
    <w:rsid w:val="71205D95"/>
    <w:rsid w:val="7121100E"/>
    <w:rsid w:val="71217B65"/>
    <w:rsid w:val="712199A6"/>
    <w:rsid w:val="71226368"/>
    <w:rsid w:val="712275E5"/>
    <w:rsid w:val="7123A0B6"/>
    <w:rsid w:val="7124D550"/>
    <w:rsid w:val="71251BA7"/>
    <w:rsid w:val="712526D0"/>
    <w:rsid w:val="71257C81"/>
    <w:rsid w:val="71262061"/>
    <w:rsid w:val="7126269D"/>
    <w:rsid w:val="71270F2F"/>
    <w:rsid w:val="71282F07"/>
    <w:rsid w:val="7128D6D9"/>
    <w:rsid w:val="712954D3"/>
    <w:rsid w:val="7129DBE0"/>
    <w:rsid w:val="712A8CC5"/>
    <w:rsid w:val="712AB7A5"/>
    <w:rsid w:val="712BE7ED"/>
    <w:rsid w:val="712C56DF"/>
    <w:rsid w:val="712C86D5"/>
    <w:rsid w:val="712E4DF5"/>
    <w:rsid w:val="712F13BB"/>
    <w:rsid w:val="712F4659"/>
    <w:rsid w:val="712F9E97"/>
    <w:rsid w:val="712FB0F4"/>
    <w:rsid w:val="71302BB9"/>
    <w:rsid w:val="71303793"/>
    <w:rsid w:val="7130CE26"/>
    <w:rsid w:val="71313A85"/>
    <w:rsid w:val="7131A893"/>
    <w:rsid w:val="7131CCFA"/>
    <w:rsid w:val="71333652"/>
    <w:rsid w:val="713338EB"/>
    <w:rsid w:val="7133DA24"/>
    <w:rsid w:val="71344558"/>
    <w:rsid w:val="7135AB10"/>
    <w:rsid w:val="7135D6CD"/>
    <w:rsid w:val="71362B1E"/>
    <w:rsid w:val="71364142"/>
    <w:rsid w:val="71365053"/>
    <w:rsid w:val="7136A9C2"/>
    <w:rsid w:val="7136E917"/>
    <w:rsid w:val="71379949"/>
    <w:rsid w:val="7137A1F4"/>
    <w:rsid w:val="713809CF"/>
    <w:rsid w:val="71385503"/>
    <w:rsid w:val="7138C983"/>
    <w:rsid w:val="7139A10B"/>
    <w:rsid w:val="7139B1CC"/>
    <w:rsid w:val="713A878D"/>
    <w:rsid w:val="713B4CB0"/>
    <w:rsid w:val="713C3CE4"/>
    <w:rsid w:val="713CB281"/>
    <w:rsid w:val="713E5C02"/>
    <w:rsid w:val="713E7372"/>
    <w:rsid w:val="713EA2E8"/>
    <w:rsid w:val="713F0ECA"/>
    <w:rsid w:val="713F8CBC"/>
    <w:rsid w:val="713FD695"/>
    <w:rsid w:val="713FDDA6"/>
    <w:rsid w:val="71414A45"/>
    <w:rsid w:val="7141CF3F"/>
    <w:rsid w:val="7142198A"/>
    <w:rsid w:val="7142F8D7"/>
    <w:rsid w:val="714415C2"/>
    <w:rsid w:val="71441A6A"/>
    <w:rsid w:val="71442575"/>
    <w:rsid w:val="71445C62"/>
    <w:rsid w:val="71446C02"/>
    <w:rsid w:val="7145AA57"/>
    <w:rsid w:val="71464073"/>
    <w:rsid w:val="71468BE1"/>
    <w:rsid w:val="714700F1"/>
    <w:rsid w:val="714763A3"/>
    <w:rsid w:val="7147CAE2"/>
    <w:rsid w:val="71490C63"/>
    <w:rsid w:val="714953DB"/>
    <w:rsid w:val="71498D50"/>
    <w:rsid w:val="714A3E5D"/>
    <w:rsid w:val="714AB183"/>
    <w:rsid w:val="714BEFD2"/>
    <w:rsid w:val="714C15D5"/>
    <w:rsid w:val="714C3F9B"/>
    <w:rsid w:val="714CFB69"/>
    <w:rsid w:val="714D1E46"/>
    <w:rsid w:val="714D278D"/>
    <w:rsid w:val="714D4EDC"/>
    <w:rsid w:val="714EE0BF"/>
    <w:rsid w:val="714F22D0"/>
    <w:rsid w:val="714F6DF7"/>
    <w:rsid w:val="714FD624"/>
    <w:rsid w:val="71502713"/>
    <w:rsid w:val="71506582"/>
    <w:rsid w:val="715238ED"/>
    <w:rsid w:val="71525DF3"/>
    <w:rsid w:val="71530284"/>
    <w:rsid w:val="71530CC4"/>
    <w:rsid w:val="71530EF2"/>
    <w:rsid w:val="715381DB"/>
    <w:rsid w:val="7153CAE3"/>
    <w:rsid w:val="7153EAD5"/>
    <w:rsid w:val="7153F566"/>
    <w:rsid w:val="715423B1"/>
    <w:rsid w:val="71560271"/>
    <w:rsid w:val="7156ACF9"/>
    <w:rsid w:val="71574E61"/>
    <w:rsid w:val="7157681F"/>
    <w:rsid w:val="7157B254"/>
    <w:rsid w:val="7157DFDD"/>
    <w:rsid w:val="71586B15"/>
    <w:rsid w:val="7158B419"/>
    <w:rsid w:val="7158D6E0"/>
    <w:rsid w:val="71594BDC"/>
    <w:rsid w:val="71599872"/>
    <w:rsid w:val="7159E4A7"/>
    <w:rsid w:val="715AB117"/>
    <w:rsid w:val="715B011C"/>
    <w:rsid w:val="715B17A9"/>
    <w:rsid w:val="715BC54F"/>
    <w:rsid w:val="715C69DD"/>
    <w:rsid w:val="715D4310"/>
    <w:rsid w:val="715D6172"/>
    <w:rsid w:val="715D6899"/>
    <w:rsid w:val="715DD686"/>
    <w:rsid w:val="715E18DE"/>
    <w:rsid w:val="715E237C"/>
    <w:rsid w:val="715ED30E"/>
    <w:rsid w:val="715F59C2"/>
    <w:rsid w:val="715F8782"/>
    <w:rsid w:val="715FBCD4"/>
    <w:rsid w:val="715FF2ED"/>
    <w:rsid w:val="71600E4A"/>
    <w:rsid w:val="7161A5F7"/>
    <w:rsid w:val="7161BA1B"/>
    <w:rsid w:val="716205FB"/>
    <w:rsid w:val="71626E2F"/>
    <w:rsid w:val="7162B30E"/>
    <w:rsid w:val="7162B7FE"/>
    <w:rsid w:val="71631590"/>
    <w:rsid w:val="71643AE3"/>
    <w:rsid w:val="7164B671"/>
    <w:rsid w:val="716625FE"/>
    <w:rsid w:val="71665C29"/>
    <w:rsid w:val="716677AB"/>
    <w:rsid w:val="71668052"/>
    <w:rsid w:val="7166A07C"/>
    <w:rsid w:val="7166C30B"/>
    <w:rsid w:val="716768DB"/>
    <w:rsid w:val="71676E37"/>
    <w:rsid w:val="716780CD"/>
    <w:rsid w:val="7167B99F"/>
    <w:rsid w:val="71681119"/>
    <w:rsid w:val="7169D5C0"/>
    <w:rsid w:val="716A5B9E"/>
    <w:rsid w:val="716A6BFF"/>
    <w:rsid w:val="716AAFF3"/>
    <w:rsid w:val="716AED11"/>
    <w:rsid w:val="716B08A3"/>
    <w:rsid w:val="716B5275"/>
    <w:rsid w:val="716B9418"/>
    <w:rsid w:val="716C4AD3"/>
    <w:rsid w:val="716C513A"/>
    <w:rsid w:val="716C93C8"/>
    <w:rsid w:val="716CD4EC"/>
    <w:rsid w:val="716D1E1A"/>
    <w:rsid w:val="716D9023"/>
    <w:rsid w:val="716E78B1"/>
    <w:rsid w:val="716E8174"/>
    <w:rsid w:val="716E9F52"/>
    <w:rsid w:val="716EAE8E"/>
    <w:rsid w:val="716EB095"/>
    <w:rsid w:val="716F30CC"/>
    <w:rsid w:val="716F409B"/>
    <w:rsid w:val="71716857"/>
    <w:rsid w:val="7171C93A"/>
    <w:rsid w:val="7171F141"/>
    <w:rsid w:val="7172ABF1"/>
    <w:rsid w:val="7172DF40"/>
    <w:rsid w:val="7172EF90"/>
    <w:rsid w:val="7172FBC0"/>
    <w:rsid w:val="71737E42"/>
    <w:rsid w:val="7174575C"/>
    <w:rsid w:val="71746DC9"/>
    <w:rsid w:val="7174824F"/>
    <w:rsid w:val="7174D999"/>
    <w:rsid w:val="71757A55"/>
    <w:rsid w:val="7175C30B"/>
    <w:rsid w:val="7175D451"/>
    <w:rsid w:val="7176074A"/>
    <w:rsid w:val="71767DA7"/>
    <w:rsid w:val="7178D94F"/>
    <w:rsid w:val="71791407"/>
    <w:rsid w:val="717943AE"/>
    <w:rsid w:val="71795D4D"/>
    <w:rsid w:val="7179F3B6"/>
    <w:rsid w:val="717A5BA5"/>
    <w:rsid w:val="717AEEED"/>
    <w:rsid w:val="717AFE36"/>
    <w:rsid w:val="717B555A"/>
    <w:rsid w:val="717B567F"/>
    <w:rsid w:val="717B9C3E"/>
    <w:rsid w:val="717BC7FD"/>
    <w:rsid w:val="717C0674"/>
    <w:rsid w:val="717D69F8"/>
    <w:rsid w:val="717DD3E4"/>
    <w:rsid w:val="717E0C46"/>
    <w:rsid w:val="717EF848"/>
    <w:rsid w:val="717F76B3"/>
    <w:rsid w:val="71808083"/>
    <w:rsid w:val="7180BEF8"/>
    <w:rsid w:val="7180DF60"/>
    <w:rsid w:val="7180E1F2"/>
    <w:rsid w:val="718103AB"/>
    <w:rsid w:val="71810DFD"/>
    <w:rsid w:val="71815895"/>
    <w:rsid w:val="7181A1BA"/>
    <w:rsid w:val="7181ED7F"/>
    <w:rsid w:val="718202F4"/>
    <w:rsid w:val="7183E01F"/>
    <w:rsid w:val="7183E6DD"/>
    <w:rsid w:val="71842315"/>
    <w:rsid w:val="718517A4"/>
    <w:rsid w:val="7186094B"/>
    <w:rsid w:val="7186694C"/>
    <w:rsid w:val="7186B000"/>
    <w:rsid w:val="7186DC1E"/>
    <w:rsid w:val="71875A46"/>
    <w:rsid w:val="71877FB6"/>
    <w:rsid w:val="7188180F"/>
    <w:rsid w:val="718880DE"/>
    <w:rsid w:val="71889159"/>
    <w:rsid w:val="7189DF83"/>
    <w:rsid w:val="7189F125"/>
    <w:rsid w:val="718A1AD3"/>
    <w:rsid w:val="718A3336"/>
    <w:rsid w:val="718C7384"/>
    <w:rsid w:val="718CD2A6"/>
    <w:rsid w:val="718CD56A"/>
    <w:rsid w:val="718D2FA3"/>
    <w:rsid w:val="718D4DB1"/>
    <w:rsid w:val="718D70BB"/>
    <w:rsid w:val="718DA0D9"/>
    <w:rsid w:val="718DF9F5"/>
    <w:rsid w:val="718FCF65"/>
    <w:rsid w:val="71904583"/>
    <w:rsid w:val="7190840E"/>
    <w:rsid w:val="71910191"/>
    <w:rsid w:val="719174AE"/>
    <w:rsid w:val="71922216"/>
    <w:rsid w:val="7192282B"/>
    <w:rsid w:val="71923D4F"/>
    <w:rsid w:val="7192CA99"/>
    <w:rsid w:val="7192DBE4"/>
    <w:rsid w:val="71935D81"/>
    <w:rsid w:val="71939FCC"/>
    <w:rsid w:val="7193FF62"/>
    <w:rsid w:val="71941868"/>
    <w:rsid w:val="71943E07"/>
    <w:rsid w:val="719454B6"/>
    <w:rsid w:val="71946C4A"/>
    <w:rsid w:val="71955064"/>
    <w:rsid w:val="719578AD"/>
    <w:rsid w:val="7196A3C4"/>
    <w:rsid w:val="71974924"/>
    <w:rsid w:val="71975CD7"/>
    <w:rsid w:val="7198549C"/>
    <w:rsid w:val="719867E6"/>
    <w:rsid w:val="71986B6B"/>
    <w:rsid w:val="71993FDF"/>
    <w:rsid w:val="7199B7FE"/>
    <w:rsid w:val="719A334F"/>
    <w:rsid w:val="719A8565"/>
    <w:rsid w:val="719AA9D4"/>
    <w:rsid w:val="719B0A64"/>
    <w:rsid w:val="719B2E83"/>
    <w:rsid w:val="719C1142"/>
    <w:rsid w:val="719C74C5"/>
    <w:rsid w:val="719C7D5D"/>
    <w:rsid w:val="719C86D1"/>
    <w:rsid w:val="719D27DB"/>
    <w:rsid w:val="719D3921"/>
    <w:rsid w:val="719D8990"/>
    <w:rsid w:val="719DCA80"/>
    <w:rsid w:val="719E3C7C"/>
    <w:rsid w:val="719E3EDC"/>
    <w:rsid w:val="719EA603"/>
    <w:rsid w:val="719EC79A"/>
    <w:rsid w:val="719EEA28"/>
    <w:rsid w:val="719FAC1A"/>
    <w:rsid w:val="719FCB87"/>
    <w:rsid w:val="71A0CB58"/>
    <w:rsid w:val="71A0DD33"/>
    <w:rsid w:val="71A12675"/>
    <w:rsid w:val="71A14D9B"/>
    <w:rsid w:val="71A1608F"/>
    <w:rsid w:val="71A1C75F"/>
    <w:rsid w:val="71A315AD"/>
    <w:rsid w:val="71A35E8E"/>
    <w:rsid w:val="71A3D18B"/>
    <w:rsid w:val="71A3F7BF"/>
    <w:rsid w:val="71A40D27"/>
    <w:rsid w:val="71A45156"/>
    <w:rsid w:val="71A46B7C"/>
    <w:rsid w:val="71A49D95"/>
    <w:rsid w:val="71A4FBA1"/>
    <w:rsid w:val="71A53DD0"/>
    <w:rsid w:val="71A59612"/>
    <w:rsid w:val="71A61941"/>
    <w:rsid w:val="71A624BF"/>
    <w:rsid w:val="71A6F647"/>
    <w:rsid w:val="71A7496E"/>
    <w:rsid w:val="71A757E8"/>
    <w:rsid w:val="71A7F024"/>
    <w:rsid w:val="71A8C160"/>
    <w:rsid w:val="71A8C1A7"/>
    <w:rsid w:val="71A8C7D3"/>
    <w:rsid w:val="71A8DADA"/>
    <w:rsid w:val="71A9E515"/>
    <w:rsid w:val="71AAC111"/>
    <w:rsid w:val="71AB6207"/>
    <w:rsid w:val="71ABF0B9"/>
    <w:rsid w:val="71ABFCEC"/>
    <w:rsid w:val="71AD408A"/>
    <w:rsid w:val="71AD72CE"/>
    <w:rsid w:val="71AD945B"/>
    <w:rsid w:val="71ADB1C4"/>
    <w:rsid w:val="71AE04D0"/>
    <w:rsid w:val="71AE0FFB"/>
    <w:rsid w:val="71AEB36E"/>
    <w:rsid w:val="71AEF696"/>
    <w:rsid w:val="71AF14C0"/>
    <w:rsid w:val="71AF7240"/>
    <w:rsid w:val="71AF7C21"/>
    <w:rsid w:val="71B00F20"/>
    <w:rsid w:val="71B0A1AE"/>
    <w:rsid w:val="71B35EAC"/>
    <w:rsid w:val="71B39E1A"/>
    <w:rsid w:val="71B3B619"/>
    <w:rsid w:val="71B47AB8"/>
    <w:rsid w:val="71B49C5F"/>
    <w:rsid w:val="71B5576E"/>
    <w:rsid w:val="71B5E4F6"/>
    <w:rsid w:val="71B5FF2F"/>
    <w:rsid w:val="71B65ED6"/>
    <w:rsid w:val="71B6B5E2"/>
    <w:rsid w:val="71B6D355"/>
    <w:rsid w:val="71B6EBFD"/>
    <w:rsid w:val="71B6FE7D"/>
    <w:rsid w:val="71B723A9"/>
    <w:rsid w:val="71B734AE"/>
    <w:rsid w:val="71B73898"/>
    <w:rsid w:val="71B79FA3"/>
    <w:rsid w:val="71B7A789"/>
    <w:rsid w:val="71B7AD5B"/>
    <w:rsid w:val="71B7FB71"/>
    <w:rsid w:val="71B91324"/>
    <w:rsid w:val="71B95089"/>
    <w:rsid w:val="71BA68A6"/>
    <w:rsid w:val="71BA7A8A"/>
    <w:rsid w:val="71BAE152"/>
    <w:rsid w:val="71BB2199"/>
    <w:rsid w:val="71BB4A5F"/>
    <w:rsid w:val="71BB849D"/>
    <w:rsid w:val="71BC3294"/>
    <w:rsid w:val="71BC8D9D"/>
    <w:rsid w:val="71BDAFC7"/>
    <w:rsid w:val="71BE1A1B"/>
    <w:rsid w:val="71BF2C86"/>
    <w:rsid w:val="71BFE61B"/>
    <w:rsid w:val="71C00A55"/>
    <w:rsid w:val="71C05ED7"/>
    <w:rsid w:val="71C1BB6E"/>
    <w:rsid w:val="71C1D412"/>
    <w:rsid w:val="71C27AF2"/>
    <w:rsid w:val="71C3AFA7"/>
    <w:rsid w:val="71C408BB"/>
    <w:rsid w:val="71C438BC"/>
    <w:rsid w:val="71C572F7"/>
    <w:rsid w:val="71C65D46"/>
    <w:rsid w:val="71C69969"/>
    <w:rsid w:val="71C7A0BD"/>
    <w:rsid w:val="71C7EED7"/>
    <w:rsid w:val="71C8BDC4"/>
    <w:rsid w:val="71C8F5D2"/>
    <w:rsid w:val="71C944E7"/>
    <w:rsid w:val="71C9B593"/>
    <w:rsid w:val="71C9FF03"/>
    <w:rsid w:val="71CA24CC"/>
    <w:rsid w:val="71CA2AB3"/>
    <w:rsid w:val="71CA5AE0"/>
    <w:rsid w:val="71CAB296"/>
    <w:rsid w:val="71CB867A"/>
    <w:rsid w:val="71CC5C2F"/>
    <w:rsid w:val="71CC8B92"/>
    <w:rsid w:val="71CCAA1B"/>
    <w:rsid w:val="71CCFE12"/>
    <w:rsid w:val="71CDD814"/>
    <w:rsid w:val="71CDDD71"/>
    <w:rsid w:val="71CE61A0"/>
    <w:rsid w:val="71CF0449"/>
    <w:rsid w:val="71CF4E34"/>
    <w:rsid w:val="71CF891B"/>
    <w:rsid w:val="71CF940E"/>
    <w:rsid w:val="71CFE3B4"/>
    <w:rsid w:val="71D014A7"/>
    <w:rsid w:val="71D09160"/>
    <w:rsid w:val="71D096F2"/>
    <w:rsid w:val="71D1088D"/>
    <w:rsid w:val="71D10B02"/>
    <w:rsid w:val="71D18B10"/>
    <w:rsid w:val="71D1F5B2"/>
    <w:rsid w:val="71D22B6A"/>
    <w:rsid w:val="71D32696"/>
    <w:rsid w:val="71D35C33"/>
    <w:rsid w:val="71D37951"/>
    <w:rsid w:val="71D41B7D"/>
    <w:rsid w:val="71D438EE"/>
    <w:rsid w:val="71D49EF3"/>
    <w:rsid w:val="71D5AA92"/>
    <w:rsid w:val="71D6019D"/>
    <w:rsid w:val="71D661EA"/>
    <w:rsid w:val="71D6CD76"/>
    <w:rsid w:val="71D731D7"/>
    <w:rsid w:val="71D779D7"/>
    <w:rsid w:val="71D7A64A"/>
    <w:rsid w:val="71D7AF63"/>
    <w:rsid w:val="71D7B75A"/>
    <w:rsid w:val="71D8C7B4"/>
    <w:rsid w:val="71D8EC20"/>
    <w:rsid w:val="71D909DC"/>
    <w:rsid w:val="71D930D2"/>
    <w:rsid w:val="71DA1295"/>
    <w:rsid w:val="71DA17CC"/>
    <w:rsid w:val="71DA7C29"/>
    <w:rsid w:val="71DB0CEE"/>
    <w:rsid w:val="71DC7CAC"/>
    <w:rsid w:val="71DD7326"/>
    <w:rsid w:val="71DD8980"/>
    <w:rsid w:val="71DF5C9A"/>
    <w:rsid w:val="71DF773E"/>
    <w:rsid w:val="71DF9B51"/>
    <w:rsid w:val="71DFE049"/>
    <w:rsid w:val="71E00B10"/>
    <w:rsid w:val="71E01858"/>
    <w:rsid w:val="71E05201"/>
    <w:rsid w:val="71E09C5A"/>
    <w:rsid w:val="71E13647"/>
    <w:rsid w:val="71E18403"/>
    <w:rsid w:val="71E18766"/>
    <w:rsid w:val="71E1C6D1"/>
    <w:rsid w:val="71E1E96C"/>
    <w:rsid w:val="71E25738"/>
    <w:rsid w:val="71E303BA"/>
    <w:rsid w:val="71E4421D"/>
    <w:rsid w:val="71E5CC5C"/>
    <w:rsid w:val="71E5F2A0"/>
    <w:rsid w:val="71E73ED0"/>
    <w:rsid w:val="71E7653E"/>
    <w:rsid w:val="71E7E003"/>
    <w:rsid w:val="71E937B6"/>
    <w:rsid w:val="71E993BE"/>
    <w:rsid w:val="71EAA95C"/>
    <w:rsid w:val="71EAC145"/>
    <w:rsid w:val="71EB1996"/>
    <w:rsid w:val="71EB3CFA"/>
    <w:rsid w:val="71EB6403"/>
    <w:rsid w:val="71EC01A5"/>
    <w:rsid w:val="71EC130B"/>
    <w:rsid w:val="71ECB5C3"/>
    <w:rsid w:val="71ED0617"/>
    <w:rsid w:val="71ED2949"/>
    <w:rsid w:val="71ED36A0"/>
    <w:rsid w:val="71ED814D"/>
    <w:rsid w:val="71EDBC4F"/>
    <w:rsid w:val="71EE4C76"/>
    <w:rsid w:val="71EF2DFB"/>
    <w:rsid w:val="71EF8F0C"/>
    <w:rsid w:val="71EFCD3A"/>
    <w:rsid w:val="71EFD509"/>
    <w:rsid w:val="71F02535"/>
    <w:rsid w:val="71F0ACA3"/>
    <w:rsid w:val="71F15DBC"/>
    <w:rsid w:val="71F1A5DC"/>
    <w:rsid w:val="71F27A20"/>
    <w:rsid w:val="71F27E59"/>
    <w:rsid w:val="71F39109"/>
    <w:rsid w:val="71F3933F"/>
    <w:rsid w:val="71F45002"/>
    <w:rsid w:val="71F4509E"/>
    <w:rsid w:val="71F4C0F6"/>
    <w:rsid w:val="71F5E0B7"/>
    <w:rsid w:val="71F6E302"/>
    <w:rsid w:val="71F72B8E"/>
    <w:rsid w:val="71F803A0"/>
    <w:rsid w:val="71F852AB"/>
    <w:rsid w:val="71F9075E"/>
    <w:rsid w:val="71FA22CA"/>
    <w:rsid w:val="71FAB9B2"/>
    <w:rsid w:val="71FB4E1F"/>
    <w:rsid w:val="71FBAB0C"/>
    <w:rsid w:val="71FBB64B"/>
    <w:rsid w:val="71FBE7E9"/>
    <w:rsid w:val="71FC1E37"/>
    <w:rsid w:val="71FC8A0E"/>
    <w:rsid w:val="71FDB32E"/>
    <w:rsid w:val="71FE32DF"/>
    <w:rsid w:val="71FEAC0B"/>
    <w:rsid w:val="71FEEF28"/>
    <w:rsid w:val="71FEF000"/>
    <w:rsid w:val="71FF6949"/>
    <w:rsid w:val="7200276C"/>
    <w:rsid w:val="72007949"/>
    <w:rsid w:val="7200ABFB"/>
    <w:rsid w:val="7200BD91"/>
    <w:rsid w:val="7200C201"/>
    <w:rsid w:val="7201D95E"/>
    <w:rsid w:val="7201DC9E"/>
    <w:rsid w:val="72026C8E"/>
    <w:rsid w:val="72029108"/>
    <w:rsid w:val="72034723"/>
    <w:rsid w:val="720493AC"/>
    <w:rsid w:val="72049CBA"/>
    <w:rsid w:val="7206285A"/>
    <w:rsid w:val="7207400E"/>
    <w:rsid w:val="7208554D"/>
    <w:rsid w:val="72087E63"/>
    <w:rsid w:val="7208DF34"/>
    <w:rsid w:val="72090153"/>
    <w:rsid w:val="72092DD8"/>
    <w:rsid w:val="720A9AB4"/>
    <w:rsid w:val="720AA11B"/>
    <w:rsid w:val="720AFE6F"/>
    <w:rsid w:val="720B780F"/>
    <w:rsid w:val="720B9978"/>
    <w:rsid w:val="720CC9BA"/>
    <w:rsid w:val="720D9363"/>
    <w:rsid w:val="720D9E28"/>
    <w:rsid w:val="720DD328"/>
    <w:rsid w:val="720E1297"/>
    <w:rsid w:val="720E3471"/>
    <w:rsid w:val="720E43B7"/>
    <w:rsid w:val="720E65BE"/>
    <w:rsid w:val="720F1611"/>
    <w:rsid w:val="720F3166"/>
    <w:rsid w:val="720F8D63"/>
    <w:rsid w:val="7210161B"/>
    <w:rsid w:val="7210EE26"/>
    <w:rsid w:val="7211B205"/>
    <w:rsid w:val="7212697D"/>
    <w:rsid w:val="7212F303"/>
    <w:rsid w:val="72136714"/>
    <w:rsid w:val="7214AB6E"/>
    <w:rsid w:val="7214CA60"/>
    <w:rsid w:val="7215AC83"/>
    <w:rsid w:val="721620F6"/>
    <w:rsid w:val="72164643"/>
    <w:rsid w:val="72165521"/>
    <w:rsid w:val="7216E838"/>
    <w:rsid w:val="72185F9D"/>
    <w:rsid w:val="7218C8FE"/>
    <w:rsid w:val="721907C5"/>
    <w:rsid w:val="7219D446"/>
    <w:rsid w:val="721AD7A4"/>
    <w:rsid w:val="721B4544"/>
    <w:rsid w:val="721BBA99"/>
    <w:rsid w:val="721BDD25"/>
    <w:rsid w:val="721C0569"/>
    <w:rsid w:val="721D4596"/>
    <w:rsid w:val="721D98ED"/>
    <w:rsid w:val="721E2BE2"/>
    <w:rsid w:val="721E899C"/>
    <w:rsid w:val="721FB1C5"/>
    <w:rsid w:val="722018D1"/>
    <w:rsid w:val="722199A6"/>
    <w:rsid w:val="7221AE30"/>
    <w:rsid w:val="7221B36E"/>
    <w:rsid w:val="722244D5"/>
    <w:rsid w:val="7223854F"/>
    <w:rsid w:val="72238C39"/>
    <w:rsid w:val="7223CB8A"/>
    <w:rsid w:val="72240A00"/>
    <w:rsid w:val="7224106E"/>
    <w:rsid w:val="7224FF4C"/>
    <w:rsid w:val="72261892"/>
    <w:rsid w:val="72278368"/>
    <w:rsid w:val="72281734"/>
    <w:rsid w:val="722855C8"/>
    <w:rsid w:val="722963CA"/>
    <w:rsid w:val="7229833D"/>
    <w:rsid w:val="72299BE9"/>
    <w:rsid w:val="7229C19D"/>
    <w:rsid w:val="722A0B24"/>
    <w:rsid w:val="722A50BC"/>
    <w:rsid w:val="722B2C83"/>
    <w:rsid w:val="722B4E5C"/>
    <w:rsid w:val="722BAFD7"/>
    <w:rsid w:val="722BEDCB"/>
    <w:rsid w:val="722C569F"/>
    <w:rsid w:val="722C8A2F"/>
    <w:rsid w:val="722D1F1A"/>
    <w:rsid w:val="722D2D76"/>
    <w:rsid w:val="722D3FD1"/>
    <w:rsid w:val="722D9083"/>
    <w:rsid w:val="722E6AF4"/>
    <w:rsid w:val="722E7E3A"/>
    <w:rsid w:val="722F6C03"/>
    <w:rsid w:val="722FB281"/>
    <w:rsid w:val="722FC6C6"/>
    <w:rsid w:val="72300DE4"/>
    <w:rsid w:val="7230430B"/>
    <w:rsid w:val="723098F3"/>
    <w:rsid w:val="723164C1"/>
    <w:rsid w:val="723262A4"/>
    <w:rsid w:val="72326505"/>
    <w:rsid w:val="7233422C"/>
    <w:rsid w:val="72341714"/>
    <w:rsid w:val="72341DF3"/>
    <w:rsid w:val="7234AA59"/>
    <w:rsid w:val="72356EC3"/>
    <w:rsid w:val="7235F53B"/>
    <w:rsid w:val="7236029C"/>
    <w:rsid w:val="723655E3"/>
    <w:rsid w:val="7236DEF2"/>
    <w:rsid w:val="7236EDD0"/>
    <w:rsid w:val="7237ECC7"/>
    <w:rsid w:val="72391D46"/>
    <w:rsid w:val="723941B4"/>
    <w:rsid w:val="72398C2C"/>
    <w:rsid w:val="7239973B"/>
    <w:rsid w:val="723A2AFA"/>
    <w:rsid w:val="723A78FC"/>
    <w:rsid w:val="723A7EC5"/>
    <w:rsid w:val="723ABD52"/>
    <w:rsid w:val="723AD65D"/>
    <w:rsid w:val="723AF038"/>
    <w:rsid w:val="723B1A94"/>
    <w:rsid w:val="723B2842"/>
    <w:rsid w:val="723B8A61"/>
    <w:rsid w:val="723D7CC8"/>
    <w:rsid w:val="723E456C"/>
    <w:rsid w:val="723EC030"/>
    <w:rsid w:val="723FF6BD"/>
    <w:rsid w:val="723FF9D1"/>
    <w:rsid w:val="72403EA0"/>
    <w:rsid w:val="72408A72"/>
    <w:rsid w:val="7240FB1C"/>
    <w:rsid w:val="724177C8"/>
    <w:rsid w:val="7241F5DF"/>
    <w:rsid w:val="72425EEE"/>
    <w:rsid w:val="7242D7DC"/>
    <w:rsid w:val="724374CA"/>
    <w:rsid w:val="72438381"/>
    <w:rsid w:val="7243C842"/>
    <w:rsid w:val="72444963"/>
    <w:rsid w:val="72453EF9"/>
    <w:rsid w:val="7245C0C5"/>
    <w:rsid w:val="7245FED7"/>
    <w:rsid w:val="72472C02"/>
    <w:rsid w:val="72473503"/>
    <w:rsid w:val="72474375"/>
    <w:rsid w:val="7247CAF6"/>
    <w:rsid w:val="724828ED"/>
    <w:rsid w:val="72485DF3"/>
    <w:rsid w:val="7248AA55"/>
    <w:rsid w:val="7249382A"/>
    <w:rsid w:val="724B77BD"/>
    <w:rsid w:val="724BBD34"/>
    <w:rsid w:val="724C40B0"/>
    <w:rsid w:val="724D16B6"/>
    <w:rsid w:val="724D951F"/>
    <w:rsid w:val="724DAFC7"/>
    <w:rsid w:val="724E9F53"/>
    <w:rsid w:val="7250C4B3"/>
    <w:rsid w:val="7251E3C8"/>
    <w:rsid w:val="72524EA8"/>
    <w:rsid w:val="725270E0"/>
    <w:rsid w:val="7252DC1D"/>
    <w:rsid w:val="72532E61"/>
    <w:rsid w:val="7253634C"/>
    <w:rsid w:val="72542D22"/>
    <w:rsid w:val="7254448F"/>
    <w:rsid w:val="725444D7"/>
    <w:rsid w:val="7254502C"/>
    <w:rsid w:val="7254E8E8"/>
    <w:rsid w:val="7254F637"/>
    <w:rsid w:val="72551AA6"/>
    <w:rsid w:val="725589CD"/>
    <w:rsid w:val="72565B87"/>
    <w:rsid w:val="7256C544"/>
    <w:rsid w:val="7257236C"/>
    <w:rsid w:val="72572CFE"/>
    <w:rsid w:val="725764BB"/>
    <w:rsid w:val="7257A742"/>
    <w:rsid w:val="72580CE9"/>
    <w:rsid w:val="72582FA8"/>
    <w:rsid w:val="725925E7"/>
    <w:rsid w:val="725935EF"/>
    <w:rsid w:val="72597424"/>
    <w:rsid w:val="7259C43E"/>
    <w:rsid w:val="725A278F"/>
    <w:rsid w:val="725AACCC"/>
    <w:rsid w:val="725BDCA5"/>
    <w:rsid w:val="725C4AE5"/>
    <w:rsid w:val="725D1267"/>
    <w:rsid w:val="725E9970"/>
    <w:rsid w:val="725F1560"/>
    <w:rsid w:val="725F4BCD"/>
    <w:rsid w:val="725F52C7"/>
    <w:rsid w:val="72607562"/>
    <w:rsid w:val="726086E6"/>
    <w:rsid w:val="7260E1B5"/>
    <w:rsid w:val="72614949"/>
    <w:rsid w:val="72614D67"/>
    <w:rsid w:val="72616AE1"/>
    <w:rsid w:val="7261FFA1"/>
    <w:rsid w:val="7262468A"/>
    <w:rsid w:val="7262E65F"/>
    <w:rsid w:val="72632E4C"/>
    <w:rsid w:val="7263869F"/>
    <w:rsid w:val="72640B77"/>
    <w:rsid w:val="72645970"/>
    <w:rsid w:val="72646A93"/>
    <w:rsid w:val="7264C260"/>
    <w:rsid w:val="72651863"/>
    <w:rsid w:val="7265CD9B"/>
    <w:rsid w:val="7265E323"/>
    <w:rsid w:val="7265F55E"/>
    <w:rsid w:val="7266B1DF"/>
    <w:rsid w:val="72676154"/>
    <w:rsid w:val="726768A9"/>
    <w:rsid w:val="7267783C"/>
    <w:rsid w:val="726891D5"/>
    <w:rsid w:val="7269C2BA"/>
    <w:rsid w:val="7269E4CC"/>
    <w:rsid w:val="726A33F9"/>
    <w:rsid w:val="726A464C"/>
    <w:rsid w:val="726B187B"/>
    <w:rsid w:val="726B3CF8"/>
    <w:rsid w:val="726B6E51"/>
    <w:rsid w:val="726B9308"/>
    <w:rsid w:val="726B9F66"/>
    <w:rsid w:val="726C106B"/>
    <w:rsid w:val="726C129D"/>
    <w:rsid w:val="726C5F41"/>
    <w:rsid w:val="726CB3D1"/>
    <w:rsid w:val="726D50DA"/>
    <w:rsid w:val="726D68F3"/>
    <w:rsid w:val="726DC8CD"/>
    <w:rsid w:val="726E568B"/>
    <w:rsid w:val="72704022"/>
    <w:rsid w:val="72709485"/>
    <w:rsid w:val="727101C4"/>
    <w:rsid w:val="727123A4"/>
    <w:rsid w:val="72713549"/>
    <w:rsid w:val="727153D1"/>
    <w:rsid w:val="72717A06"/>
    <w:rsid w:val="7271F97E"/>
    <w:rsid w:val="72727763"/>
    <w:rsid w:val="727293F5"/>
    <w:rsid w:val="7272CE60"/>
    <w:rsid w:val="727337E2"/>
    <w:rsid w:val="72735AC6"/>
    <w:rsid w:val="72736E3A"/>
    <w:rsid w:val="7273C120"/>
    <w:rsid w:val="72745D50"/>
    <w:rsid w:val="7274B2A4"/>
    <w:rsid w:val="727503B5"/>
    <w:rsid w:val="7276C868"/>
    <w:rsid w:val="72773880"/>
    <w:rsid w:val="72791AB9"/>
    <w:rsid w:val="7279D9FC"/>
    <w:rsid w:val="727A1604"/>
    <w:rsid w:val="727AF5DF"/>
    <w:rsid w:val="727B2DA0"/>
    <w:rsid w:val="727D561B"/>
    <w:rsid w:val="727D6817"/>
    <w:rsid w:val="727D8CAD"/>
    <w:rsid w:val="727DD17B"/>
    <w:rsid w:val="727E4CDF"/>
    <w:rsid w:val="727EC340"/>
    <w:rsid w:val="727F119B"/>
    <w:rsid w:val="727F187F"/>
    <w:rsid w:val="7280568A"/>
    <w:rsid w:val="7280F805"/>
    <w:rsid w:val="728222AB"/>
    <w:rsid w:val="728269CC"/>
    <w:rsid w:val="7282B42F"/>
    <w:rsid w:val="728358C9"/>
    <w:rsid w:val="72835DB1"/>
    <w:rsid w:val="7283AED3"/>
    <w:rsid w:val="7283E117"/>
    <w:rsid w:val="7284639D"/>
    <w:rsid w:val="728587FD"/>
    <w:rsid w:val="7285F552"/>
    <w:rsid w:val="72861F09"/>
    <w:rsid w:val="7286BF1F"/>
    <w:rsid w:val="7287BDFE"/>
    <w:rsid w:val="7287FCBA"/>
    <w:rsid w:val="7287FF0E"/>
    <w:rsid w:val="72883C2B"/>
    <w:rsid w:val="728870A1"/>
    <w:rsid w:val="7288D4D6"/>
    <w:rsid w:val="7288F846"/>
    <w:rsid w:val="7289FC78"/>
    <w:rsid w:val="728B7923"/>
    <w:rsid w:val="728BC345"/>
    <w:rsid w:val="728C4639"/>
    <w:rsid w:val="728C7118"/>
    <w:rsid w:val="728CD668"/>
    <w:rsid w:val="728D12D5"/>
    <w:rsid w:val="728D9BBE"/>
    <w:rsid w:val="728DF3D7"/>
    <w:rsid w:val="728E31A2"/>
    <w:rsid w:val="728E4501"/>
    <w:rsid w:val="728E4950"/>
    <w:rsid w:val="728E7034"/>
    <w:rsid w:val="728E85F0"/>
    <w:rsid w:val="728F5EB3"/>
    <w:rsid w:val="728FB8FF"/>
    <w:rsid w:val="72903731"/>
    <w:rsid w:val="72923150"/>
    <w:rsid w:val="7293764D"/>
    <w:rsid w:val="729389D6"/>
    <w:rsid w:val="7293D7ED"/>
    <w:rsid w:val="72947D9A"/>
    <w:rsid w:val="7294CEBA"/>
    <w:rsid w:val="7294D5C7"/>
    <w:rsid w:val="7294DAF4"/>
    <w:rsid w:val="7294F563"/>
    <w:rsid w:val="72954F30"/>
    <w:rsid w:val="7296DC28"/>
    <w:rsid w:val="72975259"/>
    <w:rsid w:val="7297D0F9"/>
    <w:rsid w:val="7298A066"/>
    <w:rsid w:val="7298FF7F"/>
    <w:rsid w:val="72996AF2"/>
    <w:rsid w:val="729974C3"/>
    <w:rsid w:val="7299A36E"/>
    <w:rsid w:val="729A2561"/>
    <w:rsid w:val="729A2578"/>
    <w:rsid w:val="729A2F3B"/>
    <w:rsid w:val="729A4671"/>
    <w:rsid w:val="729AE4FE"/>
    <w:rsid w:val="729C0974"/>
    <w:rsid w:val="729C57B4"/>
    <w:rsid w:val="729C651D"/>
    <w:rsid w:val="729CB5D9"/>
    <w:rsid w:val="729D4BB3"/>
    <w:rsid w:val="729DEE43"/>
    <w:rsid w:val="729E8302"/>
    <w:rsid w:val="729ECD22"/>
    <w:rsid w:val="729FCFCF"/>
    <w:rsid w:val="72A10327"/>
    <w:rsid w:val="72A12D65"/>
    <w:rsid w:val="72A207C1"/>
    <w:rsid w:val="72A383DB"/>
    <w:rsid w:val="72A42922"/>
    <w:rsid w:val="72A4E06A"/>
    <w:rsid w:val="72A52EE5"/>
    <w:rsid w:val="72A55728"/>
    <w:rsid w:val="72A5F961"/>
    <w:rsid w:val="72A653A3"/>
    <w:rsid w:val="72A67FD9"/>
    <w:rsid w:val="72A8230F"/>
    <w:rsid w:val="72A8E7F4"/>
    <w:rsid w:val="72A958F7"/>
    <w:rsid w:val="72AAD5A7"/>
    <w:rsid w:val="72AB20A8"/>
    <w:rsid w:val="72AB2EB3"/>
    <w:rsid w:val="72AB3531"/>
    <w:rsid w:val="72ABC904"/>
    <w:rsid w:val="72AC415C"/>
    <w:rsid w:val="72AC5C0B"/>
    <w:rsid w:val="72ACD022"/>
    <w:rsid w:val="72AF0FB4"/>
    <w:rsid w:val="72AF2BA3"/>
    <w:rsid w:val="72AF2EB1"/>
    <w:rsid w:val="72B00B78"/>
    <w:rsid w:val="72B017D0"/>
    <w:rsid w:val="72B0466E"/>
    <w:rsid w:val="72B11D05"/>
    <w:rsid w:val="72B148A6"/>
    <w:rsid w:val="72B1DCE7"/>
    <w:rsid w:val="72B229E9"/>
    <w:rsid w:val="72B255D5"/>
    <w:rsid w:val="72B28C51"/>
    <w:rsid w:val="72B42438"/>
    <w:rsid w:val="72B57315"/>
    <w:rsid w:val="72B583CA"/>
    <w:rsid w:val="72B6BBF5"/>
    <w:rsid w:val="72B6CE07"/>
    <w:rsid w:val="72B758D4"/>
    <w:rsid w:val="72B7757C"/>
    <w:rsid w:val="72B80289"/>
    <w:rsid w:val="72B866FF"/>
    <w:rsid w:val="72B88DF5"/>
    <w:rsid w:val="72B8CEB1"/>
    <w:rsid w:val="72B9A937"/>
    <w:rsid w:val="72B9BBAB"/>
    <w:rsid w:val="72BA4571"/>
    <w:rsid w:val="72BABD3A"/>
    <w:rsid w:val="72BB31AE"/>
    <w:rsid w:val="72BBE6AF"/>
    <w:rsid w:val="72BC0604"/>
    <w:rsid w:val="72BC81E4"/>
    <w:rsid w:val="72BD6F2D"/>
    <w:rsid w:val="72BD7889"/>
    <w:rsid w:val="72BDC199"/>
    <w:rsid w:val="72BDE5AC"/>
    <w:rsid w:val="72BE24EE"/>
    <w:rsid w:val="72BEE2D4"/>
    <w:rsid w:val="72BF7B02"/>
    <w:rsid w:val="72BFDCEB"/>
    <w:rsid w:val="72C05CB0"/>
    <w:rsid w:val="72C0B37E"/>
    <w:rsid w:val="72C11F46"/>
    <w:rsid w:val="72C2709B"/>
    <w:rsid w:val="72C3026F"/>
    <w:rsid w:val="72C355F2"/>
    <w:rsid w:val="72C3BCC6"/>
    <w:rsid w:val="72C5277B"/>
    <w:rsid w:val="72C6AFD7"/>
    <w:rsid w:val="72C7B00F"/>
    <w:rsid w:val="72C80567"/>
    <w:rsid w:val="72C95201"/>
    <w:rsid w:val="72C971C8"/>
    <w:rsid w:val="72CA2F16"/>
    <w:rsid w:val="72CA429C"/>
    <w:rsid w:val="72CA8EEE"/>
    <w:rsid w:val="72CB210D"/>
    <w:rsid w:val="72CB9AD0"/>
    <w:rsid w:val="72CC6E69"/>
    <w:rsid w:val="72CD12E4"/>
    <w:rsid w:val="72CD34C6"/>
    <w:rsid w:val="72CD75BD"/>
    <w:rsid w:val="72CF9D16"/>
    <w:rsid w:val="72CFA269"/>
    <w:rsid w:val="72CFB5CC"/>
    <w:rsid w:val="72D057C4"/>
    <w:rsid w:val="72D0D386"/>
    <w:rsid w:val="72D13B06"/>
    <w:rsid w:val="72D1F920"/>
    <w:rsid w:val="72D21BF5"/>
    <w:rsid w:val="72D29F7C"/>
    <w:rsid w:val="72D2C76F"/>
    <w:rsid w:val="72D3EC81"/>
    <w:rsid w:val="72D3F912"/>
    <w:rsid w:val="72D49592"/>
    <w:rsid w:val="72D4DBBC"/>
    <w:rsid w:val="72D4E8D3"/>
    <w:rsid w:val="72D50FCE"/>
    <w:rsid w:val="72D53D5C"/>
    <w:rsid w:val="72D57A41"/>
    <w:rsid w:val="72D6CA08"/>
    <w:rsid w:val="72D7D91A"/>
    <w:rsid w:val="72D82F29"/>
    <w:rsid w:val="72D9B991"/>
    <w:rsid w:val="72D9CC1A"/>
    <w:rsid w:val="72DADC04"/>
    <w:rsid w:val="72DBB51F"/>
    <w:rsid w:val="72DBD945"/>
    <w:rsid w:val="72DBF01D"/>
    <w:rsid w:val="72DC134E"/>
    <w:rsid w:val="72DC1F6E"/>
    <w:rsid w:val="72DC9E19"/>
    <w:rsid w:val="72DCFDB1"/>
    <w:rsid w:val="72DDC754"/>
    <w:rsid w:val="72DE25A1"/>
    <w:rsid w:val="72DE25A7"/>
    <w:rsid w:val="72DF10BA"/>
    <w:rsid w:val="72DF8A99"/>
    <w:rsid w:val="72DF8F13"/>
    <w:rsid w:val="72DFCE99"/>
    <w:rsid w:val="72E0CD56"/>
    <w:rsid w:val="72E1159A"/>
    <w:rsid w:val="72E23B96"/>
    <w:rsid w:val="72E29009"/>
    <w:rsid w:val="72E2D538"/>
    <w:rsid w:val="72E35C60"/>
    <w:rsid w:val="72E370D0"/>
    <w:rsid w:val="72E39113"/>
    <w:rsid w:val="72E3A567"/>
    <w:rsid w:val="72E3BB35"/>
    <w:rsid w:val="72E3DEDF"/>
    <w:rsid w:val="72E3E364"/>
    <w:rsid w:val="72E43B98"/>
    <w:rsid w:val="72E45671"/>
    <w:rsid w:val="72E4BAB8"/>
    <w:rsid w:val="72E56065"/>
    <w:rsid w:val="72E5D803"/>
    <w:rsid w:val="72E732E7"/>
    <w:rsid w:val="72E7715C"/>
    <w:rsid w:val="72E884E4"/>
    <w:rsid w:val="72E8DECE"/>
    <w:rsid w:val="72E91F64"/>
    <w:rsid w:val="72E9A0FE"/>
    <w:rsid w:val="72E9BA90"/>
    <w:rsid w:val="72EA3DD7"/>
    <w:rsid w:val="72EA94C6"/>
    <w:rsid w:val="72EB5691"/>
    <w:rsid w:val="72EC98F1"/>
    <w:rsid w:val="72ECBA99"/>
    <w:rsid w:val="72ED14FB"/>
    <w:rsid w:val="72EDDA86"/>
    <w:rsid w:val="72EF0B4A"/>
    <w:rsid w:val="72EF936F"/>
    <w:rsid w:val="72F00CC2"/>
    <w:rsid w:val="72F05A5C"/>
    <w:rsid w:val="72F0BE4D"/>
    <w:rsid w:val="72F108B5"/>
    <w:rsid w:val="72F10B7A"/>
    <w:rsid w:val="72F17B07"/>
    <w:rsid w:val="72F19BDF"/>
    <w:rsid w:val="72F25DBC"/>
    <w:rsid w:val="72F2C380"/>
    <w:rsid w:val="72F2DBFF"/>
    <w:rsid w:val="72F2EB25"/>
    <w:rsid w:val="72F382FA"/>
    <w:rsid w:val="72F4267D"/>
    <w:rsid w:val="72F431AF"/>
    <w:rsid w:val="72F47791"/>
    <w:rsid w:val="72F49F97"/>
    <w:rsid w:val="72F4A89F"/>
    <w:rsid w:val="72F51915"/>
    <w:rsid w:val="72F5B6AE"/>
    <w:rsid w:val="72F5D9B9"/>
    <w:rsid w:val="72F63935"/>
    <w:rsid w:val="72F78106"/>
    <w:rsid w:val="72F79560"/>
    <w:rsid w:val="72F81F61"/>
    <w:rsid w:val="72F83EF3"/>
    <w:rsid w:val="72F88823"/>
    <w:rsid w:val="72F8A5CA"/>
    <w:rsid w:val="72F8ADEB"/>
    <w:rsid w:val="72F96097"/>
    <w:rsid w:val="72F9DB13"/>
    <w:rsid w:val="72FA393A"/>
    <w:rsid w:val="72FAA945"/>
    <w:rsid w:val="72FAE9FA"/>
    <w:rsid w:val="72FB6B3C"/>
    <w:rsid w:val="72FCC132"/>
    <w:rsid w:val="72FCF31A"/>
    <w:rsid w:val="72FDA2F6"/>
    <w:rsid w:val="72FDFD0E"/>
    <w:rsid w:val="72FE92CC"/>
    <w:rsid w:val="72FE9545"/>
    <w:rsid w:val="72FEFC22"/>
    <w:rsid w:val="72FFA9D8"/>
    <w:rsid w:val="730072BD"/>
    <w:rsid w:val="73009D23"/>
    <w:rsid w:val="7301406C"/>
    <w:rsid w:val="7301ED6F"/>
    <w:rsid w:val="730230FD"/>
    <w:rsid w:val="73024761"/>
    <w:rsid w:val="7302946E"/>
    <w:rsid w:val="73030F19"/>
    <w:rsid w:val="730359B6"/>
    <w:rsid w:val="73042FF5"/>
    <w:rsid w:val="73045C33"/>
    <w:rsid w:val="73046469"/>
    <w:rsid w:val="73048203"/>
    <w:rsid w:val="73048C97"/>
    <w:rsid w:val="7304A688"/>
    <w:rsid w:val="7307025A"/>
    <w:rsid w:val="73073760"/>
    <w:rsid w:val="73079DD9"/>
    <w:rsid w:val="7307BF64"/>
    <w:rsid w:val="7307E624"/>
    <w:rsid w:val="7308682A"/>
    <w:rsid w:val="7308FB21"/>
    <w:rsid w:val="7309D99C"/>
    <w:rsid w:val="730A5B76"/>
    <w:rsid w:val="730ACFE8"/>
    <w:rsid w:val="730AD8F4"/>
    <w:rsid w:val="730B09EA"/>
    <w:rsid w:val="730B4445"/>
    <w:rsid w:val="730BED3B"/>
    <w:rsid w:val="730D0AFC"/>
    <w:rsid w:val="730D0E87"/>
    <w:rsid w:val="730DBEDB"/>
    <w:rsid w:val="730E1132"/>
    <w:rsid w:val="730E9F84"/>
    <w:rsid w:val="730EA552"/>
    <w:rsid w:val="730EC138"/>
    <w:rsid w:val="730ED7FA"/>
    <w:rsid w:val="730F3DEC"/>
    <w:rsid w:val="730FBCD8"/>
    <w:rsid w:val="730FDDAC"/>
    <w:rsid w:val="730FE7CF"/>
    <w:rsid w:val="730FFA2F"/>
    <w:rsid w:val="73105898"/>
    <w:rsid w:val="7311232C"/>
    <w:rsid w:val="73117CBB"/>
    <w:rsid w:val="7311BD94"/>
    <w:rsid w:val="73128ED2"/>
    <w:rsid w:val="7313323C"/>
    <w:rsid w:val="7313CC80"/>
    <w:rsid w:val="7314E03B"/>
    <w:rsid w:val="73154247"/>
    <w:rsid w:val="73155F21"/>
    <w:rsid w:val="73156820"/>
    <w:rsid w:val="7315C393"/>
    <w:rsid w:val="731693BC"/>
    <w:rsid w:val="73172E20"/>
    <w:rsid w:val="73178738"/>
    <w:rsid w:val="7318744D"/>
    <w:rsid w:val="731901AF"/>
    <w:rsid w:val="7319787B"/>
    <w:rsid w:val="73199059"/>
    <w:rsid w:val="7319BB56"/>
    <w:rsid w:val="731B05D4"/>
    <w:rsid w:val="731BF1D6"/>
    <w:rsid w:val="731C1F0D"/>
    <w:rsid w:val="731C3F2D"/>
    <w:rsid w:val="731CB03B"/>
    <w:rsid w:val="731D01F1"/>
    <w:rsid w:val="731D1CAC"/>
    <w:rsid w:val="731EA426"/>
    <w:rsid w:val="731EE026"/>
    <w:rsid w:val="731EF6AD"/>
    <w:rsid w:val="731F64F5"/>
    <w:rsid w:val="731FC945"/>
    <w:rsid w:val="731FDE5D"/>
    <w:rsid w:val="73207867"/>
    <w:rsid w:val="7320E70F"/>
    <w:rsid w:val="7320EC77"/>
    <w:rsid w:val="73213E56"/>
    <w:rsid w:val="73215FF0"/>
    <w:rsid w:val="73218029"/>
    <w:rsid w:val="7321ED8D"/>
    <w:rsid w:val="7322E667"/>
    <w:rsid w:val="732330AD"/>
    <w:rsid w:val="73243352"/>
    <w:rsid w:val="7324BB32"/>
    <w:rsid w:val="73252F49"/>
    <w:rsid w:val="73254761"/>
    <w:rsid w:val="7325A453"/>
    <w:rsid w:val="732714B0"/>
    <w:rsid w:val="732724D9"/>
    <w:rsid w:val="73272B2E"/>
    <w:rsid w:val="732766CA"/>
    <w:rsid w:val="7327AE8A"/>
    <w:rsid w:val="7328F2DE"/>
    <w:rsid w:val="7328FC88"/>
    <w:rsid w:val="73291EC6"/>
    <w:rsid w:val="73294270"/>
    <w:rsid w:val="7329737A"/>
    <w:rsid w:val="73299ACD"/>
    <w:rsid w:val="7329FEC8"/>
    <w:rsid w:val="732A4724"/>
    <w:rsid w:val="732A661E"/>
    <w:rsid w:val="732AF5A0"/>
    <w:rsid w:val="732C4976"/>
    <w:rsid w:val="732D4AB0"/>
    <w:rsid w:val="732DB68C"/>
    <w:rsid w:val="732DC0EF"/>
    <w:rsid w:val="732EEE06"/>
    <w:rsid w:val="732FA517"/>
    <w:rsid w:val="732FF519"/>
    <w:rsid w:val="73301DA8"/>
    <w:rsid w:val="7330FEA0"/>
    <w:rsid w:val="7331B40D"/>
    <w:rsid w:val="7331F51F"/>
    <w:rsid w:val="7332B0EB"/>
    <w:rsid w:val="7332ED93"/>
    <w:rsid w:val="7332EF62"/>
    <w:rsid w:val="73334AFB"/>
    <w:rsid w:val="7333B98E"/>
    <w:rsid w:val="73345F42"/>
    <w:rsid w:val="73346883"/>
    <w:rsid w:val="73352745"/>
    <w:rsid w:val="7335BA42"/>
    <w:rsid w:val="733668F8"/>
    <w:rsid w:val="7336910E"/>
    <w:rsid w:val="73371978"/>
    <w:rsid w:val="733724AE"/>
    <w:rsid w:val="73381ECD"/>
    <w:rsid w:val="73384E72"/>
    <w:rsid w:val="73385395"/>
    <w:rsid w:val="733887A6"/>
    <w:rsid w:val="733893B7"/>
    <w:rsid w:val="7338BB36"/>
    <w:rsid w:val="73390FC4"/>
    <w:rsid w:val="7339A378"/>
    <w:rsid w:val="7339A3EE"/>
    <w:rsid w:val="7339B96E"/>
    <w:rsid w:val="733A483A"/>
    <w:rsid w:val="733AA295"/>
    <w:rsid w:val="733B0324"/>
    <w:rsid w:val="733BC823"/>
    <w:rsid w:val="733C49B5"/>
    <w:rsid w:val="733D493F"/>
    <w:rsid w:val="733D7717"/>
    <w:rsid w:val="733DC087"/>
    <w:rsid w:val="733DC189"/>
    <w:rsid w:val="733EE8ED"/>
    <w:rsid w:val="73408A5C"/>
    <w:rsid w:val="7340BBEE"/>
    <w:rsid w:val="7340DB35"/>
    <w:rsid w:val="73411450"/>
    <w:rsid w:val="73418E5C"/>
    <w:rsid w:val="73420B15"/>
    <w:rsid w:val="734240CE"/>
    <w:rsid w:val="73432080"/>
    <w:rsid w:val="7343DDAA"/>
    <w:rsid w:val="7344024E"/>
    <w:rsid w:val="7344D692"/>
    <w:rsid w:val="73460F51"/>
    <w:rsid w:val="7346882D"/>
    <w:rsid w:val="7346CCF5"/>
    <w:rsid w:val="7346DF07"/>
    <w:rsid w:val="7347F745"/>
    <w:rsid w:val="73482018"/>
    <w:rsid w:val="7348CD49"/>
    <w:rsid w:val="7348CF85"/>
    <w:rsid w:val="7348E0D3"/>
    <w:rsid w:val="7349B67D"/>
    <w:rsid w:val="734A3F5B"/>
    <w:rsid w:val="734B23C1"/>
    <w:rsid w:val="734B54A3"/>
    <w:rsid w:val="734BBBAD"/>
    <w:rsid w:val="734DA7E6"/>
    <w:rsid w:val="734DADD9"/>
    <w:rsid w:val="734E0339"/>
    <w:rsid w:val="734E31EE"/>
    <w:rsid w:val="734EA36C"/>
    <w:rsid w:val="734EDAF1"/>
    <w:rsid w:val="734FD713"/>
    <w:rsid w:val="734FF9EC"/>
    <w:rsid w:val="73509C0E"/>
    <w:rsid w:val="7350E5D0"/>
    <w:rsid w:val="73514DBC"/>
    <w:rsid w:val="73520FA8"/>
    <w:rsid w:val="7352D538"/>
    <w:rsid w:val="73530932"/>
    <w:rsid w:val="735518E7"/>
    <w:rsid w:val="7356A210"/>
    <w:rsid w:val="7356FBBC"/>
    <w:rsid w:val="73572FDA"/>
    <w:rsid w:val="7357DDC9"/>
    <w:rsid w:val="7358B91C"/>
    <w:rsid w:val="7358DA2B"/>
    <w:rsid w:val="7358F1EE"/>
    <w:rsid w:val="73595676"/>
    <w:rsid w:val="735A03E7"/>
    <w:rsid w:val="735BA61A"/>
    <w:rsid w:val="735BC85D"/>
    <w:rsid w:val="735BDCF0"/>
    <w:rsid w:val="735C8822"/>
    <w:rsid w:val="735D5E57"/>
    <w:rsid w:val="735D89E4"/>
    <w:rsid w:val="735D8C42"/>
    <w:rsid w:val="735D984E"/>
    <w:rsid w:val="735DEA58"/>
    <w:rsid w:val="735E17EF"/>
    <w:rsid w:val="735E2A8C"/>
    <w:rsid w:val="735EBC09"/>
    <w:rsid w:val="735F05A9"/>
    <w:rsid w:val="735F2874"/>
    <w:rsid w:val="735F538E"/>
    <w:rsid w:val="73606034"/>
    <w:rsid w:val="7360E44A"/>
    <w:rsid w:val="73611CE9"/>
    <w:rsid w:val="73614D41"/>
    <w:rsid w:val="73615B80"/>
    <w:rsid w:val="73618340"/>
    <w:rsid w:val="73619949"/>
    <w:rsid w:val="7361FB00"/>
    <w:rsid w:val="7364382B"/>
    <w:rsid w:val="73644D5E"/>
    <w:rsid w:val="7364A5D3"/>
    <w:rsid w:val="7364C942"/>
    <w:rsid w:val="736536E6"/>
    <w:rsid w:val="7365B60F"/>
    <w:rsid w:val="7365B6FD"/>
    <w:rsid w:val="736613A8"/>
    <w:rsid w:val="73668506"/>
    <w:rsid w:val="73671F2C"/>
    <w:rsid w:val="736798BD"/>
    <w:rsid w:val="73689B99"/>
    <w:rsid w:val="7368E331"/>
    <w:rsid w:val="7369A78C"/>
    <w:rsid w:val="736A24DC"/>
    <w:rsid w:val="736A8C3A"/>
    <w:rsid w:val="736B156F"/>
    <w:rsid w:val="736B2116"/>
    <w:rsid w:val="736B4A67"/>
    <w:rsid w:val="736BBC51"/>
    <w:rsid w:val="736BF200"/>
    <w:rsid w:val="736C1951"/>
    <w:rsid w:val="736C1C47"/>
    <w:rsid w:val="736CD580"/>
    <w:rsid w:val="736D0BC8"/>
    <w:rsid w:val="736DCDB4"/>
    <w:rsid w:val="736FADAF"/>
    <w:rsid w:val="73702A6E"/>
    <w:rsid w:val="73704D1F"/>
    <w:rsid w:val="737135CD"/>
    <w:rsid w:val="73713E81"/>
    <w:rsid w:val="73716A86"/>
    <w:rsid w:val="73717BE0"/>
    <w:rsid w:val="7371B586"/>
    <w:rsid w:val="73722DB3"/>
    <w:rsid w:val="7373244E"/>
    <w:rsid w:val="73740B49"/>
    <w:rsid w:val="7374401E"/>
    <w:rsid w:val="73755E16"/>
    <w:rsid w:val="737577E5"/>
    <w:rsid w:val="7375A4FF"/>
    <w:rsid w:val="7375A6F0"/>
    <w:rsid w:val="73764F14"/>
    <w:rsid w:val="73767382"/>
    <w:rsid w:val="73769B12"/>
    <w:rsid w:val="7376AA60"/>
    <w:rsid w:val="7377DC37"/>
    <w:rsid w:val="73784899"/>
    <w:rsid w:val="73784D1B"/>
    <w:rsid w:val="73785CF2"/>
    <w:rsid w:val="73792FD8"/>
    <w:rsid w:val="737A3337"/>
    <w:rsid w:val="737A38C6"/>
    <w:rsid w:val="737A8938"/>
    <w:rsid w:val="737D0BFD"/>
    <w:rsid w:val="737D27D7"/>
    <w:rsid w:val="737D6131"/>
    <w:rsid w:val="737D706F"/>
    <w:rsid w:val="737DEDD2"/>
    <w:rsid w:val="737E1A9F"/>
    <w:rsid w:val="737EFF43"/>
    <w:rsid w:val="737EFFE0"/>
    <w:rsid w:val="737F00E2"/>
    <w:rsid w:val="737F08D8"/>
    <w:rsid w:val="737FBC22"/>
    <w:rsid w:val="737FFF61"/>
    <w:rsid w:val="738050AE"/>
    <w:rsid w:val="738106F4"/>
    <w:rsid w:val="738208B1"/>
    <w:rsid w:val="73822908"/>
    <w:rsid w:val="738279E4"/>
    <w:rsid w:val="7382E1E2"/>
    <w:rsid w:val="73831000"/>
    <w:rsid w:val="73832FB1"/>
    <w:rsid w:val="73844915"/>
    <w:rsid w:val="73845F0E"/>
    <w:rsid w:val="73847166"/>
    <w:rsid w:val="7384F8B8"/>
    <w:rsid w:val="73855E12"/>
    <w:rsid w:val="7385BC3A"/>
    <w:rsid w:val="7386C2AE"/>
    <w:rsid w:val="73883D43"/>
    <w:rsid w:val="73890100"/>
    <w:rsid w:val="73890D14"/>
    <w:rsid w:val="73892755"/>
    <w:rsid w:val="7389E97D"/>
    <w:rsid w:val="738A1362"/>
    <w:rsid w:val="738A9A22"/>
    <w:rsid w:val="738BD686"/>
    <w:rsid w:val="738C29FE"/>
    <w:rsid w:val="738CAAC2"/>
    <w:rsid w:val="738DDEC3"/>
    <w:rsid w:val="738F075B"/>
    <w:rsid w:val="738F0B78"/>
    <w:rsid w:val="738FD71B"/>
    <w:rsid w:val="73908251"/>
    <w:rsid w:val="739097A6"/>
    <w:rsid w:val="739125E8"/>
    <w:rsid w:val="73913C32"/>
    <w:rsid w:val="7391FCA4"/>
    <w:rsid w:val="73920359"/>
    <w:rsid w:val="7392B6D4"/>
    <w:rsid w:val="7392FC28"/>
    <w:rsid w:val="7393983B"/>
    <w:rsid w:val="73939AC7"/>
    <w:rsid w:val="7393A1E7"/>
    <w:rsid w:val="7393BB22"/>
    <w:rsid w:val="73947C96"/>
    <w:rsid w:val="73949940"/>
    <w:rsid w:val="7395DA10"/>
    <w:rsid w:val="7396C282"/>
    <w:rsid w:val="739908C2"/>
    <w:rsid w:val="739AA3B4"/>
    <w:rsid w:val="739AE1DB"/>
    <w:rsid w:val="739B495B"/>
    <w:rsid w:val="739B5045"/>
    <w:rsid w:val="739B5A64"/>
    <w:rsid w:val="739BFE1A"/>
    <w:rsid w:val="739C1986"/>
    <w:rsid w:val="739CA6ED"/>
    <w:rsid w:val="739CB438"/>
    <w:rsid w:val="739DE2CC"/>
    <w:rsid w:val="739DF2B7"/>
    <w:rsid w:val="739E311C"/>
    <w:rsid w:val="739E78B6"/>
    <w:rsid w:val="739F062A"/>
    <w:rsid w:val="739F77DA"/>
    <w:rsid w:val="73A1C173"/>
    <w:rsid w:val="73A2D864"/>
    <w:rsid w:val="73A39EBB"/>
    <w:rsid w:val="73A453F7"/>
    <w:rsid w:val="73A50624"/>
    <w:rsid w:val="73A515ED"/>
    <w:rsid w:val="73A5C908"/>
    <w:rsid w:val="73A620AC"/>
    <w:rsid w:val="73A70A4D"/>
    <w:rsid w:val="73A75763"/>
    <w:rsid w:val="73A7700F"/>
    <w:rsid w:val="73A77130"/>
    <w:rsid w:val="73A79489"/>
    <w:rsid w:val="73A821DB"/>
    <w:rsid w:val="73A8280B"/>
    <w:rsid w:val="73A852A3"/>
    <w:rsid w:val="73A9242A"/>
    <w:rsid w:val="73A998D2"/>
    <w:rsid w:val="73AA455E"/>
    <w:rsid w:val="73AA98EA"/>
    <w:rsid w:val="73AAA0F7"/>
    <w:rsid w:val="73ABD7B0"/>
    <w:rsid w:val="73ACC853"/>
    <w:rsid w:val="73AD9D57"/>
    <w:rsid w:val="73ADB606"/>
    <w:rsid w:val="73ADCD36"/>
    <w:rsid w:val="73AE14B5"/>
    <w:rsid w:val="73AE1FA1"/>
    <w:rsid w:val="73AE4088"/>
    <w:rsid w:val="73AE8185"/>
    <w:rsid w:val="73AFAA6F"/>
    <w:rsid w:val="73B02BFF"/>
    <w:rsid w:val="73B0E28A"/>
    <w:rsid w:val="73B1AF02"/>
    <w:rsid w:val="73B238E8"/>
    <w:rsid w:val="73B26482"/>
    <w:rsid w:val="73B399D2"/>
    <w:rsid w:val="73B4F8E5"/>
    <w:rsid w:val="73B56E8B"/>
    <w:rsid w:val="73B5C2CE"/>
    <w:rsid w:val="73B5D9DE"/>
    <w:rsid w:val="73B62748"/>
    <w:rsid w:val="73B650D0"/>
    <w:rsid w:val="73B6AAC1"/>
    <w:rsid w:val="73B6F0AD"/>
    <w:rsid w:val="73B762F0"/>
    <w:rsid w:val="73B77AF0"/>
    <w:rsid w:val="73B7D084"/>
    <w:rsid w:val="73B82E27"/>
    <w:rsid w:val="73B8B2F0"/>
    <w:rsid w:val="73B96DEA"/>
    <w:rsid w:val="73BA775E"/>
    <w:rsid w:val="73BA7F8F"/>
    <w:rsid w:val="73BB0CB2"/>
    <w:rsid w:val="73BB4A4B"/>
    <w:rsid w:val="73BB9BDB"/>
    <w:rsid w:val="73BBDE8E"/>
    <w:rsid w:val="73BC5E25"/>
    <w:rsid w:val="73BC8457"/>
    <w:rsid w:val="73BC8C5D"/>
    <w:rsid w:val="73BD444A"/>
    <w:rsid w:val="73BD53FD"/>
    <w:rsid w:val="73BD9FF7"/>
    <w:rsid w:val="73BDA2EF"/>
    <w:rsid w:val="73BDAB3C"/>
    <w:rsid w:val="73BE5E64"/>
    <w:rsid w:val="73BEDC5D"/>
    <w:rsid w:val="73BF59D0"/>
    <w:rsid w:val="73C060FC"/>
    <w:rsid w:val="73C0FB28"/>
    <w:rsid w:val="73C169FB"/>
    <w:rsid w:val="73C1CD5B"/>
    <w:rsid w:val="73C1E4BB"/>
    <w:rsid w:val="73C24956"/>
    <w:rsid w:val="73C251C4"/>
    <w:rsid w:val="73C2A26C"/>
    <w:rsid w:val="73C3B36C"/>
    <w:rsid w:val="73C3F9ED"/>
    <w:rsid w:val="73C404F5"/>
    <w:rsid w:val="73C44EE3"/>
    <w:rsid w:val="73C4D378"/>
    <w:rsid w:val="73C4F31F"/>
    <w:rsid w:val="73C534CB"/>
    <w:rsid w:val="73C591FE"/>
    <w:rsid w:val="73C5AFC7"/>
    <w:rsid w:val="73C5E410"/>
    <w:rsid w:val="73C6A1B7"/>
    <w:rsid w:val="73C6D555"/>
    <w:rsid w:val="73C7301D"/>
    <w:rsid w:val="73C76B7A"/>
    <w:rsid w:val="73C809A6"/>
    <w:rsid w:val="73C83042"/>
    <w:rsid w:val="73C9890C"/>
    <w:rsid w:val="73CA0118"/>
    <w:rsid w:val="73CAA3BB"/>
    <w:rsid w:val="73CADC03"/>
    <w:rsid w:val="73CB3DDB"/>
    <w:rsid w:val="73CB75AB"/>
    <w:rsid w:val="73CCB4A7"/>
    <w:rsid w:val="73CD0613"/>
    <w:rsid w:val="73CFC49D"/>
    <w:rsid w:val="73D032EE"/>
    <w:rsid w:val="73D0710F"/>
    <w:rsid w:val="73D086EF"/>
    <w:rsid w:val="73D0B001"/>
    <w:rsid w:val="73D18BCD"/>
    <w:rsid w:val="73D224A5"/>
    <w:rsid w:val="73D252D5"/>
    <w:rsid w:val="73D2D13B"/>
    <w:rsid w:val="73D32BE0"/>
    <w:rsid w:val="73D36E2F"/>
    <w:rsid w:val="73D3B4BB"/>
    <w:rsid w:val="73D431F4"/>
    <w:rsid w:val="73D481F2"/>
    <w:rsid w:val="73D541DC"/>
    <w:rsid w:val="73D5B3D6"/>
    <w:rsid w:val="73D5C6EE"/>
    <w:rsid w:val="73D6518F"/>
    <w:rsid w:val="73D6CFCB"/>
    <w:rsid w:val="73D72C95"/>
    <w:rsid w:val="73D7B64B"/>
    <w:rsid w:val="73D8379E"/>
    <w:rsid w:val="73D88ED5"/>
    <w:rsid w:val="73D89955"/>
    <w:rsid w:val="73D8E2F3"/>
    <w:rsid w:val="73D930AF"/>
    <w:rsid w:val="73D9B1D8"/>
    <w:rsid w:val="73DA34F5"/>
    <w:rsid w:val="73DAD80D"/>
    <w:rsid w:val="73DB1A86"/>
    <w:rsid w:val="73DBCD8B"/>
    <w:rsid w:val="73DBEF49"/>
    <w:rsid w:val="73DC8D31"/>
    <w:rsid w:val="73DCBC47"/>
    <w:rsid w:val="73DD11B9"/>
    <w:rsid w:val="73DDAD90"/>
    <w:rsid w:val="73DDE372"/>
    <w:rsid w:val="73DE11BC"/>
    <w:rsid w:val="73DE3E50"/>
    <w:rsid w:val="73DE4626"/>
    <w:rsid w:val="73DE9B59"/>
    <w:rsid w:val="73DF5620"/>
    <w:rsid w:val="73DF8A45"/>
    <w:rsid w:val="73E233BE"/>
    <w:rsid w:val="73E28266"/>
    <w:rsid w:val="73E31823"/>
    <w:rsid w:val="73E3D029"/>
    <w:rsid w:val="73E53B96"/>
    <w:rsid w:val="73E56836"/>
    <w:rsid w:val="73E5CB64"/>
    <w:rsid w:val="73E6B8A9"/>
    <w:rsid w:val="73E8D5B8"/>
    <w:rsid w:val="73EA9A9A"/>
    <w:rsid w:val="73EAD162"/>
    <w:rsid w:val="73EB384F"/>
    <w:rsid w:val="73EBC185"/>
    <w:rsid w:val="73EBCDAC"/>
    <w:rsid w:val="73EBE398"/>
    <w:rsid w:val="73EC327A"/>
    <w:rsid w:val="73ED3E3B"/>
    <w:rsid w:val="73EE41E0"/>
    <w:rsid w:val="73EEE2DA"/>
    <w:rsid w:val="73F15139"/>
    <w:rsid w:val="73F1524D"/>
    <w:rsid w:val="73F185FF"/>
    <w:rsid w:val="73F19DAC"/>
    <w:rsid w:val="73F1CB74"/>
    <w:rsid w:val="73F26686"/>
    <w:rsid w:val="73F266F6"/>
    <w:rsid w:val="73F296A6"/>
    <w:rsid w:val="73F345A6"/>
    <w:rsid w:val="73F37284"/>
    <w:rsid w:val="73F39470"/>
    <w:rsid w:val="73F415A7"/>
    <w:rsid w:val="73F50795"/>
    <w:rsid w:val="73F52A42"/>
    <w:rsid w:val="73F535D1"/>
    <w:rsid w:val="73F55746"/>
    <w:rsid w:val="73F58FB6"/>
    <w:rsid w:val="73F5F797"/>
    <w:rsid w:val="73F62803"/>
    <w:rsid w:val="73F7C1DC"/>
    <w:rsid w:val="73F89B4A"/>
    <w:rsid w:val="73F8AC60"/>
    <w:rsid w:val="73F9FB27"/>
    <w:rsid w:val="73FAE11B"/>
    <w:rsid w:val="73FAE70D"/>
    <w:rsid w:val="73FB284F"/>
    <w:rsid w:val="73FBC4BC"/>
    <w:rsid w:val="73FD97C5"/>
    <w:rsid w:val="73FDC4CB"/>
    <w:rsid w:val="73FE314F"/>
    <w:rsid w:val="73FE58D1"/>
    <w:rsid w:val="73FE598E"/>
    <w:rsid w:val="73FF38F5"/>
    <w:rsid w:val="73FFDCA6"/>
    <w:rsid w:val="740038BD"/>
    <w:rsid w:val="7400FFB2"/>
    <w:rsid w:val="7401BA7A"/>
    <w:rsid w:val="74034317"/>
    <w:rsid w:val="74035649"/>
    <w:rsid w:val="74035892"/>
    <w:rsid w:val="7404220C"/>
    <w:rsid w:val="7404CD75"/>
    <w:rsid w:val="7404D651"/>
    <w:rsid w:val="74056364"/>
    <w:rsid w:val="740583F2"/>
    <w:rsid w:val="7406A376"/>
    <w:rsid w:val="7406B699"/>
    <w:rsid w:val="7406EECC"/>
    <w:rsid w:val="740756B7"/>
    <w:rsid w:val="74089D51"/>
    <w:rsid w:val="7408A24A"/>
    <w:rsid w:val="7408FDB5"/>
    <w:rsid w:val="7409DBC2"/>
    <w:rsid w:val="740A3A50"/>
    <w:rsid w:val="740A67FE"/>
    <w:rsid w:val="740AA084"/>
    <w:rsid w:val="740B0085"/>
    <w:rsid w:val="740BBD74"/>
    <w:rsid w:val="740BC5A9"/>
    <w:rsid w:val="740BD0C0"/>
    <w:rsid w:val="740BFA27"/>
    <w:rsid w:val="740C6D7A"/>
    <w:rsid w:val="740C7DE5"/>
    <w:rsid w:val="740CA36B"/>
    <w:rsid w:val="740D10B2"/>
    <w:rsid w:val="740DC23E"/>
    <w:rsid w:val="740DF42E"/>
    <w:rsid w:val="740DF7BD"/>
    <w:rsid w:val="740FAAFD"/>
    <w:rsid w:val="7410AD2A"/>
    <w:rsid w:val="74115559"/>
    <w:rsid w:val="741179B9"/>
    <w:rsid w:val="74128A99"/>
    <w:rsid w:val="74135311"/>
    <w:rsid w:val="74138F51"/>
    <w:rsid w:val="7413C7A5"/>
    <w:rsid w:val="74142DAA"/>
    <w:rsid w:val="741453D8"/>
    <w:rsid w:val="74145E45"/>
    <w:rsid w:val="7414CE22"/>
    <w:rsid w:val="74150E00"/>
    <w:rsid w:val="741510DF"/>
    <w:rsid w:val="7415D0D8"/>
    <w:rsid w:val="74168CBC"/>
    <w:rsid w:val="74175194"/>
    <w:rsid w:val="74184A1D"/>
    <w:rsid w:val="74188375"/>
    <w:rsid w:val="74188B94"/>
    <w:rsid w:val="741892AF"/>
    <w:rsid w:val="7418B295"/>
    <w:rsid w:val="7418CB4C"/>
    <w:rsid w:val="741997F9"/>
    <w:rsid w:val="741A3235"/>
    <w:rsid w:val="741C105A"/>
    <w:rsid w:val="741CDED5"/>
    <w:rsid w:val="741CF9CD"/>
    <w:rsid w:val="741ED676"/>
    <w:rsid w:val="741F311A"/>
    <w:rsid w:val="741F5E37"/>
    <w:rsid w:val="7420993C"/>
    <w:rsid w:val="7420F2EA"/>
    <w:rsid w:val="74212FFE"/>
    <w:rsid w:val="7422D350"/>
    <w:rsid w:val="7424EBEC"/>
    <w:rsid w:val="74250E2B"/>
    <w:rsid w:val="74251276"/>
    <w:rsid w:val="742570B4"/>
    <w:rsid w:val="74260878"/>
    <w:rsid w:val="7426E4A0"/>
    <w:rsid w:val="7426E8B7"/>
    <w:rsid w:val="74272FA6"/>
    <w:rsid w:val="74274F68"/>
    <w:rsid w:val="74281D3F"/>
    <w:rsid w:val="74289975"/>
    <w:rsid w:val="7428C969"/>
    <w:rsid w:val="7429291D"/>
    <w:rsid w:val="74297317"/>
    <w:rsid w:val="742982FE"/>
    <w:rsid w:val="742A152A"/>
    <w:rsid w:val="742A6E1F"/>
    <w:rsid w:val="742B15EF"/>
    <w:rsid w:val="742CCE6E"/>
    <w:rsid w:val="742D5150"/>
    <w:rsid w:val="742E3A87"/>
    <w:rsid w:val="742F1EF4"/>
    <w:rsid w:val="743003E8"/>
    <w:rsid w:val="74303DF6"/>
    <w:rsid w:val="743063A9"/>
    <w:rsid w:val="7430EE75"/>
    <w:rsid w:val="74319410"/>
    <w:rsid w:val="74346BF0"/>
    <w:rsid w:val="7434D944"/>
    <w:rsid w:val="74355C59"/>
    <w:rsid w:val="74364F93"/>
    <w:rsid w:val="7437098B"/>
    <w:rsid w:val="743785A7"/>
    <w:rsid w:val="7437E0A2"/>
    <w:rsid w:val="7437F9DD"/>
    <w:rsid w:val="743837AC"/>
    <w:rsid w:val="7438A7DC"/>
    <w:rsid w:val="7439447C"/>
    <w:rsid w:val="74398573"/>
    <w:rsid w:val="74398E72"/>
    <w:rsid w:val="7439B06E"/>
    <w:rsid w:val="7439F36B"/>
    <w:rsid w:val="743A3FC9"/>
    <w:rsid w:val="743ADFF2"/>
    <w:rsid w:val="743BA2A0"/>
    <w:rsid w:val="743C10AA"/>
    <w:rsid w:val="743C3CE5"/>
    <w:rsid w:val="743D29B0"/>
    <w:rsid w:val="743D3721"/>
    <w:rsid w:val="743E30C9"/>
    <w:rsid w:val="743F1E1A"/>
    <w:rsid w:val="743F67A8"/>
    <w:rsid w:val="74406C96"/>
    <w:rsid w:val="7440AD27"/>
    <w:rsid w:val="744169FF"/>
    <w:rsid w:val="744220DB"/>
    <w:rsid w:val="7442435E"/>
    <w:rsid w:val="744260CB"/>
    <w:rsid w:val="74427A8B"/>
    <w:rsid w:val="74427D8E"/>
    <w:rsid w:val="74439C9B"/>
    <w:rsid w:val="7444ADA3"/>
    <w:rsid w:val="7444CDFA"/>
    <w:rsid w:val="74453983"/>
    <w:rsid w:val="74464C60"/>
    <w:rsid w:val="74467B85"/>
    <w:rsid w:val="7446D39A"/>
    <w:rsid w:val="7446E9E7"/>
    <w:rsid w:val="744737CF"/>
    <w:rsid w:val="74474B55"/>
    <w:rsid w:val="74475DF4"/>
    <w:rsid w:val="7447B56E"/>
    <w:rsid w:val="7447D696"/>
    <w:rsid w:val="744815F8"/>
    <w:rsid w:val="744823B8"/>
    <w:rsid w:val="7448FE77"/>
    <w:rsid w:val="7448FEC0"/>
    <w:rsid w:val="744950B4"/>
    <w:rsid w:val="7449B8C2"/>
    <w:rsid w:val="744A3790"/>
    <w:rsid w:val="744A8EC7"/>
    <w:rsid w:val="744AC7CF"/>
    <w:rsid w:val="744AF4D8"/>
    <w:rsid w:val="744AF5BA"/>
    <w:rsid w:val="744B1C1E"/>
    <w:rsid w:val="744B7D26"/>
    <w:rsid w:val="744B8D64"/>
    <w:rsid w:val="744E454D"/>
    <w:rsid w:val="744F629F"/>
    <w:rsid w:val="745091FA"/>
    <w:rsid w:val="7450B5B4"/>
    <w:rsid w:val="7450CBBF"/>
    <w:rsid w:val="7450FBFD"/>
    <w:rsid w:val="74513035"/>
    <w:rsid w:val="745130A6"/>
    <w:rsid w:val="74513ED1"/>
    <w:rsid w:val="7451A03C"/>
    <w:rsid w:val="7453949E"/>
    <w:rsid w:val="74539990"/>
    <w:rsid w:val="74541923"/>
    <w:rsid w:val="74544D29"/>
    <w:rsid w:val="745542CA"/>
    <w:rsid w:val="74554DE4"/>
    <w:rsid w:val="745589D5"/>
    <w:rsid w:val="7457105C"/>
    <w:rsid w:val="74571542"/>
    <w:rsid w:val="74572995"/>
    <w:rsid w:val="7458620E"/>
    <w:rsid w:val="7458BFBB"/>
    <w:rsid w:val="7458D53F"/>
    <w:rsid w:val="7459337C"/>
    <w:rsid w:val="745A2576"/>
    <w:rsid w:val="745A4583"/>
    <w:rsid w:val="745AD70F"/>
    <w:rsid w:val="745AE7B4"/>
    <w:rsid w:val="745B768D"/>
    <w:rsid w:val="745B882A"/>
    <w:rsid w:val="745BE329"/>
    <w:rsid w:val="745CE06B"/>
    <w:rsid w:val="745D1204"/>
    <w:rsid w:val="745D9360"/>
    <w:rsid w:val="745DA524"/>
    <w:rsid w:val="745DC492"/>
    <w:rsid w:val="745DF2B7"/>
    <w:rsid w:val="745E82BC"/>
    <w:rsid w:val="745ED818"/>
    <w:rsid w:val="7460391F"/>
    <w:rsid w:val="746105B5"/>
    <w:rsid w:val="7461C5B6"/>
    <w:rsid w:val="7461DCF9"/>
    <w:rsid w:val="74622843"/>
    <w:rsid w:val="746262EF"/>
    <w:rsid w:val="7462AD7E"/>
    <w:rsid w:val="74636337"/>
    <w:rsid w:val="74637883"/>
    <w:rsid w:val="74638424"/>
    <w:rsid w:val="7463CC5A"/>
    <w:rsid w:val="7464DCF2"/>
    <w:rsid w:val="74655FD5"/>
    <w:rsid w:val="7465CECF"/>
    <w:rsid w:val="7465DBFA"/>
    <w:rsid w:val="74667666"/>
    <w:rsid w:val="74669E2E"/>
    <w:rsid w:val="7468AC2A"/>
    <w:rsid w:val="7468BC47"/>
    <w:rsid w:val="7468CBD5"/>
    <w:rsid w:val="74699486"/>
    <w:rsid w:val="74699FCA"/>
    <w:rsid w:val="7469B22B"/>
    <w:rsid w:val="7469E3C2"/>
    <w:rsid w:val="746A3BC0"/>
    <w:rsid w:val="746A524B"/>
    <w:rsid w:val="746B3733"/>
    <w:rsid w:val="746CC37E"/>
    <w:rsid w:val="746F1621"/>
    <w:rsid w:val="746FCC2C"/>
    <w:rsid w:val="746FCFC3"/>
    <w:rsid w:val="74702C73"/>
    <w:rsid w:val="7471C42E"/>
    <w:rsid w:val="7471FCB8"/>
    <w:rsid w:val="7472DAA9"/>
    <w:rsid w:val="7472DDE5"/>
    <w:rsid w:val="747311BE"/>
    <w:rsid w:val="74734D47"/>
    <w:rsid w:val="74739309"/>
    <w:rsid w:val="747427DB"/>
    <w:rsid w:val="74744378"/>
    <w:rsid w:val="74748272"/>
    <w:rsid w:val="7474AC08"/>
    <w:rsid w:val="74750296"/>
    <w:rsid w:val="7475D0E8"/>
    <w:rsid w:val="7475DAA7"/>
    <w:rsid w:val="747718FC"/>
    <w:rsid w:val="7478078B"/>
    <w:rsid w:val="74784642"/>
    <w:rsid w:val="74795517"/>
    <w:rsid w:val="747973FA"/>
    <w:rsid w:val="74797A8E"/>
    <w:rsid w:val="747B1B54"/>
    <w:rsid w:val="747B396B"/>
    <w:rsid w:val="747B4FEB"/>
    <w:rsid w:val="747B5913"/>
    <w:rsid w:val="747B6892"/>
    <w:rsid w:val="747B68A1"/>
    <w:rsid w:val="747CBC7F"/>
    <w:rsid w:val="747D87F3"/>
    <w:rsid w:val="747D94DF"/>
    <w:rsid w:val="747DD9A0"/>
    <w:rsid w:val="747E1AC8"/>
    <w:rsid w:val="747E1FC6"/>
    <w:rsid w:val="747E84A5"/>
    <w:rsid w:val="747EBA01"/>
    <w:rsid w:val="747ECBE9"/>
    <w:rsid w:val="74808B7B"/>
    <w:rsid w:val="748098DF"/>
    <w:rsid w:val="74816E72"/>
    <w:rsid w:val="7481AEC2"/>
    <w:rsid w:val="7481DC38"/>
    <w:rsid w:val="74824481"/>
    <w:rsid w:val="74827398"/>
    <w:rsid w:val="7482EAE3"/>
    <w:rsid w:val="74834342"/>
    <w:rsid w:val="74837E30"/>
    <w:rsid w:val="748384EE"/>
    <w:rsid w:val="7484156F"/>
    <w:rsid w:val="74846696"/>
    <w:rsid w:val="74848EE0"/>
    <w:rsid w:val="7484D9B6"/>
    <w:rsid w:val="748523D4"/>
    <w:rsid w:val="74857601"/>
    <w:rsid w:val="7485D8B9"/>
    <w:rsid w:val="7486F39B"/>
    <w:rsid w:val="748788CA"/>
    <w:rsid w:val="7488E196"/>
    <w:rsid w:val="7488E5F5"/>
    <w:rsid w:val="748940B7"/>
    <w:rsid w:val="748958AB"/>
    <w:rsid w:val="74898543"/>
    <w:rsid w:val="748A20D1"/>
    <w:rsid w:val="748A2B14"/>
    <w:rsid w:val="748AC9FC"/>
    <w:rsid w:val="748AF60A"/>
    <w:rsid w:val="748B5702"/>
    <w:rsid w:val="748BB222"/>
    <w:rsid w:val="748BF662"/>
    <w:rsid w:val="748DC861"/>
    <w:rsid w:val="748E473A"/>
    <w:rsid w:val="748ED4BD"/>
    <w:rsid w:val="748F1835"/>
    <w:rsid w:val="748F2CBD"/>
    <w:rsid w:val="748F4AC0"/>
    <w:rsid w:val="749067B0"/>
    <w:rsid w:val="74917FBB"/>
    <w:rsid w:val="74918470"/>
    <w:rsid w:val="7491D01E"/>
    <w:rsid w:val="7491F08C"/>
    <w:rsid w:val="74921547"/>
    <w:rsid w:val="749221BF"/>
    <w:rsid w:val="7492BD68"/>
    <w:rsid w:val="7492BDDF"/>
    <w:rsid w:val="7492BE49"/>
    <w:rsid w:val="74939A4A"/>
    <w:rsid w:val="74943075"/>
    <w:rsid w:val="7494CB80"/>
    <w:rsid w:val="7495301C"/>
    <w:rsid w:val="74954415"/>
    <w:rsid w:val="74955723"/>
    <w:rsid w:val="74956B12"/>
    <w:rsid w:val="749583CD"/>
    <w:rsid w:val="7495C914"/>
    <w:rsid w:val="7495D6BC"/>
    <w:rsid w:val="749684EA"/>
    <w:rsid w:val="74974A24"/>
    <w:rsid w:val="74974EC9"/>
    <w:rsid w:val="7497C742"/>
    <w:rsid w:val="7497DE2C"/>
    <w:rsid w:val="74992949"/>
    <w:rsid w:val="74995026"/>
    <w:rsid w:val="74995271"/>
    <w:rsid w:val="7499F2BC"/>
    <w:rsid w:val="749B42D4"/>
    <w:rsid w:val="749BF365"/>
    <w:rsid w:val="749BFEB4"/>
    <w:rsid w:val="749C4B60"/>
    <w:rsid w:val="749CA34F"/>
    <w:rsid w:val="749CA48F"/>
    <w:rsid w:val="749D0292"/>
    <w:rsid w:val="749DA8D9"/>
    <w:rsid w:val="749EC002"/>
    <w:rsid w:val="749F7A90"/>
    <w:rsid w:val="749F83C7"/>
    <w:rsid w:val="749FF228"/>
    <w:rsid w:val="74A08CF7"/>
    <w:rsid w:val="74A08EA0"/>
    <w:rsid w:val="74A0E1AC"/>
    <w:rsid w:val="74A11978"/>
    <w:rsid w:val="74A1EB7A"/>
    <w:rsid w:val="74A1F977"/>
    <w:rsid w:val="74A30612"/>
    <w:rsid w:val="74A35F35"/>
    <w:rsid w:val="74A37CDB"/>
    <w:rsid w:val="74A46472"/>
    <w:rsid w:val="74A5BFC5"/>
    <w:rsid w:val="74A604E7"/>
    <w:rsid w:val="74A6500B"/>
    <w:rsid w:val="74A68D58"/>
    <w:rsid w:val="74A6CE2A"/>
    <w:rsid w:val="74A8BC61"/>
    <w:rsid w:val="74A8E21C"/>
    <w:rsid w:val="74A8F7C0"/>
    <w:rsid w:val="74A91D77"/>
    <w:rsid w:val="74A94378"/>
    <w:rsid w:val="74A956F4"/>
    <w:rsid w:val="74A98D20"/>
    <w:rsid w:val="74A9937D"/>
    <w:rsid w:val="74A99C8B"/>
    <w:rsid w:val="74A9B541"/>
    <w:rsid w:val="74A9D022"/>
    <w:rsid w:val="74AA9193"/>
    <w:rsid w:val="74AB6ABC"/>
    <w:rsid w:val="74AC6B91"/>
    <w:rsid w:val="74AC9FC0"/>
    <w:rsid w:val="74ACDB68"/>
    <w:rsid w:val="74AE769F"/>
    <w:rsid w:val="74AECC55"/>
    <w:rsid w:val="74AECDA1"/>
    <w:rsid w:val="74AF96B4"/>
    <w:rsid w:val="74AF9FEE"/>
    <w:rsid w:val="74AFED1B"/>
    <w:rsid w:val="74B175F1"/>
    <w:rsid w:val="74B1AFE9"/>
    <w:rsid w:val="74B267C0"/>
    <w:rsid w:val="74B28CA4"/>
    <w:rsid w:val="74B2B528"/>
    <w:rsid w:val="74B2B9FB"/>
    <w:rsid w:val="74B2C517"/>
    <w:rsid w:val="74B352EF"/>
    <w:rsid w:val="74B4BDDC"/>
    <w:rsid w:val="74B4F59C"/>
    <w:rsid w:val="74B4F974"/>
    <w:rsid w:val="74B53EBC"/>
    <w:rsid w:val="74B5A962"/>
    <w:rsid w:val="74B7897A"/>
    <w:rsid w:val="74B7C435"/>
    <w:rsid w:val="74B7D5DE"/>
    <w:rsid w:val="74B86417"/>
    <w:rsid w:val="74B8C920"/>
    <w:rsid w:val="74B90C6A"/>
    <w:rsid w:val="74B96F50"/>
    <w:rsid w:val="74B99B8D"/>
    <w:rsid w:val="74B9AE4E"/>
    <w:rsid w:val="74BA0AE7"/>
    <w:rsid w:val="74BA6ABB"/>
    <w:rsid w:val="74BAB060"/>
    <w:rsid w:val="74BAC098"/>
    <w:rsid w:val="74BB16F4"/>
    <w:rsid w:val="74BB5656"/>
    <w:rsid w:val="74BC54D4"/>
    <w:rsid w:val="74BCAC8C"/>
    <w:rsid w:val="74BDF409"/>
    <w:rsid w:val="74BE838F"/>
    <w:rsid w:val="74BF738A"/>
    <w:rsid w:val="74BF8896"/>
    <w:rsid w:val="74C10EC4"/>
    <w:rsid w:val="74C27F99"/>
    <w:rsid w:val="74C2B8AA"/>
    <w:rsid w:val="74C3B91B"/>
    <w:rsid w:val="74C3E5E9"/>
    <w:rsid w:val="74C3F0DA"/>
    <w:rsid w:val="74C3F26D"/>
    <w:rsid w:val="74C52BF5"/>
    <w:rsid w:val="74C5F5A5"/>
    <w:rsid w:val="74C5F6D9"/>
    <w:rsid w:val="74C62BF5"/>
    <w:rsid w:val="74C6796F"/>
    <w:rsid w:val="74C73442"/>
    <w:rsid w:val="74C78775"/>
    <w:rsid w:val="74C7B71F"/>
    <w:rsid w:val="74C87F31"/>
    <w:rsid w:val="74C89704"/>
    <w:rsid w:val="74C8F2BC"/>
    <w:rsid w:val="74C994B8"/>
    <w:rsid w:val="74CA1834"/>
    <w:rsid w:val="74CA9AD3"/>
    <w:rsid w:val="74CC1992"/>
    <w:rsid w:val="74CCBC57"/>
    <w:rsid w:val="74CE11BA"/>
    <w:rsid w:val="74CE4F26"/>
    <w:rsid w:val="74CE75C3"/>
    <w:rsid w:val="74CFFC0B"/>
    <w:rsid w:val="74D05904"/>
    <w:rsid w:val="74D0971F"/>
    <w:rsid w:val="74D1464B"/>
    <w:rsid w:val="74D26222"/>
    <w:rsid w:val="74D32729"/>
    <w:rsid w:val="74D339A9"/>
    <w:rsid w:val="74D3CB3B"/>
    <w:rsid w:val="74D3CE7B"/>
    <w:rsid w:val="74D3ED48"/>
    <w:rsid w:val="74D3FFD0"/>
    <w:rsid w:val="74D4A3E0"/>
    <w:rsid w:val="74D4F856"/>
    <w:rsid w:val="74D5D3A7"/>
    <w:rsid w:val="74D5EA62"/>
    <w:rsid w:val="74D5F276"/>
    <w:rsid w:val="74D71FC3"/>
    <w:rsid w:val="74D776C3"/>
    <w:rsid w:val="74D847B0"/>
    <w:rsid w:val="74D8B17D"/>
    <w:rsid w:val="74D8F47F"/>
    <w:rsid w:val="74D9A4C9"/>
    <w:rsid w:val="74D9BF8B"/>
    <w:rsid w:val="74D9E2CD"/>
    <w:rsid w:val="74DA09A5"/>
    <w:rsid w:val="74DA85CD"/>
    <w:rsid w:val="74DB0E37"/>
    <w:rsid w:val="74DB57FC"/>
    <w:rsid w:val="74DB7F8E"/>
    <w:rsid w:val="74DBCB54"/>
    <w:rsid w:val="74DC269D"/>
    <w:rsid w:val="74DC397E"/>
    <w:rsid w:val="74DC63ED"/>
    <w:rsid w:val="74DD592E"/>
    <w:rsid w:val="74DDB534"/>
    <w:rsid w:val="74DDB99A"/>
    <w:rsid w:val="74DDBBFF"/>
    <w:rsid w:val="74DDBF28"/>
    <w:rsid w:val="74DEBD16"/>
    <w:rsid w:val="74DF3763"/>
    <w:rsid w:val="74DF4953"/>
    <w:rsid w:val="74DF79F5"/>
    <w:rsid w:val="74DF99EB"/>
    <w:rsid w:val="74DFD0F2"/>
    <w:rsid w:val="74DFD84D"/>
    <w:rsid w:val="74E0F0D4"/>
    <w:rsid w:val="74E1124A"/>
    <w:rsid w:val="74E14831"/>
    <w:rsid w:val="74E1787A"/>
    <w:rsid w:val="74E2D94F"/>
    <w:rsid w:val="74E34DEB"/>
    <w:rsid w:val="74E38AB5"/>
    <w:rsid w:val="74E3E860"/>
    <w:rsid w:val="74E459BA"/>
    <w:rsid w:val="74E4A3EB"/>
    <w:rsid w:val="74E4A924"/>
    <w:rsid w:val="74E60364"/>
    <w:rsid w:val="74E6487A"/>
    <w:rsid w:val="74E68F77"/>
    <w:rsid w:val="74E69EF1"/>
    <w:rsid w:val="74E6B8C5"/>
    <w:rsid w:val="74E6DD6C"/>
    <w:rsid w:val="74E86766"/>
    <w:rsid w:val="74E86D72"/>
    <w:rsid w:val="74E875E6"/>
    <w:rsid w:val="74E89D69"/>
    <w:rsid w:val="74E8C8A8"/>
    <w:rsid w:val="74E8CC68"/>
    <w:rsid w:val="74E8CF05"/>
    <w:rsid w:val="74E98567"/>
    <w:rsid w:val="74EA0901"/>
    <w:rsid w:val="74EA5D23"/>
    <w:rsid w:val="74EB15BB"/>
    <w:rsid w:val="74ECA37F"/>
    <w:rsid w:val="74ED1D90"/>
    <w:rsid w:val="74ED2719"/>
    <w:rsid w:val="74ED4B4E"/>
    <w:rsid w:val="74ED6E9A"/>
    <w:rsid w:val="74EE0BA3"/>
    <w:rsid w:val="74EF904D"/>
    <w:rsid w:val="74EFC1F5"/>
    <w:rsid w:val="74EFEBEA"/>
    <w:rsid w:val="74F0839D"/>
    <w:rsid w:val="74F0DA3D"/>
    <w:rsid w:val="74F1938C"/>
    <w:rsid w:val="74F1A643"/>
    <w:rsid w:val="74F386A3"/>
    <w:rsid w:val="74F4343E"/>
    <w:rsid w:val="74F66C1C"/>
    <w:rsid w:val="74F679C8"/>
    <w:rsid w:val="74F68949"/>
    <w:rsid w:val="74F6CD48"/>
    <w:rsid w:val="74F6F142"/>
    <w:rsid w:val="74F7038A"/>
    <w:rsid w:val="74F764E7"/>
    <w:rsid w:val="74F8568B"/>
    <w:rsid w:val="74F891D6"/>
    <w:rsid w:val="74F910C7"/>
    <w:rsid w:val="74F9F410"/>
    <w:rsid w:val="74FA3424"/>
    <w:rsid w:val="74FB1218"/>
    <w:rsid w:val="74FB19C1"/>
    <w:rsid w:val="74FB48CC"/>
    <w:rsid w:val="74FCEA9D"/>
    <w:rsid w:val="74FD325C"/>
    <w:rsid w:val="74FD6C3E"/>
    <w:rsid w:val="74FE1527"/>
    <w:rsid w:val="74FE5B64"/>
    <w:rsid w:val="74FED028"/>
    <w:rsid w:val="74FF0E14"/>
    <w:rsid w:val="74FF9AA4"/>
    <w:rsid w:val="74FFDFDE"/>
    <w:rsid w:val="74FFEE1B"/>
    <w:rsid w:val="75005078"/>
    <w:rsid w:val="750059F0"/>
    <w:rsid w:val="7501131A"/>
    <w:rsid w:val="7501161E"/>
    <w:rsid w:val="75029F7A"/>
    <w:rsid w:val="7502B111"/>
    <w:rsid w:val="7503F9D8"/>
    <w:rsid w:val="750432CD"/>
    <w:rsid w:val="75046129"/>
    <w:rsid w:val="75048202"/>
    <w:rsid w:val="7505205D"/>
    <w:rsid w:val="750534D6"/>
    <w:rsid w:val="7505CB6B"/>
    <w:rsid w:val="75062134"/>
    <w:rsid w:val="7506312C"/>
    <w:rsid w:val="75063BEE"/>
    <w:rsid w:val="75064CC7"/>
    <w:rsid w:val="7507EC97"/>
    <w:rsid w:val="7507FA01"/>
    <w:rsid w:val="750877F7"/>
    <w:rsid w:val="7508A047"/>
    <w:rsid w:val="7509D46F"/>
    <w:rsid w:val="750AE8F2"/>
    <w:rsid w:val="750C5920"/>
    <w:rsid w:val="750CE5C9"/>
    <w:rsid w:val="750D0941"/>
    <w:rsid w:val="750E3AEE"/>
    <w:rsid w:val="750EE712"/>
    <w:rsid w:val="750FA8A5"/>
    <w:rsid w:val="750FDF35"/>
    <w:rsid w:val="75109832"/>
    <w:rsid w:val="7511C4E7"/>
    <w:rsid w:val="7511D1AD"/>
    <w:rsid w:val="75125F87"/>
    <w:rsid w:val="7512EA3C"/>
    <w:rsid w:val="7513A059"/>
    <w:rsid w:val="7513C8B2"/>
    <w:rsid w:val="751437B7"/>
    <w:rsid w:val="75148756"/>
    <w:rsid w:val="751554B3"/>
    <w:rsid w:val="7516FB4D"/>
    <w:rsid w:val="75172E31"/>
    <w:rsid w:val="75186942"/>
    <w:rsid w:val="751884C0"/>
    <w:rsid w:val="7518E619"/>
    <w:rsid w:val="751AD503"/>
    <w:rsid w:val="751AF712"/>
    <w:rsid w:val="751B2294"/>
    <w:rsid w:val="751B6665"/>
    <w:rsid w:val="751B95D5"/>
    <w:rsid w:val="751BCFE9"/>
    <w:rsid w:val="751C9CEC"/>
    <w:rsid w:val="751D7C8D"/>
    <w:rsid w:val="751DC6B8"/>
    <w:rsid w:val="751DF505"/>
    <w:rsid w:val="751E2CE0"/>
    <w:rsid w:val="751F2667"/>
    <w:rsid w:val="751F6C58"/>
    <w:rsid w:val="751F8B8A"/>
    <w:rsid w:val="751FA860"/>
    <w:rsid w:val="751FDE7C"/>
    <w:rsid w:val="751FFC91"/>
    <w:rsid w:val="75205796"/>
    <w:rsid w:val="7520694B"/>
    <w:rsid w:val="7520ACE9"/>
    <w:rsid w:val="75211678"/>
    <w:rsid w:val="75215BB0"/>
    <w:rsid w:val="7521AFBC"/>
    <w:rsid w:val="75225FFC"/>
    <w:rsid w:val="75239CAF"/>
    <w:rsid w:val="75241ED8"/>
    <w:rsid w:val="7524995D"/>
    <w:rsid w:val="7524C86A"/>
    <w:rsid w:val="75254BF9"/>
    <w:rsid w:val="75256200"/>
    <w:rsid w:val="7525B39B"/>
    <w:rsid w:val="7526D359"/>
    <w:rsid w:val="7526FA74"/>
    <w:rsid w:val="75279AF4"/>
    <w:rsid w:val="752994DC"/>
    <w:rsid w:val="7529CBCA"/>
    <w:rsid w:val="752B003B"/>
    <w:rsid w:val="752B3694"/>
    <w:rsid w:val="752B669B"/>
    <w:rsid w:val="752C2D5C"/>
    <w:rsid w:val="752C9276"/>
    <w:rsid w:val="752CE0BE"/>
    <w:rsid w:val="752D0209"/>
    <w:rsid w:val="752D5B53"/>
    <w:rsid w:val="752DFE5D"/>
    <w:rsid w:val="752F5096"/>
    <w:rsid w:val="75305412"/>
    <w:rsid w:val="75307E19"/>
    <w:rsid w:val="7530F9CE"/>
    <w:rsid w:val="75312C7A"/>
    <w:rsid w:val="7531953F"/>
    <w:rsid w:val="7531F3FF"/>
    <w:rsid w:val="7532E22C"/>
    <w:rsid w:val="75330216"/>
    <w:rsid w:val="7533405F"/>
    <w:rsid w:val="75338353"/>
    <w:rsid w:val="7533A6DB"/>
    <w:rsid w:val="75345E04"/>
    <w:rsid w:val="75355FC6"/>
    <w:rsid w:val="75356586"/>
    <w:rsid w:val="7535C169"/>
    <w:rsid w:val="7535D8B7"/>
    <w:rsid w:val="753796BF"/>
    <w:rsid w:val="75384F3A"/>
    <w:rsid w:val="7538C1A0"/>
    <w:rsid w:val="75392BD6"/>
    <w:rsid w:val="75393F88"/>
    <w:rsid w:val="75394079"/>
    <w:rsid w:val="7539D991"/>
    <w:rsid w:val="7539FD93"/>
    <w:rsid w:val="753A4D77"/>
    <w:rsid w:val="753B1EE7"/>
    <w:rsid w:val="753BDCEB"/>
    <w:rsid w:val="753C2021"/>
    <w:rsid w:val="753CDB39"/>
    <w:rsid w:val="753CE31D"/>
    <w:rsid w:val="753D1EDB"/>
    <w:rsid w:val="753D3494"/>
    <w:rsid w:val="753DC960"/>
    <w:rsid w:val="753DD76D"/>
    <w:rsid w:val="753DFABE"/>
    <w:rsid w:val="753E6148"/>
    <w:rsid w:val="753FC598"/>
    <w:rsid w:val="75400C4B"/>
    <w:rsid w:val="75411E85"/>
    <w:rsid w:val="75416AB5"/>
    <w:rsid w:val="75419C21"/>
    <w:rsid w:val="7541BE25"/>
    <w:rsid w:val="7542EE99"/>
    <w:rsid w:val="754312F9"/>
    <w:rsid w:val="75438249"/>
    <w:rsid w:val="75445B7C"/>
    <w:rsid w:val="7544D8C7"/>
    <w:rsid w:val="75466199"/>
    <w:rsid w:val="7546CC19"/>
    <w:rsid w:val="7546E8D6"/>
    <w:rsid w:val="75479537"/>
    <w:rsid w:val="75479E03"/>
    <w:rsid w:val="75480A9F"/>
    <w:rsid w:val="754916A3"/>
    <w:rsid w:val="754A1711"/>
    <w:rsid w:val="754A631A"/>
    <w:rsid w:val="754A9ACC"/>
    <w:rsid w:val="754BD699"/>
    <w:rsid w:val="754C93D3"/>
    <w:rsid w:val="754CFF7B"/>
    <w:rsid w:val="754D52BB"/>
    <w:rsid w:val="754E4DA5"/>
    <w:rsid w:val="754E5B01"/>
    <w:rsid w:val="754EFB2A"/>
    <w:rsid w:val="754F2EE7"/>
    <w:rsid w:val="754FE197"/>
    <w:rsid w:val="75501159"/>
    <w:rsid w:val="75503706"/>
    <w:rsid w:val="755103B5"/>
    <w:rsid w:val="75513515"/>
    <w:rsid w:val="7551EA24"/>
    <w:rsid w:val="75522DAF"/>
    <w:rsid w:val="75539085"/>
    <w:rsid w:val="7553E9F3"/>
    <w:rsid w:val="7553F180"/>
    <w:rsid w:val="7554AE9D"/>
    <w:rsid w:val="7554D833"/>
    <w:rsid w:val="75553F55"/>
    <w:rsid w:val="75554F77"/>
    <w:rsid w:val="7555B3C9"/>
    <w:rsid w:val="7555EB47"/>
    <w:rsid w:val="755675B4"/>
    <w:rsid w:val="755693CD"/>
    <w:rsid w:val="7557E78B"/>
    <w:rsid w:val="7557F108"/>
    <w:rsid w:val="7558F263"/>
    <w:rsid w:val="7559885F"/>
    <w:rsid w:val="7559C32E"/>
    <w:rsid w:val="7559EF8F"/>
    <w:rsid w:val="755A7D1B"/>
    <w:rsid w:val="755B5B67"/>
    <w:rsid w:val="755B9EE0"/>
    <w:rsid w:val="755C0CE9"/>
    <w:rsid w:val="755CB1BD"/>
    <w:rsid w:val="755CB301"/>
    <w:rsid w:val="755D0182"/>
    <w:rsid w:val="755DAAB5"/>
    <w:rsid w:val="755DEC9D"/>
    <w:rsid w:val="755F12FB"/>
    <w:rsid w:val="755F43A0"/>
    <w:rsid w:val="755FE080"/>
    <w:rsid w:val="75610421"/>
    <w:rsid w:val="75611D64"/>
    <w:rsid w:val="7561BF7B"/>
    <w:rsid w:val="7562123F"/>
    <w:rsid w:val="756286F5"/>
    <w:rsid w:val="75633E09"/>
    <w:rsid w:val="75635763"/>
    <w:rsid w:val="756367EC"/>
    <w:rsid w:val="75639A90"/>
    <w:rsid w:val="7563D354"/>
    <w:rsid w:val="7563F0A8"/>
    <w:rsid w:val="7564A48B"/>
    <w:rsid w:val="7564FE25"/>
    <w:rsid w:val="7566A665"/>
    <w:rsid w:val="7566C685"/>
    <w:rsid w:val="7566DBDF"/>
    <w:rsid w:val="7566E4C2"/>
    <w:rsid w:val="7566F7BA"/>
    <w:rsid w:val="75674282"/>
    <w:rsid w:val="75674827"/>
    <w:rsid w:val="7568ECE0"/>
    <w:rsid w:val="75690F93"/>
    <w:rsid w:val="75695F69"/>
    <w:rsid w:val="756B02C1"/>
    <w:rsid w:val="756B87DA"/>
    <w:rsid w:val="756B98B7"/>
    <w:rsid w:val="756BA87A"/>
    <w:rsid w:val="756C2A53"/>
    <w:rsid w:val="756C989E"/>
    <w:rsid w:val="756DF154"/>
    <w:rsid w:val="756E26E7"/>
    <w:rsid w:val="756E6E2C"/>
    <w:rsid w:val="756F9661"/>
    <w:rsid w:val="7570484C"/>
    <w:rsid w:val="75705812"/>
    <w:rsid w:val="75706555"/>
    <w:rsid w:val="75711B3E"/>
    <w:rsid w:val="7571B044"/>
    <w:rsid w:val="7571DCF2"/>
    <w:rsid w:val="757282B2"/>
    <w:rsid w:val="7572E9CC"/>
    <w:rsid w:val="75733A07"/>
    <w:rsid w:val="75733B59"/>
    <w:rsid w:val="75745D7A"/>
    <w:rsid w:val="75746875"/>
    <w:rsid w:val="7574A28C"/>
    <w:rsid w:val="75753923"/>
    <w:rsid w:val="7575F5F9"/>
    <w:rsid w:val="75761870"/>
    <w:rsid w:val="75763F50"/>
    <w:rsid w:val="757690D5"/>
    <w:rsid w:val="75775AE2"/>
    <w:rsid w:val="757837DE"/>
    <w:rsid w:val="7578B36C"/>
    <w:rsid w:val="75790B22"/>
    <w:rsid w:val="757951BE"/>
    <w:rsid w:val="7579F238"/>
    <w:rsid w:val="757A902B"/>
    <w:rsid w:val="757ACECE"/>
    <w:rsid w:val="757AD27D"/>
    <w:rsid w:val="757B1DF3"/>
    <w:rsid w:val="757B5D96"/>
    <w:rsid w:val="757BE6FF"/>
    <w:rsid w:val="757C6AB6"/>
    <w:rsid w:val="757CE0E3"/>
    <w:rsid w:val="757D0326"/>
    <w:rsid w:val="757F178E"/>
    <w:rsid w:val="757F3088"/>
    <w:rsid w:val="757F79A2"/>
    <w:rsid w:val="757F86C1"/>
    <w:rsid w:val="757F8F32"/>
    <w:rsid w:val="75811035"/>
    <w:rsid w:val="7581A19D"/>
    <w:rsid w:val="7581A32E"/>
    <w:rsid w:val="7581ED78"/>
    <w:rsid w:val="75825B6F"/>
    <w:rsid w:val="7582F648"/>
    <w:rsid w:val="7584AFD8"/>
    <w:rsid w:val="7584F86E"/>
    <w:rsid w:val="75854ACF"/>
    <w:rsid w:val="75860FE3"/>
    <w:rsid w:val="758618ED"/>
    <w:rsid w:val="7586C62A"/>
    <w:rsid w:val="75875ED5"/>
    <w:rsid w:val="7587ACE1"/>
    <w:rsid w:val="7588F158"/>
    <w:rsid w:val="758A0BCB"/>
    <w:rsid w:val="758C50BC"/>
    <w:rsid w:val="758CA38D"/>
    <w:rsid w:val="758CE1A6"/>
    <w:rsid w:val="758DACE6"/>
    <w:rsid w:val="758E1249"/>
    <w:rsid w:val="758ED705"/>
    <w:rsid w:val="758ED79A"/>
    <w:rsid w:val="758F467A"/>
    <w:rsid w:val="758F4877"/>
    <w:rsid w:val="758FF75B"/>
    <w:rsid w:val="75901D1A"/>
    <w:rsid w:val="7590FEA8"/>
    <w:rsid w:val="75917F2A"/>
    <w:rsid w:val="759192D3"/>
    <w:rsid w:val="759199EC"/>
    <w:rsid w:val="7591D3A5"/>
    <w:rsid w:val="759249C1"/>
    <w:rsid w:val="75925644"/>
    <w:rsid w:val="75927679"/>
    <w:rsid w:val="7592902F"/>
    <w:rsid w:val="7592ADB1"/>
    <w:rsid w:val="75938D7C"/>
    <w:rsid w:val="7593CBE0"/>
    <w:rsid w:val="75942E2C"/>
    <w:rsid w:val="759438F7"/>
    <w:rsid w:val="75943FB2"/>
    <w:rsid w:val="7594A645"/>
    <w:rsid w:val="7594D423"/>
    <w:rsid w:val="7594E437"/>
    <w:rsid w:val="75955B62"/>
    <w:rsid w:val="759569BF"/>
    <w:rsid w:val="75957060"/>
    <w:rsid w:val="7595C99D"/>
    <w:rsid w:val="7596AC49"/>
    <w:rsid w:val="7597381A"/>
    <w:rsid w:val="75987450"/>
    <w:rsid w:val="7598B732"/>
    <w:rsid w:val="759937FA"/>
    <w:rsid w:val="759AA477"/>
    <w:rsid w:val="759AB536"/>
    <w:rsid w:val="759B6629"/>
    <w:rsid w:val="759B9F67"/>
    <w:rsid w:val="759C23E0"/>
    <w:rsid w:val="759DEC5E"/>
    <w:rsid w:val="759DEE4C"/>
    <w:rsid w:val="759E3E58"/>
    <w:rsid w:val="759E4428"/>
    <w:rsid w:val="759E61C9"/>
    <w:rsid w:val="759EAD6A"/>
    <w:rsid w:val="759EB6A5"/>
    <w:rsid w:val="759F94FF"/>
    <w:rsid w:val="75A044F8"/>
    <w:rsid w:val="75A0DAE2"/>
    <w:rsid w:val="75A1AD05"/>
    <w:rsid w:val="75A1F433"/>
    <w:rsid w:val="75A1FC1D"/>
    <w:rsid w:val="75A20AB9"/>
    <w:rsid w:val="75A2A9A9"/>
    <w:rsid w:val="75A3030C"/>
    <w:rsid w:val="75A3255A"/>
    <w:rsid w:val="75A367CB"/>
    <w:rsid w:val="75A39CF0"/>
    <w:rsid w:val="75A3ED41"/>
    <w:rsid w:val="75A481AB"/>
    <w:rsid w:val="75A49DB8"/>
    <w:rsid w:val="75A54F23"/>
    <w:rsid w:val="75A5BAED"/>
    <w:rsid w:val="75A70290"/>
    <w:rsid w:val="75A707F7"/>
    <w:rsid w:val="75A74066"/>
    <w:rsid w:val="75A78CA4"/>
    <w:rsid w:val="75A83C2D"/>
    <w:rsid w:val="75A86C60"/>
    <w:rsid w:val="75A91EA2"/>
    <w:rsid w:val="75A98138"/>
    <w:rsid w:val="75A98DA0"/>
    <w:rsid w:val="75A98ED5"/>
    <w:rsid w:val="75AA6DEF"/>
    <w:rsid w:val="75ABAA1E"/>
    <w:rsid w:val="75ABCC4D"/>
    <w:rsid w:val="75AC0867"/>
    <w:rsid w:val="75ACA3D1"/>
    <w:rsid w:val="75ACA964"/>
    <w:rsid w:val="75AD5A53"/>
    <w:rsid w:val="75AD9638"/>
    <w:rsid w:val="75ADB1B9"/>
    <w:rsid w:val="75AE59C9"/>
    <w:rsid w:val="75AECE1D"/>
    <w:rsid w:val="75AEFD8E"/>
    <w:rsid w:val="75AF9A8B"/>
    <w:rsid w:val="75B00F6D"/>
    <w:rsid w:val="75B0BF66"/>
    <w:rsid w:val="75B0E697"/>
    <w:rsid w:val="75B226BF"/>
    <w:rsid w:val="75B279C6"/>
    <w:rsid w:val="75B2BF90"/>
    <w:rsid w:val="75B330C5"/>
    <w:rsid w:val="75B433B6"/>
    <w:rsid w:val="75B43E9F"/>
    <w:rsid w:val="75B44622"/>
    <w:rsid w:val="75B59D23"/>
    <w:rsid w:val="75B6DB03"/>
    <w:rsid w:val="75B75065"/>
    <w:rsid w:val="75B8F7FD"/>
    <w:rsid w:val="75B92D01"/>
    <w:rsid w:val="75B945C0"/>
    <w:rsid w:val="75B9502E"/>
    <w:rsid w:val="75B9C4DF"/>
    <w:rsid w:val="75BA0FA7"/>
    <w:rsid w:val="75BA2CE1"/>
    <w:rsid w:val="75BA8E3C"/>
    <w:rsid w:val="75BB878B"/>
    <w:rsid w:val="75BBC74C"/>
    <w:rsid w:val="75BCF5E6"/>
    <w:rsid w:val="75BD9554"/>
    <w:rsid w:val="75BE8D84"/>
    <w:rsid w:val="75BE931C"/>
    <w:rsid w:val="75BFFC66"/>
    <w:rsid w:val="75C06714"/>
    <w:rsid w:val="75C0BC93"/>
    <w:rsid w:val="75C10978"/>
    <w:rsid w:val="75C1BC98"/>
    <w:rsid w:val="75C2EDD5"/>
    <w:rsid w:val="75C2F771"/>
    <w:rsid w:val="75C39EBF"/>
    <w:rsid w:val="75C4C2A6"/>
    <w:rsid w:val="75C5E808"/>
    <w:rsid w:val="75C5F825"/>
    <w:rsid w:val="75C7C598"/>
    <w:rsid w:val="75C7F46F"/>
    <w:rsid w:val="75C90508"/>
    <w:rsid w:val="75C92617"/>
    <w:rsid w:val="75C9314B"/>
    <w:rsid w:val="75C94122"/>
    <w:rsid w:val="75C9F5CA"/>
    <w:rsid w:val="75CA12E7"/>
    <w:rsid w:val="75CA4D0D"/>
    <w:rsid w:val="75CBA439"/>
    <w:rsid w:val="75CCA66F"/>
    <w:rsid w:val="75CD1CEC"/>
    <w:rsid w:val="75CD6949"/>
    <w:rsid w:val="75CD82C2"/>
    <w:rsid w:val="75CDC342"/>
    <w:rsid w:val="75CDDB0A"/>
    <w:rsid w:val="75CDFF7D"/>
    <w:rsid w:val="75CEFF94"/>
    <w:rsid w:val="75CF8BC9"/>
    <w:rsid w:val="75D02772"/>
    <w:rsid w:val="75D0679F"/>
    <w:rsid w:val="75D0AB61"/>
    <w:rsid w:val="75D0D81F"/>
    <w:rsid w:val="75D16EC6"/>
    <w:rsid w:val="75D2D0F7"/>
    <w:rsid w:val="75D336DC"/>
    <w:rsid w:val="75D48B1B"/>
    <w:rsid w:val="75D4B0B0"/>
    <w:rsid w:val="75D4B3CD"/>
    <w:rsid w:val="75D557FF"/>
    <w:rsid w:val="75D690D8"/>
    <w:rsid w:val="75D7955F"/>
    <w:rsid w:val="75D8006E"/>
    <w:rsid w:val="75D84188"/>
    <w:rsid w:val="75D861E6"/>
    <w:rsid w:val="75D8D683"/>
    <w:rsid w:val="75D9352E"/>
    <w:rsid w:val="75DA96CF"/>
    <w:rsid w:val="75DB28A9"/>
    <w:rsid w:val="75DB2A1B"/>
    <w:rsid w:val="75DB793B"/>
    <w:rsid w:val="75DBA07E"/>
    <w:rsid w:val="75DC2294"/>
    <w:rsid w:val="75DC9369"/>
    <w:rsid w:val="75DE2622"/>
    <w:rsid w:val="75DEABB7"/>
    <w:rsid w:val="75DFCB8B"/>
    <w:rsid w:val="75E2882A"/>
    <w:rsid w:val="75E294F3"/>
    <w:rsid w:val="75E2ACEC"/>
    <w:rsid w:val="75E2E653"/>
    <w:rsid w:val="75E30249"/>
    <w:rsid w:val="75E3BA41"/>
    <w:rsid w:val="75E3C3E3"/>
    <w:rsid w:val="75E44064"/>
    <w:rsid w:val="75E49E57"/>
    <w:rsid w:val="75E54FFC"/>
    <w:rsid w:val="75E57524"/>
    <w:rsid w:val="75E58923"/>
    <w:rsid w:val="75E644E8"/>
    <w:rsid w:val="75E646A8"/>
    <w:rsid w:val="75E665D1"/>
    <w:rsid w:val="75E6ADDB"/>
    <w:rsid w:val="75E6C8CE"/>
    <w:rsid w:val="75E7778A"/>
    <w:rsid w:val="75E820BF"/>
    <w:rsid w:val="75E93C35"/>
    <w:rsid w:val="75E977E3"/>
    <w:rsid w:val="75EA96E8"/>
    <w:rsid w:val="75EAEE9F"/>
    <w:rsid w:val="75EB77A3"/>
    <w:rsid w:val="75EB9DD6"/>
    <w:rsid w:val="75EBE09B"/>
    <w:rsid w:val="75EDD41F"/>
    <w:rsid w:val="75EDFFD3"/>
    <w:rsid w:val="75EE376F"/>
    <w:rsid w:val="75EE5586"/>
    <w:rsid w:val="75EEE816"/>
    <w:rsid w:val="75EF7876"/>
    <w:rsid w:val="75EFD5BD"/>
    <w:rsid w:val="75F098AC"/>
    <w:rsid w:val="75F1CBF2"/>
    <w:rsid w:val="75F1FEE0"/>
    <w:rsid w:val="75F24FA4"/>
    <w:rsid w:val="75F32D17"/>
    <w:rsid w:val="75F389E1"/>
    <w:rsid w:val="75F3930F"/>
    <w:rsid w:val="75F40913"/>
    <w:rsid w:val="75F42BA3"/>
    <w:rsid w:val="75F467F5"/>
    <w:rsid w:val="75F4CAD5"/>
    <w:rsid w:val="75F500AC"/>
    <w:rsid w:val="75F5A82A"/>
    <w:rsid w:val="75F624B8"/>
    <w:rsid w:val="75F63CC9"/>
    <w:rsid w:val="75F640D6"/>
    <w:rsid w:val="75F66F2E"/>
    <w:rsid w:val="75F67AF1"/>
    <w:rsid w:val="75F6DC51"/>
    <w:rsid w:val="75F6F349"/>
    <w:rsid w:val="75F6FC8F"/>
    <w:rsid w:val="75F72BF2"/>
    <w:rsid w:val="75F72C5D"/>
    <w:rsid w:val="75F7A3B7"/>
    <w:rsid w:val="75F7EBD6"/>
    <w:rsid w:val="75F88E51"/>
    <w:rsid w:val="75F90A46"/>
    <w:rsid w:val="75FAAC64"/>
    <w:rsid w:val="75FBC89B"/>
    <w:rsid w:val="75FBF481"/>
    <w:rsid w:val="75FC7231"/>
    <w:rsid w:val="75FDD8AA"/>
    <w:rsid w:val="75FE20B8"/>
    <w:rsid w:val="75FE7FD8"/>
    <w:rsid w:val="7600B3FF"/>
    <w:rsid w:val="760196D8"/>
    <w:rsid w:val="76023493"/>
    <w:rsid w:val="760275DA"/>
    <w:rsid w:val="760284D7"/>
    <w:rsid w:val="7603139C"/>
    <w:rsid w:val="76031BF1"/>
    <w:rsid w:val="760342E3"/>
    <w:rsid w:val="760367D4"/>
    <w:rsid w:val="7603731A"/>
    <w:rsid w:val="76039C5D"/>
    <w:rsid w:val="76042D82"/>
    <w:rsid w:val="76043C65"/>
    <w:rsid w:val="760445D2"/>
    <w:rsid w:val="76056537"/>
    <w:rsid w:val="7606A8D2"/>
    <w:rsid w:val="7607A094"/>
    <w:rsid w:val="76084685"/>
    <w:rsid w:val="7608A75F"/>
    <w:rsid w:val="76092A68"/>
    <w:rsid w:val="7609F96C"/>
    <w:rsid w:val="760A9114"/>
    <w:rsid w:val="760BB5C5"/>
    <w:rsid w:val="760C22BB"/>
    <w:rsid w:val="760CB5D9"/>
    <w:rsid w:val="760D3EC5"/>
    <w:rsid w:val="760E401E"/>
    <w:rsid w:val="760E8785"/>
    <w:rsid w:val="760EBB37"/>
    <w:rsid w:val="760EBCD9"/>
    <w:rsid w:val="760F5C46"/>
    <w:rsid w:val="760F6EE4"/>
    <w:rsid w:val="760F7B57"/>
    <w:rsid w:val="760FFB66"/>
    <w:rsid w:val="76102533"/>
    <w:rsid w:val="76103D06"/>
    <w:rsid w:val="76104717"/>
    <w:rsid w:val="76108DDE"/>
    <w:rsid w:val="76114E71"/>
    <w:rsid w:val="7611F686"/>
    <w:rsid w:val="76127B87"/>
    <w:rsid w:val="7612C82F"/>
    <w:rsid w:val="7612EF1F"/>
    <w:rsid w:val="7613DF61"/>
    <w:rsid w:val="7615CA40"/>
    <w:rsid w:val="7615F22E"/>
    <w:rsid w:val="761605D8"/>
    <w:rsid w:val="76163DD7"/>
    <w:rsid w:val="7616426D"/>
    <w:rsid w:val="76168BC6"/>
    <w:rsid w:val="7616957E"/>
    <w:rsid w:val="76169750"/>
    <w:rsid w:val="7616A11C"/>
    <w:rsid w:val="7616D22C"/>
    <w:rsid w:val="761786B2"/>
    <w:rsid w:val="7617A41E"/>
    <w:rsid w:val="7617FCD4"/>
    <w:rsid w:val="7619A9B8"/>
    <w:rsid w:val="761A0D0D"/>
    <w:rsid w:val="761AA919"/>
    <w:rsid w:val="761B98C3"/>
    <w:rsid w:val="761B98CE"/>
    <w:rsid w:val="761BAA9F"/>
    <w:rsid w:val="761BEEF6"/>
    <w:rsid w:val="761C6400"/>
    <w:rsid w:val="761CC3BB"/>
    <w:rsid w:val="761D948E"/>
    <w:rsid w:val="761DA852"/>
    <w:rsid w:val="761ED16E"/>
    <w:rsid w:val="761EE583"/>
    <w:rsid w:val="761F1DE8"/>
    <w:rsid w:val="761F837E"/>
    <w:rsid w:val="761F8A88"/>
    <w:rsid w:val="761F8C24"/>
    <w:rsid w:val="7620019A"/>
    <w:rsid w:val="76200A7D"/>
    <w:rsid w:val="7620B018"/>
    <w:rsid w:val="7620C4B2"/>
    <w:rsid w:val="762177B1"/>
    <w:rsid w:val="76247CC0"/>
    <w:rsid w:val="7624BD31"/>
    <w:rsid w:val="76254972"/>
    <w:rsid w:val="762556EE"/>
    <w:rsid w:val="76259BB5"/>
    <w:rsid w:val="7625DBCF"/>
    <w:rsid w:val="762717DD"/>
    <w:rsid w:val="7627E7CA"/>
    <w:rsid w:val="7627F052"/>
    <w:rsid w:val="762828D7"/>
    <w:rsid w:val="76282DA7"/>
    <w:rsid w:val="7628B590"/>
    <w:rsid w:val="7628C98B"/>
    <w:rsid w:val="7629A25F"/>
    <w:rsid w:val="7629C520"/>
    <w:rsid w:val="762A0AA2"/>
    <w:rsid w:val="762A6CA4"/>
    <w:rsid w:val="762A73F8"/>
    <w:rsid w:val="762BAC48"/>
    <w:rsid w:val="762C1EAC"/>
    <w:rsid w:val="762C75F1"/>
    <w:rsid w:val="762CBAD8"/>
    <w:rsid w:val="762CE998"/>
    <w:rsid w:val="762D9AA4"/>
    <w:rsid w:val="762DAD99"/>
    <w:rsid w:val="762DD27B"/>
    <w:rsid w:val="762E3BB0"/>
    <w:rsid w:val="762E4353"/>
    <w:rsid w:val="762E9582"/>
    <w:rsid w:val="762F4651"/>
    <w:rsid w:val="762FB92C"/>
    <w:rsid w:val="762FFB9E"/>
    <w:rsid w:val="76302E02"/>
    <w:rsid w:val="763113B3"/>
    <w:rsid w:val="7631D0A3"/>
    <w:rsid w:val="7631D881"/>
    <w:rsid w:val="7631E52B"/>
    <w:rsid w:val="7631EF7D"/>
    <w:rsid w:val="763200C3"/>
    <w:rsid w:val="76320996"/>
    <w:rsid w:val="7632A1D9"/>
    <w:rsid w:val="7632B1B9"/>
    <w:rsid w:val="763352D7"/>
    <w:rsid w:val="76335A76"/>
    <w:rsid w:val="7633E285"/>
    <w:rsid w:val="763504AB"/>
    <w:rsid w:val="7635D407"/>
    <w:rsid w:val="76361035"/>
    <w:rsid w:val="7636649B"/>
    <w:rsid w:val="76366978"/>
    <w:rsid w:val="7636C2CA"/>
    <w:rsid w:val="76370F7B"/>
    <w:rsid w:val="76374693"/>
    <w:rsid w:val="76384AAE"/>
    <w:rsid w:val="76386DB5"/>
    <w:rsid w:val="7638A9E5"/>
    <w:rsid w:val="7638B9B2"/>
    <w:rsid w:val="763B9098"/>
    <w:rsid w:val="763BCC97"/>
    <w:rsid w:val="763C14D7"/>
    <w:rsid w:val="763C6274"/>
    <w:rsid w:val="763C672C"/>
    <w:rsid w:val="763CC99E"/>
    <w:rsid w:val="763CF9BF"/>
    <w:rsid w:val="763CFECF"/>
    <w:rsid w:val="763D20B6"/>
    <w:rsid w:val="763DA8C0"/>
    <w:rsid w:val="763DADAA"/>
    <w:rsid w:val="763DC043"/>
    <w:rsid w:val="763F1781"/>
    <w:rsid w:val="764046DE"/>
    <w:rsid w:val="76413ED5"/>
    <w:rsid w:val="76415175"/>
    <w:rsid w:val="7642BA87"/>
    <w:rsid w:val="7642D51B"/>
    <w:rsid w:val="7643DAF8"/>
    <w:rsid w:val="764511BD"/>
    <w:rsid w:val="76451D9D"/>
    <w:rsid w:val="764533F6"/>
    <w:rsid w:val="7646C24B"/>
    <w:rsid w:val="76474E60"/>
    <w:rsid w:val="76480F1E"/>
    <w:rsid w:val="764829FF"/>
    <w:rsid w:val="76487976"/>
    <w:rsid w:val="76489FB9"/>
    <w:rsid w:val="764A5FAF"/>
    <w:rsid w:val="764AF9B5"/>
    <w:rsid w:val="764B54D2"/>
    <w:rsid w:val="764BF880"/>
    <w:rsid w:val="764C1532"/>
    <w:rsid w:val="764CC6AC"/>
    <w:rsid w:val="764DF08A"/>
    <w:rsid w:val="764E5047"/>
    <w:rsid w:val="764E54B1"/>
    <w:rsid w:val="764ECBB5"/>
    <w:rsid w:val="764EE681"/>
    <w:rsid w:val="764EEC40"/>
    <w:rsid w:val="764EECEF"/>
    <w:rsid w:val="764F93C6"/>
    <w:rsid w:val="76505082"/>
    <w:rsid w:val="76515810"/>
    <w:rsid w:val="7651856D"/>
    <w:rsid w:val="765207FD"/>
    <w:rsid w:val="7652AC3C"/>
    <w:rsid w:val="7652DA36"/>
    <w:rsid w:val="76530085"/>
    <w:rsid w:val="76530970"/>
    <w:rsid w:val="76541051"/>
    <w:rsid w:val="76546D2F"/>
    <w:rsid w:val="7654F7C2"/>
    <w:rsid w:val="76554B03"/>
    <w:rsid w:val="76556E2C"/>
    <w:rsid w:val="7655CBAE"/>
    <w:rsid w:val="7656CFEB"/>
    <w:rsid w:val="765713CC"/>
    <w:rsid w:val="76573F1D"/>
    <w:rsid w:val="76584C21"/>
    <w:rsid w:val="76584E0F"/>
    <w:rsid w:val="76585251"/>
    <w:rsid w:val="7658EDC2"/>
    <w:rsid w:val="765A111E"/>
    <w:rsid w:val="765AE1EA"/>
    <w:rsid w:val="765AED61"/>
    <w:rsid w:val="765AF20D"/>
    <w:rsid w:val="765C2E13"/>
    <w:rsid w:val="765DA2E5"/>
    <w:rsid w:val="765DD070"/>
    <w:rsid w:val="765DF30A"/>
    <w:rsid w:val="765E0EDC"/>
    <w:rsid w:val="765E2991"/>
    <w:rsid w:val="765EF881"/>
    <w:rsid w:val="765F03AA"/>
    <w:rsid w:val="765F41EF"/>
    <w:rsid w:val="765F96E8"/>
    <w:rsid w:val="76609363"/>
    <w:rsid w:val="76609558"/>
    <w:rsid w:val="7660D75A"/>
    <w:rsid w:val="766144A8"/>
    <w:rsid w:val="76614D78"/>
    <w:rsid w:val="76622F80"/>
    <w:rsid w:val="7662882D"/>
    <w:rsid w:val="76637555"/>
    <w:rsid w:val="76638FE5"/>
    <w:rsid w:val="76643C6C"/>
    <w:rsid w:val="76667E9B"/>
    <w:rsid w:val="7666CB91"/>
    <w:rsid w:val="7667761E"/>
    <w:rsid w:val="766857AD"/>
    <w:rsid w:val="7668FF29"/>
    <w:rsid w:val="766917C0"/>
    <w:rsid w:val="76691BAE"/>
    <w:rsid w:val="7669EB3D"/>
    <w:rsid w:val="7669F292"/>
    <w:rsid w:val="7669F6DF"/>
    <w:rsid w:val="766AA4CF"/>
    <w:rsid w:val="766AB23B"/>
    <w:rsid w:val="766AEE8B"/>
    <w:rsid w:val="766B01BF"/>
    <w:rsid w:val="766BB55F"/>
    <w:rsid w:val="766C25FA"/>
    <w:rsid w:val="766C4EB4"/>
    <w:rsid w:val="766CD339"/>
    <w:rsid w:val="766D1905"/>
    <w:rsid w:val="766D7CE5"/>
    <w:rsid w:val="766E451D"/>
    <w:rsid w:val="766EDD20"/>
    <w:rsid w:val="766EE648"/>
    <w:rsid w:val="766F034C"/>
    <w:rsid w:val="766FB673"/>
    <w:rsid w:val="767257C5"/>
    <w:rsid w:val="767279CE"/>
    <w:rsid w:val="7672A22F"/>
    <w:rsid w:val="7672E7C6"/>
    <w:rsid w:val="767389C1"/>
    <w:rsid w:val="7674101A"/>
    <w:rsid w:val="76745CCF"/>
    <w:rsid w:val="76747AB2"/>
    <w:rsid w:val="767521A5"/>
    <w:rsid w:val="76756C04"/>
    <w:rsid w:val="7675B90B"/>
    <w:rsid w:val="7675CDA5"/>
    <w:rsid w:val="76769BAB"/>
    <w:rsid w:val="7676EC8F"/>
    <w:rsid w:val="7677F696"/>
    <w:rsid w:val="76785E5D"/>
    <w:rsid w:val="7678693A"/>
    <w:rsid w:val="76787D49"/>
    <w:rsid w:val="767890CE"/>
    <w:rsid w:val="7679252C"/>
    <w:rsid w:val="76798057"/>
    <w:rsid w:val="767A4BEE"/>
    <w:rsid w:val="767A893E"/>
    <w:rsid w:val="767B3073"/>
    <w:rsid w:val="767B4704"/>
    <w:rsid w:val="767C0501"/>
    <w:rsid w:val="767C3F6E"/>
    <w:rsid w:val="767CCDED"/>
    <w:rsid w:val="767DEBD1"/>
    <w:rsid w:val="767ED59B"/>
    <w:rsid w:val="767F884B"/>
    <w:rsid w:val="768059A7"/>
    <w:rsid w:val="7680E5CC"/>
    <w:rsid w:val="7680F0E2"/>
    <w:rsid w:val="76816504"/>
    <w:rsid w:val="7681D9A9"/>
    <w:rsid w:val="7682439A"/>
    <w:rsid w:val="768293BF"/>
    <w:rsid w:val="7682A85A"/>
    <w:rsid w:val="7683F552"/>
    <w:rsid w:val="76846D06"/>
    <w:rsid w:val="7684CDB3"/>
    <w:rsid w:val="76857C7C"/>
    <w:rsid w:val="7685CC00"/>
    <w:rsid w:val="7685E052"/>
    <w:rsid w:val="76865304"/>
    <w:rsid w:val="76877541"/>
    <w:rsid w:val="7687BED1"/>
    <w:rsid w:val="7687F514"/>
    <w:rsid w:val="76883D39"/>
    <w:rsid w:val="7688C767"/>
    <w:rsid w:val="7688E353"/>
    <w:rsid w:val="76895EC5"/>
    <w:rsid w:val="768981F0"/>
    <w:rsid w:val="76899A01"/>
    <w:rsid w:val="768A2CFB"/>
    <w:rsid w:val="768A4863"/>
    <w:rsid w:val="768A961B"/>
    <w:rsid w:val="768CA933"/>
    <w:rsid w:val="768D6142"/>
    <w:rsid w:val="768D7E5C"/>
    <w:rsid w:val="768D98F2"/>
    <w:rsid w:val="768DCA92"/>
    <w:rsid w:val="768E4BCB"/>
    <w:rsid w:val="768F502B"/>
    <w:rsid w:val="768FC3F5"/>
    <w:rsid w:val="768FD5BC"/>
    <w:rsid w:val="76902052"/>
    <w:rsid w:val="76903158"/>
    <w:rsid w:val="7690F674"/>
    <w:rsid w:val="769132E2"/>
    <w:rsid w:val="7691AE3D"/>
    <w:rsid w:val="76922859"/>
    <w:rsid w:val="7692B57A"/>
    <w:rsid w:val="769311F4"/>
    <w:rsid w:val="7693411E"/>
    <w:rsid w:val="7693A912"/>
    <w:rsid w:val="76949960"/>
    <w:rsid w:val="7694F123"/>
    <w:rsid w:val="76950E95"/>
    <w:rsid w:val="76951CF9"/>
    <w:rsid w:val="76955883"/>
    <w:rsid w:val="76957EC5"/>
    <w:rsid w:val="76964DCE"/>
    <w:rsid w:val="7696AB6A"/>
    <w:rsid w:val="76970C57"/>
    <w:rsid w:val="7697785B"/>
    <w:rsid w:val="76977AF5"/>
    <w:rsid w:val="7698D6D0"/>
    <w:rsid w:val="769B2D63"/>
    <w:rsid w:val="769B4726"/>
    <w:rsid w:val="769B6F40"/>
    <w:rsid w:val="769B7B63"/>
    <w:rsid w:val="769B8743"/>
    <w:rsid w:val="769BCDC9"/>
    <w:rsid w:val="769C65F0"/>
    <w:rsid w:val="769CE0CA"/>
    <w:rsid w:val="769D2455"/>
    <w:rsid w:val="769DE423"/>
    <w:rsid w:val="769E614A"/>
    <w:rsid w:val="769E6758"/>
    <w:rsid w:val="769EA437"/>
    <w:rsid w:val="769EBB36"/>
    <w:rsid w:val="769F0D6E"/>
    <w:rsid w:val="769F1377"/>
    <w:rsid w:val="769FB0D2"/>
    <w:rsid w:val="769FE1A8"/>
    <w:rsid w:val="76A03A70"/>
    <w:rsid w:val="76A05274"/>
    <w:rsid w:val="76A0797A"/>
    <w:rsid w:val="76A1507D"/>
    <w:rsid w:val="76A16094"/>
    <w:rsid w:val="76A1F6C5"/>
    <w:rsid w:val="76A23988"/>
    <w:rsid w:val="76A3009F"/>
    <w:rsid w:val="76A3AA57"/>
    <w:rsid w:val="76A3B8CA"/>
    <w:rsid w:val="76A3E369"/>
    <w:rsid w:val="76A464A8"/>
    <w:rsid w:val="76A4E65D"/>
    <w:rsid w:val="76A4E95E"/>
    <w:rsid w:val="76A4F1C5"/>
    <w:rsid w:val="76A5CA39"/>
    <w:rsid w:val="76A8E084"/>
    <w:rsid w:val="76A91875"/>
    <w:rsid w:val="76A940AF"/>
    <w:rsid w:val="76AAFE47"/>
    <w:rsid w:val="76AB2BBA"/>
    <w:rsid w:val="76AB5356"/>
    <w:rsid w:val="76ABBAB6"/>
    <w:rsid w:val="76AC4C2D"/>
    <w:rsid w:val="76AC5505"/>
    <w:rsid w:val="76AD3B41"/>
    <w:rsid w:val="76AE8FD1"/>
    <w:rsid w:val="76AEA356"/>
    <w:rsid w:val="76AF03FD"/>
    <w:rsid w:val="76AF3812"/>
    <w:rsid w:val="76AF890F"/>
    <w:rsid w:val="76AFB34E"/>
    <w:rsid w:val="76AFBD00"/>
    <w:rsid w:val="76AFEEEC"/>
    <w:rsid w:val="76B0469A"/>
    <w:rsid w:val="76B04AB7"/>
    <w:rsid w:val="76B16D21"/>
    <w:rsid w:val="76B1E463"/>
    <w:rsid w:val="76B242DC"/>
    <w:rsid w:val="76B29A60"/>
    <w:rsid w:val="76B311E1"/>
    <w:rsid w:val="76B3677A"/>
    <w:rsid w:val="76B4089F"/>
    <w:rsid w:val="76B46743"/>
    <w:rsid w:val="76B5CB69"/>
    <w:rsid w:val="76B5E482"/>
    <w:rsid w:val="76B5E9E3"/>
    <w:rsid w:val="76B658C1"/>
    <w:rsid w:val="76B6ED28"/>
    <w:rsid w:val="76B6FC17"/>
    <w:rsid w:val="76B7B035"/>
    <w:rsid w:val="76B815DE"/>
    <w:rsid w:val="76B867A4"/>
    <w:rsid w:val="76B88099"/>
    <w:rsid w:val="76B9A0D0"/>
    <w:rsid w:val="76BA4214"/>
    <w:rsid w:val="76BAEEB5"/>
    <w:rsid w:val="76BB3BC4"/>
    <w:rsid w:val="76BB6278"/>
    <w:rsid w:val="76BB79EA"/>
    <w:rsid w:val="76BBD154"/>
    <w:rsid w:val="76BC1C2B"/>
    <w:rsid w:val="76BC896D"/>
    <w:rsid w:val="76BC8FA3"/>
    <w:rsid w:val="76BD1052"/>
    <w:rsid w:val="76BD69A1"/>
    <w:rsid w:val="76BDC139"/>
    <w:rsid w:val="76BDCD92"/>
    <w:rsid w:val="76BDF888"/>
    <w:rsid w:val="76BE2C83"/>
    <w:rsid w:val="76BED518"/>
    <w:rsid w:val="76BED561"/>
    <w:rsid w:val="76BFECED"/>
    <w:rsid w:val="76C014BB"/>
    <w:rsid w:val="76C046F9"/>
    <w:rsid w:val="76C0C4B7"/>
    <w:rsid w:val="76C198DF"/>
    <w:rsid w:val="76C21080"/>
    <w:rsid w:val="76C24D63"/>
    <w:rsid w:val="76C254E5"/>
    <w:rsid w:val="76C299A3"/>
    <w:rsid w:val="76C2DA2C"/>
    <w:rsid w:val="76C334BC"/>
    <w:rsid w:val="76C33C49"/>
    <w:rsid w:val="76C3F45C"/>
    <w:rsid w:val="76C4544C"/>
    <w:rsid w:val="76C45E3D"/>
    <w:rsid w:val="76C506B0"/>
    <w:rsid w:val="76C5B00E"/>
    <w:rsid w:val="76C61D64"/>
    <w:rsid w:val="76C65392"/>
    <w:rsid w:val="76C6C7D4"/>
    <w:rsid w:val="76C6C817"/>
    <w:rsid w:val="76C7056A"/>
    <w:rsid w:val="76C7FFCE"/>
    <w:rsid w:val="76C871E9"/>
    <w:rsid w:val="76C898DD"/>
    <w:rsid w:val="76C89937"/>
    <w:rsid w:val="76C89C4F"/>
    <w:rsid w:val="76C9ACCE"/>
    <w:rsid w:val="76C9C695"/>
    <w:rsid w:val="76CA476D"/>
    <w:rsid w:val="76CA7C73"/>
    <w:rsid w:val="76CA82BD"/>
    <w:rsid w:val="76CAE707"/>
    <w:rsid w:val="76CB15FE"/>
    <w:rsid w:val="76CB2B69"/>
    <w:rsid w:val="76CB8B63"/>
    <w:rsid w:val="76CBC16B"/>
    <w:rsid w:val="76CBD8E8"/>
    <w:rsid w:val="76CF5673"/>
    <w:rsid w:val="76D00BF7"/>
    <w:rsid w:val="76D03250"/>
    <w:rsid w:val="76D0D8BB"/>
    <w:rsid w:val="76D100E7"/>
    <w:rsid w:val="76D121AB"/>
    <w:rsid w:val="76D17FC7"/>
    <w:rsid w:val="76D18D47"/>
    <w:rsid w:val="76D1D4A3"/>
    <w:rsid w:val="76D1EFF0"/>
    <w:rsid w:val="76D47CF4"/>
    <w:rsid w:val="76D52918"/>
    <w:rsid w:val="76D58518"/>
    <w:rsid w:val="76D66E8E"/>
    <w:rsid w:val="76D679F1"/>
    <w:rsid w:val="76D6B187"/>
    <w:rsid w:val="76D78945"/>
    <w:rsid w:val="76D8E393"/>
    <w:rsid w:val="76D95103"/>
    <w:rsid w:val="76DA012D"/>
    <w:rsid w:val="76DA6CC0"/>
    <w:rsid w:val="76DA8B96"/>
    <w:rsid w:val="76DC8499"/>
    <w:rsid w:val="76DC9EB7"/>
    <w:rsid w:val="76DCE1C6"/>
    <w:rsid w:val="76DCE28A"/>
    <w:rsid w:val="76DD0B1D"/>
    <w:rsid w:val="76DDE22B"/>
    <w:rsid w:val="76DEC5AF"/>
    <w:rsid w:val="76DF7E22"/>
    <w:rsid w:val="76E0FD84"/>
    <w:rsid w:val="76E19B3C"/>
    <w:rsid w:val="76E239AC"/>
    <w:rsid w:val="76E2B981"/>
    <w:rsid w:val="76E2B9AD"/>
    <w:rsid w:val="76E30FF0"/>
    <w:rsid w:val="76E39168"/>
    <w:rsid w:val="76E3AE32"/>
    <w:rsid w:val="76E486F3"/>
    <w:rsid w:val="76E4C532"/>
    <w:rsid w:val="76E563FC"/>
    <w:rsid w:val="76E63001"/>
    <w:rsid w:val="76E68F38"/>
    <w:rsid w:val="76E69185"/>
    <w:rsid w:val="76E6E86E"/>
    <w:rsid w:val="76E72ABA"/>
    <w:rsid w:val="76E83B76"/>
    <w:rsid w:val="76E8B6E6"/>
    <w:rsid w:val="76E909F6"/>
    <w:rsid w:val="76E974B2"/>
    <w:rsid w:val="76E98F97"/>
    <w:rsid w:val="76EA4547"/>
    <w:rsid w:val="76EA7276"/>
    <w:rsid w:val="76EABE8B"/>
    <w:rsid w:val="76EB0B0B"/>
    <w:rsid w:val="76EB4064"/>
    <w:rsid w:val="76EB58D4"/>
    <w:rsid w:val="76EB7F06"/>
    <w:rsid w:val="76EB9696"/>
    <w:rsid w:val="76EBA2DD"/>
    <w:rsid w:val="76ECA493"/>
    <w:rsid w:val="76EDAB2D"/>
    <w:rsid w:val="76EEA3FD"/>
    <w:rsid w:val="76EEC684"/>
    <w:rsid w:val="76EEC838"/>
    <w:rsid w:val="76EFC8DA"/>
    <w:rsid w:val="76F06F9B"/>
    <w:rsid w:val="76F1237F"/>
    <w:rsid w:val="76F19E0D"/>
    <w:rsid w:val="76F2A5CA"/>
    <w:rsid w:val="76F2ACEB"/>
    <w:rsid w:val="76F37F7B"/>
    <w:rsid w:val="76F40013"/>
    <w:rsid w:val="76F42513"/>
    <w:rsid w:val="76F45596"/>
    <w:rsid w:val="76F4C118"/>
    <w:rsid w:val="76F525E9"/>
    <w:rsid w:val="76F6276D"/>
    <w:rsid w:val="76F71872"/>
    <w:rsid w:val="76F7849C"/>
    <w:rsid w:val="76F8BC5C"/>
    <w:rsid w:val="76F9A770"/>
    <w:rsid w:val="76F9F203"/>
    <w:rsid w:val="76FA088C"/>
    <w:rsid w:val="76FA1832"/>
    <w:rsid w:val="76FA9E7A"/>
    <w:rsid w:val="76FB1903"/>
    <w:rsid w:val="76FB6D5D"/>
    <w:rsid w:val="76FC3E97"/>
    <w:rsid w:val="76FC7A2F"/>
    <w:rsid w:val="76FD6C3A"/>
    <w:rsid w:val="76FD7CA6"/>
    <w:rsid w:val="76FE009B"/>
    <w:rsid w:val="76FE091D"/>
    <w:rsid w:val="76FE0C0B"/>
    <w:rsid w:val="76FE6156"/>
    <w:rsid w:val="77008085"/>
    <w:rsid w:val="77013378"/>
    <w:rsid w:val="77013384"/>
    <w:rsid w:val="77013695"/>
    <w:rsid w:val="77019BC6"/>
    <w:rsid w:val="77027A2B"/>
    <w:rsid w:val="7702F8D2"/>
    <w:rsid w:val="7703565B"/>
    <w:rsid w:val="77049136"/>
    <w:rsid w:val="77049D40"/>
    <w:rsid w:val="7704B131"/>
    <w:rsid w:val="770585BA"/>
    <w:rsid w:val="7706115E"/>
    <w:rsid w:val="77065FA6"/>
    <w:rsid w:val="77066118"/>
    <w:rsid w:val="77069FC8"/>
    <w:rsid w:val="770716B4"/>
    <w:rsid w:val="7707219A"/>
    <w:rsid w:val="7709266E"/>
    <w:rsid w:val="7709A6A7"/>
    <w:rsid w:val="770B45D3"/>
    <w:rsid w:val="770B540B"/>
    <w:rsid w:val="770BC892"/>
    <w:rsid w:val="770C0302"/>
    <w:rsid w:val="770C72BC"/>
    <w:rsid w:val="770C9112"/>
    <w:rsid w:val="770CBEFB"/>
    <w:rsid w:val="770D22EF"/>
    <w:rsid w:val="770D719A"/>
    <w:rsid w:val="770E7EFC"/>
    <w:rsid w:val="770E92D6"/>
    <w:rsid w:val="770ECC36"/>
    <w:rsid w:val="770F3416"/>
    <w:rsid w:val="770F3AA5"/>
    <w:rsid w:val="770FA321"/>
    <w:rsid w:val="7711E1F9"/>
    <w:rsid w:val="7712AEE2"/>
    <w:rsid w:val="7712B25D"/>
    <w:rsid w:val="77131611"/>
    <w:rsid w:val="77135918"/>
    <w:rsid w:val="7713BEC1"/>
    <w:rsid w:val="7713EBEA"/>
    <w:rsid w:val="77147D7E"/>
    <w:rsid w:val="7714974C"/>
    <w:rsid w:val="77152FE5"/>
    <w:rsid w:val="771624FD"/>
    <w:rsid w:val="7717B19A"/>
    <w:rsid w:val="771A77C3"/>
    <w:rsid w:val="771A7E88"/>
    <w:rsid w:val="771AB27C"/>
    <w:rsid w:val="771B8A87"/>
    <w:rsid w:val="771B95A4"/>
    <w:rsid w:val="771BDC05"/>
    <w:rsid w:val="771C4D22"/>
    <w:rsid w:val="771C69F7"/>
    <w:rsid w:val="771D3E8C"/>
    <w:rsid w:val="771DF108"/>
    <w:rsid w:val="771E34C5"/>
    <w:rsid w:val="771EC4FC"/>
    <w:rsid w:val="771EDF64"/>
    <w:rsid w:val="771F87E7"/>
    <w:rsid w:val="771FBDE4"/>
    <w:rsid w:val="771FCCCB"/>
    <w:rsid w:val="771FE457"/>
    <w:rsid w:val="7721166C"/>
    <w:rsid w:val="77212675"/>
    <w:rsid w:val="772154DA"/>
    <w:rsid w:val="7722700C"/>
    <w:rsid w:val="7722FC65"/>
    <w:rsid w:val="772377DF"/>
    <w:rsid w:val="77238150"/>
    <w:rsid w:val="7723C57D"/>
    <w:rsid w:val="772459F2"/>
    <w:rsid w:val="7725117D"/>
    <w:rsid w:val="7725329A"/>
    <w:rsid w:val="77262F5C"/>
    <w:rsid w:val="77265DEC"/>
    <w:rsid w:val="7727CA60"/>
    <w:rsid w:val="77288AE6"/>
    <w:rsid w:val="77290461"/>
    <w:rsid w:val="77292215"/>
    <w:rsid w:val="7729485E"/>
    <w:rsid w:val="77297925"/>
    <w:rsid w:val="772AD957"/>
    <w:rsid w:val="772AFD07"/>
    <w:rsid w:val="772B0024"/>
    <w:rsid w:val="772B9F59"/>
    <w:rsid w:val="772BE5FC"/>
    <w:rsid w:val="772C6F9A"/>
    <w:rsid w:val="772CA13B"/>
    <w:rsid w:val="772CD825"/>
    <w:rsid w:val="772D44C9"/>
    <w:rsid w:val="772D7C99"/>
    <w:rsid w:val="772DA5DB"/>
    <w:rsid w:val="772DD89E"/>
    <w:rsid w:val="772E275F"/>
    <w:rsid w:val="772E401A"/>
    <w:rsid w:val="772F57D7"/>
    <w:rsid w:val="772FBD2A"/>
    <w:rsid w:val="772FC619"/>
    <w:rsid w:val="772FE3D5"/>
    <w:rsid w:val="7730018D"/>
    <w:rsid w:val="77304C48"/>
    <w:rsid w:val="773086F1"/>
    <w:rsid w:val="77312FDA"/>
    <w:rsid w:val="773154D0"/>
    <w:rsid w:val="7731B221"/>
    <w:rsid w:val="7731BE8F"/>
    <w:rsid w:val="7731C9C5"/>
    <w:rsid w:val="7731DDEE"/>
    <w:rsid w:val="7731F533"/>
    <w:rsid w:val="77324FAD"/>
    <w:rsid w:val="77325F22"/>
    <w:rsid w:val="7733155B"/>
    <w:rsid w:val="77332AEF"/>
    <w:rsid w:val="773351E7"/>
    <w:rsid w:val="77340BA5"/>
    <w:rsid w:val="77340E37"/>
    <w:rsid w:val="773440BE"/>
    <w:rsid w:val="77352A8C"/>
    <w:rsid w:val="77358C8E"/>
    <w:rsid w:val="77358EF9"/>
    <w:rsid w:val="7735E994"/>
    <w:rsid w:val="773607DC"/>
    <w:rsid w:val="7736AC3A"/>
    <w:rsid w:val="7736AECF"/>
    <w:rsid w:val="77373C0A"/>
    <w:rsid w:val="7737D59E"/>
    <w:rsid w:val="773825FC"/>
    <w:rsid w:val="773826AB"/>
    <w:rsid w:val="773882CF"/>
    <w:rsid w:val="7738BCD9"/>
    <w:rsid w:val="773958B2"/>
    <w:rsid w:val="7739A9CC"/>
    <w:rsid w:val="773B5856"/>
    <w:rsid w:val="773B7F75"/>
    <w:rsid w:val="773BEA20"/>
    <w:rsid w:val="773D176F"/>
    <w:rsid w:val="773DE255"/>
    <w:rsid w:val="773E300B"/>
    <w:rsid w:val="773E73D2"/>
    <w:rsid w:val="773F4E7A"/>
    <w:rsid w:val="773FA693"/>
    <w:rsid w:val="773FAA3B"/>
    <w:rsid w:val="77411D51"/>
    <w:rsid w:val="77414AAB"/>
    <w:rsid w:val="7742ED51"/>
    <w:rsid w:val="7742FD2E"/>
    <w:rsid w:val="77431EF8"/>
    <w:rsid w:val="774418CB"/>
    <w:rsid w:val="7744AC9D"/>
    <w:rsid w:val="77452372"/>
    <w:rsid w:val="77455D7D"/>
    <w:rsid w:val="7745B4EE"/>
    <w:rsid w:val="774711F7"/>
    <w:rsid w:val="774908DC"/>
    <w:rsid w:val="774A3481"/>
    <w:rsid w:val="774A6067"/>
    <w:rsid w:val="774A8BDA"/>
    <w:rsid w:val="774AC5FF"/>
    <w:rsid w:val="774ADCDE"/>
    <w:rsid w:val="774B593A"/>
    <w:rsid w:val="774CC434"/>
    <w:rsid w:val="774CE200"/>
    <w:rsid w:val="774D4AFD"/>
    <w:rsid w:val="774E1805"/>
    <w:rsid w:val="774E878B"/>
    <w:rsid w:val="774E879D"/>
    <w:rsid w:val="7750D408"/>
    <w:rsid w:val="77519995"/>
    <w:rsid w:val="7751AC4F"/>
    <w:rsid w:val="7751E653"/>
    <w:rsid w:val="77525DB5"/>
    <w:rsid w:val="775303F9"/>
    <w:rsid w:val="77558C13"/>
    <w:rsid w:val="7755FB12"/>
    <w:rsid w:val="7756425E"/>
    <w:rsid w:val="775685F1"/>
    <w:rsid w:val="7757F474"/>
    <w:rsid w:val="77580C34"/>
    <w:rsid w:val="77581AF1"/>
    <w:rsid w:val="775862B9"/>
    <w:rsid w:val="7758C90F"/>
    <w:rsid w:val="77596C0B"/>
    <w:rsid w:val="775A0F6B"/>
    <w:rsid w:val="775A6F8D"/>
    <w:rsid w:val="775B6DF1"/>
    <w:rsid w:val="775BF925"/>
    <w:rsid w:val="775C1B60"/>
    <w:rsid w:val="775C3717"/>
    <w:rsid w:val="775CD65F"/>
    <w:rsid w:val="775D2E6C"/>
    <w:rsid w:val="775D8A40"/>
    <w:rsid w:val="775E6C2A"/>
    <w:rsid w:val="775EBF20"/>
    <w:rsid w:val="775EDCC9"/>
    <w:rsid w:val="775EFDC4"/>
    <w:rsid w:val="775F0063"/>
    <w:rsid w:val="775FBF68"/>
    <w:rsid w:val="775FED7C"/>
    <w:rsid w:val="775FF38F"/>
    <w:rsid w:val="775FFA92"/>
    <w:rsid w:val="776042C7"/>
    <w:rsid w:val="776047E0"/>
    <w:rsid w:val="7761C15B"/>
    <w:rsid w:val="77623450"/>
    <w:rsid w:val="77624FFD"/>
    <w:rsid w:val="77633799"/>
    <w:rsid w:val="77640DD0"/>
    <w:rsid w:val="776413A6"/>
    <w:rsid w:val="7764A9CE"/>
    <w:rsid w:val="7767B619"/>
    <w:rsid w:val="7767E754"/>
    <w:rsid w:val="776861A5"/>
    <w:rsid w:val="77686E11"/>
    <w:rsid w:val="7768EB3E"/>
    <w:rsid w:val="7769DA38"/>
    <w:rsid w:val="7769F184"/>
    <w:rsid w:val="776B3C84"/>
    <w:rsid w:val="776C3737"/>
    <w:rsid w:val="776C9DE3"/>
    <w:rsid w:val="776D04D9"/>
    <w:rsid w:val="776D6193"/>
    <w:rsid w:val="776E1814"/>
    <w:rsid w:val="776E56EB"/>
    <w:rsid w:val="776EDC4F"/>
    <w:rsid w:val="776EE8E3"/>
    <w:rsid w:val="776F1BAB"/>
    <w:rsid w:val="77707B6A"/>
    <w:rsid w:val="7770AA80"/>
    <w:rsid w:val="777114D1"/>
    <w:rsid w:val="77712F1D"/>
    <w:rsid w:val="777169E0"/>
    <w:rsid w:val="77723849"/>
    <w:rsid w:val="77727533"/>
    <w:rsid w:val="77728134"/>
    <w:rsid w:val="7772BB64"/>
    <w:rsid w:val="7772F655"/>
    <w:rsid w:val="7773DD53"/>
    <w:rsid w:val="7774D0DE"/>
    <w:rsid w:val="7774F62F"/>
    <w:rsid w:val="7776C3F2"/>
    <w:rsid w:val="7776CFF4"/>
    <w:rsid w:val="7776D36C"/>
    <w:rsid w:val="7777BE75"/>
    <w:rsid w:val="7777D2E1"/>
    <w:rsid w:val="77785D7B"/>
    <w:rsid w:val="7778CE4E"/>
    <w:rsid w:val="7778DEFC"/>
    <w:rsid w:val="77797BCD"/>
    <w:rsid w:val="77798AE5"/>
    <w:rsid w:val="7779A85E"/>
    <w:rsid w:val="777C6012"/>
    <w:rsid w:val="777CA22A"/>
    <w:rsid w:val="777D050E"/>
    <w:rsid w:val="777D1494"/>
    <w:rsid w:val="777E93F1"/>
    <w:rsid w:val="777EEEC9"/>
    <w:rsid w:val="777F0A81"/>
    <w:rsid w:val="777F3DE8"/>
    <w:rsid w:val="777FC4DE"/>
    <w:rsid w:val="778126C6"/>
    <w:rsid w:val="77814A2B"/>
    <w:rsid w:val="77819C5C"/>
    <w:rsid w:val="7781B27C"/>
    <w:rsid w:val="77822BEE"/>
    <w:rsid w:val="7782D54A"/>
    <w:rsid w:val="77832171"/>
    <w:rsid w:val="77842952"/>
    <w:rsid w:val="7784F28E"/>
    <w:rsid w:val="77853B83"/>
    <w:rsid w:val="77860521"/>
    <w:rsid w:val="7786F03F"/>
    <w:rsid w:val="7786F320"/>
    <w:rsid w:val="7787C5D2"/>
    <w:rsid w:val="77881197"/>
    <w:rsid w:val="77884F5F"/>
    <w:rsid w:val="778864AD"/>
    <w:rsid w:val="7788CDEA"/>
    <w:rsid w:val="77895099"/>
    <w:rsid w:val="7789843A"/>
    <w:rsid w:val="778A2DF7"/>
    <w:rsid w:val="778AADC8"/>
    <w:rsid w:val="778BB7A7"/>
    <w:rsid w:val="778BFD89"/>
    <w:rsid w:val="778C4B0F"/>
    <w:rsid w:val="778C7230"/>
    <w:rsid w:val="778D5BD3"/>
    <w:rsid w:val="778E9897"/>
    <w:rsid w:val="778EE0F1"/>
    <w:rsid w:val="778F75CB"/>
    <w:rsid w:val="77907645"/>
    <w:rsid w:val="77907E95"/>
    <w:rsid w:val="7791CFF9"/>
    <w:rsid w:val="77932DD8"/>
    <w:rsid w:val="7794D643"/>
    <w:rsid w:val="77959B91"/>
    <w:rsid w:val="77959E1D"/>
    <w:rsid w:val="7795BCE6"/>
    <w:rsid w:val="7795E8FA"/>
    <w:rsid w:val="779603DD"/>
    <w:rsid w:val="77963268"/>
    <w:rsid w:val="7796E52A"/>
    <w:rsid w:val="7796FD92"/>
    <w:rsid w:val="77977EB6"/>
    <w:rsid w:val="779869A8"/>
    <w:rsid w:val="779924DE"/>
    <w:rsid w:val="779966B8"/>
    <w:rsid w:val="7799B73C"/>
    <w:rsid w:val="7799FA4F"/>
    <w:rsid w:val="779AEDE1"/>
    <w:rsid w:val="779B89CF"/>
    <w:rsid w:val="779B8D84"/>
    <w:rsid w:val="779D07DC"/>
    <w:rsid w:val="779D6ACA"/>
    <w:rsid w:val="779D7664"/>
    <w:rsid w:val="779D7B01"/>
    <w:rsid w:val="779DA38C"/>
    <w:rsid w:val="779DE02E"/>
    <w:rsid w:val="779DE474"/>
    <w:rsid w:val="779E19D1"/>
    <w:rsid w:val="779E74ED"/>
    <w:rsid w:val="779E9390"/>
    <w:rsid w:val="779F733F"/>
    <w:rsid w:val="77A09022"/>
    <w:rsid w:val="77A0F2A9"/>
    <w:rsid w:val="77A113F2"/>
    <w:rsid w:val="77A18C01"/>
    <w:rsid w:val="77A19EE5"/>
    <w:rsid w:val="77A223F4"/>
    <w:rsid w:val="77A2305B"/>
    <w:rsid w:val="77A2EABF"/>
    <w:rsid w:val="77A3799D"/>
    <w:rsid w:val="77A385B0"/>
    <w:rsid w:val="77A3E26F"/>
    <w:rsid w:val="77A3F5A4"/>
    <w:rsid w:val="77A41678"/>
    <w:rsid w:val="77A51E26"/>
    <w:rsid w:val="77A62219"/>
    <w:rsid w:val="77A6542B"/>
    <w:rsid w:val="77A6630A"/>
    <w:rsid w:val="77A68537"/>
    <w:rsid w:val="77A6B2CC"/>
    <w:rsid w:val="77A74088"/>
    <w:rsid w:val="77A7A25B"/>
    <w:rsid w:val="77A7F535"/>
    <w:rsid w:val="77A8A0D8"/>
    <w:rsid w:val="77A931FF"/>
    <w:rsid w:val="77A9D038"/>
    <w:rsid w:val="77A9E27C"/>
    <w:rsid w:val="77AA3053"/>
    <w:rsid w:val="77AA3A34"/>
    <w:rsid w:val="77AA9BB1"/>
    <w:rsid w:val="77AAA585"/>
    <w:rsid w:val="77AAD335"/>
    <w:rsid w:val="77AAEF8A"/>
    <w:rsid w:val="77AB98DA"/>
    <w:rsid w:val="77AD20C6"/>
    <w:rsid w:val="77AD7757"/>
    <w:rsid w:val="77AE1F01"/>
    <w:rsid w:val="77AED1AD"/>
    <w:rsid w:val="77AF6C49"/>
    <w:rsid w:val="77AFD1D1"/>
    <w:rsid w:val="77B0A065"/>
    <w:rsid w:val="77B17840"/>
    <w:rsid w:val="77B29361"/>
    <w:rsid w:val="77B44EAA"/>
    <w:rsid w:val="77B4EB72"/>
    <w:rsid w:val="77B521AC"/>
    <w:rsid w:val="77B57735"/>
    <w:rsid w:val="77B5BAA6"/>
    <w:rsid w:val="77B6AED0"/>
    <w:rsid w:val="77B6F87E"/>
    <w:rsid w:val="77B71DE9"/>
    <w:rsid w:val="77B7E8C2"/>
    <w:rsid w:val="77B81DD9"/>
    <w:rsid w:val="77B87819"/>
    <w:rsid w:val="77B8D413"/>
    <w:rsid w:val="77B8E53A"/>
    <w:rsid w:val="77B9A3E5"/>
    <w:rsid w:val="77BB093F"/>
    <w:rsid w:val="77BB5C5B"/>
    <w:rsid w:val="77BC916A"/>
    <w:rsid w:val="77BCF686"/>
    <w:rsid w:val="77BDAB55"/>
    <w:rsid w:val="77BDD33B"/>
    <w:rsid w:val="77BE6118"/>
    <w:rsid w:val="77BF56B5"/>
    <w:rsid w:val="77BF6A77"/>
    <w:rsid w:val="77BFB1D4"/>
    <w:rsid w:val="77C036C5"/>
    <w:rsid w:val="77C12AAF"/>
    <w:rsid w:val="77C16E67"/>
    <w:rsid w:val="77C20C7A"/>
    <w:rsid w:val="77C2B150"/>
    <w:rsid w:val="77C444F1"/>
    <w:rsid w:val="77C446C5"/>
    <w:rsid w:val="77C4B068"/>
    <w:rsid w:val="77C683B7"/>
    <w:rsid w:val="77C687A0"/>
    <w:rsid w:val="77C7B5C6"/>
    <w:rsid w:val="77C80588"/>
    <w:rsid w:val="77C81077"/>
    <w:rsid w:val="77C8B147"/>
    <w:rsid w:val="77C91625"/>
    <w:rsid w:val="77CAA89C"/>
    <w:rsid w:val="77CB0AAD"/>
    <w:rsid w:val="77CB2D66"/>
    <w:rsid w:val="77CB5190"/>
    <w:rsid w:val="77CC9748"/>
    <w:rsid w:val="77CDCF64"/>
    <w:rsid w:val="77CDE517"/>
    <w:rsid w:val="77CE1A95"/>
    <w:rsid w:val="77CF2306"/>
    <w:rsid w:val="77CF8AB9"/>
    <w:rsid w:val="77D0CAF8"/>
    <w:rsid w:val="77D14CD0"/>
    <w:rsid w:val="77D1C08E"/>
    <w:rsid w:val="77D21FBE"/>
    <w:rsid w:val="77D24CD5"/>
    <w:rsid w:val="77D2980F"/>
    <w:rsid w:val="77D2A5C4"/>
    <w:rsid w:val="77D2D0CE"/>
    <w:rsid w:val="77D34640"/>
    <w:rsid w:val="77D388F0"/>
    <w:rsid w:val="77D41FED"/>
    <w:rsid w:val="77D45F33"/>
    <w:rsid w:val="77D4DAE8"/>
    <w:rsid w:val="77D52E61"/>
    <w:rsid w:val="77D57C59"/>
    <w:rsid w:val="77D60D7C"/>
    <w:rsid w:val="77D62A78"/>
    <w:rsid w:val="77D69B8D"/>
    <w:rsid w:val="77D7438C"/>
    <w:rsid w:val="77D77EA6"/>
    <w:rsid w:val="77D85410"/>
    <w:rsid w:val="77D8A4FF"/>
    <w:rsid w:val="77D917A1"/>
    <w:rsid w:val="77D953CD"/>
    <w:rsid w:val="77D9A448"/>
    <w:rsid w:val="77DA867E"/>
    <w:rsid w:val="77DAB672"/>
    <w:rsid w:val="77DB39B9"/>
    <w:rsid w:val="77DB7617"/>
    <w:rsid w:val="77DCBB2E"/>
    <w:rsid w:val="77DDD1DF"/>
    <w:rsid w:val="77DE0613"/>
    <w:rsid w:val="77DE3ACF"/>
    <w:rsid w:val="77DE8E67"/>
    <w:rsid w:val="77DEFDD6"/>
    <w:rsid w:val="77DF2331"/>
    <w:rsid w:val="77DF47E4"/>
    <w:rsid w:val="77DF92FF"/>
    <w:rsid w:val="77DFCCD1"/>
    <w:rsid w:val="77E121C0"/>
    <w:rsid w:val="77E1F2DC"/>
    <w:rsid w:val="77E28F8D"/>
    <w:rsid w:val="77E430C5"/>
    <w:rsid w:val="77E4374A"/>
    <w:rsid w:val="77E54E19"/>
    <w:rsid w:val="77E54F97"/>
    <w:rsid w:val="77E5BA90"/>
    <w:rsid w:val="77E66E58"/>
    <w:rsid w:val="77E6E765"/>
    <w:rsid w:val="77E742E0"/>
    <w:rsid w:val="77E775D0"/>
    <w:rsid w:val="77E79FC5"/>
    <w:rsid w:val="77E8FDA6"/>
    <w:rsid w:val="77E91F60"/>
    <w:rsid w:val="77E95C34"/>
    <w:rsid w:val="77E99678"/>
    <w:rsid w:val="77E9D7DB"/>
    <w:rsid w:val="77EA2A5A"/>
    <w:rsid w:val="77EA7F7A"/>
    <w:rsid w:val="77EB1517"/>
    <w:rsid w:val="77EB2865"/>
    <w:rsid w:val="77EC4293"/>
    <w:rsid w:val="77ECEA2E"/>
    <w:rsid w:val="77ED7A9B"/>
    <w:rsid w:val="77ED8254"/>
    <w:rsid w:val="77EE47C8"/>
    <w:rsid w:val="77EEBB7C"/>
    <w:rsid w:val="77EF9705"/>
    <w:rsid w:val="77F0F5B3"/>
    <w:rsid w:val="77F18037"/>
    <w:rsid w:val="77F225A3"/>
    <w:rsid w:val="77F29ED5"/>
    <w:rsid w:val="77F2A9DE"/>
    <w:rsid w:val="77F2BA88"/>
    <w:rsid w:val="77F2EE7E"/>
    <w:rsid w:val="77F42F49"/>
    <w:rsid w:val="77F43AF7"/>
    <w:rsid w:val="77F454A2"/>
    <w:rsid w:val="77F4649C"/>
    <w:rsid w:val="77F4B3C8"/>
    <w:rsid w:val="77F4CC58"/>
    <w:rsid w:val="77F58A5F"/>
    <w:rsid w:val="77F59F36"/>
    <w:rsid w:val="77F5A36F"/>
    <w:rsid w:val="77F5E8E2"/>
    <w:rsid w:val="77F7E04D"/>
    <w:rsid w:val="77F856C5"/>
    <w:rsid w:val="77F90D7E"/>
    <w:rsid w:val="77FA01F6"/>
    <w:rsid w:val="77FA1E35"/>
    <w:rsid w:val="77FB30A0"/>
    <w:rsid w:val="77FB5ECC"/>
    <w:rsid w:val="77FC24F0"/>
    <w:rsid w:val="77FD5909"/>
    <w:rsid w:val="77FE371F"/>
    <w:rsid w:val="77FEFB49"/>
    <w:rsid w:val="77FF23B3"/>
    <w:rsid w:val="77FF50DA"/>
    <w:rsid w:val="77FF980B"/>
    <w:rsid w:val="78018E9B"/>
    <w:rsid w:val="7801AB96"/>
    <w:rsid w:val="7801AC39"/>
    <w:rsid w:val="7801BEBD"/>
    <w:rsid w:val="78029561"/>
    <w:rsid w:val="7803FD84"/>
    <w:rsid w:val="78041B33"/>
    <w:rsid w:val="78043319"/>
    <w:rsid w:val="780482D7"/>
    <w:rsid w:val="7805D492"/>
    <w:rsid w:val="7806AD42"/>
    <w:rsid w:val="78075F25"/>
    <w:rsid w:val="780791D8"/>
    <w:rsid w:val="78089621"/>
    <w:rsid w:val="78089656"/>
    <w:rsid w:val="780944BE"/>
    <w:rsid w:val="78095E3E"/>
    <w:rsid w:val="7809AB94"/>
    <w:rsid w:val="780A5F6E"/>
    <w:rsid w:val="780A7C67"/>
    <w:rsid w:val="780B579B"/>
    <w:rsid w:val="780BEF3A"/>
    <w:rsid w:val="780BF0FB"/>
    <w:rsid w:val="780C0D29"/>
    <w:rsid w:val="780C7E66"/>
    <w:rsid w:val="780C9A26"/>
    <w:rsid w:val="780CF3A0"/>
    <w:rsid w:val="780D8A03"/>
    <w:rsid w:val="780E2110"/>
    <w:rsid w:val="780E4E2D"/>
    <w:rsid w:val="780E70A5"/>
    <w:rsid w:val="780F0C5F"/>
    <w:rsid w:val="780F26B2"/>
    <w:rsid w:val="780F2ED5"/>
    <w:rsid w:val="780F73C6"/>
    <w:rsid w:val="78103D40"/>
    <w:rsid w:val="781079C9"/>
    <w:rsid w:val="7811BB9F"/>
    <w:rsid w:val="78124753"/>
    <w:rsid w:val="78129FA2"/>
    <w:rsid w:val="78130928"/>
    <w:rsid w:val="78131116"/>
    <w:rsid w:val="78138DBC"/>
    <w:rsid w:val="7813CC37"/>
    <w:rsid w:val="7813FC32"/>
    <w:rsid w:val="781446C1"/>
    <w:rsid w:val="7814EEB3"/>
    <w:rsid w:val="78150540"/>
    <w:rsid w:val="7815414D"/>
    <w:rsid w:val="78166248"/>
    <w:rsid w:val="7816B87F"/>
    <w:rsid w:val="781828E9"/>
    <w:rsid w:val="781829A0"/>
    <w:rsid w:val="78198343"/>
    <w:rsid w:val="781A14D0"/>
    <w:rsid w:val="781A2836"/>
    <w:rsid w:val="781A38B8"/>
    <w:rsid w:val="781A632A"/>
    <w:rsid w:val="781B5725"/>
    <w:rsid w:val="781C072D"/>
    <w:rsid w:val="781C4596"/>
    <w:rsid w:val="781C6684"/>
    <w:rsid w:val="781C7F6D"/>
    <w:rsid w:val="781CCF96"/>
    <w:rsid w:val="781CF1A2"/>
    <w:rsid w:val="781D178D"/>
    <w:rsid w:val="781DC01C"/>
    <w:rsid w:val="781DE295"/>
    <w:rsid w:val="781E95EF"/>
    <w:rsid w:val="781EC8DD"/>
    <w:rsid w:val="781EFE65"/>
    <w:rsid w:val="781F638C"/>
    <w:rsid w:val="781FE1BB"/>
    <w:rsid w:val="781FEA1D"/>
    <w:rsid w:val="78200786"/>
    <w:rsid w:val="7820A507"/>
    <w:rsid w:val="7820C430"/>
    <w:rsid w:val="78213A01"/>
    <w:rsid w:val="782220FA"/>
    <w:rsid w:val="782282E0"/>
    <w:rsid w:val="782304F0"/>
    <w:rsid w:val="78232D43"/>
    <w:rsid w:val="7823F569"/>
    <w:rsid w:val="782407A7"/>
    <w:rsid w:val="78245DEF"/>
    <w:rsid w:val="78245E7C"/>
    <w:rsid w:val="782494F6"/>
    <w:rsid w:val="7824B607"/>
    <w:rsid w:val="7824B9F2"/>
    <w:rsid w:val="7824F1D8"/>
    <w:rsid w:val="7825484B"/>
    <w:rsid w:val="78258541"/>
    <w:rsid w:val="7825FD9C"/>
    <w:rsid w:val="78269894"/>
    <w:rsid w:val="7826D05E"/>
    <w:rsid w:val="7826DA1D"/>
    <w:rsid w:val="7826E961"/>
    <w:rsid w:val="78271D0C"/>
    <w:rsid w:val="782781F6"/>
    <w:rsid w:val="7827D198"/>
    <w:rsid w:val="7827F447"/>
    <w:rsid w:val="7828355F"/>
    <w:rsid w:val="78284AC8"/>
    <w:rsid w:val="78288E96"/>
    <w:rsid w:val="7829A5D2"/>
    <w:rsid w:val="782A9790"/>
    <w:rsid w:val="782B4EEC"/>
    <w:rsid w:val="782B8307"/>
    <w:rsid w:val="782C1501"/>
    <w:rsid w:val="782C5719"/>
    <w:rsid w:val="782C7641"/>
    <w:rsid w:val="782D7581"/>
    <w:rsid w:val="782E0868"/>
    <w:rsid w:val="782E844C"/>
    <w:rsid w:val="782E99D4"/>
    <w:rsid w:val="782EA43C"/>
    <w:rsid w:val="782EBCF2"/>
    <w:rsid w:val="782F698A"/>
    <w:rsid w:val="782F8458"/>
    <w:rsid w:val="7830E0C6"/>
    <w:rsid w:val="78316FB0"/>
    <w:rsid w:val="7831940A"/>
    <w:rsid w:val="7831CB07"/>
    <w:rsid w:val="78320CDA"/>
    <w:rsid w:val="78322EA1"/>
    <w:rsid w:val="78325F1E"/>
    <w:rsid w:val="7833054F"/>
    <w:rsid w:val="783358B8"/>
    <w:rsid w:val="7833DA73"/>
    <w:rsid w:val="7834AE8B"/>
    <w:rsid w:val="7834B468"/>
    <w:rsid w:val="7834D0A0"/>
    <w:rsid w:val="7834E8A6"/>
    <w:rsid w:val="783501AE"/>
    <w:rsid w:val="78354378"/>
    <w:rsid w:val="783559D4"/>
    <w:rsid w:val="78356F78"/>
    <w:rsid w:val="7836767B"/>
    <w:rsid w:val="7836C0A7"/>
    <w:rsid w:val="7836D204"/>
    <w:rsid w:val="78387887"/>
    <w:rsid w:val="783895C8"/>
    <w:rsid w:val="783901F8"/>
    <w:rsid w:val="783940C4"/>
    <w:rsid w:val="7839E513"/>
    <w:rsid w:val="783AD19A"/>
    <w:rsid w:val="783BF5D8"/>
    <w:rsid w:val="783C0EB6"/>
    <w:rsid w:val="783C48DF"/>
    <w:rsid w:val="783C72D1"/>
    <w:rsid w:val="783CCB79"/>
    <w:rsid w:val="783CCFEF"/>
    <w:rsid w:val="783D45E1"/>
    <w:rsid w:val="783D8C42"/>
    <w:rsid w:val="783DADB8"/>
    <w:rsid w:val="783E5045"/>
    <w:rsid w:val="783E8E2B"/>
    <w:rsid w:val="783EA8EA"/>
    <w:rsid w:val="783F2105"/>
    <w:rsid w:val="78401405"/>
    <w:rsid w:val="7840C2DB"/>
    <w:rsid w:val="7840F2D5"/>
    <w:rsid w:val="78415EE5"/>
    <w:rsid w:val="78416399"/>
    <w:rsid w:val="784183C0"/>
    <w:rsid w:val="7842C425"/>
    <w:rsid w:val="7842D36F"/>
    <w:rsid w:val="78434C04"/>
    <w:rsid w:val="78451DCD"/>
    <w:rsid w:val="78458363"/>
    <w:rsid w:val="7846316E"/>
    <w:rsid w:val="7846B1CA"/>
    <w:rsid w:val="7846C2D2"/>
    <w:rsid w:val="7846EA3A"/>
    <w:rsid w:val="7846F89E"/>
    <w:rsid w:val="7847020B"/>
    <w:rsid w:val="78476A3A"/>
    <w:rsid w:val="78478CE3"/>
    <w:rsid w:val="7847A6C8"/>
    <w:rsid w:val="7847C4A7"/>
    <w:rsid w:val="7847FDCA"/>
    <w:rsid w:val="784883FF"/>
    <w:rsid w:val="7849B356"/>
    <w:rsid w:val="784A5DB8"/>
    <w:rsid w:val="784BF41D"/>
    <w:rsid w:val="784C14BB"/>
    <w:rsid w:val="784C4447"/>
    <w:rsid w:val="784CA9BD"/>
    <w:rsid w:val="784E8ABA"/>
    <w:rsid w:val="784EBC39"/>
    <w:rsid w:val="784FFE5E"/>
    <w:rsid w:val="785037AA"/>
    <w:rsid w:val="78505CEA"/>
    <w:rsid w:val="7850A5CE"/>
    <w:rsid w:val="78512618"/>
    <w:rsid w:val="78514641"/>
    <w:rsid w:val="7852A3CF"/>
    <w:rsid w:val="7852B7DF"/>
    <w:rsid w:val="7852FFCD"/>
    <w:rsid w:val="78539FE4"/>
    <w:rsid w:val="7853DAA3"/>
    <w:rsid w:val="7854C328"/>
    <w:rsid w:val="7855419B"/>
    <w:rsid w:val="785541E6"/>
    <w:rsid w:val="78554C35"/>
    <w:rsid w:val="78559E08"/>
    <w:rsid w:val="7855F1BA"/>
    <w:rsid w:val="78568DA2"/>
    <w:rsid w:val="7856B76C"/>
    <w:rsid w:val="78570596"/>
    <w:rsid w:val="78575393"/>
    <w:rsid w:val="78583B55"/>
    <w:rsid w:val="7858A4A8"/>
    <w:rsid w:val="7859635E"/>
    <w:rsid w:val="785965F7"/>
    <w:rsid w:val="78596CFD"/>
    <w:rsid w:val="785A0648"/>
    <w:rsid w:val="785A32EC"/>
    <w:rsid w:val="785B153B"/>
    <w:rsid w:val="785B172F"/>
    <w:rsid w:val="785B5EF4"/>
    <w:rsid w:val="785B9F1C"/>
    <w:rsid w:val="785C830A"/>
    <w:rsid w:val="785CEBA8"/>
    <w:rsid w:val="785CF136"/>
    <w:rsid w:val="785D4407"/>
    <w:rsid w:val="785D72B2"/>
    <w:rsid w:val="785E1DC4"/>
    <w:rsid w:val="785E2F76"/>
    <w:rsid w:val="785EA46C"/>
    <w:rsid w:val="785EDC0A"/>
    <w:rsid w:val="78604E93"/>
    <w:rsid w:val="786083C8"/>
    <w:rsid w:val="78621B15"/>
    <w:rsid w:val="7862750C"/>
    <w:rsid w:val="7862E73B"/>
    <w:rsid w:val="7862EFD8"/>
    <w:rsid w:val="7862F692"/>
    <w:rsid w:val="7863146A"/>
    <w:rsid w:val="786332CA"/>
    <w:rsid w:val="78636DD1"/>
    <w:rsid w:val="78641736"/>
    <w:rsid w:val="78650E08"/>
    <w:rsid w:val="78656C48"/>
    <w:rsid w:val="78662794"/>
    <w:rsid w:val="7869E114"/>
    <w:rsid w:val="786A1288"/>
    <w:rsid w:val="786A14C3"/>
    <w:rsid w:val="786B7260"/>
    <w:rsid w:val="786B7E23"/>
    <w:rsid w:val="786C5783"/>
    <w:rsid w:val="786D0A02"/>
    <w:rsid w:val="786DA1FC"/>
    <w:rsid w:val="786F3BCB"/>
    <w:rsid w:val="786F3C23"/>
    <w:rsid w:val="786FAFF9"/>
    <w:rsid w:val="78708516"/>
    <w:rsid w:val="78720341"/>
    <w:rsid w:val="7872423B"/>
    <w:rsid w:val="78732CED"/>
    <w:rsid w:val="7874F19C"/>
    <w:rsid w:val="7875267A"/>
    <w:rsid w:val="7876332B"/>
    <w:rsid w:val="78766906"/>
    <w:rsid w:val="787767F0"/>
    <w:rsid w:val="7878845F"/>
    <w:rsid w:val="78797887"/>
    <w:rsid w:val="787A2364"/>
    <w:rsid w:val="787A5C4B"/>
    <w:rsid w:val="787AD286"/>
    <w:rsid w:val="787BCB79"/>
    <w:rsid w:val="787BDAA6"/>
    <w:rsid w:val="787C9440"/>
    <w:rsid w:val="787CD8D5"/>
    <w:rsid w:val="787D4DF0"/>
    <w:rsid w:val="787E142A"/>
    <w:rsid w:val="787E4133"/>
    <w:rsid w:val="787E4D3B"/>
    <w:rsid w:val="787EDF8E"/>
    <w:rsid w:val="787F00D6"/>
    <w:rsid w:val="787F2612"/>
    <w:rsid w:val="787F64BC"/>
    <w:rsid w:val="787F91E4"/>
    <w:rsid w:val="7881831D"/>
    <w:rsid w:val="7881D06F"/>
    <w:rsid w:val="7881F769"/>
    <w:rsid w:val="7882008A"/>
    <w:rsid w:val="788220C9"/>
    <w:rsid w:val="78824372"/>
    <w:rsid w:val="7882E3BD"/>
    <w:rsid w:val="78836750"/>
    <w:rsid w:val="788381C0"/>
    <w:rsid w:val="78844048"/>
    <w:rsid w:val="78844BAD"/>
    <w:rsid w:val="7884B0FF"/>
    <w:rsid w:val="78896963"/>
    <w:rsid w:val="788A88BA"/>
    <w:rsid w:val="788A9EF4"/>
    <w:rsid w:val="788B40CB"/>
    <w:rsid w:val="788C4506"/>
    <w:rsid w:val="788C73CB"/>
    <w:rsid w:val="788CEC2F"/>
    <w:rsid w:val="788EC626"/>
    <w:rsid w:val="788F1A5E"/>
    <w:rsid w:val="788F51CF"/>
    <w:rsid w:val="788FA5DA"/>
    <w:rsid w:val="788FA6BD"/>
    <w:rsid w:val="789010B0"/>
    <w:rsid w:val="78904D33"/>
    <w:rsid w:val="7890C38E"/>
    <w:rsid w:val="7891191E"/>
    <w:rsid w:val="78922DC4"/>
    <w:rsid w:val="78925983"/>
    <w:rsid w:val="789270A9"/>
    <w:rsid w:val="7892D3F7"/>
    <w:rsid w:val="78932923"/>
    <w:rsid w:val="78935F44"/>
    <w:rsid w:val="78938EC8"/>
    <w:rsid w:val="78940F4F"/>
    <w:rsid w:val="789498A2"/>
    <w:rsid w:val="7895FC72"/>
    <w:rsid w:val="78966B90"/>
    <w:rsid w:val="789733C0"/>
    <w:rsid w:val="789776AD"/>
    <w:rsid w:val="7897C75C"/>
    <w:rsid w:val="789817EE"/>
    <w:rsid w:val="7898DA32"/>
    <w:rsid w:val="789958DB"/>
    <w:rsid w:val="78999864"/>
    <w:rsid w:val="78999A00"/>
    <w:rsid w:val="789AC70B"/>
    <w:rsid w:val="789B2D6A"/>
    <w:rsid w:val="789BB8D4"/>
    <w:rsid w:val="789BEE22"/>
    <w:rsid w:val="789CAA41"/>
    <w:rsid w:val="789CCB0E"/>
    <w:rsid w:val="789D959C"/>
    <w:rsid w:val="789DE419"/>
    <w:rsid w:val="789F6EC8"/>
    <w:rsid w:val="789F73C8"/>
    <w:rsid w:val="789F89FA"/>
    <w:rsid w:val="789FE7F0"/>
    <w:rsid w:val="78A2A002"/>
    <w:rsid w:val="78A2F881"/>
    <w:rsid w:val="78A390C6"/>
    <w:rsid w:val="78A446A6"/>
    <w:rsid w:val="78A4548C"/>
    <w:rsid w:val="78A459FA"/>
    <w:rsid w:val="78A46CFC"/>
    <w:rsid w:val="78A490E3"/>
    <w:rsid w:val="78A5E352"/>
    <w:rsid w:val="78A69D5B"/>
    <w:rsid w:val="78A7F6A0"/>
    <w:rsid w:val="78A81C0B"/>
    <w:rsid w:val="78A8F926"/>
    <w:rsid w:val="78A94B0C"/>
    <w:rsid w:val="78AA679D"/>
    <w:rsid w:val="78AA6EAE"/>
    <w:rsid w:val="78ACC3F6"/>
    <w:rsid w:val="78AD16E8"/>
    <w:rsid w:val="78AD9150"/>
    <w:rsid w:val="78ADCABA"/>
    <w:rsid w:val="78B025A6"/>
    <w:rsid w:val="78B09EB9"/>
    <w:rsid w:val="78B1027D"/>
    <w:rsid w:val="78B17121"/>
    <w:rsid w:val="78B1D553"/>
    <w:rsid w:val="78B32635"/>
    <w:rsid w:val="78B32F7B"/>
    <w:rsid w:val="78B38E17"/>
    <w:rsid w:val="78B449D5"/>
    <w:rsid w:val="78B48A2B"/>
    <w:rsid w:val="78B4A74C"/>
    <w:rsid w:val="78B62073"/>
    <w:rsid w:val="78B6E876"/>
    <w:rsid w:val="78B8C1EA"/>
    <w:rsid w:val="78B954C7"/>
    <w:rsid w:val="78B9E7D0"/>
    <w:rsid w:val="78BA71F1"/>
    <w:rsid w:val="78BA8533"/>
    <w:rsid w:val="78BA8FB1"/>
    <w:rsid w:val="78BAF624"/>
    <w:rsid w:val="78BAFF41"/>
    <w:rsid w:val="78BBD869"/>
    <w:rsid w:val="78BC4A1F"/>
    <w:rsid w:val="78BCCD4E"/>
    <w:rsid w:val="78BD04B2"/>
    <w:rsid w:val="78BD088C"/>
    <w:rsid w:val="78BD2764"/>
    <w:rsid w:val="78BDC02B"/>
    <w:rsid w:val="78BDDC70"/>
    <w:rsid w:val="78BEC687"/>
    <w:rsid w:val="78BFC349"/>
    <w:rsid w:val="78C05149"/>
    <w:rsid w:val="78C0ED2C"/>
    <w:rsid w:val="78C1D179"/>
    <w:rsid w:val="78C24A7A"/>
    <w:rsid w:val="78C36320"/>
    <w:rsid w:val="78C4B91C"/>
    <w:rsid w:val="78C5696B"/>
    <w:rsid w:val="78C5CC2E"/>
    <w:rsid w:val="78C5F301"/>
    <w:rsid w:val="78C6E70E"/>
    <w:rsid w:val="78C71D88"/>
    <w:rsid w:val="78C78242"/>
    <w:rsid w:val="78C8E783"/>
    <w:rsid w:val="78C8F81F"/>
    <w:rsid w:val="78C98A1D"/>
    <w:rsid w:val="78C9BAFA"/>
    <w:rsid w:val="78C9C3CB"/>
    <w:rsid w:val="78CA368F"/>
    <w:rsid w:val="78CA5CF8"/>
    <w:rsid w:val="78CB6F86"/>
    <w:rsid w:val="78CBF79F"/>
    <w:rsid w:val="78CCAD0D"/>
    <w:rsid w:val="78CD0262"/>
    <w:rsid w:val="78CD0CE8"/>
    <w:rsid w:val="78CDA8FE"/>
    <w:rsid w:val="78CDE051"/>
    <w:rsid w:val="78CE6878"/>
    <w:rsid w:val="78CF29BF"/>
    <w:rsid w:val="78CFE7F3"/>
    <w:rsid w:val="78CFFD2F"/>
    <w:rsid w:val="78D080A8"/>
    <w:rsid w:val="78D190A8"/>
    <w:rsid w:val="78D25327"/>
    <w:rsid w:val="78D2E2A2"/>
    <w:rsid w:val="78D2EBEC"/>
    <w:rsid w:val="78D3E5A5"/>
    <w:rsid w:val="78D4E62C"/>
    <w:rsid w:val="78D537A1"/>
    <w:rsid w:val="78D58EDB"/>
    <w:rsid w:val="78D5C4F0"/>
    <w:rsid w:val="78D5E496"/>
    <w:rsid w:val="78D633A4"/>
    <w:rsid w:val="78D755E4"/>
    <w:rsid w:val="78D7F4C7"/>
    <w:rsid w:val="78D81300"/>
    <w:rsid w:val="78D9D49C"/>
    <w:rsid w:val="78DA79FF"/>
    <w:rsid w:val="78DAC198"/>
    <w:rsid w:val="78DAEB14"/>
    <w:rsid w:val="78DB92A7"/>
    <w:rsid w:val="78DBDB17"/>
    <w:rsid w:val="78DC1E80"/>
    <w:rsid w:val="78DD644A"/>
    <w:rsid w:val="78DD73F8"/>
    <w:rsid w:val="78DD9A0C"/>
    <w:rsid w:val="78DE100F"/>
    <w:rsid w:val="78DE2A3A"/>
    <w:rsid w:val="78DE6ADF"/>
    <w:rsid w:val="78DE7D07"/>
    <w:rsid w:val="78DECA0F"/>
    <w:rsid w:val="78DEF31A"/>
    <w:rsid w:val="78E04994"/>
    <w:rsid w:val="78E083DB"/>
    <w:rsid w:val="78E0AC91"/>
    <w:rsid w:val="78E0BD8D"/>
    <w:rsid w:val="78E12A0C"/>
    <w:rsid w:val="78E1AD18"/>
    <w:rsid w:val="78E21969"/>
    <w:rsid w:val="78E299E7"/>
    <w:rsid w:val="78E2BF85"/>
    <w:rsid w:val="78E2FE6F"/>
    <w:rsid w:val="78E34D2D"/>
    <w:rsid w:val="78E457E2"/>
    <w:rsid w:val="78E52B22"/>
    <w:rsid w:val="78E53844"/>
    <w:rsid w:val="78E53F2D"/>
    <w:rsid w:val="78E59AAB"/>
    <w:rsid w:val="78E59B26"/>
    <w:rsid w:val="78E5B2B3"/>
    <w:rsid w:val="78E60BE3"/>
    <w:rsid w:val="78E629FC"/>
    <w:rsid w:val="78E66A82"/>
    <w:rsid w:val="78E72F1D"/>
    <w:rsid w:val="78E851BE"/>
    <w:rsid w:val="78E913DF"/>
    <w:rsid w:val="78E92870"/>
    <w:rsid w:val="78E93F8F"/>
    <w:rsid w:val="78E969B3"/>
    <w:rsid w:val="78EA4BCA"/>
    <w:rsid w:val="78EAE7F7"/>
    <w:rsid w:val="78EB02B4"/>
    <w:rsid w:val="78EB19E8"/>
    <w:rsid w:val="78EB2796"/>
    <w:rsid w:val="78EB2D1F"/>
    <w:rsid w:val="78EB44C2"/>
    <w:rsid w:val="78EB995D"/>
    <w:rsid w:val="78EBF037"/>
    <w:rsid w:val="78ECA285"/>
    <w:rsid w:val="78ED1295"/>
    <w:rsid w:val="78ED2469"/>
    <w:rsid w:val="78EE314C"/>
    <w:rsid w:val="78EE535B"/>
    <w:rsid w:val="78EF15BE"/>
    <w:rsid w:val="78EF46AA"/>
    <w:rsid w:val="78EF7215"/>
    <w:rsid w:val="78F01261"/>
    <w:rsid w:val="78F01384"/>
    <w:rsid w:val="78F06F07"/>
    <w:rsid w:val="78F0F75A"/>
    <w:rsid w:val="78F16B87"/>
    <w:rsid w:val="78F20CAB"/>
    <w:rsid w:val="78F26101"/>
    <w:rsid w:val="78F2EC30"/>
    <w:rsid w:val="78F35F3D"/>
    <w:rsid w:val="78F3B2A1"/>
    <w:rsid w:val="78F42E67"/>
    <w:rsid w:val="78F4589B"/>
    <w:rsid w:val="78F4E7DE"/>
    <w:rsid w:val="78F53B1E"/>
    <w:rsid w:val="78F59B5D"/>
    <w:rsid w:val="78F713FC"/>
    <w:rsid w:val="78F73419"/>
    <w:rsid w:val="78F84048"/>
    <w:rsid w:val="78F89631"/>
    <w:rsid w:val="78F8BD1C"/>
    <w:rsid w:val="78F92897"/>
    <w:rsid w:val="78FAD9F9"/>
    <w:rsid w:val="78FB4D1F"/>
    <w:rsid w:val="78FB9203"/>
    <w:rsid w:val="78FC824B"/>
    <w:rsid w:val="78FCF56A"/>
    <w:rsid w:val="78FD9F96"/>
    <w:rsid w:val="78FE6E40"/>
    <w:rsid w:val="78FE8A5C"/>
    <w:rsid w:val="78FF25C7"/>
    <w:rsid w:val="78FF9D6B"/>
    <w:rsid w:val="78FFD9E1"/>
    <w:rsid w:val="78FFF995"/>
    <w:rsid w:val="79004CE8"/>
    <w:rsid w:val="7900A06D"/>
    <w:rsid w:val="7900A120"/>
    <w:rsid w:val="7900ADCE"/>
    <w:rsid w:val="7900B4A7"/>
    <w:rsid w:val="7900D11F"/>
    <w:rsid w:val="79017A39"/>
    <w:rsid w:val="79026613"/>
    <w:rsid w:val="7902D233"/>
    <w:rsid w:val="79030911"/>
    <w:rsid w:val="79039467"/>
    <w:rsid w:val="790413B4"/>
    <w:rsid w:val="7904EB14"/>
    <w:rsid w:val="7905CF93"/>
    <w:rsid w:val="7905F45D"/>
    <w:rsid w:val="79063819"/>
    <w:rsid w:val="79065356"/>
    <w:rsid w:val="79068296"/>
    <w:rsid w:val="7906B8F1"/>
    <w:rsid w:val="79075B76"/>
    <w:rsid w:val="7907E8A7"/>
    <w:rsid w:val="7907FFCF"/>
    <w:rsid w:val="790888A2"/>
    <w:rsid w:val="7908AA09"/>
    <w:rsid w:val="7908C685"/>
    <w:rsid w:val="7908E282"/>
    <w:rsid w:val="7909D39F"/>
    <w:rsid w:val="790A4443"/>
    <w:rsid w:val="790ACC05"/>
    <w:rsid w:val="790ADAEC"/>
    <w:rsid w:val="790AE02D"/>
    <w:rsid w:val="790B7791"/>
    <w:rsid w:val="790BDAA2"/>
    <w:rsid w:val="790C8542"/>
    <w:rsid w:val="790D3EB1"/>
    <w:rsid w:val="790D804C"/>
    <w:rsid w:val="790DD26E"/>
    <w:rsid w:val="790E09E3"/>
    <w:rsid w:val="790E8B49"/>
    <w:rsid w:val="790EA55F"/>
    <w:rsid w:val="790EC9FF"/>
    <w:rsid w:val="790FACB3"/>
    <w:rsid w:val="790FD0AD"/>
    <w:rsid w:val="79101884"/>
    <w:rsid w:val="79103FCA"/>
    <w:rsid w:val="79105719"/>
    <w:rsid w:val="7910AA89"/>
    <w:rsid w:val="7910AFDB"/>
    <w:rsid w:val="7911162D"/>
    <w:rsid w:val="7911DE72"/>
    <w:rsid w:val="79126E37"/>
    <w:rsid w:val="791289A9"/>
    <w:rsid w:val="7912EDFD"/>
    <w:rsid w:val="7913AE83"/>
    <w:rsid w:val="7913E3C5"/>
    <w:rsid w:val="7913EF62"/>
    <w:rsid w:val="7913F3D0"/>
    <w:rsid w:val="7913FD7F"/>
    <w:rsid w:val="79142938"/>
    <w:rsid w:val="7914452E"/>
    <w:rsid w:val="79146406"/>
    <w:rsid w:val="79150CEA"/>
    <w:rsid w:val="79151CDC"/>
    <w:rsid w:val="791520CC"/>
    <w:rsid w:val="7915C0C7"/>
    <w:rsid w:val="79163409"/>
    <w:rsid w:val="791657ED"/>
    <w:rsid w:val="79168208"/>
    <w:rsid w:val="7917BA6A"/>
    <w:rsid w:val="79182BAE"/>
    <w:rsid w:val="79184045"/>
    <w:rsid w:val="79188E9E"/>
    <w:rsid w:val="7918A0A5"/>
    <w:rsid w:val="7919740C"/>
    <w:rsid w:val="79197FA2"/>
    <w:rsid w:val="7919D0F8"/>
    <w:rsid w:val="791A5418"/>
    <w:rsid w:val="791A5986"/>
    <w:rsid w:val="791B5784"/>
    <w:rsid w:val="791BF231"/>
    <w:rsid w:val="791BF6DB"/>
    <w:rsid w:val="791C73F3"/>
    <w:rsid w:val="791D90A2"/>
    <w:rsid w:val="791DC12B"/>
    <w:rsid w:val="791E5D11"/>
    <w:rsid w:val="791F10F4"/>
    <w:rsid w:val="791F2D3E"/>
    <w:rsid w:val="791F54A1"/>
    <w:rsid w:val="791F8E61"/>
    <w:rsid w:val="791F8F4A"/>
    <w:rsid w:val="7920294F"/>
    <w:rsid w:val="7920499B"/>
    <w:rsid w:val="79207598"/>
    <w:rsid w:val="7920ADD1"/>
    <w:rsid w:val="792192C2"/>
    <w:rsid w:val="7922A4B2"/>
    <w:rsid w:val="79230DA5"/>
    <w:rsid w:val="7923CCA1"/>
    <w:rsid w:val="792434EE"/>
    <w:rsid w:val="7924A595"/>
    <w:rsid w:val="7924CD90"/>
    <w:rsid w:val="79255371"/>
    <w:rsid w:val="79260352"/>
    <w:rsid w:val="79279DF2"/>
    <w:rsid w:val="79297BD2"/>
    <w:rsid w:val="79298AA7"/>
    <w:rsid w:val="792A88AF"/>
    <w:rsid w:val="792B59AD"/>
    <w:rsid w:val="792B8E68"/>
    <w:rsid w:val="792BA63F"/>
    <w:rsid w:val="792BF8C6"/>
    <w:rsid w:val="792C0928"/>
    <w:rsid w:val="792CBE4E"/>
    <w:rsid w:val="792CD51E"/>
    <w:rsid w:val="792D9298"/>
    <w:rsid w:val="792DA05A"/>
    <w:rsid w:val="792DD22E"/>
    <w:rsid w:val="792E6D01"/>
    <w:rsid w:val="792E89C3"/>
    <w:rsid w:val="792F7470"/>
    <w:rsid w:val="792F7FD2"/>
    <w:rsid w:val="792F971F"/>
    <w:rsid w:val="792FDE43"/>
    <w:rsid w:val="79308AC5"/>
    <w:rsid w:val="7930B604"/>
    <w:rsid w:val="7930D725"/>
    <w:rsid w:val="7931987B"/>
    <w:rsid w:val="7932542C"/>
    <w:rsid w:val="7932E4F5"/>
    <w:rsid w:val="793347B4"/>
    <w:rsid w:val="7933D80A"/>
    <w:rsid w:val="7934E672"/>
    <w:rsid w:val="79350D1E"/>
    <w:rsid w:val="793537F6"/>
    <w:rsid w:val="7935E033"/>
    <w:rsid w:val="79369AED"/>
    <w:rsid w:val="79369D63"/>
    <w:rsid w:val="7937192D"/>
    <w:rsid w:val="793799BF"/>
    <w:rsid w:val="79387557"/>
    <w:rsid w:val="79387869"/>
    <w:rsid w:val="79389F7E"/>
    <w:rsid w:val="7938AFF6"/>
    <w:rsid w:val="79393218"/>
    <w:rsid w:val="7939F702"/>
    <w:rsid w:val="793AA6D5"/>
    <w:rsid w:val="793B0698"/>
    <w:rsid w:val="793BD0EC"/>
    <w:rsid w:val="793CCC29"/>
    <w:rsid w:val="793CE437"/>
    <w:rsid w:val="793D8AFF"/>
    <w:rsid w:val="793DD90B"/>
    <w:rsid w:val="793E75A2"/>
    <w:rsid w:val="793EA9C4"/>
    <w:rsid w:val="793EC62E"/>
    <w:rsid w:val="793ED3EF"/>
    <w:rsid w:val="793F0C20"/>
    <w:rsid w:val="794058FA"/>
    <w:rsid w:val="7940BA1F"/>
    <w:rsid w:val="79413BEE"/>
    <w:rsid w:val="79413E6D"/>
    <w:rsid w:val="79433F13"/>
    <w:rsid w:val="7943B0D9"/>
    <w:rsid w:val="7943E34F"/>
    <w:rsid w:val="7943F236"/>
    <w:rsid w:val="79445426"/>
    <w:rsid w:val="7944C0FC"/>
    <w:rsid w:val="79454783"/>
    <w:rsid w:val="7945E807"/>
    <w:rsid w:val="7946131D"/>
    <w:rsid w:val="7947AFB0"/>
    <w:rsid w:val="794805E7"/>
    <w:rsid w:val="7948C14F"/>
    <w:rsid w:val="7949300C"/>
    <w:rsid w:val="79495649"/>
    <w:rsid w:val="79499F8F"/>
    <w:rsid w:val="794A2F2E"/>
    <w:rsid w:val="794B8CA7"/>
    <w:rsid w:val="794C7EA6"/>
    <w:rsid w:val="794C9553"/>
    <w:rsid w:val="794CCC02"/>
    <w:rsid w:val="794ECFF9"/>
    <w:rsid w:val="79504AA8"/>
    <w:rsid w:val="7950C84E"/>
    <w:rsid w:val="79524EEC"/>
    <w:rsid w:val="79526045"/>
    <w:rsid w:val="79529209"/>
    <w:rsid w:val="7952C047"/>
    <w:rsid w:val="79534AA4"/>
    <w:rsid w:val="7953C750"/>
    <w:rsid w:val="79552116"/>
    <w:rsid w:val="795579B3"/>
    <w:rsid w:val="7956B055"/>
    <w:rsid w:val="7956C94E"/>
    <w:rsid w:val="7956EC4A"/>
    <w:rsid w:val="7956FFCC"/>
    <w:rsid w:val="7957259A"/>
    <w:rsid w:val="79574BD5"/>
    <w:rsid w:val="79582986"/>
    <w:rsid w:val="795906BF"/>
    <w:rsid w:val="7959477E"/>
    <w:rsid w:val="7959C670"/>
    <w:rsid w:val="795AE9E8"/>
    <w:rsid w:val="795B22FB"/>
    <w:rsid w:val="795B3274"/>
    <w:rsid w:val="795C48C8"/>
    <w:rsid w:val="795C59BD"/>
    <w:rsid w:val="795D4C77"/>
    <w:rsid w:val="795E35EC"/>
    <w:rsid w:val="795F1F3C"/>
    <w:rsid w:val="795F4389"/>
    <w:rsid w:val="795F6DBD"/>
    <w:rsid w:val="795F994A"/>
    <w:rsid w:val="796032E5"/>
    <w:rsid w:val="7960505F"/>
    <w:rsid w:val="796143A3"/>
    <w:rsid w:val="79614FCD"/>
    <w:rsid w:val="7961CEBF"/>
    <w:rsid w:val="79623E07"/>
    <w:rsid w:val="79632CF3"/>
    <w:rsid w:val="79641831"/>
    <w:rsid w:val="7964CC1A"/>
    <w:rsid w:val="7964DBF6"/>
    <w:rsid w:val="79651CCE"/>
    <w:rsid w:val="79651EC0"/>
    <w:rsid w:val="79653FA7"/>
    <w:rsid w:val="79659529"/>
    <w:rsid w:val="7965A522"/>
    <w:rsid w:val="7966D04E"/>
    <w:rsid w:val="7966EC9F"/>
    <w:rsid w:val="7967A8D5"/>
    <w:rsid w:val="79681FA3"/>
    <w:rsid w:val="79684CDC"/>
    <w:rsid w:val="7968D425"/>
    <w:rsid w:val="7968E913"/>
    <w:rsid w:val="7968E9A9"/>
    <w:rsid w:val="7969DC21"/>
    <w:rsid w:val="796A41FF"/>
    <w:rsid w:val="796B0561"/>
    <w:rsid w:val="796B07C2"/>
    <w:rsid w:val="796B84E6"/>
    <w:rsid w:val="796BC213"/>
    <w:rsid w:val="796C2772"/>
    <w:rsid w:val="796C7715"/>
    <w:rsid w:val="796CB1CA"/>
    <w:rsid w:val="796D17F5"/>
    <w:rsid w:val="796D5FD7"/>
    <w:rsid w:val="79707517"/>
    <w:rsid w:val="79709AFF"/>
    <w:rsid w:val="7970A3ED"/>
    <w:rsid w:val="7970C8EC"/>
    <w:rsid w:val="7970CF26"/>
    <w:rsid w:val="797173F2"/>
    <w:rsid w:val="7971936E"/>
    <w:rsid w:val="7971E748"/>
    <w:rsid w:val="797227F7"/>
    <w:rsid w:val="79727A16"/>
    <w:rsid w:val="79727E92"/>
    <w:rsid w:val="797296F9"/>
    <w:rsid w:val="7972AD9E"/>
    <w:rsid w:val="7972CAC6"/>
    <w:rsid w:val="79734A0F"/>
    <w:rsid w:val="7973A666"/>
    <w:rsid w:val="7973D09F"/>
    <w:rsid w:val="79750A0E"/>
    <w:rsid w:val="797514A9"/>
    <w:rsid w:val="79753376"/>
    <w:rsid w:val="79754FBA"/>
    <w:rsid w:val="7975660D"/>
    <w:rsid w:val="79756EE1"/>
    <w:rsid w:val="7975B043"/>
    <w:rsid w:val="7975C77F"/>
    <w:rsid w:val="79765CAA"/>
    <w:rsid w:val="797687C5"/>
    <w:rsid w:val="79789B8A"/>
    <w:rsid w:val="7978A0AB"/>
    <w:rsid w:val="7979E5BA"/>
    <w:rsid w:val="7979FD2E"/>
    <w:rsid w:val="797B81F5"/>
    <w:rsid w:val="797BD633"/>
    <w:rsid w:val="797BE93D"/>
    <w:rsid w:val="797C260A"/>
    <w:rsid w:val="797CA61C"/>
    <w:rsid w:val="797CD39B"/>
    <w:rsid w:val="797CFFD2"/>
    <w:rsid w:val="797D0BF4"/>
    <w:rsid w:val="797D8F3C"/>
    <w:rsid w:val="797DC75A"/>
    <w:rsid w:val="797E41B7"/>
    <w:rsid w:val="797E6E61"/>
    <w:rsid w:val="7980C72A"/>
    <w:rsid w:val="7980F542"/>
    <w:rsid w:val="7981B1FD"/>
    <w:rsid w:val="798318DB"/>
    <w:rsid w:val="7983A3FA"/>
    <w:rsid w:val="79840DB1"/>
    <w:rsid w:val="79841E9B"/>
    <w:rsid w:val="7984658C"/>
    <w:rsid w:val="798494AD"/>
    <w:rsid w:val="79849BD9"/>
    <w:rsid w:val="798512C4"/>
    <w:rsid w:val="79855F0C"/>
    <w:rsid w:val="7985CE25"/>
    <w:rsid w:val="7985CF3A"/>
    <w:rsid w:val="7985D5F4"/>
    <w:rsid w:val="79865134"/>
    <w:rsid w:val="7986D980"/>
    <w:rsid w:val="798733BF"/>
    <w:rsid w:val="79875748"/>
    <w:rsid w:val="7987916B"/>
    <w:rsid w:val="7987A9FD"/>
    <w:rsid w:val="79882EDA"/>
    <w:rsid w:val="79884511"/>
    <w:rsid w:val="7989352A"/>
    <w:rsid w:val="79895C1A"/>
    <w:rsid w:val="798ADB1C"/>
    <w:rsid w:val="798AF217"/>
    <w:rsid w:val="798B8D55"/>
    <w:rsid w:val="798D2FC5"/>
    <w:rsid w:val="798D3ECF"/>
    <w:rsid w:val="798D6410"/>
    <w:rsid w:val="798DD59D"/>
    <w:rsid w:val="798EA720"/>
    <w:rsid w:val="798ED420"/>
    <w:rsid w:val="798EDCD7"/>
    <w:rsid w:val="798F4E1F"/>
    <w:rsid w:val="798FC945"/>
    <w:rsid w:val="798FF7CE"/>
    <w:rsid w:val="79901186"/>
    <w:rsid w:val="79901AAC"/>
    <w:rsid w:val="799023BF"/>
    <w:rsid w:val="79910661"/>
    <w:rsid w:val="79911FA9"/>
    <w:rsid w:val="79915EE5"/>
    <w:rsid w:val="79917E60"/>
    <w:rsid w:val="799229AF"/>
    <w:rsid w:val="79926623"/>
    <w:rsid w:val="79927052"/>
    <w:rsid w:val="799286DF"/>
    <w:rsid w:val="7992A943"/>
    <w:rsid w:val="79942DAF"/>
    <w:rsid w:val="7994373E"/>
    <w:rsid w:val="79943985"/>
    <w:rsid w:val="799465E0"/>
    <w:rsid w:val="7994B5B9"/>
    <w:rsid w:val="79950481"/>
    <w:rsid w:val="79957750"/>
    <w:rsid w:val="7995ABDA"/>
    <w:rsid w:val="7996160E"/>
    <w:rsid w:val="7996396D"/>
    <w:rsid w:val="7996BF0C"/>
    <w:rsid w:val="7996F1AB"/>
    <w:rsid w:val="7996FBCE"/>
    <w:rsid w:val="79976530"/>
    <w:rsid w:val="79984C0C"/>
    <w:rsid w:val="799884FE"/>
    <w:rsid w:val="7998FE1D"/>
    <w:rsid w:val="7999206B"/>
    <w:rsid w:val="799954ED"/>
    <w:rsid w:val="79999F29"/>
    <w:rsid w:val="799AA5AC"/>
    <w:rsid w:val="799B14F9"/>
    <w:rsid w:val="799B50CA"/>
    <w:rsid w:val="799B9716"/>
    <w:rsid w:val="799C1021"/>
    <w:rsid w:val="799C7059"/>
    <w:rsid w:val="799C723F"/>
    <w:rsid w:val="799D02B9"/>
    <w:rsid w:val="799DA130"/>
    <w:rsid w:val="799DEF04"/>
    <w:rsid w:val="799E4EF8"/>
    <w:rsid w:val="799E597C"/>
    <w:rsid w:val="799E920E"/>
    <w:rsid w:val="799ED648"/>
    <w:rsid w:val="799F5985"/>
    <w:rsid w:val="799F9F00"/>
    <w:rsid w:val="799FC92B"/>
    <w:rsid w:val="799FE4A8"/>
    <w:rsid w:val="79A057C6"/>
    <w:rsid w:val="79A1A0E3"/>
    <w:rsid w:val="79A1B158"/>
    <w:rsid w:val="79A30AB8"/>
    <w:rsid w:val="79A3143F"/>
    <w:rsid w:val="79A3E049"/>
    <w:rsid w:val="79A3F846"/>
    <w:rsid w:val="79A479A9"/>
    <w:rsid w:val="79A48799"/>
    <w:rsid w:val="79A53A53"/>
    <w:rsid w:val="79A5879A"/>
    <w:rsid w:val="79A65DF0"/>
    <w:rsid w:val="79A6782A"/>
    <w:rsid w:val="79A73726"/>
    <w:rsid w:val="79A74867"/>
    <w:rsid w:val="79A7957B"/>
    <w:rsid w:val="79A7AF3A"/>
    <w:rsid w:val="79A7ED70"/>
    <w:rsid w:val="79A807C9"/>
    <w:rsid w:val="79A9155A"/>
    <w:rsid w:val="79A94FE3"/>
    <w:rsid w:val="79A9C586"/>
    <w:rsid w:val="79AA0C22"/>
    <w:rsid w:val="79AABEED"/>
    <w:rsid w:val="79AAF713"/>
    <w:rsid w:val="79AC014D"/>
    <w:rsid w:val="79AC2082"/>
    <w:rsid w:val="79AC286A"/>
    <w:rsid w:val="79AC85C2"/>
    <w:rsid w:val="79AC9F86"/>
    <w:rsid w:val="79AD3B37"/>
    <w:rsid w:val="79ADDBB6"/>
    <w:rsid w:val="79AE240E"/>
    <w:rsid w:val="79AE8279"/>
    <w:rsid w:val="79AF0147"/>
    <w:rsid w:val="79AF7716"/>
    <w:rsid w:val="79AF904F"/>
    <w:rsid w:val="79B02918"/>
    <w:rsid w:val="79B03516"/>
    <w:rsid w:val="79B0431A"/>
    <w:rsid w:val="79B0781A"/>
    <w:rsid w:val="79B0CF6D"/>
    <w:rsid w:val="79B1714B"/>
    <w:rsid w:val="79B1E64C"/>
    <w:rsid w:val="79B29C4C"/>
    <w:rsid w:val="79B400C2"/>
    <w:rsid w:val="79B4066A"/>
    <w:rsid w:val="79B511D6"/>
    <w:rsid w:val="79B577E9"/>
    <w:rsid w:val="79B6431F"/>
    <w:rsid w:val="79B65826"/>
    <w:rsid w:val="79B6866F"/>
    <w:rsid w:val="79B6D013"/>
    <w:rsid w:val="79B72585"/>
    <w:rsid w:val="79B8CBF3"/>
    <w:rsid w:val="79B90423"/>
    <w:rsid w:val="79B91C8E"/>
    <w:rsid w:val="79B9827D"/>
    <w:rsid w:val="79B9A7BC"/>
    <w:rsid w:val="79B9D02C"/>
    <w:rsid w:val="79BA28DE"/>
    <w:rsid w:val="79BA296C"/>
    <w:rsid w:val="79BA9462"/>
    <w:rsid w:val="79BBBF4A"/>
    <w:rsid w:val="79BBE434"/>
    <w:rsid w:val="79BC1ACF"/>
    <w:rsid w:val="79BC5240"/>
    <w:rsid w:val="79BCCF17"/>
    <w:rsid w:val="79BD5319"/>
    <w:rsid w:val="79BD9C9A"/>
    <w:rsid w:val="79BE61FD"/>
    <w:rsid w:val="79BEAC5A"/>
    <w:rsid w:val="79BEDC82"/>
    <w:rsid w:val="79BFA0ED"/>
    <w:rsid w:val="79C097D4"/>
    <w:rsid w:val="79C0CB57"/>
    <w:rsid w:val="79C142E7"/>
    <w:rsid w:val="79C15674"/>
    <w:rsid w:val="79C15933"/>
    <w:rsid w:val="79C22394"/>
    <w:rsid w:val="79C2245E"/>
    <w:rsid w:val="79C2D903"/>
    <w:rsid w:val="79C2FECC"/>
    <w:rsid w:val="79C315FD"/>
    <w:rsid w:val="79C32057"/>
    <w:rsid w:val="79C3C371"/>
    <w:rsid w:val="79C42351"/>
    <w:rsid w:val="79C495B9"/>
    <w:rsid w:val="79C51430"/>
    <w:rsid w:val="79C52200"/>
    <w:rsid w:val="79C5CF47"/>
    <w:rsid w:val="79C5E3CC"/>
    <w:rsid w:val="79C5EFF4"/>
    <w:rsid w:val="79C65D19"/>
    <w:rsid w:val="79C7BF99"/>
    <w:rsid w:val="79C802CF"/>
    <w:rsid w:val="79C873CC"/>
    <w:rsid w:val="79C8891D"/>
    <w:rsid w:val="79C91FF4"/>
    <w:rsid w:val="79C9FECE"/>
    <w:rsid w:val="79CA429E"/>
    <w:rsid w:val="79CAB6A3"/>
    <w:rsid w:val="79CAD96E"/>
    <w:rsid w:val="79CAE455"/>
    <w:rsid w:val="79CB780D"/>
    <w:rsid w:val="79CC9C02"/>
    <w:rsid w:val="79CD2304"/>
    <w:rsid w:val="79CDDEF0"/>
    <w:rsid w:val="79CE73E3"/>
    <w:rsid w:val="79CE7905"/>
    <w:rsid w:val="79CEED91"/>
    <w:rsid w:val="79CF62F9"/>
    <w:rsid w:val="79CF7D1E"/>
    <w:rsid w:val="79D072E6"/>
    <w:rsid w:val="79D0D4DC"/>
    <w:rsid w:val="79D1324A"/>
    <w:rsid w:val="79D13971"/>
    <w:rsid w:val="79D35CB9"/>
    <w:rsid w:val="79D3918C"/>
    <w:rsid w:val="79D489FF"/>
    <w:rsid w:val="79D54E47"/>
    <w:rsid w:val="79D5674D"/>
    <w:rsid w:val="79D5D953"/>
    <w:rsid w:val="79D62D53"/>
    <w:rsid w:val="79D64E43"/>
    <w:rsid w:val="79D745A0"/>
    <w:rsid w:val="79D7CE47"/>
    <w:rsid w:val="79D805DD"/>
    <w:rsid w:val="79D83709"/>
    <w:rsid w:val="79DA1190"/>
    <w:rsid w:val="79DA425A"/>
    <w:rsid w:val="79DB550E"/>
    <w:rsid w:val="79DC8DA8"/>
    <w:rsid w:val="79DD5835"/>
    <w:rsid w:val="79DE08EE"/>
    <w:rsid w:val="79DE499F"/>
    <w:rsid w:val="79DF1E9E"/>
    <w:rsid w:val="79E1F9D8"/>
    <w:rsid w:val="79E2CFAD"/>
    <w:rsid w:val="79E39C6E"/>
    <w:rsid w:val="79E65E79"/>
    <w:rsid w:val="79E72764"/>
    <w:rsid w:val="79E72C99"/>
    <w:rsid w:val="79E81196"/>
    <w:rsid w:val="79E8D3EA"/>
    <w:rsid w:val="79E9DEB4"/>
    <w:rsid w:val="79EA44DC"/>
    <w:rsid w:val="79EB2405"/>
    <w:rsid w:val="79EB2EF1"/>
    <w:rsid w:val="79EBBB60"/>
    <w:rsid w:val="79ECFE6F"/>
    <w:rsid w:val="79EDC1D6"/>
    <w:rsid w:val="79EE82D4"/>
    <w:rsid w:val="79EEC68E"/>
    <w:rsid w:val="79EF7EC5"/>
    <w:rsid w:val="79EFAFB1"/>
    <w:rsid w:val="79F14288"/>
    <w:rsid w:val="79F17316"/>
    <w:rsid w:val="79F19472"/>
    <w:rsid w:val="79F254AB"/>
    <w:rsid w:val="79F261AE"/>
    <w:rsid w:val="79F26A24"/>
    <w:rsid w:val="79F29781"/>
    <w:rsid w:val="79F2B7C6"/>
    <w:rsid w:val="79F2D5DC"/>
    <w:rsid w:val="79F32553"/>
    <w:rsid w:val="79F355C9"/>
    <w:rsid w:val="79F39856"/>
    <w:rsid w:val="79F43DC5"/>
    <w:rsid w:val="79F46DF0"/>
    <w:rsid w:val="79F4C575"/>
    <w:rsid w:val="79F4E62B"/>
    <w:rsid w:val="79F4EB04"/>
    <w:rsid w:val="79F4EB64"/>
    <w:rsid w:val="79F57F0D"/>
    <w:rsid w:val="79F648B4"/>
    <w:rsid w:val="79F67251"/>
    <w:rsid w:val="79F6B0A2"/>
    <w:rsid w:val="79F6C38D"/>
    <w:rsid w:val="79F6D8CD"/>
    <w:rsid w:val="79F848F5"/>
    <w:rsid w:val="79F8A812"/>
    <w:rsid w:val="79F8DAC6"/>
    <w:rsid w:val="79FA3810"/>
    <w:rsid w:val="79FA4855"/>
    <w:rsid w:val="79FA8E26"/>
    <w:rsid w:val="79FAB05F"/>
    <w:rsid w:val="79FAC38C"/>
    <w:rsid w:val="79FACF49"/>
    <w:rsid w:val="79FB09C2"/>
    <w:rsid w:val="79FC322B"/>
    <w:rsid w:val="79FCBC07"/>
    <w:rsid w:val="79FD2ECE"/>
    <w:rsid w:val="79FDCD9D"/>
    <w:rsid w:val="79FDF42C"/>
    <w:rsid w:val="79FE620E"/>
    <w:rsid w:val="79FEEA52"/>
    <w:rsid w:val="79FEF57A"/>
    <w:rsid w:val="79FEF854"/>
    <w:rsid w:val="79FF4229"/>
    <w:rsid w:val="79FFD7B0"/>
    <w:rsid w:val="79FFF75C"/>
    <w:rsid w:val="7A00B447"/>
    <w:rsid w:val="7A0109D8"/>
    <w:rsid w:val="7A024FB4"/>
    <w:rsid w:val="7A02C4F8"/>
    <w:rsid w:val="7A0324E9"/>
    <w:rsid w:val="7A03FA35"/>
    <w:rsid w:val="7A04205C"/>
    <w:rsid w:val="7A045DB2"/>
    <w:rsid w:val="7A04918D"/>
    <w:rsid w:val="7A04F555"/>
    <w:rsid w:val="7A055FC5"/>
    <w:rsid w:val="7A0643C2"/>
    <w:rsid w:val="7A06ACDE"/>
    <w:rsid w:val="7A0750C5"/>
    <w:rsid w:val="7A07CA72"/>
    <w:rsid w:val="7A08C5D4"/>
    <w:rsid w:val="7A093C10"/>
    <w:rsid w:val="7A0980CB"/>
    <w:rsid w:val="7A0989F5"/>
    <w:rsid w:val="7A09948B"/>
    <w:rsid w:val="7A09F365"/>
    <w:rsid w:val="7A0A8F9D"/>
    <w:rsid w:val="7A0B490C"/>
    <w:rsid w:val="7A0C3B07"/>
    <w:rsid w:val="7A0C3C41"/>
    <w:rsid w:val="7A0D3E7A"/>
    <w:rsid w:val="7A0DF7AA"/>
    <w:rsid w:val="7A0E6FCA"/>
    <w:rsid w:val="7A0EFF8B"/>
    <w:rsid w:val="7A0F589D"/>
    <w:rsid w:val="7A0F9F6B"/>
    <w:rsid w:val="7A0FFBC7"/>
    <w:rsid w:val="7A10431D"/>
    <w:rsid w:val="7A106791"/>
    <w:rsid w:val="7A1078A3"/>
    <w:rsid w:val="7A10B4F0"/>
    <w:rsid w:val="7A10F15C"/>
    <w:rsid w:val="7A128A7C"/>
    <w:rsid w:val="7A12AA51"/>
    <w:rsid w:val="7A13537B"/>
    <w:rsid w:val="7A14646F"/>
    <w:rsid w:val="7A147C48"/>
    <w:rsid w:val="7A15367B"/>
    <w:rsid w:val="7A155563"/>
    <w:rsid w:val="7A166EA9"/>
    <w:rsid w:val="7A16CA01"/>
    <w:rsid w:val="7A16E753"/>
    <w:rsid w:val="7A18A311"/>
    <w:rsid w:val="7A199054"/>
    <w:rsid w:val="7A1A3C04"/>
    <w:rsid w:val="7A1B4479"/>
    <w:rsid w:val="7A1B44CB"/>
    <w:rsid w:val="7A1C2A65"/>
    <w:rsid w:val="7A1C3AC8"/>
    <w:rsid w:val="7A1C6994"/>
    <w:rsid w:val="7A1DC20B"/>
    <w:rsid w:val="7A1E13EC"/>
    <w:rsid w:val="7A1E81A9"/>
    <w:rsid w:val="7A1F0979"/>
    <w:rsid w:val="7A1F6FBF"/>
    <w:rsid w:val="7A1FF4D6"/>
    <w:rsid w:val="7A20F1E3"/>
    <w:rsid w:val="7A20F3D8"/>
    <w:rsid w:val="7A2105B8"/>
    <w:rsid w:val="7A212888"/>
    <w:rsid w:val="7A214EE7"/>
    <w:rsid w:val="7A216B81"/>
    <w:rsid w:val="7A216DCD"/>
    <w:rsid w:val="7A223452"/>
    <w:rsid w:val="7A225940"/>
    <w:rsid w:val="7A228598"/>
    <w:rsid w:val="7A228FF1"/>
    <w:rsid w:val="7A231BCD"/>
    <w:rsid w:val="7A23F387"/>
    <w:rsid w:val="7A2441EC"/>
    <w:rsid w:val="7A24782A"/>
    <w:rsid w:val="7A24CAD9"/>
    <w:rsid w:val="7A252885"/>
    <w:rsid w:val="7A25A672"/>
    <w:rsid w:val="7A267B0C"/>
    <w:rsid w:val="7A26AAF2"/>
    <w:rsid w:val="7A26B198"/>
    <w:rsid w:val="7A27F467"/>
    <w:rsid w:val="7A286E59"/>
    <w:rsid w:val="7A28D174"/>
    <w:rsid w:val="7A28F2D0"/>
    <w:rsid w:val="7A28F735"/>
    <w:rsid w:val="7A296C62"/>
    <w:rsid w:val="7A2B133F"/>
    <w:rsid w:val="7A2C13F8"/>
    <w:rsid w:val="7A2C3077"/>
    <w:rsid w:val="7A2C5C38"/>
    <w:rsid w:val="7A2CE8FD"/>
    <w:rsid w:val="7A2D1454"/>
    <w:rsid w:val="7A2D3E64"/>
    <w:rsid w:val="7A2D48E8"/>
    <w:rsid w:val="7A2F7388"/>
    <w:rsid w:val="7A301311"/>
    <w:rsid w:val="7A30AFC8"/>
    <w:rsid w:val="7A31457E"/>
    <w:rsid w:val="7A316C7A"/>
    <w:rsid w:val="7A319E4A"/>
    <w:rsid w:val="7A31B295"/>
    <w:rsid w:val="7A31BB52"/>
    <w:rsid w:val="7A322268"/>
    <w:rsid w:val="7A324719"/>
    <w:rsid w:val="7A32790F"/>
    <w:rsid w:val="7A32B975"/>
    <w:rsid w:val="7A33FDDA"/>
    <w:rsid w:val="7A342A45"/>
    <w:rsid w:val="7A343ADC"/>
    <w:rsid w:val="7A344753"/>
    <w:rsid w:val="7A35FBAE"/>
    <w:rsid w:val="7A361E51"/>
    <w:rsid w:val="7A362D72"/>
    <w:rsid w:val="7A3678F8"/>
    <w:rsid w:val="7A36B998"/>
    <w:rsid w:val="7A36C63E"/>
    <w:rsid w:val="7A375BBD"/>
    <w:rsid w:val="7A37A265"/>
    <w:rsid w:val="7A37AF1C"/>
    <w:rsid w:val="7A37BF92"/>
    <w:rsid w:val="7A385BD4"/>
    <w:rsid w:val="7A387257"/>
    <w:rsid w:val="7A38EFDB"/>
    <w:rsid w:val="7A38FF9B"/>
    <w:rsid w:val="7A3AF414"/>
    <w:rsid w:val="7A3B8C83"/>
    <w:rsid w:val="7A3BA36A"/>
    <w:rsid w:val="7A3C2540"/>
    <w:rsid w:val="7A3C96A9"/>
    <w:rsid w:val="7A3D4779"/>
    <w:rsid w:val="7A3D874D"/>
    <w:rsid w:val="7A40035F"/>
    <w:rsid w:val="7A402024"/>
    <w:rsid w:val="7A406012"/>
    <w:rsid w:val="7A409944"/>
    <w:rsid w:val="7A40CFA7"/>
    <w:rsid w:val="7A40D08F"/>
    <w:rsid w:val="7A40DBAC"/>
    <w:rsid w:val="7A414C2F"/>
    <w:rsid w:val="7A4195F5"/>
    <w:rsid w:val="7A4202FB"/>
    <w:rsid w:val="7A420A9A"/>
    <w:rsid w:val="7A45C472"/>
    <w:rsid w:val="7A45FF0D"/>
    <w:rsid w:val="7A460F01"/>
    <w:rsid w:val="7A46344E"/>
    <w:rsid w:val="7A46AC9C"/>
    <w:rsid w:val="7A47848A"/>
    <w:rsid w:val="7A486663"/>
    <w:rsid w:val="7A48975E"/>
    <w:rsid w:val="7A48B5DD"/>
    <w:rsid w:val="7A48EEA4"/>
    <w:rsid w:val="7A48FE69"/>
    <w:rsid w:val="7A490189"/>
    <w:rsid w:val="7A497CA4"/>
    <w:rsid w:val="7A4A4257"/>
    <w:rsid w:val="7A4C7722"/>
    <w:rsid w:val="7A4D006A"/>
    <w:rsid w:val="7A4D4874"/>
    <w:rsid w:val="7A4DB1C1"/>
    <w:rsid w:val="7A4E3725"/>
    <w:rsid w:val="7A4FF2E0"/>
    <w:rsid w:val="7A4FF68F"/>
    <w:rsid w:val="7A509628"/>
    <w:rsid w:val="7A51157A"/>
    <w:rsid w:val="7A5205D9"/>
    <w:rsid w:val="7A528D2D"/>
    <w:rsid w:val="7A529943"/>
    <w:rsid w:val="7A533F7F"/>
    <w:rsid w:val="7A535DAF"/>
    <w:rsid w:val="7A54D74F"/>
    <w:rsid w:val="7A56CFB1"/>
    <w:rsid w:val="7A57C280"/>
    <w:rsid w:val="7A586833"/>
    <w:rsid w:val="7A593E72"/>
    <w:rsid w:val="7A5B1269"/>
    <w:rsid w:val="7A5C1D67"/>
    <w:rsid w:val="7A5C5A2D"/>
    <w:rsid w:val="7A5C5D0B"/>
    <w:rsid w:val="7A5C9EBB"/>
    <w:rsid w:val="7A5D0625"/>
    <w:rsid w:val="7A5D59B7"/>
    <w:rsid w:val="7A5D5D3B"/>
    <w:rsid w:val="7A5EB9DE"/>
    <w:rsid w:val="7A5EE68B"/>
    <w:rsid w:val="7A5EECF3"/>
    <w:rsid w:val="7A606008"/>
    <w:rsid w:val="7A62153F"/>
    <w:rsid w:val="7A6259C1"/>
    <w:rsid w:val="7A627F5A"/>
    <w:rsid w:val="7A6335B9"/>
    <w:rsid w:val="7A63644A"/>
    <w:rsid w:val="7A64196D"/>
    <w:rsid w:val="7A64D2F0"/>
    <w:rsid w:val="7A6509AE"/>
    <w:rsid w:val="7A6536C8"/>
    <w:rsid w:val="7A658956"/>
    <w:rsid w:val="7A673D03"/>
    <w:rsid w:val="7A681C35"/>
    <w:rsid w:val="7A684C29"/>
    <w:rsid w:val="7A686730"/>
    <w:rsid w:val="7A68997A"/>
    <w:rsid w:val="7A68E3E4"/>
    <w:rsid w:val="7A695D21"/>
    <w:rsid w:val="7A697F80"/>
    <w:rsid w:val="7A69C78C"/>
    <w:rsid w:val="7A6A9705"/>
    <w:rsid w:val="7A6B833C"/>
    <w:rsid w:val="7A6BA493"/>
    <w:rsid w:val="7A6C6CC5"/>
    <w:rsid w:val="7A6CD207"/>
    <w:rsid w:val="7A6D8330"/>
    <w:rsid w:val="7A6DAFF9"/>
    <w:rsid w:val="7A6E09F8"/>
    <w:rsid w:val="7A6FE4D5"/>
    <w:rsid w:val="7A6FFF06"/>
    <w:rsid w:val="7A70B6A3"/>
    <w:rsid w:val="7A70F73D"/>
    <w:rsid w:val="7A716529"/>
    <w:rsid w:val="7A71C401"/>
    <w:rsid w:val="7A72698F"/>
    <w:rsid w:val="7A73328B"/>
    <w:rsid w:val="7A739843"/>
    <w:rsid w:val="7A741F99"/>
    <w:rsid w:val="7A74C2DD"/>
    <w:rsid w:val="7A74DF7F"/>
    <w:rsid w:val="7A75FA4F"/>
    <w:rsid w:val="7A765DC5"/>
    <w:rsid w:val="7A7754B1"/>
    <w:rsid w:val="7A7783DB"/>
    <w:rsid w:val="7A77F125"/>
    <w:rsid w:val="7A785A8E"/>
    <w:rsid w:val="7A789499"/>
    <w:rsid w:val="7A78DDF4"/>
    <w:rsid w:val="7A790E40"/>
    <w:rsid w:val="7A7945CB"/>
    <w:rsid w:val="7A798676"/>
    <w:rsid w:val="7A798FF6"/>
    <w:rsid w:val="7A7A475C"/>
    <w:rsid w:val="7A7AC8BC"/>
    <w:rsid w:val="7A7ACECF"/>
    <w:rsid w:val="7A7B88E1"/>
    <w:rsid w:val="7A7BC361"/>
    <w:rsid w:val="7A7BD0D8"/>
    <w:rsid w:val="7A7C374C"/>
    <w:rsid w:val="7A7D42EC"/>
    <w:rsid w:val="7A7DE446"/>
    <w:rsid w:val="7A7EEA4E"/>
    <w:rsid w:val="7A7F0168"/>
    <w:rsid w:val="7A7F07D4"/>
    <w:rsid w:val="7A8058C9"/>
    <w:rsid w:val="7A80A498"/>
    <w:rsid w:val="7A80A6AA"/>
    <w:rsid w:val="7A81B5C9"/>
    <w:rsid w:val="7A825CEE"/>
    <w:rsid w:val="7A82A972"/>
    <w:rsid w:val="7A838BB8"/>
    <w:rsid w:val="7A83DBFB"/>
    <w:rsid w:val="7A83EF7A"/>
    <w:rsid w:val="7A855FA6"/>
    <w:rsid w:val="7A8667A2"/>
    <w:rsid w:val="7A86D42A"/>
    <w:rsid w:val="7A87DC27"/>
    <w:rsid w:val="7A880544"/>
    <w:rsid w:val="7A8861E1"/>
    <w:rsid w:val="7A88908D"/>
    <w:rsid w:val="7A89E3D7"/>
    <w:rsid w:val="7A8A3ABE"/>
    <w:rsid w:val="7A8B7951"/>
    <w:rsid w:val="7A8C2086"/>
    <w:rsid w:val="7A8D05E8"/>
    <w:rsid w:val="7A8D31B1"/>
    <w:rsid w:val="7A8D7038"/>
    <w:rsid w:val="7A8EE751"/>
    <w:rsid w:val="7A8FE14E"/>
    <w:rsid w:val="7A8FF081"/>
    <w:rsid w:val="7A90983E"/>
    <w:rsid w:val="7A914C6E"/>
    <w:rsid w:val="7A91D604"/>
    <w:rsid w:val="7A92DBA4"/>
    <w:rsid w:val="7A93DA3B"/>
    <w:rsid w:val="7A947C7C"/>
    <w:rsid w:val="7A9508D5"/>
    <w:rsid w:val="7A95CA87"/>
    <w:rsid w:val="7A95FE4F"/>
    <w:rsid w:val="7A97EED2"/>
    <w:rsid w:val="7A9866C7"/>
    <w:rsid w:val="7A9881C1"/>
    <w:rsid w:val="7A98AEE0"/>
    <w:rsid w:val="7A9923F3"/>
    <w:rsid w:val="7A999C19"/>
    <w:rsid w:val="7A99A5FF"/>
    <w:rsid w:val="7A9A3B28"/>
    <w:rsid w:val="7A9A96FC"/>
    <w:rsid w:val="7A9AC135"/>
    <w:rsid w:val="7A9ACA77"/>
    <w:rsid w:val="7A9C0C4E"/>
    <w:rsid w:val="7A9D522C"/>
    <w:rsid w:val="7A9E6147"/>
    <w:rsid w:val="7A9E649A"/>
    <w:rsid w:val="7A9FD1E9"/>
    <w:rsid w:val="7A9FE576"/>
    <w:rsid w:val="7AA09357"/>
    <w:rsid w:val="7AA0C2A3"/>
    <w:rsid w:val="7AA0F8BA"/>
    <w:rsid w:val="7AA11BED"/>
    <w:rsid w:val="7AA12A60"/>
    <w:rsid w:val="7AA1542C"/>
    <w:rsid w:val="7AA1BE86"/>
    <w:rsid w:val="7AA2DA8F"/>
    <w:rsid w:val="7AA3C97B"/>
    <w:rsid w:val="7AA3D99F"/>
    <w:rsid w:val="7AA63104"/>
    <w:rsid w:val="7AA7742C"/>
    <w:rsid w:val="7AA80835"/>
    <w:rsid w:val="7AA8D816"/>
    <w:rsid w:val="7AA91CFA"/>
    <w:rsid w:val="7AA9D25D"/>
    <w:rsid w:val="7AAA1064"/>
    <w:rsid w:val="7AAA61CD"/>
    <w:rsid w:val="7AAADF20"/>
    <w:rsid w:val="7AAB4DF8"/>
    <w:rsid w:val="7AAB578B"/>
    <w:rsid w:val="7AAB868E"/>
    <w:rsid w:val="7AAB96B5"/>
    <w:rsid w:val="7AABC2A1"/>
    <w:rsid w:val="7AACA1EB"/>
    <w:rsid w:val="7AAD91D8"/>
    <w:rsid w:val="7AADA768"/>
    <w:rsid w:val="7AAEA6FB"/>
    <w:rsid w:val="7AAEEC28"/>
    <w:rsid w:val="7AAEEDA1"/>
    <w:rsid w:val="7AAF35CB"/>
    <w:rsid w:val="7AB0164B"/>
    <w:rsid w:val="7AB0517E"/>
    <w:rsid w:val="7AB0AD7E"/>
    <w:rsid w:val="7AB190F5"/>
    <w:rsid w:val="7AB1ACF0"/>
    <w:rsid w:val="7AB1D21B"/>
    <w:rsid w:val="7AB339FE"/>
    <w:rsid w:val="7AB356F9"/>
    <w:rsid w:val="7AB391FA"/>
    <w:rsid w:val="7AB3976B"/>
    <w:rsid w:val="7AB46A56"/>
    <w:rsid w:val="7AB4B64D"/>
    <w:rsid w:val="7AB50D1D"/>
    <w:rsid w:val="7AB5F84E"/>
    <w:rsid w:val="7AB6803B"/>
    <w:rsid w:val="7AB7B2BC"/>
    <w:rsid w:val="7AB7EA23"/>
    <w:rsid w:val="7AB89F2E"/>
    <w:rsid w:val="7AB8FE9E"/>
    <w:rsid w:val="7ABAA4E8"/>
    <w:rsid w:val="7ABAC3A3"/>
    <w:rsid w:val="7ABB514F"/>
    <w:rsid w:val="7ABC1E10"/>
    <w:rsid w:val="7ABC233F"/>
    <w:rsid w:val="7ABC81A1"/>
    <w:rsid w:val="7ABD787A"/>
    <w:rsid w:val="7ABDBB89"/>
    <w:rsid w:val="7ABDD8A9"/>
    <w:rsid w:val="7ABE72B5"/>
    <w:rsid w:val="7ABE8190"/>
    <w:rsid w:val="7ABF03F0"/>
    <w:rsid w:val="7AC0333C"/>
    <w:rsid w:val="7AC2F343"/>
    <w:rsid w:val="7AC36DC7"/>
    <w:rsid w:val="7AC44887"/>
    <w:rsid w:val="7AC67700"/>
    <w:rsid w:val="7AC68E0A"/>
    <w:rsid w:val="7AC6EA32"/>
    <w:rsid w:val="7AC73812"/>
    <w:rsid w:val="7AC7AAF7"/>
    <w:rsid w:val="7AC9F976"/>
    <w:rsid w:val="7ACA6225"/>
    <w:rsid w:val="7ACA808E"/>
    <w:rsid w:val="7ACA995A"/>
    <w:rsid w:val="7ACADDD7"/>
    <w:rsid w:val="7ACB0B46"/>
    <w:rsid w:val="7ACB2056"/>
    <w:rsid w:val="7ACB7976"/>
    <w:rsid w:val="7ACC359F"/>
    <w:rsid w:val="7ACD297B"/>
    <w:rsid w:val="7ACE30CA"/>
    <w:rsid w:val="7ACEC752"/>
    <w:rsid w:val="7ACF0964"/>
    <w:rsid w:val="7ACF18D6"/>
    <w:rsid w:val="7ACF4CED"/>
    <w:rsid w:val="7ACF8A45"/>
    <w:rsid w:val="7AD00E59"/>
    <w:rsid w:val="7AD099CA"/>
    <w:rsid w:val="7AD11B72"/>
    <w:rsid w:val="7AD14354"/>
    <w:rsid w:val="7AD15632"/>
    <w:rsid w:val="7AD16CF3"/>
    <w:rsid w:val="7AD2F1F7"/>
    <w:rsid w:val="7AD32D0D"/>
    <w:rsid w:val="7AD48908"/>
    <w:rsid w:val="7AD57A31"/>
    <w:rsid w:val="7AD588E3"/>
    <w:rsid w:val="7AD6D396"/>
    <w:rsid w:val="7AD6DEDF"/>
    <w:rsid w:val="7AD7083C"/>
    <w:rsid w:val="7AD7418C"/>
    <w:rsid w:val="7AD7E77C"/>
    <w:rsid w:val="7AD87CB7"/>
    <w:rsid w:val="7AD87F08"/>
    <w:rsid w:val="7AD8AA9F"/>
    <w:rsid w:val="7AD925F0"/>
    <w:rsid w:val="7ADA1FB3"/>
    <w:rsid w:val="7ADA2328"/>
    <w:rsid w:val="7ADA2AF5"/>
    <w:rsid w:val="7ADA8C56"/>
    <w:rsid w:val="7ADA9E64"/>
    <w:rsid w:val="7ADC2EBF"/>
    <w:rsid w:val="7ADC3BC9"/>
    <w:rsid w:val="7ADC983C"/>
    <w:rsid w:val="7ADCCAC5"/>
    <w:rsid w:val="7ADD0C8D"/>
    <w:rsid w:val="7ADD28B1"/>
    <w:rsid w:val="7ADD6028"/>
    <w:rsid w:val="7ADD8486"/>
    <w:rsid w:val="7ADDEB5B"/>
    <w:rsid w:val="7ADDF7AD"/>
    <w:rsid w:val="7ADE4581"/>
    <w:rsid w:val="7ADF12B7"/>
    <w:rsid w:val="7ADF2A83"/>
    <w:rsid w:val="7AE00916"/>
    <w:rsid w:val="7AE041F6"/>
    <w:rsid w:val="7AE09172"/>
    <w:rsid w:val="7AE13821"/>
    <w:rsid w:val="7AE1D6D2"/>
    <w:rsid w:val="7AE1DB66"/>
    <w:rsid w:val="7AE1E72B"/>
    <w:rsid w:val="7AE2488F"/>
    <w:rsid w:val="7AE2745E"/>
    <w:rsid w:val="7AE2D88E"/>
    <w:rsid w:val="7AE2EB89"/>
    <w:rsid w:val="7AE3BB63"/>
    <w:rsid w:val="7AE40247"/>
    <w:rsid w:val="7AE4ADC0"/>
    <w:rsid w:val="7AE4DFE5"/>
    <w:rsid w:val="7AE59176"/>
    <w:rsid w:val="7AE6ACCE"/>
    <w:rsid w:val="7AE6C8AC"/>
    <w:rsid w:val="7AE75F25"/>
    <w:rsid w:val="7AE8209B"/>
    <w:rsid w:val="7AE8ABA6"/>
    <w:rsid w:val="7AE8FB1A"/>
    <w:rsid w:val="7AE90E0A"/>
    <w:rsid w:val="7AEAF716"/>
    <w:rsid w:val="7AEB0F49"/>
    <w:rsid w:val="7AEB3B73"/>
    <w:rsid w:val="7AEBD3EB"/>
    <w:rsid w:val="7AEC36E0"/>
    <w:rsid w:val="7AECC78D"/>
    <w:rsid w:val="7AED05A8"/>
    <w:rsid w:val="7AED0FE7"/>
    <w:rsid w:val="7AED1BBF"/>
    <w:rsid w:val="7AED3F55"/>
    <w:rsid w:val="7AED7435"/>
    <w:rsid w:val="7AEDEEDD"/>
    <w:rsid w:val="7AEEAF6B"/>
    <w:rsid w:val="7AEF7844"/>
    <w:rsid w:val="7AEFD70D"/>
    <w:rsid w:val="7AEFDA95"/>
    <w:rsid w:val="7AF146EB"/>
    <w:rsid w:val="7AF1AA59"/>
    <w:rsid w:val="7AF2B99D"/>
    <w:rsid w:val="7AF2F4D3"/>
    <w:rsid w:val="7AF3470F"/>
    <w:rsid w:val="7AF47F89"/>
    <w:rsid w:val="7AF4D18B"/>
    <w:rsid w:val="7AF5043B"/>
    <w:rsid w:val="7AF53ECC"/>
    <w:rsid w:val="7AF5C932"/>
    <w:rsid w:val="7AF5D171"/>
    <w:rsid w:val="7AF5F33A"/>
    <w:rsid w:val="7AF73727"/>
    <w:rsid w:val="7AF76543"/>
    <w:rsid w:val="7AF871D2"/>
    <w:rsid w:val="7AF95C2F"/>
    <w:rsid w:val="7AF97A2C"/>
    <w:rsid w:val="7AFA1872"/>
    <w:rsid w:val="7AFAD000"/>
    <w:rsid w:val="7AFB94A3"/>
    <w:rsid w:val="7AFBA3F2"/>
    <w:rsid w:val="7AFD12A0"/>
    <w:rsid w:val="7AFD1F04"/>
    <w:rsid w:val="7AFDAEE7"/>
    <w:rsid w:val="7AFDDF74"/>
    <w:rsid w:val="7AFE1D94"/>
    <w:rsid w:val="7AFEF223"/>
    <w:rsid w:val="7AFF710C"/>
    <w:rsid w:val="7AFF9C79"/>
    <w:rsid w:val="7AFFA70A"/>
    <w:rsid w:val="7B001755"/>
    <w:rsid w:val="7B005AC6"/>
    <w:rsid w:val="7B0094C1"/>
    <w:rsid w:val="7B022703"/>
    <w:rsid w:val="7B029455"/>
    <w:rsid w:val="7B02AA0E"/>
    <w:rsid w:val="7B036B3C"/>
    <w:rsid w:val="7B0498C1"/>
    <w:rsid w:val="7B055519"/>
    <w:rsid w:val="7B07E697"/>
    <w:rsid w:val="7B083F2B"/>
    <w:rsid w:val="7B085EDB"/>
    <w:rsid w:val="7B0867CC"/>
    <w:rsid w:val="7B091EF6"/>
    <w:rsid w:val="7B0A359A"/>
    <w:rsid w:val="7B0A67D2"/>
    <w:rsid w:val="7B0AD70E"/>
    <w:rsid w:val="7B0AD8A1"/>
    <w:rsid w:val="7B0AF8EB"/>
    <w:rsid w:val="7B0B121C"/>
    <w:rsid w:val="7B0B3F81"/>
    <w:rsid w:val="7B0B8A58"/>
    <w:rsid w:val="7B0C09D8"/>
    <w:rsid w:val="7B0C235E"/>
    <w:rsid w:val="7B0C7329"/>
    <w:rsid w:val="7B0D0B4F"/>
    <w:rsid w:val="7B0D1D12"/>
    <w:rsid w:val="7B0D3AF9"/>
    <w:rsid w:val="7B0E6937"/>
    <w:rsid w:val="7B0FB5BE"/>
    <w:rsid w:val="7B104A5F"/>
    <w:rsid w:val="7B105AFC"/>
    <w:rsid w:val="7B10838C"/>
    <w:rsid w:val="7B109562"/>
    <w:rsid w:val="7B12034D"/>
    <w:rsid w:val="7B1212CB"/>
    <w:rsid w:val="7B126F77"/>
    <w:rsid w:val="7B133CE2"/>
    <w:rsid w:val="7B139135"/>
    <w:rsid w:val="7B13FEBA"/>
    <w:rsid w:val="7B14313B"/>
    <w:rsid w:val="7B15A870"/>
    <w:rsid w:val="7B15F8DA"/>
    <w:rsid w:val="7B161562"/>
    <w:rsid w:val="7B164341"/>
    <w:rsid w:val="7B165CA5"/>
    <w:rsid w:val="7B16CC1F"/>
    <w:rsid w:val="7B172D77"/>
    <w:rsid w:val="7B179C56"/>
    <w:rsid w:val="7B17C4CD"/>
    <w:rsid w:val="7B18AE1F"/>
    <w:rsid w:val="7B18E4E7"/>
    <w:rsid w:val="7B18F12F"/>
    <w:rsid w:val="7B19C1C8"/>
    <w:rsid w:val="7B19DFBA"/>
    <w:rsid w:val="7B1A84E4"/>
    <w:rsid w:val="7B1AEDCA"/>
    <w:rsid w:val="7B1B111B"/>
    <w:rsid w:val="7B1B4B81"/>
    <w:rsid w:val="7B1BAAB9"/>
    <w:rsid w:val="7B1C2B05"/>
    <w:rsid w:val="7B1C4146"/>
    <w:rsid w:val="7B1D56A7"/>
    <w:rsid w:val="7B1DC06A"/>
    <w:rsid w:val="7B1EA11A"/>
    <w:rsid w:val="7B1F33FC"/>
    <w:rsid w:val="7B1F700D"/>
    <w:rsid w:val="7B205B42"/>
    <w:rsid w:val="7B207CD0"/>
    <w:rsid w:val="7B211C97"/>
    <w:rsid w:val="7B2198DE"/>
    <w:rsid w:val="7B22BFE1"/>
    <w:rsid w:val="7B23929C"/>
    <w:rsid w:val="7B242091"/>
    <w:rsid w:val="7B255A17"/>
    <w:rsid w:val="7B268DD7"/>
    <w:rsid w:val="7B26D208"/>
    <w:rsid w:val="7B276238"/>
    <w:rsid w:val="7B278A37"/>
    <w:rsid w:val="7B27DB03"/>
    <w:rsid w:val="7B289F94"/>
    <w:rsid w:val="7B2A617D"/>
    <w:rsid w:val="7B2A9E69"/>
    <w:rsid w:val="7B2BD421"/>
    <w:rsid w:val="7B2C9224"/>
    <w:rsid w:val="7B2D332F"/>
    <w:rsid w:val="7B2E6602"/>
    <w:rsid w:val="7B2F5BE0"/>
    <w:rsid w:val="7B2FD20C"/>
    <w:rsid w:val="7B308A38"/>
    <w:rsid w:val="7B30AAF7"/>
    <w:rsid w:val="7B31852C"/>
    <w:rsid w:val="7B31B8AC"/>
    <w:rsid w:val="7B322A1F"/>
    <w:rsid w:val="7B327B02"/>
    <w:rsid w:val="7B328CC5"/>
    <w:rsid w:val="7B329130"/>
    <w:rsid w:val="7B32CD50"/>
    <w:rsid w:val="7B32F06E"/>
    <w:rsid w:val="7B33A244"/>
    <w:rsid w:val="7B347284"/>
    <w:rsid w:val="7B34AFB2"/>
    <w:rsid w:val="7B351C6E"/>
    <w:rsid w:val="7B353208"/>
    <w:rsid w:val="7B353668"/>
    <w:rsid w:val="7B356906"/>
    <w:rsid w:val="7B359069"/>
    <w:rsid w:val="7B35A71C"/>
    <w:rsid w:val="7B364C37"/>
    <w:rsid w:val="7B36BBE8"/>
    <w:rsid w:val="7B37A01A"/>
    <w:rsid w:val="7B3964AA"/>
    <w:rsid w:val="7B3B313B"/>
    <w:rsid w:val="7B3C0183"/>
    <w:rsid w:val="7B3CCB20"/>
    <w:rsid w:val="7B3CF02D"/>
    <w:rsid w:val="7B3D04B0"/>
    <w:rsid w:val="7B3D8271"/>
    <w:rsid w:val="7B3DD04C"/>
    <w:rsid w:val="7B3DEB84"/>
    <w:rsid w:val="7B3E4BD7"/>
    <w:rsid w:val="7B3E85FE"/>
    <w:rsid w:val="7B3F41AE"/>
    <w:rsid w:val="7B3F4859"/>
    <w:rsid w:val="7B3F95C9"/>
    <w:rsid w:val="7B400831"/>
    <w:rsid w:val="7B40714B"/>
    <w:rsid w:val="7B409414"/>
    <w:rsid w:val="7B40BBB5"/>
    <w:rsid w:val="7B41645D"/>
    <w:rsid w:val="7B417B9A"/>
    <w:rsid w:val="7B41CF7B"/>
    <w:rsid w:val="7B4242DE"/>
    <w:rsid w:val="7B427780"/>
    <w:rsid w:val="7B439C13"/>
    <w:rsid w:val="7B43A0C0"/>
    <w:rsid w:val="7B43F930"/>
    <w:rsid w:val="7B4479A7"/>
    <w:rsid w:val="7B44DC43"/>
    <w:rsid w:val="7B44FE79"/>
    <w:rsid w:val="7B453C33"/>
    <w:rsid w:val="7B456EAC"/>
    <w:rsid w:val="7B45C85D"/>
    <w:rsid w:val="7B46173E"/>
    <w:rsid w:val="7B462C53"/>
    <w:rsid w:val="7B463954"/>
    <w:rsid w:val="7B48520B"/>
    <w:rsid w:val="7B4A1A3E"/>
    <w:rsid w:val="7B4A7A42"/>
    <w:rsid w:val="7B4AE391"/>
    <w:rsid w:val="7B4BC768"/>
    <w:rsid w:val="7B4C092E"/>
    <w:rsid w:val="7B4CEFDE"/>
    <w:rsid w:val="7B4D54D1"/>
    <w:rsid w:val="7B4EAD84"/>
    <w:rsid w:val="7B4EC9C7"/>
    <w:rsid w:val="7B4FCC9E"/>
    <w:rsid w:val="7B5025D2"/>
    <w:rsid w:val="7B51960E"/>
    <w:rsid w:val="7B525F51"/>
    <w:rsid w:val="7B5276B2"/>
    <w:rsid w:val="7B52B9B4"/>
    <w:rsid w:val="7B54CBF0"/>
    <w:rsid w:val="7B55AFF4"/>
    <w:rsid w:val="7B55E286"/>
    <w:rsid w:val="7B57297B"/>
    <w:rsid w:val="7B57B4FF"/>
    <w:rsid w:val="7B58B9B2"/>
    <w:rsid w:val="7B596977"/>
    <w:rsid w:val="7B59F9D2"/>
    <w:rsid w:val="7B5A70EB"/>
    <w:rsid w:val="7B5B7EF3"/>
    <w:rsid w:val="7B5BC86A"/>
    <w:rsid w:val="7B5C18CE"/>
    <w:rsid w:val="7B5C38CB"/>
    <w:rsid w:val="7B5CDA5F"/>
    <w:rsid w:val="7B5CFBDE"/>
    <w:rsid w:val="7B5D68FF"/>
    <w:rsid w:val="7B5E06F4"/>
    <w:rsid w:val="7B5F713B"/>
    <w:rsid w:val="7B5F734B"/>
    <w:rsid w:val="7B5FC211"/>
    <w:rsid w:val="7B5FD382"/>
    <w:rsid w:val="7B5FEF4D"/>
    <w:rsid w:val="7B61379A"/>
    <w:rsid w:val="7B618106"/>
    <w:rsid w:val="7B619E2B"/>
    <w:rsid w:val="7B61C795"/>
    <w:rsid w:val="7B61FB91"/>
    <w:rsid w:val="7B62C5DF"/>
    <w:rsid w:val="7B631EE1"/>
    <w:rsid w:val="7B638918"/>
    <w:rsid w:val="7B657629"/>
    <w:rsid w:val="7B65C8F4"/>
    <w:rsid w:val="7B667CEA"/>
    <w:rsid w:val="7B66A72A"/>
    <w:rsid w:val="7B66BFDE"/>
    <w:rsid w:val="7B66ED51"/>
    <w:rsid w:val="7B66FF58"/>
    <w:rsid w:val="7B675ADF"/>
    <w:rsid w:val="7B684009"/>
    <w:rsid w:val="7B692095"/>
    <w:rsid w:val="7B69275C"/>
    <w:rsid w:val="7B692B20"/>
    <w:rsid w:val="7B69321C"/>
    <w:rsid w:val="7B697D8B"/>
    <w:rsid w:val="7B6A60E1"/>
    <w:rsid w:val="7B6AEF12"/>
    <w:rsid w:val="7B6C0BE0"/>
    <w:rsid w:val="7B6C32C4"/>
    <w:rsid w:val="7B6CE0CD"/>
    <w:rsid w:val="7B6DA803"/>
    <w:rsid w:val="7B6E44EC"/>
    <w:rsid w:val="7B6FDDDC"/>
    <w:rsid w:val="7B6FEAA9"/>
    <w:rsid w:val="7B702206"/>
    <w:rsid w:val="7B70C6A8"/>
    <w:rsid w:val="7B712C6A"/>
    <w:rsid w:val="7B71551A"/>
    <w:rsid w:val="7B7164CB"/>
    <w:rsid w:val="7B717404"/>
    <w:rsid w:val="7B723207"/>
    <w:rsid w:val="7B72558C"/>
    <w:rsid w:val="7B727204"/>
    <w:rsid w:val="7B72BBEE"/>
    <w:rsid w:val="7B733F5B"/>
    <w:rsid w:val="7B7361B1"/>
    <w:rsid w:val="7B739B6A"/>
    <w:rsid w:val="7B7404F2"/>
    <w:rsid w:val="7B748186"/>
    <w:rsid w:val="7B7668C4"/>
    <w:rsid w:val="7B767FB7"/>
    <w:rsid w:val="7B76F0E3"/>
    <w:rsid w:val="7B772F5B"/>
    <w:rsid w:val="7B774C40"/>
    <w:rsid w:val="7B77DA93"/>
    <w:rsid w:val="7B7973E9"/>
    <w:rsid w:val="7B798AF3"/>
    <w:rsid w:val="7B7B40AB"/>
    <w:rsid w:val="7B7B4791"/>
    <w:rsid w:val="7B7B514F"/>
    <w:rsid w:val="7B7BCE19"/>
    <w:rsid w:val="7B7BF2CA"/>
    <w:rsid w:val="7B7C619C"/>
    <w:rsid w:val="7B7C84FA"/>
    <w:rsid w:val="7B7E7B95"/>
    <w:rsid w:val="7B7EA730"/>
    <w:rsid w:val="7B7EAAD6"/>
    <w:rsid w:val="7B802859"/>
    <w:rsid w:val="7B80A4CC"/>
    <w:rsid w:val="7B80C49E"/>
    <w:rsid w:val="7B812B9D"/>
    <w:rsid w:val="7B814F8F"/>
    <w:rsid w:val="7B81DB05"/>
    <w:rsid w:val="7B831C08"/>
    <w:rsid w:val="7B836939"/>
    <w:rsid w:val="7B839C23"/>
    <w:rsid w:val="7B85A6A4"/>
    <w:rsid w:val="7B85C2E6"/>
    <w:rsid w:val="7B86033C"/>
    <w:rsid w:val="7B86EE35"/>
    <w:rsid w:val="7B86EEC5"/>
    <w:rsid w:val="7B871571"/>
    <w:rsid w:val="7B871BEF"/>
    <w:rsid w:val="7B88BE02"/>
    <w:rsid w:val="7B89806B"/>
    <w:rsid w:val="7B899B6A"/>
    <w:rsid w:val="7B8A0881"/>
    <w:rsid w:val="7B8A0CB3"/>
    <w:rsid w:val="7B8C93B4"/>
    <w:rsid w:val="7B8DE140"/>
    <w:rsid w:val="7B8EA7A6"/>
    <w:rsid w:val="7B8F2A45"/>
    <w:rsid w:val="7B8F5A04"/>
    <w:rsid w:val="7B8F7F1E"/>
    <w:rsid w:val="7B8FBA64"/>
    <w:rsid w:val="7B9024A4"/>
    <w:rsid w:val="7B903361"/>
    <w:rsid w:val="7B90BF61"/>
    <w:rsid w:val="7B919CB8"/>
    <w:rsid w:val="7B9281B0"/>
    <w:rsid w:val="7B92A495"/>
    <w:rsid w:val="7B92B5E3"/>
    <w:rsid w:val="7B94FDDC"/>
    <w:rsid w:val="7B950DEE"/>
    <w:rsid w:val="7B952E25"/>
    <w:rsid w:val="7B95C4D1"/>
    <w:rsid w:val="7B9687C6"/>
    <w:rsid w:val="7B96AEA9"/>
    <w:rsid w:val="7B96E364"/>
    <w:rsid w:val="7B96E852"/>
    <w:rsid w:val="7B972532"/>
    <w:rsid w:val="7B97D17B"/>
    <w:rsid w:val="7B97F7CC"/>
    <w:rsid w:val="7B98C799"/>
    <w:rsid w:val="7B98EC1A"/>
    <w:rsid w:val="7B9A6FB0"/>
    <w:rsid w:val="7B9AC3C3"/>
    <w:rsid w:val="7B9AD684"/>
    <w:rsid w:val="7B9C5F01"/>
    <w:rsid w:val="7B9CA56E"/>
    <w:rsid w:val="7B9CD784"/>
    <w:rsid w:val="7B9D4543"/>
    <w:rsid w:val="7B9E3590"/>
    <w:rsid w:val="7B9EC2F9"/>
    <w:rsid w:val="7B9F6DC2"/>
    <w:rsid w:val="7B9FCAEF"/>
    <w:rsid w:val="7B9FFC62"/>
    <w:rsid w:val="7BA09188"/>
    <w:rsid w:val="7BA11FF6"/>
    <w:rsid w:val="7BA17F99"/>
    <w:rsid w:val="7BA1A452"/>
    <w:rsid w:val="7BA2874C"/>
    <w:rsid w:val="7BA2A91B"/>
    <w:rsid w:val="7BA2D41C"/>
    <w:rsid w:val="7BA426CF"/>
    <w:rsid w:val="7BA45F76"/>
    <w:rsid w:val="7BA45FC4"/>
    <w:rsid w:val="7BA4AAF7"/>
    <w:rsid w:val="7BA4ACB3"/>
    <w:rsid w:val="7BA4E10C"/>
    <w:rsid w:val="7BA5108C"/>
    <w:rsid w:val="7BA5314F"/>
    <w:rsid w:val="7BA5471E"/>
    <w:rsid w:val="7BA6358E"/>
    <w:rsid w:val="7BA6F677"/>
    <w:rsid w:val="7BA8005A"/>
    <w:rsid w:val="7BA92131"/>
    <w:rsid w:val="7BAB5048"/>
    <w:rsid w:val="7BACAD96"/>
    <w:rsid w:val="7BADB7F3"/>
    <w:rsid w:val="7BAE1F73"/>
    <w:rsid w:val="7BAE23B4"/>
    <w:rsid w:val="7BAE57A7"/>
    <w:rsid w:val="7BAE80CF"/>
    <w:rsid w:val="7BAEAAA3"/>
    <w:rsid w:val="7BAEBBDC"/>
    <w:rsid w:val="7BAEEB9F"/>
    <w:rsid w:val="7BAF1674"/>
    <w:rsid w:val="7BAF4B60"/>
    <w:rsid w:val="7BAF521E"/>
    <w:rsid w:val="7BAF782C"/>
    <w:rsid w:val="7BAFC467"/>
    <w:rsid w:val="7BAFE41C"/>
    <w:rsid w:val="7BB01680"/>
    <w:rsid w:val="7BB0E41C"/>
    <w:rsid w:val="7BB13ED5"/>
    <w:rsid w:val="7BB18E94"/>
    <w:rsid w:val="7BB1A417"/>
    <w:rsid w:val="7BB1EECA"/>
    <w:rsid w:val="7BB3372D"/>
    <w:rsid w:val="7BB34B2A"/>
    <w:rsid w:val="7BB374EB"/>
    <w:rsid w:val="7BB52EE1"/>
    <w:rsid w:val="7BB58AEE"/>
    <w:rsid w:val="7BB5A50C"/>
    <w:rsid w:val="7BB62B0C"/>
    <w:rsid w:val="7BB694B0"/>
    <w:rsid w:val="7BB6B65D"/>
    <w:rsid w:val="7BB6DFB6"/>
    <w:rsid w:val="7BB7D738"/>
    <w:rsid w:val="7BB839CF"/>
    <w:rsid w:val="7BB83A35"/>
    <w:rsid w:val="7BB980D8"/>
    <w:rsid w:val="7BB9BB74"/>
    <w:rsid w:val="7BBA765A"/>
    <w:rsid w:val="7BBB0567"/>
    <w:rsid w:val="7BBB0D0B"/>
    <w:rsid w:val="7BBB1936"/>
    <w:rsid w:val="7BBB64AD"/>
    <w:rsid w:val="7BBB7086"/>
    <w:rsid w:val="7BBD3ABD"/>
    <w:rsid w:val="7BBE3540"/>
    <w:rsid w:val="7BBEF523"/>
    <w:rsid w:val="7BBF08FB"/>
    <w:rsid w:val="7BBFAE87"/>
    <w:rsid w:val="7BC03A19"/>
    <w:rsid w:val="7BC0BC19"/>
    <w:rsid w:val="7BC16F1E"/>
    <w:rsid w:val="7BC2B5E1"/>
    <w:rsid w:val="7BC386AD"/>
    <w:rsid w:val="7BC42849"/>
    <w:rsid w:val="7BC4F686"/>
    <w:rsid w:val="7BC59109"/>
    <w:rsid w:val="7BC5C95B"/>
    <w:rsid w:val="7BC62701"/>
    <w:rsid w:val="7BC6896A"/>
    <w:rsid w:val="7BC6CF2F"/>
    <w:rsid w:val="7BC6F743"/>
    <w:rsid w:val="7BC79D92"/>
    <w:rsid w:val="7BC7B7CD"/>
    <w:rsid w:val="7BC86299"/>
    <w:rsid w:val="7BC875FB"/>
    <w:rsid w:val="7BC97CCF"/>
    <w:rsid w:val="7BCB0CED"/>
    <w:rsid w:val="7BCB75AD"/>
    <w:rsid w:val="7BCB7E3B"/>
    <w:rsid w:val="7BCBA1FD"/>
    <w:rsid w:val="7BCC2D29"/>
    <w:rsid w:val="7BCC50AF"/>
    <w:rsid w:val="7BCC61A3"/>
    <w:rsid w:val="7BCC6866"/>
    <w:rsid w:val="7BCCCFA9"/>
    <w:rsid w:val="7BCD1D67"/>
    <w:rsid w:val="7BCD2796"/>
    <w:rsid w:val="7BCD960F"/>
    <w:rsid w:val="7BCDA857"/>
    <w:rsid w:val="7BCF282F"/>
    <w:rsid w:val="7BCFC2B5"/>
    <w:rsid w:val="7BCFD163"/>
    <w:rsid w:val="7BCFE4FA"/>
    <w:rsid w:val="7BD00E70"/>
    <w:rsid w:val="7BD078F8"/>
    <w:rsid w:val="7BD099B9"/>
    <w:rsid w:val="7BD10B87"/>
    <w:rsid w:val="7BD1D241"/>
    <w:rsid w:val="7BD1ED64"/>
    <w:rsid w:val="7BD202A7"/>
    <w:rsid w:val="7BD28AE4"/>
    <w:rsid w:val="7BD2A4A4"/>
    <w:rsid w:val="7BD2C73E"/>
    <w:rsid w:val="7BD34382"/>
    <w:rsid w:val="7BD3EEF5"/>
    <w:rsid w:val="7BD53920"/>
    <w:rsid w:val="7BD54189"/>
    <w:rsid w:val="7BD57F06"/>
    <w:rsid w:val="7BD64B66"/>
    <w:rsid w:val="7BD70126"/>
    <w:rsid w:val="7BD7361F"/>
    <w:rsid w:val="7BD770E2"/>
    <w:rsid w:val="7BD81450"/>
    <w:rsid w:val="7BD97651"/>
    <w:rsid w:val="7BD9A538"/>
    <w:rsid w:val="7BD9CF32"/>
    <w:rsid w:val="7BDA441D"/>
    <w:rsid w:val="7BDA6919"/>
    <w:rsid w:val="7BDAA30B"/>
    <w:rsid w:val="7BDB0468"/>
    <w:rsid w:val="7BDC4508"/>
    <w:rsid w:val="7BDD4FBB"/>
    <w:rsid w:val="7BDE92F0"/>
    <w:rsid w:val="7BDED1FA"/>
    <w:rsid w:val="7BDEEA04"/>
    <w:rsid w:val="7BDF179F"/>
    <w:rsid w:val="7BE0583A"/>
    <w:rsid w:val="7BE06776"/>
    <w:rsid w:val="7BE1514F"/>
    <w:rsid w:val="7BE16A34"/>
    <w:rsid w:val="7BE2118E"/>
    <w:rsid w:val="7BE233A0"/>
    <w:rsid w:val="7BE25771"/>
    <w:rsid w:val="7BE28B7F"/>
    <w:rsid w:val="7BE2EDEA"/>
    <w:rsid w:val="7BE366D7"/>
    <w:rsid w:val="7BE38258"/>
    <w:rsid w:val="7BE3BCB8"/>
    <w:rsid w:val="7BE3FA0F"/>
    <w:rsid w:val="7BE42FFB"/>
    <w:rsid w:val="7BE43F51"/>
    <w:rsid w:val="7BE49548"/>
    <w:rsid w:val="7BE496AC"/>
    <w:rsid w:val="7BE49F95"/>
    <w:rsid w:val="7BE59758"/>
    <w:rsid w:val="7BE5E234"/>
    <w:rsid w:val="7BE6E0EB"/>
    <w:rsid w:val="7BE78938"/>
    <w:rsid w:val="7BE7E159"/>
    <w:rsid w:val="7BE817F0"/>
    <w:rsid w:val="7BE888F7"/>
    <w:rsid w:val="7BE8C2E6"/>
    <w:rsid w:val="7BE8EED5"/>
    <w:rsid w:val="7BE96362"/>
    <w:rsid w:val="7BEA39DE"/>
    <w:rsid w:val="7BEA6877"/>
    <w:rsid w:val="7BEB3C5E"/>
    <w:rsid w:val="7BEBB96E"/>
    <w:rsid w:val="7BEC4969"/>
    <w:rsid w:val="7BECDE22"/>
    <w:rsid w:val="7BED3F4E"/>
    <w:rsid w:val="7BED46BE"/>
    <w:rsid w:val="7BED7C16"/>
    <w:rsid w:val="7BEE670E"/>
    <w:rsid w:val="7BEE923C"/>
    <w:rsid w:val="7BEEC4DB"/>
    <w:rsid w:val="7BEEC8F9"/>
    <w:rsid w:val="7BEEFA7D"/>
    <w:rsid w:val="7BEF1126"/>
    <w:rsid w:val="7BEFC441"/>
    <w:rsid w:val="7BF0BA7E"/>
    <w:rsid w:val="7BF0D923"/>
    <w:rsid w:val="7BF1439A"/>
    <w:rsid w:val="7BF1E4F2"/>
    <w:rsid w:val="7BF2028E"/>
    <w:rsid w:val="7BF202AD"/>
    <w:rsid w:val="7BF21462"/>
    <w:rsid w:val="7BF36661"/>
    <w:rsid w:val="7BF3E8C6"/>
    <w:rsid w:val="7BF3FBB0"/>
    <w:rsid w:val="7BF418AD"/>
    <w:rsid w:val="7BF43A0F"/>
    <w:rsid w:val="7BF4B159"/>
    <w:rsid w:val="7BF5F53E"/>
    <w:rsid w:val="7BF610AB"/>
    <w:rsid w:val="7BF6C451"/>
    <w:rsid w:val="7BF7696B"/>
    <w:rsid w:val="7BF7D876"/>
    <w:rsid w:val="7BF805DB"/>
    <w:rsid w:val="7BF93C87"/>
    <w:rsid w:val="7BF95BD1"/>
    <w:rsid w:val="7BF96EA6"/>
    <w:rsid w:val="7BFA1225"/>
    <w:rsid w:val="7BFA8B49"/>
    <w:rsid w:val="7BFA90B8"/>
    <w:rsid w:val="7BFAA25D"/>
    <w:rsid w:val="7BFAB383"/>
    <w:rsid w:val="7BFADCE2"/>
    <w:rsid w:val="7BFBB59E"/>
    <w:rsid w:val="7BFC0881"/>
    <w:rsid w:val="7BFC2B9A"/>
    <w:rsid w:val="7BFC6850"/>
    <w:rsid w:val="7BFCBD23"/>
    <w:rsid w:val="7BFD02EC"/>
    <w:rsid w:val="7BFD0D76"/>
    <w:rsid w:val="7BFD5622"/>
    <w:rsid w:val="7BFD8140"/>
    <w:rsid w:val="7BFD8373"/>
    <w:rsid w:val="7BFDBCD2"/>
    <w:rsid w:val="7BFDC88D"/>
    <w:rsid w:val="7BFDCC26"/>
    <w:rsid w:val="7C00779A"/>
    <w:rsid w:val="7C00AC29"/>
    <w:rsid w:val="7C01DA48"/>
    <w:rsid w:val="7C01FB4F"/>
    <w:rsid w:val="7C025D4F"/>
    <w:rsid w:val="7C02ADBE"/>
    <w:rsid w:val="7C02AFD6"/>
    <w:rsid w:val="7C02E2B8"/>
    <w:rsid w:val="7C037BD9"/>
    <w:rsid w:val="7C045008"/>
    <w:rsid w:val="7C048B58"/>
    <w:rsid w:val="7C04D270"/>
    <w:rsid w:val="7C06479F"/>
    <w:rsid w:val="7C064A1E"/>
    <w:rsid w:val="7C0698EF"/>
    <w:rsid w:val="7C06BF1E"/>
    <w:rsid w:val="7C06D291"/>
    <w:rsid w:val="7C07033E"/>
    <w:rsid w:val="7C073F82"/>
    <w:rsid w:val="7C074AEB"/>
    <w:rsid w:val="7C0796CE"/>
    <w:rsid w:val="7C084599"/>
    <w:rsid w:val="7C08536A"/>
    <w:rsid w:val="7C0A9279"/>
    <w:rsid w:val="7C0AFC4F"/>
    <w:rsid w:val="7C0B12B1"/>
    <w:rsid w:val="7C0B95F9"/>
    <w:rsid w:val="7C0BC903"/>
    <w:rsid w:val="7C0C6850"/>
    <w:rsid w:val="7C0C82D8"/>
    <w:rsid w:val="7C0CB384"/>
    <w:rsid w:val="7C0DE155"/>
    <w:rsid w:val="7C0F1115"/>
    <w:rsid w:val="7C0F5870"/>
    <w:rsid w:val="7C10E206"/>
    <w:rsid w:val="7C111A79"/>
    <w:rsid w:val="7C112B36"/>
    <w:rsid w:val="7C11A460"/>
    <w:rsid w:val="7C11B582"/>
    <w:rsid w:val="7C1243D1"/>
    <w:rsid w:val="7C125659"/>
    <w:rsid w:val="7C12F344"/>
    <w:rsid w:val="7C138CA5"/>
    <w:rsid w:val="7C13BB94"/>
    <w:rsid w:val="7C1429F3"/>
    <w:rsid w:val="7C152C81"/>
    <w:rsid w:val="7C15B07C"/>
    <w:rsid w:val="7C16AE15"/>
    <w:rsid w:val="7C16BB60"/>
    <w:rsid w:val="7C16BCC5"/>
    <w:rsid w:val="7C17F33F"/>
    <w:rsid w:val="7C186FC1"/>
    <w:rsid w:val="7C18B2BB"/>
    <w:rsid w:val="7C1976A4"/>
    <w:rsid w:val="7C1A4F8F"/>
    <w:rsid w:val="7C1B1119"/>
    <w:rsid w:val="7C1B6E80"/>
    <w:rsid w:val="7C1BF5CB"/>
    <w:rsid w:val="7C1CCFA9"/>
    <w:rsid w:val="7C1D1190"/>
    <w:rsid w:val="7C1E624A"/>
    <w:rsid w:val="7C1E7C49"/>
    <w:rsid w:val="7C1FAAE8"/>
    <w:rsid w:val="7C20634B"/>
    <w:rsid w:val="7C20CD57"/>
    <w:rsid w:val="7C210E3C"/>
    <w:rsid w:val="7C218F96"/>
    <w:rsid w:val="7C227CFF"/>
    <w:rsid w:val="7C22B888"/>
    <w:rsid w:val="7C22E47B"/>
    <w:rsid w:val="7C22FAB9"/>
    <w:rsid w:val="7C231583"/>
    <w:rsid w:val="7C23AC66"/>
    <w:rsid w:val="7C245D17"/>
    <w:rsid w:val="7C2460B3"/>
    <w:rsid w:val="7C25DDD3"/>
    <w:rsid w:val="7C25F297"/>
    <w:rsid w:val="7C267EB8"/>
    <w:rsid w:val="7C2775A6"/>
    <w:rsid w:val="7C2782DD"/>
    <w:rsid w:val="7C27CCDB"/>
    <w:rsid w:val="7C28437A"/>
    <w:rsid w:val="7C28D94E"/>
    <w:rsid w:val="7C28EB2D"/>
    <w:rsid w:val="7C2A4C06"/>
    <w:rsid w:val="7C2A69BB"/>
    <w:rsid w:val="7C2AB15A"/>
    <w:rsid w:val="7C2AEC44"/>
    <w:rsid w:val="7C2B13DF"/>
    <w:rsid w:val="7C2C6FF9"/>
    <w:rsid w:val="7C2D128A"/>
    <w:rsid w:val="7C2DF58B"/>
    <w:rsid w:val="7C303FCA"/>
    <w:rsid w:val="7C306F2F"/>
    <w:rsid w:val="7C31B662"/>
    <w:rsid w:val="7C31C61A"/>
    <w:rsid w:val="7C325064"/>
    <w:rsid w:val="7C329447"/>
    <w:rsid w:val="7C32CEAD"/>
    <w:rsid w:val="7C32D46D"/>
    <w:rsid w:val="7C33E2AB"/>
    <w:rsid w:val="7C34A538"/>
    <w:rsid w:val="7C34E616"/>
    <w:rsid w:val="7C35B9D6"/>
    <w:rsid w:val="7C35BE72"/>
    <w:rsid w:val="7C36579A"/>
    <w:rsid w:val="7C37832E"/>
    <w:rsid w:val="7C37EA90"/>
    <w:rsid w:val="7C38430B"/>
    <w:rsid w:val="7C3928EF"/>
    <w:rsid w:val="7C39DAA5"/>
    <w:rsid w:val="7C3A94C8"/>
    <w:rsid w:val="7C3B3205"/>
    <w:rsid w:val="7C3B797E"/>
    <w:rsid w:val="7C3BBAF7"/>
    <w:rsid w:val="7C3CCBE6"/>
    <w:rsid w:val="7C3D1AD2"/>
    <w:rsid w:val="7C3D217A"/>
    <w:rsid w:val="7C3D9419"/>
    <w:rsid w:val="7C3DDA27"/>
    <w:rsid w:val="7C3DE63D"/>
    <w:rsid w:val="7C3E28CC"/>
    <w:rsid w:val="7C3EC7BC"/>
    <w:rsid w:val="7C3F37C1"/>
    <w:rsid w:val="7C3F85AE"/>
    <w:rsid w:val="7C3FA5E3"/>
    <w:rsid w:val="7C3FA7D0"/>
    <w:rsid w:val="7C405647"/>
    <w:rsid w:val="7C408DAC"/>
    <w:rsid w:val="7C4138BF"/>
    <w:rsid w:val="7C421758"/>
    <w:rsid w:val="7C425833"/>
    <w:rsid w:val="7C427AC8"/>
    <w:rsid w:val="7C42809A"/>
    <w:rsid w:val="7C42ED8C"/>
    <w:rsid w:val="7C439327"/>
    <w:rsid w:val="7C43BEDA"/>
    <w:rsid w:val="7C446EF6"/>
    <w:rsid w:val="7C447279"/>
    <w:rsid w:val="7C44A1A0"/>
    <w:rsid w:val="7C44E249"/>
    <w:rsid w:val="7C45372D"/>
    <w:rsid w:val="7C4591D1"/>
    <w:rsid w:val="7C46001F"/>
    <w:rsid w:val="7C46DCAD"/>
    <w:rsid w:val="7C474EB3"/>
    <w:rsid w:val="7C47A6C9"/>
    <w:rsid w:val="7C48B104"/>
    <w:rsid w:val="7C49317C"/>
    <w:rsid w:val="7C4AB59C"/>
    <w:rsid w:val="7C4BD53B"/>
    <w:rsid w:val="7C4C0DA0"/>
    <w:rsid w:val="7C4C137B"/>
    <w:rsid w:val="7C4C391B"/>
    <w:rsid w:val="7C4C976D"/>
    <w:rsid w:val="7C4DB842"/>
    <w:rsid w:val="7C4F36AC"/>
    <w:rsid w:val="7C4F775A"/>
    <w:rsid w:val="7C4FA909"/>
    <w:rsid w:val="7C4FC47D"/>
    <w:rsid w:val="7C4FC84B"/>
    <w:rsid w:val="7C4FE936"/>
    <w:rsid w:val="7C50A96A"/>
    <w:rsid w:val="7C516EE9"/>
    <w:rsid w:val="7C517253"/>
    <w:rsid w:val="7C51B19E"/>
    <w:rsid w:val="7C51BFAD"/>
    <w:rsid w:val="7C51CA0E"/>
    <w:rsid w:val="7C520C54"/>
    <w:rsid w:val="7C52260C"/>
    <w:rsid w:val="7C523714"/>
    <w:rsid w:val="7C52615C"/>
    <w:rsid w:val="7C5312C2"/>
    <w:rsid w:val="7C5318D8"/>
    <w:rsid w:val="7C53B6A1"/>
    <w:rsid w:val="7C53F1AD"/>
    <w:rsid w:val="7C542E8F"/>
    <w:rsid w:val="7C545D9A"/>
    <w:rsid w:val="7C548BEC"/>
    <w:rsid w:val="7C549C8E"/>
    <w:rsid w:val="7C54D8C2"/>
    <w:rsid w:val="7C54EE13"/>
    <w:rsid w:val="7C550EF5"/>
    <w:rsid w:val="7C552520"/>
    <w:rsid w:val="7C553BFB"/>
    <w:rsid w:val="7C5547D3"/>
    <w:rsid w:val="7C559235"/>
    <w:rsid w:val="7C55B8B3"/>
    <w:rsid w:val="7C55CB05"/>
    <w:rsid w:val="7C565918"/>
    <w:rsid w:val="7C56873E"/>
    <w:rsid w:val="7C56C0C9"/>
    <w:rsid w:val="7C571202"/>
    <w:rsid w:val="7C5730A8"/>
    <w:rsid w:val="7C579F97"/>
    <w:rsid w:val="7C58A2AB"/>
    <w:rsid w:val="7C58BAB9"/>
    <w:rsid w:val="7C58E558"/>
    <w:rsid w:val="7C58E5BC"/>
    <w:rsid w:val="7C591BAB"/>
    <w:rsid w:val="7C59DCF1"/>
    <w:rsid w:val="7C5AB474"/>
    <w:rsid w:val="7C5B06CE"/>
    <w:rsid w:val="7C5B5C73"/>
    <w:rsid w:val="7C5B66E1"/>
    <w:rsid w:val="7C5BCEB6"/>
    <w:rsid w:val="7C5C118D"/>
    <w:rsid w:val="7C5CD124"/>
    <w:rsid w:val="7C5D2451"/>
    <w:rsid w:val="7C5D3E69"/>
    <w:rsid w:val="7C5D4309"/>
    <w:rsid w:val="7C5E4FFE"/>
    <w:rsid w:val="7C5EBB49"/>
    <w:rsid w:val="7C5EC5A9"/>
    <w:rsid w:val="7C5F2CE3"/>
    <w:rsid w:val="7C60414B"/>
    <w:rsid w:val="7C604284"/>
    <w:rsid w:val="7C60B536"/>
    <w:rsid w:val="7C610B7B"/>
    <w:rsid w:val="7C6126FC"/>
    <w:rsid w:val="7C619E9E"/>
    <w:rsid w:val="7C61E997"/>
    <w:rsid w:val="7C62AB04"/>
    <w:rsid w:val="7C62AB25"/>
    <w:rsid w:val="7C62F263"/>
    <w:rsid w:val="7C631167"/>
    <w:rsid w:val="7C633146"/>
    <w:rsid w:val="7C63B4A7"/>
    <w:rsid w:val="7C6482EE"/>
    <w:rsid w:val="7C64BE6D"/>
    <w:rsid w:val="7C65A5AE"/>
    <w:rsid w:val="7C65D805"/>
    <w:rsid w:val="7C66F3F2"/>
    <w:rsid w:val="7C6726E5"/>
    <w:rsid w:val="7C67572D"/>
    <w:rsid w:val="7C67C54E"/>
    <w:rsid w:val="7C67C87F"/>
    <w:rsid w:val="7C682F24"/>
    <w:rsid w:val="7C68B693"/>
    <w:rsid w:val="7C69CC49"/>
    <w:rsid w:val="7C6A987F"/>
    <w:rsid w:val="7C6B054F"/>
    <w:rsid w:val="7C6B110C"/>
    <w:rsid w:val="7C6B57EB"/>
    <w:rsid w:val="7C6BF479"/>
    <w:rsid w:val="7C6CF4E9"/>
    <w:rsid w:val="7C6D3C12"/>
    <w:rsid w:val="7C6DEAE4"/>
    <w:rsid w:val="7C6E3BD6"/>
    <w:rsid w:val="7C6F72F7"/>
    <w:rsid w:val="7C6F81C8"/>
    <w:rsid w:val="7C6FBFCA"/>
    <w:rsid w:val="7C6FC1AD"/>
    <w:rsid w:val="7C6FD2A7"/>
    <w:rsid w:val="7C702D0D"/>
    <w:rsid w:val="7C706198"/>
    <w:rsid w:val="7C712BEE"/>
    <w:rsid w:val="7C729670"/>
    <w:rsid w:val="7C73D7F9"/>
    <w:rsid w:val="7C74A11B"/>
    <w:rsid w:val="7C76C9F6"/>
    <w:rsid w:val="7C76CF12"/>
    <w:rsid w:val="7C77081E"/>
    <w:rsid w:val="7C772F41"/>
    <w:rsid w:val="7C775022"/>
    <w:rsid w:val="7C78274B"/>
    <w:rsid w:val="7C785915"/>
    <w:rsid w:val="7C78AFC2"/>
    <w:rsid w:val="7C78F444"/>
    <w:rsid w:val="7C7932CB"/>
    <w:rsid w:val="7C794D42"/>
    <w:rsid w:val="7C79941F"/>
    <w:rsid w:val="7C79A2B5"/>
    <w:rsid w:val="7C7A1F94"/>
    <w:rsid w:val="7C7AED46"/>
    <w:rsid w:val="7C7AF344"/>
    <w:rsid w:val="7C7B8606"/>
    <w:rsid w:val="7C7B8833"/>
    <w:rsid w:val="7C7C6CFD"/>
    <w:rsid w:val="7C7CD01F"/>
    <w:rsid w:val="7C7CED18"/>
    <w:rsid w:val="7C7D12F3"/>
    <w:rsid w:val="7C7D3057"/>
    <w:rsid w:val="7C7DBCF0"/>
    <w:rsid w:val="7C7EED8E"/>
    <w:rsid w:val="7C7F48D0"/>
    <w:rsid w:val="7C7FDB82"/>
    <w:rsid w:val="7C800432"/>
    <w:rsid w:val="7C802C77"/>
    <w:rsid w:val="7C80362A"/>
    <w:rsid w:val="7C81ECB8"/>
    <w:rsid w:val="7C821DB8"/>
    <w:rsid w:val="7C82B12A"/>
    <w:rsid w:val="7C838F1D"/>
    <w:rsid w:val="7C83952B"/>
    <w:rsid w:val="7C83CF91"/>
    <w:rsid w:val="7C843077"/>
    <w:rsid w:val="7C84505D"/>
    <w:rsid w:val="7C845BDA"/>
    <w:rsid w:val="7C854DEA"/>
    <w:rsid w:val="7C856FDB"/>
    <w:rsid w:val="7C8591B9"/>
    <w:rsid w:val="7C85B52A"/>
    <w:rsid w:val="7C85DB58"/>
    <w:rsid w:val="7C86038B"/>
    <w:rsid w:val="7C867C7B"/>
    <w:rsid w:val="7C86A36F"/>
    <w:rsid w:val="7C87866D"/>
    <w:rsid w:val="7C87E146"/>
    <w:rsid w:val="7C87E4CB"/>
    <w:rsid w:val="7C87F676"/>
    <w:rsid w:val="7C88FCB5"/>
    <w:rsid w:val="7C897F27"/>
    <w:rsid w:val="7C89EEF4"/>
    <w:rsid w:val="7C8A5C7D"/>
    <w:rsid w:val="7C8A5F4C"/>
    <w:rsid w:val="7C8A98E2"/>
    <w:rsid w:val="7C8AA34A"/>
    <w:rsid w:val="7C8B221C"/>
    <w:rsid w:val="7C8CEEEB"/>
    <w:rsid w:val="7C8D0536"/>
    <w:rsid w:val="7C8D5FD3"/>
    <w:rsid w:val="7C8D97D8"/>
    <w:rsid w:val="7C8E0904"/>
    <w:rsid w:val="7C8EB43D"/>
    <w:rsid w:val="7C8EB774"/>
    <w:rsid w:val="7C8F20CF"/>
    <w:rsid w:val="7C8F5B29"/>
    <w:rsid w:val="7C8FFBCD"/>
    <w:rsid w:val="7C900A70"/>
    <w:rsid w:val="7C907271"/>
    <w:rsid w:val="7C90C8CB"/>
    <w:rsid w:val="7C90CBF4"/>
    <w:rsid w:val="7C914A2D"/>
    <w:rsid w:val="7C9227D4"/>
    <w:rsid w:val="7C92403D"/>
    <w:rsid w:val="7C92D768"/>
    <w:rsid w:val="7C92F708"/>
    <w:rsid w:val="7C931BB3"/>
    <w:rsid w:val="7C949A2E"/>
    <w:rsid w:val="7C94B25E"/>
    <w:rsid w:val="7C95287C"/>
    <w:rsid w:val="7C95713B"/>
    <w:rsid w:val="7C9602BF"/>
    <w:rsid w:val="7C979F97"/>
    <w:rsid w:val="7C99A602"/>
    <w:rsid w:val="7C99B6E2"/>
    <w:rsid w:val="7C99C744"/>
    <w:rsid w:val="7C9A3B86"/>
    <w:rsid w:val="7C9A61BC"/>
    <w:rsid w:val="7C9AAF00"/>
    <w:rsid w:val="7C9ACA80"/>
    <w:rsid w:val="7C9AE0E5"/>
    <w:rsid w:val="7C9B6F06"/>
    <w:rsid w:val="7C9B779C"/>
    <w:rsid w:val="7C9BA637"/>
    <w:rsid w:val="7C9C387F"/>
    <w:rsid w:val="7C9C4F01"/>
    <w:rsid w:val="7C9CE491"/>
    <w:rsid w:val="7C9D3F16"/>
    <w:rsid w:val="7C9E87E6"/>
    <w:rsid w:val="7C9EF8C3"/>
    <w:rsid w:val="7C9FF92B"/>
    <w:rsid w:val="7CA05246"/>
    <w:rsid w:val="7CA08249"/>
    <w:rsid w:val="7CA106C3"/>
    <w:rsid w:val="7CA13B64"/>
    <w:rsid w:val="7CA19AC2"/>
    <w:rsid w:val="7CA19BC2"/>
    <w:rsid w:val="7CA1DE93"/>
    <w:rsid w:val="7CA402B9"/>
    <w:rsid w:val="7CA436C5"/>
    <w:rsid w:val="7CA496DA"/>
    <w:rsid w:val="7CA49B01"/>
    <w:rsid w:val="7CA4ECFF"/>
    <w:rsid w:val="7CA4FDB6"/>
    <w:rsid w:val="7CA6DC23"/>
    <w:rsid w:val="7CA73634"/>
    <w:rsid w:val="7CA78D95"/>
    <w:rsid w:val="7CA7E4D8"/>
    <w:rsid w:val="7CA83C33"/>
    <w:rsid w:val="7CA8EAA9"/>
    <w:rsid w:val="7CA939E7"/>
    <w:rsid w:val="7CA95BEA"/>
    <w:rsid w:val="7CA9C386"/>
    <w:rsid w:val="7CA9F8E1"/>
    <w:rsid w:val="7CAA091D"/>
    <w:rsid w:val="7CAA87D4"/>
    <w:rsid w:val="7CAB1B4F"/>
    <w:rsid w:val="7CABA799"/>
    <w:rsid w:val="7CAC1693"/>
    <w:rsid w:val="7CAC8144"/>
    <w:rsid w:val="7CACA663"/>
    <w:rsid w:val="7CACC3B9"/>
    <w:rsid w:val="7CACFE53"/>
    <w:rsid w:val="7CADA5C8"/>
    <w:rsid w:val="7CAE164C"/>
    <w:rsid w:val="7CAF4DA5"/>
    <w:rsid w:val="7CAF8B62"/>
    <w:rsid w:val="7CAF9595"/>
    <w:rsid w:val="7CAFBB60"/>
    <w:rsid w:val="7CB02DAE"/>
    <w:rsid w:val="7CB0CB9D"/>
    <w:rsid w:val="7CB0E0F7"/>
    <w:rsid w:val="7CB15FD2"/>
    <w:rsid w:val="7CB17008"/>
    <w:rsid w:val="7CB1B36B"/>
    <w:rsid w:val="7CB1C171"/>
    <w:rsid w:val="7CB1D370"/>
    <w:rsid w:val="7CB242FE"/>
    <w:rsid w:val="7CB310A3"/>
    <w:rsid w:val="7CB31B46"/>
    <w:rsid w:val="7CB36BE7"/>
    <w:rsid w:val="7CB3A36B"/>
    <w:rsid w:val="7CB3D1F5"/>
    <w:rsid w:val="7CB46A2E"/>
    <w:rsid w:val="7CB4FFD6"/>
    <w:rsid w:val="7CB548EB"/>
    <w:rsid w:val="7CB5B756"/>
    <w:rsid w:val="7CB5BB68"/>
    <w:rsid w:val="7CB66B32"/>
    <w:rsid w:val="7CB69DBC"/>
    <w:rsid w:val="7CB6E0ED"/>
    <w:rsid w:val="7CB7024C"/>
    <w:rsid w:val="7CB7C764"/>
    <w:rsid w:val="7CB7E70F"/>
    <w:rsid w:val="7CB7F270"/>
    <w:rsid w:val="7CB84411"/>
    <w:rsid w:val="7CBA6F81"/>
    <w:rsid w:val="7CBAF5F5"/>
    <w:rsid w:val="7CBB2E4C"/>
    <w:rsid w:val="7CBB4596"/>
    <w:rsid w:val="7CBB8BA9"/>
    <w:rsid w:val="7CBC1ECA"/>
    <w:rsid w:val="7CBC9864"/>
    <w:rsid w:val="7CBCD8BE"/>
    <w:rsid w:val="7CBCFFC4"/>
    <w:rsid w:val="7CBEC9B0"/>
    <w:rsid w:val="7CBF09FB"/>
    <w:rsid w:val="7CBF2945"/>
    <w:rsid w:val="7CBF55AD"/>
    <w:rsid w:val="7CBF6196"/>
    <w:rsid w:val="7CBF97B2"/>
    <w:rsid w:val="7CC00D35"/>
    <w:rsid w:val="7CC01D44"/>
    <w:rsid w:val="7CC06251"/>
    <w:rsid w:val="7CC0ECA0"/>
    <w:rsid w:val="7CC11F6A"/>
    <w:rsid w:val="7CC163F3"/>
    <w:rsid w:val="7CC1A1D0"/>
    <w:rsid w:val="7CC1A415"/>
    <w:rsid w:val="7CC1DAA8"/>
    <w:rsid w:val="7CC31DA8"/>
    <w:rsid w:val="7CC5A380"/>
    <w:rsid w:val="7CC70F3A"/>
    <w:rsid w:val="7CC711F4"/>
    <w:rsid w:val="7CC809F5"/>
    <w:rsid w:val="7CC8D721"/>
    <w:rsid w:val="7CC90CB5"/>
    <w:rsid w:val="7CC90EF4"/>
    <w:rsid w:val="7CC91B93"/>
    <w:rsid w:val="7CC94916"/>
    <w:rsid w:val="7CC9F36E"/>
    <w:rsid w:val="7CCAB19F"/>
    <w:rsid w:val="7CCBA797"/>
    <w:rsid w:val="7CCC5D14"/>
    <w:rsid w:val="7CCCC381"/>
    <w:rsid w:val="7CCCC4EE"/>
    <w:rsid w:val="7CCCE451"/>
    <w:rsid w:val="7CCD246C"/>
    <w:rsid w:val="7CCD4751"/>
    <w:rsid w:val="7CCDB4D9"/>
    <w:rsid w:val="7CCDE23C"/>
    <w:rsid w:val="7CCDEA65"/>
    <w:rsid w:val="7CCDF690"/>
    <w:rsid w:val="7CD050AA"/>
    <w:rsid w:val="7CD06118"/>
    <w:rsid w:val="7CD07799"/>
    <w:rsid w:val="7CD0B972"/>
    <w:rsid w:val="7CD0E82C"/>
    <w:rsid w:val="7CD11312"/>
    <w:rsid w:val="7CD21274"/>
    <w:rsid w:val="7CD2607E"/>
    <w:rsid w:val="7CD271C5"/>
    <w:rsid w:val="7CD27EC3"/>
    <w:rsid w:val="7CD27F26"/>
    <w:rsid w:val="7CD30B50"/>
    <w:rsid w:val="7CD3383D"/>
    <w:rsid w:val="7CD3AF49"/>
    <w:rsid w:val="7CD45CDB"/>
    <w:rsid w:val="7CD47326"/>
    <w:rsid w:val="7CD58BB2"/>
    <w:rsid w:val="7CD59590"/>
    <w:rsid w:val="7CD71DBB"/>
    <w:rsid w:val="7CD7876D"/>
    <w:rsid w:val="7CD7A2AB"/>
    <w:rsid w:val="7CD7B632"/>
    <w:rsid w:val="7CD7DB3B"/>
    <w:rsid w:val="7CD84661"/>
    <w:rsid w:val="7CD90CF6"/>
    <w:rsid w:val="7CD97AB8"/>
    <w:rsid w:val="7CD993FA"/>
    <w:rsid w:val="7CDB470E"/>
    <w:rsid w:val="7CDB9C6F"/>
    <w:rsid w:val="7CDBB7B6"/>
    <w:rsid w:val="7CDBF429"/>
    <w:rsid w:val="7CDCBECA"/>
    <w:rsid w:val="7CDCD6F6"/>
    <w:rsid w:val="7CDD6323"/>
    <w:rsid w:val="7CDDDDE8"/>
    <w:rsid w:val="7CDE1903"/>
    <w:rsid w:val="7CDE4EC9"/>
    <w:rsid w:val="7CDE60D0"/>
    <w:rsid w:val="7CDEDCC3"/>
    <w:rsid w:val="7CE0F9F2"/>
    <w:rsid w:val="7CE197C9"/>
    <w:rsid w:val="7CE24160"/>
    <w:rsid w:val="7CE2DC19"/>
    <w:rsid w:val="7CE571ED"/>
    <w:rsid w:val="7CE780D4"/>
    <w:rsid w:val="7CE78DDC"/>
    <w:rsid w:val="7CE7D480"/>
    <w:rsid w:val="7CE7FC0B"/>
    <w:rsid w:val="7CE80CEB"/>
    <w:rsid w:val="7CE815C8"/>
    <w:rsid w:val="7CE8A00B"/>
    <w:rsid w:val="7CE90A7F"/>
    <w:rsid w:val="7CE93C10"/>
    <w:rsid w:val="7CE96D12"/>
    <w:rsid w:val="7CE98FC3"/>
    <w:rsid w:val="7CEA0250"/>
    <w:rsid w:val="7CEC2E32"/>
    <w:rsid w:val="7CECC719"/>
    <w:rsid w:val="7CECD2D9"/>
    <w:rsid w:val="7CECEB64"/>
    <w:rsid w:val="7CED4C69"/>
    <w:rsid w:val="7CED50F4"/>
    <w:rsid w:val="7CED6782"/>
    <w:rsid w:val="7CEDBB5A"/>
    <w:rsid w:val="7CEDFEE3"/>
    <w:rsid w:val="7CEE1C6F"/>
    <w:rsid w:val="7CEE9225"/>
    <w:rsid w:val="7CEF025B"/>
    <w:rsid w:val="7CEF6573"/>
    <w:rsid w:val="7CF0B03D"/>
    <w:rsid w:val="7CF0B515"/>
    <w:rsid w:val="7CF14DAC"/>
    <w:rsid w:val="7CF1893F"/>
    <w:rsid w:val="7CF2506B"/>
    <w:rsid w:val="7CF322E7"/>
    <w:rsid w:val="7CF34410"/>
    <w:rsid w:val="7CF469A8"/>
    <w:rsid w:val="7CF4A185"/>
    <w:rsid w:val="7CF4C1D5"/>
    <w:rsid w:val="7CF59FA7"/>
    <w:rsid w:val="7CF5BB6F"/>
    <w:rsid w:val="7CF63DA5"/>
    <w:rsid w:val="7CF6DB33"/>
    <w:rsid w:val="7CF7360C"/>
    <w:rsid w:val="7CF8C3F8"/>
    <w:rsid w:val="7CF8DB6A"/>
    <w:rsid w:val="7CF992B2"/>
    <w:rsid w:val="7CF9B85D"/>
    <w:rsid w:val="7CFA1BCD"/>
    <w:rsid w:val="7CFAD460"/>
    <w:rsid w:val="7CFAE08D"/>
    <w:rsid w:val="7CFAF8E3"/>
    <w:rsid w:val="7CFB3191"/>
    <w:rsid w:val="7CFB352F"/>
    <w:rsid w:val="7CFB53D8"/>
    <w:rsid w:val="7CFBEC59"/>
    <w:rsid w:val="7CFC1089"/>
    <w:rsid w:val="7CFC7209"/>
    <w:rsid w:val="7CFD17EF"/>
    <w:rsid w:val="7CFD2343"/>
    <w:rsid w:val="7CFE15D6"/>
    <w:rsid w:val="7CFE17DD"/>
    <w:rsid w:val="7CFE30D0"/>
    <w:rsid w:val="7CFE39CF"/>
    <w:rsid w:val="7CFE43E8"/>
    <w:rsid w:val="7CFE5189"/>
    <w:rsid w:val="7CFE7548"/>
    <w:rsid w:val="7CFEA57B"/>
    <w:rsid w:val="7CFEAEFB"/>
    <w:rsid w:val="7CFF4CF2"/>
    <w:rsid w:val="7CFFA4A8"/>
    <w:rsid w:val="7D00F831"/>
    <w:rsid w:val="7D014193"/>
    <w:rsid w:val="7D0181C7"/>
    <w:rsid w:val="7D0209B9"/>
    <w:rsid w:val="7D02CB86"/>
    <w:rsid w:val="7D035692"/>
    <w:rsid w:val="7D040309"/>
    <w:rsid w:val="7D0425A6"/>
    <w:rsid w:val="7D04B01A"/>
    <w:rsid w:val="7D050A7F"/>
    <w:rsid w:val="7D05A104"/>
    <w:rsid w:val="7D07D3E7"/>
    <w:rsid w:val="7D085DC1"/>
    <w:rsid w:val="7D08AA67"/>
    <w:rsid w:val="7D08AE01"/>
    <w:rsid w:val="7D09A692"/>
    <w:rsid w:val="7D0B8815"/>
    <w:rsid w:val="7D0BE8C4"/>
    <w:rsid w:val="7D0BFDDA"/>
    <w:rsid w:val="7D0C084A"/>
    <w:rsid w:val="7D0C50B6"/>
    <w:rsid w:val="7D0C6016"/>
    <w:rsid w:val="7D0C7ED9"/>
    <w:rsid w:val="7D0D3B01"/>
    <w:rsid w:val="7D0D6A0E"/>
    <w:rsid w:val="7D0D6BE4"/>
    <w:rsid w:val="7D0D84B9"/>
    <w:rsid w:val="7D0DBECE"/>
    <w:rsid w:val="7D0DF1AF"/>
    <w:rsid w:val="7D0E9AF5"/>
    <w:rsid w:val="7D0EB896"/>
    <w:rsid w:val="7D0F0D41"/>
    <w:rsid w:val="7D0F89D6"/>
    <w:rsid w:val="7D10044C"/>
    <w:rsid w:val="7D10B807"/>
    <w:rsid w:val="7D11872A"/>
    <w:rsid w:val="7D11C1BB"/>
    <w:rsid w:val="7D11ECD3"/>
    <w:rsid w:val="7D12FC21"/>
    <w:rsid w:val="7D131CCF"/>
    <w:rsid w:val="7D1359F2"/>
    <w:rsid w:val="7D13A983"/>
    <w:rsid w:val="7D14EA4C"/>
    <w:rsid w:val="7D1531C8"/>
    <w:rsid w:val="7D16A235"/>
    <w:rsid w:val="7D16BC3E"/>
    <w:rsid w:val="7D171647"/>
    <w:rsid w:val="7D1722C3"/>
    <w:rsid w:val="7D17411B"/>
    <w:rsid w:val="7D1929DF"/>
    <w:rsid w:val="7D1AE615"/>
    <w:rsid w:val="7D1BCAEA"/>
    <w:rsid w:val="7D1C2C04"/>
    <w:rsid w:val="7D1C6C0D"/>
    <w:rsid w:val="7D1C8495"/>
    <w:rsid w:val="7D1D4AB9"/>
    <w:rsid w:val="7D1DD166"/>
    <w:rsid w:val="7D1DEF9E"/>
    <w:rsid w:val="7D1DF394"/>
    <w:rsid w:val="7D1E3FB3"/>
    <w:rsid w:val="7D1ECA00"/>
    <w:rsid w:val="7D1F2CD9"/>
    <w:rsid w:val="7D204317"/>
    <w:rsid w:val="7D2065F6"/>
    <w:rsid w:val="7D20E78F"/>
    <w:rsid w:val="7D218ED4"/>
    <w:rsid w:val="7D224C77"/>
    <w:rsid w:val="7D237098"/>
    <w:rsid w:val="7D244A77"/>
    <w:rsid w:val="7D245A87"/>
    <w:rsid w:val="7D249489"/>
    <w:rsid w:val="7D24B930"/>
    <w:rsid w:val="7D261D34"/>
    <w:rsid w:val="7D26B3C6"/>
    <w:rsid w:val="7D271CF8"/>
    <w:rsid w:val="7D273373"/>
    <w:rsid w:val="7D27B9DC"/>
    <w:rsid w:val="7D27CC5D"/>
    <w:rsid w:val="7D28437C"/>
    <w:rsid w:val="7D28569C"/>
    <w:rsid w:val="7D286E43"/>
    <w:rsid w:val="7D28EC8A"/>
    <w:rsid w:val="7D2979D2"/>
    <w:rsid w:val="7D29DF17"/>
    <w:rsid w:val="7D2A4D5E"/>
    <w:rsid w:val="7D2AE829"/>
    <w:rsid w:val="7D2AED7F"/>
    <w:rsid w:val="7D2BC348"/>
    <w:rsid w:val="7D2BEC96"/>
    <w:rsid w:val="7D2C3873"/>
    <w:rsid w:val="7D2C67EE"/>
    <w:rsid w:val="7D2CC736"/>
    <w:rsid w:val="7D2CDF06"/>
    <w:rsid w:val="7D2D078F"/>
    <w:rsid w:val="7D2E0E06"/>
    <w:rsid w:val="7D2E5E1B"/>
    <w:rsid w:val="7D2FB5ED"/>
    <w:rsid w:val="7D316573"/>
    <w:rsid w:val="7D316FD1"/>
    <w:rsid w:val="7D31C1B8"/>
    <w:rsid w:val="7D320F7D"/>
    <w:rsid w:val="7D321496"/>
    <w:rsid w:val="7D3243C7"/>
    <w:rsid w:val="7D3245B7"/>
    <w:rsid w:val="7D3331E4"/>
    <w:rsid w:val="7D339692"/>
    <w:rsid w:val="7D33C5BB"/>
    <w:rsid w:val="7D340C35"/>
    <w:rsid w:val="7D3461F9"/>
    <w:rsid w:val="7D348ECB"/>
    <w:rsid w:val="7D362E15"/>
    <w:rsid w:val="7D368AEC"/>
    <w:rsid w:val="7D36A326"/>
    <w:rsid w:val="7D36B921"/>
    <w:rsid w:val="7D36F524"/>
    <w:rsid w:val="7D375A1A"/>
    <w:rsid w:val="7D38DE65"/>
    <w:rsid w:val="7D399167"/>
    <w:rsid w:val="7D3AE771"/>
    <w:rsid w:val="7D3BADE3"/>
    <w:rsid w:val="7D3BCEF2"/>
    <w:rsid w:val="7D3C00E3"/>
    <w:rsid w:val="7D3DC1AE"/>
    <w:rsid w:val="7D3E8B58"/>
    <w:rsid w:val="7D3EB1C1"/>
    <w:rsid w:val="7D3F0E36"/>
    <w:rsid w:val="7D3F1557"/>
    <w:rsid w:val="7D3F1737"/>
    <w:rsid w:val="7D3F53F5"/>
    <w:rsid w:val="7D3F815C"/>
    <w:rsid w:val="7D4172D4"/>
    <w:rsid w:val="7D417B9A"/>
    <w:rsid w:val="7D41AE71"/>
    <w:rsid w:val="7D41DA19"/>
    <w:rsid w:val="7D421821"/>
    <w:rsid w:val="7D423CC7"/>
    <w:rsid w:val="7D42ADD0"/>
    <w:rsid w:val="7D42CAB9"/>
    <w:rsid w:val="7D42E792"/>
    <w:rsid w:val="7D433FF7"/>
    <w:rsid w:val="7D43541B"/>
    <w:rsid w:val="7D43921D"/>
    <w:rsid w:val="7D43AC5E"/>
    <w:rsid w:val="7D43B674"/>
    <w:rsid w:val="7D45282D"/>
    <w:rsid w:val="7D460B5D"/>
    <w:rsid w:val="7D477724"/>
    <w:rsid w:val="7D486F9A"/>
    <w:rsid w:val="7D4912AC"/>
    <w:rsid w:val="7D493599"/>
    <w:rsid w:val="7D49D8FF"/>
    <w:rsid w:val="7D49F81E"/>
    <w:rsid w:val="7D4A5799"/>
    <w:rsid w:val="7D4A584A"/>
    <w:rsid w:val="7D4B417C"/>
    <w:rsid w:val="7D4B8822"/>
    <w:rsid w:val="7D4BBD89"/>
    <w:rsid w:val="7D4C53E7"/>
    <w:rsid w:val="7D4C6932"/>
    <w:rsid w:val="7D4D515C"/>
    <w:rsid w:val="7D4E2F14"/>
    <w:rsid w:val="7D4FB0D3"/>
    <w:rsid w:val="7D504D45"/>
    <w:rsid w:val="7D50920B"/>
    <w:rsid w:val="7D510F1F"/>
    <w:rsid w:val="7D51E275"/>
    <w:rsid w:val="7D52676A"/>
    <w:rsid w:val="7D5402E1"/>
    <w:rsid w:val="7D547A49"/>
    <w:rsid w:val="7D55335C"/>
    <w:rsid w:val="7D557949"/>
    <w:rsid w:val="7D55ACB1"/>
    <w:rsid w:val="7D55C22E"/>
    <w:rsid w:val="7D56ADCA"/>
    <w:rsid w:val="7D5857F3"/>
    <w:rsid w:val="7D58A36B"/>
    <w:rsid w:val="7D59FFD9"/>
    <w:rsid w:val="7D5A0364"/>
    <w:rsid w:val="7D5A265A"/>
    <w:rsid w:val="7D5A51B7"/>
    <w:rsid w:val="7D5A9997"/>
    <w:rsid w:val="7D5B1FE2"/>
    <w:rsid w:val="7D5C8BD0"/>
    <w:rsid w:val="7D5D0AE9"/>
    <w:rsid w:val="7D5D492B"/>
    <w:rsid w:val="7D5DA60C"/>
    <w:rsid w:val="7D5E0F22"/>
    <w:rsid w:val="7D5EDCAF"/>
    <w:rsid w:val="7D5F62E7"/>
    <w:rsid w:val="7D5F699F"/>
    <w:rsid w:val="7D60B996"/>
    <w:rsid w:val="7D60FA5F"/>
    <w:rsid w:val="7D621E1F"/>
    <w:rsid w:val="7D62FD01"/>
    <w:rsid w:val="7D631872"/>
    <w:rsid w:val="7D634E62"/>
    <w:rsid w:val="7D639451"/>
    <w:rsid w:val="7D644962"/>
    <w:rsid w:val="7D645C5A"/>
    <w:rsid w:val="7D64B423"/>
    <w:rsid w:val="7D64F0A8"/>
    <w:rsid w:val="7D65AF36"/>
    <w:rsid w:val="7D65B70B"/>
    <w:rsid w:val="7D663E0F"/>
    <w:rsid w:val="7D66DCA9"/>
    <w:rsid w:val="7D67AF13"/>
    <w:rsid w:val="7D68523C"/>
    <w:rsid w:val="7D68E0C0"/>
    <w:rsid w:val="7D690626"/>
    <w:rsid w:val="7D691507"/>
    <w:rsid w:val="7D69181D"/>
    <w:rsid w:val="7D699C16"/>
    <w:rsid w:val="7D6A37DD"/>
    <w:rsid w:val="7D6B0720"/>
    <w:rsid w:val="7D6B4F1F"/>
    <w:rsid w:val="7D6B6DC9"/>
    <w:rsid w:val="7D6C17E9"/>
    <w:rsid w:val="7D6C776E"/>
    <w:rsid w:val="7D6CB362"/>
    <w:rsid w:val="7D6CF9E9"/>
    <w:rsid w:val="7D6D08E8"/>
    <w:rsid w:val="7D6D8402"/>
    <w:rsid w:val="7D6DE4F6"/>
    <w:rsid w:val="7D6EC35F"/>
    <w:rsid w:val="7D6F3036"/>
    <w:rsid w:val="7D71120C"/>
    <w:rsid w:val="7D713B9B"/>
    <w:rsid w:val="7D7149D6"/>
    <w:rsid w:val="7D71B2C9"/>
    <w:rsid w:val="7D72194B"/>
    <w:rsid w:val="7D74BEB6"/>
    <w:rsid w:val="7D74C604"/>
    <w:rsid w:val="7D74F031"/>
    <w:rsid w:val="7D75BB92"/>
    <w:rsid w:val="7D770B96"/>
    <w:rsid w:val="7D77311A"/>
    <w:rsid w:val="7D77ECB5"/>
    <w:rsid w:val="7D781C21"/>
    <w:rsid w:val="7D78FE84"/>
    <w:rsid w:val="7D790DE0"/>
    <w:rsid w:val="7D79280D"/>
    <w:rsid w:val="7D793A12"/>
    <w:rsid w:val="7D7A02CC"/>
    <w:rsid w:val="7D7A11A6"/>
    <w:rsid w:val="7D7ABF15"/>
    <w:rsid w:val="7D7B9683"/>
    <w:rsid w:val="7D7C9BCE"/>
    <w:rsid w:val="7D7CDAD9"/>
    <w:rsid w:val="7D7D340B"/>
    <w:rsid w:val="7D7D3FFC"/>
    <w:rsid w:val="7D7DF8D6"/>
    <w:rsid w:val="7D7E1049"/>
    <w:rsid w:val="7D7E5601"/>
    <w:rsid w:val="7D7F8994"/>
    <w:rsid w:val="7D7F96D2"/>
    <w:rsid w:val="7D801079"/>
    <w:rsid w:val="7D81830D"/>
    <w:rsid w:val="7D818783"/>
    <w:rsid w:val="7D81E170"/>
    <w:rsid w:val="7D821FA7"/>
    <w:rsid w:val="7D836CF6"/>
    <w:rsid w:val="7D837BA7"/>
    <w:rsid w:val="7D844A4B"/>
    <w:rsid w:val="7D84A2CB"/>
    <w:rsid w:val="7D84CAD4"/>
    <w:rsid w:val="7D850098"/>
    <w:rsid w:val="7D865876"/>
    <w:rsid w:val="7D86D0B0"/>
    <w:rsid w:val="7D86FE31"/>
    <w:rsid w:val="7D873F03"/>
    <w:rsid w:val="7D881F30"/>
    <w:rsid w:val="7D883E66"/>
    <w:rsid w:val="7D88CE21"/>
    <w:rsid w:val="7D890DB1"/>
    <w:rsid w:val="7D89B599"/>
    <w:rsid w:val="7D8A2DE1"/>
    <w:rsid w:val="7D8A4CDF"/>
    <w:rsid w:val="7D8A9036"/>
    <w:rsid w:val="7D8AC816"/>
    <w:rsid w:val="7D8B6BEB"/>
    <w:rsid w:val="7D8B7DF1"/>
    <w:rsid w:val="7D8B8278"/>
    <w:rsid w:val="7D8C0EF6"/>
    <w:rsid w:val="7D8C5B8E"/>
    <w:rsid w:val="7D8C7B72"/>
    <w:rsid w:val="7D8D43AC"/>
    <w:rsid w:val="7D8D8206"/>
    <w:rsid w:val="7D8D8FD7"/>
    <w:rsid w:val="7D8E3B16"/>
    <w:rsid w:val="7D8F420A"/>
    <w:rsid w:val="7D8F6DCA"/>
    <w:rsid w:val="7D8F8329"/>
    <w:rsid w:val="7D8FC944"/>
    <w:rsid w:val="7D8FE176"/>
    <w:rsid w:val="7D901B86"/>
    <w:rsid w:val="7D9051E1"/>
    <w:rsid w:val="7D909F6C"/>
    <w:rsid w:val="7D91FAE6"/>
    <w:rsid w:val="7D9219DB"/>
    <w:rsid w:val="7D92ABAC"/>
    <w:rsid w:val="7D92EF2D"/>
    <w:rsid w:val="7D9380DA"/>
    <w:rsid w:val="7D941E6D"/>
    <w:rsid w:val="7D94E1FE"/>
    <w:rsid w:val="7D965514"/>
    <w:rsid w:val="7D96C82E"/>
    <w:rsid w:val="7D96DF0D"/>
    <w:rsid w:val="7D977C83"/>
    <w:rsid w:val="7D984D64"/>
    <w:rsid w:val="7D98615A"/>
    <w:rsid w:val="7D98B594"/>
    <w:rsid w:val="7D98CC36"/>
    <w:rsid w:val="7D98D81F"/>
    <w:rsid w:val="7D98ED83"/>
    <w:rsid w:val="7D98FF9A"/>
    <w:rsid w:val="7D999E77"/>
    <w:rsid w:val="7D99FC6A"/>
    <w:rsid w:val="7D9ACE88"/>
    <w:rsid w:val="7D9B53BE"/>
    <w:rsid w:val="7D9B9726"/>
    <w:rsid w:val="7D9C1F77"/>
    <w:rsid w:val="7D9D539A"/>
    <w:rsid w:val="7D9D720C"/>
    <w:rsid w:val="7D9DC226"/>
    <w:rsid w:val="7D9DE0C4"/>
    <w:rsid w:val="7D9DFCC3"/>
    <w:rsid w:val="7D9E3CF4"/>
    <w:rsid w:val="7D9EA31C"/>
    <w:rsid w:val="7D9F2559"/>
    <w:rsid w:val="7DA09E5E"/>
    <w:rsid w:val="7DA0DAAC"/>
    <w:rsid w:val="7DA10F52"/>
    <w:rsid w:val="7DA18785"/>
    <w:rsid w:val="7DA1A060"/>
    <w:rsid w:val="7DA21107"/>
    <w:rsid w:val="7DA30DE2"/>
    <w:rsid w:val="7DA43851"/>
    <w:rsid w:val="7DA4A9C7"/>
    <w:rsid w:val="7DA5B683"/>
    <w:rsid w:val="7DA5D88C"/>
    <w:rsid w:val="7DA6331D"/>
    <w:rsid w:val="7DA68A50"/>
    <w:rsid w:val="7DA6DDA2"/>
    <w:rsid w:val="7DA6EFA6"/>
    <w:rsid w:val="7DA6F597"/>
    <w:rsid w:val="7DA82F57"/>
    <w:rsid w:val="7DA8C6E5"/>
    <w:rsid w:val="7DA8CE0D"/>
    <w:rsid w:val="7DA90AA1"/>
    <w:rsid w:val="7DA96C04"/>
    <w:rsid w:val="7DAAE517"/>
    <w:rsid w:val="7DABCF77"/>
    <w:rsid w:val="7DABDEE6"/>
    <w:rsid w:val="7DAC177F"/>
    <w:rsid w:val="7DAC2F33"/>
    <w:rsid w:val="7DACB522"/>
    <w:rsid w:val="7DAD6A9A"/>
    <w:rsid w:val="7DADC1C5"/>
    <w:rsid w:val="7DAE1EF6"/>
    <w:rsid w:val="7DAE4DE4"/>
    <w:rsid w:val="7DAEECCE"/>
    <w:rsid w:val="7DB1DE25"/>
    <w:rsid w:val="7DB21A1D"/>
    <w:rsid w:val="7DB23F1C"/>
    <w:rsid w:val="7DB24285"/>
    <w:rsid w:val="7DB26264"/>
    <w:rsid w:val="7DB311B5"/>
    <w:rsid w:val="7DB312FE"/>
    <w:rsid w:val="7DB32634"/>
    <w:rsid w:val="7DB33A95"/>
    <w:rsid w:val="7DB3E528"/>
    <w:rsid w:val="7DB56E38"/>
    <w:rsid w:val="7DB5DD5A"/>
    <w:rsid w:val="7DB7BCE3"/>
    <w:rsid w:val="7DB819D6"/>
    <w:rsid w:val="7DB871DC"/>
    <w:rsid w:val="7DB94922"/>
    <w:rsid w:val="7DB9BA8D"/>
    <w:rsid w:val="7DB9D1B4"/>
    <w:rsid w:val="7DB9DBF5"/>
    <w:rsid w:val="7DB9EC55"/>
    <w:rsid w:val="7DBAB190"/>
    <w:rsid w:val="7DBB3C6B"/>
    <w:rsid w:val="7DBC83CA"/>
    <w:rsid w:val="7DBCCDAF"/>
    <w:rsid w:val="7DBD76DA"/>
    <w:rsid w:val="7DBE897B"/>
    <w:rsid w:val="7DBEC596"/>
    <w:rsid w:val="7DBF1C8E"/>
    <w:rsid w:val="7DBF2E3B"/>
    <w:rsid w:val="7DC0BF8B"/>
    <w:rsid w:val="7DC18E44"/>
    <w:rsid w:val="7DC2392A"/>
    <w:rsid w:val="7DC27382"/>
    <w:rsid w:val="7DC2F7FB"/>
    <w:rsid w:val="7DC32529"/>
    <w:rsid w:val="7DC41803"/>
    <w:rsid w:val="7DC42A6E"/>
    <w:rsid w:val="7DC52350"/>
    <w:rsid w:val="7DC53502"/>
    <w:rsid w:val="7DC66771"/>
    <w:rsid w:val="7DC724A4"/>
    <w:rsid w:val="7DC7477A"/>
    <w:rsid w:val="7DC85DA5"/>
    <w:rsid w:val="7DC8920A"/>
    <w:rsid w:val="7DC8CF17"/>
    <w:rsid w:val="7DC8CF93"/>
    <w:rsid w:val="7DC8D9D6"/>
    <w:rsid w:val="7DC90DFF"/>
    <w:rsid w:val="7DC98858"/>
    <w:rsid w:val="7DC99B58"/>
    <w:rsid w:val="7DCB3A37"/>
    <w:rsid w:val="7DCBB575"/>
    <w:rsid w:val="7DCBFD23"/>
    <w:rsid w:val="7DCCE632"/>
    <w:rsid w:val="7DCD77C8"/>
    <w:rsid w:val="7DCE5134"/>
    <w:rsid w:val="7DCE8B5B"/>
    <w:rsid w:val="7DCEE2E3"/>
    <w:rsid w:val="7DD01EE2"/>
    <w:rsid w:val="7DD02873"/>
    <w:rsid w:val="7DD0ECF4"/>
    <w:rsid w:val="7DD145EB"/>
    <w:rsid w:val="7DD1AC09"/>
    <w:rsid w:val="7DD1F649"/>
    <w:rsid w:val="7DD20A75"/>
    <w:rsid w:val="7DD2E742"/>
    <w:rsid w:val="7DD2EB40"/>
    <w:rsid w:val="7DD30E16"/>
    <w:rsid w:val="7DD316CC"/>
    <w:rsid w:val="7DD3415A"/>
    <w:rsid w:val="7DD35335"/>
    <w:rsid w:val="7DD402BD"/>
    <w:rsid w:val="7DD417D2"/>
    <w:rsid w:val="7DD45532"/>
    <w:rsid w:val="7DD5EDBC"/>
    <w:rsid w:val="7DD62826"/>
    <w:rsid w:val="7DD6A34D"/>
    <w:rsid w:val="7DD6DFDA"/>
    <w:rsid w:val="7DD70197"/>
    <w:rsid w:val="7DD793CA"/>
    <w:rsid w:val="7DD80685"/>
    <w:rsid w:val="7DD82C20"/>
    <w:rsid w:val="7DD8426F"/>
    <w:rsid w:val="7DD85CEE"/>
    <w:rsid w:val="7DD8858C"/>
    <w:rsid w:val="7DD89330"/>
    <w:rsid w:val="7DD8C422"/>
    <w:rsid w:val="7DD91478"/>
    <w:rsid w:val="7DD9F0B2"/>
    <w:rsid w:val="7DDA72B3"/>
    <w:rsid w:val="7DDABEA8"/>
    <w:rsid w:val="7DDC744F"/>
    <w:rsid w:val="7DDD7D5A"/>
    <w:rsid w:val="7DDDB24D"/>
    <w:rsid w:val="7DDE0108"/>
    <w:rsid w:val="7DDE0EB5"/>
    <w:rsid w:val="7DDE2237"/>
    <w:rsid w:val="7DDE79DB"/>
    <w:rsid w:val="7DDFEB24"/>
    <w:rsid w:val="7DE02F4F"/>
    <w:rsid w:val="7DE0C99C"/>
    <w:rsid w:val="7DE1BCAC"/>
    <w:rsid w:val="7DE2A643"/>
    <w:rsid w:val="7DE2B2E5"/>
    <w:rsid w:val="7DE2C095"/>
    <w:rsid w:val="7DE3825C"/>
    <w:rsid w:val="7DE3B7E2"/>
    <w:rsid w:val="7DE4AD52"/>
    <w:rsid w:val="7DE4F848"/>
    <w:rsid w:val="7DE4FC22"/>
    <w:rsid w:val="7DE59DD1"/>
    <w:rsid w:val="7DE7751B"/>
    <w:rsid w:val="7DE81349"/>
    <w:rsid w:val="7DE83A33"/>
    <w:rsid w:val="7DE85FC6"/>
    <w:rsid w:val="7DE86DE5"/>
    <w:rsid w:val="7DE96416"/>
    <w:rsid w:val="7DE96CE9"/>
    <w:rsid w:val="7DE9830F"/>
    <w:rsid w:val="7DE99DA9"/>
    <w:rsid w:val="7DE9FC94"/>
    <w:rsid w:val="7DEA0D6E"/>
    <w:rsid w:val="7DEA4BA3"/>
    <w:rsid w:val="7DEA7678"/>
    <w:rsid w:val="7DEA798F"/>
    <w:rsid w:val="7DEAA9B6"/>
    <w:rsid w:val="7DEAB820"/>
    <w:rsid w:val="7DEABF6E"/>
    <w:rsid w:val="7DEB6008"/>
    <w:rsid w:val="7DEC2E5B"/>
    <w:rsid w:val="7DEC604A"/>
    <w:rsid w:val="7DEC8AE7"/>
    <w:rsid w:val="7DED2A0D"/>
    <w:rsid w:val="7DED2A8F"/>
    <w:rsid w:val="7DEE524A"/>
    <w:rsid w:val="7DEF8BE7"/>
    <w:rsid w:val="7DF046AC"/>
    <w:rsid w:val="7DF0C7D1"/>
    <w:rsid w:val="7DF0E09D"/>
    <w:rsid w:val="7DF18842"/>
    <w:rsid w:val="7DF1AD64"/>
    <w:rsid w:val="7DF2B23D"/>
    <w:rsid w:val="7DF318EF"/>
    <w:rsid w:val="7DF3A76B"/>
    <w:rsid w:val="7DF3DDFB"/>
    <w:rsid w:val="7DF492EC"/>
    <w:rsid w:val="7DF51089"/>
    <w:rsid w:val="7DF51305"/>
    <w:rsid w:val="7DF518C7"/>
    <w:rsid w:val="7DF55F59"/>
    <w:rsid w:val="7DF56AA8"/>
    <w:rsid w:val="7DF5F882"/>
    <w:rsid w:val="7DF63B69"/>
    <w:rsid w:val="7DF66698"/>
    <w:rsid w:val="7DF74961"/>
    <w:rsid w:val="7DF7AD4A"/>
    <w:rsid w:val="7DF9832F"/>
    <w:rsid w:val="7DF99F45"/>
    <w:rsid w:val="7DFABA6A"/>
    <w:rsid w:val="7DFAF027"/>
    <w:rsid w:val="7DFB1F33"/>
    <w:rsid w:val="7DFB3423"/>
    <w:rsid w:val="7DFB6531"/>
    <w:rsid w:val="7DFBB487"/>
    <w:rsid w:val="7DFBC71F"/>
    <w:rsid w:val="7DFCC420"/>
    <w:rsid w:val="7DFCDEB7"/>
    <w:rsid w:val="7DFD6F5F"/>
    <w:rsid w:val="7DFE863F"/>
    <w:rsid w:val="7DFF101B"/>
    <w:rsid w:val="7DFF41E0"/>
    <w:rsid w:val="7DFF79B0"/>
    <w:rsid w:val="7DFF867D"/>
    <w:rsid w:val="7DFF95CA"/>
    <w:rsid w:val="7E007642"/>
    <w:rsid w:val="7E00CDAD"/>
    <w:rsid w:val="7E0125AC"/>
    <w:rsid w:val="7E01A97B"/>
    <w:rsid w:val="7E028AED"/>
    <w:rsid w:val="7E02BC03"/>
    <w:rsid w:val="7E02FF14"/>
    <w:rsid w:val="7E03D0BB"/>
    <w:rsid w:val="7E044AE6"/>
    <w:rsid w:val="7E05090E"/>
    <w:rsid w:val="7E056C47"/>
    <w:rsid w:val="7E05B3CF"/>
    <w:rsid w:val="7E05E074"/>
    <w:rsid w:val="7E06367D"/>
    <w:rsid w:val="7E078DF8"/>
    <w:rsid w:val="7E07B909"/>
    <w:rsid w:val="7E09CA55"/>
    <w:rsid w:val="7E09F4F5"/>
    <w:rsid w:val="7E0A2DC9"/>
    <w:rsid w:val="7E0A3166"/>
    <w:rsid w:val="7E0A852C"/>
    <w:rsid w:val="7E0A8C87"/>
    <w:rsid w:val="7E0B0E55"/>
    <w:rsid w:val="7E0CACDD"/>
    <w:rsid w:val="7E0D2221"/>
    <w:rsid w:val="7E0EB9BE"/>
    <w:rsid w:val="7E0ED86F"/>
    <w:rsid w:val="7E0F0063"/>
    <w:rsid w:val="7E0F11CD"/>
    <w:rsid w:val="7E0FA619"/>
    <w:rsid w:val="7E110865"/>
    <w:rsid w:val="7E1171A8"/>
    <w:rsid w:val="7E11F59D"/>
    <w:rsid w:val="7E121EBD"/>
    <w:rsid w:val="7E122D20"/>
    <w:rsid w:val="7E124C2C"/>
    <w:rsid w:val="7E133DAB"/>
    <w:rsid w:val="7E134E12"/>
    <w:rsid w:val="7E135668"/>
    <w:rsid w:val="7E135F27"/>
    <w:rsid w:val="7E137084"/>
    <w:rsid w:val="7E137FE7"/>
    <w:rsid w:val="7E1450BF"/>
    <w:rsid w:val="7E1624E1"/>
    <w:rsid w:val="7E173FCB"/>
    <w:rsid w:val="7E18245C"/>
    <w:rsid w:val="7E18590F"/>
    <w:rsid w:val="7E1871E3"/>
    <w:rsid w:val="7E18EEF2"/>
    <w:rsid w:val="7E1A8128"/>
    <w:rsid w:val="7E1AF488"/>
    <w:rsid w:val="7E1B21E6"/>
    <w:rsid w:val="7E1B46C1"/>
    <w:rsid w:val="7E1B9803"/>
    <w:rsid w:val="7E1BCA23"/>
    <w:rsid w:val="7E1C76BF"/>
    <w:rsid w:val="7E1DA327"/>
    <w:rsid w:val="7E1DBE64"/>
    <w:rsid w:val="7E1EFDA2"/>
    <w:rsid w:val="7E1F537B"/>
    <w:rsid w:val="7E1F9A57"/>
    <w:rsid w:val="7E202F7F"/>
    <w:rsid w:val="7E203D89"/>
    <w:rsid w:val="7E20CD4C"/>
    <w:rsid w:val="7E22D2C7"/>
    <w:rsid w:val="7E232390"/>
    <w:rsid w:val="7E23C1A5"/>
    <w:rsid w:val="7E23DED6"/>
    <w:rsid w:val="7E240438"/>
    <w:rsid w:val="7E2452D9"/>
    <w:rsid w:val="7E25E1EC"/>
    <w:rsid w:val="7E25E7FD"/>
    <w:rsid w:val="7E283649"/>
    <w:rsid w:val="7E29AF55"/>
    <w:rsid w:val="7E29F86E"/>
    <w:rsid w:val="7E2A110F"/>
    <w:rsid w:val="7E2A8F54"/>
    <w:rsid w:val="7E2B2BCC"/>
    <w:rsid w:val="7E2BB6E7"/>
    <w:rsid w:val="7E2D564A"/>
    <w:rsid w:val="7E2E2E91"/>
    <w:rsid w:val="7E2E4521"/>
    <w:rsid w:val="7E2E61E5"/>
    <w:rsid w:val="7E2EE085"/>
    <w:rsid w:val="7E3038A2"/>
    <w:rsid w:val="7E304225"/>
    <w:rsid w:val="7E306145"/>
    <w:rsid w:val="7E306A0C"/>
    <w:rsid w:val="7E313E7E"/>
    <w:rsid w:val="7E316847"/>
    <w:rsid w:val="7E318277"/>
    <w:rsid w:val="7E31BFAC"/>
    <w:rsid w:val="7E322456"/>
    <w:rsid w:val="7E323F26"/>
    <w:rsid w:val="7E327B89"/>
    <w:rsid w:val="7E32A07C"/>
    <w:rsid w:val="7E32C4D3"/>
    <w:rsid w:val="7E3384C2"/>
    <w:rsid w:val="7E33A40C"/>
    <w:rsid w:val="7E33E26D"/>
    <w:rsid w:val="7E344989"/>
    <w:rsid w:val="7E35ACBC"/>
    <w:rsid w:val="7E35B73D"/>
    <w:rsid w:val="7E3629A5"/>
    <w:rsid w:val="7E367FCF"/>
    <w:rsid w:val="7E36FB32"/>
    <w:rsid w:val="7E3739A3"/>
    <w:rsid w:val="7E375327"/>
    <w:rsid w:val="7E377AF4"/>
    <w:rsid w:val="7E37807B"/>
    <w:rsid w:val="7E38BA0B"/>
    <w:rsid w:val="7E39DCB8"/>
    <w:rsid w:val="7E3AF6EA"/>
    <w:rsid w:val="7E3B4AAB"/>
    <w:rsid w:val="7E3B7941"/>
    <w:rsid w:val="7E3BF885"/>
    <w:rsid w:val="7E3D6DC6"/>
    <w:rsid w:val="7E3DD6D7"/>
    <w:rsid w:val="7E3E0B49"/>
    <w:rsid w:val="7E3E157B"/>
    <w:rsid w:val="7E3E39CA"/>
    <w:rsid w:val="7E3E5DBC"/>
    <w:rsid w:val="7E3F242E"/>
    <w:rsid w:val="7E3FE65E"/>
    <w:rsid w:val="7E4144A1"/>
    <w:rsid w:val="7E421878"/>
    <w:rsid w:val="7E428F63"/>
    <w:rsid w:val="7E42DD4F"/>
    <w:rsid w:val="7E4301BB"/>
    <w:rsid w:val="7E43C6E9"/>
    <w:rsid w:val="7E43EB47"/>
    <w:rsid w:val="7E44170B"/>
    <w:rsid w:val="7E447FD9"/>
    <w:rsid w:val="7E44CE0F"/>
    <w:rsid w:val="7E4524B4"/>
    <w:rsid w:val="7E45865B"/>
    <w:rsid w:val="7E467D26"/>
    <w:rsid w:val="7E46BC60"/>
    <w:rsid w:val="7E472981"/>
    <w:rsid w:val="7E47BFFA"/>
    <w:rsid w:val="7E486034"/>
    <w:rsid w:val="7E486A29"/>
    <w:rsid w:val="7E48DA1B"/>
    <w:rsid w:val="7E49C444"/>
    <w:rsid w:val="7E49D7BD"/>
    <w:rsid w:val="7E49F0E2"/>
    <w:rsid w:val="7E49FB83"/>
    <w:rsid w:val="7E4B5D9B"/>
    <w:rsid w:val="7E4CD422"/>
    <w:rsid w:val="7E4CDFC9"/>
    <w:rsid w:val="7E4D3455"/>
    <w:rsid w:val="7E4E6303"/>
    <w:rsid w:val="7E4E6C1A"/>
    <w:rsid w:val="7E4FB368"/>
    <w:rsid w:val="7E4FD857"/>
    <w:rsid w:val="7E512027"/>
    <w:rsid w:val="7E513A49"/>
    <w:rsid w:val="7E515592"/>
    <w:rsid w:val="7E52E664"/>
    <w:rsid w:val="7E52F24B"/>
    <w:rsid w:val="7E533F49"/>
    <w:rsid w:val="7E5375A2"/>
    <w:rsid w:val="7E5384F2"/>
    <w:rsid w:val="7E5489A1"/>
    <w:rsid w:val="7E54E87D"/>
    <w:rsid w:val="7E554F0A"/>
    <w:rsid w:val="7E55580A"/>
    <w:rsid w:val="7E556DDB"/>
    <w:rsid w:val="7E564EAB"/>
    <w:rsid w:val="7E57521C"/>
    <w:rsid w:val="7E57ED26"/>
    <w:rsid w:val="7E5849C4"/>
    <w:rsid w:val="7E585A24"/>
    <w:rsid w:val="7E595153"/>
    <w:rsid w:val="7E5980F6"/>
    <w:rsid w:val="7E59953C"/>
    <w:rsid w:val="7E59A148"/>
    <w:rsid w:val="7E59E45C"/>
    <w:rsid w:val="7E59FFA0"/>
    <w:rsid w:val="7E5A0769"/>
    <w:rsid w:val="7E5A2B88"/>
    <w:rsid w:val="7E5A9C33"/>
    <w:rsid w:val="7E5AA679"/>
    <w:rsid w:val="7E5ACA2E"/>
    <w:rsid w:val="7E5B478C"/>
    <w:rsid w:val="7E5BBEC4"/>
    <w:rsid w:val="7E5C12DE"/>
    <w:rsid w:val="7E5C4CCD"/>
    <w:rsid w:val="7E5CB2AF"/>
    <w:rsid w:val="7E5CE6E8"/>
    <w:rsid w:val="7E5D3C2B"/>
    <w:rsid w:val="7E5D889F"/>
    <w:rsid w:val="7E60B58F"/>
    <w:rsid w:val="7E60C36A"/>
    <w:rsid w:val="7E61019A"/>
    <w:rsid w:val="7E610844"/>
    <w:rsid w:val="7E6244D7"/>
    <w:rsid w:val="7E624808"/>
    <w:rsid w:val="7E63251C"/>
    <w:rsid w:val="7E634663"/>
    <w:rsid w:val="7E6415C6"/>
    <w:rsid w:val="7E642E2C"/>
    <w:rsid w:val="7E64BF09"/>
    <w:rsid w:val="7E6558EB"/>
    <w:rsid w:val="7E65B37D"/>
    <w:rsid w:val="7E65BE8B"/>
    <w:rsid w:val="7E65C382"/>
    <w:rsid w:val="7E66576E"/>
    <w:rsid w:val="7E6661DE"/>
    <w:rsid w:val="7E66DF9F"/>
    <w:rsid w:val="7E67122D"/>
    <w:rsid w:val="7E681503"/>
    <w:rsid w:val="7E684986"/>
    <w:rsid w:val="7E69250D"/>
    <w:rsid w:val="7E6957E5"/>
    <w:rsid w:val="7E696034"/>
    <w:rsid w:val="7E697ABF"/>
    <w:rsid w:val="7E6A00D4"/>
    <w:rsid w:val="7E6A77E5"/>
    <w:rsid w:val="7E6AC905"/>
    <w:rsid w:val="7E6AF295"/>
    <w:rsid w:val="7E6B8BD7"/>
    <w:rsid w:val="7E6C1897"/>
    <w:rsid w:val="7E6C19E6"/>
    <w:rsid w:val="7E6C99C9"/>
    <w:rsid w:val="7E6D8C27"/>
    <w:rsid w:val="7E6D9664"/>
    <w:rsid w:val="7E6E8A24"/>
    <w:rsid w:val="7E6F31C3"/>
    <w:rsid w:val="7E6FAFA2"/>
    <w:rsid w:val="7E708B68"/>
    <w:rsid w:val="7E70E87D"/>
    <w:rsid w:val="7E70EEED"/>
    <w:rsid w:val="7E713A31"/>
    <w:rsid w:val="7E71AED8"/>
    <w:rsid w:val="7E71F043"/>
    <w:rsid w:val="7E724D12"/>
    <w:rsid w:val="7E729799"/>
    <w:rsid w:val="7E72ED31"/>
    <w:rsid w:val="7E73799F"/>
    <w:rsid w:val="7E740EE3"/>
    <w:rsid w:val="7E759F2D"/>
    <w:rsid w:val="7E761A10"/>
    <w:rsid w:val="7E762ECF"/>
    <w:rsid w:val="7E76D5BE"/>
    <w:rsid w:val="7E786626"/>
    <w:rsid w:val="7E78920E"/>
    <w:rsid w:val="7E7971E9"/>
    <w:rsid w:val="7E7A0225"/>
    <w:rsid w:val="7E7AA011"/>
    <w:rsid w:val="7E7AF628"/>
    <w:rsid w:val="7E7C0891"/>
    <w:rsid w:val="7E7CD115"/>
    <w:rsid w:val="7E7CDDB9"/>
    <w:rsid w:val="7E7D7B4D"/>
    <w:rsid w:val="7E7D8141"/>
    <w:rsid w:val="7E7E2FD2"/>
    <w:rsid w:val="7E7EDC81"/>
    <w:rsid w:val="7E7F0B75"/>
    <w:rsid w:val="7E7F410D"/>
    <w:rsid w:val="7E7FA5E8"/>
    <w:rsid w:val="7E8093CC"/>
    <w:rsid w:val="7E80ECB4"/>
    <w:rsid w:val="7E81B8B0"/>
    <w:rsid w:val="7E825726"/>
    <w:rsid w:val="7E83211F"/>
    <w:rsid w:val="7E83A05B"/>
    <w:rsid w:val="7E83A85D"/>
    <w:rsid w:val="7E83ACA3"/>
    <w:rsid w:val="7E846764"/>
    <w:rsid w:val="7E848C9D"/>
    <w:rsid w:val="7E860391"/>
    <w:rsid w:val="7E87C06D"/>
    <w:rsid w:val="7E88781C"/>
    <w:rsid w:val="7E892E07"/>
    <w:rsid w:val="7E895599"/>
    <w:rsid w:val="7E89DCA9"/>
    <w:rsid w:val="7E8CCC79"/>
    <w:rsid w:val="7E8CE0C8"/>
    <w:rsid w:val="7E8CE125"/>
    <w:rsid w:val="7E8D110F"/>
    <w:rsid w:val="7E8F2068"/>
    <w:rsid w:val="7E8F7250"/>
    <w:rsid w:val="7E8F7A40"/>
    <w:rsid w:val="7E8F7D70"/>
    <w:rsid w:val="7E8F8AFB"/>
    <w:rsid w:val="7E8FD3EC"/>
    <w:rsid w:val="7E8FD9EE"/>
    <w:rsid w:val="7E90FBF1"/>
    <w:rsid w:val="7E91412E"/>
    <w:rsid w:val="7E914F32"/>
    <w:rsid w:val="7E91DD44"/>
    <w:rsid w:val="7E92A452"/>
    <w:rsid w:val="7E947483"/>
    <w:rsid w:val="7E947931"/>
    <w:rsid w:val="7E94BFA6"/>
    <w:rsid w:val="7E94DF35"/>
    <w:rsid w:val="7E94E679"/>
    <w:rsid w:val="7E95525C"/>
    <w:rsid w:val="7E9575BE"/>
    <w:rsid w:val="7E95FCA8"/>
    <w:rsid w:val="7E970C22"/>
    <w:rsid w:val="7E973ECA"/>
    <w:rsid w:val="7E97AC35"/>
    <w:rsid w:val="7E97D091"/>
    <w:rsid w:val="7E97E616"/>
    <w:rsid w:val="7E980A9D"/>
    <w:rsid w:val="7E98FBC4"/>
    <w:rsid w:val="7E991CA3"/>
    <w:rsid w:val="7E99852A"/>
    <w:rsid w:val="7E9A2D48"/>
    <w:rsid w:val="7E9A3EBC"/>
    <w:rsid w:val="7E9A4071"/>
    <w:rsid w:val="7E9A79A7"/>
    <w:rsid w:val="7E9A8791"/>
    <w:rsid w:val="7E9AD220"/>
    <w:rsid w:val="7E9B6CB3"/>
    <w:rsid w:val="7E9B90BC"/>
    <w:rsid w:val="7E9BF64A"/>
    <w:rsid w:val="7E9CF31D"/>
    <w:rsid w:val="7E9D7157"/>
    <w:rsid w:val="7E9E3A4F"/>
    <w:rsid w:val="7E9E6618"/>
    <w:rsid w:val="7E9EE46E"/>
    <w:rsid w:val="7E9F2EBE"/>
    <w:rsid w:val="7E9F7319"/>
    <w:rsid w:val="7EA0A22D"/>
    <w:rsid w:val="7EA12500"/>
    <w:rsid w:val="7EA182DB"/>
    <w:rsid w:val="7EA18900"/>
    <w:rsid w:val="7EA1C56F"/>
    <w:rsid w:val="7EA1CD89"/>
    <w:rsid w:val="7EA23FD9"/>
    <w:rsid w:val="7EA26C78"/>
    <w:rsid w:val="7EA291C8"/>
    <w:rsid w:val="7EA2DFCA"/>
    <w:rsid w:val="7EA39593"/>
    <w:rsid w:val="7EA3BDA4"/>
    <w:rsid w:val="7EA3F56C"/>
    <w:rsid w:val="7EA4AE98"/>
    <w:rsid w:val="7EA59AE5"/>
    <w:rsid w:val="7EA5D3B5"/>
    <w:rsid w:val="7EA62371"/>
    <w:rsid w:val="7EA65613"/>
    <w:rsid w:val="7EA67E16"/>
    <w:rsid w:val="7EA74820"/>
    <w:rsid w:val="7EA8639B"/>
    <w:rsid w:val="7EA9DE8B"/>
    <w:rsid w:val="7EAAA5B1"/>
    <w:rsid w:val="7EAB3915"/>
    <w:rsid w:val="7EAC6059"/>
    <w:rsid w:val="7EAC6ADE"/>
    <w:rsid w:val="7EAD4797"/>
    <w:rsid w:val="7EAD92DE"/>
    <w:rsid w:val="7EAD9EBA"/>
    <w:rsid w:val="7EADA2C2"/>
    <w:rsid w:val="7EADAD5A"/>
    <w:rsid w:val="7EAFBB3B"/>
    <w:rsid w:val="7EAFC2E4"/>
    <w:rsid w:val="7EAFC8E8"/>
    <w:rsid w:val="7EB01A82"/>
    <w:rsid w:val="7EB0B359"/>
    <w:rsid w:val="7EB0C5E3"/>
    <w:rsid w:val="7EB293A6"/>
    <w:rsid w:val="7EB2CA78"/>
    <w:rsid w:val="7EB2E20A"/>
    <w:rsid w:val="7EB2ECDC"/>
    <w:rsid w:val="7EB32BF6"/>
    <w:rsid w:val="7EB38F6E"/>
    <w:rsid w:val="7EB3E6D4"/>
    <w:rsid w:val="7EB4758F"/>
    <w:rsid w:val="7EB492CD"/>
    <w:rsid w:val="7EB4BB7D"/>
    <w:rsid w:val="7EB56D45"/>
    <w:rsid w:val="7EB72326"/>
    <w:rsid w:val="7EB75A33"/>
    <w:rsid w:val="7EB777DC"/>
    <w:rsid w:val="7EB8FBE7"/>
    <w:rsid w:val="7EB97F1F"/>
    <w:rsid w:val="7EB9B95D"/>
    <w:rsid w:val="7EB9CBDB"/>
    <w:rsid w:val="7EBA64F5"/>
    <w:rsid w:val="7EBADF74"/>
    <w:rsid w:val="7EBAF19F"/>
    <w:rsid w:val="7EBAF5DD"/>
    <w:rsid w:val="7EBCAECC"/>
    <w:rsid w:val="7EBD3B5E"/>
    <w:rsid w:val="7EBD6491"/>
    <w:rsid w:val="7EBD707E"/>
    <w:rsid w:val="7EBDB4DF"/>
    <w:rsid w:val="7EBDEF16"/>
    <w:rsid w:val="7EBE4DA1"/>
    <w:rsid w:val="7EBEE6F0"/>
    <w:rsid w:val="7EBF08E0"/>
    <w:rsid w:val="7EC0CF9A"/>
    <w:rsid w:val="7EC176B3"/>
    <w:rsid w:val="7EC1C95F"/>
    <w:rsid w:val="7EC1D9ED"/>
    <w:rsid w:val="7EC1F6A9"/>
    <w:rsid w:val="7EC2E134"/>
    <w:rsid w:val="7EC33C92"/>
    <w:rsid w:val="7EC3C5C4"/>
    <w:rsid w:val="7EC3D8A8"/>
    <w:rsid w:val="7EC3E5E1"/>
    <w:rsid w:val="7EC41BAA"/>
    <w:rsid w:val="7EC465B8"/>
    <w:rsid w:val="7EC4B04C"/>
    <w:rsid w:val="7EC6470F"/>
    <w:rsid w:val="7EC659A1"/>
    <w:rsid w:val="7EC659D3"/>
    <w:rsid w:val="7EC858BF"/>
    <w:rsid w:val="7EC8FA17"/>
    <w:rsid w:val="7EC92CD2"/>
    <w:rsid w:val="7EC9997A"/>
    <w:rsid w:val="7EC9FA4D"/>
    <w:rsid w:val="7ECA8E23"/>
    <w:rsid w:val="7ECA90A5"/>
    <w:rsid w:val="7ECAEE23"/>
    <w:rsid w:val="7ECBBFE5"/>
    <w:rsid w:val="7ECD86FF"/>
    <w:rsid w:val="7ECE1816"/>
    <w:rsid w:val="7ECE3EBC"/>
    <w:rsid w:val="7ED029CB"/>
    <w:rsid w:val="7ED2C973"/>
    <w:rsid w:val="7ED2DA84"/>
    <w:rsid w:val="7ED33816"/>
    <w:rsid w:val="7ED430EA"/>
    <w:rsid w:val="7ED56E9A"/>
    <w:rsid w:val="7ED5A2FB"/>
    <w:rsid w:val="7ED5D92C"/>
    <w:rsid w:val="7ED5E20D"/>
    <w:rsid w:val="7ED69237"/>
    <w:rsid w:val="7ED69E7C"/>
    <w:rsid w:val="7ED6BAD8"/>
    <w:rsid w:val="7ED6CFC8"/>
    <w:rsid w:val="7ED6FE52"/>
    <w:rsid w:val="7ED8AAD3"/>
    <w:rsid w:val="7ED8C4AE"/>
    <w:rsid w:val="7ED8DC88"/>
    <w:rsid w:val="7ED90EB6"/>
    <w:rsid w:val="7ED94A0C"/>
    <w:rsid w:val="7ED9ACE5"/>
    <w:rsid w:val="7ED9F088"/>
    <w:rsid w:val="7ED9FC1C"/>
    <w:rsid w:val="7EDB2681"/>
    <w:rsid w:val="7EDB68B5"/>
    <w:rsid w:val="7EDBA925"/>
    <w:rsid w:val="7EDBEAF2"/>
    <w:rsid w:val="7EDC3D3A"/>
    <w:rsid w:val="7EDC5DE5"/>
    <w:rsid w:val="7EDCAAB2"/>
    <w:rsid w:val="7EDD00E1"/>
    <w:rsid w:val="7EDD4DE0"/>
    <w:rsid w:val="7EDDD7D2"/>
    <w:rsid w:val="7EDE056B"/>
    <w:rsid w:val="7EDE3778"/>
    <w:rsid w:val="7EDE9770"/>
    <w:rsid w:val="7EDEF2AC"/>
    <w:rsid w:val="7EDF0E6E"/>
    <w:rsid w:val="7EDF68C8"/>
    <w:rsid w:val="7EDFB493"/>
    <w:rsid w:val="7EE06444"/>
    <w:rsid w:val="7EE0B50E"/>
    <w:rsid w:val="7EE1F115"/>
    <w:rsid w:val="7EE28FEC"/>
    <w:rsid w:val="7EE3FAFA"/>
    <w:rsid w:val="7EE49B7B"/>
    <w:rsid w:val="7EE4B64E"/>
    <w:rsid w:val="7EE60054"/>
    <w:rsid w:val="7EE60213"/>
    <w:rsid w:val="7EE614B4"/>
    <w:rsid w:val="7EE61BE1"/>
    <w:rsid w:val="7EE772FE"/>
    <w:rsid w:val="7EE7D522"/>
    <w:rsid w:val="7EE7DC9E"/>
    <w:rsid w:val="7EE867FB"/>
    <w:rsid w:val="7EE8A3B1"/>
    <w:rsid w:val="7EE8D906"/>
    <w:rsid w:val="7EE8E5A2"/>
    <w:rsid w:val="7EE98F06"/>
    <w:rsid w:val="7EE9D7DA"/>
    <w:rsid w:val="7EE9E246"/>
    <w:rsid w:val="7EEA2476"/>
    <w:rsid w:val="7EEB5C25"/>
    <w:rsid w:val="7EEB7C98"/>
    <w:rsid w:val="7EEBE240"/>
    <w:rsid w:val="7EEC298C"/>
    <w:rsid w:val="7EEC4FB5"/>
    <w:rsid w:val="7EEC5604"/>
    <w:rsid w:val="7EED3BC4"/>
    <w:rsid w:val="7EED4D6E"/>
    <w:rsid w:val="7EEDA153"/>
    <w:rsid w:val="7EEE1BB3"/>
    <w:rsid w:val="7EEE4B54"/>
    <w:rsid w:val="7EEFB653"/>
    <w:rsid w:val="7EF0882B"/>
    <w:rsid w:val="7EF17519"/>
    <w:rsid w:val="7EF1BBBB"/>
    <w:rsid w:val="7EF282F1"/>
    <w:rsid w:val="7EF30558"/>
    <w:rsid w:val="7EF3CB0D"/>
    <w:rsid w:val="7EF3D4B1"/>
    <w:rsid w:val="7EF3E701"/>
    <w:rsid w:val="7EF42C7B"/>
    <w:rsid w:val="7EF58524"/>
    <w:rsid w:val="7EF6AC01"/>
    <w:rsid w:val="7EF702B4"/>
    <w:rsid w:val="7EF7CAA9"/>
    <w:rsid w:val="7EF7DF2D"/>
    <w:rsid w:val="7EF823A5"/>
    <w:rsid w:val="7EF82872"/>
    <w:rsid w:val="7EF87747"/>
    <w:rsid w:val="7EF8F695"/>
    <w:rsid w:val="7EF8F8C6"/>
    <w:rsid w:val="7EF9ACB3"/>
    <w:rsid w:val="7EFA9FEB"/>
    <w:rsid w:val="7EFAB2A1"/>
    <w:rsid w:val="7EFABAD7"/>
    <w:rsid w:val="7EFABCD2"/>
    <w:rsid w:val="7EFACD76"/>
    <w:rsid w:val="7EFAF0D0"/>
    <w:rsid w:val="7EFBC0E0"/>
    <w:rsid w:val="7EFBDC61"/>
    <w:rsid w:val="7EFC054F"/>
    <w:rsid w:val="7EFC862E"/>
    <w:rsid w:val="7EFCE57C"/>
    <w:rsid w:val="7EFD00A3"/>
    <w:rsid w:val="7EFD0D9F"/>
    <w:rsid w:val="7EFD3578"/>
    <w:rsid w:val="7EFD6957"/>
    <w:rsid w:val="7EFDCAAC"/>
    <w:rsid w:val="7EFE0C48"/>
    <w:rsid w:val="7EFED2C1"/>
    <w:rsid w:val="7EFF2100"/>
    <w:rsid w:val="7EFF3E73"/>
    <w:rsid w:val="7EFF5906"/>
    <w:rsid w:val="7EFF966E"/>
    <w:rsid w:val="7EFF98A4"/>
    <w:rsid w:val="7EFFD474"/>
    <w:rsid w:val="7EFFF6B0"/>
    <w:rsid w:val="7F0026FE"/>
    <w:rsid w:val="7F0028E2"/>
    <w:rsid w:val="7F019A83"/>
    <w:rsid w:val="7F02074B"/>
    <w:rsid w:val="7F02CEE0"/>
    <w:rsid w:val="7F02D7EA"/>
    <w:rsid w:val="7F0360C4"/>
    <w:rsid w:val="7F03AC04"/>
    <w:rsid w:val="7F0424E0"/>
    <w:rsid w:val="7F051ADA"/>
    <w:rsid w:val="7F069354"/>
    <w:rsid w:val="7F074FA8"/>
    <w:rsid w:val="7F078A00"/>
    <w:rsid w:val="7F078ED3"/>
    <w:rsid w:val="7F07DD99"/>
    <w:rsid w:val="7F07F9DA"/>
    <w:rsid w:val="7F086738"/>
    <w:rsid w:val="7F087590"/>
    <w:rsid w:val="7F088FA2"/>
    <w:rsid w:val="7F092F4D"/>
    <w:rsid w:val="7F095F9D"/>
    <w:rsid w:val="7F09B936"/>
    <w:rsid w:val="7F09CF9B"/>
    <w:rsid w:val="7F0AE061"/>
    <w:rsid w:val="7F0C3434"/>
    <w:rsid w:val="7F0C3CBE"/>
    <w:rsid w:val="7F0C7048"/>
    <w:rsid w:val="7F0C7056"/>
    <w:rsid w:val="7F0E7036"/>
    <w:rsid w:val="7F0ED0E3"/>
    <w:rsid w:val="7F0EFCC2"/>
    <w:rsid w:val="7F0F8475"/>
    <w:rsid w:val="7F10146B"/>
    <w:rsid w:val="7F10831F"/>
    <w:rsid w:val="7F115699"/>
    <w:rsid w:val="7F123D79"/>
    <w:rsid w:val="7F1249EB"/>
    <w:rsid w:val="7F12ED3F"/>
    <w:rsid w:val="7F13AFF3"/>
    <w:rsid w:val="7F141DAD"/>
    <w:rsid w:val="7F15227B"/>
    <w:rsid w:val="7F15CCD4"/>
    <w:rsid w:val="7F160047"/>
    <w:rsid w:val="7F1667A9"/>
    <w:rsid w:val="7F16FA07"/>
    <w:rsid w:val="7F174C5F"/>
    <w:rsid w:val="7F17D4A1"/>
    <w:rsid w:val="7F184256"/>
    <w:rsid w:val="7F185748"/>
    <w:rsid w:val="7F18C0F0"/>
    <w:rsid w:val="7F19CE10"/>
    <w:rsid w:val="7F1A438C"/>
    <w:rsid w:val="7F1A49D6"/>
    <w:rsid w:val="7F1AB041"/>
    <w:rsid w:val="7F1B5D5B"/>
    <w:rsid w:val="7F1C2316"/>
    <w:rsid w:val="7F1C9E42"/>
    <w:rsid w:val="7F1DAF1E"/>
    <w:rsid w:val="7F1DD562"/>
    <w:rsid w:val="7F1E105C"/>
    <w:rsid w:val="7F1E38D0"/>
    <w:rsid w:val="7F1F6253"/>
    <w:rsid w:val="7F1FB4AB"/>
    <w:rsid w:val="7F1FB590"/>
    <w:rsid w:val="7F204226"/>
    <w:rsid w:val="7F211443"/>
    <w:rsid w:val="7F22616B"/>
    <w:rsid w:val="7F22AB76"/>
    <w:rsid w:val="7F22B31F"/>
    <w:rsid w:val="7F2322B2"/>
    <w:rsid w:val="7F241DF7"/>
    <w:rsid w:val="7F242886"/>
    <w:rsid w:val="7F24707D"/>
    <w:rsid w:val="7F251A66"/>
    <w:rsid w:val="7F2643FE"/>
    <w:rsid w:val="7F2715CE"/>
    <w:rsid w:val="7F27BA82"/>
    <w:rsid w:val="7F2838E0"/>
    <w:rsid w:val="7F28FD79"/>
    <w:rsid w:val="7F29DF6F"/>
    <w:rsid w:val="7F2A7EA9"/>
    <w:rsid w:val="7F2AF8D4"/>
    <w:rsid w:val="7F2C151D"/>
    <w:rsid w:val="7F2C878B"/>
    <w:rsid w:val="7F2CB952"/>
    <w:rsid w:val="7F2D2494"/>
    <w:rsid w:val="7F2E3417"/>
    <w:rsid w:val="7F2FE041"/>
    <w:rsid w:val="7F3091BC"/>
    <w:rsid w:val="7F31BCE3"/>
    <w:rsid w:val="7F321193"/>
    <w:rsid w:val="7F32224D"/>
    <w:rsid w:val="7F329DDB"/>
    <w:rsid w:val="7F3339F7"/>
    <w:rsid w:val="7F3466B7"/>
    <w:rsid w:val="7F348CDC"/>
    <w:rsid w:val="7F34C143"/>
    <w:rsid w:val="7F34D5FE"/>
    <w:rsid w:val="7F35E8B3"/>
    <w:rsid w:val="7F36E0F0"/>
    <w:rsid w:val="7F383CEE"/>
    <w:rsid w:val="7F38A074"/>
    <w:rsid w:val="7F390F76"/>
    <w:rsid w:val="7F397DF0"/>
    <w:rsid w:val="7F3AB20C"/>
    <w:rsid w:val="7F3C1276"/>
    <w:rsid w:val="7F3C1D01"/>
    <w:rsid w:val="7F3C2D6A"/>
    <w:rsid w:val="7F3DDF6F"/>
    <w:rsid w:val="7F3DFFB6"/>
    <w:rsid w:val="7F3E5A8D"/>
    <w:rsid w:val="7F3FBD6D"/>
    <w:rsid w:val="7F4153F3"/>
    <w:rsid w:val="7F420C8C"/>
    <w:rsid w:val="7F43B6B4"/>
    <w:rsid w:val="7F43F04F"/>
    <w:rsid w:val="7F4443FC"/>
    <w:rsid w:val="7F445F8A"/>
    <w:rsid w:val="7F44A5F6"/>
    <w:rsid w:val="7F455E0A"/>
    <w:rsid w:val="7F45662B"/>
    <w:rsid w:val="7F45E21C"/>
    <w:rsid w:val="7F45FA8F"/>
    <w:rsid w:val="7F471F2A"/>
    <w:rsid w:val="7F475848"/>
    <w:rsid w:val="7F483F85"/>
    <w:rsid w:val="7F48EEB3"/>
    <w:rsid w:val="7F492522"/>
    <w:rsid w:val="7F494EE4"/>
    <w:rsid w:val="7F4A5777"/>
    <w:rsid w:val="7F4A8DB8"/>
    <w:rsid w:val="7F4B0A0A"/>
    <w:rsid w:val="7F4B6769"/>
    <w:rsid w:val="7F4C2861"/>
    <w:rsid w:val="7F4C28C8"/>
    <w:rsid w:val="7F4D6EC3"/>
    <w:rsid w:val="7F4E2363"/>
    <w:rsid w:val="7F4EF196"/>
    <w:rsid w:val="7F4EF83F"/>
    <w:rsid w:val="7F4F1064"/>
    <w:rsid w:val="7F4FB1B0"/>
    <w:rsid w:val="7F504A82"/>
    <w:rsid w:val="7F50CA7D"/>
    <w:rsid w:val="7F51BE17"/>
    <w:rsid w:val="7F52F2C7"/>
    <w:rsid w:val="7F530FED"/>
    <w:rsid w:val="7F533704"/>
    <w:rsid w:val="7F537EB3"/>
    <w:rsid w:val="7F53B8FE"/>
    <w:rsid w:val="7F53E8C6"/>
    <w:rsid w:val="7F54395D"/>
    <w:rsid w:val="7F548222"/>
    <w:rsid w:val="7F54AD4D"/>
    <w:rsid w:val="7F54C471"/>
    <w:rsid w:val="7F5517BB"/>
    <w:rsid w:val="7F55A233"/>
    <w:rsid w:val="7F55ACC1"/>
    <w:rsid w:val="7F575EBB"/>
    <w:rsid w:val="7F595BF0"/>
    <w:rsid w:val="7F597E7D"/>
    <w:rsid w:val="7F5B6B38"/>
    <w:rsid w:val="7F5BD0B7"/>
    <w:rsid w:val="7F5BD112"/>
    <w:rsid w:val="7F5CDC28"/>
    <w:rsid w:val="7F5D86A6"/>
    <w:rsid w:val="7F5DD2E2"/>
    <w:rsid w:val="7F5E4D4B"/>
    <w:rsid w:val="7F5E7FD6"/>
    <w:rsid w:val="7F5EE303"/>
    <w:rsid w:val="7F5F5191"/>
    <w:rsid w:val="7F5F5B4C"/>
    <w:rsid w:val="7F5FF019"/>
    <w:rsid w:val="7F615E02"/>
    <w:rsid w:val="7F64BE7C"/>
    <w:rsid w:val="7F64F96F"/>
    <w:rsid w:val="7F654F52"/>
    <w:rsid w:val="7F65B439"/>
    <w:rsid w:val="7F6644D5"/>
    <w:rsid w:val="7F66781F"/>
    <w:rsid w:val="7F66A644"/>
    <w:rsid w:val="7F66CDAE"/>
    <w:rsid w:val="7F66E716"/>
    <w:rsid w:val="7F6702F3"/>
    <w:rsid w:val="7F674A28"/>
    <w:rsid w:val="7F68A908"/>
    <w:rsid w:val="7F68ECA9"/>
    <w:rsid w:val="7F68F554"/>
    <w:rsid w:val="7F69BA40"/>
    <w:rsid w:val="7F69D5EC"/>
    <w:rsid w:val="7F6A4870"/>
    <w:rsid w:val="7F6A5822"/>
    <w:rsid w:val="7F6AD816"/>
    <w:rsid w:val="7F6B39BE"/>
    <w:rsid w:val="7F6BAD6E"/>
    <w:rsid w:val="7F6BBF9D"/>
    <w:rsid w:val="7F6C0D14"/>
    <w:rsid w:val="7F6E3CAA"/>
    <w:rsid w:val="7F6E89F8"/>
    <w:rsid w:val="7F6F1328"/>
    <w:rsid w:val="7F6F9713"/>
    <w:rsid w:val="7F6FBEBB"/>
    <w:rsid w:val="7F6FE530"/>
    <w:rsid w:val="7F6FE74E"/>
    <w:rsid w:val="7F706662"/>
    <w:rsid w:val="7F7166B1"/>
    <w:rsid w:val="7F7176F6"/>
    <w:rsid w:val="7F719D1B"/>
    <w:rsid w:val="7F722ACD"/>
    <w:rsid w:val="7F72ECA0"/>
    <w:rsid w:val="7F73C138"/>
    <w:rsid w:val="7F742F6A"/>
    <w:rsid w:val="7F74505D"/>
    <w:rsid w:val="7F7479D1"/>
    <w:rsid w:val="7F747B18"/>
    <w:rsid w:val="7F74AEC5"/>
    <w:rsid w:val="7F7589B8"/>
    <w:rsid w:val="7F76A54F"/>
    <w:rsid w:val="7F7826CB"/>
    <w:rsid w:val="7F78724F"/>
    <w:rsid w:val="7F7A4E0E"/>
    <w:rsid w:val="7F7A8CE7"/>
    <w:rsid w:val="7F7ABFEE"/>
    <w:rsid w:val="7F7B708E"/>
    <w:rsid w:val="7F7BAFD9"/>
    <w:rsid w:val="7F7BD17C"/>
    <w:rsid w:val="7F7D83C3"/>
    <w:rsid w:val="7F7DBA1D"/>
    <w:rsid w:val="7F7E3EF2"/>
    <w:rsid w:val="7F7E6A41"/>
    <w:rsid w:val="7F7EE662"/>
    <w:rsid w:val="7F7F4F4D"/>
    <w:rsid w:val="7F8010F4"/>
    <w:rsid w:val="7F808066"/>
    <w:rsid w:val="7F8125EB"/>
    <w:rsid w:val="7F817A4C"/>
    <w:rsid w:val="7F835385"/>
    <w:rsid w:val="7F83D290"/>
    <w:rsid w:val="7F8410B5"/>
    <w:rsid w:val="7F846FB7"/>
    <w:rsid w:val="7F847C42"/>
    <w:rsid w:val="7F855EA3"/>
    <w:rsid w:val="7F856163"/>
    <w:rsid w:val="7F8583AF"/>
    <w:rsid w:val="7F86F322"/>
    <w:rsid w:val="7F8781B5"/>
    <w:rsid w:val="7F87B785"/>
    <w:rsid w:val="7F87F783"/>
    <w:rsid w:val="7F894422"/>
    <w:rsid w:val="7F8A45AA"/>
    <w:rsid w:val="7F8A7491"/>
    <w:rsid w:val="7F8B532A"/>
    <w:rsid w:val="7F8B6B35"/>
    <w:rsid w:val="7F8B6E6A"/>
    <w:rsid w:val="7F8BDC51"/>
    <w:rsid w:val="7F8C291D"/>
    <w:rsid w:val="7F8C2C2B"/>
    <w:rsid w:val="7F8CB0E3"/>
    <w:rsid w:val="7F8D93F5"/>
    <w:rsid w:val="7F8DBB1C"/>
    <w:rsid w:val="7F8F6388"/>
    <w:rsid w:val="7F8F9D7D"/>
    <w:rsid w:val="7F908921"/>
    <w:rsid w:val="7F910CDF"/>
    <w:rsid w:val="7F9172EE"/>
    <w:rsid w:val="7F92CECA"/>
    <w:rsid w:val="7F9302D8"/>
    <w:rsid w:val="7F931AC2"/>
    <w:rsid w:val="7F93B125"/>
    <w:rsid w:val="7F943B09"/>
    <w:rsid w:val="7F94F7C7"/>
    <w:rsid w:val="7F951B46"/>
    <w:rsid w:val="7F953D73"/>
    <w:rsid w:val="7F956310"/>
    <w:rsid w:val="7F963097"/>
    <w:rsid w:val="7F963160"/>
    <w:rsid w:val="7F963D94"/>
    <w:rsid w:val="7F967C34"/>
    <w:rsid w:val="7F97997F"/>
    <w:rsid w:val="7F991FAB"/>
    <w:rsid w:val="7F9A949F"/>
    <w:rsid w:val="7F9BD523"/>
    <w:rsid w:val="7F9C9246"/>
    <w:rsid w:val="7F9E8526"/>
    <w:rsid w:val="7F9EAC44"/>
    <w:rsid w:val="7F9EF8BC"/>
    <w:rsid w:val="7F9F242D"/>
    <w:rsid w:val="7F9FDF3E"/>
    <w:rsid w:val="7FA05495"/>
    <w:rsid w:val="7FA14C0B"/>
    <w:rsid w:val="7FA172D5"/>
    <w:rsid w:val="7FA26C8F"/>
    <w:rsid w:val="7FA379A4"/>
    <w:rsid w:val="7FA3C2AD"/>
    <w:rsid w:val="7FA428D1"/>
    <w:rsid w:val="7FA4357F"/>
    <w:rsid w:val="7FA44D98"/>
    <w:rsid w:val="7FA4BC78"/>
    <w:rsid w:val="7FA4E432"/>
    <w:rsid w:val="7FA7EF2F"/>
    <w:rsid w:val="7FA945D0"/>
    <w:rsid w:val="7FA95DE9"/>
    <w:rsid w:val="7FA96969"/>
    <w:rsid w:val="7FAA9D4B"/>
    <w:rsid w:val="7FAAD295"/>
    <w:rsid w:val="7FAB419F"/>
    <w:rsid w:val="7FAC1D01"/>
    <w:rsid w:val="7FACC840"/>
    <w:rsid w:val="7FAE67AF"/>
    <w:rsid w:val="7FAE758B"/>
    <w:rsid w:val="7FAEE004"/>
    <w:rsid w:val="7FAF6C99"/>
    <w:rsid w:val="7FB0363C"/>
    <w:rsid w:val="7FB0A5D8"/>
    <w:rsid w:val="7FB0E237"/>
    <w:rsid w:val="7FB11E4C"/>
    <w:rsid w:val="7FB15E01"/>
    <w:rsid w:val="7FB17E2F"/>
    <w:rsid w:val="7FB1A59D"/>
    <w:rsid w:val="7FB24ECA"/>
    <w:rsid w:val="7FB30825"/>
    <w:rsid w:val="7FB32CEC"/>
    <w:rsid w:val="7FB3743B"/>
    <w:rsid w:val="7FB392EF"/>
    <w:rsid w:val="7FB3BD4A"/>
    <w:rsid w:val="7FB3D620"/>
    <w:rsid w:val="7FB40AB1"/>
    <w:rsid w:val="7FB42614"/>
    <w:rsid w:val="7FB45078"/>
    <w:rsid w:val="7FB4DFC4"/>
    <w:rsid w:val="7FB4F564"/>
    <w:rsid w:val="7FB5C304"/>
    <w:rsid w:val="7FB5F814"/>
    <w:rsid w:val="7FB648FF"/>
    <w:rsid w:val="7FB6A41E"/>
    <w:rsid w:val="7FB6BAC5"/>
    <w:rsid w:val="7FB7291F"/>
    <w:rsid w:val="7FB72A15"/>
    <w:rsid w:val="7FB73816"/>
    <w:rsid w:val="7FB75618"/>
    <w:rsid w:val="7FB7815C"/>
    <w:rsid w:val="7FB7CC65"/>
    <w:rsid w:val="7FB81221"/>
    <w:rsid w:val="7FB8982B"/>
    <w:rsid w:val="7FB9D3C4"/>
    <w:rsid w:val="7FBAA092"/>
    <w:rsid w:val="7FBAE4AF"/>
    <w:rsid w:val="7FBAE884"/>
    <w:rsid w:val="7FBCBD9D"/>
    <w:rsid w:val="7FBD8A7C"/>
    <w:rsid w:val="7FBE644E"/>
    <w:rsid w:val="7FBF2F71"/>
    <w:rsid w:val="7FBF6E03"/>
    <w:rsid w:val="7FBFE5ED"/>
    <w:rsid w:val="7FC05930"/>
    <w:rsid w:val="7FC06942"/>
    <w:rsid w:val="7FC12785"/>
    <w:rsid w:val="7FC1B943"/>
    <w:rsid w:val="7FC23EB1"/>
    <w:rsid w:val="7FC36817"/>
    <w:rsid w:val="7FC45BF4"/>
    <w:rsid w:val="7FC75BCA"/>
    <w:rsid w:val="7FC7F45B"/>
    <w:rsid w:val="7FC832CC"/>
    <w:rsid w:val="7FC8DA49"/>
    <w:rsid w:val="7FC9038F"/>
    <w:rsid w:val="7FC90FC1"/>
    <w:rsid w:val="7FC97CA7"/>
    <w:rsid w:val="7FC9ABA6"/>
    <w:rsid w:val="7FCA1E69"/>
    <w:rsid w:val="7FCA4826"/>
    <w:rsid w:val="7FCA654E"/>
    <w:rsid w:val="7FCA8071"/>
    <w:rsid w:val="7FCA80DC"/>
    <w:rsid w:val="7FCABDCB"/>
    <w:rsid w:val="7FCB106D"/>
    <w:rsid w:val="7FCBA4AD"/>
    <w:rsid w:val="7FCBD289"/>
    <w:rsid w:val="7FCBFC05"/>
    <w:rsid w:val="7FCC9531"/>
    <w:rsid w:val="7FCC9761"/>
    <w:rsid w:val="7FCD68D4"/>
    <w:rsid w:val="7FCE5D35"/>
    <w:rsid w:val="7FCF3C0D"/>
    <w:rsid w:val="7FCFD8E9"/>
    <w:rsid w:val="7FD1C583"/>
    <w:rsid w:val="7FD1E240"/>
    <w:rsid w:val="7FD290AE"/>
    <w:rsid w:val="7FD2F805"/>
    <w:rsid w:val="7FD30723"/>
    <w:rsid w:val="7FD3632F"/>
    <w:rsid w:val="7FD3B43C"/>
    <w:rsid w:val="7FD3BCF2"/>
    <w:rsid w:val="7FD4076E"/>
    <w:rsid w:val="7FD40C13"/>
    <w:rsid w:val="7FD492A7"/>
    <w:rsid w:val="7FD4FC39"/>
    <w:rsid w:val="7FD56757"/>
    <w:rsid w:val="7FD63D9A"/>
    <w:rsid w:val="7FD680F7"/>
    <w:rsid w:val="7FD6E640"/>
    <w:rsid w:val="7FD6EA22"/>
    <w:rsid w:val="7FD7BBEF"/>
    <w:rsid w:val="7FD7CA1D"/>
    <w:rsid w:val="7FD88008"/>
    <w:rsid w:val="7FD8A764"/>
    <w:rsid w:val="7FD97353"/>
    <w:rsid w:val="7FD9AF66"/>
    <w:rsid w:val="7FDA3673"/>
    <w:rsid w:val="7FDA77EE"/>
    <w:rsid w:val="7FDAB4F5"/>
    <w:rsid w:val="7FDABE2B"/>
    <w:rsid w:val="7FDCB271"/>
    <w:rsid w:val="7FDCBF86"/>
    <w:rsid w:val="7FDDAE90"/>
    <w:rsid w:val="7FDDCACB"/>
    <w:rsid w:val="7FDDF1EE"/>
    <w:rsid w:val="7FDE0F6B"/>
    <w:rsid w:val="7FDE7D22"/>
    <w:rsid w:val="7FE0031C"/>
    <w:rsid w:val="7FE0086F"/>
    <w:rsid w:val="7FE0C5C6"/>
    <w:rsid w:val="7FE1C122"/>
    <w:rsid w:val="7FE1D186"/>
    <w:rsid w:val="7FE1EF15"/>
    <w:rsid w:val="7FE2384F"/>
    <w:rsid w:val="7FE2B26D"/>
    <w:rsid w:val="7FE2B32E"/>
    <w:rsid w:val="7FE3262E"/>
    <w:rsid w:val="7FE3BF4D"/>
    <w:rsid w:val="7FE3CD25"/>
    <w:rsid w:val="7FE3D264"/>
    <w:rsid w:val="7FE44D57"/>
    <w:rsid w:val="7FE45C9B"/>
    <w:rsid w:val="7FE4E4FC"/>
    <w:rsid w:val="7FE517EB"/>
    <w:rsid w:val="7FE53F23"/>
    <w:rsid w:val="7FE57803"/>
    <w:rsid w:val="7FE5C0D6"/>
    <w:rsid w:val="7FE612C8"/>
    <w:rsid w:val="7FE632C2"/>
    <w:rsid w:val="7FE659F2"/>
    <w:rsid w:val="7FE6E374"/>
    <w:rsid w:val="7FE7B355"/>
    <w:rsid w:val="7FE7F5E6"/>
    <w:rsid w:val="7FE90C6E"/>
    <w:rsid w:val="7FE95AE7"/>
    <w:rsid w:val="7FE97F2D"/>
    <w:rsid w:val="7FE9AA20"/>
    <w:rsid w:val="7FEA3CDE"/>
    <w:rsid w:val="7FEA8C5E"/>
    <w:rsid w:val="7FEBFE3F"/>
    <w:rsid w:val="7FEC4462"/>
    <w:rsid w:val="7FEC66B9"/>
    <w:rsid w:val="7FECB6CF"/>
    <w:rsid w:val="7FED2307"/>
    <w:rsid w:val="7FEDC547"/>
    <w:rsid w:val="7FEE7F7B"/>
    <w:rsid w:val="7FEE8F87"/>
    <w:rsid w:val="7FEEA282"/>
    <w:rsid w:val="7FEFA14B"/>
    <w:rsid w:val="7FEFFA39"/>
    <w:rsid w:val="7FF004F6"/>
    <w:rsid w:val="7FF02F2B"/>
    <w:rsid w:val="7FF11645"/>
    <w:rsid w:val="7FF1EEC3"/>
    <w:rsid w:val="7FF2C9DD"/>
    <w:rsid w:val="7FF2F3EB"/>
    <w:rsid w:val="7FF36ED2"/>
    <w:rsid w:val="7FF4AC37"/>
    <w:rsid w:val="7FF4B617"/>
    <w:rsid w:val="7FF4D038"/>
    <w:rsid w:val="7FF57F6E"/>
    <w:rsid w:val="7FF5BFAD"/>
    <w:rsid w:val="7FF6590B"/>
    <w:rsid w:val="7FF66652"/>
    <w:rsid w:val="7FF6A03B"/>
    <w:rsid w:val="7FF6C1A1"/>
    <w:rsid w:val="7FF6DB69"/>
    <w:rsid w:val="7FF73D6C"/>
    <w:rsid w:val="7FF99F17"/>
    <w:rsid w:val="7FF9ABD3"/>
    <w:rsid w:val="7FFB4F59"/>
    <w:rsid w:val="7FFCC372"/>
    <w:rsid w:val="7FFD8FB7"/>
    <w:rsid w:val="7FFDD1F1"/>
    <w:rsid w:val="7FFDF005"/>
    <w:rsid w:val="7FFE1806"/>
    <w:rsid w:val="7FFF2E73"/>
    <w:rsid w:val="7FFFC509"/>
    <w:rsid w:val="7FFFF03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056E1"/>
  <w15:chartTrackingRefBased/>
  <w15:docId w15:val="{20090954-22C4-4CFC-8F86-44FF597F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23C"/>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FC323C"/>
    <w:pPr>
      <w:keepNext/>
      <w:keepLines/>
      <w:numPr>
        <w:numId w:val="20"/>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FC323C"/>
    <w:pPr>
      <w:numPr>
        <w:ilvl w:val="1"/>
      </w:numPr>
      <w:spacing w:before="240"/>
      <w:outlineLvl w:val="1"/>
    </w:pPr>
    <w:rPr>
      <w:spacing w:val="4"/>
      <w:sz w:val="28"/>
    </w:rPr>
  </w:style>
  <w:style w:type="paragraph" w:styleId="Overskrift3">
    <w:name w:val="heading 3"/>
    <w:basedOn w:val="Normal"/>
    <w:next w:val="Normal"/>
    <w:link w:val="Overskrift3Tegn"/>
    <w:qFormat/>
    <w:rsid w:val="00FC323C"/>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FC323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C323C"/>
    <w:pPr>
      <w:numPr>
        <w:ilvl w:val="4"/>
      </w:numPr>
      <w:spacing w:before="200"/>
      <w:outlineLvl w:val="4"/>
    </w:pPr>
    <w:rPr>
      <w:b w:val="0"/>
      <w:sz w:val="22"/>
    </w:rPr>
  </w:style>
  <w:style w:type="paragraph" w:styleId="Overskrift6">
    <w:name w:val="heading 6"/>
    <w:basedOn w:val="Normal"/>
    <w:next w:val="Normal"/>
    <w:link w:val="Overskrift6Tegn"/>
    <w:qFormat/>
    <w:rsid w:val="00FC323C"/>
    <w:pPr>
      <w:numPr>
        <w:ilvl w:val="5"/>
        <w:numId w:val="3"/>
      </w:numPr>
      <w:spacing w:before="240" w:after="60"/>
      <w:outlineLvl w:val="5"/>
    </w:pPr>
    <w:rPr>
      <w:i/>
    </w:rPr>
  </w:style>
  <w:style w:type="paragraph" w:styleId="Overskrift7">
    <w:name w:val="heading 7"/>
    <w:basedOn w:val="Normal"/>
    <w:next w:val="Normal"/>
    <w:link w:val="Overskrift7Tegn"/>
    <w:qFormat/>
    <w:rsid w:val="00FC323C"/>
    <w:pPr>
      <w:numPr>
        <w:ilvl w:val="6"/>
        <w:numId w:val="3"/>
      </w:numPr>
      <w:spacing w:before="240" w:after="60"/>
      <w:outlineLvl w:val="6"/>
    </w:pPr>
  </w:style>
  <w:style w:type="paragraph" w:styleId="Overskrift8">
    <w:name w:val="heading 8"/>
    <w:basedOn w:val="Normal"/>
    <w:next w:val="Normal"/>
    <w:link w:val="Overskrift8Tegn"/>
    <w:qFormat/>
    <w:rsid w:val="00FC323C"/>
    <w:pPr>
      <w:numPr>
        <w:ilvl w:val="7"/>
        <w:numId w:val="3"/>
      </w:numPr>
      <w:spacing w:before="240" w:after="60"/>
      <w:outlineLvl w:val="7"/>
    </w:pPr>
    <w:rPr>
      <w:i/>
    </w:rPr>
  </w:style>
  <w:style w:type="paragraph" w:styleId="Overskrift9">
    <w:name w:val="heading 9"/>
    <w:basedOn w:val="Normal"/>
    <w:next w:val="Normal"/>
    <w:link w:val="Overskrift9Tegn"/>
    <w:qFormat/>
    <w:rsid w:val="00FC323C"/>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FC323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C323C"/>
  </w:style>
  <w:style w:type="character" w:customStyle="1" w:styleId="Overskrift1Tegn">
    <w:name w:val="Overskrift 1 Tegn"/>
    <w:basedOn w:val="Standardskriftforavsnitt"/>
    <w:link w:val="Overskrift1"/>
    <w:rsid w:val="00FC323C"/>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FC323C"/>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FC323C"/>
    <w:rPr>
      <w:rFonts w:ascii="Open Sans" w:eastAsia="Times New Roman" w:hAnsi="Open Sans"/>
      <w:b/>
      <w:lang w:eastAsia="nb-NO"/>
    </w:rPr>
  </w:style>
  <w:style w:type="character" w:customStyle="1" w:styleId="Overskrift4Tegn">
    <w:name w:val="Overskrift 4 Tegn"/>
    <w:basedOn w:val="Standardskriftforavsnitt"/>
    <w:link w:val="Overskrift4"/>
    <w:rsid w:val="00FC323C"/>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FC323C"/>
    <w:rPr>
      <w:rFonts w:ascii="Open Sans" w:eastAsia="Times New Roman" w:hAnsi="Open Sans"/>
      <w:kern w:val="28"/>
      <w:lang w:eastAsia="nb-NO"/>
    </w:rPr>
  </w:style>
  <w:style w:type="character" w:customStyle="1" w:styleId="Overskrift6Tegn">
    <w:name w:val="Overskrift 6 Tegn"/>
    <w:basedOn w:val="Standardskriftforavsnitt"/>
    <w:link w:val="Overskrift6"/>
    <w:rsid w:val="00FC323C"/>
    <w:rPr>
      <w:rFonts w:ascii="Open Sans" w:eastAsia="Times New Roman" w:hAnsi="Open Sans"/>
      <w:i/>
      <w:lang w:eastAsia="nb-NO"/>
    </w:rPr>
  </w:style>
  <w:style w:type="character" w:customStyle="1" w:styleId="Overskrift7Tegn">
    <w:name w:val="Overskrift 7 Tegn"/>
    <w:basedOn w:val="Standardskriftforavsnitt"/>
    <w:link w:val="Overskrift7"/>
    <w:rsid w:val="00FC323C"/>
    <w:rPr>
      <w:rFonts w:ascii="Open Sans" w:eastAsia="Times New Roman" w:hAnsi="Open Sans"/>
      <w:lang w:eastAsia="nb-NO"/>
    </w:rPr>
  </w:style>
  <w:style w:type="character" w:customStyle="1" w:styleId="Overskrift8Tegn">
    <w:name w:val="Overskrift 8 Tegn"/>
    <w:basedOn w:val="Standardskriftforavsnitt"/>
    <w:link w:val="Overskrift8"/>
    <w:rsid w:val="00FC323C"/>
    <w:rPr>
      <w:rFonts w:ascii="Open Sans" w:eastAsia="Times New Roman" w:hAnsi="Open Sans"/>
      <w:i/>
      <w:lang w:eastAsia="nb-NO"/>
    </w:rPr>
  </w:style>
  <w:style w:type="character" w:customStyle="1" w:styleId="Overskrift9Tegn">
    <w:name w:val="Overskrift 9 Tegn"/>
    <w:basedOn w:val="Standardskriftforavsnitt"/>
    <w:link w:val="Overskrift9"/>
    <w:rsid w:val="00FC323C"/>
    <w:rPr>
      <w:rFonts w:ascii="Open Sans" w:eastAsia="Times New Roman" w:hAnsi="Open Sans"/>
      <w:b/>
      <w:i/>
      <w:sz w:val="18"/>
      <w:lang w:eastAsia="nb-NO"/>
    </w:rPr>
  </w:style>
  <w:style w:type="paragraph" w:customStyle="1" w:styleId="Kategorinummer">
    <w:name w:val="Kategorinummer"/>
    <w:basedOn w:val="Normal"/>
    <w:qFormat/>
    <w:rsid w:val="7BA5314F"/>
    <w:pPr>
      <w:spacing w:after="0"/>
    </w:pPr>
    <w:rPr>
      <w:b/>
      <w:bCs/>
      <w:caps/>
      <w:color w:val="000000" w:themeColor="text1"/>
      <w:sz w:val="19"/>
      <w:szCs w:val="19"/>
    </w:rPr>
  </w:style>
  <w:style w:type="paragraph" w:styleId="Topptekst">
    <w:name w:val="header"/>
    <w:basedOn w:val="Normal"/>
    <w:link w:val="TopptekstTegn"/>
    <w:rsid w:val="00FC323C"/>
    <w:pPr>
      <w:tabs>
        <w:tab w:val="center" w:pos="4536"/>
        <w:tab w:val="right" w:pos="9072"/>
      </w:tabs>
    </w:pPr>
  </w:style>
  <w:style w:type="character" w:customStyle="1" w:styleId="TopptekstTegn">
    <w:name w:val="Topptekst Tegn"/>
    <w:basedOn w:val="Standardskriftforavsnitt"/>
    <w:link w:val="Topptekst"/>
    <w:rsid w:val="00FC323C"/>
    <w:rPr>
      <w:rFonts w:ascii="Open Sans" w:eastAsia="Times New Roman" w:hAnsi="Open Sans"/>
      <w:lang w:eastAsia="nb-NO"/>
    </w:rPr>
  </w:style>
  <w:style w:type="paragraph" w:styleId="Bunntekst">
    <w:name w:val="footer"/>
    <w:basedOn w:val="Normal"/>
    <w:link w:val="BunntekstTegn"/>
    <w:uiPriority w:val="99"/>
    <w:rsid w:val="00FC323C"/>
    <w:pPr>
      <w:tabs>
        <w:tab w:val="center" w:pos="4153"/>
        <w:tab w:val="right" w:pos="8306"/>
      </w:tabs>
    </w:pPr>
    <w:rPr>
      <w:spacing w:val="4"/>
    </w:rPr>
  </w:style>
  <w:style w:type="character" w:customStyle="1" w:styleId="BunntekstTegn">
    <w:name w:val="Bunntekst Tegn"/>
    <w:basedOn w:val="Standardskriftforavsnitt"/>
    <w:link w:val="Bunntekst"/>
    <w:uiPriority w:val="99"/>
    <w:rsid w:val="00FC323C"/>
    <w:rPr>
      <w:rFonts w:ascii="Open Sans" w:eastAsia="Times New Roman" w:hAnsi="Open Sans"/>
      <w:spacing w:val="4"/>
      <w:lang w:eastAsia="nb-NO"/>
    </w:rPr>
  </w:style>
  <w:style w:type="paragraph" w:styleId="Bobletekst">
    <w:name w:val="Balloon Text"/>
    <w:basedOn w:val="Normal"/>
    <w:link w:val="BobletekstTegn"/>
    <w:uiPriority w:val="99"/>
    <w:semiHidden/>
    <w:unhideWhenUsed/>
    <w:rsid w:val="00FC323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C323C"/>
    <w:rPr>
      <w:rFonts w:ascii="Tahoma" w:eastAsia="Times New Roman" w:hAnsi="Tahoma" w:cs="Tahoma"/>
      <w:sz w:val="16"/>
      <w:szCs w:val="16"/>
      <w:lang w:eastAsia="nb-NO"/>
    </w:rPr>
  </w:style>
  <w:style w:type="paragraph" w:styleId="Listeavsnitt">
    <w:name w:val="List Paragraph"/>
    <w:aliases w:val="List Bullet,List P1,EG Bullet 1,punktliste 2 Tiltak,Listeavsnitt1,Lettre d'introduction,bullet,List Paragraph1,Punktliste1,Dot pt,No Spacing1,List Paragraph Char Char Char,Indicator Text,Numbered Para 1,Bullet 1,Bullet Points"/>
    <w:basedOn w:val="friliste"/>
    <w:link w:val="ListeavsnittTegn"/>
    <w:uiPriority w:val="34"/>
    <w:qFormat/>
    <w:rsid w:val="00FC323C"/>
    <w:pPr>
      <w:spacing w:before="0"/>
      <w:ind w:firstLine="0"/>
    </w:pPr>
  </w:style>
  <w:style w:type="character" w:customStyle="1" w:styleId="ListeavsnittTegn">
    <w:name w:val="Listeavsnitt Tegn"/>
    <w:aliases w:val="List Bullet Tegn,List P1 Tegn,EG Bullet 1 Tegn,punktliste 2 Tiltak Tegn,Listeavsnitt1 Tegn,Lettre d'introduction Tegn,bullet Tegn,List Paragraph1 Tegn,Punktliste1 Tegn,Dot pt Tegn,No Spacing1 Tegn,List Paragraph Char Char Char Tegn"/>
    <w:basedOn w:val="Standardskriftforavsnitt"/>
    <w:link w:val="Listeavsnitt"/>
    <w:uiPriority w:val="34"/>
    <w:rsid w:val="003D70D4"/>
    <w:rPr>
      <w:rFonts w:ascii="Open Sans" w:eastAsia="Times New Roman" w:hAnsi="Open Sans"/>
      <w:lang w:eastAsia="nb-NO"/>
    </w:rPr>
  </w:style>
  <w:style w:type="paragraph" w:styleId="Tittel">
    <w:name w:val="Title"/>
    <w:basedOn w:val="Normal"/>
    <w:next w:val="Normal"/>
    <w:link w:val="TittelTegn"/>
    <w:uiPriority w:val="10"/>
    <w:qFormat/>
    <w:rsid w:val="00FC323C"/>
    <w:pPr>
      <w:pBdr>
        <w:bottom w:val="single" w:sz="8" w:space="4" w:color="FFDD71" w:themeColor="accent1"/>
      </w:pBdr>
      <w:spacing w:after="300" w:line="240" w:lineRule="auto"/>
      <w:contextualSpacing/>
    </w:pPr>
    <w:rPr>
      <w:rFonts w:asciiTheme="majorHAnsi" w:eastAsiaTheme="majorEastAsia" w:hAnsiTheme="majorHAnsi" w:cstheme="majorBidi"/>
      <w:color w:val="1F283D" w:themeColor="text2" w:themeShade="BF"/>
      <w:spacing w:val="5"/>
      <w:kern w:val="28"/>
      <w:sz w:val="52"/>
      <w:szCs w:val="52"/>
    </w:rPr>
  </w:style>
  <w:style w:type="character" w:customStyle="1" w:styleId="TittelTegn">
    <w:name w:val="Tittel Tegn"/>
    <w:basedOn w:val="Standardskriftforavsnitt"/>
    <w:link w:val="Tittel"/>
    <w:uiPriority w:val="10"/>
    <w:rsid w:val="00FC323C"/>
    <w:rPr>
      <w:rFonts w:asciiTheme="majorHAnsi" w:eastAsiaTheme="majorEastAsia" w:hAnsiTheme="majorHAnsi" w:cstheme="majorBidi"/>
      <w:color w:val="1F283D" w:themeColor="text2" w:themeShade="BF"/>
      <w:spacing w:val="5"/>
      <w:kern w:val="28"/>
      <w:sz w:val="52"/>
      <w:szCs w:val="52"/>
      <w:lang w:eastAsia="nb-NO"/>
    </w:rPr>
  </w:style>
  <w:style w:type="table" w:styleId="Tabellrutenett">
    <w:name w:val="Table Grid"/>
    <w:basedOn w:val="Vanligtabell"/>
    <w:uiPriority w:val="59"/>
    <w:rsid w:val="00FC32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genmellomrom">
    <w:name w:val="No Spacing"/>
    <w:link w:val="IngenmellomromTegn"/>
    <w:uiPriority w:val="1"/>
    <w:qFormat/>
    <w:rsid w:val="00FC323C"/>
    <w:pPr>
      <w:spacing w:after="0" w:line="240" w:lineRule="auto"/>
    </w:pPr>
    <w:rPr>
      <w:rFonts w:ascii="Calibri" w:eastAsia="Times New Roman" w:hAnsi="Calibri"/>
      <w:sz w:val="24"/>
      <w:lang w:eastAsia="nb-NO"/>
    </w:rPr>
  </w:style>
  <w:style w:type="character" w:customStyle="1" w:styleId="IngenmellomromTegn">
    <w:name w:val="Ingen mellomrom Tegn"/>
    <w:basedOn w:val="Standardskriftforavsnitt"/>
    <w:link w:val="Ingenmellomrom"/>
    <w:uiPriority w:val="1"/>
    <w:rsid w:val="0066105A"/>
    <w:rPr>
      <w:rFonts w:ascii="Calibri" w:eastAsia="Times New Roman" w:hAnsi="Calibri"/>
      <w:sz w:val="24"/>
      <w:lang w:eastAsia="nb-NO"/>
    </w:rPr>
  </w:style>
  <w:style w:type="character" w:styleId="Merknadsreferanse">
    <w:name w:val="annotation reference"/>
    <w:basedOn w:val="Standardskriftforavsnitt"/>
    <w:semiHidden/>
    <w:rsid w:val="00FC323C"/>
    <w:rPr>
      <w:sz w:val="16"/>
    </w:rPr>
  </w:style>
  <w:style w:type="paragraph" w:styleId="Merknadstekst">
    <w:name w:val="annotation text"/>
    <w:basedOn w:val="Normal"/>
    <w:link w:val="MerknadstekstTegn"/>
    <w:rsid w:val="00FC323C"/>
  </w:style>
  <w:style w:type="character" w:customStyle="1" w:styleId="MerknadstekstTegn">
    <w:name w:val="Merknadstekst Tegn"/>
    <w:basedOn w:val="Standardskriftforavsnitt"/>
    <w:link w:val="Merknadstekst"/>
    <w:rsid w:val="00FC323C"/>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FC323C"/>
    <w:pPr>
      <w:spacing w:line="240" w:lineRule="auto"/>
    </w:pPr>
    <w:rPr>
      <w:b/>
      <w:bCs/>
      <w:szCs w:val="20"/>
    </w:rPr>
  </w:style>
  <w:style w:type="character" w:customStyle="1" w:styleId="KommentaremneTegn">
    <w:name w:val="Kommentaremne Tegn"/>
    <w:basedOn w:val="MerknadstekstTegn"/>
    <w:link w:val="Kommentaremne"/>
    <w:uiPriority w:val="99"/>
    <w:semiHidden/>
    <w:rsid w:val="00FC323C"/>
    <w:rPr>
      <w:rFonts w:ascii="Open Sans" w:eastAsia="Times New Roman" w:hAnsi="Open Sans"/>
      <w:b/>
      <w:bCs/>
      <w:szCs w:val="20"/>
      <w:lang w:eastAsia="nb-NO"/>
    </w:rPr>
  </w:style>
  <w:style w:type="paragraph" w:styleId="NormalWeb">
    <w:name w:val="Normal (Web)"/>
    <w:basedOn w:val="Normal"/>
    <w:link w:val="NormalWebTegn"/>
    <w:uiPriority w:val="99"/>
    <w:unhideWhenUsed/>
    <w:rsid w:val="00FC323C"/>
    <w:rPr>
      <w:rFonts w:cs="Times New Roman"/>
      <w:szCs w:val="24"/>
    </w:rPr>
  </w:style>
  <w:style w:type="character" w:customStyle="1" w:styleId="NormalWebTegn">
    <w:name w:val="Normal (Web) Tegn"/>
    <w:basedOn w:val="Standardskriftforavsnitt"/>
    <w:link w:val="NormalWeb"/>
    <w:uiPriority w:val="99"/>
    <w:rsid w:val="001E0153"/>
    <w:rPr>
      <w:rFonts w:ascii="Open Sans" w:eastAsia="Times New Roman" w:hAnsi="Open Sans" w:cs="Times New Roman"/>
      <w:szCs w:val="24"/>
      <w:lang w:eastAsia="nb-NO"/>
    </w:rPr>
  </w:style>
  <w:style w:type="character" w:styleId="Sterk">
    <w:name w:val="Strong"/>
    <w:basedOn w:val="Standardskriftforavsnitt"/>
    <w:uiPriority w:val="22"/>
    <w:qFormat/>
    <w:rsid w:val="00FC323C"/>
    <w:rPr>
      <w:b/>
      <w:bCs/>
    </w:rPr>
  </w:style>
  <w:style w:type="character" w:styleId="Hyperkobling">
    <w:name w:val="Hyperlink"/>
    <w:basedOn w:val="Standardskriftforavsnitt"/>
    <w:uiPriority w:val="99"/>
    <w:unhideWhenUsed/>
    <w:rsid w:val="00FC323C"/>
    <w:rPr>
      <w:color w:val="0563C1" w:themeColor="hyperlink"/>
      <w:u w:val="single"/>
    </w:rPr>
  </w:style>
  <w:style w:type="character" w:customStyle="1" w:styleId="Ulstomtale1">
    <w:name w:val="Uløst omtale1"/>
    <w:basedOn w:val="Standardskriftforavsnitt"/>
    <w:uiPriority w:val="99"/>
    <w:semiHidden/>
    <w:unhideWhenUsed/>
    <w:rsid w:val="003D70D4"/>
    <w:rPr>
      <w:color w:val="605E5C"/>
      <w:shd w:val="clear" w:color="auto" w:fill="E1DFDD"/>
    </w:rPr>
  </w:style>
  <w:style w:type="paragraph" w:styleId="Overskriftforinnholdsfortegnelse">
    <w:name w:val="TOC Heading"/>
    <w:basedOn w:val="Overskrift1"/>
    <w:next w:val="Normal"/>
    <w:uiPriority w:val="39"/>
    <w:unhideWhenUsed/>
    <w:qFormat/>
    <w:rsid w:val="00FC323C"/>
    <w:pPr>
      <w:numPr>
        <w:numId w:val="0"/>
      </w:numPr>
      <w:spacing w:before="480" w:after="0"/>
      <w:outlineLvl w:val="9"/>
    </w:pPr>
    <w:rPr>
      <w:rFonts w:asciiTheme="majorHAnsi" w:eastAsiaTheme="majorEastAsia" w:hAnsiTheme="majorHAnsi" w:cstheme="majorBidi"/>
      <w:bCs/>
      <w:color w:val="FFC514" w:themeColor="accent1" w:themeShade="BF"/>
      <w:kern w:val="0"/>
      <w:sz w:val="28"/>
      <w:szCs w:val="28"/>
    </w:rPr>
  </w:style>
  <w:style w:type="paragraph" w:styleId="INNH3">
    <w:name w:val="toc 3"/>
    <w:basedOn w:val="Normal"/>
    <w:next w:val="Normal"/>
    <w:uiPriority w:val="39"/>
    <w:rsid w:val="00FC323C"/>
    <w:pPr>
      <w:tabs>
        <w:tab w:val="right" w:leader="dot" w:pos="8306"/>
      </w:tabs>
      <w:ind w:left="400"/>
    </w:pPr>
  </w:style>
  <w:style w:type="paragraph" w:styleId="INNH1">
    <w:name w:val="toc 1"/>
    <w:basedOn w:val="Normal"/>
    <w:next w:val="Normal"/>
    <w:uiPriority w:val="39"/>
    <w:rsid w:val="00FC323C"/>
    <w:pPr>
      <w:tabs>
        <w:tab w:val="right" w:leader="dot" w:pos="8306"/>
      </w:tabs>
    </w:pPr>
  </w:style>
  <w:style w:type="paragraph" w:styleId="INNH2">
    <w:name w:val="toc 2"/>
    <w:basedOn w:val="Normal"/>
    <w:next w:val="Normal"/>
    <w:uiPriority w:val="39"/>
    <w:rsid w:val="00FC323C"/>
    <w:pPr>
      <w:tabs>
        <w:tab w:val="right" w:leader="dot" w:pos="8306"/>
      </w:tabs>
      <w:ind w:left="200"/>
    </w:pPr>
  </w:style>
  <w:style w:type="paragraph" w:styleId="Brdtekst">
    <w:name w:val="Body Text"/>
    <w:basedOn w:val="Normal"/>
    <w:link w:val="BrdtekstTegn"/>
    <w:uiPriority w:val="99"/>
    <w:unhideWhenUsed/>
    <w:rsid w:val="00FC323C"/>
  </w:style>
  <w:style w:type="character" w:customStyle="1" w:styleId="BrdtekstTegn">
    <w:name w:val="Brødtekst Tegn"/>
    <w:basedOn w:val="Standardskriftforavsnitt"/>
    <w:link w:val="Brdtekst"/>
    <w:uiPriority w:val="99"/>
    <w:rsid w:val="00FC323C"/>
    <w:rPr>
      <w:rFonts w:ascii="Open Sans" w:eastAsia="Times New Roman" w:hAnsi="Open Sans"/>
      <w:lang w:eastAsia="nb-NO"/>
    </w:rPr>
  </w:style>
  <w:style w:type="character" w:styleId="Fulgthyperkobling">
    <w:name w:val="FollowedHyperlink"/>
    <w:basedOn w:val="Standardskriftforavsnitt"/>
    <w:uiPriority w:val="99"/>
    <w:semiHidden/>
    <w:unhideWhenUsed/>
    <w:rsid w:val="00FC323C"/>
    <w:rPr>
      <w:color w:val="954F72" w:themeColor="followedHyperlink"/>
      <w:u w:val="single"/>
    </w:rPr>
  </w:style>
  <w:style w:type="paragraph" w:customStyle="1" w:styleId="Ledetekst">
    <w:name w:val="Ledetekst"/>
    <w:basedOn w:val="Normal"/>
    <w:rsid w:val="7BA5314F"/>
    <w:pPr>
      <w:spacing w:after="0" w:line="300" w:lineRule="atLeast"/>
    </w:pPr>
    <w:rPr>
      <w:rFonts w:ascii="Arial" w:eastAsiaTheme="minorEastAsia" w:hAnsi="Arial"/>
      <w:sz w:val="16"/>
      <w:szCs w:val="16"/>
    </w:rPr>
  </w:style>
  <w:style w:type="paragraph" w:customStyle="1" w:styleId="MP1Overskriftsniveau">
    <w:name w:val="MP 1 Overskriftsniveau"/>
    <w:basedOn w:val="Normal"/>
    <w:link w:val="MP1OverskriftsniveauTegn"/>
    <w:uiPriority w:val="99"/>
    <w:qFormat/>
    <w:rsid w:val="003D70D4"/>
    <w:pPr>
      <w:spacing w:after="0" w:line="280" w:lineRule="atLeast"/>
      <w:jc w:val="both"/>
    </w:pPr>
    <w:rPr>
      <w:rFonts w:ascii="Arial" w:hAnsi="Arial" w:cs="Arial"/>
      <w:sz w:val="28"/>
      <w:szCs w:val="28"/>
      <w:lang w:val="da-DK"/>
    </w:rPr>
  </w:style>
  <w:style w:type="character" w:customStyle="1" w:styleId="MP1OverskriftsniveauTegn">
    <w:name w:val="MP 1 Overskriftsniveau Tegn"/>
    <w:basedOn w:val="Standardskriftforavsnitt"/>
    <w:link w:val="MP1Overskriftsniveau"/>
    <w:uiPriority w:val="99"/>
    <w:rsid w:val="003D70D4"/>
    <w:rPr>
      <w:rFonts w:ascii="Arial" w:hAnsi="Arial" w:cs="Arial"/>
      <w:sz w:val="28"/>
      <w:szCs w:val="28"/>
      <w:lang w:val="da-DK"/>
    </w:rPr>
  </w:style>
  <w:style w:type="paragraph" w:styleId="Undertittel">
    <w:name w:val="Subtitle"/>
    <w:basedOn w:val="Overskrift1"/>
    <w:next w:val="Normal"/>
    <w:link w:val="UndertittelTegn"/>
    <w:qFormat/>
    <w:rsid w:val="00FC323C"/>
    <w:pPr>
      <w:numPr>
        <w:numId w:val="0"/>
      </w:numPr>
      <w:spacing w:before="240"/>
      <w:outlineLvl w:val="9"/>
    </w:pPr>
    <w:rPr>
      <w:spacing w:val="4"/>
      <w:sz w:val="28"/>
    </w:rPr>
  </w:style>
  <w:style w:type="character" w:customStyle="1" w:styleId="UndertittelTegn">
    <w:name w:val="Undertittel Tegn"/>
    <w:basedOn w:val="Standardskriftforavsnitt"/>
    <w:link w:val="Undertittel"/>
    <w:rsid w:val="00FC323C"/>
    <w:rPr>
      <w:rFonts w:ascii="Open Sans" w:eastAsia="Times New Roman" w:hAnsi="Open Sans"/>
      <w:b/>
      <w:spacing w:val="4"/>
      <w:kern w:val="28"/>
      <w:sz w:val="28"/>
      <w:lang w:eastAsia="nb-NO"/>
    </w:rPr>
  </w:style>
  <w:style w:type="table" w:styleId="Rutenettabell4uthevingsfarge1">
    <w:name w:val="Grid Table 4 Accent 1"/>
    <w:basedOn w:val="Vanligtabell"/>
    <w:uiPriority w:val="49"/>
    <w:rsid w:val="003D70D4"/>
    <w:pPr>
      <w:spacing w:after="0" w:line="240" w:lineRule="auto"/>
    </w:pPr>
    <w:tblPr>
      <w:tblStyleRowBandSize w:val="1"/>
      <w:tblStyleColBandSize w:val="1"/>
      <w:tblBorders>
        <w:top w:val="single" w:sz="4" w:space="0" w:color="FFEAA9" w:themeColor="accent1" w:themeTint="99"/>
        <w:left w:val="single" w:sz="4" w:space="0" w:color="FFEAA9" w:themeColor="accent1" w:themeTint="99"/>
        <w:bottom w:val="single" w:sz="4" w:space="0" w:color="FFEAA9" w:themeColor="accent1" w:themeTint="99"/>
        <w:right w:val="single" w:sz="4" w:space="0" w:color="FFEAA9" w:themeColor="accent1" w:themeTint="99"/>
        <w:insideH w:val="single" w:sz="4" w:space="0" w:color="FFEAA9" w:themeColor="accent1" w:themeTint="99"/>
        <w:insideV w:val="single" w:sz="4" w:space="0" w:color="FFEAA9" w:themeColor="accent1" w:themeTint="99"/>
      </w:tblBorders>
    </w:tblPr>
    <w:tblStylePr w:type="firstRow">
      <w:rPr>
        <w:b/>
        <w:bCs/>
        <w:color w:val="FFFFFF" w:themeColor="background1"/>
      </w:rPr>
      <w:tblPr/>
      <w:tcPr>
        <w:tcBorders>
          <w:top w:val="single" w:sz="4" w:space="0" w:color="FFDD71" w:themeColor="accent1"/>
          <w:left w:val="single" w:sz="4" w:space="0" w:color="FFDD71" w:themeColor="accent1"/>
          <w:bottom w:val="single" w:sz="4" w:space="0" w:color="FFDD71" w:themeColor="accent1"/>
          <w:right w:val="single" w:sz="4" w:space="0" w:color="FFDD71" w:themeColor="accent1"/>
          <w:insideH w:val="nil"/>
          <w:insideV w:val="nil"/>
        </w:tcBorders>
        <w:shd w:val="clear" w:color="auto" w:fill="FFDD71" w:themeFill="accent1"/>
      </w:tcPr>
    </w:tblStylePr>
    <w:tblStylePr w:type="lastRow">
      <w:rPr>
        <w:b/>
        <w:bCs/>
      </w:rPr>
      <w:tblPr/>
      <w:tcPr>
        <w:tcBorders>
          <w:top w:val="double" w:sz="4" w:space="0" w:color="FFDD71" w:themeColor="accent1"/>
        </w:tcBorders>
      </w:tcPr>
    </w:tblStylePr>
    <w:tblStylePr w:type="firstCol">
      <w:rPr>
        <w:b/>
        <w:bCs/>
      </w:rPr>
    </w:tblStylePr>
    <w:tblStylePr w:type="lastCol">
      <w:rPr>
        <w:b/>
        <w:bCs/>
      </w:rPr>
    </w:tblStylePr>
    <w:tblStylePr w:type="band1Vert">
      <w:tblPr/>
      <w:tcPr>
        <w:shd w:val="clear" w:color="auto" w:fill="FFF8E2" w:themeFill="accent1" w:themeFillTint="33"/>
      </w:tcPr>
    </w:tblStylePr>
    <w:tblStylePr w:type="band1Horz">
      <w:tblPr/>
      <w:tcPr>
        <w:shd w:val="clear" w:color="auto" w:fill="FFF8E2" w:themeFill="accent1" w:themeFillTint="33"/>
      </w:tcPr>
    </w:tblStylePr>
  </w:style>
  <w:style w:type="table" w:styleId="Rutenettabell4uthevingsfarge3">
    <w:name w:val="Grid Table 4 Accent 3"/>
    <w:basedOn w:val="Vanligtabell"/>
    <w:uiPriority w:val="49"/>
    <w:rsid w:val="003D70D4"/>
    <w:pPr>
      <w:spacing w:after="0" w:line="240" w:lineRule="auto"/>
    </w:pPr>
    <w:tblPr>
      <w:tblStyleRowBandSize w:val="1"/>
      <w:tblStyleColBandSize w:val="1"/>
      <w:tblBorders>
        <w:top w:val="single" w:sz="4" w:space="0" w:color="C490AA" w:themeColor="accent3" w:themeTint="99"/>
        <w:left w:val="single" w:sz="4" w:space="0" w:color="C490AA" w:themeColor="accent3" w:themeTint="99"/>
        <w:bottom w:val="single" w:sz="4" w:space="0" w:color="C490AA" w:themeColor="accent3" w:themeTint="99"/>
        <w:right w:val="single" w:sz="4" w:space="0" w:color="C490AA" w:themeColor="accent3" w:themeTint="99"/>
        <w:insideH w:val="single" w:sz="4" w:space="0" w:color="C490AA" w:themeColor="accent3" w:themeTint="99"/>
        <w:insideV w:val="single" w:sz="4" w:space="0" w:color="C490AA" w:themeColor="accent3" w:themeTint="99"/>
      </w:tblBorders>
    </w:tblPr>
    <w:tblStylePr w:type="firstRow">
      <w:rPr>
        <w:b/>
        <w:bCs/>
        <w:color w:val="FFFFFF" w:themeColor="background1"/>
      </w:rPr>
      <w:tblPr/>
      <w:tcPr>
        <w:tcBorders>
          <w:top w:val="single" w:sz="4" w:space="0" w:color="954F72" w:themeColor="accent3"/>
          <w:left w:val="single" w:sz="4" w:space="0" w:color="954F72" w:themeColor="accent3"/>
          <w:bottom w:val="single" w:sz="4" w:space="0" w:color="954F72" w:themeColor="accent3"/>
          <w:right w:val="single" w:sz="4" w:space="0" w:color="954F72" w:themeColor="accent3"/>
          <w:insideH w:val="nil"/>
          <w:insideV w:val="nil"/>
        </w:tcBorders>
        <w:shd w:val="clear" w:color="auto" w:fill="954F72" w:themeFill="accent3"/>
      </w:tcPr>
    </w:tblStylePr>
    <w:tblStylePr w:type="lastRow">
      <w:rPr>
        <w:b/>
        <w:bCs/>
      </w:rPr>
      <w:tblPr/>
      <w:tcPr>
        <w:tcBorders>
          <w:top w:val="double" w:sz="4" w:space="0" w:color="954F72" w:themeColor="accent3"/>
        </w:tcBorders>
      </w:tcPr>
    </w:tblStylePr>
    <w:tblStylePr w:type="firstCol">
      <w:rPr>
        <w:b/>
        <w:bCs/>
      </w:rPr>
    </w:tblStylePr>
    <w:tblStylePr w:type="lastCol">
      <w:rPr>
        <w:b/>
        <w:bCs/>
      </w:rPr>
    </w:tblStylePr>
    <w:tblStylePr w:type="band1Vert">
      <w:tblPr/>
      <w:tcPr>
        <w:shd w:val="clear" w:color="auto" w:fill="EBD9E2" w:themeFill="accent3" w:themeFillTint="33"/>
      </w:tcPr>
    </w:tblStylePr>
    <w:tblStylePr w:type="band1Horz">
      <w:tblPr/>
      <w:tcPr>
        <w:shd w:val="clear" w:color="auto" w:fill="EBD9E2" w:themeFill="accent3" w:themeFillTint="33"/>
      </w:tcPr>
    </w:tblStylePr>
  </w:style>
  <w:style w:type="paragraph" w:styleId="Revisjon">
    <w:name w:val="Revision"/>
    <w:hidden/>
    <w:uiPriority w:val="99"/>
    <w:semiHidden/>
    <w:rsid w:val="003D70D4"/>
    <w:pPr>
      <w:spacing w:after="0" w:line="240" w:lineRule="auto"/>
    </w:pPr>
    <w:rPr>
      <w:rFonts w:ascii="Arial" w:hAnsi="Arial"/>
    </w:rPr>
  </w:style>
  <w:style w:type="paragraph" w:styleId="Fotnotetekst">
    <w:name w:val="footnote text"/>
    <w:basedOn w:val="Normal"/>
    <w:link w:val="FotnotetekstTegn"/>
    <w:rsid w:val="00FC323C"/>
    <w:rPr>
      <w:spacing w:val="4"/>
    </w:rPr>
  </w:style>
  <w:style w:type="character" w:customStyle="1" w:styleId="FotnotetekstTegn">
    <w:name w:val="Fotnotetekst Tegn"/>
    <w:basedOn w:val="Standardskriftforavsnitt"/>
    <w:link w:val="Fotnotetekst"/>
    <w:rsid w:val="00FC323C"/>
    <w:rPr>
      <w:rFonts w:ascii="Open Sans" w:eastAsia="Times New Roman" w:hAnsi="Open Sans"/>
      <w:spacing w:val="4"/>
      <w:lang w:eastAsia="nb-NO"/>
    </w:rPr>
  </w:style>
  <w:style w:type="character" w:styleId="Fotnotereferanse">
    <w:name w:val="footnote reference"/>
    <w:basedOn w:val="Standardskriftforavsnitt"/>
    <w:rsid w:val="00FC323C"/>
    <w:rPr>
      <w:vertAlign w:val="superscript"/>
    </w:rPr>
  </w:style>
  <w:style w:type="paragraph" w:customStyle="1" w:styleId="Default">
    <w:name w:val="Default"/>
    <w:rsid w:val="003D70D4"/>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33">
    <w:name w:val="Pa33"/>
    <w:basedOn w:val="Normal"/>
    <w:next w:val="Normal"/>
    <w:uiPriority w:val="99"/>
    <w:rsid w:val="7BA5314F"/>
    <w:pPr>
      <w:spacing w:after="0" w:line="181" w:lineRule="atLeast"/>
    </w:pPr>
    <w:rPr>
      <w:rFonts w:ascii="Adobe Garamond Pro Bold" w:eastAsiaTheme="minorEastAsia" w:hAnsi="Adobe Garamond Pro Bold"/>
      <w:sz w:val="24"/>
      <w:szCs w:val="24"/>
    </w:rPr>
  </w:style>
  <w:style w:type="character" w:customStyle="1" w:styleId="A16">
    <w:name w:val="A16"/>
    <w:uiPriority w:val="99"/>
    <w:rsid w:val="003D70D4"/>
    <w:rPr>
      <w:rFonts w:ascii="Adobe Garamond Pro" w:hAnsi="Adobe Garamond Pro" w:cs="Adobe Garamond Pro" w:hint="default"/>
      <w:color w:val="000000"/>
      <w:sz w:val="18"/>
      <w:szCs w:val="18"/>
    </w:rPr>
  </w:style>
  <w:style w:type="paragraph" w:customStyle="1" w:styleId="Pa32">
    <w:name w:val="Pa32"/>
    <w:basedOn w:val="Normal"/>
    <w:next w:val="Normal"/>
    <w:uiPriority w:val="99"/>
    <w:rsid w:val="7BA5314F"/>
    <w:pPr>
      <w:spacing w:after="0" w:line="181" w:lineRule="atLeast"/>
    </w:pPr>
    <w:rPr>
      <w:rFonts w:ascii="Adobe Garamond Pro Bold" w:eastAsiaTheme="minorEastAsia" w:hAnsi="Adobe Garamond Pro Bold"/>
      <w:sz w:val="24"/>
      <w:szCs w:val="24"/>
    </w:rPr>
  </w:style>
  <w:style w:type="paragraph" w:customStyle="1" w:styleId="MUOverskrift2">
    <w:name w:val="MU_Overskrift 2"/>
    <w:basedOn w:val="Normal"/>
    <w:rsid w:val="7BA5314F"/>
    <w:pPr>
      <w:spacing w:after="0"/>
    </w:pPr>
    <w:rPr>
      <w:rFonts w:cs="Arial"/>
      <w:b/>
      <w:bCs/>
      <w:sz w:val="28"/>
      <w:szCs w:val="28"/>
      <w:u w:val="single"/>
    </w:rPr>
  </w:style>
  <w:style w:type="paragraph" w:styleId="INNH4">
    <w:name w:val="toc 4"/>
    <w:basedOn w:val="Normal"/>
    <w:next w:val="Normal"/>
    <w:rsid w:val="00FC323C"/>
    <w:pPr>
      <w:tabs>
        <w:tab w:val="right" w:leader="dot" w:pos="8306"/>
      </w:tabs>
      <w:ind w:left="600"/>
    </w:pPr>
  </w:style>
  <w:style w:type="paragraph" w:styleId="INNH5">
    <w:name w:val="toc 5"/>
    <w:basedOn w:val="Normal"/>
    <w:next w:val="Normal"/>
    <w:rsid w:val="00FC323C"/>
    <w:pPr>
      <w:tabs>
        <w:tab w:val="right" w:leader="dot" w:pos="8306"/>
      </w:tabs>
      <w:ind w:left="800"/>
    </w:pPr>
  </w:style>
  <w:style w:type="paragraph" w:styleId="INNH6">
    <w:name w:val="toc 6"/>
    <w:basedOn w:val="Normal"/>
    <w:next w:val="Normal"/>
    <w:autoRedefine/>
    <w:uiPriority w:val="39"/>
    <w:unhideWhenUsed/>
    <w:rsid w:val="00FC323C"/>
    <w:pPr>
      <w:spacing w:after="100"/>
      <w:ind w:left="1200"/>
    </w:pPr>
  </w:style>
  <w:style w:type="paragraph" w:styleId="INNH7">
    <w:name w:val="toc 7"/>
    <w:basedOn w:val="Normal"/>
    <w:next w:val="Normal"/>
    <w:autoRedefine/>
    <w:uiPriority w:val="39"/>
    <w:unhideWhenUsed/>
    <w:rsid w:val="00FC323C"/>
    <w:pPr>
      <w:spacing w:after="100"/>
      <w:ind w:left="1440"/>
    </w:pPr>
  </w:style>
  <w:style w:type="paragraph" w:styleId="INNH8">
    <w:name w:val="toc 8"/>
    <w:basedOn w:val="Normal"/>
    <w:next w:val="Normal"/>
    <w:autoRedefine/>
    <w:uiPriority w:val="39"/>
    <w:unhideWhenUsed/>
    <w:rsid w:val="00FC323C"/>
    <w:pPr>
      <w:spacing w:after="100"/>
      <w:ind w:left="1680"/>
    </w:pPr>
  </w:style>
  <w:style w:type="paragraph" w:styleId="INNH9">
    <w:name w:val="toc 9"/>
    <w:basedOn w:val="Normal"/>
    <w:next w:val="Normal"/>
    <w:autoRedefine/>
    <w:uiPriority w:val="39"/>
    <w:unhideWhenUsed/>
    <w:rsid w:val="00FC323C"/>
    <w:pPr>
      <w:spacing w:after="100"/>
      <w:ind w:left="1920"/>
    </w:pPr>
  </w:style>
  <w:style w:type="paragraph" w:customStyle="1" w:styleId="Stil1">
    <w:name w:val="Stil1"/>
    <w:basedOn w:val="Normal"/>
    <w:link w:val="Stil1Tegn"/>
    <w:qFormat/>
    <w:rsid w:val="00FC323C"/>
    <w:pPr>
      <w:spacing w:after="100"/>
    </w:pPr>
  </w:style>
  <w:style w:type="character" w:customStyle="1" w:styleId="Stil1Tegn">
    <w:name w:val="Stil1 Tegn"/>
    <w:basedOn w:val="Overskrift2Tegn"/>
    <w:link w:val="Stil1"/>
    <w:rsid w:val="00AC55B7"/>
    <w:rPr>
      <w:rFonts w:ascii="Open Sans" w:eastAsia="Times New Roman" w:hAnsi="Open Sans"/>
      <w:b w:val="0"/>
      <w:spacing w:val="4"/>
      <w:kern w:val="28"/>
      <w:sz w:val="28"/>
      <w:lang w:eastAsia="nb-NO"/>
    </w:rPr>
  </w:style>
  <w:style w:type="paragraph" w:styleId="Bildetekst">
    <w:name w:val="caption"/>
    <w:aliases w:val="Tabell og figuroverskrift"/>
    <w:basedOn w:val="Normal"/>
    <w:next w:val="Normal"/>
    <w:link w:val="BildetekstTegn"/>
    <w:uiPriority w:val="35"/>
    <w:unhideWhenUsed/>
    <w:qFormat/>
    <w:rsid w:val="00FC323C"/>
    <w:pPr>
      <w:spacing w:line="240" w:lineRule="auto"/>
    </w:pPr>
    <w:rPr>
      <w:b/>
      <w:bCs/>
      <w:color w:val="FFDD71" w:themeColor="accent1"/>
      <w:sz w:val="18"/>
      <w:szCs w:val="18"/>
    </w:rPr>
  </w:style>
  <w:style w:type="character" w:customStyle="1" w:styleId="BildetekstTegn">
    <w:name w:val="Bildetekst Tegn"/>
    <w:aliases w:val="Tabell og figuroverskrift Tegn"/>
    <w:basedOn w:val="Standardskriftforavsnitt"/>
    <w:link w:val="Bildetekst"/>
    <w:uiPriority w:val="35"/>
    <w:rsid w:val="00984176"/>
    <w:rPr>
      <w:rFonts w:ascii="Open Sans" w:eastAsia="Times New Roman" w:hAnsi="Open Sans"/>
      <w:b/>
      <w:bCs/>
      <w:color w:val="FFDD71" w:themeColor="accent1"/>
      <w:sz w:val="18"/>
      <w:szCs w:val="18"/>
      <w:lang w:eastAsia="nb-NO"/>
    </w:rPr>
  </w:style>
  <w:style w:type="table" w:styleId="Rutenettabell1lysuthevingsfarge3">
    <w:name w:val="Grid Table 1 Light Accent 3"/>
    <w:basedOn w:val="Vanligtabell"/>
    <w:uiPriority w:val="46"/>
    <w:rsid w:val="005C1AAA"/>
    <w:pPr>
      <w:spacing w:after="0" w:line="240" w:lineRule="auto"/>
    </w:pPr>
    <w:tblPr>
      <w:tblStyleRowBandSize w:val="1"/>
      <w:tblStyleColBandSize w:val="1"/>
      <w:tblBorders>
        <w:top w:val="single" w:sz="4" w:space="0" w:color="D7B5C6" w:themeColor="accent3" w:themeTint="66"/>
        <w:left w:val="single" w:sz="4" w:space="0" w:color="D7B5C6" w:themeColor="accent3" w:themeTint="66"/>
        <w:bottom w:val="single" w:sz="4" w:space="0" w:color="D7B5C6" w:themeColor="accent3" w:themeTint="66"/>
        <w:right w:val="single" w:sz="4" w:space="0" w:color="D7B5C6" w:themeColor="accent3" w:themeTint="66"/>
        <w:insideH w:val="single" w:sz="4" w:space="0" w:color="D7B5C6" w:themeColor="accent3" w:themeTint="66"/>
        <w:insideV w:val="single" w:sz="4" w:space="0" w:color="D7B5C6" w:themeColor="accent3" w:themeTint="66"/>
      </w:tblBorders>
    </w:tblPr>
    <w:tblStylePr w:type="firstRow">
      <w:rPr>
        <w:b/>
        <w:bCs/>
      </w:rPr>
      <w:tblPr/>
      <w:tcPr>
        <w:tcBorders>
          <w:bottom w:val="single" w:sz="12" w:space="0" w:color="C490AA" w:themeColor="accent3" w:themeTint="99"/>
        </w:tcBorders>
      </w:tcPr>
    </w:tblStylePr>
    <w:tblStylePr w:type="lastRow">
      <w:rPr>
        <w:b/>
        <w:bCs/>
      </w:rPr>
      <w:tblPr/>
      <w:tcPr>
        <w:tcBorders>
          <w:top w:val="double" w:sz="2" w:space="0" w:color="C490AA" w:themeColor="accent3" w:themeTint="99"/>
        </w:tcBorders>
      </w:tcPr>
    </w:tblStylePr>
    <w:tblStylePr w:type="firstCol">
      <w:rPr>
        <w:b/>
        <w:bCs/>
      </w:rPr>
    </w:tblStylePr>
    <w:tblStylePr w:type="lastCol">
      <w:rPr>
        <w:b/>
        <w:bCs/>
      </w:rPr>
    </w:tblStylePr>
  </w:style>
  <w:style w:type="paragraph" w:styleId="Sluttnotetekst">
    <w:name w:val="endnote text"/>
    <w:basedOn w:val="Normal"/>
    <w:link w:val="SluttnotetekstTegn"/>
    <w:uiPriority w:val="99"/>
    <w:semiHidden/>
    <w:unhideWhenUsed/>
    <w:rsid w:val="00FC323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FC323C"/>
    <w:rPr>
      <w:rFonts w:ascii="Open Sans" w:eastAsia="Times New Roman" w:hAnsi="Open Sans"/>
      <w:szCs w:val="20"/>
      <w:lang w:eastAsia="nb-NO"/>
    </w:rPr>
  </w:style>
  <w:style w:type="character" w:styleId="Sluttnotereferanse">
    <w:name w:val="endnote reference"/>
    <w:basedOn w:val="Standardskriftforavsnitt"/>
    <w:uiPriority w:val="99"/>
    <w:semiHidden/>
    <w:unhideWhenUsed/>
    <w:rsid w:val="00FC323C"/>
    <w:rPr>
      <w:vertAlign w:val="superscript"/>
    </w:rPr>
  </w:style>
  <w:style w:type="character" w:customStyle="1" w:styleId="UnresolvedMention8">
    <w:name w:val="Unresolved Mention8"/>
    <w:basedOn w:val="Standardskriftforavsnitt"/>
    <w:uiPriority w:val="99"/>
    <w:semiHidden/>
    <w:unhideWhenUsed/>
    <w:rsid w:val="00904084"/>
    <w:rPr>
      <w:color w:val="605E5C"/>
      <w:shd w:val="clear" w:color="auto" w:fill="E1DFDD"/>
    </w:rPr>
  </w:style>
  <w:style w:type="table" w:styleId="Tabellrutenett3">
    <w:name w:val="Table Grid 3"/>
    <w:basedOn w:val="Vanligtabell"/>
    <w:uiPriority w:val="99"/>
    <w:semiHidden/>
    <w:unhideWhenUsed/>
    <w:rsid w:val="002B5C3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otnoterognoterundertabeller">
    <w:name w:val="Fotnoter og noter under tabeller"/>
    <w:basedOn w:val="Normal"/>
    <w:link w:val="FotnoterognoterundertabellerTegn"/>
    <w:qFormat/>
    <w:rsid w:val="000D3702"/>
    <w:pPr>
      <w:spacing w:after="40"/>
      <w:jc w:val="both"/>
    </w:pPr>
    <w:rPr>
      <w:i/>
      <w:sz w:val="18"/>
    </w:rPr>
  </w:style>
  <w:style w:type="character" w:customStyle="1" w:styleId="FotnoterognoterundertabellerTegn">
    <w:name w:val="Fotnoter og noter under tabeller Tegn"/>
    <w:basedOn w:val="Standardskriftforavsnitt"/>
    <w:link w:val="Fotnoterognoterundertabeller"/>
    <w:rsid w:val="000D3702"/>
    <w:rPr>
      <w:i/>
      <w:sz w:val="18"/>
    </w:rPr>
  </w:style>
  <w:style w:type="table" w:styleId="Rutenettabell1lys">
    <w:name w:val="Grid Table 1 Light"/>
    <w:basedOn w:val="Vanligtabell"/>
    <w:uiPriority w:val="46"/>
    <w:rsid w:val="000D37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0D3702"/>
    <w:pPr>
      <w:spacing w:after="0" w:line="240" w:lineRule="auto"/>
    </w:pPr>
    <w:tblPr>
      <w:tblStyleRowBandSize w:val="1"/>
      <w:tblStyleColBandSize w:val="1"/>
      <w:tblBorders>
        <w:top w:val="single" w:sz="4" w:space="0" w:color="FFF1C6" w:themeColor="accent1" w:themeTint="66"/>
        <w:left w:val="single" w:sz="4" w:space="0" w:color="FFF1C6" w:themeColor="accent1" w:themeTint="66"/>
        <w:bottom w:val="single" w:sz="4" w:space="0" w:color="FFF1C6" w:themeColor="accent1" w:themeTint="66"/>
        <w:right w:val="single" w:sz="4" w:space="0" w:color="FFF1C6" w:themeColor="accent1" w:themeTint="66"/>
        <w:insideH w:val="single" w:sz="4" w:space="0" w:color="FFF1C6" w:themeColor="accent1" w:themeTint="66"/>
        <w:insideV w:val="single" w:sz="4" w:space="0" w:color="FFF1C6" w:themeColor="accent1" w:themeTint="66"/>
      </w:tblBorders>
    </w:tblPr>
    <w:tblStylePr w:type="firstRow">
      <w:rPr>
        <w:b/>
        <w:bCs/>
      </w:rPr>
      <w:tblPr/>
      <w:tcPr>
        <w:tcBorders>
          <w:bottom w:val="single" w:sz="12" w:space="0" w:color="FFEAA9" w:themeColor="accent1" w:themeTint="99"/>
        </w:tcBorders>
      </w:tcPr>
    </w:tblStylePr>
    <w:tblStylePr w:type="lastRow">
      <w:rPr>
        <w:b/>
        <w:bCs/>
      </w:rPr>
      <w:tblPr/>
      <w:tcPr>
        <w:tcBorders>
          <w:top w:val="double" w:sz="2" w:space="0" w:color="FFEAA9" w:themeColor="accent1"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0D3702"/>
    <w:pPr>
      <w:spacing w:after="0" w:line="240" w:lineRule="auto"/>
    </w:pPr>
    <w:tblPr>
      <w:tblStyleRowBandSize w:val="1"/>
      <w:tblStyleColBandSize w:val="1"/>
      <w:tblBorders>
        <w:top w:val="single" w:sz="4" w:space="0" w:color="DCE4EC" w:themeColor="accent5" w:themeTint="66"/>
        <w:left w:val="single" w:sz="4" w:space="0" w:color="DCE4EC" w:themeColor="accent5" w:themeTint="66"/>
        <w:bottom w:val="single" w:sz="4" w:space="0" w:color="DCE4EC" w:themeColor="accent5" w:themeTint="66"/>
        <w:right w:val="single" w:sz="4" w:space="0" w:color="DCE4EC" w:themeColor="accent5" w:themeTint="66"/>
        <w:insideH w:val="single" w:sz="4" w:space="0" w:color="DCE4EC" w:themeColor="accent5" w:themeTint="66"/>
        <w:insideV w:val="single" w:sz="4" w:space="0" w:color="DCE4EC" w:themeColor="accent5" w:themeTint="66"/>
      </w:tblBorders>
    </w:tblPr>
    <w:tblStylePr w:type="firstRow">
      <w:rPr>
        <w:b/>
        <w:bCs/>
      </w:rPr>
      <w:tblPr/>
      <w:tcPr>
        <w:tcBorders>
          <w:bottom w:val="single" w:sz="12" w:space="0" w:color="CBD7E2" w:themeColor="accent5" w:themeTint="99"/>
        </w:tcBorders>
      </w:tcPr>
    </w:tblStylePr>
    <w:tblStylePr w:type="lastRow">
      <w:rPr>
        <w:b/>
        <w:bCs/>
      </w:rPr>
      <w:tblPr/>
      <w:tcPr>
        <w:tcBorders>
          <w:top w:val="double" w:sz="2" w:space="0" w:color="CBD7E2" w:themeColor="accent5" w:themeTint="99"/>
        </w:tcBorders>
      </w:tcPr>
    </w:tblStylePr>
    <w:tblStylePr w:type="firstCol">
      <w:rPr>
        <w:b/>
        <w:bCs/>
      </w:rPr>
    </w:tblStylePr>
    <w:tblStylePr w:type="lastCol">
      <w:rPr>
        <w:b/>
        <w:bCs/>
      </w:rPr>
    </w:tblStylePr>
  </w:style>
  <w:style w:type="table" w:styleId="Vanligtabell1">
    <w:name w:val="Plain Table 1"/>
    <w:basedOn w:val="Vanligtabell"/>
    <w:uiPriority w:val="41"/>
    <w:rsid w:val="000D37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4uthevingsfarge5">
    <w:name w:val="Grid Table 4 Accent 5"/>
    <w:basedOn w:val="Vanligtabell"/>
    <w:uiPriority w:val="49"/>
    <w:rsid w:val="000D3702"/>
    <w:pPr>
      <w:spacing w:after="0" w:line="240" w:lineRule="auto"/>
    </w:pPr>
    <w:tblPr>
      <w:tblStyleRowBandSize w:val="1"/>
      <w:tblStyleColBandSize w:val="1"/>
      <w:tblBorders>
        <w:top w:val="single" w:sz="4" w:space="0" w:color="CBD7E2" w:themeColor="accent5" w:themeTint="99"/>
        <w:left w:val="single" w:sz="4" w:space="0" w:color="CBD7E2" w:themeColor="accent5" w:themeTint="99"/>
        <w:bottom w:val="single" w:sz="4" w:space="0" w:color="CBD7E2" w:themeColor="accent5" w:themeTint="99"/>
        <w:right w:val="single" w:sz="4" w:space="0" w:color="CBD7E2" w:themeColor="accent5" w:themeTint="99"/>
        <w:insideH w:val="single" w:sz="4" w:space="0" w:color="CBD7E2" w:themeColor="accent5" w:themeTint="99"/>
        <w:insideV w:val="single" w:sz="4" w:space="0" w:color="CBD7E2" w:themeColor="accent5" w:themeTint="99"/>
      </w:tblBorders>
    </w:tblPr>
    <w:tblStylePr w:type="firstRow">
      <w:rPr>
        <w:b/>
        <w:bCs/>
        <w:color w:val="FFFFFF" w:themeColor="background1"/>
      </w:rPr>
      <w:tblPr/>
      <w:tcPr>
        <w:tcBorders>
          <w:top w:val="single" w:sz="4" w:space="0" w:color="A9BED0" w:themeColor="accent5"/>
          <w:left w:val="single" w:sz="4" w:space="0" w:color="A9BED0" w:themeColor="accent5"/>
          <w:bottom w:val="single" w:sz="4" w:space="0" w:color="A9BED0" w:themeColor="accent5"/>
          <w:right w:val="single" w:sz="4" w:space="0" w:color="A9BED0" w:themeColor="accent5"/>
          <w:insideH w:val="nil"/>
          <w:insideV w:val="nil"/>
        </w:tcBorders>
        <w:shd w:val="clear" w:color="auto" w:fill="A9BED0" w:themeFill="accent5"/>
      </w:tcPr>
    </w:tblStylePr>
    <w:tblStylePr w:type="lastRow">
      <w:rPr>
        <w:b/>
        <w:bCs/>
      </w:rPr>
      <w:tblPr/>
      <w:tcPr>
        <w:tcBorders>
          <w:top w:val="double" w:sz="4" w:space="0" w:color="A9BED0" w:themeColor="accent5"/>
        </w:tcBorders>
      </w:tcPr>
    </w:tblStylePr>
    <w:tblStylePr w:type="firstCol">
      <w:rPr>
        <w:b/>
        <w:bCs/>
      </w:rPr>
    </w:tblStylePr>
    <w:tblStylePr w:type="lastCol">
      <w:rPr>
        <w:b/>
        <w:bCs/>
      </w:rPr>
    </w:tblStylePr>
    <w:tblStylePr w:type="band1Vert">
      <w:tblPr/>
      <w:tcPr>
        <w:shd w:val="clear" w:color="auto" w:fill="EDF1F5" w:themeFill="accent5" w:themeFillTint="33"/>
      </w:tcPr>
    </w:tblStylePr>
    <w:tblStylePr w:type="band1Horz">
      <w:tblPr/>
      <w:tcPr>
        <w:shd w:val="clear" w:color="auto" w:fill="EDF1F5" w:themeFill="accent5" w:themeFillTint="33"/>
      </w:tcPr>
    </w:tblStylePr>
  </w:style>
  <w:style w:type="table" w:styleId="Listetabell3uthevingsfarge1">
    <w:name w:val="List Table 3 Accent 1"/>
    <w:basedOn w:val="Vanligtabell"/>
    <w:uiPriority w:val="48"/>
    <w:rsid w:val="000D3702"/>
    <w:pPr>
      <w:spacing w:after="0" w:line="240" w:lineRule="auto"/>
    </w:pPr>
    <w:tblPr>
      <w:tblStyleRowBandSize w:val="1"/>
      <w:tblStyleColBandSize w:val="1"/>
      <w:tblBorders>
        <w:top w:val="single" w:sz="4" w:space="0" w:color="FFDD71" w:themeColor="accent1"/>
        <w:left w:val="single" w:sz="4" w:space="0" w:color="FFDD71" w:themeColor="accent1"/>
        <w:bottom w:val="single" w:sz="4" w:space="0" w:color="FFDD71" w:themeColor="accent1"/>
        <w:right w:val="single" w:sz="4" w:space="0" w:color="FFDD71" w:themeColor="accent1"/>
      </w:tblBorders>
    </w:tblPr>
    <w:tblStylePr w:type="firstRow">
      <w:rPr>
        <w:b/>
        <w:bCs/>
        <w:color w:val="FFFFFF" w:themeColor="background1"/>
      </w:rPr>
      <w:tblPr/>
      <w:tcPr>
        <w:shd w:val="clear" w:color="auto" w:fill="FFDD71" w:themeFill="accent1"/>
      </w:tcPr>
    </w:tblStylePr>
    <w:tblStylePr w:type="lastRow">
      <w:rPr>
        <w:b/>
        <w:bCs/>
      </w:rPr>
      <w:tblPr/>
      <w:tcPr>
        <w:tcBorders>
          <w:top w:val="double" w:sz="4" w:space="0" w:color="FFDD7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D71" w:themeColor="accent1"/>
          <w:right w:val="single" w:sz="4" w:space="0" w:color="FFDD71" w:themeColor="accent1"/>
        </w:tcBorders>
      </w:tcPr>
    </w:tblStylePr>
    <w:tblStylePr w:type="band1Horz">
      <w:tblPr/>
      <w:tcPr>
        <w:tcBorders>
          <w:top w:val="single" w:sz="4" w:space="0" w:color="FFDD71" w:themeColor="accent1"/>
          <w:bottom w:val="single" w:sz="4" w:space="0" w:color="FFDD7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D71" w:themeColor="accent1"/>
          <w:left w:val="nil"/>
        </w:tcBorders>
      </w:tcPr>
    </w:tblStylePr>
    <w:tblStylePr w:type="swCell">
      <w:tblPr/>
      <w:tcPr>
        <w:tcBorders>
          <w:top w:val="double" w:sz="4" w:space="0" w:color="FFDD71" w:themeColor="accent1"/>
          <w:right w:val="nil"/>
        </w:tcBorders>
      </w:tcPr>
    </w:tblStylePr>
  </w:style>
  <w:style w:type="table" w:styleId="Listetabell3uthevingsfarge5">
    <w:name w:val="List Table 3 Accent 5"/>
    <w:basedOn w:val="Vanligtabell"/>
    <w:uiPriority w:val="48"/>
    <w:rsid w:val="000D3702"/>
    <w:pPr>
      <w:spacing w:after="0" w:line="240" w:lineRule="auto"/>
    </w:pPr>
    <w:tblPr>
      <w:tblStyleRowBandSize w:val="1"/>
      <w:tblStyleColBandSize w:val="1"/>
      <w:tblBorders>
        <w:top w:val="single" w:sz="4" w:space="0" w:color="A9BED0" w:themeColor="accent5"/>
        <w:left w:val="single" w:sz="4" w:space="0" w:color="A9BED0" w:themeColor="accent5"/>
        <w:bottom w:val="single" w:sz="4" w:space="0" w:color="A9BED0" w:themeColor="accent5"/>
        <w:right w:val="single" w:sz="4" w:space="0" w:color="A9BED0" w:themeColor="accent5"/>
      </w:tblBorders>
    </w:tblPr>
    <w:tblStylePr w:type="firstRow">
      <w:rPr>
        <w:b/>
        <w:bCs/>
        <w:color w:val="FFFFFF" w:themeColor="background1"/>
      </w:rPr>
      <w:tblPr/>
      <w:tcPr>
        <w:shd w:val="clear" w:color="auto" w:fill="A9BED0" w:themeFill="accent5"/>
      </w:tcPr>
    </w:tblStylePr>
    <w:tblStylePr w:type="lastRow">
      <w:rPr>
        <w:b/>
        <w:bCs/>
      </w:rPr>
      <w:tblPr/>
      <w:tcPr>
        <w:tcBorders>
          <w:top w:val="double" w:sz="4" w:space="0" w:color="A9BE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BED0" w:themeColor="accent5"/>
          <w:right w:val="single" w:sz="4" w:space="0" w:color="A9BED0" w:themeColor="accent5"/>
        </w:tcBorders>
      </w:tcPr>
    </w:tblStylePr>
    <w:tblStylePr w:type="band1Horz">
      <w:tblPr/>
      <w:tcPr>
        <w:tcBorders>
          <w:top w:val="single" w:sz="4" w:space="0" w:color="A9BED0" w:themeColor="accent5"/>
          <w:bottom w:val="single" w:sz="4" w:space="0" w:color="A9BE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BED0" w:themeColor="accent5"/>
          <w:left w:val="nil"/>
        </w:tcBorders>
      </w:tcPr>
    </w:tblStylePr>
    <w:tblStylePr w:type="swCell">
      <w:tblPr/>
      <w:tcPr>
        <w:tcBorders>
          <w:top w:val="double" w:sz="4" w:space="0" w:color="A9BED0" w:themeColor="accent5"/>
          <w:right w:val="nil"/>
        </w:tcBorders>
      </w:tcPr>
    </w:tblStylePr>
  </w:style>
  <w:style w:type="paragraph" w:styleId="Figurliste">
    <w:name w:val="table of figures"/>
    <w:basedOn w:val="Normal"/>
    <w:next w:val="Normal"/>
    <w:uiPriority w:val="99"/>
    <w:unhideWhenUsed/>
    <w:rsid w:val="00FC323C"/>
    <w:pPr>
      <w:spacing w:after="0"/>
    </w:pPr>
  </w:style>
  <w:style w:type="paragraph" w:customStyle="1" w:styleId="Fotnoter">
    <w:name w:val="Fotnoter"/>
    <w:basedOn w:val="Fotnotetekst"/>
    <w:link w:val="FotnoterTegn"/>
    <w:qFormat/>
    <w:rsid w:val="006E7284"/>
    <w:rPr>
      <w:rFonts w:ascii="Calibri" w:hAnsi="Calibri"/>
      <w:i/>
      <w:sz w:val="18"/>
    </w:rPr>
  </w:style>
  <w:style w:type="character" w:customStyle="1" w:styleId="FotnoterTegn">
    <w:name w:val="Fotnoter Tegn"/>
    <w:basedOn w:val="FotnotetekstTegn"/>
    <w:link w:val="Fotnoter"/>
    <w:rsid w:val="006E7284"/>
    <w:rPr>
      <w:rFonts w:ascii="Calibri" w:eastAsiaTheme="minorEastAsia" w:hAnsi="Calibri"/>
      <w:i/>
      <w:spacing w:val="4"/>
      <w:sz w:val="18"/>
      <w:szCs w:val="20"/>
      <w:lang w:eastAsia="nb-NO"/>
    </w:rPr>
  </w:style>
  <w:style w:type="character" w:styleId="Svakutheving">
    <w:name w:val="Subtle Emphasis"/>
    <w:basedOn w:val="Standardskriftforavsnitt"/>
    <w:uiPriority w:val="19"/>
    <w:qFormat/>
    <w:rsid w:val="00FC323C"/>
    <w:rPr>
      <w:i/>
      <w:iCs/>
      <w:color w:val="808080" w:themeColor="text1" w:themeTint="7F"/>
    </w:rPr>
  </w:style>
  <w:style w:type="paragraph" w:customStyle="1" w:styleId="paragraph">
    <w:name w:val="paragraph"/>
    <w:basedOn w:val="Normal"/>
    <w:link w:val="paragraphTegn"/>
    <w:rsid w:val="7BA5314F"/>
    <w:pPr>
      <w:spacing w:beforeAutospacing="1" w:afterAutospacing="1"/>
    </w:pPr>
    <w:rPr>
      <w:rFonts w:ascii="Times New Roman" w:hAnsi="Times New Roman" w:cs="Times New Roman"/>
      <w:sz w:val="24"/>
      <w:szCs w:val="24"/>
    </w:rPr>
  </w:style>
  <w:style w:type="character" w:customStyle="1" w:styleId="paragraphTegn">
    <w:name w:val="paragraph Tegn"/>
    <w:basedOn w:val="Standardskriftforavsnitt"/>
    <w:link w:val="paragraph"/>
    <w:rsid w:val="004A22D5"/>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72627A"/>
  </w:style>
  <w:style w:type="character" w:customStyle="1" w:styleId="eop">
    <w:name w:val="eop"/>
    <w:basedOn w:val="Standardskriftforavsnitt"/>
    <w:rsid w:val="0072627A"/>
  </w:style>
  <w:style w:type="character" w:customStyle="1" w:styleId="scxp117736754">
    <w:name w:val="scxp117736754"/>
    <w:basedOn w:val="Standardskriftforavsnitt"/>
    <w:rsid w:val="0072627A"/>
  </w:style>
  <w:style w:type="character" w:customStyle="1" w:styleId="Date1">
    <w:name w:val="Date1"/>
    <w:basedOn w:val="Standardskriftforavsnitt"/>
    <w:rsid w:val="0072627A"/>
  </w:style>
  <w:style w:type="character" w:styleId="Sterkutheving">
    <w:name w:val="Intense Emphasis"/>
    <w:basedOn w:val="Standardskriftforavsnitt"/>
    <w:uiPriority w:val="21"/>
    <w:qFormat/>
    <w:rsid w:val="00FC323C"/>
    <w:rPr>
      <w:b/>
      <w:bCs/>
      <w:i/>
      <w:iCs/>
      <w:color w:val="FFDD71" w:themeColor="accent1"/>
    </w:rPr>
  </w:style>
  <w:style w:type="paragraph" w:customStyle="1" w:styleId="mortaga">
    <w:name w:val="mortag_a"/>
    <w:basedOn w:val="Normal"/>
    <w:rsid w:val="7BA5314F"/>
    <w:pPr>
      <w:spacing w:beforeAutospacing="1" w:afterAutospacing="1"/>
    </w:pPr>
    <w:rPr>
      <w:rFonts w:ascii="Times New Roman" w:hAnsi="Times New Roman" w:cs="Times New Roman"/>
      <w:sz w:val="24"/>
      <w:szCs w:val="24"/>
    </w:rPr>
  </w:style>
  <w:style w:type="character" w:customStyle="1" w:styleId="scxw76650938">
    <w:name w:val="scxw76650938"/>
    <w:basedOn w:val="Standardskriftforavsnitt"/>
    <w:rsid w:val="006C2B30"/>
  </w:style>
  <w:style w:type="character" w:customStyle="1" w:styleId="spellingerror">
    <w:name w:val="spellingerror"/>
    <w:basedOn w:val="Standardskriftforavsnitt"/>
    <w:rsid w:val="006C2B30"/>
  </w:style>
  <w:style w:type="character" w:styleId="Ulstomtale">
    <w:name w:val="Unresolved Mention"/>
    <w:basedOn w:val="Standardskriftforavsnitt"/>
    <w:uiPriority w:val="99"/>
    <w:unhideWhenUsed/>
    <w:rsid w:val="00426C66"/>
    <w:rPr>
      <w:color w:val="605E5C"/>
      <w:shd w:val="clear" w:color="auto" w:fill="E1DFDD"/>
    </w:rPr>
  </w:style>
  <w:style w:type="character" w:styleId="Omtale">
    <w:name w:val="Mention"/>
    <w:basedOn w:val="Standardskriftforavsnitt"/>
    <w:uiPriority w:val="99"/>
    <w:unhideWhenUsed/>
    <w:rsid w:val="00426C66"/>
    <w:rPr>
      <w:color w:val="2B579A"/>
      <w:shd w:val="clear" w:color="auto" w:fill="E1DFDD"/>
    </w:rPr>
  </w:style>
  <w:style w:type="character" w:customStyle="1" w:styleId="highlight">
    <w:name w:val="highlight"/>
    <w:basedOn w:val="Standardskriftforavsnitt"/>
    <w:rsid w:val="00C246C5"/>
  </w:style>
  <w:style w:type="paragraph" w:customStyle="1" w:styleId="Ekspertutvalget-lenker">
    <w:name w:val="Ekspertutvalget - lenker"/>
    <w:basedOn w:val="NormalWeb"/>
    <w:link w:val="Ekspertutvalget-lenkerTegn"/>
    <w:qFormat/>
    <w:rsid w:val="7BA5314F"/>
    <w:rPr>
      <w:rFonts w:ascii="Arial" w:hAnsi="Arial"/>
      <w:i/>
      <w:iCs/>
      <w:color w:val="293550" w:themeColor="accent6" w:themeShade="80"/>
      <w:sz w:val="20"/>
      <w:szCs w:val="20"/>
    </w:rPr>
  </w:style>
  <w:style w:type="character" w:customStyle="1" w:styleId="Ekspertutvalget-lenkerTegn">
    <w:name w:val="Ekspertutvalget - lenker Tegn"/>
    <w:basedOn w:val="NormalWebTegn"/>
    <w:link w:val="Ekspertutvalget-lenker"/>
    <w:rsid w:val="001E759B"/>
    <w:rPr>
      <w:rFonts w:ascii="Arial" w:eastAsia="Times New Roman" w:hAnsi="Arial" w:cs="Times New Roman"/>
      <w:i/>
      <w:iCs/>
      <w:color w:val="293550" w:themeColor="accent6" w:themeShade="80"/>
      <w:sz w:val="20"/>
      <w:szCs w:val="20"/>
      <w:lang w:eastAsia="nb-NO"/>
    </w:rPr>
  </w:style>
  <w:style w:type="paragraph" w:customStyle="1" w:styleId="FHI-brdtekst1116">
    <w:name w:val="FHI-brødtekst 11/16"/>
    <w:basedOn w:val="Normal"/>
    <w:link w:val="FHI-brdtekst1116Tegn"/>
    <w:qFormat/>
    <w:rsid w:val="004667A0"/>
    <w:pPr>
      <w:spacing w:after="180" w:line="280" w:lineRule="exact"/>
      <w:jc w:val="both"/>
    </w:pPr>
    <w:rPr>
      <w:rFonts w:cs="Arial"/>
      <w:color w:val="000000"/>
      <w:sz w:val="20"/>
    </w:rPr>
  </w:style>
  <w:style w:type="character" w:customStyle="1" w:styleId="FHI-brdtekst1116Tegn">
    <w:name w:val="FHI-brødtekst 11/16 Tegn"/>
    <w:basedOn w:val="Standardskriftforavsnitt"/>
    <w:link w:val="FHI-brdtekst1116"/>
    <w:rsid w:val="004667A0"/>
    <w:rPr>
      <w:rFonts w:eastAsia="Times New Roman" w:cs="Arial"/>
      <w:color w:val="000000"/>
      <w:sz w:val="20"/>
      <w:lang w:eastAsia="nb-NO"/>
    </w:rPr>
  </w:style>
  <w:style w:type="paragraph" w:customStyle="1" w:styleId="0Ekspertutvalgetfotnotelenke">
    <w:name w:val="0.Ekspertutvalget fotnote lenke"/>
    <w:basedOn w:val="Fotnoterognoterundertabeller"/>
    <w:link w:val="0EkspertutvalgetfotnotelenkeTegn"/>
    <w:qFormat/>
    <w:rsid w:val="00CA52AC"/>
    <w:pPr>
      <w:spacing w:after="0"/>
    </w:pPr>
    <w:rPr>
      <w:iCs/>
    </w:rPr>
  </w:style>
  <w:style w:type="character" w:customStyle="1" w:styleId="0EkspertutvalgetfotnotelenkeTegn">
    <w:name w:val="0.Ekspertutvalget fotnote lenke Tegn"/>
    <w:basedOn w:val="FotnotetekstTegn"/>
    <w:link w:val="0Ekspertutvalgetfotnotelenke"/>
    <w:rsid w:val="00CC3897"/>
    <w:rPr>
      <w:rFonts w:ascii="Arial" w:eastAsiaTheme="minorEastAsia" w:hAnsi="Arial"/>
      <w:i/>
      <w:iCs/>
      <w:spacing w:val="4"/>
      <w:sz w:val="18"/>
      <w:szCs w:val="20"/>
      <w:lang w:eastAsia="nb-NO"/>
    </w:rPr>
  </w:style>
  <w:style w:type="character" w:customStyle="1" w:styleId="UnresolvedMention1">
    <w:name w:val="Unresolved Mention1"/>
    <w:basedOn w:val="Standardskriftforavsnitt"/>
    <w:uiPriority w:val="99"/>
    <w:unhideWhenUsed/>
    <w:rsid w:val="00BB5213"/>
    <w:rPr>
      <w:color w:val="605E5C"/>
      <w:shd w:val="clear" w:color="auto" w:fill="E1DFDD"/>
    </w:rPr>
  </w:style>
  <w:style w:type="character" w:customStyle="1" w:styleId="Mention1">
    <w:name w:val="Mention1"/>
    <w:basedOn w:val="Standardskriftforavsnitt"/>
    <w:uiPriority w:val="99"/>
    <w:unhideWhenUsed/>
    <w:rsid w:val="00BB5213"/>
    <w:rPr>
      <w:color w:val="2B579A"/>
      <w:shd w:val="clear" w:color="auto" w:fill="E1DFDD"/>
    </w:rPr>
  </w:style>
  <w:style w:type="paragraph" w:customStyle="1" w:styleId="tab">
    <w:name w:val="tab"/>
    <w:basedOn w:val="Normal"/>
    <w:uiPriority w:val="99"/>
    <w:semiHidden/>
    <w:rsid w:val="7BA5314F"/>
    <w:pPr>
      <w:spacing w:after="0"/>
    </w:pPr>
    <w:rPr>
      <w:rFonts w:ascii="Arial" w:hAnsi="Arial" w:cs="Times New Roman"/>
      <w:sz w:val="24"/>
      <w:szCs w:val="24"/>
    </w:rPr>
  </w:style>
  <w:style w:type="paragraph" w:customStyle="1" w:styleId="navds-body-long">
    <w:name w:val="navds-body-long"/>
    <w:basedOn w:val="Normal"/>
    <w:rsid w:val="007B76F6"/>
    <w:pPr>
      <w:spacing w:beforeAutospacing="1" w:after="100" w:afterAutospacing="1" w:line="240" w:lineRule="auto"/>
    </w:pPr>
    <w:rPr>
      <w:rFonts w:ascii="Times New Roman" w:hAnsi="Times New Roman" w:cs="Times New Roman"/>
      <w:sz w:val="24"/>
      <w:szCs w:val="24"/>
    </w:rPr>
  </w:style>
  <w:style w:type="paragraph" w:customStyle="1" w:styleId="paragraf">
    <w:name w:val="paragraf"/>
    <w:basedOn w:val="Normal"/>
    <w:rsid w:val="7BA5314F"/>
    <w:pPr>
      <w:spacing w:beforeAutospacing="1" w:afterAutospacing="1"/>
    </w:pPr>
    <w:rPr>
      <w:rFonts w:ascii="Times New Roman" w:hAnsi="Times New Roman" w:cs="Times New Roman"/>
      <w:sz w:val="24"/>
      <w:szCs w:val="24"/>
    </w:rPr>
  </w:style>
  <w:style w:type="character" w:customStyle="1" w:styleId="paragrafnr">
    <w:name w:val="paragrafnr"/>
    <w:basedOn w:val="Standardskriftforavsnitt"/>
    <w:rsid w:val="00921AA2"/>
  </w:style>
  <w:style w:type="paragraph" w:customStyle="1" w:styleId="stk2">
    <w:name w:val="stk2"/>
    <w:basedOn w:val="Normal"/>
    <w:rsid w:val="7BA5314F"/>
    <w:pPr>
      <w:spacing w:beforeAutospacing="1" w:afterAutospacing="1"/>
    </w:pPr>
    <w:rPr>
      <w:rFonts w:ascii="Times New Roman" w:hAnsi="Times New Roman" w:cs="Times New Roman"/>
      <w:sz w:val="24"/>
      <w:szCs w:val="24"/>
    </w:rPr>
  </w:style>
  <w:style w:type="character" w:customStyle="1" w:styleId="stknr">
    <w:name w:val="stknr"/>
    <w:basedOn w:val="Standardskriftforavsnitt"/>
    <w:rsid w:val="00921AA2"/>
  </w:style>
  <w:style w:type="character" w:customStyle="1" w:styleId="highlighted-154657142">
    <w:name w:val="highlighted-154657142"/>
    <w:basedOn w:val="Standardskriftforavsnitt"/>
    <w:rsid w:val="00597EEE"/>
  </w:style>
  <w:style w:type="paragraph" w:customStyle="1" w:styleId="0HPAFotnoter">
    <w:name w:val="0.HPA Fotnoter"/>
    <w:basedOn w:val="Fotnotetekst"/>
    <w:link w:val="0HPAFotnoterTegn"/>
    <w:qFormat/>
    <w:rsid w:val="009A4449"/>
    <w:rPr>
      <w:rFonts w:ascii="Calibri" w:hAnsi="Calibri" w:cs="Calibri"/>
      <w:i/>
      <w:noProof/>
      <w:color w:val="2A3652" w:themeColor="text2"/>
      <w:sz w:val="18"/>
    </w:rPr>
  </w:style>
  <w:style w:type="character" w:customStyle="1" w:styleId="0HPAFotnoterTegn">
    <w:name w:val="0.HPA Fotnoter Tegn"/>
    <w:basedOn w:val="Standardskriftforavsnitt"/>
    <w:link w:val="0HPAFotnoter"/>
    <w:rsid w:val="009A4449"/>
    <w:rPr>
      <w:rFonts w:ascii="Calibri" w:hAnsi="Calibri" w:cs="Calibri"/>
      <w:i/>
      <w:noProof/>
      <w:color w:val="2A3652" w:themeColor="text2"/>
      <w:sz w:val="18"/>
      <w:szCs w:val="20"/>
    </w:rPr>
  </w:style>
  <w:style w:type="table" w:customStyle="1" w:styleId="0Ekspertutvalgettabellstil">
    <w:name w:val="0.Ekspertutvalget tabellstil"/>
    <w:basedOn w:val="Tabellrutenett3"/>
    <w:uiPriority w:val="99"/>
    <w:rsid w:val="00A40346"/>
    <w:pPr>
      <w:spacing w:after="0" w:line="240" w:lineRule="auto"/>
      <w:jc w:val="center"/>
    </w:pPr>
    <w:rPr>
      <w:color w:val="293550" w:themeColor="accent6" w:themeShade="80"/>
      <w:sz w:val="18"/>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Theme="minorHAnsi" w:hAnsiTheme="minorHAnsi"/>
        <w:b/>
        <w:bCs w:val="0"/>
        <w:color w:val="2A3652"/>
        <w:sz w:val="22"/>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character" w:customStyle="1" w:styleId="superscript">
    <w:name w:val="superscript"/>
    <w:basedOn w:val="Standardskriftforavsnitt"/>
    <w:rsid w:val="009A4449"/>
  </w:style>
  <w:style w:type="character" w:customStyle="1" w:styleId="contextualspellingandgrammarerror">
    <w:name w:val="contextualspellingandgrammarerror"/>
    <w:basedOn w:val="Standardskriftforavsnitt"/>
    <w:rsid w:val="009A4449"/>
  </w:style>
  <w:style w:type="table" w:customStyle="1" w:styleId="HPArsrapporttabellstil">
    <w:name w:val="HPA Årsrapport tabellstil"/>
    <w:basedOn w:val="Tabellrutenett3"/>
    <w:uiPriority w:val="99"/>
    <w:rsid w:val="00302052"/>
    <w:pPr>
      <w:spacing w:after="0" w:line="240" w:lineRule="auto"/>
    </w:pPr>
    <w:rPr>
      <w:sz w:val="20"/>
      <w:szCs w:val="20"/>
      <w:lang w:val="en-US"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clear" w:color="auto" w:fill="FFF8E2" w:themeFill="accent1" w:themeFillTint="33"/>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table" w:customStyle="1" w:styleId="HPArsrapporttabellstil1">
    <w:name w:val="HPA Årsrapport tabellstil1"/>
    <w:basedOn w:val="Tabellrutenett3"/>
    <w:uiPriority w:val="99"/>
    <w:rsid w:val="00302052"/>
    <w:pPr>
      <w:spacing w:after="0" w:line="240" w:lineRule="auto"/>
    </w:pPr>
    <w:rPr>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clear" w:color="auto" w:fill="FFF8E2" w:themeFill="accent1" w:themeFillTint="33"/>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table" w:customStyle="1" w:styleId="Figurramme">
    <w:name w:val="Figurramme"/>
    <w:basedOn w:val="Vanligtabell"/>
    <w:uiPriority w:val="99"/>
    <w:rsid w:val="009E598D"/>
    <w:pPr>
      <w:keepNext/>
      <w:spacing w:after="0" w:line="240" w:lineRule="auto"/>
      <w:contextualSpacing/>
      <w:jc w:val="right"/>
    </w:pPr>
    <w:rPr>
      <w:rFonts w:ascii="Tw Cen MT" w:hAnsi="Tw Cen MT"/>
      <w:sz w:val="19"/>
    </w:rPr>
    <w:tblPr>
      <w:tblBorders>
        <w:top w:val="single" w:sz="12" w:space="0" w:color="2A3652" w:themeColor="text2"/>
        <w:left w:val="single" w:sz="12" w:space="0" w:color="2A3652" w:themeColor="text2"/>
        <w:bottom w:val="single" w:sz="12" w:space="0" w:color="2A3652" w:themeColor="text2"/>
        <w:right w:val="single" w:sz="12" w:space="0" w:color="2A3652" w:themeColor="text2"/>
        <w:insideH w:val="single" w:sz="12" w:space="0" w:color="2A3652" w:themeColor="text2"/>
        <w:insideV w:val="single" w:sz="12" w:space="0" w:color="2A3652" w:themeColor="text2"/>
      </w:tblBorders>
      <w:tblCellMar>
        <w:left w:w="0" w:type="dxa"/>
        <w:right w:w="0" w:type="dxa"/>
      </w:tblCellMar>
    </w:tblPr>
    <w:tcPr>
      <w:vAlign w:val="center"/>
    </w:tcPr>
    <w:tblStylePr w:type="firstRow">
      <w:pPr>
        <w:wordWrap/>
        <w:spacing w:line="240" w:lineRule="auto"/>
        <w:contextualSpacing/>
        <w:jc w:val="center"/>
      </w:pPr>
      <w:rPr>
        <w:b/>
      </w:rPr>
      <w:tblPr/>
      <w:tcPr>
        <w:tcBorders>
          <w:top w:val="single" w:sz="12" w:space="0" w:color="auto"/>
          <w:left w:val="nil"/>
          <w:bottom w:val="single" w:sz="12" w:space="0" w:color="auto"/>
          <w:right w:val="nil"/>
          <w:insideH w:val="nil"/>
          <w:insideV w:val="nil"/>
        </w:tcBorders>
        <w:shd w:val="clear" w:color="auto" w:fill="A9D6B9" w:themeFill="accent2"/>
      </w:tcPr>
    </w:tblStylePr>
    <w:tblStylePr w:type="lastRow">
      <w:pPr>
        <w:jc w:val="right"/>
      </w:pPr>
      <w:rPr>
        <w:rFonts w:asciiTheme="minorHAnsi" w:hAnsiTheme="minorHAnsi"/>
        <w:i/>
        <w:sz w:val="16"/>
      </w:rPr>
      <w:tblPr/>
      <w:tcPr>
        <w:tcBorders>
          <w:top w:val="single" w:sz="4" w:space="0" w:color="626262"/>
          <w:left w:val="nil"/>
          <w:bottom w:val="single" w:sz="12" w:space="0" w:color="2A3652" w:themeColor="text2"/>
          <w:right w:val="nil"/>
          <w:insideH w:val="nil"/>
          <w:insideV w:val="nil"/>
          <w:tl2br w:val="nil"/>
          <w:tr2bl w:val="nil"/>
        </w:tcBorders>
      </w:tcPr>
    </w:tblStylePr>
    <w:tblStylePr w:type="firstCol">
      <w:pPr>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table" w:customStyle="1" w:styleId="OsloEconomics">
    <w:name w:val="Oslo Economics"/>
    <w:basedOn w:val="Vanligtabell"/>
    <w:uiPriority w:val="99"/>
    <w:rsid w:val="009A4449"/>
    <w:pPr>
      <w:spacing w:after="0" w:line="240" w:lineRule="auto"/>
      <w:jc w:val="right"/>
    </w:pPr>
    <w:rPr>
      <w:rFonts w:ascii="Tw Cen MT" w:hAnsi="Tw Cen MT"/>
      <w:sz w:val="19"/>
    </w:rPr>
    <w:tblPr>
      <w:tblBorders>
        <w:top w:val="single" w:sz="12" w:space="0" w:color="2A3652" w:themeColor="text2"/>
        <w:bottom w:val="single" w:sz="12" w:space="0" w:color="2A3652" w:themeColor="text2"/>
      </w:tblBorders>
      <w:tblCellMar>
        <w:top w:w="57" w:type="dxa"/>
        <w:bottom w:w="57" w:type="dxa"/>
      </w:tblCellMar>
    </w:tblPr>
    <w:tcPr>
      <w:vAlign w:val="center"/>
    </w:tcPr>
    <w:tblStylePr w:type="firstRow">
      <w:pPr>
        <w:jc w:val="center"/>
      </w:pPr>
      <w:rPr>
        <w:b/>
      </w:rPr>
      <w:tblPr/>
      <w:tcPr>
        <w:tcBorders>
          <w:top w:val="single" w:sz="12" w:space="0" w:color="2A3652" w:themeColor="text2"/>
          <w:left w:val="nil"/>
          <w:bottom w:val="single" w:sz="4" w:space="0" w:color="626262"/>
          <w:right w:val="nil"/>
          <w:insideH w:val="nil"/>
          <w:insideV w:val="nil"/>
        </w:tcBorders>
      </w:tcPr>
    </w:tblStylePr>
    <w:tblStylePr w:type="lastRow">
      <w:pPr>
        <w:jc w:val="right"/>
      </w:pPr>
      <w:rPr>
        <w:rFonts w:asciiTheme="minorHAnsi" w:hAnsiTheme="minorHAnsi"/>
        <w:i/>
        <w:sz w:val="16"/>
      </w:rPr>
      <w:tblPr/>
      <w:tcPr>
        <w:tcBorders>
          <w:top w:val="single" w:sz="4" w:space="0" w:color="626262"/>
          <w:left w:val="nil"/>
          <w:bottom w:val="single" w:sz="12" w:space="0" w:color="2A3652" w:themeColor="text2"/>
          <w:right w:val="nil"/>
          <w:insideH w:val="nil"/>
          <w:insideV w:val="nil"/>
          <w:tl2br w:val="nil"/>
          <w:tr2bl w:val="nil"/>
        </w:tcBorders>
      </w:tcPr>
    </w:tblStylePr>
    <w:tblStylePr w:type="firstCol">
      <w:pPr>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paragraph" w:customStyle="1" w:styleId="Tabelloverskrift">
    <w:name w:val="Tabelloverskrift"/>
    <w:basedOn w:val="Bildetekst"/>
    <w:link w:val="TabelloverskriftTegn"/>
    <w:qFormat/>
    <w:rsid w:val="7BA5314F"/>
    <w:pPr>
      <w:spacing w:before="240" w:after="240"/>
    </w:pPr>
    <w:rPr>
      <w:sz w:val="22"/>
      <w:szCs w:val="22"/>
    </w:rPr>
  </w:style>
  <w:style w:type="character" w:customStyle="1" w:styleId="TabelloverskriftTegn">
    <w:name w:val="Tabelloverskrift Tegn"/>
    <w:basedOn w:val="Standardskriftforavsnitt"/>
    <w:link w:val="Tabelloverskrift"/>
    <w:rsid w:val="009A4449"/>
    <w:rPr>
      <w:b/>
      <w:bCs/>
      <w:i/>
      <w:iCs/>
      <w:color w:val="2A3652" w:themeColor="text2"/>
    </w:rPr>
  </w:style>
  <w:style w:type="table" w:customStyle="1" w:styleId="Tabellrutenett1">
    <w:name w:val="Tabellrutenett1"/>
    <w:basedOn w:val="Vanligtabell"/>
    <w:next w:val="Tabellrutenett"/>
    <w:uiPriority w:val="39"/>
    <w:rsid w:val="009A4449"/>
    <w:pPr>
      <w:spacing w:after="0" w:line="240" w:lineRule="auto"/>
    </w:pPr>
    <w:rPr>
      <w:color w:val="293550" w:themeColor="accent6" w:themeShade="8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4uthevingsfarge11">
    <w:name w:val="Rutenettabell 4 – uthevingsfarge 11"/>
    <w:basedOn w:val="Vanligtabell"/>
    <w:next w:val="Rutenettabell4uthevingsfarge1"/>
    <w:uiPriority w:val="49"/>
    <w:rsid w:val="009A4449"/>
    <w:pPr>
      <w:spacing w:after="0" w:line="240" w:lineRule="auto"/>
    </w:pPr>
    <w:tblPr>
      <w:tblStyleRowBandSize w:val="1"/>
      <w:tblStyleColBandSize w:val="1"/>
      <w:tblBorders>
        <w:top w:val="single" w:sz="4" w:space="0" w:color="FFEAA9" w:themeColor="accent1" w:themeTint="99"/>
        <w:left w:val="single" w:sz="4" w:space="0" w:color="FFEAA9" w:themeColor="accent1" w:themeTint="99"/>
        <w:bottom w:val="single" w:sz="4" w:space="0" w:color="FFEAA9" w:themeColor="accent1" w:themeTint="99"/>
        <w:right w:val="single" w:sz="4" w:space="0" w:color="FFEAA9" w:themeColor="accent1" w:themeTint="99"/>
        <w:insideH w:val="single" w:sz="4" w:space="0" w:color="FFEAA9" w:themeColor="accent1" w:themeTint="99"/>
        <w:insideV w:val="single" w:sz="4" w:space="0" w:color="FFEAA9" w:themeColor="accent1" w:themeTint="99"/>
      </w:tblBorders>
    </w:tblPr>
    <w:tblStylePr w:type="firstRow">
      <w:rPr>
        <w:b/>
        <w:bCs/>
        <w:color w:val="FFFFFF" w:themeColor="background1"/>
      </w:rPr>
      <w:tblPr/>
      <w:tcPr>
        <w:tcBorders>
          <w:top w:val="single" w:sz="4" w:space="0" w:color="FFDD71" w:themeColor="accent1"/>
          <w:left w:val="single" w:sz="4" w:space="0" w:color="FFDD71" w:themeColor="accent1"/>
          <w:bottom w:val="single" w:sz="4" w:space="0" w:color="FFDD71" w:themeColor="accent1"/>
          <w:right w:val="single" w:sz="4" w:space="0" w:color="FFDD71" w:themeColor="accent1"/>
          <w:insideH w:val="nil"/>
          <w:insideV w:val="nil"/>
        </w:tcBorders>
        <w:shd w:val="clear" w:color="auto" w:fill="FFDD71" w:themeFill="accent1"/>
      </w:tcPr>
    </w:tblStylePr>
    <w:tblStylePr w:type="lastRow">
      <w:rPr>
        <w:b/>
        <w:bCs/>
      </w:rPr>
      <w:tblPr/>
      <w:tcPr>
        <w:tcBorders>
          <w:top w:val="double" w:sz="4" w:space="0" w:color="FFDD71" w:themeColor="accent1"/>
        </w:tcBorders>
      </w:tcPr>
    </w:tblStylePr>
    <w:tblStylePr w:type="firstCol">
      <w:rPr>
        <w:b/>
        <w:bCs/>
      </w:rPr>
    </w:tblStylePr>
    <w:tblStylePr w:type="lastCol">
      <w:rPr>
        <w:b/>
        <w:bCs/>
      </w:rPr>
    </w:tblStylePr>
    <w:tblStylePr w:type="band1Vert">
      <w:tblPr/>
      <w:tcPr>
        <w:shd w:val="clear" w:color="auto" w:fill="FFF8E2" w:themeFill="accent1" w:themeFillTint="33"/>
      </w:tcPr>
    </w:tblStylePr>
    <w:tblStylePr w:type="band1Horz">
      <w:tblPr/>
      <w:tcPr>
        <w:shd w:val="clear" w:color="auto" w:fill="FFF8E2" w:themeFill="accent1" w:themeFillTint="33"/>
      </w:tcPr>
    </w:tblStylePr>
  </w:style>
  <w:style w:type="table" w:customStyle="1" w:styleId="Rutenettabell4uthevingsfarge31">
    <w:name w:val="Rutenettabell 4 – uthevingsfarge 31"/>
    <w:basedOn w:val="Vanligtabell"/>
    <w:next w:val="Rutenettabell4uthevingsfarge3"/>
    <w:uiPriority w:val="49"/>
    <w:rsid w:val="009A4449"/>
    <w:pPr>
      <w:spacing w:after="0" w:line="240" w:lineRule="auto"/>
    </w:pPr>
    <w:tblPr>
      <w:tblStyleRowBandSize w:val="1"/>
      <w:tblStyleColBandSize w:val="1"/>
      <w:tblBorders>
        <w:top w:val="single" w:sz="4" w:space="0" w:color="C490AA" w:themeColor="accent3" w:themeTint="99"/>
        <w:left w:val="single" w:sz="4" w:space="0" w:color="C490AA" w:themeColor="accent3" w:themeTint="99"/>
        <w:bottom w:val="single" w:sz="4" w:space="0" w:color="C490AA" w:themeColor="accent3" w:themeTint="99"/>
        <w:right w:val="single" w:sz="4" w:space="0" w:color="C490AA" w:themeColor="accent3" w:themeTint="99"/>
        <w:insideH w:val="single" w:sz="4" w:space="0" w:color="C490AA" w:themeColor="accent3" w:themeTint="99"/>
        <w:insideV w:val="single" w:sz="4" w:space="0" w:color="C490AA" w:themeColor="accent3" w:themeTint="99"/>
      </w:tblBorders>
    </w:tblPr>
    <w:tblStylePr w:type="firstRow">
      <w:rPr>
        <w:b/>
        <w:bCs/>
        <w:color w:val="FFFFFF" w:themeColor="background1"/>
      </w:rPr>
      <w:tblPr/>
      <w:tcPr>
        <w:tcBorders>
          <w:top w:val="single" w:sz="4" w:space="0" w:color="954F72" w:themeColor="accent3"/>
          <w:left w:val="single" w:sz="4" w:space="0" w:color="954F72" w:themeColor="accent3"/>
          <w:bottom w:val="single" w:sz="4" w:space="0" w:color="954F72" w:themeColor="accent3"/>
          <w:right w:val="single" w:sz="4" w:space="0" w:color="954F72" w:themeColor="accent3"/>
          <w:insideH w:val="nil"/>
          <w:insideV w:val="nil"/>
        </w:tcBorders>
        <w:shd w:val="clear" w:color="auto" w:fill="954F72" w:themeFill="accent3"/>
      </w:tcPr>
    </w:tblStylePr>
    <w:tblStylePr w:type="lastRow">
      <w:rPr>
        <w:b/>
        <w:bCs/>
      </w:rPr>
      <w:tblPr/>
      <w:tcPr>
        <w:tcBorders>
          <w:top w:val="double" w:sz="4" w:space="0" w:color="954F72" w:themeColor="accent3"/>
        </w:tcBorders>
      </w:tcPr>
    </w:tblStylePr>
    <w:tblStylePr w:type="firstCol">
      <w:rPr>
        <w:b/>
        <w:bCs/>
      </w:rPr>
    </w:tblStylePr>
    <w:tblStylePr w:type="lastCol">
      <w:rPr>
        <w:b/>
        <w:bCs/>
      </w:rPr>
    </w:tblStylePr>
    <w:tblStylePr w:type="band1Vert">
      <w:tblPr/>
      <w:tcPr>
        <w:shd w:val="clear" w:color="auto" w:fill="EBD9E2" w:themeFill="accent3" w:themeFillTint="33"/>
      </w:tcPr>
    </w:tblStylePr>
    <w:tblStylePr w:type="band1Horz">
      <w:tblPr/>
      <w:tcPr>
        <w:shd w:val="clear" w:color="auto" w:fill="EBD9E2" w:themeFill="accent3" w:themeFillTint="33"/>
      </w:tcPr>
    </w:tblStylePr>
  </w:style>
  <w:style w:type="table" w:customStyle="1" w:styleId="Rutenettabell1lysuthevingsfarge31">
    <w:name w:val="Rutenettabell 1 lys – uthevingsfarge 31"/>
    <w:basedOn w:val="Vanligtabell"/>
    <w:next w:val="Rutenettabell1lysuthevingsfarge3"/>
    <w:uiPriority w:val="46"/>
    <w:rsid w:val="009A4449"/>
    <w:pPr>
      <w:spacing w:after="0" w:line="240" w:lineRule="auto"/>
    </w:pPr>
    <w:tblPr>
      <w:tblStyleRowBandSize w:val="1"/>
      <w:tblStyleColBandSize w:val="1"/>
      <w:tblBorders>
        <w:top w:val="single" w:sz="4" w:space="0" w:color="D7B5C6" w:themeColor="accent3" w:themeTint="66"/>
        <w:left w:val="single" w:sz="4" w:space="0" w:color="D7B5C6" w:themeColor="accent3" w:themeTint="66"/>
        <w:bottom w:val="single" w:sz="4" w:space="0" w:color="D7B5C6" w:themeColor="accent3" w:themeTint="66"/>
        <w:right w:val="single" w:sz="4" w:space="0" w:color="D7B5C6" w:themeColor="accent3" w:themeTint="66"/>
        <w:insideH w:val="single" w:sz="4" w:space="0" w:color="D7B5C6" w:themeColor="accent3" w:themeTint="66"/>
        <w:insideV w:val="single" w:sz="4" w:space="0" w:color="D7B5C6" w:themeColor="accent3" w:themeTint="66"/>
      </w:tblBorders>
    </w:tblPr>
    <w:tblStylePr w:type="firstRow">
      <w:rPr>
        <w:b/>
        <w:bCs/>
      </w:rPr>
      <w:tblPr/>
      <w:tcPr>
        <w:tcBorders>
          <w:bottom w:val="single" w:sz="12" w:space="0" w:color="C490AA" w:themeColor="accent3" w:themeTint="99"/>
        </w:tcBorders>
      </w:tcPr>
    </w:tblStylePr>
    <w:tblStylePr w:type="lastRow">
      <w:rPr>
        <w:b/>
        <w:bCs/>
      </w:rPr>
      <w:tblPr/>
      <w:tcPr>
        <w:tcBorders>
          <w:top w:val="double" w:sz="2" w:space="0" w:color="C490AA" w:themeColor="accent3" w:themeTint="99"/>
        </w:tcBorders>
      </w:tcPr>
    </w:tblStylePr>
    <w:tblStylePr w:type="firstCol">
      <w:rPr>
        <w:b/>
        <w:bCs/>
      </w:rPr>
    </w:tblStylePr>
    <w:tblStylePr w:type="lastCol">
      <w:rPr>
        <w:b/>
        <w:bCs/>
      </w:rPr>
    </w:tblStylePr>
  </w:style>
  <w:style w:type="table" w:customStyle="1" w:styleId="Tabellrutenett31">
    <w:name w:val="Tabellrutenett 31"/>
    <w:basedOn w:val="Vanligtabell"/>
    <w:next w:val="Tabellrutenett3"/>
    <w:uiPriority w:val="99"/>
    <w:semiHidden/>
    <w:unhideWhenUsed/>
    <w:rsid w:val="009A444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utenettabell1lys1">
    <w:name w:val="Rutenettabell 1 lys1"/>
    <w:basedOn w:val="Vanligtabell"/>
    <w:next w:val="Rutenettabell1lys"/>
    <w:uiPriority w:val="46"/>
    <w:rsid w:val="009A44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next w:val="Rutenettabell1lysuthevingsfarge1"/>
    <w:uiPriority w:val="46"/>
    <w:rsid w:val="009A4449"/>
    <w:pPr>
      <w:spacing w:after="0" w:line="240" w:lineRule="auto"/>
    </w:pPr>
    <w:tblPr>
      <w:tblStyleRowBandSize w:val="1"/>
      <w:tblStyleColBandSize w:val="1"/>
      <w:tblBorders>
        <w:top w:val="single" w:sz="4" w:space="0" w:color="FFF1C6" w:themeColor="accent1" w:themeTint="66"/>
        <w:left w:val="single" w:sz="4" w:space="0" w:color="FFF1C6" w:themeColor="accent1" w:themeTint="66"/>
        <w:bottom w:val="single" w:sz="4" w:space="0" w:color="FFF1C6" w:themeColor="accent1" w:themeTint="66"/>
        <w:right w:val="single" w:sz="4" w:space="0" w:color="FFF1C6" w:themeColor="accent1" w:themeTint="66"/>
        <w:insideH w:val="single" w:sz="4" w:space="0" w:color="FFF1C6" w:themeColor="accent1" w:themeTint="66"/>
        <w:insideV w:val="single" w:sz="4" w:space="0" w:color="FFF1C6" w:themeColor="accent1" w:themeTint="66"/>
      </w:tblBorders>
    </w:tblPr>
    <w:tblStylePr w:type="firstRow">
      <w:rPr>
        <w:b/>
        <w:bCs/>
      </w:rPr>
      <w:tblPr/>
      <w:tcPr>
        <w:tcBorders>
          <w:bottom w:val="single" w:sz="12" w:space="0" w:color="FFEAA9" w:themeColor="accent1" w:themeTint="99"/>
        </w:tcBorders>
      </w:tcPr>
    </w:tblStylePr>
    <w:tblStylePr w:type="lastRow">
      <w:rPr>
        <w:b/>
        <w:bCs/>
      </w:rPr>
      <w:tblPr/>
      <w:tcPr>
        <w:tcBorders>
          <w:top w:val="double" w:sz="2" w:space="0" w:color="FFEAA9" w:themeColor="accent1" w:themeTint="99"/>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next w:val="Rutenettabell1lysuthevingsfarge5"/>
    <w:uiPriority w:val="46"/>
    <w:rsid w:val="009A4449"/>
    <w:pPr>
      <w:spacing w:after="0" w:line="240" w:lineRule="auto"/>
    </w:pPr>
    <w:tblPr>
      <w:tblStyleRowBandSize w:val="1"/>
      <w:tblStyleColBandSize w:val="1"/>
      <w:tblBorders>
        <w:top w:val="single" w:sz="4" w:space="0" w:color="DCE4EC" w:themeColor="accent5" w:themeTint="66"/>
        <w:left w:val="single" w:sz="4" w:space="0" w:color="DCE4EC" w:themeColor="accent5" w:themeTint="66"/>
        <w:bottom w:val="single" w:sz="4" w:space="0" w:color="DCE4EC" w:themeColor="accent5" w:themeTint="66"/>
        <w:right w:val="single" w:sz="4" w:space="0" w:color="DCE4EC" w:themeColor="accent5" w:themeTint="66"/>
        <w:insideH w:val="single" w:sz="4" w:space="0" w:color="DCE4EC" w:themeColor="accent5" w:themeTint="66"/>
        <w:insideV w:val="single" w:sz="4" w:space="0" w:color="DCE4EC" w:themeColor="accent5" w:themeTint="66"/>
      </w:tblBorders>
    </w:tblPr>
    <w:tblStylePr w:type="firstRow">
      <w:rPr>
        <w:b/>
        <w:bCs/>
      </w:rPr>
      <w:tblPr/>
      <w:tcPr>
        <w:tcBorders>
          <w:bottom w:val="single" w:sz="12" w:space="0" w:color="CBD7E2" w:themeColor="accent5" w:themeTint="99"/>
        </w:tcBorders>
      </w:tcPr>
    </w:tblStylePr>
    <w:tblStylePr w:type="lastRow">
      <w:rPr>
        <w:b/>
        <w:bCs/>
      </w:rPr>
      <w:tblPr/>
      <w:tcPr>
        <w:tcBorders>
          <w:top w:val="double" w:sz="2" w:space="0" w:color="CBD7E2" w:themeColor="accent5" w:themeTint="99"/>
        </w:tcBorders>
      </w:tcPr>
    </w:tblStylePr>
    <w:tblStylePr w:type="firstCol">
      <w:rPr>
        <w:b/>
        <w:bCs/>
      </w:rPr>
    </w:tblStylePr>
    <w:tblStylePr w:type="lastCol">
      <w:rPr>
        <w:b/>
        <w:bCs/>
      </w:rPr>
    </w:tblStylePr>
  </w:style>
  <w:style w:type="table" w:customStyle="1" w:styleId="Vanligtabell11">
    <w:name w:val="Vanlig tabell 11"/>
    <w:basedOn w:val="Vanligtabell"/>
    <w:next w:val="Vanligtabell1"/>
    <w:uiPriority w:val="41"/>
    <w:rsid w:val="009A44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4uthevingsfarge51">
    <w:name w:val="Rutenettabell 4 – uthevingsfarge 51"/>
    <w:basedOn w:val="Vanligtabell"/>
    <w:next w:val="Rutenettabell4uthevingsfarge5"/>
    <w:uiPriority w:val="49"/>
    <w:rsid w:val="009A4449"/>
    <w:pPr>
      <w:spacing w:after="0" w:line="240" w:lineRule="auto"/>
    </w:pPr>
    <w:tblPr>
      <w:tblStyleRowBandSize w:val="1"/>
      <w:tblStyleColBandSize w:val="1"/>
      <w:tblBorders>
        <w:top w:val="single" w:sz="4" w:space="0" w:color="CBD7E2" w:themeColor="accent5" w:themeTint="99"/>
        <w:left w:val="single" w:sz="4" w:space="0" w:color="CBD7E2" w:themeColor="accent5" w:themeTint="99"/>
        <w:bottom w:val="single" w:sz="4" w:space="0" w:color="CBD7E2" w:themeColor="accent5" w:themeTint="99"/>
        <w:right w:val="single" w:sz="4" w:space="0" w:color="CBD7E2" w:themeColor="accent5" w:themeTint="99"/>
        <w:insideH w:val="single" w:sz="4" w:space="0" w:color="CBD7E2" w:themeColor="accent5" w:themeTint="99"/>
        <w:insideV w:val="single" w:sz="4" w:space="0" w:color="CBD7E2" w:themeColor="accent5" w:themeTint="99"/>
      </w:tblBorders>
    </w:tblPr>
    <w:tblStylePr w:type="firstRow">
      <w:rPr>
        <w:b/>
        <w:bCs/>
        <w:color w:val="FFFFFF" w:themeColor="background1"/>
      </w:rPr>
      <w:tblPr/>
      <w:tcPr>
        <w:tcBorders>
          <w:top w:val="single" w:sz="4" w:space="0" w:color="A9BED0" w:themeColor="accent5"/>
          <w:left w:val="single" w:sz="4" w:space="0" w:color="A9BED0" w:themeColor="accent5"/>
          <w:bottom w:val="single" w:sz="4" w:space="0" w:color="A9BED0" w:themeColor="accent5"/>
          <w:right w:val="single" w:sz="4" w:space="0" w:color="A9BED0" w:themeColor="accent5"/>
          <w:insideH w:val="nil"/>
          <w:insideV w:val="nil"/>
        </w:tcBorders>
        <w:shd w:val="clear" w:color="auto" w:fill="A9BED0" w:themeFill="accent5"/>
      </w:tcPr>
    </w:tblStylePr>
    <w:tblStylePr w:type="lastRow">
      <w:rPr>
        <w:b/>
        <w:bCs/>
      </w:rPr>
      <w:tblPr/>
      <w:tcPr>
        <w:tcBorders>
          <w:top w:val="double" w:sz="4" w:space="0" w:color="A9BED0" w:themeColor="accent5"/>
        </w:tcBorders>
      </w:tcPr>
    </w:tblStylePr>
    <w:tblStylePr w:type="firstCol">
      <w:rPr>
        <w:b/>
        <w:bCs/>
      </w:rPr>
    </w:tblStylePr>
    <w:tblStylePr w:type="lastCol">
      <w:rPr>
        <w:b/>
        <w:bCs/>
      </w:rPr>
    </w:tblStylePr>
    <w:tblStylePr w:type="band1Vert">
      <w:tblPr/>
      <w:tcPr>
        <w:shd w:val="clear" w:color="auto" w:fill="EDF1F5" w:themeFill="accent5" w:themeFillTint="33"/>
      </w:tcPr>
    </w:tblStylePr>
    <w:tblStylePr w:type="band1Horz">
      <w:tblPr/>
      <w:tcPr>
        <w:shd w:val="clear" w:color="auto" w:fill="EDF1F5" w:themeFill="accent5" w:themeFillTint="33"/>
      </w:tcPr>
    </w:tblStylePr>
  </w:style>
  <w:style w:type="table" w:customStyle="1" w:styleId="Listetabell3uthevingsfarge11">
    <w:name w:val="Listetabell 3 – uthevingsfarge 11"/>
    <w:basedOn w:val="Vanligtabell"/>
    <w:next w:val="Listetabell3uthevingsfarge1"/>
    <w:uiPriority w:val="48"/>
    <w:rsid w:val="009A4449"/>
    <w:pPr>
      <w:spacing w:after="0" w:line="240" w:lineRule="auto"/>
    </w:pPr>
    <w:tblPr>
      <w:tblStyleRowBandSize w:val="1"/>
      <w:tblStyleColBandSize w:val="1"/>
      <w:tblBorders>
        <w:top w:val="single" w:sz="4" w:space="0" w:color="FFDD71" w:themeColor="accent1"/>
        <w:left w:val="single" w:sz="4" w:space="0" w:color="FFDD71" w:themeColor="accent1"/>
        <w:bottom w:val="single" w:sz="4" w:space="0" w:color="FFDD71" w:themeColor="accent1"/>
        <w:right w:val="single" w:sz="4" w:space="0" w:color="FFDD71" w:themeColor="accent1"/>
      </w:tblBorders>
    </w:tblPr>
    <w:tblStylePr w:type="firstRow">
      <w:rPr>
        <w:b/>
        <w:bCs/>
        <w:color w:val="FFFFFF" w:themeColor="background1"/>
      </w:rPr>
      <w:tblPr/>
      <w:tcPr>
        <w:shd w:val="clear" w:color="auto" w:fill="FFDD71" w:themeFill="accent1"/>
      </w:tcPr>
    </w:tblStylePr>
    <w:tblStylePr w:type="lastRow">
      <w:rPr>
        <w:b/>
        <w:bCs/>
      </w:rPr>
      <w:tblPr/>
      <w:tcPr>
        <w:tcBorders>
          <w:top w:val="double" w:sz="4" w:space="0" w:color="FFDD7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D71" w:themeColor="accent1"/>
          <w:right w:val="single" w:sz="4" w:space="0" w:color="FFDD71" w:themeColor="accent1"/>
        </w:tcBorders>
      </w:tcPr>
    </w:tblStylePr>
    <w:tblStylePr w:type="band1Horz">
      <w:tblPr/>
      <w:tcPr>
        <w:tcBorders>
          <w:top w:val="single" w:sz="4" w:space="0" w:color="FFDD71" w:themeColor="accent1"/>
          <w:bottom w:val="single" w:sz="4" w:space="0" w:color="FFDD7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D71" w:themeColor="accent1"/>
          <w:left w:val="nil"/>
        </w:tcBorders>
      </w:tcPr>
    </w:tblStylePr>
    <w:tblStylePr w:type="swCell">
      <w:tblPr/>
      <w:tcPr>
        <w:tcBorders>
          <w:top w:val="double" w:sz="4" w:space="0" w:color="FFDD71" w:themeColor="accent1"/>
          <w:right w:val="nil"/>
        </w:tcBorders>
      </w:tcPr>
    </w:tblStylePr>
  </w:style>
  <w:style w:type="table" w:customStyle="1" w:styleId="Listetabell3uthevingsfarge51">
    <w:name w:val="Listetabell 3 – uthevingsfarge 51"/>
    <w:basedOn w:val="Vanligtabell"/>
    <w:next w:val="Listetabell3uthevingsfarge5"/>
    <w:uiPriority w:val="48"/>
    <w:rsid w:val="009A4449"/>
    <w:pPr>
      <w:spacing w:after="0" w:line="240" w:lineRule="auto"/>
    </w:pPr>
    <w:tblPr>
      <w:tblStyleRowBandSize w:val="1"/>
      <w:tblStyleColBandSize w:val="1"/>
      <w:tblBorders>
        <w:top w:val="single" w:sz="4" w:space="0" w:color="A9BED0" w:themeColor="accent5"/>
        <w:left w:val="single" w:sz="4" w:space="0" w:color="A9BED0" w:themeColor="accent5"/>
        <w:bottom w:val="single" w:sz="4" w:space="0" w:color="A9BED0" w:themeColor="accent5"/>
        <w:right w:val="single" w:sz="4" w:space="0" w:color="A9BED0" w:themeColor="accent5"/>
      </w:tblBorders>
    </w:tblPr>
    <w:tblStylePr w:type="firstRow">
      <w:rPr>
        <w:b/>
        <w:bCs/>
        <w:color w:val="FFFFFF" w:themeColor="background1"/>
      </w:rPr>
      <w:tblPr/>
      <w:tcPr>
        <w:shd w:val="clear" w:color="auto" w:fill="A9BED0" w:themeFill="accent5"/>
      </w:tcPr>
    </w:tblStylePr>
    <w:tblStylePr w:type="lastRow">
      <w:rPr>
        <w:b/>
        <w:bCs/>
      </w:rPr>
      <w:tblPr/>
      <w:tcPr>
        <w:tcBorders>
          <w:top w:val="double" w:sz="4" w:space="0" w:color="A9BE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BED0" w:themeColor="accent5"/>
          <w:right w:val="single" w:sz="4" w:space="0" w:color="A9BED0" w:themeColor="accent5"/>
        </w:tcBorders>
      </w:tcPr>
    </w:tblStylePr>
    <w:tblStylePr w:type="band1Horz">
      <w:tblPr/>
      <w:tcPr>
        <w:tcBorders>
          <w:top w:val="single" w:sz="4" w:space="0" w:color="A9BED0" w:themeColor="accent5"/>
          <w:bottom w:val="single" w:sz="4" w:space="0" w:color="A9BE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BED0" w:themeColor="accent5"/>
          <w:left w:val="nil"/>
        </w:tcBorders>
      </w:tcPr>
    </w:tblStylePr>
    <w:tblStylePr w:type="swCell">
      <w:tblPr/>
      <w:tcPr>
        <w:tcBorders>
          <w:top w:val="double" w:sz="4" w:space="0" w:color="A9BED0" w:themeColor="accent5"/>
          <w:right w:val="nil"/>
        </w:tcBorders>
      </w:tcPr>
    </w:tblStylePr>
  </w:style>
  <w:style w:type="paragraph" w:styleId="Sitat">
    <w:name w:val="Quote"/>
    <w:basedOn w:val="Normal"/>
    <w:next w:val="Normal"/>
    <w:link w:val="SitatTegn"/>
    <w:uiPriority w:val="29"/>
    <w:qFormat/>
    <w:rsid w:val="00FC323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C323C"/>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FC323C"/>
    <w:pPr>
      <w:pBdr>
        <w:bottom w:val="single" w:sz="4" w:space="4" w:color="FFDD71" w:themeColor="accent1"/>
      </w:pBdr>
      <w:spacing w:before="200" w:after="280"/>
      <w:ind w:left="936" w:right="936"/>
    </w:pPr>
    <w:rPr>
      <w:b/>
      <w:bCs/>
      <w:i/>
      <w:iCs/>
      <w:color w:val="FFDD71" w:themeColor="accent1"/>
    </w:rPr>
  </w:style>
  <w:style w:type="character" w:customStyle="1" w:styleId="SterktsitatTegn">
    <w:name w:val="Sterkt sitat Tegn"/>
    <w:basedOn w:val="Standardskriftforavsnitt"/>
    <w:link w:val="Sterktsitat"/>
    <w:uiPriority w:val="30"/>
    <w:rsid w:val="00FC323C"/>
    <w:rPr>
      <w:rFonts w:ascii="Open Sans" w:eastAsia="Times New Roman" w:hAnsi="Open Sans"/>
      <w:b/>
      <w:bCs/>
      <w:i/>
      <w:iCs/>
      <w:color w:val="FFDD71" w:themeColor="accent1"/>
      <w:lang w:eastAsia="nb-NO"/>
    </w:rPr>
  </w:style>
  <w:style w:type="character" w:customStyle="1" w:styleId="authors">
    <w:name w:val="authors"/>
    <w:basedOn w:val="Standardskriftforavsnitt"/>
    <w:rsid w:val="008E1501"/>
  </w:style>
  <w:style w:type="paragraph" w:customStyle="1" w:styleId="dx-doi">
    <w:name w:val="dx-doi"/>
    <w:basedOn w:val="Normal"/>
    <w:rsid w:val="008E1501"/>
    <w:pPr>
      <w:spacing w:beforeAutospacing="1" w:after="100" w:afterAutospacing="1" w:line="240" w:lineRule="auto"/>
    </w:pPr>
    <w:rPr>
      <w:rFonts w:ascii="Times New Roman" w:hAnsi="Times New Roman" w:cs="Times New Roman"/>
      <w:sz w:val="24"/>
      <w:szCs w:val="24"/>
    </w:rPr>
  </w:style>
  <w:style w:type="character" w:styleId="Utheving">
    <w:name w:val="Emphasis"/>
    <w:basedOn w:val="Standardskriftforavsnitt"/>
    <w:uiPriority w:val="20"/>
    <w:qFormat/>
    <w:rsid w:val="00FC323C"/>
    <w:rPr>
      <w:i/>
      <w:iCs/>
    </w:rPr>
  </w:style>
  <w:style w:type="character" w:customStyle="1" w:styleId="Ulstomtale2">
    <w:name w:val="Uløst omtale2"/>
    <w:basedOn w:val="Standardskriftforavsnitt"/>
    <w:uiPriority w:val="99"/>
    <w:unhideWhenUsed/>
    <w:rsid w:val="007D5D7F"/>
    <w:rPr>
      <w:color w:val="605E5C"/>
      <w:shd w:val="clear" w:color="auto" w:fill="E1DFDD"/>
    </w:rPr>
  </w:style>
  <w:style w:type="character" w:customStyle="1" w:styleId="Omtale1">
    <w:name w:val="Omtale1"/>
    <w:basedOn w:val="Standardskriftforavsnitt"/>
    <w:uiPriority w:val="99"/>
    <w:unhideWhenUsed/>
    <w:rsid w:val="007D5D7F"/>
    <w:rPr>
      <w:color w:val="2B579A"/>
      <w:shd w:val="clear" w:color="auto" w:fill="E1DFDD"/>
    </w:rPr>
  </w:style>
  <w:style w:type="character" w:customStyle="1" w:styleId="Ulstomtale3">
    <w:name w:val="Uløst omtale3"/>
    <w:basedOn w:val="Standardskriftforavsnitt"/>
    <w:uiPriority w:val="99"/>
    <w:unhideWhenUsed/>
    <w:rsid w:val="00781C67"/>
    <w:rPr>
      <w:color w:val="605E5C"/>
      <w:shd w:val="clear" w:color="auto" w:fill="E1DFDD"/>
    </w:rPr>
  </w:style>
  <w:style w:type="paragraph" w:customStyle="1" w:styleId="FirstParagraph">
    <w:name w:val="First Paragraph"/>
    <w:basedOn w:val="Brdtekst"/>
    <w:next w:val="Brdtekst"/>
    <w:qFormat/>
    <w:rsid w:val="00701898"/>
    <w:pPr>
      <w:spacing w:before="180" w:after="180" w:line="240" w:lineRule="auto"/>
    </w:pPr>
    <w:rPr>
      <w:sz w:val="24"/>
      <w:szCs w:val="24"/>
      <w:lang w:val="en-US"/>
    </w:rPr>
  </w:style>
  <w:style w:type="character" w:customStyle="1" w:styleId="UnresolvedMention2">
    <w:name w:val="Unresolved Mention2"/>
    <w:basedOn w:val="Standardskriftforavsnitt"/>
    <w:uiPriority w:val="99"/>
    <w:unhideWhenUsed/>
    <w:rsid w:val="00701898"/>
    <w:rPr>
      <w:color w:val="605E5C"/>
      <w:shd w:val="clear" w:color="auto" w:fill="E1DFDD"/>
    </w:rPr>
  </w:style>
  <w:style w:type="character" w:customStyle="1" w:styleId="Mention2">
    <w:name w:val="Mention2"/>
    <w:basedOn w:val="Standardskriftforavsnitt"/>
    <w:uiPriority w:val="99"/>
    <w:unhideWhenUsed/>
    <w:rsid w:val="00701898"/>
    <w:rPr>
      <w:color w:val="2B579A"/>
      <w:shd w:val="clear" w:color="auto" w:fill="E1DFDD"/>
    </w:rPr>
  </w:style>
  <w:style w:type="character" w:customStyle="1" w:styleId="ui-provider">
    <w:name w:val="ui-provider"/>
    <w:basedOn w:val="Standardskriftforavsnitt"/>
    <w:rsid w:val="00492773"/>
  </w:style>
  <w:style w:type="character" w:customStyle="1" w:styleId="UnresolvedMention3">
    <w:name w:val="Unresolved Mention3"/>
    <w:basedOn w:val="Standardskriftforavsnitt"/>
    <w:uiPriority w:val="99"/>
    <w:unhideWhenUsed/>
    <w:rsid w:val="006279AD"/>
    <w:rPr>
      <w:color w:val="605E5C"/>
      <w:shd w:val="clear" w:color="auto" w:fill="E1DFDD"/>
    </w:rPr>
  </w:style>
  <w:style w:type="character" w:customStyle="1" w:styleId="Mention3">
    <w:name w:val="Mention3"/>
    <w:basedOn w:val="Standardskriftforavsnitt"/>
    <w:uiPriority w:val="99"/>
    <w:unhideWhenUsed/>
    <w:rsid w:val="006279AD"/>
    <w:rPr>
      <w:color w:val="2B579A"/>
      <w:shd w:val="clear" w:color="auto" w:fill="E1DFDD"/>
    </w:rPr>
  </w:style>
  <w:style w:type="character" w:customStyle="1" w:styleId="UnresolvedMention4">
    <w:name w:val="Unresolved Mention4"/>
    <w:basedOn w:val="Standardskriftforavsnitt"/>
    <w:uiPriority w:val="99"/>
    <w:unhideWhenUsed/>
    <w:rsid w:val="00E96A55"/>
    <w:rPr>
      <w:color w:val="605E5C"/>
      <w:shd w:val="clear" w:color="auto" w:fill="E1DFDD"/>
    </w:rPr>
  </w:style>
  <w:style w:type="character" w:customStyle="1" w:styleId="Mention4">
    <w:name w:val="Mention4"/>
    <w:basedOn w:val="Standardskriftforavsnitt"/>
    <w:uiPriority w:val="99"/>
    <w:unhideWhenUsed/>
    <w:rsid w:val="00E96A55"/>
    <w:rPr>
      <w:color w:val="2B579A"/>
      <w:shd w:val="clear" w:color="auto" w:fill="E1DFDD"/>
    </w:rPr>
  </w:style>
  <w:style w:type="character" w:customStyle="1" w:styleId="UnresolvedMention2000000">
    <w:name w:val="Unresolved Mention2000000"/>
    <w:basedOn w:val="Standardskriftforavsnitt"/>
    <w:uiPriority w:val="99"/>
    <w:unhideWhenUsed/>
    <w:rsid w:val="00184813"/>
    <w:rPr>
      <w:color w:val="605E5C"/>
      <w:shd w:val="clear" w:color="auto" w:fill="E1DFDD"/>
    </w:rPr>
  </w:style>
  <w:style w:type="character" w:customStyle="1" w:styleId="pagebreaktextspan">
    <w:name w:val="pagebreaktextspan"/>
    <w:basedOn w:val="Standardskriftforavsnitt"/>
    <w:rsid w:val="00432588"/>
  </w:style>
  <w:style w:type="character" w:customStyle="1" w:styleId="highlighted-165016904">
    <w:name w:val="highlighted-165016904"/>
    <w:basedOn w:val="Standardskriftforavsnitt"/>
    <w:rsid w:val="00A946A3"/>
  </w:style>
  <w:style w:type="character" w:customStyle="1" w:styleId="findhit">
    <w:name w:val="findhit"/>
    <w:basedOn w:val="Standardskriftforavsnitt"/>
    <w:rsid w:val="00E30553"/>
  </w:style>
  <w:style w:type="character" w:customStyle="1" w:styleId="fieldrange">
    <w:name w:val="fieldrange"/>
    <w:basedOn w:val="Standardskriftforavsnitt"/>
    <w:rsid w:val="005E12E8"/>
  </w:style>
  <w:style w:type="character" w:customStyle="1" w:styleId="UnresolvedMention20">
    <w:name w:val="Unresolved Mention20"/>
    <w:basedOn w:val="Standardskriftforavsnitt"/>
    <w:uiPriority w:val="99"/>
    <w:unhideWhenUsed/>
    <w:rsid w:val="00DC1428"/>
    <w:rPr>
      <w:color w:val="605E5C"/>
      <w:shd w:val="clear" w:color="auto" w:fill="E1DFDD"/>
    </w:rPr>
  </w:style>
  <w:style w:type="character" w:customStyle="1" w:styleId="Mention5">
    <w:name w:val="Mention5"/>
    <w:basedOn w:val="Standardskriftforavsnitt"/>
    <w:uiPriority w:val="99"/>
    <w:unhideWhenUsed/>
    <w:rsid w:val="00DC1428"/>
    <w:rPr>
      <w:color w:val="2B579A"/>
      <w:shd w:val="clear" w:color="auto" w:fill="E1DFDD"/>
    </w:rPr>
  </w:style>
  <w:style w:type="character" w:customStyle="1" w:styleId="UnresolvedMention200">
    <w:name w:val="Unresolved Mention200"/>
    <w:basedOn w:val="Standardskriftforavsnitt"/>
    <w:uiPriority w:val="99"/>
    <w:unhideWhenUsed/>
    <w:rsid w:val="00DC1428"/>
    <w:rPr>
      <w:color w:val="605E5C"/>
      <w:shd w:val="clear" w:color="auto" w:fill="E1DFDD"/>
    </w:rPr>
  </w:style>
  <w:style w:type="character" w:customStyle="1" w:styleId="UnresolvedMention2000">
    <w:name w:val="Unresolved Mention2000"/>
    <w:basedOn w:val="Standardskriftforavsnitt"/>
    <w:uiPriority w:val="99"/>
    <w:unhideWhenUsed/>
    <w:rsid w:val="00DC1428"/>
    <w:rPr>
      <w:color w:val="605E5C"/>
      <w:shd w:val="clear" w:color="auto" w:fill="E1DFDD"/>
    </w:rPr>
  </w:style>
  <w:style w:type="character" w:customStyle="1" w:styleId="UnresolvedMention20000">
    <w:name w:val="Unresolved Mention20000"/>
    <w:basedOn w:val="Standardskriftforavsnitt"/>
    <w:uiPriority w:val="99"/>
    <w:unhideWhenUsed/>
    <w:rsid w:val="00DC1428"/>
    <w:rPr>
      <w:color w:val="605E5C"/>
      <w:shd w:val="clear" w:color="auto" w:fill="E1DFDD"/>
    </w:rPr>
  </w:style>
  <w:style w:type="character" w:customStyle="1" w:styleId="UnresolvedMention200000">
    <w:name w:val="Unresolved Mention200000"/>
    <w:basedOn w:val="Standardskriftforavsnitt"/>
    <w:uiPriority w:val="99"/>
    <w:unhideWhenUsed/>
    <w:rsid w:val="00DC1428"/>
    <w:rPr>
      <w:color w:val="605E5C"/>
      <w:shd w:val="clear" w:color="auto" w:fill="E1DFDD"/>
    </w:rPr>
  </w:style>
  <w:style w:type="character" w:customStyle="1" w:styleId="Omtale2">
    <w:name w:val="Omtale2"/>
    <w:basedOn w:val="Standardskriftforavsnitt"/>
    <w:uiPriority w:val="99"/>
    <w:unhideWhenUsed/>
    <w:rsid w:val="002F4474"/>
    <w:rPr>
      <w:color w:val="2B579A"/>
      <w:shd w:val="clear" w:color="auto" w:fill="E1DFDD"/>
    </w:rPr>
  </w:style>
  <w:style w:type="paragraph" w:customStyle="1" w:styleId="EndNoteBibliographyTitle">
    <w:name w:val="EndNote Bibliography Title"/>
    <w:basedOn w:val="Normal"/>
    <w:link w:val="EndNoteBibliographyTitleTegn"/>
    <w:rsid w:val="00A77572"/>
    <w:pPr>
      <w:spacing w:after="0"/>
      <w:jc w:val="center"/>
    </w:pPr>
    <w:rPr>
      <w:rFonts w:ascii="Calibri" w:hAnsi="Calibri" w:cs="Calibri"/>
      <w:noProof/>
      <w:lang w:val="en-US"/>
    </w:rPr>
  </w:style>
  <w:style w:type="character" w:customStyle="1" w:styleId="EndNoteBibliographyTitleTegn">
    <w:name w:val="EndNote Bibliography Title Tegn"/>
    <w:basedOn w:val="FotnotetekstTegn"/>
    <w:link w:val="EndNoteBibliographyTitle"/>
    <w:rsid w:val="00A77572"/>
    <w:rPr>
      <w:rFonts w:ascii="Calibri" w:eastAsiaTheme="minorEastAsia" w:hAnsi="Calibri" w:cs="Calibri"/>
      <w:i/>
      <w:noProof/>
      <w:spacing w:val="4"/>
      <w:sz w:val="16"/>
      <w:szCs w:val="20"/>
      <w:lang w:val="en-US" w:eastAsia="nb-NO"/>
    </w:rPr>
  </w:style>
  <w:style w:type="paragraph" w:customStyle="1" w:styleId="EndNoteBibliography">
    <w:name w:val="EndNote Bibliography"/>
    <w:basedOn w:val="Normal"/>
    <w:link w:val="EndNoteBibliographyTegn"/>
    <w:rsid w:val="00A77572"/>
    <w:pPr>
      <w:spacing w:line="240" w:lineRule="auto"/>
      <w:jc w:val="both"/>
    </w:pPr>
    <w:rPr>
      <w:rFonts w:ascii="Calibri" w:hAnsi="Calibri" w:cs="Calibri"/>
      <w:noProof/>
      <w:lang w:val="en-US"/>
    </w:rPr>
  </w:style>
  <w:style w:type="character" w:customStyle="1" w:styleId="EndNoteBibliographyTegn">
    <w:name w:val="EndNote Bibliography Tegn"/>
    <w:basedOn w:val="FotnotetekstTegn"/>
    <w:link w:val="EndNoteBibliography"/>
    <w:rsid w:val="00A77572"/>
    <w:rPr>
      <w:rFonts w:ascii="Calibri" w:eastAsiaTheme="minorEastAsia" w:hAnsi="Calibri" w:cs="Calibri"/>
      <w:i/>
      <w:noProof/>
      <w:spacing w:val="4"/>
      <w:sz w:val="16"/>
      <w:szCs w:val="20"/>
      <w:lang w:val="en-US" w:eastAsia="nb-NO"/>
    </w:rPr>
  </w:style>
  <w:style w:type="table" w:customStyle="1" w:styleId="HPArsrapporttabellstil2">
    <w:name w:val="HPA Årsrapport tabellstil2"/>
    <w:basedOn w:val="Tabellrutenett3"/>
    <w:uiPriority w:val="99"/>
    <w:rsid w:val="00904689"/>
    <w:pPr>
      <w:spacing w:after="0" w:line="240" w:lineRule="auto"/>
    </w:pPr>
    <w:rPr>
      <w:sz w:val="20"/>
      <w:szCs w:val="20"/>
      <w:lang w:val="da-DK"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table" w:customStyle="1" w:styleId="Tabellrutenett2">
    <w:name w:val="Tabellrutenett2"/>
    <w:basedOn w:val="Vanligtabell"/>
    <w:next w:val="Tabellrutenett"/>
    <w:uiPriority w:val="39"/>
    <w:rsid w:val="00AA4B41"/>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PArsrapporttabellstil3">
    <w:name w:val="HPA Årsrapport tabellstil3"/>
    <w:basedOn w:val="Tabellrutenett3"/>
    <w:uiPriority w:val="99"/>
    <w:rsid w:val="00904689"/>
    <w:pPr>
      <w:spacing w:after="0" w:line="240" w:lineRule="auto"/>
    </w:pPr>
    <w:rPr>
      <w:sz w:val="20"/>
      <w:szCs w:val="20"/>
      <w:lang w:val="da-DK"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table" w:customStyle="1" w:styleId="HPArsrapporttabellstil4">
    <w:name w:val="HPA Årsrapport tabellstil4"/>
    <w:basedOn w:val="Tabellrutenett3"/>
    <w:uiPriority w:val="99"/>
    <w:rsid w:val="00904689"/>
    <w:pPr>
      <w:spacing w:after="0" w:line="240" w:lineRule="auto"/>
    </w:pPr>
    <w:rPr>
      <w:sz w:val="20"/>
      <w:szCs w:val="20"/>
      <w:lang w:val="da-DK"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bCs w:val="0"/>
      </w:rPr>
    </w:tblStylePr>
    <w:tblStylePr w:type="lastCol">
      <w:rPr>
        <w:b/>
        <w:bCs/>
      </w:rPr>
      <w:tblPr/>
      <w:tcPr>
        <w:tcBorders>
          <w:tl2br w:val="none" w:sz="0" w:space="0" w:color="auto"/>
          <w:tr2bl w:val="none" w:sz="0" w:space="0" w:color="auto"/>
        </w:tcBorders>
      </w:tcPr>
    </w:tblStylePr>
  </w:style>
  <w:style w:type="table" w:customStyle="1" w:styleId="EUTabellstil">
    <w:name w:val="E.U Tabellstil"/>
    <w:basedOn w:val="Tabellrutenett3"/>
    <w:uiPriority w:val="99"/>
    <w:rsid w:val="00F21084"/>
    <w:pPr>
      <w:spacing w:after="0" w:line="240" w:lineRule="auto"/>
    </w:pPr>
    <w:rPr>
      <w:color w:val="2A3652"/>
      <w:sz w:val="20"/>
      <w:szCs w:val="20"/>
      <w:lang w:val="da-DK"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val="0"/>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val="0"/>
        <w:bCs w:val="0"/>
      </w:rPr>
      <w:tblPr/>
      <w:tcPr>
        <w:shd w:val="clear" w:color="auto" w:fill="FFFFFF" w:themeFill="background1"/>
      </w:tcPr>
    </w:tblStylePr>
    <w:tblStylePr w:type="lastCol">
      <w:rPr>
        <w:b/>
        <w:bCs/>
      </w:rPr>
      <w:tblPr/>
      <w:tcPr>
        <w:tcBorders>
          <w:tl2br w:val="none" w:sz="0" w:space="0" w:color="auto"/>
          <w:tr2bl w:val="none" w:sz="0" w:space="0" w:color="auto"/>
        </w:tcBorders>
      </w:tcPr>
    </w:tblStylePr>
  </w:style>
  <w:style w:type="character" w:customStyle="1" w:styleId="UnresolvedMention5">
    <w:name w:val="Unresolved Mention5"/>
    <w:basedOn w:val="Standardskriftforavsnitt"/>
    <w:uiPriority w:val="99"/>
    <w:unhideWhenUsed/>
    <w:rsid w:val="001956CD"/>
    <w:rPr>
      <w:color w:val="605E5C"/>
      <w:shd w:val="clear" w:color="auto" w:fill="E1DFDD"/>
    </w:rPr>
  </w:style>
  <w:style w:type="character" w:customStyle="1" w:styleId="Mention6">
    <w:name w:val="Mention6"/>
    <w:basedOn w:val="Standardskriftforavsnitt"/>
    <w:uiPriority w:val="99"/>
    <w:unhideWhenUsed/>
    <w:rsid w:val="001956CD"/>
    <w:rPr>
      <w:color w:val="2B579A"/>
      <w:shd w:val="clear" w:color="auto" w:fill="E1DFDD"/>
    </w:rPr>
  </w:style>
  <w:style w:type="character" w:customStyle="1" w:styleId="UnresolvedMention6">
    <w:name w:val="Unresolved Mention6"/>
    <w:basedOn w:val="Standardskriftforavsnitt"/>
    <w:uiPriority w:val="99"/>
    <w:semiHidden/>
    <w:unhideWhenUsed/>
    <w:rsid w:val="00483FB1"/>
    <w:rPr>
      <w:color w:val="605E5C"/>
      <w:shd w:val="clear" w:color="auto" w:fill="E1DFDD"/>
    </w:rPr>
  </w:style>
  <w:style w:type="table" w:customStyle="1" w:styleId="0Ekspertutvalgettabellstil1">
    <w:name w:val="0.Ekspertutvalget tabellstil1"/>
    <w:basedOn w:val="Tabellrutenett3"/>
    <w:uiPriority w:val="99"/>
    <w:rsid w:val="006B3A92"/>
    <w:pPr>
      <w:spacing w:after="0" w:line="240" w:lineRule="auto"/>
    </w:pPr>
    <w:rPr>
      <w:color w:val="293550" w:themeColor="accent6" w:themeShade="80"/>
      <w:sz w:val="18"/>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firstCol">
      <w:rPr>
        <w:b w:val="0"/>
        <w:bCs w:val="0"/>
      </w:rPr>
    </w:tblStylePr>
    <w:tblStylePr w:type="lastCol">
      <w:rPr>
        <w:b/>
        <w:bCs/>
      </w:rPr>
      <w:tblPr/>
      <w:tcPr>
        <w:tcBorders>
          <w:tl2br w:val="none" w:sz="0" w:space="0" w:color="auto"/>
          <w:tr2bl w:val="none" w:sz="0" w:space="0" w:color="auto"/>
        </w:tcBorders>
      </w:tcPr>
    </w:tblStylePr>
  </w:style>
  <w:style w:type="numbering" w:customStyle="1" w:styleId="Stil2">
    <w:name w:val="Stil2"/>
    <w:uiPriority w:val="99"/>
    <w:rsid w:val="00F159F3"/>
    <w:pPr>
      <w:numPr>
        <w:numId w:val="2"/>
      </w:numPr>
    </w:pPr>
  </w:style>
  <w:style w:type="character" w:customStyle="1" w:styleId="Mention7">
    <w:name w:val="Mention7"/>
    <w:basedOn w:val="Standardskriftforavsnitt"/>
    <w:uiPriority w:val="99"/>
    <w:unhideWhenUsed/>
    <w:rsid w:val="00F55B3E"/>
    <w:rPr>
      <w:color w:val="2B579A"/>
      <w:shd w:val="clear" w:color="auto" w:fill="E1DFDD"/>
    </w:rPr>
  </w:style>
  <w:style w:type="character" w:customStyle="1" w:styleId="UnresolvedMention7">
    <w:name w:val="Unresolved Mention7"/>
    <w:basedOn w:val="Standardskriftforavsnitt"/>
    <w:uiPriority w:val="99"/>
    <w:unhideWhenUsed/>
    <w:rsid w:val="00F55B3E"/>
    <w:rPr>
      <w:color w:val="605E5C"/>
      <w:shd w:val="clear" w:color="auto" w:fill="E1DFDD"/>
    </w:rPr>
  </w:style>
  <w:style w:type="paragraph" w:customStyle="1" w:styleId="EU2Overskrift">
    <w:name w:val="E.U. 2Overskrift"/>
    <w:basedOn w:val="Overskrift2"/>
    <w:link w:val="EU2OverskriftTegn"/>
    <w:qFormat/>
    <w:rsid w:val="00D248D6"/>
    <w:pPr>
      <w:numPr>
        <w:numId w:val="1"/>
      </w:numPr>
      <w:spacing w:after="240"/>
      <w:ind w:left="431" w:hanging="431"/>
    </w:pPr>
    <w:rPr>
      <w:color w:val="2A3652"/>
    </w:rPr>
  </w:style>
  <w:style w:type="paragraph" w:customStyle="1" w:styleId="EKSPUTVOverskriftutennummer">
    <w:name w:val="EKSP.UTV Overskrift uten nummer"/>
    <w:basedOn w:val="Normal"/>
    <w:link w:val="EKSPUTVOverskriftutennummerTegn"/>
    <w:qFormat/>
    <w:rsid w:val="004D0C4B"/>
    <w:rPr>
      <w:rFonts w:ascii="Arial" w:hAnsi="Arial" w:cs="Arial"/>
      <w:b/>
      <w:bCs/>
      <w:caps/>
      <w:color w:val="2A3652"/>
      <w:sz w:val="32"/>
      <w:szCs w:val="32"/>
    </w:rPr>
  </w:style>
  <w:style w:type="character" w:customStyle="1" w:styleId="Mention70">
    <w:name w:val="Mention70"/>
    <w:basedOn w:val="Standardskriftforavsnitt"/>
    <w:uiPriority w:val="99"/>
    <w:unhideWhenUsed/>
    <w:rsid w:val="00634A93"/>
    <w:rPr>
      <w:color w:val="2B579A"/>
      <w:shd w:val="clear" w:color="auto" w:fill="E1DFDD"/>
    </w:rPr>
  </w:style>
  <w:style w:type="character" w:customStyle="1" w:styleId="EKSPUTVOverskriftutennummerTegn">
    <w:name w:val="EKSP.UTV Overskrift uten nummer Tegn"/>
    <w:basedOn w:val="Standardskriftforavsnitt"/>
    <w:link w:val="EKSPUTVOverskriftutennummer"/>
    <w:rsid w:val="004D0C4B"/>
    <w:rPr>
      <w:rFonts w:ascii="Arial" w:hAnsi="Arial" w:cs="Arial"/>
      <w:b/>
      <w:bCs/>
      <w:caps/>
      <w:color w:val="2A3652"/>
      <w:sz w:val="32"/>
      <w:szCs w:val="32"/>
    </w:rPr>
  </w:style>
  <w:style w:type="character" w:customStyle="1" w:styleId="UnresolvedMention70">
    <w:name w:val="Unresolved Mention70"/>
    <w:basedOn w:val="Standardskriftforavsnitt"/>
    <w:uiPriority w:val="99"/>
    <w:unhideWhenUsed/>
    <w:rsid w:val="00634A93"/>
    <w:rPr>
      <w:color w:val="605E5C"/>
      <w:shd w:val="clear" w:color="auto" w:fill="E1DFDD"/>
    </w:rPr>
  </w:style>
  <w:style w:type="paragraph" w:customStyle="1" w:styleId="EU1Overskrift">
    <w:name w:val="E.U 1Overskrift"/>
    <w:basedOn w:val="Overskrift1"/>
    <w:link w:val="EU1OverskriftTegn"/>
    <w:qFormat/>
    <w:rsid w:val="00EB5C3C"/>
    <w:pPr>
      <w:keepNext w:val="0"/>
      <w:numPr>
        <w:numId w:val="1"/>
      </w:numPr>
      <w:spacing w:before="0" w:line="257" w:lineRule="auto"/>
      <w:contextualSpacing/>
    </w:pPr>
    <w:rPr>
      <w:rFonts w:eastAsia="Calibri" w:cs="Arial"/>
      <w:bCs/>
      <w:color w:val="2A3652"/>
    </w:rPr>
  </w:style>
  <w:style w:type="character" w:customStyle="1" w:styleId="EU2OverskriftTegn">
    <w:name w:val="E.U. 2Overskrift Tegn"/>
    <w:basedOn w:val="Overskrift2Tegn"/>
    <w:link w:val="EU2Overskrift"/>
    <w:rsid w:val="00D248D6"/>
    <w:rPr>
      <w:rFonts w:ascii="Open Sans" w:eastAsia="Times New Roman" w:hAnsi="Open Sans"/>
      <w:b/>
      <w:color w:val="2A3652"/>
      <w:spacing w:val="4"/>
      <w:kern w:val="28"/>
      <w:sz w:val="28"/>
      <w:lang w:eastAsia="nb-NO"/>
    </w:rPr>
  </w:style>
  <w:style w:type="character" w:customStyle="1" w:styleId="EU1OverskriftTegn">
    <w:name w:val="E.U 1Overskrift Tegn"/>
    <w:basedOn w:val="Overskrift1Tegn"/>
    <w:link w:val="EU1Overskrift"/>
    <w:rsid w:val="0072637E"/>
    <w:rPr>
      <w:rFonts w:ascii="Open Sans" w:eastAsia="Calibri" w:hAnsi="Open Sans" w:cs="Arial"/>
      <w:b/>
      <w:bCs/>
      <w:color w:val="2A3652"/>
      <w:kern w:val="28"/>
      <w:sz w:val="32"/>
      <w:lang w:eastAsia="nb-NO"/>
    </w:rPr>
  </w:style>
  <w:style w:type="paragraph" w:customStyle="1" w:styleId="EU3Overskrift">
    <w:name w:val="E.U 3Overskrift"/>
    <w:basedOn w:val="EU2Overskrift"/>
    <w:link w:val="EU3OverskriftTegn"/>
    <w:qFormat/>
    <w:rsid w:val="00D248D6"/>
    <w:pPr>
      <w:numPr>
        <w:ilvl w:val="2"/>
      </w:numPr>
      <w:spacing w:before="360" w:line="360" w:lineRule="auto"/>
      <w:ind w:left="505" w:hanging="505"/>
      <w:outlineLvl w:val="2"/>
    </w:pPr>
    <w:rPr>
      <w:sz w:val="24"/>
      <w:szCs w:val="28"/>
    </w:rPr>
  </w:style>
  <w:style w:type="paragraph" w:customStyle="1" w:styleId="EU4Overskrift">
    <w:name w:val="E.U 4Overskrift"/>
    <w:basedOn w:val="EU3Overskrift"/>
    <w:link w:val="EU4OverskriftTegn"/>
    <w:qFormat/>
    <w:rsid w:val="00D248D6"/>
    <w:pPr>
      <w:numPr>
        <w:ilvl w:val="3"/>
      </w:numPr>
      <w:ind w:left="646" w:hanging="646"/>
      <w:outlineLvl w:val="3"/>
    </w:pPr>
    <w:rPr>
      <w:b w:val="0"/>
      <w:bCs/>
      <w:i/>
      <w:iCs/>
    </w:rPr>
  </w:style>
  <w:style w:type="character" w:customStyle="1" w:styleId="EU3OverskriftTegn">
    <w:name w:val="E.U 3Overskrift Tegn"/>
    <w:basedOn w:val="EU2OverskriftTegn"/>
    <w:link w:val="EU3Overskrift"/>
    <w:rsid w:val="00D248D6"/>
    <w:rPr>
      <w:rFonts w:ascii="Open Sans" w:eastAsia="Times New Roman" w:hAnsi="Open Sans"/>
      <w:b/>
      <w:color w:val="2A3652"/>
      <w:spacing w:val="4"/>
      <w:kern w:val="28"/>
      <w:sz w:val="24"/>
      <w:szCs w:val="28"/>
      <w:lang w:eastAsia="nb-NO"/>
    </w:rPr>
  </w:style>
  <w:style w:type="character" w:customStyle="1" w:styleId="EU4OverskriftTegn">
    <w:name w:val="E.U 4Overskrift Tegn"/>
    <w:basedOn w:val="EU3OverskriftTegn"/>
    <w:link w:val="EU4Overskrift"/>
    <w:rsid w:val="00D248D6"/>
    <w:rPr>
      <w:rFonts w:ascii="Open Sans" w:eastAsia="Times New Roman" w:hAnsi="Open Sans"/>
      <w:b w:val="0"/>
      <w:bCs/>
      <w:i/>
      <w:iCs/>
      <w:color w:val="2A3652"/>
      <w:spacing w:val="4"/>
      <w:kern w:val="28"/>
      <w:sz w:val="24"/>
      <w:szCs w:val="28"/>
      <w:lang w:eastAsia="nb-NO"/>
    </w:rPr>
  </w:style>
  <w:style w:type="paragraph" w:customStyle="1" w:styleId="Compact">
    <w:name w:val="Compact"/>
    <w:basedOn w:val="Brdtekst"/>
    <w:qFormat/>
    <w:rsid w:val="00F35BC5"/>
    <w:pPr>
      <w:spacing w:before="36" w:after="36" w:line="240" w:lineRule="auto"/>
    </w:pPr>
    <w:rPr>
      <w:sz w:val="24"/>
      <w:szCs w:val="24"/>
      <w:lang w:val="en-US"/>
    </w:rPr>
  </w:style>
  <w:style w:type="character" w:customStyle="1" w:styleId="title-text">
    <w:name w:val="title-text"/>
    <w:basedOn w:val="Standardskriftforavsnitt"/>
    <w:rsid w:val="00F35BC5"/>
  </w:style>
  <w:style w:type="paragraph" w:customStyle="1" w:styleId="FHI-tittelside">
    <w:name w:val="FHI-tittelside"/>
    <w:basedOn w:val="Normal"/>
    <w:qFormat/>
    <w:rsid w:val="00F35BC5"/>
    <w:pPr>
      <w:spacing w:beforeAutospacing="1" w:after="100" w:afterAutospacing="1" w:line="640" w:lineRule="exact"/>
      <w:ind w:left="1134"/>
    </w:pPr>
    <w:rPr>
      <w:rFonts w:ascii="Calibri" w:hAnsi="Calibri" w:cs="Arial"/>
      <w:sz w:val="52"/>
      <w:szCs w:val="28"/>
    </w:rPr>
  </w:style>
  <w:style w:type="character" w:customStyle="1" w:styleId="UnresolvedMention10">
    <w:name w:val="Unresolved Mention10"/>
    <w:basedOn w:val="Standardskriftforavsnitt"/>
    <w:uiPriority w:val="99"/>
    <w:unhideWhenUsed/>
    <w:rsid w:val="00583A03"/>
    <w:rPr>
      <w:color w:val="605E5C"/>
      <w:shd w:val="clear" w:color="auto" w:fill="E1DFDD"/>
    </w:rPr>
  </w:style>
  <w:style w:type="character" w:customStyle="1" w:styleId="Mention9">
    <w:name w:val="Mention9"/>
    <w:basedOn w:val="Standardskriftforavsnitt"/>
    <w:uiPriority w:val="99"/>
    <w:unhideWhenUsed/>
    <w:rsid w:val="00583A03"/>
    <w:rPr>
      <w:color w:val="2B579A"/>
      <w:shd w:val="clear" w:color="auto" w:fill="E1DFDD"/>
    </w:rPr>
  </w:style>
  <w:style w:type="character" w:customStyle="1" w:styleId="UnresolvedMention9">
    <w:name w:val="Unresolved Mention9"/>
    <w:basedOn w:val="Standardskriftforavsnitt"/>
    <w:uiPriority w:val="99"/>
    <w:unhideWhenUsed/>
    <w:rsid w:val="005105EF"/>
    <w:rPr>
      <w:color w:val="605E5C"/>
      <w:shd w:val="clear" w:color="auto" w:fill="E1DFDD"/>
    </w:rPr>
  </w:style>
  <w:style w:type="character" w:customStyle="1" w:styleId="Mention8">
    <w:name w:val="Mention8"/>
    <w:basedOn w:val="Standardskriftforavsnitt"/>
    <w:uiPriority w:val="99"/>
    <w:unhideWhenUsed/>
    <w:rsid w:val="005105EF"/>
    <w:rPr>
      <w:color w:val="2B579A"/>
      <w:shd w:val="clear" w:color="auto" w:fill="E1DFDD"/>
    </w:rPr>
  </w:style>
  <w:style w:type="paragraph" w:customStyle="1" w:styleId="pf0">
    <w:name w:val="pf0"/>
    <w:basedOn w:val="Normal"/>
    <w:rsid w:val="003920B7"/>
    <w:pPr>
      <w:spacing w:beforeAutospacing="1" w:after="100" w:afterAutospacing="1" w:line="240" w:lineRule="auto"/>
    </w:pPr>
    <w:rPr>
      <w:rFonts w:ascii="Calibri" w:hAnsi="Calibri" w:cs="Calibri"/>
    </w:rPr>
  </w:style>
  <w:style w:type="character" w:customStyle="1" w:styleId="cf01">
    <w:name w:val="cf01"/>
    <w:basedOn w:val="Standardskriftforavsnitt"/>
    <w:rsid w:val="003920B7"/>
    <w:rPr>
      <w:rFonts w:ascii="Segoe UI" w:hAnsi="Segoe UI" w:cs="Segoe UI" w:hint="default"/>
    </w:rPr>
  </w:style>
  <w:style w:type="character" w:customStyle="1" w:styleId="Ulstomtale40">
    <w:name w:val="Uløst omtale40"/>
    <w:basedOn w:val="Standardskriftforavsnitt"/>
    <w:uiPriority w:val="99"/>
    <w:unhideWhenUsed/>
    <w:rsid w:val="007C4B0B"/>
    <w:rPr>
      <w:color w:val="605E5C"/>
      <w:shd w:val="clear" w:color="auto" w:fill="E1DFDD"/>
    </w:rPr>
  </w:style>
  <w:style w:type="character" w:customStyle="1" w:styleId="Omtale30">
    <w:name w:val="Omtale30"/>
    <w:basedOn w:val="Standardskriftforavsnitt"/>
    <w:uiPriority w:val="99"/>
    <w:unhideWhenUsed/>
    <w:rsid w:val="007C4B0B"/>
    <w:rPr>
      <w:color w:val="2B579A"/>
      <w:shd w:val="clear" w:color="auto" w:fill="E1DFDD"/>
    </w:rPr>
  </w:style>
  <w:style w:type="character" w:customStyle="1" w:styleId="Ulstomtale4">
    <w:name w:val="Uløst omtale4"/>
    <w:basedOn w:val="Standardskriftforavsnitt"/>
    <w:uiPriority w:val="99"/>
    <w:unhideWhenUsed/>
    <w:rsid w:val="004F1D97"/>
    <w:rPr>
      <w:color w:val="605E5C"/>
      <w:shd w:val="clear" w:color="auto" w:fill="E1DFDD"/>
    </w:rPr>
  </w:style>
  <w:style w:type="character" w:customStyle="1" w:styleId="Omtale3">
    <w:name w:val="Omtale3"/>
    <w:basedOn w:val="Standardskriftforavsnitt"/>
    <w:uiPriority w:val="99"/>
    <w:unhideWhenUsed/>
    <w:rsid w:val="004F1D97"/>
    <w:rPr>
      <w:color w:val="2B579A"/>
      <w:shd w:val="clear" w:color="auto" w:fill="E1DFDD"/>
    </w:rPr>
  </w:style>
  <w:style w:type="paragraph" w:customStyle="1" w:styleId="EUFIGEkspetutvalgetfiguroversikt">
    <w:name w:val="EU FIG Ekspetutvalget figuroversikt"/>
    <w:basedOn w:val="EUTABEkspertutvalgettabelloverskrift"/>
    <w:link w:val="EUFIGEkspetutvalgetfiguroversiktTegn"/>
    <w:qFormat/>
    <w:rsid w:val="004F1D97"/>
  </w:style>
  <w:style w:type="character" w:customStyle="1" w:styleId="EUFIGEkspetutvalgetfiguroversiktTegn">
    <w:name w:val="EU FIG Ekspetutvalget figuroversikt Tegn"/>
    <w:basedOn w:val="EUTABEkspertutvalgettabelloverskriftTegn"/>
    <w:link w:val="EUFIGEkspetutvalgetfiguroversikt"/>
    <w:rsid w:val="004F1D97"/>
    <w:rPr>
      <w:b/>
      <w:i/>
      <w:iCs/>
      <w:color w:val="293550" w:themeColor="accent6" w:themeShade="80"/>
      <w:lang w:eastAsia="nb-NO"/>
    </w:rPr>
  </w:style>
  <w:style w:type="paragraph" w:customStyle="1" w:styleId="EUTABEkspertutvalgettabelloverskrift">
    <w:name w:val="EU TAB Ekspertutvalget tabelloverskrift"/>
    <w:basedOn w:val="Bildetekst"/>
    <w:link w:val="EUTABEkspertutvalgettabelloverskriftTegn"/>
    <w:qFormat/>
    <w:rsid w:val="004F1D97"/>
    <w:pPr>
      <w:spacing w:before="240" w:after="240"/>
      <w:ind w:left="576"/>
    </w:pPr>
    <w:rPr>
      <w:bCs w:val="0"/>
      <w:color w:val="293550" w:themeColor="accent6" w:themeShade="80"/>
      <w:sz w:val="22"/>
      <w:szCs w:val="22"/>
    </w:rPr>
  </w:style>
  <w:style w:type="character" w:customStyle="1" w:styleId="EUTABEkspertutvalgettabelloverskriftTegn">
    <w:name w:val="EU TAB Ekspertutvalget tabelloverskrift Tegn"/>
    <w:basedOn w:val="Standardskriftforavsnitt"/>
    <w:link w:val="EUTABEkspertutvalgettabelloverskrift"/>
    <w:rsid w:val="004F1D97"/>
    <w:rPr>
      <w:b/>
      <w:i/>
      <w:iCs/>
      <w:color w:val="293550" w:themeColor="accent6" w:themeShade="80"/>
      <w:lang w:eastAsia="nb-NO"/>
    </w:rPr>
  </w:style>
  <w:style w:type="paragraph" w:customStyle="1" w:styleId="EUFotnoter">
    <w:name w:val="E.U Fotnoter"/>
    <w:basedOn w:val="Fotnotetekst"/>
    <w:link w:val="EUFotnoterTegn"/>
    <w:qFormat/>
    <w:rsid w:val="00161D8C"/>
  </w:style>
  <w:style w:type="character" w:customStyle="1" w:styleId="EUFotnoterTegn">
    <w:name w:val="E.U Fotnoter Tegn"/>
    <w:basedOn w:val="Standardskriftforavsnitt"/>
    <w:link w:val="EUFotnoter"/>
    <w:rsid w:val="00AE592A"/>
    <w:rPr>
      <w:rFonts w:ascii="Arial" w:eastAsiaTheme="minorEastAsia" w:hAnsi="Arial"/>
      <w:i/>
      <w:sz w:val="16"/>
      <w:szCs w:val="20"/>
    </w:rPr>
  </w:style>
  <w:style w:type="table" w:customStyle="1" w:styleId="Rapport">
    <w:name w:val="Rapport"/>
    <w:basedOn w:val="Vanligtabell"/>
    <w:uiPriority w:val="99"/>
    <w:rsid w:val="004667A0"/>
    <w:pPr>
      <w:spacing w:after="0" w:line="240" w:lineRule="auto"/>
    </w:pPr>
    <w:rPr>
      <w:rFonts w:eastAsia="Times New Roman" w:cs="Times New Roman"/>
      <w:sz w:val="18"/>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bottom"/>
    </w:tcPr>
    <w:tblStylePr w:type="firstRow">
      <w:rPr>
        <w:rFonts w:asciiTheme="minorHAnsi" w:hAnsiTheme="minorHAnsi"/>
        <w:color w:val="FFFFFF" w:themeColor="background1"/>
        <w:sz w:val="20"/>
      </w:rPr>
      <w:tblPr/>
      <w:tcPr>
        <w:shd w:val="clear" w:color="auto" w:fill="214966"/>
      </w:tcPr>
    </w:tblStylePr>
  </w:style>
  <w:style w:type="character" w:customStyle="1" w:styleId="Ulstomtale400">
    <w:name w:val="Uløst omtale400"/>
    <w:basedOn w:val="Standardskriftforavsnitt"/>
    <w:uiPriority w:val="99"/>
    <w:unhideWhenUsed/>
    <w:rsid w:val="00036D00"/>
    <w:rPr>
      <w:color w:val="605E5C"/>
      <w:shd w:val="clear" w:color="auto" w:fill="E1DFDD"/>
    </w:rPr>
  </w:style>
  <w:style w:type="character" w:customStyle="1" w:styleId="Omtale300">
    <w:name w:val="Omtale300"/>
    <w:basedOn w:val="Standardskriftforavsnitt"/>
    <w:uiPriority w:val="99"/>
    <w:unhideWhenUsed/>
    <w:rsid w:val="00036D00"/>
    <w:rPr>
      <w:color w:val="2B579A"/>
      <w:shd w:val="clear" w:color="auto" w:fill="E1DFDD"/>
    </w:rPr>
  </w:style>
  <w:style w:type="character" w:customStyle="1" w:styleId="Ulstomtale4000">
    <w:name w:val="Uløst omtale4000"/>
    <w:basedOn w:val="Standardskriftforavsnitt"/>
    <w:uiPriority w:val="99"/>
    <w:unhideWhenUsed/>
    <w:rsid w:val="00842ADD"/>
    <w:rPr>
      <w:color w:val="605E5C"/>
      <w:shd w:val="clear" w:color="auto" w:fill="E1DFDD"/>
    </w:rPr>
  </w:style>
  <w:style w:type="character" w:customStyle="1" w:styleId="Omtale3000">
    <w:name w:val="Omtale3000"/>
    <w:basedOn w:val="Standardskriftforavsnitt"/>
    <w:uiPriority w:val="99"/>
    <w:unhideWhenUsed/>
    <w:rsid w:val="00842ADD"/>
    <w:rPr>
      <w:color w:val="2B579A"/>
      <w:shd w:val="clear" w:color="auto" w:fill="E1DFDD"/>
    </w:rPr>
  </w:style>
  <w:style w:type="character" w:customStyle="1" w:styleId="Ulstomtale40000">
    <w:name w:val="Uløst omtale40000"/>
    <w:basedOn w:val="Standardskriftforavsnitt"/>
    <w:uiPriority w:val="99"/>
    <w:unhideWhenUsed/>
    <w:rsid w:val="005B08E8"/>
    <w:rPr>
      <w:color w:val="605E5C"/>
      <w:shd w:val="clear" w:color="auto" w:fill="E1DFDD"/>
    </w:rPr>
  </w:style>
  <w:style w:type="character" w:customStyle="1" w:styleId="Omtale30000">
    <w:name w:val="Omtale30000"/>
    <w:basedOn w:val="Standardskriftforavsnitt"/>
    <w:uiPriority w:val="99"/>
    <w:unhideWhenUsed/>
    <w:rsid w:val="005B08E8"/>
    <w:rPr>
      <w:color w:val="2B579A"/>
      <w:shd w:val="clear" w:color="auto" w:fill="E1DFDD"/>
    </w:rPr>
  </w:style>
  <w:style w:type="character" w:customStyle="1" w:styleId="Ulstomtale400000">
    <w:name w:val="Uløst omtale400000"/>
    <w:basedOn w:val="Standardskriftforavsnitt"/>
    <w:uiPriority w:val="99"/>
    <w:unhideWhenUsed/>
    <w:rsid w:val="007A75B4"/>
    <w:rPr>
      <w:color w:val="605E5C"/>
      <w:shd w:val="clear" w:color="auto" w:fill="E1DFDD"/>
    </w:rPr>
  </w:style>
  <w:style w:type="character" w:customStyle="1" w:styleId="Omtale300000">
    <w:name w:val="Omtale300000"/>
    <w:basedOn w:val="Standardskriftforavsnitt"/>
    <w:uiPriority w:val="99"/>
    <w:unhideWhenUsed/>
    <w:rsid w:val="007A75B4"/>
    <w:rPr>
      <w:color w:val="2B579A"/>
      <w:shd w:val="clear" w:color="auto" w:fill="E1DFDD"/>
    </w:rPr>
  </w:style>
  <w:style w:type="character" w:customStyle="1" w:styleId="Ulstomtale4000000">
    <w:name w:val="Uløst omtale4000000"/>
    <w:basedOn w:val="Standardskriftforavsnitt"/>
    <w:uiPriority w:val="99"/>
    <w:unhideWhenUsed/>
    <w:rsid w:val="00FF3218"/>
    <w:rPr>
      <w:color w:val="605E5C"/>
      <w:shd w:val="clear" w:color="auto" w:fill="E1DFDD"/>
    </w:rPr>
  </w:style>
  <w:style w:type="character" w:customStyle="1" w:styleId="Omtale3000000">
    <w:name w:val="Omtale3000000"/>
    <w:basedOn w:val="Standardskriftforavsnitt"/>
    <w:uiPriority w:val="99"/>
    <w:unhideWhenUsed/>
    <w:rsid w:val="00FF3218"/>
    <w:rPr>
      <w:color w:val="2B579A"/>
      <w:shd w:val="clear" w:color="auto" w:fill="E1DFDD"/>
    </w:rPr>
  </w:style>
  <w:style w:type="character" w:customStyle="1" w:styleId="Ulstomtale40000000">
    <w:name w:val="Uløst omtale40000000"/>
    <w:basedOn w:val="Standardskriftforavsnitt"/>
    <w:uiPriority w:val="99"/>
    <w:unhideWhenUsed/>
    <w:rsid w:val="002868AA"/>
    <w:rPr>
      <w:color w:val="605E5C"/>
      <w:shd w:val="clear" w:color="auto" w:fill="E1DFDD"/>
    </w:rPr>
  </w:style>
  <w:style w:type="character" w:customStyle="1" w:styleId="Omtale30000000">
    <w:name w:val="Omtale30000000"/>
    <w:basedOn w:val="Standardskriftforavsnitt"/>
    <w:uiPriority w:val="99"/>
    <w:unhideWhenUsed/>
    <w:rsid w:val="002868AA"/>
    <w:rPr>
      <w:color w:val="2B579A"/>
      <w:shd w:val="clear" w:color="auto" w:fill="E1DFDD"/>
    </w:rPr>
  </w:style>
  <w:style w:type="character" w:customStyle="1" w:styleId="Ulstomtale400000000">
    <w:name w:val="Uløst omtale400000000"/>
    <w:basedOn w:val="Standardskriftforavsnitt"/>
    <w:uiPriority w:val="99"/>
    <w:unhideWhenUsed/>
    <w:rsid w:val="00977D64"/>
    <w:rPr>
      <w:color w:val="605E5C"/>
      <w:shd w:val="clear" w:color="auto" w:fill="E1DFDD"/>
    </w:rPr>
  </w:style>
  <w:style w:type="character" w:customStyle="1" w:styleId="Omtale300000000">
    <w:name w:val="Omtale300000000"/>
    <w:basedOn w:val="Standardskriftforavsnitt"/>
    <w:uiPriority w:val="99"/>
    <w:unhideWhenUsed/>
    <w:rsid w:val="00977D64"/>
    <w:rPr>
      <w:color w:val="2B579A"/>
      <w:shd w:val="clear" w:color="auto" w:fill="E1DFDD"/>
    </w:rPr>
  </w:style>
  <w:style w:type="character" w:customStyle="1" w:styleId="Ulstomtale4000000000">
    <w:name w:val="Uløst omtale4000000000"/>
    <w:basedOn w:val="Standardskriftforavsnitt"/>
    <w:uiPriority w:val="99"/>
    <w:unhideWhenUsed/>
    <w:rsid w:val="00635105"/>
    <w:rPr>
      <w:color w:val="605E5C"/>
      <w:shd w:val="clear" w:color="auto" w:fill="E1DFDD"/>
    </w:rPr>
  </w:style>
  <w:style w:type="character" w:customStyle="1" w:styleId="Omtale3000000000">
    <w:name w:val="Omtale3000000000"/>
    <w:basedOn w:val="Standardskriftforavsnitt"/>
    <w:uiPriority w:val="99"/>
    <w:unhideWhenUsed/>
    <w:rsid w:val="00635105"/>
    <w:rPr>
      <w:color w:val="2B579A"/>
      <w:shd w:val="clear" w:color="auto" w:fill="E1DFDD"/>
    </w:rPr>
  </w:style>
  <w:style w:type="paragraph" w:customStyle="1" w:styleId="alfaliste">
    <w:name w:val="alfaliste"/>
    <w:basedOn w:val="Nummerertliste"/>
    <w:rsid w:val="00FC323C"/>
    <w:pPr>
      <w:numPr>
        <w:numId w:val="41"/>
      </w:numPr>
    </w:pPr>
    <w:rPr>
      <w:spacing w:val="4"/>
    </w:rPr>
  </w:style>
  <w:style w:type="paragraph" w:customStyle="1" w:styleId="alfaliste2">
    <w:name w:val="alfaliste 2"/>
    <w:basedOn w:val="alfaliste"/>
    <w:next w:val="alfaliste"/>
    <w:rsid w:val="00FC323C"/>
    <w:pPr>
      <w:numPr>
        <w:numId w:val="26"/>
      </w:numPr>
    </w:pPr>
  </w:style>
  <w:style w:type="paragraph" w:customStyle="1" w:styleId="alfaliste3">
    <w:name w:val="alfaliste 3"/>
    <w:basedOn w:val="alfaliste"/>
    <w:autoRedefine/>
    <w:qFormat/>
    <w:rsid w:val="00FC323C"/>
    <w:pPr>
      <w:numPr>
        <w:numId w:val="32"/>
      </w:numPr>
    </w:pPr>
  </w:style>
  <w:style w:type="paragraph" w:customStyle="1" w:styleId="alfaliste4">
    <w:name w:val="alfaliste 4"/>
    <w:basedOn w:val="alfaliste"/>
    <w:qFormat/>
    <w:rsid w:val="00FC323C"/>
    <w:pPr>
      <w:numPr>
        <w:numId w:val="33"/>
      </w:numPr>
      <w:ind w:left="1588" w:hanging="397"/>
    </w:pPr>
  </w:style>
  <w:style w:type="paragraph" w:customStyle="1" w:styleId="alfaliste5">
    <w:name w:val="alfaliste 5"/>
    <w:basedOn w:val="alfaliste"/>
    <w:qFormat/>
    <w:rsid w:val="00FC323C"/>
    <w:pPr>
      <w:numPr>
        <w:numId w:val="34"/>
      </w:numPr>
      <w:ind w:left="1985" w:hanging="397"/>
    </w:pPr>
  </w:style>
  <w:style w:type="paragraph" w:customStyle="1" w:styleId="avsnitt-tittel">
    <w:name w:val="avsnitt-tittel"/>
    <w:basedOn w:val="Undertittel"/>
    <w:next w:val="Normal"/>
    <w:rsid w:val="00FC323C"/>
    <w:rPr>
      <w:b w:val="0"/>
    </w:rPr>
  </w:style>
  <w:style w:type="paragraph" w:customStyle="1" w:styleId="avsnitt-undertittel">
    <w:name w:val="avsnitt-undertittel"/>
    <w:basedOn w:val="Undertittel"/>
    <w:next w:val="Normal"/>
    <w:rsid w:val="00FC323C"/>
    <w:pPr>
      <w:spacing w:line="240" w:lineRule="auto"/>
    </w:pPr>
    <w:rPr>
      <w:rFonts w:eastAsia="Batang"/>
      <w:b w:val="0"/>
      <w:i/>
      <w:sz w:val="24"/>
      <w:szCs w:val="20"/>
    </w:rPr>
  </w:style>
  <w:style w:type="paragraph" w:customStyle="1" w:styleId="avsnitt-under-undertittel">
    <w:name w:val="avsnitt-under-undertittel"/>
    <w:basedOn w:val="Undertittel"/>
    <w:next w:val="Normal"/>
    <w:rsid w:val="00FC323C"/>
    <w:pPr>
      <w:spacing w:line="240" w:lineRule="auto"/>
    </w:pPr>
    <w:rPr>
      <w:rFonts w:eastAsia="Batang"/>
      <w:b w:val="0"/>
      <w:i/>
      <w:sz w:val="22"/>
      <w:szCs w:val="20"/>
    </w:rPr>
  </w:style>
  <w:style w:type="paragraph" w:customStyle="1" w:styleId="Def">
    <w:name w:val="Def"/>
    <w:basedOn w:val="Normal"/>
    <w:qFormat/>
    <w:rsid w:val="00FC323C"/>
  </w:style>
  <w:style w:type="paragraph" w:customStyle="1" w:styleId="figur-beskr">
    <w:name w:val="figur-beskr"/>
    <w:basedOn w:val="Normal"/>
    <w:next w:val="Normal"/>
    <w:rsid w:val="00FC323C"/>
    <w:rPr>
      <w:spacing w:val="4"/>
    </w:rPr>
  </w:style>
  <w:style w:type="paragraph" w:customStyle="1" w:styleId="figur-tittel">
    <w:name w:val="figur-tittel"/>
    <w:basedOn w:val="Normal"/>
    <w:next w:val="Normal"/>
    <w:rsid w:val="00FC323C"/>
    <w:pPr>
      <w:numPr>
        <w:ilvl w:val="5"/>
        <w:numId w:val="20"/>
      </w:numPr>
    </w:pPr>
    <w:rPr>
      <w:spacing w:val="4"/>
      <w:sz w:val="28"/>
    </w:rPr>
  </w:style>
  <w:style w:type="character" w:customStyle="1" w:styleId="halvfet">
    <w:name w:val="halvfet"/>
    <w:basedOn w:val="Standardskriftforavsnitt"/>
    <w:rsid w:val="00FC323C"/>
    <w:rPr>
      <w:b/>
    </w:rPr>
  </w:style>
  <w:style w:type="paragraph" w:customStyle="1" w:styleId="hengende-innrykk">
    <w:name w:val="hengende-innrykk"/>
    <w:basedOn w:val="Normal"/>
    <w:next w:val="Normal"/>
    <w:rsid w:val="00FC323C"/>
    <w:pPr>
      <w:ind w:left="1418" w:hanging="1418"/>
    </w:pPr>
    <w:rPr>
      <w:spacing w:val="4"/>
    </w:rPr>
  </w:style>
  <w:style w:type="paragraph" w:customStyle="1" w:styleId="Kilde">
    <w:name w:val="Kilde"/>
    <w:basedOn w:val="Normal"/>
    <w:next w:val="Normal"/>
    <w:rsid w:val="00FC323C"/>
    <w:pPr>
      <w:spacing w:after="240"/>
    </w:pPr>
    <w:rPr>
      <w:spacing w:val="4"/>
    </w:rPr>
  </w:style>
  <w:style w:type="character" w:customStyle="1" w:styleId="kursiv">
    <w:name w:val="kursiv"/>
    <w:basedOn w:val="Standardskriftforavsnitt"/>
    <w:rsid w:val="00FC323C"/>
    <w:rPr>
      <w:i/>
    </w:rPr>
  </w:style>
  <w:style w:type="character" w:customStyle="1" w:styleId="l-endring">
    <w:name w:val="l-endring"/>
    <w:basedOn w:val="Standardskriftforavsnitt"/>
    <w:rsid w:val="00FC323C"/>
    <w:rPr>
      <w:i/>
    </w:rPr>
  </w:style>
  <w:style w:type="paragraph" w:customStyle="1" w:styleId="l-lovdeltit">
    <w:name w:val="l-lovdeltit"/>
    <w:basedOn w:val="Normal"/>
    <w:next w:val="Normal"/>
    <w:rsid w:val="00FC323C"/>
    <w:pPr>
      <w:keepNext/>
      <w:spacing w:before="120" w:after="60"/>
    </w:pPr>
    <w:rPr>
      <w:b/>
    </w:rPr>
  </w:style>
  <w:style w:type="paragraph" w:customStyle="1" w:styleId="l-lovkap">
    <w:name w:val="l-lovkap"/>
    <w:basedOn w:val="Normal"/>
    <w:next w:val="Normal"/>
    <w:rsid w:val="00FC323C"/>
    <w:pPr>
      <w:keepNext/>
      <w:spacing w:before="240" w:after="40"/>
    </w:pPr>
    <w:rPr>
      <w:b/>
      <w:spacing w:val="4"/>
    </w:rPr>
  </w:style>
  <w:style w:type="paragraph" w:customStyle="1" w:styleId="l-lovtit">
    <w:name w:val="l-lovtit"/>
    <w:basedOn w:val="Normal"/>
    <w:next w:val="Normal"/>
    <w:rsid w:val="00FC323C"/>
    <w:pPr>
      <w:keepNext/>
      <w:spacing w:before="120" w:after="60"/>
    </w:pPr>
    <w:rPr>
      <w:b/>
      <w:spacing w:val="4"/>
    </w:rPr>
  </w:style>
  <w:style w:type="paragraph" w:customStyle="1" w:styleId="l-paragraf">
    <w:name w:val="l-paragraf"/>
    <w:basedOn w:val="Normal"/>
    <w:next w:val="Normal"/>
    <w:rsid w:val="00FC323C"/>
    <w:pPr>
      <w:spacing w:before="180" w:after="0"/>
    </w:pPr>
    <w:rPr>
      <w:rFonts w:ascii="Times" w:hAnsi="Times"/>
      <w:i/>
      <w:spacing w:val="4"/>
    </w:rPr>
  </w:style>
  <w:style w:type="paragraph" w:customStyle="1" w:styleId="opplisting">
    <w:name w:val="opplisting"/>
    <w:basedOn w:val="Liste"/>
    <w:qFormat/>
    <w:rsid w:val="00FC323C"/>
    <w:pPr>
      <w:numPr>
        <w:numId w:val="0"/>
      </w:numPr>
      <w:tabs>
        <w:tab w:val="left" w:pos="397"/>
      </w:tabs>
    </w:pPr>
    <w:rPr>
      <w:rFonts w:cs="Times New Roman"/>
    </w:rPr>
  </w:style>
  <w:style w:type="paragraph" w:customStyle="1" w:styleId="Ramme-slutt">
    <w:name w:val="Ramme-slutt"/>
    <w:basedOn w:val="Normal"/>
    <w:qFormat/>
    <w:rsid w:val="00FC323C"/>
    <w:rPr>
      <w:b/>
      <w:color w:val="C00000"/>
    </w:rPr>
  </w:style>
  <w:style w:type="paragraph" w:customStyle="1" w:styleId="romertallliste">
    <w:name w:val="romertall liste"/>
    <w:basedOn w:val="Nummerertliste"/>
    <w:qFormat/>
    <w:rsid w:val="00FC323C"/>
    <w:pPr>
      <w:numPr>
        <w:numId w:val="35"/>
      </w:numPr>
      <w:ind w:left="397" w:hanging="397"/>
    </w:pPr>
  </w:style>
  <w:style w:type="paragraph" w:customStyle="1" w:styleId="romertallliste2">
    <w:name w:val="romertall liste 2"/>
    <w:basedOn w:val="romertallliste"/>
    <w:qFormat/>
    <w:rsid w:val="00FC323C"/>
    <w:pPr>
      <w:numPr>
        <w:numId w:val="36"/>
      </w:numPr>
      <w:ind w:left="794" w:hanging="397"/>
    </w:pPr>
  </w:style>
  <w:style w:type="paragraph" w:customStyle="1" w:styleId="romertallliste3">
    <w:name w:val="romertall liste 3"/>
    <w:basedOn w:val="romertallliste"/>
    <w:qFormat/>
    <w:rsid w:val="00FC323C"/>
    <w:pPr>
      <w:numPr>
        <w:numId w:val="37"/>
      </w:numPr>
      <w:ind w:left="1191" w:hanging="397"/>
    </w:pPr>
  </w:style>
  <w:style w:type="paragraph" w:customStyle="1" w:styleId="romertallliste4">
    <w:name w:val="romertall liste 4"/>
    <w:basedOn w:val="romertallliste"/>
    <w:qFormat/>
    <w:rsid w:val="00FC323C"/>
    <w:pPr>
      <w:numPr>
        <w:numId w:val="38"/>
      </w:numPr>
      <w:ind w:left="1588" w:hanging="397"/>
    </w:pPr>
  </w:style>
  <w:style w:type="character" w:customStyle="1" w:styleId="skrift-hevet">
    <w:name w:val="skrift-hevet"/>
    <w:basedOn w:val="Standardskriftforavsnitt"/>
    <w:rsid w:val="00FC323C"/>
    <w:rPr>
      <w:sz w:val="20"/>
      <w:vertAlign w:val="superscript"/>
    </w:rPr>
  </w:style>
  <w:style w:type="character" w:customStyle="1" w:styleId="skrift-senket">
    <w:name w:val="skrift-senket"/>
    <w:basedOn w:val="Standardskriftforavsnitt"/>
    <w:rsid w:val="00FC323C"/>
    <w:rPr>
      <w:sz w:val="20"/>
      <w:vertAlign w:val="subscript"/>
    </w:rPr>
  </w:style>
  <w:style w:type="character" w:customStyle="1" w:styleId="sperret">
    <w:name w:val="sperret"/>
    <w:basedOn w:val="Standardskriftforavsnitt"/>
    <w:rsid w:val="00FC323C"/>
    <w:rPr>
      <w:spacing w:val="30"/>
    </w:rPr>
  </w:style>
  <w:style w:type="character" w:customStyle="1" w:styleId="Stikkord">
    <w:name w:val="Stikkord"/>
    <w:basedOn w:val="Standardskriftforavsnitt"/>
    <w:rsid w:val="00FC323C"/>
  </w:style>
  <w:style w:type="paragraph" w:customStyle="1" w:styleId="Tabellnavn">
    <w:name w:val="Tabellnavn"/>
    <w:basedOn w:val="Normal"/>
    <w:qFormat/>
    <w:rsid w:val="00FC323C"/>
    <w:rPr>
      <w:rFonts w:ascii="Times" w:hAnsi="Times"/>
      <w:vanish/>
      <w:color w:val="00B050"/>
    </w:rPr>
  </w:style>
  <w:style w:type="paragraph" w:customStyle="1" w:styleId="tabell-tittel">
    <w:name w:val="tabell-tittel"/>
    <w:basedOn w:val="Normal"/>
    <w:next w:val="Normal"/>
    <w:rsid w:val="00FC323C"/>
    <w:pPr>
      <w:keepNext/>
      <w:keepLines/>
      <w:numPr>
        <w:ilvl w:val="6"/>
        <w:numId w:val="20"/>
      </w:numPr>
      <w:spacing w:before="240"/>
    </w:pPr>
    <w:rPr>
      <w:spacing w:val="4"/>
      <w:sz w:val="28"/>
    </w:rPr>
  </w:style>
  <w:style w:type="paragraph" w:customStyle="1" w:styleId="Term">
    <w:name w:val="Term"/>
    <w:basedOn w:val="Normal"/>
    <w:qFormat/>
    <w:rsid w:val="00FC323C"/>
  </w:style>
  <w:style w:type="paragraph" w:customStyle="1" w:styleId="tittel-ramme">
    <w:name w:val="tittel-ramme"/>
    <w:basedOn w:val="Normal"/>
    <w:next w:val="Normal"/>
    <w:rsid w:val="00FC323C"/>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FC323C"/>
    <w:tblPr/>
    <w:tcPr>
      <w:shd w:val="clear" w:color="auto" w:fill="auto"/>
    </w:tcPr>
    <w:tblStylePr w:type="firstRow">
      <w:tblPr/>
      <w:tcPr>
        <w:shd w:val="clear" w:color="auto" w:fill="FFF8E2" w:themeFill="accent1" w:themeFillTint="33"/>
      </w:tcPr>
    </w:tblStylePr>
  </w:style>
  <w:style w:type="table" w:styleId="Tabelltemaer">
    <w:name w:val="Table Theme"/>
    <w:basedOn w:val="Vanligtabell"/>
    <w:uiPriority w:val="99"/>
    <w:semiHidden/>
    <w:unhideWhenUsed/>
    <w:rsid w:val="00FC323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C323C"/>
    <w:tblPr/>
    <w:tcPr>
      <w:shd w:val="clear" w:color="auto" w:fill="auto"/>
    </w:tcPr>
    <w:tblStylePr w:type="firstRow">
      <w:tblPr/>
      <w:tcPr>
        <w:shd w:val="clear" w:color="auto" w:fill="FFF8E2" w:themeFill="accent1" w:themeFillTint="33"/>
      </w:tcPr>
    </w:tblStylePr>
  </w:style>
  <w:style w:type="table" w:customStyle="1" w:styleId="SbudTabell-0">
    <w:name w:val="SbudTabell-0"/>
    <w:basedOn w:val="Vanligtabell"/>
    <w:uiPriority w:val="99"/>
    <w:qFormat/>
    <w:rsid w:val="00FC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C323C"/>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FFF8E2" w:themeFill="accent1" w:themeFillTint="33"/>
      </w:tcPr>
    </w:tblStylePr>
  </w:style>
  <w:style w:type="table" w:customStyle="1" w:styleId="StandardTabell">
    <w:name w:val="StandardTabell"/>
    <w:basedOn w:val="Vanligtabell"/>
    <w:uiPriority w:val="99"/>
    <w:qFormat/>
    <w:rsid w:val="00FC323C"/>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C323C"/>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C323C"/>
    <w:pPr>
      <w:numPr>
        <w:numId w:val="19"/>
      </w:numPr>
    </w:pPr>
  </w:style>
  <w:style w:type="paragraph" w:customStyle="1" w:styleId="Figur">
    <w:name w:val="Figur"/>
    <w:basedOn w:val="Normal"/>
    <w:rsid w:val="00FC323C"/>
    <w:pPr>
      <w:suppressAutoHyphens/>
      <w:spacing w:before="400" w:line="240" w:lineRule="auto"/>
      <w:jc w:val="center"/>
    </w:pPr>
    <w:rPr>
      <w:b/>
      <w:color w:val="FF0000"/>
    </w:rPr>
  </w:style>
  <w:style w:type="paragraph" w:customStyle="1" w:styleId="l-ledd">
    <w:name w:val="l-ledd"/>
    <w:basedOn w:val="Normal"/>
    <w:qFormat/>
    <w:rsid w:val="00FC323C"/>
    <w:pPr>
      <w:spacing w:after="0"/>
      <w:ind w:firstLine="397"/>
    </w:pPr>
    <w:rPr>
      <w:rFonts w:ascii="Times" w:hAnsi="Times"/>
      <w:spacing w:val="4"/>
    </w:rPr>
  </w:style>
  <w:style w:type="paragraph" w:customStyle="1" w:styleId="l-punktum">
    <w:name w:val="l-punktum"/>
    <w:basedOn w:val="Normal"/>
    <w:qFormat/>
    <w:rsid w:val="00FC323C"/>
    <w:pPr>
      <w:spacing w:after="0"/>
    </w:pPr>
    <w:rPr>
      <w:spacing w:val="4"/>
    </w:rPr>
  </w:style>
  <w:style w:type="paragraph" w:customStyle="1" w:styleId="l-tit-endr-lovkap">
    <w:name w:val="l-tit-endr-lovkap"/>
    <w:basedOn w:val="Normal"/>
    <w:qFormat/>
    <w:rsid w:val="00FC323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FC323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C323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FC323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C323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C323C"/>
  </w:style>
  <w:style w:type="paragraph" w:customStyle="1" w:styleId="l-alfaliste">
    <w:name w:val="l-alfaliste"/>
    <w:basedOn w:val="alfaliste"/>
    <w:qFormat/>
    <w:rsid w:val="00FC323C"/>
    <w:pPr>
      <w:numPr>
        <w:numId w:val="0"/>
      </w:numPr>
    </w:pPr>
    <w:rPr>
      <w:rFonts w:eastAsiaTheme="minorEastAsia"/>
    </w:rPr>
  </w:style>
  <w:style w:type="numbering" w:customStyle="1" w:styleId="AlfaListeStil">
    <w:name w:val="AlfaListeStil"/>
    <w:uiPriority w:val="99"/>
    <w:rsid w:val="00FC323C"/>
    <w:pPr>
      <w:numPr>
        <w:numId w:val="41"/>
      </w:numPr>
    </w:pPr>
  </w:style>
  <w:style w:type="paragraph" w:customStyle="1" w:styleId="l-alfaliste2">
    <w:name w:val="l-alfaliste 2"/>
    <w:basedOn w:val="alfaliste2"/>
    <w:qFormat/>
    <w:rsid w:val="00FC323C"/>
    <w:pPr>
      <w:numPr>
        <w:numId w:val="0"/>
      </w:numPr>
    </w:pPr>
  </w:style>
  <w:style w:type="paragraph" w:customStyle="1" w:styleId="l-alfaliste3">
    <w:name w:val="l-alfaliste 3"/>
    <w:basedOn w:val="alfaliste3"/>
    <w:qFormat/>
    <w:rsid w:val="00FC323C"/>
    <w:pPr>
      <w:numPr>
        <w:numId w:val="0"/>
      </w:numPr>
    </w:pPr>
  </w:style>
  <w:style w:type="paragraph" w:customStyle="1" w:styleId="l-alfaliste4">
    <w:name w:val="l-alfaliste 4"/>
    <w:basedOn w:val="alfaliste4"/>
    <w:qFormat/>
    <w:rsid w:val="00FC323C"/>
    <w:pPr>
      <w:numPr>
        <w:numId w:val="0"/>
      </w:numPr>
    </w:pPr>
  </w:style>
  <w:style w:type="paragraph" w:customStyle="1" w:styleId="l-alfaliste5">
    <w:name w:val="l-alfaliste 5"/>
    <w:basedOn w:val="alfaliste5"/>
    <w:qFormat/>
    <w:rsid w:val="00FC323C"/>
    <w:pPr>
      <w:numPr>
        <w:numId w:val="0"/>
      </w:numPr>
    </w:pPr>
  </w:style>
  <w:style w:type="numbering" w:customStyle="1" w:styleId="l-AlfaListeStil">
    <w:name w:val="l-AlfaListeStil"/>
    <w:uiPriority w:val="99"/>
    <w:rsid w:val="00FC323C"/>
  </w:style>
  <w:style w:type="numbering" w:customStyle="1" w:styleId="l-NummerertListeStil">
    <w:name w:val="l-NummerertListeStil"/>
    <w:uiPriority w:val="99"/>
    <w:rsid w:val="00FC323C"/>
    <w:pPr>
      <w:numPr>
        <w:numId w:val="9"/>
      </w:numPr>
    </w:pPr>
  </w:style>
  <w:style w:type="numbering" w:customStyle="1" w:styleId="NrListeStil">
    <w:name w:val="NrListeStil"/>
    <w:uiPriority w:val="99"/>
    <w:rsid w:val="00FC323C"/>
    <w:pPr>
      <w:numPr>
        <w:numId w:val="10"/>
      </w:numPr>
    </w:pPr>
  </w:style>
  <w:style w:type="numbering" w:customStyle="1" w:styleId="OpplistingListeStil">
    <w:name w:val="OpplistingListeStil"/>
    <w:uiPriority w:val="99"/>
    <w:rsid w:val="00FC323C"/>
    <w:pPr>
      <w:numPr>
        <w:numId w:val="40"/>
      </w:numPr>
    </w:pPr>
  </w:style>
  <w:style w:type="numbering" w:customStyle="1" w:styleId="OverskrifterListeStil">
    <w:name w:val="OverskrifterListeStil"/>
    <w:uiPriority w:val="99"/>
    <w:rsid w:val="00FC323C"/>
    <w:pPr>
      <w:numPr>
        <w:numId w:val="11"/>
      </w:numPr>
    </w:pPr>
  </w:style>
  <w:style w:type="numbering" w:customStyle="1" w:styleId="RomListeStil">
    <w:name w:val="RomListeStil"/>
    <w:uiPriority w:val="99"/>
    <w:rsid w:val="00FC323C"/>
    <w:pPr>
      <w:numPr>
        <w:numId w:val="12"/>
      </w:numPr>
    </w:pPr>
  </w:style>
  <w:style w:type="numbering" w:customStyle="1" w:styleId="StrekListeStil">
    <w:name w:val="StrekListeStil"/>
    <w:uiPriority w:val="99"/>
    <w:rsid w:val="00FC323C"/>
    <w:pPr>
      <w:numPr>
        <w:numId w:val="13"/>
      </w:numPr>
    </w:pPr>
  </w:style>
  <w:style w:type="paragraph" w:customStyle="1" w:styleId="romertallliste5">
    <w:name w:val="romertall liste 5"/>
    <w:basedOn w:val="romertallliste"/>
    <w:qFormat/>
    <w:rsid w:val="00FC323C"/>
    <w:pPr>
      <w:numPr>
        <w:numId w:val="39"/>
      </w:numPr>
      <w:ind w:left="1985" w:hanging="397"/>
    </w:pPr>
    <w:rPr>
      <w:spacing w:val="4"/>
    </w:rPr>
  </w:style>
  <w:style w:type="paragraph" w:customStyle="1" w:styleId="opplisting2">
    <w:name w:val="opplisting 2"/>
    <w:basedOn w:val="opplisting"/>
    <w:qFormat/>
    <w:rsid w:val="00FC323C"/>
    <w:pPr>
      <w:ind w:left="397"/>
    </w:pPr>
    <w:rPr>
      <w:lang w:val="en-US"/>
    </w:rPr>
  </w:style>
  <w:style w:type="paragraph" w:customStyle="1" w:styleId="opplisting3">
    <w:name w:val="opplisting 3"/>
    <w:basedOn w:val="opplisting"/>
    <w:qFormat/>
    <w:rsid w:val="00FC323C"/>
    <w:pPr>
      <w:ind w:left="794"/>
    </w:pPr>
  </w:style>
  <w:style w:type="paragraph" w:customStyle="1" w:styleId="opplisting4">
    <w:name w:val="opplisting 4"/>
    <w:basedOn w:val="opplisting"/>
    <w:qFormat/>
    <w:rsid w:val="00FC323C"/>
    <w:pPr>
      <w:ind w:left="1191"/>
    </w:pPr>
  </w:style>
  <w:style w:type="paragraph" w:customStyle="1" w:styleId="opplisting5">
    <w:name w:val="opplisting 5"/>
    <w:basedOn w:val="opplisting"/>
    <w:qFormat/>
    <w:rsid w:val="00FC323C"/>
    <w:pPr>
      <w:ind w:left="1588"/>
    </w:pPr>
  </w:style>
  <w:style w:type="paragraph" w:customStyle="1" w:styleId="friliste">
    <w:name w:val="friliste"/>
    <w:basedOn w:val="Normal"/>
    <w:qFormat/>
    <w:rsid w:val="00FC323C"/>
    <w:pPr>
      <w:tabs>
        <w:tab w:val="left" w:pos="397"/>
      </w:tabs>
      <w:spacing w:after="0"/>
      <w:ind w:left="397" w:hanging="397"/>
    </w:pPr>
  </w:style>
  <w:style w:type="paragraph" w:customStyle="1" w:styleId="friliste2">
    <w:name w:val="friliste 2"/>
    <w:basedOn w:val="friliste"/>
    <w:qFormat/>
    <w:rsid w:val="00FC323C"/>
    <w:pPr>
      <w:tabs>
        <w:tab w:val="left" w:pos="794"/>
      </w:tabs>
      <w:spacing w:before="0"/>
      <w:ind w:left="794"/>
    </w:pPr>
  </w:style>
  <w:style w:type="paragraph" w:customStyle="1" w:styleId="friliste3">
    <w:name w:val="friliste 3"/>
    <w:basedOn w:val="friliste"/>
    <w:qFormat/>
    <w:rsid w:val="00FC323C"/>
    <w:pPr>
      <w:tabs>
        <w:tab w:val="left" w:pos="1191"/>
      </w:tabs>
      <w:spacing w:before="0"/>
      <w:ind w:left="1191"/>
    </w:pPr>
  </w:style>
  <w:style w:type="paragraph" w:customStyle="1" w:styleId="friliste4">
    <w:name w:val="friliste 4"/>
    <w:basedOn w:val="friliste"/>
    <w:qFormat/>
    <w:rsid w:val="00FC323C"/>
    <w:pPr>
      <w:tabs>
        <w:tab w:val="left" w:pos="1588"/>
      </w:tabs>
      <w:spacing w:before="0"/>
      <w:ind w:left="1588"/>
    </w:pPr>
  </w:style>
  <w:style w:type="paragraph" w:customStyle="1" w:styleId="friliste5">
    <w:name w:val="friliste 5"/>
    <w:basedOn w:val="friliste"/>
    <w:qFormat/>
    <w:rsid w:val="00FC323C"/>
    <w:pPr>
      <w:tabs>
        <w:tab w:val="left" w:pos="1985"/>
      </w:tabs>
      <w:spacing w:before="0"/>
      <w:ind w:left="1985"/>
    </w:pPr>
  </w:style>
  <w:style w:type="paragraph" w:customStyle="1" w:styleId="blokksit">
    <w:name w:val="blokksit"/>
    <w:basedOn w:val="Normal"/>
    <w:autoRedefine/>
    <w:qFormat/>
    <w:rsid w:val="00FC323C"/>
    <w:pPr>
      <w:spacing w:line="240" w:lineRule="auto"/>
      <w:ind w:left="397"/>
    </w:pPr>
    <w:rPr>
      <w:spacing w:val="-2"/>
    </w:rPr>
  </w:style>
  <w:style w:type="character" w:customStyle="1" w:styleId="regular">
    <w:name w:val="regular"/>
    <w:basedOn w:val="Standardskriftforavsnitt"/>
    <w:uiPriority w:val="1"/>
    <w:qFormat/>
    <w:rsid w:val="00FC323C"/>
    <w:rPr>
      <w:i/>
    </w:rPr>
  </w:style>
  <w:style w:type="character" w:customStyle="1" w:styleId="gjennomstreket">
    <w:name w:val="gjennomstreket"/>
    <w:uiPriority w:val="1"/>
    <w:rsid w:val="00FC323C"/>
    <w:rPr>
      <w:strike/>
      <w:dstrike w:val="0"/>
    </w:rPr>
  </w:style>
  <w:style w:type="paragraph" w:customStyle="1" w:styleId="l-avsnitt">
    <w:name w:val="l-avsnitt"/>
    <w:basedOn w:val="l-lovkap"/>
    <w:qFormat/>
    <w:rsid w:val="00FC323C"/>
    <w:rPr>
      <w:lang w:val="nn-NO"/>
    </w:rPr>
  </w:style>
  <w:style w:type="paragraph" w:customStyle="1" w:styleId="l-tit-endr-avsnitt">
    <w:name w:val="l-tit-endr-avsnitt"/>
    <w:basedOn w:val="l-tit-endr-lovkap"/>
    <w:qFormat/>
    <w:rsid w:val="00FC323C"/>
  </w:style>
  <w:style w:type="paragraph" w:customStyle="1" w:styleId="Listebombe">
    <w:name w:val="Liste bombe"/>
    <w:basedOn w:val="Liste"/>
    <w:qFormat/>
    <w:rsid w:val="00FC323C"/>
    <w:pPr>
      <w:numPr>
        <w:numId w:val="14"/>
      </w:numPr>
      <w:ind w:left="397" w:hanging="397"/>
    </w:pPr>
  </w:style>
  <w:style w:type="paragraph" w:styleId="Liste">
    <w:name w:val="List"/>
    <w:basedOn w:val="Nummerertliste"/>
    <w:qFormat/>
    <w:rsid w:val="00FC323C"/>
    <w:pPr>
      <w:numPr>
        <w:numId w:val="21"/>
      </w:numPr>
      <w:ind w:left="397" w:hanging="397"/>
      <w:contextualSpacing/>
    </w:pPr>
    <w:rPr>
      <w:spacing w:val="4"/>
    </w:rPr>
  </w:style>
  <w:style w:type="paragraph" w:customStyle="1" w:styleId="Listebombe2">
    <w:name w:val="Liste bombe 2"/>
    <w:basedOn w:val="Liste2"/>
    <w:qFormat/>
    <w:rsid w:val="00FC323C"/>
    <w:pPr>
      <w:numPr>
        <w:numId w:val="15"/>
      </w:numPr>
      <w:ind w:left="794" w:hanging="397"/>
    </w:pPr>
  </w:style>
  <w:style w:type="paragraph" w:styleId="Liste2">
    <w:name w:val="List 2"/>
    <w:basedOn w:val="Liste"/>
    <w:qFormat/>
    <w:rsid w:val="00FC323C"/>
    <w:pPr>
      <w:numPr>
        <w:numId w:val="22"/>
      </w:numPr>
      <w:ind w:left="794" w:hanging="397"/>
    </w:pPr>
  </w:style>
  <w:style w:type="paragraph" w:customStyle="1" w:styleId="Listebombe3">
    <w:name w:val="Liste bombe 3"/>
    <w:basedOn w:val="Liste3"/>
    <w:qFormat/>
    <w:rsid w:val="00FC323C"/>
    <w:pPr>
      <w:numPr>
        <w:numId w:val="16"/>
      </w:numPr>
      <w:ind w:left="1191" w:hanging="397"/>
    </w:pPr>
  </w:style>
  <w:style w:type="paragraph" w:styleId="Liste3">
    <w:name w:val="List 3"/>
    <w:basedOn w:val="Liste"/>
    <w:qFormat/>
    <w:rsid w:val="00FC323C"/>
    <w:pPr>
      <w:numPr>
        <w:numId w:val="23"/>
      </w:numPr>
      <w:ind w:left="1191" w:hanging="397"/>
    </w:pPr>
  </w:style>
  <w:style w:type="paragraph" w:customStyle="1" w:styleId="Listebombe4">
    <w:name w:val="Liste bombe 4"/>
    <w:basedOn w:val="Liste4"/>
    <w:qFormat/>
    <w:rsid w:val="00FC323C"/>
    <w:pPr>
      <w:numPr>
        <w:numId w:val="17"/>
      </w:numPr>
      <w:ind w:left="1588" w:hanging="397"/>
    </w:pPr>
  </w:style>
  <w:style w:type="paragraph" w:styleId="Liste4">
    <w:name w:val="List 4"/>
    <w:basedOn w:val="Liste"/>
    <w:qFormat/>
    <w:rsid w:val="00FC323C"/>
    <w:pPr>
      <w:numPr>
        <w:numId w:val="24"/>
      </w:numPr>
      <w:ind w:left="1588" w:hanging="397"/>
    </w:pPr>
  </w:style>
  <w:style w:type="paragraph" w:customStyle="1" w:styleId="Listebombe5">
    <w:name w:val="Liste bombe 5"/>
    <w:basedOn w:val="Liste5"/>
    <w:qFormat/>
    <w:rsid w:val="00FC323C"/>
    <w:pPr>
      <w:numPr>
        <w:numId w:val="18"/>
      </w:numPr>
      <w:ind w:left="1985" w:hanging="397"/>
    </w:pPr>
  </w:style>
  <w:style w:type="paragraph" w:styleId="Liste5">
    <w:name w:val="List 5"/>
    <w:basedOn w:val="Liste"/>
    <w:qFormat/>
    <w:rsid w:val="00FC323C"/>
    <w:pPr>
      <w:numPr>
        <w:numId w:val="25"/>
      </w:numPr>
      <w:ind w:left="1985" w:hanging="397"/>
    </w:pPr>
  </w:style>
  <w:style w:type="paragraph" w:customStyle="1" w:styleId="Listeavsnitt2">
    <w:name w:val="Listeavsnitt 2"/>
    <w:basedOn w:val="Listeavsnitt"/>
    <w:qFormat/>
    <w:rsid w:val="00FC323C"/>
    <w:pPr>
      <w:ind w:left="794"/>
    </w:pPr>
  </w:style>
  <w:style w:type="paragraph" w:customStyle="1" w:styleId="Listeavsnitt3">
    <w:name w:val="Listeavsnitt 3"/>
    <w:basedOn w:val="Listeavsnitt"/>
    <w:qFormat/>
    <w:rsid w:val="00FC323C"/>
    <w:pPr>
      <w:ind w:left="1191"/>
    </w:pPr>
  </w:style>
  <w:style w:type="paragraph" w:customStyle="1" w:styleId="Listeavsnitt4">
    <w:name w:val="Listeavsnitt 4"/>
    <w:basedOn w:val="Listeavsnitt"/>
    <w:qFormat/>
    <w:rsid w:val="00FC323C"/>
    <w:pPr>
      <w:ind w:left="1588"/>
    </w:pPr>
  </w:style>
  <w:style w:type="paragraph" w:customStyle="1" w:styleId="Listeavsnitt5">
    <w:name w:val="Listeavsnitt 5"/>
    <w:basedOn w:val="Listeavsnitt"/>
    <w:qFormat/>
    <w:rsid w:val="00FC323C"/>
    <w:pPr>
      <w:ind w:left="1985"/>
    </w:pPr>
  </w:style>
  <w:style w:type="paragraph" w:customStyle="1" w:styleId="Petit">
    <w:name w:val="Petit"/>
    <w:basedOn w:val="Normal"/>
    <w:next w:val="Normal"/>
    <w:qFormat/>
    <w:rsid w:val="00FC323C"/>
    <w:rPr>
      <w:spacing w:val="6"/>
      <w:sz w:val="19"/>
    </w:rPr>
  </w:style>
  <w:style w:type="paragraph" w:customStyle="1" w:styleId="TrykkeriMerknad">
    <w:name w:val="TrykkeriMerknad"/>
    <w:basedOn w:val="Normal"/>
    <w:qFormat/>
    <w:rsid w:val="00FC323C"/>
    <w:pPr>
      <w:spacing w:before="60"/>
    </w:pPr>
    <w:rPr>
      <w:color w:val="67B783" w:themeColor="accent2" w:themeShade="BF"/>
      <w:spacing w:val="4"/>
      <w:sz w:val="26"/>
    </w:rPr>
  </w:style>
  <w:style w:type="paragraph" w:customStyle="1" w:styleId="ForfatterMerknad">
    <w:name w:val="ForfatterMerknad"/>
    <w:basedOn w:val="TrykkeriMerknad"/>
    <w:qFormat/>
    <w:rsid w:val="00FC323C"/>
    <w:pPr>
      <w:shd w:val="clear" w:color="auto" w:fill="FFFF99"/>
      <w:spacing w:line="240" w:lineRule="auto"/>
    </w:pPr>
    <w:rPr>
      <w:color w:val="3E8256" w:themeColor="accent2" w:themeShade="80"/>
    </w:rPr>
  </w:style>
  <w:style w:type="paragraph" w:customStyle="1" w:styleId="UnOverskrift1">
    <w:name w:val="UnOverskrift 1"/>
    <w:basedOn w:val="Overskrift1"/>
    <w:next w:val="Normal"/>
    <w:qFormat/>
    <w:rsid w:val="00FC323C"/>
    <w:pPr>
      <w:numPr>
        <w:numId w:val="0"/>
      </w:numPr>
    </w:pPr>
  </w:style>
  <w:style w:type="paragraph" w:customStyle="1" w:styleId="UnOverskrift2">
    <w:name w:val="UnOverskrift 2"/>
    <w:basedOn w:val="Overskrift2"/>
    <w:next w:val="Normal"/>
    <w:qFormat/>
    <w:rsid w:val="00FC323C"/>
    <w:pPr>
      <w:numPr>
        <w:ilvl w:val="0"/>
        <w:numId w:val="0"/>
      </w:numPr>
    </w:pPr>
  </w:style>
  <w:style w:type="paragraph" w:customStyle="1" w:styleId="UnOverskrift3">
    <w:name w:val="UnOverskrift 3"/>
    <w:basedOn w:val="Overskrift3"/>
    <w:next w:val="Normal"/>
    <w:qFormat/>
    <w:rsid w:val="00FC323C"/>
    <w:pPr>
      <w:numPr>
        <w:ilvl w:val="0"/>
        <w:numId w:val="0"/>
      </w:numPr>
    </w:pPr>
  </w:style>
  <w:style w:type="paragraph" w:customStyle="1" w:styleId="UnOverskrift4">
    <w:name w:val="UnOverskrift 4"/>
    <w:basedOn w:val="Overskrift4"/>
    <w:next w:val="Normal"/>
    <w:qFormat/>
    <w:rsid w:val="00FC323C"/>
    <w:pPr>
      <w:numPr>
        <w:ilvl w:val="0"/>
        <w:numId w:val="0"/>
      </w:numPr>
    </w:pPr>
  </w:style>
  <w:style w:type="paragraph" w:customStyle="1" w:styleId="UnOverskrift5">
    <w:name w:val="UnOverskrift 5"/>
    <w:basedOn w:val="Overskrift5"/>
    <w:next w:val="Normal"/>
    <w:qFormat/>
    <w:rsid w:val="00FC323C"/>
    <w:pPr>
      <w:numPr>
        <w:ilvl w:val="0"/>
        <w:numId w:val="0"/>
      </w:numPr>
    </w:pPr>
  </w:style>
  <w:style w:type="paragraph" w:customStyle="1" w:styleId="PublTittel">
    <w:name w:val="PublTittel"/>
    <w:basedOn w:val="Normal"/>
    <w:qFormat/>
    <w:rsid w:val="00FC323C"/>
    <w:pPr>
      <w:spacing w:before="80"/>
    </w:pPr>
    <w:rPr>
      <w:sz w:val="48"/>
      <w:szCs w:val="48"/>
    </w:rPr>
  </w:style>
  <w:style w:type="paragraph" w:customStyle="1" w:styleId="Ingress">
    <w:name w:val="Ingress"/>
    <w:basedOn w:val="Normal"/>
    <w:qFormat/>
    <w:rsid w:val="00FC323C"/>
    <w:rPr>
      <w:i/>
    </w:rPr>
  </w:style>
  <w:style w:type="paragraph" w:customStyle="1" w:styleId="Note">
    <w:name w:val="Note"/>
    <w:basedOn w:val="Normal"/>
    <w:qFormat/>
    <w:rsid w:val="00FC323C"/>
  </w:style>
  <w:style w:type="paragraph" w:customStyle="1" w:styleId="FigurAltTekst">
    <w:name w:val="FigurAltTekst"/>
    <w:basedOn w:val="Note"/>
    <w:qFormat/>
    <w:rsid w:val="00FC323C"/>
    <w:rPr>
      <w:color w:val="7030A0"/>
    </w:rPr>
  </w:style>
  <w:style w:type="paragraph" w:customStyle="1" w:styleId="meta-dep">
    <w:name w:val="meta-dep"/>
    <w:basedOn w:val="Normal"/>
    <w:next w:val="Normal"/>
    <w:qFormat/>
    <w:rsid w:val="00FC323C"/>
    <w:rPr>
      <w:rFonts w:ascii="Courier New" w:hAnsi="Courier New"/>
      <w:vanish/>
      <w:color w:val="C00000"/>
      <w:sz w:val="28"/>
    </w:rPr>
  </w:style>
  <w:style w:type="paragraph" w:customStyle="1" w:styleId="meta-depavd">
    <w:name w:val="meta-depavd"/>
    <w:basedOn w:val="meta-dep"/>
    <w:next w:val="Normal"/>
    <w:qFormat/>
    <w:rsid w:val="00FC323C"/>
  </w:style>
  <w:style w:type="paragraph" w:customStyle="1" w:styleId="meta-forf">
    <w:name w:val="meta-forf"/>
    <w:basedOn w:val="meta-dep"/>
    <w:next w:val="Normal"/>
    <w:qFormat/>
    <w:rsid w:val="00FC323C"/>
  </w:style>
  <w:style w:type="paragraph" w:customStyle="1" w:styleId="meta-spr">
    <w:name w:val="meta-spr"/>
    <w:basedOn w:val="meta-dep"/>
    <w:next w:val="Normal"/>
    <w:qFormat/>
    <w:rsid w:val="00FC323C"/>
  </w:style>
  <w:style w:type="paragraph" w:customStyle="1" w:styleId="meta-ingress">
    <w:name w:val="meta-ingress"/>
    <w:basedOn w:val="meta-dep"/>
    <w:next w:val="Normal"/>
    <w:qFormat/>
    <w:rsid w:val="00FC323C"/>
    <w:rPr>
      <w:color w:val="B88B00" w:themeColor="accent1" w:themeShade="80"/>
      <w:sz w:val="24"/>
    </w:rPr>
  </w:style>
  <w:style w:type="paragraph" w:customStyle="1" w:styleId="meta-sperrefrist">
    <w:name w:val="meta-sperrefrist"/>
    <w:basedOn w:val="meta-dep"/>
    <w:next w:val="Normal"/>
    <w:qFormat/>
    <w:rsid w:val="00FC323C"/>
  </w:style>
  <w:style w:type="paragraph" w:customStyle="1" w:styleId="meta-objUrl">
    <w:name w:val="meta-objUrl"/>
    <w:basedOn w:val="meta-dep"/>
    <w:next w:val="Normal"/>
    <w:qFormat/>
    <w:rsid w:val="00FC323C"/>
    <w:rPr>
      <w:color w:val="7030A0"/>
    </w:rPr>
  </w:style>
  <w:style w:type="paragraph" w:customStyle="1" w:styleId="meta-dokFormat">
    <w:name w:val="meta-dokFormat"/>
    <w:basedOn w:val="meta-dep"/>
    <w:next w:val="Normal"/>
    <w:qFormat/>
    <w:rsid w:val="00FC323C"/>
    <w:rPr>
      <w:color w:val="7030A0"/>
    </w:rPr>
  </w:style>
  <w:style w:type="paragraph" w:customStyle="1" w:styleId="TabellHode-rad">
    <w:name w:val="TabellHode-rad"/>
    <w:basedOn w:val="Normal"/>
    <w:qFormat/>
    <w:rsid w:val="00FC323C"/>
    <w:pPr>
      <w:shd w:val="clear" w:color="auto" w:fill="DBE0EC" w:themeFill="accent6" w:themeFillTint="33"/>
    </w:pPr>
  </w:style>
  <w:style w:type="paragraph" w:customStyle="1" w:styleId="TabellHode-kolonne">
    <w:name w:val="TabellHode-kolonne"/>
    <w:basedOn w:val="TabellHode-rad"/>
    <w:qFormat/>
    <w:rsid w:val="00FC323C"/>
    <w:pPr>
      <w:shd w:val="clear" w:color="auto" w:fill="FFF8E2" w:themeFill="accent1" w:themeFillTint="33"/>
    </w:pPr>
  </w:style>
  <w:style w:type="paragraph" w:styleId="Indeks1">
    <w:name w:val="index 1"/>
    <w:basedOn w:val="Normal"/>
    <w:next w:val="Normal"/>
    <w:autoRedefine/>
    <w:uiPriority w:val="99"/>
    <w:semiHidden/>
    <w:unhideWhenUsed/>
    <w:rsid w:val="00FC323C"/>
    <w:pPr>
      <w:spacing w:after="0" w:line="240" w:lineRule="auto"/>
      <w:ind w:left="240" w:hanging="240"/>
    </w:pPr>
  </w:style>
  <w:style w:type="paragraph" w:styleId="Indeks2">
    <w:name w:val="index 2"/>
    <w:basedOn w:val="Normal"/>
    <w:next w:val="Normal"/>
    <w:autoRedefine/>
    <w:uiPriority w:val="99"/>
    <w:semiHidden/>
    <w:unhideWhenUsed/>
    <w:rsid w:val="00FC323C"/>
    <w:pPr>
      <w:spacing w:after="0" w:line="240" w:lineRule="auto"/>
      <w:ind w:left="480" w:hanging="240"/>
    </w:pPr>
  </w:style>
  <w:style w:type="paragraph" w:styleId="Indeks3">
    <w:name w:val="index 3"/>
    <w:basedOn w:val="Normal"/>
    <w:next w:val="Normal"/>
    <w:autoRedefine/>
    <w:uiPriority w:val="99"/>
    <w:semiHidden/>
    <w:unhideWhenUsed/>
    <w:rsid w:val="00FC323C"/>
    <w:pPr>
      <w:spacing w:after="0" w:line="240" w:lineRule="auto"/>
      <w:ind w:left="720" w:hanging="240"/>
    </w:pPr>
  </w:style>
  <w:style w:type="paragraph" w:styleId="Indeks4">
    <w:name w:val="index 4"/>
    <w:basedOn w:val="Normal"/>
    <w:next w:val="Normal"/>
    <w:autoRedefine/>
    <w:uiPriority w:val="99"/>
    <w:semiHidden/>
    <w:unhideWhenUsed/>
    <w:rsid w:val="00FC323C"/>
    <w:pPr>
      <w:spacing w:after="0" w:line="240" w:lineRule="auto"/>
      <w:ind w:left="960" w:hanging="240"/>
    </w:pPr>
  </w:style>
  <w:style w:type="paragraph" w:styleId="Indeks5">
    <w:name w:val="index 5"/>
    <w:basedOn w:val="Normal"/>
    <w:next w:val="Normal"/>
    <w:autoRedefine/>
    <w:uiPriority w:val="99"/>
    <w:semiHidden/>
    <w:unhideWhenUsed/>
    <w:rsid w:val="00FC323C"/>
    <w:pPr>
      <w:spacing w:after="0" w:line="240" w:lineRule="auto"/>
      <w:ind w:left="1200" w:hanging="240"/>
    </w:pPr>
  </w:style>
  <w:style w:type="paragraph" w:styleId="Indeks6">
    <w:name w:val="index 6"/>
    <w:basedOn w:val="Normal"/>
    <w:next w:val="Normal"/>
    <w:autoRedefine/>
    <w:uiPriority w:val="99"/>
    <w:semiHidden/>
    <w:unhideWhenUsed/>
    <w:rsid w:val="00FC323C"/>
    <w:pPr>
      <w:spacing w:after="0" w:line="240" w:lineRule="auto"/>
      <w:ind w:left="1440" w:hanging="240"/>
    </w:pPr>
  </w:style>
  <w:style w:type="paragraph" w:styleId="Indeks7">
    <w:name w:val="index 7"/>
    <w:basedOn w:val="Normal"/>
    <w:next w:val="Normal"/>
    <w:autoRedefine/>
    <w:uiPriority w:val="99"/>
    <w:semiHidden/>
    <w:unhideWhenUsed/>
    <w:rsid w:val="00FC323C"/>
    <w:pPr>
      <w:spacing w:after="0" w:line="240" w:lineRule="auto"/>
      <w:ind w:left="1680" w:hanging="240"/>
    </w:pPr>
  </w:style>
  <w:style w:type="paragraph" w:styleId="Indeks8">
    <w:name w:val="index 8"/>
    <w:basedOn w:val="Normal"/>
    <w:next w:val="Normal"/>
    <w:autoRedefine/>
    <w:uiPriority w:val="99"/>
    <w:semiHidden/>
    <w:unhideWhenUsed/>
    <w:rsid w:val="00FC323C"/>
    <w:pPr>
      <w:spacing w:after="0" w:line="240" w:lineRule="auto"/>
      <w:ind w:left="1920" w:hanging="240"/>
    </w:pPr>
  </w:style>
  <w:style w:type="paragraph" w:styleId="Indeks9">
    <w:name w:val="index 9"/>
    <w:basedOn w:val="Normal"/>
    <w:next w:val="Normal"/>
    <w:autoRedefine/>
    <w:uiPriority w:val="99"/>
    <w:semiHidden/>
    <w:unhideWhenUsed/>
    <w:rsid w:val="00FC323C"/>
    <w:pPr>
      <w:spacing w:after="0" w:line="240" w:lineRule="auto"/>
      <w:ind w:left="2160" w:hanging="240"/>
    </w:pPr>
  </w:style>
  <w:style w:type="paragraph" w:styleId="Vanliginnrykk">
    <w:name w:val="Normal Indent"/>
    <w:basedOn w:val="Normal"/>
    <w:uiPriority w:val="99"/>
    <w:semiHidden/>
    <w:unhideWhenUsed/>
    <w:rsid w:val="00FC323C"/>
    <w:pPr>
      <w:ind w:left="708"/>
    </w:pPr>
  </w:style>
  <w:style w:type="paragraph" w:styleId="Stikkordregisteroverskrift">
    <w:name w:val="index heading"/>
    <w:basedOn w:val="Normal"/>
    <w:next w:val="Indeks1"/>
    <w:uiPriority w:val="99"/>
    <w:semiHidden/>
    <w:unhideWhenUsed/>
    <w:rsid w:val="00FC323C"/>
    <w:rPr>
      <w:rFonts w:asciiTheme="majorHAnsi" w:eastAsiaTheme="majorEastAsia" w:hAnsiTheme="majorHAnsi" w:cstheme="majorBidi"/>
      <w:b/>
      <w:bCs/>
    </w:rPr>
  </w:style>
  <w:style w:type="paragraph" w:styleId="Konvoluttadresse">
    <w:name w:val="envelope address"/>
    <w:basedOn w:val="Normal"/>
    <w:uiPriority w:val="99"/>
    <w:semiHidden/>
    <w:unhideWhenUsed/>
    <w:rsid w:val="00FC323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C323C"/>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FC323C"/>
  </w:style>
  <w:style w:type="character" w:styleId="Sidetall">
    <w:name w:val="page number"/>
    <w:basedOn w:val="Standardskriftforavsnitt"/>
    <w:rsid w:val="00FC323C"/>
  </w:style>
  <w:style w:type="paragraph" w:styleId="Kildeliste">
    <w:name w:val="table of authorities"/>
    <w:basedOn w:val="Normal"/>
    <w:next w:val="Normal"/>
    <w:uiPriority w:val="99"/>
    <w:semiHidden/>
    <w:unhideWhenUsed/>
    <w:rsid w:val="00FC323C"/>
    <w:pPr>
      <w:spacing w:after="0"/>
      <w:ind w:left="240" w:hanging="240"/>
    </w:pPr>
  </w:style>
  <w:style w:type="paragraph" w:styleId="Makrotekst">
    <w:name w:val="macro"/>
    <w:link w:val="MakrotekstTegn"/>
    <w:uiPriority w:val="99"/>
    <w:semiHidden/>
    <w:unhideWhenUsed/>
    <w:rsid w:val="00FC323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FC323C"/>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FC323C"/>
    <w:pPr>
      <w:spacing w:before="120"/>
    </w:pPr>
    <w:rPr>
      <w:rFonts w:asciiTheme="majorHAnsi" w:eastAsiaTheme="majorEastAsia" w:hAnsiTheme="majorHAnsi" w:cstheme="majorBidi"/>
      <w:b/>
      <w:bCs/>
      <w:szCs w:val="24"/>
    </w:rPr>
  </w:style>
  <w:style w:type="paragraph" w:styleId="Punktliste">
    <w:name w:val="List Bullet"/>
    <w:basedOn w:val="Normal"/>
    <w:rsid w:val="00FC323C"/>
    <w:pPr>
      <w:numPr>
        <w:numId w:val="4"/>
      </w:numPr>
      <w:spacing w:after="0"/>
    </w:pPr>
    <w:rPr>
      <w:spacing w:val="4"/>
    </w:rPr>
  </w:style>
  <w:style w:type="paragraph" w:styleId="Nummerertliste">
    <w:name w:val="List Number"/>
    <w:qFormat/>
    <w:rsid w:val="00FC323C"/>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FC323C"/>
    <w:pPr>
      <w:numPr>
        <w:numId w:val="5"/>
      </w:numPr>
      <w:spacing w:after="0"/>
    </w:pPr>
    <w:rPr>
      <w:spacing w:val="4"/>
    </w:rPr>
  </w:style>
  <w:style w:type="paragraph" w:styleId="Punktliste3">
    <w:name w:val="List Bullet 3"/>
    <w:basedOn w:val="Normal"/>
    <w:rsid w:val="00FC323C"/>
    <w:pPr>
      <w:numPr>
        <w:numId w:val="6"/>
      </w:numPr>
      <w:spacing w:after="0"/>
    </w:pPr>
    <w:rPr>
      <w:spacing w:val="4"/>
    </w:rPr>
  </w:style>
  <w:style w:type="paragraph" w:styleId="Punktliste4">
    <w:name w:val="List Bullet 4"/>
    <w:basedOn w:val="Normal"/>
    <w:rsid w:val="00FC323C"/>
    <w:pPr>
      <w:numPr>
        <w:numId w:val="7"/>
      </w:numPr>
      <w:spacing w:after="0"/>
    </w:pPr>
  </w:style>
  <w:style w:type="paragraph" w:styleId="Punktliste5">
    <w:name w:val="List Bullet 5"/>
    <w:basedOn w:val="Normal"/>
    <w:rsid w:val="00FC323C"/>
    <w:pPr>
      <w:numPr>
        <w:numId w:val="8"/>
      </w:numPr>
      <w:spacing w:after="0"/>
    </w:pPr>
  </w:style>
  <w:style w:type="paragraph" w:styleId="Nummerertliste2">
    <w:name w:val="List Number 2"/>
    <w:basedOn w:val="Nummerertliste"/>
    <w:qFormat/>
    <w:rsid w:val="00FC323C"/>
    <w:pPr>
      <w:numPr>
        <w:numId w:val="28"/>
      </w:numPr>
      <w:ind w:left="794" w:hanging="397"/>
    </w:pPr>
  </w:style>
  <w:style w:type="paragraph" w:styleId="Nummerertliste3">
    <w:name w:val="List Number 3"/>
    <w:basedOn w:val="Nummerertliste"/>
    <w:qFormat/>
    <w:rsid w:val="00FC323C"/>
    <w:pPr>
      <w:numPr>
        <w:numId w:val="29"/>
      </w:numPr>
      <w:tabs>
        <w:tab w:val="num" w:pos="397"/>
      </w:tabs>
      <w:ind w:left="1191" w:hanging="397"/>
    </w:pPr>
  </w:style>
  <w:style w:type="paragraph" w:styleId="Nummerertliste4">
    <w:name w:val="List Number 4"/>
    <w:basedOn w:val="Nummerertliste"/>
    <w:rsid w:val="00FC323C"/>
    <w:pPr>
      <w:numPr>
        <w:numId w:val="30"/>
      </w:numPr>
      <w:tabs>
        <w:tab w:val="num" w:pos="397"/>
      </w:tabs>
      <w:ind w:left="1588" w:hanging="397"/>
    </w:pPr>
  </w:style>
  <w:style w:type="paragraph" w:styleId="Nummerertliste5">
    <w:name w:val="List Number 5"/>
    <w:basedOn w:val="Nummerertliste"/>
    <w:qFormat/>
    <w:rsid w:val="00FC323C"/>
    <w:pPr>
      <w:numPr>
        <w:numId w:val="31"/>
      </w:numPr>
      <w:tabs>
        <w:tab w:val="num" w:pos="397"/>
      </w:tabs>
      <w:ind w:left="1985" w:hanging="397"/>
    </w:pPr>
  </w:style>
  <w:style w:type="paragraph" w:styleId="Hilsen">
    <w:name w:val="Closing"/>
    <w:basedOn w:val="Normal"/>
    <w:link w:val="HilsenTegn"/>
    <w:uiPriority w:val="99"/>
    <w:semiHidden/>
    <w:unhideWhenUsed/>
    <w:rsid w:val="00FC323C"/>
    <w:pPr>
      <w:spacing w:after="0" w:line="240" w:lineRule="auto"/>
      <w:ind w:left="4252"/>
    </w:pPr>
  </w:style>
  <w:style w:type="character" w:customStyle="1" w:styleId="HilsenTegn">
    <w:name w:val="Hilsen Tegn"/>
    <w:basedOn w:val="Standardskriftforavsnitt"/>
    <w:link w:val="Hilsen"/>
    <w:uiPriority w:val="99"/>
    <w:semiHidden/>
    <w:rsid w:val="00FC323C"/>
    <w:rPr>
      <w:rFonts w:ascii="Open Sans" w:eastAsia="Times New Roman" w:hAnsi="Open Sans"/>
      <w:lang w:eastAsia="nb-NO"/>
    </w:rPr>
  </w:style>
  <w:style w:type="paragraph" w:styleId="Underskrift">
    <w:name w:val="Signature"/>
    <w:basedOn w:val="Normal"/>
    <w:link w:val="UnderskriftTegn"/>
    <w:uiPriority w:val="99"/>
    <w:semiHidden/>
    <w:unhideWhenUsed/>
    <w:rsid w:val="00FC323C"/>
    <w:pPr>
      <w:spacing w:after="0" w:line="240" w:lineRule="auto"/>
      <w:ind w:left="4252"/>
    </w:pPr>
  </w:style>
  <w:style w:type="character" w:customStyle="1" w:styleId="UnderskriftTegn">
    <w:name w:val="Underskrift Tegn"/>
    <w:basedOn w:val="Standardskriftforavsnitt"/>
    <w:link w:val="Underskrift"/>
    <w:uiPriority w:val="99"/>
    <w:semiHidden/>
    <w:rsid w:val="00FC323C"/>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FC323C"/>
    <w:pPr>
      <w:ind w:left="283"/>
    </w:pPr>
  </w:style>
  <w:style w:type="character" w:customStyle="1" w:styleId="BrdtekstinnrykkTegn">
    <w:name w:val="Brødtekstinnrykk Tegn"/>
    <w:basedOn w:val="Standardskriftforavsnitt"/>
    <w:link w:val="Brdtekstinnrykk"/>
    <w:uiPriority w:val="99"/>
    <w:semiHidden/>
    <w:rsid w:val="00FC323C"/>
    <w:rPr>
      <w:rFonts w:ascii="Open Sans" w:eastAsia="Times New Roman" w:hAnsi="Open Sans"/>
      <w:lang w:eastAsia="nb-NO"/>
    </w:rPr>
  </w:style>
  <w:style w:type="paragraph" w:styleId="Liste-forts">
    <w:name w:val="List Continue"/>
    <w:basedOn w:val="Normal"/>
    <w:uiPriority w:val="99"/>
    <w:semiHidden/>
    <w:unhideWhenUsed/>
    <w:rsid w:val="00FC323C"/>
    <w:pPr>
      <w:ind w:left="283"/>
      <w:contextualSpacing/>
    </w:pPr>
  </w:style>
  <w:style w:type="paragraph" w:styleId="Liste-forts2">
    <w:name w:val="List Continue 2"/>
    <w:basedOn w:val="Normal"/>
    <w:uiPriority w:val="99"/>
    <w:semiHidden/>
    <w:unhideWhenUsed/>
    <w:rsid w:val="00FC323C"/>
    <w:pPr>
      <w:ind w:left="566"/>
      <w:contextualSpacing/>
    </w:pPr>
  </w:style>
  <w:style w:type="paragraph" w:styleId="Liste-forts3">
    <w:name w:val="List Continue 3"/>
    <w:basedOn w:val="Normal"/>
    <w:uiPriority w:val="99"/>
    <w:semiHidden/>
    <w:unhideWhenUsed/>
    <w:rsid w:val="00FC323C"/>
    <w:pPr>
      <w:ind w:left="849"/>
      <w:contextualSpacing/>
    </w:pPr>
  </w:style>
  <w:style w:type="paragraph" w:styleId="Liste-forts4">
    <w:name w:val="List Continue 4"/>
    <w:basedOn w:val="Normal"/>
    <w:uiPriority w:val="99"/>
    <w:semiHidden/>
    <w:unhideWhenUsed/>
    <w:rsid w:val="00FC323C"/>
    <w:pPr>
      <w:ind w:left="1132"/>
      <w:contextualSpacing/>
    </w:pPr>
  </w:style>
  <w:style w:type="paragraph" w:styleId="Liste-forts5">
    <w:name w:val="List Continue 5"/>
    <w:basedOn w:val="Normal"/>
    <w:uiPriority w:val="99"/>
    <w:semiHidden/>
    <w:unhideWhenUsed/>
    <w:rsid w:val="00FC323C"/>
    <w:pPr>
      <w:ind w:left="1415"/>
      <w:contextualSpacing/>
    </w:pPr>
  </w:style>
  <w:style w:type="paragraph" w:styleId="Meldingshode">
    <w:name w:val="Message Header"/>
    <w:basedOn w:val="Normal"/>
    <w:link w:val="MeldingshodeTegn"/>
    <w:uiPriority w:val="99"/>
    <w:semiHidden/>
    <w:unhideWhenUsed/>
    <w:rsid w:val="00FC32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C323C"/>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FC323C"/>
  </w:style>
  <w:style w:type="character" w:customStyle="1" w:styleId="InnledendehilsenTegn">
    <w:name w:val="Innledende hilsen Tegn"/>
    <w:basedOn w:val="Standardskriftforavsnitt"/>
    <w:link w:val="Innledendehilsen"/>
    <w:uiPriority w:val="99"/>
    <w:semiHidden/>
    <w:rsid w:val="00FC323C"/>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FC323C"/>
    <w:pPr>
      <w:ind w:firstLine="360"/>
    </w:pPr>
  </w:style>
  <w:style w:type="character" w:customStyle="1" w:styleId="Brdtekst-frsteinnrykkTegn">
    <w:name w:val="Brødtekst - første innrykk Tegn"/>
    <w:basedOn w:val="BrdtekstTegn"/>
    <w:link w:val="Brdtekst-frsteinnrykk"/>
    <w:uiPriority w:val="99"/>
    <w:semiHidden/>
    <w:rsid w:val="00FC323C"/>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FC323C"/>
    <w:pPr>
      <w:ind w:left="360" w:firstLine="360"/>
    </w:pPr>
  </w:style>
  <w:style w:type="character" w:customStyle="1" w:styleId="Brdtekst-frsteinnrykk2Tegn">
    <w:name w:val="Brødtekst - første innrykk 2 Tegn"/>
    <w:basedOn w:val="BrdtekstinnrykkTegn"/>
    <w:link w:val="Brdtekst-frsteinnrykk2"/>
    <w:uiPriority w:val="99"/>
    <w:semiHidden/>
    <w:rsid w:val="00FC323C"/>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FC323C"/>
    <w:pPr>
      <w:spacing w:after="0" w:line="240" w:lineRule="auto"/>
    </w:pPr>
  </w:style>
  <w:style w:type="character" w:customStyle="1" w:styleId="NotatoverskriftTegn">
    <w:name w:val="Notatoverskrift Tegn"/>
    <w:basedOn w:val="Standardskriftforavsnitt"/>
    <w:link w:val="Notatoverskrift"/>
    <w:uiPriority w:val="99"/>
    <w:semiHidden/>
    <w:rsid w:val="00FC323C"/>
    <w:rPr>
      <w:rFonts w:ascii="Open Sans" w:eastAsia="Times New Roman" w:hAnsi="Open Sans"/>
      <w:lang w:eastAsia="nb-NO"/>
    </w:rPr>
  </w:style>
  <w:style w:type="paragraph" w:styleId="Brdtekst2">
    <w:name w:val="Body Text 2"/>
    <w:basedOn w:val="Normal"/>
    <w:link w:val="Brdtekst2Tegn"/>
    <w:uiPriority w:val="99"/>
    <w:semiHidden/>
    <w:unhideWhenUsed/>
    <w:rsid w:val="00FC323C"/>
    <w:pPr>
      <w:spacing w:line="480" w:lineRule="auto"/>
    </w:pPr>
  </w:style>
  <w:style w:type="character" w:customStyle="1" w:styleId="Brdtekst2Tegn">
    <w:name w:val="Brødtekst 2 Tegn"/>
    <w:basedOn w:val="Standardskriftforavsnitt"/>
    <w:link w:val="Brdtekst2"/>
    <w:uiPriority w:val="99"/>
    <w:semiHidden/>
    <w:rsid w:val="00FC323C"/>
    <w:rPr>
      <w:rFonts w:ascii="Open Sans" w:eastAsia="Times New Roman" w:hAnsi="Open Sans"/>
      <w:lang w:eastAsia="nb-NO"/>
    </w:rPr>
  </w:style>
  <w:style w:type="paragraph" w:styleId="Brdtekst3">
    <w:name w:val="Body Text 3"/>
    <w:basedOn w:val="Normal"/>
    <w:link w:val="Brdtekst3Tegn"/>
    <w:uiPriority w:val="99"/>
    <w:semiHidden/>
    <w:unhideWhenUsed/>
    <w:rsid w:val="00FC323C"/>
    <w:rPr>
      <w:sz w:val="16"/>
      <w:szCs w:val="16"/>
    </w:rPr>
  </w:style>
  <w:style w:type="character" w:customStyle="1" w:styleId="Brdtekst3Tegn">
    <w:name w:val="Brødtekst 3 Tegn"/>
    <w:basedOn w:val="Standardskriftforavsnitt"/>
    <w:link w:val="Brdtekst3"/>
    <w:uiPriority w:val="99"/>
    <w:semiHidden/>
    <w:rsid w:val="00FC323C"/>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FC323C"/>
    <w:pPr>
      <w:spacing w:line="480" w:lineRule="auto"/>
      <w:ind w:left="283"/>
    </w:pPr>
  </w:style>
  <w:style w:type="character" w:customStyle="1" w:styleId="Brdtekstinnrykk2Tegn">
    <w:name w:val="Brødtekstinnrykk 2 Tegn"/>
    <w:basedOn w:val="Standardskriftforavsnitt"/>
    <w:link w:val="Brdtekstinnrykk2"/>
    <w:uiPriority w:val="99"/>
    <w:semiHidden/>
    <w:rsid w:val="00FC323C"/>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FC323C"/>
    <w:pPr>
      <w:ind w:left="283"/>
    </w:pPr>
    <w:rPr>
      <w:sz w:val="16"/>
      <w:szCs w:val="16"/>
    </w:rPr>
  </w:style>
  <w:style w:type="character" w:customStyle="1" w:styleId="Brdtekstinnrykk3Tegn">
    <w:name w:val="Brødtekstinnrykk 3 Tegn"/>
    <w:basedOn w:val="Standardskriftforavsnitt"/>
    <w:link w:val="Brdtekstinnrykk3"/>
    <w:uiPriority w:val="99"/>
    <w:semiHidden/>
    <w:rsid w:val="00FC323C"/>
    <w:rPr>
      <w:rFonts w:ascii="Open Sans" w:eastAsia="Times New Roman" w:hAnsi="Open Sans"/>
      <w:sz w:val="16"/>
      <w:szCs w:val="16"/>
      <w:lang w:eastAsia="nb-NO"/>
    </w:rPr>
  </w:style>
  <w:style w:type="paragraph" w:styleId="Blokktekst">
    <w:name w:val="Block Text"/>
    <w:basedOn w:val="Normal"/>
    <w:uiPriority w:val="99"/>
    <w:semiHidden/>
    <w:unhideWhenUsed/>
    <w:rsid w:val="00FC323C"/>
    <w:pPr>
      <w:pBdr>
        <w:top w:val="single" w:sz="2" w:space="10" w:color="FFDD71" w:themeColor="accent1" w:shadow="1"/>
        <w:left w:val="single" w:sz="2" w:space="10" w:color="FFDD71" w:themeColor="accent1" w:shadow="1"/>
        <w:bottom w:val="single" w:sz="2" w:space="10" w:color="FFDD71" w:themeColor="accent1" w:shadow="1"/>
        <w:right w:val="single" w:sz="2" w:space="10" w:color="FFDD71" w:themeColor="accent1" w:shadow="1"/>
      </w:pBdr>
      <w:ind w:left="1152" w:right="1152"/>
    </w:pPr>
    <w:rPr>
      <w:rFonts w:asciiTheme="minorHAnsi" w:eastAsiaTheme="minorEastAsia" w:hAnsiTheme="minorHAnsi"/>
      <w:i/>
      <w:iCs/>
      <w:color w:val="FFDD71" w:themeColor="accent1"/>
    </w:rPr>
  </w:style>
  <w:style w:type="paragraph" w:styleId="Dokumentkart">
    <w:name w:val="Document Map"/>
    <w:basedOn w:val="Normal"/>
    <w:link w:val="DokumentkartTegn"/>
    <w:uiPriority w:val="99"/>
    <w:semiHidden/>
    <w:unhideWhenUsed/>
    <w:rsid w:val="00FC323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C323C"/>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FC323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C323C"/>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FC323C"/>
    <w:pPr>
      <w:spacing w:after="0" w:line="240" w:lineRule="auto"/>
    </w:pPr>
  </w:style>
  <w:style w:type="character" w:customStyle="1" w:styleId="E-postsignaturTegn">
    <w:name w:val="E-postsignatur Tegn"/>
    <w:basedOn w:val="Standardskriftforavsnitt"/>
    <w:link w:val="E-postsignatur"/>
    <w:uiPriority w:val="99"/>
    <w:semiHidden/>
    <w:rsid w:val="00FC323C"/>
    <w:rPr>
      <w:rFonts w:ascii="Open Sans" w:eastAsia="Times New Roman" w:hAnsi="Open Sans"/>
      <w:lang w:eastAsia="nb-NO"/>
    </w:rPr>
  </w:style>
  <w:style w:type="character" w:styleId="HTML-akronym">
    <w:name w:val="HTML Acronym"/>
    <w:basedOn w:val="Standardskriftforavsnitt"/>
    <w:uiPriority w:val="99"/>
    <w:semiHidden/>
    <w:unhideWhenUsed/>
    <w:rsid w:val="00FC323C"/>
  </w:style>
  <w:style w:type="paragraph" w:styleId="HTML-adresse">
    <w:name w:val="HTML Address"/>
    <w:basedOn w:val="Normal"/>
    <w:link w:val="HTML-adresseTegn"/>
    <w:uiPriority w:val="99"/>
    <w:semiHidden/>
    <w:unhideWhenUsed/>
    <w:rsid w:val="00FC323C"/>
    <w:pPr>
      <w:spacing w:after="0" w:line="240" w:lineRule="auto"/>
    </w:pPr>
    <w:rPr>
      <w:i/>
      <w:iCs/>
    </w:rPr>
  </w:style>
  <w:style w:type="character" w:customStyle="1" w:styleId="HTML-adresseTegn">
    <w:name w:val="HTML-adresse Tegn"/>
    <w:basedOn w:val="Standardskriftforavsnitt"/>
    <w:link w:val="HTML-adresse"/>
    <w:uiPriority w:val="99"/>
    <w:semiHidden/>
    <w:rsid w:val="00FC323C"/>
    <w:rPr>
      <w:rFonts w:ascii="Open Sans" w:eastAsia="Times New Roman" w:hAnsi="Open Sans"/>
      <w:i/>
      <w:iCs/>
      <w:lang w:eastAsia="nb-NO"/>
    </w:rPr>
  </w:style>
  <w:style w:type="character" w:styleId="HTML-sitat">
    <w:name w:val="HTML Cite"/>
    <w:basedOn w:val="Standardskriftforavsnitt"/>
    <w:uiPriority w:val="99"/>
    <w:semiHidden/>
    <w:unhideWhenUsed/>
    <w:rsid w:val="00FC323C"/>
    <w:rPr>
      <w:i/>
      <w:iCs/>
    </w:rPr>
  </w:style>
  <w:style w:type="character" w:styleId="HTML-kode">
    <w:name w:val="HTML Code"/>
    <w:basedOn w:val="Standardskriftforavsnitt"/>
    <w:uiPriority w:val="99"/>
    <w:semiHidden/>
    <w:unhideWhenUsed/>
    <w:rsid w:val="00FC323C"/>
    <w:rPr>
      <w:rFonts w:ascii="Consolas" w:hAnsi="Consolas"/>
      <w:sz w:val="20"/>
      <w:szCs w:val="20"/>
    </w:rPr>
  </w:style>
  <w:style w:type="character" w:styleId="HTML-definisjon">
    <w:name w:val="HTML Definition"/>
    <w:basedOn w:val="Standardskriftforavsnitt"/>
    <w:uiPriority w:val="99"/>
    <w:semiHidden/>
    <w:unhideWhenUsed/>
    <w:rsid w:val="00FC323C"/>
    <w:rPr>
      <w:i/>
      <w:iCs/>
    </w:rPr>
  </w:style>
  <w:style w:type="character" w:styleId="HTML-tastatur">
    <w:name w:val="HTML Keyboard"/>
    <w:basedOn w:val="Standardskriftforavsnitt"/>
    <w:uiPriority w:val="99"/>
    <w:semiHidden/>
    <w:unhideWhenUsed/>
    <w:rsid w:val="00FC323C"/>
    <w:rPr>
      <w:rFonts w:ascii="Consolas" w:hAnsi="Consolas"/>
      <w:sz w:val="20"/>
      <w:szCs w:val="20"/>
    </w:rPr>
  </w:style>
  <w:style w:type="paragraph" w:styleId="HTML-forhndsformatert">
    <w:name w:val="HTML Preformatted"/>
    <w:basedOn w:val="Normal"/>
    <w:link w:val="HTML-forhndsformatertTegn"/>
    <w:uiPriority w:val="99"/>
    <w:semiHidden/>
    <w:unhideWhenUsed/>
    <w:rsid w:val="00FC323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FC323C"/>
    <w:rPr>
      <w:rFonts w:ascii="Consolas" w:eastAsia="Times New Roman" w:hAnsi="Consolas"/>
      <w:szCs w:val="20"/>
      <w:lang w:eastAsia="nb-NO"/>
    </w:rPr>
  </w:style>
  <w:style w:type="character" w:styleId="HTML-eksempel">
    <w:name w:val="HTML Sample"/>
    <w:basedOn w:val="Standardskriftforavsnitt"/>
    <w:uiPriority w:val="99"/>
    <w:semiHidden/>
    <w:unhideWhenUsed/>
    <w:rsid w:val="00FC323C"/>
    <w:rPr>
      <w:rFonts w:ascii="Consolas" w:hAnsi="Consolas"/>
      <w:sz w:val="24"/>
      <w:szCs w:val="24"/>
    </w:rPr>
  </w:style>
  <w:style w:type="character" w:styleId="HTML-skrivemaskin">
    <w:name w:val="HTML Typewriter"/>
    <w:basedOn w:val="Standardskriftforavsnitt"/>
    <w:uiPriority w:val="99"/>
    <w:semiHidden/>
    <w:unhideWhenUsed/>
    <w:rsid w:val="00FC323C"/>
    <w:rPr>
      <w:rFonts w:ascii="Consolas" w:hAnsi="Consolas"/>
      <w:sz w:val="20"/>
      <w:szCs w:val="20"/>
    </w:rPr>
  </w:style>
  <w:style w:type="character" w:styleId="HTML-variabel">
    <w:name w:val="HTML Variable"/>
    <w:basedOn w:val="Standardskriftforavsnitt"/>
    <w:uiPriority w:val="99"/>
    <w:semiHidden/>
    <w:unhideWhenUsed/>
    <w:rsid w:val="00FC323C"/>
    <w:rPr>
      <w:i/>
      <w:iCs/>
    </w:rPr>
  </w:style>
  <w:style w:type="character" w:styleId="Plassholdertekst">
    <w:name w:val="Placeholder Text"/>
    <w:basedOn w:val="Standardskriftforavsnitt"/>
    <w:uiPriority w:val="99"/>
    <w:semiHidden/>
    <w:rsid w:val="00FC323C"/>
    <w:rPr>
      <w:color w:val="808080"/>
    </w:rPr>
  </w:style>
  <w:style w:type="character" w:styleId="Svakreferanse">
    <w:name w:val="Subtle Reference"/>
    <w:basedOn w:val="Standardskriftforavsnitt"/>
    <w:uiPriority w:val="31"/>
    <w:qFormat/>
    <w:rsid w:val="00FC323C"/>
    <w:rPr>
      <w:smallCaps/>
      <w:color w:val="A9D6B9" w:themeColor="accent2"/>
      <w:u w:val="single"/>
    </w:rPr>
  </w:style>
  <w:style w:type="character" w:styleId="Sterkreferanse">
    <w:name w:val="Intense Reference"/>
    <w:basedOn w:val="Standardskriftforavsnitt"/>
    <w:uiPriority w:val="32"/>
    <w:qFormat/>
    <w:rsid w:val="00FC323C"/>
    <w:rPr>
      <w:b/>
      <w:bCs/>
      <w:smallCaps/>
      <w:color w:val="A9D6B9" w:themeColor="accent2"/>
      <w:spacing w:val="5"/>
      <w:u w:val="single"/>
    </w:rPr>
  </w:style>
  <w:style w:type="character" w:styleId="Boktittel">
    <w:name w:val="Book Title"/>
    <w:basedOn w:val="Standardskriftforavsnitt"/>
    <w:uiPriority w:val="33"/>
    <w:qFormat/>
    <w:rsid w:val="00FC323C"/>
    <w:rPr>
      <w:b/>
      <w:bCs/>
      <w:smallCaps/>
      <w:spacing w:val="5"/>
    </w:rPr>
  </w:style>
  <w:style w:type="paragraph" w:styleId="Bibliografi">
    <w:name w:val="Bibliography"/>
    <w:basedOn w:val="Normal"/>
    <w:next w:val="Normal"/>
    <w:uiPriority w:val="37"/>
    <w:semiHidden/>
    <w:unhideWhenUsed/>
    <w:rsid w:val="00FC323C"/>
  </w:style>
  <w:style w:type="table" w:styleId="Listetabell5mrkuthevingsfarge5">
    <w:name w:val="List Table 5 Dark Accent 5"/>
    <w:basedOn w:val="Vanligtabell"/>
    <w:uiPriority w:val="50"/>
    <w:rsid w:val="00FC323C"/>
    <w:pPr>
      <w:spacing w:after="0" w:line="240" w:lineRule="auto"/>
    </w:pPr>
    <w:rPr>
      <w:color w:val="FFFFFF" w:themeColor="background1"/>
    </w:rPr>
    <w:tblPr>
      <w:tblStyleRowBandSize w:val="1"/>
      <w:tblStyleColBandSize w:val="1"/>
      <w:tblBorders>
        <w:top w:val="single" w:sz="24" w:space="0" w:color="A9BED0" w:themeColor="accent5"/>
        <w:left w:val="single" w:sz="24" w:space="0" w:color="A9BED0" w:themeColor="accent5"/>
        <w:bottom w:val="single" w:sz="24" w:space="0" w:color="A9BED0" w:themeColor="accent5"/>
        <w:right w:val="single" w:sz="24" w:space="0" w:color="A9BED0" w:themeColor="accent5"/>
      </w:tblBorders>
    </w:tblPr>
    <w:tcPr>
      <w:shd w:val="clear" w:color="auto" w:fill="A9BE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C323C"/>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FC323C"/>
    <w:pPr>
      <w:spacing w:after="0" w:line="240" w:lineRule="auto"/>
    </w:pPr>
    <w:rPr>
      <w:color w:val="FFFFFF" w:themeColor="background1"/>
    </w:rPr>
    <w:tblPr>
      <w:tblStyleRowBandSize w:val="1"/>
      <w:tblStyleColBandSize w:val="1"/>
      <w:tblBorders>
        <w:top w:val="single" w:sz="24" w:space="0" w:color="954F72" w:themeColor="accent3"/>
        <w:left w:val="single" w:sz="24" w:space="0" w:color="954F72" w:themeColor="accent3"/>
        <w:bottom w:val="single" w:sz="24" w:space="0" w:color="954F72" w:themeColor="accent3"/>
        <w:right w:val="single" w:sz="24" w:space="0" w:color="954F72" w:themeColor="accent3"/>
      </w:tblBorders>
    </w:tblPr>
    <w:tcPr>
      <w:shd w:val="clear" w:color="auto" w:fill="954F7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C323C"/>
    <w:tblPr/>
    <w:tcPr>
      <w:shd w:val="clear" w:color="auto" w:fill="FFF1C6" w:themeFill="accent1" w:themeFillTint="66"/>
    </w:tcPr>
  </w:style>
  <w:style w:type="table" w:customStyle="1" w:styleId="GronnBoks">
    <w:name w:val="GronnBoks"/>
    <w:basedOn w:val="StandardBoks"/>
    <w:uiPriority w:val="99"/>
    <w:rsid w:val="00FC323C"/>
    <w:tblPr/>
    <w:tcPr>
      <w:shd w:val="clear" w:color="auto" w:fill="B8C2DA" w:themeFill="accent6" w:themeFillTint="66"/>
    </w:tcPr>
  </w:style>
  <w:style w:type="table" w:customStyle="1" w:styleId="RodBoks">
    <w:name w:val="RodBoks"/>
    <w:basedOn w:val="StandardBoks"/>
    <w:uiPriority w:val="99"/>
    <w:rsid w:val="00FC323C"/>
    <w:tblPr/>
    <w:tcPr>
      <w:shd w:val="clear" w:color="auto" w:fill="FFB3B3"/>
    </w:tcPr>
  </w:style>
  <w:style w:type="paragraph" w:customStyle="1" w:styleId="BoksGraaTittel">
    <w:name w:val="BoksGraaTittel"/>
    <w:basedOn w:val="Normal"/>
    <w:next w:val="Normal"/>
    <w:qFormat/>
    <w:rsid w:val="00FC323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FC323C"/>
    <w:pPr>
      <w:pBdr>
        <w:top w:val="single" w:sz="2" w:space="6" w:color="FFC514" w:themeColor="accent1" w:themeShade="BF"/>
        <w:left w:val="single" w:sz="2" w:space="6" w:color="FFC514" w:themeColor="accent1" w:themeShade="BF"/>
        <w:bottom w:val="single" w:sz="2" w:space="4" w:color="FFC514" w:themeColor="accent1" w:themeShade="BF"/>
        <w:right w:val="single" w:sz="2" w:space="6" w:color="FFC514" w:themeColor="accent1" w:themeShade="BF"/>
      </w:pBdr>
      <w:shd w:val="clear" w:color="auto" w:fill="FFC514" w:themeFill="accent1" w:themeFillShade="BF"/>
    </w:pPr>
  </w:style>
  <w:style w:type="paragraph" w:customStyle="1" w:styleId="BoksRodTittel">
    <w:name w:val="BoksRodTittel"/>
    <w:basedOn w:val="BoksGraaTittel"/>
    <w:next w:val="Normal"/>
    <w:qFormat/>
    <w:rsid w:val="00FC323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C323C"/>
    <w:pPr>
      <w:pBdr>
        <w:top w:val="single" w:sz="2" w:space="6" w:color="3D4F77" w:themeColor="accent6" w:themeShade="BF"/>
        <w:left w:val="single" w:sz="2" w:space="6" w:color="3D4F77" w:themeColor="accent6" w:themeShade="BF"/>
        <w:bottom w:val="single" w:sz="2" w:space="4" w:color="3D4F77" w:themeColor="accent6" w:themeShade="BF"/>
        <w:right w:val="single" w:sz="2" w:space="6" w:color="3D4F77" w:themeColor="accent6" w:themeShade="BF"/>
      </w:pBdr>
      <w:shd w:val="clear" w:color="auto" w:fill="3D4F77" w:themeFill="accent6" w:themeFillShade="BF"/>
    </w:pPr>
  </w:style>
  <w:style w:type="character" w:customStyle="1" w:styleId="understreket">
    <w:name w:val="understreket"/>
    <w:uiPriority w:val="1"/>
    <w:rsid w:val="00FC323C"/>
    <w:rPr>
      <w:u w:val="single"/>
    </w:rPr>
  </w:style>
  <w:style w:type="paragraph" w:customStyle="1" w:styleId="del-nr">
    <w:name w:val="del-nr"/>
    <w:basedOn w:val="Normal"/>
    <w:qFormat/>
    <w:rsid w:val="00FC323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C323C"/>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FC323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FC323C"/>
  </w:style>
  <w:style w:type="paragraph" w:customStyle="1" w:styleId="tbl2LinjeSumBold">
    <w:name w:val="tbl2LinjeSumBold"/>
    <w:basedOn w:val="tblRad"/>
    <w:rsid w:val="00FC323C"/>
    <w:rPr>
      <w:b/>
    </w:rPr>
  </w:style>
  <w:style w:type="paragraph" w:customStyle="1" w:styleId="tblDelsum1">
    <w:name w:val="tblDelsum1"/>
    <w:basedOn w:val="tblRad"/>
    <w:rsid w:val="00FC323C"/>
    <w:rPr>
      <w:i/>
    </w:rPr>
  </w:style>
  <w:style w:type="paragraph" w:customStyle="1" w:styleId="tblDelsum1-Kapittel">
    <w:name w:val="tblDelsum1 - Kapittel"/>
    <w:basedOn w:val="tblDelsum1"/>
    <w:rsid w:val="00FC323C"/>
    <w:pPr>
      <w:keepNext w:val="0"/>
    </w:pPr>
  </w:style>
  <w:style w:type="paragraph" w:customStyle="1" w:styleId="tblDelsum2">
    <w:name w:val="tblDelsum2"/>
    <w:basedOn w:val="tblRad"/>
    <w:rsid w:val="00FC323C"/>
    <w:rPr>
      <w:b/>
      <w:i/>
    </w:rPr>
  </w:style>
  <w:style w:type="paragraph" w:customStyle="1" w:styleId="tblDelsum2-Kapittel">
    <w:name w:val="tblDelsum2 - Kapittel"/>
    <w:basedOn w:val="tblDelsum2"/>
    <w:rsid w:val="00FC323C"/>
    <w:pPr>
      <w:keepNext w:val="0"/>
    </w:pPr>
  </w:style>
  <w:style w:type="paragraph" w:customStyle="1" w:styleId="tblTabelloverskrift">
    <w:name w:val="tblTabelloverskrift"/>
    <w:rsid w:val="00FC323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FC323C"/>
    <w:pPr>
      <w:spacing w:after="0"/>
      <w:jc w:val="right"/>
    </w:pPr>
    <w:rPr>
      <w:b w:val="0"/>
      <w:caps w:val="0"/>
      <w:sz w:val="16"/>
    </w:rPr>
  </w:style>
  <w:style w:type="paragraph" w:customStyle="1" w:styleId="tblKategoriOverskrift">
    <w:name w:val="tblKategoriOverskrift"/>
    <w:basedOn w:val="tblRad"/>
    <w:rsid w:val="00FC323C"/>
    <w:pPr>
      <w:spacing w:before="120"/>
    </w:pPr>
    <w:rPr>
      <w:b/>
    </w:rPr>
  </w:style>
  <w:style w:type="paragraph" w:customStyle="1" w:styleId="tblKolonneoverskrift">
    <w:name w:val="tblKolonneoverskrift"/>
    <w:basedOn w:val="Normal"/>
    <w:rsid w:val="00FC323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C323C"/>
    <w:pPr>
      <w:spacing w:after="360"/>
      <w:jc w:val="center"/>
    </w:pPr>
    <w:rPr>
      <w:b w:val="0"/>
      <w:caps w:val="0"/>
    </w:rPr>
  </w:style>
  <w:style w:type="paragraph" w:customStyle="1" w:styleId="tblKolonneoverskrift-Vedtak">
    <w:name w:val="tblKolonneoverskrift - Vedtak"/>
    <w:basedOn w:val="tblTabelloverskrift-Vedtak"/>
    <w:rsid w:val="00FC323C"/>
    <w:pPr>
      <w:spacing w:after="0"/>
    </w:pPr>
  </w:style>
  <w:style w:type="paragraph" w:customStyle="1" w:styleId="tblOverskrift-Vedtak">
    <w:name w:val="tblOverskrift - Vedtak"/>
    <w:basedOn w:val="tblRad"/>
    <w:rsid w:val="00FC323C"/>
    <w:pPr>
      <w:spacing w:before="360"/>
      <w:jc w:val="center"/>
    </w:pPr>
  </w:style>
  <w:style w:type="paragraph" w:customStyle="1" w:styleId="tblRadBold">
    <w:name w:val="tblRadBold"/>
    <w:basedOn w:val="tblRad"/>
    <w:rsid w:val="00FC323C"/>
    <w:rPr>
      <w:b/>
    </w:rPr>
  </w:style>
  <w:style w:type="paragraph" w:customStyle="1" w:styleId="tblRadItalic">
    <w:name w:val="tblRadItalic"/>
    <w:basedOn w:val="tblRad"/>
    <w:rsid w:val="00FC323C"/>
    <w:rPr>
      <w:i/>
    </w:rPr>
  </w:style>
  <w:style w:type="paragraph" w:customStyle="1" w:styleId="tblRadItalicSiste">
    <w:name w:val="tblRadItalicSiste"/>
    <w:basedOn w:val="tblRadItalic"/>
    <w:rsid w:val="00FC323C"/>
  </w:style>
  <w:style w:type="paragraph" w:customStyle="1" w:styleId="tblRadMedLuft">
    <w:name w:val="tblRadMedLuft"/>
    <w:basedOn w:val="tblRad"/>
    <w:rsid w:val="00FC323C"/>
    <w:pPr>
      <w:spacing w:before="120"/>
    </w:pPr>
  </w:style>
  <w:style w:type="paragraph" w:customStyle="1" w:styleId="tblRadMedLuftSiste">
    <w:name w:val="tblRadMedLuftSiste"/>
    <w:basedOn w:val="tblRadMedLuft"/>
    <w:rsid w:val="00FC323C"/>
    <w:pPr>
      <w:spacing w:after="120"/>
    </w:pPr>
  </w:style>
  <w:style w:type="paragraph" w:customStyle="1" w:styleId="tblRadMedLuftSiste-Vedtak">
    <w:name w:val="tblRadMedLuftSiste - Vedtak"/>
    <w:basedOn w:val="tblRadMedLuftSiste"/>
    <w:rsid w:val="00FC323C"/>
    <w:pPr>
      <w:keepNext w:val="0"/>
    </w:pPr>
  </w:style>
  <w:style w:type="paragraph" w:customStyle="1" w:styleId="tblRadSiste">
    <w:name w:val="tblRadSiste"/>
    <w:basedOn w:val="tblRad"/>
    <w:rsid w:val="00FC323C"/>
  </w:style>
  <w:style w:type="paragraph" w:customStyle="1" w:styleId="tblSluttsum">
    <w:name w:val="tblSluttsum"/>
    <w:basedOn w:val="tblRad"/>
    <w:rsid w:val="00FC323C"/>
    <w:pPr>
      <w:spacing w:before="120"/>
    </w:pPr>
    <w:rPr>
      <w:b/>
      <w:i/>
    </w:rPr>
  </w:style>
  <w:style w:type="paragraph" w:customStyle="1" w:styleId="Forside-departement">
    <w:name w:val="Forside-departement"/>
    <w:qFormat/>
    <w:rsid w:val="00FC323C"/>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FC323C"/>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FC323C"/>
    <w:pPr>
      <w:spacing w:after="0" w:line="240" w:lineRule="auto"/>
    </w:pPr>
    <w:rPr>
      <w:rFonts w:ascii="Open Sans" w:eastAsia="Times New Roman" w:hAnsi="Open Sans" w:cs="Open Sans"/>
      <w:color w:val="000000"/>
      <w:sz w:val="66"/>
      <w:szCs w:val="66"/>
    </w:rPr>
  </w:style>
  <w:style w:type="character" w:styleId="Emneknagg">
    <w:name w:val="Hashtag"/>
    <w:basedOn w:val="Standardskriftforavsnitt"/>
    <w:uiPriority w:val="99"/>
    <w:semiHidden/>
    <w:unhideWhenUsed/>
    <w:rsid w:val="00F04079"/>
    <w:rPr>
      <w:color w:val="2B579A"/>
      <w:shd w:val="clear" w:color="auto" w:fill="E1DFDD"/>
    </w:rPr>
  </w:style>
  <w:style w:type="character" w:styleId="Smarthyperkobling">
    <w:name w:val="Smart Hyperlink"/>
    <w:basedOn w:val="Standardskriftforavsnitt"/>
    <w:uiPriority w:val="99"/>
    <w:semiHidden/>
    <w:unhideWhenUsed/>
    <w:rsid w:val="00F04079"/>
    <w:rPr>
      <w:u w:val="dotted"/>
    </w:rPr>
  </w:style>
  <w:style w:type="character" w:styleId="Smartkobling">
    <w:name w:val="Smart Link"/>
    <w:basedOn w:val="Standardskriftforavsnitt"/>
    <w:uiPriority w:val="99"/>
    <w:semiHidden/>
    <w:unhideWhenUsed/>
    <w:rsid w:val="00F0407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083">
      <w:bodyDiv w:val="1"/>
      <w:marLeft w:val="0"/>
      <w:marRight w:val="0"/>
      <w:marTop w:val="0"/>
      <w:marBottom w:val="0"/>
      <w:divBdr>
        <w:top w:val="none" w:sz="0" w:space="0" w:color="auto"/>
        <w:left w:val="none" w:sz="0" w:space="0" w:color="auto"/>
        <w:bottom w:val="none" w:sz="0" w:space="0" w:color="auto"/>
        <w:right w:val="none" w:sz="0" w:space="0" w:color="auto"/>
      </w:divBdr>
      <w:divsChild>
        <w:div w:id="35354270">
          <w:marLeft w:val="0"/>
          <w:marRight w:val="0"/>
          <w:marTop w:val="0"/>
          <w:marBottom w:val="0"/>
          <w:divBdr>
            <w:top w:val="none" w:sz="0" w:space="0" w:color="auto"/>
            <w:left w:val="none" w:sz="0" w:space="0" w:color="auto"/>
            <w:bottom w:val="none" w:sz="0" w:space="0" w:color="auto"/>
            <w:right w:val="none" w:sz="0" w:space="0" w:color="auto"/>
          </w:divBdr>
        </w:div>
        <w:div w:id="47148966">
          <w:marLeft w:val="0"/>
          <w:marRight w:val="0"/>
          <w:marTop w:val="0"/>
          <w:marBottom w:val="0"/>
          <w:divBdr>
            <w:top w:val="none" w:sz="0" w:space="0" w:color="auto"/>
            <w:left w:val="none" w:sz="0" w:space="0" w:color="auto"/>
            <w:bottom w:val="none" w:sz="0" w:space="0" w:color="auto"/>
            <w:right w:val="none" w:sz="0" w:space="0" w:color="auto"/>
          </w:divBdr>
        </w:div>
        <w:div w:id="351107105">
          <w:marLeft w:val="0"/>
          <w:marRight w:val="0"/>
          <w:marTop w:val="0"/>
          <w:marBottom w:val="0"/>
          <w:divBdr>
            <w:top w:val="none" w:sz="0" w:space="0" w:color="auto"/>
            <w:left w:val="none" w:sz="0" w:space="0" w:color="auto"/>
            <w:bottom w:val="none" w:sz="0" w:space="0" w:color="auto"/>
            <w:right w:val="none" w:sz="0" w:space="0" w:color="auto"/>
          </w:divBdr>
        </w:div>
        <w:div w:id="457115769">
          <w:marLeft w:val="0"/>
          <w:marRight w:val="0"/>
          <w:marTop w:val="0"/>
          <w:marBottom w:val="0"/>
          <w:divBdr>
            <w:top w:val="none" w:sz="0" w:space="0" w:color="auto"/>
            <w:left w:val="none" w:sz="0" w:space="0" w:color="auto"/>
            <w:bottom w:val="none" w:sz="0" w:space="0" w:color="auto"/>
            <w:right w:val="none" w:sz="0" w:space="0" w:color="auto"/>
          </w:divBdr>
        </w:div>
        <w:div w:id="560555740">
          <w:marLeft w:val="0"/>
          <w:marRight w:val="0"/>
          <w:marTop w:val="0"/>
          <w:marBottom w:val="0"/>
          <w:divBdr>
            <w:top w:val="none" w:sz="0" w:space="0" w:color="auto"/>
            <w:left w:val="none" w:sz="0" w:space="0" w:color="auto"/>
            <w:bottom w:val="none" w:sz="0" w:space="0" w:color="auto"/>
            <w:right w:val="none" w:sz="0" w:space="0" w:color="auto"/>
          </w:divBdr>
        </w:div>
        <w:div w:id="591165682">
          <w:marLeft w:val="0"/>
          <w:marRight w:val="0"/>
          <w:marTop w:val="0"/>
          <w:marBottom w:val="0"/>
          <w:divBdr>
            <w:top w:val="none" w:sz="0" w:space="0" w:color="auto"/>
            <w:left w:val="none" w:sz="0" w:space="0" w:color="auto"/>
            <w:bottom w:val="none" w:sz="0" w:space="0" w:color="auto"/>
            <w:right w:val="none" w:sz="0" w:space="0" w:color="auto"/>
          </w:divBdr>
        </w:div>
        <w:div w:id="617640691">
          <w:marLeft w:val="0"/>
          <w:marRight w:val="0"/>
          <w:marTop w:val="0"/>
          <w:marBottom w:val="0"/>
          <w:divBdr>
            <w:top w:val="none" w:sz="0" w:space="0" w:color="auto"/>
            <w:left w:val="none" w:sz="0" w:space="0" w:color="auto"/>
            <w:bottom w:val="none" w:sz="0" w:space="0" w:color="auto"/>
            <w:right w:val="none" w:sz="0" w:space="0" w:color="auto"/>
          </w:divBdr>
        </w:div>
        <w:div w:id="741221495">
          <w:marLeft w:val="0"/>
          <w:marRight w:val="0"/>
          <w:marTop w:val="0"/>
          <w:marBottom w:val="0"/>
          <w:divBdr>
            <w:top w:val="none" w:sz="0" w:space="0" w:color="auto"/>
            <w:left w:val="none" w:sz="0" w:space="0" w:color="auto"/>
            <w:bottom w:val="none" w:sz="0" w:space="0" w:color="auto"/>
            <w:right w:val="none" w:sz="0" w:space="0" w:color="auto"/>
          </w:divBdr>
        </w:div>
        <w:div w:id="774135920">
          <w:marLeft w:val="0"/>
          <w:marRight w:val="0"/>
          <w:marTop w:val="0"/>
          <w:marBottom w:val="0"/>
          <w:divBdr>
            <w:top w:val="none" w:sz="0" w:space="0" w:color="auto"/>
            <w:left w:val="none" w:sz="0" w:space="0" w:color="auto"/>
            <w:bottom w:val="none" w:sz="0" w:space="0" w:color="auto"/>
            <w:right w:val="none" w:sz="0" w:space="0" w:color="auto"/>
          </w:divBdr>
        </w:div>
        <w:div w:id="785662034">
          <w:marLeft w:val="0"/>
          <w:marRight w:val="0"/>
          <w:marTop w:val="0"/>
          <w:marBottom w:val="0"/>
          <w:divBdr>
            <w:top w:val="none" w:sz="0" w:space="0" w:color="auto"/>
            <w:left w:val="none" w:sz="0" w:space="0" w:color="auto"/>
            <w:bottom w:val="none" w:sz="0" w:space="0" w:color="auto"/>
            <w:right w:val="none" w:sz="0" w:space="0" w:color="auto"/>
          </w:divBdr>
        </w:div>
        <w:div w:id="1335835339">
          <w:marLeft w:val="0"/>
          <w:marRight w:val="0"/>
          <w:marTop w:val="0"/>
          <w:marBottom w:val="0"/>
          <w:divBdr>
            <w:top w:val="none" w:sz="0" w:space="0" w:color="auto"/>
            <w:left w:val="none" w:sz="0" w:space="0" w:color="auto"/>
            <w:bottom w:val="none" w:sz="0" w:space="0" w:color="auto"/>
            <w:right w:val="none" w:sz="0" w:space="0" w:color="auto"/>
          </w:divBdr>
        </w:div>
        <w:div w:id="1612316773">
          <w:marLeft w:val="0"/>
          <w:marRight w:val="0"/>
          <w:marTop w:val="0"/>
          <w:marBottom w:val="0"/>
          <w:divBdr>
            <w:top w:val="none" w:sz="0" w:space="0" w:color="auto"/>
            <w:left w:val="none" w:sz="0" w:space="0" w:color="auto"/>
            <w:bottom w:val="none" w:sz="0" w:space="0" w:color="auto"/>
            <w:right w:val="none" w:sz="0" w:space="0" w:color="auto"/>
          </w:divBdr>
        </w:div>
        <w:div w:id="1781365847">
          <w:marLeft w:val="0"/>
          <w:marRight w:val="0"/>
          <w:marTop w:val="0"/>
          <w:marBottom w:val="0"/>
          <w:divBdr>
            <w:top w:val="none" w:sz="0" w:space="0" w:color="auto"/>
            <w:left w:val="none" w:sz="0" w:space="0" w:color="auto"/>
            <w:bottom w:val="none" w:sz="0" w:space="0" w:color="auto"/>
            <w:right w:val="none" w:sz="0" w:space="0" w:color="auto"/>
          </w:divBdr>
        </w:div>
      </w:divsChild>
    </w:div>
    <w:div w:id="6759574">
      <w:bodyDiv w:val="1"/>
      <w:marLeft w:val="0"/>
      <w:marRight w:val="0"/>
      <w:marTop w:val="0"/>
      <w:marBottom w:val="0"/>
      <w:divBdr>
        <w:top w:val="none" w:sz="0" w:space="0" w:color="auto"/>
        <w:left w:val="none" w:sz="0" w:space="0" w:color="auto"/>
        <w:bottom w:val="none" w:sz="0" w:space="0" w:color="auto"/>
        <w:right w:val="none" w:sz="0" w:space="0" w:color="auto"/>
      </w:divBdr>
    </w:div>
    <w:div w:id="13895025">
      <w:bodyDiv w:val="1"/>
      <w:marLeft w:val="0"/>
      <w:marRight w:val="0"/>
      <w:marTop w:val="0"/>
      <w:marBottom w:val="0"/>
      <w:divBdr>
        <w:top w:val="none" w:sz="0" w:space="0" w:color="auto"/>
        <w:left w:val="none" w:sz="0" w:space="0" w:color="auto"/>
        <w:bottom w:val="none" w:sz="0" w:space="0" w:color="auto"/>
        <w:right w:val="none" w:sz="0" w:space="0" w:color="auto"/>
      </w:divBdr>
    </w:div>
    <w:div w:id="25299711">
      <w:bodyDiv w:val="1"/>
      <w:marLeft w:val="0"/>
      <w:marRight w:val="0"/>
      <w:marTop w:val="0"/>
      <w:marBottom w:val="0"/>
      <w:divBdr>
        <w:top w:val="none" w:sz="0" w:space="0" w:color="auto"/>
        <w:left w:val="none" w:sz="0" w:space="0" w:color="auto"/>
        <w:bottom w:val="none" w:sz="0" w:space="0" w:color="auto"/>
        <w:right w:val="none" w:sz="0" w:space="0" w:color="auto"/>
      </w:divBdr>
    </w:div>
    <w:div w:id="27802174">
      <w:bodyDiv w:val="1"/>
      <w:marLeft w:val="0"/>
      <w:marRight w:val="0"/>
      <w:marTop w:val="0"/>
      <w:marBottom w:val="0"/>
      <w:divBdr>
        <w:top w:val="none" w:sz="0" w:space="0" w:color="auto"/>
        <w:left w:val="none" w:sz="0" w:space="0" w:color="auto"/>
        <w:bottom w:val="none" w:sz="0" w:space="0" w:color="auto"/>
        <w:right w:val="none" w:sz="0" w:space="0" w:color="auto"/>
      </w:divBdr>
    </w:div>
    <w:div w:id="44523390">
      <w:bodyDiv w:val="1"/>
      <w:marLeft w:val="0"/>
      <w:marRight w:val="0"/>
      <w:marTop w:val="0"/>
      <w:marBottom w:val="0"/>
      <w:divBdr>
        <w:top w:val="none" w:sz="0" w:space="0" w:color="auto"/>
        <w:left w:val="none" w:sz="0" w:space="0" w:color="auto"/>
        <w:bottom w:val="none" w:sz="0" w:space="0" w:color="auto"/>
        <w:right w:val="none" w:sz="0" w:space="0" w:color="auto"/>
      </w:divBdr>
    </w:div>
    <w:div w:id="49311257">
      <w:bodyDiv w:val="1"/>
      <w:marLeft w:val="0"/>
      <w:marRight w:val="0"/>
      <w:marTop w:val="0"/>
      <w:marBottom w:val="0"/>
      <w:divBdr>
        <w:top w:val="none" w:sz="0" w:space="0" w:color="auto"/>
        <w:left w:val="none" w:sz="0" w:space="0" w:color="auto"/>
        <w:bottom w:val="none" w:sz="0" w:space="0" w:color="auto"/>
        <w:right w:val="none" w:sz="0" w:space="0" w:color="auto"/>
      </w:divBdr>
    </w:div>
    <w:div w:id="56632463">
      <w:bodyDiv w:val="1"/>
      <w:marLeft w:val="0"/>
      <w:marRight w:val="0"/>
      <w:marTop w:val="0"/>
      <w:marBottom w:val="0"/>
      <w:divBdr>
        <w:top w:val="none" w:sz="0" w:space="0" w:color="auto"/>
        <w:left w:val="none" w:sz="0" w:space="0" w:color="auto"/>
        <w:bottom w:val="none" w:sz="0" w:space="0" w:color="auto"/>
        <w:right w:val="none" w:sz="0" w:space="0" w:color="auto"/>
      </w:divBdr>
    </w:div>
    <w:div w:id="58481430">
      <w:bodyDiv w:val="1"/>
      <w:marLeft w:val="0"/>
      <w:marRight w:val="0"/>
      <w:marTop w:val="0"/>
      <w:marBottom w:val="0"/>
      <w:divBdr>
        <w:top w:val="none" w:sz="0" w:space="0" w:color="auto"/>
        <w:left w:val="none" w:sz="0" w:space="0" w:color="auto"/>
        <w:bottom w:val="none" w:sz="0" w:space="0" w:color="auto"/>
        <w:right w:val="none" w:sz="0" w:space="0" w:color="auto"/>
      </w:divBdr>
    </w:div>
    <w:div w:id="65689773">
      <w:bodyDiv w:val="1"/>
      <w:marLeft w:val="0"/>
      <w:marRight w:val="0"/>
      <w:marTop w:val="0"/>
      <w:marBottom w:val="0"/>
      <w:divBdr>
        <w:top w:val="none" w:sz="0" w:space="0" w:color="auto"/>
        <w:left w:val="none" w:sz="0" w:space="0" w:color="auto"/>
        <w:bottom w:val="none" w:sz="0" w:space="0" w:color="auto"/>
        <w:right w:val="none" w:sz="0" w:space="0" w:color="auto"/>
      </w:divBdr>
      <w:divsChild>
        <w:div w:id="613094811">
          <w:marLeft w:val="0"/>
          <w:marRight w:val="0"/>
          <w:marTop w:val="0"/>
          <w:marBottom w:val="0"/>
          <w:divBdr>
            <w:top w:val="none" w:sz="0" w:space="0" w:color="auto"/>
            <w:left w:val="none" w:sz="0" w:space="0" w:color="auto"/>
            <w:bottom w:val="none" w:sz="0" w:space="0" w:color="auto"/>
            <w:right w:val="none" w:sz="0" w:space="0" w:color="auto"/>
          </w:divBdr>
        </w:div>
        <w:div w:id="788015755">
          <w:marLeft w:val="0"/>
          <w:marRight w:val="0"/>
          <w:marTop w:val="0"/>
          <w:marBottom w:val="0"/>
          <w:divBdr>
            <w:top w:val="none" w:sz="0" w:space="0" w:color="auto"/>
            <w:left w:val="none" w:sz="0" w:space="0" w:color="auto"/>
            <w:bottom w:val="none" w:sz="0" w:space="0" w:color="auto"/>
            <w:right w:val="none" w:sz="0" w:space="0" w:color="auto"/>
          </w:divBdr>
        </w:div>
      </w:divsChild>
    </w:div>
    <w:div w:id="66928346">
      <w:bodyDiv w:val="1"/>
      <w:marLeft w:val="0"/>
      <w:marRight w:val="0"/>
      <w:marTop w:val="0"/>
      <w:marBottom w:val="0"/>
      <w:divBdr>
        <w:top w:val="none" w:sz="0" w:space="0" w:color="auto"/>
        <w:left w:val="none" w:sz="0" w:space="0" w:color="auto"/>
        <w:bottom w:val="none" w:sz="0" w:space="0" w:color="auto"/>
        <w:right w:val="none" w:sz="0" w:space="0" w:color="auto"/>
      </w:divBdr>
    </w:div>
    <w:div w:id="70784286">
      <w:bodyDiv w:val="1"/>
      <w:marLeft w:val="0"/>
      <w:marRight w:val="0"/>
      <w:marTop w:val="0"/>
      <w:marBottom w:val="0"/>
      <w:divBdr>
        <w:top w:val="none" w:sz="0" w:space="0" w:color="auto"/>
        <w:left w:val="none" w:sz="0" w:space="0" w:color="auto"/>
        <w:bottom w:val="none" w:sz="0" w:space="0" w:color="auto"/>
        <w:right w:val="none" w:sz="0" w:space="0" w:color="auto"/>
      </w:divBdr>
    </w:div>
    <w:div w:id="76905400">
      <w:bodyDiv w:val="1"/>
      <w:marLeft w:val="0"/>
      <w:marRight w:val="0"/>
      <w:marTop w:val="0"/>
      <w:marBottom w:val="0"/>
      <w:divBdr>
        <w:top w:val="none" w:sz="0" w:space="0" w:color="auto"/>
        <w:left w:val="none" w:sz="0" w:space="0" w:color="auto"/>
        <w:bottom w:val="none" w:sz="0" w:space="0" w:color="auto"/>
        <w:right w:val="none" w:sz="0" w:space="0" w:color="auto"/>
      </w:divBdr>
      <w:divsChild>
        <w:div w:id="696929694">
          <w:marLeft w:val="0"/>
          <w:marRight w:val="0"/>
          <w:marTop w:val="0"/>
          <w:marBottom w:val="0"/>
          <w:divBdr>
            <w:top w:val="none" w:sz="0" w:space="0" w:color="auto"/>
            <w:left w:val="none" w:sz="0" w:space="0" w:color="auto"/>
            <w:bottom w:val="none" w:sz="0" w:space="0" w:color="auto"/>
            <w:right w:val="none" w:sz="0" w:space="0" w:color="auto"/>
          </w:divBdr>
        </w:div>
        <w:div w:id="1299527904">
          <w:marLeft w:val="0"/>
          <w:marRight w:val="0"/>
          <w:marTop w:val="0"/>
          <w:marBottom w:val="0"/>
          <w:divBdr>
            <w:top w:val="none" w:sz="0" w:space="0" w:color="auto"/>
            <w:left w:val="none" w:sz="0" w:space="0" w:color="auto"/>
            <w:bottom w:val="none" w:sz="0" w:space="0" w:color="auto"/>
            <w:right w:val="none" w:sz="0" w:space="0" w:color="auto"/>
          </w:divBdr>
        </w:div>
      </w:divsChild>
    </w:div>
    <w:div w:id="77681926">
      <w:bodyDiv w:val="1"/>
      <w:marLeft w:val="0"/>
      <w:marRight w:val="0"/>
      <w:marTop w:val="0"/>
      <w:marBottom w:val="0"/>
      <w:divBdr>
        <w:top w:val="none" w:sz="0" w:space="0" w:color="auto"/>
        <w:left w:val="none" w:sz="0" w:space="0" w:color="auto"/>
        <w:bottom w:val="none" w:sz="0" w:space="0" w:color="auto"/>
        <w:right w:val="none" w:sz="0" w:space="0" w:color="auto"/>
      </w:divBdr>
    </w:div>
    <w:div w:id="82260891">
      <w:bodyDiv w:val="1"/>
      <w:marLeft w:val="0"/>
      <w:marRight w:val="0"/>
      <w:marTop w:val="0"/>
      <w:marBottom w:val="0"/>
      <w:divBdr>
        <w:top w:val="none" w:sz="0" w:space="0" w:color="auto"/>
        <w:left w:val="none" w:sz="0" w:space="0" w:color="auto"/>
        <w:bottom w:val="none" w:sz="0" w:space="0" w:color="auto"/>
        <w:right w:val="none" w:sz="0" w:space="0" w:color="auto"/>
      </w:divBdr>
    </w:div>
    <w:div w:id="83697253">
      <w:bodyDiv w:val="1"/>
      <w:marLeft w:val="0"/>
      <w:marRight w:val="0"/>
      <w:marTop w:val="0"/>
      <w:marBottom w:val="0"/>
      <w:divBdr>
        <w:top w:val="none" w:sz="0" w:space="0" w:color="auto"/>
        <w:left w:val="none" w:sz="0" w:space="0" w:color="auto"/>
        <w:bottom w:val="none" w:sz="0" w:space="0" w:color="auto"/>
        <w:right w:val="none" w:sz="0" w:space="0" w:color="auto"/>
      </w:divBdr>
    </w:div>
    <w:div w:id="86779242">
      <w:bodyDiv w:val="1"/>
      <w:marLeft w:val="0"/>
      <w:marRight w:val="0"/>
      <w:marTop w:val="0"/>
      <w:marBottom w:val="0"/>
      <w:divBdr>
        <w:top w:val="none" w:sz="0" w:space="0" w:color="auto"/>
        <w:left w:val="none" w:sz="0" w:space="0" w:color="auto"/>
        <w:bottom w:val="none" w:sz="0" w:space="0" w:color="auto"/>
        <w:right w:val="none" w:sz="0" w:space="0" w:color="auto"/>
      </w:divBdr>
    </w:div>
    <w:div w:id="90858701">
      <w:bodyDiv w:val="1"/>
      <w:marLeft w:val="0"/>
      <w:marRight w:val="0"/>
      <w:marTop w:val="0"/>
      <w:marBottom w:val="0"/>
      <w:divBdr>
        <w:top w:val="none" w:sz="0" w:space="0" w:color="auto"/>
        <w:left w:val="none" w:sz="0" w:space="0" w:color="auto"/>
        <w:bottom w:val="none" w:sz="0" w:space="0" w:color="auto"/>
        <w:right w:val="none" w:sz="0" w:space="0" w:color="auto"/>
      </w:divBdr>
    </w:div>
    <w:div w:id="94830808">
      <w:bodyDiv w:val="1"/>
      <w:marLeft w:val="0"/>
      <w:marRight w:val="0"/>
      <w:marTop w:val="0"/>
      <w:marBottom w:val="0"/>
      <w:divBdr>
        <w:top w:val="none" w:sz="0" w:space="0" w:color="auto"/>
        <w:left w:val="none" w:sz="0" w:space="0" w:color="auto"/>
        <w:bottom w:val="none" w:sz="0" w:space="0" w:color="auto"/>
        <w:right w:val="none" w:sz="0" w:space="0" w:color="auto"/>
      </w:divBdr>
    </w:div>
    <w:div w:id="104275885">
      <w:bodyDiv w:val="1"/>
      <w:marLeft w:val="0"/>
      <w:marRight w:val="0"/>
      <w:marTop w:val="0"/>
      <w:marBottom w:val="0"/>
      <w:divBdr>
        <w:top w:val="none" w:sz="0" w:space="0" w:color="auto"/>
        <w:left w:val="none" w:sz="0" w:space="0" w:color="auto"/>
        <w:bottom w:val="none" w:sz="0" w:space="0" w:color="auto"/>
        <w:right w:val="none" w:sz="0" w:space="0" w:color="auto"/>
      </w:divBdr>
    </w:div>
    <w:div w:id="105128160">
      <w:bodyDiv w:val="1"/>
      <w:marLeft w:val="0"/>
      <w:marRight w:val="0"/>
      <w:marTop w:val="0"/>
      <w:marBottom w:val="0"/>
      <w:divBdr>
        <w:top w:val="none" w:sz="0" w:space="0" w:color="auto"/>
        <w:left w:val="none" w:sz="0" w:space="0" w:color="auto"/>
        <w:bottom w:val="none" w:sz="0" w:space="0" w:color="auto"/>
        <w:right w:val="none" w:sz="0" w:space="0" w:color="auto"/>
      </w:divBdr>
    </w:div>
    <w:div w:id="107553813">
      <w:bodyDiv w:val="1"/>
      <w:marLeft w:val="0"/>
      <w:marRight w:val="0"/>
      <w:marTop w:val="0"/>
      <w:marBottom w:val="0"/>
      <w:divBdr>
        <w:top w:val="none" w:sz="0" w:space="0" w:color="auto"/>
        <w:left w:val="none" w:sz="0" w:space="0" w:color="auto"/>
        <w:bottom w:val="none" w:sz="0" w:space="0" w:color="auto"/>
        <w:right w:val="none" w:sz="0" w:space="0" w:color="auto"/>
      </w:divBdr>
    </w:div>
    <w:div w:id="129858652">
      <w:bodyDiv w:val="1"/>
      <w:marLeft w:val="0"/>
      <w:marRight w:val="0"/>
      <w:marTop w:val="0"/>
      <w:marBottom w:val="0"/>
      <w:divBdr>
        <w:top w:val="none" w:sz="0" w:space="0" w:color="auto"/>
        <w:left w:val="none" w:sz="0" w:space="0" w:color="auto"/>
        <w:bottom w:val="none" w:sz="0" w:space="0" w:color="auto"/>
        <w:right w:val="none" w:sz="0" w:space="0" w:color="auto"/>
      </w:divBdr>
    </w:div>
    <w:div w:id="129979083">
      <w:bodyDiv w:val="1"/>
      <w:marLeft w:val="0"/>
      <w:marRight w:val="0"/>
      <w:marTop w:val="0"/>
      <w:marBottom w:val="0"/>
      <w:divBdr>
        <w:top w:val="none" w:sz="0" w:space="0" w:color="auto"/>
        <w:left w:val="none" w:sz="0" w:space="0" w:color="auto"/>
        <w:bottom w:val="none" w:sz="0" w:space="0" w:color="auto"/>
        <w:right w:val="none" w:sz="0" w:space="0" w:color="auto"/>
      </w:divBdr>
    </w:div>
    <w:div w:id="140583614">
      <w:bodyDiv w:val="1"/>
      <w:marLeft w:val="0"/>
      <w:marRight w:val="0"/>
      <w:marTop w:val="0"/>
      <w:marBottom w:val="0"/>
      <w:divBdr>
        <w:top w:val="none" w:sz="0" w:space="0" w:color="auto"/>
        <w:left w:val="none" w:sz="0" w:space="0" w:color="auto"/>
        <w:bottom w:val="none" w:sz="0" w:space="0" w:color="auto"/>
        <w:right w:val="none" w:sz="0" w:space="0" w:color="auto"/>
      </w:divBdr>
      <w:divsChild>
        <w:div w:id="117653472">
          <w:marLeft w:val="0"/>
          <w:marRight w:val="0"/>
          <w:marTop w:val="0"/>
          <w:marBottom w:val="0"/>
          <w:divBdr>
            <w:top w:val="none" w:sz="0" w:space="0" w:color="auto"/>
            <w:left w:val="none" w:sz="0" w:space="0" w:color="auto"/>
            <w:bottom w:val="none" w:sz="0" w:space="0" w:color="auto"/>
            <w:right w:val="none" w:sz="0" w:space="0" w:color="auto"/>
          </w:divBdr>
        </w:div>
        <w:div w:id="1937589076">
          <w:marLeft w:val="0"/>
          <w:marRight w:val="0"/>
          <w:marTop w:val="0"/>
          <w:marBottom w:val="0"/>
          <w:divBdr>
            <w:top w:val="none" w:sz="0" w:space="0" w:color="auto"/>
            <w:left w:val="none" w:sz="0" w:space="0" w:color="auto"/>
            <w:bottom w:val="none" w:sz="0" w:space="0" w:color="auto"/>
            <w:right w:val="none" w:sz="0" w:space="0" w:color="auto"/>
          </w:divBdr>
        </w:div>
      </w:divsChild>
    </w:div>
    <w:div w:id="141699073">
      <w:bodyDiv w:val="1"/>
      <w:marLeft w:val="0"/>
      <w:marRight w:val="0"/>
      <w:marTop w:val="0"/>
      <w:marBottom w:val="0"/>
      <w:divBdr>
        <w:top w:val="none" w:sz="0" w:space="0" w:color="auto"/>
        <w:left w:val="none" w:sz="0" w:space="0" w:color="auto"/>
        <w:bottom w:val="none" w:sz="0" w:space="0" w:color="auto"/>
        <w:right w:val="none" w:sz="0" w:space="0" w:color="auto"/>
      </w:divBdr>
    </w:div>
    <w:div w:id="149445483">
      <w:bodyDiv w:val="1"/>
      <w:marLeft w:val="0"/>
      <w:marRight w:val="0"/>
      <w:marTop w:val="0"/>
      <w:marBottom w:val="0"/>
      <w:divBdr>
        <w:top w:val="none" w:sz="0" w:space="0" w:color="auto"/>
        <w:left w:val="none" w:sz="0" w:space="0" w:color="auto"/>
        <w:bottom w:val="none" w:sz="0" w:space="0" w:color="auto"/>
        <w:right w:val="none" w:sz="0" w:space="0" w:color="auto"/>
      </w:divBdr>
    </w:div>
    <w:div w:id="175309335">
      <w:bodyDiv w:val="1"/>
      <w:marLeft w:val="0"/>
      <w:marRight w:val="0"/>
      <w:marTop w:val="0"/>
      <w:marBottom w:val="0"/>
      <w:divBdr>
        <w:top w:val="none" w:sz="0" w:space="0" w:color="auto"/>
        <w:left w:val="none" w:sz="0" w:space="0" w:color="auto"/>
        <w:bottom w:val="none" w:sz="0" w:space="0" w:color="auto"/>
        <w:right w:val="none" w:sz="0" w:space="0" w:color="auto"/>
      </w:divBdr>
    </w:div>
    <w:div w:id="187111305">
      <w:bodyDiv w:val="1"/>
      <w:marLeft w:val="0"/>
      <w:marRight w:val="0"/>
      <w:marTop w:val="0"/>
      <w:marBottom w:val="0"/>
      <w:divBdr>
        <w:top w:val="none" w:sz="0" w:space="0" w:color="auto"/>
        <w:left w:val="none" w:sz="0" w:space="0" w:color="auto"/>
        <w:bottom w:val="none" w:sz="0" w:space="0" w:color="auto"/>
        <w:right w:val="none" w:sz="0" w:space="0" w:color="auto"/>
      </w:divBdr>
    </w:div>
    <w:div w:id="195891936">
      <w:bodyDiv w:val="1"/>
      <w:marLeft w:val="0"/>
      <w:marRight w:val="0"/>
      <w:marTop w:val="0"/>
      <w:marBottom w:val="0"/>
      <w:divBdr>
        <w:top w:val="none" w:sz="0" w:space="0" w:color="auto"/>
        <w:left w:val="none" w:sz="0" w:space="0" w:color="auto"/>
        <w:bottom w:val="none" w:sz="0" w:space="0" w:color="auto"/>
        <w:right w:val="none" w:sz="0" w:space="0" w:color="auto"/>
      </w:divBdr>
    </w:div>
    <w:div w:id="200630862">
      <w:bodyDiv w:val="1"/>
      <w:marLeft w:val="0"/>
      <w:marRight w:val="0"/>
      <w:marTop w:val="0"/>
      <w:marBottom w:val="0"/>
      <w:divBdr>
        <w:top w:val="none" w:sz="0" w:space="0" w:color="auto"/>
        <w:left w:val="none" w:sz="0" w:space="0" w:color="auto"/>
        <w:bottom w:val="none" w:sz="0" w:space="0" w:color="auto"/>
        <w:right w:val="none" w:sz="0" w:space="0" w:color="auto"/>
      </w:divBdr>
    </w:div>
    <w:div w:id="214585932">
      <w:bodyDiv w:val="1"/>
      <w:marLeft w:val="0"/>
      <w:marRight w:val="0"/>
      <w:marTop w:val="0"/>
      <w:marBottom w:val="0"/>
      <w:divBdr>
        <w:top w:val="none" w:sz="0" w:space="0" w:color="auto"/>
        <w:left w:val="none" w:sz="0" w:space="0" w:color="auto"/>
        <w:bottom w:val="none" w:sz="0" w:space="0" w:color="auto"/>
        <w:right w:val="none" w:sz="0" w:space="0" w:color="auto"/>
      </w:divBdr>
    </w:div>
    <w:div w:id="215894874">
      <w:bodyDiv w:val="1"/>
      <w:marLeft w:val="0"/>
      <w:marRight w:val="0"/>
      <w:marTop w:val="0"/>
      <w:marBottom w:val="0"/>
      <w:divBdr>
        <w:top w:val="none" w:sz="0" w:space="0" w:color="auto"/>
        <w:left w:val="none" w:sz="0" w:space="0" w:color="auto"/>
        <w:bottom w:val="none" w:sz="0" w:space="0" w:color="auto"/>
        <w:right w:val="none" w:sz="0" w:space="0" w:color="auto"/>
      </w:divBdr>
    </w:div>
    <w:div w:id="219950532">
      <w:bodyDiv w:val="1"/>
      <w:marLeft w:val="0"/>
      <w:marRight w:val="0"/>
      <w:marTop w:val="0"/>
      <w:marBottom w:val="0"/>
      <w:divBdr>
        <w:top w:val="none" w:sz="0" w:space="0" w:color="auto"/>
        <w:left w:val="none" w:sz="0" w:space="0" w:color="auto"/>
        <w:bottom w:val="none" w:sz="0" w:space="0" w:color="auto"/>
        <w:right w:val="none" w:sz="0" w:space="0" w:color="auto"/>
      </w:divBdr>
    </w:div>
    <w:div w:id="222060025">
      <w:bodyDiv w:val="1"/>
      <w:marLeft w:val="0"/>
      <w:marRight w:val="0"/>
      <w:marTop w:val="0"/>
      <w:marBottom w:val="0"/>
      <w:divBdr>
        <w:top w:val="none" w:sz="0" w:space="0" w:color="auto"/>
        <w:left w:val="none" w:sz="0" w:space="0" w:color="auto"/>
        <w:bottom w:val="none" w:sz="0" w:space="0" w:color="auto"/>
        <w:right w:val="none" w:sz="0" w:space="0" w:color="auto"/>
      </w:divBdr>
    </w:div>
    <w:div w:id="251738922">
      <w:bodyDiv w:val="1"/>
      <w:marLeft w:val="0"/>
      <w:marRight w:val="0"/>
      <w:marTop w:val="0"/>
      <w:marBottom w:val="0"/>
      <w:divBdr>
        <w:top w:val="none" w:sz="0" w:space="0" w:color="auto"/>
        <w:left w:val="none" w:sz="0" w:space="0" w:color="auto"/>
        <w:bottom w:val="none" w:sz="0" w:space="0" w:color="auto"/>
        <w:right w:val="none" w:sz="0" w:space="0" w:color="auto"/>
      </w:divBdr>
    </w:div>
    <w:div w:id="264190927">
      <w:bodyDiv w:val="1"/>
      <w:marLeft w:val="0"/>
      <w:marRight w:val="0"/>
      <w:marTop w:val="0"/>
      <w:marBottom w:val="0"/>
      <w:divBdr>
        <w:top w:val="none" w:sz="0" w:space="0" w:color="auto"/>
        <w:left w:val="none" w:sz="0" w:space="0" w:color="auto"/>
        <w:bottom w:val="none" w:sz="0" w:space="0" w:color="auto"/>
        <w:right w:val="none" w:sz="0" w:space="0" w:color="auto"/>
      </w:divBdr>
    </w:div>
    <w:div w:id="271785333">
      <w:bodyDiv w:val="1"/>
      <w:marLeft w:val="0"/>
      <w:marRight w:val="0"/>
      <w:marTop w:val="0"/>
      <w:marBottom w:val="0"/>
      <w:divBdr>
        <w:top w:val="none" w:sz="0" w:space="0" w:color="auto"/>
        <w:left w:val="none" w:sz="0" w:space="0" w:color="auto"/>
        <w:bottom w:val="none" w:sz="0" w:space="0" w:color="auto"/>
        <w:right w:val="none" w:sz="0" w:space="0" w:color="auto"/>
      </w:divBdr>
    </w:div>
    <w:div w:id="289434761">
      <w:bodyDiv w:val="1"/>
      <w:marLeft w:val="0"/>
      <w:marRight w:val="0"/>
      <w:marTop w:val="0"/>
      <w:marBottom w:val="0"/>
      <w:divBdr>
        <w:top w:val="none" w:sz="0" w:space="0" w:color="auto"/>
        <w:left w:val="none" w:sz="0" w:space="0" w:color="auto"/>
        <w:bottom w:val="none" w:sz="0" w:space="0" w:color="auto"/>
        <w:right w:val="none" w:sz="0" w:space="0" w:color="auto"/>
      </w:divBdr>
    </w:div>
    <w:div w:id="305358718">
      <w:bodyDiv w:val="1"/>
      <w:marLeft w:val="0"/>
      <w:marRight w:val="0"/>
      <w:marTop w:val="0"/>
      <w:marBottom w:val="0"/>
      <w:divBdr>
        <w:top w:val="none" w:sz="0" w:space="0" w:color="auto"/>
        <w:left w:val="none" w:sz="0" w:space="0" w:color="auto"/>
        <w:bottom w:val="none" w:sz="0" w:space="0" w:color="auto"/>
        <w:right w:val="none" w:sz="0" w:space="0" w:color="auto"/>
      </w:divBdr>
    </w:div>
    <w:div w:id="308173367">
      <w:bodyDiv w:val="1"/>
      <w:marLeft w:val="0"/>
      <w:marRight w:val="0"/>
      <w:marTop w:val="0"/>
      <w:marBottom w:val="0"/>
      <w:divBdr>
        <w:top w:val="none" w:sz="0" w:space="0" w:color="auto"/>
        <w:left w:val="none" w:sz="0" w:space="0" w:color="auto"/>
        <w:bottom w:val="none" w:sz="0" w:space="0" w:color="auto"/>
        <w:right w:val="none" w:sz="0" w:space="0" w:color="auto"/>
      </w:divBdr>
    </w:div>
    <w:div w:id="317156376">
      <w:bodyDiv w:val="1"/>
      <w:marLeft w:val="0"/>
      <w:marRight w:val="0"/>
      <w:marTop w:val="0"/>
      <w:marBottom w:val="0"/>
      <w:divBdr>
        <w:top w:val="none" w:sz="0" w:space="0" w:color="auto"/>
        <w:left w:val="none" w:sz="0" w:space="0" w:color="auto"/>
        <w:bottom w:val="none" w:sz="0" w:space="0" w:color="auto"/>
        <w:right w:val="none" w:sz="0" w:space="0" w:color="auto"/>
      </w:divBdr>
    </w:div>
    <w:div w:id="318965933">
      <w:bodyDiv w:val="1"/>
      <w:marLeft w:val="0"/>
      <w:marRight w:val="0"/>
      <w:marTop w:val="0"/>
      <w:marBottom w:val="0"/>
      <w:divBdr>
        <w:top w:val="none" w:sz="0" w:space="0" w:color="auto"/>
        <w:left w:val="none" w:sz="0" w:space="0" w:color="auto"/>
        <w:bottom w:val="none" w:sz="0" w:space="0" w:color="auto"/>
        <w:right w:val="none" w:sz="0" w:space="0" w:color="auto"/>
      </w:divBdr>
    </w:div>
    <w:div w:id="332992788">
      <w:bodyDiv w:val="1"/>
      <w:marLeft w:val="0"/>
      <w:marRight w:val="0"/>
      <w:marTop w:val="0"/>
      <w:marBottom w:val="0"/>
      <w:divBdr>
        <w:top w:val="none" w:sz="0" w:space="0" w:color="auto"/>
        <w:left w:val="none" w:sz="0" w:space="0" w:color="auto"/>
        <w:bottom w:val="none" w:sz="0" w:space="0" w:color="auto"/>
        <w:right w:val="none" w:sz="0" w:space="0" w:color="auto"/>
      </w:divBdr>
    </w:div>
    <w:div w:id="334038180">
      <w:bodyDiv w:val="1"/>
      <w:marLeft w:val="0"/>
      <w:marRight w:val="0"/>
      <w:marTop w:val="0"/>
      <w:marBottom w:val="0"/>
      <w:divBdr>
        <w:top w:val="none" w:sz="0" w:space="0" w:color="auto"/>
        <w:left w:val="none" w:sz="0" w:space="0" w:color="auto"/>
        <w:bottom w:val="none" w:sz="0" w:space="0" w:color="auto"/>
        <w:right w:val="none" w:sz="0" w:space="0" w:color="auto"/>
      </w:divBdr>
    </w:div>
    <w:div w:id="345983454">
      <w:bodyDiv w:val="1"/>
      <w:marLeft w:val="0"/>
      <w:marRight w:val="0"/>
      <w:marTop w:val="0"/>
      <w:marBottom w:val="0"/>
      <w:divBdr>
        <w:top w:val="none" w:sz="0" w:space="0" w:color="auto"/>
        <w:left w:val="none" w:sz="0" w:space="0" w:color="auto"/>
        <w:bottom w:val="none" w:sz="0" w:space="0" w:color="auto"/>
        <w:right w:val="none" w:sz="0" w:space="0" w:color="auto"/>
      </w:divBdr>
    </w:div>
    <w:div w:id="352192048">
      <w:bodyDiv w:val="1"/>
      <w:marLeft w:val="0"/>
      <w:marRight w:val="0"/>
      <w:marTop w:val="0"/>
      <w:marBottom w:val="0"/>
      <w:divBdr>
        <w:top w:val="none" w:sz="0" w:space="0" w:color="auto"/>
        <w:left w:val="none" w:sz="0" w:space="0" w:color="auto"/>
        <w:bottom w:val="none" w:sz="0" w:space="0" w:color="auto"/>
        <w:right w:val="none" w:sz="0" w:space="0" w:color="auto"/>
      </w:divBdr>
    </w:div>
    <w:div w:id="358167781">
      <w:bodyDiv w:val="1"/>
      <w:marLeft w:val="0"/>
      <w:marRight w:val="0"/>
      <w:marTop w:val="0"/>
      <w:marBottom w:val="0"/>
      <w:divBdr>
        <w:top w:val="none" w:sz="0" w:space="0" w:color="auto"/>
        <w:left w:val="none" w:sz="0" w:space="0" w:color="auto"/>
        <w:bottom w:val="none" w:sz="0" w:space="0" w:color="auto"/>
        <w:right w:val="none" w:sz="0" w:space="0" w:color="auto"/>
      </w:divBdr>
    </w:div>
    <w:div w:id="361714003">
      <w:bodyDiv w:val="1"/>
      <w:marLeft w:val="0"/>
      <w:marRight w:val="0"/>
      <w:marTop w:val="0"/>
      <w:marBottom w:val="0"/>
      <w:divBdr>
        <w:top w:val="none" w:sz="0" w:space="0" w:color="auto"/>
        <w:left w:val="none" w:sz="0" w:space="0" w:color="auto"/>
        <w:bottom w:val="none" w:sz="0" w:space="0" w:color="auto"/>
        <w:right w:val="none" w:sz="0" w:space="0" w:color="auto"/>
      </w:divBdr>
    </w:div>
    <w:div w:id="364600470">
      <w:bodyDiv w:val="1"/>
      <w:marLeft w:val="0"/>
      <w:marRight w:val="0"/>
      <w:marTop w:val="0"/>
      <w:marBottom w:val="0"/>
      <w:divBdr>
        <w:top w:val="none" w:sz="0" w:space="0" w:color="auto"/>
        <w:left w:val="none" w:sz="0" w:space="0" w:color="auto"/>
        <w:bottom w:val="none" w:sz="0" w:space="0" w:color="auto"/>
        <w:right w:val="none" w:sz="0" w:space="0" w:color="auto"/>
      </w:divBdr>
    </w:div>
    <w:div w:id="369957715">
      <w:bodyDiv w:val="1"/>
      <w:marLeft w:val="0"/>
      <w:marRight w:val="0"/>
      <w:marTop w:val="0"/>
      <w:marBottom w:val="0"/>
      <w:divBdr>
        <w:top w:val="none" w:sz="0" w:space="0" w:color="auto"/>
        <w:left w:val="none" w:sz="0" w:space="0" w:color="auto"/>
        <w:bottom w:val="none" w:sz="0" w:space="0" w:color="auto"/>
        <w:right w:val="none" w:sz="0" w:space="0" w:color="auto"/>
      </w:divBdr>
    </w:div>
    <w:div w:id="375205818">
      <w:bodyDiv w:val="1"/>
      <w:marLeft w:val="0"/>
      <w:marRight w:val="0"/>
      <w:marTop w:val="0"/>
      <w:marBottom w:val="0"/>
      <w:divBdr>
        <w:top w:val="none" w:sz="0" w:space="0" w:color="auto"/>
        <w:left w:val="none" w:sz="0" w:space="0" w:color="auto"/>
        <w:bottom w:val="none" w:sz="0" w:space="0" w:color="auto"/>
        <w:right w:val="none" w:sz="0" w:space="0" w:color="auto"/>
      </w:divBdr>
    </w:div>
    <w:div w:id="396323487">
      <w:bodyDiv w:val="1"/>
      <w:marLeft w:val="0"/>
      <w:marRight w:val="0"/>
      <w:marTop w:val="0"/>
      <w:marBottom w:val="0"/>
      <w:divBdr>
        <w:top w:val="none" w:sz="0" w:space="0" w:color="auto"/>
        <w:left w:val="none" w:sz="0" w:space="0" w:color="auto"/>
        <w:bottom w:val="none" w:sz="0" w:space="0" w:color="auto"/>
        <w:right w:val="none" w:sz="0" w:space="0" w:color="auto"/>
      </w:divBdr>
    </w:div>
    <w:div w:id="396821938">
      <w:bodyDiv w:val="1"/>
      <w:marLeft w:val="0"/>
      <w:marRight w:val="0"/>
      <w:marTop w:val="0"/>
      <w:marBottom w:val="0"/>
      <w:divBdr>
        <w:top w:val="none" w:sz="0" w:space="0" w:color="auto"/>
        <w:left w:val="none" w:sz="0" w:space="0" w:color="auto"/>
        <w:bottom w:val="none" w:sz="0" w:space="0" w:color="auto"/>
        <w:right w:val="none" w:sz="0" w:space="0" w:color="auto"/>
      </w:divBdr>
      <w:divsChild>
        <w:div w:id="482353465">
          <w:marLeft w:val="1166"/>
          <w:marRight w:val="0"/>
          <w:marTop w:val="86"/>
          <w:marBottom w:val="0"/>
          <w:divBdr>
            <w:top w:val="none" w:sz="0" w:space="0" w:color="auto"/>
            <w:left w:val="none" w:sz="0" w:space="0" w:color="auto"/>
            <w:bottom w:val="none" w:sz="0" w:space="0" w:color="auto"/>
            <w:right w:val="none" w:sz="0" w:space="0" w:color="auto"/>
          </w:divBdr>
        </w:div>
        <w:div w:id="503667383">
          <w:marLeft w:val="1166"/>
          <w:marRight w:val="0"/>
          <w:marTop w:val="86"/>
          <w:marBottom w:val="0"/>
          <w:divBdr>
            <w:top w:val="none" w:sz="0" w:space="0" w:color="auto"/>
            <w:left w:val="none" w:sz="0" w:space="0" w:color="auto"/>
            <w:bottom w:val="none" w:sz="0" w:space="0" w:color="auto"/>
            <w:right w:val="none" w:sz="0" w:space="0" w:color="auto"/>
          </w:divBdr>
        </w:div>
        <w:div w:id="625507483">
          <w:marLeft w:val="1166"/>
          <w:marRight w:val="0"/>
          <w:marTop w:val="86"/>
          <w:marBottom w:val="0"/>
          <w:divBdr>
            <w:top w:val="none" w:sz="0" w:space="0" w:color="auto"/>
            <w:left w:val="none" w:sz="0" w:space="0" w:color="auto"/>
            <w:bottom w:val="none" w:sz="0" w:space="0" w:color="auto"/>
            <w:right w:val="none" w:sz="0" w:space="0" w:color="auto"/>
          </w:divBdr>
        </w:div>
        <w:div w:id="665665770">
          <w:marLeft w:val="1166"/>
          <w:marRight w:val="0"/>
          <w:marTop w:val="86"/>
          <w:marBottom w:val="0"/>
          <w:divBdr>
            <w:top w:val="none" w:sz="0" w:space="0" w:color="auto"/>
            <w:left w:val="none" w:sz="0" w:space="0" w:color="auto"/>
            <w:bottom w:val="none" w:sz="0" w:space="0" w:color="auto"/>
            <w:right w:val="none" w:sz="0" w:space="0" w:color="auto"/>
          </w:divBdr>
        </w:div>
        <w:div w:id="934553012">
          <w:marLeft w:val="1166"/>
          <w:marRight w:val="0"/>
          <w:marTop w:val="86"/>
          <w:marBottom w:val="0"/>
          <w:divBdr>
            <w:top w:val="none" w:sz="0" w:space="0" w:color="auto"/>
            <w:left w:val="none" w:sz="0" w:space="0" w:color="auto"/>
            <w:bottom w:val="none" w:sz="0" w:space="0" w:color="auto"/>
            <w:right w:val="none" w:sz="0" w:space="0" w:color="auto"/>
          </w:divBdr>
        </w:div>
        <w:div w:id="996692637">
          <w:marLeft w:val="1166"/>
          <w:marRight w:val="0"/>
          <w:marTop w:val="86"/>
          <w:marBottom w:val="0"/>
          <w:divBdr>
            <w:top w:val="none" w:sz="0" w:space="0" w:color="auto"/>
            <w:left w:val="none" w:sz="0" w:space="0" w:color="auto"/>
            <w:bottom w:val="none" w:sz="0" w:space="0" w:color="auto"/>
            <w:right w:val="none" w:sz="0" w:space="0" w:color="auto"/>
          </w:divBdr>
        </w:div>
        <w:div w:id="1480731822">
          <w:marLeft w:val="1166"/>
          <w:marRight w:val="0"/>
          <w:marTop w:val="86"/>
          <w:marBottom w:val="0"/>
          <w:divBdr>
            <w:top w:val="none" w:sz="0" w:space="0" w:color="auto"/>
            <w:left w:val="none" w:sz="0" w:space="0" w:color="auto"/>
            <w:bottom w:val="none" w:sz="0" w:space="0" w:color="auto"/>
            <w:right w:val="none" w:sz="0" w:space="0" w:color="auto"/>
          </w:divBdr>
        </w:div>
        <w:div w:id="1719629270">
          <w:marLeft w:val="446"/>
          <w:marRight w:val="0"/>
          <w:marTop w:val="86"/>
          <w:marBottom w:val="0"/>
          <w:divBdr>
            <w:top w:val="none" w:sz="0" w:space="0" w:color="auto"/>
            <w:left w:val="none" w:sz="0" w:space="0" w:color="auto"/>
            <w:bottom w:val="none" w:sz="0" w:space="0" w:color="auto"/>
            <w:right w:val="none" w:sz="0" w:space="0" w:color="auto"/>
          </w:divBdr>
        </w:div>
      </w:divsChild>
    </w:div>
    <w:div w:id="402456697">
      <w:bodyDiv w:val="1"/>
      <w:marLeft w:val="0"/>
      <w:marRight w:val="0"/>
      <w:marTop w:val="0"/>
      <w:marBottom w:val="0"/>
      <w:divBdr>
        <w:top w:val="none" w:sz="0" w:space="0" w:color="auto"/>
        <w:left w:val="none" w:sz="0" w:space="0" w:color="auto"/>
        <w:bottom w:val="none" w:sz="0" w:space="0" w:color="auto"/>
        <w:right w:val="none" w:sz="0" w:space="0" w:color="auto"/>
      </w:divBdr>
    </w:div>
    <w:div w:id="404912900">
      <w:bodyDiv w:val="1"/>
      <w:marLeft w:val="0"/>
      <w:marRight w:val="0"/>
      <w:marTop w:val="0"/>
      <w:marBottom w:val="0"/>
      <w:divBdr>
        <w:top w:val="none" w:sz="0" w:space="0" w:color="auto"/>
        <w:left w:val="none" w:sz="0" w:space="0" w:color="auto"/>
        <w:bottom w:val="none" w:sz="0" w:space="0" w:color="auto"/>
        <w:right w:val="none" w:sz="0" w:space="0" w:color="auto"/>
      </w:divBdr>
    </w:div>
    <w:div w:id="412315522">
      <w:bodyDiv w:val="1"/>
      <w:marLeft w:val="0"/>
      <w:marRight w:val="0"/>
      <w:marTop w:val="0"/>
      <w:marBottom w:val="0"/>
      <w:divBdr>
        <w:top w:val="none" w:sz="0" w:space="0" w:color="auto"/>
        <w:left w:val="none" w:sz="0" w:space="0" w:color="auto"/>
        <w:bottom w:val="none" w:sz="0" w:space="0" w:color="auto"/>
        <w:right w:val="none" w:sz="0" w:space="0" w:color="auto"/>
      </w:divBdr>
    </w:div>
    <w:div w:id="412892859">
      <w:bodyDiv w:val="1"/>
      <w:marLeft w:val="0"/>
      <w:marRight w:val="0"/>
      <w:marTop w:val="0"/>
      <w:marBottom w:val="0"/>
      <w:divBdr>
        <w:top w:val="none" w:sz="0" w:space="0" w:color="auto"/>
        <w:left w:val="none" w:sz="0" w:space="0" w:color="auto"/>
        <w:bottom w:val="none" w:sz="0" w:space="0" w:color="auto"/>
        <w:right w:val="none" w:sz="0" w:space="0" w:color="auto"/>
      </w:divBdr>
    </w:div>
    <w:div w:id="413553937">
      <w:bodyDiv w:val="1"/>
      <w:marLeft w:val="0"/>
      <w:marRight w:val="0"/>
      <w:marTop w:val="0"/>
      <w:marBottom w:val="0"/>
      <w:divBdr>
        <w:top w:val="none" w:sz="0" w:space="0" w:color="auto"/>
        <w:left w:val="none" w:sz="0" w:space="0" w:color="auto"/>
        <w:bottom w:val="none" w:sz="0" w:space="0" w:color="auto"/>
        <w:right w:val="none" w:sz="0" w:space="0" w:color="auto"/>
      </w:divBdr>
    </w:div>
    <w:div w:id="423572368">
      <w:bodyDiv w:val="1"/>
      <w:marLeft w:val="0"/>
      <w:marRight w:val="0"/>
      <w:marTop w:val="0"/>
      <w:marBottom w:val="0"/>
      <w:divBdr>
        <w:top w:val="none" w:sz="0" w:space="0" w:color="auto"/>
        <w:left w:val="none" w:sz="0" w:space="0" w:color="auto"/>
        <w:bottom w:val="none" w:sz="0" w:space="0" w:color="auto"/>
        <w:right w:val="none" w:sz="0" w:space="0" w:color="auto"/>
      </w:divBdr>
    </w:div>
    <w:div w:id="437917613">
      <w:bodyDiv w:val="1"/>
      <w:marLeft w:val="0"/>
      <w:marRight w:val="0"/>
      <w:marTop w:val="0"/>
      <w:marBottom w:val="0"/>
      <w:divBdr>
        <w:top w:val="none" w:sz="0" w:space="0" w:color="auto"/>
        <w:left w:val="none" w:sz="0" w:space="0" w:color="auto"/>
        <w:bottom w:val="none" w:sz="0" w:space="0" w:color="auto"/>
        <w:right w:val="none" w:sz="0" w:space="0" w:color="auto"/>
      </w:divBdr>
      <w:divsChild>
        <w:div w:id="38946124">
          <w:marLeft w:val="0"/>
          <w:marRight w:val="0"/>
          <w:marTop w:val="0"/>
          <w:marBottom w:val="0"/>
          <w:divBdr>
            <w:top w:val="none" w:sz="0" w:space="0" w:color="auto"/>
            <w:left w:val="none" w:sz="0" w:space="0" w:color="auto"/>
            <w:bottom w:val="none" w:sz="0" w:space="0" w:color="auto"/>
            <w:right w:val="none" w:sz="0" w:space="0" w:color="auto"/>
          </w:divBdr>
        </w:div>
        <w:div w:id="341906608">
          <w:marLeft w:val="0"/>
          <w:marRight w:val="0"/>
          <w:marTop w:val="0"/>
          <w:marBottom w:val="0"/>
          <w:divBdr>
            <w:top w:val="none" w:sz="0" w:space="0" w:color="auto"/>
            <w:left w:val="none" w:sz="0" w:space="0" w:color="auto"/>
            <w:bottom w:val="none" w:sz="0" w:space="0" w:color="auto"/>
            <w:right w:val="none" w:sz="0" w:space="0" w:color="auto"/>
          </w:divBdr>
        </w:div>
        <w:div w:id="358701540">
          <w:marLeft w:val="0"/>
          <w:marRight w:val="0"/>
          <w:marTop w:val="0"/>
          <w:marBottom w:val="0"/>
          <w:divBdr>
            <w:top w:val="none" w:sz="0" w:space="0" w:color="auto"/>
            <w:left w:val="none" w:sz="0" w:space="0" w:color="auto"/>
            <w:bottom w:val="none" w:sz="0" w:space="0" w:color="auto"/>
            <w:right w:val="none" w:sz="0" w:space="0" w:color="auto"/>
          </w:divBdr>
        </w:div>
        <w:div w:id="434910075">
          <w:marLeft w:val="0"/>
          <w:marRight w:val="0"/>
          <w:marTop w:val="0"/>
          <w:marBottom w:val="0"/>
          <w:divBdr>
            <w:top w:val="none" w:sz="0" w:space="0" w:color="auto"/>
            <w:left w:val="none" w:sz="0" w:space="0" w:color="auto"/>
            <w:bottom w:val="none" w:sz="0" w:space="0" w:color="auto"/>
            <w:right w:val="none" w:sz="0" w:space="0" w:color="auto"/>
          </w:divBdr>
        </w:div>
        <w:div w:id="615256880">
          <w:marLeft w:val="0"/>
          <w:marRight w:val="0"/>
          <w:marTop w:val="0"/>
          <w:marBottom w:val="0"/>
          <w:divBdr>
            <w:top w:val="none" w:sz="0" w:space="0" w:color="auto"/>
            <w:left w:val="none" w:sz="0" w:space="0" w:color="auto"/>
            <w:bottom w:val="none" w:sz="0" w:space="0" w:color="auto"/>
            <w:right w:val="none" w:sz="0" w:space="0" w:color="auto"/>
          </w:divBdr>
        </w:div>
        <w:div w:id="668563895">
          <w:marLeft w:val="0"/>
          <w:marRight w:val="0"/>
          <w:marTop w:val="0"/>
          <w:marBottom w:val="0"/>
          <w:divBdr>
            <w:top w:val="none" w:sz="0" w:space="0" w:color="auto"/>
            <w:left w:val="none" w:sz="0" w:space="0" w:color="auto"/>
            <w:bottom w:val="none" w:sz="0" w:space="0" w:color="auto"/>
            <w:right w:val="none" w:sz="0" w:space="0" w:color="auto"/>
          </w:divBdr>
        </w:div>
        <w:div w:id="742416373">
          <w:marLeft w:val="0"/>
          <w:marRight w:val="0"/>
          <w:marTop w:val="0"/>
          <w:marBottom w:val="0"/>
          <w:divBdr>
            <w:top w:val="none" w:sz="0" w:space="0" w:color="auto"/>
            <w:left w:val="none" w:sz="0" w:space="0" w:color="auto"/>
            <w:bottom w:val="none" w:sz="0" w:space="0" w:color="auto"/>
            <w:right w:val="none" w:sz="0" w:space="0" w:color="auto"/>
          </w:divBdr>
        </w:div>
        <w:div w:id="959457943">
          <w:marLeft w:val="0"/>
          <w:marRight w:val="0"/>
          <w:marTop w:val="0"/>
          <w:marBottom w:val="0"/>
          <w:divBdr>
            <w:top w:val="none" w:sz="0" w:space="0" w:color="auto"/>
            <w:left w:val="none" w:sz="0" w:space="0" w:color="auto"/>
            <w:bottom w:val="none" w:sz="0" w:space="0" w:color="auto"/>
            <w:right w:val="none" w:sz="0" w:space="0" w:color="auto"/>
          </w:divBdr>
        </w:div>
        <w:div w:id="1029574611">
          <w:marLeft w:val="0"/>
          <w:marRight w:val="0"/>
          <w:marTop w:val="0"/>
          <w:marBottom w:val="0"/>
          <w:divBdr>
            <w:top w:val="none" w:sz="0" w:space="0" w:color="auto"/>
            <w:left w:val="none" w:sz="0" w:space="0" w:color="auto"/>
            <w:bottom w:val="none" w:sz="0" w:space="0" w:color="auto"/>
            <w:right w:val="none" w:sz="0" w:space="0" w:color="auto"/>
          </w:divBdr>
        </w:div>
        <w:div w:id="1326739456">
          <w:marLeft w:val="0"/>
          <w:marRight w:val="0"/>
          <w:marTop w:val="0"/>
          <w:marBottom w:val="0"/>
          <w:divBdr>
            <w:top w:val="none" w:sz="0" w:space="0" w:color="auto"/>
            <w:left w:val="none" w:sz="0" w:space="0" w:color="auto"/>
            <w:bottom w:val="none" w:sz="0" w:space="0" w:color="auto"/>
            <w:right w:val="none" w:sz="0" w:space="0" w:color="auto"/>
          </w:divBdr>
        </w:div>
        <w:div w:id="1714192299">
          <w:marLeft w:val="0"/>
          <w:marRight w:val="0"/>
          <w:marTop w:val="0"/>
          <w:marBottom w:val="0"/>
          <w:divBdr>
            <w:top w:val="none" w:sz="0" w:space="0" w:color="auto"/>
            <w:left w:val="none" w:sz="0" w:space="0" w:color="auto"/>
            <w:bottom w:val="none" w:sz="0" w:space="0" w:color="auto"/>
            <w:right w:val="none" w:sz="0" w:space="0" w:color="auto"/>
          </w:divBdr>
        </w:div>
        <w:div w:id="1790128473">
          <w:marLeft w:val="0"/>
          <w:marRight w:val="0"/>
          <w:marTop w:val="0"/>
          <w:marBottom w:val="0"/>
          <w:divBdr>
            <w:top w:val="none" w:sz="0" w:space="0" w:color="auto"/>
            <w:left w:val="none" w:sz="0" w:space="0" w:color="auto"/>
            <w:bottom w:val="none" w:sz="0" w:space="0" w:color="auto"/>
            <w:right w:val="none" w:sz="0" w:space="0" w:color="auto"/>
          </w:divBdr>
        </w:div>
        <w:div w:id="2062172363">
          <w:marLeft w:val="0"/>
          <w:marRight w:val="0"/>
          <w:marTop w:val="0"/>
          <w:marBottom w:val="0"/>
          <w:divBdr>
            <w:top w:val="none" w:sz="0" w:space="0" w:color="auto"/>
            <w:left w:val="none" w:sz="0" w:space="0" w:color="auto"/>
            <w:bottom w:val="none" w:sz="0" w:space="0" w:color="auto"/>
            <w:right w:val="none" w:sz="0" w:space="0" w:color="auto"/>
          </w:divBdr>
        </w:div>
      </w:divsChild>
    </w:div>
    <w:div w:id="439297767">
      <w:bodyDiv w:val="1"/>
      <w:marLeft w:val="0"/>
      <w:marRight w:val="0"/>
      <w:marTop w:val="0"/>
      <w:marBottom w:val="0"/>
      <w:divBdr>
        <w:top w:val="none" w:sz="0" w:space="0" w:color="auto"/>
        <w:left w:val="none" w:sz="0" w:space="0" w:color="auto"/>
        <w:bottom w:val="none" w:sz="0" w:space="0" w:color="auto"/>
        <w:right w:val="none" w:sz="0" w:space="0" w:color="auto"/>
      </w:divBdr>
    </w:div>
    <w:div w:id="441147930">
      <w:bodyDiv w:val="1"/>
      <w:marLeft w:val="0"/>
      <w:marRight w:val="0"/>
      <w:marTop w:val="0"/>
      <w:marBottom w:val="0"/>
      <w:divBdr>
        <w:top w:val="none" w:sz="0" w:space="0" w:color="auto"/>
        <w:left w:val="none" w:sz="0" w:space="0" w:color="auto"/>
        <w:bottom w:val="none" w:sz="0" w:space="0" w:color="auto"/>
        <w:right w:val="none" w:sz="0" w:space="0" w:color="auto"/>
      </w:divBdr>
    </w:div>
    <w:div w:id="448010821">
      <w:bodyDiv w:val="1"/>
      <w:marLeft w:val="0"/>
      <w:marRight w:val="0"/>
      <w:marTop w:val="0"/>
      <w:marBottom w:val="0"/>
      <w:divBdr>
        <w:top w:val="none" w:sz="0" w:space="0" w:color="auto"/>
        <w:left w:val="none" w:sz="0" w:space="0" w:color="auto"/>
        <w:bottom w:val="none" w:sz="0" w:space="0" w:color="auto"/>
        <w:right w:val="none" w:sz="0" w:space="0" w:color="auto"/>
      </w:divBdr>
    </w:div>
    <w:div w:id="453137179">
      <w:bodyDiv w:val="1"/>
      <w:marLeft w:val="0"/>
      <w:marRight w:val="0"/>
      <w:marTop w:val="0"/>
      <w:marBottom w:val="0"/>
      <w:divBdr>
        <w:top w:val="none" w:sz="0" w:space="0" w:color="auto"/>
        <w:left w:val="none" w:sz="0" w:space="0" w:color="auto"/>
        <w:bottom w:val="none" w:sz="0" w:space="0" w:color="auto"/>
        <w:right w:val="none" w:sz="0" w:space="0" w:color="auto"/>
      </w:divBdr>
    </w:div>
    <w:div w:id="460151775">
      <w:bodyDiv w:val="1"/>
      <w:marLeft w:val="0"/>
      <w:marRight w:val="0"/>
      <w:marTop w:val="0"/>
      <w:marBottom w:val="0"/>
      <w:divBdr>
        <w:top w:val="none" w:sz="0" w:space="0" w:color="auto"/>
        <w:left w:val="none" w:sz="0" w:space="0" w:color="auto"/>
        <w:bottom w:val="none" w:sz="0" w:space="0" w:color="auto"/>
        <w:right w:val="none" w:sz="0" w:space="0" w:color="auto"/>
      </w:divBdr>
    </w:div>
    <w:div w:id="461314815">
      <w:bodyDiv w:val="1"/>
      <w:marLeft w:val="0"/>
      <w:marRight w:val="0"/>
      <w:marTop w:val="0"/>
      <w:marBottom w:val="0"/>
      <w:divBdr>
        <w:top w:val="none" w:sz="0" w:space="0" w:color="auto"/>
        <w:left w:val="none" w:sz="0" w:space="0" w:color="auto"/>
        <w:bottom w:val="none" w:sz="0" w:space="0" w:color="auto"/>
        <w:right w:val="none" w:sz="0" w:space="0" w:color="auto"/>
      </w:divBdr>
    </w:div>
    <w:div w:id="463039517">
      <w:bodyDiv w:val="1"/>
      <w:marLeft w:val="0"/>
      <w:marRight w:val="0"/>
      <w:marTop w:val="0"/>
      <w:marBottom w:val="0"/>
      <w:divBdr>
        <w:top w:val="none" w:sz="0" w:space="0" w:color="auto"/>
        <w:left w:val="none" w:sz="0" w:space="0" w:color="auto"/>
        <w:bottom w:val="none" w:sz="0" w:space="0" w:color="auto"/>
        <w:right w:val="none" w:sz="0" w:space="0" w:color="auto"/>
      </w:divBdr>
      <w:divsChild>
        <w:div w:id="891845094">
          <w:marLeft w:val="0"/>
          <w:marRight w:val="0"/>
          <w:marTop w:val="0"/>
          <w:marBottom w:val="0"/>
          <w:divBdr>
            <w:top w:val="none" w:sz="0" w:space="0" w:color="auto"/>
            <w:left w:val="none" w:sz="0" w:space="0" w:color="auto"/>
            <w:bottom w:val="none" w:sz="0" w:space="0" w:color="auto"/>
            <w:right w:val="none" w:sz="0" w:space="0" w:color="auto"/>
          </w:divBdr>
        </w:div>
        <w:div w:id="940377144">
          <w:marLeft w:val="0"/>
          <w:marRight w:val="0"/>
          <w:marTop w:val="0"/>
          <w:marBottom w:val="0"/>
          <w:divBdr>
            <w:top w:val="none" w:sz="0" w:space="0" w:color="auto"/>
            <w:left w:val="none" w:sz="0" w:space="0" w:color="auto"/>
            <w:bottom w:val="none" w:sz="0" w:space="0" w:color="auto"/>
            <w:right w:val="none" w:sz="0" w:space="0" w:color="auto"/>
          </w:divBdr>
        </w:div>
        <w:div w:id="1169977305">
          <w:marLeft w:val="0"/>
          <w:marRight w:val="0"/>
          <w:marTop w:val="0"/>
          <w:marBottom w:val="0"/>
          <w:divBdr>
            <w:top w:val="none" w:sz="0" w:space="0" w:color="auto"/>
            <w:left w:val="none" w:sz="0" w:space="0" w:color="auto"/>
            <w:bottom w:val="none" w:sz="0" w:space="0" w:color="auto"/>
            <w:right w:val="none" w:sz="0" w:space="0" w:color="auto"/>
          </w:divBdr>
        </w:div>
        <w:div w:id="1349674920">
          <w:marLeft w:val="0"/>
          <w:marRight w:val="0"/>
          <w:marTop w:val="0"/>
          <w:marBottom w:val="0"/>
          <w:divBdr>
            <w:top w:val="none" w:sz="0" w:space="0" w:color="auto"/>
            <w:left w:val="none" w:sz="0" w:space="0" w:color="auto"/>
            <w:bottom w:val="none" w:sz="0" w:space="0" w:color="auto"/>
            <w:right w:val="none" w:sz="0" w:space="0" w:color="auto"/>
          </w:divBdr>
        </w:div>
        <w:div w:id="1371148854">
          <w:marLeft w:val="0"/>
          <w:marRight w:val="0"/>
          <w:marTop w:val="0"/>
          <w:marBottom w:val="0"/>
          <w:divBdr>
            <w:top w:val="none" w:sz="0" w:space="0" w:color="auto"/>
            <w:left w:val="none" w:sz="0" w:space="0" w:color="auto"/>
            <w:bottom w:val="none" w:sz="0" w:space="0" w:color="auto"/>
            <w:right w:val="none" w:sz="0" w:space="0" w:color="auto"/>
          </w:divBdr>
        </w:div>
        <w:div w:id="1610699864">
          <w:marLeft w:val="0"/>
          <w:marRight w:val="0"/>
          <w:marTop w:val="0"/>
          <w:marBottom w:val="0"/>
          <w:divBdr>
            <w:top w:val="none" w:sz="0" w:space="0" w:color="auto"/>
            <w:left w:val="none" w:sz="0" w:space="0" w:color="auto"/>
            <w:bottom w:val="none" w:sz="0" w:space="0" w:color="auto"/>
            <w:right w:val="none" w:sz="0" w:space="0" w:color="auto"/>
          </w:divBdr>
        </w:div>
        <w:div w:id="2122331648">
          <w:marLeft w:val="0"/>
          <w:marRight w:val="0"/>
          <w:marTop w:val="0"/>
          <w:marBottom w:val="0"/>
          <w:divBdr>
            <w:top w:val="none" w:sz="0" w:space="0" w:color="auto"/>
            <w:left w:val="none" w:sz="0" w:space="0" w:color="auto"/>
            <w:bottom w:val="none" w:sz="0" w:space="0" w:color="auto"/>
            <w:right w:val="none" w:sz="0" w:space="0" w:color="auto"/>
          </w:divBdr>
        </w:div>
      </w:divsChild>
    </w:div>
    <w:div w:id="465974347">
      <w:bodyDiv w:val="1"/>
      <w:marLeft w:val="0"/>
      <w:marRight w:val="0"/>
      <w:marTop w:val="0"/>
      <w:marBottom w:val="0"/>
      <w:divBdr>
        <w:top w:val="none" w:sz="0" w:space="0" w:color="auto"/>
        <w:left w:val="none" w:sz="0" w:space="0" w:color="auto"/>
        <w:bottom w:val="none" w:sz="0" w:space="0" w:color="auto"/>
        <w:right w:val="none" w:sz="0" w:space="0" w:color="auto"/>
      </w:divBdr>
    </w:div>
    <w:div w:id="465978094">
      <w:bodyDiv w:val="1"/>
      <w:marLeft w:val="0"/>
      <w:marRight w:val="0"/>
      <w:marTop w:val="0"/>
      <w:marBottom w:val="0"/>
      <w:divBdr>
        <w:top w:val="none" w:sz="0" w:space="0" w:color="auto"/>
        <w:left w:val="none" w:sz="0" w:space="0" w:color="auto"/>
        <w:bottom w:val="none" w:sz="0" w:space="0" w:color="auto"/>
        <w:right w:val="none" w:sz="0" w:space="0" w:color="auto"/>
      </w:divBdr>
    </w:div>
    <w:div w:id="470365038">
      <w:bodyDiv w:val="1"/>
      <w:marLeft w:val="0"/>
      <w:marRight w:val="0"/>
      <w:marTop w:val="0"/>
      <w:marBottom w:val="0"/>
      <w:divBdr>
        <w:top w:val="none" w:sz="0" w:space="0" w:color="auto"/>
        <w:left w:val="none" w:sz="0" w:space="0" w:color="auto"/>
        <w:bottom w:val="none" w:sz="0" w:space="0" w:color="auto"/>
        <w:right w:val="none" w:sz="0" w:space="0" w:color="auto"/>
      </w:divBdr>
    </w:div>
    <w:div w:id="471681761">
      <w:bodyDiv w:val="1"/>
      <w:marLeft w:val="0"/>
      <w:marRight w:val="0"/>
      <w:marTop w:val="0"/>
      <w:marBottom w:val="0"/>
      <w:divBdr>
        <w:top w:val="none" w:sz="0" w:space="0" w:color="auto"/>
        <w:left w:val="none" w:sz="0" w:space="0" w:color="auto"/>
        <w:bottom w:val="none" w:sz="0" w:space="0" w:color="auto"/>
        <w:right w:val="none" w:sz="0" w:space="0" w:color="auto"/>
      </w:divBdr>
    </w:div>
    <w:div w:id="484393969">
      <w:bodyDiv w:val="1"/>
      <w:marLeft w:val="0"/>
      <w:marRight w:val="0"/>
      <w:marTop w:val="0"/>
      <w:marBottom w:val="0"/>
      <w:divBdr>
        <w:top w:val="none" w:sz="0" w:space="0" w:color="auto"/>
        <w:left w:val="none" w:sz="0" w:space="0" w:color="auto"/>
        <w:bottom w:val="none" w:sz="0" w:space="0" w:color="auto"/>
        <w:right w:val="none" w:sz="0" w:space="0" w:color="auto"/>
      </w:divBdr>
    </w:div>
    <w:div w:id="485634274">
      <w:bodyDiv w:val="1"/>
      <w:marLeft w:val="0"/>
      <w:marRight w:val="0"/>
      <w:marTop w:val="0"/>
      <w:marBottom w:val="0"/>
      <w:divBdr>
        <w:top w:val="none" w:sz="0" w:space="0" w:color="auto"/>
        <w:left w:val="none" w:sz="0" w:space="0" w:color="auto"/>
        <w:bottom w:val="none" w:sz="0" w:space="0" w:color="auto"/>
        <w:right w:val="none" w:sz="0" w:space="0" w:color="auto"/>
      </w:divBdr>
      <w:divsChild>
        <w:div w:id="1367827514">
          <w:marLeft w:val="0"/>
          <w:marRight w:val="0"/>
          <w:marTop w:val="0"/>
          <w:marBottom w:val="0"/>
          <w:divBdr>
            <w:top w:val="none" w:sz="0" w:space="0" w:color="auto"/>
            <w:left w:val="none" w:sz="0" w:space="0" w:color="auto"/>
            <w:bottom w:val="none" w:sz="0" w:space="0" w:color="auto"/>
            <w:right w:val="none" w:sz="0" w:space="0" w:color="auto"/>
          </w:divBdr>
        </w:div>
        <w:div w:id="1426876902">
          <w:marLeft w:val="0"/>
          <w:marRight w:val="0"/>
          <w:marTop w:val="0"/>
          <w:marBottom w:val="0"/>
          <w:divBdr>
            <w:top w:val="none" w:sz="0" w:space="0" w:color="auto"/>
            <w:left w:val="none" w:sz="0" w:space="0" w:color="auto"/>
            <w:bottom w:val="none" w:sz="0" w:space="0" w:color="auto"/>
            <w:right w:val="none" w:sz="0" w:space="0" w:color="auto"/>
          </w:divBdr>
        </w:div>
      </w:divsChild>
    </w:div>
    <w:div w:id="496111231">
      <w:bodyDiv w:val="1"/>
      <w:marLeft w:val="0"/>
      <w:marRight w:val="0"/>
      <w:marTop w:val="0"/>
      <w:marBottom w:val="0"/>
      <w:divBdr>
        <w:top w:val="none" w:sz="0" w:space="0" w:color="auto"/>
        <w:left w:val="none" w:sz="0" w:space="0" w:color="auto"/>
        <w:bottom w:val="none" w:sz="0" w:space="0" w:color="auto"/>
        <w:right w:val="none" w:sz="0" w:space="0" w:color="auto"/>
      </w:divBdr>
    </w:div>
    <w:div w:id="504168752">
      <w:bodyDiv w:val="1"/>
      <w:marLeft w:val="0"/>
      <w:marRight w:val="0"/>
      <w:marTop w:val="0"/>
      <w:marBottom w:val="0"/>
      <w:divBdr>
        <w:top w:val="none" w:sz="0" w:space="0" w:color="auto"/>
        <w:left w:val="none" w:sz="0" w:space="0" w:color="auto"/>
        <w:bottom w:val="none" w:sz="0" w:space="0" w:color="auto"/>
        <w:right w:val="none" w:sz="0" w:space="0" w:color="auto"/>
      </w:divBdr>
    </w:div>
    <w:div w:id="515114818">
      <w:bodyDiv w:val="1"/>
      <w:marLeft w:val="0"/>
      <w:marRight w:val="0"/>
      <w:marTop w:val="0"/>
      <w:marBottom w:val="0"/>
      <w:divBdr>
        <w:top w:val="none" w:sz="0" w:space="0" w:color="auto"/>
        <w:left w:val="none" w:sz="0" w:space="0" w:color="auto"/>
        <w:bottom w:val="none" w:sz="0" w:space="0" w:color="auto"/>
        <w:right w:val="none" w:sz="0" w:space="0" w:color="auto"/>
      </w:divBdr>
      <w:divsChild>
        <w:div w:id="203061420">
          <w:marLeft w:val="0"/>
          <w:marRight w:val="0"/>
          <w:marTop w:val="0"/>
          <w:marBottom w:val="0"/>
          <w:divBdr>
            <w:top w:val="none" w:sz="0" w:space="0" w:color="auto"/>
            <w:left w:val="none" w:sz="0" w:space="0" w:color="auto"/>
            <w:bottom w:val="none" w:sz="0" w:space="0" w:color="auto"/>
            <w:right w:val="none" w:sz="0" w:space="0" w:color="auto"/>
          </w:divBdr>
        </w:div>
        <w:div w:id="906767223">
          <w:marLeft w:val="0"/>
          <w:marRight w:val="0"/>
          <w:marTop w:val="0"/>
          <w:marBottom w:val="0"/>
          <w:divBdr>
            <w:top w:val="none" w:sz="0" w:space="0" w:color="auto"/>
            <w:left w:val="none" w:sz="0" w:space="0" w:color="auto"/>
            <w:bottom w:val="none" w:sz="0" w:space="0" w:color="auto"/>
            <w:right w:val="none" w:sz="0" w:space="0" w:color="auto"/>
          </w:divBdr>
        </w:div>
        <w:div w:id="1906454473">
          <w:marLeft w:val="0"/>
          <w:marRight w:val="0"/>
          <w:marTop w:val="0"/>
          <w:marBottom w:val="0"/>
          <w:divBdr>
            <w:top w:val="none" w:sz="0" w:space="0" w:color="auto"/>
            <w:left w:val="none" w:sz="0" w:space="0" w:color="auto"/>
            <w:bottom w:val="none" w:sz="0" w:space="0" w:color="auto"/>
            <w:right w:val="none" w:sz="0" w:space="0" w:color="auto"/>
          </w:divBdr>
        </w:div>
        <w:div w:id="2074617983">
          <w:marLeft w:val="0"/>
          <w:marRight w:val="0"/>
          <w:marTop w:val="0"/>
          <w:marBottom w:val="0"/>
          <w:divBdr>
            <w:top w:val="none" w:sz="0" w:space="0" w:color="auto"/>
            <w:left w:val="none" w:sz="0" w:space="0" w:color="auto"/>
            <w:bottom w:val="none" w:sz="0" w:space="0" w:color="auto"/>
            <w:right w:val="none" w:sz="0" w:space="0" w:color="auto"/>
          </w:divBdr>
        </w:div>
      </w:divsChild>
    </w:div>
    <w:div w:id="515734686">
      <w:bodyDiv w:val="1"/>
      <w:marLeft w:val="0"/>
      <w:marRight w:val="0"/>
      <w:marTop w:val="0"/>
      <w:marBottom w:val="0"/>
      <w:divBdr>
        <w:top w:val="none" w:sz="0" w:space="0" w:color="auto"/>
        <w:left w:val="none" w:sz="0" w:space="0" w:color="auto"/>
        <w:bottom w:val="none" w:sz="0" w:space="0" w:color="auto"/>
        <w:right w:val="none" w:sz="0" w:space="0" w:color="auto"/>
      </w:divBdr>
    </w:div>
    <w:div w:id="518466659">
      <w:bodyDiv w:val="1"/>
      <w:marLeft w:val="0"/>
      <w:marRight w:val="0"/>
      <w:marTop w:val="0"/>
      <w:marBottom w:val="0"/>
      <w:divBdr>
        <w:top w:val="none" w:sz="0" w:space="0" w:color="auto"/>
        <w:left w:val="none" w:sz="0" w:space="0" w:color="auto"/>
        <w:bottom w:val="none" w:sz="0" w:space="0" w:color="auto"/>
        <w:right w:val="none" w:sz="0" w:space="0" w:color="auto"/>
      </w:divBdr>
    </w:div>
    <w:div w:id="518810967">
      <w:bodyDiv w:val="1"/>
      <w:marLeft w:val="0"/>
      <w:marRight w:val="0"/>
      <w:marTop w:val="0"/>
      <w:marBottom w:val="0"/>
      <w:divBdr>
        <w:top w:val="none" w:sz="0" w:space="0" w:color="auto"/>
        <w:left w:val="none" w:sz="0" w:space="0" w:color="auto"/>
        <w:bottom w:val="none" w:sz="0" w:space="0" w:color="auto"/>
        <w:right w:val="none" w:sz="0" w:space="0" w:color="auto"/>
      </w:divBdr>
    </w:div>
    <w:div w:id="528835126">
      <w:bodyDiv w:val="1"/>
      <w:marLeft w:val="0"/>
      <w:marRight w:val="0"/>
      <w:marTop w:val="0"/>
      <w:marBottom w:val="0"/>
      <w:divBdr>
        <w:top w:val="none" w:sz="0" w:space="0" w:color="auto"/>
        <w:left w:val="none" w:sz="0" w:space="0" w:color="auto"/>
        <w:bottom w:val="none" w:sz="0" w:space="0" w:color="auto"/>
        <w:right w:val="none" w:sz="0" w:space="0" w:color="auto"/>
      </w:divBdr>
    </w:div>
    <w:div w:id="529223331">
      <w:bodyDiv w:val="1"/>
      <w:marLeft w:val="0"/>
      <w:marRight w:val="0"/>
      <w:marTop w:val="0"/>
      <w:marBottom w:val="0"/>
      <w:divBdr>
        <w:top w:val="none" w:sz="0" w:space="0" w:color="auto"/>
        <w:left w:val="none" w:sz="0" w:space="0" w:color="auto"/>
        <w:bottom w:val="none" w:sz="0" w:space="0" w:color="auto"/>
        <w:right w:val="none" w:sz="0" w:space="0" w:color="auto"/>
      </w:divBdr>
    </w:div>
    <w:div w:id="530611015">
      <w:bodyDiv w:val="1"/>
      <w:marLeft w:val="0"/>
      <w:marRight w:val="0"/>
      <w:marTop w:val="0"/>
      <w:marBottom w:val="0"/>
      <w:divBdr>
        <w:top w:val="none" w:sz="0" w:space="0" w:color="auto"/>
        <w:left w:val="none" w:sz="0" w:space="0" w:color="auto"/>
        <w:bottom w:val="none" w:sz="0" w:space="0" w:color="auto"/>
        <w:right w:val="none" w:sz="0" w:space="0" w:color="auto"/>
      </w:divBdr>
      <w:divsChild>
        <w:div w:id="652683674">
          <w:marLeft w:val="446"/>
          <w:marRight w:val="0"/>
          <w:marTop w:val="173"/>
          <w:marBottom w:val="0"/>
          <w:divBdr>
            <w:top w:val="none" w:sz="0" w:space="0" w:color="auto"/>
            <w:left w:val="none" w:sz="0" w:space="0" w:color="auto"/>
            <w:bottom w:val="none" w:sz="0" w:space="0" w:color="auto"/>
            <w:right w:val="none" w:sz="0" w:space="0" w:color="auto"/>
          </w:divBdr>
        </w:div>
        <w:div w:id="1221556190">
          <w:marLeft w:val="446"/>
          <w:marRight w:val="0"/>
          <w:marTop w:val="173"/>
          <w:marBottom w:val="0"/>
          <w:divBdr>
            <w:top w:val="none" w:sz="0" w:space="0" w:color="auto"/>
            <w:left w:val="none" w:sz="0" w:space="0" w:color="auto"/>
            <w:bottom w:val="none" w:sz="0" w:space="0" w:color="auto"/>
            <w:right w:val="none" w:sz="0" w:space="0" w:color="auto"/>
          </w:divBdr>
        </w:div>
        <w:div w:id="1433941752">
          <w:marLeft w:val="446"/>
          <w:marRight w:val="0"/>
          <w:marTop w:val="173"/>
          <w:marBottom w:val="0"/>
          <w:divBdr>
            <w:top w:val="none" w:sz="0" w:space="0" w:color="auto"/>
            <w:left w:val="none" w:sz="0" w:space="0" w:color="auto"/>
            <w:bottom w:val="none" w:sz="0" w:space="0" w:color="auto"/>
            <w:right w:val="none" w:sz="0" w:space="0" w:color="auto"/>
          </w:divBdr>
        </w:div>
        <w:div w:id="1698507739">
          <w:marLeft w:val="446"/>
          <w:marRight w:val="0"/>
          <w:marTop w:val="173"/>
          <w:marBottom w:val="0"/>
          <w:divBdr>
            <w:top w:val="none" w:sz="0" w:space="0" w:color="auto"/>
            <w:left w:val="none" w:sz="0" w:space="0" w:color="auto"/>
            <w:bottom w:val="none" w:sz="0" w:space="0" w:color="auto"/>
            <w:right w:val="none" w:sz="0" w:space="0" w:color="auto"/>
          </w:divBdr>
        </w:div>
        <w:div w:id="1849246175">
          <w:marLeft w:val="446"/>
          <w:marRight w:val="0"/>
          <w:marTop w:val="173"/>
          <w:marBottom w:val="0"/>
          <w:divBdr>
            <w:top w:val="none" w:sz="0" w:space="0" w:color="auto"/>
            <w:left w:val="none" w:sz="0" w:space="0" w:color="auto"/>
            <w:bottom w:val="none" w:sz="0" w:space="0" w:color="auto"/>
            <w:right w:val="none" w:sz="0" w:space="0" w:color="auto"/>
          </w:divBdr>
        </w:div>
      </w:divsChild>
    </w:div>
    <w:div w:id="544753268">
      <w:bodyDiv w:val="1"/>
      <w:marLeft w:val="0"/>
      <w:marRight w:val="0"/>
      <w:marTop w:val="0"/>
      <w:marBottom w:val="0"/>
      <w:divBdr>
        <w:top w:val="none" w:sz="0" w:space="0" w:color="auto"/>
        <w:left w:val="none" w:sz="0" w:space="0" w:color="auto"/>
        <w:bottom w:val="none" w:sz="0" w:space="0" w:color="auto"/>
        <w:right w:val="none" w:sz="0" w:space="0" w:color="auto"/>
      </w:divBdr>
    </w:div>
    <w:div w:id="550726479">
      <w:bodyDiv w:val="1"/>
      <w:marLeft w:val="0"/>
      <w:marRight w:val="0"/>
      <w:marTop w:val="0"/>
      <w:marBottom w:val="0"/>
      <w:divBdr>
        <w:top w:val="none" w:sz="0" w:space="0" w:color="auto"/>
        <w:left w:val="none" w:sz="0" w:space="0" w:color="auto"/>
        <w:bottom w:val="none" w:sz="0" w:space="0" w:color="auto"/>
        <w:right w:val="none" w:sz="0" w:space="0" w:color="auto"/>
      </w:divBdr>
    </w:div>
    <w:div w:id="551427478">
      <w:bodyDiv w:val="1"/>
      <w:marLeft w:val="0"/>
      <w:marRight w:val="0"/>
      <w:marTop w:val="0"/>
      <w:marBottom w:val="0"/>
      <w:divBdr>
        <w:top w:val="none" w:sz="0" w:space="0" w:color="auto"/>
        <w:left w:val="none" w:sz="0" w:space="0" w:color="auto"/>
        <w:bottom w:val="none" w:sz="0" w:space="0" w:color="auto"/>
        <w:right w:val="none" w:sz="0" w:space="0" w:color="auto"/>
      </w:divBdr>
    </w:div>
    <w:div w:id="552430941">
      <w:bodyDiv w:val="1"/>
      <w:marLeft w:val="0"/>
      <w:marRight w:val="0"/>
      <w:marTop w:val="0"/>
      <w:marBottom w:val="0"/>
      <w:divBdr>
        <w:top w:val="none" w:sz="0" w:space="0" w:color="auto"/>
        <w:left w:val="none" w:sz="0" w:space="0" w:color="auto"/>
        <w:bottom w:val="none" w:sz="0" w:space="0" w:color="auto"/>
        <w:right w:val="none" w:sz="0" w:space="0" w:color="auto"/>
      </w:divBdr>
      <w:divsChild>
        <w:div w:id="171260730">
          <w:marLeft w:val="0"/>
          <w:marRight w:val="0"/>
          <w:marTop w:val="0"/>
          <w:marBottom w:val="0"/>
          <w:divBdr>
            <w:top w:val="none" w:sz="0" w:space="0" w:color="auto"/>
            <w:left w:val="none" w:sz="0" w:space="0" w:color="auto"/>
            <w:bottom w:val="none" w:sz="0" w:space="0" w:color="auto"/>
            <w:right w:val="none" w:sz="0" w:space="0" w:color="auto"/>
          </w:divBdr>
        </w:div>
        <w:div w:id="1267033698">
          <w:marLeft w:val="0"/>
          <w:marRight w:val="0"/>
          <w:marTop w:val="0"/>
          <w:marBottom w:val="0"/>
          <w:divBdr>
            <w:top w:val="none" w:sz="0" w:space="0" w:color="auto"/>
            <w:left w:val="none" w:sz="0" w:space="0" w:color="auto"/>
            <w:bottom w:val="none" w:sz="0" w:space="0" w:color="auto"/>
            <w:right w:val="none" w:sz="0" w:space="0" w:color="auto"/>
          </w:divBdr>
        </w:div>
        <w:div w:id="1710834373">
          <w:marLeft w:val="0"/>
          <w:marRight w:val="0"/>
          <w:marTop w:val="0"/>
          <w:marBottom w:val="0"/>
          <w:divBdr>
            <w:top w:val="none" w:sz="0" w:space="0" w:color="auto"/>
            <w:left w:val="none" w:sz="0" w:space="0" w:color="auto"/>
            <w:bottom w:val="none" w:sz="0" w:space="0" w:color="auto"/>
            <w:right w:val="none" w:sz="0" w:space="0" w:color="auto"/>
          </w:divBdr>
        </w:div>
        <w:div w:id="1911455662">
          <w:marLeft w:val="0"/>
          <w:marRight w:val="0"/>
          <w:marTop w:val="0"/>
          <w:marBottom w:val="0"/>
          <w:divBdr>
            <w:top w:val="none" w:sz="0" w:space="0" w:color="auto"/>
            <w:left w:val="none" w:sz="0" w:space="0" w:color="auto"/>
            <w:bottom w:val="none" w:sz="0" w:space="0" w:color="auto"/>
            <w:right w:val="none" w:sz="0" w:space="0" w:color="auto"/>
          </w:divBdr>
        </w:div>
      </w:divsChild>
    </w:div>
    <w:div w:id="561673972">
      <w:bodyDiv w:val="1"/>
      <w:marLeft w:val="0"/>
      <w:marRight w:val="0"/>
      <w:marTop w:val="0"/>
      <w:marBottom w:val="0"/>
      <w:divBdr>
        <w:top w:val="none" w:sz="0" w:space="0" w:color="auto"/>
        <w:left w:val="none" w:sz="0" w:space="0" w:color="auto"/>
        <w:bottom w:val="none" w:sz="0" w:space="0" w:color="auto"/>
        <w:right w:val="none" w:sz="0" w:space="0" w:color="auto"/>
      </w:divBdr>
    </w:div>
    <w:div w:id="576402044">
      <w:bodyDiv w:val="1"/>
      <w:marLeft w:val="0"/>
      <w:marRight w:val="0"/>
      <w:marTop w:val="0"/>
      <w:marBottom w:val="0"/>
      <w:divBdr>
        <w:top w:val="none" w:sz="0" w:space="0" w:color="auto"/>
        <w:left w:val="none" w:sz="0" w:space="0" w:color="auto"/>
        <w:bottom w:val="none" w:sz="0" w:space="0" w:color="auto"/>
        <w:right w:val="none" w:sz="0" w:space="0" w:color="auto"/>
      </w:divBdr>
    </w:div>
    <w:div w:id="584151153">
      <w:bodyDiv w:val="1"/>
      <w:marLeft w:val="0"/>
      <w:marRight w:val="0"/>
      <w:marTop w:val="0"/>
      <w:marBottom w:val="0"/>
      <w:divBdr>
        <w:top w:val="none" w:sz="0" w:space="0" w:color="auto"/>
        <w:left w:val="none" w:sz="0" w:space="0" w:color="auto"/>
        <w:bottom w:val="none" w:sz="0" w:space="0" w:color="auto"/>
        <w:right w:val="none" w:sz="0" w:space="0" w:color="auto"/>
      </w:divBdr>
      <w:divsChild>
        <w:div w:id="322390422">
          <w:marLeft w:val="0"/>
          <w:marRight w:val="0"/>
          <w:marTop w:val="0"/>
          <w:marBottom w:val="0"/>
          <w:divBdr>
            <w:top w:val="none" w:sz="0" w:space="0" w:color="auto"/>
            <w:left w:val="none" w:sz="0" w:space="0" w:color="auto"/>
            <w:bottom w:val="none" w:sz="0" w:space="0" w:color="auto"/>
            <w:right w:val="none" w:sz="0" w:space="0" w:color="auto"/>
          </w:divBdr>
        </w:div>
        <w:div w:id="1048259176">
          <w:marLeft w:val="0"/>
          <w:marRight w:val="0"/>
          <w:marTop w:val="0"/>
          <w:marBottom w:val="0"/>
          <w:divBdr>
            <w:top w:val="none" w:sz="0" w:space="0" w:color="auto"/>
            <w:left w:val="none" w:sz="0" w:space="0" w:color="auto"/>
            <w:bottom w:val="none" w:sz="0" w:space="0" w:color="auto"/>
            <w:right w:val="none" w:sz="0" w:space="0" w:color="auto"/>
          </w:divBdr>
        </w:div>
        <w:div w:id="2060737586">
          <w:marLeft w:val="0"/>
          <w:marRight w:val="0"/>
          <w:marTop w:val="0"/>
          <w:marBottom w:val="450"/>
          <w:divBdr>
            <w:top w:val="none" w:sz="0" w:space="0" w:color="auto"/>
            <w:left w:val="none" w:sz="0" w:space="0" w:color="auto"/>
            <w:bottom w:val="none" w:sz="0" w:space="0" w:color="auto"/>
            <w:right w:val="none" w:sz="0" w:space="0" w:color="auto"/>
          </w:divBdr>
          <w:divsChild>
            <w:div w:id="1998654882">
              <w:marLeft w:val="0"/>
              <w:marRight w:val="0"/>
              <w:marTop w:val="0"/>
              <w:marBottom w:val="0"/>
              <w:divBdr>
                <w:top w:val="none" w:sz="0" w:space="0" w:color="auto"/>
                <w:left w:val="none" w:sz="0" w:space="0" w:color="auto"/>
                <w:bottom w:val="none" w:sz="0" w:space="0" w:color="auto"/>
                <w:right w:val="none" w:sz="0" w:space="0" w:color="auto"/>
              </w:divBdr>
              <w:divsChild>
                <w:div w:id="20883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663364">
      <w:bodyDiv w:val="1"/>
      <w:marLeft w:val="0"/>
      <w:marRight w:val="0"/>
      <w:marTop w:val="0"/>
      <w:marBottom w:val="0"/>
      <w:divBdr>
        <w:top w:val="none" w:sz="0" w:space="0" w:color="auto"/>
        <w:left w:val="none" w:sz="0" w:space="0" w:color="auto"/>
        <w:bottom w:val="none" w:sz="0" w:space="0" w:color="auto"/>
        <w:right w:val="none" w:sz="0" w:space="0" w:color="auto"/>
      </w:divBdr>
    </w:div>
    <w:div w:id="600645686">
      <w:bodyDiv w:val="1"/>
      <w:marLeft w:val="0"/>
      <w:marRight w:val="0"/>
      <w:marTop w:val="0"/>
      <w:marBottom w:val="0"/>
      <w:divBdr>
        <w:top w:val="none" w:sz="0" w:space="0" w:color="auto"/>
        <w:left w:val="none" w:sz="0" w:space="0" w:color="auto"/>
        <w:bottom w:val="none" w:sz="0" w:space="0" w:color="auto"/>
        <w:right w:val="none" w:sz="0" w:space="0" w:color="auto"/>
      </w:divBdr>
    </w:div>
    <w:div w:id="602808013">
      <w:bodyDiv w:val="1"/>
      <w:marLeft w:val="0"/>
      <w:marRight w:val="0"/>
      <w:marTop w:val="0"/>
      <w:marBottom w:val="0"/>
      <w:divBdr>
        <w:top w:val="none" w:sz="0" w:space="0" w:color="auto"/>
        <w:left w:val="none" w:sz="0" w:space="0" w:color="auto"/>
        <w:bottom w:val="none" w:sz="0" w:space="0" w:color="auto"/>
        <w:right w:val="none" w:sz="0" w:space="0" w:color="auto"/>
      </w:divBdr>
      <w:divsChild>
        <w:div w:id="1720087950">
          <w:marLeft w:val="0"/>
          <w:marRight w:val="0"/>
          <w:marTop w:val="0"/>
          <w:marBottom w:val="0"/>
          <w:divBdr>
            <w:top w:val="none" w:sz="0" w:space="0" w:color="auto"/>
            <w:left w:val="none" w:sz="0" w:space="0" w:color="auto"/>
            <w:bottom w:val="none" w:sz="0" w:space="0" w:color="auto"/>
            <w:right w:val="none" w:sz="0" w:space="0" w:color="auto"/>
          </w:divBdr>
          <w:divsChild>
            <w:div w:id="241179189">
              <w:marLeft w:val="0"/>
              <w:marRight w:val="960"/>
              <w:marTop w:val="120"/>
              <w:marBottom w:val="120"/>
              <w:divBdr>
                <w:top w:val="none" w:sz="0" w:space="0" w:color="auto"/>
                <w:left w:val="none" w:sz="0" w:space="0" w:color="auto"/>
                <w:bottom w:val="none" w:sz="0" w:space="0" w:color="auto"/>
                <w:right w:val="none" w:sz="0" w:space="0" w:color="auto"/>
              </w:divBdr>
            </w:div>
            <w:div w:id="1731885637">
              <w:marLeft w:val="0"/>
              <w:marRight w:val="960"/>
              <w:marTop w:val="120"/>
              <w:marBottom w:val="120"/>
              <w:divBdr>
                <w:top w:val="none" w:sz="0" w:space="0" w:color="auto"/>
                <w:left w:val="none" w:sz="0" w:space="0" w:color="auto"/>
                <w:bottom w:val="none" w:sz="0" w:space="0" w:color="auto"/>
                <w:right w:val="none" w:sz="0" w:space="0" w:color="auto"/>
              </w:divBdr>
            </w:div>
          </w:divsChild>
        </w:div>
        <w:div w:id="1727289878">
          <w:marLeft w:val="0"/>
          <w:marRight w:val="0"/>
          <w:marTop w:val="0"/>
          <w:marBottom w:val="0"/>
          <w:divBdr>
            <w:top w:val="none" w:sz="0" w:space="0" w:color="auto"/>
            <w:left w:val="none" w:sz="0" w:space="0" w:color="auto"/>
            <w:bottom w:val="none" w:sz="0" w:space="0" w:color="auto"/>
            <w:right w:val="none" w:sz="0" w:space="0" w:color="auto"/>
          </w:divBdr>
        </w:div>
      </w:divsChild>
    </w:div>
    <w:div w:id="613051464">
      <w:bodyDiv w:val="1"/>
      <w:marLeft w:val="0"/>
      <w:marRight w:val="0"/>
      <w:marTop w:val="0"/>
      <w:marBottom w:val="0"/>
      <w:divBdr>
        <w:top w:val="none" w:sz="0" w:space="0" w:color="auto"/>
        <w:left w:val="none" w:sz="0" w:space="0" w:color="auto"/>
        <w:bottom w:val="none" w:sz="0" w:space="0" w:color="auto"/>
        <w:right w:val="none" w:sz="0" w:space="0" w:color="auto"/>
      </w:divBdr>
    </w:div>
    <w:div w:id="614796210">
      <w:bodyDiv w:val="1"/>
      <w:marLeft w:val="0"/>
      <w:marRight w:val="0"/>
      <w:marTop w:val="0"/>
      <w:marBottom w:val="0"/>
      <w:divBdr>
        <w:top w:val="none" w:sz="0" w:space="0" w:color="auto"/>
        <w:left w:val="none" w:sz="0" w:space="0" w:color="auto"/>
        <w:bottom w:val="none" w:sz="0" w:space="0" w:color="auto"/>
        <w:right w:val="none" w:sz="0" w:space="0" w:color="auto"/>
      </w:divBdr>
    </w:div>
    <w:div w:id="618338002">
      <w:bodyDiv w:val="1"/>
      <w:marLeft w:val="0"/>
      <w:marRight w:val="0"/>
      <w:marTop w:val="0"/>
      <w:marBottom w:val="0"/>
      <w:divBdr>
        <w:top w:val="none" w:sz="0" w:space="0" w:color="auto"/>
        <w:left w:val="none" w:sz="0" w:space="0" w:color="auto"/>
        <w:bottom w:val="none" w:sz="0" w:space="0" w:color="auto"/>
        <w:right w:val="none" w:sz="0" w:space="0" w:color="auto"/>
      </w:divBdr>
    </w:div>
    <w:div w:id="627585189">
      <w:bodyDiv w:val="1"/>
      <w:marLeft w:val="0"/>
      <w:marRight w:val="0"/>
      <w:marTop w:val="0"/>
      <w:marBottom w:val="0"/>
      <w:divBdr>
        <w:top w:val="none" w:sz="0" w:space="0" w:color="auto"/>
        <w:left w:val="none" w:sz="0" w:space="0" w:color="auto"/>
        <w:bottom w:val="none" w:sz="0" w:space="0" w:color="auto"/>
        <w:right w:val="none" w:sz="0" w:space="0" w:color="auto"/>
      </w:divBdr>
    </w:div>
    <w:div w:id="627975229">
      <w:bodyDiv w:val="1"/>
      <w:marLeft w:val="0"/>
      <w:marRight w:val="0"/>
      <w:marTop w:val="0"/>
      <w:marBottom w:val="0"/>
      <w:divBdr>
        <w:top w:val="none" w:sz="0" w:space="0" w:color="auto"/>
        <w:left w:val="none" w:sz="0" w:space="0" w:color="auto"/>
        <w:bottom w:val="none" w:sz="0" w:space="0" w:color="auto"/>
        <w:right w:val="none" w:sz="0" w:space="0" w:color="auto"/>
      </w:divBdr>
    </w:div>
    <w:div w:id="628974002">
      <w:bodyDiv w:val="1"/>
      <w:marLeft w:val="0"/>
      <w:marRight w:val="0"/>
      <w:marTop w:val="0"/>
      <w:marBottom w:val="0"/>
      <w:divBdr>
        <w:top w:val="none" w:sz="0" w:space="0" w:color="auto"/>
        <w:left w:val="none" w:sz="0" w:space="0" w:color="auto"/>
        <w:bottom w:val="none" w:sz="0" w:space="0" w:color="auto"/>
        <w:right w:val="none" w:sz="0" w:space="0" w:color="auto"/>
      </w:divBdr>
    </w:div>
    <w:div w:id="641546740">
      <w:bodyDiv w:val="1"/>
      <w:marLeft w:val="0"/>
      <w:marRight w:val="0"/>
      <w:marTop w:val="0"/>
      <w:marBottom w:val="0"/>
      <w:divBdr>
        <w:top w:val="none" w:sz="0" w:space="0" w:color="auto"/>
        <w:left w:val="none" w:sz="0" w:space="0" w:color="auto"/>
        <w:bottom w:val="none" w:sz="0" w:space="0" w:color="auto"/>
        <w:right w:val="none" w:sz="0" w:space="0" w:color="auto"/>
      </w:divBdr>
      <w:divsChild>
        <w:div w:id="3677924">
          <w:marLeft w:val="0"/>
          <w:marRight w:val="0"/>
          <w:marTop w:val="0"/>
          <w:marBottom w:val="0"/>
          <w:divBdr>
            <w:top w:val="none" w:sz="0" w:space="0" w:color="auto"/>
            <w:left w:val="none" w:sz="0" w:space="0" w:color="auto"/>
            <w:bottom w:val="none" w:sz="0" w:space="0" w:color="auto"/>
            <w:right w:val="none" w:sz="0" w:space="0" w:color="auto"/>
          </w:divBdr>
        </w:div>
        <w:div w:id="23947782">
          <w:marLeft w:val="0"/>
          <w:marRight w:val="0"/>
          <w:marTop w:val="0"/>
          <w:marBottom w:val="0"/>
          <w:divBdr>
            <w:top w:val="none" w:sz="0" w:space="0" w:color="auto"/>
            <w:left w:val="none" w:sz="0" w:space="0" w:color="auto"/>
            <w:bottom w:val="none" w:sz="0" w:space="0" w:color="auto"/>
            <w:right w:val="none" w:sz="0" w:space="0" w:color="auto"/>
          </w:divBdr>
        </w:div>
        <w:div w:id="562789044">
          <w:marLeft w:val="0"/>
          <w:marRight w:val="0"/>
          <w:marTop w:val="0"/>
          <w:marBottom w:val="0"/>
          <w:divBdr>
            <w:top w:val="none" w:sz="0" w:space="0" w:color="auto"/>
            <w:left w:val="none" w:sz="0" w:space="0" w:color="auto"/>
            <w:bottom w:val="none" w:sz="0" w:space="0" w:color="auto"/>
            <w:right w:val="none" w:sz="0" w:space="0" w:color="auto"/>
          </w:divBdr>
        </w:div>
      </w:divsChild>
    </w:div>
    <w:div w:id="655916875">
      <w:bodyDiv w:val="1"/>
      <w:marLeft w:val="0"/>
      <w:marRight w:val="0"/>
      <w:marTop w:val="0"/>
      <w:marBottom w:val="0"/>
      <w:divBdr>
        <w:top w:val="none" w:sz="0" w:space="0" w:color="auto"/>
        <w:left w:val="none" w:sz="0" w:space="0" w:color="auto"/>
        <w:bottom w:val="none" w:sz="0" w:space="0" w:color="auto"/>
        <w:right w:val="none" w:sz="0" w:space="0" w:color="auto"/>
      </w:divBdr>
    </w:div>
    <w:div w:id="657927030">
      <w:bodyDiv w:val="1"/>
      <w:marLeft w:val="0"/>
      <w:marRight w:val="0"/>
      <w:marTop w:val="0"/>
      <w:marBottom w:val="0"/>
      <w:divBdr>
        <w:top w:val="none" w:sz="0" w:space="0" w:color="auto"/>
        <w:left w:val="none" w:sz="0" w:space="0" w:color="auto"/>
        <w:bottom w:val="none" w:sz="0" w:space="0" w:color="auto"/>
        <w:right w:val="none" w:sz="0" w:space="0" w:color="auto"/>
      </w:divBdr>
      <w:divsChild>
        <w:div w:id="278268638">
          <w:marLeft w:val="0"/>
          <w:marRight w:val="0"/>
          <w:marTop w:val="0"/>
          <w:marBottom w:val="0"/>
          <w:divBdr>
            <w:top w:val="none" w:sz="0" w:space="0" w:color="auto"/>
            <w:left w:val="none" w:sz="0" w:space="0" w:color="auto"/>
            <w:bottom w:val="none" w:sz="0" w:space="0" w:color="auto"/>
            <w:right w:val="none" w:sz="0" w:space="0" w:color="auto"/>
          </w:divBdr>
        </w:div>
        <w:div w:id="291137566">
          <w:marLeft w:val="0"/>
          <w:marRight w:val="0"/>
          <w:marTop w:val="0"/>
          <w:marBottom w:val="0"/>
          <w:divBdr>
            <w:top w:val="none" w:sz="0" w:space="0" w:color="auto"/>
            <w:left w:val="none" w:sz="0" w:space="0" w:color="auto"/>
            <w:bottom w:val="none" w:sz="0" w:space="0" w:color="auto"/>
            <w:right w:val="none" w:sz="0" w:space="0" w:color="auto"/>
          </w:divBdr>
        </w:div>
        <w:div w:id="339623174">
          <w:marLeft w:val="0"/>
          <w:marRight w:val="0"/>
          <w:marTop w:val="0"/>
          <w:marBottom w:val="0"/>
          <w:divBdr>
            <w:top w:val="none" w:sz="0" w:space="0" w:color="auto"/>
            <w:left w:val="none" w:sz="0" w:space="0" w:color="auto"/>
            <w:bottom w:val="none" w:sz="0" w:space="0" w:color="auto"/>
            <w:right w:val="none" w:sz="0" w:space="0" w:color="auto"/>
          </w:divBdr>
        </w:div>
        <w:div w:id="452947713">
          <w:marLeft w:val="0"/>
          <w:marRight w:val="0"/>
          <w:marTop w:val="0"/>
          <w:marBottom w:val="0"/>
          <w:divBdr>
            <w:top w:val="none" w:sz="0" w:space="0" w:color="auto"/>
            <w:left w:val="none" w:sz="0" w:space="0" w:color="auto"/>
            <w:bottom w:val="none" w:sz="0" w:space="0" w:color="auto"/>
            <w:right w:val="none" w:sz="0" w:space="0" w:color="auto"/>
          </w:divBdr>
        </w:div>
        <w:div w:id="554855898">
          <w:marLeft w:val="0"/>
          <w:marRight w:val="0"/>
          <w:marTop w:val="0"/>
          <w:marBottom w:val="0"/>
          <w:divBdr>
            <w:top w:val="none" w:sz="0" w:space="0" w:color="auto"/>
            <w:left w:val="none" w:sz="0" w:space="0" w:color="auto"/>
            <w:bottom w:val="none" w:sz="0" w:space="0" w:color="auto"/>
            <w:right w:val="none" w:sz="0" w:space="0" w:color="auto"/>
          </w:divBdr>
        </w:div>
        <w:div w:id="656157194">
          <w:marLeft w:val="0"/>
          <w:marRight w:val="0"/>
          <w:marTop w:val="0"/>
          <w:marBottom w:val="0"/>
          <w:divBdr>
            <w:top w:val="none" w:sz="0" w:space="0" w:color="auto"/>
            <w:left w:val="none" w:sz="0" w:space="0" w:color="auto"/>
            <w:bottom w:val="none" w:sz="0" w:space="0" w:color="auto"/>
            <w:right w:val="none" w:sz="0" w:space="0" w:color="auto"/>
          </w:divBdr>
        </w:div>
        <w:div w:id="1330255161">
          <w:marLeft w:val="0"/>
          <w:marRight w:val="0"/>
          <w:marTop w:val="0"/>
          <w:marBottom w:val="0"/>
          <w:divBdr>
            <w:top w:val="none" w:sz="0" w:space="0" w:color="auto"/>
            <w:left w:val="none" w:sz="0" w:space="0" w:color="auto"/>
            <w:bottom w:val="none" w:sz="0" w:space="0" w:color="auto"/>
            <w:right w:val="none" w:sz="0" w:space="0" w:color="auto"/>
          </w:divBdr>
        </w:div>
        <w:div w:id="1449665692">
          <w:marLeft w:val="0"/>
          <w:marRight w:val="0"/>
          <w:marTop w:val="0"/>
          <w:marBottom w:val="0"/>
          <w:divBdr>
            <w:top w:val="none" w:sz="0" w:space="0" w:color="auto"/>
            <w:left w:val="none" w:sz="0" w:space="0" w:color="auto"/>
            <w:bottom w:val="none" w:sz="0" w:space="0" w:color="auto"/>
            <w:right w:val="none" w:sz="0" w:space="0" w:color="auto"/>
          </w:divBdr>
        </w:div>
        <w:div w:id="1472359345">
          <w:marLeft w:val="0"/>
          <w:marRight w:val="0"/>
          <w:marTop w:val="0"/>
          <w:marBottom w:val="0"/>
          <w:divBdr>
            <w:top w:val="none" w:sz="0" w:space="0" w:color="auto"/>
            <w:left w:val="none" w:sz="0" w:space="0" w:color="auto"/>
            <w:bottom w:val="none" w:sz="0" w:space="0" w:color="auto"/>
            <w:right w:val="none" w:sz="0" w:space="0" w:color="auto"/>
          </w:divBdr>
        </w:div>
        <w:div w:id="1749419951">
          <w:marLeft w:val="0"/>
          <w:marRight w:val="0"/>
          <w:marTop w:val="0"/>
          <w:marBottom w:val="0"/>
          <w:divBdr>
            <w:top w:val="none" w:sz="0" w:space="0" w:color="auto"/>
            <w:left w:val="none" w:sz="0" w:space="0" w:color="auto"/>
            <w:bottom w:val="none" w:sz="0" w:space="0" w:color="auto"/>
            <w:right w:val="none" w:sz="0" w:space="0" w:color="auto"/>
          </w:divBdr>
        </w:div>
        <w:div w:id="1865167816">
          <w:marLeft w:val="0"/>
          <w:marRight w:val="0"/>
          <w:marTop w:val="0"/>
          <w:marBottom w:val="0"/>
          <w:divBdr>
            <w:top w:val="none" w:sz="0" w:space="0" w:color="auto"/>
            <w:left w:val="none" w:sz="0" w:space="0" w:color="auto"/>
            <w:bottom w:val="none" w:sz="0" w:space="0" w:color="auto"/>
            <w:right w:val="none" w:sz="0" w:space="0" w:color="auto"/>
          </w:divBdr>
        </w:div>
        <w:div w:id="2034960577">
          <w:marLeft w:val="0"/>
          <w:marRight w:val="0"/>
          <w:marTop w:val="0"/>
          <w:marBottom w:val="0"/>
          <w:divBdr>
            <w:top w:val="none" w:sz="0" w:space="0" w:color="auto"/>
            <w:left w:val="none" w:sz="0" w:space="0" w:color="auto"/>
            <w:bottom w:val="none" w:sz="0" w:space="0" w:color="auto"/>
            <w:right w:val="none" w:sz="0" w:space="0" w:color="auto"/>
          </w:divBdr>
        </w:div>
        <w:div w:id="2036926871">
          <w:marLeft w:val="0"/>
          <w:marRight w:val="0"/>
          <w:marTop w:val="0"/>
          <w:marBottom w:val="0"/>
          <w:divBdr>
            <w:top w:val="none" w:sz="0" w:space="0" w:color="auto"/>
            <w:left w:val="none" w:sz="0" w:space="0" w:color="auto"/>
            <w:bottom w:val="none" w:sz="0" w:space="0" w:color="auto"/>
            <w:right w:val="none" w:sz="0" w:space="0" w:color="auto"/>
          </w:divBdr>
        </w:div>
      </w:divsChild>
    </w:div>
    <w:div w:id="669020330">
      <w:bodyDiv w:val="1"/>
      <w:marLeft w:val="0"/>
      <w:marRight w:val="0"/>
      <w:marTop w:val="0"/>
      <w:marBottom w:val="0"/>
      <w:divBdr>
        <w:top w:val="none" w:sz="0" w:space="0" w:color="auto"/>
        <w:left w:val="none" w:sz="0" w:space="0" w:color="auto"/>
        <w:bottom w:val="none" w:sz="0" w:space="0" w:color="auto"/>
        <w:right w:val="none" w:sz="0" w:space="0" w:color="auto"/>
      </w:divBdr>
    </w:div>
    <w:div w:id="676270717">
      <w:bodyDiv w:val="1"/>
      <w:marLeft w:val="0"/>
      <w:marRight w:val="0"/>
      <w:marTop w:val="0"/>
      <w:marBottom w:val="0"/>
      <w:divBdr>
        <w:top w:val="none" w:sz="0" w:space="0" w:color="auto"/>
        <w:left w:val="none" w:sz="0" w:space="0" w:color="auto"/>
        <w:bottom w:val="none" w:sz="0" w:space="0" w:color="auto"/>
        <w:right w:val="none" w:sz="0" w:space="0" w:color="auto"/>
      </w:divBdr>
    </w:div>
    <w:div w:id="677122108">
      <w:bodyDiv w:val="1"/>
      <w:marLeft w:val="0"/>
      <w:marRight w:val="0"/>
      <w:marTop w:val="0"/>
      <w:marBottom w:val="0"/>
      <w:divBdr>
        <w:top w:val="none" w:sz="0" w:space="0" w:color="auto"/>
        <w:left w:val="none" w:sz="0" w:space="0" w:color="auto"/>
        <w:bottom w:val="none" w:sz="0" w:space="0" w:color="auto"/>
        <w:right w:val="none" w:sz="0" w:space="0" w:color="auto"/>
      </w:divBdr>
      <w:divsChild>
        <w:div w:id="154692763">
          <w:marLeft w:val="0"/>
          <w:marRight w:val="0"/>
          <w:marTop w:val="0"/>
          <w:marBottom w:val="0"/>
          <w:divBdr>
            <w:top w:val="none" w:sz="0" w:space="0" w:color="auto"/>
            <w:left w:val="none" w:sz="0" w:space="0" w:color="auto"/>
            <w:bottom w:val="none" w:sz="0" w:space="0" w:color="auto"/>
            <w:right w:val="none" w:sz="0" w:space="0" w:color="auto"/>
          </w:divBdr>
        </w:div>
        <w:div w:id="718016046">
          <w:marLeft w:val="0"/>
          <w:marRight w:val="0"/>
          <w:marTop w:val="0"/>
          <w:marBottom w:val="0"/>
          <w:divBdr>
            <w:top w:val="none" w:sz="0" w:space="0" w:color="auto"/>
            <w:left w:val="none" w:sz="0" w:space="0" w:color="auto"/>
            <w:bottom w:val="none" w:sz="0" w:space="0" w:color="auto"/>
            <w:right w:val="none" w:sz="0" w:space="0" w:color="auto"/>
          </w:divBdr>
        </w:div>
      </w:divsChild>
    </w:div>
    <w:div w:id="698746567">
      <w:bodyDiv w:val="1"/>
      <w:marLeft w:val="0"/>
      <w:marRight w:val="0"/>
      <w:marTop w:val="0"/>
      <w:marBottom w:val="0"/>
      <w:divBdr>
        <w:top w:val="none" w:sz="0" w:space="0" w:color="auto"/>
        <w:left w:val="none" w:sz="0" w:space="0" w:color="auto"/>
        <w:bottom w:val="none" w:sz="0" w:space="0" w:color="auto"/>
        <w:right w:val="none" w:sz="0" w:space="0" w:color="auto"/>
      </w:divBdr>
    </w:div>
    <w:div w:id="699739820">
      <w:bodyDiv w:val="1"/>
      <w:marLeft w:val="0"/>
      <w:marRight w:val="0"/>
      <w:marTop w:val="0"/>
      <w:marBottom w:val="0"/>
      <w:divBdr>
        <w:top w:val="none" w:sz="0" w:space="0" w:color="auto"/>
        <w:left w:val="none" w:sz="0" w:space="0" w:color="auto"/>
        <w:bottom w:val="none" w:sz="0" w:space="0" w:color="auto"/>
        <w:right w:val="none" w:sz="0" w:space="0" w:color="auto"/>
      </w:divBdr>
    </w:div>
    <w:div w:id="703287126">
      <w:bodyDiv w:val="1"/>
      <w:marLeft w:val="0"/>
      <w:marRight w:val="0"/>
      <w:marTop w:val="0"/>
      <w:marBottom w:val="0"/>
      <w:divBdr>
        <w:top w:val="none" w:sz="0" w:space="0" w:color="auto"/>
        <w:left w:val="none" w:sz="0" w:space="0" w:color="auto"/>
        <w:bottom w:val="none" w:sz="0" w:space="0" w:color="auto"/>
        <w:right w:val="none" w:sz="0" w:space="0" w:color="auto"/>
      </w:divBdr>
    </w:div>
    <w:div w:id="717776069">
      <w:bodyDiv w:val="1"/>
      <w:marLeft w:val="0"/>
      <w:marRight w:val="0"/>
      <w:marTop w:val="0"/>
      <w:marBottom w:val="0"/>
      <w:divBdr>
        <w:top w:val="none" w:sz="0" w:space="0" w:color="auto"/>
        <w:left w:val="none" w:sz="0" w:space="0" w:color="auto"/>
        <w:bottom w:val="none" w:sz="0" w:space="0" w:color="auto"/>
        <w:right w:val="none" w:sz="0" w:space="0" w:color="auto"/>
      </w:divBdr>
    </w:div>
    <w:div w:id="723720432">
      <w:bodyDiv w:val="1"/>
      <w:marLeft w:val="0"/>
      <w:marRight w:val="0"/>
      <w:marTop w:val="0"/>
      <w:marBottom w:val="0"/>
      <w:divBdr>
        <w:top w:val="none" w:sz="0" w:space="0" w:color="auto"/>
        <w:left w:val="none" w:sz="0" w:space="0" w:color="auto"/>
        <w:bottom w:val="none" w:sz="0" w:space="0" w:color="auto"/>
        <w:right w:val="none" w:sz="0" w:space="0" w:color="auto"/>
      </w:divBdr>
    </w:div>
    <w:div w:id="742994019">
      <w:bodyDiv w:val="1"/>
      <w:marLeft w:val="0"/>
      <w:marRight w:val="0"/>
      <w:marTop w:val="0"/>
      <w:marBottom w:val="0"/>
      <w:divBdr>
        <w:top w:val="none" w:sz="0" w:space="0" w:color="auto"/>
        <w:left w:val="none" w:sz="0" w:space="0" w:color="auto"/>
        <w:bottom w:val="none" w:sz="0" w:space="0" w:color="auto"/>
        <w:right w:val="none" w:sz="0" w:space="0" w:color="auto"/>
      </w:divBdr>
    </w:div>
    <w:div w:id="747773732">
      <w:bodyDiv w:val="1"/>
      <w:marLeft w:val="0"/>
      <w:marRight w:val="0"/>
      <w:marTop w:val="0"/>
      <w:marBottom w:val="0"/>
      <w:divBdr>
        <w:top w:val="none" w:sz="0" w:space="0" w:color="auto"/>
        <w:left w:val="none" w:sz="0" w:space="0" w:color="auto"/>
        <w:bottom w:val="none" w:sz="0" w:space="0" w:color="auto"/>
        <w:right w:val="none" w:sz="0" w:space="0" w:color="auto"/>
      </w:divBdr>
    </w:div>
    <w:div w:id="749500897">
      <w:bodyDiv w:val="1"/>
      <w:marLeft w:val="0"/>
      <w:marRight w:val="0"/>
      <w:marTop w:val="0"/>
      <w:marBottom w:val="0"/>
      <w:divBdr>
        <w:top w:val="none" w:sz="0" w:space="0" w:color="auto"/>
        <w:left w:val="none" w:sz="0" w:space="0" w:color="auto"/>
        <w:bottom w:val="none" w:sz="0" w:space="0" w:color="auto"/>
        <w:right w:val="none" w:sz="0" w:space="0" w:color="auto"/>
      </w:divBdr>
    </w:div>
    <w:div w:id="765540663">
      <w:bodyDiv w:val="1"/>
      <w:marLeft w:val="0"/>
      <w:marRight w:val="0"/>
      <w:marTop w:val="0"/>
      <w:marBottom w:val="0"/>
      <w:divBdr>
        <w:top w:val="none" w:sz="0" w:space="0" w:color="auto"/>
        <w:left w:val="none" w:sz="0" w:space="0" w:color="auto"/>
        <w:bottom w:val="none" w:sz="0" w:space="0" w:color="auto"/>
        <w:right w:val="none" w:sz="0" w:space="0" w:color="auto"/>
      </w:divBdr>
    </w:div>
    <w:div w:id="769350373">
      <w:bodyDiv w:val="1"/>
      <w:marLeft w:val="0"/>
      <w:marRight w:val="0"/>
      <w:marTop w:val="0"/>
      <w:marBottom w:val="0"/>
      <w:divBdr>
        <w:top w:val="none" w:sz="0" w:space="0" w:color="auto"/>
        <w:left w:val="none" w:sz="0" w:space="0" w:color="auto"/>
        <w:bottom w:val="none" w:sz="0" w:space="0" w:color="auto"/>
        <w:right w:val="none" w:sz="0" w:space="0" w:color="auto"/>
      </w:divBdr>
    </w:div>
    <w:div w:id="771391051">
      <w:bodyDiv w:val="1"/>
      <w:marLeft w:val="0"/>
      <w:marRight w:val="0"/>
      <w:marTop w:val="0"/>
      <w:marBottom w:val="0"/>
      <w:divBdr>
        <w:top w:val="none" w:sz="0" w:space="0" w:color="auto"/>
        <w:left w:val="none" w:sz="0" w:space="0" w:color="auto"/>
        <w:bottom w:val="none" w:sz="0" w:space="0" w:color="auto"/>
        <w:right w:val="none" w:sz="0" w:space="0" w:color="auto"/>
      </w:divBdr>
    </w:div>
    <w:div w:id="788939719">
      <w:bodyDiv w:val="1"/>
      <w:marLeft w:val="0"/>
      <w:marRight w:val="0"/>
      <w:marTop w:val="0"/>
      <w:marBottom w:val="0"/>
      <w:divBdr>
        <w:top w:val="none" w:sz="0" w:space="0" w:color="auto"/>
        <w:left w:val="none" w:sz="0" w:space="0" w:color="auto"/>
        <w:bottom w:val="none" w:sz="0" w:space="0" w:color="auto"/>
        <w:right w:val="none" w:sz="0" w:space="0" w:color="auto"/>
      </w:divBdr>
    </w:div>
    <w:div w:id="790562529">
      <w:bodyDiv w:val="1"/>
      <w:marLeft w:val="0"/>
      <w:marRight w:val="0"/>
      <w:marTop w:val="0"/>
      <w:marBottom w:val="0"/>
      <w:divBdr>
        <w:top w:val="none" w:sz="0" w:space="0" w:color="auto"/>
        <w:left w:val="none" w:sz="0" w:space="0" w:color="auto"/>
        <w:bottom w:val="none" w:sz="0" w:space="0" w:color="auto"/>
        <w:right w:val="none" w:sz="0" w:space="0" w:color="auto"/>
      </w:divBdr>
    </w:div>
    <w:div w:id="795948961">
      <w:bodyDiv w:val="1"/>
      <w:marLeft w:val="0"/>
      <w:marRight w:val="0"/>
      <w:marTop w:val="0"/>
      <w:marBottom w:val="0"/>
      <w:divBdr>
        <w:top w:val="none" w:sz="0" w:space="0" w:color="auto"/>
        <w:left w:val="none" w:sz="0" w:space="0" w:color="auto"/>
        <w:bottom w:val="none" w:sz="0" w:space="0" w:color="auto"/>
        <w:right w:val="none" w:sz="0" w:space="0" w:color="auto"/>
      </w:divBdr>
    </w:div>
    <w:div w:id="799373574">
      <w:bodyDiv w:val="1"/>
      <w:marLeft w:val="0"/>
      <w:marRight w:val="0"/>
      <w:marTop w:val="0"/>
      <w:marBottom w:val="0"/>
      <w:divBdr>
        <w:top w:val="none" w:sz="0" w:space="0" w:color="auto"/>
        <w:left w:val="none" w:sz="0" w:space="0" w:color="auto"/>
        <w:bottom w:val="none" w:sz="0" w:space="0" w:color="auto"/>
        <w:right w:val="none" w:sz="0" w:space="0" w:color="auto"/>
      </w:divBdr>
    </w:div>
    <w:div w:id="801197777">
      <w:bodyDiv w:val="1"/>
      <w:marLeft w:val="0"/>
      <w:marRight w:val="0"/>
      <w:marTop w:val="0"/>
      <w:marBottom w:val="0"/>
      <w:divBdr>
        <w:top w:val="none" w:sz="0" w:space="0" w:color="auto"/>
        <w:left w:val="none" w:sz="0" w:space="0" w:color="auto"/>
        <w:bottom w:val="none" w:sz="0" w:space="0" w:color="auto"/>
        <w:right w:val="none" w:sz="0" w:space="0" w:color="auto"/>
      </w:divBdr>
      <w:divsChild>
        <w:div w:id="669676357">
          <w:marLeft w:val="446"/>
          <w:marRight w:val="0"/>
          <w:marTop w:val="158"/>
          <w:marBottom w:val="0"/>
          <w:divBdr>
            <w:top w:val="none" w:sz="0" w:space="0" w:color="auto"/>
            <w:left w:val="none" w:sz="0" w:space="0" w:color="auto"/>
            <w:bottom w:val="none" w:sz="0" w:space="0" w:color="auto"/>
            <w:right w:val="none" w:sz="0" w:space="0" w:color="auto"/>
          </w:divBdr>
        </w:div>
        <w:div w:id="1116411933">
          <w:marLeft w:val="446"/>
          <w:marRight w:val="0"/>
          <w:marTop w:val="158"/>
          <w:marBottom w:val="0"/>
          <w:divBdr>
            <w:top w:val="none" w:sz="0" w:space="0" w:color="auto"/>
            <w:left w:val="none" w:sz="0" w:space="0" w:color="auto"/>
            <w:bottom w:val="none" w:sz="0" w:space="0" w:color="auto"/>
            <w:right w:val="none" w:sz="0" w:space="0" w:color="auto"/>
          </w:divBdr>
        </w:div>
        <w:div w:id="1928952838">
          <w:marLeft w:val="1166"/>
          <w:marRight w:val="0"/>
          <w:marTop w:val="137"/>
          <w:marBottom w:val="0"/>
          <w:divBdr>
            <w:top w:val="none" w:sz="0" w:space="0" w:color="auto"/>
            <w:left w:val="none" w:sz="0" w:space="0" w:color="auto"/>
            <w:bottom w:val="none" w:sz="0" w:space="0" w:color="auto"/>
            <w:right w:val="none" w:sz="0" w:space="0" w:color="auto"/>
          </w:divBdr>
        </w:div>
        <w:div w:id="1939100874">
          <w:marLeft w:val="446"/>
          <w:marRight w:val="0"/>
          <w:marTop w:val="158"/>
          <w:marBottom w:val="0"/>
          <w:divBdr>
            <w:top w:val="none" w:sz="0" w:space="0" w:color="auto"/>
            <w:left w:val="none" w:sz="0" w:space="0" w:color="auto"/>
            <w:bottom w:val="none" w:sz="0" w:space="0" w:color="auto"/>
            <w:right w:val="none" w:sz="0" w:space="0" w:color="auto"/>
          </w:divBdr>
        </w:div>
        <w:div w:id="1982417526">
          <w:marLeft w:val="1166"/>
          <w:marRight w:val="0"/>
          <w:marTop w:val="137"/>
          <w:marBottom w:val="0"/>
          <w:divBdr>
            <w:top w:val="none" w:sz="0" w:space="0" w:color="auto"/>
            <w:left w:val="none" w:sz="0" w:space="0" w:color="auto"/>
            <w:bottom w:val="none" w:sz="0" w:space="0" w:color="auto"/>
            <w:right w:val="none" w:sz="0" w:space="0" w:color="auto"/>
          </w:divBdr>
        </w:div>
      </w:divsChild>
    </w:div>
    <w:div w:id="801659570">
      <w:bodyDiv w:val="1"/>
      <w:marLeft w:val="0"/>
      <w:marRight w:val="0"/>
      <w:marTop w:val="0"/>
      <w:marBottom w:val="0"/>
      <w:divBdr>
        <w:top w:val="none" w:sz="0" w:space="0" w:color="auto"/>
        <w:left w:val="none" w:sz="0" w:space="0" w:color="auto"/>
        <w:bottom w:val="none" w:sz="0" w:space="0" w:color="auto"/>
        <w:right w:val="none" w:sz="0" w:space="0" w:color="auto"/>
      </w:divBdr>
    </w:div>
    <w:div w:id="809831914">
      <w:bodyDiv w:val="1"/>
      <w:marLeft w:val="0"/>
      <w:marRight w:val="0"/>
      <w:marTop w:val="0"/>
      <w:marBottom w:val="0"/>
      <w:divBdr>
        <w:top w:val="none" w:sz="0" w:space="0" w:color="auto"/>
        <w:left w:val="none" w:sz="0" w:space="0" w:color="auto"/>
        <w:bottom w:val="none" w:sz="0" w:space="0" w:color="auto"/>
        <w:right w:val="none" w:sz="0" w:space="0" w:color="auto"/>
      </w:divBdr>
    </w:div>
    <w:div w:id="811406624">
      <w:bodyDiv w:val="1"/>
      <w:marLeft w:val="0"/>
      <w:marRight w:val="0"/>
      <w:marTop w:val="0"/>
      <w:marBottom w:val="0"/>
      <w:divBdr>
        <w:top w:val="none" w:sz="0" w:space="0" w:color="auto"/>
        <w:left w:val="none" w:sz="0" w:space="0" w:color="auto"/>
        <w:bottom w:val="none" w:sz="0" w:space="0" w:color="auto"/>
        <w:right w:val="none" w:sz="0" w:space="0" w:color="auto"/>
      </w:divBdr>
      <w:divsChild>
        <w:div w:id="467435470">
          <w:marLeft w:val="600"/>
          <w:marRight w:val="0"/>
          <w:marTop w:val="0"/>
          <w:marBottom w:val="0"/>
          <w:divBdr>
            <w:top w:val="single" w:sz="24" w:space="0" w:color="001A58"/>
            <w:left w:val="single" w:sz="24" w:space="0" w:color="001A58"/>
            <w:bottom w:val="single" w:sz="24" w:space="0" w:color="001A58"/>
            <w:right w:val="single" w:sz="24" w:space="0" w:color="001A58"/>
          </w:divBdr>
          <w:divsChild>
            <w:div w:id="6771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225">
      <w:bodyDiv w:val="1"/>
      <w:marLeft w:val="0"/>
      <w:marRight w:val="0"/>
      <w:marTop w:val="0"/>
      <w:marBottom w:val="0"/>
      <w:divBdr>
        <w:top w:val="none" w:sz="0" w:space="0" w:color="auto"/>
        <w:left w:val="none" w:sz="0" w:space="0" w:color="auto"/>
        <w:bottom w:val="none" w:sz="0" w:space="0" w:color="auto"/>
        <w:right w:val="none" w:sz="0" w:space="0" w:color="auto"/>
      </w:divBdr>
      <w:divsChild>
        <w:div w:id="129829838">
          <w:marLeft w:val="0"/>
          <w:marRight w:val="0"/>
          <w:marTop w:val="0"/>
          <w:marBottom w:val="0"/>
          <w:divBdr>
            <w:top w:val="none" w:sz="0" w:space="0" w:color="auto"/>
            <w:left w:val="none" w:sz="0" w:space="0" w:color="auto"/>
            <w:bottom w:val="none" w:sz="0" w:space="0" w:color="auto"/>
            <w:right w:val="none" w:sz="0" w:space="0" w:color="auto"/>
          </w:divBdr>
        </w:div>
        <w:div w:id="148909429">
          <w:marLeft w:val="0"/>
          <w:marRight w:val="0"/>
          <w:marTop w:val="0"/>
          <w:marBottom w:val="0"/>
          <w:divBdr>
            <w:top w:val="none" w:sz="0" w:space="0" w:color="auto"/>
            <w:left w:val="none" w:sz="0" w:space="0" w:color="auto"/>
            <w:bottom w:val="none" w:sz="0" w:space="0" w:color="auto"/>
            <w:right w:val="none" w:sz="0" w:space="0" w:color="auto"/>
          </w:divBdr>
        </w:div>
        <w:div w:id="233122185">
          <w:marLeft w:val="0"/>
          <w:marRight w:val="0"/>
          <w:marTop w:val="0"/>
          <w:marBottom w:val="0"/>
          <w:divBdr>
            <w:top w:val="none" w:sz="0" w:space="0" w:color="auto"/>
            <w:left w:val="none" w:sz="0" w:space="0" w:color="auto"/>
            <w:bottom w:val="none" w:sz="0" w:space="0" w:color="auto"/>
            <w:right w:val="none" w:sz="0" w:space="0" w:color="auto"/>
          </w:divBdr>
        </w:div>
        <w:div w:id="240915121">
          <w:marLeft w:val="0"/>
          <w:marRight w:val="0"/>
          <w:marTop w:val="0"/>
          <w:marBottom w:val="0"/>
          <w:divBdr>
            <w:top w:val="none" w:sz="0" w:space="0" w:color="auto"/>
            <w:left w:val="none" w:sz="0" w:space="0" w:color="auto"/>
            <w:bottom w:val="none" w:sz="0" w:space="0" w:color="auto"/>
            <w:right w:val="none" w:sz="0" w:space="0" w:color="auto"/>
          </w:divBdr>
        </w:div>
        <w:div w:id="459421655">
          <w:marLeft w:val="0"/>
          <w:marRight w:val="0"/>
          <w:marTop w:val="0"/>
          <w:marBottom w:val="0"/>
          <w:divBdr>
            <w:top w:val="none" w:sz="0" w:space="0" w:color="auto"/>
            <w:left w:val="none" w:sz="0" w:space="0" w:color="auto"/>
            <w:bottom w:val="none" w:sz="0" w:space="0" w:color="auto"/>
            <w:right w:val="none" w:sz="0" w:space="0" w:color="auto"/>
          </w:divBdr>
        </w:div>
        <w:div w:id="575744675">
          <w:marLeft w:val="0"/>
          <w:marRight w:val="0"/>
          <w:marTop w:val="0"/>
          <w:marBottom w:val="0"/>
          <w:divBdr>
            <w:top w:val="none" w:sz="0" w:space="0" w:color="auto"/>
            <w:left w:val="none" w:sz="0" w:space="0" w:color="auto"/>
            <w:bottom w:val="none" w:sz="0" w:space="0" w:color="auto"/>
            <w:right w:val="none" w:sz="0" w:space="0" w:color="auto"/>
          </w:divBdr>
        </w:div>
        <w:div w:id="1076975055">
          <w:marLeft w:val="0"/>
          <w:marRight w:val="0"/>
          <w:marTop w:val="0"/>
          <w:marBottom w:val="0"/>
          <w:divBdr>
            <w:top w:val="none" w:sz="0" w:space="0" w:color="auto"/>
            <w:left w:val="none" w:sz="0" w:space="0" w:color="auto"/>
            <w:bottom w:val="none" w:sz="0" w:space="0" w:color="auto"/>
            <w:right w:val="none" w:sz="0" w:space="0" w:color="auto"/>
          </w:divBdr>
        </w:div>
        <w:div w:id="1099837113">
          <w:marLeft w:val="0"/>
          <w:marRight w:val="0"/>
          <w:marTop w:val="0"/>
          <w:marBottom w:val="0"/>
          <w:divBdr>
            <w:top w:val="none" w:sz="0" w:space="0" w:color="auto"/>
            <w:left w:val="none" w:sz="0" w:space="0" w:color="auto"/>
            <w:bottom w:val="none" w:sz="0" w:space="0" w:color="auto"/>
            <w:right w:val="none" w:sz="0" w:space="0" w:color="auto"/>
          </w:divBdr>
        </w:div>
        <w:div w:id="1128661967">
          <w:marLeft w:val="0"/>
          <w:marRight w:val="0"/>
          <w:marTop w:val="0"/>
          <w:marBottom w:val="0"/>
          <w:divBdr>
            <w:top w:val="none" w:sz="0" w:space="0" w:color="auto"/>
            <w:left w:val="none" w:sz="0" w:space="0" w:color="auto"/>
            <w:bottom w:val="none" w:sz="0" w:space="0" w:color="auto"/>
            <w:right w:val="none" w:sz="0" w:space="0" w:color="auto"/>
          </w:divBdr>
        </w:div>
        <w:div w:id="1395012354">
          <w:marLeft w:val="0"/>
          <w:marRight w:val="0"/>
          <w:marTop w:val="0"/>
          <w:marBottom w:val="0"/>
          <w:divBdr>
            <w:top w:val="none" w:sz="0" w:space="0" w:color="auto"/>
            <w:left w:val="none" w:sz="0" w:space="0" w:color="auto"/>
            <w:bottom w:val="none" w:sz="0" w:space="0" w:color="auto"/>
            <w:right w:val="none" w:sz="0" w:space="0" w:color="auto"/>
          </w:divBdr>
        </w:div>
        <w:div w:id="1625697582">
          <w:marLeft w:val="0"/>
          <w:marRight w:val="0"/>
          <w:marTop w:val="0"/>
          <w:marBottom w:val="0"/>
          <w:divBdr>
            <w:top w:val="none" w:sz="0" w:space="0" w:color="auto"/>
            <w:left w:val="none" w:sz="0" w:space="0" w:color="auto"/>
            <w:bottom w:val="none" w:sz="0" w:space="0" w:color="auto"/>
            <w:right w:val="none" w:sz="0" w:space="0" w:color="auto"/>
          </w:divBdr>
        </w:div>
        <w:div w:id="1921676982">
          <w:marLeft w:val="0"/>
          <w:marRight w:val="0"/>
          <w:marTop w:val="0"/>
          <w:marBottom w:val="0"/>
          <w:divBdr>
            <w:top w:val="none" w:sz="0" w:space="0" w:color="auto"/>
            <w:left w:val="none" w:sz="0" w:space="0" w:color="auto"/>
            <w:bottom w:val="none" w:sz="0" w:space="0" w:color="auto"/>
            <w:right w:val="none" w:sz="0" w:space="0" w:color="auto"/>
          </w:divBdr>
        </w:div>
        <w:div w:id="2067335667">
          <w:marLeft w:val="0"/>
          <w:marRight w:val="0"/>
          <w:marTop w:val="0"/>
          <w:marBottom w:val="0"/>
          <w:divBdr>
            <w:top w:val="none" w:sz="0" w:space="0" w:color="auto"/>
            <w:left w:val="none" w:sz="0" w:space="0" w:color="auto"/>
            <w:bottom w:val="none" w:sz="0" w:space="0" w:color="auto"/>
            <w:right w:val="none" w:sz="0" w:space="0" w:color="auto"/>
          </w:divBdr>
        </w:div>
      </w:divsChild>
    </w:div>
    <w:div w:id="816580193">
      <w:bodyDiv w:val="1"/>
      <w:marLeft w:val="0"/>
      <w:marRight w:val="0"/>
      <w:marTop w:val="0"/>
      <w:marBottom w:val="0"/>
      <w:divBdr>
        <w:top w:val="none" w:sz="0" w:space="0" w:color="auto"/>
        <w:left w:val="none" w:sz="0" w:space="0" w:color="auto"/>
        <w:bottom w:val="none" w:sz="0" w:space="0" w:color="auto"/>
        <w:right w:val="none" w:sz="0" w:space="0" w:color="auto"/>
      </w:divBdr>
    </w:div>
    <w:div w:id="868756245">
      <w:bodyDiv w:val="1"/>
      <w:marLeft w:val="0"/>
      <w:marRight w:val="0"/>
      <w:marTop w:val="0"/>
      <w:marBottom w:val="0"/>
      <w:divBdr>
        <w:top w:val="none" w:sz="0" w:space="0" w:color="auto"/>
        <w:left w:val="none" w:sz="0" w:space="0" w:color="auto"/>
        <w:bottom w:val="none" w:sz="0" w:space="0" w:color="auto"/>
        <w:right w:val="none" w:sz="0" w:space="0" w:color="auto"/>
      </w:divBdr>
      <w:divsChild>
        <w:div w:id="1496653744">
          <w:marLeft w:val="0"/>
          <w:marRight w:val="0"/>
          <w:marTop w:val="0"/>
          <w:marBottom w:val="0"/>
          <w:divBdr>
            <w:top w:val="none" w:sz="0" w:space="0" w:color="auto"/>
            <w:left w:val="none" w:sz="0" w:space="0" w:color="auto"/>
            <w:bottom w:val="none" w:sz="0" w:space="0" w:color="auto"/>
            <w:right w:val="none" w:sz="0" w:space="0" w:color="auto"/>
          </w:divBdr>
          <w:divsChild>
            <w:div w:id="491681649">
              <w:marLeft w:val="0"/>
              <w:marRight w:val="0"/>
              <w:marTop w:val="0"/>
              <w:marBottom w:val="0"/>
              <w:divBdr>
                <w:top w:val="none" w:sz="0" w:space="0" w:color="auto"/>
                <w:left w:val="none" w:sz="0" w:space="0" w:color="auto"/>
                <w:bottom w:val="none" w:sz="0" w:space="0" w:color="auto"/>
                <w:right w:val="none" w:sz="0" w:space="0" w:color="auto"/>
              </w:divBdr>
              <w:divsChild>
                <w:div w:id="1384519255">
                  <w:marLeft w:val="0"/>
                  <w:marRight w:val="0"/>
                  <w:marTop w:val="0"/>
                  <w:marBottom w:val="0"/>
                  <w:divBdr>
                    <w:top w:val="none" w:sz="0" w:space="0" w:color="auto"/>
                    <w:left w:val="none" w:sz="0" w:space="0" w:color="auto"/>
                    <w:bottom w:val="none" w:sz="0" w:space="0" w:color="auto"/>
                    <w:right w:val="none" w:sz="0" w:space="0" w:color="auto"/>
                  </w:divBdr>
                  <w:divsChild>
                    <w:div w:id="9913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5880">
          <w:marLeft w:val="0"/>
          <w:marRight w:val="0"/>
          <w:marTop w:val="0"/>
          <w:marBottom w:val="0"/>
          <w:divBdr>
            <w:top w:val="none" w:sz="0" w:space="0" w:color="auto"/>
            <w:left w:val="none" w:sz="0" w:space="0" w:color="auto"/>
            <w:bottom w:val="none" w:sz="0" w:space="0" w:color="auto"/>
            <w:right w:val="none" w:sz="0" w:space="0" w:color="auto"/>
          </w:divBdr>
          <w:divsChild>
            <w:div w:id="291981062">
              <w:marLeft w:val="0"/>
              <w:marRight w:val="0"/>
              <w:marTop w:val="0"/>
              <w:marBottom w:val="0"/>
              <w:divBdr>
                <w:top w:val="none" w:sz="0" w:space="0" w:color="auto"/>
                <w:left w:val="none" w:sz="0" w:space="0" w:color="auto"/>
                <w:bottom w:val="none" w:sz="0" w:space="0" w:color="auto"/>
                <w:right w:val="none" w:sz="0" w:space="0" w:color="auto"/>
              </w:divBdr>
              <w:divsChild>
                <w:div w:id="783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8722">
      <w:bodyDiv w:val="1"/>
      <w:marLeft w:val="0"/>
      <w:marRight w:val="0"/>
      <w:marTop w:val="0"/>
      <w:marBottom w:val="0"/>
      <w:divBdr>
        <w:top w:val="none" w:sz="0" w:space="0" w:color="auto"/>
        <w:left w:val="none" w:sz="0" w:space="0" w:color="auto"/>
        <w:bottom w:val="none" w:sz="0" w:space="0" w:color="auto"/>
        <w:right w:val="none" w:sz="0" w:space="0" w:color="auto"/>
      </w:divBdr>
    </w:div>
    <w:div w:id="881867918">
      <w:bodyDiv w:val="1"/>
      <w:marLeft w:val="0"/>
      <w:marRight w:val="0"/>
      <w:marTop w:val="0"/>
      <w:marBottom w:val="0"/>
      <w:divBdr>
        <w:top w:val="none" w:sz="0" w:space="0" w:color="auto"/>
        <w:left w:val="none" w:sz="0" w:space="0" w:color="auto"/>
        <w:bottom w:val="none" w:sz="0" w:space="0" w:color="auto"/>
        <w:right w:val="none" w:sz="0" w:space="0" w:color="auto"/>
      </w:divBdr>
    </w:div>
    <w:div w:id="909120462">
      <w:bodyDiv w:val="1"/>
      <w:marLeft w:val="0"/>
      <w:marRight w:val="0"/>
      <w:marTop w:val="0"/>
      <w:marBottom w:val="0"/>
      <w:divBdr>
        <w:top w:val="none" w:sz="0" w:space="0" w:color="auto"/>
        <w:left w:val="none" w:sz="0" w:space="0" w:color="auto"/>
        <w:bottom w:val="none" w:sz="0" w:space="0" w:color="auto"/>
        <w:right w:val="none" w:sz="0" w:space="0" w:color="auto"/>
      </w:divBdr>
    </w:div>
    <w:div w:id="915281276">
      <w:bodyDiv w:val="1"/>
      <w:marLeft w:val="0"/>
      <w:marRight w:val="0"/>
      <w:marTop w:val="0"/>
      <w:marBottom w:val="0"/>
      <w:divBdr>
        <w:top w:val="none" w:sz="0" w:space="0" w:color="auto"/>
        <w:left w:val="none" w:sz="0" w:space="0" w:color="auto"/>
        <w:bottom w:val="none" w:sz="0" w:space="0" w:color="auto"/>
        <w:right w:val="none" w:sz="0" w:space="0" w:color="auto"/>
      </w:divBdr>
    </w:div>
    <w:div w:id="922254602">
      <w:bodyDiv w:val="1"/>
      <w:marLeft w:val="0"/>
      <w:marRight w:val="0"/>
      <w:marTop w:val="0"/>
      <w:marBottom w:val="0"/>
      <w:divBdr>
        <w:top w:val="none" w:sz="0" w:space="0" w:color="auto"/>
        <w:left w:val="none" w:sz="0" w:space="0" w:color="auto"/>
        <w:bottom w:val="none" w:sz="0" w:space="0" w:color="auto"/>
        <w:right w:val="none" w:sz="0" w:space="0" w:color="auto"/>
      </w:divBdr>
    </w:div>
    <w:div w:id="922762551">
      <w:bodyDiv w:val="1"/>
      <w:marLeft w:val="0"/>
      <w:marRight w:val="0"/>
      <w:marTop w:val="0"/>
      <w:marBottom w:val="0"/>
      <w:divBdr>
        <w:top w:val="none" w:sz="0" w:space="0" w:color="auto"/>
        <w:left w:val="none" w:sz="0" w:space="0" w:color="auto"/>
        <w:bottom w:val="none" w:sz="0" w:space="0" w:color="auto"/>
        <w:right w:val="none" w:sz="0" w:space="0" w:color="auto"/>
      </w:divBdr>
    </w:div>
    <w:div w:id="922836733">
      <w:bodyDiv w:val="1"/>
      <w:marLeft w:val="0"/>
      <w:marRight w:val="0"/>
      <w:marTop w:val="0"/>
      <w:marBottom w:val="0"/>
      <w:divBdr>
        <w:top w:val="none" w:sz="0" w:space="0" w:color="auto"/>
        <w:left w:val="none" w:sz="0" w:space="0" w:color="auto"/>
        <w:bottom w:val="none" w:sz="0" w:space="0" w:color="auto"/>
        <w:right w:val="none" w:sz="0" w:space="0" w:color="auto"/>
      </w:divBdr>
    </w:div>
    <w:div w:id="924875700">
      <w:bodyDiv w:val="1"/>
      <w:marLeft w:val="0"/>
      <w:marRight w:val="0"/>
      <w:marTop w:val="0"/>
      <w:marBottom w:val="0"/>
      <w:divBdr>
        <w:top w:val="none" w:sz="0" w:space="0" w:color="auto"/>
        <w:left w:val="none" w:sz="0" w:space="0" w:color="auto"/>
        <w:bottom w:val="none" w:sz="0" w:space="0" w:color="auto"/>
        <w:right w:val="none" w:sz="0" w:space="0" w:color="auto"/>
      </w:divBdr>
    </w:div>
    <w:div w:id="932471230">
      <w:bodyDiv w:val="1"/>
      <w:marLeft w:val="0"/>
      <w:marRight w:val="0"/>
      <w:marTop w:val="0"/>
      <w:marBottom w:val="0"/>
      <w:divBdr>
        <w:top w:val="none" w:sz="0" w:space="0" w:color="auto"/>
        <w:left w:val="none" w:sz="0" w:space="0" w:color="auto"/>
        <w:bottom w:val="none" w:sz="0" w:space="0" w:color="auto"/>
        <w:right w:val="none" w:sz="0" w:space="0" w:color="auto"/>
      </w:divBdr>
    </w:div>
    <w:div w:id="939214223">
      <w:bodyDiv w:val="1"/>
      <w:marLeft w:val="0"/>
      <w:marRight w:val="0"/>
      <w:marTop w:val="0"/>
      <w:marBottom w:val="0"/>
      <w:divBdr>
        <w:top w:val="none" w:sz="0" w:space="0" w:color="auto"/>
        <w:left w:val="none" w:sz="0" w:space="0" w:color="auto"/>
        <w:bottom w:val="none" w:sz="0" w:space="0" w:color="auto"/>
        <w:right w:val="none" w:sz="0" w:space="0" w:color="auto"/>
      </w:divBdr>
    </w:div>
    <w:div w:id="942689709">
      <w:bodyDiv w:val="1"/>
      <w:marLeft w:val="0"/>
      <w:marRight w:val="0"/>
      <w:marTop w:val="0"/>
      <w:marBottom w:val="0"/>
      <w:divBdr>
        <w:top w:val="none" w:sz="0" w:space="0" w:color="auto"/>
        <w:left w:val="none" w:sz="0" w:space="0" w:color="auto"/>
        <w:bottom w:val="none" w:sz="0" w:space="0" w:color="auto"/>
        <w:right w:val="none" w:sz="0" w:space="0" w:color="auto"/>
      </w:divBdr>
    </w:div>
    <w:div w:id="946278326">
      <w:bodyDiv w:val="1"/>
      <w:marLeft w:val="0"/>
      <w:marRight w:val="0"/>
      <w:marTop w:val="0"/>
      <w:marBottom w:val="0"/>
      <w:divBdr>
        <w:top w:val="none" w:sz="0" w:space="0" w:color="auto"/>
        <w:left w:val="none" w:sz="0" w:space="0" w:color="auto"/>
        <w:bottom w:val="none" w:sz="0" w:space="0" w:color="auto"/>
        <w:right w:val="none" w:sz="0" w:space="0" w:color="auto"/>
      </w:divBdr>
    </w:div>
    <w:div w:id="956641630">
      <w:bodyDiv w:val="1"/>
      <w:marLeft w:val="0"/>
      <w:marRight w:val="0"/>
      <w:marTop w:val="0"/>
      <w:marBottom w:val="0"/>
      <w:divBdr>
        <w:top w:val="none" w:sz="0" w:space="0" w:color="auto"/>
        <w:left w:val="none" w:sz="0" w:space="0" w:color="auto"/>
        <w:bottom w:val="none" w:sz="0" w:space="0" w:color="auto"/>
        <w:right w:val="none" w:sz="0" w:space="0" w:color="auto"/>
      </w:divBdr>
    </w:div>
    <w:div w:id="965280882">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545541">
      <w:bodyDiv w:val="1"/>
      <w:marLeft w:val="0"/>
      <w:marRight w:val="0"/>
      <w:marTop w:val="0"/>
      <w:marBottom w:val="0"/>
      <w:divBdr>
        <w:top w:val="none" w:sz="0" w:space="0" w:color="auto"/>
        <w:left w:val="none" w:sz="0" w:space="0" w:color="auto"/>
        <w:bottom w:val="none" w:sz="0" w:space="0" w:color="auto"/>
        <w:right w:val="none" w:sz="0" w:space="0" w:color="auto"/>
      </w:divBdr>
    </w:div>
    <w:div w:id="998267226">
      <w:bodyDiv w:val="1"/>
      <w:marLeft w:val="0"/>
      <w:marRight w:val="0"/>
      <w:marTop w:val="0"/>
      <w:marBottom w:val="0"/>
      <w:divBdr>
        <w:top w:val="none" w:sz="0" w:space="0" w:color="auto"/>
        <w:left w:val="none" w:sz="0" w:space="0" w:color="auto"/>
        <w:bottom w:val="none" w:sz="0" w:space="0" w:color="auto"/>
        <w:right w:val="none" w:sz="0" w:space="0" w:color="auto"/>
      </w:divBdr>
    </w:div>
    <w:div w:id="1000305545">
      <w:bodyDiv w:val="1"/>
      <w:marLeft w:val="0"/>
      <w:marRight w:val="0"/>
      <w:marTop w:val="0"/>
      <w:marBottom w:val="0"/>
      <w:divBdr>
        <w:top w:val="none" w:sz="0" w:space="0" w:color="auto"/>
        <w:left w:val="none" w:sz="0" w:space="0" w:color="auto"/>
        <w:bottom w:val="none" w:sz="0" w:space="0" w:color="auto"/>
        <w:right w:val="none" w:sz="0" w:space="0" w:color="auto"/>
      </w:divBdr>
      <w:divsChild>
        <w:div w:id="1341856384">
          <w:marLeft w:val="0"/>
          <w:marRight w:val="0"/>
          <w:marTop w:val="0"/>
          <w:marBottom w:val="1125"/>
          <w:divBdr>
            <w:top w:val="none" w:sz="0" w:space="0" w:color="auto"/>
            <w:left w:val="none" w:sz="0" w:space="0" w:color="auto"/>
            <w:bottom w:val="none" w:sz="0" w:space="0" w:color="auto"/>
            <w:right w:val="none" w:sz="0" w:space="0" w:color="auto"/>
          </w:divBdr>
        </w:div>
      </w:divsChild>
    </w:div>
    <w:div w:id="1001473135">
      <w:bodyDiv w:val="1"/>
      <w:marLeft w:val="0"/>
      <w:marRight w:val="0"/>
      <w:marTop w:val="0"/>
      <w:marBottom w:val="0"/>
      <w:divBdr>
        <w:top w:val="none" w:sz="0" w:space="0" w:color="auto"/>
        <w:left w:val="none" w:sz="0" w:space="0" w:color="auto"/>
        <w:bottom w:val="none" w:sz="0" w:space="0" w:color="auto"/>
        <w:right w:val="none" w:sz="0" w:space="0" w:color="auto"/>
      </w:divBdr>
    </w:div>
    <w:div w:id="1003435474">
      <w:bodyDiv w:val="1"/>
      <w:marLeft w:val="0"/>
      <w:marRight w:val="0"/>
      <w:marTop w:val="0"/>
      <w:marBottom w:val="0"/>
      <w:divBdr>
        <w:top w:val="none" w:sz="0" w:space="0" w:color="auto"/>
        <w:left w:val="none" w:sz="0" w:space="0" w:color="auto"/>
        <w:bottom w:val="none" w:sz="0" w:space="0" w:color="auto"/>
        <w:right w:val="none" w:sz="0" w:space="0" w:color="auto"/>
      </w:divBdr>
    </w:div>
    <w:div w:id="1011374632">
      <w:bodyDiv w:val="1"/>
      <w:marLeft w:val="0"/>
      <w:marRight w:val="0"/>
      <w:marTop w:val="0"/>
      <w:marBottom w:val="0"/>
      <w:divBdr>
        <w:top w:val="none" w:sz="0" w:space="0" w:color="auto"/>
        <w:left w:val="none" w:sz="0" w:space="0" w:color="auto"/>
        <w:bottom w:val="none" w:sz="0" w:space="0" w:color="auto"/>
        <w:right w:val="none" w:sz="0" w:space="0" w:color="auto"/>
      </w:divBdr>
    </w:div>
    <w:div w:id="1020863588">
      <w:bodyDiv w:val="1"/>
      <w:marLeft w:val="0"/>
      <w:marRight w:val="0"/>
      <w:marTop w:val="0"/>
      <w:marBottom w:val="0"/>
      <w:divBdr>
        <w:top w:val="none" w:sz="0" w:space="0" w:color="auto"/>
        <w:left w:val="none" w:sz="0" w:space="0" w:color="auto"/>
        <w:bottom w:val="none" w:sz="0" w:space="0" w:color="auto"/>
        <w:right w:val="none" w:sz="0" w:space="0" w:color="auto"/>
      </w:divBdr>
    </w:div>
    <w:div w:id="1028874770">
      <w:bodyDiv w:val="1"/>
      <w:marLeft w:val="0"/>
      <w:marRight w:val="0"/>
      <w:marTop w:val="0"/>
      <w:marBottom w:val="0"/>
      <w:divBdr>
        <w:top w:val="none" w:sz="0" w:space="0" w:color="auto"/>
        <w:left w:val="none" w:sz="0" w:space="0" w:color="auto"/>
        <w:bottom w:val="none" w:sz="0" w:space="0" w:color="auto"/>
        <w:right w:val="none" w:sz="0" w:space="0" w:color="auto"/>
      </w:divBdr>
    </w:div>
    <w:div w:id="1038042696">
      <w:bodyDiv w:val="1"/>
      <w:marLeft w:val="0"/>
      <w:marRight w:val="0"/>
      <w:marTop w:val="0"/>
      <w:marBottom w:val="0"/>
      <w:divBdr>
        <w:top w:val="none" w:sz="0" w:space="0" w:color="auto"/>
        <w:left w:val="none" w:sz="0" w:space="0" w:color="auto"/>
        <w:bottom w:val="none" w:sz="0" w:space="0" w:color="auto"/>
        <w:right w:val="none" w:sz="0" w:space="0" w:color="auto"/>
      </w:divBdr>
    </w:div>
    <w:div w:id="1050883953">
      <w:bodyDiv w:val="1"/>
      <w:marLeft w:val="0"/>
      <w:marRight w:val="0"/>
      <w:marTop w:val="0"/>
      <w:marBottom w:val="0"/>
      <w:divBdr>
        <w:top w:val="none" w:sz="0" w:space="0" w:color="auto"/>
        <w:left w:val="none" w:sz="0" w:space="0" w:color="auto"/>
        <w:bottom w:val="none" w:sz="0" w:space="0" w:color="auto"/>
        <w:right w:val="none" w:sz="0" w:space="0" w:color="auto"/>
      </w:divBdr>
    </w:div>
    <w:div w:id="1064257361">
      <w:bodyDiv w:val="1"/>
      <w:marLeft w:val="0"/>
      <w:marRight w:val="0"/>
      <w:marTop w:val="0"/>
      <w:marBottom w:val="0"/>
      <w:divBdr>
        <w:top w:val="none" w:sz="0" w:space="0" w:color="auto"/>
        <w:left w:val="none" w:sz="0" w:space="0" w:color="auto"/>
        <w:bottom w:val="none" w:sz="0" w:space="0" w:color="auto"/>
        <w:right w:val="none" w:sz="0" w:space="0" w:color="auto"/>
      </w:divBdr>
    </w:div>
    <w:div w:id="1066104335">
      <w:bodyDiv w:val="1"/>
      <w:marLeft w:val="0"/>
      <w:marRight w:val="0"/>
      <w:marTop w:val="0"/>
      <w:marBottom w:val="0"/>
      <w:divBdr>
        <w:top w:val="none" w:sz="0" w:space="0" w:color="auto"/>
        <w:left w:val="none" w:sz="0" w:space="0" w:color="auto"/>
        <w:bottom w:val="none" w:sz="0" w:space="0" w:color="auto"/>
        <w:right w:val="none" w:sz="0" w:space="0" w:color="auto"/>
      </w:divBdr>
    </w:div>
    <w:div w:id="1076826476">
      <w:bodyDiv w:val="1"/>
      <w:marLeft w:val="0"/>
      <w:marRight w:val="0"/>
      <w:marTop w:val="0"/>
      <w:marBottom w:val="0"/>
      <w:divBdr>
        <w:top w:val="none" w:sz="0" w:space="0" w:color="auto"/>
        <w:left w:val="none" w:sz="0" w:space="0" w:color="auto"/>
        <w:bottom w:val="none" w:sz="0" w:space="0" w:color="auto"/>
        <w:right w:val="none" w:sz="0" w:space="0" w:color="auto"/>
      </w:divBdr>
    </w:div>
    <w:div w:id="1082290410">
      <w:bodyDiv w:val="1"/>
      <w:marLeft w:val="0"/>
      <w:marRight w:val="0"/>
      <w:marTop w:val="0"/>
      <w:marBottom w:val="0"/>
      <w:divBdr>
        <w:top w:val="none" w:sz="0" w:space="0" w:color="auto"/>
        <w:left w:val="none" w:sz="0" w:space="0" w:color="auto"/>
        <w:bottom w:val="none" w:sz="0" w:space="0" w:color="auto"/>
        <w:right w:val="none" w:sz="0" w:space="0" w:color="auto"/>
      </w:divBdr>
      <w:divsChild>
        <w:div w:id="688264128">
          <w:marLeft w:val="0"/>
          <w:marRight w:val="0"/>
          <w:marTop w:val="0"/>
          <w:marBottom w:val="0"/>
          <w:divBdr>
            <w:top w:val="none" w:sz="0" w:space="0" w:color="auto"/>
            <w:left w:val="none" w:sz="0" w:space="0" w:color="auto"/>
            <w:bottom w:val="none" w:sz="0" w:space="0" w:color="auto"/>
            <w:right w:val="none" w:sz="0" w:space="0" w:color="auto"/>
          </w:divBdr>
          <w:divsChild>
            <w:div w:id="225261169">
              <w:marLeft w:val="0"/>
              <w:marRight w:val="0"/>
              <w:marTop w:val="0"/>
              <w:marBottom w:val="0"/>
              <w:divBdr>
                <w:top w:val="none" w:sz="0" w:space="0" w:color="auto"/>
                <w:left w:val="none" w:sz="0" w:space="0" w:color="auto"/>
                <w:bottom w:val="none" w:sz="0" w:space="0" w:color="auto"/>
                <w:right w:val="none" w:sz="0" w:space="0" w:color="auto"/>
              </w:divBdr>
              <w:divsChild>
                <w:div w:id="1054045092">
                  <w:marLeft w:val="0"/>
                  <w:marRight w:val="0"/>
                  <w:marTop w:val="0"/>
                  <w:marBottom w:val="0"/>
                  <w:divBdr>
                    <w:top w:val="none" w:sz="0" w:space="0" w:color="auto"/>
                    <w:left w:val="none" w:sz="0" w:space="0" w:color="auto"/>
                    <w:bottom w:val="none" w:sz="0" w:space="0" w:color="auto"/>
                    <w:right w:val="none" w:sz="0" w:space="0" w:color="auto"/>
                  </w:divBdr>
                  <w:divsChild>
                    <w:div w:id="1957366836">
                      <w:marLeft w:val="0"/>
                      <w:marRight w:val="0"/>
                      <w:marTop w:val="0"/>
                      <w:marBottom w:val="0"/>
                      <w:divBdr>
                        <w:top w:val="none" w:sz="0" w:space="0" w:color="auto"/>
                        <w:left w:val="none" w:sz="0" w:space="0" w:color="auto"/>
                        <w:bottom w:val="none" w:sz="0" w:space="0" w:color="auto"/>
                        <w:right w:val="none" w:sz="0" w:space="0" w:color="auto"/>
                      </w:divBdr>
                      <w:divsChild>
                        <w:div w:id="604659330">
                          <w:marLeft w:val="0"/>
                          <w:marRight w:val="0"/>
                          <w:marTop w:val="0"/>
                          <w:marBottom w:val="0"/>
                          <w:divBdr>
                            <w:top w:val="none" w:sz="0" w:space="0" w:color="auto"/>
                            <w:left w:val="none" w:sz="0" w:space="0" w:color="auto"/>
                            <w:bottom w:val="none" w:sz="0" w:space="0" w:color="auto"/>
                            <w:right w:val="none" w:sz="0" w:space="0" w:color="auto"/>
                          </w:divBdr>
                        </w:div>
                        <w:div w:id="869143652">
                          <w:marLeft w:val="0"/>
                          <w:marRight w:val="0"/>
                          <w:marTop w:val="0"/>
                          <w:marBottom w:val="0"/>
                          <w:divBdr>
                            <w:top w:val="none" w:sz="0" w:space="0" w:color="auto"/>
                            <w:left w:val="none" w:sz="0" w:space="0" w:color="auto"/>
                            <w:bottom w:val="none" w:sz="0" w:space="0" w:color="auto"/>
                            <w:right w:val="none" w:sz="0" w:space="0" w:color="auto"/>
                          </w:divBdr>
                        </w:div>
                        <w:div w:id="1159274176">
                          <w:marLeft w:val="0"/>
                          <w:marRight w:val="0"/>
                          <w:marTop w:val="0"/>
                          <w:marBottom w:val="0"/>
                          <w:divBdr>
                            <w:top w:val="none" w:sz="0" w:space="0" w:color="auto"/>
                            <w:left w:val="none" w:sz="0" w:space="0" w:color="auto"/>
                            <w:bottom w:val="none" w:sz="0" w:space="0" w:color="auto"/>
                            <w:right w:val="none" w:sz="0" w:space="0" w:color="auto"/>
                          </w:divBdr>
                        </w:div>
                        <w:div w:id="12636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6078">
          <w:marLeft w:val="0"/>
          <w:marRight w:val="0"/>
          <w:marTop w:val="0"/>
          <w:marBottom w:val="0"/>
          <w:divBdr>
            <w:top w:val="none" w:sz="0" w:space="0" w:color="auto"/>
            <w:left w:val="none" w:sz="0" w:space="0" w:color="auto"/>
            <w:bottom w:val="none" w:sz="0" w:space="0" w:color="auto"/>
            <w:right w:val="none" w:sz="0" w:space="0" w:color="auto"/>
          </w:divBdr>
          <w:divsChild>
            <w:div w:id="836383139">
              <w:marLeft w:val="0"/>
              <w:marRight w:val="0"/>
              <w:marTop w:val="0"/>
              <w:marBottom w:val="0"/>
              <w:divBdr>
                <w:top w:val="none" w:sz="0" w:space="0" w:color="auto"/>
                <w:left w:val="none" w:sz="0" w:space="0" w:color="auto"/>
                <w:bottom w:val="none" w:sz="0" w:space="0" w:color="auto"/>
                <w:right w:val="none" w:sz="0" w:space="0" w:color="auto"/>
              </w:divBdr>
              <w:divsChild>
                <w:div w:id="12721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9826">
      <w:bodyDiv w:val="1"/>
      <w:marLeft w:val="0"/>
      <w:marRight w:val="0"/>
      <w:marTop w:val="0"/>
      <w:marBottom w:val="0"/>
      <w:divBdr>
        <w:top w:val="none" w:sz="0" w:space="0" w:color="auto"/>
        <w:left w:val="none" w:sz="0" w:space="0" w:color="auto"/>
        <w:bottom w:val="none" w:sz="0" w:space="0" w:color="auto"/>
        <w:right w:val="none" w:sz="0" w:space="0" w:color="auto"/>
      </w:divBdr>
    </w:div>
    <w:div w:id="1084956248">
      <w:bodyDiv w:val="1"/>
      <w:marLeft w:val="0"/>
      <w:marRight w:val="0"/>
      <w:marTop w:val="0"/>
      <w:marBottom w:val="0"/>
      <w:divBdr>
        <w:top w:val="none" w:sz="0" w:space="0" w:color="auto"/>
        <w:left w:val="none" w:sz="0" w:space="0" w:color="auto"/>
        <w:bottom w:val="none" w:sz="0" w:space="0" w:color="auto"/>
        <w:right w:val="none" w:sz="0" w:space="0" w:color="auto"/>
      </w:divBdr>
    </w:div>
    <w:div w:id="1087967856">
      <w:bodyDiv w:val="1"/>
      <w:marLeft w:val="0"/>
      <w:marRight w:val="0"/>
      <w:marTop w:val="0"/>
      <w:marBottom w:val="0"/>
      <w:divBdr>
        <w:top w:val="none" w:sz="0" w:space="0" w:color="auto"/>
        <w:left w:val="none" w:sz="0" w:space="0" w:color="auto"/>
        <w:bottom w:val="none" w:sz="0" w:space="0" w:color="auto"/>
        <w:right w:val="none" w:sz="0" w:space="0" w:color="auto"/>
      </w:divBdr>
    </w:div>
    <w:div w:id="1117913247">
      <w:bodyDiv w:val="1"/>
      <w:marLeft w:val="0"/>
      <w:marRight w:val="0"/>
      <w:marTop w:val="0"/>
      <w:marBottom w:val="0"/>
      <w:divBdr>
        <w:top w:val="none" w:sz="0" w:space="0" w:color="auto"/>
        <w:left w:val="none" w:sz="0" w:space="0" w:color="auto"/>
        <w:bottom w:val="none" w:sz="0" w:space="0" w:color="auto"/>
        <w:right w:val="none" w:sz="0" w:space="0" w:color="auto"/>
      </w:divBdr>
    </w:div>
    <w:div w:id="1123882822">
      <w:bodyDiv w:val="1"/>
      <w:marLeft w:val="0"/>
      <w:marRight w:val="0"/>
      <w:marTop w:val="0"/>
      <w:marBottom w:val="0"/>
      <w:divBdr>
        <w:top w:val="none" w:sz="0" w:space="0" w:color="auto"/>
        <w:left w:val="none" w:sz="0" w:space="0" w:color="auto"/>
        <w:bottom w:val="none" w:sz="0" w:space="0" w:color="auto"/>
        <w:right w:val="none" w:sz="0" w:space="0" w:color="auto"/>
      </w:divBdr>
    </w:div>
    <w:div w:id="1126236609">
      <w:bodyDiv w:val="1"/>
      <w:marLeft w:val="0"/>
      <w:marRight w:val="0"/>
      <w:marTop w:val="0"/>
      <w:marBottom w:val="0"/>
      <w:divBdr>
        <w:top w:val="none" w:sz="0" w:space="0" w:color="auto"/>
        <w:left w:val="none" w:sz="0" w:space="0" w:color="auto"/>
        <w:bottom w:val="none" w:sz="0" w:space="0" w:color="auto"/>
        <w:right w:val="none" w:sz="0" w:space="0" w:color="auto"/>
      </w:divBdr>
    </w:div>
    <w:div w:id="1129470282">
      <w:bodyDiv w:val="1"/>
      <w:marLeft w:val="0"/>
      <w:marRight w:val="0"/>
      <w:marTop w:val="0"/>
      <w:marBottom w:val="0"/>
      <w:divBdr>
        <w:top w:val="none" w:sz="0" w:space="0" w:color="auto"/>
        <w:left w:val="none" w:sz="0" w:space="0" w:color="auto"/>
        <w:bottom w:val="none" w:sz="0" w:space="0" w:color="auto"/>
        <w:right w:val="none" w:sz="0" w:space="0" w:color="auto"/>
      </w:divBdr>
    </w:div>
    <w:div w:id="1139568235">
      <w:bodyDiv w:val="1"/>
      <w:marLeft w:val="0"/>
      <w:marRight w:val="0"/>
      <w:marTop w:val="0"/>
      <w:marBottom w:val="0"/>
      <w:divBdr>
        <w:top w:val="none" w:sz="0" w:space="0" w:color="auto"/>
        <w:left w:val="none" w:sz="0" w:space="0" w:color="auto"/>
        <w:bottom w:val="none" w:sz="0" w:space="0" w:color="auto"/>
        <w:right w:val="none" w:sz="0" w:space="0" w:color="auto"/>
      </w:divBdr>
    </w:div>
    <w:div w:id="1153446155">
      <w:bodyDiv w:val="1"/>
      <w:marLeft w:val="0"/>
      <w:marRight w:val="0"/>
      <w:marTop w:val="0"/>
      <w:marBottom w:val="0"/>
      <w:divBdr>
        <w:top w:val="none" w:sz="0" w:space="0" w:color="auto"/>
        <w:left w:val="none" w:sz="0" w:space="0" w:color="auto"/>
        <w:bottom w:val="none" w:sz="0" w:space="0" w:color="auto"/>
        <w:right w:val="none" w:sz="0" w:space="0" w:color="auto"/>
      </w:divBdr>
    </w:div>
    <w:div w:id="1156339964">
      <w:bodyDiv w:val="1"/>
      <w:marLeft w:val="0"/>
      <w:marRight w:val="0"/>
      <w:marTop w:val="0"/>
      <w:marBottom w:val="0"/>
      <w:divBdr>
        <w:top w:val="none" w:sz="0" w:space="0" w:color="auto"/>
        <w:left w:val="none" w:sz="0" w:space="0" w:color="auto"/>
        <w:bottom w:val="none" w:sz="0" w:space="0" w:color="auto"/>
        <w:right w:val="none" w:sz="0" w:space="0" w:color="auto"/>
      </w:divBdr>
    </w:div>
    <w:div w:id="1157109136">
      <w:bodyDiv w:val="1"/>
      <w:marLeft w:val="0"/>
      <w:marRight w:val="0"/>
      <w:marTop w:val="0"/>
      <w:marBottom w:val="0"/>
      <w:divBdr>
        <w:top w:val="none" w:sz="0" w:space="0" w:color="auto"/>
        <w:left w:val="none" w:sz="0" w:space="0" w:color="auto"/>
        <w:bottom w:val="none" w:sz="0" w:space="0" w:color="auto"/>
        <w:right w:val="none" w:sz="0" w:space="0" w:color="auto"/>
      </w:divBdr>
    </w:div>
    <w:div w:id="1219584101">
      <w:bodyDiv w:val="1"/>
      <w:marLeft w:val="0"/>
      <w:marRight w:val="0"/>
      <w:marTop w:val="0"/>
      <w:marBottom w:val="0"/>
      <w:divBdr>
        <w:top w:val="none" w:sz="0" w:space="0" w:color="auto"/>
        <w:left w:val="none" w:sz="0" w:space="0" w:color="auto"/>
        <w:bottom w:val="none" w:sz="0" w:space="0" w:color="auto"/>
        <w:right w:val="none" w:sz="0" w:space="0" w:color="auto"/>
      </w:divBdr>
    </w:div>
    <w:div w:id="1219903055">
      <w:bodyDiv w:val="1"/>
      <w:marLeft w:val="0"/>
      <w:marRight w:val="0"/>
      <w:marTop w:val="0"/>
      <w:marBottom w:val="0"/>
      <w:divBdr>
        <w:top w:val="none" w:sz="0" w:space="0" w:color="auto"/>
        <w:left w:val="none" w:sz="0" w:space="0" w:color="auto"/>
        <w:bottom w:val="none" w:sz="0" w:space="0" w:color="auto"/>
        <w:right w:val="none" w:sz="0" w:space="0" w:color="auto"/>
      </w:divBdr>
      <w:divsChild>
        <w:div w:id="447898436">
          <w:marLeft w:val="0"/>
          <w:marRight w:val="0"/>
          <w:marTop w:val="0"/>
          <w:marBottom w:val="0"/>
          <w:divBdr>
            <w:top w:val="none" w:sz="0" w:space="0" w:color="auto"/>
            <w:left w:val="none" w:sz="0" w:space="0" w:color="auto"/>
            <w:bottom w:val="none" w:sz="0" w:space="0" w:color="auto"/>
            <w:right w:val="none" w:sz="0" w:space="0" w:color="auto"/>
          </w:divBdr>
        </w:div>
      </w:divsChild>
    </w:div>
    <w:div w:id="1220633648">
      <w:bodyDiv w:val="1"/>
      <w:marLeft w:val="0"/>
      <w:marRight w:val="0"/>
      <w:marTop w:val="0"/>
      <w:marBottom w:val="0"/>
      <w:divBdr>
        <w:top w:val="none" w:sz="0" w:space="0" w:color="auto"/>
        <w:left w:val="none" w:sz="0" w:space="0" w:color="auto"/>
        <w:bottom w:val="none" w:sz="0" w:space="0" w:color="auto"/>
        <w:right w:val="none" w:sz="0" w:space="0" w:color="auto"/>
      </w:divBdr>
    </w:div>
    <w:div w:id="1246383345">
      <w:bodyDiv w:val="1"/>
      <w:marLeft w:val="0"/>
      <w:marRight w:val="0"/>
      <w:marTop w:val="0"/>
      <w:marBottom w:val="0"/>
      <w:divBdr>
        <w:top w:val="none" w:sz="0" w:space="0" w:color="auto"/>
        <w:left w:val="none" w:sz="0" w:space="0" w:color="auto"/>
        <w:bottom w:val="none" w:sz="0" w:space="0" w:color="auto"/>
        <w:right w:val="none" w:sz="0" w:space="0" w:color="auto"/>
      </w:divBdr>
    </w:div>
    <w:div w:id="1248997453">
      <w:bodyDiv w:val="1"/>
      <w:marLeft w:val="0"/>
      <w:marRight w:val="0"/>
      <w:marTop w:val="0"/>
      <w:marBottom w:val="0"/>
      <w:divBdr>
        <w:top w:val="none" w:sz="0" w:space="0" w:color="auto"/>
        <w:left w:val="none" w:sz="0" w:space="0" w:color="auto"/>
        <w:bottom w:val="none" w:sz="0" w:space="0" w:color="auto"/>
        <w:right w:val="none" w:sz="0" w:space="0" w:color="auto"/>
      </w:divBdr>
    </w:div>
    <w:div w:id="1260482300">
      <w:bodyDiv w:val="1"/>
      <w:marLeft w:val="0"/>
      <w:marRight w:val="0"/>
      <w:marTop w:val="0"/>
      <w:marBottom w:val="0"/>
      <w:divBdr>
        <w:top w:val="none" w:sz="0" w:space="0" w:color="auto"/>
        <w:left w:val="none" w:sz="0" w:space="0" w:color="auto"/>
        <w:bottom w:val="none" w:sz="0" w:space="0" w:color="auto"/>
        <w:right w:val="none" w:sz="0" w:space="0" w:color="auto"/>
      </w:divBdr>
    </w:div>
    <w:div w:id="1270284706">
      <w:bodyDiv w:val="1"/>
      <w:marLeft w:val="0"/>
      <w:marRight w:val="0"/>
      <w:marTop w:val="0"/>
      <w:marBottom w:val="0"/>
      <w:divBdr>
        <w:top w:val="none" w:sz="0" w:space="0" w:color="auto"/>
        <w:left w:val="none" w:sz="0" w:space="0" w:color="auto"/>
        <w:bottom w:val="none" w:sz="0" w:space="0" w:color="auto"/>
        <w:right w:val="none" w:sz="0" w:space="0" w:color="auto"/>
      </w:divBdr>
    </w:div>
    <w:div w:id="1278482791">
      <w:bodyDiv w:val="1"/>
      <w:marLeft w:val="0"/>
      <w:marRight w:val="0"/>
      <w:marTop w:val="0"/>
      <w:marBottom w:val="0"/>
      <w:divBdr>
        <w:top w:val="none" w:sz="0" w:space="0" w:color="auto"/>
        <w:left w:val="none" w:sz="0" w:space="0" w:color="auto"/>
        <w:bottom w:val="none" w:sz="0" w:space="0" w:color="auto"/>
        <w:right w:val="none" w:sz="0" w:space="0" w:color="auto"/>
      </w:divBdr>
    </w:div>
    <w:div w:id="1283995450">
      <w:bodyDiv w:val="1"/>
      <w:marLeft w:val="0"/>
      <w:marRight w:val="0"/>
      <w:marTop w:val="0"/>
      <w:marBottom w:val="0"/>
      <w:divBdr>
        <w:top w:val="none" w:sz="0" w:space="0" w:color="auto"/>
        <w:left w:val="none" w:sz="0" w:space="0" w:color="auto"/>
        <w:bottom w:val="none" w:sz="0" w:space="0" w:color="auto"/>
        <w:right w:val="none" w:sz="0" w:space="0" w:color="auto"/>
      </w:divBdr>
    </w:div>
    <w:div w:id="1288512145">
      <w:bodyDiv w:val="1"/>
      <w:marLeft w:val="0"/>
      <w:marRight w:val="0"/>
      <w:marTop w:val="0"/>
      <w:marBottom w:val="0"/>
      <w:divBdr>
        <w:top w:val="none" w:sz="0" w:space="0" w:color="auto"/>
        <w:left w:val="none" w:sz="0" w:space="0" w:color="auto"/>
        <w:bottom w:val="none" w:sz="0" w:space="0" w:color="auto"/>
        <w:right w:val="none" w:sz="0" w:space="0" w:color="auto"/>
      </w:divBdr>
    </w:div>
    <w:div w:id="1293748408">
      <w:bodyDiv w:val="1"/>
      <w:marLeft w:val="0"/>
      <w:marRight w:val="0"/>
      <w:marTop w:val="0"/>
      <w:marBottom w:val="0"/>
      <w:divBdr>
        <w:top w:val="none" w:sz="0" w:space="0" w:color="auto"/>
        <w:left w:val="none" w:sz="0" w:space="0" w:color="auto"/>
        <w:bottom w:val="none" w:sz="0" w:space="0" w:color="auto"/>
        <w:right w:val="none" w:sz="0" w:space="0" w:color="auto"/>
      </w:divBdr>
    </w:div>
    <w:div w:id="1301686071">
      <w:bodyDiv w:val="1"/>
      <w:marLeft w:val="0"/>
      <w:marRight w:val="0"/>
      <w:marTop w:val="0"/>
      <w:marBottom w:val="0"/>
      <w:divBdr>
        <w:top w:val="none" w:sz="0" w:space="0" w:color="auto"/>
        <w:left w:val="none" w:sz="0" w:space="0" w:color="auto"/>
        <w:bottom w:val="none" w:sz="0" w:space="0" w:color="auto"/>
        <w:right w:val="none" w:sz="0" w:space="0" w:color="auto"/>
      </w:divBdr>
    </w:div>
    <w:div w:id="1310087870">
      <w:bodyDiv w:val="1"/>
      <w:marLeft w:val="0"/>
      <w:marRight w:val="0"/>
      <w:marTop w:val="0"/>
      <w:marBottom w:val="0"/>
      <w:divBdr>
        <w:top w:val="none" w:sz="0" w:space="0" w:color="auto"/>
        <w:left w:val="none" w:sz="0" w:space="0" w:color="auto"/>
        <w:bottom w:val="none" w:sz="0" w:space="0" w:color="auto"/>
        <w:right w:val="none" w:sz="0" w:space="0" w:color="auto"/>
      </w:divBdr>
    </w:div>
    <w:div w:id="1313750296">
      <w:bodyDiv w:val="1"/>
      <w:marLeft w:val="0"/>
      <w:marRight w:val="0"/>
      <w:marTop w:val="0"/>
      <w:marBottom w:val="0"/>
      <w:divBdr>
        <w:top w:val="none" w:sz="0" w:space="0" w:color="auto"/>
        <w:left w:val="none" w:sz="0" w:space="0" w:color="auto"/>
        <w:bottom w:val="none" w:sz="0" w:space="0" w:color="auto"/>
        <w:right w:val="none" w:sz="0" w:space="0" w:color="auto"/>
      </w:divBdr>
    </w:div>
    <w:div w:id="1321421853">
      <w:bodyDiv w:val="1"/>
      <w:marLeft w:val="0"/>
      <w:marRight w:val="0"/>
      <w:marTop w:val="0"/>
      <w:marBottom w:val="0"/>
      <w:divBdr>
        <w:top w:val="none" w:sz="0" w:space="0" w:color="auto"/>
        <w:left w:val="none" w:sz="0" w:space="0" w:color="auto"/>
        <w:bottom w:val="none" w:sz="0" w:space="0" w:color="auto"/>
        <w:right w:val="none" w:sz="0" w:space="0" w:color="auto"/>
      </w:divBdr>
    </w:div>
    <w:div w:id="1331910449">
      <w:bodyDiv w:val="1"/>
      <w:marLeft w:val="0"/>
      <w:marRight w:val="0"/>
      <w:marTop w:val="0"/>
      <w:marBottom w:val="0"/>
      <w:divBdr>
        <w:top w:val="none" w:sz="0" w:space="0" w:color="auto"/>
        <w:left w:val="none" w:sz="0" w:space="0" w:color="auto"/>
        <w:bottom w:val="none" w:sz="0" w:space="0" w:color="auto"/>
        <w:right w:val="none" w:sz="0" w:space="0" w:color="auto"/>
      </w:divBdr>
    </w:div>
    <w:div w:id="1335182133">
      <w:bodyDiv w:val="1"/>
      <w:marLeft w:val="0"/>
      <w:marRight w:val="0"/>
      <w:marTop w:val="0"/>
      <w:marBottom w:val="0"/>
      <w:divBdr>
        <w:top w:val="none" w:sz="0" w:space="0" w:color="auto"/>
        <w:left w:val="none" w:sz="0" w:space="0" w:color="auto"/>
        <w:bottom w:val="none" w:sz="0" w:space="0" w:color="auto"/>
        <w:right w:val="none" w:sz="0" w:space="0" w:color="auto"/>
      </w:divBdr>
      <w:divsChild>
        <w:div w:id="397897327">
          <w:marLeft w:val="0"/>
          <w:marRight w:val="0"/>
          <w:marTop w:val="0"/>
          <w:marBottom w:val="0"/>
          <w:divBdr>
            <w:top w:val="none" w:sz="0" w:space="0" w:color="auto"/>
            <w:left w:val="none" w:sz="0" w:space="0" w:color="auto"/>
            <w:bottom w:val="none" w:sz="0" w:space="0" w:color="auto"/>
            <w:right w:val="none" w:sz="0" w:space="0" w:color="auto"/>
          </w:divBdr>
          <w:divsChild>
            <w:div w:id="11339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10152">
      <w:bodyDiv w:val="1"/>
      <w:marLeft w:val="0"/>
      <w:marRight w:val="0"/>
      <w:marTop w:val="0"/>
      <w:marBottom w:val="0"/>
      <w:divBdr>
        <w:top w:val="none" w:sz="0" w:space="0" w:color="auto"/>
        <w:left w:val="none" w:sz="0" w:space="0" w:color="auto"/>
        <w:bottom w:val="none" w:sz="0" w:space="0" w:color="auto"/>
        <w:right w:val="none" w:sz="0" w:space="0" w:color="auto"/>
      </w:divBdr>
      <w:divsChild>
        <w:div w:id="133718920">
          <w:marLeft w:val="0"/>
          <w:marRight w:val="0"/>
          <w:marTop w:val="0"/>
          <w:marBottom w:val="0"/>
          <w:divBdr>
            <w:top w:val="none" w:sz="0" w:space="0" w:color="auto"/>
            <w:left w:val="none" w:sz="0" w:space="0" w:color="auto"/>
            <w:bottom w:val="none" w:sz="0" w:space="0" w:color="auto"/>
            <w:right w:val="none" w:sz="0" w:space="0" w:color="auto"/>
          </w:divBdr>
        </w:div>
        <w:div w:id="257906854">
          <w:marLeft w:val="0"/>
          <w:marRight w:val="0"/>
          <w:marTop w:val="0"/>
          <w:marBottom w:val="0"/>
          <w:divBdr>
            <w:top w:val="none" w:sz="0" w:space="0" w:color="auto"/>
            <w:left w:val="none" w:sz="0" w:space="0" w:color="auto"/>
            <w:bottom w:val="none" w:sz="0" w:space="0" w:color="auto"/>
            <w:right w:val="none" w:sz="0" w:space="0" w:color="auto"/>
          </w:divBdr>
        </w:div>
        <w:div w:id="453520517">
          <w:marLeft w:val="0"/>
          <w:marRight w:val="0"/>
          <w:marTop w:val="0"/>
          <w:marBottom w:val="0"/>
          <w:divBdr>
            <w:top w:val="none" w:sz="0" w:space="0" w:color="auto"/>
            <w:left w:val="none" w:sz="0" w:space="0" w:color="auto"/>
            <w:bottom w:val="none" w:sz="0" w:space="0" w:color="auto"/>
            <w:right w:val="none" w:sz="0" w:space="0" w:color="auto"/>
          </w:divBdr>
        </w:div>
        <w:div w:id="1666084410">
          <w:marLeft w:val="0"/>
          <w:marRight w:val="0"/>
          <w:marTop w:val="0"/>
          <w:marBottom w:val="0"/>
          <w:divBdr>
            <w:top w:val="none" w:sz="0" w:space="0" w:color="auto"/>
            <w:left w:val="none" w:sz="0" w:space="0" w:color="auto"/>
            <w:bottom w:val="none" w:sz="0" w:space="0" w:color="auto"/>
            <w:right w:val="none" w:sz="0" w:space="0" w:color="auto"/>
          </w:divBdr>
        </w:div>
        <w:div w:id="1990818767">
          <w:marLeft w:val="0"/>
          <w:marRight w:val="0"/>
          <w:marTop w:val="0"/>
          <w:marBottom w:val="0"/>
          <w:divBdr>
            <w:top w:val="none" w:sz="0" w:space="0" w:color="auto"/>
            <w:left w:val="none" w:sz="0" w:space="0" w:color="auto"/>
            <w:bottom w:val="none" w:sz="0" w:space="0" w:color="auto"/>
            <w:right w:val="none" w:sz="0" w:space="0" w:color="auto"/>
          </w:divBdr>
        </w:div>
        <w:div w:id="2106874773">
          <w:marLeft w:val="0"/>
          <w:marRight w:val="0"/>
          <w:marTop w:val="0"/>
          <w:marBottom w:val="0"/>
          <w:divBdr>
            <w:top w:val="none" w:sz="0" w:space="0" w:color="auto"/>
            <w:left w:val="none" w:sz="0" w:space="0" w:color="auto"/>
            <w:bottom w:val="none" w:sz="0" w:space="0" w:color="auto"/>
            <w:right w:val="none" w:sz="0" w:space="0" w:color="auto"/>
          </w:divBdr>
        </w:div>
      </w:divsChild>
    </w:div>
    <w:div w:id="1359575574">
      <w:bodyDiv w:val="1"/>
      <w:marLeft w:val="0"/>
      <w:marRight w:val="0"/>
      <w:marTop w:val="0"/>
      <w:marBottom w:val="0"/>
      <w:divBdr>
        <w:top w:val="none" w:sz="0" w:space="0" w:color="auto"/>
        <w:left w:val="none" w:sz="0" w:space="0" w:color="auto"/>
        <w:bottom w:val="none" w:sz="0" w:space="0" w:color="auto"/>
        <w:right w:val="none" w:sz="0" w:space="0" w:color="auto"/>
      </w:divBdr>
    </w:div>
    <w:div w:id="1360012098">
      <w:bodyDiv w:val="1"/>
      <w:marLeft w:val="0"/>
      <w:marRight w:val="0"/>
      <w:marTop w:val="0"/>
      <w:marBottom w:val="0"/>
      <w:divBdr>
        <w:top w:val="none" w:sz="0" w:space="0" w:color="auto"/>
        <w:left w:val="none" w:sz="0" w:space="0" w:color="auto"/>
        <w:bottom w:val="none" w:sz="0" w:space="0" w:color="auto"/>
        <w:right w:val="none" w:sz="0" w:space="0" w:color="auto"/>
      </w:divBdr>
    </w:div>
    <w:div w:id="1368531981">
      <w:bodyDiv w:val="1"/>
      <w:marLeft w:val="0"/>
      <w:marRight w:val="0"/>
      <w:marTop w:val="0"/>
      <w:marBottom w:val="0"/>
      <w:divBdr>
        <w:top w:val="none" w:sz="0" w:space="0" w:color="auto"/>
        <w:left w:val="none" w:sz="0" w:space="0" w:color="auto"/>
        <w:bottom w:val="none" w:sz="0" w:space="0" w:color="auto"/>
        <w:right w:val="none" w:sz="0" w:space="0" w:color="auto"/>
      </w:divBdr>
    </w:div>
    <w:div w:id="1369647807">
      <w:bodyDiv w:val="1"/>
      <w:marLeft w:val="0"/>
      <w:marRight w:val="0"/>
      <w:marTop w:val="0"/>
      <w:marBottom w:val="0"/>
      <w:divBdr>
        <w:top w:val="none" w:sz="0" w:space="0" w:color="auto"/>
        <w:left w:val="none" w:sz="0" w:space="0" w:color="auto"/>
        <w:bottom w:val="none" w:sz="0" w:space="0" w:color="auto"/>
        <w:right w:val="none" w:sz="0" w:space="0" w:color="auto"/>
      </w:divBdr>
    </w:div>
    <w:div w:id="1377392660">
      <w:bodyDiv w:val="1"/>
      <w:marLeft w:val="0"/>
      <w:marRight w:val="0"/>
      <w:marTop w:val="0"/>
      <w:marBottom w:val="0"/>
      <w:divBdr>
        <w:top w:val="none" w:sz="0" w:space="0" w:color="auto"/>
        <w:left w:val="none" w:sz="0" w:space="0" w:color="auto"/>
        <w:bottom w:val="none" w:sz="0" w:space="0" w:color="auto"/>
        <w:right w:val="none" w:sz="0" w:space="0" w:color="auto"/>
      </w:divBdr>
    </w:div>
    <w:div w:id="1382944154">
      <w:bodyDiv w:val="1"/>
      <w:marLeft w:val="0"/>
      <w:marRight w:val="0"/>
      <w:marTop w:val="0"/>
      <w:marBottom w:val="0"/>
      <w:divBdr>
        <w:top w:val="none" w:sz="0" w:space="0" w:color="auto"/>
        <w:left w:val="none" w:sz="0" w:space="0" w:color="auto"/>
        <w:bottom w:val="none" w:sz="0" w:space="0" w:color="auto"/>
        <w:right w:val="none" w:sz="0" w:space="0" w:color="auto"/>
      </w:divBdr>
    </w:div>
    <w:div w:id="1383141004">
      <w:bodyDiv w:val="1"/>
      <w:marLeft w:val="0"/>
      <w:marRight w:val="0"/>
      <w:marTop w:val="0"/>
      <w:marBottom w:val="0"/>
      <w:divBdr>
        <w:top w:val="none" w:sz="0" w:space="0" w:color="auto"/>
        <w:left w:val="none" w:sz="0" w:space="0" w:color="auto"/>
        <w:bottom w:val="none" w:sz="0" w:space="0" w:color="auto"/>
        <w:right w:val="none" w:sz="0" w:space="0" w:color="auto"/>
      </w:divBdr>
    </w:div>
    <w:div w:id="1385300662">
      <w:bodyDiv w:val="1"/>
      <w:marLeft w:val="0"/>
      <w:marRight w:val="0"/>
      <w:marTop w:val="0"/>
      <w:marBottom w:val="0"/>
      <w:divBdr>
        <w:top w:val="none" w:sz="0" w:space="0" w:color="auto"/>
        <w:left w:val="none" w:sz="0" w:space="0" w:color="auto"/>
        <w:bottom w:val="none" w:sz="0" w:space="0" w:color="auto"/>
        <w:right w:val="none" w:sz="0" w:space="0" w:color="auto"/>
      </w:divBdr>
    </w:div>
    <w:div w:id="1388917907">
      <w:bodyDiv w:val="1"/>
      <w:marLeft w:val="0"/>
      <w:marRight w:val="0"/>
      <w:marTop w:val="0"/>
      <w:marBottom w:val="0"/>
      <w:divBdr>
        <w:top w:val="none" w:sz="0" w:space="0" w:color="auto"/>
        <w:left w:val="none" w:sz="0" w:space="0" w:color="auto"/>
        <w:bottom w:val="none" w:sz="0" w:space="0" w:color="auto"/>
        <w:right w:val="none" w:sz="0" w:space="0" w:color="auto"/>
      </w:divBdr>
    </w:div>
    <w:div w:id="1389718986">
      <w:bodyDiv w:val="1"/>
      <w:marLeft w:val="0"/>
      <w:marRight w:val="0"/>
      <w:marTop w:val="0"/>
      <w:marBottom w:val="0"/>
      <w:divBdr>
        <w:top w:val="none" w:sz="0" w:space="0" w:color="auto"/>
        <w:left w:val="none" w:sz="0" w:space="0" w:color="auto"/>
        <w:bottom w:val="none" w:sz="0" w:space="0" w:color="auto"/>
        <w:right w:val="none" w:sz="0" w:space="0" w:color="auto"/>
      </w:divBdr>
    </w:div>
    <w:div w:id="1393888639">
      <w:bodyDiv w:val="1"/>
      <w:marLeft w:val="0"/>
      <w:marRight w:val="0"/>
      <w:marTop w:val="0"/>
      <w:marBottom w:val="0"/>
      <w:divBdr>
        <w:top w:val="none" w:sz="0" w:space="0" w:color="auto"/>
        <w:left w:val="none" w:sz="0" w:space="0" w:color="auto"/>
        <w:bottom w:val="none" w:sz="0" w:space="0" w:color="auto"/>
        <w:right w:val="none" w:sz="0" w:space="0" w:color="auto"/>
      </w:divBdr>
    </w:div>
    <w:div w:id="1395663309">
      <w:bodyDiv w:val="1"/>
      <w:marLeft w:val="0"/>
      <w:marRight w:val="0"/>
      <w:marTop w:val="0"/>
      <w:marBottom w:val="0"/>
      <w:divBdr>
        <w:top w:val="none" w:sz="0" w:space="0" w:color="auto"/>
        <w:left w:val="none" w:sz="0" w:space="0" w:color="auto"/>
        <w:bottom w:val="none" w:sz="0" w:space="0" w:color="auto"/>
        <w:right w:val="none" w:sz="0" w:space="0" w:color="auto"/>
      </w:divBdr>
    </w:div>
    <w:div w:id="1407414805">
      <w:bodyDiv w:val="1"/>
      <w:marLeft w:val="0"/>
      <w:marRight w:val="0"/>
      <w:marTop w:val="0"/>
      <w:marBottom w:val="0"/>
      <w:divBdr>
        <w:top w:val="none" w:sz="0" w:space="0" w:color="auto"/>
        <w:left w:val="none" w:sz="0" w:space="0" w:color="auto"/>
        <w:bottom w:val="none" w:sz="0" w:space="0" w:color="auto"/>
        <w:right w:val="none" w:sz="0" w:space="0" w:color="auto"/>
      </w:divBdr>
    </w:div>
    <w:div w:id="1424567273">
      <w:bodyDiv w:val="1"/>
      <w:marLeft w:val="0"/>
      <w:marRight w:val="0"/>
      <w:marTop w:val="0"/>
      <w:marBottom w:val="0"/>
      <w:divBdr>
        <w:top w:val="none" w:sz="0" w:space="0" w:color="auto"/>
        <w:left w:val="none" w:sz="0" w:space="0" w:color="auto"/>
        <w:bottom w:val="none" w:sz="0" w:space="0" w:color="auto"/>
        <w:right w:val="none" w:sz="0" w:space="0" w:color="auto"/>
      </w:divBdr>
    </w:div>
    <w:div w:id="1453402918">
      <w:bodyDiv w:val="1"/>
      <w:marLeft w:val="0"/>
      <w:marRight w:val="0"/>
      <w:marTop w:val="0"/>
      <w:marBottom w:val="0"/>
      <w:divBdr>
        <w:top w:val="none" w:sz="0" w:space="0" w:color="auto"/>
        <w:left w:val="none" w:sz="0" w:space="0" w:color="auto"/>
        <w:bottom w:val="none" w:sz="0" w:space="0" w:color="auto"/>
        <w:right w:val="none" w:sz="0" w:space="0" w:color="auto"/>
      </w:divBdr>
    </w:div>
    <w:div w:id="1466580011">
      <w:bodyDiv w:val="1"/>
      <w:marLeft w:val="0"/>
      <w:marRight w:val="0"/>
      <w:marTop w:val="0"/>
      <w:marBottom w:val="0"/>
      <w:divBdr>
        <w:top w:val="none" w:sz="0" w:space="0" w:color="auto"/>
        <w:left w:val="none" w:sz="0" w:space="0" w:color="auto"/>
        <w:bottom w:val="none" w:sz="0" w:space="0" w:color="auto"/>
        <w:right w:val="none" w:sz="0" w:space="0" w:color="auto"/>
      </w:divBdr>
    </w:div>
    <w:div w:id="1475101891">
      <w:bodyDiv w:val="1"/>
      <w:marLeft w:val="0"/>
      <w:marRight w:val="0"/>
      <w:marTop w:val="0"/>
      <w:marBottom w:val="0"/>
      <w:divBdr>
        <w:top w:val="none" w:sz="0" w:space="0" w:color="auto"/>
        <w:left w:val="none" w:sz="0" w:space="0" w:color="auto"/>
        <w:bottom w:val="none" w:sz="0" w:space="0" w:color="auto"/>
        <w:right w:val="none" w:sz="0" w:space="0" w:color="auto"/>
      </w:divBdr>
    </w:div>
    <w:div w:id="1476872277">
      <w:bodyDiv w:val="1"/>
      <w:marLeft w:val="0"/>
      <w:marRight w:val="0"/>
      <w:marTop w:val="0"/>
      <w:marBottom w:val="0"/>
      <w:divBdr>
        <w:top w:val="none" w:sz="0" w:space="0" w:color="auto"/>
        <w:left w:val="none" w:sz="0" w:space="0" w:color="auto"/>
        <w:bottom w:val="none" w:sz="0" w:space="0" w:color="auto"/>
        <w:right w:val="none" w:sz="0" w:space="0" w:color="auto"/>
      </w:divBdr>
      <w:divsChild>
        <w:div w:id="131292341">
          <w:marLeft w:val="0"/>
          <w:marRight w:val="0"/>
          <w:marTop w:val="0"/>
          <w:marBottom w:val="0"/>
          <w:divBdr>
            <w:top w:val="none" w:sz="0" w:space="0" w:color="auto"/>
            <w:left w:val="none" w:sz="0" w:space="0" w:color="auto"/>
            <w:bottom w:val="none" w:sz="0" w:space="0" w:color="auto"/>
            <w:right w:val="none" w:sz="0" w:space="0" w:color="auto"/>
          </w:divBdr>
        </w:div>
        <w:div w:id="441530810">
          <w:marLeft w:val="0"/>
          <w:marRight w:val="0"/>
          <w:marTop w:val="0"/>
          <w:marBottom w:val="0"/>
          <w:divBdr>
            <w:top w:val="none" w:sz="0" w:space="0" w:color="auto"/>
            <w:left w:val="none" w:sz="0" w:space="0" w:color="auto"/>
            <w:bottom w:val="none" w:sz="0" w:space="0" w:color="auto"/>
            <w:right w:val="none" w:sz="0" w:space="0" w:color="auto"/>
          </w:divBdr>
        </w:div>
        <w:div w:id="645203066">
          <w:marLeft w:val="0"/>
          <w:marRight w:val="0"/>
          <w:marTop w:val="0"/>
          <w:marBottom w:val="0"/>
          <w:divBdr>
            <w:top w:val="none" w:sz="0" w:space="0" w:color="auto"/>
            <w:left w:val="none" w:sz="0" w:space="0" w:color="auto"/>
            <w:bottom w:val="none" w:sz="0" w:space="0" w:color="auto"/>
            <w:right w:val="none" w:sz="0" w:space="0" w:color="auto"/>
          </w:divBdr>
        </w:div>
        <w:div w:id="828835923">
          <w:marLeft w:val="0"/>
          <w:marRight w:val="0"/>
          <w:marTop w:val="0"/>
          <w:marBottom w:val="0"/>
          <w:divBdr>
            <w:top w:val="none" w:sz="0" w:space="0" w:color="auto"/>
            <w:left w:val="none" w:sz="0" w:space="0" w:color="auto"/>
            <w:bottom w:val="none" w:sz="0" w:space="0" w:color="auto"/>
            <w:right w:val="none" w:sz="0" w:space="0" w:color="auto"/>
          </w:divBdr>
        </w:div>
        <w:div w:id="970554123">
          <w:marLeft w:val="0"/>
          <w:marRight w:val="0"/>
          <w:marTop w:val="0"/>
          <w:marBottom w:val="0"/>
          <w:divBdr>
            <w:top w:val="none" w:sz="0" w:space="0" w:color="auto"/>
            <w:left w:val="none" w:sz="0" w:space="0" w:color="auto"/>
            <w:bottom w:val="none" w:sz="0" w:space="0" w:color="auto"/>
            <w:right w:val="none" w:sz="0" w:space="0" w:color="auto"/>
          </w:divBdr>
        </w:div>
      </w:divsChild>
    </w:div>
    <w:div w:id="1480002433">
      <w:bodyDiv w:val="1"/>
      <w:marLeft w:val="0"/>
      <w:marRight w:val="0"/>
      <w:marTop w:val="0"/>
      <w:marBottom w:val="0"/>
      <w:divBdr>
        <w:top w:val="none" w:sz="0" w:space="0" w:color="auto"/>
        <w:left w:val="none" w:sz="0" w:space="0" w:color="auto"/>
        <w:bottom w:val="none" w:sz="0" w:space="0" w:color="auto"/>
        <w:right w:val="none" w:sz="0" w:space="0" w:color="auto"/>
      </w:divBdr>
      <w:divsChild>
        <w:div w:id="500434890">
          <w:marLeft w:val="446"/>
          <w:marRight w:val="0"/>
          <w:marTop w:val="130"/>
          <w:marBottom w:val="0"/>
          <w:divBdr>
            <w:top w:val="none" w:sz="0" w:space="0" w:color="auto"/>
            <w:left w:val="none" w:sz="0" w:space="0" w:color="auto"/>
            <w:bottom w:val="none" w:sz="0" w:space="0" w:color="auto"/>
            <w:right w:val="none" w:sz="0" w:space="0" w:color="auto"/>
          </w:divBdr>
        </w:div>
      </w:divsChild>
    </w:div>
    <w:div w:id="1485701795">
      <w:bodyDiv w:val="1"/>
      <w:marLeft w:val="0"/>
      <w:marRight w:val="0"/>
      <w:marTop w:val="0"/>
      <w:marBottom w:val="0"/>
      <w:divBdr>
        <w:top w:val="none" w:sz="0" w:space="0" w:color="auto"/>
        <w:left w:val="none" w:sz="0" w:space="0" w:color="auto"/>
        <w:bottom w:val="none" w:sz="0" w:space="0" w:color="auto"/>
        <w:right w:val="none" w:sz="0" w:space="0" w:color="auto"/>
      </w:divBdr>
    </w:div>
    <w:div w:id="1487168580">
      <w:bodyDiv w:val="1"/>
      <w:marLeft w:val="0"/>
      <w:marRight w:val="0"/>
      <w:marTop w:val="0"/>
      <w:marBottom w:val="0"/>
      <w:divBdr>
        <w:top w:val="none" w:sz="0" w:space="0" w:color="auto"/>
        <w:left w:val="none" w:sz="0" w:space="0" w:color="auto"/>
        <w:bottom w:val="none" w:sz="0" w:space="0" w:color="auto"/>
        <w:right w:val="none" w:sz="0" w:space="0" w:color="auto"/>
      </w:divBdr>
      <w:divsChild>
        <w:div w:id="195579944">
          <w:marLeft w:val="1166"/>
          <w:marRight w:val="0"/>
          <w:marTop w:val="101"/>
          <w:marBottom w:val="0"/>
          <w:divBdr>
            <w:top w:val="none" w:sz="0" w:space="0" w:color="auto"/>
            <w:left w:val="none" w:sz="0" w:space="0" w:color="auto"/>
            <w:bottom w:val="none" w:sz="0" w:space="0" w:color="auto"/>
            <w:right w:val="none" w:sz="0" w:space="0" w:color="auto"/>
          </w:divBdr>
        </w:div>
        <w:div w:id="275254281">
          <w:marLeft w:val="1166"/>
          <w:marRight w:val="0"/>
          <w:marTop w:val="101"/>
          <w:marBottom w:val="0"/>
          <w:divBdr>
            <w:top w:val="none" w:sz="0" w:space="0" w:color="auto"/>
            <w:left w:val="none" w:sz="0" w:space="0" w:color="auto"/>
            <w:bottom w:val="none" w:sz="0" w:space="0" w:color="auto"/>
            <w:right w:val="none" w:sz="0" w:space="0" w:color="auto"/>
          </w:divBdr>
        </w:div>
        <w:div w:id="516969141">
          <w:marLeft w:val="446"/>
          <w:marRight w:val="0"/>
          <w:marTop w:val="130"/>
          <w:marBottom w:val="0"/>
          <w:divBdr>
            <w:top w:val="none" w:sz="0" w:space="0" w:color="auto"/>
            <w:left w:val="none" w:sz="0" w:space="0" w:color="auto"/>
            <w:bottom w:val="none" w:sz="0" w:space="0" w:color="auto"/>
            <w:right w:val="none" w:sz="0" w:space="0" w:color="auto"/>
          </w:divBdr>
        </w:div>
        <w:div w:id="564606279">
          <w:marLeft w:val="1166"/>
          <w:marRight w:val="0"/>
          <w:marTop w:val="101"/>
          <w:marBottom w:val="0"/>
          <w:divBdr>
            <w:top w:val="none" w:sz="0" w:space="0" w:color="auto"/>
            <w:left w:val="none" w:sz="0" w:space="0" w:color="auto"/>
            <w:bottom w:val="none" w:sz="0" w:space="0" w:color="auto"/>
            <w:right w:val="none" w:sz="0" w:space="0" w:color="auto"/>
          </w:divBdr>
        </w:div>
        <w:div w:id="683019606">
          <w:marLeft w:val="446"/>
          <w:marRight w:val="0"/>
          <w:marTop w:val="130"/>
          <w:marBottom w:val="0"/>
          <w:divBdr>
            <w:top w:val="none" w:sz="0" w:space="0" w:color="auto"/>
            <w:left w:val="none" w:sz="0" w:space="0" w:color="auto"/>
            <w:bottom w:val="none" w:sz="0" w:space="0" w:color="auto"/>
            <w:right w:val="none" w:sz="0" w:space="0" w:color="auto"/>
          </w:divBdr>
        </w:div>
        <w:div w:id="715157554">
          <w:marLeft w:val="446"/>
          <w:marRight w:val="0"/>
          <w:marTop w:val="130"/>
          <w:marBottom w:val="0"/>
          <w:divBdr>
            <w:top w:val="none" w:sz="0" w:space="0" w:color="auto"/>
            <w:left w:val="none" w:sz="0" w:space="0" w:color="auto"/>
            <w:bottom w:val="none" w:sz="0" w:space="0" w:color="auto"/>
            <w:right w:val="none" w:sz="0" w:space="0" w:color="auto"/>
          </w:divBdr>
        </w:div>
        <w:div w:id="919144721">
          <w:marLeft w:val="1166"/>
          <w:marRight w:val="0"/>
          <w:marTop w:val="101"/>
          <w:marBottom w:val="0"/>
          <w:divBdr>
            <w:top w:val="none" w:sz="0" w:space="0" w:color="auto"/>
            <w:left w:val="none" w:sz="0" w:space="0" w:color="auto"/>
            <w:bottom w:val="none" w:sz="0" w:space="0" w:color="auto"/>
            <w:right w:val="none" w:sz="0" w:space="0" w:color="auto"/>
          </w:divBdr>
        </w:div>
        <w:div w:id="1193150473">
          <w:marLeft w:val="1166"/>
          <w:marRight w:val="0"/>
          <w:marTop w:val="101"/>
          <w:marBottom w:val="0"/>
          <w:divBdr>
            <w:top w:val="none" w:sz="0" w:space="0" w:color="auto"/>
            <w:left w:val="none" w:sz="0" w:space="0" w:color="auto"/>
            <w:bottom w:val="none" w:sz="0" w:space="0" w:color="auto"/>
            <w:right w:val="none" w:sz="0" w:space="0" w:color="auto"/>
          </w:divBdr>
        </w:div>
        <w:div w:id="1576476730">
          <w:marLeft w:val="1166"/>
          <w:marRight w:val="0"/>
          <w:marTop w:val="101"/>
          <w:marBottom w:val="0"/>
          <w:divBdr>
            <w:top w:val="none" w:sz="0" w:space="0" w:color="auto"/>
            <w:left w:val="none" w:sz="0" w:space="0" w:color="auto"/>
            <w:bottom w:val="none" w:sz="0" w:space="0" w:color="auto"/>
            <w:right w:val="none" w:sz="0" w:space="0" w:color="auto"/>
          </w:divBdr>
        </w:div>
        <w:div w:id="1590918527">
          <w:marLeft w:val="1166"/>
          <w:marRight w:val="0"/>
          <w:marTop w:val="101"/>
          <w:marBottom w:val="0"/>
          <w:divBdr>
            <w:top w:val="none" w:sz="0" w:space="0" w:color="auto"/>
            <w:left w:val="none" w:sz="0" w:space="0" w:color="auto"/>
            <w:bottom w:val="none" w:sz="0" w:space="0" w:color="auto"/>
            <w:right w:val="none" w:sz="0" w:space="0" w:color="auto"/>
          </w:divBdr>
        </w:div>
        <w:div w:id="1742632870">
          <w:marLeft w:val="1166"/>
          <w:marRight w:val="0"/>
          <w:marTop w:val="101"/>
          <w:marBottom w:val="0"/>
          <w:divBdr>
            <w:top w:val="none" w:sz="0" w:space="0" w:color="auto"/>
            <w:left w:val="none" w:sz="0" w:space="0" w:color="auto"/>
            <w:bottom w:val="none" w:sz="0" w:space="0" w:color="auto"/>
            <w:right w:val="none" w:sz="0" w:space="0" w:color="auto"/>
          </w:divBdr>
        </w:div>
        <w:div w:id="2009013504">
          <w:marLeft w:val="1166"/>
          <w:marRight w:val="0"/>
          <w:marTop w:val="101"/>
          <w:marBottom w:val="0"/>
          <w:divBdr>
            <w:top w:val="none" w:sz="0" w:space="0" w:color="auto"/>
            <w:left w:val="none" w:sz="0" w:space="0" w:color="auto"/>
            <w:bottom w:val="none" w:sz="0" w:space="0" w:color="auto"/>
            <w:right w:val="none" w:sz="0" w:space="0" w:color="auto"/>
          </w:divBdr>
        </w:div>
      </w:divsChild>
    </w:div>
    <w:div w:id="1492330995">
      <w:bodyDiv w:val="1"/>
      <w:marLeft w:val="0"/>
      <w:marRight w:val="0"/>
      <w:marTop w:val="0"/>
      <w:marBottom w:val="0"/>
      <w:divBdr>
        <w:top w:val="none" w:sz="0" w:space="0" w:color="auto"/>
        <w:left w:val="none" w:sz="0" w:space="0" w:color="auto"/>
        <w:bottom w:val="none" w:sz="0" w:space="0" w:color="auto"/>
        <w:right w:val="none" w:sz="0" w:space="0" w:color="auto"/>
      </w:divBdr>
    </w:div>
    <w:div w:id="1493839898">
      <w:bodyDiv w:val="1"/>
      <w:marLeft w:val="0"/>
      <w:marRight w:val="0"/>
      <w:marTop w:val="0"/>
      <w:marBottom w:val="0"/>
      <w:divBdr>
        <w:top w:val="none" w:sz="0" w:space="0" w:color="auto"/>
        <w:left w:val="none" w:sz="0" w:space="0" w:color="auto"/>
        <w:bottom w:val="none" w:sz="0" w:space="0" w:color="auto"/>
        <w:right w:val="none" w:sz="0" w:space="0" w:color="auto"/>
      </w:divBdr>
    </w:div>
    <w:div w:id="1508518192">
      <w:bodyDiv w:val="1"/>
      <w:marLeft w:val="0"/>
      <w:marRight w:val="0"/>
      <w:marTop w:val="0"/>
      <w:marBottom w:val="0"/>
      <w:divBdr>
        <w:top w:val="none" w:sz="0" w:space="0" w:color="auto"/>
        <w:left w:val="none" w:sz="0" w:space="0" w:color="auto"/>
        <w:bottom w:val="none" w:sz="0" w:space="0" w:color="auto"/>
        <w:right w:val="none" w:sz="0" w:space="0" w:color="auto"/>
      </w:divBdr>
    </w:div>
    <w:div w:id="1508983210">
      <w:bodyDiv w:val="1"/>
      <w:marLeft w:val="0"/>
      <w:marRight w:val="0"/>
      <w:marTop w:val="0"/>
      <w:marBottom w:val="0"/>
      <w:divBdr>
        <w:top w:val="none" w:sz="0" w:space="0" w:color="auto"/>
        <w:left w:val="none" w:sz="0" w:space="0" w:color="auto"/>
        <w:bottom w:val="none" w:sz="0" w:space="0" w:color="auto"/>
        <w:right w:val="none" w:sz="0" w:space="0" w:color="auto"/>
      </w:divBdr>
    </w:div>
    <w:div w:id="1511749588">
      <w:bodyDiv w:val="1"/>
      <w:marLeft w:val="0"/>
      <w:marRight w:val="0"/>
      <w:marTop w:val="0"/>
      <w:marBottom w:val="0"/>
      <w:divBdr>
        <w:top w:val="none" w:sz="0" w:space="0" w:color="auto"/>
        <w:left w:val="none" w:sz="0" w:space="0" w:color="auto"/>
        <w:bottom w:val="none" w:sz="0" w:space="0" w:color="auto"/>
        <w:right w:val="none" w:sz="0" w:space="0" w:color="auto"/>
      </w:divBdr>
    </w:div>
    <w:div w:id="1522087749">
      <w:bodyDiv w:val="1"/>
      <w:marLeft w:val="0"/>
      <w:marRight w:val="0"/>
      <w:marTop w:val="0"/>
      <w:marBottom w:val="0"/>
      <w:divBdr>
        <w:top w:val="none" w:sz="0" w:space="0" w:color="auto"/>
        <w:left w:val="none" w:sz="0" w:space="0" w:color="auto"/>
        <w:bottom w:val="none" w:sz="0" w:space="0" w:color="auto"/>
        <w:right w:val="none" w:sz="0" w:space="0" w:color="auto"/>
      </w:divBdr>
    </w:div>
    <w:div w:id="1525555555">
      <w:bodyDiv w:val="1"/>
      <w:marLeft w:val="0"/>
      <w:marRight w:val="0"/>
      <w:marTop w:val="0"/>
      <w:marBottom w:val="0"/>
      <w:divBdr>
        <w:top w:val="none" w:sz="0" w:space="0" w:color="auto"/>
        <w:left w:val="none" w:sz="0" w:space="0" w:color="auto"/>
        <w:bottom w:val="none" w:sz="0" w:space="0" w:color="auto"/>
        <w:right w:val="none" w:sz="0" w:space="0" w:color="auto"/>
      </w:divBdr>
    </w:div>
    <w:div w:id="1526751664">
      <w:bodyDiv w:val="1"/>
      <w:marLeft w:val="0"/>
      <w:marRight w:val="0"/>
      <w:marTop w:val="0"/>
      <w:marBottom w:val="0"/>
      <w:divBdr>
        <w:top w:val="none" w:sz="0" w:space="0" w:color="auto"/>
        <w:left w:val="none" w:sz="0" w:space="0" w:color="auto"/>
        <w:bottom w:val="none" w:sz="0" w:space="0" w:color="auto"/>
        <w:right w:val="none" w:sz="0" w:space="0" w:color="auto"/>
      </w:divBdr>
    </w:div>
    <w:div w:id="1530726016">
      <w:bodyDiv w:val="1"/>
      <w:marLeft w:val="0"/>
      <w:marRight w:val="0"/>
      <w:marTop w:val="0"/>
      <w:marBottom w:val="0"/>
      <w:divBdr>
        <w:top w:val="none" w:sz="0" w:space="0" w:color="auto"/>
        <w:left w:val="none" w:sz="0" w:space="0" w:color="auto"/>
        <w:bottom w:val="none" w:sz="0" w:space="0" w:color="auto"/>
        <w:right w:val="none" w:sz="0" w:space="0" w:color="auto"/>
      </w:divBdr>
    </w:div>
    <w:div w:id="1534269561">
      <w:bodyDiv w:val="1"/>
      <w:marLeft w:val="0"/>
      <w:marRight w:val="0"/>
      <w:marTop w:val="0"/>
      <w:marBottom w:val="0"/>
      <w:divBdr>
        <w:top w:val="none" w:sz="0" w:space="0" w:color="auto"/>
        <w:left w:val="none" w:sz="0" w:space="0" w:color="auto"/>
        <w:bottom w:val="none" w:sz="0" w:space="0" w:color="auto"/>
        <w:right w:val="none" w:sz="0" w:space="0" w:color="auto"/>
      </w:divBdr>
    </w:div>
    <w:div w:id="1536691746">
      <w:bodyDiv w:val="1"/>
      <w:marLeft w:val="0"/>
      <w:marRight w:val="0"/>
      <w:marTop w:val="0"/>
      <w:marBottom w:val="0"/>
      <w:divBdr>
        <w:top w:val="none" w:sz="0" w:space="0" w:color="auto"/>
        <w:left w:val="none" w:sz="0" w:space="0" w:color="auto"/>
        <w:bottom w:val="none" w:sz="0" w:space="0" w:color="auto"/>
        <w:right w:val="none" w:sz="0" w:space="0" w:color="auto"/>
      </w:divBdr>
    </w:div>
    <w:div w:id="1558201240">
      <w:bodyDiv w:val="1"/>
      <w:marLeft w:val="0"/>
      <w:marRight w:val="0"/>
      <w:marTop w:val="0"/>
      <w:marBottom w:val="0"/>
      <w:divBdr>
        <w:top w:val="none" w:sz="0" w:space="0" w:color="auto"/>
        <w:left w:val="none" w:sz="0" w:space="0" w:color="auto"/>
        <w:bottom w:val="none" w:sz="0" w:space="0" w:color="auto"/>
        <w:right w:val="none" w:sz="0" w:space="0" w:color="auto"/>
      </w:divBdr>
    </w:div>
    <w:div w:id="1563439911">
      <w:bodyDiv w:val="1"/>
      <w:marLeft w:val="0"/>
      <w:marRight w:val="0"/>
      <w:marTop w:val="0"/>
      <w:marBottom w:val="0"/>
      <w:divBdr>
        <w:top w:val="none" w:sz="0" w:space="0" w:color="auto"/>
        <w:left w:val="none" w:sz="0" w:space="0" w:color="auto"/>
        <w:bottom w:val="none" w:sz="0" w:space="0" w:color="auto"/>
        <w:right w:val="none" w:sz="0" w:space="0" w:color="auto"/>
      </w:divBdr>
    </w:div>
    <w:div w:id="1567373549">
      <w:bodyDiv w:val="1"/>
      <w:marLeft w:val="0"/>
      <w:marRight w:val="0"/>
      <w:marTop w:val="0"/>
      <w:marBottom w:val="0"/>
      <w:divBdr>
        <w:top w:val="none" w:sz="0" w:space="0" w:color="auto"/>
        <w:left w:val="none" w:sz="0" w:space="0" w:color="auto"/>
        <w:bottom w:val="none" w:sz="0" w:space="0" w:color="auto"/>
        <w:right w:val="none" w:sz="0" w:space="0" w:color="auto"/>
      </w:divBdr>
    </w:div>
    <w:div w:id="1574395264">
      <w:bodyDiv w:val="1"/>
      <w:marLeft w:val="0"/>
      <w:marRight w:val="0"/>
      <w:marTop w:val="0"/>
      <w:marBottom w:val="0"/>
      <w:divBdr>
        <w:top w:val="none" w:sz="0" w:space="0" w:color="auto"/>
        <w:left w:val="none" w:sz="0" w:space="0" w:color="auto"/>
        <w:bottom w:val="none" w:sz="0" w:space="0" w:color="auto"/>
        <w:right w:val="none" w:sz="0" w:space="0" w:color="auto"/>
      </w:divBdr>
    </w:div>
    <w:div w:id="1579484462">
      <w:bodyDiv w:val="1"/>
      <w:marLeft w:val="0"/>
      <w:marRight w:val="0"/>
      <w:marTop w:val="0"/>
      <w:marBottom w:val="0"/>
      <w:divBdr>
        <w:top w:val="none" w:sz="0" w:space="0" w:color="auto"/>
        <w:left w:val="none" w:sz="0" w:space="0" w:color="auto"/>
        <w:bottom w:val="none" w:sz="0" w:space="0" w:color="auto"/>
        <w:right w:val="none" w:sz="0" w:space="0" w:color="auto"/>
      </w:divBdr>
    </w:div>
    <w:div w:id="1581867808">
      <w:bodyDiv w:val="1"/>
      <w:marLeft w:val="0"/>
      <w:marRight w:val="0"/>
      <w:marTop w:val="0"/>
      <w:marBottom w:val="0"/>
      <w:divBdr>
        <w:top w:val="none" w:sz="0" w:space="0" w:color="auto"/>
        <w:left w:val="none" w:sz="0" w:space="0" w:color="auto"/>
        <w:bottom w:val="none" w:sz="0" w:space="0" w:color="auto"/>
        <w:right w:val="none" w:sz="0" w:space="0" w:color="auto"/>
      </w:divBdr>
    </w:div>
    <w:div w:id="1585451696">
      <w:bodyDiv w:val="1"/>
      <w:marLeft w:val="0"/>
      <w:marRight w:val="0"/>
      <w:marTop w:val="0"/>
      <w:marBottom w:val="0"/>
      <w:divBdr>
        <w:top w:val="none" w:sz="0" w:space="0" w:color="auto"/>
        <w:left w:val="none" w:sz="0" w:space="0" w:color="auto"/>
        <w:bottom w:val="none" w:sz="0" w:space="0" w:color="auto"/>
        <w:right w:val="none" w:sz="0" w:space="0" w:color="auto"/>
      </w:divBdr>
    </w:div>
    <w:div w:id="1588464828">
      <w:bodyDiv w:val="1"/>
      <w:marLeft w:val="0"/>
      <w:marRight w:val="0"/>
      <w:marTop w:val="0"/>
      <w:marBottom w:val="0"/>
      <w:divBdr>
        <w:top w:val="none" w:sz="0" w:space="0" w:color="auto"/>
        <w:left w:val="none" w:sz="0" w:space="0" w:color="auto"/>
        <w:bottom w:val="none" w:sz="0" w:space="0" w:color="auto"/>
        <w:right w:val="none" w:sz="0" w:space="0" w:color="auto"/>
      </w:divBdr>
    </w:div>
    <w:div w:id="1593927324">
      <w:bodyDiv w:val="1"/>
      <w:marLeft w:val="0"/>
      <w:marRight w:val="0"/>
      <w:marTop w:val="0"/>
      <w:marBottom w:val="0"/>
      <w:divBdr>
        <w:top w:val="none" w:sz="0" w:space="0" w:color="auto"/>
        <w:left w:val="none" w:sz="0" w:space="0" w:color="auto"/>
        <w:bottom w:val="none" w:sz="0" w:space="0" w:color="auto"/>
        <w:right w:val="none" w:sz="0" w:space="0" w:color="auto"/>
      </w:divBdr>
    </w:div>
    <w:div w:id="1600211489">
      <w:bodyDiv w:val="1"/>
      <w:marLeft w:val="0"/>
      <w:marRight w:val="0"/>
      <w:marTop w:val="0"/>
      <w:marBottom w:val="0"/>
      <w:divBdr>
        <w:top w:val="none" w:sz="0" w:space="0" w:color="auto"/>
        <w:left w:val="none" w:sz="0" w:space="0" w:color="auto"/>
        <w:bottom w:val="none" w:sz="0" w:space="0" w:color="auto"/>
        <w:right w:val="none" w:sz="0" w:space="0" w:color="auto"/>
      </w:divBdr>
    </w:div>
    <w:div w:id="1605187239">
      <w:bodyDiv w:val="1"/>
      <w:marLeft w:val="0"/>
      <w:marRight w:val="0"/>
      <w:marTop w:val="0"/>
      <w:marBottom w:val="0"/>
      <w:divBdr>
        <w:top w:val="none" w:sz="0" w:space="0" w:color="auto"/>
        <w:left w:val="none" w:sz="0" w:space="0" w:color="auto"/>
        <w:bottom w:val="none" w:sz="0" w:space="0" w:color="auto"/>
        <w:right w:val="none" w:sz="0" w:space="0" w:color="auto"/>
      </w:divBdr>
    </w:div>
    <w:div w:id="1609775146">
      <w:bodyDiv w:val="1"/>
      <w:marLeft w:val="0"/>
      <w:marRight w:val="0"/>
      <w:marTop w:val="0"/>
      <w:marBottom w:val="0"/>
      <w:divBdr>
        <w:top w:val="none" w:sz="0" w:space="0" w:color="auto"/>
        <w:left w:val="none" w:sz="0" w:space="0" w:color="auto"/>
        <w:bottom w:val="none" w:sz="0" w:space="0" w:color="auto"/>
        <w:right w:val="none" w:sz="0" w:space="0" w:color="auto"/>
      </w:divBdr>
    </w:div>
    <w:div w:id="1618682223">
      <w:bodyDiv w:val="1"/>
      <w:marLeft w:val="0"/>
      <w:marRight w:val="0"/>
      <w:marTop w:val="0"/>
      <w:marBottom w:val="0"/>
      <w:divBdr>
        <w:top w:val="none" w:sz="0" w:space="0" w:color="auto"/>
        <w:left w:val="none" w:sz="0" w:space="0" w:color="auto"/>
        <w:bottom w:val="none" w:sz="0" w:space="0" w:color="auto"/>
        <w:right w:val="none" w:sz="0" w:space="0" w:color="auto"/>
      </w:divBdr>
      <w:divsChild>
        <w:div w:id="1131553620">
          <w:marLeft w:val="446"/>
          <w:marRight w:val="0"/>
          <w:marTop w:val="0"/>
          <w:marBottom w:val="0"/>
          <w:divBdr>
            <w:top w:val="none" w:sz="0" w:space="0" w:color="auto"/>
            <w:left w:val="none" w:sz="0" w:space="0" w:color="auto"/>
            <w:bottom w:val="none" w:sz="0" w:space="0" w:color="auto"/>
            <w:right w:val="none" w:sz="0" w:space="0" w:color="auto"/>
          </w:divBdr>
        </w:div>
      </w:divsChild>
    </w:div>
    <w:div w:id="1621841018">
      <w:bodyDiv w:val="1"/>
      <w:marLeft w:val="0"/>
      <w:marRight w:val="0"/>
      <w:marTop w:val="0"/>
      <w:marBottom w:val="0"/>
      <w:divBdr>
        <w:top w:val="none" w:sz="0" w:space="0" w:color="auto"/>
        <w:left w:val="none" w:sz="0" w:space="0" w:color="auto"/>
        <w:bottom w:val="none" w:sz="0" w:space="0" w:color="auto"/>
        <w:right w:val="none" w:sz="0" w:space="0" w:color="auto"/>
      </w:divBdr>
    </w:div>
    <w:div w:id="1625308710">
      <w:bodyDiv w:val="1"/>
      <w:marLeft w:val="0"/>
      <w:marRight w:val="0"/>
      <w:marTop w:val="0"/>
      <w:marBottom w:val="0"/>
      <w:divBdr>
        <w:top w:val="none" w:sz="0" w:space="0" w:color="auto"/>
        <w:left w:val="none" w:sz="0" w:space="0" w:color="auto"/>
        <w:bottom w:val="none" w:sz="0" w:space="0" w:color="auto"/>
        <w:right w:val="none" w:sz="0" w:space="0" w:color="auto"/>
      </w:divBdr>
    </w:div>
    <w:div w:id="1625497208">
      <w:bodyDiv w:val="1"/>
      <w:marLeft w:val="0"/>
      <w:marRight w:val="0"/>
      <w:marTop w:val="0"/>
      <w:marBottom w:val="0"/>
      <w:divBdr>
        <w:top w:val="none" w:sz="0" w:space="0" w:color="auto"/>
        <w:left w:val="none" w:sz="0" w:space="0" w:color="auto"/>
        <w:bottom w:val="none" w:sz="0" w:space="0" w:color="auto"/>
        <w:right w:val="none" w:sz="0" w:space="0" w:color="auto"/>
      </w:divBdr>
    </w:div>
    <w:div w:id="1633171525">
      <w:bodyDiv w:val="1"/>
      <w:marLeft w:val="0"/>
      <w:marRight w:val="0"/>
      <w:marTop w:val="0"/>
      <w:marBottom w:val="0"/>
      <w:divBdr>
        <w:top w:val="none" w:sz="0" w:space="0" w:color="auto"/>
        <w:left w:val="none" w:sz="0" w:space="0" w:color="auto"/>
        <w:bottom w:val="none" w:sz="0" w:space="0" w:color="auto"/>
        <w:right w:val="none" w:sz="0" w:space="0" w:color="auto"/>
      </w:divBdr>
    </w:div>
    <w:div w:id="1638415006">
      <w:bodyDiv w:val="1"/>
      <w:marLeft w:val="0"/>
      <w:marRight w:val="0"/>
      <w:marTop w:val="0"/>
      <w:marBottom w:val="0"/>
      <w:divBdr>
        <w:top w:val="none" w:sz="0" w:space="0" w:color="auto"/>
        <w:left w:val="none" w:sz="0" w:space="0" w:color="auto"/>
        <w:bottom w:val="none" w:sz="0" w:space="0" w:color="auto"/>
        <w:right w:val="none" w:sz="0" w:space="0" w:color="auto"/>
      </w:divBdr>
    </w:div>
    <w:div w:id="1647707880">
      <w:bodyDiv w:val="1"/>
      <w:marLeft w:val="0"/>
      <w:marRight w:val="0"/>
      <w:marTop w:val="0"/>
      <w:marBottom w:val="0"/>
      <w:divBdr>
        <w:top w:val="none" w:sz="0" w:space="0" w:color="auto"/>
        <w:left w:val="none" w:sz="0" w:space="0" w:color="auto"/>
        <w:bottom w:val="none" w:sz="0" w:space="0" w:color="auto"/>
        <w:right w:val="none" w:sz="0" w:space="0" w:color="auto"/>
      </w:divBdr>
    </w:div>
    <w:div w:id="1649699701">
      <w:bodyDiv w:val="1"/>
      <w:marLeft w:val="0"/>
      <w:marRight w:val="0"/>
      <w:marTop w:val="0"/>
      <w:marBottom w:val="0"/>
      <w:divBdr>
        <w:top w:val="none" w:sz="0" w:space="0" w:color="auto"/>
        <w:left w:val="none" w:sz="0" w:space="0" w:color="auto"/>
        <w:bottom w:val="none" w:sz="0" w:space="0" w:color="auto"/>
        <w:right w:val="none" w:sz="0" w:space="0" w:color="auto"/>
      </w:divBdr>
    </w:div>
    <w:div w:id="1651835139">
      <w:bodyDiv w:val="1"/>
      <w:marLeft w:val="0"/>
      <w:marRight w:val="0"/>
      <w:marTop w:val="0"/>
      <w:marBottom w:val="0"/>
      <w:divBdr>
        <w:top w:val="none" w:sz="0" w:space="0" w:color="auto"/>
        <w:left w:val="none" w:sz="0" w:space="0" w:color="auto"/>
        <w:bottom w:val="none" w:sz="0" w:space="0" w:color="auto"/>
        <w:right w:val="none" w:sz="0" w:space="0" w:color="auto"/>
      </w:divBdr>
    </w:div>
    <w:div w:id="1652445404">
      <w:bodyDiv w:val="1"/>
      <w:marLeft w:val="0"/>
      <w:marRight w:val="0"/>
      <w:marTop w:val="0"/>
      <w:marBottom w:val="0"/>
      <w:divBdr>
        <w:top w:val="none" w:sz="0" w:space="0" w:color="auto"/>
        <w:left w:val="none" w:sz="0" w:space="0" w:color="auto"/>
        <w:bottom w:val="none" w:sz="0" w:space="0" w:color="auto"/>
        <w:right w:val="none" w:sz="0" w:space="0" w:color="auto"/>
      </w:divBdr>
    </w:div>
    <w:div w:id="1653287613">
      <w:bodyDiv w:val="1"/>
      <w:marLeft w:val="0"/>
      <w:marRight w:val="0"/>
      <w:marTop w:val="0"/>
      <w:marBottom w:val="0"/>
      <w:divBdr>
        <w:top w:val="none" w:sz="0" w:space="0" w:color="auto"/>
        <w:left w:val="none" w:sz="0" w:space="0" w:color="auto"/>
        <w:bottom w:val="none" w:sz="0" w:space="0" w:color="auto"/>
        <w:right w:val="none" w:sz="0" w:space="0" w:color="auto"/>
      </w:divBdr>
    </w:div>
    <w:div w:id="1703626224">
      <w:bodyDiv w:val="1"/>
      <w:marLeft w:val="0"/>
      <w:marRight w:val="0"/>
      <w:marTop w:val="0"/>
      <w:marBottom w:val="0"/>
      <w:divBdr>
        <w:top w:val="none" w:sz="0" w:space="0" w:color="auto"/>
        <w:left w:val="none" w:sz="0" w:space="0" w:color="auto"/>
        <w:bottom w:val="none" w:sz="0" w:space="0" w:color="auto"/>
        <w:right w:val="none" w:sz="0" w:space="0" w:color="auto"/>
      </w:divBdr>
      <w:divsChild>
        <w:div w:id="1098915705">
          <w:marLeft w:val="0"/>
          <w:marRight w:val="0"/>
          <w:marTop w:val="0"/>
          <w:marBottom w:val="120"/>
          <w:divBdr>
            <w:top w:val="none" w:sz="0" w:space="0" w:color="auto"/>
            <w:left w:val="none" w:sz="0" w:space="0" w:color="auto"/>
            <w:bottom w:val="none" w:sz="0" w:space="0" w:color="auto"/>
            <w:right w:val="none" w:sz="0" w:space="0" w:color="auto"/>
          </w:divBdr>
          <w:divsChild>
            <w:div w:id="104808224">
              <w:marLeft w:val="0"/>
              <w:marRight w:val="0"/>
              <w:marTop w:val="0"/>
              <w:marBottom w:val="0"/>
              <w:divBdr>
                <w:top w:val="none" w:sz="0" w:space="0" w:color="auto"/>
                <w:left w:val="none" w:sz="0" w:space="0" w:color="auto"/>
                <w:bottom w:val="none" w:sz="0" w:space="0" w:color="auto"/>
                <w:right w:val="none" w:sz="0" w:space="0" w:color="auto"/>
              </w:divBdr>
            </w:div>
          </w:divsChild>
        </w:div>
        <w:div w:id="2039310790">
          <w:marLeft w:val="0"/>
          <w:marRight w:val="0"/>
          <w:marTop w:val="0"/>
          <w:marBottom w:val="120"/>
          <w:divBdr>
            <w:top w:val="none" w:sz="0" w:space="0" w:color="auto"/>
            <w:left w:val="none" w:sz="0" w:space="0" w:color="auto"/>
            <w:bottom w:val="none" w:sz="0" w:space="0" w:color="auto"/>
            <w:right w:val="none" w:sz="0" w:space="0" w:color="auto"/>
          </w:divBdr>
          <w:divsChild>
            <w:div w:id="11670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6326">
      <w:bodyDiv w:val="1"/>
      <w:marLeft w:val="0"/>
      <w:marRight w:val="0"/>
      <w:marTop w:val="0"/>
      <w:marBottom w:val="0"/>
      <w:divBdr>
        <w:top w:val="none" w:sz="0" w:space="0" w:color="auto"/>
        <w:left w:val="none" w:sz="0" w:space="0" w:color="auto"/>
        <w:bottom w:val="none" w:sz="0" w:space="0" w:color="auto"/>
        <w:right w:val="none" w:sz="0" w:space="0" w:color="auto"/>
      </w:divBdr>
    </w:div>
    <w:div w:id="1707827874">
      <w:bodyDiv w:val="1"/>
      <w:marLeft w:val="0"/>
      <w:marRight w:val="0"/>
      <w:marTop w:val="0"/>
      <w:marBottom w:val="0"/>
      <w:divBdr>
        <w:top w:val="none" w:sz="0" w:space="0" w:color="auto"/>
        <w:left w:val="none" w:sz="0" w:space="0" w:color="auto"/>
        <w:bottom w:val="none" w:sz="0" w:space="0" w:color="auto"/>
        <w:right w:val="none" w:sz="0" w:space="0" w:color="auto"/>
      </w:divBdr>
    </w:div>
    <w:div w:id="1715815168">
      <w:bodyDiv w:val="1"/>
      <w:marLeft w:val="0"/>
      <w:marRight w:val="0"/>
      <w:marTop w:val="0"/>
      <w:marBottom w:val="0"/>
      <w:divBdr>
        <w:top w:val="none" w:sz="0" w:space="0" w:color="auto"/>
        <w:left w:val="none" w:sz="0" w:space="0" w:color="auto"/>
        <w:bottom w:val="none" w:sz="0" w:space="0" w:color="auto"/>
        <w:right w:val="none" w:sz="0" w:space="0" w:color="auto"/>
      </w:divBdr>
    </w:div>
    <w:div w:id="1719162398">
      <w:bodyDiv w:val="1"/>
      <w:marLeft w:val="0"/>
      <w:marRight w:val="0"/>
      <w:marTop w:val="0"/>
      <w:marBottom w:val="0"/>
      <w:divBdr>
        <w:top w:val="none" w:sz="0" w:space="0" w:color="auto"/>
        <w:left w:val="none" w:sz="0" w:space="0" w:color="auto"/>
        <w:bottom w:val="none" w:sz="0" w:space="0" w:color="auto"/>
        <w:right w:val="none" w:sz="0" w:space="0" w:color="auto"/>
      </w:divBdr>
    </w:div>
    <w:div w:id="1725830206">
      <w:bodyDiv w:val="1"/>
      <w:marLeft w:val="0"/>
      <w:marRight w:val="0"/>
      <w:marTop w:val="0"/>
      <w:marBottom w:val="0"/>
      <w:divBdr>
        <w:top w:val="none" w:sz="0" w:space="0" w:color="auto"/>
        <w:left w:val="none" w:sz="0" w:space="0" w:color="auto"/>
        <w:bottom w:val="none" w:sz="0" w:space="0" w:color="auto"/>
        <w:right w:val="none" w:sz="0" w:space="0" w:color="auto"/>
      </w:divBdr>
    </w:div>
    <w:div w:id="1747066541">
      <w:bodyDiv w:val="1"/>
      <w:marLeft w:val="0"/>
      <w:marRight w:val="0"/>
      <w:marTop w:val="0"/>
      <w:marBottom w:val="0"/>
      <w:divBdr>
        <w:top w:val="none" w:sz="0" w:space="0" w:color="auto"/>
        <w:left w:val="none" w:sz="0" w:space="0" w:color="auto"/>
        <w:bottom w:val="none" w:sz="0" w:space="0" w:color="auto"/>
        <w:right w:val="none" w:sz="0" w:space="0" w:color="auto"/>
      </w:divBdr>
    </w:div>
    <w:div w:id="1752703199">
      <w:bodyDiv w:val="1"/>
      <w:marLeft w:val="0"/>
      <w:marRight w:val="0"/>
      <w:marTop w:val="0"/>
      <w:marBottom w:val="0"/>
      <w:divBdr>
        <w:top w:val="none" w:sz="0" w:space="0" w:color="auto"/>
        <w:left w:val="none" w:sz="0" w:space="0" w:color="auto"/>
        <w:bottom w:val="none" w:sz="0" w:space="0" w:color="auto"/>
        <w:right w:val="none" w:sz="0" w:space="0" w:color="auto"/>
      </w:divBdr>
      <w:divsChild>
        <w:div w:id="564070513">
          <w:marLeft w:val="446"/>
          <w:marRight w:val="0"/>
          <w:marTop w:val="0"/>
          <w:marBottom w:val="0"/>
          <w:divBdr>
            <w:top w:val="none" w:sz="0" w:space="0" w:color="auto"/>
            <w:left w:val="none" w:sz="0" w:space="0" w:color="auto"/>
            <w:bottom w:val="none" w:sz="0" w:space="0" w:color="auto"/>
            <w:right w:val="none" w:sz="0" w:space="0" w:color="auto"/>
          </w:divBdr>
        </w:div>
      </w:divsChild>
    </w:div>
    <w:div w:id="1759448232">
      <w:bodyDiv w:val="1"/>
      <w:marLeft w:val="0"/>
      <w:marRight w:val="0"/>
      <w:marTop w:val="0"/>
      <w:marBottom w:val="0"/>
      <w:divBdr>
        <w:top w:val="none" w:sz="0" w:space="0" w:color="auto"/>
        <w:left w:val="none" w:sz="0" w:space="0" w:color="auto"/>
        <w:bottom w:val="none" w:sz="0" w:space="0" w:color="auto"/>
        <w:right w:val="none" w:sz="0" w:space="0" w:color="auto"/>
      </w:divBdr>
    </w:div>
    <w:div w:id="1774669805">
      <w:bodyDiv w:val="1"/>
      <w:marLeft w:val="0"/>
      <w:marRight w:val="0"/>
      <w:marTop w:val="0"/>
      <w:marBottom w:val="0"/>
      <w:divBdr>
        <w:top w:val="none" w:sz="0" w:space="0" w:color="auto"/>
        <w:left w:val="none" w:sz="0" w:space="0" w:color="auto"/>
        <w:bottom w:val="none" w:sz="0" w:space="0" w:color="auto"/>
        <w:right w:val="none" w:sz="0" w:space="0" w:color="auto"/>
      </w:divBdr>
    </w:div>
    <w:div w:id="1776826347">
      <w:bodyDiv w:val="1"/>
      <w:marLeft w:val="0"/>
      <w:marRight w:val="0"/>
      <w:marTop w:val="0"/>
      <w:marBottom w:val="0"/>
      <w:divBdr>
        <w:top w:val="none" w:sz="0" w:space="0" w:color="auto"/>
        <w:left w:val="none" w:sz="0" w:space="0" w:color="auto"/>
        <w:bottom w:val="none" w:sz="0" w:space="0" w:color="auto"/>
        <w:right w:val="none" w:sz="0" w:space="0" w:color="auto"/>
      </w:divBdr>
    </w:div>
    <w:div w:id="1791589262">
      <w:bodyDiv w:val="1"/>
      <w:marLeft w:val="0"/>
      <w:marRight w:val="0"/>
      <w:marTop w:val="0"/>
      <w:marBottom w:val="0"/>
      <w:divBdr>
        <w:top w:val="none" w:sz="0" w:space="0" w:color="auto"/>
        <w:left w:val="none" w:sz="0" w:space="0" w:color="auto"/>
        <w:bottom w:val="none" w:sz="0" w:space="0" w:color="auto"/>
        <w:right w:val="none" w:sz="0" w:space="0" w:color="auto"/>
      </w:divBdr>
    </w:div>
    <w:div w:id="1801921792">
      <w:bodyDiv w:val="1"/>
      <w:marLeft w:val="0"/>
      <w:marRight w:val="0"/>
      <w:marTop w:val="0"/>
      <w:marBottom w:val="0"/>
      <w:divBdr>
        <w:top w:val="none" w:sz="0" w:space="0" w:color="auto"/>
        <w:left w:val="none" w:sz="0" w:space="0" w:color="auto"/>
        <w:bottom w:val="none" w:sz="0" w:space="0" w:color="auto"/>
        <w:right w:val="none" w:sz="0" w:space="0" w:color="auto"/>
      </w:divBdr>
    </w:div>
    <w:div w:id="1803571155">
      <w:bodyDiv w:val="1"/>
      <w:marLeft w:val="0"/>
      <w:marRight w:val="0"/>
      <w:marTop w:val="0"/>
      <w:marBottom w:val="0"/>
      <w:divBdr>
        <w:top w:val="none" w:sz="0" w:space="0" w:color="auto"/>
        <w:left w:val="none" w:sz="0" w:space="0" w:color="auto"/>
        <w:bottom w:val="none" w:sz="0" w:space="0" w:color="auto"/>
        <w:right w:val="none" w:sz="0" w:space="0" w:color="auto"/>
      </w:divBdr>
    </w:div>
    <w:div w:id="1806923129">
      <w:bodyDiv w:val="1"/>
      <w:marLeft w:val="0"/>
      <w:marRight w:val="0"/>
      <w:marTop w:val="0"/>
      <w:marBottom w:val="0"/>
      <w:divBdr>
        <w:top w:val="none" w:sz="0" w:space="0" w:color="auto"/>
        <w:left w:val="none" w:sz="0" w:space="0" w:color="auto"/>
        <w:bottom w:val="none" w:sz="0" w:space="0" w:color="auto"/>
        <w:right w:val="none" w:sz="0" w:space="0" w:color="auto"/>
      </w:divBdr>
    </w:div>
    <w:div w:id="1808277215">
      <w:bodyDiv w:val="1"/>
      <w:marLeft w:val="0"/>
      <w:marRight w:val="0"/>
      <w:marTop w:val="0"/>
      <w:marBottom w:val="0"/>
      <w:divBdr>
        <w:top w:val="none" w:sz="0" w:space="0" w:color="auto"/>
        <w:left w:val="none" w:sz="0" w:space="0" w:color="auto"/>
        <w:bottom w:val="none" w:sz="0" w:space="0" w:color="auto"/>
        <w:right w:val="none" w:sz="0" w:space="0" w:color="auto"/>
      </w:divBdr>
    </w:div>
    <w:div w:id="1813324579">
      <w:bodyDiv w:val="1"/>
      <w:marLeft w:val="0"/>
      <w:marRight w:val="0"/>
      <w:marTop w:val="0"/>
      <w:marBottom w:val="0"/>
      <w:divBdr>
        <w:top w:val="none" w:sz="0" w:space="0" w:color="auto"/>
        <w:left w:val="none" w:sz="0" w:space="0" w:color="auto"/>
        <w:bottom w:val="none" w:sz="0" w:space="0" w:color="auto"/>
        <w:right w:val="none" w:sz="0" w:space="0" w:color="auto"/>
      </w:divBdr>
    </w:div>
    <w:div w:id="1828135140">
      <w:bodyDiv w:val="1"/>
      <w:marLeft w:val="0"/>
      <w:marRight w:val="0"/>
      <w:marTop w:val="0"/>
      <w:marBottom w:val="0"/>
      <w:divBdr>
        <w:top w:val="none" w:sz="0" w:space="0" w:color="auto"/>
        <w:left w:val="none" w:sz="0" w:space="0" w:color="auto"/>
        <w:bottom w:val="none" w:sz="0" w:space="0" w:color="auto"/>
        <w:right w:val="none" w:sz="0" w:space="0" w:color="auto"/>
      </w:divBdr>
      <w:divsChild>
        <w:div w:id="242224829">
          <w:marLeft w:val="1800"/>
          <w:marRight w:val="0"/>
          <w:marTop w:val="79"/>
          <w:marBottom w:val="0"/>
          <w:divBdr>
            <w:top w:val="none" w:sz="0" w:space="0" w:color="auto"/>
            <w:left w:val="none" w:sz="0" w:space="0" w:color="auto"/>
            <w:bottom w:val="none" w:sz="0" w:space="0" w:color="auto"/>
            <w:right w:val="none" w:sz="0" w:space="0" w:color="auto"/>
          </w:divBdr>
        </w:div>
        <w:div w:id="295262702">
          <w:marLeft w:val="1800"/>
          <w:marRight w:val="0"/>
          <w:marTop w:val="79"/>
          <w:marBottom w:val="0"/>
          <w:divBdr>
            <w:top w:val="none" w:sz="0" w:space="0" w:color="auto"/>
            <w:left w:val="none" w:sz="0" w:space="0" w:color="auto"/>
            <w:bottom w:val="none" w:sz="0" w:space="0" w:color="auto"/>
            <w:right w:val="none" w:sz="0" w:space="0" w:color="auto"/>
          </w:divBdr>
        </w:div>
        <w:div w:id="434592131">
          <w:marLeft w:val="1166"/>
          <w:marRight w:val="0"/>
          <w:marTop w:val="94"/>
          <w:marBottom w:val="0"/>
          <w:divBdr>
            <w:top w:val="none" w:sz="0" w:space="0" w:color="auto"/>
            <w:left w:val="none" w:sz="0" w:space="0" w:color="auto"/>
            <w:bottom w:val="none" w:sz="0" w:space="0" w:color="auto"/>
            <w:right w:val="none" w:sz="0" w:space="0" w:color="auto"/>
          </w:divBdr>
        </w:div>
        <w:div w:id="449395107">
          <w:marLeft w:val="1166"/>
          <w:marRight w:val="0"/>
          <w:marTop w:val="94"/>
          <w:marBottom w:val="0"/>
          <w:divBdr>
            <w:top w:val="none" w:sz="0" w:space="0" w:color="auto"/>
            <w:left w:val="none" w:sz="0" w:space="0" w:color="auto"/>
            <w:bottom w:val="none" w:sz="0" w:space="0" w:color="auto"/>
            <w:right w:val="none" w:sz="0" w:space="0" w:color="auto"/>
          </w:divBdr>
        </w:div>
        <w:div w:id="523983779">
          <w:marLeft w:val="1800"/>
          <w:marRight w:val="0"/>
          <w:marTop w:val="79"/>
          <w:marBottom w:val="0"/>
          <w:divBdr>
            <w:top w:val="none" w:sz="0" w:space="0" w:color="auto"/>
            <w:left w:val="none" w:sz="0" w:space="0" w:color="auto"/>
            <w:bottom w:val="none" w:sz="0" w:space="0" w:color="auto"/>
            <w:right w:val="none" w:sz="0" w:space="0" w:color="auto"/>
          </w:divBdr>
        </w:div>
        <w:div w:id="543097353">
          <w:marLeft w:val="1800"/>
          <w:marRight w:val="0"/>
          <w:marTop w:val="79"/>
          <w:marBottom w:val="0"/>
          <w:divBdr>
            <w:top w:val="none" w:sz="0" w:space="0" w:color="auto"/>
            <w:left w:val="none" w:sz="0" w:space="0" w:color="auto"/>
            <w:bottom w:val="none" w:sz="0" w:space="0" w:color="auto"/>
            <w:right w:val="none" w:sz="0" w:space="0" w:color="auto"/>
          </w:divBdr>
        </w:div>
        <w:div w:id="638345330">
          <w:marLeft w:val="1166"/>
          <w:marRight w:val="0"/>
          <w:marTop w:val="94"/>
          <w:marBottom w:val="0"/>
          <w:divBdr>
            <w:top w:val="none" w:sz="0" w:space="0" w:color="auto"/>
            <w:left w:val="none" w:sz="0" w:space="0" w:color="auto"/>
            <w:bottom w:val="none" w:sz="0" w:space="0" w:color="auto"/>
            <w:right w:val="none" w:sz="0" w:space="0" w:color="auto"/>
          </w:divBdr>
        </w:div>
        <w:div w:id="815876029">
          <w:marLeft w:val="1800"/>
          <w:marRight w:val="0"/>
          <w:marTop w:val="79"/>
          <w:marBottom w:val="0"/>
          <w:divBdr>
            <w:top w:val="none" w:sz="0" w:space="0" w:color="auto"/>
            <w:left w:val="none" w:sz="0" w:space="0" w:color="auto"/>
            <w:bottom w:val="none" w:sz="0" w:space="0" w:color="auto"/>
            <w:right w:val="none" w:sz="0" w:space="0" w:color="auto"/>
          </w:divBdr>
        </w:div>
        <w:div w:id="887257625">
          <w:marLeft w:val="1800"/>
          <w:marRight w:val="0"/>
          <w:marTop w:val="79"/>
          <w:marBottom w:val="0"/>
          <w:divBdr>
            <w:top w:val="none" w:sz="0" w:space="0" w:color="auto"/>
            <w:left w:val="none" w:sz="0" w:space="0" w:color="auto"/>
            <w:bottom w:val="none" w:sz="0" w:space="0" w:color="auto"/>
            <w:right w:val="none" w:sz="0" w:space="0" w:color="auto"/>
          </w:divBdr>
        </w:div>
        <w:div w:id="958881208">
          <w:marLeft w:val="1800"/>
          <w:marRight w:val="0"/>
          <w:marTop w:val="79"/>
          <w:marBottom w:val="0"/>
          <w:divBdr>
            <w:top w:val="none" w:sz="0" w:space="0" w:color="auto"/>
            <w:left w:val="none" w:sz="0" w:space="0" w:color="auto"/>
            <w:bottom w:val="none" w:sz="0" w:space="0" w:color="auto"/>
            <w:right w:val="none" w:sz="0" w:space="0" w:color="auto"/>
          </w:divBdr>
        </w:div>
        <w:div w:id="1098526686">
          <w:marLeft w:val="1800"/>
          <w:marRight w:val="0"/>
          <w:marTop w:val="79"/>
          <w:marBottom w:val="0"/>
          <w:divBdr>
            <w:top w:val="none" w:sz="0" w:space="0" w:color="auto"/>
            <w:left w:val="none" w:sz="0" w:space="0" w:color="auto"/>
            <w:bottom w:val="none" w:sz="0" w:space="0" w:color="auto"/>
            <w:right w:val="none" w:sz="0" w:space="0" w:color="auto"/>
          </w:divBdr>
        </w:div>
        <w:div w:id="1375353143">
          <w:marLeft w:val="1800"/>
          <w:marRight w:val="0"/>
          <w:marTop w:val="79"/>
          <w:marBottom w:val="0"/>
          <w:divBdr>
            <w:top w:val="none" w:sz="0" w:space="0" w:color="auto"/>
            <w:left w:val="none" w:sz="0" w:space="0" w:color="auto"/>
            <w:bottom w:val="none" w:sz="0" w:space="0" w:color="auto"/>
            <w:right w:val="none" w:sz="0" w:space="0" w:color="auto"/>
          </w:divBdr>
        </w:div>
        <w:div w:id="1441989669">
          <w:marLeft w:val="1800"/>
          <w:marRight w:val="0"/>
          <w:marTop w:val="79"/>
          <w:marBottom w:val="0"/>
          <w:divBdr>
            <w:top w:val="none" w:sz="0" w:space="0" w:color="auto"/>
            <w:left w:val="none" w:sz="0" w:space="0" w:color="auto"/>
            <w:bottom w:val="none" w:sz="0" w:space="0" w:color="auto"/>
            <w:right w:val="none" w:sz="0" w:space="0" w:color="auto"/>
          </w:divBdr>
        </w:div>
        <w:div w:id="1799493819">
          <w:marLeft w:val="1800"/>
          <w:marRight w:val="0"/>
          <w:marTop w:val="79"/>
          <w:marBottom w:val="0"/>
          <w:divBdr>
            <w:top w:val="none" w:sz="0" w:space="0" w:color="auto"/>
            <w:left w:val="none" w:sz="0" w:space="0" w:color="auto"/>
            <w:bottom w:val="none" w:sz="0" w:space="0" w:color="auto"/>
            <w:right w:val="none" w:sz="0" w:space="0" w:color="auto"/>
          </w:divBdr>
        </w:div>
        <w:div w:id="1857305215">
          <w:marLeft w:val="1800"/>
          <w:marRight w:val="0"/>
          <w:marTop w:val="79"/>
          <w:marBottom w:val="0"/>
          <w:divBdr>
            <w:top w:val="none" w:sz="0" w:space="0" w:color="auto"/>
            <w:left w:val="none" w:sz="0" w:space="0" w:color="auto"/>
            <w:bottom w:val="none" w:sz="0" w:space="0" w:color="auto"/>
            <w:right w:val="none" w:sz="0" w:space="0" w:color="auto"/>
          </w:divBdr>
        </w:div>
      </w:divsChild>
    </w:div>
    <w:div w:id="1840270098">
      <w:bodyDiv w:val="1"/>
      <w:marLeft w:val="0"/>
      <w:marRight w:val="0"/>
      <w:marTop w:val="0"/>
      <w:marBottom w:val="0"/>
      <w:divBdr>
        <w:top w:val="none" w:sz="0" w:space="0" w:color="auto"/>
        <w:left w:val="none" w:sz="0" w:space="0" w:color="auto"/>
        <w:bottom w:val="none" w:sz="0" w:space="0" w:color="auto"/>
        <w:right w:val="none" w:sz="0" w:space="0" w:color="auto"/>
      </w:divBdr>
    </w:div>
    <w:div w:id="1850871796">
      <w:bodyDiv w:val="1"/>
      <w:marLeft w:val="0"/>
      <w:marRight w:val="0"/>
      <w:marTop w:val="0"/>
      <w:marBottom w:val="0"/>
      <w:divBdr>
        <w:top w:val="none" w:sz="0" w:space="0" w:color="auto"/>
        <w:left w:val="none" w:sz="0" w:space="0" w:color="auto"/>
        <w:bottom w:val="none" w:sz="0" w:space="0" w:color="auto"/>
        <w:right w:val="none" w:sz="0" w:space="0" w:color="auto"/>
      </w:divBdr>
    </w:div>
    <w:div w:id="1853183123">
      <w:bodyDiv w:val="1"/>
      <w:marLeft w:val="0"/>
      <w:marRight w:val="0"/>
      <w:marTop w:val="0"/>
      <w:marBottom w:val="0"/>
      <w:divBdr>
        <w:top w:val="none" w:sz="0" w:space="0" w:color="auto"/>
        <w:left w:val="none" w:sz="0" w:space="0" w:color="auto"/>
        <w:bottom w:val="none" w:sz="0" w:space="0" w:color="auto"/>
        <w:right w:val="none" w:sz="0" w:space="0" w:color="auto"/>
      </w:divBdr>
    </w:div>
    <w:div w:id="1866745043">
      <w:bodyDiv w:val="1"/>
      <w:marLeft w:val="0"/>
      <w:marRight w:val="0"/>
      <w:marTop w:val="0"/>
      <w:marBottom w:val="0"/>
      <w:divBdr>
        <w:top w:val="none" w:sz="0" w:space="0" w:color="auto"/>
        <w:left w:val="none" w:sz="0" w:space="0" w:color="auto"/>
        <w:bottom w:val="none" w:sz="0" w:space="0" w:color="auto"/>
        <w:right w:val="none" w:sz="0" w:space="0" w:color="auto"/>
      </w:divBdr>
    </w:div>
    <w:div w:id="1877085884">
      <w:bodyDiv w:val="1"/>
      <w:marLeft w:val="0"/>
      <w:marRight w:val="0"/>
      <w:marTop w:val="0"/>
      <w:marBottom w:val="0"/>
      <w:divBdr>
        <w:top w:val="none" w:sz="0" w:space="0" w:color="auto"/>
        <w:left w:val="none" w:sz="0" w:space="0" w:color="auto"/>
        <w:bottom w:val="none" w:sz="0" w:space="0" w:color="auto"/>
        <w:right w:val="none" w:sz="0" w:space="0" w:color="auto"/>
      </w:divBdr>
    </w:div>
    <w:div w:id="1883400375">
      <w:bodyDiv w:val="1"/>
      <w:marLeft w:val="0"/>
      <w:marRight w:val="0"/>
      <w:marTop w:val="0"/>
      <w:marBottom w:val="0"/>
      <w:divBdr>
        <w:top w:val="none" w:sz="0" w:space="0" w:color="auto"/>
        <w:left w:val="none" w:sz="0" w:space="0" w:color="auto"/>
        <w:bottom w:val="none" w:sz="0" w:space="0" w:color="auto"/>
        <w:right w:val="none" w:sz="0" w:space="0" w:color="auto"/>
      </w:divBdr>
    </w:div>
    <w:div w:id="1909920213">
      <w:bodyDiv w:val="1"/>
      <w:marLeft w:val="0"/>
      <w:marRight w:val="0"/>
      <w:marTop w:val="0"/>
      <w:marBottom w:val="0"/>
      <w:divBdr>
        <w:top w:val="none" w:sz="0" w:space="0" w:color="auto"/>
        <w:left w:val="none" w:sz="0" w:space="0" w:color="auto"/>
        <w:bottom w:val="none" w:sz="0" w:space="0" w:color="auto"/>
        <w:right w:val="none" w:sz="0" w:space="0" w:color="auto"/>
      </w:divBdr>
    </w:div>
    <w:div w:id="1912807323">
      <w:bodyDiv w:val="1"/>
      <w:marLeft w:val="0"/>
      <w:marRight w:val="0"/>
      <w:marTop w:val="0"/>
      <w:marBottom w:val="0"/>
      <w:divBdr>
        <w:top w:val="none" w:sz="0" w:space="0" w:color="auto"/>
        <w:left w:val="none" w:sz="0" w:space="0" w:color="auto"/>
        <w:bottom w:val="none" w:sz="0" w:space="0" w:color="auto"/>
        <w:right w:val="none" w:sz="0" w:space="0" w:color="auto"/>
      </w:divBdr>
    </w:div>
    <w:div w:id="1919633054">
      <w:bodyDiv w:val="1"/>
      <w:marLeft w:val="0"/>
      <w:marRight w:val="0"/>
      <w:marTop w:val="0"/>
      <w:marBottom w:val="0"/>
      <w:divBdr>
        <w:top w:val="none" w:sz="0" w:space="0" w:color="auto"/>
        <w:left w:val="none" w:sz="0" w:space="0" w:color="auto"/>
        <w:bottom w:val="none" w:sz="0" w:space="0" w:color="auto"/>
        <w:right w:val="none" w:sz="0" w:space="0" w:color="auto"/>
      </w:divBdr>
    </w:div>
    <w:div w:id="1929263656">
      <w:bodyDiv w:val="1"/>
      <w:marLeft w:val="0"/>
      <w:marRight w:val="0"/>
      <w:marTop w:val="0"/>
      <w:marBottom w:val="0"/>
      <w:divBdr>
        <w:top w:val="none" w:sz="0" w:space="0" w:color="auto"/>
        <w:left w:val="none" w:sz="0" w:space="0" w:color="auto"/>
        <w:bottom w:val="none" w:sz="0" w:space="0" w:color="auto"/>
        <w:right w:val="none" w:sz="0" w:space="0" w:color="auto"/>
      </w:divBdr>
    </w:div>
    <w:div w:id="1933583460">
      <w:bodyDiv w:val="1"/>
      <w:marLeft w:val="0"/>
      <w:marRight w:val="0"/>
      <w:marTop w:val="0"/>
      <w:marBottom w:val="0"/>
      <w:divBdr>
        <w:top w:val="none" w:sz="0" w:space="0" w:color="auto"/>
        <w:left w:val="none" w:sz="0" w:space="0" w:color="auto"/>
        <w:bottom w:val="none" w:sz="0" w:space="0" w:color="auto"/>
        <w:right w:val="none" w:sz="0" w:space="0" w:color="auto"/>
      </w:divBdr>
    </w:div>
    <w:div w:id="1935094926">
      <w:bodyDiv w:val="1"/>
      <w:marLeft w:val="0"/>
      <w:marRight w:val="0"/>
      <w:marTop w:val="0"/>
      <w:marBottom w:val="0"/>
      <w:divBdr>
        <w:top w:val="none" w:sz="0" w:space="0" w:color="auto"/>
        <w:left w:val="none" w:sz="0" w:space="0" w:color="auto"/>
        <w:bottom w:val="none" w:sz="0" w:space="0" w:color="auto"/>
        <w:right w:val="none" w:sz="0" w:space="0" w:color="auto"/>
      </w:divBdr>
    </w:div>
    <w:div w:id="1950315376">
      <w:bodyDiv w:val="1"/>
      <w:marLeft w:val="0"/>
      <w:marRight w:val="0"/>
      <w:marTop w:val="0"/>
      <w:marBottom w:val="0"/>
      <w:divBdr>
        <w:top w:val="none" w:sz="0" w:space="0" w:color="auto"/>
        <w:left w:val="none" w:sz="0" w:space="0" w:color="auto"/>
        <w:bottom w:val="none" w:sz="0" w:space="0" w:color="auto"/>
        <w:right w:val="none" w:sz="0" w:space="0" w:color="auto"/>
      </w:divBdr>
    </w:div>
    <w:div w:id="1952473183">
      <w:bodyDiv w:val="1"/>
      <w:marLeft w:val="0"/>
      <w:marRight w:val="0"/>
      <w:marTop w:val="0"/>
      <w:marBottom w:val="0"/>
      <w:divBdr>
        <w:top w:val="none" w:sz="0" w:space="0" w:color="auto"/>
        <w:left w:val="none" w:sz="0" w:space="0" w:color="auto"/>
        <w:bottom w:val="none" w:sz="0" w:space="0" w:color="auto"/>
        <w:right w:val="none" w:sz="0" w:space="0" w:color="auto"/>
      </w:divBdr>
    </w:div>
    <w:div w:id="1960838223">
      <w:bodyDiv w:val="1"/>
      <w:marLeft w:val="0"/>
      <w:marRight w:val="0"/>
      <w:marTop w:val="0"/>
      <w:marBottom w:val="0"/>
      <w:divBdr>
        <w:top w:val="none" w:sz="0" w:space="0" w:color="auto"/>
        <w:left w:val="none" w:sz="0" w:space="0" w:color="auto"/>
        <w:bottom w:val="none" w:sz="0" w:space="0" w:color="auto"/>
        <w:right w:val="none" w:sz="0" w:space="0" w:color="auto"/>
      </w:divBdr>
    </w:div>
    <w:div w:id="1977757388">
      <w:bodyDiv w:val="1"/>
      <w:marLeft w:val="0"/>
      <w:marRight w:val="0"/>
      <w:marTop w:val="0"/>
      <w:marBottom w:val="0"/>
      <w:divBdr>
        <w:top w:val="none" w:sz="0" w:space="0" w:color="auto"/>
        <w:left w:val="none" w:sz="0" w:space="0" w:color="auto"/>
        <w:bottom w:val="none" w:sz="0" w:space="0" w:color="auto"/>
        <w:right w:val="none" w:sz="0" w:space="0" w:color="auto"/>
      </w:divBdr>
    </w:div>
    <w:div w:id="1978217241">
      <w:bodyDiv w:val="1"/>
      <w:marLeft w:val="0"/>
      <w:marRight w:val="0"/>
      <w:marTop w:val="0"/>
      <w:marBottom w:val="0"/>
      <w:divBdr>
        <w:top w:val="none" w:sz="0" w:space="0" w:color="auto"/>
        <w:left w:val="none" w:sz="0" w:space="0" w:color="auto"/>
        <w:bottom w:val="none" w:sz="0" w:space="0" w:color="auto"/>
        <w:right w:val="none" w:sz="0" w:space="0" w:color="auto"/>
      </w:divBdr>
    </w:div>
    <w:div w:id="1993022293">
      <w:bodyDiv w:val="1"/>
      <w:marLeft w:val="0"/>
      <w:marRight w:val="0"/>
      <w:marTop w:val="0"/>
      <w:marBottom w:val="0"/>
      <w:divBdr>
        <w:top w:val="none" w:sz="0" w:space="0" w:color="auto"/>
        <w:left w:val="none" w:sz="0" w:space="0" w:color="auto"/>
        <w:bottom w:val="none" w:sz="0" w:space="0" w:color="auto"/>
        <w:right w:val="none" w:sz="0" w:space="0" w:color="auto"/>
      </w:divBdr>
      <w:divsChild>
        <w:div w:id="393086170">
          <w:marLeft w:val="0"/>
          <w:marRight w:val="0"/>
          <w:marTop w:val="0"/>
          <w:marBottom w:val="0"/>
          <w:divBdr>
            <w:top w:val="none" w:sz="0" w:space="0" w:color="auto"/>
            <w:left w:val="none" w:sz="0" w:space="0" w:color="auto"/>
            <w:bottom w:val="none" w:sz="0" w:space="0" w:color="auto"/>
            <w:right w:val="none" w:sz="0" w:space="0" w:color="auto"/>
          </w:divBdr>
        </w:div>
        <w:div w:id="450592722">
          <w:marLeft w:val="0"/>
          <w:marRight w:val="0"/>
          <w:marTop w:val="0"/>
          <w:marBottom w:val="0"/>
          <w:divBdr>
            <w:top w:val="none" w:sz="0" w:space="0" w:color="auto"/>
            <w:left w:val="none" w:sz="0" w:space="0" w:color="auto"/>
            <w:bottom w:val="none" w:sz="0" w:space="0" w:color="auto"/>
            <w:right w:val="none" w:sz="0" w:space="0" w:color="auto"/>
          </w:divBdr>
        </w:div>
        <w:div w:id="673725564">
          <w:marLeft w:val="0"/>
          <w:marRight w:val="0"/>
          <w:marTop w:val="0"/>
          <w:marBottom w:val="0"/>
          <w:divBdr>
            <w:top w:val="none" w:sz="0" w:space="0" w:color="auto"/>
            <w:left w:val="none" w:sz="0" w:space="0" w:color="auto"/>
            <w:bottom w:val="none" w:sz="0" w:space="0" w:color="auto"/>
            <w:right w:val="none" w:sz="0" w:space="0" w:color="auto"/>
          </w:divBdr>
        </w:div>
        <w:div w:id="981425170">
          <w:marLeft w:val="0"/>
          <w:marRight w:val="0"/>
          <w:marTop w:val="0"/>
          <w:marBottom w:val="0"/>
          <w:divBdr>
            <w:top w:val="none" w:sz="0" w:space="0" w:color="auto"/>
            <w:left w:val="none" w:sz="0" w:space="0" w:color="auto"/>
            <w:bottom w:val="none" w:sz="0" w:space="0" w:color="auto"/>
            <w:right w:val="none" w:sz="0" w:space="0" w:color="auto"/>
          </w:divBdr>
        </w:div>
        <w:div w:id="985545061">
          <w:marLeft w:val="0"/>
          <w:marRight w:val="0"/>
          <w:marTop w:val="0"/>
          <w:marBottom w:val="0"/>
          <w:divBdr>
            <w:top w:val="none" w:sz="0" w:space="0" w:color="auto"/>
            <w:left w:val="none" w:sz="0" w:space="0" w:color="auto"/>
            <w:bottom w:val="none" w:sz="0" w:space="0" w:color="auto"/>
            <w:right w:val="none" w:sz="0" w:space="0" w:color="auto"/>
          </w:divBdr>
        </w:div>
        <w:div w:id="1731926826">
          <w:marLeft w:val="0"/>
          <w:marRight w:val="0"/>
          <w:marTop w:val="0"/>
          <w:marBottom w:val="0"/>
          <w:divBdr>
            <w:top w:val="none" w:sz="0" w:space="0" w:color="auto"/>
            <w:left w:val="none" w:sz="0" w:space="0" w:color="auto"/>
            <w:bottom w:val="none" w:sz="0" w:space="0" w:color="auto"/>
            <w:right w:val="none" w:sz="0" w:space="0" w:color="auto"/>
          </w:divBdr>
        </w:div>
      </w:divsChild>
    </w:div>
    <w:div w:id="1993220298">
      <w:bodyDiv w:val="1"/>
      <w:marLeft w:val="0"/>
      <w:marRight w:val="0"/>
      <w:marTop w:val="0"/>
      <w:marBottom w:val="0"/>
      <w:divBdr>
        <w:top w:val="none" w:sz="0" w:space="0" w:color="auto"/>
        <w:left w:val="none" w:sz="0" w:space="0" w:color="auto"/>
        <w:bottom w:val="none" w:sz="0" w:space="0" w:color="auto"/>
        <w:right w:val="none" w:sz="0" w:space="0" w:color="auto"/>
      </w:divBdr>
    </w:div>
    <w:div w:id="1996764329">
      <w:bodyDiv w:val="1"/>
      <w:marLeft w:val="0"/>
      <w:marRight w:val="0"/>
      <w:marTop w:val="0"/>
      <w:marBottom w:val="0"/>
      <w:divBdr>
        <w:top w:val="none" w:sz="0" w:space="0" w:color="auto"/>
        <w:left w:val="none" w:sz="0" w:space="0" w:color="auto"/>
        <w:bottom w:val="none" w:sz="0" w:space="0" w:color="auto"/>
        <w:right w:val="none" w:sz="0" w:space="0" w:color="auto"/>
      </w:divBdr>
    </w:div>
    <w:div w:id="2026904229">
      <w:bodyDiv w:val="1"/>
      <w:marLeft w:val="0"/>
      <w:marRight w:val="0"/>
      <w:marTop w:val="0"/>
      <w:marBottom w:val="0"/>
      <w:divBdr>
        <w:top w:val="none" w:sz="0" w:space="0" w:color="auto"/>
        <w:left w:val="none" w:sz="0" w:space="0" w:color="auto"/>
        <w:bottom w:val="none" w:sz="0" w:space="0" w:color="auto"/>
        <w:right w:val="none" w:sz="0" w:space="0" w:color="auto"/>
      </w:divBdr>
    </w:div>
    <w:div w:id="2027780637">
      <w:bodyDiv w:val="1"/>
      <w:marLeft w:val="0"/>
      <w:marRight w:val="0"/>
      <w:marTop w:val="0"/>
      <w:marBottom w:val="0"/>
      <w:divBdr>
        <w:top w:val="none" w:sz="0" w:space="0" w:color="auto"/>
        <w:left w:val="none" w:sz="0" w:space="0" w:color="auto"/>
        <w:bottom w:val="none" w:sz="0" w:space="0" w:color="auto"/>
        <w:right w:val="none" w:sz="0" w:space="0" w:color="auto"/>
      </w:divBdr>
    </w:div>
    <w:div w:id="2036420983">
      <w:bodyDiv w:val="1"/>
      <w:marLeft w:val="0"/>
      <w:marRight w:val="0"/>
      <w:marTop w:val="0"/>
      <w:marBottom w:val="0"/>
      <w:divBdr>
        <w:top w:val="none" w:sz="0" w:space="0" w:color="auto"/>
        <w:left w:val="none" w:sz="0" w:space="0" w:color="auto"/>
        <w:bottom w:val="none" w:sz="0" w:space="0" w:color="auto"/>
        <w:right w:val="none" w:sz="0" w:space="0" w:color="auto"/>
      </w:divBdr>
    </w:div>
    <w:div w:id="2039503667">
      <w:bodyDiv w:val="1"/>
      <w:marLeft w:val="0"/>
      <w:marRight w:val="0"/>
      <w:marTop w:val="0"/>
      <w:marBottom w:val="0"/>
      <w:divBdr>
        <w:top w:val="none" w:sz="0" w:space="0" w:color="auto"/>
        <w:left w:val="none" w:sz="0" w:space="0" w:color="auto"/>
        <w:bottom w:val="none" w:sz="0" w:space="0" w:color="auto"/>
        <w:right w:val="none" w:sz="0" w:space="0" w:color="auto"/>
      </w:divBdr>
    </w:div>
    <w:div w:id="2044674492">
      <w:bodyDiv w:val="1"/>
      <w:marLeft w:val="0"/>
      <w:marRight w:val="0"/>
      <w:marTop w:val="0"/>
      <w:marBottom w:val="0"/>
      <w:divBdr>
        <w:top w:val="none" w:sz="0" w:space="0" w:color="auto"/>
        <w:left w:val="none" w:sz="0" w:space="0" w:color="auto"/>
        <w:bottom w:val="none" w:sz="0" w:space="0" w:color="auto"/>
        <w:right w:val="none" w:sz="0" w:space="0" w:color="auto"/>
      </w:divBdr>
    </w:div>
    <w:div w:id="2048598607">
      <w:bodyDiv w:val="1"/>
      <w:marLeft w:val="0"/>
      <w:marRight w:val="0"/>
      <w:marTop w:val="0"/>
      <w:marBottom w:val="0"/>
      <w:divBdr>
        <w:top w:val="none" w:sz="0" w:space="0" w:color="auto"/>
        <w:left w:val="none" w:sz="0" w:space="0" w:color="auto"/>
        <w:bottom w:val="none" w:sz="0" w:space="0" w:color="auto"/>
        <w:right w:val="none" w:sz="0" w:space="0" w:color="auto"/>
      </w:divBdr>
    </w:div>
    <w:div w:id="2054885981">
      <w:bodyDiv w:val="1"/>
      <w:marLeft w:val="0"/>
      <w:marRight w:val="0"/>
      <w:marTop w:val="0"/>
      <w:marBottom w:val="0"/>
      <w:divBdr>
        <w:top w:val="none" w:sz="0" w:space="0" w:color="auto"/>
        <w:left w:val="none" w:sz="0" w:space="0" w:color="auto"/>
        <w:bottom w:val="none" w:sz="0" w:space="0" w:color="auto"/>
        <w:right w:val="none" w:sz="0" w:space="0" w:color="auto"/>
      </w:divBdr>
    </w:div>
    <w:div w:id="2082673013">
      <w:bodyDiv w:val="1"/>
      <w:marLeft w:val="0"/>
      <w:marRight w:val="0"/>
      <w:marTop w:val="0"/>
      <w:marBottom w:val="0"/>
      <w:divBdr>
        <w:top w:val="none" w:sz="0" w:space="0" w:color="auto"/>
        <w:left w:val="none" w:sz="0" w:space="0" w:color="auto"/>
        <w:bottom w:val="none" w:sz="0" w:space="0" w:color="auto"/>
        <w:right w:val="none" w:sz="0" w:space="0" w:color="auto"/>
      </w:divBdr>
    </w:div>
    <w:div w:id="2084863792">
      <w:bodyDiv w:val="1"/>
      <w:marLeft w:val="0"/>
      <w:marRight w:val="0"/>
      <w:marTop w:val="0"/>
      <w:marBottom w:val="0"/>
      <w:divBdr>
        <w:top w:val="none" w:sz="0" w:space="0" w:color="auto"/>
        <w:left w:val="none" w:sz="0" w:space="0" w:color="auto"/>
        <w:bottom w:val="none" w:sz="0" w:space="0" w:color="auto"/>
        <w:right w:val="none" w:sz="0" w:space="0" w:color="auto"/>
      </w:divBdr>
    </w:div>
    <w:div w:id="2091922088">
      <w:bodyDiv w:val="1"/>
      <w:marLeft w:val="0"/>
      <w:marRight w:val="0"/>
      <w:marTop w:val="0"/>
      <w:marBottom w:val="0"/>
      <w:divBdr>
        <w:top w:val="none" w:sz="0" w:space="0" w:color="auto"/>
        <w:left w:val="none" w:sz="0" w:space="0" w:color="auto"/>
        <w:bottom w:val="none" w:sz="0" w:space="0" w:color="auto"/>
        <w:right w:val="none" w:sz="0" w:space="0" w:color="auto"/>
      </w:divBdr>
    </w:div>
    <w:div w:id="2092966179">
      <w:bodyDiv w:val="1"/>
      <w:marLeft w:val="0"/>
      <w:marRight w:val="0"/>
      <w:marTop w:val="0"/>
      <w:marBottom w:val="0"/>
      <w:divBdr>
        <w:top w:val="none" w:sz="0" w:space="0" w:color="auto"/>
        <w:left w:val="none" w:sz="0" w:space="0" w:color="auto"/>
        <w:bottom w:val="none" w:sz="0" w:space="0" w:color="auto"/>
        <w:right w:val="none" w:sz="0" w:space="0" w:color="auto"/>
      </w:divBdr>
    </w:div>
    <w:div w:id="2095470845">
      <w:bodyDiv w:val="1"/>
      <w:marLeft w:val="0"/>
      <w:marRight w:val="0"/>
      <w:marTop w:val="0"/>
      <w:marBottom w:val="0"/>
      <w:divBdr>
        <w:top w:val="none" w:sz="0" w:space="0" w:color="auto"/>
        <w:left w:val="none" w:sz="0" w:space="0" w:color="auto"/>
        <w:bottom w:val="none" w:sz="0" w:space="0" w:color="auto"/>
        <w:right w:val="none" w:sz="0" w:space="0" w:color="auto"/>
      </w:divBdr>
    </w:div>
    <w:div w:id="2099908623">
      <w:bodyDiv w:val="1"/>
      <w:marLeft w:val="0"/>
      <w:marRight w:val="0"/>
      <w:marTop w:val="0"/>
      <w:marBottom w:val="0"/>
      <w:divBdr>
        <w:top w:val="none" w:sz="0" w:space="0" w:color="auto"/>
        <w:left w:val="none" w:sz="0" w:space="0" w:color="auto"/>
        <w:bottom w:val="none" w:sz="0" w:space="0" w:color="auto"/>
        <w:right w:val="none" w:sz="0" w:space="0" w:color="auto"/>
      </w:divBdr>
    </w:div>
    <w:div w:id="2104259649">
      <w:bodyDiv w:val="1"/>
      <w:marLeft w:val="0"/>
      <w:marRight w:val="0"/>
      <w:marTop w:val="0"/>
      <w:marBottom w:val="0"/>
      <w:divBdr>
        <w:top w:val="none" w:sz="0" w:space="0" w:color="auto"/>
        <w:left w:val="none" w:sz="0" w:space="0" w:color="auto"/>
        <w:bottom w:val="none" w:sz="0" w:space="0" w:color="auto"/>
        <w:right w:val="none" w:sz="0" w:space="0" w:color="auto"/>
      </w:divBdr>
    </w:div>
    <w:div w:id="2107772991">
      <w:bodyDiv w:val="1"/>
      <w:marLeft w:val="0"/>
      <w:marRight w:val="0"/>
      <w:marTop w:val="0"/>
      <w:marBottom w:val="0"/>
      <w:divBdr>
        <w:top w:val="none" w:sz="0" w:space="0" w:color="auto"/>
        <w:left w:val="none" w:sz="0" w:space="0" w:color="auto"/>
        <w:bottom w:val="none" w:sz="0" w:space="0" w:color="auto"/>
        <w:right w:val="none" w:sz="0" w:space="0" w:color="auto"/>
      </w:divBdr>
    </w:div>
    <w:div w:id="2108887131">
      <w:bodyDiv w:val="1"/>
      <w:marLeft w:val="0"/>
      <w:marRight w:val="0"/>
      <w:marTop w:val="0"/>
      <w:marBottom w:val="0"/>
      <w:divBdr>
        <w:top w:val="none" w:sz="0" w:space="0" w:color="auto"/>
        <w:left w:val="none" w:sz="0" w:space="0" w:color="auto"/>
        <w:bottom w:val="none" w:sz="0" w:space="0" w:color="auto"/>
        <w:right w:val="none" w:sz="0" w:space="0" w:color="auto"/>
      </w:divBdr>
      <w:divsChild>
        <w:div w:id="467941058">
          <w:marLeft w:val="0"/>
          <w:marRight w:val="0"/>
          <w:marTop w:val="0"/>
          <w:marBottom w:val="0"/>
          <w:divBdr>
            <w:top w:val="none" w:sz="0" w:space="0" w:color="auto"/>
            <w:left w:val="none" w:sz="0" w:space="0" w:color="auto"/>
            <w:bottom w:val="none" w:sz="0" w:space="0" w:color="auto"/>
            <w:right w:val="none" w:sz="0" w:space="0" w:color="auto"/>
          </w:divBdr>
        </w:div>
        <w:div w:id="1247569997">
          <w:marLeft w:val="0"/>
          <w:marRight w:val="0"/>
          <w:marTop w:val="0"/>
          <w:marBottom w:val="0"/>
          <w:divBdr>
            <w:top w:val="none" w:sz="0" w:space="0" w:color="auto"/>
            <w:left w:val="none" w:sz="0" w:space="0" w:color="auto"/>
            <w:bottom w:val="none" w:sz="0" w:space="0" w:color="auto"/>
            <w:right w:val="none" w:sz="0" w:space="0" w:color="auto"/>
          </w:divBdr>
        </w:div>
      </w:divsChild>
    </w:div>
    <w:div w:id="2118864743">
      <w:bodyDiv w:val="1"/>
      <w:marLeft w:val="0"/>
      <w:marRight w:val="0"/>
      <w:marTop w:val="0"/>
      <w:marBottom w:val="0"/>
      <w:divBdr>
        <w:top w:val="none" w:sz="0" w:space="0" w:color="auto"/>
        <w:left w:val="none" w:sz="0" w:space="0" w:color="auto"/>
        <w:bottom w:val="none" w:sz="0" w:space="0" w:color="auto"/>
        <w:right w:val="none" w:sz="0" w:space="0" w:color="auto"/>
      </w:divBdr>
    </w:div>
    <w:div w:id="2133667518">
      <w:bodyDiv w:val="1"/>
      <w:marLeft w:val="0"/>
      <w:marRight w:val="0"/>
      <w:marTop w:val="0"/>
      <w:marBottom w:val="0"/>
      <w:divBdr>
        <w:top w:val="none" w:sz="0" w:space="0" w:color="auto"/>
        <w:left w:val="none" w:sz="0" w:space="0" w:color="auto"/>
        <w:bottom w:val="none" w:sz="0" w:space="0" w:color="auto"/>
        <w:right w:val="none" w:sz="0" w:space="0" w:color="auto"/>
      </w:divBdr>
      <w:divsChild>
        <w:div w:id="1286958901">
          <w:marLeft w:val="0"/>
          <w:marRight w:val="0"/>
          <w:marTop w:val="0"/>
          <w:marBottom w:val="0"/>
          <w:divBdr>
            <w:top w:val="none" w:sz="0" w:space="0" w:color="auto"/>
            <w:left w:val="none" w:sz="0" w:space="0" w:color="auto"/>
            <w:bottom w:val="none" w:sz="0" w:space="0" w:color="auto"/>
            <w:right w:val="none" w:sz="0" w:space="0" w:color="auto"/>
          </w:divBdr>
        </w:div>
        <w:div w:id="1842155107">
          <w:marLeft w:val="0"/>
          <w:marRight w:val="0"/>
          <w:marTop w:val="0"/>
          <w:marBottom w:val="0"/>
          <w:divBdr>
            <w:top w:val="none" w:sz="0" w:space="0" w:color="auto"/>
            <w:left w:val="none" w:sz="0" w:space="0" w:color="auto"/>
            <w:bottom w:val="none" w:sz="0" w:space="0" w:color="auto"/>
            <w:right w:val="none" w:sz="0" w:space="0" w:color="auto"/>
          </w:divBdr>
        </w:div>
      </w:divsChild>
    </w:div>
    <w:div w:id="2137140185">
      <w:bodyDiv w:val="1"/>
      <w:marLeft w:val="0"/>
      <w:marRight w:val="0"/>
      <w:marTop w:val="0"/>
      <w:marBottom w:val="0"/>
      <w:divBdr>
        <w:top w:val="none" w:sz="0" w:space="0" w:color="auto"/>
        <w:left w:val="none" w:sz="0" w:space="0" w:color="auto"/>
        <w:bottom w:val="none" w:sz="0" w:space="0" w:color="auto"/>
        <w:right w:val="none" w:sz="0" w:space="0" w:color="auto"/>
      </w:divBdr>
    </w:div>
    <w:div w:id="2137679719">
      <w:bodyDiv w:val="1"/>
      <w:marLeft w:val="0"/>
      <w:marRight w:val="0"/>
      <w:marTop w:val="0"/>
      <w:marBottom w:val="0"/>
      <w:divBdr>
        <w:top w:val="none" w:sz="0" w:space="0" w:color="auto"/>
        <w:left w:val="none" w:sz="0" w:space="0" w:color="auto"/>
        <w:bottom w:val="none" w:sz="0" w:space="0" w:color="auto"/>
        <w:right w:val="none" w:sz="0" w:space="0" w:color="auto"/>
      </w:divBdr>
    </w:div>
    <w:div w:id="2145003751">
      <w:bodyDiv w:val="1"/>
      <w:marLeft w:val="0"/>
      <w:marRight w:val="0"/>
      <w:marTop w:val="0"/>
      <w:marBottom w:val="0"/>
      <w:divBdr>
        <w:top w:val="none" w:sz="0" w:space="0" w:color="auto"/>
        <w:left w:val="none" w:sz="0" w:space="0" w:color="auto"/>
        <w:bottom w:val="none" w:sz="0" w:space="0" w:color="auto"/>
        <w:right w:val="none" w:sz="0" w:space="0" w:color="auto"/>
      </w:divBdr>
    </w:div>
    <w:div w:id="2146386725">
      <w:bodyDiv w:val="1"/>
      <w:marLeft w:val="0"/>
      <w:marRight w:val="0"/>
      <w:marTop w:val="0"/>
      <w:marBottom w:val="0"/>
      <w:divBdr>
        <w:top w:val="none" w:sz="0" w:space="0" w:color="auto"/>
        <w:left w:val="none" w:sz="0" w:space="0" w:color="auto"/>
        <w:bottom w:val="none" w:sz="0" w:space="0" w:color="auto"/>
        <w:right w:val="none" w:sz="0" w:space="0" w:color="auto"/>
      </w:divBdr>
      <w:divsChild>
        <w:div w:id="62216775">
          <w:marLeft w:val="0"/>
          <w:marRight w:val="0"/>
          <w:marTop w:val="0"/>
          <w:marBottom w:val="0"/>
          <w:divBdr>
            <w:top w:val="none" w:sz="0" w:space="0" w:color="auto"/>
            <w:left w:val="none" w:sz="0" w:space="0" w:color="auto"/>
            <w:bottom w:val="none" w:sz="0" w:space="0" w:color="auto"/>
            <w:right w:val="none" w:sz="0" w:space="0" w:color="auto"/>
          </w:divBdr>
          <w:divsChild>
            <w:div w:id="1175993645">
              <w:marLeft w:val="-75"/>
              <w:marRight w:val="0"/>
              <w:marTop w:val="30"/>
              <w:marBottom w:val="30"/>
              <w:divBdr>
                <w:top w:val="none" w:sz="0" w:space="0" w:color="auto"/>
                <w:left w:val="none" w:sz="0" w:space="0" w:color="auto"/>
                <w:bottom w:val="none" w:sz="0" w:space="0" w:color="auto"/>
                <w:right w:val="none" w:sz="0" w:space="0" w:color="auto"/>
              </w:divBdr>
              <w:divsChild>
                <w:div w:id="156922254">
                  <w:marLeft w:val="0"/>
                  <w:marRight w:val="0"/>
                  <w:marTop w:val="0"/>
                  <w:marBottom w:val="0"/>
                  <w:divBdr>
                    <w:top w:val="none" w:sz="0" w:space="0" w:color="auto"/>
                    <w:left w:val="none" w:sz="0" w:space="0" w:color="auto"/>
                    <w:bottom w:val="none" w:sz="0" w:space="0" w:color="auto"/>
                    <w:right w:val="none" w:sz="0" w:space="0" w:color="auto"/>
                  </w:divBdr>
                  <w:divsChild>
                    <w:div w:id="972947653">
                      <w:marLeft w:val="0"/>
                      <w:marRight w:val="0"/>
                      <w:marTop w:val="0"/>
                      <w:marBottom w:val="0"/>
                      <w:divBdr>
                        <w:top w:val="none" w:sz="0" w:space="0" w:color="auto"/>
                        <w:left w:val="none" w:sz="0" w:space="0" w:color="auto"/>
                        <w:bottom w:val="none" w:sz="0" w:space="0" w:color="auto"/>
                        <w:right w:val="none" w:sz="0" w:space="0" w:color="auto"/>
                      </w:divBdr>
                    </w:div>
                  </w:divsChild>
                </w:div>
                <w:div w:id="421531787">
                  <w:marLeft w:val="0"/>
                  <w:marRight w:val="0"/>
                  <w:marTop w:val="0"/>
                  <w:marBottom w:val="0"/>
                  <w:divBdr>
                    <w:top w:val="none" w:sz="0" w:space="0" w:color="auto"/>
                    <w:left w:val="none" w:sz="0" w:space="0" w:color="auto"/>
                    <w:bottom w:val="none" w:sz="0" w:space="0" w:color="auto"/>
                    <w:right w:val="none" w:sz="0" w:space="0" w:color="auto"/>
                  </w:divBdr>
                  <w:divsChild>
                    <w:div w:id="969432561">
                      <w:marLeft w:val="0"/>
                      <w:marRight w:val="0"/>
                      <w:marTop w:val="0"/>
                      <w:marBottom w:val="0"/>
                      <w:divBdr>
                        <w:top w:val="none" w:sz="0" w:space="0" w:color="auto"/>
                        <w:left w:val="none" w:sz="0" w:space="0" w:color="auto"/>
                        <w:bottom w:val="none" w:sz="0" w:space="0" w:color="auto"/>
                        <w:right w:val="none" w:sz="0" w:space="0" w:color="auto"/>
                      </w:divBdr>
                    </w:div>
                  </w:divsChild>
                </w:div>
                <w:div w:id="726955776">
                  <w:marLeft w:val="0"/>
                  <w:marRight w:val="0"/>
                  <w:marTop w:val="0"/>
                  <w:marBottom w:val="0"/>
                  <w:divBdr>
                    <w:top w:val="none" w:sz="0" w:space="0" w:color="auto"/>
                    <w:left w:val="none" w:sz="0" w:space="0" w:color="auto"/>
                    <w:bottom w:val="none" w:sz="0" w:space="0" w:color="auto"/>
                    <w:right w:val="none" w:sz="0" w:space="0" w:color="auto"/>
                  </w:divBdr>
                  <w:divsChild>
                    <w:div w:id="1600723397">
                      <w:marLeft w:val="0"/>
                      <w:marRight w:val="0"/>
                      <w:marTop w:val="0"/>
                      <w:marBottom w:val="0"/>
                      <w:divBdr>
                        <w:top w:val="none" w:sz="0" w:space="0" w:color="auto"/>
                        <w:left w:val="none" w:sz="0" w:space="0" w:color="auto"/>
                        <w:bottom w:val="none" w:sz="0" w:space="0" w:color="auto"/>
                        <w:right w:val="none" w:sz="0" w:space="0" w:color="auto"/>
                      </w:divBdr>
                    </w:div>
                  </w:divsChild>
                </w:div>
                <w:div w:id="879169500">
                  <w:marLeft w:val="0"/>
                  <w:marRight w:val="0"/>
                  <w:marTop w:val="0"/>
                  <w:marBottom w:val="0"/>
                  <w:divBdr>
                    <w:top w:val="none" w:sz="0" w:space="0" w:color="auto"/>
                    <w:left w:val="none" w:sz="0" w:space="0" w:color="auto"/>
                    <w:bottom w:val="none" w:sz="0" w:space="0" w:color="auto"/>
                    <w:right w:val="none" w:sz="0" w:space="0" w:color="auto"/>
                  </w:divBdr>
                  <w:divsChild>
                    <w:div w:id="607735668">
                      <w:marLeft w:val="0"/>
                      <w:marRight w:val="0"/>
                      <w:marTop w:val="0"/>
                      <w:marBottom w:val="0"/>
                      <w:divBdr>
                        <w:top w:val="none" w:sz="0" w:space="0" w:color="auto"/>
                        <w:left w:val="none" w:sz="0" w:space="0" w:color="auto"/>
                        <w:bottom w:val="none" w:sz="0" w:space="0" w:color="auto"/>
                        <w:right w:val="none" w:sz="0" w:space="0" w:color="auto"/>
                      </w:divBdr>
                    </w:div>
                  </w:divsChild>
                </w:div>
                <w:div w:id="912470909">
                  <w:marLeft w:val="0"/>
                  <w:marRight w:val="0"/>
                  <w:marTop w:val="0"/>
                  <w:marBottom w:val="0"/>
                  <w:divBdr>
                    <w:top w:val="none" w:sz="0" w:space="0" w:color="auto"/>
                    <w:left w:val="none" w:sz="0" w:space="0" w:color="auto"/>
                    <w:bottom w:val="none" w:sz="0" w:space="0" w:color="auto"/>
                    <w:right w:val="none" w:sz="0" w:space="0" w:color="auto"/>
                  </w:divBdr>
                  <w:divsChild>
                    <w:div w:id="1199322671">
                      <w:marLeft w:val="0"/>
                      <w:marRight w:val="0"/>
                      <w:marTop w:val="0"/>
                      <w:marBottom w:val="0"/>
                      <w:divBdr>
                        <w:top w:val="none" w:sz="0" w:space="0" w:color="auto"/>
                        <w:left w:val="none" w:sz="0" w:space="0" w:color="auto"/>
                        <w:bottom w:val="none" w:sz="0" w:space="0" w:color="auto"/>
                        <w:right w:val="none" w:sz="0" w:space="0" w:color="auto"/>
                      </w:divBdr>
                    </w:div>
                  </w:divsChild>
                </w:div>
                <w:div w:id="923150682">
                  <w:marLeft w:val="0"/>
                  <w:marRight w:val="0"/>
                  <w:marTop w:val="0"/>
                  <w:marBottom w:val="0"/>
                  <w:divBdr>
                    <w:top w:val="none" w:sz="0" w:space="0" w:color="auto"/>
                    <w:left w:val="none" w:sz="0" w:space="0" w:color="auto"/>
                    <w:bottom w:val="none" w:sz="0" w:space="0" w:color="auto"/>
                    <w:right w:val="none" w:sz="0" w:space="0" w:color="auto"/>
                  </w:divBdr>
                  <w:divsChild>
                    <w:div w:id="1276786036">
                      <w:marLeft w:val="0"/>
                      <w:marRight w:val="0"/>
                      <w:marTop w:val="0"/>
                      <w:marBottom w:val="0"/>
                      <w:divBdr>
                        <w:top w:val="none" w:sz="0" w:space="0" w:color="auto"/>
                        <w:left w:val="none" w:sz="0" w:space="0" w:color="auto"/>
                        <w:bottom w:val="none" w:sz="0" w:space="0" w:color="auto"/>
                        <w:right w:val="none" w:sz="0" w:space="0" w:color="auto"/>
                      </w:divBdr>
                    </w:div>
                  </w:divsChild>
                </w:div>
                <w:div w:id="967472601">
                  <w:marLeft w:val="0"/>
                  <w:marRight w:val="0"/>
                  <w:marTop w:val="0"/>
                  <w:marBottom w:val="0"/>
                  <w:divBdr>
                    <w:top w:val="none" w:sz="0" w:space="0" w:color="auto"/>
                    <w:left w:val="none" w:sz="0" w:space="0" w:color="auto"/>
                    <w:bottom w:val="none" w:sz="0" w:space="0" w:color="auto"/>
                    <w:right w:val="none" w:sz="0" w:space="0" w:color="auto"/>
                  </w:divBdr>
                  <w:divsChild>
                    <w:div w:id="1455950496">
                      <w:marLeft w:val="0"/>
                      <w:marRight w:val="0"/>
                      <w:marTop w:val="0"/>
                      <w:marBottom w:val="0"/>
                      <w:divBdr>
                        <w:top w:val="none" w:sz="0" w:space="0" w:color="auto"/>
                        <w:left w:val="none" w:sz="0" w:space="0" w:color="auto"/>
                        <w:bottom w:val="none" w:sz="0" w:space="0" w:color="auto"/>
                        <w:right w:val="none" w:sz="0" w:space="0" w:color="auto"/>
                      </w:divBdr>
                    </w:div>
                  </w:divsChild>
                </w:div>
                <w:div w:id="1020862171">
                  <w:marLeft w:val="0"/>
                  <w:marRight w:val="0"/>
                  <w:marTop w:val="0"/>
                  <w:marBottom w:val="0"/>
                  <w:divBdr>
                    <w:top w:val="none" w:sz="0" w:space="0" w:color="auto"/>
                    <w:left w:val="none" w:sz="0" w:space="0" w:color="auto"/>
                    <w:bottom w:val="none" w:sz="0" w:space="0" w:color="auto"/>
                    <w:right w:val="none" w:sz="0" w:space="0" w:color="auto"/>
                  </w:divBdr>
                  <w:divsChild>
                    <w:div w:id="979531833">
                      <w:marLeft w:val="0"/>
                      <w:marRight w:val="0"/>
                      <w:marTop w:val="0"/>
                      <w:marBottom w:val="0"/>
                      <w:divBdr>
                        <w:top w:val="none" w:sz="0" w:space="0" w:color="auto"/>
                        <w:left w:val="none" w:sz="0" w:space="0" w:color="auto"/>
                        <w:bottom w:val="none" w:sz="0" w:space="0" w:color="auto"/>
                        <w:right w:val="none" w:sz="0" w:space="0" w:color="auto"/>
                      </w:divBdr>
                    </w:div>
                  </w:divsChild>
                </w:div>
                <w:div w:id="1071737873">
                  <w:marLeft w:val="0"/>
                  <w:marRight w:val="0"/>
                  <w:marTop w:val="0"/>
                  <w:marBottom w:val="0"/>
                  <w:divBdr>
                    <w:top w:val="none" w:sz="0" w:space="0" w:color="auto"/>
                    <w:left w:val="none" w:sz="0" w:space="0" w:color="auto"/>
                    <w:bottom w:val="none" w:sz="0" w:space="0" w:color="auto"/>
                    <w:right w:val="none" w:sz="0" w:space="0" w:color="auto"/>
                  </w:divBdr>
                  <w:divsChild>
                    <w:div w:id="2085103944">
                      <w:marLeft w:val="0"/>
                      <w:marRight w:val="0"/>
                      <w:marTop w:val="0"/>
                      <w:marBottom w:val="0"/>
                      <w:divBdr>
                        <w:top w:val="none" w:sz="0" w:space="0" w:color="auto"/>
                        <w:left w:val="none" w:sz="0" w:space="0" w:color="auto"/>
                        <w:bottom w:val="none" w:sz="0" w:space="0" w:color="auto"/>
                        <w:right w:val="none" w:sz="0" w:space="0" w:color="auto"/>
                      </w:divBdr>
                    </w:div>
                  </w:divsChild>
                </w:div>
                <w:div w:id="1242788870">
                  <w:marLeft w:val="0"/>
                  <w:marRight w:val="0"/>
                  <w:marTop w:val="0"/>
                  <w:marBottom w:val="0"/>
                  <w:divBdr>
                    <w:top w:val="none" w:sz="0" w:space="0" w:color="auto"/>
                    <w:left w:val="none" w:sz="0" w:space="0" w:color="auto"/>
                    <w:bottom w:val="none" w:sz="0" w:space="0" w:color="auto"/>
                    <w:right w:val="none" w:sz="0" w:space="0" w:color="auto"/>
                  </w:divBdr>
                  <w:divsChild>
                    <w:div w:id="1794983819">
                      <w:marLeft w:val="0"/>
                      <w:marRight w:val="0"/>
                      <w:marTop w:val="0"/>
                      <w:marBottom w:val="0"/>
                      <w:divBdr>
                        <w:top w:val="none" w:sz="0" w:space="0" w:color="auto"/>
                        <w:left w:val="none" w:sz="0" w:space="0" w:color="auto"/>
                        <w:bottom w:val="none" w:sz="0" w:space="0" w:color="auto"/>
                        <w:right w:val="none" w:sz="0" w:space="0" w:color="auto"/>
                      </w:divBdr>
                    </w:div>
                  </w:divsChild>
                </w:div>
                <w:div w:id="1278677795">
                  <w:marLeft w:val="0"/>
                  <w:marRight w:val="0"/>
                  <w:marTop w:val="0"/>
                  <w:marBottom w:val="0"/>
                  <w:divBdr>
                    <w:top w:val="none" w:sz="0" w:space="0" w:color="auto"/>
                    <w:left w:val="none" w:sz="0" w:space="0" w:color="auto"/>
                    <w:bottom w:val="none" w:sz="0" w:space="0" w:color="auto"/>
                    <w:right w:val="none" w:sz="0" w:space="0" w:color="auto"/>
                  </w:divBdr>
                  <w:divsChild>
                    <w:div w:id="1793094716">
                      <w:marLeft w:val="0"/>
                      <w:marRight w:val="0"/>
                      <w:marTop w:val="0"/>
                      <w:marBottom w:val="0"/>
                      <w:divBdr>
                        <w:top w:val="none" w:sz="0" w:space="0" w:color="auto"/>
                        <w:left w:val="none" w:sz="0" w:space="0" w:color="auto"/>
                        <w:bottom w:val="none" w:sz="0" w:space="0" w:color="auto"/>
                        <w:right w:val="none" w:sz="0" w:space="0" w:color="auto"/>
                      </w:divBdr>
                    </w:div>
                  </w:divsChild>
                </w:div>
                <w:div w:id="1330447925">
                  <w:marLeft w:val="0"/>
                  <w:marRight w:val="0"/>
                  <w:marTop w:val="0"/>
                  <w:marBottom w:val="0"/>
                  <w:divBdr>
                    <w:top w:val="none" w:sz="0" w:space="0" w:color="auto"/>
                    <w:left w:val="none" w:sz="0" w:space="0" w:color="auto"/>
                    <w:bottom w:val="none" w:sz="0" w:space="0" w:color="auto"/>
                    <w:right w:val="none" w:sz="0" w:space="0" w:color="auto"/>
                  </w:divBdr>
                  <w:divsChild>
                    <w:div w:id="1624073682">
                      <w:marLeft w:val="0"/>
                      <w:marRight w:val="0"/>
                      <w:marTop w:val="0"/>
                      <w:marBottom w:val="0"/>
                      <w:divBdr>
                        <w:top w:val="none" w:sz="0" w:space="0" w:color="auto"/>
                        <w:left w:val="none" w:sz="0" w:space="0" w:color="auto"/>
                        <w:bottom w:val="none" w:sz="0" w:space="0" w:color="auto"/>
                        <w:right w:val="none" w:sz="0" w:space="0" w:color="auto"/>
                      </w:divBdr>
                    </w:div>
                  </w:divsChild>
                </w:div>
                <w:div w:id="1378553808">
                  <w:marLeft w:val="0"/>
                  <w:marRight w:val="0"/>
                  <w:marTop w:val="0"/>
                  <w:marBottom w:val="0"/>
                  <w:divBdr>
                    <w:top w:val="none" w:sz="0" w:space="0" w:color="auto"/>
                    <w:left w:val="none" w:sz="0" w:space="0" w:color="auto"/>
                    <w:bottom w:val="none" w:sz="0" w:space="0" w:color="auto"/>
                    <w:right w:val="none" w:sz="0" w:space="0" w:color="auto"/>
                  </w:divBdr>
                  <w:divsChild>
                    <w:div w:id="1711030826">
                      <w:marLeft w:val="0"/>
                      <w:marRight w:val="0"/>
                      <w:marTop w:val="0"/>
                      <w:marBottom w:val="0"/>
                      <w:divBdr>
                        <w:top w:val="none" w:sz="0" w:space="0" w:color="auto"/>
                        <w:left w:val="none" w:sz="0" w:space="0" w:color="auto"/>
                        <w:bottom w:val="none" w:sz="0" w:space="0" w:color="auto"/>
                        <w:right w:val="none" w:sz="0" w:space="0" w:color="auto"/>
                      </w:divBdr>
                    </w:div>
                  </w:divsChild>
                </w:div>
                <w:div w:id="1553075273">
                  <w:marLeft w:val="0"/>
                  <w:marRight w:val="0"/>
                  <w:marTop w:val="0"/>
                  <w:marBottom w:val="0"/>
                  <w:divBdr>
                    <w:top w:val="none" w:sz="0" w:space="0" w:color="auto"/>
                    <w:left w:val="none" w:sz="0" w:space="0" w:color="auto"/>
                    <w:bottom w:val="none" w:sz="0" w:space="0" w:color="auto"/>
                    <w:right w:val="none" w:sz="0" w:space="0" w:color="auto"/>
                  </w:divBdr>
                  <w:divsChild>
                    <w:div w:id="1757051902">
                      <w:marLeft w:val="0"/>
                      <w:marRight w:val="0"/>
                      <w:marTop w:val="0"/>
                      <w:marBottom w:val="0"/>
                      <w:divBdr>
                        <w:top w:val="none" w:sz="0" w:space="0" w:color="auto"/>
                        <w:left w:val="none" w:sz="0" w:space="0" w:color="auto"/>
                        <w:bottom w:val="none" w:sz="0" w:space="0" w:color="auto"/>
                        <w:right w:val="none" w:sz="0" w:space="0" w:color="auto"/>
                      </w:divBdr>
                    </w:div>
                  </w:divsChild>
                </w:div>
                <w:div w:id="1681197448">
                  <w:marLeft w:val="0"/>
                  <w:marRight w:val="0"/>
                  <w:marTop w:val="0"/>
                  <w:marBottom w:val="0"/>
                  <w:divBdr>
                    <w:top w:val="none" w:sz="0" w:space="0" w:color="auto"/>
                    <w:left w:val="none" w:sz="0" w:space="0" w:color="auto"/>
                    <w:bottom w:val="none" w:sz="0" w:space="0" w:color="auto"/>
                    <w:right w:val="none" w:sz="0" w:space="0" w:color="auto"/>
                  </w:divBdr>
                  <w:divsChild>
                    <w:div w:id="669137623">
                      <w:marLeft w:val="0"/>
                      <w:marRight w:val="0"/>
                      <w:marTop w:val="0"/>
                      <w:marBottom w:val="0"/>
                      <w:divBdr>
                        <w:top w:val="none" w:sz="0" w:space="0" w:color="auto"/>
                        <w:left w:val="none" w:sz="0" w:space="0" w:color="auto"/>
                        <w:bottom w:val="none" w:sz="0" w:space="0" w:color="auto"/>
                        <w:right w:val="none" w:sz="0" w:space="0" w:color="auto"/>
                      </w:divBdr>
                    </w:div>
                  </w:divsChild>
                </w:div>
                <w:div w:id="1685130385">
                  <w:marLeft w:val="0"/>
                  <w:marRight w:val="0"/>
                  <w:marTop w:val="0"/>
                  <w:marBottom w:val="0"/>
                  <w:divBdr>
                    <w:top w:val="none" w:sz="0" w:space="0" w:color="auto"/>
                    <w:left w:val="none" w:sz="0" w:space="0" w:color="auto"/>
                    <w:bottom w:val="none" w:sz="0" w:space="0" w:color="auto"/>
                    <w:right w:val="none" w:sz="0" w:space="0" w:color="auto"/>
                  </w:divBdr>
                  <w:divsChild>
                    <w:div w:id="823547415">
                      <w:marLeft w:val="0"/>
                      <w:marRight w:val="0"/>
                      <w:marTop w:val="0"/>
                      <w:marBottom w:val="0"/>
                      <w:divBdr>
                        <w:top w:val="none" w:sz="0" w:space="0" w:color="auto"/>
                        <w:left w:val="none" w:sz="0" w:space="0" w:color="auto"/>
                        <w:bottom w:val="none" w:sz="0" w:space="0" w:color="auto"/>
                        <w:right w:val="none" w:sz="0" w:space="0" w:color="auto"/>
                      </w:divBdr>
                    </w:div>
                  </w:divsChild>
                </w:div>
                <w:div w:id="1905021639">
                  <w:marLeft w:val="0"/>
                  <w:marRight w:val="0"/>
                  <w:marTop w:val="0"/>
                  <w:marBottom w:val="0"/>
                  <w:divBdr>
                    <w:top w:val="none" w:sz="0" w:space="0" w:color="auto"/>
                    <w:left w:val="none" w:sz="0" w:space="0" w:color="auto"/>
                    <w:bottom w:val="none" w:sz="0" w:space="0" w:color="auto"/>
                    <w:right w:val="none" w:sz="0" w:space="0" w:color="auto"/>
                  </w:divBdr>
                  <w:divsChild>
                    <w:div w:id="1061321019">
                      <w:marLeft w:val="0"/>
                      <w:marRight w:val="0"/>
                      <w:marTop w:val="0"/>
                      <w:marBottom w:val="0"/>
                      <w:divBdr>
                        <w:top w:val="none" w:sz="0" w:space="0" w:color="auto"/>
                        <w:left w:val="none" w:sz="0" w:space="0" w:color="auto"/>
                        <w:bottom w:val="none" w:sz="0" w:space="0" w:color="auto"/>
                        <w:right w:val="none" w:sz="0" w:space="0" w:color="auto"/>
                      </w:divBdr>
                    </w:div>
                  </w:divsChild>
                </w:div>
                <w:div w:id="1928731257">
                  <w:marLeft w:val="0"/>
                  <w:marRight w:val="0"/>
                  <w:marTop w:val="0"/>
                  <w:marBottom w:val="0"/>
                  <w:divBdr>
                    <w:top w:val="none" w:sz="0" w:space="0" w:color="auto"/>
                    <w:left w:val="none" w:sz="0" w:space="0" w:color="auto"/>
                    <w:bottom w:val="none" w:sz="0" w:space="0" w:color="auto"/>
                    <w:right w:val="none" w:sz="0" w:space="0" w:color="auto"/>
                  </w:divBdr>
                  <w:divsChild>
                    <w:div w:id="139275313">
                      <w:marLeft w:val="0"/>
                      <w:marRight w:val="0"/>
                      <w:marTop w:val="0"/>
                      <w:marBottom w:val="0"/>
                      <w:divBdr>
                        <w:top w:val="none" w:sz="0" w:space="0" w:color="auto"/>
                        <w:left w:val="none" w:sz="0" w:space="0" w:color="auto"/>
                        <w:bottom w:val="none" w:sz="0" w:space="0" w:color="auto"/>
                        <w:right w:val="none" w:sz="0" w:space="0" w:color="auto"/>
                      </w:divBdr>
                    </w:div>
                  </w:divsChild>
                </w:div>
                <w:div w:id="2084252093">
                  <w:marLeft w:val="0"/>
                  <w:marRight w:val="0"/>
                  <w:marTop w:val="0"/>
                  <w:marBottom w:val="0"/>
                  <w:divBdr>
                    <w:top w:val="none" w:sz="0" w:space="0" w:color="auto"/>
                    <w:left w:val="none" w:sz="0" w:space="0" w:color="auto"/>
                    <w:bottom w:val="none" w:sz="0" w:space="0" w:color="auto"/>
                    <w:right w:val="none" w:sz="0" w:space="0" w:color="auto"/>
                  </w:divBdr>
                  <w:divsChild>
                    <w:div w:id="1290355339">
                      <w:marLeft w:val="0"/>
                      <w:marRight w:val="0"/>
                      <w:marTop w:val="0"/>
                      <w:marBottom w:val="0"/>
                      <w:divBdr>
                        <w:top w:val="none" w:sz="0" w:space="0" w:color="auto"/>
                        <w:left w:val="none" w:sz="0" w:space="0" w:color="auto"/>
                        <w:bottom w:val="none" w:sz="0" w:space="0" w:color="auto"/>
                        <w:right w:val="none" w:sz="0" w:space="0" w:color="auto"/>
                      </w:divBdr>
                    </w:div>
                  </w:divsChild>
                </w:div>
                <w:div w:id="2109308766">
                  <w:marLeft w:val="0"/>
                  <w:marRight w:val="0"/>
                  <w:marTop w:val="0"/>
                  <w:marBottom w:val="0"/>
                  <w:divBdr>
                    <w:top w:val="none" w:sz="0" w:space="0" w:color="auto"/>
                    <w:left w:val="none" w:sz="0" w:space="0" w:color="auto"/>
                    <w:bottom w:val="none" w:sz="0" w:space="0" w:color="auto"/>
                    <w:right w:val="none" w:sz="0" w:space="0" w:color="auto"/>
                  </w:divBdr>
                  <w:divsChild>
                    <w:div w:id="9892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10197">
          <w:marLeft w:val="0"/>
          <w:marRight w:val="0"/>
          <w:marTop w:val="0"/>
          <w:marBottom w:val="0"/>
          <w:divBdr>
            <w:top w:val="none" w:sz="0" w:space="0" w:color="auto"/>
            <w:left w:val="none" w:sz="0" w:space="0" w:color="auto"/>
            <w:bottom w:val="none" w:sz="0" w:space="0" w:color="auto"/>
            <w:right w:val="none" w:sz="0" w:space="0" w:color="auto"/>
          </w:divBdr>
        </w:div>
        <w:div w:id="1356619154">
          <w:marLeft w:val="0"/>
          <w:marRight w:val="0"/>
          <w:marTop w:val="0"/>
          <w:marBottom w:val="0"/>
          <w:divBdr>
            <w:top w:val="none" w:sz="0" w:space="0" w:color="auto"/>
            <w:left w:val="none" w:sz="0" w:space="0" w:color="auto"/>
            <w:bottom w:val="none" w:sz="0" w:space="0" w:color="auto"/>
            <w:right w:val="none" w:sz="0" w:space="0" w:color="auto"/>
          </w:divBdr>
        </w:div>
        <w:div w:id="1536192777">
          <w:marLeft w:val="0"/>
          <w:marRight w:val="0"/>
          <w:marTop w:val="0"/>
          <w:marBottom w:val="0"/>
          <w:divBdr>
            <w:top w:val="none" w:sz="0" w:space="0" w:color="auto"/>
            <w:left w:val="none" w:sz="0" w:space="0" w:color="auto"/>
            <w:bottom w:val="none" w:sz="0" w:space="0" w:color="auto"/>
            <w:right w:val="none" w:sz="0" w:space="0" w:color="auto"/>
          </w:divBdr>
        </w:div>
        <w:div w:id="182769884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ivel.nl/sites/default/files/bestanden/1004234.pdf" TargetMode="External"/><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hyperlink" Target="https://www.abelia.no/omstillingsbarometeret/2022/" TargetMode="External"/><Relationship Id="rId138" Type="http://schemas.openxmlformats.org/officeDocument/2006/relationships/hyperlink" Target="https://victoriamarone.github.io/files/Fastlege_venteliste_90min.pdf" TargetMode="External"/><Relationship Id="rId159" Type="http://schemas.openxmlformats.org/officeDocument/2006/relationships/hyperlink" Target="https://lovdata.no/dokument/NL/lov/2011-06-24-30/KAPITTEL_4" TargetMode="External"/><Relationship Id="rId170" Type="http://schemas.openxmlformats.org/officeDocument/2006/relationships/hyperlink" Target="https://www.molde.kommune.no/helse-og-omsorg/akutt-helsehjelp/kontakt-legevakten/" TargetMode="External"/><Relationship Id="rId191" Type="http://schemas.openxmlformats.org/officeDocument/2006/relationships/hyperlink" Target="https://www.oecd-ilibrary.org/content/publication/a92adee4-en" TargetMode="External"/><Relationship Id="rId205" Type="http://schemas.openxmlformats.org/officeDocument/2006/relationships/hyperlink" Target="https://www.samordnaopptak.no/info/opptak/opptak-uhg/opptakskvoter/samiske-kvoter.html" TargetMode="External"/><Relationship Id="rId226" Type="http://schemas.openxmlformats.org/officeDocument/2006/relationships/footer" Target="footer1.xml"/><Relationship Id="rId107" Type="http://schemas.openxmlformats.org/officeDocument/2006/relationships/hyperlink" Target="https://www.digdir.no/digital-samhandling/rammeverk-digital-samhandling/2148" TargetMode="External"/><Relationship Id="rId11" Type="http://schemas.openxmlformats.org/officeDocument/2006/relationships/image" Target="media/image1.png"/><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hyperlink" Target="https://lovdata.no/dokument/SF/forskrift/2016-12-08-1482" TargetMode="External"/><Relationship Id="rId149" Type="http://schemas.openxmlformats.org/officeDocument/2006/relationships/hyperlink" Target="https://doi.org/10.4045/tidsskr.21.0253" TargetMode="External"/><Relationship Id="rId5" Type="http://schemas.openxmlformats.org/officeDocument/2006/relationships/numbering" Target="numbering.xml"/><Relationship Id="rId95" Type="http://schemas.openxmlformats.org/officeDocument/2006/relationships/hyperlink" Target="https://www.ssb.no/helse/helsetjenester/artikler/sykepleiere-pa-sykehus-jobber-mer-under-pandemien" TargetMode="External"/><Relationship Id="rId160" Type="http://schemas.openxmlformats.org/officeDocument/2006/relationships/hyperlink" Target="https://lovdata.no/dokument/NL/lov/2011-06-24-30/KAPITTEL_4" TargetMode="External"/><Relationship Id="rId181" Type="http://schemas.openxmlformats.org/officeDocument/2006/relationships/hyperlink" Target="https://www.england.nhs.uk/publication/update-on-quality-outcomes-framework-changes-for-2022-23/" TargetMode="External"/><Relationship Id="rId216" Type="http://schemas.openxmlformats.org/officeDocument/2006/relationships/hyperlink" Target="https://skr.se/demokratiledningstyrning/driftformervalfrihet/valfrihetssystemochersattningsmodeller/halsoochsjukvard/ersattningsmodellerhalsoochsjukvard/ersattningsmodelleriprimarvard.2061.html" TargetMode="Externa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ec.europa.eu/eurostat/statistics-explained/index.php?title=Healthcare_personnel_statistics_-_physicians" TargetMode="External"/><Relationship Id="rId118" Type="http://schemas.openxmlformats.org/officeDocument/2006/relationships/hyperlink" Target="https://lovdata.no/forskrift/1988-11-14-932" TargetMode="External"/><Relationship Id="rId134" Type="http://schemas.openxmlformats.org/officeDocument/2006/relationships/hyperlink" Target="https://www.helsedirektoratet.no/tema/helsefellesskap" TargetMode="External"/><Relationship Id="rId139" Type="http://schemas.openxmlformats.org/officeDocument/2006/relationships/hyperlink" Target="https://www.regjeringen.no/contentassets/e683123127ec414ca71b73a776a8f532/fastlegeforskrift.pdf" TargetMode="External"/><Relationship Id="rId80" Type="http://schemas.openxmlformats.org/officeDocument/2006/relationships/image" Target="media/image67.png"/><Relationship Id="rId85" Type="http://schemas.openxmlformats.org/officeDocument/2006/relationships/hyperlink" Target="https://doi.org/https://dx.doi.org/10.4045/tidsskr.21.0253" TargetMode="External"/><Relationship Id="rId150" Type="http://schemas.openxmlformats.org/officeDocument/2006/relationships/hyperlink" Target="https://www.legeforeningen.no/om-oss/fond-og-legater/utdanningsfond-ii/" TargetMode="External"/><Relationship Id="rId155" Type="http://schemas.openxmlformats.org/officeDocument/2006/relationships/hyperlink" Target="https://lovdata.no/dokument/NL/lov/1967-02-10" TargetMode="External"/><Relationship Id="rId171" Type="http://schemas.openxmlformats.org/officeDocument/2006/relationships/hyperlink" Target="https://www.bi.no/forskning/business-review/articles/2019/12/endringer-forer-til-grensearbeid/" TargetMode="External"/><Relationship Id="rId176" Type="http://schemas.openxmlformats.org/officeDocument/2006/relationships/hyperlink" Target="https://www.england.nhs.uk/primary-care/primary-care-networks/network-contract-des/iif/" TargetMode="External"/><Relationship Id="rId192" Type="http://schemas.openxmlformats.org/officeDocument/2006/relationships/hyperlink" Target="https://www.oecd-ilibrary.org/content/publication/82129230-en" TargetMode="External"/><Relationship Id="rId197" Type="http://schemas.openxmlformats.org/officeDocument/2006/relationships/hyperlink" Target="https://osloeconomics.no/wp-content/uploads/2022/05/HPA-evalueringsrapport-2022.pdf" TargetMode="External"/><Relationship Id="rId206" Type="http://schemas.openxmlformats.org/officeDocument/2006/relationships/hyperlink" Target="https://www.menon.no/wp-content/uploads/2022-142-Evaluering-av-pilot-for-utproving-av-triageringslosning.pdf" TargetMode="External"/><Relationship Id="rId227" Type="http://schemas.openxmlformats.org/officeDocument/2006/relationships/footer" Target="footer2.xml"/><Relationship Id="rId201" Type="http://schemas.openxmlformats.org/officeDocument/2006/relationships/hyperlink" Target="https://no.ramboll.com/presse/publikasjoner/it-i-praksis-2022" TargetMode="External"/><Relationship Id="rId222" Type="http://schemas.openxmlformats.org/officeDocument/2006/relationships/hyperlink" Target="https://www.who.int/europe/publications/i/item/9789289058339" TargetMode="External"/><Relationship Id="rId12" Type="http://schemas.openxmlformats.org/officeDocument/2006/relationships/image" Target="media/image2.tiff"/><Relationship Id="rId17" Type="http://schemas.openxmlformats.org/officeDocument/2006/relationships/hyperlink" Target="mailto:allmennlegetjenesten@helsedir.no" TargetMode="External"/><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emf"/><Relationship Id="rId103" Type="http://schemas.openxmlformats.org/officeDocument/2006/relationships/hyperlink" Target="https://www.datatilsynet.no/regelverk-og-verktoy/lover-og-regler/om-personopplysningsloven-og-nar-den-gjelder/" TargetMode="External"/><Relationship Id="rId108" Type="http://schemas.openxmlformats.org/officeDocument/2006/relationships/hyperlink" Target="https://avkommersialiseringsutvalget.no/mandat/" TargetMode="External"/><Relationship Id="rId124" Type="http://schemas.openxmlformats.org/officeDocument/2006/relationships/hyperlink" Target="https://lovdata.no/dokument/LTI/forskrift/2020-01-03-21" TargetMode="External"/><Relationship Id="rId129" Type="http://schemas.openxmlformats.org/officeDocument/2006/relationships/hyperlink" Target="https://lovdata.no/dokument/SF/forskrift/2022-06-29-1269"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hyperlink" Target="https://doi.org/10.1186/s12913-018-2983-3" TargetMode="External"/><Relationship Id="rId96" Type="http://schemas.openxmlformats.org/officeDocument/2006/relationships/hyperlink" Target="https://doi.org/10.4045/tidsskr.17.0427" TargetMode="External"/><Relationship Id="rId140" Type="http://schemas.openxmlformats.org/officeDocument/2006/relationships/hyperlink" Target="https://www.retsinformation.dk/eli/lta/2009/1219" TargetMode="External"/><Relationship Id="rId145" Type="http://schemas.openxmlformats.org/officeDocument/2006/relationships/hyperlink" Target="https://www.legeforeningen.no/contentassets/5acb1bbeaadf47d1975f2c41e6564bf9/rammeavtalen-2012.pdf" TargetMode="External"/><Relationship Id="rId161" Type="http://schemas.openxmlformats.org/officeDocument/2006/relationships/hyperlink" Target="https://lovdata.no/dokument/NL/lov/2018-06-22-83" TargetMode="External"/><Relationship Id="rId166" Type="http://schemas.openxmlformats.org/officeDocument/2006/relationships/hyperlink" Target="https://lovdata.no/dokument/NL/lov/2007-12-14-116" TargetMode="External"/><Relationship Id="rId182" Type="http://schemas.openxmlformats.org/officeDocument/2006/relationships/hyperlink" Target="https://www.england.nhs.uk/gp/expanding-our-workforce/" TargetMode="External"/><Relationship Id="rId187" Type="http://schemas.openxmlformats.org/officeDocument/2006/relationships/hyperlink" Target="https://www.nsf.no/arbeidsvilkar/pensjon" TargetMode="External"/><Relationship Id="rId217" Type="http://schemas.openxmlformats.org/officeDocument/2006/relationships/hyperlink" Target="https://www.tffk.no/om-oss/tiltakssonen/"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ssb.no/statbank/table/10814/" TargetMode="External"/><Relationship Id="rId23" Type="http://schemas.openxmlformats.org/officeDocument/2006/relationships/image" Target="cid:image001.png@01D95B21.C2CC5640" TargetMode="External"/><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hyperlink" Target="https://www.finansnorge.no/statistikk/skadeforsikring/helseforsikring/behandlingsforsikring/" TargetMode="External"/><Relationship Id="rId119" Type="http://schemas.openxmlformats.org/officeDocument/2006/relationships/hyperlink" Target="https://lovdata.no/dokument/SF/forskrift/2016-12-20-1848" TargetMode="External"/><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hyperlink" Target="https://doi.org/https://dx.doi.org/10.1186/s12960-015-0060-0" TargetMode="External"/><Relationship Id="rId130" Type="http://schemas.openxmlformats.org/officeDocument/2006/relationships/hyperlink" Target="https://www.forsakringskassan.se/privatperson/sjuk/anstalld/sjukpenning-for-anstallda" TargetMode="External"/><Relationship Id="rId135" Type="http://schemas.openxmlformats.org/officeDocument/2006/relationships/hyperlink" Target="https://opne-data.helserefusjon.no/" TargetMode="External"/><Relationship Id="rId151" Type="http://schemas.openxmlformats.org/officeDocument/2006/relationships/hyperlink" Target="https://lovdata.no/dokument/NL/lov/2005-06-17-62" TargetMode="External"/><Relationship Id="rId156" Type="http://schemas.openxmlformats.org/officeDocument/2006/relationships/hyperlink" Target="https://www.regjeringen.no/contentassets/658a620ad1bc494ba81d2abba423aa41/no/pdfs/prp201620170071000dddpdfs.pdf" TargetMode="External"/><Relationship Id="rId177" Type="http://schemas.openxmlformats.org/officeDocument/2006/relationships/hyperlink" Target="https://www.google.com/search?q=Letter+template+(england.nhs.uk)&amp;rlz=1C1GCEB_enNO927NO928&amp;oq=Letter+template+(england.nhs.uk)&amp;aqs=chrome.0.69i59.756j0j7&amp;sourceid=chrome&amp;ie=UTF-8" TargetMode="External"/><Relationship Id="rId198" Type="http://schemas.openxmlformats.org/officeDocument/2006/relationships/hyperlink" Target="https://www.laeger.dk/media/ybeopar2/plo_analyse_-_mere_personale_hos_de_praktiserende_laeger.pdf" TargetMode="External"/><Relationship Id="rId172" Type="http://schemas.openxmlformats.org/officeDocument/2006/relationships/hyperlink" Target="https://www.nav.no/egenmelding" TargetMode="External"/><Relationship Id="rId193" Type="http://schemas.openxmlformats.org/officeDocument/2006/relationships/hyperlink" Target="https://doi.org/10.5617/njhe.2801" TargetMode="External"/><Relationship Id="rId202" Type="http://schemas.openxmlformats.org/officeDocument/2006/relationships/hyperlink" Target="https://www.regjeringen.no/no/statsbudsjett/2023/id2927365/" TargetMode="External"/><Relationship Id="rId207" Type="http://schemas.openxmlformats.org/officeDocument/2006/relationships/hyperlink" Target="https://soteuudistus.fi/sv/programmet-framtidens-social-och-halsocentral" TargetMode="External"/><Relationship Id="rId223" Type="http://schemas.openxmlformats.org/officeDocument/2006/relationships/hyperlink" Target="https://doi.org/10.1111/wvn.12562" TargetMode="External"/><Relationship Id="rId228"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yperlink" Target="https://www.norwayhealthtech.com/nb/news/direktoratet-for-e-helse-og-healthcatalyst-inngar-avtale-for-a-styrke-samarbeidet-mellom-helse-og-omsorgssektoren-og-leverandorene/" TargetMode="Externa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www.bmj.com/careers/article/how-to-become-a-gp-in-the-uk-a-step-by-step-guide" TargetMode="External"/><Relationship Id="rId104" Type="http://schemas.openxmlformats.org/officeDocument/2006/relationships/hyperlink" Target="https://www.legeforeningen.no/jus-og-arbeidsliv/drift-av-legekontor/kjop-og-salg-av-praksis/nemndsavgjorelser/nasjonal-nemnd-fra-01.11.2006-floallmennpraksis/" TargetMode="External"/><Relationship Id="rId120" Type="http://schemas.openxmlformats.org/officeDocument/2006/relationships/hyperlink" Target="https://lovdata.no/dokument/SF/forskrift/2012-08-29-842" TargetMode="External"/><Relationship Id="rId125" Type="http://schemas.openxmlformats.org/officeDocument/2006/relationships/hyperlink" Target="https://lovdata.no/dokument/SF/forskrift/2012-08-29-843" TargetMode="External"/><Relationship Id="rId141" Type="http://schemas.openxmlformats.org/officeDocument/2006/relationships/hyperlink" Target="https://www.menon.no/wp-content/uploads/2022-57-Helsenaeringens-verdi-2022.pdf" TargetMode="External"/><Relationship Id="rId146" Type="http://schemas.openxmlformats.org/officeDocument/2006/relationships/hyperlink" Target="https://lovdata.no/dokument/SF/forskrift/2020-01-03-45" TargetMode="External"/><Relationship Id="rId167" Type="http://schemas.openxmlformats.org/officeDocument/2006/relationships/hyperlink" Target="https://lanekassen.no/nb-NO/gjeld-og-betaling/leger-i-utvalgte-kommuner/" TargetMode="External"/><Relationship Id="rId188" Type="http://schemas.openxmlformats.org/officeDocument/2006/relationships/hyperlink" Target="https://www.nuffieldtrust.org.uk/resource/access-to-gp-services" TargetMode="Externa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hyperlink" Target="https://doi.org/10.3399/bjgp19X702425" TargetMode="External"/><Relationship Id="rId162" Type="http://schemas.openxmlformats.org/officeDocument/2006/relationships/hyperlink" Target="https://lovdata.no/dokument/NL/lov/2017-06-16-51" TargetMode="External"/><Relationship Id="rId183" Type="http://schemas.openxmlformats.org/officeDocument/2006/relationships/hyperlink" Target="https://www.nearme.scot/" TargetMode="External"/><Relationship Id="rId213" Type="http://schemas.openxmlformats.org/officeDocument/2006/relationships/hyperlink" Target="https://www.borger.dk/arbejde-dagpenge-ferie/Dagpenge-kontanthjaelp-og-sygedagpenge/Sygedagpenge/Sygedagpenge-hvis-du-er-loenmodtager" TargetMode="External"/><Relationship Id="rId218" Type="http://schemas.openxmlformats.org/officeDocument/2006/relationships/hyperlink" Target="https://www.gla.ac.uk/schools/healthwellbeing/research/generalpractice/deepend/"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www.nuffieldtrust.org.uk/resource/access-to-gp-services" TargetMode="External"/><Relationship Id="rId110" Type="http://schemas.openxmlformats.org/officeDocument/2006/relationships/hyperlink" Target="https://www.dnv.com/Publications/how-do-i-turn-this-on-what-to-consider-when-adopting-ai-based-tools-into-clinical-practice-237225" TargetMode="External"/><Relationship Id="rId115" Type="http://schemas.openxmlformats.org/officeDocument/2006/relationships/hyperlink" Target="https://www.finlex.fi/sv/laki/alkup/2017/20170583" TargetMode="External"/><Relationship Id="rId131" Type="http://schemas.openxmlformats.org/officeDocument/2006/relationships/hyperlink" Target="https://www.regjeringen.no/no/dokumenter/meld.-st.-11-20202021/id2791147/?ch=1" TargetMode="External"/><Relationship Id="rId136" Type="http://schemas.openxmlformats.org/officeDocument/2006/relationships/hyperlink" Target="https://www.alis.no/om-alis-kontorene" TargetMode="External"/><Relationship Id="rId157" Type="http://schemas.openxmlformats.org/officeDocument/2006/relationships/hyperlink" Target="https://lovdata.no/dokument/NL/lov/1997-02-28-19?q=folketrygd" TargetMode="External"/><Relationship Id="rId178" Type="http://schemas.openxmlformats.org/officeDocument/2006/relationships/hyperlink" Target="https://www.england.nhs.uk/integratedcare/what-is-integrated-care/" TargetMode="Externa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yperlink" Target="https://lovdata.no/dokument/NL/lov/2005-06-17-64" TargetMode="External"/><Relationship Id="rId173" Type="http://schemas.openxmlformats.org/officeDocument/2006/relationships/hyperlink" Target="https://www.longtermplan.nhs.uk/about/" TargetMode="External"/><Relationship Id="rId194" Type="http://schemas.openxmlformats.org/officeDocument/2006/relationships/hyperlink" Target="https://www.regjeringen.no/no/dokumenter/otprp-nr-99-1998-99-/id160124/" TargetMode="External"/><Relationship Id="rId199" Type="http://schemas.openxmlformats.org/officeDocument/2006/relationships/hyperlink" Target="https://www.laeger.dk/media/rplizqb0/plo-analyse-personale-011222.pdf" TargetMode="External"/><Relationship Id="rId203" Type="http://schemas.openxmlformats.org/officeDocument/2006/relationships/hyperlink" Target="https://www.regjeringen.no/contentassets/296adc05dbee4ae1a1e015cbea31701e/rundskriv-i-2-2019-spesialistforskriften-med-kommentarer-revidert-30.-september-2022.pdf" TargetMode="External"/><Relationship Id="rId208" Type="http://schemas.openxmlformats.org/officeDocument/2006/relationships/hyperlink" Target="https://soteuudistus.fi/sv/bestammande-justering-av-finansieringen" TargetMode="External"/><Relationship Id="rId229" Type="http://schemas.openxmlformats.org/officeDocument/2006/relationships/theme" Target="theme/theme1.xml"/><Relationship Id="rId19" Type="http://schemas.openxmlformats.org/officeDocument/2006/relationships/image" Target="media/image8.png"/><Relationship Id="rId224" Type="http://schemas.openxmlformats.org/officeDocument/2006/relationships/hyperlink" Target="https://doi.org/10.1007/978-3-540-68540-1_10"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s://doi.org/10.12968/bjon.2019.28.20.1308" TargetMode="External"/><Relationship Id="rId105" Type="http://schemas.openxmlformats.org/officeDocument/2006/relationships/hyperlink" Target="https://www.legeforeningen.no/contentassets/3ec6c3f2be724b55b92784fc7d7931f0/sak-9.2-utredning-om-spesialitetsstruktur-vedlegg-1.pdf" TargetMode="External"/><Relationship Id="rId126" Type="http://schemas.openxmlformats.org/officeDocument/2006/relationships/hyperlink" Target="https://lovdata.no/dokument/SF/forskrift/2009-09-09-1175" TargetMode="External"/><Relationship Id="rId147" Type="http://schemas.openxmlformats.org/officeDocument/2006/relationships/hyperlink" Target="https://www.duo.uio.no/bitstream/handle/10852/38335/Prosjektoppgavenxendeligxversjonx05.07.13.pdf?sequence=1" TargetMode="External"/><Relationship Id="rId168" Type="http://schemas.openxmlformats.org/officeDocument/2006/relationships/hyperlink" Target="https://lanekassen.no/nb-NO/gjeld-og-betaling/finnmark-eller-nord-troms/soknad-om-sletting-av-gjeld-for-sokere-i-finnmark-og-nord-troms/"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s://doi.org/10.3399/bjgp23X732189" TargetMode="External"/><Relationship Id="rId98" Type="http://schemas.openxmlformats.org/officeDocument/2006/relationships/hyperlink" Target="https://doi.org/10.3399/bjgp20X710909" TargetMode="External"/><Relationship Id="rId121" Type="http://schemas.openxmlformats.org/officeDocument/2006/relationships/hyperlink" Target="https://lovdata.no/dokument/LTI/forskrift/2017-02-17-192" TargetMode="External"/><Relationship Id="rId142" Type="http://schemas.openxmlformats.org/officeDocument/2006/relationships/hyperlink" Target="https://www.kingsfund.org.uk/topics/integrated-care" TargetMode="External"/><Relationship Id="rId163" Type="http://schemas.openxmlformats.org/officeDocument/2006/relationships/hyperlink" Target="https://lovdata.no/dokument/NL/lov/2016-06-17-73" TargetMode="External"/><Relationship Id="rId184" Type="http://schemas.openxmlformats.org/officeDocument/2006/relationships/hyperlink" Target="https://www.nidarosfondet.no/kurs/grunnkurs-b-sep22/" TargetMode="External"/><Relationship Id="rId189" Type="http://schemas.openxmlformats.org/officeDocument/2006/relationships/hyperlink" Target="https://health.ec.europa.eu/system/files/2019-11/023_taskshifting_en_0.pdf" TargetMode="External"/><Relationship Id="rId219" Type="http://schemas.openxmlformats.org/officeDocument/2006/relationships/hyperlink" Target="https://doi.org/https://doi.org/10.5465/amr.2000.3707754" TargetMode="External"/><Relationship Id="rId3" Type="http://schemas.openxmlformats.org/officeDocument/2006/relationships/customXml" Target="../customXml/item3.xml"/><Relationship Id="rId214" Type="http://schemas.openxmlformats.org/officeDocument/2006/relationships/hyperlink" Target="https://laegerne-brande.dk/laegeattest-ved-sygefravaer/" TargetMode="Externa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hyperlink" Target="https://alrekhelseklynge.no/prosjekter/fronesis/" TargetMode="External"/><Relationship Id="rId137" Type="http://schemas.openxmlformats.org/officeDocument/2006/relationships/hyperlink" Target="https://www.helsenorge.no/bytte-fastlege/om/" TargetMode="External"/><Relationship Id="rId158" Type="http://schemas.openxmlformats.org/officeDocument/2006/relationships/hyperlink" Target="https://lovdata.no/dokument/NL/lov/1999-07-02-64" TargetMode="External"/><Relationship Id="rId20" Type="http://schemas.openxmlformats.org/officeDocument/2006/relationships/image" Target="media/image9.png"/><Relationship Id="rId41" Type="http://schemas.openxmlformats.org/officeDocument/2006/relationships/image" Target="media/image28.tiff"/><Relationship Id="rId62" Type="http://schemas.openxmlformats.org/officeDocument/2006/relationships/image" Target="media/image49.png"/><Relationship Id="rId83" Type="http://schemas.openxmlformats.org/officeDocument/2006/relationships/hyperlink" Target="http://www.who.int/en/" TargetMode="External"/><Relationship Id="rId88" Type="http://schemas.openxmlformats.org/officeDocument/2006/relationships/hyperlink" Target="https://forskning.no/helsetjenester-norges-forskningsrad-partner/fastlegen-pavirker-sykefravaer/480330" TargetMode="External"/><Relationship Id="rId111" Type="http://schemas.openxmlformats.org/officeDocument/2006/relationships/hyperlink" Target="https://gpinfo.nl/about-gpinfonl" TargetMode="External"/><Relationship Id="rId132" Type="http://schemas.openxmlformats.org/officeDocument/2006/relationships/hyperlink" Target="https://www.helsedirektoratet.no/faglige-rad/veiledning-av-leger-i-spesialisering/om-de-faglige-radene" TargetMode="External"/><Relationship Id="rId153" Type="http://schemas.openxmlformats.org/officeDocument/2006/relationships/hyperlink" Target="https://lovdata.no/dokument/NL/lov/2014-06-20-42" TargetMode="External"/><Relationship Id="rId174" Type="http://schemas.openxmlformats.org/officeDocument/2006/relationships/hyperlink" Target="https://nhsgp.net/should-i-ring-111-or-999/" TargetMode="External"/><Relationship Id="rId179" Type="http://schemas.openxmlformats.org/officeDocument/2006/relationships/hyperlink" Target="https://www.nhs.uk/nhs-services/urgent-and-emergency-care-services/when-to-visit-an-urgent-treatment-centre-walk-in-or-minor-injury-unit/" TargetMode="External"/><Relationship Id="rId195" Type="http://schemas.openxmlformats.org/officeDocument/2006/relationships/hyperlink" Target="https://www.operosehealth.co.uk/" TargetMode="External"/><Relationship Id="rId209" Type="http://schemas.openxmlformats.org/officeDocument/2006/relationships/hyperlink" Target="https://doi.org/10.3399/bjgp16X685021" TargetMode="External"/><Relationship Id="rId190" Type="http://schemas.openxmlformats.org/officeDocument/2006/relationships/hyperlink" Target="https://www.oecd-ilibrary.org/content/component/b4d1eecf-en" TargetMode="External"/><Relationship Id="rId204" Type="http://schemas.openxmlformats.org/officeDocument/2006/relationships/hyperlink" Target="https://www.samordnaopptak.no/info/opptak/opptak-uhg/opptakskvoter/kvote-for-nord-troms.html" TargetMode="External"/><Relationship Id="rId220" Type="http://schemas.openxmlformats.org/officeDocument/2006/relationships/hyperlink" Target="https://doi.org/10.1002/hec.2801" TargetMode="External"/><Relationship Id="rId225" Type="http://schemas.openxmlformats.org/officeDocument/2006/relationships/hyperlink" Target="https://www.dr.dk/nyheder/regionale/oestjylland/professor-om-boom-i-private-sundhedsforsikringer-det-strider-imod" TargetMode="External"/><Relationship Id="rId15" Type="http://schemas.openxmlformats.org/officeDocument/2006/relationships/image" Target="media/image5.png"/><Relationship Id="rId36" Type="http://schemas.openxmlformats.org/officeDocument/2006/relationships/image" Target="cid:image003.png@01D95B4F.933924C0" TargetMode="External"/><Relationship Id="rId57" Type="http://schemas.openxmlformats.org/officeDocument/2006/relationships/image" Target="media/image44.png"/><Relationship Id="rId106" Type="http://schemas.openxmlformats.org/officeDocument/2006/relationships/hyperlink" Target="https://markedsplassen.anskaffelser.no/veiledning/veiledning-etter-schrems-ii" TargetMode="External"/><Relationship Id="rId127" Type="http://schemas.openxmlformats.org/officeDocument/2006/relationships/hyperlink" Target="https://lovdata.no/dokument/SF/forskrift/1998-06-18-590"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hyperlink" Target="https://doi.org/10.1007/s11845-020-02345-w" TargetMode="External"/><Relationship Id="rId99" Type="http://schemas.openxmlformats.org/officeDocument/2006/relationships/hyperlink" Target="https://www.commonwealthfund.org/international-health-policy-center/countries/netherlands" TargetMode="External"/><Relationship Id="rId101" Type="http://schemas.openxmlformats.org/officeDocument/2006/relationships/hyperlink" Target="https://doi.org/10.3399/bjgp17X688849" TargetMode="External"/><Relationship Id="rId122" Type="http://schemas.openxmlformats.org/officeDocument/2006/relationships/hyperlink" Target="https://lovdata.no/dokument/SF/forskrift/2016-08-12-976?q=Konsesjonskontraktforskriften" TargetMode="External"/><Relationship Id="rId143" Type="http://schemas.openxmlformats.org/officeDocument/2006/relationships/hyperlink" Target="https://www.regjeringen.no/no/dokumenter/digitaliseringsrundskrivet2/id2952701/" TargetMode="External"/><Relationship Id="rId148" Type="http://schemas.openxmlformats.org/officeDocument/2006/relationships/hyperlink" Target="https://www.finlex.fi/sv/laki/smur/2021/20210612" TargetMode="External"/><Relationship Id="rId164" Type="http://schemas.openxmlformats.org/officeDocument/2006/relationships/hyperlink" Target="https://lovdata.no/dokument/NL/lov/1962-06-22-12?q=sykepleierpensjonsloven" TargetMode="External"/><Relationship Id="rId169" Type="http://schemas.openxmlformats.org/officeDocument/2006/relationships/hyperlink" Target="https://www.dsam.dk/uddannelse/videreuddannelse_i_almen_medicin/om_specialet/" TargetMode="External"/><Relationship Id="rId185" Type="http://schemas.openxmlformats.org/officeDocument/2006/relationships/hyperlink" Target="https://www.forskningsradet.no/siteassets/publikasjoner/1144144503427.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bma.org.uk/advice-and-support/gp-practices/primary-care-networks/primary-care-networks-pcns" TargetMode="External"/><Relationship Id="rId210" Type="http://schemas.openxmlformats.org/officeDocument/2006/relationships/hyperlink" Target="https://doi.org/10.3399/bjgp19X702209" TargetMode="External"/><Relationship Id="rId215" Type="http://schemas.openxmlformats.org/officeDocument/2006/relationships/hyperlink" Target="https://www.svenskforsakring.se/" TargetMode="Externa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hyperlink" Target="https://apps.who.int/iris/handle/10665/354075" TargetMode="External"/><Relationship Id="rId112" Type="http://schemas.openxmlformats.org/officeDocument/2006/relationships/hyperlink" Target="https://gpinfo.nl/" TargetMode="External"/><Relationship Id="rId133" Type="http://schemas.openxmlformats.org/officeDocument/2006/relationships/hyperlink" Target="https://www.helsedirektoratet.no/produkter/om-helsedirektoratets-normerende-produkter" TargetMode="External"/><Relationship Id="rId154" Type="http://schemas.openxmlformats.org/officeDocument/2006/relationships/hyperlink" Target="https://lovdata.no/dokument/NL/lov/2018-06-15-38/gdpr/ARTIKKEL_9" TargetMode="External"/><Relationship Id="rId175" Type="http://schemas.openxmlformats.org/officeDocument/2006/relationships/hyperlink" Target="https://www.england.nhs.uk/gp/investment/gp-contract/" TargetMode="External"/><Relationship Id="rId196" Type="http://schemas.openxmlformats.org/officeDocument/2006/relationships/hyperlink" Target="https://opinion.no/nordic-e-health-barometer/" TargetMode="External"/><Relationship Id="rId200" Type="http://schemas.openxmlformats.org/officeDocument/2006/relationships/hyperlink" Target="https://www.proff.no/selskap/dr.dropin-as/oslo/leger/IF78KIR00XB/" TargetMode="External"/><Relationship Id="rId16" Type="http://schemas.openxmlformats.org/officeDocument/2006/relationships/image" Target="media/image6.png"/><Relationship Id="rId221" Type="http://schemas.openxmlformats.org/officeDocument/2006/relationships/hyperlink" Target="https://doi.org/10.3109/02813432.2012.654195" TargetMode="External"/><Relationship Id="rId37" Type="http://schemas.openxmlformats.org/officeDocument/2006/relationships/image" Target="media/image24.png"/><Relationship Id="rId58" Type="http://schemas.openxmlformats.org/officeDocument/2006/relationships/image" Target="media/image45.tiff"/><Relationship Id="rId79" Type="http://schemas.openxmlformats.org/officeDocument/2006/relationships/image" Target="media/image66.png"/><Relationship Id="rId102" Type="http://schemas.openxmlformats.org/officeDocument/2006/relationships/hyperlink" Target="https://gpinfo.nl/how-are-training-and-quality-of-gps-arranged-in-netherlands" TargetMode="External"/><Relationship Id="rId123" Type="http://schemas.openxmlformats.org/officeDocument/2006/relationships/hyperlink" Target="https://lovdata.no/forskrift/2015-03-20-231" TargetMode="External"/><Relationship Id="rId144" Type="http://schemas.openxmlformats.org/officeDocument/2006/relationships/hyperlink" Target="https://www.ks.no/fagomrader/lonn-og-tariff/legeavtaler/rammeavtalen-om-fastlegeordningen-asa-4310/" TargetMode="External"/><Relationship Id="rId90" Type="http://schemas.openxmlformats.org/officeDocument/2006/relationships/hyperlink" Target="https://www.vardanalys.se/rapporter/primarvardens-resurser-styrning-och-organisation/" TargetMode="External"/><Relationship Id="rId165" Type="http://schemas.openxmlformats.org/officeDocument/2006/relationships/hyperlink" Target="https://lovdata.no/dokument/NL/lov/1999-07-02-61" TargetMode="External"/><Relationship Id="rId186" Type="http://schemas.openxmlformats.org/officeDocument/2006/relationships/hyperlink" Target="https://www.nhn.no/tjenester/helsenorge/digital-dialog-med-fastlegen/hva-er-digital-dialog-for-fastleger" TargetMode="External"/><Relationship Id="rId211" Type="http://schemas.openxmlformats.org/officeDocument/2006/relationships/hyperlink" Target="https://www.srmc.scot.nhs.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egjeringen.no/no/dep/hod/org/styrer-rad-og-utvalg/ekspertutvalg-for-gjennomgang-av-allmennlegetjenesten/mandat-for-ekspertutvalg-for-gjennomgang-av-allmennlegetjenesten/id2923960/" TargetMode="External"/><Relationship Id="rId1" Type="http://schemas.openxmlformats.org/officeDocument/2006/relationships/hyperlink" Target="https://www.gov.scot/publications/national-monitoring-evaluation-strategy-primary-care-scotland/pages/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Ekspertutvalget 2">
      <a:dk1>
        <a:sysClr val="windowText" lastClr="000000"/>
      </a:dk1>
      <a:lt1>
        <a:sysClr val="window" lastClr="FFFFFF"/>
      </a:lt1>
      <a:dk2>
        <a:srgbClr val="2A3652"/>
      </a:dk2>
      <a:lt2>
        <a:srgbClr val="E7E6E6"/>
      </a:lt2>
      <a:accent1>
        <a:srgbClr val="FFDD71"/>
      </a:accent1>
      <a:accent2>
        <a:srgbClr val="A9D6B9"/>
      </a:accent2>
      <a:accent3>
        <a:srgbClr val="954F72"/>
      </a:accent3>
      <a:accent4>
        <a:srgbClr val="E0F0E6"/>
      </a:accent4>
      <a:accent5>
        <a:srgbClr val="A9BED0"/>
      </a:accent5>
      <a:accent6>
        <a:srgbClr val="526AA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5CA9B6-841A-4420-A3FD-345343118578}">
  <we:reference id="3224b16f-7ab2-4dd6-852f-7f7d85619cde" version="1.2.1.0" store="EXCatalog" storeType="EXCatalog"/>
  <we:alternateReferences>
    <we:reference id="WA200000086" version="1.2.1.0"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62D613DE22BD24ABEC6F21BBFD31C43" ma:contentTypeVersion="6" ma:contentTypeDescription="Opprett et nytt dokument." ma:contentTypeScope="" ma:versionID="510041621e92d5a273fea93ae10bfc60">
  <xsd:schema xmlns:xsd="http://www.w3.org/2001/XMLSchema" xmlns:xs="http://www.w3.org/2001/XMLSchema" xmlns:p="http://schemas.microsoft.com/office/2006/metadata/properties" xmlns:ns2="7da7bed8-7aca-4884-848a-2bab9b3f7a93" xmlns:ns3="82ce3c79-d8c9-4da3-82b9-1cc92e92e422" targetNamespace="http://schemas.microsoft.com/office/2006/metadata/properties" ma:root="true" ma:fieldsID="17df01cce5ffea93c7e3365692299410" ns2:_="" ns3:_="">
    <xsd:import namespace="7da7bed8-7aca-4884-848a-2bab9b3f7a93"/>
    <xsd:import namespace="82ce3c79-d8c9-4da3-82b9-1cc92e92e4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7bed8-7aca-4884-848a-2bab9b3f7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ce3c79-d8c9-4da3-82b9-1cc92e92e42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B7E270-0265-47CD-864D-D35FAE1429D0}">
  <ds:schemaRefs>
    <ds:schemaRef ds:uri="http://schemas.microsoft.com/sharepoint/v3/contenttype/forms"/>
  </ds:schemaRefs>
</ds:datastoreItem>
</file>

<file path=customXml/itemProps2.xml><?xml version="1.0" encoding="utf-8"?>
<ds:datastoreItem xmlns:ds="http://schemas.openxmlformats.org/officeDocument/2006/customXml" ds:itemID="{D129D796-32A1-4070-AC90-DB90301D9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a7bed8-7aca-4884-848a-2bab9b3f7a93"/>
    <ds:schemaRef ds:uri="82ce3c79-d8c9-4da3-82b9-1cc92e92e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818D2-F787-4090-82BA-E7EA30FFA90D}">
  <ds:schemaRefs>
    <ds:schemaRef ds:uri="http://schemas.openxmlformats.org/officeDocument/2006/bibliography"/>
  </ds:schemaRefs>
</ds:datastoreItem>
</file>

<file path=customXml/itemProps4.xml><?xml version="1.0" encoding="utf-8"?>
<ds:datastoreItem xmlns:ds="http://schemas.openxmlformats.org/officeDocument/2006/customXml" ds:itemID="{5571B1D7-5DE4-4ADC-B3B0-926334309F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22</TotalTime>
  <Pages>470</Pages>
  <Words>240690</Words>
  <Characters>1475431</Characters>
  <Application>Microsoft Office Word</Application>
  <DocSecurity>0</DocSecurity>
  <Lines>21697</Lines>
  <Paragraphs>7593</Paragraphs>
  <ScaleCrop>false</ScaleCrop>
  <HeadingPairs>
    <vt:vector size="2" baseType="variant">
      <vt:variant>
        <vt:lpstr>Tittel</vt:lpstr>
      </vt:variant>
      <vt:variant>
        <vt:i4>1</vt:i4>
      </vt:variant>
    </vt:vector>
  </HeadingPairs>
  <TitlesOfParts>
    <vt:vector size="1" baseType="lpstr">
      <vt:lpstr>Ekspertutvalget mal</vt:lpstr>
    </vt:vector>
  </TitlesOfParts>
  <Company/>
  <LinksUpToDate>false</LinksUpToDate>
  <CharactersWithSpaces>1708528</CharactersWithSpaces>
  <SharedDoc>false</SharedDoc>
  <HLinks>
    <vt:vector size="2388" baseType="variant">
      <vt:variant>
        <vt:i4>5636119</vt:i4>
      </vt:variant>
      <vt:variant>
        <vt:i4>4107</vt:i4>
      </vt:variant>
      <vt:variant>
        <vt:i4>0</vt:i4>
      </vt:variant>
      <vt:variant>
        <vt:i4>5</vt:i4>
      </vt:variant>
      <vt:variant>
        <vt:lpwstr>https://www.dr.dk/nyheder/regionale/oestjylland/professor-om-boom-i-private-sundhedsforsikringer-det-strider-imod</vt:lpwstr>
      </vt:variant>
      <vt:variant>
        <vt:lpwstr/>
      </vt:variant>
      <vt:variant>
        <vt:i4>7536729</vt:i4>
      </vt:variant>
      <vt:variant>
        <vt:i4>4104</vt:i4>
      </vt:variant>
      <vt:variant>
        <vt:i4>0</vt:i4>
      </vt:variant>
      <vt:variant>
        <vt:i4>5</vt:i4>
      </vt:variant>
      <vt:variant>
        <vt:lpwstr>https://doi.org/10.1007/978-3-540-68540-1_10</vt:lpwstr>
      </vt:variant>
      <vt:variant>
        <vt:lpwstr/>
      </vt:variant>
      <vt:variant>
        <vt:i4>5111879</vt:i4>
      </vt:variant>
      <vt:variant>
        <vt:i4>4101</vt:i4>
      </vt:variant>
      <vt:variant>
        <vt:i4>0</vt:i4>
      </vt:variant>
      <vt:variant>
        <vt:i4>5</vt:i4>
      </vt:variant>
      <vt:variant>
        <vt:lpwstr>https://doi.org/10.1111/wvn.12562</vt:lpwstr>
      </vt:variant>
      <vt:variant>
        <vt:lpwstr/>
      </vt:variant>
      <vt:variant>
        <vt:i4>65624</vt:i4>
      </vt:variant>
      <vt:variant>
        <vt:i4>4098</vt:i4>
      </vt:variant>
      <vt:variant>
        <vt:i4>0</vt:i4>
      </vt:variant>
      <vt:variant>
        <vt:i4>5</vt:i4>
      </vt:variant>
      <vt:variant>
        <vt:lpwstr>https://www.who.int/europe/publications/i/item/9789289058339</vt:lpwstr>
      </vt:variant>
      <vt:variant>
        <vt:lpwstr/>
      </vt:variant>
      <vt:variant>
        <vt:i4>524365</vt:i4>
      </vt:variant>
      <vt:variant>
        <vt:i4>4095</vt:i4>
      </vt:variant>
      <vt:variant>
        <vt:i4>0</vt:i4>
      </vt:variant>
      <vt:variant>
        <vt:i4>5</vt:i4>
      </vt:variant>
      <vt:variant>
        <vt:lpwstr>https://doi.org/10.3109/02813432.2012.654195</vt:lpwstr>
      </vt:variant>
      <vt:variant>
        <vt:lpwstr/>
      </vt:variant>
      <vt:variant>
        <vt:i4>5308497</vt:i4>
      </vt:variant>
      <vt:variant>
        <vt:i4>4092</vt:i4>
      </vt:variant>
      <vt:variant>
        <vt:i4>0</vt:i4>
      </vt:variant>
      <vt:variant>
        <vt:i4>5</vt:i4>
      </vt:variant>
      <vt:variant>
        <vt:lpwstr>https://doi.org/10.1002/hec.2801</vt:lpwstr>
      </vt:variant>
      <vt:variant>
        <vt:lpwstr/>
      </vt:variant>
      <vt:variant>
        <vt:i4>6225940</vt:i4>
      </vt:variant>
      <vt:variant>
        <vt:i4>4089</vt:i4>
      </vt:variant>
      <vt:variant>
        <vt:i4>0</vt:i4>
      </vt:variant>
      <vt:variant>
        <vt:i4>5</vt:i4>
      </vt:variant>
      <vt:variant>
        <vt:lpwstr>https://doi.org/https://doi.org/10.5465/amr.2000.3707754</vt:lpwstr>
      </vt:variant>
      <vt:variant>
        <vt:lpwstr/>
      </vt:variant>
      <vt:variant>
        <vt:i4>2097264</vt:i4>
      </vt:variant>
      <vt:variant>
        <vt:i4>4086</vt:i4>
      </vt:variant>
      <vt:variant>
        <vt:i4>0</vt:i4>
      </vt:variant>
      <vt:variant>
        <vt:i4>5</vt:i4>
      </vt:variant>
      <vt:variant>
        <vt:lpwstr>https://www.gla.ac.uk/schools/healthwellbeing/research/generalpractice/deepend/</vt:lpwstr>
      </vt:variant>
      <vt:variant>
        <vt:lpwstr/>
      </vt:variant>
      <vt:variant>
        <vt:i4>5898248</vt:i4>
      </vt:variant>
      <vt:variant>
        <vt:i4>4083</vt:i4>
      </vt:variant>
      <vt:variant>
        <vt:i4>0</vt:i4>
      </vt:variant>
      <vt:variant>
        <vt:i4>5</vt:i4>
      </vt:variant>
      <vt:variant>
        <vt:lpwstr>https://www.tffk.no/om-oss/tiltakssonen/</vt:lpwstr>
      </vt:variant>
      <vt:variant>
        <vt:lpwstr/>
      </vt:variant>
      <vt:variant>
        <vt:i4>786451</vt:i4>
      </vt:variant>
      <vt:variant>
        <vt:i4>4080</vt:i4>
      </vt:variant>
      <vt:variant>
        <vt:i4>0</vt:i4>
      </vt:variant>
      <vt:variant>
        <vt:i4>5</vt:i4>
      </vt:variant>
      <vt:variant>
        <vt:lpwstr>https://skr.se/demokratiledningstyrning/driftformervalfrihet/valfrihetssystemochersattningsmodeller/halsoochsjukvard/ersattningsmodellerhalsoochsjukvard/ersattningsmodelleriprimarvard.2061.html</vt:lpwstr>
      </vt:variant>
      <vt:variant>
        <vt:lpwstr/>
      </vt:variant>
      <vt:variant>
        <vt:i4>1966087</vt:i4>
      </vt:variant>
      <vt:variant>
        <vt:i4>4077</vt:i4>
      </vt:variant>
      <vt:variant>
        <vt:i4>0</vt:i4>
      </vt:variant>
      <vt:variant>
        <vt:i4>5</vt:i4>
      </vt:variant>
      <vt:variant>
        <vt:lpwstr>https://www.svenskforsakring.se/</vt:lpwstr>
      </vt:variant>
      <vt:variant>
        <vt:lpwstr/>
      </vt:variant>
      <vt:variant>
        <vt:i4>3735589</vt:i4>
      </vt:variant>
      <vt:variant>
        <vt:i4>4074</vt:i4>
      </vt:variant>
      <vt:variant>
        <vt:i4>0</vt:i4>
      </vt:variant>
      <vt:variant>
        <vt:i4>5</vt:i4>
      </vt:variant>
      <vt:variant>
        <vt:lpwstr>https://laegerne-brande.dk/laegeattest-ved-sygefravaer/</vt:lpwstr>
      </vt:variant>
      <vt:variant>
        <vt:lpwstr/>
      </vt:variant>
      <vt:variant>
        <vt:i4>262162</vt:i4>
      </vt:variant>
      <vt:variant>
        <vt:i4>4071</vt:i4>
      </vt:variant>
      <vt:variant>
        <vt:i4>0</vt:i4>
      </vt:variant>
      <vt:variant>
        <vt:i4>5</vt:i4>
      </vt:variant>
      <vt:variant>
        <vt:lpwstr>https://www.borger.dk/arbejde-dagpenge-ferie/Dagpenge-kontanthjaelp-og-sygedagpenge/Sygedagpenge/Sygedagpenge-hvis-du-er-loenmodtager</vt:lpwstr>
      </vt:variant>
      <vt:variant>
        <vt:lpwstr/>
      </vt:variant>
      <vt:variant>
        <vt:i4>4653140</vt:i4>
      </vt:variant>
      <vt:variant>
        <vt:i4>4068</vt:i4>
      </vt:variant>
      <vt:variant>
        <vt:i4>0</vt:i4>
      </vt:variant>
      <vt:variant>
        <vt:i4>5</vt:i4>
      </vt:variant>
      <vt:variant>
        <vt:lpwstr>https://www.ssb.no/statbank/table/10814/</vt:lpwstr>
      </vt:variant>
      <vt:variant>
        <vt:lpwstr/>
      </vt:variant>
      <vt:variant>
        <vt:i4>4587535</vt:i4>
      </vt:variant>
      <vt:variant>
        <vt:i4>4065</vt:i4>
      </vt:variant>
      <vt:variant>
        <vt:i4>0</vt:i4>
      </vt:variant>
      <vt:variant>
        <vt:i4>5</vt:i4>
      </vt:variant>
      <vt:variant>
        <vt:lpwstr>https://www.srmc.scot.nhs.uk/</vt:lpwstr>
      </vt:variant>
      <vt:variant>
        <vt:lpwstr/>
      </vt:variant>
      <vt:variant>
        <vt:i4>917534</vt:i4>
      </vt:variant>
      <vt:variant>
        <vt:i4>4062</vt:i4>
      </vt:variant>
      <vt:variant>
        <vt:i4>0</vt:i4>
      </vt:variant>
      <vt:variant>
        <vt:i4>5</vt:i4>
      </vt:variant>
      <vt:variant>
        <vt:lpwstr>https://doi.org/10.3399/bjgp19X702209</vt:lpwstr>
      </vt:variant>
      <vt:variant>
        <vt:lpwstr/>
      </vt:variant>
      <vt:variant>
        <vt:i4>327700</vt:i4>
      </vt:variant>
      <vt:variant>
        <vt:i4>4059</vt:i4>
      </vt:variant>
      <vt:variant>
        <vt:i4>0</vt:i4>
      </vt:variant>
      <vt:variant>
        <vt:i4>5</vt:i4>
      </vt:variant>
      <vt:variant>
        <vt:lpwstr>https://doi.org/10.3399/bjgp16X685021</vt:lpwstr>
      </vt:variant>
      <vt:variant>
        <vt:lpwstr/>
      </vt:variant>
      <vt:variant>
        <vt:i4>6881327</vt:i4>
      </vt:variant>
      <vt:variant>
        <vt:i4>4056</vt:i4>
      </vt:variant>
      <vt:variant>
        <vt:i4>0</vt:i4>
      </vt:variant>
      <vt:variant>
        <vt:i4>5</vt:i4>
      </vt:variant>
      <vt:variant>
        <vt:lpwstr>https://soteuudistus.fi/sv/bestammande-justering-av-finansieringen</vt:lpwstr>
      </vt:variant>
      <vt:variant>
        <vt:lpwstr/>
      </vt:variant>
      <vt:variant>
        <vt:i4>262148</vt:i4>
      </vt:variant>
      <vt:variant>
        <vt:i4>4053</vt:i4>
      </vt:variant>
      <vt:variant>
        <vt:i4>0</vt:i4>
      </vt:variant>
      <vt:variant>
        <vt:i4>5</vt:i4>
      </vt:variant>
      <vt:variant>
        <vt:lpwstr>https://soteuudistus.fi/sv/programmet-framtidens-social-och-halsocentral</vt:lpwstr>
      </vt:variant>
      <vt:variant>
        <vt:lpwstr/>
      </vt:variant>
      <vt:variant>
        <vt:i4>4915230</vt:i4>
      </vt:variant>
      <vt:variant>
        <vt:i4>4050</vt:i4>
      </vt:variant>
      <vt:variant>
        <vt:i4>0</vt:i4>
      </vt:variant>
      <vt:variant>
        <vt:i4>5</vt:i4>
      </vt:variant>
      <vt:variant>
        <vt:lpwstr>https://www.menon.no/wp-content/uploads/2022-142-Evaluering-av-pilot-for-utproving-av-triageringslosning.pdf</vt:lpwstr>
      </vt:variant>
      <vt:variant>
        <vt:lpwstr/>
      </vt:variant>
      <vt:variant>
        <vt:i4>6422588</vt:i4>
      </vt:variant>
      <vt:variant>
        <vt:i4>4047</vt:i4>
      </vt:variant>
      <vt:variant>
        <vt:i4>0</vt:i4>
      </vt:variant>
      <vt:variant>
        <vt:i4>5</vt:i4>
      </vt:variant>
      <vt:variant>
        <vt:lpwstr>https://www.samordnaopptak.no/info/opptak/opptak-uhg/opptakskvoter/samiske-kvoter.html</vt:lpwstr>
      </vt:variant>
      <vt:variant>
        <vt:lpwstr/>
      </vt:variant>
      <vt:variant>
        <vt:i4>5242892</vt:i4>
      </vt:variant>
      <vt:variant>
        <vt:i4>4044</vt:i4>
      </vt:variant>
      <vt:variant>
        <vt:i4>0</vt:i4>
      </vt:variant>
      <vt:variant>
        <vt:i4>5</vt:i4>
      </vt:variant>
      <vt:variant>
        <vt:lpwstr>https://www.samordnaopptak.no/info/opptak/opptak-uhg/opptakskvoter/kvote-for-nord-troms.html</vt:lpwstr>
      </vt:variant>
      <vt:variant>
        <vt:lpwstr/>
      </vt:variant>
      <vt:variant>
        <vt:i4>6815799</vt:i4>
      </vt:variant>
      <vt:variant>
        <vt:i4>4041</vt:i4>
      </vt:variant>
      <vt:variant>
        <vt:i4>0</vt:i4>
      </vt:variant>
      <vt:variant>
        <vt:i4>5</vt:i4>
      </vt:variant>
      <vt:variant>
        <vt:lpwstr>https://www.regjeringen.no/contentassets/296adc05dbee4ae1a1e015cbea31701e/rundskriv-i-2-2019-spesialistforskriften-med-kommentarer-revidert-30.-september-2022.pdf</vt:lpwstr>
      </vt:variant>
      <vt:variant>
        <vt:lpwstr/>
      </vt:variant>
      <vt:variant>
        <vt:i4>6619259</vt:i4>
      </vt:variant>
      <vt:variant>
        <vt:i4>4038</vt:i4>
      </vt:variant>
      <vt:variant>
        <vt:i4>0</vt:i4>
      </vt:variant>
      <vt:variant>
        <vt:i4>5</vt:i4>
      </vt:variant>
      <vt:variant>
        <vt:lpwstr>https://www.regjeringen.no/no/statsbudsjett/2023/id2927365/</vt:lpwstr>
      </vt:variant>
      <vt:variant>
        <vt:lpwstr/>
      </vt:variant>
      <vt:variant>
        <vt:i4>851981</vt:i4>
      </vt:variant>
      <vt:variant>
        <vt:i4>4035</vt:i4>
      </vt:variant>
      <vt:variant>
        <vt:i4>0</vt:i4>
      </vt:variant>
      <vt:variant>
        <vt:i4>5</vt:i4>
      </vt:variant>
      <vt:variant>
        <vt:lpwstr>https://no.ramboll.com/presse/publikasjoner/it-i-praksis-2022</vt:lpwstr>
      </vt:variant>
      <vt:variant>
        <vt:lpwstr/>
      </vt:variant>
      <vt:variant>
        <vt:i4>65554</vt:i4>
      </vt:variant>
      <vt:variant>
        <vt:i4>4032</vt:i4>
      </vt:variant>
      <vt:variant>
        <vt:i4>0</vt:i4>
      </vt:variant>
      <vt:variant>
        <vt:i4>5</vt:i4>
      </vt:variant>
      <vt:variant>
        <vt:lpwstr>https://www.proff.no/selskap/dr.dropin-as/oslo/leger/IF78KIR00XB/</vt:lpwstr>
      </vt:variant>
      <vt:variant>
        <vt:lpwstr/>
      </vt:variant>
      <vt:variant>
        <vt:i4>2031693</vt:i4>
      </vt:variant>
      <vt:variant>
        <vt:i4>4029</vt:i4>
      </vt:variant>
      <vt:variant>
        <vt:i4>0</vt:i4>
      </vt:variant>
      <vt:variant>
        <vt:i4>5</vt:i4>
      </vt:variant>
      <vt:variant>
        <vt:lpwstr>https://www.laeger.dk/media/rplizqb0/plo-analyse-personale-011222.pdf</vt:lpwstr>
      </vt:variant>
      <vt:variant>
        <vt:lpwstr/>
      </vt:variant>
      <vt:variant>
        <vt:i4>3342452</vt:i4>
      </vt:variant>
      <vt:variant>
        <vt:i4>4026</vt:i4>
      </vt:variant>
      <vt:variant>
        <vt:i4>0</vt:i4>
      </vt:variant>
      <vt:variant>
        <vt:i4>5</vt:i4>
      </vt:variant>
      <vt:variant>
        <vt:lpwstr>https://www.laeger.dk/media/ybeopar2/plo_analyse_-_mere_personale_hos_de_praktiserende_laeger.pdf</vt:lpwstr>
      </vt:variant>
      <vt:variant>
        <vt:lpwstr/>
      </vt:variant>
      <vt:variant>
        <vt:i4>7929899</vt:i4>
      </vt:variant>
      <vt:variant>
        <vt:i4>4023</vt:i4>
      </vt:variant>
      <vt:variant>
        <vt:i4>0</vt:i4>
      </vt:variant>
      <vt:variant>
        <vt:i4>5</vt:i4>
      </vt:variant>
      <vt:variant>
        <vt:lpwstr>https://osloeconomics.no/wp-content/uploads/2022/05/HPA-evalueringsrapport-2022.pdf</vt:lpwstr>
      </vt:variant>
      <vt:variant>
        <vt:lpwstr/>
      </vt:variant>
      <vt:variant>
        <vt:i4>5111891</vt:i4>
      </vt:variant>
      <vt:variant>
        <vt:i4>4020</vt:i4>
      </vt:variant>
      <vt:variant>
        <vt:i4>0</vt:i4>
      </vt:variant>
      <vt:variant>
        <vt:i4>5</vt:i4>
      </vt:variant>
      <vt:variant>
        <vt:lpwstr>https://opinion.no/nordic-e-health-barometer/</vt:lpwstr>
      </vt:variant>
      <vt:variant>
        <vt:lpwstr/>
      </vt:variant>
      <vt:variant>
        <vt:i4>6225927</vt:i4>
      </vt:variant>
      <vt:variant>
        <vt:i4>4017</vt:i4>
      </vt:variant>
      <vt:variant>
        <vt:i4>0</vt:i4>
      </vt:variant>
      <vt:variant>
        <vt:i4>5</vt:i4>
      </vt:variant>
      <vt:variant>
        <vt:lpwstr>https://www.operosehealth.co.uk/</vt:lpwstr>
      </vt:variant>
      <vt:variant>
        <vt:lpwstr/>
      </vt:variant>
      <vt:variant>
        <vt:i4>3539002</vt:i4>
      </vt:variant>
      <vt:variant>
        <vt:i4>4014</vt:i4>
      </vt:variant>
      <vt:variant>
        <vt:i4>0</vt:i4>
      </vt:variant>
      <vt:variant>
        <vt:i4>5</vt:i4>
      </vt:variant>
      <vt:variant>
        <vt:lpwstr>https://www.regjeringen.no/no/dokumenter/otprp-nr-99-1998-99-/id160124/</vt:lpwstr>
      </vt:variant>
      <vt:variant>
        <vt:lpwstr/>
      </vt:variant>
      <vt:variant>
        <vt:i4>1769547</vt:i4>
      </vt:variant>
      <vt:variant>
        <vt:i4>4011</vt:i4>
      </vt:variant>
      <vt:variant>
        <vt:i4>0</vt:i4>
      </vt:variant>
      <vt:variant>
        <vt:i4>5</vt:i4>
      </vt:variant>
      <vt:variant>
        <vt:lpwstr>https://doi.org/10.5617/njhe.2801</vt:lpwstr>
      </vt:variant>
      <vt:variant>
        <vt:lpwstr/>
      </vt:variant>
      <vt:variant>
        <vt:i4>4784208</vt:i4>
      </vt:variant>
      <vt:variant>
        <vt:i4>4008</vt:i4>
      </vt:variant>
      <vt:variant>
        <vt:i4>0</vt:i4>
      </vt:variant>
      <vt:variant>
        <vt:i4>5</vt:i4>
      </vt:variant>
      <vt:variant>
        <vt:lpwstr>https://www.oecd-ilibrary.org/content/publication/82129230-en</vt:lpwstr>
      </vt:variant>
      <vt:variant>
        <vt:lpwstr/>
      </vt:variant>
      <vt:variant>
        <vt:i4>4325377</vt:i4>
      </vt:variant>
      <vt:variant>
        <vt:i4>4005</vt:i4>
      </vt:variant>
      <vt:variant>
        <vt:i4>0</vt:i4>
      </vt:variant>
      <vt:variant>
        <vt:i4>5</vt:i4>
      </vt:variant>
      <vt:variant>
        <vt:lpwstr>https://www.oecd-ilibrary.org/content/publication/a92adee4-en</vt:lpwstr>
      </vt:variant>
      <vt:variant>
        <vt:lpwstr/>
      </vt:variant>
      <vt:variant>
        <vt:i4>3342398</vt:i4>
      </vt:variant>
      <vt:variant>
        <vt:i4>4002</vt:i4>
      </vt:variant>
      <vt:variant>
        <vt:i4>0</vt:i4>
      </vt:variant>
      <vt:variant>
        <vt:i4>5</vt:i4>
      </vt:variant>
      <vt:variant>
        <vt:lpwstr>https://www.oecd-ilibrary.org/content/component/b4d1eecf-en</vt:lpwstr>
      </vt:variant>
      <vt:variant>
        <vt:lpwstr/>
      </vt:variant>
      <vt:variant>
        <vt:i4>2031653</vt:i4>
      </vt:variant>
      <vt:variant>
        <vt:i4>3999</vt:i4>
      </vt:variant>
      <vt:variant>
        <vt:i4>0</vt:i4>
      </vt:variant>
      <vt:variant>
        <vt:i4>5</vt:i4>
      </vt:variant>
      <vt:variant>
        <vt:lpwstr>https://health.ec.europa.eu/system/files/2019-11/023_taskshifting_en_0.pdf</vt:lpwstr>
      </vt:variant>
      <vt:variant>
        <vt:lpwstr/>
      </vt:variant>
      <vt:variant>
        <vt:i4>2818174</vt:i4>
      </vt:variant>
      <vt:variant>
        <vt:i4>3996</vt:i4>
      </vt:variant>
      <vt:variant>
        <vt:i4>0</vt:i4>
      </vt:variant>
      <vt:variant>
        <vt:i4>5</vt:i4>
      </vt:variant>
      <vt:variant>
        <vt:lpwstr>https://www.nuffieldtrust.org.uk/resource/access-to-gp-services</vt:lpwstr>
      </vt:variant>
      <vt:variant>
        <vt:lpwstr/>
      </vt:variant>
      <vt:variant>
        <vt:i4>589911</vt:i4>
      </vt:variant>
      <vt:variant>
        <vt:i4>3993</vt:i4>
      </vt:variant>
      <vt:variant>
        <vt:i4>0</vt:i4>
      </vt:variant>
      <vt:variant>
        <vt:i4>5</vt:i4>
      </vt:variant>
      <vt:variant>
        <vt:lpwstr>https://www.nsf.no/arbeidsvilkar/pensjon</vt:lpwstr>
      </vt:variant>
      <vt:variant>
        <vt:lpwstr/>
      </vt:variant>
      <vt:variant>
        <vt:i4>1376351</vt:i4>
      </vt:variant>
      <vt:variant>
        <vt:i4>3990</vt:i4>
      </vt:variant>
      <vt:variant>
        <vt:i4>0</vt:i4>
      </vt:variant>
      <vt:variant>
        <vt:i4>5</vt:i4>
      </vt:variant>
      <vt:variant>
        <vt:lpwstr>https://www.nhn.no/tjenester/helsenorge/digital-dialog-med-fastlegen/hva-er-digital-dialog-for-fastleger</vt:lpwstr>
      </vt:variant>
      <vt:variant>
        <vt:lpwstr/>
      </vt:variant>
      <vt:variant>
        <vt:i4>4653140</vt:i4>
      </vt:variant>
      <vt:variant>
        <vt:i4>3987</vt:i4>
      </vt:variant>
      <vt:variant>
        <vt:i4>0</vt:i4>
      </vt:variant>
      <vt:variant>
        <vt:i4>5</vt:i4>
      </vt:variant>
      <vt:variant>
        <vt:lpwstr>https://www.forskningsradet.no/siteassets/publikasjoner/1144144503427.pdf</vt:lpwstr>
      </vt:variant>
      <vt:variant>
        <vt:lpwstr/>
      </vt:variant>
      <vt:variant>
        <vt:i4>4718682</vt:i4>
      </vt:variant>
      <vt:variant>
        <vt:i4>3984</vt:i4>
      </vt:variant>
      <vt:variant>
        <vt:i4>0</vt:i4>
      </vt:variant>
      <vt:variant>
        <vt:i4>5</vt:i4>
      </vt:variant>
      <vt:variant>
        <vt:lpwstr>https://www.nidarosfondet.no/kurs/grunnkurs-b-sep22/</vt:lpwstr>
      </vt:variant>
      <vt:variant>
        <vt:lpwstr/>
      </vt:variant>
      <vt:variant>
        <vt:i4>589851</vt:i4>
      </vt:variant>
      <vt:variant>
        <vt:i4>3981</vt:i4>
      </vt:variant>
      <vt:variant>
        <vt:i4>0</vt:i4>
      </vt:variant>
      <vt:variant>
        <vt:i4>5</vt:i4>
      </vt:variant>
      <vt:variant>
        <vt:lpwstr>https://www.nearme.scot/</vt:lpwstr>
      </vt:variant>
      <vt:variant>
        <vt:lpwstr/>
      </vt:variant>
      <vt:variant>
        <vt:i4>3014764</vt:i4>
      </vt:variant>
      <vt:variant>
        <vt:i4>3978</vt:i4>
      </vt:variant>
      <vt:variant>
        <vt:i4>0</vt:i4>
      </vt:variant>
      <vt:variant>
        <vt:i4>5</vt:i4>
      </vt:variant>
      <vt:variant>
        <vt:lpwstr>https://www.england.nhs.uk/gp/expanding-our-workforce/</vt:lpwstr>
      </vt:variant>
      <vt:variant>
        <vt:lpwstr/>
      </vt:variant>
      <vt:variant>
        <vt:i4>262218</vt:i4>
      </vt:variant>
      <vt:variant>
        <vt:i4>3975</vt:i4>
      </vt:variant>
      <vt:variant>
        <vt:i4>0</vt:i4>
      </vt:variant>
      <vt:variant>
        <vt:i4>5</vt:i4>
      </vt:variant>
      <vt:variant>
        <vt:lpwstr>https://www.england.nhs.uk/publication/update-on-quality-outcomes-framework-changes-for-2022-23/</vt:lpwstr>
      </vt:variant>
      <vt:variant>
        <vt:lpwstr/>
      </vt:variant>
      <vt:variant>
        <vt:i4>6619261</vt:i4>
      </vt:variant>
      <vt:variant>
        <vt:i4>3972</vt:i4>
      </vt:variant>
      <vt:variant>
        <vt:i4>0</vt:i4>
      </vt:variant>
      <vt:variant>
        <vt:i4>5</vt:i4>
      </vt:variant>
      <vt:variant>
        <vt:lpwstr>https://www.bma.org.uk/advice-and-support/gp-practices/primary-care-networks/primary-care-networks-pcns</vt:lpwstr>
      </vt:variant>
      <vt:variant>
        <vt:lpwstr/>
      </vt:variant>
      <vt:variant>
        <vt:i4>5242890</vt:i4>
      </vt:variant>
      <vt:variant>
        <vt:i4>3969</vt:i4>
      </vt:variant>
      <vt:variant>
        <vt:i4>0</vt:i4>
      </vt:variant>
      <vt:variant>
        <vt:i4>5</vt:i4>
      </vt:variant>
      <vt:variant>
        <vt:lpwstr>https://www.nhs.uk/nhs-services/urgent-and-emergency-care-services/when-to-visit-an-urgent-treatment-centre-walk-in-or-minor-injury-unit/</vt:lpwstr>
      </vt:variant>
      <vt:variant>
        <vt:lpwstr/>
      </vt:variant>
      <vt:variant>
        <vt:i4>6815858</vt:i4>
      </vt:variant>
      <vt:variant>
        <vt:i4>3966</vt:i4>
      </vt:variant>
      <vt:variant>
        <vt:i4>0</vt:i4>
      </vt:variant>
      <vt:variant>
        <vt:i4>5</vt:i4>
      </vt:variant>
      <vt:variant>
        <vt:lpwstr>https://www.england.nhs.uk/integratedcare/what-is-integrated-care/</vt:lpwstr>
      </vt:variant>
      <vt:variant>
        <vt:lpwstr/>
      </vt:variant>
      <vt:variant>
        <vt:i4>5701731</vt:i4>
      </vt:variant>
      <vt:variant>
        <vt:i4>3963</vt:i4>
      </vt:variant>
      <vt:variant>
        <vt:i4>0</vt:i4>
      </vt:variant>
      <vt:variant>
        <vt:i4>5</vt:i4>
      </vt:variant>
      <vt:variant>
        <vt:lpwstr>https://www.google.com/search?q=Letter+template+(england.nhs.uk)&amp;rlz=1C1GCEB_enNO927NO928&amp;oq=Letter+template+(england.nhs.uk)&amp;aqs=chrome.0.69i59.756j0j7&amp;sourceid=chrome&amp;ie=UTF-8</vt:lpwstr>
      </vt:variant>
      <vt:variant>
        <vt:lpwstr/>
      </vt:variant>
      <vt:variant>
        <vt:i4>3539046</vt:i4>
      </vt:variant>
      <vt:variant>
        <vt:i4>3960</vt:i4>
      </vt:variant>
      <vt:variant>
        <vt:i4>0</vt:i4>
      </vt:variant>
      <vt:variant>
        <vt:i4>5</vt:i4>
      </vt:variant>
      <vt:variant>
        <vt:lpwstr>https://www.england.nhs.uk/primary-care/primary-care-networks/network-contract-des/iif/</vt:lpwstr>
      </vt:variant>
      <vt:variant>
        <vt:lpwstr/>
      </vt:variant>
      <vt:variant>
        <vt:i4>4522076</vt:i4>
      </vt:variant>
      <vt:variant>
        <vt:i4>3957</vt:i4>
      </vt:variant>
      <vt:variant>
        <vt:i4>0</vt:i4>
      </vt:variant>
      <vt:variant>
        <vt:i4>5</vt:i4>
      </vt:variant>
      <vt:variant>
        <vt:lpwstr>https://www.england.nhs.uk/gp/investment/gp-contract/</vt:lpwstr>
      </vt:variant>
      <vt:variant>
        <vt:lpwstr/>
      </vt:variant>
      <vt:variant>
        <vt:i4>3473458</vt:i4>
      </vt:variant>
      <vt:variant>
        <vt:i4>3954</vt:i4>
      </vt:variant>
      <vt:variant>
        <vt:i4>0</vt:i4>
      </vt:variant>
      <vt:variant>
        <vt:i4>5</vt:i4>
      </vt:variant>
      <vt:variant>
        <vt:lpwstr>https://nhsgp.net/should-i-ring-111-or-999/</vt:lpwstr>
      </vt:variant>
      <vt:variant>
        <vt:lpwstr/>
      </vt:variant>
      <vt:variant>
        <vt:i4>3473452</vt:i4>
      </vt:variant>
      <vt:variant>
        <vt:i4>3951</vt:i4>
      </vt:variant>
      <vt:variant>
        <vt:i4>0</vt:i4>
      </vt:variant>
      <vt:variant>
        <vt:i4>5</vt:i4>
      </vt:variant>
      <vt:variant>
        <vt:lpwstr>https://www.longtermplan.nhs.uk/about/</vt:lpwstr>
      </vt:variant>
      <vt:variant>
        <vt:lpwstr/>
      </vt:variant>
      <vt:variant>
        <vt:i4>6750335</vt:i4>
      </vt:variant>
      <vt:variant>
        <vt:i4>3948</vt:i4>
      </vt:variant>
      <vt:variant>
        <vt:i4>0</vt:i4>
      </vt:variant>
      <vt:variant>
        <vt:i4>5</vt:i4>
      </vt:variant>
      <vt:variant>
        <vt:lpwstr>https://www.nav.no/egenmelding</vt:lpwstr>
      </vt:variant>
      <vt:variant>
        <vt:lpwstr/>
      </vt:variant>
      <vt:variant>
        <vt:i4>3801136</vt:i4>
      </vt:variant>
      <vt:variant>
        <vt:i4>3945</vt:i4>
      </vt:variant>
      <vt:variant>
        <vt:i4>0</vt:i4>
      </vt:variant>
      <vt:variant>
        <vt:i4>5</vt:i4>
      </vt:variant>
      <vt:variant>
        <vt:lpwstr>https://www.bi.no/forskning/business-review/articles/2019/12/endringer-forer-til-grensearbeid/</vt:lpwstr>
      </vt:variant>
      <vt:variant>
        <vt:lpwstr/>
      </vt:variant>
      <vt:variant>
        <vt:i4>524372</vt:i4>
      </vt:variant>
      <vt:variant>
        <vt:i4>3942</vt:i4>
      </vt:variant>
      <vt:variant>
        <vt:i4>0</vt:i4>
      </vt:variant>
      <vt:variant>
        <vt:i4>5</vt:i4>
      </vt:variant>
      <vt:variant>
        <vt:lpwstr>https://www.molde.kommune.no/helse-og-omsorg/akutt-helsehjelp/kontakt-legevakten/</vt:lpwstr>
      </vt:variant>
      <vt:variant>
        <vt:lpwstr/>
      </vt:variant>
      <vt:variant>
        <vt:i4>6291557</vt:i4>
      </vt:variant>
      <vt:variant>
        <vt:i4>3939</vt:i4>
      </vt:variant>
      <vt:variant>
        <vt:i4>0</vt:i4>
      </vt:variant>
      <vt:variant>
        <vt:i4>5</vt:i4>
      </vt:variant>
      <vt:variant>
        <vt:lpwstr>https://www.dsam.dk/uddannelse/videreuddannelse_i_almen_medicin/om_specialet/</vt:lpwstr>
      </vt:variant>
      <vt:variant>
        <vt:lpwstr/>
      </vt:variant>
      <vt:variant>
        <vt:i4>4522075</vt:i4>
      </vt:variant>
      <vt:variant>
        <vt:i4>3936</vt:i4>
      </vt:variant>
      <vt:variant>
        <vt:i4>0</vt:i4>
      </vt:variant>
      <vt:variant>
        <vt:i4>5</vt:i4>
      </vt:variant>
      <vt:variant>
        <vt:lpwstr>https://lanekassen.no/nb-NO/gjeld-og-betaling/finnmark-eller-nord-troms/soknad-om-sletting-av-gjeld-for-sokere-i-finnmark-og-nord-troms/</vt:lpwstr>
      </vt:variant>
      <vt:variant>
        <vt:lpwstr/>
      </vt:variant>
      <vt:variant>
        <vt:i4>5374020</vt:i4>
      </vt:variant>
      <vt:variant>
        <vt:i4>3933</vt:i4>
      </vt:variant>
      <vt:variant>
        <vt:i4>0</vt:i4>
      </vt:variant>
      <vt:variant>
        <vt:i4>5</vt:i4>
      </vt:variant>
      <vt:variant>
        <vt:lpwstr>https://lanekassen.no/nb-NO/gjeld-og-betaling/leger-i-utvalgte-kommuner/</vt:lpwstr>
      </vt:variant>
      <vt:variant>
        <vt:lpwstr/>
      </vt:variant>
      <vt:variant>
        <vt:i4>4849679</vt:i4>
      </vt:variant>
      <vt:variant>
        <vt:i4>3930</vt:i4>
      </vt:variant>
      <vt:variant>
        <vt:i4>0</vt:i4>
      </vt:variant>
      <vt:variant>
        <vt:i4>5</vt:i4>
      </vt:variant>
      <vt:variant>
        <vt:lpwstr>https://lovdata.no/dokument/NL/lov/2007-12-14-116</vt:lpwstr>
      </vt:variant>
      <vt:variant>
        <vt:lpwstr/>
      </vt:variant>
      <vt:variant>
        <vt:i4>4456456</vt:i4>
      </vt:variant>
      <vt:variant>
        <vt:i4>3927</vt:i4>
      </vt:variant>
      <vt:variant>
        <vt:i4>0</vt:i4>
      </vt:variant>
      <vt:variant>
        <vt:i4>5</vt:i4>
      </vt:variant>
      <vt:variant>
        <vt:lpwstr>https://lovdata.no/dokument/NL/lov/1999-07-02-61</vt:lpwstr>
      </vt:variant>
      <vt:variant>
        <vt:lpwstr/>
      </vt:variant>
      <vt:variant>
        <vt:i4>3932269</vt:i4>
      </vt:variant>
      <vt:variant>
        <vt:i4>3924</vt:i4>
      </vt:variant>
      <vt:variant>
        <vt:i4>0</vt:i4>
      </vt:variant>
      <vt:variant>
        <vt:i4>5</vt:i4>
      </vt:variant>
      <vt:variant>
        <vt:lpwstr>https://lovdata.no/dokument/NL/lov/1962-06-22-12?q=sykepleierpensjonsloven</vt:lpwstr>
      </vt:variant>
      <vt:variant>
        <vt:lpwstr/>
      </vt:variant>
      <vt:variant>
        <vt:i4>5046282</vt:i4>
      </vt:variant>
      <vt:variant>
        <vt:i4>3921</vt:i4>
      </vt:variant>
      <vt:variant>
        <vt:i4>0</vt:i4>
      </vt:variant>
      <vt:variant>
        <vt:i4>5</vt:i4>
      </vt:variant>
      <vt:variant>
        <vt:lpwstr>https://lovdata.no/dokument/NL/lov/2016-06-17-73</vt:lpwstr>
      </vt:variant>
      <vt:variant>
        <vt:lpwstr/>
      </vt:variant>
      <vt:variant>
        <vt:i4>7077981</vt:i4>
      </vt:variant>
      <vt:variant>
        <vt:i4>3918</vt:i4>
      </vt:variant>
      <vt:variant>
        <vt:i4>0</vt:i4>
      </vt:variant>
      <vt:variant>
        <vt:i4>5</vt:i4>
      </vt:variant>
      <vt:variant>
        <vt:lpwstr>https://lovdata.no/dokument/NL/lov/2017-06-16-51</vt:lpwstr>
      </vt:variant>
      <vt:variant>
        <vt:lpwstr>KAPITTEL_3</vt:lpwstr>
      </vt:variant>
      <vt:variant>
        <vt:i4>5111822</vt:i4>
      </vt:variant>
      <vt:variant>
        <vt:i4>3915</vt:i4>
      </vt:variant>
      <vt:variant>
        <vt:i4>0</vt:i4>
      </vt:variant>
      <vt:variant>
        <vt:i4>5</vt:i4>
      </vt:variant>
      <vt:variant>
        <vt:lpwstr>https://lovdata.no/dokument/NL/lov/2018-06-22-83</vt:lpwstr>
      </vt:variant>
      <vt:variant>
        <vt:lpwstr/>
      </vt:variant>
      <vt:variant>
        <vt:i4>4456567</vt:i4>
      </vt:variant>
      <vt:variant>
        <vt:i4>3912</vt:i4>
      </vt:variant>
      <vt:variant>
        <vt:i4>0</vt:i4>
      </vt:variant>
      <vt:variant>
        <vt:i4>5</vt:i4>
      </vt:variant>
      <vt:variant>
        <vt:lpwstr>https://lovdata.no/dokument/NL/lov/2011-06-24-30/KAPITTEL_4</vt:lpwstr>
      </vt:variant>
      <vt:variant>
        <vt:lpwstr>%C2%A74-1</vt:lpwstr>
      </vt:variant>
      <vt:variant>
        <vt:i4>4456567</vt:i4>
      </vt:variant>
      <vt:variant>
        <vt:i4>3909</vt:i4>
      </vt:variant>
      <vt:variant>
        <vt:i4>0</vt:i4>
      </vt:variant>
      <vt:variant>
        <vt:i4>5</vt:i4>
      </vt:variant>
      <vt:variant>
        <vt:lpwstr>https://lovdata.no/dokument/NL/lov/2011-06-24-30/KAPITTEL_4</vt:lpwstr>
      </vt:variant>
      <vt:variant>
        <vt:lpwstr>%C2%A74-1</vt:lpwstr>
      </vt:variant>
      <vt:variant>
        <vt:i4>4259848</vt:i4>
      </vt:variant>
      <vt:variant>
        <vt:i4>3906</vt:i4>
      </vt:variant>
      <vt:variant>
        <vt:i4>0</vt:i4>
      </vt:variant>
      <vt:variant>
        <vt:i4>5</vt:i4>
      </vt:variant>
      <vt:variant>
        <vt:lpwstr>https://lovdata.no/dokument/NL/lov/1999-07-02-64</vt:lpwstr>
      </vt:variant>
      <vt:variant>
        <vt:lpwstr/>
      </vt:variant>
      <vt:variant>
        <vt:i4>4194304</vt:i4>
      </vt:variant>
      <vt:variant>
        <vt:i4>3903</vt:i4>
      </vt:variant>
      <vt:variant>
        <vt:i4>0</vt:i4>
      </vt:variant>
      <vt:variant>
        <vt:i4>5</vt:i4>
      </vt:variant>
      <vt:variant>
        <vt:lpwstr>https://lovdata.no/dokument/NL/lov/1997-02-28-19?q=folketrygd</vt:lpwstr>
      </vt:variant>
      <vt:variant>
        <vt:lpwstr/>
      </vt:variant>
      <vt:variant>
        <vt:i4>3801130</vt:i4>
      </vt:variant>
      <vt:variant>
        <vt:i4>3900</vt:i4>
      </vt:variant>
      <vt:variant>
        <vt:i4>0</vt:i4>
      </vt:variant>
      <vt:variant>
        <vt:i4>5</vt:i4>
      </vt:variant>
      <vt:variant>
        <vt:lpwstr>https://www.regjeringen.no/contentassets/658a620ad1bc494ba81d2abba423aa41/no/pdfs/prp201620170071000dddpdfs.pdf</vt:lpwstr>
      </vt:variant>
      <vt:variant>
        <vt:lpwstr/>
      </vt:variant>
      <vt:variant>
        <vt:i4>5439490</vt:i4>
      </vt:variant>
      <vt:variant>
        <vt:i4>3897</vt:i4>
      </vt:variant>
      <vt:variant>
        <vt:i4>0</vt:i4>
      </vt:variant>
      <vt:variant>
        <vt:i4>5</vt:i4>
      </vt:variant>
      <vt:variant>
        <vt:lpwstr>https://lovdata.no/dokument/NL/lov/1967-02-10</vt:lpwstr>
      </vt:variant>
      <vt:variant>
        <vt:lpwstr/>
      </vt:variant>
      <vt:variant>
        <vt:i4>5046376</vt:i4>
      </vt:variant>
      <vt:variant>
        <vt:i4>3894</vt:i4>
      </vt:variant>
      <vt:variant>
        <vt:i4>0</vt:i4>
      </vt:variant>
      <vt:variant>
        <vt:i4>5</vt:i4>
      </vt:variant>
      <vt:variant>
        <vt:lpwstr>https://lovdata.no/dokument/NL/lov/2018-06-15-38/gdpr/ARTIKKEL_9</vt:lpwstr>
      </vt:variant>
      <vt:variant>
        <vt:lpwstr>gdpr&amp;</vt:lpwstr>
      </vt:variant>
      <vt:variant>
        <vt:i4>5177356</vt:i4>
      </vt:variant>
      <vt:variant>
        <vt:i4>3891</vt:i4>
      </vt:variant>
      <vt:variant>
        <vt:i4>0</vt:i4>
      </vt:variant>
      <vt:variant>
        <vt:i4>5</vt:i4>
      </vt:variant>
      <vt:variant>
        <vt:lpwstr>https://lovdata.no/dokument/NL/lov/2014-06-20-42</vt:lpwstr>
      </vt:variant>
      <vt:variant>
        <vt:lpwstr/>
      </vt:variant>
      <vt:variant>
        <vt:i4>4915208</vt:i4>
      </vt:variant>
      <vt:variant>
        <vt:i4>3888</vt:i4>
      </vt:variant>
      <vt:variant>
        <vt:i4>0</vt:i4>
      </vt:variant>
      <vt:variant>
        <vt:i4>5</vt:i4>
      </vt:variant>
      <vt:variant>
        <vt:lpwstr>https://lovdata.no/dokument/NL/lov/2005-06-17-64</vt:lpwstr>
      </vt:variant>
      <vt:variant>
        <vt:lpwstr/>
      </vt:variant>
      <vt:variant>
        <vt:i4>5046280</vt:i4>
      </vt:variant>
      <vt:variant>
        <vt:i4>3885</vt:i4>
      </vt:variant>
      <vt:variant>
        <vt:i4>0</vt:i4>
      </vt:variant>
      <vt:variant>
        <vt:i4>5</vt:i4>
      </vt:variant>
      <vt:variant>
        <vt:lpwstr>https://lovdata.no/dokument/NL/lov/2005-06-17-62</vt:lpwstr>
      </vt:variant>
      <vt:variant>
        <vt:lpwstr/>
      </vt:variant>
      <vt:variant>
        <vt:i4>6291558</vt:i4>
      </vt:variant>
      <vt:variant>
        <vt:i4>3882</vt:i4>
      </vt:variant>
      <vt:variant>
        <vt:i4>0</vt:i4>
      </vt:variant>
      <vt:variant>
        <vt:i4>5</vt:i4>
      </vt:variant>
      <vt:variant>
        <vt:lpwstr>https://www.legeforeningen.no/om-oss/fond-og-legater/utdanningsfond-ii/</vt:lpwstr>
      </vt:variant>
      <vt:variant>
        <vt:lpwstr/>
      </vt:variant>
      <vt:variant>
        <vt:i4>7929952</vt:i4>
      </vt:variant>
      <vt:variant>
        <vt:i4>3879</vt:i4>
      </vt:variant>
      <vt:variant>
        <vt:i4>0</vt:i4>
      </vt:variant>
      <vt:variant>
        <vt:i4>5</vt:i4>
      </vt:variant>
      <vt:variant>
        <vt:lpwstr>https://doi.org/10.4045/tidsskr.21.0253</vt:lpwstr>
      </vt:variant>
      <vt:variant>
        <vt:lpwstr/>
      </vt:variant>
      <vt:variant>
        <vt:i4>1507351</vt:i4>
      </vt:variant>
      <vt:variant>
        <vt:i4>3876</vt:i4>
      </vt:variant>
      <vt:variant>
        <vt:i4>0</vt:i4>
      </vt:variant>
      <vt:variant>
        <vt:i4>5</vt:i4>
      </vt:variant>
      <vt:variant>
        <vt:lpwstr>https://www.finlex.fi/sv/laki/smur/2021/20210612</vt:lpwstr>
      </vt:variant>
      <vt:variant>
        <vt:lpwstr/>
      </vt:variant>
      <vt:variant>
        <vt:i4>4718601</vt:i4>
      </vt:variant>
      <vt:variant>
        <vt:i4>3873</vt:i4>
      </vt:variant>
      <vt:variant>
        <vt:i4>0</vt:i4>
      </vt:variant>
      <vt:variant>
        <vt:i4>5</vt:i4>
      </vt:variant>
      <vt:variant>
        <vt:lpwstr>https://www.duo.uio.no/bitstream/handle/10852/38335/Prosjektoppgavenxendeligxversjonx05.07.13.pdf?sequence=1</vt:lpwstr>
      </vt:variant>
      <vt:variant>
        <vt:lpwstr/>
      </vt:variant>
      <vt:variant>
        <vt:i4>3932273</vt:i4>
      </vt:variant>
      <vt:variant>
        <vt:i4>3870</vt:i4>
      </vt:variant>
      <vt:variant>
        <vt:i4>0</vt:i4>
      </vt:variant>
      <vt:variant>
        <vt:i4>5</vt:i4>
      </vt:variant>
      <vt:variant>
        <vt:lpwstr>https://lovdata.no/dokument/SF/forskrift/2020-01-03-45</vt:lpwstr>
      </vt:variant>
      <vt:variant>
        <vt:lpwstr/>
      </vt:variant>
      <vt:variant>
        <vt:i4>3342375</vt:i4>
      </vt:variant>
      <vt:variant>
        <vt:i4>3867</vt:i4>
      </vt:variant>
      <vt:variant>
        <vt:i4>0</vt:i4>
      </vt:variant>
      <vt:variant>
        <vt:i4>5</vt:i4>
      </vt:variant>
      <vt:variant>
        <vt:lpwstr>https://www.legeforeningen.no/contentassets/5acb1bbeaadf47d1975f2c41e6564bf9/rammeavtalen-2012.pdf</vt:lpwstr>
      </vt:variant>
      <vt:variant>
        <vt:lpwstr/>
      </vt:variant>
      <vt:variant>
        <vt:i4>6357048</vt:i4>
      </vt:variant>
      <vt:variant>
        <vt:i4>3864</vt:i4>
      </vt:variant>
      <vt:variant>
        <vt:i4>0</vt:i4>
      </vt:variant>
      <vt:variant>
        <vt:i4>5</vt:i4>
      </vt:variant>
      <vt:variant>
        <vt:lpwstr>https://www.ks.no/fagomrader/lonn-og-tariff/legeavtaler/rammeavtalen-om-fastlegeordningen-asa-4310/</vt:lpwstr>
      </vt:variant>
      <vt:variant>
        <vt:lpwstr/>
      </vt:variant>
      <vt:variant>
        <vt:i4>7077940</vt:i4>
      </vt:variant>
      <vt:variant>
        <vt:i4>3861</vt:i4>
      </vt:variant>
      <vt:variant>
        <vt:i4>0</vt:i4>
      </vt:variant>
      <vt:variant>
        <vt:i4>5</vt:i4>
      </vt:variant>
      <vt:variant>
        <vt:lpwstr>https://www.regjeringen.no/no/dokumenter/digitaliseringsrundskrivet2/id2952701/</vt:lpwstr>
      </vt:variant>
      <vt:variant>
        <vt:lpwstr/>
      </vt:variant>
      <vt:variant>
        <vt:i4>6750258</vt:i4>
      </vt:variant>
      <vt:variant>
        <vt:i4>3858</vt:i4>
      </vt:variant>
      <vt:variant>
        <vt:i4>0</vt:i4>
      </vt:variant>
      <vt:variant>
        <vt:i4>5</vt:i4>
      </vt:variant>
      <vt:variant>
        <vt:lpwstr>https://www.kingsfund.org.uk/topics/integrated-care</vt:lpwstr>
      </vt:variant>
      <vt:variant>
        <vt:lpwstr/>
      </vt:variant>
      <vt:variant>
        <vt:i4>2424892</vt:i4>
      </vt:variant>
      <vt:variant>
        <vt:i4>3855</vt:i4>
      </vt:variant>
      <vt:variant>
        <vt:i4>0</vt:i4>
      </vt:variant>
      <vt:variant>
        <vt:i4>5</vt:i4>
      </vt:variant>
      <vt:variant>
        <vt:lpwstr>https://www.menon.no/wp-content/uploads/2022-57-Helsenaeringens-verdi-2022.pdf</vt:lpwstr>
      </vt:variant>
      <vt:variant>
        <vt:lpwstr/>
      </vt:variant>
      <vt:variant>
        <vt:i4>4915207</vt:i4>
      </vt:variant>
      <vt:variant>
        <vt:i4>3852</vt:i4>
      </vt:variant>
      <vt:variant>
        <vt:i4>0</vt:i4>
      </vt:variant>
      <vt:variant>
        <vt:i4>5</vt:i4>
      </vt:variant>
      <vt:variant>
        <vt:lpwstr>https://www.retsinformation.dk/eli/lta/2009/1219</vt:lpwstr>
      </vt:variant>
      <vt:variant>
        <vt:lpwstr/>
      </vt:variant>
      <vt:variant>
        <vt:i4>7536761</vt:i4>
      </vt:variant>
      <vt:variant>
        <vt:i4>3849</vt:i4>
      </vt:variant>
      <vt:variant>
        <vt:i4>0</vt:i4>
      </vt:variant>
      <vt:variant>
        <vt:i4>5</vt:i4>
      </vt:variant>
      <vt:variant>
        <vt:lpwstr>https://www.regjeringen.no/contentassets/e683123127ec414ca71b73a776a8f532/fastlegeforskrift.pdf</vt:lpwstr>
      </vt:variant>
      <vt:variant>
        <vt:lpwstr/>
      </vt:variant>
      <vt:variant>
        <vt:i4>2883635</vt:i4>
      </vt:variant>
      <vt:variant>
        <vt:i4>3846</vt:i4>
      </vt:variant>
      <vt:variant>
        <vt:i4>0</vt:i4>
      </vt:variant>
      <vt:variant>
        <vt:i4>5</vt:i4>
      </vt:variant>
      <vt:variant>
        <vt:lpwstr>https://victoriamarone.github.io/files/Fastlege_venteliste_90min.pdf</vt:lpwstr>
      </vt:variant>
      <vt:variant>
        <vt:lpwstr/>
      </vt:variant>
      <vt:variant>
        <vt:i4>1245255</vt:i4>
      </vt:variant>
      <vt:variant>
        <vt:i4>3843</vt:i4>
      </vt:variant>
      <vt:variant>
        <vt:i4>0</vt:i4>
      </vt:variant>
      <vt:variant>
        <vt:i4>5</vt:i4>
      </vt:variant>
      <vt:variant>
        <vt:lpwstr>https://www.helsenorge.no/bytte-fastlege/om/</vt:lpwstr>
      </vt:variant>
      <vt:variant>
        <vt:lpwstr/>
      </vt:variant>
      <vt:variant>
        <vt:i4>5832795</vt:i4>
      </vt:variant>
      <vt:variant>
        <vt:i4>3840</vt:i4>
      </vt:variant>
      <vt:variant>
        <vt:i4>0</vt:i4>
      </vt:variant>
      <vt:variant>
        <vt:i4>5</vt:i4>
      </vt:variant>
      <vt:variant>
        <vt:lpwstr>https://www.alis.no/om-alis-kontorene</vt:lpwstr>
      </vt:variant>
      <vt:variant>
        <vt:lpwstr/>
      </vt:variant>
      <vt:variant>
        <vt:i4>6619255</vt:i4>
      </vt:variant>
      <vt:variant>
        <vt:i4>3837</vt:i4>
      </vt:variant>
      <vt:variant>
        <vt:i4>0</vt:i4>
      </vt:variant>
      <vt:variant>
        <vt:i4>5</vt:i4>
      </vt:variant>
      <vt:variant>
        <vt:lpwstr>https://opne-data.helserefusjon.no/</vt:lpwstr>
      </vt:variant>
      <vt:variant>
        <vt:lpwstr/>
      </vt:variant>
      <vt:variant>
        <vt:i4>5505054</vt:i4>
      </vt:variant>
      <vt:variant>
        <vt:i4>3834</vt:i4>
      </vt:variant>
      <vt:variant>
        <vt:i4>0</vt:i4>
      </vt:variant>
      <vt:variant>
        <vt:i4>5</vt:i4>
      </vt:variant>
      <vt:variant>
        <vt:lpwstr>https://www.helsedirektoratet.no/tema/helsefellesskap</vt:lpwstr>
      </vt:variant>
      <vt:variant>
        <vt:lpwstr/>
      </vt:variant>
      <vt:variant>
        <vt:i4>1638419</vt:i4>
      </vt:variant>
      <vt:variant>
        <vt:i4>3831</vt:i4>
      </vt:variant>
      <vt:variant>
        <vt:i4>0</vt:i4>
      </vt:variant>
      <vt:variant>
        <vt:i4>5</vt:i4>
      </vt:variant>
      <vt:variant>
        <vt:lpwstr>https://www.helsedirektoratet.no/produkter/om-helsedirektoratets-normerende-produkter</vt:lpwstr>
      </vt:variant>
      <vt:variant>
        <vt:lpwstr/>
      </vt:variant>
      <vt:variant>
        <vt:i4>7471230</vt:i4>
      </vt:variant>
      <vt:variant>
        <vt:i4>3828</vt:i4>
      </vt:variant>
      <vt:variant>
        <vt:i4>0</vt:i4>
      </vt:variant>
      <vt:variant>
        <vt:i4>5</vt:i4>
      </vt:variant>
      <vt:variant>
        <vt:lpwstr>https://www.helsedirektoratet.no/faglige-rad/veiledning-av-leger-i-spesialisering/om-de-faglige-radene</vt:lpwstr>
      </vt:variant>
      <vt:variant>
        <vt:lpwstr/>
      </vt:variant>
      <vt:variant>
        <vt:i4>2752628</vt:i4>
      </vt:variant>
      <vt:variant>
        <vt:i4>3825</vt:i4>
      </vt:variant>
      <vt:variant>
        <vt:i4>0</vt:i4>
      </vt:variant>
      <vt:variant>
        <vt:i4>5</vt:i4>
      </vt:variant>
      <vt:variant>
        <vt:lpwstr>https://www.regjeringen.no/no/dokumenter/meld.-st.-11-20202021/id2791147/?ch=1</vt:lpwstr>
      </vt:variant>
      <vt:variant>
        <vt:lpwstr/>
      </vt:variant>
      <vt:variant>
        <vt:i4>1114196</vt:i4>
      </vt:variant>
      <vt:variant>
        <vt:i4>3822</vt:i4>
      </vt:variant>
      <vt:variant>
        <vt:i4>0</vt:i4>
      </vt:variant>
      <vt:variant>
        <vt:i4>5</vt:i4>
      </vt:variant>
      <vt:variant>
        <vt:lpwstr>https://www.forsakringskassan.se/privatperson/sjuk/anstalld/sjukpenning-for-anstallda</vt:lpwstr>
      </vt:variant>
      <vt:variant>
        <vt:lpwstr/>
      </vt:variant>
      <vt:variant>
        <vt:i4>458826</vt:i4>
      </vt:variant>
      <vt:variant>
        <vt:i4>3819</vt:i4>
      </vt:variant>
      <vt:variant>
        <vt:i4>0</vt:i4>
      </vt:variant>
      <vt:variant>
        <vt:i4>5</vt:i4>
      </vt:variant>
      <vt:variant>
        <vt:lpwstr>https://lovdata.no/dokument/SF/forskrift/2022-06-29-1269</vt:lpwstr>
      </vt:variant>
      <vt:variant>
        <vt:lpwstr/>
      </vt:variant>
      <vt:variant>
        <vt:i4>983104</vt:i4>
      </vt:variant>
      <vt:variant>
        <vt:i4>3816</vt:i4>
      </vt:variant>
      <vt:variant>
        <vt:i4>0</vt:i4>
      </vt:variant>
      <vt:variant>
        <vt:i4>5</vt:i4>
      </vt:variant>
      <vt:variant>
        <vt:lpwstr>https://lovdata.no/dokument/SF/forskrift/2016-12-08-1482</vt:lpwstr>
      </vt:variant>
      <vt:variant>
        <vt:lpwstr/>
      </vt:variant>
      <vt:variant>
        <vt:i4>4063354</vt:i4>
      </vt:variant>
      <vt:variant>
        <vt:i4>3813</vt:i4>
      </vt:variant>
      <vt:variant>
        <vt:i4>0</vt:i4>
      </vt:variant>
      <vt:variant>
        <vt:i4>5</vt:i4>
      </vt:variant>
      <vt:variant>
        <vt:lpwstr>https://lovdata.no/dokument/SF/forskrift/1998-06-18-590</vt:lpwstr>
      </vt:variant>
      <vt:variant>
        <vt:lpwstr/>
      </vt:variant>
      <vt:variant>
        <vt:i4>458816</vt:i4>
      </vt:variant>
      <vt:variant>
        <vt:i4>3810</vt:i4>
      </vt:variant>
      <vt:variant>
        <vt:i4>0</vt:i4>
      </vt:variant>
      <vt:variant>
        <vt:i4>5</vt:i4>
      </vt:variant>
      <vt:variant>
        <vt:lpwstr>https://lovdata.no/dokument/SF/forskrift/2009-09-09-1175</vt:lpwstr>
      </vt:variant>
      <vt:variant>
        <vt:lpwstr/>
      </vt:variant>
      <vt:variant>
        <vt:i4>3473525</vt:i4>
      </vt:variant>
      <vt:variant>
        <vt:i4>3807</vt:i4>
      </vt:variant>
      <vt:variant>
        <vt:i4>0</vt:i4>
      </vt:variant>
      <vt:variant>
        <vt:i4>5</vt:i4>
      </vt:variant>
      <vt:variant>
        <vt:lpwstr>https://lovdata.no/dokument/SF/forskrift/2012-08-29-843</vt:lpwstr>
      </vt:variant>
      <vt:variant>
        <vt:lpwstr/>
      </vt:variant>
      <vt:variant>
        <vt:i4>7078006</vt:i4>
      </vt:variant>
      <vt:variant>
        <vt:i4>3804</vt:i4>
      </vt:variant>
      <vt:variant>
        <vt:i4>0</vt:i4>
      </vt:variant>
      <vt:variant>
        <vt:i4>5</vt:i4>
      </vt:variant>
      <vt:variant>
        <vt:lpwstr>https://lovdata.no/dokument/LTI/forskrift/2020-01-03-21</vt:lpwstr>
      </vt:variant>
      <vt:variant>
        <vt:lpwstr/>
      </vt:variant>
      <vt:variant>
        <vt:i4>8126502</vt:i4>
      </vt:variant>
      <vt:variant>
        <vt:i4>3801</vt:i4>
      </vt:variant>
      <vt:variant>
        <vt:i4>0</vt:i4>
      </vt:variant>
      <vt:variant>
        <vt:i4>5</vt:i4>
      </vt:variant>
      <vt:variant>
        <vt:lpwstr>https://lovdata.no/forskrift/2015-03-20-231</vt:lpwstr>
      </vt:variant>
      <vt:variant>
        <vt:lpwstr/>
      </vt:variant>
      <vt:variant>
        <vt:i4>2555942</vt:i4>
      </vt:variant>
      <vt:variant>
        <vt:i4>3798</vt:i4>
      </vt:variant>
      <vt:variant>
        <vt:i4>0</vt:i4>
      </vt:variant>
      <vt:variant>
        <vt:i4>5</vt:i4>
      </vt:variant>
      <vt:variant>
        <vt:lpwstr>https://lovdata.no/dokument/SF/forskrift/2016-08-12-976?q=Konsesjonskontraktforskriften</vt:lpwstr>
      </vt:variant>
      <vt:variant>
        <vt:lpwstr/>
      </vt:variant>
      <vt:variant>
        <vt:i4>6160462</vt:i4>
      </vt:variant>
      <vt:variant>
        <vt:i4>3795</vt:i4>
      </vt:variant>
      <vt:variant>
        <vt:i4>0</vt:i4>
      </vt:variant>
      <vt:variant>
        <vt:i4>5</vt:i4>
      </vt:variant>
      <vt:variant>
        <vt:lpwstr>https://lovdata.no/dokument/LTI/forskrift/2017-02-17-192</vt:lpwstr>
      </vt:variant>
      <vt:variant>
        <vt:lpwstr/>
      </vt:variant>
      <vt:variant>
        <vt:i4>3473525</vt:i4>
      </vt:variant>
      <vt:variant>
        <vt:i4>3792</vt:i4>
      </vt:variant>
      <vt:variant>
        <vt:i4>0</vt:i4>
      </vt:variant>
      <vt:variant>
        <vt:i4>5</vt:i4>
      </vt:variant>
      <vt:variant>
        <vt:lpwstr>https://lovdata.no/dokument/SF/forskrift/2012-08-29-842</vt:lpwstr>
      </vt:variant>
      <vt:variant>
        <vt:lpwstr/>
      </vt:variant>
      <vt:variant>
        <vt:i4>720964</vt:i4>
      </vt:variant>
      <vt:variant>
        <vt:i4>3789</vt:i4>
      </vt:variant>
      <vt:variant>
        <vt:i4>0</vt:i4>
      </vt:variant>
      <vt:variant>
        <vt:i4>5</vt:i4>
      </vt:variant>
      <vt:variant>
        <vt:lpwstr>https://lovdata.no/dokument/SF/forskrift/2016-12-20-1848</vt:lpwstr>
      </vt:variant>
      <vt:variant>
        <vt:lpwstr/>
      </vt:variant>
      <vt:variant>
        <vt:i4>7798828</vt:i4>
      </vt:variant>
      <vt:variant>
        <vt:i4>3786</vt:i4>
      </vt:variant>
      <vt:variant>
        <vt:i4>0</vt:i4>
      </vt:variant>
      <vt:variant>
        <vt:i4>5</vt:i4>
      </vt:variant>
      <vt:variant>
        <vt:lpwstr>https://lovdata.no/forskrift/1988-11-14-932</vt:lpwstr>
      </vt:variant>
      <vt:variant>
        <vt:lpwstr/>
      </vt:variant>
      <vt:variant>
        <vt:i4>6488186</vt:i4>
      </vt:variant>
      <vt:variant>
        <vt:i4>3783</vt:i4>
      </vt:variant>
      <vt:variant>
        <vt:i4>0</vt:i4>
      </vt:variant>
      <vt:variant>
        <vt:i4>5</vt:i4>
      </vt:variant>
      <vt:variant>
        <vt:lpwstr>https://www.nivel.nl/sites/default/files/bestanden/1004234.pdf</vt:lpwstr>
      </vt:variant>
      <vt:variant>
        <vt:lpwstr/>
      </vt:variant>
      <vt:variant>
        <vt:i4>1507410</vt:i4>
      </vt:variant>
      <vt:variant>
        <vt:i4>3780</vt:i4>
      </vt:variant>
      <vt:variant>
        <vt:i4>0</vt:i4>
      </vt:variant>
      <vt:variant>
        <vt:i4>5</vt:i4>
      </vt:variant>
      <vt:variant>
        <vt:lpwstr>https://alrekhelseklynge.no/prosjekter/fronesis/</vt:lpwstr>
      </vt:variant>
      <vt:variant>
        <vt:lpwstr/>
      </vt:variant>
      <vt:variant>
        <vt:i4>1572954</vt:i4>
      </vt:variant>
      <vt:variant>
        <vt:i4>3777</vt:i4>
      </vt:variant>
      <vt:variant>
        <vt:i4>0</vt:i4>
      </vt:variant>
      <vt:variant>
        <vt:i4>5</vt:i4>
      </vt:variant>
      <vt:variant>
        <vt:lpwstr>https://www.finlex.fi/sv/laki/alkup/2017/20170583</vt:lpwstr>
      </vt:variant>
      <vt:variant>
        <vt:lpwstr/>
      </vt:variant>
      <vt:variant>
        <vt:i4>524309</vt:i4>
      </vt:variant>
      <vt:variant>
        <vt:i4>3774</vt:i4>
      </vt:variant>
      <vt:variant>
        <vt:i4>0</vt:i4>
      </vt:variant>
      <vt:variant>
        <vt:i4>5</vt:i4>
      </vt:variant>
      <vt:variant>
        <vt:lpwstr>https://www.finansnorge.no/statistikk/skadeforsikring/helseforsikring/behandlingsforsikring/</vt:lpwstr>
      </vt:variant>
      <vt:variant>
        <vt:lpwstr/>
      </vt:variant>
      <vt:variant>
        <vt:i4>3211363</vt:i4>
      </vt:variant>
      <vt:variant>
        <vt:i4>3771</vt:i4>
      </vt:variant>
      <vt:variant>
        <vt:i4>0</vt:i4>
      </vt:variant>
      <vt:variant>
        <vt:i4>5</vt:i4>
      </vt:variant>
      <vt:variant>
        <vt:lpwstr>https://ec.europa.eu/eurostat/statistics-explained/index.php?title=Healthcare_personnel_statistics_-_physicians</vt:lpwstr>
      </vt:variant>
      <vt:variant>
        <vt:lpwstr/>
      </vt:variant>
      <vt:variant>
        <vt:i4>2162794</vt:i4>
      </vt:variant>
      <vt:variant>
        <vt:i4>3768</vt:i4>
      </vt:variant>
      <vt:variant>
        <vt:i4>0</vt:i4>
      </vt:variant>
      <vt:variant>
        <vt:i4>5</vt:i4>
      </vt:variant>
      <vt:variant>
        <vt:lpwstr>https://gpinfo.nl/</vt:lpwstr>
      </vt:variant>
      <vt:variant>
        <vt:lpwstr/>
      </vt:variant>
      <vt:variant>
        <vt:i4>393238</vt:i4>
      </vt:variant>
      <vt:variant>
        <vt:i4>3765</vt:i4>
      </vt:variant>
      <vt:variant>
        <vt:i4>0</vt:i4>
      </vt:variant>
      <vt:variant>
        <vt:i4>5</vt:i4>
      </vt:variant>
      <vt:variant>
        <vt:lpwstr>https://gpinfo.nl/about-gpinfonl</vt:lpwstr>
      </vt:variant>
      <vt:variant>
        <vt:lpwstr/>
      </vt:variant>
      <vt:variant>
        <vt:i4>7667837</vt:i4>
      </vt:variant>
      <vt:variant>
        <vt:i4>3762</vt:i4>
      </vt:variant>
      <vt:variant>
        <vt:i4>0</vt:i4>
      </vt:variant>
      <vt:variant>
        <vt:i4>5</vt:i4>
      </vt:variant>
      <vt:variant>
        <vt:lpwstr>https://www.dnv.com/Publications/how-do-i-turn-this-on-what-to-consider-when-adopting-ai-based-tools-into-clinical-practice-237225</vt:lpwstr>
      </vt:variant>
      <vt:variant>
        <vt:lpwstr/>
      </vt:variant>
      <vt:variant>
        <vt:i4>851977</vt:i4>
      </vt:variant>
      <vt:variant>
        <vt:i4>3759</vt:i4>
      </vt:variant>
      <vt:variant>
        <vt:i4>0</vt:i4>
      </vt:variant>
      <vt:variant>
        <vt:i4>5</vt:i4>
      </vt:variant>
      <vt:variant>
        <vt:lpwstr>https://www.norwayhealthtech.com/nb/news/direktoratet-for-e-helse-og-healthcatalyst-inngar-avtale-for-a-styrke-samarbeidet-mellom-helse-og-omsorgssektoren-og-leverandorene/</vt:lpwstr>
      </vt:variant>
      <vt:variant>
        <vt:lpwstr/>
      </vt:variant>
      <vt:variant>
        <vt:i4>3670139</vt:i4>
      </vt:variant>
      <vt:variant>
        <vt:i4>3756</vt:i4>
      </vt:variant>
      <vt:variant>
        <vt:i4>0</vt:i4>
      </vt:variant>
      <vt:variant>
        <vt:i4>5</vt:i4>
      </vt:variant>
      <vt:variant>
        <vt:lpwstr>https://avkommersialiseringsutvalget.no/mandat/</vt:lpwstr>
      </vt:variant>
      <vt:variant>
        <vt:lpwstr/>
      </vt:variant>
      <vt:variant>
        <vt:i4>5898265</vt:i4>
      </vt:variant>
      <vt:variant>
        <vt:i4>3753</vt:i4>
      </vt:variant>
      <vt:variant>
        <vt:i4>0</vt:i4>
      </vt:variant>
      <vt:variant>
        <vt:i4>5</vt:i4>
      </vt:variant>
      <vt:variant>
        <vt:lpwstr>https://www.digdir.no/digital-samhandling/rammeverk-digital-samhandling/2148</vt:lpwstr>
      </vt:variant>
      <vt:variant>
        <vt:lpwstr/>
      </vt:variant>
      <vt:variant>
        <vt:i4>2031618</vt:i4>
      </vt:variant>
      <vt:variant>
        <vt:i4>3750</vt:i4>
      </vt:variant>
      <vt:variant>
        <vt:i4>0</vt:i4>
      </vt:variant>
      <vt:variant>
        <vt:i4>5</vt:i4>
      </vt:variant>
      <vt:variant>
        <vt:lpwstr>https://markedsplassen.anskaffelser.no/veiledning/veiledning-etter-schrems-ii</vt:lpwstr>
      </vt:variant>
      <vt:variant>
        <vt:lpwstr/>
      </vt:variant>
      <vt:variant>
        <vt:i4>1638465</vt:i4>
      </vt:variant>
      <vt:variant>
        <vt:i4>3747</vt:i4>
      </vt:variant>
      <vt:variant>
        <vt:i4>0</vt:i4>
      </vt:variant>
      <vt:variant>
        <vt:i4>5</vt:i4>
      </vt:variant>
      <vt:variant>
        <vt:lpwstr>https://www.legeforeningen.no/contentassets/3ec6c3f2be724b55b92784fc7d7931f0/sak-9.2-utredning-om-spesialitetsstruktur-vedlegg-1.pdf</vt:lpwstr>
      </vt:variant>
      <vt:variant>
        <vt:lpwstr/>
      </vt:variant>
      <vt:variant>
        <vt:i4>2293884</vt:i4>
      </vt:variant>
      <vt:variant>
        <vt:i4>3744</vt:i4>
      </vt:variant>
      <vt:variant>
        <vt:i4>0</vt:i4>
      </vt:variant>
      <vt:variant>
        <vt:i4>5</vt:i4>
      </vt:variant>
      <vt:variant>
        <vt:lpwstr>https://www.legeforeningen.no/jus-og-arbeidsliv/drift-av-legekontor/kjop-og-salg-av-praksis/nemndsavgjorelser/nasjonal-nemnd-fra-01.11.2006-floallmennpraksis/</vt:lpwstr>
      </vt:variant>
      <vt:variant>
        <vt:lpwstr/>
      </vt:variant>
      <vt:variant>
        <vt:i4>3801126</vt:i4>
      </vt:variant>
      <vt:variant>
        <vt:i4>3741</vt:i4>
      </vt:variant>
      <vt:variant>
        <vt:i4>0</vt:i4>
      </vt:variant>
      <vt:variant>
        <vt:i4>5</vt:i4>
      </vt:variant>
      <vt:variant>
        <vt:lpwstr>https://www.datatilsynet.no/regelverk-og-verktoy/lover-og-regler/om-personopplysningsloven-og-nar-den-gjelder/</vt:lpwstr>
      </vt:variant>
      <vt:variant>
        <vt:lpwstr/>
      </vt:variant>
      <vt:variant>
        <vt:i4>1900574</vt:i4>
      </vt:variant>
      <vt:variant>
        <vt:i4>3738</vt:i4>
      </vt:variant>
      <vt:variant>
        <vt:i4>0</vt:i4>
      </vt:variant>
      <vt:variant>
        <vt:i4>5</vt:i4>
      </vt:variant>
      <vt:variant>
        <vt:lpwstr>https://gpinfo.nl/how-are-training-and-quality-of-gps-arranged-in-netherlands</vt:lpwstr>
      </vt:variant>
      <vt:variant>
        <vt:lpwstr/>
      </vt:variant>
      <vt:variant>
        <vt:i4>983068</vt:i4>
      </vt:variant>
      <vt:variant>
        <vt:i4>3735</vt:i4>
      </vt:variant>
      <vt:variant>
        <vt:i4>0</vt:i4>
      </vt:variant>
      <vt:variant>
        <vt:i4>5</vt:i4>
      </vt:variant>
      <vt:variant>
        <vt:lpwstr>https://doi.org/10.3399/bjgp17X688849</vt:lpwstr>
      </vt:variant>
      <vt:variant>
        <vt:lpwstr/>
      </vt:variant>
      <vt:variant>
        <vt:i4>655439</vt:i4>
      </vt:variant>
      <vt:variant>
        <vt:i4>3732</vt:i4>
      </vt:variant>
      <vt:variant>
        <vt:i4>0</vt:i4>
      </vt:variant>
      <vt:variant>
        <vt:i4>5</vt:i4>
      </vt:variant>
      <vt:variant>
        <vt:lpwstr>https://doi.org/10.12968/bjon.2019.28.20.1308</vt:lpwstr>
      </vt:variant>
      <vt:variant>
        <vt:lpwstr/>
      </vt:variant>
      <vt:variant>
        <vt:i4>1179743</vt:i4>
      </vt:variant>
      <vt:variant>
        <vt:i4>3729</vt:i4>
      </vt:variant>
      <vt:variant>
        <vt:i4>0</vt:i4>
      </vt:variant>
      <vt:variant>
        <vt:i4>5</vt:i4>
      </vt:variant>
      <vt:variant>
        <vt:lpwstr>https://www.commonwealthfund.org/international-health-policy-center/countries/netherlands</vt:lpwstr>
      </vt:variant>
      <vt:variant>
        <vt:lpwstr/>
      </vt:variant>
      <vt:variant>
        <vt:i4>327703</vt:i4>
      </vt:variant>
      <vt:variant>
        <vt:i4>3726</vt:i4>
      </vt:variant>
      <vt:variant>
        <vt:i4>0</vt:i4>
      </vt:variant>
      <vt:variant>
        <vt:i4>5</vt:i4>
      </vt:variant>
      <vt:variant>
        <vt:lpwstr>https://doi.org/10.3399/bjgp20X710909</vt:lpwstr>
      </vt:variant>
      <vt:variant>
        <vt:lpwstr/>
      </vt:variant>
      <vt:variant>
        <vt:i4>1572891</vt:i4>
      </vt:variant>
      <vt:variant>
        <vt:i4>3723</vt:i4>
      </vt:variant>
      <vt:variant>
        <vt:i4>0</vt:i4>
      </vt:variant>
      <vt:variant>
        <vt:i4>5</vt:i4>
      </vt:variant>
      <vt:variant>
        <vt:lpwstr>https://www.bmj.com/careers/article/how-to-become-a-gp-in-the-uk-a-step-by-step-guide</vt:lpwstr>
      </vt:variant>
      <vt:variant>
        <vt:lpwstr/>
      </vt:variant>
      <vt:variant>
        <vt:i4>7864421</vt:i4>
      </vt:variant>
      <vt:variant>
        <vt:i4>3720</vt:i4>
      </vt:variant>
      <vt:variant>
        <vt:i4>0</vt:i4>
      </vt:variant>
      <vt:variant>
        <vt:i4>5</vt:i4>
      </vt:variant>
      <vt:variant>
        <vt:lpwstr>https://doi.org/10.4045/tidsskr.17.0427</vt:lpwstr>
      </vt:variant>
      <vt:variant>
        <vt:lpwstr/>
      </vt:variant>
      <vt:variant>
        <vt:i4>2687102</vt:i4>
      </vt:variant>
      <vt:variant>
        <vt:i4>3717</vt:i4>
      </vt:variant>
      <vt:variant>
        <vt:i4>0</vt:i4>
      </vt:variant>
      <vt:variant>
        <vt:i4>5</vt:i4>
      </vt:variant>
      <vt:variant>
        <vt:lpwstr>https://www.ssb.no/helse/helsetjenester/artikler/sykepleiere-pa-sykehus-jobber-mer-under-pandemien</vt:lpwstr>
      </vt:variant>
      <vt:variant>
        <vt:lpwstr/>
      </vt:variant>
      <vt:variant>
        <vt:i4>7209010</vt:i4>
      </vt:variant>
      <vt:variant>
        <vt:i4>3714</vt:i4>
      </vt:variant>
      <vt:variant>
        <vt:i4>0</vt:i4>
      </vt:variant>
      <vt:variant>
        <vt:i4>5</vt:i4>
      </vt:variant>
      <vt:variant>
        <vt:lpwstr>https://doi.org/10.1007/s11845-020-02345-w</vt:lpwstr>
      </vt:variant>
      <vt:variant>
        <vt:lpwstr/>
      </vt:variant>
      <vt:variant>
        <vt:i4>786461</vt:i4>
      </vt:variant>
      <vt:variant>
        <vt:i4>3711</vt:i4>
      </vt:variant>
      <vt:variant>
        <vt:i4>0</vt:i4>
      </vt:variant>
      <vt:variant>
        <vt:i4>5</vt:i4>
      </vt:variant>
      <vt:variant>
        <vt:lpwstr>https://doi.org/10.3399/bjgp23X732189</vt:lpwstr>
      </vt:variant>
      <vt:variant>
        <vt:lpwstr/>
      </vt:variant>
      <vt:variant>
        <vt:i4>786456</vt:i4>
      </vt:variant>
      <vt:variant>
        <vt:i4>3708</vt:i4>
      </vt:variant>
      <vt:variant>
        <vt:i4>0</vt:i4>
      </vt:variant>
      <vt:variant>
        <vt:i4>5</vt:i4>
      </vt:variant>
      <vt:variant>
        <vt:lpwstr>https://doi.org/10.3399/bjgp19X702425</vt:lpwstr>
      </vt:variant>
      <vt:variant>
        <vt:lpwstr/>
      </vt:variant>
      <vt:variant>
        <vt:i4>983062</vt:i4>
      </vt:variant>
      <vt:variant>
        <vt:i4>3705</vt:i4>
      </vt:variant>
      <vt:variant>
        <vt:i4>0</vt:i4>
      </vt:variant>
      <vt:variant>
        <vt:i4>5</vt:i4>
      </vt:variant>
      <vt:variant>
        <vt:lpwstr>https://doi.org/10.1186/s12913-018-2983-3</vt:lpwstr>
      </vt:variant>
      <vt:variant>
        <vt:lpwstr/>
      </vt:variant>
      <vt:variant>
        <vt:i4>393293</vt:i4>
      </vt:variant>
      <vt:variant>
        <vt:i4>3702</vt:i4>
      </vt:variant>
      <vt:variant>
        <vt:i4>0</vt:i4>
      </vt:variant>
      <vt:variant>
        <vt:i4>5</vt:i4>
      </vt:variant>
      <vt:variant>
        <vt:lpwstr>https://www.vardanalys.se/rapporter/primarvardens-resurser-styrning-och-organisation/</vt:lpwstr>
      </vt:variant>
      <vt:variant>
        <vt:lpwstr/>
      </vt:variant>
      <vt:variant>
        <vt:i4>5898256</vt:i4>
      </vt:variant>
      <vt:variant>
        <vt:i4>3699</vt:i4>
      </vt:variant>
      <vt:variant>
        <vt:i4>0</vt:i4>
      </vt:variant>
      <vt:variant>
        <vt:i4>5</vt:i4>
      </vt:variant>
      <vt:variant>
        <vt:lpwstr>https://apps.who.int/iris/handle/10665/354075</vt:lpwstr>
      </vt:variant>
      <vt:variant>
        <vt:lpwstr/>
      </vt:variant>
      <vt:variant>
        <vt:i4>3473454</vt:i4>
      </vt:variant>
      <vt:variant>
        <vt:i4>3696</vt:i4>
      </vt:variant>
      <vt:variant>
        <vt:i4>0</vt:i4>
      </vt:variant>
      <vt:variant>
        <vt:i4>5</vt:i4>
      </vt:variant>
      <vt:variant>
        <vt:lpwstr>https://forskning.no/helsetjenester-norges-forskningsrad-partner/fastlegen-pavirker-sykefravaer/480330</vt:lpwstr>
      </vt:variant>
      <vt:variant>
        <vt:lpwstr/>
      </vt:variant>
      <vt:variant>
        <vt:i4>2818174</vt:i4>
      </vt:variant>
      <vt:variant>
        <vt:i4>3693</vt:i4>
      </vt:variant>
      <vt:variant>
        <vt:i4>0</vt:i4>
      </vt:variant>
      <vt:variant>
        <vt:i4>5</vt:i4>
      </vt:variant>
      <vt:variant>
        <vt:lpwstr>https://www.nuffieldtrust.org.uk/resource/access-to-gp-services</vt:lpwstr>
      </vt:variant>
      <vt:variant>
        <vt:lpwstr/>
      </vt:variant>
      <vt:variant>
        <vt:i4>983123</vt:i4>
      </vt:variant>
      <vt:variant>
        <vt:i4>3690</vt:i4>
      </vt:variant>
      <vt:variant>
        <vt:i4>0</vt:i4>
      </vt:variant>
      <vt:variant>
        <vt:i4>5</vt:i4>
      </vt:variant>
      <vt:variant>
        <vt:lpwstr>https://doi.org/https://dx.doi.org/10.1186/s12960-015-0060-0</vt:lpwstr>
      </vt:variant>
      <vt:variant>
        <vt:lpwstr/>
      </vt:variant>
      <vt:variant>
        <vt:i4>7798823</vt:i4>
      </vt:variant>
      <vt:variant>
        <vt:i4>3687</vt:i4>
      </vt:variant>
      <vt:variant>
        <vt:i4>0</vt:i4>
      </vt:variant>
      <vt:variant>
        <vt:i4>5</vt:i4>
      </vt:variant>
      <vt:variant>
        <vt:lpwstr>https://doi.org/https://dx.doi.org/10.4045/tidsskr.21.0253</vt:lpwstr>
      </vt:variant>
      <vt:variant>
        <vt:lpwstr/>
      </vt:variant>
      <vt:variant>
        <vt:i4>2621484</vt:i4>
      </vt:variant>
      <vt:variant>
        <vt:i4>3684</vt:i4>
      </vt:variant>
      <vt:variant>
        <vt:i4>0</vt:i4>
      </vt:variant>
      <vt:variant>
        <vt:i4>5</vt:i4>
      </vt:variant>
      <vt:variant>
        <vt:lpwstr>https://www.abelia.no/omstillingsbarometeret/2022/</vt:lpwstr>
      </vt:variant>
      <vt:variant>
        <vt:lpwstr>part0</vt:lpwstr>
      </vt:variant>
      <vt:variant>
        <vt:i4>6553657</vt:i4>
      </vt:variant>
      <vt:variant>
        <vt:i4>3679</vt:i4>
      </vt:variant>
      <vt:variant>
        <vt:i4>0</vt:i4>
      </vt:variant>
      <vt:variant>
        <vt:i4>5</vt:i4>
      </vt:variant>
      <vt:variant>
        <vt:lpwstr>http://www.who.int/en/</vt:lpwstr>
      </vt:variant>
      <vt:variant>
        <vt:lpwstr/>
      </vt:variant>
      <vt:variant>
        <vt:i4>5767270</vt:i4>
      </vt:variant>
      <vt:variant>
        <vt:i4>1515</vt:i4>
      </vt:variant>
      <vt:variant>
        <vt:i4>0</vt:i4>
      </vt:variant>
      <vt:variant>
        <vt:i4>5</vt:i4>
      </vt:variant>
      <vt:variant>
        <vt:lpwstr>mailto:allmennlegetjenesten@helsedir.no</vt:lpwstr>
      </vt:variant>
      <vt:variant>
        <vt:lpwstr/>
      </vt:variant>
      <vt:variant>
        <vt:i4>1376305</vt:i4>
      </vt:variant>
      <vt:variant>
        <vt:i4>1508</vt:i4>
      </vt:variant>
      <vt:variant>
        <vt:i4>0</vt:i4>
      </vt:variant>
      <vt:variant>
        <vt:i4>5</vt:i4>
      </vt:variant>
      <vt:variant>
        <vt:lpwstr/>
      </vt:variant>
      <vt:variant>
        <vt:lpwstr>_Toc132537130</vt:lpwstr>
      </vt:variant>
      <vt:variant>
        <vt:i4>1310769</vt:i4>
      </vt:variant>
      <vt:variant>
        <vt:i4>1502</vt:i4>
      </vt:variant>
      <vt:variant>
        <vt:i4>0</vt:i4>
      </vt:variant>
      <vt:variant>
        <vt:i4>5</vt:i4>
      </vt:variant>
      <vt:variant>
        <vt:lpwstr/>
      </vt:variant>
      <vt:variant>
        <vt:lpwstr>_Toc132537129</vt:lpwstr>
      </vt:variant>
      <vt:variant>
        <vt:i4>1310769</vt:i4>
      </vt:variant>
      <vt:variant>
        <vt:i4>1496</vt:i4>
      </vt:variant>
      <vt:variant>
        <vt:i4>0</vt:i4>
      </vt:variant>
      <vt:variant>
        <vt:i4>5</vt:i4>
      </vt:variant>
      <vt:variant>
        <vt:lpwstr/>
      </vt:variant>
      <vt:variant>
        <vt:lpwstr>_Toc132537128</vt:lpwstr>
      </vt:variant>
      <vt:variant>
        <vt:i4>1310769</vt:i4>
      </vt:variant>
      <vt:variant>
        <vt:i4>1490</vt:i4>
      </vt:variant>
      <vt:variant>
        <vt:i4>0</vt:i4>
      </vt:variant>
      <vt:variant>
        <vt:i4>5</vt:i4>
      </vt:variant>
      <vt:variant>
        <vt:lpwstr/>
      </vt:variant>
      <vt:variant>
        <vt:lpwstr>_Toc132537127</vt:lpwstr>
      </vt:variant>
      <vt:variant>
        <vt:i4>1310769</vt:i4>
      </vt:variant>
      <vt:variant>
        <vt:i4>1484</vt:i4>
      </vt:variant>
      <vt:variant>
        <vt:i4>0</vt:i4>
      </vt:variant>
      <vt:variant>
        <vt:i4>5</vt:i4>
      </vt:variant>
      <vt:variant>
        <vt:lpwstr/>
      </vt:variant>
      <vt:variant>
        <vt:lpwstr>_Toc132537126</vt:lpwstr>
      </vt:variant>
      <vt:variant>
        <vt:i4>1310769</vt:i4>
      </vt:variant>
      <vt:variant>
        <vt:i4>1478</vt:i4>
      </vt:variant>
      <vt:variant>
        <vt:i4>0</vt:i4>
      </vt:variant>
      <vt:variant>
        <vt:i4>5</vt:i4>
      </vt:variant>
      <vt:variant>
        <vt:lpwstr/>
      </vt:variant>
      <vt:variant>
        <vt:lpwstr>_Toc132537125</vt:lpwstr>
      </vt:variant>
      <vt:variant>
        <vt:i4>1310769</vt:i4>
      </vt:variant>
      <vt:variant>
        <vt:i4>1472</vt:i4>
      </vt:variant>
      <vt:variant>
        <vt:i4>0</vt:i4>
      </vt:variant>
      <vt:variant>
        <vt:i4>5</vt:i4>
      </vt:variant>
      <vt:variant>
        <vt:lpwstr/>
      </vt:variant>
      <vt:variant>
        <vt:lpwstr>_Toc132537124</vt:lpwstr>
      </vt:variant>
      <vt:variant>
        <vt:i4>1310769</vt:i4>
      </vt:variant>
      <vt:variant>
        <vt:i4>1466</vt:i4>
      </vt:variant>
      <vt:variant>
        <vt:i4>0</vt:i4>
      </vt:variant>
      <vt:variant>
        <vt:i4>5</vt:i4>
      </vt:variant>
      <vt:variant>
        <vt:lpwstr/>
      </vt:variant>
      <vt:variant>
        <vt:lpwstr>_Toc132537123</vt:lpwstr>
      </vt:variant>
      <vt:variant>
        <vt:i4>1310769</vt:i4>
      </vt:variant>
      <vt:variant>
        <vt:i4>1460</vt:i4>
      </vt:variant>
      <vt:variant>
        <vt:i4>0</vt:i4>
      </vt:variant>
      <vt:variant>
        <vt:i4>5</vt:i4>
      </vt:variant>
      <vt:variant>
        <vt:lpwstr/>
      </vt:variant>
      <vt:variant>
        <vt:lpwstr>_Toc132537122</vt:lpwstr>
      </vt:variant>
      <vt:variant>
        <vt:i4>1310769</vt:i4>
      </vt:variant>
      <vt:variant>
        <vt:i4>1454</vt:i4>
      </vt:variant>
      <vt:variant>
        <vt:i4>0</vt:i4>
      </vt:variant>
      <vt:variant>
        <vt:i4>5</vt:i4>
      </vt:variant>
      <vt:variant>
        <vt:lpwstr/>
      </vt:variant>
      <vt:variant>
        <vt:lpwstr>_Toc132537121</vt:lpwstr>
      </vt:variant>
      <vt:variant>
        <vt:i4>1310769</vt:i4>
      </vt:variant>
      <vt:variant>
        <vt:i4>1448</vt:i4>
      </vt:variant>
      <vt:variant>
        <vt:i4>0</vt:i4>
      </vt:variant>
      <vt:variant>
        <vt:i4>5</vt:i4>
      </vt:variant>
      <vt:variant>
        <vt:lpwstr/>
      </vt:variant>
      <vt:variant>
        <vt:lpwstr>_Toc132537120</vt:lpwstr>
      </vt:variant>
      <vt:variant>
        <vt:i4>1507377</vt:i4>
      </vt:variant>
      <vt:variant>
        <vt:i4>1442</vt:i4>
      </vt:variant>
      <vt:variant>
        <vt:i4>0</vt:i4>
      </vt:variant>
      <vt:variant>
        <vt:i4>5</vt:i4>
      </vt:variant>
      <vt:variant>
        <vt:lpwstr/>
      </vt:variant>
      <vt:variant>
        <vt:lpwstr>_Toc132537119</vt:lpwstr>
      </vt:variant>
      <vt:variant>
        <vt:i4>1507377</vt:i4>
      </vt:variant>
      <vt:variant>
        <vt:i4>1436</vt:i4>
      </vt:variant>
      <vt:variant>
        <vt:i4>0</vt:i4>
      </vt:variant>
      <vt:variant>
        <vt:i4>5</vt:i4>
      </vt:variant>
      <vt:variant>
        <vt:lpwstr/>
      </vt:variant>
      <vt:variant>
        <vt:lpwstr>_Toc132537118</vt:lpwstr>
      </vt:variant>
      <vt:variant>
        <vt:i4>1507377</vt:i4>
      </vt:variant>
      <vt:variant>
        <vt:i4>1430</vt:i4>
      </vt:variant>
      <vt:variant>
        <vt:i4>0</vt:i4>
      </vt:variant>
      <vt:variant>
        <vt:i4>5</vt:i4>
      </vt:variant>
      <vt:variant>
        <vt:lpwstr/>
      </vt:variant>
      <vt:variant>
        <vt:lpwstr>_Toc132537117</vt:lpwstr>
      </vt:variant>
      <vt:variant>
        <vt:i4>1507377</vt:i4>
      </vt:variant>
      <vt:variant>
        <vt:i4>1424</vt:i4>
      </vt:variant>
      <vt:variant>
        <vt:i4>0</vt:i4>
      </vt:variant>
      <vt:variant>
        <vt:i4>5</vt:i4>
      </vt:variant>
      <vt:variant>
        <vt:lpwstr/>
      </vt:variant>
      <vt:variant>
        <vt:lpwstr>_Toc132537116</vt:lpwstr>
      </vt:variant>
      <vt:variant>
        <vt:i4>1507377</vt:i4>
      </vt:variant>
      <vt:variant>
        <vt:i4>1418</vt:i4>
      </vt:variant>
      <vt:variant>
        <vt:i4>0</vt:i4>
      </vt:variant>
      <vt:variant>
        <vt:i4>5</vt:i4>
      </vt:variant>
      <vt:variant>
        <vt:lpwstr/>
      </vt:variant>
      <vt:variant>
        <vt:lpwstr>_Toc132537115</vt:lpwstr>
      </vt:variant>
      <vt:variant>
        <vt:i4>1507377</vt:i4>
      </vt:variant>
      <vt:variant>
        <vt:i4>1412</vt:i4>
      </vt:variant>
      <vt:variant>
        <vt:i4>0</vt:i4>
      </vt:variant>
      <vt:variant>
        <vt:i4>5</vt:i4>
      </vt:variant>
      <vt:variant>
        <vt:lpwstr/>
      </vt:variant>
      <vt:variant>
        <vt:lpwstr>_Toc132537114</vt:lpwstr>
      </vt:variant>
      <vt:variant>
        <vt:i4>1507377</vt:i4>
      </vt:variant>
      <vt:variant>
        <vt:i4>1406</vt:i4>
      </vt:variant>
      <vt:variant>
        <vt:i4>0</vt:i4>
      </vt:variant>
      <vt:variant>
        <vt:i4>5</vt:i4>
      </vt:variant>
      <vt:variant>
        <vt:lpwstr/>
      </vt:variant>
      <vt:variant>
        <vt:lpwstr>_Toc132537113</vt:lpwstr>
      </vt:variant>
      <vt:variant>
        <vt:i4>1507377</vt:i4>
      </vt:variant>
      <vt:variant>
        <vt:i4>1400</vt:i4>
      </vt:variant>
      <vt:variant>
        <vt:i4>0</vt:i4>
      </vt:variant>
      <vt:variant>
        <vt:i4>5</vt:i4>
      </vt:variant>
      <vt:variant>
        <vt:lpwstr/>
      </vt:variant>
      <vt:variant>
        <vt:lpwstr>_Toc132537112</vt:lpwstr>
      </vt:variant>
      <vt:variant>
        <vt:i4>1507377</vt:i4>
      </vt:variant>
      <vt:variant>
        <vt:i4>1394</vt:i4>
      </vt:variant>
      <vt:variant>
        <vt:i4>0</vt:i4>
      </vt:variant>
      <vt:variant>
        <vt:i4>5</vt:i4>
      </vt:variant>
      <vt:variant>
        <vt:lpwstr/>
      </vt:variant>
      <vt:variant>
        <vt:lpwstr>_Toc132537111</vt:lpwstr>
      </vt:variant>
      <vt:variant>
        <vt:i4>1507377</vt:i4>
      </vt:variant>
      <vt:variant>
        <vt:i4>1388</vt:i4>
      </vt:variant>
      <vt:variant>
        <vt:i4>0</vt:i4>
      </vt:variant>
      <vt:variant>
        <vt:i4>5</vt:i4>
      </vt:variant>
      <vt:variant>
        <vt:lpwstr/>
      </vt:variant>
      <vt:variant>
        <vt:lpwstr>_Toc132537110</vt:lpwstr>
      </vt:variant>
      <vt:variant>
        <vt:i4>1441841</vt:i4>
      </vt:variant>
      <vt:variant>
        <vt:i4>1382</vt:i4>
      </vt:variant>
      <vt:variant>
        <vt:i4>0</vt:i4>
      </vt:variant>
      <vt:variant>
        <vt:i4>5</vt:i4>
      </vt:variant>
      <vt:variant>
        <vt:lpwstr/>
      </vt:variant>
      <vt:variant>
        <vt:lpwstr>_Toc132537109</vt:lpwstr>
      </vt:variant>
      <vt:variant>
        <vt:i4>1441841</vt:i4>
      </vt:variant>
      <vt:variant>
        <vt:i4>1376</vt:i4>
      </vt:variant>
      <vt:variant>
        <vt:i4>0</vt:i4>
      </vt:variant>
      <vt:variant>
        <vt:i4>5</vt:i4>
      </vt:variant>
      <vt:variant>
        <vt:lpwstr/>
      </vt:variant>
      <vt:variant>
        <vt:lpwstr>_Toc132537108</vt:lpwstr>
      </vt:variant>
      <vt:variant>
        <vt:i4>1441841</vt:i4>
      </vt:variant>
      <vt:variant>
        <vt:i4>1370</vt:i4>
      </vt:variant>
      <vt:variant>
        <vt:i4>0</vt:i4>
      </vt:variant>
      <vt:variant>
        <vt:i4>5</vt:i4>
      </vt:variant>
      <vt:variant>
        <vt:lpwstr/>
      </vt:variant>
      <vt:variant>
        <vt:lpwstr>_Toc132537107</vt:lpwstr>
      </vt:variant>
      <vt:variant>
        <vt:i4>1441841</vt:i4>
      </vt:variant>
      <vt:variant>
        <vt:i4>1364</vt:i4>
      </vt:variant>
      <vt:variant>
        <vt:i4>0</vt:i4>
      </vt:variant>
      <vt:variant>
        <vt:i4>5</vt:i4>
      </vt:variant>
      <vt:variant>
        <vt:lpwstr/>
      </vt:variant>
      <vt:variant>
        <vt:lpwstr>_Toc132537106</vt:lpwstr>
      </vt:variant>
      <vt:variant>
        <vt:i4>1441841</vt:i4>
      </vt:variant>
      <vt:variant>
        <vt:i4>1358</vt:i4>
      </vt:variant>
      <vt:variant>
        <vt:i4>0</vt:i4>
      </vt:variant>
      <vt:variant>
        <vt:i4>5</vt:i4>
      </vt:variant>
      <vt:variant>
        <vt:lpwstr/>
      </vt:variant>
      <vt:variant>
        <vt:lpwstr>_Toc132537105</vt:lpwstr>
      </vt:variant>
      <vt:variant>
        <vt:i4>1441841</vt:i4>
      </vt:variant>
      <vt:variant>
        <vt:i4>1352</vt:i4>
      </vt:variant>
      <vt:variant>
        <vt:i4>0</vt:i4>
      </vt:variant>
      <vt:variant>
        <vt:i4>5</vt:i4>
      </vt:variant>
      <vt:variant>
        <vt:lpwstr/>
      </vt:variant>
      <vt:variant>
        <vt:lpwstr>_Toc132537104</vt:lpwstr>
      </vt:variant>
      <vt:variant>
        <vt:i4>1441841</vt:i4>
      </vt:variant>
      <vt:variant>
        <vt:i4>1346</vt:i4>
      </vt:variant>
      <vt:variant>
        <vt:i4>0</vt:i4>
      </vt:variant>
      <vt:variant>
        <vt:i4>5</vt:i4>
      </vt:variant>
      <vt:variant>
        <vt:lpwstr/>
      </vt:variant>
      <vt:variant>
        <vt:lpwstr>_Toc132537103</vt:lpwstr>
      </vt:variant>
      <vt:variant>
        <vt:i4>1441841</vt:i4>
      </vt:variant>
      <vt:variant>
        <vt:i4>1340</vt:i4>
      </vt:variant>
      <vt:variant>
        <vt:i4>0</vt:i4>
      </vt:variant>
      <vt:variant>
        <vt:i4>5</vt:i4>
      </vt:variant>
      <vt:variant>
        <vt:lpwstr/>
      </vt:variant>
      <vt:variant>
        <vt:lpwstr>_Toc132537102</vt:lpwstr>
      </vt:variant>
      <vt:variant>
        <vt:i4>1441841</vt:i4>
      </vt:variant>
      <vt:variant>
        <vt:i4>1334</vt:i4>
      </vt:variant>
      <vt:variant>
        <vt:i4>0</vt:i4>
      </vt:variant>
      <vt:variant>
        <vt:i4>5</vt:i4>
      </vt:variant>
      <vt:variant>
        <vt:lpwstr/>
      </vt:variant>
      <vt:variant>
        <vt:lpwstr>_Toc132537101</vt:lpwstr>
      </vt:variant>
      <vt:variant>
        <vt:i4>1441841</vt:i4>
      </vt:variant>
      <vt:variant>
        <vt:i4>1328</vt:i4>
      </vt:variant>
      <vt:variant>
        <vt:i4>0</vt:i4>
      </vt:variant>
      <vt:variant>
        <vt:i4>5</vt:i4>
      </vt:variant>
      <vt:variant>
        <vt:lpwstr/>
      </vt:variant>
      <vt:variant>
        <vt:lpwstr>_Toc132537100</vt:lpwstr>
      </vt:variant>
      <vt:variant>
        <vt:i4>2031664</vt:i4>
      </vt:variant>
      <vt:variant>
        <vt:i4>1322</vt:i4>
      </vt:variant>
      <vt:variant>
        <vt:i4>0</vt:i4>
      </vt:variant>
      <vt:variant>
        <vt:i4>5</vt:i4>
      </vt:variant>
      <vt:variant>
        <vt:lpwstr/>
      </vt:variant>
      <vt:variant>
        <vt:lpwstr>_Toc132537099</vt:lpwstr>
      </vt:variant>
      <vt:variant>
        <vt:i4>2031664</vt:i4>
      </vt:variant>
      <vt:variant>
        <vt:i4>1316</vt:i4>
      </vt:variant>
      <vt:variant>
        <vt:i4>0</vt:i4>
      </vt:variant>
      <vt:variant>
        <vt:i4>5</vt:i4>
      </vt:variant>
      <vt:variant>
        <vt:lpwstr/>
      </vt:variant>
      <vt:variant>
        <vt:lpwstr>_Toc132537098</vt:lpwstr>
      </vt:variant>
      <vt:variant>
        <vt:i4>2031664</vt:i4>
      </vt:variant>
      <vt:variant>
        <vt:i4>1310</vt:i4>
      </vt:variant>
      <vt:variant>
        <vt:i4>0</vt:i4>
      </vt:variant>
      <vt:variant>
        <vt:i4>5</vt:i4>
      </vt:variant>
      <vt:variant>
        <vt:lpwstr/>
      </vt:variant>
      <vt:variant>
        <vt:lpwstr>_Toc132537097</vt:lpwstr>
      </vt:variant>
      <vt:variant>
        <vt:i4>2031664</vt:i4>
      </vt:variant>
      <vt:variant>
        <vt:i4>1304</vt:i4>
      </vt:variant>
      <vt:variant>
        <vt:i4>0</vt:i4>
      </vt:variant>
      <vt:variant>
        <vt:i4>5</vt:i4>
      </vt:variant>
      <vt:variant>
        <vt:lpwstr/>
      </vt:variant>
      <vt:variant>
        <vt:lpwstr>_Toc132537096</vt:lpwstr>
      </vt:variant>
      <vt:variant>
        <vt:i4>2031664</vt:i4>
      </vt:variant>
      <vt:variant>
        <vt:i4>1298</vt:i4>
      </vt:variant>
      <vt:variant>
        <vt:i4>0</vt:i4>
      </vt:variant>
      <vt:variant>
        <vt:i4>5</vt:i4>
      </vt:variant>
      <vt:variant>
        <vt:lpwstr/>
      </vt:variant>
      <vt:variant>
        <vt:lpwstr>_Toc132537095</vt:lpwstr>
      </vt:variant>
      <vt:variant>
        <vt:i4>2031664</vt:i4>
      </vt:variant>
      <vt:variant>
        <vt:i4>1292</vt:i4>
      </vt:variant>
      <vt:variant>
        <vt:i4>0</vt:i4>
      </vt:variant>
      <vt:variant>
        <vt:i4>5</vt:i4>
      </vt:variant>
      <vt:variant>
        <vt:lpwstr/>
      </vt:variant>
      <vt:variant>
        <vt:lpwstr>_Toc132537094</vt:lpwstr>
      </vt:variant>
      <vt:variant>
        <vt:i4>2031664</vt:i4>
      </vt:variant>
      <vt:variant>
        <vt:i4>1286</vt:i4>
      </vt:variant>
      <vt:variant>
        <vt:i4>0</vt:i4>
      </vt:variant>
      <vt:variant>
        <vt:i4>5</vt:i4>
      </vt:variant>
      <vt:variant>
        <vt:lpwstr/>
      </vt:variant>
      <vt:variant>
        <vt:lpwstr>_Toc132537093</vt:lpwstr>
      </vt:variant>
      <vt:variant>
        <vt:i4>2031664</vt:i4>
      </vt:variant>
      <vt:variant>
        <vt:i4>1280</vt:i4>
      </vt:variant>
      <vt:variant>
        <vt:i4>0</vt:i4>
      </vt:variant>
      <vt:variant>
        <vt:i4>5</vt:i4>
      </vt:variant>
      <vt:variant>
        <vt:lpwstr/>
      </vt:variant>
      <vt:variant>
        <vt:lpwstr>_Toc132537092</vt:lpwstr>
      </vt:variant>
      <vt:variant>
        <vt:i4>2031664</vt:i4>
      </vt:variant>
      <vt:variant>
        <vt:i4>1274</vt:i4>
      </vt:variant>
      <vt:variant>
        <vt:i4>0</vt:i4>
      </vt:variant>
      <vt:variant>
        <vt:i4>5</vt:i4>
      </vt:variant>
      <vt:variant>
        <vt:lpwstr/>
      </vt:variant>
      <vt:variant>
        <vt:lpwstr>_Toc132537091</vt:lpwstr>
      </vt:variant>
      <vt:variant>
        <vt:i4>2031664</vt:i4>
      </vt:variant>
      <vt:variant>
        <vt:i4>1268</vt:i4>
      </vt:variant>
      <vt:variant>
        <vt:i4>0</vt:i4>
      </vt:variant>
      <vt:variant>
        <vt:i4>5</vt:i4>
      </vt:variant>
      <vt:variant>
        <vt:lpwstr/>
      </vt:variant>
      <vt:variant>
        <vt:lpwstr>_Toc132537090</vt:lpwstr>
      </vt:variant>
      <vt:variant>
        <vt:i4>1966128</vt:i4>
      </vt:variant>
      <vt:variant>
        <vt:i4>1262</vt:i4>
      </vt:variant>
      <vt:variant>
        <vt:i4>0</vt:i4>
      </vt:variant>
      <vt:variant>
        <vt:i4>5</vt:i4>
      </vt:variant>
      <vt:variant>
        <vt:lpwstr/>
      </vt:variant>
      <vt:variant>
        <vt:lpwstr>_Toc132537089</vt:lpwstr>
      </vt:variant>
      <vt:variant>
        <vt:i4>1966128</vt:i4>
      </vt:variant>
      <vt:variant>
        <vt:i4>1256</vt:i4>
      </vt:variant>
      <vt:variant>
        <vt:i4>0</vt:i4>
      </vt:variant>
      <vt:variant>
        <vt:i4>5</vt:i4>
      </vt:variant>
      <vt:variant>
        <vt:lpwstr/>
      </vt:variant>
      <vt:variant>
        <vt:lpwstr>_Toc132537088</vt:lpwstr>
      </vt:variant>
      <vt:variant>
        <vt:i4>1966128</vt:i4>
      </vt:variant>
      <vt:variant>
        <vt:i4>1250</vt:i4>
      </vt:variant>
      <vt:variant>
        <vt:i4>0</vt:i4>
      </vt:variant>
      <vt:variant>
        <vt:i4>5</vt:i4>
      </vt:variant>
      <vt:variant>
        <vt:lpwstr/>
      </vt:variant>
      <vt:variant>
        <vt:lpwstr>_Toc132537087</vt:lpwstr>
      </vt:variant>
      <vt:variant>
        <vt:i4>1966128</vt:i4>
      </vt:variant>
      <vt:variant>
        <vt:i4>1244</vt:i4>
      </vt:variant>
      <vt:variant>
        <vt:i4>0</vt:i4>
      </vt:variant>
      <vt:variant>
        <vt:i4>5</vt:i4>
      </vt:variant>
      <vt:variant>
        <vt:lpwstr/>
      </vt:variant>
      <vt:variant>
        <vt:lpwstr>_Toc132537086</vt:lpwstr>
      </vt:variant>
      <vt:variant>
        <vt:i4>1966128</vt:i4>
      </vt:variant>
      <vt:variant>
        <vt:i4>1238</vt:i4>
      </vt:variant>
      <vt:variant>
        <vt:i4>0</vt:i4>
      </vt:variant>
      <vt:variant>
        <vt:i4>5</vt:i4>
      </vt:variant>
      <vt:variant>
        <vt:lpwstr/>
      </vt:variant>
      <vt:variant>
        <vt:lpwstr>_Toc132537085</vt:lpwstr>
      </vt:variant>
      <vt:variant>
        <vt:i4>1966128</vt:i4>
      </vt:variant>
      <vt:variant>
        <vt:i4>1232</vt:i4>
      </vt:variant>
      <vt:variant>
        <vt:i4>0</vt:i4>
      </vt:variant>
      <vt:variant>
        <vt:i4>5</vt:i4>
      </vt:variant>
      <vt:variant>
        <vt:lpwstr/>
      </vt:variant>
      <vt:variant>
        <vt:lpwstr>_Toc132537084</vt:lpwstr>
      </vt:variant>
      <vt:variant>
        <vt:i4>1966128</vt:i4>
      </vt:variant>
      <vt:variant>
        <vt:i4>1226</vt:i4>
      </vt:variant>
      <vt:variant>
        <vt:i4>0</vt:i4>
      </vt:variant>
      <vt:variant>
        <vt:i4>5</vt:i4>
      </vt:variant>
      <vt:variant>
        <vt:lpwstr/>
      </vt:variant>
      <vt:variant>
        <vt:lpwstr>_Toc132537083</vt:lpwstr>
      </vt:variant>
      <vt:variant>
        <vt:i4>1966128</vt:i4>
      </vt:variant>
      <vt:variant>
        <vt:i4>1220</vt:i4>
      </vt:variant>
      <vt:variant>
        <vt:i4>0</vt:i4>
      </vt:variant>
      <vt:variant>
        <vt:i4>5</vt:i4>
      </vt:variant>
      <vt:variant>
        <vt:lpwstr/>
      </vt:variant>
      <vt:variant>
        <vt:lpwstr>_Toc132537082</vt:lpwstr>
      </vt:variant>
      <vt:variant>
        <vt:i4>1966128</vt:i4>
      </vt:variant>
      <vt:variant>
        <vt:i4>1214</vt:i4>
      </vt:variant>
      <vt:variant>
        <vt:i4>0</vt:i4>
      </vt:variant>
      <vt:variant>
        <vt:i4>5</vt:i4>
      </vt:variant>
      <vt:variant>
        <vt:lpwstr/>
      </vt:variant>
      <vt:variant>
        <vt:lpwstr>_Toc132537081</vt:lpwstr>
      </vt:variant>
      <vt:variant>
        <vt:i4>1966128</vt:i4>
      </vt:variant>
      <vt:variant>
        <vt:i4>1208</vt:i4>
      </vt:variant>
      <vt:variant>
        <vt:i4>0</vt:i4>
      </vt:variant>
      <vt:variant>
        <vt:i4>5</vt:i4>
      </vt:variant>
      <vt:variant>
        <vt:lpwstr/>
      </vt:variant>
      <vt:variant>
        <vt:lpwstr>_Toc132537080</vt:lpwstr>
      </vt:variant>
      <vt:variant>
        <vt:i4>1114160</vt:i4>
      </vt:variant>
      <vt:variant>
        <vt:i4>1202</vt:i4>
      </vt:variant>
      <vt:variant>
        <vt:i4>0</vt:i4>
      </vt:variant>
      <vt:variant>
        <vt:i4>5</vt:i4>
      </vt:variant>
      <vt:variant>
        <vt:lpwstr/>
      </vt:variant>
      <vt:variant>
        <vt:lpwstr>_Toc132537079</vt:lpwstr>
      </vt:variant>
      <vt:variant>
        <vt:i4>1114160</vt:i4>
      </vt:variant>
      <vt:variant>
        <vt:i4>1196</vt:i4>
      </vt:variant>
      <vt:variant>
        <vt:i4>0</vt:i4>
      </vt:variant>
      <vt:variant>
        <vt:i4>5</vt:i4>
      </vt:variant>
      <vt:variant>
        <vt:lpwstr/>
      </vt:variant>
      <vt:variant>
        <vt:lpwstr>_Toc132537078</vt:lpwstr>
      </vt:variant>
      <vt:variant>
        <vt:i4>1114160</vt:i4>
      </vt:variant>
      <vt:variant>
        <vt:i4>1190</vt:i4>
      </vt:variant>
      <vt:variant>
        <vt:i4>0</vt:i4>
      </vt:variant>
      <vt:variant>
        <vt:i4>5</vt:i4>
      </vt:variant>
      <vt:variant>
        <vt:lpwstr/>
      </vt:variant>
      <vt:variant>
        <vt:lpwstr>_Toc132537077</vt:lpwstr>
      </vt:variant>
      <vt:variant>
        <vt:i4>1114160</vt:i4>
      </vt:variant>
      <vt:variant>
        <vt:i4>1184</vt:i4>
      </vt:variant>
      <vt:variant>
        <vt:i4>0</vt:i4>
      </vt:variant>
      <vt:variant>
        <vt:i4>5</vt:i4>
      </vt:variant>
      <vt:variant>
        <vt:lpwstr/>
      </vt:variant>
      <vt:variant>
        <vt:lpwstr>_Toc132537076</vt:lpwstr>
      </vt:variant>
      <vt:variant>
        <vt:i4>1114160</vt:i4>
      </vt:variant>
      <vt:variant>
        <vt:i4>1178</vt:i4>
      </vt:variant>
      <vt:variant>
        <vt:i4>0</vt:i4>
      </vt:variant>
      <vt:variant>
        <vt:i4>5</vt:i4>
      </vt:variant>
      <vt:variant>
        <vt:lpwstr/>
      </vt:variant>
      <vt:variant>
        <vt:lpwstr>_Toc132537075</vt:lpwstr>
      </vt:variant>
      <vt:variant>
        <vt:i4>1114160</vt:i4>
      </vt:variant>
      <vt:variant>
        <vt:i4>1172</vt:i4>
      </vt:variant>
      <vt:variant>
        <vt:i4>0</vt:i4>
      </vt:variant>
      <vt:variant>
        <vt:i4>5</vt:i4>
      </vt:variant>
      <vt:variant>
        <vt:lpwstr/>
      </vt:variant>
      <vt:variant>
        <vt:lpwstr>_Toc132537074</vt:lpwstr>
      </vt:variant>
      <vt:variant>
        <vt:i4>1114160</vt:i4>
      </vt:variant>
      <vt:variant>
        <vt:i4>1166</vt:i4>
      </vt:variant>
      <vt:variant>
        <vt:i4>0</vt:i4>
      </vt:variant>
      <vt:variant>
        <vt:i4>5</vt:i4>
      </vt:variant>
      <vt:variant>
        <vt:lpwstr/>
      </vt:variant>
      <vt:variant>
        <vt:lpwstr>_Toc132537073</vt:lpwstr>
      </vt:variant>
      <vt:variant>
        <vt:i4>1114160</vt:i4>
      </vt:variant>
      <vt:variant>
        <vt:i4>1160</vt:i4>
      </vt:variant>
      <vt:variant>
        <vt:i4>0</vt:i4>
      </vt:variant>
      <vt:variant>
        <vt:i4>5</vt:i4>
      </vt:variant>
      <vt:variant>
        <vt:lpwstr/>
      </vt:variant>
      <vt:variant>
        <vt:lpwstr>_Toc132537072</vt:lpwstr>
      </vt:variant>
      <vt:variant>
        <vt:i4>1114160</vt:i4>
      </vt:variant>
      <vt:variant>
        <vt:i4>1154</vt:i4>
      </vt:variant>
      <vt:variant>
        <vt:i4>0</vt:i4>
      </vt:variant>
      <vt:variant>
        <vt:i4>5</vt:i4>
      </vt:variant>
      <vt:variant>
        <vt:lpwstr/>
      </vt:variant>
      <vt:variant>
        <vt:lpwstr>_Toc132537071</vt:lpwstr>
      </vt:variant>
      <vt:variant>
        <vt:i4>1114160</vt:i4>
      </vt:variant>
      <vt:variant>
        <vt:i4>1148</vt:i4>
      </vt:variant>
      <vt:variant>
        <vt:i4>0</vt:i4>
      </vt:variant>
      <vt:variant>
        <vt:i4>5</vt:i4>
      </vt:variant>
      <vt:variant>
        <vt:lpwstr/>
      </vt:variant>
      <vt:variant>
        <vt:lpwstr>_Toc132537070</vt:lpwstr>
      </vt:variant>
      <vt:variant>
        <vt:i4>1048624</vt:i4>
      </vt:variant>
      <vt:variant>
        <vt:i4>1142</vt:i4>
      </vt:variant>
      <vt:variant>
        <vt:i4>0</vt:i4>
      </vt:variant>
      <vt:variant>
        <vt:i4>5</vt:i4>
      </vt:variant>
      <vt:variant>
        <vt:lpwstr/>
      </vt:variant>
      <vt:variant>
        <vt:lpwstr>_Toc132537069</vt:lpwstr>
      </vt:variant>
      <vt:variant>
        <vt:i4>1048624</vt:i4>
      </vt:variant>
      <vt:variant>
        <vt:i4>1136</vt:i4>
      </vt:variant>
      <vt:variant>
        <vt:i4>0</vt:i4>
      </vt:variant>
      <vt:variant>
        <vt:i4>5</vt:i4>
      </vt:variant>
      <vt:variant>
        <vt:lpwstr/>
      </vt:variant>
      <vt:variant>
        <vt:lpwstr>_Toc132537068</vt:lpwstr>
      </vt:variant>
      <vt:variant>
        <vt:i4>1048624</vt:i4>
      </vt:variant>
      <vt:variant>
        <vt:i4>1130</vt:i4>
      </vt:variant>
      <vt:variant>
        <vt:i4>0</vt:i4>
      </vt:variant>
      <vt:variant>
        <vt:i4>5</vt:i4>
      </vt:variant>
      <vt:variant>
        <vt:lpwstr/>
      </vt:variant>
      <vt:variant>
        <vt:lpwstr>_Toc132537067</vt:lpwstr>
      </vt:variant>
      <vt:variant>
        <vt:i4>1048624</vt:i4>
      </vt:variant>
      <vt:variant>
        <vt:i4>1124</vt:i4>
      </vt:variant>
      <vt:variant>
        <vt:i4>0</vt:i4>
      </vt:variant>
      <vt:variant>
        <vt:i4>5</vt:i4>
      </vt:variant>
      <vt:variant>
        <vt:lpwstr/>
      </vt:variant>
      <vt:variant>
        <vt:lpwstr>_Toc132537066</vt:lpwstr>
      </vt:variant>
      <vt:variant>
        <vt:i4>1048624</vt:i4>
      </vt:variant>
      <vt:variant>
        <vt:i4>1118</vt:i4>
      </vt:variant>
      <vt:variant>
        <vt:i4>0</vt:i4>
      </vt:variant>
      <vt:variant>
        <vt:i4>5</vt:i4>
      </vt:variant>
      <vt:variant>
        <vt:lpwstr/>
      </vt:variant>
      <vt:variant>
        <vt:lpwstr>_Toc132537065</vt:lpwstr>
      </vt:variant>
      <vt:variant>
        <vt:i4>1048624</vt:i4>
      </vt:variant>
      <vt:variant>
        <vt:i4>1112</vt:i4>
      </vt:variant>
      <vt:variant>
        <vt:i4>0</vt:i4>
      </vt:variant>
      <vt:variant>
        <vt:i4>5</vt:i4>
      </vt:variant>
      <vt:variant>
        <vt:lpwstr/>
      </vt:variant>
      <vt:variant>
        <vt:lpwstr>_Toc132537064</vt:lpwstr>
      </vt:variant>
      <vt:variant>
        <vt:i4>1048624</vt:i4>
      </vt:variant>
      <vt:variant>
        <vt:i4>1106</vt:i4>
      </vt:variant>
      <vt:variant>
        <vt:i4>0</vt:i4>
      </vt:variant>
      <vt:variant>
        <vt:i4>5</vt:i4>
      </vt:variant>
      <vt:variant>
        <vt:lpwstr/>
      </vt:variant>
      <vt:variant>
        <vt:lpwstr>_Toc132537063</vt:lpwstr>
      </vt:variant>
      <vt:variant>
        <vt:i4>1048624</vt:i4>
      </vt:variant>
      <vt:variant>
        <vt:i4>1100</vt:i4>
      </vt:variant>
      <vt:variant>
        <vt:i4>0</vt:i4>
      </vt:variant>
      <vt:variant>
        <vt:i4>5</vt:i4>
      </vt:variant>
      <vt:variant>
        <vt:lpwstr/>
      </vt:variant>
      <vt:variant>
        <vt:lpwstr>_Toc132537062</vt:lpwstr>
      </vt:variant>
      <vt:variant>
        <vt:i4>1048624</vt:i4>
      </vt:variant>
      <vt:variant>
        <vt:i4>1094</vt:i4>
      </vt:variant>
      <vt:variant>
        <vt:i4>0</vt:i4>
      </vt:variant>
      <vt:variant>
        <vt:i4>5</vt:i4>
      </vt:variant>
      <vt:variant>
        <vt:lpwstr/>
      </vt:variant>
      <vt:variant>
        <vt:lpwstr>_Toc132537061</vt:lpwstr>
      </vt:variant>
      <vt:variant>
        <vt:i4>1048624</vt:i4>
      </vt:variant>
      <vt:variant>
        <vt:i4>1088</vt:i4>
      </vt:variant>
      <vt:variant>
        <vt:i4>0</vt:i4>
      </vt:variant>
      <vt:variant>
        <vt:i4>5</vt:i4>
      </vt:variant>
      <vt:variant>
        <vt:lpwstr/>
      </vt:variant>
      <vt:variant>
        <vt:lpwstr>_Toc132537060</vt:lpwstr>
      </vt:variant>
      <vt:variant>
        <vt:i4>1245232</vt:i4>
      </vt:variant>
      <vt:variant>
        <vt:i4>1082</vt:i4>
      </vt:variant>
      <vt:variant>
        <vt:i4>0</vt:i4>
      </vt:variant>
      <vt:variant>
        <vt:i4>5</vt:i4>
      </vt:variant>
      <vt:variant>
        <vt:lpwstr/>
      </vt:variant>
      <vt:variant>
        <vt:lpwstr>_Toc132537059</vt:lpwstr>
      </vt:variant>
      <vt:variant>
        <vt:i4>1245232</vt:i4>
      </vt:variant>
      <vt:variant>
        <vt:i4>1076</vt:i4>
      </vt:variant>
      <vt:variant>
        <vt:i4>0</vt:i4>
      </vt:variant>
      <vt:variant>
        <vt:i4>5</vt:i4>
      </vt:variant>
      <vt:variant>
        <vt:lpwstr/>
      </vt:variant>
      <vt:variant>
        <vt:lpwstr>_Toc132537058</vt:lpwstr>
      </vt:variant>
      <vt:variant>
        <vt:i4>1245232</vt:i4>
      </vt:variant>
      <vt:variant>
        <vt:i4>1070</vt:i4>
      </vt:variant>
      <vt:variant>
        <vt:i4>0</vt:i4>
      </vt:variant>
      <vt:variant>
        <vt:i4>5</vt:i4>
      </vt:variant>
      <vt:variant>
        <vt:lpwstr/>
      </vt:variant>
      <vt:variant>
        <vt:lpwstr>_Toc132537057</vt:lpwstr>
      </vt:variant>
      <vt:variant>
        <vt:i4>1245232</vt:i4>
      </vt:variant>
      <vt:variant>
        <vt:i4>1064</vt:i4>
      </vt:variant>
      <vt:variant>
        <vt:i4>0</vt:i4>
      </vt:variant>
      <vt:variant>
        <vt:i4>5</vt:i4>
      </vt:variant>
      <vt:variant>
        <vt:lpwstr/>
      </vt:variant>
      <vt:variant>
        <vt:lpwstr>_Toc132537056</vt:lpwstr>
      </vt:variant>
      <vt:variant>
        <vt:i4>1245232</vt:i4>
      </vt:variant>
      <vt:variant>
        <vt:i4>1058</vt:i4>
      </vt:variant>
      <vt:variant>
        <vt:i4>0</vt:i4>
      </vt:variant>
      <vt:variant>
        <vt:i4>5</vt:i4>
      </vt:variant>
      <vt:variant>
        <vt:lpwstr/>
      </vt:variant>
      <vt:variant>
        <vt:lpwstr>_Toc132537055</vt:lpwstr>
      </vt:variant>
      <vt:variant>
        <vt:i4>1245232</vt:i4>
      </vt:variant>
      <vt:variant>
        <vt:i4>1052</vt:i4>
      </vt:variant>
      <vt:variant>
        <vt:i4>0</vt:i4>
      </vt:variant>
      <vt:variant>
        <vt:i4>5</vt:i4>
      </vt:variant>
      <vt:variant>
        <vt:lpwstr/>
      </vt:variant>
      <vt:variant>
        <vt:lpwstr>_Toc132537054</vt:lpwstr>
      </vt:variant>
      <vt:variant>
        <vt:i4>1245232</vt:i4>
      </vt:variant>
      <vt:variant>
        <vt:i4>1046</vt:i4>
      </vt:variant>
      <vt:variant>
        <vt:i4>0</vt:i4>
      </vt:variant>
      <vt:variant>
        <vt:i4>5</vt:i4>
      </vt:variant>
      <vt:variant>
        <vt:lpwstr/>
      </vt:variant>
      <vt:variant>
        <vt:lpwstr>_Toc132537053</vt:lpwstr>
      </vt:variant>
      <vt:variant>
        <vt:i4>1245232</vt:i4>
      </vt:variant>
      <vt:variant>
        <vt:i4>1040</vt:i4>
      </vt:variant>
      <vt:variant>
        <vt:i4>0</vt:i4>
      </vt:variant>
      <vt:variant>
        <vt:i4>5</vt:i4>
      </vt:variant>
      <vt:variant>
        <vt:lpwstr/>
      </vt:variant>
      <vt:variant>
        <vt:lpwstr>_Toc132537052</vt:lpwstr>
      </vt:variant>
      <vt:variant>
        <vt:i4>1245232</vt:i4>
      </vt:variant>
      <vt:variant>
        <vt:i4>1034</vt:i4>
      </vt:variant>
      <vt:variant>
        <vt:i4>0</vt:i4>
      </vt:variant>
      <vt:variant>
        <vt:i4>5</vt:i4>
      </vt:variant>
      <vt:variant>
        <vt:lpwstr/>
      </vt:variant>
      <vt:variant>
        <vt:lpwstr>_Toc132537051</vt:lpwstr>
      </vt:variant>
      <vt:variant>
        <vt:i4>1245232</vt:i4>
      </vt:variant>
      <vt:variant>
        <vt:i4>1028</vt:i4>
      </vt:variant>
      <vt:variant>
        <vt:i4>0</vt:i4>
      </vt:variant>
      <vt:variant>
        <vt:i4>5</vt:i4>
      </vt:variant>
      <vt:variant>
        <vt:lpwstr/>
      </vt:variant>
      <vt:variant>
        <vt:lpwstr>_Toc132537050</vt:lpwstr>
      </vt:variant>
      <vt:variant>
        <vt:i4>1179696</vt:i4>
      </vt:variant>
      <vt:variant>
        <vt:i4>1022</vt:i4>
      </vt:variant>
      <vt:variant>
        <vt:i4>0</vt:i4>
      </vt:variant>
      <vt:variant>
        <vt:i4>5</vt:i4>
      </vt:variant>
      <vt:variant>
        <vt:lpwstr/>
      </vt:variant>
      <vt:variant>
        <vt:lpwstr>_Toc132537049</vt:lpwstr>
      </vt:variant>
      <vt:variant>
        <vt:i4>1179696</vt:i4>
      </vt:variant>
      <vt:variant>
        <vt:i4>1016</vt:i4>
      </vt:variant>
      <vt:variant>
        <vt:i4>0</vt:i4>
      </vt:variant>
      <vt:variant>
        <vt:i4>5</vt:i4>
      </vt:variant>
      <vt:variant>
        <vt:lpwstr/>
      </vt:variant>
      <vt:variant>
        <vt:lpwstr>_Toc132537048</vt:lpwstr>
      </vt:variant>
      <vt:variant>
        <vt:i4>1179696</vt:i4>
      </vt:variant>
      <vt:variant>
        <vt:i4>1010</vt:i4>
      </vt:variant>
      <vt:variant>
        <vt:i4>0</vt:i4>
      </vt:variant>
      <vt:variant>
        <vt:i4>5</vt:i4>
      </vt:variant>
      <vt:variant>
        <vt:lpwstr/>
      </vt:variant>
      <vt:variant>
        <vt:lpwstr>_Toc132537047</vt:lpwstr>
      </vt:variant>
      <vt:variant>
        <vt:i4>1179696</vt:i4>
      </vt:variant>
      <vt:variant>
        <vt:i4>1004</vt:i4>
      </vt:variant>
      <vt:variant>
        <vt:i4>0</vt:i4>
      </vt:variant>
      <vt:variant>
        <vt:i4>5</vt:i4>
      </vt:variant>
      <vt:variant>
        <vt:lpwstr/>
      </vt:variant>
      <vt:variant>
        <vt:lpwstr>_Toc132537046</vt:lpwstr>
      </vt:variant>
      <vt:variant>
        <vt:i4>1179696</vt:i4>
      </vt:variant>
      <vt:variant>
        <vt:i4>998</vt:i4>
      </vt:variant>
      <vt:variant>
        <vt:i4>0</vt:i4>
      </vt:variant>
      <vt:variant>
        <vt:i4>5</vt:i4>
      </vt:variant>
      <vt:variant>
        <vt:lpwstr/>
      </vt:variant>
      <vt:variant>
        <vt:lpwstr>_Toc132537045</vt:lpwstr>
      </vt:variant>
      <vt:variant>
        <vt:i4>1179696</vt:i4>
      </vt:variant>
      <vt:variant>
        <vt:i4>992</vt:i4>
      </vt:variant>
      <vt:variant>
        <vt:i4>0</vt:i4>
      </vt:variant>
      <vt:variant>
        <vt:i4>5</vt:i4>
      </vt:variant>
      <vt:variant>
        <vt:lpwstr/>
      </vt:variant>
      <vt:variant>
        <vt:lpwstr>_Toc132537044</vt:lpwstr>
      </vt:variant>
      <vt:variant>
        <vt:i4>1179696</vt:i4>
      </vt:variant>
      <vt:variant>
        <vt:i4>986</vt:i4>
      </vt:variant>
      <vt:variant>
        <vt:i4>0</vt:i4>
      </vt:variant>
      <vt:variant>
        <vt:i4>5</vt:i4>
      </vt:variant>
      <vt:variant>
        <vt:lpwstr/>
      </vt:variant>
      <vt:variant>
        <vt:lpwstr>_Toc132537043</vt:lpwstr>
      </vt:variant>
      <vt:variant>
        <vt:i4>1179696</vt:i4>
      </vt:variant>
      <vt:variant>
        <vt:i4>980</vt:i4>
      </vt:variant>
      <vt:variant>
        <vt:i4>0</vt:i4>
      </vt:variant>
      <vt:variant>
        <vt:i4>5</vt:i4>
      </vt:variant>
      <vt:variant>
        <vt:lpwstr/>
      </vt:variant>
      <vt:variant>
        <vt:lpwstr>_Toc132537042</vt:lpwstr>
      </vt:variant>
      <vt:variant>
        <vt:i4>1179696</vt:i4>
      </vt:variant>
      <vt:variant>
        <vt:i4>974</vt:i4>
      </vt:variant>
      <vt:variant>
        <vt:i4>0</vt:i4>
      </vt:variant>
      <vt:variant>
        <vt:i4>5</vt:i4>
      </vt:variant>
      <vt:variant>
        <vt:lpwstr/>
      </vt:variant>
      <vt:variant>
        <vt:lpwstr>_Toc132537041</vt:lpwstr>
      </vt:variant>
      <vt:variant>
        <vt:i4>1179696</vt:i4>
      </vt:variant>
      <vt:variant>
        <vt:i4>968</vt:i4>
      </vt:variant>
      <vt:variant>
        <vt:i4>0</vt:i4>
      </vt:variant>
      <vt:variant>
        <vt:i4>5</vt:i4>
      </vt:variant>
      <vt:variant>
        <vt:lpwstr/>
      </vt:variant>
      <vt:variant>
        <vt:lpwstr>_Toc132537040</vt:lpwstr>
      </vt:variant>
      <vt:variant>
        <vt:i4>1376304</vt:i4>
      </vt:variant>
      <vt:variant>
        <vt:i4>962</vt:i4>
      </vt:variant>
      <vt:variant>
        <vt:i4>0</vt:i4>
      </vt:variant>
      <vt:variant>
        <vt:i4>5</vt:i4>
      </vt:variant>
      <vt:variant>
        <vt:lpwstr/>
      </vt:variant>
      <vt:variant>
        <vt:lpwstr>_Toc132537039</vt:lpwstr>
      </vt:variant>
      <vt:variant>
        <vt:i4>1376304</vt:i4>
      </vt:variant>
      <vt:variant>
        <vt:i4>956</vt:i4>
      </vt:variant>
      <vt:variant>
        <vt:i4>0</vt:i4>
      </vt:variant>
      <vt:variant>
        <vt:i4>5</vt:i4>
      </vt:variant>
      <vt:variant>
        <vt:lpwstr/>
      </vt:variant>
      <vt:variant>
        <vt:lpwstr>_Toc132537038</vt:lpwstr>
      </vt:variant>
      <vt:variant>
        <vt:i4>1376304</vt:i4>
      </vt:variant>
      <vt:variant>
        <vt:i4>950</vt:i4>
      </vt:variant>
      <vt:variant>
        <vt:i4>0</vt:i4>
      </vt:variant>
      <vt:variant>
        <vt:i4>5</vt:i4>
      </vt:variant>
      <vt:variant>
        <vt:lpwstr/>
      </vt:variant>
      <vt:variant>
        <vt:lpwstr>_Toc132537037</vt:lpwstr>
      </vt:variant>
      <vt:variant>
        <vt:i4>1376304</vt:i4>
      </vt:variant>
      <vt:variant>
        <vt:i4>944</vt:i4>
      </vt:variant>
      <vt:variant>
        <vt:i4>0</vt:i4>
      </vt:variant>
      <vt:variant>
        <vt:i4>5</vt:i4>
      </vt:variant>
      <vt:variant>
        <vt:lpwstr/>
      </vt:variant>
      <vt:variant>
        <vt:lpwstr>_Toc132537036</vt:lpwstr>
      </vt:variant>
      <vt:variant>
        <vt:i4>1376304</vt:i4>
      </vt:variant>
      <vt:variant>
        <vt:i4>938</vt:i4>
      </vt:variant>
      <vt:variant>
        <vt:i4>0</vt:i4>
      </vt:variant>
      <vt:variant>
        <vt:i4>5</vt:i4>
      </vt:variant>
      <vt:variant>
        <vt:lpwstr/>
      </vt:variant>
      <vt:variant>
        <vt:lpwstr>_Toc132537035</vt:lpwstr>
      </vt:variant>
      <vt:variant>
        <vt:i4>1376304</vt:i4>
      </vt:variant>
      <vt:variant>
        <vt:i4>932</vt:i4>
      </vt:variant>
      <vt:variant>
        <vt:i4>0</vt:i4>
      </vt:variant>
      <vt:variant>
        <vt:i4>5</vt:i4>
      </vt:variant>
      <vt:variant>
        <vt:lpwstr/>
      </vt:variant>
      <vt:variant>
        <vt:lpwstr>_Toc132537034</vt:lpwstr>
      </vt:variant>
      <vt:variant>
        <vt:i4>1376304</vt:i4>
      </vt:variant>
      <vt:variant>
        <vt:i4>926</vt:i4>
      </vt:variant>
      <vt:variant>
        <vt:i4>0</vt:i4>
      </vt:variant>
      <vt:variant>
        <vt:i4>5</vt:i4>
      </vt:variant>
      <vt:variant>
        <vt:lpwstr/>
      </vt:variant>
      <vt:variant>
        <vt:lpwstr>_Toc132537033</vt:lpwstr>
      </vt:variant>
      <vt:variant>
        <vt:i4>1376304</vt:i4>
      </vt:variant>
      <vt:variant>
        <vt:i4>920</vt:i4>
      </vt:variant>
      <vt:variant>
        <vt:i4>0</vt:i4>
      </vt:variant>
      <vt:variant>
        <vt:i4>5</vt:i4>
      </vt:variant>
      <vt:variant>
        <vt:lpwstr/>
      </vt:variant>
      <vt:variant>
        <vt:lpwstr>_Toc132537032</vt:lpwstr>
      </vt:variant>
      <vt:variant>
        <vt:i4>1376304</vt:i4>
      </vt:variant>
      <vt:variant>
        <vt:i4>914</vt:i4>
      </vt:variant>
      <vt:variant>
        <vt:i4>0</vt:i4>
      </vt:variant>
      <vt:variant>
        <vt:i4>5</vt:i4>
      </vt:variant>
      <vt:variant>
        <vt:lpwstr/>
      </vt:variant>
      <vt:variant>
        <vt:lpwstr>_Toc132537031</vt:lpwstr>
      </vt:variant>
      <vt:variant>
        <vt:i4>1376304</vt:i4>
      </vt:variant>
      <vt:variant>
        <vt:i4>908</vt:i4>
      </vt:variant>
      <vt:variant>
        <vt:i4>0</vt:i4>
      </vt:variant>
      <vt:variant>
        <vt:i4>5</vt:i4>
      </vt:variant>
      <vt:variant>
        <vt:lpwstr/>
      </vt:variant>
      <vt:variant>
        <vt:lpwstr>_Toc132537030</vt:lpwstr>
      </vt:variant>
      <vt:variant>
        <vt:i4>1310768</vt:i4>
      </vt:variant>
      <vt:variant>
        <vt:i4>902</vt:i4>
      </vt:variant>
      <vt:variant>
        <vt:i4>0</vt:i4>
      </vt:variant>
      <vt:variant>
        <vt:i4>5</vt:i4>
      </vt:variant>
      <vt:variant>
        <vt:lpwstr/>
      </vt:variant>
      <vt:variant>
        <vt:lpwstr>_Toc132537029</vt:lpwstr>
      </vt:variant>
      <vt:variant>
        <vt:i4>1310768</vt:i4>
      </vt:variant>
      <vt:variant>
        <vt:i4>896</vt:i4>
      </vt:variant>
      <vt:variant>
        <vt:i4>0</vt:i4>
      </vt:variant>
      <vt:variant>
        <vt:i4>5</vt:i4>
      </vt:variant>
      <vt:variant>
        <vt:lpwstr/>
      </vt:variant>
      <vt:variant>
        <vt:lpwstr>_Toc132537028</vt:lpwstr>
      </vt:variant>
      <vt:variant>
        <vt:i4>1310768</vt:i4>
      </vt:variant>
      <vt:variant>
        <vt:i4>890</vt:i4>
      </vt:variant>
      <vt:variant>
        <vt:i4>0</vt:i4>
      </vt:variant>
      <vt:variant>
        <vt:i4>5</vt:i4>
      </vt:variant>
      <vt:variant>
        <vt:lpwstr/>
      </vt:variant>
      <vt:variant>
        <vt:lpwstr>_Toc132537027</vt:lpwstr>
      </vt:variant>
      <vt:variant>
        <vt:i4>1310768</vt:i4>
      </vt:variant>
      <vt:variant>
        <vt:i4>884</vt:i4>
      </vt:variant>
      <vt:variant>
        <vt:i4>0</vt:i4>
      </vt:variant>
      <vt:variant>
        <vt:i4>5</vt:i4>
      </vt:variant>
      <vt:variant>
        <vt:lpwstr/>
      </vt:variant>
      <vt:variant>
        <vt:lpwstr>_Toc132537026</vt:lpwstr>
      </vt:variant>
      <vt:variant>
        <vt:i4>1310768</vt:i4>
      </vt:variant>
      <vt:variant>
        <vt:i4>878</vt:i4>
      </vt:variant>
      <vt:variant>
        <vt:i4>0</vt:i4>
      </vt:variant>
      <vt:variant>
        <vt:i4>5</vt:i4>
      </vt:variant>
      <vt:variant>
        <vt:lpwstr/>
      </vt:variant>
      <vt:variant>
        <vt:lpwstr>_Toc132537025</vt:lpwstr>
      </vt:variant>
      <vt:variant>
        <vt:i4>1310768</vt:i4>
      </vt:variant>
      <vt:variant>
        <vt:i4>872</vt:i4>
      </vt:variant>
      <vt:variant>
        <vt:i4>0</vt:i4>
      </vt:variant>
      <vt:variant>
        <vt:i4>5</vt:i4>
      </vt:variant>
      <vt:variant>
        <vt:lpwstr/>
      </vt:variant>
      <vt:variant>
        <vt:lpwstr>_Toc132537024</vt:lpwstr>
      </vt:variant>
      <vt:variant>
        <vt:i4>1310768</vt:i4>
      </vt:variant>
      <vt:variant>
        <vt:i4>866</vt:i4>
      </vt:variant>
      <vt:variant>
        <vt:i4>0</vt:i4>
      </vt:variant>
      <vt:variant>
        <vt:i4>5</vt:i4>
      </vt:variant>
      <vt:variant>
        <vt:lpwstr/>
      </vt:variant>
      <vt:variant>
        <vt:lpwstr>_Toc132537023</vt:lpwstr>
      </vt:variant>
      <vt:variant>
        <vt:i4>1310768</vt:i4>
      </vt:variant>
      <vt:variant>
        <vt:i4>860</vt:i4>
      </vt:variant>
      <vt:variant>
        <vt:i4>0</vt:i4>
      </vt:variant>
      <vt:variant>
        <vt:i4>5</vt:i4>
      </vt:variant>
      <vt:variant>
        <vt:lpwstr/>
      </vt:variant>
      <vt:variant>
        <vt:lpwstr>_Toc132537022</vt:lpwstr>
      </vt:variant>
      <vt:variant>
        <vt:i4>1310768</vt:i4>
      </vt:variant>
      <vt:variant>
        <vt:i4>854</vt:i4>
      </vt:variant>
      <vt:variant>
        <vt:i4>0</vt:i4>
      </vt:variant>
      <vt:variant>
        <vt:i4>5</vt:i4>
      </vt:variant>
      <vt:variant>
        <vt:lpwstr/>
      </vt:variant>
      <vt:variant>
        <vt:lpwstr>_Toc132537021</vt:lpwstr>
      </vt:variant>
      <vt:variant>
        <vt:i4>1310768</vt:i4>
      </vt:variant>
      <vt:variant>
        <vt:i4>848</vt:i4>
      </vt:variant>
      <vt:variant>
        <vt:i4>0</vt:i4>
      </vt:variant>
      <vt:variant>
        <vt:i4>5</vt:i4>
      </vt:variant>
      <vt:variant>
        <vt:lpwstr/>
      </vt:variant>
      <vt:variant>
        <vt:lpwstr>_Toc132537020</vt:lpwstr>
      </vt:variant>
      <vt:variant>
        <vt:i4>1507376</vt:i4>
      </vt:variant>
      <vt:variant>
        <vt:i4>842</vt:i4>
      </vt:variant>
      <vt:variant>
        <vt:i4>0</vt:i4>
      </vt:variant>
      <vt:variant>
        <vt:i4>5</vt:i4>
      </vt:variant>
      <vt:variant>
        <vt:lpwstr/>
      </vt:variant>
      <vt:variant>
        <vt:lpwstr>_Toc132537019</vt:lpwstr>
      </vt:variant>
      <vt:variant>
        <vt:i4>1507376</vt:i4>
      </vt:variant>
      <vt:variant>
        <vt:i4>836</vt:i4>
      </vt:variant>
      <vt:variant>
        <vt:i4>0</vt:i4>
      </vt:variant>
      <vt:variant>
        <vt:i4>5</vt:i4>
      </vt:variant>
      <vt:variant>
        <vt:lpwstr/>
      </vt:variant>
      <vt:variant>
        <vt:lpwstr>_Toc132537018</vt:lpwstr>
      </vt:variant>
      <vt:variant>
        <vt:i4>1507376</vt:i4>
      </vt:variant>
      <vt:variant>
        <vt:i4>830</vt:i4>
      </vt:variant>
      <vt:variant>
        <vt:i4>0</vt:i4>
      </vt:variant>
      <vt:variant>
        <vt:i4>5</vt:i4>
      </vt:variant>
      <vt:variant>
        <vt:lpwstr/>
      </vt:variant>
      <vt:variant>
        <vt:lpwstr>_Toc132537017</vt:lpwstr>
      </vt:variant>
      <vt:variant>
        <vt:i4>1507376</vt:i4>
      </vt:variant>
      <vt:variant>
        <vt:i4>824</vt:i4>
      </vt:variant>
      <vt:variant>
        <vt:i4>0</vt:i4>
      </vt:variant>
      <vt:variant>
        <vt:i4>5</vt:i4>
      </vt:variant>
      <vt:variant>
        <vt:lpwstr/>
      </vt:variant>
      <vt:variant>
        <vt:lpwstr>_Toc132537016</vt:lpwstr>
      </vt:variant>
      <vt:variant>
        <vt:i4>1507376</vt:i4>
      </vt:variant>
      <vt:variant>
        <vt:i4>818</vt:i4>
      </vt:variant>
      <vt:variant>
        <vt:i4>0</vt:i4>
      </vt:variant>
      <vt:variant>
        <vt:i4>5</vt:i4>
      </vt:variant>
      <vt:variant>
        <vt:lpwstr/>
      </vt:variant>
      <vt:variant>
        <vt:lpwstr>_Toc132537015</vt:lpwstr>
      </vt:variant>
      <vt:variant>
        <vt:i4>1507376</vt:i4>
      </vt:variant>
      <vt:variant>
        <vt:i4>812</vt:i4>
      </vt:variant>
      <vt:variant>
        <vt:i4>0</vt:i4>
      </vt:variant>
      <vt:variant>
        <vt:i4>5</vt:i4>
      </vt:variant>
      <vt:variant>
        <vt:lpwstr/>
      </vt:variant>
      <vt:variant>
        <vt:lpwstr>_Toc132537014</vt:lpwstr>
      </vt:variant>
      <vt:variant>
        <vt:i4>1507376</vt:i4>
      </vt:variant>
      <vt:variant>
        <vt:i4>806</vt:i4>
      </vt:variant>
      <vt:variant>
        <vt:i4>0</vt:i4>
      </vt:variant>
      <vt:variant>
        <vt:i4>5</vt:i4>
      </vt:variant>
      <vt:variant>
        <vt:lpwstr/>
      </vt:variant>
      <vt:variant>
        <vt:lpwstr>_Toc132537013</vt:lpwstr>
      </vt:variant>
      <vt:variant>
        <vt:i4>1507376</vt:i4>
      </vt:variant>
      <vt:variant>
        <vt:i4>800</vt:i4>
      </vt:variant>
      <vt:variant>
        <vt:i4>0</vt:i4>
      </vt:variant>
      <vt:variant>
        <vt:i4>5</vt:i4>
      </vt:variant>
      <vt:variant>
        <vt:lpwstr/>
      </vt:variant>
      <vt:variant>
        <vt:lpwstr>_Toc132537012</vt:lpwstr>
      </vt:variant>
      <vt:variant>
        <vt:i4>1507376</vt:i4>
      </vt:variant>
      <vt:variant>
        <vt:i4>794</vt:i4>
      </vt:variant>
      <vt:variant>
        <vt:i4>0</vt:i4>
      </vt:variant>
      <vt:variant>
        <vt:i4>5</vt:i4>
      </vt:variant>
      <vt:variant>
        <vt:lpwstr/>
      </vt:variant>
      <vt:variant>
        <vt:lpwstr>_Toc132537011</vt:lpwstr>
      </vt:variant>
      <vt:variant>
        <vt:i4>1507376</vt:i4>
      </vt:variant>
      <vt:variant>
        <vt:i4>788</vt:i4>
      </vt:variant>
      <vt:variant>
        <vt:i4>0</vt:i4>
      </vt:variant>
      <vt:variant>
        <vt:i4>5</vt:i4>
      </vt:variant>
      <vt:variant>
        <vt:lpwstr/>
      </vt:variant>
      <vt:variant>
        <vt:lpwstr>_Toc132537010</vt:lpwstr>
      </vt:variant>
      <vt:variant>
        <vt:i4>1441840</vt:i4>
      </vt:variant>
      <vt:variant>
        <vt:i4>782</vt:i4>
      </vt:variant>
      <vt:variant>
        <vt:i4>0</vt:i4>
      </vt:variant>
      <vt:variant>
        <vt:i4>5</vt:i4>
      </vt:variant>
      <vt:variant>
        <vt:lpwstr/>
      </vt:variant>
      <vt:variant>
        <vt:lpwstr>_Toc132537009</vt:lpwstr>
      </vt:variant>
      <vt:variant>
        <vt:i4>1441840</vt:i4>
      </vt:variant>
      <vt:variant>
        <vt:i4>776</vt:i4>
      </vt:variant>
      <vt:variant>
        <vt:i4>0</vt:i4>
      </vt:variant>
      <vt:variant>
        <vt:i4>5</vt:i4>
      </vt:variant>
      <vt:variant>
        <vt:lpwstr/>
      </vt:variant>
      <vt:variant>
        <vt:lpwstr>_Toc132537008</vt:lpwstr>
      </vt:variant>
      <vt:variant>
        <vt:i4>1441840</vt:i4>
      </vt:variant>
      <vt:variant>
        <vt:i4>770</vt:i4>
      </vt:variant>
      <vt:variant>
        <vt:i4>0</vt:i4>
      </vt:variant>
      <vt:variant>
        <vt:i4>5</vt:i4>
      </vt:variant>
      <vt:variant>
        <vt:lpwstr/>
      </vt:variant>
      <vt:variant>
        <vt:lpwstr>_Toc132537007</vt:lpwstr>
      </vt:variant>
      <vt:variant>
        <vt:i4>1441840</vt:i4>
      </vt:variant>
      <vt:variant>
        <vt:i4>764</vt:i4>
      </vt:variant>
      <vt:variant>
        <vt:i4>0</vt:i4>
      </vt:variant>
      <vt:variant>
        <vt:i4>5</vt:i4>
      </vt:variant>
      <vt:variant>
        <vt:lpwstr/>
      </vt:variant>
      <vt:variant>
        <vt:lpwstr>_Toc132537006</vt:lpwstr>
      </vt:variant>
      <vt:variant>
        <vt:i4>1441840</vt:i4>
      </vt:variant>
      <vt:variant>
        <vt:i4>758</vt:i4>
      </vt:variant>
      <vt:variant>
        <vt:i4>0</vt:i4>
      </vt:variant>
      <vt:variant>
        <vt:i4>5</vt:i4>
      </vt:variant>
      <vt:variant>
        <vt:lpwstr/>
      </vt:variant>
      <vt:variant>
        <vt:lpwstr>_Toc132537005</vt:lpwstr>
      </vt:variant>
      <vt:variant>
        <vt:i4>1441840</vt:i4>
      </vt:variant>
      <vt:variant>
        <vt:i4>752</vt:i4>
      </vt:variant>
      <vt:variant>
        <vt:i4>0</vt:i4>
      </vt:variant>
      <vt:variant>
        <vt:i4>5</vt:i4>
      </vt:variant>
      <vt:variant>
        <vt:lpwstr/>
      </vt:variant>
      <vt:variant>
        <vt:lpwstr>_Toc132537004</vt:lpwstr>
      </vt:variant>
      <vt:variant>
        <vt:i4>1441840</vt:i4>
      </vt:variant>
      <vt:variant>
        <vt:i4>746</vt:i4>
      </vt:variant>
      <vt:variant>
        <vt:i4>0</vt:i4>
      </vt:variant>
      <vt:variant>
        <vt:i4>5</vt:i4>
      </vt:variant>
      <vt:variant>
        <vt:lpwstr/>
      </vt:variant>
      <vt:variant>
        <vt:lpwstr>_Toc132537003</vt:lpwstr>
      </vt:variant>
      <vt:variant>
        <vt:i4>1441840</vt:i4>
      </vt:variant>
      <vt:variant>
        <vt:i4>740</vt:i4>
      </vt:variant>
      <vt:variant>
        <vt:i4>0</vt:i4>
      </vt:variant>
      <vt:variant>
        <vt:i4>5</vt:i4>
      </vt:variant>
      <vt:variant>
        <vt:lpwstr/>
      </vt:variant>
      <vt:variant>
        <vt:lpwstr>_Toc132537002</vt:lpwstr>
      </vt:variant>
      <vt:variant>
        <vt:i4>1441840</vt:i4>
      </vt:variant>
      <vt:variant>
        <vt:i4>734</vt:i4>
      </vt:variant>
      <vt:variant>
        <vt:i4>0</vt:i4>
      </vt:variant>
      <vt:variant>
        <vt:i4>5</vt:i4>
      </vt:variant>
      <vt:variant>
        <vt:lpwstr/>
      </vt:variant>
      <vt:variant>
        <vt:lpwstr>_Toc132537001</vt:lpwstr>
      </vt:variant>
      <vt:variant>
        <vt:i4>1441840</vt:i4>
      </vt:variant>
      <vt:variant>
        <vt:i4>728</vt:i4>
      </vt:variant>
      <vt:variant>
        <vt:i4>0</vt:i4>
      </vt:variant>
      <vt:variant>
        <vt:i4>5</vt:i4>
      </vt:variant>
      <vt:variant>
        <vt:lpwstr/>
      </vt:variant>
      <vt:variant>
        <vt:lpwstr>_Toc132537000</vt:lpwstr>
      </vt:variant>
      <vt:variant>
        <vt:i4>1966137</vt:i4>
      </vt:variant>
      <vt:variant>
        <vt:i4>722</vt:i4>
      </vt:variant>
      <vt:variant>
        <vt:i4>0</vt:i4>
      </vt:variant>
      <vt:variant>
        <vt:i4>5</vt:i4>
      </vt:variant>
      <vt:variant>
        <vt:lpwstr/>
      </vt:variant>
      <vt:variant>
        <vt:lpwstr>_Toc132536999</vt:lpwstr>
      </vt:variant>
      <vt:variant>
        <vt:i4>1966137</vt:i4>
      </vt:variant>
      <vt:variant>
        <vt:i4>716</vt:i4>
      </vt:variant>
      <vt:variant>
        <vt:i4>0</vt:i4>
      </vt:variant>
      <vt:variant>
        <vt:i4>5</vt:i4>
      </vt:variant>
      <vt:variant>
        <vt:lpwstr/>
      </vt:variant>
      <vt:variant>
        <vt:lpwstr>_Toc132536998</vt:lpwstr>
      </vt:variant>
      <vt:variant>
        <vt:i4>1966137</vt:i4>
      </vt:variant>
      <vt:variant>
        <vt:i4>710</vt:i4>
      </vt:variant>
      <vt:variant>
        <vt:i4>0</vt:i4>
      </vt:variant>
      <vt:variant>
        <vt:i4>5</vt:i4>
      </vt:variant>
      <vt:variant>
        <vt:lpwstr/>
      </vt:variant>
      <vt:variant>
        <vt:lpwstr>_Toc132536997</vt:lpwstr>
      </vt:variant>
      <vt:variant>
        <vt:i4>1966137</vt:i4>
      </vt:variant>
      <vt:variant>
        <vt:i4>704</vt:i4>
      </vt:variant>
      <vt:variant>
        <vt:i4>0</vt:i4>
      </vt:variant>
      <vt:variant>
        <vt:i4>5</vt:i4>
      </vt:variant>
      <vt:variant>
        <vt:lpwstr/>
      </vt:variant>
      <vt:variant>
        <vt:lpwstr>_Toc132536996</vt:lpwstr>
      </vt:variant>
      <vt:variant>
        <vt:i4>1966137</vt:i4>
      </vt:variant>
      <vt:variant>
        <vt:i4>698</vt:i4>
      </vt:variant>
      <vt:variant>
        <vt:i4>0</vt:i4>
      </vt:variant>
      <vt:variant>
        <vt:i4>5</vt:i4>
      </vt:variant>
      <vt:variant>
        <vt:lpwstr/>
      </vt:variant>
      <vt:variant>
        <vt:lpwstr>_Toc132536995</vt:lpwstr>
      </vt:variant>
      <vt:variant>
        <vt:i4>1966137</vt:i4>
      </vt:variant>
      <vt:variant>
        <vt:i4>692</vt:i4>
      </vt:variant>
      <vt:variant>
        <vt:i4>0</vt:i4>
      </vt:variant>
      <vt:variant>
        <vt:i4>5</vt:i4>
      </vt:variant>
      <vt:variant>
        <vt:lpwstr/>
      </vt:variant>
      <vt:variant>
        <vt:lpwstr>_Toc132536994</vt:lpwstr>
      </vt:variant>
      <vt:variant>
        <vt:i4>1966137</vt:i4>
      </vt:variant>
      <vt:variant>
        <vt:i4>686</vt:i4>
      </vt:variant>
      <vt:variant>
        <vt:i4>0</vt:i4>
      </vt:variant>
      <vt:variant>
        <vt:i4>5</vt:i4>
      </vt:variant>
      <vt:variant>
        <vt:lpwstr/>
      </vt:variant>
      <vt:variant>
        <vt:lpwstr>_Toc132536993</vt:lpwstr>
      </vt:variant>
      <vt:variant>
        <vt:i4>1966137</vt:i4>
      </vt:variant>
      <vt:variant>
        <vt:i4>680</vt:i4>
      </vt:variant>
      <vt:variant>
        <vt:i4>0</vt:i4>
      </vt:variant>
      <vt:variant>
        <vt:i4>5</vt:i4>
      </vt:variant>
      <vt:variant>
        <vt:lpwstr/>
      </vt:variant>
      <vt:variant>
        <vt:lpwstr>_Toc132536992</vt:lpwstr>
      </vt:variant>
      <vt:variant>
        <vt:i4>1966137</vt:i4>
      </vt:variant>
      <vt:variant>
        <vt:i4>674</vt:i4>
      </vt:variant>
      <vt:variant>
        <vt:i4>0</vt:i4>
      </vt:variant>
      <vt:variant>
        <vt:i4>5</vt:i4>
      </vt:variant>
      <vt:variant>
        <vt:lpwstr/>
      </vt:variant>
      <vt:variant>
        <vt:lpwstr>_Toc132536991</vt:lpwstr>
      </vt:variant>
      <vt:variant>
        <vt:i4>1966137</vt:i4>
      </vt:variant>
      <vt:variant>
        <vt:i4>668</vt:i4>
      </vt:variant>
      <vt:variant>
        <vt:i4>0</vt:i4>
      </vt:variant>
      <vt:variant>
        <vt:i4>5</vt:i4>
      </vt:variant>
      <vt:variant>
        <vt:lpwstr/>
      </vt:variant>
      <vt:variant>
        <vt:lpwstr>_Toc132536990</vt:lpwstr>
      </vt:variant>
      <vt:variant>
        <vt:i4>2031673</vt:i4>
      </vt:variant>
      <vt:variant>
        <vt:i4>662</vt:i4>
      </vt:variant>
      <vt:variant>
        <vt:i4>0</vt:i4>
      </vt:variant>
      <vt:variant>
        <vt:i4>5</vt:i4>
      </vt:variant>
      <vt:variant>
        <vt:lpwstr/>
      </vt:variant>
      <vt:variant>
        <vt:lpwstr>_Toc132536989</vt:lpwstr>
      </vt:variant>
      <vt:variant>
        <vt:i4>2031673</vt:i4>
      </vt:variant>
      <vt:variant>
        <vt:i4>656</vt:i4>
      </vt:variant>
      <vt:variant>
        <vt:i4>0</vt:i4>
      </vt:variant>
      <vt:variant>
        <vt:i4>5</vt:i4>
      </vt:variant>
      <vt:variant>
        <vt:lpwstr/>
      </vt:variant>
      <vt:variant>
        <vt:lpwstr>_Toc132536988</vt:lpwstr>
      </vt:variant>
      <vt:variant>
        <vt:i4>2031673</vt:i4>
      </vt:variant>
      <vt:variant>
        <vt:i4>650</vt:i4>
      </vt:variant>
      <vt:variant>
        <vt:i4>0</vt:i4>
      </vt:variant>
      <vt:variant>
        <vt:i4>5</vt:i4>
      </vt:variant>
      <vt:variant>
        <vt:lpwstr/>
      </vt:variant>
      <vt:variant>
        <vt:lpwstr>_Toc132536987</vt:lpwstr>
      </vt:variant>
      <vt:variant>
        <vt:i4>2031673</vt:i4>
      </vt:variant>
      <vt:variant>
        <vt:i4>644</vt:i4>
      </vt:variant>
      <vt:variant>
        <vt:i4>0</vt:i4>
      </vt:variant>
      <vt:variant>
        <vt:i4>5</vt:i4>
      </vt:variant>
      <vt:variant>
        <vt:lpwstr/>
      </vt:variant>
      <vt:variant>
        <vt:lpwstr>_Toc132536986</vt:lpwstr>
      </vt:variant>
      <vt:variant>
        <vt:i4>2031673</vt:i4>
      </vt:variant>
      <vt:variant>
        <vt:i4>638</vt:i4>
      </vt:variant>
      <vt:variant>
        <vt:i4>0</vt:i4>
      </vt:variant>
      <vt:variant>
        <vt:i4>5</vt:i4>
      </vt:variant>
      <vt:variant>
        <vt:lpwstr/>
      </vt:variant>
      <vt:variant>
        <vt:lpwstr>_Toc132536985</vt:lpwstr>
      </vt:variant>
      <vt:variant>
        <vt:i4>2031673</vt:i4>
      </vt:variant>
      <vt:variant>
        <vt:i4>632</vt:i4>
      </vt:variant>
      <vt:variant>
        <vt:i4>0</vt:i4>
      </vt:variant>
      <vt:variant>
        <vt:i4>5</vt:i4>
      </vt:variant>
      <vt:variant>
        <vt:lpwstr/>
      </vt:variant>
      <vt:variant>
        <vt:lpwstr>_Toc132536984</vt:lpwstr>
      </vt:variant>
      <vt:variant>
        <vt:i4>2031673</vt:i4>
      </vt:variant>
      <vt:variant>
        <vt:i4>626</vt:i4>
      </vt:variant>
      <vt:variant>
        <vt:i4>0</vt:i4>
      </vt:variant>
      <vt:variant>
        <vt:i4>5</vt:i4>
      </vt:variant>
      <vt:variant>
        <vt:lpwstr/>
      </vt:variant>
      <vt:variant>
        <vt:lpwstr>_Toc132536983</vt:lpwstr>
      </vt:variant>
      <vt:variant>
        <vt:i4>2031673</vt:i4>
      </vt:variant>
      <vt:variant>
        <vt:i4>620</vt:i4>
      </vt:variant>
      <vt:variant>
        <vt:i4>0</vt:i4>
      </vt:variant>
      <vt:variant>
        <vt:i4>5</vt:i4>
      </vt:variant>
      <vt:variant>
        <vt:lpwstr/>
      </vt:variant>
      <vt:variant>
        <vt:lpwstr>_Toc132536982</vt:lpwstr>
      </vt:variant>
      <vt:variant>
        <vt:i4>2031673</vt:i4>
      </vt:variant>
      <vt:variant>
        <vt:i4>614</vt:i4>
      </vt:variant>
      <vt:variant>
        <vt:i4>0</vt:i4>
      </vt:variant>
      <vt:variant>
        <vt:i4>5</vt:i4>
      </vt:variant>
      <vt:variant>
        <vt:lpwstr/>
      </vt:variant>
      <vt:variant>
        <vt:lpwstr>_Toc132536981</vt:lpwstr>
      </vt:variant>
      <vt:variant>
        <vt:i4>2031673</vt:i4>
      </vt:variant>
      <vt:variant>
        <vt:i4>608</vt:i4>
      </vt:variant>
      <vt:variant>
        <vt:i4>0</vt:i4>
      </vt:variant>
      <vt:variant>
        <vt:i4>5</vt:i4>
      </vt:variant>
      <vt:variant>
        <vt:lpwstr/>
      </vt:variant>
      <vt:variant>
        <vt:lpwstr>_Toc132536980</vt:lpwstr>
      </vt:variant>
      <vt:variant>
        <vt:i4>1048633</vt:i4>
      </vt:variant>
      <vt:variant>
        <vt:i4>602</vt:i4>
      </vt:variant>
      <vt:variant>
        <vt:i4>0</vt:i4>
      </vt:variant>
      <vt:variant>
        <vt:i4>5</vt:i4>
      </vt:variant>
      <vt:variant>
        <vt:lpwstr/>
      </vt:variant>
      <vt:variant>
        <vt:lpwstr>_Toc132536979</vt:lpwstr>
      </vt:variant>
      <vt:variant>
        <vt:i4>1048633</vt:i4>
      </vt:variant>
      <vt:variant>
        <vt:i4>596</vt:i4>
      </vt:variant>
      <vt:variant>
        <vt:i4>0</vt:i4>
      </vt:variant>
      <vt:variant>
        <vt:i4>5</vt:i4>
      </vt:variant>
      <vt:variant>
        <vt:lpwstr/>
      </vt:variant>
      <vt:variant>
        <vt:lpwstr>_Toc132536978</vt:lpwstr>
      </vt:variant>
      <vt:variant>
        <vt:i4>1048633</vt:i4>
      </vt:variant>
      <vt:variant>
        <vt:i4>590</vt:i4>
      </vt:variant>
      <vt:variant>
        <vt:i4>0</vt:i4>
      </vt:variant>
      <vt:variant>
        <vt:i4>5</vt:i4>
      </vt:variant>
      <vt:variant>
        <vt:lpwstr/>
      </vt:variant>
      <vt:variant>
        <vt:lpwstr>_Toc132536977</vt:lpwstr>
      </vt:variant>
      <vt:variant>
        <vt:i4>1048633</vt:i4>
      </vt:variant>
      <vt:variant>
        <vt:i4>584</vt:i4>
      </vt:variant>
      <vt:variant>
        <vt:i4>0</vt:i4>
      </vt:variant>
      <vt:variant>
        <vt:i4>5</vt:i4>
      </vt:variant>
      <vt:variant>
        <vt:lpwstr/>
      </vt:variant>
      <vt:variant>
        <vt:lpwstr>_Toc132536976</vt:lpwstr>
      </vt:variant>
      <vt:variant>
        <vt:i4>1048633</vt:i4>
      </vt:variant>
      <vt:variant>
        <vt:i4>578</vt:i4>
      </vt:variant>
      <vt:variant>
        <vt:i4>0</vt:i4>
      </vt:variant>
      <vt:variant>
        <vt:i4>5</vt:i4>
      </vt:variant>
      <vt:variant>
        <vt:lpwstr/>
      </vt:variant>
      <vt:variant>
        <vt:lpwstr>_Toc132536975</vt:lpwstr>
      </vt:variant>
      <vt:variant>
        <vt:i4>1048633</vt:i4>
      </vt:variant>
      <vt:variant>
        <vt:i4>572</vt:i4>
      </vt:variant>
      <vt:variant>
        <vt:i4>0</vt:i4>
      </vt:variant>
      <vt:variant>
        <vt:i4>5</vt:i4>
      </vt:variant>
      <vt:variant>
        <vt:lpwstr/>
      </vt:variant>
      <vt:variant>
        <vt:lpwstr>_Toc132536974</vt:lpwstr>
      </vt:variant>
      <vt:variant>
        <vt:i4>1048633</vt:i4>
      </vt:variant>
      <vt:variant>
        <vt:i4>566</vt:i4>
      </vt:variant>
      <vt:variant>
        <vt:i4>0</vt:i4>
      </vt:variant>
      <vt:variant>
        <vt:i4>5</vt:i4>
      </vt:variant>
      <vt:variant>
        <vt:lpwstr/>
      </vt:variant>
      <vt:variant>
        <vt:lpwstr>_Toc132536973</vt:lpwstr>
      </vt:variant>
      <vt:variant>
        <vt:i4>1048633</vt:i4>
      </vt:variant>
      <vt:variant>
        <vt:i4>560</vt:i4>
      </vt:variant>
      <vt:variant>
        <vt:i4>0</vt:i4>
      </vt:variant>
      <vt:variant>
        <vt:i4>5</vt:i4>
      </vt:variant>
      <vt:variant>
        <vt:lpwstr/>
      </vt:variant>
      <vt:variant>
        <vt:lpwstr>_Toc132536972</vt:lpwstr>
      </vt:variant>
      <vt:variant>
        <vt:i4>1048633</vt:i4>
      </vt:variant>
      <vt:variant>
        <vt:i4>554</vt:i4>
      </vt:variant>
      <vt:variant>
        <vt:i4>0</vt:i4>
      </vt:variant>
      <vt:variant>
        <vt:i4>5</vt:i4>
      </vt:variant>
      <vt:variant>
        <vt:lpwstr/>
      </vt:variant>
      <vt:variant>
        <vt:lpwstr>_Toc132536971</vt:lpwstr>
      </vt:variant>
      <vt:variant>
        <vt:i4>1048633</vt:i4>
      </vt:variant>
      <vt:variant>
        <vt:i4>548</vt:i4>
      </vt:variant>
      <vt:variant>
        <vt:i4>0</vt:i4>
      </vt:variant>
      <vt:variant>
        <vt:i4>5</vt:i4>
      </vt:variant>
      <vt:variant>
        <vt:lpwstr/>
      </vt:variant>
      <vt:variant>
        <vt:lpwstr>_Toc132536970</vt:lpwstr>
      </vt:variant>
      <vt:variant>
        <vt:i4>1114169</vt:i4>
      </vt:variant>
      <vt:variant>
        <vt:i4>542</vt:i4>
      </vt:variant>
      <vt:variant>
        <vt:i4>0</vt:i4>
      </vt:variant>
      <vt:variant>
        <vt:i4>5</vt:i4>
      </vt:variant>
      <vt:variant>
        <vt:lpwstr/>
      </vt:variant>
      <vt:variant>
        <vt:lpwstr>_Toc132536969</vt:lpwstr>
      </vt:variant>
      <vt:variant>
        <vt:i4>1114169</vt:i4>
      </vt:variant>
      <vt:variant>
        <vt:i4>536</vt:i4>
      </vt:variant>
      <vt:variant>
        <vt:i4>0</vt:i4>
      </vt:variant>
      <vt:variant>
        <vt:i4>5</vt:i4>
      </vt:variant>
      <vt:variant>
        <vt:lpwstr/>
      </vt:variant>
      <vt:variant>
        <vt:lpwstr>_Toc132536968</vt:lpwstr>
      </vt:variant>
      <vt:variant>
        <vt:i4>1114169</vt:i4>
      </vt:variant>
      <vt:variant>
        <vt:i4>530</vt:i4>
      </vt:variant>
      <vt:variant>
        <vt:i4>0</vt:i4>
      </vt:variant>
      <vt:variant>
        <vt:i4>5</vt:i4>
      </vt:variant>
      <vt:variant>
        <vt:lpwstr/>
      </vt:variant>
      <vt:variant>
        <vt:lpwstr>_Toc132536967</vt:lpwstr>
      </vt:variant>
      <vt:variant>
        <vt:i4>1114169</vt:i4>
      </vt:variant>
      <vt:variant>
        <vt:i4>524</vt:i4>
      </vt:variant>
      <vt:variant>
        <vt:i4>0</vt:i4>
      </vt:variant>
      <vt:variant>
        <vt:i4>5</vt:i4>
      </vt:variant>
      <vt:variant>
        <vt:lpwstr/>
      </vt:variant>
      <vt:variant>
        <vt:lpwstr>_Toc132536966</vt:lpwstr>
      </vt:variant>
      <vt:variant>
        <vt:i4>1114169</vt:i4>
      </vt:variant>
      <vt:variant>
        <vt:i4>518</vt:i4>
      </vt:variant>
      <vt:variant>
        <vt:i4>0</vt:i4>
      </vt:variant>
      <vt:variant>
        <vt:i4>5</vt:i4>
      </vt:variant>
      <vt:variant>
        <vt:lpwstr/>
      </vt:variant>
      <vt:variant>
        <vt:lpwstr>_Toc132536965</vt:lpwstr>
      </vt:variant>
      <vt:variant>
        <vt:i4>1114169</vt:i4>
      </vt:variant>
      <vt:variant>
        <vt:i4>512</vt:i4>
      </vt:variant>
      <vt:variant>
        <vt:i4>0</vt:i4>
      </vt:variant>
      <vt:variant>
        <vt:i4>5</vt:i4>
      </vt:variant>
      <vt:variant>
        <vt:lpwstr/>
      </vt:variant>
      <vt:variant>
        <vt:lpwstr>_Toc132536964</vt:lpwstr>
      </vt:variant>
      <vt:variant>
        <vt:i4>1114169</vt:i4>
      </vt:variant>
      <vt:variant>
        <vt:i4>506</vt:i4>
      </vt:variant>
      <vt:variant>
        <vt:i4>0</vt:i4>
      </vt:variant>
      <vt:variant>
        <vt:i4>5</vt:i4>
      </vt:variant>
      <vt:variant>
        <vt:lpwstr/>
      </vt:variant>
      <vt:variant>
        <vt:lpwstr>_Toc132536963</vt:lpwstr>
      </vt:variant>
      <vt:variant>
        <vt:i4>1114169</vt:i4>
      </vt:variant>
      <vt:variant>
        <vt:i4>500</vt:i4>
      </vt:variant>
      <vt:variant>
        <vt:i4>0</vt:i4>
      </vt:variant>
      <vt:variant>
        <vt:i4>5</vt:i4>
      </vt:variant>
      <vt:variant>
        <vt:lpwstr/>
      </vt:variant>
      <vt:variant>
        <vt:lpwstr>_Toc132536962</vt:lpwstr>
      </vt:variant>
      <vt:variant>
        <vt:i4>1114169</vt:i4>
      </vt:variant>
      <vt:variant>
        <vt:i4>494</vt:i4>
      </vt:variant>
      <vt:variant>
        <vt:i4>0</vt:i4>
      </vt:variant>
      <vt:variant>
        <vt:i4>5</vt:i4>
      </vt:variant>
      <vt:variant>
        <vt:lpwstr/>
      </vt:variant>
      <vt:variant>
        <vt:lpwstr>_Toc132536961</vt:lpwstr>
      </vt:variant>
      <vt:variant>
        <vt:i4>1114169</vt:i4>
      </vt:variant>
      <vt:variant>
        <vt:i4>488</vt:i4>
      </vt:variant>
      <vt:variant>
        <vt:i4>0</vt:i4>
      </vt:variant>
      <vt:variant>
        <vt:i4>5</vt:i4>
      </vt:variant>
      <vt:variant>
        <vt:lpwstr/>
      </vt:variant>
      <vt:variant>
        <vt:lpwstr>_Toc132536960</vt:lpwstr>
      </vt:variant>
      <vt:variant>
        <vt:i4>1179705</vt:i4>
      </vt:variant>
      <vt:variant>
        <vt:i4>482</vt:i4>
      </vt:variant>
      <vt:variant>
        <vt:i4>0</vt:i4>
      </vt:variant>
      <vt:variant>
        <vt:i4>5</vt:i4>
      </vt:variant>
      <vt:variant>
        <vt:lpwstr/>
      </vt:variant>
      <vt:variant>
        <vt:lpwstr>_Toc132536959</vt:lpwstr>
      </vt:variant>
      <vt:variant>
        <vt:i4>1179705</vt:i4>
      </vt:variant>
      <vt:variant>
        <vt:i4>476</vt:i4>
      </vt:variant>
      <vt:variant>
        <vt:i4>0</vt:i4>
      </vt:variant>
      <vt:variant>
        <vt:i4>5</vt:i4>
      </vt:variant>
      <vt:variant>
        <vt:lpwstr/>
      </vt:variant>
      <vt:variant>
        <vt:lpwstr>_Toc132536958</vt:lpwstr>
      </vt:variant>
      <vt:variant>
        <vt:i4>1179705</vt:i4>
      </vt:variant>
      <vt:variant>
        <vt:i4>470</vt:i4>
      </vt:variant>
      <vt:variant>
        <vt:i4>0</vt:i4>
      </vt:variant>
      <vt:variant>
        <vt:i4>5</vt:i4>
      </vt:variant>
      <vt:variant>
        <vt:lpwstr/>
      </vt:variant>
      <vt:variant>
        <vt:lpwstr>_Toc132536957</vt:lpwstr>
      </vt:variant>
      <vt:variant>
        <vt:i4>1179705</vt:i4>
      </vt:variant>
      <vt:variant>
        <vt:i4>464</vt:i4>
      </vt:variant>
      <vt:variant>
        <vt:i4>0</vt:i4>
      </vt:variant>
      <vt:variant>
        <vt:i4>5</vt:i4>
      </vt:variant>
      <vt:variant>
        <vt:lpwstr/>
      </vt:variant>
      <vt:variant>
        <vt:lpwstr>_Toc132536956</vt:lpwstr>
      </vt:variant>
      <vt:variant>
        <vt:i4>1179705</vt:i4>
      </vt:variant>
      <vt:variant>
        <vt:i4>458</vt:i4>
      </vt:variant>
      <vt:variant>
        <vt:i4>0</vt:i4>
      </vt:variant>
      <vt:variant>
        <vt:i4>5</vt:i4>
      </vt:variant>
      <vt:variant>
        <vt:lpwstr/>
      </vt:variant>
      <vt:variant>
        <vt:lpwstr>_Toc132536955</vt:lpwstr>
      </vt:variant>
      <vt:variant>
        <vt:i4>1179705</vt:i4>
      </vt:variant>
      <vt:variant>
        <vt:i4>452</vt:i4>
      </vt:variant>
      <vt:variant>
        <vt:i4>0</vt:i4>
      </vt:variant>
      <vt:variant>
        <vt:i4>5</vt:i4>
      </vt:variant>
      <vt:variant>
        <vt:lpwstr/>
      </vt:variant>
      <vt:variant>
        <vt:lpwstr>_Toc132536954</vt:lpwstr>
      </vt:variant>
      <vt:variant>
        <vt:i4>1179705</vt:i4>
      </vt:variant>
      <vt:variant>
        <vt:i4>446</vt:i4>
      </vt:variant>
      <vt:variant>
        <vt:i4>0</vt:i4>
      </vt:variant>
      <vt:variant>
        <vt:i4>5</vt:i4>
      </vt:variant>
      <vt:variant>
        <vt:lpwstr/>
      </vt:variant>
      <vt:variant>
        <vt:lpwstr>_Toc132536953</vt:lpwstr>
      </vt:variant>
      <vt:variant>
        <vt:i4>1179705</vt:i4>
      </vt:variant>
      <vt:variant>
        <vt:i4>440</vt:i4>
      </vt:variant>
      <vt:variant>
        <vt:i4>0</vt:i4>
      </vt:variant>
      <vt:variant>
        <vt:i4>5</vt:i4>
      </vt:variant>
      <vt:variant>
        <vt:lpwstr/>
      </vt:variant>
      <vt:variant>
        <vt:lpwstr>_Toc132536952</vt:lpwstr>
      </vt:variant>
      <vt:variant>
        <vt:i4>1179705</vt:i4>
      </vt:variant>
      <vt:variant>
        <vt:i4>434</vt:i4>
      </vt:variant>
      <vt:variant>
        <vt:i4>0</vt:i4>
      </vt:variant>
      <vt:variant>
        <vt:i4>5</vt:i4>
      </vt:variant>
      <vt:variant>
        <vt:lpwstr/>
      </vt:variant>
      <vt:variant>
        <vt:lpwstr>_Toc132536951</vt:lpwstr>
      </vt:variant>
      <vt:variant>
        <vt:i4>1179705</vt:i4>
      </vt:variant>
      <vt:variant>
        <vt:i4>428</vt:i4>
      </vt:variant>
      <vt:variant>
        <vt:i4>0</vt:i4>
      </vt:variant>
      <vt:variant>
        <vt:i4>5</vt:i4>
      </vt:variant>
      <vt:variant>
        <vt:lpwstr/>
      </vt:variant>
      <vt:variant>
        <vt:lpwstr>_Toc132536950</vt:lpwstr>
      </vt:variant>
      <vt:variant>
        <vt:i4>1245241</vt:i4>
      </vt:variant>
      <vt:variant>
        <vt:i4>422</vt:i4>
      </vt:variant>
      <vt:variant>
        <vt:i4>0</vt:i4>
      </vt:variant>
      <vt:variant>
        <vt:i4>5</vt:i4>
      </vt:variant>
      <vt:variant>
        <vt:lpwstr/>
      </vt:variant>
      <vt:variant>
        <vt:lpwstr>_Toc132536949</vt:lpwstr>
      </vt:variant>
      <vt:variant>
        <vt:i4>1245241</vt:i4>
      </vt:variant>
      <vt:variant>
        <vt:i4>416</vt:i4>
      </vt:variant>
      <vt:variant>
        <vt:i4>0</vt:i4>
      </vt:variant>
      <vt:variant>
        <vt:i4>5</vt:i4>
      </vt:variant>
      <vt:variant>
        <vt:lpwstr/>
      </vt:variant>
      <vt:variant>
        <vt:lpwstr>_Toc132536948</vt:lpwstr>
      </vt:variant>
      <vt:variant>
        <vt:i4>1245241</vt:i4>
      </vt:variant>
      <vt:variant>
        <vt:i4>410</vt:i4>
      </vt:variant>
      <vt:variant>
        <vt:i4>0</vt:i4>
      </vt:variant>
      <vt:variant>
        <vt:i4>5</vt:i4>
      </vt:variant>
      <vt:variant>
        <vt:lpwstr/>
      </vt:variant>
      <vt:variant>
        <vt:lpwstr>_Toc132536947</vt:lpwstr>
      </vt:variant>
      <vt:variant>
        <vt:i4>1245241</vt:i4>
      </vt:variant>
      <vt:variant>
        <vt:i4>404</vt:i4>
      </vt:variant>
      <vt:variant>
        <vt:i4>0</vt:i4>
      </vt:variant>
      <vt:variant>
        <vt:i4>5</vt:i4>
      </vt:variant>
      <vt:variant>
        <vt:lpwstr/>
      </vt:variant>
      <vt:variant>
        <vt:lpwstr>_Toc132536946</vt:lpwstr>
      </vt:variant>
      <vt:variant>
        <vt:i4>1245241</vt:i4>
      </vt:variant>
      <vt:variant>
        <vt:i4>398</vt:i4>
      </vt:variant>
      <vt:variant>
        <vt:i4>0</vt:i4>
      </vt:variant>
      <vt:variant>
        <vt:i4>5</vt:i4>
      </vt:variant>
      <vt:variant>
        <vt:lpwstr/>
      </vt:variant>
      <vt:variant>
        <vt:lpwstr>_Toc132536945</vt:lpwstr>
      </vt:variant>
      <vt:variant>
        <vt:i4>1245241</vt:i4>
      </vt:variant>
      <vt:variant>
        <vt:i4>392</vt:i4>
      </vt:variant>
      <vt:variant>
        <vt:i4>0</vt:i4>
      </vt:variant>
      <vt:variant>
        <vt:i4>5</vt:i4>
      </vt:variant>
      <vt:variant>
        <vt:lpwstr/>
      </vt:variant>
      <vt:variant>
        <vt:lpwstr>_Toc132536944</vt:lpwstr>
      </vt:variant>
      <vt:variant>
        <vt:i4>1245241</vt:i4>
      </vt:variant>
      <vt:variant>
        <vt:i4>386</vt:i4>
      </vt:variant>
      <vt:variant>
        <vt:i4>0</vt:i4>
      </vt:variant>
      <vt:variant>
        <vt:i4>5</vt:i4>
      </vt:variant>
      <vt:variant>
        <vt:lpwstr/>
      </vt:variant>
      <vt:variant>
        <vt:lpwstr>_Toc132536943</vt:lpwstr>
      </vt:variant>
      <vt:variant>
        <vt:i4>1245241</vt:i4>
      </vt:variant>
      <vt:variant>
        <vt:i4>380</vt:i4>
      </vt:variant>
      <vt:variant>
        <vt:i4>0</vt:i4>
      </vt:variant>
      <vt:variant>
        <vt:i4>5</vt:i4>
      </vt:variant>
      <vt:variant>
        <vt:lpwstr/>
      </vt:variant>
      <vt:variant>
        <vt:lpwstr>_Toc132536942</vt:lpwstr>
      </vt:variant>
      <vt:variant>
        <vt:i4>1245241</vt:i4>
      </vt:variant>
      <vt:variant>
        <vt:i4>374</vt:i4>
      </vt:variant>
      <vt:variant>
        <vt:i4>0</vt:i4>
      </vt:variant>
      <vt:variant>
        <vt:i4>5</vt:i4>
      </vt:variant>
      <vt:variant>
        <vt:lpwstr/>
      </vt:variant>
      <vt:variant>
        <vt:lpwstr>_Toc132536941</vt:lpwstr>
      </vt:variant>
      <vt:variant>
        <vt:i4>1245241</vt:i4>
      </vt:variant>
      <vt:variant>
        <vt:i4>368</vt:i4>
      </vt:variant>
      <vt:variant>
        <vt:i4>0</vt:i4>
      </vt:variant>
      <vt:variant>
        <vt:i4>5</vt:i4>
      </vt:variant>
      <vt:variant>
        <vt:lpwstr/>
      </vt:variant>
      <vt:variant>
        <vt:lpwstr>_Toc132536940</vt:lpwstr>
      </vt:variant>
      <vt:variant>
        <vt:i4>1310777</vt:i4>
      </vt:variant>
      <vt:variant>
        <vt:i4>362</vt:i4>
      </vt:variant>
      <vt:variant>
        <vt:i4>0</vt:i4>
      </vt:variant>
      <vt:variant>
        <vt:i4>5</vt:i4>
      </vt:variant>
      <vt:variant>
        <vt:lpwstr/>
      </vt:variant>
      <vt:variant>
        <vt:lpwstr>_Toc132536939</vt:lpwstr>
      </vt:variant>
      <vt:variant>
        <vt:i4>1310777</vt:i4>
      </vt:variant>
      <vt:variant>
        <vt:i4>356</vt:i4>
      </vt:variant>
      <vt:variant>
        <vt:i4>0</vt:i4>
      </vt:variant>
      <vt:variant>
        <vt:i4>5</vt:i4>
      </vt:variant>
      <vt:variant>
        <vt:lpwstr/>
      </vt:variant>
      <vt:variant>
        <vt:lpwstr>_Toc132536938</vt:lpwstr>
      </vt:variant>
      <vt:variant>
        <vt:i4>1310777</vt:i4>
      </vt:variant>
      <vt:variant>
        <vt:i4>350</vt:i4>
      </vt:variant>
      <vt:variant>
        <vt:i4>0</vt:i4>
      </vt:variant>
      <vt:variant>
        <vt:i4>5</vt:i4>
      </vt:variant>
      <vt:variant>
        <vt:lpwstr/>
      </vt:variant>
      <vt:variant>
        <vt:lpwstr>_Toc132536937</vt:lpwstr>
      </vt:variant>
      <vt:variant>
        <vt:i4>1310777</vt:i4>
      </vt:variant>
      <vt:variant>
        <vt:i4>344</vt:i4>
      </vt:variant>
      <vt:variant>
        <vt:i4>0</vt:i4>
      </vt:variant>
      <vt:variant>
        <vt:i4>5</vt:i4>
      </vt:variant>
      <vt:variant>
        <vt:lpwstr/>
      </vt:variant>
      <vt:variant>
        <vt:lpwstr>_Toc132536936</vt:lpwstr>
      </vt:variant>
      <vt:variant>
        <vt:i4>1310777</vt:i4>
      </vt:variant>
      <vt:variant>
        <vt:i4>338</vt:i4>
      </vt:variant>
      <vt:variant>
        <vt:i4>0</vt:i4>
      </vt:variant>
      <vt:variant>
        <vt:i4>5</vt:i4>
      </vt:variant>
      <vt:variant>
        <vt:lpwstr/>
      </vt:variant>
      <vt:variant>
        <vt:lpwstr>_Toc132536935</vt:lpwstr>
      </vt:variant>
      <vt:variant>
        <vt:i4>1310777</vt:i4>
      </vt:variant>
      <vt:variant>
        <vt:i4>332</vt:i4>
      </vt:variant>
      <vt:variant>
        <vt:i4>0</vt:i4>
      </vt:variant>
      <vt:variant>
        <vt:i4>5</vt:i4>
      </vt:variant>
      <vt:variant>
        <vt:lpwstr/>
      </vt:variant>
      <vt:variant>
        <vt:lpwstr>_Toc132536934</vt:lpwstr>
      </vt:variant>
      <vt:variant>
        <vt:i4>1310777</vt:i4>
      </vt:variant>
      <vt:variant>
        <vt:i4>326</vt:i4>
      </vt:variant>
      <vt:variant>
        <vt:i4>0</vt:i4>
      </vt:variant>
      <vt:variant>
        <vt:i4>5</vt:i4>
      </vt:variant>
      <vt:variant>
        <vt:lpwstr/>
      </vt:variant>
      <vt:variant>
        <vt:lpwstr>_Toc132536933</vt:lpwstr>
      </vt:variant>
      <vt:variant>
        <vt:i4>1310777</vt:i4>
      </vt:variant>
      <vt:variant>
        <vt:i4>320</vt:i4>
      </vt:variant>
      <vt:variant>
        <vt:i4>0</vt:i4>
      </vt:variant>
      <vt:variant>
        <vt:i4>5</vt:i4>
      </vt:variant>
      <vt:variant>
        <vt:lpwstr/>
      </vt:variant>
      <vt:variant>
        <vt:lpwstr>_Toc132536932</vt:lpwstr>
      </vt:variant>
      <vt:variant>
        <vt:i4>1310777</vt:i4>
      </vt:variant>
      <vt:variant>
        <vt:i4>314</vt:i4>
      </vt:variant>
      <vt:variant>
        <vt:i4>0</vt:i4>
      </vt:variant>
      <vt:variant>
        <vt:i4>5</vt:i4>
      </vt:variant>
      <vt:variant>
        <vt:lpwstr/>
      </vt:variant>
      <vt:variant>
        <vt:lpwstr>_Toc132536931</vt:lpwstr>
      </vt:variant>
      <vt:variant>
        <vt:i4>1310777</vt:i4>
      </vt:variant>
      <vt:variant>
        <vt:i4>308</vt:i4>
      </vt:variant>
      <vt:variant>
        <vt:i4>0</vt:i4>
      </vt:variant>
      <vt:variant>
        <vt:i4>5</vt:i4>
      </vt:variant>
      <vt:variant>
        <vt:lpwstr/>
      </vt:variant>
      <vt:variant>
        <vt:lpwstr>_Toc132536930</vt:lpwstr>
      </vt:variant>
      <vt:variant>
        <vt:i4>1376313</vt:i4>
      </vt:variant>
      <vt:variant>
        <vt:i4>302</vt:i4>
      </vt:variant>
      <vt:variant>
        <vt:i4>0</vt:i4>
      </vt:variant>
      <vt:variant>
        <vt:i4>5</vt:i4>
      </vt:variant>
      <vt:variant>
        <vt:lpwstr/>
      </vt:variant>
      <vt:variant>
        <vt:lpwstr>_Toc132536929</vt:lpwstr>
      </vt:variant>
      <vt:variant>
        <vt:i4>1376313</vt:i4>
      </vt:variant>
      <vt:variant>
        <vt:i4>296</vt:i4>
      </vt:variant>
      <vt:variant>
        <vt:i4>0</vt:i4>
      </vt:variant>
      <vt:variant>
        <vt:i4>5</vt:i4>
      </vt:variant>
      <vt:variant>
        <vt:lpwstr/>
      </vt:variant>
      <vt:variant>
        <vt:lpwstr>_Toc132536928</vt:lpwstr>
      </vt:variant>
      <vt:variant>
        <vt:i4>1376313</vt:i4>
      </vt:variant>
      <vt:variant>
        <vt:i4>290</vt:i4>
      </vt:variant>
      <vt:variant>
        <vt:i4>0</vt:i4>
      </vt:variant>
      <vt:variant>
        <vt:i4>5</vt:i4>
      </vt:variant>
      <vt:variant>
        <vt:lpwstr/>
      </vt:variant>
      <vt:variant>
        <vt:lpwstr>_Toc132536927</vt:lpwstr>
      </vt:variant>
      <vt:variant>
        <vt:i4>1376313</vt:i4>
      </vt:variant>
      <vt:variant>
        <vt:i4>284</vt:i4>
      </vt:variant>
      <vt:variant>
        <vt:i4>0</vt:i4>
      </vt:variant>
      <vt:variant>
        <vt:i4>5</vt:i4>
      </vt:variant>
      <vt:variant>
        <vt:lpwstr/>
      </vt:variant>
      <vt:variant>
        <vt:lpwstr>_Toc132536926</vt:lpwstr>
      </vt:variant>
      <vt:variant>
        <vt:i4>1376313</vt:i4>
      </vt:variant>
      <vt:variant>
        <vt:i4>278</vt:i4>
      </vt:variant>
      <vt:variant>
        <vt:i4>0</vt:i4>
      </vt:variant>
      <vt:variant>
        <vt:i4>5</vt:i4>
      </vt:variant>
      <vt:variant>
        <vt:lpwstr/>
      </vt:variant>
      <vt:variant>
        <vt:lpwstr>_Toc132536925</vt:lpwstr>
      </vt:variant>
      <vt:variant>
        <vt:i4>1376313</vt:i4>
      </vt:variant>
      <vt:variant>
        <vt:i4>272</vt:i4>
      </vt:variant>
      <vt:variant>
        <vt:i4>0</vt:i4>
      </vt:variant>
      <vt:variant>
        <vt:i4>5</vt:i4>
      </vt:variant>
      <vt:variant>
        <vt:lpwstr/>
      </vt:variant>
      <vt:variant>
        <vt:lpwstr>_Toc132536924</vt:lpwstr>
      </vt:variant>
      <vt:variant>
        <vt:i4>1376313</vt:i4>
      </vt:variant>
      <vt:variant>
        <vt:i4>266</vt:i4>
      </vt:variant>
      <vt:variant>
        <vt:i4>0</vt:i4>
      </vt:variant>
      <vt:variant>
        <vt:i4>5</vt:i4>
      </vt:variant>
      <vt:variant>
        <vt:lpwstr/>
      </vt:variant>
      <vt:variant>
        <vt:lpwstr>_Toc132536923</vt:lpwstr>
      </vt:variant>
      <vt:variant>
        <vt:i4>1376313</vt:i4>
      </vt:variant>
      <vt:variant>
        <vt:i4>260</vt:i4>
      </vt:variant>
      <vt:variant>
        <vt:i4>0</vt:i4>
      </vt:variant>
      <vt:variant>
        <vt:i4>5</vt:i4>
      </vt:variant>
      <vt:variant>
        <vt:lpwstr/>
      </vt:variant>
      <vt:variant>
        <vt:lpwstr>_Toc132536922</vt:lpwstr>
      </vt:variant>
      <vt:variant>
        <vt:i4>1376313</vt:i4>
      </vt:variant>
      <vt:variant>
        <vt:i4>254</vt:i4>
      </vt:variant>
      <vt:variant>
        <vt:i4>0</vt:i4>
      </vt:variant>
      <vt:variant>
        <vt:i4>5</vt:i4>
      </vt:variant>
      <vt:variant>
        <vt:lpwstr/>
      </vt:variant>
      <vt:variant>
        <vt:lpwstr>_Toc132536921</vt:lpwstr>
      </vt:variant>
      <vt:variant>
        <vt:i4>1376313</vt:i4>
      </vt:variant>
      <vt:variant>
        <vt:i4>248</vt:i4>
      </vt:variant>
      <vt:variant>
        <vt:i4>0</vt:i4>
      </vt:variant>
      <vt:variant>
        <vt:i4>5</vt:i4>
      </vt:variant>
      <vt:variant>
        <vt:lpwstr/>
      </vt:variant>
      <vt:variant>
        <vt:lpwstr>_Toc132536920</vt:lpwstr>
      </vt:variant>
      <vt:variant>
        <vt:i4>1441849</vt:i4>
      </vt:variant>
      <vt:variant>
        <vt:i4>242</vt:i4>
      </vt:variant>
      <vt:variant>
        <vt:i4>0</vt:i4>
      </vt:variant>
      <vt:variant>
        <vt:i4>5</vt:i4>
      </vt:variant>
      <vt:variant>
        <vt:lpwstr/>
      </vt:variant>
      <vt:variant>
        <vt:lpwstr>_Toc132536919</vt:lpwstr>
      </vt:variant>
      <vt:variant>
        <vt:i4>1441849</vt:i4>
      </vt:variant>
      <vt:variant>
        <vt:i4>236</vt:i4>
      </vt:variant>
      <vt:variant>
        <vt:i4>0</vt:i4>
      </vt:variant>
      <vt:variant>
        <vt:i4>5</vt:i4>
      </vt:variant>
      <vt:variant>
        <vt:lpwstr/>
      </vt:variant>
      <vt:variant>
        <vt:lpwstr>_Toc132536918</vt:lpwstr>
      </vt:variant>
      <vt:variant>
        <vt:i4>1441849</vt:i4>
      </vt:variant>
      <vt:variant>
        <vt:i4>230</vt:i4>
      </vt:variant>
      <vt:variant>
        <vt:i4>0</vt:i4>
      </vt:variant>
      <vt:variant>
        <vt:i4>5</vt:i4>
      </vt:variant>
      <vt:variant>
        <vt:lpwstr/>
      </vt:variant>
      <vt:variant>
        <vt:lpwstr>_Toc132536917</vt:lpwstr>
      </vt:variant>
      <vt:variant>
        <vt:i4>1441849</vt:i4>
      </vt:variant>
      <vt:variant>
        <vt:i4>224</vt:i4>
      </vt:variant>
      <vt:variant>
        <vt:i4>0</vt:i4>
      </vt:variant>
      <vt:variant>
        <vt:i4>5</vt:i4>
      </vt:variant>
      <vt:variant>
        <vt:lpwstr/>
      </vt:variant>
      <vt:variant>
        <vt:lpwstr>_Toc132536916</vt:lpwstr>
      </vt:variant>
      <vt:variant>
        <vt:i4>1441849</vt:i4>
      </vt:variant>
      <vt:variant>
        <vt:i4>218</vt:i4>
      </vt:variant>
      <vt:variant>
        <vt:i4>0</vt:i4>
      </vt:variant>
      <vt:variant>
        <vt:i4>5</vt:i4>
      </vt:variant>
      <vt:variant>
        <vt:lpwstr/>
      </vt:variant>
      <vt:variant>
        <vt:lpwstr>_Toc132536915</vt:lpwstr>
      </vt:variant>
      <vt:variant>
        <vt:i4>1441849</vt:i4>
      </vt:variant>
      <vt:variant>
        <vt:i4>212</vt:i4>
      </vt:variant>
      <vt:variant>
        <vt:i4>0</vt:i4>
      </vt:variant>
      <vt:variant>
        <vt:i4>5</vt:i4>
      </vt:variant>
      <vt:variant>
        <vt:lpwstr/>
      </vt:variant>
      <vt:variant>
        <vt:lpwstr>_Toc132536914</vt:lpwstr>
      </vt:variant>
      <vt:variant>
        <vt:i4>1441849</vt:i4>
      </vt:variant>
      <vt:variant>
        <vt:i4>206</vt:i4>
      </vt:variant>
      <vt:variant>
        <vt:i4>0</vt:i4>
      </vt:variant>
      <vt:variant>
        <vt:i4>5</vt:i4>
      </vt:variant>
      <vt:variant>
        <vt:lpwstr/>
      </vt:variant>
      <vt:variant>
        <vt:lpwstr>_Toc132536913</vt:lpwstr>
      </vt:variant>
      <vt:variant>
        <vt:i4>1441849</vt:i4>
      </vt:variant>
      <vt:variant>
        <vt:i4>200</vt:i4>
      </vt:variant>
      <vt:variant>
        <vt:i4>0</vt:i4>
      </vt:variant>
      <vt:variant>
        <vt:i4>5</vt:i4>
      </vt:variant>
      <vt:variant>
        <vt:lpwstr/>
      </vt:variant>
      <vt:variant>
        <vt:lpwstr>_Toc132536912</vt:lpwstr>
      </vt:variant>
      <vt:variant>
        <vt:i4>1441849</vt:i4>
      </vt:variant>
      <vt:variant>
        <vt:i4>194</vt:i4>
      </vt:variant>
      <vt:variant>
        <vt:i4>0</vt:i4>
      </vt:variant>
      <vt:variant>
        <vt:i4>5</vt:i4>
      </vt:variant>
      <vt:variant>
        <vt:lpwstr/>
      </vt:variant>
      <vt:variant>
        <vt:lpwstr>_Toc132536911</vt:lpwstr>
      </vt:variant>
      <vt:variant>
        <vt:i4>1441849</vt:i4>
      </vt:variant>
      <vt:variant>
        <vt:i4>188</vt:i4>
      </vt:variant>
      <vt:variant>
        <vt:i4>0</vt:i4>
      </vt:variant>
      <vt:variant>
        <vt:i4>5</vt:i4>
      </vt:variant>
      <vt:variant>
        <vt:lpwstr/>
      </vt:variant>
      <vt:variant>
        <vt:lpwstr>_Toc132536910</vt:lpwstr>
      </vt:variant>
      <vt:variant>
        <vt:i4>1507385</vt:i4>
      </vt:variant>
      <vt:variant>
        <vt:i4>182</vt:i4>
      </vt:variant>
      <vt:variant>
        <vt:i4>0</vt:i4>
      </vt:variant>
      <vt:variant>
        <vt:i4>5</vt:i4>
      </vt:variant>
      <vt:variant>
        <vt:lpwstr/>
      </vt:variant>
      <vt:variant>
        <vt:lpwstr>_Toc132536909</vt:lpwstr>
      </vt:variant>
      <vt:variant>
        <vt:i4>1507385</vt:i4>
      </vt:variant>
      <vt:variant>
        <vt:i4>176</vt:i4>
      </vt:variant>
      <vt:variant>
        <vt:i4>0</vt:i4>
      </vt:variant>
      <vt:variant>
        <vt:i4>5</vt:i4>
      </vt:variant>
      <vt:variant>
        <vt:lpwstr/>
      </vt:variant>
      <vt:variant>
        <vt:lpwstr>_Toc132536908</vt:lpwstr>
      </vt:variant>
      <vt:variant>
        <vt:i4>1507385</vt:i4>
      </vt:variant>
      <vt:variant>
        <vt:i4>170</vt:i4>
      </vt:variant>
      <vt:variant>
        <vt:i4>0</vt:i4>
      </vt:variant>
      <vt:variant>
        <vt:i4>5</vt:i4>
      </vt:variant>
      <vt:variant>
        <vt:lpwstr/>
      </vt:variant>
      <vt:variant>
        <vt:lpwstr>_Toc132536907</vt:lpwstr>
      </vt:variant>
      <vt:variant>
        <vt:i4>1507385</vt:i4>
      </vt:variant>
      <vt:variant>
        <vt:i4>164</vt:i4>
      </vt:variant>
      <vt:variant>
        <vt:i4>0</vt:i4>
      </vt:variant>
      <vt:variant>
        <vt:i4>5</vt:i4>
      </vt:variant>
      <vt:variant>
        <vt:lpwstr/>
      </vt:variant>
      <vt:variant>
        <vt:lpwstr>_Toc132536906</vt:lpwstr>
      </vt:variant>
      <vt:variant>
        <vt:i4>1507385</vt:i4>
      </vt:variant>
      <vt:variant>
        <vt:i4>158</vt:i4>
      </vt:variant>
      <vt:variant>
        <vt:i4>0</vt:i4>
      </vt:variant>
      <vt:variant>
        <vt:i4>5</vt:i4>
      </vt:variant>
      <vt:variant>
        <vt:lpwstr/>
      </vt:variant>
      <vt:variant>
        <vt:lpwstr>_Toc132536905</vt:lpwstr>
      </vt:variant>
      <vt:variant>
        <vt:i4>1507385</vt:i4>
      </vt:variant>
      <vt:variant>
        <vt:i4>152</vt:i4>
      </vt:variant>
      <vt:variant>
        <vt:i4>0</vt:i4>
      </vt:variant>
      <vt:variant>
        <vt:i4>5</vt:i4>
      </vt:variant>
      <vt:variant>
        <vt:lpwstr/>
      </vt:variant>
      <vt:variant>
        <vt:lpwstr>_Toc132536904</vt:lpwstr>
      </vt:variant>
      <vt:variant>
        <vt:i4>1507385</vt:i4>
      </vt:variant>
      <vt:variant>
        <vt:i4>146</vt:i4>
      </vt:variant>
      <vt:variant>
        <vt:i4>0</vt:i4>
      </vt:variant>
      <vt:variant>
        <vt:i4>5</vt:i4>
      </vt:variant>
      <vt:variant>
        <vt:lpwstr/>
      </vt:variant>
      <vt:variant>
        <vt:lpwstr>_Toc132536903</vt:lpwstr>
      </vt:variant>
      <vt:variant>
        <vt:i4>1507385</vt:i4>
      </vt:variant>
      <vt:variant>
        <vt:i4>140</vt:i4>
      </vt:variant>
      <vt:variant>
        <vt:i4>0</vt:i4>
      </vt:variant>
      <vt:variant>
        <vt:i4>5</vt:i4>
      </vt:variant>
      <vt:variant>
        <vt:lpwstr/>
      </vt:variant>
      <vt:variant>
        <vt:lpwstr>_Toc132536902</vt:lpwstr>
      </vt:variant>
      <vt:variant>
        <vt:i4>1507385</vt:i4>
      </vt:variant>
      <vt:variant>
        <vt:i4>134</vt:i4>
      </vt:variant>
      <vt:variant>
        <vt:i4>0</vt:i4>
      </vt:variant>
      <vt:variant>
        <vt:i4>5</vt:i4>
      </vt:variant>
      <vt:variant>
        <vt:lpwstr/>
      </vt:variant>
      <vt:variant>
        <vt:lpwstr>_Toc132536901</vt:lpwstr>
      </vt:variant>
      <vt:variant>
        <vt:i4>1507385</vt:i4>
      </vt:variant>
      <vt:variant>
        <vt:i4>128</vt:i4>
      </vt:variant>
      <vt:variant>
        <vt:i4>0</vt:i4>
      </vt:variant>
      <vt:variant>
        <vt:i4>5</vt:i4>
      </vt:variant>
      <vt:variant>
        <vt:lpwstr/>
      </vt:variant>
      <vt:variant>
        <vt:lpwstr>_Toc132536900</vt:lpwstr>
      </vt:variant>
      <vt:variant>
        <vt:i4>1966136</vt:i4>
      </vt:variant>
      <vt:variant>
        <vt:i4>122</vt:i4>
      </vt:variant>
      <vt:variant>
        <vt:i4>0</vt:i4>
      </vt:variant>
      <vt:variant>
        <vt:i4>5</vt:i4>
      </vt:variant>
      <vt:variant>
        <vt:lpwstr/>
      </vt:variant>
      <vt:variant>
        <vt:lpwstr>_Toc132536899</vt:lpwstr>
      </vt:variant>
      <vt:variant>
        <vt:i4>1966136</vt:i4>
      </vt:variant>
      <vt:variant>
        <vt:i4>116</vt:i4>
      </vt:variant>
      <vt:variant>
        <vt:i4>0</vt:i4>
      </vt:variant>
      <vt:variant>
        <vt:i4>5</vt:i4>
      </vt:variant>
      <vt:variant>
        <vt:lpwstr/>
      </vt:variant>
      <vt:variant>
        <vt:lpwstr>_Toc132536898</vt:lpwstr>
      </vt:variant>
      <vt:variant>
        <vt:i4>1966136</vt:i4>
      </vt:variant>
      <vt:variant>
        <vt:i4>110</vt:i4>
      </vt:variant>
      <vt:variant>
        <vt:i4>0</vt:i4>
      </vt:variant>
      <vt:variant>
        <vt:i4>5</vt:i4>
      </vt:variant>
      <vt:variant>
        <vt:lpwstr/>
      </vt:variant>
      <vt:variant>
        <vt:lpwstr>_Toc132536897</vt:lpwstr>
      </vt:variant>
      <vt:variant>
        <vt:i4>1966136</vt:i4>
      </vt:variant>
      <vt:variant>
        <vt:i4>104</vt:i4>
      </vt:variant>
      <vt:variant>
        <vt:i4>0</vt:i4>
      </vt:variant>
      <vt:variant>
        <vt:i4>5</vt:i4>
      </vt:variant>
      <vt:variant>
        <vt:lpwstr/>
      </vt:variant>
      <vt:variant>
        <vt:lpwstr>_Toc132536896</vt:lpwstr>
      </vt:variant>
      <vt:variant>
        <vt:i4>1966136</vt:i4>
      </vt:variant>
      <vt:variant>
        <vt:i4>98</vt:i4>
      </vt:variant>
      <vt:variant>
        <vt:i4>0</vt:i4>
      </vt:variant>
      <vt:variant>
        <vt:i4>5</vt:i4>
      </vt:variant>
      <vt:variant>
        <vt:lpwstr/>
      </vt:variant>
      <vt:variant>
        <vt:lpwstr>_Toc132536895</vt:lpwstr>
      </vt:variant>
      <vt:variant>
        <vt:i4>1966136</vt:i4>
      </vt:variant>
      <vt:variant>
        <vt:i4>92</vt:i4>
      </vt:variant>
      <vt:variant>
        <vt:i4>0</vt:i4>
      </vt:variant>
      <vt:variant>
        <vt:i4>5</vt:i4>
      </vt:variant>
      <vt:variant>
        <vt:lpwstr/>
      </vt:variant>
      <vt:variant>
        <vt:lpwstr>_Toc132536894</vt:lpwstr>
      </vt:variant>
      <vt:variant>
        <vt:i4>1966136</vt:i4>
      </vt:variant>
      <vt:variant>
        <vt:i4>86</vt:i4>
      </vt:variant>
      <vt:variant>
        <vt:i4>0</vt:i4>
      </vt:variant>
      <vt:variant>
        <vt:i4>5</vt:i4>
      </vt:variant>
      <vt:variant>
        <vt:lpwstr/>
      </vt:variant>
      <vt:variant>
        <vt:lpwstr>_Toc132536893</vt:lpwstr>
      </vt:variant>
      <vt:variant>
        <vt:i4>1966136</vt:i4>
      </vt:variant>
      <vt:variant>
        <vt:i4>80</vt:i4>
      </vt:variant>
      <vt:variant>
        <vt:i4>0</vt:i4>
      </vt:variant>
      <vt:variant>
        <vt:i4>5</vt:i4>
      </vt:variant>
      <vt:variant>
        <vt:lpwstr/>
      </vt:variant>
      <vt:variant>
        <vt:lpwstr>_Toc132536892</vt:lpwstr>
      </vt:variant>
      <vt:variant>
        <vt:i4>1966136</vt:i4>
      </vt:variant>
      <vt:variant>
        <vt:i4>74</vt:i4>
      </vt:variant>
      <vt:variant>
        <vt:i4>0</vt:i4>
      </vt:variant>
      <vt:variant>
        <vt:i4>5</vt:i4>
      </vt:variant>
      <vt:variant>
        <vt:lpwstr/>
      </vt:variant>
      <vt:variant>
        <vt:lpwstr>_Toc132536891</vt:lpwstr>
      </vt:variant>
      <vt:variant>
        <vt:i4>1966136</vt:i4>
      </vt:variant>
      <vt:variant>
        <vt:i4>68</vt:i4>
      </vt:variant>
      <vt:variant>
        <vt:i4>0</vt:i4>
      </vt:variant>
      <vt:variant>
        <vt:i4>5</vt:i4>
      </vt:variant>
      <vt:variant>
        <vt:lpwstr/>
      </vt:variant>
      <vt:variant>
        <vt:lpwstr>_Toc132536890</vt:lpwstr>
      </vt:variant>
      <vt:variant>
        <vt:i4>2031672</vt:i4>
      </vt:variant>
      <vt:variant>
        <vt:i4>62</vt:i4>
      </vt:variant>
      <vt:variant>
        <vt:i4>0</vt:i4>
      </vt:variant>
      <vt:variant>
        <vt:i4>5</vt:i4>
      </vt:variant>
      <vt:variant>
        <vt:lpwstr/>
      </vt:variant>
      <vt:variant>
        <vt:lpwstr>_Toc132536889</vt:lpwstr>
      </vt:variant>
      <vt:variant>
        <vt:i4>2031672</vt:i4>
      </vt:variant>
      <vt:variant>
        <vt:i4>56</vt:i4>
      </vt:variant>
      <vt:variant>
        <vt:i4>0</vt:i4>
      </vt:variant>
      <vt:variant>
        <vt:i4>5</vt:i4>
      </vt:variant>
      <vt:variant>
        <vt:lpwstr/>
      </vt:variant>
      <vt:variant>
        <vt:lpwstr>_Toc132536888</vt:lpwstr>
      </vt:variant>
      <vt:variant>
        <vt:i4>2031672</vt:i4>
      </vt:variant>
      <vt:variant>
        <vt:i4>50</vt:i4>
      </vt:variant>
      <vt:variant>
        <vt:i4>0</vt:i4>
      </vt:variant>
      <vt:variant>
        <vt:i4>5</vt:i4>
      </vt:variant>
      <vt:variant>
        <vt:lpwstr/>
      </vt:variant>
      <vt:variant>
        <vt:lpwstr>_Toc132536887</vt:lpwstr>
      </vt:variant>
      <vt:variant>
        <vt:i4>2031672</vt:i4>
      </vt:variant>
      <vt:variant>
        <vt:i4>44</vt:i4>
      </vt:variant>
      <vt:variant>
        <vt:i4>0</vt:i4>
      </vt:variant>
      <vt:variant>
        <vt:i4>5</vt:i4>
      </vt:variant>
      <vt:variant>
        <vt:lpwstr/>
      </vt:variant>
      <vt:variant>
        <vt:lpwstr>_Toc132536886</vt:lpwstr>
      </vt:variant>
      <vt:variant>
        <vt:i4>2031672</vt:i4>
      </vt:variant>
      <vt:variant>
        <vt:i4>38</vt:i4>
      </vt:variant>
      <vt:variant>
        <vt:i4>0</vt:i4>
      </vt:variant>
      <vt:variant>
        <vt:i4>5</vt:i4>
      </vt:variant>
      <vt:variant>
        <vt:lpwstr/>
      </vt:variant>
      <vt:variant>
        <vt:lpwstr>_Toc132536885</vt:lpwstr>
      </vt:variant>
      <vt:variant>
        <vt:i4>2031672</vt:i4>
      </vt:variant>
      <vt:variant>
        <vt:i4>32</vt:i4>
      </vt:variant>
      <vt:variant>
        <vt:i4>0</vt:i4>
      </vt:variant>
      <vt:variant>
        <vt:i4>5</vt:i4>
      </vt:variant>
      <vt:variant>
        <vt:lpwstr/>
      </vt:variant>
      <vt:variant>
        <vt:lpwstr>_Toc132536884</vt:lpwstr>
      </vt:variant>
      <vt:variant>
        <vt:i4>2031672</vt:i4>
      </vt:variant>
      <vt:variant>
        <vt:i4>26</vt:i4>
      </vt:variant>
      <vt:variant>
        <vt:i4>0</vt:i4>
      </vt:variant>
      <vt:variant>
        <vt:i4>5</vt:i4>
      </vt:variant>
      <vt:variant>
        <vt:lpwstr/>
      </vt:variant>
      <vt:variant>
        <vt:lpwstr>_Toc132536883</vt:lpwstr>
      </vt:variant>
      <vt:variant>
        <vt:i4>2031672</vt:i4>
      </vt:variant>
      <vt:variant>
        <vt:i4>20</vt:i4>
      </vt:variant>
      <vt:variant>
        <vt:i4>0</vt:i4>
      </vt:variant>
      <vt:variant>
        <vt:i4>5</vt:i4>
      </vt:variant>
      <vt:variant>
        <vt:lpwstr/>
      </vt:variant>
      <vt:variant>
        <vt:lpwstr>_Toc132536882</vt:lpwstr>
      </vt:variant>
      <vt:variant>
        <vt:i4>2031672</vt:i4>
      </vt:variant>
      <vt:variant>
        <vt:i4>14</vt:i4>
      </vt:variant>
      <vt:variant>
        <vt:i4>0</vt:i4>
      </vt:variant>
      <vt:variant>
        <vt:i4>5</vt:i4>
      </vt:variant>
      <vt:variant>
        <vt:lpwstr/>
      </vt:variant>
      <vt:variant>
        <vt:lpwstr>_Toc132536881</vt:lpwstr>
      </vt:variant>
      <vt:variant>
        <vt:i4>2031672</vt:i4>
      </vt:variant>
      <vt:variant>
        <vt:i4>8</vt:i4>
      </vt:variant>
      <vt:variant>
        <vt:i4>0</vt:i4>
      </vt:variant>
      <vt:variant>
        <vt:i4>5</vt:i4>
      </vt:variant>
      <vt:variant>
        <vt:lpwstr/>
      </vt:variant>
      <vt:variant>
        <vt:lpwstr>_Toc132536880</vt:lpwstr>
      </vt:variant>
      <vt:variant>
        <vt:i4>1048632</vt:i4>
      </vt:variant>
      <vt:variant>
        <vt:i4>2</vt:i4>
      </vt:variant>
      <vt:variant>
        <vt:i4>0</vt:i4>
      </vt:variant>
      <vt:variant>
        <vt:i4>5</vt:i4>
      </vt:variant>
      <vt:variant>
        <vt:lpwstr/>
      </vt:variant>
      <vt:variant>
        <vt:lpwstr>_Toc132536879</vt:lpwstr>
      </vt:variant>
      <vt:variant>
        <vt:i4>655369</vt:i4>
      </vt:variant>
      <vt:variant>
        <vt:i4>18</vt:i4>
      </vt:variant>
      <vt:variant>
        <vt:i4>0</vt:i4>
      </vt:variant>
      <vt:variant>
        <vt:i4>5</vt:i4>
      </vt:variant>
      <vt:variant>
        <vt:lpwstr>https://www.regjeringen.no/no/dep/hod/org/styrer-rad-og-utvalg/ekspertutvalg-for-gjennomgang-av-allmennlegetjenesten/mandat-for-ekspertutvalg-for-gjennomgang-av-allmennlegetjenesten/id2923960/</vt:lpwstr>
      </vt:variant>
      <vt:variant>
        <vt:lpwstr/>
      </vt:variant>
      <vt:variant>
        <vt:i4>4718618</vt:i4>
      </vt:variant>
      <vt:variant>
        <vt:i4>15</vt:i4>
      </vt:variant>
      <vt:variant>
        <vt:i4>0</vt:i4>
      </vt:variant>
      <vt:variant>
        <vt:i4>5</vt:i4>
      </vt:variant>
      <vt:variant>
        <vt:lpwstr>https://www.gov.scot/publications/national-monitoring-evaluation-strategy-primary-care-scotland/pages/15/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Ekspertutvalget mal</dc:title>
  <dc:subject/>
  <dc:creator>Ellen Starberg Larsen (Innleid)</dc:creator>
  <cp:keywords/>
  <dc:description/>
  <cp:lastModifiedBy>Aasan Caroline</cp:lastModifiedBy>
  <cp:revision>3</cp:revision>
  <cp:lastPrinted>2023-03-31T15:49:00Z</cp:lastPrinted>
  <dcterms:created xsi:type="dcterms:W3CDTF">2023-05-10T11:15:00Z</dcterms:created>
  <dcterms:modified xsi:type="dcterms:W3CDTF">2023-05-12T10:47:00Z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0x010100F62D613DE22BD24ABEC6F21BBFD31C43</vt:lpwstr>
  </property>
  <property fmtid="{D5CDD505-2E9C-101B-9397-08002B2CF9AE}" pid="3" name="MSIP_Label_52cb0b57-dde8-42fe-9f44-53162ebab993_Enabled">
    <vt:lpwstr>True</vt:lpwstr>
  </property>
  <property fmtid="{D5CDD505-2E9C-101B-9397-08002B2CF9AE}" pid="4" name="MSIP_Label_52cb0b57-dde8-42fe-9f44-53162ebab993_SiteId">
    <vt:lpwstr>f696e186-1c3b-44cd-bf76-5ace0e7007bd</vt:lpwstr>
  </property>
  <property fmtid="{D5CDD505-2E9C-101B-9397-08002B2CF9AE}" pid="5" name="MSIP_Label_52cb0b57-dde8-42fe-9f44-53162ebab993_Owner">
    <vt:lpwstr>Ane.Auraen@hod.dep.no</vt:lpwstr>
  </property>
  <property fmtid="{D5CDD505-2E9C-101B-9397-08002B2CF9AE}" pid="6" name="MSIP_Label_52cb0b57-dde8-42fe-9f44-53162ebab993_SetDate">
    <vt:lpwstr>2021-05-04T12:46:20.1899469Z</vt:lpwstr>
  </property>
  <property fmtid="{D5CDD505-2E9C-101B-9397-08002B2CF9AE}" pid="7" name="MSIP_Label_52cb0b57-dde8-42fe-9f44-53162ebab993_Name">
    <vt:lpwstr>Intern (HOD)</vt:lpwstr>
  </property>
  <property fmtid="{D5CDD505-2E9C-101B-9397-08002B2CF9AE}" pid="8" name="MSIP_Label_52cb0b57-dde8-42fe-9f44-53162ebab993_Application">
    <vt:lpwstr>Microsoft Azure Information Protection</vt:lpwstr>
  </property>
  <property fmtid="{D5CDD505-2E9C-101B-9397-08002B2CF9AE}" pid="9" name="MSIP_Label_52cb0b57-dde8-42fe-9f44-53162ebab993_ActionId">
    <vt:lpwstr>06b02fa9-afe4-4a7c-ac20-b67d1537e776</vt:lpwstr>
  </property>
  <property fmtid="{D5CDD505-2E9C-101B-9397-08002B2CF9AE}" pid="10" name="MSIP_Label_52cb0b57-dde8-42fe-9f44-53162ebab993_Extended_MSFT_Method">
    <vt:lpwstr>Automatic</vt:lpwstr>
  </property>
  <property fmtid="{D5CDD505-2E9C-101B-9397-08002B2CF9AE}" pid="11" name="DssEmneord">
    <vt:lpwstr/>
  </property>
  <property fmtid="{D5CDD505-2E9C-101B-9397-08002B2CF9AE}" pid="12" name="DssFunksjon">
    <vt:lpwstr/>
  </property>
  <property fmtid="{D5CDD505-2E9C-101B-9397-08002B2CF9AE}" pid="13" name="DssAvdeling">
    <vt:lpwstr/>
  </property>
  <property fmtid="{D5CDD505-2E9C-101B-9397-08002B2CF9AE}" pid="14" name="DssDokumenttype">
    <vt:lpwstr/>
  </property>
  <property fmtid="{D5CDD505-2E9C-101B-9397-08002B2CF9AE}" pid="15" name="DssDepartement">
    <vt:lpwstr/>
  </property>
  <property fmtid="{D5CDD505-2E9C-101B-9397-08002B2CF9AE}" pid="16" name="DssRomtype">
    <vt:lpwstr/>
  </property>
</Properties>
</file>